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C4188" w14:textId="77777777" w:rsidR="00DE575E" w:rsidRDefault="002E7560">
      <w:pPr>
        <w:spacing w:before="180" w:line="321" w:lineRule="auto"/>
        <w:ind w:left="817" w:right="982" w:firstLine="3"/>
        <w:jc w:val="center"/>
        <w:rPr>
          <w:b/>
          <w:sz w:val="24"/>
        </w:rPr>
      </w:pPr>
      <w:bookmarkStart w:id="0" w:name="_GoBack"/>
      <w:bookmarkEnd w:id="0"/>
      <w:r>
        <w:rPr>
          <w:b/>
          <w:color w:val="231F20"/>
          <w:sz w:val="24"/>
        </w:rPr>
        <w:t xml:space="preserve">Академія адміністративно-правових </w:t>
      </w:r>
      <w:r>
        <w:rPr>
          <w:b/>
          <w:color w:val="231F20"/>
          <w:spacing w:val="-3"/>
          <w:sz w:val="24"/>
        </w:rPr>
        <w:t xml:space="preserve">наук </w:t>
      </w:r>
      <w:r>
        <w:rPr>
          <w:b/>
          <w:color w:val="231F20"/>
          <w:sz w:val="24"/>
        </w:rPr>
        <w:t>Науково-дослідний</w:t>
      </w:r>
      <w:r>
        <w:rPr>
          <w:b/>
          <w:color w:val="231F20"/>
          <w:spacing w:val="-16"/>
          <w:sz w:val="24"/>
        </w:rPr>
        <w:t xml:space="preserve"> </w:t>
      </w:r>
      <w:r>
        <w:rPr>
          <w:b/>
          <w:color w:val="231F20"/>
          <w:sz w:val="24"/>
        </w:rPr>
        <w:t>інститут</w:t>
      </w:r>
      <w:r>
        <w:rPr>
          <w:b/>
          <w:color w:val="231F20"/>
          <w:spacing w:val="-16"/>
          <w:sz w:val="24"/>
        </w:rPr>
        <w:t xml:space="preserve"> </w:t>
      </w:r>
      <w:r>
        <w:rPr>
          <w:b/>
          <w:color w:val="231F20"/>
          <w:sz w:val="24"/>
        </w:rPr>
        <w:t>публічного</w:t>
      </w:r>
      <w:r>
        <w:rPr>
          <w:b/>
          <w:color w:val="231F20"/>
          <w:spacing w:val="-16"/>
          <w:sz w:val="24"/>
        </w:rPr>
        <w:t xml:space="preserve"> </w:t>
      </w:r>
      <w:r>
        <w:rPr>
          <w:b/>
          <w:color w:val="231F20"/>
          <w:sz w:val="24"/>
        </w:rPr>
        <w:t>права</w:t>
      </w:r>
    </w:p>
    <w:p w14:paraId="627AC8A9" w14:textId="77777777" w:rsidR="00DE575E" w:rsidRDefault="00DE575E">
      <w:pPr>
        <w:pStyle w:val="BodyText"/>
        <w:rPr>
          <w:b/>
          <w:sz w:val="28"/>
        </w:rPr>
      </w:pPr>
    </w:p>
    <w:p w14:paraId="1B70D576" w14:textId="77777777" w:rsidR="00DE575E" w:rsidRDefault="00DE575E">
      <w:pPr>
        <w:pStyle w:val="BodyText"/>
        <w:rPr>
          <w:b/>
          <w:sz w:val="28"/>
        </w:rPr>
      </w:pPr>
    </w:p>
    <w:p w14:paraId="52B9D014" w14:textId="77777777" w:rsidR="00DE575E" w:rsidRDefault="00DE575E">
      <w:pPr>
        <w:pStyle w:val="BodyText"/>
        <w:rPr>
          <w:b/>
          <w:sz w:val="28"/>
        </w:rPr>
      </w:pPr>
    </w:p>
    <w:p w14:paraId="3D7082A8" w14:textId="77777777" w:rsidR="00DE575E" w:rsidRDefault="00DE575E">
      <w:pPr>
        <w:pStyle w:val="BodyText"/>
        <w:rPr>
          <w:b/>
          <w:sz w:val="28"/>
        </w:rPr>
      </w:pPr>
    </w:p>
    <w:p w14:paraId="20513662" w14:textId="77777777" w:rsidR="00DE575E" w:rsidRDefault="00DE575E">
      <w:pPr>
        <w:pStyle w:val="BodyText"/>
        <w:rPr>
          <w:b/>
          <w:sz w:val="28"/>
        </w:rPr>
      </w:pPr>
    </w:p>
    <w:p w14:paraId="66A00ECA" w14:textId="77777777" w:rsidR="00DE575E" w:rsidRDefault="00DE575E">
      <w:pPr>
        <w:pStyle w:val="BodyText"/>
        <w:rPr>
          <w:b/>
          <w:sz w:val="28"/>
        </w:rPr>
      </w:pPr>
    </w:p>
    <w:p w14:paraId="25643646" w14:textId="77777777" w:rsidR="00DE575E" w:rsidRDefault="002E7560">
      <w:pPr>
        <w:spacing w:before="188" w:line="268" w:lineRule="auto"/>
        <w:ind w:left="496" w:right="658"/>
        <w:jc w:val="center"/>
        <w:rPr>
          <w:b/>
          <w:sz w:val="36"/>
        </w:rPr>
      </w:pPr>
      <w:r>
        <w:rPr>
          <w:b/>
          <w:color w:val="231F20"/>
          <w:spacing w:val="-5"/>
          <w:w w:val="90"/>
          <w:sz w:val="36"/>
        </w:rPr>
        <w:t xml:space="preserve">АДМІНІСТРАТИВНЕ </w:t>
      </w:r>
      <w:r>
        <w:rPr>
          <w:b/>
          <w:color w:val="231F20"/>
          <w:spacing w:val="-7"/>
          <w:w w:val="90"/>
          <w:sz w:val="36"/>
        </w:rPr>
        <w:t xml:space="preserve">ПРАВО </w:t>
      </w:r>
      <w:r>
        <w:rPr>
          <w:b/>
          <w:color w:val="231F20"/>
          <w:spacing w:val="-4"/>
          <w:w w:val="90"/>
          <w:sz w:val="36"/>
        </w:rPr>
        <w:t xml:space="preserve">УКРАЇНИ. </w:t>
      </w:r>
      <w:r>
        <w:rPr>
          <w:b/>
          <w:color w:val="231F20"/>
          <w:sz w:val="36"/>
        </w:rPr>
        <w:t>ПОВНИЙ КУРС</w:t>
      </w:r>
    </w:p>
    <w:p w14:paraId="1082DB92" w14:textId="77777777" w:rsidR="00DE575E" w:rsidRDefault="00DE575E">
      <w:pPr>
        <w:pStyle w:val="BodyText"/>
        <w:rPr>
          <w:b/>
          <w:sz w:val="42"/>
        </w:rPr>
      </w:pPr>
    </w:p>
    <w:p w14:paraId="072E361A" w14:textId="77777777" w:rsidR="00DE575E" w:rsidRDefault="00DE575E">
      <w:pPr>
        <w:pStyle w:val="BodyText"/>
        <w:spacing w:before="4"/>
        <w:rPr>
          <w:b/>
          <w:sz w:val="37"/>
        </w:rPr>
      </w:pPr>
    </w:p>
    <w:p w14:paraId="12DE308E" w14:textId="77777777" w:rsidR="00DE575E" w:rsidRDefault="002E7560">
      <w:pPr>
        <w:pStyle w:val="Heading3"/>
        <w:ind w:left="497" w:right="658"/>
        <w:rPr>
          <w:rFonts w:ascii="Cambria" w:hAnsi="Cambria"/>
        </w:rPr>
      </w:pPr>
      <w:r>
        <w:rPr>
          <w:rFonts w:ascii="Cambria" w:hAnsi="Cambria"/>
          <w:color w:val="231F20"/>
        </w:rPr>
        <w:t>ПІДРУЧНИК</w:t>
      </w:r>
    </w:p>
    <w:p w14:paraId="70F97865" w14:textId="77777777" w:rsidR="00DE575E" w:rsidRDefault="00DE575E">
      <w:pPr>
        <w:pStyle w:val="BodyText"/>
        <w:rPr>
          <w:sz w:val="32"/>
        </w:rPr>
      </w:pPr>
    </w:p>
    <w:p w14:paraId="2D8CBF77" w14:textId="77777777" w:rsidR="00DE575E" w:rsidRDefault="00DE575E">
      <w:pPr>
        <w:pStyle w:val="BodyText"/>
        <w:spacing w:before="8"/>
        <w:rPr>
          <w:sz w:val="36"/>
        </w:rPr>
      </w:pPr>
    </w:p>
    <w:p w14:paraId="0B9A0CFA" w14:textId="77777777" w:rsidR="00DE575E" w:rsidRDefault="002E7560">
      <w:pPr>
        <w:ind w:left="496" w:right="658"/>
        <w:jc w:val="center"/>
        <w:rPr>
          <w:sz w:val="28"/>
        </w:rPr>
      </w:pPr>
      <w:r>
        <w:rPr>
          <w:color w:val="231F20"/>
          <w:sz w:val="28"/>
        </w:rPr>
        <w:t>Видання третє</w:t>
      </w:r>
    </w:p>
    <w:p w14:paraId="2FF09702" w14:textId="77777777" w:rsidR="00DE575E" w:rsidRDefault="00DE575E">
      <w:pPr>
        <w:pStyle w:val="BodyText"/>
        <w:rPr>
          <w:sz w:val="20"/>
        </w:rPr>
      </w:pPr>
    </w:p>
    <w:p w14:paraId="3BDDE671" w14:textId="77777777" w:rsidR="00DE575E" w:rsidRDefault="00DE575E">
      <w:pPr>
        <w:pStyle w:val="BodyText"/>
        <w:rPr>
          <w:sz w:val="20"/>
        </w:rPr>
      </w:pPr>
    </w:p>
    <w:p w14:paraId="4ADE582A" w14:textId="77777777" w:rsidR="00DE575E" w:rsidRDefault="00DE575E">
      <w:pPr>
        <w:pStyle w:val="BodyText"/>
        <w:rPr>
          <w:sz w:val="20"/>
        </w:rPr>
      </w:pPr>
    </w:p>
    <w:p w14:paraId="4EE9184D" w14:textId="77777777" w:rsidR="00DE575E" w:rsidRDefault="00DE575E">
      <w:pPr>
        <w:pStyle w:val="BodyText"/>
        <w:rPr>
          <w:sz w:val="20"/>
        </w:rPr>
      </w:pPr>
    </w:p>
    <w:p w14:paraId="5F562207" w14:textId="77777777" w:rsidR="00DE575E" w:rsidRDefault="00DE575E">
      <w:pPr>
        <w:pStyle w:val="BodyText"/>
        <w:rPr>
          <w:sz w:val="20"/>
        </w:rPr>
      </w:pPr>
    </w:p>
    <w:p w14:paraId="06646181" w14:textId="77777777" w:rsidR="00DE575E" w:rsidRDefault="00DE575E">
      <w:pPr>
        <w:pStyle w:val="BodyText"/>
        <w:rPr>
          <w:sz w:val="20"/>
        </w:rPr>
      </w:pPr>
    </w:p>
    <w:p w14:paraId="53FD481C" w14:textId="77777777" w:rsidR="00DE575E" w:rsidRDefault="00DE575E">
      <w:pPr>
        <w:pStyle w:val="BodyText"/>
        <w:rPr>
          <w:sz w:val="20"/>
        </w:rPr>
      </w:pPr>
    </w:p>
    <w:p w14:paraId="36C4477E" w14:textId="77777777" w:rsidR="00DE575E" w:rsidRDefault="00DE575E">
      <w:pPr>
        <w:pStyle w:val="BodyText"/>
        <w:rPr>
          <w:sz w:val="20"/>
        </w:rPr>
      </w:pPr>
    </w:p>
    <w:p w14:paraId="22F78724" w14:textId="77777777" w:rsidR="00DE575E" w:rsidRDefault="00DE575E">
      <w:pPr>
        <w:pStyle w:val="BodyText"/>
        <w:rPr>
          <w:sz w:val="20"/>
        </w:rPr>
      </w:pPr>
    </w:p>
    <w:p w14:paraId="0D0825CE" w14:textId="77777777" w:rsidR="00DE575E" w:rsidRDefault="00DE575E">
      <w:pPr>
        <w:pStyle w:val="BodyText"/>
        <w:rPr>
          <w:sz w:val="20"/>
        </w:rPr>
      </w:pPr>
    </w:p>
    <w:p w14:paraId="0C9F0C62" w14:textId="77777777" w:rsidR="00DE575E" w:rsidRDefault="00DE575E">
      <w:pPr>
        <w:pStyle w:val="BodyText"/>
        <w:rPr>
          <w:sz w:val="20"/>
        </w:rPr>
      </w:pPr>
    </w:p>
    <w:p w14:paraId="4CAAB616" w14:textId="77777777" w:rsidR="00DE575E" w:rsidRDefault="00DE575E">
      <w:pPr>
        <w:pStyle w:val="BodyText"/>
        <w:rPr>
          <w:sz w:val="20"/>
        </w:rPr>
      </w:pPr>
    </w:p>
    <w:p w14:paraId="4C184375" w14:textId="77777777" w:rsidR="00DE575E" w:rsidRDefault="002E7560">
      <w:pPr>
        <w:pStyle w:val="BodyText"/>
        <w:spacing w:before="9"/>
        <w:rPr>
          <w:sz w:val="18"/>
        </w:rPr>
      </w:pPr>
      <w:r>
        <w:rPr>
          <w:noProof/>
        </w:rPr>
        <w:drawing>
          <wp:anchor distT="0" distB="0" distL="0" distR="0" simplePos="0" relativeHeight="251658240" behindDoc="0" locked="0" layoutInCell="1" allowOverlap="1" wp14:anchorId="67A72BCE" wp14:editId="13487221">
            <wp:simplePos x="0" y="0"/>
            <wp:positionH relativeFrom="page">
              <wp:posOffset>2203031</wp:posOffset>
            </wp:positionH>
            <wp:positionV relativeFrom="paragraph">
              <wp:posOffset>165017</wp:posOffset>
            </wp:positionV>
            <wp:extent cx="797242" cy="27260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97242" cy="272605"/>
                    </a:xfrm>
                    <a:prstGeom prst="rect">
                      <a:avLst/>
                    </a:prstGeom>
                  </pic:spPr>
                </pic:pic>
              </a:graphicData>
            </a:graphic>
          </wp:anchor>
        </w:drawing>
      </w:r>
    </w:p>
    <w:p w14:paraId="59E0B4B2" w14:textId="77777777" w:rsidR="00DE575E" w:rsidRDefault="002E7560">
      <w:pPr>
        <w:spacing w:before="86"/>
        <w:ind w:left="497" w:right="658"/>
        <w:jc w:val="center"/>
      </w:pPr>
      <w:r>
        <w:rPr>
          <w:color w:val="231F20"/>
        </w:rPr>
        <w:t>2020</w:t>
      </w:r>
    </w:p>
    <w:p w14:paraId="1C80FEA9" w14:textId="77777777" w:rsidR="00DE575E" w:rsidRDefault="00DE575E">
      <w:pPr>
        <w:jc w:val="center"/>
        <w:sectPr w:rsidR="00DE575E">
          <w:type w:val="continuous"/>
          <w:pgSz w:w="8510" w:h="12760"/>
          <w:pgMar w:top="1180" w:right="720" w:bottom="280" w:left="600" w:header="720" w:footer="720" w:gutter="0"/>
          <w:cols w:space="720"/>
        </w:sectPr>
      </w:pPr>
    </w:p>
    <w:p w14:paraId="1BB665C0" w14:textId="77777777" w:rsidR="00DE575E" w:rsidRDefault="00DE575E">
      <w:pPr>
        <w:pStyle w:val="BodyText"/>
        <w:rPr>
          <w:sz w:val="20"/>
        </w:rPr>
      </w:pPr>
    </w:p>
    <w:p w14:paraId="3F6A2DBF" w14:textId="77777777" w:rsidR="00DE575E" w:rsidRDefault="00DE575E">
      <w:pPr>
        <w:pStyle w:val="BodyText"/>
        <w:rPr>
          <w:sz w:val="20"/>
        </w:rPr>
      </w:pPr>
    </w:p>
    <w:p w14:paraId="6769DEA9" w14:textId="77777777" w:rsidR="00DE575E" w:rsidRDefault="00DE575E">
      <w:pPr>
        <w:pStyle w:val="BodyText"/>
        <w:rPr>
          <w:sz w:val="20"/>
        </w:rPr>
      </w:pPr>
    </w:p>
    <w:p w14:paraId="638FF746" w14:textId="77777777" w:rsidR="00DE575E" w:rsidRDefault="00DE575E">
      <w:pPr>
        <w:pStyle w:val="BodyText"/>
        <w:rPr>
          <w:sz w:val="20"/>
        </w:rPr>
      </w:pPr>
    </w:p>
    <w:p w14:paraId="250E1844" w14:textId="77777777" w:rsidR="00DE575E" w:rsidRDefault="00DE575E">
      <w:pPr>
        <w:pStyle w:val="BodyText"/>
        <w:rPr>
          <w:sz w:val="20"/>
        </w:rPr>
      </w:pPr>
    </w:p>
    <w:p w14:paraId="28C5A865" w14:textId="77777777" w:rsidR="00DE575E" w:rsidRDefault="00DE575E">
      <w:pPr>
        <w:pStyle w:val="BodyText"/>
        <w:rPr>
          <w:sz w:val="20"/>
        </w:rPr>
      </w:pPr>
    </w:p>
    <w:p w14:paraId="41D9ED4E" w14:textId="77777777" w:rsidR="00DE575E" w:rsidRDefault="00DE575E">
      <w:pPr>
        <w:pStyle w:val="BodyText"/>
        <w:rPr>
          <w:sz w:val="20"/>
        </w:rPr>
      </w:pPr>
    </w:p>
    <w:p w14:paraId="60718F2B" w14:textId="77777777" w:rsidR="00DE575E" w:rsidRDefault="00DE575E">
      <w:pPr>
        <w:pStyle w:val="BodyText"/>
        <w:rPr>
          <w:sz w:val="20"/>
        </w:rPr>
      </w:pPr>
    </w:p>
    <w:p w14:paraId="7F8E498C" w14:textId="77777777" w:rsidR="00DE575E" w:rsidRDefault="00DE575E">
      <w:pPr>
        <w:pStyle w:val="BodyText"/>
        <w:rPr>
          <w:sz w:val="20"/>
        </w:rPr>
      </w:pPr>
    </w:p>
    <w:p w14:paraId="10A87367" w14:textId="77777777" w:rsidR="00DE575E" w:rsidRDefault="002E7560">
      <w:pPr>
        <w:spacing w:before="274" w:line="249" w:lineRule="auto"/>
        <w:ind w:left="695" w:right="293"/>
        <w:jc w:val="center"/>
        <w:rPr>
          <w:b/>
          <w:sz w:val="36"/>
        </w:rPr>
      </w:pPr>
      <w:r>
        <w:rPr>
          <w:b/>
          <w:color w:val="231F20"/>
          <w:w w:val="90"/>
          <w:sz w:val="36"/>
        </w:rPr>
        <w:t xml:space="preserve">ADMINISTRATIVE LAW OF UKRAINE. </w:t>
      </w:r>
      <w:r>
        <w:rPr>
          <w:b/>
          <w:color w:val="231F20"/>
          <w:sz w:val="36"/>
        </w:rPr>
        <w:t>FULL COURSE</w:t>
      </w:r>
    </w:p>
    <w:p w14:paraId="295FED7E" w14:textId="77777777" w:rsidR="00DE575E" w:rsidRDefault="00DE575E">
      <w:pPr>
        <w:pStyle w:val="BodyText"/>
        <w:rPr>
          <w:b/>
          <w:sz w:val="42"/>
        </w:rPr>
      </w:pPr>
    </w:p>
    <w:p w14:paraId="6026C1A7" w14:textId="77777777" w:rsidR="00DE575E" w:rsidRDefault="00DE575E">
      <w:pPr>
        <w:pStyle w:val="BodyText"/>
        <w:rPr>
          <w:b/>
          <w:sz w:val="42"/>
        </w:rPr>
      </w:pPr>
    </w:p>
    <w:p w14:paraId="49E01D6D" w14:textId="77777777" w:rsidR="00DE575E" w:rsidRDefault="002E7560">
      <w:pPr>
        <w:pStyle w:val="Heading3"/>
        <w:spacing w:before="271"/>
        <w:rPr>
          <w:rFonts w:ascii="Cambria"/>
        </w:rPr>
      </w:pPr>
      <w:r>
        <w:rPr>
          <w:rFonts w:ascii="Cambria"/>
          <w:color w:val="231F20"/>
        </w:rPr>
        <w:t>TEXTBOOK</w:t>
      </w:r>
    </w:p>
    <w:p w14:paraId="35D5BECE" w14:textId="77777777" w:rsidR="00DE575E" w:rsidRDefault="00DE575E">
      <w:pPr>
        <w:pStyle w:val="BodyText"/>
        <w:rPr>
          <w:sz w:val="32"/>
        </w:rPr>
      </w:pPr>
    </w:p>
    <w:p w14:paraId="6405C75D" w14:textId="77777777" w:rsidR="00DE575E" w:rsidRDefault="00DE575E">
      <w:pPr>
        <w:pStyle w:val="BodyText"/>
        <w:rPr>
          <w:sz w:val="32"/>
        </w:rPr>
      </w:pPr>
    </w:p>
    <w:p w14:paraId="4CBE3584" w14:textId="77777777" w:rsidR="00DE575E" w:rsidRDefault="002E7560">
      <w:pPr>
        <w:spacing w:before="288"/>
        <w:ind w:left="695" w:right="292"/>
        <w:jc w:val="center"/>
        <w:rPr>
          <w:sz w:val="28"/>
        </w:rPr>
      </w:pPr>
      <w:r>
        <w:rPr>
          <w:color w:val="231F20"/>
          <w:sz w:val="28"/>
        </w:rPr>
        <w:t>Third edition</w:t>
      </w:r>
    </w:p>
    <w:p w14:paraId="3817F706" w14:textId="77777777" w:rsidR="00DE575E" w:rsidRDefault="00DE575E">
      <w:pPr>
        <w:pStyle w:val="BodyText"/>
        <w:rPr>
          <w:sz w:val="20"/>
        </w:rPr>
      </w:pPr>
    </w:p>
    <w:p w14:paraId="0A6C7481" w14:textId="77777777" w:rsidR="00DE575E" w:rsidRDefault="00DE575E">
      <w:pPr>
        <w:pStyle w:val="BodyText"/>
        <w:rPr>
          <w:sz w:val="20"/>
        </w:rPr>
      </w:pPr>
    </w:p>
    <w:p w14:paraId="7DBE2BBC" w14:textId="77777777" w:rsidR="00DE575E" w:rsidRDefault="00DE575E">
      <w:pPr>
        <w:pStyle w:val="BodyText"/>
        <w:rPr>
          <w:sz w:val="20"/>
        </w:rPr>
      </w:pPr>
    </w:p>
    <w:p w14:paraId="03A0D851" w14:textId="77777777" w:rsidR="00DE575E" w:rsidRDefault="00DE575E">
      <w:pPr>
        <w:pStyle w:val="BodyText"/>
        <w:rPr>
          <w:sz w:val="20"/>
        </w:rPr>
      </w:pPr>
    </w:p>
    <w:p w14:paraId="4C974935" w14:textId="77777777" w:rsidR="00DE575E" w:rsidRDefault="00DE575E">
      <w:pPr>
        <w:pStyle w:val="BodyText"/>
        <w:rPr>
          <w:sz w:val="20"/>
        </w:rPr>
      </w:pPr>
    </w:p>
    <w:p w14:paraId="62E04F6B" w14:textId="77777777" w:rsidR="00DE575E" w:rsidRDefault="00DE575E">
      <w:pPr>
        <w:pStyle w:val="BodyText"/>
        <w:rPr>
          <w:sz w:val="20"/>
        </w:rPr>
      </w:pPr>
    </w:p>
    <w:p w14:paraId="52539B8E" w14:textId="77777777" w:rsidR="00DE575E" w:rsidRDefault="00DE575E">
      <w:pPr>
        <w:pStyle w:val="BodyText"/>
        <w:rPr>
          <w:sz w:val="20"/>
        </w:rPr>
      </w:pPr>
    </w:p>
    <w:p w14:paraId="6C836EB3" w14:textId="77777777" w:rsidR="00DE575E" w:rsidRDefault="00DE575E">
      <w:pPr>
        <w:pStyle w:val="BodyText"/>
        <w:rPr>
          <w:sz w:val="20"/>
        </w:rPr>
      </w:pPr>
    </w:p>
    <w:p w14:paraId="093ABA3F" w14:textId="77777777" w:rsidR="00DE575E" w:rsidRDefault="00DE575E">
      <w:pPr>
        <w:pStyle w:val="BodyText"/>
        <w:rPr>
          <w:sz w:val="20"/>
        </w:rPr>
      </w:pPr>
    </w:p>
    <w:p w14:paraId="2D07C80C" w14:textId="77777777" w:rsidR="00DE575E" w:rsidRDefault="00DE575E">
      <w:pPr>
        <w:pStyle w:val="BodyText"/>
        <w:rPr>
          <w:sz w:val="20"/>
        </w:rPr>
      </w:pPr>
    </w:p>
    <w:p w14:paraId="1E9240F0" w14:textId="77777777" w:rsidR="00DE575E" w:rsidRDefault="00DE575E">
      <w:pPr>
        <w:pStyle w:val="BodyText"/>
        <w:rPr>
          <w:sz w:val="20"/>
        </w:rPr>
      </w:pPr>
    </w:p>
    <w:p w14:paraId="6BD20316" w14:textId="77777777" w:rsidR="00DE575E" w:rsidRDefault="00DE575E">
      <w:pPr>
        <w:pStyle w:val="BodyText"/>
        <w:rPr>
          <w:sz w:val="20"/>
        </w:rPr>
      </w:pPr>
    </w:p>
    <w:p w14:paraId="72CD6344" w14:textId="77777777" w:rsidR="00DE575E" w:rsidRDefault="00DE575E">
      <w:pPr>
        <w:pStyle w:val="BodyText"/>
        <w:rPr>
          <w:sz w:val="20"/>
        </w:rPr>
      </w:pPr>
    </w:p>
    <w:p w14:paraId="4C6626B5" w14:textId="77777777" w:rsidR="00DE575E" w:rsidRDefault="002E7560">
      <w:pPr>
        <w:pStyle w:val="BodyText"/>
        <w:spacing w:before="10"/>
        <w:rPr>
          <w:sz w:val="23"/>
        </w:rPr>
      </w:pPr>
      <w:r>
        <w:rPr>
          <w:noProof/>
        </w:rPr>
        <w:drawing>
          <wp:anchor distT="0" distB="0" distL="0" distR="0" simplePos="0" relativeHeight="1048" behindDoc="0" locked="0" layoutInCell="1" allowOverlap="1" wp14:anchorId="5D4F0BDE" wp14:editId="3C87201C">
            <wp:simplePos x="0" y="0"/>
            <wp:positionH relativeFrom="page">
              <wp:posOffset>2376004</wp:posOffset>
            </wp:positionH>
            <wp:positionV relativeFrom="paragraph">
              <wp:posOffset>202460</wp:posOffset>
            </wp:positionV>
            <wp:extent cx="792856" cy="25336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92856" cy="253365"/>
                    </a:xfrm>
                    <a:prstGeom prst="rect">
                      <a:avLst/>
                    </a:prstGeom>
                  </pic:spPr>
                </pic:pic>
              </a:graphicData>
            </a:graphic>
          </wp:anchor>
        </w:drawing>
      </w:r>
    </w:p>
    <w:p w14:paraId="05E7C31A" w14:textId="77777777" w:rsidR="00DE575E" w:rsidRDefault="002E7560">
      <w:pPr>
        <w:spacing w:before="39"/>
        <w:ind w:left="695" w:right="292"/>
        <w:jc w:val="center"/>
      </w:pPr>
      <w:r>
        <w:rPr>
          <w:color w:val="231F20"/>
        </w:rPr>
        <w:t>2020</w:t>
      </w:r>
    </w:p>
    <w:p w14:paraId="27346BA7" w14:textId="77777777" w:rsidR="00DE575E" w:rsidRDefault="00DE575E">
      <w:pPr>
        <w:jc w:val="center"/>
        <w:sectPr w:rsidR="00DE575E">
          <w:pgSz w:w="8510" w:h="12760"/>
          <w:pgMar w:top="1180" w:right="720" w:bottom="280" w:left="600" w:header="720" w:footer="720" w:gutter="0"/>
          <w:cols w:space="720"/>
        </w:sectPr>
      </w:pPr>
    </w:p>
    <w:p w14:paraId="2112A9C8" w14:textId="77777777" w:rsidR="00DE575E" w:rsidRDefault="00DE575E">
      <w:pPr>
        <w:pStyle w:val="BodyText"/>
        <w:spacing w:before="4"/>
        <w:rPr>
          <w:sz w:val="18"/>
        </w:rPr>
      </w:pPr>
    </w:p>
    <w:p w14:paraId="64081567" w14:textId="77777777" w:rsidR="00DE575E" w:rsidRDefault="002E7560">
      <w:pPr>
        <w:spacing w:line="206" w:lineRule="auto"/>
        <w:ind w:left="703" w:right="4785" w:hanging="454"/>
        <w:rPr>
          <w:sz w:val="16"/>
        </w:rPr>
      </w:pPr>
      <w:r>
        <w:rPr>
          <w:color w:val="231F20"/>
          <w:sz w:val="16"/>
        </w:rPr>
        <w:t>УДК 342.951:351.813(477) А19</w:t>
      </w:r>
    </w:p>
    <w:p w14:paraId="2529EFA7" w14:textId="77777777" w:rsidR="00DE575E" w:rsidRDefault="00DE575E">
      <w:pPr>
        <w:pStyle w:val="BodyText"/>
        <w:spacing w:before="10"/>
        <w:rPr>
          <w:sz w:val="25"/>
        </w:rPr>
      </w:pPr>
    </w:p>
    <w:p w14:paraId="54DBAE56" w14:textId="77777777" w:rsidR="00DE575E" w:rsidRDefault="002E7560">
      <w:pPr>
        <w:spacing w:line="175" w:lineRule="exact"/>
        <w:ind w:left="695" w:right="576"/>
        <w:jc w:val="center"/>
        <w:rPr>
          <w:b/>
          <w:sz w:val="16"/>
        </w:rPr>
      </w:pPr>
      <w:r>
        <w:rPr>
          <w:b/>
          <w:color w:val="231F20"/>
          <w:sz w:val="16"/>
        </w:rPr>
        <w:t>Рекомендовано до друку</w:t>
      </w:r>
    </w:p>
    <w:p w14:paraId="0ABBFCD3" w14:textId="77777777" w:rsidR="00DE575E" w:rsidRDefault="002E7560">
      <w:pPr>
        <w:spacing w:before="8" w:line="206" w:lineRule="auto"/>
        <w:ind w:left="1392" w:right="1272"/>
        <w:jc w:val="center"/>
        <w:rPr>
          <w:sz w:val="16"/>
        </w:rPr>
      </w:pPr>
      <w:r>
        <w:rPr>
          <w:color w:val="231F20"/>
          <w:sz w:val="16"/>
        </w:rPr>
        <w:t>Правлінням Академії адміністративно-правових наук (протокол № 1 від 17 березня 2020 р.)</w:t>
      </w:r>
    </w:p>
    <w:p w14:paraId="68DEED7C" w14:textId="77777777" w:rsidR="00DE575E" w:rsidRDefault="002E7560">
      <w:pPr>
        <w:spacing w:before="1" w:line="206" w:lineRule="auto"/>
        <w:ind w:left="1045" w:right="923"/>
        <w:jc w:val="center"/>
        <w:rPr>
          <w:sz w:val="16"/>
        </w:rPr>
      </w:pPr>
      <w:r>
        <w:rPr>
          <w:color w:val="231F20"/>
          <w:sz w:val="16"/>
        </w:rPr>
        <w:t>Вченою радою Науково-дослідного інституту публічного права (протокол № 3 від 18 березня 2020 р.)</w:t>
      </w:r>
    </w:p>
    <w:p w14:paraId="4B49AF26" w14:textId="77777777" w:rsidR="00DE575E" w:rsidRDefault="00DE575E">
      <w:pPr>
        <w:pStyle w:val="BodyText"/>
        <w:spacing w:before="10"/>
        <w:rPr>
          <w:sz w:val="25"/>
        </w:rPr>
      </w:pPr>
    </w:p>
    <w:p w14:paraId="64D11D5E" w14:textId="77777777" w:rsidR="00DE575E" w:rsidRDefault="002E7560">
      <w:pPr>
        <w:spacing w:line="175" w:lineRule="exact"/>
        <w:ind w:left="533"/>
        <w:rPr>
          <w:b/>
          <w:sz w:val="16"/>
        </w:rPr>
      </w:pPr>
      <w:r>
        <w:rPr>
          <w:b/>
          <w:color w:val="231F20"/>
          <w:sz w:val="16"/>
        </w:rPr>
        <w:t>Авторський колектив</w:t>
      </w:r>
    </w:p>
    <w:p w14:paraId="456093D0" w14:textId="77777777" w:rsidR="00DE575E" w:rsidRDefault="002E7560">
      <w:pPr>
        <w:spacing w:before="9" w:line="206" w:lineRule="auto"/>
        <w:ind w:left="250" w:right="410" w:firstLine="283"/>
        <w:jc w:val="both"/>
        <w:rPr>
          <w:sz w:val="16"/>
        </w:rPr>
      </w:pPr>
      <w:r>
        <w:rPr>
          <w:color w:val="231F20"/>
          <w:sz w:val="16"/>
        </w:rPr>
        <w:t xml:space="preserve">Валентин </w:t>
      </w:r>
      <w:r>
        <w:rPr>
          <w:color w:val="231F20"/>
          <w:spacing w:val="-3"/>
          <w:sz w:val="16"/>
        </w:rPr>
        <w:t xml:space="preserve">Галунько, </w:t>
      </w:r>
      <w:r>
        <w:rPr>
          <w:color w:val="231F20"/>
          <w:spacing w:val="-5"/>
          <w:sz w:val="16"/>
        </w:rPr>
        <w:t xml:space="preserve">Тетяна </w:t>
      </w:r>
      <w:r>
        <w:rPr>
          <w:color w:val="231F20"/>
          <w:spacing w:val="-3"/>
          <w:sz w:val="16"/>
        </w:rPr>
        <w:t xml:space="preserve">Коломоєць, </w:t>
      </w:r>
      <w:r>
        <w:rPr>
          <w:color w:val="231F20"/>
          <w:spacing w:val="-2"/>
          <w:sz w:val="16"/>
        </w:rPr>
        <w:t xml:space="preserve">Оксана </w:t>
      </w:r>
      <w:r>
        <w:rPr>
          <w:color w:val="231F20"/>
          <w:spacing w:val="-3"/>
          <w:sz w:val="16"/>
        </w:rPr>
        <w:t xml:space="preserve">Кузьменко, </w:t>
      </w:r>
      <w:r>
        <w:rPr>
          <w:color w:val="231F20"/>
          <w:sz w:val="16"/>
        </w:rPr>
        <w:t xml:space="preserve">Петро Діхтієвський, Анато- лій </w:t>
      </w:r>
      <w:r>
        <w:rPr>
          <w:color w:val="231F20"/>
          <w:spacing w:val="-3"/>
          <w:sz w:val="16"/>
        </w:rPr>
        <w:t xml:space="preserve">Комзюк, </w:t>
      </w:r>
      <w:r>
        <w:rPr>
          <w:color w:val="231F20"/>
          <w:sz w:val="16"/>
        </w:rPr>
        <w:t xml:space="preserve">Семен Стеценко, Надія Армаш, Дмитро Беззубов, Анатолій </w:t>
      </w:r>
      <w:r>
        <w:rPr>
          <w:color w:val="231F20"/>
          <w:spacing w:val="-3"/>
          <w:sz w:val="16"/>
        </w:rPr>
        <w:t xml:space="preserve">Берлач, </w:t>
      </w:r>
      <w:r>
        <w:rPr>
          <w:color w:val="231F20"/>
          <w:sz w:val="16"/>
        </w:rPr>
        <w:t>Вікторія Біла,</w:t>
      </w:r>
      <w:r>
        <w:rPr>
          <w:color w:val="231F20"/>
          <w:spacing w:val="-9"/>
          <w:sz w:val="16"/>
        </w:rPr>
        <w:t xml:space="preserve"> </w:t>
      </w:r>
      <w:r>
        <w:rPr>
          <w:color w:val="231F20"/>
          <w:sz w:val="16"/>
        </w:rPr>
        <w:t>В’ячеслав</w:t>
      </w:r>
      <w:r>
        <w:rPr>
          <w:color w:val="231F20"/>
          <w:spacing w:val="-9"/>
          <w:sz w:val="16"/>
        </w:rPr>
        <w:t xml:space="preserve"> </w:t>
      </w:r>
      <w:r>
        <w:rPr>
          <w:color w:val="231F20"/>
          <w:sz w:val="16"/>
        </w:rPr>
        <w:t>Бойко,</w:t>
      </w:r>
      <w:r>
        <w:rPr>
          <w:color w:val="231F20"/>
          <w:spacing w:val="-8"/>
          <w:sz w:val="16"/>
        </w:rPr>
        <w:t xml:space="preserve"> </w:t>
      </w:r>
      <w:r>
        <w:rPr>
          <w:color w:val="231F20"/>
          <w:sz w:val="16"/>
        </w:rPr>
        <w:t>Андрій</w:t>
      </w:r>
      <w:r>
        <w:rPr>
          <w:color w:val="231F20"/>
          <w:spacing w:val="-9"/>
          <w:sz w:val="16"/>
        </w:rPr>
        <w:t xml:space="preserve"> </w:t>
      </w:r>
      <w:r>
        <w:rPr>
          <w:color w:val="231F20"/>
          <w:sz w:val="16"/>
        </w:rPr>
        <w:t>Бойчук,</w:t>
      </w:r>
      <w:r>
        <w:rPr>
          <w:color w:val="231F20"/>
          <w:spacing w:val="-9"/>
          <w:sz w:val="16"/>
        </w:rPr>
        <w:t xml:space="preserve"> </w:t>
      </w:r>
      <w:r>
        <w:rPr>
          <w:color w:val="231F20"/>
          <w:sz w:val="16"/>
        </w:rPr>
        <w:t>Юрій</w:t>
      </w:r>
      <w:r>
        <w:rPr>
          <w:color w:val="231F20"/>
          <w:spacing w:val="-9"/>
          <w:sz w:val="16"/>
        </w:rPr>
        <w:t xml:space="preserve"> </w:t>
      </w:r>
      <w:r>
        <w:rPr>
          <w:color w:val="231F20"/>
          <w:spacing w:val="-3"/>
          <w:sz w:val="16"/>
        </w:rPr>
        <w:t>Буглак,</w:t>
      </w:r>
      <w:r>
        <w:rPr>
          <w:color w:val="231F20"/>
          <w:spacing w:val="-9"/>
          <w:sz w:val="16"/>
        </w:rPr>
        <w:t xml:space="preserve"> </w:t>
      </w:r>
      <w:r>
        <w:rPr>
          <w:color w:val="231F20"/>
          <w:sz w:val="16"/>
        </w:rPr>
        <w:t>Олександр</w:t>
      </w:r>
      <w:r>
        <w:rPr>
          <w:color w:val="231F20"/>
          <w:spacing w:val="-9"/>
          <w:sz w:val="16"/>
        </w:rPr>
        <w:t xml:space="preserve"> </w:t>
      </w:r>
      <w:r>
        <w:rPr>
          <w:color w:val="231F20"/>
          <w:sz w:val="16"/>
        </w:rPr>
        <w:t>Буханевич,</w:t>
      </w:r>
      <w:r>
        <w:rPr>
          <w:color w:val="231F20"/>
          <w:spacing w:val="-9"/>
          <w:sz w:val="16"/>
        </w:rPr>
        <w:t xml:space="preserve"> </w:t>
      </w:r>
      <w:r>
        <w:rPr>
          <w:color w:val="231F20"/>
          <w:sz w:val="16"/>
        </w:rPr>
        <w:t>Анна</w:t>
      </w:r>
      <w:r>
        <w:rPr>
          <w:color w:val="231F20"/>
          <w:spacing w:val="-9"/>
          <w:sz w:val="16"/>
        </w:rPr>
        <w:t xml:space="preserve"> </w:t>
      </w:r>
      <w:r>
        <w:rPr>
          <w:color w:val="231F20"/>
          <w:sz w:val="16"/>
        </w:rPr>
        <w:t>Бучинська, Вікторія</w:t>
      </w:r>
      <w:r>
        <w:rPr>
          <w:color w:val="231F20"/>
          <w:spacing w:val="-13"/>
          <w:sz w:val="16"/>
        </w:rPr>
        <w:t xml:space="preserve"> </w:t>
      </w:r>
      <w:r>
        <w:rPr>
          <w:color w:val="231F20"/>
          <w:sz w:val="16"/>
        </w:rPr>
        <w:t>Васильківська,</w:t>
      </w:r>
      <w:r>
        <w:rPr>
          <w:color w:val="231F20"/>
          <w:spacing w:val="-13"/>
          <w:sz w:val="16"/>
        </w:rPr>
        <w:t xml:space="preserve"> </w:t>
      </w:r>
      <w:r>
        <w:rPr>
          <w:color w:val="231F20"/>
          <w:sz w:val="16"/>
        </w:rPr>
        <w:t>Наталя</w:t>
      </w:r>
      <w:r>
        <w:rPr>
          <w:color w:val="231F20"/>
          <w:spacing w:val="-13"/>
          <w:sz w:val="16"/>
        </w:rPr>
        <w:t xml:space="preserve"> </w:t>
      </w:r>
      <w:r>
        <w:rPr>
          <w:color w:val="231F20"/>
          <w:spacing w:val="-3"/>
          <w:sz w:val="16"/>
        </w:rPr>
        <w:t>Васильченко,</w:t>
      </w:r>
      <w:r>
        <w:rPr>
          <w:color w:val="231F20"/>
          <w:spacing w:val="-13"/>
          <w:sz w:val="16"/>
        </w:rPr>
        <w:t xml:space="preserve"> </w:t>
      </w:r>
      <w:r>
        <w:rPr>
          <w:color w:val="231F20"/>
          <w:spacing w:val="-3"/>
          <w:sz w:val="16"/>
        </w:rPr>
        <w:t>Ганна</w:t>
      </w:r>
      <w:r>
        <w:rPr>
          <w:color w:val="231F20"/>
          <w:spacing w:val="-13"/>
          <w:sz w:val="16"/>
        </w:rPr>
        <w:t xml:space="preserve"> </w:t>
      </w:r>
      <w:r>
        <w:rPr>
          <w:color w:val="231F20"/>
          <w:sz w:val="16"/>
        </w:rPr>
        <w:t>Васіна,</w:t>
      </w:r>
      <w:r>
        <w:rPr>
          <w:color w:val="231F20"/>
          <w:spacing w:val="-13"/>
          <w:sz w:val="16"/>
        </w:rPr>
        <w:t xml:space="preserve"> </w:t>
      </w:r>
      <w:r>
        <w:rPr>
          <w:color w:val="231F20"/>
          <w:sz w:val="16"/>
        </w:rPr>
        <w:t>Юлія</w:t>
      </w:r>
      <w:r>
        <w:rPr>
          <w:color w:val="231F20"/>
          <w:spacing w:val="-13"/>
          <w:sz w:val="16"/>
        </w:rPr>
        <w:t xml:space="preserve"> </w:t>
      </w:r>
      <w:r>
        <w:rPr>
          <w:color w:val="231F20"/>
          <w:sz w:val="16"/>
        </w:rPr>
        <w:t>Ващенко,</w:t>
      </w:r>
      <w:r>
        <w:rPr>
          <w:color w:val="231F20"/>
          <w:spacing w:val="-13"/>
          <w:sz w:val="16"/>
        </w:rPr>
        <w:t xml:space="preserve"> </w:t>
      </w:r>
      <w:r>
        <w:rPr>
          <w:color w:val="231F20"/>
          <w:sz w:val="16"/>
        </w:rPr>
        <w:t>Наталя</w:t>
      </w:r>
      <w:r>
        <w:rPr>
          <w:color w:val="231F20"/>
          <w:spacing w:val="-13"/>
          <w:sz w:val="16"/>
        </w:rPr>
        <w:t xml:space="preserve"> </w:t>
      </w:r>
      <w:r>
        <w:rPr>
          <w:color w:val="231F20"/>
          <w:spacing w:val="-3"/>
          <w:sz w:val="16"/>
        </w:rPr>
        <w:t xml:space="preserve">Галіцина, </w:t>
      </w:r>
      <w:r>
        <w:rPr>
          <w:color w:val="231F20"/>
          <w:sz w:val="16"/>
        </w:rPr>
        <w:t xml:space="preserve">Андрій </w:t>
      </w:r>
      <w:r>
        <w:rPr>
          <w:color w:val="231F20"/>
          <w:spacing w:val="-3"/>
          <w:sz w:val="16"/>
        </w:rPr>
        <w:t xml:space="preserve">Галунько, </w:t>
      </w:r>
      <w:r>
        <w:rPr>
          <w:color w:val="231F20"/>
          <w:sz w:val="16"/>
        </w:rPr>
        <w:t xml:space="preserve">Віра </w:t>
      </w:r>
      <w:r>
        <w:rPr>
          <w:color w:val="231F20"/>
          <w:spacing w:val="-3"/>
          <w:sz w:val="16"/>
        </w:rPr>
        <w:t xml:space="preserve">Галунько, </w:t>
      </w:r>
      <w:r>
        <w:rPr>
          <w:color w:val="231F20"/>
          <w:sz w:val="16"/>
        </w:rPr>
        <w:t xml:space="preserve">Ігор </w:t>
      </w:r>
      <w:r>
        <w:rPr>
          <w:color w:val="231F20"/>
          <w:spacing w:val="-4"/>
          <w:sz w:val="16"/>
        </w:rPr>
        <w:t xml:space="preserve">Глобенко, </w:t>
      </w:r>
      <w:r>
        <w:rPr>
          <w:color w:val="231F20"/>
          <w:sz w:val="16"/>
        </w:rPr>
        <w:t xml:space="preserve">Степан </w:t>
      </w:r>
      <w:r>
        <w:rPr>
          <w:color w:val="231F20"/>
          <w:spacing w:val="-4"/>
          <w:sz w:val="16"/>
        </w:rPr>
        <w:t xml:space="preserve">Гончарук, </w:t>
      </w:r>
      <w:r>
        <w:rPr>
          <w:color w:val="231F20"/>
          <w:sz w:val="16"/>
        </w:rPr>
        <w:t xml:space="preserve">Сергій Гречанюк, Олена </w:t>
      </w:r>
      <w:r>
        <w:rPr>
          <w:color w:val="231F20"/>
          <w:spacing w:val="-3"/>
          <w:sz w:val="16"/>
        </w:rPr>
        <w:t>Гулак,</w:t>
      </w:r>
      <w:r>
        <w:rPr>
          <w:color w:val="231F20"/>
          <w:spacing w:val="-8"/>
          <w:sz w:val="16"/>
        </w:rPr>
        <w:t xml:space="preserve"> </w:t>
      </w:r>
      <w:r>
        <w:rPr>
          <w:color w:val="231F20"/>
          <w:sz w:val="16"/>
        </w:rPr>
        <w:t>Анна</w:t>
      </w:r>
      <w:r>
        <w:rPr>
          <w:color w:val="231F20"/>
          <w:spacing w:val="-8"/>
          <w:sz w:val="16"/>
        </w:rPr>
        <w:t xml:space="preserve"> </w:t>
      </w:r>
      <w:r>
        <w:rPr>
          <w:color w:val="231F20"/>
          <w:sz w:val="16"/>
        </w:rPr>
        <w:t>Даниленко,</w:t>
      </w:r>
      <w:r>
        <w:rPr>
          <w:color w:val="231F20"/>
          <w:spacing w:val="-8"/>
          <w:sz w:val="16"/>
        </w:rPr>
        <w:t xml:space="preserve"> </w:t>
      </w:r>
      <w:r>
        <w:rPr>
          <w:color w:val="231F20"/>
          <w:spacing w:val="-3"/>
          <w:sz w:val="16"/>
        </w:rPr>
        <w:t>Сусанна</w:t>
      </w:r>
      <w:r>
        <w:rPr>
          <w:color w:val="231F20"/>
          <w:spacing w:val="-8"/>
          <w:sz w:val="16"/>
        </w:rPr>
        <w:t xml:space="preserve"> </w:t>
      </w:r>
      <w:r>
        <w:rPr>
          <w:color w:val="231F20"/>
          <w:sz w:val="16"/>
        </w:rPr>
        <w:t>Дембіцька,</w:t>
      </w:r>
      <w:r>
        <w:rPr>
          <w:color w:val="231F20"/>
          <w:spacing w:val="-8"/>
          <w:sz w:val="16"/>
        </w:rPr>
        <w:t xml:space="preserve"> </w:t>
      </w:r>
      <w:r>
        <w:rPr>
          <w:color w:val="231F20"/>
          <w:sz w:val="16"/>
        </w:rPr>
        <w:t>Олена</w:t>
      </w:r>
      <w:r>
        <w:rPr>
          <w:color w:val="231F20"/>
          <w:spacing w:val="-8"/>
          <w:sz w:val="16"/>
        </w:rPr>
        <w:t xml:space="preserve"> </w:t>
      </w:r>
      <w:r>
        <w:rPr>
          <w:color w:val="231F20"/>
          <w:sz w:val="16"/>
        </w:rPr>
        <w:t>Джафарова,</w:t>
      </w:r>
      <w:r>
        <w:rPr>
          <w:color w:val="231F20"/>
          <w:spacing w:val="-8"/>
          <w:sz w:val="16"/>
        </w:rPr>
        <w:t xml:space="preserve"> </w:t>
      </w:r>
      <w:r>
        <w:rPr>
          <w:color w:val="231F20"/>
          <w:sz w:val="16"/>
        </w:rPr>
        <w:t>Сергій</w:t>
      </w:r>
      <w:r>
        <w:rPr>
          <w:color w:val="231F20"/>
          <w:spacing w:val="-8"/>
          <w:sz w:val="16"/>
        </w:rPr>
        <w:t xml:space="preserve"> </w:t>
      </w:r>
      <w:r>
        <w:rPr>
          <w:color w:val="231F20"/>
          <w:sz w:val="16"/>
        </w:rPr>
        <w:t>Діденко,</w:t>
      </w:r>
      <w:r>
        <w:rPr>
          <w:color w:val="231F20"/>
          <w:spacing w:val="-8"/>
          <w:sz w:val="16"/>
        </w:rPr>
        <w:t xml:space="preserve"> </w:t>
      </w:r>
      <w:r>
        <w:rPr>
          <w:color w:val="231F20"/>
          <w:sz w:val="16"/>
        </w:rPr>
        <w:t>Петро</w:t>
      </w:r>
      <w:r>
        <w:rPr>
          <w:color w:val="231F20"/>
          <w:spacing w:val="-8"/>
          <w:sz w:val="16"/>
        </w:rPr>
        <w:t xml:space="preserve"> </w:t>
      </w:r>
      <w:r>
        <w:rPr>
          <w:color w:val="231F20"/>
          <w:sz w:val="16"/>
        </w:rPr>
        <w:t>Діхті- євський,</w:t>
      </w:r>
      <w:r>
        <w:rPr>
          <w:color w:val="231F20"/>
          <w:spacing w:val="-16"/>
          <w:sz w:val="16"/>
        </w:rPr>
        <w:t xml:space="preserve"> </w:t>
      </w:r>
      <w:r>
        <w:rPr>
          <w:color w:val="231F20"/>
          <w:sz w:val="16"/>
        </w:rPr>
        <w:t>Олексій</w:t>
      </w:r>
      <w:r>
        <w:rPr>
          <w:color w:val="231F20"/>
          <w:spacing w:val="-16"/>
          <w:sz w:val="16"/>
        </w:rPr>
        <w:t xml:space="preserve"> </w:t>
      </w:r>
      <w:r>
        <w:rPr>
          <w:color w:val="231F20"/>
          <w:sz w:val="16"/>
        </w:rPr>
        <w:t>Дрозд,</w:t>
      </w:r>
      <w:r>
        <w:rPr>
          <w:color w:val="231F20"/>
          <w:spacing w:val="-16"/>
          <w:sz w:val="16"/>
        </w:rPr>
        <w:t xml:space="preserve"> </w:t>
      </w:r>
      <w:r>
        <w:rPr>
          <w:color w:val="231F20"/>
          <w:sz w:val="16"/>
        </w:rPr>
        <w:t>Дмитро</w:t>
      </w:r>
      <w:r>
        <w:rPr>
          <w:color w:val="231F20"/>
          <w:spacing w:val="-16"/>
          <w:sz w:val="16"/>
        </w:rPr>
        <w:t xml:space="preserve"> </w:t>
      </w:r>
      <w:r>
        <w:rPr>
          <w:color w:val="231F20"/>
          <w:spacing w:val="-3"/>
          <w:sz w:val="16"/>
        </w:rPr>
        <w:t>Журавльов,</w:t>
      </w:r>
      <w:r>
        <w:rPr>
          <w:color w:val="231F20"/>
          <w:spacing w:val="-16"/>
          <w:sz w:val="16"/>
        </w:rPr>
        <w:t xml:space="preserve"> </w:t>
      </w:r>
      <w:r>
        <w:rPr>
          <w:color w:val="231F20"/>
          <w:sz w:val="16"/>
        </w:rPr>
        <w:t>Олег</w:t>
      </w:r>
      <w:r>
        <w:rPr>
          <w:color w:val="231F20"/>
          <w:spacing w:val="-16"/>
          <w:sz w:val="16"/>
        </w:rPr>
        <w:t xml:space="preserve"> </w:t>
      </w:r>
      <w:r>
        <w:rPr>
          <w:color w:val="231F20"/>
          <w:sz w:val="16"/>
        </w:rPr>
        <w:t>Заярний,</w:t>
      </w:r>
      <w:r>
        <w:rPr>
          <w:color w:val="231F20"/>
          <w:spacing w:val="-16"/>
          <w:sz w:val="16"/>
        </w:rPr>
        <w:t xml:space="preserve"> </w:t>
      </w:r>
      <w:r>
        <w:rPr>
          <w:color w:val="231F20"/>
          <w:sz w:val="16"/>
        </w:rPr>
        <w:t>Олександр</w:t>
      </w:r>
      <w:r>
        <w:rPr>
          <w:color w:val="231F20"/>
          <w:spacing w:val="-16"/>
          <w:sz w:val="16"/>
        </w:rPr>
        <w:t xml:space="preserve"> </w:t>
      </w:r>
      <w:r>
        <w:rPr>
          <w:color w:val="231F20"/>
          <w:sz w:val="16"/>
        </w:rPr>
        <w:t>Зима,</w:t>
      </w:r>
      <w:r>
        <w:rPr>
          <w:color w:val="231F20"/>
          <w:spacing w:val="-16"/>
          <w:sz w:val="16"/>
        </w:rPr>
        <w:t xml:space="preserve"> </w:t>
      </w:r>
      <w:r>
        <w:rPr>
          <w:color w:val="231F20"/>
          <w:sz w:val="16"/>
        </w:rPr>
        <w:t>Артур</w:t>
      </w:r>
      <w:r>
        <w:rPr>
          <w:color w:val="231F20"/>
          <w:spacing w:val="-16"/>
          <w:sz w:val="16"/>
        </w:rPr>
        <w:t xml:space="preserve"> </w:t>
      </w:r>
      <w:r>
        <w:rPr>
          <w:color w:val="231F20"/>
          <w:sz w:val="16"/>
        </w:rPr>
        <w:t xml:space="preserve">Замрига, Андрій Іванищук, </w:t>
      </w:r>
      <w:r>
        <w:rPr>
          <w:color w:val="231F20"/>
          <w:spacing w:val="-5"/>
          <w:sz w:val="16"/>
        </w:rPr>
        <w:t xml:space="preserve">Тетяна </w:t>
      </w:r>
      <w:r>
        <w:rPr>
          <w:color w:val="231F20"/>
          <w:sz w:val="16"/>
        </w:rPr>
        <w:t xml:space="preserve">Карабін, Борис Кіндюк, Сергій Кічмаренко, Лариса </w:t>
      </w:r>
      <w:r>
        <w:rPr>
          <w:color w:val="231F20"/>
          <w:spacing w:val="-3"/>
          <w:sz w:val="16"/>
        </w:rPr>
        <w:t xml:space="preserve">Коваленко, </w:t>
      </w:r>
      <w:r>
        <w:rPr>
          <w:color w:val="231F20"/>
          <w:sz w:val="16"/>
        </w:rPr>
        <w:t>Анна</w:t>
      </w:r>
      <w:r>
        <w:rPr>
          <w:color w:val="231F20"/>
          <w:spacing w:val="-11"/>
          <w:sz w:val="16"/>
        </w:rPr>
        <w:t xml:space="preserve"> </w:t>
      </w:r>
      <w:r>
        <w:rPr>
          <w:color w:val="231F20"/>
          <w:spacing w:val="-3"/>
          <w:sz w:val="16"/>
        </w:rPr>
        <w:t>Коваль,</w:t>
      </w:r>
      <w:r>
        <w:rPr>
          <w:color w:val="231F20"/>
          <w:spacing w:val="-11"/>
          <w:sz w:val="16"/>
        </w:rPr>
        <w:t xml:space="preserve"> </w:t>
      </w:r>
      <w:r>
        <w:rPr>
          <w:color w:val="231F20"/>
          <w:sz w:val="16"/>
        </w:rPr>
        <w:t>Андрій</w:t>
      </w:r>
      <w:r>
        <w:rPr>
          <w:color w:val="231F20"/>
          <w:spacing w:val="-11"/>
          <w:sz w:val="16"/>
        </w:rPr>
        <w:t xml:space="preserve"> </w:t>
      </w:r>
      <w:r>
        <w:rPr>
          <w:color w:val="231F20"/>
          <w:spacing w:val="-3"/>
          <w:sz w:val="16"/>
        </w:rPr>
        <w:t>Ковальчук,</w:t>
      </w:r>
      <w:r>
        <w:rPr>
          <w:color w:val="231F20"/>
          <w:spacing w:val="-11"/>
          <w:sz w:val="16"/>
        </w:rPr>
        <w:t xml:space="preserve"> </w:t>
      </w:r>
      <w:r>
        <w:rPr>
          <w:color w:val="231F20"/>
          <w:spacing w:val="-3"/>
          <w:sz w:val="16"/>
        </w:rPr>
        <w:t>Людмила</w:t>
      </w:r>
      <w:r>
        <w:rPr>
          <w:color w:val="231F20"/>
          <w:spacing w:val="-11"/>
          <w:sz w:val="16"/>
        </w:rPr>
        <w:t xml:space="preserve"> </w:t>
      </w:r>
      <w:r>
        <w:rPr>
          <w:color w:val="231F20"/>
          <w:spacing w:val="-3"/>
          <w:sz w:val="16"/>
        </w:rPr>
        <w:t>Кожура,</w:t>
      </w:r>
      <w:r>
        <w:rPr>
          <w:color w:val="231F20"/>
          <w:spacing w:val="-11"/>
          <w:sz w:val="16"/>
        </w:rPr>
        <w:t xml:space="preserve"> </w:t>
      </w:r>
      <w:r>
        <w:rPr>
          <w:color w:val="231F20"/>
          <w:sz w:val="16"/>
        </w:rPr>
        <w:t>Олена</w:t>
      </w:r>
      <w:r>
        <w:rPr>
          <w:color w:val="231F20"/>
          <w:spacing w:val="-11"/>
          <w:sz w:val="16"/>
        </w:rPr>
        <w:t xml:space="preserve"> </w:t>
      </w:r>
      <w:r>
        <w:rPr>
          <w:color w:val="231F20"/>
          <w:spacing w:val="-3"/>
          <w:sz w:val="16"/>
        </w:rPr>
        <w:t>Коротун,</w:t>
      </w:r>
      <w:r>
        <w:rPr>
          <w:color w:val="231F20"/>
          <w:spacing w:val="-11"/>
          <w:sz w:val="16"/>
        </w:rPr>
        <w:t xml:space="preserve"> </w:t>
      </w:r>
      <w:r>
        <w:rPr>
          <w:color w:val="231F20"/>
          <w:spacing w:val="-3"/>
          <w:sz w:val="16"/>
        </w:rPr>
        <w:t>Людмила</w:t>
      </w:r>
      <w:r>
        <w:rPr>
          <w:color w:val="231F20"/>
          <w:spacing w:val="-11"/>
          <w:sz w:val="16"/>
        </w:rPr>
        <w:t xml:space="preserve"> </w:t>
      </w:r>
      <w:r>
        <w:rPr>
          <w:color w:val="231F20"/>
          <w:spacing w:val="-3"/>
          <w:sz w:val="16"/>
        </w:rPr>
        <w:t>Корнута,</w:t>
      </w:r>
      <w:r>
        <w:rPr>
          <w:color w:val="231F20"/>
          <w:spacing w:val="-11"/>
          <w:sz w:val="16"/>
        </w:rPr>
        <w:t xml:space="preserve"> </w:t>
      </w:r>
      <w:r>
        <w:rPr>
          <w:color w:val="231F20"/>
          <w:spacing w:val="-2"/>
          <w:sz w:val="16"/>
        </w:rPr>
        <w:t xml:space="preserve">Сергій </w:t>
      </w:r>
      <w:r>
        <w:rPr>
          <w:color w:val="231F20"/>
          <w:spacing w:val="-3"/>
          <w:sz w:val="16"/>
        </w:rPr>
        <w:t xml:space="preserve">Короєд, </w:t>
      </w:r>
      <w:r>
        <w:rPr>
          <w:color w:val="231F20"/>
          <w:sz w:val="16"/>
        </w:rPr>
        <w:t xml:space="preserve">Інеса </w:t>
      </w:r>
      <w:r>
        <w:rPr>
          <w:color w:val="231F20"/>
          <w:spacing w:val="-3"/>
          <w:sz w:val="16"/>
        </w:rPr>
        <w:t xml:space="preserve">Костенко, </w:t>
      </w:r>
      <w:r>
        <w:rPr>
          <w:color w:val="231F20"/>
          <w:sz w:val="16"/>
        </w:rPr>
        <w:t xml:space="preserve">Сергій </w:t>
      </w:r>
      <w:r>
        <w:rPr>
          <w:color w:val="231F20"/>
          <w:spacing w:val="-3"/>
          <w:sz w:val="16"/>
        </w:rPr>
        <w:t xml:space="preserve">Кузніченко, </w:t>
      </w:r>
      <w:r>
        <w:rPr>
          <w:color w:val="231F20"/>
          <w:sz w:val="16"/>
        </w:rPr>
        <w:t xml:space="preserve">Віталій </w:t>
      </w:r>
      <w:r>
        <w:rPr>
          <w:color w:val="231F20"/>
          <w:spacing w:val="-3"/>
          <w:sz w:val="16"/>
        </w:rPr>
        <w:t>Кузьмишин, Володимир Курил</w:t>
      </w:r>
      <w:r>
        <w:rPr>
          <w:color w:val="231F20"/>
          <w:spacing w:val="-3"/>
          <w:sz w:val="16"/>
        </w:rPr>
        <w:t>о, Ксенія Куркова,</w:t>
      </w:r>
      <w:r>
        <w:rPr>
          <w:color w:val="231F20"/>
          <w:spacing w:val="-15"/>
          <w:sz w:val="16"/>
        </w:rPr>
        <w:t xml:space="preserve"> </w:t>
      </w:r>
      <w:r>
        <w:rPr>
          <w:color w:val="231F20"/>
          <w:spacing w:val="-3"/>
          <w:sz w:val="16"/>
        </w:rPr>
        <w:t>Володимир</w:t>
      </w:r>
      <w:r>
        <w:rPr>
          <w:color w:val="231F20"/>
          <w:spacing w:val="-15"/>
          <w:sz w:val="16"/>
        </w:rPr>
        <w:t xml:space="preserve"> </w:t>
      </w:r>
      <w:r>
        <w:rPr>
          <w:color w:val="231F20"/>
          <w:spacing w:val="-3"/>
          <w:sz w:val="16"/>
        </w:rPr>
        <w:t>Куценко,</w:t>
      </w:r>
      <w:r>
        <w:rPr>
          <w:color w:val="231F20"/>
          <w:spacing w:val="-15"/>
          <w:sz w:val="16"/>
        </w:rPr>
        <w:t xml:space="preserve"> </w:t>
      </w:r>
      <w:r>
        <w:rPr>
          <w:color w:val="231F20"/>
          <w:sz w:val="16"/>
        </w:rPr>
        <w:t>Олександр</w:t>
      </w:r>
      <w:r>
        <w:rPr>
          <w:color w:val="231F20"/>
          <w:spacing w:val="-15"/>
          <w:sz w:val="16"/>
        </w:rPr>
        <w:t xml:space="preserve"> </w:t>
      </w:r>
      <w:r>
        <w:rPr>
          <w:color w:val="231F20"/>
          <w:sz w:val="16"/>
        </w:rPr>
        <w:t>Лавринович,</w:t>
      </w:r>
      <w:r>
        <w:rPr>
          <w:color w:val="231F20"/>
          <w:spacing w:val="-15"/>
          <w:sz w:val="16"/>
        </w:rPr>
        <w:t xml:space="preserve"> </w:t>
      </w:r>
      <w:r>
        <w:rPr>
          <w:color w:val="231F20"/>
          <w:sz w:val="16"/>
        </w:rPr>
        <w:t>Ярослав</w:t>
      </w:r>
      <w:r>
        <w:rPr>
          <w:color w:val="231F20"/>
          <w:spacing w:val="-15"/>
          <w:sz w:val="16"/>
        </w:rPr>
        <w:t xml:space="preserve"> </w:t>
      </w:r>
      <w:r>
        <w:rPr>
          <w:color w:val="231F20"/>
          <w:sz w:val="16"/>
        </w:rPr>
        <w:t>Лазур,</w:t>
      </w:r>
      <w:r>
        <w:rPr>
          <w:color w:val="231F20"/>
          <w:spacing w:val="-15"/>
          <w:sz w:val="16"/>
        </w:rPr>
        <w:t xml:space="preserve"> </w:t>
      </w:r>
      <w:r>
        <w:rPr>
          <w:color w:val="231F20"/>
          <w:sz w:val="16"/>
        </w:rPr>
        <w:t>Діана</w:t>
      </w:r>
      <w:r>
        <w:rPr>
          <w:color w:val="231F20"/>
          <w:spacing w:val="-15"/>
          <w:sz w:val="16"/>
        </w:rPr>
        <w:t xml:space="preserve"> </w:t>
      </w:r>
      <w:r>
        <w:rPr>
          <w:color w:val="231F20"/>
          <w:sz w:val="16"/>
        </w:rPr>
        <w:t>Левченко,</w:t>
      </w:r>
      <w:r>
        <w:rPr>
          <w:color w:val="231F20"/>
          <w:spacing w:val="-15"/>
          <w:sz w:val="16"/>
        </w:rPr>
        <w:t xml:space="preserve"> </w:t>
      </w:r>
      <w:r>
        <w:rPr>
          <w:color w:val="231F20"/>
          <w:sz w:val="16"/>
        </w:rPr>
        <w:t xml:space="preserve">Юлія Легеза, Михайло Лошицький, Андрій </w:t>
      </w:r>
      <w:r>
        <w:rPr>
          <w:color w:val="231F20"/>
          <w:spacing w:val="-3"/>
          <w:sz w:val="16"/>
        </w:rPr>
        <w:t xml:space="preserve">Манжула, </w:t>
      </w:r>
      <w:r>
        <w:rPr>
          <w:color w:val="231F20"/>
          <w:sz w:val="16"/>
        </w:rPr>
        <w:t xml:space="preserve">Олеся Марченко, </w:t>
      </w:r>
      <w:r>
        <w:rPr>
          <w:color w:val="231F20"/>
          <w:spacing w:val="-3"/>
          <w:sz w:val="16"/>
        </w:rPr>
        <w:t xml:space="preserve">Світлана Марченкова, </w:t>
      </w:r>
      <w:r>
        <w:rPr>
          <w:color w:val="231F20"/>
          <w:spacing w:val="-5"/>
          <w:sz w:val="16"/>
        </w:rPr>
        <w:t xml:space="preserve">Тетяна </w:t>
      </w:r>
      <w:r>
        <w:rPr>
          <w:color w:val="231F20"/>
          <w:sz w:val="16"/>
        </w:rPr>
        <w:t xml:space="preserve">Мацелик, Олена Мілієнко, </w:t>
      </w:r>
      <w:r>
        <w:rPr>
          <w:color w:val="231F20"/>
          <w:spacing w:val="-3"/>
          <w:sz w:val="16"/>
        </w:rPr>
        <w:t xml:space="preserve">Роман </w:t>
      </w:r>
      <w:r>
        <w:rPr>
          <w:color w:val="231F20"/>
          <w:sz w:val="16"/>
        </w:rPr>
        <w:t xml:space="preserve">Мкртчян, Сергій Мосьондз, Віталій Оксінь, </w:t>
      </w:r>
      <w:r>
        <w:rPr>
          <w:color w:val="231F20"/>
          <w:sz w:val="16"/>
        </w:rPr>
        <w:t xml:space="preserve">Ірина Орловська, Сергій Пєтков , Юлія </w:t>
      </w:r>
      <w:r>
        <w:rPr>
          <w:color w:val="231F20"/>
          <w:spacing w:val="-3"/>
          <w:sz w:val="16"/>
        </w:rPr>
        <w:t xml:space="preserve">Пирожкова, </w:t>
      </w:r>
      <w:r>
        <w:rPr>
          <w:color w:val="231F20"/>
          <w:spacing w:val="-2"/>
          <w:sz w:val="16"/>
        </w:rPr>
        <w:t xml:space="preserve">Микола </w:t>
      </w:r>
      <w:r>
        <w:rPr>
          <w:color w:val="231F20"/>
          <w:sz w:val="16"/>
        </w:rPr>
        <w:t xml:space="preserve">Пихтін, </w:t>
      </w:r>
      <w:r>
        <w:rPr>
          <w:color w:val="231F20"/>
          <w:spacing w:val="-3"/>
          <w:sz w:val="16"/>
        </w:rPr>
        <w:t xml:space="preserve">Світлана </w:t>
      </w:r>
      <w:r>
        <w:rPr>
          <w:color w:val="231F20"/>
          <w:sz w:val="16"/>
        </w:rPr>
        <w:t xml:space="preserve">Попова, Алла Поло- чення, Ольга </w:t>
      </w:r>
      <w:r>
        <w:rPr>
          <w:color w:val="231F20"/>
          <w:spacing w:val="-2"/>
          <w:sz w:val="16"/>
        </w:rPr>
        <w:t xml:space="preserve">Правоторова, </w:t>
      </w:r>
      <w:r>
        <w:rPr>
          <w:color w:val="231F20"/>
          <w:sz w:val="16"/>
        </w:rPr>
        <w:t xml:space="preserve">Ірина </w:t>
      </w:r>
      <w:r>
        <w:rPr>
          <w:color w:val="231F20"/>
          <w:spacing w:val="-3"/>
          <w:sz w:val="16"/>
        </w:rPr>
        <w:t xml:space="preserve">Риженко, </w:t>
      </w:r>
      <w:r>
        <w:rPr>
          <w:color w:val="231F20"/>
          <w:sz w:val="16"/>
        </w:rPr>
        <w:t xml:space="preserve">Олександр </w:t>
      </w:r>
      <w:r>
        <w:rPr>
          <w:color w:val="231F20"/>
          <w:spacing w:val="-3"/>
          <w:sz w:val="16"/>
        </w:rPr>
        <w:t xml:space="preserve">Рогач, </w:t>
      </w:r>
      <w:r>
        <w:rPr>
          <w:color w:val="231F20"/>
          <w:sz w:val="16"/>
        </w:rPr>
        <w:t xml:space="preserve">Леся Руснак, Марина Савюк, Олена Салманова, </w:t>
      </w:r>
      <w:r>
        <w:rPr>
          <w:color w:val="231F20"/>
          <w:spacing w:val="-3"/>
          <w:sz w:val="16"/>
        </w:rPr>
        <w:t xml:space="preserve">Роман Саунін, </w:t>
      </w:r>
      <w:r>
        <w:rPr>
          <w:color w:val="231F20"/>
          <w:sz w:val="16"/>
        </w:rPr>
        <w:t xml:space="preserve">Олександр </w:t>
      </w:r>
      <w:r>
        <w:rPr>
          <w:color w:val="231F20"/>
          <w:spacing w:val="-3"/>
          <w:sz w:val="16"/>
        </w:rPr>
        <w:t xml:space="preserve">Світличний, </w:t>
      </w:r>
      <w:r>
        <w:rPr>
          <w:color w:val="231F20"/>
          <w:sz w:val="16"/>
        </w:rPr>
        <w:t>Євгеній Сердюк, Сергій Слюса- ренко,</w:t>
      </w:r>
      <w:r>
        <w:rPr>
          <w:color w:val="231F20"/>
          <w:spacing w:val="-8"/>
          <w:sz w:val="16"/>
        </w:rPr>
        <w:t xml:space="preserve"> </w:t>
      </w:r>
      <w:r>
        <w:rPr>
          <w:color w:val="231F20"/>
          <w:sz w:val="16"/>
        </w:rPr>
        <w:t>Євген</w:t>
      </w:r>
      <w:r>
        <w:rPr>
          <w:color w:val="231F20"/>
          <w:spacing w:val="-8"/>
          <w:sz w:val="16"/>
        </w:rPr>
        <w:t xml:space="preserve"> </w:t>
      </w:r>
      <w:r>
        <w:rPr>
          <w:color w:val="231F20"/>
          <w:sz w:val="16"/>
        </w:rPr>
        <w:t>Соболь,</w:t>
      </w:r>
      <w:r>
        <w:rPr>
          <w:color w:val="231F20"/>
          <w:spacing w:val="-8"/>
          <w:sz w:val="16"/>
        </w:rPr>
        <w:t xml:space="preserve"> </w:t>
      </w:r>
      <w:r>
        <w:rPr>
          <w:color w:val="231F20"/>
          <w:sz w:val="16"/>
        </w:rPr>
        <w:t>Ольга</w:t>
      </w:r>
      <w:r>
        <w:rPr>
          <w:color w:val="231F20"/>
          <w:spacing w:val="-8"/>
          <w:sz w:val="16"/>
        </w:rPr>
        <w:t xml:space="preserve"> </w:t>
      </w:r>
      <w:r>
        <w:rPr>
          <w:color w:val="231F20"/>
          <w:sz w:val="16"/>
        </w:rPr>
        <w:t>Соловйова,</w:t>
      </w:r>
      <w:r>
        <w:rPr>
          <w:color w:val="231F20"/>
          <w:spacing w:val="-8"/>
          <w:sz w:val="16"/>
        </w:rPr>
        <w:t xml:space="preserve"> </w:t>
      </w:r>
      <w:r>
        <w:rPr>
          <w:color w:val="231F20"/>
          <w:sz w:val="16"/>
        </w:rPr>
        <w:t>Ірина</w:t>
      </w:r>
      <w:r>
        <w:rPr>
          <w:color w:val="231F20"/>
          <w:spacing w:val="-8"/>
          <w:sz w:val="16"/>
        </w:rPr>
        <w:t xml:space="preserve"> </w:t>
      </w:r>
      <w:r>
        <w:rPr>
          <w:color w:val="231F20"/>
          <w:sz w:val="16"/>
        </w:rPr>
        <w:t>Сопілко,</w:t>
      </w:r>
      <w:r>
        <w:rPr>
          <w:color w:val="231F20"/>
          <w:spacing w:val="-8"/>
          <w:sz w:val="16"/>
        </w:rPr>
        <w:t xml:space="preserve"> </w:t>
      </w:r>
      <w:r>
        <w:rPr>
          <w:color w:val="231F20"/>
          <w:sz w:val="16"/>
        </w:rPr>
        <w:t>Лариса</w:t>
      </w:r>
      <w:r>
        <w:rPr>
          <w:color w:val="231F20"/>
          <w:spacing w:val="-8"/>
          <w:sz w:val="16"/>
        </w:rPr>
        <w:t xml:space="preserve"> </w:t>
      </w:r>
      <w:r>
        <w:rPr>
          <w:color w:val="231F20"/>
          <w:sz w:val="16"/>
        </w:rPr>
        <w:t>Сорока,</w:t>
      </w:r>
      <w:r>
        <w:rPr>
          <w:color w:val="231F20"/>
          <w:spacing w:val="-8"/>
          <w:sz w:val="16"/>
        </w:rPr>
        <w:t xml:space="preserve"> </w:t>
      </w:r>
      <w:r>
        <w:rPr>
          <w:color w:val="231F20"/>
          <w:sz w:val="16"/>
        </w:rPr>
        <w:t>Валентина</w:t>
      </w:r>
      <w:r>
        <w:rPr>
          <w:color w:val="231F20"/>
          <w:spacing w:val="-8"/>
          <w:sz w:val="16"/>
        </w:rPr>
        <w:t xml:space="preserve"> </w:t>
      </w:r>
      <w:r>
        <w:rPr>
          <w:color w:val="231F20"/>
          <w:spacing w:val="-3"/>
          <w:sz w:val="16"/>
        </w:rPr>
        <w:t xml:space="preserve">Стеценко, Руслан </w:t>
      </w:r>
      <w:r>
        <w:rPr>
          <w:color w:val="231F20"/>
          <w:spacing w:val="-4"/>
          <w:sz w:val="16"/>
        </w:rPr>
        <w:t xml:space="preserve">Тополя, </w:t>
      </w:r>
      <w:r>
        <w:rPr>
          <w:color w:val="231F20"/>
          <w:sz w:val="16"/>
        </w:rPr>
        <w:t xml:space="preserve">Олена </w:t>
      </w:r>
      <w:r>
        <w:rPr>
          <w:color w:val="231F20"/>
          <w:spacing w:val="-5"/>
          <w:sz w:val="16"/>
        </w:rPr>
        <w:t xml:space="preserve">Улютіна, </w:t>
      </w:r>
      <w:r>
        <w:rPr>
          <w:color w:val="231F20"/>
          <w:sz w:val="16"/>
        </w:rPr>
        <w:t xml:space="preserve">Олег </w:t>
      </w:r>
      <w:r>
        <w:rPr>
          <w:color w:val="231F20"/>
          <w:spacing w:val="-3"/>
          <w:sz w:val="16"/>
        </w:rPr>
        <w:t xml:space="preserve">Хамходера, </w:t>
      </w:r>
      <w:r>
        <w:rPr>
          <w:color w:val="231F20"/>
          <w:sz w:val="16"/>
        </w:rPr>
        <w:t xml:space="preserve">Надія </w:t>
      </w:r>
      <w:r>
        <w:rPr>
          <w:color w:val="231F20"/>
          <w:spacing w:val="-3"/>
          <w:sz w:val="16"/>
        </w:rPr>
        <w:t xml:space="preserve">Христинченко, </w:t>
      </w:r>
      <w:r>
        <w:rPr>
          <w:color w:val="231F20"/>
          <w:sz w:val="16"/>
        </w:rPr>
        <w:t>Сергій Циганок, Кате- рина</w:t>
      </w:r>
      <w:r>
        <w:rPr>
          <w:color w:val="231F20"/>
          <w:spacing w:val="-6"/>
          <w:sz w:val="16"/>
        </w:rPr>
        <w:t xml:space="preserve"> </w:t>
      </w:r>
      <w:r>
        <w:rPr>
          <w:color w:val="231F20"/>
          <w:sz w:val="16"/>
        </w:rPr>
        <w:t>Чижмарь,</w:t>
      </w:r>
      <w:r>
        <w:rPr>
          <w:color w:val="231F20"/>
          <w:spacing w:val="-6"/>
          <w:sz w:val="16"/>
        </w:rPr>
        <w:t xml:space="preserve"> </w:t>
      </w:r>
      <w:r>
        <w:rPr>
          <w:color w:val="231F20"/>
          <w:sz w:val="16"/>
        </w:rPr>
        <w:t>Вікторія</w:t>
      </w:r>
      <w:r>
        <w:rPr>
          <w:color w:val="231F20"/>
          <w:spacing w:val="-6"/>
          <w:sz w:val="16"/>
        </w:rPr>
        <w:t xml:space="preserve"> </w:t>
      </w:r>
      <w:r>
        <w:rPr>
          <w:color w:val="231F20"/>
          <w:sz w:val="16"/>
        </w:rPr>
        <w:t>Чорна,</w:t>
      </w:r>
      <w:r>
        <w:rPr>
          <w:color w:val="231F20"/>
          <w:spacing w:val="-6"/>
          <w:sz w:val="16"/>
        </w:rPr>
        <w:t xml:space="preserve"> </w:t>
      </w:r>
      <w:r>
        <w:rPr>
          <w:color w:val="231F20"/>
          <w:sz w:val="16"/>
        </w:rPr>
        <w:t>Анна</w:t>
      </w:r>
      <w:r>
        <w:rPr>
          <w:color w:val="231F20"/>
          <w:spacing w:val="-6"/>
          <w:sz w:val="16"/>
        </w:rPr>
        <w:t xml:space="preserve"> </w:t>
      </w:r>
      <w:r>
        <w:rPr>
          <w:color w:val="231F20"/>
          <w:sz w:val="16"/>
        </w:rPr>
        <w:t>Шарая,</w:t>
      </w:r>
      <w:r>
        <w:rPr>
          <w:color w:val="231F20"/>
          <w:spacing w:val="-6"/>
          <w:sz w:val="16"/>
        </w:rPr>
        <w:t xml:space="preserve"> </w:t>
      </w:r>
      <w:r>
        <w:rPr>
          <w:color w:val="231F20"/>
          <w:sz w:val="16"/>
        </w:rPr>
        <w:t>Шопіна</w:t>
      </w:r>
      <w:r>
        <w:rPr>
          <w:color w:val="231F20"/>
          <w:spacing w:val="-6"/>
          <w:sz w:val="16"/>
        </w:rPr>
        <w:t xml:space="preserve"> </w:t>
      </w:r>
      <w:r>
        <w:rPr>
          <w:color w:val="231F20"/>
          <w:sz w:val="16"/>
        </w:rPr>
        <w:t>І</w:t>
      </w:r>
      <w:r>
        <w:rPr>
          <w:color w:val="231F20"/>
          <w:sz w:val="16"/>
        </w:rPr>
        <w:t>рина,</w:t>
      </w:r>
      <w:r>
        <w:rPr>
          <w:color w:val="231F20"/>
          <w:spacing w:val="-6"/>
          <w:sz w:val="16"/>
        </w:rPr>
        <w:t xml:space="preserve"> </w:t>
      </w:r>
      <w:r>
        <w:rPr>
          <w:color w:val="231F20"/>
          <w:sz w:val="16"/>
        </w:rPr>
        <w:t>Олена</w:t>
      </w:r>
      <w:r>
        <w:rPr>
          <w:color w:val="231F20"/>
          <w:spacing w:val="-6"/>
          <w:sz w:val="16"/>
        </w:rPr>
        <w:t xml:space="preserve"> </w:t>
      </w:r>
      <w:r>
        <w:rPr>
          <w:color w:val="231F20"/>
          <w:sz w:val="16"/>
        </w:rPr>
        <w:t>Яра.</w:t>
      </w:r>
    </w:p>
    <w:p w14:paraId="25136549" w14:textId="77777777" w:rsidR="00DE575E" w:rsidRDefault="002E7560">
      <w:pPr>
        <w:spacing w:before="149"/>
        <w:ind w:left="533"/>
        <w:rPr>
          <w:b/>
          <w:sz w:val="16"/>
        </w:rPr>
      </w:pPr>
      <w:r>
        <w:rPr>
          <w:b/>
          <w:color w:val="231F20"/>
          <w:sz w:val="16"/>
        </w:rPr>
        <w:t>Рецензенти:</w:t>
      </w:r>
    </w:p>
    <w:p w14:paraId="7421695F" w14:textId="77777777" w:rsidR="00DE575E" w:rsidRDefault="002E7560">
      <w:pPr>
        <w:spacing w:before="52" w:line="206" w:lineRule="auto"/>
        <w:ind w:left="250" w:right="411" w:firstLine="283"/>
        <w:jc w:val="both"/>
        <w:rPr>
          <w:sz w:val="16"/>
        </w:rPr>
      </w:pPr>
      <w:r>
        <w:rPr>
          <w:b/>
          <w:color w:val="231F20"/>
          <w:sz w:val="16"/>
        </w:rPr>
        <w:t xml:space="preserve">Олександр Бандурка </w:t>
      </w:r>
      <w:r>
        <w:rPr>
          <w:color w:val="231F20"/>
          <w:sz w:val="16"/>
        </w:rPr>
        <w:t>– доктор юридичних наук, професор, заслужений юрист України, заслужений юрист АР Крим, академік Національної академії правових наук України;</w:t>
      </w:r>
    </w:p>
    <w:p w14:paraId="40D46922" w14:textId="77777777" w:rsidR="00DE575E" w:rsidRDefault="002E7560">
      <w:pPr>
        <w:spacing w:line="155" w:lineRule="exact"/>
        <w:ind w:left="533"/>
        <w:rPr>
          <w:sz w:val="16"/>
        </w:rPr>
      </w:pPr>
      <w:r>
        <w:rPr>
          <w:b/>
          <w:color w:val="231F20"/>
          <w:sz w:val="16"/>
        </w:rPr>
        <w:t xml:space="preserve">Роман Мельник </w:t>
      </w:r>
      <w:r>
        <w:rPr>
          <w:color w:val="231F20"/>
          <w:sz w:val="16"/>
        </w:rPr>
        <w:t xml:space="preserve">– доктор юридичних наук, професор, академік Академії </w:t>
      </w:r>
      <w:r>
        <w:rPr>
          <w:color w:val="231F20"/>
          <w:sz w:val="16"/>
        </w:rPr>
        <w:t>АПН;</w:t>
      </w:r>
    </w:p>
    <w:p w14:paraId="2FD20E80" w14:textId="77777777" w:rsidR="00DE575E" w:rsidRDefault="002E7560">
      <w:pPr>
        <w:spacing w:line="175" w:lineRule="exact"/>
        <w:ind w:left="533"/>
        <w:rPr>
          <w:sz w:val="16"/>
        </w:rPr>
      </w:pPr>
      <w:r>
        <w:rPr>
          <w:b/>
          <w:color w:val="231F20"/>
          <w:sz w:val="16"/>
        </w:rPr>
        <w:t xml:space="preserve">Павло Лютіков </w:t>
      </w:r>
      <w:r>
        <w:rPr>
          <w:color w:val="231F20"/>
          <w:sz w:val="16"/>
        </w:rPr>
        <w:t>– доктор юридичних наук, професор, академік Академії АПН</w:t>
      </w:r>
    </w:p>
    <w:p w14:paraId="2883137A" w14:textId="77777777" w:rsidR="00DE575E" w:rsidRDefault="00DE575E">
      <w:pPr>
        <w:pStyle w:val="BodyText"/>
        <w:spacing w:before="10"/>
        <w:rPr>
          <w:sz w:val="16"/>
        </w:rPr>
      </w:pPr>
    </w:p>
    <w:p w14:paraId="478EF408" w14:textId="77777777" w:rsidR="00DE575E" w:rsidRDefault="00DE575E">
      <w:pPr>
        <w:rPr>
          <w:sz w:val="16"/>
        </w:rPr>
        <w:sectPr w:rsidR="00DE575E">
          <w:pgSz w:w="8510" w:h="12760"/>
          <w:pgMar w:top="1180" w:right="720" w:bottom="280" w:left="600" w:header="720" w:footer="720" w:gutter="0"/>
          <w:cols w:space="720"/>
        </w:sectPr>
      </w:pPr>
    </w:p>
    <w:p w14:paraId="5234A009" w14:textId="77777777" w:rsidR="00DE575E" w:rsidRDefault="00DE575E">
      <w:pPr>
        <w:pStyle w:val="BodyText"/>
        <w:spacing w:before="10"/>
        <w:rPr>
          <w:sz w:val="22"/>
        </w:rPr>
      </w:pPr>
    </w:p>
    <w:p w14:paraId="47EC5DE6" w14:textId="77777777" w:rsidR="00DE575E" w:rsidRDefault="002E7560">
      <w:pPr>
        <w:ind w:left="115"/>
        <w:rPr>
          <w:sz w:val="16"/>
        </w:rPr>
      </w:pPr>
      <w:r>
        <w:rPr>
          <w:color w:val="231F20"/>
          <w:sz w:val="16"/>
        </w:rPr>
        <w:t>А19</w:t>
      </w:r>
    </w:p>
    <w:p w14:paraId="51DB1838" w14:textId="77777777" w:rsidR="00DE575E" w:rsidRDefault="002E7560">
      <w:pPr>
        <w:spacing w:before="121" w:line="206" w:lineRule="auto"/>
        <w:ind w:left="101" w:right="411" w:firstLine="170"/>
        <w:jc w:val="both"/>
        <w:rPr>
          <w:sz w:val="16"/>
        </w:rPr>
      </w:pPr>
      <w:r>
        <w:br w:type="column"/>
      </w:r>
      <w:r>
        <w:rPr>
          <w:b/>
          <w:color w:val="231F20"/>
          <w:sz w:val="16"/>
        </w:rPr>
        <w:lastRenderedPageBreak/>
        <w:t xml:space="preserve">Адміністративне право України. Повний курс </w:t>
      </w:r>
      <w:r>
        <w:rPr>
          <w:color w:val="231F20"/>
          <w:sz w:val="16"/>
        </w:rPr>
        <w:t>: підручник / В. Галунько, П. Діхті- євський, О. Кузьменко та ін. ; за ред. В. Галунька, О. Правоторової. – Видання третє. – Херсон : ОЛДІ-ПЛЮС, 2020. – 584 с.</w:t>
      </w:r>
    </w:p>
    <w:p w14:paraId="5D3D0A1D" w14:textId="77777777" w:rsidR="00DE575E" w:rsidRDefault="002E7560">
      <w:pPr>
        <w:spacing w:before="37"/>
        <w:ind w:left="271"/>
        <w:rPr>
          <w:b/>
          <w:sz w:val="16"/>
        </w:rPr>
      </w:pPr>
      <w:r>
        <w:rPr>
          <w:b/>
          <w:color w:val="231F20"/>
          <w:sz w:val="16"/>
        </w:rPr>
        <w:t>ISВN 978-966-289-367-0</w:t>
      </w:r>
    </w:p>
    <w:p w14:paraId="09B9D859" w14:textId="77777777" w:rsidR="00DE575E" w:rsidRDefault="002E7560">
      <w:pPr>
        <w:spacing w:before="50" w:line="225" w:lineRule="auto"/>
        <w:ind w:left="101" w:right="411" w:firstLine="170"/>
        <w:jc w:val="both"/>
        <w:rPr>
          <w:sz w:val="14"/>
        </w:rPr>
      </w:pPr>
      <w:r>
        <w:rPr>
          <w:color w:val="231F20"/>
          <w:sz w:val="14"/>
        </w:rPr>
        <w:t xml:space="preserve">У підручнику </w:t>
      </w:r>
      <w:r>
        <w:rPr>
          <w:color w:val="231F20"/>
          <w:spacing w:val="-3"/>
          <w:sz w:val="14"/>
        </w:rPr>
        <w:t xml:space="preserve">подано </w:t>
      </w:r>
      <w:r>
        <w:rPr>
          <w:color w:val="231F20"/>
          <w:sz w:val="14"/>
        </w:rPr>
        <w:t xml:space="preserve">повний курс адміністративного права. За основу взято </w:t>
      </w:r>
      <w:r>
        <w:rPr>
          <w:color w:val="231F20"/>
          <w:sz w:val="14"/>
        </w:rPr>
        <w:t xml:space="preserve">теоретичні поло- ження та практику діяльності публічної̈ адміністрації̈, що відповідає </w:t>
      </w:r>
      <w:r>
        <w:rPr>
          <w:color w:val="231F20"/>
          <w:spacing w:val="-3"/>
          <w:sz w:val="14"/>
        </w:rPr>
        <w:t xml:space="preserve">цінностям </w:t>
      </w:r>
      <w:r>
        <w:rPr>
          <w:color w:val="231F20"/>
          <w:spacing w:val="-2"/>
          <w:sz w:val="14"/>
        </w:rPr>
        <w:t xml:space="preserve">людиноцентрист- </w:t>
      </w:r>
      <w:r>
        <w:rPr>
          <w:color w:val="231F20"/>
          <w:sz w:val="14"/>
        </w:rPr>
        <w:t>ської</w:t>
      </w:r>
      <w:r>
        <w:rPr>
          <w:color w:val="231F20"/>
          <w:spacing w:val="-10"/>
          <w:sz w:val="14"/>
        </w:rPr>
        <w:t xml:space="preserve"> </w:t>
      </w:r>
      <w:r>
        <w:rPr>
          <w:color w:val="231F20"/>
          <w:sz w:val="14"/>
        </w:rPr>
        <w:t>теорії</w:t>
      </w:r>
      <w:r>
        <w:rPr>
          <w:color w:val="231F20"/>
          <w:spacing w:val="-10"/>
          <w:sz w:val="14"/>
        </w:rPr>
        <w:t xml:space="preserve"> </w:t>
      </w:r>
      <w:r>
        <w:rPr>
          <w:color w:val="231F20"/>
          <w:sz w:val="14"/>
        </w:rPr>
        <w:t>,</w:t>
      </w:r>
      <w:r>
        <w:rPr>
          <w:color w:val="231F20"/>
          <w:spacing w:val="-10"/>
          <w:sz w:val="14"/>
        </w:rPr>
        <w:t xml:space="preserve"> </w:t>
      </w:r>
      <w:r>
        <w:rPr>
          <w:color w:val="231F20"/>
          <w:sz w:val="14"/>
        </w:rPr>
        <w:t>коли</w:t>
      </w:r>
      <w:r>
        <w:rPr>
          <w:color w:val="231F20"/>
          <w:spacing w:val="-10"/>
          <w:sz w:val="14"/>
        </w:rPr>
        <w:t xml:space="preserve"> </w:t>
      </w:r>
      <w:r>
        <w:rPr>
          <w:color w:val="231F20"/>
          <w:sz w:val="14"/>
        </w:rPr>
        <w:t>публічна</w:t>
      </w:r>
      <w:r>
        <w:rPr>
          <w:color w:val="231F20"/>
          <w:spacing w:val="-10"/>
          <w:sz w:val="14"/>
        </w:rPr>
        <w:t xml:space="preserve"> </w:t>
      </w:r>
      <w:r>
        <w:rPr>
          <w:color w:val="231F20"/>
          <w:sz w:val="14"/>
        </w:rPr>
        <w:t>адміністрація</w:t>
      </w:r>
      <w:r>
        <w:rPr>
          <w:color w:val="231F20"/>
          <w:spacing w:val="-10"/>
          <w:sz w:val="14"/>
        </w:rPr>
        <w:t xml:space="preserve"> </w:t>
      </w:r>
      <w:r>
        <w:rPr>
          <w:color w:val="231F20"/>
          <w:sz w:val="14"/>
        </w:rPr>
        <w:t>має</w:t>
      </w:r>
      <w:r>
        <w:rPr>
          <w:color w:val="231F20"/>
          <w:spacing w:val="-10"/>
          <w:sz w:val="14"/>
        </w:rPr>
        <w:t xml:space="preserve"> </w:t>
      </w:r>
      <w:r>
        <w:rPr>
          <w:color w:val="231F20"/>
          <w:sz w:val="14"/>
        </w:rPr>
        <w:t>якнайповніше</w:t>
      </w:r>
      <w:r>
        <w:rPr>
          <w:color w:val="231F20"/>
          <w:spacing w:val="-10"/>
          <w:sz w:val="14"/>
        </w:rPr>
        <w:t xml:space="preserve"> </w:t>
      </w:r>
      <w:r>
        <w:rPr>
          <w:color w:val="231F20"/>
          <w:sz w:val="14"/>
        </w:rPr>
        <w:t>задовольняти</w:t>
      </w:r>
      <w:r>
        <w:rPr>
          <w:color w:val="231F20"/>
          <w:spacing w:val="-10"/>
          <w:sz w:val="14"/>
        </w:rPr>
        <w:t xml:space="preserve"> </w:t>
      </w:r>
      <w:r>
        <w:rPr>
          <w:color w:val="231F20"/>
          <w:sz w:val="14"/>
        </w:rPr>
        <w:t>права,</w:t>
      </w:r>
      <w:r>
        <w:rPr>
          <w:color w:val="231F20"/>
          <w:spacing w:val="-10"/>
          <w:sz w:val="14"/>
        </w:rPr>
        <w:t xml:space="preserve"> </w:t>
      </w:r>
      <w:r>
        <w:rPr>
          <w:color w:val="231F20"/>
          <w:spacing w:val="-3"/>
          <w:sz w:val="14"/>
        </w:rPr>
        <w:t>свободи</w:t>
      </w:r>
      <w:r>
        <w:rPr>
          <w:color w:val="231F20"/>
          <w:spacing w:val="-10"/>
          <w:sz w:val="14"/>
        </w:rPr>
        <w:t xml:space="preserve"> </w:t>
      </w:r>
      <w:r>
        <w:rPr>
          <w:color w:val="231F20"/>
          <w:sz w:val="14"/>
        </w:rPr>
        <w:t>й</w:t>
      </w:r>
      <w:r>
        <w:rPr>
          <w:color w:val="231F20"/>
          <w:spacing w:val="-10"/>
          <w:sz w:val="14"/>
        </w:rPr>
        <w:t xml:space="preserve"> </w:t>
      </w:r>
      <w:r>
        <w:rPr>
          <w:color w:val="231F20"/>
          <w:spacing w:val="-3"/>
          <w:sz w:val="14"/>
        </w:rPr>
        <w:t xml:space="preserve">законні </w:t>
      </w:r>
      <w:r>
        <w:rPr>
          <w:color w:val="231F20"/>
          <w:sz w:val="14"/>
        </w:rPr>
        <w:t>інтереси приватних осіб відповідно до цінност</w:t>
      </w:r>
      <w:r>
        <w:rPr>
          <w:color w:val="231F20"/>
          <w:sz w:val="14"/>
        </w:rPr>
        <w:t>ей</w:t>
      </w:r>
      <w:r>
        <w:rPr>
          <w:color w:val="231F20"/>
          <w:spacing w:val="-22"/>
          <w:sz w:val="14"/>
        </w:rPr>
        <w:t xml:space="preserve"> </w:t>
      </w:r>
      <w:r>
        <w:rPr>
          <w:color w:val="231F20"/>
          <w:sz w:val="14"/>
        </w:rPr>
        <w:t>ЄС.</w:t>
      </w:r>
    </w:p>
    <w:p w14:paraId="39AD91B1" w14:textId="77777777" w:rsidR="00DE575E" w:rsidRDefault="002E7560">
      <w:pPr>
        <w:spacing w:line="225" w:lineRule="auto"/>
        <w:ind w:left="101" w:right="411" w:firstLine="170"/>
        <w:jc w:val="both"/>
        <w:rPr>
          <w:sz w:val="14"/>
        </w:rPr>
      </w:pPr>
      <w:r>
        <w:rPr>
          <w:color w:val="231F20"/>
          <w:sz w:val="14"/>
        </w:rPr>
        <w:t xml:space="preserve">Підручник може бути використано </w:t>
      </w:r>
      <w:r>
        <w:rPr>
          <w:color w:val="231F20"/>
          <w:spacing w:val="-3"/>
          <w:sz w:val="14"/>
        </w:rPr>
        <w:t xml:space="preserve">студентами </w:t>
      </w:r>
      <w:r>
        <w:rPr>
          <w:color w:val="231F20"/>
          <w:sz w:val="14"/>
        </w:rPr>
        <w:t xml:space="preserve">в освітньому процесі, аспірантами, </w:t>
      </w:r>
      <w:r>
        <w:rPr>
          <w:color w:val="231F20"/>
          <w:spacing w:val="-3"/>
          <w:sz w:val="14"/>
        </w:rPr>
        <w:t xml:space="preserve">викладачами </w:t>
      </w:r>
      <w:r>
        <w:rPr>
          <w:color w:val="231F20"/>
          <w:sz w:val="14"/>
        </w:rPr>
        <w:t xml:space="preserve">навчальних закладів, </w:t>
      </w:r>
      <w:r>
        <w:rPr>
          <w:color w:val="231F20"/>
          <w:spacing w:val="-3"/>
          <w:sz w:val="14"/>
        </w:rPr>
        <w:t xml:space="preserve">науковцями, </w:t>
      </w:r>
      <w:r>
        <w:rPr>
          <w:color w:val="231F20"/>
          <w:sz w:val="14"/>
        </w:rPr>
        <w:t xml:space="preserve">членами уряду </w:t>
      </w:r>
      <w:r>
        <w:rPr>
          <w:color w:val="231F20"/>
          <w:spacing w:val="-3"/>
          <w:sz w:val="14"/>
        </w:rPr>
        <w:t xml:space="preserve">України </w:t>
      </w:r>
      <w:r>
        <w:rPr>
          <w:color w:val="231F20"/>
          <w:sz w:val="14"/>
        </w:rPr>
        <w:t xml:space="preserve">та іншими посадовими особами орга- нів публічної влади, </w:t>
      </w:r>
      <w:r>
        <w:rPr>
          <w:color w:val="231F20"/>
          <w:spacing w:val="-3"/>
          <w:sz w:val="14"/>
        </w:rPr>
        <w:t xml:space="preserve">народними </w:t>
      </w:r>
      <w:r>
        <w:rPr>
          <w:color w:val="231F20"/>
          <w:sz w:val="14"/>
        </w:rPr>
        <w:t xml:space="preserve">депутатами, апаратом </w:t>
      </w:r>
      <w:r>
        <w:rPr>
          <w:color w:val="231F20"/>
          <w:spacing w:val="-6"/>
          <w:sz w:val="14"/>
        </w:rPr>
        <w:t xml:space="preserve">суду, </w:t>
      </w:r>
      <w:r>
        <w:rPr>
          <w:color w:val="231F20"/>
          <w:sz w:val="14"/>
        </w:rPr>
        <w:t>активістами</w:t>
      </w:r>
      <w:r>
        <w:rPr>
          <w:color w:val="231F20"/>
          <w:sz w:val="14"/>
        </w:rPr>
        <w:t xml:space="preserve"> громадських </w:t>
      </w:r>
      <w:r>
        <w:rPr>
          <w:color w:val="231F20"/>
          <w:spacing w:val="-4"/>
          <w:sz w:val="14"/>
        </w:rPr>
        <w:t xml:space="preserve">об’єднань, </w:t>
      </w:r>
      <w:r>
        <w:rPr>
          <w:color w:val="231F20"/>
          <w:sz w:val="14"/>
        </w:rPr>
        <w:t xml:space="preserve">а також </w:t>
      </w:r>
      <w:r>
        <w:rPr>
          <w:color w:val="231F20"/>
          <w:spacing w:val="-3"/>
          <w:sz w:val="14"/>
        </w:rPr>
        <w:t xml:space="preserve">усіма, </w:t>
      </w:r>
      <w:r>
        <w:rPr>
          <w:color w:val="231F20"/>
          <w:sz w:val="14"/>
        </w:rPr>
        <w:t>хто цікавиться адміністративним правом.</w:t>
      </w:r>
    </w:p>
    <w:p w14:paraId="52BB1874" w14:textId="77777777" w:rsidR="00DE575E" w:rsidRDefault="002E7560">
      <w:pPr>
        <w:spacing w:line="225" w:lineRule="auto"/>
        <w:ind w:left="101" w:right="410" w:firstLine="170"/>
        <w:jc w:val="both"/>
        <w:rPr>
          <w:sz w:val="14"/>
        </w:rPr>
      </w:pPr>
      <w:r>
        <w:rPr>
          <w:color w:val="231F20"/>
          <w:sz w:val="14"/>
        </w:rPr>
        <w:t xml:space="preserve">Підручник стане в </w:t>
      </w:r>
      <w:r>
        <w:rPr>
          <w:color w:val="231F20"/>
          <w:spacing w:val="-3"/>
          <w:sz w:val="14"/>
        </w:rPr>
        <w:t xml:space="preserve">нагоді </w:t>
      </w:r>
      <w:r>
        <w:rPr>
          <w:color w:val="231F20"/>
          <w:sz w:val="14"/>
        </w:rPr>
        <w:t xml:space="preserve">під час підготовки до вступних випробувань і під час вступу на </w:t>
      </w:r>
      <w:r>
        <w:rPr>
          <w:color w:val="231F20"/>
          <w:spacing w:val="-2"/>
          <w:sz w:val="14"/>
        </w:rPr>
        <w:t xml:space="preserve">основі </w:t>
      </w:r>
      <w:r>
        <w:rPr>
          <w:color w:val="231F20"/>
          <w:sz w:val="14"/>
        </w:rPr>
        <w:t>ступеня бакалавра на навчання для здобуття ступеня магістра за спеціальністю 081 «Право», а також</w:t>
      </w:r>
      <w:r>
        <w:rPr>
          <w:color w:val="231F20"/>
          <w:spacing w:val="-13"/>
          <w:sz w:val="14"/>
        </w:rPr>
        <w:t xml:space="preserve"> </w:t>
      </w:r>
      <w:r>
        <w:rPr>
          <w:color w:val="231F20"/>
          <w:sz w:val="14"/>
        </w:rPr>
        <w:t>у</w:t>
      </w:r>
      <w:r>
        <w:rPr>
          <w:color w:val="231F20"/>
          <w:spacing w:val="-13"/>
          <w:sz w:val="14"/>
        </w:rPr>
        <w:t xml:space="preserve"> </w:t>
      </w:r>
      <w:r>
        <w:rPr>
          <w:color w:val="231F20"/>
          <w:sz w:val="14"/>
        </w:rPr>
        <w:t>підготовці</w:t>
      </w:r>
      <w:r>
        <w:rPr>
          <w:color w:val="231F20"/>
          <w:spacing w:val="-13"/>
          <w:sz w:val="14"/>
        </w:rPr>
        <w:t xml:space="preserve"> </w:t>
      </w:r>
      <w:r>
        <w:rPr>
          <w:color w:val="231F20"/>
          <w:sz w:val="14"/>
        </w:rPr>
        <w:t>до</w:t>
      </w:r>
      <w:r>
        <w:rPr>
          <w:color w:val="231F20"/>
          <w:spacing w:val="-13"/>
          <w:sz w:val="14"/>
        </w:rPr>
        <w:t xml:space="preserve"> </w:t>
      </w:r>
      <w:r>
        <w:rPr>
          <w:color w:val="231F20"/>
          <w:sz w:val="14"/>
        </w:rPr>
        <w:t>відповідних</w:t>
      </w:r>
      <w:r>
        <w:rPr>
          <w:color w:val="231F20"/>
          <w:spacing w:val="-13"/>
          <w:sz w:val="14"/>
        </w:rPr>
        <w:t xml:space="preserve"> </w:t>
      </w:r>
      <w:r>
        <w:rPr>
          <w:color w:val="231F20"/>
          <w:sz w:val="14"/>
        </w:rPr>
        <w:t>кваліфікаційних</w:t>
      </w:r>
      <w:r>
        <w:rPr>
          <w:color w:val="231F20"/>
          <w:spacing w:val="-13"/>
          <w:sz w:val="14"/>
        </w:rPr>
        <w:t xml:space="preserve"> </w:t>
      </w:r>
      <w:r>
        <w:rPr>
          <w:color w:val="231F20"/>
          <w:sz w:val="14"/>
        </w:rPr>
        <w:t>іспитів</w:t>
      </w:r>
      <w:r>
        <w:rPr>
          <w:color w:val="231F20"/>
          <w:spacing w:val="-13"/>
          <w:sz w:val="14"/>
        </w:rPr>
        <w:t xml:space="preserve"> </w:t>
      </w:r>
      <w:r>
        <w:rPr>
          <w:color w:val="231F20"/>
          <w:sz w:val="14"/>
        </w:rPr>
        <w:t>кандидатів</w:t>
      </w:r>
      <w:r>
        <w:rPr>
          <w:color w:val="231F20"/>
          <w:spacing w:val="-13"/>
          <w:sz w:val="14"/>
        </w:rPr>
        <w:t xml:space="preserve"> </w:t>
      </w:r>
      <w:r>
        <w:rPr>
          <w:color w:val="231F20"/>
          <w:sz w:val="14"/>
        </w:rPr>
        <w:t>на</w:t>
      </w:r>
      <w:r>
        <w:rPr>
          <w:color w:val="231F20"/>
          <w:spacing w:val="-13"/>
          <w:sz w:val="14"/>
        </w:rPr>
        <w:t xml:space="preserve"> </w:t>
      </w:r>
      <w:r>
        <w:rPr>
          <w:color w:val="231F20"/>
          <w:sz w:val="14"/>
        </w:rPr>
        <w:t>посади</w:t>
      </w:r>
      <w:r>
        <w:rPr>
          <w:color w:val="231F20"/>
          <w:spacing w:val="-13"/>
          <w:sz w:val="14"/>
        </w:rPr>
        <w:t xml:space="preserve"> </w:t>
      </w:r>
      <w:r>
        <w:rPr>
          <w:color w:val="231F20"/>
          <w:spacing w:val="-3"/>
          <w:sz w:val="14"/>
        </w:rPr>
        <w:t>суддів,</w:t>
      </w:r>
      <w:r>
        <w:rPr>
          <w:color w:val="231F20"/>
          <w:spacing w:val="-13"/>
          <w:sz w:val="14"/>
        </w:rPr>
        <w:t xml:space="preserve"> </w:t>
      </w:r>
      <w:r>
        <w:rPr>
          <w:color w:val="231F20"/>
          <w:sz w:val="14"/>
        </w:rPr>
        <w:t>прокурорів, на</w:t>
      </w:r>
      <w:r>
        <w:rPr>
          <w:color w:val="231F20"/>
          <w:spacing w:val="-4"/>
          <w:sz w:val="14"/>
        </w:rPr>
        <w:t xml:space="preserve"> </w:t>
      </w:r>
      <w:r>
        <w:rPr>
          <w:color w:val="231F20"/>
          <w:sz w:val="14"/>
        </w:rPr>
        <w:t>здобуття</w:t>
      </w:r>
      <w:r>
        <w:rPr>
          <w:color w:val="231F20"/>
          <w:spacing w:val="-4"/>
          <w:sz w:val="14"/>
        </w:rPr>
        <w:t xml:space="preserve"> </w:t>
      </w:r>
      <w:r>
        <w:rPr>
          <w:color w:val="231F20"/>
          <w:sz w:val="14"/>
        </w:rPr>
        <w:t>свідоцтва</w:t>
      </w:r>
      <w:r>
        <w:rPr>
          <w:color w:val="231F20"/>
          <w:spacing w:val="-4"/>
          <w:sz w:val="14"/>
        </w:rPr>
        <w:t xml:space="preserve"> </w:t>
      </w:r>
      <w:r>
        <w:rPr>
          <w:color w:val="231F20"/>
          <w:sz w:val="14"/>
        </w:rPr>
        <w:t>про</w:t>
      </w:r>
      <w:r>
        <w:rPr>
          <w:color w:val="231F20"/>
          <w:spacing w:val="-4"/>
          <w:sz w:val="14"/>
        </w:rPr>
        <w:t xml:space="preserve"> </w:t>
      </w:r>
      <w:r>
        <w:rPr>
          <w:color w:val="231F20"/>
          <w:sz w:val="14"/>
        </w:rPr>
        <w:t>право</w:t>
      </w:r>
      <w:r>
        <w:rPr>
          <w:color w:val="231F20"/>
          <w:spacing w:val="-4"/>
          <w:sz w:val="14"/>
        </w:rPr>
        <w:t xml:space="preserve"> </w:t>
      </w:r>
      <w:r>
        <w:rPr>
          <w:color w:val="231F20"/>
          <w:sz w:val="14"/>
        </w:rPr>
        <w:t>на</w:t>
      </w:r>
      <w:r>
        <w:rPr>
          <w:color w:val="231F20"/>
          <w:spacing w:val="-4"/>
          <w:sz w:val="14"/>
        </w:rPr>
        <w:t xml:space="preserve"> </w:t>
      </w:r>
      <w:r>
        <w:rPr>
          <w:color w:val="231F20"/>
          <w:sz w:val="14"/>
        </w:rPr>
        <w:t>адвокатську</w:t>
      </w:r>
      <w:r>
        <w:rPr>
          <w:color w:val="231F20"/>
          <w:spacing w:val="-4"/>
          <w:sz w:val="14"/>
        </w:rPr>
        <w:t xml:space="preserve"> </w:t>
      </w:r>
      <w:r>
        <w:rPr>
          <w:color w:val="231F20"/>
          <w:sz w:val="14"/>
        </w:rPr>
        <w:t>діяльність.</w:t>
      </w:r>
    </w:p>
    <w:p w14:paraId="6EA5FC38" w14:textId="77777777" w:rsidR="00DE575E" w:rsidRDefault="00DE575E">
      <w:pPr>
        <w:pStyle w:val="BodyText"/>
        <w:spacing w:before="6"/>
      </w:pPr>
    </w:p>
    <w:p w14:paraId="70C9E7A0" w14:textId="77777777" w:rsidR="00DE575E" w:rsidRDefault="002E7560">
      <w:pPr>
        <w:spacing w:before="1"/>
        <w:ind w:right="411"/>
        <w:jc w:val="right"/>
        <w:rPr>
          <w:sz w:val="14"/>
        </w:rPr>
      </w:pPr>
      <w:r>
        <w:rPr>
          <w:color w:val="231F20"/>
          <w:sz w:val="14"/>
        </w:rPr>
        <w:t>УДК 3</w:t>
      </w:r>
      <w:r>
        <w:rPr>
          <w:color w:val="231F20"/>
          <w:sz w:val="14"/>
        </w:rPr>
        <w:t>42.951:351.813(477)</w:t>
      </w:r>
    </w:p>
    <w:p w14:paraId="0CC7EBED" w14:textId="77777777" w:rsidR="00DE575E" w:rsidRDefault="00DE575E">
      <w:pPr>
        <w:jc w:val="right"/>
        <w:rPr>
          <w:sz w:val="14"/>
        </w:rPr>
        <w:sectPr w:rsidR="00DE575E">
          <w:type w:val="continuous"/>
          <w:pgSz w:w="8510" w:h="12760"/>
          <w:pgMar w:top="1180" w:right="720" w:bottom="280" w:left="600" w:header="720" w:footer="720" w:gutter="0"/>
          <w:cols w:num="2" w:space="720" w:equalWidth="0">
            <w:col w:w="393" w:space="40"/>
            <w:col w:w="6757"/>
          </w:cols>
        </w:sectPr>
      </w:pPr>
    </w:p>
    <w:p w14:paraId="6CB28DE1" w14:textId="77777777" w:rsidR="00DE575E" w:rsidRDefault="00DE575E">
      <w:pPr>
        <w:pStyle w:val="BodyText"/>
        <w:spacing w:before="6"/>
        <w:rPr>
          <w:sz w:val="8"/>
        </w:rPr>
      </w:pPr>
    </w:p>
    <w:p w14:paraId="18F9E614" w14:textId="77777777" w:rsidR="00DE575E" w:rsidRDefault="002E7560">
      <w:pPr>
        <w:spacing w:before="100" w:line="159" w:lineRule="exact"/>
        <w:ind w:right="410"/>
        <w:jc w:val="right"/>
        <w:rPr>
          <w:sz w:val="14"/>
        </w:rPr>
      </w:pPr>
      <w:r>
        <w:rPr>
          <w:color w:val="231F20"/>
          <w:sz w:val="14"/>
        </w:rPr>
        <w:t>© Колектив авторів, 2020</w:t>
      </w:r>
    </w:p>
    <w:p w14:paraId="45FC5220" w14:textId="77777777" w:rsidR="00DE575E" w:rsidRDefault="002E7560">
      <w:pPr>
        <w:tabs>
          <w:tab w:val="left" w:pos="5556"/>
        </w:tabs>
        <w:spacing w:line="159" w:lineRule="exact"/>
        <w:ind w:right="413"/>
        <w:jc w:val="right"/>
        <w:rPr>
          <w:sz w:val="14"/>
        </w:rPr>
      </w:pPr>
      <w:r>
        <w:rPr>
          <w:color w:val="231F20"/>
          <w:sz w:val="14"/>
        </w:rPr>
        <w:t>ISBN</w:t>
      </w:r>
      <w:r>
        <w:rPr>
          <w:color w:val="231F20"/>
          <w:spacing w:val="-2"/>
          <w:sz w:val="14"/>
        </w:rPr>
        <w:t xml:space="preserve"> </w:t>
      </w:r>
      <w:r>
        <w:rPr>
          <w:color w:val="231F20"/>
          <w:sz w:val="14"/>
        </w:rPr>
        <w:t>978-966-289-367-0</w:t>
      </w:r>
      <w:r>
        <w:rPr>
          <w:color w:val="231F20"/>
          <w:sz w:val="14"/>
        </w:rPr>
        <w:tab/>
        <w:t>© НДІПП, 2020</w:t>
      </w:r>
    </w:p>
    <w:p w14:paraId="7BE76CB0" w14:textId="77777777" w:rsidR="00DE575E" w:rsidRDefault="00DE575E">
      <w:pPr>
        <w:spacing w:line="159" w:lineRule="exact"/>
        <w:jc w:val="right"/>
        <w:rPr>
          <w:sz w:val="14"/>
        </w:rPr>
        <w:sectPr w:rsidR="00DE575E">
          <w:type w:val="continuous"/>
          <w:pgSz w:w="8510" w:h="12760"/>
          <w:pgMar w:top="1180" w:right="720" w:bottom="280" w:left="600" w:header="720" w:footer="720" w:gutter="0"/>
          <w:cols w:space="720"/>
        </w:sectPr>
      </w:pPr>
    </w:p>
    <w:p w14:paraId="78419EAF" w14:textId="77777777" w:rsidR="00DE575E" w:rsidRDefault="00DE575E">
      <w:pPr>
        <w:pStyle w:val="BodyText"/>
        <w:spacing w:before="7"/>
        <w:rPr>
          <w:sz w:val="16"/>
        </w:rPr>
      </w:pPr>
    </w:p>
    <w:p w14:paraId="08719E6E" w14:textId="77777777" w:rsidR="00DE575E" w:rsidRDefault="002E7560">
      <w:pPr>
        <w:spacing w:before="1" w:line="232" w:lineRule="auto"/>
        <w:ind w:left="987" w:right="4235" w:hanging="454"/>
        <w:rPr>
          <w:sz w:val="18"/>
        </w:rPr>
      </w:pPr>
      <w:r>
        <w:rPr>
          <w:color w:val="231F20"/>
          <w:sz w:val="18"/>
        </w:rPr>
        <w:t>UDC 342.951:351.813(477) А19</w:t>
      </w:r>
    </w:p>
    <w:p w14:paraId="09D7A95F" w14:textId="77777777" w:rsidR="00DE575E" w:rsidRDefault="00DE575E">
      <w:pPr>
        <w:pStyle w:val="BodyText"/>
        <w:rPr>
          <w:sz w:val="20"/>
        </w:rPr>
      </w:pPr>
    </w:p>
    <w:p w14:paraId="318958F6" w14:textId="77777777" w:rsidR="00DE575E" w:rsidRDefault="00DE575E">
      <w:pPr>
        <w:pStyle w:val="BodyText"/>
        <w:rPr>
          <w:sz w:val="20"/>
        </w:rPr>
      </w:pPr>
    </w:p>
    <w:p w14:paraId="7D2698B9" w14:textId="77777777" w:rsidR="00DE575E" w:rsidRDefault="002E7560">
      <w:pPr>
        <w:spacing w:before="142" w:line="232" w:lineRule="auto"/>
        <w:ind w:left="1348" w:right="658"/>
        <w:jc w:val="center"/>
        <w:rPr>
          <w:sz w:val="18"/>
        </w:rPr>
      </w:pPr>
      <w:r>
        <w:rPr>
          <w:color w:val="231F20"/>
          <w:sz w:val="18"/>
        </w:rPr>
        <w:t>Recommended for publishing by Academy of Administrative Law (Protocol № 1 of March 17,2020)</w:t>
      </w:r>
    </w:p>
    <w:p w14:paraId="4CBDFCB9" w14:textId="77777777" w:rsidR="00DE575E" w:rsidRDefault="002E7560">
      <w:pPr>
        <w:spacing w:before="56" w:line="232" w:lineRule="auto"/>
        <w:ind w:left="1348" w:right="658"/>
        <w:jc w:val="center"/>
        <w:rPr>
          <w:sz w:val="18"/>
        </w:rPr>
      </w:pPr>
      <w:r>
        <w:rPr>
          <w:color w:val="231F20"/>
          <w:sz w:val="18"/>
        </w:rPr>
        <w:t>by Academic Council of the Scientific Institute of Public Law (Protocol № 3 of 18 March,2020)</w:t>
      </w:r>
    </w:p>
    <w:p w14:paraId="2F952770" w14:textId="77777777" w:rsidR="00DE575E" w:rsidRDefault="00DE575E">
      <w:pPr>
        <w:pStyle w:val="BodyText"/>
        <w:rPr>
          <w:sz w:val="20"/>
        </w:rPr>
      </w:pPr>
    </w:p>
    <w:p w14:paraId="0816D28D" w14:textId="77777777" w:rsidR="00DE575E" w:rsidRDefault="002E7560">
      <w:pPr>
        <w:spacing w:before="168" w:line="208" w:lineRule="exact"/>
        <w:ind w:left="817"/>
        <w:rPr>
          <w:b/>
          <w:sz w:val="18"/>
        </w:rPr>
      </w:pPr>
      <w:r>
        <w:rPr>
          <w:b/>
          <w:color w:val="231F20"/>
          <w:sz w:val="18"/>
        </w:rPr>
        <w:t>The Authors Team:</w:t>
      </w:r>
    </w:p>
    <w:p w14:paraId="6E981D0C" w14:textId="77777777" w:rsidR="00DE575E" w:rsidRDefault="002E7560">
      <w:pPr>
        <w:spacing w:line="208" w:lineRule="exact"/>
        <w:ind w:left="817"/>
        <w:rPr>
          <w:sz w:val="18"/>
        </w:rPr>
      </w:pPr>
      <w:r>
        <w:rPr>
          <w:color w:val="231F20"/>
          <w:sz w:val="18"/>
        </w:rPr>
        <w:t>Valentyn Halunko, Tetiana Kolomoiets, Oksana Kuzmenko et al.</w:t>
      </w:r>
    </w:p>
    <w:p w14:paraId="5C9F4D8B" w14:textId="77777777" w:rsidR="00DE575E" w:rsidRDefault="00DE575E">
      <w:pPr>
        <w:pStyle w:val="BodyText"/>
        <w:rPr>
          <w:sz w:val="20"/>
        </w:rPr>
      </w:pPr>
    </w:p>
    <w:p w14:paraId="666EB4D2" w14:textId="77777777" w:rsidR="00DE575E" w:rsidRDefault="002E7560">
      <w:pPr>
        <w:spacing w:before="167"/>
        <w:ind w:left="817"/>
        <w:rPr>
          <w:b/>
          <w:sz w:val="18"/>
        </w:rPr>
      </w:pPr>
      <w:r>
        <w:rPr>
          <w:b/>
          <w:color w:val="231F20"/>
          <w:sz w:val="18"/>
        </w:rPr>
        <w:t>Reviewers:</w:t>
      </w:r>
    </w:p>
    <w:p w14:paraId="401BC8A3" w14:textId="77777777" w:rsidR="00DE575E" w:rsidRDefault="002E7560">
      <w:pPr>
        <w:spacing w:before="55" w:line="232" w:lineRule="auto"/>
        <w:ind w:left="533" w:right="125" w:firstLine="283"/>
        <w:jc w:val="both"/>
        <w:rPr>
          <w:sz w:val="18"/>
        </w:rPr>
      </w:pPr>
      <w:r>
        <w:rPr>
          <w:b/>
          <w:color w:val="231F20"/>
          <w:sz w:val="18"/>
        </w:rPr>
        <w:t xml:space="preserve">Oleksandr Bandurka </w:t>
      </w:r>
      <w:r>
        <w:rPr>
          <w:color w:val="231F20"/>
          <w:sz w:val="18"/>
        </w:rPr>
        <w:t>– Doctor of Law, Professor, Merited Lawyer of Ukraine, Merited Lawyer of the Autonomous Republic of Crimea, Academician of National Academy of Legal Sciences of Ukraine;</w:t>
      </w:r>
    </w:p>
    <w:p w14:paraId="04ECE1B8" w14:textId="77777777" w:rsidR="00DE575E" w:rsidRDefault="002E7560">
      <w:pPr>
        <w:spacing w:line="232" w:lineRule="auto"/>
        <w:ind w:left="533" w:firstLine="283"/>
        <w:rPr>
          <w:sz w:val="18"/>
        </w:rPr>
      </w:pPr>
      <w:r>
        <w:rPr>
          <w:b/>
          <w:color w:val="231F20"/>
          <w:sz w:val="18"/>
        </w:rPr>
        <w:t xml:space="preserve">Roman Melnyk </w:t>
      </w:r>
      <w:r>
        <w:rPr>
          <w:color w:val="231F20"/>
          <w:sz w:val="18"/>
        </w:rPr>
        <w:t>– Doctor of Law, Professor, Academician of National Academy of Legal Scie</w:t>
      </w:r>
      <w:r>
        <w:rPr>
          <w:color w:val="231F20"/>
          <w:sz w:val="18"/>
        </w:rPr>
        <w:t>nces;</w:t>
      </w:r>
    </w:p>
    <w:p w14:paraId="0E9C14C8" w14:textId="77777777" w:rsidR="00DE575E" w:rsidRDefault="002E7560">
      <w:pPr>
        <w:spacing w:line="232" w:lineRule="auto"/>
        <w:ind w:left="533" w:firstLine="283"/>
        <w:rPr>
          <w:sz w:val="18"/>
        </w:rPr>
      </w:pPr>
      <w:r>
        <w:rPr>
          <w:b/>
          <w:color w:val="231F20"/>
          <w:sz w:val="18"/>
        </w:rPr>
        <w:t xml:space="preserve">Pavlo Liutikov </w:t>
      </w:r>
      <w:r>
        <w:rPr>
          <w:color w:val="231F20"/>
          <w:sz w:val="18"/>
        </w:rPr>
        <w:t>– Doctor of Law, Professor, Academician of National Academy of Legal Sciences.</w:t>
      </w:r>
    </w:p>
    <w:p w14:paraId="14D5F455" w14:textId="77777777" w:rsidR="00DE575E" w:rsidRDefault="00DE575E">
      <w:pPr>
        <w:pStyle w:val="BodyText"/>
        <w:rPr>
          <w:sz w:val="20"/>
        </w:rPr>
      </w:pPr>
    </w:p>
    <w:p w14:paraId="6F0B12C7" w14:textId="77777777" w:rsidR="00DE575E" w:rsidRDefault="00DE575E">
      <w:pPr>
        <w:pStyle w:val="BodyText"/>
        <w:rPr>
          <w:sz w:val="20"/>
        </w:rPr>
      </w:pPr>
    </w:p>
    <w:p w14:paraId="16DC5B73" w14:textId="77777777" w:rsidR="00DE575E" w:rsidRDefault="00DE575E">
      <w:pPr>
        <w:pStyle w:val="BodyText"/>
        <w:spacing w:before="4"/>
        <w:rPr>
          <w:sz w:val="20"/>
        </w:rPr>
      </w:pPr>
    </w:p>
    <w:p w14:paraId="1EAD07B2" w14:textId="77777777" w:rsidR="00DE575E" w:rsidRDefault="00DE575E">
      <w:pPr>
        <w:rPr>
          <w:sz w:val="20"/>
        </w:rPr>
        <w:sectPr w:rsidR="00DE575E">
          <w:pgSz w:w="8510" w:h="12760"/>
          <w:pgMar w:top="1180" w:right="720" w:bottom="280" w:left="600" w:header="720" w:footer="720" w:gutter="0"/>
          <w:cols w:space="720"/>
        </w:sectPr>
      </w:pPr>
    </w:p>
    <w:p w14:paraId="6F0D04FD" w14:textId="77777777" w:rsidR="00DE575E" w:rsidRDefault="00DE575E">
      <w:pPr>
        <w:pStyle w:val="BodyText"/>
        <w:spacing w:before="3"/>
        <w:rPr>
          <w:sz w:val="24"/>
        </w:rPr>
      </w:pPr>
    </w:p>
    <w:p w14:paraId="61854921" w14:textId="77777777" w:rsidR="00DE575E" w:rsidRDefault="002E7560">
      <w:pPr>
        <w:spacing w:before="1"/>
        <w:ind w:left="440"/>
        <w:rPr>
          <w:sz w:val="18"/>
        </w:rPr>
      </w:pPr>
      <w:r>
        <w:rPr>
          <w:color w:val="231F20"/>
          <w:sz w:val="18"/>
        </w:rPr>
        <w:t>А19</w:t>
      </w:r>
    </w:p>
    <w:p w14:paraId="5153747E" w14:textId="77777777" w:rsidR="00DE575E" w:rsidRDefault="002E7560">
      <w:pPr>
        <w:spacing w:before="100" w:line="208" w:lineRule="exact"/>
        <w:ind w:left="365"/>
        <w:rPr>
          <w:sz w:val="18"/>
        </w:rPr>
      </w:pPr>
      <w:r>
        <w:br w:type="column"/>
      </w:r>
      <w:r>
        <w:rPr>
          <w:b/>
          <w:color w:val="231F20"/>
          <w:sz w:val="18"/>
        </w:rPr>
        <w:lastRenderedPageBreak/>
        <w:t>Administrative law of Ukraine. Full course</w:t>
      </w:r>
      <w:r>
        <w:rPr>
          <w:color w:val="231F20"/>
          <w:sz w:val="18"/>
        </w:rPr>
        <w:t>: textbook / V. Halunko,</w:t>
      </w:r>
    </w:p>
    <w:p w14:paraId="09A8E922" w14:textId="77777777" w:rsidR="00DE575E" w:rsidRDefault="002E7560">
      <w:pPr>
        <w:spacing w:before="2" w:line="232" w:lineRule="auto"/>
        <w:ind w:left="195"/>
        <w:rPr>
          <w:sz w:val="18"/>
        </w:rPr>
      </w:pPr>
      <w:r>
        <w:rPr>
          <w:color w:val="231F20"/>
          <w:spacing w:val="-12"/>
          <w:sz w:val="18"/>
        </w:rPr>
        <w:t>P.</w:t>
      </w:r>
      <w:r>
        <w:rPr>
          <w:color w:val="231F20"/>
          <w:spacing w:val="-7"/>
          <w:sz w:val="18"/>
        </w:rPr>
        <w:t xml:space="preserve"> </w:t>
      </w:r>
      <w:r>
        <w:rPr>
          <w:color w:val="231F20"/>
          <w:sz w:val="18"/>
        </w:rPr>
        <w:t>Dikhtiievskyi,</w:t>
      </w:r>
      <w:r>
        <w:rPr>
          <w:color w:val="231F20"/>
          <w:spacing w:val="-11"/>
          <w:sz w:val="18"/>
        </w:rPr>
        <w:t xml:space="preserve"> </w:t>
      </w:r>
      <w:r>
        <w:rPr>
          <w:color w:val="231F20"/>
          <w:spacing w:val="-3"/>
          <w:sz w:val="18"/>
        </w:rPr>
        <w:t>O.</w:t>
      </w:r>
      <w:r>
        <w:rPr>
          <w:color w:val="231F20"/>
          <w:spacing w:val="-7"/>
          <w:sz w:val="18"/>
        </w:rPr>
        <w:t xml:space="preserve"> </w:t>
      </w:r>
      <w:r>
        <w:rPr>
          <w:color w:val="231F20"/>
          <w:sz w:val="18"/>
        </w:rPr>
        <w:t>Kuzmenko</w:t>
      </w:r>
      <w:r>
        <w:rPr>
          <w:color w:val="231F20"/>
          <w:spacing w:val="-11"/>
          <w:sz w:val="18"/>
        </w:rPr>
        <w:t xml:space="preserve"> </w:t>
      </w:r>
      <w:r>
        <w:rPr>
          <w:color w:val="231F20"/>
          <w:sz w:val="18"/>
        </w:rPr>
        <w:t>et</w:t>
      </w:r>
      <w:r>
        <w:rPr>
          <w:color w:val="231F20"/>
          <w:spacing w:val="-11"/>
          <w:sz w:val="18"/>
        </w:rPr>
        <w:t xml:space="preserve"> </w:t>
      </w:r>
      <w:r>
        <w:rPr>
          <w:color w:val="231F20"/>
          <w:sz w:val="18"/>
        </w:rPr>
        <w:t>al.</w:t>
      </w:r>
      <w:r>
        <w:rPr>
          <w:color w:val="231F20"/>
          <w:spacing w:val="-11"/>
          <w:sz w:val="18"/>
        </w:rPr>
        <w:t xml:space="preserve"> </w:t>
      </w:r>
      <w:r>
        <w:rPr>
          <w:color w:val="231F20"/>
          <w:sz w:val="18"/>
        </w:rPr>
        <w:t>;</w:t>
      </w:r>
      <w:r>
        <w:rPr>
          <w:color w:val="231F20"/>
          <w:spacing w:val="-11"/>
          <w:sz w:val="18"/>
        </w:rPr>
        <w:t xml:space="preserve"> </w:t>
      </w:r>
      <w:r>
        <w:rPr>
          <w:color w:val="231F20"/>
          <w:sz w:val="18"/>
        </w:rPr>
        <w:t>in</w:t>
      </w:r>
      <w:r>
        <w:rPr>
          <w:color w:val="231F20"/>
          <w:spacing w:val="-11"/>
          <w:sz w:val="18"/>
        </w:rPr>
        <w:t xml:space="preserve"> </w:t>
      </w:r>
      <w:r>
        <w:rPr>
          <w:color w:val="231F20"/>
          <w:sz w:val="18"/>
        </w:rPr>
        <w:t>a</w:t>
      </w:r>
      <w:r>
        <w:rPr>
          <w:color w:val="231F20"/>
          <w:spacing w:val="-11"/>
          <w:sz w:val="18"/>
        </w:rPr>
        <w:t xml:space="preserve"> </w:t>
      </w:r>
      <w:r>
        <w:rPr>
          <w:color w:val="231F20"/>
          <w:spacing w:val="-5"/>
          <w:sz w:val="18"/>
        </w:rPr>
        <w:t>row.</w:t>
      </w:r>
      <w:r>
        <w:rPr>
          <w:color w:val="231F20"/>
          <w:spacing w:val="-11"/>
          <w:sz w:val="18"/>
        </w:rPr>
        <w:t xml:space="preserve"> </w:t>
      </w:r>
      <w:r>
        <w:rPr>
          <w:color w:val="231F20"/>
          <w:spacing w:val="-10"/>
          <w:sz w:val="18"/>
        </w:rPr>
        <w:t>V.</w:t>
      </w:r>
      <w:r>
        <w:rPr>
          <w:color w:val="231F20"/>
          <w:spacing w:val="-7"/>
          <w:sz w:val="18"/>
        </w:rPr>
        <w:t xml:space="preserve"> </w:t>
      </w:r>
      <w:r>
        <w:rPr>
          <w:color w:val="231F20"/>
          <w:sz w:val="18"/>
        </w:rPr>
        <w:t>Halunka,</w:t>
      </w:r>
      <w:r>
        <w:rPr>
          <w:color w:val="231F20"/>
          <w:spacing w:val="-11"/>
          <w:sz w:val="18"/>
        </w:rPr>
        <w:t xml:space="preserve"> </w:t>
      </w:r>
      <w:r>
        <w:rPr>
          <w:color w:val="231F20"/>
          <w:spacing w:val="-3"/>
          <w:sz w:val="18"/>
        </w:rPr>
        <w:t>O.</w:t>
      </w:r>
      <w:r>
        <w:rPr>
          <w:color w:val="231F20"/>
          <w:spacing w:val="-7"/>
          <w:sz w:val="18"/>
        </w:rPr>
        <w:t xml:space="preserve"> </w:t>
      </w:r>
      <w:r>
        <w:rPr>
          <w:color w:val="231F20"/>
          <w:sz w:val="18"/>
        </w:rPr>
        <w:t>Pravotorovoi.</w:t>
      </w:r>
      <w:r>
        <w:rPr>
          <w:color w:val="231F20"/>
          <w:spacing w:val="-11"/>
          <w:sz w:val="18"/>
        </w:rPr>
        <w:t xml:space="preserve"> </w:t>
      </w:r>
      <w:r>
        <w:rPr>
          <w:color w:val="231F20"/>
          <w:sz w:val="18"/>
        </w:rPr>
        <w:t>–</w:t>
      </w:r>
      <w:r>
        <w:rPr>
          <w:color w:val="231F20"/>
          <w:spacing w:val="-11"/>
          <w:sz w:val="18"/>
        </w:rPr>
        <w:t xml:space="preserve"> </w:t>
      </w:r>
      <w:r>
        <w:rPr>
          <w:color w:val="231F20"/>
          <w:sz w:val="18"/>
        </w:rPr>
        <w:t>Third edition. – Kherson : OLDI-PLUS, 2020. – 584</w:t>
      </w:r>
      <w:r>
        <w:rPr>
          <w:color w:val="231F20"/>
          <w:spacing w:val="-7"/>
          <w:sz w:val="18"/>
        </w:rPr>
        <w:t xml:space="preserve"> </w:t>
      </w:r>
      <w:r>
        <w:rPr>
          <w:color w:val="231F20"/>
          <w:sz w:val="18"/>
        </w:rPr>
        <w:t>p.</w:t>
      </w:r>
    </w:p>
    <w:p w14:paraId="30046B49" w14:textId="77777777" w:rsidR="00DE575E" w:rsidRDefault="002E7560">
      <w:pPr>
        <w:spacing w:before="51"/>
        <w:ind w:left="365"/>
        <w:rPr>
          <w:b/>
          <w:sz w:val="18"/>
        </w:rPr>
      </w:pPr>
      <w:r>
        <w:rPr>
          <w:b/>
          <w:color w:val="231F20"/>
          <w:sz w:val="18"/>
        </w:rPr>
        <w:t>ISВN 978-966-289-367-0</w:t>
      </w:r>
    </w:p>
    <w:p w14:paraId="34949042" w14:textId="77777777" w:rsidR="00DE575E" w:rsidRDefault="002E7560">
      <w:pPr>
        <w:spacing w:before="58" w:line="252" w:lineRule="auto"/>
        <w:ind w:left="195" w:right="127" w:firstLine="170"/>
        <w:jc w:val="right"/>
        <w:rPr>
          <w:sz w:val="15"/>
        </w:rPr>
      </w:pPr>
      <w:r>
        <w:rPr>
          <w:color w:val="231F20"/>
          <w:sz w:val="15"/>
        </w:rPr>
        <w:t>This</w:t>
      </w:r>
      <w:r>
        <w:rPr>
          <w:color w:val="231F20"/>
          <w:spacing w:val="-11"/>
          <w:sz w:val="15"/>
        </w:rPr>
        <w:t xml:space="preserve"> </w:t>
      </w:r>
      <w:r>
        <w:rPr>
          <w:color w:val="231F20"/>
          <w:sz w:val="15"/>
        </w:rPr>
        <w:t>book</w:t>
      </w:r>
      <w:r>
        <w:rPr>
          <w:color w:val="231F20"/>
          <w:spacing w:val="-11"/>
          <w:sz w:val="15"/>
        </w:rPr>
        <w:t xml:space="preserve"> </w:t>
      </w:r>
      <w:r>
        <w:rPr>
          <w:color w:val="231F20"/>
          <w:spacing w:val="-3"/>
          <w:sz w:val="15"/>
        </w:rPr>
        <w:t>reveals</w:t>
      </w:r>
      <w:r>
        <w:rPr>
          <w:color w:val="231F20"/>
          <w:spacing w:val="-11"/>
          <w:sz w:val="15"/>
        </w:rPr>
        <w:t xml:space="preserve"> </w:t>
      </w:r>
      <w:r>
        <w:rPr>
          <w:color w:val="231F20"/>
          <w:sz w:val="15"/>
        </w:rPr>
        <w:t>a</w:t>
      </w:r>
      <w:r>
        <w:rPr>
          <w:color w:val="231F20"/>
          <w:spacing w:val="-11"/>
          <w:sz w:val="15"/>
        </w:rPr>
        <w:t xml:space="preserve"> </w:t>
      </w:r>
      <w:r>
        <w:rPr>
          <w:color w:val="231F20"/>
          <w:sz w:val="15"/>
        </w:rPr>
        <w:t>full</w:t>
      </w:r>
      <w:r>
        <w:rPr>
          <w:color w:val="231F20"/>
          <w:spacing w:val="-11"/>
          <w:sz w:val="15"/>
        </w:rPr>
        <w:t xml:space="preserve"> </w:t>
      </w:r>
      <w:r>
        <w:rPr>
          <w:color w:val="231F20"/>
          <w:sz w:val="15"/>
        </w:rPr>
        <w:t>course</w:t>
      </w:r>
      <w:r>
        <w:rPr>
          <w:color w:val="231F20"/>
          <w:spacing w:val="-11"/>
          <w:sz w:val="15"/>
        </w:rPr>
        <w:t xml:space="preserve"> </w:t>
      </w:r>
      <w:r>
        <w:rPr>
          <w:color w:val="231F20"/>
          <w:sz w:val="15"/>
        </w:rPr>
        <w:t>of</w:t>
      </w:r>
      <w:r>
        <w:rPr>
          <w:color w:val="231F20"/>
          <w:spacing w:val="-11"/>
          <w:sz w:val="15"/>
        </w:rPr>
        <w:t xml:space="preserve"> </w:t>
      </w:r>
      <w:r>
        <w:rPr>
          <w:color w:val="231F20"/>
          <w:spacing w:val="-3"/>
          <w:sz w:val="15"/>
        </w:rPr>
        <w:t>administrative</w:t>
      </w:r>
      <w:r>
        <w:rPr>
          <w:color w:val="231F20"/>
          <w:spacing w:val="-11"/>
          <w:sz w:val="15"/>
        </w:rPr>
        <w:t xml:space="preserve"> </w:t>
      </w:r>
      <w:r>
        <w:rPr>
          <w:color w:val="231F20"/>
          <w:spacing w:val="-2"/>
          <w:sz w:val="15"/>
        </w:rPr>
        <w:t>law</w:t>
      </w:r>
      <w:r>
        <w:rPr>
          <w:color w:val="231F20"/>
          <w:spacing w:val="-11"/>
          <w:sz w:val="15"/>
        </w:rPr>
        <w:t xml:space="preserve"> </w:t>
      </w:r>
      <w:r>
        <w:rPr>
          <w:color w:val="231F20"/>
          <w:sz w:val="15"/>
        </w:rPr>
        <w:t>based</w:t>
      </w:r>
      <w:r>
        <w:rPr>
          <w:color w:val="231F20"/>
          <w:spacing w:val="-11"/>
          <w:sz w:val="15"/>
        </w:rPr>
        <w:t xml:space="preserve"> </w:t>
      </w:r>
      <w:r>
        <w:rPr>
          <w:color w:val="231F20"/>
          <w:sz w:val="15"/>
        </w:rPr>
        <w:t>on</w:t>
      </w:r>
      <w:r>
        <w:rPr>
          <w:color w:val="231F20"/>
          <w:spacing w:val="-11"/>
          <w:sz w:val="15"/>
        </w:rPr>
        <w:t xml:space="preserve"> </w:t>
      </w:r>
      <w:r>
        <w:rPr>
          <w:color w:val="231F20"/>
          <w:sz w:val="15"/>
        </w:rPr>
        <w:t>the</w:t>
      </w:r>
      <w:r>
        <w:rPr>
          <w:color w:val="231F20"/>
          <w:spacing w:val="-11"/>
          <w:sz w:val="15"/>
        </w:rPr>
        <w:t xml:space="preserve"> </w:t>
      </w:r>
      <w:r>
        <w:rPr>
          <w:color w:val="231F20"/>
          <w:sz w:val="15"/>
        </w:rPr>
        <w:t>same</w:t>
      </w:r>
      <w:r>
        <w:rPr>
          <w:color w:val="231F20"/>
          <w:spacing w:val="-11"/>
          <w:sz w:val="15"/>
        </w:rPr>
        <w:t xml:space="preserve"> </w:t>
      </w:r>
      <w:r>
        <w:rPr>
          <w:color w:val="231F20"/>
          <w:sz w:val="15"/>
        </w:rPr>
        <w:t>name</w:t>
      </w:r>
      <w:r>
        <w:rPr>
          <w:color w:val="231F20"/>
          <w:spacing w:val="-11"/>
          <w:sz w:val="15"/>
        </w:rPr>
        <w:t xml:space="preserve"> </w:t>
      </w:r>
      <w:r>
        <w:rPr>
          <w:color w:val="231F20"/>
          <w:sz w:val="15"/>
        </w:rPr>
        <w:t>field</w:t>
      </w:r>
      <w:r>
        <w:rPr>
          <w:color w:val="231F20"/>
          <w:spacing w:val="-11"/>
          <w:sz w:val="15"/>
        </w:rPr>
        <w:t xml:space="preserve"> </w:t>
      </w:r>
      <w:r>
        <w:rPr>
          <w:color w:val="231F20"/>
          <w:sz w:val="15"/>
        </w:rPr>
        <w:t>of</w:t>
      </w:r>
      <w:r>
        <w:rPr>
          <w:color w:val="231F20"/>
          <w:spacing w:val="-11"/>
          <w:sz w:val="15"/>
        </w:rPr>
        <w:t xml:space="preserve"> </w:t>
      </w:r>
      <w:r>
        <w:rPr>
          <w:color w:val="231F20"/>
          <w:sz w:val="15"/>
        </w:rPr>
        <w:t>public</w:t>
      </w:r>
      <w:r>
        <w:rPr>
          <w:color w:val="231F20"/>
          <w:spacing w:val="-11"/>
          <w:sz w:val="15"/>
        </w:rPr>
        <w:t xml:space="preserve"> </w:t>
      </w:r>
      <w:r>
        <w:rPr>
          <w:color w:val="231F20"/>
          <w:spacing w:val="-5"/>
          <w:sz w:val="15"/>
        </w:rPr>
        <w:t>law.</w:t>
      </w:r>
      <w:r>
        <w:rPr>
          <w:color w:val="231F20"/>
          <w:sz w:val="15"/>
        </w:rPr>
        <w:t xml:space="preserve"> The book is built upon the theoretical principles and </w:t>
      </w:r>
      <w:r>
        <w:rPr>
          <w:color w:val="231F20"/>
          <w:spacing w:val="-3"/>
          <w:sz w:val="15"/>
        </w:rPr>
        <w:t xml:space="preserve">practices </w:t>
      </w:r>
      <w:r>
        <w:rPr>
          <w:color w:val="231F20"/>
          <w:sz w:val="15"/>
        </w:rPr>
        <w:t xml:space="preserve">of public </w:t>
      </w:r>
      <w:r>
        <w:rPr>
          <w:color w:val="231F20"/>
          <w:spacing w:val="-3"/>
          <w:sz w:val="15"/>
        </w:rPr>
        <w:t>administration</w:t>
      </w:r>
      <w:r>
        <w:rPr>
          <w:color w:val="231F20"/>
          <w:spacing w:val="2"/>
          <w:sz w:val="15"/>
        </w:rPr>
        <w:t xml:space="preserve"> </w:t>
      </w:r>
      <w:r>
        <w:rPr>
          <w:color w:val="231F20"/>
          <w:sz w:val="15"/>
        </w:rPr>
        <w:t>that</w:t>
      </w:r>
      <w:r>
        <w:rPr>
          <w:color w:val="231F20"/>
          <w:spacing w:val="1"/>
          <w:sz w:val="15"/>
        </w:rPr>
        <w:t xml:space="preserve"> </w:t>
      </w:r>
      <w:r>
        <w:rPr>
          <w:color w:val="231F20"/>
          <w:spacing w:val="-2"/>
          <w:sz w:val="15"/>
        </w:rPr>
        <w:t>are</w:t>
      </w:r>
      <w:r>
        <w:rPr>
          <w:color w:val="231F20"/>
          <w:sz w:val="15"/>
        </w:rPr>
        <w:t xml:space="preserve"> consistent</w:t>
      </w:r>
      <w:r>
        <w:rPr>
          <w:color w:val="231F20"/>
          <w:spacing w:val="-7"/>
          <w:sz w:val="15"/>
        </w:rPr>
        <w:t xml:space="preserve"> </w:t>
      </w:r>
      <w:r>
        <w:rPr>
          <w:color w:val="231F20"/>
          <w:sz w:val="15"/>
        </w:rPr>
        <w:t>with</w:t>
      </w:r>
      <w:r>
        <w:rPr>
          <w:color w:val="231F20"/>
          <w:spacing w:val="-7"/>
          <w:sz w:val="15"/>
        </w:rPr>
        <w:t xml:space="preserve"> </w:t>
      </w:r>
      <w:r>
        <w:rPr>
          <w:color w:val="231F20"/>
          <w:sz w:val="15"/>
        </w:rPr>
        <w:t>the</w:t>
      </w:r>
      <w:r>
        <w:rPr>
          <w:color w:val="231F20"/>
          <w:spacing w:val="-7"/>
          <w:sz w:val="15"/>
        </w:rPr>
        <w:t xml:space="preserve"> </w:t>
      </w:r>
      <w:r>
        <w:rPr>
          <w:color w:val="231F20"/>
          <w:spacing w:val="-3"/>
          <w:sz w:val="15"/>
        </w:rPr>
        <w:t>values</w:t>
      </w:r>
      <w:r>
        <w:rPr>
          <w:color w:val="231F20"/>
          <w:spacing w:val="-7"/>
          <w:sz w:val="15"/>
        </w:rPr>
        <w:t xml:space="preserve"> </w:t>
      </w:r>
      <w:r>
        <w:rPr>
          <w:color w:val="231F20"/>
          <w:sz w:val="15"/>
        </w:rPr>
        <w:t>of</w:t>
      </w:r>
      <w:r>
        <w:rPr>
          <w:color w:val="231F20"/>
          <w:spacing w:val="-7"/>
          <w:sz w:val="15"/>
        </w:rPr>
        <w:t xml:space="preserve"> </w:t>
      </w:r>
      <w:r>
        <w:rPr>
          <w:color w:val="231F20"/>
          <w:spacing w:val="-3"/>
          <w:sz w:val="15"/>
        </w:rPr>
        <w:t>human-centered</w:t>
      </w:r>
      <w:r>
        <w:rPr>
          <w:color w:val="231F20"/>
          <w:spacing w:val="-7"/>
          <w:sz w:val="15"/>
        </w:rPr>
        <w:t xml:space="preserve"> </w:t>
      </w:r>
      <w:r>
        <w:rPr>
          <w:color w:val="231F20"/>
          <w:spacing w:val="-4"/>
          <w:sz w:val="15"/>
        </w:rPr>
        <w:t>ideology,</w:t>
      </w:r>
      <w:r>
        <w:rPr>
          <w:color w:val="231F20"/>
          <w:spacing w:val="-7"/>
          <w:sz w:val="15"/>
        </w:rPr>
        <w:t xml:space="preserve"> </w:t>
      </w:r>
      <w:r>
        <w:rPr>
          <w:color w:val="231F20"/>
          <w:spacing w:val="-3"/>
          <w:sz w:val="15"/>
        </w:rPr>
        <w:t>namely</w:t>
      </w:r>
      <w:r>
        <w:rPr>
          <w:color w:val="231F20"/>
          <w:spacing w:val="-7"/>
          <w:sz w:val="15"/>
        </w:rPr>
        <w:t xml:space="preserve"> </w:t>
      </w:r>
      <w:r>
        <w:rPr>
          <w:color w:val="231F20"/>
          <w:sz w:val="15"/>
        </w:rPr>
        <w:t>the</w:t>
      </w:r>
      <w:r>
        <w:rPr>
          <w:color w:val="231F20"/>
          <w:spacing w:val="-7"/>
          <w:sz w:val="15"/>
        </w:rPr>
        <w:t xml:space="preserve"> </w:t>
      </w:r>
      <w:r>
        <w:rPr>
          <w:color w:val="231F20"/>
          <w:sz w:val="15"/>
        </w:rPr>
        <w:t>public</w:t>
      </w:r>
      <w:r>
        <w:rPr>
          <w:color w:val="231F20"/>
          <w:spacing w:val="-7"/>
          <w:sz w:val="15"/>
        </w:rPr>
        <w:t xml:space="preserve"> </w:t>
      </w:r>
      <w:r>
        <w:rPr>
          <w:color w:val="231F20"/>
          <w:spacing w:val="-3"/>
          <w:sz w:val="15"/>
        </w:rPr>
        <w:t>administration</w:t>
      </w:r>
      <w:r>
        <w:rPr>
          <w:color w:val="231F20"/>
          <w:spacing w:val="-7"/>
          <w:sz w:val="15"/>
        </w:rPr>
        <w:t xml:space="preserve"> </w:t>
      </w:r>
      <w:r>
        <w:rPr>
          <w:color w:val="231F20"/>
          <w:sz w:val="15"/>
        </w:rPr>
        <w:t>meeting</w:t>
      </w:r>
      <w:r>
        <w:rPr>
          <w:color w:val="231F20"/>
          <w:spacing w:val="-2"/>
          <w:sz w:val="15"/>
        </w:rPr>
        <w:t xml:space="preserve"> </w:t>
      </w:r>
      <w:r>
        <w:rPr>
          <w:color w:val="231F20"/>
          <w:sz w:val="15"/>
        </w:rPr>
        <w:t>the</w:t>
      </w:r>
      <w:r>
        <w:rPr>
          <w:color w:val="231F20"/>
          <w:spacing w:val="-13"/>
          <w:sz w:val="15"/>
        </w:rPr>
        <w:t xml:space="preserve"> </w:t>
      </w:r>
      <w:r>
        <w:rPr>
          <w:color w:val="231F20"/>
          <w:sz w:val="15"/>
        </w:rPr>
        <w:t>rights,</w:t>
      </w:r>
      <w:r>
        <w:rPr>
          <w:color w:val="231F20"/>
          <w:spacing w:val="-13"/>
          <w:sz w:val="15"/>
        </w:rPr>
        <w:t xml:space="preserve"> </w:t>
      </w:r>
      <w:r>
        <w:rPr>
          <w:color w:val="231F20"/>
          <w:sz w:val="15"/>
        </w:rPr>
        <w:t>freedoms</w:t>
      </w:r>
      <w:r>
        <w:rPr>
          <w:color w:val="231F20"/>
          <w:spacing w:val="-13"/>
          <w:sz w:val="15"/>
        </w:rPr>
        <w:t xml:space="preserve"> </w:t>
      </w:r>
      <w:r>
        <w:rPr>
          <w:color w:val="231F20"/>
          <w:sz w:val="15"/>
        </w:rPr>
        <w:t>and</w:t>
      </w:r>
      <w:r>
        <w:rPr>
          <w:color w:val="231F20"/>
          <w:spacing w:val="-13"/>
          <w:sz w:val="15"/>
        </w:rPr>
        <w:t xml:space="preserve"> </w:t>
      </w:r>
      <w:r>
        <w:rPr>
          <w:color w:val="231F20"/>
          <w:sz w:val="15"/>
        </w:rPr>
        <w:t>legitimate</w:t>
      </w:r>
      <w:r>
        <w:rPr>
          <w:color w:val="231F20"/>
          <w:spacing w:val="-13"/>
          <w:sz w:val="15"/>
        </w:rPr>
        <w:t xml:space="preserve"> </w:t>
      </w:r>
      <w:r>
        <w:rPr>
          <w:color w:val="231F20"/>
          <w:spacing w:val="-3"/>
          <w:sz w:val="15"/>
        </w:rPr>
        <w:t>interests</w:t>
      </w:r>
      <w:r>
        <w:rPr>
          <w:color w:val="231F20"/>
          <w:spacing w:val="-13"/>
          <w:sz w:val="15"/>
        </w:rPr>
        <w:t xml:space="preserve"> </w:t>
      </w:r>
      <w:r>
        <w:rPr>
          <w:color w:val="231F20"/>
          <w:sz w:val="15"/>
        </w:rPr>
        <w:t>of</w:t>
      </w:r>
      <w:r>
        <w:rPr>
          <w:color w:val="231F20"/>
          <w:spacing w:val="-13"/>
          <w:sz w:val="15"/>
        </w:rPr>
        <w:t xml:space="preserve"> </w:t>
      </w:r>
      <w:r>
        <w:rPr>
          <w:color w:val="231F20"/>
          <w:spacing w:val="-3"/>
          <w:sz w:val="15"/>
        </w:rPr>
        <w:t>individuals</w:t>
      </w:r>
      <w:r>
        <w:rPr>
          <w:color w:val="231F20"/>
          <w:spacing w:val="-13"/>
          <w:sz w:val="15"/>
        </w:rPr>
        <w:t xml:space="preserve"> </w:t>
      </w:r>
      <w:r>
        <w:rPr>
          <w:color w:val="231F20"/>
          <w:sz w:val="15"/>
        </w:rPr>
        <w:t>in</w:t>
      </w:r>
      <w:r>
        <w:rPr>
          <w:color w:val="231F20"/>
          <w:spacing w:val="-13"/>
          <w:sz w:val="15"/>
        </w:rPr>
        <w:t xml:space="preserve"> </w:t>
      </w:r>
      <w:r>
        <w:rPr>
          <w:color w:val="231F20"/>
          <w:sz w:val="15"/>
        </w:rPr>
        <w:t>accordance</w:t>
      </w:r>
      <w:r>
        <w:rPr>
          <w:color w:val="231F20"/>
          <w:spacing w:val="-13"/>
          <w:sz w:val="15"/>
        </w:rPr>
        <w:t xml:space="preserve"> </w:t>
      </w:r>
      <w:r>
        <w:rPr>
          <w:color w:val="231F20"/>
          <w:sz w:val="15"/>
        </w:rPr>
        <w:t>with</w:t>
      </w:r>
      <w:r>
        <w:rPr>
          <w:color w:val="231F20"/>
          <w:spacing w:val="-13"/>
          <w:sz w:val="15"/>
        </w:rPr>
        <w:t xml:space="preserve"> </w:t>
      </w:r>
      <w:r>
        <w:rPr>
          <w:color w:val="231F20"/>
          <w:sz w:val="15"/>
        </w:rPr>
        <w:t>the</w:t>
      </w:r>
      <w:r>
        <w:rPr>
          <w:color w:val="231F20"/>
          <w:spacing w:val="-13"/>
          <w:sz w:val="15"/>
        </w:rPr>
        <w:t xml:space="preserve"> </w:t>
      </w:r>
      <w:r>
        <w:rPr>
          <w:color w:val="231F20"/>
          <w:spacing w:val="-3"/>
          <w:sz w:val="15"/>
        </w:rPr>
        <w:t>values</w:t>
      </w:r>
      <w:r>
        <w:rPr>
          <w:color w:val="231F20"/>
          <w:spacing w:val="-13"/>
          <w:sz w:val="15"/>
        </w:rPr>
        <w:t xml:space="preserve"> </w:t>
      </w:r>
      <w:r>
        <w:rPr>
          <w:color w:val="231F20"/>
          <w:sz w:val="15"/>
        </w:rPr>
        <w:t>of</w:t>
      </w:r>
      <w:r>
        <w:rPr>
          <w:color w:val="231F20"/>
          <w:spacing w:val="-13"/>
          <w:sz w:val="15"/>
        </w:rPr>
        <w:t xml:space="preserve"> </w:t>
      </w:r>
      <w:r>
        <w:rPr>
          <w:color w:val="231F20"/>
          <w:sz w:val="15"/>
        </w:rPr>
        <w:t>the</w:t>
      </w:r>
      <w:r>
        <w:rPr>
          <w:color w:val="231F20"/>
          <w:spacing w:val="-13"/>
          <w:sz w:val="15"/>
        </w:rPr>
        <w:t xml:space="preserve"> </w:t>
      </w:r>
      <w:r>
        <w:rPr>
          <w:color w:val="231F20"/>
          <w:spacing w:val="-3"/>
          <w:sz w:val="15"/>
        </w:rPr>
        <w:t>EU.</w:t>
      </w:r>
      <w:r>
        <w:rPr>
          <w:color w:val="231F20"/>
          <w:sz w:val="15"/>
        </w:rPr>
        <w:t xml:space="preserve"> The book can be used by students in the educational process, </w:t>
      </w:r>
      <w:r>
        <w:rPr>
          <w:color w:val="231F20"/>
          <w:spacing w:val="-3"/>
          <w:sz w:val="15"/>
        </w:rPr>
        <w:t xml:space="preserve">graduate </w:t>
      </w:r>
      <w:r>
        <w:rPr>
          <w:color w:val="231F20"/>
          <w:sz w:val="15"/>
        </w:rPr>
        <w:t>students,</w:t>
      </w:r>
      <w:r>
        <w:rPr>
          <w:color w:val="231F20"/>
          <w:spacing w:val="30"/>
          <w:sz w:val="15"/>
        </w:rPr>
        <w:t xml:space="preserve"> </w:t>
      </w:r>
      <w:r>
        <w:rPr>
          <w:color w:val="231F20"/>
          <w:sz w:val="15"/>
        </w:rPr>
        <w:t>teachers</w:t>
      </w:r>
      <w:r>
        <w:rPr>
          <w:color w:val="231F20"/>
          <w:spacing w:val="1"/>
          <w:sz w:val="15"/>
        </w:rPr>
        <w:t xml:space="preserve"> </w:t>
      </w:r>
      <w:r>
        <w:rPr>
          <w:color w:val="231F20"/>
          <w:sz w:val="15"/>
        </w:rPr>
        <w:t>of</w:t>
      </w:r>
      <w:r>
        <w:rPr>
          <w:color w:val="231F20"/>
          <w:spacing w:val="-2"/>
          <w:sz w:val="15"/>
        </w:rPr>
        <w:t xml:space="preserve"> </w:t>
      </w:r>
      <w:r>
        <w:rPr>
          <w:color w:val="231F20"/>
          <w:sz w:val="15"/>
        </w:rPr>
        <w:t>educational</w:t>
      </w:r>
      <w:r>
        <w:rPr>
          <w:color w:val="231F20"/>
          <w:spacing w:val="-5"/>
          <w:sz w:val="15"/>
        </w:rPr>
        <w:t xml:space="preserve"> </w:t>
      </w:r>
      <w:r>
        <w:rPr>
          <w:color w:val="231F20"/>
          <w:sz w:val="15"/>
        </w:rPr>
        <w:t>institutions,</w:t>
      </w:r>
      <w:r>
        <w:rPr>
          <w:color w:val="231F20"/>
          <w:spacing w:val="-5"/>
          <w:sz w:val="15"/>
        </w:rPr>
        <w:t xml:space="preserve"> </w:t>
      </w:r>
      <w:r>
        <w:rPr>
          <w:color w:val="231F20"/>
          <w:sz w:val="15"/>
        </w:rPr>
        <w:t>scientists,</w:t>
      </w:r>
      <w:r>
        <w:rPr>
          <w:color w:val="231F20"/>
          <w:spacing w:val="-5"/>
          <w:sz w:val="15"/>
        </w:rPr>
        <w:t xml:space="preserve"> </w:t>
      </w:r>
      <w:r>
        <w:rPr>
          <w:color w:val="231F20"/>
          <w:sz w:val="15"/>
        </w:rPr>
        <w:t>members</w:t>
      </w:r>
      <w:r>
        <w:rPr>
          <w:color w:val="231F20"/>
          <w:spacing w:val="-5"/>
          <w:sz w:val="15"/>
        </w:rPr>
        <w:t xml:space="preserve"> </w:t>
      </w:r>
      <w:r>
        <w:rPr>
          <w:color w:val="231F20"/>
          <w:sz w:val="15"/>
        </w:rPr>
        <w:t>of</w:t>
      </w:r>
      <w:r>
        <w:rPr>
          <w:color w:val="231F20"/>
          <w:spacing w:val="-5"/>
          <w:sz w:val="15"/>
        </w:rPr>
        <w:t xml:space="preserve"> </w:t>
      </w:r>
      <w:r>
        <w:rPr>
          <w:color w:val="231F20"/>
          <w:sz w:val="15"/>
        </w:rPr>
        <w:t>the</w:t>
      </w:r>
      <w:r>
        <w:rPr>
          <w:color w:val="231F20"/>
          <w:spacing w:val="-5"/>
          <w:sz w:val="15"/>
        </w:rPr>
        <w:t xml:space="preserve"> </w:t>
      </w:r>
      <w:r>
        <w:rPr>
          <w:color w:val="231F20"/>
          <w:spacing w:val="-3"/>
          <w:sz w:val="15"/>
        </w:rPr>
        <w:t>Government</w:t>
      </w:r>
      <w:r>
        <w:rPr>
          <w:color w:val="231F20"/>
          <w:spacing w:val="-5"/>
          <w:sz w:val="15"/>
        </w:rPr>
        <w:t xml:space="preserve"> </w:t>
      </w:r>
      <w:r>
        <w:rPr>
          <w:color w:val="231F20"/>
          <w:sz w:val="15"/>
        </w:rPr>
        <w:t>of</w:t>
      </w:r>
      <w:r>
        <w:rPr>
          <w:color w:val="231F20"/>
          <w:spacing w:val="-5"/>
          <w:sz w:val="15"/>
        </w:rPr>
        <w:t xml:space="preserve"> </w:t>
      </w:r>
      <w:r>
        <w:rPr>
          <w:color w:val="231F20"/>
          <w:spacing w:val="-3"/>
          <w:sz w:val="15"/>
        </w:rPr>
        <w:t>Ukraine</w:t>
      </w:r>
      <w:r>
        <w:rPr>
          <w:color w:val="231F20"/>
          <w:spacing w:val="-5"/>
          <w:sz w:val="15"/>
        </w:rPr>
        <w:t xml:space="preserve"> </w:t>
      </w:r>
      <w:r>
        <w:rPr>
          <w:color w:val="231F20"/>
          <w:sz w:val="15"/>
        </w:rPr>
        <w:t>and</w:t>
      </w:r>
      <w:r>
        <w:rPr>
          <w:color w:val="231F20"/>
          <w:spacing w:val="-5"/>
          <w:sz w:val="15"/>
        </w:rPr>
        <w:t xml:space="preserve"> </w:t>
      </w:r>
      <w:r>
        <w:rPr>
          <w:color w:val="231F20"/>
          <w:sz w:val="15"/>
        </w:rPr>
        <w:t>other</w:t>
      </w:r>
      <w:r>
        <w:rPr>
          <w:color w:val="231F20"/>
          <w:spacing w:val="-5"/>
          <w:sz w:val="15"/>
        </w:rPr>
        <w:t xml:space="preserve"> </w:t>
      </w:r>
      <w:r>
        <w:rPr>
          <w:color w:val="231F20"/>
          <w:sz w:val="15"/>
        </w:rPr>
        <w:t>officials</w:t>
      </w:r>
      <w:r>
        <w:rPr>
          <w:color w:val="231F20"/>
          <w:spacing w:val="-5"/>
          <w:sz w:val="15"/>
        </w:rPr>
        <w:t xml:space="preserve"> </w:t>
      </w:r>
      <w:r>
        <w:rPr>
          <w:color w:val="231F20"/>
          <w:sz w:val="15"/>
        </w:rPr>
        <w:t>of</w:t>
      </w:r>
      <w:r>
        <w:rPr>
          <w:color w:val="231F20"/>
          <w:spacing w:val="-2"/>
          <w:sz w:val="15"/>
        </w:rPr>
        <w:t xml:space="preserve"> </w:t>
      </w:r>
      <w:r>
        <w:rPr>
          <w:color w:val="231F20"/>
          <w:sz w:val="15"/>
        </w:rPr>
        <w:t>public</w:t>
      </w:r>
      <w:r>
        <w:rPr>
          <w:color w:val="231F20"/>
          <w:spacing w:val="-10"/>
          <w:sz w:val="15"/>
        </w:rPr>
        <w:t xml:space="preserve"> </w:t>
      </w:r>
      <w:r>
        <w:rPr>
          <w:color w:val="231F20"/>
          <w:sz w:val="15"/>
        </w:rPr>
        <w:t>authorities,</w:t>
      </w:r>
      <w:r>
        <w:rPr>
          <w:color w:val="231F20"/>
          <w:spacing w:val="-10"/>
          <w:sz w:val="15"/>
        </w:rPr>
        <w:t xml:space="preserve"> </w:t>
      </w:r>
      <w:r>
        <w:rPr>
          <w:color w:val="231F20"/>
          <w:sz w:val="15"/>
        </w:rPr>
        <w:t>as</w:t>
      </w:r>
      <w:r>
        <w:rPr>
          <w:color w:val="231F20"/>
          <w:spacing w:val="-10"/>
          <w:sz w:val="15"/>
        </w:rPr>
        <w:t xml:space="preserve"> </w:t>
      </w:r>
      <w:r>
        <w:rPr>
          <w:color w:val="231F20"/>
          <w:sz w:val="15"/>
        </w:rPr>
        <w:t>well</w:t>
      </w:r>
      <w:r>
        <w:rPr>
          <w:color w:val="231F20"/>
          <w:spacing w:val="-10"/>
          <w:sz w:val="15"/>
        </w:rPr>
        <w:t xml:space="preserve"> </w:t>
      </w:r>
      <w:r>
        <w:rPr>
          <w:color w:val="231F20"/>
          <w:sz w:val="15"/>
        </w:rPr>
        <w:t>as</w:t>
      </w:r>
      <w:r>
        <w:rPr>
          <w:color w:val="231F20"/>
          <w:spacing w:val="-10"/>
          <w:sz w:val="15"/>
        </w:rPr>
        <w:t xml:space="preserve"> </w:t>
      </w:r>
      <w:r>
        <w:rPr>
          <w:color w:val="231F20"/>
          <w:sz w:val="15"/>
        </w:rPr>
        <w:t>people`s</w:t>
      </w:r>
      <w:r>
        <w:rPr>
          <w:color w:val="231F20"/>
          <w:spacing w:val="-10"/>
          <w:sz w:val="15"/>
        </w:rPr>
        <w:t xml:space="preserve"> </w:t>
      </w:r>
      <w:r>
        <w:rPr>
          <w:color w:val="231F20"/>
          <w:sz w:val="15"/>
        </w:rPr>
        <w:t>deputies</w:t>
      </w:r>
      <w:r>
        <w:rPr>
          <w:color w:val="231F20"/>
          <w:spacing w:val="-10"/>
          <w:sz w:val="15"/>
        </w:rPr>
        <w:t xml:space="preserve"> </w:t>
      </w:r>
      <w:r>
        <w:rPr>
          <w:color w:val="231F20"/>
          <w:sz w:val="15"/>
        </w:rPr>
        <w:t>of</w:t>
      </w:r>
      <w:r>
        <w:rPr>
          <w:color w:val="231F20"/>
          <w:spacing w:val="-10"/>
          <w:sz w:val="15"/>
        </w:rPr>
        <w:t xml:space="preserve"> </w:t>
      </w:r>
      <w:r>
        <w:rPr>
          <w:color w:val="231F20"/>
          <w:spacing w:val="-3"/>
          <w:sz w:val="15"/>
        </w:rPr>
        <w:t>Ukraine,</w:t>
      </w:r>
      <w:r>
        <w:rPr>
          <w:color w:val="231F20"/>
          <w:spacing w:val="-10"/>
          <w:sz w:val="15"/>
        </w:rPr>
        <w:t xml:space="preserve"> </w:t>
      </w:r>
      <w:r>
        <w:rPr>
          <w:color w:val="231F20"/>
          <w:sz w:val="15"/>
        </w:rPr>
        <w:t>court</w:t>
      </w:r>
      <w:r>
        <w:rPr>
          <w:color w:val="231F20"/>
          <w:spacing w:val="-10"/>
          <w:sz w:val="15"/>
        </w:rPr>
        <w:t xml:space="preserve"> </w:t>
      </w:r>
      <w:r>
        <w:rPr>
          <w:color w:val="231F20"/>
          <w:spacing w:val="-3"/>
          <w:sz w:val="15"/>
        </w:rPr>
        <w:t>administration,</w:t>
      </w:r>
      <w:r>
        <w:rPr>
          <w:color w:val="231F20"/>
          <w:spacing w:val="-10"/>
          <w:sz w:val="15"/>
        </w:rPr>
        <w:t xml:space="preserve"> </w:t>
      </w:r>
      <w:r>
        <w:rPr>
          <w:color w:val="231F20"/>
          <w:spacing w:val="-3"/>
          <w:sz w:val="15"/>
        </w:rPr>
        <w:t>activists</w:t>
      </w:r>
      <w:r>
        <w:rPr>
          <w:color w:val="231F20"/>
          <w:spacing w:val="-10"/>
          <w:sz w:val="15"/>
        </w:rPr>
        <w:t xml:space="preserve"> </w:t>
      </w:r>
      <w:r>
        <w:rPr>
          <w:color w:val="231F20"/>
          <w:sz w:val="15"/>
        </w:rPr>
        <w:t>of</w:t>
      </w:r>
      <w:r>
        <w:rPr>
          <w:color w:val="231F20"/>
          <w:spacing w:val="-10"/>
          <w:sz w:val="15"/>
        </w:rPr>
        <w:t xml:space="preserve"> </w:t>
      </w:r>
      <w:r>
        <w:rPr>
          <w:color w:val="231F20"/>
          <w:spacing w:val="-2"/>
          <w:sz w:val="15"/>
        </w:rPr>
        <w:t>public</w:t>
      </w:r>
    </w:p>
    <w:p w14:paraId="426F0B6B" w14:textId="77777777" w:rsidR="00DE575E" w:rsidRDefault="002E7560">
      <w:pPr>
        <w:spacing w:line="173" w:lineRule="exact"/>
        <w:ind w:left="195"/>
        <w:rPr>
          <w:sz w:val="15"/>
        </w:rPr>
      </w:pPr>
      <w:r>
        <w:rPr>
          <w:color w:val="231F20"/>
          <w:sz w:val="15"/>
        </w:rPr>
        <w:t>associations and all those who are interested in administrative law.</w:t>
      </w:r>
    </w:p>
    <w:p w14:paraId="3915E0BD" w14:textId="77777777" w:rsidR="00DE575E" w:rsidRDefault="002E7560">
      <w:pPr>
        <w:spacing w:before="8" w:line="252" w:lineRule="auto"/>
        <w:ind w:left="195" w:right="128" w:firstLine="170"/>
        <w:jc w:val="both"/>
        <w:rPr>
          <w:sz w:val="15"/>
        </w:rPr>
      </w:pPr>
      <w:r>
        <w:rPr>
          <w:color w:val="231F20"/>
          <w:sz w:val="15"/>
        </w:rPr>
        <w:t xml:space="preserve">The textbook will be useful when preparing for entrance examinations and when acquiring master`s degree on a specialty 081 ‘Law’, as well as for </w:t>
      </w:r>
      <w:r>
        <w:rPr>
          <w:color w:val="231F20"/>
          <w:sz w:val="15"/>
        </w:rPr>
        <w:t>preparing for the qualification examina- tions of candidates for positions of judges, prosecutors, as well as for obtaining the law license.</w:t>
      </w:r>
    </w:p>
    <w:p w14:paraId="175B7679" w14:textId="77777777" w:rsidR="00DE575E" w:rsidRDefault="00DE575E">
      <w:pPr>
        <w:pStyle w:val="BodyText"/>
        <w:spacing w:before="3"/>
        <w:rPr>
          <w:sz w:val="25"/>
        </w:rPr>
      </w:pPr>
    </w:p>
    <w:p w14:paraId="2ADCC232" w14:textId="77777777" w:rsidR="00DE575E" w:rsidRDefault="002E7560">
      <w:pPr>
        <w:spacing w:before="1"/>
        <w:ind w:right="127"/>
        <w:jc w:val="right"/>
        <w:rPr>
          <w:sz w:val="15"/>
        </w:rPr>
      </w:pPr>
      <w:r>
        <w:rPr>
          <w:color w:val="231F20"/>
          <w:sz w:val="15"/>
        </w:rPr>
        <w:t>УДК 342.951:351.813(477)</w:t>
      </w:r>
    </w:p>
    <w:p w14:paraId="7212C184" w14:textId="77777777" w:rsidR="00DE575E" w:rsidRDefault="00DE575E">
      <w:pPr>
        <w:jc w:val="right"/>
        <w:rPr>
          <w:sz w:val="15"/>
        </w:rPr>
        <w:sectPr w:rsidR="00DE575E">
          <w:type w:val="continuous"/>
          <w:pgSz w:w="8510" w:h="12760"/>
          <w:pgMar w:top="1180" w:right="720" w:bottom="280" w:left="600" w:header="720" w:footer="720" w:gutter="0"/>
          <w:cols w:num="2" w:space="720" w:equalWidth="0">
            <w:col w:w="753" w:space="40"/>
            <w:col w:w="6397"/>
          </w:cols>
        </w:sectPr>
      </w:pPr>
    </w:p>
    <w:p w14:paraId="5496DE7C" w14:textId="77777777" w:rsidR="00DE575E" w:rsidRDefault="00DE575E">
      <w:pPr>
        <w:pStyle w:val="BodyText"/>
        <w:rPr>
          <w:sz w:val="20"/>
        </w:rPr>
      </w:pPr>
    </w:p>
    <w:p w14:paraId="3AE22CDD" w14:textId="77777777" w:rsidR="00DE575E" w:rsidRDefault="00DE575E">
      <w:pPr>
        <w:pStyle w:val="BodyText"/>
        <w:spacing w:before="11"/>
        <w:rPr>
          <w:sz w:val="28"/>
        </w:rPr>
      </w:pPr>
    </w:p>
    <w:p w14:paraId="11DFF0C1" w14:textId="77777777" w:rsidR="00DE575E" w:rsidRDefault="002E7560">
      <w:pPr>
        <w:spacing w:before="100"/>
        <w:ind w:right="128"/>
        <w:jc w:val="right"/>
        <w:rPr>
          <w:sz w:val="15"/>
        </w:rPr>
      </w:pPr>
      <w:r>
        <w:rPr>
          <w:color w:val="231F20"/>
          <w:sz w:val="15"/>
        </w:rPr>
        <w:t>© The Authors Team, 2020</w:t>
      </w:r>
    </w:p>
    <w:p w14:paraId="5723E71E" w14:textId="77777777" w:rsidR="00DE575E" w:rsidRDefault="002E7560">
      <w:pPr>
        <w:tabs>
          <w:tab w:val="left" w:pos="5621"/>
        </w:tabs>
        <w:spacing w:before="8"/>
        <w:ind w:right="128"/>
        <w:jc w:val="right"/>
        <w:rPr>
          <w:sz w:val="15"/>
        </w:rPr>
      </w:pPr>
      <w:r>
        <w:rPr>
          <w:color w:val="231F20"/>
          <w:sz w:val="15"/>
        </w:rPr>
        <w:t>ISBN</w:t>
      </w:r>
      <w:r>
        <w:rPr>
          <w:color w:val="231F20"/>
          <w:spacing w:val="-3"/>
          <w:sz w:val="15"/>
        </w:rPr>
        <w:t xml:space="preserve"> </w:t>
      </w:r>
      <w:r>
        <w:rPr>
          <w:color w:val="231F20"/>
          <w:sz w:val="15"/>
        </w:rPr>
        <w:t>978-966-289-367-0</w:t>
      </w:r>
      <w:r>
        <w:rPr>
          <w:color w:val="231F20"/>
          <w:sz w:val="15"/>
        </w:rPr>
        <w:tab/>
        <w:t>©  RIPL,</w:t>
      </w:r>
      <w:r>
        <w:rPr>
          <w:color w:val="231F20"/>
          <w:spacing w:val="-5"/>
          <w:sz w:val="15"/>
        </w:rPr>
        <w:t xml:space="preserve"> </w:t>
      </w:r>
      <w:r>
        <w:rPr>
          <w:color w:val="231F20"/>
          <w:sz w:val="15"/>
        </w:rPr>
        <w:t>2020</w:t>
      </w:r>
    </w:p>
    <w:p w14:paraId="17663CEC" w14:textId="77777777" w:rsidR="00DE575E" w:rsidRDefault="00DE575E">
      <w:pPr>
        <w:jc w:val="right"/>
        <w:rPr>
          <w:sz w:val="15"/>
        </w:rPr>
        <w:sectPr w:rsidR="00DE575E">
          <w:type w:val="continuous"/>
          <w:pgSz w:w="8510" w:h="12760"/>
          <w:pgMar w:top="1180" w:right="720" w:bottom="280" w:left="600" w:header="720" w:footer="720" w:gutter="0"/>
          <w:cols w:space="720"/>
        </w:sectPr>
      </w:pPr>
    </w:p>
    <w:p w14:paraId="483BE71A" w14:textId="77777777" w:rsidR="00DE575E" w:rsidRDefault="002E7560">
      <w:pPr>
        <w:pStyle w:val="Heading2"/>
        <w:spacing w:before="173"/>
        <w:ind w:left="497" w:right="658"/>
        <w:jc w:val="center"/>
      </w:pPr>
      <w:r>
        <w:rPr>
          <w:color w:val="231F20"/>
        </w:rPr>
        <w:lastRenderedPageBreak/>
        <w:t>ЗМІСТ</w:t>
      </w:r>
    </w:p>
    <w:p w14:paraId="3D1DA138" w14:textId="77777777" w:rsidR="00DE575E" w:rsidRDefault="002E7560">
      <w:pPr>
        <w:spacing w:before="251" w:line="282" w:lineRule="exact"/>
        <w:ind w:left="497" w:right="658"/>
        <w:jc w:val="center"/>
        <w:rPr>
          <w:sz w:val="26"/>
        </w:rPr>
      </w:pPr>
      <w:r>
        <w:rPr>
          <w:color w:val="231F20"/>
          <w:sz w:val="26"/>
        </w:rPr>
        <w:t>Глава І</w:t>
      </w:r>
    </w:p>
    <w:p w14:paraId="34BEB3D7" w14:textId="77777777" w:rsidR="00DE575E" w:rsidRDefault="002E7560">
      <w:pPr>
        <w:spacing w:line="282" w:lineRule="exact"/>
        <w:ind w:left="728"/>
        <w:rPr>
          <w:sz w:val="26"/>
        </w:rPr>
      </w:pPr>
      <w:r>
        <w:rPr>
          <w:color w:val="231F20"/>
          <w:sz w:val="26"/>
        </w:rPr>
        <w:t>ЗАГАЛЬНЕ АДМІНІСТРАТИВНЕ ПРАВО УКРАЇНИ</w:t>
      </w:r>
    </w:p>
    <w:p w14:paraId="1306186C" w14:textId="77777777" w:rsidR="00DE575E" w:rsidRDefault="002E7560">
      <w:pPr>
        <w:pStyle w:val="Heading5"/>
        <w:spacing w:before="229" w:line="230" w:lineRule="exact"/>
        <w:ind w:left="250"/>
      </w:pPr>
      <w:r>
        <w:rPr>
          <w:color w:val="231F20"/>
        </w:rPr>
        <w:t>Розділ 1</w:t>
      </w:r>
    </w:p>
    <w:p w14:paraId="6BE3AE7D" w14:textId="77777777" w:rsidR="00DE575E" w:rsidRDefault="002E7560">
      <w:pPr>
        <w:tabs>
          <w:tab w:val="left" w:pos="6573"/>
        </w:tabs>
        <w:spacing w:line="230" w:lineRule="exact"/>
        <w:ind w:left="250"/>
        <w:rPr>
          <w:b/>
          <w:sz w:val="20"/>
        </w:rPr>
      </w:pPr>
      <w:r>
        <w:rPr>
          <w:b/>
          <w:color w:val="231F20"/>
          <w:spacing w:val="-3"/>
          <w:sz w:val="21"/>
        </w:rPr>
        <w:t xml:space="preserve">АДМІНІСТРАТИВНЕ </w:t>
      </w:r>
      <w:r>
        <w:rPr>
          <w:b/>
          <w:color w:val="231F20"/>
          <w:spacing w:val="-5"/>
          <w:sz w:val="21"/>
        </w:rPr>
        <w:t xml:space="preserve">ПРАВО </w:t>
      </w:r>
      <w:r>
        <w:rPr>
          <w:b/>
          <w:color w:val="231F20"/>
          <w:sz w:val="21"/>
        </w:rPr>
        <w:t xml:space="preserve">ЯК </w:t>
      </w:r>
      <w:r>
        <w:rPr>
          <w:b/>
          <w:color w:val="231F20"/>
          <w:spacing w:val="-4"/>
          <w:sz w:val="21"/>
        </w:rPr>
        <w:t>ГАЛУЗЬ</w:t>
      </w:r>
      <w:r>
        <w:rPr>
          <w:b/>
          <w:color w:val="231F20"/>
          <w:spacing w:val="5"/>
          <w:sz w:val="21"/>
        </w:rPr>
        <w:t xml:space="preserve"> </w:t>
      </w:r>
      <w:r>
        <w:rPr>
          <w:b/>
          <w:color w:val="231F20"/>
          <w:sz w:val="21"/>
        </w:rPr>
        <w:t>ПУБЛІЧНОГО</w:t>
      </w:r>
      <w:r>
        <w:rPr>
          <w:b/>
          <w:color w:val="231F20"/>
          <w:spacing w:val="-2"/>
          <w:sz w:val="21"/>
        </w:rPr>
        <w:t xml:space="preserve"> </w:t>
      </w:r>
      <w:r>
        <w:rPr>
          <w:b/>
          <w:color w:val="231F20"/>
          <w:spacing w:val="-5"/>
          <w:sz w:val="21"/>
        </w:rPr>
        <w:t>ПРАВА</w:t>
      </w:r>
      <w:r>
        <w:rPr>
          <w:b/>
          <w:color w:val="231F20"/>
          <w:spacing w:val="-5"/>
          <w:sz w:val="21"/>
          <w:u w:val="dotted" w:color="231F20"/>
        </w:rPr>
        <w:t xml:space="preserve"> </w:t>
      </w:r>
      <w:r>
        <w:rPr>
          <w:b/>
          <w:color w:val="231F20"/>
          <w:spacing w:val="-5"/>
          <w:sz w:val="21"/>
          <w:u w:val="dotted" w:color="231F20"/>
        </w:rPr>
        <w:tab/>
      </w:r>
      <w:r>
        <w:rPr>
          <w:b/>
          <w:sz w:val="20"/>
        </w:rPr>
        <w:t>17</w:t>
      </w:r>
    </w:p>
    <w:p w14:paraId="18A9E7A6" w14:textId="77777777" w:rsidR="00DE575E" w:rsidRDefault="002E7560">
      <w:pPr>
        <w:pStyle w:val="ListParagraph"/>
        <w:numPr>
          <w:ilvl w:val="1"/>
          <w:numId w:val="339"/>
        </w:numPr>
        <w:tabs>
          <w:tab w:val="left" w:pos="648"/>
          <w:tab w:val="left" w:pos="6573"/>
        </w:tabs>
        <w:spacing w:before="53"/>
        <w:rPr>
          <w:b/>
          <w:sz w:val="20"/>
        </w:rPr>
      </w:pPr>
      <w:r>
        <w:rPr>
          <w:b/>
          <w:color w:val="231F20"/>
          <w:sz w:val="21"/>
        </w:rPr>
        <w:t>Основоположні категорії</w:t>
      </w:r>
      <w:r>
        <w:rPr>
          <w:b/>
          <w:color w:val="231F20"/>
          <w:spacing w:val="-15"/>
          <w:sz w:val="21"/>
        </w:rPr>
        <w:t xml:space="preserve"> </w:t>
      </w:r>
      <w:r>
        <w:rPr>
          <w:b/>
          <w:color w:val="231F20"/>
          <w:sz w:val="21"/>
        </w:rPr>
        <w:t>адміністративного</w:t>
      </w:r>
      <w:r>
        <w:rPr>
          <w:b/>
          <w:color w:val="231F20"/>
          <w:spacing w:val="-8"/>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17</w:t>
      </w:r>
    </w:p>
    <w:p w14:paraId="4928970F" w14:textId="77777777" w:rsidR="00DE575E" w:rsidRDefault="002E7560">
      <w:pPr>
        <w:pStyle w:val="ListParagraph"/>
        <w:numPr>
          <w:ilvl w:val="2"/>
          <w:numId w:val="339"/>
        </w:numPr>
        <w:tabs>
          <w:tab w:val="left" w:pos="1215"/>
        </w:tabs>
        <w:spacing w:before="24" w:line="230" w:lineRule="exact"/>
        <w:rPr>
          <w:sz w:val="21"/>
        </w:rPr>
      </w:pPr>
      <w:r>
        <w:rPr>
          <w:color w:val="231F20"/>
          <w:sz w:val="21"/>
        </w:rPr>
        <w:t>Публічне</w:t>
      </w:r>
      <w:r>
        <w:rPr>
          <w:color w:val="231F20"/>
          <w:spacing w:val="-2"/>
          <w:sz w:val="21"/>
        </w:rPr>
        <w:t xml:space="preserve"> </w:t>
      </w:r>
      <w:r>
        <w:rPr>
          <w:color w:val="231F20"/>
          <w:sz w:val="21"/>
        </w:rPr>
        <w:t>адміністрування</w:t>
      </w:r>
    </w:p>
    <w:p w14:paraId="3537E66D" w14:textId="77777777" w:rsidR="00DE575E" w:rsidRDefault="002E7560">
      <w:pPr>
        <w:pStyle w:val="BodyText"/>
        <w:tabs>
          <w:tab w:val="left" w:pos="6573"/>
        </w:tabs>
        <w:spacing w:line="230" w:lineRule="exact"/>
        <w:ind w:left="1214"/>
        <w:rPr>
          <w:b/>
          <w:sz w:val="20"/>
        </w:rPr>
      </w:pPr>
      <w:r>
        <w:rPr>
          <w:color w:val="231F20"/>
        </w:rPr>
        <w:t>як форма реалізації</w:t>
      </w:r>
      <w:r>
        <w:rPr>
          <w:color w:val="231F20"/>
          <w:spacing w:val="-6"/>
        </w:rPr>
        <w:t xml:space="preserve"> </w:t>
      </w:r>
      <w:r>
        <w:rPr>
          <w:color w:val="231F20"/>
        </w:rPr>
        <w:t>публічної</w:t>
      </w:r>
      <w:r>
        <w:rPr>
          <w:color w:val="231F20"/>
          <w:spacing w:val="-2"/>
        </w:rPr>
        <w:t xml:space="preserve"> </w:t>
      </w:r>
      <w:r>
        <w:rPr>
          <w:color w:val="231F20"/>
        </w:rPr>
        <w:t>влади</w:t>
      </w:r>
      <w:r>
        <w:rPr>
          <w:color w:val="231F20"/>
          <w:u w:val="dotted" w:color="231F20"/>
        </w:rPr>
        <w:t xml:space="preserve"> </w:t>
      </w:r>
      <w:r>
        <w:rPr>
          <w:color w:val="231F20"/>
          <w:u w:val="dotted" w:color="231F20"/>
        </w:rPr>
        <w:tab/>
      </w:r>
      <w:r>
        <w:rPr>
          <w:b/>
          <w:sz w:val="20"/>
        </w:rPr>
        <w:t>17</w:t>
      </w:r>
    </w:p>
    <w:p w14:paraId="3C8FC47B" w14:textId="77777777" w:rsidR="00DE575E" w:rsidRDefault="002E7560">
      <w:pPr>
        <w:pStyle w:val="ListParagraph"/>
        <w:numPr>
          <w:ilvl w:val="3"/>
          <w:numId w:val="339"/>
        </w:numPr>
        <w:tabs>
          <w:tab w:val="left" w:pos="1931"/>
          <w:tab w:val="left" w:pos="6573"/>
        </w:tabs>
        <w:spacing w:before="25"/>
        <w:ind w:hanging="716"/>
        <w:rPr>
          <w:b/>
          <w:sz w:val="20"/>
        </w:rPr>
      </w:pPr>
      <w:r>
        <w:rPr>
          <w:color w:val="231F20"/>
          <w:sz w:val="21"/>
        </w:rPr>
        <w:t>Види</w:t>
      </w:r>
      <w:r>
        <w:rPr>
          <w:color w:val="231F20"/>
          <w:spacing w:val="-3"/>
          <w:sz w:val="21"/>
        </w:rPr>
        <w:t xml:space="preserve"> </w:t>
      </w:r>
      <w:r>
        <w:rPr>
          <w:color w:val="231F20"/>
          <w:sz w:val="21"/>
        </w:rPr>
        <w:t>публічного</w:t>
      </w:r>
      <w:r>
        <w:rPr>
          <w:color w:val="231F20"/>
          <w:spacing w:val="-2"/>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20</w:t>
      </w:r>
    </w:p>
    <w:p w14:paraId="72717733" w14:textId="77777777" w:rsidR="00DE575E" w:rsidRDefault="002E7560">
      <w:pPr>
        <w:pStyle w:val="ListParagraph"/>
        <w:numPr>
          <w:ilvl w:val="2"/>
          <w:numId w:val="339"/>
        </w:numPr>
        <w:tabs>
          <w:tab w:val="left" w:pos="1215"/>
          <w:tab w:val="left" w:pos="6573"/>
        </w:tabs>
        <w:spacing w:before="24"/>
        <w:rPr>
          <w:b/>
          <w:sz w:val="20"/>
        </w:rPr>
      </w:pPr>
      <w:r>
        <w:rPr>
          <w:color w:val="231F20"/>
          <w:spacing w:val="-4"/>
          <w:sz w:val="21"/>
        </w:rPr>
        <w:t>Суб’єкти</w:t>
      </w:r>
      <w:r>
        <w:rPr>
          <w:color w:val="231F20"/>
          <w:spacing w:val="-2"/>
          <w:sz w:val="21"/>
        </w:rPr>
        <w:t xml:space="preserve"> </w:t>
      </w:r>
      <w:r>
        <w:rPr>
          <w:color w:val="231F20"/>
          <w:sz w:val="21"/>
        </w:rPr>
        <w:t>публічного</w:t>
      </w:r>
      <w:r>
        <w:rPr>
          <w:color w:val="231F20"/>
          <w:spacing w:val="-1"/>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21</w:t>
      </w:r>
    </w:p>
    <w:p w14:paraId="05F6DB8A" w14:textId="77777777" w:rsidR="00DE575E" w:rsidRDefault="002E7560">
      <w:pPr>
        <w:pStyle w:val="ListParagraph"/>
        <w:numPr>
          <w:ilvl w:val="2"/>
          <w:numId w:val="339"/>
        </w:numPr>
        <w:tabs>
          <w:tab w:val="left" w:pos="1215"/>
          <w:tab w:val="left" w:pos="6573"/>
        </w:tabs>
        <w:spacing w:before="25"/>
        <w:rPr>
          <w:b/>
          <w:sz w:val="20"/>
        </w:rPr>
      </w:pPr>
      <w:r>
        <w:rPr>
          <w:color w:val="231F20"/>
          <w:sz w:val="21"/>
        </w:rPr>
        <w:t>Публічний</w:t>
      </w:r>
      <w:r>
        <w:rPr>
          <w:color w:val="231F20"/>
          <w:spacing w:val="-2"/>
          <w:sz w:val="21"/>
        </w:rPr>
        <w:t xml:space="preserve"> </w:t>
      </w:r>
      <w:r>
        <w:rPr>
          <w:color w:val="231F20"/>
          <w:sz w:val="21"/>
        </w:rPr>
        <w:t>інтерес</w:t>
      </w:r>
      <w:r>
        <w:rPr>
          <w:color w:val="231F20"/>
          <w:sz w:val="21"/>
          <w:u w:val="dotted" w:color="231F20"/>
        </w:rPr>
        <w:t xml:space="preserve"> </w:t>
      </w:r>
      <w:r>
        <w:rPr>
          <w:color w:val="231F20"/>
          <w:sz w:val="21"/>
          <w:u w:val="dotted" w:color="231F20"/>
        </w:rPr>
        <w:tab/>
      </w:r>
      <w:r>
        <w:rPr>
          <w:b/>
          <w:sz w:val="20"/>
        </w:rPr>
        <w:t>23</w:t>
      </w:r>
    </w:p>
    <w:p w14:paraId="6A50E1EC" w14:textId="77777777" w:rsidR="00DE575E" w:rsidRDefault="002E7560">
      <w:pPr>
        <w:pStyle w:val="Heading5"/>
        <w:numPr>
          <w:ilvl w:val="1"/>
          <w:numId w:val="339"/>
        </w:numPr>
        <w:tabs>
          <w:tab w:val="left" w:pos="648"/>
          <w:tab w:val="left" w:pos="6573"/>
        </w:tabs>
        <w:spacing w:before="53"/>
        <w:rPr>
          <w:sz w:val="20"/>
        </w:rPr>
      </w:pPr>
      <w:r>
        <w:rPr>
          <w:color w:val="231F20"/>
        </w:rPr>
        <w:t>Адміністративне право як складова</w:t>
      </w:r>
      <w:r>
        <w:rPr>
          <w:color w:val="231F20"/>
          <w:spacing w:val="-16"/>
        </w:rPr>
        <w:t xml:space="preserve"> </w:t>
      </w:r>
      <w:r>
        <w:rPr>
          <w:color w:val="231F20"/>
        </w:rPr>
        <w:t>публічного</w:t>
      </w:r>
      <w:r>
        <w:rPr>
          <w:color w:val="231F20"/>
          <w:spacing w:val="-5"/>
        </w:rPr>
        <w:t xml:space="preserve"> </w:t>
      </w:r>
      <w:r>
        <w:rPr>
          <w:color w:val="231F20"/>
        </w:rPr>
        <w:t>права</w:t>
      </w:r>
      <w:r>
        <w:rPr>
          <w:color w:val="231F20"/>
          <w:u w:val="dotted" w:color="231F20"/>
        </w:rPr>
        <w:t xml:space="preserve"> </w:t>
      </w:r>
      <w:r>
        <w:rPr>
          <w:color w:val="231F20"/>
          <w:u w:val="dotted" w:color="231F20"/>
        </w:rPr>
        <w:tab/>
      </w:r>
      <w:r>
        <w:rPr>
          <w:sz w:val="20"/>
        </w:rPr>
        <w:t>24</w:t>
      </w:r>
    </w:p>
    <w:p w14:paraId="3BF7FBB1" w14:textId="77777777" w:rsidR="00DE575E" w:rsidRDefault="002E7560">
      <w:pPr>
        <w:pStyle w:val="ListParagraph"/>
        <w:numPr>
          <w:ilvl w:val="2"/>
          <w:numId w:val="339"/>
        </w:numPr>
        <w:tabs>
          <w:tab w:val="left" w:pos="1215"/>
        </w:tabs>
        <w:spacing w:before="24" w:line="230" w:lineRule="exact"/>
        <w:rPr>
          <w:sz w:val="21"/>
        </w:rPr>
      </w:pPr>
      <w:r>
        <w:rPr>
          <w:color w:val="231F20"/>
          <w:sz w:val="21"/>
        </w:rPr>
        <w:t>Призначення (мета і</w:t>
      </w:r>
      <w:r>
        <w:rPr>
          <w:color w:val="231F20"/>
          <w:spacing w:val="-2"/>
          <w:sz w:val="21"/>
        </w:rPr>
        <w:t xml:space="preserve"> </w:t>
      </w:r>
      <w:r>
        <w:rPr>
          <w:color w:val="231F20"/>
          <w:sz w:val="21"/>
        </w:rPr>
        <w:t>завдання)</w:t>
      </w:r>
    </w:p>
    <w:p w14:paraId="337F90CA" w14:textId="77777777" w:rsidR="00DE575E" w:rsidRDefault="002E7560">
      <w:pPr>
        <w:pStyle w:val="BodyText"/>
        <w:tabs>
          <w:tab w:val="left" w:pos="6573"/>
        </w:tabs>
        <w:spacing w:line="230" w:lineRule="exact"/>
        <w:ind w:left="1214"/>
        <w:rPr>
          <w:b/>
          <w:sz w:val="20"/>
        </w:rPr>
      </w:pP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24</w:t>
      </w:r>
    </w:p>
    <w:p w14:paraId="3FE266E8" w14:textId="77777777" w:rsidR="00DE575E" w:rsidRDefault="002E7560">
      <w:pPr>
        <w:pStyle w:val="ListParagraph"/>
        <w:numPr>
          <w:ilvl w:val="2"/>
          <w:numId w:val="339"/>
        </w:numPr>
        <w:tabs>
          <w:tab w:val="left" w:pos="1215"/>
          <w:tab w:val="left" w:pos="6573"/>
        </w:tabs>
        <w:spacing w:before="25"/>
        <w:rPr>
          <w:b/>
          <w:sz w:val="20"/>
        </w:rPr>
      </w:pPr>
      <w:r>
        <w:rPr>
          <w:color w:val="231F20"/>
          <w:sz w:val="21"/>
        </w:rPr>
        <w:t>Предмет</w:t>
      </w:r>
      <w:r>
        <w:rPr>
          <w:color w:val="231F20"/>
          <w:spacing w:val="-5"/>
          <w:sz w:val="21"/>
        </w:rPr>
        <w:t xml:space="preserve"> </w:t>
      </w:r>
      <w:r>
        <w:rPr>
          <w:color w:val="231F20"/>
          <w:sz w:val="21"/>
        </w:rPr>
        <w:t>адміністративного</w:t>
      </w:r>
      <w:r>
        <w:rPr>
          <w:color w:val="231F20"/>
          <w:spacing w:val="-5"/>
          <w:sz w:val="21"/>
        </w:rPr>
        <w:t xml:space="preserve"> </w:t>
      </w:r>
      <w:r>
        <w:rPr>
          <w:color w:val="231F20"/>
          <w:sz w:val="21"/>
        </w:rPr>
        <w:t>права</w:t>
      </w:r>
      <w:r>
        <w:rPr>
          <w:color w:val="231F20"/>
          <w:sz w:val="21"/>
          <w:u w:val="dotted" w:color="231F20"/>
        </w:rPr>
        <w:t xml:space="preserve"> </w:t>
      </w:r>
      <w:r>
        <w:rPr>
          <w:color w:val="231F20"/>
          <w:sz w:val="21"/>
          <w:u w:val="dotted" w:color="231F20"/>
        </w:rPr>
        <w:tab/>
      </w:r>
      <w:r>
        <w:rPr>
          <w:b/>
          <w:sz w:val="20"/>
        </w:rPr>
        <w:t>26</w:t>
      </w:r>
    </w:p>
    <w:p w14:paraId="6B929DBB" w14:textId="77777777" w:rsidR="00DE575E" w:rsidRDefault="002E7560">
      <w:pPr>
        <w:pStyle w:val="ListParagraph"/>
        <w:numPr>
          <w:ilvl w:val="2"/>
          <w:numId w:val="339"/>
        </w:numPr>
        <w:tabs>
          <w:tab w:val="left" w:pos="1215"/>
          <w:tab w:val="left" w:pos="6573"/>
        </w:tabs>
        <w:spacing w:before="24"/>
        <w:rPr>
          <w:b/>
          <w:sz w:val="20"/>
        </w:rPr>
      </w:pPr>
      <w:r>
        <w:rPr>
          <w:color w:val="231F20"/>
          <w:sz w:val="21"/>
        </w:rPr>
        <w:t>Адміністративно-правові</w:t>
      </w:r>
      <w:r>
        <w:rPr>
          <w:color w:val="231F20"/>
          <w:spacing w:val="-3"/>
          <w:sz w:val="21"/>
        </w:rPr>
        <w:t xml:space="preserve"> </w:t>
      </w:r>
      <w:r>
        <w:rPr>
          <w:color w:val="231F20"/>
          <w:sz w:val="21"/>
        </w:rPr>
        <w:t>відносини</w:t>
      </w:r>
      <w:r>
        <w:rPr>
          <w:color w:val="231F20"/>
          <w:sz w:val="21"/>
          <w:u w:val="dotted" w:color="231F20"/>
        </w:rPr>
        <w:t xml:space="preserve"> </w:t>
      </w:r>
      <w:r>
        <w:rPr>
          <w:color w:val="231F20"/>
          <w:sz w:val="21"/>
          <w:u w:val="dotted" w:color="231F20"/>
        </w:rPr>
        <w:tab/>
      </w:r>
      <w:r>
        <w:rPr>
          <w:b/>
          <w:sz w:val="20"/>
        </w:rPr>
        <w:t>27</w:t>
      </w:r>
    </w:p>
    <w:p w14:paraId="72BA0BC3" w14:textId="77777777" w:rsidR="00DE575E" w:rsidRDefault="002E7560">
      <w:pPr>
        <w:pStyle w:val="ListParagraph"/>
        <w:numPr>
          <w:ilvl w:val="3"/>
          <w:numId w:val="339"/>
        </w:numPr>
        <w:tabs>
          <w:tab w:val="left" w:pos="1931"/>
          <w:tab w:val="left" w:pos="6573"/>
        </w:tabs>
        <w:spacing w:before="51" w:line="208" w:lineRule="auto"/>
        <w:ind w:left="1611" w:right="411" w:hanging="397"/>
        <w:rPr>
          <w:b/>
          <w:sz w:val="20"/>
        </w:rPr>
      </w:pPr>
      <w:r>
        <w:rPr>
          <w:color w:val="231F20"/>
          <w:sz w:val="21"/>
        </w:rPr>
        <w:t>Відносини, що складають предмет адміністративного</w:t>
      </w:r>
      <w:r>
        <w:rPr>
          <w:color w:val="231F20"/>
          <w:spacing w:val="-3"/>
          <w:sz w:val="21"/>
        </w:rPr>
        <w:t xml:space="preserve"> </w:t>
      </w:r>
      <w:r>
        <w:rPr>
          <w:color w:val="231F20"/>
          <w:sz w:val="21"/>
        </w:rPr>
        <w:t>права</w:t>
      </w:r>
      <w:r>
        <w:rPr>
          <w:color w:val="231F20"/>
          <w:spacing w:val="-4"/>
          <w:sz w:val="21"/>
        </w:rPr>
        <w:t xml:space="preserve"> </w:t>
      </w:r>
      <w:r>
        <w:rPr>
          <w:color w:val="231F20"/>
          <w:spacing w:val="-3"/>
          <w:sz w:val="21"/>
        </w:rPr>
        <w:t>України</w:t>
      </w:r>
      <w:r>
        <w:rPr>
          <w:color w:val="231F20"/>
          <w:spacing w:val="-3"/>
          <w:sz w:val="21"/>
          <w:u w:val="dotted" w:color="231F20"/>
        </w:rPr>
        <w:t xml:space="preserve"> </w:t>
      </w:r>
      <w:r>
        <w:rPr>
          <w:color w:val="231F20"/>
          <w:spacing w:val="-3"/>
          <w:sz w:val="21"/>
          <w:u w:val="dotted" w:color="231F20"/>
        </w:rPr>
        <w:tab/>
      </w:r>
      <w:r>
        <w:rPr>
          <w:b/>
          <w:w w:val="80"/>
          <w:sz w:val="20"/>
        </w:rPr>
        <w:t>34</w:t>
      </w:r>
    </w:p>
    <w:p w14:paraId="6662295B" w14:textId="77777777" w:rsidR="00DE575E" w:rsidRDefault="002E7560">
      <w:pPr>
        <w:pStyle w:val="ListParagraph"/>
        <w:numPr>
          <w:ilvl w:val="2"/>
          <w:numId w:val="339"/>
        </w:numPr>
        <w:tabs>
          <w:tab w:val="left" w:pos="1215"/>
        </w:tabs>
        <w:spacing w:before="30" w:line="230" w:lineRule="exact"/>
        <w:rPr>
          <w:sz w:val="21"/>
        </w:rPr>
      </w:pPr>
      <w:r>
        <w:rPr>
          <w:color w:val="231F20"/>
          <w:sz w:val="21"/>
        </w:rPr>
        <w:t>Адміністративне право як галузь,</w:t>
      </w:r>
      <w:r>
        <w:rPr>
          <w:color w:val="231F20"/>
          <w:spacing w:val="-5"/>
          <w:sz w:val="21"/>
        </w:rPr>
        <w:t xml:space="preserve"> </w:t>
      </w:r>
      <w:r>
        <w:rPr>
          <w:color w:val="231F20"/>
          <w:sz w:val="21"/>
        </w:rPr>
        <w:t>наука</w:t>
      </w:r>
    </w:p>
    <w:p w14:paraId="5ED96917" w14:textId="77777777" w:rsidR="00DE575E" w:rsidRDefault="002E7560">
      <w:pPr>
        <w:pStyle w:val="BodyText"/>
        <w:tabs>
          <w:tab w:val="left" w:pos="6573"/>
        </w:tabs>
        <w:spacing w:line="230" w:lineRule="exact"/>
        <w:ind w:left="1214"/>
        <w:rPr>
          <w:b/>
          <w:sz w:val="20"/>
        </w:rPr>
      </w:pPr>
      <w:r>
        <w:rPr>
          <w:color w:val="231F20"/>
        </w:rPr>
        <w:t>та</w:t>
      </w:r>
      <w:r>
        <w:rPr>
          <w:color w:val="231F20"/>
          <w:spacing w:val="-3"/>
        </w:rPr>
        <w:t xml:space="preserve"> </w:t>
      </w:r>
      <w:r>
        <w:rPr>
          <w:color w:val="231F20"/>
        </w:rPr>
        <w:t>навчальна</w:t>
      </w:r>
      <w:r>
        <w:rPr>
          <w:color w:val="231F20"/>
          <w:spacing w:val="-2"/>
        </w:rPr>
        <w:t xml:space="preserve"> </w:t>
      </w:r>
      <w:r>
        <w:rPr>
          <w:color w:val="231F20"/>
        </w:rPr>
        <w:t>дисципліна</w:t>
      </w:r>
      <w:r>
        <w:rPr>
          <w:color w:val="231F20"/>
          <w:u w:val="dotted" w:color="231F20"/>
        </w:rPr>
        <w:t xml:space="preserve"> </w:t>
      </w:r>
      <w:r>
        <w:rPr>
          <w:color w:val="231F20"/>
          <w:u w:val="dotted" w:color="231F20"/>
        </w:rPr>
        <w:tab/>
      </w:r>
      <w:r>
        <w:rPr>
          <w:b/>
          <w:sz w:val="20"/>
        </w:rPr>
        <w:t>34</w:t>
      </w:r>
    </w:p>
    <w:p w14:paraId="55A179CF" w14:textId="77777777" w:rsidR="00DE575E" w:rsidRDefault="002E7560">
      <w:pPr>
        <w:pStyle w:val="ListParagraph"/>
        <w:numPr>
          <w:ilvl w:val="2"/>
          <w:numId w:val="339"/>
        </w:numPr>
        <w:tabs>
          <w:tab w:val="left" w:pos="1215"/>
        </w:tabs>
        <w:spacing w:before="25" w:line="230" w:lineRule="exact"/>
        <w:rPr>
          <w:sz w:val="21"/>
        </w:rPr>
      </w:pPr>
      <w:r>
        <w:rPr>
          <w:color w:val="231F20"/>
          <w:sz w:val="21"/>
        </w:rPr>
        <w:t>Відмежування адміністративного</w:t>
      </w:r>
      <w:r>
        <w:rPr>
          <w:color w:val="231F20"/>
          <w:spacing w:val="-3"/>
          <w:sz w:val="21"/>
        </w:rPr>
        <w:t xml:space="preserve"> </w:t>
      </w:r>
      <w:r>
        <w:rPr>
          <w:color w:val="231F20"/>
          <w:sz w:val="21"/>
        </w:rPr>
        <w:t>права</w:t>
      </w:r>
    </w:p>
    <w:p w14:paraId="2ECAEDF7" w14:textId="77777777" w:rsidR="00DE575E" w:rsidRDefault="002E7560">
      <w:pPr>
        <w:pStyle w:val="BodyText"/>
        <w:tabs>
          <w:tab w:val="left" w:pos="6573"/>
        </w:tabs>
        <w:spacing w:line="230" w:lineRule="exact"/>
        <w:ind w:left="1214"/>
        <w:rPr>
          <w:b/>
          <w:sz w:val="20"/>
        </w:rPr>
      </w:pPr>
      <w:r>
        <w:rPr>
          <w:color w:val="231F20"/>
        </w:rPr>
        <w:t>від</w:t>
      </w:r>
      <w:r>
        <w:rPr>
          <w:color w:val="231F20"/>
          <w:spacing w:val="-1"/>
        </w:rPr>
        <w:t xml:space="preserve"> </w:t>
      </w:r>
      <w:r>
        <w:rPr>
          <w:color w:val="231F20"/>
        </w:rPr>
        <w:t>цивільного права</w:t>
      </w:r>
      <w:r>
        <w:rPr>
          <w:color w:val="231F20"/>
          <w:u w:val="dotted" w:color="231F20"/>
        </w:rPr>
        <w:t xml:space="preserve"> </w:t>
      </w:r>
      <w:r>
        <w:rPr>
          <w:color w:val="231F20"/>
          <w:u w:val="dotted" w:color="231F20"/>
        </w:rPr>
        <w:tab/>
      </w:r>
      <w:r>
        <w:rPr>
          <w:b/>
          <w:sz w:val="20"/>
        </w:rPr>
        <w:t>36</w:t>
      </w:r>
    </w:p>
    <w:p w14:paraId="3A17E88F" w14:textId="77777777" w:rsidR="00DE575E" w:rsidRDefault="002E7560">
      <w:pPr>
        <w:pStyle w:val="Heading5"/>
        <w:numPr>
          <w:ilvl w:val="1"/>
          <w:numId w:val="339"/>
        </w:numPr>
        <w:tabs>
          <w:tab w:val="left" w:pos="648"/>
        </w:tabs>
        <w:spacing w:before="52" w:line="230" w:lineRule="exact"/>
      </w:pPr>
      <w:r>
        <w:rPr>
          <w:color w:val="231F20"/>
        </w:rPr>
        <w:t>Взаємодія адміністративного права</w:t>
      </w:r>
      <w:r>
        <w:rPr>
          <w:color w:val="231F20"/>
          <w:spacing w:val="-5"/>
        </w:rPr>
        <w:t xml:space="preserve"> </w:t>
      </w:r>
      <w:r>
        <w:rPr>
          <w:color w:val="231F20"/>
          <w:spacing w:val="-4"/>
        </w:rPr>
        <w:t>України</w:t>
      </w:r>
    </w:p>
    <w:p w14:paraId="424188E5" w14:textId="77777777" w:rsidR="00DE575E" w:rsidRDefault="002E7560">
      <w:pPr>
        <w:tabs>
          <w:tab w:val="left" w:pos="6573"/>
        </w:tabs>
        <w:spacing w:line="230" w:lineRule="exact"/>
        <w:ind w:left="647"/>
        <w:rPr>
          <w:b/>
          <w:sz w:val="20"/>
        </w:rPr>
      </w:pPr>
      <w:r>
        <w:rPr>
          <w:b/>
          <w:color w:val="231F20"/>
          <w:sz w:val="21"/>
        </w:rPr>
        <w:t>та європейського</w:t>
      </w:r>
      <w:r>
        <w:rPr>
          <w:b/>
          <w:color w:val="231F20"/>
          <w:spacing w:val="-15"/>
          <w:sz w:val="21"/>
        </w:rPr>
        <w:t xml:space="preserve"> </w:t>
      </w:r>
      <w:r>
        <w:rPr>
          <w:b/>
          <w:color w:val="231F20"/>
          <w:sz w:val="21"/>
        </w:rPr>
        <w:t>адміністративного</w:t>
      </w:r>
      <w:r>
        <w:rPr>
          <w:b/>
          <w:color w:val="231F20"/>
          <w:spacing w:val="-8"/>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38</w:t>
      </w:r>
    </w:p>
    <w:p w14:paraId="672D95F3" w14:textId="77777777" w:rsidR="00DE575E" w:rsidRDefault="002E7560">
      <w:pPr>
        <w:pStyle w:val="ListParagraph"/>
        <w:numPr>
          <w:ilvl w:val="1"/>
          <w:numId w:val="339"/>
        </w:numPr>
        <w:tabs>
          <w:tab w:val="left" w:pos="648"/>
          <w:tab w:val="left" w:pos="6573"/>
        </w:tabs>
        <w:spacing w:before="53"/>
        <w:rPr>
          <w:b/>
          <w:sz w:val="20"/>
        </w:rPr>
      </w:pPr>
      <w:r>
        <w:rPr>
          <w:b/>
          <w:color w:val="231F20"/>
          <w:sz w:val="21"/>
        </w:rPr>
        <w:t>Система адміністративного</w:t>
      </w:r>
      <w:r>
        <w:rPr>
          <w:b/>
          <w:color w:val="231F20"/>
          <w:spacing w:val="-7"/>
          <w:sz w:val="21"/>
        </w:rPr>
        <w:t xml:space="preserve"> </w:t>
      </w:r>
      <w:r>
        <w:rPr>
          <w:b/>
          <w:color w:val="231F20"/>
          <w:sz w:val="21"/>
        </w:rPr>
        <w:t>права</w:t>
      </w:r>
      <w:r>
        <w:rPr>
          <w:b/>
          <w:color w:val="231F20"/>
          <w:spacing w:val="-4"/>
          <w:sz w:val="21"/>
        </w:rPr>
        <w:t xml:space="preserve"> України</w:t>
      </w:r>
      <w:r>
        <w:rPr>
          <w:b/>
          <w:color w:val="231F20"/>
          <w:spacing w:val="-4"/>
          <w:sz w:val="21"/>
          <w:u w:val="dotted" w:color="231F20"/>
        </w:rPr>
        <w:t xml:space="preserve"> </w:t>
      </w:r>
      <w:r>
        <w:rPr>
          <w:b/>
          <w:color w:val="231F20"/>
          <w:spacing w:val="-4"/>
          <w:sz w:val="21"/>
          <w:u w:val="dotted" w:color="231F20"/>
        </w:rPr>
        <w:tab/>
      </w:r>
      <w:r>
        <w:rPr>
          <w:b/>
          <w:sz w:val="20"/>
        </w:rPr>
        <w:t>40</w:t>
      </w:r>
    </w:p>
    <w:p w14:paraId="5ADE8688" w14:textId="77777777" w:rsidR="00DE575E" w:rsidRDefault="002E7560">
      <w:pPr>
        <w:spacing w:before="195" w:line="230" w:lineRule="exact"/>
        <w:ind w:left="250"/>
        <w:rPr>
          <w:b/>
          <w:sz w:val="21"/>
        </w:rPr>
      </w:pPr>
      <w:r>
        <w:rPr>
          <w:b/>
          <w:color w:val="231F20"/>
          <w:sz w:val="21"/>
        </w:rPr>
        <w:t>Розділ 2</w:t>
      </w:r>
    </w:p>
    <w:p w14:paraId="25DC07E5" w14:textId="77777777" w:rsidR="00DE575E" w:rsidRDefault="002E7560">
      <w:pPr>
        <w:tabs>
          <w:tab w:val="left" w:pos="6573"/>
        </w:tabs>
        <w:spacing w:line="230" w:lineRule="exact"/>
        <w:ind w:left="250"/>
        <w:rPr>
          <w:b/>
          <w:sz w:val="20"/>
        </w:rPr>
      </w:pPr>
      <w:r>
        <w:rPr>
          <w:b/>
          <w:color w:val="231F20"/>
          <w:sz w:val="21"/>
        </w:rPr>
        <w:t>ПРИНЦИПИ</w:t>
      </w:r>
      <w:r>
        <w:rPr>
          <w:b/>
          <w:color w:val="231F20"/>
          <w:spacing w:val="-1"/>
          <w:sz w:val="21"/>
        </w:rPr>
        <w:t xml:space="preserve"> </w:t>
      </w:r>
      <w:r>
        <w:rPr>
          <w:b/>
          <w:color w:val="231F20"/>
          <w:spacing w:val="-3"/>
          <w:sz w:val="21"/>
        </w:rPr>
        <w:t>АДМІНІСТРАТИВНОГО</w:t>
      </w:r>
      <w:r>
        <w:rPr>
          <w:b/>
          <w:color w:val="231F20"/>
          <w:spacing w:val="-1"/>
          <w:sz w:val="21"/>
        </w:rPr>
        <w:t xml:space="preserve"> </w:t>
      </w:r>
      <w:r>
        <w:rPr>
          <w:b/>
          <w:color w:val="231F20"/>
          <w:spacing w:val="-5"/>
          <w:sz w:val="21"/>
        </w:rPr>
        <w:t>ПРАВА</w:t>
      </w:r>
      <w:r>
        <w:rPr>
          <w:b/>
          <w:color w:val="231F20"/>
          <w:spacing w:val="-5"/>
          <w:sz w:val="21"/>
          <w:u w:val="dotted" w:color="231F20"/>
        </w:rPr>
        <w:t xml:space="preserve"> </w:t>
      </w:r>
      <w:r>
        <w:rPr>
          <w:b/>
          <w:color w:val="231F20"/>
          <w:spacing w:val="-5"/>
          <w:sz w:val="21"/>
          <w:u w:val="dotted" w:color="231F20"/>
        </w:rPr>
        <w:tab/>
      </w:r>
      <w:r>
        <w:rPr>
          <w:b/>
          <w:sz w:val="20"/>
        </w:rPr>
        <w:t>45</w:t>
      </w:r>
    </w:p>
    <w:p w14:paraId="052792AB" w14:textId="77777777" w:rsidR="00DE575E" w:rsidRDefault="002E7560">
      <w:pPr>
        <w:pStyle w:val="ListParagraph"/>
        <w:numPr>
          <w:ilvl w:val="1"/>
          <w:numId w:val="338"/>
        </w:numPr>
        <w:tabs>
          <w:tab w:val="left" w:pos="648"/>
        </w:tabs>
        <w:spacing w:before="53" w:line="230" w:lineRule="exact"/>
        <w:rPr>
          <w:b/>
          <w:sz w:val="21"/>
        </w:rPr>
      </w:pPr>
      <w:r>
        <w:rPr>
          <w:b/>
          <w:color w:val="231F20"/>
          <w:sz w:val="21"/>
        </w:rPr>
        <w:t>Поняття та значення</w:t>
      </w:r>
      <w:r>
        <w:rPr>
          <w:b/>
          <w:color w:val="231F20"/>
          <w:spacing w:val="-3"/>
          <w:sz w:val="21"/>
        </w:rPr>
        <w:t xml:space="preserve"> </w:t>
      </w:r>
      <w:r>
        <w:rPr>
          <w:b/>
          <w:color w:val="231F20"/>
          <w:sz w:val="21"/>
        </w:rPr>
        <w:t>принципів</w:t>
      </w:r>
    </w:p>
    <w:p w14:paraId="5A325F9E" w14:textId="77777777" w:rsidR="00DE575E" w:rsidRDefault="002E7560">
      <w:pPr>
        <w:tabs>
          <w:tab w:val="left" w:pos="6573"/>
        </w:tabs>
        <w:spacing w:line="230" w:lineRule="exact"/>
        <w:ind w:left="647"/>
        <w:rPr>
          <w:b/>
          <w:sz w:val="20"/>
        </w:rPr>
      </w:pPr>
      <w:r>
        <w:rPr>
          <w:b/>
          <w:color w:val="231F20"/>
          <w:sz w:val="21"/>
        </w:rPr>
        <w:t>адміністративного</w:t>
      </w:r>
      <w:r>
        <w:rPr>
          <w:b/>
          <w:color w:val="231F20"/>
          <w:spacing w:val="-6"/>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45</w:t>
      </w:r>
    </w:p>
    <w:p w14:paraId="598B24C3" w14:textId="77777777" w:rsidR="00DE575E" w:rsidRDefault="002E7560">
      <w:pPr>
        <w:pStyle w:val="ListParagraph"/>
        <w:numPr>
          <w:ilvl w:val="1"/>
          <w:numId w:val="338"/>
        </w:numPr>
        <w:tabs>
          <w:tab w:val="left" w:pos="648"/>
        </w:tabs>
        <w:spacing w:before="52" w:line="230" w:lineRule="exact"/>
        <w:rPr>
          <w:b/>
          <w:sz w:val="21"/>
        </w:rPr>
      </w:pPr>
      <w:r>
        <w:rPr>
          <w:b/>
          <w:color w:val="231F20"/>
          <w:sz w:val="21"/>
        </w:rPr>
        <w:t>Принцип верховенства</w:t>
      </w:r>
      <w:r>
        <w:rPr>
          <w:b/>
          <w:color w:val="231F20"/>
          <w:spacing w:val="-2"/>
          <w:sz w:val="21"/>
        </w:rPr>
        <w:t xml:space="preserve"> </w:t>
      </w:r>
      <w:r>
        <w:rPr>
          <w:b/>
          <w:color w:val="231F20"/>
          <w:sz w:val="21"/>
        </w:rPr>
        <w:t>права</w:t>
      </w:r>
    </w:p>
    <w:p w14:paraId="4A0E2A0D" w14:textId="77777777" w:rsidR="00DE575E" w:rsidRDefault="002E7560">
      <w:pPr>
        <w:tabs>
          <w:tab w:val="left" w:pos="6573"/>
        </w:tabs>
        <w:spacing w:line="230" w:lineRule="exact"/>
        <w:ind w:left="647"/>
        <w:rPr>
          <w:b/>
          <w:sz w:val="20"/>
        </w:rPr>
      </w:pPr>
      <w:r>
        <w:rPr>
          <w:b/>
          <w:color w:val="231F20"/>
          <w:sz w:val="21"/>
        </w:rPr>
        <w:t>в</w:t>
      </w:r>
      <w:r>
        <w:rPr>
          <w:b/>
          <w:color w:val="231F20"/>
          <w:spacing w:val="-3"/>
          <w:sz w:val="21"/>
        </w:rPr>
        <w:t xml:space="preserve"> </w:t>
      </w:r>
      <w:r>
        <w:rPr>
          <w:b/>
          <w:color w:val="231F20"/>
          <w:sz w:val="21"/>
        </w:rPr>
        <w:t>адміністративному</w:t>
      </w:r>
      <w:r>
        <w:rPr>
          <w:b/>
          <w:color w:val="231F20"/>
          <w:spacing w:val="-4"/>
          <w:sz w:val="21"/>
        </w:rPr>
        <w:t xml:space="preserve"> </w:t>
      </w:r>
      <w:r>
        <w:rPr>
          <w:b/>
          <w:color w:val="231F20"/>
          <w:sz w:val="21"/>
        </w:rPr>
        <w:t>праві</w:t>
      </w:r>
      <w:r>
        <w:rPr>
          <w:b/>
          <w:color w:val="231F20"/>
          <w:sz w:val="21"/>
          <w:u w:val="dotted" w:color="231F20"/>
        </w:rPr>
        <w:t xml:space="preserve"> </w:t>
      </w:r>
      <w:r>
        <w:rPr>
          <w:b/>
          <w:color w:val="231F20"/>
          <w:sz w:val="21"/>
          <w:u w:val="dotted" w:color="231F20"/>
        </w:rPr>
        <w:tab/>
      </w:r>
      <w:r>
        <w:rPr>
          <w:b/>
          <w:sz w:val="20"/>
        </w:rPr>
        <w:t>46</w:t>
      </w:r>
    </w:p>
    <w:p w14:paraId="1C700D11" w14:textId="77777777" w:rsidR="00DE575E" w:rsidRDefault="002E7560">
      <w:pPr>
        <w:pStyle w:val="ListParagraph"/>
        <w:numPr>
          <w:ilvl w:val="2"/>
          <w:numId w:val="338"/>
        </w:numPr>
        <w:tabs>
          <w:tab w:val="left" w:pos="1215"/>
          <w:tab w:val="left" w:pos="6573"/>
        </w:tabs>
        <w:spacing w:before="25"/>
        <w:rPr>
          <w:b/>
          <w:sz w:val="20"/>
        </w:rPr>
      </w:pPr>
      <w:r>
        <w:rPr>
          <w:color w:val="231F20"/>
          <w:sz w:val="21"/>
        </w:rPr>
        <w:t>Принцип законності в</w:t>
      </w:r>
      <w:r>
        <w:rPr>
          <w:color w:val="231F20"/>
          <w:spacing w:val="-11"/>
          <w:sz w:val="21"/>
        </w:rPr>
        <w:t xml:space="preserve"> </w:t>
      </w:r>
      <w:r>
        <w:rPr>
          <w:color w:val="231F20"/>
          <w:sz w:val="21"/>
        </w:rPr>
        <w:t>адміністративному</w:t>
      </w:r>
      <w:r>
        <w:rPr>
          <w:color w:val="231F20"/>
          <w:spacing w:val="-4"/>
          <w:sz w:val="21"/>
        </w:rPr>
        <w:t xml:space="preserve"> </w:t>
      </w:r>
      <w:r>
        <w:rPr>
          <w:color w:val="231F20"/>
          <w:sz w:val="21"/>
        </w:rPr>
        <w:t>праві</w:t>
      </w:r>
      <w:r>
        <w:rPr>
          <w:color w:val="231F20"/>
          <w:sz w:val="21"/>
          <w:u w:val="dotted" w:color="231F20"/>
        </w:rPr>
        <w:t xml:space="preserve"> </w:t>
      </w:r>
      <w:r>
        <w:rPr>
          <w:color w:val="231F20"/>
          <w:sz w:val="21"/>
          <w:u w:val="dotted" w:color="231F20"/>
        </w:rPr>
        <w:tab/>
      </w:r>
      <w:r>
        <w:rPr>
          <w:b/>
          <w:sz w:val="20"/>
        </w:rPr>
        <w:t>49</w:t>
      </w:r>
    </w:p>
    <w:p w14:paraId="11B1FE93" w14:textId="77777777" w:rsidR="00DE575E" w:rsidRDefault="002E7560">
      <w:pPr>
        <w:pStyle w:val="Heading5"/>
        <w:numPr>
          <w:ilvl w:val="1"/>
          <w:numId w:val="338"/>
        </w:numPr>
        <w:tabs>
          <w:tab w:val="left" w:pos="648"/>
          <w:tab w:val="left" w:pos="6573"/>
        </w:tabs>
        <w:spacing w:before="53"/>
        <w:rPr>
          <w:sz w:val="20"/>
        </w:rPr>
      </w:pPr>
      <w:r>
        <w:rPr>
          <w:color w:val="231F20"/>
        </w:rPr>
        <w:t>Принципи</w:t>
      </w:r>
      <w:r>
        <w:rPr>
          <w:color w:val="231F20"/>
          <w:spacing w:val="-4"/>
        </w:rPr>
        <w:t xml:space="preserve"> </w:t>
      </w:r>
      <w:r>
        <w:rPr>
          <w:color w:val="231F20"/>
        </w:rPr>
        <w:t>належного</w:t>
      </w:r>
      <w:r>
        <w:rPr>
          <w:color w:val="231F20"/>
          <w:spacing w:val="-4"/>
        </w:rPr>
        <w:t xml:space="preserve"> </w:t>
      </w:r>
      <w:r>
        <w:rPr>
          <w:color w:val="231F20"/>
        </w:rPr>
        <w:t>врядування</w:t>
      </w:r>
      <w:r>
        <w:rPr>
          <w:color w:val="231F20"/>
          <w:u w:val="dotted" w:color="231F20"/>
        </w:rPr>
        <w:t xml:space="preserve"> </w:t>
      </w:r>
      <w:r>
        <w:rPr>
          <w:color w:val="231F20"/>
          <w:u w:val="dotted" w:color="231F20"/>
        </w:rPr>
        <w:tab/>
      </w:r>
      <w:r>
        <w:rPr>
          <w:sz w:val="20"/>
        </w:rPr>
        <w:t>50</w:t>
      </w:r>
    </w:p>
    <w:p w14:paraId="7480061F" w14:textId="77777777" w:rsidR="00DE575E" w:rsidRDefault="002E7560">
      <w:pPr>
        <w:pStyle w:val="ListParagraph"/>
        <w:numPr>
          <w:ilvl w:val="2"/>
          <w:numId w:val="338"/>
        </w:numPr>
        <w:tabs>
          <w:tab w:val="left" w:pos="1215"/>
          <w:tab w:val="left" w:pos="6573"/>
        </w:tabs>
        <w:spacing w:before="24"/>
        <w:rPr>
          <w:b/>
          <w:sz w:val="20"/>
        </w:rPr>
      </w:pPr>
      <w:r>
        <w:rPr>
          <w:color w:val="231F20"/>
          <w:sz w:val="21"/>
        </w:rPr>
        <w:t>Основні принципи</w:t>
      </w:r>
      <w:r>
        <w:rPr>
          <w:color w:val="231F20"/>
          <w:spacing w:val="-6"/>
          <w:sz w:val="21"/>
        </w:rPr>
        <w:t xml:space="preserve"> </w:t>
      </w:r>
      <w:r>
        <w:rPr>
          <w:color w:val="231F20"/>
          <w:sz w:val="21"/>
        </w:rPr>
        <w:t>належного</w:t>
      </w:r>
      <w:r>
        <w:rPr>
          <w:color w:val="231F20"/>
          <w:spacing w:val="-4"/>
          <w:sz w:val="21"/>
        </w:rPr>
        <w:t xml:space="preserve"> </w:t>
      </w:r>
      <w:r>
        <w:rPr>
          <w:color w:val="231F20"/>
          <w:sz w:val="21"/>
        </w:rPr>
        <w:t>врядування</w:t>
      </w:r>
      <w:r>
        <w:rPr>
          <w:color w:val="231F20"/>
          <w:sz w:val="21"/>
          <w:u w:val="dotted" w:color="231F20"/>
        </w:rPr>
        <w:t xml:space="preserve"> </w:t>
      </w:r>
      <w:r>
        <w:rPr>
          <w:color w:val="231F20"/>
          <w:sz w:val="21"/>
          <w:u w:val="dotted" w:color="231F20"/>
        </w:rPr>
        <w:tab/>
      </w:r>
      <w:r>
        <w:rPr>
          <w:b/>
          <w:sz w:val="20"/>
        </w:rPr>
        <w:t>52</w:t>
      </w:r>
    </w:p>
    <w:p w14:paraId="6E77C05B" w14:textId="77777777" w:rsidR="00DE575E" w:rsidRDefault="002E7560">
      <w:pPr>
        <w:pStyle w:val="ListParagraph"/>
        <w:numPr>
          <w:ilvl w:val="3"/>
          <w:numId w:val="338"/>
        </w:numPr>
        <w:tabs>
          <w:tab w:val="left" w:pos="1931"/>
        </w:tabs>
        <w:spacing w:before="25" w:line="233" w:lineRule="exact"/>
        <w:ind w:firstLine="727"/>
        <w:jc w:val="left"/>
        <w:rPr>
          <w:sz w:val="21"/>
        </w:rPr>
      </w:pPr>
      <w:r>
        <w:rPr>
          <w:color w:val="231F20"/>
          <w:sz w:val="21"/>
        </w:rPr>
        <w:t>Принцип забезпечення</w:t>
      </w:r>
      <w:r>
        <w:rPr>
          <w:color w:val="231F20"/>
          <w:spacing w:val="-3"/>
          <w:sz w:val="21"/>
        </w:rPr>
        <w:t xml:space="preserve"> </w:t>
      </w:r>
      <w:r>
        <w:rPr>
          <w:color w:val="231F20"/>
          <w:sz w:val="21"/>
        </w:rPr>
        <w:t>участі</w:t>
      </w:r>
    </w:p>
    <w:p w14:paraId="031B4EE2" w14:textId="77777777" w:rsidR="00DE575E" w:rsidRDefault="002E7560">
      <w:pPr>
        <w:pStyle w:val="BodyText"/>
        <w:tabs>
          <w:tab w:val="left" w:pos="6573"/>
        </w:tabs>
        <w:spacing w:line="233" w:lineRule="exact"/>
        <w:ind w:left="1611"/>
        <w:rPr>
          <w:b/>
          <w:sz w:val="20"/>
        </w:rPr>
      </w:pPr>
      <w:r>
        <w:rPr>
          <w:color w:val="231F20"/>
        </w:rPr>
        <w:t>в ухваленні рішень і</w:t>
      </w:r>
      <w:r>
        <w:rPr>
          <w:color w:val="231F20"/>
          <w:spacing w:val="-9"/>
        </w:rPr>
        <w:t xml:space="preserve"> </w:t>
      </w:r>
      <w:r>
        <w:rPr>
          <w:color w:val="231F20"/>
        </w:rPr>
        <w:t>належного</w:t>
      </w:r>
      <w:r>
        <w:rPr>
          <w:color w:val="231F20"/>
          <w:spacing w:val="-2"/>
        </w:rPr>
        <w:t xml:space="preserve"> </w:t>
      </w:r>
      <w:r>
        <w:rPr>
          <w:color w:val="231F20"/>
        </w:rPr>
        <w:t>реагування</w:t>
      </w:r>
      <w:r>
        <w:rPr>
          <w:color w:val="231F20"/>
          <w:u w:val="dotted" w:color="231F20"/>
        </w:rPr>
        <w:t xml:space="preserve"> </w:t>
      </w:r>
      <w:r>
        <w:rPr>
          <w:color w:val="231F20"/>
          <w:u w:val="dotted" w:color="231F20"/>
        </w:rPr>
        <w:tab/>
      </w:r>
      <w:r>
        <w:rPr>
          <w:b/>
          <w:sz w:val="20"/>
        </w:rPr>
        <w:t>52</w:t>
      </w:r>
    </w:p>
    <w:p w14:paraId="49ADF643" w14:textId="77777777" w:rsidR="00DE575E" w:rsidRDefault="00DE575E">
      <w:pPr>
        <w:pStyle w:val="BodyText"/>
        <w:spacing w:before="3"/>
        <w:rPr>
          <w:b/>
          <w:sz w:val="19"/>
        </w:rPr>
      </w:pPr>
    </w:p>
    <w:p w14:paraId="31CD5118" w14:textId="77777777" w:rsidR="00DE575E" w:rsidRDefault="002E7560">
      <w:pPr>
        <w:spacing w:before="91"/>
        <w:ind w:right="411"/>
        <w:jc w:val="right"/>
        <w:rPr>
          <w:rFonts w:ascii="Times New Roman"/>
          <w:sz w:val="20"/>
        </w:rPr>
      </w:pPr>
      <w:r>
        <w:rPr>
          <w:rFonts w:ascii="Times New Roman"/>
          <w:color w:val="231F20"/>
          <w:w w:val="90"/>
          <w:sz w:val="20"/>
        </w:rPr>
        <w:t>5</w:t>
      </w:r>
    </w:p>
    <w:p w14:paraId="2CACCDA7" w14:textId="77777777" w:rsidR="00DE575E" w:rsidRDefault="00DE575E">
      <w:pPr>
        <w:jc w:val="right"/>
        <w:rPr>
          <w:rFonts w:ascii="Times New Roman"/>
          <w:sz w:val="20"/>
        </w:rPr>
        <w:sectPr w:rsidR="00DE575E">
          <w:pgSz w:w="8510" w:h="12760"/>
          <w:pgMar w:top="1180" w:right="720" w:bottom="280" w:left="600" w:header="720" w:footer="720" w:gutter="0"/>
          <w:cols w:space="720"/>
        </w:sectPr>
      </w:pPr>
    </w:p>
    <w:p w14:paraId="7C5A4187"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D90CB49" w14:textId="6083EA4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6E7B18F" wp14:editId="52429CBD">
                <wp:extent cx="4140200" cy="6350"/>
                <wp:effectExtent l="0" t="0" r="12700" b="6350"/>
                <wp:docPr id="1404"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05" name="Line 14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F2C7B8" id="Group_x0020_14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lB0+OfQIAAJwFAAAOAAAA&#10;AAAAAAAAAAAAACwCAABkcnMvZTJvRG9jLnhtbFBLAQItABQABgAIAAAAIQBMp7CQ2QAAAAMBAAAP&#10;AAAAAAAAAAAAAAAAANUEAABkcnMvZG93bnJldi54bWxQSwUGAAAAAAQABADzAAAA2wUAAAAA&#10;">
                <v:line id="Line_x0020_14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5BBsUAAADdAAAADwAAAGRycy9kb3ducmV2LnhtbERP22rCQBB9F/yHZQq+lLqx1iKpq4hQ&#10;kD54SfyAMTtNQndnY3Y1ab++Wyj4NodzncWqt0bcqPW1YwWTcQKCuHC65lLBKX9/moPwAVmjcUwK&#10;vsnDajkcLDDVruMj3bJQihjCPkUFVQhNKqUvKrLox64hjtynay2GCNtS6ha7GG6NfE6SV2mx5thQ&#10;YUObioqv7GoV5JfHYA77D9Pl+/NUni+76c91p9TooV+/gQjUh7v4373Vcf5LMoO/b+IJ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35BBsUAAADdAAAADwAAAAAAAAAA&#10;AAAAAAChAgAAZHJzL2Rvd25yZXYueG1sUEsFBgAAAAAEAAQA+QAAAJMDAAAAAA==&#10;" strokecolor="#231f20" strokeweight=".5pt"/>
                <w10:anchorlock/>
              </v:group>
            </w:pict>
          </mc:Fallback>
        </mc:AlternateContent>
      </w:r>
    </w:p>
    <w:p w14:paraId="26D37115" w14:textId="77777777" w:rsidR="00DE575E" w:rsidRDefault="00DE575E">
      <w:pPr>
        <w:pStyle w:val="BodyText"/>
        <w:spacing w:before="7"/>
        <w:rPr>
          <w:rFonts w:ascii="AdonisC"/>
          <w:i/>
          <w:sz w:val="11"/>
        </w:rPr>
      </w:pPr>
    </w:p>
    <w:p w14:paraId="18A609FF" w14:textId="77777777" w:rsidR="00DE575E" w:rsidRDefault="00DE575E">
      <w:pPr>
        <w:rPr>
          <w:rFonts w:ascii="AdonisC"/>
          <w:sz w:val="11"/>
        </w:rPr>
        <w:sectPr w:rsidR="00DE575E">
          <w:pgSz w:w="8510" w:h="12760"/>
          <w:pgMar w:top="660" w:right="720" w:bottom="280" w:left="600" w:header="720" w:footer="720" w:gutter="0"/>
          <w:cols w:space="720"/>
        </w:sectPr>
      </w:pPr>
    </w:p>
    <w:p w14:paraId="34DA4D89" w14:textId="77777777" w:rsidR="00DE575E" w:rsidRDefault="00DE575E">
      <w:pPr>
        <w:pStyle w:val="BodyText"/>
        <w:rPr>
          <w:rFonts w:ascii="AdonisC"/>
          <w:i/>
          <w:sz w:val="24"/>
        </w:rPr>
      </w:pPr>
    </w:p>
    <w:p w14:paraId="35DD48B4" w14:textId="77777777" w:rsidR="00DE575E" w:rsidRDefault="00DE575E">
      <w:pPr>
        <w:pStyle w:val="BodyText"/>
        <w:rPr>
          <w:rFonts w:ascii="AdonisC"/>
          <w:i/>
          <w:sz w:val="24"/>
        </w:rPr>
      </w:pPr>
    </w:p>
    <w:p w14:paraId="053AE342" w14:textId="77777777" w:rsidR="00DE575E" w:rsidRDefault="00DE575E">
      <w:pPr>
        <w:pStyle w:val="BodyText"/>
        <w:rPr>
          <w:rFonts w:ascii="AdonisC"/>
          <w:i/>
          <w:sz w:val="24"/>
        </w:rPr>
      </w:pPr>
    </w:p>
    <w:p w14:paraId="3F2D017D" w14:textId="77777777" w:rsidR="00DE575E" w:rsidRDefault="00DE575E">
      <w:pPr>
        <w:pStyle w:val="BodyText"/>
        <w:rPr>
          <w:rFonts w:ascii="AdonisC"/>
          <w:i/>
          <w:sz w:val="24"/>
        </w:rPr>
      </w:pPr>
    </w:p>
    <w:p w14:paraId="3C9F0030" w14:textId="77777777" w:rsidR="00DE575E" w:rsidRDefault="00DE575E">
      <w:pPr>
        <w:pStyle w:val="BodyText"/>
        <w:rPr>
          <w:rFonts w:ascii="AdonisC"/>
          <w:i/>
          <w:sz w:val="24"/>
        </w:rPr>
      </w:pPr>
    </w:p>
    <w:p w14:paraId="3AD6FADE" w14:textId="77777777" w:rsidR="00DE575E" w:rsidRDefault="00DE575E">
      <w:pPr>
        <w:pStyle w:val="BodyText"/>
        <w:rPr>
          <w:rFonts w:ascii="AdonisC"/>
          <w:i/>
          <w:sz w:val="24"/>
        </w:rPr>
      </w:pPr>
    </w:p>
    <w:p w14:paraId="6462F0C9" w14:textId="77777777" w:rsidR="00DE575E" w:rsidRDefault="00DE575E">
      <w:pPr>
        <w:pStyle w:val="BodyText"/>
        <w:rPr>
          <w:rFonts w:ascii="AdonisC"/>
          <w:i/>
          <w:sz w:val="24"/>
        </w:rPr>
      </w:pPr>
    </w:p>
    <w:p w14:paraId="42BC3C91" w14:textId="77777777" w:rsidR="00DE575E" w:rsidRDefault="00DE575E">
      <w:pPr>
        <w:pStyle w:val="BodyText"/>
        <w:rPr>
          <w:rFonts w:ascii="AdonisC"/>
          <w:i/>
          <w:sz w:val="24"/>
        </w:rPr>
      </w:pPr>
    </w:p>
    <w:p w14:paraId="4A6C4F95" w14:textId="77777777" w:rsidR="00DE575E" w:rsidRDefault="00DE575E">
      <w:pPr>
        <w:pStyle w:val="BodyText"/>
        <w:rPr>
          <w:rFonts w:ascii="AdonisC"/>
          <w:i/>
          <w:sz w:val="24"/>
        </w:rPr>
      </w:pPr>
    </w:p>
    <w:p w14:paraId="3835D6DA" w14:textId="77777777" w:rsidR="00DE575E" w:rsidRDefault="00DE575E">
      <w:pPr>
        <w:pStyle w:val="BodyText"/>
        <w:rPr>
          <w:rFonts w:ascii="AdonisC"/>
          <w:i/>
          <w:sz w:val="24"/>
        </w:rPr>
      </w:pPr>
    </w:p>
    <w:p w14:paraId="04804D3B" w14:textId="77777777" w:rsidR="00DE575E" w:rsidRDefault="00DE575E">
      <w:pPr>
        <w:pStyle w:val="BodyText"/>
        <w:rPr>
          <w:rFonts w:ascii="AdonisC"/>
          <w:i/>
          <w:sz w:val="24"/>
        </w:rPr>
      </w:pPr>
    </w:p>
    <w:p w14:paraId="491F705A" w14:textId="77777777" w:rsidR="00DE575E" w:rsidRDefault="00DE575E">
      <w:pPr>
        <w:pStyle w:val="BodyText"/>
        <w:spacing w:before="1"/>
        <w:rPr>
          <w:rFonts w:ascii="AdonisC"/>
          <w:i/>
          <w:sz w:val="31"/>
        </w:rPr>
      </w:pPr>
    </w:p>
    <w:p w14:paraId="56261512" w14:textId="77777777" w:rsidR="00DE575E" w:rsidRDefault="002E7560">
      <w:pPr>
        <w:pStyle w:val="Heading5"/>
      </w:pPr>
      <w:r>
        <w:rPr>
          <w:color w:val="231F20"/>
        </w:rPr>
        <w:t>Розділ</w:t>
      </w:r>
      <w:r>
        <w:rPr>
          <w:color w:val="231F20"/>
          <w:spacing w:val="-10"/>
        </w:rPr>
        <w:t xml:space="preserve"> </w:t>
      </w:r>
      <w:r>
        <w:rPr>
          <w:color w:val="231F20"/>
        </w:rPr>
        <w:t>3</w:t>
      </w:r>
    </w:p>
    <w:p w14:paraId="0E032E5B" w14:textId="77777777" w:rsidR="00DE575E" w:rsidRDefault="002E7560">
      <w:pPr>
        <w:pStyle w:val="ListParagraph"/>
        <w:numPr>
          <w:ilvl w:val="3"/>
          <w:numId w:val="338"/>
        </w:numPr>
        <w:tabs>
          <w:tab w:val="left" w:pos="807"/>
          <w:tab w:val="left" w:pos="5449"/>
        </w:tabs>
        <w:spacing w:before="101"/>
        <w:ind w:left="806" w:hanging="716"/>
        <w:jc w:val="left"/>
        <w:rPr>
          <w:b/>
          <w:sz w:val="20"/>
        </w:rPr>
      </w:pPr>
      <w:r>
        <w:rPr>
          <w:color w:val="231F20"/>
          <w:spacing w:val="-1"/>
          <w:sz w:val="21"/>
        </w:rPr>
        <w:br w:type="column"/>
      </w:r>
      <w:r>
        <w:rPr>
          <w:color w:val="231F20"/>
          <w:sz w:val="21"/>
        </w:rPr>
        <w:lastRenderedPageBreak/>
        <w:t>Принцип відкритості</w:t>
      </w:r>
      <w:r>
        <w:rPr>
          <w:color w:val="231F20"/>
          <w:spacing w:val="-2"/>
          <w:sz w:val="21"/>
        </w:rPr>
        <w:t xml:space="preserve"> </w:t>
      </w:r>
      <w:r>
        <w:rPr>
          <w:color w:val="231F20"/>
          <w:sz w:val="21"/>
        </w:rPr>
        <w:t>й</w:t>
      </w:r>
      <w:r>
        <w:rPr>
          <w:color w:val="231F20"/>
          <w:spacing w:val="-2"/>
          <w:sz w:val="21"/>
        </w:rPr>
        <w:t xml:space="preserve"> </w:t>
      </w:r>
      <w:r>
        <w:rPr>
          <w:color w:val="231F20"/>
          <w:sz w:val="21"/>
        </w:rPr>
        <w:t>прозорості</w:t>
      </w:r>
      <w:r>
        <w:rPr>
          <w:color w:val="231F20"/>
          <w:sz w:val="21"/>
          <w:u w:val="dotted" w:color="231F20"/>
        </w:rPr>
        <w:t xml:space="preserve"> </w:t>
      </w:r>
      <w:r>
        <w:rPr>
          <w:color w:val="231F20"/>
          <w:sz w:val="21"/>
          <w:u w:val="dotted" w:color="231F20"/>
        </w:rPr>
        <w:tab/>
      </w:r>
      <w:r>
        <w:rPr>
          <w:b/>
          <w:sz w:val="20"/>
        </w:rPr>
        <w:t>53</w:t>
      </w:r>
    </w:p>
    <w:p w14:paraId="2B16123B" w14:textId="77777777" w:rsidR="00DE575E" w:rsidRDefault="002E7560">
      <w:pPr>
        <w:pStyle w:val="ListParagraph"/>
        <w:numPr>
          <w:ilvl w:val="3"/>
          <w:numId w:val="338"/>
        </w:numPr>
        <w:tabs>
          <w:tab w:val="left" w:pos="807"/>
          <w:tab w:val="left" w:pos="5449"/>
        </w:tabs>
        <w:spacing w:before="33"/>
        <w:ind w:left="806" w:hanging="716"/>
        <w:jc w:val="left"/>
        <w:rPr>
          <w:b/>
          <w:sz w:val="20"/>
        </w:rPr>
      </w:pPr>
      <w:r>
        <w:rPr>
          <w:color w:val="231F20"/>
          <w:sz w:val="21"/>
        </w:rPr>
        <w:t>Принцип доброчесності й</w:t>
      </w:r>
      <w:r>
        <w:rPr>
          <w:color w:val="231F20"/>
          <w:spacing w:val="-9"/>
          <w:sz w:val="21"/>
        </w:rPr>
        <w:t xml:space="preserve"> </w:t>
      </w:r>
      <w:r>
        <w:rPr>
          <w:color w:val="231F20"/>
          <w:sz w:val="21"/>
        </w:rPr>
        <w:t>етичної</w:t>
      </w:r>
      <w:r>
        <w:rPr>
          <w:color w:val="231F20"/>
          <w:spacing w:val="-2"/>
          <w:sz w:val="21"/>
        </w:rPr>
        <w:t xml:space="preserve"> </w:t>
      </w:r>
      <w:r>
        <w:rPr>
          <w:color w:val="231F20"/>
          <w:sz w:val="21"/>
        </w:rPr>
        <w:t>поведінки</w:t>
      </w:r>
      <w:r>
        <w:rPr>
          <w:color w:val="231F20"/>
          <w:sz w:val="21"/>
          <w:u w:val="dotted" w:color="231F20"/>
        </w:rPr>
        <w:t xml:space="preserve"> </w:t>
      </w:r>
      <w:r>
        <w:rPr>
          <w:color w:val="231F20"/>
          <w:sz w:val="21"/>
          <w:u w:val="dotted" w:color="231F20"/>
        </w:rPr>
        <w:tab/>
      </w:r>
      <w:r>
        <w:rPr>
          <w:b/>
          <w:sz w:val="20"/>
        </w:rPr>
        <w:t>54</w:t>
      </w:r>
    </w:p>
    <w:p w14:paraId="08C62B9E" w14:textId="77777777" w:rsidR="00DE575E" w:rsidRDefault="002E7560">
      <w:pPr>
        <w:pStyle w:val="ListParagraph"/>
        <w:numPr>
          <w:ilvl w:val="3"/>
          <w:numId w:val="338"/>
        </w:numPr>
        <w:tabs>
          <w:tab w:val="left" w:pos="807"/>
        </w:tabs>
        <w:spacing w:before="34" w:line="235" w:lineRule="exact"/>
        <w:ind w:left="806" w:hanging="716"/>
        <w:jc w:val="left"/>
        <w:rPr>
          <w:sz w:val="21"/>
        </w:rPr>
      </w:pPr>
      <w:r>
        <w:rPr>
          <w:color w:val="231F20"/>
          <w:sz w:val="21"/>
        </w:rPr>
        <w:t>Принципи ефективності,</w:t>
      </w:r>
      <w:r>
        <w:rPr>
          <w:color w:val="231F20"/>
          <w:spacing w:val="-2"/>
          <w:sz w:val="21"/>
        </w:rPr>
        <w:t xml:space="preserve"> </w:t>
      </w:r>
      <w:r>
        <w:rPr>
          <w:color w:val="231F20"/>
          <w:sz w:val="21"/>
        </w:rPr>
        <w:t>компетентності</w:t>
      </w:r>
    </w:p>
    <w:p w14:paraId="3583F922" w14:textId="77777777" w:rsidR="00DE575E" w:rsidRDefault="002E7560">
      <w:pPr>
        <w:pStyle w:val="BodyText"/>
        <w:tabs>
          <w:tab w:val="left" w:pos="5449"/>
        </w:tabs>
        <w:spacing w:line="235" w:lineRule="exact"/>
        <w:ind w:left="487"/>
        <w:rPr>
          <w:b/>
          <w:sz w:val="20"/>
        </w:rPr>
      </w:pPr>
      <w:r>
        <w:rPr>
          <w:color w:val="231F20"/>
        </w:rPr>
        <w:t>й</w:t>
      </w:r>
      <w:r>
        <w:rPr>
          <w:color w:val="231F20"/>
          <w:spacing w:val="-1"/>
        </w:rPr>
        <w:t xml:space="preserve"> </w:t>
      </w:r>
      <w:r>
        <w:rPr>
          <w:color w:val="231F20"/>
        </w:rPr>
        <w:t>спроможності</w:t>
      </w:r>
      <w:r>
        <w:rPr>
          <w:color w:val="231F20"/>
          <w:u w:val="dotted" w:color="231F20"/>
        </w:rPr>
        <w:t xml:space="preserve"> </w:t>
      </w:r>
      <w:r>
        <w:rPr>
          <w:color w:val="231F20"/>
          <w:u w:val="dotted" w:color="231F20"/>
        </w:rPr>
        <w:tab/>
      </w:r>
      <w:r>
        <w:rPr>
          <w:b/>
          <w:sz w:val="20"/>
        </w:rPr>
        <w:t>55</w:t>
      </w:r>
    </w:p>
    <w:p w14:paraId="22F951B0" w14:textId="77777777" w:rsidR="00DE575E" w:rsidRDefault="002E7560">
      <w:pPr>
        <w:pStyle w:val="ListParagraph"/>
        <w:numPr>
          <w:ilvl w:val="3"/>
          <w:numId w:val="338"/>
        </w:numPr>
        <w:tabs>
          <w:tab w:val="left" w:pos="807"/>
          <w:tab w:val="left" w:pos="5449"/>
        </w:tabs>
        <w:spacing w:before="34"/>
        <w:ind w:left="806" w:hanging="716"/>
        <w:jc w:val="left"/>
        <w:rPr>
          <w:b/>
          <w:sz w:val="20"/>
        </w:rPr>
      </w:pPr>
      <w:r>
        <w:rPr>
          <w:color w:val="231F20"/>
          <w:spacing w:val="-5"/>
          <w:sz w:val="21"/>
        </w:rPr>
        <w:t xml:space="preserve">Принцип інноваційності </w:t>
      </w:r>
      <w:r>
        <w:rPr>
          <w:color w:val="231F20"/>
          <w:spacing w:val="-3"/>
          <w:sz w:val="21"/>
        </w:rPr>
        <w:t xml:space="preserve">та </w:t>
      </w:r>
      <w:r>
        <w:rPr>
          <w:color w:val="231F20"/>
          <w:spacing w:val="-5"/>
          <w:sz w:val="21"/>
        </w:rPr>
        <w:t>відкритості</w:t>
      </w:r>
      <w:r>
        <w:rPr>
          <w:color w:val="231F20"/>
          <w:spacing w:val="-15"/>
          <w:sz w:val="21"/>
        </w:rPr>
        <w:t xml:space="preserve"> </w:t>
      </w:r>
      <w:r>
        <w:rPr>
          <w:color w:val="231F20"/>
          <w:spacing w:val="-3"/>
          <w:sz w:val="21"/>
        </w:rPr>
        <w:t>до</w:t>
      </w:r>
      <w:r>
        <w:rPr>
          <w:color w:val="231F20"/>
          <w:spacing w:val="-7"/>
          <w:sz w:val="21"/>
        </w:rPr>
        <w:t xml:space="preserve"> </w:t>
      </w:r>
      <w:r>
        <w:rPr>
          <w:color w:val="231F20"/>
          <w:spacing w:val="-4"/>
          <w:sz w:val="21"/>
        </w:rPr>
        <w:t>змін</w:t>
      </w:r>
      <w:r>
        <w:rPr>
          <w:color w:val="231F20"/>
          <w:spacing w:val="-4"/>
          <w:sz w:val="21"/>
          <w:u w:val="dotted" w:color="231F20"/>
        </w:rPr>
        <w:t xml:space="preserve"> </w:t>
      </w:r>
      <w:r>
        <w:rPr>
          <w:color w:val="231F20"/>
          <w:spacing w:val="-4"/>
          <w:sz w:val="21"/>
          <w:u w:val="dotted" w:color="231F20"/>
        </w:rPr>
        <w:tab/>
      </w:r>
      <w:r>
        <w:rPr>
          <w:b/>
          <w:sz w:val="20"/>
        </w:rPr>
        <w:t>55</w:t>
      </w:r>
    </w:p>
    <w:p w14:paraId="51BF9997" w14:textId="77777777" w:rsidR="00DE575E" w:rsidRDefault="002E7560">
      <w:pPr>
        <w:pStyle w:val="ListParagraph"/>
        <w:numPr>
          <w:ilvl w:val="3"/>
          <w:numId w:val="338"/>
        </w:numPr>
        <w:tabs>
          <w:tab w:val="left" w:pos="807"/>
          <w:tab w:val="left" w:pos="5449"/>
        </w:tabs>
        <w:spacing w:before="52" w:line="218" w:lineRule="auto"/>
        <w:ind w:right="128" w:hanging="397"/>
        <w:jc w:val="left"/>
        <w:rPr>
          <w:b/>
          <w:sz w:val="20"/>
        </w:rPr>
      </w:pPr>
      <w:r>
        <w:rPr>
          <w:color w:val="231F20"/>
          <w:sz w:val="21"/>
        </w:rPr>
        <w:t>Принцип сталості та довгострокової орієнтованості</w:t>
      </w:r>
      <w:r>
        <w:rPr>
          <w:color w:val="231F20"/>
          <w:sz w:val="21"/>
          <w:u w:val="dotted" w:color="231F20"/>
        </w:rPr>
        <w:t xml:space="preserve"> </w:t>
      </w:r>
      <w:r>
        <w:rPr>
          <w:color w:val="231F20"/>
          <w:sz w:val="21"/>
          <w:u w:val="dotted" w:color="231F20"/>
        </w:rPr>
        <w:tab/>
      </w:r>
      <w:r>
        <w:rPr>
          <w:b/>
          <w:w w:val="80"/>
          <w:sz w:val="20"/>
        </w:rPr>
        <w:t>55</w:t>
      </w:r>
    </w:p>
    <w:p w14:paraId="3E7408BA" w14:textId="77777777" w:rsidR="00DE575E" w:rsidRDefault="002E7560">
      <w:pPr>
        <w:pStyle w:val="ListParagraph"/>
        <w:numPr>
          <w:ilvl w:val="3"/>
          <w:numId w:val="338"/>
        </w:numPr>
        <w:tabs>
          <w:tab w:val="left" w:pos="807"/>
        </w:tabs>
        <w:spacing w:before="37" w:line="235" w:lineRule="exact"/>
        <w:ind w:left="806" w:hanging="716"/>
        <w:jc w:val="left"/>
        <w:rPr>
          <w:sz w:val="21"/>
        </w:rPr>
      </w:pPr>
      <w:r>
        <w:rPr>
          <w:color w:val="231F20"/>
          <w:sz w:val="21"/>
        </w:rPr>
        <w:t>Принципи поваги до прав</w:t>
      </w:r>
      <w:r>
        <w:rPr>
          <w:color w:val="231F20"/>
          <w:spacing w:val="-5"/>
          <w:sz w:val="21"/>
        </w:rPr>
        <w:t xml:space="preserve"> </w:t>
      </w:r>
      <w:r>
        <w:rPr>
          <w:color w:val="231F20"/>
          <w:sz w:val="21"/>
        </w:rPr>
        <w:t>людини</w:t>
      </w:r>
    </w:p>
    <w:p w14:paraId="047F9D5E" w14:textId="77777777" w:rsidR="00DE575E" w:rsidRDefault="002E7560">
      <w:pPr>
        <w:pStyle w:val="BodyText"/>
        <w:tabs>
          <w:tab w:val="left" w:pos="5449"/>
        </w:tabs>
        <w:spacing w:line="235" w:lineRule="exact"/>
        <w:ind w:left="487"/>
        <w:rPr>
          <w:b/>
          <w:sz w:val="20"/>
        </w:rPr>
      </w:pPr>
      <w:r>
        <w:rPr>
          <w:color w:val="231F20"/>
        </w:rPr>
        <w:t>та</w:t>
      </w:r>
      <w:r>
        <w:rPr>
          <w:color w:val="231F20"/>
          <w:spacing w:val="-7"/>
        </w:rPr>
        <w:t xml:space="preserve"> </w:t>
      </w:r>
      <w:r>
        <w:rPr>
          <w:color w:val="231F20"/>
        </w:rPr>
        <w:t>культурної</w:t>
      </w:r>
      <w:r>
        <w:rPr>
          <w:color w:val="231F20"/>
          <w:spacing w:val="-7"/>
        </w:rPr>
        <w:t xml:space="preserve"> </w:t>
      </w:r>
      <w:r>
        <w:rPr>
          <w:color w:val="231F20"/>
        </w:rPr>
        <w:t>різноманітності</w:t>
      </w:r>
      <w:r>
        <w:rPr>
          <w:color w:val="231F20"/>
          <w:u w:val="dotted" w:color="231F20"/>
        </w:rPr>
        <w:t xml:space="preserve"> </w:t>
      </w:r>
      <w:r>
        <w:rPr>
          <w:color w:val="231F20"/>
          <w:u w:val="dotted" w:color="231F20"/>
        </w:rPr>
        <w:tab/>
      </w:r>
      <w:r>
        <w:rPr>
          <w:b/>
          <w:sz w:val="20"/>
        </w:rPr>
        <w:t>56</w:t>
      </w:r>
    </w:p>
    <w:p w14:paraId="2EC4D1CD" w14:textId="77777777" w:rsidR="00DE575E" w:rsidRDefault="002E7560">
      <w:pPr>
        <w:pStyle w:val="ListParagraph"/>
        <w:numPr>
          <w:ilvl w:val="3"/>
          <w:numId w:val="338"/>
        </w:numPr>
        <w:tabs>
          <w:tab w:val="left" w:pos="807"/>
        </w:tabs>
        <w:spacing w:before="34" w:line="235" w:lineRule="exact"/>
        <w:ind w:left="806" w:hanging="716"/>
        <w:jc w:val="left"/>
        <w:rPr>
          <w:sz w:val="21"/>
        </w:rPr>
      </w:pPr>
      <w:r>
        <w:rPr>
          <w:color w:val="231F20"/>
          <w:sz w:val="21"/>
        </w:rPr>
        <w:t>Принципи забезпечення</w:t>
      </w:r>
      <w:r>
        <w:rPr>
          <w:color w:val="231F20"/>
          <w:spacing w:val="-3"/>
          <w:sz w:val="21"/>
        </w:rPr>
        <w:t xml:space="preserve"> </w:t>
      </w:r>
      <w:r>
        <w:rPr>
          <w:color w:val="231F20"/>
          <w:sz w:val="21"/>
        </w:rPr>
        <w:t>соціальної</w:t>
      </w:r>
    </w:p>
    <w:p w14:paraId="4FB17738" w14:textId="77777777" w:rsidR="00DE575E" w:rsidRDefault="002E7560">
      <w:pPr>
        <w:pStyle w:val="BodyText"/>
        <w:tabs>
          <w:tab w:val="left" w:pos="5449"/>
        </w:tabs>
        <w:spacing w:line="235" w:lineRule="exact"/>
        <w:ind w:left="487"/>
        <w:rPr>
          <w:b/>
          <w:sz w:val="20"/>
        </w:rPr>
      </w:pPr>
      <w:r>
        <w:rPr>
          <w:color w:val="231F20"/>
        </w:rPr>
        <w:t>згуртованості й</w:t>
      </w:r>
      <w:r>
        <w:rPr>
          <w:color w:val="231F20"/>
          <w:spacing w:val="-1"/>
        </w:rPr>
        <w:t xml:space="preserve"> </w:t>
      </w:r>
      <w:r>
        <w:rPr>
          <w:color w:val="231F20"/>
        </w:rPr>
        <w:t>підзвітності</w:t>
      </w:r>
      <w:r>
        <w:rPr>
          <w:color w:val="231F20"/>
          <w:u w:val="dotted" w:color="231F20"/>
        </w:rPr>
        <w:t xml:space="preserve"> </w:t>
      </w:r>
      <w:r>
        <w:rPr>
          <w:color w:val="231F20"/>
          <w:u w:val="dotted" w:color="231F20"/>
        </w:rPr>
        <w:tab/>
      </w:r>
      <w:r>
        <w:rPr>
          <w:b/>
          <w:sz w:val="20"/>
        </w:rPr>
        <w:t>57</w:t>
      </w:r>
    </w:p>
    <w:p w14:paraId="66377FB3" w14:textId="77777777" w:rsidR="00DE575E" w:rsidRDefault="00DE575E">
      <w:pPr>
        <w:spacing w:line="235" w:lineRule="exact"/>
        <w:rPr>
          <w:sz w:val="20"/>
        </w:rPr>
        <w:sectPr w:rsidR="00DE575E">
          <w:type w:val="continuous"/>
          <w:pgSz w:w="8510" w:h="12760"/>
          <w:pgMar w:top="1180" w:right="720" w:bottom="280" w:left="600" w:header="720" w:footer="720" w:gutter="0"/>
          <w:cols w:num="2" w:space="720" w:equalWidth="0">
            <w:col w:w="1368" w:space="40"/>
            <w:col w:w="5782"/>
          </w:cols>
        </w:sectPr>
      </w:pPr>
    </w:p>
    <w:p w14:paraId="7A2AE67E" w14:textId="77777777" w:rsidR="00DE575E" w:rsidRDefault="002E7560">
      <w:pPr>
        <w:pStyle w:val="Heading5"/>
        <w:tabs>
          <w:tab w:val="left" w:pos="6856"/>
        </w:tabs>
        <w:spacing w:before="17"/>
        <w:rPr>
          <w:sz w:val="20"/>
        </w:rPr>
      </w:pPr>
      <w:r>
        <w:rPr>
          <w:color w:val="231F20"/>
        </w:rPr>
        <w:lastRenderedPageBreak/>
        <w:t>ДЖЕРЕЛА</w:t>
      </w:r>
      <w:r>
        <w:rPr>
          <w:color w:val="231F20"/>
        </w:rPr>
        <w:t xml:space="preserve"> </w:t>
      </w:r>
      <w:r>
        <w:rPr>
          <w:color w:val="231F20"/>
          <w:spacing w:val="-3"/>
        </w:rPr>
        <w:t>АДМІНІСТРАТИВНОГО</w:t>
      </w:r>
      <w:r>
        <w:rPr>
          <w:color w:val="231F20"/>
        </w:rPr>
        <w:t xml:space="preserve"> </w:t>
      </w:r>
      <w:r>
        <w:rPr>
          <w:color w:val="231F20"/>
          <w:spacing w:val="-3"/>
        </w:rPr>
        <w:t>ПРАВА,</w:t>
      </w:r>
      <w:r>
        <w:rPr>
          <w:color w:val="231F20"/>
          <w:spacing w:val="-3"/>
          <w:u w:val="dotted" w:color="231F20"/>
        </w:rPr>
        <w:t xml:space="preserve"> </w:t>
      </w:r>
      <w:r>
        <w:rPr>
          <w:color w:val="231F20"/>
          <w:spacing w:val="-3"/>
          <w:u w:val="dotted" w:color="231F20"/>
        </w:rPr>
        <w:tab/>
      </w:r>
      <w:r>
        <w:rPr>
          <w:sz w:val="20"/>
        </w:rPr>
        <w:t>59</w:t>
      </w:r>
    </w:p>
    <w:p w14:paraId="5AD96243" w14:textId="77777777" w:rsidR="00DE575E" w:rsidRDefault="002E7560">
      <w:pPr>
        <w:pStyle w:val="ListParagraph"/>
        <w:numPr>
          <w:ilvl w:val="1"/>
          <w:numId w:val="337"/>
        </w:numPr>
        <w:tabs>
          <w:tab w:val="left" w:pos="931"/>
          <w:tab w:val="left" w:pos="6856"/>
        </w:tabs>
        <w:spacing w:before="62"/>
        <w:jc w:val="left"/>
        <w:rPr>
          <w:b/>
          <w:sz w:val="20"/>
        </w:rPr>
      </w:pPr>
      <w:r>
        <w:rPr>
          <w:b/>
          <w:color w:val="231F20"/>
          <w:sz w:val="21"/>
        </w:rPr>
        <w:t>Поняття та види джерел</w:t>
      </w:r>
      <w:r>
        <w:rPr>
          <w:b/>
          <w:color w:val="231F20"/>
          <w:spacing w:val="-17"/>
          <w:sz w:val="21"/>
        </w:rPr>
        <w:t xml:space="preserve"> </w:t>
      </w:r>
      <w:r>
        <w:rPr>
          <w:b/>
          <w:color w:val="231F20"/>
          <w:sz w:val="21"/>
        </w:rPr>
        <w:t>адміністративного</w:t>
      </w:r>
      <w:r>
        <w:rPr>
          <w:b/>
          <w:color w:val="231F20"/>
          <w:spacing w:val="-5"/>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59</w:t>
      </w:r>
    </w:p>
    <w:p w14:paraId="609B9328" w14:textId="77777777" w:rsidR="00DE575E" w:rsidRDefault="002E7560">
      <w:pPr>
        <w:pStyle w:val="ListParagraph"/>
        <w:numPr>
          <w:ilvl w:val="2"/>
          <w:numId w:val="337"/>
        </w:numPr>
        <w:tabs>
          <w:tab w:val="left" w:pos="1498"/>
          <w:tab w:val="left" w:pos="6856"/>
        </w:tabs>
        <w:spacing w:before="34"/>
        <w:rPr>
          <w:b/>
          <w:sz w:val="20"/>
        </w:rPr>
      </w:pPr>
      <w:r>
        <w:rPr>
          <w:color w:val="231F20"/>
          <w:sz w:val="21"/>
        </w:rPr>
        <w:t>Система джерел</w:t>
      </w:r>
      <w:r>
        <w:rPr>
          <w:color w:val="231F20"/>
          <w:spacing w:val="-5"/>
          <w:sz w:val="21"/>
        </w:rPr>
        <w:t xml:space="preserve"> </w:t>
      </w:r>
      <w:r>
        <w:rPr>
          <w:color w:val="231F20"/>
          <w:sz w:val="21"/>
        </w:rPr>
        <w:t>адміністративного</w:t>
      </w:r>
      <w:r>
        <w:rPr>
          <w:color w:val="231F20"/>
          <w:spacing w:val="-3"/>
          <w:sz w:val="21"/>
        </w:rPr>
        <w:t xml:space="preserve"> </w:t>
      </w:r>
      <w:r>
        <w:rPr>
          <w:color w:val="231F20"/>
          <w:sz w:val="21"/>
        </w:rPr>
        <w:t>права</w:t>
      </w:r>
      <w:r>
        <w:rPr>
          <w:color w:val="231F20"/>
          <w:sz w:val="21"/>
          <w:u w:val="dotted" w:color="231F20"/>
        </w:rPr>
        <w:t xml:space="preserve"> </w:t>
      </w:r>
      <w:r>
        <w:rPr>
          <w:color w:val="231F20"/>
          <w:sz w:val="21"/>
          <w:u w:val="dotted" w:color="231F20"/>
        </w:rPr>
        <w:tab/>
      </w:r>
      <w:r>
        <w:rPr>
          <w:b/>
          <w:sz w:val="20"/>
        </w:rPr>
        <w:t>59</w:t>
      </w:r>
    </w:p>
    <w:p w14:paraId="4B69582C" w14:textId="77777777" w:rsidR="00DE575E" w:rsidRDefault="002E7560">
      <w:pPr>
        <w:pStyle w:val="ListParagraph"/>
        <w:numPr>
          <w:ilvl w:val="2"/>
          <w:numId w:val="337"/>
        </w:numPr>
        <w:tabs>
          <w:tab w:val="left" w:pos="1498"/>
          <w:tab w:val="left" w:pos="6856"/>
        </w:tabs>
        <w:spacing w:before="34"/>
        <w:rPr>
          <w:b/>
          <w:sz w:val="20"/>
        </w:rPr>
      </w:pPr>
      <w:r>
        <w:rPr>
          <w:color w:val="231F20"/>
          <w:sz w:val="21"/>
        </w:rPr>
        <w:t>Значення джерел</w:t>
      </w:r>
      <w:r>
        <w:rPr>
          <w:color w:val="231F20"/>
          <w:spacing w:val="-7"/>
          <w:sz w:val="21"/>
        </w:rPr>
        <w:t xml:space="preserve"> </w:t>
      </w:r>
      <w:r>
        <w:rPr>
          <w:color w:val="231F20"/>
          <w:sz w:val="21"/>
        </w:rPr>
        <w:t>адміністративного</w:t>
      </w:r>
      <w:r>
        <w:rPr>
          <w:color w:val="231F20"/>
          <w:spacing w:val="-4"/>
          <w:sz w:val="21"/>
        </w:rPr>
        <w:t xml:space="preserve"> </w:t>
      </w:r>
      <w:r>
        <w:rPr>
          <w:color w:val="231F20"/>
          <w:sz w:val="21"/>
        </w:rPr>
        <w:t>права</w:t>
      </w:r>
      <w:r>
        <w:rPr>
          <w:color w:val="231F20"/>
          <w:sz w:val="21"/>
          <w:u w:val="dotted" w:color="231F20"/>
        </w:rPr>
        <w:t xml:space="preserve"> </w:t>
      </w:r>
      <w:r>
        <w:rPr>
          <w:color w:val="231F20"/>
          <w:sz w:val="21"/>
          <w:u w:val="dotted" w:color="231F20"/>
        </w:rPr>
        <w:tab/>
      </w:r>
      <w:r>
        <w:rPr>
          <w:b/>
          <w:sz w:val="20"/>
        </w:rPr>
        <w:t>60</w:t>
      </w:r>
    </w:p>
    <w:p w14:paraId="23686661" w14:textId="77777777" w:rsidR="00DE575E" w:rsidRDefault="002E7560">
      <w:pPr>
        <w:pStyle w:val="Heading5"/>
        <w:numPr>
          <w:ilvl w:val="1"/>
          <w:numId w:val="337"/>
        </w:numPr>
        <w:tabs>
          <w:tab w:val="left" w:pos="931"/>
          <w:tab w:val="left" w:pos="6856"/>
        </w:tabs>
        <w:spacing w:before="62"/>
        <w:jc w:val="left"/>
        <w:rPr>
          <w:sz w:val="20"/>
        </w:rPr>
      </w:pPr>
      <w:r>
        <w:rPr>
          <w:color w:val="231F20"/>
        </w:rPr>
        <w:t>Національні джерела</w:t>
      </w:r>
      <w:r>
        <w:rPr>
          <w:color w:val="231F20"/>
          <w:spacing w:val="-9"/>
        </w:rPr>
        <w:t xml:space="preserve"> </w:t>
      </w:r>
      <w:r>
        <w:rPr>
          <w:color w:val="231F20"/>
        </w:rPr>
        <w:t>адміністративного</w:t>
      </w:r>
      <w:r>
        <w:rPr>
          <w:color w:val="231F20"/>
          <w:spacing w:val="-5"/>
        </w:rPr>
        <w:t xml:space="preserve"> </w:t>
      </w:r>
      <w:r>
        <w:rPr>
          <w:color w:val="231F20"/>
        </w:rPr>
        <w:t>права</w:t>
      </w:r>
      <w:r>
        <w:rPr>
          <w:color w:val="231F20"/>
          <w:u w:val="dotted" w:color="231F20"/>
        </w:rPr>
        <w:t xml:space="preserve"> </w:t>
      </w:r>
      <w:r>
        <w:rPr>
          <w:color w:val="231F20"/>
          <w:u w:val="dotted" w:color="231F20"/>
        </w:rPr>
        <w:tab/>
      </w:r>
      <w:r>
        <w:rPr>
          <w:sz w:val="20"/>
        </w:rPr>
        <w:t>61</w:t>
      </w:r>
    </w:p>
    <w:p w14:paraId="772C5B45" w14:textId="77777777" w:rsidR="00DE575E" w:rsidRDefault="002E7560">
      <w:pPr>
        <w:pStyle w:val="ListParagraph"/>
        <w:numPr>
          <w:ilvl w:val="2"/>
          <w:numId w:val="337"/>
        </w:numPr>
        <w:tabs>
          <w:tab w:val="left" w:pos="1498"/>
          <w:tab w:val="left" w:pos="6856"/>
        </w:tabs>
        <w:spacing w:before="52" w:line="218" w:lineRule="auto"/>
        <w:ind w:right="128"/>
        <w:rPr>
          <w:b/>
          <w:sz w:val="20"/>
        </w:rPr>
      </w:pPr>
      <w:r>
        <w:rPr>
          <w:color w:val="231F20"/>
          <w:sz w:val="21"/>
        </w:rPr>
        <w:t xml:space="preserve">Конституція </w:t>
      </w:r>
      <w:r>
        <w:rPr>
          <w:color w:val="231F20"/>
          <w:spacing w:val="-3"/>
          <w:sz w:val="21"/>
        </w:rPr>
        <w:t xml:space="preserve">України </w:t>
      </w:r>
      <w:r>
        <w:rPr>
          <w:color w:val="231F20"/>
          <w:sz w:val="21"/>
        </w:rPr>
        <w:t>як основне джерело адміністративного</w:t>
      </w:r>
      <w:r>
        <w:rPr>
          <w:color w:val="231F20"/>
          <w:spacing w:val="-3"/>
          <w:sz w:val="21"/>
        </w:rPr>
        <w:t xml:space="preserve"> </w:t>
      </w:r>
      <w:r>
        <w:rPr>
          <w:color w:val="231F20"/>
          <w:sz w:val="21"/>
        </w:rPr>
        <w:t>права</w:t>
      </w:r>
      <w:r>
        <w:rPr>
          <w:color w:val="231F20"/>
          <w:sz w:val="21"/>
          <w:u w:val="dotted" w:color="231F20"/>
        </w:rPr>
        <w:t xml:space="preserve"> </w:t>
      </w:r>
      <w:r>
        <w:rPr>
          <w:color w:val="231F20"/>
          <w:sz w:val="21"/>
          <w:u w:val="dotted" w:color="231F20"/>
        </w:rPr>
        <w:tab/>
      </w:r>
      <w:r>
        <w:rPr>
          <w:b/>
          <w:w w:val="80"/>
          <w:sz w:val="20"/>
        </w:rPr>
        <w:t>61</w:t>
      </w:r>
    </w:p>
    <w:p w14:paraId="7BB66391" w14:textId="77777777" w:rsidR="00DE575E" w:rsidRDefault="002E7560">
      <w:pPr>
        <w:pStyle w:val="ListParagraph"/>
        <w:numPr>
          <w:ilvl w:val="2"/>
          <w:numId w:val="337"/>
        </w:numPr>
        <w:tabs>
          <w:tab w:val="left" w:pos="1498"/>
        </w:tabs>
        <w:spacing w:before="37" w:line="235" w:lineRule="exact"/>
        <w:rPr>
          <w:sz w:val="21"/>
        </w:rPr>
      </w:pPr>
      <w:r>
        <w:rPr>
          <w:color w:val="231F20"/>
          <w:sz w:val="21"/>
        </w:rPr>
        <w:t>Законодавчі акти</w:t>
      </w:r>
      <w:r>
        <w:rPr>
          <w:color w:val="231F20"/>
          <w:spacing w:val="-2"/>
          <w:sz w:val="21"/>
        </w:rPr>
        <w:t xml:space="preserve"> </w:t>
      </w:r>
      <w:r>
        <w:rPr>
          <w:color w:val="231F20"/>
          <w:sz w:val="21"/>
        </w:rPr>
        <w:t>(нормативно-правові)</w:t>
      </w:r>
    </w:p>
    <w:p w14:paraId="1F16BB79" w14:textId="77777777" w:rsidR="00DE575E" w:rsidRDefault="002E7560">
      <w:pPr>
        <w:pStyle w:val="BodyText"/>
        <w:tabs>
          <w:tab w:val="left" w:pos="6856"/>
        </w:tabs>
        <w:spacing w:line="235" w:lineRule="exact"/>
        <w:ind w:left="1497"/>
        <w:rPr>
          <w:b/>
          <w:sz w:val="20"/>
        </w:rPr>
      </w:pPr>
      <w:r>
        <w:rPr>
          <w:color w:val="231F20"/>
        </w:rPr>
        <w:t>як джерела</w:t>
      </w:r>
      <w:r>
        <w:rPr>
          <w:color w:val="231F20"/>
          <w:spacing w:val="-5"/>
        </w:rPr>
        <w:t xml:space="preserve"> </w:t>
      </w: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62</w:t>
      </w:r>
    </w:p>
    <w:p w14:paraId="4622C5EE" w14:textId="77777777" w:rsidR="00DE575E" w:rsidRDefault="002E7560">
      <w:pPr>
        <w:pStyle w:val="ListParagraph"/>
        <w:numPr>
          <w:ilvl w:val="2"/>
          <w:numId w:val="337"/>
        </w:numPr>
        <w:tabs>
          <w:tab w:val="left" w:pos="1498"/>
          <w:tab w:val="left" w:pos="6856"/>
        </w:tabs>
        <w:spacing w:before="33"/>
        <w:rPr>
          <w:b/>
          <w:sz w:val="20"/>
        </w:rPr>
      </w:pPr>
      <w:r>
        <w:rPr>
          <w:color w:val="231F20"/>
          <w:sz w:val="21"/>
        </w:rPr>
        <w:t>Закони як джерела</w:t>
      </w:r>
      <w:r>
        <w:rPr>
          <w:color w:val="231F20"/>
          <w:spacing w:val="-5"/>
          <w:sz w:val="21"/>
        </w:rPr>
        <w:t xml:space="preserve"> </w:t>
      </w:r>
      <w:r>
        <w:rPr>
          <w:color w:val="231F20"/>
          <w:sz w:val="21"/>
        </w:rPr>
        <w:t>адміністративного</w:t>
      </w:r>
      <w:r>
        <w:rPr>
          <w:color w:val="231F20"/>
          <w:spacing w:val="-2"/>
          <w:sz w:val="21"/>
        </w:rPr>
        <w:t xml:space="preserve"> </w:t>
      </w:r>
      <w:r>
        <w:rPr>
          <w:color w:val="231F20"/>
          <w:sz w:val="21"/>
        </w:rPr>
        <w:t>права</w:t>
      </w:r>
      <w:r>
        <w:rPr>
          <w:color w:val="231F20"/>
          <w:sz w:val="21"/>
          <w:u w:val="dotted" w:color="231F20"/>
        </w:rPr>
        <w:t xml:space="preserve"> </w:t>
      </w:r>
      <w:r>
        <w:rPr>
          <w:color w:val="231F20"/>
          <w:sz w:val="21"/>
          <w:u w:val="dotted" w:color="231F20"/>
        </w:rPr>
        <w:tab/>
      </w:r>
      <w:r>
        <w:rPr>
          <w:b/>
          <w:sz w:val="20"/>
        </w:rPr>
        <w:t>63</w:t>
      </w:r>
    </w:p>
    <w:p w14:paraId="3F102569" w14:textId="77777777" w:rsidR="00DE575E" w:rsidRDefault="002E7560">
      <w:pPr>
        <w:pStyle w:val="ListParagraph"/>
        <w:numPr>
          <w:ilvl w:val="2"/>
          <w:numId w:val="337"/>
        </w:numPr>
        <w:tabs>
          <w:tab w:val="left" w:pos="1498"/>
        </w:tabs>
        <w:spacing w:before="34" w:line="235" w:lineRule="exact"/>
        <w:rPr>
          <w:sz w:val="21"/>
        </w:rPr>
      </w:pPr>
      <w:r>
        <w:rPr>
          <w:color w:val="231F20"/>
          <w:sz w:val="21"/>
        </w:rPr>
        <w:t>Підзаконні нормативні акти (нормативні</w:t>
      </w:r>
      <w:r>
        <w:rPr>
          <w:color w:val="231F20"/>
          <w:spacing w:val="-4"/>
          <w:sz w:val="21"/>
        </w:rPr>
        <w:t xml:space="preserve"> </w:t>
      </w:r>
      <w:r>
        <w:rPr>
          <w:color w:val="231F20"/>
          <w:sz w:val="21"/>
        </w:rPr>
        <w:t>правові)</w:t>
      </w:r>
    </w:p>
    <w:p w14:paraId="697800D6" w14:textId="77777777" w:rsidR="00DE575E" w:rsidRDefault="002E7560">
      <w:pPr>
        <w:pStyle w:val="BodyText"/>
        <w:tabs>
          <w:tab w:val="left" w:pos="6856"/>
        </w:tabs>
        <w:spacing w:line="235" w:lineRule="exact"/>
        <w:ind w:left="1497"/>
        <w:rPr>
          <w:b/>
          <w:sz w:val="20"/>
        </w:rPr>
      </w:pPr>
      <w:r>
        <w:rPr>
          <w:color w:val="231F20"/>
        </w:rPr>
        <w:t>як джерела</w:t>
      </w:r>
      <w:r>
        <w:rPr>
          <w:color w:val="231F20"/>
          <w:spacing w:val="-5"/>
        </w:rPr>
        <w:t xml:space="preserve"> </w:t>
      </w: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64</w:t>
      </w:r>
    </w:p>
    <w:p w14:paraId="3BC50DD3" w14:textId="77777777" w:rsidR="00DE575E" w:rsidRDefault="002E7560">
      <w:pPr>
        <w:pStyle w:val="Heading5"/>
        <w:numPr>
          <w:ilvl w:val="1"/>
          <w:numId w:val="337"/>
        </w:numPr>
        <w:tabs>
          <w:tab w:val="left" w:pos="931"/>
          <w:tab w:val="left" w:pos="6856"/>
        </w:tabs>
        <w:spacing w:before="62"/>
        <w:jc w:val="left"/>
        <w:rPr>
          <w:sz w:val="20"/>
        </w:rPr>
      </w:pPr>
      <w:r>
        <w:rPr>
          <w:color w:val="231F20"/>
        </w:rPr>
        <w:t>Міжнародні джерела</w:t>
      </w:r>
      <w:r>
        <w:rPr>
          <w:color w:val="231F20"/>
          <w:spacing w:val="-13"/>
        </w:rPr>
        <w:t xml:space="preserve"> </w:t>
      </w:r>
      <w:r>
        <w:rPr>
          <w:color w:val="231F20"/>
        </w:rPr>
        <w:t>адміністративного</w:t>
      </w:r>
      <w:r>
        <w:rPr>
          <w:color w:val="231F20"/>
          <w:spacing w:val="-8"/>
        </w:rPr>
        <w:t xml:space="preserve"> </w:t>
      </w:r>
      <w:r>
        <w:rPr>
          <w:color w:val="231F20"/>
        </w:rPr>
        <w:t>права</w:t>
      </w:r>
      <w:r>
        <w:rPr>
          <w:color w:val="231F20"/>
          <w:u w:val="dotted" w:color="231F20"/>
        </w:rPr>
        <w:t xml:space="preserve"> </w:t>
      </w:r>
      <w:r>
        <w:rPr>
          <w:color w:val="231F20"/>
          <w:u w:val="dotted" w:color="231F20"/>
        </w:rPr>
        <w:tab/>
      </w:r>
      <w:r>
        <w:rPr>
          <w:sz w:val="20"/>
        </w:rPr>
        <w:t>66</w:t>
      </w:r>
    </w:p>
    <w:p w14:paraId="11B029B4" w14:textId="77777777" w:rsidR="00DE575E" w:rsidRDefault="002E7560">
      <w:pPr>
        <w:pStyle w:val="ListParagraph"/>
        <w:numPr>
          <w:ilvl w:val="2"/>
          <w:numId w:val="337"/>
        </w:numPr>
        <w:tabs>
          <w:tab w:val="left" w:pos="1498"/>
        </w:tabs>
        <w:spacing w:before="34" w:line="235" w:lineRule="exact"/>
        <w:rPr>
          <w:sz w:val="21"/>
        </w:rPr>
      </w:pPr>
      <w:r>
        <w:rPr>
          <w:color w:val="231F20"/>
          <w:sz w:val="21"/>
        </w:rPr>
        <w:t>Міжнародні договори як</w:t>
      </w:r>
      <w:r>
        <w:rPr>
          <w:color w:val="231F20"/>
          <w:spacing w:val="-3"/>
          <w:sz w:val="21"/>
        </w:rPr>
        <w:t xml:space="preserve"> </w:t>
      </w:r>
      <w:r>
        <w:rPr>
          <w:color w:val="231F20"/>
          <w:sz w:val="21"/>
        </w:rPr>
        <w:t>джерела</w:t>
      </w:r>
    </w:p>
    <w:p w14:paraId="2E3C8DE6" w14:textId="77777777" w:rsidR="00DE575E" w:rsidRDefault="002E7560">
      <w:pPr>
        <w:pStyle w:val="BodyText"/>
        <w:tabs>
          <w:tab w:val="left" w:pos="6856"/>
        </w:tabs>
        <w:spacing w:line="235" w:lineRule="exact"/>
        <w:ind w:left="1497"/>
        <w:rPr>
          <w:b/>
          <w:sz w:val="20"/>
        </w:rPr>
      </w:pP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66</w:t>
      </w:r>
    </w:p>
    <w:p w14:paraId="641C6A2C" w14:textId="77777777" w:rsidR="00DE575E" w:rsidRDefault="002E7560">
      <w:pPr>
        <w:pStyle w:val="ListParagraph"/>
        <w:numPr>
          <w:ilvl w:val="2"/>
          <w:numId w:val="337"/>
        </w:numPr>
        <w:tabs>
          <w:tab w:val="left" w:pos="1498"/>
        </w:tabs>
        <w:spacing w:before="52" w:line="218" w:lineRule="auto"/>
        <w:ind w:right="2103"/>
        <w:rPr>
          <w:sz w:val="21"/>
        </w:rPr>
      </w:pPr>
      <w:r>
        <w:rPr>
          <w:color w:val="231F20"/>
          <w:sz w:val="21"/>
        </w:rPr>
        <w:t>Юридичні акти Європейського Союзу як джерела адміністративного</w:t>
      </w:r>
      <w:r>
        <w:rPr>
          <w:color w:val="231F20"/>
          <w:spacing w:val="-13"/>
          <w:sz w:val="21"/>
        </w:rPr>
        <w:t xml:space="preserve"> </w:t>
      </w:r>
      <w:r>
        <w:rPr>
          <w:color w:val="231F20"/>
          <w:sz w:val="21"/>
        </w:rPr>
        <w:t>права</w:t>
      </w:r>
    </w:p>
    <w:p w14:paraId="31220DF9" w14:textId="77777777" w:rsidR="00DE575E" w:rsidRDefault="002E7560">
      <w:pPr>
        <w:pStyle w:val="BodyText"/>
        <w:tabs>
          <w:tab w:val="left" w:pos="6856"/>
        </w:tabs>
        <w:spacing w:line="227" w:lineRule="exact"/>
        <w:ind w:left="1497"/>
        <w:rPr>
          <w:b/>
          <w:sz w:val="20"/>
        </w:rPr>
      </w:pPr>
      <w:r>
        <w:rPr>
          <w:color w:val="231F20"/>
        </w:rPr>
        <w:t>в контексті</w:t>
      </w:r>
      <w:r>
        <w:rPr>
          <w:color w:val="231F20"/>
          <w:spacing w:val="-9"/>
        </w:rPr>
        <w:t xml:space="preserve"> </w:t>
      </w:r>
      <w:r>
        <w:rPr>
          <w:color w:val="231F20"/>
        </w:rPr>
        <w:t>правотворчої</w:t>
      </w:r>
      <w:r>
        <w:rPr>
          <w:color w:val="231F20"/>
          <w:spacing w:val="-5"/>
        </w:rPr>
        <w:t xml:space="preserve"> </w:t>
      </w:r>
      <w:r>
        <w:rPr>
          <w:color w:val="231F20"/>
        </w:rPr>
        <w:t>діяльності</w:t>
      </w:r>
      <w:r>
        <w:rPr>
          <w:color w:val="231F20"/>
          <w:u w:val="dotted" w:color="231F20"/>
        </w:rPr>
        <w:t xml:space="preserve"> </w:t>
      </w:r>
      <w:r>
        <w:rPr>
          <w:color w:val="231F20"/>
          <w:u w:val="dotted" w:color="231F20"/>
        </w:rPr>
        <w:tab/>
      </w:r>
      <w:r>
        <w:rPr>
          <w:b/>
          <w:sz w:val="20"/>
        </w:rPr>
        <w:t>67</w:t>
      </w:r>
    </w:p>
    <w:p w14:paraId="027EEA32" w14:textId="77777777" w:rsidR="00DE575E" w:rsidRDefault="002E7560">
      <w:pPr>
        <w:pStyle w:val="ListParagraph"/>
        <w:numPr>
          <w:ilvl w:val="2"/>
          <w:numId w:val="337"/>
        </w:numPr>
        <w:tabs>
          <w:tab w:val="left" w:pos="1498"/>
        </w:tabs>
        <w:spacing w:before="34" w:line="235" w:lineRule="exact"/>
        <w:rPr>
          <w:sz w:val="21"/>
        </w:rPr>
      </w:pPr>
      <w:r>
        <w:rPr>
          <w:color w:val="231F20"/>
          <w:sz w:val="21"/>
        </w:rPr>
        <w:t>«М</w:t>
      </w:r>
      <w:r>
        <w:rPr>
          <w:color w:val="231F20"/>
          <w:sz w:val="21"/>
        </w:rPr>
        <w:t>’яке право» в системі</w:t>
      </w:r>
      <w:r>
        <w:rPr>
          <w:color w:val="231F20"/>
          <w:spacing w:val="-3"/>
          <w:sz w:val="21"/>
        </w:rPr>
        <w:t xml:space="preserve"> </w:t>
      </w:r>
      <w:r>
        <w:rPr>
          <w:color w:val="231F20"/>
          <w:sz w:val="21"/>
        </w:rPr>
        <w:t>джерел</w:t>
      </w:r>
    </w:p>
    <w:p w14:paraId="59EB2062" w14:textId="77777777" w:rsidR="00DE575E" w:rsidRDefault="002E7560">
      <w:pPr>
        <w:pStyle w:val="BodyText"/>
        <w:tabs>
          <w:tab w:val="left" w:pos="6856"/>
        </w:tabs>
        <w:spacing w:line="235" w:lineRule="exact"/>
        <w:ind w:left="1497"/>
        <w:rPr>
          <w:b/>
          <w:sz w:val="20"/>
        </w:rPr>
      </w:pP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69</w:t>
      </w:r>
    </w:p>
    <w:p w14:paraId="2C462D7E" w14:textId="77777777" w:rsidR="00DE575E" w:rsidRDefault="002E7560">
      <w:pPr>
        <w:pStyle w:val="Heading5"/>
        <w:numPr>
          <w:ilvl w:val="1"/>
          <w:numId w:val="337"/>
        </w:numPr>
        <w:tabs>
          <w:tab w:val="left" w:pos="931"/>
          <w:tab w:val="left" w:pos="6856"/>
        </w:tabs>
        <w:spacing w:before="80" w:line="218" w:lineRule="auto"/>
        <w:ind w:right="128"/>
        <w:jc w:val="left"/>
        <w:rPr>
          <w:sz w:val="20"/>
        </w:rPr>
      </w:pPr>
      <w:r>
        <w:rPr>
          <w:color w:val="231F20"/>
        </w:rPr>
        <w:t xml:space="preserve">Рішення </w:t>
      </w:r>
      <w:r>
        <w:rPr>
          <w:color w:val="231F20"/>
          <w:spacing w:val="-3"/>
        </w:rPr>
        <w:t xml:space="preserve">судових </w:t>
      </w:r>
      <w:r>
        <w:rPr>
          <w:color w:val="231F20"/>
        </w:rPr>
        <w:t>органів у системі джерел адміністративного</w:t>
      </w:r>
      <w:r>
        <w:rPr>
          <w:color w:val="231F20"/>
          <w:spacing w:val="-6"/>
        </w:rPr>
        <w:t xml:space="preserve"> </w:t>
      </w:r>
      <w:r>
        <w:rPr>
          <w:color w:val="231F20"/>
        </w:rPr>
        <w:t>права</w:t>
      </w:r>
      <w:r>
        <w:rPr>
          <w:color w:val="231F20"/>
          <w:u w:val="dotted" w:color="231F20"/>
        </w:rPr>
        <w:t xml:space="preserve"> </w:t>
      </w:r>
      <w:r>
        <w:rPr>
          <w:color w:val="231F20"/>
          <w:u w:val="dotted" w:color="231F20"/>
        </w:rPr>
        <w:tab/>
      </w:r>
      <w:r>
        <w:rPr>
          <w:w w:val="80"/>
          <w:sz w:val="20"/>
        </w:rPr>
        <w:t>71</w:t>
      </w:r>
    </w:p>
    <w:p w14:paraId="1B4BF5BF" w14:textId="77777777" w:rsidR="00DE575E" w:rsidRDefault="002E7560">
      <w:pPr>
        <w:pStyle w:val="ListParagraph"/>
        <w:numPr>
          <w:ilvl w:val="2"/>
          <w:numId w:val="337"/>
        </w:numPr>
        <w:tabs>
          <w:tab w:val="left" w:pos="1498"/>
        </w:tabs>
        <w:spacing w:before="37" w:line="235" w:lineRule="exact"/>
        <w:rPr>
          <w:sz w:val="21"/>
        </w:rPr>
      </w:pPr>
      <w:r>
        <w:rPr>
          <w:color w:val="231F20"/>
          <w:sz w:val="21"/>
        </w:rPr>
        <w:t xml:space="preserve">Практика Європейського </w:t>
      </w:r>
      <w:r>
        <w:rPr>
          <w:color w:val="231F20"/>
          <w:spacing w:val="-4"/>
          <w:sz w:val="21"/>
        </w:rPr>
        <w:t xml:space="preserve">суду </w:t>
      </w:r>
      <w:r>
        <w:rPr>
          <w:color w:val="231F20"/>
          <w:sz w:val="21"/>
        </w:rPr>
        <w:t>з прав</w:t>
      </w:r>
      <w:r>
        <w:rPr>
          <w:color w:val="231F20"/>
          <w:spacing w:val="-3"/>
          <w:sz w:val="21"/>
        </w:rPr>
        <w:t xml:space="preserve"> </w:t>
      </w:r>
      <w:r>
        <w:rPr>
          <w:color w:val="231F20"/>
          <w:sz w:val="21"/>
        </w:rPr>
        <w:t>людини</w:t>
      </w:r>
    </w:p>
    <w:p w14:paraId="4C1F51FD" w14:textId="77777777" w:rsidR="00DE575E" w:rsidRDefault="002E7560">
      <w:pPr>
        <w:pStyle w:val="BodyText"/>
        <w:tabs>
          <w:tab w:val="left" w:pos="6856"/>
        </w:tabs>
        <w:spacing w:line="235" w:lineRule="exact"/>
        <w:ind w:left="1497"/>
        <w:rPr>
          <w:b/>
          <w:sz w:val="20"/>
        </w:rPr>
      </w:pPr>
      <w:r>
        <w:rPr>
          <w:color w:val="231F20"/>
        </w:rPr>
        <w:t>як джерело</w:t>
      </w:r>
      <w:r>
        <w:rPr>
          <w:color w:val="231F20"/>
          <w:spacing w:val="-5"/>
        </w:rPr>
        <w:t xml:space="preserve"> </w:t>
      </w: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72</w:t>
      </w:r>
    </w:p>
    <w:p w14:paraId="68993A30" w14:textId="77777777" w:rsidR="00DE575E" w:rsidRDefault="002E7560">
      <w:pPr>
        <w:pStyle w:val="ListParagraph"/>
        <w:numPr>
          <w:ilvl w:val="2"/>
          <w:numId w:val="337"/>
        </w:numPr>
        <w:tabs>
          <w:tab w:val="left" w:pos="1498"/>
        </w:tabs>
        <w:spacing w:before="34" w:line="235" w:lineRule="exact"/>
        <w:rPr>
          <w:sz w:val="21"/>
        </w:rPr>
      </w:pPr>
      <w:r>
        <w:rPr>
          <w:color w:val="231F20"/>
          <w:sz w:val="21"/>
        </w:rPr>
        <w:t xml:space="preserve">Рішення Конституційного </w:t>
      </w:r>
      <w:r>
        <w:rPr>
          <w:color w:val="231F20"/>
          <w:spacing w:val="-5"/>
          <w:sz w:val="21"/>
        </w:rPr>
        <w:t>Суду</w:t>
      </w:r>
      <w:r>
        <w:rPr>
          <w:color w:val="231F20"/>
          <w:spacing w:val="-1"/>
          <w:sz w:val="21"/>
        </w:rPr>
        <w:t xml:space="preserve"> </w:t>
      </w:r>
      <w:r>
        <w:rPr>
          <w:color w:val="231F20"/>
          <w:spacing w:val="-3"/>
          <w:sz w:val="21"/>
        </w:rPr>
        <w:t>України</w:t>
      </w:r>
    </w:p>
    <w:p w14:paraId="595A3720" w14:textId="77777777" w:rsidR="00DE575E" w:rsidRDefault="002E7560">
      <w:pPr>
        <w:pStyle w:val="BodyText"/>
        <w:tabs>
          <w:tab w:val="left" w:pos="6856"/>
        </w:tabs>
        <w:spacing w:line="235" w:lineRule="exact"/>
        <w:ind w:left="1497"/>
        <w:rPr>
          <w:b/>
          <w:sz w:val="20"/>
        </w:rPr>
      </w:pPr>
      <w:r>
        <w:rPr>
          <w:color w:val="231F20"/>
        </w:rPr>
        <w:t>в системі джерел</w:t>
      </w:r>
      <w:r>
        <w:rPr>
          <w:color w:val="231F20"/>
          <w:spacing w:val="-7"/>
        </w:rPr>
        <w:t xml:space="preserve"> </w:t>
      </w:r>
      <w:r>
        <w:rPr>
          <w:color w:val="231F20"/>
        </w:rPr>
        <w:t>адміністративного</w:t>
      </w:r>
      <w:r>
        <w:rPr>
          <w:color w:val="231F20"/>
          <w:spacing w:val="-2"/>
        </w:rPr>
        <w:t xml:space="preserve"> </w:t>
      </w:r>
      <w:r>
        <w:rPr>
          <w:color w:val="231F20"/>
        </w:rPr>
        <w:t>права</w:t>
      </w:r>
      <w:r>
        <w:rPr>
          <w:color w:val="231F20"/>
          <w:u w:val="dotted" w:color="231F20"/>
        </w:rPr>
        <w:t xml:space="preserve"> </w:t>
      </w:r>
      <w:r>
        <w:rPr>
          <w:color w:val="231F20"/>
          <w:u w:val="dotted" w:color="231F20"/>
        </w:rPr>
        <w:tab/>
      </w:r>
      <w:r>
        <w:rPr>
          <w:b/>
          <w:sz w:val="20"/>
        </w:rPr>
        <w:t>72</w:t>
      </w:r>
    </w:p>
    <w:p w14:paraId="7501B1D8" w14:textId="77777777" w:rsidR="00DE575E" w:rsidRDefault="00DE575E">
      <w:pPr>
        <w:pStyle w:val="BodyText"/>
        <w:spacing w:before="11"/>
        <w:rPr>
          <w:b/>
          <w:sz w:val="10"/>
        </w:rPr>
      </w:pPr>
    </w:p>
    <w:p w14:paraId="5D10A8E6" w14:textId="77777777" w:rsidR="00DE575E" w:rsidRDefault="002E7560">
      <w:pPr>
        <w:spacing w:before="91"/>
        <w:ind w:left="533"/>
        <w:rPr>
          <w:rFonts w:ascii="Times New Roman"/>
          <w:sz w:val="20"/>
        </w:rPr>
      </w:pPr>
      <w:r>
        <w:rPr>
          <w:rFonts w:ascii="Times New Roman"/>
          <w:color w:val="231F20"/>
          <w:w w:val="90"/>
          <w:sz w:val="20"/>
        </w:rPr>
        <w:t>6</w:t>
      </w:r>
    </w:p>
    <w:p w14:paraId="632C5C17" w14:textId="77777777" w:rsidR="00DE575E" w:rsidRDefault="00DE575E">
      <w:pPr>
        <w:rPr>
          <w:rFonts w:ascii="Times New Roman"/>
          <w:sz w:val="20"/>
        </w:rPr>
        <w:sectPr w:rsidR="00DE575E">
          <w:type w:val="continuous"/>
          <w:pgSz w:w="8510" w:h="12760"/>
          <w:pgMar w:top="1180" w:right="720" w:bottom="280" w:left="600" w:header="720" w:footer="720" w:gutter="0"/>
          <w:cols w:space="720"/>
        </w:sectPr>
      </w:pPr>
    </w:p>
    <w:p w14:paraId="37D5C4B5" w14:textId="77777777" w:rsidR="00DE575E" w:rsidRDefault="002E7560">
      <w:pPr>
        <w:spacing w:before="78" w:after="3"/>
        <w:ind w:right="411"/>
        <w:jc w:val="right"/>
        <w:rPr>
          <w:rFonts w:ascii="AdonisC" w:hAnsi="AdonisC"/>
          <w:i/>
          <w:sz w:val="18"/>
        </w:rPr>
      </w:pPr>
      <w:r>
        <w:rPr>
          <w:rFonts w:ascii="AdonisC" w:hAnsi="AdonisC"/>
          <w:i/>
          <w:color w:val="231F20"/>
          <w:sz w:val="18"/>
        </w:rPr>
        <w:lastRenderedPageBreak/>
        <w:t>Зміст</w:t>
      </w:r>
    </w:p>
    <w:p w14:paraId="1EE8323E" w14:textId="4541D5D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1506E24" wp14:editId="28EDC8EC">
                <wp:extent cx="4140200" cy="6350"/>
                <wp:effectExtent l="0" t="0" r="12700" b="6350"/>
                <wp:docPr id="1402"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03" name="Line 140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B0381" id="Group_x0020_140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W5Inw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JqFuSJ8AgAAnAUAAA4AAAAA&#10;AAAAAAAAAAAALAIAAGRycy9lMm9Eb2MueG1sUEsBAi0AFAAGAAgAAAAhAEynsJDZAAAAAwEAAA8A&#10;AAAAAAAAAAAAAAAA1AQAAGRycy9kb3ducmV2LnhtbFBLBQYAAAAABAAEAPMAAADaBQAAAAA=&#10;">
                <v:line id="Line_x0020_140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t86cQAAADdAAAADwAAAGRycy9kb3ducmV2LnhtbERP22rCQBB9L/Qflin0pehGI1Kiq4gg&#10;SB+8pR8wZqdJ6O5szK4m7de7QqFvczjXmS97a8SNWl87VjAaJiCIC6drLhV85pvBOwgfkDUax6Tg&#10;hzwsF89Pc8y06/hIt1MoRQxhn6GCKoQmk9IXFVn0Q9cQR+7LtRZDhG0pdYtdDLdGjpNkKi3WHBsq&#10;bGhdUfF9uloF+eUtmMP+w3T5/pzK82WX/l53Sr2+9KsZiEB9+Bf/ubc6zp8k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23zpxAAAAN0AAAAPAAAAAAAAAAAA&#10;AAAAAKECAABkcnMvZG93bnJldi54bWxQSwUGAAAAAAQABAD5AAAAkgMAAAAA&#10;" strokecolor="#231f20" strokeweight=".5pt"/>
                <w10:anchorlock/>
              </v:group>
            </w:pict>
          </mc:Fallback>
        </mc:AlternateContent>
      </w:r>
    </w:p>
    <w:p w14:paraId="4CDC29DF" w14:textId="77777777" w:rsidR="00DE575E" w:rsidRDefault="00DE575E">
      <w:pPr>
        <w:pStyle w:val="BodyText"/>
        <w:spacing w:before="5"/>
        <w:rPr>
          <w:rFonts w:ascii="AdonisC"/>
          <w:i/>
          <w:sz w:val="12"/>
        </w:rPr>
      </w:pPr>
    </w:p>
    <w:p w14:paraId="353F3671" w14:textId="77777777" w:rsidR="00DE575E" w:rsidRDefault="002E7560">
      <w:pPr>
        <w:pStyle w:val="ListParagraph"/>
        <w:numPr>
          <w:ilvl w:val="2"/>
          <w:numId w:val="337"/>
        </w:numPr>
        <w:tabs>
          <w:tab w:val="left" w:pos="1215"/>
        </w:tabs>
        <w:spacing w:before="100" w:line="238" w:lineRule="exact"/>
        <w:ind w:left="1214"/>
        <w:rPr>
          <w:sz w:val="21"/>
        </w:rPr>
      </w:pPr>
      <w:r>
        <w:rPr>
          <w:color w:val="231F20"/>
          <w:sz w:val="21"/>
        </w:rPr>
        <w:t xml:space="preserve">Рішення Верховного </w:t>
      </w:r>
      <w:r>
        <w:rPr>
          <w:color w:val="231F20"/>
          <w:spacing w:val="-5"/>
          <w:sz w:val="21"/>
        </w:rPr>
        <w:t xml:space="preserve">Суду </w:t>
      </w:r>
      <w:r>
        <w:rPr>
          <w:color w:val="231F20"/>
          <w:sz w:val="21"/>
        </w:rPr>
        <w:t>в</w:t>
      </w:r>
      <w:r>
        <w:rPr>
          <w:color w:val="231F20"/>
          <w:spacing w:val="1"/>
          <w:sz w:val="21"/>
        </w:rPr>
        <w:t xml:space="preserve"> </w:t>
      </w:r>
      <w:r>
        <w:rPr>
          <w:color w:val="231F20"/>
          <w:sz w:val="21"/>
        </w:rPr>
        <w:t>системі</w:t>
      </w:r>
    </w:p>
    <w:p w14:paraId="55184C24" w14:textId="77777777" w:rsidR="00DE575E" w:rsidRDefault="002E7560">
      <w:pPr>
        <w:pStyle w:val="BodyText"/>
        <w:tabs>
          <w:tab w:val="left" w:pos="6573"/>
        </w:tabs>
        <w:spacing w:line="238" w:lineRule="exact"/>
        <w:ind w:left="1214"/>
        <w:rPr>
          <w:b/>
          <w:sz w:val="20"/>
        </w:rPr>
      </w:pPr>
      <w:r>
        <w:rPr>
          <w:color w:val="231F20"/>
        </w:rPr>
        <w:t>джерел</w:t>
      </w:r>
      <w:r>
        <w:rPr>
          <w:color w:val="231F20"/>
          <w:spacing w:val="-3"/>
        </w:rPr>
        <w:t xml:space="preserve"> </w:t>
      </w:r>
      <w:r>
        <w:rPr>
          <w:color w:val="231F20"/>
        </w:rPr>
        <w:t>адміністративного</w:t>
      </w:r>
      <w:r>
        <w:rPr>
          <w:color w:val="231F20"/>
          <w:spacing w:val="-3"/>
        </w:rPr>
        <w:t xml:space="preserve"> </w:t>
      </w:r>
      <w:r>
        <w:rPr>
          <w:color w:val="231F20"/>
        </w:rPr>
        <w:t>права</w:t>
      </w:r>
      <w:r>
        <w:rPr>
          <w:color w:val="231F20"/>
          <w:u w:val="dotted" w:color="231F20"/>
        </w:rPr>
        <w:t xml:space="preserve"> </w:t>
      </w:r>
      <w:r>
        <w:rPr>
          <w:color w:val="231F20"/>
          <w:u w:val="dotted" w:color="231F20"/>
        </w:rPr>
        <w:tab/>
      </w:r>
      <w:r>
        <w:rPr>
          <w:b/>
          <w:sz w:val="20"/>
        </w:rPr>
        <w:t>74</w:t>
      </w:r>
    </w:p>
    <w:p w14:paraId="202DD8AC" w14:textId="77777777" w:rsidR="00DE575E" w:rsidRDefault="002E7560">
      <w:pPr>
        <w:pStyle w:val="Heading5"/>
        <w:numPr>
          <w:ilvl w:val="1"/>
          <w:numId w:val="337"/>
        </w:numPr>
        <w:tabs>
          <w:tab w:val="left" w:pos="648"/>
        </w:tabs>
        <w:spacing w:before="69" w:line="238" w:lineRule="exact"/>
        <w:ind w:left="647"/>
        <w:jc w:val="left"/>
      </w:pPr>
      <w:r>
        <w:rPr>
          <w:color w:val="231F20"/>
        </w:rPr>
        <w:t>Неформалізовані</w:t>
      </w:r>
      <w:r>
        <w:rPr>
          <w:color w:val="231F20"/>
          <w:spacing w:val="-1"/>
        </w:rPr>
        <w:t xml:space="preserve"> </w:t>
      </w:r>
      <w:r>
        <w:rPr>
          <w:color w:val="231F20"/>
        </w:rPr>
        <w:t>квазіджерела</w:t>
      </w:r>
    </w:p>
    <w:p w14:paraId="19DDFEED" w14:textId="77777777" w:rsidR="00DE575E" w:rsidRDefault="002E7560">
      <w:pPr>
        <w:tabs>
          <w:tab w:val="left" w:pos="6573"/>
        </w:tabs>
        <w:spacing w:line="238" w:lineRule="exact"/>
        <w:ind w:left="647"/>
        <w:rPr>
          <w:b/>
          <w:sz w:val="20"/>
        </w:rPr>
      </w:pPr>
      <w:r>
        <w:rPr>
          <w:b/>
          <w:color w:val="231F20"/>
          <w:sz w:val="21"/>
        </w:rPr>
        <w:t>адміністративного</w:t>
      </w:r>
      <w:r>
        <w:rPr>
          <w:b/>
          <w:color w:val="231F20"/>
          <w:spacing w:val="-6"/>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75</w:t>
      </w:r>
    </w:p>
    <w:p w14:paraId="748985AA" w14:textId="77777777" w:rsidR="00DE575E" w:rsidRDefault="002E7560">
      <w:pPr>
        <w:pStyle w:val="ListParagraph"/>
        <w:numPr>
          <w:ilvl w:val="1"/>
          <w:numId w:val="337"/>
        </w:numPr>
        <w:tabs>
          <w:tab w:val="left" w:pos="648"/>
        </w:tabs>
        <w:spacing w:before="68" w:line="238" w:lineRule="exact"/>
        <w:ind w:left="647"/>
        <w:jc w:val="left"/>
        <w:rPr>
          <w:b/>
          <w:sz w:val="21"/>
        </w:rPr>
      </w:pPr>
      <w:r>
        <w:rPr>
          <w:b/>
          <w:color w:val="231F20"/>
          <w:sz w:val="21"/>
        </w:rPr>
        <w:t>Юридична сила формалізованих</w:t>
      </w:r>
      <w:r>
        <w:rPr>
          <w:b/>
          <w:color w:val="231F20"/>
          <w:spacing w:val="-2"/>
          <w:sz w:val="21"/>
        </w:rPr>
        <w:t xml:space="preserve"> </w:t>
      </w:r>
      <w:r>
        <w:rPr>
          <w:b/>
          <w:color w:val="231F20"/>
          <w:sz w:val="21"/>
        </w:rPr>
        <w:t>джерел</w:t>
      </w:r>
    </w:p>
    <w:p w14:paraId="5AD9B41B" w14:textId="77777777" w:rsidR="00DE575E" w:rsidRDefault="002E7560">
      <w:pPr>
        <w:tabs>
          <w:tab w:val="left" w:pos="6573"/>
        </w:tabs>
        <w:spacing w:line="238" w:lineRule="exact"/>
        <w:ind w:left="647"/>
        <w:rPr>
          <w:b/>
          <w:sz w:val="20"/>
        </w:rPr>
      </w:pPr>
      <w:r>
        <w:rPr>
          <w:b/>
          <w:color w:val="231F20"/>
          <w:sz w:val="21"/>
        </w:rPr>
        <w:t>адміністративного</w:t>
      </w:r>
      <w:r>
        <w:rPr>
          <w:b/>
          <w:color w:val="231F20"/>
          <w:spacing w:val="-6"/>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77</w:t>
      </w:r>
    </w:p>
    <w:p w14:paraId="6CDF58A2" w14:textId="77777777" w:rsidR="00DE575E" w:rsidRDefault="00DE575E">
      <w:pPr>
        <w:pStyle w:val="BodyText"/>
        <w:spacing w:before="4"/>
        <w:rPr>
          <w:b/>
        </w:rPr>
      </w:pPr>
    </w:p>
    <w:p w14:paraId="4F581D1C" w14:textId="77777777" w:rsidR="00DE575E" w:rsidRDefault="002E7560">
      <w:pPr>
        <w:ind w:left="250"/>
        <w:rPr>
          <w:b/>
          <w:sz w:val="21"/>
        </w:rPr>
      </w:pPr>
      <w:r>
        <w:rPr>
          <w:b/>
          <w:color w:val="231F20"/>
          <w:sz w:val="21"/>
        </w:rPr>
        <w:t>Розділ 4</w:t>
      </w:r>
    </w:p>
    <w:p w14:paraId="0261A87F" w14:textId="77777777" w:rsidR="00DE575E" w:rsidRDefault="002E7560">
      <w:pPr>
        <w:tabs>
          <w:tab w:val="left" w:pos="6573"/>
        </w:tabs>
        <w:spacing w:before="23"/>
        <w:ind w:left="250"/>
        <w:rPr>
          <w:b/>
          <w:sz w:val="20"/>
        </w:rPr>
      </w:pPr>
      <w:r>
        <w:rPr>
          <w:b/>
          <w:color w:val="231F20"/>
          <w:sz w:val="21"/>
        </w:rPr>
        <w:t>СУБ’ЄКТИ</w:t>
      </w:r>
      <w:r>
        <w:rPr>
          <w:b/>
          <w:color w:val="231F20"/>
          <w:spacing w:val="-7"/>
          <w:sz w:val="21"/>
        </w:rPr>
        <w:t xml:space="preserve"> </w:t>
      </w:r>
      <w:r>
        <w:rPr>
          <w:b/>
          <w:color w:val="231F20"/>
          <w:sz w:val="21"/>
        </w:rPr>
        <w:t>ПУБЛІЧНОГО</w:t>
      </w:r>
      <w:r>
        <w:rPr>
          <w:b/>
          <w:color w:val="231F20"/>
          <w:spacing w:val="-7"/>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80</w:t>
      </w:r>
    </w:p>
    <w:p w14:paraId="7789C422" w14:textId="77777777" w:rsidR="00DE575E" w:rsidRDefault="002E7560">
      <w:pPr>
        <w:pStyle w:val="ListParagraph"/>
        <w:numPr>
          <w:ilvl w:val="1"/>
          <w:numId w:val="336"/>
        </w:numPr>
        <w:tabs>
          <w:tab w:val="left" w:pos="648"/>
        </w:tabs>
        <w:spacing w:before="69" w:line="238" w:lineRule="exact"/>
        <w:rPr>
          <w:b/>
          <w:sz w:val="21"/>
        </w:rPr>
      </w:pPr>
      <w:r>
        <w:rPr>
          <w:b/>
          <w:color w:val="231F20"/>
          <w:sz w:val="21"/>
        </w:rPr>
        <w:t>Поняття та система</w:t>
      </w:r>
      <w:r>
        <w:rPr>
          <w:b/>
          <w:color w:val="231F20"/>
          <w:spacing w:val="-2"/>
          <w:sz w:val="21"/>
        </w:rPr>
        <w:t xml:space="preserve"> </w:t>
      </w:r>
      <w:r>
        <w:rPr>
          <w:b/>
          <w:color w:val="231F20"/>
          <w:spacing w:val="-3"/>
          <w:sz w:val="21"/>
        </w:rPr>
        <w:t>суб’єктів</w:t>
      </w:r>
    </w:p>
    <w:p w14:paraId="7B364ECD" w14:textId="77777777" w:rsidR="00DE575E" w:rsidRDefault="002E7560">
      <w:pPr>
        <w:tabs>
          <w:tab w:val="left" w:pos="6573"/>
        </w:tabs>
        <w:spacing w:line="238" w:lineRule="exact"/>
        <w:ind w:left="647"/>
        <w:rPr>
          <w:b/>
          <w:sz w:val="20"/>
        </w:rPr>
      </w:pPr>
      <w:r>
        <w:rPr>
          <w:b/>
          <w:color w:val="231F20"/>
          <w:sz w:val="21"/>
        </w:rPr>
        <w:t>публічного</w:t>
      </w:r>
      <w:r>
        <w:rPr>
          <w:b/>
          <w:color w:val="231F20"/>
          <w:spacing w:val="-7"/>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80</w:t>
      </w:r>
    </w:p>
    <w:p w14:paraId="6D7A0861" w14:textId="77777777" w:rsidR="00DE575E" w:rsidRDefault="002E7560">
      <w:pPr>
        <w:pStyle w:val="ListParagraph"/>
        <w:numPr>
          <w:ilvl w:val="2"/>
          <w:numId w:val="336"/>
        </w:numPr>
        <w:tabs>
          <w:tab w:val="left" w:pos="1215"/>
          <w:tab w:val="left" w:pos="6573"/>
        </w:tabs>
        <w:spacing w:before="40"/>
        <w:rPr>
          <w:b/>
          <w:color w:val="231F20"/>
          <w:sz w:val="21"/>
        </w:rPr>
      </w:pPr>
      <w:r>
        <w:rPr>
          <w:color w:val="231F20"/>
          <w:sz w:val="21"/>
        </w:rPr>
        <w:t xml:space="preserve">Поняття </w:t>
      </w:r>
      <w:r>
        <w:rPr>
          <w:color w:val="231F20"/>
          <w:spacing w:val="-3"/>
          <w:sz w:val="21"/>
        </w:rPr>
        <w:t>суб’єкта</w:t>
      </w:r>
      <w:r>
        <w:rPr>
          <w:color w:val="231F20"/>
          <w:spacing w:val="-8"/>
          <w:sz w:val="21"/>
        </w:rPr>
        <w:t xml:space="preserve"> </w:t>
      </w:r>
      <w:r>
        <w:rPr>
          <w:color w:val="231F20"/>
          <w:sz w:val="21"/>
        </w:rPr>
        <w:t>публічного</w:t>
      </w:r>
      <w:r>
        <w:rPr>
          <w:color w:val="231F20"/>
          <w:spacing w:val="-5"/>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80</w:t>
      </w:r>
    </w:p>
    <w:p w14:paraId="7DA05F74" w14:textId="77777777" w:rsidR="00DE575E" w:rsidRDefault="002E7560">
      <w:pPr>
        <w:pStyle w:val="ListParagraph"/>
        <w:numPr>
          <w:ilvl w:val="2"/>
          <w:numId w:val="336"/>
        </w:numPr>
        <w:tabs>
          <w:tab w:val="left" w:pos="1215"/>
          <w:tab w:val="left" w:pos="6573"/>
        </w:tabs>
        <w:spacing w:before="40"/>
        <w:rPr>
          <w:b/>
          <w:color w:val="231F20"/>
          <w:sz w:val="21"/>
        </w:rPr>
      </w:pPr>
      <w:r>
        <w:rPr>
          <w:color w:val="231F20"/>
          <w:sz w:val="21"/>
        </w:rPr>
        <w:t xml:space="preserve">Ознаки </w:t>
      </w:r>
      <w:r>
        <w:rPr>
          <w:color w:val="231F20"/>
          <w:spacing w:val="-3"/>
          <w:sz w:val="21"/>
        </w:rPr>
        <w:t>суб’єкта</w:t>
      </w:r>
      <w:r>
        <w:rPr>
          <w:color w:val="231F20"/>
          <w:spacing w:val="-6"/>
          <w:sz w:val="21"/>
        </w:rPr>
        <w:t xml:space="preserve"> </w:t>
      </w:r>
      <w:r>
        <w:rPr>
          <w:color w:val="231F20"/>
          <w:sz w:val="21"/>
        </w:rPr>
        <w:t>публічного</w:t>
      </w:r>
      <w:r>
        <w:rPr>
          <w:color w:val="231F20"/>
          <w:spacing w:val="-2"/>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82</w:t>
      </w:r>
    </w:p>
    <w:p w14:paraId="0C7AECD7" w14:textId="77777777" w:rsidR="00DE575E" w:rsidRDefault="002E7560">
      <w:pPr>
        <w:pStyle w:val="ListParagraph"/>
        <w:numPr>
          <w:ilvl w:val="2"/>
          <w:numId w:val="336"/>
        </w:numPr>
        <w:tabs>
          <w:tab w:val="left" w:pos="1215"/>
          <w:tab w:val="left" w:pos="6573"/>
        </w:tabs>
        <w:spacing w:before="40"/>
        <w:rPr>
          <w:b/>
          <w:color w:val="231F20"/>
          <w:sz w:val="21"/>
        </w:rPr>
      </w:pPr>
      <w:r>
        <w:rPr>
          <w:color w:val="231F20"/>
          <w:sz w:val="21"/>
        </w:rPr>
        <w:t xml:space="preserve">Групи </w:t>
      </w:r>
      <w:r>
        <w:rPr>
          <w:color w:val="231F20"/>
          <w:spacing w:val="-3"/>
          <w:sz w:val="21"/>
        </w:rPr>
        <w:t>суб’єктів</w:t>
      </w:r>
      <w:r>
        <w:rPr>
          <w:color w:val="231F20"/>
          <w:spacing w:val="-6"/>
          <w:sz w:val="21"/>
        </w:rPr>
        <w:t xml:space="preserve"> </w:t>
      </w:r>
      <w:r>
        <w:rPr>
          <w:color w:val="231F20"/>
          <w:sz w:val="21"/>
        </w:rPr>
        <w:t>публічного</w:t>
      </w:r>
      <w:r>
        <w:rPr>
          <w:color w:val="231F20"/>
          <w:spacing w:val="-2"/>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83</w:t>
      </w:r>
    </w:p>
    <w:p w14:paraId="62DCA5C8" w14:textId="77777777" w:rsidR="00DE575E" w:rsidRDefault="002E7560">
      <w:pPr>
        <w:pStyle w:val="Heading5"/>
        <w:numPr>
          <w:ilvl w:val="1"/>
          <w:numId w:val="336"/>
        </w:numPr>
        <w:tabs>
          <w:tab w:val="left" w:pos="648"/>
          <w:tab w:val="left" w:pos="6573"/>
        </w:tabs>
        <w:spacing w:before="68"/>
        <w:rPr>
          <w:sz w:val="20"/>
        </w:rPr>
      </w:pPr>
      <w:r>
        <w:rPr>
          <w:color w:val="231F20"/>
        </w:rPr>
        <w:t xml:space="preserve">Компетенція </w:t>
      </w:r>
      <w:r>
        <w:rPr>
          <w:color w:val="231F20"/>
          <w:spacing w:val="-3"/>
        </w:rPr>
        <w:t>суб’єкта</w:t>
      </w:r>
      <w:r>
        <w:rPr>
          <w:color w:val="231F20"/>
          <w:spacing w:val="-11"/>
        </w:rPr>
        <w:t xml:space="preserve"> </w:t>
      </w:r>
      <w:r>
        <w:rPr>
          <w:color w:val="231F20"/>
        </w:rPr>
        <w:t>публічного</w:t>
      </w:r>
      <w:r>
        <w:rPr>
          <w:color w:val="231F20"/>
          <w:spacing w:val="-7"/>
        </w:rPr>
        <w:t xml:space="preserve"> </w:t>
      </w:r>
      <w:r>
        <w:rPr>
          <w:color w:val="231F20"/>
        </w:rPr>
        <w:t>адміністрування</w:t>
      </w:r>
      <w:r>
        <w:rPr>
          <w:color w:val="231F20"/>
          <w:u w:val="dotted" w:color="231F20"/>
        </w:rPr>
        <w:t xml:space="preserve"> </w:t>
      </w:r>
      <w:r>
        <w:rPr>
          <w:color w:val="231F20"/>
          <w:u w:val="dotted" w:color="231F20"/>
        </w:rPr>
        <w:tab/>
      </w:r>
      <w:r>
        <w:rPr>
          <w:sz w:val="20"/>
        </w:rPr>
        <w:t>86</w:t>
      </w:r>
    </w:p>
    <w:p w14:paraId="45D0D3E8" w14:textId="77777777" w:rsidR="00DE575E" w:rsidRDefault="002E7560">
      <w:pPr>
        <w:pStyle w:val="ListParagraph"/>
        <w:numPr>
          <w:ilvl w:val="2"/>
          <w:numId w:val="336"/>
        </w:numPr>
        <w:tabs>
          <w:tab w:val="left" w:pos="1215"/>
          <w:tab w:val="left" w:pos="6573"/>
        </w:tabs>
        <w:spacing w:before="54" w:line="223" w:lineRule="auto"/>
        <w:ind w:right="411"/>
        <w:rPr>
          <w:b/>
          <w:color w:val="231F20"/>
          <w:sz w:val="21"/>
        </w:rPr>
      </w:pPr>
      <w:r>
        <w:rPr>
          <w:color w:val="231F20"/>
          <w:sz w:val="21"/>
        </w:rPr>
        <w:t xml:space="preserve">Компетенція </w:t>
      </w:r>
      <w:r>
        <w:rPr>
          <w:color w:val="231F20"/>
          <w:spacing w:val="-3"/>
          <w:sz w:val="21"/>
        </w:rPr>
        <w:t xml:space="preserve">суб’єкта </w:t>
      </w:r>
      <w:r>
        <w:rPr>
          <w:color w:val="231F20"/>
          <w:sz w:val="21"/>
        </w:rPr>
        <w:t>публічного адміністрування: сутність</w:t>
      </w:r>
      <w:r>
        <w:rPr>
          <w:color w:val="231F20"/>
          <w:spacing w:val="-1"/>
          <w:sz w:val="21"/>
        </w:rPr>
        <w:t xml:space="preserve"> </w:t>
      </w:r>
      <w:r>
        <w:rPr>
          <w:color w:val="231F20"/>
          <w:sz w:val="21"/>
        </w:rPr>
        <w:t>і</w:t>
      </w:r>
      <w:r>
        <w:rPr>
          <w:color w:val="231F20"/>
          <w:spacing w:val="-1"/>
          <w:sz w:val="21"/>
        </w:rPr>
        <w:t xml:space="preserve"> </w:t>
      </w:r>
      <w:r>
        <w:rPr>
          <w:color w:val="231F20"/>
          <w:sz w:val="21"/>
        </w:rPr>
        <w:t>структура</w:t>
      </w:r>
      <w:r>
        <w:rPr>
          <w:color w:val="231F20"/>
          <w:sz w:val="21"/>
          <w:u w:val="dotted" w:color="231F20"/>
        </w:rPr>
        <w:t xml:space="preserve"> </w:t>
      </w:r>
      <w:r>
        <w:rPr>
          <w:color w:val="231F20"/>
          <w:sz w:val="21"/>
          <w:u w:val="dotted" w:color="231F20"/>
        </w:rPr>
        <w:tab/>
      </w:r>
      <w:r>
        <w:rPr>
          <w:b/>
          <w:w w:val="80"/>
          <w:sz w:val="20"/>
        </w:rPr>
        <w:t>86</w:t>
      </w:r>
    </w:p>
    <w:p w14:paraId="775E347C" w14:textId="77777777" w:rsidR="00DE575E" w:rsidRDefault="002E7560">
      <w:pPr>
        <w:pStyle w:val="ListParagraph"/>
        <w:numPr>
          <w:ilvl w:val="2"/>
          <w:numId w:val="336"/>
        </w:numPr>
        <w:tabs>
          <w:tab w:val="left" w:pos="1215"/>
        </w:tabs>
        <w:spacing w:before="44" w:line="238" w:lineRule="exact"/>
        <w:rPr>
          <w:color w:val="231F20"/>
          <w:sz w:val="21"/>
        </w:rPr>
      </w:pPr>
      <w:r>
        <w:rPr>
          <w:color w:val="231F20"/>
          <w:sz w:val="21"/>
        </w:rPr>
        <w:t xml:space="preserve">Повноваження </w:t>
      </w:r>
      <w:r>
        <w:rPr>
          <w:color w:val="231F20"/>
          <w:spacing w:val="-3"/>
          <w:sz w:val="21"/>
        </w:rPr>
        <w:t>суб’єктів</w:t>
      </w:r>
      <w:r>
        <w:rPr>
          <w:color w:val="231F20"/>
          <w:spacing w:val="-2"/>
          <w:sz w:val="21"/>
        </w:rPr>
        <w:t xml:space="preserve"> </w:t>
      </w:r>
      <w:r>
        <w:rPr>
          <w:color w:val="231F20"/>
          <w:sz w:val="21"/>
        </w:rPr>
        <w:t>публічного</w:t>
      </w:r>
    </w:p>
    <w:p w14:paraId="741064A4" w14:textId="77777777" w:rsidR="00DE575E" w:rsidRDefault="002E7560">
      <w:pPr>
        <w:pStyle w:val="BodyText"/>
        <w:tabs>
          <w:tab w:val="left" w:pos="6573"/>
        </w:tabs>
        <w:spacing w:line="238" w:lineRule="exact"/>
        <w:ind w:left="1214"/>
        <w:rPr>
          <w:b/>
          <w:sz w:val="20"/>
        </w:rPr>
      </w:pPr>
      <w:r>
        <w:rPr>
          <w:color w:val="231F20"/>
        </w:rPr>
        <w:t>адміністрування</w:t>
      </w:r>
      <w:r>
        <w:rPr>
          <w:color w:val="231F20"/>
          <w:u w:val="dotted" w:color="231F20"/>
        </w:rPr>
        <w:t xml:space="preserve"> </w:t>
      </w:r>
      <w:r>
        <w:rPr>
          <w:color w:val="231F20"/>
          <w:u w:val="dotted" w:color="231F20"/>
        </w:rPr>
        <w:tab/>
      </w:r>
      <w:r>
        <w:rPr>
          <w:b/>
          <w:sz w:val="20"/>
        </w:rPr>
        <w:t>88</w:t>
      </w:r>
    </w:p>
    <w:p w14:paraId="33F1E17D" w14:textId="77777777" w:rsidR="00DE575E" w:rsidRDefault="002E7560">
      <w:pPr>
        <w:pStyle w:val="ListParagraph"/>
        <w:numPr>
          <w:ilvl w:val="2"/>
          <w:numId w:val="336"/>
        </w:numPr>
        <w:tabs>
          <w:tab w:val="left" w:pos="1215"/>
          <w:tab w:val="left" w:pos="6573"/>
        </w:tabs>
        <w:spacing w:before="54" w:line="223" w:lineRule="auto"/>
        <w:ind w:right="411"/>
        <w:rPr>
          <w:b/>
          <w:color w:val="231F20"/>
          <w:sz w:val="21"/>
        </w:rPr>
      </w:pPr>
      <w:r>
        <w:rPr>
          <w:color w:val="231F20"/>
          <w:sz w:val="21"/>
        </w:rPr>
        <w:t>Наділення адміністративними повноваженнями, делегування</w:t>
      </w:r>
      <w:r>
        <w:rPr>
          <w:color w:val="231F20"/>
          <w:spacing w:val="-5"/>
          <w:sz w:val="21"/>
        </w:rPr>
        <w:t xml:space="preserve"> </w:t>
      </w:r>
      <w:r>
        <w:rPr>
          <w:color w:val="231F20"/>
          <w:sz w:val="21"/>
        </w:rPr>
        <w:t>адміністративних</w:t>
      </w:r>
      <w:r>
        <w:rPr>
          <w:color w:val="231F20"/>
          <w:spacing w:val="-5"/>
          <w:sz w:val="21"/>
        </w:rPr>
        <w:t xml:space="preserve"> </w:t>
      </w:r>
      <w:r>
        <w:rPr>
          <w:color w:val="231F20"/>
          <w:sz w:val="21"/>
        </w:rPr>
        <w:t>повноважень</w:t>
      </w:r>
      <w:r>
        <w:rPr>
          <w:color w:val="231F20"/>
          <w:sz w:val="21"/>
          <w:u w:val="dotted" w:color="231F20"/>
        </w:rPr>
        <w:t xml:space="preserve"> </w:t>
      </w:r>
      <w:r>
        <w:rPr>
          <w:color w:val="231F20"/>
          <w:sz w:val="21"/>
          <w:u w:val="dotted" w:color="231F20"/>
        </w:rPr>
        <w:tab/>
      </w:r>
      <w:r>
        <w:rPr>
          <w:b/>
          <w:w w:val="80"/>
          <w:sz w:val="20"/>
        </w:rPr>
        <w:t>91</w:t>
      </w:r>
    </w:p>
    <w:p w14:paraId="61644044" w14:textId="77777777" w:rsidR="00DE575E" w:rsidRDefault="002E7560">
      <w:pPr>
        <w:pStyle w:val="Heading5"/>
        <w:numPr>
          <w:ilvl w:val="1"/>
          <w:numId w:val="336"/>
        </w:numPr>
        <w:tabs>
          <w:tab w:val="left" w:pos="648"/>
        </w:tabs>
        <w:spacing w:before="72" w:line="238" w:lineRule="exact"/>
      </w:pPr>
      <w:r>
        <w:rPr>
          <w:color w:val="231F20"/>
        </w:rPr>
        <w:t xml:space="preserve">Роль Президента </w:t>
      </w:r>
      <w:r>
        <w:rPr>
          <w:color w:val="231F20"/>
          <w:spacing w:val="-4"/>
        </w:rPr>
        <w:t xml:space="preserve">України </w:t>
      </w:r>
      <w:r>
        <w:rPr>
          <w:color w:val="231F20"/>
        </w:rPr>
        <w:t>в</w:t>
      </w:r>
      <w:r>
        <w:rPr>
          <w:color w:val="231F20"/>
          <w:spacing w:val="-1"/>
        </w:rPr>
        <w:t xml:space="preserve"> </w:t>
      </w:r>
      <w:r>
        <w:rPr>
          <w:color w:val="231F20"/>
        </w:rPr>
        <w:t>системі</w:t>
      </w:r>
    </w:p>
    <w:p w14:paraId="5E0251F5" w14:textId="77777777" w:rsidR="00DE575E" w:rsidRDefault="002E7560">
      <w:pPr>
        <w:tabs>
          <w:tab w:val="left" w:pos="6573"/>
        </w:tabs>
        <w:spacing w:line="238" w:lineRule="exact"/>
        <w:ind w:left="647"/>
        <w:rPr>
          <w:b/>
          <w:sz w:val="20"/>
        </w:rPr>
      </w:pPr>
      <w:r>
        <w:rPr>
          <w:b/>
          <w:color w:val="231F20"/>
          <w:sz w:val="21"/>
        </w:rPr>
        <w:t>виконавчої</w:t>
      </w:r>
      <w:r>
        <w:rPr>
          <w:b/>
          <w:color w:val="231F20"/>
          <w:spacing w:val="-3"/>
          <w:sz w:val="21"/>
        </w:rPr>
        <w:t xml:space="preserve"> </w:t>
      </w:r>
      <w:r>
        <w:rPr>
          <w:b/>
          <w:color w:val="231F20"/>
          <w:sz w:val="21"/>
        </w:rPr>
        <w:t>влади</w:t>
      </w:r>
      <w:r>
        <w:rPr>
          <w:b/>
          <w:color w:val="231F20"/>
          <w:sz w:val="21"/>
          <w:u w:val="dotted" w:color="231F20"/>
        </w:rPr>
        <w:t xml:space="preserve"> </w:t>
      </w:r>
      <w:r>
        <w:rPr>
          <w:b/>
          <w:color w:val="231F20"/>
          <w:sz w:val="21"/>
          <w:u w:val="dotted" w:color="231F20"/>
        </w:rPr>
        <w:tab/>
      </w:r>
      <w:r>
        <w:rPr>
          <w:b/>
          <w:sz w:val="20"/>
        </w:rPr>
        <w:t>94</w:t>
      </w:r>
    </w:p>
    <w:p w14:paraId="1A0F1B5E" w14:textId="77777777" w:rsidR="00DE575E" w:rsidRDefault="002E7560">
      <w:pPr>
        <w:pStyle w:val="ListParagraph"/>
        <w:numPr>
          <w:ilvl w:val="1"/>
          <w:numId w:val="336"/>
        </w:numPr>
        <w:tabs>
          <w:tab w:val="left" w:pos="648"/>
          <w:tab w:val="left" w:pos="6573"/>
        </w:tabs>
        <w:spacing w:before="69"/>
        <w:rPr>
          <w:b/>
          <w:sz w:val="20"/>
        </w:rPr>
      </w:pPr>
      <w:r>
        <w:rPr>
          <w:b/>
          <w:color w:val="231F20"/>
          <w:sz w:val="21"/>
        </w:rPr>
        <w:t>Система органів</w:t>
      </w:r>
      <w:r>
        <w:rPr>
          <w:b/>
          <w:color w:val="231F20"/>
          <w:spacing w:val="-9"/>
          <w:sz w:val="21"/>
        </w:rPr>
        <w:t xml:space="preserve"> </w:t>
      </w:r>
      <w:r>
        <w:rPr>
          <w:b/>
          <w:color w:val="231F20"/>
          <w:sz w:val="21"/>
        </w:rPr>
        <w:t>виконавчої</w:t>
      </w:r>
      <w:r>
        <w:rPr>
          <w:b/>
          <w:color w:val="231F20"/>
          <w:spacing w:val="-4"/>
          <w:sz w:val="21"/>
        </w:rPr>
        <w:t xml:space="preserve"> </w:t>
      </w:r>
      <w:r>
        <w:rPr>
          <w:b/>
          <w:color w:val="231F20"/>
          <w:sz w:val="21"/>
        </w:rPr>
        <w:t>влади</w:t>
      </w:r>
      <w:r>
        <w:rPr>
          <w:b/>
          <w:color w:val="231F20"/>
          <w:sz w:val="21"/>
          <w:u w:val="dotted" w:color="231F20"/>
        </w:rPr>
        <w:t xml:space="preserve"> </w:t>
      </w:r>
      <w:r>
        <w:rPr>
          <w:b/>
          <w:color w:val="231F20"/>
          <w:sz w:val="21"/>
          <w:u w:val="dotted" w:color="231F20"/>
        </w:rPr>
        <w:tab/>
      </w:r>
      <w:r>
        <w:rPr>
          <w:b/>
          <w:sz w:val="20"/>
        </w:rPr>
        <w:t>96</w:t>
      </w:r>
    </w:p>
    <w:p w14:paraId="5099A62F" w14:textId="77777777" w:rsidR="00DE575E" w:rsidRDefault="002E7560">
      <w:pPr>
        <w:pStyle w:val="ListParagraph"/>
        <w:numPr>
          <w:ilvl w:val="2"/>
          <w:numId w:val="336"/>
        </w:numPr>
        <w:tabs>
          <w:tab w:val="left" w:pos="1215"/>
          <w:tab w:val="left" w:pos="6573"/>
        </w:tabs>
        <w:spacing w:before="40"/>
        <w:rPr>
          <w:b/>
          <w:color w:val="231F20"/>
          <w:sz w:val="21"/>
        </w:rPr>
      </w:pPr>
      <w:r>
        <w:rPr>
          <w:color w:val="231F20"/>
          <w:sz w:val="21"/>
        </w:rPr>
        <w:t>Рівні органів виконавчої влади</w:t>
      </w:r>
      <w:r>
        <w:rPr>
          <w:color w:val="231F20"/>
          <w:sz w:val="21"/>
          <w:u w:val="dotted" w:color="231F20"/>
        </w:rPr>
        <w:t xml:space="preserve"> </w:t>
      </w:r>
      <w:r>
        <w:rPr>
          <w:color w:val="231F20"/>
          <w:sz w:val="21"/>
          <w:u w:val="dotted" w:color="231F20"/>
        </w:rPr>
        <w:tab/>
      </w:r>
      <w:r>
        <w:rPr>
          <w:b/>
          <w:sz w:val="20"/>
        </w:rPr>
        <w:t>97</w:t>
      </w:r>
    </w:p>
    <w:p w14:paraId="31894C64" w14:textId="77777777" w:rsidR="00DE575E" w:rsidRDefault="002E7560">
      <w:pPr>
        <w:pStyle w:val="ListParagraph"/>
        <w:numPr>
          <w:ilvl w:val="3"/>
          <w:numId w:val="336"/>
        </w:numPr>
        <w:tabs>
          <w:tab w:val="left" w:pos="1931"/>
          <w:tab w:val="left" w:pos="6573"/>
        </w:tabs>
        <w:spacing w:before="40"/>
        <w:ind w:hanging="716"/>
        <w:rPr>
          <w:b/>
          <w:sz w:val="20"/>
        </w:rPr>
      </w:pPr>
      <w:r>
        <w:rPr>
          <w:color w:val="231F20"/>
          <w:sz w:val="21"/>
        </w:rPr>
        <w:t>Кабінет</w:t>
      </w:r>
      <w:r>
        <w:rPr>
          <w:color w:val="231F20"/>
          <w:spacing w:val="-4"/>
          <w:sz w:val="21"/>
        </w:rPr>
        <w:t xml:space="preserve"> </w:t>
      </w:r>
      <w:r>
        <w:rPr>
          <w:color w:val="231F20"/>
          <w:sz w:val="21"/>
        </w:rPr>
        <w:t>Міністрів</w:t>
      </w:r>
      <w:r>
        <w:rPr>
          <w:color w:val="231F20"/>
          <w:spacing w:val="-5"/>
          <w:sz w:val="21"/>
        </w:rPr>
        <w:t xml:space="preserve"> </w:t>
      </w:r>
      <w:r>
        <w:rPr>
          <w:color w:val="231F20"/>
          <w:sz w:val="21"/>
        </w:rPr>
        <w:t>України</w:t>
      </w:r>
      <w:r>
        <w:rPr>
          <w:color w:val="231F20"/>
          <w:sz w:val="21"/>
          <w:u w:val="dotted" w:color="231F20"/>
        </w:rPr>
        <w:t xml:space="preserve"> </w:t>
      </w:r>
      <w:r>
        <w:rPr>
          <w:color w:val="231F20"/>
          <w:sz w:val="21"/>
          <w:u w:val="dotted" w:color="231F20"/>
        </w:rPr>
        <w:tab/>
      </w:r>
      <w:r>
        <w:rPr>
          <w:b/>
          <w:sz w:val="20"/>
        </w:rPr>
        <w:t>98</w:t>
      </w:r>
    </w:p>
    <w:p w14:paraId="7B4460B5" w14:textId="77777777" w:rsidR="00DE575E" w:rsidRDefault="002E7560">
      <w:pPr>
        <w:pStyle w:val="ListParagraph"/>
        <w:numPr>
          <w:ilvl w:val="3"/>
          <w:numId w:val="336"/>
        </w:numPr>
        <w:tabs>
          <w:tab w:val="left" w:pos="1931"/>
        </w:tabs>
        <w:spacing w:before="40" w:line="238" w:lineRule="exact"/>
        <w:ind w:hanging="716"/>
        <w:rPr>
          <w:sz w:val="21"/>
        </w:rPr>
      </w:pPr>
      <w:r>
        <w:rPr>
          <w:color w:val="231F20"/>
          <w:sz w:val="21"/>
        </w:rPr>
        <w:t>Система центральних</w:t>
      </w:r>
      <w:r>
        <w:rPr>
          <w:color w:val="231F20"/>
          <w:spacing w:val="-2"/>
          <w:sz w:val="21"/>
        </w:rPr>
        <w:t xml:space="preserve"> </w:t>
      </w:r>
      <w:r>
        <w:rPr>
          <w:color w:val="231F20"/>
          <w:sz w:val="21"/>
        </w:rPr>
        <w:t>органів</w:t>
      </w:r>
    </w:p>
    <w:p w14:paraId="093EEB6E" w14:textId="77777777" w:rsidR="00DE575E" w:rsidRDefault="002E7560">
      <w:pPr>
        <w:pStyle w:val="BodyText"/>
        <w:tabs>
          <w:tab w:val="left" w:pos="6477"/>
        </w:tabs>
        <w:spacing w:line="238" w:lineRule="exact"/>
        <w:ind w:left="1611"/>
        <w:rPr>
          <w:b/>
          <w:sz w:val="20"/>
        </w:rPr>
      </w:pPr>
      <w:r>
        <w:rPr>
          <w:color w:val="231F20"/>
        </w:rPr>
        <w:t>виконавчої влади</w:t>
      </w:r>
      <w:r>
        <w:rPr>
          <w:color w:val="231F20"/>
          <w:u w:val="dotted" w:color="231F20"/>
        </w:rPr>
        <w:t xml:space="preserve"> </w:t>
      </w:r>
      <w:r>
        <w:rPr>
          <w:color w:val="231F20"/>
          <w:u w:val="dotted" w:color="231F20"/>
        </w:rPr>
        <w:tab/>
      </w:r>
      <w:r>
        <w:rPr>
          <w:b/>
          <w:sz w:val="20"/>
        </w:rPr>
        <w:t>101</w:t>
      </w:r>
    </w:p>
    <w:p w14:paraId="4DDA8F2F" w14:textId="77777777" w:rsidR="00DE575E" w:rsidRDefault="002E7560">
      <w:pPr>
        <w:pStyle w:val="ListParagraph"/>
        <w:numPr>
          <w:ilvl w:val="4"/>
          <w:numId w:val="336"/>
        </w:numPr>
        <w:tabs>
          <w:tab w:val="left" w:pos="2070"/>
          <w:tab w:val="left" w:pos="6477"/>
        </w:tabs>
        <w:spacing w:before="68"/>
        <w:ind w:hanging="855"/>
        <w:rPr>
          <w:b/>
          <w:sz w:val="20"/>
        </w:rPr>
      </w:pPr>
      <w:r>
        <w:rPr>
          <w:i/>
          <w:color w:val="231F20"/>
          <w:sz w:val="21"/>
        </w:rPr>
        <w:t>Міністерства</w:t>
      </w:r>
      <w:r>
        <w:rPr>
          <w:i/>
          <w:color w:val="231F20"/>
          <w:sz w:val="21"/>
          <w:u w:val="dotted" w:color="231F20"/>
        </w:rPr>
        <w:t xml:space="preserve"> </w:t>
      </w:r>
      <w:r>
        <w:rPr>
          <w:i/>
          <w:color w:val="231F20"/>
          <w:sz w:val="21"/>
          <w:u w:val="dotted" w:color="231F20"/>
        </w:rPr>
        <w:tab/>
      </w:r>
      <w:r>
        <w:rPr>
          <w:b/>
          <w:sz w:val="20"/>
        </w:rPr>
        <w:t>104</w:t>
      </w:r>
    </w:p>
    <w:p w14:paraId="54B3EF11" w14:textId="77777777" w:rsidR="00DE575E" w:rsidRDefault="002E7560">
      <w:pPr>
        <w:pStyle w:val="ListParagraph"/>
        <w:numPr>
          <w:ilvl w:val="4"/>
          <w:numId w:val="336"/>
        </w:numPr>
        <w:tabs>
          <w:tab w:val="left" w:pos="2070"/>
          <w:tab w:val="left" w:pos="6477"/>
        </w:tabs>
        <w:spacing w:before="69"/>
        <w:ind w:hanging="855"/>
        <w:rPr>
          <w:b/>
          <w:sz w:val="20"/>
        </w:rPr>
      </w:pPr>
      <w:r>
        <w:rPr>
          <w:i/>
          <w:color w:val="231F20"/>
          <w:sz w:val="21"/>
        </w:rPr>
        <w:t>Інші центральні органи</w:t>
      </w:r>
      <w:r>
        <w:rPr>
          <w:i/>
          <w:color w:val="231F20"/>
          <w:spacing w:val="-8"/>
          <w:sz w:val="21"/>
        </w:rPr>
        <w:t xml:space="preserve"> </w:t>
      </w:r>
      <w:r>
        <w:rPr>
          <w:i/>
          <w:color w:val="231F20"/>
          <w:sz w:val="21"/>
        </w:rPr>
        <w:t>виконавчої</w:t>
      </w:r>
      <w:r>
        <w:rPr>
          <w:i/>
          <w:color w:val="231F20"/>
          <w:spacing w:val="-3"/>
          <w:sz w:val="21"/>
        </w:rPr>
        <w:t xml:space="preserve"> </w:t>
      </w:r>
      <w:r>
        <w:rPr>
          <w:i/>
          <w:color w:val="231F20"/>
          <w:sz w:val="21"/>
        </w:rPr>
        <w:t>влади</w:t>
      </w:r>
      <w:r>
        <w:rPr>
          <w:i/>
          <w:color w:val="231F20"/>
          <w:sz w:val="21"/>
          <w:u w:val="dotted" w:color="231F20"/>
        </w:rPr>
        <w:t xml:space="preserve"> </w:t>
      </w:r>
      <w:r>
        <w:rPr>
          <w:i/>
          <w:color w:val="231F20"/>
          <w:sz w:val="21"/>
          <w:u w:val="dotted" w:color="231F20"/>
        </w:rPr>
        <w:tab/>
      </w:r>
      <w:r>
        <w:rPr>
          <w:b/>
          <w:sz w:val="20"/>
        </w:rPr>
        <w:t>108</w:t>
      </w:r>
    </w:p>
    <w:p w14:paraId="15E735B9" w14:textId="77777777" w:rsidR="00DE575E" w:rsidRDefault="002E7560">
      <w:pPr>
        <w:pStyle w:val="ListParagraph"/>
        <w:numPr>
          <w:ilvl w:val="4"/>
          <w:numId w:val="336"/>
        </w:numPr>
        <w:tabs>
          <w:tab w:val="left" w:pos="2070"/>
        </w:tabs>
        <w:spacing w:before="68" w:line="238" w:lineRule="exact"/>
        <w:ind w:hanging="855"/>
        <w:rPr>
          <w:i/>
          <w:sz w:val="21"/>
        </w:rPr>
      </w:pPr>
      <w:r>
        <w:rPr>
          <w:i/>
          <w:color w:val="231F20"/>
          <w:sz w:val="21"/>
        </w:rPr>
        <w:t>Центральний орган виконавчої</w:t>
      </w:r>
      <w:r>
        <w:rPr>
          <w:i/>
          <w:color w:val="231F20"/>
          <w:spacing w:val="-5"/>
          <w:sz w:val="21"/>
        </w:rPr>
        <w:t xml:space="preserve"> </w:t>
      </w:r>
      <w:r>
        <w:rPr>
          <w:i/>
          <w:color w:val="231F20"/>
          <w:sz w:val="21"/>
        </w:rPr>
        <w:t>влади</w:t>
      </w:r>
    </w:p>
    <w:p w14:paraId="6204A5D0" w14:textId="77777777" w:rsidR="00DE575E" w:rsidRDefault="002E7560">
      <w:pPr>
        <w:tabs>
          <w:tab w:val="left" w:pos="6477"/>
        </w:tabs>
        <w:spacing w:line="238" w:lineRule="exact"/>
        <w:ind w:left="1611"/>
        <w:rPr>
          <w:b/>
          <w:sz w:val="20"/>
        </w:rPr>
      </w:pPr>
      <w:r>
        <w:rPr>
          <w:i/>
          <w:color w:val="231F20"/>
          <w:sz w:val="21"/>
        </w:rPr>
        <w:t>зі</w:t>
      </w:r>
      <w:r>
        <w:rPr>
          <w:i/>
          <w:color w:val="231F20"/>
          <w:spacing w:val="-5"/>
          <w:sz w:val="21"/>
        </w:rPr>
        <w:t xml:space="preserve"> </w:t>
      </w:r>
      <w:r>
        <w:rPr>
          <w:i/>
          <w:color w:val="231F20"/>
          <w:sz w:val="21"/>
        </w:rPr>
        <w:t>спеціальним</w:t>
      </w:r>
      <w:r>
        <w:rPr>
          <w:i/>
          <w:color w:val="231F20"/>
          <w:spacing w:val="-5"/>
          <w:sz w:val="21"/>
        </w:rPr>
        <w:t xml:space="preserve"> </w:t>
      </w:r>
      <w:r>
        <w:rPr>
          <w:i/>
          <w:color w:val="231F20"/>
          <w:sz w:val="21"/>
        </w:rPr>
        <w:t>статусом</w:t>
      </w:r>
      <w:r>
        <w:rPr>
          <w:i/>
          <w:color w:val="231F20"/>
          <w:sz w:val="21"/>
          <w:u w:val="dotted" w:color="231F20"/>
        </w:rPr>
        <w:t xml:space="preserve"> </w:t>
      </w:r>
      <w:r>
        <w:rPr>
          <w:i/>
          <w:color w:val="231F20"/>
          <w:sz w:val="21"/>
          <w:u w:val="dotted" w:color="231F20"/>
        </w:rPr>
        <w:tab/>
      </w:r>
      <w:r>
        <w:rPr>
          <w:b/>
          <w:sz w:val="20"/>
        </w:rPr>
        <w:t>112</w:t>
      </w:r>
    </w:p>
    <w:p w14:paraId="675A11D3" w14:textId="77777777" w:rsidR="00DE575E" w:rsidRDefault="002E7560">
      <w:pPr>
        <w:pStyle w:val="ListParagraph"/>
        <w:numPr>
          <w:ilvl w:val="2"/>
          <w:numId w:val="336"/>
        </w:numPr>
        <w:tabs>
          <w:tab w:val="left" w:pos="1215"/>
          <w:tab w:val="left" w:pos="6477"/>
        </w:tabs>
        <w:spacing w:before="40"/>
        <w:rPr>
          <w:b/>
          <w:color w:val="231F20"/>
          <w:sz w:val="21"/>
        </w:rPr>
      </w:pPr>
      <w:r>
        <w:rPr>
          <w:color w:val="231F20"/>
          <w:sz w:val="21"/>
        </w:rPr>
        <w:t>Місцеві</w:t>
      </w:r>
      <w:r>
        <w:rPr>
          <w:color w:val="231F20"/>
          <w:spacing w:val="-4"/>
          <w:sz w:val="21"/>
        </w:rPr>
        <w:t xml:space="preserve"> </w:t>
      </w:r>
      <w:r>
        <w:rPr>
          <w:color w:val="231F20"/>
          <w:sz w:val="21"/>
        </w:rPr>
        <w:t>державні</w:t>
      </w:r>
      <w:r>
        <w:rPr>
          <w:color w:val="231F20"/>
          <w:spacing w:val="-3"/>
          <w:sz w:val="21"/>
        </w:rPr>
        <w:t xml:space="preserve"> </w:t>
      </w:r>
      <w:r>
        <w:rPr>
          <w:color w:val="231F20"/>
          <w:sz w:val="21"/>
        </w:rPr>
        <w:t>адміністрації</w:t>
      </w:r>
      <w:r>
        <w:rPr>
          <w:color w:val="231F20"/>
          <w:sz w:val="21"/>
          <w:u w:val="dotted" w:color="231F20"/>
        </w:rPr>
        <w:t xml:space="preserve"> </w:t>
      </w:r>
      <w:r>
        <w:rPr>
          <w:color w:val="231F20"/>
          <w:sz w:val="21"/>
          <w:u w:val="dotted" w:color="231F20"/>
        </w:rPr>
        <w:tab/>
      </w:r>
      <w:r>
        <w:rPr>
          <w:b/>
          <w:sz w:val="20"/>
        </w:rPr>
        <w:t>114</w:t>
      </w:r>
    </w:p>
    <w:p w14:paraId="056AAFC3" w14:textId="77777777" w:rsidR="00DE575E" w:rsidRDefault="002E7560">
      <w:pPr>
        <w:pStyle w:val="ListParagraph"/>
        <w:numPr>
          <w:ilvl w:val="2"/>
          <w:numId w:val="336"/>
        </w:numPr>
        <w:tabs>
          <w:tab w:val="left" w:pos="1215"/>
        </w:tabs>
        <w:spacing w:before="40" w:line="238" w:lineRule="exact"/>
        <w:rPr>
          <w:color w:val="231F20"/>
          <w:sz w:val="21"/>
        </w:rPr>
      </w:pPr>
      <w:r>
        <w:rPr>
          <w:color w:val="231F20"/>
          <w:sz w:val="21"/>
        </w:rPr>
        <w:t>Порядок утворення, реорганізації та</w:t>
      </w:r>
      <w:r>
        <w:rPr>
          <w:color w:val="231F20"/>
          <w:spacing w:val="-8"/>
          <w:sz w:val="21"/>
        </w:rPr>
        <w:t xml:space="preserve"> </w:t>
      </w:r>
      <w:r>
        <w:rPr>
          <w:color w:val="231F20"/>
          <w:sz w:val="21"/>
        </w:rPr>
        <w:t>ліквідації</w:t>
      </w:r>
    </w:p>
    <w:p w14:paraId="68E572BA" w14:textId="77777777" w:rsidR="00DE575E" w:rsidRDefault="002E7560">
      <w:pPr>
        <w:pStyle w:val="BodyText"/>
        <w:tabs>
          <w:tab w:val="left" w:pos="6477"/>
        </w:tabs>
        <w:spacing w:line="238" w:lineRule="exact"/>
        <w:ind w:left="1214"/>
        <w:rPr>
          <w:b/>
          <w:sz w:val="20"/>
        </w:rPr>
      </w:pPr>
      <w:r>
        <w:rPr>
          <w:color w:val="231F20"/>
        </w:rPr>
        <w:t>органів</w:t>
      </w:r>
      <w:r>
        <w:rPr>
          <w:color w:val="231F20"/>
          <w:spacing w:val="-2"/>
        </w:rPr>
        <w:t xml:space="preserve"> </w:t>
      </w:r>
      <w:r>
        <w:rPr>
          <w:color w:val="231F20"/>
        </w:rPr>
        <w:t>виконавчої</w:t>
      </w:r>
      <w:r>
        <w:rPr>
          <w:color w:val="231F20"/>
          <w:spacing w:val="-1"/>
        </w:rPr>
        <w:t xml:space="preserve"> </w:t>
      </w:r>
      <w:r>
        <w:rPr>
          <w:color w:val="231F20"/>
        </w:rPr>
        <w:t>влади</w:t>
      </w:r>
      <w:r>
        <w:rPr>
          <w:color w:val="231F20"/>
          <w:u w:val="dotted" w:color="231F20"/>
        </w:rPr>
        <w:t xml:space="preserve"> </w:t>
      </w:r>
      <w:r>
        <w:rPr>
          <w:color w:val="231F20"/>
          <w:u w:val="dotted" w:color="231F20"/>
        </w:rPr>
        <w:tab/>
      </w:r>
      <w:r>
        <w:rPr>
          <w:b/>
          <w:sz w:val="20"/>
        </w:rPr>
        <w:t>117</w:t>
      </w:r>
    </w:p>
    <w:p w14:paraId="456F2DD3" w14:textId="77777777" w:rsidR="00DE575E" w:rsidRDefault="002E7560">
      <w:pPr>
        <w:pStyle w:val="ListParagraph"/>
        <w:numPr>
          <w:ilvl w:val="2"/>
          <w:numId w:val="336"/>
        </w:numPr>
        <w:tabs>
          <w:tab w:val="left" w:pos="1215"/>
          <w:tab w:val="left" w:pos="6477"/>
        </w:tabs>
        <w:spacing w:before="40"/>
        <w:rPr>
          <w:b/>
          <w:color w:val="231F20"/>
          <w:sz w:val="21"/>
        </w:rPr>
      </w:pPr>
      <w:r>
        <w:rPr>
          <w:color w:val="231F20"/>
          <w:sz w:val="21"/>
        </w:rPr>
        <w:t>Військово-цивільні</w:t>
      </w:r>
      <w:r>
        <w:rPr>
          <w:color w:val="231F20"/>
          <w:spacing w:val="-2"/>
          <w:sz w:val="21"/>
        </w:rPr>
        <w:t xml:space="preserve"> </w:t>
      </w:r>
      <w:r>
        <w:rPr>
          <w:color w:val="231F20"/>
          <w:sz w:val="21"/>
        </w:rPr>
        <w:t>адміністрації</w:t>
      </w:r>
      <w:r>
        <w:rPr>
          <w:color w:val="231F20"/>
          <w:sz w:val="21"/>
          <w:u w:val="dotted" w:color="231F20"/>
        </w:rPr>
        <w:t xml:space="preserve"> </w:t>
      </w:r>
      <w:r>
        <w:rPr>
          <w:color w:val="231F20"/>
          <w:sz w:val="21"/>
          <w:u w:val="dotted" w:color="231F20"/>
        </w:rPr>
        <w:tab/>
      </w:r>
      <w:r>
        <w:rPr>
          <w:b/>
          <w:sz w:val="20"/>
        </w:rPr>
        <w:t>117</w:t>
      </w:r>
    </w:p>
    <w:p w14:paraId="553DD2D7" w14:textId="77777777" w:rsidR="00DE575E" w:rsidRDefault="002E7560">
      <w:pPr>
        <w:pStyle w:val="Heading5"/>
        <w:numPr>
          <w:ilvl w:val="1"/>
          <w:numId w:val="336"/>
        </w:numPr>
        <w:tabs>
          <w:tab w:val="left" w:pos="648"/>
          <w:tab w:val="left" w:pos="6477"/>
        </w:tabs>
        <w:spacing w:before="68"/>
        <w:rPr>
          <w:sz w:val="20"/>
        </w:rPr>
      </w:pPr>
      <w:r>
        <w:rPr>
          <w:color w:val="231F20"/>
          <w:spacing w:val="-3"/>
        </w:rPr>
        <w:t>Суб’єкти</w:t>
      </w:r>
      <w:r>
        <w:rPr>
          <w:color w:val="231F20"/>
          <w:spacing w:val="-4"/>
        </w:rPr>
        <w:t xml:space="preserve"> </w:t>
      </w:r>
      <w:r>
        <w:rPr>
          <w:color w:val="231F20"/>
        </w:rPr>
        <w:t>місцевого</w:t>
      </w:r>
      <w:r>
        <w:rPr>
          <w:color w:val="231F20"/>
          <w:spacing w:val="-5"/>
        </w:rPr>
        <w:t xml:space="preserve"> </w:t>
      </w:r>
      <w:r>
        <w:rPr>
          <w:color w:val="231F20"/>
        </w:rPr>
        <w:t>самоврядування</w:t>
      </w:r>
      <w:r>
        <w:rPr>
          <w:color w:val="231F20"/>
          <w:u w:val="dotted" w:color="231F20"/>
        </w:rPr>
        <w:t xml:space="preserve"> </w:t>
      </w:r>
      <w:r>
        <w:rPr>
          <w:color w:val="231F20"/>
          <w:u w:val="dotted" w:color="231F20"/>
        </w:rPr>
        <w:tab/>
      </w:r>
      <w:r>
        <w:rPr>
          <w:sz w:val="20"/>
        </w:rPr>
        <w:t>122</w:t>
      </w:r>
    </w:p>
    <w:p w14:paraId="3FCE5E1E" w14:textId="77777777" w:rsidR="00DE575E" w:rsidRDefault="00DE575E">
      <w:pPr>
        <w:pStyle w:val="BodyText"/>
        <w:rPr>
          <w:b/>
          <w:sz w:val="11"/>
        </w:rPr>
      </w:pPr>
    </w:p>
    <w:p w14:paraId="6AFD80D5" w14:textId="77777777" w:rsidR="00DE575E" w:rsidRDefault="002E7560">
      <w:pPr>
        <w:spacing w:before="92"/>
        <w:ind w:right="411"/>
        <w:jc w:val="right"/>
        <w:rPr>
          <w:rFonts w:ascii="Times New Roman"/>
          <w:sz w:val="20"/>
        </w:rPr>
      </w:pPr>
      <w:r>
        <w:rPr>
          <w:rFonts w:ascii="Times New Roman"/>
          <w:color w:val="231F20"/>
          <w:w w:val="90"/>
          <w:sz w:val="20"/>
        </w:rPr>
        <w:t>7</w:t>
      </w:r>
    </w:p>
    <w:p w14:paraId="1A4466B7"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4D252D5B"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649E2B6" w14:textId="70C5CAB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E0B3374" wp14:editId="3F31B3A6">
                <wp:extent cx="4140200" cy="6350"/>
                <wp:effectExtent l="0" t="0" r="12700" b="6350"/>
                <wp:docPr id="1400"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01" name="Line 14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A57DC1" id="Group_x0020_13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99+BB/AgAAnAUAAA4A&#10;AAAAAAAAAAAAAAAALAIAAGRycy9lMm9Eb2MueG1sUEsBAi0AFAAGAAgAAAAhAEynsJDZAAAAAwEA&#10;AA8AAAAAAAAAAAAAAAAA1wQAAGRycy9kb3ducmV2LnhtbFBLBQYAAAAABAAEAPMAAADdBQAAAAA=&#10;">
                <v:line id="Line_x0020_14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VHBcUAAADdAAAADwAAAGRycy9kb3ducmV2LnhtbERPzWrCQBC+C77DMoVeSrNRi5SYVaRQ&#10;kB60Gh9gzI5J6O5szK4m7dN3CwVv8/H9Tr4arBE36nzjWMEkSUEQl043XCk4Fu/PryB8QNZoHJOC&#10;b/KwWo5HOWba9byn2yFUIoawz1BBHUKbSenLmiz6xLXEkTu7zmKIsKuk7rCP4dbIaZrOpcWGY0ON&#10;Lb3VVH4drlZBcXkK5nP3Yfpid5rJ02U7+7lulXp8GNYLEIGGcBf/uzc6zn9JJ/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VHBcUAAADdAAAADwAAAAAAAAAA&#10;AAAAAAChAgAAZHJzL2Rvd25yZXYueG1sUEsFBgAAAAAEAAQA+QAAAJMDAAAAAA==&#10;" strokecolor="#231f20" strokeweight=".5pt"/>
                <w10:anchorlock/>
              </v:group>
            </w:pict>
          </mc:Fallback>
        </mc:AlternateContent>
      </w:r>
    </w:p>
    <w:p w14:paraId="7B8B341C" w14:textId="77777777" w:rsidR="00DE575E" w:rsidRDefault="00DE575E">
      <w:pPr>
        <w:pStyle w:val="BodyText"/>
        <w:spacing w:before="7"/>
        <w:rPr>
          <w:rFonts w:ascii="AdonisC"/>
          <w:i/>
          <w:sz w:val="11"/>
        </w:rPr>
      </w:pPr>
    </w:p>
    <w:p w14:paraId="265B07C4" w14:textId="77777777" w:rsidR="00DE575E" w:rsidRDefault="002E7560">
      <w:pPr>
        <w:pStyle w:val="Heading5"/>
        <w:spacing w:before="101"/>
      </w:pPr>
      <w:r>
        <w:rPr>
          <w:color w:val="231F20"/>
        </w:rPr>
        <w:t>Розділ 5</w:t>
      </w:r>
    </w:p>
    <w:p w14:paraId="0D45ABC5" w14:textId="77777777" w:rsidR="00DE575E" w:rsidRDefault="002E7560">
      <w:pPr>
        <w:tabs>
          <w:tab w:val="left" w:pos="6760"/>
        </w:tabs>
        <w:spacing w:before="13"/>
        <w:ind w:left="533"/>
        <w:rPr>
          <w:b/>
          <w:sz w:val="20"/>
        </w:rPr>
      </w:pPr>
      <w:r>
        <w:rPr>
          <w:b/>
          <w:color w:val="231F20"/>
          <w:spacing w:val="-7"/>
          <w:sz w:val="21"/>
        </w:rPr>
        <w:t xml:space="preserve">ПРИВАТНА </w:t>
      </w:r>
      <w:r>
        <w:rPr>
          <w:b/>
          <w:color w:val="231F20"/>
          <w:spacing w:val="-5"/>
          <w:sz w:val="21"/>
        </w:rPr>
        <w:t xml:space="preserve">ОСОБА </w:t>
      </w:r>
      <w:r>
        <w:rPr>
          <w:b/>
          <w:color w:val="231F20"/>
          <w:spacing w:val="-3"/>
          <w:sz w:val="21"/>
        </w:rPr>
        <w:t xml:space="preserve">ЯК </w:t>
      </w:r>
      <w:r>
        <w:rPr>
          <w:b/>
          <w:color w:val="231F20"/>
          <w:spacing w:val="-5"/>
          <w:sz w:val="21"/>
        </w:rPr>
        <w:t>СУБ’ЄКТ</w:t>
      </w:r>
      <w:r>
        <w:rPr>
          <w:b/>
          <w:color w:val="231F20"/>
          <w:spacing w:val="-9"/>
          <w:sz w:val="21"/>
        </w:rPr>
        <w:t xml:space="preserve"> </w:t>
      </w:r>
      <w:r>
        <w:rPr>
          <w:b/>
          <w:color w:val="231F20"/>
          <w:spacing w:val="-8"/>
          <w:sz w:val="21"/>
        </w:rPr>
        <w:t>АДМІНІСТРАТИВНОГО</w:t>
      </w:r>
      <w:r>
        <w:rPr>
          <w:b/>
          <w:color w:val="231F20"/>
          <w:spacing w:val="-6"/>
          <w:sz w:val="21"/>
        </w:rPr>
        <w:t xml:space="preserve"> </w:t>
      </w:r>
      <w:r>
        <w:rPr>
          <w:b/>
          <w:color w:val="231F20"/>
          <w:spacing w:val="-8"/>
          <w:sz w:val="21"/>
        </w:rPr>
        <w:t>ПРАВА</w:t>
      </w:r>
      <w:r>
        <w:rPr>
          <w:b/>
          <w:color w:val="231F20"/>
          <w:spacing w:val="-8"/>
          <w:sz w:val="21"/>
          <w:u w:val="dotted" w:color="231F20"/>
        </w:rPr>
        <w:t xml:space="preserve"> </w:t>
      </w:r>
      <w:r>
        <w:rPr>
          <w:b/>
          <w:color w:val="231F20"/>
          <w:spacing w:val="-8"/>
          <w:sz w:val="21"/>
          <w:u w:val="dotted" w:color="231F20"/>
        </w:rPr>
        <w:tab/>
      </w:r>
      <w:r>
        <w:rPr>
          <w:b/>
          <w:sz w:val="20"/>
        </w:rPr>
        <w:t>130</w:t>
      </w:r>
    </w:p>
    <w:p w14:paraId="44DB5592" w14:textId="77777777" w:rsidR="00DE575E" w:rsidRDefault="002E7560">
      <w:pPr>
        <w:pStyle w:val="ListParagraph"/>
        <w:numPr>
          <w:ilvl w:val="1"/>
          <w:numId w:val="335"/>
        </w:numPr>
        <w:tabs>
          <w:tab w:val="left" w:pos="931"/>
        </w:tabs>
        <w:spacing w:before="59" w:line="233" w:lineRule="exact"/>
        <w:rPr>
          <w:b/>
          <w:sz w:val="21"/>
        </w:rPr>
      </w:pPr>
      <w:r>
        <w:rPr>
          <w:b/>
          <w:color w:val="231F20"/>
          <w:sz w:val="21"/>
        </w:rPr>
        <w:t>Місце приватної</w:t>
      </w:r>
      <w:r>
        <w:rPr>
          <w:b/>
          <w:color w:val="231F20"/>
          <w:spacing w:val="-2"/>
          <w:sz w:val="21"/>
        </w:rPr>
        <w:t xml:space="preserve"> </w:t>
      </w:r>
      <w:r>
        <w:rPr>
          <w:b/>
          <w:color w:val="231F20"/>
          <w:sz w:val="21"/>
        </w:rPr>
        <w:t>особи</w:t>
      </w:r>
    </w:p>
    <w:p w14:paraId="2D6E93F0" w14:textId="77777777" w:rsidR="00DE575E" w:rsidRDefault="002E7560">
      <w:pPr>
        <w:tabs>
          <w:tab w:val="left" w:pos="6760"/>
        </w:tabs>
        <w:spacing w:line="233" w:lineRule="exact"/>
        <w:ind w:left="930"/>
        <w:rPr>
          <w:b/>
          <w:sz w:val="20"/>
        </w:rPr>
      </w:pPr>
      <w:r>
        <w:rPr>
          <w:b/>
          <w:color w:val="231F20"/>
          <w:sz w:val="21"/>
        </w:rPr>
        <w:t xml:space="preserve">в системі </w:t>
      </w:r>
      <w:r>
        <w:rPr>
          <w:b/>
          <w:color w:val="231F20"/>
          <w:spacing w:val="-3"/>
          <w:sz w:val="21"/>
        </w:rPr>
        <w:t>суб’єктів</w:t>
      </w:r>
      <w:r>
        <w:rPr>
          <w:b/>
          <w:color w:val="231F20"/>
          <w:spacing w:val="-8"/>
          <w:sz w:val="21"/>
        </w:rPr>
        <w:t xml:space="preserve"> </w:t>
      </w:r>
      <w:r>
        <w:rPr>
          <w:b/>
          <w:color w:val="231F20"/>
          <w:sz w:val="21"/>
        </w:rPr>
        <w:t>адміністративного</w:t>
      </w:r>
      <w:r>
        <w:rPr>
          <w:b/>
          <w:color w:val="231F20"/>
          <w:spacing w:val="-4"/>
          <w:sz w:val="21"/>
        </w:rPr>
        <w:t xml:space="preserve"> </w:t>
      </w:r>
      <w:r>
        <w:rPr>
          <w:b/>
          <w:color w:val="231F20"/>
          <w:sz w:val="21"/>
        </w:rPr>
        <w:t>права</w:t>
      </w:r>
      <w:r>
        <w:rPr>
          <w:b/>
          <w:color w:val="231F20"/>
          <w:sz w:val="21"/>
          <w:u w:val="dotted" w:color="231F20"/>
        </w:rPr>
        <w:t xml:space="preserve"> </w:t>
      </w:r>
      <w:r>
        <w:rPr>
          <w:b/>
          <w:color w:val="231F20"/>
          <w:sz w:val="21"/>
          <w:u w:val="dotted" w:color="231F20"/>
        </w:rPr>
        <w:tab/>
      </w:r>
      <w:r>
        <w:rPr>
          <w:b/>
          <w:sz w:val="20"/>
        </w:rPr>
        <w:t>130</w:t>
      </w:r>
    </w:p>
    <w:p w14:paraId="062E261F" w14:textId="77777777" w:rsidR="00DE575E" w:rsidRDefault="002E7560">
      <w:pPr>
        <w:pStyle w:val="ListParagraph"/>
        <w:numPr>
          <w:ilvl w:val="2"/>
          <w:numId w:val="335"/>
        </w:numPr>
        <w:tabs>
          <w:tab w:val="left" w:pos="1498"/>
          <w:tab w:val="left" w:pos="6760"/>
        </w:tabs>
        <w:spacing w:before="31"/>
        <w:rPr>
          <w:b/>
          <w:sz w:val="20"/>
        </w:rPr>
      </w:pPr>
      <w:r>
        <w:rPr>
          <w:color w:val="231F20"/>
          <w:sz w:val="21"/>
        </w:rPr>
        <w:t>Види</w:t>
      </w:r>
      <w:r>
        <w:rPr>
          <w:color w:val="231F20"/>
          <w:spacing w:val="-1"/>
          <w:sz w:val="21"/>
        </w:rPr>
        <w:t xml:space="preserve"> </w:t>
      </w:r>
      <w:r>
        <w:rPr>
          <w:color w:val="231F20"/>
          <w:sz w:val="21"/>
        </w:rPr>
        <w:t>приватних осіб</w:t>
      </w:r>
      <w:r>
        <w:rPr>
          <w:color w:val="231F20"/>
          <w:sz w:val="21"/>
          <w:u w:val="dotted" w:color="231F20"/>
        </w:rPr>
        <w:t xml:space="preserve"> </w:t>
      </w:r>
      <w:r>
        <w:rPr>
          <w:color w:val="231F20"/>
          <w:sz w:val="21"/>
          <w:u w:val="dotted" w:color="231F20"/>
        </w:rPr>
        <w:tab/>
      </w:r>
      <w:r>
        <w:rPr>
          <w:b/>
          <w:sz w:val="20"/>
        </w:rPr>
        <w:t>132</w:t>
      </w:r>
    </w:p>
    <w:p w14:paraId="33793520" w14:textId="77777777" w:rsidR="00DE575E" w:rsidRDefault="002E7560">
      <w:pPr>
        <w:pStyle w:val="ListParagraph"/>
        <w:numPr>
          <w:ilvl w:val="3"/>
          <w:numId w:val="335"/>
        </w:numPr>
        <w:tabs>
          <w:tab w:val="left" w:pos="2214"/>
          <w:tab w:val="left" w:pos="6760"/>
        </w:tabs>
        <w:spacing w:before="30"/>
        <w:ind w:hanging="716"/>
        <w:rPr>
          <w:b/>
          <w:sz w:val="20"/>
        </w:rPr>
      </w:pPr>
      <w:r>
        <w:rPr>
          <w:color w:val="231F20"/>
          <w:sz w:val="21"/>
        </w:rPr>
        <w:t>Громадяни</w:t>
      </w:r>
      <w:r>
        <w:rPr>
          <w:color w:val="231F20"/>
          <w:spacing w:val="-7"/>
          <w:sz w:val="21"/>
        </w:rPr>
        <w:t xml:space="preserve"> </w:t>
      </w:r>
      <w:r>
        <w:rPr>
          <w:color w:val="231F20"/>
          <w:sz w:val="21"/>
        </w:rPr>
        <w:t>України</w:t>
      </w:r>
      <w:r>
        <w:rPr>
          <w:color w:val="231F20"/>
          <w:sz w:val="21"/>
          <w:u w:val="dotted" w:color="231F20"/>
        </w:rPr>
        <w:t xml:space="preserve"> </w:t>
      </w:r>
      <w:r>
        <w:rPr>
          <w:color w:val="231F20"/>
          <w:sz w:val="21"/>
          <w:u w:val="dotted" w:color="231F20"/>
        </w:rPr>
        <w:tab/>
      </w:r>
      <w:r>
        <w:rPr>
          <w:b/>
          <w:sz w:val="20"/>
        </w:rPr>
        <w:t>132</w:t>
      </w:r>
    </w:p>
    <w:p w14:paraId="4BF7D980" w14:textId="77777777" w:rsidR="00DE575E" w:rsidRDefault="002E7560">
      <w:pPr>
        <w:pStyle w:val="ListParagraph"/>
        <w:numPr>
          <w:ilvl w:val="3"/>
          <w:numId w:val="335"/>
        </w:numPr>
        <w:tabs>
          <w:tab w:val="left" w:pos="2214"/>
          <w:tab w:val="left" w:pos="6760"/>
        </w:tabs>
        <w:spacing w:before="31"/>
        <w:ind w:hanging="716"/>
        <w:rPr>
          <w:b/>
          <w:sz w:val="20"/>
        </w:rPr>
      </w:pPr>
      <w:r>
        <w:rPr>
          <w:color w:val="231F20"/>
          <w:sz w:val="21"/>
        </w:rPr>
        <w:t>Іноземці, особи</w:t>
      </w:r>
      <w:r>
        <w:rPr>
          <w:color w:val="231F20"/>
          <w:spacing w:val="-2"/>
          <w:sz w:val="21"/>
        </w:rPr>
        <w:t xml:space="preserve"> </w:t>
      </w:r>
      <w:r>
        <w:rPr>
          <w:color w:val="231F20"/>
          <w:sz w:val="21"/>
        </w:rPr>
        <w:t>без</w:t>
      </w:r>
      <w:r>
        <w:rPr>
          <w:color w:val="231F20"/>
          <w:spacing w:val="-2"/>
          <w:sz w:val="21"/>
        </w:rPr>
        <w:t xml:space="preserve"> </w:t>
      </w:r>
      <w:r>
        <w:rPr>
          <w:color w:val="231F20"/>
          <w:sz w:val="21"/>
        </w:rPr>
        <w:t>громадянства</w:t>
      </w:r>
      <w:r>
        <w:rPr>
          <w:color w:val="231F20"/>
          <w:sz w:val="21"/>
          <w:u w:val="dotted" w:color="231F20"/>
        </w:rPr>
        <w:t xml:space="preserve"> </w:t>
      </w:r>
      <w:r>
        <w:rPr>
          <w:color w:val="231F20"/>
          <w:sz w:val="21"/>
          <w:u w:val="dotted" w:color="231F20"/>
        </w:rPr>
        <w:tab/>
      </w:r>
      <w:r>
        <w:rPr>
          <w:b/>
          <w:sz w:val="20"/>
        </w:rPr>
        <w:t>135</w:t>
      </w:r>
    </w:p>
    <w:p w14:paraId="7E5FEB46" w14:textId="77777777" w:rsidR="00DE575E" w:rsidRDefault="002E7560">
      <w:pPr>
        <w:pStyle w:val="ListParagraph"/>
        <w:numPr>
          <w:ilvl w:val="3"/>
          <w:numId w:val="335"/>
        </w:numPr>
        <w:tabs>
          <w:tab w:val="left" w:pos="2214"/>
          <w:tab w:val="left" w:pos="6760"/>
        </w:tabs>
        <w:spacing w:before="30"/>
        <w:ind w:hanging="716"/>
        <w:rPr>
          <w:b/>
          <w:sz w:val="20"/>
        </w:rPr>
      </w:pPr>
      <w:r>
        <w:rPr>
          <w:color w:val="231F20"/>
          <w:sz w:val="21"/>
        </w:rPr>
        <w:t>Фізичні особи-підприємці</w:t>
      </w:r>
      <w:r>
        <w:rPr>
          <w:color w:val="231F20"/>
          <w:sz w:val="21"/>
          <w:u w:val="dotted" w:color="231F20"/>
        </w:rPr>
        <w:t xml:space="preserve"> </w:t>
      </w:r>
      <w:r>
        <w:rPr>
          <w:color w:val="231F20"/>
          <w:sz w:val="21"/>
          <w:u w:val="dotted" w:color="231F20"/>
        </w:rPr>
        <w:tab/>
      </w:r>
      <w:r>
        <w:rPr>
          <w:b/>
          <w:sz w:val="20"/>
        </w:rPr>
        <w:t>139</w:t>
      </w:r>
    </w:p>
    <w:p w14:paraId="40D1CC39" w14:textId="77777777" w:rsidR="00DE575E" w:rsidRDefault="002E7560">
      <w:pPr>
        <w:pStyle w:val="ListParagraph"/>
        <w:numPr>
          <w:ilvl w:val="3"/>
          <w:numId w:val="335"/>
        </w:numPr>
        <w:tabs>
          <w:tab w:val="left" w:pos="2214"/>
        </w:tabs>
        <w:spacing w:before="31" w:line="233" w:lineRule="exact"/>
        <w:ind w:hanging="716"/>
        <w:rPr>
          <w:sz w:val="21"/>
        </w:rPr>
      </w:pPr>
      <w:r>
        <w:rPr>
          <w:color w:val="231F20"/>
          <w:sz w:val="21"/>
        </w:rPr>
        <w:t>Підприємства, установи,</w:t>
      </w:r>
      <w:r>
        <w:rPr>
          <w:color w:val="231F20"/>
          <w:spacing w:val="-4"/>
          <w:sz w:val="21"/>
        </w:rPr>
        <w:t xml:space="preserve"> </w:t>
      </w:r>
      <w:r>
        <w:rPr>
          <w:color w:val="231F20"/>
          <w:sz w:val="21"/>
        </w:rPr>
        <w:t>організації</w:t>
      </w:r>
    </w:p>
    <w:p w14:paraId="4B9480D8" w14:textId="77777777" w:rsidR="00DE575E" w:rsidRDefault="002E7560">
      <w:pPr>
        <w:pStyle w:val="BodyText"/>
        <w:tabs>
          <w:tab w:val="left" w:pos="6760"/>
        </w:tabs>
        <w:spacing w:line="233" w:lineRule="exact"/>
        <w:ind w:left="1894"/>
        <w:rPr>
          <w:b/>
          <w:sz w:val="20"/>
        </w:rPr>
      </w:pPr>
      <w:r>
        <w:rPr>
          <w:color w:val="231F20"/>
        </w:rPr>
        <w:t xml:space="preserve">як </w:t>
      </w:r>
      <w:r>
        <w:rPr>
          <w:color w:val="231F20"/>
          <w:spacing w:val="-3"/>
        </w:rPr>
        <w:t>суб’єкти</w:t>
      </w:r>
      <w:r>
        <w:rPr>
          <w:color w:val="231F20"/>
          <w:spacing w:val="-5"/>
        </w:rPr>
        <w:t xml:space="preserve"> </w:t>
      </w:r>
      <w:r>
        <w:rPr>
          <w:color w:val="231F20"/>
        </w:rPr>
        <w:t>адміністративного</w:t>
      </w:r>
      <w:r>
        <w:rPr>
          <w:color w:val="231F20"/>
          <w:spacing w:val="-2"/>
        </w:rPr>
        <w:t xml:space="preserve"> </w:t>
      </w:r>
      <w:r>
        <w:rPr>
          <w:color w:val="231F20"/>
        </w:rPr>
        <w:t>права</w:t>
      </w:r>
      <w:r>
        <w:rPr>
          <w:color w:val="231F20"/>
          <w:u w:val="dotted" w:color="231F20"/>
        </w:rPr>
        <w:t xml:space="preserve"> </w:t>
      </w:r>
      <w:r>
        <w:rPr>
          <w:color w:val="231F20"/>
          <w:u w:val="dotted" w:color="231F20"/>
        </w:rPr>
        <w:tab/>
      </w:r>
      <w:r>
        <w:rPr>
          <w:b/>
          <w:sz w:val="20"/>
        </w:rPr>
        <w:t>140</w:t>
      </w:r>
    </w:p>
    <w:p w14:paraId="1B1FCC04" w14:textId="77777777" w:rsidR="00DE575E" w:rsidRDefault="002E7560">
      <w:pPr>
        <w:pStyle w:val="Heading5"/>
        <w:numPr>
          <w:ilvl w:val="1"/>
          <w:numId w:val="335"/>
        </w:numPr>
        <w:tabs>
          <w:tab w:val="left" w:pos="931"/>
          <w:tab w:val="left" w:pos="6760"/>
        </w:tabs>
        <w:spacing w:before="59"/>
        <w:rPr>
          <w:sz w:val="20"/>
        </w:rPr>
      </w:pPr>
      <w:r>
        <w:rPr>
          <w:color w:val="231F20"/>
        </w:rPr>
        <w:t>Адміністративна правосуб’єктність</w:t>
      </w:r>
      <w:r>
        <w:rPr>
          <w:color w:val="231F20"/>
          <w:spacing w:val="-20"/>
        </w:rPr>
        <w:t xml:space="preserve"> </w:t>
      </w:r>
      <w:r>
        <w:rPr>
          <w:color w:val="231F20"/>
        </w:rPr>
        <w:t>приватної</w:t>
      </w:r>
      <w:r>
        <w:rPr>
          <w:color w:val="231F20"/>
          <w:spacing w:val="-10"/>
        </w:rPr>
        <w:t xml:space="preserve"> </w:t>
      </w:r>
      <w:r>
        <w:rPr>
          <w:color w:val="231F20"/>
        </w:rPr>
        <w:t>особи</w:t>
      </w:r>
      <w:r>
        <w:rPr>
          <w:color w:val="231F20"/>
          <w:u w:val="dotted" w:color="231F20"/>
        </w:rPr>
        <w:t xml:space="preserve"> </w:t>
      </w:r>
      <w:r>
        <w:rPr>
          <w:color w:val="231F20"/>
          <w:u w:val="dotted" w:color="231F20"/>
        </w:rPr>
        <w:tab/>
      </w:r>
      <w:r>
        <w:rPr>
          <w:sz w:val="20"/>
        </w:rPr>
        <w:t>143</w:t>
      </w:r>
    </w:p>
    <w:p w14:paraId="2DE27E5C" w14:textId="77777777" w:rsidR="00DE575E" w:rsidRDefault="002E7560">
      <w:pPr>
        <w:pStyle w:val="ListParagraph"/>
        <w:numPr>
          <w:ilvl w:val="2"/>
          <w:numId w:val="335"/>
        </w:numPr>
        <w:tabs>
          <w:tab w:val="left" w:pos="1498"/>
          <w:tab w:val="left" w:pos="6760"/>
        </w:tabs>
        <w:spacing w:before="30"/>
        <w:rPr>
          <w:b/>
          <w:sz w:val="20"/>
        </w:rPr>
      </w:pPr>
      <w:r>
        <w:rPr>
          <w:color w:val="231F20"/>
          <w:sz w:val="21"/>
        </w:rPr>
        <w:t>Адміністративна</w:t>
      </w:r>
      <w:r>
        <w:rPr>
          <w:color w:val="231F20"/>
          <w:spacing w:val="-4"/>
          <w:sz w:val="21"/>
        </w:rPr>
        <w:t xml:space="preserve"> </w:t>
      </w:r>
      <w:r>
        <w:rPr>
          <w:color w:val="231F20"/>
          <w:sz w:val="21"/>
        </w:rPr>
        <w:t>правоздатність</w:t>
      </w:r>
      <w:r>
        <w:rPr>
          <w:color w:val="231F20"/>
          <w:sz w:val="21"/>
          <w:u w:val="dotted" w:color="231F20"/>
        </w:rPr>
        <w:t xml:space="preserve"> </w:t>
      </w:r>
      <w:r>
        <w:rPr>
          <w:color w:val="231F20"/>
          <w:sz w:val="21"/>
          <w:u w:val="dotted" w:color="231F20"/>
        </w:rPr>
        <w:tab/>
      </w:r>
      <w:r>
        <w:rPr>
          <w:b/>
          <w:sz w:val="20"/>
        </w:rPr>
        <w:t>143</w:t>
      </w:r>
    </w:p>
    <w:p w14:paraId="65165F25" w14:textId="77777777" w:rsidR="00DE575E" w:rsidRDefault="002E7560">
      <w:pPr>
        <w:pStyle w:val="ListParagraph"/>
        <w:numPr>
          <w:ilvl w:val="2"/>
          <w:numId w:val="335"/>
        </w:numPr>
        <w:tabs>
          <w:tab w:val="left" w:pos="1498"/>
          <w:tab w:val="left" w:pos="6760"/>
        </w:tabs>
        <w:spacing w:before="31"/>
        <w:rPr>
          <w:b/>
          <w:sz w:val="20"/>
        </w:rPr>
      </w:pPr>
      <w:r>
        <w:rPr>
          <w:color w:val="231F20"/>
          <w:sz w:val="21"/>
        </w:rPr>
        <w:t>Адміністративна</w:t>
      </w:r>
      <w:r>
        <w:rPr>
          <w:color w:val="231F20"/>
          <w:spacing w:val="-4"/>
          <w:sz w:val="21"/>
        </w:rPr>
        <w:t xml:space="preserve"> </w:t>
      </w:r>
      <w:r>
        <w:rPr>
          <w:color w:val="231F20"/>
          <w:sz w:val="21"/>
        </w:rPr>
        <w:t>дієздатність</w:t>
      </w:r>
      <w:r>
        <w:rPr>
          <w:color w:val="231F20"/>
          <w:sz w:val="21"/>
          <w:u w:val="dotted" w:color="231F20"/>
        </w:rPr>
        <w:t xml:space="preserve"> </w:t>
      </w:r>
      <w:r>
        <w:rPr>
          <w:color w:val="231F20"/>
          <w:sz w:val="21"/>
          <w:u w:val="dotted" w:color="231F20"/>
        </w:rPr>
        <w:tab/>
      </w:r>
      <w:r>
        <w:rPr>
          <w:b/>
          <w:sz w:val="20"/>
        </w:rPr>
        <w:t>144</w:t>
      </w:r>
    </w:p>
    <w:p w14:paraId="264CF279" w14:textId="77777777" w:rsidR="00DE575E" w:rsidRDefault="002E7560">
      <w:pPr>
        <w:pStyle w:val="ListParagraph"/>
        <w:numPr>
          <w:ilvl w:val="2"/>
          <w:numId w:val="335"/>
        </w:numPr>
        <w:tabs>
          <w:tab w:val="left" w:pos="1498"/>
          <w:tab w:val="left" w:pos="6760"/>
        </w:tabs>
        <w:spacing w:before="30"/>
        <w:rPr>
          <w:b/>
          <w:sz w:val="20"/>
        </w:rPr>
      </w:pPr>
      <w:r>
        <w:rPr>
          <w:color w:val="231F20"/>
          <w:sz w:val="21"/>
        </w:rPr>
        <w:t>Адміністративна</w:t>
      </w:r>
      <w:r>
        <w:rPr>
          <w:color w:val="231F20"/>
          <w:spacing w:val="-2"/>
          <w:sz w:val="21"/>
        </w:rPr>
        <w:t xml:space="preserve"> </w:t>
      </w:r>
      <w:r>
        <w:rPr>
          <w:color w:val="231F20"/>
          <w:sz w:val="21"/>
        </w:rPr>
        <w:t>деліктоздатність</w:t>
      </w:r>
      <w:r>
        <w:rPr>
          <w:color w:val="231F20"/>
          <w:sz w:val="21"/>
          <w:u w:val="dotted" w:color="231F20"/>
        </w:rPr>
        <w:t xml:space="preserve"> </w:t>
      </w:r>
      <w:r>
        <w:rPr>
          <w:color w:val="231F20"/>
          <w:sz w:val="21"/>
          <w:u w:val="dotted" w:color="231F20"/>
        </w:rPr>
        <w:tab/>
      </w:r>
      <w:r>
        <w:rPr>
          <w:b/>
          <w:sz w:val="20"/>
        </w:rPr>
        <w:t>145</w:t>
      </w:r>
    </w:p>
    <w:p w14:paraId="70FED23D" w14:textId="77777777" w:rsidR="00DE575E" w:rsidRDefault="002E7560">
      <w:pPr>
        <w:pStyle w:val="ListParagraph"/>
        <w:numPr>
          <w:ilvl w:val="2"/>
          <w:numId w:val="335"/>
        </w:numPr>
        <w:tabs>
          <w:tab w:val="left" w:pos="1498"/>
        </w:tabs>
        <w:spacing w:before="31" w:line="233" w:lineRule="exact"/>
        <w:rPr>
          <w:sz w:val="21"/>
        </w:rPr>
      </w:pPr>
      <w:r>
        <w:rPr>
          <w:color w:val="231F20"/>
          <w:sz w:val="21"/>
        </w:rPr>
        <w:t>Загальний та</w:t>
      </w:r>
      <w:r>
        <w:rPr>
          <w:color w:val="231F20"/>
          <w:spacing w:val="-3"/>
          <w:sz w:val="21"/>
        </w:rPr>
        <w:t xml:space="preserve"> </w:t>
      </w:r>
      <w:r>
        <w:rPr>
          <w:color w:val="231F20"/>
          <w:sz w:val="21"/>
        </w:rPr>
        <w:t>спеціальний</w:t>
      </w:r>
    </w:p>
    <w:p w14:paraId="7AD45688" w14:textId="77777777" w:rsidR="00DE575E" w:rsidRDefault="002E7560">
      <w:pPr>
        <w:pStyle w:val="BodyText"/>
        <w:tabs>
          <w:tab w:val="left" w:pos="6760"/>
        </w:tabs>
        <w:spacing w:line="233" w:lineRule="exact"/>
        <w:ind w:left="1497"/>
        <w:rPr>
          <w:b/>
          <w:sz w:val="20"/>
        </w:rPr>
      </w:pPr>
      <w:r>
        <w:rPr>
          <w:color w:val="231F20"/>
        </w:rPr>
        <w:t>адміністративно-правовий статус</w:t>
      </w:r>
      <w:r>
        <w:rPr>
          <w:color w:val="231F20"/>
          <w:spacing w:val="-8"/>
        </w:rPr>
        <w:t xml:space="preserve"> </w:t>
      </w:r>
      <w:r>
        <w:rPr>
          <w:color w:val="231F20"/>
        </w:rPr>
        <w:t>приватної</w:t>
      </w:r>
      <w:r>
        <w:rPr>
          <w:color w:val="231F20"/>
          <w:spacing w:val="-3"/>
        </w:rPr>
        <w:t xml:space="preserve"> </w:t>
      </w:r>
      <w:r>
        <w:rPr>
          <w:color w:val="231F20"/>
        </w:rPr>
        <w:t>особи</w:t>
      </w:r>
      <w:r>
        <w:rPr>
          <w:color w:val="231F20"/>
          <w:u w:val="dotted" w:color="231F20"/>
        </w:rPr>
        <w:t xml:space="preserve"> </w:t>
      </w:r>
      <w:r>
        <w:rPr>
          <w:color w:val="231F20"/>
          <w:u w:val="dotted" w:color="231F20"/>
        </w:rPr>
        <w:tab/>
      </w:r>
      <w:r>
        <w:rPr>
          <w:b/>
          <w:sz w:val="20"/>
        </w:rPr>
        <w:t>146</w:t>
      </w:r>
    </w:p>
    <w:p w14:paraId="3F08A0A8" w14:textId="77777777" w:rsidR="00DE575E" w:rsidRDefault="002E7560">
      <w:pPr>
        <w:pStyle w:val="Heading5"/>
        <w:numPr>
          <w:ilvl w:val="1"/>
          <w:numId w:val="335"/>
        </w:numPr>
        <w:tabs>
          <w:tab w:val="left" w:pos="931"/>
          <w:tab w:val="left" w:pos="6760"/>
        </w:tabs>
        <w:spacing w:before="58"/>
        <w:rPr>
          <w:sz w:val="20"/>
        </w:rPr>
      </w:pPr>
      <w:r>
        <w:rPr>
          <w:color w:val="231F20"/>
          <w:spacing w:val="-3"/>
        </w:rPr>
        <w:t>Суб’єктивне</w:t>
      </w:r>
      <w:r>
        <w:rPr>
          <w:color w:val="231F20"/>
          <w:spacing w:val="-1"/>
        </w:rPr>
        <w:t xml:space="preserve"> </w:t>
      </w:r>
      <w:r>
        <w:rPr>
          <w:color w:val="231F20"/>
        </w:rPr>
        <w:t>публічне</w:t>
      </w:r>
      <w:r>
        <w:rPr>
          <w:color w:val="231F20"/>
          <w:spacing w:val="-1"/>
        </w:rPr>
        <w:t xml:space="preserve"> </w:t>
      </w:r>
      <w:r>
        <w:rPr>
          <w:color w:val="231F20"/>
        </w:rPr>
        <w:t>право</w:t>
      </w:r>
      <w:r>
        <w:rPr>
          <w:color w:val="231F20"/>
          <w:u w:val="dotted" w:color="231F20"/>
        </w:rPr>
        <w:t xml:space="preserve"> </w:t>
      </w:r>
      <w:r>
        <w:rPr>
          <w:color w:val="231F20"/>
          <w:u w:val="dotted" w:color="231F20"/>
        </w:rPr>
        <w:tab/>
      </w:r>
      <w:r>
        <w:rPr>
          <w:sz w:val="20"/>
        </w:rPr>
        <w:t>148</w:t>
      </w:r>
    </w:p>
    <w:p w14:paraId="4908339C" w14:textId="77777777" w:rsidR="00DE575E" w:rsidRDefault="002E7560">
      <w:pPr>
        <w:pStyle w:val="ListParagraph"/>
        <w:numPr>
          <w:ilvl w:val="2"/>
          <w:numId w:val="335"/>
        </w:numPr>
        <w:tabs>
          <w:tab w:val="left" w:pos="1498"/>
        </w:tabs>
        <w:spacing w:before="31" w:line="233" w:lineRule="exact"/>
        <w:rPr>
          <w:sz w:val="21"/>
        </w:rPr>
      </w:pPr>
      <w:r>
        <w:rPr>
          <w:color w:val="231F20"/>
          <w:sz w:val="21"/>
        </w:rPr>
        <w:t xml:space="preserve">Сутність </w:t>
      </w:r>
      <w:r>
        <w:rPr>
          <w:color w:val="231F20"/>
          <w:spacing w:val="-3"/>
          <w:sz w:val="21"/>
        </w:rPr>
        <w:t xml:space="preserve">суб’єктивних </w:t>
      </w:r>
      <w:r>
        <w:rPr>
          <w:color w:val="231F20"/>
          <w:sz w:val="21"/>
        </w:rPr>
        <w:t>публічних прав</w:t>
      </w:r>
    </w:p>
    <w:p w14:paraId="5AB0B4B2" w14:textId="77777777" w:rsidR="00DE575E" w:rsidRDefault="002E7560">
      <w:pPr>
        <w:pStyle w:val="BodyText"/>
        <w:tabs>
          <w:tab w:val="left" w:pos="6760"/>
        </w:tabs>
        <w:spacing w:line="233" w:lineRule="exact"/>
        <w:ind w:left="1497"/>
        <w:rPr>
          <w:b/>
          <w:sz w:val="20"/>
        </w:rPr>
      </w:pPr>
      <w:r>
        <w:rPr>
          <w:color w:val="231F20"/>
        </w:rPr>
        <w:t>приватної особи</w:t>
      </w:r>
      <w:r>
        <w:rPr>
          <w:color w:val="231F20"/>
          <w:u w:val="dotted" w:color="231F20"/>
        </w:rPr>
        <w:t xml:space="preserve"> </w:t>
      </w:r>
      <w:r>
        <w:rPr>
          <w:color w:val="231F20"/>
          <w:u w:val="dotted" w:color="231F20"/>
        </w:rPr>
        <w:tab/>
      </w:r>
      <w:r>
        <w:rPr>
          <w:b/>
          <w:sz w:val="20"/>
        </w:rPr>
        <w:t>148</w:t>
      </w:r>
    </w:p>
    <w:p w14:paraId="48110660" w14:textId="77777777" w:rsidR="00DE575E" w:rsidRDefault="002E7560">
      <w:pPr>
        <w:pStyle w:val="ListParagraph"/>
        <w:numPr>
          <w:ilvl w:val="2"/>
          <w:numId w:val="335"/>
        </w:numPr>
        <w:tabs>
          <w:tab w:val="left" w:pos="1498"/>
          <w:tab w:val="left" w:pos="6760"/>
        </w:tabs>
        <w:spacing w:before="30"/>
        <w:rPr>
          <w:b/>
          <w:sz w:val="20"/>
        </w:rPr>
      </w:pPr>
      <w:r>
        <w:rPr>
          <w:color w:val="231F20"/>
          <w:sz w:val="21"/>
        </w:rPr>
        <w:t xml:space="preserve">Окремі </w:t>
      </w:r>
      <w:r>
        <w:rPr>
          <w:color w:val="231F20"/>
          <w:spacing w:val="-3"/>
          <w:sz w:val="21"/>
        </w:rPr>
        <w:t xml:space="preserve">суб’єктивні </w:t>
      </w:r>
      <w:r>
        <w:rPr>
          <w:color w:val="231F20"/>
          <w:sz w:val="21"/>
        </w:rPr>
        <w:t>публічні права та</w:t>
      </w:r>
      <w:r>
        <w:rPr>
          <w:color w:val="231F20"/>
          <w:spacing w:val="-3"/>
          <w:sz w:val="21"/>
        </w:rPr>
        <w:t xml:space="preserve"> </w:t>
      </w:r>
      <w:r>
        <w:rPr>
          <w:color w:val="231F20"/>
          <w:sz w:val="21"/>
        </w:rPr>
        <w:t>їх</w:t>
      </w:r>
      <w:r>
        <w:rPr>
          <w:color w:val="231F20"/>
          <w:spacing w:val="-1"/>
          <w:sz w:val="21"/>
        </w:rPr>
        <w:t xml:space="preserve"> </w:t>
      </w:r>
      <w:r>
        <w:rPr>
          <w:color w:val="231F20"/>
          <w:sz w:val="21"/>
        </w:rPr>
        <w:t>реалізація</w:t>
      </w:r>
      <w:r>
        <w:rPr>
          <w:color w:val="231F20"/>
          <w:sz w:val="21"/>
          <w:u w:val="dotted" w:color="231F20"/>
        </w:rPr>
        <w:t xml:space="preserve"> </w:t>
      </w:r>
      <w:r>
        <w:rPr>
          <w:color w:val="231F20"/>
          <w:sz w:val="21"/>
          <w:u w:val="dotted" w:color="231F20"/>
        </w:rPr>
        <w:tab/>
      </w:r>
      <w:r>
        <w:rPr>
          <w:b/>
          <w:sz w:val="20"/>
        </w:rPr>
        <w:t>149</w:t>
      </w:r>
    </w:p>
    <w:p w14:paraId="502E786D" w14:textId="77777777" w:rsidR="00DE575E" w:rsidRDefault="002E7560">
      <w:pPr>
        <w:pStyle w:val="ListParagraph"/>
        <w:numPr>
          <w:ilvl w:val="3"/>
          <w:numId w:val="335"/>
        </w:numPr>
        <w:tabs>
          <w:tab w:val="left" w:pos="2214"/>
          <w:tab w:val="left" w:pos="6760"/>
        </w:tabs>
        <w:spacing w:before="31"/>
        <w:ind w:hanging="716"/>
        <w:rPr>
          <w:b/>
          <w:sz w:val="20"/>
        </w:rPr>
      </w:pPr>
      <w:r>
        <w:rPr>
          <w:color w:val="231F20"/>
          <w:sz w:val="21"/>
        </w:rPr>
        <w:t>Право на участь в</w:t>
      </w:r>
      <w:r>
        <w:rPr>
          <w:color w:val="231F20"/>
          <w:spacing w:val="-5"/>
          <w:sz w:val="21"/>
        </w:rPr>
        <w:t xml:space="preserve"> </w:t>
      </w:r>
      <w:r>
        <w:rPr>
          <w:color w:val="231F20"/>
          <w:sz w:val="21"/>
        </w:rPr>
        <w:t>ухваленні</w:t>
      </w:r>
      <w:r>
        <w:rPr>
          <w:color w:val="231F20"/>
          <w:spacing w:val="-2"/>
          <w:sz w:val="21"/>
        </w:rPr>
        <w:t xml:space="preserve"> </w:t>
      </w:r>
      <w:r>
        <w:rPr>
          <w:color w:val="231F20"/>
          <w:sz w:val="21"/>
        </w:rPr>
        <w:t>рішень</w:t>
      </w:r>
      <w:r>
        <w:rPr>
          <w:color w:val="231F20"/>
          <w:sz w:val="21"/>
          <w:u w:val="dotted" w:color="231F20"/>
        </w:rPr>
        <w:t xml:space="preserve"> </w:t>
      </w:r>
      <w:r>
        <w:rPr>
          <w:color w:val="231F20"/>
          <w:sz w:val="21"/>
          <w:u w:val="dotted" w:color="231F20"/>
        </w:rPr>
        <w:tab/>
      </w:r>
      <w:r>
        <w:rPr>
          <w:b/>
          <w:sz w:val="20"/>
        </w:rPr>
        <w:t>151</w:t>
      </w:r>
    </w:p>
    <w:p w14:paraId="21CEC87D" w14:textId="77777777" w:rsidR="00DE575E" w:rsidRDefault="002E7560">
      <w:pPr>
        <w:pStyle w:val="ListParagraph"/>
        <w:numPr>
          <w:ilvl w:val="3"/>
          <w:numId w:val="335"/>
        </w:numPr>
        <w:tabs>
          <w:tab w:val="left" w:pos="2214"/>
          <w:tab w:val="left" w:pos="6760"/>
        </w:tabs>
        <w:spacing w:before="30"/>
        <w:ind w:hanging="716"/>
        <w:rPr>
          <w:b/>
          <w:sz w:val="20"/>
        </w:rPr>
      </w:pPr>
      <w:r>
        <w:rPr>
          <w:color w:val="231F20"/>
          <w:sz w:val="21"/>
        </w:rPr>
        <w:t>Право</w:t>
      </w:r>
      <w:r>
        <w:rPr>
          <w:color w:val="231F20"/>
          <w:spacing w:val="-1"/>
          <w:sz w:val="21"/>
        </w:rPr>
        <w:t xml:space="preserve"> </w:t>
      </w:r>
      <w:r>
        <w:rPr>
          <w:color w:val="231F20"/>
          <w:sz w:val="21"/>
        </w:rPr>
        <w:t>на звернення</w:t>
      </w:r>
      <w:r>
        <w:rPr>
          <w:color w:val="231F20"/>
          <w:sz w:val="21"/>
          <w:u w:val="dotted" w:color="231F20"/>
        </w:rPr>
        <w:t xml:space="preserve"> </w:t>
      </w:r>
      <w:r>
        <w:rPr>
          <w:color w:val="231F20"/>
          <w:sz w:val="21"/>
          <w:u w:val="dotted" w:color="231F20"/>
        </w:rPr>
        <w:tab/>
      </w:r>
      <w:r>
        <w:rPr>
          <w:b/>
          <w:sz w:val="20"/>
        </w:rPr>
        <w:t>153</w:t>
      </w:r>
    </w:p>
    <w:p w14:paraId="14EE238D" w14:textId="77777777" w:rsidR="00DE575E" w:rsidRDefault="002E7560">
      <w:pPr>
        <w:pStyle w:val="ListParagraph"/>
        <w:numPr>
          <w:ilvl w:val="3"/>
          <w:numId w:val="335"/>
        </w:numPr>
        <w:tabs>
          <w:tab w:val="left" w:pos="2214"/>
          <w:tab w:val="left" w:pos="6760"/>
        </w:tabs>
        <w:spacing w:before="31"/>
        <w:ind w:hanging="716"/>
        <w:rPr>
          <w:b/>
          <w:sz w:val="20"/>
        </w:rPr>
      </w:pPr>
      <w:r>
        <w:rPr>
          <w:color w:val="231F20"/>
          <w:sz w:val="21"/>
        </w:rPr>
        <w:t>Право на доступ до</w:t>
      </w:r>
      <w:r>
        <w:rPr>
          <w:color w:val="231F20"/>
          <w:spacing w:val="-4"/>
          <w:sz w:val="21"/>
        </w:rPr>
        <w:t xml:space="preserve"> </w:t>
      </w:r>
      <w:r>
        <w:rPr>
          <w:color w:val="231F20"/>
          <w:sz w:val="21"/>
        </w:rPr>
        <w:t>публічної</w:t>
      </w:r>
      <w:r>
        <w:rPr>
          <w:color w:val="231F20"/>
          <w:spacing w:val="-1"/>
          <w:sz w:val="21"/>
        </w:rPr>
        <w:t xml:space="preserve"> </w:t>
      </w:r>
      <w:r>
        <w:rPr>
          <w:color w:val="231F20"/>
          <w:sz w:val="21"/>
        </w:rPr>
        <w:t>інформації</w:t>
      </w:r>
      <w:r>
        <w:rPr>
          <w:color w:val="231F20"/>
          <w:sz w:val="21"/>
          <w:u w:val="dotted" w:color="231F20"/>
        </w:rPr>
        <w:t xml:space="preserve"> </w:t>
      </w:r>
      <w:r>
        <w:rPr>
          <w:color w:val="231F20"/>
          <w:sz w:val="21"/>
          <w:u w:val="dotted" w:color="231F20"/>
        </w:rPr>
        <w:tab/>
      </w:r>
      <w:r>
        <w:rPr>
          <w:b/>
          <w:sz w:val="20"/>
        </w:rPr>
        <w:t>161</w:t>
      </w:r>
    </w:p>
    <w:p w14:paraId="0ED69E49" w14:textId="77777777" w:rsidR="00DE575E" w:rsidRDefault="002E7560">
      <w:pPr>
        <w:pStyle w:val="ListParagraph"/>
        <w:numPr>
          <w:ilvl w:val="3"/>
          <w:numId w:val="335"/>
        </w:numPr>
        <w:tabs>
          <w:tab w:val="left" w:pos="2214"/>
          <w:tab w:val="left" w:pos="6760"/>
        </w:tabs>
        <w:spacing w:before="30"/>
        <w:ind w:hanging="716"/>
        <w:rPr>
          <w:b/>
          <w:sz w:val="20"/>
        </w:rPr>
      </w:pPr>
      <w:r>
        <w:rPr>
          <w:color w:val="231F20"/>
          <w:sz w:val="21"/>
        </w:rPr>
        <w:t>Право на свободу</w:t>
      </w:r>
      <w:r>
        <w:rPr>
          <w:color w:val="231F20"/>
          <w:spacing w:val="-5"/>
          <w:sz w:val="21"/>
        </w:rPr>
        <w:t xml:space="preserve"> </w:t>
      </w:r>
      <w:r>
        <w:rPr>
          <w:color w:val="231F20"/>
          <w:sz w:val="21"/>
        </w:rPr>
        <w:t>мирних</w:t>
      </w:r>
      <w:r>
        <w:rPr>
          <w:color w:val="231F20"/>
          <w:spacing w:val="-1"/>
          <w:sz w:val="21"/>
        </w:rPr>
        <w:t xml:space="preserve"> </w:t>
      </w:r>
      <w:r>
        <w:rPr>
          <w:color w:val="231F20"/>
          <w:sz w:val="21"/>
        </w:rPr>
        <w:t>зібрань</w:t>
      </w:r>
      <w:r>
        <w:rPr>
          <w:color w:val="231F20"/>
          <w:sz w:val="21"/>
          <w:u w:val="dotted" w:color="231F20"/>
        </w:rPr>
        <w:t xml:space="preserve"> </w:t>
      </w:r>
      <w:r>
        <w:rPr>
          <w:color w:val="231F20"/>
          <w:sz w:val="21"/>
          <w:u w:val="dotted" w:color="231F20"/>
        </w:rPr>
        <w:tab/>
      </w:r>
      <w:r>
        <w:rPr>
          <w:b/>
          <w:sz w:val="20"/>
        </w:rPr>
        <w:t>169</w:t>
      </w:r>
    </w:p>
    <w:p w14:paraId="5A8303A0" w14:textId="77777777" w:rsidR="00DE575E" w:rsidRDefault="002E7560">
      <w:pPr>
        <w:pStyle w:val="ListParagraph"/>
        <w:numPr>
          <w:ilvl w:val="3"/>
          <w:numId w:val="335"/>
        </w:numPr>
        <w:tabs>
          <w:tab w:val="left" w:pos="2214"/>
          <w:tab w:val="left" w:pos="6760"/>
        </w:tabs>
        <w:spacing w:before="31"/>
        <w:ind w:hanging="716"/>
        <w:rPr>
          <w:b/>
          <w:sz w:val="20"/>
        </w:rPr>
      </w:pPr>
      <w:r>
        <w:rPr>
          <w:color w:val="231F20"/>
          <w:sz w:val="21"/>
        </w:rPr>
        <w:t>Право на</w:t>
      </w:r>
      <w:r>
        <w:rPr>
          <w:color w:val="231F20"/>
          <w:spacing w:val="-4"/>
          <w:sz w:val="21"/>
        </w:rPr>
        <w:t xml:space="preserve"> </w:t>
      </w:r>
      <w:r>
        <w:rPr>
          <w:color w:val="231F20"/>
          <w:sz w:val="21"/>
        </w:rPr>
        <w:t>свободу</w:t>
      </w:r>
      <w:r>
        <w:rPr>
          <w:color w:val="231F20"/>
          <w:spacing w:val="-3"/>
          <w:sz w:val="21"/>
        </w:rPr>
        <w:t xml:space="preserve"> об’єднань</w:t>
      </w:r>
      <w:r>
        <w:rPr>
          <w:color w:val="231F20"/>
          <w:spacing w:val="-3"/>
          <w:sz w:val="21"/>
          <w:u w:val="dotted" w:color="231F20"/>
        </w:rPr>
        <w:t xml:space="preserve"> </w:t>
      </w:r>
      <w:r>
        <w:rPr>
          <w:color w:val="231F20"/>
          <w:spacing w:val="-3"/>
          <w:sz w:val="21"/>
          <w:u w:val="dotted" w:color="231F20"/>
        </w:rPr>
        <w:tab/>
      </w:r>
      <w:r>
        <w:rPr>
          <w:b/>
          <w:sz w:val="20"/>
        </w:rPr>
        <w:t>171</w:t>
      </w:r>
    </w:p>
    <w:p w14:paraId="6F2EF84C" w14:textId="77777777" w:rsidR="00DE575E" w:rsidRDefault="00DE575E">
      <w:pPr>
        <w:pStyle w:val="BodyText"/>
        <w:rPr>
          <w:b/>
          <w:sz w:val="12"/>
        </w:rPr>
      </w:pPr>
    </w:p>
    <w:p w14:paraId="77F88061" w14:textId="77777777" w:rsidR="00DE575E" w:rsidRDefault="002E7560">
      <w:pPr>
        <w:pStyle w:val="Heading5"/>
        <w:spacing w:before="100"/>
      </w:pPr>
      <w:r>
        <w:rPr>
          <w:color w:val="231F20"/>
        </w:rPr>
        <w:t>Розділ 6</w:t>
      </w:r>
    </w:p>
    <w:p w14:paraId="13620459" w14:textId="77777777" w:rsidR="00DE575E" w:rsidRDefault="002E7560">
      <w:pPr>
        <w:tabs>
          <w:tab w:val="left" w:pos="6760"/>
        </w:tabs>
        <w:spacing w:before="14"/>
        <w:ind w:left="533"/>
        <w:rPr>
          <w:b/>
          <w:sz w:val="20"/>
        </w:rPr>
      </w:pPr>
      <w:r>
        <w:rPr>
          <w:b/>
          <w:color w:val="231F20"/>
          <w:spacing w:val="-3"/>
          <w:sz w:val="21"/>
        </w:rPr>
        <w:t>АДМІНІСТРАТИВНІ</w:t>
      </w:r>
      <w:r>
        <w:rPr>
          <w:b/>
          <w:color w:val="231F20"/>
          <w:spacing w:val="-1"/>
          <w:sz w:val="21"/>
        </w:rPr>
        <w:t xml:space="preserve"> </w:t>
      </w:r>
      <w:r>
        <w:rPr>
          <w:b/>
          <w:color w:val="231F20"/>
          <w:sz w:val="21"/>
        </w:rPr>
        <w:t>ПОСЛУГИ</w:t>
      </w:r>
      <w:r>
        <w:rPr>
          <w:b/>
          <w:color w:val="231F20"/>
          <w:sz w:val="21"/>
          <w:u w:val="dotted" w:color="231F20"/>
        </w:rPr>
        <w:t xml:space="preserve"> </w:t>
      </w:r>
      <w:r>
        <w:rPr>
          <w:b/>
          <w:color w:val="231F20"/>
          <w:sz w:val="21"/>
          <w:u w:val="dotted" w:color="231F20"/>
        </w:rPr>
        <w:tab/>
      </w:r>
      <w:r>
        <w:rPr>
          <w:b/>
          <w:sz w:val="20"/>
        </w:rPr>
        <w:t>174</w:t>
      </w:r>
    </w:p>
    <w:p w14:paraId="324D8E98" w14:textId="77777777" w:rsidR="00DE575E" w:rsidRDefault="002E7560">
      <w:pPr>
        <w:pStyle w:val="ListParagraph"/>
        <w:numPr>
          <w:ilvl w:val="1"/>
          <w:numId w:val="334"/>
        </w:numPr>
        <w:tabs>
          <w:tab w:val="left" w:pos="931"/>
          <w:tab w:val="left" w:pos="6760"/>
        </w:tabs>
        <w:spacing w:before="58"/>
        <w:jc w:val="left"/>
        <w:rPr>
          <w:b/>
          <w:sz w:val="20"/>
        </w:rPr>
      </w:pPr>
      <w:r>
        <w:rPr>
          <w:b/>
          <w:color w:val="231F20"/>
          <w:sz w:val="21"/>
        </w:rPr>
        <w:t>Поняття, ознаки та види</w:t>
      </w:r>
      <w:r>
        <w:rPr>
          <w:b/>
          <w:color w:val="231F20"/>
          <w:spacing w:val="-18"/>
          <w:sz w:val="21"/>
        </w:rPr>
        <w:t xml:space="preserve"> </w:t>
      </w:r>
      <w:r>
        <w:rPr>
          <w:b/>
          <w:color w:val="231F20"/>
          <w:sz w:val="21"/>
        </w:rPr>
        <w:t>адміністративних</w:t>
      </w:r>
      <w:r>
        <w:rPr>
          <w:b/>
          <w:color w:val="231F20"/>
          <w:spacing w:val="-5"/>
          <w:sz w:val="21"/>
        </w:rPr>
        <w:t xml:space="preserve"> </w:t>
      </w:r>
      <w:r>
        <w:rPr>
          <w:b/>
          <w:color w:val="231F20"/>
          <w:sz w:val="21"/>
        </w:rPr>
        <w:t>послуг</w:t>
      </w:r>
      <w:r>
        <w:rPr>
          <w:b/>
          <w:color w:val="231F20"/>
          <w:sz w:val="21"/>
          <w:u w:val="dotted" w:color="231F20"/>
        </w:rPr>
        <w:t xml:space="preserve"> </w:t>
      </w:r>
      <w:r>
        <w:rPr>
          <w:b/>
          <w:color w:val="231F20"/>
          <w:sz w:val="21"/>
          <w:u w:val="dotted" w:color="231F20"/>
        </w:rPr>
        <w:tab/>
      </w:r>
      <w:r>
        <w:rPr>
          <w:b/>
          <w:sz w:val="20"/>
        </w:rPr>
        <w:t>174</w:t>
      </w:r>
    </w:p>
    <w:p w14:paraId="646422E6" w14:textId="77777777" w:rsidR="00DE575E" w:rsidRDefault="002E7560">
      <w:pPr>
        <w:pStyle w:val="ListParagraph"/>
        <w:numPr>
          <w:ilvl w:val="2"/>
          <w:numId w:val="334"/>
        </w:numPr>
        <w:tabs>
          <w:tab w:val="left" w:pos="1498"/>
          <w:tab w:val="left" w:pos="6760"/>
        </w:tabs>
        <w:spacing w:before="31"/>
        <w:rPr>
          <w:b/>
          <w:sz w:val="20"/>
        </w:rPr>
      </w:pPr>
      <w:r>
        <w:rPr>
          <w:color w:val="231F20"/>
          <w:sz w:val="21"/>
        </w:rPr>
        <w:t>Поняття</w:t>
      </w:r>
      <w:r>
        <w:rPr>
          <w:color w:val="231F20"/>
          <w:spacing w:val="-4"/>
          <w:sz w:val="21"/>
        </w:rPr>
        <w:t xml:space="preserve"> </w:t>
      </w:r>
      <w:r>
        <w:rPr>
          <w:color w:val="231F20"/>
          <w:sz w:val="21"/>
        </w:rPr>
        <w:t>адміністративної</w:t>
      </w:r>
      <w:r>
        <w:rPr>
          <w:color w:val="231F20"/>
          <w:spacing w:val="-5"/>
          <w:sz w:val="21"/>
        </w:rPr>
        <w:t xml:space="preserve"> </w:t>
      </w:r>
      <w:r>
        <w:rPr>
          <w:color w:val="231F20"/>
          <w:sz w:val="21"/>
        </w:rPr>
        <w:t>послуги</w:t>
      </w:r>
      <w:r>
        <w:rPr>
          <w:color w:val="231F20"/>
          <w:sz w:val="21"/>
          <w:u w:val="dotted" w:color="231F20"/>
        </w:rPr>
        <w:t xml:space="preserve"> </w:t>
      </w:r>
      <w:r>
        <w:rPr>
          <w:color w:val="231F20"/>
          <w:sz w:val="21"/>
          <w:u w:val="dotted" w:color="231F20"/>
        </w:rPr>
        <w:tab/>
      </w:r>
      <w:r>
        <w:rPr>
          <w:b/>
          <w:sz w:val="20"/>
        </w:rPr>
        <w:t>174</w:t>
      </w:r>
    </w:p>
    <w:p w14:paraId="709BCEE8" w14:textId="77777777" w:rsidR="00DE575E" w:rsidRDefault="002E7560">
      <w:pPr>
        <w:pStyle w:val="ListParagraph"/>
        <w:numPr>
          <w:ilvl w:val="2"/>
          <w:numId w:val="334"/>
        </w:numPr>
        <w:tabs>
          <w:tab w:val="left" w:pos="1498"/>
          <w:tab w:val="left" w:pos="6760"/>
        </w:tabs>
        <w:spacing w:before="30"/>
        <w:rPr>
          <w:b/>
          <w:sz w:val="20"/>
        </w:rPr>
      </w:pPr>
      <w:r>
        <w:rPr>
          <w:color w:val="231F20"/>
          <w:sz w:val="21"/>
        </w:rPr>
        <w:t>Ознаки</w:t>
      </w:r>
      <w:r>
        <w:rPr>
          <w:color w:val="231F20"/>
          <w:spacing w:val="-4"/>
          <w:sz w:val="21"/>
        </w:rPr>
        <w:t xml:space="preserve"> </w:t>
      </w:r>
      <w:r>
        <w:rPr>
          <w:color w:val="231F20"/>
          <w:sz w:val="21"/>
        </w:rPr>
        <w:t>адміністративної</w:t>
      </w:r>
      <w:r>
        <w:rPr>
          <w:color w:val="231F20"/>
          <w:spacing w:val="-4"/>
          <w:sz w:val="21"/>
        </w:rPr>
        <w:t xml:space="preserve"> </w:t>
      </w:r>
      <w:r>
        <w:rPr>
          <w:color w:val="231F20"/>
          <w:sz w:val="21"/>
        </w:rPr>
        <w:t>послуги</w:t>
      </w:r>
      <w:r>
        <w:rPr>
          <w:color w:val="231F20"/>
          <w:sz w:val="21"/>
          <w:u w:val="dotted" w:color="231F20"/>
        </w:rPr>
        <w:t xml:space="preserve"> </w:t>
      </w:r>
      <w:r>
        <w:rPr>
          <w:color w:val="231F20"/>
          <w:sz w:val="21"/>
          <w:u w:val="dotted" w:color="231F20"/>
        </w:rPr>
        <w:tab/>
      </w:r>
      <w:r>
        <w:rPr>
          <w:b/>
          <w:sz w:val="20"/>
        </w:rPr>
        <w:t>176</w:t>
      </w:r>
    </w:p>
    <w:p w14:paraId="245D9611" w14:textId="77777777" w:rsidR="00DE575E" w:rsidRDefault="002E7560">
      <w:pPr>
        <w:pStyle w:val="ListParagraph"/>
        <w:numPr>
          <w:ilvl w:val="2"/>
          <w:numId w:val="334"/>
        </w:numPr>
        <w:tabs>
          <w:tab w:val="left" w:pos="1498"/>
        </w:tabs>
        <w:spacing w:before="31" w:line="233" w:lineRule="exact"/>
        <w:rPr>
          <w:sz w:val="21"/>
        </w:rPr>
      </w:pPr>
      <w:r>
        <w:rPr>
          <w:color w:val="231F20"/>
          <w:sz w:val="21"/>
        </w:rPr>
        <w:t>Відмінність адміністративної</w:t>
      </w:r>
      <w:r>
        <w:rPr>
          <w:color w:val="231F20"/>
          <w:spacing w:val="-3"/>
          <w:sz w:val="21"/>
        </w:rPr>
        <w:t xml:space="preserve"> </w:t>
      </w:r>
      <w:r>
        <w:rPr>
          <w:color w:val="231F20"/>
          <w:sz w:val="21"/>
        </w:rPr>
        <w:t>послуги</w:t>
      </w:r>
    </w:p>
    <w:p w14:paraId="3552C05A" w14:textId="77777777" w:rsidR="00DE575E" w:rsidRDefault="002E7560">
      <w:pPr>
        <w:pStyle w:val="BodyText"/>
        <w:tabs>
          <w:tab w:val="left" w:pos="6760"/>
        </w:tabs>
        <w:spacing w:line="233" w:lineRule="exact"/>
        <w:ind w:left="1497"/>
        <w:rPr>
          <w:b/>
          <w:sz w:val="20"/>
        </w:rPr>
      </w:pPr>
      <w:r>
        <w:rPr>
          <w:color w:val="231F20"/>
        </w:rPr>
        <w:t>від інших видів послуг у</w:t>
      </w:r>
      <w:r>
        <w:rPr>
          <w:color w:val="231F20"/>
          <w:spacing w:val="-2"/>
        </w:rPr>
        <w:t xml:space="preserve"> </w:t>
      </w:r>
      <w:r>
        <w:rPr>
          <w:color w:val="231F20"/>
        </w:rPr>
        <w:t>публічній сфері</w:t>
      </w:r>
      <w:r>
        <w:rPr>
          <w:color w:val="231F20"/>
          <w:u w:val="dotted" w:color="231F20"/>
        </w:rPr>
        <w:t xml:space="preserve"> </w:t>
      </w:r>
      <w:r>
        <w:rPr>
          <w:color w:val="231F20"/>
          <w:u w:val="dotted" w:color="231F20"/>
        </w:rPr>
        <w:tab/>
      </w:r>
      <w:r>
        <w:rPr>
          <w:b/>
          <w:sz w:val="20"/>
        </w:rPr>
        <w:t>177</w:t>
      </w:r>
    </w:p>
    <w:p w14:paraId="42A9FCAF" w14:textId="77777777" w:rsidR="00DE575E" w:rsidRDefault="002E7560">
      <w:pPr>
        <w:pStyle w:val="ListParagraph"/>
        <w:numPr>
          <w:ilvl w:val="2"/>
          <w:numId w:val="334"/>
        </w:numPr>
        <w:tabs>
          <w:tab w:val="left" w:pos="1498"/>
          <w:tab w:val="left" w:pos="6760"/>
        </w:tabs>
        <w:spacing w:before="30"/>
        <w:rPr>
          <w:b/>
          <w:sz w:val="20"/>
        </w:rPr>
      </w:pPr>
      <w:r>
        <w:rPr>
          <w:color w:val="231F20"/>
          <w:sz w:val="21"/>
        </w:rPr>
        <w:t>Види</w:t>
      </w:r>
      <w:r>
        <w:rPr>
          <w:color w:val="231F20"/>
          <w:spacing w:val="-4"/>
          <w:sz w:val="21"/>
        </w:rPr>
        <w:t xml:space="preserve"> </w:t>
      </w:r>
      <w:r>
        <w:rPr>
          <w:color w:val="231F20"/>
          <w:sz w:val="21"/>
        </w:rPr>
        <w:t>адміністративних</w:t>
      </w:r>
      <w:r>
        <w:rPr>
          <w:color w:val="231F20"/>
          <w:spacing w:val="-4"/>
          <w:sz w:val="21"/>
        </w:rPr>
        <w:t xml:space="preserve"> </w:t>
      </w:r>
      <w:r>
        <w:rPr>
          <w:color w:val="231F20"/>
          <w:sz w:val="21"/>
        </w:rPr>
        <w:t>послуг</w:t>
      </w:r>
      <w:r>
        <w:rPr>
          <w:color w:val="231F20"/>
          <w:sz w:val="21"/>
          <w:u w:val="dotted" w:color="231F20"/>
        </w:rPr>
        <w:t xml:space="preserve"> </w:t>
      </w:r>
      <w:r>
        <w:rPr>
          <w:color w:val="231F20"/>
          <w:sz w:val="21"/>
          <w:u w:val="dotted" w:color="231F20"/>
        </w:rPr>
        <w:tab/>
      </w:r>
      <w:r>
        <w:rPr>
          <w:b/>
          <w:sz w:val="20"/>
        </w:rPr>
        <w:t>179</w:t>
      </w:r>
    </w:p>
    <w:p w14:paraId="0E4FA410" w14:textId="77777777" w:rsidR="00DE575E" w:rsidRDefault="002E7560">
      <w:pPr>
        <w:pStyle w:val="ListParagraph"/>
        <w:numPr>
          <w:ilvl w:val="2"/>
          <w:numId w:val="334"/>
        </w:numPr>
        <w:tabs>
          <w:tab w:val="left" w:pos="1498"/>
          <w:tab w:val="left" w:pos="6760"/>
        </w:tabs>
        <w:spacing w:before="31"/>
        <w:rPr>
          <w:b/>
          <w:sz w:val="20"/>
        </w:rPr>
      </w:pPr>
      <w:r>
        <w:rPr>
          <w:color w:val="231F20"/>
          <w:sz w:val="21"/>
        </w:rPr>
        <w:t>Принципи надання</w:t>
      </w:r>
      <w:r>
        <w:rPr>
          <w:color w:val="231F20"/>
          <w:spacing w:val="-6"/>
          <w:sz w:val="21"/>
        </w:rPr>
        <w:t xml:space="preserve"> </w:t>
      </w:r>
      <w:r>
        <w:rPr>
          <w:color w:val="231F20"/>
          <w:sz w:val="21"/>
        </w:rPr>
        <w:t>адміністративних</w:t>
      </w:r>
      <w:r>
        <w:rPr>
          <w:color w:val="231F20"/>
          <w:spacing w:val="-4"/>
          <w:sz w:val="21"/>
        </w:rPr>
        <w:t xml:space="preserve"> </w:t>
      </w:r>
      <w:r>
        <w:rPr>
          <w:color w:val="231F20"/>
          <w:sz w:val="21"/>
        </w:rPr>
        <w:t>послуг</w:t>
      </w:r>
      <w:r>
        <w:rPr>
          <w:color w:val="231F20"/>
          <w:sz w:val="21"/>
          <w:u w:val="dotted" w:color="231F20"/>
        </w:rPr>
        <w:t xml:space="preserve"> </w:t>
      </w:r>
      <w:r>
        <w:rPr>
          <w:color w:val="231F20"/>
          <w:sz w:val="21"/>
          <w:u w:val="dotted" w:color="231F20"/>
        </w:rPr>
        <w:tab/>
      </w:r>
      <w:r>
        <w:rPr>
          <w:b/>
          <w:sz w:val="20"/>
        </w:rPr>
        <w:t>180</w:t>
      </w:r>
    </w:p>
    <w:p w14:paraId="2055AF2A" w14:textId="77777777" w:rsidR="00DE575E" w:rsidRDefault="002E7560">
      <w:pPr>
        <w:pStyle w:val="Heading5"/>
        <w:numPr>
          <w:ilvl w:val="1"/>
          <w:numId w:val="334"/>
        </w:numPr>
        <w:tabs>
          <w:tab w:val="left" w:pos="931"/>
        </w:tabs>
        <w:spacing w:before="59" w:line="233" w:lineRule="exact"/>
        <w:jc w:val="left"/>
      </w:pPr>
      <w:r>
        <w:rPr>
          <w:color w:val="231F20"/>
          <w:spacing w:val="-3"/>
        </w:rPr>
        <w:t>Суб’єкти</w:t>
      </w:r>
      <w:r>
        <w:rPr>
          <w:color w:val="231F20"/>
        </w:rPr>
        <w:t xml:space="preserve"> відносин</w:t>
      </w:r>
    </w:p>
    <w:p w14:paraId="122D9E53" w14:textId="77777777" w:rsidR="00DE575E" w:rsidRDefault="002E7560">
      <w:pPr>
        <w:tabs>
          <w:tab w:val="left" w:pos="6760"/>
        </w:tabs>
        <w:spacing w:line="233" w:lineRule="exact"/>
        <w:ind w:left="930"/>
        <w:rPr>
          <w:b/>
          <w:sz w:val="20"/>
        </w:rPr>
      </w:pPr>
      <w:r>
        <w:rPr>
          <w:b/>
          <w:color w:val="231F20"/>
          <w:spacing w:val="-3"/>
          <w:sz w:val="21"/>
        </w:rPr>
        <w:t xml:space="preserve">щодо </w:t>
      </w:r>
      <w:r>
        <w:rPr>
          <w:b/>
          <w:color w:val="231F20"/>
          <w:sz w:val="21"/>
        </w:rPr>
        <w:t>надання</w:t>
      </w:r>
      <w:r>
        <w:rPr>
          <w:b/>
          <w:color w:val="231F20"/>
          <w:spacing w:val="-5"/>
          <w:sz w:val="21"/>
        </w:rPr>
        <w:t xml:space="preserve"> </w:t>
      </w:r>
      <w:r>
        <w:rPr>
          <w:b/>
          <w:color w:val="231F20"/>
          <w:sz w:val="21"/>
        </w:rPr>
        <w:t>адміністративних</w:t>
      </w:r>
      <w:r>
        <w:rPr>
          <w:b/>
          <w:color w:val="231F20"/>
          <w:spacing w:val="-5"/>
          <w:sz w:val="21"/>
        </w:rPr>
        <w:t xml:space="preserve"> </w:t>
      </w:r>
      <w:r>
        <w:rPr>
          <w:b/>
          <w:color w:val="231F20"/>
          <w:sz w:val="21"/>
        </w:rPr>
        <w:t>послуг</w:t>
      </w:r>
      <w:r>
        <w:rPr>
          <w:b/>
          <w:color w:val="231F20"/>
          <w:sz w:val="21"/>
          <w:u w:val="dotted" w:color="231F20"/>
        </w:rPr>
        <w:t xml:space="preserve"> </w:t>
      </w:r>
      <w:r>
        <w:rPr>
          <w:b/>
          <w:color w:val="231F20"/>
          <w:sz w:val="21"/>
          <w:u w:val="dotted" w:color="231F20"/>
        </w:rPr>
        <w:tab/>
      </w:r>
      <w:r>
        <w:rPr>
          <w:b/>
          <w:sz w:val="20"/>
        </w:rPr>
        <w:t>183</w:t>
      </w:r>
    </w:p>
    <w:p w14:paraId="7B1F953D" w14:textId="77777777" w:rsidR="00DE575E" w:rsidRDefault="00DE575E">
      <w:pPr>
        <w:pStyle w:val="BodyText"/>
        <w:spacing w:before="9"/>
        <w:rPr>
          <w:b/>
          <w:sz w:val="28"/>
        </w:rPr>
      </w:pPr>
    </w:p>
    <w:p w14:paraId="05AD431E" w14:textId="77777777" w:rsidR="00DE575E" w:rsidRDefault="002E7560">
      <w:pPr>
        <w:spacing w:before="91"/>
        <w:ind w:left="533"/>
        <w:rPr>
          <w:rFonts w:ascii="Times New Roman"/>
          <w:sz w:val="20"/>
        </w:rPr>
      </w:pPr>
      <w:r>
        <w:rPr>
          <w:rFonts w:ascii="Times New Roman"/>
          <w:color w:val="231F20"/>
          <w:w w:val="90"/>
          <w:sz w:val="20"/>
        </w:rPr>
        <w:t>8</w:t>
      </w:r>
    </w:p>
    <w:p w14:paraId="62F49669" w14:textId="77777777" w:rsidR="00DE575E" w:rsidRDefault="00DE575E">
      <w:pPr>
        <w:rPr>
          <w:rFonts w:ascii="Times New Roman"/>
          <w:sz w:val="20"/>
        </w:rPr>
        <w:sectPr w:rsidR="00DE575E">
          <w:pgSz w:w="8510" w:h="12760"/>
          <w:pgMar w:top="660" w:right="720" w:bottom="280" w:left="600" w:header="720" w:footer="720" w:gutter="0"/>
          <w:cols w:space="720"/>
        </w:sectPr>
      </w:pPr>
    </w:p>
    <w:p w14:paraId="5C3B230B" w14:textId="77777777" w:rsidR="00DE575E" w:rsidRDefault="002E7560">
      <w:pPr>
        <w:spacing w:before="78" w:after="3"/>
        <w:ind w:right="411"/>
        <w:jc w:val="right"/>
        <w:rPr>
          <w:rFonts w:ascii="AdonisC" w:hAnsi="AdonisC"/>
          <w:i/>
          <w:sz w:val="18"/>
        </w:rPr>
      </w:pPr>
      <w:r>
        <w:rPr>
          <w:rFonts w:ascii="AdonisC" w:hAnsi="AdonisC"/>
          <w:i/>
          <w:color w:val="231F20"/>
          <w:sz w:val="18"/>
        </w:rPr>
        <w:lastRenderedPageBreak/>
        <w:t>Зміст</w:t>
      </w:r>
    </w:p>
    <w:p w14:paraId="63BC4239" w14:textId="75636B4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9C6AFD8" wp14:editId="2873968D">
                <wp:extent cx="4140200" cy="6350"/>
                <wp:effectExtent l="0" t="0" r="12700" b="6350"/>
                <wp:docPr id="1398"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99" name="Line 139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EA57A" id="Group_x0020_139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Z+qdF/AgAAnAUAAA4A&#10;AAAAAAAAAAAAAAAALAIAAGRycy9lMm9Eb2MueG1sUEsBAi0AFAAGAAgAAAAhAEynsJDZAAAAAwEA&#10;AA8AAAAAAAAAAAAAAAAA1wQAAGRycy9kb3ducmV2LnhtbFBLBQYAAAAABAAEAPMAAADdBQAAAAA=&#10;">
                <v:line id="Line_x0020_139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MT4cUAAADdAAAADwAAAGRycy9kb3ducmV2LnhtbERP22rCQBB9L/Qflin4UurGBkRTVxFB&#10;KD54ix8wZqdJ6O5szK4m7de7QqFvczjXmS16a8SNWl87VjAaJiCIC6drLhWc8vXbBIQPyBqNY1Lw&#10;Qx4W8+enGWbadXyg2zGUIoawz1BBFUKTSemLiiz6oWuII/flWoshwraUusUuhlsj35NkLC3WHBsq&#10;bGhVUfF9vFoF+eU1mP1uY7p8d07l+bJNf69bpQYv/fIDRKA+/Iv/3J86zk+nU3h8E0+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MT4cUAAADdAAAADwAAAAAAAAAA&#10;AAAAAAChAgAAZHJzL2Rvd25yZXYueG1sUEsFBgAAAAAEAAQA+QAAAJMDAAAAAA==&#10;" strokecolor="#231f20" strokeweight=".5pt"/>
                <w10:anchorlock/>
              </v:group>
            </w:pict>
          </mc:Fallback>
        </mc:AlternateContent>
      </w:r>
    </w:p>
    <w:p w14:paraId="48456DC2" w14:textId="77777777" w:rsidR="00DE575E" w:rsidRDefault="00DE575E">
      <w:pPr>
        <w:pStyle w:val="BodyText"/>
        <w:spacing w:before="5"/>
        <w:rPr>
          <w:rFonts w:ascii="AdonisC"/>
          <w:i/>
          <w:sz w:val="12"/>
        </w:rPr>
      </w:pPr>
    </w:p>
    <w:p w14:paraId="2A907848" w14:textId="77777777" w:rsidR="00DE575E" w:rsidRDefault="002E7560">
      <w:pPr>
        <w:pStyle w:val="ListParagraph"/>
        <w:numPr>
          <w:ilvl w:val="2"/>
          <w:numId w:val="334"/>
        </w:numPr>
        <w:tabs>
          <w:tab w:val="left" w:pos="1215"/>
          <w:tab w:val="left" w:pos="6477"/>
        </w:tabs>
        <w:spacing w:before="100"/>
        <w:ind w:left="1214"/>
        <w:rPr>
          <w:b/>
          <w:sz w:val="20"/>
        </w:rPr>
      </w:pPr>
      <w:r>
        <w:rPr>
          <w:color w:val="231F20"/>
          <w:spacing w:val="-4"/>
          <w:sz w:val="21"/>
        </w:rPr>
        <w:t>Суб’єкт</w:t>
      </w:r>
      <w:r>
        <w:rPr>
          <w:color w:val="231F20"/>
          <w:sz w:val="21"/>
        </w:rPr>
        <w:t xml:space="preserve"> звернення</w:t>
      </w:r>
      <w:r>
        <w:rPr>
          <w:color w:val="231F20"/>
          <w:sz w:val="21"/>
          <w:u w:val="dotted" w:color="231F20"/>
        </w:rPr>
        <w:t xml:space="preserve"> </w:t>
      </w:r>
      <w:r>
        <w:rPr>
          <w:color w:val="231F20"/>
          <w:sz w:val="21"/>
          <w:u w:val="dotted" w:color="231F20"/>
        </w:rPr>
        <w:tab/>
      </w:r>
      <w:r>
        <w:rPr>
          <w:b/>
          <w:sz w:val="20"/>
        </w:rPr>
        <w:t>183</w:t>
      </w:r>
    </w:p>
    <w:p w14:paraId="03631C9B" w14:textId="77777777" w:rsidR="00DE575E" w:rsidRDefault="002E7560">
      <w:pPr>
        <w:pStyle w:val="ListParagraph"/>
        <w:numPr>
          <w:ilvl w:val="2"/>
          <w:numId w:val="334"/>
        </w:numPr>
        <w:tabs>
          <w:tab w:val="left" w:pos="1215"/>
          <w:tab w:val="left" w:pos="6477"/>
        </w:tabs>
        <w:spacing w:before="31"/>
        <w:ind w:left="1214"/>
        <w:rPr>
          <w:b/>
          <w:sz w:val="20"/>
        </w:rPr>
      </w:pPr>
      <w:r>
        <w:rPr>
          <w:color w:val="231F20"/>
          <w:spacing w:val="-4"/>
          <w:sz w:val="21"/>
        </w:rPr>
        <w:t xml:space="preserve">Суб’єкт </w:t>
      </w:r>
      <w:r>
        <w:rPr>
          <w:color w:val="231F20"/>
          <w:sz w:val="21"/>
        </w:rPr>
        <w:t>надання</w:t>
      </w:r>
      <w:r>
        <w:rPr>
          <w:color w:val="231F20"/>
          <w:spacing w:val="1"/>
          <w:sz w:val="21"/>
        </w:rPr>
        <w:t xml:space="preserve"> </w:t>
      </w:r>
      <w:r>
        <w:rPr>
          <w:color w:val="231F20"/>
          <w:sz w:val="21"/>
        </w:rPr>
        <w:t>адміністративних</w:t>
      </w:r>
      <w:r>
        <w:rPr>
          <w:color w:val="231F20"/>
          <w:spacing w:val="-2"/>
          <w:sz w:val="21"/>
        </w:rPr>
        <w:t xml:space="preserve"> </w:t>
      </w:r>
      <w:r>
        <w:rPr>
          <w:color w:val="231F20"/>
          <w:sz w:val="21"/>
        </w:rPr>
        <w:t>послуг</w:t>
      </w:r>
      <w:r>
        <w:rPr>
          <w:color w:val="231F20"/>
          <w:sz w:val="21"/>
          <w:u w:val="dotted" w:color="231F20"/>
        </w:rPr>
        <w:t xml:space="preserve"> </w:t>
      </w:r>
      <w:r>
        <w:rPr>
          <w:color w:val="231F20"/>
          <w:sz w:val="21"/>
          <w:u w:val="dotted" w:color="231F20"/>
        </w:rPr>
        <w:tab/>
      </w:r>
      <w:r>
        <w:rPr>
          <w:b/>
          <w:sz w:val="20"/>
        </w:rPr>
        <w:t>185</w:t>
      </w:r>
    </w:p>
    <w:p w14:paraId="0C4D0D80" w14:textId="77777777" w:rsidR="00DE575E" w:rsidRDefault="002E7560">
      <w:pPr>
        <w:pStyle w:val="ListParagraph"/>
        <w:numPr>
          <w:ilvl w:val="2"/>
          <w:numId w:val="334"/>
        </w:numPr>
        <w:tabs>
          <w:tab w:val="left" w:pos="1215"/>
          <w:tab w:val="left" w:pos="6477"/>
        </w:tabs>
        <w:spacing w:before="30"/>
        <w:ind w:left="1214"/>
        <w:rPr>
          <w:b/>
          <w:sz w:val="20"/>
        </w:rPr>
      </w:pPr>
      <w:r>
        <w:rPr>
          <w:color w:val="231F20"/>
          <w:sz w:val="21"/>
        </w:rPr>
        <w:t>Центри надання</w:t>
      </w:r>
      <w:r>
        <w:rPr>
          <w:color w:val="231F20"/>
          <w:spacing w:val="-3"/>
          <w:sz w:val="21"/>
        </w:rPr>
        <w:t xml:space="preserve"> </w:t>
      </w:r>
      <w:r>
        <w:rPr>
          <w:color w:val="231F20"/>
          <w:sz w:val="21"/>
        </w:rPr>
        <w:t>адміністративних</w:t>
      </w:r>
      <w:r>
        <w:rPr>
          <w:color w:val="231F20"/>
          <w:spacing w:val="-3"/>
          <w:sz w:val="21"/>
        </w:rPr>
        <w:t xml:space="preserve"> </w:t>
      </w:r>
      <w:r>
        <w:rPr>
          <w:color w:val="231F20"/>
          <w:sz w:val="21"/>
        </w:rPr>
        <w:t>послуг</w:t>
      </w:r>
      <w:r>
        <w:rPr>
          <w:color w:val="231F20"/>
          <w:sz w:val="21"/>
          <w:u w:val="dotted" w:color="231F20"/>
        </w:rPr>
        <w:t xml:space="preserve"> </w:t>
      </w:r>
      <w:r>
        <w:rPr>
          <w:color w:val="231F20"/>
          <w:sz w:val="21"/>
          <w:u w:val="dotted" w:color="231F20"/>
        </w:rPr>
        <w:tab/>
      </w:r>
      <w:r>
        <w:rPr>
          <w:b/>
          <w:sz w:val="20"/>
        </w:rPr>
        <w:t>191</w:t>
      </w:r>
    </w:p>
    <w:p w14:paraId="030B9AE8" w14:textId="77777777" w:rsidR="00DE575E" w:rsidRDefault="002E7560">
      <w:pPr>
        <w:pStyle w:val="ListParagraph"/>
        <w:numPr>
          <w:ilvl w:val="2"/>
          <w:numId w:val="334"/>
        </w:numPr>
        <w:tabs>
          <w:tab w:val="left" w:pos="1215"/>
          <w:tab w:val="left" w:pos="6477"/>
        </w:tabs>
        <w:spacing w:before="31"/>
        <w:ind w:left="1214"/>
        <w:rPr>
          <w:b/>
          <w:sz w:val="20"/>
        </w:rPr>
      </w:pPr>
      <w:r>
        <w:rPr>
          <w:color w:val="231F20"/>
          <w:sz w:val="21"/>
        </w:rPr>
        <w:t>Адміністратори</w:t>
      </w:r>
      <w:r>
        <w:rPr>
          <w:color w:val="231F20"/>
          <w:sz w:val="21"/>
          <w:u w:val="dotted" w:color="231F20"/>
        </w:rPr>
        <w:t xml:space="preserve"> </w:t>
      </w:r>
      <w:r>
        <w:rPr>
          <w:color w:val="231F20"/>
          <w:sz w:val="21"/>
          <w:u w:val="dotted" w:color="231F20"/>
        </w:rPr>
        <w:tab/>
      </w:r>
      <w:r>
        <w:rPr>
          <w:b/>
          <w:sz w:val="20"/>
        </w:rPr>
        <w:t>193</w:t>
      </w:r>
    </w:p>
    <w:p w14:paraId="6F425A9E" w14:textId="77777777" w:rsidR="00DE575E" w:rsidRDefault="002E7560">
      <w:pPr>
        <w:pStyle w:val="Heading5"/>
        <w:numPr>
          <w:ilvl w:val="1"/>
          <w:numId w:val="334"/>
        </w:numPr>
        <w:tabs>
          <w:tab w:val="left" w:pos="648"/>
          <w:tab w:val="left" w:pos="6477"/>
        </w:tabs>
        <w:spacing w:before="59"/>
        <w:ind w:left="647"/>
        <w:jc w:val="left"/>
        <w:rPr>
          <w:sz w:val="20"/>
        </w:rPr>
      </w:pPr>
      <w:r>
        <w:rPr>
          <w:color w:val="231F20"/>
        </w:rPr>
        <w:t>Порядок надання</w:t>
      </w:r>
      <w:r>
        <w:rPr>
          <w:color w:val="231F20"/>
          <w:spacing w:val="-12"/>
        </w:rPr>
        <w:t xml:space="preserve"> </w:t>
      </w:r>
      <w:r>
        <w:rPr>
          <w:color w:val="231F20"/>
        </w:rPr>
        <w:t>адміністративних</w:t>
      </w:r>
      <w:r>
        <w:rPr>
          <w:color w:val="231F20"/>
          <w:spacing w:val="-6"/>
        </w:rPr>
        <w:t xml:space="preserve"> </w:t>
      </w:r>
      <w:r>
        <w:rPr>
          <w:color w:val="231F20"/>
        </w:rPr>
        <w:t>послуг</w:t>
      </w:r>
      <w:r>
        <w:rPr>
          <w:color w:val="231F20"/>
          <w:u w:val="dotted" w:color="231F20"/>
        </w:rPr>
        <w:t xml:space="preserve"> </w:t>
      </w:r>
      <w:r>
        <w:rPr>
          <w:color w:val="231F20"/>
          <w:u w:val="dotted" w:color="231F20"/>
        </w:rPr>
        <w:tab/>
      </w:r>
      <w:r>
        <w:rPr>
          <w:sz w:val="20"/>
        </w:rPr>
        <w:t>195</w:t>
      </w:r>
    </w:p>
    <w:p w14:paraId="5F9B6346" w14:textId="77777777" w:rsidR="00DE575E" w:rsidRDefault="002E7560">
      <w:pPr>
        <w:pStyle w:val="ListParagraph"/>
        <w:numPr>
          <w:ilvl w:val="2"/>
          <w:numId w:val="334"/>
        </w:numPr>
        <w:tabs>
          <w:tab w:val="left" w:pos="1215"/>
          <w:tab w:val="left" w:pos="6477"/>
        </w:tabs>
        <w:spacing w:before="30"/>
        <w:ind w:left="1214"/>
        <w:rPr>
          <w:b/>
          <w:sz w:val="20"/>
        </w:rPr>
      </w:pPr>
      <w:r>
        <w:rPr>
          <w:color w:val="231F20"/>
          <w:sz w:val="21"/>
        </w:rPr>
        <w:t>Стадії процедури надання</w:t>
      </w:r>
      <w:r>
        <w:rPr>
          <w:color w:val="231F20"/>
          <w:spacing w:val="-5"/>
          <w:sz w:val="21"/>
        </w:rPr>
        <w:t xml:space="preserve"> </w:t>
      </w:r>
      <w:r>
        <w:rPr>
          <w:color w:val="231F20"/>
          <w:sz w:val="21"/>
        </w:rPr>
        <w:t>адміністративної</w:t>
      </w:r>
      <w:r>
        <w:rPr>
          <w:color w:val="231F20"/>
          <w:spacing w:val="-3"/>
          <w:sz w:val="21"/>
        </w:rPr>
        <w:t xml:space="preserve"> </w:t>
      </w:r>
      <w:r>
        <w:rPr>
          <w:color w:val="231F20"/>
          <w:sz w:val="21"/>
        </w:rPr>
        <w:t>послуги</w:t>
      </w:r>
      <w:r>
        <w:rPr>
          <w:color w:val="231F20"/>
          <w:sz w:val="21"/>
          <w:u w:val="dotted" w:color="231F20"/>
        </w:rPr>
        <w:t xml:space="preserve"> </w:t>
      </w:r>
      <w:r>
        <w:rPr>
          <w:color w:val="231F20"/>
          <w:sz w:val="21"/>
          <w:u w:val="dotted" w:color="231F20"/>
        </w:rPr>
        <w:tab/>
      </w:r>
      <w:r>
        <w:rPr>
          <w:b/>
          <w:sz w:val="20"/>
        </w:rPr>
        <w:t>195</w:t>
      </w:r>
    </w:p>
    <w:p w14:paraId="673C595B" w14:textId="77777777" w:rsidR="00DE575E" w:rsidRDefault="002E7560">
      <w:pPr>
        <w:pStyle w:val="ListParagraph"/>
        <w:numPr>
          <w:ilvl w:val="2"/>
          <w:numId w:val="334"/>
        </w:numPr>
        <w:tabs>
          <w:tab w:val="left" w:pos="1215"/>
          <w:tab w:val="left" w:pos="6477"/>
        </w:tabs>
        <w:spacing w:before="53" w:line="213" w:lineRule="auto"/>
        <w:ind w:left="1214" w:right="413"/>
        <w:rPr>
          <w:b/>
          <w:sz w:val="20"/>
        </w:rPr>
      </w:pPr>
      <w:r>
        <w:rPr>
          <w:color w:val="231F20"/>
          <w:sz w:val="21"/>
        </w:rPr>
        <w:t>Юридичні документи та дії, що супроводжують процедуру надання</w:t>
      </w:r>
      <w:r>
        <w:rPr>
          <w:color w:val="231F20"/>
          <w:spacing w:val="-6"/>
          <w:sz w:val="21"/>
        </w:rPr>
        <w:t xml:space="preserve"> </w:t>
      </w:r>
      <w:r>
        <w:rPr>
          <w:color w:val="231F20"/>
          <w:sz w:val="21"/>
        </w:rPr>
        <w:t>адміністративних</w:t>
      </w:r>
      <w:r>
        <w:rPr>
          <w:color w:val="231F20"/>
          <w:spacing w:val="-4"/>
          <w:sz w:val="21"/>
        </w:rPr>
        <w:t xml:space="preserve"> </w:t>
      </w:r>
      <w:r>
        <w:rPr>
          <w:color w:val="231F20"/>
          <w:sz w:val="21"/>
        </w:rPr>
        <w:t>послуг</w:t>
      </w:r>
      <w:r>
        <w:rPr>
          <w:color w:val="231F20"/>
          <w:sz w:val="21"/>
          <w:u w:val="dotted" w:color="231F20"/>
        </w:rPr>
        <w:t xml:space="preserve"> </w:t>
      </w:r>
      <w:r>
        <w:rPr>
          <w:color w:val="231F20"/>
          <w:sz w:val="21"/>
          <w:u w:val="dotted" w:color="231F20"/>
        </w:rPr>
        <w:tab/>
      </w:r>
      <w:r>
        <w:rPr>
          <w:b/>
          <w:w w:val="80"/>
          <w:sz w:val="20"/>
        </w:rPr>
        <w:t>199</w:t>
      </w:r>
    </w:p>
    <w:p w14:paraId="113CEB9A" w14:textId="77777777" w:rsidR="00DE575E" w:rsidRDefault="002E7560">
      <w:pPr>
        <w:pStyle w:val="ListParagraph"/>
        <w:numPr>
          <w:ilvl w:val="2"/>
          <w:numId w:val="334"/>
        </w:numPr>
        <w:tabs>
          <w:tab w:val="left" w:pos="1215"/>
          <w:tab w:val="left" w:pos="6477"/>
        </w:tabs>
        <w:spacing w:before="58" w:line="213" w:lineRule="auto"/>
        <w:ind w:left="1214" w:right="413"/>
        <w:rPr>
          <w:b/>
          <w:sz w:val="20"/>
        </w:rPr>
      </w:pPr>
      <w:r>
        <w:rPr>
          <w:color w:val="231F20"/>
          <w:sz w:val="21"/>
        </w:rPr>
        <w:t>Плата за надання адміністративних послуг (адміністративний</w:t>
      </w:r>
      <w:r>
        <w:rPr>
          <w:color w:val="231F20"/>
          <w:spacing w:val="-2"/>
          <w:sz w:val="21"/>
        </w:rPr>
        <w:t xml:space="preserve"> </w:t>
      </w:r>
      <w:r>
        <w:rPr>
          <w:color w:val="231F20"/>
          <w:sz w:val="21"/>
        </w:rPr>
        <w:t>збір)</w:t>
      </w:r>
      <w:r>
        <w:rPr>
          <w:color w:val="231F20"/>
          <w:sz w:val="21"/>
          <w:u w:val="dotted" w:color="231F20"/>
        </w:rPr>
        <w:t xml:space="preserve"> </w:t>
      </w:r>
      <w:r>
        <w:rPr>
          <w:color w:val="231F20"/>
          <w:sz w:val="21"/>
          <w:u w:val="dotted" w:color="231F20"/>
        </w:rPr>
        <w:tab/>
      </w:r>
      <w:r>
        <w:rPr>
          <w:b/>
          <w:w w:val="80"/>
          <w:sz w:val="20"/>
        </w:rPr>
        <w:t>200</w:t>
      </w:r>
    </w:p>
    <w:p w14:paraId="692729DE" w14:textId="77777777" w:rsidR="00DE575E" w:rsidRDefault="002E7560">
      <w:pPr>
        <w:pStyle w:val="ListParagraph"/>
        <w:numPr>
          <w:ilvl w:val="2"/>
          <w:numId w:val="334"/>
        </w:numPr>
        <w:tabs>
          <w:tab w:val="left" w:pos="1215"/>
          <w:tab w:val="left" w:pos="6477"/>
        </w:tabs>
        <w:spacing w:before="37"/>
        <w:ind w:left="1214"/>
        <w:rPr>
          <w:b/>
          <w:sz w:val="20"/>
        </w:rPr>
      </w:pPr>
      <w:r>
        <w:rPr>
          <w:color w:val="231F20"/>
          <w:sz w:val="21"/>
        </w:rPr>
        <w:t>Вимоги до якості надання</w:t>
      </w:r>
      <w:r>
        <w:rPr>
          <w:color w:val="231F20"/>
          <w:spacing w:val="-10"/>
          <w:sz w:val="21"/>
        </w:rPr>
        <w:t xml:space="preserve"> </w:t>
      </w:r>
      <w:r>
        <w:rPr>
          <w:color w:val="231F20"/>
          <w:sz w:val="21"/>
        </w:rPr>
        <w:t>адміністративних</w:t>
      </w:r>
      <w:r>
        <w:rPr>
          <w:color w:val="231F20"/>
          <w:spacing w:val="-3"/>
          <w:sz w:val="21"/>
        </w:rPr>
        <w:t xml:space="preserve"> </w:t>
      </w:r>
      <w:r>
        <w:rPr>
          <w:color w:val="231F20"/>
          <w:sz w:val="21"/>
        </w:rPr>
        <w:t>послуг</w:t>
      </w:r>
      <w:r>
        <w:rPr>
          <w:color w:val="231F20"/>
          <w:sz w:val="21"/>
          <w:u w:val="dotted" w:color="231F20"/>
        </w:rPr>
        <w:t xml:space="preserve"> </w:t>
      </w:r>
      <w:r>
        <w:rPr>
          <w:color w:val="231F20"/>
          <w:sz w:val="21"/>
          <w:u w:val="dotted" w:color="231F20"/>
        </w:rPr>
        <w:tab/>
      </w:r>
      <w:r>
        <w:rPr>
          <w:b/>
          <w:sz w:val="20"/>
        </w:rPr>
        <w:t>203</w:t>
      </w:r>
    </w:p>
    <w:p w14:paraId="1E7E08F6" w14:textId="77777777" w:rsidR="00DE575E" w:rsidRDefault="00DE575E">
      <w:pPr>
        <w:pStyle w:val="BodyText"/>
        <w:spacing w:before="5"/>
        <w:rPr>
          <w:b/>
          <w:sz w:val="20"/>
        </w:rPr>
      </w:pPr>
    </w:p>
    <w:p w14:paraId="642A7AA4" w14:textId="77777777" w:rsidR="00DE575E" w:rsidRDefault="002E7560">
      <w:pPr>
        <w:pStyle w:val="Heading5"/>
        <w:spacing w:before="1"/>
        <w:ind w:left="250"/>
      </w:pPr>
      <w:r>
        <w:rPr>
          <w:color w:val="231F20"/>
        </w:rPr>
        <w:t>Розділ 7</w:t>
      </w:r>
    </w:p>
    <w:p w14:paraId="4CAFC509" w14:textId="77777777" w:rsidR="00DE575E" w:rsidRDefault="002E7560">
      <w:pPr>
        <w:tabs>
          <w:tab w:val="left" w:pos="6477"/>
        </w:tabs>
        <w:spacing w:before="13"/>
        <w:ind w:left="250"/>
        <w:rPr>
          <w:b/>
          <w:sz w:val="20"/>
        </w:rPr>
      </w:pPr>
      <w:r>
        <w:rPr>
          <w:b/>
          <w:color w:val="231F20"/>
          <w:sz w:val="21"/>
        </w:rPr>
        <w:t>ІНСТРУМЕНТИ</w:t>
      </w:r>
      <w:r>
        <w:rPr>
          <w:b/>
          <w:color w:val="231F20"/>
          <w:spacing w:val="-7"/>
          <w:sz w:val="21"/>
        </w:rPr>
        <w:t xml:space="preserve"> </w:t>
      </w:r>
      <w:r>
        <w:rPr>
          <w:b/>
          <w:color w:val="231F20"/>
          <w:sz w:val="21"/>
        </w:rPr>
        <w:t>ПУБЛІЧНОГО</w:t>
      </w:r>
      <w:r>
        <w:rPr>
          <w:b/>
          <w:color w:val="231F20"/>
          <w:spacing w:val="-7"/>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208</w:t>
      </w:r>
    </w:p>
    <w:p w14:paraId="0E26D3D9" w14:textId="77777777" w:rsidR="00DE575E" w:rsidRDefault="002E7560">
      <w:pPr>
        <w:pStyle w:val="ListParagraph"/>
        <w:numPr>
          <w:ilvl w:val="1"/>
          <w:numId w:val="333"/>
        </w:numPr>
        <w:tabs>
          <w:tab w:val="left" w:pos="648"/>
          <w:tab w:val="left" w:pos="6477"/>
        </w:tabs>
        <w:spacing w:before="59"/>
        <w:jc w:val="left"/>
        <w:rPr>
          <w:b/>
          <w:sz w:val="20"/>
        </w:rPr>
      </w:pPr>
      <w:r>
        <w:rPr>
          <w:b/>
          <w:color w:val="231F20"/>
          <w:sz w:val="21"/>
        </w:rPr>
        <w:t>Поняття інструмента</w:t>
      </w:r>
      <w:r>
        <w:rPr>
          <w:b/>
          <w:color w:val="231F20"/>
          <w:spacing w:val="-14"/>
          <w:sz w:val="21"/>
        </w:rPr>
        <w:t xml:space="preserve"> </w:t>
      </w:r>
      <w:r>
        <w:rPr>
          <w:b/>
          <w:color w:val="231F20"/>
          <w:sz w:val="21"/>
        </w:rPr>
        <w:t>публічного</w:t>
      </w:r>
      <w:r>
        <w:rPr>
          <w:b/>
          <w:color w:val="231F20"/>
          <w:spacing w:val="-8"/>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208</w:t>
      </w:r>
    </w:p>
    <w:p w14:paraId="0299DCB0" w14:textId="77777777" w:rsidR="00DE575E" w:rsidRDefault="002E7560">
      <w:pPr>
        <w:pStyle w:val="ListParagraph"/>
        <w:numPr>
          <w:ilvl w:val="2"/>
          <w:numId w:val="333"/>
        </w:numPr>
        <w:tabs>
          <w:tab w:val="left" w:pos="1215"/>
          <w:tab w:val="left" w:pos="6477"/>
        </w:tabs>
        <w:spacing w:before="67"/>
        <w:rPr>
          <w:b/>
          <w:sz w:val="20"/>
        </w:rPr>
      </w:pPr>
      <w:r>
        <w:rPr>
          <w:color w:val="231F20"/>
          <w:sz w:val="21"/>
        </w:rPr>
        <w:t>Види інструментів</w:t>
      </w:r>
      <w:r>
        <w:rPr>
          <w:color w:val="231F20"/>
          <w:spacing w:val="-9"/>
          <w:sz w:val="21"/>
        </w:rPr>
        <w:t xml:space="preserve"> </w:t>
      </w:r>
      <w:r>
        <w:rPr>
          <w:color w:val="231F20"/>
          <w:sz w:val="21"/>
        </w:rPr>
        <w:t>публічного</w:t>
      </w:r>
      <w:r>
        <w:rPr>
          <w:color w:val="231F20"/>
          <w:spacing w:val="-5"/>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209</w:t>
      </w:r>
    </w:p>
    <w:p w14:paraId="63B40FE5" w14:textId="77777777" w:rsidR="00DE575E" w:rsidRDefault="002E7560">
      <w:pPr>
        <w:pStyle w:val="ListParagraph"/>
        <w:numPr>
          <w:ilvl w:val="2"/>
          <w:numId w:val="333"/>
        </w:numPr>
        <w:tabs>
          <w:tab w:val="left" w:pos="1215"/>
          <w:tab w:val="left" w:pos="6477"/>
        </w:tabs>
        <w:spacing w:before="30"/>
        <w:rPr>
          <w:b/>
          <w:sz w:val="20"/>
        </w:rPr>
      </w:pPr>
      <w:r>
        <w:rPr>
          <w:color w:val="231F20"/>
          <w:sz w:val="21"/>
        </w:rPr>
        <w:t>Вибір інструмента</w:t>
      </w:r>
      <w:r>
        <w:rPr>
          <w:color w:val="231F20"/>
          <w:spacing w:val="-7"/>
          <w:sz w:val="21"/>
        </w:rPr>
        <w:t xml:space="preserve"> </w:t>
      </w:r>
      <w:r>
        <w:rPr>
          <w:color w:val="231F20"/>
          <w:sz w:val="21"/>
        </w:rPr>
        <w:t>публічного</w:t>
      </w:r>
      <w:r>
        <w:rPr>
          <w:color w:val="231F20"/>
          <w:spacing w:val="-3"/>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sz w:val="20"/>
        </w:rPr>
        <w:t>211</w:t>
      </w:r>
    </w:p>
    <w:p w14:paraId="0DD2BABC" w14:textId="77777777" w:rsidR="00DE575E" w:rsidRDefault="002E7560">
      <w:pPr>
        <w:pStyle w:val="Heading5"/>
        <w:numPr>
          <w:ilvl w:val="1"/>
          <w:numId w:val="333"/>
        </w:numPr>
        <w:tabs>
          <w:tab w:val="left" w:pos="648"/>
          <w:tab w:val="left" w:pos="6477"/>
        </w:tabs>
        <w:spacing w:before="59"/>
        <w:jc w:val="left"/>
        <w:rPr>
          <w:sz w:val="20"/>
        </w:rPr>
      </w:pPr>
      <w:r>
        <w:rPr>
          <w:color w:val="231F20"/>
        </w:rPr>
        <w:t>Форми</w:t>
      </w:r>
      <w:r>
        <w:rPr>
          <w:color w:val="231F20"/>
          <w:spacing w:val="-4"/>
        </w:rPr>
        <w:t xml:space="preserve"> </w:t>
      </w:r>
      <w:r>
        <w:rPr>
          <w:color w:val="231F20"/>
        </w:rPr>
        <w:t>публічного</w:t>
      </w:r>
      <w:r>
        <w:rPr>
          <w:color w:val="231F20"/>
          <w:spacing w:val="-4"/>
        </w:rPr>
        <w:t xml:space="preserve"> </w:t>
      </w:r>
      <w:r>
        <w:rPr>
          <w:color w:val="231F20"/>
        </w:rPr>
        <w:t>адміністрування</w:t>
      </w:r>
      <w:r>
        <w:rPr>
          <w:color w:val="231F20"/>
          <w:u w:val="dotted" w:color="231F20"/>
        </w:rPr>
        <w:t xml:space="preserve"> </w:t>
      </w:r>
      <w:r>
        <w:rPr>
          <w:color w:val="231F20"/>
          <w:u w:val="dotted" w:color="231F20"/>
        </w:rPr>
        <w:tab/>
      </w:r>
      <w:r>
        <w:rPr>
          <w:sz w:val="20"/>
        </w:rPr>
        <w:t>212</w:t>
      </w:r>
    </w:p>
    <w:p w14:paraId="6852700C" w14:textId="77777777" w:rsidR="00DE575E" w:rsidRDefault="002E7560">
      <w:pPr>
        <w:pStyle w:val="ListParagraph"/>
        <w:numPr>
          <w:ilvl w:val="2"/>
          <w:numId w:val="333"/>
        </w:numPr>
        <w:tabs>
          <w:tab w:val="left" w:pos="1215"/>
        </w:tabs>
        <w:spacing w:before="31" w:line="233" w:lineRule="exact"/>
        <w:rPr>
          <w:sz w:val="21"/>
        </w:rPr>
      </w:pPr>
      <w:r>
        <w:rPr>
          <w:color w:val="231F20"/>
          <w:sz w:val="21"/>
        </w:rPr>
        <w:t>Нормативно-правовий акт як</w:t>
      </w:r>
      <w:r>
        <w:rPr>
          <w:color w:val="231F20"/>
          <w:spacing w:val="-3"/>
          <w:sz w:val="21"/>
        </w:rPr>
        <w:t xml:space="preserve"> </w:t>
      </w:r>
      <w:r>
        <w:rPr>
          <w:color w:val="231F20"/>
          <w:sz w:val="21"/>
        </w:rPr>
        <w:t>інструмент</w:t>
      </w:r>
    </w:p>
    <w:p w14:paraId="3DA16D94" w14:textId="77777777" w:rsidR="00DE575E" w:rsidRDefault="002E7560">
      <w:pPr>
        <w:pStyle w:val="BodyText"/>
        <w:tabs>
          <w:tab w:val="left" w:pos="6477"/>
        </w:tabs>
        <w:spacing w:line="233" w:lineRule="exact"/>
        <w:ind w:left="1214"/>
        <w:rPr>
          <w:b/>
          <w:sz w:val="20"/>
        </w:rPr>
      </w:pPr>
      <w:r>
        <w:rPr>
          <w:color w:val="231F20"/>
        </w:rPr>
        <w:t>публічного</w:t>
      </w:r>
      <w:r>
        <w:rPr>
          <w:color w:val="231F20"/>
          <w:spacing w:val="-2"/>
        </w:rPr>
        <w:t xml:space="preserve"> </w:t>
      </w:r>
      <w:r>
        <w:rPr>
          <w:color w:val="231F20"/>
        </w:rPr>
        <w:t>адміністрування</w:t>
      </w:r>
      <w:r>
        <w:rPr>
          <w:color w:val="231F20"/>
          <w:u w:val="dotted" w:color="231F20"/>
        </w:rPr>
        <w:t xml:space="preserve"> </w:t>
      </w:r>
      <w:r>
        <w:rPr>
          <w:color w:val="231F20"/>
          <w:u w:val="dotted" w:color="231F20"/>
        </w:rPr>
        <w:tab/>
      </w:r>
      <w:r>
        <w:rPr>
          <w:b/>
          <w:sz w:val="20"/>
        </w:rPr>
        <w:t>212</w:t>
      </w:r>
    </w:p>
    <w:p w14:paraId="74F58BD9" w14:textId="77777777" w:rsidR="00DE575E" w:rsidRDefault="002E7560">
      <w:pPr>
        <w:pStyle w:val="ListParagraph"/>
        <w:numPr>
          <w:ilvl w:val="2"/>
          <w:numId w:val="333"/>
        </w:numPr>
        <w:tabs>
          <w:tab w:val="left" w:pos="1215"/>
          <w:tab w:val="left" w:pos="6477"/>
        </w:tabs>
        <w:spacing w:before="30"/>
        <w:rPr>
          <w:b/>
          <w:sz w:val="20"/>
        </w:rPr>
      </w:pPr>
      <w:r>
        <w:rPr>
          <w:color w:val="231F20"/>
          <w:sz w:val="21"/>
        </w:rPr>
        <w:t>Види</w:t>
      </w:r>
      <w:r>
        <w:rPr>
          <w:color w:val="231F20"/>
          <w:spacing w:val="-3"/>
          <w:sz w:val="21"/>
        </w:rPr>
        <w:t xml:space="preserve"> </w:t>
      </w:r>
      <w:r>
        <w:rPr>
          <w:color w:val="231F20"/>
          <w:sz w:val="21"/>
        </w:rPr>
        <w:t>нормативно-правових</w:t>
      </w:r>
      <w:r>
        <w:rPr>
          <w:color w:val="231F20"/>
          <w:spacing w:val="-3"/>
          <w:sz w:val="21"/>
        </w:rPr>
        <w:t xml:space="preserve"> </w:t>
      </w:r>
      <w:r>
        <w:rPr>
          <w:color w:val="231F20"/>
          <w:sz w:val="21"/>
        </w:rPr>
        <w:t>актів</w:t>
      </w:r>
      <w:r>
        <w:rPr>
          <w:color w:val="231F20"/>
          <w:sz w:val="21"/>
          <w:u w:val="dotted" w:color="231F20"/>
        </w:rPr>
        <w:t xml:space="preserve"> </w:t>
      </w:r>
      <w:r>
        <w:rPr>
          <w:color w:val="231F20"/>
          <w:sz w:val="21"/>
          <w:u w:val="dotted" w:color="231F20"/>
        </w:rPr>
        <w:tab/>
      </w:r>
      <w:r>
        <w:rPr>
          <w:b/>
          <w:sz w:val="20"/>
        </w:rPr>
        <w:t>213</w:t>
      </w:r>
    </w:p>
    <w:p w14:paraId="0B02EFCF" w14:textId="77777777" w:rsidR="00DE575E" w:rsidRDefault="002E7560">
      <w:pPr>
        <w:pStyle w:val="ListParagraph"/>
        <w:numPr>
          <w:ilvl w:val="2"/>
          <w:numId w:val="333"/>
        </w:numPr>
        <w:tabs>
          <w:tab w:val="left" w:pos="1215"/>
          <w:tab w:val="left" w:pos="6477"/>
        </w:tabs>
        <w:spacing w:before="31"/>
        <w:rPr>
          <w:b/>
          <w:sz w:val="20"/>
        </w:rPr>
      </w:pPr>
      <w:r>
        <w:rPr>
          <w:color w:val="231F20"/>
          <w:sz w:val="21"/>
        </w:rPr>
        <w:t>Вимоги до</w:t>
      </w:r>
      <w:r>
        <w:rPr>
          <w:color w:val="231F20"/>
          <w:spacing w:val="-6"/>
          <w:sz w:val="21"/>
        </w:rPr>
        <w:t xml:space="preserve"> </w:t>
      </w:r>
      <w:r>
        <w:rPr>
          <w:color w:val="231F20"/>
          <w:sz w:val="21"/>
        </w:rPr>
        <w:t>нормативно-правового</w:t>
      </w:r>
      <w:r>
        <w:rPr>
          <w:color w:val="231F20"/>
          <w:spacing w:val="-3"/>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sz w:val="20"/>
        </w:rPr>
        <w:t>215</w:t>
      </w:r>
    </w:p>
    <w:p w14:paraId="0AB681F0" w14:textId="77777777" w:rsidR="00DE575E" w:rsidRDefault="002E7560">
      <w:pPr>
        <w:pStyle w:val="ListParagraph"/>
        <w:numPr>
          <w:ilvl w:val="2"/>
          <w:numId w:val="333"/>
        </w:numPr>
        <w:tabs>
          <w:tab w:val="left" w:pos="1215"/>
        </w:tabs>
        <w:spacing w:before="30" w:line="233" w:lineRule="exact"/>
        <w:rPr>
          <w:sz w:val="21"/>
        </w:rPr>
      </w:pPr>
      <w:r>
        <w:rPr>
          <w:color w:val="231F20"/>
          <w:sz w:val="21"/>
        </w:rPr>
        <w:t>Порядок підготовки та</w:t>
      </w:r>
      <w:r>
        <w:rPr>
          <w:color w:val="231F20"/>
          <w:spacing w:val="-3"/>
          <w:sz w:val="21"/>
        </w:rPr>
        <w:t xml:space="preserve"> </w:t>
      </w:r>
      <w:r>
        <w:rPr>
          <w:color w:val="231F20"/>
          <w:sz w:val="21"/>
        </w:rPr>
        <w:t>ухвалення</w:t>
      </w:r>
    </w:p>
    <w:p w14:paraId="16A38E56" w14:textId="77777777" w:rsidR="00DE575E" w:rsidRDefault="002E7560">
      <w:pPr>
        <w:pStyle w:val="BodyText"/>
        <w:tabs>
          <w:tab w:val="left" w:pos="6477"/>
        </w:tabs>
        <w:spacing w:line="233" w:lineRule="exact"/>
        <w:ind w:left="1214"/>
        <w:rPr>
          <w:b/>
          <w:sz w:val="20"/>
        </w:rPr>
      </w:pPr>
      <w:r>
        <w:rPr>
          <w:color w:val="231F20"/>
        </w:rPr>
        <w:t>нормативно-правового</w:t>
      </w:r>
      <w:r>
        <w:rPr>
          <w:color w:val="231F20"/>
          <w:spacing w:val="-2"/>
        </w:rPr>
        <w:t xml:space="preserve"> </w:t>
      </w:r>
      <w:r>
        <w:rPr>
          <w:color w:val="231F20"/>
        </w:rPr>
        <w:t>акта</w:t>
      </w:r>
      <w:r>
        <w:rPr>
          <w:color w:val="231F20"/>
          <w:u w:val="dotted" w:color="231F20"/>
        </w:rPr>
        <w:t xml:space="preserve"> </w:t>
      </w:r>
      <w:r>
        <w:rPr>
          <w:color w:val="231F20"/>
          <w:u w:val="dotted" w:color="231F20"/>
        </w:rPr>
        <w:tab/>
      </w:r>
      <w:r>
        <w:rPr>
          <w:b/>
          <w:sz w:val="20"/>
        </w:rPr>
        <w:t>215</w:t>
      </w:r>
    </w:p>
    <w:p w14:paraId="1B982AEC" w14:textId="77777777" w:rsidR="00DE575E" w:rsidRDefault="002E7560">
      <w:pPr>
        <w:pStyle w:val="ListParagraph"/>
        <w:numPr>
          <w:ilvl w:val="2"/>
          <w:numId w:val="333"/>
        </w:numPr>
        <w:tabs>
          <w:tab w:val="left" w:pos="1215"/>
          <w:tab w:val="left" w:pos="6477"/>
        </w:tabs>
        <w:spacing w:before="31"/>
        <w:rPr>
          <w:b/>
          <w:sz w:val="20"/>
        </w:rPr>
      </w:pPr>
      <w:r>
        <w:rPr>
          <w:color w:val="231F20"/>
          <w:sz w:val="21"/>
        </w:rPr>
        <w:t>Підготовка проєкту</w:t>
      </w:r>
      <w:r>
        <w:rPr>
          <w:color w:val="231F20"/>
          <w:spacing w:val="-4"/>
          <w:sz w:val="21"/>
        </w:rPr>
        <w:t xml:space="preserve"> </w:t>
      </w:r>
      <w:r>
        <w:rPr>
          <w:color w:val="231F20"/>
          <w:sz w:val="21"/>
        </w:rPr>
        <w:t>нормативного</w:t>
      </w:r>
      <w:r>
        <w:rPr>
          <w:color w:val="231F20"/>
          <w:spacing w:val="-2"/>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sz w:val="20"/>
        </w:rPr>
        <w:t>216</w:t>
      </w:r>
    </w:p>
    <w:p w14:paraId="37B3639F" w14:textId="77777777" w:rsidR="00DE575E" w:rsidRDefault="002E7560">
      <w:pPr>
        <w:pStyle w:val="ListParagraph"/>
        <w:numPr>
          <w:ilvl w:val="2"/>
          <w:numId w:val="333"/>
        </w:numPr>
        <w:tabs>
          <w:tab w:val="left" w:pos="1215"/>
          <w:tab w:val="left" w:pos="6477"/>
        </w:tabs>
        <w:spacing w:before="52" w:line="213" w:lineRule="auto"/>
        <w:ind w:right="413"/>
        <w:rPr>
          <w:b/>
          <w:sz w:val="20"/>
        </w:rPr>
      </w:pPr>
      <w:r>
        <w:rPr>
          <w:color w:val="231F20"/>
          <w:sz w:val="21"/>
        </w:rPr>
        <w:t>Зміст і значення антикорупційної експертизи нормативно-правового</w:t>
      </w:r>
      <w:r>
        <w:rPr>
          <w:color w:val="231F20"/>
          <w:spacing w:val="-2"/>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w w:val="80"/>
          <w:sz w:val="20"/>
        </w:rPr>
        <w:t>217</w:t>
      </w:r>
    </w:p>
    <w:p w14:paraId="780193F7" w14:textId="77777777" w:rsidR="00DE575E" w:rsidRDefault="002E7560">
      <w:pPr>
        <w:pStyle w:val="ListParagraph"/>
        <w:numPr>
          <w:ilvl w:val="2"/>
          <w:numId w:val="333"/>
        </w:numPr>
        <w:tabs>
          <w:tab w:val="left" w:pos="1215"/>
          <w:tab w:val="left" w:pos="6477"/>
        </w:tabs>
        <w:spacing w:before="37"/>
        <w:rPr>
          <w:b/>
          <w:sz w:val="20"/>
        </w:rPr>
      </w:pPr>
      <w:r>
        <w:rPr>
          <w:color w:val="231F20"/>
          <w:sz w:val="21"/>
        </w:rPr>
        <w:t>Державна реєстрація</w:t>
      </w:r>
      <w:r>
        <w:rPr>
          <w:color w:val="231F20"/>
          <w:spacing w:val="-6"/>
          <w:sz w:val="21"/>
        </w:rPr>
        <w:t xml:space="preserve"> </w:t>
      </w:r>
      <w:r>
        <w:rPr>
          <w:color w:val="231F20"/>
          <w:sz w:val="21"/>
        </w:rPr>
        <w:t>нормативно-правового</w:t>
      </w:r>
      <w:r>
        <w:rPr>
          <w:color w:val="231F20"/>
          <w:spacing w:val="-4"/>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sz w:val="20"/>
        </w:rPr>
        <w:t>218</w:t>
      </w:r>
    </w:p>
    <w:p w14:paraId="6F965653" w14:textId="77777777" w:rsidR="00DE575E" w:rsidRDefault="002E7560">
      <w:pPr>
        <w:pStyle w:val="ListParagraph"/>
        <w:numPr>
          <w:ilvl w:val="2"/>
          <w:numId w:val="333"/>
        </w:numPr>
        <w:tabs>
          <w:tab w:val="left" w:pos="1215"/>
          <w:tab w:val="left" w:pos="6477"/>
        </w:tabs>
        <w:spacing w:before="52" w:line="213" w:lineRule="auto"/>
        <w:ind w:right="413"/>
        <w:rPr>
          <w:b/>
          <w:sz w:val="20"/>
        </w:rPr>
      </w:pPr>
      <w:r>
        <w:rPr>
          <w:color w:val="231F20"/>
          <w:sz w:val="21"/>
        </w:rPr>
        <w:t>Процедура оприлюднення та набрання чинності нормативним актом</w:t>
      </w:r>
      <w:r>
        <w:rPr>
          <w:color w:val="231F20"/>
          <w:sz w:val="21"/>
          <w:u w:val="dotted" w:color="231F20"/>
        </w:rPr>
        <w:t xml:space="preserve"> </w:t>
      </w:r>
      <w:r>
        <w:rPr>
          <w:color w:val="231F20"/>
          <w:sz w:val="21"/>
          <w:u w:val="dotted" w:color="231F20"/>
        </w:rPr>
        <w:tab/>
      </w:r>
      <w:r>
        <w:rPr>
          <w:b/>
          <w:w w:val="80"/>
          <w:sz w:val="20"/>
        </w:rPr>
        <w:t>219</w:t>
      </w:r>
    </w:p>
    <w:p w14:paraId="757AA80F" w14:textId="77777777" w:rsidR="00DE575E" w:rsidRDefault="002E7560">
      <w:pPr>
        <w:pStyle w:val="ListParagraph"/>
        <w:numPr>
          <w:ilvl w:val="2"/>
          <w:numId w:val="333"/>
        </w:numPr>
        <w:tabs>
          <w:tab w:val="left" w:pos="1215"/>
          <w:tab w:val="left" w:pos="6477"/>
        </w:tabs>
        <w:spacing w:before="59" w:line="213" w:lineRule="auto"/>
        <w:ind w:right="413"/>
        <w:rPr>
          <w:b/>
          <w:sz w:val="20"/>
        </w:rPr>
      </w:pPr>
      <w:r>
        <w:rPr>
          <w:color w:val="231F20"/>
          <w:sz w:val="21"/>
        </w:rPr>
        <w:t>Підстави для визнання нормативного акта протиправним</w:t>
      </w:r>
      <w:r>
        <w:rPr>
          <w:color w:val="231F20"/>
          <w:sz w:val="21"/>
          <w:u w:val="dotted" w:color="231F20"/>
        </w:rPr>
        <w:t xml:space="preserve"> </w:t>
      </w:r>
      <w:r>
        <w:rPr>
          <w:color w:val="231F20"/>
          <w:sz w:val="21"/>
          <w:u w:val="dotted" w:color="231F20"/>
        </w:rPr>
        <w:tab/>
      </w:r>
      <w:r>
        <w:rPr>
          <w:b/>
          <w:w w:val="80"/>
          <w:sz w:val="20"/>
        </w:rPr>
        <w:t>220</w:t>
      </w:r>
    </w:p>
    <w:p w14:paraId="7D8E35AA" w14:textId="77777777" w:rsidR="00DE575E" w:rsidRDefault="002E7560">
      <w:pPr>
        <w:pStyle w:val="ListParagraph"/>
        <w:numPr>
          <w:ilvl w:val="2"/>
          <w:numId w:val="333"/>
        </w:numPr>
        <w:tabs>
          <w:tab w:val="left" w:pos="1289"/>
        </w:tabs>
        <w:spacing w:before="58" w:line="213" w:lineRule="auto"/>
        <w:ind w:right="1271"/>
        <w:rPr>
          <w:sz w:val="21"/>
        </w:rPr>
      </w:pPr>
      <w:r>
        <w:rPr>
          <w:color w:val="231F20"/>
          <w:sz w:val="21"/>
        </w:rPr>
        <w:t>Зв’язок протиправності з фактом</w:t>
      </w:r>
      <w:r>
        <w:rPr>
          <w:color w:val="231F20"/>
          <w:spacing w:val="-26"/>
          <w:sz w:val="21"/>
        </w:rPr>
        <w:t xml:space="preserve"> </w:t>
      </w:r>
      <w:r>
        <w:rPr>
          <w:color w:val="231F20"/>
          <w:sz w:val="21"/>
        </w:rPr>
        <w:t>недотримання формальних вимог під час</w:t>
      </w:r>
      <w:r>
        <w:rPr>
          <w:color w:val="231F20"/>
          <w:spacing w:val="-4"/>
          <w:sz w:val="21"/>
        </w:rPr>
        <w:t xml:space="preserve"> </w:t>
      </w:r>
      <w:r>
        <w:rPr>
          <w:color w:val="231F20"/>
          <w:sz w:val="21"/>
        </w:rPr>
        <w:t>підготовки</w:t>
      </w:r>
    </w:p>
    <w:p w14:paraId="53ADC274" w14:textId="77777777" w:rsidR="00DE575E" w:rsidRDefault="002E7560">
      <w:pPr>
        <w:pStyle w:val="BodyText"/>
        <w:tabs>
          <w:tab w:val="left" w:pos="6477"/>
        </w:tabs>
        <w:spacing w:line="226" w:lineRule="exact"/>
        <w:ind w:left="1214"/>
        <w:rPr>
          <w:b/>
          <w:sz w:val="20"/>
        </w:rPr>
      </w:pPr>
      <w:r>
        <w:rPr>
          <w:color w:val="231F20"/>
        </w:rPr>
        <w:t>та</w:t>
      </w:r>
      <w:r>
        <w:rPr>
          <w:color w:val="231F20"/>
          <w:spacing w:val="-1"/>
        </w:rPr>
        <w:t xml:space="preserve"> </w:t>
      </w:r>
      <w:r>
        <w:rPr>
          <w:color w:val="231F20"/>
        </w:rPr>
        <w:t>видання</w:t>
      </w:r>
      <w:r>
        <w:rPr>
          <w:color w:val="231F20"/>
          <w:spacing w:val="-1"/>
        </w:rPr>
        <w:t xml:space="preserve"> </w:t>
      </w:r>
      <w:r>
        <w:rPr>
          <w:color w:val="231F20"/>
        </w:rPr>
        <w:t>акта</w:t>
      </w:r>
      <w:r>
        <w:rPr>
          <w:color w:val="231F20"/>
          <w:u w:val="dotted" w:color="231F20"/>
        </w:rPr>
        <w:t xml:space="preserve"> </w:t>
      </w:r>
      <w:r>
        <w:rPr>
          <w:color w:val="231F20"/>
          <w:u w:val="dotted" w:color="231F20"/>
        </w:rPr>
        <w:tab/>
      </w:r>
      <w:r>
        <w:rPr>
          <w:b/>
          <w:sz w:val="20"/>
        </w:rPr>
        <w:t>222</w:t>
      </w:r>
    </w:p>
    <w:p w14:paraId="4C09B42E" w14:textId="77777777" w:rsidR="00DE575E" w:rsidRDefault="002E7560">
      <w:pPr>
        <w:pStyle w:val="Heading5"/>
        <w:numPr>
          <w:ilvl w:val="1"/>
          <w:numId w:val="333"/>
        </w:numPr>
        <w:tabs>
          <w:tab w:val="left" w:pos="648"/>
        </w:tabs>
        <w:spacing w:before="59" w:line="233" w:lineRule="exact"/>
        <w:jc w:val="left"/>
      </w:pPr>
      <w:r>
        <w:rPr>
          <w:color w:val="231F20"/>
        </w:rPr>
        <w:t>Індивідуальний (адміністративний)</w:t>
      </w:r>
      <w:r>
        <w:rPr>
          <w:color w:val="231F20"/>
          <w:spacing w:val="-4"/>
        </w:rPr>
        <w:t xml:space="preserve"> </w:t>
      </w:r>
      <w:r>
        <w:rPr>
          <w:color w:val="231F20"/>
        </w:rPr>
        <w:t>акт</w:t>
      </w:r>
    </w:p>
    <w:p w14:paraId="2B5232F6" w14:textId="77777777" w:rsidR="00DE575E" w:rsidRDefault="002E7560">
      <w:pPr>
        <w:tabs>
          <w:tab w:val="left" w:pos="6477"/>
        </w:tabs>
        <w:spacing w:line="233" w:lineRule="exact"/>
        <w:ind w:left="647"/>
        <w:rPr>
          <w:b/>
          <w:sz w:val="20"/>
        </w:rPr>
      </w:pPr>
      <w:r>
        <w:rPr>
          <w:b/>
          <w:color w:val="231F20"/>
          <w:sz w:val="21"/>
        </w:rPr>
        <w:t>як інструмент</w:t>
      </w:r>
      <w:r>
        <w:rPr>
          <w:b/>
          <w:color w:val="231F20"/>
          <w:spacing w:val="-11"/>
          <w:sz w:val="21"/>
        </w:rPr>
        <w:t xml:space="preserve"> </w:t>
      </w:r>
      <w:r>
        <w:rPr>
          <w:b/>
          <w:color w:val="231F20"/>
          <w:sz w:val="21"/>
        </w:rPr>
        <w:t>публічного</w:t>
      </w:r>
      <w:r>
        <w:rPr>
          <w:b/>
          <w:color w:val="231F20"/>
          <w:spacing w:val="-7"/>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222</w:t>
      </w:r>
    </w:p>
    <w:p w14:paraId="0B79D093" w14:textId="77777777" w:rsidR="00DE575E" w:rsidRDefault="002E7560">
      <w:pPr>
        <w:pStyle w:val="ListParagraph"/>
        <w:numPr>
          <w:ilvl w:val="2"/>
          <w:numId w:val="333"/>
        </w:numPr>
        <w:tabs>
          <w:tab w:val="left" w:pos="1215"/>
          <w:tab w:val="left" w:pos="6477"/>
        </w:tabs>
        <w:spacing w:before="30"/>
        <w:rPr>
          <w:b/>
          <w:sz w:val="20"/>
        </w:rPr>
      </w:pPr>
      <w:r>
        <w:rPr>
          <w:color w:val="231F20"/>
          <w:sz w:val="21"/>
        </w:rPr>
        <w:t>Види</w:t>
      </w:r>
      <w:r>
        <w:rPr>
          <w:color w:val="231F20"/>
          <w:spacing w:val="-4"/>
          <w:sz w:val="21"/>
        </w:rPr>
        <w:t xml:space="preserve"> </w:t>
      </w:r>
      <w:r>
        <w:rPr>
          <w:color w:val="231F20"/>
          <w:sz w:val="21"/>
        </w:rPr>
        <w:t>індивідуальних</w:t>
      </w:r>
      <w:r>
        <w:rPr>
          <w:color w:val="231F20"/>
          <w:spacing w:val="-3"/>
          <w:sz w:val="21"/>
        </w:rPr>
        <w:t xml:space="preserve"> </w:t>
      </w:r>
      <w:r>
        <w:rPr>
          <w:color w:val="231F20"/>
          <w:sz w:val="21"/>
        </w:rPr>
        <w:t>актів</w:t>
      </w:r>
      <w:r>
        <w:rPr>
          <w:color w:val="231F20"/>
          <w:sz w:val="21"/>
          <w:u w:val="dotted" w:color="231F20"/>
        </w:rPr>
        <w:t xml:space="preserve"> </w:t>
      </w:r>
      <w:r>
        <w:rPr>
          <w:color w:val="231F20"/>
          <w:sz w:val="21"/>
          <w:u w:val="dotted" w:color="231F20"/>
        </w:rPr>
        <w:tab/>
      </w:r>
      <w:r>
        <w:rPr>
          <w:b/>
          <w:sz w:val="20"/>
        </w:rPr>
        <w:t>224</w:t>
      </w:r>
    </w:p>
    <w:p w14:paraId="5B435CA2" w14:textId="77777777" w:rsidR="00DE575E" w:rsidRDefault="00DE575E">
      <w:pPr>
        <w:pStyle w:val="BodyText"/>
        <w:spacing w:before="5"/>
        <w:rPr>
          <w:b/>
          <w:sz w:val="22"/>
        </w:rPr>
      </w:pPr>
    </w:p>
    <w:p w14:paraId="4245ACC3" w14:textId="77777777" w:rsidR="00DE575E" w:rsidRDefault="002E7560">
      <w:pPr>
        <w:spacing w:before="92"/>
        <w:ind w:right="411"/>
        <w:jc w:val="right"/>
        <w:rPr>
          <w:rFonts w:ascii="Times New Roman"/>
          <w:sz w:val="20"/>
        </w:rPr>
      </w:pPr>
      <w:r>
        <w:rPr>
          <w:rFonts w:ascii="Times New Roman"/>
          <w:color w:val="231F20"/>
          <w:w w:val="90"/>
          <w:sz w:val="20"/>
        </w:rPr>
        <w:t>9</w:t>
      </w:r>
    </w:p>
    <w:p w14:paraId="06017CA0"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0216BA0E"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3CEC59D7" w14:textId="11C73C6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712378E" wp14:editId="766B69D0">
                <wp:extent cx="4140200" cy="6350"/>
                <wp:effectExtent l="0" t="0" r="12700" b="6350"/>
                <wp:docPr id="1396"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97" name="Line 13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C0757B" id="Group_x0020_13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3PP7EgAIAAJwFAAAO&#10;AAAAAAAAAAAAAAAAACwCAABkcnMvZTJvRG9jLnhtbFBLAQItABQABgAIAAAAIQBMp7CQ2QAAAAMB&#10;AAAPAAAAAAAAAAAAAAAAANgEAABkcnMvZG93bnJldi54bWxQSwUGAAAAAAQABADzAAAA3gUAAAAA&#10;">
                <v:line id="Line_x0020_13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AiCMUAAADdAAAADwAAAGRycy9kb3ducmV2LnhtbERP22rCQBB9F/yHZQq+lLppA7VGV5FC&#10;QfrgLX7AmB2T0N3ZmF1N2q/vFgq+zeFcZ77srRE3an3tWMHzOAFBXDhdc6ngmH88vYHwAVmjcUwK&#10;vsnDcjEczDHTruM93Q6hFDGEfYYKqhCaTEpfVGTRj11DHLmzay2GCNtS6ha7GG6NfEmSV2mx5thQ&#10;YUPvFRVfh6tVkF8eg9ltP02Xb0+pPF026c91o9TooV/NQATqw138717rOD+dTuDvm3iC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EAiCMUAAADdAAAADwAAAAAAAAAA&#10;AAAAAAChAgAAZHJzL2Rvd25yZXYueG1sUEsFBgAAAAAEAAQA+QAAAJMDAAAAAA==&#10;" strokecolor="#231f20" strokeweight=".5pt"/>
                <w10:anchorlock/>
              </v:group>
            </w:pict>
          </mc:Fallback>
        </mc:AlternateContent>
      </w:r>
    </w:p>
    <w:p w14:paraId="523F7422" w14:textId="77777777" w:rsidR="00DE575E" w:rsidRDefault="00DE575E">
      <w:pPr>
        <w:pStyle w:val="BodyText"/>
        <w:spacing w:before="7"/>
        <w:rPr>
          <w:rFonts w:ascii="AdonisC"/>
          <w:i/>
          <w:sz w:val="11"/>
        </w:rPr>
      </w:pPr>
    </w:p>
    <w:p w14:paraId="675723D3" w14:textId="77777777" w:rsidR="00DE575E" w:rsidRDefault="002E7560">
      <w:pPr>
        <w:pStyle w:val="ListParagraph"/>
        <w:numPr>
          <w:ilvl w:val="2"/>
          <w:numId w:val="333"/>
        </w:numPr>
        <w:tabs>
          <w:tab w:val="left" w:pos="1498"/>
        </w:tabs>
        <w:spacing w:before="101" w:line="233" w:lineRule="exact"/>
        <w:ind w:left="1497"/>
        <w:rPr>
          <w:sz w:val="21"/>
        </w:rPr>
      </w:pPr>
      <w:r>
        <w:rPr>
          <w:color w:val="231F20"/>
          <w:sz w:val="21"/>
        </w:rPr>
        <w:t>Процедура ухвалення</w:t>
      </w:r>
      <w:r>
        <w:rPr>
          <w:color w:val="231F20"/>
          <w:spacing w:val="-3"/>
          <w:sz w:val="21"/>
        </w:rPr>
        <w:t xml:space="preserve"> </w:t>
      </w:r>
      <w:r>
        <w:rPr>
          <w:color w:val="231F20"/>
          <w:sz w:val="21"/>
        </w:rPr>
        <w:t>(видання)</w:t>
      </w:r>
    </w:p>
    <w:p w14:paraId="15064FF0" w14:textId="77777777" w:rsidR="00DE575E" w:rsidRDefault="002E7560">
      <w:pPr>
        <w:pStyle w:val="BodyText"/>
        <w:tabs>
          <w:tab w:val="left" w:pos="6760"/>
        </w:tabs>
        <w:spacing w:line="233" w:lineRule="exact"/>
        <w:ind w:left="1497"/>
        <w:rPr>
          <w:b/>
          <w:sz w:val="20"/>
        </w:rPr>
      </w:pPr>
      <w:r>
        <w:rPr>
          <w:color w:val="231F20"/>
        </w:rPr>
        <w:t>індивідуальних</w:t>
      </w:r>
      <w:r>
        <w:rPr>
          <w:color w:val="231F20"/>
          <w:spacing w:val="-4"/>
        </w:rPr>
        <w:t xml:space="preserve"> </w:t>
      </w:r>
      <w:r>
        <w:rPr>
          <w:color w:val="231F20"/>
        </w:rPr>
        <w:t>актів</w:t>
      </w:r>
      <w:r>
        <w:rPr>
          <w:color w:val="231F20"/>
          <w:u w:val="dotted" w:color="231F20"/>
        </w:rPr>
        <w:t xml:space="preserve"> </w:t>
      </w:r>
      <w:r>
        <w:rPr>
          <w:color w:val="231F20"/>
          <w:u w:val="dotted" w:color="231F20"/>
        </w:rPr>
        <w:tab/>
      </w:r>
      <w:r>
        <w:rPr>
          <w:b/>
          <w:sz w:val="20"/>
        </w:rPr>
        <w:t>227</w:t>
      </w:r>
    </w:p>
    <w:p w14:paraId="2E356E73" w14:textId="77777777" w:rsidR="00DE575E" w:rsidRDefault="002E7560">
      <w:pPr>
        <w:pStyle w:val="ListParagraph"/>
        <w:numPr>
          <w:ilvl w:val="2"/>
          <w:numId w:val="333"/>
        </w:numPr>
        <w:tabs>
          <w:tab w:val="left" w:pos="1498"/>
          <w:tab w:val="left" w:pos="6760"/>
        </w:tabs>
        <w:spacing w:before="30"/>
        <w:ind w:left="1497"/>
        <w:rPr>
          <w:b/>
          <w:sz w:val="20"/>
        </w:rPr>
      </w:pPr>
      <w:r>
        <w:rPr>
          <w:color w:val="231F20"/>
          <w:sz w:val="21"/>
        </w:rPr>
        <w:t>Чинність</w:t>
      </w:r>
      <w:r>
        <w:rPr>
          <w:color w:val="231F20"/>
          <w:spacing w:val="-3"/>
          <w:sz w:val="21"/>
        </w:rPr>
        <w:t xml:space="preserve"> </w:t>
      </w:r>
      <w:r>
        <w:rPr>
          <w:color w:val="231F20"/>
          <w:sz w:val="21"/>
        </w:rPr>
        <w:t>індивідуального</w:t>
      </w:r>
      <w:r>
        <w:rPr>
          <w:color w:val="231F20"/>
          <w:spacing w:val="-3"/>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sz w:val="20"/>
        </w:rPr>
        <w:t>229</w:t>
      </w:r>
    </w:p>
    <w:p w14:paraId="52DAF776" w14:textId="77777777" w:rsidR="00DE575E" w:rsidRDefault="002E7560">
      <w:pPr>
        <w:pStyle w:val="ListParagraph"/>
        <w:numPr>
          <w:ilvl w:val="2"/>
          <w:numId w:val="333"/>
        </w:numPr>
        <w:tabs>
          <w:tab w:val="left" w:pos="1498"/>
          <w:tab w:val="left" w:pos="6760"/>
        </w:tabs>
        <w:spacing w:before="31"/>
        <w:ind w:left="1497"/>
        <w:rPr>
          <w:b/>
          <w:sz w:val="20"/>
        </w:rPr>
      </w:pPr>
      <w:r>
        <w:rPr>
          <w:color w:val="231F20"/>
          <w:sz w:val="21"/>
        </w:rPr>
        <w:t>Нікчемність</w:t>
      </w:r>
      <w:r>
        <w:rPr>
          <w:color w:val="231F20"/>
          <w:spacing w:val="-2"/>
          <w:sz w:val="21"/>
        </w:rPr>
        <w:t xml:space="preserve"> </w:t>
      </w:r>
      <w:r>
        <w:rPr>
          <w:color w:val="231F20"/>
          <w:sz w:val="21"/>
        </w:rPr>
        <w:t>адміністративного</w:t>
      </w:r>
      <w:r>
        <w:rPr>
          <w:color w:val="231F20"/>
          <w:spacing w:val="-2"/>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sz w:val="20"/>
        </w:rPr>
        <w:t>230</w:t>
      </w:r>
    </w:p>
    <w:p w14:paraId="355440DC" w14:textId="77777777" w:rsidR="00DE575E" w:rsidRDefault="002E7560">
      <w:pPr>
        <w:pStyle w:val="Heading5"/>
        <w:numPr>
          <w:ilvl w:val="1"/>
          <w:numId w:val="333"/>
        </w:numPr>
        <w:tabs>
          <w:tab w:val="left" w:pos="931"/>
          <w:tab w:val="left" w:pos="6760"/>
        </w:tabs>
        <w:spacing w:before="58"/>
        <w:ind w:left="930"/>
        <w:jc w:val="left"/>
        <w:rPr>
          <w:sz w:val="20"/>
        </w:rPr>
      </w:pPr>
      <w:r>
        <w:rPr>
          <w:color w:val="231F20"/>
        </w:rPr>
        <w:t>Адміністративний</w:t>
      </w:r>
      <w:r>
        <w:rPr>
          <w:color w:val="231F20"/>
          <w:spacing w:val="-5"/>
        </w:rPr>
        <w:t xml:space="preserve"> </w:t>
      </w:r>
      <w:r>
        <w:rPr>
          <w:color w:val="231F20"/>
        </w:rPr>
        <w:t>договір</w:t>
      </w:r>
      <w:r>
        <w:rPr>
          <w:color w:val="231F20"/>
          <w:u w:val="dotted" w:color="231F20"/>
        </w:rPr>
        <w:t xml:space="preserve"> </w:t>
      </w:r>
      <w:r>
        <w:rPr>
          <w:color w:val="231F20"/>
          <w:u w:val="dotted" w:color="231F20"/>
        </w:rPr>
        <w:tab/>
      </w:r>
      <w:r>
        <w:rPr>
          <w:sz w:val="20"/>
        </w:rPr>
        <w:t>231</w:t>
      </w:r>
    </w:p>
    <w:p w14:paraId="7C490D56" w14:textId="77777777" w:rsidR="00DE575E" w:rsidRDefault="002E7560">
      <w:pPr>
        <w:pStyle w:val="ListParagraph"/>
        <w:numPr>
          <w:ilvl w:val="2"/>
          <w:numId w:val="333"/>
        </w:numPr>
        <w:tabs>
          <w:tab w:val="left" w:pos="1498"/>
        </w:tabs>
        <w:spacing w:before="31" w:line="233" w:lineRule="exact"/>
        <w:ind w:left="1497"/>
        <w:rPr>
          <w:sz w:val="21"/>
        </w:rPr>
      </w:pPr>
      <w:r>
        <w:rPr>
          <w:color w:val="231F20"/>
          <w:sz w:val="21"/>
        </w:rPr>
        <w:t>Поняття, юридичне</w:t>
      </w:r>
      <w:r>
        <w:rPr>
          <w:color w:val="231F20"/>
          <w:spacing w:val="-2"/>
          <w:sz w:val="21"/>
        </w:rPr>
        <w:t xml:space="preserve"> </w:t>
      </w:r>
      <w:r>
        <w:rPr>
          <w:color w:val="231F20"/>
          <w:sz w:val="21"/>
        </w:rPr>
        <w:t>значення</w:t>
      </w:r>
    </w:p>
    <w:p w14:paraId="19919F25" w14:textId="77777777" w:rsidR="00DE575E" w:rsidRDefault="002E7560">
      <w:pPr>
        <w:pStyle w:val="BodyText"/>
        <w:tabs>
          <w:tab w:val="left" w:pos="6760"/>
        </w:tabs>
        <w:spacing w:line="233" w:lineRule="exact"/>
        <w:ind w:left="1497"/>
        <w:rPr>
          <w:b/>
          <w:sz w:val="20"/>
        </w:rPr>
      </w:pPr>
      <w:r>
        <w:rPr>
          <w:color w:val="231F20"/>
        </w:rPr>
        <w:t>та ознаки</w:t>
      </w:r>
      <w:r>
        <w:rPr>
          <w:color w:val="231F20"/>
          <w:spacing w:val="-7"/>
        </w:rPr>
        <w:t xml:space="preserve"> </w:t>
      </w:r>
      <w:r>
        <w:rPr>
          <w:color w:val="231F20"/>
        </w:rPr>
        <w:t>адміністративного</w:t>
      </w:r>
      <w:r>
        <w:rPr>
          <w:color w:val="231F20"/>
          <w:spacing w:val="-3"/>
        </w:rPr>
        <w:t xml:space="preserve"> </w:t>
      </w:r>
      <w:r>
        <w:rPr>
          <w:color w:val="231F20"/>
        </w:rPr>
        <w:t>договору</w:t>
      </w:r>
      <w:r>
        <w:rPr>
          <w:color w:val="231F20"/>
          <w:u w:val="dotted" w:color="231F20"/>
        </w:rPr>
        <w:t xml:space="preserve"> </w:t>
      </w:r>
      <w:r>
        <w:rPr>
          <w:color w:val="231F20"/>
          <w:u w:val="dotted" w:color="231F20"/>
        </w:rPr>
        <w:tab/>
      </w:r>
      <w:r>
        <w:rPr>
          <w:b/>
          <w:sz w:val="20"/>
        </w:rPr>
        <w:t>231</w:t>
      </w:r>
    </w:p>
    <w:p w14:paraId="02930E82" w14:textId="77777777" w:rsidR="00DE575E" w:rsidRDefault="002E7560">
      <w:pPr>
        <w:pStyle w:val="ListParagraph"/>
        <w:numPr>
          <w:ilvl w:val="2"/>
          <w:numId w:val="333"/>
        </w:numPr>
        <w:tabs>
          <w:tab w:val="left" w:pos="1498"/>
          <w:tab w:val="left" w:pos="6760"/>
        </w:tabs>
        <w:spacing w:before="30"/>
        <w:ind w:left="1497"/>
        <w:rPr>
          <w:b/>
          <w:sz w:val="20"/>
        </w:rPr>
      </w:pPr>
      <w:r>
        <w:rPr>
          <w:color w:val="231F20"/>
          <w:sz w:val="21"/>
        </w:rPr>
        <w:t>Види</w:t>
      </w:r>
      <w:r>
        <w:rPr>
          <w:color w:val="231F20"/>
          <w:spacing w:val="-4"/>
          <w:sz w:val="21"/>
        </w:rPr>
        <w:t xml:space="preserve"> </w:t>
      </w:r>
      <w:r>
        <w:rPr>
          <w:color w:val="231F20"/>
          <w:sz w:val="21"/>
        </w:rPr>
        <w:t>адміністративних</w:t>
      </w:r>
      <w:r>
        <w:rPr>
          <w:color w:val="231F20"/>
          <w:spacing w:val="-4"/>
          <w:sz w:val="21"/>
        </w:rPr>
        <w:t xml:space="preserve"> </w:t>
      </w:r>
      <w:r>
        <w:rPr>
          <w:color w:val="231F20"/>
          <w:sz w:val="21"/>
        </w:rPr>
        <w:t>договорів</w:t>
      </w:r>
      <w:r>
        <w:rPr>
          <w:color w:val="231F20"/>
          <w:sz w:val="21"/>
          <w:u w:val="dotted" w:color="231F20"/>
        </w:rPr>
        <w:t xml:space="preserve"> </w:t>
      </w:r>
      <w:r>
        <w:rPr>
          <w:color w:val="231F20"/>
          <w:sz w:val="21"/>
          <w:u w:val="dotted" w:color="231F20"/>
        </w:rPr>
        <w:tab/>
      </w:r>
      <w:r>
        <w:rPr>
          <w:b/>
          <w:sz w:val="20"/>
        </w:rPr>
        <w:t>233</w:t>
      </w:r>
    </w:p>
    <w:p w14:paraId="5EA05051" w14:textId="77777777" w:rsidR="00DE575E" w:rsidRDefault="002E7560">
      <w:pPr>
        <w:pStyle w:val="ListParagraph"/>
        <w:numPr>
          <w:ilvl w:val="2"/>
          <w:numId w:val="333"/>
        </w:numPr>
        <w:tabs>
          <w:tab w:val="left" w:pos="1498"/>
          <w:tab w:val="left" w:pos="6760"/>
        </w:tabs>
        <w:spacing w:before="31"/>
        <w:ind w:left="1497"/>
        <w:rPr>
          <w:b/>
          <w:sz w:val="20"/>
        </w:rPr>
      </w:pPr>
      <w:r>
        <w:rPr>
          <w:color w:val="231F20"/>
          <w:sz w:val="21"/>
        </w:rPr>
        <w:t>Укладання</w:t>
      </w:r>
      <w:r>
        <w:rPr>
          <w:color w:val="231F20"/>
          <w:spacing w:val="-6"/>
          <w:sz w:val="21"/>
        </w:rPr>
        <w:t xml:space="preserve"> </w:t>
      </w:r>
      <w:r>
        <w:rPr>
          <w:color w:val="231F20"/>
          <w:sz w:val="21"/>
        </w:rPr>
        <w:t>адміністративних</w:t>
      </w:r>
      <w:r>
        <w:rPr>
          <w:color w:val="231F20"/>
          <w:spacing w:val="-6"/>
          <w:sz w:val="21"/>
        </w:rPr>
        <w:t xml:space="preserve"> </w:t>
      </w:r>
      <w:r>
        <w:rPr>
          <w:color w:val="231F20"/>
          <w:sz w:val="21"/>
        </w:rPr>
        <w:t>договорів</w:t>
      </w:r>
      <w:r>
        <w:rPr>
          <w:color w:val="231F20"/>
          <w:sz w:val="21"/>
          <w:u w:val="dotted" w:color="231F20"/>
        </w:rPr>
        <w:t xml:space="preserve"> </w:t>
      </w:r>
      <w:r>
        <w:rPr>
          <w:color w:val="231F20"/>
          <w:sz w:val="21"/>
          <w:u w:val="dotted" w:color="231F20"/>
        </w:rPr>
        <w:tab/>
      </w:r>
      <w:r>
        <w:rPr>
          <w:b/>
          <w:sz w:val="20"/>
        </w:rPr>
        <w:t>235</w:t>
      </w:r>
    </w:p>
    <w:p w14:paraId="47360B05" w14:textId="77777777" w:rsidR="00DE575E" w:rsidRDefault="002E7560">
      <w:pPr>
        <w:pStyle w:val="ListParagraph"/>
        <w:numPr>
          <w:ilvl w:val="2"/>
          <w:numId w:val="333"/>
        </w:numPr>
        <w:tabs>
          <w:tab w:val="left" w:pos="1498"/>
          <w:tab w:val="left" w:pos="6760"/>
        </w:tabs>
        <w:spacing w:before="30"/>
        <w:ind w:left="1497"/>
        <w:rPr>
          <w:b/>
          <w:sz w:val="20"/>
        </w:rPr>
      </w:pPr>
      <w:r>
        <w:rPr>
          <w:color w:val="231F20"/>
          <w:sz w:val="21"/>
        </w:rPr>
        <w:t>Чинність</w:t>
      </w:r>
      <w:r>
        <w:rPr>
          <w:color w:val="231F20"/>
          <w:spacing w:val="-4"/>
          <w:sz w:val="21"/>
        </w:rPr>
        <w:t xml:space="preserve"> </w:t>
      </w:r>
      <w:r>
        <w:rPr>
          <w:color w:val="231F20"/>
          <w:sz w:val="21"/>
        </w:rPr>
        <w:t>адміністративного</w:t>
      </w:r>
      <w:r>
        <w:rPr>
          <w:color w:val="231F20"/>
          <w:spacing w:val="-4"/>
          <w:sz w:val="21"/>
        </w:rPr>
        <w:t xml:space="preserve"> </w:t>
      </w:r>
      <w:r>
        <w:rPr>
          <w:color w:val="231F20"/>
          <w:sz w:val="21"/>
        </w:rPr>
        <w:t>договору</w:t>
      </w:r>
      <w:r>
        <w:rPr>
          <w:color w:val="231F20"/>
          <w:sz w:val="21"/>
          <w:u w:val="dotted" w:color="231F20"/>
        </w:rPr>
        <w:t xml:space="preserve"> </w:t>
      </w:r>
      <w:r>
        <w:rPr>
          <w:color w:val="231F20"/>
          <w:sz w:val="21"/>
          <w:u w:val="dotted" w:color="231F20"/>
        </w:rPr>
        <w:tab/>
      </w:r>
      <w:r>
        <w:rPr>
          <w:b/>
          <w:sz w:val="20"/>
        </w:rPr>
        <w:t>237</w:t>
      </w:r>
    </w:p>
    <w:p w14:paraId="7F519641" w14:textId="77777777" w:rsidR="00DE575E" w:rsidRDefault="002E7560">
      <w:pPr>
        <w:pStyle w:val="ListParagraph"/>
        <w:numPr>
          <w:ilvl w:val="2"/>
          <w:numId w:val="333"/>
        </w:numPr>
        <w:tabs>
          <w:tab w:val="left" w:pos="1498"/>
          <w:tab w:val="left" w:pos="6760"/>
        </w:tabs>
        <w:spacing w:before="31"/>
        <w:ind w:left="1497"/>
        <w:rPr>
          <w:b/>
          <w:sz w:val="20"/>
        </w:rPr>
      </w:pPr>
      <w:r>
        <w:rPr>
          <w:color w:val="231F20"/>
          <w:sz w:val="21"/>
        </w:rPr>
        <w:t>Нікчемність</w:t>
      </w:r>
      <w:r>
        <w:rPr>
          <w:color w:val="231F20"/>
          <w:spacing w:val="-3"/>
          <w:sz w:val="21"/>
        </w:rPr>
        <w:t xml:space="preserve"> </w:t>
      </w:r>
      <w:r>
        <w:rPr>
          <w:color w:val="231F20"/>
          <w:sz w:val="21"/>
        </w:rPr>
        <w:t>адміністративного</w:t>
      </w:r>
      <w:r>
        <w:rPr>
          <w:color w:val="231F20"/>
          <w:spacing w:val="-3"/>
          <w:sz w:val="21"/>
        </w:rPr>
        <w:t xml:space="preserve"> </w:t>
      </w:r>
      <w:r>
        <w:rPr>
          <w:color w:val="231F20"/>
          <w:sz w:val="21"/>
        </w:rPr>
        <w:t>договору</w:t>
      </w:r>
      <w:r>
        <w:rPr>
          <w:color w:val="231F20"/>
          <w:sz w:val="21"/>
          <w:u w:val="dotted" w:color="231F20"/>
        </w:rPr>
        <w:t xml:space="preserve"> </w:t>
      </w:r>
      <w:r>
        <w:rPr>
          <w:color w:val="231F20"/>
          <w:sz w:val="21"/>
          <w:u w:val="dotted" w:color="231F20"/>
        </w:rPr>
        <w:tab/>
      </w:r>
      <w:r>
        <w:rPr>
          <w:b/>
          <w:sz w:val="20"/>
        </w:rPr>
        <w:t>238</w:t>
      </w:r>
    </w:p>
    <w:p w14:paraId="77FE3AD7" w14:textId="77777777" w:rsidR="00DE575E" w:rsidRDefault="002E7560">
      <w:pPr>
        <w:pStyle w:val="ListParagraph"/>
        <w:numPr>
          <w:ilvl w:val="2"/>
          <w:numId w:val="333"/>
        </w:numPr>
        <w:tabs>
          <w:tab w:val="left" w:pos="1498"/>
        </w:tabs>
        <w:spacing w:before="30" w:line="233" w:lineRule="exact"/>
        <w:ind w:left="1497"/>
        <w:rPr>
          <w:sz w:val="21"/>
        </w:rPr>
      </w:pPr>
      <w:r>
        <w:rPr>
          <w:color w:val="231F20"/>
          <w:sz w:val="21"/>
        </w:rPr>
        <w:t>Підстави</w:t>
      </w:r>
      <w:r>
        <w:rPr>
          <w:color w:val="231F20"/>
          <w:spacing w:val="-2"/>
          <w:sz w:val="21"/>
        </w:rPr>
        <w:t xml:space="preserve"> </w:t>
      </w:r>
      <w:r>
        <w:rPr>
          <w:color w:val="231F20"/>
          <w:sz w:val="21"/>
        </w:rPr>
        <w:t>визнання</w:t>
      </w:r>
    </w:p>
    <w:p w14:paraId="6F24346D" w14:textId="77777777" w:rsidR="00DE575E" w:rsidRDefault="002E7560">
      <w:pPr>
        <w:pStyle w:val="BodyText"/>
        <w:tabs>
          <w:tab w:val="left" w:pos="6760"/>
        </w:tabs>
        <w:spacing w:line="233" w:lineRule="exact"/>
        <w:ind w:left="1497"/>
        <w:rPr>
          <w:b/>
          <w:sz w:val="20"/>
        </w:rPr>
      </w:pPr>
      <w:r>
        <w:rPr>
          <w:color w:val="231F20"/>
        </w:rPr>
        <w:t>адміністративного</w:t>
      </w:r>
      <w:r>
        <w:rPr>
          <w:color w:val="231F20"/>
          <w:spacing w:val="-3"/>
        </w:rPr>
        <w:t xml:space="preserve"> </w:t>
      </w:r>
      <w:r>
        <w:rPr>
          <w:color w:val="231F20"/>
        </w:rPr>
        <w:t>договору</w:t>
      </w:r>
      <w:r>
        <w:rPr>
          <w:color w:val="231F20"/>
          <w:spacing w:val="-4"/>
        </w:rPr>
        <w:t xml:space="preserve"> </w:t>
      </w:r>
      <w:r>
        <w:rPr>
          <w:color w:val="231F20"/>
        </w:rPr>
        <w:t>нікчемним</w:t>
      </w:r>
      <w:r>
        <w:rPr>
          <w:color w:val="231F20"/>
          <w:u w:val="dotted" w:color="231F20"/>
        </w:rPr>
        <w:t xml:space="preserve"> </w:t>
      </w:r>
      <w:r>
        <w:rPr>
          <w:color w:val="231F20"/>
          <w:u w:val="dotted" w:color="231F20"/>
        </w:rPr>
        <w:tab/>
      </w:r>
      <w:r>
        <w:rPr>
          <w:b/>
          <w:sz w:val="20"/>
        </w:rPr>
        <w:t>239</w:t>
      </w:r>
    </w:p>
    <w:p w14:paraId="5AFC3035" w14:textId="77777777" w:rsidR="00DE575E" w:rsidRDefault="002E7560">
      <w:pPr>
        <w:pStyle w:val="Heading5"/>
        <w:numPr>
          <w:ilvl w:val="1"/>
          <w:numId w:val="333"/>
        </w:numPr>
        <w:tabs>
          <w:tab w:val="left" w:pos="931"/>
        </w:tabs>
        <w:spacing w:before="59" w:line="233" w:lineRule="exact"/>
        <w:ind w:left="930"/>
        <w:jc w:val="left"/>
      </w:pPr>
      <w:r>
        <w:rPr>
          <w:color w:val="231F20"/>
        </w:rPr>
        <w:t>Учинення інших юридично</w:t>
      </w:r>
      <w:r>
        <w:rPr>
          <w:color w:val="231F20"/>
          <w:spacing w:val="-4"/>
        </w:rPr>
        <w:t xml:space="preserve"> </w:t>
      </w:r>
      <w:r>
        <w:rPr>
          <w:color w:val="231F20"/>
        </w:rPr>
        <w:t>значущих</w:t>
      </w:r>
    </w:p>
    <w:p w14:paraId="17D24FC7" w14:textId="77777777" w:rsidR="00DE575E" w:rsidRDefault="002E7560">
      <w:pPr>
        <w:tabs>
          <w:tab w:val="left" w:pos="6760"/>
        </w:tabs>
        <w:spacing w:line="233" w:lineRule="exact"/>
        <w:ind w:left="930"/>
        <w:rPr>
          <w:b/>
          <w:sz w:val="20"/>
        </w:rPr>
      </w:pPr>
      <w:r>
        <w:rPr>
          <w:b/>
          <w:color w:val="231F20"/>
          <w:sz w:val="21"/>
        </w:rPr>
        <w:t>адміністративних</w:t>
      </w:r>
      <w:r>
        <w:rPr>
          <w:b/>
          <w:color w:val="231F20"/>
          <w:spacing w:val="-4"/>
          <w:sz w:val="21"/>
        </w:rPr>
        <w:t xml:space="preserve"> </w:t>
      </w:r>
      <w:r>
        <w:rPr>
          <w:b/>
          <w:color w:val="231F20"/>
          <w:sz w:val="21"/>
        </w:rPr>
        <w:t>дій</w:t>
      </w:r>
      <w:r>
        <w:rPr>
          <w:b/>
          <w:color w:val="231F20"/>
          <w:sz w:val="21"/>
          <w:u w:val="dotted" w:color="231F20"/>
        </w:rPr>
        <w:t xml:space="preserve"> </w:t>
      </w:r>
      <w:r>
        <w:rPr>
          <w:b/>
          <w:color w:val="231F20"/>
          <w:sz w:val="21"/>
          <w:u w:val="dotted" w:color="231F20"/>
        </w:rPr>
        <w:tab/>
      </w:r>
      <w:r>
        <w:rPr>
          <w:b/>
          <w:sz w:val="20"/>
        </w:rPr>
        <w:t>240</w:t>
      </w:r>
    </w:p>
    <w:p w14:paraId="7A4B35B2" w14:textId="77777777" w:rsidR="00DE575E" w:rsidRDefault="002E7560">
      <w:pPr>
        <w:pStyle w:val="ListParagraph"/>
        <w:numPr>
          <w:ilvl w:val="1"/>
          <w:numId w:val="333"/>
        </w:numPr>
        <w:tabs>
          <w:tab w:val="left" w:pos="931"/>
          <w:tab w:val="left" w:pos="6760"/>
        </w:tabs>
        <w:spacing w:before="59"/>
        <w:ind w:left="930"/>
        <w:jc w:val="left"/>
        <w:rPr>
          <w:b/>
          <w:sz w:val="20"/>
        </w:rPr>
      </w:pPr>
      <w:r>
        <w:rPr>
          <w:b/>
          <w:color w:val="231F20"/>
          <w:sz w:val="21"/>
        </w:rPr>
        <w:t>Здійснення</w:t>
      </w:r>
      <w:r>
        <w:rPr>
          <w:b/>
          <w:color w:val="231F20"/>
          <w:spacing w:val="-9"/>
          <w:sz w:val="21"/>
        </w:rPr>
        <w:t xml:space="preserve"> </w:t>
      </w:r>
      <w:r>
        <w:rPr>
          <w:b/>
          <w:color w:val="231F20"/>
          <w:sz w:val="21"/>
        </w:rPr>
        <w:t>матеріально-технічних</w:t>
      </w:r>
      <w:r>
        <w:rPr>
          <w:b/>
          <w:color w:val="231F20"/>
          <w:spacing w:val="-9"/>
          <w:sz w:val="21"/>
        </w:rPr>
        <w:t xml:space="preserve"> </w:t>
      </w:r>
      <w:r>
        <w:rPr>
          <w:b/>
          <w:color w:val="231F20"/>
          <w:sz w:val="21"/>
        </w:rPr>
        <w:t>операцій</w:t>
      </w:r>
      <w:r>
        <w:rPr>
          <w:b/>
          <w:color w:val="231F20"/>
          <w:sz w:val="21"/>
          <w:u w:val="dotted" w:color="231F20"/>
        </w:rPr>
        <w:t xml:space="preserve"> </w:t>
      </w:r>
      <w:r>
        <w:rPr>
          <w:b/>
          <w:color w:val="231F20"/>
          <w:sz w:val="21"/>
          <w:u w:val="dotted" w:color="231F20"/>
        </w:rPr>
        <w:tab/>
      </w:r>
      <w:r>
        <w:rPr>
          <w:b/>
          <w:sz w:val="20"/>
        </w:rPr>
        <w:t>241</w:t>
      </w:r>
    </w:p>
    <w:p w14:paraId="3257D48B" w14:textId="77777777" w:rsidR="00DE575E" w:rsidRDefault="002E7560">
      <w:pPr>
        <w:pStyle w:val="ListParagraph"/>
        <w:numPr>
          <w:ilvl w:val="1"/>
          <w:numId w:val="333"/>
        </w:numPr>
        <w:tabs>
          <w:tab w:val="left" w:pos="931"/>
          <w:tab w:val="left" w:pos="6760"/>
        </w:tabs>
        <w:spacing w:before="59"/>
        <w:ind w:left="930"/>
        <w:jc w:val="left"/>
        <w:rPr>
          <w:b/>
          <w:sz w:val="20"/>
        </w:rPr>
      </w:pPr>
      <w:r>
        <w:rPr>
          <w:b/>
          <w:color w:val="231F20"/>
          <w:sz w:val="21"/>
        </w:rPr>
        <w:t>План як інструмент</w:t>
      </w:r>
      <w:r>
        <w:rPr>
          <w:b/>
          <w:color w:val="231F20"/>
          <w:spacing w:val="-15"/>
          <w:sz w:val="21"/>
        </w:rPr>
        <w:t xml:space="preserve"> </w:t>
      </w:r>
      <w:r>
        <w:rPr>
          <w:b/>
          <w:color w:val="231F20"/>
          <w:sz w:val="21"/>
        </w:rPr>
        <w:t>публічного</w:t>
      </w:r>
      <w:r>
        <w:rPr>
          <w:b/>
          <w:color w:val="231F20"/>
          <w:spacing w:val="-6"/>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242</w:t>
      </w:r>
    </w:p>
    <w:p w14:paraId="6E819B1B" w14:textId="77777777" w:rsidR="00DE575E" w:rsidRDefault="002E7560">
      <w:pPr>
        <w:pStyle w:val="ListParagraph"/>
        <w:numPr>
          <w:ilvl w:val="2"/>
          <w:numId w:val="333"/>
        </w:numPr>
        <w:tabs>
          <w:tab w:val="left" w:pos="1498"/>
          <w:tab w:val="left" w:pos="6760"/>
        </w:tabs>
        <w:spacing w:before="30"/>
        <w:ind w:left="1497"/>
        <w:rPr>
          <w:b/>
          <w:sz w:val="20"/>
        </w:rPr>
      </w:pPr>
      <w:r>
        <w:rPr>
          <w:color w:val="231F20"/>
          <w:sz w:val="21"/>
        </w:rPr>
        <w:t>Поняття, юридичне значення та</w:t>
      </w:r>
      <w:r>
        <w:rPr>
          <w:color w:val="231F20"/>
          <w:spacing w:val="-10"/>
          <w:sz w:val="21"/>
        </w:rPr>
        <w:t xml:space="preserve"> </w:t>
      </w:r>
      <w:r>
        <w:rPr>
          <w:color w:val="231F20"/>
          <w:sz w:val="21"/>
        </w:rPr>
        <w:t>ознаки</w:t>
      </w:r>
      <w:r>
        <w:rPr>
          <w:color w:val="231F20"/>
          <w:spacing w:val="-2"/>
          <w:sz w:val="21"/>
        </w:rPr>
        <w:t xml:space="preserve"> </w:t>
      </w:r>
      <w:r>
        <w:rPr>
          <w:color w:val="231F20"/>
          <w:sz w:val="21"/>
        </w:rPr>
        <w:t>плану</w:t>
      </w:r>
      <w:r>
        <w:rPr>
          <w:color w:val="231F20"/>
          <w:sz w:val="21"/>
          <w:u w:val="dotted" w:color="231F20"/>
        </w:rPr>
        <w:t xml:space="preserve"> </w:t>
      </w:r>
      <w:r>
        <w:rPr>
          <w:color w:val="231F20"/>
          <w:sz w:val="21"/>
          <w:u w:val="dotted" w:color="231F20"/>
        </w:rPr>
        <w:tab/>
      </w:r>
      <w:r>
        <w:rPr>
          <w:b/>
          <w:sz w:val="20"/>
        </w:rPr>
        <w:t>242</w:t>
      </w:r>
    </w:p>
    <w:p w14:paraId="7D284700" w14:textId="77777777" w:rsidR="00DE575E" w:rsidRDefault="002E7560">
      <w:pPr>
        <w:pStyle w:val="ListParagraph"/>
        <w:numPr>
          <w:ilvl w:val="2"/>
          <w:numId w:val="333"/>
        </w:numPr>
        <w:tabs>
          <w:tab w:val="left" w:pos="1498"/>
          <w:tab w:val="left" w:pos="6760"/>
        </w:tabs>
        <w:spacing w:before="31"/>
        <w:ind w:left="1497"/>
        <w:rPr>
          <w:b/>
          <w:sz w:val="20"/>
        </w:rPr>
      </w:pPr>
      <w:r>
        <w:rPr>
          <w:color w:val="231F20"/>
          <w:sz w:val="21"/>
        </w:rPr>
        <w:t>Сфера</w:t>
      </w:r>
      <w:r>
        <w:rPr>
          <w:color w:val="231F20"/>
          <w:spacing w:val="-2"/>
          <w:sz w:val="21"/>
        </w:rPr>
        <w:t xml:space="preserve"> </w:t>
      </w:r>
      <w:r>
        <w:rPr>
          <w:color w:val="231F20"/>
          <w:sz w:val="21"/>
        </w:rPr>
        <w:t>застосування</w:t>
      </w:r>
      <w:r>
        <w:rPr>
          <w:color w:val="231F20"/>
          <w:spacing w:val="-1"/>
          <w:sz w:val="21"/>
        </w:rPr>
        <w:t xml:space="preserve"> </w:t>
      </w:r>
      <w:r>
        <w:rPr>
          <w:color w:val="231F20"/>
          <w:sz w:val="21"/>
        </w:rPr>
        <w:t>планів</w:t>
      </w:r>
      <w:r>
        <w:rPr>
          <w:color w:val="231F20"/>
          <w:sz w:val="21"/>
          <w:u w:val="dotted" w:color="231F20"/>
        </w:rPr>
        <w:t xml:space="preserve"> </w:t>
      </w:r>
      <w:r>
        <w:rPr>
          <w:color w:val="231F20"/>
          <w:sz w:val="21"/>
          <w:u w:val="dotted" w:color="231F20"/>
        </w:rPr>
        <w:tab/>
      </w:r>
      <w:r>
        <w:rPr>
          <w:b/>
          <w:sz w:val="20"/>
        </w:rPr>
        <w:t>245</w:t>
      </w:r>
    </w:p>
    <w:p w14:paraId="0D38D64C" w14:textId="77777777" w:rsidR="00DE575E" w:rsidRDefault="002E7560">
      <w:pPr>
        <w:pStyle w:val="ListParagraph"/>
        <w:numPr>
          <w:ilvl w:val="2"/>
          <w:numId w:val="333"/>
        </w:numPr>
        <w:tabs>
          <w:tab w:val="left" w:pos="1498"/>
          <w:tab w:val="left" w:pos="6760"/>
        </w:tabs>
        <w:spacing w:before="30"/>
        <w:ind w:left="1497"/>
        <w:rPr>
          <w:b/>
          <w:sz w:val="20"/>
        </w:rPr>
      </w:pPr>
      <w:r>
        <w:rPr>
          <w:color w:val="231F20"/>
          <w:sz w:val="21"/>
        </w:rPr>
        <w:t>Види</w:t>
      </w:r>
      <w:r>
        <w:rPr>
          <w:color w:val="231F20"/>
          <w:spacing w:val="-1"/>
          <w:sz w:val="21"/>
        </w:rPr>
        <w:t xml:space="preserve"> </w:t>
      </w:r>
      <w:r>
        <w:rPr>
          <w:color w:val="231F20"/>
          <w:sz w:val="21"/>
        </w:rPr>
        <w:t>планів</w:t>
      </w:r>
      <w:r>
        <w:rPr>
          <w:color w:val="231F20"/>
          <w:sz w:val="21"/>
          <w:u w:val="dotted" w:color="231F20"/>
        </w:rPr>
        <w:t xml:space="preserve"> </w:t>
      </w:r>
      <w:r>
        <w:rPr>
          <w:color w:val="231F20"/>
          <w:sz w:val="21"/>
          <w:u w:val="dotted" w:color="231F20"/>
        </w:rPr>
        <w:tab/>
      </w:r>
      <w:r>
        <w:rPr>
          <w:b/>
          <w:sz w:val="20"/>
        </w:rPr>
        <w:t>245</w:t>
      </w:r>
    </w:p>
    <w:p w14:paraId="5881C87F" w14:textId="77777777" w:rsidR="00DE575E" w:rsidRDefault="002E7560">
      <w:pPr>
        <w:pStyle w:val="Heading5"/>
        <w:numPr>
          <w:ilvl w:val="1"/>
          <w:numId w:val="333"/>
        </w:numPr>
        <w:tabs>
          <w:tab w:val="left" w:pos="931"/>
        </w:tabs>
        <w:spacing w:before="59" w:line="233" w:lineRule="exact"/>
        <w:ind w:left="930"/>
        <w:jc w:val="left"/>
      </w:pPr>
      <w:r>
        <w:rPr>
          <w:color w:val="231F20"/>
        </w:rPr>
        <w:t>Фактична дія як інструмент</w:t>
      </w:r>
      <w:r>
        <w:rPr>
          <w:color w:val="231F20"/>
          <w:spacing w:val="-3"/>
        </w:rPr>
        <w:t xml:space="preserve"> </w:t>
      </w:r>
      <w:r>
        <w:rPr>
          <w:color w:val="231F20"/>
        </w:rPr>
        <w:t>публічного</w:t>
      </w:r>
    </w:p>
    <w:p w14:paraId="05F59465" w14:textId="77777777" w:rsidR="00DE575E" w:rsidRDefault="002E7560">
      <w:pPr>
        <w:tabs>
          <w:tab w:val="left" w:pos="6760"/>
        </w:tabs>
        <w:spacing w:line="233" w:lineRule="exact"/>
        <w:ind w:left="930"/>
        <w:rPr>
          <w:b/>
          <w:sz w:val="20"/>
        </w:rPr>
      </w:pP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247</w:t>
      </w:r>
    </w:p>
    <w:p w14:paraId="394A9B84" w14:textId="77777777" w:rsidR="00DE575E" w:rsidRDefault="002E7560">
      <w:pPr>
        <w:pStyle w:val="ListParagraph"/>
        <w:numPr>
          <w:ilvl w:val="2"/>
          <w:numId w:val="333"/>
        </w:numPr>
        <w:tabs>
          <w:tab w:val="left" w:pos="1498"/>
        </w:tabs>
        <w:spacing w:before="31" w:line="233" w:lineRule="exact"/>
        <w:ind w:left="1497"/>
        <w:rPr>
          <w:sz w:val="21"/>
        </w:rPr>
      </w:pPr>
      <w:r>
        <w:rPr>
          <w:color w:val="231F20"/>
          <w:sz w:val="21"/>
        </w:rPr>
        <w:t>Поняття, юридичне значення та</w:t>
      </w:r>
      <w:r>
        <w:rPr>
          <w:color w:val="231F20"/>
          <w:spacing w:val="-4"/>
          <w:sz w:val="21"/>
        </w:rPr>
        <w:t xml:space="preserve"> </w:t>
      </w:r>
      <w:r>
        <w:rPr>
          <w:color w:val="231F20"/>
          <w:sz w:val="21"/>
        </w:rPr>
        <w:t>ознаки</w:t>
      </w:r>
    </w:p>
    <w:p w14:paraId="7E3CF2F6" w14:textId="77777777" w:rsidR="00DE575E" w:rsidRDefault="002E7560">
      <w:pPr>
        <w:pStyle w:val="BodyText"/>
        <w:tabs>
          <w:tab w:val="left" w:pos="6760"/>
        </w:tabs>
        <w:spacing w:line="233" w:lineRule="exact"/>
        <w:ind w:left="1497"/>
        <w:rPr>
          <w:b/>
          <w:sz w:val="20"/>
        </w:rPr>
      </w:pPr>
      <w:r>
        <w:rPr>
          <w:color w:val="231F20"/>
        </w:rPr>
        <w:t>фактичної</w:t>
      </w:r>
      <w:r>
        <w:rPr>
          <w:color w:val="231F20"/>
          <w:spacing w:val="-2"/>
        </w:rPr>
        <w:t xml:space="preserve"> </w:t>
      </w:r>
      <w:r>
        <w:rPr>
          <w:color w:val="231F20"/>
        </w:rPr>
        <w:t>дії</w:t>
      </w:r>
      <w:r>
        <w:rPr>
          <w:color w:val="231F20"/>
          <w:u w:val="dotted" w:color="231F20"/>
        </w:rPr>
        <w:t xml:space="preserve"> </w:t>
      </w:r>
      <w:r>
        <w:rPr>
          <w:color w:val="231F20"/>
          <w:u w:val="dotted" w:color="231F20"/>
        </w:rPr>
        <w:tab/>
      </w:r>
      <w:r>
        <w:rPr>
          <w:b/>
          <w:sz w:val="20"/>
        </w:rPr>
        <w:t>247</w:t>
      </w:r>
    </w:p>
    <w:p w14:paraId="0341C9AC" w14:textId="77777777" w:rsidR="00DE575E" w:rsidRDefault="002E7560">
      <w:pPr>
        <w:pStyle w:val="ListParagraph"/>
        <w:numPr>
          <w:ilvl w:val="2"/>
          <w:numId w:val="333"/>
        </w:numPr>
        <w:tabs>
          <w:tab w:val="left" w:pos="1498"/>
          <w:tab w:val="left" w:pos="6760"/>
        </w:tabs>
        <w:spacing w:before="30"/>
        <w:ind w:left="1497"/>
        <w:rPr>
          <w:b/>
          <w:sz w:val="20"/>
        </w:rPr>
      </w:pPr>
      <w:r>
        <w:rPr>
          <w:color w:val="231F20"/>
          <w:sz w:val="21"/>
        </w:rPr>
        <w:t>Сфера застосування</w:t>
      </w:r>
      <w:r>
        <w:rPr>
          <w:color w:val="231F20"/>
          <w:spacing w:val="-3"/>
          <w:sz w:val="21"/>
        </w:rPr>
        <w:t xml:space="preserve"> </w:t>
      </w:r>
      <w:r>
        <w:rPr>
          <w:color w:val="231F20"/>
          <w:sz w:val="21"/>
        </w:rPr>
        <w:t>фактичних</w:t>
      </w:r>
      <w:r>
        <w:rPr>
          <w:color w:val="231F20"/>
          <w:spacing w:val="-2"/>
          <w:sz w:val="21"/>
        </w:rPr>
        <w:t xml:space="preserve"> </w:t>
      </w:r>
      <w:r>
        <w:rPr>
          <w:color w:val="231F20"/>
          <w:sz w:val="21"/>
        </w:rPr>
        <w:t>дій</w:t>
      </w:r>
      <w:r>
        <w:rPr>
          <w:color w:val="231F20"/>
          <w:sz w:val="21"/>
          <w:u w:val="dotted" w:color="231F20"/>
        </w:rPr>
        <w:t xml:space="preserve"> </w:t>
      </w:r>
      <w:r>
        <w:rPr>
          <w:color w:val="231F20"/>
          <w:sz w:val="21"/>
          <w:u w:val="dotted" w:color="231F20"/>
        </w:rPr>
        <w:tab/>
      </w:r>
      <w:r>
        <w:rPr>
          <w:b/>
          <w:sz w:val="20"/>
        </w:rPr>
        <w:t>248</w:t>
      </w:r>
    </w:p>
    <w:p w14:paraId="0DE27A2B" w14:textId="77777777" w:rsidR="00DE575E" w:rsidRDefault="002E7560">
      <w:pPr>
        <w:pStyle w:val="ListParagraph"/>
        <w:numPr>
          <w:ilvl w:val="2"/>
          <w:numId w:val="333"/>
        </w:numPr>
        <w:tabs>
          <w:tab w:val="left" w:pos="1498"/>
          <w:tab w:val="left" w:pos="6760"/>
        </w:tabs>
        <w:spacing w:before="31"/>
        <w:ind w:left="1497"/>
        <w:rPr>
          <w:b/>
          <w:sz w:val="20"/>
        </w:rPr>
      </w:pPr>
      <w:r>
        <w:rPr>
          <w:color w:val="231F20"/>
          <w:sz w:val="21"/>
        </w:rPr>
        <w:t>Основні види</w:t>
      </w:r>
      <w:r>
        <w:rPr>
          <w:color w:val="231F20"/>
          <w:spacing w:val="-6"/>
          <w:sz w:val="21"/>
        </w:rPr>
        <w:t xml:space="preserve"> </w:t>
      </w:r>
      <w:r>
        <w:rPr>
          <w:color w:val="231F20"/>
          <w:sz w:val="21"/>
        </w:rPr>
        <w:t>фактичних</w:t>
      </w:r>
      <w:r>
        <w:rPr>
          <w:color w:val="231F20"/>
          <w:spacing w:val="-3"/>
          <w:sz w:val="21"/>
        </w:rPr>
        <w:t xml:space="preserve"> </w:t>
      </w:r>
      <w:r>
        <w:rPr>
          <w:color w:val="231F20"/>
          <w:sz w:val="21"/>
        </w:rPr>
        <w:t>дій</w:t>
      </w:r>
      <w:r>
        <w:rPr>
          <w:color w:val="231F20"/>
          <w:sz w:val="21"/>
          <w:u w:val="dotted" w:color="231F20"/>
        </w:rPr>
        <w:t xml:space="preserve"> </w:t>
      </w:r>
      <w:r>
        <w:rPr>
          <w:color w:val="231F20"/>
          <w:sz w:val="21"/>
          <w:u w:val="dotted" w:color="231F20"/>
        </w:rPr>
        <w:tab/>
      </w:r>
      <w:r>
        <w:rPr>
          <w:b/>
          <w:sz w:val="20"/>
        </w:rPr>
        <w:t>248</w:t>
      </w:r>
    </w:p>
    <w:p w14:paraId="44757D51" w14:textId="77777777" w:rsidR="00DE575E" w:rsidRDefault="002E7560">
      <w:pPr>
        <w:pStyle w:val="ListParagraph"/>
        <w:numPr>
          <w:ilvl w:val="3"/>
          <w:numId w:val="333"/>
        </w:numPr>
        <w:tabs>
          <w:tab w:val="left" w:pos="2214"/>
          <w:tab w:val="left" w:pos="6760"/>
        </w:tabs>
        <w:spacing w:before="30"/>
        <w:ind w:hanging="397"/>
        <w:rPr>
          <w:b/>
          <w:sz w:val="20"/>
        </w:rPr>
      </w:pPr>
      <w:r>
        <w:rPr>
          <w:color w:val="231F20"/>
          <w:sz w:val="21"/>
        </w:rPr>
        <w:t>Інформування</w:t>
      </w:r>
      <w:r>
        <w:rPr>
          <w:color w:val="231F20"/>
          <w:spacing w:val="-4"/>
          <w:sz w:val="21"/>
        </w:rPr>
        <w:t xml:space="preserve"> </w:t>
      </w:r>
      <w:r>
        <w:rPr>
          <w:color w:val="231F20"/>
          <w:sz w:val="21"/>
        </w:rPr>
        <w:t>населення</w:t>
      </w:r>
      <w:r>
        <w:rPr>
          <w:color w:val="231F20"/>
          <w:sz w:val="21"/>
          <w:u w:val="dotted" w:color="231F20"/>
        </w:rPr>
        <w:t xml:space="preserve"> </w:t>
      </w:r>
      <w:r>
        <w:rPr>
          <w:color w:val="231F20"/>
          <w:sz w:val="21"/>
          <w:u w:val="dotted" w:color="231F20"/>
        </w:rPr>
        <w:tab/>
      </w:r>
      <w:r>
        <w:rPr>
          <w:b/>
          <w:sz w:val="20"/>
        </w:rPr>
        <w:t>249</w:t>
      </w:r>
    </w:p>
    <w:p w14:paraId="6A557805" w14:textId="77777777" w:rsidR="00DE575E" w:rsidRDefault="002E7560">
      <w:pPr>
        <w:pStyle w:val="ListParagraph"/>
        <w:numPr>
          <w:ilvl w:val="3"/>
          <w:numId w:val="333"/>
        </w:numPr>
        <w:tabs>
          <w:tab w:val="left" w:pos="2214"/>
          <w:tab w:val="left" w:pos="6760"/>
        </w:tabs>
        <w:spacing w:before="31"/>
        <w:ind w:hanging="397"/>
        <w:rPr>
          <w:b/>
          <w:sz w:val="20"/>
        </w:rPr>
      </w:pPr>
      <w:r>
        <w:rPr>
          <w:color w:val="231F20"/>
          <w:sz w:val="21"/>
        </w:rPr>
        <w:t>Проведення</w:t>
      </w:r>
      <w:r>
        <w:rPr>
          <w:color w:val="231F20"/>
          <w:spacing w:val="-4"/>
          <w:sz w:val="21"/>
        </w:rPr>
        <w:t xml:space="preserve"> </w:t>
      </w:r>
      <w:r>
        <w:rPr>
          <w:color w:val="231F20"/>
          <w:sz w:val="21"/>
        </w:rPr>
        <w:t>перевірки</w:t>
      </w:r>
      <w:r>
        <w:rPr>
          <w:color w:val="231F20"/>
          <w:sz w:val="21"/>
          <w:u w:val="dotted" w:color="231F20"/>
        </w:rPr>
        <w:t xml:space="preserve"> </w:t>
      </w:r>
      <w:r>
        <w:rPr>
          <w:color w:val="231F20"/>
          <w:sz w:val="21"/>
          <w:u w:val="dotted" w:color="231F20"/>
        </w:rPr>
        <w:tab/>
      </w:r>
      <w:r>
        <w:rPr>
          <w:b/>
          <w:sz w:val="20"/>
        </w:rPr>
        <w:t>249</w:t>
      </w:r>
    </w:p>
    <w:p w14:paraId="6BEA51B9" w14:textId="77777777" w:rsidR="00DE575E" w:rsidRDefault="002E7560">
      <w:pPr>
        <w:pStyle w:val="ListParagraph"/>
        <w:numPr>
          <w:ilvl w:val="3"/>
          <w:numId w:val="333"/>
        </w:numPr>
        <w:tabs>
          <w:tab w:val="left" w:pos="2214"/>
          <w:tab w:val="left" w:pos="6760"/>
        </w:tabs>
        <w:spacing w:before="52" w:line="213" w:lineRule="auto"/>
        <w:ind w:right="128" w:hanging="397"/>
        <w:rPr>
          <w:b/>
          <w:sz w:val="20"/>
        </w:rPr>
      </w:pPr>
      <w:r>
        <w:rPr>
          <w:color w:val="231F20"/>
          <w:sz w:val="21"/>
        </w:rPr>
        <w:t>Здійснення моніторингу як інструмент публічного</w:t>
      </w:r>
      <w:r>
        <w:rPr>
          <w:color w:val="231F20"/>
          <w:spacing w:val="-3"/>
          <w:sz w:val="21"/>
        </w:rPr>
        <w:t xml:space="preserve"> </w:t>
      </w:r>
      <w:r>
        <w:rPr>
          <w:color w:val="231F20"/>
          <w:sz w:val="21"/>
        </w:rPr>
        <w:t>адміністрування</w:t>
      </w:r>
      <w:r>
        <w:rPr>
          <w:color w:val="231F20"/>
          <w:sz w:val="21"/>
          <w:u w:val="dotted" w:color="231F20"/>
        </w:rPr>
        <w:t xml:space="preserve"> </w:t>
      </w:r>
      <w:r>
        <w:rPr>
          <w:color w:val="231F20"/>
          <w:sz w:val="21"/>
          <w:u w:val="dotted" w:color="231F20"/>
        </w:rPr>
        <w:tab/>
      </w:r>
      <w:r>
        <w:rPr>
          <w:b/>
          <w:w w:val="80"/>
          <w:sz w:val="20"/>
        </w:rPr>
        <w:t>250</w:t>
      </w:r>
    </w:p>
    <w:p w14:paraId="174E145B" w14:textId="77777777" w:rsidR="00DE575E" w:rsidRDefault="002E7560">
      <w:pPr>
        <w:pStyle w:val="ListParagraph"/>
        <w:numPr>
          <w:ilvl w:val="3"/>
          <w:numId w:val="333"/>
        </w:numPr>
        <w:tabs>
          <w:tab w:val="left" w:pos="2214"/>
          <w:tab w:val="left" w:pos="6760"/>
        </w:tabs>
        <w:spacing w:before="37"/>
        <w:ind w:hanging="397"/>
        <w:rPr>
          <w:b/>
          <w:sz w:val="20"/>
        </w:rPr>
      </w:pPr>
      <w:r>
        <w:rPr>
          <w:color w:val="231F20"/>
          <w:sz w:val="21"/>
        </w:rPr>
        <w:t>Надання</w:t>
      </w:r>
      <w:r>
        <w:rPr>
          <w:color w:val="231F20"/>
          <w:spacing w:val="-2"/>
          <w:sz w:val="21"/>
        </w:rPr>
        <w:t xml:space="preserve"> </w:t>
      </w:r>
      <w:r>
        <w:rPr>
          <w:color w:val="231F20"/>
          <w:sz w:val="21"/>
        </w:rPr>
        <w:t>довідок</w:t>
      </w:r>
      <w:r>
        <w:rPr>
          <w:color w:val="231F20"/>
          <w:sz w:val="21"/>
          <w:u w:val="dotted" w:color="231F20"/>
        </w:rPr>
        <w:t xml:space="preserve"> </w:t>
      </w:r>
      <w:r>
        <w:rPr>
          <w:color w:val="231F20"/>
          <w:sz w:val="21"/>
          <w:u w:val="dotted" w:color="231F20"/>
        </w:rPr>
        <w:tab/>
      </w:r>
      <w:r>
        <w:rPr>
          <w:b/>
          <w:sz w:val="20"/>
        </w:rPr>
        <w:t>251</w:t>
      </w:r>
    </w:p>
    <w:p w14:paraId="296F9B23" w14:textId="77777777" w:rsidR="00DE575E" w:rsidRDefault="002E7560">
      <w:pPr>
        <w:pStyle w:val="ListParagraph"/>
        <w:numPr>
          <w:ilvl w:val="3"/>
          <w:numId w:val="333"/>
        </w:numPr>
        <w:tabs>
          <w:tab w:val="left" w:pos="2214"/>
          <w:tab w:val="left" w:pos="6760"/>
        </w:tabs>
        <w:spacing w:before="30"/>
        <w:ind w:hanging="397"/>
        <w:rPr>
          <w:b/>
          <w:sz w:val="20"/>
        </w:rPr>
      </w:pPr>
      <w:r>
        <w:rPr>
          <w:color w:val="231F20"/>
          <w:sz w:val="21"/>
        </w:rPr>
        <w:t>Виплата</w:t>
      </w:r>
      <w:r>
        <w:rPr>
          <w:color w:val="231F20"/>
          <w:spacing w:val="-3"/>
          <w:sz w:val="21"/>
        </w:rPr>
        <w:t xml:space="preserve"> </w:t>
      </w:r>
      <w:r>
        <w:rPr>
          <w:color w:val="231F20"/>
          <w:sz w:val="21"/>
        </w:rPr>
        <w:t>грошових</w:t>
      </w:r>
      <w:r>
        <w:rPr>
          <w:color w:val="231F20"/>
          <w:spacing w:val="-2"/>
          <w:sz w:val="21"/>
        </w:rPr>
        <w:t xml:space="preserve"> </w:t>
      </w:r>
      <w:r>
        <w:rPr>
          <w:color w:val="231F20"/>
          <w:sz w:val="21"/>
        </w:rPr>
        <w:t>коштів</w:t>
      </w:r>
      <w:r>
        <w:rPr>
          <w:color w:val="231F20"/>
          <w:sz w:val="21"/>
          <w:u w:val="dotted" w:color="231F20"/>
        </w:rPr>
        <w:t xml:space="preserve"> </w:t>
      </w:r>
      <w:r>
        <w:rPr>
          <w:color w:val="231F20"/>
          <w:sz w:val="21"/>
          <w:u w:val="dotted" w:color="231F20"/>
        </w:rPr>
        <w:tab/>
      </w:r>
      <w:r>
        <w:rPr>
          <w:b/>
          <w:sz w:val="20"/>
        </w:rPr>
        <w:t>252</w:t>
      </w:r>
    </w:p>
    <w:p w14:paraId="399F4A68" w14:textId="77777777" w:rsidR="00DE575E" w:rsidRDefault="002E7560">
      <w:pPr>
        <w:pStyle w:val="ListParagraph"/>
        <w:numPr>
          <w:ilvl w:val="3"/>
          <w:numId w:val="333"/>
        </w:numPr>
        <w:tabs>
          <w:tab w:val="left" w:pos="2214"/>
          <w:tab w:val="left" w:pos="6760"/>
        </w:tabs>
        <w:spacing w:before="31"/>
        <w:ind w:hanging="397"/>
        <w:rPr>
          <w:b/>
          <w:sz w:val="20"/>
        </w:rPr>
      </w:pPr>
      <w:r>
        <w:rPr>
          <w:color w:val="231F20"/>
          <w:sz w:val="21"/>
        </w:rPr>
        <w:t>Адміністрування</w:t>
      </w:r>
      <w:r>
        <w:rPr>
          <w:color w:val="231F20"/>
          <w:spacing w:val="-4"/>
          <w:sz w:val="21"/>
        </w:rPr>
        <w:t xml:space="preserve"> </w:t>
      </w:r>
      <w:r>
        <w:rPr>
          <w:color w:val="231F20"/>
          <w:sz w:val="21"/>
        </w:rPr>
        <w:t>реєстрів</w:t>
      </w:r>
      <w:r>
        <w:rPr>
          <w:color w:val="231F20"/>
          <w:sz w:val="21"/>
          <w:u w:val="dotted" w:color="231F20"/>
        </w:rPr>
        <w:t xml:space="preserve"> </w:t>
      </w:r>
      <w:r>
        <w:rPr>
          <w:color w:val="231F20"/>
          <w:sz w:val="21"/>
          <w:u w:val="dotted" w:color="231F20"/>
        </w:rPr>
        <w:tab/>
      </w:r>
      <w:r>
        <w:rPr>
          <w:b/>
          <w:sz w:val="20"/>
        </w:rPr>
        <w:t>252</w:t>
      </w:r>
    </w:p>
    <w:p w14:paraId="2EF65691" w14:textId="77777777" w:rsidR="00DE575E" w:rsidRDefault="002E7560">
      <w:pPr>
        <w:pStyle w:val="Heading5"/>
        <w:numPr>
          <w:ilvl w:val="1"/>
          <w:numId w:val="333"/>
        </w:numPr>
        <w:tabs>
          <w:tab w:val="left" w:pos="931"/>
          <w:tab w:val="left" w:pos="6760"/>
        </w:tabs>
        <w:spacing w:before="59"/>
        <w:ind w:left="930"/>
        <w:jc w:val="left"/>
        <w:rPr>
          <w:sz w:val="20"/>
        </w:rPr>
      </w:pPr>
      <w:r>
        <w:rPr>
          <w:color w:val="231F20"/>
          <w:spacing w:val="-3"/>
        </w:rPr>
        <w:t xml:space="preserve">Адміністративний </w:t>
      </w:r>
      <w:r>
        <w:rPr>
          <w:color w:val="231F20"/>
          <w:spacing w:val="-5"/>
        </w:rPr>
        <w:t xml:space="preserve">розсуд </w:t>
      </w:r>
      <w:r>
        <w:rPr>
          <w:color w:val="231F20"/>
        </w:rPr>
        <w:t>у</w:t>
      </w:r>
      <w:r>
        <w:rPr>
          <w:color w:val="231F20"/>
          <w:spacing w:val="-4"/>
        </w:rPr>
        <w:t xml:space="preserve"> </w:t>
      </w:r>
      <w:r>
        <w:rPr>
          <w:color w:val="231F20"/>
          <w:spacing w:val="-3"/>
        </w:rPr>
        <w:t>публічному</w:t>
      </w:r>
      <w:r>
        <w:rPr>
          <w:color w:val="231F20"/>
          <w:spacing w:val="-4"/>
        </w:rPr>
        <w:t xml:space="preserve"> </w:t>
      </w:r>
      <w:r>
        <w:rPr>
          <w:color w:val="231F20"/>
          <w:spacing w:val="-3"/>
        </w:rPr>
        <w:t>адмініструванні</w:t>
      </w:r>
      <w:r>
        <w:rPr>
          <w:color w:val="231F20"/>
          <w:spacing w:val="-3"/>
          <w:u w:val="dotted" w:color="231F20"/>
        </w:rPr>
        <w:t xml:space="preserve"> </w:t>
      </w:r>
      <w:r>
        <w:rPr>
          <w:color w:val="231F20"/>
          <w:spacing w:val="-3"/>
          <w:u w:val="dotted" w:color="231F20"/>
        </w:rPr>
        <w:tab/>
      </w:r>
      <w:r>
        <w:rPr>
          <w:sz w:val="20"/>
        </w:rPr>
        <w:t>253</w:t>
      </w:r>
    </w:p>
    <w:p w14:paraId="3B63C9E6" w14:textId="77777777" w:rsidR="00DE575E" w:rsidRDefault="002E7560">
      <w:pPr>
        <w:pStyle w:val="ListParagraph"/>
        <w:numPr>
          <w:ilvl w:val="2"/>
          <w:numId w:val="333"/>
        </w:numPr>
        <w:tabs>
          <w:tab w:val="left" w:pos="1498"/>
          <w:tab w:val="left" w:pos="6760"/>
        </w:tabs>
        <w:spacing w:before="30"/>
        <w:ind w:left="1497"/>
        <w:rPr>
          <w:b/>
          <w:sz w:val="20"/>
        </w:rPr>
      </w:pPr>
      <w:r>
        <w:rPr>
          <w:color w:val="231F20"/>
          <w:spacing w:val="-3"/>
          <w:sz w:val="21"/>
        </w:rPr>
        <w:t xml:space="preserve">Умови </w:t>
      </w:r>
      <w:r>
        <w:rPr>
          <w:color w:val="231F20"/>
          <w:sz w:val="21"/>
        </w:rPr>
        <w:t>застосування</w:t>
      </w:r>
      <w:r>
        <w:rPr>
          <w:color w:val="231F20"/>
          <w:spacing w:val="-5"/>
          <w:sz w:val="21"/>
        </w:rPr>
        <w:t xml:space="preserve"> </w:t>
      </w:r>
      <w:r>
        <w:rPr>
          <w:color w:val="231F20"/>
          <w:sz w:val="21"/>
        </w:rPr>
        <w:t>адміністративного</w:t>
      </w:r>
      <w:r>
        <w:rPr>
          <w:color w:val="231F20"/>
          <w:spacing w:val="-4"/>
          <w:sz w:val="21"/>
        </w:rPr>
        <w:t xml:space="preserve"> </w:t>
      </w:r>
      <w:r>
        <w:rPr>
          <w:color w:val="231F20"/>
          <w:sz w:val="21"/>
        </w:rPr>
        <w:t>розсуду</w:t>
      </w:r>
      <w:r>
        <w:rPr>
          <w:color w:val="231F20"/>
          <w:sz w:val="21"/>
          <w:u w:val="dotted" w:color="231F20"/>
        </w:rPr>
        <w:t xml:space="preserve"> </w:t>
      </w:r>
      <w:r>
        <w:rPr>
          <w:color w:val="231F20"/>
          <w:sz w:val="21"/>
          <w:u w:val="dotted" w:color="231F20"/>
        </w:rPr>
        <w:tab/>
      </w:r>
      <w:r>
        <w:rPr>
          <w:b/>
          <w:sz w:val="20"/>
        </w:rPr>
        <w:t>255</w:t>
      </w:r>
    </w:p>
    <w:p w14:paraId="7E45527E" w14:textId="77777777" w:rsidR="00DE575E" w:rsidRDefault="002E7560">
      <w:pPr>
        <w:pStyle w:val="Heading5"/>
        <w:numPr>
          <w:ilvl w:val="1"/>
          <w:numId w:val="333"/>
        </w:numPr>
        <w:tabs>
          <w:tab w:val="left" w:pos="1101"/>
          <w:tab w:val="left" w:pos="6760"/>
        </w:tabs>
        <w:spacing w:before="59"/>
        <w:ind w:left="1100" w:hanging="567"/>
        <w:jc w:val="left"/>
        <w:rPr>
          <w:sz w:val="20"/>
        </w:rPr>
      </w:pPr>
      <w:r>
        <w:rPr>
          <w:color w:val="231F20"/>
          <w:spacing w:val="-4"/>
        </w:rPr>
        <w:t>Заходи</w:t>
      </w:r>
      <w:r>
        <w:rPr>
          <w:color w:val="231F20"/>
          <w:spacing w:val="-3"/>
        </w:rPr>
        <w:t xml:space="preserve"> </w:t>
      </w:r>
      <w:r>
        <w:rPr>
          <w:color w:val="231F20"/>
        </w:rPr>
        <w:t>адміністративного</w:t>
      </w:r>
      <w:r>
        <w:rPr>
          <w:color w:val="231F20"/>
          <w:spacing w:val="-4"/>
        </w:rPr>
        <w:t xml:space="preserve"> </w:t>
      </w:r>
      <w:r>
        <w:rPr>
          <w:color w:val="231F20"/>
        </w:rPr>
        <w:t>примусу</w:t>
      </w:r>
      <w:r>
        <w:rPr>
          <w:color w:val="231F20"/>
          <w:u w:val="dotted" w:color="231F20"/>
        </w:rPr>
        <w:t xml:space="preserve"> </w:t>
      </w:r>
      <w:r>
        <w:rPr>
          <w:color w:val="231F20"/>
          <w:u w:val="dotted" w:color="231F20"/>
        </w:rPr>
        <w:tab/>
      </w:r>
      <w:r>
        <w:rPr>
          <w:sz w:val="20"/>
        </w:rPr>
        <w:t>257</w:t>
      </w:r>
    </w:p>
    <w:p w14:paraId="447AB917" w14:textId="77777777" w:rsidR="00DE575E" w:rsidRDefault="002E7560">
      <w:pPr>
        <w:pStyle w:val="ListParagraph"/>
        <w:numPr>
          <w:ilvl w:val="2"/>
          <w:numId w:val="333"/>
        </w:numPr>
        <w:tabs>
          <w:tab w:val="left" w:pos="1612"/>
          <w:tab w:val="left" w:pos="6760"/>
        </w:tabs>
        <w:spacing w:before="30"/>
        <w:ind w:left="1611" w:hanging="681"/>
        <w:rPr>
          <w:b/>
          <w:sz w:val="20"/>
        </w:rPr>
      </w:pPr>
      <w:r>
        <w:rPr>
          <w:color w:val="231F20"/>
          <w:sz w:val="21"/>
        </w:rPr>
        <w:t>Поняття</w:t>
      </w:r>
      <w:r>
        <w:rPr>
          <w:color w:val="231F20"/>
          <w:spacing w:val="-5"/>
          <w:sz w:val="21"/>
        </w:rPr>
        <w:t xml:space="preserve"> </w:t>
      </w:r>
      <w:r>
        <w:rPr>
          <w:color w:val="231F20"/>
          <w:sz w:val="21"/>
        </w:rPr>
        <w:t>адміністративного</w:t>
      </w:r>
      <w:r>
        <w:rPr>
          <w:color w:val="231F20"/>
          <w:spacing w:val="-5"/>
          <w:sz w:val="21"/>
        </w:rPr>
        <w:t xml:space="preserve"> </w:t>
      </w:r>
      <w:r>
        <w:rPr>
          <w:color w:val="231F20"/>
          <w:sz w:val="21"/>
        </w:rPr>
        <w:t>примусу</w:t>
      </w:r>
      <w:r>
        <w:rPr>
          <w:color w:val="231F20"/>
          <w:sz w:val="21"/>
          <w:u w:val="dotted" w:color="231F20"/>
        </w:rPr>
        <w:t xml:space="preserve"> </w:t>
      </w:r>
      <w:r>
        <w:rPr>
          <w:color w:val="231F20"/>
          <w:sz w:val="21"/>
          <w:u w:val="dotted" w:color="231F20"/>
        </w:rPr>
        <w:tab/>
      </w:r>
      <w:r>
        <w:rPr>
          <w:b/>
          <w:sz w:val="20"/>
        </w:rPr>
        <w:t>257</w:t>
      </w:r>
    </w:p>
    <w:p w14:paraId="331B7103" w14:textId="77777777" w:rsidR="00DE575E" w:rsidRDefault="00DE575E">
      <w:pPr>
        <w:pStyle w:val="BodyText"/>
        <w:spacing w:before="3"/>
        <w:rPr>
          <w:b/>
          <w:sz w:val="20"/>
        </w:rPr>
      </w:pPr>
    </w:p>
    <w:p w14:paraId="3ECB48C5" w14:textId="77777777" w:rsidR="00DE575E" w:rsidRDefault="002E7560">
      <w:pPr>
        <w:spacing w:before="92"/>
        <w:ind w:left="533"/>
        <w:rPr>
          <w:rFonts w:ascii="Times New Roman"/>
          <w:sz w:val="20"/>
        </w:rPr>
      </w:pPr>
      <w:r>
        <w:rPr>
          <w:rFonts w:ascii="Times New Roman"/>
          <w:color w:val="231F20"/>
          <w:sz w:val="20"/>
        </w:rPr>
        <w:t>10</w:t>
      </w:r>
    </w:p>
    <w:p w14:paraId="17B38EC0" w14:textId="77777777" w:rsidR="00DE575E" w:rsidRDefault="00DE575E">
      <w:pPr>
        <w:rPr>
          <w:rFonts w:ascii="Times New Roman"/>
          <w:sz w:val="20"/>
        </w:rPr>
        <w:sectPr w:rsidR="00DE575E">
          <w:pgSz w:w="8510" w:h="12760"/>
          <w:pgMar w:top="660" w:right="720" w:bottom="280" w:left="600" w:header="720" w:footer="720" w:gutter="0"/>
          <w:cols w:space="720"/>
        </w:sectPr>
      </w:pPr>
    </w:p>
    <w:p w14:paraId="5E7825C7" w14:textId="77777777" w:rsidR="00DE575E" w:rsidRDefault="002E7560">
      <w:pPr>
        <w:spacing w:before="78" w:after="3"/>
        <w:ind w:right="411"/>
        <w:jc w:val="right"/>
        <w:rPr>
          <w:rFonts w:ascii="AdonisC" w:hAnsi="AdonisC"/>
          <w:i/>
          <w:sz w:val="18"/>
        </w:rPr>
      </w:pPr>
      <w:r>
        <w:rPr>
          <w:rFonts w:ascii="AdonisC" w:hAnsi="AdonisC"/>
          <w:i/>
          <w:color w:val="231F20"/>
          <w:sz w:val="18"/>
        </w:rPr>
        <w:lastRenderedPageBreak/>
        <w:t>Зміст</w:t>
      </w:r>
    </w:p>
    <w:p w14:paraId="424E2ED1" w14:textId="414B10F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DF5AE6E" wp14:editId="606C9989">
                <wp:extent cx="4140200" cy="6350"/>
                <wp:effectExtent l="0" t="0" r="12700" b="6350"/>
                <wp:docPr id="1394"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95" name="Line 13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409C5" id="Group_x0020_13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Gl8NVN/AgAAnAUAAA4A&#10;AAAAAAAAAAAAAAAALAIAAGRycy9lMm9Eb2MueG1sUEsBAi0AFAAGAAgAAAAhAEynsJDZAAAAAwEA&#10;AA8AAAAAAAAAAAAAAAAA1wQAAGRycy9kb3ducmV2LnhtbFBLBQYAAAAABAAEAPMAAADdBQAAAAA=&#10;">
                <v:line id="Line_x0020_13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4Z5MUAAADdAAAADwAAAGRycy9kb3ducmV2LnhtbERP22rCQBB9F/yHZQq+lLppQ6VGV5FC&#10;QfrgLX7AmB2T0N3ZmF1N2q/vFgq+zeFcZ77srRE3an3tWMHzOAFBXDhdc6ngmH88vYHwAVmjcUwK&#10;vsnDcjEczDHTruM93Q6hFDGEfYYKqhCaTEpfVGTRj11DHLmzay2GCNtS6ha7GG6NfEmSibRYc2yo&#10;sKH3ioqvw9UqyC+Pwey2n6bLt6dUni6b9Oe6UWr00K9mIAL14S7+d691nJ9OX+Hvm3iC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94Z5MUAAADdAAAADwAAAAAAAAAA&#10;AAAAAAChAgAAZHJzL2Rvd25yZXYueG1sUEsFBgAAAAAEAAQA+QAAAJMDAAAAAA==&#10;" strokecolor="#231f20" strokeweight=".5pt"/>
                <w10:anchorlock/>
              </v:group>
            </w:pict>
          </mc:Fallback>
        </mc:AlternateContent>
      </w:r>
    </w:p>
    <w:p w14:paraId="4C66D481" w14:textId="77777777" w:rsidR="00DE575E" w:rsidRDefault="00DE575E">
      <w:pPr>
        <w:pStyle w:val="BodyText"/>
        <w:spacing w:before="5"/>
        <w:rPr>
          <w:rFonts w:ascii="AdonisC"/>
          <w:i/>
          <w:sz w:val="12"/>
        </w:rPr>
      </w:pPr>
    </w:p>
    <w:p w14:paraId="1FF324C5" w14:textId="77777777" w:rsidR="00DE575E" w:rsidRDefault="002E7560">
      <w:pPr>
        <w:pStyle w:val="ListParagraph"/>
        <w:numPr>
          <w:ilvl w:val="2"/>
          <w:numId w:val="333"/>
        </w:numPr>
        <w:tabs>
          <w:tab w:val="left" w:pos="1328"/>
        </w:tabs>
        <w:spacing w:before="100" w:line="238" w:lineRule="exact"/>
        <w:ind w:left="1327" w:hanging="680"/>
        <w:rPr>
          <w:sz w:val="21"/>
        </w:rPr>
      </w:pPr>
      <w:r>
        <w:rPr>
          <w:color w:val="231F20"/>
          <w:sz w:val="21"/>
        </w:rPr>
        <w:t>Адміністративно-запобіжні</w:t>
      </w:r>
      <w:r>
        <w:rPr>
          <w:color w:val="231F20"/>
          <w:spacing w:val="-2"/>
          <w:sz w:val="21"/>
        </w:rPr>
        <w:t xml:space="preserve"> </w:t>
      </w:r>
      <w:r>
        <w:rPr>
          <w:color w:val="231F20"/>
          <w:spacing w:val="-3"/>
          <w:sz w:val="21"/>
        </w:rPr>
        <w:t>заходи</w:t>
      </w:r>
    </w:p>
    <w:p w14:paraId="4DD64D1E" w14:textId="77777777" w:rsidR="00DE575E" w:rsidRDefault="002E7560">
      <w:pPr>
        <w:pStyle w:val="BodyText"/>
        <w:tabs>
          <w:tab w:val="left" w:pos="6477"/>
        </w:tabs>
        <w:spacing w:line="238" w:lineRule="exact"/>
        <w:ind w:left="1214"/>
        <w:rPr>
          <w:b/>
          <w:sz w:val="20"/>
        </w:rPr>
      </w:pPr>
      <w:r>
        <w:rPr>
          <w:color w:val="231F20"/>
        </w:rPr>
        <w:t>в діяльності</w:t>
      </w:r>
      <w:r>
        <w:rPr>
          <w:color w:val="231F20"/>
          <w:spacing w:val="-9"/>
        </w:rPr>
        <w:t xml:space="preserve"> </w:t>
      </w:r>
      <w:r>
        <w:rPr>
          <w:color w:val="231F20"/>
        </w:rPr>
        <w:t>публічної</w:t>
      </w:r>
      <w:r>
        <w:rPr>
          <w:color w:val="231F20"/>
          <w:spacing w:val="-4"/>
        </w:rPr>
        <w:t xml:space="preserve"> </w:t>
      </w:r>
      <w:r>
        <w:rPr>
          <w:color w:val="231F20"/>
        </w:rPr>
        <w:t>адміністрації</w:t>
      </w:r>
      <w:r>
        <w:rPr>
          <w:color w:val="231F20"/>
          <w:u w:val="dotted" w:color="231F20"/>
        </w:rPr>
        <w:t xml:space="preserve"> </w:t>
      </w:r>
      <w:r>
        <w:rPr>
          <w:color w:val="231F20"/>
          <w:u w:val="dotted" w:color="231F20"/>
        </w:rPr>
        <w:tab/>
      </w:r>
      <w:r>
        <w:rPr>
          <w:b/>
          <w:sz w:val="20"/>
        </w:rPr>
        <w:t>260</w:t>
      </w:r>
    </w:p>
    <w:p w14:paraId="3159508A" w14:textId="77777777" w:rsidR="00DE575E" w:rsidRDefault="002E7560">
      <w:pPr>
        <w:pStyle w:val="ListParagraph"/>
        <w:numPr>
          <w:ilvl w:val="2"/>
          <w:numId w:val="333"/>
        </w:numPr>
        <w:tabs>
          <w:tab w:val="left" w:pos="1328"/>
          <w:tab w:val="left" w:pos="6477"/>
        </w:tabs>
        <w:spacing w:before="41"/>
        <w:ind w:left="1327" w:hanging="680"/>
        <w:rPr>
          <w:b/>
          <w:sz w:val="20"/>
        </w:rPr>
      </w:pPr>
      <w:r>
        <w:rPr>
          <w:color w:val="231F20"/>
          <w:spacing w:val="-2"/>
          <w:sz w:val="21"/>
        </w:rPr>
        <w:t>Заходи</w:t>
      </w:r>
      <w:r>
        <w:rPr>
          <w:color w:val="231F20"/>
          <w:spacing w:val="-4"/>
          <w:sz w:val="21"/>
        </w:rPr>
        <w:t xml:space="preserve"> </w:t>
      </w:r>
      <w:r>
        <w:rPr>
          <w:color w:val="231F20"/>
          <w:sz w:val="21"/>
        </w:rPr>
        <w:t>адміністративного</w:t>
      </w:r>
      <w:r>
        <w:rPr>
          <w:color w:val="231F20"/>
          <w:spacing w:val="-3"/>
          <w:sz w:val="21"/>
        </w:rPr>
        <w:t xml:space="preserve"> </w:t>
      </w:r>
      <w:r>
        <w:rPr>
          <w:color w:val="231F20"/>
          <w:sz w:val="21"/>
        </w:rPr>
        <w:t>припинення</w:t>
      </w:r>
      <w:r>
        <w:rPr>
          <w:color w:val="231F20"/>
          <w:sz w:val="21"/>
          <w:u w:val="dotted" w:color="231F20"/>
        </w:rPr>
        <w:t xml:space="preserve"> </w:t>
      </w:r>
      <w:r>
        <w:rPr>
          <w:color w:val="231F20"/>
          <w:sz w:val="21"/>
          <w:u w:val="dotted" w:color="231F20"/>
        </w:rPr>
        <w:tab/>
      </w:r>
      <w:r>
        <w:rPr>
          <w:b/>
          <w:sz w:val="20"/>
        </w:rPr>
        <w:t>264</w:t>
      </w:r>
    </w:p>
    <w:p w14:paraId="4A739367" w14:textId="77777777" w:rsidR="00DE575E" w:rsidRDefault="002E7560">
      <w:pPr>
        <w:pStyle w:val="ListParagraph"/>
        <w:numPr>
          <w:ilvl w:val="2"/>
          <w:numId w:val="333"/>
        </w:numPr>
        <w:tabs>
          <w:tab w:val="left" w:pos="1328"/>
          <w:tab w:val="left" w:pos="6477"/>
        </w:tabs>
        <w:spacing w:before="40"/>
        <w:ind w:left="1327" w:hanging="680"/>
        <w:rPr>
          <w:b/>
          <w:sz w:val="20"/>
        </w:rPr>
      </w:pPr>
      <w:r>
        <w:rPr>
          <w:color w:val="231F20"/>
          <w:sz w:val="21"/>
        </w:rPr>
        <w:t>Адміністративні</w:t>
      </w:r>
      <w:r>
        <w:rPr>
          <w:color w:val="231F20"/>
          <w:spacing w:val="-4"/>
          <w:sz w:val="21"/>
        </w:rPr>
        <w:t xml:space="preserve"> </w:t>
      </w:r>
      <w:r>
        <w:rPr>
          <w:color w:val="231F20"/>
          <w:sz w:val="21"/>
        </w:rPr>
        <w:t>стягнення</w:t>
      </w:r>
      <w:r>
        <w:rPr>
          <w:color w:val="231F20"/>
          <w:sz w:val="21"/>
          <w:u w:val="dotted" w:color="231F20"/>
        </w:rPr>
        <w:t xml:space="preserve"> </w:t>
      </w:r>
      <w:r>
        <w:rPr>
          <w:color w:val="231F20"/>
          <w:sz w:val="21"/>
          <w:u w:val="dotted" w:color="231F20"/>
        </w:rPr>
        <w:tab/>
      </w:r>
      <w:r>
        <w:rPr>
          <w:b/>
          <w:sz w:val="20"/>
        </w:rPr>
        <w:t>271</w:t>
      </w:r>
    </w:p>
    <w:p w14:paraId="4EEAA504" w14:textId="77777777" w:rsidR="00DE575E" w:rsidRDefault="002E7560">
      <w:pPr>
        <w:pStyle w:val="Heading5"/>
        <w:numPr>
          <w:ilvl w:val="1"/>
          <w:numId w:val="333"/>
        </w:numPr>
        <w:tabs>
          <w:tab w:val="left" w:pos="818"/>
          <w:tab w:val="left" w:pos="6477"/>
        </w:tabs>
        <w:spacing w:before="69"/>
        <w:ind w:left="817" w:hanging="567"/>
        <w:jc w:val="left"/>
        <w:rPr>
          <w:sz w:val="20"/>
        </w:rPr>
      </w:pPr>
      <w:r>
        <w:rPr>
          <w:color w:val="231F20"/>
        </w:rPr>
        <w:t>Адміністративно-правові</w:t>
      </w:r>
      <w:r>
        <w:rPr>
          <w:color w:val="231F20"/>
          <w:spacing w:val="-3"/>
        </w:rPr>
        <w:t xml:space="preserve"> </w:t>
      </w:r>
      <w:r>
        <w:rPr>
          <w:color w:val="231F20"/>
        </w:rPr>
        <w:t>режими</w:t>
      </w:r>
      <w:r>
        <w:rPr>
          <w:color w:val="231F20"/>
          <w:u w:val="dotted" w:color="231F20"/>
        </w:rPr>
        <w:t xml:space="preserve"> </w:t>
      </w:r>
      <w:r>
        <w:rPr>
          <w:color w:val="231F20"/>
          <w:u w:val="dotted" w:color="231F20"/>
        </w:rPr>
        <w:tab/>
      </w:r>
      <w:r>
        <w:rPr>
          <w:sz w:val="20"/>
        </w:rPr>
        <w:t>272</w:t>
      </w:r>
    </w:p>
    <w:p w14:paraId="1AC9790D" w14:textId="77777777" w:rsidR="00DE575E" w:rsidRDefault="002E7560">
      <w:pPr>
        <w:pStyle w:val="ListParagraph"/>
        <w:numPr>
          <w:ilvl w:val="2"/>
          <w:numId w:val="333"/>
        </w:numPr>
        <w:tabs>
          <w:tab w:val="left" w:pos="1328"/>
        </w:tabs>
        <w:spacing w:before="41" w:line="238" w:lineRule="exact"/>
        <w:ind w:left="1327" w:hanging="680"/>
        <w:rPr>
          <w:sz w:val="21"/>
        </w:rPr>
      </w:pPr>
      <w:r>
        <w:rPr>
          <w:color w:val="231F20"/>
          <w:sz w:val="21"/>
        </w:rPr>
        <w:t>Поняття та</w:t>
      </w:r>
      <w:r>
        <w:rPr>
          <w:color w:val="231F20"/>
          <w:spacing w:val="-2"/>
          <w:sz w:val="21"/>
        </w:rPr>
        <w:t xml:space="preserve"> </w:t>
      </w:r>
      <w:r>
        <w:rPr>
          <w:color w:val="231F20"/>
          <w:sz w:val="21"/>
        </w:rPr>
        <w:t>класифікація</w:t>
      </w:r>
    </w:p>
    <w:p w14:paraId="3E359F18" w14:textId="77777777" w:rsidR="00DE575E" w:rsidRDefault="002E7560">
      <w:pPr>
        <w:pStyle w:val="BodyText"/>
        <w:tabs>
          <w:tab w:val="left" w:pos="6477"/>
        </w:tabs>
        <w:spacing w:line="238" w:lineRule="exact"/>
        <w:ind w:left="1214"/>
        <w:rPr>
          <w:b/>
          <w:sz w:val="20"/>
        </w:rPr>
      </w:pPr>
      <w:r>
        <w:rPr>
          <w:color w:val="231F20"/>
        </w:rPr>
        <w:t>адміністративно-правових</w:t>
      </w:r>
      <w:r>
        <w:rPr>
          <w:color w:val="231F20"/>
          <w:spacing w:val="-6"/>
        </w:rPr>
        <w:t xml:space="preserve"> </w:t>
      </w:r>
      <w:r>
        <w:rPr>
          <w:color w:val="231F20"/>
        </w:rPr>
        <w:t>режимів</w:t>
      </w:r>
      <w:r>
        <w:rPr>
          <w:color w:val="231F20"/>
          <w:u w:val="dotted" w:color="231F20"/>
        </w:rPr>
        <w:t xml:space="preserve"> </w:t>
      </w:r>
      <w:r>
        <w:rPr>
          <w:color w:val="231F20"/>
          <w:u w:val="dotted" w:color="231F20"/>
        </w:rPr>
        <w:tab/>
      </w:r>
      <w:r>
        <w:rPr>
          <w:b/>
          <w:sz w:val="20"/>
        </w:rPr>
        <w:t>273</w:t>
      </w:r>
    </w:p>
    <w:p w14:paraId="2A253E7A" w14:textId="77777777" w:rsidR="00DE575E" w:rsidRDefault="002E7560">
      <w:pPr>
        <w:pStyle w:val="ListParagraph"/>
        <w:numPr>
          <w:ilvl w:val="2"/>
          <w:numId w:val="333"/>
        </w:numPr>
        <w:tabs>
          <w:tab w:val="left" w:pos="1328"/>
          <w:tab w:val="left" w:pos="6477"/>
        </w:tabs>
        <w:spacing w:before="40"/>
        <w:ind w:left="1327" w:hanging="680"/>
        <w:rPr>
          <w:b/>
          <w:sz w:val="20"/>
        </w:rPr>
      </w:pPr>
      <w:r>
        <w:rPr>
          <w:color w:val="231F20"/>
          <w:sz w:val="21"/>
        </w:rPr>
        <w:t>Надзвичайні</w:t>
      </w:r>
      <w:r>
        <w:rPr>
          <w:color w:val="231F20"/>
          <w:spacing w:val="-5"/>
          <w:sz w:val="21"/>
        </w:rPr>
        <w:t xml:space="preserve"> </w:t>
      </w:r>
      <w:r>
        <w:rPr>
          <w:color w:val="231F20"/>
          <w:sz w:val="21"/>
        </w:rPr>
        <w:t>адміністративно-правові</w:t>
      </w:r>
      <w:r>
        <w:rPr>
          <w:color w:val="231F20"/>
          <w:spacing w:val="-5"/>
          <w:sz w:val="21"/>
        </w:rPr>
        <w:t xml:space="preserve"> </w:t>
      </w:r>
      <w:r>
        <w:rPr>
          <w:color w:val="231F20"/>
          <w:sz w:val="21"/>
        </w:rPr>
        <w:t>режими</w:t>
      </w:r>
      <w:r>
        <w:rPr>
          <w:color w:val="231F20"/>
          <w:sz w:val="21"/>
          <w:u w:val="dotted" w:color="231F20"/>
        </w:rPr>
        <w:t xml:space="preserve"> </w:t>
      </w:r>
      <w:r>
        <w:rPr>
          <w:color w:val="231F20"/>
          <w:sz w:val="21"/>
          <w:u w:val="dotted" w:color="231F20"/>
        </w:rPr>
        <w:tab/>
      </w:r>
      <w:r>
        <w:rPr>
          <w:b/>
          <w:sz w:val="20"/>
        </w:rPr>
        <w:t>275</w:t>
      </w:r>
    </w:p>
    <w:p w14:paraId="71DA913B" w14:textId="77777777" w:rsidR="00DE575E" w:rsidRDefault="002E7560">
      <w:pPr>
        <w:pStyle w:val="Heading5"/>
        <w:numPr>
          <w:ilvl w:val="1"/>
          <w:numId w:val="333"/>
        </w:numPr>
        <w:tabs>
          <w:tab w:val="left" w:pos="818"/>
          <w:tab w:val="left" w:pos="6477"/>
        </w:tabs>
        <w:spacing w:before="69"/>
        <w:ind w:left="817" w:hanging="567"/>
        <w:jc w:val="left"/>
        <w:rPr>
          <w:sz w:val="20"/>
        </w:rPr>
      </w:pPr>
      <w:r>
        <w:rPr>
          <w:color w:val="231F20"/>
        </w:rPr>
        <w:t>Контроль</w:t>
      </w:r>
      <w:r>
        <w:rPr>
          <w:color w:val="231F20"/>
          <w:spacing w:val="-4"/>
        </w:rPr>
        <w:t xml:space="preserve"> </w:t>
      </w:r>
      <w:r>
        <w:rPr>
          <w:color w:val="231F20"/>
        </w:rPr>
        <w:t>та</w:t>
      </w:r>
      <w:r>
        <w:rPr>
          <w:color w:val="231F20"/>
          <w:spacing w:val="-4"/>
        </w:rPr>
        <w:t xml:space="preserve"> </w:t>
      </w:r>
      <w:r>
        <w:rPr>
          <w:color w:val="231F20"/>
          <w:spacing w:val="-3"/>
        </w:rPr>
        <w:t>нагляд</w:t>
      </w:r>
      <w:r>
        <w:rPr>
          <w:color w:val="231F20"/>
          <w:spacing w:val="-3"/>
          <w:u w:val="dotted" w:color="231F20"/>
        </w:rPr>
        <w:t xml:space="preserve"> </w:t>
      </w:r>
      <w:r>
        <w:rPr>
          <w:color w:val="231F20"/>
          <w:spacing w:val="-3"/>
          <w:u w:val="dotted" w:color="231F20"/>
        </w:rPr>
        <w:tab/>
      </w:r>
      <w:r>
        <w:rPr>
          <w:sz w:val="20"/>
        </w:rPr>
        <w:t>278</w:t>
      </w:r>
    </w:p>
    <w:p w14:paraId="69026623" w14:textId="77777777" w:rsidR="00DE575E" w:rsidRDefault="002E7560">
      <w:pPr>
        <w:pStyle w:val="ListParagraph"/>
        <w:numPr>
          <w:ilvl w:val="2"/>
          <w:numId w:val="333"/>
        </w:numPr>
        <w:tabs>
          <w:tab w:val="left" w:pos="1328"/>
          <w:tab w:val="left" w:pos="6477"/>
        </w:tabs>
        <w:spacing w:before="40"/>
        <w:ind w:left="1327" w:hanging="680"/>
        <w:rPr>
          <w:b/>
          <w:sz w:val="20"/>
        </w:rPr>
      </w:pPr>
      <w:r>
        <w:rPr>
          <w:color w:val="231F20"/>
          <w:sz w:val="21"/>
        </w:rPr>
        <w:t>Адміністративний</w:t>
      </w:r>
      <w:r>
        <w:rPr>
          <w:color w:val="231F20"/>
          <w:spacing w:val="-3"/>
          <w:sz w:val="21"/>
        </w:rPr>
        <w:t xml:space="preserve"> </w:t>
      </w:r>
      <w:r>
        <w:rPr>
          <w:color w:val="231F20"/>
          <w:sz w:val="21"/>
        </w:rPr>
        <w:t>(публічний)</w:t>
      </w:r>
      <w:r>
        <w:rPr>
          <w:color w:val="231F20"/>
          <w:spacing w:val="-2"/>
          <w:sz w:val="21"/>
        </w:rPr>
        <w:t xml:space="preserve"> </w:t>
      </w:r>
      <w:r>
        <w:rPr>
          <w:color w:val="231F20"/>
          <w:sz w:val="21"/>
        </w:rPr>
        <w:t>контроль</w:t>
      </w:r>
      <w:r>
        <w:rPr>
          <w:color w:val="231F20"/>
          <w:sz w:val="21"/>
          <w:u w:val="dotted" w:color="231F20"/>
        </w:rPr>
        <w:t xml:space="preserve"> </w:t>
      </w:r>
      <w:r>
        <w:rPr>
          <w:color w:val="231F20"/>
          <w:sz w:val="21"/>
          <w:u w:val="dotted" w:color="231F20"/>
        </w:rPr>
        <w:tab/>
      </w:r>
      <w:r>
        <w:rPr>
          <w:b/>
          <w:sz w:val="20"/>
        </w:rPr>
        <w:t>278</w:t>
      </w:r>
    </w:p>
    <w:p w14:paraId="1C154786" w14:textId="77777777" w:rsidR="00DE575E" w:rsidRDefault="002E7560">
      <w:pPr>
        <w:pStyle w:val="ListParagraph"/>
        <w:numPr>
          <w:ilvl w:val="2"/>
          <w:numId w:val="333"/>
        </w:numPr>
        <w:tabs>
          <w:tab w:val="left" w:pos="1328"/>
          <w:tab w:val="left" w:pos="6477"/>
        </w:tabs>
        <w:spacing w:before="41"/>
        <w:ind w:left="1327" w:hanging="680"/>
        <w:rPr>
          <w:b/>
          <w:sz w:val="20"/>
        </w:rPr>
      </w:pPr>
      <w:r>
        <w:rPr>
          <w:color w:val="231F20"/>
          <w:sz w:val="21"/>
        </w:rPr>
        <w:t>Адміністративний</w:t>
      </w:r>
      <w:r>
        <w:rPr>
          <w:color w:val="231F20"/>
          <w:spacing w:val="-5"/>
          <w:sz w:val="21"/>
        </w:rPr>
        <w:t xml:space="preserve"> </w:t>
      </w:r>
      <w:r>
        <w:rPr>
          <w:color w:val="231F20"/>
          <w:sz w:val="21"/>
        </w:rPr>
        <w:t>нагляд</w:t>
      </w:r>
      <w:r>
        <w:rPr>
          <w:color w:val="231F20"/>
          <w:sz w:val="21"/>
          <w:u w:val="dotted" w:color="231F20"/>
        </w:rPr>
        <w:t xml:space="preserve"> </w:t>
      </w:r>
      <w:r>
        <w:rPr>
          <w:color w:val="231F20"/>
          <w:sz w:val="21"/>
          <w:u w:val="dotted" w:color="231F20"/>
        </w:rPr>
        <w:tab/>
      </w:r>
      <w:r>
        <w:rPr>
          <w:b/>
          <w:sz w:val="20"/>
        </w:rPr>
        <w:t>280</w:t>
      </w:r>
    </w:p>
    <w:p w14:paraId="7765AE5A" w14:textId="77777777" w:rsidR="00DE575E" w:rsidRDefault="002E7560">
      <w:pPr>
        <w:pStyle w:val="Heading5"/>
        <w:numPr>
          <w:ilvl w:val="1"/>
          <w:numId w:val="333"/>
        </w:numPr>
        <w:tabs>
          <w:tab w:val="left" w:pos="818"/>
          <w:tab w:val="left" w:pos="6477"/>
        </w:tabs>
        <w:spacing w:before="69"/>
        <w:ind w:left="817" w:hanging="567"/>
        <w:jc w:val="left"/>
        <w:rPr>
          <w:sz w:val="20"/>
        </w:rPr>
      </w:pPr>
      <w:r>
        <w:rPr>
          <w:color w:val="231F20"/>
        </w:rPr>
        <w:t>Електронне врядування</w:t>
      </w:r>
      <w:r>
        <w:rPr>
          <w:color w:val="231F20"/>
          <w:u w:val="dotted" w:color="231F20"/>
        </w:rPr>
        <w:t xml:space="preserve"> </w:t>
      </w:r>
      <w:r>
        <w:rPr>
          <w:color w:val="231F20"/>
          <w:u w:val="dotted" w:color="231F20"/>
        </w:rPr>
        <w:tab/>
      </w:r>
      <w:r>
        <w:rPr>
          <w:sz w:val="20"/>
        </w:rPr>
        <w:t>281</w:t>
      </w:r>
    </w:p>
    <w:p w14:paraId="12DEA843" w14:textId="77777777" w:rsidR="00DE575E" w:rsidRDefault="002E7560">
      <w:pPr>
        <w:pStyle w:val="ListParagraph"/>
        <w:numPr>
          <w:ilvl w:val="2"/>
          <w:numId w:val="333"/>
        </w:numPr>
        <w:tabs>
          <w:tab w:val="left" w:pos="1328"/>
          <w:tab w:val="left" w:pos="6477"/>
        </w:tabs>
        <w:spacing w:before="40"/>
        <w:ind w:left="1327" w:hanging="680"/>
        <w:rPr>
          <w:b/>
          <w:sz w:val="20"/>
        </w:rPr>
      </w:pPr>
      <w:r>
        <w:rPr>
          <w:color w:val="231F20"/>
          <w:sz w:val="21"/>
        </w:rPr>
        <w:t>Поняття</w:t>
      </w:r>
      <w:r>
        <w:rPr>
          <w:color w:val="231F20"/>
          <w:spacing w:val="-1"/>
          <w:sz w:val="21"/>
        </w:rPr>
        <w:t xml:space="preserve"> </w:t>
      </w:r>
      <w:r>
        <w:rPr>
          <w:color w:val="231F20"/>
          <w:sz w:val="21"/>
        </w:rPr>
        <w:t>електронного</w:t>
      </w:r>
      <w:r>
        <w:rPr>
          <w:color w:val="231F20"/>
          <w:spacing w:val="-1"/>
          <w:sz w:val="21"/>
        </w:rPr>
        <w:t xml:space="preserve"> </w:t>
      </w:r>
      <w:r>
        <w:rPr>
          <w:color w:val="231F20"/>
          <w:sz w:val="21"/>
        </w:rPr>
        <w:t>врядування</w:t>
      </w:r>
      <w:r>
        <w:rPr>
          <w:color w:val="231F20"/>
          <w:sz w:val="21"/>
          <w:u w:val="dotted" w:color="231F20"/>
        </w:rPr>
        <w:t xml:space="preserve"> </w:t>
      </w:r>
      <w:r>
        <w:rPr>
          <w:color w:val="231F20"/>
          <w:sz w:val="21"/>
          <w:u w:val="dotted" w:color="231F20"/>
        </w:rPr>
        <w:tab/>
      </w:r>
      <w:r>
        <w:rPr>
          <w:b/>
          <w:sz w:val="20"/>
        </w:rPr>
        <w:t>281</w:t>
      </w:r>
    </w:p>
    <w:p w14:paraId="02E9C5AB" w14:textId="77777777" w:rsidR="00DE575E" w:rsidRDefault="002E7560">
      <w:pPr>
        <w:pStyle w:val="ListParagraph"/>
        <w:numPr>
          <w:ilvl w:val="2"/>
          <w:numId w:val="333"/>
        </w:numPr>
        <w:tabs>
          <w:tab w:val="left" w:pos="1328"/>
          <w:tab w:val="left" w:pos="6477"/>
        </w:tabs>
        <w:spacing w:before="41"/>
        <w:ind w:left="1327" w:hanging="680"/>
        <w:rPr>
          <w:b/>
          <w:sz w:val="20"/>
        </w:rPr>
      </w:pPr>
      <w:r>
        <w:rPr>
          <w:color w:val="231F20"/>
          <w:sz w:val="21"/>
        </w:rPr>
        <w:t>Елементи</w:t>
      </w:r>
      <w:r>
        <w:rPr>
          <w:color w:val="231F20"/>
          <w:spacing w:val="-3"/>
          <w:sz w:val="21"/>
        </w:rPr>
        <w:t xml:space="preserve"> </w:t>
      </w:r>
      <w:r>
        <w:rPr>
          <w:color w:val="231F20"/>
          <w:sz w:val="21"/>
        </w:rPr>
        <w:t>електронного</w:t>
      </w:r>
      <w:r>
        <w:rPr>
          <w:color w:val="231F20"/>
          <w:spacing w:val="-2"/>
          <w:sz w:val="21"/>
        </w:rPr>
        <w:t xml:space="preserve"> </w:t>
      </w:r>
      <w:r>
        <w:rPr>
          <w:color w:val="231F20"/>
          <w:sz w:val="21"/>
        </w:rPr>
        <w:t>врядування</w:t>
      </w:r>
      <w:r>
        <w:rPr>
          <w:color w:val="231F20"/>
          <w:sz w:val="21"/>
          <w:u w:val="dotted" w:color="231F20"/>
        </w:rPr>
        <w:t xml:space="preserve"> </w:t>
      </w:r>
      <w:r>
        <w:rPr>
          <w:color w:val="231F20"/>
          <w:sz w:val="21"/>
          <w:u w:val="dotted" w:color="231F20"/>
        </w:rPr>
        <w:tab/>
      </w:r>
      <w:r>
        <w:rPr>
          <w:b/>
          <w:sz w:val="20"/>
        </w:rPr>
        <w:t>283</w:t>
      </w:r>
    </w:p>
    <w:p w14:paraId="5D50F4DB" w14:textId="77777777" w:rsidR="00DE575E" w:rsidRDefault="002E7560">
      <w:pPr>
        <w:pStyle w:val="ListParagraph"/>
        <w:numPr>
          <w:ilvl w:val="2"/>
          <w:numId w:val="333"/>
        </w:numPr>
        <w:tabs>
          <w:tab w:val="left" w:pos="1328"/>
        </w:tabs>
        <w:spacing w:before="40" w:line="238" w:lineRule="exact"/>
        <w:ind w:left="1327" w:hanging="680"/>
        <w:rPr>
          <w:sz w:val="21"/>
        </w:rPr>
      </w:pPr>
      <w:r>
        <w:rPr>
          <w:color w:val="231F20"/>
          <w:sz w:val="21"/>
        </w:rPr>
        <w:t>Співвідношення понять «електронне врядування»,</w:t>
      </w:r>
    </w:p>
    <w:p w14:paraId="05CE5732" w14:textId="77777777" w:rsidR="00DE575E" w:rsidRDefault="002E7560">
      <w:pPr>
        <w:pStyle w:val="BodyText"/>
        <w:spacing w:line="230" w:lineRule="exact"/>
        <w:ind w:left="1214"/>
      </w:pPr>
      <w:r>
        <w:rPr>
          <w:color w:val="231F20"/>
        </w:rPr>
        <w:t>«електронна держава», «електронна демократія»,</w:t>
      </w:r>
    </w:p>
    <w:p w14:paraId="57F3D747" w14:textId="77777777" w:rsidR="00DE575E" w:rsidRDefault="002E7560">
      <w:pPr>
        <w:pStyle w:val="BodyText"/>
        <w:spacing w:line="230" w:lineRule="exact"/>
        <w:ind w:left="1214"/>
      </w:pPr>
      <w:r>
        <w:rPr>
          <w:color w:val="231F20"/>
        </w:rPr>
        <w:t>«електронний парламент», «електронний уряд»,</w:t>
      </w:r>
    </w:p>
    <w:p w14:paraId="4096AEE3" w14:textId="77777777" w:rsidR="00DE575E" w:rsidRDefault="002E7560">
      <w:pPr>
        <w:pStyle w:val="BodyText"/>
        <w:tabs>
          <w:tab w:val="left" w:pos="6477"/>
        </w:tabs>
        <w:spacing w:line="238" w:lineRule="exact"/>
        <w:ind w:left="1214"/>
        <w:rPr>
          <w:b/>
          <w:sz w:val="20"/>
        </w:rPr>
      </w:pPr>
      <w:r>
        <w:rPr>
          <w:color w:val="231F20"/>
        </w:rPr>
        <w:t xml:space="preserve">«електронний </w:t>
      </w:r>
      <w:r>
        <w:rPr>
          <w:color w:val="231F20"/>
          <w:spacing w:val="-3"/>
        </w:rPr>
        <w:t>суд»</w:t>
      </w:r>
      <w:r>
        <w:rPr>
          <w:color w:val="231F20"/>
          <w:spacing w:val="-3"/>
          <w:u w:val="dotted" w:color="231F20"/>
        </w:rPr>
        <w:t xml:space="preserve"> </w:t>
      </w:r>
      <w:r>
        <w:rPr>
          <w:color w:val="231F20"/>
          <w:spacing w:val="-3"/>
          <w:u w:val="dotted" w:color="231F20"/>
        </w:rPr>
        <w:tab/>
      </w:r>
      <w:r>
        <w:rPr>
          <w:b/>
          <w:sz w:val="20"/>
        </w:rPr>
        <w:t>287</w:t>
      </w:r>
    </w:p>
    <w:p w14:paraId="6FC00A1C" w14:textId="77777777" w:rsidR="00DE575E" w:rsidRDefault="00DE575E">
      <w:pPr>
        <w:pStyle w:val="BodyText"/>
        <w:spacing w:before="5"/>
        <w:rPr>
          <w:b/>
          <w:sz w:val="9"/>
        </w:rPr>
      </w:pPr>
    </w:p>
    <w:p w14:paraId="3550D799" w14:textId="77777777" w:rsidR="00DE575E" w:rsidRDefault="002E7560">
      <w:pPr>
        <w:pStyle w:val="Heading5"/>
        <w:spacing w:before="100" w:line="238" w:lineRule="exact"/>
        <w:ind w:left="250"/>
      </w:pPr>
      <w:r>
        <w:rPr>
          <w:color w:val="231F20"/>
        </w:rPr>
        <w:t>Розділ 8</w:t>
      </w:r>
    </w:p>
    <w:p w14:paraId="796BD322" w14:textId="77777777" w:rsidR="00DE575E" w:rsidRDefault="002E7560">
      <w:pPr>
        <w:tabs>
          <w:tab w:val="left" w:pos="6477"/>
        </w:tabs>
        <w:spacing w:line="238" w:lineRule="exact"/>
        <w:ind w:left="250"/>
        <w:rPr>
          <w:b/>
          <w:sz w:val="20"/>
        </w:rPr>
      </w:pPr>
      <w:r>
        <w:rPr>
          <w:b/>
          <w:color w:val="231F20"/>
          <w:spacing w:val="-3"/>
          <w:sz w:val="21"/>
        </w:rPr>
        <w:t>АДМІНІСТРАТИВНА</w:t>
      </w:r>
      <w:r>
        <w:rPr>
          <w:b/>
          <w:color w:val="231F20"/>
          <w:sz w:val="21"/>
        </w:rPr>
        <w:t xml:space="preserve"> </w:t>
      </w:r>
      <w:r>
        <w:rPr>
          <w:b/>
          <w:color w:val="231F20"/>
          <w:spacing w:val="-3"/>
          <w:sz w:val="21"/>
        </w:rPr>
        <w:t>ПРОЦЕДУРА</w:t>
      </w:r>
      <w:r>
        <w:rPr>
          <w:b/>
          <w:color w:val="231F20"/>
          <w:spacing w:val="-3"/>
          <w:sz w:val="21"/>
          <w:u w:val="dotted" w:color="231F20"/>
        </w:rPr>
        <w:t xml:space="preserve"> </w:t>
      </w:r>
      <w:r>
        <w:rPr>
          <w:b/>
          <w:color w:val="231F20"/>
          <w:spacing w:val="-3"/>
          <w:sz w:val="21"/>
          <w:u w:val="dotted" w:color="231F20"/>
        </w:rPr>
        <w:tab/>
      </w:r>
      <w:r>
        <w:rPr>
          <w:b/>
          <w:sz w:val="20"/>
        </w:rPr>
        <w:t>291</w:t>
      </w:r>
    </w:p>
    <w:p w14:paraId="388FB54A" w14:textId="77777777" w:rsidR="00DE575E" w:rsidRDefault="002E7560">
      <w:pPr>
        <w:pStyle w:val="ListParagraph"/>
        <w:numPr>
          <w:ilvl w:val="1"/>
          <w:numId w:val="332"/>
        </w:numPr>
        <w:tabs>
          <w:tab w:val="left" w:pos="648"/>
          <w:tab w:val="left" w:pos="6477"/>
        </w:tabs>
        <w:spacing w:before="69"/>
        <w:jc w:val="left"/>
        <w:rPr>
          <w:b/>
          <w:sz w:val="20"/>
        </w:rPr>
      </w:pPr>
      <w:r>
        <w:rPr>
          <w:b/>
          <w:color w:val="231F20"/>
          <w:sz w:val="21"/>
        </w:rPr>
        <w:t>Розуміння</w:t>
      </w:r>
      <w:r>
        <w:rPr>
          <w:b/>
          <w:color w:val="231F20"/>
          <w:spacing w:val="-7"/>
          <w:sz w:val="21"/>
        </w:rPr>
        <w:t xml:space="preserve"> </w:t>
      </w:r>
      <w:r>
        <w:rPr>
          <w:b/>
          <w:color w:val="231F20"/>
          <w:sz w:val="21"/>
        </w:rPr>
        <w:t>адміністративної</w:t>
      </w:r>
      <w:r>
        <w:rPr>
          <w:b/>
          <w:color w:val="231F20"/>
          <w:spacing w:val="-8"/>
          <w:sz w:val="21"/>
        </w:rPr>
        <w:t xml:space="preserve"> </w:t>
      </w:r>
      <w:r>
        <w:rPr>
          <w:b/>
          <w:color w:val="231F20"/>
          <w:sz w:val="21"/>
        </w:rPr>
        <w:t>процедури</w:t>
      </w:r>
      <w:r>
        <w:rPr>
          <w:b/>
          <w:color w:val="231F20"/>
          <w:sz w:val="21"/>
          <w:u w:val="dotted" w:color="231F20"/>
        </w:rPr>
        <w:t xml:space="preserve"> </w:t>
      </w:r>
      <w:r>
        <w:rPr>
          <w:b/>
          <w:color w:val="231F20"/>
          <w:sz w:val="21"/>
          <w:u w:val="dotted" w:color="231F20"/>
        </w:rPr>
        <w:tab/>
      </w:r>
      <w:r>
        <w:rPr>
          <w:b/>
          <w:sz w:val="20"/>
        </w:rPr>
        <w:t>291</w:t>
      </w:r>
    </w:p>
    <w:p w14:paraId="7C2AAE1F" w14:textId="77777777" w:rsidR="00DE575E" w:rsidRDefault="002E7560">
      <w:pPr>
        <w:pStyle w:val="ListParagraph"/>
        <w:numPr>
          <w:ilvl w:val="2"/>
          <w:numId w:val="332"/>
        </w:numPr>
        <w:tabs>
          <w:tab w:val="left" w:pos="1215"/>
          <w:tab w:val="left" w:pos="6477"/>
        </w:tabs>
        <w:spacing w:before="41"/>
        <w:rPr>
          <w:b/>
          <w:sz w:val="20"/>
        </w:rPr>
      </w:pPr>
      <w:r>
        <w:rPr>
          <w:color w:val="231F20"/>
          <w:sz w:val="21"/>
        </w:rPr>
        <w:t>Поняття та ознаки</w:t>
      </w:r>
      <w:r>
        <w:rPr>
          <w:color w:val="231F20"/>
          <w:spacing w:val="-6"/>
          <w:sz w:val="21"/>
        </w:rPr>
        <w:t xml:space="preserve"> </w:t>
      </w:r>
      <w:r>
        <w:rPr>
          <w:color w:val="231F20"/>
          <w:sz w:val="21"/>
        </w:rPr>
        <w:t>адміністративної</w:t>
      </w:r>
      <w:r>
        <w:rPr>
          <w:color w:val="231F20"/>
          <w:spacing w:val="-3"/>
          <w:sz w:val="21"/>
        </w:rPr>
        <w:t xml:space="preserve"> </w:t>
      </w:r>
      <w:r>
        <w:rPr>
          <w:color w:val="231F20"/>
          <w:sz w:val="21"/>
        </w:rPr>
        <w:t>процедури</w:t>
      </w:r>
      <w:r>
        <w:rPr>
          <w:color w:val="231F20"/>
          <w:sz w:val="21"/>
          <w:u w:val="dotted" w:color="231F20"/>
        </w:rPr>
        <w:t xml:space="preserve"> </w:t>
      </w:r>
      <w:r>
        <w:rPr>
          <w:color w:val="231F20"/>
          <w:sz w:val="21"/>
          <w:u w:val="dotted" w:color="231F20"/>
        </w:rPr>
        <w:tab/>
      </w:r>
      <w:r>
        <w:rPr>
          <w:b/>
          <w:sz w:val="20"/>
        </w:rPr>
        <w:t>291</w:t>
      </w:r>
    </w:p>
    <w:p w14:paraId="0C66DE17" w14:textId="77777777" w:rsidR="00DE575E" w:rsidRDefault="002E7560">
      <w:pPr>
        <w:pStyle w:val="Heading5"/>
        <w:numPr>
          <w:ilvl w:val="1"/>
          <w:numId w:val="332"/>
        </w:numPr>
        <w:tabs>
          <w:tab w:val="left" w:pos="648"/>
          <w:tab w:val="left" w:pos="6477"/>
        </w:tabs>
        <w:spacing w:before="69"/>
        <w:jc w:val="left"/>
        <w:rPr>
          <w:sz w:val="20"/>
        </w:rPr>
      </w:pPr>
      <w:r>
        <w:rPr>
          <w:color w:val="231F20"/>
        </w:rPr>
        <w:t>Види</w:t>
      </w:r>
      <w:r>
        <w:rPr>
          <w:color w:val="231F20"/>
          <w:spacing w:val="-4"/>
        </w:rPr>
        <w:t xml:space="preserve"> </w:t>
      </w:r>
      <w:r>
        <w:rPr>
          <w:color w:val="231F20"/>
        </w:rPr>
        <w:t>адміністративних</w:t>
      </w:r>
      <w:r>
        <w:rPr>
          <w:color w:val="231F20"/>
          <w:spacing w:val="-5"/>
        </w:rPr>
        <w:t xml:space="preserve"> </w:t>
      </w:r>
      <w:r>
        <w:rPr>
          <w:color w:val="231F20"/>
        </w:rPr>
        <w:t>процедур</w:t>
      </w:r>
      <w:r>
        <w:rPr>
          <w:color w:val="231F20"/>
          <w:u w:val="dotted" w:color="231F20"/>
        </w:rPr>
        <w:t xml:space="preserve"> </w:t>
      </w:r>
      <w:r>
        <w:rPr>
          <w:color w:val="231F20"/>
          <w:u w:val="dotted" w:color="231F20"/>
        </w:rPr>
        <w:tab/>
      </w:r>
      <w:r>
        <w:rPr>
          <w:sz w:val="20"/>
        </w:rPr>
        <w:t>292</w:t>
      </w:r>
    </w:p>
    <w:p w14:paraId="6162D186" w14:textId="77777777" w:rsidR="00DE575E" w:rsidRDefault="002E7560">
      <w:pPr>
        <w:pStyle w:val="ListParagraph"/>
        <w:numPr>
          <w:ilvl w:val="2"/>
          <w:numId w:val="332"/>
        </w:numPr>
        <w:tabs>
          <w:tab w:val="left" w:pos="1215"/>
          <w:tab w:val="left" w:pos="6477"/>
        </w:tabs>
        <w:spacing w:before="40"/>
        <w:rPr>
          <w:b/>
          <w:sz w:val="20"/>
        </w:rPr>
      </w:pPr>
      <w:r>
        <w:rPr>
          <w:color w:val="231F20"/>
          <w:sz w:val="21"/>
        </w:rPr>
        <w:t>Реєстраційні</w:t>
      </w:r>
      <w:r>
        <w:rPr>
          <w:color w:val="231F20"/>
          <w:spacing w:val="-3"/>
          <w:sz w:val="21"/>
        </w:rPr>
        <w:t xml:space="preserve"> </w:t>
      </w:r>
      <w:r>
        <w:rPr>
          <w:color w:val="231F20"/>
          <w:sz w:val="21"/>
        </w:rPr>
        <w:t>процедури</w:t>
      </w:r>
      <w:r>
        <w:rPr>
          <w:color w:val="231F20"/>
          <w:sz w:val="21"/>
          <w:u w:val="dotted" w:color="231F20"/>
        </w:rPr>
        <w:t xml:space="preserve"> </w:t>
      </w:r>
      <w:r>
        <w:rPr>
          <w:color w:val="231F20"/>
          <w:sz w:val="21"/>
          <w:u w:val="dotted" w:color="231F20"/>
        </w:rPr>
        <w:tab/>
      </w:r>
      <w:r>
        <w:rPr>
          <w:b/>
          <w:sz w:val="20"/>
        </w:rPr>
        <w:t>294</w:t>
      </w:r>
    </w:p>
    <w:p w14:paraId="270CF239" w14:textId="77777777" w:rsidR="00DE575E" w:rsidRDefault="002E7560">
      <w:pPr>
        <w:pStyle w:val="ListParagraph"/>
        <w:numPr>
          <w:ilvl w:val="2"/>
          <w:numId w:val="332"/>
        </w:numPr>
        <w:tabs>
          <w:tab w:val="left" w:pos="1215"/>
          <w:tab w:val="left" w:pos="6477"/>
        </w:tabs>
        <w:spacing w:before="41"/>
        <w:rPr>
          <w:b/>
          <w:sz w:val="20"/>
        </w:rPr>
      </w:pPr>
      <w:r>
        <w:rPr>
          <w:color w:val="231F20"/>
          <w:sz w:val="21"/>
        </w:rPr>
        <w:t>Дозвільні процедури</w:t>
      </w:r>
      <w:r>
        <w:rPr>
          <w:color w:val="231F20"/>
          <w:sz w:val="21"/>
          <w:u w:val="dotted" w:color="231F20"/>
        </w:rPr>
        <w:t xml:space="preserve"> </w:t>
      </w:r>
      <w:r>
        <w:rPr>
          <w:color w:val="231F20"/>
          <w:sz w:val="21"/>
          <w:u w:val="dotted" w:color="231F20"/>
        </w:rPr>
        <w:tab/>
      </w:r>
      <w:r>
        <w:rPr>
          <w:b/>
          <w:sz w:val="20"/>
        </w:rPr>
        <w:t>295</w:t>
      </w:r>
    </w:p>
    <w:p w14:paraId="36B547CE" w14:textId="77777777" w:rsidR="00DE575E" w:rsidRDefault="002E7560">
      <w:pPr>
        <w:pStyle w:val="ListParagraph"/>
        <w:numPr>
          <w:ilvl w:val="2"/>
          <w:numId w:val="332"/>
        </w:numPr>
        <w:tabs>
          <w:tab w:val="left" w:pos="1215"/>
          <w:tab w:val="left" w:pos="6477"/>
        </w:tabs>
        <w:spacing w:before="40"/>
        <w:rPr>
          <w:b/>
          <w:sz w:val="20"/>
        </w:rPr>
      </w:pPr>
      <w:r>
        <w:rPr>
          <w:color w:val="231F20"/>
          <w:sz w:val="21"/>
        </w:rPr>
        <w:t>Інспекційні</w:t>
      </w:r>
      <w:r>
        <w:rPr>
          <w:color w:val="231F20"/>
          <w:spacing w:val="-3"/>
          <w:sz w:val="21"/>
        </w:rPr>
        <w:t xml:space="preserve"> </w:t>
      </w:r>
      <w:r>
        <w:rPr>
          <w:color w:val="231F20"/>
          <w:sz w:val="21"/>
        </w:rPr>
        <w:t>процедури</w:t>
      </w:r>
      <w:r>
        <w:rPr>
          <w:color w:val="231F20"/>
          <w:sz w:val="21"/>
          <w:u w:val="dotted" w:color="231F20"/>
        </w:rPr>
        <w:t xml:space="preserve"> </w:t>
      </w:r>
      <w:r>
        <w:rPr>
          <w:color w:val="231F20"/>
          <w:sz w:val="21"/>
          <w:u w:val="dotted" w:color="231F20"/>
        </w:rPr>
        <w:tab/>
      </w:r>
      <w:r>
        <w:rPr>
          <w:b/>
          <w:sz w:val="20"/>
        </w:rPr>
        <w:t>296</w:t>
      </w:r>
    </w:p>
    <w:p w14:paraId="63906E2B" w14:textId="77777777" w:rsidR="00DE575E" w:rsidRDefault="002E7560">
      <w:pPr>
        <w:pStyle w:val="ListParagraph"/>
        <w:numPr>
          <w:ilvl w:val="2"/>
          <w:numId w:val="332"/>
        </w:numPr>
        <w:tabs>
          <w:tab w:val="left" w:pos="1215"/>
        </w:tabs>
        <w:spacing w:before="41" w:line="238" w:lineRule="exact"/>
        <w:rPr>
          <w:sz w:val="21"/>
        </w:rPr>
      </w:pPr>
      <w:r>
        <w:rPr>
          <w:color w:val="231F20"/>
          <w:sz w:val="21"/>
        </w:rPr>
        <w:t>Процедури</w:t>
      </w:r>
      <w:r>
        <w:rPr>
          <w:color w:val="231F20"/>
          <w:spacing w:val="-2"/>
          <w:sz w:val="21"/>
        </w:rPr>
        <w:t xml:space="preserve"> </w:t>
      </w:r>
      <w:r>
        <w:rPr>
          <w:color w:val="231F20"/>
          <w:sz w:val="21"/>
        </w:rPr>
        <w:t>притягнення</w:t>
      </w:r>
    </w:p>
    <w:p w14:paraId="36DF5AA3" w14:textId="77777777" w:rsidR="00DE575E" w:rsidRDefault="002E7560">
      <w:pPr>
        <w:pStyle w:val="BodyText"/>
        <w:tabs>
          <w:tab w:val="left" w:pos="6477"/>
        </w:tabs>
        <w:spacing w:line="238" w:lineRule="exact"/>
        <w:ind w:left="1214"/>
        <w:rPr>
          <w:b/>
          <w:sz w:val="20"/>
        </w:rPr>
      </w:pPr>
      <w:r>
        <w:rPr>
          <w:color w:val="231F20"/>
        </w:rPr>
        <w:t>до</w:t>
      </w:r>
      <w:r>
        <w:rPr>
          <w:color w:val="231F20"/>
          <w:spacing w:val="-3"/>
        </w:rPr>
        <w:t xml:space="preserve"> </w:t>
      </w:r>
      <w:r>
        <w:rPr>
          <w:color w:val="231F20"/>
        </w:rPr>
        <w:t>адміністративної</w:t>
      </w:r>
      <w:r>
        <w:rPr>
          <w:color w:val="231F20"/>
          <w:spacing w:val="-3"/>
        </w:rPr>
        <w:t xml:space="preserve"> </w:t>
      </w:r>
      <w:r>
        <w:rPr>
          <w:color w:val="231F20"/>
        </w:rPr>
        <w:t>відповідальності</w:t>
      </w:r>
      <w:r>
        <w:rPr>
          <w:color w:val="231F20"/>
          <w:u w:val="dotted" w:color="231F20"/>
        </w:rPr>
        <w:t xml:space="preserve"> </w:t>
      </w:r>
      <w:r>
        <w:rPr>
          <w:color w:val="231F20"/>
          <w:u w:val="dotted" w:color="231F20"/>
        </w:rPr>
        <w:tab/>
      </w:r>
      <w:r>
        <w:rPr>
          <w:b/>
          <w:sz w:val="20"/>
        </w:rPr>
        <w:t>297</w:t>
      </w:r>
    </w:p>
    <w:p w14:paraId="31A4F216" w14:textId="77777777" w:rsidR="00DE575E" w:rsidRDefault="002E7560">
      <w:pPr>
        <w:pStyle w:val="Heading5"/>
        <w:numPr>
          <w:ilvl w:val="1"/>
          <w:numId w:val="332"/>
        </w:numPr>
        <w:tabs>
          <w:tab w:val="left" w:pos="648"/>
          <w:tab w:val="left" w:pos="6477"/>
        </w:tabs>
        <w:spacing w:before="68"/>
        <w:jc w:val="left"/>
        <w:rPr>
          <w:sz w:val="20"/>
        </w:rPr>
      </w:pPr>
      <w:r>
        <w:rPr>
          <w:color w:val="231F20"/>
        </w:rPr>
        <w:t>Принципи</w:t>
      </w:r>
      <w:r>
        <w:rPr>
          <w:color w:val="231F20"/>
          <w:spacing w:val="-5"/>
        </w:rPr>
        <w:t xml:space="preserve"> </w:t>
      </w:r>
      <w:r>
        <w:rPr>
          <w:color w:val="231F20"/>
        </w:rPr>
        <w:t>адміністративної</w:t>
      </w:r>
      <w:r>
        <w:rPr>
          <w:color w:val="231F20"/>
          <w:spacing w:val="-5"/>
        </w:rPr>
        <w:t xml:space="preserve"> </w:t>
      </w:r>
      <w:r>
        <w:rPr>
          <w:color w:val="231F20"/>
        </w:rPr>
        <w:t>процедури</w:t>
      </w:r>
      <w:r>
        <w:rPr>
          <w:color w:val="231F20"/>
          <w:u w:val="dotted" w:color="231F20"/>
        </w:rPr>
        <w:t xml:space="preserve"> </w:t>
      </w:r>
      <w:r>
        <w:rPr>
          <w:color w:val="231F20"/>
          <w:u w:val="dotted" w:color="231F20"/>
        </w:rPr>
        <w:tab/>
      </w:r>
      <w:r>
        <w:rPr>
          <w:sz w:val="20"/>
        </w:rPr>
        <w:t>298</w:t>
      </w:r>
    </w:p>
    <w:p w14:paraId="1FE80BCA" w14:textId="77777777" w:rsidR="00DE575E" w:rsidRDefault="002E7560">
      <w:pPr>
        <w:pStyle w:val="ListParagraph"/>
        <w:numPr>
          <w:ilvl w:val="2"/>
          <w:numId w:val="332"/>
        </w:numPr>
        <w:tabs>
          <w:tab w:val="left" w:pos="1215"/>
        </w:tabs>
        <w:spacing w:before="41" w:line="238" w:lineRule="exact"/>
        <w:rPr>
          <w:sz w:val="21"/>
        </w:rPr>
      </w:pPr>
      <w:r>
        <w:rPr>
          <w:color w:val="231F20"/>
          <w:sz w:val="21"/>
        </w:rPr>
        <w:t>Система принципів адміністративної</w:t>
      </w:r>
      <w:r>
        <w:rPr>
          <w:color w:val="231F20"/>
          <w:spacing w:val="-3"/>
          <w:sz w:val="21"/>
        </w:rPr>
        <w:t xml:space="preserve"> </w:t>
      </w:r>
      <w:r>
        <w:rPr>
          <w:color w:val="231F20"/>
          <w:sz w:val="21"/>
        </w:rPr>
        <w:t>процедури.</w:t>
      </w:r>
    </w:p>
    <w:p w14:paraId="2418F709" w14:textId="77777777" w:rsidR="00DE575E" w:rsidRDefault="002E7560">
      <w:pPr>
        <w:pStyle w:val="BodyText"/>
        <w:tabs>
          <w:tab w:val="left" w:pos="6477"/>
        </w:tabs>
        <w:spacing w:line="238" w:lineRule="exact"/>
        <w:ind w:left="1214"/>
        <w:rPr>
          <w:b/>
          <w:sz w:val="20"/>
        </w:rPr>
      </w:pPr>
      <w:r>
        <w:rPr>
          <w:color w:val="231F20"/>
        </w:rPr>
        <w:t>Загальні принципи</w:t>
      </w:r>
      <w:r>
        <w:rPr>
          <w:color w:val="231F20"/>
          <w:spacing w:val="-5"/>
        </w:rPr>
        <w:t xml:space="preserve"> </w:t>
      </w:r>
      <w:r>
        <w:rPr>
          <w:color w:val="231F20"/>
        </w:rPr>
        <w:t>адміністративної</w:t>
      </w:r>
      <w:r>
        <w:rPr>
          <w:color w:val="231F20"/>
          <w:spacing w:val="-3"/>
        </w:rPr>
        <w:t xml:space="preserve"> </w:t>
      </w:r>
      <w:r>
        <w:rPr>
          <w:color w:val="231F20"/>
        </w:rPr>
        <w:t>процедури</w:t>
      </w:r>
      <w:r>
        <w:rPr>
          <w:color w:val="231F20"/>
          <w:u w:val="dotted" w:color="231F20"/>
        </w:rPr>
        <w:t xml:space="preserve"> </w:t>
      </w:r>
      <w:r>
        <w:rPr>
          <w:color w:val="231F20"/>
          <w:u w:val="dotted" w:color="231F20"/>
        </w:rPr>
        <w:tab/>
      </w:r>
      <w:r>
        <w:rPr>
          <w:b/>
          <w:sz w:val="20"/>
        </w:rPr>
        <w:t>298</w:t>
      </w:r>
    </w:p>
    <w:p w14:paraId="6CC9E604" w14:textId="77777777" w:rsidR="00DE575E" w:rsidRDefault="002E7560">
      <w:pPr>
        <w:pStyle w:val="ListParagraph"/>
        <w:numPr>
          <w:ilvl w:val="2"/>
          <w:numId w:val="332"/>
        </w:numPr>
        <w:tabs>
          <w:tab w:val="left" w:pos="1215"/>
        </w:tabs>
        <w:spacing w:before="40" w:line="238" w:lineRule="exact"/>
        <w:rPr>
          <w:sz w:val="21"/>
        </w:rPr>
      </w:pPr>
      <w:r>
        <w:rPr>
          <w:color w:val="231F20"/>
          <w:sz w:val="21"/>
        </w:rPr>
        <w:t>Зміст спеціальних</w:t>
      </w:r>
      <w:r>
        <w:rPr>
          <w:color w:val="231F20"/>
          <w:spacing w:val="-2"/>
          <w:sz w:val="21"/>
        </w:rPr>
        <w:t xml:space="preserve"> </w:t>
      </w:r>
      <w:r>
        <w:rPr>
          <w:color w:val="231F20"/>
          <w:sz w:val="21"/>
        </w:rPr>
        <w:t>принципів</w:t>
      </w:r>
    </w:p>
    <w:p w14:paraId="188A07D0" w14:textId="77777777" w:rsidR="00DE575E" w:rsidRDefault="002E7560">
      <w:pPr>
        <w:pStyle w:val="BodyText"/>
        <w:tabs>
          <w:tab w:val="left" w:pos="6477"/>
        </w:tabs>
        <w:spacing w:line="238" w:lineRule="exact"/>
        <w:ind w:left="1214"/>
        <w:rPr>
          <w:b/>
          <w:sz w:val="20"/>
        </w:rPr>
      </w:pPr>
      <w:r>
        <w:rPr>
          <w:color w:val="231F20"/>
        </w:rPr>
        <w:t>адміністративної</w:t>
      </w:r>
      <w:r>
        <w:rPr>
          <w:color w:val="231F20"/>
          <w:spacing w:val="-3"/>
        </w:rPr>
        <w:t xml:space="preserve"> </w:t>
      </w:r>
      <w:r>
        <w:rPr>
          <w:color w:val="231F20"/>
        </w:rPr>
        <w:t>процедури</w:t>
      </w:r>
      <w:r>
        <w:rPr>
          <w:color w:val="231F20"/>
          <w:u w:val="dotted" w:color="231F20"/>
        </w:rPr>
        <w:t xml:space="preserve"> </w:t>
      </w:r>
      <w:r>
        <w:rPr>
          <w:color w:val="231F20"/>
          <w:u w:val="dotted" w:color="231F20"/>
        </w:rPr>
        <w:tab/>
      </w:r>
      <w:r>
        <w:rPr>
          <w:b/>
          <w:sz w:val="20"/>
        </w:rPr>
        <w:t>300</w:t>
      </w:r>
    </w:p>
    <w:p w14:paraId="025A80D2" w14:textId="77777777" w:rsidR="00DE575E" w:rsidRDefault="002E7560">
      <w:pPr>
        <w:pStyle w:val="Heading5"/>
        <w:numPr>
          <w:ilvl w:val="1"/>
          <w:numId w:val="332"/>
        </w:numPr>
        <w:tabs>
          <w:tab w:val="left" w:pos="648"/>
          <w:tab w:val="left" w:pos="6477"/>
        </w:tabs>
        <w:spacing w:before="69"/>
        <w:jc w:val="left"/>
        <w:rPr>
          <w:sz w:val="20"/>
        </w:rPr>
      </w:pPr>
      <w:r>
        <w:rPr>
          <w:color w:val="231F20"/>
        </w:rPr>
        <w:t>Учасники</w:t>
      </w:r>
      <w:r>
        <w:rPr>
          <w:color w:val="231F20"/>
          <w:spacing w:val="-5"/>
        </w:rPr>
        <w:t xml:space="preserve"> </w:t>
      </w:r>
      <w:r>
        <w:rPr>
          <w:color w:val="231F20"/>
        </w:rPr>
        <w:t>адміністративної</w:t>
      </w:r>
      <w:r>
        <w:rPr>
          <w:color w:val="231F20"/>
          <w:spacing w:val="-6"/>
        </w:rPr>
        <w:t xml:space="preserve"> </w:t>
      </w:r>
      <w:r>
        <w:rPr>
          <w:color w:val="231F20"/>
        </w:rPr>
        <w:t>процедури</w:t>
      </w:r>
      <w:r>
        <w:rPr>
          <w:color w:val="231F20"/>
          <w:u w:val="dotted" w:color="231F20"/>
        </w:rPr>
        <w:t xml:space="preserve"> </w:t>
      </w:r>
      <w:r>
        <w:rPr>
          <w:color w:val="231F20"/>
          <w:u w:val="dotted" w:color="231F20"/>
        </w:rPr>
        <w:tab/>
      </w:r>
      <w:r>
        <w:rPr>
          <w:sz w:val="20"/>
        </w:rPr>
        <w:t>304</w:t>
      </w:r>
    </w:p>
    <w:p w14:paraId="650CABFD" w14:textId="77777777" w:rsidR="00DE575E" w:rsidRDefault="002E7560">
      <w:pPr>
        <w:pStyle w:val="ListParagraph"/>
        <w:numPr>
          <w:ilvl w:val="2"/>
          <w:numId w:val="332"/>
        </w:numPr>
        <w:tabs>
          <w:tab w:val="left" w:pos="1215"/>
          <w:tab w:val="left" w:pos="6477"/>
        </w:tabs>
        <w:spacing w:before="41"/>
        <w:rPr>
          <w:b/>
          <w:sz w:val="20"/>
        </w:rPr>
      </w:pPr>
      <w:r>
        <w:rPr>
          <w:color w:val="231F20"/>
          <w:sz w:val="21"/>
        </w:rPr>
        <w:t>Адміністративний</w:t>
      </w:r>
      <w:r>
        <w:rPr>
          <w:color w:val="231F20"/>
          <w:spacing w:val="-1"/>
          <w:sz w:val="21"/>
        </w:rPr>
        <w:t xml:space="preserve"> </w:t>
      </w:r>
      <w:r>
        <w:rPr>
          <w:color w:val="231F20"/>
          <w:sz w:val="21"/>
        </w:rPr>
        <w:t>орган</w:t>
      </w:r>
      <w:r>
        <w:rPr>
          <w:color w:val="231F20"/>
          <w:sz w:val="21"/>
          <w:u w:val="dotted" w:color="231F20"/>
        </w:rPr>
        <w:t xml:space="preserve"> </w:t>
      </w:r>
      <w:r>
        <w:rPr>
          <w:color w:val="231F20"/>
          <w:sz w:val="21"/>
          <w:u w:val="dotted" w:color="231F20"/>
        </w:rPr>
        <w:tab/>
      </w:r>
      <w:r>
        <w:rPr>
          <w:b/>
          <w:sz w:val="20"/>
        </w:rPr>
        <w:t>305</w:t>
      </w:r>
    </w:p>
    <w:p w14:paraId="322EEF7E" w14:textId="77777777" w:rsidR="00DE575E" w:rsidRDefault="00DE575E">
      <w:pPr>
        <w:pStyle w:val="BodyText"/>
        <w:rPr>
          <w:b/>
          <w:sz w:val="20"/>
        </w:rPr>
      </w:pPr>
    </w:p>
    <w:p w14:paraId="4DA67270" w14:textId="77777777" w:rsidR="00DE575E" w:rsidRDefault="00DE575E">
      <w:pPr>
        <w:pStyle w:val="BodyText"/>
        <w:spacing w:before="5"/>
        <w:rPr>
          <w:b/>
        </w:rPr>
      </w:pPr>
    </w:p>
    <w:p w14:paraId="05811F56" w14:textId="77777777" w:rsidR="00DE575E" w:rsidRDefault="002E7560">
      <w:pPr>
        <w:ind w:right="418"/>
        <w:jc w:val="right"/>
        <w:rPr>
          <w:rFonts w:ascii="Times New Roman"/>
          <w:sz w:val="20"/>
        </w:rPr>
      </w:pPr>
      <w:r>
        <w:rPr>
          <w:rFonts w:ascii="Times New Roman"/>
          <w:color w:val="231F20"/>
          <w:w w:val="90"/>
          <w:sz w:val="20"/>
        </w:rPr>
        <w:t>11</w:t>
      </w:r>
    </w:p>
    <w:p w14:paraId="459BE841"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0929E06E"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6939522" w14:textId="57E581F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6322727" wp14:editId="21BFD89B">
                <wp:extent cx="4140200" cy="6350"/>
                <wp:effectExtent l="0" t="0" r="12700" b="6350"/>
                <wp:docPr id="1392"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93" name="Line 139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D1A92" id="Group_x0020_139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D/3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W/sP/fQIAAJwFAAAOAAAA&#10;AAAAAAAAAAAAACwCAABkcnMvZTJvRG9jLnhtbFBLAQItABQABgAIAAAAIQBMp7CQ2QAAAAMBAAAP&#10;AAAAAAAAAAAAAAAAANUEAABkcnMvZG93bnJldi54bWxQSwUGAAAAAAQABADzAAAA2wUAAAAA&#10;">
                <v:line id="Line_x0020_139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skC8QAAADdAAAADwAAAGRycy9kb3ducmV2LnhtbERP22rCQBB9L/Qflin0pehGA2Kjq4gg&#10;SB+8pR8wZqdJ6O5szK4m7de7QqFvczjXmS97a8SNWl87VjAaJiCIC6drLhV85pvBFIQPyBqNY1Lw&#10;Qx6Wi+enOWbadXyk2ymUIoawz1BBFUKTSemLiiz6oWuII/flWoshwraUusUuhlsjx0kykRZrjg0V&#10;NrSuqPg+Xa2C/PIWzGH/Ybp8f07l+bJLf687pV5f+tUMRKA+/Iv/3Fsd56fv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eyQLxAAAAN0AAAAPAAAAAAAAAAAA&#10;AAAAAKECAABkcnMvZG93bnJldi54bWxQSwUGAAAAAAQABAD5AAAAkgMAAAAA&#10;" strokecolor="#231f20" strokeweight=".5pt"/>
                <w10:anchorlock/>
              </v:group>
            </w:pict>
          </mc:Fallback>
        </mc:AlternateContent>
      </w:r>
    </w:p>
    <w:p w14:paraId="06CD0389" w14:textId="77777777" w:rsidR="00DE575E" w:rsidRDefault="00DE575E">
      <w:pPr>
        <w:pStyle w:val="BodyText"/>
        <w:spacing w:before="7"/>
        <w:rPr>
          <w:rFonts w:ascii="AdonisC"/>
          <w:i/>
          <w:sz w:val="11"/>
        </w:rPr>
      </w:pPr>
    </w:p>
    <w:p w14:paraId="020D4B81" w14:textId="77777777" w:rsidR="00DE575E" w:rsidRDefault="002E7560">
      <w:pPr>
        <w:pStyle w:val="ListParagraph"/>
        <w:numPr>
          <w:ilvl w:val="2"/>
          <w:numId w:val="332"/>
        </w:numPr>
        <w:tabs>
          <w:tab w:val="left" w:pos="1498"/>
        </w:tabs>
        <w:spacing w:before="101" w:line="233" w:lineRule="exact"/>
        <w:ind w:left="1497"/>
        <w:rPr>
          <w:sz w:val="21"/>
        </w:rPr>
      </w:pPr>
      <w:r>
        <w:rPr>
          <w:color w:val="231F20"/>
          <w:sz w:val="21"/>
        </w:rPr>
        <w:t>Адресат (зокрема</w:t>
      </w:r>
      <w:r>
        <w:rPr>
          <w:color w:val="231F20"/>
          <w:spacing w:val="-1"/>
          <w:sz w:val="21"/>
        </w:rPr>
        <w:t xml:space="preserve"> </w:t>
      </w:r>
      <w:r>
        <w:rPr>
          <w:color w:val="231F20"/>
          <w:sz w:val="21"/>
        </w:rPr>
        <w:t>заявник)</w:t>
      </w:r>
    </w:p>
    <w:p w14:paraId="53165832" w14:textId="77777777" w:rsidR="00DE575E" w:rsidRDefault="002E7560">
      <w:pPr>
        <w:pStyle w:val="BodyText"/>
        <w:tabs>
          <w:tab w:val="left" w:pos="6760"/>
        </w:tabs>
        <w:spacing w:line="233" w:lineRule="exact"/>
        <w:ind w:left="1497"/>
        <w:rPr>
          <w:b/>
          <w:sz w:val="20"/>
        </w:rPr>
      </w:pPr>
      <w:r>
        <w:rPr>
          <w:color w:val="231F20"/>
        </w:rPr>
        <w:t>адміністративної</w:t>
      </w:r>
      <w:r>
        <w:rPr>
          <w:color w:val="231F20"/>
          <w:spacing w:val="-3"/>
        </w:rPr>
        <w:t xml:space="preserve"> </w:t>
      </w:r>
      <w:r>
        <w:rPr>
          <w:color w:val="231F20"/>
        </w:rPr>
        <w:t>процедури</w:t>
      </w:r>
      <w:r>
        <w:rPr>
          <w:color w:val="231F20"/>
          <w:u w:val="dotted" w:color="231F20"/>
        </w:rPr>
        <w:t xml:space="preserve"> </w:t>
      </w:r>
      <w:r>
        <w:rPr>
          <w:color w:val="231F20"/>
          <w:u w:val="dotted" w:color="231F20"/>
        </w:rPr>
        <w:tab/>
      </w:r>
      <w:r>
        <w:rPr>
          <w:b/>
          <w:sz w:val="20"/>
        </w:rPr>
        <w:t>306</w:t>
      </w:r>
    </w:p>
    <w:p w14:paraId="1B42692F" w14:textId="77777777" w:rsidR="00DE575E" w:rsidRDefault="002E7560">
      <w:pPr>
        <w:pStyle w:val="ListParagraph"/>
        <w:numPr>
          <w:ilvl w:val="2"/>
          <w:numId w:val="332"/>
        </w:numPr>
        <w:tabs>
          <w:tab w:val="left" w:pos="1498"/>
          <w:tab w:val="left" w:pos="6760"/>
        </w:tabs>
        <w:spacing w:before="30"/>
        <w:ind w:left="1497"/>
        <w:rPr>
          <w:b/>
          <w:sz w:val="20"/>
        </w:rPr>
      </w:pPr>
      <w:r>
        <w:rPr>
          <w:color w:val="231F20"/>
          <w:sz w:val="21"/>
        </w:rPr>
        <w:t>Заінтересовані особи</w:t>
      </w:r>
      <w:r>
        <w:rPr>
          <w:color w:val="231F20"/>
          <w:sz w:val="21"/>
          <w:u w:val="dotted" w:color="231F20"/>
        </w:rPr>
        <w:t xml:space="preserve"> </w:t>
      </w:r>
      <w:r>
        <w:rPr>
          <w:color w:val="231F20"/>
          <w:sz w:val="21"/>
          <w:u w:val="dotted" w:color="231F20"/>
        </w:rPr>
        <w:tab/>
      </w:r>
      <w:r>
        <w:rPr>
          <w:b/>
          <w:sz w:val="20"/>
        </w:rPr>
        <w:t>308</w:t>
      </w:r>
    </w:p>
    <w:p w14:paraId="5DC9F395" w14:textId="77777777" w:rsidR="00DE575E" w:rsidRDefault="002E7560">
      <w:pPr>
        <w:pStyle w:val="ListParagraph"/>
        <w:numPr>
          <w:ilvl w:val="2"/>
          <w:numId w:val="332"/>
        </w:numPr>
        <w:tabs>
          <w:tab w:val="left" w:pos="1498"/>
          <w:tab w:val="left" w:pos="6760"/>
        </w:tabs>
        <w:spacing w:before="31"/>
        <w:ind w:left="1497"/>
        <w:rPr>
          <w:b/>
          <w:sz w:val="20"/>
        </w:rPr>
      </w:pPr>
      <w:r>
        <w:rPr>
          <w:color w:val="231F20"/>
          <w:sz w:val="21"/>
        </w:rPr>
        <w:t>Представництво в</w:t>
      </w:r>
      <w:r>
        <w:rPr>
          <w:color w:val="231F20"/>
          <w:spacing w:val="-7"/>
          <w:sz w:val="21"/>
        </w:rPr>
        <w:t xml:space="preserve"> </w:t>
      </w:r>
      <w:r>
        <w:rPr>
          <w:color w:val="231F20"/>
          <w:sz w:val="21"/>
        </w:rPr>
        <w:t>адміністративній</w:t>
      </w:r>
      <w:r>
        <w:rPr>
          <w:color w:val="231F20"/>
          <w:spacing w:val="-4"/>
          <w:sz w:val="21"/>
        </w:rPr>
        <w:t xml:space="preserve"> </w:t>
      </w:r>
      <w:r>
        <w:rPr>
          <w:color w:val="231F20"/>
          <w:sz w:val="21"/>
        </w:rPr>
        <w:t>процедурі</w:t>
      </w:r>
      <w:r>
        <w:rPr>
          <w:color w:val="231F20"/>
          <w:sz w:val="21"/>
          <w:u w:val="dotted" w:color="231F20"/>
        </w:rPr>
        <w:t xml:space="preserve"> </w:t>
      </w:r>
      <w:r>
        <w:rPr>
          <w:color w:val="231F20"/>
          <w:sz w:val="21"/>
          <w:u w:val="dotted" w:color="231F20"/>
        </w:rPr>
        <w:tab/>
      </w:r>
      <w:r>
        <w:rPr>
          <w:b/>
          <w:sz w:val="20"/>
        </w:rPr>
        <w:t>309</w:t>
      </w:r>
    </w:p>
    <w:p w14:paraId="27928E38" w14:textId="77777777" w:rsidR="00DE575E" w:rsidRDefault="002E7560">
      <w:pPr>
        <w:pStyle w:val="Heading5"/>
        <w:numPr>
          <w:ilvl w:val="1"/>
          <w:numId w:val="332"/>
        </w:numPr>
        <w:tabs>
          <w:tab w:val="left" w:pos="931"/>
        </w:tabs>
        <w:spacing w:before="58" w:line="233" w:lineRule="exact"/>
        <w:ind w:left="930"/>
        <w:jc w:val="left"/>
      </w:pPr>
      <w:r>
        <w:rPr>
          <w:color w:val="231F20"/>
        </w:rPr>
        <w:t>Стадії адміністративної</w:t>
      </w:r>
      <w:r>
        <w:rPr>
          <w:color w:val="231F20"/>
          <w:spacing w:val="-3"/>
        </w:rPr>
        <w:t xml:space="preserve"> </w:t>
      </w:r>
      <w:r>
        <w:rPr>
          <w:color w:val="231F20"/>
        </w:rPr>
        <w:t>процедури.</w:t>
      </w:r>
    </w:p>
    <w:p w14:paraId="3C66D42F" w14:textId="77777777" w:rsidR="00DE575E" w:rsidRDefault="002E7560">
      <w:pPr>
        <w:tabs>
          <w:tab w:val="left" w:pos="6760"/>
        </w:tabs>
        <w:spacing w:line="233" w:lineRule="exact"/>
        <w:ind w:left="930"/>
        <w:rPr>
          <w:b/>
          <w:sz w:val="20"/>
        </w:rPr>
      </w:pPr>
      <w:r>
        <w:rPr>
          <w:b/>
          <w:color w:val="231F20"/>
          <w:sz w:val="21"/>
        </w:rPr>
        <w:t>Ініціювання та</w:t>
      </w:r>
      <w:r>
        <w:rPr>
          <w:b/>
          <w:color w:val="231F20"/>
          <w:spacing w:val="-7"/>
          <w:sz w:val="21"/>
        </w:rPr>
        <w:t xml:space="preserve"> </w:t>
      </w:r>
      <w:r>
        <w:rPr>
          <w:b/>
          <w:color w:val="231F20"/>
          <w:sz w:val="21"/>
        </w:rPr>
        <w:t>початок</w:t>
      </w:r>
      <w:r>
        <w:rPr>
          <w:b/>
          <w:color w:val="231F20"/>
          <w:spacing w:val="-4"/>
          <w:sz w:val="21"/>
        </w:rPr>
        <w:t xml:space="preserve"> </w:t>
      </w:r>
      <w:r>
        <w:rPr>
          <w:b/>
          <w:color w:val="231F20"/>
          <w:sz w:val="21"/>
        </w:rPr>
        <w:t>провадження</w:t>
      </w:r>
      <w:r>
        <w:rPr>
          <w:b/>
          <w:color w:val="231F20"/>
          <w:sz w:val="21"/>
          <w:u w:val="dotted" w:color="231F20"/>
        </w:rPr>
        <w:t xml:space="preserve"> </w:t>
      </w:r>
      <w:r>
        <w:rPr>
          <w:b/>
          <w:color w:val="231F20"/>
          <w:sz w:val="21"/>
          <w:u w:val="dotted" w:color="231F20"/>
        </w:rPr>
        <w:tab/>
      </w:r>
      <w:r>
        <w:rPr>
          <w:b/>
          <w:sz w:val="20"/>
        </w:rPr>
        <w:t>310</w:t>
      </w:r>
    </w:p>
    <w:p w14:paraId="4FE6E0BF" w14:textId="77777777" w:rsidR="00DE575E" w:rsidRDefault="002E7560">
      <w:pPr>
        <w:pStyle w:val="ListParagraph"/>
        <w:numPr>
          <w:ilvl w:val="2"/>
          <w:numId w:val="332"/>
        </w:numPr>
        <w:tabs>
          <w:tab w:val="left" w:pos="1498"/>
          <w:tab w:val="left" w:pos="6760"/>
        </w:tabs>
        <w:spacing w:before="31"/>
        <w:ind w:left="1497"/>
        <w:rPr>
          <w:b/>
          <w:sz w:val="20"/>
        </w:rPr>
      </w:pPr>
      <w:r>
        <w:rPr>
          <w:color w:val="231F20"/>
          <w:sz w:val="21"/>
        </w:rPr>
        <w:t>Підготовка справи</w:t>
      </w:r>
      <w:r>
        <w:rPr>
          <w:color w:val="231F20"/>
          <w:spacing w:val="-8"/>
          <w:sz w:val="21"/>
        </w:rPr>
        <w:t xml:space="preserve"> </w:t>
      </w:r>
      <w:r>
        <w:rPr>
          <w:color w:val="231F20"/>
          <w:sz w:val="21"/>
        </w:rPr>
        <w:t>до</w:t>
      </w:r>
      <w:r>
        <w:rPr>
          <w:color w:val="231F20"/>
          <w:spacing w:val="-5"/>
          <w:sz w:val="21"/>
        </w:rPr>
        <w:t xml:space="preserve"> </w:t>
      </w:r>
      <w:r>
        <w:rPr>
          <w:color w:val="231F20"/>
          <w:sz w:val="21"/>
        </w:rPr>
        <w:t>розгляду</w:t>
      </w:r>
      <w:r>
        <w:rPr>
          <w:color w:val="231F20"/>
          <w:sz w:val="21"/>
          <w:u w:val="dotted" w:color="231F20"/>
        </w:rPr>
        <w:t xml:space="preserve"> </w:t>
      </w:r>
      <w:r>
        <w:rPr>
          <w:color w:val="231F20"/>
          <w:sz w:val="21"/>
          <w:u w:val="dotted" w:color="231F20"/>
        </w:rPr>
        <w:tab/>
      </w:r>
      <w:r>
        <w:rPr>
          <w:b/>
          <w:sz w:val="20"/>
        </w:rPr>
        <w:t>311</w:t>
      </w:r>
    </w:p>
    <w:p w14:paraId="6748D8C6" w14:textId="77777777" w:rsidR="00DE575E" w:rsidRDefault="002E7560">
      <w:pPr>
        <w:pStyle w:val="ListParagraph"/>
        <w:numPr>
          <w:ilvl w:val="2"/>
          <w:numId w:val="332"/>
        </w:numPr>
        <w:tabs>
          <w:tab w:val="left" w:pos="1498"/>
          <w:tab w:val="left" w:pos="6760"/>
        </w:tabs>
        <w:spacing w:before="30"/>
        <w:ind w:left="1497"/>
        <w:rPr>
          <w:b/>
          <w:sz w:val="20"/>
        </w:rPr>
      </w:pPr>
      <w:r>
        <w:rPr>
          <w:color w:val="231F20"/>
          <w:spacing w:val="-3"/>
          <w:sz w:val="21"/>
        </w:rPr>
        <w:t xml:space="preserve">Розгляд </w:t>
      </w:r>
      <w:r>
        <w:rPr>
          <w:color w:val="231F20"/>
          <w:sz w:val="21"/>
        </w:rPr>
        <w:t>і</w:t>
      </w:r>
      <w:r>
        <w:rPr>
          <w:color w:val="231F20"/>
          <w:spacing w:val="1"/>
          <w:sz w:val="21"/>
        </w:rPr>
        <w:t xml:space="preserve"> </w:t>
      </w:r>
      <w:r>
        <w:rPr>
          <w:color w:val="231F20"/>
          <w:sz w:val="21"/>
        </w:rPr>
        <w:t>вирішення</w:t>
      </w:r>
      <w:r>
        <w:rPr>
          <w:color w:val="231F20"/>
          <w:spacing w:val="-1"/>
          <w:sz w:val="21"/>
        </w:rPr>
        <w:t xml:space="preserve"> </w:t>
      </w:r>
      <w:r>
        <w:rPr>
          <w:color w:val="231F20"/>
          <w:sz w:val="21"/>
        </w:rPr>
        <w:t>справи</w:t>
      </w:r>
      <w:r>
        <w:rPr>
          <w:color w:val="231F20"/>
          <w:sz w:val="21"/>
          <w:u w:val="dotted" w:color="231F20"/>
        </w:rPr>
        <w:t xml:space="preserve"> </w:t>
      </w:r>
      <w:r>
        <w:rPr>
          <w:color w:val="231F20"/>
          <w:sz w:val="21"/>
          <w:u w:val="dotted" w:color="231F20"/>
        </w:rPr>
        <w:tab/>
      </w:r>
      <w:r>
        <w:rPr>
          <w:b/>
          <w:sz w:val="20"/>
        </w:rPr>
        <w:t>312</w:t>
      </w:r>
    </w:p>
    <w:p w14:paraId="70B11884" w14:textId="77777777" w:rsidR="00DE575E" w:rsidRDefault="002E7560">
      <w:pPr>
        <w:pStyle w:val="ListParagraph"/>
        <w:numPr>
          <w:ilvl w:val="2"/>
          <w:numId w:val="332"/>
        </w:numPr>
        <w:tabs>
          <w:tab w:val="left" w:pos="1498"/>
        </w:tabs>
        <w:spacing w:before="53" w:line="213" w:lineRule="auto"/>
        <w:ind w:left="1497" w:right="2094"/>
        <w:rPr>
          <w:sz w:val="21"/>
        </w:rPr>
      </w:pPr>
      <w:r>
        <w:rPr>
          <w:color w:val="231F20"/>
          <w:sz w:val="21"/>
        </w:rPr>
        <w:t>Оформлення адміністративного акта, його доведення до відома</w:t>
      </w:r>
      <w:r>
        <w:rPr>
          <w:color w:val="231F20"/>
          <w:spacing w:val="-12"/>
          <w:sz w:val="21"/>
        </w:rPr>
        <w:t xml:space="preserve"> </w:t>
      </w:r>
      <w:r>
        <w:rPr>
          <w:color w:val="231F20"/>
          <w:sz w:val="21"/>
        </w:rPr>
        <w:t>адресатів</w:t>
      </w:r>
    </w:p>
    <w:p w14:paraId="55067211" w14:textId="77777777" w:rsidR="00DE575E" w:rsidRDefault="002E7560">
      <w:pPr>
        <w:pStyle w:val="BodyText"/>
        <w:tabs>
          <w:tab w:val="left" w:pos="6760"/>
        </w:tabs>
        <w:spacing w:line="226" w:lineRule="exact"/>
        <w:ind w:left="1497"/>
        <w:rPr>
          <w:b/>
          <w:sz w:val="20"/>
        </w:rPr>
      </w:pPr>
      <w:r>
        <w:rPr>
          <w:color w:val="231F20"/>
        </w:rPr>
        <w:t>й</w:t>
      </w:r>
      <w:r>
        <w:rPr>
          <w:color w:val="231F20"/>
          <w:spacing w:val="-1"/>
        </w:rPr>
        <w:t xml:space="preserve"> </w:t>
      </w:r>
      <w:r>
        <w:rPr>
          <w:color w:val="231F20"/>
        </w:rPr>
        <w:t>заінтересованих осіб</w:t>
      </w:r>
      <w:r>
        <w:rPr>
          <w:color w:val="231F20"/>
          <w:u w:val="dotted" w:color="231F20"/>
        </w:rPr>
        <w:t xml:space="preserve"> </w:t>
      </w:r>
      <w:r>
        <w:rPr>
          <w:color w:val="231F20"/>
          <w:u w:val="dotted" w:color="231F20"/>
        </w:rPr>
        <w:tab/>
      </w:r>
      <w:r>
        <w:rPr>
          <w:b/>
          <w:sz w:val="20"/>
        </w:rPr>
        <w:t>313</w:t>
      </w:r>
    </w:p>
    <w:p w14:paraId="7352E897" w14:textId="77777777" w:rsidR="00DE575E" w:rsidRDefault="002E7560">
      <w:pPr>
        <w:pStyle w:val="ListParagraph"/>
        <w:numPr>
          <w:ilvl w:val="2"/>
          <w:numId w:val="332"/>
        </w:numPr>
        <w:tabs>
          <w:tab w:val="left" w:pos="1498"/>
          <w:tab w:val="left" w:pos="6760"/>
        </w:tabs>
        <w:spacing w:before="30"/>
        <w:ind w:left="1497"/>
        <w:rPr>
          <w:b/>
          <w:sz w:val="20"/>
        </w:rPr>
      </w:pPr>
      <w:r>
        <w:rPr>
          <w:color w:val="231F20"/>
          <w:spacing w:val="-3"/>
          <w:sz w:val="21"/>
        </w:rPr>
        <w:t>Перегляд</w:t>
      </w:r>
      <w:r>
        <w:rPr>
          <w:color w:val="231F20"/>
          <w:spacing w:val="-2"/>
          <w:sz w:val="21"/>
        </w:rPr>
        <w:t xml:space="preserve"> </w:t>
      </w:r>
      <w:r>
        <w:rPr>
          <w:color w:val="231F20"/>
          <w:sz w:val="21"/>
        </w:rPr>
        <w:t>адміністративного</w:t>
      </w:r>
      <w:r>
        <w:rPr>
          <w:color w:val="231F20"/>
          <w:spacing w:val="-2"/>
          <w:sz w:val="21"/>
        </w:rPr>
        <w:t xml:space="preserve"> </w:t>
      </w:r>
      <w:r>
        <w:rPr>
          <w:color w:val="231F20"/>
          <w:sz w:val="21"/>
        </w:rPr>
        <w:t>акта</w:t>
      </w:r>
      <w:r>
        <w:rPr>
          <w:color w:val="231F20"/>
          <w:sz w:val="21"/>
          <w:u w:val="dotted" w:color="231F20"/>
        </w:rPr>
        <w:t xml:space="preserve"> </w:t>
      </w:r>
      <w:r>
        <w:rPr>
          <w:color w:val="231F20"/>
          <w:sz w:val="21"/>
          <w:u w:val="dotted" w:color="231F20"/>
        </w:rPr>
        <w:tab/>
      </w:r>
      <w:r>
        <w:rPr>
          <w:b/>
          <w:sz w:val="20"/>
        </w:rPr>
        <w:t>314</w:t>
      </w:r>
    </w:p>
    <w:p w14:paraId="4EB1D0B5" w14:textId="77777777" w:rsidR="00DE575E" w:rsidRDefault="00DE575E">
      <w:pPr>
        <w:pStyle w:val="BodyText"/>
        <w:spacing w:before="6"/>
        <w:rPr>
          <w:b/>
          <w:sz w:val="20"/>
        </w:rPr>
      </w:pPr>
    </w:p>
    <w:p w14:paraId="16A0804E" w14:textId="77777777" w:rsidR="00DE575E" w:rsidRDefault="002E7560">
      <w:pPr>
        <w:pStyle w:val="Heading5"/>
        <w:spacing w:before="1"/>
      </w:pPr>
      <w:r>
        <w:rPr>
          <w:color w:val="231F20"/>
        </w:rPr>
        <w:t>Розділ 9</w:t>
      </w:r>
    </w:p>
    <w:p w14:paraId="2666EDEE" w14:textId="77777777" w:rsidR="00DE575E" w:rsidRDefault="002E7560">
      <w:pPr>
        <w:spacing w:before="13"/>
        <w:ind w:left="533"/>
        <w:rPr>
          <w:b/>
          <w:sz w:val="21"/>
        </w:rPr>
      </w:pPr>
      <w:r>
        <w:rPr>
          <w:b/>
          <w:color w:val="231F20"/>
          <w:sz w:val="21"/>
        </w:rPr>
        <w:t>ЗАХИСТ ПРИВАТНОЇ ОСОБИ У СФЕРІ</w:t>
      </w:r>
    </w:p>
    <w:p w14:paraId="55C282C6" w14:textId="77777777" w:rsidR="00DE575E" w:rsidRDefault="002E7560">
      <w:pPr>
        <w:tabs>
          <w:tab w:val="left" w:pos="6760"/>
        </w:tabs>
        <w:spacing w:before="14"/>
        <w:ind w:left="533"/>
        <w:rPr>
          <w:b/>
          <w:sz w:val="20"/>
        </w:rPr>
      </w:pPr>
      <w:r>
        <w:rPr>
          <w:b/>
          <w:color w:val="231F20"/>
          <w:sz w:val="21"/>
        </w:rPr>
        <w:t>ПУБЛІЧНОГО</w:t>
      </w:r>
      <w:r>
        <w:rPr>
          <w:b/>
          <w:color w:val="231F20"/>
          <w:spacing w:val="-7"/>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318</w:t>
      </w:r>
    </w:p>
    <w:p w14:paraId="221FD26E" w14:textId="77777777" w:rsidR="00DE575E" w:rsidRDefault="002E7560">
      <w:pPr>
        <w:pStyle w:val="ListParagraph"/>
        <w:numPr>
          <w:ilvl w:val="1"/>
          <w:numId w:val="331"/>
        </w:numPr>
        <w:tabs>
          <w:tab w:val="left" w:pos="931"/>
        </w:tabs>
        <w:spacing w:before="81" w:line="213" w:lineRule="auto"/>
        <w:ind w:right="1900"/>
        <w:rPr>
          <w:b/>
          <w:sz w:val="21"/>
        </w:rPr>
      </w:pPr>
      <w:r>
        <w:rPr>
          <w:b/>
          <w:color w:val="231F20"/>
          <w:sz w:val="21"/>
        </w:rPr>
        <w:t>Поняття інструментів захисту прав,</w:t>
      </w:r>
      <w:r>
        <w:rPr>
          <w:b/>
          <w:color w:val="231F20"/>
          <w:spacing w:val="-34"/>
          <w:sz w:val="21"/>
        </w:rPr>
        <w:t xml:space="preserve"> </w:t>
      </w:r>
      <w:r>
        <w:rPr>
          <w:b/>
          <w:color w:val="231F20"/>
          <w:sz w:val="21"/>
        </w:rPr>
        <w:t>свобод та інтересів приватних осіб у</w:t>
      </w:r>
      <w:r>
        <w:rPr>
          <w:b/>
          <w:color w:val="231F20"/>
          <w:spacing w:val="-7"/>
          <w:sz w:val="21"/>
        </w:rPr>
        <w:t xml:space="preserve"> </w:t>
      </w:r>
      <w:r>
        <w:rPr>
          <w:b/>
          <w:color w:val="231F20"/>
          <w:sz w:val="21"/>
        </w:rPr>
        <w:t>сфері</w:t>
      </w:r>
    </w:p>
    <w:p w14:paraId="39D87A09" w14:textId="77777777" w:rsidR="00DE575E" w:rsidRDefault="002E7560">
      <w:pPr>
        <w:tabs>
          <w:tab w:val="left" w:pos="6760"/>
        </w:tabs>
        <w:spacing w:line="226" w:lineRule="exact"/>
        <w:ind w:left="930"/>
        <w:rPr>
          <w:b/>
          <w:sz w:val="20"/>
        </w:rPr>
      </w:pPr>
      <w:r>
        <w:rPr>
          <w:b/>
          <w:color w:val="231F20"/>
          <w:sz w:val="21"/>
        </w:rPr>
        <w:t>публічного</w:t>
      </w:r>
      <w:r>
        <w:rPr>
          <w:b/>
          <w:color w:val="231F20"/>
          <w:spacing w:val="-7"/>
          <w:sz w:val="21"/>
        </w:rPr>
        <w:t xml:space="preserve"> </w:t>
      </w:r>
      <w:r>
        <w:rPr>
          <w:b/>
          <w:color w:val="231F20"/>
          <w:sz w:val="21"/>
        </w:rPr>
        <w:t>адміністрування</w:t>
      </w:r>
      <w:r>
        <w:rPr>
          <w:b/>
          <w:color w:val="231F20"/>
          <w:sz w:val="21"/>
          <w:u w:val="dotted" w:color="231F20"/>
        </w:rPr>
        <w:t xml:space="preserve"> </w:t>
      </w:r>
      <w:r>
        <w:rPr>
          <w:b/>
          <w:color w:val="231F20"/>
          <w:sz w:val="21"/>
          <w:u w:val="dotted" w:color="231F20"/>
        </w:rPr>
        <w:tab/>
      </w:r>
      <w:r>
        <w:rPr>
          <w:b/>
          <w:sz w:val="20"/>
        </w:rPr>
        <w:t>318</w:t>
      </w:r>
    </w:p>
    <w:p w14:paraId="40CE8E53" w14:textId="77777777" w:rsidR="00DE575E" w:rsidRDefault="002E7560">
      <w:pPr>
        <w:pStyle w:val="ListParagraph"/>
        <w:numPr>
          <w:ilvl w:val="2"/>
          <w:numId w:val="331"/>
        </w:numPr>
        <w:tabs>
          <w:tab w:val="left" w:pos="1498"/>
        </w:tabs>
        <w:spacing w:before="30" w:line="233" w:lineRule="exact"/>
        <w:rPr>
          <w:sz w:val="21"/>
        </w:rPr>
      </w:pPr>
      <w:r>
        <w:rPr>
          <w:color w:val="231F20"/>
          <w:sz w:val="21"/>
        </w:rPr>
        <w:t>Види інструментів захисту</w:t>
      </w:r>
      <w:r>
        <w:rPr>
          <w:color w:val="231F20"/>
          <w:spacing w:val="-4"/>
          <w:sz w:val="21"/>
        </w:rPr>
        <w:t xml:space="preserve"> </w:t>
      </w:r>
      <w:r>
        <w:rPr>
          <w:color w:val="231F20"/>
          <w:sz w:val="21"/>
        </w:rPr>
        <w:t>особи</w:t>
      </w:r>
    </w:p>
    <w:p w14:paraId="4F36E4F0" w14:textId="77777777" w:rsidR="00DE575E" w:rsidRDefault="002E7560">
      <w:pPr>
        <w:pStyle w:val="BodyText"/>
        <w:tabs>
          <w:tab w:val="left" w:pos="6760"/>
        </w:tabs>
        <w:spacing w:line="233" w:lineRule="exact"/>
        <w:ind w:left="1497"/>
        <w:rPr>
          <w:b/>
          <w:sz w:val="20"/>
        </w:rPr>
      </w:pPr>
      <w:r>
        <w:rPr>
          <w:color w:val="231F20"/>
        </w:rPr>
        <w:t>та їх співвідношення</w:t>
      </w:r>
      <w:r>
        <w:rPr>
          <w:color w:val="231F20"/>
          <w:spacing w:val="-1"/>
        </w:rPr>
        <w:t xml:space="preserve"> </w:t>
      </w:r>
      <w:r>
        <w:rPr>
          <w:color w:val="231F20"/>
        </w:rPr>
        <w:t>між собою</w:t>
      </w:r>
      <w:r>
        <w:rPr>
          <w:color w:val="231F20"/>
          <w:u w:val="dotted" w:color="231F20"/>
        </w:rPr>
        <w:t xml:space="preserve"> </w:t>
      </w:r>
      <w:r>
        <w:rPr>
          <w:color w:val="231F20"/>
          <w:u w:val="dotted" w:color="231F20"/>
        </w:rPr>
        <w:tab/>
      </w:r>
      <w:r>
        <w:rPr>
          <w:b/>
          <w:sz w:val="20"/>
        </w:rPr>
        <w:t>319</w:t>
      </w:r>
    </w:p>
    <w:p w14:paraId="07F99C6A" w14:textId="77777777" w:rsidR="00DE575E" w:rsidRDefault="002E7560">
      <w:pPr>
        <w:pStyle w:val="Heading5"/>
        <w:numPr>
          <w:ilvl w:val="1"/>
          <w:numId w:val="331"/>
        </w:numPr>
        <w:tabs>
          <w:tab w:val="left" w:pos="931"/>
          <w:tab w:val="left" w:pos="6760"/>
        </w:tabs>
        <w:spacing w:before="81" w:line="213" w:lineRule="auto"/>
        <w:ind w:right="128"/>
        <w:rPr>
          <w:sz w:val="20"/>
        </w:rPr>
      </w:pPr>
      <w:r>
        <w:rPr>
          <w:color w:val="231F20"/>
        </w:rPr>
        <w:t>Медіація як альтернативний спосіб вирішення адміністративних</w:t>
      </w:r>
      <w:r>
        <w:rPr>
          <w:color w:val="231F20"/>
          <w:spacing w:val="-6"/>
        </w:rPr>
        <w:t xml:space="preserve"> </w:t>
      </w:r>
      <w:r>
        <w:rPr>
          <w:color w:val="231F20"/>
        </w:rPr>
        <w:t>спорів</w:t>
      </w:r>
      <w:r>
        <w:rPr>
          <w:color w:val="231F20"/>
          <w:u w:val="dotted" w:color="231F20"/>
        </w:rPr>
        <w:t xml:space="preserve"> </w:t>
      </w:r>
      <w:r>
        <w:rPr>
          <w:color w:val="231F20"/>
          <w:u w:val="dotted" w:color="231F20"/>
        </w:rPr>
        <w:tab/>
      </w:r>
      <w:r>
        <w:rPr>
          <w:w w:val="80"/>
          <w:sz w:val="20"/>
        </w:rPr>
        <w:t>321</w:t>
      </w:r>
    </w:p>
    <w:p w14:paraId="0DF23E17" w14:textId="77777777" w:rsidR="00DE575E" w:rsidRDefault="002E7560">
      <w:pPr>
        <w:pStyle w:val="ListParagraph"/>
        <w:numPr>
          <w:ilvl w:val="1"/>
          <w:numId w:val="331"/>
        </w:numPr>
        <w:tabs>
          <w:tab w:val="left" w:pos="931"/>
          <w:tab w:val="left" w:pos="6760"/>
        </w:tabs>
        <w:spacing w:before="65"/>
        <w:rPr>
          <w:b/>
          <w:sz w:val="20"/>
        </w:rPr>
      </w:pPr>
      <w:r>
        <w:rPr>
          <w:b/>
          <w:color w:val="231F20"/>
          <w:sz w:val="21"/>
        </w:rPr>
        <w:t>Поняття</w:t>
      </w:r>
      <w:r>
        <w:rPr>
          <w:b/>
          <w:color w:val="231F20"/>
          <w:spacing w:val="-7"/>
          <w:sz w:val="21"/>
        </w:rPr>
        <w:t xml:space="preserve"> </w:t>
      </w:r>
      <w:r>
        <w:rPr>
          <w:b/>
          <w:color w:val="231F20"/>
          <w:sz w:val="21"/>
        </w:rPr>
        <w:t>адміністративного</w:t>
      </w:r>
      <w:r>
        <w:rPr>
          <w:b/>
          <w:color w:val="231F20"/>
          <w:spacing w:val="-8"/>
          <w:sz w:val="21"/>
        </w:rPr>
        <w:t xml:space="preserve"> </w:t>
      </w:r>
      <w:r>
        <w:rPr>
          <w:b/>
          <w:color w:val="231F20"/>
          <w:sz w:val="21"/>
        </w:rPr>
        <w:t>оскарження</w:t>
      </w:r>
      <w:r>
        <w:rPr>
          <w:b/>
          <w:color w:val="231F20"/>
          <w:sz w:val="21"/>
          <w:u w:val="dotted" w:color="231F20"/>
        </w:rPr>
        <w:t xml:space="preserve"> </w:t>
      </w:r>
      <w:r>
        <w:rPr>
          <w:b/>
          <w:color w:val="231F20"/>
          <w:sz w:val="21"/>
          <w:u w:val="dotted" w:color="231F20"/>
        </w:rPr>
        <w:tab/>
      </w:r>
      <w:r>
        <w:rPr>
          <w:b/>
          <w:sz w:val="20"/>
        </w:rPr>
        <w:t>326</w:t>
      </w:r>
    </w:p>
    <w:p w14:paraId="2144B8F2" w14:textId="77777777" w:rsidR="00DE575E" w:rsidRDefault="002E7560">
      <w:pPr>
        <w:pStyle w:val="ListParagraph"/>
        <w:numPr>
          <w:ilvl w:val="2"/>
          <w:numId w:val="331"/>
        </w:numPr>
        <w:tabs>
          <w:tab w:val="left" w:pos="1498"/>
          <w:tab w:val="left" w:pos="6760"/>
        </w:tabs>
        <w:spacing w:before="31"/>
        <w:rPr>
          <w:b/>
          <w:sz w:val="20"/>
        </w:rPr>
      </w:pPr>
      <w:r>
        <w:rPr>
          <w:color w:val="231F20"/>
          <w:sz w:val="21"/>
        </w:rPr>
        <w:t>Підстави та порядок</w:t>
      </w:r>
      <w:r>
        <w:rPr>
          <w:color w:val="231F20"/>
          <w:spacing w:val="-7"/>
          <w:sz w:val="21"/>
        </w:rPr>
        <w:t xml:space="preserve"> </w:t>
      </w:r>
      <w:r>
        <w:rPr>
          <w:color w:val="231F20"/>
          <w:sz w:val="21"/>
        </w:rPr>
        <w:t>подання</w:t>
      </w:r>
      <w:r>
        <w:rPr>
          <w:color w:val="231F20"/>
          <w:spacing w:val="-3"/>
          <w:sz w:val="21"/>
        </w:rPr>
        <w:t xml:space="preserve"> </w:t>
      </w:r>
      <w:r>
        <w:rPr>
          <w:color w:val="231F20"/>
          <w:sz w:val="21"/>
        </w:rPr>
        <w:t>скарги</w:t>
      </w:r>
      <w:r>
        <w:rPr>
          <w:color w:val="231F20"/>
          <w:sz w:val="21"/>
          <w:u w:val="dotted" w:color="231F20"/>
        </w:rPr>
        <w:t xml:space="preserve"> </w:t>
      </w:r>
      <w:r>
        <w:rPr>
          <w:color w:val="231F20"/>
          <w:sz w:val="21"/>
          <w:u w:val="dotted" w:color="231F20"/>
        </w:rPr>
        <w:tab/>
      </w:r>
      <w:r>
        <w:rPr>
          <w:b/>
          <w:sz w:val="20"/>
        </w:rPr>
        <w:t>327</w:t>
      </w:r>
    </w:p>
    <w:p w14:paraId="6477E56B" w14:textId="77777777" w:rsidR="00DE575E" w:rsidRDefault="002E7560">
      <w:pPr>
        <w:pStyle w:val="ListParagraph"/>
        <w:numPr>
          <w:ilvl w:val="2"/>
          <w:numId w:val="331"/>
        </w:numPr>
        <w:tabs>
          <w:tab w:val="left" w:pos="1498"/>
          <w:tab w:val="left" w:pos="6760"/>
        </w:tabs>
        <w:spacing w:before="30"/>
        <w:rPr>
          <w:b/>
          <w:sz w:val="20"/>
        </w:rPr>
      </w:pPr>
      <w:r>
        <w:rPr>
          <w:color w:val="231F20"/>
          <w:sz w:val="21"/>
        </w:rPr>
        <w:t>Предмет</w:t>
      </w:r>
      <w:r>
        <w:rPr>
          <w:color w:val="231F20"/>
          <w:spacing w:val="-5"/>
          <w:sz w:val="21"/>
        </w:rPr>
        <w:t xml:space="preserve"> </w:t>
      </w:r>
      <w:r>
        <w:rPr>
          <w:color w:val="231F20"/>
          <w:sz w:val="21"/>
        </w:rPr>
        <w:t>адміністративного</w:t>
      </w:r>
      <w:r>
        <w:rPr>
          <w:color w:val="231F20"/>
          <w:spacing w:val="-5"/>
          <w:sz w:val="21"/>
        </w:rPr>
        <w:t xml:space="preserve"> </w:t>
      </w:r>
      <w:r>
        <w:rPr>
          <w:color w:val="231F20"/>
          <w:sz w:val="21"/>
        </w:rPr>
        <w:t>оскарження</w:t>
      </w:r>
      <w:r>
        <w:rPr>
          <w:color w:val="231F20"/>
          <w:sz w:val="21"/>
          <w:u w:val="dotted" w:color="231F20"/>
        </w:rPr>
        <w:t xml:space="preserve"> </w:t>
      </w:r>
      <w:r>
        <w:rPr>
          <w:color w:val="231F20"/>
          <w:sz w:val="21"/>
          <w:u w:val="dotted" w:color="231F20"/>
        </w:rPr>
        <w:tab/>
      </w:r>
      <w:r>
        <w:rPr>
          <w:b/>
          <w:sz w:val="20"/>
        </w:rPr>
        <w:t>328</w:t>
      </w:r>
    </w:p>
    <w:p w14:paraId="66A91AFA" w14:textId="77777777" w:rsidR="00DE575E" w:rsidRDefault="002E7560">
      <w:pPr>
        <w:pStyle w:val="ListParagraph"/>
        <w:numPr>
          <w:ilvl w:val="2"/>
          <w:numId w:val="331"/>
        </w:numPr>
        <w:tabs>
          <w:tab w:val="left" w:pos="1498"/>
          <w:tab w:val="left" w:pos="6760"/>
        </w:tabs>
        <w:spacing w:before="31"/>
        <w:rPr>
          <w:b/>
          <w:sz w:val="20"/>
        </w:rPr>
      </w:pPr>
      <w:r>
        <w:rPr>
          <w:color w:val="231F20"/>
          <w:spacing w:val="-4"/>
          <w:sz w:val="21"/>
        </w:rPr>
        <w:t>Суб’єкти</w:t>
      </w:r>
      <w:r>
        <w:rPr>
          <w:color w:val="231F20"/>
          <w:spacing w:val="-3"/>
          <w:sz w:val="21"/>
        </w:rPr>
        <w:t xml:space="preserve"> </w:t>
      </w:r>
      <w:r>
        <w:rPr>
          <w:color w:val="231F20"/>
          <w:sz w:val="21"/>
        </w:rPr>
        <w:t>адміністративного</w:t>
      </w:r>
      <w:r>
        <w:rPr>
          <w:color w:val="231F20"/>
          <w:spacing w:val="-3"/>
          <w:sz w:val="21"/>
        </w:rPr>
        <w:t xml:space="preserve"> </w:t>
      </w:r>
      <w:r>
        <w:rPr>
          <w:color w:val="231F20"/>
          <w:sz w:val="21"/>
        </w:rPr>
        <w:t>осадження</w:t>
      </w:r>
      <w:r>
        <w:rPr>
          <w:color w:val="231F20"/>
          <w:sz w:val="21"/>
          <w:u w:val="dotted" w:color="231F20"/>
        </w:rPr>
        <w:t xml:space="preserve"> </w:t>
      </w:r>
      <w:r>
        <w:rPr>
          <w:color w:val="231F20"/>
          <w:sz w:val="21"/>
          <w:u w:val="dotted" w:color="231F20"/>
        </w:rPr>
        <w:tab/>
      </w:r>
      <w:r>
        <w:rPr>
          <w:b/>
          <w:sz w:val="20"/>
        </w:rPr>
        <w:t>329</w:t>
      </w:r>
    </w:p>
    <w:p w14:paraId="007CD240" w14:textId="77777777" w:rsidR="00DE575E" w:rsidRDefault="002E7560">
      <w:pPr>
        <w:pStyle w:val="ListParagraph"/>
        <w:numPr>
          <w:ilvl w:val="2"/>
          <w:numId w:val="331"/>
        </w:numPr>
        <w:tabs>
          <w:tab w:val="left" w:pos="1498"/>
        </w:tabs>
        <w:spacing w:before="30" w:line="233" w:lineRule="exact"/>
        <w:rPr>
          <w:sz w:val="21"/>
        </w:rPr>
      </w:pPr>
      <w:r>
        <w:rPr>
          <w:color w:val="231F20"/>
          <w:sz w:val="21"/>
        </w:rPr>
        <w:t xml:space="preserve">Процедура </w:t>
      </w:r>
      <w:r>
        <w:rPr>
          <w:color w:val="231F20"/>
          <w:spacing w:val="-3"/>
          <w:sz w:val="21"/>
        </w:rPr>
        <w:t xml:space="preserve">розгляду </w:t>
      </w:r>
      <w:r>
        <w:rPr>
          <w:color w:val="231F20"/>
          <w:sz w:val="21"/>
        </w:rPr>
        <w:t>та вирішення</w:t>
      </w:r>
      <w:r>
        <w:rPr>
          <w:color w:val="231F20"/>
          <w:spacing w:val="-2"/>
          <w:sz w:val="21"/>
        </w:rPr>
        <w:t xml:space="preserve"> </w:t>
      </w:r>
      <w:r>
        <w:rPr>
          <w:color w:val="231F20"/>
          <w:sz w:val="21"/>
        </w:rPr>
        <w:t>справи</w:t>
      </w:r>
    </w:p>
    <w:p w14:paraId="4F9A842A" w14:textId="77777777" w:rsidR="00DE575E" w:rsidRDefault="002E7560">
      <w:pPr>
        <w:pStyle w:val="BodyText"/>
        <w:tabs>
          <w:tab w:val="left" w:pos="6760"/>
        </w:tabs>
        <w:spacing w:line="233" w:lineRule="exact"/>
        <w:ind w:left="1497"/>
        <w:rPr>
          <w:b/>
          <w:sz w:val="20"/>
        </w:rPr>
      </w:pPr>
      <w:r>
        <w:rPr>
          <w:color w:val="231F20"/>
        </w:rPr>
        <w:t>за</w:t>
      </w:r>
      <w:r>
        <w:rPr>
          <w:color w:val="231F20"/>
          <w:spacing w:val="-1"/>
        </w:rPr>
        <w:t xml:space="preserve"> </w:t>
      </w:r>
      <w:r>
        <w:rPr>
          <w:color w:val="231F20"/>
        </w:rPr>
        <w:t>скаргою</w:t>
      </w:r>
      <w:r>
        <w:rPr>
          <w:color w:val="231F20"/>
          <w:u w:val="dotted" w:color="231F20"/>
        </w:rPr>
        <w:t xml:space="preserve"> </w:t>
      </w:r>
      <w:r>
        <w:rPr>
          <w:color w:val="231F20"/>
          <w:u w:val="dotted" w:color="231F20"/>
        </w:rPr>
        <w:tab/>
      </w:r>
      <w:r>
        <w:rPr>
          <w:b/>
          <w:sz w:val="20"/>
        </w:rPr>
        <w:t>329</w:t>
      </w:r>
    </w:p>
    <w:p w14:paraId="75CD31D2" w14:textId="77777777" w:rsidR="00DE575E" w:rsidRDefault="002E7560">
      <w:pPr>
        <w:pStyle w:val="ListParagraph"/>
        <w:numPr>
          <w:ilvl w:val="2"/>
          <w:numId w:val="331"/>
        </w:numPr>
        <w:tabs>
          <w:tab w:val="left" w:pos="1498"/>
          <w:tab w:val="left" w:pos="6760"/>
        </w:tabs>
        <w:spacing w:before="31"/>
        <w:rPr>
          <w:b/>
          <w:sz w:val="20"/>
        </w:rPr>
      </w:pPr>
      <w:r>
        <w:rPr>
          <w:color w:val="231F20"/>
          <w:sz w:val="21"/>
        </w:rPr>
        <w:t>Можливі наслідки</w:t>
      </w:r>
      <w:r>
        <w:rPr>
          <w:color w:val="231F20"/>
          <w:sz w:val="21"/>
        </w:rPr>
        <w:t xml:space="preserve"> </w:t>
      </w:r>
      <w:r>
        <w:rPr>
          <w:color w:val="231F20"/>
          <w:spacing w:val="-3"/>
          <w:sz w:val="21"/>
        </w:rPr>
        <w:t>розгляду</w:t>
      </w:r>
      <w:r>
        <w:rPr>
          <w:color w:val="231F20"/>
          <w:sz w:val="21"/>
        </w:rPr>
        <w:t xml:space="preserve"> скарги</w:t>
      </w:r>
      <w:r>
        <w:rPr>
          <w:color w:val="231F20"/>
          <w:sz w:val="21"/>
          <w:u w:val="dotted" w:color="231F20"/>
        </w:rPr>
        <w:t xml:space="preserve"> </w:t>
      </w:r>
      <w:r>
        <w:rPr>
          <w:color w:val="231F20"/>
          <w:sz w:val="21"/>
          <w:u w:val="dotted" w:color="231F20"/>
        </w:rPr>
        <w:tab/>
      </w:r>
      <w:r>
        <w:rPr>
          <w:b/>
          <w:sz w:val="20"/>
        </w:rPr>
        <w:t>331</w:t>
      </w:r>
    </w:p>
    <w:p w14:paraId="5BFD468A" w14:textId="77777777" w:rsidR="00DE575E" w:rsidRDefault="002E7560">
      <w:pPr>
        <w:pStyle w:val="Heading5"/>
        <w:numPr>
          <w:ilvl w:val="1"/>
          <w:numId w:val="331"/>
        </w:numPr>
        <w:tabs>
          <w:tab w:val="left" w:pos="931"/>
        </w:tabs>
        <w:spacing w:before="58" w:line="233" w:lineRule="exact"/>
      </w:pPr>
      <w:r>
        <w:rPr>
          <w:color w:val="231F20"/>
        </w:rPr>
        <w:t xml:space="preserve">Відшкодування </w:t>
      </w:r>
      <w:r>
        <w:rPr>
          <w:color w:val="231F20"/>
          <w:spacing w:val="-3"/>
        </w:rPr>
        <w:t xml:space="preserve">шкоди, </w:t>
      </w:r>
      <w:r>
        <w:rPr>
          <w:color w:val="231F20"/>
        </w:rPr>
        <w:t xml:space="preserve">завданої </w:t>
      </w:r>
      <w:r>
        <w:rPr>
          <w:color w:val="231F20"/>
          <w:spacing w:val="-3"/>
        </w:rPr>
        <w:t>суб’єктами</w:t>
      </w:r>
    </w:p>
    <w:p w14:paraId="1E8802B6" w14:textId="77777777" w:rsidR="00DE575E" w:rsidRDefault="002E7560">
      <w:pPr>
        <w:tabs>
          <w:tab w:val="left" w:pos="6760"/>
        </w:tabs>
        <w:spacing w:line="233" w:lineRule="exact"/>
        <w:ind w:left="930"/>
        <w:rPr>
          <w:b/>
          <w:sz w:val="20"/>
        </w:rPr>
      </w:pPr>
      <w:r>
        <w:rPr>
          <w:b/>
          <w:color w:val="231F20"/>
          <w:sz w:val="21"/>
        </w:rPr>
        <w:t>публічної адміністрації</w:t>
      </w:r>
      <w:r>
        <w:rPr>
          <w:b/>
          <w:color w:val="231F20"/>
          <w:spacing w:val="-12"/>
          <w:sz w:val="21"/>
        </w:rPr>
        <w:t xml:space="preserve"> </w:t>
      </w:r>
      <w:r>
        <w:rPr>
          <w:b/>
          <w:color w:val="231F20"/>
          <w:sz w:val="21"/>
        </w:rPr>
        <w:t>приватним</w:t>
      </w:r>
      <w:r>
        <w:rPr>
          <w:b/>
          <w:color w:val="231F20"/>
          <w:spacing w:val="-6"/>
          <w:sz w:val="21"/>
        </w:rPr>
        <w:t xml:space="preserve"> </w:t>
      </w:r>
      <w:r>
        <w:rPr>
          <w:b/>
          <w:color w:val="231F20"/>
          <w:sz w:val="21"/>
        </w:rPr>
        <w:t>особам</w:t>
      </w:r>
      <w:r>
        <w:rPr>
          <w:b/>
          <w:color w:val="231F20"/>
          <w:sz w:val="21"/>
          <w:u w:val="dotted" w:color="231F20"/>
        </w:rPr>
        <w:t xml:space="preserve"> </w:t>
      </w:r>
      <w:r>
        <w:rPr>
          <w:b/>
          <w:color w:val="231F20"/>
          <w:sz w:val="21"/>
          <w:u w:val="dotted" w:color="231F20"/>
        </w:rPr>
        <w:tab/>
      </w:r>
      <w:r>
        <w:rPr>
          <w:b/>
          <w:sz w:val="20"/>
        </w:rPr>
        <w:t>332</w:t>
      </w:r>
    </w:p>
    <w:p w14:paraId="62DCCD24" w14:textId="77777777" w:rsidR="00DE575E" w:rsidRDefault="002E7560">
      <w:pPr>
        <w:pStyle w:val="ListParagraph"/>
        <w:numPr>
          <w:ilvl w:val="2"/>
          <w:numId w:val="331"/>
        </w:numPr>
        <w:tabs>
          <w:tab w:val="left" w:pos="1498"/>
        </w:tabs>
        <w:spacing w:before="53" w:line="213" w:lineRule="auto"/>
        <w:ind w:right="2276"/>
        <w:rPr>
          <w:sz w:val="21"/>
        </w:rPr>
      </w:pPr>
      <w:r>
        <w:rPr>
          <w:color w:val="231F20"/>
          <w:sz w:val="21"/>
        </w:rPr>
        <w:t xml:space="preserve">Підстави та процедури, за якими </w:t>
      </w:r>
      <w:r>
        <w:rPr>
          <w:color w:val="231F20"/>
          <w:spacing w:val="-4"/>
          <w:sz w:val="21"/>
        </w:rPr>
        <w:t xml:space="preserve">суб’єкт </w:t>
      </w:r>
      <w:r>
        <w:rPr>
          <w:color w:val="231F20"/>
          <w:sz w:val="21"/>
        </w:rPr>
        <w:t>публічного</w:t>
      </w:r>
      <w:r>
        <w:rPr>
          <w:color w:val="231F20"/>
          <w:spacing w:val="-3"/>
          <w:sz w:val="21"/>
        </w:rPr>
        <w:t xml:space="preserve"> </w:t>
      </w:r>
      <w:r>
        <w:rPr>
          <w:color w:val="231F20"/>
          <w:sz w:val="21"/>
        </w:rPr>
        <w:t>адміністрування</w:t>
      </w:r>
    </w:p>
    <w:p w14:paraId="4BB6D3CA" w14:textId="77777777" w:rsidR="00DE575E" w:rsidRDefault="002E7560">
      <w:pPr>
        <w:pStyle w:val="BodyText"/>
        <w:tabs>
          <w:tab w:val="left" w:pos="6760"/>
        </w:tabs>
        <w:spacing w:line="226" w:lineRule="exact"/>
        <w:ind w:left="1497"/>
        <w:rPr>
          <w:b/>
          <w:sz w:val="20"/>
        </w:rPr>
      </w:pPr>
      <w:r>
        <w:rPr>
          <w:color w:val="231F20"/>
        </w:rPr>
        <w:t xml:space="preserve">відшкодовує </w:t>
      </w:r>
      <w:r>
        <w:rPr>
          <w:color w:val="231F20"/>
          <w:spacing w:val="-5"/>
        </w:rPr>
        <w:t xml:space="preserve">шкоду, </w:t>
      </w:r>
      <w:r>
        <w:rPr>
          <w:color w:val="231F20"/>
        </w:rPr>
        <w:t>завдану</w:t>
      </w:r>
      <w:r>
        <w:rPr>
          <w:color w:val="231F20"/>
          <w:spacing w:val="-5"/>
        </w:rPr>
        <w:t xml:space="preserve"> </w:t>
      </w:r>
      <w:r>
        <w:rPr>
          <w:color w:val="231F20"/>
        </w:rPr>
        <w:t>приватній</w:t>
      </w:r>
      <w:r>
        <w:rPr>
          <w:color w:val="231F20"/>
          <w:spacing w:val="-3"/>
        </w:rPr>
        <w:t xml:space="preserve"> </w:t>
      </w:r>
      <w:r>
        <w:rPr>
          <w:color w:val="231F20"/>
        </w:rPr>
        <w:t>особі</w:t>
      </w:r>
      <w:r>
        <w:rPr>
          <w:color w:val="231F20"/>
          <w:u w:val="dotted" w:color="231F20"/>
        </w:rPr>
        <w:t xml:space="preserve"> </w:t>
      </w:r>
      <w:r>
        <w:rPr>
          <w:color w:val="231F20"/>
          <w:u w:val="dotted" w:color="231F20"/>
        </w:rPr>
        <w:tab/>
      </w:r>
      <w:r>
        <w:rPr>
          <w:b/>
          <w:sz w:val="20"/>
        </w:rPr>
        <w:t>336</w:t>
      </w:r>
    </w:p>
    <w:p w14:paraId="3FE7D3EF" w14:textId="77777777" w:rsidR="00DE575E" w:rsidRDefault="002E7560">
      <w:pPr>
        <w:pStyle w:val="ListParagraph"/>
        <w:numPr>
          <w:ilvl w:val="2"/>
          <w:numId w:val="331"/>
        </w:numPr>
        <w:tabs>
          <w:tab w:val="left" w:pos="1498"/>
          <w:tab w:val="left" w:pos="6760"/>
        </w:tabs>
        <w:spacing w:before="30"/>
        <w:rPr>
          <w:b/>
          <w:sz w:val="20"/>
        </w:rPr>
      </w:pPr>
      <w:r>
        <w:rPr>
          <w:color w:val="231F20"/>
          <w:sz w:val="21"/>
        </w:rPr>
        <w:t>Способи</w:t>
      </w:r>
      <w:r>
        <w:rPr>
          <w:color w:val="231F20"/>
          <w:spacing w:val="-4"/>
          <w:sz w:val="21"/>
        </w:rPr>
        <w:t xml:space="preserve"> </w:t>
      </w:r>
      <w:r>
        <w:rPr>
          <w:color w:val="231F20"/>
          <w:sz w:val="21"/>
        </w:rPr>
        <w:t>відшкодування</w:t>
      </w:r>
      <w:r>
        <w:rPr>
          <w:color w:val="231F20"/>
          <w:spacing w:val="-5"/>
          <w:sz w:val="21"/>
        </w:rPr>
        <w:t xml:space="preserve"> </w:t>
      </w:r>
      <w:r>
        <w:rPr>
          <w:color w:val="231F20"/>
          <w:sz w:val="21"/>
        </w:rPr>
        <w:t>шкоди</w:t>
      </w:r>
      <w:r>
        <w:rPr>
          <w:color w:val="231F20"/>
          <w:sz w:val="21"/>
          <w:u w:val="dotted" w:color="231F20"/>
        </w:rPr>
        <w:t xml:space="preserve"> </w:t>
      </w:r>
      <w:r>
        <w:rPr>
          <w:color w:val="231F20"/>
          <w:sz w:val="21"/>
          <w:u w:val="dotted" w:color="231F20"/>
        </w:rPr>
        <w:tab/>
      </w:r>
      <w:r>
        <w:rPr>
          <w:b/>
          <w:sz w:val="20"/>
        </w:rPr>
        <w:t>337</w:t>
      </w:r>
    </w:p>
    <w:p w14:paraId="3BBA52B6" w14:textId="77777777" w:rsidR="00DE575E" w:rsidRDefault="00DE575E">
      <w:pPr>
        <w:pStyle w:val="BodyText"/>
        <w:rPr>
          <w:b/>
          <w:sz w:val="20"/>
        </w:rPr>
      </w:pPr>
    </w:p>
    <w:p w14:paraId="7603F69E" w14:textId="77777777" w:rsidR="00DE575E" w:rsidRDefault="00DE575E">
      <w:pPr>
        <w:pStyle w:val="BodyText"/>
        <w:rPr>
          <w:b/>
          <w:sz w:val="20"/>
        </w:rPr>
      </w:pPr>
    </w:p>
    <w:p w14:paraId="1118F7D3" w14:textId="77777777" w:rsidR="00DE575E" w:rsidRDefault="00DE575E">
      <w:pPr>
        <w:pStyle w:val="BodyText"/>
        <w:rPr>
          <w:b/>
          <w:sz w:val="20"/>
        </w:rPr>
      </w:pPr>
    </w:p>
    <w:p w14:paraId="05E806D7" w14:textId="77777777" w:rsidR="00DE575E" w:rsidRDefault="00DE575E">
      <w:pPr>
        <w:pStyle w:val="BodyText"/>
        <w:spacing w:before="5"/>
        <w:rPr>
          <w:b/>
        </w:rPr>
      </w:pPr>
    </w:p>
    <w:p w14:paraId="315B0786" w14:textId="77777777" w:rsidR="00DE575E" w:rsidRDefault="002E7560">
      <w:pPr>
        <w:spacing w:before="92"/>
        <w:ind w:left="533"/>
        <w:rPr>
          <w:rFonts w:ascii="Times New Roman"/>
          <w:sz w:val="20"/>
        </w:rPr>
      </w:pPr>
      <w:r>
        <w:rPr>
          <w:rFonts w:ascii="Times New Roman"/>
          <w:color w:val="231F20"/>
          <w:sz w:val="20"/>
        </w:rPr>
        <w:t>12</w:t>
      </w:r>
    </w:p>
    <w:p w14:paraId="0C3C79F9" w14:textId="77777777" w:rsidR="00DE575E" w:rsidRDefault="00DE575E">
      <w:pPr>
        <w:rPr>
          <w:rFonts w:ascii="Times New Roman"/>
          <w:sz w:val="20"/>
        </w:rPr>
        <w:sectPr w:rsidR="00DE575E">
          <w:pgSz w:w="8510" w:h="12760"/>
          <w:pgMar w:top="660" w:right="720" w:bottom="280" w:left="600" w:header="720" w:footer="720" w:gutter="0"/>
          <w:cols w:space="720"/>
        </w:sectPr>
      </w:pPr>
    </w:p>
    <w:p w14:paraId="071FF437" w14:textId="77777777" w:rsidR="00DE575E" w:rsidRDefault="00DE575E">
      <w:pPr>
        <w:pStyle w:val="BodyText"/>
        <w:rPr>
          <w:rFonts w:ascii="Times New Roman"/>
          <w:sz w:val="24"/>
        </w:rPr>
      </w:pPr>
    </w:p>
    <w:p w14:paraId="6FE8A2A4" w14:textId="77777777" w:rsidR="00DE575E" w:rsidRDefault="00DE575E">
      <w:pPr>
        <w:pStyle w:val="BodyText"/>
        <w:rPr>
          <w:rFonts w:ascii="Times New Roman"/>
          <w:sz w:val="24"/>
        </w:rPr>
      </w:pPr>
    </w:p>
    <w:p w14:paraId="4AB4646A" w14:textId="77777777" w:rsidR="00DE575E" w:rsidRDefault="00DE575E">
      <w:pPr>
        <w:pStyle w:val="BodyText"/>
        <w:rPr>
          <w:rFonts w:ascii="Times New Roman"/>
          <w:sz w:val="24"/>
        </w:rPr>
      </w:pPr>
    </w:p>
    <w:p w14:paraId="057D13A6" w14:textId="77777777" w:rsidR="00DE575E" w:rsidRDefault="00DE575E">
      <w:pPr>
        <w:pStyle w:val="BodyText"/>
        <w:rPr>
          <w:rFonts w:ascii="Times New Roman"/>
          <w:sz w:val="24"/>
        </w:rPr>
      </w:pPr>
    </w:p>
    <w:p w14:paraId="2A677251" w14:textId="77777777" w:rsidR="00DE575E" w:rsidRDefault="00DE575E">
      <w:pPr>
        <w:pStyle w:val="BodyText"/>
        <w:rPr>
          <w:rFonts w:ascii="Times New Roman"/>
          <w:sz w:val="24"/>
        </w:rPr>
      </w:pPr>
    </w:p>
    <w:p w14:paraId="5D994AF1" w14:textId="77777777" w:rsidR="00DE575E" w:rsidRDefault="00DE575E">
      <w:pPr>
        <w:pStyle w:val="BodyText"/>
        <w:rPr>
          <w:rFonts w:ascii="Times New Roman"/>
          <w:sz w:val="24"/>
        </w:rPr>
      </w:pPr>
    </w:p>
    <w:p w14:paraId="5CDCDE42" w14:textId="77777777" w:rsidR="00DE575E" w:rsidRDefault="00DE575E">
      <w:pPr>
        <w:pStyle w:val="BodyText"/>
        <w:rPr>
          <w:rFonts w:ascii="Times New Roman"/>
          <w:sz w:val="24"/>
        </w:rPr>
      </w:pPr>
    </w:p>
    <w:p w14:paraId="20477A99" w14:textId="77777777" w:rsidR="00DE575E" w:rsidRDefault="002E7560">
      <w:pPr>
        <w:pStyle w:val="Heading5"/>
        <w:spacing w:before="142"/>
        <w:ind w:left="250"/>
      </w:pPr>
      <w:r>
        <w:rPr>
          <w:color w:val="231F20"/>
        </w:rPr>
        <w:t>Розділ</w:t>
      </w:r>
      <w:r>
        <w:rPr>
          <w:color w:val="231F20"/>
          <w:spacing w:val="-10"/>
        </w:rPr>
        <w:t xml:space="preserve"> </w:t>
      </w:r>
      <w:r>
        <w:rPr>
          <w:color w:val="231F20"/>
        </w:rPr>
        <w:t>1</w:t>
      </w:r>
    </w:p>
    <w:p w14:paraId="7136F348" w14:textId="77777777" w:rsidR="00DE575E" w:rsidRDefault="002E7560">
      <w:pPr>
        <w:pStyle w:val="BodyText"/>
        <w:spacing w:before="4"/>
        <w:rPr>
          <w:b/>
          <w:sz w:val="42"/>
        </w:rPr>
      </w:pPr>
      <w:r>
        <w:br w:type="column"/>
      </w:r>
    </w:p>
    <w:p w14:paraId="641FF7BB" w14:textId="16889EAE" w:rsidR="00DE575E" w:rsidRDefault="002E7560">
      <w:pPr>
        <w:spacing w:line="282" w:lineRule="exact"/>
        <w:ind w:left="1916" w:right="1824"/>
        <w:jc w:val="center"/>
        <w:rPr>
          <w:sz w:val="26"/>
        </w:rPr>
      </w:pPr>
      <w:r>
        <w:rPr>
          <w:noProof/>
        </w:rPr>
        <mc:AlternateContent>
          <mc:Choice Requires="wps">
            <w:drawing>
              <wp:anchor distT="0" distB="0" distL="114300" distR="114300" simplePos="0" relativeHeight="1240" behindDoc="0" locked="0" layoutInCell="1" allowOverlap="1" wp14:anchorId="2E312F4E" wp14:editId="3B5A695B">
                <wp:simplePos x="0" y="0"/>
                <wp:positionH relativeFrom="page">
                  <wp:posOffset>539750</wp:posOffset>
                </wp:positionH>
                <wp:positionV relativeFrom="paragraph">
                  <wp:posOffset>-138430</wp:posOffset>
                </wp:positionV>
                <wp:extent cx="4140200" cy="0"/>
                <wp:effectExtent l="6350" t="13970" r="19050" b="24130"/>
                <wp:wrapNone/>
                <wp:docPr id="1391"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8CCC5" id="Line_x0020_1390"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0.85pt" to="368.5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" strokecolor="#231f20" strokeweight=".5pt">
                <w10:wrap anchorx="page"/>
              </v:line>
            </w:pict>
          </mc:Fallback>
        </mc:AlternateContent>
      </w:r>
      <w:r>
        <w:rPr>
          <w:color w:val="231F20"/>
          <w:sz w:val="26"/>
        </w:rPr>
        <w:t>Глава ІІ</w:t>
      </w:r>
    </w:p>
    <w:p w14:paraId="396FB466" w14:textId="77777777" w:rsidR="00DE575E" w:rsidRDefault="002E7560">
      <w:pPr>
        <w:spacing w:line="282" w:lineRule="exact"/>
        <w:ind w:left="132"/>
        <w:rPr>
          <w:sz w:val="26"/>
        </w:rPr>
      </w:pPr>
      <w:r>
        <w:rPr>
          <w:color w:val="231F20"/>
          <w:sz w:val="26"/>
        </w:rPr>
        <w:t xml:space="preserve">ОСОБЛИВЕ АДМІНІСТРАТИВНЕ </w:t>
      </w:r>
      <w:r>
        <w:rPr>
          <w:color w:val="231F20"/>
          <w:spacing w:val="-5"/>
          <w:sz w:val="26"/>
        </w:rPr>
        <w:t>ПРАВО</w:t>
      </w:r>
    </w:p>
    <w:p w14:paraId="0D688360" w14:textId="77777777" w:rsidR="00DE575E" w:rsidRDefault="002E7560">
      <w:pPr>
        <w:spacing w:before="257" w:line="242" w:lineRule="auto"/>
        <w:ind w:left="1451" w:right="1357"/>
        <w:jc w:val="center"/>
      </w:pPr>
      <w:r>
        <w:rPr>
          <w:color w:val="231F20"/>
        </w:rPr>
        <w:t>Книга І СЛУЖБОВЕ</w:t>
      </w:r>
      <w:r>
        <w:rPr>
          <w:color w:val="231F20"/>
        </w:rPr>
        <w:t xml:space="preserve"> </w:t>
      </w:r>
      <w:r>
        <w:rPr>
          <w:color w:val="231F20"/>
          <w:spacing w:val="-4"/>
        </w:rPr>
        <w:t>ПРАВО</w:t>
      </w:r>
    </w:p>
    <w:p w14:paraId="7D84B6F0" w14:textId="77777777" w:rsidR="00DE575E" w:rsidRDefault="002E7560">
      <w:pPr>
        <w:spacing w:before="78"/>
        <w:ind w:left="250"/>
        <w:rPr>
          <w:rFonts w:ascii="AdonisC" w:hAnsi="AdonisC"/>
          <w:i/>
          <w:sz w:val="18"/>
        </w:rPr>
      </w:pPr>
      <w:r>
        <w:br w:type="column"/>
      </w:r>
      <w:r>
        <w:rPr>
          <w:rFonts w:ascii="AdonisC" w:hAnsi="AdonisC"/>
          <w:i/>
          <w:color w:val="231F20"/>
          <w:sz w:val="18"/>
        </w:rPr>
        <w:lastRenderedPageBreak/>
        <w:t>Зміст</w:t>
      </w:r>
    </w:p>
    <w:p w14:paraId="676B16D0" w14:textId="77777777" w:rsidR="00DE575E" w:rsidRDefault="00DE575E">
      <w:pPr>
        <w:rPr>
          <w:rFonts w:ascii="AdonisC" w:hAnsi="AdonisC"/>
          <w:sz w:val="18"/>
        </w:rPr>
        <w:sectPr w:rsidR="00DE575E">
          <w:pgSz w:w="8510" w:h="12760"/>
          <w:pgMar w:top="860" w:right="720" w:bottom="280" w:left="600" w:header="720" w:footer="720" w:gutter="0"/>
          <w:cols w:num="3" w:space="720" w:equalWidth="0">
            <w:col w:w="1084" w:space="40"/>
            <w:col w:w="4681" w:space="221"/>
            <w:col w:w="1164"/>
          </w:cols>
        </w:sectPr>
      </w:pPr>
    </w:p>
    <w:p w14:paraId="12570CB2" w14:textId="77777777" w:rsidR="00DE575E" w:rsidRDefault="002E7560">
      <w:pPr>
        <w:pStyle w:val="Heading5"/>
        <w:tabs>
          <w:tab w:val="left" w:pos="6477"/>
        </w:tabs>
        <w:spacing w:before="14"/>
        <w:ind w:left="250"/>
        <w:rPr>
          <w:sz w:val="20"/>
        </w:rPr>
      </w:pPr>
      <w:r>
        <w:rPr>
          <w:color w:val="231F20"/>
        </w:rPr>
        <w:lastRenderedPageBreak/>
        <w:t>ПУБЛІЧНА</w:t>
      </w:r>
      <w:r>
        <w:rPr>
          <w:color w:val="231F20"/>
          <w:spacing w:val="-3"/>
        </w:rPr>
        <w:t xml:space="preserve"> </w:t>
      </w:r>
      <w:r>
        <w:rPr>
          <w:color w:val="231F20"/>
        </w:rPr>
        <w:t>СЛУЖБА</w:t>
      </w:r>
      <w:r>
        <w:rPr>
          <w:color w:val="231F20"/>
          <w:u w:val="dotted" w:color="231F20"/>
        </w:rPr>
        <w:t xml:space="preserve"> </w:t>
      </w:r>
      <w:r>
        <w:rPr>
          <w:color w:val="231F20"/>
          <w:u w:val="dotted" w:color="231F20"/>
        </w:rPr>
        <w:tab/>
      </w:r>
      <w:r>
        <w:rPr>
          <w:sz w:val="20"/>
        </w:rPr>
        <w:t>340</w:t>
      </w:r>
    </w:p>
    <w:p w14:paraId="308EC80E" w14:textId="77777777" w:rsidR="00DE575E" w:rsidRDefault="002E7560">
      <w:pPr>
        <w:pStyle w:val="ListParagraph"/>
        <w:numPr>
          <w:ilvl w:val="1"/>
          <w:numId w:val="330"/>
        </w:numPr>
        <w:tabs>
          <w:tab w:val="left" w:pos="648"/>
          <w:tab w:val="left" w:pos="6477"/>
        </w:tabs>
        <w:spacing w:before="59"/>
        <w:rPr>
          <w:b/>
          <w:sz w:val="20"/>
        </w:rPr>
      </w:pPr>
      <w:r>
        <w:rPr>
          <w:b/>
          <w:color w:val="231F20"/>
          <w:sz w:val="21"/>
        </w:rPr>
        <w:t>Поняття та види</w:t>
      </w:r>
      <w:r>
        <w:rPr>
          <w:b/>
          <w:color w:val="231F20"/>
          <w:spacing w:val="-7"/>
          <w:sz w:val="21"/>
        </w:rPr>
        <w:t xml:space="preserve"> </w:t>
      </w:r>
      <w:r>
        <w:rPr>
          <w:b/>
          <w:color w:val="231F20"/>
          <w:sz w:val="21"/>
        </w:rPr>
        <w:t>публічної</w:t>
      </w:r>
      <w:r>
        <w:rPr>
          <w:b/>
          <w:color w:val="231F20"/>
          <w:spacing w:val="-3"/>
          <w:sz w:val="21"/>
        </w:rPr>
        <w:t xml:space="preserve"> </w:t>
      </w:r>
      <w:r>
        <w:rPr>
          <w:b/>
          <w:color w:val="231F20"/>
          <w:sz w:val="21"/>
        </w:rPr>
        <w:t>служби</w:t>
      </w:r>
      <w:r>
        <w:rPr>
          <w:b/>
          <w:color w:val="231F20"/>
          <w:sz w:val="21"/>
          <w:u w:val="dotted" w:color="231F20"/>
        </w:rPr>
        <w:t xml:space="preserve"> </w:t>
      </w:r>
      <w:r>
        <w:rPr>
          <w:b/>
          <w:color w:val="231F20"/>
          <w:sz w:val="21"/>
          <w:u w:val="dotted" w:color="231F20"/>
        </w:rPr>
        <w:tab/>
      </w:r>
      <w:r>
        <w:rPr>
          <w:b/>
          <w:sz w:val="20"/>
        </w:rPr>
        <w:t>340</w:t>
      </w:r>
    </w:p>
    <w:p w14:paraId="709D8E2F" w14:textId="77777777" w:rsidR="00DE575E" w:rsidRDefault="002E7560">
      <w:pPr>
        <w:pStyle w:val="ListParagraph"/>
        <w:numPr>
          <w:ilvl w:val="1"/>
          <w:numId w:val="330"/>
        </w:numPr>
        <w:tabs>
          <w:tab w:val="left" w:pos="648"/>
        </w:tabs>
        <w:spacing w:before="59" w:line="233" w:lineRule="exact"/>
        <w:rPr>
          <w:b/>
          <w:sz w:val="21"/>
        </w:rPr>
      </w:pPr>
      <w:r>
        <w:rPr>
          <w:b/>
          <w:color w:val="231F20"/>
          <w:sz w:val="21"/>
        </w:rPr>
        <w:t>Поняття і сутність державної</w:t>
      </w:r>
      <w:r>
        <w:rPr>
          <w:b/>
          <w:color w:val="231F20"/>
          <w:spacing w:val="-2"/>
          <w:sz w:val="21"/>
        </w:rPr>
        <w:t xml:space="preserve"> </w:t>
      </w:r>
      <w:r>
        <w:rPr>
          <w:b/>
          <w:color w:val="231F20"/>
          <w:sz w:val="21"/>
        </w:rPr>
        <w:t>служби</w:t>
      </w:r>
    </w:p>
    <w:p w14:paraId="67649DC1" w14:textId="77777777" w:rsidR="00DE575E" w:rsidRDefault="002E7560">
      <w:pPr>
        <w:spacing w:line="220" w:lineRule="exact"/>
        <w:ind w:left="647"/>
        <w:rPr>
          <w:b/>
          <w:sz w:val="21"/>
        </w:rPr>
      </w:pPr>
      <w:r>
        <w:rPr>
          <w:b/>
          <w:color w:val="231F20"/>
          <w:sz w:val="21"/>
        </w:rPr>
        <w:t>та служби в органах місцевого самоврядування</w:t>
      </w:r>
    </w:p>
    <w:p w14:paraId="1A04D88C" w14:textId="77777777" w:rsidR="00DE575E" w:rsidRDefault="002E7560">
      <w:pPr>
        <w:tabs>
          <w:tab w:val="left" w:pos="6477"/>
        </w:tabs>
        <w:spacing w:line="233" w:lineRule="exact"/>
        <w:ind w:left="647"/>
        <w:rPr>
          <w:b/>
          <w:sz w:val="20"/>
        </w:rPr>
      </w:pPr>
      <w:r>
        <w:rPr>
          <w:b/>
          <w:color w:val="231F20"/>
          <w:sz w:val="21"/>
        </w:rPr>
        <w:t>як основних різновидів</w:t>
      </w:r>
      <w:r>
        <w:rPr>
          <w:b/>
          <w:color w:val="231F20"/>
          <w:spacing w:val="-11"/>
          <w:sz w:val="21"/>
        </w:rPr>
        <w:t xml:space="preserve"> </w:t>
      </w:r>
      <w:r>
        <w:rPr>
          <w:b/>
          <w:color w:val="231F20"/>
          <w:sz w:val="21"/>
        </w:rPr>
        <w:t>публічної</w:t>
      </w:r>
      <w:r>
        <w:rPr>
          <w:b/>
          <w:color w:val="231F20"/>
          <w:spacing w:val="-4"/>
          <w:sz w:val="21"/>
        </w:rPr>
        <w:t xml:space="preserve"> </w:t>
      </w:r>
      <w:r>
        <w:rPr>
          <w:b/>
          <w:color w:val="231F20"/>
          <w:sz w:val="21"/>
        </w:rPr>
        <w:t>служби</w:t>
      </w:r>
      <w:r>
        <w:rPr>
          <w:b/>
          <w:color w:val="231F20"/>
          <w:sz w:val="21"/>
          <w:u w:val="dotted" w:color="231F20"/>
        </w:rPr>
        <w:t xml:space="preserve"> </w:t>
      </w:r>
      <w:r>
        <w:rPr>
          <w:b/>
          <w:color w:val="231F20"/>
          <w:sz w:val="21"/>
          <w:u w:val="dotted" w:color="231F20"/>
        </w:rPr>
        <w:tab/>
      </w:r>
      <w:r>
        <w:rPr>
          <w:b/>
          <w:sz w:val="20"/>
        </w:rPr>
        <w:t>351</w:t>
      </w:r>
    </w:p>
    <w:p w14:paraId="46F427C2" w14:textId="77777777" w:rsidR="00DE575E" w:rsidRDefault="00DE575E">
      <w:pPr>
        <w:pStyle w:val="BodyText"/>
        <w:spacing w:before="6"/>
        <w:rPr>
          <w:b/>
          <w:sz w:val="20"/>
        </w:rPr>
      </w:pPr>
    </w:p>
    <w:p w14:paraId="1FA62076" w14:textId="77777777" w:rsidR="00DE575E" w:rsidRDefault="002E7560">
      <w:pPr>
        <w:ind w:left="250"/>
        <w:rPr>
          <w:b/>
          <w:sz w:val="21"/>
        </w:rPr>
      </w:pPr>
      <w:r>
        <w:rPr>
          <w:b/>
          <w:color w:val="231F20"/>
          <w:sz w:val="21"/>
        </w:rPr>
        <w:t>Розділ 2</w:t>
      </w:r>
    </w:p>
    <w:p w14:paraId="43380052" w14:textId="77777777" w:rsidR="00DE575E" w:rsidRDefault="002E7560">
      <w:pPr>
        <w:tabs>
          <w:tab w:val="left" w:pos="6477"/>
        </w:tabs>
        <w:spacing w:before="14"/>
        <w:ind w:left="250"/>
        <w:rPr>
          <w:b/>
          <w:sz w:val="20"/>
        </w:rPr>
      </w:pPr>
      <w:r>
        <w:rPr>
          <w:b/>
          <w:color w:val="231F20"/>
          <w:spacing w:val="-3"/>
          <w:sz w:val="21"/>
        </w:rPr>
        <w:t xml:space="preserve">ПРАВОВИЙ </w:t>
      </w:r>
      <w:r>
        <w:rPr>
          <w:b/>
          <w:color w:val="231F20"/>
          <w:spacing w:val="-9"/>
          <w:sz w:val="21"/>
        </w:rPr>
        <w:t>СТАТУС</w:t>
      </w:r>
      <w:r>
        <w:rPr>
          <w:b/>
          <w:color w:val="231F20"/>
          <w:spacing w:val="-4"/>
          <w:sz w:val="21"/>
        </w:rPr>
        <w:t xml:space="preserve"> </w:t>
      </w:r>
      <w:r>
        <w:rPr>
          <w:b/>
          <w:color w:val="231F20"/>
          <w:sz w:val="21"/>
        </w:rPr>
        <w:t>ДЕРЖАВНОГО</w:t>
      </w:r>
      <w:r>
        <w:rPr>
          <w:b/>
          <w:color w:val="231F20"/>
          <w:spacing w:val="-4"/>
          <w:sz w:val="21"/>
        </w:rPr>
        <w:t xml:space="preserve"> </w:t>
      </w:r>
      <w:r>
        <w:rPr>
          <w:b/>
          <w:color w:val="231F20"/>
          <w:sz w:val="21"/>
        </w:rPr>
        <w:t>СЛУЖБОВЦЯ</w:t>
      </w:r>
      <w:r>
        <w:rPr>
          <w:b/>
          <w:color w:val="231F20"/>
          <w:sz w:val="21"/>
          <w:u w:val="dotted" w:color="231F20"/>
        </w:rPr>
        <w:t xml:space="preserve"> </w:t>
      </w:r>
      <w:r>
        <w:rPr>
          <w:b/>
          <w:color w:val="231F20"/>
          <w:sz w:val="21"/>
          <w:u w:val="dotted" w:color="231F20"/>
        </w:rPr>
        <w:tab/>
      </w:r>
      <w:r>
        <w:rPr>
          <w:b/>
          <w:sz w:val="20"/>
        </w:rPr>
        <w:t>358</w:t>
      </w:r>
    </w:p>
    <w:p w14:paraId="56711F22" w14:textId="77777777" w:rsidR="00DE575E" w:rsidRDefault="002E7560">
      <w:pPr>
        <w:pStyle w:val="ListParagraph"/>
        <w:numPr>
          <w:ilvl w:val="1"/>
          <w:numId w:val="329"/>
        </w:numPr>
        <w:tabs>
          <w:tab w:val="left" w:pos="648"/>
        </w:tabs>
        <w:spacing w:before="58" w:line="233" w:lineRule="exact"/>
        <w:rPr>
          <w:b/>
          <w:sz w:val="21"/>
        </w:rPr>
      </w:pPr>
      <w:r>
        <w:rPr>
          <w:b/>
          <w:color w:val="231F20"/>
          <w:sz w:val="21"/>
        </w:rPr>
        <w:t>Поняття державного</w:t>
      </w:r>
      <w:r>
        <w:rPr>
          <w:b/>
          <w:color w:val="231F20"/>
          <w:spacing w:val="-2"/>
          <w:sz w:val="21"/>
        </w:rPr>
        <w:t xml:space="preserve"> </w:t>
      </w:r>
      <w:r>
        <w:rPr>
          <w:b/>
          <w:color w:val="231F20"/>
          <w:sz w:val="21"/>
        </w:rPr>
        <w:t>службовця.</w:t>
      </w:r>
    </w:p>
    <w:p w14:paraId="4CC430EB" w14:textId="77777777" w:rsidR="00DE575E" w:rsidRDefault="002E7560">
      <w:pPr>
        <w:tabs>
          <w:tab w:val="left" w:pos="6477"/>
        </w:tabs>
        <w:spacing w:line="233" w:lineRule="exact"/>
        <w:ind w:left="647"/>
        <w:rPr>
          <w:b/>
          <w:sz w:val="20"/>
        </w:rPr>
      </w:pPr>
      <w:r>
        <w:rPr>
          <w:b/>
          <w:color w:val="231F20"/>
          <w:sz w:val="21"/>
        </w:rPr>
        <w:t>Посади державної служби та</w:t>
      </w:r>
      <w:r>
        <w:rPr>
          <w:b/>
          <w:color w:val="231F20"/>
          <w:spacing w:val="-12"/>
          <w:sz w:val="21"/>
        </w:rPr>
        <w:t xml:space="preserve"> </w:t>
      </w:r>
      <w:r>
        <w:rPr>
          <w:b/>
          <w:color w:val="231F20"/>
          <w:sz w:val="21"/>
        </w:rPr>
        <w:t>їх</w:t>
      </w:r>
      <w:r>
        <w:rPr>
          <w:b/>
          <w:color w:val="231F20"/>
          <w:spacing w:val="-4"/>
          <w:sz w:val="21"/>
        </w:rPr>
        <w:t xml:space="preserve"> </w:t>
      </w:r>
      <w:r>
        <w:rPr>
          <w:b/>
          <w:color w:val="231F20"/>
          <w:sz w:val="21"/>
        </w:rPr>
        <w:t>категорії</w:t>
      </w:r>
      <w:r>
        <w:rPr>
          <w:b/>
          <w:color w:val="231F20"/>
          <w:sz w:val="21"/>
          <w:u w:val="dotted" w:color="231F20"/>
        </w:rPr>
        <w:t xml:space="preserve"> </w:t>
      </w:r>
      <w:r>
        <w:rPr>
          <w:b/>
          <w:color w:val="231F20"/>
          <w:sz w:val="21"/>
          <w:u w:val="dotted" w:color="231F20"/>
        </w:rPr>
        <w:tab/>
      </w:r>
      <w:r>
        <w:rPr>
          <w:b/>
          <w:sz w:val="20"/>
        </w:rPr>
        <w:t>358</w:t>
      </w:r>
    </w:p>
    <w:p w14:paraId="1D9591D9" w14:textId="77777777" w:rsidR="00DE575E" w:rsidRDefault="002E7560">
      <w:pPr>
        <w:pStyle w:val="ListParagraph"/>
        <w:numPr>
          <w:ilvl w:val="1"/>
          <w:numId w:val="329"/>
        </w:numPr>
        <w:tabs>
          <w:tab w:val="left" w:pos="648"/>
          <w:tab w:val="left" w:pos="6477"/>
        </w:tabs>
        <w:spacing w:before="59"/>
        <w:rPr>
          <w:b/>
          <w:sz w:val="20"/>
        </w:rPr>
      </w:pPr>
      <w:r>
        <w:rPr>
          <w:b/>
          <w:color w:val="231F20"/>
          <w:sz w:val="21"/>
        </w:rPr>
        <w:t>Обов’язки та права</w:t>
      </w:r>
      <w:r>
        <w:rPr>
          <w:b/>
          <w:color w:val="231F20"/>
          <w:spacing w:val="-10"/>
          <w:sz w:val="21"/>
        </w:rPr>
        <w:t xml:space="preserve"> </w:t>
      </w:r>
      <w:r>
        <w:rPr>
          <w:b/>
          <w:color w:val="231F20"/>
          <w:sz w:val="21"/>
        </w:rPr>
        <w:t>державного</w:t>
      </w:r>
      <w:r>
        <w:rPr>
          <w:b/>
          <w:color w:val="231F20"/>
          <w:spacing w:val="-4"/>
          <w:sz w:val="21"/>
        </w:rPr>
        <w:t xml:space="preserve"> </w:t>
      </w:r>
      <w:r>
        <w:rPr>
          <w:b/>
          <w:color w:val="231F20"/>
          <w:sz w:val="21"/>
        </w:rPr>
        <w:t>службовця</w:t>
      </w:r>
      <w:r>
        <w:rPr>
          <w:b/>
          <w:color w:val="231F20"/>
          <w:sz w:val="21"/>
          <w:u w:val="dotted" w:color="231F20"/>
        </w:rPr>
        <w:t xml:space="preserve"> </w:t>
      </w:r>
      <w:r>
        <w:rPr>
          <w:b/>
          <w:color w:val="231F20"/>
          <w:sz w:val="21"/>
          <w:u w:val="dotted" w:color="231F20"/>
        </w:rPr>
        <w:tab/>
      </w:r>
      <w:r>
        <w:rPr>
          <w:b/>
          <w:sz w:val="20"/>
        </w:rPr>
        <w:t>362</w:t>
      </w:r>
    </w:p>
    <w:p w14:paraId="0E08E995" w14:textId="77777777" w:rsidR="00DE575E" w:rsidRDefault="002E7560">
      <w:pPr>
        <w:pStyle w:val="ListParagraph"/>
        <w:numPr>
          <w:ilvl w:val="1"/>
          <w:numId w:val="329"/>
        </w:numPr>
        <w:tabs>
          <w:tab w:val="left" w:pos="648"/>
        </w:tabs>
        <w:spacing w:before="59" w:line="233" w:lineRule="exact"/>
        <w:rPr>
          <w:b/>
          <w:sz w:val="21"/>
        </w:rPr>
      </w:pPr>
      <w:r>
        <w:rPr>
          <w:b/>
          <w:color w:val="231F20"/>
          <w:sz w:val="21"/>
        </w:rPr>
        <w:t>Вступ на державну</w:t>
      </w:r>
      <w:r>
        <w:rPr>
          <w:b/>
          <w:color w:val="231F20"/>
          <w:spacing w:val="-2"/>
          <w:sz w:val="21"/>
        </w:rPr>
        <w:t xml:space="preserve"> </w:t>
      </w:r>
      <w:r>
        <w:rPr>
          <w:b/>
          <w:color w:val="231F20"/>
          <w:spacing w:val="-3"/>
          <w:sz w:val="21"/>
        </w:rPr>
        <w:t>службу.</w:t>
      </w:r>
    </w:p>
    <w:p w14:paraId="06F5B201" w14:textId="77777777" w:rsidR="00DE575E" w:rsidRDefault="002E7560">
      <w:pPr>
        <w:tabs>
          <w:tab w:val="left" w:pos="6477"/>
        </w:tabs>
        <w:spacing w:line="233" w:lineRule="exact"/>
        <w:ind w:left="647"/>
        <w:rPr>
          <w:b/>
          <w:sz w:val="20"/>
        </w:rPr>
      </w:pPr>
      <w:r>
        <w:rPr>
          <w:b/>
          <w:color w:val="231F20"/>
          <w:spacing w:val="-3"/>
          <w:sz w:val="21"/>
        </w:rPr>
        <w:t xml:space="preserve">Проходження </w:t>
      </w:r>
      <w:r>
        <w:rPr>
          <w:b/>
          <w:color w:val="231F20"/>
          <w:sz w:val="21"/>
        </w:rPr>
        <w:t>державної служби і</w:t>
      </w:r>
      <w:r>
        <w:rPr>
          <w:b/>
          <w:color w:val="231F20"/>
          <w:spacing w:val="2"/>
          <w:sz w:val="21"/>
        </w:rPr>
        <w:t xml:space="preserve"> </w:t>
      </w:r>
      <w:r>
        <w:rPr>
          <w:b/>
          <w:color w:val="231F20"/>
          <w:sz w:val="21"/>
        </w:rPr>
        <w:t xml:space="preserve">службова </w:t>
      </w:r>
      <w:r>
        <w:rPr>
          <w:b/>
          <w:color w:val="231F20"/>
          <w:spacing w:val="-4"/>
          <w:sz w:val="21"/>
        </w:rPr>
        <w:t>кар’єра</w:t>
      </w:r>
      <w:r>
        <w:rPr>
          <w:b/>
          <w:color w:val="231F20"/>
          <w:spacing w:val="-4"/>
          <w:sz w:val="21"/>
          <w:u w:val="dotted" w:color="231F20"/>
        </w:rPr>
        <w:t xml:space="preserve"> </w:t>
      </w:r>
      <w:r>
        <w:rPr>
          <w:b/>
          <w:color w:val="231F20"/>
          <w:spacing w:val="-4"/>
          <w:sz w:val="21"/>
          <w:u w:val="dotted" w:color="231F20"/>
        </w:rPr>
        <w:tab/>
      </w:r>
      <w:r>
        <w:rPr>
          <w:b/>
          <w:sz w:val="20"/>
        </w:rPr>
        <w:t>365</w:t>
      </w:r>
    </w:p>
    <w:p w14:paraId="1ABA7EAC" w14:textId="77777777" w:rsidR="00DE575E" w:rsidRDefault="002E7560">
      <w:pPr>
        <w:pStyle w:val="ListParagraph"/>
        <w:numPr>
          <w:ilvl w:val="1"/>
          <w:numId w:val="329"/>
        </w:numPr>
        <w:tabs>
          <w:tab w:val="left" w:pos="648"/>
          <w:tab w:val="left" w:pos="6477"/>
        </w:tabs>
        <w:spacing w:before="81" w:line="213" w:lineRule="auto"/>
        <w:ind w:right="411"/>
        <w:rPr>
          <w:b/>
          <w:sz w:val="20"/>
        </w:rPr>
      </w:pPr>
      <w:r>
        <w:rPr>
          <w:b/>
          <w:color w:val="231F20"/>
          <w:sz w:val="21"/>
        </w:rPr>
        <w:t>Дисциплінарна та матеріальна відповідальність державного</w:t>
      </w:r>
      <w:r>
        <w:rPr>
          <w:b/>
          <w:color w:val="231F20"/>
          <w:spacing w:val="-3"/>
          <w:sz w:val="21"/>
        </w:rPr>
        <w:t xml:space="preserve"> </w:t>
      </w:r>
      <w:r>
        <w:rPr>
          <w:b/>
          <w:color w:val="231F20"/>
          <w:sz w:val="21"/>
        </w:rPr>
        <w:t>службовця</w:t>
      </w:r>
      <w:r>
        <w:rPr>
          <w:b/>
          <w:color w:val="231F20"/>
          <w:sz w:val="21"/>
          <w:u w:val="dotted" w:color="231F20"/>
        </w:rPr>
        <w:t xml:space="preserve"> </w:t>
      </w:r>
      <w:r>
        <w:rPr>
          <w:b/>
          <w:color w:val="231F20"/>
          <w:sz w:val="21"/>
          <w:u w:val="dotted" w:color="231F20"/>
        </w:rPr>
        <w:tab/>
      </w:r>
      <w:r>
        <w:rPr>
          <w:b/>
          <w:w w:val="80"/>
          <w:sz w:val="20"/>
        </w:rPr>
        <w:t>374</w:t>
      </w:r>
    </w:p>
    <w:p w14:paraId="7F9A49B2" w14:textId="77777777" w:rsidR="00DE575E" w:rsidRDefault="002E7560">
      <w:pPr>
        <w:pStyle w:val="ListParagraph"/>
        <w:numPr>
          <w:ilvl w:val="1"/>
          <w:numId w:val="329"/>
        </w:numPr>
        <w:tabs>
          <w:tab w:val="left" w:pos="648"/>
        </w:tabs>
        <w:spacing w:before="65" w:line="233" w:lineRule="exact"/>
        <w:rPr>
          <w:b/>
          <w:sz w:val="21"/>
        </w:rPr>
      </w:pPr>
      <w:r>
        <w:rPr>
          <w:b/>
          <w:color w:val="231F20"/>
          <w:sz w:val="21"/>
        </w:rPr>
        <w:t>Матеріальне й соціальне</w:t>
      </w:r>
      <w:r>
        <w:rPr>
          <w:b/>
          <w:color w:val="231F20"/>
          <w:spacing w:val="-3"/>
          <w:sz w:val="21"/>
        </w:rPr>
        <w:t xml:space="preserve"> </w:t>
      </w:r>
      <w:r>
        <w:rPr>
          <w:b/>
          <w:color w:val="231F20"/>
          <w:sz w:val="21"/>
        </w:rPr>
        <w:t>забезпечення</w:t>
      </w:r>
    </w:p>
    <w:p w14:paraId="5D0A413A" w14:textId="77777777" w:rsidR="00DE575E" w:rsidRDefault="002E7560">
      <w:pPr>
        <w:tabs>
          <w:tab w:val="left" w:pos="6477"/>
        </w:tabs>
        <w:spacing w:line="233" w:lineRule="exact"/>
        <w:ind w:left="647"/>
        <w:rPr>
          <w:b/>
          <w:sz w:val="20"/>
        </w:rPr>
      </w:pPr>
      <w:r>
        <w:rPr>
          <w:b/>
          <w:color w:val="231F20"/>
          <w:sz w:val="21"/>
        </w:rPr>
        <w:t>державного</w:t>
      </w:r>
      <w:r>
        <w:rPr>
          <w:b/>
          <w:color w:val="231F20"/>
          <w:spacing w:val="-3"/>
          <w:sz w:val="21"/>
        </w:rPr>
        <w:t xml:space="preserve"> </w:t>
      </w:r>
      <w:r>
        <w:rPr>
          <w:b/>
          <w:color w:val="231F20"/>
          <w:sz w:val="21"/>
        </w:rPr>
        <w:t>службовця</w:t>
      </w:r>
      <w:r>
        <w:rPr>
          <w:b/>
          <w:color w:val="231F20"/>
          <w:sz w:val="21"/>
          <w:u w:val="dotted" w:color="231F20"/>
        </w:rPr>
        <w:t xml:space="preserve"> </w:t>
      </w:r>
      <w:r>
        <w:rPr>
          <w:b/>
          <w:color w:val="231F20"/>
          <w:sz w:val="21"/>
          <w:u w:val="dotted" w:color="231F20"/>
        </w:rPr>
        <w:tab/>
      </w:r>
      <w:r>
        <w:rPr>
          <w:b/>
          <w:sz w:val="20"/>
        </w:rPr>
        <w:t>378</w:t>
      </w:r>
    </w:p>
    <w:p w14:paraId="6D7528CE" w14:textId="77777777" w:rsidR="00DE575E" w:rsidRDefault="002E7560">
      <w:pPr>
        <w:pStyle w:val="ListParagraph"/>
        <w:numPr>
          <w:ilvl w:val="1"/>
          <w:numId w:val="329"/>
        </w:numPr>
        <w:tabs>
          <w:tab w:val="left" w:pos="648"/>
          <w:tab w:val="left" w:pos="6477"/>
        </w:tabs>
        <w:spacing w:before="59"/>
        <w:rPr>
          <w:b/>
          <w:sz w:val="20"/>
        </w:rPr>
      </w:pPr>
      <w:r>
        <w:rPr>
          <w:b/>
          <w:color w:val="231F20"/>
          <w:sz w:val="21"/>
        </w:rPr>
        <w:t>Припинення</w:t>
      </w:r>
      <w:r>
        <w:rPr>
          <w:b/>
          <w:color w:val="231F20"/>
          <w:spacing w:val="-3"/>
          <w:sz w:val="21"/>
        </w:rPr>
        <w:t xml:space="preserve"> </w:t>
      </w:r>
      <w:r>
        <w:rPr>
          <w:b/>
          <w:color w:val="231F20"/>
          <w:sz w:val="21"/>
        </w:rPr>
        <w:t>державної</w:t>
      </w:r>
      <w:r>
        <w:rPr>
          <w:b/>
          <w:color w:val="231F20"/>
          <w:spacing w:val="-2"/>
          <w:sz w:val="21"/>
        </w:rPr>
        <w:t xml:space="preserve"> </w:t>
      </w:r>
      <w:r>
        <w:rPr>
          <w:b/>
          <w:color w:val="231F20"/>
          <w:sz w:val="21"/>
        </w:rPr>
        <w:t>служби</w:t>
      </w:r>
      <w:r>
        <w:rPr>
          <w:b/>
          <w:color w:val="231F20"/>
          <w:sz w:val="21"/>
          <w:u w:val="dotted" w:color="231F20"/>
        </w:rPr>
        <w:t xml:space="preserve"> </w:t>
      </w:r>
      <w:r>
        <w:rPr>
          <w:b/>
          <w:color w:val="231F20"/>
          <w:sz w:val="21"/>
          <w:u w:val="dotted" w:color="231F20"/>
        </w:rPr>
        <w:tab/>
      </w:r>
      <w:r>
        <w:rPr>
          <w:b/>
          <w:sz w:val="20"/>
        </w:rPr>
        <w:t>381</w:t>
      </w:r>
    </w:p>
    <w:p w14:paraId="42AB65C4" w14:textId="77777777" w:rsidR="00DE575E" w:rsidRDefault="00DE575E">
      <w:pPr>
        <w:pStyle w:val="BodyText"/>
        <w:spacing w:before="6"/>
        <w:rPr>
          <w:b/>
          <w:sz w:val="20"/>
        </w:rPr>
      </w:pPr>
    </w:p>
    <w:p w14:paraId="446BDEA7" w14:textId="77777777" w:rsidR="00DE575E" w:rsidRDefault="002E7560">
      <w:pPr>
        <w:ind w:left="250"/>
        <w:rPr>
          <w:b/>
          <w:sz w:val="21"/>
        </w:rPr>
      </w:pPr>
      <w:r>
        <w:rPr>
          <w:b/>
          <w:color w:val="231F20"/>
          <w:sz w:val="21"/>
        </w:rPr>
        <w:t>Розділ 3</w:t>
      </w:r>
    </w:p>
    <w:p w14:paraId="79498D53" w14:textId="77777777" w:rsidR="00DE575E" w:rsidRDefault="002E7560">
      <w:pPr>
        <w:spacing w:before="14"/>
        <w:ind w:left="250"/>
        <w:rPr>
          <w:b/>
          <w:sz w:val="21"/>
        </w:rPr>
      </w:pPr>
      <w:r>
        <w:rPr>
          <w:b/>
          <w:color w:val="231F20"/>
          <w:sz w:val="21"/>
        </w:rPr>
        <w:t>ПРАВОВИЙ СТАТУС СЛУЖБОВЦЯ</w:t>
      </w:r>
    </w:p>
    <w:p w14:paraId="15BF8F22" w14:textId="77777777" w:rsidR="00DE575E" w:rsidRDefault="002E7560">
      <w:pPr>
        <w:tabs>
          <w:tab w:val="left" w:pos="6477"/>
        </w:tabs>
        <w:spacing w:before="13"/>
        <w:ind w:left="250"/>
        <w:rPr>
          <w:b/>
          <w:sz w:val="20"/>
        </w:rPr>
      </w:pPr>
      <w:r>
        <w:rPr>
          <w:b/>
          <w:color w:val="231F20"/>
          <w:sz w:val="21"/>
        </w:rPr>
        <w:t xml:space="preserve">В </w:t>
      </w:r>
      <w:r>
        <w:rPr>
          <w:b/>
          <w:color w:val="231F20"/>
          <w:spacing w:val="-5"/>
          <w:sz w:val="21"/>
        </w:rPr>
        <w:t>ОРГАНІ</w:t>
      </w:r>
      <w:r>
        <w:rPr>
          <w:b/>
          <w:color w:val="231F20"/>
          <w:spacing w:val="-7"/>
          <w:sz w:val="21"/>
        </w:rPr>
        <w:t xml:space="preserve"> </w:t>
      </w:r>
      <w:r>
        <w:rPr>
          <w:b/>
          <w:color w:val="231F20"/>
          <w:sz w:val="21"/>
        </w:rPr>
        <w:t>МІСЦЕВОГО</w:t>
      </w:r>
      <w:r>
        <w:rPr>
          <w:b/>
          <w:color w:val="231F20"/>
          <w:spacing w:val="-4"/>
          <w:sz w:val="21"/>
        </w:rPr>
        <w:t xml:space="preserve"> </w:t>
      </w:r>
      <w:r>
        <w:rPr>
          <w:b/>
          <w:color w:val="231F20"/>
          <w:sz w:val="21"/>
        </w:rPr>
        <w:t>САМОВРЯДУВАННЯ</w:t>
      </w:r>
      <w:r>
        <w:rPr>
          <w:b/>
          <w:color w:val="231F20"/>
          <w:sz w:val="21"/>
          <w:u w:val="dotted" w:color="231F20"/>
        </w:rPr>
        <w:t xml:space="preserve"> </w:t>
      </w:r>
      <w:r>
        <w:rPr>
          <w:b/>
          <w:color w:val="231F20"/>
          <w:sz w:val="21"/>
          <w:u w:val="dotted" w:color="231F20"/>
        </w:rPr>
        <w:tab/>
      </w:r>
      <w:r>
        <w:rPr>
          <w:b/>
          <w:sz w:val="20"/>
        </w:rPr>
        <w:t>384</w:t>
      </w:r>
    </w:p>
    <w:p w14:paraId="70E2C711" w14:textId="77777777" w:rsidR="00DE575E" w:rsidRDefault="002E7560">
      <w:pPr>
        <w:pStyle w:val="ListParagraph"/>
        <w:numPr>
          <w:ilvl w:val="1"/>
          <w:numId w:val="328"/>
        </w:numPr>
        <w:tabs>
          <w:tab w:val="left" w:pos="648"/>
        </w:tabs>
        <w:spacing w:before="81" w:line="213" w:lineRule="auto"/>
        <w:ind w:right="1949"/>
        <w:jc w:val="left"/>
        <w:rPr>
          <w:b/>
          <w:sz w:val="21"/>
        </w:rPr>
      </w:pPr>
      <w:r>
        <w:rPr>
          <w:b/>
          <w:color w:val="231F20"/>
          <w:sz w:val="21"/>
        </w:rPr>
        <w:t>Поняття службовця в органі місцевого самоврядування. Посади в органах</w:t>
      </w:r>
      <w:r>
        <w:rPr>
          <w:b/>
          <w:color w:val="231F20"/>
          <w:spacing w:val="-23"/>
          <w:sz w:val="21"/>
        </w:rPr>
        <w:t xml:space="preserve"> </w:t>
      </w:r>
      <w:r>
        <w:rPr>
          <w:b/>
          <w:color w:val="231F20"/>
          <w:sz w:val="21"/>
        </w:rPr>
        <w:t>місцевого</w:t>
      </w:r>
    </w:p>
    <w:p w14:paraId="46FBCE76" w14:textId="77777777" w:rsidR="00DE575E" w:rsidRDefault="002E7560">
      <w:pPr>
        <w:tabs>
          <w:tab w:val="left" w:pos="6477"/>
        </w:tabs>
        <w:spacing w:line="226" w:lineRule="exact"/>
        <w:ind w:left="647"/>
        <w:rPr>
          <w:b/>
          <w:sz w:val="20"/>
        </w:rPr>
      </w:pPr>
      <w:r>
        <w:rPr>
          <w:b/>
          <w:color w:val="231F20"/>
          <w:sz w:val="21"/>
        </w:rPr>
        <w:t>самоврядування та</w:t>
      </w:r>
      <w:r>
        <w:rPr>
          <w:b/>
          <w:color w:val="231F20"/>
          <w:spacing w:val="-5"/>
          <w:sz w:val="21"/>
        </w:rPr>
        <w:t xml:space="preserve"> </w:t>
      </w:r>
      <w:r>
        <w:rPr>
          <w:b/>
          <w:color w:val="231F20"/>
          <w:sz w:val="21"/>
        </w:rPr>
        <w:t>їх</w:t>
      </w:r>
      <w:r>
        <w:rPr>
          <w:b/>
          <w:color w:val="231F20"/>
          <w:spacing w:val="-3"/>
          <w:sz w:val="21"/>
        </w:rPr>
        <w:t xml:space="preserve"> </w:t>
      </w:r>
      <w:r>
        <w:rPr>
          <w:b/>
          <w:color w:val="231F20"/>
          <w:sz w:val="21"/>
        </w:rPr>
        <w:t>категорії</w:t>
      </w:r>
      <w:r>
        <w:rPr>
          <w:b/>
          <w:color w:val="231F20"/>
          <w:sz w:val="21"/>
          <w:u w:val="dotted" w:color="231F20"/>
        </w:rPr>
        <w:t xml:space="preserve"> </w:t>
      </w:r>
      <w:r>
        <w:rPr>
          <w:b/>
          <w:color w:val="231F20"/>
          <w:sz w:val="21"/>
          <w:u w:val="dotted" w:color="231F20"/>
        </w:rPr>
        <w:tab/>
      </w:r>
      <w:r>
        <w:rPr>
          <w:b/>
          <w:sz w:val="20"/>
        </w:rPr>
        <w:t>384</w:t>
      </w:r>
    </w:p>
    <w:p w14:paraId="452C654D" w14:textId="77777777" w:rsidR="00DE575E" w:rsidRDefault="002E7560">
      <w:pPr>
        <w:pStyle w:val="ListParagraph"/>
        <w:numPr>
          <w:ilvl w:val="1"/>
          <w:numId w:val="328"/>
        </w:numPr>
        <w:tabs>
          <w:tab w:val="left" w:pos="648"/>
        </w:tabs>
        <w:spacing w:before="59" w:line="233" w:lineRule="exact"/>
        <w:jc w:val="left"/>
        <w:rPr>
          <w:b/>
          <w:sz w:val="21"/>
        </w:rPr>
      </w:pPr>
      <w:r>
        <w:rPr>
          <w:b/>
          <w:color w:val="231F20"/>
          <w:sz w:val="21"/>
        </w:rPr>
        <w:t>Обов’язки та права</w:t>
      </w:r>
      <w:r>
        <w:rPr>
          <w:b/>
          <w:color w:val="231F20"/>
          <w:spacing w:val="-4"/>
          <w:sz w:val="21"/>
        </w:rPr>
        <w:t xml:space="preserve"> </w:t>
      </w:r>
      <w:r>
        <w:rPr>
          <w:b/>
          <w:color w:val="231F20"/>
          <w:sz w:val="21"/>
        </w:rPr>
        <w:t>службовця</w:t>
      </w:r>
    </w:p>
    <w:p w14:paraId="53370C0B" w14:textId="77777777" w:rsidR="00DE575E" w:rsidRDefault="002E7560">
      <w:pPr>
        <w:tabs>
          <w:tab w:val="left" w:pos="6477"/>
        </w:tabs>
        <w:spacing w:line="233" w:lineRule="exact"/>
        <w:ind w:left="647"/>
        <w:rPr>
          <w:b/>
          <w:sz w:val="20"/>
        </w:rPr>
      </w:pPr>
      <w:r>
        <w:rPr>
          <w:b/>
          <w:color w:val="231F20"/>
          <w:sz w:val="21"/>
        </w:rPr>
        <w:t>в органі</w:t>
      </w:r>
      <w:r>
        <w:rPr>
          <w:b/>
          <w:color w:val="231F20"/>
          <w:spacing w:val="-6"/>
          <w:sz w:val="21"/>
        </w:rPr>
        <w:t xml:space="preserve"> </w:t>
      </w:r>
      <w:r>
        <w:rPr>
          <w:b/>
          <w:color w:val="231F20"/>
          <w:sz w:val="21"/>
        </w:rPr>
        <w:t>місцевого</w:t>
      </w:r>
      <w:r>
        <w:rPr>
          <w:b/>
          <w:color w:val="231F20"/>
          <w:spacing w:val="-4"/>
          <w:sz w:val="21"/>
        </w:rPr>
        <w:t xml:space="preserve"> </w:t>
      </w:r>
      <w:r>
        <w:rPr>
          <w:b/>
          <w:color w:val="231F20"/>
          <w:sz w:val="21"/>
        </w:rPr>
        <w:t>самоврядування</w:t>
      </w:r>
      <w:r>
        <w:rPr>
          <w:b/>
          <w:color w:val="231F20"/>
          <w:sz w:val="21"/>
          <w:u w:val="dotted" w:color="231F20"/>
        </w:rPr>
        <w:t xml:space="preserve"> </w:t>
      </w:r>
      <w:r>
        <w:rPr>
          <w:b/>
          <w:color w:val="231F20"/>
          <w:sz w:val="21"/>
          <w:u w:val="dotted" w:color="231F20"/>
        </w:rPr>
        <w:tab/>
      </w:r>
      <w:r>
        <w:rPr>
          <w:b/>
          <w:sz w:val="20"/>
        </w:rPr>
        <w:t>388</w:t>
      </w:r>
    </w:p>
    <w:p w14:paraId="01D5F05F" w14:textId="77777777" w:rsidR="00DE575E" w:rsidRDefault="002E7560">
      <w:pPr>
        <w:pStyle w:val="ListParagraph"/>
        <w:numPr>
          <w:ilvl w:val="1"/>
          <w:numId w:val="328"/>
        </w:numPr>
        <w:tabs>
          <w:tab w:val="left" w:pos="648"/>
        </w:tabs>
        <w:spacing w:before="59" w:line="233" w:lineRule="exact"/>
        <w:jc w:val="left"/>
        <w:rPr>
          <w:b/>
          <w:sz w:val="21"/>
        </w:rPr>
      </w:pPr>
      <w:r>
        <w:rPr>
          <w:b/>
          <w:color w:val="231F20"/>
          <w:sz w:val="21"/>
        </w:rPr>
        <w:t>Вступ на службу в органі місцевого</w:t>
      </w:r>
      <w:r>
        <w:rPr>
          <w:b/>
          <w:color w:val="231F20"/>
          <w:spacing w:val="-9"/>
          <w:sz w:val="21"/>
        </w:rPr>
        <w:t xml:space="preserve"> </w:t>
      </w:r>
      <w:r>
        <w:rPr>
          <w:b/>
          <w:color w:val="231F20"/>
          <w:sz w:val="21"/>
        </w:rPr>
        <w:t>самоврядування.</w:t>
      </w:r>
    </w:p>
    <w:p w14:paraId="07730EFC" w14:textId="77777777" w:rsidR="00DE575E" w:rsidRDefault="002E7560">
      <w:pPr>
        <w:spacing w:line="220" w:lineRule="exact"/>
        <w:ind w:left="647"/>
        <w:rPr>
          <w:b/>
          <w:sz w:val="21"/>
        </w:rPr>
      </w:pPr>
      <w:r>
        <w:rPr>
          <w:b/>
          <w:color w:val="231F20"/>
          <w:sz w:val="21"/>
        </w:rPr>
        <w:t>Проходження служби в органі місцевого</w:t>
      </w:r>
    </w:p>
    <w:p w14:paraId="64127BF0" w14:textId="77777777" w:rsidR="00DE575E" w:rsidRDefault="002E7560">
      <w:pPr>
        <w:tabs>
          <w:tab w:val="left" w:pos="6477"/>
        </w:tabs>
        <w:spacing w:line="233" w:lineRule="exact"/>
        <w:ind w:left="647"/>
        <w:rPr>
          <w:b/>
          <w:sz w:val="20"/>
        </w:rPr>
      </w:pPr>
      <w:r>
        <w:rPr>
          <w:b/>
          <w:color w:val="231F20"/>
          <w:sz w:val="21"/>
        </w:rPr>
        <w:t xml:space="preserve">самоврядування і службова </w:t>
      </w:r>
      <w:r>
        <w:rPr>
          <w:b/>
          <w:color w:val="231F20"/>
          <w:spacing w:val="-4"/>
          <w:sz w:val="21"/>
        </w:rPr>
        <w:t>кар’єра</w:t>
      </w:r>
      <w:r>
        <w:rPr>
          <w:b/>
          <w:color w:val="231F20"/>
          <w:spacing w:val="-4"/>
          <w:sz w:val="21"/>
          <w:u w:val="dotted" w:color="231F20"/>
        </w:rPr>
        <w:t xml:space="preserve"> </w:t>
      </w:r>
      <w:r>
        <w:rPr>
          <w:b/>
          <w:color w:val="231F20"/>
          <w:spacing w:val="-4"/>
          <w:sz w:val="21"/>
          <w:u w:val="dotted" w:color="231F20"/>
        </w:rPr>
        <w:tab/>
      </w:r>
      <w:r>
        <w:rPr>
          <w:b/>
          <w:sz w:val="20"/>
        </w:rPr>
        <w:t>391</w:t>
      </w:r>
    </w:p>
    <w:p w14:paraId="3429A555" w14:textId="77777777" w:rsidR="00DE575E" w:rsidRDefault="00DE575E">
      <w:pPr>
        <w:pStyle w:val="BodyText"/>
        <w:rPr>
          <w:b/>
          <w:sz w:val="20"/>
        </w:rPr>
      </w:pPr>
    </w:p>
    <w:p w14:paraId="3CB881CD" w14:textId="77777777" w:rsidR="00DE575E" w:rsidRDefault="00DE575E">
      <w:pPr>
        <w:pStyle w:val="BodyText"/>
        <w:rPr>
          <w:b/>
          <w:sz w:val="20"/>
        </w:rPr>
      </w:pPr>
    </w:p>
    <w:p w14:paraId="0D5859BC" w14:textId="77777777" w:rsidR="00DE575E" w:rsidRDefault="00DE575E">
      <w:pPr>
        <w:pStyle w:val="BodyText"/>
        <w:spacing w:before="6"/>
        <w:rPr>
          <w:b/>
          <w:sz w:val="22"/>
        </w:rPr>
      </w:pPr>
    </w:p>
    <w:p w14:paraId="117746FC" w14:textId="77777777" w:rsidR="00DE575E" w:rsidRDefault="002E7560">
      <w:pPr>
        <w:ind w:right="411"/>
        <w:jc w:val="right"/>
        <w:rPr>
          <w:rFonts w:ascii="Times New Roman"/>
          <w:sz w:val="20"/>
        </w:rPr>
      </w:pPr>
      <w:r>
        <w:rPr>
          <w:rFonts w:ascii="Times New Roman"/>
          <w:color w:val="231F20"/>
          <w:w w:val="90"/>
          <w:sz w:val="20"/>
        </w:rPr>
        <w:t>13</w:t>
      </w:r>
    </w:p>
    <w:p w14:paraId="27EAE22D" w14:textId="77777777" w:rsidR="00DE575E" w:rsidRDefault="00DE575E">
      <w:pPr>
        <w:jc w:val="right"/>
        <w:rPr>
          <w:rFonts w:ascii="Times New Roman"/>
          <w:sz w:val="20"/>
        </w:rPr>
        <w:sectPr w:rsidR="00DE575E">
          <w:type w:val="continuous"/>
          <w:pgSz w:w="8510" w:h="12760"/>
          <w:pgMar w:top="1180" w:right="720" w:bottom="280" w:left="600" w:header="720" w:footer="720" w:gutter="0"/>
          <w:cols w:space="720"/>
        </w:sectPr>
      </w:pPr>
    </w:p>
    <w:p w14:paraId="78F3ADC3"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 xml:space="preserve">Адміністративне право України. </w:t>
      </w:r>
      <w:r>
        <w:rPr>
          <w:rFonts w:ascii="AdonisC" w:hAnsi="AdonisC"/>
          <w:i/>
          <w:color w:val="231F20"/>
          <w:sz w:val="18"/>
        </w:rPr>
        <w:t>Повний курс</w:t>
      </w:r>
    </w:p>
    <w:p w14:paraId="375E14BE" w14:textId="027788E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FF0923D" wp14:editId="17FDE644">
                <wp:extent cx="4140200" cy="6350"/>
                <wp:effectExtent l="0" t="0" r="12700" b="6350"/>
                <wp:docPr id="1389"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90" name="Line 13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5D62F" id="Group_x0020_13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ergOVIECAACcBQAA&#10;DgAAAAAAAAAAAAAAAAAsAgAAZHJzL2Uyb0RvYy54bWxQSwECLQAUAAYACAAAACEATKewkNkAAAAD&#10;AQAADwAAAAAAAAAAAAAAAADZBAAAZHJzL2Rvd25yZXYueG1sUEsFBgAAAAAEAAQA8wAAAN8FAAAA&#10;AA==&#10;">
                <v:line id="Line_x0020_13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m6fMgAAADdAAAADwAAAGRycy9kb3ducmV2LnhtbESP3UrDQBCF74W+wzKCN2I3GhBNuy1F&#10;EMSL/sUHmGanSXB3Ns1um+jTOxcF72Y4Z875Zr4cvVMX6mMb2MDjNANFXAXbcm3gq3x/eAEVE7JF&#10;F5gM/FCE5WJyM8fChoF3dNmnWkkIxwINNCl1hdaxashjnIaOWLRj6D0mWfta2x4HCfdOP2XZs/bY&#10;sjQ02NFbQ9X3/uwNlKf75LabTzeUm0OuD6d1/nteG3N3O65moBKN6d98vf6wgp+/Cr98IyPox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6m6fMgAAADdAAAADwAAAAAA&#10;AAAAAAAAAAChAgAAZHJzL2Rvd25yZXYueG1sUEsFBgAAAAAEAAQA+QAAAJYDAAAAAA==&#10;" strokecolor="#231f20" strokeweight=".5pt"/>
                <w10:anchorlock/>
              </v:group>
            </w:pict>
          </mc:Fallback>
        </mc:AlternateContent>
      </w:r>
    </w:p>
    <w:p w14:paraId="2F4E7D17" w14:textId="77777777" w:rsidR="00DE575E" w:rsidRDefault="00DE575E">
      <w:pPr>
        <w:pStyle w:val="BodyText"/>
        <w:spacing w:before="7"/>
        <w:rPr>
          <w:rFonts w:ascii="AdonisC"/>
          <w:i/>
          <w:sz w:val="11"/>
        </w:rPr>
      </w:pPr>
    </w:p>
    <w:p w14:paraId="71219A71" w14:textId="77777777" w:rsidR="00DE575E" w:rsidRDefault="002E7560">
      <w:pPr>
        <w:pStyle w:val="Heading5"/>
        <w:numPr>
          <w:ilvl w:val="1"/>
          <w:numId w:val="328"/>
        </w:numPr>
        <w:tabs>
          <w:tab w:val="left" w:pos="931"/>
        </w:tabs>
        <w:spacing w:before="101" w:line="233" w:lineRule="exact"/>
        <w:ind w:left="930"/>
        <w:jc w:val="left"/>
      </w:pPr>
      <w:r>
        <w:rPr>
          <w:color w:val="231F20"/>
        </w:rPr>
        <w:t>Дисциплінарна та матеріальна</w:t>
      </w:r>
      <w:r>
        <w:rPr>
          <w:color w:val="231F20"/>
          <w:spacing w:val="-2"/>
        </w:rPr>
        <w:t xml:space="preserve"> </w:t>
      </w:r>
      <w:r>
        <w:rPr>
          <w:color w:val="231F20"/>
        </w:rPr>
        <w:t>відповідальність</w:t>
      </w:r>
    </w:p>
    <w:p w14:paraId="312EDF02" w14:textId="77777777" w:rsidR="00DE575E" w:rsidRDefault="002E7560">
      <w:pPr>
        <w:tabs>
          <w:tab w:val="left" w:pos="6760"/>
        </w:tabs>
        <w:spacing w:line="233" w:lineRule="exact"/>
        <w:ind w:left="930"/>
        <w:rPr>
          <w:b/>
          <w:sz w:val="20"/>
        </w:rPr>
      </w:pPr>
      <w:r>
        <w:rPr>
          <w:b/>
          <w:color w:val="231F20"/>
          <w:sz w:val="21"/>
        </w:rPr>
        <w:t>службовця  в органі</w:t>
      </w:r>
      <w:r>
        <w:rPr>
          <w:b/>
          <w:color w:val="231F20"/>
          <w:spacing w:val="-9"/>
          <w:sz w:val="21"/>
        </w:rPr>
        <w:t xml:space="preserve"> </w:t>
      </w:r>
      <w:r>
        <w:rPr>
          <w:b/>
          <w:color w:val="231F20"/>
          <w:sz w:val="21"/>
        </w:rPr>
        <w:t>місцевого</w:t>
      </w:r>
      <w:r>
        <w:rPr>
          <w:b/>
          <w:color w:val="231F20"/>
          <w:spacing w:val="-3"/>
          <w:sz w:val="21"/>
        </w:rPr>
        <w:t xml:space="preserve"> </w:t>
      </w:r>
      <w:r>
        <w:rPr>
          <w:b/>
          <w:color w:val="231F20"/>
          <w:sz w:val="21"/>
        </w:rPr>
        <w:t>самоврядування</w:t>
      </w:r>
      <w:r>
        <w:rPr>
          <w:b/>
          <w:color w:val="231F20"/>
          <w:sz w:val="21"/>
          <w:u w:val="dotted" w:color="231F20"/>
        </w:rPr>
        <w:t xml:space="preserve"> </w:t>
      </w:r>
      <w:r>
        <w:rPr>
          <w:b/>
          <w:color w:val="231F20"/>
          <w:sz w:val="21"/>
          <w:u w:val="dotted" w:color="231F20"/>
        </w:rPr>
        <w:tab/>
      </w:r>
      <w:r>
        <w:rPr>
          <w:b/>
          <w:sz w:val="20"/>
        </w:rPr>
        <w:t>398</w:t>
      </w:r>
    </w:p>
    <w:p w14:paraId="6E2E103D" w14:textId="77777777" w:rsidR="00DE575E" w:rsidRDefault="002E7560">
      <w:pPr>
        <w:pStyle w:val="ListParagraph"/>
        <w:numPr>
          <w:ilvl w:val="1"/>
          <w:numId w:val="328"/>
        </w:numPr>
        <w:tabs>
          <w:tab w:val="left" w:pos="931"/>
        </w:tabs>
        <w:spacing w:before="58" w:line="233" w:lineRule="exact"/>
        <w:ind w:left="930"/>
        <w:jc w:val="left"/>
        <w:rPr>
          <w:b/>
          <w:sz w:val="21"/>
        </w:rPr>
      </w:pPr>
      <w:r>
        <w:rPr>
          <w:b/>
          <w:color w:val="231F20"/>
          <w:sz w:val="21"/>
        </w:rPr>
        <w:t>Матеріальне й соціальне</w:t>
      </w:r>
      <w:r>
        <w:rPr>
          <w:b/>
          <w:color w:val="231F20"/>
          <w:spacing w:val="-3"/>
          <w:sz w:val="21"/>
        </w:rPr>
        <w:t xml:space="preserve"> </w:t>
      </w:r>
      <w:r>
        <w:rPr>
          <w:b/>
          <w:color w:val="231F20"/>
          <w:sz w:val="21"/>
        </w:rPr>
        <w:t>забезпечення</w:t>
      </w:r>
    </w:p>
    <w:p w14:paraId="7831DD0F" w14:textId="77777777" w:rsidR="00DE575E" w:rsidRDefault="002E7560">
      <w:pPr>
        <w:tabs>
          <w:tab w:val="left" w:pos="6760"/>
        </w:tabs>
        <w:spacing w:line="233" w:lineRule="exact"/>
        <w:ind w:left="930"/>
        <w:rPr>
          <w:b/>
          <w:sz w:val="20"/>
        </w:rPr>
      </w:pPr>
      <w:r>
        <w:rPr>
          <w:b/>
          <w:color w:val="231F20"/>
          <w:sz w:val="21"/>
        </w:rPr>
        <w:t>службовця в органі</w:t>
      </w:r>
      <w:r>
        <w:rPr>
          <w:b/>
          <w:color w:val="231F20"/>
          <w:spacing w:val="-8"/>
          <w:sz w:val="21"/>
        </w:rPr>
        <w:t xml:space="preserve"> </w:t>
      </w:r>
      <w:r>
        <w:rPr>
          <w:b/>
          <w:color w:val="231F20"/>
          <w:sz w:val="21"/>
        </w:rPr>
        <w:t>місцевого</w:t>
      </w:r>
      <w:r>
        <w:rPr>
          <w:b/>
          <w:color w:val="231F20"/>
          <w:spacing w:val="-4"/>
          <w:sz w:val="21"/>
        </w:rPr>
        <w:t xml:space="preserve"> </w:t>
      </w:r>
      <w:r>
        <w:rPr>
          <w:b/>
          <w:color w:val="231F20"/>
          <w:sz w:val="21"/>
        </w:rPr>
        <w:t>самоврядування</w:t>
      </w:r>
      <w:r>
        <w:rPr>
          <w:b/>
          <w:color w:val="231F20"/>
          <w:sz w:val="21"/>
          <w:u w:val="dotted" w:color="231F20"/>
        </w:rPr>
        <w:t xml:space="preserve"> </w:t>
      </w:r>
      <w:r>
        <w:rPr>
          <w:b/>
          <w:color w:val="231F20"/>
          <w:sz w:val="21"/>
          <w:u w:val="dotted" w:color="231F20"/>
        </w:rPr>
        <w:tab/>
      </w:r>
      <w:r>
        <w:rPr>
          <w:b/>
          <w:sz w:val="20"/>
        </w:rPr>
        <w:t>400</w:t>
      </w:r>
    </w:p>
    <w:p w14:paraId="2BFA6DAE" w14:textId="77777777" w:rsidR="00DE575E" w:rsidRDefault="002E7560">
      <w:pPr>
        <w:pStyle w:val="ListParagraph"/>
        <w:numPr>
          <w:ilvl w:val="1"/>
          <w:numId w:val="328"/>
        </w:numPr>
        <w:tabs>
          <w:tab w:val="left" w:pos="931"/>
        </w:tabs>
        <w:spacing w:before="59" w:line="233" w:lineRule="exact"/>
        <w:ind w:left="930"/>
        <w:jc w:val="left"/>
        <w:rPr>
          <w:b/>
          <w:sz w:val="21"/>
        </w:rPr>
      </w:pPr>
      <w:r>
        <w:rPr>
          <w:b/>
          <w:color w:val="231F20"/>
          <w:sz w:val="21"/>
        </w:rPr>
        <w:t>Припинення</w:t>
      </w:r>
      <w:r>
        <w:rPr>
          <w:b/>
          <w:color w:val="231F20"/>
          <w:spacing w:val="-2"/>
          <w:sz w:val="21"/>
        </w:rPr>
        <w:t xml:space="preserve"> </w:t>
      </w:r>
      <w:r>
        <w:rPr>
          <w:b/>
          <w:color w:val="231F20"/>
          <w:sz w:val="21"/>
        </w:rPr>
        <w:t>служби</w:t>
      </w:r>
    </w:p>
    <w:p w14:paraId="414E6EF9" w14:textId="77777777" w:rsidR="00DE575E" w:rsidRDefault="002E7560">
      <w:pPr>
        <w:tabs>
          <w:tab w:val="left" w:pos="6760"/>
        </w:tabs>
        <w:spacing w:line="233" w:lineRule="exact"/>
        <w:ind w:left="930"/>
        <w:rPr>
          <w:b/>
          <w:sz w:val="20"/>
        </w:rPr>
      </w:pPr>
      <w:r>
        <w:rPr>
          <w:b/>
          <w:color w:val="231F20"/>
          <w:sz w:val="21"/>
        </w:rPr>
        <w:t>в органі</w:t>
      </w:r>
      <w:r>
        <w:rPr>
          <w:b/>
          <w:color w:val="231F20"/>
          <w:spacing w:val="-6"/>
          <w:sz w:val="21"/>
        </w:rPr>
        <w:t xml:space="preserve"> </w:t>
      </w:r>
      <w:r>
        <w:rPr>
          <w:b/>
          <w:color w:val="231F20"/>
          <w:sz w:val="21"/>
        </w:rPr>
        <w:t>місцевого</w:t>
      </w:r>
      <w:r>
        <w:rPr>
          <w:b/>
          <w:color w:val="231F20"/>
          <w:spacing w:val="-4"/>
          <w:sz w:val="21"/>
        </w:rPr>
        <w:t xml:space="preserve"> </w:t>
      </w:r>
      <w:r>
        <w:rPr>
          <w:b/>
          <w:color w:val="231F20"/>
          <w:sz w:val="21"/>
        </w:rPr>
        <w:t>самоврядування</w:t>
      </w:r>
      <w:r>
        <w:rPr>
          <w:b/>
          <w:color w:val="231F20"/>
          <w:sz w:val="21"/>
          <w:u w:val="dotted" w:color="231F20"/>
        </w:rPr>
        <w:t xml:space="preserve"> </w:t>
      </w:r>
      <w:r>
        <w:rPr>
          <w:b/>
          <w:color w:val="231F20"/>
          <w:sz w:val="21"/>
          <w:u w:val="dotted" w:color="231F20"/>
        </w:rPr>
        <w:tab/>
      </w:r>
      <w:r>
        <w:rPr>
          <w:b/>
          <w:sz w:val="20"/>
        </w:rPr>
        <w:t>402</w:t>
      </w:r>
    </w:p>
    <w:p w14:paraId="79041A39" w14:textId="77777777" w:rsidR="00DE575E" w:rsidRDefault="00DE575E">
      <w:pPr>
        <w:pStyle w:val="BodyText"/>
        <w:spacing w:before="6"/>
        <w:rPr>
          <w:b/>
          <w:sz w:val="20"/>
        </w:rPr>
      </w:pPr>
    </w:p>
    <w:p w14:paraId="2D6EFFC2" w14:textId="77777777" w:rsidR="00DE575E" w:rsidRDefault="002E7560">
      <w:pPr>
        <w:ind w:left="533"/>
        <w:rPr>
          <w:b/>
          <w:sz w:val="21"/>
        </w:rPr>
      </w:pPr>
      <w:r>
        <w:rPr>
          <w:b/>
          <w:color w:val="231F20"/>
          <w:sz w:val="21"/>
        </w:rPr>
        <w:t>Розділ 4</w:t>
      </w:r>
    </w:p>
    <w:p w14:paraId="1656837B" w14:textId="77777777" w:rsidR="00DE575E" w:rsidRDefault="002E7560">
      <w:pPr>
        <w:spacing w:before="14"/>
        <w:ind w:left="533"/>
        <w:rPr>
          <w:b/>
          <w:sz w:val="21"/>
        </w:rPr>
      </w:pPr>
      <w:r>
        <w:rPr>
          <w:b/>
          <w:color w:val="231F20"/>
          <w:sz w:val="21"/>
        </w:rPr>
        <w:t>ЗАПОБІГАННЯ КОРУПЦІЙНИМ ПРОЯВАМ</w:t>
      </w:r>
    </w:p>
    <w:p w14:paraId="0FFEBC89" w14:textId="77777777" w:rsidR="00DE575E" w:rsidRDefault="002E7560">
      <w:pPr>
        <w:tabs>
          <w:tab w:val="left" w:pos="6760"/>
        </w:tabs>
        <w:spacing w:before="14"/>
        <w:ind w:left="533"/>
        <w:rPr>
          <w:b/>
          <w:sz w:val="20"/>
        </w:rPr>
      </w:pPr>
      <w:r>
        <w:rPr>
          <w:b/>
          <w:color w:val="231F20"/>
          <w:sz w:val="21"/>
        </w:rPr>
        <w:t>У</w:t>
      </w:r>
      <w:r>
        <w:rPr>
          <w:b/>
          <w:color w:val="231F20"/>
          <w:spacing w:val="-3"/>
          <w:sz w:val="21"/>
        </w:rPr>
        <w:t xml:space="preserve"> </w:t>
      </w:r>
      <w:r>
        <w:rPr>
          <w:b/>
          <w:color w:val="231F20"/>
          <w:sz w:val="21"/>
        </w:rPr>
        <w:t>ПУБЛІЧНІЙ</w:t>
      </w:r>
      <w:r>
        <w:rPr>
          <w:b/>
          <w:color w:val="231F20"/>
          <w:spacing w:val="-3"/>
          <w:sz w:val="21"/>
        </w:rPr>
        <w:t xml:space="preserve"> </w:t>
      </w:r>
      <w:r>
        <w:rPr>
          <w:b/>
          <w:color w:val="231F20"/>
          <w:sz w:val="21"/>
        </w:rPr>
        <w:t>СЛУЖБІ</w:t>
      </w:r>
      <w:r>
        <w:rPr>
          <w:b/>
          <w:color w:val="231F20"/>
          <w:sz w:val="21"/>
          <w:u w:val="dotted" w:color="231F20"/>
        </w:rPr>
        <w:t xml:space="preserve"> </w:t>
      </w:r>
      <w:r>
        <w:rPr>
          <w:b/>
          <w:color w:val="231F20"/>
          <w:sz w:val="21"/>
          <w:u w:val="dotted" w:color="231F20"/>
        </w:rPr>
        <w:tab/>
      </w:r>
      <w:r>
        <w:rPr>
          <w:b/>
          <w:sz w:val="20"/>
        </w:rPr>
        <w:t>405</w:t>
      </w:r>
    </w:p>
    <w:p w14:paraId="3A9385BF" w14:textId="77777777" w:rsidR="00DE575E" w:rsidRDefault="002E7560">
      <w:pPr>
        <w:pStyle w:val="ListParagraph"/>
        <w:numPr>
          <w:ilvl w:val="1"/>
          <w:numId w:val="327"/>
        </w:numPr>
        <w:tabs>
          <w:tab w:val="left" w:pos="931"/>
        </w:tabs>
        <w:spacing w:before="59" w:line="233" w:lineRule="exact"/>
        <w:rPr>
          <w:b/>
          <w:sz w:val="21"/>
        </w:rPr>
      </w:pPr>
      <w:r>
        <w:rPr>
          <w:b/>
          <w:color w:val="231F20"/>
          <w:sz w:val="21"/>
        </w:rPr>
        <w:t xml:space="preserve">Обмеження </w:t>
      </w:r>
      <w:r>
        <w:rPr>
          <w:b/>
          <w:color w:val="231F20"/>
          <w:spacing w:val="-3"/>
          <w:sz w:val="21"/>
        </w:rPr>
        <w:t xml:space="preserve">щодо </w:t>
      </w:r>
      <w:r>
        <w:rPr>
          <w:b/>
          <w:color w:val="231F20"/>
          <w:sz w:val="21"/>
        </w:rPr>
        <w:t>використання службових</w:t>
      </w:r>
    </w:p>
    <w:p w14:paraId="487ED025" w14:textId="77777777" w:rsidR="00DE575E" w:rsidRDefault="002E7560">
      <w:pPr>
        <w:tabs>
          <w:tab w:val="left" w:pos="6760"/>
        </w:tabs>
        <w:spacing w:line="233" w:lineRule="exact"/>
        <w:ind w:left="930"/>
        <w:rPr>
          <w:b/>
          <w:sz w:val="20"/>
        </w:rPr>
      </w:pPr>
      <w:r>
        <w:rPr>
          <w:b/>
          <w:color w:val="231F20"/>
          <w:sz w:val="21"/>
        </w:rPr>
        <w:t>повноважень чи</w:t>
      </w:r>
      <w:r>
        <w:rPr>
          <w:b/>
          <w:color w:val="231F20"/>
          <w:spacing w:val="-4"/>
          <w:sz w:val="21"/>
        </w:rPr>
        <w:t xml:space="preserve"> </w:t>
      </w:r>
      <w:r>
        <w:rPr>
          <w:b/>
          <w:color w:val="231F20"/>
          <w:sz w:val="21"/>
        </w:rPr>
        <w:t>свого</w:t>
      </w:r>
      <w:r>
        <w:rPr>
          <w:b/>
          <w:color w:val="231F20"/>
          <w:spacing w:val="-3"/>
          <w:sz w:val="21"/>
        </w:rPr>
        <w:t xml:space="preserve"> </w:t>
      </w:r>
      <w:r>
        <w:rPr>
          <w:b/>
          <w:color w:val="231F20"/>
          <w:sz w:val="21"/>
        </w:rPr>
        <w:t>становища</w:t>
      </w:r>
      <w:r>
        <w:rPr>
          <w:b/>
          <w:color w:val="231F20"/>
          <w:sz w:val="21"/>
          <w:u w:val="dotted" w:color="231F20"/>
        </w:rPr>
        <w:t xml:space="preserve"> </w:t>
      </w:r>
      <w:r>
        <w:rPr>
          <w:b/>
          <w:color w:val="231F20"/>
          <w:sz w:val="21"/>
          <w:u w:val="dotted" w:color="231F20"/>
        </w:rPr>
        <w:tab/>
      </w:r>
      <w:r>
        <w:rPr>
          <w:b/>
          <w:sz w:val="20"/>
        </w:rPr>
        <w:t>405</w:t>
      </w:r>
    </w:p>
    <w:p w14:paraId="4403FA87" w14:textId="77777777" w:rsidR="00DE575E" w:rsidRDefault="002E7560">
      <w:pPr>
        <w:pStyle w:val="ListParagraph"/>
        <w:numPr>
          <w:ilvl w:val="1"/>
          <w:numId w:val="327"/>
        </w:numPr>
        <w:tabs>
          <w:tab w:val="left" w:pos="931"/>
        </w:tabs>
        <w:spacing w:before="59" w:line="233" w:lineRule="exact"/>
        <w:rPr>
          <w:b/>
          <w:sz w:val="21"/>
        </w:rPr>
      </w:pPr>
      <w:r>
        <w:rPr>
          <w:b/>
          <w:color w:val="231F20"/>
          <w:sz w:val="21"/>
        </w:rPr>
        <w:t xml:space="preserve">Обмеження </w:t>
      </w:r>
      <w:r>
        <w:rPr>
          <w:b/>
          <w:color w:val="231F20"/>
          <w:spacing w:val="-3"/>
          <w:sz w:val="21"/>
        </w:rPr>
        <w:t xml:space="preserve">щодо </w:t>
      </w:r>
      <w:r>
        <w:rPr>
          <w:b/>
          <w:color w:val="231F20"/>
          <w:sz w:val="21"/>
        </w:rPr>
        <w:t>одержання подарунків.</w:t>
      </w:r>
    </w:p>
    <w:p w14:paraId="67AED3C6" w14:textId="77777777" w:rsidR="00DE575E" w:rsidRDefault="002E7560">
      <w:pPr>
        <w:spacing w:line="220" w:lineRule="exact"/>
        <w:ind w:left="930"/>
        <w:rPr>
          <w:b/>
          <w:sz w:val="21"/>
        </w:rPr>
      </w:pPr>
      <w:r>
        <w:rPr>
          <w:b/>
          <w:color w:val="231F20"/>
          <w:sz w:val="21"/>
        </w:rPr>
        <w:t>Запобігання одержанню неправомірної вигоди</w:t>
      </w:r>
    </w:p>
    <w:p w14:paraId="38FF3EC1" w14:textId="77777777" w:rsidR="00DE575E" w:rsidRDefault="002E7560">
      <w:pPr>
        <w:tabs>
          <w:tab w:val="left" w:pos="6760"/>
        </w:tabs>
        <w:spacing w:line="233" w:lineRule="exact"/>
        <w:ind w:left="930"/>
        <w:rPr>
          <w:b/>
          <w:sz w:val="20"/>
        </w:rPr>
      </w:pPr>
      <w:r>
        <w:rPr>
          <w:b/>
          <w:color w:val="231F20"/>
          <w:sz w:val="21"/>
        </w:rPr>
        <w:t>або подарунка та поводження</w:t>
      </w:r>
      <w:r>
        <w:rPr>
          <w:b/>
          <w:color w:val="231F20"/>
          <w:spacing w:val="-21"/>
          <w:sz w:val="21"/>
        </w:rPr>
        <w:t xml:space="preserve"> </w:t>
      </w:r>
      <w:r>
        <w:rPr>
          <w:b/>
          <w:color w:val="231F20"/>
          <w:sz w:val="21"/>
        </w:rPr>
        <w:t>з</w:t>
      </w:r>
      <w:r>
        <w:rPr>
          <w:b/>
          <w:color w:val="231F20"/>
          <w:spacing w:val="-6"/>
          <w:sz w:val="21"/>
        </w:rPr>
        <w:t xml:space="preserve"> </w:t>
      </w:r>
      <w:r>
        <w:rPr>
          <w:b/>
          <w:color w:val="231F20"/>
          <w:sz w:val="21"/>
        </w:rPr>
        <w:t>ними</w:t>
      </w:r>
      <w:r>
        <w:rPr>
          <w:b/>
          <w:color w:val="231F20"/>
          <w:sz w:val="21"/>
          <w:u w:val="dotted" w:color="231F20"/>
        </w:rPr>
        <w:t xml:space="preserve"> </w:t>
      </w:r>
      <w:r>
        <w:rPr>
          <w:b/>
          <w:color w:val="231F20"/>
          <w:sz w:val="21"/>
          <w:u w:val="dotted" w:color="231F20"/>
        </w:rPr>
        <w:tab/>
      </w:r>
      <w:r>
        <w:rPr>
          <w:b/>
          <w:sz w:val="20"/>
        </w:rPr>
        <w:t>408</w:t>
      </w:r>
    </w:p>
    <w:p w14:paraId="33173433" w14:textId="77777777" w:rsidR="00DE575E" w:rsidRDefault="002E7560">
      <w:pPr>
        <w:pStyle w:val="ListParagraph"/>
        <w:numPr>
          <w:ilvl w:val="1"/>
          <w:numId w:val="327"/>
        </w:numPr>
        <w:tabs>
          <w:tab w:val="left" w:pos="931"/>
        </w:tabs>
        <w:spacing w:before="59" w:line="233" w:lineRule="exact"/>
        <w:rPr>
          <w:b/>
          <w:sz w:val="21"/>
        </w:rPr>
      </w:pPr>
      <w:r>
        <w:rPr>
          <w:b/>
          <w:color w:val="231F20"/>
          <w:sz w:val="21"/>
        </w:rPr>
        <w:t xml:space="preserve">Обмеження </w:t>
      </w:r>
      <w:r>
        <w:rPr>
          <w:b/>
          <w:color w:val="231F20"/>
          <w:spacing w:val="-3"/>
          <w:sz w:val="21"/>
        </w:rPr>
        <w:t>щодо</w:t>
      </w:r>
      <w:r>
        <w:rPr>
          <w:b/>
          <w:color w:val="231F20"/>
          <w:spacing w:val="-1"/>
          <w:sz w:val="21"/>
        </w:rPr>
        <w:t xml:space="preserve"> </w:t>
      </w:r>
      <w:r>
        <w:rPr>
          <w:b/>
          <w:color w:val="231F20"/>
          <w:sz w:val="21"/>
        </w:rPr>
        <w:t>сумісництва</w:t>
      </w:r>
    </w:p>
    <w:p w14:paraId="1C3A6A50" w14:textId="77777777" w:rsidR="00DE575E" w:rsidRDefault="002E7560">
      <w:pPr>
        <w:tabs>
          <w:tab w:val="left" w:pos="6760"/>
        </w:tabs>
        <w:spacing w:line="233" w:lineRule="exact"/>
        <w:ind w:left="930"/>
        <w:rPr>
          <w:b/>
          <w:sz w:val="20"/>
        </w:rPr>
      </w:pPr>
      <w:r>
        <w:rPr>
          <w:b/>
          <w:color w:val="231F20"/>
          <w:sz w:val="21"/>
        </w:rPr>
        <w:t>та суміщення з іншими</w:t>
      </w:r>
      <w:r>
        <w:rPr>
          <w:b/>
          <w:color w:val="231F20"/>
          <w:spacing w:val="-4"/>
          <w:sz w:val="21"/>
        </w:rPr>
        <w:t xml:space="preserve"> </w:t>
      </w:r>
      <w:r>
        <w:rPr>
          <w:b/>
          <w:color w:val="231F20"/>
          <w:sz w:val="21"/>
        </w:rPr>
        <w:t>видами</w:t>
      </w:r>
      <w:r>
        <w:rPr>
          <w:b/>
          <w:color w:val="231F20"/>
          <w:spacing w:val="-1"/>
          <w:sz w:val="21"/>
        </w:rPr>
        <w:t xml:space="preserve"> </w:t>
      </w:r>
      <w:r>
        <w:rPr>
          <w:b/>
          <w:color w:val="231F20"/>
          <w:sz w:val="21"/>
        </w:rPr>
        <w:t>діяльності</w:t>
      </w:r>
      <w:r>
        <w:rPr>
          <w:b/>
          <w:color w:val="231F20"/>
          <w:sz w:val="21"/>
          <w:u w:val="dotted" w:color="231F20"/>
        </w:rPr>
        <w:t xml:space="preserve"> </w:t>
      </w:r>
      <w:r>
        <w:rPr>
          <w:b/>
          <w:color w:val="231F20"/>
          <w:sz w:val="21"/>
          <w:u w:val="dotted" w:color="231F20"/>
        </w:rPr>
        <w:tab/>
      </w:r>
      <w:r>
        <w:rPr>
          <w:b/>
          <w:sz w:val="20"/>
        </w:rPr>
        <w:t>414</w:t>
      </w:r>
    </w:p>
    <w:p w14:paraId="080D341E" w14:textId="77777777" w:rsidR="00DE575E" w:rsidRDefault="002E7560">
      <w:pPr>
        <w:pStyle w:val="ListParagraph"/>
        <w:numPr>
          <w:ilvl w:val="1"/>
          <w:numId w:val="327"/>
        </w:numPr>
        <w:tabs>
          <w:tab w:val="left" w:pos="931"/>
        </w:tabs>
        <w:spacing w:before="58" w:line="233" w:lineRule="exact"/>
        <w:rPr>
          <w:b/>
          <w:sz w:val="21"/>
        </w:rPr>
      </w:pPr>
      <w:r>
        <w:rPr>
          <w:b/>
          <w:color w:val="231F20"/>
          <w:sz w:val="21"/>
        </w:rPr>
        <w:t>Інші антикорупційні</w:t>
      </w:r>
      <w:r>
        <w:rPr>
          <w:b/>
          <w:color w:val="231F20"/>
          <w:spacing w:val="-1"/>
          <w:sz w:val="21"/>
        </w:rPr>
        <w:t xml:space="preserve"> </w:t>
      </w:r>
      <w:r>
        <w:rPr>
          <w:b/>
          <w:color w:val="231F20"/>
          <w:sz w:val="21"/>
        </w:rPr>
        <w:t>обмеження</w:t>
      </w:r>
    </w:p>
    <w:p w14:paraId="7D950716" w14:textId="77777777" w:rsidR="00DE575E" w:rsidRDefault="002E7560">
      <w:pPr>
        <w:tabs>
          <w:tab w:val="left" w:pos="6760"/>
        </w:tabs>
        <w:spacing w:line="233" w:lineRule="exact"/>
        <w:ind w:left="930"/>
        <w:rPr>
          <w:b/>
          <w:sz w:val="20"/>
        </w:rPr>
      </w:pPr>
      <w:r>
        <w:rPr>
          <w:b/>
          <w:color w:val="231F20"/>
          <w:sz w:val="21"/>
        </w:rPr>
        <w:t>для</w:t>
      </w:r>
      <w:r>
        <w:rPr>
          <w:b/>
          <w:color w:val="231F20"/>
          <w:spacing w:val="-1"/>
          <w:sz w:val="21"/>
        </w:rPr>
        <w:t xml:space="preserve"> </w:t>
      </w:r>
      <w:r>
        <w:rPr>
          <w:b/>
          <w:color w:val="231F20"/>
          <w:sz w:val="21"/>
        </w:rPr>
        <w:t>публічних</w:t>
      </w:r>
      <w:r>
        <w:rPr>
          <w:b/>
          <w:color w:val="231F20"/>
          <w:spacing w:val="-2"/>
          <w:sz w:val="21"/>
        </w:rPr>
        <w:t xml:space="preserve"> </w:t>
      </w:r>
      <w:r>
        <w:rPr>
          <w:b/>
          <w:color w:val="231F20"/>
          <w:sz w:val="21"/>
        </w:rPr>
        <w:t>службовців</w:t>
      </w:r>
      <w:r>
        <w:rPr>
          <w:b/>
          <w:color w:val="231F20"/>
          <w:sz w:val="21"/>
          <w:u w:val="dotted" w:color="231F20"/>
        </w:rPr>
        <w:t xml:space="preserve"> </w:t>
      </w:r>
      <w:r>
        <w:rPr>
          <w:b/>
          <w:color w:val="231F20"/>
          <w:sz w:val="21"/>
          <w:u w:val="dotted" w:color="231F20"/>
        </w:rPr>
        <w:tab/>
      </w:r>
      <w:r>
        <w:rPr>
          <w:b/>
          <w:sz w:val="20"/>
        </w:rPr>
        <w:t>418</w:t>
      </w:r>
    </w:p>
    <w:p w14:paraId="593DCCEE" w14:textId="77777777" w:rsidR="00DE575E" w:rsidRDefault="002E7560">
      <w:pPr>
        <w:pStyle w:val="ListParagraph"/>
        <w:numPr>
          <w:ilvl w:val="1"/>
          <w:numId w:val="327"/>
        </w:numPr>
        <w:tabs>
          <w:tab w:val="left" w:pos="931"/>
          <w:tab w:val="left" w:pos="6760"/>
        </w:tabs>
        <w:spacing w:before="59"/>
        <w:rPr>
          <w:b/>
          <w:sz w:val="20"/>
        </w:rPr>
      </w:pPr>
      <w:r>
        <w:rPr>
          <w:b/>
          <w:color w:val="231F20"/>
          <w:sz w:val="21"/>
        </w:rPr>
        <w:t>Запобігання та врегулювання</w:t>
      </w:r>
      <w:r>
        <w:rPr>
          <w:b/>
          <w:color w:val="231F20"/>
          <w:spacing w:val="-22"/>
          <w:sz w:val="21"/>
        </w:rPr>
        <w:t xml:space="preserve"> </w:t>
      </w:r>
      <w:r>
        <w:rPr>
          <w:b/>
          <w:color w:val="231F20"/>
          <w:sz w:val="21"/>
        </w:rPr>
        <w:t>конфлікту</w:t>
      </w:r>
      <w:r>
        <w:rPr>
          <w:b/>
          <w:color w:val="231F20"/>
          <w:spacing w:val="-8"/>
          <w:sz w:val="21"/>
        </w:rPr>
        <w:t xml:space="preserve"> </w:t>
      </w:r>
      <w:r>
        <w:rPr>
          <w:b/>
          <w:color w:val="231F20"/>
          <w:sz w:val="21"/>
        </w:rPr>
        <w:t>інтересів</w:t>
      </w:r>
      <w:r>
        <w:rPr>
          <w:b/>
          <w:color w:val="231F20"/>
          <w:sz w:val="21"/>
          <w:u w:val="dotted" w:color="231F20"/>
        </w:rPr>
        <w:t xml:space="preserve"> </w:t>
      </w:r>
      <w:r>
        <w:rPr>
          <w:b/>
          <w:color w:val="231F20"/>
          <w:sz w:val="21"/>
          <w:u w:val="dotted" w:color="231F20"/>
        </w:rPr>
        <w:tab/>
      </w:r>
      <w:r>
        <w:rPr>
          <w:b/>
          <w:sz w:val="20"/>
        </w:rPr>
        <w:t>422</w:t>
      </w:r>
    </w:p>
    <w:p w14:paraId="32EB9CB4" w14:textId="77777777" w:rsidR="00DE575E" w:rsidRDefault="002E7560">
      <w:pPr>
        <w:pStyle w:val="ListParagraph"/>
        <w:numPr>
          <w:ilvl w:val="1"/>
          <w:numId w:val="327"/>
        </w:numPr>
        <w:tabs>
          <w:tab w:val="left" w:pos="931"/>
          <w:tab w:val="left" w:pos="6760"/>
        </w:tabs>
        <w:spacing w:before="59"/>
        <w:rPr>
          <w:b/>
          <w:sz w:val="20"/>
        </w:rPr>
      </w:pPr>
      <w:r>
        <w:rPr>
          <w:b/>
          <w:color w:val="231F20"/>
          <w:sz w:val="21"/>
        </w:rPr>
        <w:t>Правила етичної поведінки</w:t>
      </w:r>
      <w:r>
        <w:rPr>
          <w:b/>
          <w:color w:val="231F20"/>
          <w:spacing w:val="-8"/>
          <w:sz w:val="21"/>
        </w:rPr>
        <w:t xml:space="preserve"> </w:t>
      </w:r>
      <w:r>
        <w:rPr>
          <w:b/>
          <w:color w:val="231F20"/>
          <w:sz w:val="21"/>
        </w:rPr>
        <w:t>публічних</w:t>
      </w:r>
      <w:r>
        <w:rPr>
          <w:b/>
          <w:color w:val="231F20"/>
          <w:spacing w:val="-4"/>
          <w:sz w:val="21"/>
        </w:rPr>
        <w:t xml:space="preserve"> </w:t>
      </w:r>
      <w:r>
        <w:rPr>
          <w:b/>
          <w:color w:val="231F20"/>
          <w:sz w:val="21"/>
        </w:rPr>
        <w:t>службовців</w:t>
      </w:r>
      <w:r>
        <w:rPr>
          <w:b/>
          <w:color w:val="231F20"/>
          <w:sz w:val="21"/>
          <w:u w:val="dotted" w:color="231F20"/>
        </w:rPr>
        <w:t xml:space="preserve"> </w:t>
      </w:r>
      <w:r>
        <w:rPr>
          <w:b/>
          <w:color w:val="231F20"/>
          <w:sz w:val="21"/>
          <w:u w:val="dotted" w:color="231F20"/>
        </w:rPr>
        <w:tab/>
      </w:r>
      <w:r>
        <w:rPr>
          <w:b/>
          <w:sz w:val="20"/>
        </w:rPr>
        <w:t>426</w:t>
      </w:r>
    </w:p>
    <w:p w14:paraId="13E781DB" w14:textId="77777777" w:rsidR="00DE575E" w:rsidRDefault="002E7560">
      <w:pPr>
        <w:pStyle w:val="ListParagraph"/>
        <w:numPr>
          <w:ilvl w:val="1"/>
          <w:numId w:val="327"/>
        </w:numPr>
        <w:tabs>
          <w:tab w:val="left" w:pos="931"/>
          <w:tab w:val="left" w:pos="6760"/>
        </w:tabs>
        <w:spacing w:before="59"/>
        <w:rPr>
          <w:b/>
          <w:sz w:val="20"/>
        </w:rPr>
      </w:pPr>
      <w:r>
        <w:rPr>
          <w:b/>
          <w:color w:val="231F20"/>
          <w:sz w:val="21"/>
        </w:rPr>
        <w:t xml:space="preserve">Фінансовий контроль </w:t>
      </w:r>
      <w:r>
        <w:rPr>
          <w:b/>
          <w:color w:val="231F20"/>
          <w:spacing w:val="-3"/>
          <w:sz w:val="21"/>
        </w:rPr>
        <w:t>щодо</w:t>
      </w:r>
      <w:r>
        <w:rPr>
          <w:b/>
          <w:color w:val="231F20"/>
          <w:spacing w:val="-12"/>
          <w:sz w:val="21"/>
        </w:rPr>
        <w:t xml:space="preserve"> </w:t>
      </w:r>
      <w:r>
        <w:rPr>
          <w:b/>
          <w:color w:val="231F20"/>
          <w:sz w:val="21"/>
        </w:rPr>
        <w:t>публічних</w:t>
      </w:r>
      <w:r>
        <w:rPr>
          <w:b/>
          <w:color w:val="231F20"/>
          <w:spacing w:val="-5"/>
          <w:sz w:val="21"/>
        </w:rPr>
        <w:t xml:space="preserve"> </w:t>
      </w:r>
      <w:r>
        <w:rPr>
          <w:b/>
          <w:color w:val="231F20"/>
          <w:sz w:val="21"/>
        </w:rPr>
        <w:t>службовців</w:t>
      </w:r>
      <w:r>
        <w:rPr>
          <w:b/>
          <w:color w:val="231F20"/>
          <w:sz w:val="21"/>
          <w:u w:val="dotted" w:color="231F20"/>
        </w:rPr>
        <w:t xml:space="preserve"> </w:t>
      </w:r>
      <w:r>
        <w:rPr>
          <w:b/>
          <w:color w:val="231F20"/>
          <w:sz w:val="21"/>
          <w:u w:val="dotted" w:color="231F20"/>
        </w:rPr>
        <w:tab/>
      </w:r>
      <w:r>
        <w:rPr>
          <w:b/>
          <w:sz w:val="20"/>
        </w:rPr>
        <w:t>432</w:t>
      </w:r>
    </w:p>
    <w:p w14:paraId="336D6795" w14:textId="77777777" w:rsidR="00DE575E" w:rsidRDefault="00DE575E">
      <w:pPr>
        <w:pStyle w:val="BodyText"/>
        <w:spacing w:before="6"/>
        <w:rPr>
          <w:b/>
          <w:sz w:val="20"/>
        </w:rPr>
      </w:pPr>
    </w:p>
    <w:p w14:paraId="072B7B60" w14:textId="77777777" w:rsidR="00DE575E" w:rsidRDefault="002E7560">
      <w:pPr>
        <w:ind w:left="533"/>
        <w:rPr>
          <w:b/>
          <w:sz w:val="21"/>
        </w:rPr>
      </w:pPr>
      <w:r>
        <w:rPr>
          <w:b/>
          <w:color w:val="231F20"/>
          <w:sz w:val="21"/>
        </w:rPr>
        <w:t>Розділ 5</w:t>
      </w:r>
    </w:p>
    <w:p w14:paraId="2A28C6DA" w14:textId="77777777" w:rsidR="00DE575E" w:rsidRDefault="002E7560">
      <w:pPr>
        <w:tabs>
          <w:tab w:val="left" w:pos="6760"/>
        </w:tabs>
        <w:spacing w:before="14"/>
        <w:ind w:left="533"/>
        <w:rPr>
          <w:b/>
          <w:sz w:val="20"/>
        </w:rPr>
      </w:pPr>
      <w:r>
        <w:rPr>
          <w:b/>
          <w:color w:val="231F20"/>
          <w:spacing w:val="-3"/>
          <w:sz w:val="21"/>
        </w:rPr>
        <w:t xml:space="preserve">ПРОХОДЖЕННЯ </w:t>
      </w:r>
      <w:r>
        <w:rPr>
          <w:b/>
          <w:color w:val="231F20"/>
          <w:sz w:val="21"/>
        </w:rPr>
        <w:t>ПУБЛІЧНОЇ СЛУЖБИ</w:t>
      </w:r>
      <w:r>
        <w:rPr>
          <w:b/>
          <w:color w:val="231F20"/>
          <w:spacing w:val="-2"/>
          <w:sz w:val="21"/>
        </w:rPr>
        <w:t xml:space="preserve"> </w:t>
      </w:r>
      <w:r>
        <w:rPr>
          <w:b/>
          <w:color w:val="231F20"/>
          <w:sz w:val="21"/>
        </w:rPr>
        <w:t>В</w:t>
      </w:r>
      <w:r>
        <w:rPr>
          <w:b/>
          <w:color w:val="231F20"/>
          <w:spacing w:val="-2"/>
          <w:sz w:val="21"/>
        </w:rPr>
        <w:t xml:space="preserve"> </w:t>
      </w:r>
      <w:r>
        <w:rPr>
          <w:b/>
          <w:color w:val="231F20"/>
          <w:spacing w:val="-3"/>
          <w:sz w:val="21"/>
        </w:rPr>
        <w:t>УКРАЇНІ</w:t>
      </w:r>
      <w:r>
        <w:rPr>
          <w:b/>
          <w:color w:val="231F20"/>
          <w:spacing w:val="-3"/>
          <w:sz w:val="21"/>
          <w:u w:val="dotted" w:color="231F20"/>
        </w:rPr>
        <w:t xml:space="preserve"> </w:t>
      </w:r>
      <w:r>
        <w:rPr>
          <w:b/>
          <w:color w:val="231F20"/>
          <w:spacing w:val="-3"/>
          <w:sz w:val="21"/>
          <w:u w:val="dotted" w:color="231F20"/>
        </w:rPr>
        <w:tab/>
      </w:r>
      <w:r>
        <w:rPr>
          <w:b/>
          <w:sz w:val="20"/>
        </w:rPr>
        <w:t>439</w:t>
      </w:r>
    </w:p>
    <w:p w14:paraId="79615CC7" w14:textId="77777777" w:rsidR="00DE575E" w:rsidRDefault="002E7560">
      <w:pPr>
        <w:pStyle w:val="ListParagraph"/>
        <w:numPr>
          <w:ilvl w:val="1"/>
          <w:numId w:val="326"/>
        </w:numPr>
        <w:tabs>
          <w:tab w:val="left" w:pos="931"/>
          <w:tab w:val="left" w:pos="6760"/>
        </w:tabs>
        <w:spacing w:before="59"/>
        <w:rPr>
          <w:b/>
          <w:sz w:val="20"/>
        </w:rPr>
      </w:pPr>
      <w:r>
        <w:rPr>
          <w:b/>
          <w:color w:val="231F20"/>
          <w:spacing w:val="-3"/>
          <w:sz w:val="21"/>
        </w:rPr>
        <w:t>Проходження</w:t>
      </w:r>
      <w:r>
        <w:rPr>
          <w:b/>
          <w:color w:val="231F20"/>
          <w:sz w:val="21"/>
        </w:rPr>
        <w:t xml:space="preserve"> державної</w:t>
      </w:r>
      <w:r>
        <w:rPr>
          <w:b/>
          <w:color w:val="231F20"/>
          <w:spacing w:val="-1"/>
          <w:sz w:val="21"/>
        </w:rPr>
        <w:t xml:space="preserve"> </w:t>
      </w:r>
      <w:r>
        <w:rPr>
          <w:b/>
          <w:color w:val="231F20"/>
          <w:sz w:val="21"/>
        </w:rPr>
        <w:t>служби</w:t>
      </w:r>
      <w:r>
        <w:rPr>
          <w:b/>
          <w:color w:val="231F20"/>
          <w:sz w:val="21"/>
          <w:u w:val="dotted" w:color="231F20"/>
        </w:rPr>
        <w:t xml:space="preserve"> </w:t>
      </w:r>
      <w:r>
        <w:rPr>
          <w:b/>
          <w:color w:val="231F20"/>
          <w:sz w:val="21"/>
          <w:u w:val="dotted" w:color="231F20"/>
        </w:rPr>
        <w:tab/>
      </w:r>
      <w:r>
        <w:rPr>
          <w:b/>
          <w:sz w:val="20"/>
        </w:rPr>
        <w:t>440</w:t>
      </w:r>
    </w:p>
    <w:p w14:paraId="2731385A" w14:textId="77777777" w:rsidR="00DE575E" w:rsidRDefault="002E7560">
      <w:pPr>
        <w:pStyle w:val="ListParagraph"/>
        <w:numPr>
          <w:ilvl w:val="1"/>
          <w:numId w:val="326"/>
        </w:numPr>
        <w:tabs>
          <w:tab w:val="left" w:pos="931"/>
          <w:tab w:val="left" w:pos="6760"/>
        </w:tabs>
        <w:spacing w:before="59"/>
        <w:rPr>
          <w:b/>
          <w:sz w:val="20"/>
        </w:rPr>
      </w:pPr>
      <w:r>
        <w:rPr>
          <w:b/>
          <w:color w:val="231F20"/>
          <w:sz w:val="21"/>
        </w:rPr>
        <w:t>Вступ на</w:t>
      </w:r>
      <w:r>
        <w:rPr>
          <w:b/>
          <w:color w:val="231F20"/>
          <w:spacing w:val="-4"/>
          <w:sz w:val="21"/>
        </w:rPr>
        <w:t xml:space="preserve"> </w:t>
      </w:r>
      <w:r>
        <w:rPr>
          <w:b/>
          <w:color w:val="231F20"/>
          <w:sz w:val="21"/>
        </w:rPr>
        <w:t>державну</w:t>
      </w:r>
      <w:r>
        <w:rPr>
          <w:b/>
          <w:color w:val="231F20"/>
          <w:spacing w:val="-2"/>
          <w:sz w:val="21"/>
        </w:rPr>
        <w:t xml:space="preserve"> </w:t>
      </w:r>
      <w:r>
        <w:rPr>
          <w:b/>
          <w:color w:val="231F20"/>
          <w:sz w:val="21"/>
        </w:rPr>
        <w:t>службу</w:t>
      </w:r>
      <w:r>
        <w:rPr>
          <w:b/>
          <w:color w:val="231F20"/>
          <w:sz w:val="21"/>
          <w:u w:val="dotted" w:color="231F20"/>
        </w:rPr>
        <w:t xml:space="preserve"> </w:t>
      </w:r>
      <w:r>
        <w:rPr>
          <w:b/>
          <w:color w:val="231F20"/>
          <w:sz w:val="21"/>
          <w:u w:val="dotted" w:color="231F20"/>
        </w:rPr>
        <w:tab/>
      </w:r>
      <w:r>
        <w:rPr>
          <w:b/>
          <w:sz w:val="20"/>
        </w:rPr>
        <w:t>440</w:t>
      </w:r>
    </w:p>
    <w:p w14:paraId="264BAA7D" w14:textId="77777777" w:rsidR="00DE575E" w:rsidRDefault="002E7560">
      <w:pPr>
        <w:pStyle w:val="ListParagraph"/>
        <w:numPr>
          <w:ilvl w:val="1"/>
          <w:numId w:val="326"/>
        </w:numPr>
        <w:tabs>
          <w:tab w:val="left" w:pos="931"/>
          <w:tab w:val="left" w:pos="6760"/>
        </w:tabs>
        <w:spacing w:before="58"/>
        <w:rPr>
          <w:b/>
          <w:sz w:val="20"/>
        </w:rPr>
      </w:pPr>
      <w:r>
        <w:rPr>
          <w:b/>
          <w:color w:val="231F20"/>
          <w:sz w:val="21"/>
        </w:rPr>
        <w:t>Службова</w:t>
      </w:r>
      <w:r>
        <w:rPr>
          <w:b/>
          <w:color w:val="231F20"/>
          <w:spacing w:val="-3"/>
          <w:sz w:val="21"/>
        </w:rPr>
        <w:t xml:space="preserve"> кар’єра</w:t>
      </w:r>
      <w:r>
        <w:rPr>
          <w:b/>
          <w:color w:val="231F20"/>
          <w:spacing w:val="-3"/>
          <w:sz w:val="21"/>
          <w:u w:val="dotted" w:color="231F20"/>
        </w:rPr>
        <w:t xml:space="preserve"> </w:t>
      </w:r>
      <w:r>
        <w:rPr>
          <w:b/>
          <w:color w:val="231F20"/>
          <w:spacing w:val="-3"/>
          <w:sz w:val="21"/>
          <w:u w:val="dotted" w:color="231F20"/>
        </w:rPr>
        <w:tab/>
      </w:r>
      <w:r>
        <w:rPr>
          <w:b/>
          <w:sz w:val="20"/>
        </w:rPr>
        <w:t>446</w:t>
      </w:r>
    </w:p>
    <w:p w14:paraId="3FD8566D" w14:textId="77777777" w:rsidR="00DE575E" w:rsidRDefault="002E7560">
      <w:pPr>
        <w:pStyle w:val="ListParagraph"/>
        <w:numPr>
          <w:ilvl w:val="1"/>
          <w:numId w:val="326"/>
        </w:numPr>
        <w:tabs>
          <w:tab w:val="left" w:pos="931"/>
          <w:tab w:val="left" w:pos="6760"/>
        </w:tabs>
        <w:spacing w:before="59"/>
        <w:rPr>
          <w:b/>
          <w:sz w:val="20"/>
        </w:rPr>
      </w:pPr>
      <w:r>
        <w:rPr>
          <w:b/>
          <w:color w:val="231F20"/>
          <w:sz w:val="21"/>
        </w:rPr>
        <w:t>Припинення</w:t>
      </w:r>
      <w:r>
        <w:rPr>
          <w:b/>
          <w:color w:val="231F20"/>
          <w:spacing w:val="-3"/>
          <w:sz w:val="21"/>
        </w:rPr>
        <w:t xml:space="preserve"> </w:t>
      </w:r>
      <w:r>
        <w:rPr>
          <w:b/>
          <w:color w:val="231F20"/>
          <w:sz w:val="21"/>
        </w:rPr>
        <w:t>державної</w:t>
      </w:r>
      <w:r>
        <w:rPr>
          <w:b/>
          <w:color w:val="231F20"/>
          <w:spacing w:val="-2"/>
          <w:sz w:val="21"/>
        </w:rPr>
        <w:t xml:space="preserve"> </w:t>
      </w:r>
      <w:r>
        <w:rPr>
          <w:b/>
          <w:color w:val="231F20"/>
          <w:sz w:val="21"/>
        </w:rPr>
        <w:t>служби</w:t>
      </w:r>
      <w:r>
        <w:rPr>
          <w:b/>
          <w:color w:val="231F20"/>
          <w:sz w:val="21"/>
          <w:u w:val="dotted" w:color="231F20"/>
        </w:rPr>
        <w:t xml:space="preserve"> </w:t>
      </w:r>
      <w:r>
        <w:rPr>
          <w:b/>
          <w:color w:val="231F20"/>
          <w:sz w:val="21"/>
          <w:u w:val="dotted" w:color="231F20"/>
        </w:rPr>
        <w:tab/>
      </w:r>
      <w:r>
        <w:rPr>
          <w:b/>
          <w:sz w:val="20"/>
        </w:rPr>
        <w:t>449</w:t>
      </w:r>
    </w:p>
    <w:p w14:paraId="69786558" w14:textId="77777777" w:rsidR="00DE575E" w:rsidRDefault="002E7560">
      <w:pPr>
        <w:pStyle w:val="ListParagraph"/>
        <w:numPr>
          <w:ilvl w:val="1"/>
          <w:numId w:val="326"/>
        </w:numPr>
        <w:tabs>
          <w:tab w:val="left" w:pos="931"/>
        </w:tabs>
        <w:spacing w:before="59" w:line="233" w:lineRule="exact"/>
        <w:rPr>
          <w:b/>
          <w:sz w:val="21"/>
        </w:rPr>
      </w:pPr>
      <w:r>
        <w:rPr>
          <w:b/>
          <w:color w:val="231F20"/>
          <w:sz w:val="21"/>
        </w:rPr>
        <w:t xml:space="preserve">Особливості </w:t>
      </w:r>
      <w:r>
        <w:rPr>
          <w:b/>
          <w:color w:val="231F20"/>
          <w:spacing w:val="-3"/>
          <w:sz w:val="21"/>
        </w:rPr>
        <w:t>проходження</w:t>
      </w:r>
      <w:r>
        <w:rPr>
          <w:b/>
          <w:color w:val="231F20"/>
          <w:spacing w:val="-2"/>
          <w:sz w:val="21"/>
        </w:rPr>
        <w:t xml:space="preserve"> </w:t>
      </w:r>
      <w:r>
        <w:rPr>
          <w:b/>
          <w:color w:val="231F20"/>
          <w:sz w:val="21"/>
        </w:rPr>
        <w:t>служби</w:t>
      </w:r>
    </w:p>
    <w:p w14:paraId="4AD4C154" w14:textId="77777777" w:rsidR="00DE575E" w:rsidRDefault="002E7560">
      <w:pPr>
        <w:tabs>
          <w:tab w:val="left" w:pos="6760"/>
        </w:tabs>
        <w:spacing w:line="233" w:lineRule="exact"/>
        <w:ind w:left="930"/>
        <w:rPr>
          <w:b/>
          <w:sz w:val="20"/>
        </w:rPr>
      </w:pPr>
      <w:r>
        <w:rPr>
          <w:b/>
          <w:color w:val="231F20"/>
          <w:sz w:val="21"/>
        </w:rPr>
        <w:t>в органах</w:t>
      </w:r>
      <w:r>
        <w:rPr>
          <w:b/>
          <w:color w:val="231F20"/>
          <w:spacing w:val="-7"/>
          <w:sz w:val="21"/>
        </w:rPr>
        <w:t xml:space="preserve"> </w:t>
      </w:r>
      <w:r>
        <w:rPr>
          <w:b/>
          <w:color w:val="231F20"/>
          <w:sz w:val="21"/>
        </w:rPr>
        <w:t>місцевого</w:t>
      </w:r>
      <w:r>
        <w:rPr>
          <w:b/>
          <w:color w:val="231F20"/>
          <w:spacing w:val="-4"/>
          <w:sz w:val="21"/>
        </w:rPr>
        <w:t xml:space="preserve"> </w:t>
      </w:r>
      <w:r>
        <w:rPr>
          <w:b/>
          <w:color w:val="231F20"/>
          <w:sz w:val="21"/>
        </w:rPr>
        <w:t>самоврядування</w:t>
      </w:r>
      <w:r>
        <w:rPr>
          <w:b/>
          <w:color w:val="231F20"/>
          <w:sz w:val="21"/>
          <w:u w:val="dotted" w:color="231F20"/>
        </w:rPr>
        <w:t xml:space="preserve"> </w:t>
      </w:r>
      <w:r>
        <w:rPr>
          <w:b/>
          <w:color w:val="231F20"/>
          <w:sz w:val="21"/>
          <w:u w:val="dotted" w:color="231F20"/>
        </w:rPr>
        <w:tab/>
      </w:r>
      <w:r>
        <w:rPr>
          <w:b/>
          <w:sz w:val="20"/>
        </w:rPr>
        <w:t>452</w:t>
      </w:r>
    </w:p>
    <w:p w14:paraId="5F097D9E" w14:textId="77777777" w:rsidR="00DE575E" w:rsidRDefault="00DE575E">
      <w:pPr>
        <w:pStyle w:val="BodyText"/>
        <w:spacing w:before="6"/>
        <w:rPr>
          <w:b/>
          <w:sz w:val="20"/>
        </w:rPr>
      </w:pPr>
    </w:p>
    <w:p w14:paraId="0A2508E4" w14:textId="77777777" w:rsidR="00DE575E" w:rsidRDefault="002E7560">
      <w:pPr>
        <w:ind w:left="533"/>
        <w:rPr>
          <w:b/>
          <w:sz w:val="21"/>
        </w:rPr>
      </w:pPr>
      <w:r>
        <w:rPr>
          <w:b/>
          <w:color w:val="231F20"/>
          <w:sz w:val="21"/>
        </w:rPr>
        <w:t>Розділ 6</w:t>
      </w:r>
    </w:p>
    <w:p w14:paraId="49D2DB49" w14:textId="77777777" w:rsidR="00DE575E" w:rsidRDefault="002E7560">
      <w:pPr>
        <w:tabs>
          <w:tab w:val="left" w:pos="6760"/>
        </w:tabs>
        <w:spacing w:before="14" w:line="254" w:lineRule="auto"/>
        <w:ind w:left="533" w:right="128"/>
        <w:rPr>
          <w:b/>
          <w:sz w:val="20"/>
        </w:rPr>
      </w:pPr>
      <w:r>
        <w:rPr>
          <w:b/>
          <w:color w:val="231F20"/>
          <w:sz w:val="21"/>
        </w:rPr>
        <w:t xml:space="preserve">ДИСЦИПЛІНАРНА </w:t>
      </w:r>
      <w:r>
        <w:rPr>
          <w:b/>
          <w:color w:val="231F20"/>
          <w:spacing w:val="-12"/>
          <w:sz w:val="21"/>
        </w:rPr>
        <w:t xml:space="preserve">ТА </w:t>
      </w:r>
      <w:r>
        <w:rPr>
          <w:b/>
          <w:color w:val="231F20"/>
          <w:spacing w:val="-3"/>
          <w:sz w:val="21"/>
        </w:rPr>
        <w:t xml:space="preserve">МАТЕРІАЛЬНА </w:t>
      </w:r>
      <w:r>
        <w:rPr>
          <w:b/>
          <w:color w:val="231F20"/>
          <w:sz w:val="21"/>
        </w:rPr>
        <w:t>ВІДПОВІДАЛЬНІСТЬ ДЕРЖАВНИХ</w:t>
      </w:r>
      <w:r>
        <w:rPr>
          <w:b/>
          <w:color w:val="231F20"/>
          <w:spacing w:val="-5"/>
          <w:sz w:val="21"/>
        </w:rPr>
        <w:t xml:space="preserve"> </w:t>
      </w:r>
      <w:r>
        <w:rPr>
          <w:b/>
          <w:color w:val="231F20"/>
          <w:sz w:val="21"/>
        </w:rPr>
        <w:t>СЛУЖБОВЦІВ</w:t>
      </w:r>
      <w:r>
        <w:rPr>
          <w:b/>
          <w:color w:val="231F20"/>
          <w:sz w:val="21"/>
          <w:u w:val="dotted" w:color="231F20"/>
        </w:rPr>
        <w:t xml:space="preserve"> </w:t>
      </w:r>
      <w:r>
        <w:rPr>
          <w:b/>
          <w:color w:val="231F20"/>
          <w:sz w:val="21"/>
          <w:u w:val="dotted" w:color="231F20"/>
        </w:rPr>
        <w:tab/>
      </w:r>
      <w:r>
        <w:rPr>
          <w:b/>
          <w:w w:val="80"/>
          <w:sz w:val="20"/>
        </w:rPr>
        <w:t>458</w:t>
      </w:r>
    </w:p>
    <w:p w14:paraId="39334BCC" w14:textId="77777777" w:rsidR="00DE575E" w:rsidRDefault="002E7560">
      <w:pPr>
        <w:pStyle w:val="ListParagraph"/>
        <w:numPr>
          <w:ilvl w:val="1"/>
          <w:numId w:val="325"/>
        </w:numPr>
        <w:tabs>
          <w:tab w:val="left" w:pos="931"/>
        </w:tabs>
        <w:spacing w:before="43" w:line="233" w:lineRule="exact"/>
        <w:jc w:val="left"/>
        <w:rPr>
          <w:b/>
          <w:sz w:val="21"/>
        </w:rPr>
      </w:pPr>
      <w:r>
        <w:rPr>
          <w:b/>
          <w:color w:val="231F20"/>
          <w:sz w:val="21"/>
        </w:rPr>
        <w:t>Підстави дисциплінарної</w:t>
      </w:r>
      <w:r>
        <w:rPr>
          <w:b/>
          <w:color w:val="231F20"/>
          <w:spacing w:val="-3"/>
          <w:sz w:val="21"/>
        </w:rPr>
        <w:t xml:space="preserve"> </w:t>
      </w:r>
      <w:r>
        <w:rPr>
          <w:b/>
          <w:color w:val="231F20"/>
          <w:sz w:val="21"/>
        </w:rPr>
        <w:t>відповідальності</w:t>
      </w:r>
    </w:p>
    <w:p w14:paraId="7FEFA780" w14:textId="77777777" w:rsidR="00DE575E" w:rsidRDefault="002E7560">
      <w:pPr>
        <w:tabs>
          <w:tab w:val="left" w:pos="6760"/>
        </w:tabs>
        <w:spacing w:line="233" w:lineRule="exact"/>
        <w:ind w:left="930"/>
        <w:rPr>
          <w:b/>
          <w:sz w:val="20"/>
        </w:rPr>
      </w:pPr>
      <w:r>
        <w:rPr>
          <w:b/>
          <w:color w:val="231F20"/>
          <w:sz w:val="21"/>
        </w:rPr>
        <w:t>державних</w:t>
      </w:r>
      <w:r>
        <w:rPr>
          <w:b/>
          <w:color w:val="231F20"/>
          <w:spacing w:val="-1"/>
          <w:sz w:val="21"/>
        </w:rPr>
        <w:t xml:space="preserve"> </w:t>
      </w:r>
      <w:r>
        <w:rPr>
          <w:b/>
          <w:color w:val="231F20"/>
          <w:sz w:val="21"/>
        </w:rPr>
        <w:t>службовців</w:t>
      </w:r>
      <w:r>
        <w:rPr>
          <w:b/>
          <w:color w:val="231F20"/>
          <w:sz w:val="21"/>
          <w:u w:val="dotted" w:color="231F20"/>
        </w:rPr>
        <w:t xml:space="preserve"> </w:t>
      </w:r>
      <w:r>
        <w:rPr>
          <w:b/>
          <w:color w:val="231F20"/>
          <w:sz w:val="21"/>
          <w:u w:val="dotted" w:color="231F20"/>
        </w:rPr>
        <w:tab/>
      </w:r>
      <w:r>
        <w:rPr>
          <w:b/>
          <w:sz w:val="20"/>
        </w:rPr>
        <w:t>458</w:t>
      </w:r>
    </w:p>
    <w:p w14:paraId="27F9C3E6" w14:textId="77777777" w:rsidR="00DE575E" w:rsidRDefault="00DE575E">
      <w:pPr>
        <w:pStyle w:val="BodyText"/>
        <w:rPr>
          <w:b/>
          <w:sz w:val="20"/>
        </w:rPr>
      </w:pPr>
    </w:p>
    <w:p w14:paraId="33DD25B3" w14:textId="77777777" w:rsidR="00DE575E" w:rsidRDefault="00DE575E">
      <w:pPr>
        <w:pStyle w:val="BodyText"/>
        <w:spacing w:before="7"/>
        <w:rPr>
          <w:b/>
          <w:sz w:val="19"/>
        </w:rPr>
      </w:pPr>
    </w:p>
    <w:p w14:paraId="45FC0105" w14:textId="77777777" w:rsidR="00DE575E" w:rsidRDefault="002E7560">
      <w:pPr>
        <w:spacing w:before="91"/>
        <w:ind w:left="533"/>
        <w:rPr>
          <w:rFonts w:ascii="Times New Roman"/>
          <w:sz w:val="20"/>
        </w:rPr>
      </w:pPr>
      <w:r>
        <w:rPr>
          <w:rFonts w:ascii="Times New Roman"/>
          <w:color w:val="231F20"/>
          <w:sz w:val="20"/>
        </w:rPr>
        <w:t>14</w:t>
      </w:r>
    </w:p>
    <w:p w14:paraId="6FBFF11C" w14:textId="77777777" w:rsidR="00DE575E" w:rsidRDefault="00DE575E">
      <w:pPr>
        <w:rPr>
          <w:rFonts w:ascii="Times New Roman"/>
          <w:sz w:val="20"/>
        </w:rPr>
        <w:sectPr w:rsidR="00DE575E">
          <w:pgSz w:w="8510" w:h="12760"/>
          <w:pgMar w:top="660" w:right="720" w:bottom="280" w:left="600" w:header="720" w:footer="720" w:gutter="0"/>
          <w:cols w:space="720"/>
        </w:sectPr>
      </w:pPr>
    </w:p>
    <w:p w14:paraId="3191A646" w14:textId="77777777" w:rsidR="00DE575E" w:rsidRDefault="002E7560">
      <w:pPr>
        <w:spacing w:before="78" w:after="3"/>
        <w:ind w:right="411"/>
        <w:jc w:val="right"/>
        <w:rPr>
          <w:rFonts w:ascii="AdonisC" w:hAnsi="AdonisC"/>
          <w:i/>
          <w:sz w:val="18"/>
        </w:rPr>
      </w:pPr>
      <w:r>
        <w:rPr>
          <w:rFonts w:ascii="AdonisC" w:hAnsi="AdonisC"/>
          <w:i/>
          <w:color w:val="231F20"/>
          <w:sz w:val="18"/>
        </w:rPr>
        <w:lastRenderedPageBreak/>
        <w:t>Зміст</w:t>
      </w:r>
    </w:p>
    <w:p w14:paraId="3BA4A2DF" w14:textId="3C11BBF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F34CA2B" wp14:editId="3E9382E7">
                <wp:extent cx="4140200" cy="6350"/>
                <wp:effectExtent l="0" t="0" r="12700" b="6350"/>
                <wp:docPr id="1387"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88" name="Line 13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C0035" id="Group_x0020_13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UZbdagAIAAJwFAAAO&#10;AAAAAAAAAAAAAAAAACwCAABkcnMvZTJvRG9jLnhtbFBLAQItABQABgAIAAAAIQBMp7CQ2QAAAAMB&#10;AAAPAAAAAAAAAAAAAAAAANgEAABkcnMvZG93bnJldi54bWxQSwUGAAAAAAQABADzAAAA3gUAAAAA&#10;">
                <v:line id="Line_x0020_13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Ygp8gAAADdAAAADwAAAGRycy9kb3ducmV2LnhtbESPQWvCQBCF7wX/wzKFXopu2kCR6CpF&#10;KJQetDX+gDE7JsHd2ZhdTdpf3zkUepvhvXnvm+V69E7dqI9tYANPswwUcRVsy7WBQ/k2nYOKCdmi&#10;C0wGvinCejW5W2Jhw8BfdNunWkkIxwINNCl1hdaxashjnIWOWLRT6D0mWfta2x4HCfdOP2fZi/bY&#10;sjQ02NGmoeq8v3oD5eUxuc/dhxvK3THXx8s2/7lujXm4H18XoBKN6d/8d/1uBT+fC658IyPo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AYgp8gAAADdAAAADwAAAAAA&#10;AAAAAAAAAAChAgAAZHJzL2Rvd25yZXYueG1sUEsFBgAAAAAEAAQA+QAAAJYDAAAAAA==&#10;" strokecolor="#231f20" strokeweight=".5pt"/>
                <w10:anchorlock/>
              </v:group>
            </w:pict>
          </mc:Fallback>
        </mc:AlternateContent>
      </w:r>
    </w:p>
    <w:p w14:paraId="36091DE1" w14:textId="77777777" w:rsidR="00DE575E" w:rsidRDefault="00DE575E">
      <w:pPr>
        <w:pStyle w:val="BodyText"/>
        <w:spacing w:before="5"/>
        <w:rPr>
          <w:rFonts w:ascii="AdonisC"/>
          <w:i/>
          <w:sz w:val="12"/>
        </w:rPr>
      </w:pPr>
    </w:p>
    <w:p w14:paraId="16CC048D" w14:textId="77777777" w:rsidR="00DE575E" w:rsidRDefault="002E7560">
      <w:pPr>
        <w:pStyle w:val="Heading5"/>
        <w:numPr>
          <w:ilvl w:val="1"/>
          <w:numId w:val="325"/>
        </w:numPr>
        <w:tabs>
          <w:tab w:val="left" w:pos="648"/>
        </w:tabs>
        <w:spacing w:before="100" w:line="233" w:lineRule="exact"/>
        <w:ind w:left="647"/>
        <w:jc w:val="left"/>
      </w:pPr>
      <w:r>
        <w:rPr>
          <w:color w:val="231F20"/>
        </w:rPr>
        <w:t>Порядок</w:t>
      </w:r>
      <w:r>
        <w:rPr>
          <w:color w:val="231F20"/>
          <w:spacing w:val="-2"/>
        </w:rPr>
        <w:t xml:space="preserve"> </w:t>
      </w:r>
      <w:r>
        <w:rPr>
          <w:color w:val="231F20"/>
        </w:rPr>
        <w:t>притягнення</w:t>
      </w:r>
    </w:p>
    <w:p w14:paraId="2BD75776" w14:textId="77777777" w:rsidR="00DE575E" w:rsidRDefault="002E7560">
      <w:pPr>
        <w:tabs>
          <w:tab w:val="left" w:pos="6477"/>
        </w:tabs>
        <w:spacing w:line="233" w:lineRule="exact"/>
        <w:ind w:left="647"/>
        <w:rPr>
          <w:b/>
          <w:sz w:val="20"/>
        </w:rPr>
      </w:pPr>
      <w:r>
        <w:rPr>
          <w:b/>
          <w:color w:val="231F20"/>
          <w:sz w:val="21"/>
        </w:rPr>
        <w:t>до дисциплінарної відповідальності</w:t>
      </w:r>
      <w:r>
        <w:rPr>
          <w:b/>
          <w:color w:val="231F20"/>
          <w:sz w:val="21"/>
          <w:u w:val="dotted" w:color="231F20"/>
        </w:rPr>
        <w:t xml:space="preserve"> </w:t>
      </w:r>
      <w:r>
        <w:rPr>
          <w:b/>
          <w:color w:val="231F20"/>
          <w:sz w:val="21"/>
          <w:u w:val="dotted" w:color="231F20"/>
        </w:rPr>
        <w:tab/>
      </w:r>
      <w:r>
        <w:rPr>
          <w:b/>
          <w:sz w:val="20"/>
        </w:rPr>
        <w:t>459</w:t>
      </w:r>
    </w:p>
    <w:p w14:paraId="7F431338" w14:textId="77777777" w:rsidR="00DE575E" w:rsidRDefault="002E7560">
      <w:pPr>
        <w:pStyle w:val="ListParagraph"/>
        <w:numPr>
          <w:ilvl w:val="1"/>
          <w:numId w:val="325"/>
        </w:numPr>
        <w:tabs>
          <w:tab w:val="left" w:pos="648"/>
        </w:tabs>
        <w:spacing w:before="59" w:line="233" w:lineRule="exact"/>
        <w:ind w:left="647"/>
        <w:jc w:val="left"/>
        <w:rPr>
          <w:b/>
          <w:sz w:val="21"/>
        </w:rPr>
      </w:pPr>
      <w:r>
        <w:rPr>
          <w:b/>
          <w:color w:val="231F20"/>
          <w:sz w:val="21"/>
        </w:rPr>
        <w:t>Система дисциплінарних</w:t>
      </w:r>
      <w:r>
        <w:rPr>
          <w:b/>
          <w:color w:val="231F20"/>
          <w:spacing w:val="-2"/>
          <w:sz w:val="21"/>
        </w:rPr>
        <w:t xml:space="preserve"> </w:t>
      </w:r>
      <w:r>
        <w:rPr>
          <w:b/>
          <w:color w:val="231F20"/>
          <w:sz w:val="21"/>
        </w:rPr>
        <w:t>стягнень</w:t>
      </w:r>
    </w:p>
    <w:p w14:paraId="4B4544E1" w14:textId="77777777" w:rsidR="00DE575E" w:rsidRDefault="002E7560">
      <w:pPr>
        <w:tabs>
          <w:tab w:val="left" w:pos="6477"/>
        </w:tabs>
        <w:spacing w:line="233" w:lineRule="exact"/>
        <w:ind w:left="647"/>
        <w:rPr>
          <w:b/>
          <w:sz w:val="20"/>
        </w:rPr>
      </w:pPr>
      <w:r>
        <w:rPr>
          <w:b/>
          <w:color w:val="231F20"/>
          <w:sz w:val="21"/>
        </w:rPr>
        <w:t>та принципи</w:t>
      </w:r>
      <w:r>
        <w:rPr>
          <w:b/>
          <w:color w:val="231F20"/>
          <w:spacing w:val="-8"/>
          <w:sz w:val="21"/>
        </w:rPr>
        <w:t xml:space="preserve"> </w:t>
      </w:r>
      <w:r>
        <w:rPr>
          <w:b/>
          <w:color w:val="231F20"/>
          <w:sz w:val="21"/>
        </w:rPr>
        <w:t>їх</w:t>
      </w:r>
      <w:r>
        <w:rPr>
          <w:b/>
          <w:color w:val="231F20"/>
          <w:spacing w:val="-4"/>
          <w:sz w:val="21"/>
        </w:rPr>
        <w:t xml:space="preserve"> </w:t>
      </w:r>
      <w:r>
        <w:rPr>
          <w:b/>
          <w:color w:val="231F20"/>
          <w:sz w:val="21"/>
        </w:rPr>
        <w:t>застосування</w:t>
      </w:r>
      <w:r>
        <w:rPr>
          <w:b/>
          <w:color w:val="231F20"/>
          <w:sz w:val="21"/>
          <w:u w:val="dotted" w:color="231F20"/>
        </w:rPr>
        <w:t xml:space="preserve"> </w:t>
      </w:r>
      <w:r>
        <w:rPr>
          <w:b/>
          <w:color w:val="231F20"/>
          <w:sz w:val="21"/>
          <w:u w:val="dotted" w:color="231F20"/>
        </w:rPr>
        <w:tab/>
      </w:r>
      <w:r>
        <w:rPr>
          <w:b/>
          <w:sz w:val="20"/>
        </w:rPr>
        <w:t>461</w:t>
      </w:r>
    </w:p>
    <w:p w14:paraId="3B703731" w14:textId="77777777" w:rsidR="00DE575E" w:rsidRDefault="002E7560">
      <w:pPr>
        <w:pStyle w:val="ListParagraph"/>
        <w:numPr>
          <w:ilvl w:val="1"/>
          <w:numId w:val="325"/>
        </w:numPr>
        <w:tabs>
          <w:tab w:val="left" w:pos="648"/>
          <w:tab w:val="left" w:pos="6477"/>
        </w:tabs>
        <w:spacing w:before="59"/>
        <w:ind w:left="647"/>
        <w:jc w:val="left"/>
        <w:rPr>
          <w:b/>
          <w:sz w:val="20"/>
        </w:rPr>
      </w:pPr>
      <w:r>
        <w:rPr>
          <w:b/>
          <w:color w:val="231F20"/>
          <w:sz w:val="21"/>
        </w:rPr>
        <w:t>Матеріальна відповідальність</w:t>
      </w:r>
      <w:r>
        <w:rPr>
          <w:b/>
          <w:color w:val="231F20"/>
          <w:spacing w:val="-5"/>
          <w:sz w:val="21"/>
        </w:rPr>
        <w:t xml:space="preserve"> </w:t>
      </w:r>
      <w:r>
        <w:rPr>
          <w:b/>
          <w:color w:val="231F20"/>
          <w:sz w:val="21"/>
        </w:rPr>
        <w:t>державних</w:t>
      </w:r>
      <w:r>
        <w:rPr>
          <w:b/>
          <w:color w:val="231F20"/>
          <w:spacing w:val="-3"/>
          <w:sz w:val="21"/>
        </w:rPr>
        <w:t xml:space="preserve"> </w:t>
      </w:r>
      <w:r>
        <w:rPr>
          <w:b/>
          <w:color w:val="231F20"/>
          <w:sz w:val="21"/>
        </w:rPr>
        <w:t>службовців</w:t>
      </w:r>
      <w:r>
        <w:rPr>
          <w:b/>
          <w:color w:val="231F20"/>
          <w:sz w:val="21"/>
          <w:u w:val="dotted" w:color="231F20"/>
        </w:rPr>
        <w:t xml:space="preserve"> </w:t>
      </w:r>
      <w:r>
        <w:rPr>
          <w:b/>
          <w:color w:val="231F20"/>
          <w:sz w:val="21"/>
          <w:u w:val="dotted" w:color="231F20"/>
        </w:rPr>
        <w:tab/>
      </w:r>
      <w:r>
        <w:rPr>
          <w:b/>
          <w:sz w:val="20"/>
        </w:rPr>
        <w:t>464</w:t>
      </w:r>
    </w:p>
    <w:p w14:paraId="5B022944" w14:textId="77777777" w:rsidR="00DE575E" w:rsidRDefault="00DE575E">
      <w:pPr>
        <w:pStyle w:val="BodyText"/>
        <w:spacing w:before="11"/>
        <w:rPr>
          <w:b/>
          <w:sz w:val="29"/>
        </w:rPr>
      </w:pPr>
    </w:p>
    <w:p w14:paraId="7CF60711" w14:textId="77777777" w:rsidR="00DE575E" w:rsidRDefault="00DE575E">
      <w:pPr>
        <w:rPr>
          <w:sz w:val="29"/>
        </w:rPr>
        <w:sectPr w:rsidR="00DE575E">
          <w:pgSz w:w="8510" w:h="12760"/>
          <w:pgMar w:top="860" w:right="720" w:bottom="280" w:left="600" w:header="720" w:footer="720" w:gutter="0"/>
          <w:cols w:space="720"/>
        </w:sectPr>
      </w:pPr>
    </w:p>
    <w:p w14:paraId="057A1090" w14:textId="77777777" w:rsidR="00DE575E" w:rsidRDefault="00DE575E">
      <w:pPr>
        <w:pStyle w:val="BodyText"/>
        <w:rPr>
          <w:b/>
          <w:sz w:val="24"/>
        </w:rPr>
      </w:pPr>
    </w:p>
    <w:p w14:paraId="36DA21AE" w14:textId="77777777" w:rsidR="00DE575E" w:rsidRDefault="00DE575E">
      <w:pPr>
        <w:pStyle w:val="BodyText"/>
        <w:rPr>
          <w:b/>
          <w:sz w:val="24"/>
        </w:rPr>
      </w:pPr>
    </w:p>
    <w:p w14:paraId="694AE0FB" w14:textId="77777777" w:rsidR="00DE575E" w:rsidRDefault="00DE575E">
      <w:pPr>
        <w:pStyle w:val="BodyText"/>
        <w:spacing w:before="4"/>
        <w:rPr>
          <w:b/>
          <w:sz w:val="23"/>
        </w:rPr>
      </w:pPr>
    </w:p>
    <w:p w14:paraId="78A5F60A" w14:textId="77777777" w:rsidR="00DE575E" w:rsidRDefault="002E7560">
      <w:pPr>
        <w:ind w:left="250"/>
        <w:rPr>
          <w:b/>
          <w:sz w:val="21"/>
        </w:rPr>
      </w:pPr>
      <w:r>
        <w:rPr>
          <w:b/>
          <w:color w:val="231F20"/>
          <w:sz w:val="21"/>
        </w:rPr>
        <w:t>Розділ 1</w:t>
      </w:r>
    </w:p>
    <w:p w14:paraId="11DCDD50" w14:textId="77777777" w:rsidR="00DE575E" w:rsidRDefault="002E7560">
      <w:pPr>
        <w:spacing w:before="115" w:line="223" w:lineRule="auto"/>
        <w:ind w:left="250" w:right="1717" w:firstLine="1461"/>
      </w:pPr>
      <w:r>
        <w:br w:type="column"/>
      </w:r>
      <w:r>
        <w:rPr>
          <w:color w:val="231F20"/>
        </w:rPr>
        <w:lastRenderedPageBreak/>
        <w:t>КНИГА ІІ АДМІНІСТРАТИВНО-ДЕЛІКТНЕ ПРАВО</w:t>
      </w:r>
    </w:p>
    <w:p w14:paraId="61230D51" w14:textId="77777777" w:rsidR="00DE575E" w:rsidRDefault="00DE575E">
      <w:pPr>
        <w:spacing w:line="223" w:lineRule="auto"/>
        <w:sectPr w:rsidR="00DE575E">
          <w:type w:val="continuous"/>
          <w:pgSz w:w="8510" w:h="12760"/>
          <w:pgMar w:top="1180" w:right="720" w:bottom="280" w:left="600" w:header="720" w:footer="720" w:gutter="0"/>
          <w:cols w:num="2" w:space="720" w:equalWidth="0">
            <w:col w:w="1124" w:space="237"/>
            <w:col w:w="5829"/>
          </w:cols>
        </w:sectPr>
      </w:pPr>
    </w:p>
    <w:p w14:paraId="18C2D2AA" w14:textId="77777777" w:rsidR="00DE575E" w:rsidRDefault="002E7560">
      <w:pPr>
        <w:pStyle w:val="Heading5"/>
        <w:spacing w:before="14"/>
        <w:ind w:left="250"/>
      </w:pPr>
      <w:r>
        <w:rPr>
          <w:color w:val="231F20"/>
        </w:rPr>
        <w:lastRenderedPageBreak/>
        <w:t>АДМІНІСТРАТИВНА ВІДПОВІДАЛЬНІСТЬ</w:t>
      </w:r>
    </w:p>
    <w:p w14:paraId="05188F5D" w14:textId="77777777" w:rsidR="00DE575E" w:rsidRDefault="002E7560">
      <w:pPr>
        <w:tabs>
          <w:tab w:val="left" w:pos="6477"/>
        </w:tabs>
        <w:spacing w:before="14"/>
        <w:ind w:left="250"/>
        <w:rPr>
          <w:b/>
          <w:sz w:val="20"/>
        </w:rPr>
      </w:pPr>
      <w:r>
        <w:rPr>
          <w:b/>
          <w:color w:val="231F20"/>
          <w:sz w:val="21"/>
        </w:rPr>
        <w:t>ЯК ВИД</w:t>
      </w:r>
      <w:r>
        <w:rPr>
          <w:b/>
          <w:color w:val="231F20"/>
          <w:spacing w:val="-6"/>
          <w:sz w:val="21"/>
        </w:rPr>
        <w:t xml:space="preserve"> </w:t>
      </w:r>
      <w:r>
        <w:rPr>
          <w:b/>
          <w:color w:val="231F20"/>
          <w:sz w:val="21"/>
        </w:rPr>
        <w:t>ЮРИДИЧНОЇ</w:t>
      </w:r>
      <w:r>
        <w:rPr>
          <w:b/>
          <w:color w:val="231F20"/>
          <w:spacing w:val="-3"/>
          <w:sz w:val="21"/>
        </w:rPr>
        <w:t xml:space="preserve"> </w:t>
      </w:r>
      <w:r>
        <w:rPr>
          <w:b/>
          <w:color w:val="231F20"/>
          <w:sz w:val="21"/>
        </w:rPr>
        <w:t>ВІДПОВІДАЛЬНОСТІ</w:t>
      </w:r>
      <w:r>
        <w:rPr>
          <w:b/>
          <w:color w:val="231F20"/>
          <w:sz w:val="21"/>
          <w:u w:val="dotted" w:color="231F20"/>
        </w:rPr>
        <w:t xml:space="preserve"> </w:t>
      </w:r>
      <w:r>
        <w:rPr>
          <w:b/>
          <w:color w:val="231F20"/>
          <w:sz w:val="21"/>
          <w:u w:val="dotted" w:color="231F20"/>
        </w:rPr>
        <w:tab/>
      </w:r>
      <w:r>
        <w:rPr>
          <w:b/>
          <w:sz w:val="20"/>
        </w:rPr>
        <w:t>466</w:t>
      </w:r>
    </w:p>
    <w:p w14:paraId="1A40A0D4" w14:textId="77777777" w:rsidR="00DE575E" w:rsidRDefault="002E7560">
      <w:pPr>
        <w:pStyle w:val="ListParagraph"/>
        <w:numPr>
          <w:ilvl w:val="1"/>
          <w:numId w:val="324"/>
        </w:numPr>
        <w:tabs>
          <w:tab w:val="left" w:pos="648"/>
          <w:tab w:val="left" w:pos="6477"/>
        </w:tabs>
        <w:spacing w:before="58"/>
        <w:rPr>
          <w:b/>
          <w:sz w:val="20"/>
        </w:rPr>
      </w:pPr>
      <w:r>
        <w:rPr>
          <w:b/>
          <w:color w:val="231F20"/>
          <w:sz w:val="21"/>
        </w:rPr>
        <w:t>Поняття та ознаки</w:t>
      </w:r>
      <w:r>
        <w:rPr>
          <w:b/>
          <w:color w:val="231F20"/>
          <w:spacing w:val="-15"/>
          <w:sz w:val="21"/>
        </w:rPr>
        <w:t xml:space="preserve"> </w:t>
      </w:r>
      <w:r>
        <w:rPr>
          <w:b/>
          <w:color w:val="231F20"/>
          <w:sz w:val="21"/>
        </w:rPr>
        <w:t>адміністративної</w:t>
      </w:r>
      <w:r>
        <w:rPr>
          <w:b/>
          <w:color w:val="231F20"/>
          <w:spacing w:val="-5"/>
          <w:sz w:val="21"/>
        </w:rPr>
        <w:t xml:space="preserve"> </w:t>
      </w:r>
      <w:r>
        <w:rPr>
          <w:b/>
          <w:color w:val="231F20"/>
          <w:sz w:val="21"/>
        </w:rPr>
        <w:t>відповідальності</w:t>
      </w:r>
      <w:r>
        <w:rPr>
          <w:b/>
          <w:color w:val="231F20"/>
          <w:sz w:val="21"/>
          <w:u w:val="dotted" w:color="231F20"/>
        </w:rPr>
        <w:t xml:space="preserve"> </w:t>
      </w:r>
      <w:r>
        <w:rPr>
          <w:b/>
          <w:color w:val="231F20"/>
          <w:sz w:val="21"/>
          <w:u w:val="dotted" w:color="231F20"/>
        </w:rPr>
        <w:tab/>
      </w:r>
      <w:r>
        <w:rPr>
          <w:b/>
          <w:sz w:val="20"/>
        </w:rPr>
        <w:t>466</w:t>
      </w:r>
    </w:p>
    <w:p w14:paraId="3C66A7C7" w14:textId="77777777" w:rsidR="00DE575E" w:rsidRDefault="002E7560">
      <w:pPr>
        <w:pStyle w:val="ListParagraph"/>
        <w:numPr>
          <w:ilvl w:val="1"/>
          <w:numId w:val="324"/>
        </w:numPr>
        <w:tabs>
          <w:tab w:val="left" w:pos="648"/>
        </w:tabs>
        <w:spacing w:before="59" w:line="233" w:lineRule="exact"/>
        <w:rPr>
          <w:b/>
          <w:sz w:val="21"/>
        </w:rPr>
      </w:pPr>
      <w:r>
        <w:rPr>
          <w:b/>
          <w:color w:val="231F20"/>
          <w:sz w:val="21"/>
        </w:rPr>
        <w:t>Відмежування адміністративної</w:t>
      </w:r>
      <w:r>
        <w:rPr>
          <w:b/>
          <w:color w:val="231F20"/>
          <w:spacing w:val="-2"/>
          <w:sz w:val="21"/>
        </w:rPr>
        <w:t xml:space="preserve"> </w:t>
      </w:r>
      <w:r>
        <w:rPr>
          <w:b/>
          <w:color w:val="231F20"/>
          <w:sz w:val="21"/>
        </w:rPr>
        <w:t>відповідальності</w:t>
      </w:r>
    </w:p>
    <w:p w14:paraId="493F5110" w14:textId="77777777" w:rsidR="00DE575E" w:rsidRDefault="002E7560">
      <w:pPr>
        <w:tabs>
          <w:tab w:val="left" w:pos="6477"/>
        </w:tabs>
        <w:spacing w:line="233" w:lineRule="exact"/>
        <w:ind w:left="647"/>
        <w:rPr>
          <w:b/>
          <w:sz w:val="20"/>
        </w:rPr>
      </w:pPr>
      <w:r>
        <w:rPr>
          <w:b/>
          <w:color w:val="231F20"/>
          <w:sz w:val="21"/>
        </w:rPr>
        <w:t>від інших видів</w:t>
      </w:r>
      <w:r>
        <w:rPr>
          <w:b/>
          <w:color w:val="231F20"/>
          <w:spacing w:val="-2"/>
          <w:sz w:val="21"/>
        </w:rPr>
        <w:t xml:space="preserve"> </w:t>
      </w:r>
      <w:r>
        <w:rPr>
          <w:b/>
          <w:color w:val="231F20"/>
          <w:sz w:val="21"/>
        </w:rPr>
        <w:t>юридичної</w:t>
      </w:r>
      <w:r>
        <w:rPr>
          <w:b/>
          <w:color w:val="231F20"/>
          <w:spacing w:val="-1"/>
          <w:sz w:val="21"/>
        </w:rPr>
        <w:t xml:space="preserve"> </w:t>
      </w:r>
      <w:r>
        <w:rPr>
          <w:b/>
          <w:color w:val="231F20"/>
          <w:sz w:val="21"/>
        </w:rPr>
        <w:t>відповідальності</w:t>
      </w:r>
      <w:r>
        <w:rPr>
          <w:b/>
          <w:color w:val="231F20"/>
          <w:sz w:val="21"/>
          <w:u w:val="dotted" w:color="231F20"/>
        </w:rPr>
        <w:t xml:space="preserve"> </w:t>
      </w:r>
      <w:r>
        <w:rPr>
          <w:b/>
          <w:color w:val="231F20"/>
          <w:sz w:val="21"/>
          <w:u w:val="dotted" w:color="231F20"/>
        </w:rPr>
        <w:tab/>
      </w:r>
      <w:r>
        <w:rPr>
          <w:b/>
          <w:sz w:val="20"/>
        </w:rPr>
        <w:t>470</w:t>
      </w:r>
    </w:p>
    <w:p w14:paraId="1D15AF80" w14:textId="77777777" w:rsidR="00DE575E" w:rsidRDefault="002E7560">
      <w:pPr>
        <w:pStyle w:val="ListParagraph"/>
        <w:numPr>
          <w:ilvl w:val="1"/>
          <w:numId w:val="324"/>
        </w:numPr>
        <w:tabs>
          <w:tab w:val="left" w:pos="648"/>
          <w:tab w:val="left" w:pos="6477"/>
        </w:tabs>
        <w:spacing w:before="59"/>
        <w:rPr>
          <w:b/>
          <w:sz w:val="20"/>
        </w:rPr>
      </w:pPr>
      <w:r>
        <w:rPr>
          <w:b/>
          <w:color w:val="231F20"/>
          <w:sz w:val="21"/>
        </w:rPr>
        <w:t>Принципи</w:t>
      </w:r>
      <w:r>
        <w:rPr>
          <w:b/>
          <w:color w:val="231F20"/>
          <w:spacing w:val="-4"/>
          <w:sz w:val="21"/>
        </w:rPr>
        <w:t xml:space="preserve"> </w:t>
      </w:r>
      <w:r>
        <w:rPr>
          <w:b/>
          <w:color w:val="231F20"/>
          <w:sz w:val="21"/>
        </w:rPr>
        <w:t>адміністративної</w:t>
      </w:r>
      <w:r>
        <w:rPr>
          <w:b/>
          <w:color w:val="231F20"/>
          <w:spacing w:val="-4"/>
          <w:sz w:val="21"/>
        </w:rPr>
        <w:t xml:space="preserve"> </w:t>
      </w:r>
      <w:r>
        <w:rPr>
          <w:b/>
          <w:color w:val="231F20"/>
          <w:sz w:val="21"/>
        </w:rPr>
        <w:t>відповідальності</w:t>
      </w:r>
      <w:r>
        <w:rPr>
          <w:b/>
          <w:color w:val="231F20"/>
          <w:sz w:val="21"/>
          <w:u w:val="dotted" w:color="231F20"/>
        </w:rPr>
        <w:t xml:space="preserve"> </w:t>
      </w:r>
      <w:r>
        <w:rPr>
          <w:b/>
          <w:color w:val="231F20"/>
          <w:sz w:val="21"/>
          <w:u w:val="dotted" w:color="231F20"/>
        </w:rPr>
        <w:tab/>
      </w:r>
      <w:r>
        <w:rPr>
          <w:b/>
          <w:sz w:val="20"/>
        </w:rPr>
        <w:t>473</w:t>
      </w:r>
    </w:p>
    <w:p w14:paraId="63FA8F6C" w14:textId="77777777" w:rsidR="00DE575E" w:rsidRDefault="002E7560">
      <w:pPr>
        <w:pStyle w:val="ListParagraph"/>
        <w:numPr>
          <w:ilvl w:val="1"/>
          <w:numId w:val="324"/>
        </w:numPr>
        <w:tabs>
          <w:tab w:val="left" w:pos="648"/>
        </w:tabs>
        <w:spacing w:before="81" w:line="213" w:lineRule="auto"/>
        <w:ind w:right="973"/>
        <w:rPr>
          <w:b/>
          <w:sz w:val="21"/>
        </w:rPr>
      </w:pPr>
      <w:r>
        <w:rPr>
          <w:b/>
          <w:color w:val="231F20"/>
          <w:sz w:val="21"/>
        </w:rPr>
        <w:t>Адміністративна відповідальність за правопорушення у сфері забезпечення безпеки дорожнього</w:t>
      </w:r>
      <w:r>
        <w:rPr>
          <w:b/>
          <w:color w:val="231F20"/>
          <w:spacing w:val="-8"/>
          <w:sz w:val="21"/>
        </w:rPr>
        <w:t xml:space="preserve"> </w:t>
      </w:r>
      <w:r>
        <w:rPr>
          <w:b/>
          <w:color w:val="231F20"/>
          <w:sz w:val="21"/>
        </w:rPr>
        <w:t>руху</w:t>
      </w:r>
    </w:p>
    <w:p w14:paraId="1E5D1ED8" w14:textId="77777777" w:rsidR="00DE575E" w:rsidRDefault="002E7560">
      <w:pPr>
        <w:spacing w:line="213" w:lineRule="exact"/>
        <w:ind w:left="647"/>
        <w:rPr>
          <w:b/>
          <w:sz w:val="21"/>
        </w:rPr>
      </w:pPr>
      <w:r>
        <w:rPr>
          <w:b/>
          <w:color w:val="231F20"/>
          <w:sz w:val="21"/>
        </w:rPr>
        <w:t>в разі їх фіксації працюючими в автоматичному</w:t>
      </w:r>
    </w:p>
    <w:p w14:paraId="7574FA90" w14:textId="77777777" w:rsidR="00DE575E" w:rsidRDefault="002E7560">
      <w:pPr>
        <w:tabs>
          <w:tab w:val="left" w:pos="6477"/>
        </w:tabs>
        <w:spacing w:line="233" w:lineRule="exact"/>
        <w:ind w:left="647"/>
        <w:rPr>
          <w:b/>
          <w:sz w:val="20"/>
        </w:rPr>
      </w:pPr>
      <w:r>
        <w:rPr>
          <w:b/>
          <w:color w:val="231F20"/>
          <w:sz w:val="21"/>
        </w:rPr>
        <w:t>режимі спеціальним</w:t>
      </w:r>
      <w:r>
        <w:rPr>
          <w:b/>
          <w:color w:val="231F20"/>
          <w:sz w:val="21"/>
        </w:rPr>
        <w:t>и</w:t>
      </w:r>
      <w:r>
        <w:rPr>
          <w:b/>
          <w:color w:val="231F20"/>
          <w:spacing w:val="-11"/>
          <w:sz w:val="21"/>
        </w:rPr>
        <w:t xml:space="preserve"> </w:t>
      </w:r>
      <w:r>
        <w:rPr>
          <w:b/>
          <w:color w:val="231F20"/>
          <w:sz w:val="21"/>
        </w:rPr>
        <w:t>технічними</w:t>
      </w:r>
      <w:r>
        <w:rPr>
          <w:b/>
          <w:color w:val="231F20"/>
          <w:spacing w:val="-6"/>
          <w:sz w:val="21"/>
        </w:rPr>
        <w:t xml:space="preserve"> </w:t>
      </w:r>
      <w:r>
        <w:rPr>
          <w:b/>
          <w:color w:val="231F20"/>
          <w:sz w:val="21"/>
        </w:rPr>
        <w:t>засобами</w:t>
      </w:r>
      <w:r>
        <w:rPr>
          <w:b/>
          <w:color w:val="231F20"/>
          <w:sz w:val="21"/>
          <w:u w:val="dotted" w:color="231F20"/>
        </w:rPr>
        <w:t xml:space="preserve"> </w:t>
      </w:r>
      <w:r>
        <w:rPr>
          <w:b/>
          <w:color w:val="231F20"/>
          <w:sz w:val="21"/>
          <w:u w:val="dotted" w:color="231F20"/>
        </w:rPr>
        <w:tab/>
      </w:r>
      <w:r>
        <w:rPr>
          <w:b/>
          <w:sz w:val="20"/>
        </w:rPr>
        <w:t>474</w:t>
      </w:r>
    </w:p>
    <w:p w14:paraId="23BD6C10" w14:textId="77777777" w:rsidR="00DE575E" w:rsidRDefault="002E7560">
      <w:pPr>
        <w:pStyle w:val="ListParagraph"/>
        <w:numPr>
          <w:ilvl w:val="1"/>
          <w:numId w:val="324"/>
        </w:numPr>
        <w:tabs>
          <w:tab w:val="left" w:pos="648"/>
          <w:tab w:val="left" w:pos="6477"/>
        </w:tabs>
        <w:spacing w:before="59"/>
        <w:rPr>
          <w:b/>
          <w:sz w:val="20"/>
        </w:rPr>
      </w:pPr>
      <w:r>
        <w:rPr>
          <w:b/>
          <w:color w:val="231F20"/>
          <w:sz w:val="21"/>
        </w:rPr>
        <w:t>Адміністративна відповідальність</w:t>
      </w:r>
      <w:r>
        <w:rPr>
          <w:b/>
          <w:color w:val="231F20"/>
          <w:spacing w:val="-6"/>
          <w:sz w:val="21"/>
        </w:rPr>
        <w:t xml:space="preserve"> </w:t>
      </w:r>
      <w:r>
        <w:rPr>
          <w:b/>
          <w:color w:val="231F20"/>
          <w:sz w:val="21"/>
        </w:rPr>
        <w:t>юридичних</w:t>
      </w:r>
      <w:r>
        <w:rPr>
          <w:b/>
          <w:color w:val="231F20"/>
          <w:spacing w:val="-3"/>
          <w:sz w:val="21"/>
        </w:rPr>
        <w:t xml:space="preserve"> </w:t>
      </w:r>
      <w:r>
        <w:rPr>
          <w:b/>
          <w:color w:val="231F20"/>
          <w:sz w:val="21"/>
        </w:rPr>
        <w:t>осіб</w:t>
      </w:r>
      <w:r>
        <w:rPr>
          <w:b/>
          <w:color w:val="231F20"/>
          <w:sz w:val="21"/>
          <w:u w:val="dotted" w:color="231F20"/>
        </w:rPr>
        <w:t xml:space="preserve"> </w:t>
      </w:r>
      <w:r>
        <w:rPr>
          <w:b/>
          <w:color w:val="231F20"/>
          <w:sz w:val="21"/>
          <w:u w:val="dotted" w:color="231F20"/>
        </w:rPr>
        <w:tab/>
      </w:r>
      <w:r>
        <w:rPr>
          <w:b/>
          <w:sz w:val="20"/>
        </w:rPr>
        <w:t>478</w:t>
      </w:r>
    </w:p>
    <w:p w14:paraId="34E75E21" w14:textId="77777777" w:rsidR="00DE575E" w:rsidRDefault="00DE575E">
      <w:pPr>
        <w:pStyle w:val="BodyText"/>
        <w:spacing w:before="6"/>
        <w:rPr>
          <w:b/>
          <w:sz w:val="20"/>
        </w:rPr>
      </w:pPr>
    </w:p>
    <w:p w14:paraId="2B12FA4C" w14:textId="77777777" w:rsidR="00DE575E" w:rsidRDefault="002E7560">
      <w:pPr>
        <w:ind w:left="250"/>
        <w:rPr>
          <w:b/>
          <w:sz w:val="21"/>
        </w:rPr>
      </w:pPr>
      <w:r>
        <w:rPr>
          <w:b/>
          <w:color w:val="231F20"/>
          <w:sz w:val="21"/>
        </w:rPr>
        <w:t>Розділ 2</w:t>
      </w:r>
    </w:p>
    <w:p w14:paraId="1218F514" w14:textId="77777777" w:rsidR="00DE575E" w:rsidRDefault="002E7560">
      <w:pPr>
        <w:tabs>
          <w:tab w:val="left" w:pos="6477"/>
        </w:tabs>
        <w:spacing w:before="14"/>
        <w:ind w:left="250"/>
        <w:rPr>
          <w:b/>
          <w:sz w:val="20"/>
        </w:rPr>
      </w:pPr>
      <w:r>
        <w:rPr>
          <w:b/>
          <w:color w:val="231F20"/>
          <w:spacing w:val="-3"/>
          <w:sz w:val="21"/>
        </w:rPr>
        <w:t>АДМІНІСТРАТИВНЕ</w:t>
      </w:r>
      <w:r>
        <w:rPr>
          <w:b/>
          <w:color w:val="231F20"/>
          <w:spacing w:val="-7"/>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483</w:t>
      </w:r>
    </w:p>
    <w:p w14:paraId="627EADF8" w14:textId="77777777" w:rsidR="00DE575E" w:rsidRDefault="002E7560">
      <w:pPr>
        <w:pStyle w:val="ListParagraph"/>
        <w:numPr>
          <w:ilvl w:val="1"/>
          <w:numId w:val="323"/>
        </w:numPr>
        <w:tabs>
          <w:tab w:val="left" w:pos="648"/>
          <w:tab w:val="left" w:pos="6477"/>
        </w:tabs>
        <w:spacing w:before="59"/>
        <w:rPr>
          <w:b/>
          <w:sz w:val="20"/>
        </w:rPr>
      </w:pPr>
      <w:r>
        <w:rPr>
          <w:b/>
          <w:color w:val="231F20"/>
          <w:sz w:val="21"/>
        </w:rPr>
        <w:t>Поняття</w:t>
      </w:r>
      <w:r>
        <w:rPr>
          <w:b/>
          <w:color w:val="231F20"/>
          <w:spacing w:val="-7"/>
          <w:sz w:val="21"/>
        </w:rPr>
        <w:t xml:space="preserve"> </w:t>
      </w:r>
      <w:r>
        <w:rPr>
          <w:b/>
          <w:color w:val="231F20"/>
          <w:sz w:val="21"/>
        </w:rPr>
        <w:t>адміністративного</w:t>
      </w:r>
      <w:r>
        <w:rPr>
          <w:b/>
          <w:color w:val="231F20"/>
          <w:spacing w:val="-8"/>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483</w:t>
      </w:r>
    </w:p>
    <w:p w14:paraId="30E4FBA8" w14:textId="77777777" w:rsidR="00DE575E" w:rsidRDefault="002E7560">
      <w:pPr>
        <w:pStyle w:val="ListParagraph"/>
        <w:numPr>
          <w:ilvl w:val="1"/>
          <w:numId w:val="323"/>
        </w:numPr>
        <w:tabs>
          <w:tab w:val="left" w:pos="648"/>
          <w:tab w:val="left" w:pos="6477"/>
        </w:tabs>
        <w:spacing w:before="58"/>
        <w:rPr>
          <w:b/>
          <w:sz w:val="20"/>
        </w:rPr>
      </w:pPr>
      <w:r>
        <w:rPr>
          <w:b/>
          <w:color w:val="231F20"/>
          <w:sz w:val="21"/>
        </w:rPr>
        <w:t>Ознаки</w:t>
      </w:r>
      <w:r>
        <w:rPr>
          <w:b/>
          <w:color w:val="231F20"/>
          <w:spacing w:val="-5"/>
          <w:sz w:val="21"/>
        </w:rPr>
        <w:t xml:space="preserve"> </w:t>
      </w:r>
      <w:r>
        <w:rPr>
          <w:b/>
          <w:color w:val="231F20"/>
          <w:sz w:val="21"/>
        </w:rPr>
        <w:t>адміністративного</w:t>
      </w:r>
      <w:r>
        <w:rPr>
          <w:b/>
          <w:color w:val="231F20"/>
          <w:spacing w:val="-5"/>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483</w:t>
      </w:r>
    </w:p>
    <w:p w14:paraId="5B971979" w14:textId="77777777" w:rsidR="00DE575E" w:rsidRDefault="002E7560">
      <w:pPr>
        <w:pStyle w:val="ListParagraph"/>
        <w:numPr>
          <w:ilvl w:val="1"/>
          <w:numId w:val="323"/>
        </w:numPr>
        <w:tabs>
          <w:tab w:val="left" w:pos="648"/>
        </w:tabs>
        <w:spacing w:before="59" w:line="233" w:lineRule="exact"/>
        <w:rPr>
          <w:b/>
          <w:sz w:val="21"/>
        </w:rPr>
      </w:pPr>
      <w:r>
        <w:rPr>
          <w:b/>
          <w:color w:val="231F20"/>
          <w:sz w:val="21"/>
        </w:rPr>
        <w:t>Відмежування адміністративного</w:t>
      </w:r>
      <w:r>
        <w:rPr>
          <w:b/>
          <w:color w:val="231F20"/>
          <w:spacing w:val="-4"/>
          <w:sz w:val="21"/>
        </w:rPr>
        <w:t xml:space="preserve"> </w:t>
      </w:r>
      <w:r>
        <w:rPr>
          <w:b/>
          <w:color w:val="231F20"/>
          <w:sz w:val="21"/>
        </w:rPr>
        <w:t>правопорушення</w:t>
      </w:r>
    </w:p>
    <w:p w14:paraId="4EB90EB3" w14:textId="77777777" w:rsidR="00DE575E" w:rsidRDefault="002E7560">
      <w:pPr>
        <w:tabs>
          <w:tab w:val="left" w:pos="6477"/>
        </w:tabs>
        <w:spacing w:line="233" w:lineRule="exact"/>
        <w:ind w:left="647"/>
        <w:rPr>
          <w:b/>
          <w:sz w:val="20"/>
        </w:rPr>
      </w:pPr>
      <w:r>
        <w:rPr>
          <w:b/>
          <w:color w:val="231F20"/>
          <w:sz w:val="21"/>
        </w:rPr>
        <w:t>від</w:t>
      </w:r>
      <w:r>
        <w:rPr>
          <w:b/>
          <w:color w:val="231F20"/>
          <w:spacing w:val="-5"/>
          <w:sz w:val="21"/>
        </w:rPr>
        <w:t xml:space="preserve"> </w:t>
      </w:r>
      <w:r>
        <w:rPr>
          <w:b/>
          <w:color w:val="231F20"/>
          <w:sz w:val="21"/>
        </w:rPr>
        <w:t>кримінального</w:t>
      </w:r>
      <w:r>
        <w:rPr>
          <w:b/>
          <w:color w:val="231F20"/>
          <w:spacing w:val="-6"/>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485</w:t>
      </w:r>
    </w:p>
    <w:p w14:paraId="2C75B767" w14:textId="77777777" w:rsidR="00DE575E" w:rsidRDefault="002E7560">
      <w:pPr>
        <w:pStyle w:val="ListParagraph"/>
        <w:numPr>
          <w:ilvl w:val="1"/>
          <w:numId w:val="323"/>
        </w:numPr>
        <w:tabs>
          <w:tab w:val="left" w:pos="648"/>
        </w:tabs>
        <w:spacing w:before="59" w:line="233" w:lineRule="exact"/>
        <w:rPr>
          <w:b/>
          <w:sz w:val="21"/>
        </w:rPr>
      </w:pPr>
      <w:r>
        <w:rPr>
          <w:b/>
          <w:color w:val="231F20"/>
          <w:sz w:val="21"/>
        </w:rPr>
        <w:t>Відмежування адміністративного</w:t>
      </w:r>
      <w:r>
        <w:rPr>
          <w:b/>
          <w:color w:val="231F20"/>
          <w:spacing w:val="-4"/>
          <w:sz w:val="21"/>
        </w:rPr>
        <w:t xml:space="preserve"> </w:t>
      </w:r>
      <w:r>
        <w:rPr>
          <w:b/>
          <w:color w:val="231F20"/>
          <w:sz w:val="21"/>
        </w:rPr>
        <w:t>правопорушення</w:t>
      </w:r>
    </w:p>
    <w:p w14:paraId="3B09C41C" w14:textId="77777777" w:rsidR="00DE575E" w:rsidRDefault="002E7560">
      <w:pPr>
        <w:tabs>
          <w:tab w:val="left" w:pos="6477"/>
        </w:tabs>
        <w:spacing w:line="233" w:lineRule="exact"/>
        <w:ind w:left="647"/>
        <w:rPr>
          <w:b/>
          <w:sz w:val="20"/>
        </w:rPr>
      </w:pPr>
      <w:r>
        <w:rPr>
          <w:b/>
          <w:color w:val="231F20"/>
          <w:sz w:val="21"/>
        </w:rPr>
        <w:t>від</w:t>
      </w:r>
      <w:r>
        <w:rPr>
          <w:b/>
          <w:color w:val="231F20"/>
          <w:spacing w:val="-3"/>
          <w:sz w:val="21"/>
        </w:rPr>
        <w:t xml:space="preserve"> </w:t>
      </w:r>
      <w:r>
        <w:rPr>
          <w:b/>
          <w:color w:val="231F20"/>
          <w:sz w:val="21"/>
        </w:rPr>
        <w:t>дисциплінарного</w:t>
      </w:r>
      <w:r>
        <w:rPr>
          <w:b/>
          <w:color w:val="231F20"/>
          <w:spacing w:val="-4"/>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488</w:t>
      </w:r>
    </w:p>
    <w:p w14:paraId="00B529E9" w14:textId="77777777" w:rsidR="00DE575E" w:rsidRDefault="00DE575E">
      <w:pPr>
        <w:pStyle w:val="BodyText"/>
        <w:spacing w:before="6"/>
        <w:rPr>
          <w:b/>
          <w:sz w:val="20"/>
        </w:rPr>
      </w:pPr>
    </w:p>
    <w:p w14:paraId="41158AEA" w14:textId="77777777" w:rsidR="00DE575E" w:rsidRDefault="002E7560">
      <w:pPr>
        <w:ind w:left="250"/>
        <w:rPr>
          <w:b/>
          <w:sz w:val="21"/>
        </w:rPr>
      </w:pPr>
      <w:r>
        <w:rPr>
          <w:b/>
          <w:color w:val="231F20"/>
          <w:sz w:val="21"/>
        </w:rPr>
        <w:t>Розділ 3</w:t>
      </w:r>
    </w:p>
    <w:p w14:paraId="727F007B" w14:textId="77777777" w:rsidR="00DE575E" w:rsidRDefault="002E7560">
      <w:pPr>
        <w:spacing w:before="14"/>
        <w:ind w:left="250"/>
        <w:rPr>
          <w:b/>
          <w:sz w:val="21"/>
        </w:rPr>
      </w:pPr>
      <w:r>
        <w:rPr>
          <w:b/>
          <w:color w:val="231F20"/>
          <w:sz w:val="21"/>
        </w:rPr>
        <w:t>ЮРИДИЧНИЙ СКЛАД АДМІНІСТРАТИВНОГО</w:t>
      </w:r>
    </w:p>
    <w:p w14:paraId="0D42734F" w14:textId="77777777" w:rsidR="00DE575E" w:rsidRDefault="002E7560">
      <w:pPr>
        <w:tabs>
          <w:tab w:val="left" w:pos="6477"/>
        </w:tabs>
        <w:spacing w:before="14"/>
        <w:ind w:left="250"/>
        <w:rPr>
          <w:b/>
          <w:sz w:val="20"/>
        </w:rPr>
      </w:pP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491</w:t>
      </w:r>
    </w:p>
    <w:p w14:paraId="494E64A8" w14:textId="77777777" w:rsidR="00DE575E" w:rsidRDefault="002E7560">
      <w:pPr>
        <w:pStyle w:val="ListParagraph"/>
        <w:numPr>
          <w:ilvl w:val="1"/>
          <w:numId w:val="322"/>
        </w:numPr>
        <w:tabs>
          <w:tab w:val="left" w:pos="648"/>
        </w:tabs>
        <w:spacing w:before="59" w:line="233" w:lineRule="exact"/>
        <w:jc w:val="left"/>
        <w:rPr>
          <w:b/>
          <w:sz w:val="21"/>
        </w:rPr>
      </w:pPr>
      <w:r>
        <w:rPr>
          <w:b/>
          <w:color w:val="231F20"/>
          <w:sz w:val="21"/>
        </w:rPr>
        <w:t>Поняття юридичного</w:t>
      </w:r>
      <w:r>
        <w:rPr>
          <w:b/>
          <w:color w:val="231F20"/>
          <w:spacing w:val="-2"/>
          <w:sz w:val="21"/>
        </w:rPr>
        <w:t xml:space="preserve"> </w:t>
      </w:r>
      <w:r>
        <w:rPr>
          <w:b/>
          <w:color w:val="231F20"/>
          <w:sz w:val="21"/>
        </w:rPr>
        <w:t>складу</w:t>
      </w:r>
    </w:p>
    <w:p w14:paraId="5F785B65" w14:textId="77777777" w:rsidR="00DE575E" w:rsidRDefault="002E7560">
      <w:pPr>
        <w:tabs>
          <w:tab w:val="left" w:pos="6477"/>
        </w:tabs>
        <w:spacing w:line="233" w:lineRule="exact"/>
        <w:ind w:left="647"/>
        <w:rPr>
          <w:b/>
          <w:sz w:val="20"/>
        </w:rPr>
      </w:pPr>
      <w:r>
        <w:rPr>
          <w:b/>
          <w:color w:val="231F20"/>
          <w:sz w:val="21"/>
        </w:rPr>
        <w:t>адміністративного</w:t>
      </w:r>
      <w:r>
        <w:rPr>
          <w:b/>
          <w:color w:val="231F20"/>
          <w:spacing w:val="-8"/>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491</w:t>
      </w:r>
    </w:p>
    <w:p w14:paraId="27570DC8" w14:textId="77777777" w:rsidR="00DE575E" w:rsidRDefault="00DE575E">
      <w:pPr>
        <w:pStyle w:val="BodyText"/>
        <w:rPr>
          <w:b/>
          <w:sz w:val="20"/>
        </w:rPr>
      </w:pPr>
    </w:p>
    <w:p w14:paraId="51B86E33" w14:textId="77777777" w:rsidR="00DE575E" w:rsidRDefault="00DE575E">
      <w:pPr>
        <w:pStyle w:val="BodyText"/>
        <w:rPr>
          <w:b/>
          <w:sz w:val="20"/>
        </w:rPr>
      </w:pPr>
    </w:p>
    <w:p w14:paraId="2B686B60" w14:textId="77777777" w:rsidR="00DE575E" w:rsidRDefault="00DE575E">
      <w:pPr>
        <w:pStyle w:val="BodyText"/>
        <w:spacing w:before="7"/>
        <w:rPr>
          <w:b/>
          <w:sz w:val="15"/>
        </w:rPr>
      </w:pPr>
    </w:p>
    <w:p w14:paraId="5FEC1B56" w14:textId="77777777" w:rsidR="00DE575E" w:rsidRDefault="002E7560">
      <w:pPr>
        <w:spacing w:before="92"/>
        <w:ind w:right="411"/>
        <w:jc w:val="right"/>
        <w:rPr>
          <w:rFonts w:ascii="Times New Roman"/>
          <w:sz w:val="20"/>
        </w:rPr>
      </w:pPr>
      <w:r>
        <w:rPr>
          <w:rFonts w:ascii="Times New Roman"/>
          <w:color w:val="231F20"/>
          <w:w w:val="90"/>
          <w:sz w:val="20"/>
        </w:rPr>
        <w:t>15</w:t>
      </w:r>
    </w:p>
    <w:p w14:paraId="7FE1ADCC" w14:textId="77777777" w:rsidR="00DE575E" w:rsidRDefault="00DE575E">
      <w:pPr>
        <w:jc w:val="right"/>
        <w:rPr>
          <w:rFonts w:ascii="Times New Roman"/>
          <w:sz w:val="20"/>
        </w:rPr>
        <w:sectPr w:rsidR="00DE575E">
          <w:type w:val="continuous"/>
          <w:pgSz w:w="8510" w:h="12760"/>
          <w:pgMar w:top="1180" w:right="720" w:bottom="280" w:left="600" w:header="720" w:footer="720" w:gutter="0"/>
          <w:cols w:space="720"/>
        </w:sectPr>
      </w:pPr>
    </w:p>
    <w:p w14:paraId="0FD5591B"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6C82D2A" w14:textId="275C065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F66E790" wp14:editId="12BAE7D1">
                <wp:extent cx="4140200" cy="6350"/>
                <wp:effectExtent l="0" t="0" r="12700" b="6350"/>
                <wp:docPr id="1385"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86" name="Line 13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5FD586" id="Group_x0020_13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a08xAgAIAAJwFAAAO&#10;AAAAAAAAAAAAAAAAACwCAABkcnMvZTJvRG9jLnhtbFBLAQItABQABgAIAAAAIQBMp7CQ2QAAAAMB&#10;AAAPAAAAAAAAAAAAAAAAANgEAABkcnMvZG93bnJldi54bWxQSwUGAAAAAAQABADzAAAA3gUAAAAA&#10;">
                <v:line id="Line_x0020_13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URTsQAAADdAAAADwAAAGRycy9kb3ducmV2LnhtbERPzWrCQBC+C32HZQpeRDdtQCS6ShGE&#10;0oNW4wOM2TEJ3Z2N2dXEPn23IHibj+93FqveGnGj1teOFbxNEhDEhdM1lwqO+WY8A+EDskbjmBTc&#10;ycNq+TJYYKZdx3u6HUIpYgj7DBVUITSZlL6oyKKfuIY4cmfXWgwRtqXULXYx3Br5niRTabHm2FBh&#10;Q+uKip/D1SrIL6Ngvndfpst3p1SeLtv097pVavjaf8xBBOrDU/xwf+o4P51N4f+beIJ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1RFOxAAAAN0AAAAPAAAAAAAAAAAA&#10;AAAAAKECAABkcnMvZG93bnJldi54bWxQSwUGAAAAAAQABAD5AAAAkgMAAAAA&#10;" strokecolor="#231f20" strokeweight=".5pt"/>
                <w10:anchorlock/>
              </v:group>
            </w:pict>
          </mc:Fallback>
        </mc:AlternateContent>
      </w:r>
    </w:p>
    <w:p w14:paraId="48795B41" w14:textId="77777777" w:rsidR="00DE575E" w:rsidRDefault="00DE575E">
      <w:pPr>
        <w:pStyle w:val="BodyText"/>
        <w:spacing w:before="7"/>
        <w:rPr>
          <w:rFonts w:ascii="AdonisC"/>
          <w:i/>
          <w:sz w:val="11"/>
        </w:rPr>
      </w:pPr>
    </w:p>
    <w:p w14:paraId="72AEB2E3" w14:textId="77777777" w:rsidR="00DE575E" w:rsidRDefault="002E7560">
      <w:pPr>
        <w:pStyle w:val="Heading5"/>
        <w:numPr>
          <w:ilvl w:val="1"/>
          <w:numId w:val="322"/>
        </w:numPr>
        <w:tabs>
          <w:tab w:val="left" w:pos="931"/>
        </w:tabs>
        <w:spacing w:before="101" w:line="233" w:lineRule="exact"/>
        <w:ind w:left="930"/>
        <w:jc w:val="both"/>
      </w:pPr>
      <w:r>
        <w:rPr>
          <w:color w:val="231F20"/>
        </w:rPr>
        <w:t>Структура юридичного</w:t>
      </w:r>
      <w:r>
        <w:rPr>
          <w:color w:val="231F20"/>
          <w:spacing w:val="-2"/>
        </w:rPr>
        <w:t xml:space="preserve"> </w:t>
      </w:r>
      <w:r>
        <w:rPr>
          <w:color w:val="231F20"/>
        </w:rPr>
        <w:t>складу</w:t>
      </w:r>
    </w:p>
    <w:p w14:paraId="3311AC58" w14:textId="77777777" w:rsidR="00DE575E" w:rsidRDefault="002E7560">
      <w:pPr>
        <w:tabs>
          <w:tab w:val="left" w:pos="6760"/>
        </w:tabs>
        <w:spacing w:line="233" w:lineRule="exact"/>
        <w:ind w:left="930"/>
        <w:rPr>
          <w:b/>
          <w:sz w:val="20"/>
        </w:rPr>
      </w:pPr>
      <w:r>
        <w:rPr>
          <w:b/>
          <w:color w:val="231F20"/>
          <w:sz w:val="21"/>
        </w:rPr>
        <w:t>адміністративного</w:t>
      </w:r>
      <w:r>
        <w:rPr>
          <w:b/>
          <w:color w:val="231F20"/>
          <w:spacing w:val="-8"/>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491</w:t>
      </w:r>
    </w:p>
    <w:p w14:paraId="480D8BCD" w14:textId="77777777" w:rsidR="00DE575E" w:rsidRDefault="002E7560">
      <w:pPr>
        <w:pStyle w:val="ListParagraph"/>
        <w:numPr>
          <w:ilvl w:val="1"/>
          <w:numId w:val="322"/>
        </w:numPr>
        <w:tabs>
          <w:tab w:val="left" w:pos="931"/>
        </w:tabs>
        <w:spacing w:before="58" w:line="233" w:lineRule="exact"/>
        <w:ind w:left="930"/>
        <w:jc w:val="both"/>
        <w:rPr>
          <w:b/>
          <w:sz w:val="21"/>
        </w:rPr>
      </w:pPr>
      <w:r>
        <w:rPr>
          <w:b/>
          <w:color w:val="231F20"/>
          <w:sz w:val="21"/>
        </w:rPr>
        <w:t>Види юридичних</w:t>
      </w:r>
      <w:r>
        <w:rPr>
          <w:b/>
          <w:color w:val="231F20"/>
          <w:spacing w:val="-1"/>
          <w:sz w:val="21"/>
        </w:rPr>
        <w:t xml:space="preserve"> </w:t>
      </w:r>
      <w:r>
        <w:rPr>
          <w:b/>
          <w:color w:val="231F20"/>
          <w:sz w:val="21"/>
        </w:rPr>
        <w:t>складів</w:t>
      </w:r>
    </w:p>
    <w:p w14:paraId="4AB91D86" w14:textId="77777777" w:rsidR="00DE575E" w:rsidRDefault="002E7560">
      <w:pPr>
        <w:tabs>
          <w:tab w:val="left" w:pos="6760"/>
        </w:tabs>
        <w:spacing w:line="233" w:lineRule="exact"/>
        <w:ind w:left="930"/>
        <w:rPr>
          <w:b/>
          <w:sz w:val="20"/>
        </w:rPr>
      </w:pPr>
      <w:r>
        <w:rPr>
          <w:b/>
          <w:color w:val="231F20"/>
          <w:sz w:val="21"/>
        </w:rPr>
        <w:t>адміністративного</w:t>
      </w:r>
      <w:r>
        <w:rPr>
          <w:b/>
          <w:color w:val="231F20"/>
          <w:spacing w:val="-8"/>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497</w:t>
      </w:r>
    </w:p>
    <w:p w14:paraId="3AAE86A8" w14:textId="77777777" w:rsidR="00DE575E" w:rsidRDefault="00DE575E">
      <w:pPr>
        <w:pStyle w:val="BodyText"/>
        <w:spacing w:before="6"/>
        <w:rPr>
          <w:b/>
          <w:sz w:val="20"/>
        </w:rPr>
      </w:pPr>
    </w:p>
    <w:p w14:paraId="5470A0DD" w14:textId="77777777" w:rsidR="00DE575E" w:rsidRDefault="002E7560">
      <w:pPr>
        <w:spacing w:before="1"/>
        <w:ind w:left="533"/>
        <w:jc w:val="both"/>
        <w:rPr>
          <w:b/>
          <w:sz w:val="21"/>
        </w:rPr>
      </w:pPr>
      <w:r>
        <w:rPr>
          <w:b/>
          <w:color w:val="231F20"/>
          <w:sz w:val="21"/>
        </w:rPr>
        <w:t>Розділ 4</w:t>
      </w:r>
    </w:p>
    <w:p w14:paraId="7FD82336" w14:textId="77777777" w:rsidR="00DE575E" w:rsidRDefault="002E7560">
      <w:pPr>
        <w:tabs>
          <w:tab w:val="left" w:pos="6760"/>
        </w:tabs>
        <w:spacing w:before="13"/>
        <w:ind w:left="533"/>
        <w:jc w:val="both"/>
        <w:rPr>
          <w:b/>
          <w:sz w:val="20"/>
        </w:rPr>
      </w:pPr>
      <w:r>
        <w:rPr>
          <w:b/>
          <w:color w:val="231F20"/>
          <w:spacing w:val="-4"/>
          <w:sz w:val="21"/>
        </w:rPr>
        <w:t>ЗАХОДИ</w:t>
      </w:r>
      <w:r>
        <w:rPr>
          <w:b/>
          <w:color w:val="231F20"/>
          <w:spacing w:val="-1"/>
          <w:sz w:val="21"/>
        </w:rPr>
        <w:t xml:space="preserve"> </w:t>
      </w:r>
      <w:r>
        <w:rPr>
          <w:b/>
          <w:color w:val="231F20"/>
          <w:spacing w:val="-3"/>
          <w:sz w:val="21"/>
        </w:rPr>
        <w:t>АДМІНІСТРАТИВНОЇ</w:t>
      </w:r>
      <w:r>
        <w:rPr>
          <w:b/>
          <w:color w:val="231F20"/>
          <w:spacing w:val="-2"/>
          <w:sz w:val="21"/>
        </w:rPr>
        <w:t xml:space="preserve"> </w:t>
      </w:r>
      <w:r>
        <w:rPr>
          <w:b/>
          <w:color w:val="231F20"/>
          <w:sz w:val="21"/>
        </w:rPr>
        <w:t>ВІДПОВІДАЛЬНОСТІ</w:t>
      </w:r>
      <w:r>
        <w:rPr>
          <w:b/>
          <w:color w:val="231F20"/>
          <w:sz w:val="21"/>
          <w:u w:val="dotted" w:color="231F20"/>
        </w:rPr>
        <w:t xml:space="preserve"> </w:t>
      </w:r>
      <w:r>
        <w:rPr>
          <w:b/>
          <w:color w:val="231F20"/>
          <w:sz w:val="21"/>
          <w:u w:val="dotted" w:color="231F20"/>
        </w:rPr>
        <w:tab/>
      </w:r>
      <w:r>
        <w:rPr>
          <w:b/>
          <w:sz w:val="20"/>
        </w:rPr>
        <w:t>501</w:t>
      </w:r>
    </w:p>
    <w:p w14:paraId="21CBC229" w14:textId="77777777" w:rsidR="00DE575E" w:rsidRDefault="002E7560">
      <w:pPr>
        <w:pStyle w:val="ListParagraph"/>
        <w:numPr>
          <w:ilvl w:val="1"/>
          <w:numId w:val="321"/>
        </w:numPr>
        <w:tabs>
          <w:tab w:val="left" w:pos="931"/>
          <w:tab w:val="left" w:pos="6760"/>
        </w:tabs>
        <w:spacing w:before="59"/>
        <w:jc w:val="both"/>
        <w:rPr>
          <w:b/>
          <w:sz w:val="20"/>
        </w:rPr>
      </w:pPr>
      <w:r>
        <w:rPr>
          <w:b/>
          <w:color w:val="231F20"/>
          <w:sz w:val="21"/>
        </w:rPr>
        <w:t>Поняття</w:t>
      </w:r>
      <w:r>
        <w:rPr>
          <w:b/>
          <w:color w:val="231F20"/>
          <w:spacing w:val="-5"/>
          <w:sz w:val="21"/>
        </w:rPr>
        <w:t xml:space="preserve"> </w:t>
      </w:r>
      <w:r>
        <w:rPr>
          <w:b/>
          <w:color w:val="231F20"/>
          <w:sz w:val="21"/>
        </w:rPr>
        <w:t>адміністративного</w:t>
      </w:r>
      <w:r>
        <w:rPr>
          <w:b/>
          <w:color w:val="231F20"/>
          <w:spacing w:val="-6"/>
          <w:sz w:val="21"/>
        </w:rPr>
        <w:t xml:space="preserve"> </w:t>
      </w:r>
      <w:r>
        <w:rPr>
          <w:b/>
          <w:color w:val="231F20"/>
          <w:sz w:val="21"/>
        </w:rPr>
        <w:t>стягнення</w:t>
      </w:r>
      <w:r>
        <w:rPr>
          <w:b/>
          <w:color w:val="231F20"/>
          <w:sz w:val="21"/>
          <w:u w:val="dotted" w:color="231F20"/>
        </w:rPr>
        <w:t xml:space="preserve"> </w:t>
      </w:r>
      <w:r>
        <w:rPr>
          <w:b/>
          <w:color w:val="231F20"/>
          <w:sz w:val="21"/>
          <w:u w:val="dotted" w:color="231F20"/>
        </w:rPr>
        <w:tab/>
      </w:r>
      <w:r>
        <w:rPr>
          <w:b/>
          <w:sz w:val="20"/>
        </w:rPr>
        <w:t>501</w:t>
      </w:r>
    </w:p>
    <w:p w14:paraId="20E455F8" w14:textId="77777777" w:rsidR="00DE575E" w:rsidRDefault="002E7560">
      <w:pPr>
        <w:pStyle w:val="ListParagraph"/>
        <w:numPr>
          <w:ilvl w:val="1"/>
          <w:numId w:val="321"/>
        </w:numPr>
        <w:tabs>
          <w:tab w:val="left" w:pos="931"/>
          <w:tab w:val="left" w:pos="6760"/>
        </w:tabs>
        <w:spacing w:before="59"/>
        <w:jc w:val="both"/>
        <w:rPr>
          <w:b/>
          <w:sz w:val="20"/>
        </w:rPr>
      </w:pPr>
      <w:r>
        <w:rPr>
          <w:b/>
          <w:color w:val="231F20"/>
          <w:sz w:val="21"/>
        </w:rPr>
        <w:t>Види</w:t>
      </w:r>
      <w:r>
        <w:rPr>
          <w:b/>
          <w:color w:val="231F20"/>
          <w:spacing w:val="-3"/>
          <w:sz w:val="21"/>
        </w:rPr>
        <w:t xml:space="preserve"> </w:t>
      </w:r>
      <w:r>
        <w:rPr>
          <w:b/>
          <w:color w:val="231F20"/>
          <w:sz w:val="21"/>
        </w:rPr>
        <w:t>адміністративних</w:t>
      </w:r>
      <w:r>
        <w:rPr>
          <w:b/>
          <w:color w:val="231F20"/>
          <w:spacing w:val="-4"/>
          <w:sz w:val="21"/>
        </w:rPr>
        <w:t xml:space="preserve"> </w:t>
      </w:r>
      <w:r>
        <w:rPr>
          <w:b/>
          <w:color w:val="231F20"/>
          <w:sz w:val="21"/>
        </w:rPr>
        <w:t>стягнень</w:t>
      </w:r>
      <w:r>
        <w:rPr>
          <w:b/>
          <w:color w:val="231F20"/>
          <w:sz w:val="21"/>
          <w:u w:val="dotted" w:color="231F20"/>
        </w:rPr>
        <w:t xml:space="preserve"> </w:t>
      </w:r>
      <w:r>
        <w:rPr>
          <w:b/>
          <w:color w:val="231F20"/>
          <w:sz w:val="21"/>
          <w:u w:val="dotted" w:color="231F20"/>
        </w:rPr>
        <w:tab/>
      </w:r>
      <w:r>
        <w:rPr>
          <w:b/>
          <w:sz w:val="20"/>
        </w:rPr>
        <w:t>501</w:t>
      </w:r>
    </w:p>
    <w:p w14:paraId="72C2D1F9" w14:textId="77777777" w:rsidR="00DE575E" w:rsidRDefault="002E7560">
      <w:pPr>
        <w:pStyle w:val="ListParagraph"/>
        <w:numPr>
          <w:ilvl w:val="1"/>
          <w:numId w:val="321"/>
        </w:numPr>
        <w:tabs>
          <w:tab w:val="left" w:pos="931"/>
        </w:tabs>
        <w:spacing w:before="59" w:line="233" w:lineRule="exact"/>
        <w:jc w:val="both"/>
        <w:rPr>
          <w:b/>
          <w:sz w:val="21"/>
        </w:rPr>
      </w:pPr>
      <w:r>
        <w:rPr>
          <w:b/>
          <w:color w:val="231F20"/>
          <w:spacing w:val="-4"/>
          <w:sz w:val="21"/>
        </w:rPr>
        <w:t xml:space="preserve">Заходи </w:t>
      </w:r>
      <w:r>
        <w:rPr>
          <w:b/>
          <w:color w:val="231F20"/>
          <w:spacing w:val="-3"/>
          <w:sz w:val="21"/>
        </w:rPr>
        <w:t xml:space="preserve">впливу, </w:t>
      </w:r>
      <w:r>
        <w:rPr>
          <w:b/>
          <w:color w:val="231F20"/>
          <w:sz w:val="21"/>
        </w:rPr>
        <w:t>що застосовуються до</w:t>
      </w:r>
      <w:r>
        <w:rPr>
          <w:b/>
          <w:color w:val="231F20"/>
          <w:spacing w:val="-1"/>
          <w:sz w:val="21"/>
        </w:rPr>
        <w:t xml:space="preserve"> </w:t>
      </w:r>
      <w:r>
        <w:rPr>
          <w:b/>
          <w:color w:val="231F20"/>
          <w:sz w:val="21"/>
        </w:rPr>
        <w:t>неповнолітніх</w:t>
      </w:r>
    </w:p>
    <w:p w14:paraId="36FE3737" w14:textId="77777777" w:rsidR="00DE575E" w:rsidRDefault="002E7560">
      <w:pPr>
        <w:tabs>
          <w:tab w:val="left" w:pos="6760"/>
        </w:tabs>
        <w:spacing w:line="233" w:lineRule="exact"/>
        <w:ind w:left="930"/>
        <w:rPr>
          <w:b/>
          <w:sz w:val="20"/>
        </w:rPr>
      </w:pPr>
      <w:r>
        <w:rPr>
          <w:b/>
          <w:color w:val="231F20"/>
          <w:sz w:val="21"/>
        </w:rPr>
        <w:t>осіб за вчинення</w:t>
      </w:r>
      <w:r>
        <w:rPr>
          <w:b/>
          <w:color w:val="231F20"/>
          <w:spacing w:val="-15"/>
          <w:sz w:val="21"/>
        </w:rPr>
        <w:t xml:space="preserve"> </w:t>
      </w:r>
      <w:r>
        <w:rPr>
          <w:b/>
          <w:color w:val="231F20"/>
          <w:sz w:val="21"/>
        </w:rPr>
        <w:t>адміністративних</w:t>
      </w:r>
      <w:r>
        <w:rPr>
          <w:b/>
          <w:color w:val="231F20"/>
          <w:spacing w:val="-6"/>
          <w:sz w:val="21"/>
        </w:rPr>
        <w:t xml:space="preserve"> </w:t>
      </w:r>
      <w:r>
        <w:rPr>
          <w:b/>
          <w:color w:val="231F20"/>
          <w:sz w:val="21"/>
        </w:rPr>
        <w:t>п</w:t>
      </w:r>
      <w:r>
        <w:rPr>
          <w:b/>
          <w:color w:val="231F20"/>
          <w:sz w:val="21"/>
        </w:rPr>
        <w:t>равопорушень</w:t>
      </w:r>
      <w:r>
        <w:rPr>
          <w:b/>
          <w:color w:val="231F20"/>
          <w:sz w:val="21"/>
          <w:u w:val="dotted" w:color="231F20"/>
        </w:rPr>
        <w:t xml:space="preserve"> </w:t>
      </w:r>
      <w:r>
        <w:rPr>
          <w:b/>
          <w:color w:val="231F20"/>
          <w:sz w:val="21"/>
          <w:u w:val="dotted" w:color="231F20"/>
        </w:rPr>
        <w:tab/>
      </w:r>
      <w:r>
        <w:rPr>
          <w:b/>
          <w:sz w:val="20"/>
        </w:rPr>
        <w:t>508</w:t>
      </w:r>
    </w:p>
    <w:p w14:paraId="51991943" w14:textId="77777777" w:rsidR="00DE575E" w:rsidRDefault="002E7560">
      <w:pPr>
        <w:pStyle w:val="ListParagraph"/>
        <w:numPr>
          <w:ilvl w:val="1"/>
          <w:numId w:val="321"/>
        </w:numPr>
        <w:tabs>
          <w:tab w:val="left" w:pos="931"/>
        </w:tabs>
        <w:spacing w:before="59" w:line="233" w:lineRule="exact"/>
        <w:jc w:val="both"/>
        <w:rPr>
          <w:b/>
          <w:sz w:val="21"/>
        </w:rPr>
      </w:pPr>
      <w:r>
        <w:rPr>
          <w:b/>
          <w:color w:val="231F20"/>
          <w:sz w:val="21"/>
        </w:rPr>
        <w:t>Загальні правила</w:t>
      </w:r>
      <w:r>
        <w:rPr>
          <w:b/>
          <w:color w:val="231F20"/>
          <w:spacing w:val="-3"/>
          <w:sz w:val="21"/>
        </w:rPr>
        <w:t xml:space="preserve"> </w:t>
      </w:r>
      <w:r>
        <w:rPr>
          <w:b/>
          <w:color w:val="231F20"/>
          <w:sz w:val="21"/>
        </w:rPr>
        <w:t>накладення</w:t>
      </w:r>
    </w:p>
    <w:p w14:paraId="796B08D6" w14:textId="77777777" w:rsidR="00DE575E" w:rsidRDefault="002E7560">
      <w:pPr>
        <w:tabs>
          <w:tab w:val="left" w:pos="6760"/>
        </w:tabs>
        <w:spacing w:line="233" w:lineRule="exact"/>
        <w:ind w:left="930"/>
        <w:rPr>
          <w:b/>
          <w:sz w:val="20"/>
        </w:rPr>
      </w:pPr>
      <w:r>
        <w:rPr>
          <w:b/>
          <w:color w:val="231F20"/>
          <w:sz w:val="21"/>
        </w:rPr>
        <w:t>адміністративних</w:t>
      </w:r>
      <w:r>
        <w:rPr>
          <w:b/>
          <w:color w:val="231F20"/>
          <w:spacing w:val="-5"/>
          <w:sz w:val="21"/>
        </w:rPr>
        <w:t xml:space="preserve"> </w:t>
      </w:r>
      <w:r>
        <w:rPr>
          <w:b/>
          <w:color w:val="231F20"/>
          <w:sz w:val="21"/>
        </w:rPr>
        <w:t>стягнень</w:t>
      </w:r>
      <w:r>
        <w:rPr>
          <w:b/>
          <w:color w:val="231F20"/>
          <w:sz w:val="21"/>
          <w:u w:val="dotted" w:color="231F20"/>
        </w:rPr>
        <w:t xml:space="preserve"> </w:t>
      </w:r>
      <w:r>
        <w:rPr>
          <w:b/>
          <w:color w:val="231F20"/>
          <w:sz w:val="21"/>
          <w:u w:val="dotted" w:color="231F20"/>
        </w:rPr>
        <w:tab/>
      </w:r>
      <w:r>
        <w:rPr>
          <w:b/>
          <w:sz w:val="20"/>
        </w:rPr>
        <w:t>509</w:t>
      </w:r>
    </w:p>
    <w:p w14:paraId="1A3EF05B" w14:textId="77777777" w:rsidR="00DE575E" w:rsidRDefault="00DE575E">
      <w:pPr>
        <w:pStyle w:val="BodyText"/>
        <w:spacing w:before="6"/>
        <w:rPr>
          <w:b/>
          <w:sz w:val="20"/>
        </w:rPr>
      </w:pPr>
    </w:p>
    <w:p w14:paraId="7B979B36" w14:textId="77777777" w:rsidR="00DE575E" w:rsidRDefault="002E7560">
      <w:pPr>
        <w:ind w:left="533"/>
        <w:jc w:val="both"/>
        <w:rPr>
          <w:b/>
          <w:sz w:val="21"/>
        </w:rPr>
      </w:pPr>
      <w:r>
        <w:rPr>
          <w:b/>
          <w:color w:val="231F20"/>
          <w:sz w:val="21"/>
        </w:rPr>
        <w:t>Розділ 5</w:t>
      </w:r>
    </w:p>
    <w:p w14:paraId="022A63C0" w14:textId="77777777" w:rsidR="00DE575E" w:rsidRDefault="002E7560">
      <w:pPr>
        <w:spacing w:before="14"/>
        <w:ind w:left="533"/>
        <w:jc w:val="both"/>
        <w:rPr>
          <w:b/>
          <w:sz w:val="21"/>
        </w:rPr>
      </w:pPr>
      <w:r>
        <w:rPr>
          <w:b/>
          <w:color w:val="231F20"/>
          <w:sz w:val="21"/>
        </w:rPr>
        <w:t>ПРОВАДЖЕННЯ У СПРАВІ</w:t>
      </w:r>
    </w:p>
    <w:p w14:paraId="2F417D6A" w14:textId="77777777" w:rsidR="00DE575E" w:rsidRDefault="002E7560">
      <w:pPr>
        <w:tabs>
          <w:tab w:val="left" w:pos="6760"/>
        </w:tabs>
        <w:spacing w:before="13"/>
        <w:ind w:left="533"/>
        <w:jc w:val="both"/>
        <w:rPr>
          <w:b/>
          <w:sz w:val="20"/>
        </w:rPr>
      </w:pPr>
      <w:r>
        <w:rPr>
          <w:b/>
          <w:color w:val="231F20"/>
          <w:sz w:val="21"/>
        </w:rPr>
        <w:t>ПРО</w:t>
      </w:r>
      <w:r>
        <w:rPr>
          <w:b/>
          <w:color w:val="231F20"/>
          <w:spacing w:val="-7"/>
          <w:sz w:val="21"/>
        </w:rPr>
        <w:t xml:space="preserve"> </w:t>
      </w:r>
      <w:r>
        <w:rPr>
          <w:b/>
          <w:color w:val="231F20"/>
          <w:spacing w:val="-3"/>
          <w:sz w:val="21"/>
        </w:rPr>
        <w:t>АДМІНІСТРАТИВНІ</w:t>
      </w:r>
      <w:r>
        <w:rPr>
          <w:b/>
          <w:color w:val="231F20"/>
          <w:spacing w:val="-7"/>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513</w:t>
      </w:r>
    </w:p>
    <w:p w14:paraId="7E751BFB" w14:textId="77777777" w:rsidR="00DE575E" w:rsidRDefault="002E7560">
      <w:pPr>
        <w:pStyle w:val="ListParagraph"/>
        <w:numPr>
          <w:ilvl w:val="1"/>
          <w:numId w:val="320"/>
        </w:numPr>
        <w:tabs>
          <w:tab w:val="left" w:pos="931"/>
        </w:tabs>
        <w:spacing w:before="59" w:line="233" w:lineRule="exact"/>
        <w:jc w:val="both"/>
        <w:rPr>
          <w:b/>
          <w:sz w:val="21"/>
        </w:rPr>
      </w:pPr>
      <w:r>
        <w:rPr>
          <w:b/>
          <w:color w:val="231F20"/>
          <w:sz w:val="21"/>
        </w:rPr>
        <w:t>Поняття та особливості</w:t>
      </w:r>
      <w:r>
        <w:rPr>
          <w:b/>
          <w:color w:val="231F20"/>
          <w:spacing w:val="-4"/>
          <w:sz w:val="21"/>
        </w:rPr>
        <w:t xml:space="preserve"> </w:t>
      </w:r>
      <w:r>
        <w:rPr>
          <w:b/>
          <w:color w:val="231F20"/>
          <w:sz w:val="21"/>
        </w:rPr>
        <w:t>проваджень</w:t>
      </w:r>
    </w:p>
    <w:p w14:paraId="6DBF602C" w14:textId="77777777" w:rsidR="00DE575E" w:rsidRDefault="002E7560">
      <w:pPr>
        <w:tabs>
          <w:tab w:val="left" w:pos="6760"/>
        </w:tabs>
        <w:spacing w:line="233" w:lineRule="exact"/>
        <w:ind w:left="930"/>
        <w:rPr>
          <w:b/>
          <w:sz w:val="20"/>
        </w:rPr>
      </w:pPr>
      <w:r>
        <w:rPr>
          <w:b/>
          <w:color w:val="231F20"/>
          <w:sz w:val="21"/>
        </w:rPr>
        <w:t>у справах про</w:t>
      </w:r>
      <w:r>
        <w:rPr>
          <w:b/>
          <w:color w:val="231F20"/>
          <w:spacing w:val="-14"/>
          <w:sz w:val="21"/>
        </w:rPr>
        <w:t xml:space="preserve"> </w:t>
      </w:r>
      <w:r>
        <w:rPr>
          <w:b/>
          <w:color w:val="231F20"/>
          <w:sz w:val="21"/>
        </w:rPr>
        <w:t>адміністративні</w:t>
      </w:r>
      <w:r>
        <w:rPr>
          <w:b/>
          <w:color w:val="231F20"/>
          <w:spacing w:val="-5"/>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513</w:t>
      </w:r>
    </w:p>
    <w:p w14:paraId="61D958B7" w14:textId="77777777" w:rsidR="00DE575E" w:rsidRDefault="002E7560">
      <w:pPr>
        <w:pStyle w:val="ListParagraph"/>
        <w:numPr>
          <w:ilvl w:val="1"/>
          <w:numId w:val="320"/>
        </w:numPr>
        <w:tabs>
          <w:tab w:val="left" w:pos="931"/>
        </w:tabs>
        <w:spacing w:before="59" w:line="233" w:lineRule="exact"/>
        <w:jc w:val="both"/>
        <w:rPr>
          <w:b/>
          <w:sz w:val="21"/>
        </w:rPr>
      </w:pPr>
      <w:r>
        <w:rPr>
          <w:b/>
          <w:color w:val="231F20"/>
          <w:sz w:val="21"/>
        </w:rPr>
        <w:t>Докази у справах про</w:t>
      </w:r>
      <w:r>
        <w:rPr>
          <w:b/>
          <w:color w:val="231F20"/>
          <w:spacing w:val="-3"/>
          <w:sz w:val="21"/>
        </w:rPr>
        <w:t xml:space="preserve"> </w:t>
      </w:r>
      <w:r>
        <w:rPr>
          <w:b/>
          <w:color w:val="231F20"/>
          <w:sz w:val="21"/>
        </w:rPr>
        <w:t>адміністративні</w:t>
      </w:r>
    </w:p>
    <w:p w14:paraId="6A2D5180" w14:textId="77777777" w:rsidR="00DE575E" w:rsidRDefault="002E7560">
      <w:pPr>
        <w:tabs>
          <w:tab w:val="left" w:pos="6760"/>
        </w:tabs>
        <w:spacing w:line="233" w:lineRule="exact"/>
        <w:ind w:left="930"/>
        <w:rPr>
          <w:b/>
          <w:sz w:val="20"/>
        </w:rPr>
      </w:pP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514</w:t>
      </w:r>
    </w:p>
    <w:p w14:paraId="679C805A" w14:textId="77777777" w:rsidR="00DE575E" w:rsidRDefault="002E7560">
      <w:pPr>
        <w:pStyle w:val="ListParagraph"/>
        <w:numPr>
          <w:ilvl w:val="1"/>
          <w:numId w:val="320"/>
        </w:numPr>
        <w:tabs>
          <w:tab w:val="left" w:pos="931"/>
        </w:tabs>
        <w:spacing w:before="59" w:line="233" w:lineRule="exact"/>
        <w:jc w:val="both"/>
        <w:rPr>
          <w:b/>
          <w:sz w:val="21"/>
        </w:rPr>
      </w:pPr>
      <w:r>
        <w:rPr>
          <w:b/>
          <w:color w:val="231F20"/>
          <w:sz w:val="21"/>
        </w:rPr>
        <w:t>Права та обов’язки осіб, які беруть</w:t>
      </w:r>
      <w:r>
        <w:rPr>
          <w:b/>
          <w:color w:val="231F20"/>
          <w:spacing w:val="-7"/>
          <w:sz w:val="21"/>
        </w:rPr>
        <w:t xml:space="preserve"> </w:t>
      </w:r>
      <w:r>
        <w:rPr>
          <w:b/>
          <w:color w:val="231F20"/>
          <w:sz w:val="21"/>
        </w:rPr>
        <w:t>участь</w:t>
      </w:r>
    </w:p>
    <w:p w14:paraId="79F4E943" w14:textId="77777777" w:rsidR="00DE575E" w:rsidRDefault="002E7560">
      <w:pPr>
        <w:tabs>
          <w:tab w:val="left" w:pos="6760"/>
        </w:tabs>
        <w:spacing w:before="9" w:line="213" w:lineRule="auto"/>
        <w:ind w:left="930" w:right="128"/>
        <w:rPr>
          <w:b/>
          <w:sz w:val="20"/>
        </w:rPr>
      </w:pPr>
      <w:r>
        <w:rPr>
          <w:b/>
          <w:color w:val="231F20"/>
          <w:sz w:val="21"/>
        </w:rPr>
        <w:t>у провадженні у справах про адміністративні правопорушення</w:t>
      </w:r>
      <w:r>
        <w:rPr>
          <w:b/>
          <w:color w:val="231F20"/>
          <w:sz w:val="21"/>
          <w:u w:val="dotted" w:color="231F20"/>
        </w:rPr>
        <w:t xml:space="preserve"> </w:t>
      </w:r>
      <w:r>
        <w:rPr>
          <w:b/>
          <w:color w:val="231F20"/>
          <w:sz w:val="21"/>
          <w:u w:val="dotted" w:color="231F20"/>
        </w:rPr>
        <w:tab/>
      </w:r>
      <w:r>
        <w:rPr>
          <w:b/>
          <w:w w:val="80"/>
          <w:sz w:val="20"/>
        </w:rPr>
        <w:t>515</w:t>
      </w:r>
    </w:p>
    <w:p w14:paraId="43A5B71C" w14:textId="77777777" w:rsidR="00DE575E" w:rsidRDefault="002E7560">
      <w:pPr>
        <w:pStyle w:val="ListParagraph"/>
        <w:numPr>
          <w:ilvl w:val="1"/>
          <w:numId w:val="320"/>
        </w:numPr>
        <w:tabs>
          <w:tab w:val="left" w:pos="931"/>
        </w:tabs>
        <w:spacing w:before="65" w:line="233" w:lineRule="exact"/>
        <w:jc w:val="both"/>
        <w:rPr>
          <w:b/>
          <w:sz w:val="21"/>
        </w:rPr>
      </w:pPr>
      <w:r>
        <w:rPr>
          <w:b/>
          <w:color w:val="231F20"/>
          <w:sz w:val="21"/>
        </w:rPr>
        <w:t>Стадії провадження у</w:t>
      </w:r>
      <w:r>
        <w:rPr>
          <w:b/>
          <w:color w:val="231F20"/>
          <w:spacing w:val="-2"/>
          <w:sz w:val="21"/>
        </w:rPr>
        <w:t xml:space="preserve"> </w:t>
      </w:r>
      <w:r>
        <w:rPr>
          <w:b/>
          <w:color w:val="231F20"/>
          <w:sz w:val="21"/>
        </w:rPr>
        <w:t>справах</w:t>
      </w:r>
    </w:p>
    <w:p w14:paraId="476E8C1B" w14:textId="77777777" w:rsidR="00DE575E" w:rsidRDefault="002E7560">
      <w:pPr>
        <w:tabs>
          <w:tab w:val="left" w:pos="6760"/>
        </w:tabs>
        <w:spacing w:line="233" w:lineRule="exact"/>
        <w:ind w:left="930"/>
        <w:rPr>
          <w:b/>
          <w:sz w:val="20"/>
        </w:rPr>
      </w:pPr>
      <w:r>
        <w:rPr>
          <w:b/>
          <w:color w:val="231F20"/>
          <w:sz w:val="21"/>
        </w:rPr>
        <w:t>про</w:t>
      </w:r>
      <w:r>
        <w:rPr>
          <w:b/>
          <w:color w:val="231F20"/>
          <w:spacing w:val="-7"/>
          <w:sz w:val="21"/>
        </w:rPr>
        <w:t xml:space="preserve"> </w:t>
      </w:r>
      <w:r>
        <w:rPr>
          <w:b/>
          <w:color w:val="231F20"/>
          <w:sz w:val="21"/>
        </w:rPr>
        <w:t>адміністративні</w:t>
      </w:r>
      <w:r>
        <w:rPr>
          <w:b/>
          <w:color w:val="231F20"/>
          <w:spacing w:val="-7"/>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520</w:t>
      </w:r>
    </w:p>
    <w:p w14:paraId="7701C6F7" w14:textId="77777777" w:rsidR="00DE575E" w:rsidRDefault="002E7560">
      <w:pPr>
        <w:pStyle w:val="ListParagraph"/>
        <w:numPr>
          <w:ilvl w:val="1"/>
          <w:numId w:val="320"/>
        </w:numPr>
        <w:tabs>
          <w:tab w:val="left" w:pos="931"/>
        </w:tabs>
        <w:spacing w:before="59" w:line="233" w:lineRule="exact"/>
        <w:jc w:val="both"/>
        <w:rPr>
          <w:b/>
          <w:sz w:val="21"/>
        </w:rPr>
      </w:pPr>
      <w:r>
        <w:rPr>
          <w:b/>
          <w:color w:val="231F20"/>
          <w:spacing w:val="-4"/>
          <w:sz w:val="21"/>
        </w:rPr>
        <w:t xml:space="preserve">Заходи </w:t>
      </w:r>
      <w:r>
        <w:rPr>
          <w:b/>
          <w:color w:val="231F20"/>
          <w:sz w:val="21"/>
        </w:rPr>
        <w:t>забезпечення</w:t>
      </w:r>
      <w:r>
        <w:rPr>
          <w:b/>
          <w:color w:val="231F20"/>
          <w:spacing w:val="2"/>
          <w:sz w:val="21"/>
        </w:rPr>
        <w:t xml:space="preserve"> </w:t>
      </w:r>
      <w:r>
        <w:rPr>
          <w:b/>
          <w:color w:val="231F20"/>
          <w:sz w:val="21"/>
        </w:rPr>
        <w:t>провадження</w:t>
      </w:r>
    </w:p>
    <w:p w14:paraId="1A3AE5CC" w14:textId="77777777" w:rsidR="00DE575E" w:rsidRDefault="002E7560">
      <w:pPr>
        <w:tabs>
          <w:tab w:val="left" w:pos="6760"/>
        </w:tabs>
        <w:spacing w:line="233" w:lineRule="exact"/>
        <w:ind w:left="930"/>
        <w:rPr>
          <w:b/>
          <w:sz w:val="20"/>
        </w:rPr>
      </w:pPr>
      <w:r>
        <w:rPr>
          <w:b/>
          <w:color w:val="231F20"/>
          <w:sz w:val="21"/>
        </w:rPr>
        <w:t>у справах про</w:t>
      </w:r>
      <w:r>
        <w:rPr>
          <w:b/>
          <w:color w:val="231F20"/>
          <w:spacing w:val="-12"/>
          <w:sz w:val="21"/>
        </w:rPr>
        <w:t xml:space="preserve"> </w:t>
      </w:r>
      <w:r>
        <w:rPr>
          <w:b/>
          <w:color w:val="231F20"/>
          <w:sz w:val="21"/>
        </w:rPr>
        <w:t>адміністративні</w:t>
      </w:r>
      <w:r>
        <w:rPr>
          <w:b/>
          <w:color w:val="231F20"/>
          <w:spacing w:val="-5"/>
          <w:sz w:val="21"/>
        </w:rPr>
        <w:t xml:space="preserve"> </w:t>
      </w:r>
      <w:r>
        <w:rPr>
          <w:b/>
          <w:color w:val="231F20"/>
          <w:sz w:val="21"/>
        </w:rPr>
        <w:t>правопорушення</w:t>
      </w:r>
      <w:r>
        <w:rPr>
          <w:b/>
          <w:color w:val="231F20"/>
          <w:sz w:val="21"/>
          <w:u w:val="dotted" w:color="231F20"/>
        </w:rPr>
        <w:t xml:space="preserve"> </w:t>
      </w:r>
      <w:r>
        <w:rPr>
          <w:b/>
          <w:color w:val="231F20"/>
          <w:sz w:val="21"/>
          <w:u w:val="dotted" w:color="231F20"/>
        </w:rPr>
        <w:tab/>
      </w:r>
      <w:r>
        <w:rPr>
          <w:b/>
          <w:sz w:val="20"/>
        </w:rPr>
        <w:t>525</w:t>
      </w:r>
    </w:p>
    <w:p w14:paraId="608E8485" w14:textId="77777777" w:rsidR="00DE575E" w:rsidRDefault="00DE575E">
      <w:pPr>
        <w:pStyle w:val="BodyText"/>
        <w:spacing w:before="5"/>
        <w:rPr>
          <w:b/>
          <w:sz w:val="20"/>
        </w:rPr>
      </w:pPr>
    </w:p>
    <w:p w14:paraId="567ED21C" w14:textId="77777777" w:rsidR="00DE575E" w:rsidRDefault="002E7560">
      <w:pPr>
        <w:tabs>
          <w:tab w:val="left" w:pos="2218"/>
          <w:tab w:val="left" w:pos="6760"/>
        </w:tabs>
        <w:spacing w:before="1" w:line="475" w:lineRule="auto"/>
        <w:ind w:left="533" w:right="128"/>
        <w:jc w:val="both"/>
        <w:rPr>
          <w:b/>
          <w:sz w:val="20"/>
        </w:rPr>
      </w:pPr>
      <w:r>
        <w:rPr>
          <w:b/>
          <w:color w:val="231F20"/>
          <w:sz w:val="21"/>
        </w:rPr>
        <w:t>СЛОВНИК</w:t>
      </w:r>
      <w:r>
        <w:rPr>
          <w:b/>
          <w:color w:val="231F20"/>
          <w:spacing w:val="-4"/>
          <w:sz w:val="21"/>
        </w:rPr>
        <w:t xml:space="preserve"> </w:t>
      </w:r>
      <w:r>
        <w:rPr>
          <w:b/>
          <w:color w:val="231F20"/>
          <w:sz w:val="21"/>
        </w:rPr>
        <w:t>ОСНОВНИХ</w:t>
      </w:r>
      <w:r>
        <w:rPr>
          <w:b/>
          <w:color w:val="231F20"/>
          <w:spacing w:val="-4"/>
          <w:sz w:val="21"/>
        </w:rPr>
        <w:t xml:space="preserve"> </w:t>
      </w:r>
      <w:r>
        <w:rPr>
          <w:b/>
          <w:color w:val="231F20"/>
          <w:sz w:val="21"/>
        </w:rPr>
        <w:t>ТЕРМІНІВ</w:t>
      </w:r>
      <w:r>
        <w:rPr>
          <w:b/>
          <w:color w:val="231F20"/>
          <w:sz w:val="21"/>
          <w:u w:val="dotted" w:color="231F20"/>
        </w:rPr>
        <w:t xml:space="preserve"> </w:t>
      </w:r>
      <w:r>
        <w:rPr>
          <w:b/>
          <w:color w:val="231F20"/>
          <w:sz w:val="21"/>
          <w:u w:val="dotted" w:color="231F20"/>
        </w:rPr>
        <w:tab/>
      </w:r>
      <w:r>
        <w:rPr>
          <w:b/>
          <w:w w:val="80"/>
          <w:sz w:val="20"/>
        </w:rPr>
        <w:t xml:space="preserve">528 </w:t>
      </w:r>
      <w:r>
        <w:rPr>
          <w:b/>
          <w:color w:val="231F20"/>
          <w:sz w:val="21"/>
        </w:rPr>
        <w:t>ВІДОМОСТІ</w:t>
      </w:r>
      <w:r>
        <w:rPr>
          <w:b/>
          <w:color w:val="231F20"/>
          <w:spacing w:val="-5"/>
          <w:sz w:val="21"/>
        </w:rPr>
        <w:t xml:space="preserve"> </w:t>
      </w:r>
      <w:r>
        <w:rPr>
          <w:b/>
          <w:color w:val="231F20"/>
          <w:sz w:val="21"/>
        </w:rPr>
        <w:t>ПРО</w:t>
      </w:r>
      <w:r>
        <w:rPr>
          <w:b/>
          <w:color w:val="231F20"/>
          <w:spacing w:val="-5"/>
          <w:sz w:val="21"/>
        </w:rPr>
        <w:t xml:space="preserve"> </w:t>
      </w:r>
      <w:r>
        <w:rPr>
          <w:b/>
          <w:color w:val="231F20"/>
          <w:sz w:val="21"/>
        </w:rPr>
        <w:t>АВТОРІВ</w:t>
      </w:r>
      <w:r>
        <w:rPr>
          <w:b/>
          <w:color w:val="231F20"/>
          <w:sz w:val="21"/>
          <w:u w:val="dotted" w:color="231F20"/>
        </w:rPr>
        <w:t xml:space="preserve"> </w:t>
      </w:r>
      <w:r>
        <w:rPr>
          <w:b/>
          <w:color w:val="231F20"/>
          <w:sz w:val="21"/>
          <w:u w:val="dotted" w:color="231F20"/>
        </w:rPr>
        <w:tab/>
      </w:r>
      <w:r>
        <w:rPr>
          <w:b/>
          <w:w w:val="80"/>
          <w:sz w:val="20"/>
        </w:rPr>
        <w:t xml:space="preserve">561 </w:t>
      </w:r>
      <w:r>
        <w:rPr>
          <w:b/>
          <w:color w:val="231F20"/>
          <w:spacing w:val="-6"/>
          <w:sz w:val="21"/>
        </w:rPr>
        <w:t>ДОДАТОК</w:t>
      </w:r>
      <w:r>
        <w:rPr>
          <w:b/>
          <w:color w:val="231F20"/>
          <w:spacing w:val="-6"/>
          <w:sz w:val="21"/>
        </w:rPr>
        <w:tab/>
      </w:r>
      <w:r>
        <w:rPr>
          <w:b/>
          <w:color w:val="231F20"/>
          <w:spacing w:val="-6"/>
          <w:sz w:val="21"/>
          <w:u w:val="dotted" w:color="231F20"/>
        </w:rPr>
        <w:t xml:space="preserve"> </w:t>
      </w:r>
      <w:r>
        <w:rPr>
          <w:b/>
          <w:color w:val="231F20"/>
          <w:spacing w:val="-6"/>
          <w:sz w:val="21"/>
          <w:u w:val="dotted" w:color="231F20"/>
        </w:rPr>
        <w:tab/>
      </w:r>
      <w:r>
        <w:rPr>
          <w:b/>
          <w:w w:val="80"/>
          <w:sz w:val="20"/>
        </w:rPr>
        <w:t>573</w:t>
      </w:r>
    </w:p>
    <w:p w14:paraId="5A4F564F" w14:textId="77777777" w:rsidR="00DE575E" w:rsidRDefault="00DE575E">
      <w:pPr>
        <w:pStyle w:val="BodyText"/>
        <w:rPr>
          <w:b/>
          <w:sz w:val="20"/>
        </w:rPr>
      </w:pPr>
    </w:p>
    <w:p w14:paraId="30AF023F" w14:textId="77777777" w:rsidR="00DE575E" w:rsidRDefault="00DE575E">
      <w:pPr>
        <w:pStyle w:val="BodyText"/>
        <w:rPr>
          <w:b/>
          <w:sz w:val="20"/>
        </w:rPr>
      </w:pPr>
    </w:p>
    <w:p w14:paraId="44F5F3CB" w14:textId="77777777" w:rsidR="00DE575E" w:rsidRDefault="00DE575E">
      <w:pPr>
        <w:pStyle w:val="BodyText"/>
        <w:rPr>
          <w:b/>
          <w:sz w:val="20"/>
        </w:rPr>
      </w:pPr>
    </w:p>
    <w:p w14:paraId="2A968279" w14:textId="77777777" w:rsidR="00DE575E" w:rsidRDefault="00DE575E">
      <w:pPr>
        <w:pStyle w:val="BodyText"/>
        <w:rPr>
          <w:b/>
          <w:sz w:val="20"/>
        </w:rPr>
      </w:pPr>
    </w:p>
    <w:p w14:paraId="6B18199F" w14:textId="77777777" w:rsidR="00DE575E" w:rsidRDefault="00DE575E">
      <w:pPr>
        <w:pStyle w:val="BodyText"/>
        <w:rPr>
          <w:b/>
          <w:sz w:val="20"/>
        </w:rPr>
      </w:pPr>
    </w:p>
    <w:p w14:paraId="169BD569" w14:textId="77777777" w:rsidR="00DE575E" w:rsidRDefault="00DE575E">
      <w:pPr>
        <w:pStyle w:val="BodyText"/>
        <w:spacing w:before="1"/>
        <w:rPr>
          <w:b/>
          <w:sz w:val="18"/>
        </w:rPr>
      </w:pPr>
    </w:p>
    <w:p w14:paraId="7356DF4E" w14:textId="77777777" w:rsidR="00DE575E" w:rsidRDefault="002E7560">
      <w:pPr>
        <w:ind w:left="533"/>
        <w:rPr>
          <w:rFonts w:ascii="Times New Roman"/>
          <w:sz w:val="20"/>
        </w:rPr>
      </w:pPr>
      <w:r>
        <w:rPr>
          <w:rFonts w:ascii="Times New Roman"/>
          <w:color w:val="231F20"/>
          <w:sz w:val="20"/>
        </w:rPr>
        <w:t>16</w:t>
      </w:r>
    </w:p>
    <w:p w14:paraId="66C19C15" w14:textId="77777777" w:rsidR="00DE575E" w:rsidRDefault="00DE575E">
      <w:pPr>
        <w:rPr>
          <w:rFonts w:ascii="Times New Roman"/>
          <w:sz w:val="20"/>
        </w:rPr>
        <w:sectPr w:rsidR="00DE575E">
          <w:pgSz w:w="8510" w:h="12760"/>
          <w:pgMar w:top="660" w:right="720" w:bottom="280" w:left="600" w:header="720" w:footer="720" w:gutter="0"/>
          <w:cols w:space="720"/>
        </w:sectPr>
      </w:pPr>
    </w:p>
    <w:p w14:paraId="2C8DCF6F" w14:textId="77777777" w:rsidR="00DE575E" w:rsidRDefault="002E7560">
      <w:pPr>
        <w:pStyle w:val="Heading1"/>
        <w:spacing w:before="167"/>
        <w:ind w:left="250"/>
      </w:pPr>
      <w:r>
        <w:rPr>
          <w:color w:val="231F20"/>
          <w:spacing w:val="-10"/>
        </w:rPr>
        <w:lastRenderedPageBreak/>
        <w:t xml:space="preserve">Глава </w:t>
      </w:r>
      <w:r>
        <w:rPr>
          <w:color w:val="231F20"/>
        </w:rPr>
        <w:t>І</w:t>
      </w:r>
    </w:p>
    <w:p w14:paraId="575BAE30" w14:textId="77777777" w:rsidR="00DE575E" w:rsidRDefault="002E7560">
      <w:pPr>
        <w:pStyle w:val="BodyText"/>
        <w:spacing w:before="1"/>
        <w:rPr>
          <w:rFonts w:ascii="YanusC"/>
          <w:sz w:val="45"/>
        </w:rPr>
      </w:pPr>
      <w:r>
        <w:br w:type="column"/>
      </w:r>
    </w:p>
    <w:p w14:paraId="7336519C" w14:textId="5E707377" w:rsidR="00DE575E" w:rsidRDefault="002E7560">
      <w:pPr>
        <w:spacing w:line="223" w:lineRule="auto"/>
        <w:ind w:left="157" w:right="1409"/>
        <w:rPr>
          <w:rFonts w:ascii="YanusC" w:hAnsi="YanusC"/>
          <w:sz w:val="32"/>
        </w:rPr>
      </w:pPr>
      <w:r>
        <w:rPr>
          <w:noProof/>
        </w:rPr>
        <mc:AlternateContent>
          <mc:Choice Requires="wps">
            <w:drawing>
              <wp:anchor distT="0" distB="0" distL="114300" distR="114300" simplePos="0" relativeHeight="1360" behindDoc="0" locked="0" layoutInCell="1" allowOverlap="1" wp14:anchorId="2C925B17" wp14:editId="2F90BB5C">
                <wp:simplePos x="0" y="0"/>
                <wp:positionH relativeFrom="page">
                  <wp:posOffset>1213485</wp:posOffset>
                </wp:positionH>
                <wp:positionV relativeFrom="paragraph">
                  <wp:posOffset>-182245</wp:posOffset>
                </wp:positionV>
                <wp:extent cx="0" cy="600710"/>
                <wp:effectExtent l="6985" t="8255" r="31115" b="26035"/>
                <wp:wrapNone/>
                <wp:docPr id="1384"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71F4F" id="Line_x0020_1383"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55pt,-14.3pt" to="95.5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" strokecolor="#231f20" strokeweight=".5pt">
                <w10:wrap anchorx="page"/>
              </v:line>
            </w:pict>
          </mc:Fallback>
        </mc:AlternateContent>
      </w:r>
      <w:r>
        <w:rPr>
          <w:rFonts w:ascii="YanusC" w:hAnsi="YanusC"/>
          <w:color w:val="231F20"/>
          <w:spacing w:val="-5"/>
          <w:sz w:val="32"/>
        </w:rPr>
        <w:t xml:space="preserve">ЗАГАЛЬНЕ </w:t>
      </w:r>
      <w:r>
        <w:rPr>
          <w:rFonts w:ascii="YanusC" w:hAnsi="YanusC"/>
          <w:color w:val="231F20"/>
          <w:spacing w:val="-4"/>
          <w:sz w:val="32"/>
        </w:rPr>
        <w:t xml:space="preserve">АДМІНІСТРАТИВНЕ </w:t>
      </w:r>
      <w:r>
        <w:rPr>
          <w:rFonts w:ascii="YanusC" w:hAnsi="YanusC"/>
          <w:color w:val="231F20"/>
          <w:spacing w:val="-6"/>
          <w:sz w:val="32"/>
        </w:rPr>
        <w:t xml:space="preserve">ПРАВО </w:t>
      </w:r>
      <w:r>
        <w:rPr>
          <w:rFonts w:ascii="YanusC" w:hAnsi="YanusC"/>
          <w:color w:val="231F20"/>
          <w:spacing w:val="-4"/>
          <w:sz w:val="32"/>
        </w:rPr>
        <w:t>УКРАЇНИ</w:t>
      </w:r>
    </w:p>
    <w:p w14:paraId="05E5B647" w14:textId="77777777" w:rsidR="00DE575E" w:rsidRDefault="00DE575E">
      <w:pPr>
        <w:spacing w:line="223" w:lineRule="auto"/>
        <w:rPr>
          <w:rFonts w:ascii="YanusC" w:hAnsi="YanusC"/>
          <w:sz w:val="32"/>
        </w:rPr>
        <w:sectPr w:rsidR="00DE575E">
          <w:pgSz w:w="8510" w:h="12760"/>
          <w:pgMar w:top="1180" w:right="720" w:bottom="280" w:left="600" w:header="720" w:footer="720" w:gutter="0"/>
          <w:cols w:num="2" w:space="720" w:equalWidth="0">
            <w:col w:w="1187" w:space="40"/>
            <w:col w:w="5963"/>
          </w:cols>
        </w:sectPr>
      </w:pPr>
    </w:p>
    <w:p w14:paraId="588E64C9" w14:textId="77777777" w:rsidR="00DE575E" w:rsidRDefault="00DE575E">
      <w:pPr>
        <w:pStyle w:val="BodyText"/>
        <w:rPr>
          <w:rFonts w:ascii="YanusC"/>
          <w:sz w:val="20"/>
        </w:rPr>
      </w:pPr>
    </w:p>
    <w:p w14:paraId="69BD4630" w14:textId="77777777" w:rsidR="00DE575E" w:rsidRDefault="00DE575E">
      <w:pPr>
        <w:pStyle w:val="BodyText"/>
        <w:rPr>
          <w:rFonts w:ascii="YanusC"/>
          <w:sz w:val="20"/>
        </w:rPr>
      </w:pPr>
    </w:p>
    <w:p w14:paraId="1D3A911B" w14:textId="77777777" w:rsidR="00DE575E" w:rsidRDefault="002E7560">
      <w:pPr>
        <w:pStyle w:val="Heading2"/>
        <w:spacing w:before="270" w:line="218" w:lineRule="auto"/>
        <w:ind w:left="981" w:right="521" w:firstLine="1913"/>
      </w:pPr>
      <w:r>
        <w:rPr>
          <w:color w:val="231F20"/>
        </w:rPr>
        <w:t xml:space="preserve">РОЗДІЛ 1 </w:t>
      </w:r>
      <w:r>
        <w:rPr>
          <w:color w:val="231F20"/>
          <w:spacing w:val="-4"/>
        </w:rPr>
        <w:t xml:space="preserve">АДМІНІСТРАТИВНЕ </w:t>
      </w:r>
      <w:r>
        <w:rPr>
          <w:color w:val="231F20"/>
          <w:spacing w:val="-6"/>
        </w:rPr>
        <w:t xml:space="preserve">ПРАВО </w:t>
      </w:r>
      <w:r>
        <w:rPr>
          <w:color w:val="231F20"/>
        </w:rPr>
        <w:t xml:space="preserve">ЯК </w:t>
      </w:r>
      <w:r>
        <w:rPr>
          <w:color w:val="231F20"/>
          <w:spacing w:val="-6"/>
        </w:rPr>
        <w:t>ГАЛУЗЬ</w:t>
      </w:r>
    </w:p>
    <w:p w14:paraId="6ADD8156" w14:textId="77777777" w:rsidR="00DE575E" w:rsidRDefault="002E7560">
      <w:pPr>
        <w:spacing w:line="307" w:lineRule="exact"/>
        <w:ind w:left="2098"/>
        <w:rPr>
          <w:b/>
          <w:sz w:val="16"/>
        </w:rPr>
      </w:pPr>
      <w:r>
        <w:rPr>
          <w:b/>
          <w:color w:val="231F20"/>
          <w:sz w:val="28"/>
        </w:rPr>
        <w:t>ПУБЛІЧНОГО ПРАВА</w:t>
      </w:r>
      <w:r>
        <w:rPr>
          <w:b/>
          <w:color w:val="231F20"/>
          <w:position w:val="9"/>
          <w:sz w:val="16"/>
        </w:rPr>
        <w:t>1</w:t>
      </w:r>
    </w:p>
    <w:p w14:paraId="4EB7B9DA" w14:textId="77777777" w:rsidR="00DE575E" w:rsidRDefault="00DE575E">
      <w:pPr>
        <w:pStyle w:val="BodyText"/>
        <w:spacing w:before="1"/>
        <w:rPr>
          <w:b/>
          <w:sz w:val="43"/>
        </w:rPr>
      </w:pPr>
    </w:p>
    <w:p w14:paraId="7961B28A" w14:textId="77777777" w:rsidR="00DE575E" w:rsidRDefault="002E7560">
      <w:pPr>
        <w:pStyle w:val="Heading4"/>
        <w:numPr>
          <w:ilvl w:val="1"/>
          <w:numId w:val="319"/>
        </w:numPr>
        <w:tabs>
          <w:tab w:val="left" w:pos="1015"/>
        </w:tabs>
        <w:jc w:val="left"/>
      </w:pPr>
      <w:r>
        <w:rPr>
          <w:color w:val="231F20"/>
        </w:rPr>
        <w:t>Основоположні категорії адміністративного</w:t>
      </w:r>
      <w:r>
        <w:rPr>
          <w:color w:val="231F20"/>
          <w:spacing w:val="-10"/>
        </w:rPr>
        <w:t xml:space="preserve"> </w:t>
      </w:r>
      <w:r>
        <w:rPr>
          <w:color w:val="231F20"/>
        </w:rPr>
        <w:t>права</w:t>
      </w:r>
    </w:p>
    <w:p w14:paraId="340B49E0" w14:textId="77777777" w:rsidR="00DE575E" w:rsidRDefault="00DE575E">
      <w:pPr>
        <w:pStyle w:val="BodyText"/>
        <w:rPr>
          <w:b/>
          <w:sz w:val="26"/>
        </w:rPr>
      </w:pPr>
    </w:p>
    <w:p w14:paraId="301DE606" w14:textId="77777777" w:rsidR="00DE575E" w:rsidRDefault="002E7560">
      <w:pPr>
        <w:pStyle w:val="Heading5"/>
        <w:numPr>
          <w:ilvl w:val="2"/>
          <w:numId w:val="319"/>
        </w:numPr>
        <w:tabs>
          <w:tab w:val="left" w:pos="1099"/>
        </w:tabs>
        <w:spacing w:before="223" w:line="252" w:lineRule="auto"/>
        <w:ind w:right="1337" w:firstLine="0"/>
      </w:pPr>
      <w:r>
        <w:rPr>
          <w:color w:val="231F20"/>
        </w:rPr>
        <w:t>Публічне адміністрування як форма реалізації публічної</w:t>
      </w:r>
      <w:r>
        <w:rPr>
          <w:color w:val="231F20"/>
          <w:spacing w:val="-2"/>
        </w:rPr>
        <w:t xml:space="preserve"> </w:t>
      </w:r>
      <w:r>
        <w:rPr>
          <w:color w:val="231F20"/>
        </w:rPr>
        <w:t>влади</w:t>
      </w:r>
    </w:p>
    <w:p w14:paraId="060E513F" w14:textId="77777777" w:rsidR="00DE575E" w:rsidRDefault="00DE575E">
      <w:pPr>
        <w:pStyle w:val="BodyText"/>
        <w:spacing w:before="3"/>
        <w:rPr>
          <w:b/>
        </w:rPr>
      </w:pPr>
    </w:p>
    <w:p w14:paraId="6E4F81ED" w14:textId="77777777" w:rsidR="00DE575E" w:rsidRDefault="002E7560">
      <w:pPr>
        <w:pStyle w:val="BodyText"/>
        <w:spacing w:line="244" w:lineRule="auto"/>
        <w:ind w:left="250" w:right="411" w:firstLine="283"/>
        <w:jc w:val="both"/>
      </w:pPr>
      <w:r>
        <w:rPr>
          <w:color w:val="231F20"/>
          <w:spacing w:val="-3"/>
        </w:rPr>
        <w:t>П’ять</w:t>
      </w:r>
      <w:r>
        <w:rPr>
          <w:color w:val="231F20"/>
          <w:spacing w:val="-14"/>
        </w:rPr>
        <w:t xml:space="preserve"> </w:t>
      </w:r>
      <w:r>
        <w:rPr>
          <w:color w:val="231F20"/>
        </w:rPr>
        <w:t>із</w:t>
      </w:r>
      <w:r>
        <w:rPr>
          <w:color w:val="231F20"/>
          <w:spacing w:val="-14"/>
        </w:rPr>
        <w:t xml:space="preserve"> </w:t>
      </w:r>
      <w:r>
        <w:rPr>
          <w:color w:val="231F20"/>
          <w:spacing w:val="-3"/>
        </w:rPr>
        <w:t>половиною</w:t>
      </w:r>
      <w:r>
        <w:rPr>
          <w:color w:val="231F20"/>
          <w:spacing w:val="-14"/>
        </w:rPr>
        <w:t xml:space="preserve"> </w:t>
      </w:r>
      <w:r>
        <w:rPr>
          <w:color w:val="231F20"/>
          <w:spacing w:val="-3"/>
        </w:rPr>
        <w:t>тисячоліть</w:t>
      </w:r>
      <w:r>
        <w:rPr>
          <w:color w:val="231F20"/>
          <w:spacing w:val="-14"/>
        </w:rPr>
        <w:t xml:space="preserve"> </w:t>
      </w:r>
      <w:r>
        <w:rPr>
          <w:color w:val="231F20"/>
        </w:rPr>
        <w:t>тому</w:t>
      </w:r>
      <w:r>
        <w:rPr>
          <w:color w:val="231F20"/>
          <w:spacing w:val="-14"/>
        </w:rPr>
        <w:t xml:space="preserve"> </w:t>
      </w:r>
      <w:r>
        <w:rPr>
          <w:color w:val="231F20"/>
          <w:spacing w:val="-4"/>
        </w:rPr>
        <w:t>людство</w:t>
      </w:r>
      <w:r>
        <w:rPr>
          <w:color w:val="231F20"/>
          <w:spacing w:val="-14"/>
        </w:rPr>
        <w:t xml:space="preserve"> </w:t>
      </w:r>
      <w:r>
        <w:rPr>
          <w:color w:val="231F20"/>
          <w:spacing w:val="-3"/>
        </w:rPr>
        <w:t>вступило</w:t>
      </w:r>
      <w:r>
        <w:rPr>
          <w:color w:val="231F20"/>
          <w:spacing w:val="-14"/>
        </w:rPr>
        <w:t xml:space="preserve"> </w:t>
      </w:r>
      <w:r>
        <w:rPr>
          <w:color w:val="231F20"/>
        </w:rPr>
        <w:t>в</w:t>
      </w:r>
      <w:r>
        <w:rPr>
          <w:color w:val="231F20"/>
          <w:spacing w:val="-13"/>
        </w:rPr>
        <w:t xml:space="preserve"> </w:t>
      </w:r>
      <w:r>
        <w:rPr>
          <w:color w:val="231F20"/>
          <w:spacing w:val="-4"/>
        </w:rPr>
        <w:t xml:space="preserve">державно- </w:t>
      </w:r>
      <w:r>
        <w:rPr>
          <w:color w:val="231F20"/>
          <w:spacing w:val="-3"/>
        </w:rPr>
        <w:t>правову</w:t>
      </w:r>
      <w:r>
        <w:rPr>
          <w:color w:val="231F20"/>
          <w:spacing w:val="-24"/>
        </w:rPr>
        <w:t xml:space="preserve"> </w:t>
      </w:r>
      <w:r>
        <w:rPr>
          <w:color w:val="231F20"/>
          <w:spacing w:val="-3"/>
        </w:rPr>
        <w:t>дійсність.</w:t>
      </w:r>
      <w:r>
        <w:rPr>
          <w:color w:val="231F20"/>
          <w:spacing w:val="-24"/>
        </w:rPr>
        <w:t xml:space="preserve"> </w:t>
      </w:r>
      <w:r>
        <w:rPr>
          <w:color w:val="231F20"/>
        </w:rPr>
        <w:t>На</w:t>
      </w:r>
      <w:r>
        <w:rPr>
          <w:color w:val="231F20"/>
          <w:spacing w:val="-24"/>
        </w:rPr>
        <w:t xml:space="preserve"> </w:t>
      </w:r>
      <w:r>
        <w:rPr>
          <w:color w:val="231F20"/>
          <w:spacing w:val="-3"/>
        </w:rPr>
        <w:t>сьогодні</w:t>
      </w:r>
      <w:r>
        <w:rPr>
          <w:color w:val="231F20"/>
          <w:spacing w:val="-24"/>
        </w:rPr>
        <w:t xml:space="preserve"> </w:t>
      </w:r>
      <w:r>
        <w:rPr>
          <w:color w:val="231F20"/>
          <w:spacing w:val="-3"/>
        </w:rPr>
        <w:t>майже</w:t>
      </w:r>
      <w:r>
        <w:rPr>
          <w:color w:val="231F20"/>
          <w:spacing w:val="-24"/>
        </w:rPr>
        <w:t xml:space="preserve"> </w:t>
      </w:r>
      <w:r>
        <w:rPr>
          <w:color w:val="231F20"/>
        </w:rPr>
        <w:t>не</w:t>
      </w:r>
      <w:r>
        <w:rPr>
          <w:color w:val="231F20"/>
          <w:spacing w:val="-24"/>
        </w:rPr>
        <w:t xml:space="preserve"> </w:t>
      </w:r>
      <w:r>
        <w:rPr>
          <w:color w:val="231F20"/>
          <w:spacing w:val="-3"/>
        </w:rPr>
        <w:t>залишилося</w:t>
      </w:r>
      <w:r>
        <w:rPr>
          <w:color w:val="231F20"/>
          <w:spacing w:val="-24"/>
        </w:rPr>
        <w:t xml:space="preserve"> </w:t>
      </w:r>
      <w:r>
        <w:rPr>
          <w:color w:val="231F20"/>
          <w:spacing w:val="-4"/>
        </w:rPr>
        <w:t>людей,</w:t>
      </w:r>
      <w:r>
        <w:rPr>
          <w:color w:val="231F20"/>
          <w:spacing w:val="-24"/>
        </w:rPr>
        <w:t xml:space="preserve"> </w:t>
      </w:r>
      <w:r>
        <w:rPr>
          <w:color w:val="231F20"/>
        </w:rPr>
        <w:t>які</w:t>
      </w:r>
      <w:r>
        <w:rPr>
          <w:color w:val="231F20"/>
          <w:spacing w:val="-24"/>
        </w:rPr>
        <w:t xml:space="preserve"> </w:t>
      </w:r>
      <w:r>
        <w:rPr>
          <w:color w:val="231F20"/>
          <w:spacing w:val="-3"/>
        </w:rPr>
        <w:t xml:space="preserve">живуть поза межами </w:t>
      </w:r>
      <w:r>
        <w:rPr>
          <w:color w:val="231F20"/>
        </w:rPr>
        <w:t xml:space="preserve">цих </w:t>
      </w:r>
      <w:r>
        <w:rPr>
          <w:color w:val="231F20"/>
          <w:spacing w:val="-3"/>
        </w:rPr>
        <w:t xml:space="preserve">феноменів. Тим самим держава </w:t>
      </w:r>
      <w:r>
        <w:rPr>
          <w:color w:val="231F20"/>
        </w:rPr>
        <w:t xml:space="preserve">і </w:t>
      </w:r>
      <w:r>
        <w:rPr>
          <w:color w:val="231F20"/>
          <w:spacing w:val="-3"/>
        </w:rPr>
        <w:t xml:space="preserve">право характеризу- ються прогресивністю, </w:t>
      </w:r>
      <w:r>
        <w:rPr>
          <w:color w:val="231F20"/>
        </w:rPr>
        <w:t xml:space="preserve">в </w:t>
      </w:r>
      <w:r>
        <w:rPr>
          <w:color w:val="231F20"/>
          <w:spacing w:val="-3"/>
        </w:rPr>
        <w:t xml:space="preserve">іншому </w:t>
      </w:r>
      <w:r>
        <w:rPr>
          <w:color w:val="231F20"/>
        </w:rPr>
        <w:t xml:space="preserve">разі </w:t>
      </w:r>
      <w:r>
        <w:rPr>
          <w:color w:val="231F20"/>
          <w:spacing w:val="-3"/>
        </w:rPr>
        <w:t xml:space="preserve">вони </w:t>
      </w:r>
      <w:r>
        <w:rPr>
          <w:color w:val="231F20"/>
        </w:rPr>
        <w:t xml:space="preserve">б не </w:t>
      </w:r>
      <w:r>
        <w:rPr>
          <w:color w:val="231F20"/>
          <w:spacing w:val="-3"/>
        </w:rPr>
        <w:t xml:space="preserve">утвердилися </w:t>
      </w:r>
      <w:r>
        <w:rPr>
          <w:color w:val="231F20"/>
        </w:rPr>
        <w:t xml:space="preserve">на </w:t>
      </w:r>
      <w:r>
        <w:rPr>
          <w:color w:val="231F20"/>
          <w:spacing w:val="-3"/>
        </w:rPr>
        <w:t xml:space="preserve">всій території Землі </w:t>
      </w:r>
      <w:r>
        <w:rPr>
          <w:color w:val="231F20"/>
        </w:rPr>
        <w:t xml:space="preserve">та не </w:t>
      </w:r>
      <w:r>
        <w:rPr>
          <w:color w:val="231F20"/>
          <w:spacing w:val="-3"/>
        </w:rPr>
        <w:t xml:space="preserve">охопили </w:t>
      </w:r>
      <w:r>
        <w:rPr>
          <w:color w:val="231F20"/>
        </w:rPr>
        <w:t xml:space="preserve">би </w:t>
      </w:r>
      <w:r>
        <w:rPr>
          <w:color w:val="231F20"/>
          <w:spacing w:val="-3"/>
        </w:rPr>
        <w:t xml:space="preserve">своїм впливом </w:t>
      </w:r>
      <w:r>
        <w:rPr>
          <w:color w:val="231F20"/>
          <w:spacing w:val="-4"/>
        </w:rPr>
        <w:t>усіх</w:t>
      </w:r>
      <w:r>
        <w:rPr>
          <w:color w:val="231F20"/>
          <w:spacing w:val="-27"/>
        </w:rPr>
        <w:t xml:space="preserve"> </w:t>
      </w:r>
      <w:r>
        <w:rPr>
          <w:color w:val="231F20"/>
          <w:spacing w:val="-4"/>
        </w:rPr>
        <w:t>людей.</w:t>
      </w:r>
    </w:p>
    <w:p w14:paraId="7B384918" w14:textId="77777777" w:rsidR="00DE575E" w:rsidRDefault="002E7560">
      <w:pPr>
        <w:pStyle w:val="Heading6"/>
        <w:spacing w:before="0" w:line="241" w:lineRule="exact"/>
        <w:ind w:firstLine="0"/>
      </w:pPr>
      <w:r>
        <w:rPr>
          <w:color w:val="231F20"/>
        </w:rPr>
        <w:t>До основних ознак держави належать:</w:t>
      </w:r>
    </w:p>
    <w:p w14:paraId="3959226B" w14:textId="77777777" w:rsidR="00DE575E" w:rsidRDefault="002E7560">
      <w:pPr>
        <w:pStyle w:val="ListParagraph"/>
        <w:numPr>
          <w:ilvl w:val="0"/>
          <w:numId w:val="318"/>
        </w:numPr>
        <w:tabs>
          <w:tab w:val="left" w:pos="818"/>
        </w:tabs>
        <w:spacing w:before="4"/>
        <w:ind w:firstLine="283"/>
        <w:rPr>
          <w:sz w:val="21"/>
        </w:rPr>
      </w:pPr>
      <w:r>
        <w:rPr>
          <w:color w:val="231F20"/>
          <w:sz w:val="21"/>
        </w:rPr>
        <w:t xml:space="preserve">територія, </w:t>
      </w:r>
      <w:r>
        <w:rPr>
          <w:color w:val="231F20"/>
          <w:sz w:val="21"/>
        </w:rPr>
        <w:t>що визнана світовою</w:t>
      </w:r>
      <w:r>
        <w:rPr>
          <w:color w:val="231F20"/>
          <w:spacing w:val="-2"/>
          <w:sz w:val="21"/>
        </w:rPr>
        <w:t xml:space="preserve"> </w:t>
      </w:r>
      <w:r>
        <w:rPr>
          <w:color w:val="231F20"/>
          <w:sz w:val="21"/>
        </w:rPr>
        <w:t>спільнотою;</w:t>
      </w:r>
    </w:p>
    <w:p w14:paraId="2B8A30B9" w14:textId="77777777" w:rsidR="00DE575E" w:rsidRDefault="002E7560">
      <w:pPr>
        <w:pStyle w:val="ListParagraph"/>
        <w:numPr>
          <w:ilvl w:val="0"/>
          <w:numId w:val="318"/>
        </w:numPr>
        <w:tabs>
          <w:tab w:val="left" w:pos="818"/>
        </w:tabs>
        <w:spacing w:before="4"/>
        <w:ind w:firstLine="283"/>
        <w:rPr>
          <w:sz w:val="21"/>
        </w:rPr>
      </w:pPr>
      <w:r>
        <w:rPr>
          <w:color w:val="231F20"/>
          <w:sz w:val="21"/>
        </w:rPr>
        <w:t>люди, які пов’язані з державою громадянством</w:t>
      </w:r>
      <w:r>
        <w:rPr>
          <w:color w:val="231F20"/>
          <w:spacing w:val="-17"/>
          <w:sz w:val="21"/>
        </w:rPr>
        <w:t xml:space="preserve"> </w:t>
      </w:r>
      <w:r>
        <w:rPr>
          <w:color w:val="231F20"/>
          <w:sz w:val="21"/>
        </w:rPr>
        <w:t>(підданством);</w:t>
      </w:r>
    </w:p>
    <w:p w14:paraId="6F7BF87B" w14:textId="77777777" w:rsidR="00DE575E" w:rsidRDefault="002E7560">
      <w:pPr>
        <w:pStyle w:val="ListParagraph"/>
        <w:numPr>
          <w:ilvl w:val="0"/>
          <w:numId w:val="318"/>
        </w:numPr>
        <w:tabs>
          <w:tab w:val="left" w:pos="818"/>
        </w:tabs>
        <w:spacing w:before="4"/>
        <w:ind w:firstLine="283"/>
        <w:rPr>
          <w:sz w:val="21"/>
        </w:rPr>
      </w:pPr>
      <w:r>
        <w:rPr>
          <w:color w:val="231F20"/>
          <w:sz w:val="21"/>
        </w:rPr>
        <w:t>публічна влада;</w:t>
      </w:r>
    </w:p>
    <w:p w14:paraId="01F86745" w14:textId="77777777" w:rsidR="00DE575E" w:rsidRDefault="002E7560">
      <w:pPr>
        <w:pStyle w:val="ListParagraph"/>
        <w:numPr>
          <w:ilvl w:val="0"/>
          <w:numId w:val="318"/>
        </w:numPr>
        <w:tabs>
          <w:tab w:val="left" w:pos="818"/>
        </w:tabs>
        <w:spacing w:before="4"/>
        <w:ind w:firstLine="283"/>
        <w:rPr>
          <w:sz w:val="21"/>
        </w:rPr>
      </w:pPr>
      <w:r>
        <w:rPr>
          <w:color w:val="231F20"/>
          <w:sz w:val="21"/>
        </w:rPr>
        <w:t>норми</w:t>
      </w:r>
      <w:r>
        <w:rPr>
          <w:color w:val="231F20"/>
          <w:spacing w:val="-1"/>
          <w:sz w:val="21"/>
        </w:rPr>
        <w:t xml:space="preserve"> </w:t>
      </w:r>
      <w:r>
        <w:rPr>
          <w:color w:val="231F20"/>
          <w:sz w:val="21"/>
        </w:rPr>
        <w:t>права;</w:t>
      </w:r>
    </w:p>
    <w:p w14:paraId="319E7ACA" w14:textId="77777777" w:rsidR="00DE575E" w:rsidRDefault="002E7560">
      <w:pPr>
        <w:pStyle w:val="ListParagraph"/>
        <w:numPr>
          <w:ilvl w:val="0"/>
          <w:numId w:val="318"/>
        </w:numPr>
        <w:tabs>
          <w:tab w:val="left" w:pos="818"/>
        </w:tabs>
        <w:spacing w:before="3"/>
        <w:ind w:firstLine="283"/>
        <w:rPr>
          <w:sz w:val="21"/>
        </w:rPr>
      </w:pPr>
      <w:r>
        <w:rPr>
          <w:color w:val="231F20"/>
          <w:sz w:val="21"/>
        </w:rPr>
        <w:t>податки;</w:t>
      </w:r>
    </w:p>
    <w:p w14:paraId="27D95E1F" w14:textId="77777777" w:rsidR="00DE575E" w:rsidRDefault="002E7560">
      <w:pPr>
        <w:pStyle w:val="ListParagraph"/>
        <w:numPr>
          <w:ilvl w:val="0"/>
          <w:numId w:val="318"/>
        </w:numPr>
        <w:tabs>
          <w:tab w:val="left" w:pos="818"/>
        </w:tabs>
        <w:spacing w:before="4" w:line="244" w:lineRule="auto"/>
        <w:ind w:right="409" w:firstLine="283"/>
        <w:rPr>
          <w:sz w:val="21"/>
        </w:rPr>
      </w:pPr>
      <w:r>
        <w:rPr>
          <w:color w:val="231F20"/>
          <w:sz w:val="21"/>
        </w:rPr>
        <w:t>державний примус, який може застосовуватися публічною владою для захисту від порушень норм права чи несплати</w:t>
      </w:r>
      <w:r>
        <w:rPr>
          <w:color w:val="231F20"/>
          <w:spacing w:val="-18"/>
          <w:sz w:val="21"/>
        </w:rPr>
        <w:t xml:space="preserve"> </w:t>
      </w:r>
      <w:r>
        <w:rPr>
          <w:color w:val="231F20"/>
          <w:sz w:val="21"/>
        </w:rPr>
        <w:t>податків;</w:t>
      </w:r>
    </w:p>
    <w:p w14:paraId="58FC815C" w14:textId="77777777" w:rsidR="00DE575E" w:rsidRDefault="002E7560">
      <w:pPr>
        <w:pStyle w:val="ListParagraph"/>
        <w:numPr>
          <w:ilvl w:val="0"/>
          <w:numId w:val="318"/>
        </w:numPr>
        <w:tabs>
          <w:tab w:val="left" w:pos="818"/>
        </w:tabs>
        <w:spacing w:before="0" w:line="244" w:lineRule="exact"/>
        <w:ind w:firstLine="283"/>
        <w:rPr>
          <w:sz w:val="21"/>
        </w:rPr>
      </w:pPr>
      <w:r>
        <w:rPr>
          <w:color w:val="231F20"/>
          <w:sz w:val="21"/>
        </w:rPr>
        <w:t>зовнішні атрибути (прапор, гімн,</w:t>
      </w:r>
      <w:r>
        <w:rPr>
          <w:color w:val="231F20"/>
          <w:spacing w:val="-5"/>
          <w:sz w:val="21"/>
        </w:rPr>
        <w:t xml:space="preserve"> </w:t>
      </w:r>
      <w:r>
        <w:rPr>
          <w:color w:val="231F20"/>
          <w:sz w:val="21"/>
        </w:rPr>
        <w:t>герб).</w:t>
      </w:r>
    </w:p>
    <w:p w14:paraId="69FB85CE" w14:textId="77777777" w:rsidR="00DE575E" w:rsidRDefault="002E7560">
      <w:pPr>
        <w:pStyle w:val="BodyText"/>
        <w:spacing w:before="4"/>
        <w:ind w:left="533"/>
      </w:pPr>
      <w:r>
        <w:rPr>
          <w:color w:val="231F20"/>
        </w:rPr>
        <w:t>Ці ознаки є універсальними, властивими будь-якій державі.</w:t>
      </w:r>
    </w:p>
    <w:p w14:paraId="71491270" w14:textId="77777777" w:rsidR="00DE575E" w:rsidRDefault="002E7560">
      <w:pPr>
        <w:spacing w:before="4" w:line="244" w:lineRule="auto"/>
        <w:ind w:left="250" w:right="521" w:firstLine="283"/>
        <w:rPr>
          <w:b/>
          <w:i/>
          <w:sz w:val="21"/>
        </w:rPr>
      </w:pPr>
      <w:r>
        <w:rPr>
          <w:color w:val="231F20"/>
          <w:sz w:val="21"/>
        </w:rPr>
        <w:t xml:space="preserve">Визначаються також </w:t>
      </w:r>
      <w:r>
        <w:rPr>
          <w:b/>
          <w:i/>
          <w:color w:val="231F20"/>
          <w:sz w:val="21"/>
        </w:rPr>
        <w:t>ознаки, що характеризують публічну владу:</w:t>
      </w:r>
    </w:p>
    <w:p w14:paraId="1B555464" w14:textId="77777777" w:rsidR="00DE575E" w:rsidRDefault="002E7560">
      <w:pPr>
        <w:pStyle w:val="ListParagraph"/>
        <w:numPr>
          <w:ilvl w:val="0"/>
          <w:numId w:val="317"/>
        </w:numPr>
        <w:tabs>
          <w:tab w:val="left" w:pos="818"/>
        </w:tabs>
        <w:spacing w:before="0" w:line="252" w:lineRule="auto"/>
        <w:ind w:right="411" w:firstLine="283"/>
        <w:jc w:val="left"/>
        <w:rPr>
          <w:sz w:val="21"/>
        </w:rPr>
      </w:pPr>
      <w:r>
        <w:rPr>
          <w:color w:val="231F20"/>
          <w:spacing w:val="-4"/>
          <w:sz w:val="21"/>
        </w:rPr>
        <w:t xml:space="preserve">об’єднує </w:t>
      </w:r>
      <w:r>
        <w:rPr>
          <w:color w:val="231F20"/>
          <w:sz w:val="21"/>
        </w:rPr>
        <w:t>народ (населення країни) за територіальною озна- кою, створює територіальну організацію</w:t>
      </w:r>
      <w:r>
        <w:rPr>
          <w:color w:val="231F20"/>
          <w:spacing w:val="-5"/>
          <w:sz w:val="21"/>
        </w:rPr>
        <w:t xml:space="preserve"> </w:t>
      </w:r>
      <w:r>
        <w:rPr>
          <w:color w:val="231F20"/>
          <w:sz w:val="21"/>
        </w:rPr>
        <w:t>підвладних;</w:t>
      </w:r>
    </w:p>
    <w:p w14:paraId="339343FD" w14:textId="2E7ACE83" w:rsidR="00DE575E" w:rsidRDefault="002E7560">
      <w:pPr>
        <w:pStyle w:val="BodyText"/>
        <w:spacing w:before="11"/>
        <w:rPr>
          <w:sz w:val="24"/>
        </w:rPr>
      </w:pPr>
      <w:r>
        <w:rPr>
          <w:noProof/>
        </w:rPr>
        <mc:AlternateContent>
          <mc:Choice Requires="wps">
            <w:drawing>
              <wp:anchor distT="0" distB="0" distL="0" distR="0" simplePos="0" relativeHeight="1336" behindDoc="0" locked="0" layoutInCell="1" allowOverlap="1" wp14:anchorId="05BD5654" wp14:editId="18DE9806">
                <wp:simplePos x="0" y="0"/>
                <wp:positionH relativeFrom="page">
                  <wp:posOffset>539750</wp:posOffset>
                </wp:positionH>
                <wp:positionV relativeFrom="paragraph">
                  <wp:posOffset>213360</wp:posOffset>
                </wp:positionV>
                <wp:extent cx="1080135" cy="0"/>
                <wp:effectExtent l="6350" t="10160" r="31115" b="27940"/>
                <wp:wrapTopAndBottom/>
                <wp:docPr id="1383"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E27D7" id="Line_x0020_1382"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8pt" to="127.55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" strokecolor="#231f20" strokeweight=".5pt">
                <w10:wrap type="topAndBottom" anchorx="page"/>
              </v:line>
            </w:pict>
          </mc:Fallback>
        </mc:AlternateContent>
      </w:r>
    </w:p>
    <w:p w14:paraId="33A41B93" w14:textId="77777777" w:rsidR="00DE575E" w:rsidRDefault="002E7560">
      <w:pPr>
        <w:spacing w:line="162" w:lineRule="exact"/>
        <w:ind w:left="250"/>
        <w:rPr>
          <w:sz w:val="16"/>
        </w:rPr>
      </w:pPr>
      <w:r>
        <w:rPr>
          <w:color w:val="231F20"/>
          <w:position w:val="5"/>
          <w:sz w:val="9"/>
        </w:rPr>
        <w:t xml:space="preserve">1 </w:t>
      </w:r>
      <w:r>
        <w:rPr>
          <w:color w:val="231F20"/>
          <w:sz w:val="16"/>
        </w:rPr>
        <w:t xml:space="preserve">За загальною редакцією </w:t>
      </w:r>
      <w:r>
        <w:rPr>
          <w:b/>
          <w:color w:val="231F20"/>
          <w:sz w:val="16"/>
        </w:rPr>
        <w:t>Валентина Галунька</w:t>
      </w:r>
      <w:r>
        <w:rPr>
          <w:color w:val="231F20"/>
          <w:sz w:val="16"/>
        </w:rPr>
        <w:t>.</w:t>
      </w:r>
    </w:p>
    <w:p w14:paraId="39C2A800" w14:textId="77777777" w:rsidR="00DE575E" w:rsidRDefault="00DE575E">
      <w:pPr>
        <w:pStyle w:val="BodyText"/>
        <w:spacing w:before="10"/>
        <w:rPr>
          <w:sz w:val="11"/>
        </w:rPr>
      </w:pPr>
    </w:p>
    <w:p w14:paraId="7BB3DA6B" w14:textId="77777777" w:rsidR="00DE575E" w:rsidRDefault="002E7560">
      <w:pPr>
        <w:spacing w:before="92"/>
        <w:ind w:right="411"/>
        <w:jc w:val="right"/>
        <w:rPr>
          <w:rFonts w:ascii="Times New Roman"/>
          <w:sz w:val="20"/>
        </w:rPr>
      </w:pPr>
      <w:r>
        <w:rPr>
          <w:rFonts w:ascii="Times New Roman"/>
          <w:color w:val="231F20"/>
          <w:w w:val="90"/>
          <w:sz w:val="20"/>
        </w:rPr>
        <w:t>17</w:t>
      </w:r>
    </w:p>
    <w:p w14:paraId="3DCF3395" w14:textId="77777777" w:rsidR="00DE575E" w:rsidRDefault="00DE575E">
      <w:pPr>
        <w:jc w:val="right"/>
        <w:rPr>
          <w:rFonts w:ascii="Times New Roman"/>
          <w:sz w:val="20"/>
        </w:rPr>
        <w:sectPr w:rsidR="00DE575E">
          <w:type w:val="continuous"/>
          <w:pgSz w:w="8510" w:h="12760"/>
          <w:pgMar w:top="1180" w:right="720" w:bottom="280" w:left="600" w:header="720" w:footer="720" w:gutter="0"/>
          <w:cols w:space="720"/>
        </w:sectPr>
      </w:pPr>
    </w:p>
    <w:p w14:paraId="50FAA695"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3AD57899" w14:textId="1D6967E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BA5873E" wp14:editId="7F9F4D67">
                <wp:extent cx="4140200" cy="6350"/>
                <wp:effectExtent l="0" t="0" r="12700" b="6350"/>
                <wp:docPr id="1381"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82" name="Line 13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52AC0" id="Group_x0020_13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OxHxe34CAACcBQAADgAA&#10;AAAAAAAAAAAAAAAsAgAAZHJzL2Uyb0RvYy54bWxQSwECLQAUAAYACAAAACEATKewkNkAAAADAQAA&#10;DwAAAAAAAAAAAAAAAADWBAAAZHJzL2Rvd25yZXYueG1sUEsFBgAAAAAEAAQA8wAAANwFAAAAAA==&#10;">
                <v:line id="Line_x0020_13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4XTcQAAADdAAAADwAAAGRycy9kb3ducmV2LnhtbERPzWrCQBC+C32HZQq9iG40UCS6ShEE&#10;6UGt8QHG7JiE7s7G7GrSPr1bKHibj+93FqveGnGn1teOFUzGCQjiwumaSwWnfDOagfABWaNxTAp+&#10;yMNq+TJYYKZdx190P4ZSxBD2GSqoQmgyKX1RkUU/dg1x5C6utRgibEupW+xiuDVymiTv0mLNsaHC&#10;htYVFd/Hm1WQX4fBHPafpsv351Ser7v097ZT6u21/5iDCNSHp/jfvdVxfjqbwt838QS5f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7hdNxAAAAN0AAAAPAAAAAAAAAAAA&#10;AAAAAKECAABkcnMvZG93bnJldi54bWxQSwUGAAAAAAQABAD5AAAAkgMAAAAA&#10;" strokecolor="#231f20" strokeweight=".5pt"/>
                <w10:anchorlock/>
              </v:group>
            </w:pict>
          </mc:Fallback>
        </mc:AlternateContent>
      </w:r>
    </w:p>
    <w:p w14:paraId="2A805096" w14:textId="77777777" w:rsidR="00DE575E" w:rsidRDefault="00DE575E">
      <w:pPr>
        <w:pStyle w:val="BodyText"/>
        <w:spacing w:before="7"/>
        <w:rPr>
          <w:rFonts w:ascii="AdonisC"/>
          <w:i/>
          <w:sz w:val="11"/>
        </w:rPr>
      </w:pPr>
    </w:p>
    <w:p w14:paraId="17A05D84" w14:textId="77777777" w:rsidR="00DE575E" w:rsidRDefault="002E7560">
      <w:pPr>
        <w:pStyle w:val="ListParagraph"/>
        <w:numPr>
          <w:ilvl w:val="1"/>
          <w:numId w:val="317"/>
        </w:numPr>
        <w:tabs>
          <w:tab w:val="left" w:pos="1101"/>
        </w:tabs>
        <w:spacing w:before="101" w:line="252" w:lineRule="auto"/>
        <w:ind w:right="127" w:firstLine="284"/>
        <w:rPr>
          <w:sz w:val="21"/>
        </w:rPr>
      </w:pPr>
      <w:r>
        <w:rPr>
          <w:color w:val="231F20"/>
          <w:sz w:val="21"/>
        </w:rPr>
        <w:t>здійснюється спеціальним апаратом, відокремленим від суспільства, для керівництва ним із застосуванням різних владних методів (заохочення, переконання і</w:t>
      </w:r>
      <w:r>
        <w:rPr>
          <w:color w:val="231F20"/>
          <w:spacing w:val="-4"/>
          <w:sz w:val="21"/>
        </w:rPr>
        <w:t xml:space="preserve"> </w:t>
      </w:r>
      <w:r>
        <w:rPr>
          <w:color w:val="231F20"/>
          <w:sz w:val="21"/>
        </w:rPr>
        <w:t>примусу);</w:t>
      </w:r>
    </w:p>
    <w:p w14:paraId="7E304E51" w14:textId="77777777" w:rsidR="00DE575E" w:rsidRDefault="002E7560">
      <w:pPr>
        <w:pStyle w:val="ListParagraph"/>
        <w:numPr>
          <w:ilvl w:val="1"/>
          <w:numId w:val="317"/>
        </w:numPr>
        <w:tabs>
          <w:tab w:val="left" w:pos="1101"/>
        </w:tabs>
        <w:spacing w:line="252" w:lineRule="auto"/>
        <w:ind w:right="126" w:firstLine="284"/>
        <w:rPr>
          <w:sz w:val="21"/>
        </w:rPr>
      </w:pPr>
      <w:r>
        <w:rPr>
          <w:color w:val="231F20"/>
          <w:sz w:val="21"/>
        </w:rPr>
        <w:t xml:space="preserve">відзначається суверенітетом, який означає незалежність реалізації публічної влади від бажань </w:t>
      </w:r>
      <w:r>
        <w:rPr>
          <w:color w:val="231F20"/>
          <w:spacing w:val="-4"/>
          <w:sz w:val="21"/>
        </w:rPr>
        <w:t>об’єктів</w:t>
      </w:r>
      <w:r>
        <w:rPr>
          <w:color w:val="231F20"/>
          <w:spacing w:val="-7"/>
          <w:sz w:val="21"/>
        </w:rPr>
        <w:t xml:space="preserve"> </w:t>
      </w:r>
      <w:r>
        <w:rPr>
          <w:color w:val="231F20"/>
          <w:sz w:val="21"/>
        </w:rPr>
        <w:t>влади;</w:t>
      </w:r>
    </w:p>
    <w:p w14:paraId="1E397090" w14:textId="77777777" w:rsidR="00DE575E" w:rsidRDefault="002E7560">
      <w:pPr>
        <w:pStyle w:val="ListParagraph"/>
        <w:numPr>
          <w:ilvl w:val="1"/>
          <w:numId w:val="317"/>
        </w:numPr>
        <w:tabs>
          <w:tab w:val="left" w:pos="1101"/>
        </w:tabs>
        <w:ind w:firstLine="284"/>
        <w:jc w:val="left"/>
        <w:rPr>
          <w:sz w:val="21"/>
        </w:rPr>
      </w:pPr>
      <w:r>
        <w:rPr>
          <w:color w:val="231F20"/>
          <w:sz w:val="21"/>
        </w:rPr>
        <w:t>верховенство, обов’язковість рішень для іншої</w:t>
      </w:r>
      <w:r>
        <w:rPr>
          <w:color w:val="231F20"/>
          <w:spacing w:val="-6"/>
          <w:sz w:val="21"/>
        </w:rPr>
        <w:t xml:space="preserve"> </w:t>
      </w:r>
      <w:r>
        <w:rPr>
          <w:color w:val="231F20"/>
          <w:sz w:val="21"/>
        </w:rPr>
        <w:t>влади;</w:t>
      </w:r>
    </w:p>
    <w:p w14:paraId="1CA016F6" w14:textId="77777777" w:rsidR="00DE575E" w:rsidRDefault="002E7560">
      <w:pPr>
        <w:pStyle w:val="ListParagraph"/>
        <w:numPr>
          <w:ilvl w:val="1"/>
          <w:numId w:val="317"/>
        </w:numPr>
        <w:tabs>
          <w:tab w:val="left" w:pos="1101"/>
        </w:tabs>
        <w:spacing w:before="13" w:line="252" w:lineRule="auto"/>
        <w:ind w:right="128" w:firstLine="284"/>
        <w:rPr>
          <w:sz w:val="21"/>
        </w:rPr>
      </w:pPr>
      <w:r>
        <w:rPr>
          <w:color w:val="231F20"/>
          <w:sz w:val="21"/>
        </w:rPr>
        <w:t>публічність, тобто всезагальність і безособовість, що є вира- зом усезагальної</w:t>
      </w:r>
      <w:r>
        <w:rPr>
          <w:color w:val="231F20"/>
          <w:spacing w:val="-3"/>
          <w:sz w:val="21"/>
        </w:rPr>
        <w:t xml:space="preserve"> </w:t>
      </w:r>
      <w:r>
        <w:rPr>
          <w:color w:val="231F20"/>
          <w:sz w:val="21"/>
        </w:rPr>
        <w:t>волі</w:t>
      </w:r>
      <w:r>
        <w:rPr>
          <w:color w:val="231F20"/>
          <w:position w:val="7"/>
          <w:sz w:val="12"/>
        </w:rPr>
        <w:t>1</w:t>
      </w:r>
      <w:r>
        <w:rPr>
          <w:color w:val="231F20"/>
          <w:sz w:val="21"/>
        </w:rPr>
        <w:t>;</w:t>
      </w:r>
    </w:p>
    <w:p w14:paraId="449D9C41" w14:textId="77777777" w:rsidR="00DE575E" w:rsidRDefault="002E7560">
      <w:pPr>
        <w:pStyle w:val="ListParagraph"/>
        <w:numPr>
          <w:ilvl w:val="1"/>
          <w:numId w:val="317"/>
        </w:numPr>
        <w:tabs>
          <w:tab w:val="left" w:pos="1101"/>
        </w:tabs>
        <w:spacing w:line="252" w:lineRule="auto"/>
        <w:ind w:right="128" w:firstLine="284"/>
        <w:rPr>
          <w:sz w:val="21"/>
        </w:rPr>
      </w:pPr>
      <w:r>
        <w:rPr>
          <w:color w:val="231F20"/>
          <w:sz w:val="21"/>
        </w:rPr>
        <w:t>норматив</w:t>
      </w:r>
      <w:r>
        <w:rPr>
          <w:color w:val="231F20"/>
          <w:sz w:val="21"/>
        </w:rPr>
        <w:t>не регулювання суспільних відносин, що  вияв-  лено в можливості публічної влади видавати загальнообов’язкові правила</w:t>
      </w:r>
      <w:r>
        <w:rPr>
          <w:color w:val="231F20"/>
          <w:spacing w:val="-2"/>
          <w:sz w:val="21"/>
        </w:rPr>
        <w:t xml:space="preserve"> </w:t>
      </w:r>
      <w:r>
        <w:rPr>
          <w:color w:val="231F20"/>
          <w:sz w:val="21"/>
        </w:rPr>
        <w:t>поведінки.</w:t>
      </w:r>
    </w:p>
    <w:p w14:paraId="6D804EFD" w14:textId="77777777" w:rsidR="00DE575E" w:rsidRDefault="002E7560">
      <w:pPr>
        <w:spacing w:before="1" w:line="252" w:lineRule="auto"/>
        <w:ind w:left="533" w:right="128" w:firstLine="283"/>
        <w:jc w:val="both"/>
        <w:rPr>
          <w:i/>
          <w:sz w:val="21"/>
        </w:rPr>
      </w:pPr>
      <w:r>
        <w:rPr>
          <w:i/>
          <w:color w:val="231F20"/>
          <w:spacing w:val="-5"/>
          <w:sz w:val="21"/>
        </w:rPr>
        <w:t xml:space="preserve">Важливо пам’ятати, </w:t>
      </w:r>
      <w:r>
        <w:rPr>
          <w:i/>
          <w:color w:val="231F20"/>
          <w:spacing w:val="-3"/>
          <w:sz w:val="21"/>
        </w:rPr>
        <w:t xml:space="preserve">що </w:t>
      </w:r>
      <w:r>
        <w:rPr>
          <w:i/>
          <w:color w:val="231F20"/>
          <w:spacing w:val="-5"/>
          <w:sz w:val="21"/>
        </w:rPr>
        <w:t xml:space="preserve">публічна </w:t>
      </w:r>
      <w:r>
        <w:rPr>
          <w:i/>
          <w:color w:val="231F20"/>
          <w:spacing w:val="-4"/>
          <w:sz w:val="21"/>
        </w:rPr>
        <w:t xml:space="preserve">влада ширша </w:t>
      </w:r>
      <w:r>
        <w:rPr>
          <w:i/>
          <w:color w:val="231F20"/>
          <w:spacing w:val="-3"/>
          <w:sz w:val="21"/>
        </w:rPr>
        <w:t xml:space="preserve">за </w:t>
      </w:r>
      <w:r>
        <w:rPr>
          <w:i/>
          <w:color w:val="231F20"/>
          <w:spacing w:val="-5"/>
          <w:sz w:val="21"/>
        </w:rPr>
        <w:t xml:space="preserve">змістом за </w:t>
      </w:r>
      <w:r>
        <w:rPr>
          <w:i/>
          <w:color w:val="231F20"/>
          <w:spacing w:val="-7"/>
          <w:sz w:val="21"/>
        </w:rPr>
        <w:t>державну,</w:t>
      </w:r>
      <w:r>
        <w:rPr>
          <w:i/>
          <w:color w:val="231F20"/>
          <w:spacing w:val="-17"/>
          <w:sz w:val="21"/>
        </w:rPr>
        <w:t xml:space="preserve"> </w:t>
      </w:r>
      <w:r>
        <w:rPr>
          <w:i/>
          <w:color w:val="231F20"/>
          <w:spacing w:val="-5"/>
          <w:sz w:val="21"/>
        </w:rPr>
        <w:t>оскільки</w:t>
      </w:r>
      <w:r>
        <w:rPr>
          <w:i/>
          <w:color w:val="231F20"/>
          <w:spacing w:val="-17"/>
          <w:sz w:val="21"/>
        </w:rPr>
        <w:t xml:space="preserve"> </w:t>
      </w:r>
      <w:r>
        <w:rPr>
          <w:i/>
          <w:color w:val="231F20"/>
          <w:spacing w:val="-5"/>
          <w:sz w:val="21"/>
        </w:rPr>
        <w:t>публічні</w:t>
      </w:r>
      <w:r>
        <w:rPr>
          <w:i/>
          <w:color w:val="231F20"/>
          <w:spacing w:val="-17"/>
          <w:sz w:val="21"/>
        </w:rPr>
        <w:t xml:space="preserve"> </w:t>
      </w:r>
      <w:r>
        <w:rPr>
          <w:i/>
          <w:color w:val="231F20"/>
          <w:spacing w:val="-7"/>
          <w:sz w:val="21"/>
        </w:rPr>
        <w:t>суб’єкти</w:t>
      </w:r>
      <w:r>
        <w:rPr>
          <w:i/>
          <w:color w:val="231F20"/>
          <w:spacing w:val="-17"/>
          <w:sz w:val="21"/>
        </w:rPr>
        <w:t xml:space="preserve"> </w:t>
      </w:r>
      <w:r>
        <w:rPr>
          <w:i/>
          <w:color w:val="231F20"/>
          <w:sz w:val="21"/>
        </w:rPr>
        <w:t>–</w:t>
      </w:r>
      <w:r>
        <w:rPr>
          <w:i/>
          <w:color w:val="231F20"/>
          <w:spacing w:val="-17"/>
          <w:sz w:val="21"/>
        </w:rPr>
        <w:t xml:space="preserve"> </w:t>
      </w:r>
      <w:r>
        <w:rPr>
          <w:i/>
          <w:color w:val="231F20"/>
          <w:spacing w:val="-3"/>
          <w:sz w:val="21"/>
        </w:rPr>
        <w:t>це</w:t>
      </w:r>
      <w:r>
        <w:rPr>
          <w:i/>
          <w:color w:val="231F20"/>
          <w:spacing w:val="-17"/>
          <w:sz w:val="21"/>
        </w:rPr>
        <w:t xml:space="preserve"> </w:t>
      </w:r>
      <w:r>
        <w:rPr>
          <w:i/>
          <w:color w:val="231F20"/>
          <w:spacing w:val="-5"/>
          <w:sz w:val="21"/>
        </w:rPr>
        <w:t>органи</w:t>
      </w:r>
      <w:r>
        <w:rPr>
          <w:i/>
          <w:color w:val="231F20"/>
          <w:spacing w:val="-17"/>
          <w:sz w:val="21"/>
        </w:rPr>
        <w:t xml:space="preserve"> </w:t>
      </w:r>
      <w:r>
        <w:rPr>
          <w:i/>
          <w:color w:val="231F20"/>
          <w:spacing w:val="-6"/>
          <w:sz w:val="21"/>
        </w:rPr>
        <w:t>державної</w:t>
      </w:r>
      <w:r>
        <w:rPr>
          <w:i/>
          <w:color w:val="231F20"/>
          <w:spacing w:val="-17"/>
          <w:sz w:val="21"/>
        </w:rPr>
        <w:t xml:space="preserve"> </w:t>
      </w:r>
      <w:r>
        <w:rPr>
          <w:i/>
          <w:color w:val="231F20"/>
          <w:spacing w:val="-4"/>
          <w:sz w:val="21"/>
        </w:rPr>
        <w:t>влади</w:t>
      </w:r>
      <w:r>
        <w:rPr>
          <w:i/>
          <w:color w:val="231F20"/>
          <w:spacing w:val="-17"/>
          <w:sz w:val="21"/>
        </w:rPr>
        <w:t xml:space="preserve"> </w:t>
      </w:r>
      <w:r>
        <w:rPr>
          <w:i/>
          <w:color w:val="231F20"/>
          <w:sz w:val="21"/>
        </w:rPr>
        <w:t>й</w:t>
      </w:r>
      <w:r>
        <w:rPr>
          <w:i/>
          <w:color w:val="231F20"/>
          <w:spacing w:val="-17"/>
          <w:sz w:val="21"/>
        </w:rPr>
        <w:t xml:space="preserve"> </w:t>
      </w:r>
      <w:r>
        <w:rPr>
          <w:i/>
          <w:color w:val="231F20"/>
          <w:spacing w:val="-5"/>
          <w:sz w:val="21"/>
        </w:rPr>
        <w:t xml:space="preserve">місце- </w:t>
      </w:r>
      <w:r>
        <w:rPr>
          <w:i/>
          <w:color w:val="231F20"/>
          <w:spacing w:val="-4"/>
          <w:sz w:val="21"/>
        </w:rPr>
        <w:t xml:space="preserve">вого </w:t>
      </w:r>
      <w:r>
        <w:rPr>
          <w:i/>
          <w:color w:val="231F20"/>
          <w:spacing w:val="-5"/>
          <w:sz w:val="21"/>
        </w:rPr>
        <w:t xml:space="preserve">самоврядування </w:t>
      </w:r>
      <w:r>
        <w:rPr>
          <w:i/>
          <w:color w:val="231F20"/>
          <w:spacing w:val="-3"/>
          <w:sz w:val="21"/>
        </w:rPr>
        <w:t xml:space="preserve">та </w:t>
      </w:r>
      <w:r>
        <w:rPr>
          <w:i/>
          <w:color w:val="231F20"/>
          <w:spacing w:val="-4"/>
          <w:sz w:val="21"/>
        </w:rPr>
        <w:t xml:space="preserve">інші </w:t>
      </w:r>
      <w:r>
        <w:rPr>
          <w:i/>
          <w:color w:val="231F20"/>
          <w:spacing w:val="-5"/>
          <w:sz w:val="21"/>
        </w:rPr>
        <w:t xml:space="preserve">невладні </w:t>
      </w:r>
      <w:r>
        <w:rPr>
          <w:i/>
          <w:color w:val="231F20"/>
          <w:spacing w:val="-7"/>
          <w:sz w:val="21"/>
        </w:rPr>
        <w:t xml:space="preserve">суб’єкти </w:t>
      </w:r>
      <w:r>
        <w:rPr>
          <w:i/>
          <w:color w:val="231F20"/>
          <w:spacing w:val="-5"/>
          <w:sz w:val="21"/>
        </w:rPr>
        <w:t>делегованих владних повноважень</w:t>
      </w:r>
      <w:r>
        <w:rPr>
          <w:i/>
          <w:color w:val="231F20"/>
          <w:spacing w:val="-12"/>
          <w:sz w:val="21"/>
        </w:rPr>
        <w:t xml:space="preserve"> </w:t>
      </w:r>
      <w:r>
        <w:rPr>
          <w:i/>
          <w:color w:val="231F20"/>
          <w:spacing w:val="-4"/>
          <w:sz w:val="21"/>
        </w:rPr>
        <w:t>під</w:t>
      </w:r>
      <w:r>
        <w:rPr>
          <w:i/>
          <w:color w:val="231F20"/>
          <w:spacing w:val="-12"/>
          <w:sz w:val="21"/>
        </w:rPr>
        <w:t xml:space="preserve"> </w:t>
      </w:r>
      <w:r>
        <w:rPr>
          <w:i/>
          <w:color w:val="231F20"/>
          <w:spacing w:val="-4"/>
          <w:sz w:val="21"/>
        </w:rPr>
        <w:t>час</w:t>
      </w:r>
      <w:r>
        <w:rPr>
          <w:i/>
          <w:color w:val="231F20"/>
          <w:spacing w:val="-12"/>
          <w:sz w:val="21"/>
        </w:rPr>
        <w:t xml:space="preserve"> </w:t>
      </w:r>
      <w:r>
        <w:rPr>
          <w:i/>
          <w:color w:val="231F20"/>
          <w:spacing w:val="-5"/>
          <w:sz w:val="21"/>
        </w:rPr>
        <w:t>здійснення</w:t>
      </w:r>
      <w:r>
        <w:rPr>
          <w:i/>
          <w:color w:val="231F20"/>
          <w:spacing w:val="-13"/>
          <w:sz w:val="21"/>
        </w:rPr>
        <w:t xml:space="preserve"> </w:t>
      </w:r>
      <w:r>
        <w:rPr>
          <w:i/>
          <w:color w:val="231F20"/>
          <w:spacing w:val="-5"/>
          <w:sz w:val="21"/>
        </w:rPr>
        <w:t>виконавчих</w:t>
      </w:r>
      <w:r>
        <w:rPr>
          <w:i/>
          <w:color w:val="231F20"/>
          <w:spacing w:val="-13"/>
          <w:sz w:val="21"/>
        </w:rPr>
        <w:t xml:space="preserve"> </w:t>
      </w:r>
      <w:r>
        <w:rPr>
          <w:i/>
          <w:color w:val="231F20"/>
          <w:spacing w:val="-5"/>
          <w:sz w:val="21"/>
        </w:rPr>
        <w:t>функцій.</w:t>
      </w:r>
      <w:r>
        <w:rPr>
          <w:i/>
          <w:color w:val="231F20"/>
          <w:spacing w:val="-12"/>
          <w:sz w:val="21"/>
        </w:rPr>
        <w:t xml:space="preserve"> </w:t>
      </w:r>
      <w:r>
        <w:rPr>
          <w:i/>
          <w:color w:val="231F20"/>
          <w:spacing w:val="-4"/>
          <w:sz w:val="21"/>
        </w:rPr>
        <w:t>Тим</w:t>
      </w:r>
      <w:r>
        <w:rPr>
          <w:i/>
          <w:color w:val="231F20"/>
          <w:spacing w:val="-13"/>
          <w:sz w:val="21"/>
        </w:rPr>
        <w:t xml:space="preserve"> </w:t>
      </w:r>
      <w:r>
        <w:rPr>
          <w:i/>
          <w:color w:val="231F20"/>
          <w:spacing w:val="-5"/>
          <w:sz w:val="21"/>
        </w:rPr>
        <w:t>самим</w:t>
      </w:r>
      <w:r>
        <w:rPr>
          <w:i/>
          <w:color w:val="231F20"/>
          <w:spacing w:val="-13"/>
          <w:sz w:val="21"/>
        </w:rPr>
        <w:t xml:space="preserve"> </w:t>
      </w:r>
      <w:r>
        <w:rPr>
          <w:i/>
          <w:color w:val="231F20"/>
          <w:spacing w:val="-5"/>
          <w:sz w:val="21"/>
        </w:rPr>
        <w:t xml:space="preserve">будь-яка </w:t>
      </w:r>
      <w:r>
        <w:rPr>
          <w:i/>
          <w:color w:val="231F20"/>
          <w:spacing w:val="-6"/>
          <w:sz w:val="21"/>
        </w:rPr>
        <w:t>державна</w:t>
      </w:r>
      <w:r>
        <w:rPr>
          <w:i/>
          <w:color w:val="231F20"/>
          <w:spacing w:val="-8"/>
          <w:sz w:val="21"/>
        </w:rPr>
        <w:t xml:space="preserve"> </w:t>
      </w:r>
      <w:r>
        <w:rPr>
          <w:i/>
          <w:color w:val="231F20"/>
          <w:spacing w:val="-4"/>
          <w:sz w:val="21"/>
        </w:rPr>
        <w:t>влада</w:t>
      </w:r>
      <w:r>
        <w:rPr>
          <w:i/>
          <w:color w:val="231F20"/>
          <w:spacing w:val="-8"/>
          <w:sz w:val="21"/>
        </w:rPr>
        <w:t xml:space="preserve"> </w:t>
      </w:r>
      <w:r>
        <w:rPr>
          <w:i/>
          <w:color w:val="231F20"/>
          <w:sz w:val="21"/>
        </w:rPr>
        <w:t>є</w:t>
      </w:r>
      <w:r>
        <w:rPr>
          <w:i/>
          <w:color w:val="231F20"/>
          <w:spacing w:val="-8"/>
          <w:sz w:val="21"/>
        </w:rPr>
        <w:t xml:space="preserve"> </w:t>
      </w:r>
      <w:r>
        <w:rPr>
          <w:i/>
          <w:color w:val="231F20"/>
          <w:spacing w:val="-5"/>
          <w:sz w:val="21"/>
        </w:rPr>
        <w:t>публічною,</w:t>
      </w:r>
      <w:r>
        <w:rPr>
          <w:i/>
          <w:color w:val="231F20"/>
          <w:spacing w:val="-8"/>
          <w:sz w:val="21"/>
        </w:rPr>
        <w:t xml:space="preserve"> </w:t>
      </w:r>
      <w:r>
        <w:rPr>
          <w:i/>
          <w:color w:val="231F20"/>
          <w:spacing w:val="-4"/>
          <w:sz w:val="21"/>
        </w:rPr>
        <w:t>але</w:t>
      </w:r>
      <w:r>
        <w:rPr>
          <w:i/>
          <w:color w:val="231F20"/>
          <w:spacing w:val="-8"/>
          <w:sz w:val="21"/>
        </w:rPr>
        <w:t xml:space="preserve"> </w:t>
      </w:r>
      <w:r>
        <w:rPr>
          <w:i/>
          <w:color w:val="231F20"/>
          <w:spacing w:val="-3"/>
          <w:sz w:val="21"/>
        </w:rPr>
        <w:t>не</w:t>
      </w:r>
      <w:r>
        <w:rPr>
          <w:i/>
          <w:color w:val="231F20"/>
          <w:spacing w:val="-8"/>
          <w:sz w:val="21"/>
        </w:rPr>
        <w:t xml:space="preserve"> </w:t>
      </w:r>
      <w:r>
        <w:rPr>
          <w:i/>
          <w:color w:val="231F20"/>
          <w:spacing w:val="-5"/>
          <w:sz w:val="21"/>
        </w:rPr>
        <w:t>всяка</w:t>
      </w:r>
      <w:r>
        <w:rPr>
          <w:i/>
          <w:color w:val="231F20"/>
          <w:spacing w:val="-8"/>
          <w:sz w:val="21"/>
        </w:rPr>
        <w:t xml:space="preserve"> </w:t>
      </w:r>
      <w:r>
        <w:rPr>
          <w:i/>
          <w:color w:val="231F20"/>
          <w:spacing w:val="-5"/>
          <w:sz w:val="21"/>
        </w:rPr>
        <w:t>публічна</w:t>
      </w:r>
      <w:r>
        <w:rPr>
          <w:i/>
          <w:color w:val="231F20"/>
          <w:spacing w:val="-8"/>
          <w:sz w:val="21"/>
        </w:rPr>
        <w:t xml:space="preserve"> </w:t>
      </w:r>
      <w:r>
        <w:rPr>
          <w:i/>
          <w:color w:val="231F20"/>
          <w:spacing w:val="-4"/>
          <w:sz w:val="21"/>
        </w:rPr>
        <w:t>влада</w:t>
      </w:r>
      <w:r>
        <w:rPr>
          <w:i/>
          <w:color w:val="231F20"/>
          <w:spacing w:val="-8"/>
          <w:sz w:val="21"/>
        </w:rPr>
        <w:t xml:space="preserve"> </w:t>
      </w:r>
      <w:r>
        <w:rPr>
          <w:i/>
          <w:color w:val="231F20"/>
          <w:sz w:val="21"/>
        </w:rPr>
        <w:t>є</w:t>
      </w:r>
      <w:r>
        <w:rPr>
          <w:i/>
          <w:color w:val="231F20"/>
          <w:spacing w:val="-8"/>
          <w:sz w:val="21"/>
        </w:rPr>
        <w:t xml:space="preserve"> </w:t>
      </w:r>
      <w:r>
        <w:rPr>
          <w:i/>
          <w:color w:val="231F20"/>
          <w:spacing w:val="-6"/>
          <w:sz w:val="21"/>
        </w:rPr>
        <w:t>державною.</w:t>
      </w:r>
    </w:p>
    <w:p w14:paraId="6E6336E5" w14:textId="77777777" w:rsidR="00DE575E" w:rsidRDefault="002E7560">
      <w:pPr>
        <w:pStyle w:val="Heading5"/>
        <w:spacing w:before="3" w:line="252" w:lineRule="auto"/>
        <w:ind w:right="127" w:firstLine="283"/>
        <w:jc w:val="both"/>
      </w:pPr>
      <w:r>
        <w:rPr>
          <w:color w:val="231F20"/>
        </w:rPr>
        <w:t>Отже, публічна влада – це здатність публічних суб’єктів</w:t>
      </w:r>
      <w:r>
        <w:rPr>
          <w:b w:val="0"/>
          <w:color w:val="231F20"/>
          <w:position w:val="7"/>
          <w:sz w:val="12"/>
        </w:rPr>
        <w:t xml:space="preserve">2 </w:t>
      </w:r>
      <w:r>
        <w:rPr>
          <w:color w:val="231F20"/>
        </w:rPr>
        <w:t>впливати на суспільні відносини між людьми з приводу орга- нізації їхньої сумісної діяльності з метою реалізації публічного інтересу</w:t>
      </w:r>
      <w:r>
        <w:rPr>
          <w:color w:val="231F20"/>
          <w:position w:val="7"/>
          <w:sz w:val="12"/>
        </w:rPr>
        <w:t>3</w:t>
      </w:r>
      <w:r>
        <w:rPr>
          <w:color w:val="231F20"/>
        </w:rPr>
        <w:t>.</w:t>
      </w:r>
    </w:p>
    <w:p w14:paraId="6F3DDA1D" w14:textId="77777777" w:rsidR="00DE575E" w:rsidRDefault="002E7560">
      <w:pPr>
        <w:pStyle w:val="BodyText"/>
        <w:spacing w:before="2" w:line="252" w:lineRule="auto"/>
        <w:ind w:left="533" w:right="127" w:firstLine="283"/>
        <w:jc w:val="both"/>
      </w:pPr>
      <w:r>
        <w:rPr>
          <w:color w:val="231F20"/>
        </w:rPr>
        <w:t>Згідно з принципом розподілу влад і конституційних норм державна</w:t>
      </w:r>
      <w:r>
        <w:rPr>
          <w:color w:val="231F20"/>
        </w:rPr>
        <w:t xml:space="preserve"> влада в Україні здійснюється на засадах її поділу на зако- нодавчу, виконавчу та судову</w:t>
      </w:r>
      <w:r>
        <w:rPr>
          <w:color w:val="231F20"/>
          <w:position w:val="7"/>
          <w:sz w:val="12"/>
        </w:rPr>
        <w:t>4</w:t>
      </w:r>
      <w:r>
        <w:rPr>
          <w:color w:val="231F20"/>
        </w:rPr>
        <w:t>.</w:t>
      </w:r>
    </w:p>
    <w:p w14:paraId="32E56C2B" w14:textId="77777777" w:rsidR="00DE575E" w:rsidRDefault="002E7560">
      <w:pPr>
        <w:pStyle w:val="BodyText"/>
        <w:spacing w:before="1"/>
        <w:ind w:left="817"/>
      </w:pPr>
      <w:r>
        <w:rPr>
          <w:color w:val="231F20"/>
        </w:rPr>
        <w:t>Зовнішньою формою реалізації державної влади є:</w:t>
      </w:r>
    </w:p>
    <w:p w14:paraId="26737B2C" w14:textId="77777777" w:rsidR="00DE575E" w:rsidRDefault="002E7560">
      <w:pPr>
        <w:pStyle w:val="ListParagraph"/>
        <w:numPr>
          <w:ilvl w:val="1"/>
          <w:numId w:val="317"/>
        </w:numPr>
        <w:tabs>
          <w:tab w:val="left" w:pos="1101"/>
        </w:tabs>
        <w:spacing w:before="13"/>
        <w:ind w:firstLine="284"/>
        <w:jc w:val="left"/>
        <w:rPr>
          <w:sz w:val="21"/>
        </w:rPr>
      </w:pPr>
      <w:r>
        <w:rPr>
          <w:color w:val="231F20"/>
          <w:sz w:val="21"/>
        </w:rPr>
        <w:t>для законодавчої влади –</w:t>
      </w:r>
      <w:r>
        <w:rPr>
          <w:color w:val="231F20"/>
          <w:spacing w:val="-5"/>
          <w:sz w:val="21"/>
        </w:rPr>
        <w:t xml:space="preserve"> </w:t>
      </w:r>
      <w:r>
        <w:rPr>
          <w:color w:val="231F20"/>
          <w:sz w:val="21"/>
        </w:rPr>
        <w:t>законотворчість;</w:t>
      </w:r>
    </w:p>
    <w:p w14:paraId="374920C0" w14:textId="77777777" w:rsidR="00DE575E" w:rsidRDefault="002E7560">
      <w:pPr>
        <w:pStyle w:val="ListParagraph"/>
        <w:numPr>
          <w:ilvl w:val="1"/>
          <w:numId w:val="317"/>
        </w:numPr>
        <w:tabs>
          <w:tab w:val="left" w:pos="1101"/>
        </w:tabs>
        <w:spacing w:before="13"/>
        <w:ind w:firstLine="284"/>
        <w:jc w:val="left"/>
        <w:rPr>
          <w:sz w:val="21"/>
        </w:rPr>
      </w:pPr>
      <w:r>
        <w:rPr>
          <w:color w:val="231F20"/>
          <w:sz w:val="21"/>
        </w:rPr>
        <w:t xml:space="preserve">для виконавчої влади – </w:t>
      </w:r>
      <w:r>
        <w:rPr>
          <w:b/>
          <w:color w:val="231F20"/>
          <w:sz w:val="21"/>
        </w:rPr>
        <w:t>публічне</w:t>
      </w:r>
      <w:r>
        <w:rPr>
          <w:b/>
          <w:color w:val="231F20"/>
          <w:spacing w:val="-8"/>
          <w:sz w:val="21"/>
        </w:rPr>
        <w:t xml:space="preserve"> </w:t>
      </w:r>
      <w:r>
        <w:rPr>
          <w:b/>
          <w:color w:val="231F20"/>
          <w:sz w:val="21"/>
        </w:rPr>
        <w:t>адміністрування</w:t>
      </w:r>
      <w:r>
        <w:rPr>
          <w:color w:val="231F20"/>
          <w:sz w:val="21"/>
        </w:rPr>
        <w:t>;</w:t>
      </w:r>
    </w:p>
    <w:p w14:paraId="0B7A3075" w14:textId="77777777" w:rsidR="00DE575E" w:rsidRDefault="002E7560">
      <w:pPr>
        <w:pStyle w:val="ListParagraph"/>
        <w:numPr>
          <w:ilvl w:val="1"/>
          <w:numId w:val="317"/>
        </w:numPr>
        <w:tabs>
          <w:tab w:val="left" w:pos="1101"/>
        </w:tabs>
        <w:spacing w:before="13"/>
        <w:ind w:firstLine="284"/>
        <w:jc w:val="left"/>
        <w:rPr>
          <w:sz w:val="21"/>
        </w:rPr>
      </w:pPr>
      <w:r>
        <w:rPr>
          <w:color w:val="231F20"/>
          <w:sz w:val="21"/>
        </w:rPr>
        <w:t xml:space="preserve">для </w:t>
      </w:r>
      <w:r>
        <w:rPr>
          <w:color w:val="231F20"/>
          <w:spacing w:val="-3"/>
          <w:sz w:val="21"/>
        </w:rPr>
        <w:t xml:space="preserve">судової </w:t>
      </w:r>
      <w:r>
        <w:rPr>
          <w:color w:val="231F20"/>
          <w:sz w:val="21"/>
        </w:rPr>
        <w:t>влади –</w:t>
      </w:r>
      <w:r>
        <w:rPr>
          <w:color w:val="231F20"/>
          <w:spacing w:val="-2"/>
          <w:sz w:val="21"/>
        </w:rPr>
        <w:t xml:space="preserve"> </w:t>
      </w:r>
      <w:r>
        <w:rPr>
          <w:color w:val="231F20"/>
          <w:sz w:val="21"/>
        </w:rPr>
        <w:t>правосуддя</w:t>
      </w:r>
      <w:r>
        <w:rPr>
          <w:color w:val="231F20"/>
          <w:position w:val="7"/>
          <w:sz w:val="12"/>
        </w:rPr>
        <w:t>5</w:t>
      </w:r>
      <w:r>
        <w:rPr>
          <w:color w:val="231F20"/>
          <w:sz w:val="21"/>
        </w:rPr>
        <w:t>.</w:t>
      </w:r>
    </w:p>
    <w:p w14:paraId="69A1AFA6" w14:textId="77777777" w:rsidR="00DE575E" w:rsidRDefault="002E7560">
      <w:pPr>
        <w:pStyle w:val="BodyText"/>
        <w:spacing w:before="13" w:line="252" w:lineRule="auto"/>
        <w:ind w:left="533" w:right="128" w:firstLine="283"/>
        <w:jc w:val="both"/>
      </w:pPr>
      <w:r>
        <w:rPr>
          <w:color w:val="231F20"/>
        </w:rPr>
        <w:t>У цій тріаді ми виділяємо виконавчу владу, що реалізує свої завдання (функції) на основі норм адміністративного права.</w:t>
      </w:r>
    </w:p>
    <w:p w14:paraId="7ADC6784" w14:textId="77777777" w:rsidR="00DE575E" w:rsidRDefault="002E7560">
      <w:pPr>
        <w:pStyle w:val="Heading6"/>
        <w:ind w:left="817" w:firstLine="0"/>
      </w:pPr>
      <w:r>
        <w:rPr>
          <w:color w:val="231F20"/>
        </w:rPr>
        <w:t>Сутністю виконавчої влади є:</w:t>
      </w:r>
    </w:p>
    <w:p w14:paraId="747C2896" w14:textId="77777777" w:rsidR="00DE575E" w:rsidRDefault="002E7560">
      <w:pPr>
        <w:pStyle w:val="ListParagraph"/>
        <w:numPr>
          <w:ilvl w:val="1"/>
          <w:numId w:val="318"/>
        </w:numPr>
        <w:tabs>
          <w:tab w:val="left" w:pos="1101"/>
        </w:tabs>
        <w:spacing w:before="12"/>
        <w:ind w:firstLine="567"/>
        <w:jc w:val="left"/>
        <w:rPr>
          <w:sz w:val="21"/>
        </w:rPr>
      </w:pPr>
      <w:r>
        <w:rPr>
          <w:color w:val="231F20"/>
          <w:sz w:val="21"/>
        </w:rPr>
        <w:t>реалізація та виконання законів на території всієї</w:t>
      </w:r>
      <w:r>
        <w:rPr>
          <w:color w:val="231F20"/>
          <w:spacing w:val="-12"/>
          <w:sz w:val="21"/>
        </w:rPr>
        <w:t xml:space="preserve"> </w:t>
      </w:r>
      <w:r>
        <w:rPr>
          <w:color w:val="231F20"/>
          <w:sz w:val="21"/>
        </w:rPr>
        <w:t>держави;</w:t>
      </w:r>
    </w:p>
    <w:p w14:paraId="5A2E0996" w14:textId="50D8A911" w:rsidR="00DE575E" w:rsidRDefault="002E7560">
      <w:pPr>
        <w:pStyle w:val="BodyText"/>
        <w:spacing w:before="4"/>
        <w:rPr>
          <w:sz w:val="25"/>
        </w:rPr>
      </w:pPr>
      <w:r>
        <w:rPr>
          <w:noProof/>
        </w:rPr>
        <mc:AlternateContent>
          <mc:Choice Requires="wps">
            <w:drawing>
              <wp:anchor distT="0" distB="0" distL="0" distR="0" simplePos="0" relativeHeight="1408" behindDoc="0" locked="0" layoutInCell="1" allowOverlap="1" wp14:anchorId="0DF4B666" wp14:editId="00D0444B">
                <wp:simplePos x="0" y="0"/>
                <wp:positionH relativeFrom="page">
                  <wp:posOffset>719455</wp:posOffset>
                </wp:positionH>
                <wp:positionV relativeFrom="paragraph">
                  <wp:posOffset>216535</wp:posOffset>
                </wp:positionV>
                <wp:extent cx="1080135" cy="0"/>
                <wp:effectExtent l="8255" t="13335" r="29210" b="24765"/>
                <wp:wrapTopAndBottom/>
                <wp:docPr id="1380"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3B086" id="Line_x0020_1379"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05pt" to="141.7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" strokecolor="#231f20" strokeweight=".5pt">
                <w10:wrap type="topAndBottom" anchorx="page"/>
              </v:line>
            </w:pict>
          </mc:Fallback>
        </mc:AlternateContent>
      </w:r>
    </w:p>
    <w:p w14:paraId="3332AC84"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Кравчук М. Теорія держави і пра</w:t>
      </w:r>
      <w:r>
        <w:rPr>
          <w:color w:val="231F20"/>
          <w:sz w:val="16"/>
        </w:rPr>
        <w:t>ва. Проблеми теорії держави і права: навчальний посібник. Тернопіль: Карт-бланш, 2002. С. 43.</w:t>
      </w:r>
    </w:p>
    <w:p w14:paraId="3A110272" w14:textId="77777777" w:rsidR="00DE575E" w:rsidRDefault="002E7560">
      <w:pPr>
        <w:spacing w:before="26" w:line="204" w:lineRule="auto"/>
        <w:ind w:left="533" w:right="128"/>
        <w:jc w:val="both"/>
        <w:rPr>
          <w:sz w:val="16"/>
        </w:rPr>
      </w:pPr>
      <w:r>
        <w:rPr>
          <w:color w:val="231F20"/>
          <w:position w:val="5"/>
          <w:sz w:val="9"/>
        </w:rPr>
        <w:t xml:space="preserve">2 </w:t>
      </w:r>
      <w:r>
        <w:rPr>
          <w:color w:val="231F20"/>
          <w:sz w:val="16"/>
        </w:rPr>
        <w:t>Публічні суб’єкти – це суб’єкти державної влади і місцевого самоврядування та недер- жавні суб’єкти відповідно до делегованих владних повноважень під час здійсн</w:t>
      </w:r>
      <w:r>
        <w:rPr>
          <w:color w:val="231F20"/>
          <w:sz w:val="16"/>
        </w:rPr>
        <w:t>ення вико- навчих функцій.</w:t>
      </w:r>
    </w:p>
    <w:p w14:paraId="3997959F" w14:textId="77777777" w:rsidR="00DE575E" w:rsidRDefault="002E7560">
      <w:pPr>
        <w:spacing w:before="30" w:line="204" w:lineRule="auto"/>
        <w:ind w:left="533" w:right="130"/>
        <w:jc w:val="both"/>
        <w:rPr>
          <w:sz w:val="16"/>
        </w:rPr>
      </w:pPr>
      <w:r>
        <w:rPr>
          <w:color w:val="231F20"/>
          <w:position w:val="5"/>
          <w:sz w:val="9"/>
        </w:rPr>
        <w:t xml:space="preserve">3 </w:t>
      </w:r>
      <w:r>
        <w:rPr>
          <w:color w:val="231F20"/>
          <w:sz w:val="16"/>
        </w:rPr>
        <w:t>Мельник Р., Бевзенко В. Загальне адміністративне право: навчальний посібник; за заг. ред. Р. Мельника. Київ: Ваіте, 2014. 376 с.</w:t>
      </w:r>
    </w:p>
    <w:p w14:paraId="0753D62C" w14:textId="77777777" w:rsidR="00DE575E" w:rsidRDefault="002E7560">
      <w:pPr>
        <w:spacing w:before="7"/>
        <w:ind w:left="533"/>
        <w:rPr>
          <w:sz w:val="16"/>
        </w:rPr>
      </w:pPr>
      <w:r>
        <w:rPr>
          <w:color w:val="231F20"/>
          <w:position w:val="5"/>
          <w:sz w:val="9"/>
        </w:rPr>
        <w:t xml:space="preserve">4 </w:t>
      </w:r>
      <w:r>
        <w:rPr>
          <w:color w:val="231F20"/>
          <w:sz w:val="16"/>
        </w:rPr>
        <w:t>Ст. 6 Конституції України.</w:t>
      </w:r>
    </w:p>
    <w:p w14:paraId="364C0E8E" w14:textId="77777777" w:rsidR="00DE575E" w:rsidRDefault="002E7560">
      <w:pPr>
        <w:spacing w:before="23" w:line="204" w:lineRule="auto"/>
        <w:ind w:left="533" w:right="128"/>
        <w:jc w:val="both"/>
        <w:rPr>
          <w:sz w:val="16"/>
        </w:rPr>
      </w:pPr>
      <w:r>
        <w:rPr>
          <w:color w:val="231F20"/>
          <w:position w:val="5"/>
          <w:sz w:val="9"/>
        </w:rPr>
        <w:t xml:space="preserve">5 </w:t>
      </w:r>
      <w:r>
        <w:rPr>
          <w:color w:val="231F20"/>
          <w:sz w:val="16"/>
        </w:rPr>
        <w:t xml:space="preserve">Мельник Р. Загальне адміністративне право в питаннях і відповідях: </w:t>
      </w:r>
      <w:r>
        <w:rPr>
          <w:color w:val="231F20"/>
          <w:sz w:val="16"/>
        </w:rPr>
        <w:t>посібник. Київ: Юрінком Інтер, 2018. 308 с.</w:t>
      </w:r>
    </w:p>
    <w:p w14:paraId="1ED73CBF" w14:textId="77777777" w:rsidR="00DE575E" w:rsidRDefault="00DE575E">
      <w:pPr>
        <w:pStyle w:val="BodyText"/>
        <w:spacing w:before="5"/>
        <w:rPr>
          <w:sz w:val="12"/>
        </w:rPr>
      </w:pPr>
    </w:p>
    <w:p w14:paraId="42423916" w14:textId="77777777" w:rsidR="00DE575E" w:rsidRDefault="002E7560">
      <w:pPr>
        <w:spacing w:before="92"/>
        <w:ind w:left="533"/>
        <w:rPr>
          <w:rFonts w:ascii="Times New Roman"/>
          <w:sz w:val="20"/>
        </w:rPr>
      </w:pPr>
      <w:r>
        <w:rPr>
          <w:rFonts w:ascii="Times New Roman"/>
          <w:color w:val="231F20"/>
          <w:sz w:val="20"/>
        </w:rPr>
        <w:t>18</w:t>
      </w:r>
    </w:p>
    <w:p w14:paraId="0194E8B2" w14:textId="77777777" w:rsidR="00DE575E" w:rsidRDefault="00DE575E">
      <w:pPr>
        <w:rPr>
          <w:rFonts w:ascii="Times New Roman"/>
          <w:sz w:val="20"/>
        </w:rPr>
        <w:sectPr w:rsidR="00DE575E">
          <w:pgSz w:w="8510" w:h="12760"/>
          <w:pgMar w:top="660" w:right="720" w:bottom="280" w:left="600" w:header="720" w:footer="720" w:gutter="0"/>
          <w:cols w:space="720"/>
        </w:sectPr>
      </w:pPr>
    </w:p>
    <w:p w14:paraId="48AFB720"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181124E4" w14:textId="262EDBF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006318A" wp14:editId="4AD9F23D">
                <wp:extent cx="4140200" cy="6350"/>
                <wp:effectExtent l="0" t="0" r="12700" b="6350"/>
                <wp:docPr id="1378"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79" name="Line 13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2C0B6C" id="Group_x0020_13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wediN/AgAAnAUAAA4A&#10;AAAAAAAAAAAAAAAALAIAAGRycy9lMm9Eb2MueG1sUEsBAi0AFAAGAAgAAAAhAEynsJDZAAAAAwEA&#10;AA8AAAAAAAAAAAAAAAAA1wQAAGRycy9kb3ducmV2LnhtbFBLBQYAAAAABAAEAPMAAADdBQAAAAA=&#10;">
                <v:line id="Line_x0020_13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1G8UAAADdAAAADwAAAGRycy9kb3ducmV2LnhtbERP22rCQBB9F/yHZQq+lLppA7VGV5FC&#10;QfrgLX7AmB2T0N3ZmF1N2q/vFgq+zeFcZ77srRE3an3tWMHzOAFBXDhdc6ngmH88vYHwAVmjcUwK&#10;vsnDcjEczDHTruM93Q6hFDGEfYYKqhCaTEpfVGTRj11DHLmzay2GCNtS6ha7GG6NfEmSV2mx5thQ&#10;YUPvFRVfh6tVkF8eg9ltP02Xb0+pPF026c91o9TooV/NQATqw138717rOD+dTOHvm3iC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p/1G8UAAADdAAAADwAAAAAAAAAA&#10;AAAAAAChAgAAZHJzL2Rvd25yZXYueG1sUEsFBgAAAAAEAAQA+QAAAJMDAAAAAA==&#10;" strokecolor="#231f20" strokeweight=".5pt"/>
                <w10:anchorlock/>
              </v:group>
            </w:pict>
          </mc:Fallback>
        </mc:AlternateContent>
      </w:r>
    </w:p>
    <w:p w14:paraId="64C0EABC" w14:textId="77777777" w:rsidR="00DE575E" w:rsidRDefault="00DE575E">
      <w:pPr>
        <w:pStyle w:val="BodyText"/>
        <w:spacing w:before="3"/>
        <w:rPr>
          <w:rFonts w:ascii="AdonisC"/>
          <w:i/>
          <w:sz w:val="12"/>
        </w:rPr>
      </w:pPr>
    </w:p>
    <w:p w14:paraId="57FA1912" w14:textId="77777777" w:rsidR="00DE575E" w:rsidRDefault="002E7560">
      <w:pPr>
        <w:pStyle w:val="ListParagraph"/>
        <w:numPr>
          <w:ilvl w:val="1"/>
          <w:numId w:val="318"/>
        </w:numPr>
        <w:tabs>
          <w:tab w:val="left" w:pos="818"/>
        </w:tabs>
        <w:spacing w:before="100"/>
        <w:ind w:left="817"/>
        <w:jc w:val="left"/>
        <w:rPr>
          <w:sz w:val="21"/>
        </w:rPr>
      </w:pPr>
      <w:r>
        <w:rPr>
          <w:color w:val="231F20"/>
          <w:sz w:val="21"/>
        </w:rPr>
        <w:t>публічне забезпечення прав і свобод людини і</w:t>
      </w:r>
      <w:r>
        <w:rPr>
          <w:color w:val="231F20"/>
          <w:spacing w:val="-19"/>
          <w:sz w:val="21"/>
        </w:rPr>
        <w:t xml:space="preserve"> </w:t>
      </w:r>
      <w:r>
        <w:rPr>
          <w:color w:val="231F20"/>
          <w:sz w:val="21"/>
        </w:rPr>
        <w:t>громадянина;</w:t>
      </w:r>
    </w:p>
    <w:p w14:paraId="30A09B29" w14:textId="77777777" w:rsidR="00DE575E" w:rsidRDefault="002E7560">
      <w:pPr>
        <w:pStyle w:val="ListParagraph"/>
        <w:numPr>
          <w:ilvl w:val="1"/>
          <w:numId w:val="318"/>
        </w:numPr>
        <w:tabs>
          <w:tab w:val="left" w:pos="818"/>
        </w:tabs>
        <w:spacing w:before="13" w:line="252" w:lineRule="auto"/>
        <w:ind w:right="411" w:firstLine="283"/>
        <w:jc w:val="both"/>
        <w:rPr>
          <w:sz w:val="21"/>
        </w:rPr>
      </w:pPr>
      <w:r>
        <w:rPr>
          <w:color w:val="231F20"/>
          <w:sz w:val="21"/>
        </w:rPr>
        <w:t>публічне</w:t>
      </w:r>
      <w:r>
        <w:rPr>
          <w:color w:val="231F20"/>
          <w:spacing w:val="-10"/>
          <w:sz w:val="21"/>
        </w:rPr>
        <w:t xml:space="preserve"> </w:t>
      </w:r>
      <w:r>
        <w:rPr>
          <w:color w:val="231F20"/>
          <w:sz w:val="21"/>
        </w:rPr>
        <w:t>адміністрування</w:t>
      </w:r>
      <w:r>
        <w:rPr>
          <w:color w:val="231F20"/>
          <w:spacing w:val="-10"/>
          <w:sz w:val="21"/>
        </w:rPr>
        <w:t xml:space="preserve"> </w:t>
      </w:r>
      <w:r>
        <w:rPr>
          <w:color w:val="231F20"/>
          <w:sz w:val="21"/>
        </w:rPr>
        <w:t>в</w:t>
      </w:r>
      <w:r>
        <w:rPr>
          <w:color w:val="231F20"/>
          <w:spacing w:val="-9"/>
          <w:sz w:val="21"/>
        </w:rPr>
        <w:t xml:space="preserve"> </w:t>
      </w:r>
      <w:r>
        <w:rPr>
          <w:color w:val="231F20"/>
          <w:sz w:val="21"/>
        </w:rPr>
        <w:t>різних</w:t>
      </w:r>
      <w:r>
        <w:rPr>
          <w:color w:val="231F20"/>
          <w:spacing w:val="-10"/>
          <w:sz w:val="21"/>
        </w:rPr>
        <w:t xml:space="preserve"> </w:t>
      </w:r>
      <w:r>
        <w:rPr>
          <w:color w:val="231F20"/>
          <w:sz w:val="21"/>
        </w:rPr>
        <w:t>сферах</w:t>
      </w:r>
      <w:r>
        <w:rPr>
          <w:color w:val="231F20"/>
          <w:spacing w:val="-10"/>
          <w:sz w:val="21"/>
        </w:rPr>
        <w:t xml:space="preserve"> </w:t>
      </w:r>
      <w:r>
        <w:rPr>
          <w:color w:val="231F20"/>
          <w:sz w:val="21"/>
        </w:rPr>
        <w:t>суспільного</w:t>
      </w:r>
      <w:r>
        <w:rPr>
          <w:color w:val="231F20"/>
          <w:spacing w:val="-10"/>
          <w:sz w:val="21"/>
        </w:rPr>
        <w:t xml:space="preserve"> </w:t>
      </w:r>
      <w:r>
        <w:rPr>
          <w:color w:val="231F20"/>
          <w:sz w:val="21"/>
        </w:rPr>
        <w:t>життя</w:t>
      </w:r>
      <w:r>
        <w:rPr>
          <w:color w:val="231F20"/>
          <w:spacing w:val="-9"/>
          <w:sz w:val="21"/>
        </w:rPr>
        <w:t xml:space="preserve"> </w:t>
      </w:r>
      <w:r>
        <w:rPr>
          <w:color w:val="231F20"/>
          <w:sz w:val="21"/>
        </w:rPr>
        <w:t>– соціально-культурній, адміністративно-політичній, фінансово- економічній та</w:t>
      </w:r>
      <w:r>
        <w:rPr>
          <w:color w:val="231F20"/>
          <w:spacing w:val="-2"/>
          <w:sz w:val="21"/>
        </w:rPr>
        <w:t xml:space="preserve"> </w:t>
      </w:r>
      <w:r>
        <w:rPr>
          <w:color w:val="231F20"/>
          <w:sz w:val="21"/>
        </w:rPr>
        <w:t>ін.;</w:t>
      </w:r>
    </w:p>
    <w:p w14:paraId="1C6D42A6" w14:textId="77777777" w:rsidR="00DE575E" w:rsidRDefault="002E7560">
      <w:pPr>
        <w:pStyle w:val="ListParagraph"/>
        <w:numPr>
          <w:ilvl w:val="1"/>
          <w:numId w:val="318"/>
        </w:numPr>
        <w:tabs>
          <w:tab w:val="left" w:pos="818"/>
        </w:tabs>
        <w:spacing w:line="252" w:lineRule="auto"/>
        <w:ind w:right="411" w:firstLine="283"/>
        <w:jc w:val="both"/>
        <w:rPr>
          <w:sz w:val="21"/>
        </w:rPr>
      </w:pPr>
      <w:r>
        <w:rPr>
          <w:color w:val="231F20"/>
          <w:sz w:val="21"/>
        </w:rPr>
        <w:t>сприяння задоволенн</w:t>
      </w:r>
      <w:r>
        <w:rPr>
          <w:color w:val="231F20"/>
          <w:sz w:val="21"/>
        </w:rPr>
        <w:t>ю життєвих потреб населення, коли забезпечити їх за рахунок приватної ініціативи</w:t>
      </w:r>
      <w:r>
        <w:rPr>
          <w:color w:val="231F20"/>
          <w:spacing w:val="-9"/>
          <w:sz w:val="21"/>
        </w:rPr>
        <w:t xml:space="preserve"> </w:t>
      </w:r>
      <w:r>
        <w:rPr>
          <w:color w:val="231F20"/>
          <w:sz w:val="21"/>
        </w:rPr>
        <w:t>неможливо.</w:t>
      </w:r>
    </w:p>
    <w:p w14:paraId="26A28A1C" w14:textId="77777777" w:rsidR="00DE575E" w:rsidRDefault="002E7560">
      <w:pPr>
        <w:spacing w:before="1" w:line="252" w:lineRule="auto"/>
        <w:ind w:left="250" w:right="413" w:firstLine="283"/>
        <w:jc w:val="both"/>
        <w:rPr>
          <w:b/>
          <w:sz w:val="21"/>
        </w:rPr>
      </w:pPr>
      <w:r>
        <w:rPr>
          <w:color w:val="231F20"/>
          <w:sz w:val="21"/>
        </w:rPr>
        <w:t xml:space="preserve">Тим самим, зовнішнім виразом реалізації юридичної діяльності виконавчої влади є </w:t>
      </w:r>
      <w:r>
        <w:rPr>
          <w:b/>
          <w:color w:val="231F20"/>
          <w:sz w:val="21"/>
        </w:rPr>
        <w:t>публічне адміністрування.</w:t>
      </w:r>
    </w:p>
    <w:p w14:paraId="449929AA" w14:textId="77777777" w:rsidR="00DE575E" w:rsidRDefault="002E7560">
      <w:pPr>
        <w:spacing w:before="100" w:line="244" w:lineRule="auto"/>
        <w:ind w:left="533" w:right="411" w:firstLine="283"/>
        <w:jc w:val="both"/>
        <w:rPr>
          <w:i/>
          <w:sz w:val="18"/>
        </w:rPr>
      </w:pPr>
      <w:r>
        <w:rPr>
          <w:i/>
          <w:color w:val="231F20"/>
          <w:sz w:val="18"/>
          <w:u w:val="single" w:color="231F20"/>
        </w:rPr>
        <w:t>Приклад</w:t>
      </w:r>
      <w:r>
        <w:rPr>
          <w:b/>
          <w:i/>
          <w:color w:val="231F20"/>
          <w:sz w:val="18"/>
        </w:rPr>
        <w:t>:</w:t>
      </w:r>
      <w:r>
        <w:rPr>
          <w:b/>
          <w:i/>
          <w:color w:val="231F20"/>
          <w:spacing w:val="-14"/>
          <w:sz w:val="18"/>
        </w:rPr>
        <w:t xml:space="preserve"> </w:t>
      </w:r>
      <w:r>
        <w:rPr>
          <w:i/>
          <w:color w:val="231F20"/>
          <w:sz w:val="18"/>
        </w:rPr>
        <w:t>у</w:t>
      </w:r>
      <w:r>
        <w:rPr>
          <w:i/>
          <w:color w:val="231F20"/>
          <w:spacing w:val="-14"/>
          <w:sz w:val="18"/>
        </w:rPr>
        <w:t xml:space="preserve"> </w:t>
      </w:r>
      <w:r>
        <w:rPr>
          <w:i/>
          <w:color w:val="231F20"/>
          <w:sz w:val="18"/>
        </w:rPr>
        <w:t>процесі</w:t>
      </w:r>
      <w:r>
        <w:rPr>
          <w:i/>
          <w:color w:val="231F20"/>
          <w:spacing w:val="-14"/>
          <w:sz w:val="18"/>
        </w:rPr>
        <w:t xml:space="preserve"> </w:t>
      </w:r>
      <w:r>
        <w:rPr>
          <w:i/>
          <w:color w:val="231F20"/>
          <w:sz w:val="18"/>
        </w:rPr>
        <w:t>здійсненняпублічногоадміністрування</w:t>
      </w:r>
      <w:r>
        <w:rPr>
          <w:i/>
          <w:color w:val="231F20"/>
          <w:spacing w:val="-14"/>
          <w:sz w:val="18"/>
        </w:rPr>
        <w:t xml:space="preserve"> </w:t>
      </w:r>
      <w:r>
        <w:rPr>
          <w:i/>
          <w:color w:val="231F20"/>
          <w:sz w:val="18"/>
        </w:rPr>
        <w:t>Кабінет</w:t>
      </w:r>
      <w:r>
        <w:rPr>
          <w:i/>
          <w:color w:val="231F20"/>
          <w:spacing w:val="-14"/>
          <w:sz w:val="18"/>
        </w:rPr>
        <w:t xml:space="preserve"> </w:t>
      </w:r>
      <w:r>
        <w:rPr>
          <w:i/>
          <w:color w:val="231F20"/>
          <w:sz w:val="18"/>
        </w:rPr>
        <w:t>Мініст- рів</w:t>
      </w:r>
      <w:r>
        <w:rPr>
          <w:i/>
          <w:color w:val="231F20"/>
          <w:spacing w:val="-7"/>
          <w:sz w:val="18"/>
        </w:rPr>
        <w:t xml:space="preserve"> </w:t>
      </w:r>
      <w:r>
        <w:rPr>
          <w:i/>
          <w:color w:val="231F20"/>
          <w:sz w:val="18"/>
        </w:rPr>
        <w:t>України</w:t>
      </w:r>
      <w:r>
        <w:rPr>
          <w:i/>
          <w:color w:val="231F20"/>
          <w:spacing w:val="-7"/>
          <w:sz w:val="18"/>
        </w:rPr>
        <w:t xml:space="preserve"> </w:t>
      </w:r>
      <w:r>
        <w:rPr>
          <w:i/>
          <w:color w:val="231F20"/>
          <w:sz w:val="18"/>
        </w:rPr>
        <w:t>здійснює</w:t>
      </w:r>
      <w:r>
        <w:rPr>
          <w:i/>
          <w:color w:val="231F20"/>
          <w:spacing w:val="-7"/>
          <w:sz w:val="18"/>
        </w:rPr>
        <w:t xml:space="preserve"> </w:t>
      </w:r>
      <w:r>
        <w:rPr>
          <w:i/>
          <w:color w:val="231F20"/>
          <w:sz w:val="18"/>
        </w:rPr>
        <w:t>виконання</w:t>
      </w:r>
      <w:r>
        <w:rPr>
          <w:i/>
          <w:color w:val="231F20"/>
          <w:spacing w:val="-7"/>
          <w:sz w:val="18"/>
        </w:rPr>
        <w:t xml:space="preserve"> </w:t>
      </w:r>
      <w:r>
        <w:rPr>
          <w:i/>
          <w:color w:val="231F20"/>
          <w:sz w:val="18"/>
        </w:rPr>
        <w:t>Конституції</w:t>
      </w:r>
      <w:r>
        <w:rPr>
          <w:i/>
          <w:color w:val="231F20"/>
          <w:spacing w:val="-7"/>
          <w:sz w:val="18"/>
        </w:rPr>
        <w:t xml:space="preserve"> </w:t>
      </w:r>
      <w:r>
        <w:rPr>
          <w:i/>
          <w:color w:val="231F20"/>
          <w:sz w:val="18"/>
        </w:rPr>
        <w:t>та</w:t>
      </w:r>
      <w:r>
        <w:rPr>
          <w:i/>
          <w:color w:val="231F20"/>
          <w:spacing w:val="-7"/>
          <w:sz w:val="18"/>
        </w:rPr>
        <w:t xml:space="preserve"> </w:t>
      </w:r>
      <w:r>
        <w:rPr>
          <w:i/>
          <w:color w:val="231F20"/>
          <w:sz w:val="18"/>
        </w:rPr>
        <w:t>законів</w:t>
      </w:r>
      <w:r>
        <w:rPr>
          <w:i/>
          <w:color w:val="231F20"/>
          <w:spacing w:val="-7"/>
          <w:sz w:val="18"/>
        </w:rPr>
        <w:t xml:space="preserve"> </w:t>
      </w:r>
      <w:r>
        <w:rPr>
          <w:i/>
          <w:color w:val="231F20"/>
          <w:sz w:val="18"/>
        </w:rPr>
        <w:t>України,</w:t>
      </w:r>
      <w:r>
        <w:rPr>
          <w:i/>
          <w:color w:val="231F20"/>
          <w:spacing w:val="-7"/>
          <w:sz w:val="18"/>
        </w:rPr>
        <w:t xml:space="preserve"> </w:t>
      </w:r>
      <w:r>
        <w:rPr>
          <w:i/>
          <w:color w:val="231F20"/>
          <w:sz w:val="18"/>
        </w:rPr>
        <w:t>уживає</w:t>
      </w:r>
      <w:r>
        <w:rPr>
          <w:i/>
          <w:color w:val="231F20"/>
          <w:spacing w:val="-7"/>
          <w:sz w:val="18"/>
        </w:rPr>
        <w:t xml:space="preserve"> </w:t>
      </w:r>
      <w:r>
        <w:rPr>
          <w:i/>
          <w:color w:val="231F20"/>
          <w:sz w:val="18"/>
        </w:rPr>
        <w:t>захо- дів</w:t>
      </w:r>
      <w:r>
        <w:rPr>
          <w:i/>
          <w:color w:val="231F20"/>
          <w:spacing w:val="-7"/>
          <w:sz w:val="18"/>
        </w:rPr>
        <w:t xml:space="preserve"> </w:t>
      </w:r>
      <w:r>
        <w:rPr>
          <w:i/>
          <w:color w:val="231F20"/>
          <w:sz w:val="18"/>
        </w:rPr>
        <w:t>щодо</w:t>
      </w:r>
      <w:r>
        <w:rPr>
          <w:i/>
          <w:color w:val="231F20"/>
          <w:spacing w:val="-7"/>
          <w:sz w:val="18"/>
        </w:rPr>
        <w:t xml:space="preserve"> </w:t>
      </w:r>
      <w:r>
        <w:rPr>
          <w:i/>
          <w:color w:val="231F20"/>
          <w:sz w:val="18"/>
        </w:rPr>
        <w:t>забезпечення</w:t>
      </w:r>
      <w:r>
        <w:rPr>
          <w:i/>
          <w:color w:val="231F20"/>
          <w:spacing w:val="-7"/>
          <w:sz w:val="18"/>
        </w:rPr>
        <w:t xml:space="preserve"> </w:t>
      </w:r>
      <w:r>
        <w:rPr>
          <w:i/>
          <w:color w:val="231F20"/>
          <w:sz w:val="18"/>
        </w:rPr>
        <w:t>прав</w:t>
      </w:r>
      <w:r>
        <w:rPr>
          <w:i/>
          <w:color w:val="231F20"/>
          <w:spacing w:val="-7"/>
          <w:sz w:val="18"/>
        </w:rPr>
        <w:t xml:space="preserve"> </w:t>
      </w:r>
      <w:r>
        <w:rPr>
          <w:i/>
          <w:color w:val="231F20"/>
          <w:sz w:val="18"/>
        </w:rPr>
        <w:t>і</w:t>
      </w:r>
      <w:r>
        <w:rPr>
          <w:i/>
          <w:color w:val="231F20"/>
          <w:spacing w:val="-7"/>
          <w:sz w:val="18"/>
        </w:rPr>
        <w:t xml:space="preserve"> </w:t>
      </w:r>
      <w:r>
        <w:rPr>
          <w:i/>
          <w:color w:val="231F20"/>
          <w:sz w:val="18"/>
        </w:rPr>
        <w:t>свобод</w:t>
      </w:r>
      <w:r>
        <w:rPr>
          <w:i/>
          <w:color w:val="231F20"/>
          <w:spacing w:val="-7"/>
          <w:sz w:val="18"/>
        </w:rPr>
        <w:t xml:space="preserve"> </w:t>
      </w:r>
      <w:r>
        <w:rPr>
          <w:i/>
          <w:color w:val="231F20"/>
          <w:sz w:val="18"/>
        </w:rPr>
        <w:t>людини</w:t>
      </w:r>
      <w:r>
        <w:rPr>
          <w:i/>
          <w:color w:val="231F20"/>
          <w:spacing w:val="-7"/>
          <w:sz w:val="18"/>
        </w:rPr>
        <w:t xml:space="preserve"> </w:t>
      </w:r>
      <w:r>
        <w:rPr>
          <w:i/>
          <w:color w:val="231F20"/>
          <w:sz w:val="18"/>
        </w:rPr>
        <w:t>та</w:t>
      </w:r>
      <w:r>
        <w:rPr>
          <w:i/>
          <w:color w:val="231F20"/>
          <w:spacing w:val="-7"/>
          <w:sz w:val="18"/>
        </w:rPr>
        <w:t xml:space="preserve"> </w:t>
      </w:r>
      <w:r>
        <w:rPr>
          <w:i/>
          <w:color w:val="231F20"/>
          <w:sz w:val="18"/>
        </w:rPr>
        <w:t>громадянина,</w:t>
      </w:r>
      <w:r>
        <w:rPr>
          <w:i/>
          <w:color w:val="231F20"/>
          <w:spacing w:val="-7"/>
          <w:sz w:val="18"/>
        </w:rPr>
        <w:t xml:space="preserve"> </w:t>
      </w:r>
      <w:r>
        <w:rPr>
          <w:i/>
          <w:color w:val="231F20"/>
          <w:sz w:val="18"/>
        </w:rPr>
        <w:t>щодо</w:t>
      </w:r>
      <w:r>
        <w:rPr>
          <w:i/>
          <w:color w:val="231F20"/>
          <w:spacing w:val="-7"/>
          <w:sz w:val="18"/>
        </w:rPr>
        <w:t xml:space="preserve"> </w:t>
      </w:r>
      <w:r>
        <w:rPr>
          <w:i/>
          <w:color w:val="231F20"/>
          <w:sz w:val="18"/>
        </w:rPr>
        <w:t>створення сприятливих умов для вільного і всебічного розвитку особистості та</w:t>
      </w:r>
      <w:r>
        <w:rPr>
          <w:i/>
          <w:color w:val="231F20"/>
          <w:spacing w:val="-24"/>
          <w:sz w:val="18"/>
        </w:rPr>
        <w:t xml:space="preserve"> </w:t>
      </w:r>
      <w:r>
        <w:rPr>
          <w:i/>
          <w:color w:val="231F20"/>
          <w:sz w:val="18"/>
        </w:rPr>
        <w:t>ін.</w:t>
      </w:r>
      <w:r>
        <w:rPr>
          <w:i/>
          <w:color w:val="231F20"/>
          <w:position w:val="6"/>
          <w:sz w:val="10"/>
        </w:rPr>
        <w:t>1</w:t>
      </w:r>
      <w:r>
        <w:rPr>
          <w:i/>
          <w:color w:val="231F20"/>
          <w:sz w:val="18"/>
        </w:rPr>
        <w:t>.</w:t>
      </w:r>
    </w:p>
    <w:p w14:paraId="42E04243" w14:textId="77777777" w:rsidR="00DE575E" w:rsidRDefault="002E7560">
      <w:pPr>
        <w:pStyle w:val="BodyText"/>
        <w:spacing w:before="131" w:line="252" w:lineRule="auto"/>
        <w:ind w:left="250" w:right="408" w:firstLine="283"/>
        <w:jc w:val="both"/>
      </w:pPr>
      <w:r>
        <w:rPr>
          <w:color w:val="231F20"/>
        </w:rPr>
        <w:t>Французькі вчені-юристи вважають, що публічне адміністру- вання – це адміністративна діяльність суб’єктів публічної адмініст- рації, що здійснюється з метою задоволення публічного інтересу. Вони негативно відмежовують від публічного адміністрування, по-пер</w:t>
      </w:r>
      <w:r>
        <w:rPr>
          <w:color w:val="231F20"/>
        </w:rPr>
        <w:t>ше, юридичну діяльність, спрямовану на задоволення приватних інтересів, по-друге – законодавчу та судову діяльність держави</w:t>
      </w:r>
      <w:r>
        <w:rPr>
          <w:color w:val="231F20"/>
          <w:position w:val="7"/>
          <w:sz w:val="12"/>
        </w:rPr>
        <w:t>2</w:t>
      </w:r>
      <w:r>
        <w:rPr>
          <w:color w:val="231F20"/>
        </w:rPr>
        <w:t>.   Класик   континентального   адміністративного   права О. Маєр доводить, що публічне адміністрування полягає в діяль- ності суб’є</w:t>
      </w:r>
      <w:r>
        <w:rPr>
          <w:color w:val="231F20"/>
        </w:rPr>
        <w:t>ктів публічної адміністрації з виконання виконавчих функцій. При цьому він відмежовує від такої діяльності здійснення виконавчою владою політичних функцій</w:t>
      </w:r>
      <w:r>
        <w:rPr>
          <w:color w:val="231F20"/>
          <w:position w:val="7"/>
          <w:sz w:val="12"/>
        </w:rPr>
        <w:t>3</w:t>
      </w:r>
      <w:r>
        <w:rPr>
          <w:color w:val="231F20"/>
        </w:rPr>
        <w:t>. Іспанські вчені дово- дять, що спроба виділити абстрактну державну функцію публіч- ного адмініструв</w:t>
      </w:r>
      <w:r>
        <w:rPr>
          <w:color w:val="231F20"/>
        </w:rPr>
        <w:t>ання і побудувати на її основі предмет адміністра- тивного права була однією з найдовших в історії іспанської науки,  а також однією з найбільш марних. Утома від цих тривалих діалек- тичних зусиль виявилася в дивовижній остаточній формулі нега- тивного виз</w:t>
      </w:r>
      <w:r>
        <w:rPr>
          <w:color w:val="231F20"/>
        </w:rPr>
        <w:t>начення: публічним адмініструванням стала вважа- тися будь-яка діяльність держави, окрім законодавчої, судової та кримінальної процесуальної</w:t>
      </w:r>
      <w:r>
        <w:rPr>
          <w:color w:val="231F20"/>
          <w:spacing w:val="7"/>
        </w:rPr>
        <w:t xml:space="preserve"> </w:t>
      </w:r>
      <w:r>
        <w:rPr>
          <w:color w:val="231F20"/>
          <w:position w:val="7"/>
          <w:sz w:val="12"/>
        </w:rPr>
        <w:t>4</w:t>
      </w:r>
      <w:r>
        <w:rPr>
          <w:color w:val="231F20"/>
        </w:rPr>
        <w:t>.</w:t>
      </w:r>
    </w:p>
    <w:p w14:paraId="305AE692" w14:textId="77777777" w:rsidR="00DE575E" w:rsidRDefault="002E7560">
      <w:pPr>
        <w:pStyle w:val="BodyText"/>
        <w:spacing w:before="9" w:line="252" w:lineRule="auto"/>
        <w:ind w:left="250" w:right="412" w:firstLine="283"/>
        <w:jc w:val="both"/>
      </w:pPr>
      <w:r>
        <w:rPr>
          <w:color w:val="231F20"/>
        </w:rPr>
        <w:t>Отже, публічне адміністрування як форма реалізації публічної влади характеризується:</w:t>
      </w:r>
    </w:p>
    <w:p w14:paraId="2A4C4DE6" w14:textId="0CFD1F39" w:rsidR="00DE575E" w:rsidRDefault="002E7560">
      <w:pPr>
        <w:pStyle w:val="BodyText"/>
        <w:spacing w:before="3"/>
        <w:rPr>
          <w:sz w:val="22"/>
        </w:rPr>
      </w:pPr>
      <w:r>
        <w:rPr>
          <w:noProof/>
        </w:rPr>
        <mc:AlternateContent>
          <mc:Choice Requires="wps">
            <w:drawing>
              <wp:anchor distT="0" distB="0" distL="0" distR="0" simplePos="0" relativeHeight="1456" behindDoc="0" locked="0" layoutInCell="1" allowOverlap="1" wp14:anchorId="0E1EC618" wp14:editId="44FF30BA">
                <wp:simplePos x="0" y="0"/>
                <wp:positionH relativeFrom="page">
                  <wp:posOffset>539750</wp:posOffset>
                </wp:positionH>
                <wp:positionV relativeFrom="paragraph">
                  <wp:posOffset>193675</wp:posOffset>
                </wp:positionV>
                <wp:extent cx="1080135" cy="0"/>
                <wp:effectExtent l="6350" t="15875" r="31115" b="22225"/>
                <wp:wrapTopAndBottom/>
                <wp:docPr id="1377"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F73A6" id="Line_x0020_1376"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5.25pt" to="127.55pt,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" strokecolor="#231f20" strokeweight=".5pt">
                <w10:wrap type="topAndBottom" anchorx="page"/>
              </v:line>
            </w:pict>
          </mc:Fallback>
        </mc:AlternateContent>
      </w:r>
    </w:p>
    <w:p w14:paraId="4C5548BF" w14:textId="77777777" w:rsidR="00DE575E" w:rsidRDefault="002E7560">
      <w:pPr>
        <w:spacing w:line="182" w:lineRule="exact"/>
        <w:ind w:left="250"/>
        <w:rPr>
          <w:sz w:val="16"/>
        </w:rPr>
      </w:pPr>
      <w:r>
        <w:rPr>
          <w:color w:val="231F20"/>
          <w:position w:val="5"/>
          <w:sz w:val="9"/>
        </w:rPr>
        <w:t xml:space="preserve">1 </w:t>
      </w:r>
      <w:r>
        <w:rPr>
          <w:color w:val="231F20"/>
          <w:sz w:val="16"/>
        </w:rPr>
        <w:t>Про Кабінет Міністрів України : Закон від 27.02.2014 № 794-VII.</w:t>
      </w:r>
    </w:p>
    <w:p w14:paraId="7ED49934" w14:textId="77777777" w:rsidR="00DE575E" w:rsidRDefault="002E7560">
      <w:pPr>
        <w:spacing w:before="20"/>
        <w:ind w:left="250"/>
        <w:rPr>
          <w:sz w:val="16"/>
        </w:rPr>
      </w:pPr>
      <w:r>
        <w:rPr>
          <w:color w:val="231F20"/>
          <w:position w:val="5"/>
          <w:sz w:val="9"/>
        </w:rPr>
        <w:t xml:space="preserve">2 </w:t>
      </w:r>
      <w:r>
        <w:rPr>
          <w:color w:val="231F20"/>
          <w:sz w:val="16"/>
        </w:rPr>
        <w:t xml:space="preserve">Le Droit Administratif. URL </w:t>
      </w:r>
      <w:hyperlink r:id="rId7">
        <w:r>
          <w:rPr>
            <w:color w:val="231F20"/>
            <w:sz w:val="16"/>
          </w:rPr>
          <w:t>: http://static.luiss.it/erasmuslaw/francia/amm_intro.htm</w:t>
        </w:r>
      </w:hyperlink>
    </w:p>
    <w:p w14:paraId="3D066D95" w14:textId="77777777" w:rsidR="00DE575E" w:rsidRDefault="002E7560">
      <w:pPr>
        <w:tabs>
          <w:tab w:val="left" w:pos="1176"/>
          <w:tab w:val="left" w:pos="1731"/>
          <w:tab w:val="left" w:pos="2648"/>
          <w:tab w:val="left" w:pos="4106"/>
          <w:tab w:val="left" w:pos="4541"/>
          <w:tab w:val="left" w:pos="4878"/>
          <w:tab w:val="left" w:pos="5621"/>
          <w:tab w:val="left" w:pos="6223"/>
          <w:tab w:val="left" w:pos="6727"/>
        </w:tabs>
        <w:spacing w:before="27" w:line="230" w:lineRule="auto"/>
        <w:ind w:left="250" w:right="411"/>
        <w:rPr>
          <w:sz w:val="16"/>
        </w:rPr>
      </w:pPr>
      <w:r>
        <w:rPr>
          <w:color w:val="231F20"/>
          <w:position w:val="5"/>
          <w:sz w:val="9"/>
        </w:rPr>
        <w:t xml:space="preserve">3     </w:t>
      </w:r>
      <w:r>
        <w:rPr>
          <w:color w:val="231F20"/>
          <w:spacing w:val="10"/>
          <w:position w:val="5"/>
          <w:sz w:val="9"/>
        </w:rPr>
        <w:t xml:space="preserve"> </w:t>
      </w:r>
      <w:r>
        <w:rPr>
          <w:color w:val="231F20"/>
          <w:sz w:val="16"/>
        </w:rPr>
        <w:t>Mayer</w:t>
      </w:r>
      <w:r>
        <w:rPr>
          <w:color w:val="231F20"/>
          <w:sz w:val="16"/>
        </w:rPr>
        <w:tab/>
        <w:t>Otto:</w:t>
      </w:r>
      <w:r>
        <w:rPr>
          <w:color w:val="231F20"/>
          <w:sz w:val="16"/>
        </w:rPr>
        <w:tab/>
        <w:t>Deutsches</w:t>
      </w:r>
      <w:r>
        <w:rPr>
          <w:color w:val="231F20"/>
          <w:sz w:val="16"/>
        </w:rPr>
        <w:tab/>
      </w:r>
      <w:r>
        <w:rPr>
          <w:color w:val="231F20"/>
          <w:sz w:val="16"/>
        </w:rPr>
        <w:t>Verwaltungsrecht.</w:t>
      </w:r>
      <w:r>
        <w:rPr>
          <w:color w:val="231F20"/>
          <w:sz w:val="16"/>
        </w:rPr>
        <w:tab/>
        <w:t>Bd.</w:t>
      </w:r>
      <w:r>
        <w:rPr>
          <w:color w:val="231F20"/>
          <w:sz w:val="16"/>
        </w:rPr>
        <w:tab/>
        <w:t>1.</w:t>
      </w:r>
      <w:r>
        <w:rPr>
          <w:color w:val="231F20"/>
          <w:sz w:val="16"/>
        </w:rPr>
        <w:tab/>
        <w:t>Leipzig,</w:t>
      </w:r>
      <w:r>
        <w:rPr>
          <w:color w:val="231F20"/>
          <w:sz w:val="16"/>
        </w:rPr>
        <w:tab/>
        <w:t>1895.</w:t>
      </w:r>
      <w:r>
        <w:rPr>
          <w:color w:val="231F20"/>
          <w:sz w:val="16"/>
        </w:rPr>
        <w:tab/>
        <w:t>URL</w:t>
      </w:r>
      <w:r>
        <w:rPr>
          <w:color w:val="231F20"/>
          <w:sz w:val="16"/>
        </w:rPr>
        <w:tab/>
        <w:t xml:space="preserve">: </w:t>
      </w:r>
      <w:hyperlink r:id="rId8">
        <w:r>
          <w:rPr>
            <w:color w:val="231F20"/>
            <w:sz w:val="16"/>
          </w:rPr>
          <w:t>http://www.deutschestextarchiv.de/book/show/mayer_verwaltungsrecht01_1895</w:t>
        </w:r>
      </w:hyperlink>
    </w:p>
    <w:p w14:paraId="3AA6B330" w14:textId="77777777" w:rsidR="00DE575E" w:rsidRDefault="002E7560">
      <w:pPr>
        <w:spacing w:before="29" w:line="230" w:lineRule="auto"/>
        <w:ind w:left="250" w:right="521"/>
        <w:rPr>
          <w:sz w:val="16"/>
        </w:rPr>
      </w:pPr>
      <w:r>
        <w:rPr>
          <w:color w:val="231F20"/>
          <w:position w:val="5"/>
          <w:sz w:val="9"/>
        </w:rPr>
        <w:t xml:space="preserve">4 </w:t>
      </w:r>
      <w:r>
        <w:rPr>
          <w:color w:val="231F20"/>
          <w:sz w:val="16"/>
        </w:rPr>
        <w:t>Eduardo García De Enterría. Curso De Dere</w:t>
      </w:r>
      <w:r>
        <w:rPr>
          <w:color w:val="231F20"/>
          <w:sz w:val="16"/>
        </w:rPr>
        <w:t>cho Administrativo. Decimoquinta Edición. Edi-  tor: Thomson Reuters (Legal) Limited / Civitas, 2011. El Libro Tiene 872</w:t>
      </w:r>
      <w:r>
        <w:rPr>
          <w:color w:val="231F20"/>
          <w:spacing w:val="-13"/>
          <w:sz w:val="16"/>
        </w:rPr>
        <w:t xml:space="preserve"> </w:t>
      </w:r>
      <w:r>
        <w:rPr>
          <w:color w:val="231F20"/>
          <w:sz w:val="16"/>
        </w:rPr>
        <w:t>Página.</w:t>
      </w:r>
    </w:p>
    <w:p w14:paraId="28350BE9" w14:textId="77777777" w:rsidR="00DE575E" w:rsidRDefault="00DE575E">
      <w:pPr>
        <w:pStyle w:val="BodyText"/>
        <w:rPr>
          <w:sz w:val="12"/>
        </w:rPr>
      </w:pPr>
    </w:p>
    <w:p w14:paraId="1616AA76" w14:textId="77777777" w:rsidR="00DE575E" w:rsidRDefault="002E7560">
      <w:pPr>
        <w:spacing w:before="91"/>
        <w:ind w:right="411"/>
        <w:jc w:val="right"/>
        <w:rPr>
          <w:rFonts w:ascii="Times New Roman"/>
          <w:sz w:val="20"/>
        </w:rPr>
      </w:pPr>
      <w:r>
        <w:rPr>
          <w:rFonts w:ascii="Times New Roman"/>
          <w:color w:val="231F20"/>
          <w:w w:val="90"/>
          <w:sz w:val="20"/>
        </w:rPr>
        <w:t>19</w:t>
      </w:r>
    </w:p>
    <w:p w14:paraId="7E9628E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1AC6DC0"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EFB4960" w14:textId="07E74B9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DA23C29" wp14:editId="714F3D15">
                <wp:extent cx="4140200" cy="6350"/>
                <wp:effectExtent l="0" t="0" r="12700" b="6350"/>
                <wp:docPr id="1375"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76" name="Line 13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09A05B" id="Group_x0020_13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XOAehgAIAAJwFAAAO&#10;AAAAAAAAAAAAAAAAACwCAABkcnMvZTJvRG9jLnhtbFBLAQItABQABgAIAAAAIQBMp7CQ2QAAAAMB&#10;AAAPAAAAAAAAAAAAAAAAANgEAABkcnMvZG93bnJldi54bWxQSwUGAAAAAAQABADzAAAA3gUAAAAA&#10;">
                <v:line id="Line_x0020_13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BhacUAAADdAAAADwAAAGRycy9kb3ducmV2LnhtbERP22rCQBB9F/oPyxT6IrppAyrRVUqh&#10;UPrgLX7AmB2T0N3ZmF1N2q/vCoJvczjXWax6a8SVWl87VvA6TkAQF07XXCo45J+jGQgfkDUax6Tg&#10;lzyslk+DBWbadbyj6z6UIoawz1BBFUKTSemLiiz6sWuII3dyrcUQYVtK3WIXw62Rb0kykRZrjg0V&#10;NvRRUfGzv1gF+XkYzHbzbbp8c0zl8bxO/y5rpV6e+/c5iEB9eIjv7i8d56fTCdy+iSf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wBhacUAAADdAAAADwAAAAAAAAAA&#10;AAAAAAChAgAAZHJzL2Rvd25yZXYueG1sUEsFBgAAAAAEAAQA+QAAAJMDAAAAAA==&#10;" strokecolor="#231f20" strokeweight=".5pt"/>
                <w10:anchorlock/>
              </v:group>
            </w:pict>
          </mc:Fallback>
        </mc:AlternateContent>
      </w:r>
    </w:p>
    <w:p w14:paraId="793AAD8E" w14:textId="77777777" w:rsidR="00DE575E" w:rsidRDefault="00DE575E">
      <w:pPr>
        <w:pStyle w:val="BodyText"/>
        <w:spacing w:before="7"/>
        <w:rPr>
          <w:rFonts w:ascii="AdonisC"/>
          <w:i/>
          <w:sz w:val="11"/>
        </w:rPr>
      </w:pPr>
    </w:p>
    <w:p w14:paraId="5B211DF1" w14:textId="77777777" w:rsidR="00DE575E" w:rsidRDefault="002E7560">
      <w:pPr>
        <w:pStyle w:val="ListParagraph"/>
        <w:numPr>
          <w:ilvl w:val="2"/>
          <w:numId w:val="318"/>
        </w:numPr>
        <w:tabs>
          <w:tab w:val="left" w:pos="1101"/>
        </w:tabs>
        <w:spacing w:before="101" w:line="252" w:lineRule="auto"/>
        <w:ind w:right="128" w:firstLine="284"/>
        <w:rPr>
          <w:sz w:val="21"/>
        </w:rPr>
      </w:pPr>
      <w:r>
        <w:rPr>
          <w:color w:val="231F20"/>
          <w:sz w:val="21"/>
        </w:rPr>
        <w:t>зовнішнім виразом реалізації завдань (функцій) виконавчої влади;</w:t>
      </w:r>
    </w:p>
    <w:p w14:paraId="20867C0C" w14:textId="77777777" w:rsidR="00DE575E" w:rsidRDefault="002E7560">
      <w:pPr>
        <w:pStyle w:val="ListParagraph"/>
        <w:numPr>
          <w:ilvl w:val="2"/>
          <w:numId w:val="318"/>
        </w:numPr>
        <w:tabs>
          <w:tab w:val="left" w:pos="1101"/>
        </w:tabs>
        <w:ind w:firstLine="284"/>
        <w:rPr>
          <w:sz w:val="21"/>
        </w:rPr>
      </w:pPr>
      <w:r>
        <w:rPr>
          <w:color w:val="231F20"/>
          <w:sz w:val="21"/>
        </w:rPr>
        <w:t>адміністративною діяльністю публічної</w:t>
      </w:r>
      <w:r>
        <w:rPr>
          <w:color w:val="231F20"/>
          <w:spacing w:val="-7"/>
          <w:sz w:val="21"/>
        </w:rPr>
        <w:t xml:space="preserve"> </w:t>
      </w:r>
      <w:r>
        <w:rPr>
          <w:color w:val="231F20"/>
          <w:sz w:val="21"/>
        </w:rPr>
        <w:t>адміністрації;</w:t>
      </w:r>
    </w:p>
    <w:p w14:paraId="62519580" w14:textId="77777777" w:rsidR="00DE575E" w:rsidRDefault="002E7560">
      <w:pPr>
        <w:pStyle w:val="ListParagraph"/>
        <w:numPr>
          <w:ilvl w:val="2"/>
          <w:numId w:val="318"/>
        </w:numPr>
        <w:tabs>
          <w:tab w:val="left" w:pos="1101"/>
        </w:tabs>
        <w:spacing w:before="12" w:line="252" w:lineRule="auto"/>
        <w:ind w:right="128" w:firstLine="284"/>
        <w:rPr>
          <w:sz w:val="21"/>
        </w:rPr>
      </w:pPr>
      <w:r>
        <w:rPr>
          <w:color w:val="231F20"/>
          <w:sz w:val="21"/>
        </w:rPr>
        <w:t>здійснюється виключно з метою задоволення публічного інтересу;</w:t>
      </w:r>
    </w:p>
    <w:p w14:paraId="6EE131BA" w14:textId="77777777" w:rsidR="00DE575E" w:rsidRDefault="002E7560">
      <w:pPr>
        <w:pStyle w:val="ListParagraph"/>
        <w:numPr>
          <w:ilvl w:val="2"/>
          <w:numId w:val="318"/>
        </w:numPr>
        <w:tabs>
          <w:tab w:val="left" w:pos="1101"/>
        </w:tabs>
        <w:ind w:firstLine="284"/>
        <w:rPr>
          <w:sz w:val="21"/>
        </w:rPr>
      </w:pPr>
      <w:r>
        <w:rPr>
          <w:color w:val="231F20"/>
          <w:sz w:val="21"/>
        </w:rPr>
        <w:t>негативно відмежовується</w:t>
      </w:r>
      <w:r>
        <w:rPr>
          <w:color w:val="231F20"/>
          <w:spacing w:val="-2"/>
          <w:sz w:val="21"/>
        </w:rPr>
        <w:t xml:space="preserve"> </w:t>
      </w:r>
      <w:r>
        <w:rPr>
          <w:color w:val="231F20"/>
          <w:sz w:val="21"/>
        </w:rPr>
        <w:t>від:</w:t>
      </w:r>
    </w:p>
    <w:p w14:paraId="503DB1CB" w14:textId="77777777" w:rsidR="00DE575E" w:rsidRDefault="002E7560">
      <w:pPr>
        <w:pStyle w:val="ListParagraph"/>
        <w:numPr>
          <w:ilvl w:val="1"/>
          <w:numId w:val="317"/>
        </w:numPr>
        <w:tabs>
          <w:tab w:val="left" w:pos="1101"/>
        </w:tabs>
        <w:spacing w:before="13"/>
        <w:ind w:left="1100" w:hanging="283"/>
        <w:jc w:val="left"/>
        <w:rPr>
          <w:i/>
          <w:sz w:val="21"/>
        </w:rPr>
      </w:pPr>
      <w:r>
        <w:rPr>
          <w:i/>
          <w:color w:val="231F20"/>
          <w:sz w:val="21"/>
        </w:rPr>
        <w:t>законодавчої</w:t>
      </w:r>
      <w:r>
        <w:rPr>
          <w:i/>
          <w:color w:val="231F20"/>
          <w:spacing w:val="-2"/>
          <w:sz w:val="21"/>
        </w:rPr>
        <w:t xml:space="preserve"> </w:t>
      </w:r>
      <w:r>
        <w:rPr>
          <w:i/>
          <w:color w:val="231F20"/>
          <w:sz w:val="21"/>
        </w:rPr>
        <w:t>діяльності;</w:t>
      </w:r>
    </w:p>
    <w:p w14:paraId="69DA9116" w14:textId="77777777" w:rsidR="00DE575E" w:rsidRDefault="002E7560">
      <w:pPr>
        <w:pStyle w:val="ListParagraph"/>
        <w:numPr>
          <w:ilvl w:val="1"/>
          <w:numId w:val="317"/>
        </w:numPr>
        <w:tabs>
          <w:tab w:val="left" w:pos="1101"/>
        </w:tabs>
        <w:spacing w:before="13" w:line="252" w:lineRule="auto"/>
        <w:ind w:right="128" w:firstLine="284"/>
        <w:jc w:val="left"/>
        <w:rPr>
          <w:i/>
          <w:sz w:val="21"/>
        </w:rPr>
      </w:pPr>
      <w:r>
        <w:rPr>
          <w:i/>
          <w:color w:val="231F20"/>
          <w:sz w:val="21"/>
        </w:rPr>
        <w:t>здійснення правосуддя та кримінальної процесуальної діяль- ності;</w:t>
      </w:r>
    </w:p>
    <w:p w14:paraId="00FCD8C1" w14:textId="77777777" w:rsidR="00DE575E" w:rsidRDefault="002E7560">
      <w:pPr>
        <w:pStyle w:val="ListParagraph"/>
        <w:numPr>
          <w:ilvl w:val="1"/>
          <w:numId w:val="317"/>
        </w:numPr>
        <w:tabs>
          <w:tab w:val="left" w:pos="1101"/>
        </w:tabs>
        <w:ind w:left="1100" w:hanging="283"/>
        <w:jc w:val="left"/>
        <w:rPr>
          <w:i/>
          <w:sz w:val="21"/>
        </w:rPr>
      </w:pPr>
      <w:r>
        <w:rPr>
          <w:i/>
          <w:color w:val="231F20"/>
          <w:sz w:val="21"/>
        </w:rPr>
        <w:t>політичної</w:t>
      </w:r>
      <w:r>
        <w:rPr>
          <w:i/>
          <w:color w:val="231F20"/>
          <w:spacing w:val="-2"/>
          <w:sz w:val="21"/>
        </w:rPr>
        <w:t xml:space="preserve"> </w:t>
      </w:r>
      <w:r>
        <w:rPr>
          <w:i/>
          <w:color w:val="231F20"/>
          <w:sz w:val="21"/>
        </w:rPr>
        <w:t>діяльності;</w:t>
      </w:r>
    </w:p>
    <w:p w14:paraId="7F141CD5" w14:textId="77777777" w:rsidR="00DE575E" w:rsidRDefault="002E7560">
      <w:pPr>
        <w:pStyle w:val="ListParagraph"/>
        <w:numPr>
          <w:ilvl w:val="1"/>
          <w:numId w:val="317"/>
        </w:numPr>
        <w:tabs>
          <w:tab w:val="left" w:pos="1101"/>
        </w:tabs>
        <w:spacing w:before="13"/>
        <w:ind w:left="1100" w:hanging="283"/>
        <w:jc w:val="left"/>
        <w:rPr>
          <w:i/>
          <w:sz w:val="21"/>
        </w:rPr>
      </w:pPr>
      <w:r>
        <w:rPr>
          <w:i/>
          <w:color w:val="231F20"/>
          <w:sz w:val="21"/>
        </w:rPr>
        <w:t>діяльності, спрямованої на задоволення приватних</w:t>
      </w:r>
      <w:r>
        <w:rPr>
          <w:i/>
          <w:color w:val="231F20"/>
          <w:spacing w:val="-16"/>
          <w:sz w:val="21"/>
        </w:rPr>
        <w:t xml:space="preserve"> </w:t>
      </w:r>
      <w:r>
        <w:rPr>
          <w:i/>
          <w:color w:val="231F20"/>
          <w:sz w:val="21"/>
        </w:rPr>
        <w:t>інтересів.</w:t>
      </w:r>
    </w:p>
    <w:p w14:paraId="41A3047A" w14:textId="77777777" w:rsidR="00DE575E" w:rsidRDefault="002E7560">
      <w:pPr>
        <w:pStyle w:val="Heading5"/>
        <w:spacing w:before="13" w:line="252" w:lineRule="auto"/>
        <w:ind w:right="128" w:firstLine="283"/>
        <w:jc w:val="both"/>
      </w:pPr>
      <w:r>
        <w:rPr>
          <w:color w:val="231F20"/>
        </w:rPr>
        <w:t xml:space="preserve">Публічне адміністрування як форма реалізації публічної влади – це адміністративна </w:t>
      </w:r>
      <w:r>
        <w:rPr>
          <w:color w:val="231F20"/>
        </w:rPr>
        <w:t xml:space="preserve">діяльність </w:t>
      </w:r>
      <w:r>
        <w:rPr>
          <w:color w:val="231F20"/>
          <w:spacing w:val="-3"/>
        </w:rPr>
        <w:t xml:space="preserve">суб’єктів </w:t>
      </w:r>
      <w:r>
        <w:rPr>
          <w:color w:val="231F20"/>
        </w:rPr>
        <w:t>публічної адмі- ністрації, яка є зовнішнім виразом реалізації завдань (функ- цій) виконавчої влади, що здійснюється з метою задоволення публічного</w:t>
      </w:r>
      <w:r>
        <w:rPr>
          <w:color w:val="231F20"/>
          <w:spacing w:val="-9"/>
        </w:rPr>
        <w:t xml:space="preserve"> </w:t>
      </w:r>
      <w:r>
        <w:rPr>
          <w:color w:val="231F20"/>
        </w:rPr>
        <w:t>інтересу</w:t>
      </w:r>
      <w:r>
        <w:rPr>
          <w:color w:val="231F20"/>
          <w:spacing w:val="-9"/>
        </w:rPr>
        <w:t xml:space="preserve"> </w:t>
      </w:r>
      <w:r>
        <w:rPr>
          <w:color w:val="231F20"/>
        </w:rPr>
        <w:t>й</w:t>
      </w:r>
      <w:r>
        <w:rPr>
          <w:color w:val="231F20"/>
          <w:spacing w:val="-9"/>
        </w:rPr>
        <w:t xml:space="preserve"> </w:t>
      </w:r>
      <w:r>
        <w:rPr>
          <w:color w:val="231F20"/>
        </w:rPr>
        <w:t>негативно</w:t>
      </w:r>
      <w:r>
        <w:rPr>
          <w:color w:val="231F20"/>
          <w:spacing w:val="-9"/>
        </w:rPr>
        <w:t xml:space="preserve"> </w:t>
      </w:r>
      <w:r>
        <w:rPr>
          <w:color w:val="231F20"/>
        </w:rPr>
        <w:t>відмежовується</w:t>
      </w:r>
      <w:r>
        <w:rPr>
          <w:color w:val="231F20"/>
          <w:spacing w:val="-9"/>
        </w:rPr>
        <w:t xml:space="preserve"> </w:t>
      </w:r>
      <w:r>
        <w:rPr>
          <w:color w:val="231F20"/>
        </w:rPr>
        <w:t>від</w:t>
      </w:r>
      <w:r>
        <w:rPr>
          <w:color w:val="231F20"/>
          <w:spacing w:val="-9"/>
        </w:rPr>
        <w:t xml:space="preserve"> </w:t>
      </w:r>
      <w:r>
        <w:rPr>
          <w:color w:val="231F20"/>
        </w:rPr>
        <w:t xml:space="preserve">законодав- чої </w:t>
      </w:r>
      <w:r>
        <w:rPr>
          <w:color w:val="231F20"/>
          <w:spacing w:val="-3"/>
        </w:rPr>
        <w:t xml:space="preserve">судової </w:t>
      </w:r>
      <w:r>
        <w:rPr>
          <w:color w:val="231F20"/>
        </w:rPr>
        <w:t>та політичної діяльності</w:t>
      </w:r>
      <w:r>
        <w:rPr>
          <w:b w:val="0"/>
          <w:color w:val="231F20"/>
          <w:position w:val="7"/>
          <w:sz w:val="12"/>
        </w:rPr>
        <w:t>1</w:t>
      </w:r>
      <w:r>
        <w:rPr>
          <w:color w:val="231F20"/>
        </w:rPr>
        <w:t>.</w:t>
      </w:r>
    </w:p>
    <w:p w14:paraId="25EF8D52" w14:textId="77777777" w:rsidR="00DE575E" w:rsidRDefault="00DE575E">
      <w:pPr>
        <w:pStyle w:val="BodyText"/>
        <w:spacing w:before="3"/>
        <w:rPr>
          <w:b/>
          <w:sz w:val="22"/>
        </w:rPr>
      </w:pPr>
    </w:p>
    <w:p w14:paraId="720D43D3" w14:textId="77777777" w:rsidR="00DE575E" w:rsidRDefault="002E7560">
      <w:pPr>
        <w:pStyle w:val="Heading6"/>
        <w:ind w:left="817" w:firstLine="0"/>
      </w:pPr>
      <w:r>
        <w:rPr>
          <w:color w:val="231F20"/>
        </w:rPr>
        <w:t>1.1.1.1. Види публічного адміністрування</w:t>
      </w:r>
    </w:p>
    <w:p w14:paraId="01EFE8F9" w14:textId="77777777" w:rsidR="00DE575E" w:rsidRDefault="002E7560">
      <w:pPr>
        <w:pStyle w:val="BodyText"/>
        <w:spacing w:before="12" w:line="252" w:lineRule="auto"/>
        <w:ind w:left="533" w:right="128" w:firstLine="283"/>
      </w:pPr>
      <w:r>
        <w:rPr>
          <w:b/>
          <w:color w:val="231F20"/>
        </w:rPr>
        <w:t xml:space="preserve">За змістом </w:t>
      </w:r>
      <w:r>
        <w:rPr>
          <w:color w:val="231F20"/>
        </w:rPr>
        <w:t>види публічного адміністрування поділяються на такі:</w:t>
      </w:r>
    </w:p>
    <w:p w14:paraId="6BC93A8C" w14:textId="77777777" w:rsidR="00DE575E" w:rsidRDefault="002E7560">
      <w:pPr>
        <w:pStyle w:val="ListParagraph"/>
        <w:numPr>
          <w:ilvl w:val="0"/>
          <w:numId w:val="316"/>
        </w:numPr>
        <w:tabs>
          <w:tab w:val="left" w:pos="1101"/>
        </w:tabs>
        <w:spacing w:line="252" w:lineRule="auto"/>
        <w:ind w:right="127" w:firstLine="284"/>
        <w:jc w:val="both"/>
        <w:rPr>
          <w:sz w:val="21"/>
        </w:rPr>
      </w:pPr>
      <w:r>
        <w:rPr>
          <w:b/>
          <w:color w:val="231F20"/>
          <w:sz w:val="21"/>
        </w:rPr>
        <w:t>Надання публічною адміністрацією адміністративних послуг</w:t>
      </w:r>
      <w:r>
        <w:rPr>
          <w:color w:val="231F20"/>
          <w:sz w:val="21"/>
        </w:rPr>
        <w:t xml:space="preserve">, у </w:t>
      </w:r>
      <w:r>
        <w:rPr>
          <w:color w:val="231F20"/>
          <w:spacing w:val="-3"/>
          <w:sz w:val="21"/>
        </w:rPr>
        <w:t xml:space="preserve">результаті </w:t>
      </w:r>
      <w:r>
        <w:rPr>
          <w:color w:val="231F20"/>
          <w:sz w:val="21"/>
        </w:rPr>
        <w:t>чого найбільш повно реалізується людино- центристська теорія адміністративного права, коли публічна адмі- ністрація має якнайповніше задовольняти права, свободи й законні інтересі фізичних та юридичних</w:t>
      </w:r>
      <w:r>
        <w:rPr>
          <w:color w:val="231F20"/>
          <w:spacing w:val="-4"/>
          <w:sz w:val="21"/>
        </w:rPr>
        <w:t xml:space="preserve"> </w:t>
      </w:r>
      <w:r>
        <w:rPr>
          <w:color w:val="231F20"/>
          <w:sz w:val="21"/>
        </w:rPr>
        <w:t>осіб.</w:t>
      </w:r>
    </w:p>
    <w:p w14:paraId="21D7FF81" w14:textId="77777777" w:rsidR="00DE575E" w:rsidRDefault="002E7560">
      <w:pPr>
        <w:spacing w:before="3" w:line="252" w:lineRule="auto"/>
        <w:ind w:left="533" w:right="127" w:firstLine="283"/>
        <w:jc w:val="both"/>
        <w:rPr>
          <w:i/>
          <w:sz w:val="21"/>
        </w:rPr>
      </w:pPr>
      <w:r>
        <w:rPr>
          <w:b/>
          <w:i/>
          <w:color w:val="231F20"/>
          <w:sz w:val="21"/>
        </w:rPr>
        <w:t xml:space="preserve">Приклад: </w:t>
      </w:r>
      <w:r>
        <w:rPr>
          <w:i/>
          <w:color w:val="231F20"/>
          <w:sz w:val="21"/>
        </w:rPr>
        <w:t xml:space="preserve">центри надання адміністративних послуг </w:t>
      </w:r>
      <w:r>
        <w:rPr>
          <w:i/>
          <w:color w:val="231F20"/>
          <w:sz w:val="21"/>
        </w:rPr>
        <w:t>надають фізичним</w:t>
      </w:r>
      <w:r>
        <w:rPr>
          <w:i/>
          <w:color w:val="231F20"/>
          <w:spacing w:val="-7"/>
          <w:sz w:val="21"/>
        </w:rPr>
        <w:t xml:space="preserve"> </w:t>
      </w:r>
      <w:r>
        <w:rPr>
          <w:i/>
          <w:color w:val="231F20"/>
          <w:sz w:val="21"/>
        </w:rPr>
        <w:t>і</w:t>
      </w:r>
      <w:r>
        <w:rPr>
          <w:i/>
          <w:color w:val="231F20"/>
          <w:spacing w:val="-6"/>
          <w:sz w:val="21"/>
        </w:rPr>
        <w:t xml:space="preserve"> </w:t>
      </w:r>
      <w:r>
        <w:rPr>
          <w:i/>
          <w:color w:val="231F20"/>
          <w:sz w:val="21"/>
        </w:rPr>
        <w:t>юридичним</w:t>
      </w:r>
      <w:r>
        <w:rPr>
          <w:i/>
          <w:color w:val="231F20"/>
          <w:spacing w:val="-6"/>
          <w:sz w:val="21"/>
        </w:rPr>
        <w:t xml:space="preserve"> </w:t>
      </w:r>
      <w:r>
        <w:rPr>
          <w:i/>
          <w:color w:val="231F20"/>
          <w:sz w:val="21"/>
        </w:rPr>
        <w:t>особам</w:t>
      </w:r>
      <w:r>
        <w:rPr>
          <w:i/>
          <w:color w:val="231F20"/>
          <w:spacing w:val="-6"/>
          <w:sz w:val="21"/>
        </w:rPr>
        <w:t xml:space="preserve"> </w:t>
      </w:r>
      <w:r>
        <w:rPr>
          <w:i/>
          <w:color w:val="231F20"/>
          <w:sz w:val="21"/>
        </w:rPr>
        <w:t>понад</w:t>
      </w:r>
      <w:r>
        <w:rPr>
          <w:i/>
          <w:color w:val="231F20"/>
          <w:spacing w:val="-6"/>
          <w:sz w:val="21"/>
        </w:rPr>
        <w:t xml:space="preserve"> </w:t>
      </w:r>
      <w:r>
        <w:rPr>
          <w:i/>
          <w:color w:val="231F20"/>
          <w:sz w:val="21"/>
        </w:rPr>
        <w:t>двісті</w:t>
      </w:r>
      <w:r>
        <w:rPr>
          <w:i/>
          <w:color w:val="231F20"/>
          <w:spacing w:val="-6"/>
          <w:sz w:val="21"/>
        </w:rPr>
        <w:t xml:space="preserve"> </w:t>
      </w:r>
      <w:r>
        <w:rPr>
          <w:i/>
          <w:color w:val="231F20"/>
          <w:sz w:val="21"/>
        </w:rPr>
        <w:t>адміністративних</w:t>
      </w:r>
      <w:r>
        <w:rPr>
          <w:i/>
          <w:color w:val="231F20"/>
          <w:spacing w:val="-6"/>
          <w:sz w:val="21"/>
        </w:rPr>
        <w:t xml:space="preserve"> </w:t>
      </w:r>
      <w:r>
        <w:rPr>
          <w:i/>
          <w:color w:val="231F20"/>
          <w:sz w:val="21"/>
        </w:rPr>
        <w:t>послуг за системою єдиного</w:t>
      </w:r>
      <w:r>
        <w:rPr>
          <w:i/>
          <w:color w:val="231F20"/>
          <w:spacing w:val="-4"/>
          <w:sz w:val="21"/>
        </w:rPr>
        <w:t xml:space="preserve"> </w:t>
      </w:r>
      <w:r>
        <w:rPr>
          <w:i/>
          <w:color w:val="231F20"/>
          <w:sz w:val="21"/>
        </w:rPr>
        <w:t>вікна</w:t>
      </w:r>
      <w:r>
        <w:rPr>
          <w:color w:val="231F20"/>
          <w:position w:val="7"/>
          <w:sz w:val="12"/>
        </w:rPr>
        <w:t>2</w:t>
      </w:r>
      <w:r>
        <w:rPr>
          <w:i/>
          <w:color w:val="231F20"/>
          <w:sz w:val="21"/>
        </w:rPr>
        <w:t>.</w:t>
      </w:r>
    </w:p>
    <w:p w14:paraId="7671BEF8" w14:textId="77777777" w:rsidR="00DE575E" w:rsidRDefault="002E7560">
      <w:pPr>
        <w:pStyle w:val="ListParagraph"/>
        <w:numPr>
          <w:ilvl w:val="0"/>
          <w:numId w:val="316"/>
        </w:numPr>
        <w:tabs>
          <w:tab w:val="left" w:pos="1101"/>
        </w:tabs>
        <w:spacing w:line="252" w:lineRule="auto"/>
        <w:ind w:right="128" w:firstLine="284"/>
        <w:rPr>
          <w:sz w:val="21"/>
        </w:rPr>
      </w:pPr>
      <w:r>
        <w:rPr>
          <w:b/>
          <w:color w:val="231F20"/>
          <w:sz w:val="21"/>
        </w:rPr>
        <w:t>Здійснення виконавчо-розпорядчої (публічної управлін- ської)</w:t>
      </w:r>
      <w:r>
        <w:rPr>
          <w:b/>
          <w:color w:val="231F20"/>
          <w:spacing w:val="25"/>
          <w:sz w:val="21"/>
        </w:rPr>
        <w:t xml:space="preserve"> </w:t>
      </w:r>
      <w:r>
        <w:rPr>
          <w:b/>
          <w:color w:val="231F20"/>
          <w:sz w:val="21"/>
        </w:rPr>
        <w:t>діяльності</w:t>
      </w:r>
      <w:r>
        <w:rPr>
          <w:color w:val="231F20"/>
          <w:sz w:val="21"/>
        </w:rPr>
        <w:t>,</w:t>
      </w:r>
      <w:r>
        <w:rPr>
          <w:color w:val="231F20"/>
          <w:spacing w:val="25"/>
          <w:sz w:val="21"/>
        </w:rPr>
        <w:t xml:space="preserve"> </w:t>
      </w:r>
      <w:r>
        <w:rPr>
          <w:color w:val="231F20"/>
          <w:sz w:val="21"/>
        </w:rPr>
        <w:t>у</w:t>
      </w:r>
      <w:r>
        <w:rPr>
          <w:color w:val="231F20"/>
          <w:spacing w:val="25"/>
          <w:sz w:val="21"/>
        </w:rPr>
        <w:t xml:space="preserve"> </w:t>
      </w:r>
      <w:r>
        <w:rPr>
          <w:color w:val="231F20"/>
          <w:sz w:val="21"/>
        </w:rPr>
        <w:t>процесі</w:t>
      </w:r>
      <w:r>
        <w:rPr>
          <w:color w:val="231F20"/>
          <w:spacing w:val="25"/>
          <w:sz w:val="21"/>
        </w:rPr>
        <w:t xml:space="preserve"> </w:t>
      </w:r>
      <w:r>
        <w:rPr>
          <w:color w:val="231F20"/>
          <w:sz w:val="21"/>
        </w:rPr>
        <w:t>якої</w:t>
      </w:r>
      <w:r>
        <w:rPr>
          <w:color w:val="231F20"/>
          <w:spacing w:val="25"/>
          <w:sz w:val="21"/>
        </w:rPr>
        <w:t xml:space="preserve"> </w:t>
      </w:r>
      <w:r>
        <w:rPr>
          <w:color w:val="231F20"/>
          <w:sz w:val="21"/>
        </w:rPr>
        <w:t>публічна</w:t>
      </w:r>
      <w:r>
        <w:rPr>
          <w:color w:val="231F20"/>
          <w:spacing w:val="25"/>
          <w:sz w:val="21"/>
        </w:rPr>
        <w:t xml:space="preserve"> </w:t>
      </w:r>
      <w:r>
        <w:rPr>
          <w:color w:val="231F20"/>
          <w:sz w:val="21"/>
        </w:rPr>
        <w:t>адміністрація</w:t>
      </w:r>
      <w:r>
        <w:rPr>
          <w:color w:val="231F20"/>
          <w:spacing w:val="25"/>
          <w:sz w:val="21"/>
        </w:rPr>
        <w:t xml:space="preserve"> </w:t>
      </w:r>
      <w:r>
        <w:rPr>
          <w:color w:val="231F20"/>
          <w:sz w:val="21"/>
        </w:rPr>
        <w:t>здійснює</w:t>
      </w:r>
    </w:p>
    <w:p w14:paraId="04B81866" w14:textId="42E5DF77" w:rsidR="00DE575E" w:rsidRDefault="002E7560">
      <w:pPr>
        <w:pStyle w:val="BodyText"/>
        <w:spacing w:before="6"/>
        <w:rPr>
          <w:sz w:val="26"/>
        </w:rPr>
      </w:pPr>
      <w:r>
        <w:rPr>
          <w:noProof/>
        </w:rPr>
        <mc:AlternateContent>
          <mc:Choice Requires="wps">
            <w:drawing>
              <wp:anchor distT="0" distB="0" distL="0" distR="0" simplePos="0" relativeHeight="1504" behindDoc="0" locked="0" layoutInCell="1" allowOverlap="1" wp14:anchorId="433183BE" wp14:editId="3812C394">
                <wp:simplePos x="0" y="0"/>
                <wp:positionH relativeFrom="page">
                  <wp:posOffset>719455</wp:posOffset>
                </wp:positionH>
                <wp:positionV relativeFrom="paragraph">
                  <wp:posOffset>225425</wp:posOffset>
                </wp:positionV>
                <wp:extent cx="1080135" cy="0"/>
                <wp:effectExtent l="8255" t="9525" r="29210" b="28575"/>
                <wp:wrapTopAndBottom/>
                <wp:docPr id="1374"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D3ADC" id="Line_x0020_1373"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75pt" to="141.7pt,1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" strokecolor="#231f20" strokeweight=".5pt">
                <w10:wrap type="topAndBottom" anchorx="page"/>
              </v:line>
            </w:pict>
          </mc:Fallback>
        </mc:AlternateContent>
      </w:r>
    </w:p>
    <w:p w14:paraId="258CAE8A" w14:textId="77777777" w:rsidR="00DE575E" w:rsidRDefault="002E7560">
      <w:pPr>
        <w:spacing w:line="204" w:lineRule="auto"/>
        <w:ind w:left="533" w:right="128"/>
        <w:jc w:val="both"/>
        <w:rPr>
          <w:sz w:val="16"/>
        </w:rPr>
      </w:pPr>
      <w:r>
        <w:rPr>
          <w:color w:val="231F20"/>
          <w:position w:val="5"/>
          <w:sz w:val="9"/>
        </w:rPr>
        <w:t xml:space="preserve">1 </w:t>
      </w:r>
      <w:r>
        <w:rPr>
          <w:color w:val="231F20"/>
          <w:spacing w:val="-3"/>
          <w:sz w:val="16"/>
        </w:rPr>
        <w:t xml:space="preserve">Термін </w:t>
      </w:r>
      <w:r>
        <w:rPr>
          <w:b/>
          <w:color w:val="231F20"/>
          <w:sz w:val="16"/>
        </w:rPr>
        <w:t xml:space="preserve">публічне адміністрування </w:t>
      </w:r>
      <w:r>
        <w:rPr>
          <w:color w:val="231F20"/>
          <w:spacing w:val="-3"/>
          <w:sz w:val="16"/>
        </w:rPr>
        <w:t xml:space="preserve">(анг. </w:t>
      </w:r>
      <w:r>
        <w:rPr>
          <w:color w:val="231F20"/>
          <w:sz w:val="16"/>
        </w:rPr>
        <w:t>Public administration) відображає людиноцен- тристське спрямування адміністративного права України. У теорії та практиці адмініст- ративного права минулої епохи використовувалася категорія «державне управління» як наслідок ід</w:t>
      </w:r>
      <w:r>
        <w:rPr>
          <w:color w:val="231F20"/>
          <w:sz w:val="16"/>
        </w:rPr>
        <w:t>еологічно заангажованого перекладу цього терміна з документів ООН росій- ською мовою та подальшого запозичення цієї російськомовної кальки в адміністративне право</w:t>
      </w:r>
      <w:r>
        <w:rPr>
          <w:color w:val="231F20"/>
          <w:spacing w:val="-5"/>
          <w:sz w:val="16"/>
        </w:rPr>
        <w:t xml:space="preserve"> </w:t>
      </w:r>
      <w:r>
        <w:rPr>
          <w:color w:val="231F20"/>
          <w:sz w:val="16"/>
        </w:rPr>
        <w:t>України.</w:t>
      </w:r>
      <w:r>
        <w:rPr>
          <w:color w:val="231F20"/>
          <w:spacing w:val="-5"/>
          <w:sz w:val="16"/>
        </w:rPr>
        <w:t xml:space="preserve"> </w:t>
      </w:r>
      <w:r>
        <w:rPr>
          <w:color w:val="231F20"/>
          <w:sz w:val="16"/>
        </w:rPr>
        <w:t>На</w:t>
      </w:r>
      <w:r>
        <w:rPr>
          <w:color w:val="231F20"/>
          <w:spacing w:val="-4"/>
          <w:sz w:val="16"/>
        </w:rPr>
        <w:t xml:space="preserve"> </w:t>
      </w:r>
      <w:r>
        <w:rPr>
          <w:color w:val="231F20"/>
          <w:sz w:val="16"/>
        </w:rPr>
        <w:t>жаль,</w:t>
      </w:r>
      <w:r>
        <w:rPr>
          <w:color w:val="231F20"/>
          <w:spacing w:val="-4"/>
          <w:sz w:val="16"/>
        </w:rPr>
        <w:t xml:space="preserve"> </w:t>
      </w:r>
      <w:r>
        <w:rPr>
          <w:color w:val="231F20"/>
          <w:sz w:val="16"/>
        </w:rPr>
        <w:t>категорія</w:t>
      </w:r>
      <w:r>
        <w:rPr>
          <w:color w:val="231F20"/>
          <w:spacing w:val="-4"/>
          <w:sz w:val="16"/>
        </w:rPr>
        <w:t xml:space="preserve"> </w:t>
      </w:r>
      <w:r>
        <w:rPr>
          <w:color w:val="231F20"/>
          <w:sz w:val="16"/>
        </w:rPr>
        <w:t>«державне</w:t>
      </w:r>
      <w:r>
        <w:rPr>
          <w:color w:val="231F20"/>
          <w:spacing w:val="-4"/>
          <w:sz w:val="16"/>
        </w:rPr>
        <w:t xml:space="preserve"> </w:t>
      </w:r>
      <w:r>
        <w:rPr>
          <w:color w:val="231F20"/>
          <w:sz w:val="16"/>
        </w:rPr>
        <w:t>управління»</w:t>
      </w:r>
      <w:r>
        <w:rPr>
          <w:color w:val="231F20"/>
          <w:spacing w:val="-5"/>
          <w:sz w:val="16"/>
        </w:rPr>
        <w:t xml:space="preserve"> </w:t>
      </w:r>
      <w:r>
        <w:rPr>
          <w:color w:val="231F20"/>
          <w:sz w:val="16"/>
        </w:rPr>
        <w:t>продовжує</w:t>
      </w:r>
      <w:r>
        <w:rPr>
          <w:color w:val="231F20"/>
          <w:spacing w:val="-5"/>
          <w:sz w:val="16"/>
        </w:rPr>
        <w:t xml:space="preserve"> </w:t>
      </w:r>
      <w:r>
        <w:rPr>
          <w:color w:val="231F20"/>
          <w:sz w:val="16"/>
        </w:rPr>
        <w:t>вживатися</w:t>
      </w:r>
      <w:r>
        <w:rPr>
          <w:color w:val="231F20"/>
          <w:spacing w:val="-5"/>
          <w:sz w:val="16"/>
        </w:rPr>
        <w:t xml:space="preserve"> </w:t>
      </w:r>
      <w:r>
        <w:rPr>
          <w:color w:val="231F20"/>
          <w:sz w:val="16"/>
        </w:rPr>
        <w:t>в</w:t>
      </w:r>
      <w:r>
        <w:rPr>
          <w:color w:val="231F20"/>
          <w:spacing w:val="-5"/>
          <w:sz w:val="16"/>
        </w:rPr>
        <w:t xml:space="preserve"> </w:t>
      </w:r>
      <w:r>
        <w:rPr>
          <w:color w:val="231F20"/>
          <w:sz w:val="16"/>
        </w:rPr>
        <w:t>чинній вітчизняній</w:t>
      </w:r>
      <w:r>
        <w:rPr>
          <w:color w:val="231F20"/>
          <w:spacing w:val="-2"/>
          <w:sz w:val="16"/>
        </w:rPr>
        <w:t xml:space="preserve"> </w:t>
      </w:r>
      <w:r>
        <w:rPr>
          <w:color w:val="231F20"/>
          <w:sz w:val="16"/>
        </w:rPr>
        <w:t>юр</w:t>
      </w:r>
      <w:r>
        <w:rPr>
          <w:color w:val="231F20"/>
          <w:sz w:val="16"/>
        </w:rPr>
        <w:t>испруденції.</w:t>
      </w:r>
    </w:p>
    <w:p w14:paraId="2110A16D" w14:textId="77777777" w:rsidR="00DE575E" w:rsidRDefault="002E7560">
      <w:pPr>
        <w:spacing w:before="32" w:line="230" w:lineRule="auto"/>
        <w:ind w:left="533" w:right="128"/>
        <w:jc w:val="both"/>
        <w:rPr>
          <w:sz w:val="16"/>
        </w:rPr>
      </w:pPr>
      <w:r>
        <w:rPr>
          <w:color w:val="231F20"/>
          <w:position w:val="5"/>
          <w:sz w:val="9"/>
        </w:rPr>
        <w:t xml:space="preserve">2 </w:t>
      </w:r>
      <w:r>
        <w:rPr>
          <w:color w:val="231F20"/>
          <w:sz w:val="16"/>
        </w:rPr>
        <w:t>Про адміністративні послуги : Закон від 06.09.2012 № 5203-VI; Розпорядження Кабі- нету</w:t>
      </w:r>
      <w:r>
        <w:rPr>
          <w:color w:val="231F20"/>
          <w:spacing w:val="-5"/>
          <w:sz w:val="16"/>
        </w:rPr>
        <w:t xml:space="preserve"> </w:t>
      </w:r>
      <w:r>
        <w:rPr>
          <w:color w:val="231F20"/>
          <w:sz w:val="16"/>
        </w:rPr>
        <w:t>Міністрів</w:t>
      </w:r>
      <w:r>
        <w:rPr>
          <w:color w:val="231F20"/>
          <w:spacing w:val="-5"/>
          <w:sz w:val="16"/>
        </w:rPr>
        <w:t xml:space="preserve"> </w:t>
      </w:r>
      <w:r>
        <w:rPr>
          <w:color w:val="231F20"/>
          <w:sz w:val="16"/>
        </w:rPr>
        <w:t>України</w:t>
      </w:r>
      <w:r>
        <w:rPr>
          <w:color w:val="231F20"/>
          <w:spacing w:val="-5"/>
          <w:sz w:val="16"/>
        </w:rPr>
        <w:t xml:space="preserve"> </w:t>
      </w:r>
      <w:r>
        <w:rPr>
          <w:color w:val="231F20"/>
          <w:sz w:val="16"/>
        </w:rPr>
        <w:t>від</w:t>
      </w:r>
      <w:r>
        <w:rPr>
          <w:color w:val="231F20"/>
          <w:spacing w:val="-5"/>
          <w:sz w:val="16"/>
        </w:rPr>
        <w:t xml:space="preserve"> </w:t>
      </w:r>
      <w:r>
        <w:rPr>
          <w:color w:val="231F20"/>
          <w:sz w:val="16"/>
        </w:rPr>
        <w:t>16.05.2014</w:t>
      </w:r>
      <w:r>
        <w:rPr>
          <w:color w:val="231F20"/>
          <w:spacing w:val="-7"/>
          <w:sz w:val="16"/>
        </w:rPr>
        <w:t xml:space="preserve"> </w:t>
      </w:r>
      <w:r>
        <w:rPr>
          <w:color w:val="231F20"/>
          <w:sz w:val="16"/>
        </w:rPr>
        <w:t>р.</w:t>
      </w:r>
      <w:r>
        <w:rPr>
          <w:color w:val="231F20"/>
          <w:spacing w:val="-5"/>
          <w:sz w:val="16"/>
        </w:rPr>
        <w:t xml:space="preserve"> </w:t>
      </w:r>
      <w:r>
        <w:rPr>
          <w:color w:val="231F20"/>
          <w:sz w:val="16"/>
        </w:rPr>
        <w:t>№</w:t>
      </w:r>
      <w:r>
        <w:rPr>
          <w:color w:val="231F20"/>
          <w:spacing w:val="-7"/>
          <w:sz w:val="16"/>
        </w:rPr>
        <w:t xml:space="preserve"> </w:t>
      </w:r>
      <w:r>
        <w:rPr>
          <w:color w:val="231F20"/>
          <w:sz w:val="16"/>
        </w:rPr>
        <w:t>523</w:t>
      </w:r>
      <w:r>
        <w:rPr>
          <w:color w:val="231F20"/>
          <w:spacing w:val="-5"/>
          <w:sz w:val="16"/>
        </w:rPr>
        <w:t xml:space="preserve"> </w:t>
      </w:r>
      <w:r>
        <w:rPr>
          <w:color w:val="231F20"/>
          <w:sz w:val="16"/>
        </w:rPr>
        <w:t>«Деякі</w:t>
      </w:r>
      <w:r>
        <w:rPr>
          <w:color w:val="231F20"/>
          <w:spacing w:val="-5"/>
          <w:sz w:val="16"/>
        </w:rPr>
        <w:t xml:space="preserve"> </w:t>
      </w:r>
      <w:r>
        <w:rPr>
          <w:color w:val="231F20"/>
          <w:sz w:val="16"/>
        </w:rPr>
        <w:t>питання</w:t>
      </w:r>
      <w:r>
        <w:rPr>
          <w:color w:val="231F20"/>
          <w:spacing w:val="-5"/>
          <w:sz w:val="16"/>
        </w:rPr>
        <w:t xml:space="preserve"> </w:t>
      </w:r>
      <w:r>
        <w:rPr>
          <w:color w:val="231F20"/>
          <w:sz w:val="16"/>
        </w:rPr>
        <w:t>надання</w:t>
      </w:r>
      <w:r>
        <w:rPr>
          <w:color w:val="231F20"/>
          <w:spacing w:val="-5"/>
          <w:sz w:val="16"/>
        </w:rPr>
        <w:t xml:space="preserve"> </w:t>
      </w:r>
      <w:r>
        <w:rPr>
          <w:color w:val="231F20"/>
          <w:sz w:val="16"/>
        </w:rPr>
        <w:t>адміністративних послуг органів виконавчої влади через центри надання адміністративних</w:t>
      </w:r>
      <w:r>
        <w:rPr>
          <w:color w:val="231F20"/>
          <w:spacing w:val="-8"/>
          <w:sz w:val="16"/>
        </w:rPr>
        <w:t xml:space="preserve"> </w:t>
      </w:r>
      <w:r>
        <w:rPr>
          <w:color w:val="231F20"/>
          <w:sz w:val="16"/>
        </w:rPr>
        <w:t>послуг».</w:t>
      </w:r>
    </w:p>
    <w:p w14:paraId="160D9C68" w14:textId="77777777" w:rsidR="00DE575E" w:rsidRDefault="00DE575E">
      <w:pPr>
        <w:pStyle w:val="BodyText"/>
        <w:rPr>
          <w:sz w:val="12"/>
        </w:rPr>
      </w:pPr>
    </w:p>
    <w:p w14:paraId="2335F20A" w14:textId="77777777" w:rsidR="00DE575E" w:rsidRDefault="002E7560">
      <w:pPr>
        <w:spacing w:before="92"/>
        <w:ind w:left="533"/>
        <w:rPr>
          <w:rFonts w:ascii="Times New Roman"/>
          <w:sz w:val="20"/>
        </w:rPr>
      </w:pPr>
      <w:r>
        <w:rPr>
          <w:rFonts w:ascii="Times New Roman"/>
          <w:color w:val="231F20"/>
          <w:sz w:val="20"/>
        </w:rPr>
        <w:t>20</w:t>
      </w:r>
    </w:p>
    <w:p w14:paraId="67931C35" w14:textId="77777777" w:rsidR="00DE575E" w:rsidRDefault="00DE575E">
      <w:pPr>
        <w:rPr>
          <w:rFonts w:ascii="Times New Roman"/>
          <w:sz w:val="20"/>
        </w:rPr>
        <w:sectPr w:rsidR="00DE575E">
          <w:pgSz w:w="8510" w:h="12760"/>
          <w:pgMar w:top="660" w:right="720" w:bottom="280" w:left="600" w:header="720" w:footer="720" w:gutter="0"/>
          <w:cols w:space="720"/>
        </w:sectPr>
      </w:pPr>
    </w:p>
    <w:p w14:paraId="11AE0E66"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5D6B1D2B" w14:textId="47A8576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D97EFEE" wp14:editId="18F69B16">
                <wp:extent cx="4140200" cy="6350"/>
                <wp:effectExtent l="0" t="0" r="12700" b="6350"/>
                <wp:docPr id="1372"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73" name="Line 137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CE9D5" id="Group_x0020_137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8nhwNfQIAAJwFAAAOAAAA&#10;AAAAAAAAAAAAACwCAABkcnMvZTJvRG9jLnhtbFBLAQItABQABgAIAAAAIQBMp7CQ2QAAAAMBAAAP&#10;AAAAAAAAAAAAAAAAANUEAABkcnMvZG93bnJldi54bWxQSwUGAAAAAAQABADzAAAA2wUAAAAA&#10;">
                <v:line id="Line_x0020_137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fC8cQAAADdAAAADwAAAGRycy9kb3ducmV2LnhtbERP22rCQBB9L/Qflin0pehGA1qiq4gg&#10;SB+8pR8wZqdJ6O5szK4m7de7QqFvczjXmS97a8SNWl87VjAaJiCIC6drLhV85pvBOwgfkDUax6Tg&#10;hzwsF89Pc8y06/hIt1MoRQxhn6GCKoQmk9IXFVn0Q9cQR+7LtRZDhG0pdYtdDLdGjpNkIi3WHBsq&#10;bGhdUfF9uloF+eUtmMP+w3T5/pzK82WX/l53Sr2+9KsZiEB9+Bf/ubc6zk+n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d8LxxAAAAN0AAAAPAAAAAAAAAAAA&#10;AAAAAKECAABkcnMvZG93bnJldi54bWxQSwUGAAAAAAQABAD5AAAAkgMAAAAA&#10;" strokecolor="#231f20" strokeweight=".5pt"/>
                <w10:anchorlock/>
              </v:group>
            </w:pict>
          </mc:Fallback>
        </mc:AlternateContent>
      </w:r>
    </w:p>
    <w:p w14:paraId="714AEAB6" w14:textId="77777777" w:rsidR="00DE575E" w:rsidRDefault="00DE575E">
      <w:pPr>
        <w:pStyle w:val="BodyText"/>
        <w:spacing w:before="3"/>
        <w:rPr>
          <w:rFonts w:ascii="AdonisC"/>
          <w:i/>
          <w:sz w:val="12"/>
        </w:rPr>
      </w:pPr>
    </w:p>
    <w:p w14:paraId="621B3E21" w14:textId="77777777" w:rsidR="00DE575E" w:rsidRDefault="002E7560">
      <w:pPr>
        <w:pStyle w:val="BodyText"/>
        <w:spacing w:before="100" w:line="252" w:lineRule="auto"/>
        <w:ind w:left="250" w:right="410"/>
        <w:jc w:val="both"/>
      </w:pPr>
      <w:r>
        <w:rPr>
          <w:color w:val="231F20"/>
        </w:rPr>
        <w:t>публічне</w:t>
      </w:r>
      <w:r>
        <w:rPr>
          <w:color w:val="231F20"/>
          <w:spacing w:val="-10"/>
        </w:rPr>
        <w:t xml:space="preserve"> </w:t>
      </w:r>
      <w:r>
        <w:rPr>
          <w:color w:val="231F20"/>
        </w:rPr>
        <w:t>виконання</w:t>
      </w:r>
      <w:r>
        <w:rPr>
          <w:color w:val="231F20"/>
          <w:spacing w:val="-10"/>
        </w:rPr>
        <w:t xml:space="preserve"> </w:t>
      </w:r>
      <w:r>
        <w:rPr>
          <w:color w:val="231F20"/>
        </w:rPr>
        <w:t>законодавства</w:t>
      </w:r>
      <w:r>
        <w:rPr>
          <w:color w:val="231F20"/>
          <w:spacing w:val="-10"/>
        </w:rPr>
        <w:t xml:space="preserve"> </w:t>
      </w:r>
      <w:r>
        <w:rPr>
          <w:color w:val="231F20"/>
        </w:rPr>
        <w:t>на</w:t>
      </w:r>
      <w:r>
        <w:rPr>
          <w:color w:val="231F20"/>
          <w:spacing w:val="-10"/>
        </w:rPr>
        <w:t xml:space="preserve"> </w:t>
      </w:r>
      <w:r>
        <w:rPr>
          <w:color w:val="231F20"/>
        </w:rPr>
        <w:t>території</w:t>
      </w:r>
      <w:r>
        <w:rPr>
          <w:color w:val="231F20"/>
          <w:spacing w:val="-10"/>
        </w:rPr>
        <w:t xml:space="preserve"> </w:t>
      </w:r>
      <w:r>
        <w:rPr>
          <w:color w:val="231F20"/>
        </w:rPr>
        <w:t>всієї</w:t>
      </w:r>
      <w:r>
        <w:rPr>
          <w:color w:val="231F20"/>
          <w:spacing w:val="-10"/>
        </w:rPr>
        <w:t xml:space="preserve"> </w:t>
      </w:r>
      <w:r>
        <w:rPr>
          <w:color w:val="231F20"/>
        </w:rPr>
        <w:t>держави</w:t>
      </w:r>
      <w:r>
        <w:rPr>
          <w:color w:val="231F20"/>
          <w:spacing w:val="-10"/>
        </w:rPr>
        <w:t xml:space="preserve"> </w:t>
      </w:r>
      <w:r>
        <w:rPr>
          <w:color w:val="231F20"/>
        </w:rPr>
        <w:t>відпо- відно до прописаної компетенції та видає з цією метою підзаконні нормативно-правові акти на основі законів і з метою їх виконання через деталізацію та</w:t>
      </w:r>
      <w:r>
        <w:rPr>
          <w:color w:val="231F20"/>
          <w:spacing w:val="-3"/>
        </w:rPr>
        <w:t xml:space="preserve"> </w:t>
      </w:r>
      <w:r>
        <w:rPr>
          <w:color w:val="231F20"/>
        </w:rPr>
        <w:t>уточнення</w:t>
      </w:r>
      <w:r>
        <w:rPr>
          <w:color w:val="231F20"/>
          <w:position w:val="7"/>
          <w:sz w:val="12"/>
        </w:rPr>
        <w:t>1</w:t>
      </w:r>
      <w:r>
        <w:rPr>
          <w:color w:val="231F20"/>
        </w:rPr>
        <w:t>.</w:t>
      </w:r>
    </w:p>
    <w:p w14:paraId="4A2B5520" w14:textId="77777777" w:rsidR="00DE575E" w:rsidRDefault="002E7560">
      <w:pPr>
        <w:pStyle w:val="BodyText"/>
        <w:spacing w:before="2" w:line="252" w:lineRule="auto"/>
        <w:ind w:left="250" w:right="410" w:firstLine="283"/>
        <w:jc w:val="both"/>
      </w:pPr>
      <w:r>
        <w:rPr>
          <w:i/>
          <w:color w:val="231F20"/>
          <w:u w:val="single" w:color="231F20"/>
        </w:rPr>
        <w:t>Приклад</w:t>
      </w:r>
      <w:r>
        <w:rPr>
          <w:i/>
          <w:color w:val="231F20"/>
        </w:rPr>
        <w:t xml:space="preserve"> виконавчої діяльності</w:t>
      </w:r>
      <w:r>
        <w:rPr>
          <w:color w:val="231F20"/>
        </w:rPr>
        <w:t>: патрульна поліція зобов’язана виконувати всі передбачені законодавством заходи щодо попе- редження порушень прав і свобод громадян у громадських місцях, зокрема попереджати хуліганські дії, пошкодження комунальної</w:t>
      </w:r>
      <w:r>
        <w:rPr>
          <w:color w:val="231F20"/>
        </w:rPr>
        <w:t xml:space="preserve"> власності, порушення екологічних норм.</w:t>
      </w:r>
    </w:p>
    <w:p w14:paraId="7B6D7DFE" w14:textId="77777777" w:rsidR="00DE575E" w:rsidRDefault="002E7560">
      <w:pPr>
        <w:pStyle w:val="BodyText"/>
        <w:spacing w:before="2" w:line="252" w:lineRule="auto"/>
        <w:ind w:left="250" w:right="410" w:firstLine="283"/>
        <w:jc w:val="both"/>
      </w:pPr>
      <w:r>
        <w:rPr>
          <w:i/>
          <w:color w:val="231F20"/>
          <w:u w:val="single" w:color="231F20"/>
        </w:rPr>
        <w:t>Приклад</w:t>
      </w:r>
      <w:r>
        <w:rPr>
          <w:i/>
          <w:color w:val="231F20"/>
          <w:spacing w:val="-13"/>
        </w:rPr>
        <w:t xml:space="preserve"> </w:t>
      </w:r>
      <w:r>
        <w:rPr>
          <w:i/>
          <w:color w:val="231F20"/>
        </w:rPr>
        <w:t>розпорядчої</w:t>
      </w:r>
      <w:r>
        <w:rPr>
          <w:i/>
          <w:color w:val="231F20"/>
          <w:spacing w:val="-13"/>
        </w:rPr>
        <w:t xml:space="preserve"> </w:t>
      </w:r>
      <w:r>
        <w:rPr>
          <w:i/>
          <w:color w:val="231F20"/>
        </w:rPr>
        <w:t>діяльності</w:t>
      </w:r>
      <w:r>
        <w:rPr>
          <w:i/>
          <w:color w:val="231F20"/>
          <w:spacing w:val="-13"/>
        </w:rPr>
        <w:t xml:space="preserve"> </w:t>
      </w:r>
      <w:r>
        <w:rPr>
          <w:color w:val="231F20"/>
        </w:rPr>
        <w:t>щодо</w:t>
      </w:r>
      <w:r>
        <w:rPr>
          <w:color w:val="231F20"/>
          <w:spacing w:val="-13"/>
        </w:rPr>
        <w:t xml:space="preserve"> </w:t>
      </w:r>
      <w:r>
        <w:rPr>
          <w:color w:val="231F20"/>
        </w:rPr>
        <w:t>виконання</w:t>
      </w:r>
      <w:r>
        <w:rPr>
          <w:color w:val="231F20"/>
          <w:spacing w:val="-13"/>
        </w:rPr>
        <w:t xml:space="preserve"> </w:t>
      </w:r>
      <w:r>
        <w:rPr>
          <w:color w:val="231F20"/>
        </w:rPr>
        <w:t>законів</w:t>
      </w:r>
      <w:r>
        <w:rPr>
          <w:color w:val="231F20"/>
          <w:spacing w:val="-13"/>
        </w:rPr>
        <w:t xml:space="preserve"> </w:t>
      </w:r>
      <w:r>
        <w:rPr>
          <w:color w:val="231F20"/>
          <w:spacing w:val="-3"/>
        </w:rPr>
        <w:t xml:space="preserve">України: </w:t>
      </w:r>
      <w:r>
        <w:rPr>
          <w:color w:val="231F20"/>
        </w:rPr>
        <w:t xml:space="preserve">затвердження Наказом Міністерства соціальної політики </w:t>
      </w:r>
      <w:r>
        <w:rPr>
          <w:color w:val="231F20"/>
          <w:spacing w:val="-3"/>
        </w:rPr>
        <w:t xml:space="preserve">України </w:t>
      </w:r>
      <w:r>
        <w:rPr>
          <w:color w:val="231F20"/>
        </w:rPr>
        <w:t>від 29.08.2018 р. № 1240 Правил охорони праці у сільськогосподар- ському виробництві, вимог</w:t>
      </w:r>
      <w:r>
        <w:rPr>
          <w:color w:val="231F20"/>
        </w:rPr>
        <w:t>и яких є обов’язковими для виконання роботодавцями та працівниками під час виробництва сільсько- господарської</w:t>
      </w:r>
      <w:r>
        <w:rPr>
          <w:color w:val="231F20"/>
          <w:spacing w:val="-1"/>
        </w:rPr>
        <w:t xml:space="preserve"> </w:t>
      </w:r>
      <w:r>
        <w:rPr>
          <w:color w:val="231F20"/>
        </w:rPr>
        <w:t>продукції.</w:t>
      </w:r>
    </w:p>
    <w:p w14:paraId="32878384" w14:textId="77777777" w:rsidR="00DE575E" w:rsidRDefault="002E7560">
      <w:pPr>
        <w:pStyle w:val="Heading5"/>
        <w:spacing w:before="3"/>
      </w:pPr>
      <w:r>
        <w:rPr>
          <w:color w:val="231F20"/>
        </w:rPr>
        <w:t>Отже, основними видами публічного адміністрування є:</w:t>
      </w:r>
    </w:p>
    <w:p w14:paraId="13CD3DBE" w14:textId="77777777" w:rsidR="00DE575E" w:rsidRDefault="002E7560">
      <w:pPr>
        <w:pStyle w:val="ListParagraph"/>
        <w:numPr>
          <w:ilvl w:val="0"/>
          <w:numId w:val="315"/>
        </w:numPr>
        <w:tabs>
          <w:tab w:val="left" w:pos="818"/>
        </w:tabs>
        <w:spacing w:before="13" w:line="252" w:lineRule="auto"/>
        <w:ind w:right="411" w:firstLine="283"/>
        <w:jc w:val="both"/>
        <w:rPr>
          <w:b/>
          <w:sz w:val="21"/>
        </w:rPr>
      </w:pPr>
      <w:r>
        <w:rPr>
          <w:b/>
          <w:color w:val="231F20"/>
          <w:sz w:val="21"/>
        </w:rPr>
        <w:t>надання публічною адміністрацією адміністративних послуг і здійснення виконавчо-р</w:t>
      </w:r>
      <w:r>
        <w:rPr>
          <w:b/>
          <w:color w:val="231F20"/>
          <w:sz w:val="21"/>
        </w:rPr>
        <w:t>озпорядчої (публічної управ- лінської) діяльності – за</w:t>
      </w:r>
      <w:r>
        <w:rPr>
          <w:b/>
          <w:color w:val="231F20"/>
          <w:spacing w:val="-5"/>
          <w:sz w:val="21"/>
        </w:rPr>
        <w:t xml:space="preserve"> </w:t>
      </w:r>
      <w:r>
        <w:rPr>
          <w:b/>
          <w:color w:val="231F20"/>
          <w:sz w:val="21"/>
        </w:rPr>
        <w:t>змістом;</w:t>
      </w:r>
    </w:p>
    <w:p w14:paraId="43C64CE2" w14:textId="77777777" w:rsidR="00DE575E" w:rsidRDefault="002E7560">
      <w:pPr>
        <w:pStyle w:val="ListParagraph"/>
        <w:numPr>
          <w:ilvl w:val="0"/>
          <w:numId w:val="315"/>
        </w:numPr>
        <w:tabs>
          <w:tab w:val="left" w:pos="818"/>
        </w:tabs>
        <w:spacing w:before="2" w:line="252" w:lineRule="auto"/>
        <w:ind w:right="411" w:firstLine="283"/>
        <w:jc w:val="both"/>
        <w:rPr>
          <w:b/>
          <w:sz w:val="21"/>
        </w:rPr>
      </w:pPr>
      <w:r>
        <w:rPr>
          <w:b/>
          <w:color w:val="231F20"/>
          <w:sz w:val="21"/>
        </w:rPr>
        <w:t>зовнішня та внутрішня організаційна діяльність публіч- ної адміністрації – за спрямуванням владного</w:t>
      </w:r>
      <w:r>
        <w:rPr>
          <w:b/>
          <w:color w:val="231F20"/>
          <w:spacing w:val="-9"/>
          <w:sz w:val="21"/>
        </w:rPr>
        <w:t xml:space="preserve"> </w:t>
      </w:r>
      <w:r>
        <w:rPr>
          <w:b/>
          <w:color w:val="231F20"/>
          <w:sz w:val="21"/>
        </w:rPr>
        <w:t>впливу;</w:t>
      </w:r>
    </w:p>
    <w:p w14:paraId="2980500C" w14:textId="77777777" w:rsidR="00DE575E" w:rsidRDefault="002E7560">
      <w:pPr>
        <w:pStyle w:val="ListParagraph"/>
        <w:numPr>
          <w:ilvl w:val="0"/>
          <w:numId w:val="315"/>
        </w:numPr>
        <w:tabs>
          <w:tab w:val="left" w:pos="818"/>
        </w:tabs>
        <w:spacing w:line="252" w:lineRule="auto"/>
        <w:ind w:right="411" w:firstLine="283"/>
        <w:jc w:val="both"/>
        <w:rPr>
          <w:b/>
          <w:sz w:val="21"/>
        </w:rPr>
      </w:pPr>
      <w:r>
        <w:rPr>
          <w:b/>
          <w:color w:val="231F20"/>
          <w:sz w:val="21"/>
        </w:rPr>
        <w:t>втручальне, сприяльне та забезпечувальне адміністру- вання – за юридичними</w:t>
      </w:r>
      <w:r>
        <w:rPr>
          <w:b/>
          <w:color w:val="231F20"/>
          <w:spacing w:val="-3"/>
          <w:sz w:val="21"/>
        </w:rPr>
        <w:t xml:space="preserve"> </w:t>
      </w:r>
      <w:r>
        <w:rPr>
          <w:b/>
          <w:color w:val="231F20"/>
          <w:sz w:val="21"/>
        </w:rPr>
        <w:t>наслідкам</w:t>
      </w:r>
      <w:r>
        <w:rPr>
          <w:b/>
          <w:color w:val="231F20"/>
          <w:sz w:val="21"/>
        </w:rPr>
        <w:t>и</w:t>
      </w:r>
      <w:r>
        <w:rPr>
          <w:b/>
          <w:color w:val="231F20"/>
          <w:position w:val="7"/>
          <w:sz w:val="12"/>
        </w:rPr>
        <w:t>2</w:t>
      </w:r>
      <w:r>
        <w:rPr>
          <w:b/>
          <w:color w:val="231F20"/>
          <w:sz w:val="21"/>
        </w:rPr>
        <w:t>.</w:t>
      </w:r>
    </w:p>
    <w:p w14:paraId="3A8B9CF3" w14:textId="77777777" w:rsidR="00DE575E" w:rsidRDefault="00DE575E">
      <w:pPr>
        <w:pStyle w:val="BodyText"/>
        <w:rPr>
          <w:b/>
          <w:sz w:val="22"/>
        </w:rPr>
      </w:pPr>
    </w:p>
    <w:p w14:paraId="1910DFC9" w14:textId="77777777" w:rsidR="00DE575E" w:rsidRDefault="002E7560">
      <w:pPr>
        <w:pStyle w:val="ListParagraph"/>
        <w:numPr>
          <w:ilvl w:val="2"/>
          <w:numId w:val="319"/>
        </w:numPr>
        <w:tabs>
          <w:tab w:val="left" w:pos="1099"/>
        </w:tabs>
        <w:ind w:firstLine="0"/>
        <w:rPr>
          <w:b/>
          <w:sz w:val="21"/>
        </w:rPr>
      </w:pPr>
      <w:r>
        <w:rPr>
          <w:b/>
          <w:color w:val="231F20"/>
          <w:spacing w:val="-3"/>
          <w:sz w:val="21"/>
        </w:rPr>
        <w:t xml:space="preserve">Суб’єкти </w:t>
      </w:r>
      <w:r>
        <w:rPr>
          <w:b/>
          <w:color w:val="231F20"/>
          <w:sz w:val="21"/>
        </w:rPr>
        <w:t>публічного адміністрування</w:t>
      </w:r>
    </w:p>
    <w:p w14:paraId="3765DCC4" w14:textId="77777777" w:rsidR="00DE575E" w:rsidRDefault="00DE575E">
      <w:pPr>
        <w:pStyle w:val="BodyText"/>
        <w:spacing w:before="2"/>
        <w:rPr>
          <w:b/>
          <w:sz w:val="23"/>
        </w:rPr>
      </w:pPr>
    </w:p>
    <w:p w14:paraId="59D30E43" w14:textId="77777777" w:rsidR="00DE575E" w:rsidRDefault="002E7560">
      <w:pPr>
        <w:pStyle w:val="BodyText"/>
        <w:spacing w:line="252" w:lineRule="auto"/>
        <w:ind w:left="250" w:right="407" w:firstLine="283"/>
        <w:jc w:val="both"/>
      </w:pPr>
      <w:r>
        <w:rPr>
          <w:color w:val="231F20"/>
        </w:rPr>
        <w:t xml:space="preserve">Невід’ємною ознакою держави є публічна влада, що відносно відособлена від народу й виконує свої функції на професійній основі. За теорією суспільного договору, громадяни обирають собі суб’єктів публічної влади, які мають їм служити. На практиці ситуа- ція </w:t>
      </w:r>
      <w:r>
        <w:rPr>
          <w:color w:val="231F20"/>
        </w:rPr>
        <w:t>є більш складною. Громадяни обирають представницькі органи влади, а ті призначають виконавчі. При цьому вони схильні забути про свою основну місію служити народу і на практиці часто задо- вольняють забаганки один одного, близького оточення та корпо- ративн</w:t>
      </w:r>
      <w:r>
        <w:rPr>
          <w:color w:val="231F20"/>
        </w:rPr>
        <w:t>ого інтересу. Це постійна проблема – схильність влади до зловживань.</w:t>
      </w:r>
    </w:p>
    <w:p w14:paraId="10D70FFC" w14:textId="77777777" w:rsidR="00DE575E" w:rsidRDefault="00DE575E">
      <w:pPr>
        <w:pStyle w:val="BodyText"/>
        <w:rPr>
          <w:sz w:val="20"/>
        </w:rPr>
      </w:pPr>
    </w:p>
    <w:p w14:paraId="258D02C0" w14:textId="6DD1A807" w:rsidR="00DE575E" w:rsidRDefault="002E7560">
      <w:pPr>
        <w:pStyle w:val="BodyText"/>
        <w:spacing w:before="8"/>
        <w:rPr>
          <w:sz w:val="10"/>
        </w:rPr>
      </w:pPr>
      <w:r>
        <w:rPr>
          <w:noProof/>
        </w:rPr>
        <mc:AlternateContent>
          <mc:Choice Requires="wps">
            <w:drawing>
              <wp:anchor distT="0" distB="0" distL="0" distR="0" simplePos="0" relativeHeight="1552" behindDoc="0" locked="0" layoutInCell="1" allowOverlap="1" wp14:anchorId="2AEDD58A" wp14:editId="531528F9">
                <wp:simplePos x="0" y="0"/>
                <wp:positionH relativeFrom="page">
                  <wp:posOffset>539750</wp:posOffset>
                </wp:positionH>
                <wp:positionV relativeFrom="paragraph">
                  <wp:posOffset>107950</wp:posOffset>
                </wp:positionV>
                <wp:extent cx="1080135" cy="0"/>
                <wp:effectExtent l="6350" t="19050" r="31115" b="19050"/>
                <wp:wrapTopAndBottom/>
                <wp:docPr id="1371"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D0ACC" id="Line_x0020_1370"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5pt" to="127.5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" strokecolor="#231f20" strokeweight=".5pt">
                <w10:wrap type="topAndBottom" anchorx="page"/>
              </v:line>
            </w:pict>
          </mc:Fallback>
        </mc:AlternateContent>
      </w:r>
    </w:p>
    <w:p w14:paraId="2DAF4F2D" w14:textId="77777777" w:rsidR="00DE575E" w:rsidRDefault="002E7560">
      <w:pPr>
        <w:spacing w:line="162" w:lineRule="exact"/>
        <w:ind w:left="250"/>
        <w:rPr>
          <w:sz w:val="16"/>
        </w:rPr>
      </w:pPr>
      <w:r>
        <w:rPr>
          <w:color w:val="231F20"/>
          <w:position w:val="5"/>
          <w:sz w:val="9"/>
        </w:rPr>
        <w:t xml:space="preserve">1 </w:t>
      </w:r>
      <w:r>
        <w:rPr>
          <w:color w:val="231F20"/>
          <w:sz w:val="16"/>
        </w:rPr>
        <w:t>Про Національну поліцію : Закон від 02:07.2015; КУпАП.</w:t>
      </w:r>
    </w:p>
    <w:p w14:paraId="397D3981" w14:textId="77777777" w:rsidR="00DE575E" w:rsidRDefault="002E7560">
      <w:pPr>
        <w:ind w:left="250"/>
        <w:rPr>
          <w:sz w:val="16"/>
        </w:rPr>
      </w:pPr>
      <w:r>
        <w:rPr>
          <w:color w:val="231F20"/>
          <w:position w:val="5"/>
          <w:sz w:val="9"/>
        </w:rPr>
        <w:t xml:space="preserve">2 </w:t>
      </w:r>
      <w:r>
        <w:rPr>
          <w:color w:val="231F20"/>
          <w:sz w:val="16"/>
        </w:rPr>
        <w:t>Мельник Р. Зазнач. праця.</w:t>
      </w:r>
    </w:p>
    <w:p w14:paraId="1413E0A2" w14:textId="77777777" w:rsidR="00DE575E" w:rsidRDefault="00DE575E">
      <w:pPr>
        <w:pStyle w:val="BodyText"/>
        <w:spacing w:before="11"/>
        <w:rPr>
          <w:sz w:val="11"/>
        </w:rPr>
      </w:pPr>
    </w:p>
    <w:p w14:paraId="599D675D" w14:textId="77777777" w:rsidR="00DE575E" w:rsidRDefault="002E7560">
      <w:pPr>
        <w:spacing w:before="92"/>
        <w:ind w:right="411"/>
        <w:jc w:val="right"/>
        <w:rPr>
          <w:rFonts w:ascii="Times New Roman"/>
          <w:sz w:val="20"/>
        </w:rPr>
      </w:pPr>
      <w:r>
        <w:rPr>
          <w:rFonts w:ascii="Times New Roman"/>
          <w:color w:val="231F20"/>
          <w:w w:val="90"/>
          <w:sz w:val="20"/>
        </w:rPr>
        <w:t>21</w:t>
      </w:r>
    </w:p>
    <w:p w14:paraId="069343B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A9875CD"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5EC2286" w14:textId="68E43D0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125D558" wp14:editId="4B5722F0">
                <wp:extent cx="4140200" cy="6350"/>
                <wp:effectExtent l="0" t="0" r="12700" b="6350"/>
                <wp:docPr id="1369"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70" name="Line 13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01DC14" id="Group_x0020_13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ENjRpoECAACcBQAA&#10;DgAAAAAAAAAAAAAAAAAsAgAAZHJzL2Uyb0RvYy54bWxQSwECLQAUAAYACAAAACEATKewkNkAAAAD&#10;AQAADwAAAAAAAAAAAAAAAADZBAAAZHJzL2Rvd25yZXYueG1sUEsFBgAAAAAEAAQA8wAAAN8FAAAA&#10;AA==&#10;">
                <v:line id="Line_x0020_13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VchsgAAADdAAAADwAAAGRycy9kb3ducmV2LnhtbESP3UrDQBCF74W+wzKCN2I3GlBJuy1F&#10;EMSL/sUHmGanSXB3Ns1um+jTOxcF72Y4Z875Zr4cvVMX6mMb2MDjNANFXAXbcm3gq3x/eAUVE7JF&#10;F5gM/FCE5WJyM8fChoF3dNmnWkkIxwINNCl1hdaxashjnIaOWLRj6D0mWfta2x4HCfdOP2XZs/bY&#10;sjQ02NFbQ9X3/uwNlKf75LabTzeUm0OuD6d1/nteG3N3O65moBKN6d98vf6wgp+/CL98IyPox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6VchsgAAADdAAAADwAAAAAA&#10;AAAAAAAAAAChAgAAZHJzL2Rvd25yZXYueG1sUEsFBgAAAAAEAAQA+QAAAJYDAAAAAA==&#10;" strokecolor="#231f20" strokeweight=".5pt"/>
                <w10:anchorlock/>
              </v:group>
            </w:pict>
          </mc:Fallback>
        </mc:AlternateContent>
      </w:r>
    </w:p>
    <w:p w14:paraId="6EF53B7B" w14:textId="77777777" w:rsidR="00DE575E" w:rsidRDefault="00DE575E">
      <w:pPr>
        <w:pStyle w:val="BodyText"/>
        <w:spacing w:before="7"/>
        <w:rPr>
          <w:rFonts w:ascii="AdonisC"/>
          <w:i/>
          <w:sz w:val="11"/>
        </w:rPr>
      </w:pPr>
    </w:p>
    <w:p w14:paraId="50F7BE7E" w14:textId="77777777" w:rsidR="00DE575E" w:rsidRDefault="002E7560">
      <w:pPr>
        <w:spacing w:before="101" w:line="252" w:lineRule="auto"/>
        <w:ind w:left="533" w:right="127" w:firstLine="283"/>
        <w:jc w:val="both"/>
        <w:rPr>
          <w:sz w:val="21"/>
        </w:rPr>
      </w:pPr>
      <w:r>
        <w:rPr>
          <w:color w:val="231F20"/>
          <w:sz w:val="21"/>
        </w:rPr>
        <w:t xml:space="preserve">У демократичних правових країнах зі зловживаннями влади борються за допомогою проведення чергових і позачергових вибо- рів, через заборону більш ніж два строки займати важливі публічні посади та </w:t>
      </w:r>
      <w:r>
        <w:rPr>
          <w:i/>
          <w:color w:val="231F20"/>
          <w:sz w:val="21"/>
        </w:rPr>
        <w:t>постійного тиску громадськості й</w:t>
      </w:r>
      <w:r>
        <w:rPr>
          <w:i/>
          <w:color w:val="231F20"/>
          <w:sz w:val="21"/>
        </w:rPr>
        <w:t xml:space="preserve"> засобів масової інфор- мації на чиновників</w:t>
      </w:r>
      <w:r>
        <w:rPr>
          <w:color w:val="231F20"/>
          <w:sz w:val="21"/>
        </w:rPr>
        <w:t>.</w:t>
      </w:r>
    </w:p>
    <w:p w14:paraId="4B53B553" w14:textId="77777777" w:rsidR="00DE575E" w:rsidRDefault="002E7560">
      <w:pPr>
        <w:pStyle w:val="BodyText"/>
        <w:spacing w:before="2" w:line="252" w:lineRule="auto"/>
        <w:ind w:left="533" w:right="124" w:firstLine="283"/>
        <w:jc w:val="both"/>
      </w:pPr>
      <w:r>
        <w:rPr>
          <w:color w:val="231F20"/>
        </w:rPr>
        <w:t xml:space="preserve">Універсальним винаходом для запобігання зловживанням із боку публічної влади є цивільне право: парламент установлює закони, а їх виконання покладається на приватних осіб, які без участі суб’єктів публічної адміністрації вирішують свої питання. В ідеальній </w:t>
      </w:r>
      <w:r>
        <w:rPr>
          <w:color w:val="231F20"/>
        </w:rPr>
        <w:t>конструкції цивільне право взагалі виключає існування такого інституту, як «публічна адміністрація». Немає публічної адміністрації – немає зловживань, немає бюрократії, ніхто не зава- жає</w:t>
      </w:r>
      <w:r>
        <w:rPr>
          <w:color w:val="231F20"/>
          <w:spacing w:val="3"/>
        </w:rPr>
        <w:t xml:space="preserve"> </w:t>
      </w:r>
      <w:r>
        <w:rPr>
          <w:color w:val="231F20"/>
        </w:rPr>
        <w:t>жити.</w:t>
      </w:r>
    </w:p>
    <w:p w14:paraId="65600AEA" w14:textId="77777777" w:rsidR="00DE575E" w:rsidRDefault="002E7560">
      <w:pPr>
        <w:pStyle w:val="BodyText"/>
        <w:spacing w:before="4" w:line="252" w:lineRule="auto"/>
        <w:ind w:left="533" w:right="128" w:firstLine="283"/>
        <w:jc w:val="both"/>
      </w:pPr>
      <w:r>
        <w:rPr>
          <w:color w:val="231F20"/>
        </w:rPr>
        <w:t xml:space="preserve">Проте через недостатню правову культуру, або коли такі відно- </w:t>
      </w:r>
      <w:r>
        <w:rPr>
          <w:color w:val="231F20"/>
        </w:rPr>
        <w:t xml:space="preserve">сини потенційно зумовлюють суспільну небезпеку, між приват- ними суб’єктами права з’являється публічний посередник – </w:t>
      </w:r>
      <w:r>
        <w:rPr>
          <w:b/>
          <w:color w:val="231F20"/>
        </w:rPr>
        <w:t xml:space="preserve">суб’єкт публічної адміністрації. </w:t>
      </w:r>
      <w:r>
        <w:rPr>
          <w:color w:val="231F20"/>
        </w:rPr>
        <w:t>Без нього взагалі говорити про адміні- стративне право неможливо.</w:t>
      </w:r>
    </w:p>
    <w:p w14:paraId="308FA413" w14:textId="77777777" w:rsidR="00DE575E" w:rsidRDefault="002E7560">
      <w:pPr>
        <w:pStyle w:val="BodyText"/>
        <w:spacing w:before="3"/>
        <w:ind w:left="817"/>
      </w:pPr>
      <w:r>
        <w:rPr>
          <w:color w:val="231F20"/>
        </w:rPr>
        <w:t>До суб’єктів публічної адміністрації нал</w:t>
      </w:r>
      <w:r>
        <w:rPr>
          <w:color w:val="231F20"/>
        </w:rPr>
        <w:t>ежать:</w:t>
      </w:r>
    </w:p>
    <w:p w14:paraId="11964A6A" w14:textId="77777777" w:rsidR="00DE575E" w:rsidRDefault="002E7560">
      <w:pPr>
        <w:pStyle w:val="ListParagraph"/>
        <w:numPr>
          <w:ilvl w:val="0"/>
          <w:numId w:val="314"/>
        </w:numPr>
        <w:tabs>
          <w:tab w:val="left" w:pos="1101"/>
        </w:tabs>
        <w:spacing w:before="12"/>
        <w:ind w:hanging="283"/>
        <w:rPr>
          <w:sz w:val="21"/>
        </w:rPr>
      </w:pPr>
      <w:r>
        <w:rPr>
          <w:color w:val="231F20"/>
          <w:sz w:val="21"/>
        </w:rPr>
        <w:t>органи виконавчої</w:t>
      </w:r>
      <w:r>
        <w:rPr>
          <w:color w:val="231F20"/>
          <w:spacing w:val="-2"/>
          <w:sz w:val="21"/>
        </w:rPr>
        <w:t xml:space="preserve"> </w:t>
      </w:r>
      <w:r>
        <w:rPr>
          <w:color w:val="231F20"/>
          <w:sz w:val="21"/>
        </w:rPr>
        <w:t>влади;</w:t>
      </w:r>
    </w:p>
    <w:p w14:paraId="4DB1925C" w14:textId="77777777" w:rsidR="00DE575E" w:rsidRDefault="002E7560">
      <w:pPr>
        <w:pStyle w:val="ListParagraph"/>
        <w:numPr>
          <w:ilvl w:val="0"/>
          <w:numId w:val="314"/>
        </w:numPr>
        <w:tabs>
          <w:tab w:val="left" w:pos="1101"/>
        </w:tabs>
        <w:spacing w:before="13"/>
        <w:ind w:hanging="283"/>
        <w:rPr>
          <w:sz w:val="21"/>
        </w:rPr>
      </w:pPr>
      <w:r>
        <w:rPr>
          <w:color w:val="231F20"/>
          <w:spacing w:val="-3"/>
          <w:sz w:val="21"/>
        </w:rPr>
        <w:t xml:space="preserve">суб’єкти </w:t>
      </w:r>
      <w:r>
        <w:rPr>
          <w:color w:val="231F20"/>
          <w:sz w:val="21"/>
        </w:rPr>
        <w:t>місцевого</w:t>
      </w:r>
      <w:r>
        <w:rPr>
          <w:color w:val="231F20"/>
          <w:spacing w:val="1"/>
          <w:sz w:val="21"/>
        </w:rPr>
        <w:t xml:space="preserve"> </w:t>
      </w:r>
      <w:r>
        <w:rPr>
          <w:color w:val="231F20"/>
          <w:sz w:val="21"/>
        </w:rPr>
        <w:t>самоврядування;</w:t>
      </w:r>
    </w:p>
    <w:p w14:paraId="3048A2B3" w14:textId="77777777" w:rsidR="00DE575E" w:rsidRDefault="002E7560">
      <w:pPr>
        <w:pStyle w:val="ListParagraph"/>
        <w:numPr>
          <w:ilvl w:val="0"/>
          <w:numId w:val="314"/>
        </w:numPr>
        <w:tabs>
          <w:tab w:val="left" w:pos="1101"/>
        </w:tabs>
        <w:spacing w:before="13"/>
        <w:ind w:hanging="283"/>
        <w:rPr>
          <w:sz w:val="21"/>
        </w:rPr>
      </w:pPr>
      <w:r>
        <w:rPr>
          <w:color w:val="231F20"/>
          <w:spacing w:val="-3"/>
          <w:sz w:val="21"/>
        </w:rPr>
        <w:t xml:space="preserve">суб’єкти </w:t>
      </w:r>
      <w:r>
        <w:rPr>
          <w:color w:val="231F20"/>
          <w:sz w:val="21"/>
        </w:rPr>
        <w:t>делегованих</w:t>
      </w:r>
      <w:r>
        <w:rPr>
          <w:color w:val="231F20"/>
          <w:sz w:val="21"/>
        </w:rPr>
        <w:t xml:space="preserve"> </w:t>
      </w:r>
      <w:r>
        <w:rPr>
          <w:color w:val="231F20"/>
          <w:sz w:val="21"/>
        </w:rPr>
        <w:t>повноважень:</w:t>
      </w:r>
    </w:p>
    <w:p w14:paraId="6D96673F" w14:textId="77777777" w:rsidR="00DE575E" w:rsidRDefault="002E7560">
      <w:pPr>
        <w:pStyle w:val="ListParagraph"/>
        <w:numPr>
          <w:ilvl w:val="1"/>
          <w:numId w:val="314"/>
        </w:numPr>
        <w:tabs>
          <w:tab w:val="left" w:pos="1498"/>
        </w:tabs>
        <w:spacing w:before="13" w:line="252" w:lineRule="auto"/>
        <w:ind w:right="128"/>
        <w:rPr>
          <w:sz w:val="21"/>
        </w:rPr>
      </w:pPr>
      <w:r>
        <w:rPr>
          <w:i/>
          <w:color w:val="231F20"/>
          <w:sz w:val="21"/>
        </w:rPr>
        <w:t>громадські об’єднання в забезпеченні публічного інте- ресу</w:t>
      </w:r>
      <w:r>
        <w:rPr>
          <w:color w:val="231F20"/>
          <w:position w:val="7"/>
          <w:sz w:val="12"/>
        </w:rPr>
        <w:t>1</w:t>
      </w:r>
      <w:r>
        <w:rPr>
          <w:color w:val="231F20"/>
          <w:sz w:val="21"/>
        </w:rPr>
        <w:t>;</w:t>
      </w:r>
    </w:p>
    <w:p w14:paraId="3E03BAE5" w14:textId="77777777" w:rsidR="00DE575E" w:rsidRDefault="002E7560">
      <w:pPr>
        <w:pStyle w:val="ListParagraph"/>
        <w:numPr>
          <w:ilvl w:val="1"/>
          <w:numId w:val="314"/>
        </w:numPr>
        <w:tabs>
          <w:tab w:val="left" w:pos="1498"/>
        </w:tabs>
        <w:spacing w:line="252" w:lineRule="auto"/>
        <w:ind w:right="128"/>
        <w:rPr>
          <w:sz w:val="21"/>
        </w:rPr>
      </w:pPr>
      <w:r>
        <w:rPr>
          <w:i/>
          <w:color w:val="231F20"/>
          <w:sz w:val="21"/>
        </w:rPr>
        <w:t xml:space="preserve">інші </w:t>
      </w:r>
      <w:r>
        <w:rPr>
          <w:i/>
          <w:color w:val="231F20"/>
          <w:spacing w:val="-3"/>
          <w:sz w:val="21"/>
        </w:rPr>
        <w:t xml:space="preserve">суб’єкти </w:t>
      </w:r>
      <w:r>
        <w:rPr>
          <w:i/>
          <w:color w:val="231F20"/>
          <w:sz w:val="21"/>
        </w:rPr>
        <w:t>під час здійснення делегованих законодавст- вом виконавчих</w:t>
      </w:r>
      <w:r>
        <w:rPr>
          <w:i/>
          <w:color w:val="231F20"/>
          <w:spacing w:val="-3"/>
          <w:sz w:val="21"/>
        </w:rPr>
        <w:t xml:space="preserve"> </w:t>
      </w:r>
      <w:r>
        <w:rPr>
          <w:i/>
          <w:color w:val="231F20"/>
          <w:sz w:val="21"/>
        </w:rPr>
        <w:t>функцій</w:t>
      </w:r>
      <w:r>
        <w:rPr>
          <w:color w:val="231F20"/>
          <w:position w:val="7"/>
          <w:sz w:val="12"/>
        </w:rPr>
        <w:t>2</w:t>
      </w:r>
      <w:r>
        <w:rPr>
          <w:color w:val="231F20"/>
          <w:sz w:val="21"/>
        </w:rPr>
        <w:t>.</w:t>
      </w:r>
    </w:p>
    <w:p w14:paraId="3025C952" w14:textId="77777777" w:rsidR="00DE575E" w:rsidRDefault="002E7560">
      <w:pPr>
        <w:spacing w:before="1" w:line="252" w:lineRule="auto"/>
        <w:ind w:left="533" w:right="127" w:firstLine="283"/>
        <w:jc w:val="both"/>
        <w:rPr>
          <w:sz w:val="21"/>
        </w:rPr>
      </w:pPr>
      <w:r>
        <w:rPr>
          <w:color w:val="231F20"/>
          <w:sz w:val="21"/>
        </w:rPr>
        <w:t>Крім основн</w:t>
      </w:r>
      <w:r>
        <w:rPr>
          <w:color w:val="231F20"/>
          <w:sz w:val="21"/>
        </w:rPr>
        <w:t xml:space="preserve">их, для яких публічне адміністрування є головним видом діяльності, існують й </w:t>
      </w:r>
      <w:r>
        <w:rPr>
          <w:b/>
          <w:i/>
          <w:color w:val="231F20"/>
          <w:sz w:val="21"/>
        </w:rPr>
        <w:t>інші суб’єкти публічного адміністру- вання</w:t>
      </w:r>
      <w:r>
        <w:rPr>
          <w:color w:val="231F20"/>
          <w:sz w:val="21"/>
        </w:rPr>
        <w:t>, зокрема:</w:t>
      </w:r>
    </w:p>
    <w:p w14:paraId="34A9185F" w14:textId="77777777" w:rsidR="00DE575E" w:rsidRDefault="002E7560">
      <w:pPr>
        <w:pStyle w:val="BodyText"/>
        <w:spacing w:before="1" w:line="252" w:lineRule="auto"/>
        <w:ind w:left="533" w:right="126" w:firstLine="283"/>
        <w:jc w:val="both"/>
      </w:pPr>
      <w:r>
        <w:rPr>
          <w:color w:val="231F20"/>
        </w:rPr>
        <w:t>– Президент України – щодо внесення до Верховної  Ради України подань про призначення Міністра оборони України, Міні- стра зак</w:t>
      </w:r>
      <w:r>
        <w:rPr>
          <w:color w:val="231F20"/>
        </w:rPr>
        <w:t>ордонних справ України, Голови Служби безпеки України; зупинки дії актів Кабінету Міністрів України з мотивів невідповід- ності</w:t>
      </w:r>
      <w:r>
        <w:rPr>
          <w:color w:val="231F20"/>
          <w:spacing w:val="10"/>
        </w:rPr>
        <w:t xml:space="preserve"> </w:t>
      </w:r>
      <w:r>
        <w:rPr>
          <w:color w:val="231F20"/>
        </w:rPr>
        <w:t>Конституції;</w:t>
      </w:r>
      <w:r>
        <w:rPr>
          <w:color w:val="231F20"/>
          <w:spacing w:val="10"/>
        </w:rPr>
        <w:t xml:space="preserve"> </w:t>
      </w:r>
      <w:r>
        <w:rPr>
          <w:color w:val="231F20"/>
        </w:rPr>
        <w:t>ухвалення</w:t>
      </w:r>
      <w:r>
        <w:rPr>
          <w:color w:val="231F20"/>
          <w:spacing w:val="10"/>
        </w:rPr>
        <w:t xml:space="preserve"> </w:t>
      </w:r>
      <w:r>
        <w:rPr>
          <w:color w:val="231F20"/>
        </w:rPr>
        <w:t>рішення</w:t>
      </w:r>
      <w:r>
        <w:rPr>
          <w:color w:val="231F20"/>
          <w:spacing w:val="10"/>
        </w:rPr>
        <w:t xml:space="preserve"> </w:t>
      </w:r>
      <w:r>
        <w:rPr>
          <w:color w:val="231F20"/>
        </w:rPr>
        <w:t>про</w:t>
      </w:r>
      <w:r>
        <w:rPr>
          <w:color w:val="231F20"/>
          <w:spacing w:val="10"/>
        </w:rPr>
        <w:t xml:space="preserve"> </w:t>
      </w:r>
      <w:r>
        <w:rPr>
          <w:color w:val="231F20"/>
        </w:rPr>
        <w:t>прийняття</w:t>
      </w:r>
      <w:r>
        <w:rPr>
          <w:color w:val="231F20"/>
          <w:spacing w:val="10"/>
        </w:rPr>
        <w:t xml:space="preserve"> </w:t>
      </w:r>
      <w:r>
        <w:rPr>
          <w:color w:val="231F20"/>
        </w:rPr>
        <w:t>до</w:t>
      </w:r>
      <w:r>
        <w:rPr>
          <w:color w:val="231F20"/>
          <w:spacing w:val="10"/>
        </w:rPr>
        <w:t xml:space="preserve"> </w:t>
      </w:r>
      <w:r>
        <w:rPr>
          <w:color w:val="231F20"/>
        </w:rPr>
        <w:t>громадян-</w:t>
      </w:r>
    </w:p>
    <w:p w14:paraId="5618B639" w14:textId="6C15BAFA" w:rsidR="00DE575E" w:rsidRDefault="002E7560">
      <w:pPr>
        <w:pStyle w:val="BodyText"/>
        <w:rPr>
          <w:sz w:val="20"/>
        </w:rPr>
      </w:pPr>
      <w:r>
        <w:rPr>
          <w:noProof/>
        </w:rPr>
        <mc:AlternateContent>
          <mc:Choice Requires="wps">
            <w:drawing>
              <wp:anchor distT="0" distB="0" distL="0" distR="0" simplePos="0" relativeHeight="1600" behindDoc="0" locked="0" layoutInCell="1" allowOverlap="1" wp14:anchorId="0C4EEE07" wp14:editId="78BFAB26">
                <wp:simplePos x="0" y="0"/>
                <wp:positionH relativeFrom="page">
                  <wp:posOffset>719455</wp:posOffset>
                </wp:positionH>
                <wp:positionV relativeFrom="paragraph">
                  <wp:posOffset>177165</wp:posOffset>
                </wp:positionV>
                <wp:extent cx="1080135" cy="0"/>
                <wp:effectExtent l="8255" t="12065" r="29210" b="26035"/>
                <wp:wrapTopAndBottom/>
                <wp:docPr id="1368"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AA49" id="Line_x0020_1367"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95pt" to="141.7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eEIi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" strokecolor="#231f20" strokeweight=".5pt">
                <w10:wrap type="topAndBottom" anchorx="page"/>
              </v:line>
            </w:pict>
          </mc:Fallback>
        </mc:AlternateContent>
      </w:r>
    </w:p>
    <w:p w14:paraId="0D138E03" w14:textId="77777777" w:rsidR="00DE575E" w:rsidRDefault="002E7560">
      <w:pPr>
        <w:spacing w:line="204" w:lineRule="auto"/>
        <w:ind w:left="533" w:right="128"/>
        <w:jc w:val="both"/>
        <w:rPr>
          <w:i/>
          <w:sz w:val="16"/>
        </w:rPr>
      </w:pPr>
      <w:r>
        <w:rPr>
          <w:color w:val="231F20"/>
          <w:position w:val="5"/>
          <w:sz w:val="9"/>
        </w:rPr>
        <w:t xml:space="preserve">1 </w:t>
      </w:r>
      <w:r>
        <w:rPr>
          <w:i/>
          <w:color w:val="231F20"/>
          <w:sz w:val="16"/>
          <w:u w:val="single" w:color="231F20"/>
        </w:rPr>
        <w:t>Приклад:</w:t>
      </w:r>
      <w:r>
        <w:rPr>
          <w:i/>
          <w:color w:val="231F20"/>
          <w:sz w:val="16"/>
        </w:rPr>
        <w:t xml:space="preserve"> при органах виконавчої влади та місцевого  самоврядування  діють  громад- ські</w:t>
      </w:r>
      <w:r>
        <w:rPr>
          <w:i/>
          <w:color w:val="231F20"/>
          <w:spacing w:val="-9"/>
          <w:sz w:val="16"/>
        </w:rPr>
        <w:t xml:space="preserve"> </w:t>
      </w:r>
      <w:r>
        <w:rPr>
          <w:i/>
          <w:color w:val="231F20"/>
          <w:sz w:val="16"/>
        </w:rPr>
        <w:t>ради,</w:t>
      </w:r>
      <w:r>
        <w:rPr>
          <w:i/>
          <w:color w:val="231F20"/>
          <w:spacing w:val="-9"/>
          <w:sz w:val="16"/>
        </w:rPr>
        <w:t xml:space="preserve"> </w:t>
      </w:r>
      <w:r>
        <w:rPr>
          <w:i/>
          <w:color w:val="231F20"/>
          <w:sz w:val="16"/>
        </w:rPr>
        <w:t>утворені</w:t>
      </w:r>
      <w:r>
        <w:rPr>
          <w:i/>
          <w:color w:val="231F20"/>
          <w:spacing w:val="-9"/>
          <w:sz w:val="16"/>
        </w:rPr>
        <w:t xml:space="preserve"> </w:t>
      </w:r>
      <w:r>
        <w:rPr>
          <w:i/>
          <w:color w:val="231F20"/>
          <w:sz w:val="16"/>
        </w:rPr>
        <w:t>для</w:t>
      </w:r>
      <w:r>
        <w:rPr>
          <w:i/>
          <w:color w:val="231F20"/>
          <w:spacing w:val="-9"/>
          <w:sz w:val="16"/>
        </w:rPr>
        <w:t xml:space="preserve"> </w:t>
      </w:r>
      <w:r>
        <w:rPr>
          <w:i/>
          <w:color w:val="231F20"/>
          <w:sz w:val="16"/>
        </w:rPr>
        <w:t>контролю</w:t>
      </w:r>
      <w:r>
        <w:rPr>
          <w:i/>
          <w:color w:val="231F20"/>
          <w:spacing w:val="-9"/>
          <w:sz w:val="16"/>
        </w:rPr>
        <w:t xml:space="preserve"> </w:t>
      </w:r>
      <w:r>
        <w:rPr>
          <w:i/>
          <w:color w:val="231F20"/>
          <w:sz w:val="16"/>
        </w:rPr>
        <w:t>та</w:t>
      </w:r>
      <w:r>
        <w:rPr>
          <w:i/>
          <w:color w:val="231F20"/>
          <w:spacing w:val="-9"/>
          <w:sz w:val="16"/>
        </w:rPr>
        <w:t xml:space="preserve"> </w:t>
      </w:r>
      <w:r>
        <w:rPr>
          <w:i/>
          <w:color w:val="231F20"/>
          <w:sz w:val="16"/>
        </w:rPr>
        <w:t>оцінювання</w:t>
      </w:r>
      <w:r>
        <w:rPr>
          <w:i/>
          <w:color w:val="231F20"/>
          <w:spacing w:val="-10"/>
          <w:sz w:val="16"/>
        </w:rPr>
        <w:t xml:space="preserve"> </w:t>
      </w:r>
      <w:r>
        <w:rPr>
          <w:i/>
          <w:color w:val="231F20"/>
          <w:sz w:val="16"/>
        </w:rPr>
        <w:t>ефективності</w:t>
      </w:r>
      <w:r>
        <w:rPr>
          <w:i/>
          <w:color w:val="231F20"/>
          <w:spacing w:val="-9"/>
          <w:sz w:val="16"/>
        </w:rPr>
        <w:t xml:space="preserve"> </w:t>
      </w:r>
      <w:r>
        <w:rPr>
          <w:i/>
          <w:color w:val="231F20"/>
          <w:sz w:val="16"/>
        </w:rPr>
        <w:t>роботи</w:t>
      </w:r>
      <w:r>
        <w:rPr>
          <w:i/>
          <w:color w:val="231F20"/>
          <w:spacing w:val="-9"/>
          <w:sz w:val="16"/>
        </w:rPr>
        <w:t xml:space="preserve"> </w:t>
      </w:r>
      <w:r>
        <w:rPr>
          <w:i/>
          <w:color w:val="231F20"/>
          <w:sz w:val="16"/>
        </w:rPr>
        <w:t>суб’єктів</w:t>
      </w:r>
      <w:r>
        <w:rPr>
          <w:i/>
          <w:color w:val="231F20"/>
          <w:spacing w:val="-9"/>
          <w:sz w:val="16"/>
        </w:rPr>
        <w:t xml:space="preserve"> </w:t>
      </w:r>
      <w:r>
        <w:rPr>
          <w:i/>
          <w:color w:val="231F20"/>
          <w:sz w:val="16"/>
        </w:rPr>
        <w:t>публічної адміністрації.</w:t>
      </w:r>
    </w:p>
    <w:p w14:paraId="423BD2BF" w14:textId="77777777" w:rsidR="00DE575E" w:rsidRDefault="002E7560">
      <w:pPr>
        <w:spacing w:before="26" w:line="204" w:lineRule="auto"/>
        <w:ind w:left="533" w:right="128"/>
        <w:jc w:val="both"/>
        <w:rPr>
          <w:i/>
          <w:sz w:val="16"/>
        </w:rPr>
      </w:pPr>
      <w:r>
        <w:rPr>
          <w:color w:val="231F20"/>
          <w:position w:val="5"/>
          <w:sz w:val="9"/>
        </w:rPr>
        <w:t xml:space="preserve">2 </w:t>
      </w:r>
      <w:r>
        <w:rPr>
          <w:i/>
          <w:color w:val="231F20"/>
          <w:sz w:val="16"/>
          <w:u w:val="single" w:color="231F20"/>
        </w:rPr>
        <w:t>Приклад:</w:t>
      </w:r>
      <w:r>
        <w:rPr>
          <w:i/>
          <w:color w:val="231F20"/>
          <w:sz w:val="16"/>
        </w:rPr>
        <w:t xml:space="preserve"> приватні станції технічного обслуговування, які отримали від держави</w:t>
      </w:r>
      <w:r>
        <w:rPr>
          <w:i/>
          <w:color w:val="231F20"/>
          <w:sz w:val="16"/>
        </w:rPr>
        <w:t xml:space="preserve"> від- повідні ліцензії, здійснюють обов’язковий державний технічний контроль транспортних засобів.</w:t>
      </w:r>
    </w:p>
    <w:p w14:paraId="0C10B212" w14:textId="77777777" w:rsidR="00DE575E" w:rsidRDefault="00DE575E">
      <w:pPr>
        <w:pStyle w:val="BodyText"/>
        <w:spacing w:before="6"/>
        <w:rPr>
          <w:i/>
          <w:sz w:val="12"/>
        </w:rPr>
      </w:pPr>
    </w:p>
    <w:p w14:paraId="778C175B" w14:textId="77777777" w:rsidR="00DE575E" w:rsidRDefault="002E7560">
      <w:pPr>
        <w:spacing w:before="92"/>
        <w:ind w:left="533"/>
        <w:rPr>
          <w:rFonts w:ascii="Times New Roman"/>
          <w:sz w:val="20"/>
        </w:rPr>
      </w:pPr>
      <w:r>
        <w:rPr>
          <w:rFonts w:ascii="Times New Roman"/>
          <w:color w:val="231F20"/>
          <w:sz w:val="20"/>
        </w:rPr>
        <w:t>22</w:t>
      </w:r>
    </w:p>
    <w:p w14:paraId="5468EE73" w14:textId="77777777" w:rsidR="00DE575E" w:rsidRDefault="00DE575E">
      <w:pPr>
        <w:rPr>
          <w:rFonts w:ascii="Times New Roman"/>
          <w:sz w:val="20"/>
        </w:rPr>
        <w:sectPr w:rsidR="00DE575E">
          <w:pgSz w:w="8510" w:h="12760"/>
          <w:pgMar w:top="660" w:right="720" w:bottom="280" w:left="600" w:header="720" w:footer="720" w:gutter="0"/>
          <w:cols w:space="720"/>
        </w:sectPr>
      </w:pPr>
    </w:p>
    <w:p w14:paraId="58909D4C"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3EEF5F8D" w14:textId="3B72316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B0E46D7" wp14:editId="41678550">
                <wp:extent cx="4140200" cy="6350"/>
                <wp:effectExtent l="0" t="0" r="12700" b="6350"/>
                <wp:docPr id="1366"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67" name="Line 136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F218A7" id="Group_x0020_136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61zUlgAIAAJwFAAAO&#10;AAAAAAAAAAAAAAAAACwCAABkcnMvZTJvRG9jLnhtbFBLAQItABQABgAIAAAAIQBMp7CQ2QAAAAMB&#10;AAAPAAAAAAAAAAAAAAAAANgEAABkcnMvZG93bnJldi54bWxQSwUGAAAAAAQABADzAAAA3gUAAAAA&#10;">
                <v:line id="Line_x0020_136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VSL8UAAADdAAAADwAAAGRycy9kb3ducmV2LnhtbERP22rCQBB9F/oPyxT6IrppAyrRVUqh&#10;UPrgLX7AmB2T0N3ZmF1N2q/vCoJvczjXWax6a8SVWl87VvA6TkAQF07XXCo45J+jGQgfkDUax6Tg&#10;lzyslk+DBWbadbyj6z6UIoawz1BBFUKTSemLiiz6sWuII3dyrcUQYVtK3WIXw62Rb0kykRZrjg0V&#10;NvRRUfGzv1gF+XkYzHbzbbp8c0zl8bxO/y5rpV6e+/c5iEB9eIjv7i8d56eTKdy+iSf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ZVSL8UAAADdAAAADwAAAAAAAAAA&#10;AAAAAAChAgAAZHJzL2Rvd25yZXYueG1sUEsFBgAAAAAEAAQA+QAAAJMDAAAAAA==&#10;" strokecolor="#231f20" strokeweight=".5pt"/>
                <w10:anchorlock/>
              </v:group>
            </w:pict>
          </mc:Fallback>
        </mc:AlternateContent>
      </w:r>
    </w:p>
    <w:p w14:paraId="00317021" w14:textId="77777777" w:rsidR="00DE575E" w:rsidRDefault="00DE575E">
      <w:pPr>
        <w:pStyle w:val="BodyText"/>
        <w:spacing w:before="7"/>
        <w:rPr>
          <w:rFonts w:ascii="AdonisC"/>
          <w:i/>
          <w:sz w:val="19"/>
        </w:rPr>
      </w:pPr>
    </w:p>
    <w:p w14:paraId="03A7558B" w14:textId="77777777" w:rsidR="00DE575E" w:rsidRDefault="002E7560">
      <w:pPr>
        <w:pStyle w:val="BodyText"/>
        <w:spacing w:before="1" w:line="252" w:lineRule="auto"/>
        <w:ind w:left="250"/>
      </w:pPr>
      <w:r>
        <w:rPr>
          <w:color w:val="231F20"/>
        </w:rPr>
        <w:t>ства України та припинення громадянства України, про надання притулку в Україні</w:t>
      </w:r>
      <w:r>
        <w:rPr>
          <w:color w:val="231F20"/>
          <w:position w:val="7"/>
          <w:sz w:val="12"/>
        </w:rPr>
        <w:t>1</w:t>
      </w:r>
      <w:r>
        <w:rPr>
          <w:color w:val="231F20"/>
        </w:rPr>
        <w:t>;</w:t>
      </w:r>
    </w:p>
    <w:p w14:paraId="458967C6" w14:textId="77777777" w:rsidR="00DE575E" w:rsidRDefault="002E7560">
      <w:pPr>
        <w:pStyle w:val="BodyText"/>
        <w:spacing w:before="1" w:line="252" w:lineRule="auto"/>
        <w:ind w:left="250" w:right="411" w:firstLine="283"/>
        <w:jc w:val="both"/>
      </w:pPr>
      <w:r>
        <w:rPr>
          <w:color w:val="231F20"/>
        </w:rPr>
        <w:t>– судді на адміністративних посадах та апарат суду – під час надання адміністративних послуг у системі судоустрою та здійс- нення прийому</w:t>
      </w:r>
      <w:r>
        <w:rPr>
          <w:color w:val="231F20"/>
        </w:rPr>
        <w:t xml:space="preserve"> громадян.</w:t>
      </w:r>
    </w:p>
    <w:p w14:paraId="435EFA92" w14:textId="77777777" w:rsidR="00DE575E" w:rsidRDefault="002E7560">
      <w:pPr>
        <w:pStyle w:val="Heading5"/>
        <w:spacing w:before="1" w:line="252" w:lineRule="auto"/>
        <w:ind w:left="250" w:right="407" w:firstLine="283"/>
        <w:jc w:val="both"/>
      </w:pPr>
      <w:r>
        <w:rPr>
          <w:color w:val="231F20"/>
        </w:rPr>
        <w:t>Отже, до основних суб’єктів публічної адміністрації нале- жать органи виконавчої влади, місцевого самоврядування та суб’єкти делегованих повноважень під час здійснення вико- навчих функцій.</w:t>
      </w:r>
    </w:p>
    <w:p w14:paraId="2DBF8C5B" w14:textId="77777777" w:rsidR="00DE575E" w:rsidRDefault="00DE575E">
      <w:pPr>
        <w:pStyle w:val="BodyText"/>
        <w:spacing w:before="2"/>
        <w:rPr>
          <w:b/>
          <w:sz w:val="22"/>
        </w:rPr>
      </w:pPr>
    </w:p>
    <w:p w14:paraId="28784651" w14:textId="77777777" w:rsidR="00DE575E" w:rsidRDefault="002E7560">
      <w:pPr>
        <w:pStyle w:val="ListParagraph"/>
        <w:numPr>
          <w:ilvl w:val="2"/>
          <w:numId w:val="319"/>
        </w:numPr>
        <w:tabs>
          <w:tab w:val="left" w:pos="1099"/>
        </w:tabs>
        <w:spacing w:before="0"/>
        <w:ind w:firstLine="0"/>
        <w:rPr>
          <w:b/>
          <w:sz w:val="21"/>
        </w:rPr>
      </w:pPr>
      <w:r>
        <w:rPr>
          <w:b/>
          <w:color w:val="231F20"/>
          <w:sz w:val="21"/>
        </w:rPr>
        <w:t>Публічний</w:t>
      </w:r>
      <w:r>
        <w:rPr>
          <w:b/>
          <w:color w:val="231F20"/>
          <w:spacing w:val="-2"/>
          <w:sz w:val="21"/>
        </w:rPr>
        <w:t xml:space="preserve"> </w:t>
      </w:r>
      <w:r>
        <w:rPr>
          <w:b/>
          <w:color w:val="231F20"/>
          <w:sz w:val="21"/>
        </w:rPr>
        <w:t>інтерес</w:t>
      </w:r>
    </w:p>
    <w:p w14:paraId="292E614D" w14:textId="77777777" w:rsidR="00DE575E" w:rsidRDefault="00DE575E">
      <w:pPr>
        <w:pStyle w:val="BodyText"/>
        <w:spacing w:before="2"/>
        <w:rPr>
          <w:b/>
          <w:sz w:val="23"/>
        </w:rPr>
      </w:pPr>
    </w:p>
    <w:p w14:paraId="73579293" w14:textId="77777777" w:rsidR="00DE575E" w:rsidRDefault="002E7560">
      <w:pPr>
        <w:pStyle w:val="BodyText"/>
        <w:spacing w:line="252" w:lineRule="auto"/>
        <w:ind w:left="250" w:right="411" w:firstLine="283"/>
        <w:jc w:val="both"/>
      </w:pPr>
      <w:r>
        <w:rPr>
          <w:color w:val="231F20"/>
        </w:rPr>
        <w:t>Публічний  інтерес,   який   забезпечує   публічна   адміністрація, у</w:t>
      </w:r>
      <w:r>
        <w:rPr>
          <w:color w:val="231F20"/>
          <w:spacing w:val="-12"/>
        </w:rPr>
        <w:t xml:space="preserve"> </w:t>
      </w:r>
      <w:r>
        <w:rPr>
          <w:color w:val="231F20"/>
        </w:rPr>
        <w:t>своїй</w:t>
      </w:r>
      <w:r>
        <w:rPr>
          <w:color w:val="231F20"/>
          <w:spacing w:val="-12"/>
        </w:rPr>
        <w:t xml:space="preserve"> </w:t>
      </w:r>
      <w:r>
        <w:rPr>
          <w:color w:val="231F20"/>
        </w:rPr>
        <w:t>сукупності</w:t>
      </w:r>
      <w:r>
        <w:rPr>
          <w:color w:val="231F20"/>
          <w:spacing w:val="-12"/>
        </w:rPr>
        <w:t xml:space="preserve"> </w:t>
      </w:r>
      <w:r>
        <w:rPr>
          <w:color w:val="231F20"/>
        </w:rPr>
        <w:t>є</w:t>
      </w:r>
      <w:r>
        <w:rPr>
          <w:color w:val="231F20"/>
          <w:spacing w:val="-13"/>
        </w:rPr>
        <w:t xml:space="preserve"> </w:t>
      </w:r>
      <w:r>
        <w:rPr>
          <w:color w:val="231F20"/>
          <w:spacing w:val="-3"/>
        </w:rPr>
        <w:t>невід’ємним</w:t>
      </w:r>
      <w:r>
        <w:rPr>
          <w:color w:val="231F20"/>
          <w:spacing w:val="-12"/>
        </w:rPr>
        <w:t xml:space="preserve"> </w:t>
      </w:r>
      <w:r>
        <w:rPr>
          <w:color w:val="231F20"/>
        </w:rPr>
        <w:t>чинником</w:t>
      </w:r>
      <w:r>
        <w:rPr>
          <w:color w:val="231F20"/>
          <w:spacing w:val="-12"/>
        </w:rPr>
        <w:t xml:space="preserve"> </w:t>
      </w:r>
      <w:r>
        <w:rPr>
          <w:color w:val="231F20"/>
        </w:rPr>
        <w:t>адміністративного</w:t>
      </w:r>
      <w:r>
        <w:rPr>
          <w:color w:val="231F20"/>
          <w:spacing w:val="-12"/>
        </w:rPr>
        <w:t xml:space="preserve"> </w:t>
      </w:r>
      <w:r>
        <w:rPr>
          <w:color w:val="231F20"/>
        </w:rPr>
        <w:t>права. Він є одним із найбільш складних для розуміння в адміністратив- ному праві</w:t>
      </w:r>
      <w:r>
        <w:rPr>
          <w:color w:val="231F20"/>
          <w:position w:val="7"/>
          <w:sz w:val="12"/>
        </w:rPr>
        <w:t>2</w:t>
      </w:r>
      <w:r>
        <w:rPr>
          <w:color w:val="231F20"/>
        </w:rPr>
        <w:t>,</w:t>
      </w:r>
      <w:r>
        <w:rPr>
          <w:color w:val="231F20"/>
          <w:spacing w:val="-2"/>
        </w:rPr>
        <w:t xml:space="preserve"> </w:t>
      </w:r>
      <w:r>
        <w:rPr>
          <w:color w:val="231F20"/>
        </w:rPr>
        <w:t>адже:</w:t>
      </w:r>
    </w:p>
    <w:p w14:paraId="019EF5CF" w14:textId="77777777" w:rsidR="00DE575E" w:rsidRDefault="002E7560">
      <w:pPr>
        <w:pStyle w:val="BodyText"/>
        <w:spacing w:before="2" w:line="252" w:lineRule="auto"/>
        <w:ind w:left="250" w:right="411" w:firstLine="283"/>
        <w:jc w:val="both"/>
      </w:pPr>
      <w:r>
        <w:rPr>
          <w:b/>
          <w:i/>
          <w:color w:val="231F20"/>
        </w:rPr>
        <w:t>по-перше</w:t>
      </w:r>
      <w:r>
        <w:rPr>
          <w:color w:val="231F20"/>
        </w:rPr>
        <w:t>, сутність публічно-правових в</w:t>
      </w:r>
      <w:r>
        <w:rPr>
          <w:color w:val="231F20"/>
        </w:rPr>
        <w:t>ідносин є суб’єктивно- об’єктивною</w:t>
      </w:r>
      <w:r>
        <w:rPr>
          <w:color w:val="231F20"/>
          <w:position w:val="7"/>
          <w:sz w:val="12"/>
        </w:rPr>
        <w:t xml:space="preserve">3 </w:t>
      </w:r>
      <w:r>
        <w:rPr>
          <w:color w:val="231F20"/>
        </w:rPr>
        <w:t>– об’єктивно описується юридичною природою цього феномену та суб’єктивно закріплюється законодавцем у нормах адміністративного права;</w:t>
      </w:r>
    </w:p>
    <w:p w14:paraId="4A48C8F6" w14:textId="77777777" w:rsidR="00DE575E" w:rsidRDefault="002E7560">
      <w:pPr>
        <w:pStyle w:val="BodyText"/>
        <w:spacing w:before="2" w:line="252" w:lineRule="auto"/>
        <w:ind w:left="250" w:right="409" w:firstLine="283"/>
        <w:jc w:val="both"/>
      </w:pPr>
      <w:r>
        <w:rPr>
          <w:b/>
          <w:i/>
          <w:color w:val="231F20"/>
        </w:rPr>
        <w:t>по-друге</w:t>
      </w:r>
      <w:r>
        <w:rPr>
          <w:i/>
          <w:color w:val="231F20"/>
        </w:rPr>
        <w:t xml:space="preserve">, </w:t>
      </w:r>
      <w:r>
        <w:rPr>
          <w:color w:val="231F20"/>
        </w:rPr>
        <w:t>публічний інтерес є певною сукупністю приватних інтересів</w:t>
      </w:r>
      <w:r>
        <w:rPr>
          <w:color w:val="231F20"/>
          <w:position w:val="7"/>
          <w:sz w:val="12"/>
        </w:rPr>
        <w:t>4</w:t>
      </w:r>
      <w:r>
        <w:rPr>
          <w:color w:val="231F20"/>
        </w:rPr>
        <w:t>, коли множина приватних інтересів на певному етапі, за законом діалектики «взаємного переходу кількісних і якісних змін», переростає в публічний інтерес;</w:t>
      </w:r>
    </w:p>
    <w:p w14:paraId="65525923" w14:textId="77777777" w:rsidR="00DE575E" w:rsidRDefault="002E7560">
      <w:pPr>
        <w:pStyle w:val="BodyText"/>
        <w:spacing w:before="2" w:line="252" w:lineRule="auto"/>
        <w:ind w:left="250" w:right="412" w:firstLine="283"/>
        <w:jc w:val="both"/>
      </w:pPr>
      <w:r>
        <w:rPr>
          <w:b/>
          <w:i/>
          <w:color w:val="231F20"/>
        </w:rPr>
        <w:t>по-третє</w:t>
      </w:r>
      <w:r>
        <w:rPr>
          <w:i/>
          <w:color w:val="231F20"/>
        </w:rPr>
        <w:t xml:space="preserve">, </w:t>
      </w:r>
      <w:r>
        <w:rPr>
          <w:color w:val="231F20"/>
        </w:rPr>
        <w:t>у загальному розумінні публічний інтерес означає інтерес людської спільноти – населення, на</w:t>
      </w:r>
      <w:r>
        <w:rPr>
          <w:color w:val="231F20"/>
        </w:rPr>
        <w:t>роду тощо</w:t>
      </w:r>
      <w:r>
        <w:rPr>
          <w:color w:val="231F20"/>
          <w:position w:val="7"/>
          <w:sz w:val="12"/>
        </w:rPr>
        <w:t>5</w:t>
      </w:r>
      <w:r>
        <w:rPr>
          <w:color w:val="231F20"/>
        </w:rPr>
        <w:t>.</w:t>
      </w:r>
    </w:p>
    <w:p w14:paraId="23327BDE" w14:textId="77777777" w:rsidR="00DE575E" w:rsidRDefault="002E7560">
      <w:pPr>
        <w:pStyle w:val="BodyText"/>
        <w:spacing w:before="1" w:line="252" w:lineRule="auto"/>
        <w:ind w:left="250" w:right="411" w:firstLine="283"/>
        <w:jc w:val="both"/>
      </w:pPr>
      <w:r>
        <w:rPr>
          <w:color w:val="231F20"/>
          <w:spacing w:val="2"/>
        </w:rPr>
        <w:t xml:space="preserve">Тимсамиммежаміжприватниміпублічнимінтересомє </w:t>
      </w:r>
      <w:r>
        <w:rPr>
          <w:color w:val="231F20"/>
        </w:rPr>
        <w:t>розмитою, її</w:t>
      </w:r>
      <w:r>
        <w:rPr>
          <w:color w:val="231F20"/>
          <w:spacing w:val="-8"/>
        </w:rPr>
        <w:t xml:space="preserve"> </w:t>
      </w:r>
      <w:r>
        <w:rPr>
          <w:color w:val="231F20"/>
        </w:rPr>
        <w:t>важко</w:t>
      </w:r>
      <w:r>
        <w:rPr>
          <w:color w:val="231F20"/>
          <w:spacing w:val="-8"/>
        </w:rPr>
        <w:t xml:space="preserve"> </w:t>
      </w:r>
      <w:r>
        <w:rPr>
          <w:color w:val="231F20"/>
        </w:rPr>
        <w:t>описати</w:t>
      </w:r>
      <w:r>
        <w:rPr>
          <w:color w:val="231F20"/>
          <w:spacing w:val="-8"/>
        </w:rPr>
        <w:t xml:space="preserve"> </w:t>
      </w:r>
      <w:r>
        <w:rPr>
          <w:color w:val="231F20"/>
        </w:rPr>
        <w:t>просто</w:t>
      </w:r>
      <w:r>
        <w:rPr>
          <w:color w:val="231F20"/>
          <w:spacing w:val="-8"/>
        </w:rPr>
        <w:t xml:space="preserve"> </w:t>
      </w:r>
      <w:r>
        <w:rPr>
          <w:color w:val="231F20"/>
        </w:rPr>
        <w:t>й</w:t>
      </w:r>
      <w:r>
        <w:rPr>
          <w:color w:val="231F20"/>
          <w:spacing w:val="-9"/>
        </w:rPr>
        <w:t xml:space="preserve"> </w:t>
      </w:r>
      <w:r>
        <w:rPr>
          <w:color w:val="231F20"/>
        </w:rPr>
        <w:t>за</w:t>
      </w:r>
      <w:r>
        <w:rPr>
          <w:color w:val="231F20"/>
          <w:spacing w:val="-8"/>
        </w:rPr>
        <w:t xml:space="preserve"> </w:t>
      </w:r>
      <w:r>
        <w:rPr>
          <w:color w:val="231F20"/>
        </w:rPr>
        <w:t>допомогою</w:t>
      </w:r>
      <w:r>
        <w:rPr>
          <w:color w:val="231F20"/>
          <w:spacing w:val="-8"/>
        </w:rPr>
        <w:t xml:space="preserve"> </w:t>
      </w:r>
      <w:r>
        <w:rPr>
          <w:color w:val="231F20"/>
        </w:rPr>
        <w:t>одного</w:t>
      </w:r>
      <w:r>
        <w:rPr>
          <w:color w:val="231F20"/>
          <w:spacing w:val="-8"/>
        </w:rPr>
        <w:t xml:space="preserve"> </w:t>
      </w:r>
      <w:r>
        <w:rPr>
          <w:color w:val="231F20"/>
        </w:rPr>
        <w:t>критерію.</w:t>
      </w:r>
      <w:r>
        <w:rPr>
          <w:color w:val="231F20"/>
          <w:spacing w:val="-8"/>
        </w:rPr>
        <w:t xml:space="preserve"> </w:t>
      </w:r>
      <w:r>
        <w:rPr>
          <w:color w:val="231F20"/>
        </w:rPr>
        <w:t>А.</w:t>
      </w:r>
      <w:r>
        <w:rPr>
          <w:color w:val="231F20"/>
          <w:spacing w:val="-7"/>
        </w:rPr>
        <w:t xml:space="preserve"> </w:t>
      </w:r>
      <w:r>
        <w:rPr>
          <w:color w:val="231F20"/>
        </w:rPr>
        <w:t>Єлістра- тов доводить, що змістом адміністративно-правових відносин між представником державної влади і громадянами завжди є публі</w:t>
      </w:r>
      <w:r>
        <w:rPr>
          <w:color w:val="231F20"/>
        </w:rPr>
        <w:t>чний інтерес. Що влада визнає як суспільний інтерес – залежить від</w:t>
      </w:r>
      <w:r>
        <w:rPr>
          <w:color w:val="231F20"/>
          <w:spacing w:val="-28"/>
        </w:rPr>
        <w:t xml:space="preserve"> </w:t>
      </w:r>
      <w:r>
        <w:rPr>
          <w:color w:val="231F20"/>
        </w:rPr>
        <w:t xml:space="preserve">рівня </w:t>
      </w:r>
      <w:r>
        <w:rPr>
          <w:color w:val="231F20"/>
          <w:spacing w:val="-3"/>
        </w:rPr>
        <w:t>культури.</w:t>
      </w:r>
      <w:r>
        <w:rPr>
          <w:color w:val="231F20"/>
          <w:spacing w:val="11"/>
        </w:rPr>
        <w:t xml:space="preserve"> </w:t>
      </w:r>
      <w:r>
        <w:rPr>
          <w:color w:val="231F20"/>
        </w:rPr>
        <w:t>І</w:t>
      </w:r>
      <w:r>
        <w:rPr>
          <w:color w:val="231F20"/>
          <w:spacing w:val="11"/>
        </w:rPr>
        <w:t xml:space="preserve"> </w:t>
      </w:r>
      <w:r>
        <w:rPr>
          <w:color w:val="231F20"/>
        </w:rPr>
        <w:t>те,</w:t>
      </w:r>
      <w:r>
        <w:rPr>
          <w:color w:val="231F20"/>
          <w:spacing w:val="11"/>
        </w:rPr>
        <w:t xml:space="preserve"> </w:t>
      </w:r>
      <w:r>
        <w:rPr>
          <w:color w:val="231F20"/>
        </w:rPr>
        <w:t>у</w:t>
      </w:r>
      <w:r>
        <w:rPr>
          <w:color w:val="231F20"/>
          <w:spacing w:val="11"/>
        </w:rPr>
        <w:t xml:space="preserve"> </w:t>
      </w:r>
      <w:r>
        <w:rPr>
          <w:color w:val="231F20"/>
        </w:rPr>
        <w:t>чому</w:t>
      </w:r>
      <w:r>
        <w:rPr>
          <w:color w:val="231F20"/>
          <w:spacing w:val="11"/>
        </w:rPr>
        <w:t xml:space="preserve"> </w:t>
      </w:r>
      <w:r>
        <w:rPr>
          <w:color w:val="231F20"/>
        </w:rPr>
        <w:t>влада</w:t>
      </w:r>
      <w:r>
        <w:rPr>
          <w:color w:val="231F20"/>
          <w:spacing w:val="11"/>
        </w:rPr>
        <w:t xml:space="preserve"> </w:t>
      </w:r>
      <w:r>
        <w:rPr>
          <w:color w:val="231F20"/>
        </w:rPr>
        <w:t>бачить</w:t>
      </w:r>
      <w:r>
        <w:rPr>
          <w:color w:val="231F20"/>
          <w:spacing w:val="11"/>
        </w:rPr>
        <w:t xml:space="preserve"> </w:t>
      </w:r>
      <w:r>
        <w:rPr>
          <w:color w:val="231F20"/>
        </w:rPr>
        <w:t>загальне</w:t>
      </w:r>
      <w:r>
        <w:rPr>
          <w:color w:val="231F20"/>
          <w:spacing w:val="11"/>
        </w:rPr>
        <w:t xml:space="preserve"> </w:t>
      </w:r>
      <w:r>
        <w:rPr>
          <w:color w:val="231F20"/>
        </w:rPr>
        <w:t>благо,</w:t>
      </w:r>
      <w:r>
        <w:rPr>
          <w:color w:val="231F20"/>
          <w:spacing w:val="11"/>
        </w:rPr>
        <w:t xml:space="preserve"> </w:t>
      </w:r>
      <w:r>
        <w:rPr>
          <w:color w:val="231F20"/>
        </w:rPr>
        <w:t>може</w:t>
      </w:r>
      <w:r>
        <w:rPr>
          <w:color w:val="231F20"/>
          <w:spacing w:val="11"/>
        </w:rPr>
        <w:t xml:space="preserve"> </w:t>
      </w:r>
      <w:r>
        <w:rPr>
          <w:color w:val="231F20"/>
        </w:rPr>
        <w:t>насправді</w:t>
      </w:r>
    </w:p>
    <w:p w14:paraId="62C6B98E" w14:textId="666A2686" w:rsidR="00DE575E" w:rsidRDefault="002E7560">
      <w:pPr>
        <w:pStyle w:val="BodyText"/>
        <w:spacing w:before="2"/>
        <w:rPr>
          <w:sz w:val="16"/>
        </w:rPr>
      </w:pPr>
      <w:r>
        <w:rPr>
          <w:noProof/>
        </w:rPr>
        <mc:AlternateContent>
          <mc:Choice Requires="wps">
            <w:drawing>
              <wp:anchor distT="0" distB="0" distL="0" distR="0" simplePos="0" relativeHeight="1648" behindDoc="0" locked="0" layoutInCell="1" allowOverlap="1" wp14:anchorId="5D59844A" wp14:editId="3E62913A">
                <wp:simplePos x="0" y="0"/>
                <wp:positionH relativeFrom="page">
                  <wp:posOffset>539750</wp:posOffset>
                </wp:positionH>
                <wp:positionV relativeFrom="paragraph">
                  <wp:posOffset>147955</wp:posOffset>
                </wp:positionV>
                <wp:extent cx="1080135" cy="0"/>
                <wp:effectExtent l="6350" t="8255" r="31115" b="29845"/>
                <wp:wrapTopAndBottom/>
                <wp:docPr id="1365"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E75D" id="Line_x0020_136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65pt" to="127.55pt,1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l2CI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" strokecolor="#231f20" strokeweight=".5pt">
                <w10:wrap type="topAndBottom" anchorx="page"/>
              </v:line>
            </w:pict>
          </mc:Fallback>
        </mc:AlternateContent>
      </w:r>
    </w:p>
    <w:p w14:paraId="7CC9687B" w14:textId="77777777" w:rsidR="00DE575E" w:rsidRDefault="002E7560">
      <w:pPr>
        <w:spacing w:line="162" w:lineRule="exact"/>
        <w:ind w:left="250"/>
        <w:rPr>
          <w:sz w:val="16"/>
        </w:rPr>
      </w:pPr>
      <w:r>
        <w:rPr>
          <w:color w:val="231F20"/>
          <w:position w:val="5"/>
          <w:sz w:val="9"/>
        </w:rPr>
        <w:t xml:space="preserve">1 </w:t>
      </w:r>
      <w:r>
        <w:rPr>
          <w:color w:val="231F20"/>
          <w:sz w:val="16"/>
        </w:rPr>
        <w:t>Ст. 106 Конституції України.</w:t>
      </w:r>
    </w:p>
    <w:p w14:paraId="55BA261A" w14:textId="77777777" w:rsidR="00DE575E" w:rsidRDefault="002E7560">
      <w:pPr>
        <w:spacing w:before="23" w:line="204" w:lineRule="auto"/>
        <w:ind w:left="250" w:right="521"/>
        <w:rPr>
          <w:sz w:val="16"/>
        </w:rPr>
      </w:pPr>
      <w:r>
        <w:rPr>
          <w:color w:val="231F20"/>
          <w:position w:val="5"/>
          <w:sz w:val="9"/>
        </w:rPr>
        <w:t xml:space="preserve">2 </w:t>
      </w:r>
      <w:r>
        <w:rPr>
          <w:color w:val="231F20"/>
          <w:sz w:val="16"/>
        </w:rPr>
        <w:t xml:space="preserve">Миколенко О. Публічний і приватний інтерес в адміністративному праві. </w:t>
      </w:r>
      <w:r>
        <w:rPr>
          <w:i/>
          <w:color w:val="231F20"/>
          <w:sz w:val="16"/>
        </w:rPr>
        <w:t>Правова дер- жава</w:t>
      </w:r>
      <w:r>
        <w:rPr>
          <w:color w:val="231F20"/>
          <w:sz w:val="16"/>
        </w:rPr>
        <w:t>. 2016. № 24. С. 100-104.</w:t>
      </w:r>
    </w:p>
    <w:p w14:paraId="6154912E" w14:textId="77777777" w:rsidR="00DE575E" w:rsidRDefault="002E7560">
      <w:pPr>
        <w:spacing w:before="30" w:line="204" w:lineRule="auto"/>
        <w:ind w:left="250"/>
        <w:rPr>
          <w:sz w:val="16"/>
        </w:rPr>
      </w:pPr>
      <w:r>
        <w:rPr>
          <w:color w:val="231F20"/>
          <w:position w:val="5"/>
          <w:sz w:val="9"/>
        </w:rPr>
        <w:t xml:space="preserve">3 </w:t>
      </w:r>
      <w:r>
        <w:rPr>
          <w:color w:val="231F20"/>
          <w:sz w:val="16"/>
        </w:rPr>
        <w:t>Коломоєць Т. Адміністративний примус у публічному праві України: теорія, досвід та практика реалізації. Запоріжжя: Поліграф, 2004. С. 12.</w:t>
      </w:r>
    </w:p>
    <w:p w14:paraId="04527478" w14:textId="77777777" w:rsidR="00DE575E" w:rsidRDefault="002E7560">
      <w:pPr>
        <w:spacing w:before="29" w:line="204" w:lineRule="auto"/>
        <w:ind w:left="250" w:right="339"/>
        <w:rPr>
          <w:sz w:val="16"/>
        </w:rPr>
      </w:pPr>
      <w:r>
        <w:rPr>
          <w:color w:val="231F20"/>
          <w:position w:val="5"/>
          <w:sz w:val="9"/>
        </w:rPr>
        <w:t xml:space="preserve">4 </w:t>
      </w:r>
      <w:r>
        <w:rPr>
          <w:color w:val="231F20"/>
          <w:sz w:val="16"/>
        </w:rPr>
        <w:t xml:space="preserve">Харитонова О., Харитонов Є. Дихотомія «Публічне-приватне» та деякі питання визна- чення структури національного права. </w:t>
      </w:r>
      <w:r>
        <w:rPr>
          <w:i/>
          <w:color w:val="231F20"/>
          <w:sz w:val="16"/>
        </w:rPr>
        <w:t>Університетські наукові записки</w:t>
      </w:r>
      <w:r>
        <w:rPr>
          <w:color w:val="231F20"/>
          <w:sz w:val="16"/>
        </w:rPr>
        <w:t>. 2005. № 3. С. 6-11.</w:t>
      </w:r>
    </w:p>
    <w:p w14:paraId="6A4AE281" w14:textId="77777777" w:rsidR="00DE575E" w:rsidRDefault="002E7560">
      <w:pPr>
        <w:spacing w:before="30" w:line="204" w:lineRule="auto"/>
        <w:ind w:left="250"/>
        <w:rPr>
          <w:sz w:val="16"/>
        </w:rPr>
      </w:pPr>
      <w:r>
        <w:rPr>
          <w:color w:val="231F20"/>
          <w:position w:val="5"/>
          <w:sz w:val="9"/>
        </w:rPr>
        <w:t xml:space="preserve">5 </w:t>
      </w:r>
      <w:r>
        <w:rPr>
          <w:color w:val="231F20"/>
          <w:sz w:val="16"/>
        </w:rPr>
        <w:t>Спасибо-Фатєєва І. Бачення дій української влади крізь призму публічних і приватни</w:t>
      </w:r>
      <w:r>
        <w:rPr>
          <w:color w:val="231F20"/>
          <w:sz w:val="16"/>
        </w:rPr>
        <w:t xml:space="preserve">х інтересів. </w:t>
      </w:r>
      <w:r>
        <w:rPr>
          <w:i/>
          <w:color w:val="231F20"/>
          <w:sz w:val="16"/>
        </w:rPr>
        <w:t>Юридична газета</w:t>
      </w:r>
      <w:r>
        <w:rPr>
          <w:color w:val="231F20"/>
          <w:sz w:val="16"/>
        </w:rPr>
        <w:t>. 28.11.2005 р. № 22.</w:t>
      </w:r>
    </w:p>
    <w:p w14:paraId="55E05092" w14:textId="77777777" w:rsidR="00DE575E" w:rsidRDefault="00DE575E">
      <w:pPr>
        <w:pStyle w:val="BodyText"/>
        <w:spacing w:before="4"/>
        <w:rPr>
          <w:sz w:val="12"/>
        </w:rPr>
      </w:pPr>
    </w:p>
    <w:p w14:paraId="197FC57C" w14:textId="77777777" w:rsidR="00DE575E" w:rsidRDefault="002E7560">
      <w:pPr>
        <w:spacing w:before="92"/>
        <w:ind w:right="411"/>
        <w:jc w:val="right"/>
        <w:rPr>
          <w:rFonts w:ascii="Times New Roman"/>
          <w:sz w:val="20"/>
        </w:rPr>
      </w:pPr>
      <w:r>
        <w:rPr>
          <w:rFonts w:ascii="Times New Roman"/>
          <w:color w:val="231F20"/>
          <w:w w:val="90"/>
          <w:sz w:val="20"/>
        </w:rPr>
        <w:t>23</w:t>
      </w:r>
    </w:p>
    <w:p w14:paraId="55C7F4B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3042C67"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2286B66" w14:textId="26C4A4E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E34F74E" wp14:editId="5DE49F6B">
                <wp:extent cx="4140200" cy="6350"/>
                <wp:effectExtent l="0" t="0" r="12700" b="6350"/>
                <wp:docPr id="1363"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64" name="Line 13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C53E62" id="Group_x0020_13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DI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tfwyB/AgAAnAUAAA4A&#10;AAAAAAAAAAAAAAAALAIAAGRycy9lMm9Eb2MueG1sUEsBAi0AFAAGAAgAAAAhAEynsJDZAAAAAwEA&#10;AA8AAAAAAAAAAAAAAAAA1wQAAGRycy9kb3ducmV2LnhtbFBLBQYAAAAABAAEAPMAAADdBQAAAAA=&#10;">
                <v:line id="Line_x0020_13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fMWMUAAADdAAAADwAAAGRycy9kb3ducmV2LnhtbERP22rCQBB9F/oPyxT6IrppIyLRVUqh&#10;UPrgLX7AmB2T0N3ZmF1N2q/vCoJvczjXWax6a8SVWl87VvA6TkAQF07XXCo45J+jGQgfkDUax6Tg&#10;lzyslk+DBWbadbyj6z6UIoawz1BBFUKTSemLiiz6sWuII3dyrcUQYVtK3WIXw62Rb0kylRZrjg0V&#10;NvRRUfGzv1gF+XkYzHbzbbp8c0zl8bxO/y5rpV6e+/c5iEB9eIjv7i8d56fTCdy+iSf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fMWMUAAADdAAAADwAAAAAAAAAA&#10;AAAAAAChAgAAZHJzL2Rvd25yZXYueG1sUEsFBgAAAAAEAAQA+QAAAJMDAAAAAA==&#10;" strokecolor="#231f20" strokeweight=".5pt"/>
                <w10:anchorlock/>
              </v:group>
            </w:pict>
          </mc:Fallback>
        </mc:AlternateContent>
      </w:r>
    </w:p>
    <w:p w14:paraId="63ACE4D2" w14:textId="77777777" w:rsidR="00DE575E" w:rsidRDefault="00DE575E">
      <w:pPr>
        <w:pStyle w:val="BodyText"/>
        <w:spacing w:before="7"/>
        <w:rPr>
          <w:rFonts w:ascii="AdonisC"/>
          <w:i/>
          <w:sz w:val="11"/>
        </w:rPr>
      </w:pPr>
    </w:p>
    <w:p w14:paraId="7AD3320A" w14:textId="77777777" w:rsidR="00DE575E" w:rsidRDefault="002E7560">
      <w:pPr>
        <w:pStyle w:val="BodyText"/>
        <w:spacing w:before="101" w:line="252" w:lineRule="auto"/>
        <w:ind w:left="533" w:right="127"/>
        <w:jc w:val="both"/>
      </w:pPr>
      <w:r>
        <w:rPr>
          <w:color w:val="231F20"/>
        </w:rPr>
        <w:t>не відповідати інтересам значної частини населення. Проте в будь- якому разі ви</w:t>
      </w:r>
      <w:r>
        <w:rPr>
          <w:color w:val="231F20"/>
        </w:rPr>
        <w:t>моги публічної влади, які висуваються до приватних осіб, мають мати за мету досягнення загального блага</w:t>
      </w:r>
      <w:r>
        <w:rPr>
          <w:color w:val="231F20"/>
          <w:position w:val="7"/>
          <w:sz w:val="12"/>
        </w:rPr>
        <w:t>1</w:t>
      </w:r>
      <w:r>
        <w:rPr>
          <w:color w:val="231F20"/>
        </w:rPr>
        <w:t>.</w:t>
      </w:r>
    </w:p>
    <w:p w14:paraId="1333B41A" w14:textId="77777777" w:rsidR="00DE575E" w:rsidRDefault="002E7560">
      <w:pPr>
        <w:pStyle w:val="BodyText"/>
        <w:spacing w:before="1" w:line="252" w:lineRule="auto"/>
        <w:ind w:left="533" w:right="124" w:firstLine="283"/>
        <w:jc w:val="both"/>
      </w:pPr>
      <w:r>
        <w:rPr>
          <w:color w:val="231F20"/>
        </w:rPr>
        <w:t>Серед учених розповсюдженим також є погляд, що зміст публіч- ного інтересу пов’язаний із суб’єктивною волею законодавця, закріпленою в нормах адміністративного права</w:t>
      </w:r>
      <w:r>
        <w:rPr>
          <w:color w:val="231F20"/>
          <w:position w:val="7"/>
          <w:sz w:val="12"/>
        </w:rPr>
        <w:t>2</w:t>
      </w:r>
      <w:r>
        <w:rPr>
          <w:color w:val="231F20"/>
        </w:rPr>
        <w:t>. Захист приват- ного інтересу відбувається за ініціативи самого суб’єкта інтересу через п</w:t>
      </w:r>
      <w:r>
        <w:rPr>
          <w:color w:val="231F20"/>
        </w:rPr>
        <w:t>одання цивільного позову, а захист публічного інтересу –    за ініціативи або безпосередньо здійснюється суб’єктом публічної адміністрації</w:t>
      </w:r>
      <w:r>
        <w:rPr>
          <w:color w:val="231F20"/>
          <w:position w:val="7"/>
          <w:sz w:val="12"/>
        </w:rPr>
        <w:t>3</w:t>
      </w:r>
      <w:r>
        <w:rPr>
          <w:color w:val="231F20"/>
        </w:rPr>
        <w:t>.</w:t>
      </w:r>
    </w:p>
    <w:p w14:paraId="419116B2" w14:textId="77777777" w:rsidR="00DE575E" w:rsidRDefault="002E7560">
      <w:pPr>
        <w:pStyle w:val="Heading5"/>
        <w:spacing w:line="243" w:lineRule="exact"/>
        <w:ind w:left="817"/>
      </w:pPr>
      <w:r>
        <w:rPr>
          <w:color w:val="231F20"/>
        </w:rPr>
        <w:t>Загалом публічний інтерес можна описати:</w:t>
      </w:r>
    </w:p>
    <w:p w14:paraId="76208EEA" w14:textId="77777777" w:rsidR="00DE575E" w:rsidRDefault="002E7560">
      <w:pPr>
        <w:pStyle w:val="ListParagraph"/>
        <w:numPr>
          <w:ilvl w:val="0"/>
          <w:numId w:val="313"/>
        </w:numPr>
        <w:tabs>
          <w:tab w:val="left" w:pos="1101"/>
        </w:tabs>
        <w:spacing w:before="12"/>
        <w:ind w:firstLine="284"/>
        <w:rPr>
          <w:sz w:val="21"/>
        </w:rPr>
      </w:pPr>
      <w:r>
        <w:rPr>
          <w:b/>
          <w:i/>
          <w:color w:val="231F20"/>
          <w:sz w:val="21"/>
        </w:rPr>
        <w:t xml:space="preserve">негативно </w:t>
      </w:r>
      <w:r>
        <w:rPr>
          <w:color w:val="231F20"/>
          <w:sz w:val="21"/>
        </w:rPr>
        <w:t>– як відмежування його від приватного</w:t>
      </w:r>
      <w:r>
        <w:rPr>
          <w:color w:val="231F20"/>
          <w:spacing w:val="-8"/>
          <w:sz w:val="21"/>
        </w:rPr>
        <w:t xml:space="preserve"> </w:t>
      </w:r>
      <w:r>
        <w:rPr>
          <w:color w:val="231F20"/>
          <w:sz w:val="21"/>
        </w:rPr>
        <w:t>інтересу;</w:t>
      </w:r>
    </w:p>
    <w:p w14:paraId="5A17A88F" w14:textId="77777777" w:rsidR="00DE575E" w:rsidRDefault="002E7560">
      <w:pPr>
        <w:pStyle w:val="ListParagraph"/>
        <w:numPr>
          <w:ilvl w:val="0"/>
          <w:numId w:val="313"/>
        </w:numPr>
        <w:tabs>
          <w:tab w:val="left" w:pos="1101"/>
        </w:tabs>
        <w:spacing w:before="12" w:line="252" w:lineRule="auto"/>
        <w:ind w:right="129" w:firstLine="284"/>
        <w:jc w:val="both"/>
        <w:rPr>
          <w:sz w:val="21"/>
        </w:rPr>
      </w:pPr>
      <w:r>
        <w:rPr>
          <w:b/>
          <w:i/>
          <w:color w:val="231F20"/>
          <w:sz w:val="21"/>
        </w:rPr>
        <w:t xml:space="preserve">за сутністю </w:t>
      </w:r>
      <w:r>
        <w:rPr>
          <w:color w:val="231F20"/>
          <w:sz w:val="21"/>
        </w:rPr>
        <w:t xml:space="preserve">– як </w:t>
      </w:r>
      <w:r>
        <w:rPr>
          <w:color w:val="231F20"/>
          <w:spacing w:val="-3"/>
          <w:sz w:val="21"/>
        </w:rPr>
        <w:t xml:space="preserve">об’єктивні </w:t>
      </w:r>
      <w:r>
        <w:rPr>
          <w:color w:val="231F20"/>
          <w:sz w:val="21"/>
        </w:rPr>
        <w:t>різноманітні цінності всього суспільства</w:t>
      </w:r>
      <w:r>
        <w:rPr>
          <w:color w:val="231F20"/>
          <w:position w:val="7"/>
          <w:sz w:val="12"/>
        </w:rPr>
        <w:t>4</w:t>
      </w:r>
      <w:r>
        <w:rPr>
          <w:color w:val="231F20"/>
          <w:sz w:val="21"/>
        </w:rPr>
        <w:t>;</w:t>
      </w:r>
    </w:p>
    <w:p w14:paraId="58AA5209" w14:textId="77777777" w:rsidR="00DE575E" w:rsidRDefault="002E7560">
      <w:pPr>
        <w:pStyle w:val="ListParagraph"/>
        <w:numPr>
          <w:ilvl w:val="0"/>
          <w:numId w:val="313"/>
        </w:numPr>
        <w:tabs>
          <w:tab w:val="left" w:pos="1101"/>
        </w:tabs>
        <w:spacing w:before="0" w:line="252" w:lineRule="auto"/>
        <w:ind w:right="127" w:firstLine="284"/>
        <w:jc w:val="both"/>
        <w:rPr>
          <w:sz w:val="21"/>
        </w:rPr>
      </w:pPr>
      <w:r>
        <w:rPr>
          <w:b/>
          <w:i/>
          <w:color w:val="231F20"/>
          <w:sz w:val="21"/>
        </w:rPr>
        <w:t xml:space="preserve">за змістом </w:t>
      </w:r>
      <w:r>
        <w:rPr>
          <w:color w:val="231F20"/>
          <w:sz w:val="21"/>
        </w:rPr>
        <w:t>– як визначені законодавцем у нормах адмініст- ративного права цінності (інтереси), обов’язок забезпечувати які покладено на публічну</w:t>
      </w:r>
      <w:r>
        <w:rPr>
          <w:color w:val="231F20"/>
          <w:spacing w:val="-2"/>
          <w:sz w:val="21"/>
        </w:rPr>
        <w:t xml:space="preserve"> </w:t>
      </w:r>
      <w:r>
        <w:rPr>
          <w:color w:val="231F20"/>
          <w:sz w:val="21"/>
        </w:rPr>
        <w:t>адміністрацію.</w:t>
      </w:r>
    </w:p>
    <w:p w14:paraId="191A062D" w14:textId="77777777" w:rsidR="00DE575E" w:rsidRDefault="002E7560">
      <w:pPr>
        <w:pStyle w:val="Heading5"/>
        <w:spacing w:line="252" w:lineRule="auto"/>
        <w:ind w:right="123" w:firstLine="283"/>
        <w:jc w:val="both"/>
      </w:pPr>
      <w:r>
        <w:rPr>
          <w:color w:val="231F20"/>
        </w:rPr>
        <w:t xml:space="preserve">Отже, публічний інтерес – це важливі </w:t>
      </w:r>
      <w:r>
        <w:rPr>
          <w:color w:val="231F20"/>
        </w:rPr>
        <w:t>для значної кількості фізичних</w:t>
      </w:r>
      <w:r>
        <w:rPr>
          <w:color w:val="231F20"/>
          <w:spacing w:val="-6"/>
        </w:rPr>
        <w:t xml:space="preserve"> </w:t>
      </w:r>
      <w:r>
        <w:rPr>
          <w:color w:val="231F20"/>
        </w:rPr>
        <w:t>і</w:t>
      </w:r>
      <w:r>
        <w:rPr>
          <w:color w:val="231F20"/>
          <w:spacing w:val="-7"/>
        </w:rPr>
        <w:t xml:space="preserve"> </w:t>
      </w:r>
      <w:r>
        <w:rPr>
          <w:color w:val="231F20"/>
        </w:rPr>
        <w:t>юридичних</w:t>
      </w:r>
      <w:r>
        <w:rPr>
          <w:color w:val="231F20"/>
          <w:spacing w:val="-6"/>
        </w:rPr>
        <w:t xml:space="preserve"> </w:t>
      </w:r>
      <w:r>
        <w:rPr>
          <w:color w:val="231F20"/>
        </w:rPr>
        <w:t>осіб</w:t>
      </w:r>
      <w:r>
        <w:rPr>
          <w:color w:val="231F20"/>
          <w:spacing w:val="-7"/>
        </w:rPr>
        <w:t xml:space="preserve"> </w:t>
      </w:r>
      <w:r>
        <w:rPr>
          <w:color w:val="231F20"/>
        </w:rPr>
        <w:t>цінності</w:t>
      </w:r>
      <w:r>
        <w:rPr>
          <w:color w:val="231F20"/>
          <w:spacing w:val="-6"/>
        </w:rPr>
        <w:t xml:space="preserve"> </w:t>
      </w:r>
      <w:r>
        <w:rPr>
          <w:color w:val="231F20"/>
        </w:rPr>
        <w:t>(потреби),</w:t>
      </w:r>
      <w:r>
        <w:rPr>
          <w:color w:val="231F20"/>
          <w:spacing w:val="-6"/>
        </w:rPr>
        <w:t xml:space="preserve"> </w:t>
      </w:r>
      <w:r>
        <w:rPr>
          <w:color w:val="231F20"/>
        </w:rPr>
        <w:t>які</w:t>
      </w:r>
      <w:r>
        <w:rPr>
          <w:color w:val="231F20"/>
          <w:spacing w:val="-6"/>
        </w:rPr>
        <w:t xml:space="preserve"> </w:t>
      </w:r>
      <w:r>
        <w:rPr>
          <w:color w:val="231F20"/>
        </w:rPr>
        <w:t>відповідно</w:t>
      </w:r>
      <w:r>
        <w:rPr>
          <w:color w:val="231F20"/>
          <w:spacing w:val="-6"/>
        </w:rPr>
        <w:t xml:space="preserve"> </w:t>
      </w:r>
      <w:r>
        <w:rPr>
          <w:color w:val="231F20"/>
        </w:rPr>
        <w:t xml:space="preserve">до </w:t>
      </w:r>
      <w:r>
        <w:rPr>
          <w:color w:val="231F20"/>
          <w:spacing w:val="-3"/>
        </w:rPr>
        <w:t xml:space="preserve">законодавчо </w:t>
      </w:r>
      <w:r>
        <w:rPr>
          <w:color w:val="231F20"/>
        </w:rPr>
        <w:t>встановленої компетенції забезпечуються публіч- ною</w:t>
      </w:r>
      <w:r>
        <w:rPr>
          <w:color w:val="231F20"/>
          <w:spacing w:val="-2"/>
        </w:rPr>
        <w:t xml:space="preserve"> </w:t>
      </w:r>
      <w:r>
        <w:rPr>
          <w:color w:val="231F20"/>
        </w:rPr>
        <w:t>адміністрацією</w:t>
      </w:r>
      <w:r>
        <w:rPr>
          <w:b w:val="0"/>
          <w:color w:val="231F20"/>
          <w:position w:val="7"/>
          <w:sz w:val="12"/>
        </w:rPr>
        <w:t>5</w:t>
      </w:r>
      <w:r>
        <w:rPr>
          <w:color w:val="231F20"/>
        </w:rPr>
        <w:t>.</w:t>
      </w:r>
    </w:p>
    <w:p w14:paraId="166BBD33" w14:textId="77777777" w:rsidR="00DE575E" w:rsidRDefault="00DE575E">
      <w:pPr>
        <w:pStyle w:val="BodyText"/>
        <w:rPr>
          <w:b/>
          <w:sz w:val="24"/>
        </w:rPr>
      </w:pPr>
    </w:p>
    <w:p w14:paraId="3E4600A1" w14:textId="77777777" w:rsidR="00DE575E" w:rsidRDefault="00DE575E">
      <w:pPr>
        <w:pStyle w:val="BodyText"/>
        <w:spacing w:before="9"/>
        <w:rPr>
          <w:b/>
          <w:sz w:val="18"/>
        </w:rPr>
      </w:pPr>
    </w:p>
    <w:p w14:paraId="1E92F5AF" w14:textId="77777777" w:rsidR="00DE575E" w:rsidRDefault="002E7560">
      <w:pPr>
        <w:pStyle w:val="ListParagraph"/>
        <w:numPr>
          <w:ilvl w:val="1"/>
          <w:numId w:val="319"/>
        </w:numPr>
        <w:tabs>
          <w:tab w:val="left" w:pos="1136"/>
        </w:tabs>
        <w:spacing w:before="0"/>
        <w:ind w:left="1135" w:hanging="410"/>
        <w:jc w:val="left"/>
        <w:rPr>
          <w:b/>
        </w:rPr>
      </w:pPr>
      <w:r>
        <w:rPr>
          <w:b/>
          <w:color w:val="231F20"/>
        </w:rPr>
        <w:t>Адміністративне право як складова публічного</w:t>
      </w:r>
      <w:r>
        <w:rPr>
          <w:b/>
          <w:color w:val="231F20"/>
          <w:spacing w:val="-11"/>
        </w:rPr>
        <w:t xml:space="preserve"> </w:t>
      </w:r>
      <w:r>
        <w:rPr>
          <w:b/>
          <w:color w:val="231F20"/>
        </w:rPr>
        <w:t>права</w:t>
      </w:r>
    </w:p>
    <w:p w14:paraId="06E80236" w14:textId="77777777" w:rsidR="00DE575E" w:rsidRDefault="00DE575E">
      <w:pPr>
        <w:pStyle w:val="BodyText"/>
        <w:rPr>
          <w:b/>
          <w:sz w:val="26"/>
        </w:rPr>
      </w:pPr>
    </w:p>
    <w:p w14:paraId="0DA9779C" w14:textId="77777777" w:rsidR="00DE575E" w:rsidRDefault="002E7560">
      <w:pPr>
        <w:pStyle w:val="ListParagraph"/>
        <w:numPr>
          <w:ilvl w:val="2"/>
          <w:numId w:val="319"/>
        </w:numPr>
        <w:tabs>
          <w:tab w:val="left" w:pos="1383"/>
        </w:tabs>
        <w:spacing w:before="221" w:line="252" w:lineRule="auto"/>
        <w:ind w:left="817" w:right="2636" w:firstLine="0"/>
        <w:rPr>
          <w:b/>
          <w:sz w:val="21"/>
        </w:rPr>
      </w:pPr>
      <w:r>
        <w:rPr>
          <w:b/>
          <w:color w:val="231F20"/>
          <w:sz w:val="21"/>
        </w:rPr>
        <w:t>Призначення (мета і</w:t>
      </w:r>
      <w:r>
        <w:rPr>
          <w:b/>
          <w:color w:val="231F20"/>
          <w:spacing w:val="-23"/>
          <w:sz w:val="21"/>
        </w:rPr>
        <w:t xml:space="preserve"> </w:t>
      </w:r>
      <w:r>
        <w:rPr>
          <w:b/>
          <w:color w:val="231F20"/>
          <w:sz w:val="21"/>
        </w:rPr>
        <w:t>завдання) адміністративного</w:t>
      </w:r>
      <w:r>
        <w:rPr>
          <w:b/>
          <w:color w:val="231F20"/>
          <w:spacing w:val="-2"/>
          <w:sz w:val="21"/>
        </w:rPr>
        <w:t xml:space="preserve"> </w:t>
      </w:r>
      <w:r>
        <w:rPr>
          <w:b/>
          <w:color w:val="231F20"/>
          <w:sz w:val="21"/>
        </w:rPr>
        <w:t>права</w:t>
      </w:r>
    </w:p>
    <w:p w14:paraId="395E52AC" w14:textId="77777777" w:rsidR="00DE575E" w:rsidRDefault="00DE575E">
      <w:pPr>
        <w:pStyle w:val="BodyText"/>
        <w:spacing w:before="11"/>
        <w:rPr>
          <w:b/>
        </w:rPr>
      </w:pPr>
    </w:p>
    <w:p w14:paraId="72965065" w14:textId="77777777" w:rsidR="00DE575E" w:rsidRDefault="002E7560">
      <w:pPr>
        <w:pStyle w:val="BodyText"/>
        <w:spacing w:line="252" w:lineRule="auto"/>
        <w:ind w:left="533" w:right="128" w:firstLine="283"/>
        <w:jc w:val="both"/>
      </w:pPr>
      <w:r>
        <w:rPr>
          <w:color w:val="231F20"/>
        </w:rPr>
        <w:t>Адміністративне право наповнює всю правову матерію суспільства. Практично неможливо знайти важливі суспільні відно- сини, які б не врегульовувалися певною мірою нормами адміністра- тивного права.</w:t>
      </w:r>
    </w:p>
    <w:p w14:paraId="0B973093" w14:textId="5BA9CBCF" w:rsidR="00DE575E" w:rsidRDefault="002E7560">
      <w:pPr>
        <w:pStyle w:val="BodyText"/>
        <w:spacing w:before="4"/>
        <w:rPr>
          <w:sz w:val="23"/>
        </w:rPr>
      </w:pPr>
      <w:r>
        <w:rPr>
          <w:noProof/>
        </w:rPr>
        <mc:AlternateContent>
          <mc:Choice Requires="wps">
            <w:drawing>
              <wp:anchor distT="0" distB="0" distL="0" distR="0" simplePos="0" relativeHeight="1696" behindDoc="0" locked="0" layoutInCell="1" allowOverlap="1" wp14:anchorId="61764C03" wp14:editId="46C70223">
                <wp:simplePos x="0" y="0"/>
                <wp:positionH relativeFrom="page">
                  <wp:posOffset>719455</wp:posOffset>
                </wp:positionH>
                <wp:positionV relativeFrom="paragraph">
                  <wp:posOffset>201930</wp:posOffset>
                </wp:positionV>
                <wp:extent cx="1080135" cy="0"/>
                <wp:effectExtent l="8255" t="11430" r="29210" b="26670"/>
                <wp:wrapTopAndBottom/>
                <wp:docPr id="1362"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8AA2D" id="Line_x0020_1361"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141.7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2IoS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" strokecolor="#231f20" strokeweight=".5pt">
                <w10:wrap type="topAndBottom" anchorx="page"/>
              </v:line>
            </w:pict>
          </mc:Fallback>
        </mc:AlternateContent>
      </w:r>
    </w:p>
    <w:p w14:paraId="422F30DF" w14:textId="77777777" w:rsidR="00DE575E" w:rsidRDefault="002E7560">
      <w:pPr>
        <w:spacing w:line="162" w:lineRule="exact"/>
        <w:ind w:left="533"/>
        <w:rPr>
          <w:sz w:val="16"/>
        </w:rPr>
      </w:pPr>
      <w:r>
        <w:rPr>
          <w:color w:val="231F20"/>
          <w:position w:val="5"/>
          <w:sz w:val="9"/>
        </w:rPr>
        <w:t xml:space="preserve">1 </w:t>
      </w:r>
      <w:r>
        <w:rPr>
          <w:color w:val="231F20"/>
          <w:sz w:val="16"/>
        </w:rPr>
        <w:t xml:space="preserve">Єлістратов А. Адміністративне право: лекції. </w:t>
      </w:r>
      <w:hyperlink r:id="rId9">
        <w:r>
          <w:rPr>
            <w:color w:val="231F20"/>
            <w:sz w:val="16"/>
          </w:rPr>
          <w:t>1911. http://sipl.com.ua/?p=5025.</w:t>
        </w:r>
      </w:hyperlink>
    </w:p>
    <w:p w14:paraId="2772C111" w14:textId="77777777" w:rsidR="00DE575E" w:rsidRDefault="002E7560">
      <w:pPr>
        <w:ind w:left="533"/>
        <w:rPr>
          <w:sz w:val="16"/>
        </w:rPr>
      </w:pPr>
      <w:r>
        <w:rPr>
          <w:color w:val="231F20"/>
          <w:position w:val="5"/>
          <w:sz w:val="9"/>
        </w:rPr>
        <w:t xml:space="preserve">2 </w:t>
      </w:r>
      <w:r>
        <w:rPr>
          <w:color w:val="231F20"/>
          <w:sz w:val="16"/>
        </w:rPr>
        <w:t>Гончарук С. Адміністративне право України. Київ: НАВС, 2000. С. 32-33.</w:t>
      </w:r>
    </w:p>
    <w:p w14:paraId="78656BC9" w14:textId="77777777" w:rsidR="00DE575E" w:rsidRDefault="002E7560">
      <w:pPr>
        <w:spacing w:before="1"/>
        <w:ind w:left="533"/>
        <w:rPr>
          <w:sz w:val="16"/>
        </w:rPr>
      </w:pPr>
      <w:r>
        <w:rPr>
          <w:color w:val="231F20"/>
          <w:position w:val="5"/>
          <w:sz w:val="9"/>
        </w:rPr>
        <w:t xml:space="preserve">3 </w:t>
      </w:r>
      <w:r>
        <w:rPr>
          <w:color w:val="231F20"/>
          <w:sz w:val="16"/>
        </w:rPr>
        <w:t>Авер’янов В. та ін. Виконавча влада і адміністративне пр</w:t>
      </w:r>
      <w:r>
        <w:rPr>
          <w:color w:val="231F20"/>
          <w:sz w:val="16"/>
        </w:rPr>
        <w:t>аво. Київ, 2002. С. 77.</w:t>
      </w:r>
    </w:p>
    <w:p w14:paraId="65E4EA37" w14:textId="77777777" w:rsidR="00DE575E" w:rsidRDefault="002E7560">
      <w:pPr>
        <w:spacing w:before="24" w:line="204" w:lineRule="auto"/>
        <w:ind w:left="533" w:right="521"/>
        <w:rPr>
          <w:sz w:val="16"/>
        </w:rPr>
      </w:pPr>
      <w:r>
        <w:rPr>
          <w:color w:val="231F20"/>
          <w:position w:val="5"/>
          <w:sz w:val="9"/>
        </w:rPr>
        <w:t xml:space="preserve">4 </w:t>
      </w:r>
      <w:r>
        <w:rPr>
          <w:color w:val="231F20"/>
          <w:sz w:val="16"/>
        </w:rPr>
        <w:t xml:space="preserve">Джон Локк визначив, що життя, </w:t>
      </w:r>
      <w:r>
        <w:rPr>
          <w:color w:val="231F20"/>
          <w:spacing w:val="-3"/>
          <w:sz w:val="16"/>
        </w:rPr>
        <w:t xml:space="preserve">свободу, </w:t>
      </w:r>
      <w:r>
        <w:rPr>
          <w:color w:val="231F20"/>
          <w:sz w:val="16"/>
        </w:rPr>
        <w:t>здоров’я,  відсутність  тілесних  покарань, право володіння грошима, землею та ін. є громадянськими</w:t>
      </w:r>
      <w:r>
        <w:rPr>
          <w:color w:val="231F20"/>
          <w:spacing w:val="-8"/>
          <w:sz w:val="16"/>
        </w:rPr>
        <w:t xml:space="preserve"> </w:t>
      </w:r>
      <w:r>
        <w:rPr>
          <w:color w:val="231F20"/>
          <w:sz w:val="16"/>
        </w:rPr>
        <w:t>інтересами.</w:t>
      </w:r>
    </w:p>
    <w:p w14:paraId="19FA24E9" w14:textId="77777777" w:rsidR="00DE575E" w:rsidRDefault="002E7560">
      <w:pPr>
        <w:spacing w:before="29" w:line="204" w:lineRule="auto"/>
        <w:ind w:left="533" w:right="145"/>
        <w:rPr>
          <w:sz w:val="16"/>
        </w:rPr>
      </w:pPr>
      <w:r>
        <w:rPr>
          <w:color w:val="231F20"/>
          <w:position w:val="5"/>
          <w:sz w:val="9"/>
        </w:rPr>
        <w:t xml:space="preserve">5 </w:t>
      </w:r>
      <w:r>
        <w:rPr>
          <w:color w:val="231F20"/>
          <w:sz w:val="16"/>
        </w:rPr>
        <w:t xml:space="preserve">Галунько  В.  Публічний  інтерес  в  адміністративному  прав.  </w:t>
      </w:r>
      <w:r>
        <w:rPr>
          <w:i/>
          <w:color w:val="231F20"/>
          <w:sz w:val="16"/>
        </w:rPr>
        <w:t>Форум  права</w:t>
      </w:r>
      <w:r>
        <w:rPr>
          <w:color w:val="231F20"/>
          <w:sz w:val="16"/>
        </w:rPr>
        <w:t>.  2010.  № 4. С.</w:t>
      </w:r>
      <w:r>
        <w:rPr>
          <w:color w:val="231F20"/>
          <w:spacing w:val="-4"/>
          <w:sz w:val="16"/>
        </w:rPr>
        <w:t xml:space="preserve"> </w:t>
      </w:r>
      <w:r>
        <w:rPr>
          <w:color w:val="231F20"/>
          <w:sz w:val="16"/>
        </w:rPr>
        <w:t>178-182.</w:t>
      </w:r>
    </w:p>
    <w:p w14:paraId="2C66CBD2" w14:textId="77777777" w:rsidR="00DE575E" w:rsidRDefault="00DE575E">
      <w:pPr>
        <w:pStyle w:val="BodyText"/>
        <w:spacing w:before="5"/>
        <w:rPr>
          <w:sz w:val="12"/>
        </w:rPr>
      </w:pPr>
    </w:p>
    <w:p w14:paraId="7EA61492" w14:textId="77777777" w:rsidR="00DE575E" w:rsidRDefault="002E7560">
      <w:pPr>
        <w:spacing w:before="92"/>
        <w:ind w:left="533"/>
        <w:rPr>
          <w:rFonts w:ascii="Times New Roman"/>
          <w:sz w:val="20"/>
        </w:rPr>
      </w:pPr>
      <w:r>
        <w:rPr>
          <w:rFonts w:ascii="Times New Roman"/>
          <w:color w:val="231F20"/>
          <w:sz w:val="20"/>
        </w:rPr>
        <w:t>24</w:t>
      </w:r>
    </w:p>
    <w:p w14:paraId="44702AB6" w14:textId="77777777" w:rsidR="00DE575E" w:rsidRDefault="00DE575E">
      <w:pPr>
        <w:rPr>
          <w:rFonts w:ascii="Times New Roman"/>
          <w:sz w:val="20"/>
        </w:rPr>
        <w:sectPr w:rsidR="00DE575E">
          <w:pgSz w:w="8510" w:h="12760"/>
          <w:pgMar w:top="660" w:right="720" w:bottom="280" w:left="600" w:header="720" w:footer="720" w:gutter="0"/>
          <w:cols w:space="720"/>
        </w:sectPr>
      </w:pPr>
    </w:p>
    <w:p w14:paraId="1E2363C2"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4EB6C292" w14:textId="43F3CB1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24EED81" wp14:editId="6B8E0F74">
                <wp:extent cx="4140200" cy="6350"/>
                <wp:effectExtent l="0" t="0" r="12700" b="6350"/>
                <wp:docPr id="1360"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61" name="Line 136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7FB02" id="Group_x0020_135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d6BLQgAIAAJwFAAAO&#10;AAAAAAAAAAAAAAAAACwCAABkcnMvZTJvRG9jLnhtbFBLAQItABQABgAIAAAAIQBMp7CQ2QAAAAMB&#10;AAAPAAAAAAAAAAAAAAAAANgEAABkcnMvZG93bnJldi54bWxQSwUGAAAAAAQABADzAAAA3gUAAAAA&#10;">
                <v:line id="Line_x0020_136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BvwMQAAADdAAAADwAAAGRycy9kb3ducmV2LnhtbERPzWrCQBC+C77DMoIXqRsbkJK6igiF&#10;0oNa0wcYs2MS3J2N2dXEPn1XKHibj+93FqveGnGj1teOFcymCQjiwumaSwU/+cfLGwgfkDUax6Tg&#10;Th5Wy+FggZl2HX/T7RBKEUPYZ6igCqHJpPRFRRb91DXEkTu51mKIsC2lbrGL4dbI1ySZS4s1x4YK&#10;G9pUVJwPV6sgv0yC2e++TJfvjqk8Xrbp73Wr1HjUr99BBOrDU/zv/tRxfjqfweObeIJ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MG/AxAAAAN0AAAAPAAAAAAAAAAAA&#10;AAAAAKECAABkcnMvZG93bnJldi54bWxQSwUGAAAAAAQABAD5AAAAkgMAAAAA&#10;" strokecolor="#231f20" strokeweight=".5pt"/>
                <w10:anchorlock/>
              </v:group>
            </w:pict>
          </mc:Fallback>
        </mc:AlternateContent>
      </w:r>
    </w:p>
    <w:p w14:paraId="5453449D" w14:textId="77777777" w:rsidR="00DE575E" w:rsidRDefault="00DE575E">
      <w:pPr>
        <w:pStyle w:val="BodyText"/>
        <w:spacing w:before="3"/>
        <w:rPr>
          <w:rFonts w:ascii="AdonisC"/>
          <w:i/>
          <w:sz w:val="12"/>
        </w:rPr>
      </w:pPr>
    </w:p>
    <w:p w14:paraId="197C1241" w14:textId="77777777" w:rsidR="00DE575E" w:rsidRDefault="002E7560">
      <w:pPr>
        <w:pStyle w:val="BodyText"/>
        <w:spacing w:before="100" w:line="252" w:lineRule="auto"/>
        <w:ind w:left="250" w:right="411" w:firstLine="283"/>
        <w:jc w:val="both"/>
      </w:pPr>
      <w:r>
        <w:rPr>
          <w:color w:val="231F20"/>
        </w:rPr>
        <w:t>Відповідно одним із перших питань, на яке тре</w:t>
      </w:r>
      <w:r>
        <w:rPr>
          <w:color w:val="231F20"/>
        </w:rPr>
        <w:t>ба дати відповідь, є</w:t>
      </w:r>
      <w:r>
        <w:rPr>
          <w:color w:val="231F20"/>
          <w:spacing w:val="-11"/>
        </w:rPr>
        <w:t xml:space="preserve"> </w:t>
      </w:r>
      <w:r>
        <w:rPr>
          <w:color w:val="231F20"/>
        </w:rPr>
        <w:t>визначення</w:t>
      </w:r>
      <w:r>
        <w:rPr>
          <w:color w:val="231F20"/>
          <w:spacing w:val="-11"/>
        </w:rPr>
        <w:t xml:space="preserve"> </w:t>
      </w:r>
      <w:r>
        <w:rPr>
          <w:color w:val="231F20"/>
        </w:rPr>
        <w:t>ролі</w:t>
      </w:r>
      <w:r>
        <w:rPr>
          <w:color w:val="231F20"/>
          <w:spacing w:val="-11"/>
        </w:rPr>
        <w:t xml:space="preserve"> </w:t>
      </w:r>
      <w:r>
        <w:rPr>
          <w:color w:val="231F20"/>
        </w:rPr>
        <w:t>адміністративного</w:t>
      </w:r>
      <w:r>
        <w:rPr>
          <w:color w:val="231F20"/>
          <w:spacing w:val="-11"/>
        </w:rPr>
        <w:t xml:space="preserve"> </w:t>
      </w:r>
      <w:r>
        <w:rPr>
          <w:color w:val="231F20"/>
        </w:rPr>
        <w:t>права</w:t>
      </w:r>
      <w:r>
        <w:rPr>
          <w:color w:val="231F20"/>
          <w:spacing w:val="-11"/>
        </w:rPr>
        <w:t xml:space="preserve"> </w:t>
      </w:r>
      <w:r>
        <w:rPr>
          <w:color w:val="231F20"/>
        </w:rPr>
        <w:t>у</w:t>
      </w:r>
      <w:r>
        <w:rPr>
          <w:color w:val="231F20"/>
          <w:spacing w:val="-10"/>
        </w:rPr>
        <w:t xml:space="preserve"> </w:t>
      </w:r>
      <w:r>
        <w:rPr>
          <w:color w:val="231F20"/>
        </w:rPr>
        <w:t>правовій</w:t>
      </w:r>
      <w:r>
        <w:rPr>
          <w:color w:val="231F20"/>
          <w:spacing w:val="-11"/>
        </w:rPr>
        <w:t xml:space="preserve"> </w:t>
      </w:r>
      <w:r>
        <w:rPr>
          <w:color w:val="231F20"/>
        </w:rPr>
        <w:t>системі.</w:t>
      </w:r>
      <w:r>
        <w:rPr>
          <w:color w:val="231F20"/>
          <w:spacing w:val="-11"/>
        </w:rPr>
        <w:t xml:space="preserve"> </w:t>
      </w:r>
      <w:r>
        <w:rPr>
          <w:color w:val="231F20"/>
        </w:rPr>
        <w:t>На</w:t>
      </w:r>
      <w:r>
        <w:rPr>
          <w:color w:val="231F20"/>
          <w:spacing w:val="-11"/>
        </w:rPr>
        <w:t xml:space="preserve"> </w:t>
      </w:r>
      <w:r>
        <w:rPr>
          <w:color w:val="231F20"/>
        </w:rPr>
        <w:t>це питання найбільш слушно дати відповідь через розкриття катего- рій «мета» і «завдання» адміністративного</w:t>
      </w:r>
      <w:r>
        <w:rPr>
          <w:color w:val="231F20"/>
          <w:spacing w:val="-5"/>
        </w:rPr>
        <w:t xml:space="preserve"> </w:t>
      </w:r>
      <w:r>
        <w:rPr>
          <w:color w:val="231F20"/>
        </w:rPr>
        <w:t>права.</w:t>
      </w:r>
    </w:p>
    <w:p w14:paraId="47D50B93" w14:textId="77777777" w:rsidR="00DE575E" w:rsidRDefault="002E7560">
      <w:pPr>
        <w:spacing w:line="252" w:lineRule="auto"/>
        <w:ind w:left="250" w:right="411" w:firstLine="283"/>
        <w:jc w:val="both"/>
        <w:rPr>
          <w:sz w:val="21"/>
        </w:rPr>
      </w:pPr>
      <w:r>
        <w:rPr>
          <w:b/>
          <w:color w:val="231F20"/>
          <w:sz w:val="21"/>
        </w:rPr>
        <w:t xml:space="preserve">Метою адміністративного права </w:t>
      </w:r>
      <w:r>
        <w:rPr>
          <w:color w:val="231F20"/>
          <w:sz w:val="21"/>
        </w:rPr>
        <w:t>є врегулювання відносин між суб’єктами публічної адміністрації та приватними особами.</w:t>
      </w:r>
    </w:p>
    <w:p w14:paraId="5329D693" w14:textId="77777777" w:rsidR="00DE575E" w:rsidRDefault="002E7560">
      <w:pPr>
        <w:spacing w:before="1" w:line="252" w:lineRule="auto"/>
        <w:ind w:left="250" w:right="412" w:firstLine="283"/>
        <w:jc w:val="both"/>
        <w:rPr>
          <w:sz w:val="21"/>
        </w:rPr>
      </w:pPr>
      <w:r>
        <w:rPr>
          <w:b/>
          <w:color w:val="231F20"/>
          <w:sz w:val="21"/>
        </w:rPr>
        <w:t>Основними</w:t>
      </w:r>
      <w:r>
        <w:rPr>
          <w:b/>
          <w:color w:val="231F20"/>
          <w:spacing w:val="-17"/>
          <w:sz w:val="21"/>
        </w:rPr>
        <w:t xml:space="preserve"> </w:t>
      </w:r>
      <w:r>
        <w:rPr>
          <w:b/>
          <w:color w:val="231F20"/>
          <w:sz w:val="21"/>
        </w:rPr>
        <w:t>галузевими</w:t>
      </w:r>
      <w:r>
        <w:rPr>
          <w:b/>
          <w:color w:val="231F20"/>
          <w:spacing w:val="-17"/>
          <w:sz w:val="21"/>
        </w:rPr>
        <w:t xml:space="preserve"> </w:t>
      </w:r>
      <w:r>
        <w:rPr>
          <w:b/>
          <w:color w:val="231F20"/>
          <w:sz w:val="21"/>
        </w:rPr>
        <w:t>завданнями</w:t>
      </w:r>
      <w:r>
        <w:rPr>
          <w:b/>
          <w:color w:val="231F20"/>
          <w:spacing w:val="-17"/>
          <w:sz w:val="21"/>
        </w:rPr>
        <w:t xml:space="preserve"> </w:t>
      </w:r>
      <w:r>
        <w:rPr>
          <w:b/>
          <w:color w:val="231F20"/>
          <w:sz w:val="21"/>
        </w:rPr>
        <w:t>адміністративного</w:t>
      </w:r>
      <w:r>
        <w:rPr>
          <w:b/>
          <w:color w:val="231F20"/>
          <w:spacing w:val="-17"/>
          <w:sz w:val="21"/>
        </w:rPr>
        <w:t xml:space="preserve"> </w:t>
      </w:r>
      <w:r>
        <w:rPr>
          <w:b/>
          <w:color w:val="231F20"/>
          <w:sz w:val="21"/>
        </w:rPr>
        <w:t xml:space="preserve">права є </w:t>
      </w:r>
      <w:r>
        <w:rPr>
          <w:color w:val="231F20"/>
          <w:sz w:val="21"/>
        </w:rPr>
        <w:t>забезпечення того,</w:t>
      </w:r>
      <w:r>
        <w:rPr>
          <w:color w:val="231F20"/>
          <w:spacing w:val="-3"/>
          <w:sz w:val="21"/>
        </w:rPr>
        <w:t xml:space="preserve"> </w:t>
      </w:r>
      <w:r>
        <w:rPr>
          <w:color w:val="231F20"/>
          <w:sz w:val="21"/>
        </w:rPr>
        <w:t>щоб:</w:t>
      </w:r>
    </w:p>
    <w:p w14:paraId="0719ACE2" w14:textId="77777777" w:rsidR="00DE575E" w:rsidRDefault="002E7560">
      <w:pPr>
        <w:pStyle w:val="ListParagraph"/>
        <w:numPr>
          <w:ilvl w:val="0"/>
          <w:numId w:val="317"/>
        </w:numPr>
        <w:tabs>
          <w:tab w:val="left" w:pos="818"/>
        </w:tabs>
        <w:spacing w:line="252" w:lineRule="auto"/>
        <w:ind w:right="411" w:firstLine="283"/>
        <w:rPr>
          <w:sz w:val="21"/>
        </w:rPr>
      </w:pPr>
      <w:r>
        <w:rPr>
          <w:color w:val="231F20"/>
          <w:sz w:val="21"/>
        </w:rPr>
        <w:t>публічна адміністрація якісно та своєчасно надавала</w:t>
      </w:r>
      <w:r>
        <w:rPr>
          <w:color w:val="231F20"/>
          <w:spacing w:val="-30"/>
          <w:sz w:val="21"/>
        </w:rPr>
        <w:t xml:space="preserve"> </w:t>
      </w:r>
      <w:r>
        <w:rPr>
          <w:color w:val="231F20"/>
          <w:sz w:val="21"/>
        </w:rPr>
        <w:t>адмініст- ративні</w:t>
      </w:r>
      <w:r>
        <w:rPr>
          <w:color w:val="231F20"/>
          <w:spacing w:val="-2"/>
          <w:sz w:val="21"/>
        </w:rPr>
        <w:t xml:space="preserve"> </w:t>
      </w:r>
      <w:r>
        <w:rPr>
          <w:color w:val="231F20"/>
          <w:sz w:val="21"/>
        </w:rPr>
        <w:t>послуги;</w:t>
      </w:r>
    </w:p>
    <w:p w14:paraId="7F0A07A8" w14:textId="77777777" w:rsidR="00DE575E" w:rsidRDefault="002E7560">
      <w:pPr>
        <w:pStyle w:val="ListParagraph"/>
        <w:numPr>
          <w:ilvl w:val="0"/>
          <w:numId w:val="317"/>
        </w:numPr>
        <w:tabs>
          <w:tab w:val="left" w:pos="818"/>
        </w:tabs>
        <w:spacing w:line="252" w:lineRule="auto"/>
        <w:ind w:right="411" w:firstLine="283"/>
        <w:rPr>
          <w:sz w:val="21"/>
        </w:rPr>
      </w:pPr>
      <w:r>
        <w:rPr>
          <w:color w:val="231F20"/>
          <w:sz w:val="21"/>
        </w:rPr>
        <w:t>публічна адміністрація ефективно здійснювала виконавчо- розпорядчу</w:t>
      </w:r>
      <w:r>
        <w:rPr>
          <w:color w:val="231F20"/>
          <w:spacing w:val="-1"/>
          <w:sz w:val="21"/>
        </w:rPr>
        <w:t xml:space="preserve"> </w:t>
      </w:r>
      <w:r>
        <w:rPr>
          <w:color w:val="231F20"/>
          <w:sz w:val="21"/>
        </w:rPr>
        <w:t>діяльність;</w:t>
      </w:r>
    </w:p>
    <w:p w14:paraId="3ED4A2A8" w14:textId="77777777" w:rsidR="00DE575E" w:rsidRDefault="002E7560">
      <w:pPr>
        <w:pStyle w:val="ListParagraph"/>
        <w:numPr>
          <w:ilvl w:val="0"/>
          <w:numId w:val="317"/>
        </w:numPr>
        <w:tabs>
          <w:tab w:val="left" w:pos="818"/>
        </w:tabs>
        <w:spacing w:line="252" w:lineRule="auto"/>
        <w:ind w:right="411" w:firstLine="283"/>
        <w:rPr>
          <w:sz w:val="21"/>
        </w:rPr>
      </w:pPr>
      <w:r>
        <w:rPr>
          <w:color w:val="231F20"/>
          <w:spacing w:val="-3"/>
          <w:sz w:val="21"/>
        </w:rPr>
        <w:t xml:space="preserve">було  </w:t>
      </w:r>
      <w:r>
        <w:rPr>
          <w:color w:val="231F20"/>
          <w:sz w:val="21"/>
        </w:rPr>
        <w:t>мінімізовано  корупційні  та  інші  випадки  зловживань у діяльності публічної</w:t>
      </w:r>
      <w:r>
        <w:rPr>
          <w:color w:val="231F20"/>
          <w:spacing w:val="-3"/>
          <w:sz w:val="21"/>
        </w:rPr>
        <w:t xml:space="preserve"> </w:t>
      </w:r>
      <w:r>
        <w:rPr>
          <w:color w:val="231F20"/>
          <w:sz w:val="21"/>
        </w:rPr>
        <w:t>адміністрації.</w:t>
      </w:r>
    </w:p>
    <w:p w14:paraId="7E70CCC9" w14:textId="77777777" w:rsidR="00DE575E" w:rsidRDefault="002E7560">
      <w:pPr>
        <w:pStyle w:val="BodyText"/>
        <w:spacing w:before="1" w:line="252" w:lineRule="auto"/>
        <w:ind w:left="250" w:right="411" w:firstLine="283"/>
        <w:jc w:val="both"/>
      </w:pPr>
      <w:r>
        <w:rPr>
          <w:color w:val="231F20"/>
        </w:rPr>
        <w:t xml:space="preserve">Завдання адміністративного права </w:t>
      </w:r>
      <w:r>
        <w:rPr>
          <w:color w:val="231F20"/>
          <w:spacing w:val="-3"/>
        </w:rPr>
        <w:t xml:space="preserve">України </w:t>
      </w:r>
      <w:r>
        <w:rPr>
          <w:color w:val="231F20"/>
        </w:rPr>
        <w:t>мають своїм підґрунтям  положення  т</w:t>
      </w:r>
      <w:r>
        <w:rPr>
          <w:color w:val="231F20"/>
        </w:rPr>
        <w:t xml:space="preserve">еорії  природного  права   та   Конститу-  ції </w:t>
      </w:r>
      <w:r>
        <w:rPr>
          <w:color w:val="231F20"/>
          <w:spacing w:val="-3"/>
        </w:rPr>
        <w:t xml:space="preserve">України,  </w:t>
      </w:r>
      <w:r>
        <w:rPr>
          <w:color w:val="231F20"/>
        </w:rPr>
        <w:t>відповідно до яких «людина, її життя і здоров’я, честь    і</w:t>
      </w:r>
      <w:r>
        <w:rPr>
          <w:color w:val="231F20"/>
          <w:spacing w:val="-14"/>
        </w:rPr>
        <w:t xml:space="preserve"> </w:t>
      </w:r>
      <w:r>
        <w:rPr>
          <w:color w:val="231F20"/>
        </w:rPr>
        <w:t>гідність,</w:t>
      </w:r>
      <w:r>
        <w:rPr>
          <w:color w:val="231F20"/>
          <w:spacing w:val="-14"/>
        </w:rPr>
        <w:t xml:space="preserve"> </w:t>
      </w:r>
      <w:r>
        <w:rPr>
          <w:color w:val="231F20"/>
        </w:rPr>
        <w:t>недоторканність</w:t>
      </w:r>
      <w:r>
        <w:rPr>
          <w:color w:val="231F20"/>
          <w:spacing w:val="-14"/>
        </w:rPr>
        <w:t xml:space="preserve"> </w:t>
      </w:r>
      <w:r>
        <w:rPr>
          <w:color w:val="231F20"/>
        </w:rPr>
        <w:t>і</w:t>
      </w:r>
      <w:r>
        <w:rPr>
          <w:color w:val="231F20"/>
          <w:spacing w:val="-16"/>
        </w:rPr>
        <w:t xml:space="preserve"> </w:t>
      </w:r>
      <w:r>
        <w:rPr>
          <w:color w:val="231F20"/>
        </w:rPr>
        <w:t>безпека</w:t>
      </w:r>
      <w:r>
        <w:rPr>
          <w:color w:val="231F20"/>
          <w:spacing w:val="-14"/>
        </w:rPr>
        <w:t xml:space="preserve"> </w:t>
      </w:r>
      <w:r>
        <w:rPr>
          <w:color w:val="231F20"/>
        </w:rPr>
        <w:t>визнаються</w:t>
      </w:r>
      <w:r>
        <w:rPr>
          <w:color w:val="231F20"/>
          <w:spacing w:val="-14"/>
        </w:rPr>
        <w:t xml:space="preserve"> </w:t>
      </w:r>
      <w:r>
        <w:rPr>
          <w:color w:val="231F20"/>
        </w:rPr>
        <w:t>в</w:t>
      </w:r>
      <w:r>
        <w:rPr>
          <w:color w:val="231F20"/>
          <w:spacing w:val="-14"/>
        </w:rPr>
        <w:t xml:space="preserve"> </w:t>
      </w:r>
      <w:r>
        <w:rPr>
          <w:color w:val="231F20"/>
          <w:spacing w:val="-3"/>
        </w:rPr>
        <w:t>Україні</w:t>
      </w:r>
      <w:r>
        <w:rPr>
          <w:color w:val="231F20"/>
          <w:spacing w:val="-14"/>
        </w:rPr>
        <w:t xml:space="preserve"> </w:t>
      </w:r>
      <w:r>
        <w:rPr>
          <w:color w:val="231F20"/>
        </w:rPr>
        <w:t>найвищою соціальною</w:t>
      </w:r>
      <w:r>
        <w:rPr>
          <w:color w:val="231F20"/>
          <w:spacing w:val="-7"/>
        </w:rPr>
        <w:t xml:space="preserve"> </w:t>
      </w:r>
      <w:r>
        <w:rPr>
          <w:color w:val="231F20"/>
        </w:rPr>
        <w:t>цінністю.</w:t>
      </w:r>
      <w:r>
        <w:rPr>
          <w:color w:val="231F20"/>
          <w:spacing w:val="-7"/>
        </w:rPr>
        <w:t xml:space="preserve"> </w:t>
      </w:r>
      <w:r>
        <w:rPr>
          <w:color w:val="231F20"/>
        </w:rPr>
        <w:t>Права</w:t>
      </w:r>
      <w:r>
        <w:rPr>
          <w:color w:val="231F20"/>
          <w:spacing w:val="-7"/>
        </w:rPr>
        <w:t xml:space="preserve"> </w:t>
      </w:r>
      <w:r>
        <w:rPr>
          <w:color w:val="231F20"/>
        </w:rPr>
        <w:t>і</w:t>
      </w:r>
      <w:r>
        <w:rPr>
          <w:color w:val="231F20"/>
          <w:spacing w:val="-7"/>
        </w:rPr>
        <w:t xml:space="preserve"> </w:t>
      </w:r>
      <w:r>
        <w:rPr>
          <w:color w:val="231F20"/>
        </w:rPr>
        <w:t>свободи</w:t>
      </w:r>
      <w:r>
        <w:rPr>
          <w:color w:val="231F20"/>
          <w:spacing w:val="-7"/>
        </w:rPr>
        <w:t xml:space="preserve"> </w:t>
      </w:r>
      <w:r>
        <w:rPr>
          <w:color w:val="231F20"/>
        </w:rPr>
        <w:t>людини</w:t>
      </w:r>
      <w:r>
        <w:rPr>
          <w:color w:val="231F20"/>
          <w:spacing w:val="-7"/>
        </w:rPr>
        <w:t xml:space="preserve"> </w:t>
      </w:r>
      <w:r>
        <w:rPr>
          <w:color w:val="231F20"/>
        </w:rPr>
        <w:t>та</w:t>
      </w:r>
      <w:r>
        <w:rPr>
          <w:color w:val="231F20"/>
          <w:spacing w:val="-7"/>
        </w:rPr>
        <w:t xml:space="preserve"> </w:t>
      </w:r>
      <w:r>
        <w:rPr>
          <w:color w:val="231F20"/>
        </w:rPr>
        <w:t>їх</w:t>
      </w:r>
      <w:r>
        <w:rPr>
          <w:color w:val="231F20"/>
          <w:spacing w:val="-7"/>
        </w:rPr>
        <w:t xml:space="preserve"> </w:t>
      </w:r>
      <w:r>
        <w:rPr>
          <w:color w:val="231F20"/>
        </w:rPr>
        <w:t>гарантії</w:t>
      </w:r>
      <w:r>
        <w:rPr>
          <w:color w:val="231F20"/>
          <w:spacing w:val="-7"/>
        </w:rPr>
        <w:t xml:space="preserve"> </w:t>
      </w:r>
      <w:r>
        <w:rPr>
          <w:color w:val="231F20"/>
        </w:rPr>
        <w:t>визнача- ють зміст і спрямованість діяльності держави. Держава відповідає перед людиною за свою діяльність. Утвердження й забезпечення прав і свобод людини є головним обов’язком</w:t>
      </w:r>
      <w:r>
        <w:rPr>
          <w:color w:val="231F20"/>
          <w:spacing w:val="-10"/>
        </w:rPr>
        <w:t xml:space="preserve"> </w:t>
      </w:r>
      <w:r>
        <w:rPr>
          <w:color w:val="231F20"/>
        </w:rPr>
        <w:t>держави».</w:t>
      </w:r>
    </w:p>
    <w:p w14:paraId="486D3F58" w14:textId="77777777" w:rsidR="00DE575E" w:rsidRDefault="002E7560">
      <w:pPr>
        <w:spacing w:before="4" w:line="252" w:lineRule="auto"/>
        <w:ind w:left="250" w:right="411" w:firstLine="283"/>
        <w:jc w:val="both"/>
        <w:rPr>
          <w:b/>
          <w:sz w:val="21"/>
        </w:rPr>
      </w:pPr>
      <w:r>
        <w:rPr>
          <w:color w:val="231F20"/>
          <w:sz w:val="21"/>
        </w:rPr>
        <w:t xml:space="preserve">Виходячи з таких позицій, </w:t>
      </w:r>
      <w:r>
        <w:rPr>
          <w:b/>
          <w:color w:val="231F20"/>
          <w:sz w:val="21"/>
        </w:rPr>
        <w:t>основними завданнями адміністра- тивного п</w:t>
      </w:r>
      <w:r>
        <w:rPr>
          <w:b/>
          <w:color w:val="231F20"/>
          <w:sz w:val="21"/>
        </w:rPr>
        <w:t>рава на сучасному етапі є:</w:t>
      </w:r>
    </w:p>
    <w:p w14:paraId="2223E46B" w14:textId="77777777" w:rsidR="00DE575E" w:rsidRDefault="002E7560">
      <w:pPr>
        <w:pStyle w:val="ListParagraph"/>
        <w:numPr>
          <w:ilvl w:val="0"/>
          <w:numId w:val="317"/>
        </w:numPr>
        <w:tabs>
          <w:tab w:val="left" w:pos="818"/>
        </w:tabs>
        <w:spacing w:line="252" w:lineRule="auto"/>
        <w:ind w:right="410" w:firstLine="283"/>
        <w:rPr>
          <w:sz w:val="21"/>
        </w:rPr>
      </w:pPr>
      <w:r>
        <w:rPr>
          <w:b/>
          <w:i/>
          <w:color w:val="231F20"/>
          <w:sz w:val="21"/>
        </w:rPr>
        <w:t>конкретизація прав і свобод приватних осіб</w:t>
      </w:r>
      <w:r>
        <w:rPr>
          <w:color w:val="231F20"/>
          <w:sz w:val="21"/>
        </w:rPr>
        <w:t xml:space="preserve">, які мають забезпечуватися </w:t>
      </w:r>
      <w:r>
        <w:rPr>
          <w:color w:val="231F20"/>
          <w:spacing w:val="-3"/>
          <w:sz w:val="21"/>
        </w:rPr>
        <w:t xml:space="preserve">суб’єктами </w:t>
      </w:r>
      <w:r>
        <w:rPr>
          <w:color w:val="231F20"/>
          <w:sz w:val="21"/>
        </w:rPr>
        <w:t>публічної адміністрації, як реалізація конституційної формули щодо утвердження прав і свобод людини</w:t>
      </w:r>
      <w:r>
        <w:rPr>
          <w:color w:val="231F20"/>
          <w:position w:val="7"/>
          <w:sz w:val="12"/>
        </w:rPr>
        <w:t>1</w:t>
      </w:r>
      <w:r>
        <w:rPr>
          <w:color w:val="231F20"/>
          <w:sz w:val="21"/>
        </w:rPr>
        <w:t xml:space="preserve">. Це здійснюється в законах </w:t>
      </w:r>
      <w:r>
        <w:rPr>
          <w:color w:val="231F20"/>
          <w:spacing w:val="-3"/>
          <w:sz w:val="21"/>
        </w:rPr>
        <w:t xml:space="preserve">України </w:t>
      </w:r>
      <w:r>
        <w:rPr>
          <w:color w:val="231F20"/>
          <w:sz w:val="21"/>
        </w:rPr>
        <w:t>та підзаконн</w:t>
      </w:r>
      <w:r>
        <w:rPr>
          <w:color w:val="231F20"/>
          <w:sz w:val="21"/>
        </w:rPr>
        <w:t xml:space="preserve">их нормативно- правових актах, які визначають обов’язки / повноваження </w:t>
      </w:r>
      <w:r>
        <w:rPr>
          <w:color w:val="231F20"/>
          <w:spacing w:val="-3"/>
          <w:sz w:val="21"/>
        </w:rPr>
        <w:t xml:space="preserve">суб’єктів </w:t>
      </w:r>
      <w:r>
        <w:rPr>
          <w:color w:val="231F20"/>
          <w:sz w:val="21"/>
        </w:rPr>
        <w:t>публічної</w:t>
      </w:r>
      <w:r>
        <w:rPr>
          <w:color w:val="231F20"/>
          <w:spacing w:val="-1"/>
          <w:sz w:val="21"/>
        </w:rPr>
        <w:t xml:space="preserve"> </w:t>
      </w:r>
      <w:r>
        <w:rPr>
          <w:color w:val="231F20"/>
          <w:sz w:val="21"/>
        </w:rPr>
        <w:t>адміністрації).</w:t>
      </w:r>
    </w:p>
    <w:p w14:paraId="55FEA15B" w14:textId="77777777" w:rsidR="00DE575E" w:rsidRDefault="002E7560">
      <w:pPr>
        <w:spacing w:before="102" w:line="244" w:lineRule="auto"/>
        <w:ind w:left="533" w:right="411" w:firstLine="283"/>
        <w:jc w:val="both"/>
        <w:rPr>
          <w:i/>
          <w:sz w:val="18"/>
        </w:rPr>
      </w:pPr>
      <w:r>
        <w:rPr>
          <w:i/>
          <w:color w:val="231F20"/>
          <w:sz w:val="18"/>
          <w:u w:val="single" w:color="231F20"/>
        </w:rPr>
        <w:t>Приклад</w:t>
      </w:r>
      <w:r>
        <w:rPr>
          <w:b/>
          <w:i/>
          <w:color w:val="231F20"/>
          <w:sz w:val="18"/>
        </w:rPr>
        <w:t xml:space="preserve">: </w:t>
      </w:r>
      <w:r>
        <w:rPr>
          <w:i/>
          <w:color w:val="231F20"/>
          <w:sz w:val="18"/>
        </w:rPr>
        <w:t>у Законі «Про Національну поліцію» конкретизовано, що завдан- нями поліції є надання поліцейських послуг у  сферах  забезпечення  публіч- но</w:t>
      </w:r>
      <w:r>
        <w:rPr>
          <w:i/>
          <w:color w:val="231F20"/>
          <w:sz w:val="18"/>
        </w:rPr>
        <w:t>ї безпеки і порядку, охорони прав і свобод людини, а також інтересів суспільства і держави, протидії</w:t>
      </w:r>
      <w:r>
        <w:rPr>
          <w:i/>
          <w:color w:val="231F20"/>
          <w:spacing w:val="-6"/>
          <w:sz w:val="18"/>
        </w:rPr>
        <w:t xml:space="preserve"> </w:t>
      </w:r>
      <w:r>
        <w:rPr>
          <w:i/>
          <w:color w:val="231F20"/>
          <w:sz w:val="18"/>
        </w:rPr>
        <w:t>злочинності;</w:t>
      </w:r>
    </w:p>
    <w:p w14:paraId="2480FAA6" w14:textId="77777777" w:rsidR="00DE575E" w:rsidRDefault="002E7560">
      <w:pPr>
        <w:pStyle w:val="ListParagraph"/>
        <w:numPr>
          <w:ilvl w:val="0"/>
          <w:numId w:val="317"/>
        </w:numPr>
        <w:tabs>
          <w:tab w:val="left" w:pos="818"/>
        </w:tabs>
        <w:spacing w:before="131" w:line="252" w:lineRule="auto"/>
        <w:ind w:right="411" w:firstLine="283"/>
        <w:rPr>
          <w:sz w:val="21"/>
        </w:rPr>
      </w:pPr>
      <w:r>
        <w:rPr>
          <w:b/>
          <w:i/>
          <w:color w:val="231F20"/>
          <w:sz w:val="21"/>
        </w:rPr>
        <w:t xml:space="preserve">формування ефективних адміністративних інструмен- тів </w:t>
      </w:r>
      <w:r>
        <w:rPr>
          <w:color w:val="231F20"/>
          <w:sz w:val="21"/>
        </w:rPr>
        <w:t>реалізації прав і свобод у сфері публічного</w:t>
      </w:r>
      <w:r>
        <w:rPr>
          <w:color w:val="231F20"/>
          <w:spacing w:val="20"/>
          <w:sz w:val="21"/>
        </w:rPr>
        <w:t xml:space="preserve"> </w:t>
      </w:r>
      <w:r>
        <w:rPr>
          <w:color w:val="231F20"/>
          <w:sz w:val="21"/>
        </w:rPr>
        <w:t>адміністрування</w:t>
      </w:r>
    </w:p>
    <w:p w14:paraId="031C7CF0" w14:textId="59B45AEF" w:rsidR="00DE575E" w:rsidRDefault="002E7560">
      <w:pPr>
        <w:pStyle w:val="BodyText"/>
        <w:spacing w:before="2"/>
        <w:rPr>
          <w:sz w:val="28"/>
        </w:rPr>
      </w:pPr>
      <w:r>
        <w:rPr>
          <w:noProof/>
        </w:rPr>
        <mc:AlternateContent>
          <mc:Choice Requires="wps">
            <w:drawing>
              <wp:anchor distT="0" distB="0" distL="0" distR="0" simplePos="0" relativeHeight="1744" behindDoc="0" locked="0" layoutInCell="1" allowOverlap="1" wp14:anchorId="2E1A6113" wp14:editId="7E4C8C6E">
                <wp:simplePos x="0" y="0"/>
                <wp:positionH relativeFrom="page">
                  <wp:posOffset>539750</wp:posOffset>
                </wp:positionH>
                <wp:positionV relativeFrom="paragraph">
                  <wp:posOffset>237490</wp:posOffset>
                </wp:positionV>
                <wp:extent cx="1080135" cy="0"/>
                <wp:effectExtent l="6350" t="8890" r="31115" b="29210"/>
                <wp:wrapTopAndBottom/>
                <wp:docPr id="1359"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014F" id="Line_x0020_1358"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7pt" to="127.55pt,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" strokecolor="#231f20" strokeweight=".5pt">
                <w10:wrap type="topAndBottom" anchorx="page"/>
              </v:line>
            </w:pict>
          </mc:Fallback>
        </mc:AlternateContent>
      </w:r>
    </w:p>
    <w:p w14:paraId="76F1B35D" w14:textId="77777777" w:rsidR="00DE575E" w:rsidRDefault="002E7560">
      <w:pPr>
        <w:spacing w:line="204" w:lineRule="auto"/>
        <w:ind w:left="250" w:right="521"/>
        <w:rPr>
          <w:sz w:val="16"/>
        </w:rPr>
      </w:pPr>
      <w:r>
        <w:rPr>
          <w:color w:val="231F20"/>
          <w:position w:val="5"/>
          <w:sz w:val="9"/>
        </w:rPr>
        <w:t xml:space="preserve">1 </w:t>
      </w:r>
      <w:r>
        <w:rPr>
          <w:color w:val="231F20"/>
          <w:sz w:val="16"/>
        </w:rPr>
        <w:t>Мельник Р. Загальне адміністративне право в питаннях і відповідях: навчальний посібник. Київ: Юрінком Інтер, 2018. 308 с.</w:t>
      </w:r>
    </w:p>
    <w:p w14:paraId="317AEF20" w14:textId="77777777" w:rsidR="00DE575E" w:rsidRDefault="00DE575E">
      <w:pPr>
        <w:pStyle w:val="BodyText"/>
        <w:spacing w:before="1"/>
        <w:rPr>
          <w:sz w:val="12"/>
        </w:rPr>
      </w:pPr>
    </w:p>
    <w:p w14:paraId="54345E3D" w14:textId="77777777" w:rsidR="00DE575E" w:rsidRDefault="002E7560">
      <w:pPr>
        <w:spacing w:before="92"/>
        <w:ind w:right="411"/>
        <w:jc w:val="right"/>
        <w:rPr>
          <w:rFonts w:ascii="Times New Roman"/>
          <w:sz w:val="20"/>
        </w:rPr>
      </w:pPr>
      <w:r>
        <w:rPr>
          <w:rFonts w:ascii="Times New Roman"/>
          <w:color w:val="231F20"/>
          <w:w w:val="90"/>
          <w:sz w:val="20"/>
        </w:rPr>
        <w:t>25</w:t>
      </w:r>
    </w:p>
    <w:p w14:paraId="78102C2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F7B3794"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550FE708" w14:textId="0131318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50AD4C4" wp14:editId="797E668D">
                <wp:extent cx="4140200" cy="6350"/>
                <wp:effectExtent l="0" t="0" r="12700" b="6350"/>
                <wp:docPr id="1357"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58" name="Line 13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B8338F" id="Group_x0020_13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XmFWdgAIAAJwFAAAO&#10;AAAAAAAAAAAAAAAAACwCAABkcnMvZTJvRG9jLnhtbFBLAQItABQABgAIAAAAIQBMp7CQ2QAAAAMB&#10;AAAPAAAAAAAAAAAAAAAAANgEAABkcnMvZG93bnJldi54bWxQSwUGAAAAAAQABADzAAAA3gUAAAAA&#10;">
                <v:line id="Line_x0020_13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YM4MgAAADdAAAADwAAAGRycy9kb3ducmV2LnhtbESP3UrDQBCF74W+wzKCN2I3GhRJuy1F&#10;EMSL/sUHmGanSXB3Ns1um+jTOxcF72Y4Z875Zr4cvVMX6mMb2MDjNANFXAXbcm3gq3x/eAUVE7JF&#10;F5gM/FCE5WJyM8fChoF3dNmnWkkIxwINNCl1hdaxashjnIaOWLRj6D0mWfta2x4HCfdOP2XZi/bY&#10;sjQ02NFbQ9X3/uwNlKf75LabTzeUm0OuD6d1/nteG3N3O65moBKN6d98vf6wgp8/C658IyPox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mYM4MgAAADdAAAADwAAAAAA&#10;AAAAAAAAAAChAgAAZHJzL2Rvd25yZXYueG1sUEsFBgAAAAAEAAQA+QAAAJYDAAAAAA==&#10;" strokecolor="#231f20" strokeweight=".5pt"/>
                <w10:anchorlock/>
              </v:group>
            </w:pict>
          </mc:Fallback>
        </mc:AlternateContent>
      </w:r>
    </w:p>
    <w:p w14:paraId="5E1EF592" w14:textId="77777777" w:rsidR="00DE575E" w:rsidRDefault="00DE575E">
      <w:pPr>
        <w:pStyle w:val="BodyText"/>
        <w:spacing w:before="7"/>
        <w:rPr>
          <w:rFonts w:ascii="AdonisC"/>
          <w:i/>
          <w:sz w:val="11"/>
        </w:rPr>
      </w:pPr>
    </w:p>
    <w:p w14:paraId="64BFCFCF" w14:textId="77777777" w:rsidR="00DE575E" w:rsidRDefault="002E7560">
      <w:pPr>
        <w:pStyle w:val="BodyText"/>
        <w:spacing w:before="101" w:line="252" w:lineRule="auto"/>
        <w:ind w:left="533" w:right="248"/>
      </w:pPr>
      <w:r>
        <w:rPr>
          <w:color w:val="231F20"/>
        </w:rPr>
        <w:t>як  реа</w:t>
      </w:r>
      <w:r>
        <w:rPr>
          <w:color w:val="231F20"/>
        </w:rPr>
        <w:t>лізація  конституційної  формули  щодо  забезпечення  прав   і свобод</w:t>
      </w:r>
      <w:r>
        <w:rPr>
          <w:color w:val="231F20"/>
          <w:spacing w:val="-3"/>
        </w:rPr>
        <w:t xml:space="preserve"> </w:t>
      </w:r>
      <w:r>
        <w:rPr>
          <w:color w:val="231F20"/>
        </w:rPr>
        <w:t>людини.</w:t>
      </w:r>
    </w:p>
    <w:p w14:paraId="2D941603" w14:textId="77777777" w:rsidR="00DE575E" w:rsidRDefault="002E7560">
      <w:pPr>
        <w:spacing w:before="100" w:line="244" w:lineRule="auto"/>
        <w:ind w:left="817" w:right="128" w:firstLine="283"/>
        <w:jc w:val="both"/>
        <w:rPr>
          <w:i/>
          <w:sz w:val="18"/>
        </w:rPr>
      </w:pPr>
      <w:r>
        <w:rPr>
          <w:i/>
          <w:color w:val="231F20"/>
          <w:sz w:val="18"/>
          <w:u w:val="single" w:color="231F20"/>
        </w:rPr>
        <w:t>Приклад:</w:t>
      </w:r>
      <w:r>
        <w:rPr>
          <w:i/>
          <w:color w:val="231F20"/>
          <w:sz w:val="18"/>
        </w:rPr>
        <w:t xml:space="preserve"> Постановою Кабінету Міністрів України від 10.11.2017 р. № 833 </w:t>
      </w:r>
      <w:r>
        <w:rPr>
          <w:i/>
          <w:color w:val="231F20"/>
          <w:sz w:val="18"/>
        </w:rPr>
        <w:t>сформовано адміністративний інструментарій фіксації адміністративних правопорушень у сфері забезпечення безпеки дорожнього руху в автоматич- ному режимі;</w:t>
      </w:r>
    </w:p>
    <w:p w14:paraId="251D3474" w14:textId="77777777" w:rsidR="00DE575E" w:rsidRDefault="002E7560">
      <w:pPr>
        <w:pStyle w:val="ListParagraph"/>
        <w:numPr>
          <w:ilvl w:val="1"/>
          <w:numId w:val="317"/>
        </w:numPr>
        <w:tabs>
          <w:tab w:val="left" w:pos="1101"/>
        </w:tabs>
        <w:spacing w:before="130" w:line="252" w:lineRule="auto"/>
        <w:ind w:right="123" w:firstLine="284"/>
        <w:rPr>
          <w:sz w:val="21"/>
        </w:rPr>
      </w:pPr>
      <w:r>
        <w:rPr>
          <w:b/>
          <w:i/>
          <w:color w:val="231F20"/>
          <w:sz w:val="21"/>
        </w:rPr>
        <w:t>підвищення ефективності функціонування публічних інститутів</w:t>
      </w:r>
      <w:r>
        <w:rPr>
          <w:b/>
          <w:i/>
          <w:color w:val="231F20"/>
          <w:spacing w:val="-15"/>
          <w:sz w:val="21"/>
        </w:rPr>
        <w:t xml:space="preserve"> </w:t>
      </w:r>
      <w:r>
        <w:rPr>
          <w:color w:val="231F20"/>
          <w:sz w:val="21"/>
        </w:rPr>
        <w:t>держави</w:t>
      </w:r>
      <w:r>
        <w:rPr>
          <w:color w:val="231F20"/>
          <w:spacing w:val="-15"/>
          <w:sz w:val="21"/>
        </w:rPr>
        <w:t xml:space="preserve"> </w:t>
      </w:r>
      <w:r>
        <w:rPr>
          <w:color w:val="231F20"/>
          <w:sz w:val="21"/>
        </w:rPr>
        <w:t>й</w:t>
      </w:r>
      <w:r>
        <w:rPr>
          <w:color w:val="231F20"/>
          <w:spacing w:val="-15"/>
          <w:sz w:val="21"/>
        </w:rPr>
        <w:t xml:space="preserve"> </w:t>
      </w:r>
      <w:r>
        <w:rPr>
          <w:color w:val="231F20"/>
          <w:sz w:val="21"/>
        </w:rPr>
        <w:t>суспільства</w:t>
      </w:r>
      <w:r>
        <w:rPr>
          <w:color w:val="231F20"/>
          <w:spacing w:val="-15"/>
          <w:sz w:val="21"/>
        </w:rPr>
        <w:t xml:space="preserve"> </w:t>
      </w:r>
      <w:r>
        <w:rPr>
          <w:color w:val="231F20"/>
          <w:sz w:val="21"/>
        </w:rPr>
        <w:t>–</w:t>
      </w:r>
      <w:r>
        <w:rPr>
          <w:color w:val="231F20"/>
          <w:spacing w:val="-15"/>
          <w:sz w:val="21"/>
        </w:rPr>
        <w:t xml:space="preserve"> </w:t>
      </w:r>
      <w:r>
        <w:rPr>
          <w:color w:val="231F20"/>
          <w:sz w:val="21"/>
        </w:rPr>
        <w:t>напр.,</w:t>
      </w:r>
      <w:r>
        <w:rPr>
          <w:color w:val="231F20"/>
          <w:spacing w:val="-15"/>
          <w:sz w:val="21"/>
        </w:rPr>
        <w:t xml:space="preserve"> </w:t>
      </w:r>
      <w:r>
        <w:rPr>
          <w:color w:val="231F20"/>
          <w:sz w:val="21"/>
        </w:rPr>
        <w:t>через</w:t>
      </w:r>
      <w:r>
        <w:rPr>
          <w:color w:val="231F20"/>
          <w:spacing w:val="-15"/>
          <w:sz w:val="21"/>
        </w:rPr>
        <w:t xml:space="preserve"> </w:t>
      </w:r>
      <w:r>
        <w:rPr>
          <w:color w:val="231F20"/>
          <w:sz w:val="21"/>
        </w:rPr>
        <w:t>створ</w:t>
      </w:r>
      <w:r>
        <w:rPr>
          <w:color w:val="231F20"/>
          <w:sz w:val="21"/>
        </w:rPr>
        <w:t>ення</w:t>
      </w:r>
      <w:r>
        <w:rPr>
          <w:color w:val="231F20"/>
          <w:spacing w:val="-15"/>
          <w:sz w:val="21"/>
        </w:rPr>
        <w:t xml:space="preserve"> </w:t>
      </w:r>
      <w:r>
        <w:rPr>
          <w:color w:val="231F20"/>
          <w:sz w:val="21"/>
        </w:rPr>
        <w:t>за</w:t>
      </w:r>
      <w:r>
        <w:rPr>
          <w:color w:val="231F20"/>
          <w:spacing w:val="-15"/>
          <w:sz w:val="21"/>
        </w:rPr>
        <w:t xml:space="preserve"> </w:t>
      </w:r>
      <w:r>
        <w:rPr>
          <w:color w:val="231F20"/>
          <w:sz w:val="21"/>
        </w:rPr>
        <w:t>вимо- гою громадянського суспільства державою нових антикорупційних органів – Національного антикорупційного бюро та Національного агентства із запобігання</w:t>
      </w:r>
      <w:r>
        <w:rPr>
          <w:color w:val="231F20"/>
          <w:spacing w:val="-3"/>
          <w:sz w:val="21"/>
        </w:rPr>
        <w:t xml:space="preserve"> </w:t>
      </w:r>
      <w:r>
        <w:rPr>
          <w:color w:val="231F20"/>
          <w:sz w:val="21"/>
        </w:rPr>
        <w:t>корупції;</w:t>
      </w:r>
    </w:p>
    <w:p w14:paraId="6C7204EE" w14:textId="77777777" w:rsidR="00DE575E" w:rsidRDefault="002E7560">
      <w:pPr>
        <w:pStyle w:val="ListParagraph"/>
        <w:numPr>
          <w:ilvl w:val="1"/>
          <w:numId w:val="317"/>
        </w:numPr>
        <w:tabs>
          <w:tab w:val="left" w:pos="1101"/>
        </w:tabs>
        <w:spacing w:before="3" w:line="252" w:lineRule="auto"/>
        <w:ind w:right="128" w:firstLine="284"/>
        <w:rPr>
          <w:sz w:val="21"/>
        </w:rPr>
      </w:pPr>
      <w:r>
        <w:rPr>
          <w:b/>
          <w:i/>
          <w:color w:val="231F20"/>
          <w:sz w:val="21"/>
        </w:rPr>
        <w:t>уніфікація та закріплення на законодавчому рівні проце- дур адміністративної діяль</w:t>
      </w:r>
      <w:r>
        <w:rPr>
          <w:b/>
          <w:i/>
          <w:color w:val="231F20"/>
          <w:sz w:val="21"/>
        </w:rPr>
        <w:t xml:space="preserve">ності </w:t>
      </w:r>
      <w:r>
        <w:rPr>
          <w:color w:val="231F20"/>
          <w:sz w:val="21"/>
        </w:rPr>
        <w:t xml:space="preserve">публічної адміністрації. Напр., Верховна рада </w:t>
      </w:r>
      <w:r>
        <w:rPr>
          <w:color w:val="231F20"/>
          <w:spacing w:val="-3"/>
          <w:sz w:val="21"/>
        </w:rPr>
        <w:t xml:space="preserve">Україна </w:t>
      </w:r>
      <w:r>
        <w:rPr>
          <w:color w:val="231F20"/>
          <w:sz w:val="21"/>
        </w:rPr>
        <w:t>через відповідний Закон закріпила адмініст- ративну процедуру щодо стратегічного екологічного</w:t>
      </w:r>
      <w:r>
        <w:rPr>
          <w:color w:val="231F20"/>
          <w:spacing w:val="-16"/>
          <w:sz w:val="21"/>
        </w:rPr>
        <w:t xml:space="preserve"> </w:t>
      </w:r>
      <w:r>
        <w:rPr>
          <w:color w:val="231F20"/>
          <w:sz w:val="21"/>
        </w:rPr>
        <w:t>оцінювання</w:t>
      </w:r>
      <w:r>
        <w:rPr>
          <w:color w:val="231F20"/>
          <w:position w:val="7"/>
          <w:sz w:val="12"/>
        </w:rPr>
        <w:t>1</w:t>
      </w:r>
      <w:r>
        <w:rPr>
          <w:color w:val="231F20"/>
          <w:sz w:val="21"/>
        </w:rPr>
        <w:t>;</w:t>
      </w:r>
    </w:p>
    <w:p w14:paraId="6D34008A" w14:textId="77777777" w:rsidR="00DE575E" w:rsidRDefault="002E7560">
      <w:pPr>
        <w:pStyle w:val="ListParagraph"/>
        <w:numPr>
          <w:ilvl w:val="1"/>
          <w:numId w:val="317"/>
        </w:numPr>
        <w:tabs>
          <w:tab w:val="left" w:pos="1101"/>
        </w:tabs>
        <w:spacing w:before="2" w:line="252" w:lineRule="auto"/>
        <w:ind w:right="127" w:firstLine="284"/>
        <w:rPr>
          <w:sz w:val="21"/>
        </w:rPr>
      </w:pPr>
      <w:r>
        <w:rPr>
          <w:b/>
          <w:i/>
          <w:color w:val="231F20"/>
          <w:sz w:val="21"/>
        </w:rPr>
        <w:t xml:space="preserve">оптимізація публічного контролю </w:t>
      </w:r>
      <w:r>
        <w:rPr>
          <w:color w:val="231F20"/>
          <w:sz w:val="21"/>
        </w:rPr>
        <w:t xml:space="preserve">з боку інституцій грома- дянського суспільства за діяльністю </w:t>
      </w:r>
      <w:r>
        <w:rPr>
          <w:color w:val="231F20"/>
          <w:spacing w:val="-3"/>
          <w:sz w:val="21"/>
        </w:rPr>
        <w:t xml:space="preserve">суб’єктів </w:t>
      </w:r>
      <w:r>
        <w:rPr>
          <w:color w:val="231F20"/>
          <w:sz w:val="21"/>
        </w:rPr>
        <w:t>публічної адмініст- рації. Наприклад, громадські ради центральних і місцевих органів виконавчої влади здійснюють громадський контроль за врахуван- ням органом пропозицій та зауважень гр</w:t>
      </w:r>
      <w:r>
        <w:rPr>
          <w:color w:val="231F20"/>
          <w:sz w:val="21"/>
        </w:rPr>
        <w:t>омадськості, забезпечення ним</w:t>
      </w:r>
      <w:r>
        <w:rPr>
          <w:color w:val="231F20"/>
          <w:spacing w:val="-7"/>
          <w:sz w:val="21"/>
        </w:rPr>
        <w:t xml:space="preserve"> </w:t>
      </w:r>
      <w:r>
        <w:rPr>
          <w:color w:val="231F20"/>
          <w:sz w:val="21"/>
        </w:rPr>
        <w:t>прозорості</w:t>
      </w:r>
      <w:r>
        <w:rPr>
          <w:color w:val="231F20"/>
          <w:spacing w:val="-7"/>
          <w:sz w:val="21"/>
        </w:rPr>
        <w:t xml:space="preserve"> </w:t>
      </w:r>
      <w:r>
        <w:rPr>
          <w:color w:val="231F20"/>
          <w:sz w:val="21"/>
        </w:rPr>
        <w:t>та</w:t>
      </w:r>
      <w:r>
        <w:rPr>
          <w:color w:val="231F20"/>
          <w:spacing w:val="-7"/>
          <w:sz w:val="21"/>
        </w:rPr>
        <w:t xml:space="preserve"> </w:t>
      </w:r>
      <w:r>
        <w:rPr>
          <w:color w:val="231F20"/>
          <w:sz w:val="21"/>
        </w:rPr>
        <w:t>відкритості</w:t>
      </w:r>
      <w:r>
        <w:rPr>
          <w:color w:val="231F20"/>
          <w:spacing w:val="-7"/>
          <w:sz w:val="21"/>
        </w:rPr>
        <w:t xml:space="preserve"> </w:t>
      </w:r>
      <w:r>
        <w:rPr>
          <w:color w:val="231F20"/>
          <w:sz w:val="21"/>
        </w:rPr>
        <w:t>своєї</w:t>
      </w:r>
      <w:r>
        <w:rPr>
          <w:color w:val="231F20"/>
          <w:spacing w:val="-7"/>
          <w:sz w:val="21"/>
        </w:rPr>
        <w:t xml:space="preserve"> </w:t>
      </w:r>
      <w:r>
        <w:rPr>
          <w:color w:val="231F20"/>
          <w:sz w:val="21"/>
        </w:rPr>
        <w:t>діяльності,</w:t>
      </w:r>
      <w:r>
        <w:rPr>
          <w:color w:val="231F20"/>
          <w:spacing w:val="-7"/>
          <w:sz w:val="21"/>
        </w:rPr>
        <w:t xml:space="preserve"> </w:t>
      </w:r>
      <w:r>
        <w:rPr>
          <w:color w:val="231F20"/>
          <w:sz w:val="21"/>
        </w:rPr>
        <w:t>доступу</w:t>
      </w:r>
      <w:r>
        <w:rPr>
          <w:color w:val="231F20"/>
          <w:spacing w:val="-7"/>
          <w:sz w:val="21"/>
        </w:rPr>
        <w:t xml:space="preserve"> </w:t>
      </w:r>
      <w:r>
        <w:rPr>
          <w:color w:val="231F20"/>
          <w:sz w:val="21"/>
        </w:rPr>
        <w:t>до</w:t>
      </w:r>
      <w:r>
        <w:rPr>
          <w:color w:val="231F20"/>
          <w:spacing w:val="-7"/>
          <w:sz w:val="21"/>
        </w:rPr>
        <w:t xml:space="preserve"> </w:t>
      </w:r>
      <w:r>
        <w:rPr>
          <w:color w:val="231F20"/>
          <w:sz w:val="21"/>
        </w:rPr>
        <w:t>публічної інформації;</w:t>
      </w:r>
    </w:p>
    <w:p w14:paraId="7F05A57D" w14:textId="77777777" w:rsidR="00DE575E" w:rsidRDefault="002E7560">
      <w:pPr>
        <w:pStyle w:val="Heading6"/>
        <w:numPr>
          <w:ilvl w:val="1"/>
          <w:numId w:val="317"/>
        </w:numPr>
        <w:tabs>
          <w:tab w:val="left" w:pos="1101"/>
        </w:tabs>
        <w:spacing w:before="3"/>
        <w:ind w:firstLine="284"/>
        <w:rPr>
          <w:b w:val="0"/>
          <w:i w:val="0"/>
        </w:rPr>
      </w:pPr>
      <w:r>
        <w:rPr>
          <w:color w:val="231F20"/>
        </w:rPr>
        <w:t>удосконалення інституту юридичної відповідальності</w:t>
      </w:r>
      <w:r>
        <w:rPr>
          <w:color w:val="231F20"/>
          <w:spacing w:val="-16"/>
        </w:rPr>
        <w:t xml:space="preserve"> </w:t>
      </w:r>
      <w:r>
        <w:rPr>
          <w:b w:val="0"/>
          <w:i w:val="0"/>
          <w:color w:val="231F20"/>
          <w:position w:val="7"/>
          <w:sz w:val="12"/>
        </w:rPr>
        <w:t>2</w:t>
      </w:r>
      <w:r>
        <w:rPr>
          <w:b w:val="0"/>
          <w:i w:val="0"/>
          <w:color w:val="231F20"/>
        </w:rPr>
        <w:t>.</w:t>
      </w:r>
    </w:p>
    <w:p w14:paraId="16AABA41" w14:textId="77777777" w:rsidR="00DE575E" w:rsidRDefault="002E7560">
      <w:pPr>
        <w:spacing w:before="112" w:line="244" w:lineRule="auto"/>
        <w:ind w:left="817" w:right="128" w:firstLine="283"/>
        <w:jc w:val="both"/>
        <w:rPr>
          <w:i/>
          <w:sz w:val="18"/>
        </w:rPr>
      </w:pPr>
      <w:r>
        <w:rPr>
          <w:i/>
          <w:color w:val="231F20"/>
          <w:sz w:val="18"/>
          <w:u w:val="single" w:color="231F20"/>
        </w:rPr>
        <w:t>Приклад</w:t>
      </w:r>
      <w:r>
        <w:rPr>
          <w:i/>
          <w:color w:val="231F20"/>
          <w:sz w:val="18"/>
        </w:rPr>
        <w:t>:</w:t>
      </w:r>
      <w:r>
        <w:rPr>
          <w:i/>
          <w:color w:val="231F20"/>
          <w:spacing w:val="-14"/>
          <w:sz w:val="18"/>
        </w:rPr>
        <w:t xml:space="preserve"> </w:t>
      </w:r>
      <w:r>
        <w:rPr>
          <w:i/>
          <w:color w:val="231F20"/>
          <w:sz w:val="18"/>
        </w:rPr>
        <w:t>2014</w:t>
      </w:r>
      <w:r>
        <w:rPr>
          <w:i/>
          <w:color w:val="231F20"/>
          <w:spacing w:val="-14"/>
          <w:sz w:val="18"/>
        </w:rPr>
        <w:t xml:space="preserve"> </w:t>
      </w:r>
      <w:r>
        <w:rPr>
          <w:i/>
          <w:color w:val="231F20"/>
          <w:sz w:val="18"/>
        </w:rPr>
        <w:t>року</w:t>
      </w:r>
      <w:r>
        <w:rPr>
          <w:i/>
          <w:color w:val="231F20"/>
          <w:spacing w:val="-14"/>
          <w:sz w:val="18"/>
        </w:rPr>
        <w:t xml:space="preserve"> </w:t>
      </w:r>
      <w:r>
        <w:rPr>
          <w:i/>
          <w:color w:val="231F20"/>
          <w:sz w:val="18"/>
        </w:rPr>
        <w:t>чинний</w:t>
      </w:r>
      <w:r>
        <w:rPr>
          <w:i/>
          <w:color w:val="231F20"/>
          <w:spacing w:val="-14"/>
          <w:sz w:val="18"/>
        </w:rPr>
        <w:t xml:space="preserve"> </w:t>
      </w:r>
      <w:r>
        <w:rPr>
          <w:i/>
          <w:color w:val="231F20"/>
          <w:spacing w:val="-3"/>
          <w:sz w:val="18"/>
        </w:rPr>
        <w:t>КУпАП</w:t>
      </w:r>
      <w:r>
        <w:rPr>
          <w:i/>
          <w:color w:val="231F20"/>
          <w:spacing w:val="-14"/>
          <w:sz w:val="18"/>
        </w:rPr>
        <w:t xml:space="preserve"> </w:t>
      </w:r>
      <w:r>
        <w:rPr>
          <w:i/>
          <w:color w:val="231F20"/>
          <w:spacing w:val="-5"/>
          <w:sz w:val="18"/>
        </w:rPr>
        <w:t>було</w:t>
      </w:r>
      <w:r>
        <w:rPr>
          <w:i/>
          <w:color w:val="231F20"/>
          <w:spacing w:val="-14"/>
          <w:sz w:val="18"/>
        </w:rPr>
        <w:t xml:space="preserve"> </w:t>
      </w:r>
      <w:r>
        <w:rPr>
          <w:i/>
          <w:color w:val="231F20"/>
          <w:sz w:val="18"/>
        </w:rPr>
        <w:t>доповнено</w:t>
      </w:r>
      <w:r>
        <w:rPr>
          <w:i/>
          <w:color w:val="231F20"/>
          <w:spacing w:val="-14"/>
          <w:sz w:val="18"/>
        </w:rPr>
        <w:t xml:space="preserve"> </w:t>
      </w:r>
      <w:r>
        <w:rPr>
          <w:i/>
          <w:color w:val="231F20"/>
          <w:sz w:val="18"/>
        </w:rPr>
        <w:t>главою</w:t>
      </w:r>
      <w:r>
        <w:rPr>
          <w:i/>
          <w:color w:val="231F20"/>
          <w:spacing w:val="-14"/>
          <w:sz w:val="18"/>
        </w:rPr>
        <w:t xml:space="preserve"> </w:t>
      </w:r>
      <w:r>
        <w:rPr>
          <w:i/>
          <w:color w:val="231F20"/>
          <w:sz w:val="18"/>
        </w:rPr>
        <w:t>13-А</w:t>
      </w:r>
      <w:r>
        <w:rPr>
          <w:i/>
          <w:color w:val="231F20"/>
          <w:spacing w:val="-14"/>
          <w:sz w:val="18"/>
        </w:rPr>
        <w:t xml:space="preserve"> </w:t>
      </w:r>
      <w:r>
        <w:rPr>
          <w:i/>
          <w:color w:val="231F20"/>
          <w:spacing w:val="-3"/>
          <w:sz w:val="18"/>
        </w:rPr>
        <w:t xml:space="preserve">«Адміністра- </w:t>
      </w:r>
      <w:r>
        <w:rPr>
          <w:i/>
          <w:color w:val="231F20"/>
          <w:sz w:val="18"/>
        </w:rPr>
        <w:t xml:space="preserve">тивні </w:t>
      </w:r>
      <w:r>
        <w:rPr>
          <w:i/>
          <w:color w:val="231F20"/>
          <w:spacing w:val="-3"/>
          <w:sz w:val="18"/>
        </w:rPr>
        <w:t xml:space="preserve">правопорушення, </w:t>
      </w:r>
      <w:r>
        <w:rPr>
          <w:i/>
          <w:color w:val="231F20"/>
          <w:sz w:val="18"/>
        </w:rPr>
        <w:t xml:space="preserve">пов’язані з </w:t>
      </w:r>
      <w:r>
        <w:rPr>
          <w:i/>
          <w:color w:val="231F20"/>
          <w:spacing w:val="-3"/>
          <w:sz w:val="18"/>
        </w:rPr>
        <w:t xml:space="preserve">корупцією», </w:t>
      </w:r>
      <w:r>
        <w:rPr>
          <w:i/>
          <w:color w:val="231F20"/>
          <w:spacing w:val="-4"/>
          <w:sz w:val="18"/>
        </w:rPr>
        <w:t xml:space="preserve">суб’єктом </w:t>
      </w:r>
      <w:r>
        <w:rPr>
          <w:i/>
          <w:color w:val="231F20"/>
          <w:sz w:val="18"/>
        </w:rPr>
        <w:t xml:space="preserve">адміністративного </w:t>
      </w:r>
      <w:r>
        <w:rPr>
          <w:i/>
          <w:color w:val="231F20"/>
          <w:spacing w:val="-3"/>
          <w:sz w:val="18"/>
        </w:rPr>
        <w:t xml:space="preserve">проступку </w:t>
      </w:r>
      <w:r>
        <w:rPr>
          <w:i/>
          <w:color w:val="231F20"/>
          <w:sz w:val="18"/>
        </w:rPr>
        <w:t xml:space="preserve">яких визначено спеціальні </w:t>
      </w:r>
      <w:r>
        <w:rPr>
          <w:i/>
          <w:color w:val="231F20"/>
          <w:spacing w:val="-4"/>
          <w:sz w:val="18"/>
        </w:rPr>
        <w:t xml:space="preserve">суб’єкти </w:t>
      </w:r>
      <w:r>
        <w:rPr>
          <w:i/>
          <w:color w:val="231F20"/>
          <w:spacing w:val="-3"/>
          <w:sz w:val="18"/>
        </w:rPr>
        <w:t>публічної</w:t>
      </w:r>
      <w:r>
        <w:rPr>
          <w:i/>
          <w:color w:val="231F20"/>
          <w:spacing w:val="-28"/>
          <w:sz w:val="18"/>
        </w:rPr>
        <w:t xml:space="preserve"> </w:t>
      </w:r>
      <w:r>
        <w:rPr>
          <w:i/>
          <w:color w:val="231F20"/>
          <w:sz w:val="18"/>
        </w:rPr>
        <w:t>адміністрації.</w:t>
      </w:r>
    </w:p>
    <w:p w14:paraId="2EB7FD3F" w14:textId="77777777" w:rsidR="00DE575E" w:rsidRDefault="002E7560">
      <w:pPr>
        <w:pStyle w:val="BodyText"/>
        <w:spacing w:before="130" w:line="252" w:lineRule="auto"/>
        <w:ind w:left="533" w:right="128" w:firstLine="283"/>
        <w:jc w:val="both"/>
      </w:pPr>
      <w:r>
        <w:rPr>
          <w:color w:val="231F20"/>
        </w:rPr>
        <w:t xml:space="preserve">Динамічний розвиток суспільних відносин в </w:t>
      </w:r>
      <w:r>
        <w:rPr>
          <w:color w:val="231F20"/>
          <w:spacing w:val="-3"/>
        </w:rPr>
        <w:t xml:space="preserve">Україні </w:t>
      </w:r>
      <w:r>
        <w:rPr>
          <w:color w:val="231F20"/>
        </w:rPr>
        <w:t>щодо адап- тації</w:t>
      </w:r>
      <w:r>
        <w:rPr>
          <w:color w:val="231F20"/>
          <w:spacing w:val="-9"/>
        </w:rPr>
        <w:t xml:space="preserve"> </w:t>
      </w:r>
      <w:r>
        <w:rPr>
          <w:color w:val="231F20"/>
        </w:rPr>
        <w:t>як</w:t>
      </w:r>
      <w:r>
        <w:rPr>
          <w:color w:val="231F20"/>
          <w:spacing w:val="-9"/>
        </w:rPr>
        <w:t xml:space="preserve"> </w:t>
      </w:r>
      <w:r>
        <w:rPr>
          <w:color w:val="231F20"/>
        </w:rPr>
        <w:t>суспільного</w:t>
      </w:r>
      <w:r>
        <w:rPr>
          <w:color w:val="231F20"/>
          <w:spacing w:val="-9"/>
        </w:rPr>
        <w:t xml:space="preserve"> </w:t>
      </w:r>
      <w:r>
        <w:rPr>
          <w:color w:val="231F20"/>
        </w:rPr>
        <w:t>життя,</w:t>
      </w:r>
      <w:r>
        <w:rPr>
          <w:color w:val="231F20"/>
          <w:spacing w:val="-9"/>
        </w:rPr>
        <w:t xml:space="preserve"> </w:t>
      </w:r>
      <w:r>
        <w:rPr>
          <w:color w:val="231F20"/>
        </w:rPr>
        <w:t>так</w:t>
      </w:r>
      <w:r>
        <w:rPr>
          <w:color w:val="231F20"/>
          <w:spacing w:val="-9"/>
        </w:rPr>
        <w:t xml:space="preserve"> </w:t>
      </w:r>
      <w:r>
        <w:rPr>
          <w:color w:val="231F20"/>
        </w:rPr>
        <w:t>і</w:t>
      </w:r>
      <w:r>
        <w:rPr>
          <w:color w:val="231F20"/>
          <w:spacing w:val="-9"/>
        </w:rPr>
        <w:t xml:space="preserve"> </w:t>
      </w:r>
      <w:r>
        <w:rPr>
          <w:color w:val="231F20"/>
        </w:rPr>
        <w:t>правової</w:t>
      </w:r>
      <w:r>
        <w:rPr>
          <w:color w:val="231F20"/>
          <w:spacing w:val="-9"/>
        </w:rPr>
        <w:t xml:space="preserve"> </w:t>
      </w:r>
      <w:r>
        <w:rPr>
          <w:color w:val="231F20"/>
        </w:rPr>
        <w:t>практики</w:t>
      </w:r>
      <w:r>
        <w:rPr>
          <w:color w:val="231F20"/>
          <w:spacing w:val="-9"/>
        </w:rPr>
        <w:t xml:space="preserve"> </w:t>
      </w:r>
      <w:r>
        <w:rPr>
          <w:color w:val="231F20"/>
        </w:rPr>
        <w:t>до</w:t>
      </w:r>
      <w:r>
        <w:rPr>
          <w:color w:val="231F20"/>
          <w:spacing w:val="-9"/>
        </w:rPr>
        <w:t xml:space="preserve"> </w:t>
      </w:r>
      <w:r>
        <w:rPr>
          <w:color w:val="231F20"/>
        </w:rPr>
        <w:t>інституцій</w:t>
      </w:r>
      <w:r>
        <w:rPr>
          <w:color w:val="231F20"/>
          <w:spacing w:val="-9"/>
        </w:rPr>
        <w:t xml:space="preserve"> </w:t>
      </w:r>
      <w:r>
        <w:rPr>
          <w:color w:val="231F20"/>
        </w:rPr>
        <w:t>ЄС, призводить до уточнення, доповнення та зміни завдань адміністра- тивного</w:t>
      </w:r>
      <w:r>
        <w:rPr>
          <w:color w:val="231F20"/>
          <w:spacing w:val="-2"/>
        </w:rPr>
        <w:t xml:space="preserve"> </w:t>
      </w:r>
      <w:r>
        <w:rPr>
          <w:color w:val="231F20"/>
        </w:rPr>
        <w:t>права.</w:t>
      </w:r>
    </w:p>
    <w:p w14:paraId="637B251D" w14:textId="77777777" w:rsidR="00DE575E" w:rsidRDefault="00DE575E">
      <w:pPr>
        <w:pStyle w:val="BodyText"/>
        <w:spacing w:before="2"/>
        <w:rPr>
          <w:sz w:val="22"/>
        </w:rPr>
      </w:pPr>
    </w:p>
    <w:p w14:paraId="064BB177" w14:textId="77777777" w:rsidR="00DE575E" w:rsidRDefault="002E7560">
      <w:pPr>
        <w:pStyle w:val="Heading5"/>
        <w:numPr>
          <w:ilvl w:val="2"/>
          <w:numId w:val="319"/>
        </w:numPr>
        <w:tabs>
          <w:tab w:val="left" w:pos="1383"/>
        </w:tabs>
        <w:ind w:left="817" w:firstLine="0"/>
      </w:pPr>
      <w:r>
        <w:rPr>
          <w:color w:val="231F20"/>
        </w:rPr>
        <w:t>Предмет адміністративного</w:t>
      </w:r>
      <w:r>
        <w:rPr>
          <w:color w:val="231F20"/>
          <w:spacing w:val="-4"/>
        </w:rPr>
        <w:t xml:space="preserve"> </w:t>
      </w:r>
      <w:r>
        <w:rPr>
          <w:color w:val="231F20"/>
        </w:rPr>
        <w:t>права</w:t>
      </w:r>
    </w:p>
    <w:p w14:paraId="20E3D33C" w14:textId="77777777" w:rsidR="00DE575E" w:rsidRDefault="00DE575E">
      <w:pPr>
        <w:pStyle w:val="BodyText"/>
        <w:spacing w:before="2"/>
        <w:rPr>
          <w:b/>
          <w:sz w:val="23"/>
        </w:rPr>
      </w:pPr>
    </w:p>
    <w:p w14:paraId="5F2B76B1" w14:textId="77777777" w:rsidR="00DE575E" w:rsidRDefault="002E7560">
      <w:pPr>
        <w:pStyle w:val="BodyText"/>
        <w:spacing w:line="252" w:lineRule="auto"/>
        <w:ind w:left="533" w:right="127" w:firstLine="283"/>
        <w:jc w:val="both"/>
      </w:pPr>
      <w:r>
        <w:rPr>
          <w:color w:val="231F20"/>
        </w:rPr>
        <w:t>Правові відносини виникають виключно між людьми як різно- вид найбільш важливих суспільних відносини. Ці відносини можуть бути як публічни</w:t>
      </w:r>
      <w:r>
        <w:rPr>
          <w:color w:val="231F20"/>
        </w:rPr>
        <w:t>ми, так і приватно-правовими.</w:t>
      </w:r>
    </w:p>
    <w:p w14:paraId="21755299" w14:textId="4C17BD32" w:rsidR="00DE575E" w:rsidRDefault="002E7560">
      <w:pPr>
        <w:pStyle w:val="BodyText"/>
        <w:spacing w:before="5"/>
        <w:rPr>
          <w:sz w:val="17"/>
        </w:rPr>
      </w:pPr>
      <w:r>
        <w:rPr>
          <w:noProof/>
        </w:rPr>
        <mc:AlternateContent>
          <mc:Choice Requires="wps">
            <w:drawing>
              <wp:anchor distT="0" distB="0" distL="0" distR="0" simplePos="0" relativeHeight="1792" behindDoc="0" locked="0" layoutInCell="1" allowOverlap="1" wp14:anchorId="2027266B" wp14:editId="6BD7AD14">
                <wp:simplePos x="0" y="0"/>
                <wp:positionH relativeFrom="page">
                  <wp:posOffset>719455</wp:posOffset>
                </wp:positionH>
                <wp:positionV relativeFrom="paragraph">
                  <wp:posOffset>158115</wp:posOffset>
                </wp:positionV>
                <wp:extent cx="1080135" cy="0"/>
                <wp:effectExtent l="8255" t="18415" r="29210" b="19685"/>
                <wp:wrapTopAndBottom/>
                <wp:docPr id="1356"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15FB3" id="Line_x0020_1355"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45pt" to="141.7pt,1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" strokecolor="#231f20" strokeweight=".5pt">
                <w10:wrap type="topAndBottom" anchorx="page"/>
              </v:line>
            </w:pict>
          </mc:Fallback>
        </mc:AlternateContent>
      </w:r>
    </w:p>
    <w:p w14:paraId="2CEE7972" w14:textId="77777777" w:rsidR="00DE575E" w:rsidRDefault="002E7560">
      <w:pPr>
        <w:spacing w:line="162" w:lineRule="exact"/>
        <w:ind w:left="533"/>
        <w:rPr>
          <w:sz w:val="16"/>
        </w:rPr>
      </w:pPr>
      <w:r>
        <w:rPr>
          <w:color w:val="231F20"/>
          <w:position w:val="5"/>
          <w:sz w:val="9"/>
        </w:rPr>
        <w:t xml:space="preserve">1 </w:t>
      </w:r>
      <w:r>
        <w:rPr>
          <w:color w:val="231F20"/>
          <w:sz w:val="16"/>
        </w:rPr>
        <w:t>Про стратегічну екологічну оцінку. Закон від 20.03.2018. № 2354-VII.</w:t>
      </w:r>
    </w:p>
    <w:p w14:paraId="53B5D74A" w14:textId="77777777" w:rsidR="00DE575E" w:rsidRDefault="002E7560">
      <w:pPr>
        <w:ind w:left="533"/>
        <w:rPr>
          <w:sz w:val="16"/>
        </w:rPr>
      </w:pPr>
      <w:r>
        <w:rPr>
          <w:color w:val="231F20"/>
          <w:position w:val="5"/>
          <w:sz w:val="9"/>
        </w:rPr>
        <w:t xml:space="preserve">2 </w:t>
      </w:r>
      <w:r>
        <w:rPr>
          <w:color w:val="231F20"/>
          <w:sz w:val="16"/>
        </w:rPr>
        <w:t>Мельник Р. Зазнач. праця.</w:t>
      </w:r>
    </w:p>
    <w:p w14:paraId="021119AA" w14:textId="77777777" w:rsidR="00DE575E" w:rsidRDefault="00DE575E">
      <w:pPr>
        <w:pStyle w:val="BodyText"/>
        <w:spacing w:before="11"/>
        <w:rPr>
          <w:sz w:val="11"/>
        </w:rPr>
      </w:pPr>
    </w:p>
    <w:p w14:paraId="651231D3" w14:textId="77777777" w:rsidR="00DE575E" w:rsidRDefault="002E7560">
      <w:pPr>
        <w:spacing w:before="92"/>
        <w:ind w:left="533"/>
        <w:rPr>
          <w:rFonts w:ascii="Times New Roman"/>
          <w:sz w:val="20"/>
        </w:rPr>
      </w:pPr>
      <w:r>
        <w:rPr>
          <w:rFonts w:ascii="Times New Roman"/>
          <w:color w:val="231F20"/>
          <w:sz w:val="20"/>
        </w:rPr>
        <w:t>26</w:t>
      </w:r>
    </w:p>
    <w:p w14:paraId="060E45CC" w14:textId="77777777" w:rsidR="00DE575E" w:rsidRDefault="00DE575E">
      <w:pPr>
        <w:rPr>
          <w:rFonts w:ascii="Times New Roman"/>
          <w:sz w:val="20"/>
        </w:rPr>
        <w:sectPr w:rsidR="00DE575E">
          <w:pgSz w:w="8510" w:h="12760"/>
          <w:pgMar w:top="660" w:right="720" w:bottom="280" w:left="600" w:header="720" w:footer="720" w:gutter="0"/>
          <w:cols w:space="720"/>
        </w:sectPr>
      </w:pPr>
    </w:p>
    <w:p w14:paraId="6C985AEE"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2BE542AA" w14:textId="244D69E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8F99151" wp14:editId="3C1FA017">
                <wp:extent cx="4140200" cy="6350"/>
                <wp:effectExtent l="0" t="0" r="12700" b="6350"/>
                <wp:docPr id="1354"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55" name="Line 135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63B34" id="Group_x0020_135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rDh3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0Kw4d/AgAAnAUAAA4A&#10;AAAAAAAAAAAAAAAALAIAAGRycy9lMm9Eb2MueG1sUEsBAi0AFAAGAAgAAAAhAEynsJDZAAAAAwEA&#10;AA8AAAAAAAAAAAAAAAAA1wQAAGRycy9kb3ducmV2LnhtbFBLBQYAAAAABAAEAPMAAADdBQAAAAA=&#10;">
                <v:line id="Line_x0020_135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jfsUAAADdAAAADwAAAGRycy9kb3ducmV2LnhtbERP22rCQBB9F/oPyxT6IrppgyLRVUqh&#10;UPrgLX7AmB2T0N3ZmF1N2q/vCoJvczjXWax6a8SVWl87VvA6TkAQF07XXCo45J+jGQgfkDUax6Tg&#10;lzyslk+DBWbadbyj6z6UIoawz1BBFUKTSemLiiz6sWuII3dyrcUQYVtK3WIXw62Rb0kylRZrjg0V&#10;NvRRUfGzv1gF+XkYzHbzbbp8c0zl8bxO/y5rpV6e+/c5iEB9eIjv7i8d56eTCdy+iSf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ejfsUAAADdAAAADwAAAAAAAAAA&#10;AAAAAAChAgAAZHJzL2Rvd25yZXYueG1sUEsFBgAAAAAEAAQA+QAAAJMDAAAAAA==&#10;" strokecolor="#231f20" strokeweight=".5pt"/>
                <w10:anchorlock/>
              </v:group>
            </w:pict>
          </mc:Fallback>
        </mc:AlternateContent>
      </w:r>
    </w:p>
    <w:p w14:paraId="153B444F" w14:textId="77777777" w:rsidR="00DE575E" w:rsidRDefault="00DE575E">
      <w:pPr>
        <w:pStyle w:val="BodyText"/>
        <w:spacing w:before="7"/>
        <w:rPr>
          <w:rFonts w:ascii="AdonisC"/>
          <w:i/>
          <w:sz w:val="19"/>
        </w:rPr>
      </w:pPr>
    </w:p>
    <w:p w14:paraId="1DB8484B" w14:textId="77777777" w:rsidR="00DE575E" w:rsidRDefault="002E7560">
      <w:pPr>
        <w:pStyle w:val="BodyText"/>
        <w:spacing w:before="1" w:line="252" w:lineRule="auto"/>
        <w:ind w:left="250" w:right="411" w:firstLine="283"/>
        <w:jc w:val="both"/>
      </w:pPr>
      <w:r>
        <w:rPr>
          <w:color w:val="231F20"/>
        </w:rPr>
        <w:t>Основною   приватно-правових   відносин    є    цивільне    право, а публічно-правових – адміністративне право. Предмет правового регулювання визначає: що регулюється</w:t>
      </w:r>
      <w:r>
        <w:rPr>
          <w:color w:val="231F20"/>
          <w:spacing w:val="-6"/>
        </w:rPr>
        <w:t xml:space="preserve"> </w:t>
      </w:r>
      <w:r>
        <w:rPr>
          <w:color w:val="231F20"/>
        </w:rPr>
        <w:t>правом?</w:t>
      </w:r>
    </w:p>
    <w:p w14:paraId="41BA2490" w14:textId="77777777" w:rsidR="00DE575E" w:rsidRDefault="002E7560">
      <w:pPr>
        <w:pStyle w:val="BodyText"/>
        <w:spacing w:before="1" w:line="252" w:lineRule="auto"/>
        <w:ind w:left="250" w:right="411" w:firstLine="283"/>
        <w:jc w:val="both"/>
      </w:pPr>
      <w:r>
        <w:rPr>
          <w:color w:val="231F20"/>
        </w:rPr>
        <w:t>На зорі становле</w:t>
      </w:r>
      <w:r>
        <w:rPr>
          <w:color w:val="231F20"/>
        </w:rPr>
        <w:t xml:space="preserve">ння адміністративного права </w:t>
      </w:r>
      <w:r>
        <w:rPr>
          <w:color w:val="231F20"/>
          <w:spacing w:val="-3"/>
        </w:rPr>
        <w:t xml:space="preserve">України </w:t>
      </w:r>
      <w:r>
        <w:rPr>
          <w:color w:val="231F20"/>
        </w:rPr>
        <w:t>А. Єлістра- тов визначав, що предметом адміністративного права є відносини між правлячою владою й особами. Вчення про публічно-правові відносини і способи захисту публічного права складають предмет науки адміністративног</w:t>
      </w:r>
      <w:r>
        <w:rPr>
          <w:color w:val="231F20"/>
        </w:rPr>
        <w:t>о права</w:t>
      </w:r>
      <w:r>
        <w:rPr>
          <w:color w:val="231F20"/>
          <w:position w:val="7"/>
          <w:sz w:val="12"/>
        </w:rPr>
        <w:t>1</w:t>
      </w:r>
      <w:r>
        <w:rPr>
          <w:color w:val="231F20"/>
        </w:rPr>
        <w:t>.</w:t>
      </w:r>
    </w:p>
    <w:p w14:paraId="1D196E73" w14:textId="77777777" w:rsidR="00DE575E" w:rsidRDefault="002E7560">
      <w:pPr>
        <w:pStyle w:val="BodyText"/>
        <w:spacing w:before="3" w:line="252" w:lineRule="auto"/>
        <w:ind w:left="250" w:right="411" w:firstLine="283"/>
        <w:jc w:val="both"/>
      </w:pPr>
      <w:r>
        <w:rPr>
          <w:color w:val="231F20"/>
        </w:rPr>
        <w:t>Незважаючи на значні зміни в нашому соціальному житті за останні сто років, зазначене вище розуміння предмета адміністра- тивного права не втратило своєї актуальності, хоча й розширилося за змістом.</w:t>
      </w:r>
    </w:p>
    <w:p w14:paraId="73AEE5DA" w14:textId="77777777" w:rsidR="00DE575E" w:rsidRDefault="002E7560">
      <w:pPr>
        <w:pStyle w:val="Heading5"/>
        <w:spacing w:before="2" w:line="252" w:lineRule="auto"/>
        <w:ind w:left="250" w:right="411" w:firstLine="283"/>
        <w:jc w:val="both"/>
      </w:pPr>
      <w:r>
        <w:rPr>
          <w:color w:val="231F20"/>
        </w:rPr>
        <w:t>Предметний обсяг адміністративного права Україн</w:t>
      </w:r>
      <w:r>
        <w:rPr>
          <w:color w:val="231F20"/>
        </w:rPr>
        <w:t>и окрес- люється такими його складовими:</w:t>
      </w:r>
    </w:p>
    <w:p w14:paraId="17B4BF41" w14:textId="77777777" w:rsidR="00DE575E" w:rsidRDefault="002E7560">
      <w:pPr>
        <w:pStyle w:val="ListParagraph"/>
        <w:numPr>
          <w:ilvl w:val="0"/>
          <w:numId w:val="312"/>
        </w:numPr>
        <w:tabs>
          <w:tab w:val="left" w:pos="818"/>
        </w:tabs>
        <w:spacing w:line="252" w:lineRule="auto"/>
        <w:ind w:right="410" w:firstLine="283"/>
        <w:jc w:val="both"/>
        <w:rPr>
          <w:sz w:val="21"/>
        </w:rPr>
      </w:pPr>
      <w:r>
        <w:rPr>
          <w:color w:val="231F20"/>
          <w:sz w:val="21"/>
        </w:rPr>
        <w:t>відносинами,</w:t>
      </w:r>
      <w:r>
        <w:rPr>
          <w:color w:val="231F20"/>
          <w:spacing w:val="-14"/>
          <w:sz w:val="21"/>
        </w:rPr>
        <w:t xml:space="preserve"> </w:t>
      </w:r>
      <w:r>
        <w:rPr>
          <w:color w:val="231F20"/>
          <w:sz w:val="21"/>
        </w:rPr>
        <w:t>що</w:t>
      </w:r>
      <w:r>
        <w:rPr>
          <w:color w:val="231F20"/>
          <w:spacing w:val="-14"/>
          <w:sz w:val="21"/>
        </w:rPr>
        <w:t xml:space="preserve"> </w:t>
      </w:r>
      <w:r>
        <w:rPr>
          <w:color w:val="231F20"/>
          <w:sz w:val="21"/>
        </w:rPr>
        <w:t>виникають</w:t>
      </w:r>
      <w:r>
        <w:rPr>
          <w:color w:val="231F20"/>
          <w:spacing w:val="-14"/>
          <w:sz w:val="21"/>
        </w:rPr>
        <w:t xml:space="preserve"> </w:t>
      </w:r>
      <w:r>
        <w:rPr>
          <w:color w:val="231F20"/>
          <w:sz w:val="21"/>
        </w:rPr>
        <w:t>у</w:t>
      </w:r>
      <w:r>
        <w:rPr>
          <w:color w:val="231F20"/>
          <w:spacing w:val="-14"/>
          <w:sz w:val="21"/>
        </w:rPr>
        <w:t xml:space="preserve"> </w:t>
      </w:r>
      <w:r>
        <w:rPr>
          <w:color w:val="231F20"/>
          <w:sz w:val="21"/>
        </w:rPr>
        <w:t>зв’язку</w:t>
      </w:r>
      <w:r>
        <w:rPr>
          <w:color w:val="231F20"/>
          <w:spacing w:val="-14"/>
          <w:sz w:val="21"/>
        </w:rPr>
        <w:t xml:space="preserve"> </w:t>
      </w:r>
      <w:r>
        <w:rPr>
          <w:color w:val="231F20"/>
          <w:sz w:val="21"/>
        </w:rPr>
        <w:t>із</w:t>
      </w:r>
      <w:r>
        <w:rPr>
          <w:color w:val="231F20"/>
          <w:spacing w:val="-14"/>
          <w:sz w:val="21"/>
        </w:rPr>
        <w:t xml:space="preserve"> </w:t>
      </w:r>
      <w:r>
        <w:rPr>
          <w:color w:val="231F20"/>
          <w:sz w:val="21"/>
        </w:rPr>
        <w:t>забезпеченням</w:t>
      </w:r>
      <w:r>
        <w:rPr>
          <w:color w:val="231F20"/>
          <w:spacing w:val="-14"/>
          <w:sz w:val="21"/>
        </w:rPr>
        <w:t xml:space="preserve"> </w:t>
      </w:r>
      <w:r>
        <w:rPr>
          <w:color w:val="231F20"/>
          <w:sz w:val="21"/>
        </w:rPr>
        <w:t>публіч- ною адміністрацією прав і свобод та законних інтересів приватних осіб у процесі надання адміністративних</w:t>
      </w:r>
      <w:r>
        <w:rPr>
          <w:color w:val="231F20"/>
          <w:spacing w:val="-4"/>
          <w:sz w:val="21"/>
        </w:rPr>
        <w:t xml:space="preserve"> </w:t>
      </w:r>
      <w:r>
        <w:rPr>
          <w:color w:val="231F20"/>
          <w:sz w:val="21"/>
        </w:rPr>
        <w:t>послуг;</w:t>
      </w:r>
    </w:p>
    <w:p w14:paraId="0C19D930" w14:textId="77777777" w:rsidR="00DE575E" w:rsidRDefault="002E7560">
      <w:pPr>
        <w:pStyle w:val="ListParagraph"/>
        <w:numPr>
          <w:ilvl w:val="0"/>
          <w:numId w:val="312"/>
        </w:numPr>
        <w:tabs>
          <w:tab w:val="left" w:pos="818"/>
        </w:tabs>
        <w:spacing w:line="252" w:lineRule="auto"/>
        <w:ind w:right="411" w:firstLine="283"/>
        <w:jc w:val="both"/>
        <w:rPr>
          <w:sz w:val="21"/>
        </w:rPr>
      </w:pPr>
      <w:r>
        <w:rPr>
          <w:color w:val="231F20"/>
          <w:sz w:val="21"/>
        </w:rPr>
        <w:t>адміністративною діяльністю публічної адм</w:t>
      </w:r>
      <w:r>
        <w:rPr>
          <w:color w:val="231F20"/>
          <w:sz w:val="21"/>
        </w:rPr>
        <w:t>іністрації щодо здійснення виконавчо-розпорядчої (публічної управлінської) діяль- ності:</w:t>
      </w:r>
    </w:p>
    <w:p w14:paraId="56ADBF3B" w14:textId="77777777" w:rsidR="00DE575E" w:rsidRDefault="002E7560">
      <w:pPr>
        <w:pStyle w:val="ListParagraph"/>
        <w:numPr>
          <w:ilvl w:val="1"/>
          <w:numId w:val="312"/>
        </w:numPr>
        <w:tabs>
          <w:tab w:val="left" w:pos="1271"/>
        </w:tabs>
        <w:spacing w:before="2" w:line="252" w:lineRule="auto"/>
        <w:ind w:right="411" w:hanging="453"/>
        <w:jc w:val="both"/>
        <w:rPr>
          <w:i/>
          <w:sz w:val="21"/>
        </w:rPr>
      </w:pPr>
      <w:r>
        <w:rPr>
          <w:i/>
          <w:color w:val="231F20"/>
          <w:sz w:val="21"/>
        </w:rPr>
        <w:t>у процесі виконавчої діяльності публічна адміністрація забезпечує публічне виконання законів на території всієї держави;</w:t>
      </w:r>
    </w:p>
    <w:p w14:paraId="628E2E7F" w14:textId="77777777" w:rsidR="00DE575E" w:rsidRDefault="002E7560">
      <w:pPr>
        <w:pStyle w:val="ListParagraph"/>
        <w:numPr>
          <w:ilvl w:val="1"/>
          <w:numId w:val="312"/>
        </w:numPr>
        <w:tabs>
          <w:tab w:val="left" w:pos="1271"/>
        </w:tabs>
        <w:spacing w:line="252" w:lineRule="auto"/>
        <w:ind w:right="411" w:hanging="453"/>
        <w:jc w:val="both"/>
        <w:rPr>
          <w:i/>
          <w:sz w:val="21"/>
        </w:rPr>
      </w:pPr>
      <w:r>
        <w:rPr>
          <w:i/>
          <w:color w:val="231F20"/>
          <w:sz w:val="21"/>
        </w:rPr>
        <w:t xml:space="preserve">розпорядча діяльність полягає в ухваленні </w:t>
      </w:r>
      <w:r>
        <w:rPr>
          <w:i/>
          <w:color w:val="231F20"/>
          <w:spacing w:val="-3"/>
          <w:sz w:val="21"/>
        </w:rPr>
        <w:t xml:space="preserve">суб’єктами </w:t>
      </w:r>
      <w:r>
        <w:rPr>
          <w:i/>
          <w:color w:val="231F20"/>
          <w:sz w:val="21"/>
        </w:rPr>
        <w:t>публічної адміністрації підзаконних нормативно-право- вих актів на основі та з виконання</w:t>
      </w:r>
      <w:r>
        <w:rPr>
          <w:i/>
          <w:color w:val="231F20"/>
          <w:spacing w:val="-8"/>
          <w:sz w:val="21"/>
        </w:rPr>
        <w:t xml:space="preserve"> </w:t>
      </w:r>
      <w:r>
        <w:rPr>
          <w:i/>
          <w:color w:val="231F20"/>
          <w:sz w:val="21"/>
        </w:rPr>
        <w:t>законів.</w:t>
      </w:r>
    </w:p>
    <w:p w14:paraId="039AA5D7" w14:textId="77777777" w:rsidR="00DE575E" w:rsidRDefault="002E7560">
      <w:pPr>
        <w:pStyle w:val="Heading5"/>
        <w:spacing w:before="2" w:line="252" w:lineRule="auto"/>
        <w:ind w:left="250" w:right="411" w:firstLine="283"/>
        <w:jc w:val="both"/>
      </w:pPr>
      <w:r>
        <w:rPr>
          <w:color w:val="231F20"/>
        </w:rPr>
        <w:t>Отже,</w:t>
      </w:r>
      <w:r>
        <w:rPr>
          <w:color w:val="231F20"/>
          <w:spacing w:val="-21"/>
        </w:rPr>
        <w:t xml:space="preserve"> </w:t>
      </w:r>
      <w:r>
        <w:rPr>
          <w:color w:val="231F20"/>
        </w:rPr>
        <w:t>предметом</w:t>
      </w:r>
      <w:r>
        <w:rPr>
          <w:color w:val="231F20"/>
          <w:spacing w:val="-21"/>
        </w:rPr>
        <w:t xml:space="preserve"> </w:t>
      </w:r>
      <w:r>
        <w:rPr>
          <w:color w:val="231F20"/>
        </w:rPr>
        <w:t>адміністративного</w:t>
      </w:r>
      <w:r>
        <w:rPr>
          <w:color w:val="231F20"/>
          <w:spacing w:val="-21"/>
        </w:rPr>
        <w:t xml:space="preserve"> </w:t>
      </w:r>
      <w:r>
        <w:rPr>
          <w:color w:val="231F20"/>
        </w:rPr>
        <w:t>права</w:t>
      </w:r>
      <w:r>
        <w:rPr>
          <w:color w:val="231F20"/>
          <w:spacing w:val="-21"/>
        </w:rPr>
        <w:t xml:space="preserve"> </w:t>
      </w:r>
      <w:r>
        <w:rPr>
          <w:color w:val="231F20"/>
          <w:spacing w:val="-4"/>
        </w:rPr>
        <w:t>України</w:t>
      </w:r>
      <w:r>
        <w:rPr>
          <w:color w:val="231F20"/>
          <w:spacing w:val="-21"/>
        </w:rPr>
        <w:t xml:space="preserve"> </w:t>
      </w:r>
      <w:r>
        <w:rPr>
          <w:color w:val="231F20"/>
        </w:rPr>
        <w:t>є</w:t>
      </w:r>
      <w:r>
        <w:rPr>
          <w:color w:val="231F20"/>
          <w:spacing w:val="-20"/>
        </w:rPr>
        <w:t xml:space="preserve"> </w:t>
      </w:r>
      <w:r>
        <w:rPr>
          <w:color w:val="231F20"/>
        </w:rPr>
        <w:t xml:space="preserve">суспільні відносини, які виникають між </w:t>
      </w:r>
      <w:r>
        <w:rPr>
          <w:color w:val="231F20"/>
          <w:spacing w:val="-3"/>
        </w:rPr>
        <w:t xml:space="preserve">суб’єктами </w:t>
      </w:r>
      <w:r>
        <w:rPr>
          <w:color w:val="231F20"/>
        </w:rPr>
        <w:t>публічної адмініст- рації та приватними особами. За змістом предмет адміністра- тивного права складається з надання адміністративних послуг  і здійснення виконавчо-розпорядчої діяльності (публічного управління)</w:t>
      </w:r>
      <w:r>
        <w:rPr>
          <w:color w:val="231F20"/>
          <w:spacing w:val="-1"/>
        </w:rPr>
        <w:t xml:space="preserve"> </w:t>
      </w:r>
      <w:r>
        <w:rPr>
          <w:color w:val="231F20"/>
        </w:rPr>
        <w:t>адміністрацією.</w:t>
      </w:r>
    </w:p>
    <w:p w14:paraId="5ED8EB91" w14:textId="77777777" w:rsidR="00DE575E" w:rsidRDefault="00DE575E">
      <w:pPr>
        <w:pStyle w:val="BodyText"/>
        <w:spacing w:before="2"/>
        <w:rPr>
          <w:b/>
          <w:sz w:val="22"/>
        </w:rPr>
      </w:pPr>
    </w:p>
    <w:p w14:paraId="42D1F7F0" w14:textId="77777777" w:rsidR="00DE575E" w:rsidRDefault="002E7560">
      <w:pPr>
        <w:pStyle w:val="ListParagraph"/>
        <w:numPr>
          <w:ilvl w:val="2"/>
          <w:numId w:val="319"/>
        </w:numPr>
        <w:tabs>
          <w:tab w:val="left" w:pos="1099"/>
        </w:tabs>
        <w:ind w:left="1098"/>
        <w:rPr>
          <w:b/>
          <w:sz w:val="21"/>
        </w:rPr>
      </w:pPr>
      <w:r>
        <w:rPr>
          <w:b/>
          <w:color w:val="231F20"/>
          <w:sz w:val="21"/>
        </w:rPr>
        <w:t>Адміністративно-правові відн</w:t>
      </w:r>
      <w:r>
        <w:rPr>
          <w:b/>
          <w:color w:val="231F20"/>
          <w:sz w:val="21"/>
        </w:rPr>
        <w:t>осини</w:t>
      </w:r>
    </w:p>
    <w:p w14:paraId="0C217900" w14:textId="77777777" w:rsidR="00DE575E" w:rsidRDefault="00DE575E">
      <w:pPr>
        <w:pStyle w:val="BodyText"/>
        <w:spacing w:before="2"/>
        <w:rPr>
          <w:b/>
          <w:sz w:val="23"/>
        </w:rPr>
      </w:pPr>
    </w:p>
    <w:p w14:paraId="7B2B9B0F" w14:textId="77777777" w:rsidR="00DE575E" w:rsidRDefault="002E7560">
      <w:pPr>
        <w:pStyle w:val="BodyText"/>
        <w:spacing w:line="252" w:lineRule="auto"/>
        <w:ind w:left="250" w:right="411" w:firstLine="283"/>
        <w:jc w:val="both"/>
      </w:pPr>
      <w:r>
        <w:rPr>
          <w:color w:val="231F20"/>
        </w:rPr>
        <w:t>У</w:t>
      </w:r>
      <w:r>
        <w:rPr>
          <w:color w:val="231F20"/>
          <w:spacing w:val="-11"/>
        </w:rPr>
        <w:t xml:space="preserve"> </w:t>
      </w:r>
      <w:r>
        <w:rPr>
          <w:color w:val="231F20"/>
          <w:spacing w:val="-4"/>
        </w:rPr>
        <w:t>будь-якому</w:t>
      </w:r>
      <w:r>
        <w:rPr>
          <w:color w:val="231F20"/>
          <w:spacing w:val="-11"/>
        </w:rPr>
        <w:t xml:space="preserve"> </w:t>
      </w:r>
      <w:r>
        <w:rPr>
          <w:color w:val="231F20"/>
          <w:spacing w:val="-3"/>
        </w:rPr>
        <w:t>суспільстві</w:t>
      </w:r>
      <w:r>
        <w:rPr>
          <w:color w:val="231F20"/>
          <w:spacing w:val="-11"/>
        </w:rPr>
        <w:t xml:space="preserve"> </w:t>
      </w:r>
      <w:r>
        <w:rPr>
          <w:color w:val="231F20"/>
          <w:spacing w:val="-3"/>
        </w:rPr>
        <w:t>існують</w:t>
      </w:r>
      <w:r>
        <w:rPr>
          <w:color w:val="231F20"/>
          <w:spacing w:val="-11"/>
        </w:rPr>
        <w:t xml:space="preserve"> </w:t>
      </w:r>
      <w:r>
        <w:rPr>
          <w:color w:val="231F20"/>
          <w:spacing w:val="-3"/>
        </w:rPr>
        <w:t>різноманітні</w:t>
      </w:r>
      <w:r>
        <w:rPr>
          <w:color w:val="231F20"/>
          <w:spacing w:val="-11"/>
        </w:rPr>
        <w:t xml:space="preserve"> </w:t>
      </w:r>
      <w:r>
        <w:rPr>
          <w:color w:val="231F20"/>
          <w:spacing w:val="-3"/>
        </w:rPr>
        <w:t>відносини</w:t>
      </w:r>
      <w:r>
        <w:rPr>
          <w:color w:val="231F20"/>
          <w:spacing w:val="-11"/>
        </w:rPr>
        <w:t xml:space="preserve"> </w:t>
      </w:r>
      <w:r>
        <w:rPr>
          <w:color w:val="231F20"/>
        </w:rPr>
        <w:t>між</w:t>
      </w:r>
      <w:r>
        <w:rPr>
          <w:color w:val="231F20"/>
          <w:spacing w:val="-11"/>
        </w:rPr>
        <w:t xml:space="preserve"> </w:t>
      </w:r>
      <w:r>
        <w:rPr>
          <w:color w:val="231F20"/>
          <w:spacing w:val="-3"/>
        </w:rPr>
        <w:t xml:space="preserve">окре- мими </w:t>
      </w:r>
      <w:r>
        <w:rPr>
          <w:color w:val="231F20"/>
        </w:rPr>
        <w:t xml:space="preserve">особами та </w:t>
      </w:r>
      <w:r>
        <w:rPr>
          <w:color w:val="231F20"/>
          <w:spacing w:val="-3"/>
        </w:rPr>
        <w:t xml:space="preserve">різними </w:t>
      </w:r>
      <w:r>
        <w:rPr>
          <w:color w:val="231F20"/>
          <w:spacing w:val="-5"/>
        </w:rPr>
        <w:t xml:space="preserve">об’єднаннями </w:t>
      </w:r>
      <w:r>
        <w:rPr>
          <w:color w:val="231F20"/>
          <w:spacing w:val="-4"/>
        </w:rPr>
        <w:t xml:space="preserve">людей. </w:t>
      </w:r>
      <w:r>
        <w:rPr>
          <w:color w:val="231F20"/>
          <w:spacing w:val="-9"/>
        </w:rPr>
        <w:t xml:space="preserve">Усі </w:t>
      </w:r>
      <w:r>
        <w:rPr>
          <w:color w:val="231F20"/>
          <w:spacing w:val="-3"/>
        </w:rPr>
        <w:t xml:space="preserve">вони </w:t>
      </w:r>
      <w:r>
        <w:rPr>
          <w:color w:val="231F20"/>
        </w:rPr>
        <w:t>до</w:t>
      </w:r>
      <w:r>
        <w:rPr>
          <w:color w:val="231F20"/>
          <w:spacing w:val="-1"/>
        </w:rPr>
        <w:t xml:space="preserve"> </w:t>
      </w:r>
      <w:r>
        <w:rPr>
          <w:color w:val="231F20"/>
          <w:spacing w:val="-3"/>
        </w:rPr>
        <w:t>певної</w:t>
      </w:r>
    </w:p>
    <w:p w14:paraId="52E89924" w14:textId="44253790" w:rsidR="00DE575E" w:rsidRDefault="002E7560">
      <w:pPr>
        <w:pStyle w:val="BodyText"/>
        <w:spacing w:before="4"/>
        <w:rPr>
          <w:sz w:val="24"/>
        </w:rPr>
      </w:pPr>
      <w:r>
        <w:rPr>
          <w:noProof/>
        </w:rPr>
        <mc:AlternateContent>
          <mc:Choice Requires="wps">
            <w:drawing>
              <wp:anchor distT="0" distB="0" distL="0" distR="0" simplePos="0" relativeHeight="1840" behindDoc="0" locked="0" layoutInCell="1" allowOverlap="1" wp14:anchorId="31E15996" wp14:editId="4FDF49F6">
                <wp:simplePos x="0" y="0"/>
                <wp:positionH relativeFrom="page">
                  <wp:posOffset>539750</wp:posOffset>
                </wp:positionH>
                <wp:positionV relativeFrom="paragraph">
                  <wp:posOffset>208915</wp:posOffset>
                </wp:positionV>
                <wp:extent cx="1080135" cy="0"/>
                <wp:effectExtent l="6350" t="18415" r="31115" b="19685"/>
                <wp:wrapTopAndBottom/>
                <wp:docPr id="1353"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4EB03" id="Line_x0020_1352"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5pt" to="127.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" strokecolor="#231f20" strokeweight=".5pt">
                <w10:wrap type="topAndBottom" anchorx="page"/>
              </v:line>
            </w:pict>
          </mc:Fallback>
        </mc:AlternateContent>
      </w:r>
    </w:p>
    <w:p w14:paraId="4047DC4F" w14:textId="77777777" w:rsidR="00DE575E" w:rsidRDefault="002E7560">
      <w:pPr>
        <w:spacing w:line="162" w:lineRule="exact"/>
        <w:ind w:left="250"/>
        <w:rPr>
          <w:sz w:val="16"/>
        </w:rPr>
      </w:pPr>
      <w:r>
        <w:rPr>
          <w:color w:val="231F20"/>
          <w:position w:val="5"/>
          <w:sz w:val="9"/>
        </w:rPr>
        <w:t xml:space="preserve">1 </w:t>
      </w:r>
      <w:r>
        <w:rPr>
          <w:color w:val="231F20"/>
          <w:sz w:val="16"/>
        </w:rPr>
        <w:t xml:space="preserve">Єлістратов А. Адміністративне право: лекції. 1911. URL </w:t>
      </w:r>
      <w:hyperlink r:id="rId10">
        <w:r>
          <w:rPr>
            <w:color w:val="231F20"/>
            <w:sz w:val="16"/>
          </w:rPr>
          <w:t>http://sipl.com.ua/?p=5025</w:t>
        </w:r>
      </w:hyperlink>
    </w:p>
    <w:p w14:paraId="1FDBA190" w14:textId="77777777" w:rsidR="00DE575E" w:rsidRDefault="00DE575E">
      <w:pPr>
        <w:pStyle w:val="BodyText"/>
        <w:spacing w:before="10"/>
        <w:rPr>
          <w:sz w:val="11"/>
        </w:rPr>
      </w:pPr>
    </w:p>
    <w:p w14:paraId="47D1C324" w14:textId="77777777" w:rsidR="00DE575E" w:rsidRDefault="002E7560">
      <w:pPr>
        <w:spacing w:before="92"/>
        <w:ind w:right="411"/>
        <w:jc w:val="right"/>
        <w:rPr>
          <w:rFonts w:ascii="Times New Roman"/>
          <w:sz w:val="20"/>
        </w:rPr>
      </w:pPr>
      <w:r>
        <w:rPr>
          <w:rFonts w:ascii="Times New Roman"/>
          <w:color w:val="231F20"/>
          <w:w w:val="90"/>
          <w:sz w:val="20"/>
        </w:rPr>
        <w:t>27</w:t>
      </w:r>
    </w:p>
    <w:p w14:paraId="55380DE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27A17E1"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0F2FF17" w14:textId="69A196D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D369A32" wp14:editId="54A218E3">
                <wp:extent cx="4140200" cy="6350"/>
                <wp:effectExtent l="0" t="0" r="12700" b="6350"/>
                <wp:docPr id="1351"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52" name="Line 13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58E2B6" id="Group_x0020_13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47BO8gAIAAJwFAAAO&#10;AAAAAAAAAAAAAAAAACwCAABkcnMvZTJvRG9jLnhtbFBLAQItABQABgAIAAAAIQBMp7CQ2QAAAAMB&#10;AAAPAAAAAAAAAAAAAAAAANgEAABkcnMvZG93bnJldi54bWxQSwUGAAAAAAQABADzAAAA3gUAAAAA&#10;">
                <v:line id="Line_x0020_13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47CsUAAADdAAAADwAAAGRycy9kb3ducmV2LnhtbERPzWrCQBC+F/oOyxS8FN1oqEh0lSII&#10;4kGr8QHG7JiE7s7G7GrSPn23UOhtPr7fWax6a8SDWl87VjAeJSCIC6drLhWc881wBsIHZI3GMSn4&#10;Ig+r5fPTAjPtOj7S4xRKEUPYZ6igCqHJpPRFRRb9yDXEkbu61mKIsC2lbrGL4dbISZJMpcWaY0OF&#10;Da0rKj5Pd6sgv70G83HYmS4/XFJ5ue3T7/teqcFL/z4HEagP/+I/91bH+enbB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447CsUAAADdAAAADwAAAAAAAAAA&#10;AAAAAAChAgAAZHJzL2Rvd25yZXYueG1sUEsFBgAAAAAEAAQA+QAAAJMDAAAAAA==&#10;" strokecolor="#231f20" strokeweight=".5pt"/>
                <w10:anchorlock/>
              </v:group>
            </w:pict>
          </mc:Fallback>
        </mc:AlternateContent>
      </w:r>
    </w:p>
    <w:p w14:paraId="0530BB7F" w14:textId="77777777" w:rsidR="00DE575E" w:rsidRDefault="00DE575E">
      <w:pPr>
        <w:pStyle w:val="BodyText"/>
        <w:spacing w:before="7"/>
        <w:rPr>
          <w:rFonts w:ascii="AdonisC"/>
          <w:i/>
          <w:sz w:val="11"/>
        </w:rPr>
      </w:pPr>
    </w:p>
    <w:p w14:paraId="3995BC13" w14:textId="77777777" w:rsidR="00DE575E" w:rsidRDefault="002E7560">
      <w:pPr>
        <w:pStyle w:val="BodyText"/>
        <w:spacing w:before="101" w:line="252" w:lineRule="auto"/>
        <w:ind w:left="533" w:right="128"/>
        <w:jc w:val="both"/>
      </w:pPr>
      <w:r>
        <w:rPr>
          <w:color w:val="231F20"/>
          <w:spacing w:val="-3"/>
        </w:rPr>
        <w:t xml:space="preserve">міри упорядковані, організовані, значна </w:t>
      </w:r>
      <w:r>
        <w:rPr>
          <w:color w:val="231F20"/>
        </w:rPr>
        <w:t xml:space="preserve">частина з них </w:t>
      </w:r>
      <w:r>
        <w:rPr>
          <w:color w:val="231F20"/>
          <w:spacing w:val="-4"/>
        </w:rPr>
        <w:t xml:space="preserve">регулюється </w:t>
      </w:r>
      <w:r>
        <w:rPr>
          <w:color w:val="231F20"/>
          <w:spacing w:val="-3"/>
        </w:rPr>
        <w:t xml:space="preserve">нормами права. </w:t>
      </w:r>
      <w:r>
        <w:rPr>
          <w:color w:val="231F20"/>
          <w:spacing w:val="-5"/>
        </w:rPr>
        <w:t xml:space="preserve">Головне </w:t>
      </w:r>
      <w:r>
        <w:rPr>
          <w:color w:val="231F20"/>
          <w:spacing w:val="-3"/>
        </w:rPr>
        <w:t xml:space="preserve">призначення норм права </w:t>
      </w:r>
      <w:r>
        <w:rPr>
          <w:color w:val="231F20"/>
        </w:rPr>
        <w:t xml:space="preserve">– бути </w:t>
      </w:r>
      <w:r>
        <w:rPr>
          <w:color w:val="231F20"/>
          <w:spacing w:val="-4"/>
        </w:rPr>
        <w:t>регулятором суспільних</w:t>
      </w:r>
      <w:r>
        <w:rPr>
          <w:color w:val="231F20"/>
          <w:spacing w:val="-16"/>
        </w:rPr>
        <w:t xml:space="preserve"> </w:t>
      </w:r>
      <w:r>
        <w:rPr>
          <w:color w:val="231F20"/>
          <w:spacing w:val="-3"/>
        </w:rPr>
        <w:t>відносин.</w:t>
      </w:r>
      <w:r>
        <w:rPr>
          <w:color w:val="231F20"/>
          <w:spacing w:val="-16"/>
        </w:rPr>
        <w:t xml:space="preserve"> </w:t>
      </w:r>
      <w:r>
        <w:rPr>
          <w:color w:val="231F20"/>
          <w:spacing w:val="-4"/>
        </w:rPr>
        <w:t>Регулюючи</w:t>
      </w:r>
      <w:r>
        <w:rPr>
          <w:color w:val="231F20"/>
          <w:spacing w:val="-16"/>
        </w:rPr>
        <w:t xml:space="preserve"> </w:t>
      </w:r>
      <w:r>
        <w:rPr>
          <w:color w:val="231F20"/>
          <w:spacing w:val="-3"/>
        </w:rPr>
        <w:t>певні</w:t>
      </w:r>
      <w:r>
        <w:rPr>
          <w:color w:val="231F20"/>
          <w:spacing w:val="-16"/>
        </w:rPr>
        <w:t xml:space="preserve"> </w:t>
      </w:r>
      <w:r>
        <w:rPr>
          <w:color w:val="231F20"/>
          <w:spacing w:val="-3"/>
        </w:rPr>
        <w:t>відносини,</w:t>
      </w:r>
      <w:r>
        <w:rPr>
          <w:color w:val="231F20"/>
          <w:spacing w:val="-16"/>
        </w:rPr>
        <w:t xml:space="preserve"> </w:t>
      </w:r>
      <w:r>
        <w:rPr>
          <w:color w:val="231F20"/>
          <w:spacing w:val="-3"/>
        </w:rPr>
        <w:t>воно</w:t>
      </w:r>
      <w:r>
        <w:rPr>
          <w:color w:val="231F20"/>
          <w:spacing w:val="-16"/>
        </w:rPr>
        <w:t xml:space="preserve"> </w:t>
      </w:r>
      <w:r>
        <w:rPr>
          <w:color w:val="231F20"/>
          <w:spacing w:val="-3"/>
        </w:rPr>
        <w:t>надає</w:t>
      </w:r>
      <w:r>
        <w:rPr>
          <w:color w:val="231F20"/>
          <w:spacing w:val="-16"/>
        </w:rPr>
        <w:t xml:space="preserve"> </w:t>
      </w:r>
      <w:r>
        <w:rPr>
          <w:color w:val="231F20"/>
        </w:rPr>
        <w:t>їм</w:t>
      </w:r>
      <w:r>
        <w:rPr>
          <w:color w:val="231F20"/>
          <w:spacing w:val="-16"/>
        </w:rPr>
        <w:t xml:space="preserve"> </w:t>
      </w:r>
      <w:r>
        <w:rPr>
          <w:color w:val="231F20"/>
          <w:spacing w:val="-3"/>
        </w:rPr>
        <w:t xml:space="preserve">право- </w:t>
      </w:r>
      <w:r>
        <w:rPr>
          <w:color w:val="231F20"/>
        </w:rPr>
        <w:t xml:space="preserve">вого </w:t>
      </w:r>
      <w:r>
        <w:rPr>
          <w:color w:val="231F20"/>
          <w:spacing w:val="-5"/>
        </w:rPr>
        <w:t xml:space="preserve">характеру, </w:t>
      </w:r>
      <w:r>
        <w:rPr>
          <w:color w:val="231F20"/>
          <w:spacing w:val="-3"/>
        </w:rPr>
        <w:t xml:space="preserve">правової, юридичної форми. </w:t>
      </w:r>
      <w:r>
        <w:rPr>
          <w:color w:val="231F20"/>
        </w:rPr>
        <w:t xml:space="preserve">У </w:t>
      </w:r>
      <w:r>
        <w:rPr>
          <w:color w:val="231F20"/>
          <w:spacing w:val="-5"/>
        </w:rPr>
        <w:t xml:space="preserve">результаті </w:t>
      </w:r>
      <w:r>
        <w:rPr>
          <w:color w:val="231F20"/>
        </w:rPr>
        <w:t xml:space="preserve">цього </w:t>
      </w:r>
      <w:r>
        <w:rPr>
          <w:color w:val="231F20"/>
          <w:spacing w:val="-3"/>
        </w:rPr>
        <w:t xml:space="preserve">вони </w:t>
      </w:r>
      <w:r>
        <w:rPr>
          <w:color w:val="231F20"/>
        </w:rPr>
        <w:t xml:space="preserve">й </w:t>
      </w:r>
      <w:r>
        <w:rPr>
          <w:color w:val="231F20"/>
          <w:spacing w:val="-3"/>
        </w:rPr>
        <w:t xml:space="preserve">стають правовими. </w:t>
      </w:r>
      <w:r>
        <w:rPr>
          <w:color w:val="231F20"/>
          <w:spacing w:val="-6"/>
        </w:rPr>
        <w:t xml:space="preserve">Тобто </w:t>
      </w:r>
      <w:r>
        <w:rPr>
          <w:color w:val="231F20"/>
          <w:spacing w:val="-3"/>
        </w:rPr>
        <w:t xml:space="preserve">вони </w:t>
      </w:r>
      <w:r>
        <w:rPr>
          <w:color w:val="231F20"/>
        </w:rPr>
        <w:t xml:space="preserve">є </w:t>
      </w:r>
      <w:r>
        <w:rPr>
          <w:color w:val="231F20"/>
          <w:spacing w:val="-3"/>
        </w:rPr>
        <w:t xml:space="preserve">наслідком </w:t>
      </w:r>
      <w:r>
        <w:rPr>
          <w:color w:val="231F20"/>
        </w:rPr>
        <w:t xml:space="preserve">дії </w:t>
      </w:r>
      <w:r>
        <w:rPr>
          <w:color w:val="231F20"/>
          <w:spacing w:val="-3"/>
        </w:rPr>
        <w:t xml:space="preserve">права. </w:t>
      </w:r>
      <w:r>
        <w:rPr>
          <w:color w:val="231F20"/>
        </w:rPr>
        <w:t xml:space="preserve">Але </w:t>
      </w:r>
      <w:r>
        <w:rPr>
          <w:color w:val="231F20"/>
          <w:spacing w:val="-3"/>
        </w:rPr>
        <w:t xml:space="preserve">правові відносини з’являються </w:t>
      </w:r>
      <w:r>
        <w:rPr>
          <w:color w:val="231F20"/>
        </w:rPr>
        <w:t xml:space="preserve">не </w:t>
      </w:r>
      <w:r>
        <w:rPr>
          <w:color w:val="231F20"/>
          <w:spacing w:val="-3"/>
        </w:rPr>
        <w:t xml:space="preserve">лише </w:t>
      </w:r>
      <w:r>
        <w:rPr>
          <w:color w:val="231F20"/>
          <w:spacing w:val="-6"/>
        </w:rPr>
        <w:t xml:space="preserve">тому, </w:t>
      </w:r>
      <w:r>
        <w:rPr>
          <w:color w:val="231F20"/>
        </w:rPr>
        <w:t xml:space="preserve">що </w:t>
      </w:r>
      <w:r>
        <w:rPr>
          <w:color w:val="231F20"/>
          <w:spacing w:val="-3"/>
        </w:rPr>
        <w:t xml:space="preserve">діють правові норми, </w:t>
      </w:r>
      <w:r>
        <w:rPr>
          <w:color w:val="231F20"/>
        </w:rPr>
        <w:t xml:space="preserve">а й </w:t>
      </w:r>
      <w:r>
        <w:rPr>
          <w:color w:val="231F20"/>
          <w:spacing w:val="-6"/>
        </w:rPr>
        <w:t xml:space="preserve">тому, </w:t>
      </w:r>
      <w:r>
        <w:rPr>
          <w:color w:val="231F20"/>
        </w:rPr>
        <w:t xml:space="preserve">що </w:t>
      </w:r>
      <w:r>
        <w:rPr>
          <w:color w:val="231F20"/>
          <w:spacing w:val="-3"/>
        </w:rPr>
        <w:t xml:space="preserve">певні </w:t>
      </w:r>
      <w:r>
        <w:rPr>
          <w:color w:val="231F20"/>
          <w:spacing w:val="-4"/>
        </w:rPr>
        <w:t xml:space="preserve">суспільні </w:t>
      </w:r>
      <w:r>
        <w:rPr>
          <w:color w:val="231F20"/>
          <w:spacing w:val="-3"/>
        </w:rPr>
        <w:t xml:space="preserve">відносини </w:t>
      </w:r>
      <w:r>
        <w:rPr>
          <w:color w:val="231F20"/>
          <w:spacing w:val="-5"/>
        </w:rPr>
        <w:t xml:space="preserve">об’єктивно </w:t>
      </w:r>
      <w:r>
        <w:rPr>
          <w:color w:val="231F20"/>
          <w:spacing w:val="-4"/>
        </w:rPr>
        <w:t xml:space="preserve">потребують </w:t>
      </w:r>
      <w:r>
        <w:rPr>
          <w:color w:val="231F20"/>
          <w:spacing w:val="-3"/>
        </w:rPr>
        <w:t xml:space="preserve">правової </w:t>
      </w:r>
      <w:r>
        <w:rPr>
          <w:color w:val="231F20"/>
          <w:spacing w:val="-4"/>
        </w:rPr>
        <w:t>регламент</w:t>
      </w:r>
      <w:r>
        <w:rPr>
          <w:color w:val="231F20"/>
          <w:spacing w:val="-4"/>
        </w:rPr>
        <w:t xml:space="preserve">ації, </w:t>
      </w:r>
      <w:r>
        <w:rPr>
          <w:color w:val="231F20"/>
        </w:rPr>
        <w:t xml:space="preserve">не </w:t>
      </w:r>
      <w:r>
        <w:rPr>
          <w:color w:val="231F20"/>
          <w:spacing w:val="-3"/>
        </w:rPr>
        <w:t xml:space="preserve">можуть нормально розвиватися </w:t>
      </w:r>
      <w:r>
        <w:rPr>
          <w:color w:val="231F20"/>
        </w:rPr>
        <w:t>без</w:t>
      </w:r>
      <w:r>
        <w:rPr>
          <w:color w:val="231F20"/>
          <w:spacing w:val="-16"/>
        </w:rPr>
        <w:t xml:space="preserve"> </w:t>
      </w:r>
      <w:r>
        <w:rPr>
          <w:color w:val="231F20"/>
          <w:spacing w:val="-3"/>
        </w:rPr>
        <w:t>неї.</w:t>
      </w:r>
    </w:p>
    <w:p w14:paraId="405CE812" w14:textId="77777777" w:rsidR="00DE575E" w:rsidRDefault="002E7560">
      <w:pPr>
        <w:pStyle w:val="BodyText"/>
        <w:spacing w:before="4" w:line="252" w:lineRule="auto"/>
        <w:ind w:left="533" w:right="128" w:firstLine="283"/>
        <w:jc w:val="both"/>
      </w:pPr>
      <w:r>
        <w:rPr>
          <w:color w:val="231F20"/>
        </w:rPr>
        <w:t xml:space="preserve">Адміністративно-правові відносини відбивають вплив адмініст- ративних правових норм на поведінку </w:t>
      </w:r>
      <w:r>
        <w:rPr>
          <w:color w:val="231F20"/>
          <w:spacing w:val="-3"/>
        </w:rPr>
        <w:t xml:space="preserve">суб’єктів </w:t>
      </w:r>
      <w:r>
        <w:rPr>
          <w:color w:val="231F20"/>
        </w:rPr>
        <w:t xml:space="preserve">та </w:t>
      </w:r>
      <w:r>
        <w:rPr>
          <w:color w:val="231F20"/>
          <w:spacing w:val="-4"/>
        </w:rPr>
        <w:t xml:space="preserve">об’єктів </w:t>
      </w:r>
      <w:r>
        <w:rPr>
          <w:color w:val="231F20"/>
        </w:rPr>
        <w:t>публіч- ного</w:t>
      </w:r>
      <w:r>
        <w:rPr>
          <w:color w:val="231F20"/>
          <w:spacing w:val="-16"/>
        </w:rPr>
        <w:t xml:space="preserve"> </w:t>
      </w:r>
      <w:r>
        <w:rPr>
          <w:color w:val="231F20"/>
        </w:rPr>
        <w:t>управління,</w:t>
      </w:r>
      <w:r>
        <w:rPr>
          <w:color w:val="231F20"/>
          <w:spacing w:val="-16"/>
        </w:rPr>
        <w:t xml:space="preserve"> </w:t>
      </w:r>
      <w:r>
        <w:rPr>
          <w:color w:val="231F20"/>
        </w:rPr>
        <w:t>через</w:t>
      </w:r>
      <w:r>
        <w:rPr>
          <w:color w:val="231F20"/>
          <w:spacing w:val="-16"/>
        </w:rPr>
        <w:t xml:space="preserve"> </w:t>
      </w:r>
      <w:r>
        <w:rPr>
          <w:color w:val="231F20"/>
        </w:rPr>
        <w:t>що</w:t>
      </w:r>
      <w:r>
        <w:rPr>
          <w:color w:val="231F20"/>
          <w:spacing w:val="-16"/>
        </w:rPr>
        <w:t xml:space="preserve"> </w:t>
      </w:r>
      <w:r>
        <w:rPr>
          <w:color w:val="231F20"/>
        </w:rPr>
        <w:t>між</w:t>
      </w:r>
      <w:r>
        <w:rPr>
          <w:color w:val="231F20"/>
          <w:spacing w:val="-16"/>
        </w:rPr>
        <w:t xml:space="preserve"> </w:t>
      </w:r>
      <w:r>
        <w:rPr>
          <w:color w:val="231F20"/>
        </w:rPr>
        <w:t>ними</w:t>
      </w:r>
      <w:r>
        <w:rPr>
          <w:color w:val="231F20"/>
          <w:spacing w:val="-16"/>
        </w:rPr>
        <w:t xml:space="preserve"> </w:t>
      </w:r>
      <w:r>
        <w:rPr>
          <w:color w:val="231F20"/>
        </w:rPr>
        <w:t>виникають</w:t>
      </w:r>
      <w:r>
        <w:rPr>
          <w:color w:val="231F20"/>
          <w:spacing w:val="-16"/>
        </w:rPr>
        <w:t xml:space="preserve"> </w:t>
      </w:r>
      <w:r>
        <w:rPr>
          <w:color w:val="231F20"/>
        </w:rPr>
        <w:t>сталі</w:t>
      </w:r>
      <w:r>
        <w:rPr>
          <w:color w:val="231F20"/>
          <w:spacing w:val="-16"/>
        </w:rPr>
        <w:t xml:space="preserve"> </w:t>
      </w:r>
      <w:r>
        <w:rPr>
          <w:color w:val="231F20"/>
        </w:rPr>
        <w:t>правові</w:t>
      </w:r>
      <w:r>
        <w:rPr>
          <w:color w:val="231F20"/>
          <w:spacing w:val="-16"/>
        </w:rPr>
        <w:t xml:space="preserve"> </w:t>
      </w:r>
      <w:r>
        <w:rPr>
          <w:color w:val="231F20"/>
        </w:rPr>
        <w:t>зв’язки публічного влад</w:t>
      </w:r>
      <w:r>
        <w:rPr>
          <w:color w:val="231F20"/>
        </w:rPr>
        <w:t xml:space="preserve">ного </w:t>
      </w:r>
      <w:r>
        <w:rPr>
          <w:color w:val="231F20"/>
          <w:spacing w:val="-3"/>
        </w:rPr>
        <w:t>характеру.</w:t>
      </w:r>
    </w:p>
    <w:p w14:paraId="473FD9D9" w14:textId="77777777" w:rsidR="00DE575E" w:rsidRDefault="002E7560">
      <w:pPr>
        <w:pStyle w:val="BodyText"/>
        <w:spacing w:before="2" w:line="252" w:lineRule="auto"/>
        <w:ind w:left="533" w:right="128" w:firstLine="283"/>
        <w:jc w:val="both"/>
      </w:pPr>
      <w:r>
        <w:rPr>
          <w:color w:val="231F20"/>
          <w:spacing w:val="-3"/>
        </w:rPr>
        <w:t xml:space="preserve">Іншими словами, адміністративно-правова норма містить абстрак- </w:t>
      </w:r>
      <w:r>
        <w:rPr>
          <w:color w:val="231F20"/>
        </w:rPr>
        <w:t xml:space="preserve">тну </w:t>
      </w:r>
      <w:r>
        <w:rPr>
          <w:color w:val="231F20"/>
          <w:spacing w:val="-4"/>
        </w:rPr>
        <w:t xml:space="preserve">конструкцію </w:t>
      </w:r>
      <w:r>
        <w:rPr>
          <w:color w:val="231F20"/>
          <w:spacing w:val="-3"/>
        </w:rPr>
        <w:t xml:space="preserve">адміністративного правового відношення. </w:t>
      </w:r>
      <w:r>
        <w:rPr>
          <w:color w:val="231F20"/>
          <w:spacing w:val="-4"/>
        </w:rPr>
        <w:t xml:space="preserve">Сутність </w:t>
      </w:r>
      <w:r>
        <w:rPr>
          <w:color w:val="231F20"/>
          <w:spacing w:val="-3"/>
        </w:rPr>
        <w:t xml:space="preserve">такої </w:t>
      </w:r>
      <w:r>
        <w:rPr>
          <w:color w:val="231F20"/>
          <w:spacing w:val="-4"/>
        </w:rPr>
        <w:t xml:space="preserve">конструкції </w:t>
      </w:r>
      <w:r>
        <w:rPr>
          <w:color w:val="231F20"/>
          <w:spacing w:val="-3"/>
        </w:rPr>
        <w:t xml:space="preserve">полягає </w:t>
      </w:r>
      <w:r>
        <w:rPr>
          <w:color w:val="231F20"/>
        </w:rPr>
        <w:t xml:space="preserve">в </w:t>
      </w:r>
      <w:r>
        <w:rPr>
          <w:color w:val="231F20"/>
          <w:spacing w:val="-6"/>
        </w:rPr>
        <w:t xml:space="preserve">тому, </w:t>
      </w:r>
      <w:r>
        <w:rPr>
          <w:color w:val="231F20"/>
        </w:rPr>
        <w:t xml:space="preserve">що </w:t>
      </w:r>
      <w:r>
        <w:rPr>
          <w:color w:val="231F20"/>
          <w:spacing w:val="-3"/>
        </w:rPr>
        <w:t xml:space="preserve">така норма </w:t>
      </w:r>
      <w:r>
        <w:rPr>
          <w:color w:val="231F20"/>
        </w:rPr>
        <w:t xml:space="preserve">від </w:t>
      </w:r>
      <w:r>
        <w:rPr>
          <w:color w:val="231F20"/>
          <w:spacing w:val="-3"/>
        </w:rPr>
        <w:t xml:space="preserve">імені </w:t>
      </w:r>
      <w:r>
        <w:rPr>
          <w:color w:val="231F20"/>
          <w:spacing w:val="-4"/>
        </w:rPr>
        <w:t xml:space="preserve">держави </w:t>
      </w:r>
      <w:r>
        <w:rPr>
          <w:color w:val="231F20"/>
          <w:spacing w:val="-3"/>
        </w:rPr>
        <w:t xml:space="preserve">визначає належну поведінку кожного </w:t>
      </w:r>
      <w:r>
        <w:rPr>
          <w:color w:val="231F20"/>
        </w:rPr>
        <w:t xml:space="preserve">зі </w:t>
      </w:r>
      <w:r>
        <w:rPr>
          <w:color w:val="231F20"/>
          <w:spacing w:val="-3"/>
        </w:rPr>
        <w:t xml:space="preserve">своїх адресатів. Вона вста- новлює обов’язкові правила, </w:t>
      </w:r>
      <w:r>
        <w:rPr>
          <w:color w:val="231F20"/>
        </w:rPr>
        <w:t xml:space="preserve">за якими </w:t>
      </w:r>
      <w:r>
        <w:rPr>
          <w:color w:val="231F20"/>
          <w:spacing w:val="-3"/>
        </w:rPr>
        <w:t xml:space="preserve">відбувається «спілкування». Ці правила </w:t>
      </w:r>
      <w:r>
        <w:rPr>
          <w:color w:val="231F20"/>
          <w:spacing w:val="-4"/>
        </w:rPr>
        <w:t xml:space="preserve">формулюються </w:t>
      </w:r>
      <w:r>
        <w:rPr>
          <w:color w:val="231F20"/>
        </w:rPr>
        <w:t xml:space="preserve">у </w:t>
      </w:r>
      <w:r>
        <w:rPr>
          <w:color w:val="231F20"/>
          <w:spacing w:val="-3"/>
        </w:rPr>
        <w:t xml:space="preserve">формі взаємних </w:t>
      </w:r>
      <w:r>
        <w:rPr>
          <w:color w:val="231F20"/>
        </w:rPr>
        <w:t xml:space="preserve">прав і </w:t>
      </w:r>
      <w:r>
        <w:rPr>
          <w:color w:val="231F20"/>
          <w:spacing w:val="-3"/>
        </w:rPr>
        <w:t>обов’язків.</w:t>
      </w:r>
    </w:p>
    <w:p w14:paraId="77953577" w14:textId="77777777" w:rsidR="00DE575E" w:rsidRDefault="002E7560">
      <w:pPr>
        <w:pStyle w:val="Heading5"/>
        <w:spacing w:before="3" w:line="252" w:lineRule="auto"/>
        <w:ind w:right="128" w:firstLine="283"/>
        <w:jc w:val="both"/>
      </w:pPr>
      <w:r>
        <w:rPr>
          <w:color w:val="231F20"/>
        </w:rPr>
        <w:t>Отже, адміністративно-правові відносини у вузькому розу- мінні – це суспільні відносини, урегульовані н</w:t>
      </w:r>
      <w:r>
        <w:rPr>
          <w:color w:val="231F20"/>
        </w:rPr>
        <w:t>ормами адмініст- ративного права.</w:t>
      </w:r>
    </w:p>
    <w:p w14:paraId="32311C0E" w14:textId="77777777" w:rsidR="00DE575E" w:rsidRDefault="002E7560">
      <w:pPr>
        <w:pStyle w:val="BodyText"/>
        <w:spacing w:before="1" w:line="252" w:lineRule="auto"/>
        <w:ind w:left="533" w:right="126" w:firstLine="283"/>
        <w:jc w:val="both"/>
      </w:pPr>
      <w:r>
        <w:rPr>
          <w:color w:val="231F20"/>
        </w:rPr>
        <w:t xml:space="preserve">Що ж до </w:t>
      </w:r>
      <w:r>
        <w:rPr>
          <w:b/>
          <w:color w:val="231F20"/>
        </w:rPr>
        <w:t>широкого розуміння</w:t>
      </w:r>
      <w:r>
        <w:rPr>
          <w:color w:val="231F20"/>
        </w:rPr>
        <w:t xml:space="preserve">, то звернемося до класичного розкриття цієї категорії А. Єлістратовим, який уважав, що норми адміністративного права  </w:t>
      </w:r>
      <w:r>
        <w:rPr>
          <w:color w:val="231F20"/>
          <w:spacing w:val="-2"/>
        </w:rPr>
        <w:t>регулюють</w:t>
      </w:r>
      <w:r>
        <w:rPr>
          <w:color w:val="231F20"/>
          <w:spacing w:val="41"/>
        </w:rPr>
        <w:t xml:space="preserve"> </w:t>
      </w:r>
      <w:r>
        <w:rPr>
          <w:color w:val="231F20"/>
        </w:rPr>
        <w:t>публічно-правові  відно-  сини у сфері внутрішнього державного упра</w:t>
      </w:r>
      <w:r>
        <w:rPr>
          <w:color w:val="231F20"/>
        </w:rPr>
        <w:t>вління. Загальним для всіх видів адміністративно-правових відносин є те, що як мінімум однією</w:t>
      </w:r>
      <w:r>
        <w:rPr>
          <w:color w:val="231F20"/>
          <w:spacing w:val="-12"/>
        </w:rPr>
        <w:t xml:space="preserve"> </w:t>
      </w:r>
      <w:r>
        <w:rPr>
          <w:color w:val="231F20"/>
        </w:rPr>
        <w:t>зі</w:t>
      </w:r>
      <w:r>
        <w:rPr>
          <w:color w:val="231F20"/>
          <w:spacing w:val="-12"/>
        </w:rPr>
        <w:t xml:space="preserve"> </w:t>
      </w:r>
      <w:r>
        <w:rPr>
          <w:color w:val="231F20"/>
        </w:rPr>
        <w:t>сторін</w:t>
      </w:r>
      <w:r>
        <w:rPr>
          <w:color w:val="231F20"/>
          <w:spacing w:val="-12"/>
        </w:rPr>
        <w:t xml:space="preserve"> </w:t>
      </w:r>
      <w:r>
        <w:rPr>
          <w:color w:val="231F20"/>
        </w:rPr>
        <w:t>є</w:t>
      </w:r>
      <w:r>
        <w:rPr>
          <w:color w:val="231F20"/>
          <w:spacing w:val="-12"/>
        </w:rPr>
        <w:t xml:space="preserve"> </w:t>
      </w:r>
      <w:r>
        <w:rPr>
          <w:color w:val="231F20"/>
          <w:spacing w:val="-4"/>
        </w:rPr>
        <w:t>суб’єкт</w:t>
      </w:r>
      <w:r>
        <w:rPr>
          <w:color w:val="231F20"/>
          <w:spacing w:val="-12"/>
        </w:rPr>
        <w:t xml:space="preserve"> </w:t>
      </w:r>
      <w:r>
        <w:rPr>
          <w:color w:val="231F20"/>
        </w:rPr>
        <w:t>публічної</w:t>
      </w:r>
      <w:r>
        <w:rPr>
          <w:color w:val="231F20"/>
          <w:spacing w:val="-12"/>
        </w:rPr>
        <w:t xml:space="preserve"> </w:t>
      </w:r>
      <w:r>
        <w:rPr>
          <w:color w:val="231F20"/>
        </w:rPr>
        <w:t>адміністрації,</w:t>
      </w:r>
      <w:r>
        <w:rPr>
          <w:color w:val="231F20"/>
          <w:spacing w:val="-12"/>
        </w:rPr>
        <w:t xml:space="preserve"> </w:t>
      </w:r>
      <w:r>
        <w:rPr>
          <w:color w:val="231F20"/>
        </w:rPr>
        <w:t>наділений</w:t>
      </w:r>
      <w:r>
        <w:rPr>
          <w:color w:val="231F20"/>
          <w:spacing w:val="-12"/>
        </w:rPr>
        <w:t xml:space="preserve"> </w:t>
      </w:r>
      <w:r>
        <w:rPr>
          <w:color w:val="231F20"/>
        </w:rPr>
        <w:t xml:space="preserve">народом </w:t>
      </w:r>
      <w:r>
        <w:rPr>
          <w:color w:val="231F20"/>
          <w:spacing w:val="-3"/>
        </w:rPr>
        <w:t xml:space="preserve">України </w:t>
      </w:r>
      <w:r>
        <w:rPr>
          <w:color w:val="231F20"/>
        </w:rPr>
        <w:t>владною</w:t>
      </w:r>
      <w:r>
        <w:rPr>
          <w:color w:val="231F20"/>
        </w:rPr>
        <w:t xml:space="preserve"> </w:t>
      </w:r>
      <w:r>
        <w:rPr>
          <w:color w:val="231F20"/>
        </w:rPr>
        <w:t>компетенцією.</w:t>
      </w:r>
    </w:p>
    <w:p w14:paraId="210E0873" w14:textId="77777777" w:rsidR="00DE575E" w:rsidRDefault="002E7560">
      <w:pPr>
        <w:pStyle w:val="BodyText"/>
        <w:spacing w:before="3" w:line="252" w:lineRule="auto"/>
        <w:ind w:left="533" w:right="127" w:firstLine="283"/>
        <w:jc w:val="both"/>
      </w:pPr>
      <w:r>
        <w:rPr>
          <w:color w:val="231F20"/>
        </w:rPr>
        <w:t>Наступною провідною рисою адміністративно-правових відно- син є їх пр</w:t>
      </w:r>
      <w:r>
        <w:rPr>
          <w:color w:val="231F20"/>
        </w:rPr>
        <w:t xml:space="preserve">авова природа. </w:t>
      </w:r>
      <w:r>
        <w:rPr>
          <w:color w:val="231F20"/>
          <w:spacing w:val="-4"/>
        </w:rPr>
        <w:t xml:space="preserve">Так, </w:t>
      </w:r>
      <w:r>
        <w:rPr>
          <w:color w:val="231F20"/>
        </w:rPr>
        <w:t xml:space="preserve">із домаганнями агентів влади, які спираються не на закон, а на особистий </w:t>
      </w:r>
      <w:r>
        <w:rPr>
          <w:color w:val="231F20"/>
          <w:spacing w:val="-3"/>
        </w:rPr>
        <w:t xml:space="preserve">розсуд, </w:t>
      </w:r>
      <w:r>
        <w:rPr>
          <w:color w:val="231F20"/>
        </w:rPr>
        <w:t>ми не можемо раху- ватися</w:t>
      </w:r>
      <w:r>
        <w:rPr>
          <w:color w:val="231F20"/>
          <w:spacing w:val="-6"/>
        </w:rPr>
        <w:t xml:space="preserve"> </w:t>
      </w:r>
      <w:r>
        <w:rPr>
          <w:color w:val="231F20"/>
        </w:rPr>
        <w:t>в</w:t>
      </w:r>
      <w:r>
        <w:rPr>
          <w:color w:val="231F20"/>
          <w:spacing w:val="-6"/>
        </w:rPr>
        <w:t xml:space="preserve"> </w:t>
      </w:r>
      <w:r>
        <w:rPr>
          <w:color w:val="231F20"/>
        </w:rPr>
        <w:t>адміністративному</w:t>
      </w:r>
      <w:r>
        <w:rPr>
          <w:color w:val="231F20"/>
          <w:spacing w:val="-6"/>
        </w:rPr>
        <w:t xml:space="preserve"> </w:t>
      </w:r>
      <w:r>
        <w:rPr>
          <w:color w:val="231F20"/>
        </w:rPr>
        <w:t>праві.</w:t>
      </w:r>
      <w:r>
        <w:rPr>
          <w:color w:val="231F20"/>
          <w:spacing w:val="-6"/>
        </w:rPr>
        <w:t xml:space="preserve"> </w:t>
      </w:r>
      <w:r>
        <w:rPr>
          <w:color w:val="231F20"/>
        </w:rPr>
        <w:t>Іншими</w:t>
      </w:r>
      <w:r>
        <w:rPr>
          <w:color w:val="231F20"/>
          <w:spacing w:val="-6"/>
        </w:rPr>
        <w:t xml:space="preserve"> </w:t>
      </w:r>
      <w:r>
        <w:rPr>
          <w:color w:val="231F20"/>
        </w:rPr>
        <w:t>словами,</w:t>
      </w:r>
      <w:r>
        <w:rPr>
          <w:color w:val="231F20"/>
          <w:spacing w:val="-6"/>
        </w:rPr>
        <w:t xml:space="preserve"> </w:t>
      </w:r>
      <w:r>
        <w:rPr>
          <w:color w:val="231F20"/>
        </w:rPr>
        <w:t>суспільні</w:t>
      </w:r>
      <w:r>
        <w:rPr>
          <w:color w:val="231F20"/>
          <w:spacing w:val="-6"/>
        </w:rPr>
        <w:t xml:space="preserve"> </w:t>
      </w:r>
      <w:r>
        <w:rPr>
          <w:color w:val="231F20"/>
        </w:rPr>
        <w:t>відно- сини,</w:t>
      </w:r>
      <w:r>
        <w:rPr>
          <w:color w:val="231F20"/>
          <w:spacing w:val="-16"/>
        </w:rPr>
        <w:t xml:space="preserve"> </w:t>
      </w:r>
      <w:r>
        <w:rPr>
          <w:color w:val="231F20"/>
        </w:rPr>
        <w:t>які</w:t>
      </w:r>
      <w:r>
        <w:rPr>
          <w:color w:val="231F20"/>
          <w:spacing w:val="-16"/>
        </w:rPr>
        <w:t xml:space="preserve"> </w:t>
      </w:r>
      <w:r>
        <w:rPr>
          <w:color w:val="231F20"/>
        </w:rPr>
        <w:t>спираються</w:t>
      </w:r>
      <w:r>
        <w:rPr>
          <w:color w:val="231F20"/>
          <w:spacing w:val="-16"/>
        </w:rPr>
        <w:t xml:space="preserve"> </w:t>
      </w:r>
      <w:r>
        <w:rPr>
          <w:color w:val="231F20"/>
        </w:rPr>
        <w:t>не</w:t>
      </w:r>
      <w:r>
        <w:rPr>
          <w:color w:val="231F20"/>
          <w:spacing w:val="-16"/>
        </w:rPr>
        <w:t xml:space="preserve"> </w:t>
      </w:r>
      <w:r>
        <w:rPr>
          <w:color w:val="231F20"/>
        </w:rPr>
        <w:t>на</w:t>
      </w:r>
      <w:r>
        <w:rPr>
          <w:color w:val="231F20"/>
          <w:spacing w:val="-16"/>
        </w:rPr>
        <w:t xml:space="preserve"> </w:t>
      </w:r>
      <w:r>
        <w:rPr>
          <w:color w:val="231F20"/>
        </w:rPr>
        <w:t>право,</w:t>
      </w:r>
      <w:r>
        <w:rPr>
          <w:color w:val="231F20"/>
          <w:spacing w:val="-16"/>
        </w:rPr>
        <w:t xml:space="preserve"> </w:t>
      </w:r>
      <w:r>
        <w:rPr>
          <w:color w:val="231F20"/>
        </w:rPr>
        <w:t>а</w:t>
      </w:r>
      <w:r>
        <w:rPr>
          <w:color w:val="231F20"/>
          <w:spacing w:val="-16"/>
        </w:rPr>
        <w:t xml:space="preserve"> </w:t>
      </w:r>
      <w:r>
        <w:rPr>
          <w:color w:val="231F20"/>
        </w:rPr>
        <w:t>на</w:t>
      </w:r>
      <w:r>
        <w:rPr>
          <w:color w:val="231F20"/>
          <w:spacing w:val="-16"/>
        </w:rPr>
        <w:t xml:space="preserve"> </w:t>
      </w:r>
      <w:r>
        <w:rPr>
          <w:color w:val="231F20"/>
          <w:spacing w:val="-3"/>
        </w:rPr>
        <w:t>розсуд</w:t>
      </w:r>
      <w:r>
        <w:rPr>
          <w:color w:val="231F20"/>
          <w:spacing w:val="-16"/>
        </w:rPr>
        <w:t xml:space="preserve"> </w:t>
      </w:r>
      <w:r>
        <w:rPr>
          <w:color w:val="231F20"/>
          <w:spacing w:val="-3"/>
        </w:rPr>
        <w:t>суб’єктів</w:t>
      </w:r>
      <w:r>
        <w:rPr>
          <w:color w:val="231F20"/>
          <w:spacing w:val="-16"/>
        </w:rPr>
        <w:t xml:space="preserve"> </w:t>
      </w:r>
      <w:r>
        <w:rPr>
          <w:color w:val="231F20"/>
        </w:rPr>
        <w:t>публічної</w:t>
      </w:r>
      <w:r>
        <w:rPr>
          <w:color w:val="231F20"/>
          <w:spacing w:val="-16"/>
        </w:rPr>
        <w:t xml:space="preserve"> </w:t>
      </w:r>
      <w:r>
        <w:rPr>
          <w:color w:val="231F20"/>
        </w:rPr>
        <w:t xml:space="preserve">адмі- ністрації, не можуть уважатись адміністративно-правовими. Наука адміністративного права вивчає публічні правовідносини. Нам уже відомо, що змістом відносин між представником публічної влади та </w:t>
      </w:r>
      <w:r>
        <w:rPr>
          <w:color w:val="231F20"/>
          <w:spacing w:val="-3"/>
        </w:rPr>
        <w:t xml:space="preserve">об’єктами </w:t>
      </w:r>
      <w:r>
        <w:rPr>
          <w:color w:val="231F20"/>
        </w:rPr>
        <w:t>публічного управління завжди є публічний</w:t>
      </w:r>
      <w:r>
        <w:rPr>
          <w:color w:val="231F20"/>
          <w:spacing w:val="-2"/>
        </w:rPr>
        <w:t xml:space="preserve"> </w:t>
      </w:r>
      <w:r>
        <w:rPr>
          <w:color w:val="231F20"/>
        </w:rPr>
        <w:t>інтере</w:t>
      </w:r>
      <w:r>
        <w:rPr>
          <w:color w:val="231F20"/>
        </w:rPr>
        <w:t>с</w:t>
      </w:r>
      <w:r>
        <w:rPr>
          <w:color w:val="231F20"/>
          <w:position w:val="7"/>
          <w:sz w:val="12"/>
        </w:rPr>
        <w:t>1</w:t>
      </w:r>
      <w:r>
        <w:rPr>
          <w:color w:val="231F20"/>
        </w:rPr>
        <w:t>.</w:t>
      </w:r>
    </w:p>
    <w:p w14:paraId="3266E292" w14:textId="6BA430B3" w:rsidR="00DE575E" w:rsidRDefault="002E7560">
      <w:pPr>
        <w:pStyle w:val="BodyText"/>
        <w:spacing w:before="7"/>
        <w:rPr>
          <w:sz w:val="24"/>
        </w:rPr>
      </w:pPr>
      <w:r>
        <w:rPr>
          <w:noProof/>
        </w:rPr>
        <mc:AlternateContent>
          <mc:Choice Requires="wps">
            <w:drawing>
              <wp:anchor distT="0" distB="0" distL="0" distR="0" simplePos="0" relativeHeight="1888" behindDoc="0" locked="0" layoutInCell="1" allowOverlap="1" wp14:anchorId="2C9EB3B3" wp14:editId="54701A0C">
                <wp:simplePos x="0" y="0"/>
                <wp:positionH relativeFrom="page">
                  <wp:posOffset>719455</wp:posOffset>
                </wp:positionH>
                <wp:positionV relativeFrom="paragraph">
                  <wp:posOffset>211455</wp:posOffset>
                </wp:positionV>
                <wp:extent cx="1080135" cy="0"/>
                <wp:effectExtent l="8255" t="8255" r="29210" b="29845"/>
                <wp:wrapTopAndBottom/>
                <wp:docPr id="1350"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C15AC" id="Line_x0020_1349"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5pt" to="141.7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" strokecolor="#231f20" strokeweight=".5pt">
                <w10:wrap type="topAndBottom" anchorx="page"/>
              </v:line>
            </w:pict>
          </mc:Fallback>
        </mc:AlternateContent>
      </w:r>
    </w:p>
    <w:p w14:paraId="300EB6C2" w14:textId="77777777" w:rsidR="00DE575E" w:rsidRDefault="002E7560">
      <w:pPr>
        <w:spacing w:line="162" w:lineRule="exact"/>
        <w:ind w:left="533"/>
        <w:rPr>
          <w:sz w:val="16"/>
        </w:rPr>
      </w:pPr>
      <w:r>
        <w:rPr>
          <w:color w:val="231F20"/>
          <w:position w:val="5"/>
          <w:sz w:val="9"/>
        </w:rPr>
        <w:t xml:space="preserve">1 </w:t>
      </w:r>
      <w:r>
        <w:rPr>
          <w:color w:val="231F20"/>
          <w:sz w:val="16"/>
        </w:rPr>
        <w:t>Єлістратов А. Зазнач. праця.</w:t>
      </w:r>
    </w:p>
    <w:p w14:paraId="3F860166" w14:textId="77777777" w:rsidR="00DE575E" w:rsidRDefault="00DE575E">
      <w:pPr>
        <w:pStyle w:val="BodyText"/>
        <w:spacing w:before="10"/>
        <w:rPr>
          <w:sz w:val="11"/>
        </w:rPr>
      </w:pPr>
    </w:p>
    <w:p w14:paraId="12F0867E" w14:textId="77777777" w:rsidR="00DE575E" w:rsidRDefault="002E7560">
      <w:pPr>
        <w:spacing w:before="92"/>
        <w:ind w:left="533"/>
        <w:rPr>
          <w:rFonts w:ascii="Times New Roman"/>
          <w:sz w:val="20"/>
        </w:rPr>
      </w:pPr>
      <w:r>
        <w:rPr>
          <w:rFonts w:ascii="Times New Roman"/>
          <w:color w:val="231F20"/>
          <w:sz w:val="20"/>
        </w:rPr>
        <w:t>28</w:t>
      </w:r>
    </w:p>
    <w:p w14:paraId="30643A7C" w14:textId="77777777" w:rsidR="00DE575E" w:rsidRDefault="00DE575E">
      <w:pPr>
        <w:rPr>
          <w:rFonts w:ascii="Times New Roman"/>
          <w:sz w:val="20"/>
        </w:rPr>
        <w:sectPr w:rsidR="00DE575E">
          <w:pgSz w:w="8510" w:h="12760"/>
          <w:pgMar w:top="660" w:right="720" w:bottom="280" w:left="600" w:header="720" w:footer="720" w:gutter="0"/>
          <w:cols w:space="720"/>
        </w:sectPr>
      </w:pPr>
    </w:p>
    <w:p w14:paraId="10246F0E"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60C534EA" w14:textId="04DB247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F60A94D" wp14:editId="2A6BCE6E">
                <wp:extent cx="4140200" cy="6350"/>
                <wp:effectExtent l="0" t="0" r="12700" b="6350"/>
                <wp:docPr id="1348"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49" name="Line 134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1E80C2" id="Group_x0020_134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WDSxZ/AgAAnAUAAA4A&#10;AAAAAAAAAAAAAAAALAIAAGRycy9lMm9Eb2MueG1sUEsBAi0AFAAGAAgAAAAhAEynsJDZAAAAAwEA&#10;AA8AAAAAAAAAAAAAAAAA1wQAAGRycy9kb3ducmV2LnhtbFBLBQYAAAAABAAEAPMAAADdBQAAAAA=&#10;">
                <v:line id="Line_x0020_134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psUAAADdAAAADwAAAGRycy9kb3ducmV2LnhtbERP22rCQBB9F/yHZQq+lLppU6RGV5FC&#10;QfrgLX7AmB2T0N3ZmF1N2q/vFgq+zeFcZ77srRE3an3tWMHzOAFBXDhdc6ngmH88vYHwAVmjcUwK&#10;vsnDcjEczDHTruM93Q6hFDGEfYYKqhCaTEpfVGTRj11DHLmzay2GCNtS6ha7GG6NfEmSibRYc2yo&#10;sKH3ioqvw9UqyC+Pwey2n6bLt6dUni6b9Oe6UWr00K9mIAL14S7+d691nJ++TuHvm3iC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M/psUAAADdAAAADwAAAAAAAAAA&#10;AAAAAAChAgAAZHJzL2Rvd25yZXYueG1sUEsFBgAAAAAEAAQA+QAAAJMDAAAAAA==&#10;" strokecolor="#231f20" strokeweight=".5pt"/>
                <w10:anchorlock/>
              </v:group>
            </w:pict>
          </mc:Fallback>
        </mc:AlternateContent>
      </w:r>
    </w:p>
    <w:p w14:paraId="088BE421" w14:textId="77777777" w:rsidR="00DE575E" w:rsidRDefault="00DE575E">
      <w:pPr>
        <w:pStyle w:val="BodyText"/>
        <w:spacing w:before="3"/>
        <w:rPr>
          <w:rFonts w:ascii="AdonisC"/>
          <w:i/>
          <w:sz w:val="12"/>
        </w:rPr>
      </w:pPr>
    </w:p>
    <w:p w14:paraId="79BB87C6" w14:textId="77777777" w:rsidR="00DE575E" w:rsidRDefault="002E7560">
      <w:pPr>
        <w:spacing w:before="100" w:line="252" w:lineRule="auto"/>
        <w:ind w:left="250" w:right="410" w:firstLine="283"/>
        <w:jc w:val="both"/>
        <w:rPr>
          <w:sz w:val="21"/>
        </w:rPr>
      </w:pPr>
      <w:r>
        <w:rPr>
          <w:b/>
          <w:i/>
          <w:color w:val="231F20"/>
          <w:sz w:val="21"/>
        </w:rPr>
        <w:t xml:space="preserve">Структура адміністративно-правових відносин </w:t>
      </w:r>
      <w:r>
        <w:rPr>
          <w:color w:val="231F20"/>
          <w:sz w:val="21"/>
        </w:rPr>
        <w:t xml:space="preserve">характери- зується взаємопов’язаністю всіх  її  складових  компонентів,  якими є </w:t>
      </w:r>
      <w:r>
        <w:rPr>
          <w:color w:val="231F20"/>
          <w:spacing w:val="-3"/>
          <w:sz w:val="21"/>
        </w:rPr>
        <w:t xml:space="preserve">суб’єкти, </w:t>
      </w:r>
      <w:r>
        <w:rPr>
          <w:color w:val="231F20"/>
          <w:spacing w:val="-4"/>
          <w:sz w:val="21"/>
        </w:rPr>
        <w:t xml:space="preserve">об’єкти, </w:t>
      </w:r>
      <w:r>
        <w:rPr>
          <w:color w:val="231F20"/>
          <w:sz w:val="21"/>
        </w:rPr>
        <w:t>зміст правовідносин та юридичні</w:t>
      </w:r>
      <w:r>
        <w:rPr>
          <w:color w:val="231F20"/>
          <w:spacing w:val="-5"/>
          <w:sz w:val="21"/>
        </w:rPr>
        <w:t xml:space="preserve"> </w:t>
      </w:r>
      <w:r>
        <w:rPr>
          <w:color w:val="231F20"/>
          <w:sz w:val="21"/>
        </w:rPr>
        <w:t>факти.</w:t>
      </w:r>
    </w:p>
    <w:p w14:paraId="2A54A334" w14:textId="77777777" w:rsidR="00DE575E" w:rsidRDefault="002E7560">
      <w:pPr>
        <w:pStyle w:val="BodyText"/>
        <w:spacing w:before="1" w:line="252" w:lineRule="auto"/>
        <w:ind w:left="250" w:right="411" w:firstLine="283"/>
        <w:jc w:val="both"/>
      </w:pPr>
      <w:r>
        <w:rPr>
          <w:b/>
          <w:color w:val="231F20"/>
          <w:spacing w:val="-3"/>
        </w:rPr>
        <w:t xml:space="preserve">Суб’єкти </w:t>
      </w:r>
      <w:r>
        <w:rPr>
          <w:b/>
          <w:color w:val="231F20"/>
        </w:rPr>
        <w:t xml:space="preserve">правовідносин </w:t>
      </w:r>
      <w:r>
        <w:rPr>
          <w:color w:val="231F20"/>
        </w:rPr>
        <w:t>– це учасники</w:t>
      </w:r>
      <w:r>
        <w:rPr>
          <w:color w:val="231F20"/>
        </w:rPr>
        <w:t xml:space="preserve"> адміністративно-право- вих відносин, які мають </w:t>
      </w:r>
      <w:r>
        <w:rPr>
          <w:color w:val="231F20"/>
          <w:spacing w:val="-3"/>
        </w:rPr>
        <w:t xml:space="preserve">суб’єктивні  </w:t>
      </w:r>
      <w:r>
        <w:rPr>
          <w:color w:val="231F20"/>
        </w:rPr>
        <w:t xml:space="preserve">права та юридичні обов’язки    й наділені специфічними юридичними властивостями. </w:t>
      </w:r>
      <w:r>
        <w:rPr>
          <w:color w:val="231F20"/>
          <w:spacing w:val="-4"/>
        </w:rPr>
        <w:t xml:space="preserve">Об’єкти </w:t>
      </w:r>
      <w:r>
        <w:rPr>
          <w:color w:val="231F20"/>
        </w:rPr>
        <w:t xml:space="preserve">правовідносин – це те, на що спрямовано інтереси </w:t>
      </w:r>
      <w:r>
        <w:rPr>
          <w:color w:val="231F20"/>
          <w:spacing w:val="-3"/>
        </w:rPr>
        <w:t xml:space="preserve">суб’єктів, </w:t>
      </w:r>
      <w:r>
        <w:rPr>
          <w:color w:val="231F20"/>
        </w:rPr>
        <w:t>з приводу чого ті вступають в адміністративно-</w:t>
      </w:r>
      <w:r>
        <w:rPr>
          <w:color w:val="231F20"/>
        </w:rPr>
        <w:t>правові відносини. Ці елементи нерозривно пов’язані.</w:t>
      </w:r>
    </w:p>
    <w:p w14:paraId="0C05C781" w14:textId="77777777" w:rsidR="00DE575E" w:rsidRDefault="002E7560">
      <w:pPr>
        <w:pStyle w:val="BodyText"/>
        <w:spacing w:before="3" w:line="252" w:lineRule="auto"/>
        <w:ind w:left="250" w:right="410" w:firstLine="283"/>
        <w:jc w:val="both"/>
      </w:pPr>
      <w:r>
        <w:rPr>
          <w:color w:val="231F20"/>
        </w:rPr>
        <w:t>Суб’єкти адміністративно-правових відносин вступають у них з метою задоволення своїх інтересів і потреб, які опосередковують об’єкти адміністративно-правових відносин. Виникнення у суб’єк- тів взаємних п</w:t>
      </w:r>
      <w:r>
        <w:rPr>
          <w:color w:val="231F20"/>
        </w:rPr>
        <w:t>рав і обов’язків можливе лише на підставі настання певних юридичних умов і юридичних фактів, закріплених у гіпоте- зах адміністративно-правових норм.</w:t>
      </w:r>
    </w:p>
    <w:p w14:paraId="54C34986" w14:textId="77777777" w:rsidR="00DE575E" w:rsidRDefault="002E7560">
      <w:pPr>
        <w:pStyle w:val="BodyText"/>
        <w:spacing w:before="3" w:line="252" w:lineRule="auto"/>
        <w:ind w:left="250" w:right="409" w:firstLine="283"/>
        <w:jc w:val="both"/>
      </w:pPr>
      <w:r>
        <w:rPr>
          <w:b/>
          <w:color w:val="231F20"/>
          <w:spacing w:val="-4"/>
        </w:rPr>
        <w:t xml:space="preserve">Об’єкти </w:t>
      </w:r>
      <w:r>
        <w:rPr>
          <w:b/>
          <w:color w:val="231F20"/>
        </w:rPr>
        <w:t xml:space="preserve">адміністративно-правових відносин </w:t>
      </w:r>
      <w:r>
        <w:rPr>
          <w:color w:val="231F20"/>
        </w:rPr>
        <w:t>– це блага мате- ріальні або нематеріальні, а також певні дії, з</w:t>
      </w:r>
      <w:r>
        <w:rPr>
          <w:color w:val="231F20"/>
        </w:rPr>
        <w:t xml:space="preserve">аради яких </w:t>
      </w:r>
      <w:r>
        <w:rPr>
          <w:color w:val="231F20"/>
          <w:spacing w:val="-4"/>
        </w:rPr>
        <w:t xml:space="preserve">суб’єкти </w:t>
      </w:r>
      <w:r>
        <w:rPr>
          <w:color w:val="231F20"/>
        </w:rPr>
        <w:t xml:space="preserve">вступають в такі відносини. </w:t>
      </w:r>
      <w:r>
        <w:rPr>
          <w:color w:val="231F20"/>
          <w:spacing w:val="-4"/>
        </w:rPr>
        <w:t xml:space="preserve">Об’єктом </w:t>
      </w:r>
      <w:r>
        <w:rPr>
          <w:color w:val="231F20"/>
        </w:rPr>
        <w:t>адміністративно-правових відносин може бути все, що здатне слугувати здійсненню публіч- них інтересів. У цій ролі можуть бути права людини і громадянина, право власності й послуги інших осіб. Права л</w:t>
      </w:r>
      <w:r>
        <w:rPr>
          <w:color w:val="231F20"/>
        </w:rPr>
        <w:t xml:space="preserve">юдини і громадянина стають </w:t>
      </w:r>
      <w:r>
        <w:rPr>
          <w:color w:val="231F20"/>
          <w:spacing w:val="-3"/>
        </w:rPr>
        <w:t xml:space="preserve">об’єктом </w:t>
      </w:r>
      <w:r>
        <w:rPr>
          <w:color w:val="231F20"/>
        </w:rPr>
        <w:t xml:space="preserve">адміністративного права, оскільки є природними; законодавець через Конституцію </w:t>
      </w:r>
      <w:r>
        <w:rPr>
          <w:color w:val="231F20"/>
          <w:spacing w:val="-3"/>
        </w:rPr>
        <w:t xml:space="preserve">України </w:t>
      </w:r>
      <w:r>
        <w:rPr>
          <w:color w:val="231F20"/>
        </w:rPr>
        <w:t xml:space="preserve">та інші закони їх установ- лює та визначає межі, в яких ними можна беззаперечно користу- ватися. У такий спосіб </w:t>
      </w:r>
      <w:r>
        <w:rPr>
          <w:color w:val="231F20"/>
          <w:spacing w:val="-3"/>
        </w:rPr>
        <w:t xml:space="preserve">об’єктами </w:t>
      </w:r>
      <w:r>
        <w:rPr>
          <w:color w:val="231F20"/>
        </w:rPr>
        <w:t>адміністрат</w:t>
      </w:r>
      <w:r>
        <w:rPr>
          <w:color w:val="231F20"/>
        </w:rPr>
        <w:t xml:space="preserve">ивного права стає вся палітра прав, визначених у розділі першому та другому Конститу- ції </w:t>
      </w:r>
      <w:r>
        <w:rPr>
          <w:color w:val="231F20"/>
          <w:spacing w:val="-3"/>
        </w:rPr>
        <w:t xml:space="preserve">України. </w:t>
      </w:r>
      <w:r>
        <w:rPr>
          <w:color w:val="231F20"/>
        </w:rPr>
        <w:t>Наприклад, це право людини на життя, здоров’я, честь, гідність, особисту недоторканність, свободу пересування, свободу слова, зібрань, право особисто та разо</w:t>
      </w:r>
      <w:r>
        <w:rPr>
          <w:color w:val="231F20"/>
        </w:rPr>
        <w:t>м з іншими володіти,</w:t>
      </w:r>
      <w:r>
        <w:rPr>
          <w:color w:val="231F20"/>
          <w:spacing w:val="-31"/>
        </w:rPr>
        <w:t xml:space="preserve"> </w:t>
      </w:r>
      <w:r>
        <w:rPr>
          <w:color w:val="231F20"/>
        </w:rPr>
        <w:t xml:space="preserve">користу- ватись і розпоряджатися своєю власністю, </w:t>
      </w:r>
      <w:r>
        <w:rPr>
          <w:color w:val="231F20"/>
          <w:spacing w:val="-3"/>
        </w:rPr>
        <w:t xml:space="preserve">результатами </w:t>
      </w:r>
      <w:r>
        <w:rPr>
          <w:color w:val="231F20"/>
        </w:rPr>
        <w:t>своєї твор- чої інтелектуальної діяльності, право займатися підприємницькою діяльністю.</w:t>
      </w:r>
    </w:p>
    <w:p w14:paraId="62E87338" w14:textId="77777777" w:rsidR="00DE575E" w:rsidRDefault="002E7560">
      <w:pPr>
        <w:pStyle w:val="Heading6"/>
        <w:spacing w:before="9"/>
        <w:ind w:firstLine="0"/>
      </w:pPr>
      <w:r>
        <w:rPr>
          <w:color w:val="231F20"/>
        </w:rPr>
        <w:t>Об’єкти адміністративного права поділяються на:</w:t>
      </w:r>
    </w:p>
    <w:p w14:paraId="0A990782" w14:textId="77777777" w:rsidR="00DE575E" w:rsidRDefault="002E7560">
      <w:pPr>
        <w:pStyle w:val="ListParagraph"/>
        <w:numPr>
          <w:ilvl w:val="0"/>
          <w:numId w:val="311"/>
        </w:numPr>
        <w:tabs>
          <w:tab w:val="left" w:pos="818"/>
        </w:tabs>
        <w:spacing w:before="13" w:line="252" w:lineRule="auto"/>
        <w:ind w:right="411" w:firstLine="283"/>
        <w:jc w:val="both"/>
        <w:rPr>
          <w:sz w:val="21"/>
        </w:rPr>
      </w:pPr>
      <w:r>
        <w:rPr>
          <w:color w:val="231F20"/>
          <w:sz w:val="21"/>
        </w:rPr>
        <w:t>нематеріальні</w:t>
      </w:r>
      <w:r>
        <w:rPr>
          <w:color w:val="231F20"/>
          <w:spacing w:val="-7"/>
          <w:sz w:val="21"/>
        </w:rPr>
        <w:t xml:space="preserve"> </w:t>
      </w:r>
      <w:r>
        <w:rPr>
          <w:color w:val="231F20"/>
          <w:sz w:val="21"/>
        </w:rPr>
        <w:t>особисті</w:t>
      </w:r>
      <w:r>
        <w:rPr>
          <w:color w:val="231F20"/>
          <w:spacing w:val="-7"/>
          <w:sz w:val="21"/>
        </w:rPr>
        <w:t xml:space="preserve"> </w:t>
      </w:r>
      <w:r>
        <w:rPr>
          <w:color w:val="231F20"/>
          <w:sz w:val="21"/>
        </w:rPr>
        <w:t>блага</w:t>
      </w:r>
      <w:r>
        <w:rPr>
          <w:color w:val="231F20"/>
          <w:spacing w:val="-7"/>
          <w:sz w:val="21"/>
        </w:rPr>
        <w:t xml:space="preserve"> </w:t>
      </w:r>
      <w:r>
        <w:rPr>
          <w:color w:val="231F20"/>
          <w:sz w:val="21"/>
        </w:rPr>
        <w:t>людини</w:t>
      </w:r>
      <w:r>
        <w:rPr>
          <w:color w:val="231F20"/>
          <w:spacing w:val="-9"/>
          <w:sz w:val="21"/>
        </w:rPr>
        <w:t xml:space="preserve"> </w:t>
      </w:r>
      <w:r>
        <w:rPr>
          <w:color w:val="231F20"/>
          <w:sz w:val="21"/>
        </w:rPr>
        <w:t>–</w:t>
      </w:r>
      <w:r>
        <w:rPr>
          <w:color w:val="231F20"/>
          <w:spacing w:val="-7"/>
          <w:sz w:val="21"/>
        </w:rPr>
        <w:t xml:space="preserve"> </w:t>
      </w:r>
      <w:r>
        <w:rPr>
          <w:color w:val="231F20"/>
          <w:sz w:val="21"/>
        </w:rPr>
        <w:t>життя</w:t>
      </w:r>
      <w:r>
        <w:rPr>
          <w:color w:val="231F20"/>
          <w:spacing w:val="-7"/>
          <w:sz w:val="21"/>
        </w:rPr>
        <w:t xml:space="preserve"> </w:t>
      </w:r>
      <w:r>
        <w:rPr>
          <w:color w:val="231F20"/>
          <w:sz w:val="21"/>
        </w:rPr>
        <w:t>і</w:t>
      </w:r>
      <w:r>
        <w:rPr>
          <w:color w:val="231F20"/>
          <w:spacing w:val="-8"/>
          <w:sz w:val="21"/>
        </w:rPr>
        <w:t xml:space="preserve"> </w:t>
      </w:r>
      <w:r>
        <w:rPr>
          <w:color w:val="231F20"/>
          <w:sz w:val="21"/>
        </w:rPr>
        <w:t>здоров’я,</w:t>
      </w:r>
      <w:r>
        <w:rPr>
          <w:color w:val="231F20"/>
          <w:spacing w:val="-7"/>
          <w:sz w:val="21"/>
        </w:rPr>
        <w:t xml:space="preserve"> </w:t>
      </w:r>
      <w:r>
        <w:rPr>
          <w:color w:val="231F20"/>
          <w:sz w:val="21"/>
        </w:rPr>
        <w:t xml:space="preserve">честь і гідність, недоторканність, </w:t>
      </w:r>
      <w:r>
        <w:rPr>
          <w:color w:val="231F20"/>
          <w:spacing w:val="-3"/>
          <w:sz w:val="21"/>
        </w:rPr>
        <w:t xml:space="preserve">безпеку, </w:t>
      </w:r>
      <w:r>
        <w:rPr>
          <w:color w:val="231F20"/>
          <w:sz w:val="21"/>
        </w:rPr>
        <w:t>свободу пересування та</w:t>
      </w:r>
      <w:r>
        <w:rPr>
          <w:color w:val="231F20"/>
          <w:spacing w:val="-6"/>
          <w:sz w:val="21"/>
        </w:rPr>
        <w:t xml:space="preserve"> </w:t>
      </w:r>
      <w:r>
        <w:rPr>
          <w:color w:val="231F20"/>
          <w:sz w:val="21"/>
        </w:rPr>
        <w:t>ін.;</w:t>
      </w:r>
    </w:p>
    <w:p w14:paraId="2BC1C9BD" w14:textId="77777777" w:rsidR="00DE575E" w:rsidRDefault="002E7560">
      <w:pPr>
        <w:pStyle w:val="ListParagraph"/>
        <w:numPr>
          <w:ilvl w:val="0"/>
          <w:numId w:val="311"/>
        </w:numPr>
        <w:tabs>
          <w:tab w:val="left" w:pos="818"/>
        </w:tabs>
        <w:spacing w:line="252" w:lineRule="auto"/>
        <w:ind w:right="411" w:firstLine="283"/>
        <w:jc w:val="both"/>
        <w:rPr>
          <w:sz w:val="21"/>
        </w:rPr>
      </w:pPr>
      <w:r>
        <w:rPr>
          <w:color w:val="231F20"/>
          <w:sz w:val="21"/>
        </w:rPr>
        <w:t xml:space="preserve">матеріальні – предмети матеріального </w:t>
      </w:r>
      <w:r>
        <w:rPr>
          <w:color w:val="231F20"/>
          <w:spacing w:val="-3"/>
          <w:sz w:val="21"/>
        </w:rPr>
        <w:t xml:space="preserve">світу, </w:t>
      </w:r>
      <w:r>
        <w:rPr>
          <w:color w:val="231F20"/>
          <w:sz w:val="21"/>
        </w:rPr>
        <w:t>створені приро- дою чи</w:t>
      </w:r>
      <w:r>
        <w:rPr>
          <w:color w:val="231F20"/>
          <w:spacing w:val="-2"/>
          <w:sz w:val="21"/>
        </w:rPr>
        <w:t xml:space="preserve"> </w:t>
      </w:r>
      <w:r>
        <w:rPr>
          <w:color w:val="231F20"/>
          <w:sz w:val="21"/>
        </w:rPr>
        <w:t>людиною.</w:t>
      </w:r>
    </w:p>
    <w:p w14:paraId="44652463" w14:textId="77777777" w:rsidR="00DE575E" w:rsidRDefault="002E7560">
      <w:pPr>
        <w:spacing w:before="99" w:line="244" w:lineRule="auto"/>
        <w:ind w:left="533" w:right="128" w:firstLine="283"/>
        <w:rPr>
          <w:i/>
          <w:sz w:val="18"/>
        </w:rPr>
      </w:pPr>
      <w:r>
        <w:rPr>
          <w:i/>
          <w:color w:val="231F20"/>
          <w:sz w:val="18"/>
          <w:u w:val="single" w:color="231F20"/>
        </w:rPr>
        <w:t>Приклад:</w:t>
      </w:r>
      <w:r>
        <w:rPr>
          <w:i/>
          <w:color w:val="231F20"/>
          <w:sz w:val="18"/>
        </w:rPr>
        <w:t xml:space="preserve"> національні заповідники, державні або такі, що мають стра- тегічне   значення, </w:t>
      </w:r>
      <w:r>
        <w:rPr>
          <w:i/>
          <w:color w:val="231F20"/>
          <w:sz w:val="18"/>
        </w:rPr>
        <w:t xml:space="preserve">  підприємства,   радіоактивні   та   інші   небезпечні речо-</w:t>
      </w:r>
    </w:p>
    <w:p w14:paraId="7731C3CD" w14:textId="77777777" w:rsidR="00DE575E" w:rsidRDefault="00DE575E">
      <w:pPr>
        <w:pStyle w:val="BodyText"/>
        <w:spacing w:before="5"/>
        <w:rPr>
          <w:i/>
          <w:sz w:val="11"/>
        </w:rPr>
      </w:pPr>
    </w:p>
    <w:p w14:paraId="4B318782" w14:textId="77777777" w:rsidR="00DE575E" w:rsidRDefault="002E7560">
      <w:pPr>
        <w:spacing w:before="92"/>
        <w:ind w:right="411"/>
        <w:jc w:val="right"/>
        <w:rPr>
          <w:rFonts w:ascii="Times New Roman"/>
          <w:sz w:val="20"/>
        </w:rPr>
      </w:pPr>
      <w:r>
        <w:rPr>
          <w:rFonts w:ascii="Times New Roman"/>
          <w:color w:val="231F20"/>
          <w:w w:val="90"/>
          <w:sz w:val="20"/>
        </w:rPr>
        <w:t>29</w:t>
      </w:r>
    </w:p>
    <w:p w14:paraId="46285FC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5EEBE5E"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309DFAA" w14:textId="0B462C6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9665998" wp14:editId="243473AB">
                <wp:extent cx="4140200" cy="6350"/>
                <wp:effectExtent l="0" t="0" r="12700" b="6350"/>
                <wp:docPr id="1346"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47" name="Line 134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8AA58D" id="Group_x0020_134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0wRwDgAIAAJwFAAAO&#10;AAAAAAAAAAAAAAAAACwCAABkcnMvZTJvRG9jLnhtbFBLAQItABQABgAIAAAAIQBMp7CQ2QAAAAMB&#10;AAAPAAAAAAAAAAAAAAAAANgEAABkcnMvZG93bnJldi54bWxQSwUGAAAAAAQABADzAAAA3gUAAAAA&#10;">
                <v:line id="Line_x0020_134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iAOT8UAAADdAAAADwAAAGRycy9kb3ducmV2LnhtbERP22rCQBB9F/yHZQq+lLppU6xEV5FC&#10;QfrgLX7AmB2T0N3ZmF1N2q/vFgq+zeFcZ77srRE3an3tWMHzOAFBXDhdc6ngmH88TUH4gKzROCYF&#10;3+RhuRgO5php1/GebodQihjCPkMFVQhNJqUvKrLox64hjtzZtRZDhG0pdYtdDLdGviTJRFqsOTZU&#10;2NB7RcXX4WoV5JfHYHbbT9Pl21MqT5dN+nPdKDV66FczEIH6cBf/u9c6zk9f3+Dvm3iC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iAOT8UAAADdAAAADwAAAAAAAAAA&#10;AAAAAAChAgAAZHJzL2Rvd25yZXYueG1sUEsFBgAAAAAEAAQA+QAAAJMDAAAAAA==&#10;" strokecolor="#231f20" strokeweight=".5pt"/>
                <w10:anchorlock/>
              </v:group>
            </w:pict>
          </mc:Fallback>
        </mc:AlternateContent>
      </w:r>
    </w:p>
    <w:p w14:paraId="2CD6231F" w14:textId="77777777" w:rsidR="00DE575E" w:rsidRDefault="00DE575E">
      <w:pPr>
        <w:pStyle w:val="BodyText"/>
        <w:spacing w:before="2"/>
        <w:rPr>
          <w:rFonts w:ascii="AdonisC"/>
          <w:i/>
          <w:sz w:val="12"/>
        </w:rPr>
      </w:pPr>
    </w:p>
    <w:p w14:paraId="2E0E361B" w14:textId="77777777" w:rsidR="00DE575E" w:rsidRDefault="002E7560">
      <w:pPr>
        <w:spacing w:before="100" w:line="244" w:lineRule="auto"/>
        <w:ind w:left="817" w:right="128"/>
        <w:jc w:val="both"/>
        <w:rPr>
          <w:i/>
          <w:sz w:val="18"/>
        </w:rPr>
      </w:pPr>
      <w:r>
        <w:rPr>
          <w:i/>
          <w:color w:val="231F20"/>
          <w:sz w:val="18"/>
        </w:rPr>
        <w:t xml:space="preserve">вини; дороги, мости, парки, бібліотеки, </w:t>
      </w:r>
      <w:r>
        <w:rPr>
          <w:i/>
          <w:color w:val="231F20"/>
          <w:spacing w:val="-3"/>
          <w:sz w:val="18"/>
        </w:rPr>
        <w:t xml:space="preserve">державні </w:t>
      </w:r>
      <w:r>
        <w:rPr>
          <w:i/>
          <w:color w:val="231F20"/>
          <w:sz w:val="18"/>
        </w:rPr>
        <w:t>навчальні заклади тощо; цінні папери, офіційні документи – національна грошова одиниця, валюта, паспорти,</w:t>
      </w:r>
      <w:r>
        <w:rPr>
          <w:i/>
          <w:color w:val="231F20"/>
          <w:spacing w:val="-7"/>
          <w:sz w:val="18"/>
        </w:rPr>
        <w:t xml:space="preserve"> </w:t>
      </w:r>
      <w:r>
        <w:rPr>
          <w:i/>
          <w:color w:val="231F20"/>
          <w:sz w:val="18"/>
        </w:rPr>
        <w:t>дипломи,</w:t>
      </w:r>
      <w:r>
        <w:rPr>
          <w:i/>
          <w:color w:val="231F20"/>
          <w:spacing w:val="-8"/>
          <w:sz w:val="18"/>
        </w:rPr>
        <w:t xml:space="preserve"> </w:t>
      </w:r>
      <w:r>
        <w:rPr>
          <w:i/>
          <w:color w:val="231F20"/>
          <w:spacing w:val="-3"/>
          <w:sz w:val="18"/>
        </w:rPr>
        <w:t>сертифікати,</w:t>
      </w:r>
      <w:r>
        <w:rPr>
          <w:i/>
          <w:color w:val="231F20"/>
          <w:spacing w:val="-8"/>
          <w:sz w:val="18"/>
        </w:rPr>
        <w:t xml:space="preserve"> </w:t>
      </w:r>
      <w:r>
        <w:rPr>
          <w:i/>
          <w:color w:val="231F20"/>
          <w:sz w:val="18"/>
        </w:rPr>
        <w:t>лотерейні</w:t>
      </w:r>
      <w:r>
        <w:rPr>
          <w:i/>
          <w:color w:val="231F20"/>
          <w:spacing w:val="-8"/>
          <w:sz w:val="18"/>
        </w:rPr>
        <w:t xml:space="preserve"> </w:t>
      </w:r>
      <w:r>
        <w:rPr>
          <w:i/>
          <w:color w:val="231F20"/>
          <w:sz w:val="18"/>
        </w:rPr>
        <w:t>білети</w:t>
      </w:r>
      <w:r>
        <w:rPr>
          <w:i/>
          <w:color w:val="231F20"/>
          <w:spacing w:val="-8"/>
          <w:sz w:val="18"/>
        </w:rPr>
        <w:t xml:space="preserve"> </w:t>
      </w:r>
      <w:r>
        <w:rPr>
          <w:i/>
          <w:color w:val="231F20"/>
          <w:sz w:val="18"/>
        </w:rPr>
        <w:t>та</w:t>
      </w:r>
      <w:r>
        <w:rPr>
          <w:i/>
          <w:color w:val="231F20"/>
          <w:spacing w:val="-8"/>
          <w:sz w:val="18"/>
        </w:rPr>
        <w:t xml:space="preserve"> </w:t>
      </w:r>
      <w:r>
        <w:rPr>
          <w:i/>
          <w:color w:val="231F20"/>
          <w:sz w:val="18"/>
        </w:rPr>
        <w:t>ін.;</w:t>
      </w:r>
      <w:r>
        <w:rPr>
          <w:i/>
          <w:color w:val="231F20"/>
          <w:spacing w:val="-8"/>
          <w:sz w:val="18"/>
        </w:rPr>
        <w:t xml:space="preserve"> </w:t>
      </w:r>
      <w:r>
        <w:rPr>
          <w:i/>
          <w:color w:val="231F20"/>
          <w:sz w:val="18"/>
        </w:rPr>
        <w:t>продукти</w:t>
      </w:r>
      <w:r>
        <w:rPr>
          <w:i/>
          <w:color w:val="231F20"/>
          <w:spacing w:val="-8"/>
          <w:sz w:val="18"/>
        </w:rPr>
        <w:t xml:space="preserve"> </w:t>
      </w:r>
      <w:r>
        <w:rPr>
          <w:i/>
          <w:color w:val="231F20"/>
          <w:spacing w:val="-3"/>
          <w:sz w:val="18"/>
        </w:rPr>
        <w:t>духовної</w:t>
      </w:r>
      <w:r>
        <w:rPr>
          <w:i/>
          <w:color w:val="231F20"/>
          <w:spacing w:val="-3"/>
          <w:sz w:val="18"/>
        </w:rPr>
        <w:t xml:space="preserve"> </w:t>
      </w:r>
      <w:r>
        <w:rPr>
          <w:i/>
          <w:color w:val="231F20"/>
          <w:sz w:val="18"/>
        </w:rPr>
        <w:t xml:space="preserve">та </w:t>
      </w:r>
      <w:r>
        <w:rPr>
          <w:i/>
          <w:color w:val="231F20"/>
          <w:spacing w:val="-3"/>
          <w:sz w:val="18"/>
        </w:rPr>
        <w:t xml:space="preserve">інтелектуальної </w:t>
      </w:r>
      <w:r>
        <w:rPr>
          <w:i/>
          <w:color w:val="231F20"/>
          <w:sz w:val="18"/>
        </w:rPr>
        <w:t xml:space="preserve">творчості – твори </w:t>
      </w:r>
      <w:r>
        <w:rPr>
          <w:i/>
          <w:color w:val="231F20"/>
          <w:spacing w:val="-3"/>
          <w:sz w:val="18"/>
        </w:rPr>
        <w:t xml:space="preserve">літератури, </w:t>
      </w:r>
      <w:r>
        <w:rPr>
          <w:i/>
          <w:color w:val="231F20"/>
          <w:sz w:val="18"/>
        </w:rPr>
        <w:t xml:space="preserve">мистецтва, </w:t>
      </w:r>
      <w:r>
        <w:rPr>
          <w:i/>
          <w:color w:val="231F20"/>
          <w:spacing w:val="-3"/>
          <w:sz w:val="18"/>
        </w:rPr>
        <w:t xml:space="preserve">живопису, </w:t>
      </w:r>
      <w:r>
        <w:rPr>
          <w:i/>
          <w:color w:val="231F20"/>
          <w:sz w:val="18"/>
        </w:rPr>
        <w:t>музики,</w:t>
      </w:r>
      <w:r>
        <w:rPr>
          <w:i/>
          <w:color w:val="231F20"/>
          <w:spacing w:val="-17"/>
          <w:sz w:val="18"/>
        </w:rPr>
        <w:t xml:space="preserve"> </w:t>
      </w:r>
      <w:r>
        <w:rPr>
          <w:i/>
          <w:color w:val="231F20"/>
          <w:spacing w:val="-3"/>
          <w:sz w:val="18"/>
        </w:rPr>
        <w:t>наукові</w:t>
      </w:r>
      <w:r>
        <w:rPr>
          <w:i/>
          <w:color w:val="231F20"/>
          <w:spacing w:val="-18"/>
          <w:sz w:val="18"/>
        </w:rPr>
        <w:t xml:space="preserve"> </w:t>
      </w:r>
      <w:r>
        <w:rPr>
          <w:i/>
          <w:color w:val="231F20"/>
          <w:sz w:val="18"/>
        </w:rPr>
        <w:t>винаходи</w:t>
      </w:r>
      <w:r>
        <w:rPr>
          <w:i/>
          <w:color w:val="231F20"/>
          <w:spacing w:val="-17"/>
          <w:sz w:val="18"/>
        </w:rPr>
        <w:t xml:space="preserve"> </w:t>
      </w:r>
      <w:r>
        <w:rPr>
          <w:i/>
          <w:color w:val="231F20"/>
          <w:sz w:val="18"/>
        </w:rPr>
        <w:t>і</w:t>
      </w:r>
      <w:r>
        <w:rPr>
          <w:i/>
          <w:color w:val="231F20"/>
          <w:spacing w:val="-17"/>
          <w:sz w:val="18"/>
        </w:rPr>
        <w:t xml:space="preserve"> </w:t>
      </w:r>
      <w:r>
        <w:rPr>
          <w:i/>
          <w:color w:val="231F20"/>
          <w:sz w:val="18"/>
        </w:rPr>
        <w:t>раціоналізаторські</w:t>
      </w:r>
      <w:r>
        <w:rPr>
          <w:i/>
          <w:color w:val="231F20"/>
          <w:spacing w:val="-18"/>
          <w:sz w:val="18"/>
        </w:rPr>
        <w:t xml:space="preserve"> </w:t>
      </w:r>
      <w:r>
        <w:rPr>
          <w:i/>
          <w:color w:val="231F20"/>
          <w:sz w:val="18"/>
        </w:rPr>
        <w:t>пропозиції,</w:t>
      </w:r>
      <w:r>
        <w:rPr>
          <w:i/>
          <w:color w:val="231F20"/>
          <w:spacing w:val="-17"/>
          <w:sz w:val="18"/>
        </w:rPr>
        <w:t xml:space="preserve"> </w:t>
      </w:r>
      <w:r>
        <w:rPr>
          <w:i/>
          <w:color w:val="231F20"/>
          <w:sz w:val="18"/>
        </w:rPr>
        <w:t>корисні</w:t>
      </w:r>
      <w:r>
        <w:rPr>
          <w:i/>
          <w:color w:val="231F20"/>
          <w:spacing w:val="-18"/>
          <w:sz w:val="18"/>
        </w:rPr>
        <w:t xml:space="preserve"> </w:t>
      </w:r>
      <w:r>
        <w:rPr>
          <w:i/>
          <w:color w:val="231F20"/>
          <w:sz w:val="18"/>
        </w:rPr>
        <w:t>моделі</w:t>
      </w:r>
      <w:r>
        <w:rPr>
          <w:i/>
          <w:color w:val="231F20"/>
          <w:spacing w:val="-17"/>
          <w:sz w:val="18"/>
        </w:rPr>
        <w:t xml:space="preserve"> </w:t>
      </w:r>
      <w:r>
        <w:rPr>
          <w:i/>
          <w:color w:val="231F20"/>
          <w:sz w:val="18"/>
        </w:rPr>
        <w:t>тощо.</w:t>
      </w:r>
    </w:p>
    <w:p w14:paraId="723E6C1E" w14:textId="77777777" w:rsidR="00DE575E" w:rsidRDefault="002E7560">
      <w:pPr>
        <w:pStyle w:val="ListParagraph"/>
        <w:numPr>
          <w:ilvl w:val="0"/>
          <w:numId w:val="311"/>
        </w:numPr>
        <w:tabs>
          <w:tab w:val="left" w:pos="1080"/>
        </w:tabs>
        <w:spacing w:before="132" w:line="252" w:lineRule="auto"/>
        <w:ind w:left="533" w:right="128" w:firstLine="284"/>
        <w:jc w:val="both"/>
        <w:rPr>
          <w:sz w:val="21"/>
        </w:rPr>
      </w:pPr>
      <w:r>
        <w:rPr>
          <w:color w:val="231F20"/>
          <w:sz w:val="21"/>
        </w:rPr>
        <w:t xml:space="preserve">дії </w:t>
      </w:r>
      <w:r>
        <w:rPr>
          <w:color w:val="231F20"/>
          <w:spacing w:val="-3"/>
          <w:sz w:val="21"/>
        </w:rPr>
        <w:t xml:space="preserve">суб’єктів </w:t>
      </w:r>
      <w:r>
        <w:rPr>
          <w:color w:val="231F20"/>
          <w:sz w:val="21"/>
        </w:rPr>
        <w:t xml:space="preserve">адміністративно-правових відносин, коли </w:t>
      </w:r>
      <w:r>
        <w:rPr>
          <w:color w:val="231F20"/>
          <w:spacing w:val="-4"/>
          <w:sz w:val="21"/>
        </w:rPr>
        <w:t xml:space="preserve">суб’єкт </w:t>
      </w:r>
      <w:r>
        <w:rPr>
          <w:color w:val="231F20"/>
          <w:sz w:val="21"/>
        </w:rPr>
        <w:t xml:space="preserve">чи </w:t>
      </w:r>
      <w:r>
        <w:rPr>
          <w:color w:val="231F20"/>
          <w:spacing w:val="-4"/>
          <w:sz w:val="21"/>
        </w:rPr>
        <w:t xml:space="preserve">об’єкт </w:t>
      </w:r>
      <w:r>
        <w:rPr>
          <w:color w:val="231F20"/>
          <w:sz w:val="21"/>
        </w:rPr>
        <w:t>публічного управління має право вимагати від зобов’яза- ної сторони виконання певних</w:t>
      </w:r>
      <w:r>
        <w:rPr>
          <w:color w:val="231F20"/>
          <w:spacing w:val="-1"/>
          <w:sz w:val="21"/>
        </w:rPr>
        <w:t xml:space="preserve"> </w:t>
      </w:r>
      <w:r>
        <w:rPr>
          <w:color w:val="231F20"/>
          <w:sz w:val="21"/>
        </w:rPr>
        <w:t>дій.</w:t>
      </w:r>
    </w:p>
    <w:p w14:paraId="5FC6B195" w14:textId="77777777" w:rsidR="00DE575E" w:rsidRDefault="002E7560">
      <w:pPr>
        <w:spacing w:before="100" w:line="244" w:lineRule="auto"/>
        <w:ind w:left="817" w:right="127" w:firstLine="283"/>
        <w:jc w:val="both"/>
        <w:rPr>
          <w:i/>
          <w:sz w:val="18"/>
        </w:rPr>
      </w:pPr>
      <w:r>
        <w:rPr>
          <w:i/>
          <w:color w:val="231F20"/>
          <w:sz w:val="18"/>
          <w:u w:val="single" w:color="231F20"/>
        </w:rPr>
        <w:t>Приклад:</w:t>
      </w:r>
      <w:r>
        <w:rPr>
          <w:i/>
          <w:color w:val="231F20"/>
          <w:sz w:val="18"/>
        </w:rPr>
        <w:t xml:space="preserve"> наряд патрульної поліції має право перевіряти в осіб за підозри у вчиненні правопорушень документи, що посвідчують їх особу, а громадянин (іноземець) має пра</w:t>
      </w:r>
      <w:r>
        <w:rPr>
          <w:i/>
          <w:color w:val="231F20"/>
          <w:sz w:val="18"/>
        </w:rPr>
        <w:t>во вимагати від поліцейського надати йому допомогу та зареєструвати заяву про скоєне правопорушення.</w:t>
      </w:r>
    </w:p>
    <w:p w14:paraId="6497968A" w14:textId="77777777" w:rsidR="00DE575E" w:rsidRDefault="002E7560">
      <w:pPr>
        <w:pStyle w:val="Heading5"/>
        <w:spacing w:before="131" w:line="252" w:lineRule="auto"/>
        <w:ind w:right="126" w:firstLine="283"/>
        <w:jc w:val="both"/>
      </w:pPr>
      <w:r>
        <w:rPr>
          <w:color w:val="231F20"/>
        </w:rPr>
        <w:t xml:space="preserve">Отже, </w:t>
      </w:r>
      <w:r>
        <w:rPr>
          <w:color w:val="231F20"/>
          <w:spacing w:val="-3"/>
        </w:rPr>
        <w:t xml:space="preserve">об’єктами </w:t>
      </w:r>
      <w:r>
        <w:rPr>
          <w:color w:val="231F20"/>
        </w:rPr>
        <w:t>адміністративно-правових відносин можуть бути різноманітні матеріальні та нематеріальні блага, які становлять публічну цінність, а також ді</w:t>
      </w:r>
      <w:r>
        <w:rPr>
          <w:color w:val="231F20"/>
        </w:rPr>
        <w:t xml:space="preserve">яння </w:t>
      </w:r>
      <w:r>
        <w:rPr>
          <w:color w:val="231F20"/>
          <w:spacing w:val="-3"/>
        </w:rPr>
        <w:t xml:space="preserve">суб’єктів </w:t>
      </w:r>
      <w:r>
        <w:rPr>
          <w:color w:val="231F20"/>
        </w:rPr>
        <w:t>адмініст- ративного права, пов’язані з цими благами.</w:t>
      </w:r>
    </w:p>
    <w:p w14:paraId="26771E2D" w14:textId="77777777" w:rsidR="00DE575E" w:rsidRDefault="002E7560">
      <w:pPr>
        <w:pStyle w:val="BodyText"/>
        <w:spacing w:before="2" w:line="252" w:lineRule="auto"/>
        <w:ind w:left="533" w:right="128" w:firstLine="283"/>
        <w:jc w:val="both"/>
      </w:pPr>
      <w:r>
        <w:rPr>
          <w:color w:val="231F20"/>
        </w:rPr>
        <w:t>Як бачимо, крім суб’єктів та об’єктів, до складу адміністративно- правових відносин входять їх юридичні обов’язки та суб’єктивні права (останні у значенні правоможності суб’єктів). У юриди</w:t>
      </w:r>
      <w:r>
        <w:rPr>
          <w:color w:val="231F20"/>
        </w:rPr>
        <w:t>чній літературі це отримало назву «зміст адміністративно-правових відносин».</w:t>
      </w:r>
    </w:p>
    <w:p w14:paraId="42CD695B" w14:textId="77777777" w:rsidR="00DE575E" w:rsidRDefault="002E7560">
      <w:pPr>
        <w:pStyle w:val="BodyText"/>
        <w:spacing w:before="2" w:line="252" w:lineRule="auto"/>
        <w:ind w:left="533" w:right="127" w:firstLine="283"/>
        <w:jc w:val="both"/>
      </w:pPr>
      <w:r>
        <w:rPr>
          <w:b/>
          <w:color w:val="231F20"/>
        </w:rPr>
        <w:t xml:space="preserve">Зміст адміністративно-правових відносин </w:t>
      </w:r>
      <w:r>
        <w:rPr>
          <w:color w:val="231F20"/>
        </w:rPr>
        <w:t xml:space="preserve">– це сукупність </w:t>
      </w:r>
      <w:r>
        <w:rPr>
          <w:color w:val="231F20"/>
          <w:spacing w:val="-3"/>
        </w:rPr>
        <w:t xml:space="preserve">суб’єктивних </w:t>
      </w:r>
      <w:r>
        <w:rPr>
          <w:color w:val="231F20"/>
        </w:rPr>
        <w:t xml:space="preserve">публічних прав (публічної правоможності) та юридич- них обов’язків </w:t>
      </w:r>
      <w:r>
        <w:rPr>
          <w:color w:val="231F20"/>
          <w:spacing w:val="-3"/>
        </w:rPr>
        <w:t xml:space="preserve">суб’єктів </w:t>
      </w:r>
      <w:r>
        <w:rPr>
          <w:color w:val="231F20"/>
        </w:rPr>
        <w:t>адміністративного права, коли кож</w:t>
      </w:r>
      <w:r>
        <w:rPr>
          <w:color w:val="231F20"/>
        </w:rPr>
        <w:t xml:space="preserve">ному </w:t>
      </w:r>
      <w:r>
        <w:rPr>
          <w:color w:val="231F20"/>
          <w:spacing w:val="-3"/>
        </w:rPr>
        <w:t xml:space="preserve">суб’єктивному   </w:t>
      </w:r>
      <w:r>
        <w:rPr>
          <w:color w:val="231F20"/>
        </w:rPr>
        <w:t xml:space="preserve">праву   одного   </w:t>
      </w:r>
      <w:r>
        <w:rPr>
          <w:color w:val="231F20"/>
          <w:spacing w:val="-3"/>
        </w:rPr>
        <w:t xml:space="preserve">суб’єкта   </w:t>
      </w:r>
      <w:r>
        <w:rPr>
          <w:color w:val="231F20"/>
        </w:rPr>
        <w:t xml:space="preserve">адміністративно-право- вих відносин відповідає (кореспондується) юридичний обов’язок іншого </w:t>
      </w:r>
      <w:r>
        <w:rPr>
          <w:color w:val="231F20"/>
          <w:spacing w:val="-3"/>
        </w:rPr>
        <w:t xml:space="preserve">суб’єкта, </w:t>
      </w:r>
      <w:r>
        <w:rPr>
          <w:color w:val="231F20"/>
        </w:rPr>
        <w:t>і</w:t>
      </w:r>
      <w:r>
        <w:rPr>
          <w:color w:val="231F20"/>
        </w:rPr>
        <w:t xml:space="preserve"> </w:t>
      </w:r>
      <w:r>
        <w:rPr>
          <w:color w:val="231F20"/>
        </w:rPr>
        <w:t>навпаки.</w:t>
      </w:r>
    </w:p>
    <w:p w14:paraId="5D4FAD0F" w14:textId="77777777" w:rsidR="00DE575E" w:rsidRDefault="002E7560">
      <w:pPr>
        <w:pStyle w:val="BodyText"/>
        <w:spacing w:before="3" w:line="252" w:lineRule="auto"/>
        <w:ind w:left="533" w:right="128" w:firstLine="283"/>
        <w:jc w:val="both"/>
      </w:pPr>
      <w:r>
        <w:rPr>
          <w:color w:val="231F20"/>
        </w:rPr>
        <w:t>Виходячи з того, що адміністративно-правові відносини є поєд- нанням</w:t>
      </w:r>
      <w:r>
        <w:rPr>
          <w:color w:val="231F20"/>
          <w:spacing w:val="-8"/>
        </w:rPr>
        <w:t xml:space="preserve"> </w:t>
      </w:r>
      <w:r>
        <w:rPr>
          <w:color w:val="231F20"/>
        </w:rPr>
        <w:t>фактичних</w:t>
      </w:r>
      <w:r>
        <w:rPr>
          <w:color w:val="231F20"/>
          <w:spacing w:val="-8"/>
        </w:rPr>
        <w:t xml:space="preserve"> </w:t>
      </w:r>
      <w:r>
        <w:rPr>
          <w:color w:val="231F20"/>
        </w:rPr>
        <w:t>суспільних</w:t>
      </w:r>
      <w:r>
        <w:rPr>
          <w:color w:val="231F20"/>
          <w:spacing w:val="-8"/>
        </w:rPr>
        <w:t xml:space="preserve"> </w:t>
      </w:r>
      <w:r>
        <w:rPr>
          <w:color w:val="231F20"/>
        </w:rPr>
        <w:t>відн</w:t>
      </w:r>
      <w:r>
        <w:rPr>
          <w:color w:val="231F20"/>
        </w:rPr>
        <w:t>осин</w:t>
      </w:r>
      <w:r>
        <w:rPr>
          <w:color w:val="231F20"/>
          <w:spacing w:val="-8"/>
        </w:rPr>
        <w:t xml:space="preserve"> </w:t>
      </w:r>
      <w:r>
        <w:rPr>
          <w:color w:val="231F20"/>
        </w:rPr>
        <w:t>і</w:t>
      </w:r>
      <w:r>
        <w:rPr>
          <w:color w:val="231F20"/>
          <w:spacing w:val="-8"/>
        </w:rPr>
        <w:t xml:space="preserve"> </w:t>
      </w:r>
      <w:r>
        <w:rPr>
          <w:color w:val="231F20"/>
        </w:rPr>
        <w:t>адміністративно-правових норм, які надають фактичним суспільним відносинам адміністра- тивно-правової форми, розрізняють фактичний і юридичний зміст аналізованих</w:t>
      </w:r>
      <w:r>
        <w:rPr>
          <w:color w:val="231F20"/>
          <w:spacing w:val="-2"/>
        </w:rPr>
        <w:t xml:space="preserve"> </w:t>
      </w:r>
      <w:r>
        <w:rPr>
          <w:color w:val="231F20"/>
        </w:rPr>
        <w:t>відносин.</w:t>
      </w:r>
    </w:p>
    <w:p w14:paraId="54AF12F5" w14:textId="77777777" w:rsidR="00DE575E" w:rsidRDefault="002E7560">
      <w:pPr>
        <w:spacing w:before="3" w:line="252" w:lineRule="auto"/>
        <w:ind w:left="454" w:right="128" w:firstLine="283"/>
        <w:jc w:val="right"/>
        <w:rPr>
          <w:sz w:val="21"/>
        </w:rPr>
      </w:pPr>
      <w:r>
        <w:rPr>
          <w:b/>
          <w:i/>
          <w:color w:val="231F20"/>
          <w:sz w:val="21"/>
        </w:rPr>
        <w:t xml:space="preserve">Фактичний зміст адміністративно-правових відносин </w:t>
      </w:r>
      <w:r>
        <w:rPr>
          <w:color w:val="231F20"/>
          <w:sz w:val="21"/>
        </w:rPr>
        <w:t xml:space="preserve">– це фактичні соціальні, економічні, культурні, політичні та інші відно- сини, які отримали через опосередкування адміністративно-право- вих норм свою юридичну </w:t>
      </w:r>
      <w:r>
        <w:rPr>
          <w:color w:val="231F20"/>
          <w:spacing w:val="-4"/>
          <w:sz w:val="21"/>
        </w:rPr>
        <w:t xml:space="preserve">форму. </w:t>
      </w:r>
      <w:r>
        <w:rPr>
          <w:color w:val="231F20"/>
          <w:sz w:val="21"/>
        </w:rPr>
        <w:t xml:space="preserve">Вони зберегли фактичний </w:t>
      </w:r>
      <w:r>
        <w:rPr>
          <w:color w:val="231F20"/>
          <w:spacing w:val="-3"/>
          <w:sz w:val="21"/>
        </w:rPr>
        <w:t xml:space="preserve">зміст, </w:t>
      </w:r>
      <w:r>
        <w:rPr>
          <w:color w:val="231F20"/>
          <w:sz w:val="21"/>
        </w:rPr>
        <w:t>але</w:t>
      </w:r>
      <w:r>
        <w:rPr>
          <w:color w:val="231F20"/>
          <w:spacing w:val="-1"/>
          <w:sz w:val="21"/>
        </w:rPr>
        <w:t xml:space="preserve"> </w:t>
      </w:r>
      <w:r>
        <w:rPr>
          <w:color w:val="231F20"/>
          <w:sz w:val="21"/>
        </w:rPr>
        <w:t xml:space="preserve">завдяки адміністративним правовим нормам набули нових </w:t>
      </w:r>
      <w:r>
        <w:rPr>
          <w:color w:val="231F20"/>
          <w:sz w:val="21"/>
        </w:rPr>
        <w:t xml:space="preserve">якостей. </w:t>
      </w:r>
      <w:r>
        <w:rPr>
          <w:b/>
          <w:i/>
          <w:color w:val="231F20"/>
          <w:sz w:val="21"/>
        </w:rPr>
        <w:t xml:space="preserve">Юридичний зміст адміністративно-правових відносин </w:t>
      </w:r>
      <w:r>
        <w:rPr>
          <w:color w:val="231F20"/>
          <w:sz w:val="21"/>
        </w:rPr>
        <w:t xml:space="preserve">– це взаємозв’язок зафіксованих в адміністративному праві </w:t>
      </w:r>
      <w:r>
        <w:rPr>
          <w:color w:val="231F20"/>
          <w:spacing w:val="-3"/>
          <w:sz w:val="21"/>
        </w:rPr>
        <w:t>суб’єктивних</w:t>
      </w:r>
    </w:p>
    <w:p w14:paraId="5B771A2B" w14:textId="77777777" w:rsidR="00DE575E" w:rsidRDefault="00DE575E">
      <w:pPr>
        <w:pStyle w:val="BodyText"/>
        <w:rPr>
          <w:sz w:val="15"/>
        </w:rPr>
      </w:pPr>
    </w:p>
    <w:p w14:paraId="0333C34F" w14:textId="77777777" w:rsidR="00DE575E" w:rsidRDefault="002E7560">
      <w:pPr>
        <w:spacing w:before="91"/>
        <w:ind w:left="533"/>
        <w:rPr>
          <w:rFonts w:ascii="Times New Roman"/>
          <w:sz w:val="20"/>
        </w:rPr>
      </w:pPr>
      <w:r>
        <w:rPr>
          <w:rFonts w:ascii="Times New Roman"/>
          <w:color w:val="231F20"/>
          <w:sz w:val="20"/>
        </w:rPr>
        <w:t>30</w:t>
      </w:r>
    </w:p>
    <w:p w14:paraId="73D85F73" w14:textId="77777777" w:rsidR="00DE575E" w:rsidRDefault="00DE575E">
      <w:pPr>
        <w:rPr>
          <w:rFonts w:ascii="Times New Roman"/>
          <w:sz w:val="20"/>
        </w:rPr>
        <w:sectPr w:rsidR="00DE575E">
          <w:pgSz w:w="8510" w:h="12760"/>
          <w:pgMar w:top="660" w:right="720" w:bottom="280" w:left="600" w:header="720" w:footer="720" w:gutter="0"/>
          <w:cols w:space="720"/>
        </w:sectPr>
      </w:pPr>
    </w:p>
    <w:p w14:paraId="4ED2AFFF"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03B6A5BA" w14:textId="463F7F6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ACED9E9" wp14:editId="0DA67768">
                <wp:extent cx="4140200" cy="6350"/>
                <wp:effectExtent l="0" t="0" r="12700" b="6350"/>
                <wp:docPr id="1344"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45" name="Line 134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D33E9" id="Group_x0020_134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HXl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qB15R/AgAAnAUAAA4A&#10;AAAAAAAAAAAAAAAALAIAAGRycy9lMm9Eb2MueG1sUEsBAi0AFAAGAAgAAAAhAEynsJDZAAAAAwEA&#10;AA8AAAAAAAAAAAAAAAAA1wQAAGRycy9kb3ducmV2LnhtbFBLBQYAAAAABAAEAPMAAADdBQAAAAA=&#10;">
                <v:line id="Line_x0020_134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41o8UAAADdAAAADwAAAGRycy9kb3ducmV2LnhtbERP22rCQBB9F/yHZQq+lLppU4tEV5FC&#10;QfrgLX7AmB2T0N3ZmF1N2q/vFgq+zeFcZ77srRE3an3tWMHzOAFBXDhdc6ngmH88TUH4gKzROCYF&#10;3+RhuRgO5php1/GebodQihjCPkMFVQhNJqUvKrLox64hjtzZtRZDhG0pdYtdDLdGviTJm7RYc2yo&#10;sKH3ioqvw9UqyC+Pwey2n6bLt6dUni6b9Oe6UWr00K9mIAL14S7+d691nJ++TuDvm3iC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b41o8UAAADdAAAADwAAAAAAAAAA&#10;AAAAAAChAgAAZHJzL2Rvd25yZXYueG1sUEsFBgAAAAAEAAQA+QAAAJMDAAAAAA==&#10;" strokecolor="#231f20" strokeweight=".5pt"/>
                <w10:anchorlock/>
              </v:group>
            </w:pict>
          </mc:Fallback>
        </mc:AlternateContent>
      </w:r>
    </w:p>
    <w:p w14:paraId="11008D1E" w14:textId="77777777" w:rsidR="00DE575E" w:rsidRDefault="00DE575E">
      <w:pPr>
        <w:pStyle w:val="BodyText"/>
        <w:spacing w:before="7"/>
        <w:rPr>
          <w:rFonts w:ascii="AdonisC"/>
          <w:i/>
          <w:sz w:val="19"/>
        </w:rPr>
      </w:pPr>
    </w:p>
    <w:p w14:paraId="5D326262" w14:textId="77777777" w:rsidR="00DE575E" w:rsidRDefault="002E7560">
      <w:pPr>
        <w:pStyle w:val="BodyText"/>
        <w:spacing w:before="1" w:line="252" w:lineRule="auto"/>
        <w:ind w:left="250"/>
      </w:pPr>
      <w:r>
        <w:rPr>
          <w:color w:val="231F20"/>
        </w:rPr>
        <w:t>прав та юридичних обов’язків учасників адміністративно-правових відносин.</w:t>
      </w:r>
    </w:p>
    <w:p w14:paraId="70F52310" w14:textId="77777777" w:rsidR="00DE575E" w:rsidRDefault="002E7560">
      <w:pPr>
        <w:pStyle w:val="BodyText"/>
        <w:spacing w:before="1" w:line="252" w:lineRule="auto"/>
        <w:ind w:left="250" w:right="410" w:firstLine="283"/>
        <w:jc w:val="both"/>
      </w:pPr>
      <w:r>
        <w:rPr>
          <w:i/>
          <w:color w:val="231F20"/>
          <w:spacing w:val="-3"/>
        </w:rPr>
        <w:t xml:space="preserve">Суб’єктивне </w:t>
      </w:r>
      <w:r>
        <w:rPr>
          <w:i/>
          <w:color w:val="231F20"/>
        </w:rPr>
        <w:t xml:space="preserve">право </w:t>
      </w:r>
      <w:r>
        <w:rPr>
          <w:color w:val="231F20"/>
        </w:rPr>
        <w:t>– це передбачені для уповноваженої особи вид і</w:t>
      </w:r>
      <w:r>
        <w:rPr>
          <w:color w:val="231F20"/>
          <w:spacing w:val="-13"/>
        </w:rPr>
        <w:t xml:space="preserve"> </w:t>
      </w:r>
      <w:r>
        <w:rPr>
          <w:color w:val="231F20"/>
        </w:rPr>
        <w:t>міра</w:t>
      </w:r>
      <w:r>
        <w:rPr>
          <w:color w:val="231F20"/>
          <w:spacing w:val="-13"/>
        </w:rPr>
        <w:t xml:space="preserve"> </w:t>
      </w:r>
      <w:r>
        <w:rPr>
          <w:color w:val="231F20"/>
        </w:rPr>
        <w:t>можливої</w:t>
      </w:r>
      <w:r>
        <w:rPr>
          <w:color w:val="231F20"/>
          <w:spacing w:val="-13"/>
        </w:rPr>
        <w:t xml:space="preserve"> </w:t>
      </w:r>
      <w:r>
        <w:rPr>
          <w:color w:val="231F20"/>
        </w:rPr>
        <w:t>або</w:t>
      </w:r>
      <w:r>
        <w:rPr>
          <w:color w:val="231F20"/>
          <w:spacing w:val="-13"/>
        </w:rPr>
        <w:t xml:space="preserve"> </w:t>
      </w:r>
      <w:r>
        <w:rPr>
          <w:color w:val="231F20"/>
        </w:rPr>
        <w:t>дозволеної</w:t>
      </w:r>
      <w:r>
        <w:rPr>
          <w:color w:val="231F20"/>
          <w:spacing w:val="-13"/>
        </w:rPr>
        <w:t xml:space="preserve"> </w:t>
      </w:r>
      <w:r>
        <w:rPr>
          <w:color w:val="231F20"/>
        </w:rPr>
        <w:t>поведінки,</w:t>
      </w:r>
      <w:r>
        <w:rPr>
          <w:color w:val="231F20"/>
          <w:spacing w:val="-13"/>
        </w:rPr>
        <w:t xml:space="preserve"> </w:t>
      </w:r>
      <w:r>
        <w:rPr>
          <w:color w:val="231F20"/>
        </w:rPr>
        <w:t>забезпечені</w:t>
      </w:r>
      <w:r>
        <w:rPr>
          <w:color w:val="231F20"/>
          <w:spacing w:val="-13"/>
        </w:rPr>
        <w:t xml:space="preserve"> </w:t>
      </w:r>
      <w:r>
        <w:rPr>
          <w:color w:val="231F20"/>
        </w:rPr>
        <w:t xml:space="preserve">відповідними юридичними обов’язками інших (зобов’язаних) осіб. Проте в адмі- ністративному праві діє не суто </w:t>
      </w:r>
      <w:r>
        <w:rPr>
          <w:color w:val="231F20"/>
          <w:spacing w:val="-3"/>
        </w:rPr>
        <w:t xml:space="preserve">суб’єктивне </w:t>
      </w:r>
      <w:r>
        <w:rPr>
          <w:color w:val="231F20"/>
        </w:rPr>
        <w:t xml:space="preserve">право, а </w:t>
      </w:r>
      <w:r>
        <w:rPr>
          <w:color w:val="231F20"/>
          <w:spacing w:val="-3"/>
        </w:rPr>
        <w:t xml:space="preserve">«суб’єктивне </w:t>
      </w:r>
      <w:r>
        <w:rPr>
          <w:color w:val="231F20"/>
        </w:rPr>
        <w:t>публічне право».</w:t>
      </w:r>
    </w:p>
    <w:p w14:paraId="074F185F" w14:textId="77777777" w:rsidR="00DE575E" w:rsidRDefault="002E7560">
      <w:pPr>
        <w:pStyle w:val="BodyText"/>
        <w:spacing w:before="2" w:line="252" w:lineRule="auto"/>
        <w:ind w:left="250" w:right="410" w:firstLine="283"/>
        <w:jc w:val="both"/>
      </w:pPr>
      <w:r>
        <w:rPr>
          <w:i/>
          <w:color w:val="231F20"/>
          <w:spacing w:val="-3"/>
        </w:rPr>
        <w:t xml:space="preserve">Суб’єктивні </w:t>
      </w:r>
      <w:r>
        <w:rPr>
          <w:i/>
          <w:color w:val="231F20"/>
        </w:rPr>
        <w:t xml:space="preserve">права </w:t>
      </w:r>
      <w:r>
        <w:rPr>
          <w:color w:val="231F20"/>
        </w:rPr>
        <w:t>громадянина обов’язково характеризуються ознакою публічності, що означає можли</w:t>
      </w:r>
      <w:r>
        <w:rPr>
          <w:color w:val="231F20"/>
        </w:rPr>
        <w:t>вість впливати на управлін- ські</w:t>
      </w:r>
      <w:r>
        <w:rPr>
          <w:color w:val="231F20"/>
          <w:spacing w:val="-9"/>
        </w:rPr>
        <w:t xml:space="preserve"> </w:t>
      </w:r>
      <w:r>
        <w:rPr>
          <w:color w:val="231F20"/>
        </w:rPr>
        <w:t>процеси,</w:t>
      </w:r>
      <w:r>
        <w:rPr>
          <w:color w:val="231F20"/>
          <w:spacing w:val="-9"/>
        </w:rPr>
        <w:t xml:space="preserve"> </w:t>
      </w:r>
      <w:r>
        <w:rPr>
          <w:color w:val="231F20"/>
        </w:rPr>
        <w:t>брати</w:t>
      </w:r>
      <w:r>
        <w:rPr>
          <w:color w:val="231F20"/>
          <w:spacing w:val="-9"/>
        </w:rPr>
        <w:t xml:space="preserve"> </w:t>
      </w:r>
      <w:r>
        <w:rPr>
          <w:color w:val="231F20"/>
        </w:rPr>
        <w:t>участь</w:t>
      </w:r>
      <w:r>
        <w:rPr>
          <w:color w:val="231F20"/>
          <w:spacing w:val="-9"/>
        </w:rPr>
        <w:t xml:space="preserve"> </w:t>
      </w:r>
      <w:r>
        <w:rPr>
          <w:color w:val="231F20"/>
        </w:rPr>
        <w:t>у</w:t>
      </w:r>
      <w:r>
        <w:rPr>
          <w:color w:val="231F20"/>
          <w:spacing w:val="-9"/>
        </w:rPr>
        <w:t xml:space="preserve"> </w:t>
      </w:r>
      <w:r>
        <w:rPr>
          <w:color w:val="231F20"/>
        </w:rPr>
        <w:t>державній</w:t>
      </w:r>
      <w:r>
        <w:rPr>
          <w:color w:val="231F20"/>
          <w:spacing w:val="-9"/>
        </w:rPr>
        <w:t xml:space="preserve"> </w:t>
      </w:r>
      <w:r>
        <w:rPr>
          <w:color w:val="231F20"/>
        </w:rPr>
        <w:t>і</w:t>
      </w:r>
      <w:r>
        <w:rPr>
          <w:color w:val="231F20"/>
          <w:spacing w:val="-9"/>
        </w:rPr>
        <w:t xml:space="preserve"> </w:t>
      </w:r>
      <w:r>
        <w:rPr>
          <w:color w:val="231F20"/>
        </w:rPr>
        <w:t>суспільно-політичній</w:t>
      </w:r>
      <w:r>
        <w:rPr>
          <w:color w:val="231F20"/>
          <w:spacing w:val="-9"/>
        </w:rPr>
        <w:t xml:space="preserve"> </w:t>
      </w:r>
      <w:r>
        <w:rPr>
          <w:color w:val="231F20"/>
        </w:rPr>
        <w:t>діяль- ності,</w:t>
      </w:r>
      <w:r>
        <w:rPr>
          <w:color w:val="231F20"/>
          <w:spacing w:val="-10"/>
        </w:rPr>
        <w:t xml:space="preserve"> </w:t>
      </w:r>
      <w:r>
        <w:rPr>
          <w:color w:val="231F20"/>
        </w:rPr>
        <w:t>користуватися</w:t>
      </w:r>
      <w:r>
        <w:rPr>
          <w:color w:val="231F20"/>
          <w:spacing w:val="-10"/>
        </w:rPr>
        <w:t xml:space="preserve"> </w:t>
      </w:r>
      <w:r>
        <w:rPr>
          <w:color w:val="231F20"/>
        </w:rPr>
        <w:t>передбаченими</w:t>
      </w:r>
      <w:r>
        <w:rPr>
          <w:color w:val="231F20"/>
          <w:spacing w:val="-10"/>
        </w:rPr>
        <w:t xml:space="preserve"> </w:t>
      </w:r>
      <w:r>
        <w:rPr>
          <w:color w:val="231F20"/>
        </w:rPr>
        <w:t>Конституцією</w:t>
      </w:r>
      <w:r>
        <w:rPr>
          <w:color w:val="231F20"/>
          <w:spacing w:val="-10"/>
        </w:rPr>
        <w:t xml:space="preserve"> </w:t>
      </w:r>
      <w:r>
        <w:rPr>
          <w:color w:val="231F20"/>
        </w:rPr>
        <w:t>правами</w:t>
      </w:r>
      <w:r>
        <w:rPr>
          <w:color w:val="231F20"/>
          <w:spacing w:val="-10"/>
        </w:rPr>
        <w:t xml:space="preserve"> </w:t>
      </w:r>
      <w:r>
        <w:rPr>
          <w:color w:val="231F20"/>
        </w:rPr>
        <w:t>і</w:t>
      </w:r>
      <w:r>
        <w:rPr>
          <w:color w:val="231F20"/>
          <w:spacing w:val="-11"/>
        </w:rPr>
        <w:t xml:space="preserve"> </w:t>
      </w:r>
      <w:r>
        <w:rPr>
          <w:color w:val="231F20"/>
        </w:rPr>
        <w:t xml:space="preserve">свобо- дами, оскаржувати дії, рішення чи бездіяльність органів влади та   їх посадових осіб до </w:t>
      </w:r>
      <w:r>
        <w:rPr>
          <w:color w:val="231F20"/>
          <w:spacing w:val="-7"/>
        </w:rPr>
        <w:t xml:space="preserve">суду. </w:t>
      </w:r>
      <w:r>
        <w:rPr>
          <w:color w:val="231F20"/>
        </w:rPr>
        <w:t xml:space="preserve">Діяльність громадян у публічно-правовій сфері здійснюється в рамках створених публічно-правових інсти- туцій. Ці правовідносини характерні тим, що, з одного </w:t>
      </w:r>
      <w:r>
        <w:rPr>
          <w:color w:val="231F20"/>
          <w:spacing w:val="-5"/>
        </w:rPr>
        <w:t xml:space="preserve">боку, </w:t>
      </w:r>
      <w:r>
        <w:rPr>
          <w:color w:val="231F20"/>
          <w:spacing w:val="-4"/>
        </w:rPr>
        <w:t xml:space="preserve">суб’єкт </w:t>
      </w:r>
      <w:r>
        <w:rPr>
          <w:color w:val="231F20"/>
        </w:rPr>
        <w:t>владних</w:t>
      </w:r>
      <w:r>
        <w:rPr>
          <w:color w:val="231F20"/>
          <w:spacing w:val="-7"/>
        </w:rPr>
        <w:t xml:space="preserve"> </w:t>
      </w:r>
      <w:r>
        <w:rPr>
          <w:color w:val="231F20"/>
        </w:rPr>
        <w:t>повноважень</w:t>
      </w:r>
      <w:r>
        <w:rPr>
          <w:color w:val="231F20"/>
          <w:spacing w:val="-7"/>
        </w:rPr>
        <w:t xml:space="preserve"> </w:t>
      </w:r>
      <w:r>
        <w:rPr>
          <w:color w:val="231F20"/>
        </w:rPr>
        <w:t>зобов’язаний</w:t>
      </w:r>
      <w:r>
        <w:rPr>
          <w:color w:val="231F20"/>
          <w:spacing w:val="-7"/>
        </w:rPr>
        <w:t xml:space="preserve"> </w:t>
      </w:r>
      <w:r>
        <w:rPr>
          <w:color w:val="231F20"/>
        </w:rPr>
        <w:t>сприяти</w:t>
      </w:r>
      <w:r>
        <w:rPr>
          <w:color w:val="231F20"/>
          <w:spacing w:val="-7"/>
        </w:rPr>
        <w:t xml:space="preserve"> </w:t>
      </w:r>
      <w:r>
        <w:rPr>
          <w:color w:val="231F20"/>
        </w:rPr>
        <w:t>реалізації</w:t>
      </w:r>
      <w:r>
        <w:rPr>
          <w:color w:val="231F20"/>
          <w:spacing w:val="-7"/>
        </w:rPr>
        <w:t xml:space="preserve"> </w:t>
      </w:r>
      <w:r>
        <w:rPr>
          <w:color w:val="231F20"/>
        </w:rPr>
        <w:t>прав</w:t>
      </w:r>
      <w:r>
        <w:rPr>
          <w:color w:val="231F20"/>
          <w:spacing w:val="-7"/>
        </w:rPr>
        <w:t xml:space="preserve"> </w:t>
      </w:r>
      <w:r>
        <w:rPr>
          <w:color w:val="231F20"/>
        </w:rPr>
        <w:t>і</w:t>
      </w:r>
      <w:r>
        <w:rPr>
          <w:color w:val="231F20"/>
          <w:spacing w:val="-7"/>
        </w:rPr>
        <w:t xml:space="preserve"> </w:t>
      </w:r>
      <w:r>
        <w:rPr>
          <w:color w:val="231F20"/>
        </w:rPr>
        <w:t xml:space="preserve">свобод громадян, а з іншого – громадянин у разі порушення його консти- туційних гарантій має право звертатися зі скаргою чи позовом до </w:t>
      </w:r>
      <w:r>
        <w:rPr>
          <w:color w:val="231F20"/>
          <w:spacing w:val="-4"/>
        </w:rPr>
        <w:t xml:space="preserve">суду  </w:t>
      </w:r>
      <w:r>
        <w:rPr>
          <w:color w:val="231F20"/>
        </w:rPr>
        <w:t>на дії органів публічної влади або до управлінських органів      у порядку ієрархічної</w:t>
      </w:r>
      <w:r>
        <w:rPr>
          <w:color w:val="231F20"/>
          <w:spacing w:val="-3"/>
        </w:rPr>
        <w:t xml:space="preserve"> </w:t>
      </w:r>
      <w:r>
        <w:rPr>
          <w:color w:val="231F20"/>
        </w:rPr>
        <w:t>вертикалі.</w:t>
      </w:r>
    </w:p>
    <w:p w14:paraId="0066BC39" w14:textId="77777777" w:rsidR="00DE575E" w:rsidRDefault="002E7560">
      <w:pPr>
        <w:spacing w:before="7" w:line="252" w:lineRule="auto"/>
        <w:ind w:left="250" w:right="411" w:firstLine="283"/>
        <w:jc w:val="both"/>
        <w:rPr>
          <w:sz w:val="21"/>
        </w:rPr>
      </w:pPr>
      <w:r>
        <w:rPr>
          <w:b/>
          <w:i/>
          <w:color w:val="231F20"/>
          <w:sz w:val="21"/>
        </w:rPr>
        <w:t xml:space="preserve">Публічне </w:t>
      </w:r>
      <w:r>
        <w:rPr>
          <w:b/>
          <w:i/>
          <w:color w:val="231F20"/>
          <w:spacing w:val="-3"/>
          <w:sz w:val="21"/>
        </w:rPr>
        <w:t>суб’єкти</w:t>
      </w:r>
      <w:r>
        <w:rPr>
          <w:b/>
          <w:i/>
          <w:color w:val="231F20"/>
          <w:spacing w:val="-3"/>
          <w:sz w:val="21"/>
        </w:rPr>
        <w:t xml:space="preserve">вне  </w:t>
      </w:r>
      <w:r>
        <w:rPr>
          <w:b/>
          <w:i/>
          <w:color w:val="231F20"/>
          <w:sz w:val="21"/>
        </w:rPr>
        <w:t xml:space="preserve">право </w:t>
      </w:r>
      <w:r>
        <w:rPr>
          <w:color w:val="231F20"/>
          <w:sz w:val="21"/>
        </w:rPr>
        <w:t>– це складне явище, що включає     в себе певні</w:t>
      </w:r>
      <w:r>
        <w:rPr>
          <w:color w:val="231F20"/>
          <w:spacing w:val="-3"/>
          <w:sz w:val="21"/>
        </w:rPr>
        <w:t xml:space="preserve"> </w:t>
      </w:r>
      <w:r>
        <w:rPr>
          <w:color w:val="231F20"/>
          <w:sz w:val="21"/>
        </w:rPr>
        <w:t>повноваження:</w:t>
      </w:r>
    </w:p>
    <w:p w14:paraId="004F83AB" w14:textId="77777777" w:rsidR="00DE575E" w:rsidRDefault="002E7560">
      <w:pPr>
        <w:pStyle w:val="ListParagraph"/>
        <w:numPr>
          <w:ilvl w:val="0"/>
          <w:numId w:val="310"/>
        </w:numPr>
        <w:tabs>
          <w:tab w:val="left" w:pos="818"/>
        </w:tabs>
        <w:spacing w:line="252" w:lineRule="auto"/>
        <w:ind w:right="411" w:firstLine="283"/>
        <w:jc w:val="both"/>
        <w:rPr>
          <w:sz w:val="21"/>
        </w:rPr>
      </w:pPr>
      <w:r>
        <w:rPr>
          <w:color w:val="231F20"/>
          <w:sz w:val="21"/>
        </w:rPr>
        <w:t>право невладних осіб вимагати від публічної адміністрації здійснення юридичних дій, спрямованих на захист їх прав (напри- клад, люди мають право вимагати від публічних органів контрол</w:t>
      </w:r>
      <w:r>
        <w:rPr>
          <w:color w:val="231F20"/>
          <w:sz w:val="21"/>
        </w:rPr>
        <w:t>ю над забезпеченням їх у закладах торгівлі незалежно від форм влас- ності безпечними для здоров’я та життя харчовими</w:t>
      </w:r>
      <w:r>
        <w:rPr>
          <w:color w:val="231F20"/>
          <w:spacing w:val="-28"/>
          <w:sz w:val="21"/>
        </w:rPr>
        <w:t xml:space="preserve"> </w:t>
      </w:r>
      <w:r>
        <w:rPr>
          <w:color w:val="231F20"/>
          <w:sz w:val="21"/>
        </w:rPr>
        <w:t>продуктами);</w:t>
      </w:r>
    </w:p>
    <w:p w14:paraId="057AEA01" w14:textId="77777777" w:rsidR="00DE575E" w:rsidRDefault="002E7560">
      <w:pPr>
        <w:pStyle w:val="ListParagraph"/>
        <w:numPr>
          <w:ilvl w:val="0"/>
          <w:numId w:val="310"/>
        </w:numPr>
        <w:tabs>
          <w:tab w:val="left" w:pos="818"/>
        </w:tabs>
        <w:spacing w:before="2" w:line="252" w:lineRule="auto"/>
        <w:ind w:right="411" w:firstLine="283"/>
        <w:jc w:val="both"/>
        <w:rPr>
          <w:sz w:val="21"/>
        </w:rPr>
      </w:pPr>
      <w:r>
        <w:rPr>
          <w:color w:val="231F20"/>
          <w:sz w:val="21"/>
        </w:rPr>
        <w:t xml:space="preserve">право вимагати від іншої сторони виконання обов’язку, тобто право на чужі дії (наприклад, </w:t>
      </w:r>
      <w:r>
        <w:rPr>
          <w:color w:val="231F20"/>
          <w:spacing w:val="-4"/>
          <w:sz w:val="21"/>
        </w:rPr>
        <w:t xml:space="preserve">суб’єкт </w:t>
      </w:r>
      <w:r>
        <w:rPr>
          <w:color w:val="231F20"/>
          <w:sz w:val="21"/>
        </w:rPr>
        <w:t>господарювання має право вим</w:t>
      </w:r>
      <w:r>
        <w:rPr>
          <w:color w:val="231F20"/>
          <w:sz w:val="21"/>
        </w:rPr>
        <w:t xml:space="preserve">агати від Антимонопольного комітету </w:t>
      </w:r>
      <w:r>
        <w:rPr>
          <w:color w:val="231F20"/>
          <w:spacing w:val="-3"/>
          <w:sz w:val="21"/>
        </w:rPr>
        <w:t xml:space="preserve">України </w:t>
      </w:r>
      <w:r>
        <w:rPr>
          <w:color w:val="231F20"/>
          <w:sz w:val="21"/>
        </w:rPr>
        <w:t>вжиття заходів до</w:t>
      </w:r>
      <w:r>
        <w:rPr>
          <w:color w:val="231F20"/>
          <w:spacing w:val="-12"/>
          <w:sz w:val="21"/>
        </w:rPr>
        <w:t xml:space="preserve"> </w:t>
      </w:r>
      <w:r>
        <w:rPr>
          <w:color w:val="231F20"/>
          <w:sz w:val="21"/>
        </w:rPr>
        <w:t>іншого</w:t>
      </w:r>
      <w:r>
        <w:rPr>
          <w:color w:val="231F20"/>
          <w:spacing w:val="-12"/>
          <w:sz w:val="21"/>
        </w:rPr>
        <w:t xml:space="preserve"> </w:t>
      </w:r>
      <w:r>
        <w:rPr>
          <w:color w:val="231F20"/>
          <w:spacing w:val="-3"/>
          <w:sz w:val="21"/>
        </w:rPr>
        <w:t>суб’єкта</w:t>
      </w:r>
      <w:r>
        <w:rPr>
          <w:color w:val="231F20"/>
          <w:spacing w:val="-12"/>
          <w:sz w:val="21"/>
        </w:rPr>
        <w:t xml:space="preserve"> </w:t>
      </w:r>
      <w:r>
        <w:rPr>
          <w:color w:val="231F20"/>
          <w:sz w:val="21"/>
        </w:rPr>
        <w:t>господарювання</w:t>
      </w:r>
      <w:r>
        <w:rPr>
          <w:color w:val="231F20"/>
          <w:spacing w:val="-12"/>
          <w:sz w:val="21"/>
        </w:rPr>
        <w:t xml:space="preserve"> </w:t>
      </w:r>
      <w:r>
        <w:rPr>
          <w:color w:val="231F20"/>
          <w:sz w:val="21"/>
        </w:rPr>
        <w:t>чи</w:t>
      </w:r>
      <w:r>
        <w:rPr>
          <w:color w:val="231F20"/>
          <w:spacing w:val="-12"/>
          <w:sz w:val="21"/>
        </w:rPr>
        <w:t xml:space="preserve"> </w:t>
      </w:r>
      <w:r>
        <w:rPr>
          <w:color w:val="231F20"/>
          <w:sz w:val="21"/>
        </w:rPr>
        <w:t>публічного</w:t>
      </w:r>
      <w:r>
        <w:rPr>
          <w:color w:val="231F20"/>
          <w:spacing w:val="-12"/>
          <w:sz w:val="21"/>
        </w:rPr>
        <w:t xml:space="preserve"> </w:t>
      </w:r>
      <w:r>
        <w:rPr>
          <w:color w:val="231F20"/>
          <w:spacing w:val="-3"/>
          <w:sz w:val="21"/>
        </w:rPr>
        <w:t>органу,</w:t>
      </w:r>
      <w:r>
        <w:rPr>
          <w:color w:val="231F20"/>
          <w:spacing w:val="-12"/>
          <w:sz w:val="21"/>
        </w:rPr>
        <w:t xml:space="preserve"> </w:t>
      </w:r>
      <w:r>
        <w:rPr>
          <w:color w:val="231F20"/>
          <w:sz w:val="21"/>
        </w:rPr>
        <w:t>який</w:t>
      </w:r>
      <w:r>
        <w:rPr>
          <w:color w:val="231F20"/>
          <w:spacing w:val="-12"/>
          <w:sz w:val="21"/>
        </w:rPr>
        <w:t xml:space="preserve"> </w:t>
      </w:r>
      <w:r>
        <w:rPr>
          <w:color w:val="231F20"/>
          <w:sz w:val="21"/>
        </w:rPr>
        <w:t>пору- шує законодавство про захист економічної</w:t>
      </w:r>
      <w:r>
        <w:rPr>
          <w:color w:val="231F20"/>
          <w:spacing w:val="-8"/>
          <w:sz w:val="21"/>
        </w:rPr>
        <w:t xml:space="preserve"> </w:t>
      </w:r>
      <w:r>
        <w:rPr>
          <w:color w:val="231F20"/>
          <w:sz w:val="21"/>
        </w:rPr>
        <w:t>конкуренції);</w:t>
      </w:r>
    </w:p>
    <w:p w14:paraId="576FD0A9" w14:textId="77777777" w:rsidR="00DE575E" w:rsidRDefault="002E7560">
      <w:pPr>
        <w:pStyle w:val="ListParagraph"/>
        <w:numPr>
          <w:ilvl w:val="0"/>
          <w:numId w:val="310"/>
        </w:numPr>
        <w:tabs>
          <w:tab w:val="left" w:pos="818"/>
        </w:tabs>
        <w:spacing w:before="2" w:line="252" w:lineRule="auto"/>
        <w:ind w:right="410" w:firstLine="283"/>
        <w:jc w:val="both"/>
        <w:rPr>
          <w:sz w:val="21"/>
        </w:rPr>
      </w:pPr>
      <w:r>
        <w:rPr>
          <w:color w:val="231F20"/>
          <w:sz w:val="21"/>
        </w:rPr>
        <w:t>право</w:t>
      </w:r>
      <w:r>
        <w:rPr>
          <w:color w:val="231F20"/>
          <w:spacing w:val="-18"/>
          <w:sz w:val="21"/>
        </w:rPr>
        <w:t xml:space="preserve"> </w:t>
      </w:r>
      <w:r>
        <w:rPr>
          <w:color w:val="231F20"/>
          <w:sz w:val="21"/>
        </w:rPr>
        <w:t>ввести</w:t>
      </w:r>
      <w:r>
        <w:rPr>
          <w:color w:val="231F20"/>
          <w:spacing w:val="-18"/>
          <w:sz w:val="21"/>
        </w:rPr>
        <w:t xml:space="preserve"> </w:t>
      </w:r>
      <w:r>
        <w:rPr>
          <w:color w:val="231F20"/>
          <w:sz w:val="21"/>
        </w:rPr>
        <w:t>в</w:t>
      </w:r>
      <w:r>
        <w:rPr>
          <w:color w:val="231F20"/>
          <w:spacing w:val="-18"/>
          <w:sz w:val="21"/>
        </w:rPr>
        <w:t xml:space="preserve"> </w:t>
      </w:r>
      <w:r>
        <w:rPr>
          <w:color w:val="231F20"/>
          <w:sz w:val="21"/>
        </w:rPr>
        <w:t>дію</w:t>
      </w:r>
      <w:r>
        <w:rPr>
          <w:color w:val="231F20"/>
          <w:spacing w:val="-18"/>
          <w:sz w:val="21"/>
        </w:rPr>
        <w:t xml:space="preserve"> </w:t>
      </w:r>
      <w:r>
        <w:rPr>
          <w:color w:val="231F20"/>
          <w:sz w:val="21"/>
        </w:rPr>
        <w:t>апарат</w:t>
      </w:r>
      <w:r>
        <w:rPr>
          <w:color w:val="231F20"/>
          <w:spacing w:val="-18"/>
          <w:sz w:val="21"/>
        </w:rPr>
        <w:t xml:space="preserve"> </w:t>
      </w:r>
      <w:r>
        <w:rPr>
          <w:color w:val="231F20"/>
          <w:sz w:val="21"/>
        </w:rPr>
        <w:t>примусу</w:t>
      </w:r>
      <w:r>
        <w:rPr>
          <w:color w:val="231F20"/>
          <w:spacing w:val="-18"/>
          <w:sz w:val="21"/>
        </w:rPr>
        <w:t xml:space="preserve"> </w:t>
      </w:r>
      <w:r>
        <w:rPr>
          <w:color w:val="231F20"/>
          <w:sz w:val="21"/>
        </w:rPr>
        <w:t>держави</w:t>
      </w:r>
      <w:r>
        <w:rPr>
          <w:color w:val="231F20"/>
          <w:spacing w:val="-18"/>
          <w:sz w:val="21"/>
        </w:rPr>
        <w:t xml:space="preserve"> </w:t>
      </w:r>
      <w:r>
        <w:rPr>
          <w:color w:val="231F20"/>
          <w:sz w:val="21"/>
        </w:rPr>
        <w:t>проти</w:t>
      </w:r>
      <w:r>
        <w:rPr>
          <w:color w:val="231F20"/>
          <w:spacing w:val="-18"/>
          <w:sz w:val="21"/>
        </w:rPr>
        <w:t xml:space="preserve"> </w:t>
      </w:r>
      <w:r>
        <w:rPr>
          <w:color w:val="231F20"/>
          <w:sz w:val="21"/>
        </w:rPr>
        <w:t>зобов’язаної особи, тобто право на примусове виконання обов’язку (наприклад, відділ державної виконавчої служби в разі несплати у визначений строк</w:t>
      </w:r>
      <w:r>
        <w:rPr>
          <w:color w:val="231F20"/>
          <w:spacing w:val="-12"/>
          <w:sz w:val="21"/>
        </w:rPr>
        <w:t xml:space="preserve"> </w:t>
      </w:r>
      <w:r>
        <w:rPr>
          <w:color w:val="231F20"/>
          <w:sz w:val="21"/>
        </w:rPr>
        <w:t>має</w:t>
      </w:r>
      <w:r>
        <w:rPr>
          <w:color w:val="231F20"/>
          <w:spacing w:val="-12"/>
          <w:sz w:val="21"/>
        </w:rPr>
        <w:t xml:space="preserve"> </w:t>
      </w:r>
      <w:r>
        <w:rPr>
          <w:color w:val="231F20"/>
          <w:sz w:val="21"/>
        </w:rPr>
        <w:t>право</w:t>
      </w:r>
      <w:r>
        <w:rPr>
          <w:color w:val="231F20"/>
          <w:spacing w:val="-13"/>
          <w:sz w:val="21"/>
        </w:rPr>
        <w:t xml:space="preserve"> </w:t>
      </w:r>
      <w:r>
        <w:rPr>
          <w:color w:val="231F20"/>
          <w:sz w:val="21"/>
        </w:rPr>
        <w:t>у</w:t>
      </w:r>
      <w:r>
        <w:rPr>
          <w:color w:val="231F20"/>
          <w:spacing w:val="-12"/>
          <w:sz w:val="21"/>
        </w:rPr>
        <w:t xml:space="preserve"> </w:t>
      </w:r>
      <w:r>
        <w:rPr>
          <w:color w:val="231F20"/>
          <w:sz w:val="21"/>
        </w:rPr>
        <w:t>примусовому</w:t>
      </w:r>
      <w:r>
        <w:rPr>
          <w:color w:val="231F20"/>
          <w:spacing w:val="-13"/>
          <w:sz w:val="21"/>
        </w:rPr>
        <w:t xml:space="preserve"> </w:t>
      </w:r>
      <w:r>
        <w:rPr>
          <w:color w:val="231F20"/>
          <w:sz w:val="21"/>
        </w:rPr>
        <w:t>порядку</w:t>
      </w:r>
      <w:r>
        <w:rPr>
          <w:color w:val="231F20"/>
          <w:spacing w:val="-12"/>
          <w:sz w:val="21"/>
        </w:rPr>
        <w:t xml:space="preserve"> </w:t>
      </w:r>
      <w:r>
        <w:rPr>
          <w:color w:val="231F20"/>
          <w:sz w:val="21"/>
        </w:rPr>
        <w:t>стягнути</w:t>
      </w:r>
      <w:r>
        <w:rPr>
          <w:color w:val="231F20"/>
          <w:spacing w:val="-12"/>
          <w:sz w:val="21"/>
        </w:rPr>
        <w:t xml:space="preserve"> </w:t>
      </w:r>
      <w:r>
        <w:rPr>
          <w:color w:val="231F20"/>
          <w:sz w:val="21"/>
        </w:rPr>
        <w:t>з</w:t>
      </w:r>
      <w:r>
        <w:rPr>
          <w:color w:val="231F20"/>
          <w:spacing w:val="-12"/>
          <w:sz w:val="21"/>
        </w:rPr>
        <w:t xml:space="preserve"> </w:t>
      </w:r>
      <w:r>
        <w:rPr>
          <w:color w:val="231F20"/>
          <w:sz w:val="21"/>
        </w:rPr>
        <w:t>правопорушника штраф); можливість користуватися певними соціальним</w:t>
      </w:r>
      <w:r>
        <w:rPr>
          <w:color w:val="231F20"/>
          <w:sz w:val="21"/>
        </w:rPr>
        <w:t>и публіч- ними благами (наприклад, особа, яка втратила роботу і стала на облік у центрі зайнятості, має право на допомогу з</w:t>
      </w:r>
      <w:r>
        <w:rPr>
          <w:color w:val="231F20"/>
          <w:spacing w:val="-13"/>
          <w:sz w:val="21"/>
        </w:rPr>
        <w:t xml:space="preserve"> </w:t>
      </w:r>
      <w:r>
        <w:rPr>
          <w:color w:val="231F20"/>
          <w:sz w:val="21"/>
        </w:rPr>
        <w:t>безробіття).</w:t>
      </w:r>
    </w:p>
    <w:p w14:paraId="77A4D351" w14:textId="77777777" w:rsidR="00DE575E" w:rsidRDefault="00DE575E">
      <w:pPr>
        <w:pStyle w:val="BodyText"/>
        <w:spacing w:before="8"/>
        <w:rPr>
          <w:sz w:val="12"/>
        </w:rPr>
      </w:pPr>
    </w:p>
    <w:p w14:paraId="094BBA5F" w14:textId="77777777" w:rsidR="00DE575E" w:rsidRDefault="002E7560">
      <w:pPr>
        <w:spacing w:before="92"/>
        <w:ind w:right="411"/>
        <w:jc w:val="right"/>
        <w:rPr>
          <w:rFonts w:ascii="Times New Roman"/>
          <w:sz w:val="20"/>
        </w:rPr>
      </w:pPr>
      <w:r>
        <w:rPr>
          <w:rFonts w:ascii="Times New Roman"/>
          <w:color w:val="231F20"/>
          <w:w w:val="90"/>
          <w:sz w:val="20"/>
        </w:rPr>
        <w:t>31</w:t>
      </w:r>
    </w:p>
    <w:p w14:paraId="3939906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0647FC0"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5A85D086" w14:textId="7A1743B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E512339" wp14:editId="5FB33C25">
                <wp:extent cx="4140200" cy="6350"/>
                <wp:effectExtent l="0" t="0" r="12700" b="6350"/>
                <wp:docPr id="1342"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43" name="Line 134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CBD7D" id="Group_x0020_134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MhOH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Dd&#10;tCw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VAyE4fQIAAJwFAAAOAAAA&#10;AAAAAAAAAAAAACwCAABkcnMvZTJvRG9jLnhtbFBLAQItABQABgAIAAAAIQBMp7CQ2QAAAAMBAAAP&#10;AAAAAAAAAAAAAAAAANUEAABkcnMvZG93bnJldi54bWxQSwUGAAAAAAQABADzAAAA2wUAAAAA&#10;">
                <v:line id="Line_x0020_134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sITMQAAADdAAAADwAAAGRycy9kb3ducmV2LnhtbERP22rCQBB9L/Qflin0pehGI1Kiq4gg&#10;SB+8pR8wZqdJ6O5szK4m7de7QqFvczjXmS97a8SNWl87VjAaJiCIC6drLhV85pvBOwgfkDUax6Tg&#10;hzwsF89Pc8y06/hIt1MoRQxhn6GCKoQmk9IXFVn0Q9cQR+7LtRZDhG0pdYtdDLdGjpNkKi3WHBsq&#10;bGhdUfF9uloF+eUtmMP+w3T5/pzK82WX/l53Sr2+9KsZiEB9+Bf/ubc6zk8n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GwhMxAAAAN0AAAAPAAAAAAAAAAAA&#10;AAAAAKECAABkcnMvZG93bnJldi54bWxQSwUGAAAAAAQABAD5AAAAkgMAAAAA&#10;" strokecolor="#231f20" strokeweight=".5pt"/>
                <w10:anchorlock/>
              </v:group>
            </w:pict>
          </mc:Fallback>
        </mc:AlternateContent>
      </w:r>
    </w:p>
    <w:p w14:paraId="5A9D948C" w14:textId="77777777" w:rsidR="00DE575E" w:rsidRDefault="00DE575E">
      <w:pPr>
        <w:pStyle w:val="BodyText"/>
        <w:spacing w:before="7"/>
        <w:rPr>
          <w:rFonts w:ascii="AdonisC"/>
          <w:i/>
          <w:sz w:val="11"/>
        </w:rPr>
      </w:pPr>
    </w:p>
    <w:p w14:paraId="6A589FF7" w14:textId="77777777" w:rsidR="00DE575E" w:rsidRDefault="002E7560">
      <w:pPr>
        <w:spacing w:before="101" w:line="252" w:lineRule="auto"/>
        <w:ind w:left="533" w:right="127" w:firstLine="283"/>
        <w:jc w:val="right"/>
        <w:rPr>
          <w:sz w:val="21"/>
        </w:rPr>
      </w:pPr>
      <w:r>
        <w:rPr>
          <w:i/>
          <w:color w:val="231F20"/>
          <w:sz w:val="21"/>
        </w:rPr>
        <w:t xml:space="preserve">У </w:t>
      </w:r>
      <w:r>
        <w:rPr>
          <w:i/>
          <w:color w:val="231F20"/>
          <w:spacing w:val="-3"/>
          <w:sz w:val="21"/>
        </w:rPr>
        <w:t xml:space="preserve">змісті адміністративно-правових відносин залежно </w:t>
      </w:r>
      <w:r>
        <w:rPr>
          <w:i/>
          <w:color w:val="231F20"/>
          <w:sz w:val="21"/>
        </w:rPr>
        <w:t xml:space="preserve">від </w:t>
      </w:r>
      <w:r>
        <w:rPr>
          <w:i/>
          <w:color w:val="231F20"/>
          <w:spacing w:val="-3"/>
          <w:sz w:val="21"/>
        </w:rPr>
        <w:t>спряму-</w:t>
      </w:r>
      <w:r>
        <w:rPr>
          <w:i/>
          <w:color w:val="231F20"/>
          <w:sz w:val="21"/>
        </w:rPr>
        <w:t xml:space="preserve"> </w:t>
      </w:r>
      <w:r>
        <w:rPr>
          <w:i/>
          <w:color w:val="231F20"/>
          <w:spacing w:val="-3"/>
          <w:sz w:val="21"/>
        </w:rPr>
        <w:t xml:space="preserve">вання діяльності публічної адміністрації виникають певні </w:t>
      </w:r>
      <w:r>
        <w:rPr>
          <w:i/>
          <w:color w:val="231F20"/>
          <w:spacing w:val="-4"/>
          <w:sz w:val="21"/>
        </w:rPr>
        <w:t>комбінації:</w:t>
      </w:r>
      <w:r>
        <w:rPr>
          <w:i/>
          <w:color w:val="231F20"/>
          <w:spacing w:val="-3"/>
          <w:sz w:val="21"/>
        </w:rPr>
        <w:t xml:space="preserve"> </w:t>
      </w:r>
      <w:r>
        <w:rPr>
          <w:b/>
          <w:i/>
          <w:color w:val="231F20"/>
          <w:sz w:val="21"/>
        </w:rPr>
        <w:t>по-перше</w:t>
      </w:r>
      <w:r>
        <w:rPr>
          <w:color w:val="231F20"/>
          <w:sz w:val="21"/>
        </w:rPr>
        <w:t xml:space="preserve">, коли правовідносини виникають за ініціативою приватної особи, – це сукупність </w:t>
      </w:r>
      <w:r>
        <w:rPr>
          <w:color w:val="231F20"/>
          <w:spacing w:val="-3"/>
          <w:sz w:val="21"/>
        </w:rPr>
        <w:t xml:space="preserve">суб’єктивних </w:t>
      </w:r>
      <w:r>
        <w:rPr>
          <w:color w:val="231F20"/>
          <w:sz w:val="21"/>
        </w:rPr>
        <w:t>прав приватної особи</w:t>
      </w:r>
    </w:p>
    <w:p w14:paraId="64FDB027" w14:textId="77777777" w:rsidR="00DE575E" w:rsidRDefault="002E7560">
      <w:pPr>
        <w:pStyle w:val="BodyText"/>
        <w:spacing w:before="2"/>
        <w:ind w:left="533"/>
      </w:pPr>
      <w:r>
        <w:rPr>
          <w:color w:val="231F20"/>
        </w:rPr>
        <w:t>та адміністративних обов’язків суб’єкта публічної адміністрації;</w:t>
      </w:r>
    </w:p>
    <w:p w14:paraId="735BB7CF" w14:textId="77777777" w:rsidR="00DE575E" w:rsidRDefault="002E7560">
      <w:pPr>
        <w:pStyle w:val="BodyText"/>
        <w:spacing w:before="12" w:line="252" w:lineRule="auto"/>
        <w:ind w:left="533" w:right="128" w:firstLine="283"/>
        <w:jc w:val="both"/>
      </w:pPr>
      <w:r>
        <w:rPr>
          <w:b/>
          <w:i/>
          <w:color w:val="231F20"/>
        </w:rPr>
        <w:t xml:space="preserve">по-друге, </w:t>
      </w:r>
      <w:r>
        <w:rPr>
          <w:color w:val="231F20"/>
        </w:rPr>
        <w:t>коли адміністративно-правові відносини виникають за законною ініціативою суб’єкта публічної адміністрації, – це сукуп- ність адміністративних прав суб’єкта публ</w:t>
      </w:r>
      <w:r>
        <w:rPr>
          <w:color w:val="231F20"/>
        </w:rPr>
        <w:t>ічної адміністрації та юридичних обов’язків приватної особи;</w:t>
      </w:r>
    </w:p>
    <w:p w14:paraId="20A772C4" w14:textId="77777777" w:rsidR="00DE575E" w:rsidRDefault="002E7560">
      <w:pPr>
        <w:pStyle w:val="BodyText"/>
        <w:spacing w:before="2" w:line="252" w:lineRule="auto"/>
        <w:ind w:left="533" w:right="128" w:firstLine="283"/>
        <w:jc w:val="both"/>
      </w:pPr>
      <w:r>
        <w:rPr>
          <w:b/>
          <w:i/>
          <w:color w:val="231F20"/>
          <w:spacing w:val="-5"/>
        </w:rPr>
        <w:t xml:space="preserve">по-третє, </w:t>
      </w:r>
      <w:r>
        <w:rPr>
          <w:color w:val="231F20"/>
          <w:spacing w:val="-5"/>
        </w:rPr>
        <w:t xml:space="preserve">коли беруть участь </w:t>
      </w:r>
      <w:r>
        <w:rPr>
          <w:color w:val="231F20"/>
          <w:spacing w:val="-4"/>
        </w:rPr>
        <w:t xml:space="preserve">два </w:t>
      </w:r>
      <w:r>
        <w:rPr>
          <w:color w:val="231F20"/>
          <w:spacing w:val="-7"/>
        </w:rPr>
        <w:t xml:space="preserve">суб’єкти </w:t>
      </w:r>
      <w:r>
        <w:rPr>
          <w:color w:val="231F20"/>
          <w:spacing w:val="-5"/>
        </w:rPr>
        <w:t xml:space="preserve">публічної  адміністра- </w:t>
      </w:r>
      <w:r>
        <w:rPr>
          <w:color w:val="231F20"/>
          <w:spacing w:val="-4"/>
        </w:rPr>
        <w:t xml:space="preserve">ції, </w:t>
      </w:r>
      <w:r>
        <w:rPr>
          <w:color w:val="231F20"/>
        </w:rPr>
        <w:t xml:space="preserve">– </w:t>
      </w:r>
      <w:r>
        <w:rPr>
          <w:color w:val="231F20"/>
          <w:spacing w:val="-3"/>
        </w:rPr>
        <w:t xml:space="preserve">це </w:t>
      </w:r>
      <w:r>
        <w:rPr>
          <w:color w:val="231F20"/>
          <w:spacing w:val="-5"/>
        </w:rPr>
        <w:t xml:space="preserve">сукупність </w:t>
      </w:r>
      <w:r>
        <w:rPr>
          <w:color w:val="231F20"/>
        </w:rPr>
        <w:t xml:space="preserve">в </w:t>
      </w:r>
      <w:r>
        <w:rPr>
          <w:color w:val="231F20"/>
          <w:spacing w:val="-5"/>
        </w:rPr>
        <w:t xml:space="preserve">адміністративно-правових відносинах адміністра- тивних </w:t>
      </w:r>
      <w:r>
        <w:rPr>
          <w:color w:val="231F20"/>
          <w:spacing w:val="-4"/>
        </w:rPr>
        <w:t xml:space="preserve">прав </w:t>
      </w:r>
      <w:r>
        <w:rPr>
          <w:color w:val="231F20"/>
        </w:rPr>
        <w:t xml:space="preserve">і </w:t>
      </w:r>
      <w:r>
        <w:rPr>
          <w:color w:val="231F20"/>
          <w:spacing w:val="-5"/>
        </w:rPr>
        <w:t xml:space="preserve">публічних обов’язків </w:t>
      </w:r>
      <w:r>
        <w:rPr>
          <w:color w:val="231F20"/>
          <w:spacing w:val="-7"/>
        </w:rPr>
        <w:t xml:space="preserve">суб’єктів </w:t>
      </w:r>
      <w:r>
        <w:rPr>
          <w:color w:val="231F20"/>
          <w:spacing w:val="-5"/>
        </w:rPr>
        <w:t>публічної</w:t>
      </w:r>
      <w:r>
        <w:rPr>
          <w:color w:val="231F20"/>
          <w:spacing w:val="-20"/>
        </w:rPr>
        <w:t xml:space="preserve"> </w:t>
      </w:r>
      <w:r>
        <w:rPr>
          <w:color w:val="231F20"/>
          <w:spacing w:val="-5"/>
        </w:rPr>
        <w:t>адмі</w:t>
      </w:r>
      <w:r>
        <w:rPr>
          <w:color w:val="231F20"/>
          <w:spacing w:val="-5"/>
        </w:rPr>
        <w:t>ністрації</w:t>
      </w:r>
      <w:r>
        <w:rPr>
          <w:color w:val="231F20"/>
          <w:spacing w:val="-5"/>
          <w:position w:val="7"/>
          <w:sz w:val="12"/>
        </w:rPr>
        <w:t>1</w:t>
      </w:r>
      <w:r>
        <w:rPr>
          <w:color w:val="231F20"/>
          <w:spacing w:val="-5"/>
        </w:rPr>
        <w:t>.</w:t>
      </w:r>
    </w:p>
    <w:p w14:paraId="52EA98B4" w14:textId="77777777" w:rsidR="00DE575E" w:rsidRDefault="002E7560">
      <w:pPr>
        <w:pStyle w:val="BodyText"/>
        <w:spacing w:before="2" w:line="252" w:lineRule="auto"/>
        <w:ind w:left="533" w:right="127" w:firstLine="283"/>
        <w:jc w:val="both"/>
      </w:pPr>
      <w:r>
        <w:rPr>
          <w:b/>
          <w:i/>
          <w:color w:val="231F20"/>
        </w:rPr>
        <w:t xml:space="preserve">Юридичний обов’язок </w:t>
      </w:r>
      <w:r>
        <w:rPr>
          <w:color w:val="231F20"/>
        </w:rPr>
        <w:t>– це передбачені для зобов’язаної особи та забезпечені можливістю державного примусу вид і міра необхід- ної поведінки, які потрібно виконувати в інтересах уповноваженої особи, що має відповідні публічні суб’єктивні права.</w:t>
      </w:r>
    </w:p>
    <w:p w14:paraId="0CF10085" w14:textId="77777777" w:rsidR="00DE575E" w:rsidRDefault="002E7560">
      <w:pPr>
        <w:pStyle w:val="BodyText"/>
        <w:spacing w:before="2" w:line="252" w:lineRule="auto"/>
        <w:ind w:left="533" w:right="130" w:firstLine="283"/>
        <w:jc w:val="both"/>
      </w:pPr>
      <w:r>
        <w:rPr>
          <w:color w:val="231F20"/>
        </w:rPr>
        <w:t>Юридичний обов’язок в адміністративному праві налічує чотири основні компоненти:</w:t>
      </w:r>
    </w:p>
    <w:p w14:paraId="14AD9A9A" w14:textId="77777777" w:rsidR="00DE575E" w:rsidRDefault="002E7560">
      <w:pPr>
        <w:pStyle w:val="ListParagraph"/>
        <w:numPr>
          <w:ilvl w:val="1"/>
          <w:numId w:val="310"/>
        </w:numPr>
        <w:tabs>
          <w:tab w:val="left" w:pos="1101"/>
        </w:tabs>
        <w:spacing w:line="252" w:lineRule="auto"/>
        <w:ind w:right="128" w:firstLine="284"/>
        <w:jc w:val="both"/>
        <w:rPr>
          <w:sz w:val="21"/>
        </w:rPr>
      </w:pPr>
      <w:r>
        <w:rPr>
          <w:color w:val="231F20"/>
          <w:sz w:val="21"/>
        </w:rPr>
        <w:t>обов’язок здійснювати певні дії чи утримуватися від них (напр., водії транспортних засобів зобов’язані дотримуватися правил дорожнього</w:t>
      </w:r>
      <w:r>
        <w:rPr>
          <w:color w:val="231F20"/>
          <w:spacing w:val="-2"/>
          <w:sz w:val="21"/>
        </w:rPr>
        <w:t xml:space="preserve"> </w:t>
      </w:r>
      <w:r>
        <w:rPr>
          <w:color w:val="231F20"/>
          <w:sz w:val="21"/>
        </w:rPr>
        <w:t>руху);</w:t>
      </w:r>
    </w:p>
    <w:p w14:paraId="6310C6D5" w14:textId="77777777" w:rsidR="00DE575E" w:rsidRDefault="002E7560">
      <w:pPr>
        <w:pStyle w:val="ListParagraph"/>
        <w:numPr>
          <w:ilvl w:val="1"/>
          <w:numId w:val="310"/>
        </w:numPr>
        <w:tabs>
          <w:tab w:val="left" w:pos="1101"/>
        </w:tabs>
        <w:spacing w:line="252" w:lineRule="auto"/>
        <w:ind w:right="126" w:firstLine="284"/>
        <w:jc w:val="both"/>
        <w:rPr>
          <w:sz w:val="21"/>
        </w:rPr>
      </w:pPr>
      <w:r>
        <w:rPr>
          <w:color w:val="231F20"/>
          <w:sz w:val="21"/>
        </w:rPr>
        <w:t xml:space="preserve">обов’язок відреагувати на законні вимоги уповноваженого </w:t>
      </w:r>
      <w:r>
        <w:rPr>
          <w:color w:val="231F20"/>
          <w:spacing w:val="-3"/>
          <w:sz w:val="21"/>
        </w:rPr>
        <w:t>суб’єкта;</w:t>
      </w:r>
    </w:p>
    <w:p w14:paraId="15A8BEC3" w14:textId="77777777" w:rsidR="00DE575E" w:rsidRDefault="002E7560">
      <w:pPr>
        <w:pStyle w:val="ListParagraph"/>
        <w:numPr>
          <w:ilvl w:val="1"/>
          <w:numId w:val="310"/>
        </w:numPr>
        <w:tabs>
          <w:tab w:val="left" w:pos="1101"/>
        </w:tabs>
        <w:ind w:firstLine="284"/>
        <w:rPr>
          <w:sz w:val="21"/>
        </w:rPr>
      </w:pPr>
      <w:r>
        <w:rPr>
          <w:color w:val="231F20"/>
          <w:sz w:val="21"/>
        </w:rPr>
        <w:t>обов’язок нести відповідальність за невиконання цих</w:t>
      </w:r>
      <w:r>
        <w:rPr>
          <w:color w:val="231F20"/>
          <w:spacing w:val="-9"/>
          <w:sz w:val="21"/>
        </w:rPr>
        <w:t xml:space="preserve"> </w:t>
      </w:r>
      <w:r>
        <w:rPr>
          <w:color w:val="231F20"/>
          <w:sz w:val="21"/>
        </w:rPr>
        <w:t>вимог;</w:t>
      </w:r>
    </w:p>
    <w:p w14:paraId="05AAE91A" w14:textId="77777777" w:rsidR="00DE575E" w:rsidRDefault="002E7560">
      <w:pPr>
        <w:pStyle w:val="ListParagraph"/>
        <w:numPr>
          <w:ilvl w:val="1"/>
          <w:numId w:val="310"/>
        </w:numPr>
        <w:tabs>
          <w:tab w:val="left" w:pos="1101"/>
        </w:tabs>
        <w:spacing w:before="13" w:line="252" w:lineRule="auto"/>
        <w:ind w:right="128" w:firstLine="284"/>
        <w:jc w:val="both"/>
        <w:rPr>
          <w:sz w:val="21"/>
        </w:rPr>
      </w:pPr>
      <w:r>
        <w:rPr>
          <w:color w:val="231F20"/>
          <w:sz w:val="21"/>
        </w:rPr>
        <w:t xml:space="preserve">обов’язок не перешкоджати уповноваженому </w:t>
      </w:r>
      <w:r>
        <w:rPr>
          <w:color w:val="231F20"/>
          <w:spacing w:val="-3"/>
          <w:sz w:val="21"/>
        </w:rPr>
        <w:t xml:space="preserve">суб’єкту </w:t>
      </w:r>
      <w:r>
        <w:rPr>
          <w:color w:val="231F20"/>
          <w:sz w:val="21"/>
        </w:rPr>
        <w:t>кори- стуватися</w:t>
      </w:r>
      <w:r>
        <w:rPr>
          <w:color w:val="231F20"/>
          <w:spacing w:val="-12"/>
          <w:sz w:val="21"/>
        </w:rPr>
        <w:t xml:space="preserve"> </w:t>
      </w:r>
      <w:r>
        <w:rPr>
          <w:color w:val="231F20"/>
          <w:sz w:val="21"/>
        </w:rPr>
        <w:t>тим</w:t>
      </w:r>
      <w:r>
        <w:rPr>
          <w:color w:val="231F20"/>
          <w:spacing w:val="-12"/>
          <w:sz w:val="21"/>
        </w:rPr>
        <w:t xml:space="preserve"> </w:t>
      </w:r>
      <w:r>
        <w:rPr>
          <w:color w:val="231F20"/>
          <w:sz w:val="21"/>
        </w:rPr>
        <w:t>благом,</w:t>
      </w:r>
      <w:r>
        <w:rPr>
          <w:color w:val="231F20"/>
          <w:spacing w:val="-12"/>
          <w:sz w:val="21"/>
        </w:rPr>
        <w:t xml:space="preserve"> </w:t>
      </w:r>
      <w:r>
        <w:rPr>
          <w:color w:val="231F20"/>
          <w:sz w:val="21"/>
        </w:rPr>
        <w:t>на</w:t>
      </w:r>
      <w:r>
        <w:rPr>
          <w:color w:val="231F20"/>
          <w:spacing w:val="-12"/>
          <w:sz w:val="21"/>
        </w:rPr>
        <w:t xml:space="preserve"> </w:t>
      </w:r>
      <w:r>
        <w:rPr>
          <w:color w:val="231F20"/>
          <w:sz w:val="21"/>
        </w:rPr>
        <w:t>яке</w:t>
      </w:r>
      <w:r>
        <w:rPr>
          <w:color w:val="231F20"/>
          <w:spacing w:val="-12"/>
          <w:sz w:val="21"/>
        </w:rPr>
        <w:t xml:space="preserve"> </w:t>
      </w:r>
      <w:r>
        <w:rPr>
          <w:color w:val="231F20"/>
          <w:sz w:val="21"/>
        </w:rPr>
        <w:t>він</w:t>
      </w:r>
      <w:r>
        <w:rPr>
          <w:color w:val="231F20"/>
          <w:spacing w:val="-12"/>
          <w:sz w:val="21"/>
        </w:rPr>
        <w:t xml:space="preserve"> </w:t>
      </w:r>
      <w:r>
        <w:rPr>
          <w:color w:val="231F20"/>
          <w:sz w:val="21"/>
        </w:rPr>
        <w:t>має</w:t>
      </w:r>
      <w:r>
        <w:rPr>
          <w:color w:val="231F20"/>
          <w:spacing w:val="-12"/>
          <w:sz w:val="21"/>
        </w:rPr>
        <w:t xml:space="preserve"> </w:t>
      </w:r>
      <w:r>
        <w:rPr>
          <w:color w:val="231F20"/>
          <w:sz w:val="21"/>
        </w:rPr>
        <w:t>право</w:t>
      </w:r>
      <w:r>
        <w:rPr>
          <w:color w:val="231F20"/>
          <w:spacing w:val="-12"/>
          <w:sz w:val="21"/>
        </w:rPr>
        <w:t xml:space="preserve"> </w:t>
      </w:r>
      <w:r>
        <w:rPr>
          <w:color w:val="231F20"/>
          <w:sz w:val="21"/>
        </w:rPr>
        <w:t>(напр.,</w:t>
      </w:r>
      <w:r>
        <w:rPr>
          <w:color w:val="231F20"/>
          <w:spacing w:val="-12"/>
          <w:sz w:val="21"/>
        </w:rPr>
        <w:t xml:space="preserve"> </w:t>
      </w:r>
      <w:r>
        <w:rPr>
          <w:color w:val="231F20"/>
          <w:sz w:val="21"/>
        </w:rPr>
        <w:t>публічна</w:t>
      </w:r>
      <w:r>
        <w:rPr>
          <w:color w:val="231F20"/>
          <w:spacing w:val="-12"/>
          <w:sz w:val="21"/>
        </w:rPr>
        <w:t xml:space="preserve"> </w:t>
      </w:r>
      <w:r>
        <w:rPr>
          <w:color w:val="231F20"/>
          <w:sz w:val="21"/>
        </w:rPr>
        <w:t>адмініст- рація</w:t>
      </w:r>
      <w:r>
        <w:rPr>
          <w:color w:val="231F20"/>
          <w:sz w:val="21"/>
        </w:rPr>
        <w:t xml:space="preserve"> не має права втручатися в корпоративне управління </w:t>
      </w:r>
      <w:r>
        <w:rPr>
          <w:color w:val="231F20"/>
          <w:spacing w:val="-4"/>
          <w:sz w:val="21"/>
        </w:rPr>
        <w:t xml:space="preserve">суб’єкта </w:t>
      </w:r>
      <w:r>
        <w:rPr>
          <w:color w:val="231F20"/>
          <w:sz w:val="21"/>
        </w:rPr>
        <w:t>господарювання).</w:t>
      </w:r>
    </w:p>
    <w:p w14:paraId="08BD4F02" w14:textId="77777777" w:rsidR="00DE575E" w:rsidRDefault="002E7560">
      <w:pPr>
        <w:spacing w:before="2" w:line="252" w:lineRule="auto"/>
        <w:ind w:left="533" w:right="128" w:firstLine="283"/>
        <w:jc w:val="both"/>
        <w:rPr>
          <w:sz w:val="21"/>
        </w:rPr>
      </w:pPr>
      <w:r>
        <w:rPr>
          <w:i/>
          <w:color w:val="231F20"/>
          <w:sz w:val="21"/>
        </w:rPr>
        <w:t xml:space="preserve">Юридичні обов’язки в адміністративному праві </w:t>
      </w:r>
      <w:r>
        <w:rPr>
          <w:color w:val="231F20"/>
          <w:sz w:val="21"/>
        </w:rPr>
        <w:t xml:space="preserve">забезпечують публічні інтереси людини і громадянина, суспільства і держави та  є гарантіями </w:t>
      </w:r>
      <w:r>
        <w:rPr>
          <w:color w:val="231F20"/>
          <w:spacing w:val="-3"/>
          <w:sz w:val="21"/>
        </w:rPr>
        <w:t xml:space="preserve">суб’єктивних </w:t>
      </w:r>
      <w:r>
        <w:rPr>
          <w:color w:val="231F20"/>
          <w:sz w:val="21"/>
        </w:rPr>
        <w:t>публічних</w:t>
      </w:r>
      <w:r>
        <w:rPr>
          <w:color w:val="231F20"/>
          <w:spacing w:val="-1"/>
          <w:sz w:val="21"/>
        </w:rPr>
        <w:t xml:space="preserve"> </w:t>
      </w:r>
      <w:r>
        <w:rPr>
          <w:color w:val="231F20"/>
          <w:sz w:val="21"/>
        </w:rPr>
        <w:t>прав.</w:t>
      </w:r>
    </w:p>
    <w:p w14:paraId="618CBAEB" w14:textId="77777777" w:rsidR="00DE575E" w:rsidRDefault="002E7560">
      <w:pPr>
        <w:pStyle w:val="BodyText"/>
        <w:spacing w:before="2" w:line="252" w:lineRule="auto"/>
        <w:ind w:left="533" w:right="126" w:firstLine="283"/>
        <w:jc w:val="both"/>
      </w:pPr>
      <w:r>
        <w:rPr>
          <w:b/>
          <w:i/>
          <w:color w:val="231F20"/>
        </w:rPr>
        <w:t>Юридичний фак</w:t>
      </w:r>
      <w:r>
        <w:rPr>
          <w:b/>
          <w:i/>
          <w:color w:val="231F20"/>
        </w:rPr>
        <w:t xml:space="preserve">т </w:t>
      </w:r>
      <w:r>
        <w:rPr>
          <w:color w:val="231F20"/>
        </w:rPr>
        <w:t>– це конкретна життєва обставина, з якою норма адміністративного права пов’язує виникнення, зміну або припинення адміністративно-правових відносин.</w:t>
      </w:r>
    </w:p>
    <w:p w14:paraId="6EEBB63D" w14:textId="77777777" w:rsidR="00DE575E" w:rsidRDefault="002E7560">
      <w:pPr>
        <w:pStyle w:val="BodyText"/>
        <w:spacing w:before="1" w:line="252" w:lineRule="auto"/>
        <w:ind w:left="533" w:right="128" w:firstLine="283"/>
        <w:jc w:val="both"/>
      </w:pPr>
      <w:r>
        <w:rPr>
          <w:color w:val="231F20"/>
        </w:rPr>
        <w:t>Головне призначення юридичних фактів у процесі публічного адміністрування – забезпечити виникнення, зміну чи припинення</w:t>
      </w:r>
    </w:p>
    <w:p w14:paraId="63BB3F70" w14:textId="77777777" w:rsidR="00DE575E" w:rsidRDefault="00DE575E">
      <w:pPr>
        <w:pStyle w:val="BodyText"/>
        <w:rPr>
          <w:sz w:val="20"/>
        </w:rPr>
      </w:pPr>
    </w:p>
    <w:p w14:paraId="217DA081" w14:textId="10FCCFAB" w:rsidR="00DE575E" w:rsidRDefault="002E7560">
      <w:pPr>
        <w:pStyle w:val="BodyText"/>
        <w:spacing w:before="9"/>
        <w:rPr>
          <w:sz w:val="12"/>
        </w:rPr>
      </w:pPr>
      <w:r>
        <w:rPr>
          <w:noProof/>
        </w:rPr>
        <mc:AlternateContent>
          <mc:Choice Requires="wps">
            <w:drawing>
              <wp:anchor distT="0" distB="0" distL="0" distR="0" simplePos="0" relativeHeight="2008" behindDoc="0" locked="0" layoutInCell="1" allowOverlap="1" wp14:anchorId="6EEBEB4E" wp14:editId="190FDF78">
                <wp:simplePos x="0" y="0"/>
                <wp:positionH relativeFrom="page">
                  <wp:posOffset>719455</wp:posOffset>
                </wp:positionH>
                <wp:positionV relativeFrom="paragraph">
                  <wp:posOffset>122555</wp:posOffset>
                </wp:positionV>
                <wp:extent cx="1080135" cy="0"/>
                <wp:effectExtent l="8255" t="8255" r="29210" b="29845"/>
                <wp:wrapTopAndBottom/>
                <wp:docPr id="1341"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23942" id="Line_x0020_1340"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65pt" to="141.7pt,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" strokecolor="#231f20" strokeweight=".5pt">
                <w10:wrap type="topAndBottom" anchorx="page"/>
              </v:line>
            </w:pict>
          </mc:Fallback>
        </mc:AlternateContent>
      </w:r>
    </w:p>
    <w:p w14:paraId="6B832F28" w14:textId="77777777" w:rsidR="00DE575E" w:rsidRDefault="002E7560">
      <w:pPr>
        <w:spacing w:line="204" w:lineRule="auto"/>
        <w:ind w:left="533" w:right="128"/>
        <w:rPr>
          <w:sz w:val="16"/>
        </w:rPr>
      </w:pPr>
      <w:r>
        <w:rPr>
          <w:color w:val="231F20"/>
          <w:position w:val="5"/>
          <w:sz w:val="9"/>
        </w:rPr>
        <w:t xml:space="preserve">1 </w:t>
      </w:r>
      <w:r>
        <w:rPr>
          <w:color w:val="231F20"/>
          <w:sz w:val="16"/>
        </w:rPr>
        <w:t>Горбач А. Адміністративно-правові відносини: теорія і практика : автореферат дис. ... Київ, 2019. 18 с.</w:t>
      </w:r>
    </w:p>
    <w:p w14:paraId="22B4F783" w14:textId="77777777" w:rsidR="00DE575E" w:rsidRDefault="00DE575E">
      <w:pPr>
        <w:pStyle w:val="BodyText"/>
        <w:spacing w:before="1"/>
        <w:rPr>
          <w:sz w:val="12"/>
        </w:rPr>
      </w:pPr>
    </w:p>
    <w:p w14:paraId="13881850" w14:textId="77777777" w:rsidR="00DE575E" w:rsidRDefault="002E7560">
      <w:pPr>
        <w:spacing w:before="92"/>
        <w:ind w:left="533"/>
        <w:rPr>
          <w:rFonts w:ascii="Times New Roman"/>
          <w:sz w:val="20"/>
        </w:rPr>
      </w:pPr>
      <w:r>
        <w:rPr>
          <w:rFonts w:ascii="Times New Roman"/>
          <w:color w:val="231F20"/>
          <w:sz w:val="20"/>
        </w:rPr>
        <w:t>32</w:t>
      </w:r>
    </w:p>
    <w:p w14:paraId="67195F9F" w14:textId="77777777" w:rsidR="00DE575E" w:rsidRDefault="00DE575E">
      <w:pPr>
        <w:rPr>
          <w:rFonts w:ascii="Times New Roman"/>
          <w:sz w:val="20"/>
        </w:rPr>
        <w:sectPr w:rsidR="00DE575E">
          <w:pgSz w:w="8510" w:h="12760"/>
          <w:pgMar w:top="660" w:right="720" w:bottom="280" w:left="600" w:header="720" w:footer="720" w:gutter="0"/>
          <w:cols w:space="720"/>
        </w:sectPr>
      </w:pPr>
    </w:p>
    <w:p w14:paraId="53763732" w14:textId="77777777" w:rsidR="00DE575E" w:rsidRDefault="002E7560">
      <w:pPr>
        <w:spacing w:before="72" w:line="249" w:lineRule="auto"/>
        <w:ind w:left="1896" w:right="411" w:firstLine="1533"/>
        <w:jc w:val="right"/>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79304A3C" w14:textId="40385A9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BAF1322" wp14:editId="671232EB">
                <wp:extent cx="4140200" cy="6350"/>
                <wp:effectExtent l="0" t="0" r="12700" b="6350"/>
                <wp:docPr id="1339"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40" name="Line 13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FEE18" id="Group_x0020_13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kHDYCgAIAAJwFAAAO&#10;AAAAAAAAAAAAAAAAACwCAABkcnMvZTJvRG9jLnhtbFBLAQItABQABgAIAAAAIQBMp7CQ2QAAAAMB&#10;AAAPAAAAAAAAAAAAAAAAANgEAABkcnMvZG93bnJldi54bWxQSwUGAAAAAAQABADzAAAA3gUAAAAA&#10;">
                <v:line id="Line_x0020_13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mWO8gAAADdAAAADwAAAGRycy9kb3ducmV2LnhtbESP3UrDQBCF74W+wzKCN2I3GhFJuy1F&#10;EMSL/sUHmGanSXB3Ns1um+jTOxcF72Y4Z875Zr4cvVMX6mMb2MDjNANFXAXbcm3gq3x/eAUVE7JF&#10;F5gM/FCE5WJyM8fChoF3dNmnWkkIxwINNCl1hdaxashjnIaOWLRj6D0mWfta2x4HCfdOP2XZi/bY&#10;sjQ02NFbQ9X3/uwNlKf75LabTzeUm0OuD6d1/nteG3N3O65moBKN6d98vf6wgp8/C798IyPox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cmWO8gAAADdAAAADwAAAAAA&#10;AAAAAAAAAAChAgAAZHJzL2Rvd25yZXYueG1sUEsFBgAAAAAEAAQA+QAAAJYDAAAAAA==&#10;" strokecolor="#231f20" strokeweight=".5pt"/>
                <w10:anchorlock/>
              </v:group>
            </w:pict>
          </mc:Fallback>
        </mc:AlternateContent>
      </w:r>
    </w:p>
    <w:p w14:paraId="4C9CCE2A" w14:textId="77777777" w:rsidR="00DE575E" w:rsidRDefault="00DE575E">
      <w:pPr>
        <w:pStyle w:val="BodyText"/>
        <w:spacing w:before="7"/>
        <w:rPr>
          <w:rFonts w:ascii="AdonisC"/>
          <w:i/>
          <w:sz w:val="19"/>
        </w:rPr>
      </w:pPr>
    </w:p>
    <w:p w14:paraId="369E1087" w14:textId="77777777" w:rsidR="00DE575E" w:rsidRDefault="002E7560">
      <w:pPr>
        <w:pStyle w:val="BodyText"/>
        <w:spacing w:before="1" w:line="252" w:lineRule="auto"/>
        <w:ind w:left="250" w:right="411"/>
        <w:jc w:val="both"/>
      </w:pPr>
      <w:r>
        <w:rPr>
          <w:color w:val="231F20"/>
        </w:rPr>
        <w:t>адміністративно-правових відносин. Юридичні факти забезпечу- ють перехід від загальної моде</w:t>
      </w:r>
      <w:r>
        <w:rPr>
          <w:color w:val="231F20"/>
        </w:rPr>
        <w:t>лі поведінки, закріпленої в адмініст- ративно-правовій нормі, до конкретних адміністративно-правових відносин.</w:t>
      </w:r>
    </w:p>
    <w:p w14:paraId="68ECDAC4" w14:textId="77777777" w:rsidR="00DE575E" w:rsidRDefault="002E7560">
      <w:pPr>
        <w:spacing w:before="2" w:line="252" w:lineRule="auto"/>
        <w:ind w:left="250" w:right="411" w:firstLine="283"/>
        <w:jc w:val="both"/>
        <w:rPr>
          <w:i/>
          <w:sz w:val="21"/>
        </w:rPr>
      </w:pPr>
      <w:r>
        <w:rPr>
          <w:i/>
          <w:color w:val="231F20"/>
          <w:sz w:val="21"/>
        </w:rPr>
        <w:t>За критерієм відношення до волі суб’єкта адміністративно- правові відносини поділяються на:</w:t>
      </w:r>
    </w:p>
    <w:p w14:paraId="6191753B" w14:textId="77777777" w:rsidR="00DE575E" w:rsidRDefault="002E7560">
      <w:pPr>
        <w:pStyle w:val="ListParagraph"/>
        <w:numPr>
          <w:ilvl w:val="0"/>
          <w:numId w:val="309"/>
        </w:numPr>
        <w:tabs>
          <w:tab w:val="left" w:pos="818"/>
        </w:tabs>
        <w:spacing w:line="252" w:lineRule="auto"/>
        <w:ind w:right="411" w:firstLine="283"/>
        <w:jc w:val="both"/>
        <w:rPr>
          <w:sz w:val="21"/>
        </w:rPr>
      </w:pPr>
      <w:r>
        <w:rPr>
          <w:color w:val="231F20"/>
          <w:sz w:val="21"/>
        </w:rPr>
        <w:t xml:space="preserve">події, настання яких як юридичних фактів не залежить від волі </w:t>
      </w:r>
      <w:r>
        <w:rPr>
          <w:color w:val="231F20"/>
          <w:spacing w:val="-3"/>
          <w:sz w:val="21"/>
        </w:rPr>
        <w:t xml:space="preserve">суб’єктів </w:t>
      </w:r>
      <w:r>
        <w:rPr>
          <w:color w:val="231F20"/>
          <w:sz w:val="21"/>
        </w:rPr>
        <w:t>адміністративного права (напр., повінь як стихійне лихо, що зобов’язує публічну адміністрацію надавати допомогу населенню);</w:t>
      </w:r>
    </w:p>
    <w:p w14:paraId="244B4515" w14:textId="77777777" w:rsidR="00DE575E" w:rsidRDefault="002E7560">
      <w:pPr>
        <w:pStyle w:val="ListParagraph"/>
        <w:numPr>
          <w:ilvl w:val="0"/>
          <w:numId w:val="309"/>
        </w:numPr>
        <w:tabs>
          <w:tab w:val="left" w:pos="818"/>
        </w:tabs>
        <w:spacing w:before="2"/>
        <w:ind w:firstLine="283"/>
        <w:rPr>
          <w:sz w:val="21"/>
        </w:rPr>
      </w:pPr>
      <w:r>
        <w:rPr>
          <w:color w:val="231F20"/>
          <w:sz w:val="21"/>
        </w:rPr>
        <w:t>діяння, що поділяються</w:t>
      </w:r>
      <w:r>
        <w:rPr>
          <w:color w:val="231F20"/>
          <w:spacing w:val="-4"/>
          <w:sz w:val="21"/>
        </w:rPr>
        <w:t xml:space="preserve"> </w:t>
      </w:r>
      <w:r>
        <w:rPr>
          <w:color w:val="231F20"/>
          <w:sz w:val="21"/>
        </w:rPr>
        <w:t>на:</w:t>
      </w:r>
    </w:p>
    <w:p w14:paraId="76A5F8A3" w14:textId="77777777" w:rsidR="00DE575E" w:rsidRDefault="002E7560">
      <w:pPr>
        <w:pStyle w:val="ListParagraph"/>
        <w:numPr>
          <w:ilvl w:val="1"/>
          <w:numId w:val="309"/>
        </w:numPr>
        <w:tabs>
          <w:tab w:val="left" w:pos="1101"/>
        </w:tabs>
        <w:spacing w:before="12" w:line="252" w:lineRule="auto"/>
        <w:ind w:right="411" w:hanging="283"/>
        <w:jc w:val="left"/>
        <w:rPr>
          <w:sz w:val="21"/>
        </w:rPr>
      </w:pPr>
      <w:r>
        <w:rPr>
          <w:color w:val="231F20"/>
          <w:sz w:val="21"/>
        </w:rPr>
        <w:t>дії – вольові акти поведінки люде</w:t>
      </w:r>
      <w:r>
        <w:rPr>
          <w:color w:val="231F20"/>
          <w:sz w:val="21"/>
        </w:rPr>
        <w:t>й, які мають свідомо вольовий</w:t>
      </w:r>
      <w:r>
        <w:rPr>
          <w:color w:val="231F20"/>
          <w:spacing w:val="-1"/>
          <w:sz w:val="21"/>
        </w:rPr>
        <w:t xml:space="preserve"> </w:t>
      </w:r>
      <w:r>
        <w:rPr>
          <w:color w:val="231F20"/>
          <w:sz w:val="21"/>
        </w:rPr>
        <w:t>характер;</w:t>
      </w:r>
    </w:p>
    <w:p w14:paraId="58408664" w14:textId="77777777" w:rsidR="00DE575E" w:rsidRDefault="002E7560">
      <w:pPr>
        <w:pStyle w:val="ListParagraph"/>
        <w:numPr>
          <w:ilvl w:val="1"/>
          <w:numId w:val="309"/>
        </w:numPr>
        <w:tabs>
          <w:tab w:val="left" w:pos="1101"/>
        </w:tabs>
        <w:ind w:hanging="283"/>
        <w:jc w:val="left"/>
        <w:rPr>
          <w:sz w:val="21"/>
        </w:rPr>
      </w:pPr>
      <w:r>
        <w:rPr>
          <w:color w:val="231F20"/>
          <w:sz w:val="21"/>
        </w:rPr>
        <w:t xml:space="preserve">бездіяльність – пасивна поведінка </w:t>
      </w:r>
      <w:r>
        <w:rPr>
          <w:color w:val="231F20"/>
          <w:spacing w:val="-3"/>
          <w:sz w:val="21"/>
        </w:rPr>
        <w:t>суб’єктів</w:t>
      </w:r>
      <w:r>
        <w:rPr>
          <w:color w:val="231F20"/>
          <w:spacing w:val="-5"/>
          <w:sz w:val="21"/>
        </w:rPr>
        <w:t xml:space="preserve"> </w:t>
      </w:r>
      <w:r>
        <w:rPr>
          <w:color w:val="231F20"/>
          <w:sz w:val="21"/>
        </w:rPr>
        <w:t>права.</w:t>
      </w:r>
    </w:p>
    <w:p w14:paraId="3E7089DD" w14:textId="77777777" w:rsidR="00DE575E" w:rsidRDefault="002E7560">
      <w:pPr>
        <w:pStyle w:val="BodyText"/>
        <w:spacing w:before="13" w:line="252" w:lineRule="auto"/>
        <w:ind w:left="250" w:right="411" w:firstLine="283"/>
        <w:jc w:val="both"/>
      </w:pPr>
      <w:r>
        <w:rPr>
          <w:color w:val="231F20"/>
        </w:rPr>
        <w:t xml:space="preserve">Дії можуть бути </w:t>
      </w:r>
      <w:r>
        <w:rPr>
          <w:i/>
          <w:color w:val="231F20"/>
        </w:rPr>
        <w:t>правомірні</w:t>
      </w:r>
      <w:r>
        <w:rPr>
          <w:color w:val="231F20"/>
        </w:rPr>
        <w:t xml:space="preserve">, що здійснюються в межах адмініст- ративно-правових норм, і </w:t>
      </w:r>
      <w:r>
        <w:rPr>
          <w:i/>
          <w:color w:val="231F20"/>
        </w:rPr>
        <w:t>протиправні</w:t>
      </w:r>
      <w:r>
        <w:rPr>
          <w:color w:val="231F20"/>
        </w:rPr>
        <w:t>, що здійснюються з їх пору- шенням.</w:t>
      </w:r>
    </w:p>
    <w:p w14:paraId="7E65AD76" w14:textId="77777777" w:rsidR="00DE575E" w:rsidRDefault="002E7560">
      <w:pPr>
        <w:spacing w:before="2" w:line="252" w:lineRule="auto"/>
        <w:ind w:left="250" w:right="411" w:firstLine="283"/>
        <w:jc w:val="both"/>
        <w:rPr>
          <w:sz w:val="21"/>
        </w:rPr>
      </w:pPr>
      <w:r>
        <w:rPr>
          <w:color w:val="231F20"/>
          <w:sz w:val="21"/>
        </w:rPr>
        <w:t xml:space="preserve">Правомірні дії поділяються на </w:t>
      </w:r>
      <w:r>
        <w:rPr>
          <w:i/>
          <w:color w:val="231F20"/>
          <w:sz w:val="21"/>
        </w:rPr>
        <w:t xml:space="preserve">юридичні акти </w:t>
      </w:r>
      <w:r>
        <w:rPr>
          <w:color w:val="231F20"/>
          <w:sz w:val="21"/>
        </w:rPr>
        <w:t xml:space="preserve">та </w:t>
      </w:r>
      <w:r>
        <w:rPr>
          <w:i/>
          <w:color w:val="231F20"/>
          <w:sz w:val="21"/>
        </w:rPr>
        <w:t>юридичні вчинки</w:t>
      </w:r>
      <w:r>
        <w:rPr>
          <w:color w:val="231F20"/>
          <w:sz w:val="21"/>
        </w:rPr>
        <w:t>.</w:t>
      </w:r>
    </w:p>
    <w:p w14:paraId="1DBC8154" w14:textId="77777777" w:rsidR="00DE575E" w:rsidRDefault="002E7560">
      <w:pPr>
        <w:pStyle w:val="BodyText"/>
        <w:spacing w:before="1" w:line="252" w:lineRule="auto"/>
        <w:ind w:left="250" w:right="412" w:firstLine="283"/>
        <w:jc w:val="both"/>
      </w:pPr>
      <w:r>
        <w:rPr>
          <w:b/>
          <w:i/>
          <w:color w:val="231F20"/>
        </w:rPr>
        <w:t xml:space="preserve">Юридичні акти </w:t>
      </w:r>
      <w:r>
        <w:rPr>
          <w:color w:val="231F20"/>
        </w:rPr>
        <w:t>мають індивідуальний характер і породжують конкретні адміністративно-правові відносини.</w:t>
      </w:r>
    </w:p>
    <w:p w14:paraId="63BA37EC" w14:textId="77777777" w:rsidR="00DE575E" w:rsidRDefault="002E7560">
      <w:pPr>
        <w:pStyle w:val="BodyText"/>
        <w:spacing w:before="1" w:line="252" w:lineRule="auto"/>
        <w:ind w:left="250" w:right="409" w:firstLine="283"/>
        <w:jc w:val="both"/>
      </w:pPr>
      <w:r>
        <w:rPr>
          <w:b/>
          <w:i/>
          <w:color w:val="231F20"/>
        </w:rPr>
        <w:t xml:space="preserve">Юридичні вчинки </w:t>
      </w:r>
      <w:r>
        <w:rPr>
          <w:color w:val="231F20"/>
        </w:rPr>
        <w:t>– дії, що безпосередньо не переслідують юридичної мети, але все одно породжують адміністративно- правові</w:t>
      </w:r>
      <w:r>
        <w:rPr>
          <w:color w:val="231F20"/>
        </w:rPr>
        <w:t xml:space="preserve"> наслідки (напр., закінчення будівництва автомагістралі породжує  адміністративно-правові  відносини  щодо   введення   її в</w:t>
      </w:r>
      <w:r>
        <w:rPr>
          <w:color w:val="231F20"/>
          <w:spacing w:val="3"/>
        </w:rPr>
        <w:t xml:space="preserve"> </w:t>
      </w:r>
      <w:r>
        <w:rPr>
          <w:color w:val="231F20"/>
        </w:rPr>
        <w:t>експлуатацію).</w:t>
      </w:r>
    </w:p>
    <w:p w14:paraId="7A0052B7" w14:textId="77777777" w:rsidR="00DE575E" w:rsidRDefault="002E7560">
      <w:pPr>
        <w:spacing w:before="2" w:line="252" w:lineRule="auto"/>
        <w:ind w:left="250" w:right="408" w:firstLine="283"/>
        <w:jc w:val="right"/>
        <w:rPr>
          <w:b/>
          <w:sz w:val="21"/>
        </w:rPr>
      </w:pPr>
      <w:r>
        <w:rPr>
          <w:color w:val="231F20"/>
          <w:sz w:val="21"/>
        </w:rPr>
        <w:t>Неправомірні дії – це правопорушення, проступки, що зумов- люють застосування заходів примусового впливу. До таких дій належать правопорушення, зокрема адміністративні та дисциплі- нарні, за які настає відповідальність. Учинення правопорушення тягне за соб</w:t>
      </w:r>
      <w:r>
        <w:rPr>
          <w:color w:val="231F20"/>
          <w:sz w:val="21"/>
        </w:rPr>
        <w:t xml:space="preserve">ою виникнення певного кола правовідносин, пов’яза- них із застосуванням норм матеріального та процесуального права. </w:t>
      </w:r>
      <w:r>
        <w:rPr>
          <w:b/>
          <w:color w:val="231F20"/>
          <w:sz w:val="21"/>
        </w:rPr>
        <w:t>Отже, адміністративно-правові відносини в широкому розу- мінні – це форма соціальної  взаємодії публічної адміністрації та приватних осіб, щ</w:t>
      </w:r>
      <w:r>
        <w:rPr>
          <w:b/>
          <w:color w:val="231F20"/>
          <w:sz w:val="21"/>
        </w:rPr>
        <w:t>о виникає на підставі адміністративно- правових норм із метою забезпечення прав та свобод людини і громадянина, нормального функціонування громадянського суспільства й держави, учасники якої мають суб’єктивні права</w:t>
      </w:r>
    </w:p>
    <w:p w14:paraId="79722B97" w14:textId="77777777" w:rsidR="00DE575E" w:rsidRDefault="002E7560">
      <w:pPr>
        <w:pStyle w:val="Heading5"/>
        <w:spacing w:before="6"/>
        <w:ind w:left="250"/>
        <w:jc w:val="both"/>
      </w:pPr>
      <w:r>
        <w:rPr>
          <w:color w:val="231F20"/>
        </w:rPr>
        <w:t>і несуть юридичні обов’язки.</w:t>
      </w:r>
    </w:p>
    <w:p w14:paraId="2BFF3C76" w14:textId="77777777" w:rsidR="00DE575E" w:rsidRDefault="00DE575E">
      <w:pPr>
        <w:pStyle w:val="BodyText"/>
        <w:spacing w:before="5"/>
        <w:rPr>
          <w:b/>
          <w:sz w:val="13"/>
        </w:rPr>
      </w:pPr>
    </w:p>
    <w:p w14:paraId="79BF5767" w14:textId="77777777" w:rsidR="00DE575E" w:rsidRDefault="002E7560">
      <w:pPr>
        <w:spacing w:before="92"/>
        <w:ind w:right="411"/>
        <w:jc w:val="right"/>
        <w:rPr>
          <w:rFonts w:ascii="Times New Roman"/>
          <w:sz w:val="20"/>
        </w:rPr>
      </w:pPr>
      <w:r>
        <w:rPr>
          <w:rFonts w:ascii="Times New Roman"/>
          <w:color w:val="231F20"/>
          <w:w w:val="90"/>
          <w:sz w:val="20"/>
        </w:rPr>
        <w:t>33</w:t>
      </w:r>
    </w:p>
    <w:p w14:paraId="3C88F0C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C899433"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7507522C" w14:textId="5A2E410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7ED5CED" wp14:editId="023C30F1">
                <wp:extent cx="4140200" cy="6350"/>
                <wp:effectExtent l="0" t="0" r="12700" b="6350"/>
                <wp:docPr id="1337"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38" name="Line 13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E23C37" id="Group_x0020_13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Foy73gAIAAJwFAAAO&#10;AAAAAAAAAAAAAAAAACwCAABkcnMvZTJvRG9jLnhtbFBLAQItABQABgAIAAAAIQBMp7CQ2QAAAAMB&#10;AAAPAAAAAAAAAAAAAAAAANgEAABkcnMvZG93bnJldi54bWxQSwUGAAAAAAQABADzAAAA3gUAAAAA&#10;">
                <v:line id="Line_x0020_13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npQMcAAADdAAAADwAAAGRycy9kb3ducmV2LnhtbESPQUvDQBCF74L/YRnBi9hNDUiJ3RYR&#10;CuKh1aQ/YJodk+DubJrdNtFf7xwKvc3w3rz3zXI9eafONMQusIH5LANFXAfbcWNgX20eF6BiQrbo&#10;ApOBX4qwXt3eLLGwYeQvOpepURLCsUADbUp9oXWsW/IYZ6EnFu07DB6TrEOj7YCjhHunn7LsWXvs&#10;WBpa7OmtpfqnPHkD1fEhuc/dhxur3SHXh+M2/zttjbm/m15fQCWa0tV8uX63gp/ngivfyAh69Q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uelAxwAAAN0AAAAPAAAAAAAA&#10;AAAAAAAAAKECAABkcnMvZG93bnJldi54bWxQSwUGAAAAAAQABAD5AAAAlQMAAAAA&#10;" strokecolor="#231f20" strokeweight=".5pt"/>
                <w10:anchorlock/>
              </v:group>
            </w:pict>
          </mc:Fallback>
        </mc:AlternateContent>
      </w:r>
    </w:p>
    <w:p w14:paraId="34E866AF" w14:textId="77777777" w:rsidR="00DE575E" w:rsidRDefault="00DE575E">
      <w:pPr>
        <w:pStyle w:val="BodyText"/>
        <w:spacing w:before="7"/>
        <w:rPr>
          <w:rFonts w:ascii="AdonisC"/>
          <w:i/>
          <w:sz w:val="11"/>
        </w:rPr>
      </w:pPr>
    </w:p>
    <w:p w14:paraId="52B8156D" w14:textId="77777777" w:rsidR="00DE575E" w:rsidRDefault="002E7560">
      <w:pPr>
        <w:pStyle w:val="Heading6"/>
        <w:spacing w:before="101" w:line="252" w:lineRule="auto"/>
        <w:ind w:right="128"/>
        <w:jc w:val="both"/>
      </w:pPr>
      <w:r>
        <w:rPr>
          <w:color w:val="231F20"/>
        </w:rPr>
        <w:t xml:space="preserve">1.2.3.1. Відносини, що складають предмет адміністратив- </w:t>
      </w:r>
      <w:r>
        <w:rPr>
          <w:color w:val="231F20"/>
        </w:rPr>
        <w:t>ного права України</w:t>
      </w:r>
    </w:p>
    <w:p w14:paraId="7B1AC5DE" w14:textId="77777777" w:rsidR="00DE575E" w:rsidRDefault="002E7560">
      <w:pPr>
        <w:spacing w:before="1" w:line="252" w:lineRule="auto"/>
        <w:ind w:left="533" w:right="127" w:firstLine="283"/>
        <w:jc w:val="both"/>
        <w:rPr>
          <w:sz w:val="21"/>
        </w:rPr>
      </w:pPr>
      <w:r>
        <w:rPr>
          <w:color w:val="231F20"/>
          <w:sz w:val="21"/>
        </w:rPr>
        <w:t xml:space="preserve">На думку професора В. Мельника, </w:t>
      </w:r>
      <w:r>
        <w:rPr>
          <w:i/>
          <w:color w:val="231F20"/>
          <w:sz w:val="21"/>
        </w:rPr>
        <w:t xml:space="preserve">предмет адміністративного права </w:t>
      </w:r>
      <w:r>
        <w:rPr>
          <w:color w:val="231F20"/>
          <w:sz w:val="21"/>
        </w:rPr>
        <w:t>складають, відносини, що виникають:</w:t>
      </w:r>
    </w:p>
    <w:p w14:paraId="4D25DC98" w14:textId="77777777" w:rsidR="00DE575E" w:rsidRDefault="002E7560">
      <w:pPr>
        <w:pStyle w:val="ListParagraph"/>
        <w:numPr>
          <w:ilvl w:val="0"/>
          <w:numId w:val="308"/>
        </w:numPr>
        <w:tabs>
          <w:tab w:val="left" w:pos="1101"/>
        </w:tabs>
        <w:ind w:firstLine="284"/>
        <w:rPr>
          <w:sz w:val="21"/>
        </w:rPr>
      </w:pPr>
      <w:r>
        <w:rPr>
          <w:color w:val="231F20"/>
          <w:sz w:val="21"/>
        </w:rPr>
        <w:t>під</w:t>
      </w:r>
      <w:r>
        <w:rPr>
          <w:color w:val="231F20"/>
          <w:spacing w:val="-6"/>
          <w:sz w:val="21"/>
        </w:rPr>
        <w:t xml:space="preserve"> </w:t>
      </w:r>
      <w:r>
        <w:rPr>
          <w:color w:val="231F20"/>
          <w:sz w:val="21"/>
        </w:rPr>
        <w:t>час</w:t>
      </w:r>
      <w:r>
        <w:rPr>
          <w:color w:val="231F20"/>
          <w:spacing w:val="-6"/>
          <w:sz w:val="21"/>
        </w:rPr>
        <w:t xml:space="preserve"> </w:t>
      </w:r>
      <w:r>
        <w:rPr>
          <w:color w:val="231F20"/>
          <w:sz w:val="21"/>
        </w:rPr>
        <w:t>безпосередньої</w:t>
      </w:r>
      <w:r>
        <w:rPr>
          <w:color w:val="231F20"/>
          <w:spacing w:val="-7"/>
          <w:sz w:val="21"/>
        </w:rPr>
        <w:t xml:space="preserve"> </w:t>
      </w:r>
      <w:r>
        <w:rPr>
          <w:color w:val="231F20"/>
          <w:sz w:val="21"/>
        </w:rPr>
        <w:t>реалізації</w:t>
      </w:r>
      <w:r>
        <w:rPr>
          <w:color w:val="231F20"/>
          <w:spacing w:val="-7"/>
          <w:sz w:val="21"/>
        </w:rPr>
        <w:t xml:space="preserve"> </w:t>
      </w:r>
      <w:r>
        <w:rPr>
          <w:color w:val="231F20"/>
          <w:sz w:val="21"/>
        </w:rPr>
        <w:t>влади</w:t>
      </w:r>
      <w:r>
        <w:rPr>
          <w:color w:val="231F20"/>
          <w:spacing w:val="-7"/>
          <w:sz w:val="21"/>
        </w:rPr>
        <w:t xml:space="preserve"> </w:t>
      </w:r>
      <w:r>
        <w:rPr>
          <w:color w:val="231F20"/>
          <w:sz w:val="21"/>
        </w:rPr>
        <w:t>Укра</w:t>
      </w:r>
      <w:r>
        <w:rPr>
          <w:color w:val="231F20"/>
          <w:sz w:val="21"/>
        </w:rPr>
        <w:t>їнським</w:t>
      </w:r>
      <w:r>
        <w:rPr>
          <w:color w:val="231F20"/>
          <w:spacing w:val="-7"/>
          <w:sz w:val="21"/>
        </w:rPr>
        <w:t xml:space="preserve"> </w:t>
      </w:r>
      <w:r>
        <w:rPr>
          <w:color w:val="231F20"/>
          <w:sz w:val="21"/>
        </w:rPr>
        <w:t>народом;</w:t>
      </w:r>
    </w:p>
    <w:p w14:paraId="408C924E" w14:textId="77777777" w:rsidR="00DE575E" w:rsidRDefault="002E7560">
      <w:pPr>
        <w:pStyle w:val="ListParagraph"/>
        <w:numPr>
          <w:ilvl w:val="0"/>
          <w:numId w:val="308"/>
        </w:numPr>
        <w:tabs>
          <w:tab w:val="left" w:pos="1101"/>
        </w:tabs>
        <w:spacing w:before="12" w:line="252" w:lineRule="auto"/>
        <w:ind w:right="128" w:firstLine="284"/>
        <w:jc w:val="both"/>
        <w:rPr>
          <w:sz w:val="21"/>
        </w:rPr>
      </w:pPr>
      <w:r>
        <w:rPr>
          <w:color w:val="231F20"/>
          <w:sz w:val="21"/>
        </w:rPr>
        <w:t xml:space="preserve">між </w:t>
      </w:r>
      <w:r>
        <w:rPr>
          <w:color w:val="231F20"/>
          <w:spacing w:val="-3"/>
          <w:sz w:val="21"/>
        </w:rPr>
        <w:t xml:space="preserve">приватною </w:t>
      </w:r>
      <w:r>
        <w:rPr>
          <w:color w:val="231F20"/>
          <w:sz w:val="21"/>
        </w:rPr>
        <w:t xml:space="preserve">особою та </w:t>
      </w:r>
      <w:r>
        <w:rPr>
          <w:color w:val="231F20"/>
          <w:spacing w:val="-5"/>
          <w:sz w:val="21"/>
        </w:rPr>
        <w:t xml:space="preserve">суб’єктом </w:t>
      </w:r>
      <w:r>
        <w:rPr>
          <w:color w:val="231F20"/>
          <w:spacing w:val="-3"/>
          <w:sz w:val="21"/>
        </w:rPr>
        <w:t xml:space="preserve">публічного </w:t>
      </w:r>
      <w:r>
        <w:rPr>
          <w:color w:val="231F20"/>
          <w:spacing w:val="-4"/>
          <w:sz w:val="21"/>
        </w:rPr>
        <w:t xml:space="preserve">адміністру- </w:t>
      </w:r>
      <w:r>
        <w:rPr>
          <w:color w:val="231F20"/>
          <w:spacing w:val="-3"/>
          <w:sz w:val="21"/>
        </w:rPr>
        <w:t xml:space="preserve">вання, </w:t>
      </w:r>
      <w:r>
        <w:rPr>
          <w:color w:val="231F20"/>
          <w:sz w:val="21"/>
        </w:rPr>
        <w:t xml:space="preserve">у разі коли останній діє </w:t>
      </w:r>
      <w:r>
        <w:rPr>
          <w:color w:val="231F20"/>
          <w:spacing w:val="-4"/>
          <w:sz w:val="21"/>
        </w:rPr>
        <w:t xml:space="preserve">щодо </w:t>
      </w:r>
      <w:r>
        <w:rPr>
          <w:color w:val="231F20"/>
          <w:spacing w:val="-3"/>
          <w:sz w:val="21"/>
        </w:rPr>
        <w:t xml:space="preserve">приватної </w:t>
      </w:r>
      <w:r>
        <w:rPr>
          <w:color w:val="231F20"/>
          <w:sz w:val="21"/>
        </w:rPr>
        <w:t xml:space="preserve">особи через </w:t>
      </w:r>
      <w:r>
        <w:rPr>
          <w:color w:val="231F20"/>
          <w:spacing w:val="-3"/>
          <w:sz w:val="21"/>
        </w:rPr>
        <w:t xml:space="preserve">викорис- тання </w:t>
      </w:r>
      <w:r>
        <w:rPr>
          <w:color w:val="231F20"/>
          <w:spacing w:val="-4"/>
          <w:sz w:val="21"/>
        </w:rPr>
        <w:t xml:space="preserve">одного </w:t>
      </w:r>
      <w:r>
        <w:rPr>
          <w:color w:val="231F20"/>
          <w:sz w:val="21"/>
        </w:rPr>
        <w:t xml:space="preserve">чи </w:t>
      </w:r>
      <w:r>
        <w:rPr>
          <w:color w:val="231F20"/>
          <w:spacing w:val="-3"/>
          <w:sz w:val="21"/>
        </w:rPr>
        <w:t>сукупності адміністративно-правових</w:t>
      </w:r>
      <w:r>
        <w:rPr>
          <w:color w:val="231F20"/>
          <w:sz w:val="21"/>
        </w:rPr>
        <w:t xml:space="preserve"> </w:t>
      </w:r>
      <w:r>
        <w:rPr>
          <w:color w:val="231F20"/>
          <w:spacing w:val="-4"/>
          <w:sz w:val="21"/>
        </w:rPr>
        <w:t>інструментів;</w:t>
      </w:r>
    </w:p>
    <w:p w14:paraId="6BD58111" w14:textId="77777777" w:rsidR="00DE575E" w:rsidRDefault="002E7560">
      <w:pPr>
        <w:pStyle w:val="ListParagraph"/>
        <w:numPr>
          <w:ilvl w:val="0"/>
          <w:numId w:val="308"/>
        </w:numPr>
        <w:tabs>
          <w:tab w:val="left" w:pos="1101"/>
        </w:tabs>
        <w:spacing w:before="2" w:line="252" w:lineRule="auto"/>
        <w:ind w:right="128" w:firstLine="284"/>
        <w:jc w:val="both"/>
        <w:rPr>
          <w:sz w:val="21"/>
        </w:rPr>
      </w:pPr>
      <w:r>
        <w:rPr>
          <w:color w:val="231F20"/>
          <w:sz w:val="21"/>
        </w:rPr>
        <w:t xml:space="preserve">між </w:t>
      </w:r>
      <w:r>
        <w:rPr>
          <w:color w:val="231F20"/>
          <w:spacing w:val="-3"/>
          <w:sz w:val="21"/>
        </w:rPr>
        <w:t xml:space="preserve">суб’єктом </w:t>
      </w:r>
      <w:r>
        <w:rPr>
          <w:color w:val="231F20"/>
          <w:sz w:val="21"/>
        </w:rPr>
        <w:t xml:space="preserve">публічного адміністрування та іншим </w:t>
      </w:r>
      <w:r>
        <w:rPr>
          <w:color w:val="231F20"/>
          <w:spacing w:val="-3"/>
          <w:sz w:val="21"/>
        </w:rPr>
        <w:t xml:space="preserve">суб’єктом </w:t>
      </w:r>
      <w:r>
        <w:rPr>
          <w:color w:val="231F20"/>
          <w:sz w:val="21"/>
        </w:rPr>
        <w:t>публічної</w:t>
      </w:r>
      <w:r>
        <w:rPr>
          <w:color w:val="231F20"/>
          <w:spacing w:val="-10"/>
          <w:sz w:val="21"/>
        </w:rPr>
        <w:t xml:space="preserve"> </w:t>
      </w:r>
      <w:r>
        <w:rPr>
          <w:color w:val="231F20"/>
          <w:sz w:val="21"/>
        </w:rPr>
        <w:t>влади,</w:t>
      </w:r>
      <w:r>
        <w:rPr>
          <w:color w:val="231F20"/>
          <w:spacing w:val="-10"/>
          <w:sz w:val="21"/>
        </w:rPr>
        <w:t xml:space="preserve"> </w:t>
      </w:r>
      <w:r>
        <w:rPr>
          <w:color w:val="231F20"/>
          <w:sz w:val="21"/>
        </w:rPr>
        <w:t>з</w:t>
      </w:r>
      <w:r>
        <w:rPr>
          <w:color w:val="231F20"/>
          <w:spacing w:val="-10"/>
          <w:sz w:val="21"/>
        </w:rPr>
        <w:t xml:space="preserve"> </w:t>
      </w:r>
      <w:r>
        <w:rPr>
          <w:color w:val="231F20"/>
          <w:sz w:val="21"/>
        </w:rPr>
        <w:t>яким</w:t>
      </w:r>
      <w:r>
        <w:rPr>
          <w:color w:val="231F20"/>
          <w:spacing w:val="-10"/>
          <w:sz w:val="21"/>
        </w:rPr>
        <w:t xml:space="preserve"> </w:t>
      </w:r>
      <w:r>
        <w:rPr>
          <w:color w:val="231F20"/>
          <w:sz w:val="21"/>
        </w:rPr>
        <w:t>перший</w:t>
      </w:r>
      <w:r>
        <w:rPr>
          <w:color w:val="231F20"/>
          <w:spacing w:val="-10"/>
          <w:sz w:val="21"/>
        </w:rPr>
        <w:t xml:space="preserve"> </w:t>
      </w:r>
      <w:r>
        <w:rPr>
          <w:color w:val="231F20"/>
          <w:sz w:val="21"/>
        </w:rPr>
        <w:t>не</w:t>
      </w:r>
      <w:r>
        <w:rPr>
          <w:color w:val="231F20"/>
          <w:spacing w:val="-10"/>
          <w:sz w:val="21"/>
        </w:rPr>
        <w:t xml:space="preserve"> </w:t>
      </w:r>
      <w:r>
        <w:rPr>
          <w:color w:val="231F20"/>
          <w:sz w:val="21"/>
        </w:rPr>
        <w:t>перебуває</w:t>
      </w:r>
      <w:r>
        <w:rPr>
          <w:color w:val="231F20"/>
          <w:spacing w:val="-10"/>
          <w:sz w:val="21"/>
        </w:rPr>
        <w:t xml:space="preserve"> </w:t>
      </w:r>
      <w:r>
        <w:rPr>
          <w:color w:val="231F20"/>
          <w:sz w:val="21"/>
        </w:rPr>
        <w:t>у</w:t>
      </w:r>
      <w:r>
        <w:rPr>
          <w:color w:val="231F20"/>
          <w:spacing w:val="-11"/>
          <w:sz w:val="21"/>
        </w:rPr>
        <w:t xml:space="preserve"> </w:t>
      </w:r>
      <w:r>
        <w:rPr>
          <w:color w:val="231F20"/>
          <w:sz w:val="21"/>
        </w:rPr>
        <w:t>відносинах</w:t>
      </w:r>
      <w:r>
        <w:rPr>
          <w:color w:val="231F20"/>
          <w:spacing w:val="-10"/>
          <w:sz w:val="21"/>
        </w:rPr>
        <w:t xml:space="preserve"> </w:t>
      </w:r>
      <w:r>
        <w:rPr>
          <w:color w:val="231F20"/>
          <w:sz w:val="21"/>
        </w:rPr>
        <w:t>підпоряд- кування (напр., відносини між місцевою радою та місцевою держав- ною адміністрацією з приводу реалізації останньою повноважень, делегованих їй</w:t>
      </w:r>
      <w:r>
        <w:rPr>
          <w:color w:val="231F20"/>
          <w:spacing w:val="-2"/>
          <w:sz w:val="21"/>
        </w:rPr>
        <w:t xml:space="preserve"> </w:t>
      </w:r>
      <w:r>
        <w:rPr>
          <w:color w:val="231F20"/>
          <w:sz w:val="21"/>
        </w:rPr>
        <w:t>радою);</w:t>
      </w:r>
    </w:p>
    <w:p w14:paraId="78C554FF" w14:textId="77777777" w:rsidR="00DE575E" w:rsidRDefault="002E7560">
      <w:pPr>
        <w:pStyle w:val="ListParagraph"/>
        <w:numPr>
          <w:ilvl w:val="0"/>
          <w:numId w:val="308"/>
        </w:numPr>
        <w:tabs>
          <w:tab w:val="left" w:pos="1101"/>
        </w:tabs>
        <w:spacing w:before="2" w:line="252" w:lineRule="auto"/>
        <w:ind w:right="128" w:firstLine="284"/>
        <w:jc w:val="both"/>
        <w:rPr>
          <w:sz w:val="21"/>
        </w:rPr>
      </w:pPr>
      <w:r>
        <w:rPr>
          <w:color w:val="231F20"/>
          <w:sz w:val="21"/>
        </w:rPr>
        <w:t>у межах внутрішньої організаційної діяльності органу публіч- ної влади;</w:t>
      </w:r>
    </w:p>
    <w:p w14:paraId="455AA329" w14:textId="77777777" w:rsidR="00DE575E" w:rsidRDefault="002E7560">
      <w:pPr>
        <w:pStyle w:val="ListParagraph"/>
        <w:numPr>
          <w:ilvl w:val="0"/>
          <w:numId w:val="308"/>
        </w:numPr>
        <w:tabs>
          <w:tab w:val="left" w:pos="1101"/>
        </w:tabs>
        <w:spacing w:line="252" w:lineRule="auto"/>
        <w:ind w:right="128" w:firstLine="284"/>
        <w:jc w:val="both"/>
        <w:rPr>
          <w:sz w:val="21"/>
        </w:rPr>
      </w:pPr>
      <w:r>
        <w:rPr>
          <w:color w:val="231F20"/>
          <w:sz w:val="21"/>
        </w:rPr>
        <w:t>між</w:t>
      </w:r>
      <w:r>
        <w:rPr>
          <w:color w:val="231F20"/>
          <w:spacing w:val="-9"/>
          <w:sz w:val="21"/>
        </w:rPr>
        <w:t xml:space="preserve"> </w:t>
      </w:r>
      <w:r>
        <w:rPr>
          <w:color w:val="231F20"/>
          <w:spacing w:val="-3"/>
          <w:sz w:val="21"/>
        </w:rPr>
        <w:t>суб’єктом</w:t>
      </w:r>
      <w:r>
        <w:rPr>
          <w:color w:val="231F20"/>
          <w:spacing w:val="-9"/>
          <w:sz w:val="21"/>
        </w:rPr>
        <w:t xml:space="preserve"> </w:t>
      </w:r>
      <w:r>
        <w:rPr>
          <w:color w:val="231F20"/>
          <w:sz w:val="21"/>
        </w:rPr>
        <w:t>публічного</w:t>
      </w:r>
      <w:r>
        <w:rPr>
          <w:color w:val="231F20"/>
          <w:spacing w:val="-9"/>
          <w:sz w:val="21"/>
        </w:rPr>
        <w:t xml:space="preserve"> </w:t>
      </w:r>
      <w:r>
        <w:rPr>
          <w:color w:val="231F20"/>
          <w:sz w:val="21"/>
        </w:rPr>
        <w:t>адміністрування</w:t>
      </w:r>
      <w:r>
        <w:rPr>
          <w:color w:val="231F20"/>
          <w:spacing w:val="-9"/>
          <w:sz w:val="21"/>
        </w:rPr>
        <w:t xml:space="preserve"> </w:t>
      </w:r>
      <w:r>
        <w:rPr>
          <w:color w:val="231F20"/>
          <w:sz w:val="21"/>
        </w:rPr>
        <w:t>та</w:t>
      </w:r>
      <w:r>
        <w:rPr>
          <w:color w:val="231F20"/>
          <w:spacing w:val="-9"/>
          <w:sz w:val="21"/>
        </w:rPr>
        <w:t xml:space="preserve"> </w:t>
      </w:r>
      <w:r>
        <w:rPr>
          <w:color w:val="231F20"/>
          <w:sz w:val="21"/>
        </w:rPr>
        <w:t>«особливо</w:t>
      </w:r>
      <w:r>
        <w:rPr>
          <w:color w:val="231F20"/>
          <w:spacing w:val="-10"/>
          <w:sz w:val="21"/>
        </w:rPr>
        <w:t xml:space="preserve"> </w:t>
      </w:r>
      <w:r>
        <w:rPr>
          <w:color w:val="231F20"/>
          <w:sz w:val="21"/>
        </w:rPr>
        <w:t>підпо- рядкованими особами» з приводу зміни їх правового статусу (звіль- нення, покарання, установлення обмежень</w:t>
      </w:r>
      <w:r>
        <w:rPr>
          <w:color w:val="231F20"/>
          <w:spacing w:val="-4"/>
          <w:sz w:val="21"/>
        </w:rPr>
        <w:t xml:space="preserve"> </w:t>
      </w:r>
      <w:r>
        <w:rPr>
          <w:color w:val="231F20"/>
          <w:sz w:val="21"/>
        </w:rPr>
        <w:t>тощо);</w:t>
      </w:r>
    </w:p>
    <w:p w14:paraId="413244B8" w14:textId="77777777" w:rsidR="00DE575E" w:rsidRDefault="002E7560">
      <w:pPr>
        <w:pStyle w:val="ListParagraph"/>
        <w:numPr>
          <w:ilvl w:val="0"/>
          <w:numId w:val="308"/>
        </w:numPr>
        <w:tabs>
          <w:tab w:val="left" w:pos="1101"/>
        </w:tabs>
        <w:spacing w:before="2" w:line="252" w:lineRule="auto"/>
        <w:ind w:right="128" w:firstLine="284"/>
        <w:jc w:val="both"/>
        <w:rPr>
          <w:sz w:val="21"/>
        </w:rPr>
      </w:pPr>
      <w:r>
        <w:rPr>
          <w:color w:val="231F20"/>
          <w:sz w:val="21"/>
        </w:rPr>
        <w:t>пі</w:t>
      </w:r>
      <w:r>
        <w:rPr>
          <w:color w:val="231F20"/>
          <w:sz w:val="21"/>
        </w:rPr>
        <w:t xml:space="preserve">д час управлінням </w:t>
      </w:r>
      <w:r>
        <w:rPr>
          <w:color w:val="231F20"/>
          <w:spacing w:val="-3"/>
          <w:sz w:val="21"/>
        </w:rPr>
        <w:t xml:space="preserve">об’єктами </w:t>
      </w:r>
      <w:r>
        <w:rPr>
          <w:color w:val="231F20"/>
          <w:sz w:val="21"/>
        </w:rPr>
        <w:t>публічної власності</w:t>
      </w:r>
      <w:r>
        <w:rPr>
          <w:color w:val="231F20"/>
          <w:spacing w:val="-29"/>
          <w:sz w:val="21"/>
        </w:rPr>
        <w:t xml:space="preserve"> </w:t>
      </w:r>
      <w:r>
        <w:rPr>
          <w:color w:val="231F20"/>
          <w:sz w:val="21"/>
        </w:rPr>
        <w:t>(публічним майном);</w:t>
      </w:r>
    </w:p>
    <w:p w14:paraId="4083251B" w14:textId="77777777" w:rsidR="00DE575E" w:rsidRDefault="002E7560">
      <w:pPr>
        <w:pStyle w:val="BodyText"/>
        <w:spacing w:before="1"/>
        <w:ind w:left="817"/>
      </w:pPr>
      <w:r>
        <w:rPr>
          <w:color w:val="231F20"/>
        </w:rPr>
        <w:t>а також унаслідок регулювання:</w:t>
      </w:r>
    </w:p>
    <w:p w14:paraId="0233439F" w14:textId="77777777" w:rsidR="00DE575E" w:rsidRDefault="002E7560">
      <w:pPr>
        <w:pStyle w:val="ListParagraph"/>
        <w:numPr>
          <w:ilvl w:val="0"/>
          <w:numId w:val="308"/>
        </w:numPr>
        <w:tabs>
          <w:tab w:val="left" w:pos="1101"/>
        </w:tabs>
        <w:spacing w:before="13" w:line="252" w:lineRule="auto"/>
        <w:ind w:right="128" w:firstLine="284"/>
        <w:jc w:val="both"/>
        <w:rPr>
          <w:sz w:val="21"/>
        </w:rPr>
      </w:pPr>
      <w:r>
        <w:rPr>
          <w:color w:val="231F20"/>
          <w:sz w:val="21"/>
        </w:rPr>
        <w:t xml:space="preserve">фактичних дій, коли </w:t>
      </w:r>
      <w:r>
        <w:rPr>
          <w:color w:val="231F20"/>
          <w:spacing w:val="-3"/>
          <w:sz w:val="21"/>
        </w:rPr>
        <w:t xml:space="preserve">суб’єкти </w:t>
      </w:r>
      <w:r>
        <w:rPr>
          <w:color w:val="231F20"/>
          <w:sz w:val="21"/>
        </w:rPr>
        <w:t>публічного адміністрування під час виконання покладених на них повноважень учиняють (здій- снюють) різноманітні фактичні дії, як</w:t>
      </w:r>
      <w:r>
        <w:rPr>
          <w:color w:val="231F20"/>
          <w:sz w:val="21"/>
        </w:rPr>
        <w:t>і не викликають юридичних наслідків;</w:t>
      </w:r>
    </w:p>
    <w:p w14:paraId="03B5D0D4" w14:textId="77777777" w:rsidR="00DE575E" w:rsidRDefault="002E7560">
      <w:pPr>
        <w:pStyle w:val="ListParagraph"/>
        <w:numPr>
          <w:ilvl w:val="0"/>
          <w:numId w:val="308"/>
        </w:numPr>
        <w:tabs>
          <w:tab w:val="left" w:pos="1101"/>
        </w:tabs>
        <w:spacing w:before="2" w:line="252" w:lineRule="auto"/>
        <w:ind w:right="130" w:firstLine="284"/>
        <w:jc w:val="both"/>
        <w:rPr>
          <w:sz w:val="21"/>
        </w:rPr>
      </w:pPr>
      <w:r>
        <w:rPr>
          <w:color w:val="231F20"/>
          <w:sz w:val="21"/>
        </w:rPr>
        <w:t xml:space="preserve">юридичного статусу </w:t>
      </w:r>
      <w:r>
        <w:rPr>
          <w:color w:val="231F20"/>
          <w:spacing w:val="-3"/>
          <w:sz w:val="21"/>
        </w:rPr>
        <w:t xml:space="preserve">суб’єктів </w:t>
      </w:r>
      <w:r>
        <w:rPr>
          <w:color w:val="231F20"/>
          <w:sz w:val="21"/>
        </w:rPr>
        <w:t>адміністративно-правових відносин</w:t>
      </w:r>
      <w:r>
        <w:rPr>
          <w:color w:val="231F20"/>
          <w:position w:val="7"/>
          <w:sz w:val="12"/>
        </w:rPr>
        <w:t>1</w:t>
      </w:r>
      <w:r>
        <w:rPr>
          <w:color w:val="231F20"/>
          <w:sz w:val="21"/>
        </w:rPr>
        <w:t>.</w:t>
      </w:r>
    </w:p>
    <w:p w14:paraId="711912FB" w14:textId="77777777" w:rsidR="00DE575E" w:rsidRDefault="00DE575E">
      <w:pPr>
        <w:pStyle w:val="BodyText"/>
        <w:rPr>
          <w:sz w:val="22"/>
        </w:rPr>
      </w:pPr>
    </w:p>
    <w:p w14:paraId="69FA2055" w14:textId="77777777" w:rsidR="00DE575E" w:rsidRDefault="002E7560">
      <w:pPr>
        <w:pStyle w:val="Heading5"/>
        <w:numPr>
          <w:ilvl w:val="2"/>
          <w:numId w:val="307"/>
        </w:numPr>
        <w:tabs>
          <w:tab w:val="left" w:pos="1383"/>
        </w:tabs>
        <w:spacing w:before="1" w:line="252" w:lineRule="auto"/>
        <w:ind w:right="2387" w:firstLine="0"/>
      </w:pPr>
      <w:r>
        <w:rPr>
          <w:color w:val="231F20"/>
        </w:rPr>
        <w:t>Адміністративне право як галузь, наука та навчальна</w:t>
      </w:r>
      <w:r>
        <w:rPr>
          <w:color w:val="231F20"/>
          <w:spacing w:val="-4"/>
        </w:rPr>
        <w:t xml:space="preserve"> </w:t>
      </w:r>
      <w:r>
        <w:rPr>
          <w:color w:val="231F20"/>
        </w:rPr>
        <w:t>дисципліна</w:t>
      </w:r>
    </w:p>
    <w:p w14:paraId="3BB742DB" w14:textId="77777777" w:rsidR="00DE575E" w:rsidRDefault="00DE575E">
      <w:pPr>
        <w:pStyle w:val="BodyText"/>
        <w:spacing w:before="1"/>
        <w:rPr>
          <w:b/>
          <w:sz w:val="22"/>
        </w:rPr>
      </w:pPr>
    </w:p>
    <w:p w14:paraId="008CAD92" w14:textId="77777777" w:rsidR="00DE575E" w:rsidRDefault="002E7560">
      <w:pPr>
        <w:pStyle w:val="BodyText"/>
        <w:spacing w:line="252" w:lineRule="auto"/>
        <w:ind w:left="533" w:right="128" w:firstLine="283"/>
        <w:jc w:val="both"/>
      </w:pPr>
      <w:r>
        <w:rPr>
          <w:color w:val="231F20"/>
        </w:rPr>
        <w:t>У формі однорідної, відособленої в системі юриспруденції право- вої матерії адміністративне право характеризується як:</w:t>
      </w:r>
    </w:p>
    <w:p w14:paraId="2FEB5DA2" w14:textId="77777777" w:rsidR="00DE575E" w:rsidRDefault="002E7560">
      <w:pPr>
        <w:pStyle w:val="ListParagraph"/>
        <w:numPr>
          <w:ilvl w:val="1"/>
          <w:numId w:val="309"/>
        </w:numPr>
        <w:tabs>
          <w:tab w:val="left" w:pos="1101"/>
        </w:tabs>
        <w:ind w:hanging="283"/>
        <w:jc w:val="left"/>
        <w:rPr>
          <w:sz w:val="21"/>
        </w:rPr>
      </w:pPr>
      <w:r>
        <w:rPr>
          <w:color w:val="231F20"/>
          <w:sz w:val="21"/>
        </w:rPr>
        <w:t>галузь</w:t>
      </w:r>
      <w:r>
        <w:rPr>
          <w:color w:val="231F20"/>
          <w:spacing w:val="-2"/>
          <w:sz w:val="21"/>
        </w:rPr>
        <w:t xml:space="preserve"> </w:t>
      </w:r>
      <w:r>
        <w:rPr>
          <w:color w:val="231F20"/>
          <w:sz w:val="21"/>
        </w:rPr>
        <w:t>права;</w:t>
      </w:r>
    </w:p>
    <w:p w14:paraId="7373CE0A" w14:textId="77777777" w:rsidR="00DE575E" w:rsidRDefault="002E7560">
      <w:pPr>
        <w:pStyle w:val="ListParagraph"/>
        <w:numPr>
          <w:ilvl w:val="1"/>
          <w:numId w:val="309"/>
        </w:numPr>
        <w:tabs>
          <w:tab w:val="left" w:pos="1101"/>
        </w:tabs>
        <w:spacing w:before="13"/>
        <w:ind w:hanging="283"/>
        <w:jc w:val="left"/>
        <w:rPr>
          <w:sz w:val="21"/>
        </w:rPr>
      </w:pPr>
      <w:r>
        <w:rPr>
          <w:color w:val="231F20"/>
          <w:sz w:val="21"/>
        </w:rPr>
        <w:t>наука;</w:t>
      </w:r>
    </w:p>
    <w:p w14:paraId="3CB45832" w14:textId="77777777" w:rsidR="00DE575E" w:rsidRDefault="002E7560">
      <w:pPr>
        <w:pStyle w:val="ListParagraph"/>
        <w:numPr>
          <w:ilvl w:val="1"/>
          <w:numId w:val="309"/>
        </w:numPr>
        <w:tabs>
          <w:tab w:val="left" w:pos="1101"/>
        </w:tabs>
        <w:spacing w:before="12"/>
        <w:ind w:hanging="283"/>
        <w:jc w:val="left"/>
        <w:rPr>
          <w:sz w:val="21"/>
        </w:rPr>
      </w:pPr>
      <w:r>
        <w:rPr>
          <w:color w:val="231F20"/>
          <w:sz w:val="21"/>
        </w:rPr>
        <w:t>навчальна</w:t>
      </w:r>
      <w:r>
        <w:rPr>
          <w:color w:val="231F20"/>
          <w:spacing w:val="-1"/>
          <w:sz w:val="21"/>
        </w:rPr>
        <w:t xml:space="preserve"> </w:t>
      </w:r>
      <w:r>
        <w:rPr>
          <w:color w:val="231F20"/>
          <w:sz w:val="21"/>
        </w:rPr>
        <w:t>дисципліна.</w:t>
      </w:r>
    </w:p>
    <w:p w14:paraId="6DA85073" w14:textId="77777777" w:rsidR="00DE575E" w:rsidRDefault="00DE575E">
      <w:pPr>
        <w:pStyle w:val="BodyText"/>
        <w:rPr>
          <w:sz w:val="20"/>
        </w:rPr>
      </w:pPr>
    </w:p>
    <w:p w14:paraId="6D234742" w14:textId="688C4D82" w:rsidR="00DE575E" w:rsidRDefault="002E7560">
      <w:pPr>
        <w:pStyle w:val="BodyText"/>
        <w:spacing w:before="11"/>
        <w:rPr>
          <w:sz w:val="13"/>
        </w:rPr>
      </w:pPr>
      <w:r>
        <w:rPr>
          <w:noProof/>
        </w:rPr>
        <mc:AlternateContent>
          <mc:Choice Requires="wps">
            <w:drawing>
              <wp:anchor distT="0" distB="0" distL="0" distR="0" simplePos="0" relativeHeight="2080" behindDoc="0" locked="0" layoutInCell="1" allowOverlap="1" wp14:anchorId="4F7BA02B" wp14:editId="0C3501A2">
                <wp:simplePos x="0" y="0"/>
                <wp:positionH relativeFrom="page">
                  <wp:posOffset>719455</wp:posOffset>
                </wp:positionH>
                <wp:positionV relativeFrom="paragraph">
                  <wp:posOffset>131445</wp:posOffset>
                </wp:positionV>
                <wp:extent cx="1080135" cy="0"/>
                <wp:effectExtent l="8255" t="17145" r="29210" b="20955"/>
                <wp:wrapTopAndBottom/>
                <wp:docPr id="1336"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92AD2" id="Line_x0020_1335"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5pt" to="141.7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" strokecolor="#231f20" strokeweight=".5pt">
                <w10:wrap type="topAndBottom" anchorx="page"/>
              </v:line>
            </w:pict>
          </mc:Fallback>
        </mc:AlternateContent>
      </w:r>
    </w:p>
    <w:p w14:paraId="7D719600" w14:textId="77777777" w:rsidR="00DE575E" w:rsidRDefault="002E7560">
      <w:pPr>
        <w:spacing w:line="204" w:lineRule="auto"/>
        <w:ind w:left="533" w:right="128"/>
        <w:rPr>
          <w:sz w:val="16"/>
        </w:rPr>
      </w:pPr>
      <w:r>
        <w:rPr>
          <w:color w:val="231F20"/>
          <w:position w:val="5"/>
          <w:sz w:val="9"/>
        </w:rPr>
        <w:t xml:space="preserve">1 </w:t>
      </w:r>
      <w:r>
        <w:rPr>
          <w:color w:val="231F20"/>
          <w:sz w:val="16"/>
        </w:rPr>
        <w:t xml:space="preserve">Мельник Р. Предмет адміністративного права. </w:t>
      </w:r>
      <w:r>
        <w:rPr>
          <w:i/>
          <w:color w:val="231F20"/>
          <w:sz w:val="16"/>
        </w:rPr>
        <w:t>Право України</w:t>
      </w:r>
      <w:r>
        <w:rPr>
          <w:color w:val="231F20"/>
          <w:sz w:val="16"/>
        </w:rPr>
        <w:t>. 2018. URL: https://pravoua.1 c</w:t>
      </w:r>
      <w:r>
        <w:rPr>
          <w:color w:val="231F20"/>
          <w:sz w:val="16"/>
        </w:rPr>
        <w:t>om.ua/ua/store/pravoukr/pravo_2018_3/pravo_2018_3_s10/</w:t>
      </w:r>
    </w:p>
    <w:p w14:paraId="099474EA" w14:textId="77777777" w:rsidR="00DE575E" w:rsidRDefault="00DE575E">
      <w:pPr>
        <w:pStyle w:val="BodyText"/>
        <w:spacing w:before="1"/>
        <w:rPr>
          <w:sz w:val="12"/>
        </w:rPr>
      </w:pPr>
    </w:p>
    <w:p w14:paraId="1F55F2AD" w14:textId="77777777" w:rsidR="00DE575E" w:rsidRDefault="002E7560">
      <w:pPr>
        <w:spacing w:before="92"/>
        <w:ind w:left="533"/>
        <w:rPr>
          <w:rFonts w:ascii="Times New Roman"/>
          <w:sz w:val="20"/>
        </w:rPr>
      </w:pPr>
      <w:r>
        <w:rPr>
          <w:rFonts w:ascii="Times New Roman"/>
          <w:color w:val="231F20"/>
          <w:sz w:val="20"/>
        </w:rPr>
        <w:t>34</w:t>
      </w:r>
    </w:p>
    <w:p w14:paraId="3F4B9D21" w14:textId="77777777" w:rsidR="00DE575E" w:rsidRDefault="00DE575E">
      <w:pPr>
        <w:rPr>
          <w:rFonts w:ascii="Times New Roman"/>
          <w:sz w:val="20"/>
        </w:rPr>
        <w:sectPr w:rsidR="00DE575E">
          <w:pgSz w:w="8510" w:h="12760"/>
          <w:pgMar w:top="660" w:right="720" w:bottom="280" w:left="600" w:header="720" w:footer="720" w:gutter="0"/>
          <w:cols w:space="720"/>
        </w:sectPr>
      </w:pPr>
    </w:p>
    <w:p w14:paraId="52D7E35D" w14:textId="77777777" w:rsidR="00DE575E" w:rsidRDefault="002E7560">
      <w:pPr>
        <w:spacing w:before="72" w:line="249" w:lineRule="auto"/>
        <w:ind w:left="1896" w:right="411" w:firstLine="1533"/>
        <w:jc w:val="right"/>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3F3A4199" w14:textId="2884E71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4BC62D8" wp14:editId="07D8F03C">
                <wp:extent cx="4140200" cy="6350"/>
                <wp:effectExtent l="0" t="0" r="12700" b="6350"/>
                <wp:docPr id="1334"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35" name="Line 133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531FF0" id="Group_x0020_133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G47X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8xuO1/AgAAnAUAAA4A&#10;AAAAAAAAAAAAAAAALAIAAGRycy9lMm9Eb2MueG1sUEsBAi0AFAAGAAgAAAAhAEynsJDZAAAAAwEA&#10;AA8AAAAAAAAAAAAAAAAA1wQAAGRycy9kb3ducmV2LnhtbFBLBQYAAAAABAAEAPMAAADdBQAAAAA=&#10;">
                <v:line id="Line_x0020_133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hG3sQAAADdAAAADwAAAGRycy9kb3ducmV2LnhtbERP22rCQBB9L/Qflin0pehGg1Kiq4gg&#10;SB+8pR8wZqdJ6O5szK4m7de7QqFvczjXmS97a8SNWl87VjAaJiCIC6drLhV85pvBOwgfkDUax6Tg&#10;hzwsF89Pc8y06/hIt1MoRQxhn6GCKoQmk9IXFVn0Q9cQR+7LtRZDhG0pdYtdDLdGjpNkKi3WHBsq&#10;bGhdUfF9uloF+eUtmMP+w3T5/pzK82WX/l53Sr2+9KsZiEB9+Bf/ubc6zk/TC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uEbexAAAAN0AAAAPAAAAAAAAAAAA&#10;AAAAAKECAABkcnMvZG93bnJldi54bWxQSwUGAAAAAAQABAD5AAAAkgMAAAAA&#10;" strokecolor="#231f20" strokeweight=".5pt"/>
                <w10:anchorlock/>
              </v:group>
            </w:pict>
          </mc:Fallback>
        </mc:AlternateContent>
      </w:r>
    </w:p>
    <w:p w14:paraId="38F36A1E" w14:textId="77777777" w:rsidR="00DE575E" w:rsidRDefault="00DE575E">
      <w:pPr>
        <w:pStyle w:val="BodyText"/>
        <w:spacing w:before="7"/>
        <w:rPr>
          <w:rFonts w:ascii="AdonisC"/>
          <w:i/>
          <w:sz w:val="19"/>
        </w:rPr>
      </w:pPr>
    </w:p>
    <w:p w14:paraId="6D3ACB13" w14:textId="77777777" w:rsidR="00DE575E" w:rsidRDefault="002E7560">
      <w:pPr>
        <w:pStyle w:val="BodyText"/>
        <w:spacing w:before="1" w:line="252" w:lineRule="auto"/>
        <w:ind w:left="250" w:right="409" w:firstLine="283"/>
        <w:jc w:val="both"/>
      </w:pPr>
      <w:r>
        <w:rPr>
          <w:color w:val="231F20"/>
        </w:rPr>
        <w:t>У теорії права під галуззю права розуміють відносно самостійну сукупність юридичних норм, яка регулює якісно однорідну сферу суспільних відносин специфічним методом правового регулювання. Щодо</w:t>
      </w:r>
      <w:r>
        <w:rPr>
          <w:color w:val="231F20"/>
          <w:spacing w:val="-20"/>
        </w:rPr>
        <w:t xml:space="preserve"> </w:t>
      </w:r>
      <w:r>
        <w:rPr>
          <w:color w:val="231F20"/>
        </w:rPr>
        <w:t>визначення</w:t>
      </w:r>
      <w:r>
        <w:rPr>
          <w:color w:val="231F20"/>
          <w:spacing w:val="-20"/>
        </w:rPr>
        <w:t xml:space="preserve"> </w:t>
      </w:r>
      <w:r>
        <w:rPr>
          <w:color w:val="231F20"/>
        </w:rPr>
        <w:t>поняття</w:t>
      </w:r>
      <w:r>
        <w:rPr>
          <w:color w:val="231F20"/>
          <w:spacing w:val="-20"/>
        </w:rPr>
        <w:t xml:space="preserve"> </w:t>
      </w:r>
      <w:r>
        <w:rPr>
          <w:color w:val="231F20"/>
        </w:rPr>
        <w:t>конкретної</w:t>
      </w:r>
      <w:r>
        <w:rPr>
          <w:color w:val="231F20"/>
          <w:spacing w:val="-20"/>
        </w:rPr>
        <w:t xml:space="preserve"> </w:t>
      </w:r>
      <w:r>
        <w:rPr>
          <w:color w:val="231F20"/>
        </w:rPr>
        <w:t>галузі</w:t>
      </w:r>
      <w:r>
        <w:rPr>
          <w:color w:val="231F20"/>
          <w:spacing w:val="-20"/>
        </w:rPr>
        <w:t xml:space="preserve"> </w:t>
      </w:r>
      <w:r>
        <w:rPr>
          <w:color w:val="231F20"/>
        </w:rPr>
        <w:t>права</w:t>
      </w:r>
      <w:r>
        <w:rPr>
          <w:color w:val="231F20"/>
          <w:spacing w:val="-20"/>
        </w:rPr>
        <w:t xml:space="preserve"> </w:t>
      </w:r>
      <w:r>
        <w:rPr>
          <w:color w:val="231F20"/>
        </w:rPr>
        <w:t>в</w:t>
      </w:r>
      <w:r>
        <w:rPr>
          <w:color w:val="231F20"/>
          <w:spacing w:val="-20"/>
        </w:rPr>
        <w:t xml:space="preserve"> </w:t>
      </w:r>
      <w:r>
        <w:rPr>
          <w:color w:val="231F20"/>
        </w:rPr>
        <w:t>юридичній</w:t>
      </w:r>
      <w:r>
        <w:rPr>
          <w:color w:val="231F20"/>
          <w:spacing w:val="-20"/>
        </w:rPr>
        <w:t xml:space="preserve"> </w:t>
      </w:r>
      <w:r>
        <w:rPr>
          <w:color w:val="231F20"/>
        </w:rPr>
        <w:t>літе- ратурі</w:t>
      </w:r>
      <w:r>
        <w:rPr>
          <w:color w:val="231F20"/>
          <w:spacing w:val="-7"/>
        </w:rPr>
        <w:t xml:space="preserve"> </w:t>
      </w:r>
      <w:r>
        <w:rPr>
          <w:color w:val="231F20"/>
        </w:rPr>
        <w:t>виробився</w:t>
      </w:r>
      <w:r>
        <w:rPr>
          <w:color w:val="231F20"/>
          <w:spacing w:val="-7"/>
        </w:rPr>
        <w:t xml:space="preserve"> </w:t>
      </w:r>
      <w:r>
        <w:rPr>
          <w:color w:val="231F20"/>
        </w:rPr>
        <w:t>підхід,</w:t>
      </w:r>
      <w:r>
        <w:rPr>
          <w:color w:val="231F20"/>
          <w:spacing w:val="-7"/>
        </w:rPr>
        <w:t xml:space="preserve"> </w:t>
      </w:r>
      <w:r>
        <w:rPr>
          <w:color w:val="231F20"/>
        </w:rPr>
        <w:t>за</w:t>
      </w:r>
      <w:r>
        <w:rPr>
          <w:color w:val="231F20"/>
          <w:spacing w:val="-7"/>
        </w:rPr>
        <w:t xml:space="preserve"> </w:t>
      </w:r>
      <w:r>
        <w:rPr>
          <w:color w:val="231F20"/>
        </w:rPr>
        <w:t>яким</w:t>
      </w:r>
      <w:r>
        <w:rPr>
          <w:color w:val="231F20"/>
          <w:spacing w:val="-7"/>
        </w:rPr>
        <w:t xml:space="preserve"> </w:t>
      </w:r>
      <w:r>
        <w:rPr>
          <w:color w:val="231F20"/>
        </w:rPr>
        <w:t>визначаються</w:t>
      </w:r>
      <w:r>
        <w:rPr>
          <w:color w:val="231F20"/>
          <w:spacing w:val="-7"/>
        </w:rPr>
        <w:t xml:space="preserve"> </w:t>
      </w:r>
      <w:r>
        <w:rPr>
          <w:color w:val="231F20"/>
        </w:rPr>
        <w:t>такі</w:t>
      </w:r>
      <w:r>
        <w:rPr>
          <w:color w:val="231F20"/>
          <w:spacing w:val="-7"/>
        </w:rPr>
        <w:t xml:space="preserve"> </w:t>
      </w:r>
      <w:r>
        <w:rPr>
          <w:color w:val="231F20"/>
        </w:rPr>
        <w:t>її</w:t>
      </w:r>
      <w:r>
        <w:rPr>
          <w:color w:val="231F20"/>
          <w:spacing w:val="-7"/>
        </w:rPr>
        <w:t xml:space="preserve"> </w:t>
      </w:r>
      <w:r>
        <w:rPr>
          <w:color w:val="231F20"/>
        </w:rPr>
        <w:t>ознаки:</w:t>
      </w:r>
      <w:r>
        <w:rPr>
          <w:color w:val="231F20"/>
          <w:spacing w:val="-7"/>
        </w:rPr>
        <w:t xml:space="preserve"> </w:t>
      </w:r>
      <w:r>
        <w:rPr>
          <w:color w:val="231F20"/>
        </w:rPr>
        <w:t xml:space="preserve">основа відокремлення певної галузі права – якісно однорідні суспільні відносини, </w:t>
      </w:r>
      <w:r>
        <w:rPr>
          <w:color w:val="231F20"/>
          <w:spacing w:val="-3"/>
        </w:rPr>
        <w:t xml:space="preserve">об’єктивність </w:t>
      </w:r>
      <w:r>
        <w:rPr>
          <w:color w:val="231F20"/>
        </w:rPr>
        <w:t>відокремлення груп суспільних відносин, певна</w:t>
      </w:r>
      <w:r>
        <w:rPr>
          <w:color w:val="231F20"/>
          <w:spacing w:val="-1"/>
        </w:rPr>
        <w:t xml:space="preserve"> </w:t>
      </w:r>
      <w:r>
        <w:rPr>
          <w:color w:val="231F20"/>
        </w:rPr>
        <w:t>структура.</w:t>
      </w:r>
    </w:p>
    <w:p w14:paraId="038D915D" w14:textId="77777777" w:rsidR="00DE575E" w:rsidRDefault="002E7560">
      <w:pPr>
        <w:pStyle w:val="Heading5"/>
        <w:spacing w:before="4" w:line="252" w:lineRule="auto"/>
        <w:ind w:left="250" w:right="410" w:firstLine="283"/>
        <w:jc w:val="both"/>
      </w:pPr>
      <w:r>
        <w:rPr>
          <w:color w:val="231F20"/>
        </w:rPr>
        <w:t>Адміністративне право як галузь права – це сукупність юридичних норм, які врегульовують однорідні суспільні відно- сини щодо надання адміністративних послуг і здійснення вико- навчо-розпорядчої діяльності, що здійснюється суб’єктами публічної адміністрації</w:t>
      </w:r>
      <w:r>
        <w:rPr>
          <w:color w:val="231F20"/>
        </w:rPr>
        <w:t>.</w:t>
      </w:r>
    </w:p>
    <w:p w14:paraId="690E6131" w14:textId="77777777" w:rsidR="00DE575E" w:rsidRDefault="002E7560">
      <w:pPr>
        <w:pStyle w:val="BodyText"/>
        <w:spacing w:before="2" w:line="252" w:lineRule="auto"/>
        <w:ind w:left="250" w:right="410" w:firstLine="283"/>
        <w:jc w:val="both"/>
      </w:pPr>
      <w:r>
        <w:rPr>
          <w:color w:val="231F20"/>
        </w:rPr>
        <w:t>Найбільш широким за сутністю і змістом у тріаді аналізованих феноменів є адміністративне право як наука, що полягає в онто- логічному опануванні, гносеологічному пізнанні та діалектичному розвитку й удосконаленні різноманітних норм та інститутів адмі- ні</w:t>
      </w:r>
      <w:r>
        <w:rPr>
          <w:color w:val="231F20"/>
        </w:rPr>
        <w:t>стративного права. Більше того, часто в межах науки адміністра- тивного права здійснюється дослідження юридичних інститутів інших галузей права в тих сферах, де до їх вирішення залучаються суб’єкти публічної адміністрації.</w:t>
      </w:r>
    </w:p>
    <w:p w14:paraId="67B38EC8" w14:textId="77777777" w:rsidR="00DE575E" w:rsidRDefault="002E7560">
      <w:pPr>
        <w:spacing w:before="4" w:line="252" w:lineRule="auto"/>
        <w:ind w:left="250" w:right="411" w:firstLine="283"/>
        <w:jc w:val="right"/>
        <w:rPr>
          <w:sz w:val="21"/>
        </w:rPr>
      </w:pPr>
      <w:r>
        <w:rPr>
          <w:b/>
          <w:color w:val="231F20"/>
          <w:sz w:val="21"/>
        </w:rPr>
        <w:t>Отже, адміністративне право як на</w:t>
      </w:r>
      <w:r>
        <w:rPr>
          <w:b/>
          <w:color w:val="231F20"/>
          <w:sz w:val="21"/>
        </w:rPr>
        <w:t>ука</w:t>
      </w:r>
      <w:r>
        <w:rPr>
          <w:b/>
          <w:color w:val="231F20"/>
          <w:spacing w:val="18"/>
          <w:sz w:val="21"/>
        </w:rPr>
        <w:t xml:space="preserve"> </w:t>
      </w:r>
      <w:r>
        <w:rPr>
          <w:b/>
          <w:color w:val="231F20"/>
          <w:sz w:val="21"/>
        </w:rPr>
        <w:t>– це теоретичні</w:t>
      </w:r>
      <w:r>
        <w:rPr>
          <w:b/>
          <w:color w:val="231F20"/>
          <w:spacing w:val="8"/>
          <w:sz w:val="21"/>
        </w:rPr>
        <w:t xml:space="preserve"> </w:t>
      </w:r>
      <w:r>
        <w:rPr>
          <w:b/>
          <w:color w:val="231F20"/>
          <w:sz w:val="21"/>
        </w:rPr>
        <w:t>поло- ження</w:t>
      </w:r>
      <w:r>
        <w:rPr>
          <w:b/>
          <w:color w:val="231F20"/>
          <w:spacing w:val="-10"/>
          <w:sz w:val="21"/>
        </w:rPr>
        <w:t xml:space="preserve"> </w:t>
      </w:r>
      <w:r>
        <w:rPr>
          <w:b/>
          <w:color w:val="231F20"/>
          <w:sz w:val="21"/>
        </w:rPr>
        <w:t>й</w:t>
      </w:r>
      <w:r>
        <w:rPr>
          <w:b/>
          <w:color w:val="231F20"/>
          <w:spacing w:val="-10"/>
          <w:sz w:val="21"/>
        </w:rPr>
        <w:t xml:space="preserve"> </w:t>
      </w:r>
      <w:r>
        <w:rPr>
          <w:b/>
          <w:color w:val="231F20"/>
          <w:sz w:val="21"/>
        </w:rPr>
        <w:t>методологічні</w:t>
      </w:r>
      <w:r>
        <w:rPr>
          <w:b/>
          <w:color w:val="231F20"/>
          <w:spacing w:val="-9"/>
          <w:sz w:val="21"/>
        </w:rPr>
        <w:t xml:space="preserve"> </w:t>
      </w:r>
      <w:r>
        <w:rPr>
          <w:b/>
          <w:color w:val="231F20"/>
          <w:sz w:val="21"/>
        </w:rPr>
        <w:t>основи,</w:t>
      </w:r>
      <w:r>
        <w:rPr>
          <w:b/>
          <w:color w:val="231F20"/>
          <w:spacing w:val="-10"/>
          <w:sz w:val="21"/>
        </w:rPr>
        <w:t xml:space="preserve"> </w:t>
      </w:r>
      <w:r>
        <w:rPr>
          <w:b/>
          <w:color w:val="231F20"/>
          <w:sz w:val="21"/>
        </w:rPr>
        <w:t>які</w:t>
      </w:r>
      <w:r>
        <w:rPr>
          <w:b/>
          <w:color w:val="231F20"/>
          <w:spacing w:val="-10"/>
          <w:sz w:val="21"/>
        </w:rPr>
        <w:t xml:space="preserve"> </w:t>
      </w:r>
      <w:r>
        <w:rPr>
          <w:b/>
          <w:color w:val="231F20"/>
          <w:sz w:val="21"/>
        </w:rPr>
        <w:t>забезпечують</w:t>
      </w:r>
      <w:r>
        <w:rPr>
          <w:b/>
          <w:color w:val="231F20"/>
          <w:spacing w:val="-10"/>
          <w:sz w:val="21"/>
        </w:rPr>
        <w:t xml:space="preserve"> </w:t>
      </w:r>
      <w:r>
        <w:rPr>
          <w:b/>
          <w:color w:val="231F20"/>
          <w:sz w:val="21"/>
        </w:rPr>
        <w:t>процес,</w:t>
      </w:r>
      <w:r>
        <w:rPr>
          <w:b/>
          <w:color w:val="231F20"/>
          <w:spacing w:val="-10"/>
          <w:sz w:val="21"/>
        </w:rPr>
        <w:t xml:space="preserve"> </w:t>
      </w:r>
      <w:r>
        <w:rPr>
          <w:b/>
          <w:color w:val="231F20"/>
          <w:sz w:val="21"/>
        </w:rPr>
        <w:t>дослід- ження</w:t>
      </w:r>
      <w:r>
        <w:rPr>
          <w:b/>
          <w:color w:val="231F20"/>
          <w:spacing w:val="-22"/>
          <w:sz w:val="21"/>
        </w:rPr>
        <w:t xml:space="preserve"> </w:t>
      </w:r>
      <w:r>
        <w:rPr>
          <w:b/>
          <w:color w:val="231F20"/>
          <w:sz w:val="21"/>
        </w:rPr>
        <w:t>засад</w:t>
      </w:r>
      <w:r>
        <w:rPr>
          <w:b/>
          <w:color w:val="231F20"/>
          <w:spacing w:val="-22"/>
          <w:sz w:val="21"/>
        </w:rPr>
        <w:t xml:space="preserve"> </w:t>
      </w:r>
      <w:r>
        <w:rPr>
          <w:b/>
          <w:color w:val="231F20"/>
          <w:sz w:val="21"/>
        </w:rPr>
        <w:t>й</w:t>
      </w:r>
      <w:r>
        <w:rPr>
          <w:b/>
          <w:color w:val="231F20"/>
          <w:spacing w:val="-21"/>
          <w:sz w:val="21"/>
        </w:rPr>
        <w:t xml:space="preserve"> </w:t>
      </w:r>
      <w:r>
        <w:rPr>
          <w:b/>
          <w:color w:val="231F20"/>
          <w:sz w:val="21"/>
        </w:rPr>
        <w:t>ефективності</w:t>
      </w:r>
      <w:r>
        <w:rPr>
          <w:b/>
          <w:color w:val="231F20"/>
          <w:spacing w:val="-22"/>
          <w:sz w:val="21"/>
        </w:rPr>
        <w:t xml:space="preserve"> </w:t>
      </w:r>
      <w:r>
        <w:rPr>
          <w:b/>
          <w:color w:val="231F20"/>
          <w:sz w:val="21"/>
        </w:rPr>
        <w:t>інститутів</w:t>
      </w:r>
      <w:r>
        <w:rPr>
          <w:b/>
          <w:color w:val="231F20"/>
          <w:spacing w:val="-22"/>
          <w:sz w:val="21"/>
        </w:rPr>
        <w:t xml:space="preserve"> </w:t>
      </w:r>
      <w:r>
        <w:rPr>
          <w:b/>
          <w:color w:val="231F20"/>
          <w:sz w:val="21"/>
        </w:rPr>
        <w:t>адміністративного</w:t>
      </w:r>
      <w:r>
        <w:rPr>
          <w:b/>
          <w:color w:val="231F20"/>
          <w:spacing w:val="-22"/>
          <w:sz w:val="21"/>
        </w:rPr>
        <w:t xml:space="preserve"> </w:t>
      </w:r>
      <w:r>
        <w:rPr>
          <w:b/>
          <w:color w:val="231F20"/>
          <w:sz w:val="21"/>
        </w:rPr>
        <w:t>права.</w:t>
      </w:r>
      <w:r>
        <w:rPr>
          <w:b/>
          <w:color w:val="231F20"/>
          <w:spacing w:val="-1"/>
          <w:sz w:val="21"/>
        </w:rPr>
        <w:t xml:space="preserve"> </w:t>
      </w:r>
      <w:r>
        <w:rPr>
          <w:color w:val="231F20"/>
          <w:sz w:val="21"/>
        </w:rPr>
        <w:t>Адміністративне право викладається в юридичних</w:t>
      </w:r>
      <w:r>
        <w:rPr>
          <w:color w:val="231F20"/>
          <w:spacing w:val="1"/>
          <w:sz w:val="21"/>
        </w:rPr>
        <w:t xml:space="preserve"> </w:t>
      </w:r>
      <w:r>
        <w:rPr>
          <w:color w:val="231F20"/>
          <w:sz w:val="21"/>
        </w:rPr>
        <w:t>та</w:t>
      </w:r>
      <w:r>
        <w:rPr>
          <w:color w:val="231F20"/>
          <w:spacing w:val="27"/>
          <w:sz w:val="21"/>
        </w:rPr>
        <w:t xml:space="preserve"> </w:t>
      </w:r>
      <w:r>
        <w:rPr>
          <w:color w:val="231F20"/>
          <w:sz w:val="21"/>
        </w:rPr>
        <w:t>інших навчальних закладах із метою оволодіння</w:t>
      </w:r>
      <w:r>
        <w:rPr>
          <w:color w:val="231F20"/>
          <w:spacing w:val="-9"/>
          <w:sz w:val="21"/>
        </w:rPr>
        <w:t xml:space="preserve"> </w:t>
      </w:r>
      <w:r>
        <w:rPr>
          <w:color w:val="231F20"/>
          <w:sz w:val="21"/>
        </w:rPr>
        <w:t>майбутніми</w:t>
      </w:r>
      <w:r>
        <w:rPr>
          <w:color w:val="231F20"/>
          <w:spacing w:val="33"/>
          <w:sz w:val="21"/>
        </w:rPr>
        <w:t xml:space="preserve"> </w:t>
      </w:r>
      <w:r>
        <w:rPr>
          <w:color w:val="231F20"/>
          <w:sz w:val="21"/>
        </w:rPr>
        <w:t>юристами,</w:t>
      </w:r>
      <w:r>
        <w:rPr>
          <w:color w:val="231F20"/>
          <w:spacing w:val="-1"/>
          <w:sz w:val="21"/>
        </w:rPr>
        <w:t xml:space="preserve"> </w:t>
      </w:r>
      <w:r>
        <w:rPr>
          <w:color w:val="231F20"/>
          <w:sz w:val="21"/>
        </w:rPr>
        <w:t>працівниками</w:t>
      </w:r>
      <w:r>
        <w:rPr>
          <w:color w:val="231F20"/>
          <w:spacing w:val="16"/>
          <w:sz w:val="21"/>
        </w:rPr>
        <w:t xml:space="preserve"> </w:t>
      </w:r>
      <w:r>
        <w:rPr>
          <w:color w:val="231F20"/>
          <w:sz w:val="21"/>
        </w:rPr>
        <w:t>публічних</w:t>
      </w:r>
      <w:r>
        <w:rPr>
          <w:color w:val="231F20"/>
          <w:spacing w:val="16"/>
          <w:sz w:val="21"/>
        </w:rPr>
        <w:t xml:space="preserve"> </w:t>
      </w:r>
      <w:r>
        <w:rPr>
          <w:color w:val="231F20"/>
          <w:sz w:val="21"/>
        </w:rPr>
        <w:t>органів</w:t>
      </w:r>
      <w:r>
        <w:rPr>
          <w:color w:val="231F20"/>
          <w:spacing w:val="16"/>
          <w:sz w:val="21"/>
        </w:rPr>
        <w:t xml:space="preserve"> </w:t>
      </w:r>
      <w:r>
        <w:rPr>
          <w:color w:val="231F20"/>
          <w:sz w:val="21"/>
        </w:rPr>
        <w:t>системою</w:t>
      </w:r>
      <w:r>
        <w:rPr>
          <w:color w:val="231F20"/>
          <w:spacing w:val="16"/>
          <w:sz w:val="21"/>
        </w:rPr>
        <w:t xml:space="preserve"> </w:t>
      </w:r>
      <w:r>
        <w:rPr>
          <w:color w:val="231F20"/>
          <w:sz w:val="21"/>
        </w:rPr>
        <w:t>теоретичних</w:t>
      </w:r>
      <w:r>
        <w:rPr>
          <w:color w:val="231F20"/>
          <w:spacing w:val="16"/>
          <w:sz w:val="21"/>
        </w:rPr>
        <w:t xml:space="preserve"> </w:t>
      </w:r>
      <w:r>
        <w:rPr>
          <w:color w:val="231F20"/>
          <w:sz w:val="21"/>
        </w:rPr>
        <w:t>і</w:t>
      </w:r>
      <w:r>
        <w:rPr>
          <w:color w:val="231F20"/>
          <w:spacing w:val="17"/>
          <w:sz w:val="21"/>
        </w:rPr>
        <w:t xml:space="preserve"> </w:t>
      </w:r>
      <w:r>
        <w:rPr>
          <w:color w:val="231F20"/>
          <w:sz w:val="21"/>
        </w:rPr>
        <w:t>науково- прикладних знань щодо засад та</w:t>
      </w:r>
      <w:r>
        <w:rPr>
          <w:color w:val="231F20"/>
          <w:spacing w:val="-9"/>
          <w:sz w:val="21"/>
        </w:rPr>
        <w:t xml:space="preserve"> </w:t>
      </w:r>
      <w:r>
        <w:rPr>
          <w:color w:val="231F20"/>
          <w:sz w:val="21"/>
        </w:rPr>
        <w:t>адміністративного</w:t>
      </w:r>
      <w:r>
        <w:rPr>
          <w:color w:val="231F20"/>
          <w:spacing w:val="35"/>
          <w:sz w:val="21"/>
        </w:rPr>
        <w:t xml:space="preserve"> </w:t>
      </w:r>
      <w:r>
        <w:rPr>
          <w:color w:val="231F20"/>
          <w:sz w:val="21"/>
        </w:rPr>
        <w:t>інструмента- рію,</w:t>
      </w:r>
      <w:r>
        <w:rPr>
          <w:color w:val="231F20"/>
          <w:spacing w:val="30"/>
          <w:sz w:val="21"/>
        </w:rPr>
        <w:t xml:space="preserve"> </w:t>
      </w:r>
      <w:r>
        <w:rPr>
          <w:color w:val="231F20"/>
          <w:sz w:val="21"/>
        </w:rPr>
        <w:t>якими</w:t>
      </w:r>
      <w:r>
        <w:rPr>
          <w:color w:val="231F20"/>
          <w:spacing w:val="30"/>
          <w:sz w:val="21"/>
        </w:rPr>
        <w:t xml:space="preserve"> </w:t>
      </w:r>
      <w:r>
        <w:rPr>
          <w:color w:val="231F20"/>
          <w:sz w:val="21"/>
        </w:rPr>
        <w:t>на</w:t>
      </w:r>
      <w:r>
        <w:rPr>
          <w:color w:val="231F20"/>
          <w:spacing w:val="30"/>
          <w:sz w:val="21"/>
        </w:rPr>
        <w:t xml:space="preserve"> </w:t>
      </w:r>
      <w:r>
        <w:rPr>
          <w:color w:val="231F20"/>
          <w:sz w:val="21"/>
        </w:rPr>
        <w:t>основі</w:t>
      </w:r>
      <w:r>
        <w:rPr>
          <w:color w:val="231F20"/>
          <w:spacing w:val="30"/>
          <w:sz w:val="21"/>
        </w:rPr>
        <w:t xml:space="preserve"> </w:t>
      </w:r>
      <w:r>
        <w:rPr>
          <w:color w:val="231F20"/>
          <w:sz w:val="21"/>
        </w:rPr>
        <w:t>норм</w:t>
      </w:r>
      <w:r>
        <w:rPr>
          <w:color w:val="231F20"/>
          <w:spacing w:val="30"/>
          <w:sz w:val="21"/>
        </w:rPr>
        <w:t xml:space="preserve"> </w:t>
      </w:r>
      <w:r>
        <w:rPr>
          <w:color w:val="231F20"/>
          <w:sz w:val="21"/>
        </w:rPr>
        <w:t>адміністративного</w:t>
      </w:r>
      <w:r>
        <w:rPr>
          <w:color w:val="231F20"/>
          <w:spacing w:val="30"/>
          <w:sz w:val="21"/>
        </w:rPr>
        <w:t xml:space="preserve"> </w:t>
      </w:r>
      <w:r>
        <w:rPr>
          <w:color w:val="231F20"/>
          <w:sz w:val="21"/>
        </w:rPr>
        <w:t>права</w:t>
      </w:r>
      <w:r>
        <w:rPr>
          <w:color w:val="231F20"/>
          <w:spacing w:val="30"/>
          <w:sz w:val="21"/>
        </w:rPr>
        <w:t xml:space="preserve"> </w:t>
      </w:r>
      <w:r>
        <w:rPr>
          <w:color w:val="231F20"/>
          <w:sz w:val="21"/>
        </w:rPr>
        <w:t>регулюються суспільні відносини в різних сферах суспільних відносин, а</w:t>
      </w:r>
      <w:r>
        <w:rPr>
          <w:color w:val="231F20"/>
          <w:spacing w:val="42"/>
          <w:sz w:val="21"/>
        </w:rPr>
        <w:t xml:space="preserve"> </w:t>
      </w:r>
      <w:r>
        <w:rPr>
          <w:color w:val="231F20"/>
          <w:sz w:val="21"/>
        </w:rPr>
        <w:t>також</w:t>
      </w:r>
      <w:r>
        <w:rPr>
          <w:color w:val="231F20"/>
          <w:spacing w:val="5"/>
          <w:sz w:val="21"/>
        </w:rPr>
        <w:t xml:space="preserve"> </w:t>
      </w:r>
      <w:r>
        <w:rPr>
          <w:color w:val="231F20"/>
          <w:sz w:val="21"/>
        </w:rPr>
        <w:t>із метою прищеплення студентам знань, розумінь і</w:t>
      </w:r>
      <w:r>
        <w:rPr>
          <w:color w:val="231F20"/>
          <w:spacing w:val="20"/>
          <w:sz w:val="21"/>
        </w:rPr>
        <w:t xml:space="preserve"> </w:t>
      </w:r>
      <w:r>
        <w:rPr>
          <w:color w:val="231F20"/>
          <w:sz w:val="21"/>
        </w:rPr>
        <w:t>практичних</w:t>
      </w:r>
      <w:r>
        <w:rPr>
          <w:color w:val="231F20"/>
          <w:spacing w:val="2"/>
          <w:sz w:val="21"/>
        </w:rPr>
        <w:t xml:space="preserve"> </w:t>
      </w:r>
      <w:r>
        <w:rPr>
          <w:color w:val="231F20"/>
          <w:sz w:val="21"/>
        </w:rPr>
        <w:t>нави- чок</w:t>
      </w:r>
      <w:r>
        <w:rPr>
          <w:color w:val="231F20"/>
          <w:spacing w:val="35"/>
          <w:sz w:val="21"/>
        </w:rPr>
        <w:t xml:space="preserve"> </w:t>
      </w:r>
      <w:r>
        <w:rPr>
          <w:color w:val="231F20"/>
          <w:sz w:val="21"/>
        </w:rPr>
        <w:t>та</w:t>
      </w:r>
      <w:r>
        <w:rPr>
          <w:color w:val="231F20"/>
          <w:spacing w:val="35"/>
          <w:sz w:val="21"/>
        </w:rPr>
        <w:t xml:space="preserve"> </w:t>
      </w:r>
      <w:r>
        <w:rPr>
          <w:color w:val="231F20"/>
          <w:sz w:val="21"/>
        </w:rPr>
        <w:t>аналізу</w:t>
      </w:r>
      <w:r>
        <w:rPr>
          <w:color w:val="231F20"/>
          <w:spacing w:val="35"/>
          <w:sz w:val="21"/>
        </w:rPr>
        <w:t xml:space="preserve"> </w:t>
      </w:r>
      <w:r>
        <w:rPr>
          <w:color w:val="231F20"/>
          <w:sz w:val="21"/>
        </w:rPr>
        <w:t>й</w:t>
      </w:r>
      <w:r>
        <w:rPr>
          <w:color w:val="231F20"/>
          <w:spacing w:val="35"/>
          <w:sz w:val="21"/>
        </w:rPr>
        <w:t xml:space="preserve"> </w:t>
      </w:r>
      <w:r>
        <w:rPr>
          <w:color w:val="231F20"/>
          <w:sz w:val="21"/>
        </w:rPr>
        <w:t>синтезу</w:t>
      </w:r>
      <w:r>
        <w:rPr>
          <w:color w:val="231F20"/>
          <w:spacing w:val="35"/>
          <w:sz w:val="21"/>
        </w:rPr>
        <w:t xml:space="preserve"> </w:t>
      </w:r>
      <w:r>
        <w:rPr>
          <w:color w:val="231F20"/>
          <w:sz w:val="21"/>
        </w:rPr>
        <w:t>(оцінювання)</w:t>
      </w:r>
      <w:r>
        <w:rPr>
          <w:color w:val="231F20"/>
          <w:spacing w:val="35"/>
          <w:sz w:val="21"/>
        </w:rPr>
        <w:t xml:space="preserve"> </w:t>
      </w:r>
      <w:r>
        <w:rPr>
          <w:color w:val="231F20"/>
          <w:sz w:val="21"/>
        </w:rPr>
        <w:t>різноманітних</w:t>
      </w:r>
      <w:r>
        <w:rPr>
          <w:color w:val="231F20"/>
          <w:spacing w:val="35"/>
          <w:sz w:val="21"/>
        </w:rPr>
        <w:t xml:space="preserve"> </w:t>
      </w:r>
      <w:r>
        <w:rPr>
          <w:color w:val="231F20"/>
          <w:sz w:val="21"/>
        </w:rPr>
        <w:t>адміністра-</w:t>
      </w:r>
    </w:p>
    <w:p w14:paraId="6E7983C4" w14:textId="77777777" w:rsidR="00DE575E" w:rsidRDefault="002E7560">
      <w:pPr>
        <w:pStyle w:val="BodyText"/>
        <w:spacing w:before="5"/>
        <w:ind w:left="250"/>
      </w:pPr>
      <w:r>
        <w:rPr>
          <w:color w:val="231F20"/>
        </w:rPr>
        <w:t>тивно-правових відносин.</w:t>
      </w:r>
    </w:p>
    <w:p w14:paraId="46C0F2BC" w14:textId="77777777" w:rsidR="00DE575E" w:rsidRDefault="002E7560">
      <w:pPr>
        <w:pStyle w:val="BodyText"/>
        <w:spacing w:before="13" w:line="252" w:lineRule="auto"/>
        <w:ind w:left="250" w:right="411" w:firstLine="283"/>
        <w:jc w:val="both"/>
      </w:pPr>
      <w:r>
        <w:rPr>
          <w:color w:val="231F20"/>
          <w:spacing w:val="-4"/>
        </w:rPr>
        <w:t xml:space="preserve">Природно, </w:t>
      </w:r>
      <w:r>
        <w:rPr>
          <w:color w:val="231F20"/>
        </w:rPr>
        <w:t xml:space="preserve">що в </w:t>
      </w:r>
      <w:r>
        <w:rPr>
          <w:color w:val="231F20"/>
          <w:spacing w:val="-3"/>
        </w:rPr>
        <w:t>умовах ши</w:t>
      </w:r>
      <w:r>
        <w:rPr>
          <w:color w:val="231F20"/>
          <w:spacing w:val="-3"/>
        </w:rPr>
        <w:t xml:space="preserve">рокого самоврядування вищих </w:t>
      </w:r>
      <w:r>
        <w:rPr>
          <w:color w:val="231F20"/>
          <w:spacing w:val="-4"/>
        </w:rPr>
        <w:t xml:space="preserve">началь- </w:t>
      </w:r>
      <w:r>
        <w:rPr>
          <w:color w:val="231F20"/>
        </w:rPr>
        <w:t xml:space="preserve">них </w:t>
      </w:r>
      <w:r>
        <w:rPr>
          <w:color w:val="231F20"/>
          <w:spacing w:val="-3"/>
        </w:rPr>
        <w:t xml:space="preserve">закладів </w:t>
      </w:r>
      <w:r>
        <w:rPr>
          <w:color w:val="231F20"/>
          <w:spacing w:val="-2"/>
        </w:rPr>
        <w:t xml:space="preserve">навчальна </w:t>
      </w:r>
      <w:r>
        <w:rPr>
          <w:color w:val="231F20"/>
        </w:rPr>
        <w:t xml:space="preserve">й </w:t>
      </w:r>
      <w:r>
        <w:rPr>
          <w:color w:val="231F20"/>
          <w:spacing w:val="-3"/>
        </w:rPr>
        <w:t xml:space="preserve">робоча  програми  викладання  навчаль-  </w:t>
      </w:r>
      <w:r>
        <w:rPr>
          <w:color w:val="231F20"/>
        </w:rPr>
        <w:t xml:space="preserve">ної </w:t>
      </w:r>
      <w:r>
        <w:rPr>
          <w:color w:val="231F20"/>
          <w:spacing w:val="-3"/>
        </w:rPr>
        <w:t xml:space="preserve">дисципліни «Адміністративне право </w:t>
      </w:r>
      <w:r>
        <w:rPr>
          <w:color w:val="231F20"/>
          <w:spacing w:val="-4"/>
        </w:rPr>
        <w:t xml:space="preserve">України» </w:t>
      </w:r>
      <w:r>
        <w:rPr>
          <w:color w:val="231F20"/>
          <w:spacing w:val="-3"/>
        </w:rPr>
        <w:t xml:space="preserve">можуть різнитися, проте незаперечним </w:t>
      </w:r>
      <w:r>
        <w:rPr>
          <w:color w:val="231F20"/>
        </w:rPr>
        <w:t xml:space="preserve">у них є </w:t>
      </w:r>
      <w:r>
        <w:rPr>
          <w:color w:val="231F20"/>
          <w:spacing w:val="-4"/>
        </w:rPr>
        <w:t xml:space="preserve">людиноцентристське підґрунтя. </w:t>
      </w:r>
      <w:r>
        <w:rPr>
          <w:color w:val="231F20"/>
          <w:spacing w:val="-3"/>
        </w:rPr>
        <w:t xml:space="preserve">Крім </w:t>
      </w:r>
      <w:r>
        <w:rPr>
          <w:color w:val="231F20"/>
        </w:rPr>
        <w:t xml:space="preserve">того </w:t>
      </w:r>
      <w:r>
        <w:rPr>
          <w:color w:val="231F20"/>
          <w:spacing w:val="-3"/>
        </w:rPr>
        <w:t xml:space="preserve">науково-педагогічні працівники мають повіряти </w:t>
      </w:r>
      <w:r>
        <w:rPr>
          <w:color w:val="231F20"/>
        </w:rPr>
        <w:t xml:space="preserve">їх із </w:t>
      </w:r>
      <w:r>
        <w:rPr>
          <w:color w:val="231F20"/>
          <w:spacing w:val="-3"/>
        </w:rPr>
        <w:t xml:space="preserve">програмою єдиного фахового випробування, </w:t>
      </w:r>
      <w:r>
        <w:rPr>
          <w:color w:val="231F20"/>
        </w:rPr>
        <w:t xml:space="preserve">що </w:t>
      </w:r>
      <w:r>
        <w:rPr>
          <w:color w:val="231F20"/>
          <w:spacing w:val="-4"/>
        </w:rPr>
        <w:t xml:space="preserve">затверджується </w:t>
      </w:r>
      <w:r>
        <w:rPr>
          <w:color w:val="231F20"/>
          <w:spacing w:val="-3"/>
        </w:rPr>
        <w:t>наказом</w:t>
      </w:r>
      <w:r>
        <w:rPr>
          <w:color w:val="231F20"/>
          <w:spacing w:val="-7"/>
        </w:rPr>
        <w:t xml:space="preserve"> </w:t>
      </w:r>
      <w:r>
        <w:rPr>
          <w:color w:val="231F20"/>
          <w:spacing w:val="-3"/>
        </w:rPr>
        <w:t>МОН.</w:t>
      </w:r>
    </w:p>
    <w:p w14:paraId="732CEBF0" w14:textId="77777777" w:rsidR="00DE575E" w:rsidRDefault="00DE575E">
      <w:pPr>
        <w:pStyle w:val="BodyText"/>
        <w:spacing w:before="8"/>
        <w:rPr>
          <w:sz w:val="12"/>
        </w:rPr>
      </w:pPr>
    </w:p>
    <w:p w14:paraId="1D6447A2" w14:textId="77777777" w:rsidR="00DE575E" w:rsidRDefault="002E7560">
      <w:pPr>
        <w:spacing w:before="91"/>
        <w:ind w:right="411"/>
        <w:jc w:val="right"/>
        <w:rPr>
          <w:rFonts w:ascii="Times New Roman"/>
          <w:sz w:val="20"/>
        </w:rPr>
      </w:pPr>
      <w:r>
        <w:rPr>
          <w:rFonts w:ascii="Times New Roman"/>
          <w:color w:val="231F20"/>
          <w:w w:val="90"/>
          <w:sz w:val="20"/>
        </w:rPr>
        <w:t>35</w:t>
      </w:r>
    </w:p>
    <w:p w14:paraId="2B1CC5A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9D678AC"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3E02765" w14:textId="024ADFE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A837918" wp14:editId="3684089A">
                <wp:extent cx="4140200" cy="6350"/>
                <wp:effectExtent l="0" t="0" r="12700" b="6350"/>
                <wp:docPr id="133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33" name="Line 133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E8286D" id="Group_x0020_133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NOQX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gs05BfQIAAJwFAAAOAAAA&#10;AAAAAAAAAAAAACwCAABkcnMvZTJvRG9jLnhtbFBLAQItABQABgAIAAAAIQBMp7CQ2QAAAAMBAAAP&#10;AAAAAAAAAAAAAAAAANUEAABkcnMvZG93bnJldi54bWxQSwUGAAAAAAQABADzAAAA2wUAAAAA&#10;">
                <v:line id="Line_x0020_133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17McQAAADdAAAADwAAAGRycy9kb3ducmV2LnhtbERP3WrCMBS+H+wdwhnsZmi6BUSqUcZg&#10;MHah0/oAx+bYFpOT2kTb7ekXQfDufHy/Z74cnBUX6kLjWcPrOANBXHrTcKVhV3yOpiBCRDZoPZOG&#10;XwqwXDw+zDE3vucNXbaxEimEQ44a6hjbXMpQ1uQwjH1LnLiD7xzGBLtKmg77FO6sfMuyiXTYcGqo&#10;saWPmsrj9uw0FKeXaH/W37Yv1nsl96eV+juvtH5+Gt5nICIN8S6+ub9Mmq+Ugus36QS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HXsxxAAAAN0AAAAPAAAAAAAAAAAA&#10;AAAAAKECAABkcnMvZG93bnJldi54bWxQSwUGAAAAAAQABAD5AAAAkgMAAAAA&#10;" strokecolor="#231f20" strokeweight=".5pt"/>
                <w10:anchorlock/>
              </v:group>
            </w:pict>
          </mc:Fallback>
        </mc:AlternateContent>
      </w:r>
    </w:p>
    <w:p w14:paraId="4953F70D" w14:textId="77777777" w:rsidR="00DE575E" w:rsidRDefault="00DE575E">
      <w:pPr>
        <w:pStyle w:val="BodyText"/>
        <w:spacing w:before="7"/>
        <w:rPr>
          <w:rFonts w:ascii="AdonisC"/>
          <w:i/>
          <w:sz w:val="11"/>
        </w:rPr>
      </w:pPr>
    </w:p>
    <w:p w14:paraId="353991C1" w14:textId="77777777" w:rsidR="00DE575E" w:rsidRDefault="002E7560">
      <w:pPr>
        <w:pStyle w:val="Heading5"/>
        <w:spacing w:before="101" w:line="252" w:lineRule="auto"/>
        <w:ind w:right="124" w:firstLine="283"/>
        <w:jc w:val="both"/>
      </w:pPr>
      <w:r>
        <w:rPr>
          <w:color w:val="231F20"/>
        </w:rPr>
        <w:t>Отже, адміністративне право як навчальна дисципліна – це систематизований</w:t>
      </w:r>
      <w:r>
        <w:rPr>
          <w:color w:val="231F20"/>
          <w:spacing w:val="-9"/>
        </w:rPr>
        <w:t xml:space="preserve"> </w:t>
      </w:r>
      <w:r>
        <w:rPr>
          <w:color w:val="231F20"/>
        </w:rPr>
        <w:t>відповідно</w:t>
      </w:r>
      <w:r>
        <w:rPr>
          <w:color w:val="231F20"/>
          <w:spacing w:val="-9"/>
        </w:rPr>
        <w:t xml:space="preserve"> </w:t>
      </w:r>
      <w:r>
        <w:rPr>
          <w:color w:val="231F20"/>
        </w:rPr>
        <w:t>до</w:t>
      </w:r>
      <w:r>
        <w:rPr>
          <w:color w:val="231F20"/>
          <w:spacing w:val="-9"/>
        </w:rPr>
        <w:t xml:space="preserve"> </w:t>
      </w:r>
      <w:r>
        <w:rPr>
          <w:color w:val="231F20"/>
        </w:rPr>
        <w:t>навчальної</w:t>
      </w:r>
      <w:r>
        <w:rPr>
          <w:color w:val="231F20"/>
          <w:spacing w:val="-9"/>
        </w:rPr>
        <w:t xml:space="preserve"> </w:t>
      </w:r>
      <w:r>
        <w:rPr>
          <w:color w:val="231F20"/>
        </w:rPr>
        <w:t>та</w:t>
      </w:r>
      <w:r>
        <w:rPr>
          <w:color w:val="231F20"/>
          <w:spacing w:val="-9"/>
        </w:rPr>
        <w:t xml:space="preserve"> </w:t>
      </w:r>
      <w:r>
        <w:rPr>
          <w:color w:val="231F20"/>
        </w:rPr>
        <w:t>робочої</w:t>
      </w:r>
      <w:r>
        <w:rPr>
          <w:color w:val="231F20"/>
          <w:spacing w:val="-9"/>
        </w:rPr>
        <w:t xml:space="preserve"> </w:t>
      </w:r>
      <w:r>
        <w:rPr>
          <w:color w:val="231F20"/>
        </w:rPr>
        <w:t>програм курс, що викладається в навчальних юридичних</w:t>
      </w:r>
      <w:r>
        <w:rPr>
          <w:color w:val="231F20"/>
          <w:spacing w:val="-9"/>
        </w:rPr>
        <w:t xml:space="preserve"> </w:t>
      </w:r>
      <w:r>
        <w:rPr>
          <w:color w:val="231F20"/>
        </w:rPr>
        <w:t>закладах.</w:t>
      </w:r>
    </w:p>
    <w:p w14:paraId="7C995F65" w14:textId="77777777" w:rsidR="00DE575E" w:rsidRDefault="00DE575E">
      <w:pPr>
        <w:pStyle w:val="BodyText"/>
        <w:spacing w:before="1"/>
        <w:rPr>
          <w:b/>
          <w:sz w:val="22"/>
        </w:rPr>
      </w:pPr>
    </w:p>
    <w:p w14:paraId="22ED8E12" w14:textId="77777777" w:rsidR="00DE575E" w:rsidRDefault="002E7560">
      <w:pPr>
        <w:pStyle w:val="ListParagraph"/>
        <w:numPr>
          <w:ilvl w:val="2"/>
          <w:numId w:val="307"/>
        </w:numPr>
        <w:tabs>
          <w:tab w:val="left" w:pos="1383"/>
        </w:tabs>
        <w:spacing w:before="0" w:line="252" w:lineRule="auto"/>
        <w:ind w:right="1725" w:firstLine="0"/>
        <w:rPr>
          <w:b/>
          <w:sz w:val="21"/>
        </w:rPr>
      </w:pPr>
      <w:r>
        <w:rPr>
          <w:b/>
          <w:color w:val="231F20"/>
          <w:sz w:val="21"/>
        </w:rPr>
        <w:t>Відмежування адміністративного права від цивільного</w:t>
      </w:r>
      <w:r>
        <w:rPr>
          <w:b/>
          <w:color w:val="231F20"/>
          <w:spacing w:val="-2"/>
          <w:sz w:val="21"/>
        </w:rPr>
        <w:t xml:space="preserve"> </w:t>
      </w:r>
      <w:r>
        <w:rPr>
          <w:b/>
          <w:color w:val="231F20"/>
          <w:sz w:val="21"/>
        </w:rPr>
        <w:t>права</w:t>
      </w:r>
    </w:p>
    <w:p w14:paraId="0E6FFD11" w14:textId="77777777" w:rsidR="00DE575E" w:rsidRDefault="00DE575E">
      <w:pPr>
        <w:pStyle w:val="BodyText"/>
        <w:spacing w:before="1"/>
        <w:rPr>
          <w:b/>
          <w:sz w:val="22"/>
        </w:rPr>
      </w:pPr>
    </w:p>
    <w:p w14:paraId="794C3550" w14:textId="77777777" w:rsidR="00DE575E" w:rsidRDefault="002E7560">
      <w:pPr>
        <w:pStyle w:val="BodyText"/>
        <w:spacing w:line="252" w:lineRule="auto"/>
        <w:ind w:left="533" w:right="128" w:firstLine="283"/>
        <w:jc w:val="both"/>
      </w:pPr>
      <w:r>
        <w:rPr>
          <w:color w:val="231F20"/>
        </w:rPr>
        <w:t>Адміністративне</w:t>
      </w:r>
      <w:r>
        <w:rPr>
          <w:color w:val="231F20"/>
          <w:spacing w:val="-18"/>
        </w:rPr>
        <w:t xml:space="preserve"> </w:t>
      </w:r>
      <w:r>
        <w:rPr>
          <w:color w:val="231F20"/>
        </w:rPr>
        <w:t>й</w:t>
      </w:r>
      <w:r>
        <w:rPr>
          <w:color w:val="231F20"/>
          <w:spacing w:val="-17"/>
        </w:rPr>
        <w:t xml:space="preserve"> </w:t>
      </w:r>
      <w:r>
        <w:rPr>
          <w:color w:val="231F20"/>
        </w:rPr>
        <w:t>цивільне</w:t>
      </w:r>
      <w:r>
        <w:rPr>
          <w:color w:val="231F20"/>
          <w:spacing w:val="-18"/>
        </w:rPr>
        <w:t xml:space="preserve"> </w:t>
      </w:r>
      <w:r>
        <w:rPr>
          <w:color w:val="231F20"/>
        </w:rPr>
        <w:t>право,</w:t>
      </w:r>
      <w:r>
        <w:rPr>
          <w:color w:val="231F20"/>
          <w:spacing w:val="-18"/>
        </w:rPr>
        <w:t xml:space="preserve"> </w:t>
      </w:r>
      <w:r>
        <w:rPr>
          <w:color w:val="231F20"/>
        </w:rPr>
        <w:t>як</w:t>
      </w:r>
      <w:r>
        <w:rPr>
          <w:color w:val="231F20"/>
          <w:spacing w:val="-18"/>
        </w:rPr>
        <w:t xml:space="preserve"> </w:t>
      </w:r>
      <w:r>
        <w:rPr>
          <w:color w:val="231F20"/>
        </w:rPr>
        <w:t>основоположні</w:t>
      </w:r>
      <w:r>
        <w:rPr>
          <w:color w:val="231F20"/>
          <w:spacing w:val="-18"/>
        </w:rPr>
        <w:t xml:space="preserve"> </w:t>
      </w:r>
      <w:r>
        <w:rPr>
          <w:color w:val="231F20"/>
        </w:rPr>
        <w:t>галузі</w:t>
      </w:r>
      <w:r>
        <w:rPr>
          <w:color w:val="231F20"/>
          <w:spacing w:val="-18"/>
        </w:rPr>
        <w:t xml:space="preserve"> </w:t>
      </w:r>
      <w:r>
        <w:rPr>
          <w:color w:val="231F20"/>
        </w:rPr>
        <w:t>права для</w:t>
      </w:r>
      <w:r>
        <w:rPr>
          <w:color w:val="231F20"/>
          <w:spacing w:val="-9"/>
        </w:rPr>
        <w:t xml:space="preserve"> </w:t>
      </w:r>
      <w:r>
        <w:rPr>
          <w:color w:val="231F20"/>
        </w:rPr>
        <w:t>всіх</w:t>
      </w:r>
      <w:r>
        <w:rPr>
          <w:color w:val="231F20"/>
          <w:spacing w:val="-9"/>
        </w:rPr>
        <w:t xml:space="preserve"> </w:t>
      </w:r>
      <w:r>
        <w:rPr>
          <w:color w:val="231F20"/>
        </w:rPr>
        <w:t>галузей</w:t>
      </w:r>
      <w:r>
        <w:rPr>
          <w:color w:val="231F20"/>
          <w:spacing w:val="-9"/>
        </w:rPr>
        <w:t xml:space="preserve"> </w:t>
      </w:r>
      <w:r>
        <w:rPr>
          <w:color w:val="231F20"/>
        </w:rPr>
        <w:t>відповідно</w:t>
      </w:r>
      <w:r>
        <w:rPr>
          <w:color w:val="231F20"/>
          <w:spacing w:val="-9"/>
        </w:rPr>
        <w:t xml:space="preserve"> </w:t>
      </w:r>
      <w:r>
        <w:rPr>
          <w:color w:val="231F20"/>
        </w:rPr>
        <w:t>публічного</w:t>
      </w:r>
      <w:r>
        <w:rPr>
          <w:color w:val="231F20"/>
          <w:spacing w:val="-9"/>
        </w:rPr>
        <w:t xml:space="preserve"> </w:t>
      </w:r>
      <w:r>
        <w:rPr>
          <w:color w:val="231F20"/>
        </w:rPr>
        <w:t>і</w:t>
      </w:r>
      <w:r>
        <w:rPr>
          <w:color w:val="231F20"/>
          <w:spacing w:val="-9"/>
        </w:rPr>
        <w:t xml:space="preserve"> </w:t>
      </w:r>
      <w:r>
        <w:rPr>
          <w:color w:val="231F20"/>
        </w:rPr>
        <w:t>приватного</w:t>
      </w:r>
      <w:r>
        <w:rPr>
          <w:color w:val="231F20"/>
          <w:spacing w:val="-9"/>
        </w:rPr>
        <w:t xml:space="preserve"> </w:t>
      </w:r>
      <w:r>
        <w:rPr>
          <w:color w:val="231F20"/>
        </w:rPr>
        <w:t>права,</w:t>
      </w:r>
      <w:r>
        <w:rPr>
          <w:color w:val="231F20"/>
          <w:spacing w:val="-9"/>
        </w:rPr>
        <w:t xml:space="preserve"> </w:t>
      </w:r>
      <w:r>
        <w:rPr>
          <w:color w:val="231F20"/>
        </w:rPr>
        <w:t>мають</w:t>
      </w:r>
      <w:r>
        <w:rPr>
          <w:color w:val="231F20"/>
          <w:spacing w:val="-9"/>
        </w:rPr>
        <w:t xml:space="preserve"> </w:t>
      </w:r>
      <w:r>
        <w:rPr>
          <w:color w:val="231F20"/>
        </w:rPr>
        <w:t>як спільні риси, так і сутнісні</w:t>
      </w:r>
      <w:r>
        <w:rPr>
          <w:color w:val="231F20"/>
          <w:spacing w:val="-6"/>
        </w:rPr>
        <w:t xml:space="preserve"> </w:t>
      </w:r>
      <w:r>
        <w:rPr>
          <w:color w:val="231F20"/>
        </w:rPr>
        <w:t>відмінності.</w:t>
      </w:r>
    </w:p>
    <w:p w14:paraId="7BA62A7B" w14:textId="77777777" w:rsidR="00DE575E" w:rsidRDefault="002E7560">
      <w:pPr>
        <w:pStyle w:val="BodyText"/>
        <w:spacing w:before="2"/>
        <w:ind w:left="817"/>
      </w:pPr>
      <w:r>
        <w:rPr>
          <w:color w:val="231F20"/>
        </w:rPr>
        <w:t>За спільними рисами вон</w:t>
      </w:r>
      <w:r>
        <w:rPr>
          <w:color w:val="231F20"/>
        </w:rPr>
        <w:t>и:</w:t>
      </w:r>
    </w:p>
    <w:p w14:paraId="30B8AA98" w14:textId="77777777" w:rsidR="00DE575E" w:rsidRDefault="002E7560">
      <w:pPr>
        <w:pStyle w:val="ListParagraph"/>
        <w:numPr>
          <w:ilvl w:val="1"/>
          <w:numId w:val="309"/>
        </w:numPr>
        <w:tabs>
          <w:tab w:val="left" w:pos="1101"/>
        </w:tabs>
        <w:spacing w:before="13" w:line="252" w:lineRule="auto"/>
        <w:ind w:left="533" w:right="128" w:firstLine="284"/>
        <w:rPr>
          <w:sz w:val="21"/>
        </w:rPr>
      </w:pPr>
      <w:r>
        <w:rPr>
          <w:color w:val="231F20"/>
          <w:spacing w:val="-2"/>
          <w:sz w:val="21"/>
        </w:rPr>
        <w:t xml:space="preserve">регулюють </w:t>
      </w:r>
      <w:r>
        <w:rPr>
          <w:color w:val="231F20"/>
          <w:sz w:val="21"/>
        </w:rPr>
        <w:t>найбільш важливі відносини майже в усіх сферах суспільного</w:t>
      </w:r>
      <w:r>
        <w:rPr>
          <w:color w:val="231F20"/>
          <w:spacing w:val="-2"/>
          <w:sz w:val="21"/>
        </w:rPr>
        <w:t xml:space="preserve"> </w:t>
      </w:r>
      <w:r>
        <w:rPr>
          <w:color w:val="231F20"/>
          <w:sz w:val="21"/>
        </w:rPr>
        <w:t>життя;</w:t>
      </w:r>
    </w:p>
    <w:p w14:paraId="37755113" w14:textId="77777777" w:rsidR="00DE575E" w:rsidRDefault="002E7560">
      <w:pPr>
        <w:pStyle w:val="ListParagraph"/>
        <w:numPr>
          <w:ilvl w:val="1"/>
          <w:numId w:val="309"/>
        </w:numPr>
        <w:tabs>
          <w:tab w:val="left" w:pos="1101"/>
        </w:tabs>
        <w:ind w:hanging="283"/>
        <w:jc w:val="left"/>
        <w:rPr>
          <w:sz w:val="21"/>
        </w:rPr>
      </w:pPr>
      <w:r>
        <w:rPr>
          <w:color w:val="231F20"/>
          <w:sz w:val="21"/>
        </w:rPr>
        <w:t>їх норми захищені нормами державного</w:t>
      </w:r>
      <w:r>
        <w:rPr>
          <w:color w:val="231F20"/>
          <w:spacing w:val="-5"/>
          <w:sz w:val="21"/>
        </w:rPr>
        <w:t xml:space="preserve"> </w:t>
      </w:r>
      <w:r>
        <w:rPr>
          <w:color w:val="231F20"/>
          <w:sz w:val="21"/>
        </w:rPr>
        <w:t>примусу;</w:t>
      </w:r>
    </w:p>
    <w:p w14:paraId="2AB42729" w14:textId="77777777" w:rsidR="00DE575E" w:rsidRDefault="002E7560">
      <w:pPr>
        <w:pStyle w:val="ListParagraph"/>
        <w:numPr>
          <w:ilvl w:val="1"/>
          <w:numId w:val="309"/>
        </w:numPr>
        <w:tabs>
          <w:tab w:val="left" w:pos="1101"/>
        </w:tabs>
        <w:spacing w:before="12" w:line="252" w:lineRule="auto"/>
        <w:ind w:left="533" w:right="128" w:firstLine="284"/>
        <w:rPr>
          <w:sz w:val="21"/>
        </w:rPr>
      </w:pPr>
      <w:r>
        <w:rPr>
          <w:color w:val="231F20"/>
          <w:sz w:val="21"/>
        </w:rPr>
        <w:t>у</w:t>
      </w:r>
      <w:r>
        <w:rPr>
          <w:color w:val="231F20"/>
          <w:spacing w:val="-9"/>
          <w:sz w:val="21"/>
        </w:rPr>
        <w:t xml:space="preserve"> </w:t>
      </w:r>
      <w:r>
        <w:rPr>
          <w:color w:val="231F20"/>
          <w:sz w:val="21"/>
        </w:rPr>
        <w:t>разі</w:t>
      </w:r>
      <w:r>
        <w:rPr>
          <w:color w:val="231F20"/>
          <w:spacing w:val="-9"/>
          <w:sz w:val="21"/>
        </w:rPr>
        <w:t xml:space="preserve"> </w:t>
      </w:r>
      <w:r>
        <w:rPr>
          <w:color w:val="231F20"/>
          <w:sz w:val="21"/>
        </w:rPr>
        <w:t>їх</w:t>
      </w:r>
      <w:r>
        <w:rPr>
          <w:color w:val="231F20"/>
          <w:spacing w:val="-9"/>
          <w:sz w:val="21"/>
        </w:rPr>
        <w:t xml:space="preserve"> </w:t>
      </w:r>
      <w:r>
        <w:rPr>
          <w:color w:val="231F20"/>
          <w:sz w:val="21"/>
        </w:rPr>
        <w:t>порушення</w:t>
      </w:r>
      <w:r>
        <w:rPr>
          <w:color w:val="231F20"/>
          <w:spacing w:val="-9"/>
          <w:sz w:val="21"/>
        </w:rPr>
        <w:t xml:space="preserve"> </w:t>
      </w:r>
      <w:r>
        <w:rPr>
          <w:color w:val="231F20"/>
          <w:sz w:val="21"/>
        </w:rPr>
        <w:t>особи</w:t>
      </w:r>
      <w:r>
        <w:rPr>
          <w:color w:val="231F20"/>
          <w:spacing w:val="-9"/>
          <w:sz w:val="21"/>
        </w:rPr>
        <w:t xml:space="preserve"> </w:t>
      </w:r>
      <w:r>
        <w:rPr>
          <w:color w:val="231F20"/>
          <w:sz w:val="21"/>
        </w:rPr>
        <w:t>можуть</w:t>
      </w:r>
      <w:r>
        <w:rPr>
          <w:color w:val="231F20"/>
          <w:spacing w:val="-9"/>
          <w:sz w:val="21"/>
        </w:rPr>
        <w:t xml:space="preserve"> </w:t>
      </w:r>
      <w:r>
        <w:rPr>
          <w:color w:val="231F20"/>
          <w:sz w:val="21"/>
        </w:rPr>
        <w:t>звернутися</w:t>
      </w:r>
      <w:r>
        <w:rPr>
          <w:color w:val="231F20"/>
          <w:spacing w:val="-9"/>
          <w:sz w:val="21"/>
        </w:rPr>
        <w:t xml:space="preserve"> </w:t>
      </w:r>
      <w:r>
        <w:rPr>
          <w:color w:val="231F20"/>
          <w:sz w:val="21"/>
        </w:rPr>
        <w:t>за</w:t>
      </w:r>
      <w:r>
        <w:rPr>
          <w:color w:val="231F20"/>
          <w:spacing w:val="-9"/>
          <w:sz w:val="21"/>
        </w:rPr>
        <w:t xml:space="preserve"> </w:t>
      </w:r>
      <w:r>
        <w:rPr>
          <w:color w:val="231F20"/>
          <w:sz w:val="21"/>
        </w:rPr>
        <w:t>відновленням своїх прав до</w:t>
      </w:r>
      <w:r>
        <w:rPr>
          <w:color w:val="231F20"/>
          <w:spacing w:val="-3"/>
          <w:sz w:val="21"/>
        </w:rPr>
        <w:t xml:space="preserve"> </w:t>
      </w:r>
      <w:r>
        <w:rPr>
          <w:color w:val="231F20"/>
          <w:spacing w:val="-7"/>
          <w:sz w:val="21"/>
        </w:rPr>
        <w:t>суду.</w:t>
      </w:r>
    </w:p>
    <w:p w14:paraId="5C4F20E4" w14:textId="77777777" w:rsidR="00DE575E" w:rsidRDefault="002E7560">
      <w:pPr>
        <w:pStyle w:val="BodyText"/>
        <w:spacing w:before="1"/>
        <w:ind w:left="817"/>
      </w:pPr>
      <w:r>
        <w:rPr>
          <w:color w:val="231F20"/>
        </w:rPr>
        <w:t>Однак існують і змістові та сутнісні відмінності:</w:t>
      </w:r>
    </w:p>
    <w:p w14:paraId="62ADB23A" w14:textId="77777777" w:rsidR="00DE575E" w:rsidRDefault="00DE575E">
      <w:pPr>
        <w:pStyle w:val="BodyText"/>
        <w:rPr>
          <w:sz w:val="20"/>
        </w:rPr>
      </w:pPr>
    </w:p>
    <w:p w14:paraId="3C9B4E63" w14:textId="77777777" w:rsidR="00DE575E" w:rsidRDefault="00DE575E">
      <w:pPr>
        <w:pStyle w:val="BodyText"/>
        <w:spacing w:before="5"/>
        <w:rPr>
          <w:sz w:val="20"/>
        </w:rPr>
      </w:pPr>
    </w:p>
    <w:p w14:paraId="2D1AF459" w14:textId="77777777" w:rsidR="00DE575E" w:rsidRDefault="00DE575E">
      <w:pPr>
        <w:rPr>
          <w:sz w:val="20"/>
        </w:rPr>
        <w:sectPr w:rsidR="00DE575E">
          <w:pgSz w:w="8510" w:h="12760"/>
          <w:pgMar w:top="660" w:right="720" w:bottom="280" w:left="600" w:header="720" w:footer="720" w:gutter="0"/>
          <w:cols w:space="720"/>
        </w:sectPr>
      </w:pPr>
    </w:p>
    <w:p w14:paraId="7E1CBFA3" w14:textId="77777777" w:rsidR="00DE575E" w:rsidRDefault="002E7560">
      <w:pPr>
        <w:spacing w:before="128" w:line="204" w:lineRule="auto"/>
        <w:ind w:left="1861" w:right="5" w:hanging="615"/>
        <w:rPr>
          <w:b/>
          <w:sz w:val="20"/>
        </w:rPr>
      </w:pPr>
      <w:r>
        <w:rPr>
          <w:b/>
          <w:color w:val="231F20"/>
          <w:sz w:val="20"/>
        </w:rPr>
        <w:lastRenderedPageBreak/>
        <w:t>Приватний суб’єкт права</w:t>
      </w:r>
    </w:p>
    <w:p w14:paraId="2FF0D118" w14:textId="77777777" w:rsidR="00DE575E" w:rsidRDefault="002E7560">
      <w:pPr>
        <w:spacing w:before="128" w:line="204" w:lineRule="auto"/>
        <w:ind w:left="1861" w:right="288" w:hanging="615"/>
        <w:rPr>
          <w:b/>
          <w:sz w:val="20"/>
        </w:rPr>
      </w:pPr>
      <w:r>
        <w:br w:type="column"/>
      </w:r>
      <w:r>
        <w:rPr>
          <w:b/>
          <w:color w:val="231F20"/>
          <w:sz w:val="20"/>
        </w:rPr>
        <w:lastRenderedPageBreak/>
        <w:t>Приватний суб’єкт права</w:t>
      </w:r>
    </w:p>
    <w:p w14:paraId="44924961" w14:textId="77777777" w:rsidR="00DE575E" w:rsidRDefault="00DE575E">
      <w:pPr>
        <w:spacing w:line="204" w:lineRule="auto"/>
        <w:rPr>
          <w:sz w:val="20"/>
        </w:rPr>
        <w:sectPr w:rsidR="00DE575E">
          <w:type w:val="continuous"/>
          <w:pgSz w:w="8510" w:h="12760"/>
          <w:pgMar w:top="1180" w:right="720" w:bottom="280" w:left="600" w:header="720" w:footer="720" w:gutter="0"/>
          <w:cols w:num="2" w:space="720" w:equalWidth="0">
            <w:col w:w="3082" w:space="218"/>
            <w:col w:w="3890"/>
          </w:cols>
        </w:sectPr>
      </w:pPr>
    </w:p>
    <w:p w14:paraId="3B15E8E7" w14:textId="77777777" w:rsidR="00DE575E" w:rsidRDefault="00DE575E">
      <w:pPr>
        <w:pStyle w:val="BodyText"/>
        <w:spacing w:before="6"/>
        <w:rPr>
          <w:b/>
          <w:sz w:val="13"/>
        </w:rPr>
      </w:pPr>
    </w:p>
    <w:p w14:paraId="5294B784" w14:textId="0E4BBEF6" w:rsidR="00DE575E" w:rsidRDefault="002E7560">
      <w:pPr>
        <w:pStyle w:val="Heading5"/>
        <w:spacing w:before="100"/>
        <w:ind w:left="1640"/>
      </w:pPr>
      <w:r>
        <w:rPr>
          <w:noProof/>
        </w:rPr>
        <mc:AlternateContent>
          <mc:Choice Requires="wpg">
            <w:drawing>
              <wp:anchor distT="0" distB="0" distL="114300" distR="114300" simplePos="0" relativeHeight="2152" behindDoc="0" locked="0" layoutInCell="1" allowOverlap="1" wp14:anchorId="5CE3C499" wp14:editId="24C75670">
                <wp:simplePos x="0" y="0"/>
                <wp:positionH relativeFrom="page">
                  <wp:posOffset>2603500</wp:posOffset>
                </wp:positionH>
                <wp:positionV relativeFrom="paragraph">
                  <wp:posOffset>-299085</wp:posOffset>
                </wp:positionV>
                <wp:extent cx="372745" cy="131445"/>
                <wp:effectExtent l="0" t="0" r="8255" b="2540"/>
                <wp:wrapNone/>
                <wp:docPr id="1329"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31445"/>
                          <a:chOff x="4101" y="-472"/>
                          <a:chExt cx="587" cy="207"/>
                        </a:xfrm>
                      </wpg:grpSpPr>
                      <wps:wsp>
                        <wps:cNvPr id="1330" name="Freeform 1330"/>
                        <wps:cNvSpPr>
                          <a:spLocks/>
                        </wps:cNvSpPr>
                        <wps:spPr bwMode="auto">
                          <a:xfrm>
                            <a:off x="4110" y="-462"/>
                            <a:ext cx="567" cy="187"/>
                          </a:xfrm>
                          <a:custGeom>
                            <a:avLst/>
                            <a:gdLst>
                              <a:gd name="T0" fmla="+- 0 4222 4111"/>
                              <a:gd name="T1" fmla="*/ T0 w 567"/>
                              <a:gd name="T2" fmla="+- 0 -462 -462"/>
                              <a:gd name="T3" fmla="*/ -462 h 187"/>
                              <a:gd name="T4" fmla="+- 0 4111 4111"/>
                              <a:gd name="T5" fmla="*/ T4 w 567"/>
                              <a:gd name="T6" fmla="+- 0 -368 -462"/>
                              <a:gd name="T7" fmla="*/ -368 h 187"/>
                              <a:gd name="T8" fmla="+- 0 4222 4111"/>
                              <a:gd name="T9" fmla="*/ T8 w 567"/>
                              <a:gd name="T10" fmla="+- 0 -275 -462"/>
                              <a:gd name="T11" fmla="*/ -275 h 187"/>
                              <a:gd name="T12" fmla="+- 0 4222 4111"/>
                              <a:gd name="T13" fmla="*/ T12 w 567"/>
                              <a:gd name="T14" fmla="+- 0 -321 -462"/>
                              <a:gd name="T15" fmla="*/ -321 h 187"/>
                              <a:gd name="T16" fmla="+- 0 4622 4111"/>
                              <a:gd name="T17" fmla="*/ T16 w 567"/>
                              <a:gd name="T18" fmla="+- 0 -321 -462"/>
                              <a:gd name="T19" fmla="*/ -321 h 187"/>
                              <a:gd name="T20" fmla="+- 0 4678 4111"/>
                              <a:gd name="T21" fmla="*/ T20 w 567"/>
                              <a:gd name="T22" fmla="+- 0 -368 -462"/>
                              <a:gd name="T23" fmla="*/ -368 h 187"/>
                              <a:gd name="T24" fmla="+- 0 4622 4111"/>
                              <a:gd name="T25" fmla="*/ T24 w 567"/>
                              <a:gd name="T26" fmla="+- 0 -415 -462"/>
                              <a:gd name="T27" fmla="*/ -415 h 187"/>
                              <a:gd name="T28" fmla="+- 0 4222 4111"/>
                              <a:gd name="T29" fmla="*/ T28 w 567"/>
                              <a:gd name="T30" fmla="+- 0 -415 -462"/>
                              <a:gd name="T31" fmla="*/ -415 h 187"/>
                              <a:gd name="T32" fmla="+- 0 4222 4111"/>
                              <a:gd name="T33" fmla="*/ T32 w 567"/>
                              <a:gd name="T34" fmla="+- 0 -462 -462"/>
                              <a:gd name="T35" fmla="*/ -462 h 187"/>
                              <a:gd name="T36" fmla="+- 0 4622 4111"/>
                              <a:gd name="T37" fmla="*/ T36 w 567"/>
                              <a:gd name="T38" fmla="+- 0 -321 -462"/>
                              <a:gd name="T39" fmla="*/ -321 h 187"/>
                              <a:gd name="T40" fmla="+- 0 4566 4111"/>
                              <a:gd name="T41" fmla="*/ T40 w 567"/>
                              <a:gd name="T42" fmla="+- 0 -321 -462"/>
                              <a:gd name="T43" fmla="*/ -321 h 187"/>
                              <a:gd name="T44" fmla="+- 0 4566 4111"/>
                              <a:gd name="T45" fmla="*/ T44 w 567"/>
                              <a:gd name="T46" fmla="+- 0 -275 -462"/>
                              <a:gd name="T47" fmla="*/ -275 h 187"/>
                              <a:gd name="T48" fmla="+- 0 4622 4111"/>
                              <a:gd name="T49" fmla="*/ T48 w 567"/>
                              <a:gd name="T50" fmla="+- 0 -321 -462"/>
                              <a:gd name="T51" fmla="*/ -321 h 187"/>
                              <a:gd name="T52" fmla="+- 0 4566 4111"/>
                              <a:gd name="T53" fmla="*/ T52 w 567"/>
                              <a:gd name="T54" fmla="+- 0 -462 -462"/>
                              <a:gd name="T55" fmla="*/ -462 h 187"/>
                              <a:gd name="T56" fmla="+- 0 4566 4111"/>
                              <a:gd name="T57" fmla="*/ T56 w 567"/>
                              <a:gd name="T58" fmla="+- 0 -415 -462"/>
                              <a:gd name="T59" fmla="*/ -415 h 187"/>
                              <a:gd name="T60" fmla="+- 0 4622 4111"/>
                              <a:gd name="T61" fmla="*/ T60 w 567"/>
                              <a:gd name="T62" fmla="+- 0 -415 -462"/>
                              <a:gd name="T63" fmla="*/ -415 h 187"/>
                              <a:gd name="T64" fmla="+- 0 4566 4111"/>
                              <a:gd name="T65" fmla="*/ T64 w 567"/>
                              <a:gd name="T66" fmla="+- 0 -462 -462"/>
                              <a:gd name="T67" fmla="*/ -46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7" h="187">
                                <a:moveTo>
                                  <a:pt x="111" y="0"/>
                                </a:moveTo>
                                <a:lnTo>
                                  <a:pt x="0" y="94"/>
                                </a:lnTo>
                                <a:lnTo>
                                  <a:pt x="111" y="187"/>
                                </a:lnTo>
                                <a:lnTo>
                                  <a:pt x="111" y="141"/>
                                </a:lnTo>
                                <a:lnTo>
                                  <a:pt x="511" y="141"/>
                                </a:lnTo>
                                <a:lnTo>
                                  <a:pt x="567" y="94"/>
                                </a:lnTo>
                                <a:lnTo>
                                  <a:pt x="511" y="47"/>
                                </a:lnTo>
                                <a:lnTo>
                                  <a:pt x="111" y="47"/>
                                </a:lnTo>
                                <a:lnTo>
                                  <a:pt x="111" y="0"/>
                                </a:lnTo>
                                <a:close/>
                                <a:moveTo>
                                  <a:pt x="511" y="141"/>
                                </a:moveTo>
                                <a:lnTo>
                                  <a:pt x="455" y="141"/>
                                </a:lnTo>
                                <a:lnTo>
                                  <a:pt x="455" y="187"/>
                                </a:lnTo>
                                <a:lnTo>
                                  <a:pt x="511" y="141"/>
                                </a:lnTo>
                                <a:close/>
                                <a:moveTo>
                                  <a:pt x="455" y="0"/>
                                </a:moveTo>
                                <a:lnTo>
                                  <a:pt x="455" y="47"/>
                                </a:lnTo>
                                <a:lnTo>
                                  <a:pt x="511" y="47"/>
                                </a:lnTo>
                                <a:lnTo>
                                  <a:pt x="45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29"/>
                        <wps:cNvSpPr>
                          <a:spLocks/>
                        </wps:cNvSpPr>
                        <wps:spPr bwMode="auto">
                          <a:xfrm>
                            <a:off x="4110" y="-462"/>
                            <a:ext cx="567" cy="187"/>
                          </a:xfrm>
                          <a:custGeom>
                            <a:avLst/>
                            <a:gdLst>
                              <a:gd name="T0" fmla="+- 0 4111 4111"/>
                              <a:gd name="T1" fmla="*/ T0 w 567"/>
                              <a:gd name="T2" fmla="+- 0 -368 -462"/>
                              <a:gd name="T3" fmla="*/ -368 h 187"/>
                              <a:gd name="T4" fmla="+- 0 4222 4111"/>
                              <a:gd name="T5" fmla="*/ T4 w 567"/>
                              <a:gd name="T6" fmla="+- 0 -275 -462"/>
                              <a:gd name="T7" fmla="*/ -275 h 187"/>
                              <a:gd name="T8" fmla="+- 0 4222 4111"/>
                              <a:gd name="T9" fmla="*/ T8 w 567"/>
                              <a:gd name="T10" fmla="+- 0 -321 -462"/>
                              <a:gd name="T11" fmla="*/ -321 h 187"/>
                              <a:gd name="T12" fmla="+- 0 4566 4111"/>
                              <a:gd name="T13" fmla="*/ T12 w 567"/>
                              <a:gd name="T14" fmla="+- 0 -321 -462"/>
                              <a:gd name="T15" fmla="*/ -321 h 187"/>
                              <a:gd name="T16" fmla="+- 0 4566 4111"/>
                              <a:gd name="T17" fmla="*/ T16 w 567"/>
                              <a:gd name="T18" fmla="+- 0 -275 -462"/>
                              <a:gd name="T19" fmla="*/ -275 h 187"/>
                              <a:gd name="T20" fmla="+- 0 4678 4111"/>
                              <a:gd name="T21" fmla="*/ T20 w 567"/>
                              <a:gd name="T22" fmla="+- 0 -368 -462"/>
                              <a:gd name="T23" fmla="*/ -368 h 187"/>
                              <a:gd name="T24" fmla="+- 0 4566 4111"/>
                              <a:gd name="T25" fmla="*/ T24 w 567"/>
                              <a:gd name="T26" fmla="+- 0 -462 -462"/>
                              <a:gd name="T27" fmla="*/ -462 h 187"/>
                              <a:gd name="T28" fmla="+- 0 4566 4111"/>
                              <a:gd name="T29" fmla="*/ T28 w 567"/>
                              <a:gd name="T30" fmla="+- 0 -415 -462"/>
                              <a:gd name="T31" fmla="*/ -415 h 187"/>
                              <a:gd name="T32" fmla="+- 0 4222 4111"/>
                              <a:gd name="T33" fmla="*/ T32 w 567"/>
                              <a:gd name="T34" fmla="+- 0 -415 -462"/>
                              <a:gd name="T35" fmla="*/ -415 h 187"/>
                              <a:gd name="T36" fmla="+- 0 4222 4111"/>
                              <a:gd name="T37" fmla="*/ T36 w 567"/>
                              <a:gd name="T38" fmla="+- 0 -462 -462"/>
                              <a:gd name="T39" fmla="*/ -462 h 187"/>
                              <a:gd name="T40" fmla="+- 0 4111 4111"/>
                              <a:gd name="T41" fmla="*/ T40 w 567"/>
                              <a:gd name="T42" fmla="+- 0 -368 -462"/>
                              <a:gd name="T43" fmla="*/ -36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87">
                                <a:moveTo>
                                  <a:pt x="0" y="94"/>
                                </a:moveTo>
                                <a:lnTo>
                                  <a:pt x="111" y="187"/>
                                </a:lnTo>
                                <a:lnTo>
                                  <a:pt x="111" y="141"/>
                                </a:lnTo>
                                <a:lnTo>
                                  <a:pt x="455" y="141"/>
                                </a:lnTo>
                                <a:lnTo>
                                  <a:pt x="455" y="187"/>
                                </a:lnTo>
                                <a:lnTo>
                                  <a:pt x="567" y="94"/>
                                </a:lnTo>
                                <a:lnTo>
                                  <a:pt x="455" y="0"/>
                                </a:lnTo>
                                <a:lnTo>
                                  <a:pt x="455" y="47"/>
                                </a:lnTo>
                                <a:lnTo>
                                  <a:pt x="111" y="47"/>
                                </a:lnTo>
                                <a:lnTo>
                                  <a:pt x="111" y="0"/>
                                </a:lnTo>
                                <a:lnTo>
                                  <a:pt x="0" y="94"/>
                                </a:lnTo>
                                <a:close/>
                              </a:path>
                            </a:pathLst>
                          </a:custGeom>
                          <a:noFill/>
                          <a:ln w="12700">
                            <a:solidFill>
                              <a:srgbClr val="1F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1ED32" id="Group_x0020_1328" o:spid="_x0000_s1026" style="position:absolute;margin-left:205pt;margin-top:-23.5pt;width:29.35pt;height:10.35pt;z-index:2152;mso-position-horizontal-relative:page" coordorigin="4101,-472" coordsize="587,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">
                <v:shape id="Freeform_x0020_1330" o:spid="_x0000_s1027" style="position:absolute;left:4110;top:-462;width:567;height:187;visibility:visible;mso-wrap-style:square;v-text-anchor:top" coordsize="567,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3SYxwAA&#10;AN0AAAAPAAAAZHJzL2Rvd25yZXYueG1sRI9Pa8JAEMXvhX6HZQpepG5UKJK6SgkWvCj1z8HjNDtN&#10;QrOzS3Yb47d3DgVvM7w37/1muR5cq3rqYuPZwHSSgSIuvW24MnA+fb4uQMWEbLH1TAZuFGG9en5a&#10;Ym79lQ/UH1OlJIRjjgbqlEKudSxrchgnPhCL9uM7h0nWrtK2w6uEu1bPsuxNO2xYGmoMVNRU/h7/&#10;nIHLZhyKom+/NrvpLpy/93u+ncbGjF6Gj3dQiYb0MP9fb63gz+fCL9/ICHp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Qd0mMcAAADdAAAADwAAAAAAAAAAAAAAAACXAgAAZHJz&#10;L2Rvd25yZXYueG1sUEsFBgAAAAAEAAQA9QAAAIsDAAAAAA==&#10;" path="m111,0l0,94,111,187,111,141,511,141,567,94,511,47,111,47,111,0xm511,141l455,141,455,187,511,141xm455,0l455,47,511,47,455,0xe" fillcolor="#5b9bd4" stroked="f">
                  <v:path arrowok="t" o:connecttype="custom" o:connectlocs="111,-462;0,-368;111,-275;111,-321;511,-321;567,-368;511,-415;111,-415;111,-462;511,-321;455,-321;455,-275;511,-321;455,-462;455,-415;511,-415;455,-462" o:connectangles="0,0,0,0,0,0,0,0,0,0,0,0,0,0,0,0,0"/>
                </v:shape>
                <v:shape id="Freeform_x0020_1329" o:spid="_x0000_s1028" style="position:absolute;left:4110;top:-462;width:567;height:187;visibility:visible;mso-wrap-style:square;v-text-anchor:top" coordsize="567,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XmdwQAA&#10;AN0AAAAPAAAAZHJzL2Rvd25yZXYueG1sRE/bagIxEH0v9B/CFPpWs+6CytYopVIo+OTlA4bNuFma&#10;TEKS6tavbwTBtzmc6yzXo7PiTDENnhVMJxUI4s7rgXsFx8PX2wJEysgarWdS8EcJ1qvnpyW22l94&#10;R+d97kUJ4dSiApNzaKVMnSGHaeIDceFOPjrMBcZe6oiXEu6srKtqJh0OXBoMBvo01P3sf52CenO0&#10;MXQ4d9drmDcba7a12yn1+jJ+vIPINOaH+O7+1mV+00zh9k05Qa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V5ncEAAADdAAAADwAAAAAAAAAAAAAAAACXAgAAZHJzL2Rvd25y&#10;ZXYueG1sUEsFBgAAAAAEAAQA9QAAAIUDAAAAAA==&#10;" path="m0,94l111,187,111,141,455,141,455,187,567,94,455,,455,47,111,47,111,,,94xe" filled="f" strokecolor="#1f4d78" strokeweight="1pt">
                  <v:path arrowok="t" o:connecttype="custom" o:connectlocs="0,-368;111,-275;111,-321;455,-321;455,-275;567,-368;455,-462;455,-415;111,-415;111,-462;0,-368" o:connectangles="0,0,0,0,0,0,0,0,0,0,0"/>
                </v:shape>
                <w10:wrap anchorx="page"/>
              </v:group>
            </w:pict>
          </mc:Fallback>
        </mc:AlternateContent>
      </w:r>
      <w:r>
        <w:rPr>
          <w:color w:val="231F20"/>
        </w:rPr>
        <w:t>Мал. 1. Схема цивільно-правових відносин</w:t>
      </w:r>
    </w:p>
    <w:p w14:paraId="2E511560" w14:textId="77777777" w:rsidR="00DE575E" w:rsidRDefault="00DE575E">
      <w:pPr>
        <w:pStyle w:val="BodyText"/>
        <w:spacing w:before="2"/>
        <w:rPr>
          <w:b/>
          <w:sz w:val="23"/>
        </w:rPr>
      </w:pPr>
    </w:p>
    <w:p w14:paraId="77ADD638" w14:textId="77777777" w:rsidR="00DE575E" w:rsidRDefault="002E7560">
      <w:pPr>
        <w:pStyle w:val="BodyText"/>
        <w:spacing w:line="252" w:lineRule="auto"/>
        <w:ind w:left="533" w:right="127" w:firstLine="283"/>
        <w:jc w:val="both"/>
      </w:pPr>
      <w:r>
        <w:rPr>
          <w:color w:val="231F20"/>
        </w:rPr>
        <w:t>Цивільне право є універсальним винаходом світової спільноти. Парламент установлює закони, виконання яких покладається н</w:t>
      </w:r>
      <w:r>
        <w:rPr>
          <w:color w:val="231F20"/>
        </w:rPr>
        <w:t>а приватних осіб, які без участі суб’єктів публічної адміністрації вирішують свої правові питання. Ці особи добровільно вирішують конфлікти на основі розумного компромісу, йдуть на утиск своїх прав або законних інтересів заради інших приватних осіб чи урег</w:t>
      </w:r>
      <w:r>
        <w:rPr>
          <w:color w:val="231F20"/>
        </w:rPr>
        <w:t>у- льовують їх у системі судів загальної юрисдикції через подання цивільних позовів.</w:t>
      </w:r>
    </w:p>
    <w:p w14:paraId="63001415" w14:textId="77777777" w:rsidR="00DE575E" w:rsidRDefault="002E7560">
      <w:pPr>
        <w:pStyle w:val="BodyText"/>
        <w:spacing w:before="4" w:line="252" w:lineRule="auto"/>
        <w:ind w:left="533" w:right="125" w:firstLine="283"/>
        <w:jc w:val="both"/>
      </w:pPr>
      <w:r>
        <w:rPr>
          <w:color w:val="231F20"/>
        </w:rPr>
        <w:t>Цивільно-правові відносини є демократичними і простими, менш витратними і, найголовніше, не вимагають участі публічного посередника у вирішенні юридичного конфлікту – суб’</w:t>
      </w:r>
      <w:r>
        <w:rPr>
          <w:color w:val="231F20"/>
        </w:rPr>
        <w:t>єкта публіч- ної адміністрації. Проте через недостатню правову культуру або коли такі відносини містять суспільну небезпеку, між суб’єктами права з’являється публічний посередник – суб’єкт публічної адмі- ністрації.</w:t>
      </w:r>
    </w:p>
    <w:p w14:paraId="150F5FA5" w14:textId="77777777" w:rsidR="00DE575E" w:rsidRDefault="00DE575E">
      <w:pPr>
        <w:pStyle w:val="BodyText"/>
        <w:rPr>
          <w:sz w:val="17"/>
        </w:rPr>
      </w:pPr>
    </w:p>
    <w:p w14:paraId="09D4F3A5" w14:textId="77777777" w:rsidR="00DE575E" w:rsidRDefault="002E7560">
      <w:pPr>
        <w:spacing w:before="92"/>
        <w:ind w:left="533"/>
        <w:rPr>
          <w:rFonts w:ascii="Times New Roman"/>
          <w:sz w:val="20"/>
        </w:rPr>
      </w:pPr>
      <w:r>
        <w:rPr>
          <w:rFonts w:ascii="Times New Roman"/>
          <w:color w:val="231F20"/>
          <w:sz w:val="20"/>
        </w:rPr>
        <w:t>36</w:t>
      </w:r>
    </w:p>
    <w:p w14:paraId="4993A4FB" w14:textId="77777777" w:rsidR="00DE575E" w:rsidRDefault="00DE575E">
      <w:pPr>
        <w:rPr>
          <w:rFonts w:ascii="Times New Roman"/>
          <w:sz w:val="20"/>
        </w:rPr>
        <w:sectPr w:rsidR="00DE575E">
          <w:type w:val="continuous"/>
          <w:pgSz w:w="8510" w:h="12760"/>
          <w:pgMar w:top="1180" w:right="720" w:bottom="280" w:left="600" w:header="720" w:footer="720" w:gutter="0"/>
          <w:cols w:space="720"/>
        </w:sectPr>
      </w:pPr>
    </w:p>
    <w:p w14:paraId="402D192F"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1D2BFE69" w14:textId="1BA913F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8FA0B02" wp14:editId="74632C58">
                <wp:extent cx="4140200" cy="6350"/>
                <wp:effectExtent l="0" t="0" r="12700" b="6350"/>
                <wp:docPr id="1327"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28" name="Line 13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13DC93" id="Group_x0020_13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iKDrkgAIAAJwFAAAO&#10;AAAAAAAAAAAAAAAAACwCAABkcnMvZTJvRG9jLnhtbFBLAQItABQABgAIAAAAIQBMp7CQ2QAAAAMB&#10;AAAPAAAAAAAAAAAAAAAAANgEAABkcnMvZG93bnJldi54bWxQSwUGAAAAAAQABADzAAAA3gUAAAAA&#10;">
                <v:line id="Line_x0020_13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B/ncgAAADdAAAADwAAAGRycy9kb3ducmV2LnhtbESPQWvCQBCF74X+h2UKvRTd1ECR6CpF&#10;EEoP2hp/wJgdk9Dd2ZhdTdpf3zkUepvhvXnvm+V69E7dqI9tYAPP0wwUcRVsy7WBY7mdzEHFhGzR&#10;BSYD3xRhvbq/W2Jhw8CfdDukWkkIxwINNCl1hdaxashjnIaOWLRz6D0mWfta2x4HCfdOz7LsRXts&#10;WRoa7GjTUPV1uHoD5eUpuY/9uxvK/SnXp8su/7nujHl8GF8XoBKN6d/8d/1mBT+fCa58IyPo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mB/ncgAAADdAAAADwAAAAAA&#10;AAAAAAAAAAChAgAAZHJzL2Rvd25yZXYueG1sUEsFBgAAAAAEAAQA+QAAAJYDAAAAAA==&#10;" strokecolor="#231f20" strokeweight=".5pt"/>
                <w10:anchorlock/>
              </v:group>
            </w:pict>
          </mc:Fallback>
        </mc:AlternateContent>
      </w:r>
    </w:p>
    <w:p w14:paraId="3BCBCFEC" w14:textId="77777777" w:rsidR="00DE575E" w:rsidRDefault="00DE575E">
      <w:pPr>
        <w:pStyle w:val="BodyText"/>
        <w:spacing w:before="7"/>
        <w:rPr>
          <w:rFonts w:ascii="AdonisC"/>
          <w:i/>
          <w:sz w:val="19"/>
        </w:rPr>
      </w:pPr>
    </w:p>
    <w:p w14:paraId="14F4590B" w14:textId="77777777" w:rsidR="00DE575E" w:rsidRDefault="002E7560">
      <w:pPr>
        <w:pStyle w:val="BodyText"/>
        <w:spacing w:before="1" w:line="252" w:lineRule="auto"/>
        <w:ind w:left="250" w:right="411" w:firstLine="283"/>
        <w:jc w:val="both"/>
      </w:pPr>
      <w:r>
        <w:rPr>
          <w:color w:val="231F20"/>
        </w:rPr>
        <w:t>Тобто в адміністративно-правових відносинах ситуація склада- ється іншим чином. Наявність публічного посередника між суб’єк- тами права є провідною ознакою адміністративного права.</w:t>
      </w:r>
    </w:p>
    <w:p w14:paraId="7D08B955" w14:textId="77777777" w:rsidR="00DE575E" w:rsidRDefault="00DE575E">
      <w:pPr>
        <w:pStyle w:val="BodyText"/>
        <w:spacing w:before="3"/>
        <w:rPr>
          <w:sz w:val="17"/>
        </w:rPr>
      </w:pPr>
    </w:p>
    <w:p w14:paraId="52BAF6E0" w14:textId="77777777" w:rsidR="00DE575E" w:rsidRDefault="00DE575E">
      <w:pPr>
        <w:rPr>
          <w:sz w:val="17"/>
        </w:rPr>
        <w:sectPr w:rsidR="00DE575E">
          <w:pgSz w:w="8510" w:h="12760"/>
          <w:pgMar w:top="660" w:right="720" w:bottom="280" w:left="600" w:header="720" w:footer="720" w:gutter="0"/>
          <w:cols w:space="720"/>
        </w:sectPr>
      </w:pPr>
    </w:p>
    <w:p w14:paraId="699DD919" w14:textId="0CA60DE4" w:rsidR="00DE575E" w:rsidRDefault="002E7560">
      <w:pPr>
        <w:spacing w:before="101" w:line="266" w:lineRule="auto"/>
        <w:ind w:left="447" w:right="1" w:firstLine="85"/>
        <w:rPr>
          <w:sz w:val="20"/>
        </w:rPr>
      </w:pPr>
      <w:r>
        <w:rPr>
          <w:noProof/>
        </w:rPr>
        <w:lastRenderedPageBreak/>
        <mc:AlternateContent>
          <mc:Choice Requires="wpg">
            <w:drawing>
              <wp:anchor distT="0" distB="0" distL="114300" distR="114300" simplePos="0" relativeHeight="2200" behindDoc="0" locked="0" layoutInCell="1" allowOverlap="1" wp14:anchorId="5B83B9ED" wp14:editId="609D467D">
                <wp:simplePos x="0" y="0"/>
                <wp:positionH relativeFrom="page">
                  <wp:posOffset>1631315</wp:posOffset>
                </wp:positionH>
                <wp:positionV relativeFrom="paragraph">
                  <wp:posOffset>153035</wp:posOffset>
                </wp:positionV>
                <wp:extent cx="372745" cy="131445"/>
                <wp:effectExtent l="0" t="0" r="2540" b="7620"/>
                <wp:wrapNone/>
                <wp:docPr id="1324"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31445"/>
                          <a:chOff x="2569" y="241"/>
                          <a:chExt cx="587" cy="207"/>
                        </a:xfrm>
                      </wpg:grpSpPr>
                      <wps:wsp>
                        <wps:cNvPr id="1325" name="Freeform 1325"/>
                        <wps:cNvSpPr>
                          <a:spLocks/>
                        </wps:cNvSpPr>
                        <wps:spPr bwMode="auto">
                          <a:xfrm>
                            <a:off x="2579" y="251"/>
                            <a:ext cx="567" cy="187"/>
                          </a:xfrm>
                          <a:custGeom>
                            <a:avLst/>
                            <a:gdLst>
                              <a:gd name="T0" fmla="+- 0 2691 2579"/>
                              <a:gd name="T1" fmla="*/ T0 w 567"/>
                              <a:gd name="T2" fmla="+- 0 251 251"/>
                              <a:gd name="T3" fmla="*/ 251 h 187"/>
                              <a:gd name="T4" fmla="+- 0 2579 2579"/>
                              <a:gd name="T5" fmla="*/ T4 w 567"/>
                              <a:gd name="T6" fmla="+- 0 345 251"/>
                              <a:gd name="T7" fmla="*/ 345 h 187"/>
                              <a:gd name="T8" fmla="+- 0 2691 2579"/>
                              <a:gd name="T9" fmla="*/ T8 w 567"/>
                              <a:gd name="T10" fmla="+- 0 438 251"/>
                              <a:gd name="T11" fmla="*/ 438 h 187"/>
                              <a:gd name="T12" fmla="+- 0 2691 2579"/>
                              <a:gd name="T13" fmla="*/ T12 w 567"/>
                              <a:gd name="T14" fmla="+- 0 391 251"/>
                              <a:gd name="T15" fmla="*/ 391 h 187"/>
                              <a:gd name="T16" fmla="+- 0 3090 2579"/>
                              <a:gd name="T17" fmla="*/ T16 w 567"/>
                              <a:gd name="T18" fmla="+- 0 391 251"/>
                              <a:gd name="T19" fmla="*/ 391 h 187"/>
                              <a:gd name="T20" fmla="+- 0 3146 2579"/>
                              <a:gd name="T21" fmla="*/ T20 w 567"/>
                              <a:gd name="T22" fmla="+- 0 345 251"/>
                              <a:gd name="T23" fmla="*/ 345 h 187"/>
                              <a:gd name="T24" fmla="+- 0 3090 2579"/>
                              <a:gd name="T25" fmla="*/ T24 w 567"/>
                              <a:gd name="T26" fmla="+- 0 298 251"/>
                              <a:gd name="T27" fmla="*/ 298 h 187"/>
                              <a:gd name="T28" fmla="+- 0 2691 2579"/>
                              <a:gd name="T29" fmla="*/ T28 w 567"/>
                              <a:gd name="T30" fmla="+- 0 298 251"/>
                              <a:gd name="T31" fmla="*/ 298 h 187"/>
                              <a:gd name="T32" fmla="+- 0 2691 2579"/>
                              <a:gd name="T33" fmla="*/ T32 w 567"/>
                              <a:gd name="T34" fmla="+- 0 251 251"/>
                              <a:gd name="T35" fmla="*/ 251 h 187"/>
                              <a:gd name="T36" fmla="+- 0 3090 2579"/>
                              <a:gd name="T37" fmla="*/ T36 w 567"/>
                              <a:gd name="T38" fmla="+- 0 391 251"/>
                              <a:gd name="T39" fmla="*/ 391 h 187"/>
                              <a:gd name="T40" fmla="+- 0 3034 2579"/>
                              <a:gd name="T41" fmla="*/ T40 w 567"/>
                              <a:gd name="T42" fmla="+- 0 391 251"/>
                              <a:gd name="T43" fmla="*/ 391 h 187"/>
                              <a:gd name="T44" fmla="+- 0 3034 2579"/>
                              <a:gd name="T45" fmla="*/ T44 w 567"/>
                              <a:gd name="T46" fmla="+- 0 438 251"/>
                              <a:gd name="T47" fmla="*/ 438 h 187"/>
                              <a:gd name="T48" fmla="+- 0 3090 2579"/>
                              <a:gd name="T49" fmla="*/ T48 w 567"/>
                              <a:gd name="T50" fmla="+- 0 391 251"/>
                              <a:gd name="T51" fmla="*/ 391 h 187"/>
                              <a:gd name="T52" fmla="+- 0 3034 2579"/>
                              <a:gd name="T53" fmla="*/ T52 w 567"/>
                              <a:gd name="T54" fmla="+- 0 251 251"/>
                              <a:gd name="T55" fmla="*/ 251 h 187"/>
                              <a:gd name="T56" fmla="+- 0 3034 2579"/>
                              <a:gd name="T57" fmla="*/ T56 w 567"/>
                              <a:gd name="T58" fmla="+- 0 298 251"/>
                              <a:gd name="T59" fmla="*/ 298 h 187"/>
                              <a:gd name="T60" fmla="+- 0 3090 2579"/>
                              <a:gd name="T61" fmla="*/ T60 w 567"/>
                              <a:gd name="T62" fmla="+- 0 298 251"/>
                              <a:gd name="T63" fmla="*/ 298 h 187"/>
                              <a:gd name="T64" fmla="+- 0 3034 2579"/>
                              <a:gd name="T65" fmla="*/ T64 w 567"/>
                              <a:gd name="T66" fmla="+- 0 251 251"/>
                              <a:gd name="T67" fmla="*/ 251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7" h="187">
                                <a:moveTo>
                                  <a:pt x="112" y="0"/>
                                </a:moveTo>
                                <a:lnTo>
                                  <a:pt x="0" y="94"/>
                                </a:lnTo>
                                <a:lnTo>
                                  <a:pt x="112" y="187"/>
                                </a:lnTo>
                                <a:lnTo>
                                  <a:pt x="112" y="140"/>
                                </a:lnTo>
                                <a:lnTo>
                                  <a:pt x="511" y="140"/>
                                </a:lnTo>
                                <a:lnTo>
                                  <a:pt x="567" y="94"/>
                                </a:lnTo>
                                <a:lnTo>
                                  <a:pt x="511" y="47"/>
                                </a:lnTo>
                                <a:lnTo>
                                  <a:pt x="112" y="47"/>
                                </a:lnTo>
                                <a:lnTo>
                                  <a:pt x="112" y="0"/>
                                </a:lnTo>
                                <a:close/>
                                <a:moveTo>
                                  <a:pt x="511" y="140"/>
                                </a:moveTo>
                                <a:lnTo>
                                  <a:pt x="455" y="140"/>
                                </a:lnTo>
                                <a:lnTo>
                                  <a:pt x="455" y="187"/>
                                </a:lnTo>
                                <a:lnTo>
                                  <a:pt x="511" y="140"/>
                                </a:lnTo>
                                <a:close/>
                                <a:moveTo>
                                  <a:pt x="455" y="0"/>
                                </a:moveTo>
                                <a:lnTo>
                                  <a:pt x="455" y="47"/>
                                </a:lnTo>
                                <a:lnTo>
                                  <a:pt x="511" y="47"/>
                                </a:lnTo>
                                <a:lnTo>
                                  <a:pt x="45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4"/>
                        <wps:cNvSpPr>
                          <a:spLocks/>
                        </wps:cNvSpPr>
                        <wps:spPr bwMode="auto">
                          <a:xfrm>
                            <a:off x="2579" y="251"/>
                            <a:ext cx="567" cy="187"/>
                          </a:xfrm>
                          <a:custGeom>
                            <a:avLst/>
                            <a:gdLst>
                              <a:gd name="T0" fmla="+- 0 2579 2579"/>
                              <a:gd name="T1" fmla="*/ T0 w 567"/>
                              <a:gd name="T2" fmla="+- 0 345 251"/>
                              <a:gd name="T3" fmla="*/ 345 h 187"/>
                              <a:gd name="T4" fmla="+- 0 2691 2579"/>
                              <a:gd name="T5" fmla="*/ T4 w 567"/>
                              <a:gd name="T6" fmla="+- 0 438 251"/>
                              <a:gd name="T7" fmla="*/ 438 h 187"/>
                              <a:gd name="T8" fmla="+- 0 2691 2579"/>
                              <a:gd name="T9" fmla="*/ T8 w 567"/>
                              <a:gd name="T10" fmla="+- 0 391 251"/>
                              <a:gd name="T11" fmla="*/ 391 h 187"/>
                              <a:gd name="T12" fmla="+- 0 3034 2579"/>
                              <a:gd name="T13" fmla="*/ T12 w 567"/>
                              <a:gd name="T14" fmla="+- 0 391 251"/>
                              <a:gd name="T15" fmla="*/ 391 h 187"/>
                              <a:gd name="T16" fmla="+- 0 3034 2579"/>
                              <a:gd name="T17" fmla="*/ T16 w 567"/>
                              <a:gd name="T18" fmla="+- 0 438 251"/>
                              <a:gd name="T19" fmla="*/ 438 h 187"/>
                              <a:gd name="T20" fmla="+- 0 3146 2579"/>
                              <a:gd name="T21" fmla="*/ T20 w 567"/>
                              <a:gd name="T22" fmla="+- 0 345 251"/>
                              <a:gd name="T23" fmla="*/ 345 h 187"/>
                              <a:gd name="T24" fmla="+- 0 3034 2579"/>
                              <a:gd name="T25" fmla="*/ T24 w 567"/>
                              <a:gd name="T26" fmla="+- 0 251 251"/>
                              <a:gd name="T27" fmla="*/ 251 h 187"/>
                              <a:gd name="T28" fmla="+- 0 3034 2579"/>
                              <a:gd name="T29" fmla="*/ T28 w 567"/>
                              <a:gd name="T30" fmla="+- 0 298 251"/>
                              <a:gd name="T31" fmla="*/ 298 h 187"/>
                              <a:gd name="T32" fmla="+- 0 2691 2579"/>
                              <a:gd name="T33" fmla="*/ T32 w 567"/>
                              <a:gd name="T34" fmla="+- 0 298 251"/>
                              <a:gd name="T35" fmla="*/ 298 h 187"/>
                              <a:gd name="T36" fmla="+- 0 2691 2579"/>
                              <a:gd name="T37" fmla="*/ T36 w 567"/>
                              <a:gd name="T38" fmla="+- 0 251 251"/>
                              <a:gd name="T39" fmla="*/ 251 h 187"/>
                              <a:gd name="T40" fmla="+- 0 2579 2579"/>
                              <a:gd name="T41" fmla="*/ T40 w 567"/>
                              <a:gd name="T42" fmla="+- 0 345 251"/>
                              <a:gd name="T43" fmla="*/ 34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87">
                                <a:moveTo>
                                  <a:pt x="0" y="94"/>
                                </a:moveTo>
                                <a:lnTo>
                                  <a:pt x="112" y="187"/>
                                </a:lnTo>
                                <a:lnTo>
                                  <a:pt x="112" y="140"/>
                                </a:lnTo>
                                <a:lnTo>
                                  <a:pt x="455" y="140"/>
                                </a:lnTo>
                                <a:lnTo>
                                  <a:pt x="455" y="187"/>
                                </a:lnTo>
                                <a:lnTo>
                                  <a:pt x="567" y="94"/>
                                </a:lnTo>
                                <a:lnTo>
                                  <a:pt x="455" y="0"/>
                                </a:lnTo>
                                <a:lnTo>
                                  <a:pt x="455" y="47"/>
                                </a:lnTo>
                                <a:lnTo>
                                  <a:pt x="112" y="47"/>
                                </a:lnTo>
                                <a:lnTo>
                                  <a:pt x="112" y="0"/>
                                </a:lnTo>
                                <a:lnTo>
                                  <a:pt x="0" y="94"/>
                                </a:lnTo>
                                <a:close/>
                              </a:path>
                            </a:pathLst>
                          </a:custGeom>
                          <a:noFill/>
                          <a:ln w="12700">
                            <a:solidFill>
                              <a:srgbClr val="1F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A3DCD" id="Group_x0020_1323" o:spid="_x0000_s1026" style="position:absolute;margin-left:128.45pt;margin-top:12.05pt;width:29.35pt;height:10.35pt;z-index:2200;mso-position-horizontal-relative:page" coordorigin="2569,241" coordsize="587,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">
                <v:shape id="Freeform_x0020_1325" o:spid="_x0000_s1027" style="position:absolute;left:2579;top:251;width:567;height:187;visibility:visible;mso-wrap-style:square;v-text-anchor:top" coordsize="567,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UHdxAAA&#10;AN0AAAAPAAAAZHJzL2Rvd25yZXYueG1sRE9Li8IwEL4L/ocwC3sRTVUU6RpFigt7UXwdPI7NbFu2&#10;mYQmW+u/NwsL3ubje85y3ZlatNT4yrKC8SgBQZxbXXGh4HL+HC5A+ICssbZMCh7kYb3q95aYanvn&#10;I7WnUIgYwj5FBWUILpXS5yUZ9CPriCP3bRuDIcKmkLrBeww3tZwkyVwarDg2lOgoKyn/Of0aBdft&#10;wGVZWx+2u/HOXW77PT/OA6Xe37rNB4hAXXiJ/91fOs6fTmbw9008Qa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lB3cQAAADdAAAADwAAAAAAAAAAAAAAAACXAgAAZHJzL2Rv&#10;d25yZXYueG1sUEsFBgAAAAAEAAQA9QAAAIgDAAAAAA==&#10;" path="m112,0l0,94,112,187,112,140,511,140,567,94,511,47,112,47,112,0xm511,140l455,140,455,187,511,140xm455,0l455,47,511,47,455,0xe" fillcolor="#5b9bd4" stroked="f">
                  <v:path arrowok="t" o:connecttype="custom" o:connectlocs="112,251;0,345;112,438;112,391;511,391;567,345;511,298;112,298;112,251;511,391;455,391;455,438;511,391;455,251;455,298;511,298;455,251" o:connectangles="0,0,0,0,0,0,0,0,0,0,0,0,0,0,0,0,0"/>
                </v:shape>
                <v:shape id="Freeform_x0020_1324" o:spid="_x0000_s1028" style="position:absolute;left:2579;top:251;width:567;height:187;visibility:visible;mso-wrap-style:square;v-text-anchor:top" coordsize="567,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c0wAAA&#10;AN0AAAAPAAAAZHJzL2Rvd25yZXYueG1sRE/bagIxEH0v+A9hhL7VrCuorEaRSqHQJy8fMGzGzWIy&#10;CUmqW7++KRR8m8O5zno7OCtuFFPvWcF0UoEgbr3uuVNwPn28LUGkjKzReiYFP5Rguxm9rLHR/s4H&#10;uh1zJ0oIpwYVmJxDI2VqDTlMEx+IC3fx0WEuMHZSR7yXcGdlXVVz6bDn0mAw0Luh9nr8dgrq/dnG&#10;0OLCPR5hMdtb81W7g1Kv42G3ApFpyE/xv/tTl/mzeg5/35QT5O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lXc0wAAAAN0AAAAPAAAAAAAAAAAAAAAAAJcCAABkcnMvZG93bnJl&#10;di54bWxQSwUGAAAAAAQABAD1AAAAhAMAAAAA&#10;" path="m0,94l112,187,112,140,455,140,455,187,567,94,455,,455,47,112,47,112,,,94xe" filled="f" strokecolor="#1f4d78" strokeweight="1pt">
                  <v:path arrowok="t" o:connecttype="custom" o:connectlocs="0,345;112,438;112,391;455,391;455,438;567,345;455,251;455,298;112,298;112,251;0,345" o:connectangles="0,0,0,0,0,0,0,0,0,0,0"/>
                </v:shape>
                <w10:wrap anchorx="page"/>
              </v:group>
            </w:pict>
          </mc:Fallback>
        </mc:AlternateContent>
      </w:r>
      <w:r>
        <w:rPr>
          <w:color w:val="231F20"/>
          <w:sz w:val="20"/>
        </w:rPr>
        <w:t>Приватний суб’єкт пр</w:t>
      </w:r>
      <w:r>
        <w:rPr>
          <w:color w:val="231F20"/>
          <w:sz w:val="20"/>
        </w:rPr>
        <w:t>ава</w:t>
      </w:r>
    </w:p>
    <w:p w14:paraId="679E793C" w14:textId="77777777" w:rsidR="00DE575E" w:rsidRDefault="002E7560">
      <w:pPr>
        <w:spacing w:before="101" w:line="266" w:lineRule="auto"/>
        <w:ind w:left="639" w:right="3" w:hanging="193"/>
        <w:rPr>
          <w:b/>
          <w:sz w:val="20"/>
        </w:rPr>
      </w:pPr>
      <w:r>
        <w:br w:type="column"/>
      </w:r>
      <w:r>
        <w:rPr>
          <w:b/>
          <w:color w:val="231F20"/>
          <w:sz w:val="20"/>
        </w:rPr>
        <w:lastRenderedPageBreak/>
        <w:t>Суб’єкт публічної адміністрації</w:t>
      </w:r>
    </w:p>
    <w:p w14:paraId="459DD4E1" w14:textId="77777777" w:rsidR="00DE575E" w:rsidRDefault="002E7560">
      <w:pPr>
        <w:spacing w:before="101" w:line="266" w:lineRule="auto"/>
        <w:ind w:left="510" w:right="183" w:hanging="63"/>
        <w:rPr>
          <w:sz w:val="20"/>
        </w:rPr>
      </w:pPr>
      <w:r>
        <w:br w:type="column"/>
      </w:r>
      <w:r>
        <w:rPr>
          <w:color w:val="231F20"/>
          <w:sz w:val="20"/>
        </w:rPr>
        <w:lastRenderedPageBreak/>
        <w:t>Суб’єкт права</w:t>
      </w:r>
    </w:p>
    <w:p w14:paraId="52FC8CA9" w14:textId="77777777" w:rsidR="00DE575E" w:rsidRDefault="00DE575E">
      <w:pPr>
        <w:spacing w:line="266" w:lineRule="auto"/>
        <w:rPr>
          <w:sz w:val="20"/>
        </w:rPr>
        <w:sectPr w:rsidR="00DE575E">
          <w:type w:val="continuous"/>
          <w:pgSz w:w="8510" w:h="12760"/>
          <w:pgMar w:top="1180" w:right="720" w:bottom="280" w:left="600" w:header="720" w:footer="720" w:gutter="0"/>
          <w:cols w:num="3" w:space="720" w:equalWidth="0">
            <w:col w:w="1683" w:space="713"/>
            <w:col w:w="2160" w:space="829"/>
            <w:col w:w="1805"/>
          </w:cols>
        </w:sectPr>
      </w:pPr>
    </w:p>
    <w:p w14:paraId="3DAD0FD4" w14:textId="77777777" w:rsidR="00DE575E" w:rsidRDefault="00DE575E">
      <w:pPr>
        <w:pStyle w:val="BodyText"/>
        <w:spacing w:before="7"/>
        <w:rPr>
          <w:sz w:val="10"/>
        </w:rPr>
      </w:pPr>
    </w:p>
    <w:p w14:paraId="33450917" w14:textId="2DE1F605" w:rsidR="00DE575E" w:rsidRDefault="002E7560">
      <w:pPr>
        <w:pStyle w:val="Heading5"/>
        <w:spacing w:before="100"/>
        <w:ind w:left="973"/>
      </w:pPr>
      <w:r>
        <w:rPr>
          <w:noProof/>
        </w:rPr>
        <mc:AlternateContent>
          <mc:Choice Requires="wpg">
            <w:drawing>
              <wp:anchor distT="0" distB="0" distL="114300" distR="114300" simplePos="0" relativeHeight="2224" behindDoc="0" locked="0" layoutInCell="1" allowOverlap="1" wp14:anchorId="6780AEE2" wp14:editId="4181DC01">
                <wp:simplePos x="0" y="0"/>
                <wp:positionH relativeFrom="page">
                  <wp:posOffset>3438525</wp:posOffset>
                </wp:positionH>
                <wp:positionV relativeFrom="paragraph">
                  <wp:posOffset>-320675</wp:posOffset>
                </wp:positionV>
                <wp:extent cx="372745" cy="131445"/>
                <wp:effectExtent l="0" t="0" r="11430" b="11430"/>
                <wp:wrapNone/>
                <wp:docPr id="132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31445"/>
                          <a:chOff x="5415" y="-505"/>
                          <a:chExt cx="587" cy="207"/>
                        </a:xfrm>
                      </wpg:grpSpPr>
                      <wps:wsp>
                        <wps:cNvPr id="1322" name="Freeform 1322"/>
                        <wps:cNvSpPr>
                          <a:spLocks/>
                        </wps:cNvSpPr>
                        <wps:spPr bwMode="auto">
                          <a:xfrm>
                            <a:off x="5425" y="-496"/>
                            <a:ext cx="567" cy="187"/>
                          </a:xfrm>
                          <a:custGeom>
                            <a:avLst/>
                            <a:gdLst>
                              <a:gd name="T0" fmla="+- 0 5537 5425"/>
                              <a:gd name="T1" fmla="*/ T0 w 567"/>
                              <a:gd name="T2" fmla="+- 0 -495 -495"/>
                              <a:gd name="T3" fmla="*/ -495 h 187"/>
                              <a:gd name="T4" fmla="+- 0 5425 5425"/>
                              <a:gd name="T5" fmla="*/ T4 w 567"/>
                              <a:gd name="T6" fmla="+- 0 -402 -495"/>
                              <a:gd name="T7" fmla="*/ -402 h 187"/>
                              <a:gd name="T8" fmla="+- 0 5537 5425"/>
                              <a:gd name="T9" fmla="*/ T8 w 567"/>
                              <a:gd name="T10" fmla="+- 0 -308 -495"/>
                              <a:gd name="T11" fmla="*/ -308 h 187"/>
                              <a:gd name="T12" fmla="+- 0 5537 5425"/>
                              <a:gd name="T13" fmla="*/ T12 w 567"/>
                              <a:gd name="T14" fmla="+- 0 -355 -495"/>
                              <a:gd name="T15" fmla="*/ -355 h 187"/>
                              <a:gd name="T16" fmla="+- 0 5936 5425"/>
                              <a:gd name="T17" fmla="*/ T16 w 567"/>
                              <a:gd name="T18" fmla="+- 0 -355 -495"/>
                              <a:gd name="T19" fmla="*/ -355 h 187"/>
                              <a:gd name="T20" fmla="+- 0 5992 5425"/>
                              <a:gd name="T21" fmla="*/ T20 w 567"/>
                              <a:gd name="T22" fmla="+- 0 -402 -495"/>
                              <a:gd name="T23" fmla="*/ -402 h 187"/>
                              <a:gd name="T24" fmla="+- 0 5936 5425"/>
                              <a:gd name="T25" fmla="*/ T24 w 567"/>
                              <a:gd name="T26" fmla="+- 0 -448 -495"/>
                              <a:gd name="T27" fmla="*/ -448 h 187"/>
                              <a:gd name="T28" fmla="+- 0 5537 5425"/>
                              <a:gd name="T29" fmla="*/ T28 w 567"/>
                              <a:gd name="T30" fmla="+- 0 -448 -495"/>
                              <a:gd name="T31" fmla="*/ -448 h 187"/>
                              <a:gd name="T32" fmla="+- 0 5537 5425"/>
                              <a:gd name="T33" fmla="*/ T32 w 567"/>
                              <a:gd name="T34" fmla="+- 0 -495 -495"/>
                              <a:gd name="T35" fmla="*/ -495 h 187"/>
                              <a:gd name="T36" fmla="+- 0 5936 5425"/>
                              <a:gd name="T37" fmla="*/ T36 w 567"/>
                              <a:gd name="T38" fmla="+- 0 -355 -495"/>
                              <a:gd name="T39" fmla="*/ -355 h 187"/>
                              <a:gd name="T40" fmla="+- 0 5881 5425"/>
                              <a:gd name="T41" fmla="*/ T40 w 567"/>
                              <a:gd name="T42" fmla="+- 0 -355 -495"/>
                              <a:gd name="T43" fmla="*/ -355 h 187"/>
                              <a:gd name="T44" fmla="+- 0 5881 5425"/>
                              <a:gd name="T45" fmla="*/ T44 w 567"/>
                              <a:gd name="T46" fmla="+- 0 -308 -495"/>
                              <a:gd name="T47" fmla="*/ -308 h 187"/>
                              <a:gd name="T48" fmla="+- 0 5936 5425"/>
                              <a:gd name="T49" fmla="*/ T48 w 567"/>
                              <a:gd name="T50" fmla="+- 0 -355 -495"/>
                              <a:gd name="T51" fmla="*/ -355 h 187"/>
                              <a:gd name="T52" fmla="+- 0 5881 5425"/>
                              <a:gd name="T53" fmla="*/ T52 w 567"/>
                              <a:gd name="T54" fmla="+- 0 -495 -495"/>
                              <a:gd name="T55" fmla="*/ -495 h 187"/>
                              <a:gd name="T56" fmla="+- 0 5881 5425"/>
                              <a:gd name="T57" fmla="*/ T56 w 567"/>
                              <a:gd name="T58" fmla="+- 0 -448 -495"/>
                              <a:gd name="T59" fmla="*/ -448 h 187"/>
                              <a:gd name="T60" fmla="+- 0 5936 5425"/>
                              <a:gd name="T61" fmla="*/ T60 w 567"/>
                              <a:gd name="T62" fmla="+- 0 -448 -495"/>
                              <a:gd name="T63" fmla="*/ -448 h 187"/>
                              <a:gd name="T64" fmla="+- 0 5881 5425"/>
                              <a:gd name="T65" fmla="*/ T64 w 567"/>
                              <a:gd name="T66" fmla="+- 0 -495 -495"/>
                              <a:gd name="T67" fmla="*/ -49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7" h="187">
                                <a:moveTo>
                                  <a:pt x="112" y="0"/>
                                </a:moveTo>
                                <a:lnTo>
                                  <a:pt x="0" y="93"/>
                                </a:lnTo>
                                <a:lnTo>
                                  <a:pt x="112" y="187"/>
                                </a:lnTo>
                                <a:lnTo>
                                  <a:pt x="112" y="140"/>
                                </a:lnTo>
                                <a:lnTo>
                                  <a:pt x="511" y="140"/>
                                </a:lnTo>
                                <a:lnTo>
                                  <a:pt x="567" y="93"/>
                                </a:lnTo>
                                <a:lnTo>
                                  <a:pt x="511" y="47"/>
                                </a:lnTo>
                                <a:lnTo>
                                  <a:pt x="112" y="47"/>
                                </a:lnTo>
                                <a:lnTo>
                                  <a:pt x="112" y="0"/>
                                </a:lnTo>
                                <a:close/>
                                <a:moveTo>
                                  <a:pt x="511" y="140"/>
                                </a:moveTo>
                                <a:lnTo>
                                  <a:pt x="456" y="140"/>
                                </a:lnTo>
                                <a:lnTo>
                                  <a:pt x="456" y="187"/>
                                </a:lnTo>
                                <a:lnTo>
                                  <a:pt x="511" y="140"/>
                                </a:lnTo>
                                <a:close/>
                                <a:moveTo>
                                  <a:pt x="456" y="0"/>
                                </a:moveTo>
                                <a:lnTo>
                                  <a:pt x="456" y="47"/>
                                </a:lnTo>
                                <a:lnTo>
                                  <a:pt x="511" y="47"/>
                                </a:lnTo>
                                <a:lnTo>
                                  <a:pt x="45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1"/>
                        <wps:cNvSpPr>
                          <a:spLocks/>
                        </wps:cNvSpPr>
                        <wps:spPr bwMode="auto">
                          <a:xfrm>
                            <a:off x="5425" y="-496"/>
                            <a:ext cx="567" cy="187"/>
                          </a:xfrm>
                          <a:custGeom>
                            <a:avLst/>
                            <a:gdLst>
                              <a:gd name="T0" fmla="+- 0 5425 5425"/>
                              <a:gd name="T1" fmla="*/ T0 w 567"/>
                              <a:gd name="T2" fmla="+- 0 -402 -495"/>
                              <a:gd name="T3" fmla="*/ -402 h 187"/>
                              <a:gd name="T4" fmla="+- 0 5537 5425"/>
                              <a:gd name="T5" fmla="*/ T4 w 567"/>
                              <a:gd name="T6" fmla="+- 0 -308 -495"/>
                              <a:gd name="T7" fmla="*/ -308 h 187"/>
                              <a:gd name="T8" fmla="+- 0 5537 5425"/>
                              <a:gd name="T9" fmla="*/ T8 w 567"/>
                              <a:gd name="T10" fmla="+- 0 -355 -495"/>
                              <a:gd name="T11" fmla="*/ -355 h 187"/>
                              <a:gd name="T12" fmla="+- 0 5881 5425"/>
                              <a:gd name="T13" fmla="*/ T12 w 567"/>
                              <a:gd name="T14" fmla="+- 0 -355 -495"/>
                              <a:gd name="T15" fmla="*/ -355 h 187"/>
                              <a:gd name="T16" fmla="+- 0 5881 5425"/>
                              <a:gd name="T17" fmla="*/ T16 w 567"/>
                              <a:gd name="T18" fmla="+- 0 -308 -495"/>
                              <a:gd name="T19" fmla="*/ -308 h 187"/>
                              <a:gd name="T20" fmla="+- 0 5992 5425"/>
                              <a:gd name="T21" fmla="*/ T20 w 567"/>
                              <a:gd name="T22" fmla="+- 0 -402 -495"/>
                              <a:gd name="T23" fmla="*/ -402 h 187"/>
                              <a:gd name="T24" fmla="+- 0 5881 5425"/>
                              <a:gd name="T25" fmla="*/ T24 w 567"/>
                              <a:gd name="T26" fmla="+- 0 -495 -495"/>
                              <a:gd name="T27" fmla="*/ -495 h 187"/>
                              <a:gd name="T28" fmla="+- 0 5881 5425"/>
                              <a:gd name="T29" fmla="*/ T28 w 567"/>
                              <a:gd name="T30" fmla="+- 0 -448 -495"/>
                              <a:gd name="T31" fmla="*/ -448 h 187"/>
                              <a:gd name="T32" fmla="+- 0 5537 5425"/>
                              <a:gd name="T33" fmla="*/ T32 w 567"/>
                              <a:gd name="T34" fmla="+- 0 -448 -495"/>
                              <a:gd name="T35" fmla="*/ -448 h 187"/>
                              <a:gd name="T36" fmla="+- 0 5537 5425"/>
                              <a:gd name="T37" fmla="*/ T36 w 567"/>
                              <a:gd name="T38" fmla="+- 0 -495 -495"/>
                              <a:gd name="T39" fmla="*/ -495 h 187"/>
                              <a:gd name="T40" fmla="+- 0 5425 5425"/>
                              <a:gd name="T41" fmla="*/ T40 w 567"/>
                              <a:gd name="T42" fmla="+- 0 -402 -495"/>
                              <a:gd name="T43" fmla="*/ -40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87">
                                <a:moveTo>
                                  <a:pt x="0" y="93"/>
                                </a:moveTo>
                                <a:lnTo>
                                  <a:pt x="112" y="187"/>
                                </a:lnTo>
                                <a:lnTo>
                                  <a:pt x="112" y="140"/>
                                </a:lnTo>
                                <a:lnTo>
                                  <a:pt x="456" y="140"/>
                                </a:lnTo>
                                <a:lnTo>
                                  <a:pt x="456" y="187"/>
                                </a:lnTo>
                                <a:lnTo>
                                  <a:pt x="567" y="93"/>
                                </a:lnTo>
                                <a:lnTo>
                                  <a:pt x="456" y="0"/>
                                </a:lnTo>
                                <a:lnTo>
                                  <a:pt x="456" y="47"/>
                                </a:lnTo>
                                <a:lnTo>
                                  <a:pt x="112" y="47"/>
                                </a:lnTo>
                                <a:lnTo>
                                  <a:pt x="112" y="0"/>
                                </a:lnTo>
                                <a:lnTo>
                                  <a:pt x="0" y="93"/>
                                </a:lnTo>
                                <a:close/>
                              </a:path>
                            </a:pathLst>
                          </a:custGeom>
                          <a:noFill/>
                          <a:ln w="12700">
                            <a:solidFill>
                              <a:srgbClr val="1F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545DA" id="Group_x0020_1320" o:spid="_x0000_s1026" style="position:absolute;margin-left:270.75pt;margin-top:-25.2pt;width:29.35pt;height:10.35pt;z-index:2224;mso-position-horizontal-relative:page" coordorigin="5415,-505" coordsize="587,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">
                <v:shape id="Freeform_x0020_1322" o:spid="_x0000_s1027" style="position:absolute;left:5425;top:-496;width:567;height:187;visibility:visible;mso-wrap-style:square;v-text-anchor:top" coordsize="567,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NmpxAAA&#10;AN0AAAAPAAAAZHJzL2Rvd25yZXYueG1sRE9Ni8IwEL0v+B/CLHgRTa2wSDXKUhT2ouyqB49jM7bF&#10;ZhKabK3/3ggLe5vH+5zlujeN6Kj1tWUF00kCgriwuuZSwem4Hc9B+ICssbFMCh7kYb0avC0x0/bO&#10;P9QdQiliCPsMFVQhuExKX1Rk0E+sI47c1bYGQ4RtKXWL9xhuGpkmyYc0WHNsqNBRXlFxO/waBefN&#10;yOV513xvdtOdO132e34cR0oN3/vPBYhAffgX/7m/dJw/S1N4fRNP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0DZqcQAAADdAAAADwAAAAAAAAAAAAAAAACXAgAAZHJzL2Rv&#10;d25yZXYueG1sUEsFBgAAAAAEAAQA9QAAAIgDAAAAAA==&#10;" path="m112,0l0,93,112,187,112,140,511,140,567,93,511,47,112,47,112,0xm511,140l456,140,456,187,511,140xm456,0l456,47,511,47,456,0xe" fillcolor="#5b9bd4" stroked="f">
                  <v:path arrowok="t" o:connecttype="custom" o:connectlocs="112,-495;0,-402;112,-308;112,-355;511,-355;567,-402;511,-448;112,-448;112,-495;511,-355;456,-355;456,-308;511,-355;456,-495;456,-448;511,-448;456,-495" o:connectangles="0,0,0,0,0,0,0,0,0,0,0,0,0,0,0,0,0"/>
                </v:shape>
                <v:shape id="Freeform_x0020_1321" o:spid="_x0000_s1028" style="position:absolute;left:5425;top:-496;width:567;height:187;visibility:visible;mso-wrap-style:square;v-text-anchor:top" coordsize="567,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tSswQAA&#10;AN0AAAAPAAAAZHJzL2Rvd25yZXYueG1sRE/NagIxEL4LfYcwQm+adRdUtkYplULBk9YHGDbTzdJk&#10;EpJUtz59Iwi9zcf3O5vd6Ky4UEyDZwWLeQWCuPN64F7B+fN9tgaRMrJG65kU/FKC3fZpssFW+ysf&#10;6XLKvSghnFpUYHIOrZSpM+QwzX0gLtyXjw5zgbGXOuK1hDsr66paSocDlwaDgd4Mdd+nH6eg3p9t&#10;DB2u3O0WVs3emkPtjko9T8fXFxCZxvwvfrg/dJnf1A3cvyknyO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LUrMEAAADdAAAADwAAAAAAAAAAAAAAAACXAgAAZHJzL2Rvd25y&#10;ZXYueG1sUEsFBgAAAAAEAAQA9QAAAIUDAAAAAA==&#10;" path="m0,93l112,187,112,140,456,140,456,187,567,93,456,,456,47,112,47,112,,,93xe" filled="f" strokecolor="#1f4d78" strokeweight="1pt">
                  <v:path arrowok="t" o:connecttype="custom" o:connectlocs="0,-402;112,-308;112,-355;456,-355;456,-308;567,-402;456,-495;456,-448;112,-448;112,-495;0,-402" o:connectangles="0,0,0,0,0,0,0,0,0,0,0"/>
                </v:shape>
                <w10:wrap anchorx="page"/>
              </v:group>
            </w:pict>
          </mc:Fallback>
        </mc:AlternateContent>
      </w:r>
      <w:r>
        <w:rPr>
          <w:color w:val="231F20"/>
        </w:rPr>
        <w:t>Мал. 2. Схема адміністративно-правових відносин</w:t>
      </w:r>
    </w:p>
    <w:p w14:paraId="7A7A7F5C" w14:textId="77777777" w:rsidR="00DE575E" w:rsidRDefault="00DE575E">
      <w:pPr>
        <w:pStyle w:val="BodyText"/>
        <w:spacing w:before="2"/>
        <w:rPr>
          <w:b/>
          <w:sz w:val="23"/>
        </w:rPr>
      </w:pPr>
    </w:p>
    <w:p w14:paraId="4874DB9E" w14:textId="77777777" w:rsidR="00DE575E" w:rsidRDefault="002E7560">
      <w:pPr>
        <w:spacing w:line="252" w:lineRule="auto"/>
        <w:ind w:left="250" w:right="411" w:firstLine="283"/>
        <w:jc w:val="both"/>
        <w:rPr>
          <w:i/>
          <w:sz w:val="21"/>
        </w:rPr>
      </w:pPr>
      <w:r>
        <w:rPr>
          <w:i/>
          <w:color w:val="231F20"/>
          <w:sz w:val="21"/>
        </w:rPr>
        <w:t>В адміністративно-правових відносинах юридичний статус суб’єкта публічної адміністрації є потрійним:</w:t>
      </w:r>
    </w:p>
    <w:p w14:paraId="461A0527" w14:textId="77777777" w:rsidR="00DE575E" w:rsidRDefault="002E7560">
      <w:pPr>
        <w:pStyle w:val="BodyText"/>
        <w:spacing w:before="1" w:line="252" w:lineRule="auto"/>
        <w:ind w:left="250" w:right="411" w:firstLine="283"/>
        <w:jc w:val="both"/>
      </w:pPr>
      <w:r>
        <w:rPr>
          <w:b/>
          <w:i/>
          <w:color w:val="231F20"/>
        </w:rPr>
        <w:t>по-перше</w:t>
      </w:r>
      <w:r>
        <w:rPr>
          <w:i/>
          <w:color w:val="231F20"/>
        </w:rPr>
        <w:t xml:space="preserve">, </w:t>
      </w:r>
      <w:r>
        <w:rPr>
          <w:color w:val="231F20"/>
        </w:rPr>
        <w:t xml:space="preserve">адміністративні сервісні відносини </w:t>
      </w:r>
      <w:r>
        <w:rPr>
          <w:color w:val="231F20"/>
          <w:spacing w:val="-3"/>
        </w:rPr>
        <w:t xml:space="preserve">суб’єкта </w:t>
      </w:r>
      <w:r>
        <w:rPr>
          <w:color w:val="231F20"/>
        </w:rPr>
        <w:t xml:space="preserve">публіч- ної адміністрації, коли він надає адміністративні послуги приват- ним </w:t>
      </w:r>
      <w:r>
        <w:rPr>
          <w:color w:val="231F20"/>
          <w:spacing w:val="-3"/>
        </w:rPr>
        <w:t xml:space="preserve">суб’єктам </w:t>
      </w:r>
      <w:r>
        <w:rPr>
          <w:color w:val="231F20"/>
        </w:rPr>
        <w:t xml:space="preserve">права, які звернулися до нього. У цьому разі </w:t>
      </w:r>
      <w:r>
        <w:rPr>
          <w:color w:val="231F20"/>
          <w:spacing w:val="-4"/>
        </w:rPr>
        <w:t xml:space="preserve">суб’єкт </w:t>
      </w:r>
      <w:r>
        <w:rPr>
          <w:color w:val="231F20"/>
        </w:rPr>
        <w:t>публічної адміністрації діяти імперативно (публічно-владно) щодо приват</w:t>
      </w:r>
      <w:r>
        <w:rPr>
          <w:color w:val="231F20"/>
        </w:rPr>
        <w:t xml:space="preserve">ного </w:t>
      </w:r>
      <w:r>
        <w:rPr>
          <w:color w:val="231F20"/>
          <w:spacing w:val="-3"/>
        </w:rPr>
        <w:t xml:space="preserve">суб’єкта </w:t>
      </w:r>
      <w:r>
        <w:rPr>
          <w:color w:val="231F20"/>
        </w:rPr>
        <w:t xml:space="preserve">адміністративного права не має права. Більше того, </w:t>
      </w:r>
      <w:r>
        <w:rPr>
          <w:color w:val="231F20"/>
          <w:spacing w:val="-4"/>
        </w:rPr>
        <w:t xml:space="preserve">суб’єкт </w:t>
      </w:r>
      <w:r>
        <w:rPr>
          <w:color w:val="231F20"/>
        </w:rPr>
        <w:t>публічної адміністрації є зобов’язальним і мусить надати</w:t>
      </w:r>
      <w:r>
        <w:rPr>
          <w:color w:val="231F20"/>
          <w:spacing w:val="-5"/>
        </w:rPr>
        <w:t xml:space="preserve"> </w:t>
      </w:r>
      <w:r>
        <w:rPr>
          <w:color w:val="231F20"/>
        </w:rPr>
        <w:t>адміністративну</w:t>
      </w:r>
      <w:r>
        <w:rPr>
          <w:color w:val="231F20"/>
          <w:spacing w:val="-6"/>
        </w:rPr>
        <w:t xml:space="preserve"> </w:t>
      </w:r>
      <w:r>
        <w:rPr>
          <w:color w:val="231F20"/>
        </w:rPr>
        <w:t>послугу</w:t>
      </w:r>
      <w:r>
        <w:rPr>
          <w:color w:val="231F20"/>
          <w:spacing w:val="-6"/>
        </w:rPr>
        <w:t xml:space="preserve"> </w:t>
      </w:r>
      <w:r>
        <w:rPr>
          <w:color w:val="231F20"/>
        </w:rPr>
        <w:t>на</w:t>
      </w:r>
      <w:r>
        <w:rPr>
          <w:color w:val="231F20"/>
          <w:spacing w:val="-6"/>
        </w:rPr>
        <w:t xml:space="preserve"> </w:t>
      </w:r>
      <w:r>
        <w:rPr>
          <w:color w:val="231F20"/>
        </w:rPr>
        <w:t>належному</w:t>
      </w:r>
      <w:r>
        <w:rPr>
          <w:color w:val="231F20"/>
          <w:spacing w:val="-6"/>
        </w:rPr>
        <w:t xml:space="preserve"> </w:t>
      </w:r>
      <w:r>
        <w:rPr>
          <w:color w:val="231F20"/>
        </w:rPr>
        <w:t>рівні</w:t>
      </w:r>
      <w:r>
        <w:rPr>
          <w:color w:val="231F20"/>
          <w:spacing w:val="-6"/>
        </w:rPr>
        <w:t xml:space="preserve"> </w:t>
      </w:r>
      <w:r>
        <w:rPr>
          <w:color w:val="231F20"/>
        </w:rPr>
        <w:t>й</w:t>
      </w:r>
      <w:r>
        <w:rPr>
          <w:color w:val="231F20"/>
          <w:spacing w:val="-5"/>
        </w:rPr>
        <w:t xml:space="preserve"> </w:t>
      </w:r>
      <w:r>
        <w:rPr>
          <w:color w:val="231F20"/>
        </w:rPr>
        <w:t>у</w:t>
      </w:r>
      <w:r>
        <w:rPr>
          <w:color w:val="231F20"/>
          <w:spacing w:val="-6"/>
        </w:rPr>
        <w:t xml:space="preserve"> </w:t>
      </w:r>
      <w:r>
        <w:rPr>
          <w:color w:val="231F20"/>
        </w:rPr>
        <w:t>встановлені строки;</w:t>
      </w:r>
    </w:p>
    <w:p w14:paraId="6F449151" w14:textId="77777777" w:rsidR="00DE575E" w:rsidRDefault="002E7560">
      <w:pPr>
        <w:pStyle w:val="BodyText"/>
        <w:spacing w:before="4" w:line="252" w:lineRule="auto"/>
        <w:ind w:left="250" w:right="409" w:firstLine="283"/>
        <w:jc w:val="both"/>
      </w:pPr>
      <w:r>
        <w:rPr>
          <w:b/>
          <w:i/>
          <w:color w:val="231F20"/>
        </w:rPr>
        <w:t xml:space="preserve">по-друге, </w:t>
      </w:r>
      <w:r>
        <w:rPr>
          <w:color w:val="231F20"/>
        </w:rPr>
        <w:t>адміністративно-арбітражні відносини суб’єкта пуб</w:t>
      </w:r>
      <w:r>
        <w:rPr>
          <w:color w:val="231F20"/>
        </w:rPr>
        <w:t>лічної адміністрації, коли  він  є  адміністративним  арбітром між двома приватними суб’єктами адміністративного права в разі порушення одним приватним суб’єктом прав та/або свобод, охоро- нюваних   нормами   адміністративного   права,    іншого    суб’єкт</w:t>
      </w:r>
      <w:r>
        <w:rPr>
          <w:color w:val="231F20"/>
        </w:rPr>
        <w:t>а. У такому разі суб’єкт публічної адміністрації є імперативно влад- ним щодо приватного суб’єкта адміністративного права, який порушив права та/або свободи іншого. Відповідно до наданої законодавством компетенції він мусить вимагати від такого суб’єкта пр</w:t>
      </w:r>
      <w:r>
        <w:rPr>
          <w:color w:val="231F20"/>
        </w:rPr>
        <w:t>ипинити протиправну поведінку або застосувати легальні засоби адміністративного примусу для відновлення пору- шеного</w:t>
      </w:r>
      <w:r>
        <w:rPr>
          <w:color w:val="231F20"/>
          <w:spacing w:val="3"/>
        </w:rPr>
        <w:t xml:space="preserve"> </w:t>
      </w:r>
      <w:r>
        <w:rPr>
          <w:color w:val="231F20"/>
        </w:rPr>
        <w:t>права;</w:t>
      </w:r>
    </w:p>
    <w:p w14:paraId="3487BCB3" w14:textId="77777777" w:rsidR="00DE575E" w:rsidRDefault="002E7560">
      <w:pPr>
        <w:pStyle w:val="BodyText"/>
        <w:spacing w:before="6" w:line="252" w:lineRule="auto"/>
        <w:ind w:left="250" w:right="411" w:firstLine="283"/>
        <w:jc w:val="both"/>
      </w:pPr>
      <w:r>
        <w:rPr>
          <w:b/>
          <w:i/>
          <w:color w:val="231F20"/>
        </w:rPr>
        <w:t xml:space="preserve">по-третє,  </w:t>
      </w:r>
      <w:r>
        <w:rPr>
          <w:color w:val="231F20"/>
        </w:rPr>
        <w:t xml:space="preserve">адміністративно-імперативні  відносини   всере-  дині системи публічної адміністрації. У цьому разі </w:t>
      </w:r>
      <w:r>
        <w:rPr>
          <w:color w:val="231F20"/>
          <w:spacing w:val="-4"/>
        </w:rPr>
        <w:t xml:space="preserve">суб’єкт </w:t>
      </w:r>
      <w:r>
        <w:rPr>
          <w:color w:val="231F20"/>
        </w:rPr>
        <w:t>публіч- ної а</w:t>
      </w:r>
      <w:r>
        <w:rPr>
          <w:color w:val="231F20"/>
        </w:rPr>
        <w:t xml:space="preserve">дміністрації, який стоїть вище за ієрархічним щаблем владної компетенції, має право віддавати законні розпорядження підпо- рядкованим йому </w:t>
      </w:r>
      <w:r>
        <w:rPr>
          <w:color w:val="231F20"/>
          <w:spacing w:val="-3"/>
        </w:rPr>
        <w:t xml:space="preserve">суб’єктам </w:t>
      </w:r>
      <w:r>
        <w:rPr>
          <w:color w:val="231F20"/>
        </w:rPr>
        <w:t>адміністрації. Тут виникають класичні імперативно-владні адміністративно-правові</w:t>
      </w:r>
      <w:r>
        <w:rPr>
          <w:color w:val="231F20"/>
          <w:spacing w:val="-3"/>
        </w:rPr>
        <w:t xml:space="preserve"> </w:t>
      </w:r>
      <w:r>
        <w:rPr>
          <w:color w:val="231F20"/>
        </w:rPr>
        <w:t>відносини.</w:t>
      </w:r>
    </w:p>
    <w:p w14:paraId="565EE4A2" w14:textId="77777777" w:rsidR="00DE575E" w:rsidRDefault="00DE575E">
      <w:pPr>
        <w:pStyle w:val="BodyText"/>
        <w:rPr>
          <w:sz w:val="20"/>
        </w:rPr>
      </w:pPr>
    </w:p>
    <w:p w14:paraId="1176113E" w14:textId="77777777" w:rsidR="00DE575E" w:rsidRDefault="00DE575E">
      <w:pPr>
        <w:pStyle w:val="BodyText"/>
        <w:rPr>
          <w:sz w:val="20"/>
        </w:rPr>
      </w:pPr>
    </w:p>
    <w:p w14:paraId="79802AB2" w14:textId="77777777" w:rsidR="00DE575E" w:rsidRDefault="00DE575E">
      <w:pPr>
        <w:pStyle w:val="BodyText"/>
        <w:spacing w:before="10"/>
        <w:rPr>
          <w:sz w:val="15"/>
        </w:rPr>
      </w:pPr>
    </w:p>
    <w:p w14:paraId="44F2F130" w14:textId="77777777" w:rsidR="00DE575E" w:rsidRDefault="002E7560">
      <w:pPr>
        <w:spacing w:before="92"/>
        <w:ind w:right="411"/>
        <w:jc w:val="right"/>
        <w:rPr>
          <w:rFonts w:ascii="Times New Roman"/>
          <w:sz w:val="20"/>
        </w:rPr>
      </w:pPr>
      <w:r>
        <w:rPr>
          <w:rFonts w:ascii="Times New Roman"/>
          <w:color w:val="231F20"/>
          <w:w w:val="90"/>
          <w:sz w:val="20"/>
        </w:rPr>
        <w:t>37</w:t>
      </w:r>
    </w:p>
    <w:p w14:paraId="371BA876" w14:textId="77777777" w:rsidR="00DE575E" w:rsidRDefault="00DE575E">
      <w:pPr>
        <w:jc w:val="right"/>
        <w:rPr>
          <w:rFonts w:ascii="Times New Roman"/>
          <w:sz w:val="20"/>
        </w:rPr>
        <w:sectPr w:rsidR="00DE575E">
          <w:type w:val="continuous"/>
          <w:pgSz w:w="8510" w:h="12760"/>
          <w:pgMar w:top="1180" w:right="720" w:bottom="280" w:left="600" w:header="720" w:footer="720" w:gutter="0"/>
          <w:cols w:space="720"/>
        </w:sectPr>
      </w:pPr>
    </w:p>
    <w:p w14:paraId="3B1A9188"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54DE002" w14:textId="2A09A52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EC2029F" wp14:editId="685F45E7">
                <wp:extent cx="4140200" cy="6350"/>
                <wp:effectExtent l="0" t="0" r="12700" b="6350"/>
                <wp:docPr id="131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20" name="Line 131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6000F" id="Group_x0020_131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gSSGJgAIAAJwFAAAO&#10;AAAAAAAAAAAAAAAAACwCAABkcnMvZTJvRG9jLnhtbFBLAQItABQABgAIAAAAIQBMp7CQ2QAAAAMB&#10;AAAPAAAAAAAAAAAAAAAAANgEAABkcnMvZG93bnJldi54bWxQSwUGAAAAAAQABADzAAAA3gUAAAAA&#10;">
                <v:line id="Line_x0020_131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Zzm8gAAADdAAAADwAAAGRycy9kb3ducmV2LnhtbESPQWvCQBCF74X+h2UKvRTd1ECR6CpF&#10;EEoP2hp/wJgdk9Dd2ZhdTdpf3zkUepvhvXnvm+V69E7dqI9tYAPP0wwUcRVsy7WBY7mdzEHFhGzR&#10;BSYD3xRhvbq/W2Jhw8CfdDukWkkIxwINNCl1hdaxashjnIaOWLRz6D0mWfta2x4HCfdOz7LsRXts&#10;WRoa7GjTUPV1uHoD5eUpuY/9uxvK/SnXp8su/7nujHl8GF8XoBKN6d/8d/1mBT+fCb98IyPo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BZzm8gAAADdAAAADwAAAAAA&#10;AAAAAAAAAAChAgAAZHJzL2Rvd25yZXYueG1sUEsFBgAAAAAEAAQA+QAAAJYDAAAAAA==&#10;" strokecolor="#231f20" strokeweight=".5pt"/>
                <w10:anchorlock/>
              </v:group>
            </w:pict>
          </mc:Fallback>
        </mc:AlternateContent>
      </w:r>
    </w:p>
    <w:p w14:paraId="179758CA" w14:textId="77777777" w:rsidR="00DE575E" w:rsidRDefault="00DE575E">
      <w:pPr>
        <w:pStyle w:val="BodyText"/>
        <w:rPr>
          <w:rFonts w:ascii="AdonisC"/>
          <w:i/>
          <w:sz w:val="19"/>
        </w:rPr>
      </w:pPr>
    </w:p>
    <w:p w14:paraId="2435E95E" w14:textId="77777777" w:rsidR="00DE575E" w:rsidRDefault="002E7560">
      <w:pPr>
        <w:pStyle w:val="Heading4"/>
        <w:numPr>
          <w:ilvl w:val="1"/>
          <w:numId w:val="306"/>
        </w:numPr>
        <w:tabs>
          <w:tab w:val="left" w:pos="1517"/>
        </w:tabs>
        <w:ind w:right="701" w:hanging="500"/>
        <w:jc w:val="left"/>
        <w:rPr>
          <w:sz w:val="13"/>
        </w:rPr>
      </w:pPr>
      <w:r>
        <w:rPr>
          <w:color w:val="231F20"/>
        </w:rPr>
        <w:t xml:space="preserve">Взаємодія адміністративного права </w:t>
      </w:r>
      <w:r>
        <w:rPr>
          <w:color w:val="231F20"/>
          <w:spacing w:val="-4"/>
        </w:rPr>
        <w:t xml:space="preserve">України </w:t>
      </w:r>
      <w:r>
        <w:rPr>
          <w:color w:val="231F20"/>
        </w:rPr>
        <w:t>та європейського адміністративного</w:t>
      </w:r>
      <w:r>
        <w:rPr>
          <w:color w:val="231F20"/>
          <w:spacing w:val="-9"/>
        </w:rPr>
        <w:t xml:space="preserve"> </w:t>
      </w:r>
      <w:r>
        <w:rPr>
          <w:color w:val="231F20"/>
        </w:rPr>
        <w:t>права</w:t>
      </w:r>
      <w:r>
        <w:rPr>
          <w:color w:val="231F20"/>
          <w:position w:val="7"/>
          <w:sz w:val="13"/>
        </w:rPr>
        <w:t>1</w:t>
      </w:r>
    </w:p>
    <w:p w14:paraId="43468687" w14:textId="77777777" w:rsidR="00DE575E" w:rsidRDefault="00DE575E">
      <w:pPr>
        <w:pStyle w:val="BodyText"/>
        <w:rPr>
          <w:b/>
          <w:sz w:val="26"/>
        </w:rPr>
      </w:pPr>
    </w:p>
    <w:p w14:paraId="03A3B88C" w14:textId="77777777" w:rsidR="00DE575E" w:rsidRDefault="002E7560">
      <w:pPr>
        <w:pStyle w:val="BodyText"/>
        <w:spacing w:before="224" w:line="252" w:lineRule="auto"/>
        <w:ind w:left="533" w:right="127" w:firstLine="283"/>
        <w:jc w:val="both"/>
      </w:pPr>
      <w:r>
        <w:rPr>
          <w:color w:val="231F20"/>
        </w:rPr>
        <w:t>Європейське</w:t>
      </w:r>
      <w:r>
        <w:rPr>
          <w:color w:val="231F20"/>
          <w:spacing w:val="-11"/>
        </w:rPr>
        <w:t xml:space="preserve"> </w:t>
      </w:r>
      <w:r>
        <w:rPr>
          <w:color w:val="231F20"/>
        </w:rPr>
        <w:t>адміністративне</w:t>
      </w:r>
      <w:r>
        <w:rPr>
          <w:color w:val="231F20"/>
          <w:spacing w:val="-11"/>
        </w:rPr>
        <w:t xml:space="preserve"> </w:t>
      </w:r>
      <w:r>
        <w:rPr>
          <w:color w:val="231F20"/>
        </w:rPr>
        <w:t>право</w:t>
      </w:r>
      <w:r>
        <w:rPr>
          <w:color w:val="231F20"/>
          <w:spacing w:val="-10"/>
        </w:rPr>
        <w:t xml:space="preserve"> </w:t>
      </w:r>
      <w:r>
        <w:rPr>
          <w:color w:val="231F20"/>
        </w:rPr>
        <w:t>–</w:t>
      </w:r>
      <w:r>
        <w:rPr>
          <w:color w:val="231F20"/>
          <w:spacing w:val="-11"/>
        </w:rPr>
        <w:t xml:space="preserve"> </w:t>
      </w:r>
      <w:r>
        <w:rPr>
          <w:color w:val="231F20"/>
        </w:rPr>
        <w:t>це</w:t>
      </w:r>
      <w:r>
        <w:rPr>
          <w:color w:val="231F20"/>
          <w:spacing w:val="-11"/>
        </w:rPr>
        <w:t xml:space="preserve"> </w:t>
      </w:r>
      <w:r>
        <w:rPr>
          <w:color w:val="231F20"/>
        </w:rPr>
        <w:t>самостійна</w:t>
      </w:r>
      <w:r>
        <w:rPr>
          <w:color w:val="231F20"/>
          <w:spacing w:val="-11"/>
        </w:rPr>
        <w:t xml:space="preserve"> </w:t>
      </w:r>
      <w:r>
        <w:rPr>
          <w:color w:val="231F20"/>
        </w:rPr>
        <w:t>наука,</w:t>
      </w:r>
      <w:r>
        <w:rPr>
          <w:color w:val="231F20"/>
          <w:spacing w:val="-11"/>
        </w:rPr>
        <w:t xml:space="preserve"> </w:t>
      </w:r>
      <w:r>
        <w:rPr>
          <w:color w:val="231F20"/>
        </w:rPr>
        <w:t xml:space="preserve">галузь і навчальна дисципліна, що є закономірним </w:t>
      </w:r>
      <w:r>
        <w:rPr>
          <w:color w:val="231F20"/>
          <w:spacing w:val="-3"/>
        </w:rPr>
        <w:t xml:space="preserve">результатом </w:t>
      </w:r>
      <w:r>
        <w:rPr>
          <w:color w:val="231F20"/>
        </w:rPr>
        <w:t>європейсь- ких адміністративних конвергенційних процесів, спрямованих на зменшення розбіжностей і невідповідностей в адміністративній структурі й налагодження зв’язків між відокремленими</w:t>
      </w:r>
      <w:r>
        <w:rPr>
          <w:color w:val="231F20"/>
          <w:spacing w:val="-31"/>
        </w:rPr>
        <w:t xml:space="preserve"> </w:t>
      </w:r>
      <w:r>
        <w:rPr>
          <w:color w:val="231F20"/>
        </w:rPr>
        <w:t>публічними адміністраціями європейських</w:t>
      </w:r>
      <w:r>
        <w:rPr>
          <w:color w:val="231F20"/>
          <w:spacing w:val="-3"/>
        </w:rPr>
        <w:t xml:space="preserve"> </w:t>
      </w:r>
      <w:r>
        <w:rPr>
          <w:color w:val="231F20"/>
        </w:rPr>
        <w:t>країн</w:t>
      </w:r>
      <w:r>
        <w:rPr>
          <w:color w:val="231F20"/>
          <w:position w:val="7"/>
          <w:sz w:val="12"/>
        </w:rPr>
        <w:t>2</w:t>
      </w:r>
      <w:r>
        <w:rPr>
          <w:color w:val="231F20"/>
        </w:rPr>
        <w:t>.</w:t>
      </w:r>
    </w:p>
    <w:p w14:paraId="3AEB7B9F" w14:textId="77777777" w:rsidR="00DE575E" w:rsidRDefault="002E7560">
      <w:pPr>
        <w:pStyle w:val="BodyText"/>
        <w:spacing w:before="3" w:line="252" w:lineRule="auto"/>
        <w:ind w:left="533" w:right="127" w:firstLine="283"/>
        <w:jc w:val="both"/>
      </w:pPr>
      <w:r>
        <w:rPr>
          <w:color w:val="231F20"/>
        </w:rPr>
        <w:t>Європейське</w:t>
      </w:r>
      <w:r>
        <w:rPr>
          <w:color w:val="231F20"/>
          <w:spacing w:val="-21"/>
        </w:rPr>
        <w:t xml:space="preserve"> </w:t>
      </w:r>
      <w:r>
        <w:rPr>
          <w:color w:val="231F20"/>
        </w:rPr>
        <w:t>адміністр</w:t>
      </w:r>
      <w:r>
        <w:rPr>
          <w:color w:val="231F20"/>
        </w:rPr>
        <w:t>ативне</w:t>
      </w:r>
      <w:r>
        <w:rPr>
          <w:color w:val="231F20"/>
          <w:spacing w:val="-22"/>
        </w:rPr>
        <w:t xml:space="preserve"> </w:t>
      </w:r>
      <w:r>
        <w:rPr>
          <w:color w:val="231F20"/>
        </w:rPr>
        <w:t>право</w:t>
      </w:r>
      <w:r>
        <w:rPr>
          <w:color w:val="231F20"/>
          <w:spacing w:val="-22"/>
        </w:rPr>
        <w:t xml:space="preserve"> </w:t>
      </w:r>
      <w:r>
        <w:rPr>
          <w:color w:val="231F20"/>
        </w:rPr>
        <w:t>регулює</w:t>
      </w:r>
      <w:r>
        <w:rPr>
          <w:color w:val="231F20"/>
          <w:spacing w:val="-21"/>
        </w:rPr>
        <w:t xml:space="preserve"> </w:t>
      </w:r>
      <w:r>
        <w:rPr>
          <w:color w:val="231F20"/>
        </w:rPr>
        <w:t>діяльність</w:t>
      </w:r>
      <w:r>
        <w:rPr>
          <w:color w:val="231F20"/>
          <w:spacing w:val="-22"/>
        </w:rPr>
        <w:t xml:space="preserve"> </w:t>
      </w:r>
      <w:r>
        <w:rPr>
          <w:color w:val="231F20"/>
        </w:rPr>
        <w:t>публічної адміністрації (ЄС і країн-учасниць ЄС) з метою відповідності право- вих</w:t>
      </w:r>
      <w:r>
        <w:rPr>
          <w:color w:val="231F20"/>
          <w:spacing w:val="-17"/>
        </w:rPr>
        <w:t xml:space="preserve"> </w:t>
      </w:r>
      <w:r>
        <w:rPr>
          <w:color w:val="231F20"/>
        </w:rPr>
        <w:t>наслідків</w:t>
      </w:r>
      <w:r>
        <w:rPr>
          <w:color w:val="231F20"/>
          <w:spacing w:val="-17"/>
        </w:rPr>
        <w:t xml:space="preserve"> </w:t>
      </w:r>
      <w:r>
        <w:rPr>
          <w:color w:val="231F20"/>
        </w:rPr>
        <w:t>їх</w:t>
      </w:r>
      <w:r>
        <w:rPr>
          <w:color w:val="231F20"/>
          <w:spacing w:val="-17"/>
        </w:rPr>
        <w:t xml:space="preserve"> </w:t>
      </w:r>
      <w:r>
        <w:rPr>
          <w:color w:val="231F20"/>
        </w:rPr>
        <w:t>діяльності</w:t>
      </w:r>
      <w:r>
        <w:rPr>
          <w:color w:val="231F20"/>
          <w:spacing w:val="-17"/>
        </w:rPr>
        <w:t xml:space="preserve"> </w:t>
      </w:r>
      <w:r>
        <w:rPr>
          <w:color w:val="231F20"/>
        </w:rPr>
        <w:t>основоположному</w:t>
      </w:r>
      <w:r>
        <w:rPr>
          <w:color w:val="231F20"/>
          <w:spacing w:val="-17"/>
        </w:rPr>
        <w:t xml:space="preserve"> </w:t>
      </w:r>
      <w:r>
        <w:rPr>
          <w:color w:val="231F20"/>
        </w:rPr>
        <w:t>законодавству</w:t>
      </w:r>
      <w:r>
        <w:rPr>
          <w:color w:val="231F20"/>
          <w:spacing w:val="-17"/>
        </w:rPr>
        <w:t xml:space="preserve"> </w:t>
      </w:r>
      <w:r>
        <w:rPr>
          <w:color w:val="231F20"/>
        </w:rPr>
        <w:t>ЄС.</w:t>
      </w:r>
      <w:r>
        <w:rPr>
          <w:color w:val="231F20"/>
          <w:spacing w:val="-17"/>
        </w:rPr>
        <w:t xml:space="preserve"> </w:t>
      </w:r>
      <w:r>
        <w:rPr>
          <w:color w:val="231F20"/>
        </w:rPr>
        <w:t xml:space="preserve">Його можна розглядати у </w:t>
      </w:r>
      <w:r>
        <w:rPr>
          <w:i/>
          <w:color w:val="231F20"/>
        </w:rPr>
        <w:t xml:space="preserve">вузькому розумінні, </w:t>
      </w:r>
      <w:r>
        <w:rPr>
          <w:color w:val="231F20"/>
        </w:rPr>
        <w:t>що базується виключно на нормах адміністративного права ЄС, та широкому</w:t>
      </w:r>
      <w:r>
        <w:rPr>
          <w:color w:val="231F20"/>
          <w:spacing w:val="-10"/>
        </w:rPr>
        <w:t xml:space="preserve"> </w:t>
      </w:r>
      <w:r>
        <w:rPr>
          <w:color w:val="231F20"/>
        </w:rPr>
        <w:t>розумінні.</w:t>
      </w:r>
    </w:p>
    <w:p w14:paraId="76F25568" w14:textId="77777777" w:rsidR="00DE575E" w:rsidRDefault="002E7560">
      <w:pPr>
        <w:pStyle w:val="BodyText"/>
        <w:spacing w:before="2" w:line="252" w:lineRule="auto"/>
        <w:ind w:left="533" w:right="127" w:firstLine="283"/>
        <w:jc w:val="both"/>
      </w:pPr>
      <w:r>
        <w:rPr>
          <w:i/>
          <w:color w:val="231F20"/>
        </w:rPr>
        <w:t xml:space="preserve">У широкому розумінні </w:t>
      </w:r>
      <w:r>
        <w:rPr>
          <w:color w:val="231F20"/>
        </w:rPr>
        <w:t xml:space="preserve">європейське адміністративне право забез- печує реалізацію європейського права через виділення з права ЄС проблеми надання публічною адміністрацією ЄС і </w:t>
      </w:r>
      <w:r>
        <w:rPr>
          <w:color w:val="231F20"/>
        </w:rPr>
        <w:t>національними публічними адміністраціями країн-учасниць ЄС адміністративних послуг, здійснення виконавчої та розпорядчої діяльності на основі норм європейського адміністративного права.</w:t>
      </w:r>
    </w:p>
    <w:p w14:paraId="49C35E08" w14:textId="77777777" w:rsidR="00DE575E" w:rsidRDefault="002E7560">
      <w:pPr>
        <w:pStyle w:val="Heading6"/>
        <w:spacing w:before="3" w:line="252" w:lineRule="auto"/>
        <w:ind w:right="127"/>
        <w:jc w:val="both"/>
      </w:pPr>
      <w:r>
        <w:rPr>
          <w:color w:val="231F20"/>
        </w:rPr>
        <w:t xml:space="preserve">До норм європейського адміністративного права належать </w:t>
      </w:r>
      <w:r>
        <w:rPr>
          <w:color w:val="231F20"/>
        </w:rPr>
        <w:t>основоположне з</w:t>
      </w:r>
      <w:r>
        <w:rPr>
          <w:color w:val="231F20"/>
        </w:rPr>
        <w:t>аконодавство ЄС, регламенти та директиви ЄС, а також національне законодавство країн-учасниць, яке затверджує директиви ЄС.</w:t>
      </w:r>
    </w:p>
    <w:p w14:paraId="66FB3E6F" w14:textId="77777777" w:rsidR="00DE575E" w:rsidRDefault="002E7560">
      <w:pPr>
        <w:pStyle w:val="BodyText"/>
        <w:spacing w:before="2" w:line="252" w:lineRule="auto"/>
        <w:ind w:left="533" w:right="127" w:firstLine="283"/>
        <w:jc w:val="both"/>
      </w:pPr>
      <w:r>
        <w:rPr>
          <w:color w:val="231F20"/>
        </w:rPr>
        <w:t xml:space="preserve">Законодавство ЄС не слід ототожнювати із </w:t>
      </w:r>
      <w:r>
        <w:rPr>
          <w:i/>
          <w:color w:val="231F20"/>
        </w:rPr>
        <w:t xml:space="preserve">законодавством Ради Європи, </w:t>
      </w:r>
      <w:r>
        <w:rPr>
          <w:color w:val="231F20"/>
        </w:rPr>
        <w:t>основним джерелом якого є Конвенція про захист прав людини</w:t>
      </w:r>
      <w:r>
        <w:rPr>
          <w:color w:val="231F20"/>
          <w:spacing w:val="-18"/>
        </w:rPr>
        <w:t xml:space="preserve"> </w:t>
      </w:r>
      <w:r>
        <w:rPr>
          <w:color w:val="231F20"/>
        </w:rPr>
        <w:t>і</w:t>
      </w:r>
      <w:r>
        <w:rPr>
          <w:color w:val="231F20"/>
          <w:spacing w:val="-18"/>
        </w:rPr>
        <w:t xml:space="preserve"> </w:t>
      </w:r>
      <w:r>
        <w:rPr>
          <w:color w:val="231F20"/>
        </w:rPr>
        <w:t>ос</w:t>
      </w:r>
      <w:r>
        <w:rPr>
          <w:color w:val="231F20"/>
        </w:rPr>
        <w:t>новоположних</w:t>
      </w:r>
      <w:r>
        <w:rPr>
          <w:color w:val="231F20"/>
          <w:spacing w:val="-18"/>
        </w:rPr>
        <w:t xml:space="preserve"> </w:t>
      </w:r>
      <w:r>
        <w:rPr>
          <w:color w:val="231F20"/>
        </w:rPr>
        <w:t>свобод</w:t>
      </w:r>
      <w:r>
        <w:rPr>
          <w:color w:val="231F20"/>
          <w:spacing w:val="-18"/>
        </w:rPr>
        <w:t xml:space="preserve"> </w:t>
      </w:r>
      <w:r>
        <w:rPr>
          <w:color w:val="231F20"/>
        </w:rPr>
        <w:t>1950</w:t>
      </w:r>
      <w:r>
        <w:rPr>
          <w:color w:val="231F20"/>
          <w:spacing w:val="-9"/>
        </w:rPr>
        <w:t xml:space="preserve"> </w:t>
      </w:r>
      <w:r>
        <w:rPr>
          <w:color w:val="231F20"/>
        </w:rPr>
        <w:t>р.</w:t>
      </w:r>
      <w:r>
        <w:rPr>
          <w:color w:val="231F20"/>
          <w:spacing w:val="-18"/>
        </w:rPr>
        <w:t xml:space="preserve"> </w:t>
      </w:r>
      <w:r>
        <w:rPr>
          <w:color w:val="231F20"/>
        </w:rPr>
        <w:t>Конвенція</w:t>
      </w:r>
      <w:r>
        <w:rPr>
          <w:color w:val="231F20"/>
          <w:spacing w:val="-18"/>
        </w:rPr>
        <w:t xml:space="preserve"> </w:t>
      </w:r>
      <w:r>
        <w:rPr>
          <w:color w:val="231F20"/>
        </w:rPr>
        <w:t>є</w:t>
      </w:r>
      <w:r>
        <w:rPr>
          <w:color w:val="231F20"/>
          <w:spacing w:val="-18"/>
        </w:rPr>
        <w:t xml:space="preserve"> </w:t>
      </w:r>
      <w:r>
        <w:rPr>
          <w:color w:val="231F20"/>
        </w:rPr>
        <w:t>прямим</w:t>
      </w:r>
      <w:r>
        <w:rPr>
          <w:color w:val="231F20"/>
          <w:spacing w:val="-18"/>
        </w:rPr>
        <w:t xml:space="preserve"> </w:t>
      </w:r>
      <w:r>
        <w:rPr>
          <w:color w:val="231F20"/>
        </w:rPr>
        <w:t>джере- лом</w:t>
      </w:r>
      <w:r>
        <w:rPr>
          <w:color w:val="231F20"/>
          <w:spacing w:val="-7"/>
        </w:rPr>
        <w:t xml:space="preserve"> </w:t>
      </w:r>
      <w:r>
        <w:rPr>
          <w:color w:val="231F20"/>
        </w:rPr>
        <w:t>права</w:t>
      </w:r>
      <w:r>
        <w:rPr>
          <w:color w:val="231F20"/>
          <w:spacing w:val="-7"/>
        </w:rPr>
        <w:t xml:space="preserve"> </w:t>
      </w:r>
      <w:r>
        <w:rPr>
          <w:color w:val="231F20"/>
        </w:rPr>
        <w:t>для</w:t>
      </w:r>
      <w:r>
        <w:rPr>
          <w:color w:val="231F20"/>
          <w:spacing w:val="-7"/>
        </w:rPr>
        <w:t xml:space="preserve"> </w:t>
      </w:r>
      <w:r>
        <w:rPr>
          <w:color w:val="231F20"/>
        </w:rPr>
        <w:t>Європейського</w:t>
      </w:r>
      <w:r>
        <w:rPr>
          <w:color w:val="231F20"/>
          <w:spacing w:val="-7"/>
        </w:rPr>
        <w:t xml:space="preserve"> </w:t>
      </w:r>
      <w:r>
        <w:rPr>
          <w:color w:val="231F20"/>
          <w:spacing w:val="-4"/>
        </w:rPr>
        <w:t>суду</w:t>
      </w:r>
      <w:r>
        <w:rPr>
          <w:color w:val="231F20"/>
          <w:spacing w:val="-7"/>
        </w:rPr>
        <w:t xml:space="preserve"> </w:t>
      </w:r>
      <w:r>
        <w:rPr>
          <w:color w:val="231F20"/>
        </w:rPr>
        <w:t>з</w:t>
      </w:r>
      <w:r>
        <w:rPr>
          <w:color w:val="231F20"/>
          <w:spacing w:val="-7"/>
        </w:rPr>
        <w:t xml:space="preserve"> </w:t>
      </w:r>
      <w:r>
        <w:rPr>
          <w:color w:val="231F20"/>
        </w:rPr>
        <w:t>прав</w:t>
      </w:r>
      <w:r>
        <w:rPr>
          <w:color w:val="231F20"/>
          <w:spacing w:val="-7"/>
        </w:rPr>
        <w:t xml:space="preserve"> </w:t>
      </w:r>
      <w:r>
        <w:rPr>
          <w:color w:val="231F20"/>
        </w:rPr>
        <w:t>людини,</w:t>
      </w:r>
      <w:r>
        <w:rPr>
          <w:color w:val="231F20"/>
          <w:spacing w:val="-7"/>
        </w:rPr>
        <w:t xml:space="preserve"> </w:t>
      </w:r>
      <w:r>
        <w:rPr>
          <w:color w:val="231F20"/>
        </w:rPr>
        <w:t>який</w:t>
      </w:r>
      <w:r>
        <w:rPr>
          <w:color w:val="231F20"/>
          <w:spacing w:val="-7"/>
        </w:rPr>
        <w:t xml:space="preserve"> </w:t>
      </w:r>
      <w:r>
        <w:rPr>
          <w:color w:val="231F20"/>
        </w:rPr>
        <w:t xml:space="preserve">постановляє рішення, що є практично </w:t>
      </w:r>
      <w:r>
        <w:rPr>
          <w:color w:val="231F20"/>
          <w:spacing w:val="-3"/>
        </w:rPr>
        <w:t xml:space="preserve">судовими </w:t>
      </w:r>
      <w:r>
        <w:rPr>
          <w:color w:val="231F20"/>
        </w:rPr>
        <w:t xml:space="preserve">прецедентами, які мають вико- нувати національні </w:t>
      </w:r>
      <w:r>
        <w:rPr>
          <w:color w:val="231F20"/>
          <w:spacing w:val="-4"/>
        </w:rPr>
        <w:t xml:space="preserve">суди </w:t>
      </w:r>
      <w:r>
        <w:rPr>
          <w:color w:val="231F20"/>
        </w:rPr>
        <w:t xml:space="preserve">й публічна адміністрація країн, які </w:t>
      </w:r>
      <w:r>
        <w:rPr>
          <w:color w:val="231F20"/>
          <w:spacing w:val="-3"/>
        </w:rPr>
        <w:t xml:space="preserve">входять </w:t>
      </w:r>
      <w:r>
        <w:rPr>
          <w:color w:val="231F20"/>
        </w:rPr>
        <w:t>до Ради</w:t>
      </w:r>
      <w:r>
        <w:rPr>
          <w:color w:val="231F20"/>
          <w:spacing w:val="-3"/>
        </w:rPr>
        <w:t xml:space="preserve"> </w:t>
      </w:r>
      <w:r>
        <w:rPr>
          <w:color w:val="231F20"/>
        </w:rPr>
        <w:t>Європи.</w:t>
      </w:r>
    </w:p>
    <w:p w14:paraId="4F9706E2" w14:textId="77777777" w:rsidR="00DE575E" w:rsidRDefault="002E7560">
      <w:pPr>
        <w:pStyle w:val="BodyText"/>
        <w:spacing w:before="4" w:line="252" w:lineRule="auto"/>
        <w:ind w:left="533" w:right="128" w:firstLine="283"/>
        <w:jc w:val="both"/>
      </w:pPr>
      <w:r>
        <w:rPr>
          <w:color w:val="231F20"/>
          <w:spacing w:val="-7"/>
        </w:rPr>
        <w:t xml:space="preserve">Усі </w:t>
      </w:r>
      <w:r>
        <w:rPr>
          <w:color w:val="231F20"/>
        </w:rPr>
        <w:t xml:space="preserve">країни-учасниці ЄС та </w:t>
      </w:r>
      <w:r>
        <w:rPr>
          <w:color w:val="231F20"/>
          <w:spacing w:val="-3"/>
        </w:rPr>
        <w:t xml:space="preserve">Україна </w:t>
      </w:r>
      <w:r>
        <w:rPr>
          <w:color w:val="231F20"/>
        </w:rPr>
        <w:t xml:space="preserve">входять до Ради Європи. Відпо- відно основоположне законодавство Ради Європи, яке ратифіко- вано Верховною  Радою  </w:t>
      </w:r>
      <w:r>
        <w:rPr>
          <w:color w:val="231F20"/>
          <w:spacing w:val="-3"/>
        </w:rPr>
        <w:t xml:space="preserve">України,  </w:t>
      </w:r>
      <w:r>
        <w:rPr>
          <w:color w:val="231F20"/>
        </w:rPr>
        <w:t xml:space="preserve">та  рішення  Європейського  </w:t>
      </w:r>
      <w:r>
        <w:rPr>
          <w:color w:val="231F20"/>
          <w:spacing w:val="-4"/>
        </w:rPr>
        <w:t xml:space="preserve">суду  </w:t>
      </w:r>
      <w:r>
        <w:rPr>
          <w:color w:val="231F20"/>
        </w:rPr>
        <w:t xml:space="preserve">з прав людини (щодо громадян </w:t>
      </w:r>
      <w:r>
        <w:rPr>
          <w:color w:val="231F20"/>
          <w:spacing w:val="-3"/>
        </w:rPr>
        <w:t xml:space="preserve">будь-якої </w:t>
      </w:r>
      <w:r>
        <w:rPr>
          <w:color w:val="231F20"/>
        </w:rPr>
        <w:t xml:space="preserve">країни, </w:t>
      </w:r>
      <w:r>
        <w:rPr>
          <w:color w:val="231F20"/>
        </w:rPr>
        <w:t>яка входить в</w:t>
      </w:r>
      <w:r>
        <w:rPr>
          <w:color w:val="231F20"/>
          <w:spacing w:val="-11"/>
        </w:rPr>
        <w:t xml:space="preserve"> </w:t>
      </w:r>
      <w:r>
        <w:rPr>
          <w:color w:val="231F20"/>
        </w:rPr>
        <w:t>Раду</w:t>
      </w:r>
    </w:p>
    <w:p w14:paraId="6FEFEEC8" w14:textId="6B2E2A9E" w:rsidR="00DE575E" w:rsidRDefault="002E7560">
      <w:pPr>
        <w:pStyle w:val="BodyText"/>
        <w:spacing w:before="2"/>
        <w:rPr>
          <w:sz w:val="16"/>
        </w:rPr>
      </w:pPr>
      <w:r>
        <w:rPr>
          <w:noProof/>
        </w:rPr>
        <mc:AlternateContent>
          <mc:Choice Requires="wps">
            <w:drawing>
              <wp:anchor distT="0" distB="0" distL="0" distR="0" simplePos="0" relativeHeight="2272" behindDoc="0" locked="0" layoutInCell="1" allowOverlap="1" wp14:anchorId="787C75EB" wp14:editId="2725AB6D">
                <wp:simplePos x="0" y="0"/>
                <wp:positionH relativeFrom="page">
                  <wp:posOffset>719455</wp:posOffset>
                </wp:positionH>
                <wp:positionV relativeFrom="paragraph">
                  <wp:posOffset>147955</wp:posOffset>
                </wp:positionV>
                <wp:extent cx="1080135" cy="0"/>
                <wp:effectExtent l="8255" t="8255" r="29210" b="29845"/>
                <wp:wrapTopAndBottom/>
                <wp:docPr id="1318"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C75D" id="Line_x0020_1317"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65pt" to="141.7pt,1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in5y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" strokecolor="#231f20" strokeweight=".5pt">
                <w10:wrap type="topAndBottom" anchorx="page"/>
              </v:line>
            </w:pict>
          </mc:Fallback>
        </mc:AlternateContent>
      </w:r>
    </w:p>
    <w:p w14:paraId="62A850F6" w14:textId="77777777" w:rsidR="00DE575E" w:rsidRDefault="002E7560">
      <w:pPr>
        <w:spacing w:line="162" w:lineRule="exact"/>
        <w:ind w:left="533"/>
        <w:rPr>
          <w:sz w:val="16"/>
        </w:rPr>
      </w:pPr>
      <w:r>
        <w:rPr>
          <w:color w:val="231F20"/>
          <w:position w:val="5"/>
          <w:sz w:val="9"/>
        </w:rPr>
        <w:t xml:space="preserve">1 </w:t>
      </w:r>
      <w:r>
        <w:rPr>
          <w:color w:val="231F20"/>
          <w:sz w:val="16"/>
        </w:rPr>
        <w:t xml:space="preserve">Авторки: </w:t>
      </w:r>
      <w:r>
        <w:rPr>
          <w:b/>
          <w:color w:val="231F20"/>
          <w:sz w:val="16"/>
        </w:rPr>
        <w:t>Марина Савюк, Ганна Васіна</w:t>
      </w:r>
      <w:r>
        <w:rPr>
          <w:color w:val="231F20"/>
          <w:sz w:val="16"/>
        </w:rPr>
        <w:t>.</w:t>
      </w:r>
    </w:p>
    <w:p w14:paraId="6E36D331" w14:textId="77777777" w:rsidR="00DE575E" w:rsidRDefault="002E7560">
      <w:pPr>
        <w:spacing w:before="23" w:line="204" w:lineRule="auto"/>
        <w:ind w:left="533" w:right="145"/>
        <w:rPr>
          <w:sz w:val="16"/>
        </w:rPr>
      </w:pPr>
      <w:r>
        <w:rPr>
          <w:color w:val="231F20"/>
          <w:position w:val="5"/>
          <w:sz w:val="9"/>
        </w:rPr>
        <w:t xml:space="preserve">2    </w:t>
      </w:r>
      <w:r>
        <w:rPr>
          <w:color w:val="231F20"/>
          <w:sz w:val="16"/>
        </w:rPr>
        <w:t>Пухтецька  А.  Європейські  принципи  адміністративного  права  та  їх  запровадження у законодавство України : автореферат дис... Київ, 2009. 18</w:t>
      </w:r>
      <w:r>
        <w:rPr>
          <w:color w:val="231F20"/>
          <w:spacing w:val="-10"/>
          <w:sz w:val="16"/>
        </w:rPr>
        <w:t xml:space="preserve"> </w:t>
      </w:r>
      <w:r>
        <w:rPr>
          <w:color w:val="231F20"/>
          <w:sz w:val="16"/>
        </w:rPr>
        <w:t>с.</w:t>
      </w:r>
    </w:p>
    <w:p w14:paraId="4850F93C" w14:textId="77777777" w:rsidR="00DE575E" w:rsidRDefault="00DE575E">
      <w:pPr>
        <w:pStyle w:val="BodyText"/>
        <w:spacing w:before="5"/>
        <w:rPr>
          <w:sz w:val="12"/>
        </w:rPr>
      </w:pPr>
    </w:p>
    <w:p w14:paraId="65764524" w14:textId="77777777" w:rsidR="00DE575E" w:rsidRDefault="002E7560">
      <w:pPr>
        <w:spacing w:before="92"/>
        <w:ind w:left="533"/>
        <w:rPr>
          <w:rFonts w:ascii="Times New Roman"/>
          <w:sz w:val="20"/>
        </w:rPr>
      </w:pPr>
      <w:r>
        <w:rPr>
          <w:rFonts w:ascii="Times New Roman"/>
          <w:color w:val="231F20"/>
          <w:sz w:val="20"/>
        </w:rPr>
        <w:t>38</w:t>
      </w:r>
    </w:p>
    <w:p w14:paraId="054767D3" w14:textId="77777777" w:rsidR="00DE575E" w:rsidRDefault="00DE575E">
      <w:pPr>
        <w:rPr>
          <w:rFonts w:ascii="Times New Roman"/>
          <w:sz w:val="20"/>
        </w:rPr>
        <w:sectPr w:rsidR="00DE575E">
          <w:pgSz w:w="8510" w:h="12760"/>
          <w:pgMar w:top="660" w:right="720" w:bottom="280" w:left="600" w:header="720" w:footer="720" w:gutter="0"/>
          <w:cols w:space="720"/>
        </w:sectPr>
      </w:pPr>
    </w:p>
    <w:p w14:paraId="1F66B2CA"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41E5BE82" w14:textId="71F5B53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9C4A145" wp14:editId="75199854">
                <wp:extent cx="4140200" cy="6350"/>
                <wp:effectExtent l="0" t="0" r="12700" b="6350"/>
                <wp:docPr id="1316"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17" name="Line 131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A2B4D9" id="Group_x0020_131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PZ1pcgAIAAJwFAAAO&#10;AAAAAAAAAAAAAAAAACwCAABkcnMvZTJvRG9jLnhtbFBLAQItABQABgAIAAAAIQBMp7CQ2QAAAAMB&#10;AAAPAAAAAAAAAAAAAAAAANgEAABkcnMvZG93bnJldi54bWxQSwUGAAAAAAQABADzAAAA3gUAAAAA&#10;">
                <v:line id="Line_x0020_131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MhUsUAAADdAAAADwAAAGRycy9kb3ducmV2LnhtbERPzWrCQBC+F/oOyxS8FN1ooEp0lSII&#10;4kGr8QHG7JiE7s7G7GrSPn23UOhtPr7fWax6a8SDWl87VjAeJSCIC6drLhWc881wBsIHZI3GMSn4&#10;Ig+r5fPTAjPtOj7S4xRKEUPYZ6igCqHJpPRFRRb9yDXEkbu61mKIsC2lbrGL4dbISZK8SYs1x4YK&#10;G1pXVHye7lZBfnsN5uOwM11+uKTyctun3/e9UoOX/n0OIlAf/sV/7q2O89Px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ZMhUsUAAADdAAAADwAAAAAAAAAA&#10;AAAAAAChAgAAZHJzL2Rvd25yZXYueG1sUEsFBgAAAAAEAAQA+QAAAJMDAAAAAA==&#10;" strokecolor="#231f20" strokeweight=".5pt"/>
                <w10:anchorlock/>
              </v:group>
            </w:pict>
          </mc:Fallback>
        </mc:AlternateContent>
      </w:r>
    </w:p>
    <w:p w14:paraId="25CA53E0" w14:textId="77777777" w:rsidR="00DE575E" w:rsidRDefault="00DE575E">
      <w:pPr>
        <w:pStyle w:val="BodyText"/>
        <w:spacing w:before="7"/>
        <w:rPr>
          <w:rFonts w:ascii="AdonisC"/>
          <w:i/>
          <w:sz w:val="19"/>
        </w:rPr>
      </w:pPr>
    </w:p>
    <w:p w14:paraId="5E007943" w14:textId="77777777" w:rsidR="00DE575E" w:rsidRDefault="002E7560">
      <w:pPr>
        <w:pStyle w:val="BodyText"/>
        <w:spacing w:before="1" w:line="252" w:lineRule="auto"/>
        <w:ind w:left="250" w:right="128"/>
      </w:pPr>
      <w:r>
        <w:rPr>
          <w:color w:val="231F20"/>
        </w:rPr>
        <w:t xml:space="preserve">Європи) є невід’ємною частиною вітчизняного законодавства на відміну від законодавства ЄС1 </w:t>
      </w:r>
      <w:r>
        <w:rPr>
          <w:color w:val="231F20"/>
          <w:position w:val="7"/>
          <w:sz w:val="12"/>
        </w:rPr>
        <w:t>1</w:t>
      </w:r>
      <w:r>
        <w:rPr>
          <w:color w:val="231F20"/>
        </w:rPr>
        <w:t>.</w:t>
      </w:r>
    </w:p>
    <w:p w14:paraId="5338E4B8" w14:textId="77777777" w:rsidR="00DE575E" w:rsidRDefault="002E7560">
      <w:pPr>
        <w:pStyle w:val="BodyText"/>
        <w:spacing w:before="1" w:line="252" w:lineRule="auto"/>
        <w:ind w:left="250" w:right="410" w:firstLine="283"/>
        <w:jc w:val="both"/>
      </w:pPr>
      <w:r>
        <w:rPr>
          <w:b/>
          <w:i/>
          <w:color w:val="231F20"/>
        </w:rPr>
        <w:t xml:space="preserve">Взаємодія європейського та адміністративного права України   </w:t>
      </w:r>
      <w:r>
        <w:rPr>
          <w:color w:val="231F20"/>
        </w:rPr>
        <w:t>полягає    в   прямому   використанні   законодавства    ЄС  у в</w:t>
      </w:r>
      <w:r>
        <w:rPr>
          <w:color w:val="231F20"/>
        </w:rPr>
        <w:t xml:space="preserve">нутрішньому правовому полі, через ратифікацію Верховною Радою </w:t>
      </w:r>
      <w:r>
        <w:rPr>
          <w:color w:val="231F20"/>
          <w:spacing w:val="-3"/>
        </w:rPr>
        <w:t xml:space="preserve">України </w:t>
      </w:r>
      <w:r>
        <w:rPr>
          <w:color w:val="231F20"/>
        </w:rPr>
        <w:t>міжнародних договорів з ЄС, а також непряме вико- ристання основоположного законодавства – директив і регламен- тів ЄС – для потреб внутрішньої правотворчості та видання інди- відуальних</w:t>
      </w:r>
      <w:r>
        <w:rPr>
          <w:color w:val="231F20"/>
        </w:rPr>
        <w:t xml:space="preserve"> актів</w:t>
      </w:r>
      <w:r>
        <w:rPr>
          <w:color w:val="231F20"/>
          <w:position w:val="7"/>
          <w:sz w:val="12"/>
        </w:rPr>
        <w:t>2</w:t>
      </w:r>
      <w:r>
        <w:rPr>
          <w:color w:val="231F20"/>
        </w:rPr>
        <w:t>. Окремим рядком слід відзначити запозичення теоретичних</w:t>
      </w:r>
      <w:r>
        <w:rPr>
          <w:color w:val="231F20"/>
          <w:spacing w:val="-7"/>
        </w:rPr>
        <w:t xml:space="preserve"> </w:t>
      </w:r>
      <w:r>
        <w:rPr>
          <w:color w:val="231F20"/>
        </w:rPr>
        <w:t>напрацювань</w:t>
      </w:r>
      <w:r>
        <w:rPr>
          <w:color w:val="231F20"/>
          <w:spacing w:val="-7"/>
        </w:rPr>
        <w:t xml:space="preserve"> </w:t>
      </w:r>
      <w:r>
        <w:rPr>
          <w:color w:val="231F20"/>
        </w:rPr>
        <w:t>науки</w:t>
      </w:r>
      <w:r>
        <w:rPr>
          <w:color w:val="231F20"/>
          <w:spacing w:val="-7"/>
        </w:rPr>
        <w:t xml:space="preserve"> </w:t>
      </w:r>
      <w:r>
        <w:rPr>
          <w:color w:val="231F20"/>
        </w:rPr>
        <w:t>європейського</w:t>
      </w:r>
      <w:r>
        <w:rPr>
          <w:color w:val="231F20"/>
          <w:spacing w:val="-7"/>
        </w:rPr>
        <w:t xml:space="preserve"> </w:t>
      </w:r>
      <w:r>
        <w:rPr>
          <w:color w:val="231F20"/>
        </w:rPr>
        <w:t>в</w:t>
      </w:r>
      <w:r>
        <w:rPr>
          <w:color w:val="231F20"/>
          <w:spacing w:val="-7"/>
        </w:rPr>
        <w:t xml:space="preserve"> </w:t>
      </w:r>
      <w:r>
        <w:rPr>
          <w:color w:val="231F20"/>
        </w:rPr>
        <w:t>науку</w:t>
      </w:r>
      <w:r>
        <w:rPr>
          <w:color w:val="231F20"/>
          <w:spacing w:val="-7"/>
        </w:rPr>
        <w:t xml:space="preserve"> </w:t>
      </w:r>
      <w:r>
        <w:rPr>
          <w:color w:val="231F20"/>
        </w:rPr>
        <w:t xml:space="preserve">адміністра- тивного права </w:t>
      </w:r>
      <w:r>
        <w:rPr>
          <w:color w:val="231F20"/>
          <w:spacing w:val="-3"/>
        </w:rPr>
        <w:t xml:space="preserve">України </w:t>
      </w:r>
      <w:r>
        <w:rPr>
          <w:color w:val="231F20"/>
        </w:rPr>
        <w:t xml:space="preserve">– напр., імплементацію в теорію адміністра- тивного права </w:t>
      </w:r>
      <w:r>
        <w:rPr>
          <w:color w:val="231F20"/>
          <w:spacing w:val="-3"/>
        </w:rPr>
        <w:t xml:space="preserve">України </w:t>
      </w:r>
      <w:r>
        <w:rPr>
          <w:color w:val="231F20"/>
        </w:rPr>
        <w:t>принципів належного</w:t>
      </w:r>
      <w:r>
        <w:rPr>
          <w:color w:val="231F20"/>
          <w:spacing w:val="-1"/>
        </w:rPr>
        <w:t xml:space="preserve"> </w:t>
      </w:r>
      <w:r>
        <w:rPr>
          <w:color w:val="231F20"/>
        </w:rPr>
        <w:t>врядування.</w:t>
      </w:r>
    </w:p>
    <w:p w14:paraId="48AB3777" w14:textId="77777777" w:rsidR="00DE575E" w:rsidRDefault="002E7560">
      <w:pPr>
        <w:spacing w:before="5" w:line="252" w:lineRule="auto"/>
        <w:ind w:left="250" w:right="411" w:firstLine="283"/>
        <w:jc w:val="both"/>
        <w:rPr>
          <w:b/>
          <w:sz w:val="21"/>
        </w:rPr>
      </w:pPr>
      <w:r>
        <w:rPr>
          <w:b/>
          <w:color w:val="231F20"/>
          <w:sz w:val="21"/>
        </w:rPr>
        <w:t>Існує три основні мо</w:t>
      </w:r>
      <w:r>
        <w:rPr>
          <w:b/>
          <w:color w:val="231F20"/>
          <w:sz w:val="21"/>
        </w:rPr>
        <w:t>делі використання положень європей- ського адміністративного права у правовому просторі України:</w:t>
      </w:r>
    </w:p>
    <w:p w14:paraId="6B7BBB27" w14:textId="77777777" w:rsidR="00DE575E" w:rsidRDefault="002E7560">
      <w:pPr>
        <w:pStyle w:val="ListParagraph"/>
        <w:numPr>
          <w:ilvl w:val="0"/>
          <w:numId w:val="305"/>
        </w:numPr>
        <w:tabs>
          <w:tab w:val="left" w:pos="818"/>
        </w:tabs>
        <w:spacing w:line="252" w:lineRule="auto"/>
        <w:ind w:right="410" w:firstLine="283"/>
        <w:jc w:val="both"/>
        <w:rPr>
          <w:sz w:val="21"/>
        </w:rPr>
      </w:pPr>
      <w:r>
        <w:rPr>
          <w:color w:val="231F20"/>
          <w:sz w:val="21"/>
        </w:rPr>
        <w:t xml:space="preserve">це виконання європейською, національною країн-учасниць ЄС та вітчизняною публічною адміністрацією положень </w:t>
      </w:r>
      <w:r>
        <w:rPr>
          <w:i/>
          <w:color w:val="231F20"/>
          <w:sz w:val="21"/>
        </w:rPr>
        <w:t xml:space="preserve">Угоди про асоціацію </w:t>
      </w:r>
      <w:r>
        <w:rPr>
          <w:color w:val="231F20"/>
          <w:sz w:val="21"/>
        </w:rPr>
        <w:t xml:space="preserve">між </w:t>
      </w:r>
      <w:r>
        <w:rPr>
          <w:color w:val="231F20"/>
          <w:spacing w:val="-3"/>
          <w:sz w:val="21"/>
        </w:rPr>
        <w:t xml:space="preserve">Україною, </w:t>
      </w:r>
      <w:r>
        <w:rPr>
          <w:color w:val="231F20"/>
          <w:sz w:val="21"/>
        </w:rPr>
        <w:t xml:space="preserve">з однієї сторони, </w:t>
      </w:r>
      <w:r>
        <w:rPr>
          <w:color w:val="231F20"/>
          <w:sz w:val="21"/>
        </w:rPr>
        <w:t>та Європейським Союзом, Європейським співтовариством з атомної енергії і їхніми держа- вами-членами, з</w:t>
      </w:r>
      <w:r>
        <w:rPr>
          <w:color w:val="231F20"/>
          <w:spacing w:val="-2"/>
          <w:sz w:val="21"/>
        </w:rPr>
        <w:t xml:space="preserve"> </w:t>
      </w:r>
      <w:r>
        <w:rPr>
          <w:color w:val="231F20"/>
          <w:sz w:val="21"/>
        </w:rPr>
        <w:t>іншої</w:t>
      </w:r>
      <w:r>
        <w:rPr>
          <w:color w:val="231F20"/>
          <w:position w:val="7"/>
          <w:sz w:val="12"/>
        </w:rPr>
        <w:t>3</w:t>
      </w:r>
      <w:r>
        <w:rPr>
          <w:color w:val="231F20"/>
          <w:sz w:val="21"/>
        </w:rPr>
        <w:t>;</w:t>
      </w:r>
    </w:p>
    <w:p w14:paraId="04C7A8BB" w14:textId="77777777" w:rsidR="00DE575E" w:rsidRDefault="002E7560">
      <w:pPr>
        <w:pStyle w:val="ListParagraph"/>
        <w:numPr>
          <w:ilvl w:val="0"/>
          <w:numId w:val="305"/>
        </w:numPr>
        <w:tabs>
          <w:tab w:val="left" w:pos="818"/>
        </w:tabs>
        <w:spacing w:before="2" w:line="252" w:lineRule="auto"/>
        <w:ind w:right="411" w:firstLine="283"/>
        <w:jc w:val="both"/>
        <w:rPr>
          <w:sz w:val="21"/>
        </w:rPr>
      </w:pPr>
      <w:r>
        <w:rPr>
          <w:color w:val="231F20"/>
          <w:sz w:val="21"/>
        </w:rPr>
        <w:t xml:space="preserve">виконання національними країн-учасниць ЄС і вітчизняною публічною адміністрацією деяких регламентів ЄС, які прямо стосу- ються громадян </w:t>
      </w:r>
      <w:r>
        <w:rPr>
          <w:color w:val="231F20"/>
          <w:spacing w:val="-3"/>
          <w:sz w:val="21"/>
        </w:rPr>
        <w:t xml:space="preserve">України, </w:t>
      </w:r>
      <w:r>
        <w:rPr>
          <w:color w:val="231F20"/>
          <w:sz w:val="21"/>
        </w:rPr>
        <w:t xml:space="preserve">– напр., </w:t>
      </w:r>
      <w:r>
        <w:rPr>
          <w:i/>
          <w:color w:val="231F20"/>
          <w:sz w:val="21"/>
        </w:rPr>
        <w:t>Регламенту 2017/850 Європейсь- кого Парламенту та Ради від 17 травня 2017 р. про звільнення від віз громадян України, які перетинають кордон</w:t>
      </w:r>
      <w:r>
        <w:rPr>
          <w:i/>
          <w:color w:val="231F20"/>
          <w:spacing w:val="-11"/>
          <w:sz w:val="21"/>
        </w:rPr>
        <w:t xml:space="preserve"> </w:t>
      </w:r>
      <w:r>
        <w:rPr>
          <w:i/>
          <w:color w:val="231F20"/>
          <w:sz w:val="21"/>
        </w:rPr>
        <w:t>ЄС</w:t>
      </w:r>
      <w:r>
        <w:rPr>
          <w:color w:val="231F20"/>
          <w:position w:val="7"/>
          <w:sz w:val="12"/>
        </w:rPr>
        <w:t>4</w:t>
      </w:r>
      <w:r>
        <w:rPr>
          <w:color w:val="231F20"/>
          <w:sz w:val="21"/>
        </w:rPr>
        <w:t>;</w:t>
      </w:r>
    </w:p>
    <w:p w14:paraId="7AA0AE39" w14:textId="1A25D59D" w:rsidR="00DE575E" w:rsidRDefault="002E7560">
      <w:pPr>
        <w:pStyle w:val="BodyText"/>
        <w:spacing w:before="9"/>
        <w:rPr>
          <w:sz w:val="17"/>
        </w:rPr>
      </w:pPr>
      <w:r>
        <w:rPr>
          <w:noProof/>
        </w:rPr>
        <mc:AlternateContent>
          <mc:Choice Requires="wps">
            <w:drawing>
              <wp:anchor distT="0" distB="0" distL="0" distR="0" simplePos="0" relativeHeight="2320" behindDoc="0" locked="0" layoutInCell="1" allowOverlap="1" wp14:anchorId="2AB05B4C" wp14:editId="3C36B761">
                <wp:simplePos x="0" y="0"/>
                <wp:positionH relativeFrom="page">
                  <wp:posOffset>539750</wp:posOffset>
                </wp:positionH>
                <wp:positionV relativeFrom="paragraph">
                  <wp:posOffset>160020</wp:posOffset>
                </wp:positionV>
                <wp:extent cx="1080135" cy="0"/>
                <wp:effectExtent l="6350" t="7620" r="31115" b="30480"/>
                <wp:wrapTopAndBottom/>
                <wp:docPr id="1315"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03A2" id="Line_x0020_1314"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6pt" to="127.5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iGHSI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" strokecolor="#231f20" strokeweight=".5pt">
                <w10:wrap type="topAndBottom" anchorx="page"/>
              </v:line>
            </w:pict>
          </mc:Fallback>
        </mc:AlternateContent>
      </w:r>
    </w:p>
    <w:p w14:paraId="0148CBEE" w14:textId="77777777" w:rsidR="00DE575E" w:rsidRDefault="002E7560">
      <w:pPr>
        <w:spacing w:line="204" w:lineRule="auto"/>
        <w:ind w:left="250" w:right="411"/>
        <w:jc w:val="both"/>
        <w:rPr>
          <w:i/>
          <w:sz w:val="16"/>
        </w:rPr>
      </w:pPr>
      <w:r>
        <w:rPr>
          <w:color w:val="231F20"/>
          <w:position w:val="5"/>
          <w:sz w:val="9"/>
        </w:rPr>
        <w:t xml:space="preserve">1 </w:t>
      </w:r>
      <w:r>
        <w:rPr>
          <w:i/>
          <w:color w:val="231F20"/>
          <w:sz w:val="16"/>
          <w:u w:val="single" w:color="231F20"/>
        </w:rPr>
        <w:t>Приклад:</w:t>
      </w:r>
      <w:r>
        <w:rPr>
          <w:i/>
          <w:color w:val="231F20"/>
          <w:sz w:val="16"/>
        </w:rPr>
        <w:t xml:space="preserve"> відповідно до п.п. 51-54 рішення ЄСПЛ у справі «Волохи проти України» від 02.11.2006</w:t>
      </w:r>
      <w:r>
        <w:rPr>
          <w:i/>
          <w:color w:val="231F20"/>
          <w:spacing w:val="-8"/>
          <w:sz w:val="16"/>
        </w:rPr>
        <w:t xml:space="preserve"> </w:t>
      </w:r>
      <w:r>
        <w:rPr>
          <w:i/>
          <w:color w:val="231F20"/>
          <w:sz w:val="16"/>
        </w:rPr>
        <w:t>втручання</w:t>
      </w:r>
      <w:r>
        <w:rPr>
          <w:i/>
          <w:color w:val="231F20"/>
          <w:spacing w:val="-8"/>
          <w:sz w:val="16"/>
        </w:rPr>
        <w:t xml:space="preserve"> </w:t>
      </w:r>
      <w:r>
        <w:rPr>
          <w:i/>
          <w:color w:val="231F20"/>
          <w:sz w:val="16"/>
        </w:rPr>
        <w:t>в</w:t>
      </w:r>
      <w:r>
        <w:rPr>
          <w:i/>
          <w:color w:val="231F20"/>
          <w:spacing w:val="-8"/>
          <w:sz w:val="16"/>
        </w:rPr>
        <w:t xml:space="preserve"> </w:t>
      </w:r>
      <w:r>
        <w:rPr>
          <w:i/>
          <w:color w:val="231F20"/>
          <w:sz w:val="16"/>
        </w:rPr>
        <w:t>право</w:t>
      </w:r>
      <w:r>
        <w:rPr>
          <w:i/>
          <w:color w:val="231F20"/>
          <w:spacing w:val="-8"/>
          <w:sz w:val="16"/>
        </w:rPr>
        <w:t xml:space="preserve"> </w:t>
      </w:r>
      <w:r>
        <w:rPr>
          <w:i/>
          <w:color w:val="231F20"/>
          <w:sz w:val="16"/>
        </w:rPr>
        <w:t>на</w:t>
      </w:r>
      <w:r>
        <w:rPr>
          <w:i/>
          <w:color w:val="231F20"/>
          <w:spacing w:val="-8"/>
          <w:sz w:val="16"/>
        </w:rPr>
        <w:t xml:space="preserve"> </w:t>
      </w:r>
      <w:r>
        <w:rPr>
          <w:i/>
          <w:color w:val="231F20"/>
          <w:sz w:val="16"/>
        </w:rPr>
        <w:t>повагу</w:t>
      </w:r>
      <w:r>
        <w:rPr>
          <w:i/>
          <w:color w:val="231F20"/>
          <w:spacing w:val="-8"/>
          <w:sz w:val="16"/>
        </w:rPr>
        <w:t xml:space="preserve"> </w:t>
      </w:r>
      <w:r>
        <w:rPr>
          <w:i/>
          <w:color w:val="231F20"/>
          <w:sz w:val="16"/>
        </w:rPr>
        <w:t>до</w:t>
      </w:r>
      <w:r>
        <w:rPr>
          <w:i/>
          <w:color w:val="231F20"/>
          <w:spacing w:val="-8"/>
          <w:sz w:val="16"/>
        </w:rPr>
        <w:t xml:space="preserve"> </w:t>
      </w:r>
      <w:r>
        <w:rPr>
          <w:i/>
          <w:color w:val="231F20"/>
          <w:sz w:val="16"/>
        </w:rPr>
        <w:t>приватного</w:t>
      </w:r>
      <w:r>
        <w:rPr>
          <w:i/>
          <w:color w:val="231F20"/>
          <w:spacing w:val="-8"/>
          <w:sz w:val="16"/>
        </w:rPr>
        <w:t xml:space="preserve"> </w:t>
      </w:r>
      <w:r>
        <w:rPr>
          <w:i/>
          <w:color w:val="231F20"/>
          <w:sz w:val="16"/>
        </w:rPr>
        <w:t>життя,</w:t>
      </w:r>
      <w:r>
        <w:rPr>
          <w:i/>
          <w:color w:val="231F20"/>
          <w:spacing w:val="-8"/>
          <w:sz w:val="16"/>
        </w:rPr>
        <w:t xml:space="preserve"> </w:t>
      </w:r>
      <w:r>
        <w:rPr>
          <w:i/>
          <w:color w:val="231F20"/>
          <w:sz w:val="16"/>
        </w:rPr>
        <w:t>пов’язане</w:t>
      </w:r>
      <w:r>
        <w:rPr>
          <w:i/>
          <w:color w:val="231F20"/>
          <w:spacing w:val="-8"/>
          <w:sz w:val="16"/>
        </w:rPr>
        <w:t xml:space="preserve"> </w:t>
      </w:r>
      <w:r>
        <w:rPr>
          <w:i/>
          <w:color w:val="231F20"/>
          <w:sz w:val="16"/>
        </w:rPr>
        <w:t>із</w:t>
      </w:r>
      <w:r>
        <w:rPr>
          <w:i/>
          <w:color w:val="231F20"/>
          <w:spacing w:val="-8"/>
          <w:sz w:val="16"/>
        </w:rPr>
        <w:t xml:space="preserve"> </w:t>
      </w:r>
      <w:r>
        <w:rPr>
          <w:i/>
          <w:color w:val="231F20"/>
          <w:sz w:val="16"/>
        </w:rPr>
        <w:t xml:space="preserve">застосуванням заходів таємного спостереження розглядається як таке, що </w:t>
      </w:r>
      <w:r>
        <w:rPr>
          <w:i/>
          <w:color w:val="231F20"/>
          <w:spacing w:val="-3"/>
          <w:sz w:val="16"/>
        </w:rPr>
        <w:t xml:space="preserve">було </w:t>
      </w:r>
      <w:r>
        <w:rPr>
          <w:i/>
          <w:color w:val="231F20"/>
          <w:sz w:val="16"/>
        </w:rPr>
        <w:t>здійснене «згідно із зако- ном», якщо існує адекватний та ефективний захист від зловживання. Гарантії захисту мають бу</w:t>
      </w:r>
      <w:r>
        <w:rPr>
          <w:i/>
          <w:color w:val="231F20"/>
          <w:sz w:val="16"/>
        </w:rPr>
        <w:t>ти чітко встановлені законом і мають застосовуватись для нагляду за діяль- ністю відповідних органів або служб. При наглядових провадженнях мають дотримува- тись цінності демократичного суспільства настільки добросовісно, наскільки це мож- ливо, зокрема пр</w:t>
      </w:r>
      <w:r>
        <w:rPr>
          <w:i/>
          <w:color w:val="231F20"/>
          <w:sz w:val="16"/>
        </w:rPr>
        <w:t>инцип верховенства</w:t>
      </w:r>
      <w:r>
        <w:rPr>
          <w:i/>
          <w:color w:val="231F20"/>
          <w:spacing w:val="-5"/>
          <w:sz w:val="16"/>
        </w:rPr>
        <w:t xml:space="preserve"> </w:t>
      </w:r>
      <w:r>
        <w:rPr>
          <w:i/>
          <w:color w:val="231F20"/>
          <w:sz w:val="16"/>
        </w:rPr>
        <w:t>права.</w:t>
      </w:r>
    </w:p>
    <w:p w14:paraId="60C40974" w14:textId="77777777" w:rsidR="00DE575E" w:rsidRDefault="002E7560">
      <w:pPr>
        <w:spacing w:before="29" w:line="204" w:lineRule="auto"/>
        <w:ind w:left="250" w:right="411"/>
        <w:jc w:val="both"/>
        <w:rPr>
          <w:i/>
          <w:sz w:val="16"/>
        </w:rPr>
      </w:pPr>
      <w:r>
        <w:rPr>
          <w:color w:val="231F20"/>
          <w:position w:val="5"/>
          <w:sz w:val="9"/>
        </w:rPr>
        <w:t xml:space="preserve">2 </w:t>
      </w:r>
      <w:r>
        <w:rPr>
          <w:i/>
          <w:color w:val="231F20"/>
          <w:sz w:val="16"/>
          <w:u w:val="single" w:color="231F20"/>
        </w:rPr>
        <w:t>Наприклад</w:t>
      </w:r>
      <w:r>
        <w:rPr>
          <w:i/>
          <w:color w:val="231F20"/>
          <w:sz w:val="16"/>
        </w:rPr>
        <w:t xml:space="preserve">, план заходів виконання Угоди про асоціацію між Україною,  з  однієї  сто- </w:t>
      </w:r>
      <w:r>
        <w:rPr>
          <w:i/>
          <w:color w:val="231F20"/>
          <w:sz w:val="16"/>
        </w:rPr>
        <w:t>рони, та Європейським Союзом, Європейським співтовариством з атомної енергії і їхніми державами-членами, з іншої сторони. Затверджено Постановою Кабінету Міністрів України від 25 жовтня 2017 р. №</w:t>
      </w:r>
      <w:r>
        <w:rPr>
          <w:i/>
          <w:color w:val="231F20"/>
          <w:spacing w:val="-15"/>
          <w:sz w:val="16"/>
        </w:rPr>
        <w:t xml:space="preserve"> </w:t>
      </w:r>
      <w:r>
        <w:rPr>
          <w:i/>
          <w:color w:val="231F20"/>
          <w:sz w:val="16"/>
        </w:rPr>
        <w:t>1106.</w:t>
      </w:r>
    </w:p>
    <w:p w14:paraId="5BAB967C" w14:textId="77777777" w:rsidR="00DE575E" w:rsidRDefault="002E7560">
      <w:pPr>
        <w:spacing w:before="31" w:line="204" w:lineRule="auto"/>
        <w:ind w:left="250" w:right="411"/>
        <w:jc w:val="both"/>
        <w:rPr>
          <w:sz w:val="16"/>
        </w:rPr>
      </w:pPr>
      <w:r>
        <w:rPr>
          <w:color w:val="231F20"/>
          <w:position w:val="5"/>
          <w:sz w:val="9"/>
        </w:rPr>
        <w:t xml:space="preserve">3 </w:t>
      </w:r>
      <w:r>
        <w:rPr>
          <w:color w:val="231F20"/>
          <w:sz w:val="16"/>
        </w:rPr>
        <w:t xml:space="preserve">Особливе місце в цій взаємодії займає специфічний </w:t>
      </w:r>
      <w:r>
        <w:rPr>
          <w:color w:val="231F20"/>
          <w:spacing w:val="-3"/>
          <w:sz w:val="16"/>
        </w:rPr>
        <w:t>су</w:t>
      </w:r>
      <w:r>
        <w:rPr>
          <w:color w:val="231F20"/>
          <w:spacing w:val="-3"/>
          <w:sz w:val="16"/>
        </w:rPr>
        <w:t xml:space="preserve">б’єкт </w:t>
      </w:r>
      <w:r>
        <w:rPr>
          <w:color w:val="231F20"/>
          <w:sz w:val="16"/>
        </w:rPr>
        <w:t xml:space="preserve">публічної адміністрації – </w:t>
      </w:r>
      <w:r>
        <w:rPr>
          <w:i/>
          <w:color w:val="231F20"/>
          <w:sz w:val="16"/>
        </w:rPr>
        <w:t>Рада асоціації</w:t>
      </w:r>
      <w:r>
        <w:rPr>
          <w:color w:val="231F20"/>
          <w:sz w:val="16"/>
        </w:rPr>
        <w:t xml:space="preserve">, яка утворена відповідно до </w:t>
      </w:r>
      <w:r>
        <w:rPr>
          <w:color w:val="231F20"/>
          <w:spacing w:val="-5"/>
          <w:sz w:val="16"/>
        </w:rPr>
        <w:t xml:space="preserve">ст. </w:t>
      </w:r>
      <w:r>
        <w:rPr>
          <w:color w:val="231F20"/>
          <w:sz w:val="16"/>
        </w:rPr>
        <w:t xml:space="preserve">461 </w:t>
      </w:r>
      <w:r>
        <w:rPr>
          <w:color w:val="231F20"/>
          <w:spacing w:val="-3"/>
          <w:sz w:val="16"/>
        </w:rPr>
        <w:t xml:space="preserve">Угоди </w:t>
      </w:r>
      <w:r>
        <w:rPr>
          <w:color w:val="231F20"/>
          <w:sz w:val="16"/>
        </w:rPr>
        <w:t xml:space="preserve">про асоціацію між Україною та  ЄС для здійснення контролю та моніторингу застосування і виконання </w:t>
      </w:r>
      <w:r>
        <w:rPr>
          <w:color w:val="231F20"/>
          <w:spacing w:val="-3"/>
          <w:sz w:val="16"/>
        </w:rPr>
        <w:t xml:space="preserve">Угоди, </w:t>
      </w:r>
      <w:r>
        <w:rPr>
          <w:color w:val="231F20"/>
          <w:sz w:val="16"/>
        </w:rPr>
        <w:t>вивчення будь-яких</w:t>
      </w:r>
      <w:r>
        <w:rPr>
          <w:color w:val="231F20"/>
          <w:spacing w:val="-9"/>
          <w:sz w:val="16"/>
        </w:rPr>
        <w:t xml:space="preserve"> </w:t>
      </w:r>
      <w:r>
        <w:rPr>
          <w:color w:val="231F20"/>
          <w:sz w:val="16"/>
        </w:rPr>
        <w:t>головних</w:t>
      </w:r>
      <w:r>
        <w:rPr>
          <w:color w:val="231F20"/>
          <w:spacing w:val="-10"/>
          <w:sz w:val="16"/>
        </w:rPr>
        <w:t xml:space="preserve"> </w:t>
      </w:r>
      <w:r>
        <w:rPr>
          <w:color w:val="231F20"/>
          <w:sz w:val="16"/>
        </w:rPr>
        <w:t>питань,</w:t>
      </w:r>
      <w:r>
        <w:rPr>
          <w:color w:val="231F20"/>
          <w:spacing w:val="-9"/>
          <w:sz w:val="16"/>
        </w:rPr>
        <w:t xml:space="preserve"> </w:t>
      </w:r>
      <w:r>
        <w:rPr>
          <w:color w:val="231F20"/>
          <w:sz w:val="16"/>
        </w:rPr>
        <w:t>що</w:t>
      </w:r>
      <w:r>
        <w:rPr>
          <w:color w:val="231F20"/>
          <w:spacing w:val="-10"/>
          <w:sz w:val="16"/>
        </w:rPr>
        <w:t xml:space="preserve"> </w:t>
      </w:r>
      <w:r>
        <w:rPr>
          <w:color w:val="231F20"/>
          <w:sz w:val="16"/>
        </w:rPr>
        <w:t>виникають</w:t>
      </w:r>
      <w:r>
        <w:rPr>
          <w:color w:val="231F20"/>
          <w:spacing w:val="-10"/>
          <w:sz w:val="16"/>
        </w:rPr>
        <w:t xml:space="preserve"> </w:t>
      </w:r>
      <w:r>
        <w:rPr>
          <w:color w:val="231F20"/>
          <w:sz w:val="16"/>
        </w:rPr>
        <w:t>в</w:t>
      </w:r>
      <w:r>
        <w:rPr>
          <w:color w:val="231F20"/>
          <w:spacing w:val="-10"/>
          <w:sz w:val="16"/>
        </w:rPr>
        <w:t xml:space="preserve"> </w:t>
      </w:r>
      <w:r>
        <w:rPr>
          <w:color w:val="231F20"/>
          <w:sz w:val="16"/>
        </w:rPr>
        <w:t>рамках</w:t>
      </w:r>
      <w:r>
        <w:rPr>
          <w:color w:val="231F20"/>
          <w:spacing w:val="-9"/>
          <w:sz w:val="16"/>
        </w:rPr>
        <w:t xml:space="preserve"> </w:t>
      </w:r>
      <w:r>
        <w:rPr>
          <w:color w:val="231F20"/>
          <w:spacing w:val="-3"/>
          <w:sz w:val="16"/>
        </w:rPr>
        <w:t>Угод</w:t>
      </w:r>
      <w:r>
        <w:rPr>
          <w:color w:val="231F20"/>
          <w:spacing w:val="-3"/>
          <w:sz w:val="16"/>
        </w:rPr>
        <w:t>и,</w:t>
      </w:r>
      <w:r>
        <w:rPr>
          <w:color w:val="231F20"/>
          <w:spacing w:val="-10"/>
          <w:sz w:val="16"/>
        </w:rPr>
        <w:t xml:space="preserve"> </w:t>
      </w:r>
      <w:r>
        <w:rPr>
          <w:color w:val="231F20"/>
          <w:sz w:val="16"/>
        </w:rPr>
        <w:t>та</w:t>
      </w:r>
      <w:r>
        <w:rPr>
          <w:color w:val="231F20"/>
          <w:spacing w:val="-10"/>
          <w:sz w:val="16"/>
        </w:rPr>
        <w:t xml:space="preserve"> </w:t>
      </w:r>
      <w:r>
        <w:rPr>
          <w:color w:val="231F20"/>
          <w:sz w:val="16"/>
        </w:rPr>
        <w:t>будь-яких</w:t>
      </w:r>
      <w:r>
        <w:rPr>
          <w:color w:val="231F20"/>
          <w:spacing w:val="-9"/>
          <w:sz w:val="16"/>
        </w:rPr>
        <w:t xml:space="preserve"> </w:t>
      </w:r>
      <w:r>
        <w:rPr>
          <w:color w:val="231F20"/>
          <w:sz w:val="16"/>
        </w:rPr>
        <w:t>інших</w:t>
      </w:r>
      <w:r>
        <w:rPr>
          <w:color w:val="231F20"/>
          <w:spacing w:val="-10"/>
          <w:sz w:val="16"/>
        </w:rPr>
        <w:t xml:space="preserve"> </w:t>
      </w:r>
      <w:r>
        <w:rPr>
          <w:color w:val="231F20"/>
          <w:sz w:val="16"/>
        </w:rPr>
        <w:t>двосторон- ніх або міжнародних питань, що становлять взаємний</w:t>
      </w:r>
      <w:r>
        <w:rPr>
          <w:color w:val="231F20"/>
          <w:spacing w:val="-5"/>
          <w:sz w:val="16"/>
        </w:rPr>
        <w:t xml:space="preserve"> </w:t>
      </w:r>
      <w:r>
        <w:rPr>
          <w:color w:val="231F20"/>
          <w:sz w:val="16"/>
        </w:rPr>
        <w:t>інтерес.</w:t>
      </w:r>
    </w:p>
    <w:p w14:paraId="60B8F534" w14:textId="77777777" w:rsidR="00DE575E" w:rsidRDefault="002E7560">
      <w:pPr>
        <w:spacing w:before="8" w:line="174" w:lineRule="exact"/>
        <w:ind w:left="250"/>
        <w:jc w:val="both"/>
        <w:rPr>
          <w:sz w:val="16"/>
        </w:rPr>
      </w:pPr>
      <w:r>
        <w:rPr>
          <w:color w:val="231F20"/>
          <w:position w:val="5"/>
          <w:sz w:val="9"/>
        </w:rPr>
        <w:t xml:space="preserve">4 </w:t>
      </w:r>
      <w:r>
        <w:rPr>
          <w:color w:val="231F20"/>
          <w:sz w:val="16"/>
        </w:rPr>
        <w:t>Регламент (ЄС) 2017/850 Європейського Парламенту та Ради від 17 травня 2017 р.</w:t>
      </w:r>
    </w:p>
    <w:p w14:paraId="32A3A3C8" w14:textId="77777777" w:rsidR="00DE575E" w:rsidRDefault="002E7560">
      <w:pPr>
        <w:spacing w:before="9" w:line="204" w:lineRule="auto"/>
        <w:ind w:left="250" w:right="411"/>
        <w:jc w:val="both"/>
        <w:rPr>
          <w:sz w:val="16"/>
        </w:rPr>
      </w:pPr>
      <w:r>
        <w:rPr>
          <w:color w:val="231F20"/>
          <w:sz w:val="16"/>
        </w:rPr>
        <w:t>«Про внесення змін до Регламенту (ЄС) № 539/2001 з переліком третіх країн, громадя</w:t>
      </w:r>
      <w:r>
        <w:rPr>
          <w:color w:val="231F20"/>
          <w:sz w:val="16"/>
        </w:rPr>
        <w:t>ни яких повинні мати візи під час перетину зовнішніх кордонів, та тих, чиї громадяни звіль- нені від цієї вимоги (Україна)» 2017. Eur-Lex. URL: https://eur-lex.europa.eu/legal-content/ EN/TXT/?uri=CELEX:32017R0850</w:t>
      </w:r>
    </w:p>
    <w:p w14:paraId="4ACF0BF8" w14:textId="77777777" w:rsidR="00DE575E" w:rsidRDefault="00DE575E">
      <w:pPr>
        <w:pStyle w:val="BodyText"/>
        <w:spacing w:before="6"/>
        <w:rPr>
          <w:sz w:val="12"/>
        </w:rPr>
      </w:pPr>
    </w:p>
    <w:p w14:paraId="040AFA8B" w14:textId="77777777" w:rsidR="00DE575E" w:rsidRDefault="002E7560">
      <w:pPr>
        <w:spacing w:before="92"/>
        <w:ind w:right="411"/>
        <w:jc w:val="right"/>
        <w:rPr>
          <w:rFonts w:ascii="Times New Roman"/>
          <w:sz w:val="20"/>
        </w:rPr>
      </w:pPr>
      <w:r>
        <w:rPr>
          <w:rFonts w:ascii="Times New Roman"/>
          <w:color w:val="231F20"/>
          <w:w w:val="90"/>
          <w:sz w:val="20"/>
        </w:rPr>
        <w:t>39</w:t>
      </w:r>
    </w:p>
    <w:p w14:paraId="343A6AF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026F9C6"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3248EB8F" w14:textId="65A38EB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AAB3F69" wp14:editId="0BD78204">
                <wp:extent cx="4140200" cy="6350"/>
                <wp:effectExtent l="0" t="0" r="12700" b="6350"/>
                <wp:docPr id="1313"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14" name="Line 13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EC7BD1" id="Group_x0020_13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sWX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7vrFl/AgAAnAUAAA4A&#10;AAAAAAAAAAAAAAAALAIAAGRycy9lMm9Eb2MueG1sUEsBAi0AFAAGAAgAAAAhAEynsJDZAAAAAwEA&#10;AA8AAAAAAAAAAAAAAAAA1wQAAGRycy9kb3ducmV2LnhtbFBLBQYAAAAABAAEAPMAAADdBQAAAAA=&#10;">
                <v:line id="Line_x0020_13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G/JcUAAADdAAAADwAAAGRycy9kb3ducmV2LnhtbERPzWrCQBC+F/oOyxS8FN1oikh0lSII&#10;4kGr8QHG7JiE7s7G7GrSPn23UOhtPr7fWax6a8SDWl87VjAeJSCIC6drLhWc881wBsIHZI3GMSn4&#10;Ig+r5fPTAjPtOj7S4xRKEUPYZ6igCqHJpPRFRRb9yDXEkbu61mKIsC2lbrGL4dbISZJMpcWaY0OF&#10;Da0rKj5Pd6sgv70G83HYmS4/XFJ5ue3T7/teqcFL/z4HEagP/+I/91bH+en4DX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G/JcUAAADdAAAADwAAAAAAAAAA&#10;AAAAAAChAgAAZHJzL2Rvd25yZXYueG1sUEsFBgAAAAAEAAQA+QAAAJMDAAAAAA==&#10;" strokecolor="#231f20" strokeweight=".5pt"/>
                <w10:anchorlock/>
              </v:group>
            </w:pict>
          </mc:Fallback>
        </mc:AlternateContent>
      </w:r>
    </w:p>
    <w:p w14:paraId="3281A37E" w14:textId="77777777" w:rsidR="00DE575E" w:rsidRDefault="00DE575E">
      <w:pPr>
        <w:pStyle w:val="BodyText"/>
        <w:spacing w:before="7"/>
        <w:rPr>
          <w:rFonts w:ascii="AdonisC"/>
          <w:i/>
          <w:sz w:val="11"/>
        </w:rPr>
      </w:pPr>
    </w:p>
    <w:p w14:paraId="3269EABF" w14:textId="77777777" w:rsidR="00DE575E" w:rsidRDefault="002E7560">
      <w:pPr>
        <w:pStyle w:val="ListParagraph"/>
        <w:numPr>
          <w:ilvl w:val="0"/>
          <w:numId w:val="305"/>
        </w:numPr>
        <w:tabs>
          <w:tab w:val="left" w:pos="1101"/>
        </w:tabs>
        <w:spacing w:before="101" w:line="252" w:lineRule="auto"/>
        <w:ind w:left="533" w:right="128" w:firstLine="284"/>
        <w:jc w:val="both"/>
        <w:rPr>
          <w:sz w:val="21"/>
        </w:rPr>
      </w:pPr>
      <w:r>
        <w:rPr>
          <w:color w:val="231F20"/>
          <w:sz w:val="21"/>
        </w:rPr>
        <w:t xml:space="preserve">добровільне виконання вітчизняною публічною адміні- страцією деяких адміністративних актів ЄС як високих стандартів публічного адміністрування, які вигідні для громадян та досяжні     з погляду матеріальних ресурсів й організаційних можливостей  для </w:t>
      </w:r>
      <w:r>
        <w:rPr>
          <w:color w:val="231F20"/>
          <w:spacing w:val="-3"/>
          <w:sz w:val="21"/>
        </w:rPr>
        <w:t xml:space="preserve">Уряду </w:t>
      </w:r>
      <w:r>
        <w:rPr>
          <w:color w:val="231F20"/>
          <w:sz w:val="21"/>
        </w:rPr>
        <w:t>України</w:t>
      </w:r>
      <w:r>
        <w:rPr>
          <w:color w:val="231F20"/>
          <w:position w:val="7"/>
          <w:sz w:val="12"/>
        </w:rPr>
        <w:t>1</w:t>
      </w:r>
      <w:r>
        <w:rPr>
          <w:color w:val="231F20"/>
          <w:sz w:val="21"/>
        </w:rPr>
        <w:t>.</w:t>
      </w:r>
    </w:p>
    <w:p w14:paraId="245F704A" w14:textId="77777777" w:rsidR="00DE575E" w:rsidRDefault="00DE575E">
      <w:pPr>
        <w:pStyle w:val="BodyText"/>
        <w:rPr>
          <w:sz w:val="24"/>
        </w:rPr>
      </w:pPr>
    </w:p>
    <w:p w14:paraId="7C63849F" w14:textId="77777777" w:rsidR="00DE575E" w:rsidRDefault="00DE575E">
      <w:pPr>
        <w:pStyle w:val="BodyText"/>
        <w:spacing w:before="5"/>
        <w:rPr>
          <w:sz w:val="19"/>
        </w:rPr>
      </w:pPr>
    </w:p>
    <w:p w14:paraId="10E3BB61" w14:textId="77777777" w:rsidR="00DE575E" w:rsidRDefault="002E7560">
      <w:pPr>
        <w:pStyle w:val="Heading4"/>
        <w:numPr>
          <w:ilvl w:val="1"/>
          <w:numId w:val="306"/>
        </w:numPr>
        <w:tabs>
          <w:tab w:val="left" w:pos="1721"/>
        </w:tabs>
        <w:ind w:left="1720"/>
        <w:jc w:val="left"/>
        <w:rPr>
          <w:sz w:val="13"/>
        </w:rPr>
      </w:pPr>
      <w:r>
        <w:rPr>
          <w:color w:val="231F20"/>
        </w:rPr>
        <w:t>Система адміністративного права</w:t>
      </w:r>
      <w:r>
        <w:rPr>
          <w:color w:val="231F20"/>
          <w:spacing w:val="-6"/>
        </w:rPr>
        <w:t xml:space="preserve"> </w:t>
      </w:r>
      <w:r>
        <w:rPr>
          <w:color w:val="231F20"/>
          <w:spacing w:val="-4"/>
        </w:rPr>
        <w:t>України</w:t>
      </w:r>
      <w:r>
        <w:rPr>
          <w:color w:val="231F20"/>
          <w:spacing w:val="-4"/>
          <w:position w:val="7"/>
          <w:sz w:val="13"/>
        </w:rPr>
        <w:t>2</w:t>
      </w:r>
    </w:p>
    <w:p w14:paraId="0B983635" w14:textId="77777777" w:rsidR="00DE575E" w:rsidRDefault="00DE575E">
      <w:pPr>
        <w:pStyle w:val="BodyText"/>
        <w:rPr>
          <w:b/>
          <w:sz w:val="26"/>
        </w:rPr>
      </w:pPr>
    </w:p>
    <w:p w14:paraId="69644B0B" w14:textId="77777777" w:rsidR="00DE575E" w:rsidRDefault="002E7560">
      <w:pPr>
        <w:pStyle w:val="BodyText"/>
        <w:spacing w:before="224" w:line="252" w:lineRule="auto"/>
        <w:ind w:left="533" w:right="126" w:firstLine="283"/>
        <w:jc w:val="both"/>
      </w:pPr>
      <w:r>
        <w:rPr>
          <w:color w:val="231F20"/>
          <w:spacing w:val="-3"/>
        </w:rPr>
        <w:t xml:space="preserve">Галузь </w:t>
      </w:r>
      <w:r>
        <w:rPr>
          <w:color w:val="231F20"/>
        </w:rPr>
        <w:t xml:space="preserve">адміністративного права утворює певну систему норм, оскільки </w:t>
      </w:r>
      <w:r>
        <w:rPr>
          <w:color w:val="231F20"/>
          <w:spacing w:val="-4"/>
        </w:rPr>
        <w:t xml:space="preserve">об’єднує </w:t>
      </w:r>
      <w:r>
        <w:rPr>
          <w:color w:val="231F20"/>
        </w:rPr>
        <w:t xml:space="preserve">певні відносно самостійні складові інститути та підгалузі права. </w:t>
      </w:r>
      <w:r>
        <w:rPr>
          <w:color w:val="231F20"/>
          <w:spacing w:val="-3"/>
        </w:rPr>
        <w:t xml:space="preserve">В. </w:t>
      </w:r>
      <w:r>
        <w:rPr>
          <w:color w:val="231F20"/>
        </w:rPr>
        <w:t>Авер’янов визначає, що система адміністратив- ного</w:t>
      </w:r>
      <w:r>
        <w:rPr>
          <w:color w:val="231F20"/>
          <w:spacing w:val="-17"/>
        </w:rPr>
        <w:t xml:space="preserve"> </w:t>
      </w:r>
      <w:r>
        <w:rPr>
          <w:color w:val="231F20"/>
        </w:rPr>
        <w:t>права</w:t>
      </w:r>
      <w:r>
        <w:rPr>
          <w:color w:val="231F20"/>
          <w:spacing w:val="-17"/>
        </w:rPr>
        <w:t xml:space="preserve"> </w:t>
      </w:r>
      <w:r>
        <w:rPr>
          <w:color w:val="231F20"/>
        </w:rPr>
        <w:t>означає</w:t>
      </w:r>
      <w:r>
        <w:rPr>
          <w:color w:val="231F20"/>
          <w:spacing w:val="-17"/>
        </w:rPr>
        <w:t xml:space="preserve"> </w:t>
      </w:r>
      <w:r>
        <w:rPr>
          <w:color w:val="231F20"/>
        </w:rPr>
        <w:t>внутрішню</w:t>
      </w:r>
      <w:r>
        <w:rPr>
          <w:color w:val="231F20"/>
          <w:spacing w:val="-17"/>
        </w:rPr>
        <w:t xml:space="preserve"> </w:t>
      </w:r>
      <w:r>
        <w:rPr>
          <w:color w:val="231F20"/>
        </w:rPr>
        <w:t>єдність</w:t>
      </w:r>
      <w:r>
        <w:rPr>
          <w:color w:val="231F20"/>
          <w:spacing w:val="-17"/>
        </w:rPr>
        <w:t xml:space="preserve"> </w:t>
      </w:r>
      <w:r>
        <w:rPr>
          <w:color w:val="231F20"/>
        </w:rPr>
        <w:t>цієї</w:t>
      </w:r>
      <w:r>
        <w:rPr>
          <w:color w:val="231F20"/>
          <w:spacing w:val="-17"/>
        </w:rPr>
        <w:t xml:space="preserve"> </w:t>
      </w:r>
      <w:r>
        <w:rPr>
          <w:color w:val="231F20"/>
        </w:rPr>
        <w:t>правової</w:t>
      </w:r>
      <w:r>
        <w:rPr>
          <w:color w:val="231F20"/>
          <w:spacing w:val="-18"/>
        </w:rPr>
        <w:t xml:space="preserve"> </w:t>
      </w:r>
      <w:r>
        <w:rPr>
          <w:color w:val="231F20"/>
        </w:rPr>
        <w:t>галузі,</w:t>
      </w:r>
      <w:r>
        <w:rPr>
          <w:color w:val="231F20"/>
          <w:spacing w:val="-17"/>
        </w:rPr>
        <w:t xml:space="preserve"> </w:t>
      </w:r>
      <w:r>
        <w:rPr>
          <w:color w:val="231F20"/>
        </w:rPr>
        <w:t>яка</w:t>
      </w:r>
      <w:r>
        <w:rPr>
          <w:color w:val="231F20"/>
          <w:spacing w:val="-17"/>
        </w:rPr>
        <w:t xml:space="preserve"> </w:t>
      </w:r>
      <w:r>
        <w:rPr>
          <w:color w:val="231F20"/>
        </w:rPr>
        <w:t>відби- ває</w:t>
      </w:r>
      <w:r>
        <w:rPr>
          <w:color w:val="231F20"/>
          <w:spacing w:val="-7"/>
        </w:rPr>
        <w:t xml:space="preserve"> </w:t>
      </w:r>
      <w:r>
        <w:rPr>
          <w:color w:val="231F20"/>
        </w:rPr>
        <w:t>послідовне</w:t>
      </w:r>
      <w:r>
        <w:rPr>
          <w:color w:val="231F20"/>
          <w:spacing w:val="-7"/>
        </w:rPr>
        <w:t xml:space="preserve"> </w:t>
      </w:r>
      <w:r>
        <w:rPr>
          <w:color w:val="231F20"/>
        </w:rPr>
        <w:t>розміщення</w:t>
      </w:r>
      <w:r>
        <w:rPr>
          <w:color w:val="231F20"/>
          <w:spacing w:val="-7"/>
        </w:rPr>
        <w:t xml:space="preserve"> </w:t>
      </w:r>
      <w:r>
        <w:rPr>
          <w:color w:val="231F20"/>
        </w:rPr>
        <w:t>і</w:t>
      </w:r>
      <w:r>
        <w:rPr>
          <w:color w:val="231F20"/>
          <w:spacing w:val="-7"/>
        </w:rPr>
        <w:t xml:space="preserve"> </w:t>
      </w:r>
      <w:r>
        <w:rPr>
          <w:color w:val="231F20"/>
        </w:rPr>
        <w:t>взаємозв’язок</w:t>
      </w:r>
      <w:r>
        <w:rPr>
          <w:color w:val="231F20"/>
          <w:spacing w:val="-7"/>
        </w:rPr>
        <w:t xml:space="preserve"> </w:t>
      </w:r>
      <w:r>
        <w:rPr>
          <w:color w:val="231F20"/>
        </w:rPr>
        <w:t>її</w:t>
      </w:r>
      <w:r>
        <w:rPr>
          <w:color w:val="231F20"/>
          <w:spacing w:val="-7"/>
        </w:rPr>
        <w:t xml:space="preserve"> </w:t>
      </w:r>
      <w:r>
        <w:rPr>
          <w:color w:val="231F20"/>
        </w:rPr>
        <w:t>структурних</w:t>
      </w:r>
      <w:r>
        <w:rPr>
          <w:color w:val="231F20"/>
          <w:spacing w:val="-7"/>
        </w:rPr>
        <w:t xml:space="preserve"> </w:t>
      </w:r>
      <w:r>
        <w:rPr>
          <w:color w:val="231F20"/>
        </w:rPr>
        <w:t>елементів (частин) – підгалузей права і правових інститутів, що складаються  з певних сукупностей однорідних</w:t>
      </w:r>
      <w:r>
        <w:rPr>
          <w:color w:val="231F20"/>
          <w:spacing w:val="-3"/>
        </w:rPr>
        <w:t xml:space="preserve"> </w:t>
      </w:r>
      <w:r>
        <w:rPr>
          <w:color w:val="231F20"/>
        </w:rPr>
        <w:t>норм.</w:t>
      </w:r>
    </w:p>
    <w:p w14:paraId="479FE340" w14:textId="77777777" w:rsidR="00DE575E" w:rsidRDefault="002E7560">
      <w:pPr>
        <w:pStyle w:val="Heading6"/>
        <w:spacing w:before="4" w:line="252" w:lineRule="auto"/>
        <w:ind w:right="128"/>
        <w:jc w:val="both"/>
      </w:pPr>
      <w:r>
        <w:rPr>
          <w:color w:val="231F20"/>
        </w:rPr>
        <w:t>Отже, система адміністрат</w:t>
      </w:r>
      <w:r>
        <w:rPr>
          <w:color w:val="231F20"/>
        </w:rPr>
        <w:t xml:space="preserve">ивного права – це внутрішня </w:t>
      </w:r>
      <w:r>
        <w:rPr>
          <w:color w:val="231F20"/>
        </w:rPr>
        <w:t xml:space="preserve">єдність галузі адміністративного права України, що відбиває послідовне розміщення і взаємозв’язок її структурних елемен- тів (частин) – адміністративно-правових інститутів і підга- лузей адміністративного права, які складаються </w:t>
      </w:r>
      <w:r>
        <w:rPr>
          <w:color w:val="231F20"/>
        </w:rPr>
        <w:t>з певних сукупностей однорідних адміністративно-правових норм.</w:t>
      </w:r>
    </w:p>
    <w:p w14:paraId="5BDDEA8F" w14:textId="77777777" w:rsidR="00DE575E" w:rsidRDefault="002E7560">
      <w:pPr>
        <w:spacing w:before="3"/>
        <w:ind w:left="817"/>
        <w:rPr>
          <w:b/>
          <w:sz w:val="21"/>
        </w:rPr>
      </w:pPr>
      <w:r>
        <w:rPr>
          <w:b/>
          <w:color w:val="231F20"/>
          <w:sz w:val="21"/>
        </w:rPr>
        <w:t>Основними елементами системи адміністративного права є:</w:t>
      </w:r>
    </w:p>
    <w:p w14:paraId="6B7C67C2" w14:textId="77777777" w:rsidR="00DE575E" w:rsidRDefault="002E7560">
      <w:pPr>
        <w:pStyle w:val="ListParagraph"/>
        <w:numPr>
          <w:ilvl w:val="0"/>
          <w:numId w:val="304"/>
        </w:numPr>
        <w:tabs>
          <w:tab w:val="left" w:pos="1101"/>
        </w:tabs>
        <w:spacing w:before="12" w:line="252" w:lineRule="auto"/>
        <w:ind w:right="126" w:firstLine="284"/>
        <w:rPr>
          <w:sz w:val="21"/>
        </w:rPr>
      </w:pPr>
      <w:r>
        <w:rPr>
          <w:color w:val="231F20"/>
          <w:sz w:val="21"/>
        </w:rPr>
        <w:t>норма адміністративного права – загальнообов’язкове правило поведінки, що встановлене або санкціоноване державною з метою забезпечення пу</w:t>
      </w:r>
      <w:r>
        <w:rPr>
          <w:color w:val="231F20"/>
          <w:sz w:val="21"/>
        </w:rPr>
        <w:t>блічних прав і свобод людини й громадя- нина, нормального функціонування громадянського суспільства та держави й захищене від порушення засобами державного</w:t>
      </w:r>
      <w:r>
        <w:rPr>
          <w:color w:val="231F20"/>
          <w:spacing w:val="-28"/>
          <w:sz w:val="21"/>
        </w:rPr>
        <w:t xml:space="preserve"> </w:t>
      </w:r>
      <w:r>
        <w:rPr>
          <w:color w:val="231F20"/>
          <w:sz w:val="21"/>
        </w:rPr>
        <w:t>примусу;</w:t>
      </w:r>
    </w:p>
    <w:p w14:paraId="1EA56854" w14:textId="77777777" w:rsidR="00DE575E" w:rsidRDefault="002E7560">
      <w:pPr>
        <w:pStyle w:val="ListParagraph"/>
        <w:numPr>
          <w:ilvl w:val="0"/>
          <w:numId w:val="304"/>
        </w:numPr>
        <w:tabs>
          <w:tab w:val="left" w:pos="1101"/>
        </w:tabs>
        <w:spacing w:before="3" w:line="252" w:lineRule="auto"/>
        <w:ind w:right="128" w:firstLine="284"/>
        <w:rPr>
          <w:sz w:val="21"/>
        </w:rPr>
      </w:pPr>
      <w:r>
        <w:rPr>
          <w:color w:val="231F20"/>
          <w:spacing w:val="-4"/>
          <w:sz w:val="21"/>
        </w:rPr>
        <w:t xml:space="preserve">інститут </w:t>
      </w:r>
      <w:r>
        <w:rPr>
          <w:color w:val="231F20"/>
          <w:spacing w:val="-5"/>
          <w:sz w:val="21"/>
        </w:rPr>
        <w:t xml:space="preserve">адміністративного </w:t>
      </w:r>
      <w:r>
        <w:rPr>
          <w:color w:val="231F20"/>
          <w:spacing w:val="-4"/>
          <w:sz w:val="21"/>
        </w:rPr>
        <w:t xml:space="preserve">права </w:t>
      </w:r>
      <w:r>
        <w:rPr>
          <w:color w:val="231F20"/>
          <w:sz w:val="21"/>
        </w:rPr>
        <w:t xml:space="preserve">– </w:t>
      </w:r>
      <w:r>
        <w:rPr>
          <w:color w:val="231F20"/>
          <w:spacing w:val="-5"/>
          <w:sz w:val="21"/>
        </w:rPr>
        <w:t xml:space="preserve">сукупність </w:t>
      </w:r>
      <w:r>
        <w:rPr>
          <w:color w:val="231F20"/>
          <w:spacing w:val="-4"/>
          <w:sz w:val="21"/>
        </w:rPr>
        <w:t xml:space="preserve">норм </w:t>
      </w:r>
      <w:r>
        <w:rPr>
          <w:color w:val="231F20"/>
          <w:spacing w:val="-5"/>
          <w:sz w:val="21"/>
        </w:rPr>
        <w:t xml:space="preserve">адміністра- тивного </w:t>
      </w:r>
      <w:r>
        <w:rPr>
          <w:color w:val="231F20"/>
          <w:spacing w:val="-4"/>
          <w:sz w:val="21"/>
        </w:rPr>
        <w:t xml:space="preserve">права, </w:t>
      </w:r>
      <w:r>
        <w:rPr>
          <w:color w:val="231F20"/>
          <w:spacing w:val="-3"/>
          <w:sz w:val="21"/>
        </w:rPr>
        <w:t xml:space="preserve">що </w:t>
      </w:r>
      <w:r>
        <w:rPr>
          <w:color w:val="231F20"/>
          <w:spacing w:val="-6"/>
          <w:sz w:val="21"/>
        </w:rPr>
        <w:t xml:space="preserve">регулює </w:t>
      </w:r>
      <w:r>
        <w:rPr>
          <w:color w:val="231F20"/>
          <w:spacing w:val="-5"/>
          <w:sz w:val="21"/>
        </w:rPr>
        <w:t xml:space="preserve">однорідні </w:t>
      </w:r>
      <w:r>
        <w:rPr>
          <w:color w:val="231F20"/>
          <w:spacing w:val="-3"/>
          <w:sz w:val="21"/>
        </w:rPr>
        <w:t xml:space="preserve">чи </w:t>
      </w:r>
      <w:r>
        <w:rPr>
          <w:color w:val="231F20"/>
          <w:spacing w:val="-5"/>
          <w:sz w:val="21"/>
        </w:rPr>
        <w:t>близькі суспільні</w:t>
      </w:r>
      <w:r>
        <w:rPr>
          <w:color w:val="231F20"/>
          <w:spacing w:val="-32"/>
          <w:sz w:val="21"/>
        </w:rPr>
        <w:t xml:space="preserve"> </w:t>
      </w:r>
      <w:r>
        <w:rPr>
          <w:color w:val="231F20"/>
          <w:spacing w:val="-5"/>
          <w:sz w:val="21"/>
        </w:rPr>
        <w:t>відносини;</w:t>
      </w:r>
    </w:p>
    <w:p w14:paraId="4AA012E4" w14:textId="77777777" w:rsidR="00DE575E" w:rsidRDefault="002E7560">
      <w:pPr>
        <w:pStyle w:val="ListParagraph"/>
        <w:numPr>
          <w:ilvl w:val="0"/>
          <w:numId w:val="304"/>
        </w:numPr>
        <w:tabs>
          <w:tab w:val="left" w:pos="1101"/>
        </w:tabs>
        <w:spacing w:line="252" w:lineRule="auto"/>
        <w:ind w:right="128" w:firstLine="284"/>
        <w:rPr>
          <w:sz w:val="21"/>
        </w:rPr>
      </w:pPr>
      <w:r>
        <w:rPr>
          <w:color w:val="231F20"/>
          <w:sz w:val="21"/>
        </w:rPr>
        <w:t>підгалузь адміністративного  права  –  сукупність  інститу-  тів і норм адміністративного права, пов’язаних спільною метою юридичного</w:t>
      </w:r>
      <w:r>
        <w:rPr>
          <w:color w:val="231F20"/>
          <w:spacing w:val="-2"/>
          <w:sz w:val="21"/>
        </w:rPr>
        <w:t xml:space="preserve"> </w:t>
      </w:r>
      <w:r>
        <w:rPr>
          <w:color w:val="231F20"/>
          <w:sz w:val="21"/>
        </w:rPr>
        <w:t>регулювання-посилання.</w:t>
      </w:r>
    </w:p>
    <w:p w14:paraId="7A018D64" w14:textId="0CF6F0DD" w:rsidR="00DE575E" w:rsidRDefault="002E7560">
      <w:pPr>
        <w:pStyle w:val="BodyText"/>
        <w:rPr>
          <w:sz w:val="20"/>
        </w:rPr>
      </w:pPr>
      <w:r>
        <w:rPr>
          <w:noProof/>
        </w:rPr>
        <mc:AlternateContent>
          <mc:Choice Requires="wps">
            <w:drawing>
              <wp:anchor distT="0" distB="0" distL="0" distR="0" simplePos="0" relativeHeight="2368" behindDoc="0" locked="0" layoutInCell="1" allowOverlap="1" wp14:anchorId="42B58131" wp14:editId="549255EB">
                <wp:simplePos x="0" y="0"/>
                <wp:positionH relativeFrom="page">
                  <wp:posOffset>719455</wp:posOffset>
                </wp:positionH>
                <wp:positionV relativeFrom="paragraph">
                  <wp:posOffset>177165</wp:posOffset>
                </wp:positionV>
                <wp:extent cx="1080135" cy="0"/>
                <wp:effectExtent l="8255" t="12065" r="29210" b="26035"/>
                <wp:wrapTopAndBottom/>
                <wp:docPr id="1312"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4AA7D" id="Line_x0020_1311" o:spid="_x0000_s1026" style="position:absolute;z-index: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95pt" to="141.7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KrZC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" strokecolor="#231f20" strokeweight=".5pt">
                <w10:wrap type="topAndBottom" anchorx="page"/>
              </v:line>
            </w:pict>
          </mc:Fallback>
        </mc:AlternateContent>
      </w:r>
    </w:p>
    <w:p w14:paraId="289A29FE"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Бандура С. О. Адміністративно-правові засади адміністративного права України та країн-учасниць</w:t>
      </w:r>
      <w:r>
        <w:rPr>
          <w:color w:val="231F20"/>
          <w:spacing w:val="-8"/>
          <w:sz w:val="16"/>
        </w:rPr>
        <w:t xml:space="preserve"> </w:t>
      </w:r>
      <w:r>
        <w:rPr>
          <w:color w:val="231F20"/>
          <w:sz w:val="16"/>
        </w:rPr>
        <w:t>ЄС</w:t>
      </w:r>
      <w:r>
        <w:rPr>
          <w:color w:val="231F20"/>
          <w:spacing w:val="-8"/>
          <w:sz w:val="16"/>
        </w:rPr>
        <w:t xml:space="preserve"> </w:t>
      </w:r>
      <w:r>
        <w:rPr>
          <w:color w:val="231F20"/>
          <w:sz w:val="16"/>
        </w:rPr>
        <w:t>(Греції,</w:t>
      </w:r>
      <w:r>
        <w:rPr>
          <w:color w:val="231F20"/>
          <w:spacing w:val="-8"/>
          <w:sz w:val="16"/>
        </w:rPr>
        <w:t xml:space="preserve"> </w:t>
      </w:r>
      <w:r>
        <w:rPr>
          <w:color w:val="231F20"/>
          <w:sz w:val="16"/>
        </w:rPr>
        <w:t>Болгарії,</w:t>
      </w:r>
      <w:r>
        <w:rPr>
          <w:color w:val="231F20"/>
          <w:spacing w:val="-8"/>
          <w:sz w:val="16"/>
        </w:rPr>
        <w:t xml:space="preserve"> </w:t>
      </w:r>
      <w:r>
        <w:rPr>
          <w:color w:val="231F20"/>
          <w:sz w:val="16"/>
        </w:rPr>
        <w:t>Іспанії,</w:t>
      </w:r>
      <w:r>
        <w:rPr>
          <w:color w:val="231F20"/>
          <w:spacing w:val="-8"/>
          <w:sz w:val="16"/>
        </w:rPr>
        <w:t xml:space="preserve"> </w:t>
      </w:r>
      <w:r>
        <w:rPr>
          <w:color w:val="231F20"/>
          <w:sz w:val="16"/>
        </w:rPr>
        <w:t>Румунії):</w:t>
      </w:r>
      <w:r>
        <w:rPr>
          <w:color w:val="231F20"/>
          <w:spacing w:val="-9"/>
          <w:sz w:val="16"/>
        </w:rPr>
        <w:t xml:space="preserve"> </w:t>
      </w:r>
      <w:r>
        <w:rPr>
          <w:color w:val="231F20"/>
          <w:sz w:val="16"/>
        </w:rPr>
        <w:t>порівняльно-правовий</w:t>
      </w:r>
      <w:r>
        <w:rPr>
          <w:color w:val="231F20"/>
          <w:spacing w:val="-8"/>
          <w:sz w:val="16"/>
        </w:rPr>
        <w:t xml:space="preserve"> </w:t>
      </w:r>
      <w:r>
        <w:rPr>
          <w:color w:val="231F20"/>
          <w:sz w:val="16"/>
        </w:rPr>
        <w:t>аналіз:</w:t>
      </w:r>
      <w:r>
        <w:rPr>
          <w:color w:val="231F20"/>
          <w:spacing w:val="-8"/>
          <w:sz w:val="16"/>
        </w:rPr>
        <w:t xml:space="preserve"> </w:t>
      </w:r>
      <w:r>
        <w:rPr>
          <w:color w:val="231F20"/>
          <w:sz w:val="16"/>
        </w:rPr>
        <w:t>дисер- тація. 2018. Київ. 216</w:t>
      </w:r>
      <w:r>
        <w:rPr>
          <w:color w:val="231F20"/>
          <w:spacing w:val="-2"/>
          <w:sz w:val="16"/>
        </w:rPr>
        <w:t xml:space="preserve"> </w:t>
      </w:r>
      <w:r>
        <w:rPr>
          <w:color w:val="231F20"/>
          <w:sz w:val="16"/>
        </w:rPr>
        <w:t>с.</w:t>
      </w:r>
    </w:p>
    <w:p w14:paraId="3D49C812" w14:textId="77777777" w:rsidR="00DE575E" w:rsidRDefault="002E7560">
      <w:pPr>
        <w:spacing w:before="26" w:line="204" w:lineRule="auto"/>
        <w:ind w:left="533" w:right="128"/>
        <w:jc w:val="both"/>
        <w:rPr>
          <w:sz w:val="16"/>
        </w:rPr>
      </w:pPr>
      <w:r>
        <w:rPr>
          <w:color w:val="231F20"/>
          <w:position w:val="5"/>
          <w:sz w:val="9"/>
        </w:rPr>
        <w:t xml:space="preserve">2 </w:t>
      </w:r>
      <w:r>
        <w:rPr>
          <w:color w:val="231F20"/>
          <w:sz w:val="16"/>
        </w:rPr>
        <w:t>При написані підрозділу широко використовувалися наукові</w:t>
      </w:r>
      <w:r>
        <w:rPr>
          <w:color w:val="231F20"/>
          <w:sz w:val="16"/>
        </w:rPr>
        <w:t xml:space="preserve"> праці професора </w:t>
      </w:r>
      <w:r>
        <w:rPr>
          <w:b/>
          <w:color w:val="231F20"/>
          <w:sz w:val="16"/>
        </w:rPr>
        <w:t>Романа Мельника</w:t>
      </w:r>
      <w:r>
        <w:rPr>
          <w:color w:val="231F20"/>
          <w:sz w:val="16"/>
        </w:rPr>
        <w:t>, зокрема: Мельник Р. Система адміністративного права України: дисертація. Харків, 2010. 415 с.</w:t>
      </w:r>
    </w:p>
    <w:p w14:paraId="528D295D" w14:textId="77777777" w:rsidR="00DE575E" w:rsidRDefault="00DE575E">
      <w:pPr>
        <w:pStyle w:val="BodyText"/>
        <w:spacing w:before="6"/>
        <w:rPr>
          <w:sz w:val="12"/>
        </w:rPr>
      </w:pPr>
    </w:p>
    <w:p w14:paraId="0C78B1ED" w14:textId="77777777" w:rsidR="00DE575E" w:rsidRDefault="002E7560">
      <w:pPr>
        <w:spacing w:before="92"/>
        <w:ind w:left="533"/>
        <w:rPr>
          <w:rFonts w:ascii="Times New Roman"/>
          <w:sz w:val="20"/>
        </w:rPr>
      </w:pPr>
      <w:r>
        <w:rPr>
          <w:rFonts w:ascii="Times New Roman"/>
          <w:color w:val="231F20"/>
          <w:sz w:val="20"/>
        </w:rPr>
        <w:t>40</w:t>
      </w:r>
    </w:p>
    <w:p w14:paraId="0D4E7C1C" w14:textId="77777777" w:rsidR="00DE575E" w:rsidRDefault="00DE575E">
      <w:pPr>
        <w:rPr>
          <w:rFonts w:ascii="Times New Roman"/>
          <w:sz w:val="20"/>
        </w:rPr>
        <w:sectPr w:rsidR="00DE575E">
          <w:pgSz w:w="8510" w:h="12760"/>
          <w:pgMar w:top="660" w:right="720" w:bottom="280" w:left="600" w:header="720" w:footer="720" w:gutter="0"/>
          <w:cols w:space="720"/>
        </w:sectPr>
      </w:pPr>
    </w:p>
    <w:p w14:paraId="16FBFBB1"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5BF36DA5" w14:textId="35A4AEB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82A0E91" wp14:editId="5CE4191F">
                <wp:extent cx="4140200" cy="6350"/>
                <wp:effectExtent l="0" t="0" r="12700" b="6350"/>
                <wp:docPr id="1310"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11" name="Line 131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3E053" id="Group_x0020_130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viudKoECAACcBQAA&#10;DgAAAAAAAAAAAAAAAAAsAgAAZHJzL2Uyb0RvYy54bWxQSwECLQAUAAYACAAAACEATKewkNkAAAAD&#10;AQAADwAAAAAAAAAAAAAAAADZBAAAZHJzL2Rvd25yZXYueG1sUEsFBgAAAAAEAAQA8wAAAN8FAAAA&#10;AA==&#10;">
                <v:line id="Line_x0020_131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YcvcQAAADdAAAADwAAAGRycy9kb3ducmV2LnhtbERPzWrCQBC+F3yHZQQvRTcxUCR1lSII&#10;pQdtjQ8wZqdJ6O5szK4m7dN3BcHbfHy/s1wP1ogrdb5xrCCdJSCIS6cbrhQci+10AcIHZI3GMSn4&#10;JQ/r1ehpibl2PX/R9RAqEUPY56igDqHNpfRlTRb9zLXEkft2ncUQYVdJ3WEfw62R8yR5kRYbjg01&#10;trSpqfw5XKyC4vwczOf+w/TF/pTJ03mX/V12Sk3Gw9sriEBDeIjv7ncd52dpCrdv4gly9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Nhy9xAAAAN0AAAAPAAAAAAAAAAAA&#10;AAAAAKECAABkcnMvZG93bnJldi54bWxQSwUGAAAAAAQABAD5AAAAkgMAAAAA&#10;" strokecolor="#231f20" strokeweight=".5pt"/>
                <w10:anchorlock/>
              </v:group>
            </w:pict>
          </mc:Fallback>
        </mc:AlternateContent>
      </w:r>
    </w:p>
    <w:p w14:paraId="24C24390" w14:textId="77777777" w:rsidR="00DE575E" w:rsidRDefault="00DE575E">
      <w:pPr>
        <w:pStyle w:val="BodyText"/>
        <w:spacing w:before="7"/>
        <w:rPr>
          <w:rFonts w:ascii="AdonisC"/>
          <w:i/>
          <w:sz w:val="19"/>
        </w:rPr>
      </w:pPr>
    </w:p>
    <w:p w14:paraId="4BA69F03" w14:textId="77777777" w:rsidR="00DE575E" w:rsidRDefault="002E7560">
      <w:pPr>
        <w:pStyle w:val="BodyText"/>
        <w:spacing w:before="1" w:line="252" w:lineRule="auto"/>
        <w:ind w:left="250" w:right="411" w:firstLine="283"/>
        <w:jc w:val="both"/>
      </w:pPr>
      <w:r>
        <w:rPr>
          <w:color w:val="231F20"/>
        </w:rPr>
        <w:t>Учені-адміністративісти</w:t>
      </w:r>
      <w:r>
        <w:rPr>
          <w:color w:val="231F20"/>
          <w:spacing w:val="-22"/>
        </w:rPr>
        <w:t xml:space="preserve"> </w:t>
      </w:r>
      <w:r>
        <w:rPr>
          <w:color w:val="231F20"/>
        </w:rPr>
        <w:t>продовжують</w:t>
      </w:r>
      <w:r>
        <w:rPr>
          <w:color w:val="231F20"/>
          <w:spacing w:val="-22"/>
        </w:rPr>
        <w:t xml:space="preserve"> </w:t>
      </w:r>
      <w:r>
        <w:rPr>
          <w:color w:val="231F20"/>
        </w:rPr>
        <w:t>дискутувати</w:t>
      </w:r>
      <w:r>
        <w:rPr>
          <w:color w:val="231F20"/>
          <w:spacing w:val="-21"/>
        </w:rPr>
        <w:t xml:space="preserve"> </w:t>
      </w:r>
      <w:r>
        <w:rPr>
          <w:color w:val="231F20"/>
        </w:rPr>
        <w:t>щодо</w:t>
      </w:r>
      <w:r>
        <w:rPr>
          <w:color w:val="231F20"/>
          <w:spacing w:val="-22"/>
        </w:rPr>
        <w:t xml:space="preserve"> </w:t>
      </w:r>
      <w:r>
        <w:rPr>
          <w:color w:val="231F20"/>
        </w:rPr>
        <w:t>зовніш- нього формального опису системи адміністративного права. При цьому домінують три основні</w:t>
      </w:r>
      <w:r>
        <w:rPr>
          <w:color w:val="231F20"/>
          <w:spacing w:val="-4"/>
        </w:rPr>
        <w:t xml:space="preserve"> </w:t>
      </w:r>
      <w:r>
        <w:rPr>
          <w:color w:val="231F20"/>
        </w:rPr>
        <w:t>погляди:</w:t>
      </w:r>
    </w:p>
    <w:p w14:paraId="522F1CAA" w14:textId="77777777" w:rsidR="00DE575E" w:rsidRDefault="002E7560">
      <w:pPr>
        <w:pStyle w:val="ListParagraph"/>
        <w:numPr>
          <w:ilvl w:val="0"/>
          <w:numId w:val="303"/>
        </w:numPr>
        <w:tabs>
          <w:tab w:val="left" w:pos="818"/>
        </w:tabs>
        <w:spacing w:line="252" w:lineRule="auto"/>
        <w:ind w:right="414" w:firstLine="283"/>
        <w:jc w:val="both"/>
        <w:rPr>
          <w:sz w:val="21"/>
        </w:rPr>
      </w:pPr>
      <w:r>
        <w:rPr>
          <w:color w:val="231F20"/>
          <w:sz w:val="21"/>
        </w:rPr>
        <w:t xml:space="preserve">система адміністративного права </w:t>
      </w:r>
      <w:r>
        <w:rPr>
          <w:color w:val="231F20"/>
          <w:sz w:val="21"/>
        </w:rPr>
        <w:t>складається із загальної та спеціальної</w:t>
      </w:r>
      <w:r>
        <w:rPr>
          <w:color w:val="231F20"/>
          <w:spacing w:val="-1"/>
          <w:sz w:val="21"/>
        </w:rPr>
        <w:t xml:space="preserve"> </w:t>
      </w:r>
      <w:r>
        <w:rPr>
          <w:color w:val="231F20"/>
          <w:sz w:val="21"/>
        </w:rPr>
        <w:t>частин;</w:t>
      </w:r>
    </w:p>
    <w:p w14:paraId="746B9925" w14:textId="77777777" w:rsidR="00DE575E" w:rsidRDefault="002E7560">
      <w:pPr>
        <w:pStyle w:val="ListParagraph"/>
        <w:numPr>
          <w:ilvl w:val="0"/>
          <w:numId w:val="303"/>
        </w:numPr>
        <w:tabs>
          <w:tab w:val="left" w:pos="818"/>
        </w:tabs>
        <w:spacing w:line="252" w:lineRule="auto"/>
        <w:ind w:right="411" w:firstLine="283"/>
        <w:jc w:val="both"/>
        <w:rPr>
          <w:sz w:val="21"/>
        </w:rPr>
      </w:pPr>
      <w:r>
        <w:rPr>
          <w:color w:val="231F20"/>
          <w:sz w:val="21"/>
        </w:rPr>
        <w:t>адміністративне право поділяється на «Загальне адміністра- тивне право» та «Особливе адміністративне</w:t>
      </w:r>
      <w:r>
        <w:rPr>
          <w:color w:val="231F20"/>
          <w:spacing w:val="-7"/>
          <w:sz w:val="21"/>
        </w:rPr>
        <w:t xml:space="preserve"> </w:t>
      </w:r>
      <w:r>
        <w:rPr>
          <w:color w:val="231F20"/>
          <w:sz w:val="21"/>
        </w:rPr>
        <w:t>право»</w:t>
      </w:r>
      <w:r>
        <w:rPr>
          <w:color w:val="231F20"/>
          <w:position w:val="7"/>
          <w:sz w:val="12"/>
        </w:rPr>
        <w:t>1</w:t>
      </w:r>
      <w:r>
        <w:rPr>
          <w:color w:val="231F20"/>
          <w:sz w:val="21"/>
        </w:rPr>
        <w:t>;</w:t>
      </w:r>
    </w:p>
    <w:p w14:paraId="5EDF1627" w14:textId="77777777" w:rsidR="00DE575E" w:rsidRDefault="002E7560">
      <w:pPr>
        <w:pStyle w:val="ListParagraph"/>
        <w:numPr>
          <w:ilvl w:val="0"/>
          <w:numId w:val="303"/>
        </w:numPr>
        <w:tabs>
          <w:tab w:val="left" w:pos="818"/>
        </w:tabs>
        <w:spacing w:line="252" w:lineRule="auto"/>
        <w:ind w:right="411" w:firstLine="283"/>
        <w:jc w:val="both"/>
        <w:rPr>
          <w:sz w:val="21"/>
        </w:rPr>
      </w:pPr>
      <w:r>
        <w:rPr>
          <w:color w:val="231F20"/>
          <w:sz w:val="21"/>
        </w:rPr>
        <w:t>адміністративне право поділяється на «Загальне адміністра- тивне право», «Особливе адміністративне право» та «Спеціальне адміністративне</w:t>
      </w:r>
      <w:r>
        <w:rPr>
          <w:color w:val="231F20"/>
          <w:spacing w:val="-2"/>
          <w:sz w:val="21"/>
        </w:rPr>
        <w:t xml:space="preserve"> </w:t>
      </w:r>
      <w:r>
        <w:rPr>
          <w:color w:val="231F20"/>
          <w:sz w:val="21"/>
        </w:rPr>
        <w:t>право».</w:t>
      </w:r>
    </w:p>
    <w:p w14:paraId="2F61BDCC" w14:textId="77777777" w:rsidR="00DE575E" w:rsidRDefault="002E7560">
      <w:pPr>
        <w:pStyle w:val="BodyText"/>
        <w:spacing w:before="2" w:line="252" w:lineRule="auto"/>
        <w:ind w:left="250" w:right="409" w:firstLine="283"/>
        <w:jc w:val="both"/>
      </w:pPr>
      <w:r>
        <w:rPr>
          <w:color w:val="231F20"/>
        </w:rPr>
        <w:t>Перший варіант розуміння системи адміністративного права дістався у спадок від минулої епохи, коли одним з осно</w:t>
      </w:r>
      <w:r>
        <w:rPr>
          <w:color w:val="231F20"/>
        </w:rPr>
        <w:t>вних джерел адміністративного права був КУпАП, що поділяється на «загальну» та «особливу» частини. До особливої частини входить публічне адміністрування в різних галузях державного управління.</w:t>
      </w:r>
    </w:p>
    <w:p w14:paraId="53BAF69A" w14:textId="77777777" w:rsidR="00DE575E" w:rsidRDefault="002E7560">
      <w:pPr>
        <w:pStyle w:val="BodyText"/>
        <w:spacing w:before="2" w:line="252" w:lineRule="auto"/>
        <w:ind w:left="250" w:right="411" w:firstLine="283"/>
        <w:jc w:val="both"/>
      </w:pPr>
      <w:r>
        <w:rPr>
          <w:color w:val="231F20"/>
        </w:rPr>
        <w:t>Поділ на Загальне й Особливе право було утверджено Р. Мель- ник</w:t>
      </w:r>
      <w:r>
        <w:rPr>
          <w:color w:val="231F20"/>
        </w:rPr>
        <w:t>ом на основі кращих надбань адміністративного права країн- учасниць ЄС2</w:t>
      </w:r>
      <w:r>
        <w:rPr>
          <w:color w:val="231F20"/>
          <w:position w:val="7"/>
          <w:sz w:val="12"/>
        </w:rPr>
        <w:t>2</w:t>
      </w:r>
      <w:r>
        <w:rPr>
          <w:color w:val="231F20"/>
        </w:rPr>
        <w:t>. Так, австрійські вчені А. Кахл та К. Вебер до змісту Загального адміністративного права включають такі положення:</w:t>
      </w:r>
    </w:p>
    <w:p w14:paraId="46935453" w14:textId="77777777" w:rsidR="00DE575E" w:rsidRDefault="002E7560">
      <w:pPr>
        <w:pStyle w:val="ListParagraph"/>
        <w:numPr>
          <w:ilvl w:val="0"/>
          <w:numId w:val="302"/>
        </w:numPr>
        <w:tabs>
          <w:tab w:val="left" w:pos="490"/>
        </w:tabs>
        <w:spacing w:before="2" w:line="252" w:lineRule="auto"/>
        <w:ind w:right="411" w:firstLine="0"/>
        <w:jc w:val="both"/>
        <w:rPr>
          <w:sz w:val="21"/>
        </w:rPr>
      </w:pPr>
      <w:r>
        <w:rPr>
          <w:color w:val="231F20"/>
          <w:sz w:val="21"/>
        </w:rPr>
        <w:t>термінологію, історію, джерела адміністративного права та публічну а</w:t>
      </w:r>
      <w:r>
        <w:rPr>
          <w:color w:val="231F20"/>
          <w:sz w:val="21"/>
        </w:rPr>
        <w:t>дміністрацію; 2) європейське та конституційне право для публічної адміністрації; 3) організаційне право; 4) адміністративні дії; 5) відносини між державою та громадянами; 6) адміністратив- ний контроль і правовий захист</w:t>
      </w:r>
      <w:r>
        <w:rPr>
          <w:color w:val="231F20"/>
          <w:spacing w:val="-4"/>
          <w:sz w:val="21"/>
        </w:rPr>
        <w:t xml:space="preserve"> </w:t>
      </w:r>
      <w:r>
        <w:rPr>
          <w:color w:val="231F20"/>
          <w:position w:val="7"/>
          <w:sz w:val="12"/>
        </w:rPr>
        <w:t>3</w:t>
      </w:r>
      <w:r>
        <w:rPr>
          <w:color w:val="231F20"/>
          <w:sz w:val="21"/>
        </w:rPr>
        <w:t>.</w:t>
      </w:r>
    </w:p>
    <w:p w14:paraId="1D16E0F3" w14:textId="77777777" w:rsidR="00DE575E" w:rsidRDefault="002E7560">
      <w:pPr>
        <w:pStyle w:val="BodyText"/>
        <w:spacing w:before="3" w:line="252" w:lineRule="auto"/>
        <w:ind w:left="250" w:right="411" w:firstLine="283"/>
        <w:jc w:val="both"/>
      </w:pPr>
      <w:r>
        <w:rPr>
          <w:i/>
          <w:color w:val="231F20"/>
        </w:rPr>
        <w:t xml:space="preserve">Особливе адміністративне  право  </w:t>
      </w:r>
      <w:r>
        <w:rPr>
          <w:color w:val="231F20"/>
        </w:rPr>
        <w:t xml:space="preserve">є  комплексним  утворенням,  у межах якого </w:t>
      </w:r>
      <w:r>
        <w:rPr>
          <w:color w:val="231F20"/>
          <w:spacing w:val="-3"/>
        </w:rPr>
        <w:t xml:space="preserve">об’єднано </w:t>
      </w:r>
      <w:r>
        <w:rPr>
          <w:color w:val="231F20"/>
        </w:rPr>
        <w:t>підгалузі адміністративного права. Особли- вість</w:t>
      </w:r>
      <w:r>
        <w:rPr>
          <w:color w:val="231F20"/>
          <w:spacing w:val="-12"/>
        </w:rPr>
        <w:t xml:space="preserve"> </w:t>
      </w:r>
      <w:r>
        <w:rPr>
          <w:color w:val="231F20"/>
        </w:rPr>
        <w:t>цих</w:t>
      </w:r>
      <w:r>
        <w:rPr>
          <w:color w:val="231F20"/>
          <w:spacing w:val="-12"/>
        </w:rPr>
        <w:t xml:space="preserve"> </w:t>
      </w:r>
      <w:r>
        <w:rPr>
          <w:color w:val="231F20"/>
        </w:rPr>
        <w:t>підгалузей</w:t>
      </w:r>
      <w:r>
        <w:rPr>
          <w:color w:val="231F20"/>
          <w:spacing w:val="-12"/>
        </w:rPr>
        <w:t xml:space="preserve"> </w:t>
      </w:r>
      <w:r>
        <w:rPr>
          <w:color w:val="231F20"/>
        </w:rPr>
        <w:t>полягає</w:t>
      </w:r>
      <w:r>
        <w:rPr>
          <w:color w:val="231F20"/>
          <w:spacing w:val="-12"/>
        </w:rPr>
        <w:t xml:space="preserve"> </w:t>
      </w:r>
      <w:r>
        <w:rPr>
          <w:color w:val="231F20"/>
        </w:rPr>
        <w:t>в</w:t>
      </w:r>
      <w:r>
        <w:rPr>
          <w:color w:val="231F20"/>
          <w:spacing w:val="-12"/>
        </w:rPr>
        <w:t xml:space="preserve"> </w:t>
      </w:r>
      <w:r>
        <w:rPr>
          <w:color w:val="231F20"/>
          <w:spacing w:val="-4"/>
        </w:rPr>
        <w:t>тому,</w:t>
      </w:r>
      <w:r>
        <w:rPr>
          <w:color w:val="231F20"/>
          <w:spacing w:val="-12"/>
        </w:rPr>
        <w:t xml:space="preserve"> </w:t>
      </w:r>
      <w:r>
        <w:rPr>
          <w:color w:val="231F20"/>
        </w:rPr>
        <w:t>що</w:t>
      </w:r>
      <w:r>
        <w:rPr>
          <w:color w:val="231F20"/>
          <w:spacing w:val="-12"/>
        </w:rPr>
        <w:t xml:space="preserve"> </w:t>
      </w:r>
      <w:r>
        <w:rPr>
          <w:color w:val="231F20"/>
        </w:rPr>
        <w:t>вони</w:t>
      </w:r>
      <w:r>
        <w:rPr>
          <w:color w:val="231F20"/>
          <w:spacing w:val="-12"/>
        </w:rPr>
        <w:t xml:space="preserve"> </w:t>
      </w:r>
      <w:r>
        <w:rPr>
          <w:color w:val="231F20"/>
        </w:rPr>
        <w:t>є</w:t>
      </w:r>
      <w:r>
        <w:rPr>
          <w:color w:val="231F20"/>
          <w:spacing w:val="-12"/>
        </w:rPr>
        <w:t xml:space="preserve"> </w:t>
      </w:r>
      <w:r>
        <w:rPr>
          <w:color w:val="231F20"/>
        </w:rPr>
        <w:t>залежними</w:t>
      </w:r>
      <w:r>
        <w:rPr>
          <w:color w:val="231F20"/>
          <w:spacing w:val="-12"/>
        </w:rPr>
        <w:t xml:space="preserve"> </w:t>
      </w:r>
      <w:r>
        <w:rPr>
          <w:color w:val="231F20"/>
        </w:rPr>
        <w:t>від</w:t>
      </w:r>
      <w:r>
        <w:rPr>
          <w:color w:val="231F20"/>
          <w:spacing w:val="-12"/>
        </w:rPr>
        <w:t xml:space="preserve"> </w:t>
      </w:r>
      <w:r>
        <w:rPr>
          <w:color w:val="231F20"/>
        </w:rPr>
        <w:t>загаль- ного адміністративного права. Кожна з них регулює порядок реалі- зації публічною адміністра</w:t>
      </w:r>
      <w:r>
        <w:rPr>
          <w:color w:val="231F20"/>
        </w:rPr>
        <w:t>цією окремої галузі (сфери) публічного адміністрування. Перелік підгалузей, які утворюють зміст особли- вого адміністративного права, є відкритим. Розширення кількості функцій, які покладаються на публічну адміністрацію, призводить до появи нових підгалузе</w:t>
      </w:r>
      <w:r>
        <w:rPr>
          <w:color w:val="231F20"/>
        </w:rPr>
        <w:t>й особливого адміністративного</w:t>
      </w:r>
      <w:r>
        <w:rPr>
          <w:color w:val="231F20"/>
          <w:spacing w:val="-9"/>
        </w:rPr>
        <w:t xml:space="preserve"> </w:t>
      </w:r>
      <w:r>
        <w:rPr>
          <w:color w:val="231F20"/>
        </w:rPr>
        <w:t>права</w:t>
      </w:r>
      <w:r>
        <w:rPr>
          <w:color w:val="231F20"/>
          <w:position w:val="7"/>
          <w:sz w:val="12"/>
        </w:rPr>
        <w:t>4</w:t>
      </w:r>
      <w:r>
        <w:rPr>
          <w:color w:val="231F20"/>
        </w:rPr>
        <w:t>.</w:t>
      </w:r>
    </w:p>
    <w:p w14:paraId="11C09A3B" w14:textId="77777777" w:rsidR="00DE575E" w:rsidRDefault="00DE575E">
      <w:pPr>
        <w:pStyle w:val="BodyText"/>
        <w:rPr>
          <w:sz w:val="20"/>
        </w:rPr>
      </w:pPr>
    </w:p>
    <w:p w14:paraId="24E975A5" w14:textId="40E76A4E" w:rsidR="00DE575E" w:rsidRDefault="002E7560">
      <w:pPr>
        <w:pStyle w:val="BodyText"/>
        <w:spacing w:before="5"/>
        <w:rPr>
          <w:sz w:val="17"/>
        </w:rPr>
      </w:pPr>
      <w:r>
        <w:rPr>
          <w:noProof/>
        </w:rPr>
        <mc:AlternateContent>
          <mc:Choice Requires="wps">
            <w:drawing>
              <wp:anchor distT="0" distB="0" distL="0" distR="0" simplePos="0" relativeHeight="2416" behindDoc="0" locked="0" layoutInCell="1" allowOverlap="1" wp14:anchorId="3DBEB5C0" wp14:editId="444FB534">
                <wp:simplePos x="0" y="0"/>
                <wp:positionH relativeFrom="page">
                  <wp:posOffset>539750</wp:posOffset>
                </wp:positionH>
                <wp:positionV relativeFrom="paragraph">
                  <wp:posOffset>157480</wp:posOffset>
                </wp:positionV>
                <wp:extent cx="1080135" cy="0"/>
                <wp:effectExtent l="6350" t="17780" r="31115" b="20320"/>
                <wp:wrapTopAndBottom/>
                <wp:docPr id="1309"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BE038" id="Line_x0020_1308" o:spid="_x0000_s1026" style="position:absolute;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4pt" to="127.55pt,1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" strokecolor="#231f20" strokeweight=".5pt">
                <w10:wrap type="topAndBottom" anchorx="page"/>
              </v:line>
            </w:pict>
          </mc:Fallback>
        </mc:AlternateContent>
      </w:r>
    </w:p>
    <w:p w14:paraId="2B52F4DD" w14:textId="77777777" w:rsidR="00DE575E" w:rsidRDefault="002E7560">
      <w:pPr>
        <w:spacing w:line="162" w:lineRule="exact"/>
        <w:ind w:left="250"/>
        <w:rPr>
          <w:sz w:val="16"/>
        </w:rPr>
      </w:pPr>
      <w:r>
        <w:rPr>
          <w:color w:val="231F20"/>
          <w:position w:val="5"/>
          <w:sz w:val="9"/>
        </w:rPr>
        <w:t xml:space="preserve">1 </w:t>
      </w:r>
      <w:r>
        <w:rPr>
          <w:color w:val="231F20"/>
          <w:sz w:val="16"/>
        </w:rPr>
        <w:t>Мельник Р. Система адміністративного права України: дисертація. Харків, 2010. 415 с.</w:t>
      </w:r>
    </w:p>
    <w:p w14:paraId="2888856C" w14:textId="77777777" w:rsidR="00DE575E" w:rsidRDefault="002E7560">
      <w:pPr>
        <w:ind w:left="250"/>
        <w:rPr>
          <w:sz w:val="16"/>
        </w:rPr>
      </w:pPr>
      <w:r>
        <w:rPr>
          <w:color w:val="231F20"/>
          <w:position w:val="5"/>
          <w:sz w:val="9"/>
        </w:rPr>
        <w:t xml:space="preserve">2 </w:t>
      </w:r>
      <w:r>
        <w:rPr>
          <w:color w:val="231F20"/>
          <w:sz w:val="16"/>
        </w:rPr>
        <w:t>Мельник Р. Зазнач. праця.</w:t>
      </w:r>
    </w:p>
    <w:p w14:paraId="1873507C" w14:textId="77777777" w:rsidR="00DE575E" w:rsidRDefault="002E7560">
      <w:pPr>
        <w:spacing w:before="1"/>
        <w:ind w:left="250"/>
        <w:rPr>
          <w:sz w:val="16"/>
        </w:rPr>
      </w:pPr>
      <w:r>
        <w:rPr>
          <w:color w:val="231F20"/>
          <w:position w:val="5"/>
          <w:sz w:val="9"/>
        </w:rPr>
        <w:t xml:space="preserve">3 </w:t>
      </w:r>
      <w:r>
        <w:rPr>
          <w:color w:val="231F20"/>
          <w:sz w:val="16"/>
        </w:rPr>
        <w:t>Kahl A., Weber K. Allgemeines Verwaltungsrecht. Wien: Facultas, 2017. 364 s.</w:t>
      </w:r>
    </w:p>
    <w:p w14:paraId="1AE36D21" w14:textId="77777777" w:rsidR="00DE575E" w:rsidRDefault="002E7560">
      <w:pPr>
        <w:spacing w:before="24" w:line="204" w:lineRule="auto"/>
        <w:ind w:left="250" w:right="411"/>
        <w:jc w:val="both"/>
        <w:rPr>
          <w:sz w:val="16"/>
        </w:rPr>
      </w:pPr>
      <w:r>
        <w:rPr>
          <w:color w:val="231F20"/>
          <w:position w:val="5"/>
          <w:sz w:val="9"/>
        </w:rPr>
        <w:t xml:space="preserve">4 </w:t>
      </w:r>
      <w:r>
        <w:rPr>
          <w:color w:val="231F20"/>
          <w:sz w:val="16"/>
        </w:rPr>
        <w:t xml:space="preserve">Мельник Р. Від Особливої частини адміністративного права до Особливого адмініст- ративного права. </w:t>
      </w:r>
      <w:r>
        <w:rPr>
          <w:i/>
          <w:color w:val="231F20"/>
          <w:sz w:val="16"/>
        </w:rPr>
        <w:t>Вісник Одеського національного університету</w:t>
      </w:r>
      <w:r>
        <w:rPr>
          <w:color w:val="231F20"/>
          <w:sz w:val="16"/>
        </w:rPr>
        <w:t>. Серія правознавство. 2012. Том 17. Випуск 1/2 (16/17). С. 131–139.</w:t>
      </w:r>
    </w:p>
    <w:p w14:paraId="21DE5ACA" w14:textId="77777777" w:rsidR="00DE575E" w:rsidRDefault="00DE575E">
      <w:pPr>
        <w:pStyle w:val="BodyText"/>
        <w:spacing w:before="5"/>
        <w:rPr>
          <w:sz w:val="12"/>
        </w:rPr>
      </w:pPr>
    </w:p>
    <w:p w14:paraId="6A4DBC04" w14:textId="77777777" w:rsidR="00DE575E" w:rsidRDefault="002E7560">
      <w:pPr>
        <w:spacing w:before="92"/>
        <w:ind w:right="411"/>
        <w:jc w:val="right"/>
        <w:rPr>
          <w:rFonts w:ascii="Times New Roman"/>
          <w:sz w:val="20"/>
        </w:rPr>
      </w:pPr>
      <w:r>
        <w:rPr>
          <w:rFonts w:ascii="Times New Roman"/>
          <w:color w:val="231F20"/>
          <w:w w:val="90"/>
          <w:sz w:val="20"/>
        </w:rPr>
        <w:t>41</w:t>
      </w:r>
    </w:p>
    <w:p w14:paraId="4332CDF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F14D893"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w:t>
      </w:r>
      <w:r>
        <w:rPr>
          <w:rFonts w:ascii="AdonisC" w:hAnsi="AdonisC"/>
          <w:i/>
          <w:color w:val="231F20"/>
          <w:sz w:val="18"/>
        </w:rPr>
        <w:t>и. Повний курс</w:t>
      </w:r>
    </w:p>
    <w:p w14:paraId="2DC53055" w14:textId="668D07B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84F5499" wp14:editId="3B2A7310">
                <wp:extent cx="4140200" cy="6350"/>
                <wp:effectExtent l="0" t="0" r="12700" b="6350"/>
                <wp:docPr id="1307"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08" name="Line 130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AABD68" id="Group_x0020_130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sPhPCgAIAAJwFAAAO&#10;AAAAAAAAAAAAAAAAACwCAABkcnMvZTJvRG9jLnhtbFBLAQItABQABgAIAAAAIQBMp7CQ2QAAAAMB&#10;AAAPAAAAAAAAAAAAAAAAANgEAABkcnMvZG93bnJldi54bWxQSwUGAAAAAAQABADzAAAA3gUAAAAA&#10;">
                <v:line id="Line_x0020_130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Uj/ccAAADdAAAADwAAAGRycy9kb3ducmV2LnhtbESPQUvDQBCF74L/YRnBi9hNDUiJ3RYR&#10;CuKh1aQ/YJodk+DubJrdNtFf7xwKvc3w3rz3zXI9eafONMQusIH5LANFXAfbcWNgX20eF6BiQrbo&#10;ApOBX4qwXt3eLLGwYeQvOpepURLCsUADbUp9oXWsW/IYZ6EnFu07DB6TrEOj7YCjhHunn7LsWXvs&#10;WBpa7OmtpfqnPHkD1fEhuc/dhxur3SHXh+M2/zttjbm/m15fQCWa0tV8uX63gp9ngivfyAh69Q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1SP9xwAAAN0AAAAPAAAAAAAA&#10;AAAAAAAAAKECAABkcnMvZG93bnJldi54bWxQSwUGAAAAAAQABAD5AAAAlQMAAAAA&#10;" strokecolor="#231f20" strokeweight=".5pt"/>
                <w10:anchorlock/>
              </v:group>
            </w:pict>
          </mc:Fallback>
        </mc:AlternateContent>
      </w:r>
    </w:p>
    <w:p w14:paraId="00DBF7D0" w14:textId="77777777" w:rsidR="00DE575E" w:rsidRDefault="00DE575E">
      <w:pPr>
        <w:pStyle w:val="BodyText"/>
        <w:spacing w:before="7"/>
        <w:rPr>
          <w:rFonts w:ascii="AdonisC"/>
          <w:i/>
          <w:sz w:val="11"/>
        </w:rPr>
      </w:pPr>
    </w:p>
    <w:p w14:paraId="11BE8C41" w14:textId="77777777" w:rsidR="00DE575E" w:rsidRDefault="002E7560">
      <w:pPr>
        <w:pStyle w:val="BodyText"/>
        <w:spacing w:before="101" w:line="252" w:lineRule="auto"/>
        <w:ind w:left="533" w:right="128" w:firstLine="283"/>
        <w:jc w:val="both"/>
      </w:pPr>
      <w:r>
        <w:rPr>
          <w:color w:val="231F20"/>
        </w:rPr>
        <w:t xml:space="preserve">Визнано, що складниками </w:t>
      </w:r>
      <w:r>
        <w:rPr>
          <w:i/>
          <w:color w:val="231F20"/>
        </w:rPr>
        <w:t xml:space="preserve">Особливого адміністративного права </w:t>
      </w:r>
      <w:r>
        <w:rPr>
          <w:color w:val="231F20"/>
        </w:rPr>
        <w:t>є: адміністративне деліктне право, службове право та поліцейське право</w:t>
      </w:r>
      <w:r>
        <w:rPr>
          <w:color w:val="231F20"/>
          <w:spacing w:val="-12"/>
        </w:rPr>
        <w:t xml:space="preserve"> </w:t>
      </w:r>
      <w:r>
        <w:rPr>
          <w:color w:val="231F20"/>
        </w:rPr>
        <w:t>(адміністративна</w:t>
      </w:r>
      <w:r>
        <w:rPr>
          <w:color w:val="231F20"/>
          <w:spacing w:val="-12"/>
        </w:rPr>
        <w:t xml:space="preserve"> </w:t>
      </w:r>
      <w:r>
        <w:rPr>
          <w:color w:val="231F20"/>
        </w:rPr>
        <w:t>діяльність</w:t>
      </w:r>
      <w:r>
        <w:rPr>
          <w:color w:val="231F20"/>
          <w:spacing w:val="-12"/>
        </w:rPr>
        <w:t xml:space="preserve"> </w:t>
      </w:r>
      <w:r>
        <w:rPr>
          <w:color w:val="231F20"/>
        </w:rPr>
        <w:t>поліції).</w:t>
      </w:r>
      <w:r>
        <w:rPr>
          <w:color w:val="231F20"/>
          <w:spacing w:val="-12"/>
        </w:rPr>
        <w:t xml:space="preserve"> </w:t>
      </w:r>
      <w:r>
        <w:rPr>
          <w:color w:val="231F20"/>
        </w:rPr>
        <w:t>Деякі</w:t>
      </w:r>
      <w:r>
        <w:rPr>
          <w:color w:val="231F20"/>
          <w:spacing w:val="-12"/>
        </w:rPr>
        <w:t xml:space="preserve"> </w:t>
      </w:r>
      <w:r>
        <w:rPr>
          <w:color w:val="231F20"/>
        </w:rPr>
        <w:t>вчені</w:t>
      </w:r>
      <w:r>
        <w:rPr>
          <w:color w:val="231F20"/>
          <w:spacing w:val="-12"/>
        </w:rPr>
        <w:t xml:space="preserve"> </w:t>
      </w:r>
      <w:r>
        <w:rPr>
          <w:color w:val="231F20"/>
        </w:rPr>
        <w:t>додатково</w:t>
      </w:r>
      <w:r>
        <w:rPr>
          <w:color w:val="231F20"/>
          <w:spacing w:val="-12"/>
        </w:rPr>
        <w:t xml:space="preserve"> </w:t>
      </w:r>
      <w:r>
        <w:rPr>
          <w:color w:val="231F20"/>
        </w:rPr>
        <w:t xml:space="preserve">до змісту Особливого адміністративного права відносять: адміністра- тивне господарське право; екологічне право, енергетичне право; інфраструктурне право; митне право; муніципальне право; подат- кове право; захист від надзвичайних ситуацій; </w:t>
      </w:r>
      <w:r>
        <w:rPr>
          <w:color w:val="231F20"/>
        </w:rPr>
        <w:t>право соціального захисту; спортивне право</w:t>
      </w:r>
      <w:r>
        <w:rPr>
          <w:color w:val="231F20"/>
          <w:spacing w:val="-3"/>
        </w:rPr>
        <w:t xml:space="preserve"> </w:t>
      </w:r>
      <w:r>
        <w:rPr>
          <w:color w:val="231F20"/>
          <w:position w:val="7"/>
          <w:sz w:val="12"/>
        </w:rPr>
        <w:t>1</w:t>
      </w:r>
      <w:r>
        <w:rPr>
          <w:color w:val="231F20"/>
        </w:rPr>
        <w:t>.</w:t>
      </w:r>
    </w:p>
    <w:p w14:paraId="56175B1A" w14:textId="77777777" w:rsidR="00DE575E" w:rsidRDefault="002E7560">
      <w:pPr>
        <w:pStyle w:val="BodyText"/>
        <w:spacing w:before="4" w:line="252" w:lineRule="auto"/>
        <w:ind w:left="533" w:right="127" w:firstLine="283"/>
        <w:jc w:val="both"/>
      </w:pPr>
      <w:r>
        <w:rPr>
          <w:color w:val="231F20"/>
        </w:rPr>
        <w:t>До змісту Спеціального адміністративного права включається специфіка публічного адміністрування в певних галузях суспіль- ного життя, які не мають ознак підгалузі адміністративного права. Це публічне адміністру</w:t>
      </w:r>
      <w:r>
        <w:rPr>
          <w:color w:val="231F20"/>
        </w:rPr>
        <w:t xml:space="preserve">вання у галузях </w:t>
      </w:r>
      <w:r>
        <w:rPr>
          <w:color w:val="231F20"/>
          <w:spacing w:val="-3"/>
        </w:rPr>
        <w:t xml:space="preserve">культури, </w:t>
      </w:r>
      <w:r>
        <w:rPr>
          <w:color w:val="231F20"/>
        </w:rPr>
        <w:t xml:space="preserve">економіки, освіти, оборони, соціального забезпечення, екології, юстиції, охорони здоров’я,  правоохоронної  діяльності,  </w:t>
      </w:r>
      <w:r>
        <w:rPr>
          <w:color w:val="231F20"/>
          <w:spacing w:val="-3"/>
        </w:rPr>
        <w:t xml:space="preserve">спорту,  </w:t>
      </w:r>
      <w:r>
        <w:rPr>
          <w:color w:val="231F20"/>
        </w:rPr>
        <w:t>фінансів  та  ін.,  які  у свою чергу поділяються на окремі сфери та</w:t>
      </w:r>
      <w:r>
        <w:rPr>
          <w:color w:val="231F20"/>
          <w:spacing w:val="-9"/>
        </w:rPr>
        <w:t xml:space="preserve"> </w:t>
      </w:r>
      <w:r>
        <w:rPr>
          <w:color w:val="231F20"/>
        </w:rPr>
        <w:t>сектори.</w:t>
      </w:r>
    </w:p>
    <w:p w14:paraId="590ED058" w14:textId="77777777" w:rsidR="00DE575E" w:rsidRDefault="002E7560">
      <w:pPr>
        <w:spacing w:before="3" w:line="252" w:lineRule="auto"/>
        <w:ind w:left="533" w:right="128" w:firstLine="283"/>
        <w:jc w:val="both"/>
        <w:rPr>
          <w:i/>
          <w:sz w:val="21"/>
        </w:rPr>
      </w:pPr>
      <w:r>
        <w:rPr>
          <w:i/>
          <w:color w:val="231F20"/>
          <w:sz w:val="21"/>
          <w:u w:val="single" w:color="231F20"/>
        </w:rPr>
        <w:t>Приклад</w:t>
      </w:r>
      <w:r>
        <w:rPr>
          <w:color w:val="231F20"/>
          <w:sz w:val="21"/>
        </w:rPr>
        <w:t xml:space="preserve">: </w:t>
      </w:r>
      <w:r>
        <w:rPr>
          <w:i/>
          <w:color w:val="231F20"/>
          <w:sz w:val="21"/>
        </w:rPr>
        <w:t>галузь освіти</w:t>
      </w:r>
      <w:r>
        <w:rPr>
          <w:i/>
          <w:color w:val="231F20"/>
          <w:sz w:val="21"/>
        </w:rPr>
        <w:t xml:space="preserve"> поділяється на сфери публічного адміні- стрування</w:t>
      </w:r>
      <w:r>
        <w:rPr>
          <w:i/>
          <w:color w:val="231F20"/>
          <w:spacing w:val="-16"/>
          <w:sz w:val="21"/>
        </w:rPr>
        <w:t xml:space="preserve"> </w:t>
      </w:r>
      <w:r>
        <w:rPr>
          <w:i/>
          <w:color w:val="231F20"/>
          <w:sz w:val="21"/>
        </w:rPr>
        <w:t>дошкільної,</w:t>
      </w:r>
      <w:r>
        <w:rPr>
          <w:i/>
          <w:color w:val="231F20"/>
          <w:spacing w:val="-17"/>
          <w:sz w:val="21"/>
        </w:rPr>
        <w:t xml:space="preserve"> </w:t>
      </w:r>
      <w:r>
        <w:rPr>
          <w:i/>
          <w:color w:val="231F20"/>
          <w:sz w:val="21"/>
        </w:rPr>
        <w:t>початкової,</w:t>
      </w:r>
      <w:r>
        <w:rPr>
          <w:i/>
          <w:color w:val="231F20"/>
          <w:spacing w:val="-17"/>
          <w:sz w:val="21"/>
        </w:rPr>
        <w:t xml:space="preserve"> </w:t>
      </w:r>
      <w:r>
        <w:rPr>
          <w:i/>
          <w:color w:val="231F20"/>
          <w:sz w:val="21"/>
        </w:rPr>
        <w:t>середньої,</w:t>
      </w:r>
      <w:r>
        <w:rPr>
          <w:i/>
          <w:color w:val="231F20"/>
          <w:spacing w:val="-16"/>
          <w:sz w:val="21"/>
        </w:rPr>
        <w:t xml:space="preserve"> </w:t>
      </w:r>
      <w:r>
        <w:rPr>
          <w:i/>
          <w:color w:val="231F20"/>
          <w:sz w:val="21"/>
        </w:rPr>
        <w:t>профільної,</w:t>
      </w:r>
      <w:r>
        <w:rPr>
          <w:i/>
          <w:color w:val="231F20"/>
          <w:spacing w:val="-16"/>
          <w:sz w:val="21"/>
        </w:rPr>
        <w:t xml:space="preserve"> </w:t>
      </w:r>
      <w:r>
        <w:rPr>
          <w:i/>
          <w:color w:val="231F20"/>
          <w:sz w:val="21"/>
        </w:rPr>
        <w:t>професійної та вищої світи. Сфера вищої освіти поділяється на публічне адміні- стрування в секторах початкового, бакалаврського, магістерського, освітньо-наук</w:t>
      </w:r>
      <w:r>
        <w:rPr>
          <w:i/>
          <w:color w:val="231F20"/>
          <w:sz w:val="21"/>
        </w:rPr>
        <w:t>ового та наукового</w:t>
      </w:r>
      <w:r>
        <w:rPr>
          <w:i/>
          <w:color w:val="231F20"/>
          <w:spacing w:val="-4"/>
          <w:sz w:val="21"/>
        </w:rPr>
        <w:t xml:space="preserve"> </w:t>
      </w:r>
      <w:r>
        <w:rPr>
          <w:i/>
          <w:color w:val="231F20"/>
          <w:sz w:val="21"/>
        </w:rPr>
        <w:t>рівнів.</w:t>
      </w:r>
    </w:p>
    <w:p w14:paraId="285BA4AD" w14:textId="77777777" w:rsidR="00DE575E" w:rsidRDefault="002E7560">
      <w:pPr>
        <w:pStyle w:val="BodyText"/>
        <w:spacing w:before="3" w:line="252" w:lineRule="auto"/>
        <w:ind w:left="533" w:right="125" w:firstLine="283"/>
        <w:jc w:val="both"/>
      </w:pPr>
      <w:r>
        <w:rPr>
          <w:color w:val="231F20"/>
        </w:rPr>
        <w:t>При</w:t>
      </w:r>
      <w:r>
        <w:rPr>
          <w:color w:val="231F20"/>
          <w:spacing w:val="-16"/>
        </w:rPr>
        <w:t xml:space="preserve"> </w:t>
      </w:r>
      <w:r>
        <w:rPr>
          <w:color w:val="231F20"/>
        </w:rPr>
        <w:t>цьому</w:t>
      </w:r>
      <w:r>
        <w:rPr>
          <w:color w:val="231F20"/>
          <w:spacing w:val="-16"/>
        </w:rPr>
        <w:t xml:space="preserve"> </w:t>
      </w:r>
      <w:r>
        <w:rPr>
          <w:color w:val="231F20"/>
        </w:rPr>
        <w:t>потрібно</w:t>
      </w:r>
      <w:r>
        <w:rPr>
          <w:color w:val="231F20"/>
          <w:spacing w:val="-16"/>
        </w:rPr>
        <w:t xml:space="preserve"> </w:t>
      </w:r>
      <w:r>
        <w:rPr>
          <w:color w:val="231F20"/>
        </w:rPr>
        <w:t>зазначити,</w:t>
      </w:r>
      <w:r>
        <w:rPr>
          <w:color w:val="231F20"/>
          <w:spacing w:val="-15"/>
        </w:rPr>
        <w:t xml:space="preserve"> </w:t>
      </w:r>
      <w:r>
        <w:rPr>
          <w:color w:val="231F20"/>
        </w:rPr>
        <w:t>що</w:t>
      </w:r>
      <w:r>
        <w:rPr>
          <w:color w:val="231F20"/>
          <w:spacing w:val="-16"/>
        </w:rPr>
        <w:t xml:space="preserve"> </w:t>
      </w:r>
      <w:r>
        <w:rPr>
          <w:color w:val="231F20"/>
        </w:rPr>
        <w:t>зміст</w:t>
      </w:r>
      <w:r>
        <w:rPr>
          <w:color w:val="231F20"/>
          <w:spacing w:val="-16"/>
        </w:rPr>
        <w:t xml:space="preserve"> </w:t>
      </w:r>
      <w:r>
        <w:rPr>
          <w:color w:val="231F20"/>
        </w:rPr>
        <w:t>адміністративного</w:t>
      </w:r>
      <w:r>
        <w:rPr>
          <w:color w:val="231F20"/>
          <w:spacing w:val="-16"/>
        </w:rPr>
        <w:t xml:space="preserve"> </w:t>
      </w:r>
      <w:r>
        <w:rPr>
          <w:color w:val="231F20"/>
        </w:rPr>
        <w:t>права як начальної дисципліни й науки виходить за межі змісту адмі- ністративного права як галузі. Причиною цього є те, що в умовах самоврядування вищих навчальних закладів</w:t>
      </w:r>
      <w:r>
        <w:rPr>
          <w:color w:val="231F20"/>
        </w:rPr>
        <w:t xml:space="preserve"> науково-педагогічні працівники формують авторські програми з однойменної дисци- пліни з урахуванням традицій і специфічних умов навчання у відпо- відному начальному</w:t>
      </w:r>
      <w:r>
        <w:rPr>
          <w:color w:val="231F20"/>
          <w:spacing w:val="-2"/>
        </w:rPr>
        <w:t xml:space="preserve"> </w:t>
      </w:r>
      <w:r>
        <w:rPr>
          <w:color w:val="231F20"/>
        </w:rPr>
        <w:t>закладі.</w:t>
      </w:r>
    </w:p>
    <w:p w14:paraId="5EC9391E" w14:textId="77777777" w:rsidR="00DE575E" w:rsidRDefault="002E7560">
      <w:pPr>
        <w:pStyle w:val="BodyText"/>
        <w:spacing w:before="3" w:line="252" w:lineRule="auto"/>
        <w:ind w:left="533" w:right="127" w:firstLine="283"/>
        <w:jc w:val="both"/>
      </w:pPr>
      <w:r>
        <w:rPr>
          <w:color w:val="231F20"/>
        </w:rPr>
        <w:t>Що стосується сфери впливу науки адміністративного права, то вона</w:t>
      </w:r>
      <w:r>
        <w:rPr>
          <w:color w:val="231F20"/>
          <w:spacing w:val="-7"/>
        </w:rPr>
        <w:t xml:space="preserve"> </w:t>
      </w:r>
      <w:r>
        <w:rPr>
          <w:color w:val="231F20"/>
        </w:rPr>
        <w:t>є</w:t>
      </w:r>
      <w:r>
        <w:rPr>
          <w:color w:val="231F20"/>
          <w:spacing w:val="-7"/>
        </w:rPr>
        <w:t xml:space="preserve"> </w:t>
      </w:r>
      <w:r>
        <w:rPr>
          <w:color w:val="231F20"/>
        </w:rPr>
        <w:t>найширшою</w:t>
      </w:r>
      <w:r>
        <w:rPr>
          <w:color w:val="231F20"/>
          <w:spacing w:val="-7"/>
        </w:rPr>
        <w:t xml:space="preserve"> </w:t>
      </w:r>
      <w:r>
        <w:rPr>
          <w:color w:val="231F20"/>
        </w:rPr>
        <w:t>та</w:t>
      </w:r>
      <w:r>
        <w:rPr>
          <w:color w:val="231F20"/>
          <w:spacing w:val="-7"/>
        </w:rPr>
        <w:t xml:space="preserve"> </w:t>
      </w:r>
      <w:r>
        <w:rPr>
          <w:color w:val="231F20"/>
        </w:rPr>
        <w:t>наповнює</w:t>
      </w:r>
      <w:r>
        <w:rPr>
          <w:color w:val="231F20"/>
          <w:spacing w:val="-7"/>
        </w:rPr>
        <w:t xml:space="preserve"> </w:t>
      </w:r>
      <w:r>
        <w:rPr>
          <w:color w:val="231F20"/>
        </w:rPr>
        <w:t>всю</w:t>
      </w:r>
      <w:r>
        <w:rPr>
          <w:color w:val="231F20"/>
          <w:spacing w:val="-7"/>
        </w:rPr>
        <w:t xml:space="preserve"> </w:t>
      </w:r>
      <w:r>
        <w:rPr>
          <w:color w:val="231F20"/>
        </w:rPr>
        <w:t>юридичну</w:t>
      </w:r>
      <w:r>
        <w:rPr>
          <w:color w:val="231F20"/>
          <w:spacing w:val="-7"/>
        </w:rPr>
        <w:t xml:space="preserve"> </w:t>
      </w:r>
      <w:r>
        <w:rPr>
          <w:color w:val="231F20"/>
        </w:rPr>
        <w:t>матерію</w:t>
      </w:r>
      <w:r>
        <w:rPr>
          <w:color w:val="231F20"/>
          <w:spacing w:val="-7"/>
        </w:rPr>
        <w:t xml:space="preserve"> </w:t>
      </w:r>
      <w:r>
        <w:rPr>
          <w:color w:val="231F20"/>
        </w:rPr>
        <w:t xml:space="preserve">суспільства, якщо там </w:t>
      </w:r>
      <w:r>
        <w:rPr>
          <w:color w:val="231F20"/>
          <w:spacing w:val="-3"/>
        </w:rPr>
        <w:t xml:space="preserve">об’єктивно </w:t>
      </w:r>
      <w:r>
        <w:rPr>
          <w:color w:val="231F20"/>
        </w:rPr>
        <w:t xml:space="preserve">неможливо обійтися без втручання </w:t>
      </w:r>
      <w:r>
        <w:rPr>
          <w:color w:val="231F20"/>
          <w:spacing w:val="-4"/>
        </w:rPr>
        <w:t xml:space="preserve">суб’єкта </w:t>
      </w:r>
      <w:r>
        <w:rPr>
          <w:color w:val="231F20"/>
        </w:rPr>
        <w:t>публічної адміністрації для захисту прав, свобод і законних інтере- сів приватних осіб або забезпечення публічного інтересу держави  й суспільства</w:t>
      </w:r>
      <w:r>
        <w:rPr>
          <w:color w:val="231F20"/>
          <w:spacing w:val="-3"/>
        </w:rPr>
        <w:t xml:space="preserve"> </w:t>
      </w:r>
      <w:r>
        <w:rPr>
          <w:color w:val="231F20"/>
        </w:rPr>
        <w:t>зага</w:t>
      </w:r>
      <w:r>
        <w:rPr>
          <w:color w:val="231F20"/>
        </w:rPr>
        <w:t>лом.</w:t>
      </w:r>
    </w:p>
    <w:p w14:paraId="68A11D8C" w14:textId="77777777" w:rsidR="00DE575E" w:rsidRDefault="00DE575E">
      <w:pPr>
        <w:pStyle w:val="BodyText"/>
        <w:rPr>
          <w:sz w:val="20"/>
        </w:rPr>
      </w:pPr>
    </w:p>
    <w:p w14:paraId="07F7620C" w14:textId="77777777" w:rsidR="00DE575E" w:rsidRDefault="00DE575E">
      <w:pPr>
        <w:pStyle w:val="BodyText"/>
        <w:rPr>
          <w:sz w:val="20"/>
        </w:rPr>
      </w:pPr>
    </w:p>
    <w:p w14:paraId="38792633" w14:textId="77777777" w:rsidR="00DE575E" w:rsidRDefault="00DE575E">
      <w:pPr>
        <w:pStyle w:val="BodyText"/>
        <w:rPr>
          <w:sz w:val="20"/>
        </w:rPr>
      </w:pPr>
    </w:p>
    <w:p w14:paraId="1ABB4314" w14:textId="6E169F64" w:rsidR="00DE575E" w:rsidRDefault="002E7560">
      <w:pPr>
        <w:pStyle w:val="BodyText"/>
        <w:spacing w:before="10"/>
        <w:rPr>
          <w:sz w:val="11"/>
        </w:rPr>
      </w:pPr>
      <w:r>
        <w:rPr>
          <w:noProof/>
        </w:rPr>
        <mc:AlternateContent>
          <mc:Choice Requires="wps">
            <w:drawing>
              <wp:anchor distT="0" distB="0" distL="0" distR="0" simplePos="0" relativeHeight="2464" behindDoc="0" locked="0" layoutInCell="1" allowOverlap="1" wp14:anchorId="5E1DAFED" wp14:editId="47965A65">
                <wp:simplePos x="0" y="0"/>
                <wp:positionH relativeFrom="page">
                  <wp:posOffset>719455</wp:posOffset>
                </wp:positionH>
                <wp:positionV relativeFrom="paragraph">
                  <wp:posOffset>116205</wp:posOffset>
                </wp:positionV>
                <wp:extent cx="1080135" cy="0"/>
                <wp:effectExtent l="8255" t="14605" r="29210" b="23495"/>
                <wp:wrapTopAndBottom/>
                <wp:docPr id="1306"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417E" id="Line_x0020_1305"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141.7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" strokecolor="#231f20" strokeweight=".5pt">
                <w10:wrap type="topAndBottom" anchorx="page"/>
              </v:line>
            </w:pict>
          </mc:Fallback>
        </mc:AlternateContent>
      </w:r>
    </w:p>
    <w:p w14:paraId="1D0913DC"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Мельник Р. Загальне адміністративне право в питаннях і відповідях: навчальний посібник. Київ: Юрінком Інтер, 2018. 308 с.; Галунько В., Курило В., Короєд Є. та ін. Адмі- ністративне право України. Т.1. Загальне адміністративне право: навчальний</w:t>
      </w:r>
      <w:r>
        <w:rPr>
          <w:color w:val="231F20"/>
          <w:sz w:val="16"/>
        </w:rPr>
        <w:t xml:space="preserve"> посібник. Херсон: Грінь Д.С., 2015. С. 23-24.</w:t>
      </w:r>
    </w:p>
    <w:p w14:paraId="004B9E3E" w14:textId="77777777" w:rsidR="00DE575E" w:rsidRDefault="00DE575E">
      <w:pPr>
        <w:pStyle w:val="BodyText"/>
        <w:spacing w:before="2"/>
        <w:rPr>
          <w:sz w:val="12"/>
        </w:rPr>
      </w:pPr>
    </w:p>
    <w:p w14:paraId="7002504A" w14:textId="77777777" w:rsidR="00DE575E" w:rsidRDefault="002E7560">
      <w:pPr>
        <w:spacing w:before="92"/>
        <w:ind w:left="533"/>
        <w:rPr>
          <w:rFonts w:ascii="Times New Roman"/>
          <w:sz w:val="20"/>
        </w:rPr>
      </w:pPr>
      <w:r>
        <w:rPr>
          <w:rFonts w:ascii="Times New Roman"/>
          <w:color w:val="231F20"/>
          <w:sz w:val="20"/>
        </w:rPr>
        <w:t>42</w:t>
      </w:r>
    </w:p>
    <w:p w14:paraId="23CF27B0" w14:textId="77777777" w:rsidR="00DE575E" w:rsidRDefault="00DE575E">
      <w:pPr>
        <w:rPr>
          <w:rFonts w:ascii="Times New Roman"/>
          <w:sz w:val="20"/>
        </w:rPr>
        <w:sectPr w:rsidR="00DE575E">
          <w:pgSz w:w="8510" w:h="12760"/>
          <w:pgMar w:top="660" w:right="720" w:bottom="280" w:left="600" w:header="720" w:footer="720" w:gutter="0"/>
          <w:cols w:space="720"/>
        </w:sectPr>
      </w:pPr>
    </w:p>
    <w:p w14:paraId="5D325617" w14:textId="77777777" w:rsidR="00DE575E" w:rsidRDefault="002E7560">
      <w:pPr>
        <w:spacing w:before="72" w:line="249" w:lineRule="auto"/>
        <w:ind w:left="1938" w:firstLine="1533"/>
        <w:rPr>
          <w:rFonts w:ascii="AdonisC" w:hAnsi="AdonisC"/>
          <w:i/>
          <w:sz w:val="18"/>
        </w:rPr>
      </w:pPr>
      <w:r>
        <w:rPr>
          <w:rFonts w:ascii="AdonisC" w:hAnsi="AdonisC"/>
          <w:i/>
          <w:color w:val="231F20"/>
          <w:sz w:val="18"/>
        </w:rPr>
        <w:lastRenderedPageBreak/>
        <w:t>Глава І. Загальне адміністративне право Розділ 1. Адміністративне право як галузь публічного права</w:t>
      </w:r>
    </w:p>
    <w:p w14:paraId="6F1D914F" w14:textId="09E4F2E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3F2F62F" wp14:editId="20AF8DF0">
                <wp:extent cx="4140200" cy="6350"/>
                <wp:effectExtent l="0" t="0" r="12700" b="6350"/>
                <wp:docPr id="1304"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05" name="Line 13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D088C1" id="Group_x0020_13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yF2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ashdh/AgAAnAUAAA4A&#10;AAAAAAAAAAAAAAAALAIAAGRycy9lMm9Eb2MueG1sUEsBAi0AFAAGAAgAAAAhAEynsJDZAAAAAwEA&#10;AA8AAAAAAAAAAAAAAAAA1wQAAGRycy9kb3ducmV2LnhtbFBLBQYAAAAABAAEAPMAAADdBQAAAAA=&#10;">
                <v:line id="Line_x0020_13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9SMY8QAAADdAAAADwAAAGRycy9kb3ducmV2LnhtbERP22rCQBB9L/Qflin0pehGg1Kiq4gg&#10;SB+8pR8wZqdJ6O5szK4m7de7QqFvczjXmS97a8SNWl87VjAaJiCIC6drLhV85pvBOwgfkDUax6Tg&#10;hzwsF89Pc8y06/hIt1MoRQxhn6GCKoQmk9IXFVn0Q9cQR+7LtRZDhG0pdYtdDLdGjpNkKi3WHBsq&#10;bGhdUfF9uloF+eUtmMP+w3T5/pzK82WX/l53Sr2+9KsZiEB9+Bf/ubc6zk+TC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1IxjxAAAAN0AAAAPAAAAAAAAAAAA&#10;AAAAAKECAABkcnMvZG93bnJldi54bWxQSwUGAAAAAAQABAD5AAAAkgMAAAAA&#10;" strokecolor="#231f20" strokeweight=".5pt"/>
                <w10:anchorlock/>
              </v:group>
            </w:pict>
          </mc:Fallback>
        </mc:AlternateContent>
      </w:r>
    </w:p>
    <w:p w14:paraId="5C5C858C" w14:textId="77777777" w:rsidR="00DE575E" w:rsidRDefault="00DE575E">
      <w:pPr>
        <w:pStyle w:val="BodyText"/>
        <w:spacing w:before="7"/>
        <w:rPr>
          <w:rFonts w:ascii="AdonisC"/>
          <w:i/>
          <w:sz w:val="19"/>
        </w:rPr>
      </w:pPr>
    </w:p>
    <w:p w14:paraId="647C43D1" w14:textId="77777777" w:rsidR="00DE575E" w:rsidRDefault="002E7560">
      <w:pPr>
        <w:spacing w:before="1"/>
        <w:ind w:left="2088"/>
        <w:rPr>
          <w:b/>
          <w:sz w:val="21"/>
        </w:rPr>
      </w:pPr>
      <w:r>
        <w:rPr>
          <w:b/>
          <w:color w:val="231F20"/>
          <w:sz w:val="21"/>
        </w:rPr>
        <w:t>Питання для самоконтролю</w:t>
      </w:r>
    </w:p>
    <w:p w14:paraId="0E42A1B7" w14:textId="77777777" w:rsidR="00DE575E" w:rsidRDefault="00DE575E">
      <w:pPr>
        <w:pStyle w:val="BodyText"/>
        <w:spacing w:before="2"/>
        <w:rPr>
          <w:b/>
          <w:sz w:val="23"/>
        </w:rPr>
      </w:pPr>
    </w:p>
    <w:p w14:paraId="2D429577" w14:textId="77777777" w:rsidR="00DE575E" w:rsidRDefault="002E7560">
      <w:pPr>
        <w:pStyle w:val="ListParagraph"/>
        <w:numPr>
          <w:ilvl w:val="1"/>
          <w:numId w:val="302"/>
        </w:numPr>
        <w:tabs>
          <w:tab w:val="left" w:pos="818"/>
        </w:tabs>
        <w:spacing w:before="0" w:line="252" w:lineRule="auto"/>
        <w:ind w:right="411" w:firstLine="283"/>
        <w:rPr>
          <w:sz w:val="21"/>
        </w:rPr>
      </w:pPr>
      <w:r>
        <w:rPr>
          <w:color w:val="231F20"/>
          <w:sz w:val="21"/>
        </w:rPr>
        <w:t>У чому полягає зміст публічного адміністрування як форми реалізації публічної</w:t>
      </w:r>
      <w:r>
        <w:rPr>
          <w:color w:val="231F20"/>
          <w:spacing w:val="-2"/>
          <w:sz w:val="21"/>
        </w:rPr>
        <w:t xml:space="preserve"> </w:t>
      </w:r>
      <w:r>
        <w:rPr>
          <w:color w:val="231F20"/>
          <w:sz w:val="21"/>
        </w:rPr>
        <w:t>влади?</w:t>
      </w:r>
    </w:p>
    <w:p w14:paraId="6E6CC19B" w14:textId="77777777" w:rsidR="00DE575E" w:rsidRDefault="002E7560">
      <w:pPr>
        <w:pStyle w:val="ListParagraph"/>
        <w:numPr>
          <w:ilvl w:val="1"/>
          <w:numId w:val="302"/>
        </w:numPr>
        <w:tabs>
          <w:tab w:val="left" w:pos="818"/>
        </w:tabs>
        <w:ind w:firstLine="283"/>
        <w:rPr>
          <w:sz w:val="21"/>
        </w:rPr>
      </w:pPr>
      <w:r>
        <w:rPr>
          <w:color w:val="231F20"/>
          <w:sz w:val="21"/>
        </w:rPr>
        <w:t>Назвіть види публічного</w:t>
      </w:r>
      <w:r>
        <w:rPr>
          <w:color w:val="231F20"/>
          <w:spacing w:val="-3"/>
          <w:sz w:val="21"/>
        </w:rPr>
        <w:t xml:space="preserve"> </w:t>
      </w:r>
      <w:r>
        <w:rPr>
          <w:color w:val="231F20"/>
          <w:sz w:val="21"/>
        </w:rPr>
        <w:t>адміністрування.</w:t>
      </w:r>
    </w:p>
    <w:p w14:paraId="5D4C4D2B" w14:textId="77777777" w:rsidR="00DE575E" w:rsidRDefault="002E7560">
      <w:pPr>
        <w:pStyle w:val="ListParagraph"/>
        <w:numPr>
          <w:ilvl w:val="1"/>
          <w:numId w:val="302"/>
        </w:numPr>
        <w:tabs>
          <w:tab w:val="left" w:pos="818"/>
        </w:tabs>
        <w:spacing w:before="13"/>
        <w:ind w:firstLine="283"/>
        <w:rPr>
          <w:sz w:val="21"/>
        </w:rPr>
      </w:pPr>
      <w:r>
        <w:rPr>
          <w:color w:val="231F20"/>
          <w:sz w:val="21"/>
        </w:rPr>
        <w:t xml:space="preserve">Хто належить до </w:t>
      </w:r>
      <w:r>
        <w:rPr>
          <w:color w:val="231F20"/>
          <w:spacing w:val="-3"/>
          <w:sz w:val="21"/>
        </w:rPr>
        <w:t xml:space="preserve">суб’єктів </w:t>
      </w:r>
      <w:r>
        <w:rPr>
          <w:color w:val="231F20"/>
          <w:sz w:val="21"/>
        </w:rPr>
        <w:t>публічного</w:t>
      </w:r>
      <w:r>
        <w:rPr>
          <w:color w:val="231F20"/>
          <w:spacing w:val="-2"/>
          <w:sz w:val="21"/>
        </w:rPr>
        <w:t xml:space="preserve"> </w:t>
      </w:r>
      <w:r>
        <w:rPr>
          <w:color w:val="231F20"/>
          <w:sz w:val="21"/>
        </w:rPr>
        <w:t>адміністрування?</w:t>
      </w:r>
    </w:p>
    <w:p w14:paraId="5339602F" w14:textId="77777777" w:rsidR="00DE575E" w:rsidRDefault="002E7560">
      <w:pPr>
        <w:pStyle w:val="ListParagraph"/>
        <w:numPr>
          <w:ilvl w:val="1"/>
          <w:numId w:val="302"/>
        </w:numPr>
        <w:tabs>
          <w:tab w:val="left" w:pos="818"/>
        </w:tabs>
        <w:spacing w:before="12"/>
        <w:ind w:firstLine="283"/>
        <w:rPr>
          <w:sz w:val="21"/>
        </w:rPr>
      </w:pPr>
      <w:r>
        <w:rPr>
          <w:color w:val="231F20"/>
          <w:sz w:val="21"/>
        </w:rPr>
        <w:t>У чому полягає сутність публічного</w:t>
      </w:r>
      <w:r>
        <w:rPr>
          <w:color w:val="231F20"/>
          <w:spacing w:val="-2"/>
          <w:sz w:val="21"/>
        </w:rPr>
        <w:t xml:space="preserve"> </w:t>
      </w:r>
      <w:r>
        <w:rPr>
          <w:color w:val="231F20"/>
          <w:sz w:val="21"/>
        </w:rPr>
        <w:t>інтересу?</w:t>
      </w:r>
    </w:p>
    <w:p w14:paraId="5B2BC4B0" w14:textId="77777777" w:rsidR="00DE575E" w:rsidRDefault="002E7560">
      <w:pPr>
        <w:pStyle w:val="ListParagraph"/>
        <w:numPr>
          <w:ilvl w:val="1"/>
          <w:numId w:val="302"/>
        </w:numPr>
        <w:tabs>
          <w:tab w:val="left" w:pos="818"/>
        </w:tabs>
        <w:spacing w:before="13"/>
        <w:ind w:firstLine="283"/>
        <w:rPr>
          <w:sz w:val="21"/>
        </w:rPr>
      </w:pPr>
      <w:r>
        <w:rPr>
          <w:color w:val="231F20"/>
          <w:sz w:val="21"/>
        </w:rPr>
        <w:t>Здійсніть відмежування публічного інтересу від</w:t>
      </w:r>
      <w:r>
        <w:rPr>
          <w:color w:val="231F20"/>
          <w:spacing w:val="-3"/>
          <w:sz w:val="21"/>
        </w:rPr>
        <w:t xml:space="preserve"> </w:t>
      </w:r>
      <w:r>
        <w:rPr>
          <w:color w:val="231F20"/>
          <w:sz w:val="21"/>
        </w:rPr>
        <w:t>приватного.</w:t>
      </w:r>
    </w:p>
    <w:p w14:paraId="39257712" w14:textId="77777777" w:rsidR="00DE575E" w:rsidRDefault="002E7560">
      <w:pPr>
        <w:pStyle w:val="ListParagraph"/>
        <w:numPr>
          <w:ilvl w:val="1"/>
          <w:numId w:val="302"/>
        </w:numPr>
        <w:tabs>
          <w:tab w:val="left" w:pos="818"/>
        </w:tabs>
        <w:spacing w:before="13" w:line="252" w:lineRule="auto"/>
        <w:ind w:right="411" w:firstLine="283"/>
        <w:rPr>
          <w:sz w:val="21"/>
        </w:rPr>
      </w:pPr>
      <w:r>
        <w:rPr>
          <w:color w:val="231F20"/>
          <w:sz w:val="21"/>
        </w:rPr>
        <w:t>У чому полягає призначення (мета і завдання) адміністратив- ного</w:t>
      </w:r>
      <w:r>
        <w:rPr>
          <w:color w:val="231F20"/>
          <w:spacing w:val="-1"/>
          <w:sz w:val="21"/>
        </w:rPr>
        <w:t xml:space="preserve"> </w:t>
      </w:r>
      <w:r>
        <w:rPr>
          <w:color w:val="231F20"/>
          <w:sz w:val="21"/>
        </w:rPr>
        <w:t>права?</w:t>
      </w:r>
    </w:p>
    <w:p w14:paraId="6D55ACED" w14:textId="77777777" w:rsidR="00DE575E" w:rsidRDefault="002E7560">
      <w:pPr>
        <w:pStyle w:val="ListParagraph"/>
        <w:numPr>
          <w:ilvl w:val="1"/>
          <w:numId w:val="302"/>
        </w:numPr>
        <w:tabs>
          <w:tab w:val="left" w:pos="818"/>
        </w:tabs>
        <w:ind w:firstLine="283"/>
        <w:rPr>
          <w:sz w:val="21"/>
        </w:rPr>
      </w:pPr>
      <w:r>
        <w:rPr>
          <w:color w:val="231F20"/>
          <w:sz w:val="21"/>
        </w:rPr>
        <w:t>Що складає предмет адміністративного</w:t>
      </w:r>
      <w:r>
        <w:rPr>
          <w:color w:val="231F20"/>
          <w:spacing w:val="-3"/>
          <w:sz w:val="21"/>
        </w:rPr>
        <w:t xml:space="preserve"> </w:t>
      </w:r>
      <w:r>
        <w:rPr>
          <w:color w:val="231F20"/>
          <w:sz w:val="21"/>
        </w:rPr>
        <w:t>права?</w:t>
      </w:r>
    </w:p>
    <w:p w14:paraId="0AD7F391" w14:textId="77777777" w:rsidR="00DE575E" w:rsidRDefault="002E7560">
      <w:pPr>
        <w:pStyle w:val="ListParagraph"/>
        <w:numPr>
          <w:ilvl w:val="1"/>
          <w:numId w:val="302"/>
        </w:numPr>
        <w:tabs>
          <w:tab w:val="left" w:pos="818"/>
        </w:tabs>
        <w:spacing w:before="13" w:line="252" w:lineRule="auto"/>
        <w:ind w:right="411" w:firstLine="283"/>
        <w:rPr>
          <w:sz w:val="21"/>
        </w:rPr>
      </w:pPr>
      <w:r>
        <w:rPr>
          <w:color w:val="231F20"/>
          <w:sz w:val="21"/>
        </w:rPr>
        <w:t>Здійсніть відмежування адміністратив</w:t>
      </w:r>
      <w:r>
        <w:rPr>
          <w:color w:val="231F20"/>
          <w:sz w:val="21"/>
        </w:rPr>
        <w:t>ного права від цивіль- ного.</w:t>
      </w:r>
    </w:p>
    <w:p w14:paraId="19A7B1B5" w14:textId="77777777" w:rsidR="00DE575E" w:rsidRDefault="002E7560">
      <w:pPr>
        <w:pStyle w:val="ListParagraph"/>
        <w:numPr>
          <w:ilvl w:val="1"/>
          <w:numId w:val="302"/>
        </w:numPr>
        <w:tabs>
          <w:tab w:val="left" w:pos="818"/>
        </w:tabs>
        <w:spacing w:line="252" w:lineRule="auto"/>
        <w:ind w:right="411" w:firstLine="283"/>
        <w:rPr>
          <w:sz w:val="21"/>
        </w:rPr>
      </w:pPr>
      <w:r>
        <w:rPr>
          <w:color w:val="231F20"/>
          <w:sz w:val="21"/>
        </w:rPr>
        <w:t>Розкрийте комбінації змісту адміністративно-правових відно- син залежно від спрямування діяльності публічної</w:t>
      </w:r>
      <w:r>
        <w:rPr>
          <w:color w:val="231F20"/>
          <w:spacing w:val="-18"/>
          <w:sz w:val="21"/>
        </w:rPr>
        <w:t xml:space="preserve"> </w:t>
      </w:r>
      <w:r>
        <w:rPr>
          <w:color w:val="231F20"/>
          <w:sz w:val="21"/>
        </w:rPr>
        <w:t>адміністрації.</w:t>
      </w:r>
    </w:p>
    <w:p w14:paraId="515930CA" w14:textId="77777777" w:rsidR="00DE575E" w:rsidRDefault="002E7560">
      <w:pPr>
        <w:pStyle w:val="BodyText"/>
        <w:spacing w:before="1" w:line="252" w:lineRule="auto"/>
        <w:ind w:left="250" w:firstLine="283"/>
      </w:pPr>
      <w:r>
        <w:rPr>
          <w:color w:val="231F20"/>
        </w:rPr>
        <w:t>10.Які відносини складають предмет адміністративного права України?</w:t>
      </w:r>
    </w:p>
    <w:p w14:paraId="65B18C86" w14:textId="77777777" w:rsidR="00DE575E" w:rsidRDefault="002E7560">
      <w:pPr>
        <w:pStyle w:val="BodyText"/>
        <w:spacing w:before="1" w:line="252" w:lineRule="auto"/>
        <w:ind w:left="250" w:firstLine="283"/>
      </w:pPr>
      <w:r>
        <w:rPr>
          <w:color w:val="231F20"/>
        </w:rPr>
        <w:t>11.Розкрийте взаємодію адміністрати</w:t>
      </w:r>
      <w:r>
        <w:rPr>
          <w:color w:val="231F20"/>
        </w:rPr>
        <w:t>вного права України та європейського адміністративного права.</w:t>
      </w:r>
    </w:p>
    <w:p w14:paraId="6768D408" w14:textId="77777777" w:rsidR="00DE575E" w:rsidRDefault="002E7560">
      <w:pPr>
        <w:pStyle w:val="BodyText"/>
        <w:spacing w:before="1" w:line="252" w:lineRule="auto"/>
        <w:ind w:left="250" w:right="521" w:firstLine="283"/>
      </w:pPr>
      <w:r>
        <w:rPr>
          <w:color w:val="231F20"/>
        </w:rPr>
        <w:t>12.Назвіть підгалузі, які входять до особливого адміністратив- ного права.</w:t>
      </w:r>
    </w:p>
    <w:p w14:paraId="3B9B3191" w14:textId="77777777" w:rsidR="00DE575E" w:rsidRDefault="00DE575E">
      <w:pPr>
        <w:pStyle w:val="BodyText"/>
        <w:spacing w:before="2"/>
        <w:rPr>
          <w:sz w:val="22"/>
        </w:rPr>
      </w:pPr>
    </w:p>
    <w:p w14:paraId="4BC9486A" w14:textId="77777777" w:rsidR="00DE575E" w:rsidRDefault="002E7560">
      <w:pPr>
        <w:pStyle w:val="Heading5"/>
        <w:ind w:left="1494"/>
      </w:pPr>
      <w:r>
        <w:rPr>
          <w:color w:val="231F20"/>
        </w:rPr>
        <w:t>Література для поглибленого вивчення</w:t>
      </w:r>
    </w:p>
    <w:p w14:paraId="03EBE1F4" w14:textId="77777777" w:rsidR="00DE575E" w:rsidRDefault="00DE575E">
      <w:pPr>
        <w:pStyle w:val="BodyText"/>
        <w:spacing w:before="2"/>
        <w:rPr>
          <w:b/>
          <w:sz w:val="23"/>
        </w:rPr>
      </w:pPr>
    </w:p>
    <w:p w14:paraId="0B480025" w14:textId="77777777" w:rsidR="00DE575E" w:rsidRDefault="002E7560">
      <w:pPr>
        <w:pStyle w:val="ListParagraph"/>
        <w:numPr>
          <w:ilvl w:val="0"/>
          <w:numId w:val="301"/>
        </w:numPr>
        <w:tabs>
          <w:tab w:val="left" w:pos="818"/>
        </w:tabs>
        <w:spacing w:before="0" w:line="252" w:lineRule="auto"/>
        <w:ind w:right="411" w:firstLine="283"/>
        <w:jc w:val="both"/>
        <w:rPr>
          <w:sz w:val="21"/>
        </w:rPr>
      </w:pPr>
      <w:r>
        <w:rPr>
          <w:color w:val="231F20"/>
          <w:sz w:val="21"/>
        </w:rPr>
        <w:t xml:space="preserve">Авер’янов </w:t>
      </w:r>
      <w:r>
        <w:rPr>
          <w:color w:val="231F20"/>
          <w:spacing w:val="-3"/>
          <w:sz w:val="21"/>
        </w:rPr>
        <w:t xml:space="preserve">В. </w:t>
      </w:r>
      <w:r>
        <w:rPr>
          <w:color w:val="231F20"/>
          <w:sz w:val="21"/>
        </w:rPr>
        <w:t xml:space="preserve">Людиноцентристська ідеологія як основа рефор- мування українського адміністративного права в умовах інтегра- ційного </w:t>
      </w:r>
      <w:r>
        <w:rPr>
          <w:color w:val="231F20"/>
          <w:spacing w:val="-3"/>
          <w:sz w:val="21"/>
        </w:rPr>
        <w:t xml:space="preserve">процесу. </w:t>
      </w:r>
      <w:r>
        <w:rPr>
          <w:color w:val="231F20"/>
          <w:sz w:val="21"/>
        </w:rPr>
        <w:t xml:space="preserve">URL: </w:t>
      </w:r>
      <w:hyperlink r:id="rId11">
        <w:r>
          <w:rPr>
            <w:color w:val="231F20"/>
            <w:sz w:val="21"/>
          </w:rPr>
          <w:t>http://radnuk.info/pidrychnuku/493-stetse</w:t>
        </w:r>
      </w:hyperlink>
      <w:r>
        <w:rPr>
          <w:color w:val="231F20"/>
          <w:sz w:val="21"/>
        </w:rPr>
        <w:t xml:space="preserve"> nko/21414-</w:t>
      </w:r>
      <w:r>
        <w:rPr>
          <w:color w:val="231F20"/>
          <w:spacing w:val="-1"/>
          <w:sz w:val="21"/>
        </w:rPr>
        <w:t xml:space="preserve"> </w:t>
      </w:r>
      <w:r>
        <w:rPr>
          <w:color w:val="231F20"/>
          <w:sz w:val="21"/>
        </w:rPr>
        <w:t>2012-06-20-</w:t>
      </w:r>
      <w:r>
        <w:rPr>
          <w:color w:val="231F20"/>
          <w:sz w:val="21"/>
        </w:rPr>
        <w:t>10-58-46.html</w:t>
      </w:r>
    </w:p>
    <w:p w14:paraId="643A4F40" w14:textId="77777777" w:rsidR="00DE575E" w:rsidRDefault="002E7560">
      <w:pPr>
        <w:pStyle w:val="ListParagraph"/>
        <w:numPr>
          <w:ilvl w:val="0"/>
          <w:numId w:val="301"/>
        </w:numPr>
        <w:tabs>
          <w:tab w:val="left" w:pos="818"/>
        </w:tabs>
        <w:spacing w:before="2" w:line="252" w:lineRule="auto"/>
        <w:ind w:right="411" w:firstLine="283"/>
        <w:jc w:val="left"/>
        <w:rPr>
          <w:sz w:val="21"/>
        </w:rPr>
      </w:pPr>
      <w:r>
        <w:rPr>
          <w:color w:val="231F20"/>
          <w:sz w:val="21"/>
        </w:rPr>
        <w:t xml:space="preserve">Мельник </w:t>
      </w:r>
      <w:r>
        <w:rPr>
          <w:color w:val="231F20"/>
          <w:spacing w:val="-14"/>
          <w:sz w:val="21"/>
        </w:rPr>
        <w:t xml:space="preserve">Р. </w:t>
      </w:r>
      <w:r>
        <w:rPr>
          <w:color w:val="231F20"/>
          <w:sz w:val="21"/>
        </w:rPr>
        <w:t xml:space="preserve">Предмет адміністративного права. </w:t>
      </w:r>
      <w:r>
        <w:rPr>
          <w:i/>
          <w:color w:val="231F20"/>
          <w:sz w:val="21"/>
        </w:rPr>
        <w:t>Право України</w:t>
      </w:r>
      <w:r>
        <w:rPr>
          <w:color w:val="231F20"/>
          <w:sz w:val="21"/>
        </w:rPr>
        <w:t>. 2018. URL:</w:t>
      </w:r>
      <w:r>
        <w:rPr>
          <w:color w:val="231F20"/>
          <w:spacing w:val="-11"/>
          <w:sz w:val="21"/>
        </w:rPr>
        <w:t xml:space="preserve"> </w:t>
      </w:r>
      <w:r>
        <w:rPr>
          <w:color w:val="231F20"/>
          <w:sz w:val="21"/>
        </w:rPr>
        <w:t>https://pravoua.com.ua/ua/store/pravoukr/pravo_2018</w:t>
      </w:r>
    </w:p>
    <w:p w14:paraId="2BFF32DA" w14:textId="77777777" w:rsidR="00DE575E" w:rsidRDefault="002E7560">
      <w:pPr>
        <w:pStyle w:val="ListParagraph"/>
        <w:numPr>
          <w:ilvl w:val="0"/>
          <w:numId w:val="301"/>
        </w:numPr>
        <w:tabs>
          <w:tab w:val="left" w:pos="818"/>
        </w:tabs>
        <w:ind w:firstLine="283"/>
        <w:jc w:val="left"/>
        <w:rPr>
          <w:sz w:val="21"/>
        </w:rPr>
      </w:pPr>
      <w:r>
        <w:rPr>
          <w:color w:val="231F20"/>
          <w:sz w:val="21"/>
        </w:rPr>
        <w:t xml:space="preserve">Галунько </w:t>
      </w:r>
      <w:r>
        <w:rPr>
          <w:color w:val="231F20"/>
          <w:spacing w:val="21"/>
          <w:sz w:val="21"/>
        </w:rPr>
        <w:t xml:space="preserve"> </w:t>
      </w:r>
      <w:r>
        <w:rPr>
          <w:color w:val="231F20"/>
          <w:spacing w:val="-3"/>
          <w:sz w:val="21"/>
        </w:rPr>
        <w:t xml:space="preserve">В. </w:t>
      </w:r>
      <w:r>
        <w:rPr>
          <w:color w:val="231F20"/>
          <w:spacing w:val="25"/>
          <w:sz w:val="21"/>
        </w:rPr>
        <w:t xml:space="preserve"> </w:t>
      </w:r>
      <w:r>
        <w:rPr>
          <w:color w:val="231F20"/>
          <w:sz w:val="21"/>
        </w:rPr>
        <w:t xml:space="preserve">Публічний </w:t>
      </w:r>
      <w:r>
        <w:rPr>
          <w:color w:val="231F20"/>
          <w:spacing w:val="21"/>
          <w:sz w:val="21"/>
        </w:rPr>
        <w:t xml:space="preserve"> </w:t>
      </w:r>
      <w:r>
        <w:rPr>
          <w:color w:val="231F20"/>
          <w:sz w:val="21"/>
        </w:rPr>
        <w:t xml:space="preserve">інтерес </w:t>
      </w:r>
      <w:r>
        <w:rPr>
          <w:color w:val="231F20"/>
          <w:spacing w:val="21"/>
          <w:sz w:val="21"/>
        </w:rPr>
        <w:t xml:space="preserve"> </w:t>
      </w:r>
      <w:r>
        <w:rPr>
          <w:color w:val="231F20"/>
          <w:sz w:val="21"/>
        </w:rPr>
        <w:t xml:space="preserve">в </w:t>
      </w:r>
      <w:r>
        <w:rPr>
          <w:color w:val="231F20"/>
          <w:spacing w:val="22"/>
          <w:sz w:val="21"/>
        </w:rPr>
        <w:t xml:space="preserve"> </w:t>
      </w:r>
      <w:r>
        <w:rPr>
          <w:color w:val="231F20"/>
          <w:sz w:val="21"/>
        </w:rPr>
        <w:t xml:space="preserve">адміністративному </w:t>
      </w:r>
      <w:r>
        <w:rPr>
          <w:color w:val="231F20"/>
          <w:spacing w:val="21"/>
          <w:sz w:val="21"/>
        </w:rPr>
        <w:t xml:space="preserve"> </w:t>
      </w:r>
      <w:r>
        <w:rPr>
          <w:color w:val="231F20"/>
          <w:sz w:val="21"/>
        </w:rPr>
        <w:t>прав.</w:t>
      </w:r>
    </w:p>
    <w:p w14:paraId="784E9E8C" w14:textId="77777777" w:rsidR="00DE575E" w:rsidRDefault="002E7560">
      <w:pPr>
        <w:spacing w:before="13"/>
        <w:ind w:left="250"/>
        <w:rPr>
          <w:sz w:val="21"/>
        </w:rPr>
      </w:pPr>
      <w:r>
        <w:rPr>
          <w:i/>
          <w:color w:val="231F20"/>
          <w:sz w:val="21"/>
        </w:rPr>
        <w:t>Форум права</w:t>
      </w:r>
      <w:r>
        <w:rPr>
          <w:color w:val="231F20"/>
          <w:sz w:val="21"/>
        </w:rPr>
        <w:t>. 2010. № 4. С. 178-182.</w:t>
      </w:r>
    </w:p>
    <w:p w14:paraId="7B255A64" w14:textId="77777777" w:rsidR="00DE575E" w:rsidRDefault="002E7560">
      <w:pPr>
        <w:pStyle w:val="ListParagraph"/>
        <w:numPr>
          <w:ilvl w:val="0"/>
          <w:numId w:val="301"/>
        </w:numPr>
        <w:tabs>
          <w:tab w:val="left" w:pos="818"/>
        </w:tabs>
        <w:spacing w:before="13" w:line="252" w:lineRule="auto"/>
        <w:ind w:right="411" w:firstLine="283"/>
        <w:jc w:val="left"/>
        <w:rPr>
          <w:sz w:val="21"/>
        </w:rPr>
      </w:pPr>
      <w:r>
        <w:rPr>
          <w:color w:val="231F20"/>
          <w:sz w:val="21"/>
        </w:rPr>
        <w:t xml:space="preserve">Гриценко І., Мельник </w:t>
      </w:r>
      <w:r>
        <w:rPr>
          <w:color w:val="231F20"/>
          <w:spacing w:val="-10"/>
          <w:sz w:val="21"/>
        </w:rPr>
        <w:t>Р</w:t>
      </w:r>
      <w:r>
        <w:rPr>
          <w:color w:val="231F20"/>
          <w:spacing w:val="-10"/>
          <w:sz w:val="21"/>
        </w:rPr>
        <w:t xml:space="preserve">., </w:t>
      </w:r>
      <w:r>
        <w:rPr>
          <w:color w:val="231F20"/>
          <w:sz w:val="21"/>
        </w:rPr>
        <w:t>Пухтецька А. та ін. Загальне адміні- стративне право: підручник. Київ: Юрінком Інтер, 2017. 566</w:t>
      </w:r>
      <w:r>
        <w:rPr>
          <w:color w:val="231F20"/>
          <w:spacing w:val="-8"/>
          <w:sz w:val="21"/>
        </w:rPr>
        <w:t xml:space="preserve"> </w:t>
      </w:r>
      <w:r>
        <w:rPr>
          <w:color w:val="231F20"/>
          <w:sz w:val="21"/>
        </w:rPr>
        <w:t>с.</w:t>
      </w:r>
    </w:p>
    <w:p w14:paraId="6309A024" w14:textId="77777777" w:rsidR="00DE575E" w:rsidRDefault="002E7560">
      <w:pPr>
        <w:pStyle w:val="ListParagraph"/>
        <w:numPr>
          <w:ilvl w:val="0"/>
          <w:numId w:val="301"/>
        </w:numPr>
        <w:tabs>
          <w:tab w:val="left" w:pos="818"/>
        </w:tabs>
        <w:spacing w:line="252" w:lineRule="auto"/>
        <w:ind w:right="411" w:firstLine="283"/>
        <w:jc w:val="left"/>
        <w:rPr>
          <w:sz w:val="21"/>
        </w:rPr>
      </w:pPr>
      <w:r>
        <w:rPr>
          <w:color w:val="231F20"/>
          <w:sz w:val="21"/>
        </w:rPr>
        <w:t>Мельник</w:t>
      </w:r>
      <w:r>
        <w:rPr>
          <w:color w:val="231F20"/>
          <w:spacing w:val="-15"/>
          <w:sz w:val="21"/>
        </w:rPr>
        <w:t xml:space="preserve"> </w:t>
      </w:r>
      <w:r>
        <w:rPr>
          <w:color w:val="231F20"/>
          <w:spacing w:val="-14"/>
          <w:sz w:val="21"/>
        </w:rPr>
        <w:t>Р.</w:t>
      </w:r>
      <w:r>
        <w:rPr>
          <w:color w:val="231F20"/>
          <w:spacing w:val="-15"/>
          <w:sz w:val="21"/>
        </w:rPr>
        <w:t xml:space="preserve"> </w:t>
      </w:r>
      <w:r>
        <w:rPr>
          <w:color w:val="231F20"/>
          <w:sz w:val="21"/>
        </w:rPr>
        <w:t>Загальне</w:t>
      </w:r>
      <w:r>
        <w:rPr>
          <w:color w:val="231F20"/>
          <w:spacing w:val="-15"/>
          <w:sz w:val="21"/>
        </w:rPr>
        <w:t xml:space="preserve"> </w:t>
      </w:r>
      <w:r>
        <w:rPr>
          <w:color w:val="231F20"/>
          <w:sz w:val="21"/>
        </w:rPr>
        <w:t>адміністративне</w:t>
      </w:r>
      <w:r>
        <w:rPr>
          <w:color w:val="231F20"/>
          <w:spacing w:val="-15"/>
          <w:sz w:val="21"/>
        </w:rPr>
        <w:t xml:space="preserve"> </w:t>
      </w:r>
      <w:r>
        <w:rPr>
          <w:color w:val="231F20"/>
          <w:sz w:val="21"/>
        </w:rPr>
        <w:t>право</w:t>
      </w:r>
      <w:r>
        <w:rPr>
          <w:color w:val="231F20"/>
          <w:spacing w:val="-15"/>
          <w:sz w:val="21"/>
        </w:rPr>
        <w:t xml:space="preserve"> </w:t>
      </w:r>
      <w:r>
        <w:rPr>
          <w:color w:val="231F20"/>
          <w:sz w:val="21"/>
        </w:rPr>
        <w:t>в</w:t>
      </w:r>
      <w:r>
        <w:rPr>
          <w:color w:val="231F20"/>
          <w:spacing w:val="-12"/>
          <w:sz w:val="21"/>
        </w:rPr>
        <w:t xml:space="preserve"> </w:t>
      </w:r>
      <w:r>
        <w:rPr>
          <w:color w:val="231F20"/>
          <w:sz w:val="21"/>
        </w:rPr>
        <w:t>питаннях</w:t>
      </w:r>
      <w:r>
        <w:rPr>
          <w:color w:val="231F20"/>
          <w:spacing w:val="-15"/>
          <w:sz w:val="21"/>
        </w:rPr>
        <w:t xml:space="preserve"> </w:t>
      </w:r>
      <w:r>
        <w:rPr>
          <w:color w:val="231F20"/>
          <w:sz w:val="21"/>
        </w:rPr>
        <w:t>і</w:t>
      </w:r>
      <w:r>
        <w:rPr>
          <w:color w:val="231F20"/>
          <w:spacing w:val="-15"/>
          <w:sz w:val="21"/>
        </w:rPr>
        <w:t xml:space="preserve"> </w:t>
      </w:r>
      <w:r>
        <w:rPr>
          <w:color w:val="231F20"/>
          <w:sz w:val="21"/>
        </w:rPr>
        <w:t>відпо- відях: навчальний посібник. Київ: Юрінком Інтер, 2018. 308</w:t>
      </w:r>
      <w:r>
        <w:rPr>
          <w:color w:val="231F20"/>
          <w:spacing w:val="-2"/>
          <w:sz w:val="21"/>
        </w:rPr>
        <w:t xml:space="preserve"> </w:t>
      </w:r>
      <w:r>
        <w:rPr>
          <w:color w:val="231F20"/>
          <w:sz w:val="21"/>
        </w:rPr>
        <w:t>с.</w:t>
      </w:r>
    </w:p>
    <w:p w14:paraId="035181FD" w14:textId="77777777" w:rsidR="00DE575E" w:rsidRDefault="002E7560">
      <w:pPr>
        <w:pStyle w:val="ListParagraph"/>
        <w:numPr>
          <w:ilvl w:val="0"/>
          <w:numId w:val="301"/>
        </w:numPr>
        <w:tabs>
          <w:tab w:val="left" w:pos="818"/>
        </w:tabs>
        <w:spacing w:line="252" w:lineRule="auto"/>
        <w:ind w:right="412" w:firstLine="283"/>
        <w:jc w:val="both"/>
        <w:rPr>
          <w:sz w:val="21"/>
        </w:rPr>
      </w:pPr>
      <w:r>
        <w:rPr>
          <w:color w:val="231F20"/>
          <w:sz w:val="21"/>
        </w:rPr>
        <w:t xml:space="preserve">Галунько </w:t>
      </w:r>
      <w:r>
        <w:rPr>
          <w:color w:val="231F20"/>
          <w:spacing w:val="-3"/>
          <w:sz w:val="21"/>
        </w:rPr>
        <w:t xml:space="preserve">В., </w:t>
      </w:r>
      <w:r>
        <w:rPr>
          <w:color w:val="231F20"/>
          <w:sz w:val="21"/>
        </w:rPr>
        <w:t xml:space="preserve">Курило </w:t>
      </w:r>
      <w:r>
        <w:rPr>
          <w:color w:val="231F20"/>
          <w:spacing w:val="-3"/>
          <w:sz w:val="21"/>
        </w:rPr>
        <w:t xml:space="preserve">В., </w:t>
      </w:r>
      <w:r>
        <w:rPr>
          <w:color w:val="231F20"/>
          <w:sz w:val="21"/>
        </w:rPr>
        <w:t xml:space="preserve">Короєд С. та ін. Адміністративне право </w:t>
      </w:r>
      <w:r>
        <w:rPr>
          <w:color w:val="231F20"/>
          <w:spacing w:val="-3"/>
          <w:sz w:val="21"/>
        </w:rPr>
        <w:t xml:space="preserve">України. </w:t>
      </w:r>
      <w:r>
        <w:rPr>
          <w:color w:val="231F20"/>
          <w:spacing w:val="-12"/>
          <w:sz w:val="21"/>
        </w:rPr>
        <w:t xml:space="preserve">Т. </w:t>
      </w:r>
      <w:r>
        <w:rPr>
          <w:color w:val="231F20"/>
          <w:sz w:val="21"/>
        </w:rPr>
        <w:t>1. Загальне адміністративне право: підручник. Херсон: Грінь Д.С., 2015. 272</w:t>
      </w:r>
      <w:r>
        <w:rPr>
          <w:color w:val="231F20"/>
          <w:spacing w:val="-2"/>
          <w:sz w:val="21"/>
        </w:rPr>
        <w:t xml:space="preserve"> </w:t>
      </w:r>
      <w:r>
        <w:rPr>
          <w:color w:val="231F20"/>
          <w:sz w:val="21"/>
        </w:rPr>
        <w:t>с.</w:t>
      </w:r>
    </w:p>
    <w:p w14:paraId="68F47284" w14:textId="77777777" w:rsidR="00DE575E" w:rsidRDefault="00DE575E">
      <w:pPr>
        <w:pStyle w:val="BodyText"/>
        <w:spacing w:before="5"/>
        <w:rPr>
          <w:sz w:val="12"/>
        </w:rPr>
      </w:pPr>
    </w:p>
    <w:p w14:paraId="04DA2739" w14:textId="77777777" w:rsidR="00DE575E" w:rsidRDefault="002E7560">
      <w:pPr>
        <w:spacing w:before="92"/>
        <w:ind w:right="411"/>
        <w:jc w:val="right"/>
        <w:rPr>
          <w:rFonts w:ascii="Times New Roman"/>
          <w:sz w:val="20"/>
        </w:rPr>
      </w:pPr>
      <w:r>
        <w:rPr>
          <w:rFonts w:ascii="Times New Roman"/>
          <w:color w:val="231F20"/>
          <w:w w:val="90"/>
          <w:sz w:val="20"/>
        </w:rPr>
        <w:t>43</w:t>
      </w:r>
    </w:p>
    <w:p w14:paraId="401F641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F4F8A8B"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7982B535" w14:textId="5CF19A0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5C5DDA9" wp14:editId="0BA1E597">
                <wp:extent cx="4140200" cy="6350"/>
                <wp:effectExtent l="0" t="0" r="12700" b="6350"/>
                <wp:docPr id="1302"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03" name="Line 130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8667BA" id="Group_x0020_130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5zdH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Dd&#10;NCs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JLnN0fQIAAJwFAAAOAAAA&#10;AAAAAAAAAAAAACwCAABkcnMvZTJvRG9jLnhtbFBLAQItABQABgAIAAAAIQBMp7CQ2QAAAAMBAAAP&#10;AAAAAAAAAAAAAAAAANUEAABkcnMvZG93bnJldi54bWxQSwUGAAAAAAQABADzAAAA2wUAAAAA&#10;">
                <v:line id="Line_x0020_130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GxjMQAAADdAAAADwAAAGRycy9kb3ducmV2LnhtbERPzWrCQBC+F3yHZYReim7aQJHoKiIU&#10;xIO2xgcYs2MS3J2N2dVEn75bKHibj+93ZoveGnGj1teOFbyPExDEhdM1lwoO+ddoAsIHZI3GMSm4&#10;k4fFfPAyw0y7jn/otg+liCHsM1RQhdBkUvqiIot+7BriyJ1cazFE2JZSt9jFcGvkR5J8Sos1x4YK&#10;G1pVVJz3V6sgv7wF873bmC7fHVN5vGzTx3Wr1OuwX05BBOrDU/zvXus4P01S+Psmni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cbGMxAAAAN0AAAAPAAAAAAAAAAAA&#10;AAAAAKECAABkcnMvZG93bnJldi54bWxQSwUGAAAAAAQABAD5AAAAkgMAAAAA&#10;" strokecolor="#231f20" strokeweight=".5pt"/>
                <w10:anchorlock/>
              </v:group>
            </w:pict>
          </mc:Fallback>
        </mc:AlternateContent>
      </w:r>
    </w:p>
    <w:p w14:paraId="266EB3BB" w14:textId="77777777" w:rsidR="00DE575E" w:rsidRDefault="00DE575E">
      <w:pPr>
        <w:pStyle w:val="BodyText"/>
        <w:spacing w:before="7"/>
        <w:rPr>
          <w:rFonts w:ascii="AdonisC"/>
          <w:i/>
          <w:sz w:val="11"/>
        </w:rPr>
      </w:pPr>
    </w:p>
    <w:p w14:paraId="7FF1E1F9" w14:textId="77777777" w:rsidR="00DE575E" w:rsidRDefault="002E7560">
      <w:pPr>
        <w:pStyle w:val="ListParagraph"/>
        <w:numPr>
          <w:ilvl w:val="0"/>
          <w:numId w:val="301"/>
        </w:numPr>
        <w:tabs>
          <w:tab w:val="left" w:pos="1101"/>
        </w:tabs>
        <w:spacing w:before="101" w:line="252" w:lineRule="auto"/>
        <w:ind w:left="533" w:right="128" w:firstLine="284"/>
        <w:jc w:val="both"/>
        <w:rPr>
          <w:sz w:val="21"/>
        </w:rPr>
      </w:pPr>
      <w:r>
        <w:rPr>
          <w:color w:val="231F20"/>
          <w:sz w:val="21"/>
        </w:rPr>
        <w:t xml:space="preserve">Пухтецька А. Європейські принципи адміністративного права та їх запровадження у законодавство </w:t>
      </w:r>
      <w:r>
        <w:rPr>
          <w:color w:val="231F20"/>
          <w:spacing w:val="-3"/>
          <w:sz w:val="21"/>
        </w:rPr>
        <w:t xml:space="preserve">України </w:t>
      </w:r>
      <w:r>
        <w:rPr>
          <w:color w:val="231F20"/>
          <w:sz w:val="21"/>
        </w:rPr>
        <w:t>: автореф. дис… Київ, 2009. 18 с.</w:t>
      </w:r>
    </w:p>
    <w:p w14:paraId="7D7713E0" w14:textId="77777777" w:rsidR="00DE575E" w:rsidRDefault="002E7560">
      <w:pPr>
        <w:pStyle w:val="ListParagraph"/>
        <w:numPr>
          <w:ilvl w:val="0"/>
          <w:numId w:val="301"/>
        </w:numPr>
        <w:tabs>
          <w:tab w:val="left" w:pos="1101"/>
        </w:tabs>
        <w:spacing w:line="252" w:lineRule="auto"/>
        <w:ind w:left="533" w:right="130" w:firstLine="284"/>
        <w:jc w:val="both"/>
        <w:rPr>
          <w:sz w:val="21"/>
        </w:rPr>
      </w:pPr>
      <w:r>
        <w:rPr>
          <w:color w:val="231F20"/>
          <w:sz w:val="21"/>
        </w:rPr>
        <w:t xml:space="preserve">Галунько </w:t>
      </w:r>
      <w:r>
        <w:rPr>
          <w:color w:val="231F20"/>
          <w:spacing w:val="-3"/>
          <w:sz w:val="21"/>
        </w:rPr>
        <w:t xml:space="preserve">В. </w:t>
      </w:r>
      <w:r>
        <w:rPr>
          <w:color w:val="231F20"/>
          <w:sz w:val="21"/>
        </w:rPr>
        <w:t xml:space="preserve">Основоположні засади адміністративного права </w:t>
      </w:r>
      <w:r>
        <w:rPr>
          <w:color w:val="231F20"/>
          <w:spacing w:val="-3"/>
          <w:sz w:val="21"/>
        </w:rPr>
        <w:t xml:space="preserve">України. </w:t>
      </w:r>
      <w:r>
        <w:rPr>
          <w:color w:val="231F20"/>
          <w:sz w:val="21"/>
        </w:rPr>
        <w:t>2016. URL</w:t>
      </w:r>
      <w:hyperlink r:id="rId12">
        <w:r>
          <w:rPr>
            <w:color w:val="231F20"/>
            <w:sz w:val="21"/>
          </w:rPr>
          <w:t>:</w:t>
        </w:r>
        <w:r>
          <w:rPr>
            <w:color w:val="231F20"/>
            <w:spacing w:val="-20"/>
            <w:sz w:val="21"/>
          </w:rPr>
          <w:t xml:space="preserve"> </w:t>
        </w:r>
        <w:r>
          <w:rPr>
            <w:color w:val="231F20"/>
            <w:sz w:val="21"/>
          </w:rPr>
          <w:t>https://www</w:t>
        </w:r>
      </w:hyperlink>
      <w:r>
        <w:rPr>
          <w:color w:val="231F20"/>
          <w:sz w:val="21"/>
        </w:rPr>
        <w:t>.y</w:t>
      </w:r>
      <w:hyperlink r:id="rId13">
        <w:r>
          <w:rPr>
            <w:color w:val="231F20"/>
            <w:sz w:val="21"/>
          </w:rPr>
          <w:t>outube.com/w</w:t>
        </w:r>
      </w:hyperlink>
      <w:r>
        <w:rPr>
          <w:color w:val="231F20"/>
          <w:sz w:val="21"/>
        </w:rPr>
        <w:t>at</w:t>
      </w:r>
      <w:hyperlink r:id="rId14">
        <w:r>
          <w:rPr>
            <w:color w:val="231F20"/>
            <w:sz w:val="21"/>
          </w:rPr>
          <w:t>ch?v=OOf-SBW9-ck</w:t>
        </w:r>
      </w:hyperlink>
    </w:p>
    <w:p w14:paraId="5C42737B" w14:textId="77777777" w:rsidR="00DE575E" w:rsidRDefault="002E7560">
      <w:pPr>
        <w:pStyle w:val="ListParagraph"/>
        <w:numPr>
          <w:ilvl w:val="0"/>
          <w:numId w:val="301"/>
        </w:numPr>
        <w:tabs>
          <w:tab w:val="left" w:pos="1101"/>
        </w:tabs>
        <w:spacing w:line="252" w:lineRule="auto"/>
        <w:ind w:left="533" w:right="124" w:firstLine="284"/>
        <w:jc w:val="both"/>
        <w:rPr>
          <w:sz w:val="21"/>
        </w:rPr>
      </w:pPr>
      <w:r>
        <w:rPr>
          <w:color w:val="231F20"/>
          <w:sz w:val="21"/>
        </w:rPr>
        <w:t>Eduardo García De Enterría</w:t>
      </w:r>
      <w:r>
        <w:rPr>
          <w:color w:val="231F20"/>
          <w:sz w:val="21"/>
        </w:rPr>
        <w:t>. Curso De Derecho Administrativo. Decimoquinta</w:t>
      </w:r>
      <w:r>
        <w:rPr>
          <w:color w:val="231F20"/>
          <w:spacing w:val="-11"/>
          <w:sz w:val="21"/>
        </w:rPr>
        <w:t xml:space="preserve"> </w:t>
      </w:r>
      <w:r>
        <w:rPr>
          <w:color w:val="231F20"/>
          <w:sz w:val="21"/>
        </w:rPr>
        <w:t>Edición.</w:t>
      </w:r>
      <w:r>
        <w:rPr>
          <w:color w:val="231F20"/>
          <w:spacing w:val="-11"/>
          <w:sz w:val="21"/>
        </w:rPr>
        <w:t xml:space="preserve"> </w:t>
      </w:r>
      <w:r>
        <w:rPr>
          <w:color w:val="231F20"/>
          <w:sz w:val="21"/>
        </w:rPr>
        <w:t>Editor:</w:t>
      </w:r>
      <w:r>
        <w:rPr>
          <w:color w:val="231F20"/>
          <w:spacing w:val="-11"/>
          <w:sz w:val="21"/>
        </w:rPr>
        <w:t xml:space="preserve"> </w:t>
      </w:r>
      <w:r>
        <w:rPr>
          <w:color w:val="231F20"/>
          <w:sz w:val="21"/>
        </w:rPr>
        <w:t>Thomson</w:t>
      </w:r>
      <w:r>
        <w:rPr>
          <w:color w:val="231F20"/>
          <w:spacing w:val="-11"/>
          <w:sz w:val="21"/>
        </w:rPr>
        <w:t xml:space="preserve"> </w:t>
      </w:r>
      <w:r>
        <w:rPr>
          <w:color w:val="231F20"/>
          <w:sz w:val="21"/>
        </w:rPr>
        <w:t>Reuters</w:t>
      </w:r>
      <w:r>
        <w:rPr>
          <w:color w:val="231F20"/>
          <w:spacing w:val="-11"/>
          <w:sz w:val="21"/>
        </w:rPr>
        <w:t xml:space="preserve"> </w:t>
      </w:r>
      <w:r>
        <w:rPr>
          <w:color w:val="231F20"/>
          <w:sz w:val="21"/>
        </w:rPr>
        <w:t>(Legal)</w:t>
      </w:r>
      <w:r>
        <w:rPr>
          <w:color w:val="231F20"/>
          <w:spacing w:val="-11"/>
          <w:sz w:val="21"/>
        </w:rPr>
        <w:t xml:space="preserve"> </w:t>
      </w:r>
      <w:r>
        <w:rPr>
          <w:color w:val="231F20"/>
          <w:sz w:val="21"/>
        </w:rPr>
        <w:t>Limited</w:t>
      </w:r>
      <w:r>
        <w:rPr>
          <w:color w:val="231F20"/>
          <w:spacing w:val="-11"/>
          <w:sz w:val="21"/>
        </w:rPr>
        <w:t xml:space="preserve"> </w:t>
      </w:r>
      <w:r>
        <w:rPr>
          <w:color w:val="231F20"/>
          <w:sz w:val="21"/>
        </w:rPr>
        <w:t>/</w:t>
      </w:r>
      <w:r>
        <w:rPr>
          <w:color w:val="231F20"/>
          <w:spacing w:val="-11"/>
          <w:sz w:val="21"/>
        </w:rPr>
        <w:t xml:space="preserve"> </w:t>
      </w:r>
      <w:r>
        <w:rPr>
          <w:color w:val="231F20"/>
          <w:sz w:val="21"/>
        </w:rPr>
        <w:t>Civitas, 2011. El Libro Tiene 872</w:t>
      </w:r>
      <w:r>
        <w:rPr>
          <w:color w:val="231F20"/>
          <w:spacing w:val="-2"/>
          <w:sz w:val="21"/>
        </w:rPr>
        <w:t xml:space="preserve"> </w:t>
      </w:r>
      <w:r>
        <w:rPr>
          <w:color w:val="231F20"/>
          <w:sz w:val="21"/>
        </w:rPr>
        <w:t>Página.</w:t>
      </w:r>
    </w:p>
    <w:p w14:paraId="7C55204E" w14:textId="77777777" w:rsidR="00DE575E" w:rsidRDefault="002E7560">
      <w:pPr>
        <w:pStyle w:val="ListParagraph"/>
        <w:numPr>
          <w:ilvl w:val="0"/>
          <w:numId w:val="301"/>
        </w:numPr>
        <w:tabs>
          <w:tab w:val="left" w:pos="1101"/>
        </w:tabs>
        <w:spacing w:before="2" w:line="252" w:lineRule="auto"/>
        <w:ind w:left="533" w:right="130" w:firstLine="284"/>
        <w:jc w:val="both"/>
        <w:rPr>
          <w:sz w:val="21"/>
        </w:rPr>
      </w:pPr>
      <w:r>
        <w:rPr>
          <w:color w:val="231F20"/>
          <w:sz w:val="21"/>
        </w:rPr>
        <w:t xml:space="preserve">Kahl A., </w:t>
      </w:r>
      <w:r>
        <w:rPr>
          <w:color w:val="231F20"/>
          <w:spacing w:val="-3"/>
          <w:sz w:val="21"/>
        </w:rPr>
        <w:t xml:space="preserve">Weber </w:t>
      </w:r>
      <w:r>
        <w:rPr>
          <w:color w:val="231F20"/>
          <w:sz w:val="21"/>
        </w:rPr>
        <w:t>K. Allgemeines Verwaltungsrecht. Wien: Facultas, 2017. 364 s.</w:t>
      </w:r>
    </w:p>
    <w:p w14:paraId="68C53C61" w14:textId="77777777" w:rsidR="00DE575E" w:rsidRDefault="002E7560">
      <w:pPr>
        <w:pStyle w:val="BodyText"/>
        <w:spacing w:before="1" w:line="252" w:lineRule="auto"/>
        <w:ind w:left="533" w:right="126" w:firstLine="283"/>
        <w:jc w:val="both"/>
      </w:pPr>
      <w:r>
        <w:rPr>
          <w:color w:val="231F20"/>
        </w:rPr>
        <w:t>11.Роман  Мельник.  Про  новітню  докт</w:t>
      </w:r>
      <w:r>
        <w:rPr>
          <w:color w:val="231F20"/>
        </w:rPr>
        <w:t xml:space="preserve">рину   адміністратив- ного права </w:t>
      </w:r>
      <w:r>
        <w:rPr>
          <w:color w:val="231F20"/>
          <w:spacing w:val="-3"/>
        </w:rPr>
        <w:t xml:space="preserve">України. </w:t>
      </w:r>
      <w:r>
        <w:rPr>
          <w:color w:val="231F20"/>
        </w:rPr>
        <w:t xml:space="preserve">URL: </w:t>
      </w:r>
      <w:hyperlink r:id="rId15">
        <w:r>
          <w:rPr>
            <w:color w:val="231F20"/>
          </w:rPr>
          <w:t>https://www</w:t>
        </w:r>
      </w:hyperlink>
      <w:r>
        <w:rPr>
          <w:color w:val="231F20"/>
        </w:rPr>
        <w:t>.y</w:t>
      </w:r>
      <w:hyperlink r:id="rId16">
        <w:r>
          <w:rPr>
            <w:color w:val="231F20"/>
          </w:rPr>
          <w:t>outube.com/w</w:t>
        </w:r>
      </w:hyperlink>
      <w:r>
        <w:rPr>
          <w:color w:val="231F20"/>
        </w:rPr>
        <w:t>at</w:t>
      </w:r>
      <w:hyperlink r:id="rId17">
        <w:r>
          <w:rPr>
            <w:color w:val="231F20"/>
          </w:rPr>
          <w:t>ch?v=_</w:t>
        </w:r>
      </w:hyperlink>
      <w:r>
        <w:rPr>
          <w:color w:val="231F20"/>
        </w:rPr>
        <w:t xml:space="preserve"> mR2Yo1ht2M&amp;t=2536s</w:t>
      </w:r>
    </w:p>
    <w:p w14:paraId="71AA52BE" w14:textId="77777777" w:rsidR="00DE575E" w:rsidRDefault="002E7560">
      <w:pPr>
        <w:pStyle w:val="BodyText"/>
        <w:spacing w:before="1" w:line="252" w:lineRule="auto"/>
        <w:ind w:left="533" w:right="126" w:firstLine="283"/>
        <w:jc w:val="both"/>
      </w:pPr>
      <w:r>
        <w:rPr>
          <w:color w:val="231F20"/>
        </w:rPr>
        <w:t xml:space="preserve">12.Людиноцентристська теорія. URL: </w:t>
      </w:r>
      <w:hyperlink r:id="rId18">
        <w:r>
          <w:rPr>
            <w:color w:val="231F20"/>
          </w:rPr>
          <w:t>https://www</w:t>
        </w:r>
      </w:hyperlink>
      <w:r>
        <w:rPr>
          <w:color w:val="231F20"/>
        </w:rPr>
        <w:t>.y</w:t>
      </w:r>
      <w:hyperlink r:id="rId19">
        <w:r>
          <w:rPr>
            <w:color w:val="231F20"/>
          </w:rPr>
          <w:t>outube.com/</w:t>
        </w:r>
      </w:hyperlink>
      <w:r>
        <w:rPr>
          <w:color w:val="231F20"/>
        </w:rPr>
        <w:t xml:space="preserve"> watch?v=QqmOIZ1YEZ0&amp;t=1s</w:t>
      </w:r>
    </w:p>
    <w:p w14:paraId="2E352661" w14:textId="77777777" w:rsidR="00DE575E" w:rsidRDefault="00DE575E">
      <w:pPr>
        <w:pStyle w:val="BodyText"/>
        <w:rPr>
          <w:sz w:val="20"/>
        </w:rPr>
      </w:pPr>
    </w:p>
    <w:p w14:paraId="480E2BAF" w14:textId="77777777" w:rsidR="00DE575E" w:rsidRDefault="00DE575E">
      <w:pPr>
        <w:pStyle w:val="BodyText"/>
        <w:rPr>
          <w:sz w:val="20"/>
        </w:rPr>
      </w:pPr>
    </w:p>
    <w:p w14:paraId="62AEA73F" w14:textId="77777777" w:rsidR="00DE575E" w:rsidRDefault="00DE575E">
      <w:pPr>
        <w:pStyle w:val="BodyText"/>
        <w:rPr>
          <w:sz w:val="20"/>
        </w:rPr>
      </w:pPr>
    </w:p>
    <w:p w14:paraId="61531173" w14:textId="77777777" w:rsidR="00DE575E" w:rsidRDefault="00DE575E">
      <w:pPr>
        <w:pStyle w:val="BodyText"/>
        <w:rPr>
          <w:sz w:val="20"/>
        </w:rPr>
      </w:pPr>
    </w:p>
    <w:p w14:paraId="4AD14264" w14:textId="77777777" w:rsidR="00DE575E" w:rsidRDefault="00DE575E">
      <w:pPr>
        <w:pStyle w:val="BodyText"/>
        <w:rPr>
          <w:sz w:val="20"/>
        </w:rPr>
      </w:pPr>
    </w:p>
    <w:p w14:paraId="58ECD975" w14:textId="77777777" w:rsidR="00DE575E" w:rsidRDefault="00DE575E">
      <w:pPr>
        <w:pStyle w:val="BodyText"/>
        <w:rPr>
          <w:sz w:val="20"/>
        </w:rPr>
      </w:pPr>
    </w:p>
    <w:p w14:paraId="115F4342" w14:textId="77777777" w:rsidR="00DE575E" w:rsidRDefault="00DE575E">
      <w:pPr>
        <w:pStyle w:val="BodyText"/>
        <w:rPr>
          <w:sz w:val="20"/>
        </w:rPr>
      </w:pPr>
    </w:p>
    <w:p w14:paraId="0EA40815" w14:textId="77777777" w:rsidR="00DE575E" w:rsidRDefault="00DE575E">
      <w:pPr>
        <w:pStyle w:val="BodyText"/>
        <w:rPr>
          <w:sz w:val="20"/>
        </w:rPr>
      </w:pPr>
    </w:p>
    <w:p w14:paraId="45D6BD95" w14:textId="77777777" w:rsidR="00DE575E" w:rsidRDefault="00DE575E">
      <w:pPr>
        <w:pStyle w:val="BodyText"/>
        <w:rPr>
          <w:sz w:val="20"/>
        </w:rPr>
      </w:pPr>
    </w:p>
    <w:p w14:paraId="5A33E08F" w14:textId="77777777" w:rsidR="00DE575E" w:rsidRDefault="00DE575E">
      <w:pPr>
        <w:pStyle w:val="BodyText"/>
        <w:rPr>
          <w:sz w:val="20"/>
        </w:rPr>
      </w:pPr>
    </w:p>
    <w:p w14:paraId="133AA937" w14:textId="77777777" w:rsidR="00DE575E" w:rsidRDefault="00DE575E">
      <w:pPr>
        <w:pStyle w:val="BodyText"/>
        <w:rPr>
          <w:sz w:val="20"/>
        </w:rPr>
      </w:pPr>
    </w:p>
    <w:p w14:paraId="4C7A5F99" w14:textId="77777777" w:rsidR="00DE575E" w:rsidRDefault="00DE575E">
      <w:pPr>
        <w:pStyle w:val="BodyText"/>
        <w:rPr>
          <w:sz w:val="20"/>
        </w:rPr>
      </w:pPr>
    </w:p>
    <w:p w14:paraId="0DB24867" w14:textId="77777777" w:rsidR="00DE575E" w:rsidRDefault="00DE575E">
      <w:pPr>
        <w:pStyle w:val="BodyText"/>
        <w:rPr>
          <w:sz w:val="20"/>
        </w:rPr>
      </w:pPr>
    </w:p>
    <w:p w14:paraId="0B904667" w14:textId="77777777" w:rsidR="00DE575E" w:rsidRDefault="00DE575E">
      <w:pPr>
        <w:pStyle w:val="BodyText"/>
        <w:rPr>
          <w:sz w:val="20"/>
        </w:rPr>
      </w:pPr>
    </w:p>
    <w:p w14:paraId="38E98CA0" w14:textId="77777777" w:rsidR="00DE575E" w:rsidRDefault="00DE575E">
      <w:pPr>
        <w:pStyle w:val="BodyText"/>
        <w:rPr>
          <w:sz w:val="20"/>
        </w:rPr>
      </w:pPr>
    </w:p>
    <w:p w14:paraId="72C49A3B" w14:textId="77777777" w:rsidR="00DE575E" w:rsidRDefault="00DE575E">
      <w:pPr>
        <w:pStyle w:val="BodyText"/>
        <w:rPr>
          <w:sz w:val="20"/>
        </w:rPr>
      </w:pPr>
    </w:p>
    <w:p w14:paraId="7B5DCDE7" w14:textId="77777777" w:rsidR="00DE575E" w:rsidRDefault="00DE575E">
      <w:pPr>
        <w:pStyle w:val="BodyText"/>
        <w:rPr>
          <w:sz w:val="20"/>
        </w:rPr>
      </w:pPr>
    </w:p>
    <w:p w14:paraId="58B11C84" w14:textId="77777777" w:rsidR="00DE575E" w:rsidRDefault="00DE575E">
      <w:pPr>
        <w:pStyle w:val="BodyText"/>
        <w:rPr>
          <w:sz w:val="20"/>
        </w:rPr>
      </w:pPr>
    </w:p>
    <w:p w14:paraId="1D9FC8B3" w14:textId="77777777" w:rsidR="00DE575E" w:rsidRDefault="00DE575E">
      <w:pPr>
        <w:pStyle w:val="BodyText"/>
        <w:rPr>
          <w:sz w:val="20"/>
        </w:rPr>
      </w:pPr>
    </w:p>
    <w:p w14:paraId="15E33F37" w14:textId="77777777" w:rsidR="00DE575E" w:rsidRDefault="00DE575E">
      <w:pPr>
        <w:pStyle w:val="BodyText"/>
        <w:rPr>
          <w:sz w:val="20"/>
        </w:rPr>
      </w:pPr>
    </w:p>
    <w:p w14:paraId="49FCDFB2" w14:textId="77777777" w:rsidR="00DE575E" w:rsidRDefault="00DE575E">
      <w:pPr>
        <w:pStyle w:val="BodyText"/>
        <w:rPr>
          <w:sz w:val="20"/>
        </w:rPr>
      </w:pPr>
    </w:p>
    <w:p w14:paraId="051E8AC8" w14:textId="77777777" w:rsidR="00DE575E" w:rsidRDefault="00DE575E">
      <w:pPr>
        <w:pStyle w:val="BodyText"/>
        <w:rPr>
          <w:sz w:val="20"/>
        </w:rPr>
      </w:pPr>
    </w:p>
    <w:p w14:paraId="7FBEC955" w14:textId="77777777" w:rsidR="00DE575E" w:rsidRDefault="00DE575E">
      <w:pPr>
        <w:pStyle w:val="BodyText"/>
        <w:rPr>
          <w:sz w:val="20"/>
        </w:rPr>
      </w:pPr>
    </w:p>
    <w:p w14:paraId="553EC84D" w14:textId="77777777" w:rsidR="00DE575E" w:rsidRDefault="00DE575E">
      <w:pPr>
        <w:pStyle w:val="BodyText"/>
        <w:rPr>
          <w:sz w:val="20"/>
        </w:rPr>
      </w:pPr>
    </w:p>
    <w:p w14:paraId="649706B7" w14:textId="77777777" w:rsidR="00DE575E" w:rsidRDefault="00DE575E">
      <w:pPr>
        <w:pStyle w:val="BodyText"/>
        <w:rPr>
          <w:sz w:val="20"/>
        </w:rPr>
      </w:pPr>
    </w:p>
    <w:p w14:paraId="10E98508" w14:textId="77777777" w:rsidR="00DE575E" w:rsidRDefault="00DE575E">
      <w:pPr>
        <w:pStyle w:val="BodyText"/>
        <w:rPr>
          <w:sz w:val="20"/>
        </w:rPr>
      </w:pPr>
    </w:p>
    <w:p w14:paraId="69A1429E" w14:textId="77777777" w:rsidR="00DE575E" w:rsidRDefault="00DE575E">
      <w:pPr>
        <w:pStyle w:val="BodyText"/>
        <w:spacing w:before="8"/>
        <w:rPr>
          <w:sz w:val="22"/>
        </w:rPr>
      </w:pPr>
    </w:p>
    <w:p w14:paraId="6A85A8DF" w14:textId="77777777" w:rsidR="00DE575E" w:rsidRDefault="002E7560">
      <w:pPr>
        <w:spacing w:before="92"/>
        <w:ind w:left="533"/>
        <w:rPr>
          <w:rFonts w:ascii="Times New Roman"/>
          <w:sz w:val="20"/>
        </w:rPr>
      </w:pPr>
      <w:r>
        <w:rPr>
          <w:rFonts w:ascii="Times New Roman"/>
          <w:color w:val="231F20"/>
          <w:sz w:val="20"/>
        </w:rPr>
        <w:t>44</w:t>
      </w:r>
    </w:p>
    <w:p w14:paraId="24AC6E6C" w14:textId="77777777" w:rsidR="00DE575E" w:rsidRDefault="00DE575E">
      <w:pPr>
        <w:rPr>
          <w:rFonts w:ascii="Times New Roman"/>
          <w:sz w:val="20"/>
        </w:rPr>
        <w:sectPr w:rsidR="00DE575E">
          <w:pgSz w:w="8510" w:h="12760"/>
          <w:pgMar w:top="660" w:right="720" w:bottom="280" w:left="600" w:header="720" w:footer="720" w:gutter="0"/>
          <w:cols w:space="720"/>
        </w:sectPr>
      </w:pPr>
    </w:p>
    <w:p w14:paraId="0614DEEF" w14:textId="77777777" w:rsidR="00DE575E" w:rsidRDefault="002E7560">
      <w:pPr>
        <w:spacing w:before="72" w:line="249" w:lineRule="auto"/>
        <w:ind w:left="3122" w:firstLine="349"/>
        <w:rPr>
          <w:rFonts w:ascii="AdonisC" w:hAnsi="AdonisC"/>
          <w:i/>
          <w:sz w:val="18"/>
        </w:rPr>
      </w:pPr>
      <w:r>
        <w:rPr>
          <w:rFonts w:ascii="AdonisC" w:hAnsi="AdonisC"/>
          <w:i/>
          <w:color w:val="231F20"/>
          <w:sz w:val="18"/>
        </w:rPr>
        <w:lastRenderedPageBreak/>
        <w:t xml:space="preserve">Глава І. Загальне адміністративне право </w:t>
      </w:r>
      <w:r>
        <w:rPr>
          <w:rFonts w:ascii="AdonisC" w:hAnsi="AdonisC"/>
          <w:i/>
          <w:color w:val="231F20"/>
          <w:sz w:val="18"/>
        </w:rPr>
        <w:t>Розділ 2. Принципи адміністративного права</w:t>
      </w:r>
    </w:p>
    <w:p w14:paraId="69B9250E" w14:textId="21AA310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E967677" wp14:editId="5C436C9A">
                <wp:extent cx="4140200" cy="6350"/>
                <wp:effectExtent l="0" t="0" r="12700" b="6350"/>
                <wp:docPr id="1300"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01" name="Line 13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8AF02B" id="Group_x0020_12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b7d4agAIAAJwFAAAO&#10;AAAAAAAAAAAAAAAAACwCAABkcnMvZTJvRG9jLnhtbFBLAQItABQABgAIAAAAIQBMp7CQ2QAAAAMB&#10;AAAPAAAAAAAAAAAAAAAAANgEAABkcnMvZG93bnJldi54bWxQSwUGAAAAAAQABADzAAAA3gUAAAAA&#10;">
                <v:line id="Line_x0020_13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KYMQAAADdAAAADwAAAGRycy9kb3ducmV2LnhtbERPzWrCQBC+F3yHZYReSt3YgEh0lSII&#10;4kGr6QOM2TEJ3Z2N2dWkffquIHibj+935sveGnGj1teOFYxHCQjiwumaSwXf+fp9CsIHZI3GMSn4&#10;JQ/LxeBljpl2HR/odgyliCHsM1RQhdBkUvqiIot+5BriyJ1dazFE2JZSt9jFcGvkR5JMpMWaY0OF&#10;Da0qKn6OV6sgv7wF87Xfmi7fn1J5uuzSv+tOqddh/zkDEagPT/HDvdFxfpqM4f5NPEE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74pgxAAAAN0AAAAPAAAAAAAAAAAA&#10;AAAAAKECAABkcnMvZG93bnJldi54bWxQSwUGAAAAAAQABAD5AAAAkgMAAAAA&#10;" strokecolor="#231f20" strokeweight=".5pt"/>
                <w10:anchorlock/>
              </v:group>
            </w:pict>
          </mc:Fallback>
        </mc:AlternateContent>
      </w:r>
    </w:p>
    <w:p w14:paraId="7ECF66B2" w14:textId="77777777" w:rsidR="00DE575E" w:rsidRDefault="00DE575E">
      <w:pPr>
        <w:pStyle w:val="BodyText"/>
        <w:spacing w:before="6"/>
        <w:rPr>
          <w:rFonts w:ascii="AdonisC"/>
          <w:i/>
          <w:sz w:val="18"/>
        </w:rPr>
      </w:pPr>
    </w:p>
    <w:p w14:paraId="75A3A7FB" w14:textId="77777777" w:rsidR="00DE575E" w:rsidRDefault="002E7560">
      <w:pPr>
        <w:pStyle w:val="Heading2"/>
        <w:spacing w:line="314" w:lineRule="exact"/>
        <w:ind w:left="497" w:right="658"/>
        <w:jc w:val="center"/>
      </w:pPr>
      <w:r>
        <w:rPr>
          <w:color w:val="231F20"/>
        </w:rPr>
        <w:t>Розділ 2</w:t>
      </w:r>
    </w:p>
    <w:p w14:paraId="227048FD" w14:textId="77777777" w:rsidR="00DE575E" w:rsidRDefault="002E7560">
      <w:pPr>
        <w:spacing w:line="314" w:lineRule="exact"/>
        <w:ind w:left="684"/>
        <w:rPr>
          <w:b/>
          <w:sz w:val="16"/>
        </w:rPr>
      </w:pPr>
      <w:r>
        <w:rPr>
          <w:b/>
          <w:color w:val="231F20"/>
          <w:sz w:val="28"/>
        </w:rPr>
        <w:t>ПРИНЦИПИ АДМІНІСТРАТИВНОГО ПРАВА</w:t>
      </w:r>
      <w:r>
        <w:rPr>
          <w:b/>
          <w:color w:val="231F20"/>
          <w:position w:val="9"/>
          <w:sz w:val="16"/>
        </w:rPr>
        <w:t>1</w:t>
      </w:r>
    </w:p>
    <w:p w14:paraId="48ACCEAD" w14:textId="77777777" w:rsidR="00DE575E" w:rsidRDefault="00DE575E">
      <w:pPr>
        <w:pStyle w:val="BodyText"/>
        <w:spacing w:before="11"/>
        <w:rPr>
          <w:b/>
          <w:sz w:val="42"/>
        </w:rPr>
      </w:pPr>
    </w:p>
    <w:p w14:paraId="2881A89A" w14:textId="77777777" w:rsidR="00DE575E" w:rsidRDefault="002E7560">
      <w:pPr>
        <w:pStyle w:val="Heading4"/>
        <w:numPr>
          <w:ilvl w:val="1"/>
          <w:numId w:val="300"/>
        </w:numPr>
        <w:tabs>
          <w:tab w:val="left" w:pos="2012"/>
        </w:tabs>
        <w:spacing w:line="232" w:lineRule="auto"/>
        <w:ind w:right="1762" w:hanging="570"/>
        <w:jc w:val="left"/>
      </w:pPr>
      <w:r>
        <w:rPr>
          <w:color w:val="231F20"/>
        </w:rPr>
        <w:t>Поняття та значення</w:t>
      </w:r>
      <w:r>
        <w:rPr>
          <w:color w:val="231F20"/>
          <w:spacing w:val="-23"/>
        </w:rPr>
        <w:t xml:space="preserve"> </w:t>
      </w:r>
      <w:r>
        <w:rPr>
          <w:color w:val="231F20"/>
        </w:rPr>
        <w:t>принципів адміністративного</w:t>
      </w:r>
      <w:r>
        <w:rPr>
          <w:color w:val="231F20"/>
          <w:spacing w:val="-3"/>
        </w:rPr>
        <w:t xml:space="preserve"> </w:t>
      </w:r>
      <w:r>
        <w:rPr>
          <w:color w:val="231F20"/>
        </w:rPr>
        <w:t>права</w:t>
      </w:r>
    </w:p>
    <w:p w14:paraId="112DE90D" w14:textId="77777777" w:rsidR="00DE575E" w:rsidRDefault="00DE575E">
      <w:pPr>
        <w:pStyle w:val="BodyText"/>
        <w:rPr>
          <w:b/>
          <w:sz w:val="26"/>
        </w:rPr>
      </w:pPr>
    </w:p>
    <w:p w14:paraId="295247AE" w14:textId="77777777" w:rsidR="00DE575E" w:rsidRDefault="002E7560">
      <w:pPr>
        <w:pStyle w:val="BodyText"/>
        <w:spacing w:before="198" w:line="244" w:lineRule="auto"/>
        <w:ind w:left="250" w:right="410" w:firstLine="283"/>
        <w:jc w:val="both"/>
      </w:pPr>
      <w:r>
        <w:rPr>
          <w:color w:val="231F20"/>
        </w:rPr>
        <w:t>Принципи є провідною категорією в адміністративному праві всіх континентальних європейських країн. У принципах  зміст права розкривається поглиблено, у них безпосередньо виявляється сутність права, його основи, закономірності суспільного життя, тенденції т</w:t>
      </w:r>
      <w:r>
        <w:rPr>
          <w:color w:val="231F20"/>
        </w:rPr>
        <w:t>а потреби. У теорії права під принципами права розу- міють найбільш загальні й стабільні вимоги, що сприяють утвер- дженню та захисту суспільних цінностей, визначають характер права і напрямки його подальшого</w:t>
      </w:r>
      <w:r>
        <w:rPr>
          <w:color w:val="231F20"/>
          <w:spacing w:val="-4"/>
        </w:rPr>
        <w:t xml:space="preserve"> </w:t>
      </w:r>
      <w:r>
        <w:rPr>
          <w:color w:val="231F20"/>
        </w:rPr>
        <w:t>розвитку</w:t>
      </w:r>
      <w:r>
        <w:rPr>
          <w:color w:val="231F20"/>
          <w:position w:val="7"/>
          <w:sz w:val="12"/>
        </w:rPr>
        <w:t>2</w:t>
      </w:r>
      <w:r>
        <w:rPr>
          <w:color w:val="231F20"/>
        </w:rPr>
        <w:t>.</w:t>
      </w:r>
    </w:p>
    <w:p w14:paraId="54949B47" w14:textId="77777777" w:rsidR="00DE575E" w:rsidRDefault="002E7560">
      <w:pPr>
        <w:pStyle w:val="BodyText"/>
        <w:spacing w:line="237" w:lineRule="exact"/>
        <w:ind w:left="533"/>
      </w:pPr>
      <w:r>
        <w:rPr>
          <w:color w:val="231F20"/>
        </w:rPr>
        <w:t>Характерними рисами принципів адміні</w:t>
      </w:r>
      <w:r>
        <w:rPr>
          <w:color w:val="231F20"/>
        </w:rPr>
        <w:t>стративного права такі:</w:t>
      </w:r>
    </w:p>
    <w:p w14:paraId="6415CE0E" w14:textId="77777777" w:rsidR="00DE575E" w:rsidRDefault="002E7560">
      <w:pPr>
        <w:pStyle w:val="ListParagraph"/>
        <w:numPr>
          <w:ilvl w:val="0"/>
          <w:numId w:val="299"/>
        </w:numPr>
        <w:tabs>
          <w:tab w:val="left" w:pos="818"/>
        </w:tabs>
        <w:spacing w:before="4" w:line="244" w:lineRule="auto"/>
        <w:ind w:right="411" w:firstLine="283"/>
        <w:rPr>
          <w:sz w:val="21"/>
        </w:rPr>
      </w:pPr>
      <w:r>
        <w:rPr>
          <w:color w:val="231F20"/>
          <w:sz w:val="21"/>
        </w:rPr>
        <w:t>формуються з метою забезпечення  прав  і  свобод  людини  та громадянина й нормального функціонування громадянського суспільства та</w:t>
      </w:r>
      <w:r>
        <w:rPr>
          <w:color w:val="231F20"/>
          <w:spacing w:val="-3"/>
          <w:sz w:val="21"/>
        </w:rPr>
        <w:t xml:space="preserve"> </w:t>
      </w:r>
      <w:r>
        <w:rPr>
          <w:color w:val="231F20"/>
          <w:sz w:val="21"/>
        </w:rPr>
        <w:t>держави;</w:t>
      </w:r>
    </w:p>
    <w:p w14:paraId="338ED211" w14:textId="77777777" w:rsidR="00DE575E" w:rsidRDefault="002E7560">
      <w:pPr>
        <w:pStyle w:val="ListParagraph"/>
        <w:numPr>
          <w:ilvl w:val="0"/>
          <w:numId w:val="299"/>
        </w:numPr>
        <w:tabs>
          <w:tab w:val="left" w:pos="818"/>
        </w:tabs>
        <w:spacing w:before="0" w:line="244" w:lineRule="auto"/>
        <w:ind w:right="411" w:firstLine="283"/>
        <w:rPr>
          <w:sz w:val="21"/>
        </w:rPr>
      </w:pPr>
      <w:r>
        <w:rPr>
          <w:color w:val="231F20"/>
          <w:sz w:val="21"/>
        </w:rPr>
        <w:t xml:space="preserve">визначають найбільш загальні й стабільні вимоги, що спри- яють їх утвердженню та захисту </w:t>
      </w:r>
      <w:r>
        <w:rPr>
          <w:color w:val="231F20"/>
          <w:spacing w:val="-3"/>
          <w:sz w:val="21"/>
        </w:rPr>
        <w:t xml:space="preserve">суб’єктами </w:t>
      </w:r>
      <w:r>
        <w:rPr>
          <w:color w:val="231F20"/>
          <w:sz w:val="21"/>
        </w:rPr>
        <w:t>публічної адміністра- ції, визначають характер адміністративного права і напрямки його подальшого</w:t>
      </w:r>
      <w:r>
        <w:rPr>
          <w:color w:val="231F20"/>
          <w:spacing w:val="-1"/>
          <w:sz w:val="21"/>
        </w:rPr>
        <w:t xml:space="preserve"> </w:t>
      </w:r>
      <w:r>
        <w:rPr>
          <w:color w:val="231F20"/>
          <w:sz w:val="21"/>
        </w:rPr>
        <w:t>розвитку;</w:t>
      </w:r>
    </w:p>
    <w:p w14:paraId="091DADFF" w14:textId="77777777" w:rsidR="00DE575E" w:rsidRDefault="002E7560">
      <w:pPr>
        <w:pStyle w:val="ListParagraph"/>
        <w:numPr>
          <w:ilvl w:val="0"/>
          <w:numId w:val="299"/>
        </w:numPr>
        <w:tabs>
          <w:tab w:val="left" w:pos="818"/>
        </w:tabs>
        <w:spacing w:before="0" w:line="244" w:lineRule="auto"/>
        <w:ind w:right="411" w:firstLine="283"/>
        <w:rPr>
          <w:sz w:val="21"/>
        </w:rPr>
      </w:pPr>
      <w:r>
        <w:rPr>
          <w:color w:val="231F20"/>
          <w:sz w:val="21"/>
        </w:rPr>
        <w:t xml:space="preserve">установлюють керівні засади-настанови, що визначають найважливіші правила, за якими здійснюється та організується діяльність </w:t>
      </w:r>
      <w:r>
        <w:rPr>
          <w:color w:val="231F20"/>
          <w:spacing w:val="-3"/>
          <w:sz w:val="21"/>
        </w:rPr>
        <w:t xml:space="preserve">суб’єктів </w:t>
      </w:r>
      <w:r>
        <w:rPr>
          <w:color w:val="231F20"/>
          <w:sz w:val="21"/>
        </w:rPr>
        <w:t>ад</w:t>
      </w:r>
      <w:r>
        <w:rPr>
          <w:color w:val="231F20"/>
          <w:sz w:val="21"/>
        </w:rPr>
        <w:t>міністративного</w:t>
      </w:r>
      <w:r>
        <w:rPr>
          <w:color w:val="231F20"/>
          <w:spacing w:val="-1"/>
          <w:sz w:val="21"/>
        </w:rPr>
        <w:t xml:space="preserve"> </w:t>
      </w:r>
      <w:r>
        <w:rPr>
          <w:color w:val="231F20"/>
          <w:sz w:val="21"/>
        </w:rPr>
        <w:t>права;</w:t>
      </w:r>
    </w:p>
    <w:p w14:paraId="52A8BE9E" w14:textId="77777777" w:rsidR="00DE575E" w:rsidRDefault="002E7560">
      <w:pPr>
        <w:pStyle w:val="ListParagraph"/>
        <w:numPr>
          <w:ilvl w:val="0"/>
          <w:numId w:val="299"/>
        </w:numPr>
        <w:tabs>
          <w:tab w:val="left" w:pos="818"/>
        </w:tabs>
        <w:spacing w:before="0" w:line="244" w:lineRule="auto"/>
        <w:ind w:right="410" w:firstLine="283"/>
        <w:rPr>
          <w:sz w:val="21"/>
        </w:rPr>
      </w:pPr>
      <w:r>
        <w:rPr>
          <w:color w:val="231F20"/>
          <w:sz w:val="21"/>
        </w:rPr>
        <w:t xml:space="preserve">принципи адміністративно права характеризуються прогре- сивністю, засвідчують ідеальні для умов сучасності основоположні засади поведінки </w:t>
      </w:r>
      <w:r>
        <w:rPr>
          <w:color w:val="231F20"/>
          <w:spacing w:val="-3"/>
          <w:sz w:val="21"/>
        </w:rPr>
        <w:t xml:space="preserve">суб’єктів </w:t>
      </w:r>
      <w:r>
        <w:rPr>
          <w:color w:val="231F20"/>
          <w:sz w:val="21"/>
        </w:rPr>
        <w:t>адміністративного права, які є реально досяжними.</w:t>
      </w:r>
    </w:p>
    <w:p w14:paraId="2EA588F8" w14:textId="77777777" w:rsidR="00DE575E" w:rsidRDefault="002E7560">
      <w:pPr>
        <w:pStyle w:val="Heading5"/>
        <w:spacing w:line="244" w:lineRule="auto"/>
        <w:ind w:left="250" w:right="411" w:firstLine="283"/>
        <w:jc w:val="both"/>
      </w:pPr>
      <w:r>
        <w:rPr>
          <w:color w:val="231F20"/>
        </w:rPr>
        <w:t>Отже, принципи адміністративного пр</w:t>
      </w:r>
      <w:r>
        <w:rPr>
          <w:color w:val="231F20"/>
        </w:rPr>
        <w:t>ава – це найбільш загальні та стабільні вимоги, об’єктивно зумовлені засади, на яких базується адміністративна діяльність суб’єктів публічної адміністрації з метою забезпечення права, свобод і законних інтересів приватних осіб, нормального функціонування г</w:t>
      </w:r>
      <w:r>
        <w:rPr>
          <w:color w:val="231F20"/>
        </w:rPr>
        <w:t>рома- дянського суспільства та держави.</w:t>
      </w:r>
    </w:p>
    <w:p w14:paraId="1F845635" w14:textId="6990830C" w:rsidR="00DE575E" w:rsidRDefault="002E7560">
      <w:pPr>
        <w:pStyle w:val="BodyText"/>
        <w:spacing w:before="2"/>
        <w:rPr>
          <w:b/>
          <w:sz w:val="24"/>
        </w:rPr>
      </w:pPr>
      <w:r>
        <w:rPr>
          <w:noProof/>
        </w:rPr>
        <mc:AlternateContent>
          <mc:Choice Requires="wps">
            <w:drawing>
              <wp:anchor distT="0" distB="0" distL="0" distR="0" simplePos="0" relativeHeight="2560" behindDoc="0" locked="0" layoutInCell="1" allowOverlap="1" wp14:anchorId="36AC1A7F" wp14:editId="0BF8F9B6">
                <wp:simplePos x="0" y="0"/>
                <wp:positionH relativeFrom="page">
                  <wp:posOffset>539750</wp:posOffset>
                </wp:positionH>
                <wp:positionV relativeFrom="paragraph">
                  <wp:posOffset>207645</wp:posOffset>
                </wp:positionV>
                <wp:extent cx="1080135" cy="0"/>
                <wp:effectExtent l="6350" t="17145" r="31115" b="20955"/>
                <wp:wrapTopAndBottom/>
                <wp:docPr id="1299"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1B6EE" id="Line_x0020_1298" o:spid="_x0000_s1026" style="position:absolute;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35pt" to="127.55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" strokecolor="#231f20" strokeweight=".5pt">
                <w10:wrap type="topAndBottom" anchorx="page"/>
              </v:line>
            </w:pict>
          </mc:Fallback>
        </mc:AlternateContent>
      </w:r>
    </w:p>
    <w:p w14:paraId="32EBE700" w14:textId="77777777" w:rsidR="00DE575E" w:rsidRDefault="002E7560">
      <w:pPr>
        <w:spacing w:line="162" w:lineRule="exact"/>
        <w:ind w:left="250"/>
        <w:rPr>
          <w:b/>
          <w:sz w:val="16"/>
        </w:rPr>
      </w:pPr>
      <w:r>
        <w:rPr>
          <w:color w:val="231F20"/>
          <w:position w:val="5"/>
          <w:sz w:val="9"/>
        </w:rPr>
        <w:t xml:space="preserve">1 </w:t>
      </w:r>
      <w:r>
        <w:rPr>
          <w:color w:val="231F20"/>
          <w:sz w:val="16"/>
        </w:rPr>
        <w:t xml:space="preserve">За загальною редакцією </w:t>
      </w:r>
      <w:r>
        <w:rPr>
          <w:b/>
          <w:color w:val="231F20"/>
          <w:sz w:val="16"/>
        </w:rPr>
        <w:t>Катерини Чижмарь, Олександра Лавриновича.</w:t>
      </w:r>
    </w:p>
    <w:p w14:paraId="1F09CA3C" w14:textId="77777777" w:rsidR="00DE575E" w:rsidRDefault="002E7560">
      <w:pPr>
        <w:ind w:left="250"/>
        <w:rPr>
          <w:sz w:val="16"/>
        </w:rPr>
      </w:pPr>
      <w:r>
        <w:rPr>
          <w:color w:val="231F20"/>
          <w:position w:val="5"/>
          <w:sz w:val="9"/>
        </w:rPr>
        <w:t xml:space="preserve">2 </w:t>
      </w:r>
      <w:r>
        <w:rPr>
          <w:color w:val="231F20"/>
          <w:sz w:val="16"/>
        </w:rPr>
        <w:t>Теорія держави і права: підручник / за ред. О. Петришина. Харків, 2015. С. 124.</w:t>
      </w:r>
    </w:p>
    <w:p w14:paraId="55A03477" w14:textId="77777777" w:rsidR="00DE575E" w:rsidRDefault="00DE575E">
      <w:pPr>
        <w:pStyle w:val="BodyText"/>
        <w:spacing w:before="11"/>
        <w:rPr>
          <w:sz w:val="11"/>
        </w:rPr>
      </w:pPr>
    </w:p>
    <w:p w14:paraId="7E099CCF" w14:textId="77777777" w:rsidR="00DE575E" w:rsidRDefault="002E7560">
      <w:pPr>
        <w:spacing w:before="92"/>
        <w:ind w:right="411"/>
        <w:jc w:val="right"/>
        <w:rPr>
          <w:rFonts w:ascii="Times New Roman"/>
          <w:sz w:val="20"/>
        </w:rPr>
      </w:pPr>
      <w:r>
        <w:rPr>
          <w:rFonts w:ascii="Times New Roman"/>
          <w:color w:val="231F20"/>
          <w:w w:val="90"/>
          <w:sz w:val="20"/>
        </w:rPr>
        <w:t>45</w:t>
      </w:r>
    </w:p>
    <w:p w14:paraId="51D19A6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11D15CA"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03D9E551" w14:textId="57A0342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38149B7" wp14:editId="6B2A7A3C">
                <wp:extent cx="4140200" cy="6350"/>
                <wp:effectExtent l="0" t="0" r="12700" b="6350"/>
                <wp:docPr id="1297"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98" name="Line 129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3FF301" id="Group_x0020_129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DDmaagAIAAJwFAAAO&#10;AAAAAAAAAAAAAAAAACwCAABkcnMvZTJvRG9jLnhtbFBLAQItABQABgAIAAAAIQBMp7CQ2QAAAAMB&#10;AAAPAAAAAAAAAAAAAAAAANgEAABkcnMvZG93bnJldi54bWxQSwUGAAAAAAQABADzAAAA3gUAAAAA&#10;">
                <v:line id="Line_x0020_129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6558gAAADdAAAADwAAAGRycy9kb3ducmV2LnhtbESPQWvCQBCF74X+h2UKXopuqlDa6Coi&#10;FMSDtqY/YMxOk9Dd2ZhdTeyv7xwKvc3w3rz3zWI1eKeu1MUmsIGnSQaKuAy24crAZ/E2fgEVE7JF&#10;F5gM3CjCanl/t8Dchp4/6HpMlZIQjjkaqFNqc61jWZPHOAktsWhfofOYZO0qbTvsJdw7Pc2yZ+2x&#10;YWmosaVNTeX38eINFOfH5N4PO9cXh9NMn8772c9lb8zoYVjPQSUa0r/573prBX/6Krj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z6558gAAADdAAAADwAAAAAA&#10;AAAAAAAAAAChAgAAZHJzL2Rvd25yZXYueG1sUEsFBgAAAAAEAAQA+QAAAJYDAAAAAA==&#10;" strokecolor="#231f20" strokeweight=".5pt"/>
                <w10:anchorlock/>
              </v:group>
            </w:pict>
          </mc:Fallback>
        </mc:AlternateContent>
      </w:r>
    </w:p>
    <w:p w14:paraId="593EFC83" w14:textId="77777777" w:rsidR="00DE575E" w:rsidRDefault="00DE575E">
      <w:pPr>
        <w:pStyle w:val="BodyText"/>
        <w:spacing w:before="6"/>
        <w:rPr>
          <w:rFonts w:ascii="AdonisC"/>
          <w:i/>
          <w:sz w:val="11"/>
        </w:rPr>
      </w:pPr>
    </w:p>
    <w:p w14:paraId="606A0E3F" w14:textId="77777777" w:rsidR="00DE575E" w:rsidRDefault="002E7560">
      <w:pPr>
        <w:pStyle w:val="Heading4"/>
        <w:numPr>
          <w:ilvl w:val="1"/>
          <w:numId w:val="300"/>
        </w:numPr>
        <w:tabs>
          <w:tab w:val="left" w:pos="2438"/>
        </w:tabs>
        <w:spacing w:before="100"/>
        <w:ind w:left="2332" w:right="1623" w:hanging="305"/>
        <w:jc w:val="left"/>
        <w:rPr>
          <w:sz w:val="13"/>
        </w:rPr>
      </w:pPr>
      <w:r>
        <w:rPr>
          <w:color w:val="231F20"/>
        </w:rPr>
        <w:t>Принцип верховенства</w:t>
      </w:r>
      <w:r>
        <w:rPr>
          <w:color w:val="231F20"/>
          <w:spacing w:val="-24"/>
        </w:rPr>
        <w:t xml:space="preserve"> </w:t>
      </w:r>
      <w:r>
        <w:rPr>
          <w:color w:val="231F20"/>
        </w:rPr>
        <w:t>права в адміністративному</w:t>
      </w:r>
      <w:r>
        <w:rPr>
          <w:color w:val="231F20"/>
          <w:spacing w:val="-6"/>
        </w:rPr>
        <w:t xml:space="preserve"> </w:t>
      </w:r>
      <w:r>
        <w:rPr>
          <w:color w:val="231F20"/>
        </w:rPr>
        <w:t>праві</w:t>
      </w:r>
      <w:r>
        <w:rPr>
          <w:color w:val="231F20"/>
          <w:position w:val="7"/>
          <w:sz w:val="13"/>
        </w:rPr>
        <w:t>1</w:t>
      </w:r>
    </w:p>
    <w:p w14:paraId="5FB16CDD" w14:textId="77777777" w:rsidR="00DE575E" w:rsidRDefault="00DE575E">
      <w:pPr>
        <w:pStyle w:val="BodyText"/>
        <w:rPr>
          <w:b/>
          <w:sz w:val="26"/>
        </w:rPr>
      </w:pPr>
    </w:p>
    <w:p w14:paraId="34AA3C4B" w14:textId="77777777" w:rsidR="00DE575E" w:rsidRDefault="002E7560">
      <w:pPr>
        <w:pStyle w:val="BodyText"/>
        <w:spacing w:before="224" w:line="252" w:lineRule="auto"/>
        <w:ind w:left="533" w:right="126" w:firstLine="283"/>
        <w:jc w:val="both"/>
      </w:pPr>
      <w:r>
        <w:rPr>
          <w:color w:val="231F20"/>
        </w:rPr>
        <w:t xml:space="preserve">Принцип </w:t>
      </w:r>
      <w:r>
        <w:rPr>
          <w:b/>
          <w:i/>
          <w:color w:val="231F20"/>
        </w:rPr>
        <w:t xml:space="preserve">верховенства права </w:t>
      </w:r>
      <w:r>
        <w:rPr>
          <w:color w:val="231F20"/>
        </w:rPr>
        <w:t xml:space="preserve">є одним з основоположних прин- ципів правопорядку Української держави, закріплений він у статті 8 Конституції </w:t>
      </w:r>
      <w:r>
        <w:rPr>
          <w:color w:val="231F20"/>
          <w:spacing w:val="-3"/>
        </w:rPr>
        <w:t xml:space="preserve">України. </w:t>
      </w:r>
      <w:r>
        <w:rPr>
          <w:color w:val="231F20"/>
        </w:rPr>
        <w:t>Його дія поширюється на всі органи держав- ної влади, органи місцевого самоврядування та їх посадових осіб     у сферах нормотворчої, пра</w:t>
      </w:r>
      <w:r>
        <w:rPr>
          <w:color w:val="231F20"/>
        </w:rPr>
        <w:t>воохоронної та правозастосовної діяль- ності. Водночас цей принцип є юридично обов’язковою нормою найвищого</w:t>
      </w:r>
      <w:r>
        <w:rPr>
          <w:color w:val="231F20"/>
          <w:spacing w:val="-1"/>
        </w:rPr>
        <w:t xml:space="preserve"> </w:t>
      </w:r>
      <w:r>
        <w:rPr>
          <w:color w:val="231F20"/>
        </w:rPr>
        <w:t>рівня.</w:t>
      </w:r>
    </w:p>
    <w:p w14:paraId="01D7D334" w14:textId="77777777" w:rsidR="00DE575E" w:rsidRDefault="002E7560">
      <w:pPr>
        <w:pStyle w:val="BodyText"/>
        <w:spacing w:before="3" w:line="252" w:lineRule="auto"/>
        <w:ind w:left="533" w:right="128" w:firstLine="283"/>
        <w:jc w:val="both"/>
      </w:pPr>
      <w:r>
        <w:rPr>
          <w:color w:val="231F20"/>
          <w:spacing w:val="-3"/>
        </w:rPr>
        <w:t xml:space="preserve">Після ухвалення Конституції </w:t>
      </w:r>
      <w:r>
        <w:rPr>
          <w:color w:val="231F20"/>
          <w:spacing w:val="-5"/>
        </w:rPr>
        <w:t xml:space="preserve">України </w:t>
      </w:r>
      <w:r>
        <w:rPr>
          <w:color w:val="231F20"/>
          <w:spacing w:val="-3"/>
        </w:rPr>
        <w:t xml:space="preserve">основоположний принцип конституційного </w:t>
      </w:r>
      <w:r>
        <w:rPr>
          <w:color w:val="231F20"/>
          <w:spacing w:val="-4"/>
        </w:rPr>
        <w:t xml:space="preserve">устрою </w:t>
      </w:r>
      <w:r>
        <w:rPr>
          <w:color w:val="231F20"/>
          <w:spacing w:val="-3"/>
        </w:rPr>
        <w:t xml:space="preserve">став правовою нормою. </w:t>
      </w:r>
      <w:r>
        <w:rPr>
          <w:color w:val="231F20"/>
          <w:spacing w:val="-5"/>
        </w:rPr>
        <w:t xml:space="preserve">Кодекс </w:t>
      </w:r>
      <w:r>
        <w:rPr>
          <w:color w:val="231F20"/>
          <w:spacing w:val="-3"/>
        </w:rPr>
        <w:t xml:space="preserve">адміністра- тивного </w:t>
      </w:r>
      <w:r>
        <w:rPr>
          <w:color w:val="231F20"/>
          <w:spacing w:val="-4"/>
        </w:rPr>
        <w:t xml:space="preserve">судочинства </w:t>
      </w:r>
      <w:r>
        <w:rPr>
          <w:color w:val="231F20"/>
          <w:spacing w:val="-3"/>
        </w:rPr>
        <w:t xml:space="preserve">встановлює, </w:t>
      </w:r>
      <w:r>
        <w:rPr>
          <w:color w:val="231F20"/>
        </w:rPr>
        <w:t xml:space="preserve">що </w:t>
      </w:r>
      <w:r>
        <w:rPr>
          <w:color w:val="231F20"/>
          <w:spacing w:val="-6"/>
        </w:rPr>
        <w:t xml:space="preserve">суд </w:t>
      </w:r>
      <w:r>
        <w:rPr>
          <w:color w:val="231F20"/>
        </w:rPr>
        <w:t xml:space="preserve">у </w:t>
      </w:r>
      <w:r>
        <w:rPr>
          <w:color w:val="231F20"/>
          <w:spacing w:val="-3"/>
        </w:rPr>
        <w:t xml:space="preserve">вирішенні справи </w:t>
      </w:r>
      <w:r>
        <w:rPr>
          <w:color w:val="231F20"/>
          <w:spacing w:val="-4"/>
        </w:rPr>
        <w:t xml:space="preserve">керу- </w:t>
      </w:r>
      <w:r>
        <w:rPr>
          <w:color w:val="231F20"/>
          <w:spacing w:val="-3"/>
        </w:rPr>
        <w:t xml:space="preserve">ється принципом верховенства права, відповідно </w:t>
      </w:r>
      <w:r>
        <w:rPr>
          <w:color w:val="231F20"/>
        </w:rPr>
        <w:t xml:space="preserve">до </w:t>
      </w:r>
      <w:r>
        <w:rPr>
          <w:color w:val="231F20"/>
          <w:spacing w:val="-3"/>
        </w:rPr>
        <w:t xml:space="preserve">якого </w:t>
      </w:r>
      <w:r>
        <w:rPr>
          <w:color w:val="231F20"/>
          <w:spacing w:val="-4"/>
        </w:rPr>
        <w:t xml:space="preserve">людина, </w:t>
      </w:r>
      <w:r>
        <w:rPr>
          <w:color w:val="231F20"/>
          <w:spacing w:val="-3"/>
        </w:rPr>
        <w:t xml:space="preserve">її права </w:t>
      </w:r>
      <w:r>
        <w:rPr>
          <w:color w:val="231F20"/>
        </w:rPr>
        <w:t xml:space="preserve">та </w:t>
      </w:r>
      <w:r>
        <w:rPr>
          <w:color w:val="231F20"/>
          <w:spacing w:val="-4"/>
        </w:rPr>
        <w:t xml:space="preserve">свободи </w:t>
      </w:r>
      <w:r>
        <w:rPr>
          <w:color w:val="231F20"/>
          <w:spacing w:val="-3"/>
        </w:rPr>
        <w:t xml:space="preserve">визнаються найвищими цінностями </w:t>
      </w:r>
      <w:r>
        <w:rPr>
          <w:color w:val="231F20"/>
        </w:rPr>
        <w:t xml:space="preserve">та </w:t>
      </w:r>
      <w:r>
        <w:rPr>
          <w:color w:val="231F20"/>
          <w:spacing w:val="-4"/>
        </w:rPr>
        <w:t xml:space="preserve">визначають </w:t>
      </w:r>
      <w:r>
        <w:rPr>
          <w:color w:val="231F20"/>
          <w:spacing w:val="-3"/>
        </w:rPr>
        <w:t>зміст</w:t>
      </w:r>
      <w:r>
        <w:rPr>
          <w:color w:val="231F20"/>
          <w:spacing w:val="-12"/>
        </w:rPr>
        <w:t xml:space="preserve"> </w:t>
      </w:r>
      <w:r>
        <w:rPr>
          <w:color w:val="231F20"/>
        </w:rPr>
        <w:t>і</w:t>
      </w:r>
      <w:r>
        <w:rPr>
          <w:color w:val="231F20"/>
          <w:spacing w:val="-12"/>
        </w:rPr>
        <w:t xml:space="preserve"> </w:t>
      </w:r>
      <w:r>
        <w:rPr>
          <w:color w:val="231F20"/>
          <w:spacing w:val="-3"/>
        </w:rPr>
        <w:t>спрямованість</w:t>
      </w:r>
      <w:r>
        <w:rPr>
          <w:color w:val="231F20"/>
          <w:spacing w:val="-12"/>
        </w:rPr>
        <w:t xml:space="preserve"> </w:t>
      </w:r>
      <w:r>
        <w:rPr>
          <w:color w:val="231F20"/>
          <w:spacing w:val="-3"/>
        </w:rPr>
        <w:t>діяльності</w:t>
      </w:r>
      <w:r>
        <w:rPr>
          <w:color w:val="231F20"/>
          <w:spacing w:val="-12"/>
        </w:rPr>
        <w:t xml:space="preserve"> </w:t>
      </w:r>
      <w:r>
        <w:rPr>
          <w:color w:val="231F20"/>
          <w:spacing w:val="-3"/>
        </w:rPr>
        <w:t>держави;</w:t>
      </w:r>
      <w:r>
        <w:rPr>
          <w:color w:val="231F20"/>
          <w:spacing w:val="-12"/>
        </w:rPr>
        <w:t xml:space="preserve"> </w:t>
      </w:r>
      <w:r>
        <w:rPr>
          <w:color w:val="231F20"/>
          <w:spacing w:val="-6"/>
        </w:rPr>
        <w:t>суд</w:t>
      </w:r>
      <w:r>
        <w:rPr>
          <w:color w:val="231F20"/>
          <w:spacing w:val="-12"/>
        </w:rPr>
        <w:t xml:space="preserve"> </w:t>
      </w:r>
      <w:r>
        <w:rPr>
          <w:color w:val="231F20"/>
          <w:spacing w:val="-3"/>
        </w:rPr>
        <w:t>застосовує</w:t>
      </w:r>
      <w:r>
        <w:rPr>
          <w:color w:val="231F20"/>
          <w:spacing w:val="-12"/>
        </w:rPr>
        <w:t xml:space="preserve"> </w:t>
      </w:r>
      <w:r>
        <w:rPr>
          <w:color w:val="231F20"/>
        </w:rPr>
        <w:t>цей</w:t>
      </w:r>
      <w:r>
        <w:rPr>
          <w:color w:val="231F20"/>
          <w:spacing w:val="-12"/>
        </w:rPr>
        <w:t xml:space="preserve"> </w:t>
      </w:r>
      <w:r>
        <w:rPr>
          <w:color w:val="231F20"/>
          <w:spacing w:val="-3"/>
        </w:rPr>
        <w:t xml:space="preserve">принцип </w:t>
      </w:r>
      <w:r>
        <w:rPr>
          <w:color w:val="231F20"/>
        </w:rPr>
        <w:t>з</w:t>
      </w:r>
      <w:r>
        <w:rPr>
          <w:color w:val="231F20"/>
        </w:rPr>
        <w:t xml:space="preserve"> </w:t>
      </w:r>
      <w:r>
        <w:rPr>
          <w:color w:val="231F20"/>
          <w:spacing w:val="-3"/>
        </w:rPr>
        <w:t xml:space="preserve">урахуванням </w:t>
      </w:r>
      <w:r>
        <w:rPr>
          <w:color w:val="231F20"/>
          <w:spacing w:val="-5"/>
        </w:rPr>
        <w:t xml:space="preserve">судової </w:t>
      </w:r>
      <w:r>
        <w:rPr>
          <w:color w:val="231F20"/>
          <w:spacing w:val="-3"/>
        </w:rPr>
        <w:t xml:space="preserve">практики Європейського </w:t>
      </w:r>
      <w:r>
        <w:rPr>
          <w:color w:val="231F20"/>
          <w:spacing w:val="-5"/>
        </w:rPr>
        <w:t xml:space="preserve">суду </w:t>
      </w:r>
      <w:r>
        <w:rPr>
          <w:color w:val="231F20"/>
        </w:rPr>
        <w:t>з прав</w:t>
      </w:r>
      <w:r>
        <w:rPr>
          <w:color w:val="231F20"/>
          <w:spacing w:val="-14"/>
        </w:rPr>
        <w:t xml:space="preserve"> </w:t>
      </w:r>
      <w:r>
        <w:rPr>
          <w:color w:val="231F20"/>
          <w:spacing w:val="-4"/>
        </w:rPr>
        <w:t>людини.</w:t>
      </w:r>
    </w:p>
    <w:p w14:paraId="4FCE3015" w14:textId="77777777" w:rsidR="00DE575E" w:rsidRDefault="002E7560">
      <w:pPr>
        <w:pStyle w:val="BodyText"/>
        <w:spacing w:before="4" w:line="252" w:lineRule="auto"/>
        <w:ind w:left="533" w:right="127" w:firstLine="283"/>
        <w:jc w:val="both"/>
      </w:pPr>
      <w:r>
        <w:rPr>
          <w:color w:val="231F20"/>
        </w:rPr>
        <w:t xml:space="preserve">Рішення Європейського </w:t>
      </w:r>
      <w:r>
        <w:rPr>
          <w:color w:val="231F20"/>
          <w:spacing w:val="-4"/>
        </w:rPr>
        <w:t xml:space="preserve">суду </w:t>
      </w:r>
      <w:r>
        <w:rPr>
          <w:color w:val="231F20"/>
        </w:rPr>
        <w:t>з прав людини стали</w:t>
      </w:r>
      <w:r>
        <w:rPr>
          <w:color w:val="231F20"/>
          <w:spacing w:val="-22"/>
        </w:rPr>
        <w:t xml:space="preserve"> </w:t>
      </w:r>
      <w:r>
        <w:rPr>
          <w:color w:val="231F20"/>
        </w:rPr>
        <w:t>обов’язковими для</w:t>
      </w:r>
      <w:r>
        <w:rPr>
          <w:color w:val="231F20"/>
          <w:spacing w:val="-11"/>
        </w:rPr>
        <w:t xml:space="preserve"> </w:t>
      </w:r>
      <w:r>
        <w:rPr>
          <w:color w:val="231F20"/>
          <w:spacing w:val="-3"/>
        </w:rPr>
        <w:t>України</w:t>
      </w:r>
      <w:r>
        <w:rPr>
          <w:color w:val="231F20"/>
          <w:spacing w:val="-11"/>
        </w:rPr>
        <w:t xml:space="preserve"> </w:t>
      </w:r>
      <w:r>
        <w:rPr>
          <w:color w:val="231F20"/>
        </w:rPr>
        <w:t>після</w:t>
      </w:r>
      <w:r>
        <w:rPr>
          <w:color w:val="231F20"/>
          <w:spacing w:val="-11"/>
        </w:rPr>
        <w:t xml:space="preserve"> </w:t>
      </w:r>
      <w:r>
        <w:rPr>
          <w:color w:val="231F20"/>
        </w:rPr>
        <w:t>ратифікації</w:t>
      </w:r>
      <w:r>
        <w:rPr>
          <w:color w:val="231F20"/>
          <w:spacing w:val="-11"/>
        </w:rPr>
        <w:t xml:space="preserve"> </w:t>
      </w:r>
      <w:r>
        <w:rPr>
          <w:color w:val="231F20"/>
        </w:rPr>
        <w:t>Європейської</w:t>
      </w:r>
      <w:r>
        <w:rPr>
          <w:color w:val="231F20"/>
          <w:spacing w:val="-11"/>
        </w:rPr>
        <w:t xml:space="preserve"> </w:t>
      </w:r>
      <w:r>
        <w:rPr>
          <w:color w:val="231F20"/>
        </w:rPr>
        <w:t>конвенції</w:t>
      </w:r>
      <w:r>
        <w:rPr>
          <w:color w:val="231F20"/>
          <w:spacing w:val="-11"/>
        </w:rPr>
        <w:t xml:space="preserve"> </w:t>
      </w:r>
      <w:r>
        <w:rPr>
          <w:color w:val="231F20"/>
        </w:rPr>
        <w:t>з</w:t>
      </w:r>
      <w:r>
        <w:rPr>
          <w:color w:val="231F20"/>
          <w:spacing w:val="-11"/>
        </w:rPr>
        <w:t xml:space="preserve"> </w:t>
      </w:r>
      <w:r>
        <w:rPr>
          <w:color w:val="231F20"/>
        </w:rPr>
        <w:t>прав</w:t>
      </w:r>
      <w:r>
        <w:rPr>
          <w:color w:val="231F20"/>
          <w:spacing w:val="-11"/>
        </w:rPr>
        <w:t xml:space="preserve"> </w:t>
      </w:r>
      <w:r>
        <w:rPr>
          <w:color w:val="231F20"/>
        </w:rPr>
        <w:t xml:space="preserve">людини 1997 року та ухвалення Закону  </w:t>
      </w:r>
      <w:r>
        <w:rPr>
          <w:color w:val="231F20"/>
          <w:spacing w:val="-3"/>
        </w:rPr>
        <w:t xml:space="preserve">України  </w:t>
      </w:r>
      <w:r>
        <w:rPr>
          <w:color w:val="231F20"/>
        </w:rPr>
        <w:t xml:space="preserve">«Про  виконання  рішень </w:t>
      </w:r>
      <w:r>
        <w:rPr>
          <w:color w:val="231F20"/>
        </w:rPr>
        <w:t xml:space="preserve">та застосування практики Європейського </w:t>
      </w:r>
      <w:r>
        <w:rPr>
          <w:color w:val="231F20"/>
          <w:spacing w:val="-4"/>
        </w:rPr>
        <w:t xml:space="preserve">суду </w:t>
      </w:r>
      <w:r>
        <w:rPr>
          <w:color w:val="231F20"/>
        </w:rPr>
        <w:t xml:space="preserve">з прав людини»  2006 </w:t>
      </w:r>
      <w:r>
        <w:rPr>
          <w:color w:val="231F20"/>
          <w:spacing w:val="-5"/>
        </w:rPr>
        <w:t>року.</w:t>
      </w:r>
    </w:p>
    <w:p w14:paraId="34176654" w14:textId="77777777" w:rsidR="00DE575E" w:rsidRDefault="002E7560">
      <w:pPr>
        <w:spacing w:before="2"/>
        <w:ind w:left="817"/>
        <w:rPr>
          <w:i/>
          <w:sz w:val="21"/>
        </w:rPr>
      </w:pPr>
      <w:r>
        <w:rPr>
          <w:i/>
          <w:color w:val="231F20"/>
          <w:sz w:val="21"/>
        </w:rPr>
        <w:t>Верховенство права має такі складові:</w:t>
      </w:r>
    </w:p>
    <w:p w14:paraId="00BD870D" w14:textId="77777777" w:rsidR="00DE575E" w:rsidRDefault="002E7560">
      <w:pPr>
        <w:pStyle w:val="ListParagraph"/>
        <w:numPr>
          <w:ilvl w:val="1"/>
          <w:numId w:val="299"/>
        </w:numPr>
        <w:tabs>
          <w:tab w:val="left" w:pos="1101"/>
        </w:tabs>
        <w:spacing w:before="13" w:line="252" w:lineRule="auto"/>
        <w:ind w:right="127" w:firstLine="284"/>
        <w:rPr>
          <w:sz w:val="21"/>
        </w:rPr>
      </w:pPr>
      <w:r>
        <w:rPr>
          <w:color w:val="231F20"/>
          <w:sz w:val="21"/>
        </w:rPr>
        <w:t>є своєрідним запобіжником від свавілля держави, її органів</w:t>
      </w:r>
      <w:r>
        <w:rPr>
          <w:color w:val="231F20"/>
          <w:spacing w:val="-26"/>
          <w:sz w:val="21"/>
        </w:rPr>
        <w:t xml:space="preserve"> </w:t>
      </w:r>
      <w:r>
        <w:rPr>
          <w:color w:val="231F20"/>
          <w:sz w:val="21"/>
        </w:rPr>
        <w:t>чи посадових осіб стосовно громадянина;</w:t>
      </w:r>
    </w:p>
    <w:p w14:paraId="01F2ABBC" w14:textId="77777777" w:rsidR="00DE575E" w:rsidRDefault="002E7560">
      <w:pPr>
        <w:pStyle w:val="ListParagraph"/>
        <w:numPr>
          <w:ilvl w:val="1"/>
          <w:numId w:val="299"/>
        </w:numPr>
        <w:tabs>
          <w:tab w:val="left" w:pos="1101"/>
        </w:tabs>
        <w:ind w:firstLine="284"/>
        <w:jc w:val="left"/>
        <w:rPr>
          <w:sz w:val="21"/>
        </w:rPr>
      </w:pPr>
      <w:r>
        <w:rPr>
          <w:color w:val="231F20"/>
          <w:sz w:val="21"/>
        </w:rPr>
        <w:t>передбачає рівність усіх громадян перед</w:t>
      </w:r>
      <w:r>
        <w:rPr>
          <w:color w:val="231F20"/>
          <w:spacing w:val="-5"/>
          <w:sz w:val="21"/>
        </w:rPr>
        <w:t xml:space="preserve"> </w:t>
      </w:r>
      <w:r>
        <w:rPr>
          <w:color w:val="231F20"/>
          <w:sz w:val="21"/>
        </w:rPr>
        <w:t>законом;</w:t>
      </w:r>
    </w:p>
    <w:p w14:paraId="55B2ECA4" w14:textId="77777777" w:rsidR="00DE575E" w:rsidRDefault="002E7560">
      <w:pPr>
        <w:pStyle w:val="ListParagraph"/>
        <w:numPr>
          <w:ilvl w:val="1"/>
          <w:numId w:val="299"/>
        </w:numPr>
        <w:tabs>
          <w:tab w:val="left" w:pos="1101"/>
        </w:tabs>
        <w:spacing w:before="13" w:line="252" w:lineRule="auto"/>
        <w:ind w:right="127" w:firstLine="284"/>
        <w:rPr>
          <w:sz w:val="21"/>
        </w:rPr>
      </w:pPr>
      <w:r>
        <w:rPr>
          <w:color w:val="231F20"/>
          <w:sz w:val="21"/>
        </w:rPr>
        <w:t>означає,  що  свободи   людини   не   є   наслідком   ухвалених  у</w:t>
      </w:r>
      <w:r>
        <w:rPr>
          <w:color w:val="231F20"/>
          <w:spacing w:val="-7"/>
          <w:sz w:val="21"/>
        </w:rPr>
        <w:t xml:space="preserve"> </w:t>
      </w:r>
      <w:r>
        <w:rPr>
          <w:color w:val="231F20"/>
          <w:sz w:val="21"/>
        </w:rPr>
        <w:t>нормативних</w:t>
      </w:r>
      <w:r>
        <w:rPr>
          <w:color w:val="231F20"/>
          <w:spacing w:val="-7"/>
          <w:sz w:val="21"/>
        </w:rPr>
        <w:t xml:space="preserve"> </w:t>
      </w:r>
      <w:r>
        <w:rPr>
          <w:color w:val="231F20"/>
          <w:sz w:val="21"/>
        </w:rPr>
        <w:t>актах</w:t>
      </w:r>
      <w:r>
        <w:rPr>
          <w:color w:val="231F20"/>
          <w:spacing w:val="-7"/>
          <w:sz w:val="21"/>
        </w:rPr>
        <w:t xml:space="preserve"> </w:t>
      </w:r>
      <w:r>
        <w:rPr>
          <w:color w:val="231F20"/>
          <w:sz w:val="21"/>
        </w:rPr>
        <w:t>гарантій.</w:t>
      </w:r>
      <w:r>
        <w:rPr>
          <w:color w:val="231F20"/>
          <w:spacing w:val="-7"/>
          <w:sz w:val="21"/>
        </w:rPr>
        <w:t xml:space="preserve"> </w:t>
      </w:r>
      <w:r>
        <w:rPr>
          <w:color w:val="231F20"/>
          <w:sz w:val="21"/>
        </w:rPr>
        <w:t>Навпаки</w:t>
      </w:r>
      <w:r>
        <w:rPr>
          <w:color w:val="231F20"/>
          <w:spacing w:val="-7"/>
          <w:sz w:val="21"/>
        </w:rPr>
        <w:t xml:space="preserve"> </w:t>
      </w:r>
      <w:r>
        <w:rPr>
          <w:color w:val="231F20"/>
          <w:sz w:val="21"/>
        </w:rPr>
        <w:t>–</w:t>
      </w:r>
      <w:r>
        <w:rPr>
          <w:color w:val="231F20"/>
          <w:spacing w:val="-7"/>
          <w:sz w:val="21"/>
        </w:rPr>
        <w:t xml:space="preserve"> </w:t>
      </w:r>
      <w:r>
        <w:rPr>
          <w:color w:val="231F20"/>
          <w:sz w:val="21"/>
        </w:rPr>
        <w:t>норми</w:t>
      </w:r>
      <w:r>
        <w:rPr>
          <w:color w:val="231F20"/>
          <w:spacing w:val="-7"/>
          <w:sz w:val="21"/>
        </w:rPr>
        <w:t xml:space="preserve"> </w:t>
      </w:r>
      <w:r>
        <w:rPr>
          <w:color w:val="231F20"/>
          <w:sz w:val="21"/>
        </w:rPr>
        <w:t>офіційних</w:t>
      </w:r>
      <w:r>
        <w:rPr>
          <w:color w:val="231F20"/>
          <w:spacing w:val="-7"/>
          <w:sz w:val="21"/>
        </w:rPr>
        <w:t xml:space="preserve"> </w:t>
      </w:r>
      <w:r>
        <w:rPr>
          <w:color w:val="231F20"/>
          <w:sz w:val="21"/>
        </w:rPr>
        <w:t>докумен- тів є наслідком природних прав</w:t>
      </w:r>
      <w:r>
        <w:rPr>
          <w:color w:val="231F20"/>
          <w:spacing w:val="-6"/>
          <w:sz w:val="21"/>
        </w:rPr>
        <w:t xml:space="preserve"> </w:t>
      </w:r>
      <w:r>
        <w:rPr>
          <w:color w:val="231F20"/>
          <w:sz w:val="21"/>
        </w:rPr>
        <w:t>особи.</w:t>
      </w:r>
    </w:p>
    <w:p w14:paraId="4C2D2E66" w14:textId="77777777" w:rsidR="00DE575E" w:rsidRDefault="002E7560">
      <w:pPr>
        <w:pStyle w:val="BodyText"/>
        <w:spacing w:before="1" w:line="252" w:lineRule="auto"/>
        <w:ind w:left="533" w:right="127" w:firstLine="283"/>
        <w:jc w:val="both"/>
      </w:pPr>
      <w:r>
        <w:rPr>
          <w:color w:val="231F20"/>
        </w:rPr>
        <w:t>Лише</w:t>
      </w:r>
      <w:r>
        <w:rPr>
          <w:color w:val="231F20"/>
          <w:spacing w:val="-13"/>
        </w:rPr>
        <w:t xml:space="preserve"> </w:t>
      </w:r>
      <w:r>
        <w:rPr>
          <w:color w:val="231F20"/>
        </w:rPr>
        <w:t>доктрина</w:t>
      </w:r>
      <w:r>
        <w:rPr>
          <w:color w:val="231F20"/>
          <w:spacing w:val="-13"/>
        </w:rPr>
        <w:t xml:space="preserve"> </w:t>
      </w:r>
      <w:r>
        <w:rPr>
          <w:color w:val="231F20"/>
        </w:rPr>
        <w:t>природного</w:t>
      </w:r>
      <w:r>
        <w:rPr>
          <w:color w:val="231F20"/>
          <w:spacing w:val="-13"/>
        </w:rPr>
        <w:t xml:space="preserve"> </w:t>
      </w:r>
      <w:r>
        <w:rPr>
          <w:color w:val="231F20"/>
        </w:rPr>
        <w:t>права</w:t>
      </w:r>
      <w:r>
        <w:rPr>
          <w:color w:val="231F20"/>
          <w:spacing w:val="-13"/>
        </w:rPr>
        <w:t xml:space="preserve"> </w:t>
      </w:r>
      <w:r>
        <w:rPr>
          <w:color w:val="231F20"/>
        </w:rPr>
        <w:t>є</w:t>
      </w:r>
      <w:r>
        <w:rPr>
          <w:color w:val="231F20"/>
          <w:spacing w:val="-13"/>
        </w:rPr>
        <w:t xml:space="preserve"> </w:t>
      </w:r>
      <w:r>
        <w:rPr>
          <w:color w:val="231F20"/>
        </w:rPr>
        <w:t>джерелом</w:t>
      </w:r>
      <w:r>
        <w:rPr>
          <w:color w:val="231F20"/>
          <w:spacing w:val="-13"/>
        </w:rPr>
        <w:t xml:space="preserve"> </w:t>
      </w:r>
      <w:r>
        <w:rPr>
          <w:color w:val="231F20"/>
        </w:rPr>
        <w:t>розуміння</w:t>
      </w:r>
      <w:r>
        <w:rPr>
          <w:color w:val="231F20"/>
          <w:spacing w:val="-13"/>
        </w:rPr>
        <w:t xml:space="preserve"> </w:t>
      </w:r>
      <w:r>
        <w:rPr>
          <w:color w:val="231F20"/>
        </w:rPr>
        <w:t>того,</w:t>
      </w:r>
      <w:r>
        <w:rPr>
          <w:color w:val="231F20"/>
          <w:spacing w:val="-13"/>
        </w:rPr>
        <w:t xml:space="preserve"> </w:t>
      </w:r>
      <w:r>
        <w:rPr>
          <w:color w:val="231F20"/>
        </w:rPr>
        <w:t>що права людини й основополож</w:t>
      </w:r>
      <w:r>
        <w:rPr>
          <w:color w:val="231F20"/>
        </w:rPr>
        <w:t>ні свободи не надані державою своїм громадянам</w:t>
      </w:r>
      <w:r>
        <w:rPr>
          <w:color w:val="231F20"/>
          <w:spacing w:val="-15"/>
        </w:rPr>
        <w:t xml:space="preserve"> </w:t>
      </w:r>
      <w:r>
        <w:rPr>
          <w:color w:val="231F20"/>
        </w:rPr>
        <w:t>права</w:t>
      </w:r>
      <w:r>
        <w:rPr>
          <w:color w:val="231F20"/>
          <w:spacing w:val="-15"/>
        </w:rPr>
        <w:t xml:space="preserve"> </w:t>
      </w:r>
      <w:r>
        <w:rPr>
          <w:color w:val="231F20"/>
        </w:rPr>
        <w:t>у</w:t>
      </w:r>
      <w:r>
        <w:rPr>
          <w:color w:val="231F20"/>
          <w:spacing w:val="-15"/>
        </w:rPr>
        <w:t xml:space="preserve"> </w:t>
      </w:r>
      <w:r>
        <w:rPr>
          <w:color w:val="231F20"/>
        </w:rPr>
        <w:t>вигляді</w:t>
      </w:r>
      <w:r>
        <w:rPr>
          <w:color w:val="231F20"/>
          <w:spacing w:val="-15"/>
        </w:rPr>
        <w:t xml:space="preserve"> </w:t>
      </w:r>
      <w:r>
        <w:rPr>
          <w:color w:val="231F20"/>
        </w:rPr>
        <w:t>створених</w:t>
      </w:r>
      <w:r>
        <w:rPr>
          <w:color w:val="231F20"/>
          <w:spacing w:val="-15"/>
        </w:rPr>
        <w:t xml:space="preserve"> </w:t>
      </w:r>
      <w:r>
        <w:rPr>
          <w:color w:val="231F20"/>
        </w:rPr>
        <w:t>нею</w:t>
      </w:r>
      <w:r>
        <w:rPr>
          <w:color w:val="231F20"/>
          <w:spacing w:val="-15"/>
        </w:rPr>
        <w:t xml:space="preserve"> </w:t>
      </w:r>
      <w:r>
        <w:rPr>
          <w:color w:val="231F20"/>
        </w:rPr>
        <w:t>норм</w:t>
      </w:r>
      <w:r>
        <w:rPr>
          <w:color w:val="231F20"/>
          <w:spacing w:val="-15"/>
        </w:rPr>
        <w:t xml:space="preserve"> </w:t>
      </w:r>
      <w:r>
        <w:rPr>
          <w:color w:val="231F20"/>
        </w:rPr>
        <w:t>права</w:t>
      </w:r>
      <w:r>
        <w:rPr>
          <w:color w:val="231F20"/>
          <w:spacing w:val="-15"/>
        </w:rPr>
        <w:t xml:space="preserve"> </w:t>
      </w:r>
      <w:r>
        <w:rPr>
          <w:color w:val="231F20"/>
        </w:rPr>
        <w:t>–</w:t>
      </w:r>
      <w:r>
        <w:rPr>
          <w:color w:val="231F20"/>
          <w:spacing w:val="-15"/>
        </w:rPr>
        <w:t xml:space="preserve"> </w:t>
      </w:r>
      <w:r>
        <w:rPr>
          <w:color w:val="231F20"/>
        </w:rPr>
        <w:t>це</w:t>
      </w:r>
      <w:r>
        <w:rPr>
          <w:color w:val="231F20"/>
          <w:spacing w:val="-15"/>
        </w:rPr>
        <w:t xml:space="preserve"> </w:t>
      </w:r>
      <w:r>
        <w:rPr>
          <w:color w:val="231F20"/>
        </w:rPr>
        <w:t>природні права, що властиві людині від природи та належать їй як творінню Природи, а не як члену суспільства, і тому є</w:t>
      </w:r>
      <w:r>
        <w:rPr>
          <w:color w:val="231F20"/>
          <w:spacing w:val="-12"/>
        </w:rPr>
        <w:t xml:space="preserve"> </w:t>
      </w:r>
      <w:r>
        <w:rPr>
          <w:color w:val="231F20"/>
        </w:rPr>
        <w:t>невідчужуваними.</w:t>
      </w:r>
    </w:p>
    <w:p w14:paraId="7C59CFF9" w14:textId="77777777" w:rsidR="00DE575E" w:rsidRDefault="002E7560">
      <w:pPr>
        <w:pStyle w:val="BodyText"/>
        <w:spacing w:before="3" w:line="252" w:lineRule="auto"/>
        <w:ind w:left="533" w:right="127" w:firstLine="283"/>
        <w:jc w:val="both"/>
      </w:pPr>
      <w:r>
        <w:rPr>
          <w:color w:val="231F20"/>
        </w:rPr>
        <w:t>Важливим прикладом сутності верховенства права як прин- ципу українського конституційного права є зокрема</w:t>
      </w:r>
      <w:r>
        <w:rPr>
          <w:color w:val="231F20"/>
        </w:rPr>
        <w:t xml:space="preserve"> </w:t>
      </w:r>
      <w:r>
        <w:rPr>
          <w:color w:val="231F20"/>
        </w:rPr>
        <w:t>частина друга</w:t>
      </w:r>
    </w:p>
    <w:p w14:paraId="1C8C8A41" w14:textId="61844942" w:rsidR="00DE575E" w:rsidRDefault="002E7560">
      <w:pPr>
        <w:pStyle w:val="BodyText"/>
        <w:spacing w:before="8"/>
        <w:rPr>
          <w:sz w:val="23"/>
        </w:rPr>
      </w:pPr>
      <w:r>
        <w:rPr>
          <w:noProof/>
        </w:rPr>
        <mc:AlternateContent>
          <mc:Choice Requires="wps">
            <w:drawing>
              <wp:anchor distT="0" distB="0" distL="0" distR="0" simplePos="0" relativeHeight="2608" behindDoc="0" locked="0" layoutInCell="1" allowOverlap="1" wp14:anchorId="17366325" wp14:editId="77FDDFEC">
                <wp:simplePos x="0" y="0"/>
                <wp:positionH relativeFrom="page">
                  <wp:posOffset>719455</wp:posOffset>
                </wp:positionH>
                <wp:positionV relativeFrom="paragraph">
                  <wp:posOffset>204470</wp:posOffset>
                </wp:positionV>
                <wp:extent cx="1080135" cy="0"/>
                <wp:effectExtent l="8255" t="13970" r="29210" b="24130"/>
                <wp:wrapTopAndBottom/>
                <wp:docPr id="1296"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E774F" id="Line_x0020_1295"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141.7pt,1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" strokecolor="#231f20" strokeweight=".5pt">
                <w10:wrap type="topAndBottom" anchorx="page"/>
              </v:line>
            </w:pict>
          </mc:Fallback>
        </mc:AlternateContent>
      </w:r>
    </w:p>
    <w:p w14:paraId="56A0B0C2"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Автор: </w:t>
      </w:r>
      <w:r>
        <w:rPr>
          <w:b/>
          <w:color w:val="231F20"/>
          <w:sz w:val="16"/>
        </w:rPr>
        <w:t>Олександр Лавринович.</w:t>
      </w:r>
    </w:p>
    <w:p w14:paraId="6DA9F7D0" w14:textId="77777777" w:rsidR="00DE575E" w:rsidRDefault="00DE575E">
      <w:pPr>
        <w:pStyle w:val="BodyText"/>
        <w:spacing w:before="10"/>
        <w:rPr>
          <w:b/>
          <w:sz w:val="11"/>
        </w:rPr>
      </w:pPr>
    </w:p>
    <w:p w14:paraId="2C94D1A3" w14:textId="77777777" w:rsidR="00DE575E" w:rsidRDefault="002E7560">
      <w:pPr>
        <w:spacing w:before="92"/>
        <w:ind w:left="533"/>
        <w:rPr>
          <w:rFonts w:ascii="Times New Roman"/>
          <w:sz w:val="20"/>
        </w:rPr>
      </w:pPr>
      <w:r>
        <w:rPr>
          <w:rFonts w:ascii="Times New Roman"/>
          <w:color w:val="231F20"/>
          <w:sz w:val="20"/>
        </w:rPr>
        <w:t>46</w:t>
      </w:r>
    </w:p>
    <w:p w14:paraId="643B236B" w14:textId="77777777" w:rsidR="00DE575E" w:rsidRDefault="00DE575E">
      <w:pPr>
        <w:rPr>
          <w:rFonts w:ascii="Times New Roman"/>
          <w:sz w:val="20"/>
        </w:rPr>
        <w:sectPr w:rsidR="00DE575E">
          <w:pgSz w:w="8510" w:h="12760"/>
          <w:pgMar w:top="660" w:right="720" w:bottom="280" w:left="600" w:header="720" w:footer="720" w:gutter="0"/>
          <w:cols w:space="720"/>
        </w:sectPr>
      </w:pPr>
    </w:p>
    <w:p w14:paraId="4BCAAB78" w14:textId="77777777" w:rsidR="00DE575E" w:rsidRDefault="002E7560">
      <w:pPr>
        <w:spacing w:before="72" w:line="249" w:lineRule="auto"/>
        <w:ind w:left="3122" w:firstLine="349"/>
        <w:rPr>
          <w:rFonts w:ascii="AdonisC" w:hAnsi="AdonisC"/>
          <w:i/>
          <w:sz w:val="18"/>
        </w:rPr>
      </w:pPr>
      <w:r>
        <w:rPr>
          <w:rFonts w:ascii="AdonisC" w:hAnsi="AdonisC"/>
          <w:i/>
          <w:color w:val="231F20"/>
          <w:sz w:val="18"/>
        </w:rPr>
        <w:lastRenderedPageBreak/>
        <w:t>Глава І. Загальне адміністративне право Розділ 2. Принципи адміністративного права</w:t>
      </w:r>
    </w:p>
    <w:p w14:paraId="3920EE24" w14:textId="69D34B2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C8643B5" wp14:editId="5D60E8E4">
                <wp:extent cx="4140200" cy="6350"/>
                <wp:effectExtent l="0" t="0" r="12700" b="6350"/>
                <wp:docPr id="129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95" name="Line 12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AB0BCE" id="Group_x0020_12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mc8IB/AgAAnAUAAA4A&#10;AAAAAAAAAAAAAAAALAIAAGRycy9lMm9Eb2MueG1sUEsBAi0AFAAGAAgAAAAhAEynsJDZAAAAAwEA&#10;AA8AAAAAAAAAAAAAAAAA1wQAAGRycy9kb3ducmV2LnhtbFBLBQYAAAAABAAEAPMAAADdBQAAAAA=&#10;">
                <v:line id="Line_x0020_12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8WecUAAADdAAAADwAAAGRycy9kb3ducmV2LnhtbERP22rCQBB9L/gPywh9KXVTxVKjq5RC&#10;ofTBS9IPGLNjEtydjdnVpH69KxT6NodzncWqt0ZcqPW1YwUvowQEceF0zaWCn/zz+Q2ED8gajWNS&#10;8EseVsvBwwJT7Tre0SULpYgh7FNUUIXQpFL6oiKLfuQa4sgdXGsxRNiWUrfYxXBr5DhJXqXFmmND&#10;hQ19VFQcs7NVkJ+egtluvk2Xb/YTuT+tJ9fzWqnHYf8+BxGoD//iP/eXjvPHsyncv4kn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8WecUAAADdAAAADwAAAAAAAAAA&#10;AAAAAAChAgAAZHJzL2Rvd25yZXYueG1sUEsFBgAAAAAEAAQA+QAAAJMDAAAAAA==&#10;" strokecolor="#231f20" strokeweight=".5pt"/>
                <w10:anchorlock/>
              </v:group>
            </w:pict>
          </mc:Fallback>
        </mc:AlternateContent>
      </w:r>
    </w:p>
    <w:p w14:paraId="3F5CA2DC" w14:textId="77777777" w:rsidR="00DE575E" w:rsidRDefault="00DE575E">
      <w:pPr>
        <w:pStyle w:val="BodyText"/>
        <w:spacing w:before="7"/>
        <w:rPr>
          <w:rFonts w:ascii="AdonisC"/>
          <w:i/>
          <w:sz w:val="19"/>
        </w:rPr>
      </w:pPr>
    </w:p>
    <w:p w14:paraId="5FE0AC35" w14:textId="77777777" w:rsidR="00DE575E" w:rsidRDefault="002E7560">
      <w:pPr>
        <w:pStyle w:val="BodyText"/>
        <w:spacing w:before="1" w:line="252" w:lineRule="auto"/>
        <w:ind w:left="250" w:right="411"/>
        <w:jc w:val="both"/>
      </w:pPr>
      <w:r>
        <w:rPr>
          <w:color w:val="231F20"/>
        </w:rPr>
        <w:t xml:space="preserve">статті восьмої Конституції </w:t>
      </w:r>
      <w:r>
        <w:rPr>
          <w:color w:val="231F20"/>
          <w:spacing w:val="-3"/>
        </w:rPr>
        <w:t xml:space="preserve">України, </w:t>
      </w:r>
      <w:r>
        <w:rPr>
          <w:color w:val="231F20"/>
        </w:rPr>
        <w:t xml:space="preserve">де закріплено принцип ієрар-  хії юридичних норм. Він як складник принципу верховенства права скерований на забезпечення узгодженого характеру всієї юридич- ної системи, що є важливим у ситуації, коли правові норми різних нормативних актів не узгоджуються </w:t>
      </w:r>
      <w:r>
        <w:rPr>
          <w:color w:val="231F20"/>
        </w:rPr>
        <w:t xml:space="preserve">між собою або суперечать </w:t>
      </w:r>
      <w:r>
        <w:rPr>
          <w:color w:val="231F20"/>
          <w:spacing w:val="-3"/>
        </w:rPr>
        <w:t xml:space="preserve">одна </w:t>
      </w:r>
      <w:r>
        <w:rPr>
          <w:color w:val="231F20"/>
        </w:rPr>
        <w:t xml:space="preserve">одній. Зміст принципу ієрархії юридичних норм полягає в </w:t>
      </w:r>
      <w:r>
        <w:rPr>
          <w:color w:val="231F20"/>
          <w:spacing w:val="-4"/>
        </w:rPr>
        <w:t xml:space="preserve">тому, </w:t>
      </w:r>
      <w:r>
        <w:rPr>
          <w:color w:val="231F20"/>
        </w:rPr>
        <w:t xml:space="preserve">що Конституція </w:t>
      </w:r>
      <w:r>
        <w:rPr>
          <w:color w:val="231F20"/>
          <w:spacing w:val="-3"/>
        </w:rPr>
        <w:t xml:space="preserve">України </w:t>
      </w:r>
      <w:r>
        <w:rPr>
          <w:color w:val="231F20"/>
        </w:rPr>
        <w:t>наділена найвищою юридичною силою, тобто стоїть</w:t>
      </w:r>
      <w:r>
        <w:rPr>
          <w:color w:val="231F20"/>
          <w:spacing w:val="-13"/>
        </w:rPr>
        <w:t xml:space="preserve"> </w:t>
      </w:r>
      <w:r>
        <w:rPr>
          <w:color w:val="231F20"/>
        </w:rPr>
        <w:t>над</w:t>
      </w:r>
      <w:r>
        <w:rPr>
          <w:color w:val="231F20"/>
          <w:spacing w:val="-13"/>
        </w:rPr>
        <w:t xml:space="preserve"> </w:t>
      </w:r>
      <w:r>
        <w:rPr>
          <w:color w:val="231F20"/>
        </w:rPr>
        <w:t>законами</w:t>
      </w:r>
      <w:r>
        <w:rPr>
          <w:color w:val="231F20"/>
          <w:spacing w:val="-13"/>
        </w:rPr>
        <w:t xml:space="preserve"> </w:t>
      </w:r>
      <w:r>
        <w:rPr>
          <w:color w:val="231F20"/>
        </w:rPr>
        <w:t>і</w:t>
      </w:r>
      <w:r>
        <w:rPr>
          <w:color w:val="231F20"/>
          <w:spacing w:val="-14"/>
        </w:rPr>
        <w:t xml:space="preserve"> </w:t>
      </w:r>
      <w:r>
        <w:rPr>
          <w:color w:val="231F20"/>
        </w:rPr>
        <w:t>всіма</w:t>
      </w:r>
      <w:r>
        <w:rPr>
          <w:color w:val="231F20"/>
          <w:spacing w:val="-13"/>
        </w:rPr>
        <w:t xml:space="preserve"> </w:t>
      </w:r>
      <w:r>
        <w:rPr>
          <w:color w:val="231F20"/>
        </w:rPr>
        <w:t>підзаконними</w:t>
      </w:r>
      <w:r>
        <w:rPr>
          <w:color w:val="231F20"/>
          <w:spacing w:val="-13"/>
        </w:rPr>
        <w:t xml:space="preserve"> </w:t>
      </w:r>
      <w:r>
        <w:rPr>
          <w:color w:val="231F20"/>
        </w:rPr>
        <w:t>актами,</w:t>
      </w:r>
      <w:r>
        <w:rPr>
          <w:color w:val="231F20"/>
          <w:spacing w:val="-13"/>
        </w:rPr>
        <w:t xml:space="preserve"> </w:t>
      </w:r>
      <w:r>
        <w:rPr>
          <w:color w:val="231F20"/>
        </w:rPr>
        <w:t>а</w:t>
      </w:r>
      <w:r>
        <w:rPr>
          <w:color w:val="231F20"/>
          <w:spacing w:val="-13"/>
        </w:rPr>
        <w:t xml:space="preserve"> </w:t>
      </w:r>
      <w:r>
        <w:rPr>
          <w:color w:val="231F20"/>
        </w:rPr>
        <w:t>також</w:t>
      </w:r>
      <w:r>
        <w:rPr>
          <w:color w:val="231F20"/>
          <w:spacing w:val="-13"/>
        </w:rPr>
        <w:t xml:space="preserve"> </w:t>
      </w:r>
      <w:r>
        <w:rPr>
          <w:color w:val="231F20"/>
        </w:rPr>
        <w:t>над</w:t>
      </w:r>
      <w:r>
        <w:rPr>
          <w:color w:val="231F20"/>
          <w:spacing w:val="-13"/>
        </w:rPr>
        <w:t xml:space="preserve"> </w:t>
      </w:r>
      <w:r>
        <w:rPr>
          <w:color w:val="231F20"/>
        </w:rPr>
        <w:t>міжна- родними</w:t>
      </w:r>
      <w:r>
        <w:rPr>
          <w:color w:val="231F20"/>
          <w:spacing w:val="-2"/>
        </w:rPr>
        <w:t xml:space="preserve"> </w:t>
      </w:r>
      <w:r>
        <w:rPr>
          <w:color w:val="231F20"/>
        </w:rPr>
        <w:t>договорами.</w:t>
      </w:r>
    </w:p>
    <w:p w14:paraId="493B68BC" w14:textId="77777777" w:rsidR="00DE575E" w:rsidRDefault="002E7560">
      <w:pPr>
        <w:spacing w:before="4"/>
        <w:ind w:left="533"/>
        <w:rPr>
          <w:sz w:val="21"/>
        </w:rPr>
      </w:pPr>
      <w:r>
        <w:rPr>
          <w:i/>
          <w:color w:val="231F20"/>
          <w:sz w:val="21"/>
        </w:rPr>
        <w:t>Особливостям</w:t>
      </w:r>
      <w:r>
        <w:rPr>
          <w:i/>
          <w:color w:val="231F20"/>
          <w:sz w:val="21"/>
        </w:rPr>
        <w:t>и принципу верховенства права є те, що</w:t>
      </w:r>
      <w:r>
        <w:rPr>
          <w:color w:val="231F20"/>
          <w:sz w:val="21"/>
        </w:rPr>
        <w:t>:</w:t>
      </w:r>
    </w:p>
    <w:p w14:paraId="072DDB54" w14:textId="77777777" w:rsidR="00DE575E" w:rsidRDefault="002E7560">
      <w:pPr>
        <w:pStyle w:val="ListParagraph"/>
        <w:numPr>
          <w:ilvl w:val="0"/>
          <w:numId w:val="299"/>
        </w:numPr>
        <w:tabs>
          <w:tab w:val="left" w:pos="818"/>
        </w:tabs>
        <w:spacing w:before="13" w:line="252" w:lineRule="auto"/>
        <w:ind w:right="411" w:firstLine="283"/>
        <w:rPr>
          <w:sz w:val="21"/>
        </w:rPr>
      </w:pPr>
      <w:r>
        <w:rPr>
          <w:color w:val="231F20"/>
          <w:sz w:val="21"/>
        </w:rPr>
        <w:t>найвищою цінністю є Людина, її права і свободи, усі ж інші цінності, зокрема держава і закон, є</w:t>
      </w:r>
      <w:r>
        <w:rPr>
          <w:color w:val="231F20"/>
          <w:spacing w:val="-5"/>
          <w:sz w:val="21"/>
        </w:rPr>
        <w:t xml:space="preserve"> </w:t>
      </w:r>
      <w:r>
        <w:rPr>
          <w:color w:val="231F20"/>
          <w:sz w:val="21"/>
        </w:rPr>
        <w:t>вторинними;</w:t>
      </w:r>
    </w:p>
    <w:p w14:paraId="0543CFA1"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 xml:space="preserve">законодавство і право не тотожні, нормативний </w:t>
      </w:r>
      <w:r>
        <w:rPr>
          <w:color w:val="231F20"/>
          <w:spacing w:val="-5"/>
          <w:sz w:val="21"/>
        </w:rPr>
        <w:t xml:space="preserve">акт, </w:t>
      </w:r>
      <w:r>
        <w:rPr>
          <w:color w:val="231F20"/>
          <w:sz w:val="21"/>
        </w:rPr>
        <w:t>який порушує права і свободи людини, є неправовим і не підлягає вико- нанню, його виконання є</w:t>
      </w:r>
      <w:r>
        <w:rPr>
          <w:color w:val="231F20"/>
          <w:spacing w:val="-2"/>
          <w:sz w:val="21"/>
        </w:rPr>
        <w:t xml:space="preserve"> </w:t>
      </w:r>
      <w:r>
        <w:rPr>
          <w:color w:val="231F20"/>
          <w:sz w:val="21"/>
        </w:rPr>
        <w:t>карним;</w:t>
      </w:r>
    </w:p>
    <w:p w14:paraId="15810A1D"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законодавство, що відповідає теорії природного права, підля- гає беззаперечному виконанню, а невиконання є</w:t>
      </w:r>
      <w:r>
        <w:rPr>
          <w:color w:val="231F20"/>
          <w:spacing w:val="-10"/>
          <w:sz w:val="21"/>
        </w:rPr>
        <w:t xml:space="preserve"> </w:t>
      </w:r>
      <w:r>
        <w:rPr>
          <w:color w:val="231F20"/>
          <w:sz w:val="21"/>
        </w:rPr>
        <w:t>караним;</w:t>
      </w:r>
    </w:p>
    <w:p w14:paraId="126DBDF9" w14:textId="77777777" w:rsidR="00DE575E" w:rsidRDefault="002E7560">
      <w:pPr>
        <w:pStyle w:val="ListParagraph"/>
        <w:numPr>
          <w:ilvl w:val="0"/>
          <w:numId w:val="299"/>
        </w:numPr>
        <w:tabs>
          <w:tab w:val="left" w:pos="818"/>
        </w:tabs>
        <w:spacing w:line="252" w:lineRule="auto"/>
        <w:ind w:right="407" w:firstLine="283"/>
        <w:rPr>
          <w:sz w:val="21"/>
        </w:rPr>
      </w:pPr>
      <w:r>
        <w:rPr>
          <w:color w:val="231F20"/>
          <w:spacing w:val="1"/>
          <w:sz w:val="21"/>
        </w:rPr>
        <w:t>принцип верховенства права визначає зм</w:t>
      </w:r>
      <w:r>
        <w:rPr>
          <w:color w:val="231F20"/>
          <w:spacing w:val="1"/>
          <w:sz w:val="21"/>
        </w:rPr>
        <w:t xml:space="preserve">іст </w:t>
      </w:r>
      <w:r>
        <w:rPr>
          <w:color w:val="231F20"/>
          <w:sz w:val="21"/>
        </w:rPr>
        <w:t xml:space="preserve">і </w:t>
      </w:r>
      <w:r>
        <w:rPr>
          <w:color w:val="231F20"/>
          <w:spacing w:val="2"/>
          <w:sz w:val="21"/>
        </w:rPr>
        <w:t xml:space="preserve">спрямованість </w:t>
      </w:r>
      <w:r>
        <w:rPr>
          <w:color w:val="231F20"/>
          <w:spacing w:val="1"/>
          <w:sz w:val="21"/>
        </w:rPr>
        <w:t xml:space="preserve">діяльності держави, зокрема </w:t>
      </w:r>
      <w:r>
        <w:rPr>
          <w:color w:val="231F20"/>
          <w:sz w:val="21"/>
        </w:rPr>
        <w:t xml:space="preserve">суду та суб’єктів </w:t>
      </w:r>
      <w:r>
        <w:rPr>
          <w:color w:val="231F20"/>
          <w:spacing w:val="1"/>
          <w:sz w:val="21"/>
        </w:rPr>
        <w:t xml:space="preserve">публічної </w:t>
      </w:r>
      <w:r>
        <w:rPr>
          <w:color w:val="231F20"/>
          <w:spacing w:val="2"/>
          <w:sz w:val="21"/>
        </w:rPr>
        <w:t>адмі- ністрації.</w:t>
      </w:r>
    </w:p>
    <w:p w14:paraId="171DBF38" w14:textId="77777777" w:rsidR="00DE575E" w:rsidRDefault="002E7560">
      <w:pPr>
        <w:pStyle w:val="Heading5"/>
        <w:spacing w:before="2" w:line="252" w:lineRule="auto"/>
        <w:ind w:left="250" w:right="411" w:firstLine="283"/>
        <w:jc w:val="both"/>
      </w:pPr>
      <w:r>
        <w:rPr>
          <w:color w:val="231F20"/>
        </w:rPr>
        <w:t xml:space="preserve">Отже, значення принципу верховенства права в адміністра- тивному праві полягає в </w:t>
      </w:r>
      <w:r>
        <w:rPr>
          <w:color w:val="231F20"/>
          <w:spacing w:val="-6"/>
        </w:rPr>
        <w:t xml:space="preserve">тому, </w:t>
      </w:r>
      <w:r>
        <w:rPr>
          <w:color w:val="231F20"/>
        </w:rPr>
        <w:t xml:space="preserve">що </w:t>
      </w:r>
      <w:r>
        <w:rPr>
          <w:color w:val="231F20"/>
          <w:spacing w:val="-3"/>
        </w:rPr>
        <w:t xml:space="preserve">суб’єкти </w:t>
      </w:r>
      <w:r>
        <w:rPr>
          <w:color w:val="231F20"/>
        </w:rPr>
        <w:t>публічної адмініст- рації</w:t>
      </w:r>
      <w:r>
        <w:rPr>
          <w:color w:val="231F20"/>
          <w:spacing w:val="-5"/>
        </w:rPr>
        <w:t xml:space="preserve"> </w:t>
      </w:r>
      <w:r>
        <w:rPr>
          <w:color w:val="231F20"/>
        </w:rPr>
        <w:t>визнають</w:t>
      </w:r>
      <w:r>
        <w:rPr>
          <w:color w:val="231F20"/>
          <w:spacing w:val="-5"/>
        </w:rPr>
        <w:t xml:space="preserve"> </w:t>
      </w:r>
      <w:r>
        <w:rPr>
          <w:color w:val="231F20"/>
        </w:rPr>
        <w:t>право</w:t>
      </w:r>
      <w:r>
        <w:rPr>
          <w:color w:val="231F20"/>
          <w:spacing w:val="-5"/>
        </w:rPr>
        <w:t xml:space="preserve"> </w:t>
      </w:r>
      <w:r>
        <w:rPr>
          <w:color w:val="231F20"/>
        </w:rPr>
        <w:t>як</w:t>
      </w:r>
      <w:r>
        <w:rPr>
          <w:color w:val="231F20"/>
          <w:spacing w:val="-5"/>
        </w:rPr>
        <w:t xml:space="preserve"> </w:t>
      </w:r>
      <w:r>
        <w:rPr>
          <w:color w:val="231F20"/>
        </w:rPr>
        <w:t>найвищу</w:t>
      </w:r>
      <w:r>
        <w:rPr>
          <w:color w:val="231F20"/>
          <w:spacing w:val="-5"/>
        </w:rPr>
        <w:t xml:space="preserve"> </w:t>
      </w:r>
      <w:r>
        <w:rPr>
          <w:color w:val="231F20"/>
        </w:rPr>
        <w:t>цінність,</w:t>
      </w:r>
      <w:r>
        <w:rPr>
          <w:color w:val="231F20"/>
          <w:spacing w:val="-5"/>
        </w:rPr>
        <w:t xml:space="preserve"> </w:t>
      </w:r>
      <w:r>
        <w:rPr>
          <w:color w:val="231F20"/>
        </w:rPr>
        <w:t>що</w:t>
      </w:r>
      <w:r>
        <w:rPr>
          <w:color w:val="231F20"/>
          <w:spacing w:val="-5"/>
        </w:rPr>
        <w:t xml:space="preserve"> </w:t>
      </w:r>
      <w:r>
        <w:rPr>
          <w:color w:val="231F20"/>
        </w:rPr>
        <w:t>забезпечує</w:t>
      </w:r>
      <w:r>
        <w:rPr>
          <w:color w:val="231F20"/>
          <w:spacing w:val="-5"/>
        </w:rPr>
        <w:t xml:space="preserve"> </w:t>
      </w:r>
      <w:r>
        <w:rPr>
          <w:color w:val="231F20"/>
        </w:rPr>
        <w:t>права і свободи приватних осіб та публічний інтерес</w:t>
      </w:r>
      <w:r>
        <w:rPr>
          <w:color w:val="231F20"/>
          <w:spacing w:val="-21"/>
        </w:rPr>
        <w:t xml:space="preserve"> </w:t>
      </w:r>
      <w:r>
        <w:rPr>
          <w:color w:val="231F20"/>
        </w:rPr>
        <w:t>суспільства</w:t>
      </w:r>
      <w:r>
        <w:rPr>
          <w:color w:val="231F20"/>
          <w:position w:val="7"/>
          <w:sz w:val="12"/>
        </w:rPr>
        <w:t>1</w:t>
      </w:r>
      <w:r>
        <w:rPr>
          <w:color w:val="231F20"/>
        </w:rPr>
        <w:t>.</w:t>
      </w:r>
    </w:p>
    <w:p w14:paraId="6B3D7EF0" w14:textId="77777777" w:rsidR="00DE575E" w:rsidRDefault="002E7560">
      <w:pPr>
        <w:pStyle w:val="BodyText"/>
        <w:spacing w:before="2" w:line="252" w:lineRule="auto"/>
        <w:ind w:left="250" w:right="410" w:firstLine="283"/>
        <w:jc w:val="both"/>
      </w:pPr>
      <w:r>
        <w:rPr>
          <w:color w:val="231F20"/>
        </w:rPr>
        <w:t xml:space="preserve">Завдання забезпечити узгоджений характер усієї юридичної системи в умовах співіснування суперечливих норм покладається насамперед  на  </w:t>
      </w:r>
      <w:r>
        <w:rPr>
          <w:color w:val="231F20"/>
          <w:spacing w:val="-3"/>
        </w:rPr>
        <w:t xml:space="preserve">судову  </w:t>
      </w:r>
      <w:r>
        <w:rPr>
          <w:color w:val="231F20"/>
        </w:rPr>
        <w:t xml:space="preserve">владу  та  </w:t>
      </w:r>
      <w:r>
        <w:rPr>
          <w:color w:val="231F20"/>
          <w:spacing w:val="-3"/>
        </w:rPr>
        <w:t xml:space="preserve">суб’єктів   </w:t>
      </w:r>
      <w:r>
        <w:rPr>
          <w:color w:val="231F20"/>
        </w:rPr>
        <w:t>публічної  а</w:t>
      </w:r>
      <w:r>
        <w:rPr>
          <w:color w:val="231F20"/>
        </w:rPr>
        <w:t>дміністрації в процесі здійснення виконавчої</w:t>
      </w:r>
      <w:r>
        <w:rPr>
          <w:color w:val="231F20"/>
          <w:spacing w:val="-4"/>
        </w:rPr>
        <w:t xml:space="preserve"> </w:t>
      </w:r>
      <w:r>
        <w:rPr>
          <w:color w:val="231F20"/>
        </w:rPr>
        <w:t>діяльності.</w:t>
      </w:r>
    </w:p>
    <w:p w14:paraId="313BB4D9" w14:textId="77777777" w:rsidR="00DE575E" w:rsidRDefault="002E7560">
      <w:pPr>
        <w:pStyle w:val="BodyText"/>
        <w:spacing w:before="2" w:line="252" w:lineRule="auto"/>
        <w:ind w:left="250" w:right="411" w:firstLine="283"/>
        <w:jc w:val="both"/>
      </w:pPr>
      <w:r>
        <w:rPr>
          <w:color w:val="231F20"/>
        </w:rPr>
        <w:t>Особливу роль у системі інституційного забезпечення верхо- венства права відведено адміністративному судочинству. Принцип верховенства права є первинним системотвірним принципом судо- чинства. Він по</w:t>
      </w:r>
      <w:r>
        <w:rPr>
          <w:color w:val="231F20"/>
        </w:rPr>
        <w:t>лягає в тому, що в разі застосування адміністратив- ним судом положень нормативно-правових актів, які обмежують або порушують права, свободи й законні інтереси особи, або в разі тлумачення їх у такий спосіб рішення, винесене в такій справі, має визнаватися</w:t>
      </w:r>
      <w:r>
        <w:rPr>
          <w:color w:val="231F20"/>
        </w:rPr>
        <w:t xml:space="preserve"> недійсним.</w:t>
      </w:r>
    </w:p>
    <w:p w14:paraId="5A95C5D1" w14:textId="1A99960C" w:rsidR="00DE575E" w:rsidRDefault="002E7560">
      <w:pPr>
        <w:pStyle w:val="BodyText"/>
        <w:spacing w:before="4"/>
        <w:rPr>
          <w:sz w:val="19"/>
        </w:rPr>
      </w:pPr>
      <w:r>
        <w:rPr>
          <w:noProof/>
        </w:rPr>
        <mc:AlternateContent>
          <mc:Choice Requires="wps">
            <w:drawing>
              <wp:anchor distT="0" distB="0" distL="0" distR="0" simplePos="0" relativeHeight="2656" behindDoc="0" locked="0" layoutInCell="1" allowOverlap="1" wp14:anchorId="64F47D44" wp14:editId="49353E08">
                <wp:simplePos x="0" y="0"/>
                <wp:positionH relativeFrom="page">
                  <wp:posOffset>539750</wp:posOffset>
                </wp:positionH>
                <wp:positionV relativeFrom="paragraph">
                  <wp:posOffset>171450</wp:posOffset>
                </wp:positionV>
                <wp:extent cx="1080135" cy="0"/>
                <wp:effectExtent l="6350" t="19050" r="31115" b="19050"/>
                <wp:wrapTopAndBottom/>
                <wp:docPr id="1293"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83CEB" id="Line_x0020_1292" o:spid="_x0000_s1026" style="position:absolute;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5pt" to="127.5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" strokecolor="#231f20" strokeweight=".5pt">
                <w10:wrap type="topAndBottom" anchorx="page"/>
              </v:line>
            </w:pict>
          </mc:Fallback>
        </mc:AlternateContent>
      </w:r>
    </w:p>
    <w:p w14:paraId="3ED2CCBA" w14:textId="77777777" w:rsidR="00DE575E" w:rsidRDefault="002E7560">
      <w:pPr>
        <w:spacing w:line="204" w:lineRule="auto"/>
        <w:ind w:left="250" w:right="413"/>
        <w:jc w:val="both"/>
        <w:rPr>
          <w:sz w:val="16"/>
        </w:rPr>
      </w:pPr>
      <w:r>
        <w:rPr>
          <w:color w:val="231F20"/>
          <w:position w:val="5"/>
          <w:sz w:val="9"/>
        </w:rPr>
        <w:t xml:space="preserve">1 </w:t>
      </w:r>
      <w:r>
        <w:rPr>
          <w:color w:val="231F20"/>
          <w:sz w:val="16"/>
        </w:rPr>
        <w:t>Принципи адміністративного права. Адміністративне право України: підручник / Галунько В., Олефір В., Короєд С. та ін. Херсон : ХМД, 2013. Т.1 : Загальне адміністративне право. Академічний курс. С. 76-80.</w:t>
      </w:r>
    </w:p>
    <w:p w14:paraId="3804C154" w14:textId="77777777" w:rsidR="00DE575E" w:rsidRDefault="00DE575E">
      <w:pPr>
        <w:pStyle w:val="BodyText"/>
        <w:spacing w:before="2"/>
        <w:rPr>
          <w:sz w:val="12"/>
        </w:rPr>
      </w:pPr>
    </w:p>
    <w:p w14:paraId="2979917A" w14:textId="77777777" w:rsidR="00DE575E" w:rsidRDefault="002E7560">
      <w:pPr>
        <w:spacing w:before="92"/>
        <w:ind w:right="411"/>
        <w:jc w:val="right"/>
        <w:rPr>
          <w:rFonts w:ascii="Times New Roman"/>
          <w:sz w:val="20"/>
        </w:rPr>
      </w:pPr>
      <w:r>
        <w:rPr>
          <w:rFonts w:ascii="Times New Roman"/>
          <w:color w:val="231F20"/>
          <w:w w:val="90"/>
          <w:sz w:val="20"/>
        </w:rPr>
        <w:t>47</w:t>
      </w:r>
    </w:p>
    <w:p w14:paraId="37CEC69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2A67850"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17625188" w14:textId="30BAB01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2768681" wp14:editId="79B5062C">
                <wp:extent cx="4140200" cy="6350"/>
                <wp:effectExtent l="0" t="0" r="12700" b="6350"/>
                <wp:docPr id="1291"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92" name="Line 129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D2908" id="Group_x0020_129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LHogu34CAACcBQAADgAA&#10;AAAAAAAAAAAAAAAsAgAAZHJzL2Uyb0RvYy54bWxQSwECLQAUAAYACAAAACEATKewkNkAAAADAQAA&#10;DwAAAAAAAAAAAAAAAADWBAAAZHJzL2Rvd25yZXYueG1sUEsFBgAAAAAEAAQA8wAAANwFAAAAAA==&#10;">
                <v:line id="Line_x0020_129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ODcUAAADdAAAADwAAAGRycy9kb3ducmV2LnhtbERPzWrCQBC+F3yHZYReSt00QrGpq0hB&#10;kB60Gh9gzE6T4O5szK4m+vSuUOhtPr7fmc57a8SFWl87VvA2SkAQF07XXCrY58vXCQgfkDUax6Tg&#10;Sh7ms8HTFDPtOt7SZRdKEUPYZ6igCqHJpPRFRRb9yDXEkft1rcUQYVtK3WIXw62RaZK8S4s1x4YK&#10;G/qqqDjuzlZBfnoJ5mfzbbp8cxjLw2k9vp3XSj0P+8UniEB9+Bf/uVc6zk8/Unh8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aODcUAAADdAAAADwAAAAAAAAAA&#10;AAAAAAChAgAAZHJzL2Rvd25yZXYueG1sUEsFBgAAAAAEAAQA+QAAAJMDAAAAAA==&#10;" strokecolor="#231f20" strokeweight=".5pt"/>
                <w10:anchorlock/>
              </v:group>
            </w:pict>
          </mc:Fallback>
        </mc:AlternateContent>
      </w:r>
    </w:p>
    <w:p w14:paraId="31DE9849" w14:textId="77777777" w:rsidR="00DE575E" w:rsidRDefault="00DE575E">
      <w:pPr>
        <w:pStyle w:val="BodyText"/>
        <w:spacing w:before="7"/>
        <w:rPr>
          <w:rFonts w:ascii="AdonisC"/>
          <w:i/>
          <w:sz w:val="11"/>
        </w:rPr>
      </w:pPr>
    </w:p>
    <w:p w14:paraId="4385061B" w14:textId="77777777" w:rsidR="00DE575E" w:rsidRDefault="002E7560">
      <w:pPr>
        <w:spacing w:before="101" w:line="252" w:lineRule="auto"/>
        <w:ind w:left="533" w:right="128" w:firstLine="283"/>
        <w:jc w:val="both"/>
        <w:rPr>
          <w:i/>
          <w:sz w:val="21"/>
        </w:rPr>
      </w:pPr>
      <w:r>
        <w:rPr>
          <w:i/>
          <w:color w:val="231F20"/>
          <w:sz w:val="21"/>
        </w:rPr>
        <w:t>Зміст принципу верховенства права в адміністративному судо- чинстві включає такі елементи:</w:t>
      </w:r>
    </w:p>
    <w:p w14:paraId="61480EA0" w14:textId="77777777" w:rsidR="00DE575E" w:rsidRDefault="002E7560">
      <w:pPr>
        <w:pStyle w:val="ListParagraph"/>
        <w:numPr>
          <w:ilvl w:val="1"/>
          <w:numId w:val="299"/>
        </w:numPr>
        <w:tabs>
          <w:tab w:val="left" w:pos="1101"/>
        </w:tabs>
        <w:spacing w:line="252" w:lineRule="auto"/>
        <w:ind w:right="128" w:firstLine="284"/>
        <w:rPr>
          <w:sz w:val="21"/>
        </w:rPr>
      </w:pPr>
      <w:r>
        <w:rPr>
          <w:color w:val="231F20"/>
          <w:sz w:val="21"/>
        </w:rPr>
        <w:t>можливість звернутися до адміністративного суду за захи-</w:t>
      </w:r>
      <w:r>
        <w:rPr>
          <w:color w:val="231F20"/>
          <w:sz w:val="21"/>
        </w:rPr>
        <w:t xml:space="preserve"> стом прав, свобод та інтересів безпосередньо на підставі Конститу- ції</w:t>
      </w:r>
      <w:r>
        <w:rPr>
          <w:color w:val="231F20"/>
          <w:spacing w:val="3"/>
          <w:sz w:val="21"/>
        </w:rPr>
        <w:t xml:space="preserve"> </w:t>
      </w:r>
      <w:r>
        <w:rPr>
          <w:color w:val="231F20"/>
          <w:sz w:val="21"/>
        </w:rPr>
        <w:t>України;</w:t>
      </w:r>
    </w:p>
    <w:p w14:paraId="246601A5" w14:textId="77777777" w:rsidR="00DE575E" w:rsidRDefault="002E7560">
      <w:pPr>
        <w:pStyle w:val="ListParagraph"/>
        <w:numPr>
          <w:ilvl w:val="1"/>
          <w:numId w:val="299"/>
        </w:numPr>
        <w:tabs>
          <w:tab w:val="left" w:pos="1101"/>
        </w:tabs>
        <w:spacing w:line="252" w:lineRule="auto"/>
        <w:ind w:right="128" w:firstLine="284"/>
        <w:rPr>
          <w:sz w:val="21"/>
        </w:rPr>
      </w:pPr>
      <w:r>
        <w:rPr>
          <w:color w:val="231F20"/>
          <w:sz w:val="21"/>
        </w:rPr>
        <w:t>забезпечення розгляду й вирішення публічно-правової супе- речки в адміністративному суді за відсутності законодавства, що регулює спірні відносини, його неповноти, неясності ч</w:t>
      </w:r>
      <w:r>
        <w:rPr>
          <w:color w:val="231F20"/>
          <w:sz w:val="21"/>
        </w:rPr>
        <w:t>и суперечли- вості;</w:t>
      </w:r>
    </w:p>
    <w:p w14:paraId="7859D188" w14:textId="77777777" w:rsidR="00DE575E" w:rsidRDefault="002E7560">
      <w:pPr>
        <w:pStyle w:val="ListParagraph"/>
        <w:numPr>
          <w:ilvl w:val="1"/>
          <w:numId w:val="299"/>
        </w:numPr>
        <w:tabs>
          <w:tab w:val="left" w:pos="1101"/>
        </w:tabs>
        <w:spacing w:before="2" w:line="252" w:lineRule="auto"/>
        <w:ind w:right="127" w:firstLine="284"/>
        <w:rPr>
          <w:sz w:val="21"/>
        </w:rPr>
      </w:pPr>
      <w:r>
        <w:rPr>
          <w:color w:val="231F20"/>
          <w:sz w:val="21"/>
        </w:rPr>
        <w:t>застосування в діяльності адміністративного суду судової практики Європейського суду з прав</w:t>
      </w:r>
      <w:r>
        <w:rPr>
          <w:color w:val="231F20"/>
          <w:spacing w:val="23"/>
          <w:sz w:val="21"/>
        </w:rPr>
        <w:t xml:space="preserve"> </w:t>
      </w:r>
      <w:r>
        <w:rPr>
          <w:color w:val="231F20"/>
          <w:sz w:val="21"/>
        </w:rPr>
        <w:t>людини;</w:t>
      </w:r>
    </w:p>
    <w:p w14:paraId="28C85042" w14:textId="77777777" w:rsidR="00DE575E" w:rsidRDefault="002E7560">
      <w:pPr>
        <w:pStyle w:val="BodyText"/>
        <w:spacing w:before="1" w:line="252" w:lineRule="auto"/>
        <w:ind w:left="533" w:right="126" w:firstLine="283"/>
        <w:jc w:val="both"/>
      </w:pPr>
      <w:r>
        <w:rPr>
          <w:color w:val="231F20"/>
        </w:rPr>
        <w:t>У своїй сукупності ці елементи створюють підґрунтя для реалі- зації загальнолюдських цінностей, зокрема справедливості в пуб- лічно-прав</w:t>
      </w:r>
      <w:r>
        <w:rPr>
          <w:color w:val="231F20"/>
        </w:rPr>
        <w:t>ових відносинах.</w:t>
      </w:r>
    </w:p>
    <w:p w14:paraId="27BBC593" w14:textId="77777777" w:rsidR="00DE575E" w:rsidRDefault="002E7560">
      <w:pPr>
        <w:pStyle w:val="BodyText"/>
        <w:spacing w:before="2" w:line="252" w:lineRule="auto"/>
        <w:ind w:left="533" w:right="128" w:firstLine="283"/>
        <w:jc w:val="both"/>
      </w:pPr>
      <w:r>
        <w:rPr>
          <w:color w:val="231F20"/>
        </w:rPr>
        <w:t>Адміністративні суди мають перевіряти адміністративні  акти, дії або бездіяльність органів влади та її посадових осіб на відповід- ність Конституції й законам</w:t>
      </w:r>
      <w:r>
        <w:rPr>
          <w:color w:val="231F20"/>
          <w:spacing w:val="17"/>
        </w:rPr>
        <w:t xml:space="preserve"> </w:t>
      </w:r>
      <w:r>
        <w:rPr>
          <w:color w:val="231F20"/>
        </w:rPr>
        <w:t>України.</w:t>
      </w:r>
    </w:p>
    <w:p w14:paraId="69976AD2" w14:textId="77777777" w:rsidR="00DE575E" w:rsidRDefault="002E7560">
      <w:pPr>
        <w:pStyle w:val="BodyText"/>
        <w:spacing w:before="1" w:line="252" w:lineRule="auto"/>
        <w:ind w:left="533" w:right="123" w:firstLine="283"/>
        <w:jc w:val="both"/>
      </w:pPr>
      <w:r>
        <w:rPr>
          <w:color w:val="231F20"/>
        </w:rPr>
        <w:t>Повага до прав людини та забезпечення доступу до правосуддя  є двома об</w:t>
      </w:r>
      <w:r>
        <w:rPr>
          <w:color w:val="231F20"/>
        </w:rPr>
        <w:t xml:space="preserve">ов’язковими умовами для реалізації принципу верхо- венства права й розвитку інституційних механізмів його забезпе- чення, особливо слід відзначити в цьому роль адміністративного судочинства. Запровадження в Україні системи  адміністратив- ного судочинства </w:t>
      </w:r>
      <w:r>
        <w:rPr>
          <w:color w:val="231F20"/>
        </w:rPr>
        <w:t>є одним із найбільш значущих кроків на шляху утвердження верховенства права в нашій державі. Значний пози- тивний внесок у цьому процесі належить законодавчому забез- печенню утвердження верховенства права в Кодексі адмініст- ративного судочинства, в якому</w:t>
      </w:r>
      <w:r>
        <w:rPr>
          <w:color w:val="231F20"/>
        </w:rPr>
        <w:t xml:space="preserve"> виписано структурні одиниці принципу верховенства права (статті 8, 9, 10, 11, 12, 13,</w:t>
      </w:r>
      <w:r>
        <w:rPr>
          <w:color w:val="231F20"/>
          <w:spacing w:val="22"/>
        </w:rPr>
        <w:t xml:space="preserve"> </w:t>
      </w:r>
      <w:r>
        <w:rPr>
          <w:color w:val="231F20"/>
        </w:rPr>
        <w:t>16,</w:t>
      </w:r>
    </w:p>
    <w:p w14:paraId="70E9F2FF" w14:textId="77777777" w:rsidR="00DE575E" w:rsidRDefault="002E7560">
      <w:pPr>
        <w:pStyle w:val="BodyText"/>
        <w:spacing w:before="5"/>
        <w:ind w:left="533"/>
      </w:pPr>
      <w:r>
        <w:rPr>
          <w:color w:val="231F20"/>
        </w:rPr>
        <w:t>235, 237).</w:t>
      </w:r>
    </w:p>
    <w:p w14:paraId="5A1C1260" w14:textId="77777777" w:rsidR="00DE575E" w:rsidRDefault="002E7560">
      <w:pPr>
        <w:pStyle w:val="BodyText"/>
        <w:spacing w:before="13" w:line="252" w:lineRule="auto"/>
        <w:ind w:left="533" w:right="125" w:firstLine="283"/>
        <w:jc w:val="both"/>
      </w:pPr>
      <w:r>
        <w:rPr>
          <w:color w:val="231F20"/>
        </w:rPr>
        <w:t>Механізмом забезпечення дієвості верховенства права в україн- ській юридичній системі є конституційний принцип, відповідно до якого норми Конституції є нормами прямої дії, звернення до суду для захисту конституційних прав і свобод людини і громадянина безп</w:t>
      </w:r>
      <w:r>
        <w:rPr>
          <w:color w:val="231F20"/>
        </w:rPr>
        <w:t>осередньо на підставі Конституції України гарантується.</w:t>
      </w:r>
    </w:p>
    <w:p w14:paraId="01F9E2E4" w14:textId="77777777" w:rsidR="00DE575E" w:rsidRDefault="002E7560">
      <w:pPr>
        <w:pStyle w:val="BodyText"/>
        <w:spacing w:before="3" w:line="252" w:lineRule="auto"/>
        <w:ind w:left="533" w:right="126" w:firstLine="283"/>
        <w:jc w:val="both"/>
      </w:pPr>
      <w:r>
        <w:rPr>
          <w:color w:val="231F20"/>
        </w:rPr>
        <w:t>З цього випливає, що нормами прямої дії в Конституції є лише ті норми, що стосуються прав і свобод людини і громадянина.</w:t>
      </w:r>
    </w:p>
    <w:p w14:paraId="6A81FB86" w14:textId="77777777" w:rsidR="00DE575E" w:rsidRDefault="002E7560">
      <w:pPr>
        <w:pStyle w:val="Heading5"/>
        <w:spacing w:before="1" w:line="252" w:lineRule="auto"/>
        <w:ind w:right="126" w:firstLine="283"/>
        <w:jc w:val="both"/>
      </w:pPr>
      <w:r>
        <w:rPr>
          <w:color w:val="231F20"/>
        </w:rPr>
        <w:t xml:space="preserve">Отже, звернення до </w:t>
      </w:r>
      <w:r>
        <w:rPr>
          <w:color w:val="231F20"/>
          <w:spacing w:val="-3"/>
        </w:rPr>
        <w:t xml:space="preserve">суду </w:t>
      </w:r>
      <w:r>
        <w:rPr>
          <w:color w:val="231F20"/>
        </w:rPr>
        <w:t xml:space="preserve">безпосередньо на підставі консти- туційних норм прямої </w:t>
      </w:r>
      <w:r>
        <w:rPr>
          <w:color w:val="231F20"/>
        </w:rPr>
        <w:t>дії гарантовано лише для захисту прав     і свобод людини і громадянина, а не для їх</w:t>
      </w:r>
      <w:r>
        <w:rPr>
          <w:color w:val="231F20"/>
          <w:spacing w:val="1"/>
        </w:rPr>
        <w:t xml:space="preserve"> </w:t>
      </w:r>
      <w:r>
        <w:rPr>
          <w:color w:val="231F20"/>
        </w:rPr>
        <w:t>обмеження.</w:t>
      </w:r>
    </w:p>
    <w:p w14:paraId="179B3474" w14:textId="77777777" w:rsidR="00DE575E" w:rsidRDefault="00DE575E">
      <w:pPr>
        <w:pStyle w:val="BodyText"/>
        <w:spacing w:before="5"/>
        <w:rPr>
          <w:b/>
          <w:sz w:val="12"/>
        </w:rPr>
      </w:pPr>
    </w:p>
    <w:p w14:paraId="3837F86B" w14:textId="77777777" w:rsidR="00DE575E" w:rsidRDefault="002E7560">
      <w:pPr>
        <w:spacing w:before="92"/>
        <w:ind w:left="533"/>
        <w:rPr>
          <w:rFonts w:ascii="Times New Roman"/>
          <w:sz w:val="20"/>
        </w:rPr>
      </w:pPr>
      <w:r>
        <w:rPr>
          <w:rFonts w:ascii="Times New Roman"/>
          <w:color w:val="231F20"/>
          <w:sz w:val="20"/>
        </w:rPr>
        <w:t>48</w:t>
      </w:r>
    </w:p>
    <w:p w14:paraId="5641F623" w14:textId="77777777" w:rsidR="00DE575E" w:rsidRDefault="00DE575E">
      <w:pPr>
        <w:rPr>
          <w:rFonts w:ascii="Times New Roman"/>
          <w:sz w:val="20"/>
        </w:rPr>
        <w:sectPr w:rsidR="00DE575E">
          <w:pgSz w:w="8510" w:h="12760"/>
          <w:pgMar w:top="660" w:right="720" w:bottom="280" w:left="600" w:header="720" w:footer="720" w:gutter="0"/>
          <w:cols w:space="720"/>
        </w:sectPr>
      </w:pPr>
    </w:p>
    <w:p w14:paraId="3B8C91AE" w14:textId="77777777" w:rsidR="00DE575E" w:rsidRDefault="002E7560">
      <w:pPr>
        <w:spacing w:before="72" w:line="249" w:lineRule="auto"/>
        <w:ind w:left="3122" w:firstLine="349"/>
        <w:rPr>
          <w:rFonts w:ascii="AdonisC" w:hAnsi="AdonisC"/>
          <w:i/>
          <w:sz w:val="18"/>
        </w:rPr>
      </w:pPr>
      <w:r>
        <w:rPr>
          <w:rFonts w:ascii="AdonisC" w:hAnsi="AdonisC"/>
          <w:i/>
          <w:color w:val="231F20"/>
          <w:sz w:val="18"/>
        </w:rPr>
        <w:lastRenderedPageBreak/>
        <w:t>Глава І. Загальне адміністративне право Розділ 2. Принципи адміністративного права</w:t>
      </w:r>
    </w:p>
    <w:p w14:paraId="1ABD8872" w14:textId="36C701E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F6E8A5A" wp14:editId="3555C72E">
                <wp:extent cx="4140200" cy="6350"/>
                <wp:effectExtent l="0" t="0" r="12700" b="6350"/>
                <wp:docPr id="1289"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90" name="Line 12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2A61D4" id="Group_x0020_12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CljLh4ECAACcBQAA&#10;DgAAAAAAAAAAAAAAAAAsAgAAZHJzL2Uyb0RvYy54bWxQSwECLQAUAAYACAAAACEATKewkNkAAAAD&#10;AQAADwAAAAAAAAAAAAAAAADZBAAAZHJzL2Rvd25yZXYueG1sUEsFBgAAAAAEAAQA8wAAAN8FAAAA&#10;AA==&#10;">
                <v:line id="Line_x0020_12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i14cgAAADdAAAADwAAAGRycy9kb3ducmV2LnhtbESPQWvCQBCF74X+h2UKXopuqlDa6Coi&#10;FMSDtqY/YMxOk9Dd2ZhdTeyv7xwKvc3w3rz3zWI1eKeu1MUmsIGnSQaKuAy24crAZ/E2fgEVE7JF&#10;F5gM3CjCanl/t8Dchp4/6HpMlZIQjjkaqFNqc61jWZPHOAktsWhfofOYZO0qbTvsJdw7Pc2yZ+2x&#10;YWmosaVNTeX38eINFOfH5N4PO9cXh9NMn8772c9lb8zoYVjPQSUa0r/573prBX/6Kvz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Ui14cgAAADdAAAADwAAAAAA&#10;AAAAAAAAAAChAgAAZHJzL2Rvd25yZXYueG1sUEsFBgAAAAAEAAQA+QAAAJYDAAAAAA==&#10;" strokecolor="#231f20" strokeweight=".5pt"/>
                <w10:anchorlock/>
              </v:group>
            </w:pict>
          </mc:Fallback>
        </mc:AlternateContent>
      </w:r>
    </w:p>
    <w:p w14:paraId="742834C9" w14:textId="77777777" w:rsidR="00DE575E" w:rsidRDefault="00DE575E">
      <w:pPr>
        <w:pStyle w:val="BodyText"/>
        <w:spacing w:before="7"/>
        <w:rPr>
          <w:rFonts w:ascii="AdonisC"/>
          <w:i/>
          <w:sz w:val="19"/>
        </w:rPr>
      </w:pPr>
    </w:p>
    <w:p w14:paraId="457DE5C6" w14:textId="77777777" w:rsidR="00DE575E" w:rsidRDefault="002E7560">
      <w:pPr>
        <w:pStyle w:val="Heading5"/>
        <w:spacing w:before="1"/>
        <w:rPr>
          <w:b w:val="0"/>
          <w:sz w:val="12"/>
        </w:rPr>
      </w:pPr>
      <w:r>
        <w:rPr>
          <w:color w:val="231F20"/>
        </w:rPr>
        <w:t>2.2.1. Принцип законності в адміністративному праві</w:t>
      </w:r>
      <w:r>
        <w:rPr>
          <w:b w:val="0"/>
          <w:color w:val="231F20"/>
          <w:position w:val="7"/>
          <w:sz w:val="12"/>
        </w:rPr>
        <w:t>1</w:t>
      </w:r>
    </w:p>
    <w:p w14:paraId="09E4C65B" w14:textId="77777777" w:rsidR="00DE575E" w:rsidRDefault="00DE575E">
      <w:pPr>
        <w:pStyle w:val="BodyText"/>
        <w:spacing w:before="2"/>
        <w:rPr>
          <w:sz w:val="23"/>
        </w:rPr>
      </w:pPr>
    </w:p>
    <w:p w14:paraId="289A5A57" w14:textId="77777777" w:rsidR="00DE575E" w:rsidRDefault="002E7560">
      <w:pPr>
        <w:pStyle w:val="BodyText"/>
        <w:spacing w:line="252" w:lineRule="auto"/>
        <w:ind w:left="250" w:right="411" w:firstLine="283"/>
        <w:jc w:val="both"/>
      </w:pPr>
      <w:r>
        <w:rPr>
          <w:color w:val="231F20"/>
        </w:rPr>
        <w:t xml:space="preserve">Принцип </w:t>
      </w:r>
      <w:r>
        <w:rPr>
          <w:b/>
          <w:i/>
          <w:color w:val="231F20"/>
        </w:rPr>
        <w:t xml:space="preserve">законності </w:t>
      </w:r>
      <w:r>
        <w:rPr>
          <w:color w:val="231F20"/>
        </w:rPr>
        <w:t>в праві є похідним від принципу верховен- ства права і не має йому суперечити. Ідея верховенства правового закону – фундаментальна складова принципу законності, підґрунтя існув</w:t>
      </w:r>
      <w:r>
        <w:rPr>
          <w:color w:val="231F20"/>
        </w:rPr>
        <w:t>ання правової держави, діяльності її органів</w:t>
      </w:r>
      <w:r>
        <w:rPr>
          <w:color w:val="231F20"/>
          <w:position w:val="7"/>
          <w:sz w:val="12"/>
        </w:rPr>
        <w:t>2</w:t>
      </w:r>
      <w:r>
        <w:rPr>
          <w:color w:val="231F20"/>
        </w:rPr>
        <w:t>.</w:t>
      </w:r>
    </w:p>
    <w:p w14:paraId="448887CF" w14:textId="77777777" w:rsidR="00DE575E" w:rsidRDefault="002E7560">
      <w:pPr>
        <w:spacing w:before="2"/>
        <w:ind w:left="533"/>
        <w:rPr>
          <w:i/>
          <w:sz w:val="21"/>
        </w:rPr>
      </w:pPr>
      <w:r>
        <w:rPr>
          <w:i/>
          <w:color w:val="231F20"/>
          <w:sz w:val="21"/>
        </w:rPr>
        <w:t>Це означає:</w:t>
      </w:r>
    </w:p>
    <w:p w14:paraId="44CEDFA0" w14:textId="77777777" w:rsidR="00DE575E" w:rsidRDefault="002E7560">
      <w:pPr>
        <w:pStyle w:val="ListParagraph"/>
        <w:numPr>
          <w:ilvl w:val="0"/>
          <w:numId w:val="298"/>
        </w:numPr>
        <w:tabs>
          <w:tab w:val="left" w:pos="818"/>
        </w:tabs>
        <w:spacing w:before="13" w:line="252" w:lineRule="auto"/>
        <w:ind w:right="408" w:firstLine="283"/>
        <w:jc w:val="both"/>
        <w:rPr>
          <w:sz w:val="21"/>
        </w:rPr>
      </w:pPr>
      <w:r>
        <w:rPr>
          <w:color w:val="231F20"/>
          <w:sz w:val="21"/>
        </w:rPr>
        <w:t>зобов’язання суб’єктів публічної адміністрації під час здійс- нення будь-яких дій суворо дотримуватися законодавства України, діяти виключно відповідно до другої формули правового регулю- вання «заборонено все крім того, що прямо дозволено законом»,  що ві</w:t>
      </w:r>
      <w:r>
        <w:rPr>
          <w:color w:val="231F20"/>
          <w:sz w:val="21"/>
        </w:rPr>
        <w:t xml:space="preserve">дбито у </w:t>
      </w:r>
      <w:r>
        <w:rPr>
          <w:color w:val="231F20"/>
          <w:spacing w:val="-5"/>
          <w:sz w:val="21"/>
        </w:rPr>
        <w:t xml:space="preserve">ст. </w:t>
      </w:r>
      <w:r>
        <w:rPr>
          <w:color w:val="231F20"/>
          <w:sz w:val="21"/>
        </w:rPr>
        <w:t xml:space="preserve">6 Конституції України: «Органи законодавчої, вико- навчої та судової влади здійснюють свої повноваження у встанов- лених цією Конституцією межах і відповідно до законів України»   та </w:t>
      </w:r>
      <w:r>
        <w:rPr>
          <w:color w:val="231F20"/>
          <w:spacing w:val="-5"/>
          <w:sz w:val="21"/>
        </w:rPr>
        <w:t xml:space="preserve">ст. </w:t>
      </w:r>
      <w:r>
        <w:rPr>
          <w:color w:val="231F20"/>
          <w:sz w:val="21"/>
        </w:rPr>
        <w:t>19: «Органи державної влади та органи місцевого самовряду</w:t>
      </w:r>
      <w:r>
        <w:rPr>
          <w:color w:val="231F20"/>
          <w:sz w:val="21"/>
        </w:rPr>
        <w:t>- вання, їх посадові особи зобов’язані діяти лише на підставі, в межах повноважень та у спосіб, що передбачені Конституцією та зако- нами</w:t>
      </w:r>
      <w:r>
        <w:rPr>
          <w:color w:val="231F20"/>
          <w:spacing w:val="3"/>
          <w:sz w:val="21"/>
        </w:rPr>
        <w:t xml:space="preserve"> </w:t>
      </w:r>
      <w:r>
        <w:rPr>
          <w:color w:val="231F20"/>
          <w:sz w:val="21"/>
        </w:rPr>
        <w:t>України»;</w:t>
      </w:r>
    </w:p>
    <w:p w14:paraId="4F65C548" w14:textId="77777777" w:rsidR="00DE575E" w:rsidRDefault="002E7560">
      <w:pPr>
        <w:pStyle w:val="ListParagraph"/>
        <w:numPr>
          <w:ilvl w:val="0"/>
          <w:numId w:val="298"/>
        </w:numPr>
        <w:tabs>
          <w:tab w:val="left" w:pos="818"/>
        </w:tabs>
        <w:spacing w:before="5" w:line="252" w:lineRule="auto"/>
        <w:ind w:right="410" w:firstLine="283"/>
        <w:jc w:val="both"/>
        <w:rPr>
          <w:sz w:val="21"/>
        </w:rPr>
      </w:pPr>
      <w:r>
        <w:rPr>
          <w:color w:val="231F20"/>
          <w:sz w:val="21"/>
        </w:rPr>
        <w:t>забезпечення дотримання законодавства всіма невладними фізичними та юридичними особами, при цьому фізичні ос</w:t>
      </w:r>
      <w:r>
        <w:rPr>
          <w:color w:val="231F20"/>
          <w:sz w:val="21"/>
        </w:rPr>
        <w:t>оби, які не</w:t>
      </w:r>
      <w:r>
        <w:rPr>
          <w:color w:val="231F20"/>
          <w:spacing w:val="-7"/>
          <w:sz w:val="21"/>
        </w:rPr>
        <w:t xml:space="preserve"> </w:t>
      </w:r>
      <w:r>
        <w:rPr>
          <w:color w:val="231F20"/>
          <w:sz w:val="21"/>
        </w:rPr>
        <w:t>мають</w:t>
      </w:r>
      <w:r>
        <w:rPr>
          <w:color w:val="231F20"/>
          <w:spacing w:val="-7"/>
          <w:sz w:val="21"/>
        </w:rPr>
        <w:t xml:space="preserve"> </w:t>
      </w:r>
      <w:r>
        <w:rPr>
          <w:color w:val="231F20"/>
          <w:sz w:val="21"/>
        </w:rPr>
        <w:t>спеціального</w:t>
      </w:r>
      <w:r>
        <w:rPr>
          <w:color w:val="231F20"/>
          <w:spacing w:val="-7"/>
          <w:sz w:val="21"/>
        </w:rPr>
        <w:t xml:space="preserve"> </w:t>
      </w:r>
      <w:r>
        <w:rPr>
          <w:color w:val="231F20"/>
          <w:sz w:val="21"/>
        </w:rPr>
        <w:t>публічного</w:t>
      </w:r>
      <w:r>
        <w:rPr>
          <w:color w:val="231F20"/>
          <w:spacing w:val="-7"/>
          <w:sz w:val="21"/>
        </w:rPr>
        <w:t xml:space="preserve"> </w:t>
      </w:r>
      <w:r>
        <w:rPr>
          <w:color w:val="231F20"/>
          <w:spacing w:val="-3"/>
          <w:sz w:val="21"/>
        </w:rPr>
        <w:t>статусу,</w:t>
      </w:r>
      <w:r>
        <w:rPr>
          <w:color w:val="231F20"/>
          <w:spacing w:val="-7"/>
          <w:sz w:val="21"/>
        </w:rPr>
        <w:t xml:space="preserve"> </w:t>
      </w:r>
      <w:r>
        <w:rPr>
          <w:color w:val="231F20"/>
          <w:sz w:val="21"/>
        </w:rPr>
        <w:t>мають</w:t>
      </w:r>
      <w:r>
        <w:rPr>
          <w:color w:val="231F20"/>
          <w:spacing w:val="-7"/>
          <w:sz w:val="21"/>
        </w:rPr>
        <w:t xml:space="preserve"> </w:t>
      </w:r>
      <w:r>
        <w:rPr>
          <w:color w:val="231F20"/>
          <w:sz w:val="21"/>
        </w:rPr>
        <w:t>право</w:t>
      </w:r>
      <w:r>
        <w:rPr>
          <w:color w:val="231F20"/>
          <w:spacing w:val="-8"/>
          <w:sz w:val="21"/>
        </w:rPr>
        <w:t xml:space="preserve"> </w:t>
      </w:r>
      <w:r>
        <w:rPr>
          <w:color w:val="231F20"/>
          <w:sz w:val="21"/>
        </w:rPr>
        <w:t>діяти</w:t>
      </w:r>
      <w:r>
        <w:rPr>
          <w:color w:val="231F20"/>
          <w:spacing w:val="-8"/>
          <w:sz w:val="21"/>
        </w:rPr>
        <w:t xml:space="preserve"> </w:t>
      </w:r>
      <w:r>
        <w:rPr>
          <w:color w:val="231F20"/>
          <w:sz w:val="21"/>
        </w:rPr>
        <w:t xml:space="preserve">відпо- відно до першої формули правового регулювання «дозволене все крім того, що прямо заборонено в законі», що закріплено зокрема   у </w:t>
      </w:r>
      <w:r>
        <w:rPr>
          <w:color w:val="231F20"/>
          <w:spacing w:val="-6"/>
          <w:sz w:val="21"/>
        </w:rPr>
        <w:t xml:space="preserve">ст. </w:t>
      </w:r>
      <w:r>
        <w:rPr>
          <w:color w:val="231F20"/>
          <w:sz w:val="21"/>
        </w:rPr>
        <w:t xml:space="preserve">23 Конституції </w:t>
      </w:r>
      <w:r>
        <w:rPr>
          <w:color w:val="231F20"/>
          <w:spacing w:val="-3"/>
          <w:sz w:val="21"/>
        </w:rPr>
        <w:t xml:space="preserve">України: </w:t>
      </w:r>
      <w:r>
        <w:rPr>
          <w:color w:val="231F20"/>
          <w:sz w:val="21"/>
        </w:rPr>
        <w:t>«Кожна людина має право</w:t>
      </w:r>
      <w:r>
        <w:rPr>
          <w:color w:val="231F20"/>
          <w:sz w:val="21"/>
        </w:rPr>
        <w:t xml:space="preserve"> на вільний розвиток своєї особистості, якщо при цьому не порушуються права і</w:t>
      </w:r>
      <w:r>
        <w:rPr>
          <w:color w:val="231F20"/>
          <w:spacing w:val="-8"/>
          <w:sz w:val="21"/>
        </w:rPr>
        <w:t xml:space="preserve"> </w:t>
      </w:r>
      <w:r>
        <w:rPr>
          <w:color w:val="231F20"/>
          <w:sz w:val="21"/>
        </w:rPr>
        <w:t>свободи</w:t>
      </w:r>
      <w:r>
        <w:rPr>
          <w:color w:val="231F20"/>
          <w:spacing w:val="-8"/>
          <w:sz w:val="21"/>
        </w:rPr>
        <w:t xml:space="preserve"> </w:t>
      </w:r>
      <w:r>
        <w:rPr>
          <w:color w:val="231F20"/>
          <w:sz w:val="21"/>
        </w:rPr>
        <w:t>інших</w:t>
      </w:r>
      <w:r>
        <w:rPr>
          <w:color w:val="231F20"/>
          <w:spacing w:val="-8"/>
          <w:sz w:val="21"/>
        </w:rPr>
        <w:t xml:space="preserve"> </w:t>
      </w:r>
      <w:r>
        <w:rPr>
          <w:color w:val="231F20"/>
          <w:sz w:val="21"/>
        </w:rPr>
        <w:t>людей,</w:t>
      </w:r>
      <w:r>
        <w:rPr>
          <w:color w:val="231F20"/>
          <w:spacing w:val="-8"/>
          <w:sz w:val="21"/>
        </w:rPr>
        <w:t xml:space="preserve"> </w:t>
      </w:r>
      <w:r>
        <w:rPr>
          <w:color w:val="231F20"/>
          <w:sz w:val="21"/>
        </w:rPr>
        <w:t>та</w:t>
      </w:r>
      <w:r>
        <w:rPr>
          <w:color w:val="231F20"/>
          <w:spacing w:val="-8"/>
          <w:sz w:val="21"/>
        </w:rPr>
        <w:t xml:space="preserve"> </w:t>
      </w:r>
      <w:r>
        <w:rPr>
          <w:color w:val="231F20"/>
          <w:sz w:val="21"/>
        </w:rPr>
        <w:t>має</w:t>
      </w:r>
      <w:r>
        <w:rPr>
          <w:color w:val="231F20"/>
          <w:spacing w:val="-8"/>
          <w:sz w:val="21"/>
        </w:rPr>
        <w:t xml:space="preserve"> </w:t>
      </w:r>
      <w:r>
        <w:rPr>
          <w:color w:val="231F20"/>
          <w:sz w:val="21"/>
        </w:rPr>
        <w:t>обов’язки</w:t>
      </w:r>
      <w:r>
        <w:rPr>
          <w:color w:val="231F20"/>
          <w:spacing w:val="-8"/>
          <w:sz w:val="21"/>
        </w:rPr>
        <w:t xml:space="preserve"> </w:t>
      </w:r>
      <w:r>
        <w:rPr>
          <w:color w:val="231F20"/>
          <w:sz w:val="21"/>
        </w:rPr>
        <w:t>перед</w:t>
      </w:r>
      <w:r>
        <w:rPr>
          <w:color w:val="231F20"/>
          <w:spacing w:val="-8"/>
          <w:sz w:val="21"/>
        </w:rPr>
        <w:t xml:space="preserve"> </w:t>
      </w:r>
      <w:r>
        <w:rPr>
          <w:color w:val="231F20"/>
          <w:sz w:val="21"/>
        </w:rPr>
        <w:t>суспільством,</w:t>
      </w:r>
      <w:r>
        <w:rPr>
          <w:color w:val="231F20"/>
          <w:spacing w:val="-8"/>
          <w:sz w:val="21"/>
        </w:rPr>
        <w:t xml:space="preserve"> </w:t>
      </w:r>
      <w:r>
        <w:rPr>
          <w:color w:val="231F20"/>
          <w:sz w:val="21"/>
        </w:rPr>
        <w:t>в</w:t>
      </w:r>
      <w:r>
        <w:rPr>
          <w:color w:val="231F20"/>
          <w:spacing w:val="-9"/>
          <w:sz w:val="21"/>
        </w:rPr>
        <w:t xml:space="preserve"> </w:t>
      </w:r>
      <w:r>
        <w:rPr>
          <w:color w:val="231F20"/>
          <w:sz w:val="21"/>
        </w:rPr>
        <w:t>якому забезпечується вільний і всебічний розвиток її</w:t>
      </w:r>
      <w:r>
        <w:rPr>
          <w:color w:val="231F20"/>
          <w:spacing w:val="-9"/>
          <w:sz w:val="21"/>
        </w:rPr>
        <w:t xml:space="preserve"> </w:t>
      </w:r>
      <w:r>
        <w:rPr>
          <w:color w:val="231F20"/>
          <w:sz w:val="21"/>
        </w:rPr>
        <w:t>особистості»;</w:t>
      </w:r>
    </w:p>
    <w:p w14:paraId="0E4E31ED" w14:textId="77777777" w:rsidR="00DE575E" w:rsidRDefault="002E7560">
      <w:pPr>
        <w:pStyle w:val="ListParagraph"/>
        <w:numPr>
          <w:ilvl w:val="0"/>
          <w:numId w:val="298"/>
        </w:numPr>
        <w:tabs>
          <w:tab w:val="left" w:pos="818"/>
        </w:tabs>
        <w:spacing w:before="4" w:line="252" w:lineRule="auto"/>
        <w:ind w:right="411" w:firstLine="283"/>
        <w:jc w:val="both"/>
        <w:rPr>
          <w:sz w:val="21"/>
        </w:rPr>
      </w:pPr>
      <w:r>
        <w:rPr>
          <w:color w:val="231F20"/>
          <w:sz w:val="21"/>
        </w:rPr>
        <w:t xml:space="preserve">суворе дотримання </w:t>
      </w:r>
      <w:r>
        <w:rPr>
          <w:color w:val="231F20"/>
          <w:spacing w:val="-3"/>
          <w:sz w:val="21"/>
        </w:rPr>
        <w:t xml:space="preserve">суб’єктами </w:t>
      </w:r>
      <w:r>
        <w:rPr>
          <w:color w:val="231F20"/>
          <w:sz w:val="21"/>
        </w:rPr>
        <w:t>публічної адміністраці</w:t>
      </w:r>
      <w:r>
        <w:rPr>
          <w:color w:val="231F20"/>
          <w:sz w:val="21"/>
        </w:rPr>
        <w:t>ї проце- дур і правил юридичної</w:t>
      </w:r>
      <w:r>
        <w:rPr>
          <w:color w:val="231F20"/>
          <w:spacing w:val="-6"/>
          <w:sz w:val="21"/>
        </w:rPr>
        <w:t xml:space="preserve"> </w:t>
      </w:r>
      <w:r>
        <w:rPr>
          <w:color w:val="231F20"/>
          <w:sz w:val="21"/>
        </w:rPr>
        <w:t>техніки;</w:t>
      </w:r>
    </w:p>
    <w:p w14:paraId="68DE119C" w14:textId="77777777" w:rsidR="00DE575E" w:rsidRDefault="002E7560">
      <w:pPr>
        <w:pStyle w:val="ListParagraph"/>
        <w:numPr>
          <w:ilvl w:val="0"/>
          <w:numId w:val="298"/>
        </w:numPr>
        <w:tabs>
          <w:tab w:val="left" w:pos="818"/>
        </w:tabs>
        <w:spacing w:line="252" w:lineRule="auto"/>
        <w:ind w:right="411" w:firstLine="283"/>
        <w:jc w:val="both"/>
        <w:rPr>
          <w:sz w:val="21"/>
        </w:rPr>
      </w:pPr>
      <w:r>
        <w:rPr>
          <w:color w:val="231F20"/>
          <w:sz w:val="21"/>
        </w:rPr>
        <w:t xml:space="preserve">використання органами виконавчої влади та місцевого само- врядування всіх дозволених законодавством засобів щодо забез- печення попередження та припинення протиправних посягань на права, свободи та законні публічні </w:t>
      </w:r>
      <w:r>
        <w:rPr>
          <w:color w:val="231F20"/>
          <w:sz w:val="21"/>
        </w:rPr>
        <w:t>інтереси фізичних і юридичних осіб, невідворотності притягнення винних у скоєнні правопору- шення до юридичної відповідальності та відновлення порушених прав і</w:t>
      </w:r>
      <w:r>
        <w:rPr>
          <w:color w:val="231F20"/>
          <w:spacing w:val="-3"/>
          <w:sz w:val="21"/>
        </w:rPr>
        <w:t xml:space="preserve"> </w:t>
      </w:r>
      <w:r>
        <w:rPr>
          <w:color w:val="231F20"/>
          <w:sz w:val="21"/>
        </w:rPr>
        <w:t>свобод.</w:t>
      </w:r>
    </w:p>
    <w:p w14:paraId="2A567693" w14:textId="0E820435" w:rsidR="00DE575E" w:rsidRDefault="002E7560">
      <w:pPr>
        <w:pStyle w:val="BodyText"/>
        <w:spacing w:before="11"/>
        <w:rPr>
          <w:sz w:val="16"/>
        </w:rPr>
      </w:pPr>
      <w:r>
        <w:rPr>
          <w:noProof/>
        </w:rPr>
        <mc:AlternateContent>
          <mc:Choice Requires="wps">
            <w:drawing>
              <wp:anchor distT="0" distB="0" distL="0" distR="0" simplePos="0" relativeHeight="2728" behindDoc="0" locked="0" layoutInCell="1" allowOverlap="1" wp14:anchorId="275A6889" wp14:editId="35A177E9">
                <wp:simplePos x="0" y="0"/>
                <wp:positionH relativeFrom="page">
                  <wp:posOffset>539750</wp:posOffset>
                </wp:positionH>
                <wp:positionV relativeFrom="paragraph">
                  <wp:posOffset>153670</wp:posOffset>
                </wp:positionV>
                <wp:extent cx="1080135" cy="0"/>
                <wp:effectExtent l="6350" t="13970" r="31115" b="24130"/>
                <wp:wrapTopAndBottom/>
                <wp:docPr id="1288"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C3AE5" id="Line_x0020_1287" o:spid="_x0000_s1026" style="position:absolute;z-index:2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1pt" to="127.5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" strokecolor="#231f20" strokeweight=".5pt">
                <w10:wrap type="topAndBottom" anchorx="page"/>
              </v:line>
            </w:pict>
          </mc:Fallback>
        </mc:AlternateContent>
      </w:r>
    </w:p>
    <w:p w14:paraId="520FA444" w14:textId="77777777" w:rsidR="00DE575E" w:rsidRDefault="002E7560">
      <w:pPr>
        <w:spacing w:line="162" w:lineRule="exact"/>
        <w:ind w:left="250"/>
        <w:rPr>
          <w:b/>
          <w:sz w:val="16"/>
        </w:rPr>
      </w:pPr>
      <w:r>
        <w:rPr>
          <w:color w:val="231F20"/>
          <w:position w:val="5"/>
          <w:sz w:val="9"/>
        </w:rPr>
        <w:t xml:space="preserve">1 </w:t>
      </w:r>
      <w:r>
        <w:rPr>
          <w:color w:val="231F20"/>
          <w:sz w:val="16"/>
        </w:rPr>
        <w:t xml:space="preserve">Автор: </w:t>
      </w:r>
      <w:r>
        <w:rPr>
          <w:b/>
          <w:color w:val="231F20"/>
          <w:sz w:val="16"/>
        </w:rPr>
        <w:t>Валентин Галунько.</w:t>
      </w:r>
    </w:p>
    <w:p w14:paraId="3D1DADC1" w14:textId="77777777" w:rsidR="00DE575E" w:rsidRDefault="002E7560">
      <w:pPr>
        <w:spacing w:before="23" w:line="204" w:lineRule="auto"/>
        <w:ind w:left="250" w:right="521"/>
        <w:rPr>
          <w:sz w:val="16"/>
        </w:rPr>
      </w:pPr>
      <w:r>
        <w:rPr>
          <w:color w:val="231F20"/>
          <w:position w:val="5"/>
          <w:sz w:val="9"/>
        </w:rPr>
        <w:t xml:space="preserve">2 </w:t>
      </w:r>
      <w:r>
        <w:rPr>
          <w:color w:val="231F20"/>
          <w:sz w:val="16"/>
        </w:rPr>
        <w:t>Горбунова Л. Принцип законності у нормотворчій  діяльності  органів  виконавчої  влади : монографія. Київ : Юрінком Інтер, 2008. С.</w:t>
      </w:r>
      <w:r>
        <w:rPr>
          <w:color w:val="231F20"/>
          <w:spacing w:val="-2"/>
          <w:sz w:val="16"/>
        </w:rPr>
        <w:t xml:space="preserve"> </w:t>
      </w:r>
      <w:r>
        <w:rPr>
          <w:color w:val="231F20"/>
          <w:sz w:val="16"/>
        </w:rPr>
        <w:t>176.</w:t>
      </w:r>
    </w:p>
    <w:p w14:paraId="369F91EA" w14:textId="77777777" w:rsidR="00DE575E" w:rsidRDefault="00DE575E">
      <w:pPr>
        <w:pStyle w:val="BodyText"/>
        <w:spacing w:before="5"/>
        <w:rPr>
          <w:sz w:val="12"/>
        </w:rPr>
      </w:pPr>
    </w:p>
    <w:p w14:paraId="22AD9ED1" w14:textId="77777777" w:rsidR="00DE575E" w:rsidRDefault="002E7560">
      <w:pPr>
        <w:spacing w:before="92"/>
        <w:ind w:right="411"/>
        <w:jc w:val="right"/>
        <w:rPr>
          <w:rFonts w:ascii="Times New Roman"/>
          <w:sz w:val="20"/>
        </w:rPr>
      </w:pPr>
      <w:r>
        <w:rPr>
          <w:rFonts w:ascii="Times New Roman"/>
          <w:color w:val="231F20"/>
          <w:w w:val="90"/>
          <w:sz w:val="20"/>
        </w:rPr>
        <w:t>49</w:t>
      </w:r>
    </w:p>
    <w:p w14:paraId="79B2857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0B77315"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8C6DDD9" w14:textId="4BEE94A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2692004" wp14:editId="147AF3FB">
                <wp:extent cx="4140200" cy="6350"/>
                <wp:effectExtent l="0" t="0" r="12700" b="6350"/>
                <wp:docPr id="1286"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87" name="Line 128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9AA83F" id="Group_x0020_128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cvBI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gVy8EgAIAAJwFAAAO&#10;AAAAAAAAAAAAAAAAACwCAABkcnMvZTJvRG9jLnhtbFBLAQItABQABgAIAAAAIQBMp7CQ2QAAAAMB&#10;AAAPAAAAAAAAAAAAAAAAANgEAABkcnMvZG93bnJldi54bWxQSwUGAAAAAAQABADzAAAA3gUAAAAA&#10;">
                <v:line id="Line_x0020_128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i7SMQAAADdAAAADwAAAGRycy9kb3ducmV2LnhtbERPzWrCQBC+F3yHZQQvopsqtBJdRQqF&#10;4kFb4wOM2TEJ7s7G7GrSPr0rCL3Nx/c7i1VnjbhR4yvHCl7HCQji3OmKCwWH7HM0A+EDskbjmBT8&#10;kofVsveywFS7ln/otg+FiCHsU1RQhlCnUvq8JIt+7GriyJ1cYzFE2BRSN9jGcGvkJEnepMWKY0OJ&#10;NX2UlJ/3V6sguwyD+d5tTJvtjlN5vGynf9etUoN+t56DCNSFf/HT/aXj/MnsHR7fxB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eLtIxAAAAN0AAAAPAAAAAAAAAAAA&#10;AAAAAKECAABkcnMvZG93bnJldi54bWxQSwUGAAAAAAQABAD5AAAAkgMAAAAA&#10;" strokecolor="#231f20" strokeweight=".5pt"/>
                <w10:anchorlock/>
              </v:group>
            </w:pict>
          </mc:Fallback>
        </mc:AlternateContent>
      </w:r>
    </w:p>
    <w:p w14:paraId="703992EA" w14:textId="77777777" w:rsidR="00DE575E" w:rsidRDefault="00DE575E">
      <w:pPr>
        <w:pStyle w:val="BodyText"/>
        <w:spacing w:before="7"/>
        <w:rPr>
          <w:rFonts w:ascii="AdonisC"/>
          <w:i/>
          <w:sz w:val="11"/>
        </w:rPr>
      </w:pPr>
    </w:p>
    <w:p w14:paraId="6BC606FA" w14:textId="77777777" w:rsidR="00DE575E" w:rsidRDefault="002E7560">
      <w:pPr>
        <w:spacing w:before="101" w:line="252" w:lineRule="auto"/>
        <w:ind w:left="533" w:right="128" w:firstLine="283"/>
        <w:jc w:val="both"/>
        <w:rPr>
          <w:i/>
          <w:sz w:val="21"/>
        </w:rPr>
      </w:pPr>
      <w:r>
        <w:rPr>
          <w:i/>
          <w:color w:val="231F20"/>
          <w:sz w:val="21"/>
        </w:rPr>
        <w:t>Здійснюючи порівняльний аналіз принципів «верховенства права» і «законності», можна дійти таких висновків:</w:t>
      </w:r>
    </w:p>
    <w:p w14:paraId="27069B49" w14:textId="77777777" w:rsidR="00DE575E" w:rsidRDefault="002E7560">
      <w:pPr>
        <w:pStyle w:val="ListParagraph"/>
        <w:numPr>
          <w:ilvl w:val="1"/>
          <w:numId w:val="298"/>
        </w:numPr>
        <w:tabs>
          <w:tab w:val="left" w:pos="1101"/>
        </w:tabs>
        <w:spacing w:line="252" w:lineRule="auto"/>
        <w:ind w:right="126" w:firstLine="284"/>
        <w:rPr>
          <w:sz w:val="21"/>
        </w:rPr>
      </w:pPr>
      <w:r>
        <w:rPr>
          <w:color w:val="231F20"/>
          <w:sz w:val="21"/>
        </w:rPr>
        <w:t>фізичні особи, які не мають владного чи спеціального статусу (приватні</w:t>
      </w:r>
      <w:r>
        <w:rPr>
          <w:color w:val="231F20"/>
          <w:spacing w:val="-15"/>
          <w:sz w:val="21"/>
        </w:rPr>
        <w:t xml:space="preserve"> </w:t>
      </w:r>
      <w:r>
        <w:rPr>
          <w:color w:val="231F20"/>
          <w:spacing w:val="-3"/>
          <w:sz w:val="21"/>
        </w:rPr>
        <w:t>суб’єкти</w:t>
      </w:r>
      <w:r>
        <w:rPr>
          <w:color w:val="231F20"/>
          <w:spacing w:val="-15"/>
          <w:sz w:val="21"/>
        </w:rPr>
        <w:t xml:space="preserve"> </w:t>
      </w:r>
      <w:r>
        <w:rPr>
          <w:color w:val="231F20"/>
          <w:sz w:val="21"/>
        </w:rPr>
        <w:t>права),</w:t>
      </w:r>
      <w:r>
        <w:rPr>
          <w:color w:val="231F20"/>
          <w:spacing w:val="-15"/>
          <w:sz w:val="21"/>
        </w:rPr>
        <w:t xml:space="preserve"> </w:t>
      </w:r>
      <w:r>
        <w:rPr>
          <w:color w:val="231F20"/>
          <w:sz w:val="21"/>
        </w:rPr>
        <w:t>можуть</w:t>
      </w:r>
      <w:r>
        <w:rPr>
          <w:color w:val="231F20"/>
          <w:spacing w:val="-15"/>
          <w:sz w:val="21"/>
        </w:rPr>
        <w:t xml:space="preserve"> </w:t>
      </w:r>
      <w:r>
        <w:rPr>
          <w:color w:val="231F20"/>
          <w:sz w:val="21"/>
        </w:rPr>
        <w:t>користуватись</w:t>
      </w:r>
      <w:r>
        <w:rPr>
          <w:color w:val="231F20"/>
          <w:spacing w:val="-15"/>
          <w:sz w:val="21"/>
        </w:rPr>
        <w:t xml:space="preserve"> </w:t>
      </w:r>
      <w:r>
        <w:rPr>
          <w:color w:val="231F20"/>
          <w:sz w:val="21"/>
        </w:rPr>
        <w:t>в</w:t>
      </w:r>
      <w:r>
        <w:rPr>
          <w:color w:val="231F20"/>
          <w:spacing w:val="-16"/>
          <w:sz w:val="21"/>
        </w:rPr>
        <w:t xml:space="preserve"> </w:t>
      </w:r>
      <w:r>
        <w:rPr>
          <w:color w:val="231F20"/>
          <w:sz w:val="21"/>
        </w:rPr>
        <w:t xml:space="preserve">адміністративно- правових відносинах принципом верховенства права, відповідно до якого мають право виходити за межі дозволів формально чинного законодавства. </w:t>
      </w:r>
      <w:r>
        <w:rPr>
          <w:color w:val="231F20"/>
          <w:spacing w:val="-3"/>
          <w:sz w:val="21"/>
        </w:rPr>
        <w:t xml:space="preserve">Головне, </w:t>
      </w:r>
      <w:r>
        <w:rPr>
          <w:color w:val="231F20"/>
          <w:sz w:val="21"/>
        </w:rPr>
        <w:t xml:space="preserve">щоб при цьому не порушувались заборонні норми права та права й свободи інших фізичних та </w:t>
      </w:r>
      <w:r>
        <w:rPr>
          <w:color w:val="231F20"/>
          <w:sz w:val="21"/>
        </w:rPr>
        <w:t>юридичних</w:t>
      </w:r>
      <w:r>
        <w:rPr>
          <w:color w:val="231F20"/>
          <w:spacing w:val="-32"/>
          <w:sz w:val="21"/>
        </w:rPr>
        <w:t xml:space="preserve"> </w:t>
      </w:r>
      <w:r>
        <w:rPr>
          <w:color w:val="231F20"/>
          <w:sz w:val="21"/>
        </w:rPr>
        <w:t>осіб;</w:t>
      </w:r>
    </w:p>
    <w:p w14:paraId="437FF9BD" w14:textId="77777777" w:rsidR="00DE575E" w:rsidRDefault="002E7560">
      <w:pPr>
        <w:pStyle w:val="ListParagraph"/>
        <w:numPr>
          <w:ilvl w:val="1"/>
          <w:numId w:val="298"/>
        </w:numPr>
        <w:tabs>
          <w:tab w:val="left" w:pos="1101"/>
        </w:tabs>
        <w:spacing w:before="3" w:line="252" w:lineRule="auto"/>
        <w:ind w:right="128" w:firstLine="284"/>
        <w:rPr>
          <w:sz w:val="21"/>
        </w:rPr>
      </w:pPr>
      <w:r>
        <w:rPr>
          <w:color w:val="231F20"/>
          <w:spacing w:val="-3"/>
          <w:sz w:val="21"/>
        </w:rPr>
        <w:t xml:space="preserve">суб’єкти </w:t>
      </w:r>
      <w:r>
        <w:rPr>
          <w:color w:val="231F20"/>
          <w:sz w:val="21"/>
        </w:rPr>
        <w:t xml:space="preserve">публічної адміністрації мають чітко діяти в межах законодавства </w:t>
      </w:r>
      <w:r>
        <w:rPr>
          <w:color w:val="231F20"/>
          <w:spacing w:val="-3"/>
          <w:sz w:val="21"/>
        </w:rPr>
        <w:t xml:space="preserve">України </w:t>
      </w:r>
      <w:r>
        <w:rPr>
          <w:color w:val="231F20"/>
          <w:sz w:val="21"/>
        </w:rPr>
        <w:t xml:space="preserve">– іншими словами, суворо дотримуватися принципу «законності» без права </w:t>
      </w:r>
      <w:r>
        <w:rPr>
          <w:color w:val="231F20"/>
          <w:spacing w:val="-2"/>
          <w:sz w:val="21"/>
        </w:rPr>
        <w:t xml:space="preserve">виходу </w:t>
      </w:r>
      <w:r>
        <w:rPr>
          <w:color w:val="231F20"/>
          <w:sz w:val="21"/>
        </w:rPr>
        <w:t>за межі формально вста- новленої компетенції, за винятком безпосереднього та неві</w:t>
      </w:r>
      <w:r>
        <w:rPr>
          <w:color w:val="231F20"/>
          <w:sz w:val="21"/>
        </w:rPr>
        <w:t>дклад- ного захисту життя і здоров’я</w:t>
      </w:r>
      <w:r>
        <w:rPr>
          <w:color w:val="231F20"/>
          <w:spacing w:val="-5"/>
          <w:sz w:val="21"/>
        </w:rPr>
        <w:t xml:space="preserve"> </w:t>
      </w:r>
      <w:r>
        <w:rPr>
          <w:color w:val="231F20"/>
          <w:sz w:val="21"/>
        </w:rPr>
        <w:t>людини.</w:t>
      </w:r>
    </w:p>
    <w:p w14:paraId="1F9CA6AC" w14:textId="77777777" w:rsidR="00DE575E" w:rsidRDefault="00DE575E">
      <w:pPr>
        <w:pStyle w:val="BodyText"/>
        <w:rPr>
          <w:sz w:val="24"/>
        </w:rPr>
      </w:pPr>
    </w:p>
    <w:p w14:paraId="57B2D43F" w14:textId="77777777" w:rsidR="00DE575E" w:rsidRDefault="00DE575E">
      <w:pPr>
        <w:pStyle w:val="BodyText"/>
        <w:spacing w:before="5"/>
        <w:rPr>
          <w:sz w:val="19"/>
        </w:rPr>
      </w:pPr>
    </w:p>
    <w:p w14:paraId="028564D5" w14:textId="77777777" w:rsidR="00DE575E" w:rsidRDefault="002E7560">
      <w:pPr>
        <w:pStyle w:val="Heading4"/>
        <w:ind w:left="1770"/>
      </w:pPr>
      <w:r>
        <w:rPr>
          <w:color w:val="231F20"/>
        </w:rPr>
        <w:t>2.3. Принципи належного врядування</w:t>
      </w:r>
    </w:p>
    <w:p w14:paraId="527A0117" w14:textId="77777777" w:rsidR="00DE575E" w:rsidRDefault="00DE575E">
      <w:pPr>
        <w:pStyle w:val="BodyText"/>
        <w:rPr>
          <w:b/>
          <w:sz w:val="26"/>
        </w:rPr>
      </w:pPr>
    </w:p>
    <w:p w14:paraId="2D88B4AA" w14:textId="77777777" w:rsidR="00DE575E" w:rsidRDefault="002E7560">
      <w:pPr>
        <w:pStyle w:val="BodyText"/>
        <w:spacing w:before="224" w:line="252" w:lineRule="auto"/>
        <w:ind w:left="533" w:right="125" w:firstLine="283"/>
        <w:jc w:val="both"/>
      </w:pPr>
      <w:r>
        <w:rPr>
          <w:color w:val="231F20"/>
        </w:rPr>
        <w:t>Належне врядування має  вісім  основних  характеристик.  Ними є участь, орієнтація на консенсус, відповідальність (підзвітність), прозорість, належне реагування, ефективніст</w:t>
      </w:r>
      <w:r>
        <w:rPr>
          <w:color w:val="231F20"/>
        </w:rPr>
        <w:t>ь і результативність, рівність</w:t>
      </w:r>
      <w:r>
        <w:rPr>
          <w:color w:val="231F20"/>
          <w:spacing w:val="-6"/>
        </w:rPr>
        <w:t xml:space="preserve"> </w:t>
      </w:r>
      <w:r>
        <w:rPr>
          <w:color w:val="231F20"/>
        </w:rPr>
        <w:t>і</w:t>
      </w:r>
      <w:r>
        <w:rPr>
          <w:color w:val="231F20"/>
          <w:spacing w:val="-5"/>
        </w:rPr>
        <w:t xml:space="preserve"> </w:t>
      </w:r>
      <w:r>
        <w:rPr>
          <w:color w:val="231F20"/>
        </w:rPr>
        <w:t>врахування</w:t>
      </w:r>
      <w:r>
        <w:rPr>
          <w:color w:val="231F20"/>
          <w:spacing w:val="-6"/>
        </w:rPr>
        <w:t xml:space="preserve"> </w:t>
      </w:r>
      <w:r>
        <w:rPr>
          <w:color w:val="231F20"/>
        </w:rPr>
        <w:t>інтересів</w:t>
      </w:r>
      <w:r>
        <w:rPr>
          <w:color w:val="231F20"/>
          <w:spacing w:val="-6"/>
        </w:rPr>
        <w:t xml:space="preserve"> </w:t>
      </w:r>
      <w:r>
        <w:rPr>
          <w:color w:val="231F20"/>
        </w:rPr>
        <w:t>та</w:t>
      </w:r>
      <w:r>
        <w:rPr>
          <w:color w:val="231F20"/>
          <w:spacing w:val="-6"/>
        </w:rPr>
        <w:t xml:space="preserve"> </w:t>
      </w:r>
      <w:r>
        <w:rPr>
          <w:color w:val="231F20"/>
        </w:rPr>
        <w:t>відповідність</w:t>
      </w:r>
      <w:r>
        <w:rPr>
          <w:color w:val="231F20"/>
          <w:spacing w:val="-6"/>
        </w:rPr>
        <w:t xml:space="preserve"> </w:t>
      </w:r>
      <w:r>
        <w:rPr>
          <w:color w:val="231F20"/>
        </w:rPr>
        <w:t>принципу</w:t>
      </w:r>
      <w:r>
        <w:rPr>
          <w:color w:val="231F20"/>
          <w:spacing w:val="-6"/>
        </w:rPr>
        <w:t xml:space="preserve"> </w:t>
      </w:r>
      <w:r>
        <w:rPr>
          <w:color w:val="231F20"/>
        </w:rPr>
        <w:t xml:space="preserve">верховен- ства права. Воно засвідчує, що корупція є мінімізованою, </w:t>
      </w:r>
      <w:r>
        <w:rPr>
          <w:color w:val="231F20"/>
          <w:spacing w:val="-3"/>
        </w:rPr>
        <w:t xml:space="preserve">погляди </w:t>
      </w:r>
      <w:r>
        <w:rPr>
          <w:color w:val="231F20"/>
        </w:rPr>
        <w:t>меншості враховано та голоси найбільш незахищених верств суспільства</w:t>
      </w:r>
      <w:r>
        <w:rPr>
          <w:color w:val="231F20"/>
          <w:spacing w:val="-5"/>
        </w:rPr>
        <w:t xml:space="preserve"> </w:t>
      </w:r>
      <w:r>
        <w:rPr>
          <w:color w:val="231F20"/>
        </w:rPr>
        <w:t>почуто</w:t>
      </w:r>
      <w:r>
        <w:rPr>
          <w:color w:val="231F20"/>
          <w:spacing w:val="-5"/>
        </w:rPr>
        <w:t xml:space="preserve"> </w:t>
      </w:r>
      <w:r>
        <w:rPr>
          <w:color w:val="231F20"/>
        </w:rPr>
        <w:t>під</w:t>
      </w:r>
      <w:r>
        <w:rPr>
          <w:color w:val="231F20"/>
          <w:spacing w:val="-5"/>
        </w:rPr>
        <w:t xml:space="preserve"> </w:t>
      </w:r>
      <w:r>
        <w:rPr>
          <w:color w:val="231F20"/>
        </w:rPr>
        <w:t>час</w:t>
      </w:r>
      <w:r>
        <w:rPr>
          <w:color w:val="231F20"/>
          <w:spacing w:val="-5"/>
        </w:rPr>
        <w:t xml:space="preserve"> </w:t>
      </w:r>
      <w:r>
        <w:rPr>
          <w:color w:val="231F20"/>
        </w:rPr>
        <w:t>ухвалення</w:t>
      </w:r>
      <w:r>
        <w:rPr>
          <w:color w:val="231F20"/>
          <w:spacing w:val="-5"/>
        </w:rPr>
        <w:t xml:space="preserve"> </w:t>
      </w:r>
      <w:r>
        <w:rPr>
          <w:color w:val="231F20"/>
        </w:rPr>
        <w:t>рішень.</w:t>
      </w:r>
      <w:r>
        <w:rPr>
          <w:color w:val="231F20"/>
          <w:spacing w:val="-5"/>
        </w:rPr>
        <w:t xml:space="preserve"> </w:t>
      </w:r>
      <w:r>
        <w:rPr>
          <w:color w:val="231F20"/>
        </w:rPr>
        <w:t>Воно</w:t>
      </w:r>
      <w:r>
        <w:rPr>
          <w:color w:val="231F20"/>
          <w:spacing w:val="-5"/>
        </w:rPr>
        <w:t xml:space="preserve"> </w:t>
      </w:r>
      <w:r>
        <w:rPr>
          <w:color w:val="231F20"/>
        </w:rPr>
        <w:t>також</w:t>
      </w:r>
      <w:r>
        <w:rPr>
          <w:color w:val="231F20"/>
          <w:spacing w:val="-5"/>
        </w:rPr>
        <w:t xml:space="preserve"> </w:t>
      </w:r>
      <w:r>
        <w:rPr>
          <w:color w:val="231F20"/>
        </w:rPr>
        <w:t>є</w:t>
      </w:r>
      <w:r>
        <w:rPr>
          <w:color w:val="231F20"/>
          <w:spacing w:val="-5"/>
        </w:rPr>
        <w:t xml:space="preserve"> </w:t>
      </w:r>
      <w:r>
        <w:rPr>
          <w:color w:val="231F20"/>
        </w:rPr>
        <w:t>відповід- ним до чинних і майбутніх потреб</w:t>
      </w:r>
      <w:r>
        <w:rPr>
          <w:color w:val="231F20"/>
          <w:spacing w:val="-6"/>
        </w:rPr>
        <w:t xml:space="preserve"> </w:t>
      </w:r>
      <w:r>
        <w:rPr>
          <w:color w:val="231F20"/>
        </w:rPr>
        <w:t>суспільства</w:t>
      </w:r>
      <w:r>
        <w:rPr>
          <w:color w:val="231F20"/>
          <w:position w:val="7"/>
          <w:sz w:val="12"/>
        </w:rPr>
        <w:t>1</w:t>
      </w:r>
      <w:r>
        <w:rPr>
          <w:color w:val="231F20"/>
        </w:rPr>
        <w:t>.</w:t>
      </w:r>
    </w:p>
    <w:p w14:paraId="7087980D" w14:textId="77777777" w:rsidR="00DE575E" w:rsidRDefault="002E7560">
      <w:pPr>
        <w:pStyle w:val="BodyText"/>
        <w:spacing w:before="4" w:line="252" w:lineRule="auto"/>
        <w:ind w:left="533" w:right="128" w:firstLine="283"/>
        <w:jc w:val="both"/>
      </w:pPr>
      <w:r>
        <w:rPr>
          <w:color w:val="231F20"/>
        </w:rPr>
        <w:t>У країнах-учасницях ЄС щодо принципів належного врядування погодженою є позиція, що вони встановлюють стандарти, стимулю- ють публічних службовців на забезпечення публічного інтересу. П</w:t>
      </w:r>
      <w:r>
        <w:rPr>
          <w:color w:val="231F20"/>
        </w:rPr>
        <w:t>ри цьому їх формальна легалізація здійснюється в різного рівня нормах</w:t>
      </w:r>
      <w:r>
        <w:rPr>
          <w:color w:val="231F20"/>
          <w:spacing w:val="-11"/>
        </w:rPr>
        <w:t xml:space="preserve"> </w:t>
      </w:r>
      <w:r>
        <w:rPr>
          <w:color w:val="231F20"/>
        </w:rPr>
        <w:t>адміністративного</w:t>
      </w:r>
      <w:r>
        <w:rPr>
          <w:color w:val="231F20"/>
          <w:spacing w:val="-11"/>
        </w:rPr>
        <w:t xml:space="preserve"> </w:t>
      </w:r>
      <w:r>
        <w:rPr>
          <w:color w:val="231F20"/>
        </w:rPr>
        <w:t>права</w:t>
      </w:r>
      <w:r>
        <w:rPr>
          <w:color w:val="231F20"/>
          <w:spacing w:val="-11"/>
        </w:rPr>
        <w:t xml:space="preserve"> </w:t>
      </w:r>
      <w:r>
        <w:rPr>
          <w:color w:val="231F20"/>
        </w:rPr>
        <w:t>–</w:t>
      </w:r>
      <w:r>
        <w:rPr>
          <w:color w:val="231F20"/>
          <w:spacing w:val="-11"/>
        </w:rPr>
        <w:t xml:space="preserve"> </w:t>
      </w:r>
      <w:r>
        <w:rPr>
          <w:color w:val="231F20"/>
        </w:rPr>
        <w:t>від</w:t>
      </w:r>
      <w:r>
        <w:rPr>
          <w:color w:val="231F20"/>
          <w:spacing w:val="-11"/>
        </w:rPr>
        <w:t xml:space="preserve"> </w:t>
      </w:r>
      <w:r>
        <w:rPr>
          <w:color w:val="231F20"/>
        </w:rPr>
        <w:t>конституційних</w:t>
      </w:r>
      <w:r>
        <w:rPr>
          <w:color w:val="231F20"/>
          <w:spacing w:val="-11"/>
        </w:rPr>
        <w:t xml:space="preserve"> </w:t>
      </w:r>
      <w:r>
        <w:rPr>
          <w:color w:val="231F20"/>
        </w:rPr>
        <w:t>норм</w:t>
      </w:r>
      <w:r>
        <w:rPr>
          <w:color w:val="231F20"/>
          <w:spacing w:val="-11"/>
        </w:rPr>
        <w:t xml:space="preserve"> </w:t>
      </w:r>
      <w:r>
        <w:rPr>
          <w:color w:val="231F20"/>
        </w:rPr>
        <w:t>до</w:t>
      </w:r>
      <w:r>
        <w:rPr>
          <w:color w:val="231F20"/>
          <w:spacing w:val="-11"/>
        </w:rPr>
        <w:t xml:space="preserve"> </w:t>
      </w:r>
      <w:r>
        <w:rPr>
          <w:color w:val="231F20"/>
        </w:rPr>
        <w:t xml:space="preserve">окре- мих нормативних актів і </w:t>
      </w:r>
      <w:r>
        <w:rPr>
          <w:color w:val="231F20"/>
          <w:spacing w:val="-3"/>
        </w:rPr>
        <w:t xml:space="preserve">судових </w:t>
      </w:r>
      <w:r>
        <w:rPr>
          <w:color w:val="231F20"/>
        </w:rPr>
        <w:t>прецедентів.</w:t>
      </w:r>
    </w:p>
    <w:p w14:paraId="1CE110B4" w14:textId="77777777" w:rsidR="00DE575E" w:rsidRDefault="002E7560">
      <w:pPr>
        <w:spacing w:before="3" w:line="252" w:lineRule="auto"/>
        <w:ind w:left="533" w:right="128" w:firstLine="283"/>
        <w:jc w:val="both"/>
        <w:rPr>
          <w:i/>
          <w:sz w:val="21"/>
        </w:rPr>
      </w:pPr>
      <w:r>
        <w:rPr>
          <w:i/>
          <w:color w:val="231F20"/>
          <w:sz w:val="21"/>
        </w:rPr>
        <w:t>Отже, значення принципів належного врядування для публічного адміністрування</w:t>
      </w:r>
      <w:r>
        <w:rPr>
          <w:i/>
          <w:color w:val="231F20"/>
          <w:spacing w:val="-17"/>
          <w:sz w:val="21"/>
        </w:rPr>
        <w:t xml:space="preserve"> </w:t>
      </w:r>
      <w:r>
        <w:rPr>
          <w:i/>
          <w:color w:val="231F20"/>
          <w:sz w:val="21"/>
        </w:rPr>
        <w:t>полягає</w:t>
      </w:r>
      <w:r>
        <w:rPr>
          <w:i/>
          <w:color w:val="231F20"/>
          <w:spacing w:val="-17"/>
          <w:sz w:val="21"/>
        </w:rPr>
        <w:t xml:space="preserve"> </w:t>
      </w:r>
      <w:r>
        <w:rPr>
          <w:i/>
          <w:color w:val="231F20"/>
          <w:sz w:val="21"/>
        </w:rPr>
        <w:t>в</w:t>
      </w:r>
      <w:r>
        <w:rPr>
          <w:i/>
          <w:color w:val="231F20"/>
          <w:spacing w:val="-17"/>
          <w:sz w:val="21"/>
        </w:rPr>
        <w:t xml:space="preserve"> </w:t>
      </w:r>
      <w:r>
        <w:rPr>
          <w:i/>
          <w:color w:val="231F20"/>
          <w:spacing w:val="-3"/>
          <w:sz w:val="21"/>
        </w:rPr>
        <w:t>тому,</w:t>
      </w:r>
      <w:r>
        <w:rPr>
          <w:i/>
          <w:color w:val="231F20"/>
          <w:spacing w:val="-17"/>
          <w:sz w:val="21"/>
        </w:rPr>
        <w:t xml:space="preserve"> </w:t>
      </w:r>
      <w:r>
        <w:rPr>
          <w:i/>
          <w:color w:val="231F20"/>
          <w:sz w:val="21"/>
        </w:rPr>
        <w:t>що</w:t>
      </w:r>
      <w:r>
        <w:rPr>
          <w:i/>
          <w:color w:val="231F20"/>
          <w:spacing w:val="-17"/>
          <w:sz w:val="21"/>
        </w:rPr>
        <w:t xml:space="preserve"> </w:t>
      </w:r>
      <w:r>
        <w:rPr>
          <w:i/>
          <w:color w:val="231F20"/>
          <w:sz w:val="21"/>
        </w:rPr>
        <w:t>вони</w:t>
      </w:r>
      <w:r>
        <w:rPr>
          <w:i/>
          <w:color w:val="231F20"/>
          <w:spacing w:val="-17"/>
          <w:sz w:val="21"/>
        </w:rPr>
        <w:t xml:space="preserve"> </w:t>
      </w:r>
      <w:r>
        <w:rPr>
          <w:i/>
          <w:color w:val="231F20"/>
          <w:sz w:val="21"/>
        </w:rPr>
        <w:t>встановлюють</w:t>
      </w:r>
      <w:r>
        <w:rPr>
          <w:i/>
          <w:color w:val="231F20"/>
          <w:spacing w:val="-17"/>
          <w:sz w:val="21"/>
        </w:rPr>
        <w:t xml:space="preserve"> </w:t>
      </w:r>
      <w:r>
        <w:rPr>
          <w:i/>
          <w:color w:val="231F20"/>
          <w:sz w:val="21"/>
        </w:rPr>
        <w:t>стандарти та стимулюють публічних службовців на забезпечення публічного інтересу.</w:t>
      </w:r>
    </w:p>
    <w:p w14:paraId="014A851D" w14:textId="77777777" w:rsidR="00DE575E" w:rsidRDefault="00DE575E">
      <w:pPr>
        <w:pStyle w:val="BodyText"/>
        <w:rPr>
          <w:i/>
          <w:sz w:val="20"/>
        </w:rPr>
      </w:pPr>
    </w:p>
    <w:p w14:paraId="22E15419" w14:textId="214F8A16" w:rsidR="00DE575E" w:rsidRDefault="002E7560">
      <w:pPr>
        <w:pStyle w:val="BodyText"/>
        <w:spacing w:before="11"/>
        <w:rPr>
          <w:i/>
          <w:sz w:val="12"/>
        </w:rPr>
      </w:pPr>
      <w:r>
        <w:rPr>
          <w:noProof/>
        </w:rPr>
        <mc:AlternateContent>
          <mc:Choice Requires="wps">
            <w:drawing>
              <wp:anchor distT="0" distB="0" distL="0" distR="0" simplePos="0" relativeHeight="2776" behindDoc="0" locked="0" layoutInCell="1" allowOverlap="1" wp14:anchorId="224D725B" wp14:editId="1314D582">
                <wp:simplePos x="0" y="0"/>
                <wp:positionH relativeFrom="page">
                  <wp:posOffset>719455</wp:posOffset>
                </wp:positionH>
                <wp:positionV relativeFrom="paragraph">
                  <wp:posOffset>123825</wp:posOffset>
                </wp:positionV>
                <wp:extent cx="1080135" cy="0"/>
                <wp:effectExtent l="8255" t="9525" r="29210" b="28575"/>
                <wp:wrapTopAndBottom/>
                <wp:docPr id="1285"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5A32" id="Line_x0020_1284" o:spid="_x0000_s1026" style="position:absolute;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5pt" to="141.7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" strokecolor="#231f20" strokeweight=".5pt">
                <w10:wrap type="topAndBottom" anchorx="page"/>
              </v:line>
            </w:pict>
          </mc:Fallback>
        </mc:AlternateContent>
      </w:r>
    </w:p>
    <w:p w14:paraId="3963FD27" w14:textId="77777777" w:rsidR="00DE575E" w:rsidRDefault="002E7560">
      <w:pPr>
        <w:spacing w:line="204" w:lineRule="auto"/>
        <w:ind w:left="533" w:right="128"/>
        <w:rPr>
          <w:sz w:val="16"/>
        </w:rPr>
      </w:pPr>
      <w:r>
        <w:rPr>
          <w:color w:val="231F20"/>
          <w:position w:val="5"/>
          <w:sz w:val="9"/>
        </w:rPr>
        <w:t xml:space="preserve">1 </w:t>
      </w:r>
      <w:r>
        <w:rPr>
          <w:color w:val="231F20"/>
          <w:sz w:val="16"/>
        </w:rPr>
        <w:t xml:space="preserve">Що є належне урядування? </w:t>
      </w:r>
      <w:r>
        <w:rPr>
          <w:i/>
          <w:color w:val="231F20"/>
          <w:sz w:val="16"/>
        </w:rPr>
        <w:t>Центр політико-правових реформ</w:t>
      </w:r>
      <w:r>
        <w:rPr>
          <w:color w:val="231F20"/>
          <w:sz w:val="16"/>
        </w:rPr>
        <w:t xml:space="preserve">. 2015. URL: </w:t>
      </w:r>
      <w:hyperlink r:id="rId20">
        <w:r>
          <w:rPr>
            <w:color w:val="231F20"/>
            <w:sz w:val="16"/>
          </w:rPr>
          <w:t>http://pravo.org.ua/ua/news/2600-</w:t>
        </w:r>
      </w:hyperlink>
    </w:p>
    <w:p w14:paraId="4BF39DBE" w14:textId="77777777" w:rsidR="00DE575E" w:rsidRDefault="00DE575E">
      <w:pPr>
        <w:pStyle w:val="BodyText"/>
        <w:spacing w:before="1"/>
        <w:rPr>
          <w:sz w:val="12"/>
        </w:rPr>
      </w:pPr>
    </w:p>
    <w:p w14:paraId="5BF758A4" w14:textId="77777777" w:rsidR="00DE575E" w:rsidRDefault="002E7560">
      <w:pPr>
        <w:spacing w:before="92"/>
        <w:ind w:left="533"/>
        <w:rPr>
          <w:rFonts w:ascii="Times New Roman"/>
          <w:sz w:val="20"/>
        </w:rPr>
      </w:pPr>
      <w:r>
        <w:rPr>
          <w:rFonts w:ascii="Times New Roman"/>
          <w:color w:val="231F20"/>
          <w:sz w:val="20"/>
        </w:rPr>
        <w:t>50</w:t>
      </w:r>
    </w:p>
    <w:p w14:paraId="3B106485" w14:textId="77777777" w:rsidR="00DE575E" w:rsidRDefault="00DE575E">
      <w:pPr>
        <w:rPr>
          <w:rFonts w:ascii="Times New Roman"/>
          <w:sz w:val="20"/>
        </w:rPr>
        <w:sectPr w:rsidR="00DE575E">
          <w:pgSz w:w="8510" w:h="12760"/>
          <w:pgMar w:top="660" w:right="720" w:bottom="280" w:left="600" w:header="720" w:footer="720" w:gutter="0"/>
          <w:cols w:space="720"/>
        </w:sectPr>
      </w:pPr>
    </w:p>
    <w:p w14:paraId="7EED0D17" w14:textId="77777777" w:rsidR="00DE575E" w:rsidRDefault="002E7560">
      <w:pPr>
        <w:spacing w:before="72" w:line="249" w:lineRule="auto"/>
        <w:ind w:left="3122" w:firstLine="349"/>
        <w:rPr>
          <w:rFonts w:ascii="AdonisC" w:hAnsi="AdonisC"/>
          <w:i/>
          <w:sz w:val="18"/>
        </w:rPr>
      </w:pPr>
      <w:r>
        <w:rPr>
          <w:rFonts w:ascii="AdonisC" w:hAnsi="AdonisC"/>
          <w:i/>
          <w:color w:val="231F20"/>
          <w:sz w:val="18"/>
        </w:rPr>
        <w:lastRenderedPageBreak/>
        <w:t>Глава І. Загальне адміністративне право Розділ 2. Принципи адміністративного права</w:t>
      </w:r>
    </w:p>
    <w:p w14:paraId="671C3632" w14:textId="6322B1D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028D1B2" wp14:editId="65AAC3B4">
                <wp:extent cx="4140200" cy="6350"/>
                <wp:effectExtent l="0" t="0" r="12700" b="6350"/>
                <wp:docPr id="1283"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84" name="Line 12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DB86C6" id="Group_x0020_12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Hf2QF/AgAAnAUAAA4A&#10;AAAAAAAAAAAAAAAALAIAAGRycy9lMm9Eb2MueG1sUEsBAi0AFAAGAAgAAAAhAEynsJDZAAAAAwEA&#10;AA8AAAAAAAAAAAAAAAAA1wQAAGRycy9kb3ducmV2LnhtbFBLBQYAAAAABAAEAPMAAADdBQAAAAA=&#10;">
                <v:line id="Line_x0020_12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olP8QAAADdAAAADwAAAGRycy9kb3ducmV2LnhtbERPzWrCQBC+F3yHZQQvoptqKRJdRQqF&#10;4kFb4wOM2TEJ7s7G7GrSPr0rCL3Nx/c7i1VnjbhR4yvHCl7HCQji3OmKCwWH7HM0A+EDskbjmBT8&#10;kofVsveywFS7ln/otg+FiCHsU1RQhlCnUvq8JIt+7GriyJ1cYzFE2BRSN9jGcGvkJEnepcWKY0OJ&#10;NX2UlJ/3V6sguwyD+d5tTJvtjlN5vGynf9etUoN+t56DCNSFf/HT/aXj/MnsDR7fxB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qiU/xAAAAN0AAAAPAAAAAAAAAAAA&#10;AAAAAKECAABkcnMvZG93bnJldi54bWxQSwUGAAAAAAQABAD5AAAAkgMAAAAA&#10;" strokecolor="#231f20" strokeweight=".5pt"/>
                <w10:anchorlock/>
              </v:group>
            </w:pict>
          </mc:Fallback>
        </mc:AlternateContent>
      </w:r>
    </w:p>
    <w:p w14:paraId="40580C55" w14:textId="77777777" w:rsidR="00DE575E" w:rsidRDefault="00DE575E">
      <w:pPr>
        <w:pStyle w:val="BodyText"/>
        <w:spacing w:before="7"/>
        <w:rPr>
          <w:rFonts w:ascii="AdonisC"/>
          <w:i/>
          <w:sz w:val="19"/>
        </w:rPr>
      </w:pPr>
    </w:p>
    <w:p w14:paraId="0CDDEF80" w14:textId="77777777" w:rsidR="00DE575E" w:rsidRDefault="002E7560">
      <w:pPr>
        <w:pStyle w:val="BodyText"/>
        <w:spacing w:before="1" w:line="252" w:lineRule="auto"/>
        <w:ind w:left="250" w:right="409" w:firstLine="283"/>
        <w:jc w:val="both"/>
      </w:pPr>
      <w:r>
        <w:rPr>
          <w:color w:val="231F20"/>
        </w:rPr>
        <w:t>Сутнісною   відмінністю   принципів    належного    вря</w:t>
      </w:r>
      <w:r>
        <w:rPr>
          <w:color w:val="231F20"/>
        </w:rPr>
        <w:t xml:space="preserve">дування    в країнах-учасницях ЄС та України є те, що вони – не просто ідеї, засновані на чиїсь добрій волі, а реально виконуються на всіх рівнях публічного адміністрування, дієво захищаються від пору- шень незалежними органами контролю, системою юстиції, </w:t>
      </w:r>
      <w:r>
        <w:rPr>
          <w:color w:val="231F20"/>
        </w:rPr>
        <w:t>судо- вою владою та парламентським</w:t>
      </w:r>
      <w:r>
        <w:rPr>
          <w:color w:val="231F20"/>
          <w:spacing w:val="20"/>
        </w:rPr>
        <w:t xml:space="preserve"> </w:t>
      </w:r>
      <w:r>
        <w:rPr>
          <w:color w:val="231F20"/>
        </w:rPr>
        <w:t>контролем.</w:t>
      </w:r>
    </w:p>
    <w:p w14:paraId="3939B414" w14:textId="77777777" w:rsidR="00DE575E" w:rsidRDefault="002E7560">
      <w:pPr>
        <w:pStyle w:val="Heading5"/>
        <w:spacing w:before="3" w:line="252" w:lineRule="auto"/>
        <w:ind w:left="250" w:right="408" w:firstLine="283"/>
        <w:jc w:val="both"/>
        <w:rPr>
          <w:b w:val="0"/>
        </w:rPr>
      </w:pPr>
      <w:r>
        <w:rPr>
          <w:color w:val="231F20"/>
        </w:rPr>
        <w:t>Отже, сутністю принципів належного врядування в краї- нах-учасницях ЄС є те, що вони реально виконуються на всіх рівнях публічного адміністрування, адже дієво захищені від порушень – громадським контролем, вико</w:t>
      </w:r>
      <w:r>
        <w:rPr>
          <w:color w:val="231F20"/>
        </w:rPr>
        <w:t>навчим контролем системи органів юстиції, судовою владою та парламентським контролем</w:t>
      </w:r>
      <w:r>
        <w:rPr>
          <w:b w:val="0"/>
          <w:color w:val="231F20"/>
        </w:rPr>
        <w:t>.</w:t>
      </w:r>
    </w:p>
    <w:p w14:paraId="75BE2E0B" w14:textId="77777777" w:rsidR="00DE575E" w:rsidRDefault="002E7560">
      <w:pPr>
        <w:pStyle w:val="BodyText"/>
        <w:spacing w:before="3" w:line="252" w:lineRule="auto"/>
        <w:ind w:left="250" w:right="406" w:firstLine="283"/>
        <w:jc w:val="both"/>
      </w:pPr>
      <w:r>
        <w:rPr>
          <w:color w:val="231F20"/>
        </w:rPr>
        <w:t xml:space="preserve">У сфері права Європейського Економічного Співтовариства Європейський </w:t>
      </w:r>
      <w:r>
        <w:rPr>
          <w:color w:val="231F20"/>
          <w:spacing w:val="-3"/>
        </w:rPr>
        <w:t xml:space="preserve">суд </w:t>
      </w:r>
      <w:r>
        <w:rPr>
          <w:color w:val="231F20"/>
        </w:rPr>
        <w:t>визначив багато принципів адміністративного права, давши посилання на його  загальні  принципи,  характерні  на сьогодні для держав-членів ЄС. У судовій практиці Європейсь- кого суду з прав людини визначаються вагомі принципи, що мають виконуватися всіма д</w:t>
      </w:r>
      <w:r>
        <w:rPr>
          <w:color w:val="231F20"/>
        </w:rPr>
        <w:t>ержавами-членами ЄС, зокрема це: принцип адміністрування через закон; принципи пропорційності, юридич- ної визначеності, захисту законних очікувань, недопущення дискримінації, право на слухання в ході адміністративних проце- дур щодо ухвалення рішень; забе</w:t>
      </w:r>
      <w:r>
        <w:rPr>
          <w:color w:val="231F20"/>
        </w:rPr>
        <w:t>зпечувальні заходи; справедливі умови доступу громадян до адміністративних судів; позадоговірна відповідальність публічної</w:t>
      </w:r>
      <w:r>
        <w:rPr>
          <w:color w:val="231F20"/>
          <w:spacing w:val="10"/>
        </w:rPr>
        <w:t xml:space="preserve"> </w:t>
      </w:r>
      <w:r>
        <w:rPr>
          <w:color w:val="231F20"/>
        </w:rPr>
        <w:t>адміністрації</w:t>
      </w:r>
      <w:r>
        <w:rPr>
          <w:color w:val="231F20"/>
          <w:position w:val="7"/>
          <w:sz w:val="12"/>
        </w:rPr>
        <w:t>1</w:t>
      </w:r>
      <w:r>
        <w:rPr>
          <w:color w:val="231F20"/>
        </w:rPr>
        <w:t>.</w:t>
      </w:r>
    </w:p>
    <w:p w14:paraId="1BF9407A" w14:textId="77777777" w:rsidR="00DE575E" w:rsidRDefault="002E7560">
      <w:pPr>
        <w:pStyle w:val="BodyText"/>
        <w:spacing w:before="6" w:line="252" w:lineRule="auto"/>
        <w:ind w:left="250" w:right="408" w:firstLine="283"/>
        <w:jc w:val="both"/>
      </w:pPr>
      <w:r>
        <w:rPr>
          <w:color w:val="231F20"/>
          <w:spacing w:val="-3"/>
        </w:rPr>
        <w:t xml:space="preserve">Також </w:t>
      </w:r>
      <w:r>
        <w:rPr>
          <w:color w:val="231F20"/>
        </w:rPr>
        <w:t>у системі  принципів  належного  врядування  вагому  роль відграють висвітлені у «Білій Книзі» європейського вр</w:t>
      </w:r>
      <w:r>
        <w:rPr>
          <w:color w:val="231F20"/>
        </w:rPr>
        <w:t xml:space="preserve">яду- вання п’ять принципів ефективного врядування – відкритості, участі, підзвітності, ефективності і злагодженості. Кожен  прин-  цип є важливим для більш демократичного  врядування,  адже  вони  підтримують  демократію  та  принцип  верховенства  права  </w:t>
      </w:r>
      <w:r>
        <w:rPr>
          <w:color w:val="231F20"/>
        </w:rPr>
        <w:t xml:space="preserve"> в державах-членах ЄС і можуть бути застосовані на всіх рівнях влади – світовому, європейському, національному, регіональному   й</w:t>
      </w:r>
      <w:r>
        <w:rPr>
          <w:color w:val="231F20"/>
          <w:spacing w:val="3"/>
        </w:rPr>
        <w:t xml:space="preserve"> </w:t>
      </w:r>
      <w:r>
        <w:rPr>
          <w:color w:val="231F20"/>
        </w:rPr>
        <w:t>місцевому</w:t>
      </w:r>
      <w:r>
        <w:rPr>
          <w:color w:val="231F20"/>
          <w:position w:val="7"/>
          <w:sz w:val="12"/>
        </w:rPr>
        <w:t>2</w:t>
      </w:r>
      <w:r>
        <w:rPr>
          <w:color w:val="231F20"/>
        </w:rPr>
        <w:t>.</w:t>
      </w:r>
    </w:p>
    <w:p w14:paraId="442B5220" w14:textId="77777777" w:rsidR="00DE575E" w:rsidRDefault="00DE575E">
      <w:pPr>
        <w:pStyle w:val="BodyText"/>
        <w:rPr>
          <w:sz w:val="20"/>
        </w:rPr>
      </w:pPr>
    </w:p>
    <w:p w14:paraId="4CFA6C3E" w14:textId="77777777" w:rsidR="00DE575E" w:rsidRDefault="00DE575E">
      <w:pPr>
        <w:pStyle w:val="BodyText"/>
        <w:rPr>
          <w:sz w:val="20"/>
        </w:rPr>
      </w:pPr>
    </w:p>
    <w:p w14:paraId="3E175F77" w14:textId="0C4284BE" w:rsidR="00DE575E" w:rsidRDefault="002E7560">
      <w:pPr>
        <w:pStyle w:val="BodyText"/>
        <w:spacing w:before="10"/>
        <w:rPr>
          <w:sz w:val="15"/>
        </w:rPr>
      </w:pPr>
      <w:r>
        <w:rPr>
          <w:noProof/>
        </w:rPr>
        <mc:AlternateContent>
          <mc:Choice Requires="wps">
            <w:drawing>
              <wp:anchor distT="0" distB="0" distL="0" distR="0" simplePos="0" relativeHeight="2824" behindDoc="0" locked="0" layoutInCell="1" allowOverlap="1" wp14:anchorId="142C9668" wp14:editId="52511940">
                <wp:simplePos x="0" y="0"/>
                <wp:positionH relativeFrom="page">
                  <wp:posOffset>539750</wp:posOffset>
                </wp:positionH>
                <wp:positionV relativeFrom="paragraph">
                  <wp:posOffset>146050</wp:posOffset>
                </wp:positionV>
                <wp:extent cx="1080135" cy="0"/>
                <wp:effectExtent l="6350" t="19050" r="31115" b="19050"/>
                <wp:wrapTopAndBottom/>
                <wp:docPr id="1282"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A9F05" id="Line_x0020_1281" o:spid="_x0000_s1026" style="position:absolute;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5pt" to="127.5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cUJy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" strokecolor="#231f20" strokeweight=".5pt">
                <w10:wrap type="topAndBottom" anchorx="page"/>
              </v:line>
            </w:pict>
          </mc:Fallback>
        </mc:AlternateContent>
      </w:r>
    </w:p>
    <w:p w14:paraId="21B62303"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 xml:space="preserve">Європейські принципи державного управління. Публікація СІГМА. № 27. 1999. URL: http:// </w:t>
      </w:r>
      <w:hyperlink r:id="rId21">
        <w:r>
          <w:rPr>
            <w:color w:val="231F20"/>
            <w:sz w:val="16"/>
          </w:rPr>
          <w:t>www.sigmaweb.org/publications/Sergei_Rus_SP27_99Rev1.pdf</w:t>
        </w:r>
      </w:hyperlink>
    </w:p>
    <w:p w14:paraId="6369E834" w14:textId="77777777" w:rsidR="00DE575E" w:rsidRDefault="002E7560">
      <w:pPr>
        <w:spacing w:before="26" w:line="204" w:lineRule="auto"/>
        <w:ind w:left="250" w:right="410"/>
        <w:jc w:val="both"/>
        <w:rPr>
          <w:sz w:val="16"/>
        </w:rPr>
      </w:pPr>
      <w:r>
        <w:rPr>
          <w:color w:val="231F20"/>
          <w:position w:val="5"/>
          <w:sz w:val="9"/>
        </w:rPr>
        <w:t xml:space="preserve">2 </w:t>
      </w:r>
      <w:r>
        <w:rPr>
          <w:color w:val="231F20"/>
          <w:sz w:val="16"/>
        </w:rPr>
        <w:t>Білі книги (англ. White Papers) – це авторитетний звіт чи довідник, який коротко інформує читачів про складну проблему та представляє ф</w:t>
      </w:r>
      <w:r>
        <w:rPr>
          <w:color w:val="231F20"/>
          <w:sz w:val="16"/>
        </w:rPr>
        <w:t>ілософію органу, що видав це питання. Білі книги Європейської Комісії містять пропозиції щодо діяльності ЄС.</w:t>
      </w:r>
    </w:p>
    <w:p w14:paraId="70FE02FB" w14:textId="77777777" w:rsidR="00DE575E" w:rsidRDefault="00DE575E">
      <w:pPr>
        <w:pStyle w:val="BodyText"/>
        <w:spacing w:before="5"/>
        <w:rPr>
          <w:sz w:val="12"/>
        </w:rPr>
      </w:pPr>
    </w:p>
    <w:p w14:paraId="5BC54D32" w14:textId="77777777" w:rsidR="00DE575E" w:rsidRDefault="002E7560">
      <w:pPr>
        <w:spacing w:before="92"/>
        <w:ind w:right="411"/>
        <w:jc w:val="right"/>
        <w:rPr>
          <w:rFonts w:ascii="Times New Roman"/>
          <w:sz w:val="20"/>
        </w:rPr>
      </w:pPr>
      <w:r>
        <w:rPr>
          <w:rFonts w:ascii="Times New Roman"/>
          <w:color w:val="231F20"/>
          <w:w w:val="90"/>
          <w:sz w:val="20"/>
        </w:rPr>
        <w:t>51</w:t>
      </w:r>
    </w:p>
    <w:p w14:paraId="3B2F544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1C1DF59"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5A216DA" w14:textId="41F4F6F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D92C4B6" wp14:editId="57C1D428">
                <wp:extent cx="4140200" cy="6350"/>
                <wp:effectExtent l="0" t="0" r="12700" b="6350"/>
                <wp:docPr id="1280"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81" name="Line 128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B31F57" id="Group_x0020_127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xT6tPgAIAAJwFAAAO&#10;AAAAAAAAAAAAAAAAACwCAABkcnMvZTJvRG9jLnhtbFBLAQItABQABgAIAAAAIQBMp7CQ2QAAAAMB&#10;AAAPAAAAAAAAAAAAAAAAANgEAABkcnMvZG93bnJldi54bWxQSwUGAAAAAAQABADzAAAA3gUAAAAA&#10;">
                <v:line id="Line_x0020_128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2Gp8QAAADdAAAADwAAAGRycy9kb3ducmV2LnhtbERPzYrCMBC+L/gOYQQvi6YqLFKNIsLC&#10;4kF37T7A2IxtMZnUJtrq028EYW/z8f3OYtVZI27U+MqxgvEoAUGcO11xoeA3+xzOQPiArNE4JgV3&#10;8rBa9t4WmGrX8g/dDqEQMYR9igrKEOpUSp+XZNGPXE0cuZNrLIYIm0LqBtsYbo2cJMmHtFhxbCix&#10;pk1J+flwtQqyy3sw3/utabP9cSqPl930cd0pNeh36zmIQF34F7/cXzrOn8zG8Pwmni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3YanxAAAAN0AAAAPAAAAAAAAAAAA&#10;AAAAAKECAABkcnMvZG93bnJldi54bWxQSwUGAAAAAAQABAD5AAAAkgMAAAAA&#10;" strokecolor="#231f20" strokeweight=".5pt"/>
                <w10:anchorlock/>
              </v:group>
            </w:pict>
          </mc:Fallback>
        </mc:AlternateContent>
      </w:r>
    </w:p>
    <w:p w14:paraId="5653618A" w14:textId="77777777" w:rsidR="00DE575E" w:rsidRDefault="00DE575E">
      <w:pPr>
        <w:pStyle w:val="BodyText"/>
        <w:spacing w:before="7"/>
        <w:rPr>
          <w:rFonts w:ascii="AdonisC"/>
          <w:i/>
          <w:sz w:val="11"/>
        </w:rPr>
      </w:pPr>
    </w:p>
    <w:p w14:paraId="57D1DBC0" w14:textId="77777777" w:rsidR="00DE575E" w:rsidRDefault="002E7560">
      <w:pPr>
        <w:pStyle w:val="Heading5"/>
        <w:numPr>
          <w:ilvl w:val="2"/>
          <w:numId w:val="297"/>
        </w:numPr>
        <w:tabs>
          <w:tab w:val="left" w:pos="1383"/>
        </w:tabs>
        <w:spacing w:before="101"/>
      </w:pPr>
      <w:r>
        <w:rPr>
          <w:color w:val="231F20"/>
        </w:rPr>
        <w:t>Основні принципи належного</w:t>
      </w:r>
      <w:r>
        <w:rPr>
          <w:color w:val="231F20"/>
          <w:spacing w:val="-5"/>
        </w:rPr>
        <w:t xml:space="preserve"> </w:t>
      </w:r>
      <w:r>
        <w:rPr>
          <w:color w:val="231F20"/>
        </w:rPr>
        <w:t>врядування</w:t>
      </w:r>
    </w:p>
    <w:p w14:paraId="28E82ED1" w14:textId="77777777" w:rsidR="00DE575E" w:rsidRDefault="00DE575E">
      <w:pPr>
        <w:pStyle w:val="BodyText"/>
        <w:spacing w:before="6"/>
        <w:rPr>
          <w:b/>
          <w:sz w:val="24"/>
        </w:rPr>
      </w:pPr>
    </w:p>
    <w:p w14:paraId="6E58C823" w14:textId="77777777" w:rsidR="00DE575E" w:rsidRDefault="002E7560">
      <w:pPr>
        <w:ind w:left="817"/>
        <w:rPr>
          <w:sz w:val="21"/>
        </w:rPr>
      </w:pPr>
      <w:r>
        <w:rPr>
          <w:i/>
          <w:color w:val="231F20"/>
          <w:sz w:val="21"/>
        </w:rPr>
        <w:t xml:space="preserve">Основними групами принципів </w:t>
      </w:r>
      <w:r>
        <w:rPr>
          <w:color w:val="231F20"/>
          <w:sz w:val="21"/>
        </w:rPr>
        <w:t>належного врядування є:</w:t>
      </w:r>
    </w:p>
    <w:p w14:paraId="5F02DA1A" w14:textId="77777777" w:rsidR="00DE575E" w:rsidRDefault="002E7560">
      <w:pPr>
        <w:pStyle w:val="ListParagraph"/>
        <w:numPr>
          <w:ilvl w:val="1"/>
          <w:numId w:val="298"/>
        </w:numPr>
        <w:tabs>
          <w:tab w:val="left" w:pos="1101"/>
        </w:tabs>
        <w:spacing w:before="21" w:line="259" w:lineRule="auto"/>
        <w:ind w:right="128" w:firstLine="284"/>
        <w:jc w:val="left"/>
        <w:rPr>
          <w:sz w:val="21"/>
        </w:rPr>
      </w:pPr>
      <w:r>
        <w:rPr>
          <w:color w:val="231F20"/>
          <w:sz w:val="21"/>
        </w:rPr>
        <w:t>принцип забезпечення участі в ухваленні рішень і належного реагування;</w:t>
      </w:r>
    </w:p>
    <w:p w14:paraId="0B760D29" w14:textId="77777777" w:rsidR="00DE575E" w:rsidRDefault="002E7560">
      <w:pPr>
        <w:pStyle w:val="ListParagraph"/>
        <w:numPr>
          <w:ilvl w:val="1"/>
          <w:numId w:val="298"/>
        </w:numPr>
        <w:tabs>
          <w:tab w:val="left" w:pos="1101"/>
        </w:tabs>
        <w:spacing w:before="2"/>
        <w:ind w:firstLine="284"/>
        <w:jc w:val="left"/>
        <w:rPr>
          <w:sz w:val="21"/>
        </w:rPr>
      </w:pPr>
      <w:r>
        <w:rPr>
          <w:color w:val="231F20"/>
          <w:sz w:val="21"/>
        </w:rPr>
        <w:t>принцип відкритості і</w:t>
      </w:r>
      <w:r>
        <w:rPr>
          <w:color w:val="231F20"/>
          <w:spacing w:val="-1"/>
          <w:sz w:val="21"/>
        </w:rPr>
        <w:t xml:space="preserve"> </w:t>
      </w:r>
      <w:r>
        <w:rPr>
          <w:color w:val="231F20"/>
          <w:sz w:val="21"/>
        </w:rPr>
        <w:t>прозорості;</w:t>
      </w:r>
    </w:p>
    <w:p w14:paraId="4AE39F15" w14:textId="77777777" w:rsidR="00DE575E" w:rsidRDefault="002E7560">
      <w:pPr>
        <w:pStyle w:val="ListParagraph"/>
        <w:numPr>
          <w:ilvl w:val="1"/>
          <w:numId w:val="298"/>
        </w:numPr>
        <w:tabs>
          <w:tab w:val="left" w:pos="1101"/>
        </w:tabs>
        <w:spacing w:before="21"/>
        <w:ind w:firstLine="284"/>
        <w:jc w:val="left"/>
        <w:rPr>
          <w:sz w:val="21"/>
        </w:rPr>
      </w:pPr>
      <w:r>
        <w:rPr>
          <w:color w:val="231F20"/>
          <w:sz w:val="21"/>
        </w:rPr>
        <w:t>принцип доброчесності й етичної</w:t>
      </w:r>
      <w:r>
        <w:rPr>
          <w:color w:val="231F20"/>
          <w:spacing w:val="-4"/>
          <w:sz w:val="21"/>
        </w:rPr>
        <w:t xml:space="preserve"> </w:t>
      </w:r>
      <w:r>
        <w:rPr>
          <w:color w:val="231F20"/>
          <w:sz w:val="21"/>
        </w:rPr>
        <w:t>поведінки;</w:t>
      </w:r>
    </w:p>
    <w:p w14:paraId="195AC385" w14:textId="77777777" w:rsidR="00DE575E" w:rsidRDefault="002E7560">
      <w:pPr>
        <w:pStyle w:val="ListParagraph"/>
        <w:numPr>
          <w:ilvl w:val="1"/>
          <w:numId w:val="298"/>
        </w:numPr>
        <w:tabs>
          <w:tab w:val="left" w:pos="1101"/>
        </w:tabs>
        <w:spacing w:before="21"/>
        <w:ind w:firstLine="284"/>
        <w:jc w:val="left"/>
        <w:rPr>
          <w:sz w:val="21"/>
        </w:rPr>
      </w:pPr>
      <w:r>
        <w:rPr>
          <w:color w:val="231F20"/>
          <w:sz w:val="21"/>
        </w:rPr>
        <w:t>принцип ефективності, компетентності і</w:t>
      </w:r>
      <w:r>
        <w:rPr>
          <w:color w:val="231F20"/>
          <w:spacing w:val="-3"/>
          <w:sz w:val="21"/>
        </w:rPr>
        <w:t xml:space="preserve"> </w:t>
      </w:r>
      <w:r>
        <w:rPr>
          <w:color w:val="231F20"/>
          <w:sz w:val="21"/>
        </w:rPr>
        <w:t>спроможності;</w:t>
      </w:r>
    </w:p>
    <w:p w14:paraId="4A0B8574" w14:textId="77777777" w:rsidR="00DE575E" w:rsidRDefault="002E7560">
      <w:pPr>
        <w:pStyle w:val="ListParagraph"/>
        <w:numPr>
          <w:ilvl w:val="1"/>
          <w:numId w:val="298"/>
        </w:numPr>
        <w:tabs>
          <w:tab w:val="left" w:pos="1101"/>
        </w:tabs>
        <w:spacing w:before="20"/>
        <w:ind w:firstLine="284"/>
        <w:jc w:val="left"/>
        <w:rPr>
          <w:sz w:val="21"/>
        </w:rPr>
      </w:pPr>
      <w:r>
        <w:rPr>
          <w:color w:val="231F20"/>
          <w:sz w:val="21"/>
        </w:rPr>
        <w:t>принцип інноваційності та відкритості до</w:t>
      </w:r>
      <w:r>
        <w:rPr>
          <w:color w:val="231F20"/>
          <w:spacing w:val="-4"/>
          <w:sz w:val="21"/>
        </w:rPr>
        <w:t xml:space="preserve"> </w:t>
      </w:r>
      <w:r>
        <w:rPr>
          <w:color w:val="231F20"/>
          <w:sz w:val="21"/>
        </w:rPr>
        <w:t>змін;</w:t>
      </w:r>
    </w:p>
    <w:p w14:paraId="370B9F90" w14:textId="77777777" w:rsidR="00DE575E" w:rsidRDefault="002E7560">
      <w:pPr>
        <w:pStyle w:val="ListParagraph"/>
        <w:numPr>
          <w:ilvl w:val="1"/>
          <w:numId w:val="298"/>
        </w:numPr>
        <w:tabs>
          <w:tab w:val="left" w:pos="1101"/>
        </w:tabs>
        <w:spacing w:before="21"/>
        <w:ind w:firstLine="284"/>
        <w:jc w:val="left"/>
        <w:rPr>
          <w:sz w:val="21"/>
        </w:rPr>
      </w:pPr>
      <w:r>
        <w:rPr>
          <w:color w:val="231F20"/>
          <w:sz w:val="21"/>
        </w:rPr>
        <w:t>принцип сталості та довгострокової</w:t>
      </w:r>
      <w:r>
        <w:rPr>
          <w:color w:val="231F20"/>
          <w:spacing w:val="-3"/>
          <w:sz w:val="21"/>
        </w:rPr>
        <w:t xml:space="preserve"> </w:t>
      </w:r>
      <w:r>
        <w:rPr>
          <w:color w:val="231F20"/>
          <w:sz w:val="21"/>
        </w:rPr>
        <w:t>орієнтованості;</w:t>
      </w:r>
    </w:p>
    <w:p w14:paraId="53F52AC8" w14:textId="77777777" w:rsidR="00DE575E" w:rsidRDefault="002E7560">
      <w:pPr>
        <w:pStyle w:val="ListParagraph"/>
        <w:numPr>
          <w:ilvl w:val="1"/>
          <w:numId w:val="298"/>
        </w:numPr>
        <w:tabs>
          <w:tab w:val="left" w:pos="1101"/>
        </w:tabs>
        <w:spacing w:before="21" w:line="259" w:lineRule="auto"/>
        <w:ind w:right="122" w:firstLine="284"/>
        <w:jc w:val="left"/>
        <w:rPr>
          <w:sz w:val="21"/>
        </w:rPr>
      </w:pPr>
      <w:r>
        <w:rPr>
          <w:color w:val="231F20"/>
          <w:spacing w:val="3"/>
          <w:sz w:val="21"/>
        </w:rPr>
        <w:t xml:space="preserve">принцип поваги </w:t>
      </w:r>
      <w:r>
        <w:rPr>
          <w:color w:val="231F20"/>
          <w:spacing w:val="1"/>
          <w:sz w:val="21"/>
        </w:rPr>
        <w:t xml:space="preserve">до </w:t>
      </w:r>
      <w:r>
        <w:rPr>
          <w:color w:val="231F20"/>
          <w:spacing w:val="2"/>
          <w:sz w:val="21"/>
        </w:rPr>
        <w:t xml:space="preserve">прав людини </w:t>
      </w:r>
      <w:r>
        <w:rPr>
          <w:color w:val="231F20"/>
          <w:spacing w:val="1"/>
          <w:sz w:val="21"/>
        </w:rPr>
        <w:t xml:space="preserve">та </w:t>
      </w:r>
      <w:r>
        <w:rPr>
          <w:color w:val="231F20"/>
          <w:spacing w:val="2"/>
          <w:sz w:val="21"/>
        </w:rPr>
        <w:t xml:space="preserve">культурної </w:t>
      </w:r>
      <w:r>
        <w:rPr>
          <w:color w:val="231F20"/>
          <w:spacing w:val="5"/>
          <w:sz w:val="21"/>
        </w:rPr>
        <w:t>різнома- нітності;</w:t>
      </w:r>
    </w:p>
    <w:p w14:paraId="7F7721D4" w14:textId="77777777" w:rsidR="00DE575E" w:rsidRDefault="002E7560">
      <w:pPr>
        <w:pStyle w:val="ListParagraph"/>
        <w:numPr>
          <w:ilvl w:val="1"/>
          <w:numId w:val="298"/>
        </w:numPr>
        <w:tabs>
          <w:tab w:val="left" w:pos="1101"/>
        </w:tabs>
        <w:spacing w:before="2" w:line="259" w:lineRule="auto"/>
        <w:ind w:right="126" w:firstLine="284"/>
        <w:jc w:val="right"/>
        <w:rPr>
          <w:sz w:val="21"/>
        </w:rPr>
      </w:pPr>
      <w:r>
        <w:rPr>
          <w:color w:val="231F20"/>
          <w:sz w:val="21"/>
        </w:rPr>
        <w:t>принцип</w:t>
      </w:r>
      <w:r>
        <w:rPr>
          <w:color w:val="231F20"/>
          <w:spacing w:val="-9"/>
          <w:sz w:val="21"/>
        </w:rPr>
        <w:t xml:space="preserve"> </w:t>
      </w:r>
      <w:r>
        <w:rPr>
          <w:color w:val="231F20"/>
          <w:sz w:val="21"/>
        </w:rPr>
        <w:t>забезпечення</w:t>
      </w:r>
      <w:r>
        <w:rPr>
          <w:color w:val="231F20"/>
          <w:spacing w:val="-9"/>
          <w:sz w:val="21"/>
        </w:rPr>
        <w:t xml:space="preserve"> </w:t>
      </w:r>
      <w:r>
        <w:rPr>
          <w:color w:val="231F20"/>
          <w:sz w:val="21"/>
        </w:rPr>
        <w:t>соціальної</w:t>
      </w:r>
      <w:r>
        <w:rPr>
          <w:color w:val="231F20"/>
          <w:spacing w:val="-9"/>
          <w:sz w:val="21"/>
        </w:rPr>
        <w:t xml:space="preserve"> </w:t>
      </w:r>
      <w:r>
        <w:rPr>
          <w:color w:val="231F20"/>
          <w:sz w:val="21"/>
        </w:rPr>
        <w:t>згуртованості</w:t>
      </w:r>
      <w:r>
        <w:rPr>
          <w:color w:val="231F20"/>
          <w:spacing w:val="-9"/>
          <w:sz w:val="21"/>
        </w:rPr>
        <w:t xml:space="preserve"> </w:t>
      </w:r>
      <w:r>
        <w:rPr>
          <w:color w:val="231F20"/>
          <w:sz w:val="21"/>
        </w:rPr>
        <w:t>і</w:t>
      </w:r>
      <w:r>
        <w:rPr>
          <w:color w:val="231F20"/>
          <w:spacing w:val="-10"/>
          <w:sz w:val="21"/>
        </w:rPr>
        <w:t xml:space="preserve"> </w:t>
      </w:r>
      <w:r>
        <w:rPr>
          <w:color w:val="231F20"/>
          <w:sz w:val="21"/>
        </w:rPr>
        <w:t>підзвітності. Для</w:t>
      </w:r>
      <w:r>
        <w:rPr>
          <w:color w:val="231F20"/>
          <w:spacing w:val="28"/>
          <w:sz w:val="21"/>
        </w:rPr>
        <w:t xml:space="preserve"> </w:t>
      </w:r>
      <w:r>
        <w:rPr>
          <w:color w:val="231F20"/>
          <w:sz w:val="21"/>
        </w:rPr>
        <w:t>характеристики</w:t>
      </w:r>
      <w:r>
        <w:rPr>
          <w:color w:val="231F20"/>
          <w:spacing w:val="28"/>
          <w:sz w:val="21"/>
        </w:rPr>
        <w:t xml:space="preserve"> </w:t>
      </w:r>
      <w:r>
        <w:rPr>
          <w:color w:val="231F20"/>
          <w:sz w:val="21"/>
        </w:rPr>
        <w:t>наведених</w:t>
      </w:r>
      <w:r>
        <w:rPr>
          <w:color w:val="231F20"/>
          <w:spacing w:val="28"/>
          <w:sz w:val="21"/>
        </w:rPr>
        <w:t xml:space="preserve"> </w:t>
      </w:r>
      <w:r>
        <w:rPr>
          <w:color w:val="231F20"/>
          <w:sz w:val="21"/>
        </w:rPr>
        <w:t>вище</w:t>
      </w:r>
      <w:r>
        <w:rPr>
          <w:color w:val="231F20"/>
          <w:spacing w:val="28"/>
          <w:sz w:val="21"/>
        </w:rPr>
        <w:t xml:space="preserve"> </w:t>
      </w:r>
      <w:r>
        <w:rPr>
          <w:color w:val="231F20"/>
          <w:sz w:val="21"/>
        </w:rPr>
        <w:t>основних</w:t>
      </w:r>
      <w:r>
        <w:rPr>
          <w:color w:val="231F20"/>
          <w:spacing w:val="28"/>
          <w:sz w:val="21"/>
        </w:rPr>
        <w:t xml:space="preserve"> </w:t>
      </w:r>
      <w:r>
        <w:rPr>
          <w:color w:val="231F20"/>
          <w:sz w:val="21"/>
        </w:rPr>
        <w:t>груп</w:t>
      </w:r>
      <w:r>
        <w:rPr>
          <w:color w:val="231F20"/>
          <w:spacing w:val="28"/>
          <w:sz w:val="21"/>
        </w:rPr>
        <w:t xml:space="preserve"> </w:t>
      </w:r>
      <w:r>
        <w:rPr>
          <w:color w:val="231F20"/>
          <w:sz w:val="21"/>
        </w:rPr>
        <w:t>принципів належного</w:t>
      </w:r>
      <w:r>
        <w:rPr>
          <w:color w:val="231F20"/>
          <w:spacing w:val="-13"/>
          <w:sz w:val="21"/>
        </w:rPr>
        <w:t xml:space="preserve"> </w:t>
      </w:r>
      <w:r>
        <w:rPr>
          <w:color w:val="231F20"/>
          <w:sz w:val="21"/>
        </w:rPr>
        <w:t>врядування</w:t>
      </w:r>
      <w:r>
        <w:rPr>
          <w:color w:val="231F20"/>
          <w:spacing w:val="-13"/>
          <w:sz w:val="21"/>
        </w:rPr>
        <w:t xml:space="preserve"> </w:t>
      </w:r>
      <w:r>
        <w:rPr>
          <w:color w:val="231F20"/>
          <w:sz w:val="21"/>
        </w:rPr>
        <w:t>можуть</w:t>
      </w:r>
      <w:r>
        <w:rPr>
          <w:color w:val="231F20"/>
          <w:spacing w:val="-13"/>
          <w:sz w:val="21"/>
        </w:rPr>
        <w:t xml:space="preserve"> </w:t>
      </w:r>
      <w:r>
        <w:rPr>
          <w:color w:val="231F20"/>
          <w:sz w:val="21"/>
        </w:rPr>
        <w:t>використовуватися</w:t>
      </w:r>
      <w:r>
        <w:rPr>
          <w:color w:val="231F20"/>
          <w:spacing w:val="-13"/>
          <w:sz w:val="21"/>
        </w:rPr>
        <w:t xml:space="preserve"> </w:t>
      </w:r>
      <w:r>
        <w:rPr>
          <w:color w:val="231F20"/>
          <w:sz w:val="21"/>
        </w:rPr>
        <w:t>й</w:t>
      </w:r>
      <w:r>
        <w:rPr>
          <w:color w:val="231F20"/>
          <w:spacing w:val="-14"/>
          <w:sz w:val="21"/>
        </w:rPr>
        <w:t xml:space="preserve"> </w:t>
      </w:r>
      <w:r>
        <w:rPr>
          <w:color w:val="231F20"/>
          <w:sz w:val="21"/>
        </w:rPr>
        <w:t>інші</w:t>
      </w:r>
      <w:r>
        <w:rPr>
          <w:color w:val="231F20"/>
          <w:spacing w:val="-13"/>
          <w:sz w:val="21"/>
        </w:rPr>
        <w:t xml:space="preserve"> </w:t>
      </w:r>
      <w:r>
        <w:rPr>
          <w:color w:val="231F20"/>
          <w:sz w:val="21"/>
        </w:rPr>
        <w:t>принципи.</w:t>
      </w:r>
    </w:p>
    <w:p w14:paraId="1859C6CB" w14:textId="77777777" w:rsidR="00DE575E" w:rsidRDefault="00DE575E">
      <w:pPr>
        <w:pStyle w:val="BodyText"/>
        <w:rPr>
          <w:sz w:val="23"/>
        </w:rPr>
      </w:pPr>
    </w:p>
    <w:p w14:paraId="472C0820" w14:textId="77777777" w:rsidR="00DE575E" w:rsidRDefault="002E7560">
      <w:pPr>
        <w:pStyle w:val="Heading6"/>
        <w:numPr>
          <w:ilvl w:val="3"/>
          <w:numId w:val="297"/>
        </w:numPr>
        <w:tabs>
          <w:tab w:val="left" w:pos="1628"/>
        </w:tabs>
        <w:spacing w:line="259" w:lineRule="auto"/>
        <w:ind w:right="129" w:firstLine="284"/>
        <w:jc w:val="left"/>
      </w:pPr>
      <w:r>
        <w:rPr>
          <w:color w:val="231F20"/>
        </w:rPr>
        <w:t xml:space="preserve">Принцип  забезпечення  участі   в   ухваленні   рішень </w:t>
      </w:r>
      <w:r>
        <w:rPr>
          <w:color w:val="231F20"/>
        </w:rPr>
        <w:t>і належного</w:t>
      </w:r>
      <w:r>
        <w:rPr>
          <w:color w:val="231F20"/>
          <w:spacing w:val="-3"/>
        </w:rPr>
        <w:t xml:space="preserve"> </w:t>
      </w:r>
      <w:r>
        <w:rPr>
          <w:color w:val="231F20"/>
        </w:rPr>
        <w:t>реагування</w:t>
      </w:r>
    </w:p>
    <w:p w14:paraId="7F409E2B" w14:textId="77777777" w:rsidR="00DE575E" w:rsidRDefault="002E7560">
      <w:pPr>
        <w:pStyle w:val="BodyText"/>
        <w:spacing w:before="2" w:line="259" w:lineRule="auto"/>
        <w:ind w:left="533" w:right="126" w:firstLine="283"/>
        <w:jc w:val="both"/>
      </w:pPr>
      <w:r>
        <w:rPr>
          <w:color w:val="231F20"/>
        </w:rPr>
        <w:t xml:space="preserve">У країнах-учасницях ЄС діє консенсусна модель управлінської </w:t>
      </w:r>
      <w:r>
        <w:rPr>
          <w:color w:val="231F20"/>
          <w:spacing w:val="-3"/>
        </w:rPr>
        <w:t xml:space="preserve">культури, </w:t>
      </w:r>
      <w:r>
        <w:rPr>
          <w:color w:val="231F20"/>
        </w:rPr>
        <w:t>що передбачає існування згоди між громадянами з приводу механізмів ухвалення публічних рішень, а також стосовно головних</w:t>
      </w:r>
      <w:r>
        <w:rPr>
          <w:color w:val="231F20"/>
          <w:spacing w:val="-11"/>
        </w:rPr>
        <w:t xml:space="preserve"> </w:t>
      </w:r>
      <w:r>
        <w:rPr>
          <w:color w:val="231F20"/>
        </w:rPr>
        <w:t>проблем,</w:t>
      </w:r>
      <w:r>
        <w:rPr>
          <w:color w:val="231F20"/>
          <w:spacing w:val="-11"/>
        </w:rPr>
        <w:t xml:space="preserve"> </w:t>
      </w:r>
      <w:r>
        <w:rPr>
          <w:color w:val="231F20"/>
        </w:rPr>
        <w:t>які</w:t>
      </w:r>
      <w:r>
        <w:rPr>
          <w:color w:val="231F20"/>
          <w:spacing w:val="-11"/>
        </w:rPr>
        <w:t xml:space="preserve"> </w:t>
      </w:r>
      <w:r>
        <w:rPr>
          <w:color w:val="231F20"/>
        </w:rPr>
        <w:t>постають</w:t>
      </w:r>
      <w:r>
        <w:rPr>
          <w:color w:val="231F20"/>
          <w:spacing w:val="-11"/>
        </w:rPr>
        <w:t xml:space="preserve"> </w:t>
      </w:r>
      <w:r>
        <w:rPr>
          <w:color w:val="231F20"/>
        </w:rPr>
        <w:t>перед</w:t>
      </w:r>
      <w:r>
        <w:rPr>
          <w:color w:val="231F20"/>
          <w:spacing w:val="-11"/>
        </w:rPr>
        <w:t xml:space="preserve"> </w:t>
      </w:r>
      <w:r>
        <w:rPr>
          <w:color w:val="231F20"/>
        </w:rPr>
        <w:t>суспільством,</w:t>
      </w:r>
      <w:r>
        <w:rPr>
          <w:color w:val="231F20"/>
          <w:spacing w:val="-11"/>
        </w:rPr>
        <w:t xml:space="preserve"> </w:t>
      </w:r>
      <w:r>
        <w:rPr>
          <w:color w:val="231F20"/>
        </w:rPr>
        <w:t>і</w:t>
      </w:r>
      <w:r>
        <w:rPr>
          <w:color w:val="231F20"/>
          <w:spacing w:val="-13"/>
        </w:rPr>
        <w:t xml:space="preserve"> </w:t>
      </w:r>
      <w:r>
        <w:rPr>
          <w:color w:val="231F20"/>
        </w:rPr>
        <w:t>засобів</w:t>
      </w:r>
      <w:r>
        <w:rPr>
          <w:color w:val="231F20"/>
          <w:spacing w:val="-11"/>
        </w:rPr>
        <w:t xml:space="preserve"> </w:t>
      </w:r>
      <w:r>
        <w:rPr>
          <w:color w:val="231F20"/>
        </w:rPr>
        <w:t>їх</w:t>
      </w:r>
      <w:r>
        <w:rPr>
          <w:color w:val="231F20"/>
          <w:spacing w:val="-11"/>
        </w:rPr>
        <w:t xml:space="preserve"> </w:t>
      </w:r>
      <w:r>
        <w:rPr>
          <w:color w:val="231F20"/>
        </w:rPr>
        <w:t>вирі- шення.</w:t>
      </w:r>
      <w:r>
        <w:rPr>
          <w:color w:val="231F20"/>
          <w:spacing w:val="-6"/>
        </w:rPr>
        <w:t xml:space="preserve"> </w:t>
      </w:r>
      <w:r>
        <w:rPr>
          <w:color w:val="231F20"/>
        </w:rPr>
        <w:t>При</w:t>
      </w:r>
      <w:r>
        <w:rPr>
          <w:color w:val="231F20"/>
          <w:spacing w:val="-6"/>
        </w:rPr>
        <w:t xml:space="preserve"> </w:t>
      </w:r>
      <w:r>
        <w:rPr>
          <w:color w:val="231F20"/>
        </w:rPr>
        <w:t>цьому</w:t>
      </w:r>
      <w:r>
        <w:rPr>
          <w:color w:val="231F20"/>
          <w:spacing w:val="-6"/>
        </w:rPr>
        <w:t xml:space="preserve"> </w:t>
      </w:r>
      <w:r>
        <w:rPr>
          <w:color w:val="231F20"/>
        </w:rPr>
        <w:t>така</w:t>
      </w:r>
      <w:r>
        <w:rPr>
          <w:color w:val="231F20"/>
          <w:spacing w:val="-6"/>
        </w:rPr>
        <w:t xml:space="preserve"> </w:t>
      </w:r>
      <w:r>
        <w:rPr>
          <w:color w:val="231F20"/>
        </w:rPr>
        <w:t>діяльність</w:t>
      </w:r>
      <w:r>
        <w:rPr>
          <w:color w:val="231F20"/>
          <w:spacing w:val="-6"/>
        </w:rPr>
        <w:t xml:space="preserve"> </w:t>
      </w:r>
      <w:r>
        <w:rPr>
          <w:color w:val="231F20"/>
        </w:rPr>
        <w:t>базується</w:t>
      </w:r>
      <w:r>
        <w:rPr>
          <w:color w:val="231F20"/>
          <w:spacing w:val="-6"/>
        </w:rPr>
        <w:t xml:space="preserve"> </w:t>
      </w:r>
      <w:r>
        <w:rPr>
          <w:color w:val="231F20"/>
        </w:rPr>
        <w:t>на</w:t>
      </w:r>
      <w:r>
        <w:rPr>
          <w:color w:val="231F20"/>
          <w:spacing w:val="-6"/>
        </w:rPr>
        <w:t xml:space="preserve"> </w:t>
      </w:r>
      <w:r>
        <w:rPr>
          <w:color w:val="231F20"/>
        </w:rPr>
        <w:t>участі</w:t>
      </w:r>
      <w:r>
        <w:rPr>
          <w:color w:val="231F20"/>
          <w:spacing w:val="-6"/>
        </w:rPr>
        <w:t xml:space="preserve"> </w:t>
      </w:r>
      <w:r>
        <w:rPr>
          <w:color w:val="231F20"/>
        </w:rPr>
        <w:t>громадськості у процесі ухвалення рішень, залученні учасників до викладення свого бачення формату їхньої участі; наданні учасникам громад- ськості інформації, необхідної для ефективної участі; виз</w:t>
      </w:r>
      <w:r>
        <w:rPr>
          <w:color w:val="231F20"/>
        </w:rPr>
        <w:t>нанні та обговоренні</w:t>
      </w:r>
      <w:r>
        <w:rPr>
          <w:color w:val="231F20"/>
          <w:spacing w:val="-9"/>
        </w:rPr>
        <w:t xml:space="preserve"> </w:t>
      </w:r>
      <w:r>
        <w:rPr>
          <w:color w:val="231F20"/>
        </w:rPr>
        <w:t>потреб</w:t>
      </w:r>
      <w:r>
        <w:rPr>
          <w:color w:val="231F20"/>
          <w:spacing w:val="-9"/>
        </w:rPr>
        <w:t xml:space="preserve"> </w:t>
      </w:r>
      <w:r>
        <w:rPr>
          <w:color w:val="231F20"/>
        </w:rPr>
        <w:t>й</w:t>
      </w:r>
      <w:r>
        <w:rPr>
          <w:color w:val="231F20"/>
          <w:spacing w:val="-10"/>
        </w:rPr>
        <w:t xml:space="preserve"> </w:t>
      </w:r>
      <w:r>
        <w:rPr>
          <w:color w:val="231F20"/>
        </w:rPr>
        <w:t>інтересів</w:t>
      </w:r>
      <w:r>
        <w:rPr>
          <w:color w:val="231F20"/>
          <w:spacing w:val="-9"/>
        </w:rPr>
        <w:t xml:space="preserve"> </w:t>
      </w:r>
      <w:r>
        <w:rPr>
          <w:color w:val="231F20"/>
        </w:rPr>
        <w:t>усіх</w:t>
      </w:r>
      <w:r>
        <w:rPr>
          <w:color w:val="231F20"/>
          <w:spacing w:val="-9"/>
        </w:rPr>
        <w:t xml:space="preserve"> </w:t>
      </w:r>
      <w:r>
        <w:rPr>
          <w:color w:val="231F20"/>
        </w:rPr>
        <w:t>учасників,</w:t>
      </w:r>
      <w:r>
        <w:rPr>
          <w:color w:val="231F20"/>
          <w:spacing w:val="-9"/>
        </w:rPr>
        <w:t xml:space="preserve"> </w:t>
      </w:r>
      <w:r>
        <w:rPr>
          <w:color w:val="231F20"/>
        </w:rPr>
        <w:t>зокрема</w:t>
      </w:r>
      <w:r>
        <w:rPr>
          <w:color w:val="231F20"/>
          <w:spacing w:val="-9"/>
        </w:rPr>
        <w:t xml:space="preserve"> </w:t>
      </w:r>
      <w:r>
        <w:rPr>
          <w:color w:val="231F20"/>
        </w:rPr>
        <w:t>осіб,</w:t>
      </w:r>
      <w:r>
        <w:rPr>
          <w:color w:val="231F20"/>
          <w:spacing w:val="-9"/>
        </w:rPr>
        <w:t xml:space="preserve"> </w:t>
      </w:r>
      <w:r>
        <w:rPr>
          <w:color w:val="231F20"/>
        </w:rPr>
        <w:t>які</w:t>
      </w:r>
      <w:r>
        <w:rPr>
          <w:color w:val="231F20"/>
          <w:spacing w:val="-9"/>
        </w:rPr>
        <w:t xml:space="preserve"> </w:t>
      </w:r>
      <w:r>
        <w:rPr>
          <w:color w:val="231F20"/>
        </w:rPr>
        <w:t>ухва- люють рішення; наданні громадськості можливості впливати на рішення;</w:t>
      </w:r>
      <w:r>
        <w:rPr>
          <w:color w:val="231F20"/>
          <w:spacing w:val="-6"/>
        </w:rPr>
        <w:t xml:space="preserve"> </w:t>
      </w:r>
      <w:r>
        <w:rPr>
          <w:color w:val="231F20"/>
        </w:rPr>
        <w:t>доведенні</w:t>
      </w:r>
      <w:r>
        <w:rPr>
          <w:color w:val="231F20"/>
          <w:spacing w:val="-6"/>
        </w:rPr>
        <w:t xml:space="preserve"> </w:t>
      </w:r>
      <w:r>
        <w:rPr>
          <w:color w:val="231F20"/>
        </w:rPr>
        <w:t>до</w:t>
      </w:r>
      <w:r>
        <w:rPr>
          <w:color w:val="231F20"/>
          <w:spacing w:val="-6"/>
        </w:rPr>
        <w:t xml:space="preserve"> </w:t>
      </w:r>
      <w:r>
        <w:rPr>
          <w:color w:val="231F20"/>
        </w:rPr>
        <w:t>відома</w:t>
      </w:r>
      <w:r>
        <w:rPr>
          <w:color w:val="231F20"/>
          <w:spacing w:val="-6"/>
        </w:rPr>
        <w:t xml:space="preserve"> </w:t>
      </w:r>
      <w:r>
        <w:rPr>
          <w:color w:val="231F20"/>
        </w:rPr>
        <w:t>учасників,</w:t>
      </w:r>
      <w:r>
        <w:rPr>
          <w:color w:val="231F20"/>
          <w:spacing w:val="-6"/>
        </w:rPr>
        <w:t xml:space="preserve"> </w:t>
      </w:r>
      <w:r>
        <w:rPr>
          <w:color w:val="231F20"/>
        </w:rPr>
        <w:t>яким</w:t>
      </w:r>
      <w:r>
        <w:rPr>
          <w:color w:val="231F20"/>
          <w:spacing w:val="-6"/>
        </w:rPr>
        <w:t xml:space="preserve"> </w:t>
      </w:r>
      <w:r>
        <w:rPr>
          <w:color w:val="231F20"/>
        </w:rPr>
        <w:t>чином</w:t>
      </w:r>
      <w:r>
        <w:rPr>
          <w:color w:val="231F20"/>
          <w:spacing w:val="-6"/>
        </w:rPr>
        <w:t xml:space="preserve"> </w:t>
      </w:r>
      <w:r>
        <w:rPr>
          <w:color w:val="231F20"/>
        </w:rPr>
        <w:t>їх</w:t>
      </w:r>
      <w:r>
        <w:rPr>
          <w:color w:val="231F20"/>
          <w:spacing w:val="-6"/>
        </w:rPr>
        <w:t xml:space="preserve"> </w:t>
      </w:r>
      <w:r>
        <w:rPr>
          <w:color w:val="231F20"/>
        </w:rPr>
        <w:t>внесок</w:t>
      </w:r>
      <w:r>
        <w:rPr>
          <w:color w:val="231F20"/>
          <w:spacing w:val="-6"/>
        </w:rPr>
        <w:t xml:space="preserve"> </w:t>
      </w:r>
      <w:r>
        <w:rPr>
          <w:color w:val="231F20"/>
        </w:rPr>
        <w:t>впли- нув на ухвалене</w:t>
      </w:r>
      <w:r>
        <w:rPr>
          <w:color w:val="231F20"/>
          <w:spacing w:val="-2"/>
        </w:rPr>
        <w:t xml:space="preserve"> </w:t>
      </w:r>
      <w:r>
        <w:rPr>
          <w:color w:val="231F20"/>
        </w:rPr>
        <w:t>рішення.</w:t>
      </w:r>
    </w:p>
    <w:p w14:paraId="6D00E30F" w14:textId="77777777" w:rsidR="00DE575E" w:rsidRDefault="002E7560">
      <w:pPr>
        <w:spacing w:before="112" w:line="254" w:lineRule="auto"/>
        <w:ind w:left="817" w:right="124" w:firstLine="283"/>
        <w:jc w:val="both"/>
        <w:rPr>
          <w:i/>
          <w:sz w:val="18"/>
        </w:rPr>
      </w:pPr>
      <w:r>
        <w:rPr>
          <w:i/>
          <w:color w:val="231F20"/>
          <w:spacing w:val="1"/>
          <w:sz w:val="18"/>
          <w:u w:val="single" w:color="231F20"/>
        </w:rPr>
        <w:t>Приклад:</w:t>
      </w:r>
      <w:r>
        <w:rPr>
          <w:i/>
          <w:color w:val="231F20"/>
          <w:spacing w:val="1"/>
          <w:sz w:val="18"/>
        </w:rPr>
        <w:t xml:space="preserve"> </w:t>
      </w:r>
      <w:r>
        <w:rPr>
          <w:i/>
          <w:color w:val="231F20"/>
          <w:sz w:val="18"/>
        </w:rPr>
        <w:t>Кодекс належної</w:t>
      </w:r>
      <w:r>
        <w:rPr>
          <w:i/>
          <w:color w:val="231F20"/>
          <w:sz w:val="18"/>
        </w:rPr>
        <w:t xml:space="preserve"> практики участі громадськості у процесі ухвалення рішень Ради Європи визначає такі важливі засади </w:t>
      </w:r>
      <w:r>
        <w:rPr>
          <w:i/>
          <w:color w:val="231F20"/>
          <w:spacing w:val="1"/>
          <w:sz w:val="18"/>
        </w:rPr>
        <w:t xml:space="preserve">участі </w:t>
      </w:r>
      <w:r>
        <w:rPr>
          <w:i/>
          <w:color w:val="231F20"/>
          <w:sz w:val="18"/>
        </w:rPr>
        <w:t xml:space="preserve">громадськості: 1) участь у збиранні й переданні поглядів різних </w:t>
      </w:r>
      <w:r>
        <w:rPr>
          <w:i/>
          <w:color w:val="231F20"/>
          <w:spacing w:val="1"/>
          <w:sz w:val="18"/>
        </w:rPr>
        <w:t xml:space="preserve">членів </w:t>
      </w:r>
      <w:r>
        <w:rPr>
          <w:i/>
          <w:color w:val="231F20"/>
          <w:sz w:val="18"/>
        </w:rPr>
        <w:t xml:space="preserve">громадських організацій з метою впливу на процес ухвалення політичних рішень; 2) довіра та чесна взаємодія між політичними силами й суспіль- ством; 3) відповідальність і прозорість як з боку громадських </w:t>
      </w:r>
      <w:r>
        <w:rPr>
          <w:i/>
          <w:color w:val="231F20"/>
          <w:spacing w:val="1"/>
          <w:sz w:val="18"/>
        </w:rPr>
        <w:t xml:space="preserve">організацій, </w:t>
      </w:r>
      <w:r>
        <w:rPr>
          <w:i/>
          <w:color w:val="231F20"/>
          <w:sz w:val="18"/>
        </w:rPr>
        <w:t>так і з боку державних органів, оскільки</w:t>
      </w:r>
      <w:r>
        <w:rPr>
          <w:i/>
          <w:color w:val="231F20"/>
          <w:sz w:val="18"/>
        </w:rPr>
        <w:t xml:space="preserve"> важливо визнавати громадські організації як вільні й незалежні структури із власними цілями,  рішен-  нями та</w:t>
      </w:r>
      <w:r>
        <w:rPr>
          <w:i/>
          <w:color w:val="231F20"/>
          <w:spacing w:val="13"/>
          <w:sz w:val="18"/>
        </w:rPr>
        <w:t xml:space="preserve"> </w:t>
      </w:r>
      <w:r>
        <w:rPr>
          <w:i/>
          <w:color w:val="231F20"/>
          <w:sz w:val="18"/>
        </w:rPr>
        <w:t>заходами.</w:t>
      </w:r>
    </w:p>
    <w:p w14:paraId="5613B800" w14:textId="77777777" w:rsidR="00DE575E" w:rsidRDefault="00DE575E">
      <w:pPr>
        <w:pStyle w:val="BodyText"/>
        <w:spacing w:before="7"/>
        <w:rPr>
          <w:i/>
          <w:sz w:val="10"/>
        </w:rPr>
      </w:pPr>
    </w:p>
    <w:p w14:paraId="4D86B416" w14:textId="77777777" w:rsidR="00DE575E" w:rsidRDefault="002E7560">
      <w:pPr>
        <w:spacing w:before="92"/>
        <w:ind w:left="533"/>
        <w:rPr>
          <w:rFonts w:ascii="Times New Roman"/>
          <w:sz w:val="20"/>
        </w:rPr>
      </w:pPr>
      <w:r>
        <w:rPr>
          <w:rFonts w:ascii="Times New Roman"/>
          <w:color w:val="231F20"/>
          <w:sz w:val="20"/>
        </w:rPr>
        <w:t>52</w:t>
      </w:r>
    </w:p>
    <w:p w14:paraId="43B792E6" w14:textId="77777777" w:rsidR="00DE575E" w:rsidRDefault="00DE575E">
      <w:pPr>
        <w:rPr>
          <w:rFonts w:ascii="Times New Roman"/>
          <w:sz w:val="20"/>
        </w:rPr>
        <w:sectPr w:rsidR="00DE575E">
          <w:pgSz w:w="8510" w:h="12760"/>
          <w:pgMar w:top="660" w:right="720" w:bottom="280" w:left="600" w:header="720" w:footer="720" w:gutter="0"/>
          <w:cols w:space="720"/>
        </w:sectPr>
      </w:pPr>
    </w:p>
    <w:p w14:paraId="748B5266" w14:textId="77777777" w:rsidR="00DE575E" w:rsidRDefault="002E7560">
      <w:pPr>
        <w:spacing w:before="72" w:line="249" w:lineRule="auto"/>
        <w:ind w:left="3122" w:firstLine="349"/>
        <w:rPr>
          <w:rFonts w:ascii="AdonisC" w:hAnsi="AdonisC"/>
          <w:i/>
          <w:sz w:val="18"/>
        </w:rPr>
      </w:pPr>
      <w:r>
        <w:rPr>
          <w:rFonts w:ascii="AdonisC" w:hAnsi="AdonisC"/>
          <w:i/>
          <w:color w:val="231F20"/>
          <w:sz w:val="18"/>
        </w:rPr>
        <w:lastRenderedPageBreak/>
        <w:t>Глава І. Загальне адміністративне право Розділ 2. Принципи адміністративного права</w:t>
      </w:r>
    </w:p>
    <w:p w14:paraId="1FE512E2" w14:textId="27A1100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A12A96A" wp14:editId="25F0F2D8">
                <wp:extent cx="4140200" cy="6350"/>
                <wp:effectExtent l="0" t="0" r="12700" b="6350"/>
                <wp:docPr id="1278"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79" name="Line 12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B494F8" id="Group_x0020_12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6z8H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z+s/B/AgAAnAUAAA4A&#10;AAAAAAAAAAAAAAAALAIAAGRycy9lMm9Eb2MueG1sUEsBAi0AFAAGAAgAAAAhAEynsJDZAAAAAwEA&#10;AA8AAAAAAAAAAAAAAAAA1wQAAGRycy9kb3ducmV2LnhtbFBLBQYAAAAABAAEAPMAAADdBQAAAAA=&#10;">
                <v:line id="Line_x0020_12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76hsUAAADdAAAADwAAAGRycy9kb3ducmV2LnhtbERP22rCQBB9L/gPywh9KXVTBVujq5RC&#10;ofTBS9IPGLNjEtydjdnVpH69KxT6NodzncWqt0ZcqPW1YwUvowQEceF0zaWCn/zz+Q2ED8gajWNS&#10;8EseVsvBwwJT7Tre0SULpYgh7FNUUIXQpFL6oiKLfuQa4sgdXGsxRNiWUrfYxXBr5DhJptJizbGh&#10;woY+KiqO2dkqyE9PwWw336bLN/uJ3J/Wk+t5rdTjsH+fgwjUh3/xn/tLx/nj1xncv4kn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H76hsUAAADdAAAADwAAAAAAAAAA&#10;AAAAAAChAgAAZHJzL2Rvd25yZXYueG1sUEsFBgAAAAAEAAQA+QAAAJMDAAAAAA==&#10;" strokecolor="#231f20" strokeweight=".5pt"/>
                <w10:anchorlock/>
              </v:group>
            </w:pict>
          </mc:Fallback>
        </mc:AlternateContent>
      </w:r>
    </w:p>
    <w:p w14:paraId="32123D72" w14:textId="77777777" w:rsidR="00DE575E" w:rsidRDefault="00DE575E">
      <w:pPr>
        <w:pStyle w:val="BodyText"/>
        <w:spacing w:before="7"/>
        <w:rPr>
          <w:rFonts w:ascii="AdonisC"/>
          <w:i/>
          <w:sz w:val="19"/>
        </w:rPr>
      </w:pPr>
    </w:p>
    <w:p w14:paraId="00CC13FD" w14:textId="77777777" w:rsidR="00DE575E" w:rsidRDefault="002E7560">
      <w:pPr>
        <w:pStyle w:val="Heading6"/>
        <w:spacing w:line="252" w:lineRule="auto"/>
        <w:ind w:left="250" w:right="411"/>
        <w:jc w:val="both"/>
      </w:pPr>
      <w:r>
        <w:rPr>
          <w:color w:val="231F20"/>
        </w:rPr>
        <w:t xml:space="preserve">Рекомендації щодо поліпшення участі </w:t>
      </w:r>
      <w:r>
        <w:rPr>
          <w:color w:val="231F20"/>
          <w:spacing w:val="-3"/>
        </w:rPr>
        <w:t xml:space="preserve">об’єднань </w:t>
      </w:r>
      <w:r>
        <w:rPr>
          <w:color w:val="231F20"/>
        </w:rPr>
        <w:t xml:space="preserve">у публічному </w:t>
      </w:r>
      <w:r>
        <w:rPr>
          <w:color w:val="231F20"/>
        </w:rPr>
        <w:t>процесі ухвалення рішень від учасників містять такі засадничі вимоги:</w:t>
      </w:r>
    </w:p>
    <w:p w14:paraId="30276EA8"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прозорість у доступі громадськості до всіх документів, проєк- тів, рішень і висновків, які маю</w:t>
      </w:r>
      <w:r>
        <w:rPr>
          <w:color w:val="231F20"/>
          <w:sz w:val="21"/>
        </w:rPr>
        <w:t>ть значення для процесу</w:t>
      </w:r>
      <w:r>
        <w:rPr>
          <w:color w:val="231F20"/>
          <w:spacing w:val="-13"/>
          <w:sz w:val="21"/>
        </w:rPr>
        <w:t xml:space="preserve"> </w:t>
      </w:r>
      <w:r>
        <w:rPr>
          <w:color w:val="231F20"/>
          <w:sz w:val="21"/>
        </w:rPr>
        <w:t>участі;</w:t>
      </w:r>
    </w:p>
    <w:p w14:paraId="73CD0124" w14:textId="77777777" w:rsidR="00DE575E" w:rsidRDefault="002E7560">
      <w:pPr>
        <w:pStyle w:val="ListParagraph"/>
        <w:numPr>
          <w:ilvl w:val="0"/>
          <w:numId w:val="299"/>
        </w:numPr>
        <w:tabs>
          <w:tab w:val="left" w:pos="818"/>
        </w:tabs>
        <w:spacing w:line="252" w:lineRule="auto"/>
        <w:ind w:right="410" w:firstLine="283"/>
        <w:rPr>
          <w:sz w:val="21"/>
        </w:rPr>
      </w:pPr>
      <w:r>
        <w:rPr>
          <w:color w:val="231F20"/>
          <w:sz w:val="21"/>
        </w:rPr>
        <w:t>неупередженість з боку громадських організацій, оскільки вони мають право діяти самостійно та відстоювати різні позиції перед органами</w:t>
      </w:r>
      <w:r>
        <w:rPr>
          <w:color w:val="231F20"/>
          <w:spacing w:val="-2"/>
          <w:sz w:val="21"/>
        </w:rPr>
        <w:t xml:space="preserve"> </w:t>
      </w:r>
      <w:r>
        <w:rPr>
          <w:color w:val="231F20"/>
          <w:sz w:val="21"/>
        </w:rPr>
        <w:t>влади;</w:t>
      </w:r>
    </w:p>
    <w:p w14:paraId="1AB1ACD1" w14:textId="77777777" w:rsidR="00DE575E" w:rsidRDefault="002E7560">
      <w:pPr>
        <w:pStyle w:val="ListParagraph"/>
        <w:numPr>
          <w:ilvl w:val="0"/>
          <w:numId w:val="299"/>
        </w:numPr>
        <w:tabs>
          <w:tab w:val="left" w:pos="818"/>
        </w:tabs>
        <w:spacing w:before="2" w:line="252" w:lineRule="auto"/>
        <w:ind w:right="410" w:firstLine="283"/>
        <w:rPr>
          <w:sz w:val="21"/>
        </w:rPr>
      </w:pPr>
      <w:r>
        <w:rPr>
          <w:color w:val="231F20"/>
          <w:sz w:val="21"/>
        </w:rPr>
        <w:t>відкритість і доступність, оскільки процеси участі мають бути відкритими</w:t>
      </w:r>
      <w:r>
        <w:rPr>
          <w:color w:val="231F20"/>
          <w:spacing w:val="-13"/>
          <w:sz w:val="21"/>
        </w:rPr>
        <w:t xml:space="preserve"> </w:t>
      </w:r>
      <w:r>
        <w:rPr>
          <w:color w:val="231F20"/>
          <w:sz w:val="21"/>
        </w:rPr>
        <w:t>та</w:t>
      </w:r>
      <w:r>
        <w:rPr>
          <w:color w:val="231F20"/>
          <w:spacing w:val="-13"/>
          <w:sz w:val="21"/>
        </w:rPr>
        <w:t xml:space="preserve"> </w:t>
      </w:r>
      <w:r>
        <w:rPr>
          <w:color w:val="231F20"/>
          <w:sz w:val="21"/>
        </w:rPr>
        <w:t>доступними</w:t>
      </w:r>
      <w:r>
        <w:rPr>
          <w:color w:val="231F20"/>
          <w:spacing w:val="-13"/>
          <w:sz w:val="21"/>
        </w:rPr>
        <w:t xml:space="preserve"> </w:t>
      </w:r>
      <w:r>
        <w:rPr>
          <w:color w:val="231F20"/>
          <w:sz w:val="21"/>
        </w:rPr>
        <w:t>для</w:t>
      </w:r>
      <w:r>
        <w:rPr>
          <w:color w:val="231F20"/>
          <w:spacing w:val="-13"/>
          <w:sz w:val="21"/>
        </w:rPr>
        <w:t xml:space="preserve"> </w:t>
      </w:r>
      <w:r>
        <w:rPr>
          <w:color w:val="231F20"/>
          <w:sz w:val="21"/>
        </w:rPr>
        <w:t>всіх</w:t>
      </w:r>
      <w:r>
        <w:rPr>
          <w:color w:val="231F20"/>
          <w:spacing w:val="-13"/>
          <w:sz w:val="21"/>
        </w:rPr>
        <w:t xml:space="preserve"> </w:t>
      </w:r>
      <w:r>
        <w:rPr>
          <w:color w:val="231F20"/>
          <w:sz w:val="21"/>
        </w:rPr>
        <w:t>на</w:t>
      </w:r>
      <w:r>
        <w:rPr>
          <w:color w:val="231F20"/>
          <w:spacing w:val="-13"/>
          <w:sz w:val="21"/>
        </w:rPr>
        <w:t xml:space="preserve"> </w:t>
      </w:r>
      <w:r>
        <w:rPr>
          <w:color w:val="231F20"/>
          <w:sz w:val="21"/>
        </w:rPr>
        <w:t>основі</w:t>
      </w:r>
      <w:r>
        <w:rPr>
          <w:color w:val="231F20"/>
          <w:spacing w:val="-13"/>
          <w:sz w:val="21"/>
        </w:rPr>
        <w:t xml:space="preserve"> </w:t>
      </w:r>
      <w:r>
        <w:rPr>
          <w:color w:val="231F20"/>
          <w:sz w:val="21"/>
        </w:rPr>
        <w:t>узгоджених</w:t>
      </w:r>
      <w:r>
        <w:rPr>
          <w:color w:val="231F20"/>
          <w:spacing w:val="-13"/>
          <w:sz w:val="21"/>
        </w:rPr>
        <w:t xml:space="preserve"> </w:t>
      </w:r>
      <w:r>
        <w:rPr>
          <w:color w:val="231F20"/>
          <w:sz w:val="21"/>
        </w:rPr>
        <w:t>меж</w:t>
      </w:r>
      <w:r>
        <w:rPr>
          <w:color w:val="231F20"/>
          <w:spacing w:val="-13"/>
          <w:sz w:val="21"/>
        </w:rPr>
        <w:t xml:space="preserve"> </w:t>
      </w:r>
      <w:r>
        <w:rPr>
          <w:color w:val="231F20"/>
          <w:sz w:val="21"/>
        </w:rPr>
        <w:t>участі;</w:t>
      </w:r>
    </w:p>
    <w:p w14:paraId="2D3F8AFE" w14:textId="77777777" w:rsidR="00DE575E" w:rsidRDefault="002E7560">
      <w:pPr>
        <w:pStyle w:val="ListParagraph"/>
        <w:numPr>
          <w:ilvl w:val="0"/>
          <w:numId w:val="299"/>
        </w:numPr>
        <w:tabs>
          <w:tab w:val="left" w:pos="818"/>
        </w:tabs>
        <w:spacing w:line="252" w:lineRule="auto"/>
        <w:ind w:right="410" w:firstLine="283"/>
        <w:rPr>
          <w:sz w:val="21"/>
        </w:rPr>
      </w:pPr>
      <w:r>
        <w:rPr>
          <w:color w:val="231F20"/>
          <w:sz w:val="21"/>
        </w:rPr>
        <w:t>відповідальність</w:t>
      </w:r>
      <w:r>
        <w:rPr>
          <w:color w:val="231F20"/>
          <w:spacing w:val="-15"/>
          <w:sz w:val="21"/>
        </w:rPr>
        <w:t xml:space="preserve"> </w:t>
      </w:r>
      <w:r>
        <w:rPr>
          <w:color w:val="231F20"/>
          <w:sz w:val="21"/>
        </w:rPr>
        <w:t>та</w:t>
      </w:r>
      <w:r>
        <w:rPr>
          <w:color w:val="231F20"/>
          <w:spacing w:val="-15"/>
          <w:sz w:val="21"/>
        </w:rPr>
        <w:t xml:space="preserve"> </w:t>
      </w:r>
      <w:r>
        <w:rPr>
          <w:color w:val="231F20"/>
          <w:sz w:val="21"/>
        </w:rPr>
        <w:t>ефективність,</w:t>
      </w:r>
      <w:r>
        <w:rPr>
          <w:color w:val="231F20"/>
          <w:spacing w:val="-15"/>
          <w:sz w:val="21"/>
        </w:rPr>
        <w:t xml:space="preserve"> </w:t>
      </w:r>
      <w:r>
        <w:rPr>
          <w:color w:val="231F20"/>
          <w:sz w:val="21"/>
        </w:rPr>
        <w:t>за</w:t>
      </w:r>
      <w:r>
        <w:rPr>
          <w:color w:val="231F20"/>
          <w:spacing w:val="-15"/>
          <w:sz w:val="21"/>
        </w:rPr>
        <w:t xml:space="preserve"> </w:t>
      </w:r>
      <w:r>
        <w:rPr>
          <w:color w:val="231F20"/>
          <w:sz w:val="21"/>
        </w:rPr>
        <w:t>яких</w:t>
      </w:r>
      <w:r>
        <w:rPr>
          <w:color w:val="231F20"/>
          <w:spacing w:val="-15"/>
          <w:sz w:val="21"/>
        </w:rPr>
        <w:t xml:space="preserve"> </w:t>
      </w:r>
      <w:r>
        <w:rPr>
          <w:color w:val="231F20"/>
          <w:sz w:val="21"/>
        </w:rPr>
        <w:t>участь</w:t>
      </w:r>
      <w:r>
        <w:rPr>
          <w:color w:val="231F20"/>
          <w:spacing w:val="-15"/>
          <w:sz w:val="21"/>
        </w:rPr>
        <w:t xml:space="preserve"> </w:t>
      </w:r>
      <w:r>
        <w:rPr>
          <w:color w:val="231F20"/>
          <w:sz w:val="21"/>
        </w:rPr>
        <w:t>має</w:t>
      </w:r>
      <w:r>
        <w:rPr>
          <w:color w:val="231F20"/>
          <w:spacing w:val="-15"/>
          <w:sz w:val="21"/>
        </w:rPr>
        <w:t xml:space="preserve"> </w:t>
      </w:r>
      <w:r>
        <w:rPr>
          <w:color w:val="231F20"/>
          <w:sz w:val="21"/>
        </w:rPr>
        <w:t>бути</w:t>
      </w:r>
      <w:r>
        <w:rPr>
          <w:color w:val="231F20"/>
          <w:spacing w:val="-15"/>
          <w:sz w:val="21"/>
        </w:rPr>
        <w:t xml:space="preserve"> </w:t>
      </w:r>
      <w:r>
        <w:rPr>
          <w:color w:val="231F20"/>
          <w:sz w:val="21"/>
        </w:rPr>
        <w:t xml:space="preserve">зорі- єнтована на </w:t>
      </w:r>
      <w:r>
        <w:rPr>
          <w:color w:val="231F20"/>
          <w:spacing w:val="-5"/>
          <w:sz w:val="21"/>
        </w:rPr>
        <w:t xml:space="preserve">результат, </w:t>
      </w:r>
      <w:r>
        <w:rPr>
          <w:color w:val="231F20"/>
          <w:sz w:val="21"/>
        </w:rPr>
        <w:t xml:space="preserve">щоб мати реальний вплив на </w:t>
      </w:r>
      <w:r>
        <w:rPr>
          <w:color w:val="231F20"/>
          <w:spacing w:val="-3"/>
          <w:sz w:val="21"/>
        </w:rPr>
        <w:t xml:space="preserve">зміст, </w:t>
      </w:r>
      <w:r>
        <w:rPr>
          <w:color w:val="231F20"/>
          <w:sz w:val="21"/>
        </w:rPr>
        <w:t>а також органи мусять нести відповідальність перед суспільством за плин консультац</w:t>
      </w:r>
      <w:r>
        <w:rPr>
          <w:color w:val="231F20"/>
          <w:sz w:val="21"/>
        </w:rPr>
        <w:t>ійних процесів і доповідати про їх</w:t>
      </w:r>
      <w:r>
        <w:rPr>
          <w:color w:val="231F20"/>
          <w:spacing w:val="-10"/>
          <w:sz w:val="21"/>
        </w:rPr>
        <w:t xml:space="preserve"> </w:t>
      </w:r>
      <w:r>
        <w:rPr>
          <w:color w:val="231F20"/>
          <w:spacing w:val="-3"/>
          <w:sz w:val="21"/>
        </w:rPr>
        <w:t>результати;</w:t>
      </w:r>
    </w:p>
    <w:p w14:paraId="79C40D88" w14:textId="77777777" w:rsidR="00DE575E" w:rsidRDefault="002E7560">
      <w:pPr>
        <w:pStyle w:val="ListParagraph"/>
        <w:numPr>
          <w:ilvl w:val="0"/>
          <w:numId w:val="299"/>
        </w:numPr>
        <w:tabs>
          <w:tab w:val="left" w:pos="818"/>
        </w:tabs>
        <w:spacing w:before="2"/>
        <w:ind w:firstLine="283"/>
        <w:jc w:val="left"/>
        <w:rPr>
          <w:sz w:val="21"/>
        </w:rPr>
      </w:pPr>
      <w:r>
        <w:rPr>
          <w:color w:val="231F20"/>
          <w:sz w:val="21"/>
        </w:rPr>
        <w:t>відсутність</w:t>
      </w:r>
      <w:r>
        <w:rPr>
          <w:color w:val="231F20"/>
          <w:spacing w:val="-2"/>
          <w:sz w:val="21"/>
        </w:rPr>
        <w:t xml:space="preserve"> </w:t>
      </w:r>
      <w:r>
        <w:rPr>
          <w:color w:val="231F20"/>
          <w:sz w:val="21"/>
        </w:rPr>
        <w:t>дискримінації;</w:t>
      </w:r>
    </w:p>
    <w:p w14:paraId="714823BF" w14:textId="77777777" w:rsidR="00DE575E" w:rsidRDefault="002E7560">
      <w:pPr>
        <w:pStyle w:val="ListParagraph"/>
        <w:numPr>
          <w:ilvl w:val="0"/>
          <w:numId w:val="299"/>
        </w:numPr>
        <w:tabs>
          <w:tab w:val="left" w:pos="818"/>
        </w:tabs>
        <w:spacing w:before="12" w:line="252" w:lineRule="auto"/>
        <w:ind w:right="411" w:firstLine="283"/>
        <w:rPr>
          <w:sz w:val="21"/>
        </w:rPr>
      </w:pPr>
      <w:r>
        <w:rPr>
          <w:color w:val="231F20"/>
          <w:sz w:val="21"/>
        </w:rPr>
        <w:t>рівне ставлення та відкритість, а саме рівний доступ  для  всіх, зокрема задоволення  потреб  меншин,  осіб,  які  перебувають у несприятливих умовах, вразливих чи соціально відчужен</w:t>
      </w:r>
      <w:r>
        <w:rPr>
          <w:color w:val="231F20"/>
          <w:sz w:val="21"/>
        </w:rPr>
        <w:t>их осіб або груп осіб, які бажають взяти</w:t>
      </w:r>
      <w:r>
        <w:rPr>
          <w:color w:val="231F20"/>
          <w:spacing w:val="-6"/>
          <w:sz w:val="21"/>
        </w:rPr>
        <w:t xml:space="preserve"> </w:t>
      </w:r>
      <w:r>
        <w:rPr>
          <w:color w:val="231F20"/>
          <w:sz w:val="21"/>
        </w:rPr>
        <w:t>участь;</w:t>
      </w:r>
    </w:p>
    <w:p w14:paraId="779054A3" w14:textId="77777777" w:rsidR="00DE575E" w:rsidRDefault="002E7560">
      <w:pPr>
        <w:pStyle w:val="ListParagraph"/>
        <w:numPr>
          <w:ilvl w:val="0"/>
          <w:numId w:val="299"/>
        </w:numPr>
        <w:tabs>
          <w:tab w:val="left" w:pos="818"/>
        </w:tabs>
        <w:spacing w:before="2" w:line="252" w:lineRule="auto"/>
        <w:ind w:right="411" w:firstLine="283"/>
        <w:rPr>
          <w:sz w:val="21"/>
        </w:rPr>
      </w:pPr>
      <w:r>
        <w:rPr>
          <w:color w:val="231F20"/>
          <w:sz w:val="21"/>
        </w:rPr>
        <w:t xml:space="preserve">незалежність </w:t>
      </w:r>
      <w:r>
        <w:rPr>
          <w:color w:val="231F20"/>
          <w:spacing w:val="-3"/>
          <w:sz w:val="21"/>
        </w:rPr>
        <w:t xml:space="preserve">об’єднань, </w:t>
      </w:r>
      <w:r>
        <w:rPr>
          <w:color w:val="231F20"/>
          <w:sz w:val="21"/>
        </w:rPr>
        <w:t>зокрема відмова від нав’язування зобов’язань громадських організацій щодо участі в процесах ухва- лення рішень або відстоювання певних</w:t>
      </w:r>
      <w:r>
        <w:rPr>
          <w:color w:val="231F20"/>
          <w:spacing w:val="-5"/>
          <w:sz w:val="21"/>
        </w:rPr>
        <w:t xml:space="preserve"> </w:t>
      </w:r>
      <w:r>
        <w:rPr>
          <w:color w:val="231F20"/>
          <w:sz w:val="21"/>
        </w:rPr>
        <w:t>позицій</w:t>
      </w:r>
      <w:r>
        <w:rPr>
          <w:color w:val="231F20"/>
          <w:position w:val="7"/>
          <w:sz w:val="12"/>
        </w:rPr>
        <w:t>1</w:t>
      </w:r>
      <w:r>
        <w:rPr>
          <w:color w:val="231F20"/>
          <w:sz w:val="21"/>
        </w:rPr>
        <w:t>.</w:t>
      </w:r>
    </w:p>
    <w:p w14:paraId="770BF3F6" w14:textId="77777777" w:rsidR="00DE575E" w:rsidRDefault="00DE575E">
      <w:pPr>
        <w:pStyle w:val="BodyText"/>
        <w:spacing w:before="3"/>
        <w:rPr>
          <w:sz w:val="22"/>
        </w:rPr>
      </w:pPr>
    </w:p>
    <w:p w14:paraId="209B2339" w14:textId="77777777" w:rsidR="00DE575E" w:rsidRDefault="002E7560">
      <w:pPr>
        <w:pStyle w:val="Heading6"/>
        <w:numPr>
          <w:ilvl w:val="3"/>
          <w:numId w:val="297"/>
        </w:numPr>
        <w:tabs>
          <w:tab w:val="left" w:pos="1252"/>
        </w:tabs>
        <w:spacing w:before="0"/>
        <w:ind w:left="1251" w:hanging="718"/>
        <w:jc w:val="left"/>
      </w:pPr>
      <w:r>
        <w:rPr>
          <w:color w:val="231F20"/>
        </w:rPr>
        <w:t>Принцип відкритості й</w:t>
      </w:r>
      <w:r>
        <w:rPr>
          <w:color w:val="231F20"/>
          <w:spacing w:val="-5"/>
        </w:rPr>
        <w:t xml:space="preserve"> </w:t>
      </w:r>
      <w:r>
        <w:rPr>
          <w:color w:val="231F20"/>
        </w:rPr>
        <w:t>прозорості</w:t>
      </w:r>
    </w:p>
    <w:p w14:paraId="7AA3091C" w14:textId="77777777" w:rsidR="00DE575E" w:rsidRDefault="002E7560">
      <w:pPr>
        <w:pStyle w:val="BodyText"/>
        <w:spacing w:before="13" w:line="252" w:lineRule="auto"/>
        <w:ind w:left="250" w:right="408" w:firstLine="283"/>
        <w:jc w:val="both"/>
      </w:pPr>
      <w:r>
        <w:rPr>
          <w:color w:val="231F20"/>
        </w:rPr>
        <w:t xml:space="preserve">Згідно зі стандартами ЄС відкритість полягає в </w:t>
      </w:r>
      <w:r>
        <w:rPr>
          <w:color w:val="231F20"/>
          <w:spacing w:val="-4"/>
        </w:rPr>
        <w:t xml:space="preserve">тому, </w:t>
      </w:r>
      <w:r>
        <w:rPr>
          <w:color w:val="231F20"/>
        </w:rPr>
        <w:t>що публічні інституції мають працювати більш відкрито. Вони мусять активно обмінюватися інформацією з державами-членами ЄС про те, чим займається ЄС та які рішення він ухвалює. Вони мають викладати інфор</w:t>
      </w:r>
      <w:r>
        <w:rPr>
          <w:color w:val="231F20"/>
        </w:rPr>
        <w:t>мацію</w:t>
      </w:r>
      <w:r>
        <w:rPr>
          <w:color w:val="231F20"/>
          <w:spacing w:val="-10"/>
        </w:rPr>
        <w:t xml:space="preserve"> </w:t>
      </w:r>
      <w:r>
        <w:rPr>
          <w:color w:val="231F20"/>
        </w:rPr>
        <w:t>мовою,</w:t>
      </w:r>
      <w:r>
        <w:rPr>
          <w:color w:val="231F20"/>
          <w:spacing w:val="-10"/>
        </w:rPr>
        <w:t xml:space="preserve"> </w:t>
      </w:r>
      <w:r>
        <w:rPr>
          <w:color w:val="231F20"/>
        </w:rPr>
        <w:t>що</w:t>
      </w:r>
      <w:r>
        <w:rPr>
          <w:color w:val="231F20"/>
          <w:spacing w:val="-10"/>
        </w:rPr>
        <w:t xml:space="preserve"> </w:t>
      </w:r>
      <w:r>
        <w:rPr>
          <w:color w:val="231F20"/>
        </w:rPr>
        <w:t>є</w:t>
      </w:r>
      <w:r>
        <w:rPr>
          <w:color w:val="231F20"/>
          <w:spacing w:val="-11"/>
        </w:rPr>
        <w:t xml:space="preserve"> </w:t>
      </w:r>
      <w:r>
        <w:rPr>
          <w:color w:val="231F20"/>
        </w:rPr>
        <w:t>доступною</w:t>
      </w:r>
      <w:r>
        <w:rPr>
          <w:color w:val="231F20"/>
          <w:spacing w:val="-10"/>
        </w:rPr>
        <w:t xml:space="preserve"> </w:t>
      </w:r>
      <w:r>
        <w:rPr>
          <w:color w:val="231F20"/>
        </w:rPr>
        <w:t>та</w:t>
      </w:r>
      <w:r>
        <w:rPr>
          <w:color w:val="231F20"/>
          <w:spacing w:val="-10"/>
        </w:rPr>
        <w:t xml:space="preserve"> </w:t>
      </w:r>
      <w:r>
        <w:rPr>
          <w:color w:val="231F20"/>
        </w:rPr>
        <w:t>зрозумілою</w:t>
      </w:r>
      <w:r>
        <w:rPr>
          <w:color w:val="231F20"/>
          <w:spacing w:val="-10"/>
        </w:rPr>
        <w:t xml:space="preserve"> </w:t>
      </w:r>
      <w:r>
        <w:rPr>
          <w:color w:val="231F20"/>
        </w:rPr>
        <w:t>широкому</w:t>
      </w:r>
      <w:r>
        <w:rPr>
          <w:color w:val="231F20"/>
          <w:spacing w:val="-10"/>
        </w:rPr>
        <w:t xml:space="preserve"> </w:t>
      </w:r>
      <w:r>
        <w:rPr>
          <w:color w:val="231F20"/>
          <w:spacing w:val="-3"/>
        </w:rPr>
        <w:t xml:space="preserve">загалу. </w:t>
      </w:r>
      <w:r>
        <w:rPr>
          <w:color w:val="231F20"/>
        </w:rPr>
        <w:t>Прозорість означає, що рішення ухвалюють та їхнє введення в дію відбувається відповідно до процедур, передбачених законом та інструкціями (законодавством). Це також означає, що інформація наявна</w:t>
      </w:r>
      <w:r>
        <w:rPr>
          <w:color w:val="231F20"/>
          <w:spacing w:val="32"/>
        </w:rPr>
        <w:t xml:space="preserve"> </w:t>
      </w:r>
      <w:r>
        <w:rPr>
          <w:color w:val="231F20"/>
        </w:rPr>
        <w:t>та</w:t>
      </w:r>
      <w:r>
        <w:rPr>
          <w:color w:val="231F20"/>
          <w:spacing w:val="32"/>
        </w:rPr>
        <w:t xml:space="preserve"> </w:t>
      </w:r>
      <w:r>
        <w:rPr>
          <w:color w:val="231F20"/>
        </w:rPr>
        <w:t>вільно</w:t>
      </w:r>
      <w:r>
        <w:rPr>
          <w:color w:val="231F20"/>
          <w:spacing w:val="32"/>
        </w:rPr>
        <w:t xml:space="preserve"> </w:t>
      </w:r>
      <w:r>
        <w:rPr>
          <w:color w:val="231F20"/>
        </w:rPr>
        <w:t>доступна</w:t>
      </w:r>
      <w:r>
        <w:rPr>
          <w:color w:val="231F20"/>
          <w:spacing w:val="32"/>
        </w:rPr>
        <w:t xml:space="preserve"> </w:t>
      </w:r>
      <w:r>
        <w:rPr>
          <w:color w:val="231F20"/>
        </w:rPr>
        <w:t>для</w:t>
      </w:r>
      <w:r>
        <w:rPr>
          <w:color w:val="231F20"/>
          <w:spacing w:val="32"/>
        </w:rPr>
        <w:t xml:space="preserve"> </w:t>
      </w:r>
      <w:r>
        <w:rPr>
          <w:color w:val="231F20"/>
        </w:rPr>
        <w:t>тих,</w:t>
      </w:r>
      <w:r>
        <w:rPr>
          <w:color w:val="231F20"/>
          <w:spacing w:val="32"/>
        </w:rPr>
        <w:t xml:space="preserve"> </w:t>
      </w:r>
      <w:r>
        <w:rPr>
          <w:color w:val="231F20"/>
        </w:rPr>
        <w:t>кого</w:t>
      </w:r>
      <w:r>
        <w:rPr>
          <w:color w:val="231F20"/>
          <w:spacing w:val="32"/>
        </w:rPr>
        <w:t xml:space="preserve"> </w:t>
      </w:r>
      <w:r>
        <w:rPr>
          <w:color w:val="231F20"/>
        </w:rPr>
        <w:t>може</w:t>
      </w:r>
      <w:r>
        <w:rPr>
          <w:color w:val="231F20"/>
          <w:spacing w:val="32"/>
        </w:rPr>
        <w:t xml:space="preserve"> </w:t>
      </w:r>
      <w:r>
        <w:rPr>
          <w:color w:val="231F20"/>
        </w:rPr>
        <w:t>стосуватись</w:t>
      </w:r>
      <w:r>
        <w:rPr>
          <w:color w:val="231F20"/>
          <w:spacing w:val="32"/>
        </w:rPr>
        <w:t xml:space="preserve"> </w:t>
      </w:r>
      <w:r>
        <w:rPr>
          <w:color w:val="231F20"/>
        </w:rPr>
        <w:t>відпо-</w:t>
      </w:r>
    </w:p>
    <w:p w14:paraId="5BA17B58" w14:textId="77777777" w:rsidR="00DE575E" w:rsidRDefault="00DE575E">
      <w:pPr>
        <w:pStyle w:val="BodyText"/>
        <w:rPr>
          <w:sz w:val="20"/>
        </w:rPr>
      </w:pPr>
    </w:p>
    <w:p w14:paraId="5D05C8B1" w14:textId="484D9BAF" w:rsidR="00DE575E" w:rsidRDefault="002E7560">
      <w:pPr>
        <w:pStyle w:val="BodyText"/>
        <w:rPr>
          <w:sz w:val="11"/>
        </w:rPr>
      </w:pPr>
      <w:r>
        <w:rPr>
          <w:noProof/>
        </w:rPr>
        <mc:AlternateContent>
          <mc:Choice Requires="wps">
            <w:drawing>
              <wp:anchor distT="0" distB="0" distL="0" distR="0" simplePos="0" relativeHeight="2896" behindDoc="0" locked="0" layoutInCell="1" allowOverlap="1" wp14:anchorId="1B37EF0A" wp14:editId="16334793">
                <wp:simplePos x="0" y="0"/>
                <wp:positionH relativeFrom="page">
                  <wp:posOffset>539750</wp:posOffset>
                </wp:positionH>
                <wp:positionV relativeFrom="paragraph">
                  <wp:posOffset>109855</wp:posOffset>
                </wp:positionV>
                <wp:extent cx="1080135" cy="0"/>
                <wp:effectExtent l="6350" t="8255" r="31115" b="29845"/>
                <wp:wrapTopAndBottom/>
                <wp:docPr id="1277"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890C5" id="Line_x0020_1276" o:spid="_x0000_s1026" style="position:absolute;z-index: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65pt" to="127.55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" strokecolor="#231f20" strokeweight=".5pt">
                <w10:wrap type="topAndBottom" anchorx="page"/>
              </v:line>
            </w:pict>
          </mc:Fallback>
        </mc:AlternateContent>
      </w:r>
    </w:p>
    <w:p w14:paraId="41F11374"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 xml:space="preserve">Участь громадськості в процесі ухвалення рішень. </w:t>
      </w:r>
      <w:r>
        <w:rPr>
          <w:color w:val="231F20"/>
          <w:spacing w:val="-3"/>
          <w:sz w:val="16"/>
        </w:rPr>
        <w:t xml:space="preserve">Огляд </w:t>
      </w:r>
      <w:r>
        <w:rPr>
          <w:color w:val="231F20"/>
          <w:sz w:val="16"/>
        </w:rPr>
        <w:t xml:space="preserve">стандартів та практик у кра- їнах-членах Ради Європи. Агентство США з міжнародного розвитку (USAID). 2016.; Реко- мендації щодо сприяння участі </w:t>
      </w:r>
      <w:r>
        <w:rPr>
          <w:color w:val="231F20"/>
          <w:spacing w:val="-3"/>
          <w:sz w:val="16"/>
        </w:rPr>
        <w:t xml:space="preserve">об’єднань </w:t>
      </w:r>
      <w:r>
        <w:rPr>
          <w:color w:val="231F20"/>
          <w:sz w:val="16"/>
        </w:rPr>
        <w:t xml:space="preserve">у процесі ухвалення державних рішень від учас- ників Форуму з питань громадянського суспільства, організованого в межах Додаткової наради 2015 р. з питань гуманітарної галузі, присвяченої свободі мирних зібрань та сво- боді </w:t>
      </w:r>
      <w:r>
        <w:rPr>
          <w:color w:val="231F20"/>
          <w:spacing w:val="-3"/>
          <w:sz w:val="16"/>
        </w:rPr>
        <w:t xml:space="preserve">об’єднань. </w:t>
      </w:r>
      <w:r>
        <w:rPr>
          <w:color w:val="231F20"/>
          <w:sz w:val="16"/>
        </w:rPr>
        <w:t xml:space="preserve">URL: </w:t>
      </w:r>
      <w:hyperlink r:id="rId22">
        <w:r>
          <w:rPr>
            <w:color w:val="231F20"/>
            <w:sz w:val="16"/>
          </w:rPr>
          <w:t>http://ecnl.org/wp-content/uploads/2016/08/Overview-ofparticipation-</w:t>
        </w:r>
      </w:hyperlink>
      <w:r>
        <w:rPr>
          <w:color w:val="231F20"/>
          <w:sz w:val="16"/>
        </w:rPr>
        <w:t xml:space="preserve"> standards_Ukr.pdf</w:t>
      </w:r>
    </w:p>
    <w:p w14:paraId="58842B38" w14:textId="77777777" w:rsidR="00DE575E" w:rsidRDefault="00DE575E">
      <w:pPr>
        <w:pStyle w:val="BodyText"/>
        <w:spacing w:before="4"/>
        <w:rPr>
          <w:sz w:val="12"/>
        </w:rPr>
      </w:pPr>
    </w:p>
    <w:p w14:paraId="617AFAA1" w14:textId="77777777" w:rsidR="00DE575E" w:rsidRDefault="002E7560">
      <w:pPr>
        <w:spacing w:before="92"/>
        <w:ind w:right="411"/>
        <w:jc w:val="right"/>
        <w:rPr>
          <w:rFonts w:ascii="Times New Roman"/>
          <w:sz w:val="20"/>
        </w:rPr>
      </w:pPr>
      <w:r>
        <w:rPr>
          <w:rFonts w:ascii="Times New Roman"/>
          <w:color w:val="231F20"/>
          <w:w w:val="90"/>
          <w:sz w:val="20"/>
        </w:rPr>
        <w:t>53</w:t>
      </w:r>
    </w:p>
    <w:p w14:paraId="45EDD2E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FC178CE"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4C446534" w14:textId="0EA898D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BDA0249" wp14:editId="0EA5EE03">
                <wp:extent cx="4140200" cy="6350"/>
                <wp:effectExtent l="0" t="0" r="12700" b="6350"/>
                <wp:docPr id="1275"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76" name="Line 12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431AC" id="Group_x0020_12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n2MJygAIAAJwFAAAO&#10;AAAAAAAAAAAAAAAAACwCAABkcnMvZTJvRG9jLnhtbFBLAQItABQABgAIAAAAIQBMp7CQ2QAAAAMB&#10;AAAPAAAAAAAAAAAAAAAAANgEAABkcnMvZG93bnJldi54bWxQSwUGAAAAAAQABADzAAAA3gUAAAAA&#10;">
                <v:line id="Line_x0020_12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Fu9MQAAADdAAAADwAAAGRycy9kb3ducmV2LnhtbERP22rCQBB9L/gPywh9KbqpgpboKiIU&#10;ig/e0g8Ys9MkdHc2ZlcT/XpXKPRtDuc682VnjbhS4yvHCt6HCQji3OmKCwXf2efgA4QPyBqNY1Jw&#10;Iw/LRe9ljql2LR/oegyFiCHsU1RQhlCnUvq8JIt+6GriyP24xmKIsCmkbrCN4dbIUZJMpMWKY0OJ&#10;Na1Lyn+PF6sgO78Fs99tTJvtTmN5Om/H98tWqdd+t5qBCNSFf/Gf+0vH+aPpBJ7fxBP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4W70xAAAAN0AAAAPAAAAAAAAAAAA&#10;AAAAAKECAABkcnMvZG93bnJldi54bWxQSwUGAAAAAAQABAD5AAAAkgMAAAAA&#10;" strokecolor="#231f20" strokeweight=".5pt"/>
                <w10:anchorlock/>
              </v:group>
            </w:pict>
          </mc:Fallback>
        </mc:AlternateContent>
      </w:r>
    </w:p>
    <w:p w14:paraId="76EB6B15" w14:textId="77777777" w:rsidR="00DE575E" w:rsidRDefault="00DE575E">
      <w:pPr>
        <w:pStyle w:val="BodyText"/>
        <w:spacing w:before="7"/>
        <w:rPr>
          <w:rFonts w:ascii="AdonisC"/>
          <w:i/>
          <w:sz w:val="11"/>
        </w:rPr>
      </w:pPr>
    </w:p>
    <w:p w14:paraId="4077F3BF" w14:textId="77777777" w:rsidR="00DE575E" w:rsidRDefault="002E7560">
      <w:pPr>
        <w:pStyle w:val="BodyText"/>
        <w:spacing w:before="101" w:line="252" w:lineRule="auto"/>
        <w:ind w:left="533" w:right="128"/>
        <w:jc w:val="both"/>
      </w:pPr>
      <w:r>
        <w:rPr>
          <w:color w:val="231F20"/>
        </w:rPr>
        <w:t>відне рішення чи його введення в дію. Це також означає, що інфор- мація надається в достатній кількості, у зрозумілій формі, а також через засоби масової інформації</w:t>
      </w:r>
      <w:r>
        <w:rPr>
          <w:color w:val="231F20"/>
          <w:position w:val="7"/>
          <w:sz w:val="12"/>
        </w:rPr>
        <w:t>2</w:t>
      </w:r>
      <w:r>
        <w:rPr>
          <w:color w:val="231F20"/>
        </w:rPr>
        <w:t>.</w:t>
      </w:r>
    </w:p>
    <w:p w14:paraId="54CECE9C" w14:textId="77777777" w:rsidR="00DE575E" w:rsidRDefault="002E7560">
      <w:pPr>
        <w:pStyle w:val="BodyText"/>
        <w:spacing w:before="1" w:line="252" w:lineRule="auto"/>
        <w:ind w:left="533" w:right="127" w:firstLine="283"/>
        <w:jc w:val="both"/>
      </w:pPr>
      <w:r>
        <w:rPr>
          <w:i/>
          <w:color w:val="231F20"/>
        </w:rPr>
        <w:t xml:space="preserve">Принцип відкритості та прозорості </w:t>
      </w:r>
      <w:r>
        <w:rPr>
          <w:color w:val="231F20"/>
        </w:rPr>
        <w:t>передбачає відкритість п</w:t>
      </w:r>
      <w:r>
        <w:rPr>
          <w:color w:val="231F20"/>
        </w:rPr>
        <w:t>ублічної</w:t>
      </w:r>
      <w:r>
        <w:rPr>
          <w:color w:val="231F20"/>
          <w:spacing w:val="-13"/>
        </w:rPr>
        <w:t xml:space="preserve"> </w:t>
      </w:r>
      <w:r>
        <w:rPr>
          <w:color w:val="231F20"/>
        </w:rPr>
        <w:t>адміністрації</w:t>
      </w:r>
      <w:r>
        <w:rPr>
          <w:color w:val="231F20"/>
          <w:spacing w:val="-13"/>
        </w:rPr>
        <w:t xml:space="preserve"> </w:t>
      </w:r>
      <w:r>
        <w:rPr>
          <w:color w:val="231F20"/>
        </w:rPr>
        <w:t>для</w:t>
      </w:r>
      <w:r>
        <w:rPr>
          <w:color w:val="231F20"/>
          <w:spacing w:val="-13"/>
        </w:rPr>
        <w:t xml:space="preserve"> </w:t>
      </w:r>
      <w:r>
        <w:rPr>
          <w:color w:val="231F20"/>
        </w:rPr>
        <w:t>зовнішніх</w:t>
      </w:r>
      <w:r>
        <w:rPr>
          <w:color w:val="231F20"/>
          <w:spacing w:val="-13"/>
        </w:rPr>
        <w:t xml:space="preserve"> </w:t>
      </w:r>
      <w:r>
        <w:rPr>
          <w:color w:val="231F20"/>
        </w:rPr>
        <w:t>перевірок,</w:t>
      </w:r>
      <w:r>
        <w:rPr>
          <w:color w:val="231F20"/>
          <w:spacing w:val="-13"/>
        </w:rPr>
        <w:t xml:space="preserve"> </w:t>
      </w:r>
      <w:r>
        <w:rPr>
          <w:color w:val="231F20"/>
        </w:rPr>
        <w:t>зокрема</w:t>
      </w:r>
      <w:r>
        <w:rPr>
          <w:color w:val="231F20"/>
          <w:spacing w:val="-13"/>
        </w:rPr>
        <w:t xml:space="preserve"> </w:t>
      </w:r>
      <w:r>
        <w:rPr>
          <w:color w:val="231F20"/>
        </w:rPr>
        <w:t>прозорість характеризує доступність інформації про внутрішню діяльність органів</w:t>
      </w:r>
      <w:r>
        <w:rPr>
          <w:color w:val="231F20"/>
          <w:spacing w:val="-9"/>
        </w:rPr>
        <w:t xml:space="preserve"> </w:t>
      </w:r>
      <w:r>
        <w:rPr>
          <w:color w:val="231F20"/>
        </w:rPr>
        <w:t>влади.</w:t>
      </w:r>
      <w:r>
        <w:rPr>
          <w:color w:val="231F20"/>
          <w:spacing w:val="-9"/>
        </w:rPr>
        <w:t xml:space="preserve"> </w:t>
      </w:r>
      <w:r>
        <w:rPr>
          <w:color w:val="231F20"/>
        </w:rPr>
        <w:t>Відкритість</w:t>
      </w:r>
      <w:r>
        <w:rPr>
          <w:color w:val="231F20"/>
          <w:spacing w:val="-9"/>
        </w:rPr>
        <w:t xml:space="preserve"> </w:t>
      </w:r>
      <w:r>
        <w:rPr>
          <w:color w:val="231F20"/>
        </w:rPr>
        <w:t>і</w:t>
      </w:r>
      <w:r>
        <w:rPr>
          <w:color w:val="231F20"/>
          <w:spacing w:val="-7"/>
        </w:rPr>
        <w:t xml:space="preserve"> </w:t>
      </w:r>
      <w:r>
        <w:rPr>
          <w:color w:val="231F20"/>
        </w:rPr>
        <w:t>прозорість</w:t>
      </w:r>
      <w:r>
        <w:rPr>
          <w:color w:val="231F20"/>
          <w:spacing w:val="-9"/>
        </w:rPr>
        <w:t xml:space="preserve"> </w:t>
      </w:r>
      <w:r>
        <w:rPr>
          <w:color w:val="231F20"/>
        </w:rPr>
        <w:t>дозволяє</w:t>
      </w:r>
      <w:r>
        <w:rPr>
          <w:color w:val="231F20"/>
          <w:spacing w:val="-9"/>
        </w:rPr>
        <w:t xml:space="preserve"> </w:t>
      </w:r>
      <w:r>
        <w:rPr>
          <w:color w:val="231F20"/>
        </w:rPr>
        <w:t>кожному</w:t>
      </w:r>
      <w:r>
        <w:rPr>
          <w:color w:val="231F20"/>
          <w:spacing w:val="-9"/>
        </w:rPr>
        <w:t xml:space="preserve"> </w:t>
      </w:r>
      <w:r>
        <w:rPr>
          <w:color w:val="231F20"/>
        </w:rPr>
        <w:t>дізнатися про механізми ухвалення управлінських рішень та створює умови органам нагляду для проведення зовнішніх</w:t>
      </w:r>
      <w:r>
        <w:rPr>
          <w:color w:val="231F20"/>
          <w:spacing w:val="-7"/>
        </w:rPr>
        <w:t xml:space="preserve"> </w:t>
      </w:r>
      <w:r>
        <w:rPr>
          <w:color w:val="231F20"/>
        </w:rPr>
        <w:t>перевірок.</w:t>
      </w:r>
    </w:p>
    <w:p w14:paraId="1CD929EA" w14:textId="77777777" w:rsidR="00DE575E" w:rsidRDefault="002E7560">
      <w:pPr>
        <w:spacing w:before="3"/>
        <w:ind w:left="817"/>
        <w:rPr>
          <w:sz w:val="21"/>
        </w:rPr>
      </w:pPr>
      <w:r>
        <w:rPr>
          <w:i/>
          <w:color w:val="231F20"/>
          <w:sz w:val="21"/>
        </w:rPr>
        <w:t>Відкритість влади поєднує три головні елементи</w:t>
      </w:r>
      <w:r>
        <w:rPr>
          <w:color w:val="231F20"/>
          <w:sz w:val="21"/>
        </w:rPr>
        <w:t>:</w:t>
      </w:r>
    </w:p>
    <w:p w14:paraId="5229B76B" w14:textId="77777777" w:rsidR="00DE575E" w:rsidRDefault="002E7560">
      <w:pPr>
        <w:pStyle w:val="ListParagraph"/>
        <w:numPr>
          <w:ilvl w:val="1"/>
          <w:numId w:val="299"/>
        </w:numPr>
        <w:tabs>
          <w:tab w:val="left" w:pos="1101"/>
        </w:tabs>
        <w:spacing w:before="13" w:line="252" w:lineRule="auto"/>
        <w:ind w:right="128" w:firstLine="284"/>
        <w:rPr>
          <w:sz w:val="21"/>
        </w:rPr>
      </w:pPr>
      <w:r>
        <w:rPr>
          <w:color w:val="231F20"/>
          <w:sz w:val="21"/>
        </w:rPr>
        <w:t>прозорість (transparency) – перебування під публічним конт- ролем;</w:t>
      </w:r>
    </w:p>
    <w:p w14:paraId="256E73AB" w14:textId="77777777" w:rsidR="00DE575E" w:rsidRDefault="002E7560">
      <w:pPr>
        <w:pStyle w:val="ListParagraph"/>
        <w:numPr>
          <w:ilvl w:val="1"/>
          <w:numId w:val="299"/>
        </w:numPr>
        <w:tabs>
          <w:tab w:val="left" w:pos="1101"/>
        </w:tabs>
        <w:ind w:firstLine="284"/>
        <w:jc w:val="left"/>
        <w:rPr>
          <w:sz w:val="21"/>
        </w:rPr>
      </w:pPr>
      <w:r>
        <w:rPr>
          <w:color w:val="231F20"/>
          <w:sz w:val="21"/>
        </w:rPr>
        <w:t>доступність (acce</w:t>
      </w:r>
      <w:r>
        <w:rPr>
          <w:color w:val="231F20"/>
          <w:sz w:val="21"/>
        </w:rPr>
        <w:t xml:space="preserve">ssibility) – </w:t>
      </w:r>
      <w:r>
        <w:rPr>
          <w:color w:val="231F20"/>
          <w:spacing w:val="-3"/>
          <w:sz w:val="21"/>
        </w:rPr>
        <w:t xml:space="preserve">кожному, </w:t>
      </w:r>
      <w:r>
        <w:rPr>
          <w:color w:val="231F20"/>
          <w:sz w:val="21"/>
        </w:rPr>
        <w:t xml:space="preserve">у </w:t>
      </w:r>
      <w:r>
        <w:rPr>
          <w:color w:val="231F20"/>
          <w:spacing w:val="-3"/>
          <w:sz w:val="21"/>
        </w:rPr>
        <w:t xml:space="preserve">будь-який </w:t>
      </w:r>
      <w:r>
        <w:rPr>
          <w:color w:val="231F20"/>
          <w:sz w:val="21"/>
        </w:rPr>
        <w:t>час, всюди;</w:t>
      </w:r>
    </w:p>
    <w:p w14:paraId="19581AE6" w14:textId="77777777" w:rsidR="00DE575E" w:rsidRDefault="002E7560">
      <w:pPr>
        <w:pStyle w:val="ListParagraph"/>
        <w:numPr>
          <w:ilvl w:val="1"/>
          <w:numId w:val="299"/>
        </w:numPr>
        <w:tabs>
          <w:tab w:val="left" w:pos="1101"/>
        </w:tabs>
        <w:spacing w:before="13" w:line="252" w:lineRule="auto"/>
        <w:ind w:right="127" w:firstLine="284"/>
        <w:rPr>
          <w:sz w:val="21"/>
        </w:rPr>
      </w:pPr>
      <w:r>
        <w:rPr>
          <w:color w:val="231F20"/>
          <w:sz w:val="21"/>
        </w:rPr>
        <w:t xml:space="preserve">чутливість – до нових ідей і </w:t>
      </w:r>
      <w:r>
        <w:rPr>
          <w:color w:val="231F20"/>
          <w:spacing w:val="-3"/>
          <w:sz w:val="21"/>
        </w:rPr>
        <w:t xml:space="preserve">вимог, </w:t>
      </w:r>
      <w:r>
        <w:rPr>
          <w:color w:val="231F20"/>
          <w:sz w:val="21"/>
        </w:rPr>
        <w:t>готовність оперативно реагувати</w:t>
      </w:r>
      <w:r>
        <w:rPr>
          <w:color w:val="231F20"/>
          <w:spacing w:val="-2"/>
          <w:sz w:val="21"/>
        </w:rPr>
        <w:t xml:space="preserve"> </w:t>
      </w:r>
      <w:r>
        <w:rPr>
          <w:color w:val="231F20"/>
          <w:sz w:val="21"/>
        </w:rPr>
        <w:t>(responsiveness).</w:t>
      </w:r>
    </w:p>
    <w:p w14:paraId="640CB0BC" w14:textId="77777777" w:rsidR="00DE575E" w:rsidRDefault="002E7560">
      <w:pPr>
        <w:pStyle w:val="BodyText"/>
        <w:spacing w:before="1"/>
        <w:ind w:left="817"/>
      </w:pPr>
      <w:r>
        <w:rPr>
          <w:color w:val="231F20"/>
        </w:rPr>
        <w:t>Поняття «відкритість» має ширше значення, ніж широковживана</w:t>
      </w:r>
    </w:p>
    <w:p w14:paraId="55E50B90" w14:textId="77777777" w:rsidR="00DE575E" w:rsidRDefault="002E7560">
      <w:pPr>
        <w:pStyle w:val="BodyText"/>
        <w:spacing w:before="12" w:line="252" w:lineRule="auto"/>
        <w:ind w:left="533" w:right="127"/>
        <w:jc w:val="both"/>
      </w:pPr>
      <w:r>
        <w:rPr>
          <w:color w:val="231F20"/>
        </w:rPr>
        <w:t>«прозорість». Відкритість передбачає ще два аспекти – «доступ- ність» та «чутливе реагування», що є іншими характеристиками якості взаємодії органів влади з громадськістю, якій вона слугує</w:t>
      </w:r>
      <w:r>
        <w:rPr>
          <w:color w:val="231F20"/>
          <w:position w:val="7"/>
          <w:sz w:val="12"/>
        </w:rPr>
        <w:t>1</w:t>
      </w:r>
      <w:r>
        <w:rPr>
          <w:color w:val="231F20"/>
        </w:rPr>
        <w:t>.</w:t>
      </w:r>
    </w:p>
    <w:p w14:paraId="4EF98966" w14:textId="77777777" w:rsidR="00DE575E" w:rsidRDefault="00DE575E">
      <w:pPr>
        <w:pStyle w:val="BodyText"/>
        <w:spacing w:before="3"/>
        <w:rPr>
          <w:sz w:val="22"/>
        </w:rPr>
      </w:pPr>
    </w:p>
    <w:p w14:paraId="5618F215" w14:textId="77777777" w:rsidR="00DE575E" w:rsidRDefault="002E7560">
      <w:pPr>
        <w:pStyle w:val="Heading6"/>
        <w:numPr>
          <w:ilvl w:val="3"/>
          <w:numId w:val="297"/>
        </w:numPr>
        <w:tabs>
          <w:tab w:val="left" w:pos="1535"/>
        </w:tabs>
        <w:spacing w:before="0"/>
        <w:ind w:left="1534" w:hanging="717"/>
        <w:jc w:val="left"/>
      </w:pPr>
      <w:r>
        <w:rPr>
          <w:color w:val="231F20"/>
        </w:rPr>
        <w:t>Принцип доброчесності й етичної</w:t>
      </w:r>
      <w:r>
        <w:rPr>
          <w:color w:val="231F20"/>
          <w:spacing w:val="-4"/>
        </w:rPr>
        <w:t xml:space="preserve"> </w:t>
      </w:r>
      <w:r>
        <w:rPr>
          <w:color w:val="231F20"/>
        </w:rPr>
        <w:t>поведінки</w:t>
      </w:r>
    </w:p>
    <w:p w14:paraId="160BFC47" w14:textId="77777777" w:rsidR="00DE575E" w:rsidRDefault="002E7560">
      <w:pPr>
        <w:pStyle w:val="BodyText"/>
        <w:spacing w:before="13" w:line="252" w:lineRule="auto"/>
        <w:ind w:left="533" w:right="126" w:firstLine="283"/>
        <w:jc w:val="both"/>
      </w:pPr>
      <w:r>
        <w:rPr>
          <w:color w:val="231F20"/>
        </w:rPr>
        <w:t xml:space="preserve">Категорія </w:t>
      </w:r>
      <w:r>
        <w:rPr>
          <w:i/>
          <w:color w:val="231F20"/>
        </w:rPr>
        <w:t>«доброчесніс</w:t>
      </w:r>
      <w:r>
        <w:rPr>
          <w:i/>
          <w:color w:val="231F20"/>
        </w:rPr>
        <w:t xml:space="preserve">ть» </w:t>
      </w:r>
      <w:r>
        <w:rPr>
          <w:color w:val="231F20"/>
        </w:rPr>
        <w:t xml:space="preserve">належить до фундаментальних кате- горій науки, під нею розуміють високу моральну </w:t>
      </w:r>
      <w:r>
        <w:rPr>
          <w:color w:val="231F20"/>
          <w:spacing w:val="-3"/>
        </w:rPr>
        <w:t xml:space="preserve">чистоту, </w:t>
      </w:r>
      <w:r>
        <w:rPr>
          <w:color w:val="231F20"/>
        </w:rPr>
        <w:t xml:space="preserve">чесність. Виходячи з цього, діяльність </w:t>
      </w:r>
      <w:r>
        <w:rPr>
          <w:color w:val="231F20"/>
          <w:spacing w:val="-3"/>
        </w:rPr>
        <w:t xml:space="preserve">суб’єктів </w:t>
      </w:r>
      <w:r>
        <w:rPr>
          <w:color w:val="231F20"/>
        </w:rPr>
        <w:t>публічної адміністрації має відбивати особистості стійкі позитивні моральні якості, спрямовані на</w:t>
      </w:r>
      <w:r>
        <w:rPr>
          <w:color w:val="231F20"/>
          <w:spacing w:val="-12"/>
        </w:rPr>
        <w:t xml:space="preserve"> </w:t>
      </w:r>
      <w:r>
        <w:rPr>
          <w:color w:val="231F20"/>
        </w:rPr>
        <w:t>досягнення</w:t>
      </w:r>
      <w:r>
        <w:rPr>
          <w:color w:val="231F20"/>
          <w:spacing w:val="-12"/>
        </w:rPr>
        <w:t xml:space="preserve"> </w:t>
      </w:r>
      <w:r>
        <w:rPr>
          <w:color w:val="231F20"/>
        </w:rPr>
        <w:t>добра</w:t>
      </w:r>
      <w:r>
        <w:rPr>
          <w:color w:val="231F20"/>
          <w:spacing w:val="-12"/>
        </w:rPr>
        <w:t xml:space="preserve"> </w:t>
      </w:r>
      <w:r>
        <w:rPr>
          <w:color w:val="231F20"/>
        </w:rPr>
        <w:t>(публічного</w:t>
      </w:r>
      <w:r>
        <w:rPr>
          <w:color w:val="231F20"/>
          <w:spacing w:val="-12"/>
        </w:rPr>
        <w:t xml:space="preserve"> </w:t>
      </w:r>
      <w:r>
        <w:rPr>
          <w:color w:val="231F20"/>
        </w:rPr>
        <w:t>інтересу)</w:t>
      </w:r>
      <w:r>
        <w:rPr>
          <w:color w:val="231F20"/>
          <w:spacing w:val="-12"/>
        </w:rPr>
        <w:t xml:space="preserve"> </w:t>
      </w:r>
      <w:r>
        <w:rPr>
          <w:color w:val="231F20"/>
        </w:rPr>
        <w:t>як</w:t>
      </w:r>
      <w:r>
        <w:rPr>
          <w:color w:val="231F20"/>
          <w:spacing w:val="-12"/>
        </w:rPr>
        <w:t xml:space="preserve"> </w:t>
      </w:r>
      <w:r>
        <w:rPr>
          <w:color w:val="231F20"/>
        </w:rPr>
        <w:t>для</w:t>
      </w:r>
      <w:r>
        <w:rPr>
          <w:color w:val="231F20"/>
          <w:spacing w:val="-12"/>
        </w:rPr>
        <w:t xml:space="preserve"> </w:t>
      </w:r>
      <w:r>
        <w:rPr>
          <w:color w:val="231F20"/>
        </w:rPr>
        <w:t>окремої</w:t>
      </w:r>
      <w:r>
        <w:rPr>
          <w:color w:val="231F20"/>
          <w:spacing w:val="-12"/>
        </w:rPr>
        <w:t xml:space="preserve"> </w:t>
      </w:r>
      <w:r>
        <w:rPr>
          <w:color w:val="231F20"/>
        </w:rPr>
        <w:t>особи,</w:t>
      </w:r>
      <w:r>
        <w:rPr>
          <w:color w:val="231F20"/>
          <w:spacing w:val="-12"/>
        </w:rPr>
        <w:t xml:space="preserve"> </w:t>
      </w:r>
      <w:r>
        <w:rPr>
          <w:color w:val="231F20"/>
        </w:rPr>
        <w:t>так і суспільства</w:t>
      </w:r>
      <w:r>
        <w:rPr>
          <w:color w:val="231F20"/>
          <w:spacing w:val="-3"/>
        </w:rPr>
        <w:t xml:space="preserve"> </w:t>
      </w:r>
      <w:r>
        <w:rPr>
          <w:color w:val="231F20"/>
        </w:rPr>
        <w:t>загалом</w:t>
      </w:r>
      <w:r>
        <w:rPr>
          <w:color w:val="231F20"/>
          <w:position w:val="7"/>
          <w:sz w:val="12"/>
        </w:rPr>
        <w:t>2</w:t>
      </w:r>
      <w:r>
        <w:rPr>
          <w:color w:val="231F20"/>
        </w:rPr>
        <w:t>.</w:t>
      </w:r>
    </w:p>
    <w:p w14:paraId="64D9F1CE" w14:textId="77777777" w:rsidR="00DE575E" w:rsidRDefault="002E7560">
      <w:pPr>
        <w:pStyle w:val="BodyText"/>
        <w:spacing w:before="3" w:line="252" w:lineRule="auto"/>
        <w:ind w:left="533" w:right="127" w:firstLine="283"/>
        <w:jc w:val="both"/>
      </w:pPr>
      <w:r>
        <w:rPr>
          <w:i/>
          <w:color w:val="231F20"/>
        </w:rPr>
        <w:t>Принцип</w:t>
      </w:r>
      <w:r>
        <w:rPr>
          <w:i/>
          <w:color w:val="231F20"/>
          <w:spacing w:val="-22"/>
        </w:rPr>
        <w:t xml:space="preserve"> </w:t>
      </w:r>
      <w:r>
        <w:rPr>
          <w:i/>
          <w:color w:val="231F20"/>
        </w:rPr>
        <w:t>етичної</w:t>
      </w:r>
      <w:r>
        <w:rPr>
          <w:i/>
          <w:color w:val="231F20"/>
          <w:spacing w:val="-22"/>
        </w:rPr>
        <w:t xml:space="preserve"> </w:t>
      </w:r>
      <w:r>
        <w:rPr>
          <w:i/>
          <w:color w:val="231F20"/>
        </w:rPr>
        <w:t>поведінки</w:t>
      </w:r>
      <w:r>
        <w:rPr>
          <w:i/>
          <w:color w:val="231F20"/>
          <w:spacing w:val="-22"/>
        </w:rPr>
        <w:t xml:space="preserve"> </w:t>
      </w:r>
      <w:r>
        <w:rPr>
          <w:color w:val="231F20"/>
          <w:spacing w:val="-3"/>
        </w:rPr>
        <w:t>суб’єктів</w:t>
      </w:r>
      <w:r>
        <w:rPr>
          <w:color w:val="231F20"/>
          <w:spacing w:val="-22"/>
        </w:rPr>
        <w:t xml:space="preserve"> </w:t>
      </w:r>
      <w:r>
        <w:rPr>
          <w:color w:val="231F20"/>
        </w:rPr>
        <w:t>публічної</w:t>
      </w:r>
      <w:r>
        <w:rPr>
          <w:color w:val="231F20"/>
          <w:spacing w:val="-22"/>
        </w:rPr>
        <w:t xml:space="preserve"> </w:t>
      </w:r>
      <w:r>
        <w:rPr>
          <w:color w:val="231F20"/>
        </w:rPr>
        <w:t>адміністрації</w:t>
      </w:r>
      <w:r>
        <w:rPr>
          <w:color w:val="231F20"/>
          <w:spacing w:val="-21"/>
        </w:rPr>
        <w:t xml:space="preserve"> </w:t>
      </w:r>
      <w:r>
        <w:rPr>
          <w:color w:val="231F20"/>
        </w:rPr>
        <w:t xml:space="preserve">вклю- чає в себе засади етики публічної служби, які ґрунтуються на поло- женнях Конституції </w:t>
      </w:r>
      <w:r>
        <w:rPr>
          <w:color w:val="231F20"/>
          <w:spacing w:val="-3"/>
        </w:rPr>
        <w:t xml:space="preserve">України, </w:t>
      </w:r>
      <w:r>
        <w:rPr>
          <w:color w:val="231F20"/>
        </w:rPr>
        <w:t>законодавства про</w:t>
      </w:r>
      <w:r>
        <w:rPr>
          <w:color w:val="231F20"/>
        </w:rPr>
        <w:t xml:space="preserve"> державну службу (службу</w:t>
      </w:r>
      <w:r>
        <w:rPr>
          <w:color w:val="231F20"/>
          <w:spacing w:val="-7"/>
        </w:rPr>
        <w:t xml:space="preserve"> </w:t>
      </w:r>
      <w:r>
        <w:rPr>
          <w:color w:val="231F20"/>
        </w:rPr>
        <w:t>в</w:t>
      </w:r>
      <w:r>
        <w:rPr>
          <w:color w:val="231F20"/>
          <w:spacing w:val="-7"/>
        </w:rPr>
        <w:t xml:space="preserve"> </w:t>
      </w:r>
      <w:r>
        <w:rPr>
          <w:color w:val="231F20"/>
        </w:rPr>
        <w:t>органах</w:t>
      </w:r>
      <w:r>
        <w:rPr>
          <w:color w:val="231F20"/>
          <w:spacing w:val="-7"/>
        </w:rPr>
        <w:t xml:space="preserve"> </w:t>
      </w:r>
      <w:r>
        <w:rPr>
          <w:color w:val="231F20"/>
        </w:rPr>
        <w:t>місцевого</w:t>
      </w:r>
      <w:r>
        <w:rPr>
          <w:color w:val="231F20"/>
          <w:spacing w:val="-7"/>
        </w:rPr>
        <w:t xml:space="preserve"> </w:t>
      </w:r>
      <w:r>
        <w:rPr>
          <w:color w:val="231F20"/>
        </w:rPr>
        <w:t>самоврядування)</w:t>
      </w:r>
      <w:r>
        <w:rPr>
          <w:color w:val="231F20"/>
          <w:spacing w:val="-7"/>
        </w:rPr>
        <w:t xml:space="preserve"> </w:t>
      </w:r>
      <w:r>
        <w:rPr>
          <w:color w:val="231F20"/>
        </w:rPr>
        <w:t>та</w:t>
      </w:r>
      <w:r>
        <w:rPr>
          <w:color w:val="231F20"/>
          <w:spacing w:val="-7"/>
        </w:rPr>
        <w:t xml:space="preserve"> </w:t>
      </w:r>
      <w:r>
        <w:rPr>
          <w:color w:val="231F20"/>
        </w:rPr>
        <w:t>запобігання</w:t>
      </w:r>
      <w:r>
        <w:rPr>
          <w:color w:val="231F20"/>
          <w:spacing w:val="-7"/>
        </w:rPr>
        <w:t xml:space="preserve"> </w:t>
      </w:r>
      <w:r>
        <w:rPr>
          <w:color w:val="231F20"/>
        </w:rPr>
        <w:t xml:space="preserve">коруп- ції, а саме: служіння народу </w:t>
      </w:r>
      <w:r>
        <w:rPr>
          <w:color w:val="231F20"/>
          <w:spacing w:val="-3"/>
        </w:rPr>
        <w:t xml:space="preserve">України </w:t>
      </w:r>
      <w:r>
        <w:rPr>
          <w:color w:val="231F20"/>
        </w:rPr>
        <w:t>та суспільству (забезпечувати публічний, а не відомчий інтерес); гідна поведінка (бути</w:t>
      </w:r>
      <w:r>
        <w:rPr>
          <w:color w:val="231F20"/>
          <w:spacing w:val="27"/>
        </w:rPr>
        <w:t xml:space="preserve"> </w:t>
      </w:r>
      <w:r>
        <w:rPr>
          <w:color w:val="231F20"/>
        </w:rPr>
        <w:t xml:space="preserve">ввічли- вими у стосунках з громадянами, колегами </w:t>
      </w:r>
      <w:r>
        <w:rPr>
          <w:color w:val="231F20"/>
        </w:rPr>
        <w:t>й підлеглими); неупере- дженість</w:t>
      </w:r>
      <w:r>
        <w:rPr>
          <w:color w:val="231F20"/>
          <w:spacing w:val="17"/>
        </w:rPr>
        <w:t xml:space="preserve"> </w:t>
      </w:r>
      <w:r>
        <w:rPr>
          <w:color w:val="231F20"/>
        </w:rPr>
        <w:t>і</w:t>
      </w:r>
      <w:r>
        <w:rPr>
          <w:color w:val="231F20"/>
          <w:spacing w:val="17"/>
        </w:rPr>
        <w:t xml:space="preserve"> </w:t>
      </w:r>
      <w:r>
        <w:rPr>
          <w:color w:val="231F20"/>
        </w:rPr>
        <w:t>політична</w:t>
      </w:r>
      <w:r>
        <w:rPr>
          <w:color w:val="231F20"/>
          <w:spacing w:val="17"/>
        </w:rPr>
        <w:t xml:space="preserve"> </w:t>
      </w:r>
      <w:r>
        <w:rPr>
          <w:color w:val="231F20"/>
        </w:rPr>
        <w:t>нейтральність</w:t>
      </w:r>
      <w:r>
        <w:rPr>
          <w:color w:val="231F20"/>
          <w:spacing w:val="17"/>
        </w:rPr>
        <w:t xml:space="preserve"> </w:t>
      </w:r>
      <w:r>
        <w:rPr>
          <w:color w:val="231F20"/>
        </w:rPr>
        <w:t>(не</w:t>
      </w:r>
      <w:r>
        <w:rPr>
          <w:color w:val="231F20"/>
          <w:spacing w:val="17"/>
        </w:rPr>
        <w:t xml:space="preserve"> </w:t>
      </w:r>
      <w:r>
        <w:rPr>
          <w:color w:val="231F20"/>
        </w:rPr>
        <w:t>використовувати</w:t>
      </w:r>
      <w:r>
        <w:rPr>
          <w:color w:val="231F20"/>
          <w:spacing w:val="18"/>
        </w:rPr>
        <w:t xml:space="preserve"> </w:t>
      </w:r>
      <w:r>
        <w:rPr>
          <w:color w:val="231F20"/>
        </w:rPr>
        <w:t>службові</w:t>
      </w:r>
    </w:p>
    <w:p w14:paraId="181E46A7" w14:textId="55B8DD07" w:rsidR="00DE575E" w:rsidRDefault="002E7560">
      <w:pPr>
        <w:pStyle w:val="BodyText"/>
        <w:spacing w:before="4"/>
        <w:rPr>
          <w:sz w:val="25"/>
        </w:rPr>
      </w:pPr>
      <w:r>
        <w:rPr>
          <w:noProof/>
        </w:rPr>
        <mc:AlternateContent>
          <mc:Choice Requires="wps">
            <w:drawing>
              <wp:anchor distT="0" distB="0" distL="0" distR="0" simplePos="0" relativeHeight="2944" behindDoc="0" locked="0" layoutInCell="1" allowOverlap="1" wp14:anchorId="7D62EC6E" wp14:editId="0AC8D5A5">
                <wp:simplePos x="0" y="0"/>
                <wp:positionH relativeFrom="page">
                  <wp:posOffset>719455</wp:posOffset>
                </wp:positionH>
                <wp:positionV relativeFrom="paragraph">
                  <wp:posOffset>216535</wp:posOffset>
                </wp:positionV>
                <wp:extent cx="1080135" cy="0"/>
                <wp:effectExtent l="8255" t="13335" r="29210" b="24765"/>
                <wp:wrapTopAndBottom/>
                <wp:docPr id="1274"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79FEF" id="Line_x0020_1273" o:spid="_x0000_s1026" style="position:absolute;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05pt" to="141.7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" strokecolor="#231f20" strokeweight=".5pt">
                <w10:wrap type="topAndBottom" anchorx="page"/>
              </v:line>
            </w:pict>
          </mc:Fallback>
        </mc:AlternateContent>
      </w:r>
    </w:p>
    <w:p w14:paraId="5C892DD6" w14:textId="77777777" w:rsidR="00DE575E" w:rsidRDefault="002E7560">
      <w:pPr>
        <w:spacing w:line="204" w:lineRule="auto"/>
        <w:ind w:left="533" w:right="128"/>
        <w:rPr>
          <w:sz w:val="16"/>
        </w:rPr>
      </w:pPr>
      <w:r>
        <w:rPr>
          <w:color w:val="231F20"/>
          <w:position w:val="5"/>
          <w:sz w:val="9"/>
        </w:rPr>
        <w:t xml:space="preserve">1 </w:t>
      </w:r>
      <w:r>
        <w:rPr>
          <w:color w:val="231F20"/>
          <w:sz w:val="16"/>
        </w:rPr>
        <w:t xml:space="preserve">Дзюндзюк В. та ін. Публічне адміністрування в Україні. 2011. URL: </w:t>
      </w:r>
      <w:hyperlink r:id="rId23">
        <w:r>
          <w:rPr>
            <w:color w:val="231F20"/>
            <w:sz w:val="16"/>
          </w:rPr>
          <w:t>http://economics.</w:t>
        </w:r>
      </w:hyperlink>
      <w:r>
        <w:rPr>
          <w:color w:val="231F20"/>
          <w:sz w:val="16"/>
        </w:rPr>
        <w:t xml:space="preserve"> studio/ derjavne-upravlinnya-munitsipalne/printsip-vidkritosti-prozorosti-78944.html</w:t>
      </w:r>
    </w:p>
    <w:p w14:paraId="15B05B4A" w14:textId="77777777" w:rsidR="00DE575E" w:rsidRDefault="002E7560">
      <w:pPr>
        <w:spacing w:before="26" w:line="204" w:lineRule="auto"/>
        <w:ind w:left="533"/>
        <w:rPr>
          <w:sz w:val="16"/>
        </w:rPr>
      </w:pPr>
      <w:r>
        <w:rPr>
          <w:color w:val="231F20"/>
          <w:position w:val="5"/>
          <w:sz w:val="9"/>
        </w:rPr>
        <w:t xml:space="preserve">2 </w:t>
      </w:r>
      <w:r>
        <w:rPr>
          <w:color w:val="231F20"/>
          <w:sz w:val="16"/>
        </w:rPr>
        <w:t xml:space="preserve">Томкіна О. Принцип доброчесності державної влади: постановка проблеми. </w:t>
      </w:r>
      <w:r>
        <w:rPr>
          <w:i/>
          <w:color w:val="231F20"/>
          <w:sz w:val="16"/>
        </w:rPr>
        <w:t>Вісник Національної академії правових наук України</w:t>
      </w:r>
      <w:r>
        <w:rPr>
          <w:color w:val="231F20"/>
          <w:sz w:val="16"/>
        </w:rPr>
        <w:t>. 2014. № 1 (76). С. 65-72.</w:t>
      </w:r>
    </w:p>
    <w:p w14:paraId="29AAD29E" w14:textId="77777777" w:rsidR="00DE575E" w:rsidRDefault="00DE575E">
      <w:pPr>
        <w:pStyle w:val="BodyText"/>
        <w:spacing w:before="5"/>
        <w:rPr>
          <w:sz w:val="12"/>
        </w:rPr>
      </w:pPr>
    </w:p>
    <w:p w14:paraId="195EBBBC" w14:textId="77777777" w:rsidR="00DE575E" w:rsidRDefault="002E7560">
      <w:pPr>
        <w:spacing w:before="91"/>
        <w:ind w:left="533"/>
        <w:rPr>
          <w:rFonts w:ascii="Times New Roman"/>
          <w:sz w:val="20"/>
        </w:rPr>
      </w:pPr>
      <w:r>
        <w:rPr>
          <w:rFonts w:ascii="Times New Roman"/>
          <w:color w:val="231F20"/>
          <w:sz w:val="20"/>
        </w:rPr>
        <w:t>54</w:t>
      </w:r>
    </w:p>
    <w:p w14:paraId="6254E7F2" w14:textId="77777777" w:rsidR="00DE575E" w:rsidRDefault="00DE575E">
      <w:pPr>
        <w:rPr>
          <w:rFonts w:ascii="Times New Roman"/>
          <w:sz w:val="20"/>
        </w:rPr>
        <w:sectPr w:rsidR="00DE575E">
          <w:pgSz w:w="8510" w:h="12760"/>
          <w:pgMar w:top="660" w:right="720" w:bottom="280" w:left="600" w:header="720" w:footer="720" w:gutter="0"/>
          <w:cols w:space="720"/>
        </w:sectPr>
      </w:pPr>
    </w:p>
    <w:p w14:paraId="6E532825" w14:textId="77777777" w:rsidR="00DE575E" w:rsidRDefault="002E7560">
      <w:pPr>
        <w:spacing w:before="72" w:line="249" w:lineRule="auto"/>
        <w:ind w:left="3080" w:right="411" w:firstLine="349"/>
        <w:jc w:val="right"/>
        <w:rPr>
          <w:rFonts w:ascii="AdonisC" w:hAnsi="AdonisC"/>
          <w:i/>
          <w:sz w:val="18"/>
        </w:rPr>
      </w:pPr>
      <w:r>
        <w:rPr>
          <w:rFonts w:ascii="AdonisC" w:hAnsi="AdonisC"/>
          <w:i/>
          <w:color w:val="231F20"/>
          <w:sz w:val="18"/>
        </w:rPr>
        <w:lastRenderedPageBreak/>
        <w:t>Глава І. Загальне адміністративне право Розділ 2. Принципи адміністративного права</w:t>
      </w:r>
    </w:p>
    <w:p w14:paraId="07380F9A" w14:textId="53938B6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7153FCE" wp14:editId="2306B67C">
                <wp:extent cx="4140200" cy="6350"/>
                <wp:effectExtent l="0" t="0" r="12700" b="6350"/>
                <wp:docPr id="1272"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73" name="Line 127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55C61" id="Group_x0020_127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MftnefQIAAJwFAAAOAAAA&#10;AAAAAAAAAAAAACwCAABkcnMvZTJvRG9jLnhtbFBLAQItABQABgAIAAAAIQBMp7CQ2QAAAAMBAAAP&#10;AAAAAAAAAAAAAAAAANUEAABkcnMvZG93bnJldi54bWxQSwUGAAAAAAQABADzAAAA2wUAAAAA&#10;">
                <v:line id="Line_x0020_127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bNbMUAAADdAAAADwAAAGRycy9kb3ducmV2LnhtbERPzWrCQBC+F/oOyxS8FN1ooEp0lSII&#10;4kGr8QHG7JiE7s7G7GrSPn23UOhtPr7fWax6a8SDWl87VjAeJSCIC6drLhWc881wBsIHZI3GMSn4&#10;Ig+r5fPTAjPtOj7S4xRKEUPYZ6igCqHJpPRFRRb9yDXEkbu61mKIsC2lbrGL4dbISZK8SYs1x4YK&#10;G1pXVHye7lZBfnsN5uOwM11+uKTyctun3/e9UoOX/n0OIlAf/sV/7q2O8yfT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ZbNbMUAAADdAAAADwAAAAAAAAAA&#10;AAAAAAChAgAAZHJzL2Rvd25yZXYueG1sUEsFBgAAAAAEAAQA+QAAAJMDAAAAAA==&#10;" strokecolor="#231f20" strokeweight=".5pt"/>
                <w10:anchorlock/>
              </v:group>
            </w:pict>
          </mc:Fallback>
        </mc:AlternateContent>
      </w:r>
    </w:p>
    <w:p w14:paraId="0CBB39AD" w14:textId="77777777" w:rsidR="00DE575E" w:rsidRDefault="00DE575E">
      <w:pPr>
        <w:pStyle w:val="BodyText"/>
        <w:spacing w:before="7"/>
        <w:rPr>
          <w:rFonts w:ascii="AdonisC"/>
          <w:i/>
          <w:sz w:val="19"/>
        </w:rPr>
      </w:pPr>
    </w:p>
    <w:p w14:paraId="05A05434" w14:textId="77777777" w:rsidR="00DE575E" w:rsidRDefault="002E7560">
      <w:pPr>
        <w:pStyle w:val="BodyText"/>
        <w:spacing w:before="1" w:line="252" w:lineRule="auto"/>
        <w:ind w:left="250" w:right="411"/>
        <w:jc w:val="both"/>
      </w:pPr>
      <w:r>
        <w:rPr>
          <w:color w:val="231F20"/>
        </w:rPr>
        <w:t>повноваження в інтересах політичних партій або окремих полі- тиків); недопущення виконання незаконних рішен</w:t>
      </w:r>
      <w:r>
        <w:rPr>
          <w:color w:val="231F20"/>
        </w:rPr>
        <w:t>ь чи доручень; сумлінність; нерозголошення інформації.</w:t>
      </w:r>
    </w:p>
    <w:p w14:paraId="72CB04C3" w14:textId="77777777" w:rsidR="00DE575E" w:rsidRDefault="00DE575E">
      <w:pPr>
        <w:pStyle w:val="BodyText"/>
        <w:spacing w:before="2"/>
        <w:rPr>
          <w:sz w:val="22"/>
        </w:rPr>
      </w:pPr>
    </w:p>
    <w:p w14:paraId="71829DAE" w14:textId="77777777" w:rsidR="00DE575E" w:rsidRDefault="002E7560">
      <w:pPr>
        <w:pStyle w:val="Heading6"/>
        <w:numPr>
          <w:ilvl w:val="3"/>
          <w:numId w:val="297"/>
        </w:numPr>
        <w:tabs>
          <w:tab w:val="left" w:pos="1321"/>
        </w:tabs>
        <w:spacing w:before="0" w:line="252" w:lineRule="auto"/>
        <w:ind w:left="250" w:right="411" w:firstLine="283"/>
        <w:jc w:val="both"/>
      </w:pPr>
      <w:r>
        <w:rPr>
          <w:color w:val="231F20"/>
        </w:rPr>
        <w:t xml:space="preserve">Принципи ефективності, компетентності й спро- </w:t>
      </w:r>
      <w:r>
        <w:rPr>
          <w:color w:val="231F20"/>
        </w:rPr>
        <w:t>можності</w:t>
      </w:r>
    </w:p>
    <w:p w14:paraId="3AE80B55" w14:textId="77777777" w:rsidR="00DE575E" w:rsidRDefault="002E7560">
      <w:pPr>
        <w:pStyle w:val="BodyText"/>
        <w:spacing w:before="1" w:line="252" w:lineRule="auto"/>
        <w:ind w:left="250" w:right="411" w:firstLine="283"/>
        <w:jc w:val="both"/>
      </w:pPr>
      <w:r>
        <w:rPr>
          <w:i/>
          <w:color w:val="231F20"/>
          <w:spacing w:val="-3"/>
        </w:rPr>
        <w:t xml:space="preserve">Принцип ефективності </w:t>
      </w:r>
      <w:r>
        <w:rPr>
          <w:color w:val="231F20"/>
          <w:spacing w:val="-3"/>
        </w:rPr>
        <w:t xml:space="preserve">полягає </w:t>
      </w:r>
      <w:r>
        <w:rPr>
          <w:color w:val="231F20"/>
        </w:rPr>
        <w:t xml:space="preserve">в </w:t>
      </w:r>
      <w:r>
        <w:rPr>
          <w:color w:val="231F20"/>
          <w:spacing w:val="-6"/>
        </w:rPr>
        <w:t xml:space="preserve">тому, </w:t>
      </w:r>
      <w:r>
        <w:rPr>
          <w:color w:val="231F20"/>
        </w:rPr>
        <w:t xml:space="preserve">що </w:t>
      </w:r>
      <w:r>
        <w:rPr>
          <w:color w:val="231F20"/>
          <w:spacing w:val="-3"/>
        </w:rPr>
        <w:t xml:space="preserve">публічне </w:t>
      </w:r>
      <w:r>
        <w:rPr>
          <w:color w:val="231F20"/>
          <w:spacing w:val="-4"/>
        </w:rPr>
        <w:t xml:space="preserve">адміністру- </w:t>
      </w:r>
      <w:r>
        <w:rPr>
          <w:color w:val="231F20"/>
          <w:spacing w:val="-3"/>
        </w:rPr>
        <w:t xml:space="preserve">вання </w:t>
      </w:r>
      <w:r>
        <w:rPr>
          <w:color w:val="231F20"/>
        </w:rPr>
        <w:t xml:space="preserve">має бути </w:t>
      </w:r>
      <w:r>
        <w:rPr>
          <w:color w:val="231F20"/>
          <w:spacing w:val="-3"/>
        </w:rPr>
        <w:t xml:space="preserve">ефективним </w:t>
      </w:r>
      <w:r>
        <w:rPr>
          <w:color w:val="231F20"/>
        </w:rPr>
        <w:t xml:space="preserve">й </w:t>
      </w:r>
      <w:r>
        <w:rPr>
          <w:color w:val="231F20"/>
          <w:spacing w:val="-3"/>
        </w:rPr>
        <w:t xml:space="preserve">своєчасним, таким, </w:t>
      </w:r>
      <w:r>
        <w:rPr>
          <w:color w:val="231F20"/>
        </w:rPr>
        <w:t xml:space="preserve">що </w:t>
      </w:r>
      <w:r>
        <w:rPr>
          <w:color w:val="231F20"/>
          <w:spacing w:val="-4"/>
        </w:rPr>
        <w:t xml:space="preserve">забезпечує </w:t>
      </w:r>
      <w:r>
        <w:rPr>
          <w:color w:val="231F20"/>
          <w:spacing w:val="-3"/>
        </w:rPr>
        <w:t xml:space="preserve">все потрібне </w:t>
      </w:r>
      <w:r>
        <w:rPr>
          <w:color w:val="231F20"/>
        </w:rPr>
        <w:t xml:space="preserve">на </w:t>
      </w:r>
      <w:r>
        <w:rPr>
          <w:color w:val="231F20"/>
          <w:spacing w:val="-3"/>
        </w:rPr>
        <w:t xml:space="preserve">підставі </w:t>
      </w:r>
      <w:r>
        <w:rPr>
          <w:color w:val="231F20"/>
        </w:rPr>
        <w:t xml:space="preserve">чітких </w:t>
      </w:r>
      <w:r>
        <w:rPr>
          <w:color w:val="231F20"/>
          <w:spacing w:val="-3"/>
        </w:rPr>
        <w:t xml:space="preserve">завдань, </w:t>
      </w:r>
      <w:r>
        <w:rPr>
          <w:color w:val="231F20"/>
        </w:rPr>
        <w:t xml:space="preserve">оцінки </w:t>
      </w:r>
      <w:r>
        <w:rPr>
          <w:color w:val="231F20"/>
          <w:spacing w:val="-3"/>
        </w:rPr>
        <w:t xml:space="preserve">майбутнього впливу та, </w:t>
      </w:r>
      <w:r>
        <w:rPr>
          <w:color w:val="231F20"/>
        </w:rPr>
        <w:t xml:space="preserve">де це </w:t>
      </w:r>
      <w:r>
        <w:rPr>
          <w:color w:val="231F20"/>
          <w:spacing w:val="-3"/>
        </w:rPr>
        <w:t xml:space="preserve">можливо, </w:t>
      </w:r>
      <w:r>
        <w:rPr>
          <w:color w:val="231F20"/>
        </w:rPr>
        <w:t xml:space="preserve">– </w:t>
      </w:r>
      <w:r>
        <w:rPr>
          <w:color w:val="231F20"/>
          <w:spacing w:val="-3"/>
        </w:rPr>
        <w:t xml:space="preserve">попереднього </w:t>
      </w:r>
      <w:r>
        <w:rPr>
          <w:color w:val="231F20"/>
          <w:spacing w:val="-5"/>
        </w:rPr>
        <w:t xml:space="preserve">досвіду. </w:t>
      </w:r>
      <w:r>
        <w:rPr>
          <w:color w:val="231F20"/>
          <w:spacing w:val="-4"/>
        </w:rPr>
        <w:t xml:space="preserve">Реалізація </w:t>
      </w:r>
      <w:r>
        <w:rPr>
          <w:color w:val="231F20"/>
          <w:spacing w:val="-3"/>
        </w:rPr>
        <w:t xml:space="preserve">принципу ефектив- ності також залежить </w:t>
      </w:r>
      <w:r>
        <w:rPr>
          <w:color w:val="231F20"/>
        </w:rPr>
        <w:t xml:space="preserve">від </w:t>
      </w:r>
      <w:r>
        <w:rPr>
          <w:color w:val="231F20"/>
          <w:spacing w:val="-3"/>
        </w:rPr>
        <w:t xml:space="preserve">упровадження політики </w:t>
      </w:r>
      <w:r>
        <w:rPr>
          <w:color w:val="231F20"/>
        </w:rPr>
        <w:t xml:space="preserve">ЄС на </w:t>
      </w:r>
      <w:r>
        <w:rPr>
          <w:color w:val="231F20"/>
          <w:spacing w:val="-3"/>
        </w:rPr>
        <w:t xml:space="preserve">пропорційній </w:t>
      </w:r>
      <w:r>
        <w:rPr>
          <w:color w:val="231F20"/>
        </w:rPr>
        <w:t xml:space="preserve">основі та від того, чи </w:t>
      </w:r>
      <w:r>
        <w:rPr>
          <w:color w:val="231F20"/>
          <w:spacing w:val="-3"/>
        </w:rPr>
        <w:t xml:space="preserve">рішення ухвалюються </w:t>
      </w:r>
      <w:r>
        <w:rPr>
          <w:color w:val="231F20"/>
        </w:rPr>
        <w:t xml:space="preserve">на </w:t>
      </w:r>
      <w:r>
        <w:rPr>
          <w:color w:val="231F20"/>
          <w:spacing w:val="-3"/>
        </w:rPr>
        <w:t>прийнятному рівні.</w:t>
      </w:r>
    </w:p>
    <w:p w14:paraId="73077DBD" w14:textId="77777777" w:rsidR="00DE575E" w:rsidRDefault="002E7560">
      <w:pPr>
        <w:pStyle w:val="BodyText"/>
        <w:spacing w:before="3" w:line="252" w:lineRule="auto"/>
        <w:ind w:left="250" w:right="411" w:firstLine="283"/>
        <w:jc w:val="both"/>
      </w:pPr>
      <w:r>
        <w:rPr>
          <w:i/>
          <w:color w:val="231F20"/>
        </w:rPr>
        <w:t>Пр</w:t>
      </w:r>
      <w:r>
        <w:rPr>
          <w:i/>
          <w:color w:val="231F20"/>
        </w:rPr>
        <w:t>инципи</w:t>
      </w:r>
      <w:r>
        <w:rPr>
          <w:i/>
          <w:color w:val="231F20"/>
          <w:spacing w:val="-13"/>
        </w:rPr>
        <w:t xml:space="preserve"> </w:t>
      </w:r>
      <w:r>
        <w:rPr>
          <w:i/>
          <w:color w:val="231F20"/>
        </w:rPr>
        <w:t>компетентності</w:t>
      </w:r>
      <w:r>
        <w:rPr>
          <w:i/>
          <w:color w:val="231F20"/>
          <w:spacing w:val="-14"/>
        </w:rPr>
        <w:t xml:space="preserve"> </w:t>
      </w:r>
      <w:r>
        <w:rPr>
          <w:i/>
          <w:color w:val="231F20"/>
        </w:rPr>
        <w:t>й</w:t>
      </w:r>
      <w:r>
        <w:rPr>
          <w:i/>
          <w:color w:val="231F20"/>
          <w:spacing w:val="-13"/>
        </w:rPr>
        <w:t xml:space="preserve"> </w:t>
      </w:r>
      <w:r>
        <w:rPr>
          <w:i/>
          <w:color w:val="231F20"/>
        </w:rPr>
        <w:t>спроможності</w:t>
      </w:r>
      <w:r>
        <w:rPr>
          <w:i/>
          <w:color w:val="231F20"/>
          <w:spacing w:val="-13"/>
        </w:rPr>
        <w:t xml:space="preserve"> </w:t>
      </w:r>
      <w:r>
        <w:rPr>
          <w:color w:val="231F20"/>
        </w:rPr>
        <w:t>полягають</w:t>
      </w:r>
      <w:r>
        <w:rPr>
          <w:color w:val="231F20"/>
          <w:spacing w:val="-13"/>
        </w:rPr>
        <w:t xml:space="preserve"> </w:t>
      </w:r>
      <w:r>
        <w:rPr>
          <w:color w:val="231F20"/>
        </w:rPr>
        <w:t>у</w:t>
      </w:r>
      <w:r>
        <w:rPr>
          <w:color w:val="231F20"/>
          <w:spacing w:val="-13"/>
        </w:rPr>
        <w:t xml:space="preserve"> </w:t>
      </w:r>
      <w:r>
        <w:rPr>
          <w:color w:val="231F20"/>
          <w:spacing w:val="-4"/>
        </w:rPr>
        <w:t>тому,</w:t>
      </w:r>
      <w:r>
        <w:rPr>
          <w:color w:val="231F20"/>
          <w:spacing w:val="-13"/>
        </w:rPr>
        <w:t xml:space="preserve"> </w:t>
      </w:r>
      <w:r>
        <w:rPr>
          <w:color w:val="231F20"/>
        </w:rPr>
        <w:t xml:space="preserve">що </w:t>
      </w:r>
      <w:r>
        <w:rPr>
          <w:color w:val="231F20"/>
          <w:spacing w:val="-3"/>
        </w:rPr>
        <w:t xml:space="preserve">суб’єкти </w:t>
      </w:r>
      <w:r>
        <w:rPr>
          <w:color w:val="231F20"/>
        </w:rPr>
        <w:t>публічної адміністрації мають володіти достатнім рівнем комплексу професійних знань, умінь, властивостей і якостей та здатні до здійснення оптимального й ефективного публічного адмі- ністру</w:t>
      </w:r>
      <w:r>
        <w:rPr>
          <w:color w:val="231F20"/>
        </w:rPr>
        <w:t>вання у сфері своєї</w:t>
      </w:r>
      <w:r>
        <w:rPr>
          <w:color w:val="231F20"/>
          <w:spacing w:val="-5"/>
        </w:rPr>
        <w:t xml:space="preserve"> </w:t>
      </w:r>
      <w:r>
        <w:rPr>
          <w:color w:val="231F20"/>
        </w:rPr>
        <w:t>компетенції.</w:t>
      </w:r>
    </w:p>
    <w:p w14:paraId="016FAEE7" w14:textId="77777777" w:rsidR="00DE575E" w:rsidRDefault="00DE575E">
      <w:pPr>
        <w:pStyle w:val="BodyText"/>
        <w:spacing w:before="4"/>
        <w:rPr>
          <w:sz w:val="22"/>
        </w:rPr>
      </w:pPr>
    </w:p>
    <w:p w14:paraId="3495957B" w14:textId="77777777" w:rsidR="00DE575E" w:rsidRDefault="002E7560">
      <w:pPr>
        <w:pStyle w:val="Heading6"/>
        <w:numPr>
          <w:ilvl w:val="3"/>
          <w:numId w:val="297"/>
        </w:numPr>
        <w:tabs>
          <w:tab w:val="left" w:pos="1252"/>
        </w:tabs>
        <w:spacing w:before="0"/>
        <w:ind w:left="1251" w:hanging="718"/>
        <w:jc w:val="left"/>
      </w:pPr>
      <w:r>
        <w:rPr>
          <w:color w:val="231F20"/>
        </w:rPr>
        <w:t>Принцип інноваційності та відкритості до</w:t>
      </w:r>
      <w:r>
        <w:rPr>
          <w:color w:val="231F20"/>
          <w:spacing w:val="-11"/>
        </w:rPr>
        <w:t xml:space="preserve"> </w:t>
      </w:r>
      <w:r>
        <w:rPr>
          <w:color w:val="231F20"/>
        </w:rPr>
        <w:t>змін</w:t>
      </w:r>
    </w:p>
    <w:p w14:paraId="6994670D" w14:textId="77777777" w:rsidR="00DE575E" w:rsidRDefault="002E7560">
      <w:pPr>
        <w:pStyle w:val="BodyText"/>
        <w:spacing w:before="13" w:line="252" w:lineRule="auto"/>
        <w:ind w:left="250" w:right="410" w:firstLine="283"/>
        <w:jc w:val="both"/>
      </w:pPr>
      <w:r>
        <w:rPr>
          <w:color w:val="231F20"/>
        </w:rPr>
        <w:t>Потреба</w:t>
      </w:r>
      <w:r>
        <w:rPr>
          <w:color w:val="231F20"/>
          <w:spacing w:val="-11"/>
        </w:rPr>
        <w:t xml:space="preserve"> </w:t>
      </w:r>
      <w:r>
        <w:rPr>
          <w:color w:val="231F20"/>
        </w:rPr>
        <w:t>імплементації</w:t>
      </w:r>
      <w:r>
        <w:rPr>
          <w:color w:val="231F20"/>
          <w:spacing w:val="-11"/>
        </w:rPr>
        <w:t xml:space="preserve"> </w:t>
      </w:r>
      <w:r>
        <w:rPr>
          <w:color w:val="231F20"/>
          <w:spacing w:val="-4"/>
        </w:rPr>
        <w:t>Угоди</w:t>
      </w:r>
      <w:r>
        <w:rPr>
          <w:color w:val="231F20"/>
          <w:spacing w:val="-11"/>
        </w:rPr>
        <w:t xml:space="preserve"> </w:t>
      </w:r>
      <w:r>
        <w:rPr>
          <w:color w:val="231F20"/>
        </w:rPr>
        <w:t>про</w:t>
      </w:r>
      <w:r>
        <w:rPr>
          <w:color w:val="231F20"/>
          <w:spacing w:val="-11"/>
        </w:rPr>
        <w:t xml:space="preserve"> </w:t>
      </w:r>
      <w:r>
        <w:rPr>
          <w:color w:val="231F20"/>
        </w:rPr>
        <w:t>асоціацію</w:t>
      </w:r>
      <w:r>
        <w:rPr>
          <w:color w:val="231F20"/>
          <w:spacing w:val="-11"/>
        </w:rPr>
        <w:t xml:space="preserve"> </w:t>
      </w:r>
      <w:r>
        <w:rPr>
          <w:color w:val="231F20"/>
        </w:rPr>
        <w:t>між</w:t>
      </w:r>
      <w:r>
        <w:rPr>
          <w:color w:val="231F20"/>
          <w:spacing w:val="-11"/>
        </w:rPr>
        <w:t xml:space="preserve"> </w:t>
      </w:r>
      <w:r>
        <w:rPr>
          <w:color w:val="231F20"/>
          <w:spacing w:val="-3"/>
        </w:rPr>
        <w:t>Україною,</w:t>
      </w:r>
      <w:r>
        <w:rPr>
          <w:color w:val="231F20"/>
          <w:spacing w:val="-11"/>
        </w:rPr>
        <w:t xml:space="preserve"> </w:t>
      </w:r>
      <w:r>
        <w:rPr>
          <w:color w:val="231F20"/>
        </w:rPr>
        <w:t>з</w:t>
      </w:r>
      <w:r>
        <w:rPr>
          <w:color w:val="231F20"/>
          <w:spacing w:val="-11"/>
        </w:rPr>
        <w:t xml:space="preserve"> </w:t>
      </w:r>
      <w:r>
        <w:rPr>
          <w:color w:val="231F20"/>
        </w:rPr>
        <w:t xml:space="preserve">однієї сторони, та Європейським Союзом, з іншої, не залишає інших варі- антів для вітчизняної публічної адміністрації, як здійснювати адмі- ністративну діяльність через трансформацію (запозичення) науко- вих досліджень і публічних управлінських розробок у </w:t>
      </w:r>
      <w:r>
        <w:rPr>
          <w:color w:val="231F20"/>
        </w:rPr>
        <w:t xml:space="preserve">практику публічного адміністрування, використовуючи нові підходи щодо надання адміністративних послуг і здійснення виконавчо-розпо- рядчої діяльності з метою адаптації їх до стандартів ЄС та подаль- шого </w:t>
      </w:r>
      <w:r>
        <w:rPr>
          <w:color w:val="231F20"/>
          <w:spacing w:val="-3"/>
        </w:rPr>
        <w:t xml:space="preserve">розвитку. </w:t>
      </w:r>
      <w:r>
        <w:rPr>
          <w:color w:val="231F20"/>
        </w:rPr>
        <w:t>Українська публічна адміністрація має прац</w:t>
      </w:r>
      <w:r>
        <w:rPr>
          <w:color w:val="231F20"/>
        </w:rPr>
        <w:t>ювати більш відкрито, активно обмінюватися інформацією з державами- членами ЄС, прищеплювати високі європейські цінності та застосо- вувати формальні процедури публічного управління й технічного забезпечення публічного</w:t>
      </w:r>
      <w:r>
        <w:rPr>
          <w:color w:val="231F20"/>
          <w:spacing w:val="-2"/>
        </w:rPr>
        <w:t xml:space="preserve"> </w:t>
      </w:r>
      <w:r>
        <w:rPr>
          <w:color w:val="231F20"/>
        </w:rPr>
        <w:t>адміністрування.</w:t>
      </w:r>
    </w:p>
    <w:p w14:paraId="7D423B1E" w14:textId="77777777" w:rsidR="00DE575E" w:rsidRDefault="00DE575E">
      <w:pPr>
        <w:pStyle w:val="BodyText"/>
        <w:spacing w:before="7"/>
        <w:rPr>
          <w:sz w:val="22"/>
        </w:rPr>
      </w:pPr>
    </w:p>
    <w:p w14:paraId="70E2EAE0" w14:textId="77777777" w:rsidR="00DE575E" w:rsidRDefault="002E7560">
      <w:pPr>
        <w:pStyle w:val="ListParagraph"/>
        <w:numPr>
          <w:ilvl w:val="3"/>
          <w:numId w:val="297"/>
        </w:numPr>
        <w:tabs>
          <w:tab w:val="left" w:pos="1244"/>
        </w:tabs>
        <w:spacing w:before="0" w:line="252" w:lineRule="auto"/>
        <w:ind w:left="250" w:right="409" w:firstLine="283"/>
        <w:rPr>
          <w:sz w:val="21"/>
        </w:rPr>
      </w:pPr>
      <w:r>
        <w:rPr>
          <w:b/>
          <w:i/>
          <w:color w:val="231F20"/>
          <w:sz w:val="21"/>
        </w:rPr>
        <w:t>Принцип</w:t>
      </w:r>
      <w:r>
        <w:rPr>
          <w:b/>
          <w:i/>
          <w:color w:val="231F20"/>
          <w:spacing w:val="-16"/>
          <w:sz w:val="21"/>
        </w:rPr>
        <w:t xml:space="preserve"> </w:t>
      </w:r>
      <w:r>
        <w:rPr>
          <w:b/>
          <w:i/>
          <w:color w:val="231F20"/>
          <w:sz w:val="21"/>
        </w:rPr>
        <w:t>сталості</w:t>
      </w:r>
      <w:r>
        <w:rPr>
          <w:b/>
          <w:i/>
          <w:color w:val="231F20"/>
          <w:spacing w:val="-16"/>
          <w:sz w:val="21"/>
        </w:rPr>
        <w:t xml:space="preserve"> </w:t>
      </w:r>
      <w:r>
        <w:rPr>
          <w:b/>
          <w:i/>
          <w:color w:val="231F20"/>
          <w:sz w:val="21"/>
        </w:rPr>
        <w:t>та</w:t>
      </w:r>
      <w:r>
        <w:rPr>
          <w:b/>
          <w:i/>
          <w:color w:val="231F20"/>
          <w:spacing w:val="-16"/>
          <w:sz w:val="21"/>
        </w:rPr>
        <w:t xml:space="preserve"> </w:t>
      </w:r>
      <w:r>
        <w:rPr>
          <w:b/>
          <w:i/>
          <w:color w:val="231F20"/>
          <w:sz w:val="21"/>
        </w:rPr>
        <w:t>довгострокової</w:t>
      </w:r>
      <w:r>
        <w:rPr>
          <w:b/>
          <w:i/>
          <w:color w:val="231F20"/>
          <w:spacing w:val="-16"/>
          <w:sz w:val="21"/>
        </w:rPr>
        <w:t xml:space="preserve"> </w:t>
      </w:r>
      <w:r>
        <w:rPr>
          <w:b/>
          <w:i/>
          <w:color w:val="231F20"/>
          <w:sz w:val="21"/>
        </w:rPr>
        <w:t>орієнтованості</w:t>
      </w:r>
      <w:r>
        <w:rPr>
          <w:b/>
          <w:i/>
          <w:color w:val="231F20"/>
          <w:spacing w:val="-1"/>
          <w:sz w:val="21"/>
        </w:rPr>
        <w:t xml:space="preserve"> </w:t>
      </w:r>
      <w:r>
        <w:rPr>
          <w:color w:val="231F20"/>
          <w:sz w:val="21"/>
        </w:rPr>
        <w:t>Сталий розвиток у публічному адмініструванні</w:t>
      </w:r>
      <w:r>
        <w:rPr>
          <w:color w:val="231F20"/>
          <w:position w:val="7"/>
          <w:sz w:val="12"/>
        </w:rPr>
        <w:t>1</w:t>
      </w:r>
      <w:r>
        <w:rPr>
          <w:color w:val="231F20"/>
          <w:spacing w:val="2"/>
          <w:position w:val="7"/>
          <w:sz w:val="12"/>
        </w:rPr>
        <w:t xml:space="preserve"> </w:t>
      </w:r>
      <w:r>
        <w:rPr>
          <w:color w:val="231F20"/>
          <w:sz w:val="21"/>
        </w:rPr>
        <w:t>означає</w:t>
      </w:r>
      <w:r>
        <w:rPr>
          <w:color w:val="231F20"/>
          <w:spacing w:val="15"/>
          <w:sz w:val="21"/>
        </w:rPr>
        <w:t xml:space="preserve"> </w:t>
      </w:r>
      <w:r>
        <w:rPr>
          <w:color w:val="231F20"/>
          <w:sz w:val="21"/>
        </w:rPr>
        <w:t>таке використання публічною адміністрацією людських,</w:t>
      </w:r>
      <w:r>
        <w:rPr>
          <w:color w:val="231F20"/>
          <w:spacing w:val="7"/>
          <w:sz w:val="21"/>
        </w:rPr>
        <w:t xml:space="preserve"> </w:t>
      </w:r>
      <w:r>
        <w:rPr>
          <w:color w:val="231F20"/>
          <w:sz w:val="21"/>
        </w:rPr>
        <w:t>економічних,</w:t>
      </w:r>
    </w:p>
    <w:p w14:paraId="4C5992AE" w14:textId="4DC77AAD" w:rsidR="00DE575E" w:rsidRDefault="002E7560">
      <w:pPr>
        <w:pStyle w:val="BodyText"/>
        <w:spacing w:before="1"/>
        <w:rPr>
          <w:sz w:val="19"/>
        </w:rPr>
      </w:pPr>
      <w:r>
        <w:rPr>
          <w:noProof/>
        </w:rPr>
        <mc:AlternateContent>
          <mc:Choice Requires="wps">
            <w:drawing>
              <wp:anchor distT="0" distB="0" distL="0" distR="0" simplePos="0" relativeHeight="2992" behindDoc="0" locked="0" layoutInCell="1" allowOverlap="1" wp14:anchorId="095BB893" wp14:editId="402104F1">
                <wp:simplePos x="0" y="0"/>
                <wp:positionH relativeFrom="page">
                  <wp:posOffset>539750</wp:posOffset>
                </wp:positionH>
                <wp:positionV relativeFrom="paragraph">
                  <wp:posOffset>170180</wp:posOffset>
                </wp:positionV>
                <wp:extent cx="1080135" cy="0"/>
                <wp:effectExtent l="6350" t="17780" r="31115" b="20320"/>
                <wp:wrapTopAndBottom/>
                <wp:docPr id="1271"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A6B69" id="Line_x0020_1270" o:spid="_x0000_s1026" style="position:absolute;z-index: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4pt" to="127.5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" strokecolor="#231f20" strokeweight=".5pt">
                <w10:wrap type="topAndBottom" anchorx="page"/>
              </v:line>
            </w:pict>
          </mc:Fallback>
        </mc:AlternateContent>
      </w:r>
    </w:p>
    <w:p w14:paraId="235CE811"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 xml:space="preserve">Сталий розвиток суспільства задовольняє потреби сучасності, не ставлячи під загрозу здатність подальших  поколінь  задовольняти  свої  власні  потреби  (Конференція  ООН  з навколишнього середовища і </w:t>
      </w:r>
      <w:r>
        <w:rPr>
          <w:color w:val="231F20"/>
          <w:spacing w:val="-3"/>
          <w:sz w:val="16"/>
        </w:rPr>
        <w:t xml:space="preserve">розвитку, </w:t>
      </w:r>
      <w:r>
        <w:rPr>
          <w:color w:val="231F20"/>
          <w:sz w:val="16"/>
        </w:rPr>
        <w:t>1992</w:t>
      </w:r>
      <w:r>
        <w:rPr>
          <w:color w:val="231F20"/>
          <w:spacing w:val="-5"/>
          <w:sz w:val="16"/>
        </w:rPr>
        <w:t xml:space="preserve"> </w:t>
      </w:r>
      <w:r>
        <w:rPr>
          <w:color w:val="231F20"/>
          <w:sz w:val="16"/>
        </w:rPr>
        <w:t>р.).</w:t>
      </w:r>
    </w:p>
    <w:p w14:paraId="3E3F9943" w14:textId="77777777" w:rsidR="00DE575E" w:rsidRDefault="00DE575E">
      <w:pPr>
        <w:pStyle w:val="BodyText"/>
        <w:spacing w:before="2"/>
        <w:rPr>
          <w:sz w:val="12"/>
        </w:rPr>
      </w:pPr>
    </w:p>
    <w:p w14:paraId="28E764F3" w14:textId="77777777" w:rsidR="00DE575E" w:rsidRDefault="002E7560">
      <w:pPr>
        <w:spacing w:before="92"/>
        <w:ind w:right="411"/>
        <w:jc w:val="right"/>
        <w:rPr>
          <w:rFonts w:ascii="Times New Roman"/>
          <w:sz w:val="20"/>
        </w:rPr>
      </w:pPr>
      <w:r>
        <w:rPr>
          <w:rFonts w:ascii="Times New Roman"/>
          <w:color w:val="231F20"/>
          <w:w w:val="90"/>
          <w:sz w:val="20"/>
        </w:rPr>
        <w:t>55</w:t>
      </w:r>
    </w:p>
    <w:p w14:paraId="50188E4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917F983"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w:t>
      </w:r>
      <w:r>
        <w:rPr>
          <w:rFonts w:ascii="AdonisC" w:hAnsi="AdonisC"/>
          <w:i/>
          <w:color w:val="231F20"/>
          <w:sz w:val="18"/>
        </w:rPr>
        <w:t>аво України. Повний курс</w:t>
      </w:r>
    </w:p>
    <w:p w14:paraId="07CBF2C1" w14:textId="42D681B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EC482FF" wp14:editId="5FCC7CA4">
                <wp:extent cx="4140200" cy="6350"/>
                <wp:effectExtent l="0" t="0" r="12700" b="6350"/>
                <wp:docPr id="1269"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70" name="Line 12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C5B586" id="Group_x0020_12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YDgUdYECAACcBQAA&#10;DgAAAAAAAAAAAAAAAAAsAgAAZHJzL2Uyb0RvYy54bWxQSwECLQAUAAYACAAAACEATKewkNkAAAAD&#10;AQAADwAAAAAAAAAAAAAAAADZBAAAZHJzL2Rvd25yZXYueG1sUEsFBgAAAAAEAAQA8wAAAN8FAAAA&#10;AA==&#10;">
                <v:line id="Line_x0020_12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RTG8gAAADdAAAADwAAAGRycy9kb3ducmV2LnhtbESPQWvCQBCF74X+h2UKXopuqtCW6Coi&#10;FMSDtqY/YMxOk9Dd2ZhdTeyv7xwKvc3w3rz3zWI1eKeu1MUmsIGnSQaKuAy24crAZ/E2fgUVE7JF&#10;F5gM3CjCanl/t8Dchp4/6HpMlZIQjjkaqFNqc61jWZPHOAktsWhfofOYZO0qbTvsJdw7Pc2yZ+2x&#10;YWmosaVNTeX38eINFOfH5N4PO9cXh9NMn8772c9lb8zoYVjPQSUa0r/573prBX/6Ivz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URTG8gAAADdAAAADwAAAAAA&#10;AAAAAAAAAAChAgAAZHJzL2Rvd25yZXYueG1sUEsFBgAAAAAEAAQA+QAAAJYDAAAAAA==&#10;" strokecolor="#231f20" strokeweight=".5pt"/>
                <w10:anchorlock/>
              </v:group>
            </w:pict>
          </mc:Fallback>
        </mc:AlternateContent>
      </w:r>
    </w:p>
    <w:p w14:paraId="362C99A0" w14:textId="77777777" w:rsidR="00DE575E" w:rsidRDefault="00DE575E">
      <w:pPr>
        <w:pStyle w:val="BodyText"/>
        <w:spacing w:before="7"/>
        <w:rPr>
          <w:rFonts w:ascii="AdonisC"/>
          <w:i/>
          <w:sz w:val="11"/>
        </w:rPr>
      </w:pPr>
    </w:p>
    <w:p w14:paraId="680E5BD9" w14:textId="77777777" w:rsidR="00DE575E" w:rsidRDefault="002E7560">
      <w:pPr>
        <w:pStyle w:val="BodyText"/>
        <w:spacing w:before="101" w:line="252" w:lineRule="auto"/>
        <w:ind w:left="533" w:right="123"/>
        <w:jc w:val="both"/>
      </w:pPr>
      <w:r>
        <w:rPr>
          <w:color w:val="231F20"/>
        </w:rPr>
        <w:t xml:space="preserve">соціальних, природних та інших ресурсів, щоб ними могли скори- статися й подальші покоління. Щоб залишити у спадок подальшим поколінням дійсно демократичну, правову державу з розвиненим громадянським суспільством та належною ринковою економікою, теперішні </w:t>
      </w:r>
      <w:r>
        <w:rPr>
          <w:color w:val="231F20"/>
        </w:rPr>
        <w:t>суб’єкти публічної адміністрації мають здійснювати публічне управління не тільки ефективно, але й відповідально, не припускаючи (попереджаючи) негативних економічних, соціаль- них, екологічних та інших перекосів. Тим самим вони забезпечува- тимуть динамічн</w:t>
      </w:r>
      <w:r>
        <w:rPr>
          <w:color w:val="231F20"/>
        </w:rPr>
        <w:t>і, але еволюційні реформи, орієнтовані на довго- строкову перспективу.</w:t>
      </w:r>
    </w:p>
    <w:p w14:paraId="09E6940A" w14:textId="77777777" w:rsidR="00DE575E" w:rsidRDefault="00DE575E">
      <w:pPr>
        <w:pStyle w:val="BodyText"/>
        <w:spacing w:before="5"/>
        <w:rPr>
          <w:sz w:val="22"/>
        </w:rPr>
      </w:pPr>
    </w:p>
    <w:p w14:paraId="6DC9EEF0" w14:textId="77777777" w:rsidR="00DE575E" w:rsidRDefault="002E7560">
      <w:pPr>
        <w:pStyle w:val="Heading6"/>
        <w:numPr>
          <w:ilvl w:val="3"/>
          <w:numId w:val="297"/>
        </w:numPr>
        <w:tabs>
          <w:tab w:val="left" w:pos="1532"/>
        </w:tabs>
        <w:spacing w:line="252" w:lineRule="auto"/>
        <w:ind w:right="128" w:firstLine="284"/>
        <w:jc w:val="both"/>
      </w:pPr>
      <w:r>
        <w:rPr>
          <w:color w:val="231F20"/>
        </w:rPr>
        <w:t>Принципи</w:t>
      </w:r>
      <w:r>
        <w:rPr>
          <w:color w:val="231F20"/>
          <w:spacing w:val="-9"/>
        </w:rPr>
        <w:t xml:space="preserve"> </w:t>
      </w:r>
      <w:r>
        <w:rPr>
          <w:color w:val="231F20"/>
        </w:rPr>
        <w:t>поваги</w:t>
      </w:r>
      <w:r>
        <w:rPr>
          <w:color w:val="231F20"/>
          <w:spacing w:val="-10"/>
        </w:rPr>
        <w:t xml:space="preserve"> </w:t>
      </w:r>
      <w:r>
        <w:rPr>
          <w:color w:val="231F20"/>
        </w:rPr>
        <w:t>до</w:t>
      </w:r>
      <w:r>
        <w:rPr>
          <w:color w:val="231F20"/>
          <w:spacing w:val="-10"/>
        </w:rPr>
        <w:t xml:space="preserve"> </w:t>
      </w:r>
      <w:r>
        <w:rPr>
          <w:color w:val="231F20"/>
        </w:rPr>
        <w:t>прав</w:t>
      </w:r>
      <w:r>
        <w:rPr>
          <w:color w:val="231F20"/>
          <w:spacing w:val="-10"/>
        </w:rPr>
        <w:t xml:space="preserve"> </w:t>
      </w:r>
      <w:r>
        <w:rPr>
          <w:color w:val="231F20"/>
        </w:rPr>
        <w:t>людини</w:t>
      </w:r>
      <w:r>
        <w:rPr>
          <w:color w:val="231F20"/>
          <w:spacing w:val="-10"/>
        </w:rPr>
        <w:t xml:space="preserve"> </w:t>
      </w:r>
      <w:r>
        <w:rPr>
          <w:color w:val="231F20"/>
        </w:rPr>
        <w:t>та</w:t>
      </w:r>
      <w:r>
        <w:rPr>
          <w:color w:val="231F20"/>
          <w:spacing w:val="-10"/>
        </w:rPr>
        <w:t xml:space="preserve"> </w:t>
      </w:r>
      <w:r>
        <w:rPr>
          <w:color w:val="231F20"/>
        </w:rPr>
        <w:t>культурної</w:t>
      </w:r>
      <w:r>
        <w:rPr>
          <w:color w:val="231F20"/>
          <w:spacing w:val="-10"/>
        </w:rPr>
        <w:t xml:space="preserve"> </w:t>
      </w:r>
      <w:r>
        <w:rPr>
          <w:color w:val="231F20"/>
        </w:rPr>
        <w:t xml:space="preserve">різно- </w:t>
      </w:r>
      <w:r>
        <w:rPr>
          <w:color w:val="231F20"/>
        </w:rPr>
        <w:t>манітності</w:t>
      </w:r>
    </w:p>
    <w:p w14:paraId="76E06CF0" w14:textId="77777777" w:rsidR="00DE575E" w:rsidRDefault="002E7560">
      <w:pPr>
        <w:pStyle w:val="BodyText"/>
        <w:spacing w:before="1" w:line="252" w:lineRule="auto"/>
        <w:ind w:left="533" w:right="128" w:firstLine="283"/>
        <w:jc w:val="both"/>
      </w:pPr>
      <w:r>
        <w:rPr>
          <w:color w:val="231F20"/>
        </w:rPr>
        <w:t>Принцип поваги до прав людини є провідним в адміністратив- ному праві, адже:</w:t>
      </w:r>
    </w:p>
    <w:p w14:paraId="1AC027DA" w14:textId="77777777" w:rsidR="00DE575E" w:rsidRDefault="002E7560">
      <w:pPr>
        <w:pStyle w:val="ListParagraph"/>
        <w:numPr>
          <w:ilvl w:val="1"/>
          <w:numId w:val="299"/>
        </w:numPr>
        <w:tabs>
          <w:tab w:val="left" w:pos="1101"/>
        </w:tabs>
        <w:spacing w:line="252" w:lineRule="auto"/>
        <w:ind w:right="126" w:firstLine="284"/>
        <w:rPr>
          <w:sz w:val="21"/>
        </w:rPr>
      </w:pPr>
      <w:r>
        <w:rPr>
          <w:color w:val="231F20"/>
          <w:sz w:val="21"/>
        </w:rPr>
        <w:t>з погляду теорії природного права, право є справедливе та гуманне, основним його завданням однозначно визнається забез- печення природних прав і свобод людини та громадянина – життя   і здоров’я, честі, гідності, безпеки, права на опір</w:t>
      </w:r>
      <w:r>
        <w:rPr>
          <w:color w:val="231F20"/>
          <w:spacing w:val="10"/>
          <w:sz w:val="21"/>
        </w:rPr>
        <w:t xml:space="preserve"> </w:t>
      </w:r>
      <w:r>
        <w:rPr>
          <w:color w:val="231F20"/>
          <w:sz w:val="21"/>
        </w:rPr>
        <w:t>насиллю;</w:t>
      </w:r>
    </w:p>
    <w:p w14:paraId="58C5A8FD" w14:textId="77777777" w:rsidR="00DE575E" w:rsidRDefault="002E7560">
      <w:pPr>
        <w:pStyle w:val="ListParagraph"/>
        <w:numPr>
          <w:ilvl w:val="1"/>
          <w:numId w:val="299"/>
        </w:numPr>
        <w:tabs>
          <w:tab w:val="left" w:pos="1101"/>
        </w:tabs>
        <w:spacing w:before="2" w:line="252" w:lineRule="auto"/>
        <w:ind w:right="126" w:firstLine="284"/>
        <w:rPr>
          <w:sz w:val="21"/>
        </w:rPr>
      </w:pPr>
      <w:r>
        <w:rPr>
          <w:color w:val="231F20"/>
          <w:sz w:val="21"/>
        </w:rPr>
        <w:t xml:space="preserve">виходячи з </w:t>
      </w:r>
      <w:r>
        <w:rPr>
          <w:color w:val="231F20"/>
          <w:sz w:val="21"/>
        </w:rPr>
        <w:t>цього, будь-яке джерело адміністративного права лише тоді може вважатися правовим, коли відповідає природному праву та узгоджується з</w:t>
      </w:r>
      <w:r>
        <w:rPr>
          <w:color w:val="231F20"/>
          <w:spacing w:val="16"/>
          <w:sz w:val="21"/>
        </w:rPr>
        <w:t xml:space="preserve"> </w:t>
      </w:r>
      <w:r>
        <w:rPr>
          <w:color w:val="231F20"/>
          <w:sz w:val="21"/>
        </w:rPr>
        <w:t>ним;</w:t>
      </w:r>
    </w:p>
    <w:p w14:paraId="31F0E719" w14:textId="77777777" w:rsidR="00DE575E" w:rsidRDefault="002E7560">
      <w:pPr>
        <w:pStyle w:val="ListParagraph"/>
        <w:numPr>
          <w:ilvl w:val="1"/>
          <w:numId w:val="299"/>
        </w:numPr>
        <w:tabs>
          <w:tab w:val="left" w:pos="1101"/>
        </w:tabs>
        <w:spacing w:line="252" w:lineRule="auto"/>
        <w:ind w:right="125" w:firstLine="284"/>
        <w:rPr>
          <w:sz w:val="21"/>
        </w:rPr>
      </w:pPr>
      <w:r>
        <w:rPr>
          <w:color w:val="231F20"/>
          <w:sz w:val="21"/>
        </w:rPr>
        <w:t xml:space="preserve">основними глобальними напрямками діяльності суб’єктів публічної адміністрації, з погляду філософії природного право- </w:t>
      </w:r>
      <w:r>
        <w:rPr>
          <w:color w:val="231F20"/>
          <w:sz w:val="21"/>
        </w:rPr>
        <w:t>розуміння, є пріоритет забезпечення охорони прав і свобод людини.</w:t>
      </w:r>
    </w:p>
    <w:p w14:paraId="01DE8739" w14:textId="77777777" w:rsidR="00DE575E" w:rsidRDefault="002E7560">
      <w:pPr>
        <w:pStyle w:val="BodyText"/>
        <w:spacing w:before="2" w:line="252" w:lineRule="auto"/>
        <w:ind w:left="533" w:right="124" w:firstLine="283"/>
        <w:jc w:val="both"/>
      </w:pPr>
      <w:r>
        <w:rPr>
          <w:color w:val="231F20"/>
        </w:rPr>
        <w:t>Конвенція про охорону та заохочення розмаїття форм культур- ного самовираження визначила зміст принципу поваги до прав людини та основоположних свобод («Охорона та заохочення куль- турного р</w:t>
      </w:r>
      <w:r>
        <w:rPr>
          <w:color w:val="231F20"/>
        </w:rPr>
        <w:t>озмаїття можливі тільки тоді, коли гарантовано права людини та основоположні свободи, як-от: свободу вираження думок, інформації та комунікації, а також можливість для  окре-  мих осіб вибирати форми культурного самовираження») та прин- ципу рівної гідност</w:t>
      </w:r>
      <w:r>
        <w:rPr>
          <w:color w:val="231F20"/>
        </w:rPr>
        <w:t>і й поваги до всіх культур («Охорона й поши- рення розмаїття форм культурного самовираження передбачають визнання рівної гідності й поваги до всіх культур, зокрема куль- тури осіб, які належать до меншин і корінних</w:t>
      </w:r>
      <w:r>
        <w:rPr>
          <w:color w:val="231F20"/>
          <w:spacing w:val="5"/>
        </w:rPr>
        <w:t xml:space="preserve"> </w:t>
      </w:r>
      <w:r>
        <w:rPr>
          <w:color w:val="231F20"/>
        </w:rPr>
        <w:t>народів»)</w:t>
      </w:r>
      <w:r>
        <w:rPr>
          <w:color w:val="231F20"/>
          <w:position w:val="7"/>
          <w:sz w:val="12"/>
        </w:rPr>
        <w:t>1</w:t>
      </w:r>
      <w:r>
        <w:rPr>
          <w:color w:val="231F20"/>
        </w:rPr>
        <w:t>.</w:t>
      </w:r>
    </w:p>
    <w:p w14:paraId="50F640B7" w14:textId="77777777" w:rsidR="00DE575E" w:rsidRDefault="00DE575E">
      <w:pPr>
        <w:pStyle w:val="BodyText"/>
        <w:rPr>
          <w:sz w:val="20"/>
        </w:rPr>
      </w:pPr>
    </w:p>
    <w:p w14:paraId="121D905E" w14:textId="77777777" w:rsidR="00DE575E" w:rsidRDefault="00DE575E">
      <w:pPr>
        <w:pStyle w:val="BodyText"/>
        <w:rPr>
          <w:sz w:val="20"/>
        </w:rPr>
      </w:pPr>
    </w:p>
    <w:p w14:paraId="13380F23" w14:textId="77777777" w:rsidR="00DE575E" w:rsidRDefault="00DE575E">
      <w:pPr>
        <w:pStyle w:val="BodyText"/>
        <w:rPr>
          <w:sz w:val="17"/>
        </w:rPr>
      </w:pPr>
    </w:p>
    <w:p w14:paraId="68A972E6" w14:textId="77777777" w:rsidR="00DE575E" w:rsidRDefault="002E7560">
      <w:pPr>
        <w:spacing w:before="92"/>
        <w:ind w:left="533"/>
        <w:rPr>
          <w:rFonts w:ascii="Times New Roman"/>
          <w:sz w:val="20"/>
        </w:rPr>
      </w:pPr>
      <w:r>
        <w:rPr>
          <w:rFonts w:ascii="Times New Roman"/>
          <w:color w:val="231F20"/>
          <w:sz w:val="20"/>
        </w:rPr>
        <w:t>56</w:t>
      </w:r>
    </w:p>
    <w:p w14:paraId="47A9E2CE" w14:textId="77777777" w:rsidR="00DE575E" w:rsidRDefault="00DE575E">
      <w:pPr>
        <w:rPr>
          <w:rFonts w:ascii="Times New Roman"/>
          <w:sz w:val="20"/>
        </w:rPr>
        <w:sectPr w:rsidR="00DE575E">
          <w:pgSz w:w="8510" w:h="12760"/>
          <w:pgMar w:top="660" w:right="720" w:bottom="280" w:left="600" w:header="720" w:footer="720" w:gutter="0"/>
          <w:cols w:space="720"/>
        </w:sectPr>
      </w:pPr>
    </w:p>
    <w:p w14:paraId="5B6EDF56" w14:textId="77777777" w:rsidR="00DE575E" w:rsidRDefault="002E7560">
      <w:pPr>
        <w:spacing w:before="72" w:line="249" w:lineRule="auto"/>
        <w:ind w:left="3122" w:firstLine="349"/>
        <w:rPr>
          <w:rFonts w:ascii="AdonisC" w:hAnsi="AdonisC"/>
          <w:i/>
          <w:sz w:val="18"/>
        </w:rPr>
      </w:pPr>
      <w:r>
        <w:rPr>
          <w:rFonts w:ascii="AdonisC" w:hAnsi="AdonisC"/>
          <w:i/>
          <w:color w:val="231F20"/>
          <w:sz w:val="18"/>
        </w:rPr>
        <w:lastRenderedPageBreak/>
        <w:t>Глава І. Загальне адміністративне право Розділ 2. Принципи адміністративного права</w:t>
      </w:r>
    </w:p>
    <w:p w14:paraId="477AD2AA" w14:textId="1BF2F71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72B4BB7" wp14:editId="14F52757">
                <wp:extent cx="4140200" cy="6350"/>
                <wp:effectExtent l="0" t="0" r="12700" b="6350"/>
                <wp:docPr id="1267"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68" name="Line 126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6B1E58" id="Group_x0020_126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O5a17gAIAAJwFAAAO&#10;AAAAAAAAAAAAAAAAACwCAABkcnMvZTJvRG9jLnhtbFBLAQItABQABgAIAAAAIQBMp7CQ2QAAAAMB&#10;AAAPAAAAAAAAAAAAAAAAANgEAABkcnMvZG93bnJldi54bWxQSwUGAAAAAAQABADzAAAA3gUAAAAA&#10;">
                <v:line id="Line_x0020_126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vJwMcAAADdAAAADwAAAGRycy9kb3ducmV2LnhtbESPQWvCQBCF7wX/wzJCL6VuqiAldRUR&#10;CuJBrekPGLPTJHR3NmZXk/bXdw5CbzO8N+99s1gN3qkbdbEJbOBlkoEiLoNtuDLwWbw/v4KKCdmi&#10;C0wGfijCajl6WGBuQ88fdDulSkkIxxwN1Cm1udaxrMljnISWWLSv0HlMsnaVth32Eu6dnmbZXHts&#10;WBpqbGlTU/l9unoDxeUpueNh5/ricJ7p82U/+73ujXkcD+s3UImG9G++X2+t4E/ngivfyAh6+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68nAxwAAAN0AAAAPAAAAAAAA&#10;AAAAAAAAAKECAABkcnMvZG93bnJldi54bWxQSwUGAAAAAAQABAD5AAAAlQMAAAAA&#10;" strokecolor="#231f20" strokeweight=".5pt"/>
                <w10:anchorlock/>
              </v:group>
            </w:pict>
          </mc:Fallback>
        </mc:AlternateContent>
      </w:r>
    </w:p>
    <w:p w14:paraId="4DF0973A" w14:textId="77777777" w:rsidR="00DE575E" w:rsidRDefault="00DE575E">
      <w:pPr>
        <w:pStyle w:val="BodyText"/>
        <w:spacing w:before="7"/>
        <w:rPr>
          <w:rFonts w:ascii="AdonisC"/>
          <w:i/>
          <w:sz w:val="19"/>
        </w:rPr>
      </w:pPr>
    </w:p>
    <w:p w14:paraId="21E67340" w14:textId="77777777" w:rsidR="00DE575E" w:rsidRDefault="002E7560">
      <w:pPr>
        <w:pStyle w:val="Heading6"/>
        <w:numPr>
          <w:ilvl w:val="3"/>
          <w:numId w:val="297"/>
        </w:numPr>
        <w:tabs>
          <w:tab w:val="left" w:pos="1356"/>
        </w:tabs>
        <w:spacing w:line="252" w:lineRule="auto"/>
        <w:ind w:left="250" w:right="413" w:firstLine="283"/>
        <w:jc w:val="both"/>
      </w:pPr>
      <w:r>
        <w:rPr>
          <w:color w:val="231F20"/>
        </w:rPr>
        <w:t xml:space="preserve">Принципи  забезпечення  соціальної   згуртованості </w:t>
      </w:r>
      <w:r>
        <w:rPr>
          <w:color w:val="231F20"/>
        </w:rPr>
        <w:t>й</w:t>
      </w:r>
      <w:r>
        <w:rPr>
          <w:color w:val="231F20"/>
          <w:spacing w:val="-2"/>
        </w:rPr>
        <w:t xml:space="preserve"> </w:t>
      </w:r>
      <w:r>
        <w:rPr>
          <w:color w:val="231F20"/>
        </w:rPr>
        <w:t>підзвітності</w:t>
      </w:r>
    </w:p>
    <w:p w14:paraId="20E0164C" w14:textId="77777777" w:rsidR="00DE575E" w:rsidRDefault="002E7560">
      <w:pPr>
        <w:pStyle w:val="BodyText"/>
        <w:spacing w:before="1" w:line="252" w:lineRule="auto"/>
        <w:ind w:left="250" w:right="410" w:firstLine="283"/>
        <w:jc w:val="both"/>
      </w:pPr>
      <w:r>
        <w:rPr>
          <w:color w:val="231F20"/>
        </w:rPr>
        <w:t xml:space="preserve">Принцип  злагодженості  на  рівні  країн-учасниць   ЄС   поля-   гає в </w:t>
      </w:r>
      <w:r>
        <w:rPr>
          <w:color w:val="231F20"/>
          <w:spacing w:val="-4"/>
        </w:rPr>
        <w:t xml:space="preserve">тому, </w:t>
      </w:r>
      <w:r>
        <w:rPr>
          <w:color w:val="231F20"/>
        </w:rPr>
        <w:t xml:space="preserve">що всі </w:t>
      </w:r>
      <w:r>
        <w:rPr>
          <w:color w:val="231F20"/>
          <w:spacing w:val="-2"/>
        </w:rPr>
        <w:t xml:space="preserve">заходи </w:t>
      </w:r>
      <w:r>
        <w:rPr>
          <w:color w:val="231F20"/>
        </w:rPr>
        <w:t>мають відповідати один одному та бути легкозрозумілими. Потреб</w:t>
      </w:r>
      <w:r>
        <w:rPr>
          <w:color w:val="231F20"/>
        </w:rPr>
        <w:t xml:space="preserve">а у злагодженості всередині ЄС стає все більш актуальною, кількість завдань збільшується. Розширення ЄС призводить до ще більшого різноманіття. </w:t>
      </w:r>
      <w:r>
        <w:rPr>
          <w:color w:val="231F20"/>
          <w:spacing w:val="-5"/>
        </w:rPr>
        <w:t xml:space="preserve">Такі </w:t>
      </w:r>
      <w:r>
        <w:rPr>
          <w:color w:val="231F20"/>
        </w:rPr>
        <w:t>виклики, як кліма- тичні або демографічні зміни, не можуть бути вирішені в рамках лише</w:t>
      </w:r>
      <w:r>
        <w:rPr>
          <w:color w:val="231F20"/>
          <w:spacing w:val="-8"/>
        </w:rPr>
        <w:t xml:space="preserve"> </w:t>
      </w:r>
      <w:r>
        <w:rPr>
          <w:color w:val="231F20"/>
        </w:rPr>
        <w:t>одного</w:t>
      </w:r>
      <w:r>
        <w:rPr>
          <w:color w:val="231F20"/>
          <w:spacing w:val="-8"/>
        </w:rPr>
        <w:t xml:space="preserve"> </w:t>
      </w:r>
      <w:r>
        <w:rPr>
          <w:color w:val="231F20"/>
        </w:rPr>
        <w:t>з</w:t>
      </w:r>
      <w:r>
        <w:rPr>
          <w:color w:val="231F20"/>
          <w:spacing w:val="-8"/>
        </w:rPr>
        <w:t xml:space="preserve"> </w:t>
      </w:r>
      <w:r>
        <w:rPr>
          <w:color w:val="231F20"/>
        </w:rPr>
        <w:t>напрямків</w:t>
      </w:r>
      <w:r>
        <w:rPr>
          <w:color w:val="231F20"/>
          <w:spacing w:val="-8"/>
        </w:rPr>
        <w:t xml:space="preserve"> </w:t>
      </w:r>
      <w:r>
        <w:rPr>
          <w:color w:val="231F20"/>
        </w:rPr>
        <w:t>п</w:t>
      </w:r>
      <w:r>
        <w:rPr>
          <w:color w:val="231F20"/>
        </w:rPr>
        <w:t>олітики,</w:t>
      </w:r>
      <w:r>
        <w:rPr>
          <w:color w:val="231F20"/>
          <w:spacing w:val="-8"/>
        </w:rPr>
        <w:t xml:space="preserve"> </w:t>
      </w:r>
      <w:r>
        <w:rPr>
          <w:color w:val="231F20"/>
        </w:rPr>
        <w:t>на</w:t>
      </w:r>
      <w:r>
        <w:rPr>
          <w:color w:val="231F20"/>
          <w:spacing w:val="-8"/>
        </w:rPr>
        <w:t xml:space="preserve"> </w:t>
      </w:r>
      <w:r>
        <w:rPr>
          <w:color w:val="231F20"/>
        </w:rPr>
        <w:t>якій</w:t>
      </w:r>
      <w:r>
        <w:rPr>
          <w:color w:val="231F20"/>
          <w:spacing w:val="-8"/>
        </w:rPr>
        <w:t xml:space="preserve"> </w:t>
      </w:r>
      <w:r>
        <w:rPr>
          <w:color w:val="231F20"/>
          <w:spacing w:val="-3"/>
        </w:rPr>
        <w:t>було</w:t>
      </w:r>
      <w:r>
        <w:rPr>
          <w:color w:val="231F20"/>
          <w:spacing w:val="-8"/>
        </w:rPr>
        <w:t xml:space="preserve"> </w:t>
      </w:r>
      <w:r>
        <w:rPr>
          <w:color w:val="231F20"/>
        </w:rPr>
        <w:t>побудовано</w:t>
      </w:r>
      <w:r>
        <w:rPr>
          <w:color w:val="231F20"/>
          <w:spacing w:val="-8"/>
        </w:rPr>
        <w:t xml:space="preserve"> </w:t>
      </w:r>
      <w:r>
        <w:rPr>
          <w:color w:val="231F20"/>
        </w:rPr>
        <w:t>ЄС.</w:t>
      </w:r>
      <w:r>
        <w:rPr>
          <w:color w:val="231F20"/>
          <w:spacing w:val="-8"/>
        </w:rPr>
        <w:t xml:space="preserve"> </w:t>
      </w:r>
      <w:r>
        <w:rPr>
          <w:color w:val="231F20"/>
        </w:rPr>
        <w:t>Регі- ональна й місцева влада все частіше беруть участь у реалізації такої політики. Злагодженість вимагає політичного лідерства та відпо- відальності інституцій ЄС для забезпечення послідовного підходу   в складній</w:t>
      </w:r>
      <w:r>
        <w:rPr>
          <w:color w:val="231F20"/>
          <w:spacing w:val="-3"/>
        </w:rPr>
        <w:t xml:space="preserve"> </w:t>
      </w:r>
      <w:r>
        <w:rPr>
          <w:color w:val="231F20"/>
        </w:rPr>
        <w:t>сис</w:t>
      </w:r>
      <w:r>
        <w:rPr>
          <w:color w:val="231F20"/>
        </w:rPr>
        <w:t>темі.</w:t>
      </w:r>
    </w:p>
    <w:p w14:paraId="4FC4365A" w14:textId="77777777" w:rsidR="00DE575E" w:rsidRDefault="002E7560">
      <w:pPr>
        <w:pStyle w:val="BodyText"/>
        <w:spacing w:before="5" w:line="252" w:lineRule="auto"/>
        <w:ind w:left="250" w:right="410" w:firstLine="283"/>
        <w:jc w:val="both"/>
      </w:pPr>
      <w:r>
        <w:rPr>
          <w:i/>
          <w:color w:val="231F20"/>
        </w:rPr>
        <w:t xml:space="preserve">Принцип підзвітності </w:t>
      </w:r>
      <w:r>
        <w:rPr>
          <w:color w:val="231F20"/>
        </w:rPr>
        <w:t>у виконавчому процесі ЄС має бути більш зрозумілим. Кожна з інституцій ЄС має пояснювати і брати відпові- дальність за те, що вона робить для Європи. Більша ясність і відпо- відальність також вимагається від держав-членів ЄС та в</w:t>
      </w:r>
      <w:r>
        <w:rPr>
          <w:color w:val="231F20"/>
        </w:rPr>
        <w:t>сіх інших агентів, що задіяні в розробленні й упроваджені політики ЄС на будь-якому рівні.</w:t>
      </w:r>
    </w:p>
    <w:p w14:paraId="3566053F" w14:textId="77777777" w:rsidR="00DE575E" w:rsidRDefault="002E7560">
      <w:pPr>
        <w:pStyle w:val="Heading5"/>
        <w:spacing w:before="3" w:line="252" w:lineRule="auto"/>
        <w:ind w:left="250" w:right="409" w:firstLine="283"/>
        <w:jc w:val="both"/>
      </w:pPr>
      <w:r>
        <w:rPr>
          <w:color w:val="231F20"/>
        </w:rPr>
        <w:t xml:space="preserve">Отже, сутність і зміст аналізованих для потреб </w:t>
      </w:r>
      <w:r>
        <w:rPr>
          <w:color w:val="231F20"/>
          <w:spacing w:val="-3"/>
        </w:rPr>
        <w:t xml:space="preserve">ЄС </w:t>
      </w:r>
      <w:r>
        <w:rPr>
          <w:color w:val="231F20"/>
        </w:rPr>
        <w:t xml:space="preserve">принци- пів властиві адміністративному праву </w:t>
      </w:r>
      <w:r>
        <w:rPr>
          <w:color w:val="231F20"/>
          <w:spacing w:val="-4"/>
        </w:rPr>
        <w:t xml:space="preserve">України. </w:t>
      </w:r>
      <w:r>
        <w:rPr>
          <w:color w:val="231F20"/>
        </w:rPr>
        <w:t xml:space="preserve">Зокрема, прин- ципи забезпечення соціальної згуртованості та </w:t>
      </w:r>
      <w:r>
        <w:rPr>
          <w:color w:val="231F20"/>
        </w:rPr>
        <w:t xml:space="preserve">підзвітності полягають у </w:t>
      </w:r>
      <w:r>
        <w:rPr>
          <w:color w:val="231F20"/>
          <w:spacing w:val="-6"/>
        </w:rPr>
        <w:t xml:space="preserve">тому, </w:t>
      </w:r>
      <w:r>
        <w:rPr>
          <w:color w:val="231F20"/>
        </w:rPr>
        <w:t xml:space="preserve">що всі </w:t>
      </w:r>
      <w:r>
        <w:rPr>
          <w:color w:val="231F20"/>
          <w:spacing w:val="-4"/>
        </w:rPr>
        <w:t xml:space="preserve">заходи </w:t>
      </w:r>
      <w:r>
        <w:rPr>
          <w:color w:val="231F20"/>
        </w:rPr>
        <w:t xml:space="preserve">різноманітних </w:t>
      </w:r>
      <w:r>
        <w:rPr>
          <w:color w:val="231F20"/>
          <w:spacing w:val="-3"/>
        </w:rPr>
        <w:t xml:space="preserve">суб’єктів </w:t>
      </w:r>
      <w:r>
        <w:rPr>
          <w:color w:val="231F20"/>
        </w:rPr>
        <w:t xml:space="preserve">публіч- ної адміністрації, а в багатьох випадках – і </w:t>
      </w:r>
      <w:r>
        <w:rPr>
          <w:color w:val="231F20"/>
          <w:spacing w:val="-3"/>
        </w:rPr>
        <w:t xml:space="preserve">законодавчої </w:t>
      </w:r>
      <w:r>
        <w:rPr>
          <w:color w:val="231F20"/>
        </w:rPr>
        <w:t xml:space="preserve">гілки влади, мають погоджуватися </w:t>
      </w:r>
      <w:r>
        <w:rPr>
          <w:color w:val="231F20"/>
          <w:spacing w:val="-3"/>
        </w:rPr>
        <w:t xml:space="preserve">один </w:t>
      </w:r>
      <w:r>
        <w:rPr>
          <w:color w:val="231F20"/>
        </w:rPr>
        <w:t>з одним, бути націленими на відбиття російської терористичної агресії та найбільш повне забезпечення прав, свобод і законних інтересів приватних осіб при</w:t>
      </w:r>
      <w:r>
        <w:rPr>
          <w:color w:val="231F20"/>
          <w:spacing w:val="-1"/>
        </w:rPr>
        <w:t xml:space="preserve"> </w:t>
      </w:r>
      <w:r>
        <w:rPr>
          <w:color w:val="231F20"/>
          <w:spacing w:val="-4"/>
        </w:rPr>
        <w:t>цьому.</w:t>
      </w:r>
    </w:p>
    <w:p w14:paraId="25E4009B" w14:textId="77777777" w:rsidR="00DE575E" w:rsidRDefault="00DE575E">
      <w:pPr>
        <w:pStyle w:val="BodyText"/>
        <w:rPr>
          <w:b/>
          <w:sz w:val="24"/>
        </w:rPr>
      </w:pPr>
    </w:p>
    <w:p w14:paraId="36F7EF0F" w14:textId="77777777" w:rsidR="00DE575E" w:rsidRDefault="00DE575E">
      <w:pPr>
        <w:pStyle w:val="BodyText"/>
        <w:spacing w:before="6"/>
        <w:rPr>
          <w:b/>
          <w:sz w:val="20"/>
        </w:rPr>
      </w:pPr>
    </w:p>
    <w:p w14:paraId="609AE77E" w14:textId="77777777" w:rsidR="00DE575E" w:rsidRDefault="002E7560">
      <w:pPr>
        <w:spacing w:before="1"/>
        <w:ind w:left="2088"/>
        <w:rPr>
          <w:b/>
          <w:sz w:val="21"/>
        </w:rPr>
      </w:pPr>
      <w:r>
        <w:rPr>
          <w:b/>
          <w:color w:val="231F20"/>
          <w:sz w:val="21"/>
        </w:rPr>
        <w:t>Питання для самоконтролю</w:t>
      </w:r>
    </w:p>
    <w:p w14:paraId="31AFACD5" w14:textId="77777777" w:rsidR="00DE575E" w:rsidRDefault="00DE575E">
      <w:pPr>
        <w:pStyle w:val="BodyText"/>
        <w:spacing w:before="2"/>
        <w:rPr>
          <w:b/>
          <w:sz w:val="23"/>
        </w:rPr>
      </w:pPr>
    </w:p>
    <w:p w14:paraId="3B863BF9" w14:textId="77777777" w:rsidR="00DE575E" w:rsidRDefault="002E7560">
      <w:pPr>
        <w:pStyle w:val="ListParagraph"/>
        <w:numPr>
          <w:ilvl w:val="0"/>
          <w:numId w:val="296"/>
        </w:numPr>
        <w:tabs>
          <w:tab w:val="left" w:pos="818"/>
        </w:tabs>
        <w:spacing w:before="0"/>
        <w:ind w:firstLine="283"/>
        <w:jc w:val="left"/>
        <w:rPr>
          <w:sz w:val="21"/>
        </w:rPr>
      </w:pPr>
      <w:r>
        <w:rPr>
          <w:color w:val="231F20"/>
          <w:sz w:val="21"/>
        </w:rPr>
        <w:t>У чому полягає значення принципів адміністративного</w:t>
      </w:r>
      <w:r>
        <w:rPr>
          <w:color w:val="231F20"/>
          <w:spacing w:val="-33"/>
          <w:sz w:val="21"/>
        </w:rPr>
        <w:t xml:space="preserve"> </w:t>
      </w:r>
      <w:r>
        <w:rPr>
          <w:color w:val="231F20"/>
          <w:sz w:val="21"/>
        </w:rPr>
        <w:t>права?</w:t>
      </w:r>
    </w:p>
    <w:p w14:paraId="27B79C12" w14:textId="77777777" w:rsidR="00DE575E" w:rsidRDefault="002E7560">
      <w:pPr>
        <w:pStyle w:val="ListParagraph"/>
        <w:numPr>
          <w:ilvl w:val="0"/>
          <w:numId w:val="296"/>
        </w:numPr>
        <w:tabs>
          <w:tab w:val="left" w:pos="818"/>
        </w:tabs>
        <w:spacing w:before="13" w:line="252" w:lineRule="auto"/>
        <w:ind w:right="410" w:firstLine="283"/>
        <w:jc w:val="both"/>
        <w:rPr>
          <w:sz w:val="21"/>
        </w:rPr>
      </w:pPr>
      <w:r>
        <w:rPr>
          <w:color w:val="231F20"/>
          <w:sz w:val="21"/>
        </w:rPr>
        <w:t>У чому полягає значення принципу верховенства права для публічного</w:t>
      </w:r>
      <w:r>
        <w:rPr>
          <w:color w:val="231F20"/>
          <w:spacing w:val="-1"/>
          <w:sz w:val="21"/>
        </w:rPr>
        <w:t xml:space="preserve"> </w:t>
      </w:r>
      <w:r>
        <w:rPr>
          <w:color w:val="231F20"/>
          <w:sz w:val="21"/>
        </w:rPr>
        <w:t>адміністрування?</w:t>
      </w:r>
    </w:p>
    <w:p w14:paraId="49EB257F" w14:textId="77777777" w:rsidR="00DE575E" w:rsidRDefault="002E7560">
      <w:pPr>
        <w:pStyle w:val="ListParagraph"/>
        <w:numPr>
          <w:ilvl w:val="0"/>
          <w:numId w:val="296"/>
        </w:numPr>
        <w:tabs>
          <w:tab w:val="left" w:pos="818"/>
        </w:tabs>
        <w:spacing w:line="252" w:lineRule="auto"/>
        <w:ind w:right="411" w:firstLine="283"/>
        <w:jc w:val="both"/>
        <w:rPr>
          <w:sz w:val="21"/>
        </w:rPr>
      </w:pPr>
      <w:r>
        <w:rPr>
          <w:color w:val="231F20"/>
          <w:sz w:val="21"/>
        </w:rPr>
        <w:t>Як співвідносяться принцип верховенства права та закон- ності?</w:t>
      </w:r>
    </w:p>
    <w:p w14:paraId="5D0A5380" w14:textId="77777777" w:rsidR="00DE575E" w:rsidRDefault="002E7560">
      <w:pPr>
        <w:pStyle w:val="ListParagraph"/>
        <w:numPr>
          <w:ilvl w:val="0"/>
          <w:numId w:val="296"/>
        </w:numPr>
        <w:tabs>
          <w:tab w:val="left" w:pos="818"/>
        </w:tabs>
        <w:spacing w:line="252" w:lineRule="auto"/>
        <w:ind w:right="411" w:firstLine="283"/>
        <w:jc w:val="both"/>
        <w:rPr>
          <w:sz w:val="21"/>
        </w:rPr>
      </w:pPr>
      <w:r>
        <w:rPr>
          <w:color w:val="231F20"/>
          <w:sz w:val="21"/>
        </w:rPr>
        <w:t>Яке значення мають принципи належного врядування для публічного</w:t>
      </w:r>
      <w:r>
        <w:rPr>
          <w:color w:val="231F20"/>
          <w:spacing w:val="-1"/>
          <w:sz w:val="21"/>
        </w:rPr>
        <w:t xml:space="preserve"> </w:t>
      </w:r>
      <w:r>
        <w:rPr>
          <w:color w:val="231F20"/>
          <w:sz w:val="21"/>
        </w:rPr>
        <w:t>адміністрування?</w:t>
      </w:r>
    </w:p>
    <w:p w14:paraId="70323196" w14:textId="77777777" w:rsidR="00DE575E" w:rsidRDefault="00DE575E">
      <w:pPr>
        <w:pStyle w:val="BodyText"/>
        <w:spacing w:before="5"/>
        <w:rPr>
          <w:sz w:val="12"/>
        </w:rPr>
      </w:pPr>
    </w:p>
    <w:p w14:paraId="50A52A66" w14:textId="77777777" w:rsidR="00DE575E" w:rsidRDefault="002E7560">
      <w:pPr>
        <w:spacing w:before="92"/>
        <w:ind w:right="411"/>
        <w:jc w:val="right"/>
        <w:rPr>
          <w:rFonts w:ascii="Times New Roman"/>
          <w:sz w:val="20"/>
        </w:rPr>
      </w:pPr>
      <w:r>
        <w:rPr>
          <w:rFonts w:ascii="Times New Roman"/>
          <w:color w:val="231F20"/>
          <w:w w:val="90"/>
          <w:sz w:val="20"/>
        </w:rPr>
        <w:t>57</w:t>
      </w:r>
    </w:p>
    <w:p w14:paraId="6B585BE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7CA8662"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w:t>
      </w:r>
      <w:r>
        <w:rPr>
          <w:rFonts w:ascii="AdonisC" w:hAnsi="AdonisC"/>
          <w:i/>
          <w:color w:val="231F20"/>
          <w:sz w:val="18"/>
        </w:rPr>
        <w:t>тивне право України. Повний курс</w:t>
      </w:r>
    </w:p>
    <w:p w14:paraId="6F9232F1" w14:textId="118108C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D594509" wp14:editId="3F789F38">
                <wp:extent cx="4140200" cy="6350"/>
                <wp:effectExtent l="0" t="0" r="12700" b="6350"/>
                <wp:docPr id="1265"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66" name="Line 12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ADEF5F" id="Group_x0020_12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AU9ZhgAIAAJwFAAAO&#10;AAAAAAAAAAAAAAAAACwCAABkcnMvZTJvRG9jLnhtbFBLAQItABQABgAIAAAAIQBMp7CQ2QAAAAMB&#10;AAAPAAAAAAAAAAAAAAAAANgEAABkcnMvZG93bnJldi54bWxQSwUGAAAAAAQABADzAAAA3gUAAAAA&#10;">
                <v:line id="Line_x0020_12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j4KcQAAADdAAAADwAAAGRycy9kb3ducmV2LnhtbERPzWrCQBC+C77DMoIXqRsVQkldRQSh&#10;9KDV9AHG7DQJ3Z2N2dXEPn23IHibj+93luveGnGj1teOFcymCQjiwumaSwVf+e7lFYQPyBqNY1Jw&#10;Jw/r1XCwxEy7jo90O4VSxBD2GSqoQmgyKX1RkUU/dQ1x5L5dazFE2JZSt9jFcGvkPElSabHm2FBh&#10;Q9uKip/T1SrIL5NgPg8fpssP54U8X/aL3+teqfGo37yBCNSHp/jhftdx/jxN4f+beIJ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OPgpxAAAAN0AAAAPAAAAAAAAAAAA&#10;AAAAAKECAABkcnMvZG93bnJldi54bWxQSwUGAAAAAAQABAD5AAAAkgMAAAAA&#10;" strokecolor="#231f20" strokeweight=".5pt"/>
                <w10:anchorlock/>
              </v:group>
            </w:pict>
          </mc:Fallback>
        </mc:AlternateContent>
      </w:r>
    </w:p>
    <w:p w14:paraId="56B9437B" w14:textId="77777777" w:rsidR="00DE575E" w:rsidRDefault="00DE575E">
      <w:pPr>
        <w:pStyle w:val="BodyText"/>
        <w:spacing w:before="7"/>
        <w:rPr>
          <w:rFonts w:ascii="AdonisC"/>
          <w:i/>
          <w:sz w:val="11"/>
        </w:rPr>
      </w:pPr>
    </w:p>
    <w:p w14:paraId="1C5EB04F" w14:textId="77777777" w:rsidR="00DE575E" w:rsidRDefault="002E7560">
      <w:pPr>
        <w:pStyle w:val="ListParagraph"/>
        <w:numPr>
          <w:ilvl w:val="0"/>
          <w:numId w:val="296"/>
        </w:numPr>
        <w:tabs>
          <w:tab w:val="left" w:pos="1101"/>
        </w:tabs>
        <w:spacing w:before="101"/>
        <w:ind w:left="1100" w:hanging="283"/>
        <w:jc w:val="left"/>
        <w:rPr>
          <w:sz w:val="21"/>
        </w:rPr>
      </w:pPr>
      <w:r>
        <w:rPr>
          <w:color w:val="231F20"/>
          <w:sz w:val="21"/>
        </w:rPr>
        <w:t>У чому полягає сутність принципів належного</w:t>
      </w:r>
      <w:r>
        <w:rPr>
          <w:color w:val="231F20"/>
          <w:spacing w:val="-5"/>
          <w:sz w:val="21"/>
        </w:rPr>
        <w:t xml:space="preserve"> </w:t>
      </w:r>
      <w:r>
        <w:rPr>
          <w:color w:val="231F20"/>
          <w:sz w:val="21"/>
        </w:rPr>
        <w:t>врядування?</w:t>
      </w:r>
    </w:p>
    <w:p w14:paraId="779E8C61" w14:textId="77777777" w:rsidR="00DE575E" w:rsidRDefault="002E7560">
      <w:pPr>
        <w:pStyle w:val="ListParagraph"/>
        <w:numPr>
          <w:ilvl w:val="0"/>
          <w:numId w:val="296"/>
        </w:numPr>
        <w:tabs>
          <w:tab w:val="left" w:pos="1101"/>
        </w:tabs>
        <w:spacing w:before="12"/>
        <w:ind w:left="1100" w:hanging="283"/>
        <w:jc w:val="left"/>
        <w:rPr>
          <w:sz w:val="21"/>
        </w:rPr>
      </w:pPr>
      <w:r>
        <w:rPr>
          <w:color w:val="231F20"/>
          <w:sz w:val="21"/>
        </w:rPr>
        <w:t>Як формуються принципи належного</w:t>
      </w:r>
      <w:r>
        <w:rPr>
          <w:color w:val="231F20"/>
          <w:spacing w:val="-3"/>
          <w:sz w:val="21"/>
        </w:rPr>
        <w:t xml:space="preserve"> </w:t>
      </w:r>
      <w:r>
        <w:rPr>
          <w:color w:val="231F20"/>
          <w:sz w:val="21"/>
        </w:rPr>
        <w:t>врядування?</w:t>
      </w:r>
    </w:p>
    <w:p w14:paraId="187C6299" w14:textId="77777777" w:rsidR="00DE575E" w:rsidRDefault="002E7560">
      <w:pPr>
        <w:pStyle w:val="ListParagraph"/>
        <w:numPr>
          <w:ilvl w:val="0"/>
          <w:numId w:val="296"/>
        </w:numPr>
        <w:tabs>
          <w:tab w:val="left" w:pos="1101"/>
        </w:tabs>
        <w:spacing w:before="13"/>
        <w:ind w:left="1100" w:hanging="283"/>
        <w:jc w:val="left"/>
        <w:rPr>
          <w:sz w:val="21"/>
        </w:rPr>
      </w:pPr>
      <w:r>
        <w:rPr>
          <w:color w:val="231F20"/>
          <w:sz w:val="21"/>
        </w:rPr>
        <w:t>У чому полягає сутність принципу</w:t>
      </w:r>
      <w:r>
        <w:rPr>
          <w:color w:val="231F20"/>
          <w:spacing w:val="-3"/>
          <w:sz w:val="21"/>
        </w:rPr>
        <w:t xml:space="preserve"> </w:t>
      </w:r>
      <w:r>
        <w:rPr>
          <w:color w:val="231F20"/>
          <w:sz w:val="21"/>
        </w:rPr>
        <w:t>підзвітності?</w:t>
      </w:r>
    </w:p>
    <w:p w14:paraId="76DF36B5" w14:textId="77777777" w:rsidR="00DE575E" w:rsidRDefault="00DE575E">
      <w:pPr>
        <w:pStyle w:val="BodyText"/>
        <w:spacing w:before="2"/>
        <w:rPr>
          <w:sz w:val="23"/>
        </w:rPr>
      </w:pPr>
    </w:p>
    <w:p w14:paraId="6C42C79F" w14:textId="77777777" w:rsidR="00DE575E" w:rsidRDefault="002E7560">
      <w:pPr>
        <w:pStyle w:val="Heading5"/>
        <w:ind w:left="1778"/>
      </w:pPr>
      <w:r>
        <w:rPr>
          <w:color w:val="231F20"/>
        </w:rPr>
        <w:t>Література для поглибленого вивчення</w:t>
      </w:r>
    </w:p>
    <w:p w14:paraId="58F100FE" w14:textId="77777777" w:rsidR="00DE575E" w:rsidRDefault="00DE575E">
      <w:pPr>
        <w:pStyle w:val="BodyText"/>
        <w:spacing w:before="2"/>
        <w:rPr>
          <w:b/>
          <w:sz w:val="23"/>
        </w:rPr>
      </w:pPr>
    </w:p>
    <w:p w14:paraId="30BFEF35" w14:textId="77777777" w:rsidR="00DE575E" w:rsidRDefault="002E7560">
      <w:pPr>
        <w:pStyle w:val="ListParagraph"/>
        <w:numPr>
          <w:ilvl w:val="0"/>
          <w:numId w:val="295"/>
        </w:numPr>
        <w:tabs>
          <w:tab w:val="left" w:pos="1101"/>
        </w:tabs>
        <w:spacing w:line="252" w:lineRule="auto"/>
        <w:ind w:right="128" w:firstLine="284"/>
        <w:jc w:val="both"/>
        <w:rPr>
          <w:sz w:val="21"/>
        </w:rPr>
      </w:pPr>
      <w:r>
        <w:rPr>
          <w:color w:val="231F20"/>
          <w:sz w:val="21"/>
        </w:rPr>
        <w:t xml:space="preserve">Авер’янов </w:t>
      </w:r>
      <w:r>
        <w:rPr>
          <w:color w:val="231F20"/>
          <w:spacing w:val="-3"/>
          <w:sz w:val="21"/>
        </w:rPr>
        <w:t xml:space="preserve">В. </w:t>
      </w:r>
      <w:r>
        <w:rPr>
          <w:color w:val="231F20"/>
          <w:sz w:val="21"/>
        </w:rPr>
        <w:t>Б.  Утвердження  принципу  верховенства  права у новій доктрині Українського адміністративного права. № 11 (61). С.</w:t>
      </w:r>
      <w:r>
        <w:rPr>
          <w:color w:val="231F20"/>
          <w:spacing w:val="-5"/>
          <w:sz w:val="21"/>
        </w:rPr>
        <w:t xml:space="preserve"> </w:t>
      </w:r>
      <w:r>
        <w:rPr>
          <w:color w:val="231F20"/>
          <w:sz w:val="21"/>
        </w:rPr>
        <w:t>57-63.</w:t>
      </w:r>
    </w:p>
    <w:p w14:paraId="4E48A36A" w14:textId="77777777" w:rsidR="00DE575E" w:rsidRDefault="002E7560">
      <w:pPr>
        <w:pStyle w:val="ListParagraph"/>
        <w:numPr>
          <w:ilvl w:val="0"/>
          <w:numId w:val="295"/>
        </w:numPr>
        <w:tabs>
          <w:tab w:val="left" w:pos="1101"/>
        </w:tabs>
        <w:spacing w:line="252" w:lineRule="auto"/>
        <w:ind w:right="128" w:firstLine="284"/>
        <w:jc w:val="both"/>
        <w:rPr>
          <w:sz w:val="21"/>
        </w:rPr>
      </w:pPr>
      <w:r>
        <w:rPr>
          <w:color w:val="231F20"/>
          <w:sz w:val="21"/>
        </w:rPr>
        <w:t xml:space="preserve">Біла  Книга.  Європейське  врядування.  </w:t>
      </w:r>
      <w:r>
        <w:rPr>
          <w:i/>
          <w:color w:val="231F20"/>
          <w:sz w:val="21"/>
        </w:rPr>
        <w:t>Комісія  європейсь-  ких співтовариств</w:t>
      </w:r>
      <w:r>
        <w:rPr>
          <w:color w:val="231F20"/>
          <w:sz w:val="21"/>
        </w:rPr>
        <w:t xml:space="preserve">. Брюссель. 25.7.2001. COM(2001). URL: </w:t>
      </w:r>
      <w:hyperlink r:id="rId24">
        <w:r>
          <w:rPr>
            <w:color w:val="231F20"/>
            <w:sz w:val="21"/>
          </w:rPr>
          <w:t>http://pravo.org.ua/</w:t>
        </w:r>
        <w:r>
          <w:rPr>
            <w:color w:val="231F20"/>
            <w:spacing w:val="-5"/>
            <w:sz w:val="21"/>
          </w:rPr>
          <w:t xml:space="preserve"> </w:t>
        </w:r>
      </w:hyperlink>
      <w:r>
        <w:rPr>
          <w:color w:val="231F20"/>
          <w:sz w:val="21"/>
        </w:rPr>
        <w:t>files/konstutyc/WHITE_BOOK_UKR_REV.pdf</w:t>
      </w:r>
    </w:p>
    <w:p w14:paraId="53B1E735" w14:textId="77777777" w:rsidR="00DE575E" w:rsidRDefault="002E7560">
      <w:pPr>
        <w:pStyle w:val="ListParagraph"/>
        <w:numPr>
          <w:ilvl w:val="0"/>
          <w:numId w:val="295"/>
        </w:numPr>
        <w:tabs>
          <w:tab w:val="left" w:pos="1101"/>
        </w:tabs>
        <w:spacing w:before="2" w:line="252" w:lineRule="auto"/>
        <w:ind w:right="129" w:firstLine="284"/>
        <w:jc w:val="both"/>
        <w:rPr>
          <w:sz w:val="21"/>
        </w:rPr>
      </w:pPr>
      <w:r>
        <w:rPr>
          <w:color w:val="231F20"/>
          <w:sz w:val="21"/>
        </w:rPr>
        <w:t xml:space="preserve">Галунько </w:t>
      </w:r>
      <w:r>
        <w:rPr>
          <w:color w:val="231F20"/>
          <w:spacing w:val="-3"/>
          <w:sz w:val="21"/>
        </w:rPr>
        <w:t xml:space="preserve">В. </w:t>
      </w:r>
      <w:r>
        <w:rPr>
          <w:color w:val="231F20"/>
          <w:sz w:val="21"/>
        </w:rPr>
        <w:t xml:space="preserve">Олефір </w:t>
      </w:r>
      <w:r>
        <w:rPr>
          <w:color w:val="231F20"/>
          <w:spacing w:val="-3"/>
          <w:sz w:val="21"/>
        </w:rPr>
        <w:t xml:space="preserve">В., </w:t>
      </w:r>
      <w:r>
        <w:rPr>
          <w:color w:val="231F20"/>
          <w:sz w:val="21"/>
        </w:rPr>
        <w:t xml:space="preserve">Гридасов </w:t>
      </w:r>
      <w:r>
        <w:rPr>
          <w:color w:val="231F20"/>
          <w:spacing w:val="-3"/>
          <w:sz w:val="21"/>
        </w:rPr>
        <w:t xml:space="preserve">Ю. </w:t>
      </w:r>
      <w:r>
        <w:rPr>
          <w:color w:val="231F20"/>
          <w:sz w:val="21"/>
        </w:rPr>
        <w:t xml:space="preserve">та ін. Адміністративне право </w:t>
      </w:r>
      <w:r>
        <w:rPr>
          <w:color w:val="231F20"/>
          <w:spacing w:val="-3"/>
          <w:sz w:val="21"/>
        </w:rPr>
        <w:t xml:space="preserve">України: </w:t>
      </w:r>
      <w:r>
        <w:rPr>
          <w:color w:val="231F20"/>
          <w:sz w:val="21"/>
        </w:rPr>
        <w:t xml:space="preserve">у </w:t>
      </w:r>
      <w:r>
        <w:rPr>
          <w:color w:val="231F20"/>
          <w:spacing w:val="-3"/>
          <w:sz w:val="21"/>
        </w:rPr>
        <w:t xml:space="preserve">2-х </w:t>
      </w:r>
      <w:r>
        <w:rPr>
          <w:color w:val="231F20"/>
          <w:spacing w:val="-6"/>
          <w:sz w:val="21"/>
        </w:rPr>
        <w:t xml:space="preserve">т.: </w:t>
      </w:r>
      <w:r>
        <w:rPr>
          <w:color w:val="231F20"/>
          <w:sz w:val="21"/>
        </w:rPr>
        <w:t xml:space="preserve">підручник </w:t>
      </w:r>
      <w:r>
        <w:rPr>
          <w:color w:val="231F20"/>
          <w:spacing w:val="-12"/>
          <w:sz w:val="21"/>
        </w:rPr>
        <w:t xml:space="preserve">Т. </w:t>
      </w:r>
      <w:r>
        <w:rPr>
          <w:color w:val="231F20"/>
          <w:sz w:val="21"/>
        </w:rPr>
        <w:t xml:space="preserve">1.: Загальне адміністративне право. Академічний курс. Херсон: </w:t>
      </w:r>
      <w:r>
        <w:rPr>
          <w:i/>
          <w:color w:val="231F20"/>
          <w:sz w:val="21"/>
        </w:rPr>
        <w:t xml:space="preserve">ХМД, </w:t>
      </w:r>
      <w:r>
        <w:rPr>
          <w:color w:val="231F20"/>
          <w:sz w:val="21"/>
        </w:rPr>
        <w:t>2013. 396</w:t>
      </w:r>
      <w:r>
        <w:rPr>
          <w:color w:val="231F20"/>
          <w:spacing w:val="-8"/>
          <w:sz w:val="21"/>
        </w:rPr>
        <w:t xml:space="preserve"> </w:t>
      </w:r>
      <w:r>
        <w:rPr>
          <w:color w:val="231F20"/>
          <w:sz w:val="21"/>
        </w:rPr>
        <w:t>с.</w:t>
      </w:r>
    </w:p>
    <w:p w14:paraId="6AFFC3F4" w14:textId="77777777" w:rsidR="00DE575E" w:rsidRDefault="002E7560">
      <w:pPr>
        <w:pStyle w:val="ListParagraph"/>
        <w:numPr>
          <w:ilvl w:val="0"/>
          <w:numId w:val="295"/>
        </w:numPr>
        <w:tabs>
          <w:tab w:val="left" w:pos="1101"/>
        </w:tabs>
        <w:spacing w:line="252" w:lineRule="auto"/>
        <w:ind w:right="128" w:firstLine="284"/>
        <w:jc w:val="both"/>
        <w:rPr>
          <w:sz w:val="21"/>
        </w:rPr>
      </w:pPr>
      <w:r>
        <w:rPr>
          <w:color w:val="231F20"/>
          <w:sz w:val="21"/>
        </w:rPr>
        <w:t xml:space="preserve">Дзюндзюк </w:t>
      </w:r>
      <w:r>
        <w:rPr>
          <w:color w:val="231F20"/>
          <w:spacing w:val="-3"/>
          <w:sz w:val="21"/>
        </w:rPr>
        <w:t xml:space="preserve">В. </w:t>
      </w:r>
      <w:r>
        <w:rPr>
          <w:color w:val="231F20"/>
          <w:sz w:val="21"/>
        </w:rPr>
        <w:t xml:space="preserve">та ін. Публічне адміністрування в </w:t>
      </w:r>
      <w:r>
        <w:rPr>
          <w:color w:val="231F20"/>
          <w:spacing w:val="-3"/>
          <w:sz w:val="21"/>
        </w:rPr>
        <w:t xml:space="preserve">Україні. </w:t>
      </w:r>
      <w:r>
        <w:rPr>
          <w:color w:val="231F20"/>
          <w:sz w:val="21"/>
        </w:rPr>
        <w:t>2011. URL:</w:t>
      </w:r>
      <w:r>
        <w:rPr>
          <w:color w:val="231F20"/>
          <w:spacing w:val="-4"/>
          <w:sz w:val="21"/>
        </w:rPr>
        <w:t xml:space="preserve"> </w:t>
      </w:r>
      <w:hyperlink r:id="rId25">
        <w:r>
          <w:rPr>
            <w:color w:val="231F20"/>
            <w:sz w:val="21"/>
          </w:rPr>
          <w:t>http://economics.studio/derjavne-upravlinnya-munitsipaln</w:t>
        </w:r>
      </w:hyperlink>
    </w:p>
    <w:p w14:paraId="710D5076" w14:textId="77777777" w:rsidR="00DE575E" w:rsidRDefault="002E7560">
      <w:pPr>
        <w:pStyle w:val="ListParagraph"/>
        <w:numPr>
          <w:ilvl w:val="0"/>
          <w:numId w:val="295"/>
        </w:numPr>
        <w:tabs>
          <w:tab w:val="left" w:pos="1101"/>
        </w:tabs>
        <w:spacing w:line="252" w:lineRule="auto"/>
        <w:ind w:right="127" w:firstLine="284"/>
        <w:jc w:val="both"/>
        <w:rPr>
          <w:sz w:val="21"/>
        </w:rPr>
      </w:pPr>
      <w:r>
        <w:rPr>
          <w:color w:val="231F20"/>
          <w:sz w:val="21"/>
        </w:rPr>
        <w:t xml:space="preserve">Європейські  принципи  державного   управління.   </w:t>
      </w:r>
      <w:r>
        <w:rPr>
          <w:i/>
          <w:color w:val="231F20"/>
          <w:sz w:val="21"/>
        </w:rPr>
        <w:t>Пуб</w:t>
      </w:r>
      <w:r>
        <w:rPr>
          <w:i/>
          <w:color w:val="231F20"/>
          <w:sz w:val="21"/>
        </w:rPr>
        <w:t>ліка- ція СІГМА</w:t>
      </w:r>
      <w:r>
        <w:rPr>
          <w:color w:val="231F20"/>
          <w:sz w:val="21"/>
        </w:rPr>
        <w:t xml:space="preserve">. № 27. 1999. URL: </w:t>
      </w:r>
      <w:hyperlink r:id="rId26">
        <w:r>
          <w:rPr>
            <w:color w:val="231F20"/>
            <w:sz w:val="21"/>
          </w:rPr>
          <w:t>http://www.sigmaweb.org/publications/</w:t>
        </w:r>
      </w:hyperlink>
      <w:r>
        <w:rPr>
          <w:color w:val="231F20"/>
          <w:sz w:val="21"/>
        </w:rPr>
        <w:t xml:space="preserve"> Sergei_</w:t>
      </w:r>
      <w:r>
        <w:rPr>
          <w:color w:val="231F20"/>
          <w:spacing w:val="-1"/>
          <w:sz w:val="21"/>
        </w:rPr>
        <w:t xml:space="preserve"> </w:t>
      </w:r>
      <w:r>
        <w:rPr>
          <w:color w:val="231F20"/>
          <w:sz w:val="21"/>
        </w:rPr>
        <w:t>Rus_SP27_99Rev1</w:t>
      </w:r>
    </w:p>
    <w:p w14:paraId="26D4C391" w14:textId="77777777" w:rsidR="00DE575E" w:rsidRDefault="002E7560">
      <w:pPr>
        <w:pStyle w:val="ListParagraph"/>
        <w:numPr>
          <w:ilvl w:val="0"/>
          <w:numId w:val="295"/>
        </w:numPr>
        <w:tabs>
          <w:tab w:val="left" w:pos="1101"/>
        </w:tabs>
        <w:spacing w:line="252" w:lineRule="auto"/>
        <w:ind w:right="128" w:firstLine="284"/>
        <w:jc w:val="both"/>
        <w:rPr>
          <w:sz w:val="21"/>
        </w:rPr>
      </w:pPr>
      <w:r>
        <w:rPr>
          <w:color w:val="231F20"/>
          <w:spacing w:val="-3"/>
          <w:sz w:val="21"/>
        </w:rPr>
        <w:t xml:space="preserve">Томкіна О. </w:t>
      </w:r>
      <w:r>
        <w:rPr>
          <w:color w:val="231F20"/>
          <w:sz w:val="21"/>
        </w:rPr>
        <w:t>Принцип доброчесності державної влади: поста- новка</w:t>
      </w:r>
      <w:r>
        <w:rPr>
          <w:color w:val="231F20"/>
          <w:spacing w:val="-9"/>
          <w:sz w:val="21"/>
        </w:rPr>
        <w:t xml:space="preserve"> </w:t>
      </w:r>
      <w:r>
        <w:rPr>
          <w:color w:val="231F20"/>
          <w:sz w:val="21"/>
        </w:rPr>
        <w:t>проблеми.</w:t>
      </w:r>
      <w:r>
        <w:rPr>
          <w:color w:val="231F20"/>
          <w:spacing w:val="-10"/>
          <w:sz w:val="21"/>
        </w:rPr>
        <w:t xml:space="preserve"> </w:t>
      </w:r>
      <w:r>
        <w:rPr>
          <w:i/>
          <w:color w:val="231F20"/>
          <w:sz w:val="21"/>
        </w:rPr>
        <w:t>Вісник</w:t>
      </w:r>
      <w:r>
        <w:rPr>
          <w:i/>
          <w:color w:val="231F20"/>
          <w:spacing w:val="-9"/>
          <w:sz w:val="21"/>
        </w:rPr>
        <w:t xml:space="preserve"> </w:t>
      </w:r>
      <w:r>
        <w:rPr>
          <w:i/>
          <w:color w:val="231F20"/>
          <w:sz w:val="21"/>
        </w:rPr>
        <w:t>Національної</w:t>
      </w:r>
      <w:r>
        <w:rPr>
          <w:i/>
          <w:color w:val="231F20"/>
          <w:spacing w:val="-9"/>
          <w:sz w:val="21"/>
        </w:rPr>
        <w:t xml:space="preserve"> </w:t>
      </w:r>
      <w:r>
        <w:rPr>
          <w:i/>
          <w:color w:val="231F20"/>
          <w:sz w:val="21"/>
        </w:rPr>
        <w:t>академії</w:t>
      </w:r>
      <w:r>
        <w:rPr>
          <w:i/>
          <w:color w:val="231F20"/>
          <w:spacing w:val="-9"/>
          <w:sz w:val="21"/>
        </w:rPr>
        <w:t xml:space="preserve"> </w:t>
      </w:r>
      <w:r>
        <w:rPr>
          <w:i/>
          <w:color w:val="231F20"/>
          <w:sz w:val="21"/>
        </w:rPr>
        <w:t>п</w:t>
      </w:r>
      <w:r>
        <w:rPr>
          <w:i/>
          <w:color w:val="231F20"/>
          <w:sz w:val="21"/>
        </w:rPr>
        <w:t>равових</w:t>
      </w:r>
      <w:r>
        <w:rPr>
          <w:i/>
          <w:color w:val="231F20"/>
          <w:spacing w:val="-9"/>
          <w:sz w:val="21"/>
        </w:rPr>
        <w:t xml:space="preserve"> </w:t>
      </w:r>
      <w:r>
        <w:rPr>
          <w:i/>
          <w:color w:val="231F20"/>
          <w:sz w:val="21"/>
        </w:rPr>
        <w:t>наук</w:t>
      </w:r>
      <w:r>
        <w:rPr>
          <w:i/>
          <w:color w:val="231F20"/>
          <w:spacing w:val="-9"/>
          <w:sz w:val="21"/>
        </w:rPr>
        <w:t xml:space="preserve"> </w:t>
      </w:r>
      <w:r>
        <w:rPr>
          <w:i/>
          <w:color w:val="231F20"/>
          <w:sz w:val="21"/>
        </w:rPr>
        <w:t>України</w:t>
      </w:r>
      <w:r>
        <w:rPr>
          <w:color w:val="231F20"/>
          <w:sz w:val="21"/>
        </w:rPr>
        <w:t>.</w:t>
      </w:r>
    </w:p>
    <w:p w14:paraId="4B5F5F87" w14:textId="77777777" w:rsidR="00DE575E" w:rsidRDefault="002E7560">
      <w:pPr>
        <w:pStyle w:val="BodyText"/>
        <w:spacing w:before="1"/>
        <w:ind w:left="533"/>
      </w:pPr>
      <w:r>
        <w:rPr>
          <w:color w:val="231F20"/>
        </w:rPr>
        <w:t>№ 1 (76). 2014-6. С. 65-72.</w:t>
      </w:r>
    </w:p>
    <w:p w14:paraId="24E08D52" w14:textId="77777777" w:rsidR="00DE575E" w:rsidRDefault="002E7560">
      <w:pPr>
        <w:pStyle w:val="ListParagraph"/>
        <w:numPr>
          <w:ilvl w:val="0"/>
          <w:numId w:val="295"/>
        </w:numPr>
        <w:tabs>
          <w:tab w:val="left" w:pos="1101"/>
        </w:tabs>
        <w:spacing w:before="13" w:line="252" w:lineRule="auto"/>
        <w:ind w:right="128" w:firstLine="284"/>
        <w:jc w:val="both"/>
        <w:rPr>
          <w:sz w:val="21"/>
        </w:rPr>
      </w:pPr>
      <w:r>
        <w:rPr>
          <w:color w:val="231F20"/>
          <w:sz w:val="21"/>
        </w:rPr>
        <w:t xml:space="preserve">Що є належне урядування? </w:t>
      </w:r>
      <w:r>
        <w:rPr>
          <w:i/>
          <w:color w:val="231F20"/>
          <w:sz w:val="21"/>
        </w:rPr>
        <w:t>Центр політико-правових реформ</w:t>
      </w:r>
      <w:r>
        <w:rPr>
          <w:color w:val="231F20"/>
          <w:sz w:val="21"/>
        </w:rPr>
        <w:t>. 2015. URL:</w:t>
      </w:r>
      <w:r>
        <w:rPr>
          <w:color w:val="231F20"/>
          <w:spacing w:val="-3"/>
          <w:sz w:val="21"/>
        </w:rPr>
        <w:t xml:space="preserve"> </w:t>
      </w:r>
      <w:hyperlink r:id="rId27">
        <w:r>
          <w:rPr>
            <w:color w:val="231F20"/>
            <w:sz w:val="21"/>
          </w:rPr>
          <w:t>http://pravo.org.ua/ua/news/26</w:t>
        </w:r>
      </w:hyperlink>
    </w:p>
    <w:p w14:paraId="559A3D02" w14:textId="77777777" w:rsidR="00DE575E" w:rsidRDefault="00DE575E">
      <w:pPr>
        <w:pStyle w:val="BodyText"/>
        <w:rPr>
          <w:sz w:val="20"/>
        </w:rPr>
      </w:pPr>
    </w:p>
    <w:p w14:paraId="192354BD" w14:textId="77777777" w:rsidR="00DE575E" w:rsidRDefault="00DE575E">
      <w:pPr>
        <w:pStyle w:val="BodyText"/>
        <w:rPr>
          <w:sz w:val="20"/>
        </w:rPr>
      </w:pPr>
    </w:p>
    <w:p w14:paraId="7B76966C" w14:textId="77777777" w:rsidR="00DE575E" w:rsidRDefault="00DE575E">
      <w:pPr>
        <w:pStyle w:val="BodyText"/>
        <w:rPr>
          <w:sz w:val="20"/>
        </w:rPr>
      </w:pPr>
    </w:p>
    <w:p w14:paraId="0F759D2E" w14:textId="77777777" w:rsidR="00DE575E" w:rsidRDefault="00DE575E">
      <w:pPr>
        <w:pStyle w:val="BodyText"/>
        <w:rPr>
          <w:sz w:val="20"/>
        </w:rPr>
      </w:pPr>
    </w:p>
    <w:p w14:paraId="2E1BAF93" w14:textId="77777777" w:rsidR="00DE575E" w:rsidRDefault="00DE575E">
      <w:pPr>
        <w:pStyle w:val="BodyText"/>
        <w:rPr>
          <w:sz w:val="20"/>
        </w:rPr>
      </w:pPr>
    </w:p>
    <w:p w14:paraId="772B6747" w14:textId="77777777" w:rsidR="00DE575E" w:rsidRDefault="00DE575E">
      <w:pPr>
        <w:pStyle w:val="BodyText"/>
        <w:rPr>
          <w:sz w:val="20"/>
        </w:rPr>
      </w:pPr>
    </w:p>
    <w:p w14:paraId="5725F691" w14:textId="77777777" w:rsidR="00DE575E" w:rsidRDefault="00DE575E">
      <w:pPr>
        <w:pStyle w:val="BodyText"/>
        <w:rPr>
          <w:sz w:val="20"/>
        </w:rPr>
      </w:pPr>
    </w:p>
    <w:p w14:paraId="6671088B" w14:textId="77777777" w:rsidR="00DE575E" w:rsidRDefault="00DE575E">
      <w:pPr>
        <w:pStyle w:val="BodyText"/>
        <w:rPr>
          <w:sz w:val="20"/>
        </w:rPr>
      </w:pPr>
    </w:p>
    <w:p w14:paraId="19619D9B" w14:textId="77777777" w:rsidR="00DE575E" w:rsidRDefault="00DE575E">
      <w:pPr>
        <w:pStyle w:val="BodyText"/>
        <w:rPr>
          <w:sz w:val="20"/>
        </w:rPr>
      </w:pPr>
    </w:p>
    <w:p w14:paraId="50E8065E" w14:textId="77777777" w:rsidR="00DE575E" w:rsidRDefault="00DE575E">
      <w:pPr>
        <w:pStyle w:val="BodyText"/>
        <w:rPr>
          <w:sz w:val="20"/>
        </w:rPr>
      </w:pPr>
    </w:p>
    <w:p w14:paraId="704933CA" w14:textId="77777777" w:rsidR="00DE575E" w:rsidRDefault="00DE575E">
      <w:pPr>
        <w:pStyle w:val="BodyText"/>
        <w:rPr>
          <w:sz w:val="20"/>
        </w:rPr>
      </w:pPr>
    </w:p>
    <w:p w14:paraId="4354BEF3" w14:textId="77777777" w:rsidR="00DE575E" w:rsidRDefault="00DE575E">
      <w:pPr>
        <w:pStyle w:val="BodyText"/>
        <w:rPr>
          <w:sz w:val="20"/>
        </w:rPr>
      </w:pPr>
    </w:p>
    <w:p w14:paraId="252E3FC7" w14:textId="77777777" w:rsidR="00DE575E" w:rsidRDefault="00DE575E">
      <w:pPr>
        <w:pStyle w:val="BodyText"/>
        <w:rPr>
          <w:sz w:val="20"/>
        </w:rPr>
      </w:pPr>
    </w:p>
    <w:p w14:paraId="7A51846A" w14:textId="77777777" w:rsidR="00DE575E" w:rsidRDefault="00DE575E">
      <w:pPr>
        <w:pStyle w:val="BodyText"/>
        <w:rPr>
          <w:sz w:val="20"/>
        </w:rPr>
      </w:pPr>
    </w:p>
    <w:p w14:paraId="2451CF85" w14:textId="77777777" w:rsidR="00DE575E" w:rsidRDefault="00DE575E">
      <w:pPr>
        <w:pStyle w:val="BodyText"/>
        <w:rPr>
          <w:sz w:val="20"/>
        </w:rPr>
      </w:pPr>
    </w:p>
    <w:p w14:paraId="7192E247" w14:textId="77777777" w:rsidR="00DE575E" w:rsidRDefault="00DE575E">
      <w:pPr>
        <w:pStyle w:val="BodyText"/>
        <w:spacing w:before="9"/>
      </w:pPr>
    </w:p>
    <w:p w14:paraId="2AFFAA24" w14:textId="77777777" w:rsidR="00DE575E" w:rsidRDefault="002E7560">
      <w:pPr>
        <w:spacing w:before="92"/>
        <w:ind w:left="533"/>
        <w:rPr>
          <w:rFonts w:ascii="Times New Roman"/>
          <w:sz w:val="20"/>
        </w:rPr>
      </w:pPr>
      <w:r>
        <w:rPr>
          <w:rFonts w:ascii="Times New Roman"/>
          <w:color w:val="231F20"/>
          <w:sz w:val="20"/>
        </w:rPr>
        <w:t>58</w:t>
      </w:r>
    </w:p>
    <w:p w14:paraId="2D2EF3BB" w14:textId="77777777" w:rsidR="00DE575E" w:rsidRDefault="00DE575E">
      <w:pPr>
        <w:rPr>
          <w:rFonts w:ascii="Times New Roman"/>
          <w:sz w:val="20"/>
        </w:rPr>
        <w:sectPr w:rsidR="00DE575E">
          <w:pgSz w:w="8510" w:h="12760"/>
          <w:pgMar w:top="660" w:right="720" w:bottom="280" w:left="600" w:header="720" w:footer="720" w:gutter="0"/>
          <w:cols w:space="720"/>
        </w:sectPr>
      </w:pPr>
    </w:p>
    <w:p w14:paraId="7D491FCD" w14:textId="77777777" w:rsidR="00DE575E" w:rsidRDefault="002E7560">
      <w:pPr>
        <w:spacing w:before="72" w:line="249" w:lineRule="auto"/>
        <w:ind w:left="3181" w:firstLine="290"/>
        <w:rPr>
          <w:rFonts w:ascii="AdonisC" w:hAnsi="AdonisC"/>
          <w:i/>
          <w:sz w:val="18"/>
        </w:rPr>
      </w:pPr>
      <w:r>
        <w:rPr>
          <w:rFonts w:ascii="AdonisC" w:hAnsi="AdonisC"/>
          <w:i/>
          <w:color w:val="231F20"/>
          <w:sz w:val="18"/>
        </w:rPr>
        <w:lastRenderedPageBreak/>
        <w:t>Глава І. Загальне адміністративне право Розділ 3. Джерела адміністративного права</w:t>
      </w:r>
    </w:p>
    <w:p w14:paraId="7955F7A0" w14:textId="218D58D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5E5FAE" wp14:editId="3FAE6CB6">
                <wp:extent cx="4140200" cy="6350"/>
                <wp:effectExtent l="0" t="0" r="12700" b="6350"/>
                <wp:docPr id="1263"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64" name="Line 12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7AD6EA" id="Group_x0020_12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u/BvN/AgAAnAUAAA4A&#10;AAAAAAAAAAAAAAAALAIAAGRycy9lMm9Eb2MueG1sUEsBAi0AFAAGAAgAAAAhAEynsJDZAAAAAwEA&#10;AA8AAAAAAAAAAAAAAAAA1wQAAGRycy9kb3ducmV2LnhtbFBLBQYAAAAABAAEAPMAAADdBQAAAAA=&#10;">
                <v:line id="Line_x0020_12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bDxcQAAADdAAAADwAAAGRycy9kb3ducmV2LnhtbERP22rCQBB9L/gPywh9KbqpFinRVUQo&#10;FB+8pR8wZqdJ6O5szK4m+vWuUPBtDuc6s0VnjbhQ4yvHCt6HCQji3OmKCwU/2dfgE4QPyBqNY1Jw&#10;JQ+Lee9lhql2Le/pcgiFiCHsU1RQhlCnUvq8JIt+6GriyP26xmKIsCmkbrCN4dbIUZJMpMWKY0OJ&#10;Na1Kyv8OZ6sgO70Fs9uuTZttj2N5PG3Gt/NGqdd+t5yCCNSFp/jf/a3j/NHkAx7fxBP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psPFxAAAAN0AAAAPAAAAAAAAAAAA&#10;AAAAAKECAABkcnMvZG93bnJldi54bWxQSwUGAAAAAAQABAD5AAAAkgMAAAAA&#10;" strokecolor="#231f20" strokeweight=".5pt"/>
                <w10:anchorlock/>
              </v:group>
            </w:pict>
          </mc:Fallback>
        </mc:AlternateContent>
      </w:r>
    </w:p>
    <w:p w14:paraId="7209B493" w14:textId="77777777" w:rsidR="00DE575E" w:rsidRDefault="00DE575E">
      <w:pPr>
        <w:pStyle w:val="BodyText"/>
        <w:spacing w:before="6"/>
        <w:rPr>
          <w:rFonts w:ascii="AdonisC"/>
          <w:i/>
          <w:sz w:val="18"/>
        </w:rPr>
      </w:pPr>
    </w:p>
    <w:p w14:paraId="79616A8D" w14:textId="77777777" w:rsidR="00DE575E" w:rsidRDefault="002E7560">
      <w:pPr>
        <w:pStyle w:val="Heading2"/>
        <w:spacing w:line="314" w:lineRule="exact"/>
        <w:ind w:left="497" w:right="658"/>
        <w:jc w:val="center"/>
      </w:pPr>
      <w:r>
        <w:rPr>
          <w:color w:val="231F20"/>
        </w:rPr>
        <w:t>Розділ 3</w:t>
      </w:r>
    </w:p>
    <w:p w14:paraId="2941ACDE" w14:textId="77777777" w:rsidR="00DE575E" w:rsidRDefault="002E7560">
      <w:pPr>
        <w:spacing w:line="314" w:lineRule="exact"/>
        <w:ind w:left="745"/>
        <w:rPr>
          <w:b/>
          <w:sz w:val="16"/>
        </w:rPr>
      </w:pPr>
      <w:r>
        <w:rPr>
          <w:b/>
          <w:color w:val="231F20"/>
          <w:sz w:val="28"/>
        </w:rPr>
        <w:t>ДЖЕРЕЛА АДМІНІСТРАТИВНОГО ПРАВА</w:t>
      </w:r>
      <w:r>
        <w:rPr>
          <w:b/>
          <w:color w:val="231F20"/>
          <w:position w:val="9"/>
          <w:sz w:val="16"/>
        </w:rPr>
        <w:t>1,2</w:t>
      </w:r>
    </w:p>
    <w:p w14:paraId="57918E0C" w14:textId="77777777" w:rsidR="00DE575E" w:rsidRDefault="00DE575E">
      <w:pPr>
        <w:pStyle w:val="BodyText"/>
        <w:spacing w:before="1"/>
        <w:rPr>
          <w:b/>
          <w:sz w:val="43"/>
        </w:rPr>
      </w:pPr>
    </w:p>
    <w:p w14:paraId="0603548E" w14:textId="77777777" w:rsidR="00DE575E" w:rsidRDefault="002E7560">
      <w:pPr>
        <w:pStyle w:val="Heading4"/>
        <w:numPr>
          <w:ilvl w:val="1"/>
          <w:numId w:val="294"/>
        </w:numPr>
        <w:tabs>
          <w:tab w:val="left" w:pos="1012"/>
        </w:tabs>
        <w:ind w:hanging="410"/>
        <w:rPr>
          <w:sz w:val="13"/>
        </w:rPr>
      </w:pPr>
      <w:r>
        <w:rPr>
          <w:color w:val="231F20"/>
        </w:rPr>
        <w:t>Поняття</w:t>
      </w:r>
      <w:r>
        <w:rPr>
          <w:color w:val="231F20"/>
          <w:spacing w:val="-8"/>
        </w:rPr>
        <w:t xml:space="preserve"> </w:t>
      </w:r>
      <w:r>
        <w:rPr>
          <w:color w:val="231F20"/>
        </w:rPr>
        <w:t>та</w:t>
      </w:r>
      <w:r>
        <w:rPr>
          <w:color w:val="231F20"/>
          <w:spacing w:val="-9"/>
        </w:rPr>
        <w:t xml:space="preserve"> </w:t>
      </w:r>
      <w:r>
        <w:rPr>
          <w:color w:val="231F20"/>
        </w:rPr>
        <w:t>види</w:t>
      </w:r>
      <w:r>
        <w:rPr>
          <w:color w:val="231F20"/>
          <w:spacing w:val="-8"/>
        </w:rPr>
        <w:t xml:space="preserve"> </w:t>
      </w:r>
      <w:r>
        <w:rPr>
          <w:color w:val="231F20"/>
        </w:rPr>
        <w:t>джерел</w:t>
      </w:r>
      <w:r>
        <w:rPr>
          <w:color w:val="231F20"/>
          <w:spacing w:val="-8"/>
        </w:rPr>
        <w:t xml:space="preserve"> </w:t>
      </w:r>
      <w:r>
        <w:rPr>
          <w:color w:val="231F20"/>
        </w:rPr>
        <w:t>адміністративного</w:t>
      </w:r>
      <w:r>
        <w:rPr>
          <w:color w:val="231F20"/>
          <w:spacing w:val="-9"/>
        </w:rPr>
        <w:t xml:space="preserve"> </w:t>
      </w:r>
      <w:r>
        <w:rPr>
          <w:color w:val="231F20"/>
        </w:rPr>
        <w:t>права</w:t>
      </w:r>
      <w:r>
        <w:rPr>
          <w:color w:val="231F20"/>
          <w:position w:val="7"/>
          <w:sz w:val="13"/>
        </w:rPr>
        <w:t>3</w:t>
      </w:r>
    </w:p>
    <w:p w14:paraId="48CF782B" w14:textId="77777777" w:rsidR="00DE575E" w:rsidRDefault="00DE575E">
      <w:pPr>
        <w:pStyle w:val="BodyText"/>
        <w:rPr>
          <w:b/>
          <w:sz w:val="26"/>
        </w:rPr>
      </w:pPr>
    </w:p>
    <w:p w14:paraId="5A41E662" w14:textId="77777777" w:rsidR="00DE575E" w:rsidRDefault="002E7560">
      <w:pPr>
        <w:pStyle w:val="BodyText"/>
        <w:spacing w:before="224" w:line="252" w:lineRule="auto"/>
        <w:ind w:left="250" w:right="410" w:firstLine="283"/>
        <w:jc w:val="both"/>
      </w:pPr>
      <w:r>
        <w:rPr>
          <w:color w:val="231F20"/>
          <w:spacing w:val="-3"/>
        </w:rPr>
        <w:t xml:space="preserve">Термін </w:t>
      </w:r>
      <w:r>
        <w:rPr>
          <w:color w:val="231F20"/>
        </w:rPr>
        <w:t xml:space="preserve">«джерело права» існує вже не одне тисячоліття, і науці відоме подвійне розуміння цієї категорії  – у матеріальному сенсі    й у формально </w:t>
      </w:r>
      <w:r>
        <w:rPr>
          <w:color w:val="231F20"/>
          <w:spacing w:val="-3"/>
        </w:rPr>
        <w:t xml:space="preserve">юридичному. </w:t>
      </w:r>
      <w:r>
        <w:rPr>
          <w:color w:val="231F20"/>
        </w:rPr>
        <w:t>Нас цікавить поняття «джерело права» саме у формальному юридичному значенні – найбільш зрозумілому й ужива</w:t>
      </w:r>
      <w:r>
        <w:rPr>
          <w:color w:val="231F20"/>
        </w:rPr>
        <w:t>ному, під яким розуміється зовнішня форма вираження правових</w:t>
      </w:r>
      <w:r>
        <w:rPr>
          <w:color w:val="231F20"/>
          <w:spacing w:val="-2"/>
        </w:rPr>
        <w:t xml:space="preserve"> </w:t>
      </w:r>
      <w:r>
        <w:rPr>
          <w:color w:val="231F20"/>
        </w:rPr>
        <w:t>норм.</w:t>
      </w:r>
    </w:p>
    <w:p w14:paraId="2D30127F" w14:textId="77777777" w:rsidR="00DE575E" w:rsidRDefault="002E7560">
      <w:pPr>
        <w:pStyle w:val="BodyText"/>
        <w:spacing w:before="3" w:line="252" w:lineRule="auto"/>
        <w:ind w:left="250" w:right="412" w:firstLine="283"/>
        <w:jc w:val="both"/>
      </w:pPr>
      <w:r>
        <w:rPr>
          <w:color w:val="231F20"/>
        </w:rPr>
        <w:t>Адміністративне право як галузь права складається зі значної кількості правових норм, різноманітних за своїм змістом, цільовим призначенням</w:t>
      </w:r>
      <w:r>
        <w:rPr>
          <w:color w:val="231F20"/>
          <w:spacing w:val="-13"/>
        </w:rPr>
        <w:t xml:space="preserve"> </w:t>
      </w:r>
      <w:r>
        <w:rPr>
          <w:color w:val="231F20"/>
        </w:rPr>
        <w:t>і</w:t>
      </w:r>
      <w:r>
        <w:rPr>
          <w:color w:val="231F20"/>
          <w:spacing w:val="-14"/>
        </w:rPr>
        <w:t xml:space="preserve"> </w:t>
      </w:r>
      <w:r>
        <w:rPr>
          <w:color w:val="231F20"/>
        </w:rPr>
        <w:t>способом</w:t>
      </w:r>
      <w:r>
        <w:rPr>
          <w:color w:val="231F20"/>
          <w:spacing w:val="-13"/>
        </w:rPr>
        <w:t xml:space="preserve"> </w:t>
      </w:r>
      <w:r>
        <w:rPr>
          <w:color w:val="231F20"/>
        </w:rPr>
        <w:t>правового</w:t>
      </w:r>
      <w:r>
        <w:rPr>
          <w:color w:val="231F20"/>
          <w:spacing w:val="-13"/>
        </w:rPr>
        <w:t xml:space="preserve"> </w:t>
      </w:r>
      <w:r>
        <w:rPr>
          <w:color w:val="231F20"/>
        </w:rPr>
        <w:t>впливу</w:t>
      </w:r>
      <w:r>
        <w:rPr>
          <w:color w:val="231F20"/>
          <w:spacing w:val="-13"/>
        </w:rPr>
        <w:t xml:space="preserve"> </w:t>
      </w:r>
      <w:r>
        <w:rPr>
          <w:color w:val="231F20"/>
        </w:rPr>
        <w:t>на</w:t>
      </w:r>
      <w:r>
        <w:rPr>
          <w:color w:val="231F20"/>
          <w:spacing w:val="-13"/>
        </w:rPr>
        <w:t xml:space="preserve"> </w:t>
      </w:r>
      <w:r>
        <w:rPr>
          <w:color w:val="231F20"/>
        </w:rPr>
        <w:t>регульовані</w:t>
      </w:r>
      <w:r>
        <w:rPr>
          <w:color w:val="231F20"/>
          <w:spacing w:val="-13"/>
        </w:rPr>
        <w:t xml:space="preserve"> </w:t>
      </w:r>
      <w:r>
        <w:rPr>
          <w:color w:val="231F20"/>
        </w:rPr>
        <w:t>суспіл</w:t>
      </w:r>
      <w:r>
        <w:rPr>
          <w:color w:val="231F20"/>
        </w:rPr>
        <w:t>ьні відносини. Потрібно передусім звернути увагу на зовнішню форму норм адміністративного права – джерела адміністративного</w:t>
      </w:r>
      <w:r>
        <w:rPr>
          <w:color w:val="231F20"/>
          <w:spacing w:val="-27"/>
        </w:rPr>
        <w:t xml:space="preserve"> </w:t>
      </w:r>
      <w:r>
        <w:rPr>
          <w:color w:val="231F20"/>
        </w:rPr>
        <w:t>права.</w:t>
      </w:r>
    </w:p>
    <w:p w14:paraId="28426443" w14:textId="77777777" w:rsidR="00DE575E" w:rsidRDefault="002E7560">
      <w:pPr>
        <w:spacing w:before="2" w:line="252" w:lineRule="auto"/>
        <w:ind w:left="250" w:right="411" w:firstLine="283"/>
        <w:jc w:val="both"/>
        <w:rPr>
          <w:i/>
          <w:sz w:val="21"/>
        </w:rPr>
      </w:pPr>
      <w:r>
        <w:rPr>
          <w:b/>
          <w:i/>
          <w:color w:val="231F20"/>
          <w:sz w:val="21"/>
        </w:rPr>
        <w:t xml:space="preserve">Джерела адміністративного права </w:t>
      </w:r>
      <w:r>
        <w:rPr>
          <w:i/>
          <w:color w:val="231F20"/>
          <w:sz w:val="21"/>
        </w:rPr>
        <w:t>– це засіб зовнішнього оформлення  адміністративних   правових   норм,   який   засвідчує   ї</w:t>
      </w:r>
      <w:r>
        <w:rPr>
          <w:i/>
          <w:color w:val="231F20"/>
          <w:sz w:val="21"/>
        </w:rPr>
        <w:t>х  державну  загальнообов’язковість   (засоби,   форми   вираження  й закріплення публічної волі), цим самим врегульовуючи адміністра- тивно-правові</w:t>
      </w:r>
      <w:r>
        <w:rPr>
          <w:i/>
          <w:color w:val="231F20"/>
          <w:spacing w:val="-2"/>
          <w:sz w:val="21"/>
        </w:rPr>
        <w:t xml:space="preserve"> </w:t>
      </w:r>
      <w:r>
        <w:rPr>
          <w:i/>
          <w:color w:val="231F20"/>
          <w:sz w:val="21"/>
        </w:rPr>
        <w:t>відносини.</w:t>
      </w:r>
    </w:p>
    <w:p w14:paraId="160D14D1" w14:textId="77777777" w:rsidR="00DE575E" w:rsidRDefault="00DE575E">
      <w:pPr>
        <w:pStyle w:val="BodyText"/>
        <w:spacing w:before="3"/>
        <w:rPr>
          <w:i/>
          <w:sz w:val="22"/>
        </w:rPr>
      </w:pPr>
    </w:p>
    <w:p w14:paraId="0EE44B6E" w14:textId="77777777" w:rsidR="00DE575E" w:rsidRDefault="002E7560">
      <w:pPr>
        <w:pStyle w:val="Heading5"/>
        <w:numPr>
          <w:ilvl w:val="2"/>
          <w:numId w:val="294"/>
        </w:numPr>
        <w:tabs>
          <w:tab w:val="left" w:pos="1099"/>
        </w:tabs>
        <w:jc w:val="left"/>
      </w:pPr>
      <w:r>
        <w:rPr>
          <w:color w:val="231F20"/>
        </w:rPr>
        <w:t>Система джерел адміністративного</w:t>
      </w:r>
      <w:r>
        <w:rPr>
          <w:color w:val="231F20"/>
          <w:spacing w:val="-4"/>
        </w:rPr>
        <w:t xml:space="preserve"> </w:t>
      </w:r>
      <w:r>
        <w:rPr>
          <w:color w:val="231F20"/>
        </w:rPr>
        <w:t>права</w:t>
      </w:r>
    </w:p>
    <w:p w14:paraId="672E6299" w14:textId="77777777" w:rsidR="00DE575E" w:rsidRDefault="00DE575E">
      <w:pPr>
        <w:pStyle w:val="BodyText"/>
        <w:spacing w:before="2"/>
        <w:rPr>
          <w:b/>
          <w:sz w:val="23"/>
        </w:rPr>
      </w:pPr>
    </w:p>
    <w:p w14:paraId="798964CA" w14:textId="77777777" w:rsidR="00DE575E" w:rsidRDefault="002E7560">
      <w:pPr>
        <w:pStyle w:val="BodyText"/>
        <w:ind w:left="533"/>
      </w:pPr>
      <w:r>
        <w:rPr>
          <w:color w:val="231F20"/>
        </w:rPr>
        <w:t>До джерел адміністративного права відносять:</w:t>
      </w:r>
    </w:p>
    <w:p w14:paraId="26EC9817" w14:textId="77777777" w:rsidR="00DE575E" w:rsidRDefault="002E7560">
      <w:pPr>
        <w:pStyle w:val="ListParagraph"/>
        <w:numPr>
          <w:ilvl w:val="0"/>
          <w:numId w:val="293"/>
        </w:numPr>
        <w:tabs>
          <w:tab w:val="left" w:pos="818"/>
        </w:tabs>
        <w:spacing w:before="13" w:line="252" w:lineRule="auto"/>
        <w:ind w:right="411" w:firstLine="283"/>
        <w:rPr>
          <w:sz w:val="21"/>
        </w:rPr>
      </w:pPr>
      <w:r>
        <w:rPr>
          <w:color w:val="231F20"/>
          <w:sz w:val="21"/>
        </w:rPr>
        <w:t xml:space="preserve">національні джерела адміністративного права – Конституцію, інші закони </w:t>
      </w:r>
      <w:r>
        <w:rPr>
          <w:color w:val="231F20"/>
          <w:spacing w:val="-3"/>
          <w:sz w:val="21"/>
        </w:rPr>
        <w:t xml:space="preserve">України </w:t>
      </w:r>
      <w:r>
        <w:rPr>
          <w:color w:val="231F20"/>
          <w:sz w:val="21"/>
        </w:rPr>
        <w:t>та підзаконні нормативно-правові</w:t>
      </w:r>
      <w:r>
        <w:rPr>
          <w:color w:val="231F20"/>
          <w:spacing w:val="-1"/>
          <w:sz w:val="21"/>
        </w:rPr>
        <w:t xml:space="preserve"> </w:t>
      </w:r>
      <w:r>
        <w:rPr>
          <w:color w:val="231F20"/>
          <w:sz w:val="21"/>
        </w:rPr>
        <w:t>акти;</w:t>
      </w:r>
    </w:p>
    <w:p w14:paraId="5D9363D3" w14:textId="77777777" w:rsidR="00DE575E" w:rsidRDefault="002E7560">
      <w:pPr>
        <w:pStyle w:val="ListParagraph"/>
        <w:numPr>
          <w:ilvl w:val="0"/>
          <w:numId w:val="293"/>
        </w:numPr>
        <w:tabs>
          <w:tab w:val="left" w:pos="818"/>
        </w:tabs>
        <w:spacing w:line="252" w:lineRule="auto"/>
        <w:ind w:right="411" w:firstLine="283"/>
        <w:rPr>
          <w:sz w:val="21"/>
        </w:rPr>
      </w:pPr>
      <w:r>
        <w:rPr>
          <w:color w:val="231F20"/>
          <w:sz w:val="21"/>
        </w:rPr>
        <w:t>міжнародні джерела адміністративного права – міжнародні договори; акти органів міжнародних</w:t>
      </w:r>
      <w:r>
        <w:rPr>
          <w:color w:val="231F20"/>
          <w:spacing w:val="-6"/>
          <w:sz w:val="21"/>
        </w:rPr>
        <w:t xml:space="preserve"> </w:t>
      </w:r>
      <w:r>
        <w:rPr>
          <w:color w:val="231F20"/>
          <w:sz w:val="21"/>
        </w:rPr>
        <w:t>організацій;</w:t>
      </w:r>
    </w:p>
    <w:p w14:paraId="7A697BB4" w14:textId="77777777" w:rsidR="00DE575E" w:rsidRDefault="002E7560">
      <w:pPr>
        <w:pStyle w:val="ListParagraph"/>
        <w:numPr>
          <w:ilvl w:val="0"/>
          <w:numId w:val="293"/>
        </w:numPr>
        <w:tabs>
          <w:tab w:val="left" w:pos="818"/>
        </w:tabs>
        <w:spacing w:line="252" w:lineRule="auto"/>
        <w:ind w:right="411" w:firstLine="283"/>
        <w:rPr>
          <w:sz w:val="21"/>
        </w:rPr>
      </w:pPr>
      <w:r>
        <w:rPr>
          <w:color w:val="231F20"/>
          <w:sz w:val="21"/>
        </w:rPr>
        <w:t>неформалізовані джерела адміністративного права – норми природного права – загальні принципи права; звичаї та традиції; норми моралі;</w:t>
      </w:r>
    </w:p>
    <w:p w14:paraId="3BBB915E" w14:textId="4BC903D3" w:rsidR="00DE575E" w:rsidRDefault="002E7560">
      <w:pPr>
        <w:pStyle w:val="BodyText"/>
        <w:spacing w:before="2"/>
        <w:rPr>
          <w:sz w:val="23"/>
        </w:rPr>
      </w:pPr>
      <w:r>
        <w:rPr>
          <w:noProof/>
        </w:rPr>
        <mc:AlternateContent>
          <mc:Choice Requires="wps">
            <w:drawing>
              <wp:anchor distT="0" distB="0" distL="0" distR="0" simplePos="0" relativeHeight="3112" behindDoc="0" locked="0" layoutInCell="1" allowOverlap="1" wp14:anchorId="0E49F1B3" wp14:editId="519B3EE7">
                <wp:simplePos x="0" y="0"/>
                <wp:positionH relativeFrom="page">
                  <wp:posOffset>539750</wp:posOffset>
                </wp:positionH>
                <wp:positionV relativeFrom="paragraph">
                  <wp:posOffset>200660</wp:posOffset>
                </wp:positionV>
                <wp:extent cx="1080135" cy="0"/>
                <wp:effectExtent l="6350" t="10160" r="31115" b="27940"/>
                <wp:wrapTopAndBottom/>
                <wp:docPr id="1262"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D696C" id="Line_x0020_1261" o:spid="_x0000_s1026" style="position:absolute;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5.8pt" to="127.55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8jdi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" strokecolor="#231f20" strokeweight=".5pt">
                <w10:wrap type="topAndBottom" anchorx="page"/>
              </v:line>
            </w:pict>
          </mc:Fallback>
        </mc:AlternateContent>
      </w:r>
    </w:p>
    <w:p w14:paraId="25C4890F" w14:textId="77777777" w:rsidR="00DE575E" w:rsidRDefault="002E7560">
      <w:pPr>
        <w:spacing w:line="162" w:lineRule="exact"/>
        <w:ind w:left="250"/>
        <w:rPr>
          <w:b/>
          <w:sz w:val="16"/>
        </w:rPr>
      </w:pPr>
      <w:r>
        <w:rPr>
          <w:color w:val="231F20"/>
          <w:position w:val="5"/>
          <w:sz w:val="9"/>
        </w:rPr>
        <w:t xml:space="preserve">1 </w:t>
      </w:r>
      <w:r>
        <w:rPr>
          <w:color w:val="231F20"/>
          <w:sz w:val="16"/>
        </w:rPr>
        <w:t xml:space="preserve">За загальною редакцією </w:t>
      </w:r>
      <w:r>
        <w:rPr>
          <w:b/>
          <w:color w:val="231F20"/>
          <w:sz w:val="16"/>
        </w:rPr>
        <w:t>Анатолія Манжули, Володимира Курила.</w:t>
      </w:r>
    </w:p>
    <w:p w14:paraId="7FCAC9FB" w14:textId="77777777" w:rsidR="00DE575E" w:rsidRDefault="002E7560">
      <w:pPr>
        <w:ind w:left="250"/>
        <w:rPr>
          <w:sz w:val="16"/>
        </w:rPr>
      </w:pPr>
      <w:r>
        <w:rPr>
          <w:color w:val="231F20"/>
          <w:position w:val="5"/>
          <w:sz w:val="9"/>
        </w:rPr>
        <w:t xml:space="preserve">2 </w:t>
      </w:r>
      <w:r>
        <w:rPr>
          <w:color w:val="231F20"/>
          <w:sz w:val="16"/>
        </w:rPr>
        <w:t xml:space="preserve">Співавторка </w:t>
      </w:r>
      <w:r>
        <w:rPr>
          <w:b/>
          <w:color w:val="231F20"/>
          <w:sz w:val="16"/>
        </w:rPr>
        <w:t>Гулак Олена Василівна</w:t>
      </w:r>
      <w:r>
        <w:rPr>
          <w:color w:val="231F20"/>
          <w:sz w:val="16"/>
        </w:rPr>
        <w:t>.</w:t>
      </w:r>
    </w:p>
    <w:p w14:paraId="21B3919B" w14:textId="77777777" w:rsidR="00DE575E" w:rsidRDefault="002E7560">
      <w:pPr>
        <w:spacing w:before="24" w:line="204" w:lineRule="auto"/>
        <w:ind w:left="250" w:right="411"/>
        <w:jc w:val="both"/>
        <w:rPr>
          <w:sz w:val="16"/>
        </w:rPr>
      </w:pPr>
      <w:r>
        <w:rPr>
          <w:color w:val="231F20"/>
          <w:position w:val="5"/>
          <w:sz w:val="9"/>
        </w:rPr>
        <w:t xml:space="preserve">3 </w:t>
      </w:r>
      <w:r>
        <w:rPr>
          <w:color w:val="231F20"/>
          <w:sz w:val="16"/>
        </w:rPr>
        <w:t>У написанні розділу</w:t>
      </w:r>
      <w:r>
        <w:rPr>
          <w:color w:val="231F20"/>
          <w:sz w:val="16"/>
        </w:rPr>
        <w:t xml:space="preserve"> широко використовувались праці  професора  </w:t>
      </w:r>
      <w:r>
        <w:rPr>
          <w:color w:val="231F20"/>
          <w:spacing w:val="-11"/>
          <w:sz w:val="16"/>
        </w:rPr>
        <w:t>Р.</w:t>
      </w:r>
      <w:r>
        <w:rPr>
          <w:color w:val="231F20"/>
          <w:spacing w:val="12"/>
          <w:sz w:val="16"/>
        </w:rPr>
        <w:t xml:space="preserve"> </w:t>
      </w:r>
      <w:r>
        <w:rPr>
          <w:color w:val="231F20"/>
          <w:sz w:val="16"/>
        </w:rPr>
        <w:t>Мельника, зокрема:</w:t>
      </w:r>
      <w:r>
        <w:rPr>
          <w:color w:val="231F20"/>
          <w:spacing w:val="-10"/>
          <w:sz w:val="16"/>
        </w:rPr>
        <w:t xml:space="preserve"> </w:t>
      </w:r>
      <w:r>
        <w:rPr>
          <w:color w:val="231F20"/>
          <w:sz w:val="16"/>
        </w:rPr>
        <w:t>Мельник</w:t>
      </w:r>
      <w:r>
        <w:rPr>
          <w:color w:val="231F20"/>
          <w:spacing w:val="-10"/>
          <w:sz w:val="16"/>
        </w:rPr>
        <w:t xml:space="preserve"> </w:t>
      </w:r>
      <w:r>
        <w:rPr>
          <w:color w:val="231F20"/>
          <w:spacing w:val="-11"/>
          <w:sz w:val="16"/>
        </w:rPr>
        <w:t>Р.</w:t>
      </w:r>
      <w:r>
        <w:rPr>
          <w:color w:val="231F20"/>
          <w:spacing w:val="-10"/>
          <w:sz w:val="16"/>
        </w:rPr>
        <w:t xml:space="preserve"> </w:t>
      </w:r>
      <w:r>
        <w:rPr>
          <w:color w:val="231F20"/>
          <w:sz w:val="16"/>
        </w:rPr>
        <w:t>Загальне</w:t>
      </w:r>
      <w:r>
        <w:rPr>
          <w:color w:val="231F20"/>
          <w:spacing w:val="-10"/>
          <w:sz w:val="16"/>
        </w:rPr>
        <w:t xml:space="preserve"> </w:t>
      </w:r>
      <w:r>
        <w:rPr>
          <w:color w:val="231F20"/>
          <w:sz w:val="16"/>
        </w:rPr>
        <w:t>адміністративне</w:t>
      </w:r>
      <w:r>
        <w:rPr>
          <w:color w:val="231F20"/>
          <w:spacing w:val="-10"/>
          <w:sz w:val="16"/>
        </w:rPr>
        <w:t xml:space="preserve"> </w:t>
      </w:r>
      <w:r>
        <w:rPr>
          <w:color w:val="231F20"/>
          <w:sz w:val="16"/>
        </w:rPr>
        <w:t>право</w:t>
      </w:r>
      <w:r>
        <w:rPr>
          <w:color w:val="231F20"/>
          <w:spacing w:val="-10"/>
          <w:sz w:val="16"/>
        </w:rPr>
        <w:t xml:space="preserve"> </w:t>
      </w:r>
      <w:r>
        <w:rPr>
          <w:color w:val="231F20"/>
          <w:sz w:val="16"/>
        </w:rPr>
        <w:t>в</w:t>
      </w:r>
      <w:r>
        <w:rPr>
          <w:color w:val="231F20"/>
          <w:spacing w:val="-8"/>
          <w:sz w:val="16"/>
        </w:rPr>
        <w:t xml:space="preserve"> </w:t>
      </w:r>
      <w:r>
        <w:rPr>
          <w:color w:val="231F20"/>
          <w:sz w:val="16"/>
        </w:rPr>
        <w:t>питаннях</w:t>
      </w:r>
      <w:r>
        <w:rPr>
          <w:color w:val="231F20"/>
          <w:spacing w:val="-10"/>
          <w:sz w:val="16"/>
        </w:rPr>
        <w:t xml:space="preserve"> </w:t>
      </w:r>
      <w:r>
        <w:rPr>
          <w:color w:val="231F20"/>
          <w:sz w:val="16"/>
        </w:rPr>
        <w:t>і</w:t>
      </w:r>
      <w:r>
        <w:rPr>
          <w:color w:val="231F20"/>
          <w:spacing w:val="-11"/>
          <w:sz w:val="16"/>
        </w:rPr>
        <w:t xml:space="preserve"> </w:t>
      </w:r>
      <w:r>
        <w:rPr>
          <w:color w:val="231F20"/>
          <w:sz w:val="16"/>
        </w:rPr>
        <w:t>відповідях</w:t>
      </w:r>
      <w:r>
        <w:rPr>
          <w:color w:val="231F20"/>
          <w:spacing w:val="-10"/>
          <w:sz w:val="16"/>
        </w:rPr>
        <w:t xml:space="preserve"> </w:t>
      </w:r>
      <w:r>
        <w:rPr>
          <w:color w:val="231F20"/>
          <w:sz w:val="16"/>
        </w:rPr>
        <w:t>:</w:t>
      </w:r>
      <w:r>
        <w:rPr>
          <w:color w:val="231F20"/>
          <w:spacing w:val="-10"/>
          <w:sz w:val="16"/>
        </w:rPr>
        <w:t xml:space="preserve"> </w:t>
      </w:r>
      <w:r>
        <w:rPr>
          <w:color w:val="231F20"/>
          <w:sz w:val="16"/>
        </w:rPr>
        <w:t>навчальний посібник. Київ: Юрінком Інтер, 2018. 308</w:t>
      </w:r>
      <w:r>
        <w:rPr>
          <w:color w:val="231F20"/>
          <w:spacing w:val="-2"/>
          <w:sz w:val="16"/>
        </w:rPr>
        <w:t xml:space="preserve"> </w:t>
      </w:r>
      <w:r>
        <w:rPr>
          <w:color w:val="231F20"/>
          <w:sz w:val="16"/>
        </w:rPr>
        <w:t>с.</w:t>
      </w:r>
    </w:p>
    <w:p w14:paraId="00E59EAF" w14:textId="77777777" w:rsidR="00DE575E" w:rsidRDefault="00DE575E">
      <w:pPr>
        <w:pStyle w:val="BodyText"/>
        <w:spacing w:before="5"/>
        <w:rPr>
          <w:sz w:val="12"/>
        </w:rPr>
      </w:pPr>
    </w:p>
    <w:p w14:paraId="04055BF8" w14:textId="77777777" w:rsidR="00DE575E" w:rsidRDefault="002E7560">
      <w:pPr>
        <w:spacing w:before="92"/>
        <w:ind w:right="411"/>
        <w:jc w:val="right"/>
        <w:rPr>
          <w:rFonts w:ascii="Times New Roman"/>
          <w:sz w:val="20"/>
        </w:rPr>
      </w:pPr>
      <w:r>
        <w:rPr>
          <w:rFonts w:ascii="Times New Roman"/>
          <w:color w:val="231F20"/>
          <w:w w:val="90"/>
          <w:sz w:val="20"/>
        </w:rPr>
        <w:t>59</w:t>
      </w:r>
    </w:p>
    <w:p w14:paraId="5CA5FC0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6C19F91"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2D13592A" w14:textId="22B7272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5CA0FE8" wp14:editId="3EF6F238">
                <wp:extent cx="4140200" cy="6350"/>
                <wp:effectExtent l="0" t="0" r="12700" b="6350"/>
                <wp:docPr id="1260"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61" name="Line 126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3046DA" id="Group_x0020_125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tCNcDgAIAAJwFAAAO&#10;AAAAAAAAAAAAAAAAACwCAABkcnMvZTJvRG9jLnhtbFBLAQItABQABgAIAAAAIQBMp7CQ2QAAAAMB&#10;AAAPAAAAAAAAAAAAAAAAANgEAABkcnMvZG93bnJldi54bWxQSwUGAAAAAAQABADzAAAA3gUAAAAA&#10;">
                <v:line id="Line_x0020_126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FgXcQAAADdAAAADwAAAGRycy9kb3ducmV2LnhtbERP22rCQBB9F/oPyxR8kbpRQUp0lSII&#10;pQ/e0g+YZMckdHc2ZlcT+/VdQejbHM51luveGnGj1teOFUzGCQjiwumaSwXf2fbtHYQPyBqNY1Jw&#10;Jw/r1ctgial2HR/pdgqliCHsU1RQhdCkUvqiIot+7BriyJ1dazFE2JZSt9jFcGvkNEnm0mLNsaHC&#10;hjYVFT+nq1WQXUbBHPZfpsv2+Uzml93s97pTavjafyxABOrDv/jp/tRx/nQ+gcc38QS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0WBdxAAAAN0AAAAPAAAAAAAAAAAA&#10;AAAAAKECAABkcnMvZG93bnJldi54bWxQSwUGAAAAAAQABAD5AAAAkgMAAAAA&#10;" strokecolor="#231f20" strokeweight=".5pt"/>
                <w10:anchorlock/>
              </v:group>
            </w:pict>
          </mc:Fallback>
        </mc:AlternateContent>
      </w:r>
    </w:p>
    <w:p w14:paraId="5A5071C7" w14:textId="77777777" w:rsidR="00DE575E" w:rsidRDefault="00DE575E">
      <w:pPr>
        <w:pStyle w:val="BodyText"/>
        <w:spacing w:before="7"/>
        <w:rPr>
          <w:rFonts w:ascii="AdonisC"/>
          <w:i/>
          <w:sz w:val="11"/>
        </w:rPr>
      </w:pPr>
    </w:p>
    <w:p w14:paraId="5B29D11C" w14:textId="77777777" w:rsidR="00DE575E" w:rsidRDefault="002E7560">
      <w:pPr>
        <w:pStyle w:val="BodyText"/>
        <w:spacing w:before="101" w:line="244" w:lineRule="auto"/>
        <w:ind w:left="533" w:right="128" w:firstLine="283"/>
        <w:jc w:val="both"/>
      </w:pPr>
      <w:r>
        <w:rPr>
          <w:color w:val="231F20"/>
        </w:rPr>
        <w:t xml:space="preserve">– </w:t>
      </w:r>
      <w:r>
        <w:rPr>
          <w:color w:val="231F20"/>
          <w:spacing w:val="-3"/>
        </w:rPr>
        <w:t xml:space="preserve">судові </w:t>
      </w:r>
      <w:r>
        <w:rPr>
          <w:color w:val="231F20"/>
        </w:rPr>
        <w:t xml:space="preserve">рішення </w:t>
      </w:r>
      <w:r>
        <w:rPr>
          <w:color w:val="231F20"/>
          <w:spacing w:val="-3"/>
        </w:rPr>
        <w:t xml:space="preserve">(судові </w:t>
      </w:r>
      <w:r>
        <w:rPr>
          <w:color w:val="231F20"/>
        </w:rPr>
        <w:t xml:space="preserve">прецеденти) – рішення Конституцій- ного </w:t>
      </w:r>
      <w:r>
        <w:rPr>
          <w:color w:val="231F20"/>
          <w:spacing w:val="-4"/>
        </w:rPr>
        <w:t xml:space="preserve">суду </w:t>
      </w:r>
      <w:r>
        <w:rPr>
          <w:color w:val="231F20"/>
          <w:spacing w:val="-3"/>
        </w:rPr>
        <w:t xml:space="preserve">України </w:t>
      </w:r>
      <w:r>
        <w:rPr>
          <w:color w:val="231F20"/>
        </w:rPr>
        <w:t xml:space="preserve">та Верховного </w:t>
      </w:r>
      <w:r>
        <w:rPr>
          <w:color w:val="231F20"/>
          <w:spacing w:val="-5"/>
        </w:rPr>
        <w:t xml:space="preserve">Суду </w:t>
      </w:r>
      <w:r>
        <w:rPr>
          <w:color w:val="231F20"/>
          <w:spacing w:val="-3"/>
        </w:rPr>
        <w:t xml:space="preserve">України, </w:t>
      </w:r>
      <w:r>
        <w:rPr>
          <w:color w:val="231F20"/>
        </w:rPr>
        <w:t xml:space="preserve">Європейського </w:t>
      </w:r>
      <w:r>
        <w:rPr>
          <w:color w:val="231F20"/>
          <w:spacing w:val="-5"/>
        </w:rPr>
        <w:t xml:space="preserve">Суду </w:t>
      </w:r>
      <w:r>
        <w:rPr>
          <w:color w:val="231F20"/>
        </w:rPr>
        <w:t xml:space="preserve">з прав людини, інших міжнародних </w:t>
      </w:r>
      <w:r>
        <w:rPr>
          <w:color w:val="231F20"/>
          <w:spacing w:val="-3"/>
        </w:rPr>
        <w:t xml:space="preserve">судових </w:t>
      </w:r>
      <w:r>
        <w:rPr>
          <w:color w:val="231F20"/>
        </w:rPr>
        <w:t>установ</w:t>
      </w:r>
      <w:r>
        <w:rPr>
          <w:color w:val="231F20"/>
          <w:position w:val="7"/>
          <w:sz w:val="12"/>
        </w:rPr>
        <w:t>1</w:t>
      </w:r>
      <w:r>
        <w:rPr>
          <w:color w:val="231F20"/>
        </w:rPr>
        <w:t>.</w:t>
      </w:r>
    </w:p>
    <w:p w14:paraId="6E47F5A3" w14:textId="77777777" w:rsidR="00DE575E" w:rsidRDefault="002E7560">
      <w:pPr>
        <w:pStyle w:val="BodyText"/>
        <w:spacing w:line="244" w:lineRule="auto"/>
        <w:ind w:left="533" w:right="128" w:firstLine="283"/>
        <w:jc w:val="both"/>
      </w:pPr>
      <w:r>
        <w:rPr>
          <w:color w:val="231F20"/>
        </w:rPr>
        <w:t>Для більш точного визначення змісту, функціонального призна- чення й ролі кожного з джерел адміністративного права здійсню- ється їх поділ на певні групи та види.</w:t>
      </w:r>
    </w:p>
    <w:p w14:paraId="59A75F95" w14:textId="77777777" w:rsidR="00DE575E" w:rsidRDefault="002E7560">
      <w:pPr>
        <w:pStyle w:val="BodyText"/>
        <w:spacing w:line="244" w:lineRule="auto"/>
        <w:ind w:left="533" w:right="126" w:firstLine="283"/>
        <w:jc w:val="both"/>
      </w:pPr>
      <w:r>
        <w:rPr>
          <w:color w:val="231F20"/>
        </w:rPr>
        <w:t>У межах правової системи джерела адміністративного права, розташовані за принципом їх ієрархі</w:t>
      </w:r>
      <w:r>
        <w:rPr>
          <w:color w:val="231F20"/>
        </w:rPr>
        <w:t xml:space="preserve">чної підпорядкованості, утво- рюють цілісну </w:t>
      </w:r>
      <w:r>
        <w:rPr>
          <w:color w:val="231F20"/>
          <w:spacing w:val="-3"/>
        </w:rPr>
        <w:t xml:space="preserve">систему. </w:t>
      </w:r>
      <w:r>
        <w:rPr>
          <w:color w:val="231F20"/>
        </w:rPr>
        <w:t xml:space="preserve">Її вертикальна структура </w:t>
      </w:r>
      <w:r>
        <w:rPr>
          <w:color w:val="231F20"/>
          <w:spacing w:val="-3"/>
        </w:rPr>
        <w:t xml:space="preserve">будується </w:t>
      </w:r>
      <w:r>
        <w:rPr>
          <w:color w:val="231F20"/>
        </w:rPr>
        <w:t>таким чином, що розпорядження одних джерел права видаються на основі вищих джерел. Чітка підпорядкованість джерел адміністративного права законодавчо закріплена, забезп</w:t>
      </w:r>
      <w:r>
        <w:rPr>
          <w:color w:val="231F20"/>
        </w:rPr>
        <w:t>ечена за допомогою юридич- них</w:t>
      </w:r>
      <w:r>
        <w:rPr>
          <w:color w:val="231F20"/>
          <w:spacing w:val="-11"/>
        </w:rPr>
        <w:t xml:space="preserve"> </w:t>
      </w:r>
      <w:r>
        <w:rPr>
          <w:color w:val="231F20"/>
        </w:rPr>
        <w:t>механізмів</w:t>
      </w:r>
      <w:r>
        <w:rPr>
          <w:color w:val="231F20"/>
          <w:spacing w:val="-11"/>
        </w:rPr>
        <w:t xml:space="preserve"> </w:t>
      </w:r>
      <w:r>
        <w:rPr>
          <w:color w:val="231F20"/>
        </w:rPr>
        <w:t>і</w:t>
      </w:r>
      <w:r>
        <w:rPr>
          <w:color w:val="231F20"/>
          <w:spacing w:val="-10"/>
        </w:rPr>
        <w:t xml:space="preserve"> </w:t>
      </w:r>
      <w:r>
        <w:rPr>
          <w:color w:val="231F20"/>
        </w:rPr>
        <w:t>має</w:t>
      </w:r>
      <w:r>
        <w:rPr>
          <w:color w:val="231F20"/>
          <w:spacing w:val="-11"/>
        </w:rPr>
        <w:t xml:space="preserve"> </w:t>
      </w:r>
      <w:r>
        <w:rPr>
          <w:color w:val="231F20"/>
        </w:rPr>
        <w:t>важливе</w:t>
      </w:r>
      <w:r>
        <w:rPr>
          <w:color w:val="231F20"/>
          <w:spacing w:val="-11"/>
        </w:rPr>
        <w:t xml:space="preserve"> </w:t>
      </w:r>
      <w:r>
        <w:rPr>
          <w:color w:val="231F20"/>
        </w:rPr>
        <w:t>соціально-політичне</w:t>
      </w:r>
      <w:r>
        <w:rPr>
          <w:color w:val="231F20"/>
          <w:spacing w:val="-11"/>
        </w:rPr>
        <w:t xml:space="preserve"> </w:t>
      </w:r>
      <w:r>
        <w:rPr>
          <w:color w:val="231F20"/>
        </w:rPr>
        <w:t>значення.</w:t>
      </w:r>
      <w:r>
        <w:rPr>
          <w:color w:val="231F20"/>
          <w:spacing w:val="-11"/>
        </w:rPr>
        <w:t xml:space="preserve"> </w:t>
      </w:r>
      <w:r>
        <w:rPr>
          <w:color w:val="231F20"/>
        </w:rPr>
        <w:t>Єдність системи цих джерел означає єдність вираженої в законі верховної волі Українського</w:t>
      </w:r>
      <w:r>
        <w:rPr>
          <w:color w:val="231F20"/>
          <w:spacing w:val="-2"/>
        </w:rPr>
        <w:t xml:space="preserve"> </w:t>
      </w:r>
      <w:r>
        <w:rPr>
          <w:color w:val="231F20"/>
          <w:spacing w:val="-4"/>
        </w:rPr>
        <w:t>народу.</w:t>
      </w:r>
    </w:p>
    <w:p w14:paraId="050AAA3A" w14:textId="77777777" w:rsidR="00DE575E" w:rsidRDefault="002E7560">
      <w:pPr>
        <w:pStyle w:val="BodyText"/>
        <w:spacing w:line="244" w:lineRule="auto"/>
        <w:ind w:left="533" w:right="128" w:firstLine="283"/>
        <w:jc w:val="both"/>
      </w:pPr>
      <w:r>
        <w:rPr>
          <w:color w:val="231F20"/>
        </w:rPr>
        <w:t xml:space="preserve">У континентальних країнах Європи, зокрема в Україні, основним видом джерел адміністративного права є </w:t>
      </w:r>
      <w:r>
        <w:rPr>
          <w:b/>
          <w:i/>
          <w:color w:val="231F20"/>
        </w:rPr>
        <w:t xml:space="preserve">нормативно-правові акти </w:t>
      </w:r>
      <w:r>
        <w:rPr>
          <w:color w:val="231F20"/>
        </w:rPr>
        <w:t>– закони, укази, постанови, накази та ін.</w:t>
      </w:r>
    </w:p>
    <w:p w14:paraId="05313769" w14:textId="77777777" w:rsidR="00DE575E" w:rsidRDefault="002E7560">
      <w:pPr>
        <w:pStyle w:val="BodyText"/>
        <w:spacing w:line="244" w:lineRule="auto"/>
        <w:ind w:left="533" w:right="127" w:firstLine="283"/>
        <w:jc w:val="both"/>
      </w:pPr>
      <w:r>
        <w:rPr>
          <w:color w:val="231F20"/>
        </w:rPr>
        <w:t xml:space="preserve">Виокремлюють такі сучасні тенденції розвитку системи джерел адміністративного права </w:t>
      </w:r>
      <w:r>
        <w:rPr>
          <w:color w:val="231F20"/>
          <w:spacing w:val="-3"/>
        </w:rPr>
        <w:t>Украї</w:t>
      </w:r>
      <w:r>
        <w:rPr>
          <w:color w:val="231F20"/>
          <w:spacing w:val="-3"/>
        </w:rPr>
        <w:t xml:space="preserve">ни: </w:t>
      </w:r>
      <w:r>
        <w:rPr>
          <w:color w:val="231F20"/>
        </w:rPr>
        <w:t>їх гармонізація з правом Євро- пейського Союзу та Ради Європи; залишковий вплив радянських підходів до врегулювання адміністративно-правових відносин; зміна та виникнення нових джерел адміністративного права на підставі соціально-економічних перетворен</w:t>
      </w:r>
      <w:r>
        <w:rPr>
          <w:color w:val="231F20"/>
        </w:rPr>
        <w:t xml:space="preserve">ь; налагодження субор- динаційних і координаційних зв’язків між різними видами джерел адміністративного права; посилення ролі </w:t>
      </w:r>
      <w:r>
        <w:rPr>
          <w:color w:val="231F20"/>
          <w:spacing w:val="-3"/>
        </w:rPr>
        <w:t xml:space="preserve">судових </w:t>
      </w:r>
      <w:r>
        <w:rPr>
          <w:color w:val="231F20"/>
        </w:rPr>
        <w:t>рішень як похід- них джерел права; повільні темпи кодифікації адміністративного законодавства;</w:t>
      </w:r>
      <w:r>
        <w:rPr>
          <w:color w:val="231F20"/>
          <w:spacing w:val="-16"/>
        </w:rPr>
        <w:t xml:space="preserve"> </w:t>
      </w:r>
      <w:r>
        <w:rPr>
          <w:color w:val="231F20"/>
        </w:rPr>
        <w:t>розширення</w:t>
      </w:r>
      <w:r>
        <w:rPr>
          <w:color w:val="231F20"/>
          <w:spacing w:val="-16"/>
        </w:rPr>
        <w:t xml:space="preserve"> </w:t>
      </w:r>
      <w:r>
        <w:rPr>
          <w:color w:val="231F20"/>
        </w:rPr>
        <w:t>законодавчого</w:t>
      </w:r>
      <w:r>
        <w:rPr>
          <w:color w:val="231F20"/>
          <w:spacing w:val="-16"/>
        </w:rPr>
        <w:t xml:space="preserve"> </w:t>
      </w:r>
      <w:r>
        <w:rPr>
          <w:color w:val="231F20"/>
        </w:rPr>
        <w:t>ре</w:t>
      </w:r>
      <w:r>
        <w:rPr>
          <w:color w:val="231F20"/>
        </w:rPr>
        <w:t>гулювання</w:t>
      </w:r>
      <w:r>
        <w:rPr>
          <w:color w:val="231F20"/>
          <w:spacing w:val="-16"/>
        </w:rPr>
        <w:t xml:space="preserve"> </w:t>
      </w:r>
      <w:r>
        <w:rPr>
          <w:color w:val="231F20"/>
        </w:rPr>
        <w:t>питань,</w:t>
      </w:r>
      <w:r>
        <w:rPr>
          <w:color w:val="231F20"/>
          <w:spacing w:val="-16"/>
        </w:rPr>
        <w:t xml:space="preserve"> </w:t>
      </w:r>
      <w:r>
        <w:rPr>
          <w:color w:val="231F20"/>
        </w:rPr>
        <w:t>що визначають правовий статус органів виконавчої влади; відсутність єдиної сучасної концепції проведення адміністративної реформи; законодавчі прогалини в урегулюванні питання співвідношення різноманітних джерел адміністративного</w:t>
      </w:r>
      <w:r>
        <w:rPr>
          <w:color w:val="231F20"/>
          <w:spacing w:val="-3"/>
        </w:rPr>
        <w:t xml:space="preserve"> </w:t>
      </w:r>
      <w:r>
        <w:rPr>
          <w:color w:val="231F20"/>
        </w:rPr>
        <w:t>права</w:t>
      </w:r>
      <w:r>
        <w:rPr>
          <w:color w:val="231F20"/>
          <w:position w:val="7"/>
          <w:sz w:val="12"/>
        </w:rPr>
        <w:t>2</w:t>
      </w:r>
      <w:r>
        <w:rPr>
          <w:color w:val="231F20"/>
        </w:rPr>
        <w:t>.</w:t>
      </w:r>
    </w:p>
    <w:p w14:paraId="4C275D6F" w14:textId="77777777" w:rsidR="00DE575E" w:rsidRDefault="002E7560">
      <w:pPr>
        <w:pStyle w:val="Heading5"/>
        <w:numPr>
          <w:ilvl w:val="2"/>
          <w:numId w:val="294"/>
        </w:numPr>
        <w:tabs>
          <w:tab w:val="left" w:pos="1383"/>
        </w:tabs>
        <w:spacing w:before="214"/>
        <w:ind w:left="1382"/>
        <w:jc w:val="left"/>
      </w:pPr>
      <w:r>
        <w:rPr>
          <w:color w:val="231F20"/>
        </w:rPr>
        <w:t>Значення джерел адміністративного</w:t>
      </w:r>
      <w:r>
        <w:rPr>
          <w:color w:val="231F20"/>
          <w:spacing w:val="-5"/>
        </w:rPr>
        <w:t xml:space="preserve"> </w:t>
      </w:r>
      <w:r>
        <w:rPr>
          <w:color w:val="231F20"/>
        </w:rPr>
        <w:t>права</w:t>
      </w:r>
    </w:p>
    <w:p w14:paraId="1D383E33" w14:textId="77777777" w:rsidR="00DE575E" w:rsidRDefault="00DE575E">
      <w:pPr>
        <w:pStyle w:val="BodyText"/>
        <w:spacing w:before="7"/>
        <w:rPr>
          <w:b/>
        </w:rPr>
      </w:pPr>
    </w:p>
    <w:p w14:paraId="11B6D9F6" w14:textId="77777777" w:rsidR="00DE575E" w:rsidRDefault="002E7560">
      <w:pPr>
        <w:pStyle w:val="BodyText"/>
        <w:spacing w:line="244" w:lineRule="auto"/>
        <w:ind w:left="533" w:right="128" w:firstLine="283"/>
        <w:jc w:val="both"/>
      </w:pPr>
      <w:r>
        <w:rPr>
          <w:color w:val="231F20"/>
        </w:rPr>
        <w:t>Значення джерел адміністративного права полягає в тому, що вони:</w:t>
      </w:r>
    </w:p>
    <w:p w14:paraId="2ED46505" w14:textId="23E06F9D" w:rsidR="00DE575E" w:rsidRDefault="002E7560">
      <w:pPr>
        <w:pStyle w:val="BodyText"/>
        <w:spacing w:before="9"/>
        <w:rPr>
          <w:sz w:val="22"/>
        </w:rPr>
      </w:pPr>
      <w:r>
        <w:rPr>
          <w:noProof/>
        </w:rPr>
        <mc:AlternateContent>
          <mc:Choice Requires="wps">
            <w:drawing>
              <wp:anchor distT="0" distB="0" distL="0" distR="0" simplePos="0" relativeHeight="3160" behindDoc="0" locked="0" layoutInCell="1" allowOverlap="1" wp14:anchorId="36EF3F68" wp14:editId="56AF7320">
                <wp:simplePos x="0" y="0"/>
                <wp:positionH relativeFrom="page">
                  <wp:posOffset>719455</wp:posOffset>
                </wp:positionH>
                <wp:positionV relativeFrom="paragraph">
                  <wp:posOffset>196850</wp:posOffset>
                </wp:positionV>
                <wp:extent cx="1080135" cy="0"/>
                <wp:effectExtent l="8255" t="19050" r="29210" b="19050"/>
                <wp:wrapTopAndBottom/>
                <wp:docPr id="1259"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5B46" id="Line_x0020_1258" o:spid="_x0000_s1026" style="position:absolute;z-index:3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5pt" to="141.7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" strokecolor="#231f20" strokeweight=".5pt">
                <w10:wrap type="topAndBottom" anchorx="page"/>
              </v:line>
            </w:pict>
          </mc:Fallback>
        </mc:AlternateContent>
      </w:r>
    </w:p>
    <w:p w14:paraId="25344291" w14:textId="77777777" w:rsidR="00DE575E" w:rsidRDefault="002E7560">
      <w:pPr>
        <w:spacing w:line="162" w:lineRule="exact"/>
        <w:ind w:left="533"/>
        <w:rPr>
          <w:sz w:val="16"/>
        </w:rPr>
      </w:pPr>
      <w:r>
        <w:rPr>
          <w:color w:val="231F20"/>
          <w:position w:val="5"/>
          <w:sz w:val="9"/>
        </w:rPr>
        <w:t xml:space="preserve">1 </w:t>
      </w:r>
      <w:r>
        <w:rPr>
          <w:color w:val="231F20"/>
          <w:sz w:val="16"/>
        </w:rPr>
        <w:t>Мельник Р. Зазнач. праця.</w:t>
      </w:r>
    </w:p>
    <w:p w14:paraId="60EA6EAB" w14:textId="77777777" w:rsidR="00DE575E" w:rsidRDefault="002E7560">
      <w:pPr>
        <w:spacing w:before="23" w:line="204" w:lineRule="auto"/>
        <w:ind w:left="533" w:right="521"/>
        <w:rPr>
          <w:sz w:val="16"/>
        </w:rPr>
      </w:pPr>
      <w:r>
        <w:rPr>
          <w:color w:val="231F20"/>
          <w:position w:val="5"/>
          <w:sz w:val="9"/>
        </w:rPr>
        <w:t xml:space="preserve">2 </w:t>
      </w:r>
      <w:r>
        <w:rPr>
          <w:color w:val="231F20"/>
          <w:sz w:val="16"/>
        </w:rPr>
        <w:t>Решота В. Застосування джерел адміністративного права України в судочинстві України: автореферат дис… к.ю.н. Львів., 2</w:t>
      </w:r>
      <w:r>
        <w:rPr>
          <w:color w:val="231F20"/>
          <w:sz w:val="16"/>
        </w:rPr>
        <w:t>019. С.</w:t>
      </w:r>
      <w:r>
        <w:rPr>
          <w:color w:val="231F20"/>
          <w:spacing w:val="-6"/>
          <w:sz w:val="16"/>
        </w:rPr>
        <w:t xml:space="preserve"> </w:t>
      </w:r>
      <w:r>
        <w:rPr>
          <w:color w:val="231F20"/>
          <w:sz w:val="16"/>
        </w:rPr>
        <w:t>21-22.</w:t>
      </w:r>
    </w:p>
    <w:p w14:paraId="1CA48697" w14:textId="77777777" w:rsidR="00DE575E" w:rsidRDefault="00DE575E">
      <w:pPr>
        <w:pStyle w:val="BodyText"/>
        <w:spacing w:before="5"/>
        <w:rPr>
          <w:sz w:val="12"/>
        </w:rPr>
      </w:pPr>
    </w:p>
    <w:p w14:paraId="6ECC1AFB" w14:textId="77777777" w:rsidR="00DE575E" w:rsidRDefault="002E7560">
      <w:pPr>
        <w:spacing w:before="92"/>
        <w:ind w:left="533"/>
        <w:rPr>
          <w:rFonts w:ascii="Times New Roman"/>
          <w:sz w:val="20"/>
        </w:rPr>
      </w:pPr>
      <w:r>
        <w:rPr>
          <w:rFonts w:ascii="Times New Roman"/>
          <w:color w:val="231F20"/>
          <w:sz w:val="20"/>
        </w:rPr>
        <w:t>60</w:t>
      </w:r>
    </w:p>
    <w:p w14:paraId="2733FE01" w14:textId="77777777" w:rsidR="00DE575E" w:rsidRDefault="00DE575E">
      <w:pPr>
        <w:rPr>
          <w:rFonts w:ascii="Times New Roman"/>
          <w:sz w:val="20"/>
        </w:rPr>
        <w:sectPr w:rsidR="00DE575E">
          <w:pgSz w:w="8510" w:h="12760"/>
          <w:pgMar w:top="660" w:right="720" w:bottom="280" w:left="600" w:header="720" w:footer="720" w:gutter="0"/>
          <w:cols w:space="720"/>
        </w:sectPr>
      </w:pPr>
    </w:p>
    <w:p w14:paraId="10A438B8" w14:textId="77777777" w:rsidR="00DE575E" w:rsidRDefault="002E7560">
      <w:pPr>
        <w:spacing w:before="72" w:line="249" w:lineRule="auto"/>
        <w:ind w:left="3181" w:firstLine="290"/>
        <w:rPr>
          <w:rFonts w:ascii="AdonisC" w:hAnsi="AdonisC"/>
          <w:i/>
          <w:sz w:val="18"/>
        </w:rPr>
      </w:pPr>
      <w:r>
        <w:rPr>
          <w:rFonts w:ascii="AdonisC" w:hAnsi="AdonisC"/>
          <w:i/>
          <w:color w:val="231F20"/>
          <w:sz w:val="18"/>
        </w:rPr>
        <w:lastRenderedPageBreak/>
        <w:t>Глава І. Загальне адміністративне право Розділ 3. Джерела адміністративного права</w:t>
      </w:r>
    </w:p>
    <w:p w14:paraId="0720A1D8" w14:textId="4E326E5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3605B77" wp14:editId="57EA2FA3">
                <wp:extent cx="4140200" cy="6350"/>
                <wp:effectExtent l="0" t="0" r="12700" b="6350"/>
                <wp:docPr id="1257"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58" name="Line 12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E89818" id="Group_x0020_12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neJBOgAIAAJwFAAAO&#10;AAAAAAAAAAAAAAAAACwCAABkcnMvZTJvRG9jLnhtbFBLAQItABQABgAIAAAAIQBMp7CQ2QAAAAMB&#10;AAAPAAAAAAAAAAAAAAAAANgEAABkcnMvZG93bnJldi54bWxQSwUGAAAAAAQABADzAAAA3gUAAAAA&#10;">
                <v:line id="Line_x0020_12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cDfcgAAADdAAAADwAAAGRycy9kb3ducmV2LnhtbESPQWvCQBCF74X+h2UKXopuqrSU6Coi&#10;FMSDtqY/YMxOk9Dd2ZhdTeyv7xwKvc3w3rz3zWI1eKeu1MUmsIGnSQaKuAy24crAZ/E2fgUVE7JF&#10;F5gM3CjCanl/t8Dchp4/6HpMlZIQjjkaqFNqc61jWZPHOAktsWhfofOYZO0qbTvsJdw7Pc2yF+2x&#10;YWmosaVNTeX38eINFOfH5N4PO9cXh9NMn8772c9lb8zoYVjPQSUa0r/573prBX/6LLj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IcDfcgAAADdAAAADwAAAAAA&#10;AAAAAAAAAAChAgAAZHJzL2Rvd25yZXYueG1sUEsFBgAAAAAEAAQA+QAAAJYDAAAAAA==&#10;" strokecolor="#231f20" strokeweight=".5pt"/>
                <w10:anchorlock/>
              </v:group>
            </w:pict>
          </mc:Fallback>
        </mc:AlternateContent>
      </w:r>
    </w:p>
    <w:p w14:paraId="09ED9B63" w14:textId="77777777" w:rsidR="00DE575E" w:rsidRDefault="00DE575E">
      <w:pPr>
        <w:pStyle w:val="BodyText"/>
        <w:spacing w:before="7"/>
        <w:rPr>
          <w:rFonts w:ascii="AdonisC"/>
          <w:i/>
          <w:sz w:val="19"/>
        </w:rPr>
      </w:pPr>
    </w:p>
    <w:p w14:paraId="7B6ED61D"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є засобом зовнішнього оформлення адміністративно-право- вих</w:t>
      </w:r>
      <w:r>
        <w:rPr>
          <w:color w:val="231F20"/>
          <w:spacing w:val="-1"/>
          <w:sz w:val="21"/>
        </w:rPr>
        <w:t xml:space="preserve"> </w:t>
      </w:r>
      <w:r>
        <w:rPr>
          <w:color w:val="231F20"/>
          <w:sz w:val="21"/>
        </w:rPr>
        <w:t>норм;</w:t>
      </w:r>
    </w:p>
    <w:p w14:paraId="66191CBB" w14:textId="77777777" w:rsidR="00DE575E" w:rsidRDefault="002E7560">
      <w:pPr>
        <w:pStyle w:val="ListParagraph"/>
        <w:numPr>
          <w:ilvl w:val="0"/>
          <w:numId w:val="299"/>
        </w:numPr>
        <w:tabs>
          <w:tab w:val="left" w:pos="818"/>
        </w:tabs>
        <w:spacing w:line="252" w:lineRule="auto"/>
        <w:ind w:right="413" w:firstLine="283"/>
        <w:rPr>
          <w:sz w:val="21"/>
        </w:rPr>
      </w:pPr>
      <w:r>
        <w:rPr>
          <w:color w:val="231F20"/>
          <w:sz w:val="21"/>
        </w:rPr>
        <w:t>засвідчують загальнообов’язковість норм адміністративного права;</w:t>
      </w:r>
    </w:p>
    <w:p w14:paraId="6C70180F"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 xml:space="preserve">є засобами і формою вираження й закріплення публічної волі народу </w:t>
      </w:r>
      <w:r>
        <w:rPr>
          <w:color w:val="231F20"/>
          <w:spacing w:val="-3"/>
          <w:sz w:val="21"/>
        </w:rPr>
        <w:t xml:space="preserve">України </w:t>
      </w:r>
      <w:r>
        <w:rPr>
          <w:color w:val="231F20"/>
          <w:sz w:val="21"/>
        </w:rPr>
        <w:t>через делегува</w:t>
      </w:r>
      <w:r>
        <w:rPr>
          <w:color w:val="231F20"/>
          <w:sz w:val="21"/>
        </w:rPr>
        <w:t xml:space="preserve">ння її парламентаріям та </w:t>
      </w:r>
      <w:r>
        <w:rPr>
          <w:color w:val="231F20"/>
          <w:spacing w:val="-3"/>
          <w:sz w:val="21"/>
        </w:rPr>
        <w:t xml:space="preserve">суб’єктам </w:t>
      </w:r>
      <w:r>
        <w:rPr>
          <w:color w:val="231F20"/>
          <w:sz w:val="21"/>
        </w:rPr>
        <w:t>публічної</w:t>
      </w:r>
      <w:r>
        <w:rPr>
          <w:color w:val="231F20"/>
          <w:spacing w:val="-1"/>
          <w:sz w:val="21"/>
        </w:rPr>
        <w:t xml:space="preserve"> </w:t>
      </w:r>
      <w:r>
        <w:rPr>
          <w:color w:val="231F20"/>
          <w:sz w:val="21"/>
        </w:rPr>
        <w:t>адміністрації.</w:t>
      </w:r>
    </w:p>
    <w:p w14:paraId="2357E765" w14:textId="77777777" w:rsidR="00DE575E" w:rsidRDefault="00DE575E">
      <w:pPr>
        <w:pStyle w:val="BodyText"/>
        <w:rPr>
          <w:sz w:val="24"/>
        </w:rPr>
      </w:pPr>
    </w:p>
    <w:p w14:paraId="7E54CF8D" w14:textId="77777777" w:rsidR="00DE575E" w:rsidRDefault="00DE575E">
      <w:pPr>
        <w:pStyle w:val="BodyText"/>
        <w:spacing w:before="4"/>
        <w:rPr>
          <w:sz w:val="19"/>
        </w:rPr>
      </w:pPr>
    </w:p>
    <w:p w14:paraId="16AB4777" w14:textId="77777777" w:rsidR="00DE575E" w:rsidRDefault="002E7560">
      <w:pPr>
        <w:pStyle w:val="Heading4"/>
        <w:spacing w:before="1"/>
        <w:ind w:left="799"/>
      </w:pPr>
      <w:r>
        <w:rPr>
          <w:color w:val="231F20"/>
        </w:rPr>
        <w:t>3.2. Національні джерела адміністративного права</w:t>
      </w:r>
    </w:p>
    <w:p w14:paraId="43E161CB" w14:textId="77777777" w:rsidR="00DE575E" w:rsidRDefault="00DE575E">
      <w:pPr>
        <w:pStyle w:val="BodyText"/>
        <w:rPr>
          <w:b/>
          <w:sz w:val="26"/>
        </w:rPr>
      </w:pPr>
    </w:p>
    <w:p w14:paraId="3871801D" w14:textId="77777777" w:rsidR="00DE575E" w:rsidRDefault="002E7560">
      <w:pPr>
        <w:pStyle w:val="BodyText"/>
        <w:spacing w:before="223" w:line="252" w:lineRule="auto"/>
        <w:ind w:left="250" w:right="411" w:firstLine="283"/>
        <w:jc w:val="both"/>
      </w:pPr>
      <w:r>
        <w:rPr>
          <w:color w:val="231F20"/>
        </w:rPr>
        <w:t xml:space="preserve">На відміну від норм, наприклад кримінального права, </w:t>
      </w:r>
      <w:r>
        <w:rPr>
          <w:color w:val="231F20"/>
          <w:spacing w:val="-4"/>
        </w:rPr>
        <w:t xml:space="preserve">об’єд-  </w:t>
      </w:r>
      <w:r>
        <w:rPr>
          <w:color w:val="231F20"/>
        </w:rPr>
        <w:t>нати всі національні джерела адміністративного права в одному чи навіть</w:t>
      </w:r>
      <w:r>
        <w:rPr>
          <w:color w:val="231F20"/>
          <w:spacing w:val="-7"/>
        </w:rPr>
        <w:t xml:space="preserve"> </w:t>
      </w:r>
      <w:r>
        <w:rPr>
          <w:color w:val="231F20"/>
        </w:rPr>
        <w:t>декількох</w:t>
      </w:r>
      <w:r>
        <w:rPr>
          <w:color w:val="231F20"/>
          <w:spacing w:val="-7"/>
        </w:rPr>
        <w:t xml:space="preserve"> </w:t>
      </w:r>
      <w:r>
        <w:rPr>
          <w:color w:val="231F20"/>
        </w:rPr>
        <w:t>комплексних</w:t>
      </w:r>
      <w:r>
        <w:rPr>
          <w:color w:val="231F20"/>
          <w:spacing w:val="-7"/>
        </w:rPr>
        <w:t xml:space="preserve"> </w:t>
      </w:r>
      <w:r>
        <w:rPr>
          <w:color w:val="231F20"/>
        </w:rPr>
        <w:t>(кодифікованих)</w:t>
      </w:r>
      <w:r>
        <w:rPr>
          <w:color w:val="231F20"/>
          <w:spacing w:val="-7"/>
        </w:rPr>
        <w:t xml:space="preserve"> </w:t>
      </w:r>
      <w:r>
        <w:rPr>
          <w:color w:val="231F20"/>
        </w:rPr>
        <w:t>кодексах</w:t>
      </w:r>
      <w:r>
        <w:rPr>
          <w:color w:val="231F20"/>
          <w:spacing w:val="-7"/>
        </w:rPr>
        <w:t xml:space="preserve"> </w:t>
      </w:r>
      <w:r>
        <w:rPr>
          <w:color w:val="231F20"/>
        </w:rPr>
        <w:t>чи</w:t>
      </w:r>
      <w:r>
        <w:rPr>
          <w:color w:val="231F20"/>
          <w:spacing w:val="-7"/>
        </w:rPr>
        <w:t xml:space="preserve"> </w:t>
      </w:r>
      <w:r>
        <w:rPr>
          <w:color w:val="231F20"/>
        </w:rPr>
        <w:t xml:space="preserve">законах не можливо з </w:t>
      </w:r>
      <w:r>
        <w:rPr>
          <w:color w:val="231F20"/>
          <w:spacing w:val="-3"/>
        </w:rPr>
        <w:t xml:space="preserve">об’єктивних </w:t>
      </w:r>
      <w:r>
        <w:rPr>
          <w:color w:val="231F20"/>
        </w:rPr>
        <w:t>причин.</w:t>
      </w:r>
    </w:p>
    <w:p w14:paraId="754CAA6E" w14:textId="77777777" w:rsidR="00DE575E" w:rsidRDefault="002E7560">
      <w:pPr>
        <w:pStyle w:val="BodyText"/>
        <w:spacing w:before="2" w:line="252" w:lineRule="auto"/>
        <w:ind w:left="250" w:right="410" w:firstLine="283"/>
        <w:jc w:val="both"/>
      </w:pPr>
      <w:r>
        <w:rPr>
          <w:color w:val="231F20"/>
        </w:rPr>
        <w:t>Адміністративне право регулює широке коло суспільних відно- син.</w:t>
      </w:r>
      <w:r>
        <w:rPr>
          <w:color w:val="231F20"/>
          <w:spacing w:val="-10"/>
        </w:rPr>
        <w:t xml:space="preserve"> </w:t>
      </w:r>
      <w:r>
        <w:rPr>
          <w:color w:val="231F20"/>
        </w:rPr>
        <w:t>Його</w:t>
      </w:r>
      <w:r>
        <w:rPr>
          <w:color w:val="231F20"/>
          <w:spacing w:val="-10"/>
        </w:rPr>
        <w:t xml:space="preserve"> </w:t>
      </w:r>
      <w:r>
        <w:rPr>
          <w:color w:val="231F20"/>
        </w:rPr>
        <w:t>норми</w:t>
      </w:r>
      <w:r>
        <w:rPr>
          <w:color w:val="231F20"/>
          <w:spacing w:val="-10"/>
        </w:rPr>
        <w:t xml:space="preserve"> </w:t>
      </w:r>
      <w:r>
        <w:rPr>
          <w:color w:val="231F20"/>
        </w:rPr>
        <w:t>містяться</w:t>
      </w:r>
      <w:r>
        <w:rPr>
          <w:color w:val="231F20"/>
          <w:spacing w:val="-10"/>
        </w:rPr>
        <w:t xml:space="preserve"> </w:t>
      </w:r>
      <w:r>
        <w:rPr>
          <w:color w:val="231F20"/>
        </w:rPr>
        <w:t>в</w:t>
      </w:r>
      <w:r>
        <w:rPr>
          <w:color w:val="231F20"/>
          <w:spacing w:val="-10"/>
        </w:rPr>
        <w:t xml:space="preserve"> </w:t>
      </w:r>
      <w:r>
        <w:rPr>
          <w:color w:val="231F20"/>
        </w:rPr>
        <w:t>численних</w:t>
      </w:r>
      <w:r>
        <w:rPr>
          <w:color w:val="231F20"/>
          <w:spacing w:val="-10"/>
        </w:rPr>
        <w:t xml:space="preserve"> </w:t>
      </w:r>
      <w:r>
        <w:rPr>
          <w:color w:val="231F20"/>
        </w:rPr>
        <w:t>актах</w:t>
      </w:r>
      <w:r>
        <w:rPr>
          <w:color w:val="231F20"/>
          <w:spacing w:val="-10"/>
        </w:rPr>
        <w:t xml:space="preserve"> </w:t>
      </w:r>
      <w:r>
        <w:rPr>
          <w:color w:val="231F20"/>
        </w:rPr>
        <w:t>різної</w:t>
      </w:r>
      <w:r>
        <w:rPr>
          <w:color w:val="231F20"/>
          <w:spacing w:val="-10"/>
        </w:rPr>
        <w:t xml:space="preserve"> </w:t>
      </w:r>
      <w:r>
        <w:rPr>
          <w:color w:val="231F20"/>
        </w:rPr>
        <w:t>юридичної</w:t>
      </w:r>
      <w:r>
        <w:rPr>
          <w:color w:val="231F20"/>
          <w:spacing w:val="-10"/>
        </w:rPr>
        <w:t xml:space="preserve"> </w:t>
      </w:r>
      <w:r>
        <w:rPr>
          <w:color w:val="231F20"/>
        </w:rPr>
        <w:t>сили. Крім того, нормотворчість в управлінській сфері характеризується високим рівнем динамічності, частим виникненням нових норм, що ускладнює зміст і структуру правового матеріалу. Законодавчі акти постійно доповнюються та уточняються, а нормативний мате</w:t>
      </w:r>
      <w:r>
        <w:rPr>
          <w:color w:val="231F20"/>
        </w:rPr>
        <w:t>ріал потребує</w:t>
      </w:r>
      <w:r>
        <w:rPr>
          <w:color w:val="231F20"/>
          <w:spacing w:val="-2"/>
        </w:rPr>
        <w:t xml:space="preserve"> </w:t>
      </w:r>
      <w:r>
        <w:rPr>
          <w:color w:val="231F20"/>
        </w:rPr>
        <w:t>систематизації.</w:t>
      </w:r>
    </w:p>
    <w:p w14:paraId="19332C42" w14:textId="77777777" w:rsidR="00DE575E" w:rsidRDefault="002E7560">
      <w:pPr>
        <w:pStyle w:val="BodyText"/>
        <w:spacing w:before="4" w:line="252" w:lineRule="auto"/>
        <w:ind w:left="250" w:right="409" w:firstLine="283"/>
        <w:jc w:val="both"/>
      </w:pPr>
      <w:r>
        <w:rPr>
          <w:color w:val="231F20"/>
        </w:rPr>
        <w:t>Адміністративно-правові    норми    безпосередньо    фіксуються в десятках законів, наприклад «Про надання адміністративних послуг»,  «Про  основні   засади   державного   нагляду   (контролю) у сфері господарської діяльності»</w:t>
      </w:r>
      <w:r>
        <w:rPr>
          <w:color w:val="231F20"/>
        </w:rPr>
        <w:t xml:space="preserve">, у декількох кодексах (КУпАП, </w:t>
      </w:r>
      <w:r>
        <w:rPr>
          <w:color w:val="231F20"/>
          <w:spacing w:val="-8"/>
        </w:rPr>
        <w:t xml:space="preserve">КАСУ,  </w:t>
      </w:r>
      <w:r>
        <w:rPr>
          <w:color w:val="231F20"/>
          <w:spacing w:val="-3"/>
        </w:rPr>
        <w:t xml:space="preserve">Митному,  Податковому,   </w:t>
      </w:r>
      <w:r>
        <w:rPr>
          <w:color w:val="231F20"/>
        </w:rPr>
        <w:t>Земельному,   Лісовому,   Водному) та тисячах підзаконних нормативно-правових</w:t>
      </w:r>
      <w:r>
        <w:rPr>
          <w:color w:val="231F20"/>
          <w:spacing w:val="-6"/>
        </w:rPr>
        <w:t xml:space="preserve"> </w:t>
      </w:r>
      <w:r>
        <w:rPr>
          <w:color w:val="231F20"/>
        </w:rPr>
        <w:t>актів.</w:t>
      </w:r>
    </w:p>
    <w:p w14:paraId="5B35A1D6" w14:textId="77777777" w:rsidR="00DE575E" w:rsidRDefault="00DE575E">
      <w:pPr>
        <w:pStyle w:val="BodyText"/>
        <w:spacing w:before="3"/>
        <w:rPr>
          <w:sz w:val="22"/>
        </w:rPr>
      </w:pPr>
    </w:p>
    <w:p w14:paraId="338E81FC" w14:textId="77777777" w:rsidR="00DE575E" w:rsidRDefault="002E7560">
      <w:pPr>
        <w:pStyle w:val="Heading5"/>
        <w:numPr>
          <w:ilvl w:val="2"/>
          <w:numId w:val="292"/>
        </w:numPr>
        <w:tabs>
          <w:tab w:val="left" w:pos="1099"/>
        </w:tabs>
        <w:spacing w:line="252" w:lineRule="auto"/>
        <w:ind w:right="1886" w:firstLine="0"/>
        <w:jc w:val="left"/>
      </w:pPr>
      <w:r>
        <w:rPr>
          <w:color w:val="231F20"/>
        </w:rPr>
        <w:t xml:space="preserve">Конституція </w:t>
      </w:r>
      <w:r>
        <w:rPr>
          <w:color w:val="231F20"/>
          <w:spacing w:val="-4"/>
        </w:rPr>
        <w:t xml:space="preserve">України </w:t>
      </w:r>
      <w:r>
        <w:rPr>
          <w:color w:val="231F20"/>
        </w:rPr>
        <w:t>як основне джерело адміністративного</w:t>
      </w:r>
      <w:r>
        <w:rPr>
          <w:color w:val="231F20"/>
          <w:spacing w:val="-2"/>
        </w:rPr>
        <w:t xml:space="preserve"> </w:t>
      </w:r>
      <w:r>
        <w:rPr>
          <w:color w:val="231F20"/>
        </w:rPr>
        <w:t>права</w:t>
      </w:r>
    </w:p>
    <w:p w14:paraId="7D1D61F5" w14:textId="77777777" w:rsidR="00DE575E" w:rsidRDefault="00DE575E">
      <w:pPr>
        <w:pStyle w:val="BodyText"/>
        <w:spacing w:before="1"/>
        <w:rPr>
          <w:b/>
          <w:sz w:val="22"/>
        </w:rPr>
      </w:pPr>
    </w:p>
    <w:p w14:paraId="6B43E3CB" w14:textId="77777777" w:rsidR="00DE575E" w:rsidRDefault="002E7560">
      <w:pPr>
        <w:pStyle w:val="BodyText"/>
        <w:spacing w:line="252" w:lineRule="auto"/>
        <w:ind w:left="250" w:right="410" w:firstLine="283"/>
        <w:jc w:val="both"/>
      </w:pPr>
      <w:r>
        <w:rPr>
          <w:color w:val="231F20"/>
        </w:rPr>
        <w:t>У системі джерел адміністративного права ви</w:t>
      </w:r>
      <w:r>
        <w:rPr>
          <w:color w:val="231F20"/>
        </w:rPr>
        <w:t xml:space="preserve">хідну роль відіграє Конституція </w:t>
      </w:r>
      <w:r>
        <w:rPr>
          <w:color w:val="231F20"/>
          <w:spacing w:val="-3"/>
        </w:rPr>
        <w:t xml:space="preserve">України, </w:t>
      </w:r>
      <w:r>
        <w:rPr>
          <w:color w:val="231F20"/>
        </w:rPr>
        <w:t>що є Основним Законом Української держави. У</w:t>
      </w:r>
      <w:r>
        <w:rPr>
          <w:color w:val="231F20"/>
          <w:spacing w:val="-8"/>
        </w:rPr>
        <w:t xml:space="preserve"> </w:t>
      </w:r>
      <w:r>
        <w:rPr>
          <w:color w:val="231F20"/>
        </w:rPr>
        <w:t>ній</w:t>
      </w:r>
      <w:r>
        <w:rPr>
          <w:color w:val="231F20"/>
          <w:spacing w:val="-8"/>
        </w:rPr>
        <w:t xml:space="preserve"> </w:t>
      </w:r>
      <w:r>
        <w:rPr>
          <w:color w:val="231F20"/>
        </w:rPr>
        <w:t>визначаються</w:t>
      </w:r>
      <w:r>
        <w:rPr>
          <w:color w:val="231F20"/>
          <w:spacing w:val="-8"/>
        </w:rPr>
        <w:t xml:space="preserve"> </w:t>
      </w:r>
      <w:r>
        <w:rPr>
          <w:color w:val="231F20"/>
        </w:rPr>
        <w:t>права,</w:t>
      </w:r>
      <w:r>
        <w:rPr>
          <w:color w:val="231F20"/>
          <w:spacing w:val="-8"/>
        </w:rPr>
        <w:t xml:space="preserve"> </w:t>
      </w:r>
      <w:r>
        <w:rPr>
          <w:color w:val="231F20"/>
        </w:rPr>
        <w:t>свободи,</w:t>
      </w:r>
      <w:r>
        <w:rPr>
          <w:color w:val="231F20"/>
          <w:spacing w:val="-8"/>
        </w:rPr>
        <w:t xml:space="preserve"> </w:t>
      </w:r>
      <w:r>
        <w:rPr>
          <w:color w:val="231F20"/>
        </w:rPr>
        <w:t>які</w:t>
      </w:r>
      <w:r>
        <w:rPr>
          <w:color w:val="231F20"/>
          <w:spacing w:val="-8"/>
        </w:rPr>
        <w:t xml:space="preserve"> </w:t>
      </w:r>
      <w:r>
        <w:rPr>
          <w:color w:val="231F20"/>
        </w:rPr>
        <w:t>має</w:t>
      </w:r>
      <w:r>
        <w:rPr>
          <w:color w:val="231F20"/>
          <w:spacing w:val="-7"/>
        </w:rPr>
        <w:t xml:space="preserve"> </w:t>
      </w:r>
      <w:r>
        <w:rPr>
          <w:color w:val="231F20"/>
        </w:rPr>
        <w:t>забезпечити</w:t>
      </w:r>
      <w:r>
        <w:rPr>
          <w:color w:val="231F20"/>
          <w:spacing w:val="-8"/>
        </w:rPr>
        <w:t xml:space="preserve"> </w:t>
      </w:r>
      <w:r>
        <w:rPr>
          <w:color w:val="231F20"/>
        </w:rPr>
        <w:t>громадянам публічна адміністрація, її система, найважливіші положення щодо організації</w:t>
      </w:r>
      <w:r>
        <w:rPr>
          <w:color w:val="231F20"/>
          <w:spacing w:val="-10"/>
        </w:rPr>
        <w:t xml:space="preserve"> </w:t>
      </w:r>
      <w:r>
        <w:rPr>
          <w:color w:val="231F20"/>
        </w:rPr>
        <w:t>її</w:t>
      </w:r>
      <w:r>
        <w:rPr>
          <w:color w:val="231F20"/>
          <w:spacing w:val="-9"/>
        </w:rPr>
        <w:t xml:space="preserve"> </w:t>
      </w:r>
      <w:r>
        <w:rPr>
          <w:color w:val="231F20"/>
        </w:rPr>
        <w:t>діяльності.</w:t>
      </w:r>
      <w:r>
        <w:rPr>
          <w:color w:val="231F20"/>
          <w:spacing w:val="-10"/>
        </w:rPr>
        <w:t xml:space="preserve"> </w:t>
      </w:r>
      <w:r>
        <w:rPr>
          <w:color w:val="231F20"/>
        </w:rPr>
        <w:t>Конституційно-правові</w:t>
      </w:r>
      <w:r>
        <w:rPr>
          <w:color w:val="231F20"/>
          <w:spacing w:val="-10"/>
        </w:rPr>
        <w:t xml:space="preserve"> </w:t>
      </w:r>
      <w:r>
        <w:rPr>
          <w:color w:val="231F20"/>
        </w:rPr>
        <w:t>акти</w:t>
      </w:r>
      <w:r>
        <w:rPr>
          <w:color w:val="231F20"/>
          <w:spacing w:val="-10"/>
        </w:rPr>
        <w:t xml:space="preserve"> </w:t>
      </w:r>
      <w:r>
        <w:rPr>
          <w:color w:val="231F20"/>
        </w:rPr>
        <w:t>встановлюють правовий  статус  громадян,  закріплюють  їх  участь  у</w:t>
      </w:r>
      <w:r>
        <w:rPr>
          <w:color w:val="231F20"/>
          <w:spacing w:val="40"/>
        </w:rPr>
        <w:t xml:space="preserve"> </w:t>
      </w:r>
      <w:r>
        <w:rPr>
          <w:color w:val="231F20"/>
        </w:rPr>
        <w:t>громадських</w:t>
      </w:r>
    </w:p>
    <w:p w14:paraId="2686E340" w14:textId="77777777" w:rsidR="00DE575E" w:rsidRDefault="00DE575E">
      <w:pPr>
        <w:pStyle w:val="BodyText"/>
        <w:spacing w:before="10"/>
        <w:rPr>
          <w:sz w:val="12"/>
        </w:rPr>
      </w:pPr>
    </w:p>
    <w:p w14:paraId="1FC8D582" w14:textId="77777777" w:rsidR="00DE575E" w:rsidRDefault="002E7560">
      <w:pPr>
        <w:spacing w:before="92"/>
        <w:ind w:right="411"/>
        <w:jc w:val="right"/>
        <w:rPr>
          <w:rFonts w:ascii="Times New Roman"/>
          <w:sz w:val="20"/>
        </w:rPr>
      </w:pPr>
      <w:r>
        <w:rPr>
          <w:rFonts w:ascii="Times New Roman"/>
          <w:color w:val="231F20"/>
          <w:w w:val="90"/>
          <w:sz w:val="20"/>
        </w:rPr>
        <w:t>61</w:t>
      </w:r>
    </w:p>
    <w:p w14:paraId="76B3AC1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5DE2D0C"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177309D7" w14:textId="69A4D15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D8A9DD0" wp14:editId="4C0B5410">
                <wp:extent cx="4140200" cy="6350"/>
                <wp:effectExtent l="0" t="0" r="12700" b="6350"/>
                <wp:docPr id="1255"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56" name="Line 12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2BF9B8" id="Group_x0020_12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pzutUgAIAAJwFAAAO&#10;AAAAAAAAAAAAAAAAACwCAABkcnMvZTJvRG9jLnhtbFBLAQItABQABgAIAAAAIQBMp7CQ2QAAAAMB&#10;AAAPAAAAAAAAAAAAAAAAANgEAABkcnMvZG93bnJldi54bWxQSwUGAAAAAAQABADzAAAA3gUAAAAA&#10;">
                <v:line id="Line_x0020_12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QylMQAAADdAAAADwAAAGRycy9kb3ducmV2LnhtbERP22rCQBB9L/gPywh9KbqpUinRVUQo&#10;FB+8pR8wZqdJ6O5szK4m+vWuUPBtDuc6s0VnjbhQ4yvHCt6HCQji3OmKCwU/2dfgE4QPyBqNY1Jw&#10;JQ+Lee9lhql2Le/pcgiFiCHsU1RQhlCnUvq8JIt+6GriyP26xmKIsCmkbrCN4dbIUZJMpMWKY0OJ&#10;Na1Kyv8OZ6sgO70Fs9uuTZttj2N5PG3Gt/NGqdd+t5yCCNSFp/jf/a3j/NHHBB7fxBP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VDKUxAAAAN0AAAAPAAAAAAAAAAAA&#10;AAAAAKECAABkcnMvZG93bnJldi54bWxQSwUGAAAAAAQABAD5AAAAkgMAAAAA&#10;" strokecolor="#231f20" strokeweight=".5pt"/>
                <w10:anchorlock/>
              </v:group>
            </w:pict>
          </mc:Fallback>
        </mc:AlternateContent>
      </w:r>
    </w:p>
    <w:p w14:paraId="334D46D6" w14:textId="77777777" w:rsidR="00DE575E" w:rsidRDefault="00DE575E">
      <w:pPr>
        <w:pStyle w:val="BodyText"/>
        <w:spacing w:before="7"/>
        <w:rPr>
          <w:rFonts w:ascii="AdonisC"/>
          <w:i/>
          <w:sz w:val="11"/>
        </w:rPr>
      </w:pPr>
    </w:p>
    <w:p w14:paraId="36A34F64" w14:textId="77777777" w:rsidR="00DE575E" w:rsidRDefault="002E7560">
      <w:pPr>
        <w:pStyle w:val="BodyText"/>
        <w:spacing w:before="101" w:line="252" w:lineRule="auto"/>
        <w:ind w:left="533" w:right="127"/>
        <w:jc w:val="both"/>
      </w:pPr>
      <w:r>
        <w:rPr>
          <w:color w:val="231F20"/>
        </w:rPr>
        <w:t>об’єднаннях, в управлінні державними та громадськими справами, обов’язки й відповідальність посадових осіб, найважливіші способи зміцнення законності та правопорядку в публічному управлінні.</w:t>
      </w:r>
    </w:p>
    <w:p w14:paraId="32298C64" w14:textId="77777777" w:rsidR="00DE575E" w:rsidRDefault="002E7560">
      <w:pPr>
        <w:pStyle w:val="BodyText"/>
        <w:spacing w:before="1" w:line="252" w:lineRule="auto"/>
        <w:ind w:left="533" w:right="125" w:firstLine="283"/>
        <w:jc w:val="both"/>
      </w:pPr>
      <w:r>
        <w:rPr>
          <w:color w:val="231F20"/>
        </w:rPr>
        <w:t>Адміністративно-правові приписи, що містяться в Конституції Украї</w:t>
      </w:r>
      <w:r>
        <w:rPr>
          <w:color w:val="231F20"/>
        </w:rPr>
        <w:t>ни, можна поділити на чотири групи, що визначають права, свободи й обов’язки фізичних та юридичних осіб приватного права у сфері публічного адміністрування; основи організації та функ- ціонування органів публічної адміністрації; порядок  формування та заса</w:t>
      </w:r>
      <w:r>
        <w:rPr>
          <w:color w:val="231F20"/>
        </w:rPr>
        <w:t>ди діяльності органів публічної адміністрації; адміністра- тивно-територіальний устрій</w:t>
      </w:r>
      <w:r>
        <w:rPr>
          <w:color w:val="231F20"/>
          <w:spacing w:val="8"/>
        </w:rPr>
        <w:t xml:space="preserve"> </w:t>
      </w:r>
      <w:r>
        <w:rPr>
          <w:color w:val="231F20"/>
        </w:rPr>
        <w:t>України</w:t>
      </w:r>
      <w:r>
        <w:rPr>
          <w:color w:val="231F20"/>
          <w:position w:val="7"/>
          <w:sz w:val="12"/>
        </w:rPr>
        <w:t>1</w:t>
      </w:r>
      <w:r>
        <w:rPr>
          <w:color w:val="231F20"/>
        </w:rPr>
        <w:t>.</w:t>
      </w:r>
    </w:p>
    <w:p w14:paraId="7EFBA2BA" w14:textId="77777777" w:rsidR="00DE575E" w:rsidRDefault="002E7560">
      <w:pPr>
        <w:pStyle w:val="BodyText"/>
        <w:spacing w:before="4" w:line="252" w:lineRule="auto"/>
        <w:ind w:left="533" w:right="126" w:firstLine="283"/>
        <w:jc w:val="both"/>
      </w:pPr>
      <w:r>
        <w:rPr>
          <w:color w:val="231F20"/>
        </w:rPr>
        <w:t>Проте роль Конституції України як першоджерела права не зводиться до прямого регулювання адміністративно-правових відносин. Конституційні норми передбачають видання окремих законів – джерел адміністративного права. Крім того багато поло- жень конкретизуєть</w:t>
      </w:r>
      <w:r>
        <w:rPr>
          <w:color w:val="231F20"/>
        </w:rPr>
        <w:t>ся в різних підзаконних нормативно-правових актах.</w:t>
      </w:r>
    </w:p>
    <w:p w14:paraId="169EC7F0" w14:textId="77777777" w:rsidR="00DE575E" w:rsidRDefault="002E7560">
      <w:pPr>
        <w:pStyle w:val="Heading5"/>
        <w:spacing w:before="3" w:line="252" w:lineRule="auto"/>
        <w:ind w:right="127" w:firstLine="283"/>
        <w:jc w:val="both"/>
      </w:pPr>
      <w:r>
        <w:rPr>
          <w:color w:val="231F20"/>
        </w:rPr>
        <w:t xml:space="preserve">Отже, Конституція </w:t>
      </w:r>
      <w:r>
        <w:rPr>
          <w:color w:val="231F20"/>
          <w:spacing w:val="-4"/>
        </w:rPr>
        <w:t xml:space="preserve">України </w:t>
      </w:r>
      <w:r>
        <w:rPr>
          <w:color w:val="231F20"/>
        </w:rPr>
        <w:t>є джерелом адміністративного права,</w:t>
      </w:r>
      <w:r>
        <w:rPr>
          <w:color w:val="231F20"/>
          <w:spacing w:val="-5"/>
        </w:rPr>
        <w:t xml:space="preserve"> </w:t>
      </w:r>
      <w:r>
        <w:rPr>
          <w:color w:val="231F20"/>
        </w:rPr>
        <w:t>її</w:t>
      </w:r>
      <w:r>
        <w:rPr>
          <w:color w:val="231F20"/>
          <w:spacing w:val="-5"/>
        </w:rPr>
        <w:t xml:space="preserve"> </w:t>
      </w:r>
      <w:r>
        <w:rPr>
          <w:color w:val="231F20"/>
        </w:rPr>
        <w:t>норми</w:t>
      </w:r>
      <w:r>
        <w:rPr>
          <w:color w:val="231F20"/>
          <w:spacing w:val="-5"/>
        </w:rPr>
        <w:t xml:space="preserve"> </w:t>
      </w:r>
      <w:r>
        <w:rPr>
          <w:color w:val="231F20"/>
        </w:rPr>
        <w:t>мають</w:t>
      </w:r>
      <w:r>
        <w:rPr>
          <w:color w:val="231F20"/>
          <w:spacing w:val="-5"/>
        </w:rPr>
        <w:t xml:space="preserve"> </w:t>
      </w:r>
      <w:r>
        <w:rPr>
          <w:color w:val="231F20"/>
        </w:rPr>
        <w:t>пряму</w:t>
      </w:r>
      <w:r>
        <w:rPr>
          <w:color w:val="231F20"/>
          <w:spacing w:val="-5"/>
        </w:rPr>
        <w:t xml:space="preserve"> </w:t>
      </w:r>
      <w:r>
        <w:rPr>
          <w:color w:val="231F20"/>
        </w:rPr>
        <w:t>дію,</w:t>
      </w:r>
      <w:r>
        <w:rPr>
          <w:color w:val="231F20"/>
          <w:spacing w:val="-5"/>
        </w:rPr>
        <w:t xml:space="preserve"> </w:t>
      </w:r>
      <w:r>
        <w:rPr>
          <w:color w:val="231F20"/>
        </w:rPr>
        <w:t>одночасно</w:t>
      </w:r>
      <w:r>
        <w:rPr>
          <w:color w:val="231F20"/>
          <w:spacing w:val="-5"/>
        </w:rPr>
        <w:t xml:space="preserve"> </w:t>
      </w:r>
      <w:r>
        <w:rPr>
          <w:color w:val="231F20"/>
        </w:rPr>
        <w:t>є</w:t>
      </w:r>
      <w:r>
        <w:rPr>
          <w:color w:val="231F20"/>
          <w:spacing w:val="-6"/>
        </w:rPr>
        <w:t xml:space="preserve"> </w:t>
      </w:r>
      <w:r>
        <w:rPr>
          <w:color w:val="231F20"/>
        </w:rPr>
        <w:t>основою</w:t>
      </w:r>
      <w:r>
        <w:rPr>
          <w:color w:val="231F20"/>
          <w:spacing w:val="-5"/>
        </w:rPr>
        <w:t xml:space="preserve"> </w:t>
      </w:r>
      <w:r>
        <w:rPr>
          <w:color w:val="231F20"/>
          <w:spacing w:val="-3"/>
        </w:rPr>
        <w:t xml:space="preserve">побудови </w:t>
      </w:r>
      <w:r>
        <w:rPr>
          <w:color w:val="231F20"/>
        </w:rPr>
        <w:t xml:space="preserve">системи інших джерел адміністративного права </w:t>
      </w:r>
      <w:r>
        <w:rPr>
          <w:color w:val="231F20"/>
          <w:spacing w:val="-3"/>
        </w:rPr>
        <w:t xml:space="preserve">щодо </w:t>
      </w:r>
      <w:r>
        <w:rPr>
          <w:color w:val="231F20"/>
        </w:rPr>
        <w:t>форму- вання, розвитку та уточнення сп</w:t>
      </w:r>
      <w:r>
        <w:rPr>
          <w:color w:val="231F20"/>
        </w:rPr>
        <w:t xml:space="preserve">еціальних принципів, функцій, форм і </w:t>
      </w:r>
      <w:r>
        <w:rPr>
          <w:color w:val="231F20"/>
          <w:spacing w:val="-3"/>
        </w:rPr>
        <w:t xml:space="preserve">методів </w:t>
      </w:r>
      <w:r>
        <w:rPr>
          <w:color w:val="231F20"/>
        </w:rPr>
        <w:t>адміністративної діяльності й адміністратив- них процедур забезпечення публічних прав, свобод та закон- них інтересів людини і громадянина публічною адміністрацією, державного й загалом публічного інтересу</w:t>
      </w:r>
      <w:r>
        <w:rPr>
          <w:color w:val="231F20"/>
          <w:spacing w:val="-12"/>
        </w:rPr>
        <w:t xml:space="preserve"> </w:t>
      </w:r>
      <w:r>
        <w:rPr>
          <w:color w:val="231F20"/>
        </w:rPr>
        <w:t>суспі</w:t>
      </w:r>
      <w:r>
        <w:rPr>
          <w:color w:val="231F20"/>
        </w:rPr>
        <w:t>льства.</w:t>
      </w:r>
    </w:p>
    <w:p w14:paraId="6468FA28" w14:textId="77777777" w:rsidR="00DE575E" w:rsidRDefault="00DE575E">
      <w:pPr>
        <w:pStyle w:val="BodyText"/>
        <w:spacing w:before="3"/>
        <w:rPr>
          <w:b/>
          <w:sz w:val="22"/>
        </w:rPr>
      </w:pPr>
    </w:p>
    <w:p w14:paraId="2A51C4AC" w14:textId="77777777" w:rsidR="00DE575E" w:rsidRDefault="002E7560">
      <w:pPr>
        <w:pStyle w:val="ListParagraph"/>
        <w:numPr>
          <w:ilvl w:val="2"/>
          <w:numId w:val="292"/>
        </w:numPr>
        <w:tabs>
          <w:tab w:val="left" w:pos="1383"/>
        </w:tabs>
        <w:spacing w:line="252" w:lineRule="auto"/>
        <w:ind w:left="817" w:right="1715" w:firstLine="0"/>
        <w:jc w:val="left"/>
        <w:rPr>
          <w:b/>
          <w:sz w:val="21"/>
        </w:rPr>
      </w:pPr>
      <w:r>
        <w:rPr>
          <w:b/>
          <w:color w:val="231F20"/>
          <w:spacing w:val="-3"/>
          <w:sz w:val="21"/>
        </w:rPr>
        <w:t xml:space="preserve">Законодавчі </w:t>
      </w:r>
      <w:r>
        <w:rPr>
          <w:b/>
          <w:color w:val="231F20"/>
          <w:sz w:val="21"/>
        </w:rPr>
        <w:t>акти (нормативно-правові) як джерела адміністративного</w:t>
      </w:r>
      <w:r>
        <w:rPr>
          <w:b/>
          <w:color w:val="231F20"/>
          <w:spacing w:val="-5"/>
          <w:sz w:val="21"/>
        </w:rPr>
        <w:t xml:space="preserve"> </w:t>
      </w:r>
      <w:r>
        <w:rPr>
          <w:b/>
          <w:color w:val="231F20"/>
          <w:sz w:val="21"/>
        </w:rPr>
        <w:t>права</w:t>
      </w:r>
    </w:p>
    <w:p w14:paraId="1DF2C2CB" w14:textId="77777777" w:rsidR="00DE575E" w:rsidRDefault="00DE575E">
      <w:pPr>
        <w:pStyle w:val="BodyText"/>
        <w:rPr>
          <w:b/>
          <w:sz w:val="22"/>
        </w:rPr>
      </w:pPr>
    </w:p>
    <w:p w14:paraId="0527A417" w14:textId="77777777" w:rsidR="00DE575E" w:rsidRDefault="002E7560">
      <w:pPr>
        <w:spacing w:before="1" w:line="252" w:lineRule="auto"/>
        <w:ind w:left="533" w:right="128" w:firstLine="283"/>
        <w:jc w:val="both"/>
        <w:rPr>
          <w:i/>
          <w:sz w:val="21"/>
        </w:rPr>
      </w:pPr>
      <w:r>
        <w:rPr>
          <w:color w:val="231F20"/>
          <w:sz w:val="21"/>
        </w:rPr>
        <w:t xml:space="preserve">Основним видом джерел адміністративного права є </w:t>
      </w:r>
      <w:r>
        <w:rPr>
          <w:b/>
          <w:i/>
          <w:color w:val="231F20"/>
          <w:sz w:val="21"/>
        </w:rPr>
        <w:t xml:space="preserve">норма- тивно-правовий акт (нормативний акт) </w:t>
      </w:r>
      <w:r>
        <w:rPr>
          <w:color w:val="231F20"/>
          <w:sz w:val="21"/>
        </w:rPr>
        <w:t xml:space="preserve">– </w:t>
      </w:r>
      <w:r>
        <w:rPr>
          <w:i/>
          <w:color w:val="231F20"/>
          <w:sz w:val="21"/>
        </w:rPr>
        <w:t xml:space="preserve">письмовий доку- мент компетентного </w:t>
      </w:r>
      <w:r>
        <w:rPr>
          <w:i/>
          <w:color w:val="231F20"/>
          <w:spacing w:val="-3"/>
          <w:sz w:val="21"/>
        </w:rPr>
        <w:t xml:space="preserve">суб’єкта </w:t>
      </w:r>
      <w:r>
        <w:rPr>
          <w:i/>
          <w:color w:val="231F20"/>
          <w:sz w:val="21"/>
        </w:rPr>
        <w:t>владних повноважень, який містить формально обов’язкове правило поведінки загального</w:t>
      </w:r>
      <w:r>
        <w:rPr>
          <w:i/>
          <w:color w:val="231F20"/>
          <w:spacing w:val="-16"/>
          <w:sz w:val="21"/>
        </w:rPr>
        <w:t xml:space="preserve"> </w:t>
      </w:r>
      <w:r>
        <w:rPr>
          <w:i/>
          <w:color w:val="231F20"/>
          <w:sz w:val="21"/>
        </w:rPr>
        <w:t>характеру.</w:t>
      </w:r>
    </w:p>
    <w:p w14:paraId="5CCEBEA0" w14:textId="77777777" w:rsidR="00DE575E" w:rsidRDefault="002E7560">
      <w:pPr>
        <w:pStyle w:val="BodyText"/>
        <w:spacing w:before="2" w:line="252" w:lineRule="auto"/>
        <w:ind w:left="533" w:right="127" w:firstLine="283"/>
        <w:jc w:val="both"/>
      </w:pPr>
      <w:r>
        <w:rPr>
          <w:color w:val="231F20"/>
        </w:rPr>
        <w:t xml:space="preserve">Нормативно-правові акти видаються </w:t>
      </w:r>
      <w:r>
        <w:rPr>
          <w:color w:val="231F20"/>
          <w:spacing w:val="-3"/>
        </w:rPr>
        <w:t xml:space="preserve">суб’єктами </w:t>
      </w:r>
      <w:r>
        <w:rPr>
          <w:color w:val="231F20"/>
        </w:rPr>
        <w:t>владних повно- важень лише в певній формі й  суворо  в  межах  своєї  компетен-  ції. Юридична цінність нормативно-</w:t>
      </w:r>
      <w:r>
        <w:rPr>
          <w:color w:val="231F20"/>
        </w:rPr>
        <w:t>правового акта визначається місцем</w:t>
      </w:r>
      <w:r>
        <w:rPr>
          <w:color w:val="231F20"/>
          <w:spacing w:val="15"/>
        </w:rPr>
        <w:t xml:space="preserve"> </w:t>
      </w:r>
      <w:r>
        <w:rPr>
          <w:color w:val="231F20"/>
        </w:rPr>
        <w:t>у</w:t>
      </w:r>
      <w:r>
        <w:rPr>
          <w:color w:val="231F20"/>
          <w:spacing w:val="15"/>
        </w:rPr>
        <w:t xml:space="preserve"> </w:t>
      </w:r>
      <w:r>
        <w:rPr>
          <w:color w:val="231F20"/>
        </w:rPr>
        <w:t>системі</w:t>
      </w:r>
      <w:r>
        <w:rPr>
          <w:color w:val="231F20"/>
          <w:spacing w:val="15"/>
        </w:rPr>
        <w:t xml:space="preserve"> </w:t>
      </w:r>
      <w:r>
        <w:rPr>
          <w:color w:val="231F20"/>
        </w:rPr>
        <w:t>органів</w:t>
      </w:r>
      <w:r>
        <w:rPr>
          <w:color w:val="231F20"/>
          <w:spacing w:val="15"/>
        </w:rPr>
        <w:t xml:space="preserve"> </w:t>
      </w:r>
      <w:r>
        <w:rPr>
          <w:color w:val="231F20"/>
        </w:rPr>
        <w:t>держави</w:t>
      </w:r>
      <w:r>
        <w:rPr>
          <w:color w:val="231F20"/>
          <w:spacing w:val="15"/>
        </w:rPr>
        <w:t xml:space="preserve"> </w:t>
      </w:r>
      <w:r>
        <w:rPr>
          <w:color w:val="231F20"/>
        </w:rPr>
        <w:t>того</w:t>
      </w:r>
      <w:r>
        <w:rPr>
          <w:color w:val="231F20"/>
          <w:spacing w:val="15"/>
        </w:rPr>
        <w:t xml:space="preserve"> </w:t>
      </w:r>
      <w:r>
        <w:rPr>
          <w:color w:val="231F20"/>
          <w:spacing w:val="-3"/>
        </w:rPr>
        <w:t>органу,</w:t>
      </w:r>
      <w:r>
        <w:rPr>
          <w:color w:val="231F20"/>
          <w:spacing w:val="15"/>
        </w:rPr>
        <w:t xml:space="preserve"> </w:t>
      </w:r>
      <w:r>
        <w:rPr>
          <w:color w:val="231F20"/>
        </w:rPr>
        <w:t>який</w:t>
      </w:r>
      <w:r>
        <w:rPr>
          <w:color w:val="231F20"/>
          <w:spacing w:val="15"/>
        </w:rPr>
        <w:t xml:space="preserve"> </w:t>
      </w:r>
      <w:r>
        <w:rPr>
          <w:color w:val="231F20"/>
        </w:rPr>
        <w:t>його</w:t>
      </w:r>
      <w:r>
        <w:rPr>
          <w:color w:val="231F20"/>
          <w:spacing w:val="15"/>
        </w:rPr>
        <w:t xml:space="preserve"> </w:t>
      </w:r>
      <w:r>
        <w:rPr>
          <w:color w:val="231F20"/>
        </w:rPr>
        <w:t>видав.</w:t>
      </w:r>
      <w:r>
        <w:rPr>
          <w:color w:val="231F20"/>
          <w:spacing w:val="15"/>
        </w:rPr>
        <w:t xml:space="preserve"> </w:t>
      </w:r>
      <w:r>
        <w:rPr>
          <w:color w:val="231F20"/>
        </w:rPr>
        <w:t>До</w:t>
      </w:r>
    </w:p>
    <w:p w14:paraId="0273E9C7" w14:textId="77777777" w:rsidR="00DE575E" w:rsidRDefault="00DE575E">
      <w:pPr>
        <w:pStyle w:val="BodyText"/>
        <w:rPr>
          <w:sz w:val="20"/>
        </w:rPr>
      </w:pPr>
    </w:p>
    <w:p w14:paraId="33DC2F1E" w14:textId="2E9DB546" w:rsidR="00DE575E" w:rsidRDefault="002E7560">
      <w:pPr>
        <w:pStyle w:val="BodyText"/>
        <w:spacing w:before="11"/>
        <w:rPr>
          <w:sz w:val="12"/>
        </w:rPr>
      </w:pPr>
      <w:r>
        <w:rPr>
          <w:noProof/>
        </w:rPr>
        <mc:AlternateContent>
          <mc:Choice Requires="wps">
            <w:drawing>
              <wp:anchor distT="0" distB="0" distL="0" distR="0" simplePos="0" relativeHeight="3232" behindDoc="0" locked="0" layoutInCell="1" allowOverlap="1" wp14:anchorId="4CBBE0EB" wp14:editId="5A634D6A">
                <wp:simplePos x="0" y="0"/>
                <wp:positionH relativeFrom="page">
                  <wp:posOffset>719455</wp:posOffset>
                </wp:positionH>
                <wp:positionV relativeFrom="paragraph">
                  <wp:posOffset>124460</wp:posOffset>
                </wp:positionV>
                <wp:extent cx="1080135" cy="0"/>
                <wp:effectExtent l="8255" t="10160" r="29210" b="27940"/>
                <wp:wrapTopAndBottom/>
                <wp:docPr id="1254"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A39B8" id="Line_x0020_1253" o:spid="_x0000_s1026" style="position:absolute;z-index: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8pt" to="141.7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" strokecolor="#231f20" strokeweight=".5pt">
                <w10:wrap type="topAndBottom" anchorx="page"/>
              </v:line>
            </w:pict>
          </mc:Fallback>
        </mc:AlternateContent>
      </w:r>
    </w:p>
    <w:p w14:paraId="210851BE" w14:textId="77777777" w:rsidR="00DE575E" w:rsidRDefault="002E7560">
      <w:pPr>
        <w:spacing w:line="204" w:lineRule="auto"/>
        <w:ind w:left="533" w:right="521"/>
        <w:rPr>
          <w:sz w:val="16"/>
        </w:rPr>
      </w:pPr>
      <w:r>
        <w:rPr>
          <w:color w:val="231F20"/>
          <w:position w:val="5"/>
          <w:sz w:val="9"/>
        </w:rPr>
        <w:t xml:space="preserve">1 </w:t>
      </w:r>
      <w:r>
        <w:rPr>
          <w:color w:val="231F20"/>
          <w:sz w:val="16"/>
        </w:rPr>
        <w:t>Решота В. Застосування джерел адміністративного права України в судочинстві України: дис. … к.ю.н. Львів, 2019. С.</w:t>
      </w:r>
      <w:r>
        <w:rPr>
          <w:color w:val="231F20"/>
          <w:spacing w:val="-6"/>
          <w:sz w:val="16"/>
        </w:rPr>
        <w:t xml:space="preserve"> </w:t>
      </w:r>
      <w:r>
        <w:rPr>
          <w:color w:val="231F20"/>
          <w:sz w:val="16"/>
        </w:rPr>
        <w:t>196.</w:t>
      </w:r>
    </w:p>
    <w:p w14:paraId="5734A736" w14:textId="77777777" w:rsidR="00DE575E" w:rsidRDefault="00DE575E">
      <w:pPr>
        <w:pStyle w:val="BodyText"/>
        <w:spacing w:before="1"/>
        <w:rPr>
          <w:sz w:val="12"/>
        </w:rPr>
      </w:pPr>
    </w:p>
    <w:p w14:paraId="19FF9D82" w14:textId="77777777" w:rsidR="00DE575E" w:rsidRDefault="002E7560">
      <w:pPr>
        <w:spacing w:before="92"/>
        <w:ind w:left="533"/>
        <w:rPr>
          <w:rFonts w:ascii="Times New Roman"/>
          <w:sz w:val="20"/>
        </w:rPr>
      </w:pPr>
      <w:r>
        <w:rPr>
          <w:rFonts w:ascii="Times New Roman"/>
          <w:color w:val="231F20"/>
          <w:sz w:val="20"/>
        </w:rPr>
        <w:t>62</w:t>
      </w:r>
    </w:p>
    <w:p w14:paraId="7E4A445D" w14:textId="77777777" w:rsidR="00DE575E" w:rsidRDefault="00DE575E">
      <w:pPr>
        <w:rPr>
          <w:rFonts w:ascii="Times New Roman"/>
          <w:sz w:val="20"/>
        </w:rPr>
        <w:sectPr w:rsidR="00DE575E">
          <w:pgSz w:w="8510" w:h="12760"/>
          <w:pgMar w:top="660" w:right="720" w:bottom="280" w:left="600" w:header="720" w:footer="720" w:gutter="0"/>
          <w:cols w:space="720"/>
        </w:sectPr>
      </w:pPr>
    </w:p>
    <w:p w14:paraId="022D9036" w14:textId="77777777" w:rsidR="00DE575E" w:rsidRDefault="002E7560">
      <w:pPr>
        <w:spacing w:before="72" w:line="249" w:lineRule="auto"/>
        <w:ind w:left="3181" w:firstLine="290"/>
        <w:rPr>
          <w:rFonts w:ascii="AdonisC" w:hAnsi="AdonisC"/>
          <w:i/>
          <w:sz w:val="18"/>
        </w:rPr>
      </w:pPr>
      <w:r>
        <w:rPr>
          <w:rFonts w:ascii="AdonisC" w:hAnsi="AdonisC"/>
          <w:i/>
          <w:color w:val="231F20"/>
          <w:sz w:val="18"/>
        </w:rPr>
        <w:lastRenderedPageBreak/>
        <w:t>Глава І. Загальне адміністративне право Розділ 3. Джерела адміністративного права</w:t>
      </w:r>
    </w:p>
    <w:p w14:paraId="290214CD" w14:textId="6BF2A68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EB0770E" wp14:editId="59C4BF7B">
                <wp:extent cx="4140200" cy="6350"/>
                <wp:effectExtent l="0" t="0" r="12700" b="6350"/>
                <wp:docPr id="1252"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53" name="Line 125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9D133A" id="Group_x0020_125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jw+H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MSs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CaPD4fQIAAJwFAAAOAAAA&#10;AAAAAAAAAAAAACwCAABkcnMvZTJvRG9jLnhtbFBLAQItABQABgAIAAAAIQBMp7CQ2QAAAAMBAAAP&#10;AAAAAAAAAAAAAAAAANUEAABkcnMvZG93bnJldi54bWxQSwUGAAAAAAQABADzAAAA2wUAAAAA&#10;">
                <v:line id="Line_x0020_125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ORDMUAAADdAAAADwAAAGRycy9kb3ducmV2LnhtbERPzWrCQBC+F/oOyxS8FN1oqEh0lSII&#10;4kGr8QHG7JiE7s7G7GrSPn23UOhtPr7fWax6a8SDWl87VjAeJSCIC6drLhWc881wBsIHZI3GMSn4&#10;Ig+r5fPTAjPtOj7S4xRKEUPYZ6igCqHJpPRFRRb9yDXEkbu61mKIsC2lbrGL4dbISZJMpcWaY0OF&#10;Da0rKj5Pd6sgv70G83HYmS4/XFJ5ue3T7/teqcFL/z4HEagP/+I/91bH+ZO3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iORDMUAAADdAAAADwAAAAAAAAAA&#10;AAAAAAChAgAAZHJzL2Rvd25yZXYueG1sUEsFBgAAAAAEAAQA+QAAAJMDAAAAAA==&#10;" strokecolor="#231f20" strokeweight=".5pt"/>
                <w10:anchorlock/>
              </v:group>
            </w:pict>
          </mc:Fallback>
        </mc:AlternateContent>
      </w:r>
    </w:p>
    <w:p w14:paraId="4FE4C441" w14:textId="77777777" w:rsidR="00DE575E" w:rsidRDefault="00DE575E">
      <w:pPr>
        <w:pStyle w:val="BodyText"/>
        <w:spacing w:before="7"/>
        <w:rPr>
          <w:rFonts w:ascii="AdonisC"/>
          <w:i/>
          <w:sz w:val="19"/>
        </w:rPr>
      </w:pPr>
    </w:p>
    <w:p w14:paraId="1649E2E8" w14:textId="77777777" w:rsidR="00DE575E" w:rsidRDefault="002E7560">
      <w:pPr>
        <w:pStyle w:val="BodyText"/>
        <w:spacing w:before="1" w:line="252" w:lineRule="auto"/>
        <w:ind w:left="250" w:right="411"/>
        <w:jc w:val="both"/>
      </w:pPr>
      <w:r>
        <w:rPr>
          <w:color w:val="231F20"/>
        </w:rPr>
        <w:t>нормативно-правових актів належать як закони</w:t>
      </w:r>
      <w:r>
        <w:rPr>
          <w:color w:val="231F20"/>
          <w:position w:val="7"/>
          <w:sz w:val="12"/>
        </w:rPr>
        <w:t>1</w:t>
      </w:r>
      <w:r>
        <w:rPr>
          <w:color w:val="231F20"/>
        </w:rPr>
        <w:t>, так і підзаконні нормативно-правові акти, ухвалені в ході розпорядчої діяльності суб’єктів публічної адміністрації</w:t>
      </w:r>
      <w:r>
        <w:rPr>
          <w:color w:val="231F20"/>
          <w:position w:val="7"/>
          <w:sz w:val="12"/>
        </w:rPr>
        <w:t>2</w:t>
      </w:r>
      <w:r>
        <w:rPr>
          <w:color w:val="231F20"/>
        </w:rPr>
        <w:t>.</w:t>
      </w:r>
    </w:p>
    <w:p w14:paraId="2B92AA56" w14:textId="77777777" w:rsidR="00DE575E" w:rsidRDefault="002E7560">
      <w:pPr>
        <w:pStyle w:val="BodyText"/>
        <w:spacing w:before="1" w:line="252" w:lineRule="auto"/>
        <w:ind w:left="250" w:right="411" w:firstLine="283"/>
        <w:jc w:val="both"/>
      </w:pPr>
      <w:r>
        <w:rPr>
          <w:color w:val="231F20"/>
        </w:rPr>
        <w:t xml:space="preserve">Вищими за юридичною силою є Конституція та інші закони </w:t>
      </w:r>
      <w:r>
        <w:rPr>
          <w:color w:val="231F20"/>
        </w:rPr>
        <w:t>України.</w:t>
      </w:r>
    </w:p>
    <w:p w14:paraId="349D66BB" w14:textId="77777777" w:rsidR="00DE575E" w:rsidRDefault="002E7560">
      <w:pPr>
        <w:pStyle w:val="BodyText"/>
        <w:spacing w:before="1" w:line="252" w:lineRule="auto"/>
        <w:ind w:left="250" w:right="408" w:firstLine="283"/>
        <w:jc w:val="both"/>
      </w:pPr>
      <w:r>
        <w:rPr>
          <w:color w:val="231F20"/>
        </w:rPr>
        <w:t>Нормативно-правовий акт слід відрізняти від індивідуального (адміністративного), що є завершальним етапом правозастосу- вання.</w:t>
      </w:r>
    </w:p>
    <w:p w14:paraId="157AE456" w14:textId="77777777" w:rsidR="00DE575E" w:rsidRDefault="002E7560">
      <w:pPr>
        <w:spacing w:before="2" w:line="252" w:lineRule="auto"/>
        <w:ind w:left="250" w:right="411" w:firstLine="283"/>
        <w:jc w:val="both"/>
        <w:rPr>
          <w:i/>
          <w:sz w:val="21"/>
        </w:rPr>
      </w:pPr>
      <w:r>
        <w:rPr>
          <w:b/>
          <w:i/>
          <w:color w:val="231F20"/>
          <w:sz w:val="21"/>
        </w:rPr>
        <w:t xml:space="preserve">Індивідуальний (адміністративний) акт </w:t>
      </w:r>
      <w:r>
        <w:rPr>
          <w:i/>
          <w:color w:val="231F20"/>
          <w:sz w:val="21"/>
        </w:rPr>
        <w:t>– це акт, що вміщує конкретний державний владний припис, прийнятий компетентним пу</w:t>
      </w:r>
      <w:r>
        <w:rPr>
          <w:i/>
          <w:color w:val="231F20"/>
          <w:sz w:val="21"/>
        </w:rPr>
        <w:t>блічним</w:t>
      </w:r>
      <w:r>
        <w:rPr>
          <w:i/>
          <w:color w:val="231F20"/>
          <w:spacing w:val="-10"/>
          <w:sz w:val="21"/>
        </w:rPr>
        <w:t xml:space="preserve"> </w:t>
      </w:r>
      <w:r>
        <w:rPr>
          <w:i/>
          <w:color w:val="231F20"/>
          <w:sz w:val="21"/>
        </w:rPr>
        <w:t>органом</w:t>
      </w:r>
      <w:r>
        <w:rPr>
          <w:i/>
          <w:color w:val="231F20"/>
          <w:spacing w:val="-10"/>
          <w:sz w:val="21"/>
        </w:rPr>
        <w:t xml:space="preserve"> </w:t>
      </w:r>
      <w:r>
        <w:rPr>
          <w:i/>
          <w:color w:val="231F20"/>
          <w:sz w:val="21"/>
        </w:rPr>
        <w:t>у</w:t>
      </w:r>
      <w:r>
        <w:rPr>
          <w:i/>
          <w:color w:val="231F20"/>
          <w:spacing w:val="-10"/>
          <w:sz w:val="21"/>
        </w:rPr>
        <w:t xml:space="preserve"> </w:t>
      </w:r>
      <w:r>
        <w:rPr>
          <w:i/>
          <w:color w:val="231F20"/>
          <w:sz w:val="21"/>
        </w:rPr>
        <w:t>результаті</w:t>
      </w:r>
      <w:r>
        <w:rPr>
          <w:i/>
          <w:color w:val="231F20"/>
          <w:spacing w:val="-10"/>
          <w:sz w:val="21"/>
        </w:rPr>
        <w:t xml:space="preserve"> </w:t>
      </w:r>
      <w:r>
        <w:rPr>
          <w:i/>
          <w:color w:val="231F20"/>
          <w:sz w:val="21"/>
        </w:rPr>
        <w:t>вирішення</w:t>
      </w:r>
      <w:r>
        <w:rPr>
          <w:i/>
          <w:color w:val="231F20"/>
          <w:spacing w:val="-9"/>
          <w:sz w:val="21"/>
        </w:rPr>
        <w:t xml:space="preserve"> </w:t>
      </w:r>
      <w:r>
        <w:rPr>
          <w:i/>
          <w:color w:val="231F20"/>
          <w:sz w:val="21"/>
        </w:rPr>
        <w:t>індивідуальної</w:t>
      </w:r>
      <w:r>
        <w:rPr>
          <w:i/>
          <w:color w:val="231F20"/>
          <w:spacing w:val="-10"/>
          <w:sz w:val="21"/>
        </w:rPr>
        <w:t xml:space="preserve"> </w:t>
      </w:r>
      <w:r>
        <w:rPr>
          <w:i/>
          <w:color w:val="231F20"/>
          <w:sz w:val="21"/>
        </w:rPr>
        <w:t>юридичної справи.</w:t>
      </w:r>
    </w:p>
    <w:p w14:paraId="269666E6" w14:textId="77777777" w:rsidR="00DE575E" w:rsidRDefault="002E7560">
      <w:pPr>
        <w:pStyle w:val="BodyText"/>
        <w:spacing w:before="2" w:line="252" w:lineRule="auto"/>
        <w:ind w:left="250" w:right="411" w:firstLine="283"/>
        <w:jc w:val="both"/>
      </w:pPr>
      <w:r>
        <w:rPr>
          <w:color w:val="231F20"/>
        </w:rPr>
        <w:t xml:space="preserve">За </w:t>
      </w:r>
      <w:r>
        <w:rPr>
          <w:color w:val="231F20"/>
          <w:spacing w:val="-3"/>
        </w:rPr>
        <w:t xml:space="preserve">юридичною силою національні нормативно-правові акти (зако- нодавчі акти) </w:t>
      </w:r>
      <w:r>
        <w:rPr>
          <w:color w:val="231F20"/>
        </w:rPr>
        <w:t xml:space="preserve">як </w:t>
      </w:r>
      <w:r>
        <w:rPr>
          <w:color w:val="231F20"/>
          <w:spacing w:val="-3"/>
        </w:rPr>
        <w:t xml:space="preserve">джерела адміністративного права </w:t>
      </w:r>
      <w:r>
        <w:rPr>
          <w:color w:val="231F20"/>
          <w:spacing w:val="-4"/>
        </w:rPr>
        <w:t xml:space="preserve">поділяються </w:t>
      </w:r>
      <w:r>
        <w:rPr>
          <w:color w:val="231F20"/>
          <w:spacing w:val="-3"/>
        </w:rPr>
        <w:t xml:space="preserve">на закони (Конституцію </w:t>
      </w:r>
      <w:r>
        <w:rPr>
          <w:color w:val="231F20"/>
        </w:rPr>
        <w:t xml:space="preserve">та </w:t>
      </w:r>
      <w:r>
        <w:rPr>
          <w:color w:val="231F20"/>
          <w:spacing w:val="-3"/>
        </w:rPr>
        <w:t xml:space="preserve">інші закони </w:t>
      </w:r>
      <w:r>
        <w:rPr>
          <w:color w:val="231F20"/>
          <w:spacing w:val="-4"/>
        </w:rPr>
        <w:t xml:space="preserve">України) </w:t>
      </w:r>
      <w:r>
        <w:rPr>
          <w:color w:val="231F20"/>
        </w:rPr>
        <w:t xml:space="preserve">та </w:t>
      </w:r>
      <w:r>
        <w:rPr>
          <w:color w:val="231F20"/>
          <w:spacing w:val="-3"/>
        </w:rPr>
        <w:t xml:space="preserve">підзаконні акти. При </w:t>
      </w:r>
      <w:r>
        <w:rPr>
          <w:color w:val="231F20"/>
        </w:rPr>
        <w:t xml:space="preserve">цьому </w:t>
      </w:r>
      <w:r>
        <w:rPr>
          <w:color w:val="231F20"/>
          <w:spacing w:val="-3"/>
        </w:rPr>
        <w:t xml:space="preserve">треба розуміти, </w:t>
      </w:r>
      <w:r>
        <w:rPr>
          <w:color w:val="231F20"/>
        </w:rPr>
        <w:t xml:space="preserve">що в </w:t>
      </w:r>
      <w:r>
        <w:rPr>
          <w:color w:val="231F20"/>
          <w:spacing w:val="-3"/>
        </w:rPr>
        <w:t xml:space="preserve">юридичній літературі категорії «законо- давство» </w:t>
      </w:r>
      <w:r>
        <w:rPr>
          <w:color w:val="231F20"/>
        </w:rPr>
        <w:t xml:space="preserve">і </w:t>
      </w:r>
      <w:r>
        <w:rPr>
          <w:color w:val="231F20"/>
          <w:spacing w:val="-3"/>
        </w:rPr>
        <w:t xml:space="preserve">«нормативно-правовий акт» розуміються </w:t>
      </w:r>
      <w:r>
        <w:rPr>
          <w:color w:val="231F20"/>
        </w:rPr>
        <w:t xml:space="preserve">як </w:t>
      </w:r>
      <w:r>
        <w:rPr>
          <w:color w:val="231F20"/>
          <w:spacing w:val="-4"/>
        </w:rPr>
        <w:t>тотожні.</w:t>
      </w:r>
    </w:p>
    <w:p w14:paraId="72F64D1C" w14:textId="77777777" w:rsidR="00DE575E" w:rsidRDefault="00DE575E">
      <w:pPr>
        <w:pStyle w:val="BodyText"/>
        <w:spacing w:before="2"/>
        <w:rPr>
          <w:sz w:val="22"/>
        </w:rPr>
      </w:pPr>
    </w:p>
    <w:p w14:paraId="6DF916EB" w14:textId="77777777" w:rsidR="00DE575E" w:rsidRDefault="002E7560">
      <w:pPr>
        <w:pStyle w:val="Heading5"/>
        <w:numPr>
          <w:ilvl w:val="2"/>
          <w:numId w:val="292"/>
        </w:numPr>
        <w:tabs>
          <w:tab w:val="left" w:pos="1099"/>
        </w:tabs>
        <w:ind w:firstLine="0"/>
        <w:jc w:val="left"/>
      </w:pPr>
      <w:r>
        <w:rPr>
          <w:color w:val="231F20"/>
        </w:rPr>
        <w:t>Закони як джерела адміністративного</w:t>
      </w:r>
      <w:r>
        <w:rPr>
          <w:color w:val="231F20"/>
          <w:spacing w:val="-6"/>
        </w:rPr>
        <w:t xml:space="preserve"> </w:t>
      </w:r>
      <w:r>
        <w:rPr>
          <w:color w:val="231F20"/>
        </w:rPr>
        <w:t>права</w:t>
      </w:r>
    </w:p>
    <w:p w14:paraId="07F11702" w14:textId="77777777" w:rsidR="00DE575E" w:rsidRDefault="00DE575E">
      <w:pPr>
        <w:pStyle w:val="BodyText"/>
        <w:spacing w:before="2"/>
        <w:rPr>
          <w:b/>
          <w:sz w:val="23"/>
        </w:rPr>
      </w:pPr>
    </w:p>
    <w:p w14:paraId="470C4EEA" w14:textId="77777777" w:rsidR="00DE575E" w:rsidRDefault="002E7560">
      <w:pPr>
        <w:pStyle w:val="BodyText"/>
        <w:spacing w:line="252" w:lineRule="auto"/>
        <w:ind w:left="250" w:right="409" w:firstLine="283"/>
        <w:jc w:val="both"/>
      </w:pPr>
      <w:r>
        <w:rPr>
          <w:color w:val="231F20"/>
        </w:rPr>
        <w:t>Закони становлять основну за значущістю частину нормативно- пра</w:t>
      </w:r>
      <w:r>
        <w:rPr>
          <w:color w:val="231F20"/>
        </w:rPr>
        <w:t>вових</w:t>
      </w:r>
      <w:r>
        <w:rPr>
          <w:color w:val="231F20"/>
          <w:spacing w:val="-7"/>
        </w:rPr>
        <w:t xml:space="preserve"> </w:t>
      </w:r>
      <w:r>
        <w:rPr>
          <w:color w:val="231F20"/>
        </w:rPr>
        <w:t>актів</w:t>
      </w:r>
      <w:r>
        <w:rPr>
          <w:color w:val="231F20"/>
          <w:spacing w:val="-8"/>
        </w:rPr>
        <w:t xml:space="preserve"> </w:t>
      </w:r>
      <w:r>
        <w:rPr>
          <w:color w:val="231F20"/>
        </w:rPr>
        <w:t>в</w:t>
      </w:r>
      <w:r>
        <w:rPr>
          <w:color w:val="231F20"/>
          <w:spacing w:val="-6"/>
        </w:rPr>
        <w:t xml:space="preserve"> </w:t>
      </w:r>
      <w:r>
        <w:rPr>
          <w:color w:val="231F20"/>
          <w:spacing w:val="-3"/>
        </w:rPr>
        <w:t>Україні,</w:t>
      </w:r>
      <w:r>
        <w:rPr>
          <w:color w:val="231F20"/>
          <w:spacing w:val="-8"/>
        </w:rPr>
        <w:t xml:space="preserve"> </w:t>
      </w:r>
      <w:r>
        <w:rPr>
          <w:color w:val="231F20"/>
        </w:rPr>
        <w:t>адже</w:t>
      </w:r>
      <w:r>
        <w:rPr>
          <w:color w:val="231F20"/>
          <w:spacing w:val="-7"/>
        </w:rPr>
        <w:t xml:space="preserve"> </w:t>
      </w:r>
      <w:r>
        <w:rPr>
          <w:color w:val="231F20"/>
        </w:rPr>
        <w:t>саме</w:t>
      </w:r>
      <w:r>
        <w:rPr>
          <w:color w:val="231F20"/>
          <w:spacing w:val="-7"/>
        </w:rPr>
        <w:t xml:space="preserve"> </w:t>
      </w:r>
      <w:r>
        <w:rPr>
          <w:color w:val="231F20"/>
        </w:rPr>
        <w:t>вони</w:t>
      </w:r>
      <w:r>
        <w:rPr>
          <w:color w:val="231F20"/>
          <w:spacing w:val="-8"/>
        </w:rPr>
        <w:t xml:space="preserve"> </w:t>
      </w:r>
      <w:r>
        <w:rPr>
          <w:color w:val="231F20"/>
        </w:rPr>
        <w:t>мають</w:t>
      </w:r>
      <w:r>
        <w:rPr>
          <w:color w:val="231F20"/>
          <w:spacing w:val="-7"/>
        </w:rPr>
        <w:t xml:space="preserve"> </w:t>
      </w:r>
      <w:r>
        <w:rPr>
          <w:color w:val="231F20"/>
        </w:rPr>
        <w:t>регулювати</w:t>
      </w:r>
      <w:r>
        <w:rPr>
          <w:color w:val="231F20"/>
          <w:spacing w:val="-7"/>
        </w:rPr>
        <w:t xml:space="preserve"> </w:t>
      </w:r>
      <w:r>
        <w:rPr>
          <w:color w:val="231F20"/>
        </w:rPr>
        <w:t>найваж- ливіші суспільні</w:t>
      </w:r>
      <w:r>
        <w:rPr>
          <w:color w:val="231F20"/>
          <w:spacing w:val="-3"/>
        </w:rPr>
        <w:t xml:space="preserve"> </w:t>
      </w:r>
      <w:r>
        <w:rPr>
          <w:color w:val="231F20"/>
        </w:rPr>
        <w:t>відносини.</w:t>
      </w:r>
    </w:p>
    <w:p w14:paraId="3E3C40C6" w14:textId="77777777" w:rsidR="00DE575E" w:rsidRDefault="002E7560">
      <w:pPr>
        <w:pStyle w:val="BodyText"/>
        <w:spacing w:before="2" w:line="252" w:lineRule="auto"/>
        <w:ind w:left="250" w:right="411" w:firstLine="283"/>
        <w:jc w:val="both"/>
      </w:pPr>
      <w:r>
        <w:rPr>
          <w:b/>
          <w:i/>
          <w:color w:val="231F20"/>
        </w:rPr>
        <w:t xml:space="preserve">Закон </w:t>
      </w:r>
      <w:r>
        <w:rPr>
          <w:color w:val="231F20"/>
        </w:rPr>
        <w:t>– це нормативно-правовий акт, що ухвалений Верховною Радою України</w:t>
      </w:r>
      <w:r>
        <w:rPr>
          <w:color w:val="231F20"/>
          <w:position w:val="7"/>
          <w:sz w:val="12"/>
        </w:rPr>
        <w:t>3</w:t>
      </w:r>
      <w:r>
        <w:rPr>
          <w:color w:val="231F20"/>
        </w:rPr>
        <w:t>, регулює найважливіші суспільні відносини, вира- жає волю й інтереси Українського народу, м</w:t>
      </w:r>
      <w:r>
        <w:rPr>
          <w:color w:val="231F20"/>
        </w:rPr>
        <w:t>ає найвищу юридичну силу щодо інших актів, є загальнообов’язковим та охороняється від порушення всіма засобами держави.</w:t>
      </w:r>
    </w:p>
    <w:p w14:paraId="288DB6A3" w14:textId="77777777" w:rsidR="00DE575E" w:rsidRDefault="002E7560">
      <w:pPr>
        <w:spacing w:before="2" w:line="252" w:lineRule="auto"/>
        <w:ind w:left="250" w:right="411" w:firstLine="283"/>
        <w:jc w:val="both"/>
        <w:rPr>
          <w:sz w:val="21"/>
        </w:rPr>
      </w:pPr>
      <w:r>
        <w:rPr>
          <w:i/>
          <w:color w:val="231F20"/>
          <w:sz w:val="21"/>
        </w:rPr>
        <w:t>Закони мають вищу юридичну силу щодо інших нормативно- правових актів</w:t>
      </w:r>
      <w:r>
        <w:rPr>
          <w:color w:val="231F20"/>
          <w:sz w:val="21"/>
        </w:rPr>
        <w:t>, що передбачає такі положення:</w:t>
      </w:r>
    </w:p>
    <w:p w14:paraId="5FA4425C" w14:textId="77777777" w:rsidR="00DE575E" w:rsidRDefault="002E7560">
      <w:pPr>
        <w:pStyle w:val="ListParagraph"/>
        <w:numPr>
          <w:ilvl w:val="0"/>
          <w:numId w:val="291"/>
        </w:numPr>
        <w:tabs>
          <w:tab w:val="left" w:pos="818"/>
        </w:tabs>
        <w:spacing w:line="252" w:lineRule="auto"/>
        <w:ind w:right="411" w:firstLine="283"/>
        <w:rPr>
          <w:sz w:val="21"/>
        </w:rPr>
      </w:pPr>
      <w:r>
        <w:rPr>
          <w:color w:val="231F20"/>
          <w:sz w:val="21"/>
        </w:rPr>
        <w:t xml:space="preserve">ніхто, крім Верховної Ради </w:t>
      </w:r>
      <w:r>
        <w:rPr>
          <w:color w:val="231F20"/>
          <w:spacing w:val="-3"/>
          <w:sz w:val="21"/>
        </w:rPr>
        <w:t>України,</w:t>
      </w:r>
      <w:r>
        <w:rPr>
          <w:color w:val="231F20"/>
          <w:spacing w:val="-3"/>
          <w:sz w:val="21"/>
        </w:rPr>
        <w:t xml:space="preserve"> </w:t>
      </w:r>
      <w:r>
        <w:rPr>
          <w:color w:val="231F20"/>
          <w:sz w:val="21"/>
        </w:rPr>
        <w:t>не може їх ухвалювати, змінювати чи</w:t>
      </w:r>
      <w:r>
        <w:rPr>
          <w:color w:val="231F20"/>
          <w:spacing w:val="-2"/>
          <w:sz w:val="21"/>
        </w:rPr>
        <w:t xml:space="preserve"> </w:t>
      </w:r>
      <w:r>
        <w:rPr>
          <w:color w:val="231F20"/>
          <w:sz w:val="21"/>
        </w:rPr>
        <w:t>скасовувати;</w:t>
      </w:r>
    </w:p>
    <w:p w14:paraId="3B92B7A3" w14:textId="77777777" w:rsidR="00DE575E" w:rsidRDefault="002E7560">
      <w:pPr>
        <w:pStyle w:val="ListParagraph"/>
        <w:numPr>
          <w:ilvl w:val="0"/>
          <w:numId w:val="291"/>
        </w:numPr>
        <w:tabs>
          <w:tab w:val="left" w:pos="818"/>
        </w:tabs>
        <w:spacing w:line="252" w:lineRule="auto"/>
        <w:ind w:right="411" w:firstLine="283"/>
        <w:rPr>
          <w:sz w:val="21"/>
        </w:rPr>
      </w:pPr>
      <w:r>
        <w:rPr>
          <w:color w:val="231F20"/>
          <w:sz w:val="21"/>
        </w:rPr>
        <w:t xml:space="preserve">вони </w:t>
      </w:r>
      <w:r>
        <w:rPr>
          <w:color w:val="231F20"/>
          <w:spacing w:val="-2"/>
          <w:sz w:val="21"/>
        </w:rPr>
        <w:t xml:space="preserve">регулюють </w:t>
      </w:r>
      <w:r>
        <w:rPr>
          <w:color w:val="231F20"/>
          <w:sz w:val="21"/>
        </w:rPr>
        <w:t>найважливіші суспільні відносини, що бага- торазово</w:t>
      </w:r>
      <w:r>
        <w:rPr>
          <w:color w:val="231F20"/>
          <w:spacing w:val="-2"/>
          <w:sz w:val="21"/>
        </w:rPr>
        <w:t xml:space="preserve"> </w:t>
      </w:r>
      <w:r>
        <w:rPr>
          <w:color w:val="231F20"/>
          <w:sz w:val="21"/>
        </w:rPr>
        <w:t>повторюються;</w:t>
      </w:r>
    </w:p>
    <w:p w14:paraId="069BB77E" w14:textId="2FC8A1FE" w:rsidR="00DE575E" w:rsidRDefault="002E7560">
      <w:pPr>
        <w:pStyle w:val="BodyText"/>
        <w:spacing w:before="7"/>
        <w:rPr>
          <w:sz w:val="17"/>
        </w:rPr>
      </w:pPr>
      <w:r>
        <w:rPr>
          <w:noProof/>
        </w:rPr>
        <mc:AlternateContent>
          <mc:Choice Requires="wps">
            <w:drawing>
              <wp:anchor distT="0" distB="0" distL="0" distR="0" simplePos="0" relativeHeight="3280" behindDoc="0" locked="0" layoutInCell="1" allowOverlap="1" wp14:anchorId="10B091BF" wp14:editId="1D5A645A">
                <wp:simplePos x="0" y="0"/>
                <wp:positionH relativeFrom="page">
                  <wp:posOffset>539750</wp:posOffset>
                </wp:positionH>
                <wp:positionV relativeFrom="paragraph">
                  <wp:posOffset>158750</wp:posOffset>
                </wp:positionV>
                <wp:extent cx="1080135" cy="0"/>
                <wp:effectExtent l="6350" t="19050" r="31115" b="19050"/>
                <wp:wrapTopAndBottom/>
                <wp:docPr id="1251"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4FFD9" id="Line_x0020_1250" o:spid="_x0000_s1026" style="position:absolute;z-index: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5pt" to="127.5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" strokecolor="#231f20" strokeweight=".5pt">
                <w10:wrap type="topAndBottom" anchorx="page"/>
              </v:line>
            </w:pict>
          </mc:Fallback>
        </mc:AlternateContent>
      </w:r>
    </w:p>
    <w:p w14:paraId="1EDB16FF" w14:textId="77777777" w:rsidR="00DE575E" w:rsidRDefault="002E7560">
      <w:pPr>
        <w:spacing w:line="162" w:lineRule="exact"/>
        <w:ind w:left="250"/>
        <w:rPr>
          <w:sz w:val="16"/>
        </w:rPr>
      </w:pPr>
      <w:r>
        <w:rPr>
          <w:color w:val="231F20"/>
          <w:position w:val="5"/>
          <w:sz w:val="9"/>
        </w:rPr>
        <w:t xml:space="preserve">1 </w:t>
      </w:r>
      <w:r>
        <w:rPr>
          <w:color w:val="231F20"/>
          <w:sz w:val="16"/>
        </w:rPr>
        <w:t>Наприклад, «Про місцеве самоврядування». Закон від 21.05.1997 р. № 280.</w:t>
      </w:r>
    </w:p>
    <w:p w14:paraId="560DED48" w14:textId="77777777" w:rsidR="00DE575E" w:rsidRDefault="002E7560">
      <w:pPr>
        <w:spacing w:before="23" w:line="204" w:lineRule="auto"/>
        <w:ind w:left="250" w:right="412"/>
        <w:jc w:val="both"/>
        <w:rPr>
          <w:sz w:val="16"/>
        </w:rPr>
      </w:pPr>
      <w:r>
        <w:rPr>
          <w:color w:val="231F20"/>
          <w:position w:val="5"/>
          <w:sz w:val="9"/>
        </w:rPr>
        <w:t xml:space="preserve">2 </w:t>
      </w:r>
      <w:r>
        <w:rPr>
          <w:color w:val="231F20"/>
          <w:sz w:val="16"/>
        </w:rPr>
        <w:t>Наприклад, «Про становлення режиму роботи закладів суб’єктів підприємницької діяльності». Рішення Рівненської міської ради.</w:t>
      </w:r>
    </w:p>
    <w:p w14:paraId="6F54C948" w14:textId="77777777" w:rsidR="00DE575E" w:rsidRDefault="002E7560">
      <w:pPr>
        <w:spacing w:before="30" w:line="204" w:lineRule="auto"/>
        <w:ind w:left="250" w:right="410"/>
        <w:jc w:val="both"/>
        <w:rPr>
          <w:sz w:val="16"/>
        </w:rPr>
      </w:pPr>
      <w:r>
        <w:rPr>
          <w:color w:val="231F20"/>
          <w:position w:val="5"/>
          <w:sz w:val="9"/>
        </w:rPr>
        <w:t xml:space="preserve">3 </w:t>
      </w:r>
      <w:r>
        <w:rPr>
          <w:color w:val="231F20"/>
          <w:sz w:val="16"/>
        </w:rPr>
        <w:t>У більшості держав найбільш важливі для суспільства закони ухвалюються через референдум.</w:t>
      </w:r>
      <w:r>
        <w:rPr>
          <w:color w:val="231F20"/>
          <w:spacing w:val="-8"/>
          <w:sz w:val="16"/>
        </w:rPr>
        <w:t xml:space="preserve"> </w:t>
      </w:r>
      <w:r>
        <w:rPr>
          <w:color w:val="231F20"/>
          <w:sz w:val="16"/>
        </w:rPr>
        <w:t>Проте</w:t>
      </w:r>
      <w:r>
        <w:rPr>
          <w:color w:val="231F20"/>
          <w:spacing w:val="-8"/>
          <w:sz w:val="16"/>
        </w:rPr>
        <w:t xml:space="preserve"> </w:t>
      </w:r>
      <w:r>
        <w:rPr>
          <w:color w:val="231F20"/>
          <w:sz w:val="16"/>
        </w:rPr>
        <w:t>в</w:t>
      </w:r>
      <w:r>
        <w:rPr>
          <w:color w:val="231F20"/>
          <w:spacing w:val="-7"/>
          <w:sz w:val="16"/>
        </w:rPr>
        <w:t xml:space="preserve"> </w:t>
      </w:r>
      <w:r>
        <w:rPr>
          <w:color w:val="231F20"/>
          <w:sz w:val="16"/>
        </w:rPr>
        <w:t>Україні</w:t>
      </w:r>
      <w:r>
        <w:rPr>
          <w:color w:val="231F20"/>
          <w:spacing w:val="-8"/>
          <w:sz w:val="16"/>
        </w:rPr>
        <w:t xml:space="preserve"> </w:t>
      </w:r>
      <w:r>
        <w:rPr>
          <w:color w:val="231F20"/>
          <w:sz w:val="16"/>
        </w:rPr>
        <w:t>через</w:t>
      </w:r>
      <w:r>
        <w:rPr>
          <w:color w:val="231F20"/>
          <w:spacing w:val="-8"/>
          <w:sz w:val="16"/>
        </w:rPr>
        <w:t xml:space="preserve"> </w:t>
      </w:r>
      <w:r>
        <w:rPr>
          <w:color w:val="231F20"/>
          <w:sz w:val="16"/>
        </w:rPr>
        <w:t>специфіку</w:t>
      </w:r>
      <w:r>
        <w:rPr>
          <w:color w:val="231F20"/>
          <w:spacing w:val="-8"/>
          <w:sz w:val="16"/>
        </w:rPr>
        <w:t xml:space="preserve"> </w:t>
      </w:r>
      <w:r>
        <w:rPr>
          <w:color w:val="231F20"/>
          <w:sz w:val="16"/>
        </w:rPr>
        <w:t>конституційних</w:t>
      </w:r>
      <w:r>
        <w:rPr>
          <w:color w:val="231F20"/>
          <w:spacing w:val="-8"/>
          <w:sz w:val="16"/>
        </w:rPr>
        <w:t xml:space="preserve"> </w:t>
      </w:r>
      <w:r>
        <w:rPr>
          <w:color w:val="231F20"/>
          <w:sz w:val="16"/>
        </w:rPr>
        <w:t>норм</w:t>
      </w:r>
      <w:r>
        <w:rPr>
          <w:color w:val="231F20"/>
          <w:spacing w:val="-8"/>
          <w:sz w:val="16"/>
        </w:rPr>
        <w:t xml:space="preserve"> </w:t>
      </w:r>
      <w:r>
        <w:rPr>
          <w:color w:val="231F20"/>
          <w:sz w:val="16"/>
        </w:rPr>
        <w:t>референдум</w:t>
      </w:r>
      <w:r>
        <w:rPr>
          <w:color w:val="231F20"/>
          <w:spacing w:val="-8"/>
          <w:sz w:val="16"/>
        </w:rPr>
        <w:t xml:space="preserve"> </w:t>
      </w:r>
      <w:r>
        <w:rPr>
          <w:color w:val="231F20"/>
          <w:sz w:val="16"/>
        </w:rPr>
        <w:t>не</w:t>
      </w:r>
      <w:r>
        <w:rPr>
          <w:color w:val="231F20"/>
          <w:spacing w:val="-8"/>
          <w:sz w:val="16"/>
        </w:rPr>
        <w:t xml:space="preserve"> </w:t>
      </w:r>
      <w:r>
        <w:rPr>
          <w:color w:val="231F20"/>
          <w:sz w:val="16"/>
        </w:rPr>
        <w:t>утвер- джує Закон. Референдуми в Україні мають консультативну юридичну</w:t>
      </w:r>
      <w:r>
        <w:rPr>
          <w:color w:val="231F20"/>
          <w:spacing w:val="-20"/>
          <w:sz w:val="16"/>
        </w:rPr>
        <w:t xml:space="preserve"> </w:t>
      </w:r>
      <w:r>
        <w:rPr>
          <w:color w:val="231F20"/>
          <w:spacing w:val="-3"/>
          <w:sz w:val="16"/>
        </w:rPr>
        <w:t>природу.</w:t>
      </w:r>
    </w:p>
    <w:p w14:paraId="22BABF1A" w14:textId="77777777" w:rsidR="00DE575E" w:rsidRDefault="00DE575E">
      <w:pPr>
        <w:pStyle w:val="BodyText"/>
        <w:spacing w:before="5"/>
        <w:rPr>
          <w:sz w:val="12"/>
        </w:rPr>
      </w:pPr>
    </w:p>
    <w:p w14:paraId="71420A4E" w14:textId="77777777" w:rsidR="00DE575E" w:rsidRDefault="002E7560">
      <w:pPr>
        <w:spacing w:before="92"/>
        <w:ind w:right="411"/>
        <w:jc w:val="right"/>
        <w:rPr>
          <w:rFonts w:ascii="Times New Roman"/>
          <w:sz w:val="20"/>
        </w:rPr>
      </w:pPr>
      <w:r>
        <w:rPr>
          <w:rFonts w:ascii="Times New Roman"/>
          <w:color w:val="231F20"/>
          <w:w w:val="90"/>
          <w:sz w:val="20"/>
        </w:rPr>
        <w:t>63</w:t>
      </w:r>
    </w:p>
    <w:p w14:paraId="0D92459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F840054"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460D6DE2" w14:textId="5A9CF1B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0D41178" wp14:editId="3AE41240">
                <wp:extent cx="4140200" cy="6350"/>
                <wp:effectExtent l="0" t="0" r="12700" b="6350"/>
                <wp:docPr id="1249"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50" name="Line 12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2EDF86" id="Group_x0020_12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uLj1TgAIAAJwFAAAO&#10;AAAAAAAAAAAAAAAAACwCAABkcnMvZTJvRG9jLnhtbFBLAQItABQABgAIAAAAIQBMp7CQ2QAAAAMB&#10;AAAPAAAAAAAAAAAAAAAAANgEAABkcnMvZG93bnJldi54bWxQSwUGAAAAAAQABADzAAAA3gUAAAAA&#10;">
                <v:line id="Line_x0020_12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EPe8gAAADdAAAADwAAAGRycy9kb3ducmV2LnhtbESPQWvCQBCF74X+h2UKXopuqrSU6Coi&#10;FMSDtqY/YMxOk9Dd2ZhdTeyv7xwKvc3w3rz3zWI1eKeu1MUmsIGnSQaKuAy24crAZ/E2fgUVE7JF&#10;F5gM3CjCanl/t8Dchp4/6HpMlZIQjjkaqFNqc61jWZPHOAktsWhfofOYZO0qbTvsJdw7Pc2yF+2x&#10;YWmosaVNTeX38eINFOfH5N4PO9cXh9NMn8772c9lb8zoYVjPQSUa0r/573prBX/6LPz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vEPe8gAAADdAAAADwAAAAAA&#10;AAAAAAAAAAChAgAAZHJzL2Rvd25yZXYueG1sUEsFBgAAAAAEAAQA+QAAAJYDAAAAAA==&#10;" strokecolor="#231f20" strokeweight=".5pt"/>
                <w10:anchorlock/>
              </v:group>
            </w:pict>
          </mc:Fallback>
        </mc:AlternateContent>
      </w:r>
    </w:p>
    <w:p w14:paraId="0C3D4900" w14:textId="77777777" w:rsidR="00DE575E" w:rsidRDefault="00DE575E">
      <w:pPr>
        <w:pStyle w:val="BodyText"/>
        <w:spacing w:before="7"/>
        <w:rPr>
          <w:rFonts w:ascii="AdonisC"/>
          <w:i/>
          <w:sz w:val="11"/>
        </w:rPr>
      </w:pPr>
    </w:p>
    <w:p w14:paraId="26264CEF" w14:textId="77777777" w:rsidR="00DE575E" w:rsidRDefault="002E7560">
      <w:pPr>
        <w:pStyle w:val="ListParagraph"/>
        <w:numPr>
          <w:ilvl w:val="1"/>
          <w:numId w:val="291"/>
        </w:numPr>
        <w:tabs>
          <w:tab w:val="left" w:pos="1101"/>
        </w:tabs>
        <w:spacing w:before="101" w:line="252" w:lineRule="auto"/>
        <w:ind w:right="128" w:firstLine="284"/>
        <w:rPr>
          <w:sz w:val="21"/>
        </w:rPr>
      </w:pPr>
      <w:r>
        <w:rPr>
          <w:color w:val="231F20"/>
          <w:sz w:val="21"/>
        </w:rPr>
        <w:t>усі інші нормативно-правові акти мають видаватися на</w:t>
      </w:r>
      <w:r>
        <w:rPr>
          <w:color w:val="231F20"/>
          <w:spacing w:val="-21"/>
          <w:sz w:val="21"/>
        </w:rPr>
        <w:t xml:space="preserve"> </w:t>
      </w:r>
      <w:r>
        <w:rPr>
          <w:color w:val="231F20"/>
          <w:sz w:val="21"/>
        </w:rPr>
        <w:t>основі законів і щодо їх</w:t>
      </w:r>
      <w:r>
        <w:rPr>
          <w:color w:val="231F20"/>
          <w:spacing w:val="-3"/>
          <w:sz w:val="21"/>
        </w:rPr>
        <w:t xml:space="preserve"> </w:t>
      </w:r>
      <w:r>
        <w:rPr>
          <w:color w:val="231F20"/>
          <w:sz w:val="21"/>
        </w:rPr>
        <w:t>виконання;</w:t>
      </w:r>
    </w:p>
    <w:p w14:paraId="26622EB0" w14:textId="77777777" w:rsidR="00DE575E" w:rsidRDefault="002E7560">
      <w:pPr>
        <w:pStyle w:val="ListParagraph"/>
        <w:numPr>
          <w:ilvl w:val="1"/>
          <w:numId w:val="291"/>
        </w:numPr>
        <w:tabs>
          <w:tab w:val="left" w:pos="1101"/>
        </w:tabs>
        <w:spacing w:line="252" w:lineRule="auto"/>
        <w:ind w:right="127" w:firstLine="284"/>
        <w:rPr>
          <w:sz w:val="21"/>
        </w:rPr>
      </w:pPr>
      <w:r>
        <w:rPr>
          <w:color w:val="231F20"/>
          <w:sz w:val="21"/>
        </w:rPr>
        <w:t>у</w:t>
      </w:r>
      <w:r>
        <w:rPr>
          <w:color w:val="231F20"/>
          <w:spacing w:val="-6"/>
          <w:sz w:val="21"/>
        </w:rPr>
        <w:t xml:space="preserve"> </w:t>
      </w:r>
      <w:r>
        <w:rPr>
          <w:color w:val="231F20"/>
          <w:sz w:val="21"/>
        </w:rPr>
        <w:t>разі</w:t>
      </w:r>
      <w:r>
        <w:rPr>
          <w:color w:val="231F20"/>
          <w:spacing w:val="-6"/>
          <w:sz w:val="21"/>
        </w:rPr>
        <w:t xml:space="preserve"> </w:t>
      </w:r>
      <w:r>
        <w:rPr>
          <w:color w:val="231F20"/>
          <w:sz w:val="21"/>
        </w:rPr>
        <w:t>виникнення</w:t>
      </w:r>
      <w:r>
        <w:rPr>
          <w:color w:val="231F20"/>
          <w:spacing w:val="-6"/>
          <w:sz w:val="21"/>
        </w:rPr>
        <w:t xml:space="preserve"> </w:t>
      </w:r>
      <w:r>
        <w:rPr>
          <w:color w:val="231F20"/>
          <w:sz w:val="21"/>
        </w:rPr>
        <w:t>колізій</w:t>
      </w:r>
      <w:r>
        <w:rPr>
          <w:color w:val="231F20"/>
          <w:spacing w:val="-6"/>
          <w:sz w:val="21"/>
        </w:rPr>
        <w:t xml:space="preserve"> </w:t>
      </w:r>
      <w:r>
        <w:rPr>
          <w:color w:val="231F20"/>
          <w:sz w:val="21"/>
        </w:rPr>
        <w:t>між</w:t>
      </w:r>
      <w:r>
        <w:rPr>
          <w:color w:val="231F20"/>
          <w:spacing w:val="-6"/>
          <w:sz w:val="21"/>
        </w:rPr>
        <w:t xml:space="preserve"> </w:t>
      </w:r>
      <w:r>
        <w:rPr>
          <w:color w:val="231F20"/>
          <w:sz w:val="21"/>
        </w:rPr>
        <w:t>нормами</w:t>
      </w:r>
      <w:r>
        <w:rPr>
          <w:color w:val="231F20"/>
          <w:spacing w:val="-6"/>
          <w:sz w:val="21"/>
        </w:rPr>
        <w:t xml:space="preserve"> </w:t>
      </w:r>
      <w:r>
        <w:rPr>
          <w:color w:val="231F20"/>
          <w:sz w:val="21"/>
        </w:rPr>
        <w:t>Закону</w:t>
      </w:r>
      <w:r>
        <w:rPr>
          <w:color w:val="231F20"/>
          <w:spacing w:val="-6"/>
          <w:sz w:val="21"/>
        </w:rPr>
        <w:t xml:space="preserve"> </w:t>
      </w:r>
      <w:r>
        <w:rPr>
          <w:color w:val="231F20"/>
          <w:sz w:val="21"/>
        </w:rPr>
        <w:t>й</w:t>
      </w:r>
      <w:r>
        <w:rPr>
          <w:color w:val="231F20"/>
          <w:spacing w:val="-7"/>
          <w:sz w:val="21"/>
        </w:rPr>
        <w:t xml:space="preserve"> </w:t>
      </w:r>
      <w:r>
        <w:rPr>
          <w:color w:val="231F20"/>
          <w:sz w:val="21"/>
        </w:rPr>
        <w:t>підзаконного нормативно-правового акта діють норми</w:t>
      </w:r>
      <w:r>
        <w:rPr>
          <w:color w:val="231F20"/>
          <w:spacing w:val="-5"/>
          <w:sz w:val="21"/>
        </w:rPr>
        <w:t xml:space="preserve"> </w:t>
      </w:r>
      <w:r>
        <w:rPr>
          <w:color w:val="231F20"/>
          <w:sz w:val="21"/>
        </w:rPr>
        <w:t>Закону;</w:t>
      </w:r>
    </w:p>
    <w:p w14:paraId="1FA5E2D1" w14:textId="77777777" w:rsidR="00DE575E" w:rsidRDefault="002E7560">
      <w:pPr>
        <w:pStyle w:val="ListParagraph"/>
        <w:numPr>
          <w:ilvl w:val="1"/>
          <w:numId w:val="291"/>
        </w:numPr>
        <w:tabs>
          <w:tab w:val="left" w:pos="1101"/>
        </w:tabs>
        <w:spacing w:line="252" w:lineRule="auto"/>
        <w:ind w:right="129" w:firstLine="284"/>
        <w:rPr>
          <w:sz w:val="21"/>
        </w:rPr>
      </w:pPr>
      <w:r>
        <w:rPr>
          <w:color w:val="231F20"/>
          <w:sz w:val="21"/>
        </w:rPr>
        <w:t xml:space="preserve">лише Верховна Рада </w:t>
      </w:r>
      <w:r>
        <w:rPr>
          <w:color w:val="231F20"/>
          <w:spacing w:val="-3"/>
          <w:sz w:val="21"/>
        </w:rPr>
        <w:t>Украї</w:t>
      </w:r>
      <w:r>
        <w:rPr>
          <w:color w:val="231F20"/>
          <w:spacing w:val="-3"/>
          <w:sz w:val="21"/>
        </w:rPr>
        <w:t xml:space="preserve">ни </w:t>
      </w:r>
      <w:r>
        <w:rPr>
          <w:color w:val="231F20"/>
          <w:sz w:val="21"/>
        </w:rPr>
        <w:t xml:space="preserve">може підтвердити або змінити Закон у разі повернення його Президентом </w:t>
      </w:r>
      <w:r>
        <w:rPr>
          <w:color w:val="231F20"/>
          <w:spacing w:val="-3"/>
          <w:sz w:val="21"/>
        </w:rPr>
        <w:t xml:space="preserve">України </w:t>
      </w:r>
      <w:r>
        <w:rPr>
          <w:color w:val="231F20"/>
          <w:sz w:val="21"/>
        </w:rPr>
        <w:t>за відкладного вето.</w:t>
      </w:r>
    </w:p>
    <w:p w14:paraId="39FB2D57" w14:textId="77777777" w:rsidR="00DE575E" w:rsidRDefault="002E7560">
      <w:pPr>
        <w:pStyle w:val="BodyText"/>
        <w:spacing w:before="1" w:line="252" w:lineRule="auto"/>
        <w:ind w:left="533" w:right="128" w:firstLine="283"/>
        <w:jc w:val="both"/>
      </w:pPr>
      <w:r>
        <w:rPr>
          <w:color w:val="231F20"/>
        </w:rPr>
        <w:t>Закони як національні джерела адміністративного права класи- фікуються.</w:t>
      </w:r>
    </w:p>
    <w:p w14:paraId="74072C08" w14:textId="77777777" w:rsidR="00DE575E" w:rsidRDefault="002E7560">
      <w:pPr>
        <w:pStyle w:val="ListParagraph"/>
        <w:numPr>
          <w:ilvl w:val="0"/>
          <w:numId w:val="290"/>
        </w:numPr>
        <w:tabs>
          <w:tab w:val="left" w:pos="1101"/>
        </w:tabs>
        <w:ind w:firstLine="284"/>
        <w:rPr>
          <w:sz w:val="21"/>
        </w:rPr>
      </w:pPr>
      <w:r>
        <w:rPr>
          <w:color w:val="231F20"/>
          <w:sz w:val="21"/>
        </w:rPr>
        <w:t>За ієрархічним</w:t>
      </w:r>
      <w:r>
        <w:rPr>
          <w:color w:val="231F20"/>
          <w:spacing w:val="-3"/>
          <w:sz w:val="21"/>
        </w:rPr>
        <w:t xml:space="preserve"> </w:t>
      </w:r>
      <w:r>
        <w:rPr>
          <w:color w:val="231F20"/>
          <w:sz w:val="21"/>
        </w:rPr>
        <w:t>статусом:</w:t>
      </w:r>
    </w:p>
    <w:p w14:paraId="52312F68" w14:textId="77777777" w:rsidR="00DE575E" w:rsidRDefault="002E7560">
      <w:pPr>
        <w:pStyle w:val="ListParagraph"/>
        <w:numPr>
          <w:ilvl w:val="1"/>
          <w:numId w:val="290"/>
        </w:numPr>
        <w:tabs>
          <w:tab w:val="left" w:pos="1385"/>
        </w:tabs>
        <w:spacing w:before="13" w:line="252" w:lineRule="auto"/>
        <w:ind w:right="127"/>
        <w:rPr>
          <w:sz w:val="21"/>
        </w:rPr>
      </w:pPr>
      <w:r>
        <w:rPr>
          <w:color w:val="231F20"/>
          <w:sz w:val="21"/>
        </w:rPr>
        <w:t xml:space="preserve">Конституція </w:t>
      </w:r>
      <w:r>
        <w:rPr>
          <w:color w:val="231F20"/>
          <w:spacing w:val="-3"/>
          <w:sz w:val="21"/>
        </w:rPr>
        <w:t xml:space="preserve">України </w:t>
      </w:r>
      <w:r>
        <w:rPr>
          <w:color w:val="231F20"/>
          <w:sz w:val="21"/>
        </w:rPr>
        <w:t>(Основний Закон) та конституційні закони, які становлять основу розвитку правової</w:t>
      </w:r>
      <w:r>
        <w:rPr>
          <w:color w:val="231F20"/>
          <w:spacing w:val="-13"/>
          <w:sz w:val="21"/>
        </w:rPr>
        <w:t xml:space="preserve"> </w:t>
      </w:r>
      <w:r>
        <w:rPr>
          <w:color w:val="231F20"/>
          <w:sz w:val="21"/>
        </w:rPr>
        <w:t>системи;</w:t>
      </w:r>
    </w:p>
    <w:p w14:paraId="43F49667" w14:textId="77777777" w:rsidR="00DE575E" w:rsidRDefault="002E7560">
      <w:pPr>
        <w:pStyle w:val="ListParagraph"/>
        <w:numPr>
          <w:ilvl w:val="1"/>
          <w:numId w:val="290"/>
        </w:numPr>
        <w:tabs>
          <w:tab w:val="left" w:pos="1385"/>
        </w:tabs>
        <w:spacing w:line="252" w:lineRule="auto"/>
        <w:ind w:right="128"/>
        <w:rPr>
          <w:sz w:val="21"/>
        </w:rPr>
      </w:pPr>
      <w:r>
        <w:rPr>
          <w:color w:val="231F20"/>
          <w:sz w:val="21"/>
        </w:rPr>
        <w:t xml:space="preserve">органічні закони, що конкретизують найважливіші поло- ження Конституції </w:t>
      </w:r>
      <w:r>
        <w:rPr>
          <w:color w:val="231F20"/>
          <w:spacing w:val="-3"/>
          <w:sz w:val="21"/>
        </w:rPr>
        <w:t xml:space="preserve">України </w:t>
      </w:r>
      <w:r>
        <w:rPr>
          <w:color w:val="231F20"/>
          <w:sz w:val="21"/>
        </w:rPr>
        <w:t xml:space="preserve">або випливають з її змісту (напр., Закон </w:t>
      </w:r>
      <w:r>
        <w:rPr>
          <w:color w:val="231F20"/>
          <w:spacing w:val="-3"/>
          <w:sz w:val="21"/>
        </w:rPr>
        <w:t xml:space="preserve">України </w:t>
      </w:r>
      <w:r>
        <w:rPr>
          <w:color w:val="231F20"/>
          <w:sz w:val="21"/>
        </w:rPr>
        <w:t>«Про Кабінет Міністрів</w:t>
      </w:r>
      <w:r>
        <w:rPr>
          <w:color w:val="231F20"/>
          <w:spacing w:val="1"/>
          <w:sz w:val="21"/>
        </w:rPr>
        <w:t xml:space="preserve"> </w:t>
      </w:r>
      <w:r>
        <w:rPr>
          <w:color w:val="231F20"/>
          <w:spacing w:val="-3"/>
          <w:sz w:val="21"/>
        </w:rPr>
        <w:t>України»);</w:t>
      </w:r>
    </w:p>
    <w:p w14:paraId="193ABD4B" w14:textId="77777777" w:rsidR="00DE575E" w:rsidRDefault="002E7560">
      <w:pPr>
        <w:pStyle w:val="ListParagraph"/>
        <w:numPr>
          <w:ilvl w:val="1"/>
          <w:numId w:val="290"/>
        </w:numPr>
        <w:tabs>
          <w:tab w:val="left" w:pos="1385"/>
        </w:tabs>
        <w:spacing w:line="252" w:lineRule="auto"/>
        <w:ind w:right="127"/>
        <w:rPr>
          <w:sz w:val="21"/>
        </w:rPr>
      </w:pPr>
      <w:r>
        <w:rPr>
          <w:color w:val="231F20"/>
          <w:sz w:val="21"/>
        </w:rPr>
        <w:t>зв</w:t>
      </w:r>
      <w:r>
        <w:rPr>
          <w:color w:val="231F20"/>
          <w:sz w:val="21"/>
        </w:rPr>
        <w:t xml:space="preserve">ичайні закони – з інших важливих питань суспільного життя (напр., Закон </w:t>
      </w:r>
      <w:r>
        <w:rPr>
          <w:color w:val="231F20"/>
          <w:spacing w:val="-3"/>
          <w:sz w:val="21"/>
        </w:rPr>
        <w:t xml:space="preserve">України </w:t>
      </w:r>
      <w:r>
        <w:rPr>
          <w:color w:val="231F20"/>
          <w:sz w:val="21"/>
        </w:rPr>
        <w:t>від 09.04.1999 р. №</w:t>
      </w:r>
      <w:r>
        <w:rPr>
          <w:color w:val="231F20"/>
          <w:spacing w:val="38"/>
          <w:sz w:val="21"/>
        </w:rPr>
        <w:t xml:space="preserve"> </w:t>
      </w:r>
      <w:r>
        <w:rPr>
          <w:color w:val="231F20"/>
          <w:spacing w:val="-3"/>
          <w:sz w:val="21"/>
        </w:rPr>
        <w:t>586-ХІV</w:t>
      </w:r>
    </w:p>
    <w:p w14:paraId="7D7CB1D8" w14:textId="77777777" w:rsidR="00DE575E" w:rsidRDefault="002E7560">
      <w:pPr>
        <w:pStyle w:val="BodyText"/>
        <w:spacing w:before="1"/>
        <w:ind w:left="1384"/>
      </w:pPr>
      <w:r>
        <w:rPr>
          <w:color w:val="231F20"/>
        </w:rPr>
        <w:t>«Про місцеві державні адміністрації»);</w:t>
      </w:r>
    </w:p>
    <w:p w14:paraId="33BFB63D" w14:textId="77777777" w:rsidR="00DE575E" w:rsidRDefault="002E7560">
      <w:pPr>
        <w:pStyle w:val="ListParagraph"/>
        <w:numPr>
          <w:ilvl w:val="1"/>
          <w:numId w:val="290"/>
        </w:numPr>
        <w:tabs>
          <w:tab w:val="left" w:pos="1385"/>
        </w:tabs>
        <w:spacing w:before="13" w:line="252" w:lineRule="auto"/>
        <w:ind w:right="124"/>
        <w:rPr>
          <w:sz w:val="21"/>
        </w:rPr>
      </w:pPr>
      <w:r>
        <w:rPr>
          <w:color w:val="231F20"/>
          <w:sz w:val="21"/>
        </w:rPr>
        <w:t>надзвичайні закони, що ухвалюються з окремих питань, передбачених    Конституцією    та     законами     Укра</w:t>
      </w:r>
      <w:r>
        <w:rPr>
          <w:color w:val="231F20"/>
          <w:sz w:val="21"/>
        </w:rPr>
        <w:t>їни    в надзвичайних</w:t>
      </w:r>
      <w:r>
        <w:rPr>
          <w:color w:val="231F20"/>
          <w:spacing w:val="8"/>
          <w:sz w:val="21"/>
        </w:rPr>
        <w:t xml:space="preserve"> </w:t>
      </w:r>
      <w:r>
        <w:rPr>
          <w:color w:val="231F20"/>
          <w:sz w:val="21"/>
        </w:rPr>
        <w:t>ситуаціях</w:t>
      </w:r>
      <w:r>
        <w:rPr>
          <w:color w:val="231F20"/>
          <w:position w:val="7"/>
          <w:sz w:val="12"/>
        </w:rPr>
        <w:t>1</w:t>
      </w:r>
      <w:r>
        <w:rPr>
          <w:color w:val="231F20"/>
          <w:sz w:val="21"/>
        </w:rPr>
        <w:t>.</w:t>
      </w:r>
    </w:p>
    <w:p w14:paraId="5CBF04EB" w14:textId="77777777" w:rsidR="00DE575E" w:rsidRDefault="002E7560">
      <w:pPr>
        <w:pStyle w:val="ListParagraph"/>
        <w:numPr>
          <w:ilvl w:val="0"/>
          <w:numId w:val="290"/>
        </w:numPr>
        <w:tabs>
          <w:tab w:val="left" w:pos="1101"/>
        </w:tabs>
        <w:spacing w:before="2" w:line="252" w:lineRule="auto"/>
        <w:ind w:right="127" w:firstLine="284"/>
        <w:jc w:val="both"/>
        <w:rPr>
          <w:sz w:val="21"/>
        </w:rPr>
      </w:pPr>
      <w:r>
        <w:rPr>
          <w:i/>
          <w:color w:val="231F20"/>
          <w:sz w:val="21"/>
        </w:rPr>
        <w:t xml:space="preserve">За спрямованістю норм адміністративного права </w:t>
      </w:r>
      <w:r>
        <w:rPr>
          <w:color w:val="231F20"/>
          <w:sz w:val="21"/>
        </w:rPr>
        <w:t>закони поділяються</w:t>
      </w:r>
      <w:r>
        <w:rPr>
          <w:color w:val="231F20"/>
          <w:spacing w:val="-8"/>
          <w:sz w:val="21"/>
        </w:rPr>
        <w:t xml:space="preserve"> </w:t>
      </w:r>
      <w:r>
        <w:rPr>
          <w:color w:val="231F20"/>
          <w:sz w:val="21"/>
        </w:rPr>
        <w:t>на:</w:t>
      </w:r>
      <w:r>
        <w:rPr>
          <w:color w:val="231F20"/>
          <w:spacing w:val="-8"/>
          <w:sz w:val="21"/>
        </w:rPr>
        <w:t xml:space="preserve"> </w:t>
      </w:r>
      <w:r>
        <w:rPr>
          <w:b/>
          <w:i/>
          <w:color w:val="231F20"/>
          <w:sz w:val="21"/>
        </w:rPr>
        <w:t>матеріальні</w:t>
      </w:r>
      <w:r>
        <w:rPr>
          <w:b/>
          <w:i/>
          <w:color w:val="231F20"/>
          <w:spacing w:val="-9"/>
          <w:sz w:val="21"/>
        </w:rPr>
        <w:t xml:space="preserve"> </w:t>
      </w:r>
      <w:r>
        <w:rPr>
          <w:color w:val="231F20"/>
          <w:sz w:val="21"/>
        </w:rPr>
        <w:t>(напр.,</w:t>
      </w:r>
      <w:r>
        <w:rPr>
          <w:color w:val="231F20"/>
          <w:spacing w:val="-8"/>
          <w:sz w:val="21"/>
        </w:rPr>
        <w:t xml:space="preserve"> </w:t>
      </w:r>
      <w:r>
        <w:rPr>
          <w:color w:val="231F20"/>
          <w:sz w:val="21"/>
        </w:rPr>
        <w:t>Закон</w:t>
      </w:r>
      <w:r>
        <w:rPr>
          <w:color w:val="231F20"/>
          <w:spacing w:val="-8"/>
          <w:sz w:val="21"/>
        </w:rPr>
        <w:t xml:space="preserve"> </w:t>
      </w:r>
      <w:r>
        <w:rPr>
          <w:color w:val="231F20"/>
          <w:spacing w:val="-3"/>
          <w:sz w:val="21"/>
        </w:rPr>
        <w:t>України</w:t>
      </w:r>
      <w:r>
        <w:rPr>
          <w:color w:val="231F20"/>
          <w:spacing w:val="-9"/>
          <w:sz w:val="21"/>
        </w:rPr>
        <w:t xml:space="preserve"> </w:t>
      </w:r>
      <w:r>
        <w:rPr>
          <w:color w:val="231F20"/>
          <w:sz w:val="21"/>
        </w:rPr>
        <w:t>від</w:t>
      </w:r>
      <w:r>
        <w:rPr>
          <w:color w:val="231F20"/>
          <w:spacing w:val="-8"/>
          <w:sz w:val="21"/>
        </w:rPr>
        <w:t xml:space="preserve"> </w:t>
      </w:r>
      <w:r>
        <w:rPr>
          <w:color w:val="231F20"/>
          <w:sz w:val="21"/>
        </w:rPr>
        <w:t>21.05.1997</w:t>
      </w:r>
      <w:r>
        <w:rPr>
          <w:color w:val="231F20"/>
          <w:spacing w:val="-7"/>
          <w:sz w:val="21"/>
        </w:rPr>
        <w:t xml:space="preserve"> </w:t>
      </w:r>
      <w:r>
        <w:rPr>
          <w:color w:val="231F20"/>
          <w:sz w:val="21"/>
        </w:rPr>
        <w:t>р.</w:t>
      </w:r>
    </w:p>
    <w:p w14:paraId="272CA582" w14:textId="77777777" w:rsidR="00DE575E" w:rsidRDefault="002E7560">
      <w:pPr>
        <w:pStyle w:val="BodyText"/>
        <w:spacing w:before="1"/>
        <w:ind w:left="533"/>
        <w:rPr>
          <w:b/>
          <w:i/>
        </w:rPr>
      </w:pPr>
      <w:r>
        <w:rPr>
          <w:color w:val="231F20"/>
        </w:rPr>
        <w:t xml:space="preserve">№ 280  «Про  місцеве  самоврядування  в  Україні»)  та </w:t>
      </w:r>
      <w:r>
        <w:rPr>
          <w:b/>
          <w:i/>
          <w:color w:val="231F20"/>
        </w:rPr>
        <w:t>процесуальні</w:t>
      </w:r>
    </w:p>
    <w:p w14:paraId="76D6228C" w14:textId="77777777" w:rsidR="00DE575E" w:rsidRDefault="002E7560">
      <w:pPr>
        <w:pStyle w:val="BodyText"/>
        <w:spacing w:before="12"/>
        <w:ind w:left="533"/>
      </w:pPr>
      <w:r>
        <w:rPr>
          <w:color w:val="231F20"/>
        </w:rPr>
        <w:t>(КАСУ).</w:t>
      </w:r>
    </w:p>
    <w:p w14:paraId="0FF84927" w14:textId="77777777" w:rsidR="00DE575E" w:rsidRDefault="002E7560">
      <w:pPr>
        <w:pStyle w:val="BodyText"/>
        <w:spacing w:before="13" w:line="252" w:lineRule="auto"/>
        <w:ind w:left="533" w:right="128" w:firstLine="283"/>
        <w:jc w:val="both"/>
      </w:pPr>
      <w:r>
        <w:rPr>
          <w:color w:val="231F20"/>
        </w:rPr>
        <w:t>При цьому особливістю нормативних правових актів у галузі адміністративного права є те, що в багатьох законах України поєд- нуються як матеріальні, так і процесуальні адміністративні правові норми (найбільш слушний приклад – КУпАП).</w:t>
      </w:r>
    </w:p>
    <w:p w14:paraId="431B0D0C" w14:textId="77777777" w:rsidR="00DE575E" w:rsidRDefault="00DE575E">
      <w:pPr>
        <w:pStyle w:val="BodyText"/>
        <w:spacing w:before="2"/>
        <w:rPr>
          <w:sz w:val="22"/>
        </w:rPr>
      </w:pPr>
    </w:p>
    <w:p w14:paraId="7FD061D1" w14:textId="77777777" w:rsidR="00DE575E" w:rsidRDefault="002E7560">
      <w:pPr>
        <w:pStyle w:val="Heading5"/>
        <w:numPr>
          <w:ilvl w:val="2"/>
          <w:numId w:val="292"/>
        </w:numPr>
        <w:tabs>
          <w:tab w:val="left" w:pos="1383"/>
        </w:tabs>
        <w:spacing w:line="252" w:lineRule="auto"/>
        <w:ind w:left="817" w:right="686" w:firstLine="0"/>
        <w:jc w:val="left"/>
      </w:pPr>
      <w:r>
        <w:rPr>
          <w:color w:val="231F20"/>
        </w:rPr>
        <w:t>Підзаконні</w:t>
      </w:r>
      <w:r>
        <w:rPr>
          <w:color w:val="231F20"/>
          <w:spacing w:val="-10"/>
        </w:rPr>
        <w:t xml:space="preserve"> </w:t>
      </w:r>
      <w:r>
        <w:rPr>
          <w:color w:val="231F20"/>
        </w:rPr>
        <w:t>нормативні</w:t>
      </w:r>
      <w:r>
        <w:rPr>
          <w:color w:val="231F20"/>
          <w:spacing w:val="-10"/>
        </w:rPr>
        <w:t xml:space="preserve"> </w:t>
      </w:r>
      <w:r>
        <w:rPr>
          <w:color w:val="231F20"/>
        </w:rPr>
        <w:t>акти</w:t>
      </w:r>
      <w:r>
        <w:rPr>
          <w:color w:val="231F20"/>
          <w:spacing w:val="-10"/>
        </w:rPr>
        <w:t xml:space="preserve"> </w:t>
      </w:r>
      <w:r>
        <w:rPr>
          <w:color w:val="231F20"/>
        </w:rPr>
        <w:t>(нормативні</w:t>
      </w:r>
      <w:r>
        <w:rPr>
          <w:color w:val="231F20"/>
          <w:spacing w:val="-10"/>
        </w:rPr>
        <w:t xml:space="preserve"> </w:t>
      </w:r>
      <w:r>
        <w:rPr>
          <w:color w:val="231F20"/>
        </w:rPr>
        <w:t>правові) як джерела адміністративного</w:t>
      </w:r>
      <w:r>
        <w:rPr>
          <w:color w:val="231F20"/>
          <w:spacing w:val="-3"/>
        </w:rPr>
        <w:t xml:space="preserve"> </w:t>
      </w:r>
      <w:r>
        <w:rPr>
          <w:color w:val="231F20"/>
        </w:rPr>
        <w:t>права</w:t>
      </w:r>
    </w:p>
    <w:p w14:paraId="784594AB" w14:textId="77777777" w:rsidR="00DE575E" w:rsidRDefault="00DE575E">
      <w:pPr>
        <w:pStyle w:val="BodyText"/>
        <w:spacing w:before="1"/>
        <w:rPr>
          <w:b/>
          <w:sz w:val="22"/>
        </w:rPr>
      </w:pPr>
    </w:p>
    <w:p w14:paraId="20656D2B" w14:textId="77777777" w:rsidR="00DE575E" w:rsidRDefault="002E7560">
      <w:pPr>
        <w:pStyle w:val="BodyText"/>
        <w:spacing w:line="252" w:lineRule="auto"/>
        <w:ind w:left="533" w:right="128" w:firstLine="283"/>
        <w:jc w:val="both"/>
      </w:pPr>
      <w:r>
        <w:rPr>
          <w:color w:val="231F20"/>
        </w:rPr>
        <w:t>Підзаконні</w:t>
      </w:r>
      <w:r>
        <w:rPr>
          <w:color w:val="231F20"/>
          <w:spacing w:val="-21"/>
        </w:rPr>
        <w:t xml:space="preserve"> </w:t>
      </w:r>
      <w:r>
        <w:rPr>
          <w:color w:val="231F20"/>
        </w:rPr>
        <w:t>нормативні</w:t>
      </w:r>
      <w:r>
        <w:rPr>
          <w:color w:val="231F20"/>
          <w:spacing w:val="-21"/>
        </w:rPr>
        <w:t xml:space="preserve"> </w:t>
      </w:r>
      <w:r>
        <w:rPr>
          <w:color w:val="231F20"/>
        </w:rPr>
        <w:t>правові</w:t>
      </w:r>
      <w:r>
        <w:rPr>
          <w:color w:val="231F20"/>
          <w:spacing w:val="-22"/>
        </w:rPr>
        <w:t xml:space="preserve"> </w:t>
      </w:r>
      <w:r>
        <w:rPr>
          <w:color w:val="231F20"/>
        </w:rPr>
        <w:t>акти</w:t>
      </w:r>
      <w:r>
        <w:rPr>
          <w:color w:val="231F20"/>
          <w:spacing w:val="-21"/>
        </w:rPr>
        <w:t xml:space="preserve"> </w:t>
      </w:r>
      <w:r>
        <w:rPr>
          <w:color w:val="231F20"/>
        </w:rPr>
        <w:t>видаються</w:t>
      </w:r>
      <w:r>
        <w:rPr>
          <w:color w:val="231F20"/>
          <w:spacing w:val="-21"/>
        </w:rPr>
        <w:t xml:space="preserve"> </w:t>
      </w:r>
      <w:r>
        <w:rPr>
          <w:color w:val="231F20"/>
        </w:rPr>
        <w:t>на</w:t>
      </w:r>
      <w:r>
        <w:rPr>
          <w:color w:val="231F20"/>
          <w:spacing w:val="-21"/>
        </w:rPr>
        <w:t xml:space="preserve"> </w:t>
      </w:r>
      <w:r>
        <w:rPr>
          <w:color w:val="231F20"/>
        </w:rPr>
        <w:t>підставі</w:t>
      </w:r>
      <w:r>
        <w:rPr>
          <w:color w:val="231F20"/>
          <w:spacing w:val="-21"/>
        </w:rPr>
        <w:t xml:space="preserve"> </w:t>
      </w:r>
      <w:r>
        <w:rPr>
          <w:color w:val="231F20"/>
          <w:spacing w:val="-3"/>
        </w:rPr>
        <w:t xml:space="preserve">закону, </w:t>
      </w:r>
      <w:r>
        <w:rPr>
          <w:color w:val="231F20"/>
        </w:rPr>
        <w:t>відповідно до закону і для його виконання. У теорії адміністратив- ного права існують два підходи до місця і ролі підзаконних нор</w:t>
      </w:r>
      <w:r>
        <w:rPr>
          <w:color w:val="231F20"/>
        </w:rPr>
        <w:t>ма- тивних правових актів у системі адміністративного</w:t>
      </w:r>
      <w:r>
        <w:rPr>
          <w:color w:val="231F20"/>
          <w:spacing w:val="-33"/>
        </w:rPr>
        <w:t xml:space="preserve"> </w:t>
      </w:r>
      <w:r>
        <w:rPr>
          <w:color w:val="231F20"/>
        </w:rPr>
        <w:t>законодавства.</w:t>
      </w:r>
    </w:p>
    <w:p w14:paraId="6E19C6A3" w14:textId="58296E80" w:rsidR="00DE575E" w:rsidRDefault="002E7560">
      <w:pPr>
        <w:pStyle w:val="BodyText"/>
        <w:spacing w:before="7"/>
        <w:rPr>
          <w:sz w:val="24"/>
        </w:rPr>
      </w:pPr>
      <w:r>
        <w:rPr>
          <w:noProof/>
        </w:rPr>
        <mc:AlternateContent>
          <mc:Choice Requires="wps">
            <w:drawing>
              <wp:anchor distT="0" distB="0" distL="0" distR="0" simplePos="0" relativeHeight="3328" behindDoc="0" locked="0" layoutInCell="1" allowOverlap="1" wp14:anchorId="51B4CEB3" wp14:editId="4E7ACD79">
                <wp:simplePos x="0" y="0"/>
                <wp:positionH relativeFrom="page">
                  <wp:posOffset>719455</wp:posOffset>
                </wp:positionH>
                <wp:positionV relativeFrom="paragraph">
                  <wp:posOffset>210820</wp:posOffset>
                </wp:positionV>
                <wp:extent cx="1080135" cy="0"/>
                <wp:effectExtent l="8255" t="7620" r="29210" b="30480"/>
                <wp:wrapTopAndBottom/>
                <wp:docPr id="1248"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567BD" id="Line_x0020_1247" o:spid="_x0000_s1026" style="position:absolute;z-index: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pt" to="141.7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" strokecolor="#231f20" strokeweight=".5pt">
                <w10:wrap type="topAndBottom" anchorx="page"/>
              </v:line>
            </w:pict>
          </mc:Fallback>
        </mc:AlternateContent>
      </w:r>
    </w:p>
    <w:p w14:paraId="6DE64802" w14:textId="77777777" w:rsidR="00DE575E" w:rsidRDefault="002E7560">
      <w:pPr>
        <w:spacing w:line="162" w:lineRule="exact"/>
        <w:ind w:left="533"/>
        <w:rPr>
          <w:sz w:val="16"/>
        </w:rPr>
      </w:pPr>
      <w:r>
        <w:rPr>
          <w:color w:val="231F20"/>
          <w:position w:val="5"/>
          <w:sz w:val="9"/>
        </w:rPr>
        <w:t xml:space="preserve">1 </w:t>
      </w:r>
      <w:r>
        <w:rPr>
          <w:color w:val="231F20"/>
          <w:sz w:val="16"/>
        </w:rPr>
        <w:t>Про правовий режим надзвичайного стану: Закон від 16.03.2000 р. № 1550-III.</w:t>
      </w:r>
    </w:p>
    <w:p w14:paraId="36656B0A" w14:textId="77777777" w:rsidR="00DE575E" w:rsidRDefault="00DE575E">
      <w:pPr>
        <w:pStyle w:val="BodyText"/>
        <w:spacing w:before="10"/>
        <w:rPr>
          <w:sz w:val="11"/>
        </w:rPr>
      </w:pPr>
    </w:p>
    <w:p w14:paraId="6BC83147" w14:textId="77777777" w:rsidR="00DE575E" w:rsidRDefault="002E7560">
      <w:pPr>
        <w:spacing w:before="92"/>
        <w:ind w:left="533"/>
        <w:rPr>
          <w:rFonts w:ascii="Times New Roman"/>
          <w:sz w:val="20"/>
        </w:rPr>
      </w:pPr>
      <w:r>
        <w:rPr>
          <w:rFonts w:ascii="Times New Roman"/>
          <w:color w:val="231F20"/>
          <w:sz w:val="20"/>
        </w:rPr>
        <w:t>64</w:t>
      </w:r>
    </w:p>
    <w:p w14:paraId="7A17580A" w14:textId="77777777" w:rsidR="00DE575E" w:rsidRDefault="00DE575E">
      <w:pPr>
        <w:rPr>
          <w:rFonts w:ascii="Times New Roman"/>
          <w:sz w:val="20"/>
        </w:rPr>
        <w:sectPr w:rsidR="00DE575E">
          <w:pgSz w:w="8510" w:h="12760"/>
          <w:pgMar w:top="660" w:right="720" w:bottom="280" w:left="600" w:header="720" w:footer="720" w:gutter="0"/>
          <w:cols w:space="720"/>
        </w:sectPr>
      </w:pPr>
    </w:p>
    <w:p w14:paraId="6C998386" w14:textId="77777777" w:rsidR="00DE575E" w:rsidRDefault="002E7560">
      <w:pPr>
        <w:spacing w:before="72" w:line="249" w:lineRule="auto"/>
        <w:ind w:left="3181" w:firstLine="290"/>
        <w:rPr>
          <w:rFonts w:ascii="AdonisC" w:hAnsi="AdonisC"/>
          <w:i/>
          <w:sz w:val="18"/>
        </w:rPr>
      </w:pPr>
      <w:r>
        <w:rPr>
          <w:rFonts w:ascii="AdonisC" w:hAnsi="AdonisC"/>
          <w:i/>
          <w:color w:val="231F20"/>
          <w:sz w:val="18"/>
        </w:rPr>
        <w:lastRenderedPageBreak/>
        <w:t>Глава І. Загальне адміністративне право Розділ 3. Джерела адміністративного права</w:t>
      </w:r>
    </w:p>
    <w:p w14:paraId="58578A50" w14:textId="231B80A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06A8292" wp14:editId="315BA025">
                <wp:extent cx="4140200" cy="6350"/>
                <wp:effectExtent l="0" t="0" r="12700" b="6350"/>
                <wp:docPr id="1246"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47" name="Line 124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D61BB9" id="Group_x0020_124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HZ0I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EIdnQgAIAAJwFAAAO&#10;AAAAAAAAAAAAAAAAACwCAABkcnMvZTJvRG9jLnhtbFBLAQItABQABgAIAAAAIQBMp7CQ2QAAAAMB&#10;AAAPAAAAAAAAAAAAAAAAANgEAABkcnMvZG93bnJldi54bWxQSwUGAAAAAAQABADzAAAA3gUAAAAA&#10;">
                <v:line id="Line_x0020_124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EB0sUAAADdAAAADwAAAGRycy9kb3ducmV2LnhtbERP22rCQBB9L/gPywh9KXVTlVaiq5RC&#10;ofTBS9IPGLNjEtydjdnVpH69KxT6NodzncWqt0ZcqPW1YwUvowQEceF0zaWCn/zzeQbCB2SNxjEp&#10;+CUPq+XgYYGpdh3v6JKFUsQQ9ikqqEJoUil9UZFFP3INceQOrrUYImxLqVvsYrg1cpwkr9JizbGh&#10;woY+KiqO2dkqyE9PwWw336bLN/uJ3J/Wk+t5rdTjsH+fgwjUh3/xn/tLx/nj6Rvcv4kn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MEB0sUAAADdAAAADwAAAAAAAAAA&#10;AAAAAAChAgAAZHJzL2Rvd25yZXYueG1sUEsFBgAAAAAEAAQA+QAAAJMDAAAAAA==&#10;" strokecolor="#231f20" strokeweight=".5pt"/>
                <w10:anchorlock/>
              </v:group>
            </w:pict>
          </mc:Fallback>
        </mc:AlternateContent>
      </w:r>
    </w:p>
    <w:p w14:paraId="316208CA" w14:textId="77777777" w:rsidR="00DE575E" w:rsidRDefault="00DE575E">
      <w:pPr>
        <w:pStyle w:val="BodyText"/>
        <w:spacing w:before="7"/>
        <w:rPr>
          <w:rFonts w:ascii="AdonisC"/>
          <w:i/>
          <w:sz w:val="19"/>
        </w:rPr>
      </w:pPr>
    </w:p>
    <w:p w14:paraId="18F7EC2D" w14:textId="77777777" w:rsidR="00DE575E" w:rsidRDefault="002E7560">
      <w:pPr>
        <w:pStyle w:val="BodyText"/>
        <w:spacing w:before="1" w:line="252" w:lineRule="auto"/>
        <w:ind w:left="250" w:right="411" w:firstLine="283"/>
        <w:jc w:val="both"/>
      </w:pPr>
      <w:r>
        <w:rPr>
          <w:i/>
          <w:color w:val="231F20"/>
        </w:rPr>
        <w:t xml:space="preserve">За </w:t>
      </w:r>
      <w:r>
        <w:rPr>
          <w:i/>
          <w:color w:val="231F20"/>
          <w:spacing w:val="-3"/>
        </w:rPr>
        <w:t>першим підходом</w:t>
      </w:r>
      <w:r>
        <w:rPr>
          <w:color w:val="231F20"/>
          <w:spacing w:val="-3"/>
        </w:rPr>
        <w:t xml:space="preserve">, учені вважають, </w:t>
      </w:r>
      <w:r>
        <w:rPr>
          <w:color w:val="231F20"/>
        </w:rPr>
        <w:t xml:space="preserve">що </w:t>
      </w:r>
      <w:r>
        <w:rPr>
          <w:color w:val="231F20"/>
          <w:spacing w:val="-3"/>
        </w:rPr>
        <w:t xml:space="preserve">публічна адміністрація не </w:t>
      </w:r>
      <w:r>
        <w:rPr>
          <w:color w:val="231F20"/>
        </w:rPr>
        <w:t>має</w:t>
      </w:r>
      <w:r>
        <w:rPr>
          <w:color w:val="231F20"/>
          <w:spacing w:val="-16"/>
        </w:rPr>
        <w:t xml:space="preserve"> </w:t>
      </w:r>
      <w:r>
        <w:rPr>
          <w:color w:val="231F20"/>
          <w:spacing w:val="-3"/>
        </w:rPr>
        <w:t>ухвалювати</w:t>
      </w:r>
      <w:r>
        <w:rPr>
          <w:color w:val="231F20"/>
          <w:spacing w:val="-16"/>
        </w:rPr>
        <w:t xml:space="preserve"> </w:t>
      </w:r>
      <w:r>
        <w:rPr>
          <w:color w:val="231F20"/>
          <w:spacing w:val="-3"/>
        </w:rPr>
        <w:t>підзаконні</w:t>
      </w:r>
      <w:r>
        <w:rPr>
          <w:color w:val="231F20"/>
          <w:spacing w:val="-16"/>
        </w:rPr>
        <w:t xml:space="preserve"> </w:t>
      </w:r>
      <w:r>
        <w:rPr>
          <w:color w:val="231F20"/>
          <w:spacing w:val="-3"/>
        </w:rPr>
        <w:t>нормативні</w:t>
      </w:r>
      <w:r>
        <w:rPr>
          <w:color w:val="231F20"/>
          <w:spacing w:val="-16"/>
        </w:rPr>
        <w:t xml:space="preserve"> </w:t>
      </w:r>
      <w:r>
        <w:rPr>
          <w:color w:val="231F20"/>
          <w:spacing w:val="-3"/>
        </w:rPr>
        <w:t>правові</w:t>
      </w:r>
      <w:r>
        <w:rPr>
          <w:color w:val="231F20"/>
          <w:spacing w:val="-17"/>
        </w:rPr>
        <w:t xml:space="preserve"> </w:t>
      </w:r>
      <w:r>
        <w:rPr>
          <w:color w:val="231F20"/>
          <w:spacing w:val="-3"/>
        </w:rPr>
        <w:t>акти,</w:t>
      </w:r>
      <w:r>
        <w:rPr>
          <w:color w:val="231F20"/>
          <w:spacing w:val="-17"/>
        </w:rPr>
        <w:t xml:space="preserve"> </w:t>
      </w:r>
      <w:r>
        <w:rPr>
          <w:color w:val="231F20"/>
        </w:rPr>
        <w:t>а</w:t>
      </w:r>
      <w:r>
        <w:rPr>
          <w:color w:val="231F20"/>
          <w:spacing w:val="-17"/>
        </w:rPr>
        <w:t xml:space="preserve"> </w:t>
      </w:r>
      <w:r>
        <w:rPr>
          <w:color w:val="231F20"/>
        </w:rPr>
        <w:t>має</w:t>
      </w:r>
      <w:r>
        <w:rPr>
          <w:color w:val="231F20"/>
          <w:spacing w:val="-16"/>
        </w:rPr>
        <w:t xml:space="preserve"> </w:t>
      </w:r>
      <w:r>
        <w:rPr>
          <w:color w:val="231F20"/>
          <w:spacing w:val="-3"/>
        </w:rPr>
        <w:t xml:space="preserve">зосередити свої </w:t>
      </w:r>
      <w:r>
        <w:rPr>
          <w:color w:val="231F20"/>
          <w:spacing w:val="-4"/>
        </w:rPr>
        <w:t xml:space="preserve">зусилля </w:t>
      </w:r>
      <w:r>
        <w:rPr>
          <w:color w:val="231F20"/>
          <w:spacing w:val="-3"/>
        </w:rPr>
        <w:t xml:space="preserve">виключно </w:t>
      </w:r>
      <w:r>
        <w:rPr>
          <w:color w:val="231F20"/>
        </w:rPr>
        <w:t xml:space="preserve">на </w:t>
      </w:r>
      <w:r>
        <w:rPr>
          <w:color w:val="231F20"/>
          <w:spacing w:val="-3"/>
        </w:rPr>
        <w:t xml:space="preserve">виконавчій діяльності </w:t>
      </w:r>
      <w:r>
        <w:rPr>
          <w:color w:val="231F20"/>
          <w:spacing w:val="-4"/>
        </w:rPr>
        <w:t>щодо викона</w:t>
      </w:r>
      <w:r>
        <w:rPr>
          <w:color w:val="231F20"/>
          <w:spacing w:val="-4"/>
        </w:rPr>
        <w:t xml:space="preserve">ння </w:t>
      </w:r>
      <w:r>
        <w:rPr>
          <w:color w:val="231F20"/>
          <w:spacing w:val="-3"/>
        </w:rPr>
        <w:t xml:space="preserve">законів </w:t>
      </w:r>
      <w:r>
        <w:rPr>
          <w:color w:val="231F20"/>
        </w:rPr>
        <w:t xml:space="preserve">і </w:t>
      </w:r>
      <w:r>
        <w:rPr>
          <w:color w:val="231F20"/>
          <w:spacing w:val="-3"/>
        </w:rPr>
        <w:t xml:space="preserve">видання </w:t>
      </w:r>
      <w:r>
        <w:rPr>
          <w:color w:val="231F20"/>
          <w:spacing w:val="-4"/>
        </w:rPr>
        <w:t xml:space="preserve">індивідуальних </w:t>
      </w:r>
      <w:r>
        <w:rPr>
          <w:color w:val="231F20"/>
          <w:spacing w:val="-3"/>
        </w:rPr>
        <w:t xml:space="preserve">адміністративних актів персо- ніфікованого </w:t>
      </w:r>
      <w:r>
        <w:rPr>
          <w:color w:val="231F20"/>
          <w:spacing w:val="-5"/>
        </w:rPr>
        <w:t xml:space="preserve">характеру. </w:t>
      </w:r>
      <w:r>
        <w:rPr>
          <w:color w:val="231F20"/>
          <w:spacing w:val="-3"/>
        </w:rPr>
        <w:t xml:space="preserve">Незважаючи </w:t>
      </w:r>
      <w:r>
        <w:rPr>
          <w:color w:val="231F20"/>
        </w:rPr>
        <w:t xml:space="preserve">на </w:t>
      </w:r>
      <w:r>
        <w:rPr>
          <w:color w:val="231F20"/>
          <w:spacing w:val="-3"/>
        </w:rPr>
        <w:t xml:space="preserve">теоретичну правильність зазначеного, </w:t>
      </w:r>
      <w:r>
        <w:rPr>
          <w:color w:val="231F20"/>
        </w:rPr>
        <w:t xml:space="preserve">досягти </w:t>
      </w:r>
      <w:r>
        <w:rPr>
          <w:color w:val="231F20"/>
          <w:spacing w:val="-3"/>
        </w:rPr>
        <w:t xml:space="preserve">такого ідеального стану речей </w:t>
      </w:r>
      <w:r>
        <w:rPr>
          <w:color w:val="231F20"/>
        </w:rPr>
        <w:t xml:space="preserve">ще не </w:t>
      </w:r>
      <w:r>
        <w:rPr>
          <w:color w:val="231F20"/>
          <w:spacing w:val="-3"/>
        </w:rPr>
        <w:t xml:space="preserve">вдавалось </w:t>
      </w:r>
      <w:r>
        <w:rPr>
          <w:color w:val="231F20"/>
        </w:rPr>
        <w:t xml:space="preserve">у </w:t>
      </w:r>
      <w:r>
        <w:rPr>
          <w:color w:val="231F20"/>
          <w:spacing w:val="-4"/>
        </w:rPr>
        <w:t xml:space="preserve">жодній </w:t>
      </w:r>
      <w:r>
        <w:rPr>
          <w:color w:val="231F20"/>
          <w:spacing w:val="-3"/>
        </w:rPr>
        <w:t xml:space="preserve">країні </w:t>
      </w:r>
      <w:r>
        <w:rPr>
          <w:color w:val="231F20"/>
          <w:spacing w:val="-5"/>
        </w:rPr>
        <w:t xml:space="preserve">світу. </w:t>
      </w:r>
      <w:r>
        <w:rPr>
          <w:color w:val="231F20"/>
          <w:spacing w:val="-3"/>
        </w:rPr>
        <w:t xml:space="preserve">Потреба забезпечення ефективного </w:t>
      </w:r>
      <w:r>
        <w:rPr>
          <w:color w:val="231F20"/>
        </w:rPr>
        <w:t xml:space="preserve">і </w:t>
      </w:r>
      <w:r>
        <w:rPr>
          <w:color w:val="231F20"/>
          <w:spacing w:val="-3"/>
        </w:rPr>
        <w:t xml:space="preserve">своєчас- </w:t>
      </w:r>
      <w:r>
        <w:rPr>
          <w:color w:val="231F20"/>
        </w:rPr>
        <w:t xml:space="preserve">ного </w:t>
      </w:r>
      <w:r>
        <w:rPr>
          <w:color w:val="231F20"/>
          <w:spacing w:val="-3"/>
        </w:rPr>
        <w:t xml:space="preserve">виконання виконавчих функцій, </w:t>
      </w:r>
      <w:r>
        <w:rPr>
          <w:color w:val="231F20"/>
          <w:spacing w:val="-4"/>
        </w:rPr>
        <w:t xml:space="preserve">усунення </w:t>
      </w:r>
      <w:r>
        <w:rPr>
          <w:color w:val="231F20"/>
          <w:spacing w:val="-3"/>
        </w:rPr>
        <w:t xml:space="preserve">прогалин </w:t>
      </w:r>
      <w:r>
        <w:rPr>
          <w:color w:val="231F20"/>
        </w:rPr>
        <w:t xml:space="preserve">у </w:t>
      </w:r>
      <w:r>
        <w:rPr>
          <w:color w:val="231F20"/>
          <w:spacing w:val="-4"/>
        </w:rPr>
        <w:t xml:space="preserve">законах </w:t>
      </w:r>
      <w:r>
        <w:rPr>
          <w:color w:val="231F20"/>
          <w:spacing w:val="-5"/>
        </w:rPr>
        <w:t xml:space="preserve">об’єктивно </w:t>
      </w:r>
      <w:r>
        <w:rPr>
          <w:color w:val="231F20"/>
          <w:spacing w:val="-3"/>
        </w:rPr>
        <w:t xml:space="preserve">спонукає публічну владу </w:t>
      </w:r>
      <w:r>
        <w:rPr>
          <w:color w:val="231F20"/>
        </w:rPr>
        <w:t xml:space="preserve">до </w:t>
      </w:r>
      <w:r>
        <w:rPr>
          <w:color w:val="231F20"/>
          <w:spacing w:val="-3"/>
        </w:rPr>
        <w:t>розпорядчої</w:t>
      </w:r>
      <w:r>
        <w:rPr>
          <w:color w:val="231F20"/>
          <w:spacing w:val="-12"/>
        </w:rPr>
        <w:t xml:space="preserve"> </w:t>
      </w:r>
      <w:r>
        <w:rPr>
          <w:color w:val="231F20"/>
          <w:spacing w:val="-3"/>
        </w:rPr>
        <w:t>діяльності.</w:t>
      </w:r>
    </w:p>
    <w:p w14:paraId="7A2C3610" w14:textId="77777777" w:rsidR="00DE575E" w:rsidRDefault="002E7560">
      <w:pPr>
        <w:pStyle w:val="BodyText"/>
        <w:spacing w:before="4" w:line="252" w:lineRule="auto"/>
        <w:ind w:left="250" w:right="411" w:firstLine="283"/>
        <w:jc w:val="both"/>
      </w:pPr>
      <w:r>
        <w:rPr>
          <w:color w:val="231F20"/>
        </w:rPr>
        <w:t>Тим самим, відповідно до другого підходу вчені вважають, що публічна адміністрація може ухвалювати підзаконні нормативні правові акти. Але й вони погоджуються з тим, що обсяг такого регу- лювання</w:t>
      </w:r>
      <w:r>
        <w:rPr>
          <w:color w:val="231F20"/>
          <w:spacing w:val="-7"/>
        </w:rPr>
        <w:t xml:space="preserve"> </w:t>
      </w:r>
      <w:r>
        <w:rPr>
          <w:color w:val="231F20"/>
        </w:rPr>
        <w:t>в</w:t>
      </w:r>
      <w:r>
        <w:rPr>
          <w:color w:val="231F20"/>
          <w:spacing w:val="-7"/>
        </w:rPr>
        <w:t xml:space="preserve"> </w:t>
      </w:r>
      <w:r>
        <w:rPr>
          <w:color w:val="231F20"/>
        </w:rPr>
        <w:t>стабільній</w:t>
      </w:r>
      <w:r>
        <w:rPr>
          <w:color w:val="231F20"/>
          <w:spacing w:val="-7"/>
        </w:rPr>
        <w:t xml:space="preserve"> </w:t>
      </w:r>
      <w:r>
        <w:rPr>
          <w:color w:val="231F20"/>
        </w:rPr>
        <w:t>демократичній</w:t>
      </w:r>
      <w:r>
        <w:rPr>
          <w:color w:val="231F20"/>
          <w:spacing w:val="-8"/>
        </w:rPr>
        <w:t xml:space="preserve"> </w:t>
      </w:r>
      <w:r>
        <w:rPr>
          <w:color w:val="231F20"/>
        </w:rPr>
        <w:t>правовій</w:t>
      </w:r>
      <w:r>
        <w:rPr>
          <w:color w:val="231F20"/>
          <w:spacing w:val="-8"/>
        </w:rPr>
        <w:t xml:space="preserve"> </w:t>
      </w:r>
      <w:r>
        <w:rPr>
          <w:color w:val="231F20"/>
        </w:rPr>
        <w:t>державі</w:t>
      </w:r>
      <w:r>
        <w:rPr>
          <w:color w:val="231F20"/>
          <w:spacing w:val="-7"/>
        </w:rPr>
        <w:t xml:space="preserve"> </w:t>
      </w:r>
      <w:r>
        <w:rPr>
          <w:color w:val="231F20"/>
        </w:rPr>
        <w:t>має</w:t>
      </w:r>
      <w:r>
        <w:rPr>
          <w:color w:val="231F20"/>
          <w:spacing w:val="-7"/>
        </w:rPr>
        <w:t xml:space="preserve"> </w:t>
      </w:r>
      <w:r>
        <w:rPr>
          <w:color w:val="231F20"/>
        </w:rPr>
        <w:t>постійно зме</w:t>
      </w:r>
      <w:r>
        <w:rPr>
          <w:color w:val="231F20"/>
        </w:rPr>
        <w:t xml:space="preserve">ншуватись. А поки вітчизняне суспільство не </w:t>
      </w:r>
      <w:r>
        <w:rPr>
          <w:color w:val="231F20"/>
          <w:spacing w:val="-3"/>
        </w:rPr>
        <w:t xml:space="preserve">досягло </w:t>
      </w:r>
      <w:r>
        <w:rPr>
          <w:color w:val="231F20"/>
        </w:rPr>
        <w:t xml:space="preserve">такого </w:t>
      </w:r>
      <w:r>
        <w:rPr>
          <w:color w:val="231F20"/>
          <w:spacing w:val="-3"/>
        </w:rPr>
        <w:t xml:space="preserve">стану, </w:t>
      </w:r>
      <w:r>
        <w:rPr>
          <w:color w:val="231F20"/>
        </w:rPr>
        <w:t xml:space="preserve">адміністративне правове регулювання в </w:t>
      </w:r>
      <w:r>
        <w:rPr>
          <w:color w:val="231F20"/>
          <w:spacing w:val="-3"/>
        </w:rPr>
        <w:t xml:space="preserve">Україні </w:t>
      </w:r>
      <w:r>
        <w:rPr>
          <w:color w:val="231F20"/>
        </w:rPr>
        <w:t>здійсню- ється на основі як законів, так і численних підзаконних норматив- них правових</w:t>
      </w:r>
      <w:r>
        <w:rPr>
          <w:color w:val="231F20"/>
          <w:spacing w:val="-2"/>
        </w:rPr>
        <w:t xml:space="preserve"> </w:t>
      </w:r>
      <w:r>
        <w:rPr>
          <w:color w:val="231F20"/>
        </w:rPr>
        <w:t>актів.</w:t>
      </w:r>
    </w:p>
    <w:p w14:paraId="0D22FB1A" w14:textId="77777777" w:rsidR="00DE575E" w:rsidRDefault="002E7560">
      <w:pPr>
        <w:pStyle w:val="BodyText"/>
        <w:spacing w:before="4" w:line="252" w:lineRule="auto"/>
        <w:ind w:left="250" w:right="411" w:firstLine="283"/>
        <w:jc w:val="both"/>
      </w:pPr>
      <w:r>
        <w:rPr>
          <w:color w:val="231F20"/>
        </w:rPr>
        <w:t>Поділ</w:t>
      </w:r>
      <w:r>
        <w:rPr>
          <w:color w:val="231F20"/>
          <w:spacing w:val="-8"/>
        </w:rPr>
        <w:t xml:space="preserve"> </w:t>
      </w:r>
      <w:r>
        <w:rPr>
          <w:color w:val="231F20"/>
        </w:rPr>
        <w:t>підзаконних</w:t>
      </w:r>
      <w:r>
        <w:rPr>
          <w:color w:val="231F20"/>
          <w:spacing w:val="-8"/>
        </w:rPr>
        <w:t xml:space="preserve"> </w:t>
      </w:r>
      <w:r>
        <w:rPr>
          <w:color w:val="231F20"/>
        </w:rPr>
        <w:t>нормативних</w:t>
      </w:r>
      <w:r>
        <w:rPr>
          <w:color w:val="231F20"/>
          <w:spacing w:val="-8"/>
        </w:rPr>
        <w:t xml:space="preserve"> </w:t>
      </w:r>
      <w:r>
        <w:rPr>
          <w:color w:val="231F20"/>
        </w:rPr>
        <w:t>правових</w:t>
      </w:r>
      <w:r>
        <w:rPr>
          <w:color w:val="231F20"/>
          <w:spacing w:val="-8"/>
        </w:rPr>
        <w:t xml:space="preserve"> </w:t>
      </w:r>
      <w:r>
        <w:rPr>
          <w:color w:val="231F20"/>
        </w:rPr>
        <w:t>актів</w:t>
      </w:r>
      <w:r>
        <w:rPr>
          <w:color w:val="231F20"/>
          <w:spacing w:val="-8"/>
        </w:rPr>
        <w:t xml:space="preserve"> </w:t>
      </w:r>
      <w:r>
        <w:rPr>
          <w:color w:val="231F20"/>
        </w:rPr>
        <w:t>на</w:t>
      </w:r>
      <w:r>
        <w:rPr>
          <w:color w:val="231F20"/>
          <w:spacing w:val="-8"/>
        </w:rPr>
        <w:t xml:space="preserve"> </w:t>
      </w:r>
      <w:r>
        <w:rPr>
          <w:color w:val="231F20"/>
        </w:rPr>
        <w:t>в</w:t>
      </w:r>
      <w:r>
        <w:rPr>
          <w:color w:val="231F20"/>
        </w:rPr>
        <w:t>иди</w:t>
      </w:r>
      <w:r>
        <w:rPr>
          <w:color w:val="231F20"/>
          <w:spacing w:val="-8"/>
        </w:rPr>
        <w:t xml:space="preserve"> </w:t>
      </w:r>
      <w:r>
        <w:rPr>
          <w:color w:val="231F20"/>
        </w:rPr>
        <w:t>здійсню- ється за відповідними</w:t>
      </w:r>
      <w:r>
        <w:rPr>
          <w:color w:val="231F20"/>
          <w:spacing w:val="-4"/>
        </w:rPr>
        <w:t xml:space="preserve"> </w:t>
      </w:r>
      <w:r>
        <w:rPr>
          <w:color w:val="231F20"/>
        </w:rPr>
        <w:t>критеріями.</w:t>
      </w:r>
    </w:p>
    <w:p w14:paraId="1207CE85" w14:textId="77777777" w:rsidR="00DE575E" w:rsidRDefault="002E7560">
      <w:pPr>
        <w:spacing w:before="1"/>
        <w:ind w:left="533"/>
        <w:rPr>
          <w:sz w:val="21"/>
        </w:rPr>
      </w:pPr>
      <w:r>
        <w:rPr>
          <w:i/>
          <w:color w:val="231F20"/>
          <w:sz w:val="21"/>
        </w:rPr>
        <w:t>За суб’єктами видання</w:t>
      </w:r>
      <w:r>
        <w:rPr>
          <w:color w:val="231F20"/>
          <w:sz w:val="21"/>
        </w:rPr>
        <w:t>:</w:t>
      </w:r>
    </w:p>
    <w:p w14:paraId="508A6F06" w14:textId="77777777" w:rsidR="00DE575E" w:rsidRDefault="002E7560">
      <w:pPr>
        <w:pStyle w:val="ListParagraph"/>
        <w:numPr>
          <w:ilvl w:val="0"/>
          <w:numId w:val="299"/>
        </w:numPr>
        <w:tabs>
          <w:tab w:val="left" w:pos="818"/>
        </w:tabs>
        <w:spacing w:before="13"/>
        <w:ind w:firstLine="283"/>
        <w:jc w:val="left"/>
        <w:rPr>
          <w:sz w:val="21"/>
        </w:rPr>
      </w:pPr>
      <w:r>
        <w:rPr>
          <w:color w:val="231F20"/>
          <w:sz w:val="21"/>
        </w:rPr>
        <w:t>постанови Кабінету Міністрів</w:t>
      </w:r>
      <w:r>
        <w:rPr>
          <w:color w:val="231F20"/>
          <w:spacing w:val="-3"/>
          <w:sz w:val="21"/>
        </w:rPr>
        <w:t xml:space="preserve"> України;</w:t>
      </w:r>
    </w:p>
    <w:p w14:paraId="69D2278C" w14:textId="77777777" w:rsidR="00DE575E" w:rsidRDefault="002E7560">
      <w:pPr>
        <w:pStyle w:val="ListParagraph"/>
        <w:numPr>
          <w:ilvl w:val="0"/>
          <w:numId w:val="299"/>
        </w:numPr>
        <w:tabs>
          <w:tab w:val="left" w:pos="818"/>
        </w:tabs>
        <w:spacing w:before="13"/>
        <w:ind w:firstLine="283"/>
        <w:jc w:val="left"/>
        <w:rPr>
          <w:sz w:val="21"/>
        </w:rPr>
      </w:pPr>
      <w:r>
        <w:rPr>
          <w:color w:val="231F20"/>
          <w:sz w:val="21"/>
        </w:rPr>
        <w:t>укази Президента</w:t>
      </w:r>
      <w:r>
        <w:rPr>
          <w:color w:val="231F20"/>
          <w:spacing w:val="-1"/>
          <w:sz w:val="21"/>
        </w:rPr>
        <w:t xml:space="preserve"> </w:t>
      </w:r>
      <w:r>
        <w:rPr>
          <w:color w:val="231F20"/>
          <w:spacing w:val="-3"/>
          <w:sz w:val="21"/>
        </w:rPr>
        <w:t>України;</w:t>
      </w:r>
    </w:p>
    <w:p w14:paraId="3E44150E" w14:textId="77777777" w:rsidR="00DE575E" w:rsidRDefault="002E7560">
      <w:pPr>
        <w:pStyle w:val="ListParagraph"/>
        <w:numPr>
          <w:ilvl w:val="0"/>
          <w:numId w:val="299"/>
        </w:numPr>
        <w:tabs>
          <w:tab w:val="left" w:pos="818"/>
        </w:tabs>
        <w:spacing w:before="12" w:line="252" w:lineRule="auto"/>
        <w:ind w:right="411" w:firstLine="283"/>
        <w:rPr>
          <w:sz w:val="21"/>
        </w:rPr>
      </w:pPr>
      <w:r>
        <w:rPr>
          <w:color w:val="231F20"/>
          <w:sz w:val="21"/>
        </w:rPr>
        <w:t>розпорядження голів обласних, районних державних адміні- страцій нормативного</w:t>
      </w:r>
      <w:r>
        <w:rPr>
          <w:color w:val="231F20"/>
          <w:spacing w:val="-2"/>
          <w:sz w:val="21"/>
        </w:rPr>
        <w:t xml:space="preserve"> </w:t>
      </w:r>
      <w:r>
        <w:rPr>
          <w:color w:val="231F20"/>
          <w:sz w:val="21"/>
        </w:rPr>
        <w:t>характеру;</w:t>
      </w:r>
    </w:p>
    <w:p w14:paraId="54E882D7" w14:textId="77777777" w:rsidR="00DE575E" w:rsidRDefault="002E7560">
      <w:pPr>
        <w:pStyle w:val="ListParagraph"/>
        <w:numPr>
          <w:ilvl w:val="0"/>
          <w:numId w:val="299"/>
        </w:numPr>
        <w:tabs>
          <w:tab w:val="left" w:pos="818"/>
        </w:tabs>
        <w:spacing w:line="252" w:lineRule="auto"/>
        <w:ind w:right="412" w:firstLine="283"/>
        <w:rPr>
          <w:sz w:val="21"/>
        </w:rPr>
      </w:pPr>
      <w:r>
        <w:rPr>
          <w:color w:val="231F20"/>
          <w:sz w:val="21"/>
        </w:rPr>
        <w:t>рішення, нормативні ухвали, звернення органів місцевого самоврядування;</w:t>
      </w:r>
    </w:p>
    <w:p w14:paraId="76F05A41" w14:textId="77777777" w:rsidR="00DE575E" w:rsidRDefault="002E7560">
      <w:pPr>
        <w:pStyle w:val="ListParagraph"/>
        <w:numPr>
          <w:ilvl w:val="0"/>
          <w:numId w:val="299"/>
        </w:numPr>
        <w:tabs>
          <w:tab w:val="left" w:pos="818"/>
        </w:tabs>
        <w:ind w:firstLine="283"/>
        <w:jc w:val="left"/>
        <w:rPr>
          <w:sz w:val="21"/>
        </w:rPr>
      </w:pPr>
      <w:r>
        <w:rPr>
          <w:color w:val="231F20"/>
          <w:spacing w:val="-5"/>
          <w:sz w:val="21"/>
        </w:rPr>
        <w:t xml:space="preserve">рішення виконавчих комітетів місцевих </w:t>
      </w:r>
      <w:r>
        <w:rPr>
          <w:color w:val="231F20"/>
          <w:spacing w:val="-3"/>
          <w:sz w:val="21"/>
        </w:rPr>
        <w:t xml:space="preserve">рад </w:t>
      </w:r>
      <w:r>
        <w:rPr>
          <w:color w:val="231F20"/>
          <w:spacing w:val="-5"/>
          <w:sz w:val="21"/>
        </w:rPr>
        <w:t>народних</w:t>
      </w:r>
      <w:r>
        <w:rPr>
          <w:color w:val="231F20"/>
          <w:spacing w:val="-28"/>
          <w:sz w:val="21"/>
        </w:rPr>
        <w:t xml:space="preserve"> </w:t>
      </w:r>
      <w:r>
        <w:rPr>
          <w:color w:val="231F20"/>
          <w:spacing w:val="-5"/>
          <w:sz w:val="21"/>
        </w:rPr>
        <w:t>депутатів;</w:t>
      </w:r>
    </w:p>
    <w:p w14:paraId="7DC35BE2" w14:textId="77777777" w:rsidR="00DE575E" w:rsidRDefault="002E7560">
      <w:pPr>
        <w:pStyle w:val="ListParagraph"/>
        <w:numPr>
          <w:ilvl w:val="0"/>
          <w:numId w:val="299"/>
        </w:numPr>
        <w:tabs>
          <w:tab w:val="left" w:pos="818"/>
        </w:tabs>
        <w:spacing w:before="13" w:line="252" w:lineRule="auto"/>
        <w:ind w:right="411" w:firstLine="283"/>
        <w:rPr>
          <w:sz w:val="21"/>
        </w:rPr>
      </w:pPr>
      <w:r>
        <w:rPr>
          <w:color w:val="231F20"/>
          <w:sz w:val="21"/>
        </w:rPr>
        <w:t>інструкції, накази (нормативні правові) керівників мініс- терств та інших центральних органів виконавчої</w:t>
      </w:r>
      <w:r>
        <w:rPr>
          <w:color w:val="231F20"/>
          <w:spacing w:val="-6"/>
          <w:sz w:val="21"/>
        </w:rPr>
        <w:t xml:space="preserve"> </w:t>
      </w:r>
      <w:r>
        <w:rPr>
          <w:color w:val="231F20"/>
          <w:sz w:val="21"/>
        </w:rPr>
        <w:t>влади;</w:t>
      </w:r>
    </w:p>
    <w:p w14:paraId="4AA8D913"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накази (но</w:t>
      </w:r>
      <w:r>
        <w:rPr>
          <w:color w:val="231F20"/>
          <w:sz w:val="21"/>
        </w:rPr>
        <w:t>рмативні правові) керівників управлінь та відділів місцевих державних адміністрацій та виконавчих комітетів місце- вих рад народних депутатів нормативного</w:t>
      </w:r>
      <w:r>
        <w:rPr>
          <w:color w:val="231F20"/>
          <w:spacing w:val="-8"/>
          <w:sz w:val="21"/>
        </w:rPr>
        <w:t xml:space="preserve"> </w:t>
      </w:r>
      <w:r>
        <w:rPr>
          <w:color w:val="231F20"/>
          <w:sz w:val="21"/>
        </w:rPr>
        <w:t>характеру;</w:t>
      </w:r>
    </w:p>
    <w:p w14:paraId="4A9C7E00" w14:textId="77777777" w:rsidR="00DE575E" w:rsidRDefault="002E7560">
      <w:pPr>
        <w:pStyle w:val="ListParagraph"/>
        <w:numPr>
          <w:ilvl w:val="0"/>
          <w:numId w:val="299"/>
        </w:numPr>
        <w:tabs>
          <w:tab w:val="left" w:pos="818"/>
        </w:tabs>
        <w:spacing w:before="2" w:line="252" w:lineRule="auto"/>
        <w:ind w:right="411" w:firstLine="283"/>
        <w:rPr>
          <w:sz w:val="21"/>
        </w:rPr>
      </w:pPr>
      <w:r>
        <w:rPr>
          <w:color w:val="231F20"/>
          <w:sz w:val="21"/>
        </w:rPr>
        <w:t>накази (нормативні правові), інструкції адміністрацій підпри- ємств, установ, організацій при виконанні ними делегованих державних виконавчих</w:t>
      </w:r>
      <w:r>
        <w:rPr>
          <w:color w:val="231F20"/>
          <w:spacing w:val="-1"/>
          <w:sz w:val="21"/>
        </w:rPr>
        <w:t xml:space="preserve"> </w:t>
      </w:r>
      <w:r>
        <w:rPr>
          <w:color w:val="231F20"/>
          <w:sz w:val="21"/>
        </w:rPr>
        <w:t>функцій.</w:t>
      </w:r>
    </w:p>
    <w:p w14:paraId="709AA681" w14:textId="77777777" w:rsidR="00DE575E" w:rsidRDefault="002E7560">
      <w:pPr>
        <w:pStyle w:val="BodyText"/>
        <w:spacing w:before="1"/>
        <w:ind w:left="533"/>
      </w:pPr>
      <w:r>
        <w:rPr>
          <w:color w:val="231F20"/>
        </w:rPr>
        <w:t>За юридичною силою:</w:t>
      </w:r>
    </w:p>
    <w:p w14:paraId="77F2A144" w14:textId="77777777" w:rsidR="00DE575E" w:rsidRDefault="002E7560">
      <w:pPr>
        <w:pStyle w:val="ListParagraph"/>
        <w:numPr>
          <w:ilvl w:val="0"/>
          <w:numId w:val="299"/>
        </w:numPr>
        <w:tabs>
          <w:tab w:val="left" w:pos="818"/>
        </w:tabs>
        <w:spacing w:before="13" w:line="252" w:lineRule="auto"/>
        <w:ind w:right="412" w:firstLine="283"/>
        <w:rPr>
          <w:sz w:val="21"/>
        </w:rPr>
      </w:pPr>
      <w:r>
        <w:rPr>
          <w:color w:val="231F20"/>
          <w:sz w:val="21"/>
        </w:rPr>
        <w:t xml:space="preserve">загальні (напр., Постанова Кабінету Міністрів </w:t>
      </w:r>
      <w:r>
        <w:rPr>
          <w:color w:val="231F20"/>
          <w:spacing w:val="-3"/>
          <w:sz w:val="21"/>
        </w:rPr>
        <w:t xml:space="preserve">України </w:t>
      </w:r>
      <w:r>
        <w:rPr>
          <w:color w:val="231F20"/>
          <w:sz w:val="21"/>
        </w:rPr>
        <w:t>від 28.02.2018 р. № 151 «Про за</w:t>
      </w:r>
      <w:r>
        <w:rPr>
          <w:color w:val="231F20"/>
          <w:sz w:val="21"/>
        </w:rPr>
        <w:t xml:space="preserve">твердження </w:t>
      </w:r>
      <w:r>
        <w:rPr>
          <w:color w:val="231F20"/>
          <w:spacing w:val="-3"/>
          <w:sz w:val="21"/>
        </w:rPr>
        <w:t xml:space="preserve">Технічного </w:t>
      </w:r>
      <w:r>
        <w:rPr>
          <w:color w:val="231F20"/>
          <w:sz w:val="21"/>
        </w:rPr>
        <w:t>регламенту безпечності</w:t>
      </w:r>
      <w:r>
        <w:rPr>
          <w:color w:val="231F20"/>
          <w:spacing w:val="-2"/>
          <w:sz w:val="21"/>
        </w:rPr>
        <w:t xml:space="preserve"> </w:t>
      </w:r>
      <w:r>
        <w:rPr>
          <w:color w:val="231F20"/>
          <w:sz w:val="21"/>
        </w:rPr>
        <w:t>іграшок»);</w:t>
      </w:r>
    </w:p>
    <w:p w14:paraId="32219807" w14:textId="77777777" w:rsidR="00DE575E" w:rsidRDefault="00DE575E">
      <w:pPr>
        <w:pStyle w:val="BodyText"/>
        <w:spacing w:before="6"/>
        <w:rPr>
          <w:sz w:val="12"/>
        </w:rPr>
      </w:pPr>
    </w:p>
    <w:p w14:paraId="4DD214CA" w14:textId="77777777" w:rsidR="00DE575E" w:rsidRDefault="002E7560">
      <w:pPr>
        <w:spacing w:before="91"/>
        <w:ind w:right="411"/>
        <w:jc w:val="right"/>
        <w:rPr>
          <w:rFonts w:ascii="Times New Roman"/>
          <w:sz w:val="20"/>
        </w:rPr>
      </w:pPr>
      <w:r>
        <w:rPr>
          <w:rFonts w:ascii="Times New Roman"/>
          <w:color w:val="231F20"/>
          <w:w w:val="90"/>
          <w:sz w:val="20"/>
        </w:rPr>
        <w:t>65</w:t>
      </w:r>
    </w:p>
    <w:p w14:paraId="0F7477D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225CFD1" w14:textId="77777777" w:rsidR="00DE575E" w:rsidRDefault="002E7560">
      <w:pPr>
        <w:spacing w:before="78" w:line="249" w:lineRule="auto"/>
        <w:ind w:left="533" w:right="4022"/>
        <w:rPr>
          <w:rFonts w:ascii="AdonisC" w:hAnsi="AdonisC"/>
          <w:i/>
          <w:sz w:val="18"/>
        </w:rPr>
      </w:pPr>
      <w:r>
        <w:rPr>
          <w:rFonts w:ascii="AdonisC" w:hAnsi="AdonisC"/>
          <w:i/>
          <w:color w:val="231F20"/>
          <w:sz w:val="18"/>
        </w:rPr>
        <w:lastRenderedPageBreak/>
        <w:t>Адміністративне право України. Повний курс</w:t>
      </w:r>
    </w:p>
    <w:p w14:paraId="7FA2498E" w14:textId="1B3FF4D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C9B8B9E" wp14:editId="527630EE">
                <wp:extent cx="4140200" cy="6350"/>
                <wp:effectExtent l="0" t="0" r="12700" b="6350"/>
                <wp:docPr id="1244"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45" name="Line 124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45DDE" id="Group_x0020_124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ESR3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phEkd/AgAAnAUAAA4A&#10;AAAAAAAAAAAAAAAALAIAAGRycy9lMm9Eb2MueG1sUEsBAi0AFAAGAAgAAAAhAEynsJDZAAAAAwEA&#10;AA8AAAAAAAAAAAAAAAAA1wQAAGRycy9kb3ducmV2LnhtbFBLBQYAAAAABAAEAPMAAADdBQAAAAA=&#10;">
                <v:line id="Line_x0020_124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86PsUAAADdAAAADwAAAGRycy9kb3ducmV2LnhtbERP22rCQBB9L/gPywh9KXVTtUWiq5RC&#10;ofTBS9IPGLNjEtydjdnVpH69KxT6NodzncWqt0ZcqPW1YwUvowQEceF0zaWCn/zzeQbCB2SNxjEp&#10;+CUPq+XgYYGpdh3v6JKFUsQQ9ikqqEJoUil9UZFFP3INceQOrrUYImxLqVvsYrg1cpwkb9JizbGh&#10;woY+KiqO2dkqyE9PwWw336bLN/uJ3J/Wk+t5rdTjsH+fgwjUh3/xn/tLx/nj6Svcv4kn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186PsUAAADdAAAADwAAAAAAAAAA&#10;AAAAAAChAgAAZHJzL2Rvd25yZXYueG1sUEsFBgAAAAAEAAQA+QAAAJMDAAAAAA==&#10;" strokecolor="#231f20" strokeweight=".5pt"/>
                <w10:anchorlock/>
              </v:group>
            </w:pict>
          </mc:Fallback>
        </mc:AlternateContent>
      </w:r>
    </w:p>
    <w:p w14:paraId="0FECDB7B" w14:textId="77777777" w:rsidR="00DE575E" w:rsidRDefault="00DE575E">
      <w:pPr>
        <w:pStyle w:val="BodyText"/>
        <w:spacing w:before="7"/>
        <w:rPr>
          <w:rFonts w:ascii="AdonisC"/>
          <w:i/>
          <w:sz w:val="11"/>
        </w:rPr>
      </w:pPr>
    </w:p>
    <w:p w14:paraId="0CACB0B7" w14:textId="77777777" w:rsidR="00DE575E" w:rsidRDefault="002E7560">
      <w:pPr>
        <w:pStyle w:val="ListParagraph"/>
        <w:numPr>
          <w:ilvl w:val="1"/>
          <w:numId w:val="299"/>
        </w:numPr>
        <w:tabs>
          <w:tab w:val="left" w:pos="1101"/>
        </w:tabs>
        <w:spacing w:before="101" w:line="244" w:lineRule="auto"/>
        <w:ind w:right="127" w:firstLine="284"/>
        <w:rPr>
          <w:sz w:val="21"/>
        </w:rPr>
      </w:pPr>
      <w:r>
        <w:rPr>
          <w:color w:val="231F20"/>
          <w:sz w:val="21"/>
        </w:rPr>
        <w:t xml:space="preserve">відомчі (напр., Наказ Міністерства фінансів </w:t>
      </w:r>
      <w:r>
        <w:rPr>
          <w:color w:val="231F20"/>
          <w:spacing w:val="-3"/>
          <w:sz w:val="21"/>
        </w:rPr>
        <w:t xml:space="preserve">України </w:t>
      </w:r>
      <w:r>
        <w:rPr>
          <w:color w:val="231F20"/>
          <w:sz w:val="21"/>
        </w:rPr>
        <w:t xml:space="preserve">від 29.09.2011 № 1217 «Про затвердження </w:t>
      </w:r>
      <w:r>
        <w:rPr>
          <w:color w:val="231F20"/>
          <w:spacing w:val="-3"/>
          <w:sz w:val="21"/>
        </w:rPr>
        <w:t xml:space="preserve">Кодексу </w:t>
      </w:r>
      <w:r>
        <w:rPr>
          <w:color w:val="231F20"/>
          <w:sz w:val="21"/>
        </w:rPr>
        <w:t>етики працівників підрозділу внутрішнього</w:t>
      </w:r>
      <w:r>
        <w:rPr>
          <w:color w:val="231F20"/>
          <w:spacing w:val="-1"/>
          <w:sz w:val="21"/>
        </w:rPr>
        <w:t xml:space="preserve"> </w:t>
      </w:r>
      <w:r>
        <w:rPr>
          <w:color w:val="231F20"/>
          <w:sz w:val="21"/>
        </w:rPr>
        <w:t>аудиту»);</w:t>
      </w:r>
    </w:p>
    <w:p w14:paraId="58040457" w14:textId="77777777" w:rsidR="00DE575E" w:rsidRDefault="002E7560">
      <w:pPr>
        <w:pStyle w:val="ListParagraph"/>
        <w:numPr>
          <w:ilvl w:val="1"/>
          <w:numId w:val="299"/>
        </w:numPr>
        <w:tabs>
          <w:tab w:val="left" w:pos="1101"/>
        </w:tabs>
        <w:spacing w:before="0" w:line="244" w:lineRule="auto"/>
        <w:ind w:right="127" w:firstLine="284"/>
        <w:rPr>
          <w:sz w:val="21"/>
        </w:rPr>
      </w:pPr>
      <w:r>
        <w:rPr>
          <w:color w:val="231F20"/>
          <w:sz w:val="21"/>
        </w:rPr>
        <w:t xml:space="preserve">місцеві (напр., Рішення Київської міської ради від 15 березня 2002 </w:t>
      </w:r>
      <w:r>
        <w:rPr>
          <w:color w:val="231F20"/>
          <w:sz w:val="21"/>
        </w:rPr>
        <w:t>р. № 313/1747 «Про затвердження Порядку набуття права на землю юридичними особами та громадянами в м.</w:t>
      </w:r>
      <w:r>
        <w:rPr>
          <w:color w:val="231F20"/>
          <w:spacing w:val="-8"/>
          <w:sz w:val="21"/>
        </w:rPr>
        <w:t xml:space="preserve"> </w:t>
      </w:r>
      <w:r>
        <w:rPr>
          <w:color w:val="231F20"/>
          <w:sz w:val="21"/>
        </w:rPr>
        <w:t>Києві»);</w:t>
      </w:r>
    </w:p>
    <w:p w14:paraId="2D276FB9" w14:textId="77777777" w:rsidR="00DE575E" w:rsidRDefault="002E7560">
      <w:pPr>
        <w:pStyle w:val="ListParagraph"/>
        <w:numPr>
          <w:ilvl w:val="1"/>
          <w:numId w:val="299"/>
        </w:numPr>
        <w:tabs>
          <w:tab w:val="left" w:pos="1101"/>
        </w:tabs>
        <w:spacing w:before="0" w:line="244" w:lineRule="auto"/>
        <w:ind w:right="125" w:firstLine="284"/>
        <w:rPr>
          <w:sz w:val="21"/>
        </w:rPr>
      </w:pPr>
      <w:r>
        <w:rPr>
          <w:color w:val="231F20"/>
          <w:sz w:val="21"/>
        </w:rPr>
        <w:t>локальні</w:t>
      </w:r>
      <w:r>
        <w:rPr>
          <w:color w:val="231F20"/>
          <w:spacing w:val="-9"/>
          <w:sz w:val="21"/>
        </w:rPr>
        <w:t xml:space="preserve"> </w:t>
      </w:r>
      <w:r>
        <w:rPr>
          <w:color w:val="231F20"/>
          <w:sz w:val="21"/>
        </w:rPr>
        <w:t>(напр.,</w:t>
      </w:r>
      <w:r>
        <w:rPr>
          <w:color w:val="231F20"/>
          <w:spacing w:val="-9"/>
          <w:sz w:val="21"/>
        </w:rPr>
        <w:t xml:space="preserve"> </w:t>
      </w:r>
      <w:r>
        <w:rPr>
          <w:color w:val="231F20"/>
          <w:sz w:val="21"/>
        </w:rPr>
        <w:t>Наказ</w:t>
      </w:r>
      <w:r>
        <w:rPr>
          <w:color w:val="231F20"/>
          <w:spacing w:val="-9"/>
          <w:sz w:val="21"/>
        </w:rPr>
        <w:t xml:space="preserve"> </w:t>
      </w:r>
      <w:r>
        <w:rPr>
          <w:color w:val="231F20"/>
          <w:sz w:val="21"/>
        </w:rPr>
        <w:t>державного</w:t>
      </w:r>
      <w:r>
        <w:rPr>
          <w:color w:val="231F20"/>
          <w:spacing w:val="-9"/>
          <w:sz w:val="21"/>
        </w:rPr>
        <w:t xml:space="preserve"> </w:t>
      </w:r>
      <w:r>
        <w:rPr>
          <w:color w:val="231F20"/>
          <w:sz w:val="21"/>
        </w:rPr>
        <w:t>підприємства</w:t>
      </w:r>
      <w:r>
        <w:rPr>
          <w:color w:val="231F20"/>
          <w:spacing w:val="-9"/>
          <w:sz w:val="21"/>
        </w:rPr>
        <w:t xml:space="preserve"> </w:t>
      </w:r>
      <w:r>
        <w:rPr>
          <w:color w:val="231F20"/>
          <w:sz w:val="21"/>
        </w:rPr>
        <w:t>«Національні інформаційні системи» від 30.12.2016 р. № 543, яким затверджено Порядок особистого прийому громадян на цьому</w:t>
      </w:r>
      <w:r>
        <w:rPr>
          <w:color w:val="231F20"/>
          <w:spacing w:val="-4"/>
          <w:sz w:val="21"/>
        </w:rPr>
        <w:t xml:space="preserve"> </w:t>
      </w:r>
      <w:r>
        <w:rPr>
          <w:color w:val="231F20"/>
          <w:sz w:val="21"/>
        </w:rPr>
        <w:t>підприємстві).</w:t>
      </w:r>
    </w:p>
    <w:p w14:paraId="5CF5D82F" w14:textId="77777777" w:rsidR="00DE575E" w:rsidRDefault="002E7560">
      <w:pPr>
        <w:pStyle w:val="Heading5"/>
        <w:spacing w:line="244" w:lineRule="auto"/>
        <w:ind w:right="128" w:firstLine="283"/>
        <w:jc w:val="both"/>
      </w:pPr>
      <w:r>
        <w:rPr>
          <w:color w:val="231F20"/>
          <w:spacing w:val="-6"/>
        </w:rPr>
        <w:t xml:space="preserve">Отже, </w:t>
      </w:r>
      <w:r>
        <w:rPr>
          <w:color w:val="231F20"/>
          <w:spacing w:val="-5"/>
        </w:rPr>
        <w:t xml:space="preserve">підзаконні нормативні правові </w:t>
      </w:r>
      <w:r>
        <w:rPr>
          <w:color w:val="231F20"/>
          <w:spacing w:val="-4"/>
        </w:rPr>
        <w:t xml:space="preserve">акти </w:t>
      </w:r>
      <w:r>
        <w:rPr>
          <w:color w:val="231F20"/>
        </w:rPr>
        <w:t xml:space="preserve">– </w:t>
      </w:r>
      <w:r>
        <w:rPr>
          <w:color w:val="231F20"/>
          <w:spacing w:val="-3"/>
        </w:rPr>
        <w:t xml:space="preserve">це </w:t>
      </w:r>
      <w:r>
        <w:rPr>
          <w:color w:val="231F20"/>
          <w:spacing w:val="-5"/>
        </w:rPr>
        <w:t xml:space="preserve">вторинні акти, </w:t>
      </w:r>
      <w:r>
        <w:rPr>
          <w:color w:val="231F20"/>
          <w:spacing w:val="-4"/>
        </w:rPr>
        <w:t xml:space="preserve">які </w:t>
      </w:r>
      <w:r>
        <w:rPr>
          <w:color w:val="231F20"/>
          <w:spacing w:val="-5"/>
        </w:rPr>
        <w:t xml:space="preserve">видаються </w:t>
      </w:r>
      <w:r>
        <w:rPr>
          <w:color w:val="231F20"/>
          <w:spacing w:val="-7"/>
        </w:rPr>
        <w:t xml:space="preserve">суб’єктами </w:t>
      </w:r>
      <w:r>
        <w:rPr>
          <w:color w:val="231F20"/>
          <w:spacing w:val="-5"/>
        </w:rPr>
        <w:t xml:space="preserve">публічної адміністрації </w:t>
      </w:r>
      <w:r>
        <w:rPr>
          <w:color w:val="231F20"/>
          <w:spacing w:val="-3"/>
        </w:rPr>
        <w:t xml:space="preserve">(у </w:t>
      </w:r>
      <w:r>
        <w:rPr>
          <w:color w:val="231F20"/>
          <w:spacing w:val="-8"/>
        </w:rPr>
        <w:t xml:space="preserve">ході </w:t>
      </w:r>
      <w:r>
        <w:rPr>
          <w:color w:val="231F20"/>
          <w:spacing w:val="-4"/>
        </w:rPr>
        <w:t xml:space="preserve">розпо- </w:t>
      </w:r>
      <w:r>
        <w:rPr>
          <w:color w:val="231F20"/>
          <w:spacing w:val="-6"/>
        </w:rPr>
        <w:t xml:space="preserve">рядчої </w:t>
      </w:r>
      <w:r>
        <w:rPr>
          <w:color w:val="231F20"/>
          <w:spacing w:val="-5"/>
        </w:rPr>
        <w:t xml:space="preserve">діяльності) </w:t>
      </w:r>
      <w:r>
        <w:rPr>
          <w:color w:val="231F20"/>
          <w:spacing w:val="-3"/>
        </w:rPr>
        <w:t xml:space="preserve">на </w:t>
      </w:r>
      <w:r>
        <w:rPr>
          <w:color w:val="231F20"/>
          <w:spacing w:val="-5"/>
        </w:rPr>
        <w:t xml:space="preserve">підставі </w:t>
      </w:r>
      <w:r>
        <w:rPr>
          <w:color w:val="231F20"/>
          <w:spacing w:val="-8"/>
        </w:rPr>
        <w:t xml:space="preserve">закону, </w:t>
      </w:r>
      <w:r>
        <w:rPr>
          <w:color w:val="231F20"/>
          <w:spacing w:val="-5"/>
        </w:rPr>
        <w:t xml:space="preserve">відповідно </w:t>
      </w:r>
      <w:r>
        <w:rPr>
          <w:color w:val="231F20"/>
          <w:spacing w:val="-3"/>
        </w:rPr>
        <w:t xml:space="preserve">до </w:t>
      </w:r>
      <w:r>
        <w:rPr>
          <w:color w:val="231F20"/>
          <w:spacing w:val="-5"/>
        </w:rPr>
        <w:t xml:space="preserve">закону </w:t>
      </w:r>
      <w:r>
        <w:rPr>
          <w:color w:val="231F20"/>
        </w:rPr>
        <w:t xml:space="preserve">і </w:t>
      </w:r>
      <w:r>
        <w:rPr>
          <w:color w:val="231F20"/>
          <w:spacing w:val="-5"/>
        </w:rPr>
        <w:t xml:space="preserve">для його реалізації, </w:t>
      </w:r>
      <w:r>
        <w:rPr>
          <w:color w:val="231F20"/>
        </w:rPr>
        <w:t xml:space="preserve">з </w:t>
      </w:r>
      <w:r>
        <w:rPr>
          <w:color w:val="231F20"/>
          <w:spacing w:val="-5"/>
        </w:rPr>
        <w:t xml:space="preserve">метою ефективного </w:t>
      </w:r>
      <w:r>
        <w:rPr>
          <w:color w:val="231F20"/>
          <w:spacing w:val="-3"/>
        </w:rPr>
        <w:t xml:space="preserve">та </w:t>
      </w:r>
      <w:r>
        <w:rPr>
          <w:color w:val="231F20"/>
          <w:spacing w:val="-5"/>
        </w:rPr>
        <w:t xml:space="preserve">своєчасного забезпечення </w:t>
      </w:r>
      <w:r>
        <w:rPr>
          <w:color w:val="231F20"/>
          <w:spacing w:val="-6"/>
        </w:rPr>
        <w:t xml:space="preserve">виконавчих </w:t>
      </w:r>
      <w:r>
        <w:rPr>
          <w:color w:val="231F20"/>
          <w:spacing w:val="-5"/>
        </w:rPr>
        <w:t>функцій.</w:t>
      </w:r>
    </w:p>
    <w:p w14:paraId="5E7363F4" w14:textId="77777777" w:rsidR="00DE575E" w:rsidRDefault="00DE575E">
      <w:pPr>
        <w:pStyle w:val="BodyText"/>
        <w:rPr>
          <w:b/>
          <w:sz w:val="24"/>
        </w:rPr>
      </w:pPr>
    </w:p>
    <w:p w14:paraId="0BCE8287" w14:textId="77777777" w:rsidR="00DE575E" w:rsidRDefault="002E7560">
      <w:pPr>
        <w:spacing w:before="193"/>
        <w:ind w:left="1109"/>
        <w:rPr>
          <w:b/>
        </w:rPr>
      </w:pPr>
      <w:r>
        <w:rPr>
          <w:b/>
          <w:color w:val="231F20"/>
        </w:rPr>
        <w:t>3.3. Міжнародні джерела адміністративного права</w:t>
      </w:r>
    </w:p>
    <w:p w14:paraId="0C722454" w14:textId="77777777" w:rsidR="00DE575E" w:rsidRDefault="00DE575E">
      <w:pPr>
        <w:pStyle w:val="BodyText"/>
        <w:rPr>
          <w:b/>
          <w:sz w:val="26"/>
        </w:rPr>
      </w:pPr>
    </w:p>
    <w:p w14:paraId="11E84F3C" w14:textId="77777777" w:rsidR="00DE575E" w:rsidRDefault="002E7560">
      <w:pPr>
        <w:pStyle w:val="ListParagraph"/>
        <w:numPr>
          <w:ilvl w:val="2"/>
          <w:numId w:val="289"/>
        </w:numPr>
        <w:tabs>
          <w:tab w:val="left" w:pos="1383"/>
        </w:tabs>
        <w:spacing w:before="197" w:line="244" w:lineRule="auto"/>
        <w:ind w:right="2378" w:firstLine="0"/>
        <w:jc w:val="left"/>
        <w:rPr>
          <w:b/>
          <w:sz w:val="21"/>
        </w:rPr>
      </w:pPr>
      <w:r>
        <w:rPr>
          <w:b/>
          <w:color w:val="231F20"/>
          <w:sz w:val="21"/>
        </w:rPr>
        <w:t>Міжнародні договори як</w:t>
      </w:r>
      <w:r>
        <w:rPr>
          <w:b/>
          <w:color w:val="231F20"/>
          <w:spacing w:val="-25"/>
          <w:sz w:val="21"/>
        </w:rPr>
        <w:t xml:space="preserve"> </w:t>
      </w:r>
      <w:r>
        <w:rPr>
          <w:b/>
          <w:color w:val="231F20"/>
          <w:sz w:val="21"/>
        </w:rPr>
        <w:t>джерела адміністративного</w:t>
      </w:r>
      <w:r>
        <w:rPr>
          <w:b/>
          <w:color w:val="231F20"/>
          <w:spacing w:val="-2"/>
          <w:sz w:val="21"/>
        </w:rPr>
        <w:t xml:space="preserve"> </w:t>
      </w:r>
      <w:r>
        <w:rPr>
          <w:b/>
          <w:color w:val="231F20"/>
          <w:sz w:val="21"/>
        </w:rPr>
        <w:t>права</w:t>
      </w:r>
    </w:p>
    <w:p w14:paraId="1834646D" w14:textId="77777777" w:rsidR="00DE575E" w:rsidRDefault="00DE575E">
      <w:pPr>
        <w:pStyle w:val="BodyText"/>
        <w:spacing w:before="1"/>
        <w:rPr>
          <w:b/>
        </w:rPr>
      </w:pPr>
    </w:p>
    <w:p w14:paraId="2CFD62D8" w14:textId="77777777" w:rsidR="00DE575E" w:rsidRDefault="002E7560">
      <w:pPr>
        <w:pStyle w:val="BodyText"/>
        <w:spacing w:line="244" w:lineRule="auto"/>
        <w:ind w:left="533" w:right="127" w:firstLine="283"/>
        <w:jc w:val="both"/>
      </w:pPr>
      <w:r>
        <w:rPr>
          <w:color w:val="231F20"/>
        </w:rPr>
        <w:t>Відповідно до ст. 3 Закону України від 29 червня 2004 р. «Про міжнародні договори України»</w:t>
      </w:r>
      <w:r>
        <w:rPr>
          <w:color w:val="231F20"/>
          <w:position w:val="7"/>
          <w:sz w:val="12"/>
        </w:rPr>
        <w:t xml:space="preserve">1 </w:t>
      </w:r>
      <w:r>
        <w:rPr>
          <w:color w:val="231F20"/>
        </w:rPr>
        <w:t>такі договори укладаються Прези- дентом України або за його дорученням – від імені України; Кабі- нетом Міністрів України або за його дорученням – від імені</w:t>
      </w:r>
      <w:r>
        <w:rPr>
          <w:color w:val="231F20"/>
        </w:rPr>
        <w:t xml:space="preserve"> уряду України; міністерствами та іншими центральними органами вико- навчої влади, державними органами – від імені міністерств, інших центральних органів виконавчої влади, державних органів.</w:t>
      </w:r>
    </w:p>
    <w:p w14:paraId="0FC5C99F" w14:textId="77777777" w:rsidR="00DE575E" w:rsidRDefault="002E7560">
      <w:pPr>
        <w:pStyle w:val="BodyText"/>
        <w:spacing w:line="244" w:lineRule="auto"/>
        <w:ind w:left="533" w:right="128" w:firstLine="283"/>
        <w:jc w:val="both"/>
        <w:rPr>
          <w:i/>
        </w:rPr>
      </w:pPr>
      <w:r>
        <w:rPr>
          <w:color w:val="231F20"/>
        </w:rPr>
        <w:t>В Україні сьогодні діють чимало міжнародних договорів, норми яких</w:t>
      </w:r>
      <w:r>
        <w:rPr>
          <w:color w:val="231F20"/>
        </w:rPr>
        <w:t xml:space="preserve"> мають застосовуватися під час регулювання адміністративних правових відносин, </w:t>
      </w:r>
      <w:r>
        <w:rPr>
          <w:i/>
          <w:color w:val="231F20"/>
          <w:u w:val="single" w:color="231F20"/>
        </w:rPr>
        <w:t>наприклад:</w:t>
      </w:r>
    </w:p>
    <w:p w14:paraId="31D48160" w14:textId="77777777" w:rsidR="00DE575E" w:rsidRDefault="002E7560">
      <w:pPr>
        <w:pStyle w:val="ListParagraph"/>
        <w:numPr>
          <w:ilvl w:val="0"/>
          <w:numId w:val="288"/>
        </w:numPr>
        <w:tabs>
          <w:tab w:val="left" w:pos="1101"/>
        </w:tabs>
        <w:spacing w:before="0" w:line="244" w:lineRule="auto"/>
        <w:ind w:right="127" w:firstLine="284"/>
        <w:rPr>
          <w:sz w:val="21"/>
        </w:rPr>
      </w:pPr>
      <w:r>
        <w:rPr>
          <w:color w:val="231F20"/>
          <w:sz w:val="21"/>
        </w:rPr>
        <w:t>Конвенція про захист прав людини і основоположних свобод від 4 листопада 1950</w:t>
      </w:r>
      <w:r>
        <w:rPr>
          <w:color w:val="231F20"/>
          <w:spacing w:val="-7"/>
          <w:sz w:val="21"/>
        </w:rPr>
        <w:t xml:space="preserve"> </w:t>
      </w:r>
      <w:r>
        <w:rPr>
          <w:color w:val="231F20"/>
          <w:sz w:val="21"/>
        </w:rPr>
        <w:t>р.;</w:t>
      </w:r>
    </w:p>
    <w:p w14:paraId="40740496" w14:textId="77777777" w:rsidR="00DE575E" w:rsidRDefault="002E7560">
      <w:pPr>
        <w:pStyle w:val="ListParagraph"/>
        <w:numPr>
          <w:ilvl w:val="0"/>
          <w:numId w:val="288"/>
        </w:numPr>
        <w:tabs>
          <w:tab w:val="left" w:pos="1101"/>
        </w:tabs>
        <w:spacing w:before="0" w:line="244" w:lineRule="auto"/>
        <w:ind w:right="127" w:firstLine="284"/>
        <w:rPr>
          <w:sz w:val="21"/>
        </w:rPr>
      </w:pPr>
      <w:r>
        <w:rPr>
          <w:color w:val="231F20"/>
          <w:sz w:val="21"/>
        </w:rPr>
        <w:t xml:space="preserve">Європейська конвенція про видання  правопорушників  від  13 </w:t>
      </w:r>
      <w:r>
        <w:rPr>
          <w:color w:val="231F20"/>
          <w:spacing w:val="-3"/>
          <w:sz w:val="21"/>
        </w:rPr>
        <w:t xml:space="preserve">грудня </w:t>
      </w:r>
      <w:r>
        <w:rPr>
          <w:color w:val="231F20"/>
          <w:sz w:val="21"/>
        </w:rPr>
        <w:t>1957</w:t>
      </w:r>
      <w:r>
        <w:rPr>
          <w:color w:val="231F20"/>
          <w:spacing w:val="-4"/>
          <w:sz w:val="21"/>
        </w:rPr>
        <w:t xml:space="preserve"> </w:t>
      </w:r>
      <w:r>
        <w:rPr>
          <w:color w:val="231F20"/>
          <w:sz w:val="21"/>
        </w:rPr>
        <w:t>р.;</w:t>
      </w:r>
    </w:p>
    <w:p w14:paraId="3DE0B79F" w14:textId="77777777" w:rsidR="00DE575E" w:rsidRDefault="002E7560">
      <w:pPr>
        <w:pStyle w:val="ListParagraph"/>
        <w:numPr>
          <w:ilvl w:val="0"/>
          <w:numId w:val="288"/>
        </w:numPr>
        <w:tabs>
          <w:tab w:val="left" w:pos="1101"/>
        </w:tabs>
        <w:spacing w:before="0" w:line="252" w:lineRule="auto"/>
        <w:ind w:right="128" w:firstLine="284"/>
        <w:rPr>
          <w:sz w:val="21"/>
        </w:rPr>
      </w:pPr>
      <w:r>
        <w:rPr>
          <w:color w:val="231F20"/>
          <w:sz w:val="21"/>
        </w:rPr>
        <w:t xml:space="preserve">Рамкова конвенція Організації </w:t>
      </w:r>
      <w:r>
        <w:rPr>
          <w:color w:val="231F20"/>
          <w:spacing w:val="-3"/>
          <w:sz w:val="21"/>
        </w:rPr>
        <w:t xml:space="preserve">Об’єднаних </w:t>
      </w:r>
      <w:r>
        <w:rPr>
          <w:color w:val="231F20"/>
          <w:sz w:val="21"/>
        </w:rPr>
        <w:t>Націй про зміну клімату від 9 травня 1992</w:t>
      </w:r>
      <w:r>
        <w:rPr>
          <w:color w:val="231F20"/>
          <w:spacing w:val="-9"/>
          <w:sz w:val="21"/>
        </w:rPr>
        <w:t xml:space="preserve"> </w:t>
      </w:r>
      <w:r>
        <w:rPr>
          <w:color w:val="231F20"/>
          <w:sz w:val="21"/>
        </w:rPr>
        <w:t>р.</w:t>
      </w:r>
    </w:p>
    <w:p w14:paraId="70F13363" w14:textId="132336BE" w:rsidR="00DE575E" w:rsidRDefault="002E7560">
      <w:pPr>
        <w:pStyle w:val="BodyText"/>
        <w:spacing w:before="6"/>
        <w:rPr>
          <w:sz w:val="28"/>
        </w:rPr>
      </w:pPr>
      <w:r>
        <w:rPr>
          <w:noProof/>
        </w:rPr>
        <mc:AlternateContent>
          <mc:Choice Requires="wps">
            <w:drawing>
              <wp:anchor distT="0" distB="0" distL="0" distR="0" simplePos="0" relativeHeight="3400" behindDoc="0" locked="0" layoutInCell="1" allowOverlap="1" wp14:anchorId="722D1A76" wp14:editId="5334295A">
                <wp:simplePos x="0" y="0"/>
                <wp:positionH relativeFrom="page">
                  <wp:posOffset>719455</wp:posOffset>
                </wp:positionH>
                <wp:positionV relativeFrom="paragraph">
                  <wp:posOffset>240030</wp:posOffset>
                </wp:positionV>
                <wp:extent cx="1080135" cy="0"/>
                <wp:effectExtent l="8255" t="11430" r="29210" b="26670"/>
                <wp:wrapTopAndBottom/>
                <wp:docPr id="1243"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3DD8E" id="Line_x0020_1242" o:spid="_x0000_s1026" style="position:absolute;z-index:3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9pt" to="141.7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" strokecolor="#231f20" strokeweight=".5pt">
                <w10:wrap type="topAndBottom" anchorx="page"/>
              </v:line>
            </w:pict>
          </mc:Fallback>
        </mc:AlternateContent>
      </w:r>
    </w:p>
    <w:p w14:paraId="704D5AFE" w14:textId="77777777" w:rsidR="00DE575E" w:rsidRDefault="002E7560">
      <w:pPr>
        <w:spacing w:line="162" w:lineRule="exact"/>
        <w:ind w:left="533"/>
        <w:rPr>
          <w:sz w:val="16"/>
        </w:rPr>
      </w:pPr>
      <w:r>
        <w:rPr>
          <w:color w:val="231F20"/>
          <w:position w:val="5"/>
          <w:sz w:val="9"/>
        </w:rPr>
        <w:t xml:space="preserve">1 </w:t>
      </w:r>
      <w:r>
        <w:rPr>
          <w:color w:val="231F20"/>
          <w:sz w:val="16"/>
        </w:rPr>
        <w:t>Про міжнародні договори України : Закон від 29 червня 2004 р. № 1906-IV.</w:t>
      </w:r>
    </w:p>
    <w:p w14:paraId="62A8B031" w14:textId="77777777" w:rsidR="00DE575E" w:rsidRDefault="00DE575E">
      <w:pPr>
        <w:pStyle w:val="BodyText"/>
        <w:spacing w:before="10"/>
        <w:rPr>
          <w:sz w:val="11"/>
        </w:rPr>
      </w:pPr>
    </w:p>
    <w:p w14:paraId="7C7C339F" w14:textId="77777777" w:rsidR="00DE575E" w:rsidRDefault="002E7560">
      <w:pPr>
        <w:spacing w:before="92"/>
        <w:ind w:left="533"/>
        <w:rPr>
          <w:rFonts w:ascii="Times New Roman"/>
          <w:sz w:val="20"/>
        </w:rPr>
      </w:pPr>
      <w:r>
        <w:rPr>
          <w:rFonts w:ascii="Times New Roman"/>
          <w:color w:val="231F20"/>
          <w:sz w:val="20"/>
        </w:rPr>
        <w:t>66</w:t>
      </w:r>
    </w:p>
    <w:p w14:paraId="43D54336" w14:textId="77777777" w:rsidR="00DE575E" w:rsidRDefault="00DE575E">
      <w:pPr>
        <w:rPr>
          <w:rFonts w:ascii="Times New Roman"/>
          <w:sz w:val="20"/>
        </w:rPr>
        <w:sectPr w:rsidR="00DE575E">
          <w:pgSz w:w="8510" w:h="12760"/>
          <w:pgMar w:top="660" w:right="720" w:bottom="280" w:left="600" w:header="720" w:footer="720" w:gutter="0"/>
          <w:cols w:space="720"/>
        </w:sectPr>
      </w:pPr>
    </w:p>
    <w:p w14:paraId="6780508C"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Глава І. Загальне адміністративне право Розділ 3. Джерела адміністративного</w:t>
      </w:r>
      <w:r>
        <w:rPr>
          <w:rFonts w:ascii="AdonisC" w:hAnsi="AdonisC"/>
          <w:i/>
          <w:color w:val="231F20"/>
          <w:sz w:val="18"/>
        </w:rPr>
        <w:t xml:space="preserve"> права</w:t>
      </w:r>
    </w:p>
    <w:p w14:paraId="409EF435" w14:textId="10B9F9A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75D18E7" wp14:editId="1AAD9857">
                <wp:extent cx="4140200" cy="6350"/>
                <wp:effectExtent l="0" t="0" r="12700" b="6350"/>
                <wp:docPr id="1241"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42" name="Line 12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063E0B" id="Group_x0020_12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74fCfH4CAACcBQAADgAA&#10;AAAAAAAAAAAAAAAsAgAAZHJzL2Uyb0RvYy54bWxQSwECLQAUAAYACAAAACEATKewkNkAAAADAQAA&#10;DwAAAAAAAAAAAAAAAADWBAAAZHJzL2Rvd25yZXYueG1sUEsFBgAAAAAEAAQA8wAAANwFAAAAAA==&#10;">
                <v:line id="Line_x0020_12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aiSsUAAADdAAAADwAAAGRycy9kb3ducmV2LnhtbERPzWrCQBC+F3yHZYReSt00Fimpq0hB&#10;kB60Gh9gzE6T4O5szK4m+vSuUOhtPr7fmc57a8SFWl87VvA2SkAQF07XXCrY58vXDxA+IGs0jknB&#10;lTzMZ4OnKWbadbylyy6UIoawz1BBFUKTSemLiiz6kWuII/frWoshwraUusUuhlsj0ySZSIs1x4YK&#10;G/qqqDjuzlZBfnoJ5mfzbbp8cxjLw2k9vp3XSj0P+8UniEB9+Bf/uVc6zk/fU3h8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LaiSsUAAADdAAAADwAAAAAAAAAA&#10;AAAAAAChAgAAZHJzL2Rvd25yZXYueG1sUEsFBgAAAAAEAAQA+QAAAJMDAAAAAA==&#10;" strokecolor="#231f20" strokeweight=".5pt"/>
                <w10:anchorlock/>
              </v:group>
            </w:pict>
          </mc:Fallback>
        </mc:AlternateContent>
      </w:r>
    </w:p>
    <w:p w14:paraId="2D0B7DEE" w14:textId="77777777" w:rsidR="00DE575E" w:rsidRDefault="00DE575E">
      <w:pPr>
        <w:pStyle w:val="BodyText"/>
        <w:spacing w:before="7"/>
        <w:rPr>
          <w:rFonts w:ascii="AdonisC"/>
          <w:i/>
          <w:sz w:val="19"/>
        </w:rPr>
      </w:pPr>
    </w:p>
    <w:p w14:paraId="2CEAE3C9" w14:textId="77777777" w:rsidR="00DE575E" w:rsidRDefault="002E7560">
      <w:pPr>
        <w:pStyle w:val="Heading5"/>
        <w:numPr>
          <w:ilvl w:val="2"/>
          <w:numId w:val="289"/>
        </w:numPr>
        <w:tabs>
          <w:tab w:val="left" w:pos="1099"/>
        </w:tabs>
        <w:spacing w:before="1" w:line="252" w:lineRule="auto"/>
        <w:ind w:left="533" w:right="2290" w:firstLine="0"/>
        <w:jc w:val="left"/>
      </w:pPr>
      <w:r>
        <w:rPr>
          <w:color w:val="231F20"/>
        </w:rPr>
        <w:t>Юридичні акти Європейського</w:t>
      </w:r>
      <w:r>
        <w:rPr>
          <w:color w:val="231F20"/>
          <w:spacing w:val="-25"/>
        </w:rPr>
        <w:t xml:space="preserve"> </w:t>
      </w:r>
      <w:r>
        <w:rPr>
          <w:color w:val="231F20"/>
        </w:rPr>
        <w:t>Союзу як джерела адміністративного</w:t>
      </w:r>
      <w:r>
        <w:rPr>
          <w:color w:val="231F20"/>
          <w:spacing w:val="-6"/>
        </w:rPr>
        <w:t xml:space="preserve"> </w:t>
      </w:r>
      <w:r>
        <w:rPr>
          <w:color w:val="231F20"/>
        </w:rPr>
        <w:t>права</w:t>
      </w:r>
    </w:p>
    <w:p w14:paraId="4A316512" w14:textId="77777777" w:rsidR="00DE575E" w:rsidRDefault="002E7560">
      <w:pPr>
        <w:spacing w:line="245" w:lineRule="exact"/>
        <w:ind w:left="533"/>
        <w:rPr>
          <w:b/>
          <w:sz w:val="21"/>
        </w:rPr>
      </w:pPr>
      <w:r>
        <w:rPr>
          <w:b/>
          <w:color w:val="231F20"/>
          <w:sz w:val="21"/>
        </w:rPr>
        <w:t>в контексті правотворчої діяльності</w:t>
      </w:r>
    </w:p>
    <w:p w14:paraId="63FF2F37" w14:textId="77777777" w:rsidR="00DE575E" w:rsidRDefault="00DE575E">
      <w:pPr>
        <w:pStyle w:val="BodyText"/>
        <w:spacing w:before="2"/>
        <w:rPr>
          <w:b/>
          <w:sz w:val="23"/>
        </w:rPr>
      </w:pPr>
    </w:p>
    <w:p w14:paraId="4FC33C5A" w14:textId="77777777" w:rsidR="00DE575E" w:rsidRDefault="002E7560">
      <w:pPr>
        <w:pStyle w:val="BodyText"/>
        <w:spacing w:line="252" w:lineRule="auto"/>
        <w:ind w:left="250" w:right="410" w:firstLine="283"/>
        <w:jc w:val="both"/>
      </w:pPr>
      <w:r>
        <w:rPr>
          <w:color w:val="231F20"/>
        </w:rPr>
        <w:t xml:space="preserve">Відповідно  до  положень  </w:t>
      </w:r>
      <w:r>
        <w:rPr>
          <w:color w:val="231F20"/>
          <w:spacing w:val="-4"/>
        </w:rPr>
        <w:t xml:space="preserve">Угоди   </w:t>
      </w:r>
      <w:r>
        <w:rPr>
          <w:color w:val="231F20"/>
        </w:rPr>
        <w:t xml:space="preserve">про  асоціацію  між  </w:t>
      </w:r>
      <w:r>
        <w:rPr>
          <w:color w:val="231F20"/>
          <w:spacing w:val="-3"/>
        </w:rPr>
        <w:t xml:space="preserve">Україною,    </w:t>
      </w:r>
      <w:r>
        <w:rPr>
          <w:color w:val="231F20"/>
        </w:rPr>
        <w:t xml:space="preserve">з однієї сторони, та Європейським Союзом, Європейським спів- товариством   з   атомної    енергії    і    їхніми    державами-членами, з іншої сторони </w:t>
      </w:r>
      <w:r>
        <w:rPr>
          <w:color w:val="231F20"/>
          <w:spacing w:val="-4"/>
        </w:rPr>
        <w:t xml:space="preserve">(Угоду </w:t>
      </w:r>
      <w:r>
        <w:rPr>
          <w:color w:val="231F20"/>
        </w:rPr>
        <w:t>ратифіковано із заявою Законом</w:t>
      </w:r>
      <w:r>
        <w:rPr>
          <w:color w:val="231F20"/>
          <w:spacing w:val="16"/>
        </w:rPr>
        <w:t xml:space="preserve"> </w:t>
      </w:r>
      <w:r>
        <w:rPr>
          <w:color w:val="231F20"/>
          <w:spacing w:val="-3"/>
        </w:rPr>
        <w:t>України</w:t>
      </w:r>
    </w:p>
    <w:p w14:paraId="0FEF2DB4" w14:textId="77777777" w:rsidR="00DE575E" w:rsidRDefault="002E7560">
      <w:pPr>
        <w:pStyle w:val="BodyText"/>
        <w:spacing w:before="2"/>
        <w:ind w:left="250"/>
      </w:pPr>
      <w:r>
        <w:rPr>
          <w:color w:val="231F20"/>
        </w:rPr>
        <w:t>№ 1678-VII від 16.09.2014 р.) і Закону України від 18 березня 2004 р.</w:t>
      </w:r>
    </w:p>
    <w:p w14:paraId="65B9002B" w14:textId="77777777" w:rsidR="00DE575E" w:rsidRDefault="002E7560">
      <w:pPr>
        <w:pStyle w:val="BodyText"/>
        <w:spacing w:before="13" w:line="252" w:lineRule="auto"/>
        <w:ind w:left="250" w:right="411"/>
        <w:jc w:val="both"/>
      </w:pPr>
      <w:r>
        <w:rPr>
          <w:color w:val="231F20"/>
        </w:rPr>
        <w:t xml:space="preserve">«Про Загальнодержавну програму адаптації законодавства </w:t>
      </w:r>
      <w:r>
        <w:rPr>
          <w:color w:val="231F20"/>
          <w:spacing w:val="-3"/>
        </w:rPr>
        <w:t xml:space="preserve">України </w:t>
      </w:r>
      <w:r>
        <w:rPr>
          <w:color w:val="231F20"/>
        </w:rPr>
        <w:t>до</w:t>
      </w:r>
      <w:r>
        <w:rPr>
          <w:color w:val="231F20"/>
          <w:spacing w:val="-14"/>
        </w:rPr>
        <w:t xml:space="preserve"> </w:t>
      </w:r>
      <w:r>
        <w:rPr>
          <w:color w:val="231F20"/>
        </w:rPr>
        <w:t>законодавства</w:t>
      </w:r>
      <w:r>
        <w:rPr>
          <w:color w:val="231F20"/>
          <w:spacing w:val="-14"/>
        </w:rPr>
        <w:t xml:space="preserve"> </w:t>
      </w:r>
      <w:r>
        <w:rPr>
          <w:color w:val="231F20"/>
        </w:rPr>
        <w:t>Європейського</w:t>
      </w:r>
      <w:r>
        <w:rPr>
          <w:color w:val="231F20"/>
          <w:spacing w:val="-14"/>
        </w:rPr>
        <w:t xml:space="preserve"> </w:t>
      </w:r>
      <w:r>
        <w:rPr>
          <w:color w:val="231F20"/>
        </w:rPr>
        <w:t>Союзу»</w:t>
      </w:r>
      <w:r>
        <w:rPr>
          <w:color w:val="231F20"/>
          <w:position w:val="7"/>
          <w:sz w:val="12"/>
        </w:rPr>
        <w:t>1</w:t>
      </w:r>
      <w:r>
        <w:rPr>
          <w:color w:val="231F20"/>
          <w:spacing w:val="-8"/>
          <w:position w:val="7"/>
          <w:sz w:val="12"/>
        </w:rPr>
        <w:t xml:space="preserve"> </w:t>
      </w:r>
      <w:r>
        <w:rPr>
          <w:color w:val="231F20"/>
        </w:rPr>
        <w:t>джерелами</w:t>
      </w:r>
      <w:r>
        <w:rPr>
          <w:color w:val="231F20"/>
          <w:spacing w:val="-14"/>
        </w:rPr>
        <w:t xml:space="preserve"> </w:t>
      </w:r>
      <w:r>
        <w:rPr>
          <w:color w:val="231F20"/>
        </w:rPr>
        <w:t xml:space="preserve">адміністратив- ного права </w:t>
      </w:r>
      <w:r>
        <w:rPr>
          <w:color w:val="231F20"/>
          <w:spacing w:val="-3"/>
        </w:rPr>
        <w:t xml:space="preserve">України </w:t>
      </w:r>
      <w:r>
        <w:rPr>
          <w:color w:val="231F20"/>
        </w:rPr>
        <w:t xml:space="preserve">є юридичні акти ЄС. Відповідно до них </w:t>
      </w:r>
      <w:r>
        <w:rPr>
          <w:color w:val="231F20"/>
          <w:spacing w:val="-3"/>
        </w:rPr>
        <w:t>Ук</w:t>
      </w:r>
      <w:r>
        <w:rPr>
          <w:color w:val="231F20"/>
          <w:spacing w:val="-3"/>
        </w:rPr>
        <w:t xml:space="preserve">раїна </w:t>
      </w:r>
      <w:r>
        <w:rPr>
          <w:color w:val="231F20"/>
        </w:rPr>
        <w:t>взяла на себе зобов’язання привести власні закони та інші норма- тивні акти відповідно до законодавства</w:t>
      </w:r>
      <w:r>
        <w:rPr>
          <w:color w:val="231F20"/>
          <w:spacing w:val="-7"/>
        </w:rPr>
        <w:t xml:space="preserve"> </w:t>
      </w:r>
      <w:r>
        <w:rPr>
          <w:color w:val="231F20"/>
        </w:rPr>
        <w:t>ЄС.</w:t>
      </w:r>
    </w:p>
    <w:p w14:paraId="05487127" w14:textId="77777777" w:rsidR="00DE575E" w:rsidRDefault="002E7560">
      <w:pPr>
        <w:pStyle w:val="BodyText"/>
        <w:spacing w:before="2" w:line="252" w:lineRule="auto"/>
        <w:ind w:left="250" w:right="411" w:firstLine="283"/>
        <w:jc w:val="both"/>
      </w:pPr>
      <w:r>
        <w:rPr>
          <w:color w:val="231F20"/>
        </w:rPr>
        <w:t>Правотворча  та  правозастосовна  діяльність,  яку  здійснюють  у сферах, що становлять предмет правового регулювання адмі- ністративного прав</w:t>
      </w:r>
      <w:r>
        <w:rPr>
          <w:color w:val="231F20"/>
        </w:rPr>
        <w:t>а, ґрунтується на вимогах і положеннях право- вих актів ЄС. Право ЄС має два рівні – первинне (ієрархічно вище)  та вторинне</w:t>
      </w:r>
      <w:r>
        <w:rPr>
          <w:color w:val="231F20"/>
          <w:spacing w:val="-2"/>
        </w:rPr>
        <w:t xml:space="preserve"> </w:t>
      </w:r>
      <w:r>
        <w:rPr>
          <w:color w:val="231F20"/>
        </w:rPr>
        <w:t>(похідне).</w:t>
      </w:r>
    </w:p>
    <w:p w14:paraId="47299E7D" w14:textId="77777777" w:rsidR="00DE575E" w:rsidRDefault="002E7560">
      <w:pPr>
        <w:spacing w:before="3"/>
        <w:ind w:left="533"/>
        <w:rPr>
          <w:sz w:val="21"/>
        </w:rPr>
      </w:pPr>
      <w:r>
        <w:rPr>
          <w:color w:val="231F20"/>
          <w:sz w:val="21"/>
        </w:rPr>
        <w:t xml:space="preserve">До </w:t>
      </w:r>
      <w:r>
        <w:rPr>
          <w:b/>
          <w:i/>
          <w:color w:val="231F20"/>
          <w:sz w:val="21"/>
        </w:rPr>
        <w:t xml:space="preserve">первинних джерел права ЄС </w:t>
      </w:r>
      <w:r>
        <w:rPr>
          <w:color w:val="231F20"/>
          <w:sz w:val="21"/>
        </w:rPr>
        <w:t>належать:</w:t>
      </w:r>
    </w:p>
    <w:p w14:paraId="22B1F987" w14:textId="77777777" w:rsidR="00DE575E" w:rsidRDefault="002E7560">
      <w:pPr>
        <w:spacing w:before="12"/>
        <w:ind w:left="533"/>
        <w:rPr>
          <w:sz w:val="21"/>
        </w:rPr>
      </w:pPr>
      <w:r>
        <w:rPr>
          <w:i/>
          <w:color w:val="231F20"/>
          <w:sz w:val="21"/>
        </w:rPr>
        <w:t>установчі договори</w:t>
      </w:r>
      <w:r>
        <w:rPr>
          <w:color w:val="231F20"/>
          <w:sz w:val="21"/>
        </w:rPr>
        <w:t>:</w:t>
      </w:r>
    </w:p>
    <w:p w14:paraId="20BE7AE6" w14:textId="77777777" w:rsidR="00DE575E" w:rsidRDefault="002E7560">
      <w:pPr>
        <w:pStyle w:val="ListParagraph"/>
        <w:numPr>
          <w:ilvl w:val="0"/>
          <w:numId w:val="293"/>
        </w:numPr>
        <w:tabs>
          <w:tab w:val="left" w:pos="818"/>
        </w:tabs>
        <w:spacing w:before="13" w:line="252" w:lineRule="auto"/>
        <w:ind w:right="411" w:firstLine="283"/>
        <w:jc w:val="left"/>
        <w:rPr>
          <w:sz w:val="21"/>
        </w:rPr>
      </w:pPr>
      <w:r>
        <w:rPr>
          <w:color w:val="231F20"/>
          <w:sz w:val="21"/>
        </w:rPr>
        <w:t>Конвенція про деякі інститути, спільні для європейських спів- товариств (1957);</w:t>
      </w:r>
    </w:p>
    <w:p w14:paraId="467D8EA3" w14:textId="77777777" w:rsidR="00DE575E" w:rsidRDefault="002E7560">
      <w:pPr>
        <w:pStyle w:val="ListParagraph"/>
        <w:numPr>
          <w:ilvl w:val="0"/>
          <w:numId w:val="293"/>
        </w:numPr>
        <w:tabs>
          <w:tab w:val="left" w:pos="818"/>
        </w:tabs>
        <w:spacing w:line="252" w:lineRule="auto"/>
        <w:ind w:right="412" w:firstLine="283"/>
        <w:jc w:val="left"/>
        <w:rPr>
          <w:sz w:val="21"/>
        </w:rPr>
      </w:pPr>
      <w:r>
        <w:rPr>
          <w:color w:val="231F20"/>
          <w:sz w:val="21"/>
        </w:rPr>
        <w:t>Акт Ради про прямі вибори до Європейського Парламенту (1976);</w:t>
      </w:r>
    </w:p>
    <w:p w14:paraId="59D5EF2F" w14:textId="77777777" w:rsidR="00DE575E" w:rsidRDefault="002E7560">
      <w:pPr>
        <w:pStyle w:val="ListParagraph"/>
        <w:numPr>
          <w:ilvl w:val="0"/>
          <w:numId w:val="293"/>
        </w:numPr>
        <w:tabs>
          <w:tab w:val="left" w:pos="818"/>
        </w:tabs>
        <w:ind w:firstLine="283"/>
        <w:jc w:val="left"/>
        <w:rPr>
          <w:sz w:val="21"/>
        </w:rPr>
      </w:pPr>
      <w:r>
        <w:rPr>
          <w:color w:val="231F20"/>
          <w:sz w:val="21"/>
        </w:rPr>
        <w:t>Єдиний Європейський Акт</w:t>
      </w:r>
      <w:r>
        <w:rPr>
          <w:color w:val="231F20"/>
          <w:spacing w:val="-3"/>
          <w:sz w:val="21"/>
        </w:rPr>
        <w:t xml:space="preserve"> </w:t>
      </w:r>
      <w:r>
        <w:rPr>
          <w:color w:val="231F20"/>
          <w:sz w:val="21"/>
        </w:rPr>
        <w:t>(1986);</w:t>
      </w:r>
    </w:p>
    <w:p w14:paraId="7F45D475" w14:textId="77777777" w:rsidR="00DE575E" w:rsidRDefault="002E7560">
      <w:pPr>
        <w:pStyle w:val="ListParagraph"/>
        <w:numPr>
          <w:ilvl w:val="0"/>
          <w:numId w:val="293"/>
        </w:numPr>
        <w:tabs>
          <w:tab w:val="left" w:pos="818"/>
        </w:tabs>
        <w:spacing w:before="13" w:line="252" w:lineRule="auto"/>
        <w:ind w:right="410" w:firstLine="283"/>
        <w:jc w:val="left"/>
        <w:rPr>
          <w:sz w:val="21"/>
        </w:rPr>
      </w:pPr>
      <w:r>
        <w:rPr>
          <w:color w:val="231F20"/>
          <w:sz w:val="21"/>
        </w:rPr>
        <w:t>Маастрихтська угода про Європейський Союз (1992) з його протоколами і</w:t>
      </w:r>
      <w:r>
        <w:rPr>
          <w:color w:val="231F20"/>
          <w:spacing w:val="-2"/>
          <w:sz w:val="21"/>
        </w:rPr>
        <w:t xml:space="preserve"> </w:t>
      </w:r>
      <w:r>
        <w:rPr>
          <w:color w:val="231F20"/>
          <w:sz w:val="21"/>
        </w:rPr>
        <w:t>деклараціями</w:t>
      </w:r>
      <w:r>
        <w:rPr>
          <w:color w:val="231F20"/>
          <w:sz w:val="21"/>
        </w:rPr>
        <w:t>;</w:t>
      </w:r>
    </w:p>
    <w:p w14:paraId="34F48C68" w14:textId="77777777" w:rsidR="00DE575E" w:rsidRDefault="002E7560">
      <w:pPr>
        <w:pStyle w:val="ListParagraph"/>
        <w:numPr>
          <w:ilvl w:val="0"/>
          <w:numId w:val="293"/>
        </w:numPr>
        <w:tabs>
          <w:tab w:val="left" w:pos="818"/>
        </w:tabs>
        <w:spacing w:line="252" w:lineRule="auto"/>
        <w:ind w:right="411" w:firstLine="283"/>
        <w:jc w:val="left"/>
        <w:rPr>
          <w:sz w:val="21"/>
        </w:rPr>
      </w:pPr>
      <w:r>
        <w:rPr>
          <w:color w:val="231F20"/>
          <w:sz w:val="21"/>
        </w:rPr>
        <w:t>Амстердамська угода про Європейський Союз з його протоко- лами і деклараціями</w:t>
      </w:r>
      <w:r>
        <w:rPr>
          <w:color w:val="231F20"/>
          <w:spacing w:val="-4"/>
          <w:sz w:val="21"/>
        </w:rPr>
        <w:t xml:space="preserve"> </w:t>
      </w:r>
      <w:r>
        <w:rPr>
          <w:color w:val="231F20"/>
          <w:sz w:val="21"/>
        </w:rPr>
        <w:t>(1997);</w:t>
      </w:r>
    </w:p>
    <w:p w14:paraId="24BB4E05" w14:textId="77777777" w:rsidR="00DE575E" w:rsidRDefault="002E7560">
      <w:pPr>
        <w:pStyle w:val="ListParagraph"/>
        <w:numPr>
          <w:ilvl w:val="0"/>
          <w:numId w:val="293"/>
        </w:numPr>
        <w:tabs>
          <w:tab w:val="left" w:pos="818"/>
        </w:tabs>
        <w:ind w:firstLine="283"/>
        <w:jc w:val="left"/>
        <w:rPr>
          <w:sz w:val="21"/>
        </w:rPr>
      </w:pPr>
      <w:r>
        <w:rPr>
          <w:color w:val="231F20"/>
          <w:sz w:val="21"/>
        </w:rPr>
        <w:t>Ніццька угода 2001</w:t>
      </w:r>
      <w:r>
        <w:rPr>
          <w:color w:val="231F20"/>
          <w:spacing w:val="-7"/>
          <w:sz w:val="21"/>
        </w:rPr>
        <w:t xml:space="preserve"> </w:t>
      </w:r>
      <w:r>
        <w:rPr>
          <w:color w:val="231F20"/>
          <w:sz w:val="21"/>
        </w:rPr>
        <w:t>р.;</w:t>
      </w:r>
    </w:p>
    <w:p w14:paraId="40ACE04C" w14:textId="77777777" w:rsidR="00DE575E" w:rsidRDefault="002E7560">
      <w:pPr>
        <w:pStyle w:val="ListParagraph"/>
        <w:numPr>
          <w:ilvl w:val="0"/>
          <w:numId w:val="293"/>
        </w:numPr>
        <w:tabs>
          <w:tab w:val="left" w:pos="818"/>
        </w:tabs>
        <w:spacing w:before="13" w:line="252" w:lineRule="auto"/>
        <w:ind w:right="411" w:firstLine="283"/>
        <w:jc w:val="left"/>
        <w:rPr>
          <w:sz w:val="21"/>
        </w:rPr>
      </w:pPr>
      <w:r>
        <w:rPr>
          <w:color w:val="231F20"/>
          <w:sz w:val="21"/>
        </w:rPr>
        <w:t>угода про заснування Конституції Європи від 29  жовтня  2004</w:t>
      </w:r>
      <w:r>
        <w:rPr>
          <w:color w:val="231F20"/>
          <w:spacing w:val="-6"/>
          <w:sz w:val="21"/>
        </w:rPr>
        <w:t xml:space="preserve"> </w:t>
      </w:r>
      <w:r>
        <w:rPr>
          <w:color w:val="231F20"/>
          <w:sz w:val="21"/>
        </w:rPr>
        <w:t>р.;</w:t>
      </w:r>
    </w:p>
    <w:p w14:paraId="43258C37" w14:textId="77777777" w:rsidR="00DE575E" w:rsidRDefault="002E7560">
      <w:pPr>
        <w:pStyle w:val="ListParagraph"/>
        <w:numPr>
          <w:ilvl w:val="0"/>
          <w:numId w:val="293"/>
        </w:numPr>
        <w:tabs>
          <w:tab w:val="left" w:pos="818"/>
        </w:tabs>
        <w:ind w:firstLine="283"/>
        <w:jc w:val="left"/>
        <w:rPr>
          <w:sz w:val="21"/>
        </w:rPr>
      </w:pPr>
      <w:r>
        <w:rPr>
          <w:color w:val="231F20"/>
          <w:sz w:val="21"/>
        </w:rPr>
        <w:t>конвенції між</w:t>
      </w:r>
      <w:r>
        <w:rPr>
          <w:color w:val="231F20"/>
          <w:spacing w:val="-1"/>
          <w:sz w:val="21"/>
        </w:rPr>
        <w:t xml:space="preserve"> </w:t>
      </w:r>
      <w:r>
        <w:rPr>
          <w:color w:val="231F20"/>
          <w:sz w:val="21"/>
        </w:rPr>
        <w:t>державами-членами.</w:t>
      </w:r>
    </w:p>
    <w:p w14:paraId="1280F432" w14:textId="77777777" w:rsidR="00DE575E" w:rsidRDefault="002E7560">
      <w:pPr>
        <w:spacing w:before="13" w:line="252" w:lineRule="auto"/>
        <w:ind w:left="250" w:right="521" w:firstLine="283"/>
        <w:rPr>
          <w:sz w:val="21"/>
        </w:rPr>
      </w:pPr>
      <w:r>
        <w:rPr>
          <w:color w:val="231F20"/>
          <w:sz w:val="21"/>
        </w:rPr>
        <w:t xml:space="preserve">До </w:t>
      </w:r>
      <w:r>
        <w:rPr>
          <w:b/>
          <w:i/>
          <w:color w:val="231F20"/>
          <w:sz w:val="21"/>
        </w:rPr>
        <w:t xml:space="preserve">вторинних джерел права </w:t>
      </w:r>
      <w:r>
        <w:rPr>
          <w:color w:val="231F20"/>
          <w:sz w:val="21"/>
        </w:rPr>
        <w:t>належать правові акти інститу- цій ЄС:</w:t>
      </w:r>
    </w:p>
    <w:p w14:paraId="7824F050" w14:textId="77777777" w:rsidR="00DE575E" w:rsidRDefault="00DE575E">
      <w:pPr>
        <w:pStyle w:val="BodyText"/>
        <w:rPr>
          <w:sz w:val="20"/>
        </w:rPr>
      </w:pPr>
    </w:p>
    <w:p w14:paraId="3C241836" w14:textId="587794DC" w:rsidR="00DE575E" w:rsidRDefault="002E7560">
      <w:pPr>
        <w:pStyle w:val="BodyText"/>
        <w:spacing w:before="10"/>
        <w:rPr>
          <w:sz w:val="12"/>
        </w:rPr>
      </w:pPr>
      <w:r>
        <w:rPr>
          <w:noProof/>
        </w:rPr>
        <mc:AlternateContent>
          <mc:Choice Requires="wps">
            <w:drawing>
              <wp:anchor distT="0" distB="0" distL="0" distR="0" simplePos="0" relativeHeight="3448" behindDoc="0" locked="0" layoutInCell="1" allowOverlap="1" wp14:anchorId="31D677AB" wp14:editId="2501FDF0">
                <wp:simplePos x="0" y="0"/>
                <wp:positionH relativeFrom="page">
                  <wp:posOffset>539750</wp:posOffset>
                </wp:positionH>
                <wp:positionV relativeFrom="paragraph">
                  <wp:posOffset>123825</wp:posOffset>
                </wp:positionV>
                <wp:extent cx="1080135" cy="0"/>
                <wp:effectExtent l="6350" t="9525" r="31115" b="28575"/>
                <wp:wrapTopAndBottom/>
                <wp:docPr id="1240"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CA719" id="Line_x0020_1239" o:spid="_x0000_s1026" style="position:absolute;z-index:3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5pt" to="127.55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" strokecolor="#231f20" strokeweight=".5pt">
                <w10:wrap type="topAndBottom" anchorx="page"/>
              </v:line>
            </w:pict>
          </mc:Fallback>
        </mc:AlternateContent>
      </w:r>
    </w:p>
    <w:p w14:paraId="4FC19FDD" w14:textId="77777777" w:rsidR="00DE575E" w:rsidRDefault="002E7560">
      <w:pPr>
        <w:spacing w:line="204" w:lineRule="auto"/>
        <w:ind w:left="250"/>
        <w:rPr>
          <w:sz w:val="16"/>
        </w:rPr>
      </w:pPr>
      <w:r>
        <w:rPr>
          <w:color w:val="231F20"/>
          <w:position w:val="5"/>
          <w:sz w:val="9"/>
        </w:rPr>
        <w:t xml:space="preserve">1 </w:t>
      </w:r>
      <w:r>
        <w:rPr>
          <w:color w:val="231F20"/>
          <w:sz w:val="16"/>
        </w:rPr>
        <w:t>Про Загальнодержавну програму адаптації законодавства України до законодавства Європейського Союзу: Закон від 18 березня 2004 р. № 1629-IV.</w:t>
      </w:r>
    </w:p>
    <w:p w14:paraId="521ECFBB" w14:textId="77777777" w:rsidR="00DE575E" w:rsidRDefault="00DE575E">
      <w:pPr>
        <w:pStyle w:val="BodyText"/>
        <w:spacing w:before="1"/>
        <w:rPr>
          <w:sz w:val="12"/>
        </w:rPr>
      </w:pPr>
    </w:p>
    <w:p w14:paraId="031408BC" w14:textId="77777777" w:rsidR="00DE575E" w:rsidRDefault="002E7560">
      <w:pPr>
        <w:spacing w:before="92"/>
        <w:ind w:right="411"/>
        <w:jc w:val="right"/>
        <w:rPr>
          <w:rFonts w:ascii="Times New Roman"/>
          <w:sz w:val="20"/>
        </w:rPr>
      </w:pPr>
      <w:r>
        <w:rPr>
          <w:rFonts w:ascii="Times New Roman"/>
          <w:color w:val="231F20"/>
          <w:w w:val="90"/>
          <w:sz w:val="20"/>
        </w:rPr>
        <w:t>67</w:t>
      </w:r>
    </w:p>
    <w:p w14:paraId="329FD8E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9520AF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B7C654D" w14:textId="4FB8E45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BB99EA3" wp14:editId="0E578C95">
                <wp:extent cx="4140200" cy="6350"/>
                <wp:effectExtent l="0" t="0" r="12700" b="6350"/>
                <wp:docPr id="1238"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39" name="Line 123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7F6356" id="Group_x0020_123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DT4bx/AgAAnAUAAA4A&#10;AAAAAAAAAAAAAAAALAIAAGRycy9lMm9Eb2MueG1sUEsBAi0AFAAGAAgAAAAhAEynsJDZAAAAAwEA&#10;AA8AAAAAAAAAAAAAAAAA1wQAAGRycy9kb3ducmV2LnhtbFBLBQYAAAAABAAEAPMAAADdBQAAAAA=&#10;">
                <v:line id="Line_x0020_123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hRDRsUAAADdAAAADwAAAGRycy9kb3ducmV2LnhtbERPzWrCQBC+F/oOyxS8FN1ooGh0lSII&#10;4kGr8QHG7JiE7s7G7GrSPn23UOhtPr7fWax6a8SDWl87VjAeJSCIC6drLhWc881wCsIHZI3GMSn4&#10;Ig+r5fPTAjPtOj7S4xRKEUPYZ6igCqHJpPRFRRb9yDXEkbu61mKIsC2lbrGL4dbISZK8SYs1x4YK&#10;G1pXVHye7lZBfnsN5uOwM11+uKTyctun3/e9UoOX/n0OIlAf/sV/7q2O8yfpD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hRDRsUAAADdAAAADwAAAAAAAAAA&#10;AAAAAAChAgAAZHJzL2Rvd25yZXYueG1sUEsFBgAAAAAEAAQA+QAAAJMDAAAAAA==&#10;" strokecolor="#231f20" strokeweight=".5pt"/>
                <w10:anchorlock/>
              </v:group>
            </w:pict>
          </mc:Fallback>
        </mc:AlternateContent>
      </w:r>
    </w:p>
    <w:p w14:paraId="0E470933" w14:textId="77777777" w:rsidR="00DE575E" w:rsidRDefault="00DE575E">
      <w:pPr>
        <w:pStyle w:val="BodyText"/>
        <w:spacing w:before="7"/>
        <w:rPr>
          <w:rFonts w:ascii="AdonisC"/>
          <w:i/>
          <w:sz w:val="11"/>
        </w:rPr>
      </w:pPr>
    </w:p>
    <w:p w14:paraId="5638B547" w14:textId="77777777" w:rsidR="00DE575E" w:rsidRDefault="002E7560">
      <w:pPr>
        <w:pStyle w:val="ListParagraph"/>
        <w:numPr>
          <w:ilvl w:val="1"/>
          <w:numId w:val="293"/>
        </w:numPr>
        <w:tabs>
          <w:tab w:val="left" w:pos="1101"/>
        </w:tabs>
        <w:spacing w:before="101" w:line="254" w:lineRule="auto"/>
        <w:ind w:right="126" w:firstLine="284"/>
        <w:rPr>
          <w:sz w:val="21"/>
        </w:rPr>
      </w:pPr>
      <w:r>
        <w:rPr>
          <w:b/>
          <w:i/>
          <w:color w:val="231F20"/>
          <w:sz w:val="21"/>
        </w:rPr>
        <w:t xml:space="preserve">регламенти </w:t>
      </w:r>
      <w:r>
        <w:rPr>
          <w:i/>
          <w:color w:val="231F20"/>
          <w:sz w:val="21"/>
        </w:rPr>
        <w:t xml:space="preserve">– </w:t>
      </w:r>
      <w:r>
        <w:rPr>
          <w:color w:val="231F20"/>
          <w:sz w:val="21"/>
        </w:rPr>
        <w:t xml:space="preserve">нормативні правові акти загального харак- </w:t>
      </w:r>
      <w:r>
        <w:rPr>
          <w:color w:val="231F20"/>
          <w:spacing w:val="-5"/>
          <w:sz w:val="21"/>
        </w:rPr>
        <w:t xml:space="preserve">теру. </w:t>
      </w:r>
      <w:r>
        <w:rPr>
          <w:color w:val="231F20"/>
          <w:sz w:val="21"/>
        </w:rPr>
        <w:t xml:space="preserve">Вони є обов’язковими у всіх своїх елементах для всіх </w:t>
      </w:r>
      <w:r>
        <w:rPr>
          <w:color w:val="231F20"/>
          <w:spacing w:val="-3"/>
          <w:sz w:val="21"/>
        </w:rPr>
        <w:t xml:space="preserve">суб’єктів </w:t>
      </w:r>
      <w:r>
        <w:rPr>
          <w:color w:val="231F20"/>
          <w:sz w:val="21"/>
        </w:rPr>
        <w:t xml:space="preserve">права ЄС і є актами прямої дії для країн-учасниць ЄС, тобто підляга- ють застосуванню владою та </w:t>
      </w:r>
      <w:r>
        <w:rPr>
          <w:color w:val="231F20"/>
          <w:spacing w:val="-3"/>
          <w:sz w:val="21"/>
        </w:rPr>
        <w:t xml:space="preserve">судовими </w:t>
      </w:r>
      <w:r>
        <w:rPr>
          <w:color w:val="231F20"/>
          <w:sz w:val="21"/>
        </w:rPr>
        <w:t xml:space="preserve">органами всіх держав-членів незалежно від того, чи виступала певна держава за їх ухвалення. </w:t>
      </w:r>
      <w:r>
        <w:rPr>
          <w:color w:val="231F20"/>
          <w:spacing w:val="-7"/>
          <w:sz w:val="21"/>
        </w:rPr>
        <w:t xml:space="preserve">Усі </w:t>
      </w:r>
      <w:r>
        <w:rPr>
          <w:color w:val="231F20"/>
          <w:sz w:val="21"/>
        </w:rPr>
        <w:t>регламенти підлягають обов’язковій публікації в офіційн</w:t>
      </w:r>
      <w:r>
        <w:rPr>
          <w:color w:val="231F20"/>
          <w:sz w:val="21"/>
        </w:rPr>
        <w:t>ому органі ЄС – Journal offіcіal – і набирають чинності, якщо інше не встанов- лено в самому акті, на 20-й день після</w:t>
      </w:r>
      <w:r>
        <w:rPr>
          <w:color w:val="231F20"/>
          <w:spacing w:val="-8"/>
          <w:sz w:val="21"/>
        </w:rPr>
        <w:t xml:space="preserve"> </w:t>
      </w:r>
      <w:r>
        <w:rPr>
          <w:color w:val="231F20"/>
          <w:sz w:val="21"/>
        </w:rPr>
        <w:t>опублікування.</w:t>
      </w:r>
    </w:p>
    <w:p w14:paraId="588F5722" w14:textId="77777777" w:rsidR="00DE575E" w:rsidRDefault="002E7560">
      <w:pPr>
        <w:pStyle w:val="BodyText"/>
        <w:spacing w:before="5" w:line="254" w:lineRule="auto"/>
        <w:ind w:left="533" w:right="124" w:firstLine="283"/>
        <w:jc w:val="both"/>
      </w:pPr>
      <w:r>
        <w:rPr>
          <w:color w:val="231F20"/>
          <w:u w:val="single" w:color="231F20"/>
        </w:rPr>
        <w:t>Наприклад</w:t>
      </w:r>
      <w:r>
        <w:rPr>
          <w:color w:val="231F20"/>
        </w:rPr>
        <w:t>: Регламент (ЄС) № 853/2004 Європейського Парла- менту і Ради від 29 квітня 2004 р., що встановлює спеціальні гігі- єнічні правила для харчових продуктів тваринного походження; Регламент Комісії (Євроатом) № 944/89 від 12  квітня  1989 р.,  яким установлюю</w:t>
      </w:r>
      <w:r>
        <w:rPr>
          <w:color w:val="231F20"/>
        </w:rPr>
        <w:t>ться максимально припустимі рівні радіоактив- ного зараження другорядних продуктів харчування після ядерної аварії чи будь-якого іншого випадку радіологічного надзвичай- ного</w:t>
      </w:r>
      <w:r>
        <w:rPr>
          <w:color w:val="231F20"/>
          <w:spacing w:val="3"/>
        </w:rPr>
        <w:t xml:space="preserve"> </w:t>
      </w:r>
      <w:r>
        <w:rPr>
          <w:color w:val="231F20"/>
        </w:rPr>
        <w:t>стану;</w:t>
      </w:r>
    </w:p>
    <w:p w14:paraId="0E0E943D" w14:textId="77777777" w:rsidR="00DE575E" w:rsidRDefault="002E7560">
      <w:pPr>
        <w:pStyle w:val="ListParagraph"/>
        <w:numPr>
          <w:ilvl w:val="1"/>
          <w:numId w:val="293"/>
        </w:numPr>
        <w:tabs>
          <w:tab w:val="left" w:pos="1101"/>
        </w:tabs>
        <w:spacing w:before="6" w:line="254" w:lineRule="auto"/>
        <w:ind w:right="127" w:firstLine="284"/>
        <w:rPr>
          <w:sz w:val="21"/>
        </w:rPr>
      </w:pPr>
      <w:r>
        <w:rPr>
          <w:b/>
          <w:i/>
          <w:color w:val="231F20"/>
          <w:sz w:val="21"/>
        </w:rPr>
        <w:t>директиви</w:t>
      </w:r>
      <w:r>
        <w:rPr>
          <w:color w:val="231F20"/>
          <w:sz w:val="21"/>
        </w:rPr>
        <w:t xml:space="preserve">, </w:t>
      </w:r>
      <w:r>
        <w:rPr>
          <w:i/>
          <w:color w:val="231F20"/>
          <w:sz w:val="21"/>
        </w:rPr>
        <w:t xml:space="preserve">– </w:t>
      </w:r>
      <w:r>
        <w:rPr>
          <w:color w:val="231F20"/>
          <w:sz w:val="21"/>
        </w:rPr>
        <w:t xml:space="preserve">головна відмінність яких від регламенту поля- гає в </w:t>
      </w:r>
      <w:r>
        <w:rPr>
          <w:color w:val="231F20"/>
          <w:spacing w:val="-4"/>
          <w:sz w:val="21"/>
        </w:rPr>
        <w:t xml:space="preserve">тому, </w:t>
      </w:r>
      <w:r>
        <w:rPr>
          <w:color w:val="231F20"/>
          <w:sz w:val="21"/>
        </w:rPr>
        <w:t xml:space="preserve">що </w:t>
      </w:r>
      <w:r>
        <w:rPr>
          <w:color w:val="231F20"/>
          <w:sz w:val="21"/>
        </w:rPr>
        <w:t xml:space="preserve">в директиві зазвичай вказуються мета й </w:t>
      </w:r>
      <w:r>
        <w:rPr>
          <w:color w:val="231F20"/>
          <w:spacing w:val="-3"/>
          <w:sz w:val="21"/>
        </w:rPr>
        <w:t xml:space="preserve">результати, </w:t>
      </w:r>
      <w:r>
        <w:rPr>
          <w:color w:val="231F20"/>
          <w:sz w:val="21"/>
        </w:rPr>
        <w:t>яких має бути досягнуто, однак національній владі надається право самій</w:t>
      </w:r>
      <w:r>
        <w:rPr>
          <w:color w:val="231F20"/>
          <w:spacing w:val="-10"/>
          <w:sz w:val="21"/>
        </w:rPr>
        <w:t xml:space="preserve"> </w:t>
      </w:r>
      <w:r>
        <w:rPr>
          <w:color w:val="231F20"/>
          <w:sz w:val="21"/>
        </w:rPr>
        <w:t>визначати,</w:t>
      </w:r>
      <w:r>
        <w:rPr>
          <w:color w:val="231F20"/>
          <w:spacing w:val="-10"/>
          <w:sz w:val="21"/>
        </w:rPr>
        <w:t xml:space="preserve"> </w:t>
      </w:r>
      <w:r>
        <w:rPr>
          <w:color w:val="231F20"/>
          <w:sz w:val="21"/>
        </w:rPr>
        <w:t>в</w:t>
      </w:r>
      <w:r>
        <w:rPr>
          <w:color w:val="231F20"/>
          <w:spacing w:val="-10"/>
          <w:sz w:val="21"/>
        </w:rPr>
        <w:t xml:space="preserve"> </w:t>
      </w:r>
      <w:r>
        <w:rPr>
          <w:color w:val="231F20"/>
          <w:sz w:val="21"/>
        </w:rPr>
        <w:t>якій</w:t>
      </w:r>
      <w:r>
        <w:rPr>
          <w:color w:val="231F20"/>
          <w:spacing w:val="-10"/>
          <w:sz w:val="21"/>
        </w:rPr>
        <w:t xml:space="preserve"> </w:t>
      </w:r>
      <w:r>
        <w:rPr>
          <w:color w:val="231F20"/>
          <w:sz w:val="21"/>
        </w:rPr>
        <w:t>формі</w:t>
      </w:r>
      <w:r>
        <w:rPr>
          <w:color w:val="231F20"/>
          <w:spacing w:val="-10"/>
          <w:sz w:val="21"/>
        </w:rPr>
        <w:t xml:space="preserve"> </w:t>
      </w:r>
      <w:r>
        <w:rPr>
          <w:color w:val="231F20"/>
          <w:sz w:val="21"/>
        </w:rPr>
        <w:t>чи</w:t>
      </w:r>
      <w:r>
        <w:rPr>
          <w:color w:val="231F20"/>
          <w:spacing w:val="-10"/>
          <w:sz w:val="21"/>
        </w:rPr>
        <w:t xml:space="preserve"> </w:t>
      </w:r>
      <w:r>
        <w:rPr>
          <w:color w:val="231F20"/>
          <w:sz w:val="21"/>
        </w:rPr>
        <w:t>за</w:t>
      </w:r>
      <w:r>
        <w:rPr>
          <w:color w:val="231F20"/>
          <w:spacing w:val="-10"/>
          <w:sz w:val="21"/>
        </w:rPr>
        <w:t xml:space="preserve"> </w:t>
      </w:r>
      <w:r>
        <w:rPr>
          <w:color w:val="231F20"/>
          <w:sz w:val="21"/>
        </w:rPr>
        <w:t>допомогою</w:t>
      </w:r>
      <w:r>
        <w:rPr>
          <w:color w:val="231F20"/>
          <w:spacing w:val="-10"/>
          <w:sz w:val="21"/>
        </w:rPr>
        <w:t xml:space="preserve"> </w:t>
      </w:r>
      <w:r>
        <w:rPr>
          <w:color w:val="231F20"/>
          <w:sz w:val="21"/>
        </w:rPr>
        <w:t>яких</w:t>
      </w:r>
      <w:r>
        <w:rPr>
          <w:color w:val="231F20"/>
          <w:spacing w:val="-10"/>
          <w:sz w:val="21"/>
        </w:rPr>
        <w:t xml:space="preserve"> </w:t>
      </w:r>
      <w:r>
        <w:rPr>
          <w:color w:val="231F20"/>
          <w:sz w:val="21"/>
        </w:rPr>
        <w:t>процедур</w:t>
      </w:r>
      <w:r>
        <w:rPr>
          <w:color w:val="231F20"/>
          <w:spacing w:val="-10"/>
          <w:sz w:val="21"/>
        </w:rPr>
        <w:t xml:space="preserve"> </w:t>
      </w:r>
      <w:r>
        <w:rPr>
          <w:color w:val="231F20"/>
          <w:sz w:val="21"/>
        </w:rPr>
        <w:t>і</w:t>
      </w:r>
      <w:r>
        <w:rPr>
          <w:color w:val="231F20"/>
          <w:spacing w:val="-10"/>
          <w:sz w:val="21"/>
        </w:rPr>
        <w:t xml:space="preserve"> </w:t>
      </w:r>
      <w:r>
        <w:rPr>
          <w:color w:val="231F20"/>
          <w:sz w:val="21"/>
        </w:rPr>
        <w:t>меха- нізмів ця мета може бути</w:t>
      </w:r>
      <w:r>
        <w:rPr>
          <w:color w:val="231F20"/>
          <w:spacing w:val="-2"/>
          <w:sz w:val="21"/>
        </w:rPr>
        <w:t xml:space="preserve"> </w:t>
      </w:r>
      <w:r>
        <w:rPr>
          <w:color w:val="231F20"/>
          <w:sz w:val="21"/>
        </w:rPr>
        <w:t>досягнута.</w:t>
      </w:r>
    </w:p>
    <w:p w14:paraId="60599650" w14:textId="77777777" w:rsidR="00DE575E" w:rsidRDefault="002E7560">
      <w:pPr>
        <w:spacing w:before="3"/>
        <w:ind w:left="817"/>
        <w:rPr>
          <w:i/>
          <w:sz w:val="21"/>
        </w:rPr>
      </w:pPr>
      <w:r>
        <w:rPr>
          <w:i/>
          <w:color w:val="231F20"/>
          <w:sz w:val="21"/>
          <w:u w:val="single" w:color="231F20"/>
        </w:rPr>
        <w:t>Наприклад</w:t>
      </w:r>
      <w:r>
        <w:rPr>
          <w:i/>
          <w:color w:val="231F20"/>
          <w:sz w:val="21"/>
        </w:rPr>
        <w:t>:</w:t>
      </w:r>
    </w:p>
    <w:p w14:paraId="67E87711" w14:textId="77777777" w:rsidR="00DE575E" w:rsidRDefault="002E7560">
      <w:pPr>
        <w:pStyle w:val="ListParagraph"/>
        <w:numPr>
          <w:ilvl w:val="0"/>
          <w:numId w:val="287"/>
        </w:numPr>
        <w:tabs>
          <w:tab w:val="left" w:pos="1101"/>
        </w:tabs>
        <w:spacing w:before="16" w:line="254" w:lineRule="auto"/>
        <w:ind w:right="128" w:firstLine="284"/>
        <w:rPr>
          <w:i/>
          <w:sz w:val="21"/>
        </w:rPr>
      </w:pPr>
      <w:r>
        <w:rPr>
          <w:i/>
          <w:color w:val="231F20"/>
          <w:sz w:val="21"/>
        </w:rPr>
        <w:t>Директива Ради 92/50/ЄЕС</w:t>
      </w:r>
      <w:r>
        <w:rPr>
          <w:i/>
          <w:color w:val="231F20"/>
          <w:sz w:val="21"/>
        </w:rPr>
        <w:t xml:space="preserve"> від 18 червня 1992 р., що координує розміщення державних замовлень у сфері</w:t>
      </w:r>
      <w:r>
        <w:rPr>
          <w:i/>
          <w:color w:val="231F20"/>
          <w:spacing w:val="-6"/>
          <w:sz w:val="21"/>
        </w:rPr>
        <w:t xml:space="preserve"> </w:t>
      </w:r>
      <w:r>
        <w:rPr>
          <w:i/>
          <w:color w:val="231F20"/>
          <w:sz w:val="21"/>
        </w:rPr>
        <w:t>послуг;</w:t>
      </w:r>
    </w:p>
    <w:p w14:paraId="5C2CB89E" w14:textId="77777777" w:rsidR="00DE575E" w:rsidRDefault="002E7560">
      <w:pPr>
        <w:pStyle w:val="ListParagraph"/>
        <w:numPr>
          <w:ilvl w:val="0"/>
          <w:numId w:val="287"/>
        </w:numPr>
        <w:tabs>
          <w:tab w:val="left" w:pos="1101"/>
        </w:tabs>
        <w:spacing w:line="254" w:lineRule="auto"/>
        <w:ind w:right="128" w:firstLine="284"/>
        <w:rPr>
          <w:i/>
          <w:sz w:val="21"/>
        </w:rPr>
      </w:pPr>
      <w:r>
        <w:rPr>
          <w:i/>
          <w:color w:val="231F20"/>
          <w:sz w:val="21"/>
        </w:rPr>
        <w:t>Директива Ради 93/36/ЄЕС від 14 червня 1993 р. щодо проце- дур</w:t>
      </w:r>
      <w:r>
        <w:rPr>
          <w:i/>
          <w:color w:val="231F20"/>
          <w:spacing w:val="-7"/>
          <w:sz w:val="21"/>
        </w:rPr>
        <w:t xml:space="preserve"> </w:t>
      </w:r>
      <w:r>
        <w:rPr>
          <w:i/>
          <w:color w:val="231F20"/>
          <w:sz w:val="21"/>
        </w:rPr>
        <w:t>координування</w:t>
      </w:r>
      <w:r>
        <w:rPr>
          <w:i/>
          <w:color w:val="231F20"/>
          <w:spacing w:val="-6"/>
          <w:sz w:val="21"/>
        </w:rPr>
        <w:t xml:space="preserve"> </w:t>
      </w:r>
      <w:r>
        <w:rPr>
          <w:i/>
          <w:color w:val="231F20"/>
          <w:sz w:val="21"/>
        </w:rPr>
        <w:t>укладання</w:t>
      </w:r>
      <w:r>
        <w:rPr>
          <w:i/>
          <w:color w:val="231F20"/>
          <w:spacing w:val="-6"/>
          <w:sz w:val="21"/>
        </w:rPr>
        <w:t xml:space="preserve"> </w:t>
      </w:r>
      <w:r>
        <w:rPr>
          <w:i/>
          <w:color w:val="231F20"/>
          <w:sz w:val="21"/>
        </w:rPr>
        <w:t>державних</w:t>
      </w:r>
      <w:r>
        <w:rPr>
          <w:i/>
          <w:color w:val="231F20"/>
          <w:spacing w:val="-7"/>
          <w:sz w:val="21"/>
        </w:rPr>
        <w:t xml:space="preserve"> </w:t>
      </w:r>
      <w:r>
        <w:rPr>
          <w:i/>
          <w:color w:val="231F20"/>
          <w:sz w:val="21"/>
        </w:rPr>
        <w:t>контрактів</w:t>
      </w:r>
      <w:r>
        <w:rPr>
          <w:i/>
          <w:color w:val="231F20"/>
          <w:spacing w:val="-7"/>
          <w:sz w:val="21"/>
        </w:rPr>
        <w:t xml:space="preserve"> </w:t>
      </w:r>
      <w:r>
        <w:rPr>
          <w:i/>
          <w:color w:val="231F20"/>
          <w:sz w:val="21"/>
        </w:rPr>
        <w:t>на</w:t>
      </w:r>
      <w:r>
        <w:rPr>
          <w:i/>
          <w:color w:val="231F20"/>
          <w:spacing w:val="-7"/>
          <w:sz w:val="21"/>
        </w:rPr>
        <w:t xml:space="preserve"> </w:t>
      </w:r>
      <w:r>
        <w:rPr>
          <w:i/>
          <w:color w:val="231F20"/>
          <w:sz w:val="21"/>
        </w:rPr>
        <w:t>постачання товарів;</w:t>
      </w:r>
    </w:p>
    <w:p w14:paraId="3AB35F63" w14:textId="77777777" w:rsidR="00DE575E" w:rsidRDefault="002E7560">
      <w:pPr>
        <w:pStyle w:val="ListParagraph"/>
        <w:numPr>
          <w:ilvl w:val="0"/>
          <w:numId w:val="287"/>
        </w:numPr>
        <w:tabs>
          <w:tab w:val="left" w:pos="1101"/>
        </w:tabs>
        <w:spacing w:before="2" w:line="254" w:lineRule="auto"/>
        <w:ind w:right="128" w:firstLine="284"/>
        <w:rPr>
          <w:i/>
          <w:sz w:val="21"/>
        </w:rPr>
      </w:pPr>
      <w:r>
        <w:rPr>
          <w:i/>
          <w:color w:val="231F20"/>
          <w:sz w:val="21"/>
        </w:rPr>
        <w:t>Директива Ради від 21 грудня 1989 р. про координацію законів, підзаконних</w:t>
      </w:r>
      <w:r>
        <w:rPr>
          <w:i/>
          <w:color w:val="231F20"/>
          <w:spacing w:val="-12"/>
          <w:sz w:val="21"/>
        </w:rPr>
        <w:t xml:space="preserve"> </w:t>
      </w:r>
      <w:r>
        <w:rPr>
          <w:i/>
          <w:color w:val="231F20"/>
          <w:sz w:val="21"/>
        </w:rPr>
        <w:t>актів</w:t>
      </w:r>
      <w:r>
        <w:rPr>
          <w:i/>
          <w:color w:val="231F20"/>
          <w:spacing w:val="-12"/>
          <w:sz w:val="21"/>
        </w:rPr>
        <w:t xml:space="preserve"> </w:t>
      </w:r>
      <w:r>
        <w:rPr>
          <w:i/>
          <w:color w:val="231F20"/>
          <w:sz w:val="21"/>
        </w:rPr>
        <w:t>та</w:t>
      </w:r>
      <w:r>
        <w:rPr>
          <w:i/>
          <w:color w:val="231F20"/>
          <w:spacing w:val="-12"/>
          <w:sz w:val="21"/>
        </w:rPr>
        <w:t xml:space="preserve"> </w:t>
      </w:r>
      <w:r>
        <w:rPr>
          <w:i/>
          <w:color w:val="231F20"/>
          <w:sz w:val="21"/>
        </w:rPr>
        <w:t>адміністративних</w:t>
      </w:r>
      <w:r>
        <w:rPr>
          <w:i/>
          <w:color w:val="231F20"/>
          <w:spacing w:val="-12"/>
          <w:sz w:val="21"/>
        </w:rPr>
        <w:t xml:space="preserve"> </w:t>
      </w:r>
      <w:r>
        <w:rPr>
          <w:i/>
          <w:color w:val="231F20"/>
          <w:sz w:val="21"/>
        </w:rPr>
        <w:t>положень</w:t>
      </w:r>
      <w:r>
        <w:rPr>
          <w:i/>
          <w:color w:val="231F20"/>
          <w:spacing w:val="-12"/>
          <w:sz w:val="21"/>
        </w:rPr>
        <w:t xml:space="preserve"> </w:t>
      </w:r>
      <w:r>
        <w:rPr>
          <w:i/>
          <w:color w:val="231F20"/>
          <w:sz w:val="21"/>
        </w:rPr>
        <w:t>про</w:t>
      </w:r>
      <w:r>
        <w:rPr>
          <w:i/>
          <w:color w:val="231F20"/>
          <w:spacing w:val="-12"/>
          <w:sz w:val="21"/>
        </w:rPr>
        <w:t xml:space="preserve"> </w:t>
      </w:r>
      <w:r>
        <w:rPr>
          <w:i/>
          <w:color w:val="231F20"/>
          <w:sz w:val="21"/>
        </w:rPr>
        <w:t>застосування процедур перевірки надання контрактів на державні поставки та виконання державних робіт</w:t>
      </w:r>
      <w:r>
        <w:rPr>
          <w:i/>
          <w:color w:val="231F20"/>
          <w:spacing w:val="-4"/>
          <w:sz w:val="21"/>
        </w:rPr>
        <w:t xml:space="preserve"> </w:t>
      </w:r>
      <w:r>
        <w:rPr>
          <w:i/>
          <w:color w:val="231F20"/>
          <w:sz w:val="21"/>
        </w:rPr>
        <w:t>(89/665/ЄЕС);</w:t>
      </w:r>
    </w:p>
    <w:p w14:paraId="0E5F3894" w14:textId="77777777" w:rsidR="00DE575E" w:rsidRDefault="002E7560">
      <w:pPr>
        <w:pStyle w:val="ListParagraph"/>
        <w:numPr>
          <w:ilvl w:val="1"/>
          <w:numId w:val="293"/>
        </w:numPr>
        <w:tabs>
          <w:tab w:val="left" w:pos="1101"/>
        </w:tabs>
        <w:spacing w:before="0" w:line="247" w:lineRule="auto"/>
        <w:ind w:right="128" w:firstLine="284"/>
        <w:rPr>
          <w:sz w:val="21"/>
        </w:rPr>
      </w:pPr>
      <w:r>
        <w:rPr>
          <w:b/>
          <w:i/>
          <w:color w:val="231F20"/>
          <w:sz w:val="21"/>
        </w:rPr>
        <w:t>рішення Ради або ЄК (Європей</w:t>
      </w:r>
      <w:r>
        <w:rPr>
          <w:b/>
          <w:i/>
          <w:color w:val="231F20"/>
          <w:sz w:val="21"/>
        </w:rPr>
        <w:t>ської Комісії)</w:t>
      </w:r>
      <w:r>
        <w:rPr>
          <w:color w:val="231F20"/>
          <w:sz w:val="21"/>
        </w:rPr>
        <w:t xml:space="preserve">, відмітна риса яких полягає в </w:t>
      </w:r>
      <w:r>
        <w:rPr>
          <w:color w:val="231F20"/>
          <w:spacing w:val="-4"/>
          <w:sz w:val="21"/>
        </w:rPr>
        <w:t xml:space="preserve">тому, </w:t>
      </w:r>
      <w:r>
        <w:rPr>
          <w:color w:val="231F20"/>
          <w:sz w:val="21"/>
        </w:rPr>
        <w:t xml:space="preserve">що це акти індивідуального, а не загального </w:t>
      </w:r>
      <w:r>
        <w:rPr>
          <w:color w:val="231F20"/>
          <w:spacing w:val="-3"/>
          <w:sz w:val="21"/>
        </w:rPr>
        <w:t>характеру.</w:t>
      </w:r>
    </w:p>
    <w:p w14:paraId="760A308C" w14:textId="77777777" w:rsidR="00DE575E" w:rsidRDefault="002E7560">
      <w:pPr>
        <w:pStyle w:val="BodyText"/>
        <w:spacing w:line="247" w:lineRule="auto"/>
        <w:ind w:left="533" w:right="128" w:firstLine="283"/>
        <w:jc w:val="both"/>
      </w:pPr>
      <w:r>
        <w:rPr>
          <w:color w:val="231F20"/>
          <w:spacing w:val="-3"/>
        </w:rPr>
        <w:t xml:space="preserve">Будучи </w:t>
      </w:r>
      <w:r>
        <w:rPr>
          <w:color w:val="231F20"/>
        </w:rPr>
        <w:t>обов’язковими для своїх адресатів, вони здебільшого стосуються спеціальних, вузьких, часто технічних питань і обов’яз- кові</w:t>
      </w:r>
      <w:r>
        <w:rPr>
          <w:color w:val="231F20"/>
          <w:spacing w:val="-14"/>
        </w:rPr>
        <w:t xml:space="preserve"> </w:t>
      </w:r>
      <w:r>
        <w:rPr>
          <w:color w:val="231F20"/>
        </w:rPr>
        <w:t>тільки</w:t>
      </w:r>
      <w:r>
        <w:rPr>
          <w:color w:val="231F20"/>
          <w:spacing w:val="-14"/>
        </w:rPr>
        <w:t xml:space="preserve"> </w:t>
      </w:r>
      <w:r>
        <w:rPr>
          <w:color w:val="231F20"/>
        </w:rPr>
        <w:t>для</w:t>
      </w:r>
      <w:r>
        <w:rPr>
          <w:color w:val="231F20"/>
          <w:spacing w:val="-14"/>
        </w:rPr>
        <w:t xml:space="preserve"> </w:t>
      </w:r>
      <w:r>
        <w:rPr>
          <w:color w:val="231F20"/>
        </w:rPr>
        <w:t>тих</w:t>
      </w:r>
      <w:r>
        <w:rPr>
          <w:color w:val="231F20"/>
          <w:spacing w:val="-14"/>
        </w:rPr>
        <w:t xml:space="preserve"> </w:t>
      </w:r>
      <w:r>
        <w:rPr>
          <w:color w:val="231F20"/>
          <w:spacing w:val="-3"/>
        </w:rPr>
        <w:t>суб’єктів,</w:t>
      </w:r>
      <w:r>
        <w:rPr>
          <w:color w:val="231F20"/>
          <w:spacing w:val="-14"/>
        </w:rPr>
        <w:t xml:space="preserve"> </w:t>
      </w:r>
      <w:r>
        <w:rPr>
          <w:color w:val="231F20"/>
        </w:rPr>
        <w:t>яким</w:t>
      </w:r>
      <w:r>
        <w:rPr>
          <w:color w:val="231F20"/>
          <w:spacing w:val="-14"/>
        </w:rPr>
        <w:t xml:space="preserve"> </w:t>
      </w:r>
      <w:r>
        <w:rPr>
          <w:color w:val="231F20"/>
        </w:rPr>
        <w:t>вони</w:t>
      </w:r>
      <w:r>
        <w:rPr>
          <w:color w:val="231F20"/>
          <w:spacing w:val="-14"/>
        </w:rPr>
        <w:t xml:space="preserve"> </w:t>
      </w:r>
      <w:r>
        <w:rPr>
          <w:color w:val="231F20"/>
        </w:rPr>
        <w:t>адресовані.</w:t>
      </w:r>
      <w:r>
        <w:rPr>
          <w:color w:val="231F20"/>
          <w:spacing w:val="-14"/>
        </w:rPr>
        <w:t xml:space="preserve"> </w:t>
      </w:r>
      <w:r>
        <w:rPr>
          <w:color w:val="231F20"/>
        </w:rPr>
        <w:t>До</w:t>
      </w:r>
      <w:r>
        <w:rPr>
          <w:color w:val="231F20"/>
          <w:spacing w:val="-14"/>
        </w:rPr>
        <w:t xml:space="preserve"> </w:t>
      </w:r>
      <w:r>
        <w:rPr>
          <w:color w:val="231F20"/>
        </w:rPr>
        <w:t>того</w:t>
      </w:r>
      <w:r>
        <w:rPr>
          <w:color w:val="231F20"/>
          <w:spacing w:val="-14"/>
        </w:rPr>
        <w:t xml:space="preserve"> </w:t>
      </w:r>
      <w:r>
        <w:rPr>
          <w:color w:val="231F20"/>
        </w:rPr>
        <w:t>ж</w:t>
      </w:r>
      <w:r>
        <w:rPr>
          <w:color w:val="231F20"/>
          <w:spacing w:val="-14"/>
        </w:rPr>
        <w:t xml:space="preserve"> </w:t>
      </w:r>
      <w:r>
        <w:rPr>
          <w:color w:val="231F20"/>
        </w:rPr>
        <w:t>адреса- том</w:t>
      </w:r>
      <w:r>
        <w:rPr>
          <w:color w:val="231F20"/>
          <w:spacing w:val="-5"/>
        </w:rPr>
        <w:t xml:space="preserve"> </w:t>
      </w:r>
      <w:r>
        <w:rPr>
          <w:color w:val="231F20"/>
        </w:rPr>
        <w:t>не</w:t>
      </w:r>
      <w:r>
        <w:rPr>
          <w:color w:val="231F20"/>
          <w:spacing w:val="-5"/>
        </w:rPr>
        <w:t xml:space="preserve"> </w:t>
      </w:r>
      <w:r>
        <w:rPr>
          <w:color w:val="231F20"/>
        </w:rPr>
        <w:t>обов’язково</w:t>
      </w:r>
      <w:r>
        <w:rPr>
          <w:color w:val="231F20"/>
          <w:spacing w:val="-5"/>
        </w:rPr>
        <w:t xml:space="preserve"> </w:t>
      </w:r>
      <w:r>
        <w:rPr>
          <w:color w:val="231F20"/>
        </w:rPr>
        <w:t>має</w:t>
      </w:r>
      <w:r>
        <w:rPr>
          <w:color w:val="231F20"/>
          <w:spacing w:val="-5"/>
        </w:rPr>
        <w:t xml:space="preserve"> </w:t>
      </w:r>
      <w:r>
        <w:rPr>
          <w:color w:val="231F20"/>
        </w:rPr>
        <w:t>бути</w:t>
      </w:r>
      <w:r>
        <w:rPr>
          <w:color w:val="231F20"/>
          <w:spacing w:val="-5"/>
        </w:rPr>
        <w:t xml:space="preserve"> </w:t>
      </w:r>
      <w:r>
        <w:rPr>
          <w:color w:val="231F20"/>
        </w:rPr>
        <w:t>держава</w:t>
      </w:r>
      <w:r>
        <w:rPr>
          <w:color w:val="231F20"/>
          <w:spacing w:val="-6"/>
        </w:rPr>
        <w:t xml:space="preserve"> </w:t>
      </w:r>
      <w:r>
        <w:rPr>
          <w:color w:val="231F20"/>
        </w:rPr>
        <w:t>–</w:t>
      </w:r>
      <w:r>
        <w:rPr>
          <w:color w:val="231F20"/>
          <w:spacing w:val="-5"/>
        </w:rPr>
        <w:t xml:space="preserve"> </w:t>
      </w:r>
      <w:r>
        <w:rPr>
          <w:color w:val="231F20"/>
        </w:rPr>
        <w:t>це</w:t>
      </w:r>
      <w:r>
        <w:rPr>
          <w:color w:val="231F20"/>
          <w:spacing w:val="-5"/>
        </w:rPr>
        <w:t xml:space="preserve"> </w:t>
      </w:r>
      <w:r>
        <w:rPr>
          <w:color w:val="231F20"/>
        </w:rPr>
        <w:t>можуть</w:t>
      </w:r>
      <w:r>
        <w:rPr>
          <w:color w:val="231F20"/>
          <w:spacing w:val="-5"/>
        </w:rPr>
        <w:t xml:space="preserve"> </w:t>
      </w:r>
      <w:r>
        <w:rPr>
          <w:color w:val="231F20"/>
        </w:rPr>
        <w:t>бути</w:t>
      </w:r>
      <w:r>
        <w:rPr>
          <w:color w:val="231F20"/>
          <w:spacing w:val="-5"/>
        </w:rPr>
        <w:t xml:space="preserve"> </w:t>
      </w:r>
      <w:r>
        <w:rPr>
          <w:color w:val="231F20"/>
        </w:rPr>
        <w:t>певні</w:t>
      </w:r>
      <w:r>
        <w:rPr>
          <w:color w:val="231F20"/>
          <w:spacing w:val="-5"/>
        </w:rPr>
        <w:t xml:space="preserve"> </w:t>
      </w:r>
      <w:r>
        <w:rPr>
          <w:color w:val="231F20"/>
        </w:rPr>
        <w:t>катего- рії юридичних осіб або навіть окремі юридичні особи. За</w:t>
      </w:r>
      <w:r>
        <w:rPr>
          <w:color w:val="231F20"/>
          <w:spacing w:val="21"/>
        </w:rPr>
        <w:t xml:space="preserve"> </w:t>
      </w:r>
      <w:r>
        <w:rPr>
          <w:color w:val="231F20"/>
        </w:rPr>
        <w:t>загальним</w:t>
      </w:r>
    </w:p>
    <w:p w14:paraId="7FF56032" w14:textId="77777777" w:rsidR="00DE575E" w:rsidRDefault="00DE575E">
      <w:pPr>
        <w:pStyle w:val="BodyText"/>
        <w:spacing w:before="3"/>
        <w:rPr>
          <w:sz w:val="9"/>
        </w:rPr>
      </w:pPr>
    </w:p>
    <w:p w14:paraId="03784964" w14:textId="77777777" w:rsidR="00DE575E" w:rsidRDefault="002E7560">
      <w:pPr>
        <w:spacing w:before="92"/>
        <w:ind w:left="533"/>
        <w:rPr>
          <w:rFonts w:ascii="Times New Roman"/>
          <w:sz w:val="20"/>
        </w:rPr>
      </w:pPr>
      <w:r>
        <w:rPr>
          <w:rFonts w:ascii="Times New Roman"/>
          <w:color w:val="231F20"/>
          <w:sz w:val="20"/>
        </w:rPr>
        <w:t>68</w:t>
      </w:r>
    </w:p>
    <w:p w14:paraId="38A4321B" w14:textId="77777777" w:rsidR="00DE575E" w:rsidRDefault="00DE575E">
      <w:pPr>
        <w:rPr>
          <w:rFonts w:ascii="Times New Roman"/>
          <w:sz w:val="20"/>
        </w:rPr>
        <w:sectPr w:rsidR="00DE575E">
          <w:pgSz w:w="8510" w:h="12760"/>
          <w:pgMar w:top="660" w:right="720" w:bottom="280" w:left="600" w:header="720" w:footer="720" w:gutter="0"/>
          <w:cols w:space="720"/>
        </w:sectPr>
      </w:pPr>
    </w:p>
    <w:p w14:paraId="0E23192B"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3. Джерела адміністративного права</w:t>
      </w:r>
    </w:p>
    <w:p w14:paraId="7389348D" w14:textId="55B8CC7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8CFFC9B" wp14:editId="705DB36A">
                <wp:extent cx="4140200" cy="6350"/>
                <wp:effectExtent l="0" t="0" r="12700" b="6350"/>
                <wp:docPr id="1236"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37" name="Line 123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AEA350" id="Group_x0020_123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xkbapgAIAAJwFAAAO&#10;AAAAAAAAAAAAAAAAACwCAABkcnMvZTJvRG9jLnhtbFBLAQItABQABgAIAAAAIQBMp7CQ2QAAAAMB&#10;AAAPAAAAAAAAAAAAAAAAANgEAABkcnMvZG93bnJldi54bWxQSwUGAAAAAAQABADzAAAA3gUAAAAA&#10;">
                <v:line id="Line_x0020_123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dyr8UAAADdAAAADwAAAGRycy9kb3ducmV2LnhtbERPzWrCQBC+F/oOyxS8FN1ooEp0lSII&#10;4kGr8QHG7JiE7s7G7GrSPn23UOhtPr7fWax6a8SDWl87VjAeJSCIC6drLhWc881wBsIHZI3GMSn4&#10;Ig+r5fPTAjPtOj7S4xRKEUPYZ6igCqHJpPRFRRb9yDXEkbu61mKIsC2lbrGL4dbISZK8SYs1x4YK&#10;G1pXVHye7lZBfnsN5uOwM11+uKTyctun3/e9UoOX/n0OIlAf/sV/7q2O8yfp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Mdyr8UAAADdAAAADwAAAAAAAAAA&#10;AAAAAAChAgAAZHJzL2Rvd25yZXYueG1sUEsFBgAAAAAEAAQA+QAAAJMDAAAAAA==&#10;" strokecolor="#231f20" strokeweight=".5pt"/>
                <w10:anchorlock/>
              </v:group>
            </w:pict>
          </mc:Fallback>
        </mc:AlternateContent>
      </w:r>
    </w:p>
    <w:p w14:paraId="71B1EC52" w14:textId="77777777" w:rsidR="00DE575E" w:rsidRDefault="00DE575E">
      <w:pPr>
        <w:pStyle w:val="BodyText"/>
        <w:spacing w:before="7"/>
        <w:rPr>
          <w:rFonts w:ascii="AdonisC"/>
          <w:i/>
          <w:sz w:val="19"/>
        </w:rPr>
      </w:pPr>
    </w:p>
    <w:p w14:paraId="51C40398" w14:textId="77777777" w:rsidR="00DE575E" w:rsidRDefault="002E7560">
      <w:pPr>
        <w:pStyle w:val="BodyText"/>
        <w:spacing w:before="1" w:line="252" w:lineRule="auto"/>
        <w:ind w:left="250" w:right="410"/>
        <w:jc w:val="both"/>
      </w:pPr>
      <w:r>
        <w:rPr>
          <w:color w:val="231F20"/>
        </w:rPr>
        <w:t>правилом,</w:t>
      </w:r>
      <w:r>
        <w:rPr>
          <w:color w:val="231F20"/>
          <w:spacing w:val="-10"/>
        </w:rPr>
        <w:t xml:space="preserve"> </w:t>
      </w:r>
      <w:r>
        <w:rPr>
          <w:color w:val="231F20"/>
        </w:rPr>
        <w:t>рішення</w:t>
      </w:r>
      <w:r>
        <w:rPr>
          <w:color w:val="231F20"/>
          <w:spacing w:val="-10"/>
        </w:rPr>
        <w:t xml:space="preserve"> </w:t>
      </w:r>
      <w:r>
        <w:rPr>
          <w:color w:val="231F20"/>
        </w:rPr>
        <w:t>нотифікуються</w:t>
      </w:r>
      <w:r>
        <w:rPr>
          <w:color w:val="231F20"/>
          <w:spacing w:val="-10"/>
        </w:rPr>
        <w:t xml:space="preserve"> </w:t>
      </w:r>
      <w:r>
        <w:rPr>
          <w:color w:val="231F20"/>
        </w:rPr>
        <w:t>(повідомляються)</w:t>
      </w:r>
      <w:r>
        <w:rPr>
          <w:color w:val="231F20"/>
          <w:spacing w:val="-10"/>
        </w:rPr>
        <w:t xml:space="preserve"> </w:t>
      </w:r>
      <w:r>
        <w:rPr>
          <w:color w:val="231F20"/>
        </w:rPr>
        <w:t>тим</w:t>
      </w:r>
      <w:r>
        <w:rPr>
          <w:color w:val="231F20"/>
          <w:spacing w:val="-10"/>
        </w:rPr>
        <w:t xml:space="preserve"> </w:t>
      </w:r>
      <w:r>
        <w:rPr>
          <w:color w:val="231F20"/>
          <w:spacing w:val="-3"/>
        </w:rPr>
        <w:t xml:space="preserve">суб’єктам, </w:t>
      </w:r>
      <w:r>
        <w:rPr>
          <w:color w:val="231F20"/>
        </w:rPr>
        <w:t>яких вони безпосередньо стосуються і які постають як виконавці відповідних</w:t>
      </w:r>
      <w:r>
        <w:rPr>
          <w:color w:val="231F20"/>
          <w:spacing w:val="-2"/>
        </w:rPr>
        <w:t xml:space="preserve"> </w:t>
      </w:r>
      <w:r>
        <w:rPr>
          <w:color w:val="231F20"/>
        </w:rPr>
        <w:t>розпоряджень.</w:t>
      </w:r>
    </w:p>
    <w:p w14:paraId="67CAB728" w14:textId="77777777" w:rsidR="00DE575E" w:rsidRDefault="002E7560">
      <w:pPr>
        <w:pStyle w:val="BodyText"/>
        <w:spacing w:before="1"/>
        <w:ind w:left="533"/>
      </w:pPr>
      <w:r>
        <w:rPr>
          <w:color w:val="231F20"/>
        </w:rPr>
        <w:t>Такими правовими актами є:</w:t>
      </w:r>
    </w:p>
    <w:p w14:paraId="66E16AAC" w14:textId="77777777" w:rsidR="00DE575E" w:rsidRDefault="002E7560">
      <w:pPr>
        <w:pStyle w:val="ListParagraph"/>
        <w:numPr>
          <w:ilvl w:val="0"/>
          <w:numId w:val="293"/>
        </w:numPr>
        <w:tabs>
          <w:tab w:val="left" w:pos="818"/>
        </w:tabs>
        <w:spacing w:before="13" w:line="252" w:lineRule="auto"/>
        <w:ind w:right="410" w:firstLine="283"/>
        <w:rPr>
          <w:sz w:val="21"/>
        </w:rPr>
      </w:pPr>
      <w:r>
        <w:rPr>
          <w:color w:val="231F20"/>
          <w:sz w:val="21"/>
        </w:rPr>
        <w:t xml:space="preserve">Рішення Комісії від 22 </w:t>
      </w:r>
      <w:r>
        <w:rPr>
          <w:color w:val="231F20"/>
          <w:spacing w:val="-3"/>
          <w:sz w:val="21"/>
        </w:rPr>
        <w:t xml:space="preserve">грудня </w:t>
      </w:r>
      <w:r>
        <w:rPr>
          <w:color w:val="231F20"/>
          <w:sz w:val="21"/>
        </w:rPr>
        <w:t>1972 р. про вирівнювання цін для продажу вугілля на  спільному  ринку  (ОВ  L  297,</w:t>
      </w:r>
      <w:r>
        <w:rPr>
          <w:color w:val="231F20"/>
          <w:spacing w:val="16"/>
          <w:sz w:val="21"/>
        </w:rPr>
        <w:t xml:space="preserve"> </w:t>
      </w:r>
      <w:r>
        <w:rPr>
          <w:color w:val="231F20"/>
          <w:sz w:val="21"/>
        </w:rPr>
        <w:t>30/12/1972, С. 0045-0047);</w:t>
      </w:r>
    </w:p>
    <w:p w14:paraId="70C62CF6" w14:textId="77777777" w:rsidR="00DE575E" w:rsidRDefault="002E7560">
      <w:pPr>
        <w:pStyle w:val="ListParagraph"/>
        <w:numPr>
          <w:ilvl w:val="0"/>
          <w:numId w:val="293"/>
        </w:numPr>
        <w:tabs>
          <w:tab w:val="left" w:pos="818"/>
        </w:tabs>
        <w:spacing w:line="252" w:lineRule="auto"/>
        <w:ind w:right="410" w:firstLine="283"/>
        <w:rPr>
          <w:sz w:val="21"/>
        </w:rPr>
      </w:pPr>
      <w:r>
        <w:rPr>
          <w:color w:val="231F20"/>
          <w:sz w:val="21"/>
        </w:rPr>
        <w:t xml:space="preserve">Рішення Комісії від 26 травня 1987 р. про заснування Дорад- чого комітету </w:t>
      </w:r>
      <w:r>
        <w:rPr>
          <w:color w:val="231F20"/>
          <w:sz w:val="21"/>
        </w:rPr>
        <w:t>з контрактів на виконання державних робіт (71/306/ ЄЕС) (ОВ L 185, 16.8.1971, С. 15).</w:t>
      </w:r>
    </w:p>
    <w:p w14:paraId="7DB7C975" w14:textId="77777777" w:rsidR="00DE575E" w:rsidRDefault="002E7560">
      <w:pPr>
        <w:pStyle w:val="BodyText"/>
        <w:spacing w:before="2" w:line="252" w:lineRule="auto"/>
        <w:ind w:left="250" w:right="410" w:firstLine="283"/>
        <w:jc w:val="both"/>
      </w:pPr>
      <w:r>
        <w:rPr>
          <w:color w:val="231F20"/>
        </w:rPr>
        <w:t>Окрім</w:t>
      </w:r>
      <w:r>
        <w:rPr>
          <w:color w:val="231F20"/>
          <w:spacing w:val="-8"/>
        </w:rPr>
        <w:t xml:space="preserve"> </w:t>
      </w:r>
      <w:r>
        <w:rPr>
          <w:color w:val="231F20"/>
        </w:rPr>
        <w:t>того</w:t>
      </w:r>
      <w:r>
        <w:rPr>
          <w:color w:val="231F20"/>
          <w:spacing w:val="-8"/>
        </w:rPr>
        <w:t xml:space="preserve"> </w:t>
      </w:r>
      <w:r>
        <w:rPr>
          <w:color w:val="231F20"/>
        </w:rPr>
        <w:t>є</w:t>
      </w:r>
      <w:r>
        <w:rPr>
          <w:color w:val="231F20"/>
          <w:spacing w:val="-8"/>
        </w:rPr>
        <w:t xml:space="preserve"> </w:t>
      </w:r>
      <w:r>
        <w:rPr>
          <w:color w:val="231F20"/>
        </w:rPr>
        <w:t>багато</w:t>
      </w:r>
      <w:r>
        <w:rPr>
          <w:color w:val="231F20"/>
          <w:spacing w:val="-8"/>
        </w:rPr>
        <w:t xml:space="preserve"> </w:t>
      </w:r>
      <w:r>
        <w:rPr>
          <w:color w:val="231F20"/>
        </w:rPr>
        <w:t>інших</w:t>
      </w:r>
      <w:r>
        <w:rPr>
          <w:color w:val="231F20"/>
          <w:spacing w:val="-8"/>
        </w:rPr>
        <w:t xml:space="preserve"> </w:t>
      </w:r>
      <w:r>
        <w:rPr>
          <w:color w:val="231F20"/>
        </w:rPr>
        <w:t>документів,</w:t>
      </w:r>
      <w:r>
        <w:rPr>
          <w:color w:val="231F20"/>
          <w:spacing w:val="-9"/>
        </w:rPr>
        <w:t xml:space="preserve"> </w:t>
      </w:r>
      <w:r>
        <w:rPr>
          <w:color w:val="231F20"/>
        </w:rPr>
        <w:t>схвалюваних</w:t>
      </w:r>
      <w:r>
        <w:rPr>
          <w:color w:val="231F20"/>
          <w:spacing w:val="-8"/>
        </w:rPr>
        <w:t xml:space="preserve"> </w:t>
      </w:r>
      <w:r>
        <w:rPr>
          <w:color w:val="231F20"/>
        </w:rPr>
        <w:t xml:space="preserve">інституціями Співтовариства, – наприклад, </w:t>
      </w:r>
      <w:r>
        <w:rPr>
          <w:i/>
          <w:color w:val="231F20"/>
        </w:rPr>
        <w:t>меморандуми, повідомлення, обго- ворення, програми, керівні вказівки</w:t>
      </w:r>
      <w:r>
        <w:rPr>
          <w:color w:val="231F20"/>
        </w:rPr>
        <w:t xml:space="preserve">. Ці недоговірні акти описують різноманітні </w:t>
      </w:r>
      <w:r>
        <w:rPr>
          <w:color w:val="231F20"/>
          <w:spacing w:val="-2"/>
        </w:rPr>
        <w:t xml:space="preserve">заходи </w:t>
      </w:r>
      <w:r>
        <w:rPr>
          <w:color w:val="231F20"/>
        </w:rPr>
        <w:t xml:space="preserve">та процеси, що відбуваються у Співтоваристві. Однак вони можуть мати обов’язкову юридичну </w:t>
      </w:r>
      <w:r>
        <w:rPr>
          <w:color w:val="231F20"/>
          <w:spacing w:val="-4"/>
        </w:rPr>
        <w:t xml:space="preserve">силу, </w:t>
      </w:r>
      <w:r>
        <w:rPr>
          <w:color w:val="231F20"/>
        </w:rPr>
        <w:t xml:space="preserve">якщо, незва- жаючи на свою </w:t>
      </w:r>
      <w:r>
        <w:rPr>
          <w:color w:val="231F20"/>
          <w:spacing w:val="-3"/>
        </w:rPr>
        <w:t xml:space="preserve">назву, </w:t>
      </w:r>
      <w:r>
        <w:rPr>
          <w:color w:val="231F20"/>
        </w:rPr>
        <w:t xml:space="preserve">відповідають критеріям, передбаченим дого- вором для обов’язкових правових </w:t>
      </w:r>
      <w:r>
        <w:rPr>
          <w:color w:val="231F20"/>
        </w:rPr>
        <w:t xml:space="preserve">актів, а тому теж </w:t>
      </w:r>
      <w:r>
        <w:rPr>
          <w:color w:val="231F20"/>
          <w:spacing w:val="-3"/>
        </w:rPr>
        <w:t xml:space="preserve">будуть </w:t>
      </w:r>
      <w:r>
        <w:rPr>
          <w:color w:val="231F20"/>
        </w:rPr>
        <w:t>визнані джерелами адміністративного</w:t>
      </w:r>
      <w:r>
        <w:rPr>
          <w:color w:val="231F20"/>
          <w:spacing w:val="-1"/>
        </w:rPr>
        <w:t xml:space="preserve"> </w:t>
      </w:r>
      <w:r>
        <w:rPr>
          <w:color w:val="231F20"/>
        </w:rPr>
        <w:t>права.</w:t>
      </w:r>
    </w:p>
    <w:p w14:paraId="0EB88385" w14:textId="77777777" w:rsidR="00DE575E" w:rsidRDefault="00DE575E">
      <w:pPr>
        <w:pStyle w:val="BodyText"/>
        <w:spacing w:before="5"/>
        <w:rPr>
          <w:sz w:val="22"/>
        </w:rPr>
      </w:pPr>
    </w:p>
    <w:p w14:paraId="579A3C16" w14:textId="77777777" w:rsidR="00DE575E" w:rsidRDefault="002E7560">
      <w:pPr>
        <w:pStyle w:val="Heading5"/>
        <w:numPr>
          <w:ilvl w:val="2"/>
          <w:numId w:val="289"/>
        </w:numPr>
        <w:tabs>
          <w:tab w:val="left" w:pos="1099"/>
        </w:tabs>
        <w:spacing w:line="252" w:lineRule="auto"/>
        <w:ind w:left="533" w:right="2860" w:firstLine="0"/>
        <w:jc w:val="left"/>
      </w:pPr>
      <w:r>
        <w:rPr>
          <w:color w:val="231F20"/>
        </w:rPr>
        <w:t>«М’яке право» в системі</w:t>
      </w:r>
      <w:r>
        <w:rPr>
          <w:color w:val="231F20"/>
          <w:spacing w:val="-18"/>
        </w:rPr>
        <w:t xml:space="preserve"> </w:t>
      </w:r>
      <w:r>
        <w:rPr>
          <w:color w:val="231F20"/>
        </w:rPr>
        <w:t>джерел адміністративного</w:t>
      </w:r>
      <w:r>
        <w:rPr>
          <w:color w:val="231F20"/>
          <w:spacing w:val="-2"/>
        </w:rPr>
        <w:t xml:space="preserve"> </w:t>
      </w:r>
      <w:r>
        <w:rPr>
          <w:color w:val="231F20"/>
        </w:rPr>
        <w:t>права</w:t>
      </w:r>
    </w:p>
    <w:p w14:paraId="53000FBA" w14:textId="77777777" w:rsidR="00DE575E" w:rsidRDefault="00DE575E">
      <w:pPr>
        <w:pStyle w:val="BodyText"/>
        <w:spacing w:before="2"/>
        <w:rPr>
          <w:b/>
          <w:sz w:val="22"/>
        </w:rPr>
      </w:pPr>
    </w:p>
    <w:p w14:paraId="44683673" w14:textId="77777777" w:rsidR="00DE575E" w:rsidRDefault="002E7560">
      <w:pPr>
        <w:pStyle w:val="BodyText"/>
        <w:spacing w:line="252" w:lineRule="auto"/>
        <w:ind w:left="250" w:right="410" w:firstLine="283"/>
        <w:jc w:val="both"/>
      </w:pPr>
      <w:r>
        <w:rPr>
          <w:color w:val="231F20"/>
        </w:rPr>
        <w:t xml:space="preserve">Україна, беручи активну участь  у  міжнародній  та  європей- ській співпраці, будучи членом Організації Об’єднаних Націй, Ради Європи, а також з огляду на євроінтеграційні наміри має врахову- вати також </w:t>
      </w:r>
      <w:r>
        <w:rPr>
          <w:b/>
          <w:i/>
          <w:color w:val="231F20"/>
        </w:rPr>
        <w:t xml:space="preserve">юридичні акти «м’якого права» </w:t>
      </w:r>
      <w:r>
        <w:rPr>
          <w:color w:val="231F20"/>
        </w:rPr>
        <w:t>– інституційні, реко- м</w:t>
      </w:r>
      <w:r>
        <w:rPr>
          <w:color w:val="231F20"/>
        </w:rPr>
        <w:t>ендаційні норми, що містяться у відповідних джерелах – докумен- тах міжнародних міжурядових організацій</w:t>
      </w:r>
      <w:r>
        <w:rPr>
          <w:color w:val="231F20"/>
          <w:position w:val="7"/>
          <w:sz w:val="12"/>
        </w:rPr>
        <w:t>1</w:t>
      </w:r>
      <w:r>
        <w:rPr>
          <w:color w:val="231F20"/>
        </w:rPr>
        <w:t>. Такі норми виконують важливу допоміжну роль у становленні або визначенні правничої думки, підготовці й розробленні договірних міжнародних правових нор</w:t>
      </w:r>
      <w:r>
        <w:rPr>
          <w:color w:val="231F20"/>
        </w:rPr>
        <w:t>м, а також внутрішньодержавних юридичних актів. Вони мають відповідну юридичну силу, незважаючи на свій рекомендаційний (необов’язковий) характер</w:t>
      </w:r>
      <w:r>
        <w:rPr>
          <w:color w:val="231F20"/>
          <w:position w:val="7"/>
          <w:sz w:val="12"/>
        </w:rPr>
        <w:t>2</w:t>
      </w:r>
      <w:r>
        <w:rPr>
          <w:color w:val="231F20"/>
        </w:rPr>
        <w:t>.</w:t>
      </w:r>
    </w:p>
    <w:p w14:paraId="6CFDB87C" w14:textId="77777777" w:rsidR="00DE575E" w:rsidRDefault="002E7560">
      <w:pPr>
        <w:pStyle w:val="BodyText"/>
        <w:spacing w:before="5" w:line="252" w:lineRule="auto"/>
        <w:ind w:left="250" w:right="411" w:firstLine="283"/>
        <w:jc w:val="both"/>
      </w:pPr>
      <w:r>
        <w:rPr>
          <w:color w:val="231F20"/>
        </w:rPr>
        <w:t>Визначальною у формуванні норм «м’якого права» є діяльність ООН, що ухвалила чимало документів рекомендаційн</w:t>
      </w:r>
      <w:r>
        <w:rPr>
          <w:color w:val="231F20"/>
        </w:rPr>
        <w:t>ого характеру.</w:t>
      </w:r>
    </w:p>
    <w:p w14:paraId="5C9B5DAA" w14:textId="4DEAAB36" w:rsidR="00DE575E" w:rsidRDefault="002E7560">
      <w:pPr>
        <w:pStyle w:val="BodyText"/>
        <w:spacing w:before="2"/>
        <w:rPr>
          <w:sz w:val="25"/>
        </w:rPr>
      </w:pPr>
      <w:r>
        <w:rPr>
          <w:noProof/>
        </w:rPr>
        <mc:AlternateContent>
          <mc:Choice Requires="wps">
            <w:drawing>
              <wp:anchor distT="0" distB="0" distL="0" distR="0" simplePos="0" relativeHeight="3520" behindDoc="0" locked="0" layoutInCell="1" allowOverlap="1" wp14:anchorId="5D483171" wp14:editId="1C88F9FA">
                <wp:simplePos x="0" y="0"/>
                <wp:positionH relativeFrom="page">
                  <wp:posOffset>539750</wp:posOffset>
                </wp:positionH>
                <wp:positionV relativeFrom="paragraph">
                  <wp:posOffset>215265</wp:posOffset>
                </wp:positionV>
                <wp:extent cx="1080135" cy="0"/>
                <wp:effectExtent l="6350" t="12065" r="31115" b="26035"/>
                <wp:wrapTopAndBottom/>
                <wp:docPr id="1235"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C1AA3" id="Line_x0020_1234" o:spid="_x0000_s1026" style="position:absolute;z-index: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95pt" to="127.5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" strokecolor="#231f20" strokeweight=".5pt">
                <w10:wrap type="topAndBottom" anchorx="page"/>
              </v:line>
            </w:pict>
          </mc:Fallback>
        </mc:AlternateContent>
      </w:r>
    </w:p>
    <w:p w14:paraId="4F651CE5" w14:textId="77777777" w:rsidR="00DE575E" w:rsidRDefault="002E7560">
      <w:pPr>
        <w:spacing w:line="204" w:lineRule="auto"/>
        <w:ind w:left="250" w:right="521"/>
        <w:rPr>
          <w:sz w:val="16"/>
        </w:rPr>
      </w:pPr>
      <w:r>
        <w:rPr>
          <w:color w:val="231F20"/>
          <w:position w:val="5"/>
          <w:sz w:val="9"/>
        </w:rPr>
        <w:t xml:space="preserve">1 </w:t>
      </w:r>
      <w:r>
        <w:rPr>
          <w:color w:val="231F20"/>
          <w:sz w:val="16"/>
        </w:rPr>
        <w:t>Мельник Р. Загальне адміністративне право в питаннях і відповідях : навчальний посібник. Київ: Юрінком Інтер, 2018. 308 с.</w:t>
      </w:r>
    </w:p>
    <w:p w14:paraId="75126ABC" w14:textId="77777777" w:rsidR="00DE575E" w:rsidRDefault="002E7560">
      <w:pPr>
        <w:spacing w:before="26" w:line="204" w:lineRule="auto"/>
        <w:ind w:left="250" w:right="521"/>
        <w:rPr>
          <w:sz w:val="16"/>
        </w:rPr>
      </w:pPr>
      <w:r>
        <w:rPr>
          <w:color w:val="231F20"/>
          <w:position w:val="5"/>
          <w:sz w:val="9"/>
        </w:rPr>
        <w:t xml:space="preserve">2 </w:t>
      </w:r>
      <w:r>
        <w:rPr>
          <w:color w:val="231F20"/>
          <w:sz w:val="16"/>
        </w:rPr>
        <w:t xml:space="preserve">Шалінська І. Акти «м’якого права»: поняття та значення у міжнародному правопо- </w:t>
      </w:r>
      <w:r>
        <w:rPr>
          <w:color w:val="231F20"/>
          <w:spacing w:val="-3"/>
          <w:sz w:val="16"/>
        </w:rPr>
        <w:t xml:space="preserve">рядку. </w:t>
      </w:r>
      <w:r>
        <w:rPr>
          <w:i/>
          <w:color w:val="231F20"/>
          <w:sz w:val="16"/>
        </w:rPr>
        <w:t>Соціологія права</w:t>
      </w:r>
      <w:r>
        <w:rPr>
          <w:color w:val="231F20"/>
          <w:sz w:val="16"/>
        </w:rPr>
        <w:t>. 2011. №</w:t>
      </w:r>
      <w:r>
        <w:rPr>
          <w:color w:val="231F20"/>
          <w:spacing w:val="27"/>
          <w:sz w:val="16"/>
        </w:rPr>
        <w:t xml:space="preserve"> </w:t>
      </w:r>
      <w:r>
        <w:rPr>
          <w:color w:val="231F20"/>
          <w:sz w:val="16"/>
        </w:rPr>
        <w:t>2.</w:t>
      </w:r>
    </w:p>
    <w:p w14:paraId="5E959D90" w14:textId="77777777" w:rsidR="00DE575E" w:rsidRDefault="00DE575E">
      <w:pPr>
        <w:pStyle w:val="BodyText"/>
        <w:spacing w:before="5"/>
        <w:rPr>
          <w:sz w:val="12"/>
        </w:rPr>
      </w:pPr>
    </w:p>
    <w:p w14:paraId="2CCA937A" w14:textId="77777777" w:rsidR="00DE575E" w:rsidRDefault="002E7560">
      <w:pPr>
        <w:spacing w:before="91"/>
        <w:ind w:right="411"/>
        <w:jc w:val="right"/>
        <w:rPr>
          <w:rFonts w:ascii="Times New Roman"/>
          <w:sz w:val="20"/>
        </w:rPr>
      </w:pPr>
      <w:r>
        <w:rPr>
          <w:rFonts w:ascii="Times New Roman"/>
          <w:color w:val="231F20"/>
          <w:w w:val="90"/>
          <w:sz w:val="20"/>
        </w:rPr>
        <w:t>69</w:t>
      </w:r>
    </w:p>
    <w:p w14:paraId="728873F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7D5402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B0B7415" w14:textId="04C628F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59DACAB" wp14:editId="44B23C75">
                <wp:extent cx="4140200" cy="6350"/>
                <wp:effectExtent l="0" t="0" r="12700" b="6350"/>
                <wp:docPr id="1233"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34" name="Line 12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CA6930" id="Group_x0020_12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AZQKx/AgAAnAUAAA4A&#10;AAAAAAAAAAAAAAAALAIAAGRycy9lMm9Eb2MueG1sUEsBAi0AFAAGAAgAAAAhAEynsJDZAAAAAwEA&#10;AA8AAAAAAAAAAAAAAAAA1wQAAGRycy9kb3ducmV2LnhtbFBLBQYAAAAABAAEAPMAAADdBQAAAAA=&#10;">
                <v:line id="Line_x0020_12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Xs2MUAAADdAAAADwAAAGRycy9kb3ducmV2LnhtbERPzWrCQBC+F/oOyxS8FN1oikh0lSII&#10;4kGr8QHG7JiE7s7G7GrSPn23UOhtPr7fWax6a8SDWl87VjAeJSCIC6drLhWc881wBsIHZI3GMSn4&#10;Ig+r5fPTAjPtOj7S4xRKEUPYZ6igCqHJpPRFRRb9yDXEkbu61mKIsC2lbrGL4dbISZJMpcWaY0OF&#10;Da0rKj5Pd6sgv70G83HYmS4/XFJ5ue3T7/teqcFL/z4HEagP/+I/91bH+ZP0DX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BXs2MUAAADdAAAADwAAAAAAAAAA&#10;AAAAAAChAgAAZHJzL2Rvd25yZXYueG1sUEsFBgAAAAAEAAQA+QAAAJMDAAAAAA==&#10;" strokecolor="#231f20" strokeweight=".5pt"/>
                <w10:anchorlock/>
              </v:group>
            </w:pict>
          </mc:Fallback>
        </mc:AlternateContent>
      </w:r>
    </w:p>
    <w:p w14:paraId="117127F7" w14:textId="77777777" w:rsidR="00DE575E" w:rsidRDefault="00DE575E">
      <w:pPr>
        <w:pStyle w:val="BodyText"/>
        <w:spacing w:before="7"/>
        <w:rPr>
          <w:rFonts w:ascii="AdonisC"/>
          <w:i/>
          <w:sz w:val="11"/>
        </w:rPr>
      </w:pPr>
    </w:p>
    <w:p w14:paraId="3D16FC82" w14:textId="77777777" w:rsidR="00DE575E" w:rsidRDefault="002E7560">
      <w:pPr>
        <w:pStyle w:val="BodyText"/>
        <w:spacing w:before="101" w:line="252" w:lineRule="auto"/>
        <w:ind w:left="533" w:right="118"/>
      </w:pPr>
      <w:r>
        <w:rPr>
          <w:color w:val="231F20"/>
        </w:rPr>
        <w:t>До найбільш визначальних джерел «м’якого права», створених ООН, належать:</w:t>
      </w:r>
    </w:p>
    <w:p w14:paraId="35E1CF89" w14:textId="77777777" w:rsidR="00DE575E" w:rsidRDefault="002E7560">
      <w:pPr>
        <w:pStyle w:val="ListParagraph"/>
        <w:numPr>
          <w:ilvl w:val="0"/>
          <w:numId w:val="286"/>
        </w:numPr>
        <w:tabs>
          <w:tab w:val="left" w:pos="1101"/>
        </w:tabs>
        <w:ind w:firstLine="284"/>
        <w:jc w:val="left"/>
        <w:rPr>
          <w:sz w:val="21"/>
        </w:rPr>
      </w:pPr>
      <w:r>
        <w:rPr>
          <w:color w:val="231F20"/>
          <w:sz w:val="21"/>
        </w:rPr>
        <w:t>Загальна декларація прав людини (1948</w:t>
      </w:r>
      <w:r>
        <w:rPr>
          <w:color w:val="231F20"/>
          <w:spacing w:val="-12"/>
          <w:sz w:val="21"/>
        </w:rPr>
        <w:t xml:space="preserve"> </w:t>
      </w:r>
      <w:r>
        <w:rPr>
          <w:color w:val="231F20"/>
          <w:sz w:val="21"/>
        </w:rPr>
        <w:t>р.);</w:t>
      </w:r>
    </w:p>
    <w:p w14:paraId="32E3791C" w14:textId="77777777" w:rsidR="00DE575E" w:rsidRDefault="002E7560">
      <w:pPr>
        <w:pStyle w:val="ListParagraph"/>
        <w:numPr>
          <w:ilvl w:val="0"/>
          <w:numId w:val="286"/>
        </w:numPr>
        <w:tabs>
          <w:tab w:val="left" w:pos="1101"/>
        </w:tabs>
        <w:spacing w:before="12" w:line="252" w:lineRule="auto"/>
        <w:ind w:right="129" w:firstLine="284"/>
        <w:jc w:val="left"/>
        <w:rPr>
          <w:sz w:val="21"/>
        </w:rPr>
      </w:pPr>
      <w:r>
        <w:rPr>
          <w:color w:val="231F20"/>
          <w:sz w:val="21"/>
        </w:rPr>
        <w:t>Загальна декларація про геном людини та права людини (1997</w:t>
      </w:r>
      <w:r>
        <w:rPr>
          <w:color w:val="231F20"/>
          <w:spacing w:val="-6"/>
          <w:sz w:val="21"/>
        </w:rPr>
        <w:t xml:space="preserve"> </w:t>
      </w:r>
      <w:r>
        <w:rPr>
          <w:color w:val="231F20"/>
          <w:sz w:val="21"/>
        </w:rPr>
        <w:t>р.);</w:t>
      </w:r>
    </w:p>
    <w:p w14:paraId="5BAA05CE" w14:textId="77777777" w:rsidR="00DE575E" w:rsidRDefault="002E7560">
      <w:pPr>
        <w:pStyle w:val="ListParagraph"/>
        <w:numPr>
          <w:ilvl w:val="0"/>
          <w:numId w:val="286"/>
        </w:numPr>
        <w:tabs>
          <w:tab w:val="left" w:pos="1101"/>
        </w:tabs>
        <w:ind w:firstLine="284"/>
        <w:jc w:val="left"/>
        <w:rPr>
          <w:sz w:val="21"/>
        </w:rPr>
      </w:pPr>
      <w:r>
        <w:rPr>
          <w:color w:val="231F20"/>
          <w:sz w:val="21"/>
        </w:rPr>
        <w:t>Декларація про клонування людини (2005</w:t>
      </w:r>
      <w:r>
        <w:rPr>
          <w:color w:val="231F20"/>
          <w:spacing w:val="-11"/>
          <w:sz w:val="21"/>
        </w:rPr>
        <w:t xml:space="preserve"> </w:t>
      </w:r>
      <w:r>
        <w:rPr>
          <w:color w:val="231F20"/>
          <w:sz w:val="21"/>
        </w:rPr>
        <w:t>р.);</w:t>
      </w:r>
    </w:p>
    <w:p w14:paraId="24AD997D" w14:textId="77777777" w:rsidR="00DE575E" w:rsidRDefault="002E7560">
      <w:pPr>
        <w:pStyle w:val="ListParagraph"/>
        <w:numPr>
          <w:ilvl w:val="0"/>
          <w:numId w:val="286"/>
        </w:numPr>
        <w:tabs>
          <w:tab w:val="left" w:pos="1101"/>
        </w:tabs>
        <w:spacing w:before="13"/>
        <w:ind w:firstLine="284"/>
        <w:jc w:val="left"/>
        <w:rPr>
          <w:sz w:val="21"/>
        </w:rPr>
      </w:pPr>
      <w:r>
        <w:rPr>
          <w:color w:val="231F20"/>
          <w:sz w:val="21"/>
        </w:rPr>
        <w:t>Декларація прав корінних народів (2007</w:t>
      </w:r>
      <w:r>
        <w:rPr>
          <w:color w:val="231F20"/>
          <w:spacing w:val="-11"/>
          <w:sz w:val="21"/>
        </w:rPr>
        <w:t xml:space="preserve"> </w:t>
      </w:r>
      <w:r>
        <w:rPr>
          <w:color w:val="231F20"/>
          <w:sz w:val="21"/>
        </w:rPr>
        <w:t>р.).</w:t>
      </w:r>
    </w:p>
    <w:p w14:paraId="32E6083C" w14:textId="77777777" w:rsidR="00DE575E" w:rsidRDefault="002E7560">
      <w:pPr>
        <w:pStyle w:val="BodyText"/>
        <w:spacing w:before="13" w:line="252" w:lineRule="auto"/>
        <w:ind w:left="533" w:right="123" w:firstLine="283"/>
        <w:jc w:val="both"/>
      </w:pPr>
      <w:r>
        <w:rPr>
          <w:color w:val="231F20"/>
        </w:rPr>
        <w:t xml:space="preserve">На </w:t>
      </w:r>
      <w:r>
        <w:rPr>
          <w:color w:val="231F20"/>
          <w:spacing w:val="1"/>
        </w:rPr>
        <w:t xml:space="preserve">рівні </w:t>
      </w:r>
      <w:r>
        <w:rPr>
          <w:color w:val="231F20"/>
        </w:rPr>
        <w:t xml:space="preserve">Ради </w:t>
      </w:r>
      <w:r>
        <w:rPr>
          <w:color w:val="231F20"/>
          <w:spacing w:val="1"/>
        </w:rPr>
        <w:t xml:space="preserve">Європи </w:t>
      </w:r>
      <w:r>
        <w:rPr>
          <w:color w:val="231F20"/>
        </w:rPr>
        <w:t xml:space="preserve">до </w:t>
      </w:r>
      <w:r>
        <w:rPr>
          <w:color w:val="231F20"/>
          <w:spacing w:val="1"/>
        </w:rPr>
        <w:t xml:space="preserve">актів «м’якого права» належать </w:t>
      </w:r>
      <w:r>
        <w:rPr>
          <w:color w:val="231F20"/>
        </w:rPr>
        <w:t xml:space="preserve">реко- </w:t>
      </w:r>
      <w:r>
        <w:rPr>
          <w:color w:val="231F20"/>
          <w:spacing w:val="1"/>
        </w:rPr>
        <w:t xml:space="preserve">мендації Парламентської асамблеї </w:t>
      </w:r>
      <w:r>
        <w:rPr>
          <w:color w:val="231F20"/>
        </w:rPr>
        <w:t xml:space="preserve">Ради </w:t>
      </w:r>
      <w:r>
        <w:rPr>
          <w:color w:val="231F20"/>
          <w:spacing w:val="1"/>
        </w:rPr>
        <w:t xml:space="preserve">Європи, </w:t>
      </w:r>
      <w:r>
        <w:rPr>
          <w:color w:val="231F20"/>
        </w:rPr>
        <w:t xml:space="preserve">що є </w:t>
      </w:r>
      <w:r>
        <w:rPr>
          <w:color w:val="231F20"/>
          <w:spacing w:val="2"/>
        </w:rPr>
        <w:t xml:space="preserve">дорадчим </w:t>
      </w:r>
      <w:r>
        <w:rPr>
          <w:color w:val="231F20"/>
          <w:spacing w:val="1"/>
        </w:rPr>
        <w:t xml:space="preserve">органом </w:t>
      </w:r>
      <w:r>
        <w:rPr>
          <w:color w:val="231F20"/>
        </w:rPr>
        <w:t xml:space="preserve">при Комітеті </w:t>
      </w:r>
      <w:r>
        <w:rPr>
          <w:color w:val="231F20"/>
          <w:spacing w:val="1"/>
        </w:rPr>
        <w:t xml:space="preserve">міністрів </w:t>
      </w:r>
      <w:r>
        <w:rPr>
          <w:color w:val="231F20"/>
        </w:rPr>
        <w:t xml:space="preserve">та </w:t>
      </w:r>
      <w:r>
        <w:rPr>
          <w:color w:val="231F20"/>
          <w:spacing w:val="1"/>
        </w:rPr>
        <w:t xml:space="preserve">відповідно </w:t>
      </w:r>
      <w:r>
        <w:rPr>
          <w:color w:val="231F20"/>
        </w:rPr>
        <w:t xml:space="preserve">до </w:t>
      </w:r>
      <w:r>
        <w:rPr>
          <w:color w:val="231F20"/>
          <w:spacing w:val="-4"/>
        </w:rPr>
        <w:t xml:space="preserve">ст. </w:t>
      </w:r>
      <w:r>
        <w:rPr>
          <w:color w:val="231F20"/>
        </w:rPr>
        <w:t xml:space="preserve">22 </w:t>
      </w:r>
      <w:r>
        <w:rPr>
          <w:color w:val="231F20"/>
          <w:spacing w:val="2"/>
        </w:rPr>
        <w:t xml:space="preserve">Статуту </w:t>
      </w:r>
      <w:r>
        <w:rPr>
          <w:color w:val="231F20"/>
        </w:rPr>
        <w:t xml:space="preserve">Ради </w:t>
      </w:r>
      <w:r>
        <w:rPr>
          <w:color w:val="231F20"/>
          <w:spacing w:val="1"/>
        </w:rPr>
        <w:t xml:space="preserve">Європи обговорює </w:t>
      </w:r>
      <w:r>
        <w:rPr>
          <w:color w:val="231F20"/>
          <w:spacing w:val="1"/>
        </w:rPr>
        <w:t xml:space="preserve">відповідні питання </w:t>
      </w:r>
      <w:r>
        <w:rPr>
          <w:color w:val="231F20"/>
        </w:rPr>
        <w:t xml:space="preserve">в </w:t>
      </w:r>
      <w:r>
        <w:rPr>
          <w:color w:val="231F20"/>
          <w:spacing w:val="1"/>
        </w:rPr>
        <w:t xml:space="preserve">межах своєї </w:t>
      </w:r>
      <w:r>
        <w:rPr>
          <w:color w:val="231F20"/>
        </w:rPr>
        <w:t xml:space="preserve">компе- </w:t>
      </w:r>
      <w:r>
        <w:rPr>
          <w:color w:val="231F20"/>
          <w:spacing w:val="1"/>
        </w:rPr>
        <w:t xml:space="preserve">тенції </w:t>
      </w:r>
      <w:r>
        <w:rPr>
          <w:color w:val="231F20"/>
        </w:rPr>
        <w:t xml:space="preserve">та </w:t>
      </w:r>
      <w:r>
        <w:rPr>
          <w:color w:val="231F20"/>
          <w:spacing w:val="1"/>
        </w:rPr>
        <w:t xml:space="preserve">передає висновки Комітету міністрів </w:t>
      </w:r>
      <w:r>
        <w:rPr>
          <w:color w:val="231F20"/>
        </w:rPr>
        <w:t xml:space="preserve">у </w:t>
      </w:r>
      <w:r>
        <w:rPr>
          <w:color w:val="231F20"/>
          <w:spacing w:val="1"/>
        </w:rPr>
        <w:t xml:space="preserve">формі рекомен- дацій. Парламентська асамблея ухвалює документи, </w:t>
      </w:r>
      <w:r>
        <w:rPr>
          <w:color w:val="231F20"/>
        </w:rPr>
        <w:t xml:space="preserve">які </w:t>
      </w:r>
      <w:r>
        <w:rPr>
          <w:color w:val="231F20"/>
          <w:spacing w:val="1"/>
        </w:rPr>
        <w:t xml:space="preserve">визна- </w:t>
      </w:r>
      <w:r>
        <w:rPr>
          <w:color w:val="231F20"/>
        </w:rPr>
        <w:t xml:space="preserve">чають </w:t>
      </w:r>
      <w:r>
        <w:rPr>
          <w:color w:val="231F20"/>
          <w:spacing w:val="1"/>
        </w:rPr>
        <w:t xml:space="preserve">основні, загальні напрямки діяльності Комітету </w:t>
      </w:r>
      <w:r>
        <w:rPr>
          <w:color w:val="231F20"/>
          <w:spacing w:val="2"/>
        </w:rPr>
        <w:t xml:space="preserve">міністрів, </w:t>
      </w:r>
      <w:r>
        <w:rPr>
          <w:color w:val="231F20"/>
          <w:spacing w:val="1"/>
        </w:rPr>
        <w:t xml:space="preserve">національних урядів, парламентів </w:t>
      </w:r>
      <w:r>
        <w:rPr>
          <w:color w:val="231F20"/>
        </w:rPr>
        <w:t xml:space="preserve">і </w:t>
      </w:r>
      <w:r>
        <w:rPr>
          <w:color w:val="231F20"/>
          <w:spacing w:val="1"/>
        </w:rPr>
        <w:t xml:space="preserve">політичних партій; </w:t>
      </w:r>
      <w:r>
        <w:rPr>
          <w:color w:val="231F20"/>
          <w:spacing w:val="2"/>
        </w:rPr>
        <w:t xml:space="preserve">розробляє </w:t>
      </w:r>
      <w:r>
        <w:rPr>
          <w:color w:val="231F20"/>
          <w:spacing w:val="1"/>
        </w:rPr>
        <w:t xml:space="preserve">різноманітні </w:t>
      </w:r>
      <w:r>
        <w:rPr>
          <w:b/>
          <w:i/>
          <w:color w:val="231F20"/>
          <w:spacing w:val="1"/>
        </w:rPr>
        <w:t xml:space="preserve">міжнародні договори </w:t>
      </w:r>
      <w:r>
        <w:rPr>
          <w:color w:val="231F20"/>
        </w:rPr>
        <w:t xml:space="preserve">– </w:t>
      </w:r>
      <w:r>
        <w:rPr>
          <w:color w:val="231F20"/>
          <w:spacing w:val="1"/>
        </w:rPr>
        <w:t xml:space="preserve">європейські конвенції, </w:t>
      </w:r>
      <w:r>
        <w:rPr>
          <w:color w:val="231F20"/>
          <w:spacing w:val="2"/>
        </w:rPr>
        <w:t xml:space="preserve">які </w:t>
      </w:r>
      <w:r>
        <w:rPr>
          <w:color w:val="231F20"/>
          <w:spacing w:val="1"/>
        </w:rPr>
        <w:t xml:space="preserve">сприяють формуванню основи європейської нормативної право- </w:t>
      </w:r>
      <w:r>
        <w:rPr>
          <w:color w:val="231F20"/>
        </w:rPr>
        <w:t>вої</w:t>
      </w:r>
      <w:r>
        <w:rPr>
          <w:color w:val="231F20"/>
          <w:spacing w:val="7"/>
        </w:rPr>
        <w:t xml:space="preserve"> </w:t>
      </w:r>
      <w:r>
        <w:rPr>
          <w:color w:val="231F20"/>
          <w:spacing w:val="1"/>
        </w:rPr>
        <w:t>системи</w:t>
      </w:r>
      <w:r>
        <w:rPr>
          <w:color w:val="231F20"/>
          <w:spacing w:val="1"/>
          <w:position w:val="7"/>
          <w:sz w:val="12"/>
        </w:rPr>
        <w:t>1</w:t>
      </w:r>
      <w:r>
        <w:rPr>
          <w:color w:val="231F20"/>
          <w:spacing w:val="1"/>
        </w:rPr>
        <w:t>.</w:t>
      </w:r>
    </w:p>
    <w:p w14:paraId="3DD6A5A3" w14:textId="77777777" w:rsidR="00DE575E" w:rsidRDefault="002E7560">
      <w:pPr>
        <w:pStyle w:val="BodyText"/>
        <w:spacing w:before="5" w:line="252" w:lineRule="auto"/>
        <w:ind w:left="533" w:right="124" w:firstLine="283"/>
        <w:jc w:val="both"/>
      </w:pPr>
      <w:r>
        <w:rPr>
          <w:color w:val="231F20"/>
        </w:rPr>
        <w:t>Юридичними актами Парламентської асамблеї Ради Європи кер</w:t>
      </w:r>
      <w:r>
        <w:rPr>
          <w:color w:val="231F20"/>
        </w:rPr>
        <w:t xml:space="preserve">уються у своїй діяльності Комітет Міністрів, національні уряди, парламенти, партії. </w:t>
      </w:r>
      <w:r>
        <w:rPr>
          <w:color w:val="231F20"/>
          <w:spacing w:val="-3"/>
        </w:rPr>
        <w:t xml:space="preserve">Також </w:t>
      </w:r>
      <w:r>
        <w:rPr>
          <w:color w:val="231F20"/>
        </w:rPr>
        <w:t>до актів «м’якого права» в системі права Ради Європи належать стандарти  Ради  Європи  з  прав  людини,  що містять норми права, зафіксовані в Конвенції про захист пр</w:t>
      </w:r>
      <w:r>
        <w:rPr>
          <w:color w:val="231F20"/>
        </w:rPr>
        <w:t>ав людини й основоположних свобод, Європейській соціальній хартії, Європейській хартії місцевого самоврядування та інших конвен- ціях та актах Ради Європи. Тлумачення та конкретизація таких стандартів виявляються в рекомендаціях і резолюціях Комітету Мініс</w:t>
      </w:r>
      <w:r>
        <w:rPr>
          <w:color w:val="231F20"/>
        </w:rPr>
        <w:t>трів, чимала кількість яких безпосередньо стосуються регу- лювання відносин, які виникають між  публічною  адміністрацією та приватними особами. Їх положення рекомендуються до засто- сування (використання) у правотворчій та правозастосовній прак- тиці краї</w:t>
      </w:r>
      <w:r>
        <w:rPr>
          <w:color w:val="231F20"/>
        </w:rPr>
        <w:t>н-членів Ради</w:t>
      </w:r>
      <w:r>
        <w:rPr>
          <w:color w:val="231F20"/>
          <w:spacing w:val="12"/>
        </w:rPr>
        <w:t xml:space="preserve"> </w:t>
      </w:r>
      <w:r>
        <w:rPr>
          <w:color w:val="231F20"/>
        </w:rPr>
        <w:t>Європи.</w:t>
      </w:r>
    </w:p>
    <w:p w14:paraId="6E9D2EC3" w14:textId="77777777" w:rsidR="00DE575E" w:rsidRDefault="002E7560">
      <w:pPr>
        <w:spacing w:before="106"/>
        <w:ind w:left="1100"/>
        <w:rPr>
          <w:i/>
          <w:sz w:val="18"/>
        </w:rPr>
      </w:pPr>
      <w:r>
        <w:rPr>
          <w:i/>
          <w:color w:val="231F20"/>
          <w:sz w:val="18"/>
          <w:u w:val="single" w:color="231F20"/>
        </w:rPr>
        <w:t>Наприклад:</w:t>
      </w:r>
    </w:p>
    <w:p w14:paraId="1F17D2CC" w14:textId="77777777" w:rsidR="00DE575E" w:rsidRDefault="002E7560">
      <w:pPr>
        <w:pStyle w:val="ListParagraph"/>
        <w:numPr>
          <w:ilvl w:val="1"/>
          <w:numId w:val="286"/>
        </w:numPr>
        <w:tabs>
          <w:tab w:val="left" w:pos="1254"/>
        </w:tabs>
        <w:spacing w:before="5"/>
        <w:ind w:firstLine="283"/>
        <w:jc w:val="left"/>
        <w:rPr>
          <w:i/>
          <w:sz w:val="18"/>
        </w:rPr>
      </w:pPr>
      <w:r>
        <w:rPr>
          <w:i/>
          <w:color w:val="231F20"/>
          <w:sz w:val="18"/>
        </w:rPr>
        <w:t>Резолюція</w:t>
      </w:r>
      <w:r>
        <w:rPr>
          <w:i/>
          <w:color w:val="231F20"/>
          <w:spacing w:val="26"/>
          <w:sz w:val="18"/>
        </w:rPr>
        <w:t xml:space="preserve"> </w:t>
      </w:r>
      <w:r>
        <w:rPr>
          <w:i/>
          <w:color w:val="231F20"/>
          <w:sz w:val="18"/>
        </w:rPr>
        <w:t>Парламентської</w:t>
      </w:r>
      <w:r>
        <w:rPr>
          <w:i/>
          <w:color w:val="231F20"/>
          <w:spacing w:val="26"/>
          <w:sz w:val="18"/>
        </w:rPr>
        <w:t xml:space="preserve"> </w:t>
      </w:r>
      <w:r>
        <w:rPr>
          <w:i/>
          <w:color w:val="231F20"/>
          <w:sz w:val="18"/>
        </w:rPr>
        <w:t>асамблеї</w:t>
      </w:r>
      <w:r>
        <w:rPr>
          <w:i/>
          <w:color w:val="231F20"/>
          <w:spacing w:val="26"/>
          <w:sz w:val="18"/>
        </w:rPr>
        <w:t xml:space="preserve"> </w:t>
      </w:r>
      <w:r>
        <w:rPr>
          <w:i/>
          <w:color w:val="231F20"/>
          <w:sz w:val="18"/>
        </w:rPr>
        <w:t>Ради</w:t>
      </w:r>
      <w:r>
        <w:rPr>
          <w:i/>
          <w:color w:val="231F20"/>
          <w:spacing w:val="26"/>
          <w:sz w:val="18"/>
        </w:rPr>
        <w:t xml:space="preserve"> </w:t>
      </w:r>
      <w:r>
        <w:rPr>
          <w:i/>
          <w:color w:val="231F20"/>
          <w:sz w:val="18"/>
        </w:rPr>
        <w:t>Європи</w:t>
      </w:r>
      <w:r>
        <w:rPr>
          <w:i/>
          <w:color w:val="231F20"/>
          <w:spacing w:val="26"/>
          <w:sz w:val="18"/>
        </w:rPr>
        <w:t xml:space="preserve"> </w:t>
      </w:r>
      <w:r>
        <w:rPr>
          <w:i/>
          <w:color w:val="231F20"/>
          <w:sz w:val="18"/>
        </w:rPr>
        <w:t>№</w:t>
      </w:r>
      <w:r>
        <w:rPr>
          <w:i/>
          <w:color w:val="231F20"/>
          <w:spacing w:val="27"/>
          <w:sz w:val="18"/>
        </w:rPr>
        <w:t xml:space="preserve"> </w:t>
      </w:r>
      <w:r>
        <w:rPr>
          <w:i/>
          <w:color w:val="231F20"/>
          <w:sz w:val="18"/>
        </w:rPr>
        <w:t>1755</w:t>
      </w:r>
      <w:r>
        <w:rPr>
          <w:i/>
          <w:color w:val="231F20"/>
          <w:spacing w:val="26"/>
          <w:sz w:val="18"/>
        </w:rPr>
        <w:t xml:space="preserve"> </w:t>
      </w:r>
      <w:r>
        <w:rPr>
          <w:i/>
          <w:color w:val="231F20"/>
          <w:sz w:val="18"/>
        </w:rPr>
        <w:t>(2010</w:t>
      </w:r>
      <w:r>
        <w:rPr>
          <w:i/>
          <w:color w:val="231F20"/>
          <w:spacing w:val="-6"/>
          <w:sz w:val="18"/>
        </w:rPr>
        <w:t xml:space="preserve"> </w:t>
      </w:r>
      <w:r>
        <w:rPr>
          <w:i/>
          <w:color w:val="231F20"/>
          <w:sz w:val="18"/>
        </w:rPr>
        <w:t>р.)</w:t>
      </w:r>
    </w:p>
    <w:p w14:paraId="6FFE9B92" w14:textId="77777777" w:rsidR="00DE575E" w:rsidRDefault="002E7560">
      <w:pPr>
        <w:spacing w:before="5"/>
        <w:ind w:left="817"/>
        <w:rPr>
          <w:i/>
          <w:sz w:val="18"/>
        </w:rPr>
      </w:pPr>
      <w:r>
        <w:rPr>
          <w:i/>
          <w:color w:val="231F20"/>
          <w:sz w:val="18"/>
        </w:rPr>
        <w:t>«Функціонування демократичних інституцій в Україні»;</w:t>
      </w:r>
    </w:p>
    <w:p w14:paraId="15A32A7A" w14:textId="77777777" w:rsidR="00DE575E" w:rsidRDefault="002E7560">
      <w:pPr>
        <w:pStyle w:val="ListParagraph"/>
        <w:numPr>
          <w:ilvl w:val="1"/>
          <w:numId w:val="286"/>
        </w:numPr>
        <w:tabs>
          <w:tab w:val="left" w:pos="1254"/>
        </w:tabs>
        <w:spacing w:before="5" w:line="244" w:lineRule="auto"/>
        <w:ind w:right="128" w:firstLine="283"/>
        <w:jc w:val="left"/>
        <w:rPr>
          <w:i/>
          <w:sz w:val="18"/>
        </w:rPr>
      </w:pPr>
      <w:r>
        <w:rPr>
          <w:i/>
          <w:color w:val="231F20"/>
          <w:sz w:val="18"/>
        </w:rPr>
        <w:t xml:space="preserve">Резолюція (77) 31 від 28 вересня 1977 р. Комітету Міністрів про захист </w:t>
      </w:r>
      <w:r>
        <w:rPr>
          <w:i/>
          <w:color w:val="231F20"/>
          <w:sz w:val="18"/>
        </w:rPr>
        <w:t>особи щодо актів адміністративних органів</w:t>
      </w:r>
      <w:r>
        <w:rPr>
          <w:i/>
          <w:color w:val="231F20"/>
          <w:spacing w:val="-5"/>
          <w:sz w:val="18"/>
        </w:rPr>
        <w:t xml:space="preserve"> </w:t>
      </w:r>
      <w:r>
        <w:rPr>
          <w:i/>
          <w:color w:val="231F20"/>
          <w:sz w:val="18"/>
        </w:rPr>
        <w:t>влади;</w:t>
      </w:r>
    </w:p>
    <w:p w14:paraId="2FA1364E" w14:textId="6F837A41" w:rsidR="00DE575E" w:rsidRDefault="002E7560">
      <w:pPr>
        <w:pStyle w:val="BodyText"/>
        <w:spacing w:before="7"/>
        <w:rPr>
          <w:i/>
          <w:sz w:val="20"/>
        </w:rPr>
      </w:pPr>
      <w:r>
        <w:rPr>
          <w:noProof/>
        </w:rPr>
        <mc:AlternateContent>
          <mc:Choice Requires="wps">
            <w:drawing>
              <wp:anchor distT="0" distB="0" distL="0" distR="0" simplePos="0" relativeHeight="3568" behindDoc="0" locked="0" layoutInCell="1" allowOverlap="1" wp14:anchorId="02F24FA8" wp14:editId="2DC812BC">
                <wp:simplePos x="0" y="0"/>
                <wp:positionH relativeFrom="page">
                  <wp:posOffset>719455</wp:posOffset>
                </wp:positionH>
                <wp:positionV relativeFrom="paragraph">
                  <wp:posOffset>180975</wp:posOffset>
                </wp:positionV>
                <wp:extent cx="1080135" cy="0"/>
                <wp:effectExtent l="8255" t="15875" r="29210" b="22225"/>
                <wp:wrapTopAndBottom/>
                <wp:docPr id="1232"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AA21E" id="Line_x0020_1231" o:spid="_x0000_s1026" style="position:absolute;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25pt" to="141.7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HxJC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" strokecolor="#231f20" strokeweight=".5pt">
                <w10:wrap type="topAndBottom" anchorx="page"/>
              </v:line>
            </w:pict>
          </mc:Fallback>
        </mc:AlternateContent>
      </w:r>
    </w:p>
    <w:p w14:paraId="56AD19B6" w14:textId="77777777" w:rsidR="00DE575E" w:rsidRDefault="002E7560">
      <w:pPr>
        <w:spacing w:line="204" w:lineRule="auto"/>
        <w:ind w:left="533" w:right="521"/>
        <w:rPr>
          <w:sz w:val="16"/>
        </w:rPr>
      </w:pPr>
      <w:r>
        <w:rPr>
          <w:color w:val="231F20"/>
          <w:position w:val="5"/>
          <w:sz w:val="9"/>
        </w:rPr>
        <w:t xml:space="preserve">1 </w:t>
      </w:r>
      <w:r>
        <w:rPr>
          <w:color w:val="231F20"/>
          <w:sz w:val="16"/>
        </w:rPr>
        <w:t xml:space="preserve">Статут Ради Європи від 5 травня 1949 р. </w:t>
      </w:r>
      <w:r>
        <w:rPr>
          <w:i/>
          <w:color w:val="231F20"/>
          <w:sz w:val="16"/>
        </w:rPr>
        <w:t>Офіційний вісник України</w:t>
      </w:r>
      <w:r>
        <w:rPr>
          <w:color w:val="231F20"/>
          <w:sz w:val="16"/>
        </w:rPr>
        <w:t xml:space="preserve">.  2004 р.  № 26.  </w:t>
      </w:r>
      <w:r>
        <w:rPr>
          <w:color w:val="231F20"/>
          <w:spacing w:val="-3"/>
          <w:sz w:val="16"/>
        </w:rPr>
        <w:t>Ст.1733.</w:t>
      </w:r>
    </w:p>
    <w:p w14:paraId="49C050FB" w14:textId="77777777" w:rsidR="00DE575E" w:rsidRDefault="00DE575E">
      <w:pPr>
        <w:pStyle w:val="BodyText"/>
        <w:spacing w:before="1"/>
        <w:rPr>
          <w:sz w:val="12"/>
        </w:rPr>
      </w:pPr>
    </w:p>
    <w:p w14:paraId="71EF7C4E" w14:textId="77777777" w:rsidR="00DE575E" w:rsidRDefault="002E7560">
      <w:pPr>
        <w:spacing w:before="92"/>
        <w:ind w:left="533"/>
        <w:rPr>
          <w:rFonts w:ascii="Times New Roman"/>
          <w:sz w:val="20"/>
        </w:rPr>
      </w:pPr>
      <w:r>
        <w:rPr>
          <w:rFonts w:ascii="Times New Roman"/>
          <w:color w:val="231F20"/>
          <w:sz w:val="20"/>
        </w:rPr>
        <w:t>70</w:t>
      </w:r>
    </w:p>
    <w:p w14:paraId="0B80B559" w14:textId="77777777" w:rsidR="00DE575E" w:rsidRDefault="00DE575E">
      <w:pPr>
        <w:rPr>
          <w:rFonts w:ascii="Times New Roman"/>
          <w:sz w:val="20"/>
        </w:rPr>
        <w:sectPr w:rsidR="00DE575E">
          <w:pgSz w:w="8510" w:h="12760"/>
          <w:pgMar w:top="660" w:right="720" w:bottom="280" w:left="600" w:header="720" w:footer="720" w:gutter="0"/>
          <w:cols w:space="720"/>
        </w:sectPr>
      </w:pPr>
    </w:p>
    <w:p w14:paraId="63B9D84B"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Глава І. Загальне адміністративне право Розділ 3. Джерела адміністративного права</w:t>
      </w:r>
    </w:p>
    <w:p w14:paraId="6BABA197" w14:textId="2F942D4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4E686C5" wp14:editId="6B79829A">
                <wp:extent cx="4140200" cy="6350"/>
                <wp:effectExtent l="0" t="0" r="12700" b="6350"/>
                <wp:docPr id="123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31" name="Line 123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C4F382" id="Group_x0020_122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A3XHfgAIAAJwFAAAO&#10;AAAAAAAAAAAAAAAAACwCAABkcnMvZTJvRG9jLnhtbFBLAQItABQABgAIAAAAIQBMp7CQ2QAAAAMB&#10;AAAPAAAAAAAAAAAAAAAAANgEAABkcnMvZG93bnJldi54bWxQSwUGAAAAAAQABADzAAAA3gUAAAAA&#10;">
                <v:line id="Line_x0020_123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JPQMQAAADdAAAADwAAAGRycy9kb3ducmV2LnhtbERPzWrCQBC+F3yHZYReSt1oQErqKiIU&#10;Sg9aTR9gzI5JcHc2ZlcTffquIHibj+93ZoveGnGh1teOFYxHCQjiwumaSwV/+df7BwgfkDUax6Tg&#10;Sh4W88HLDDPtOt7SZRdKEUPYZ6igCqHJpPRFRRb9yDXEkTu41mKIsC2lbrGL4dbISZJMpcWaY0OF&#10;Da0qKo67s1WQn96C+d38mC7f7FO5P63T23mt1OuwX36CCNSHp/jh/tZx/iQdw/2beIK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Yk9AxAAAAN0AAAAPAAAAAAAAAAAA&#10;AAAAAKECAABkcnMvZG93bnJldi54bWxQSwUGAAAAAAQABAD5AAAAkgMAAAAA&#10;" strokecolor="#231f20" strokeweight=".5pt"/>
                <w10:anchorlock/>
              </v:group>
            </w:pict>
          </mc:Fallback>
        </mc:AlternateContent>
      </w:r>
    </w:p>
    <w:p w14:paraId="326310B9" w14:textId="77777777" w:rsidR="00DE575E" w:rsidRDefault="00DE575E">
      <w:pPr>
        <w:pStyle w:val="BodyText"/>
        <w:spacing w:before="8"/>
        <w:rPr>
          <w:rFonts w:ascii="AdonisC"/>
          <w:i/>
          <w:sz w:val="12"/>
        </w:rPr>
      </w:pPr>
    </w:p>
    <w:p w14:paraId="1D854E38" w14:textId="77777777" w:rsidR="00DE575E" w:rsidRDefault="002E7560">
      <w:pPr>
        <w:pStyle w:val="ListParagraph"/>
        <w:numPr>
          <w:ilvl w:val="0"/>
          <w:numId w:val="285"/>
        </w:numPr>
        <w:tabs>
          <w:tab w:val="left" w:pos="971"/>
        </w:tabs>
        <w:spacing w:before="100" w:line="244" w:lineRule="auto"/>
        <w:ind w:right="411" w:firstLine="284"/>
        <w:rPr>
          <w:i/>
          <w:sz w:val="18"/>
        </w:rPr>
      </w:pPr>
      <w:r>
        <w:rPr>
          <w:i/>
          <w:color w:val="231F20"/>
          <w:sz w:val="18"/>
        </w:rPr>
        <w:t>Рекомендація № R (80) 2 від 11 березня 1980 р. Комітету Міністрів державам-членам щодо здійснення адміністративними органами влади дискреційних</w:t>
      </w:r>
      <w:r>
        <w:rPr>
          <w:i/>
          <w:color w:val="231F20"/>
          <w:spacing w:val="-2"/>
          <w:sz w:val="18"/>
        </w:rPr>
        <w:t xml:space="preserve"> </w:t>
      </w:r>
      <w:r>
        <w:rPr>
          <w:i/>
          <w:color w:val="231F20"/>
          <w:sz w:val="18"/>
        </w:rPr>
        <w:t>повноважень;</w:t>
      </w:r>
    </w:p>
    <w:p w14:paraId="1E1678FC" w14:textId="77777777" w:rsidR="00DE575E" w:rsidRDefault="002E7560">
      <w:pPr>
        <w:pStyle w:val="ListParagraph"/>
        <w:numPr>
          <w:ilvl w:val="0"/>
          <w:numId w:val="285"/>
        </w:numPr>
        <w:tabs>
          <w:tab w:val="left" w:pos="971"/>
        </w:tabs>
        <w:spacing w:before="2" w:line="244" w:lineRule="auto"/>
        <w:ind w:right="411" w:firstLine="284"/>
        <w:rPr>
          <w:i/>
          <w:sz w:val="18"/>
        </w:rPr>
      </w:pPr>
      <w:r>
        <w:rPr>
          <w:i/>
          <w:color w:val="231F20"/>
          <w:spacing w:val="-5"/>
          <w:sz w:val="18"/>
        </w:rPr>
        <w:t>Рекомендація</w:t>
      </w:r>
      <w:r>
        <w:rPr>
          <w:i/>
          <w:color w:val="231F20"/>
          <w:spacing w:val="-14"/>
          <w:sz w:val="18"/>
        </w:rPr>
        <w:t xml:space="preserve"> </w:t>
      </w:r>
      <w:r>
        <w:rPr>
          <w:i/>
          <w:color w:val="231F20"/>
          <w:sz w:val="18"/>
        </w:rPr>
        <w:t>№</w:t>
      </w:r>
      <w:r>
        <w:rPr>
          <w:i/>
          <w:color w:val="231F20"/>
          <w:spacing w:val="22"/>
          <w:sz w:val="18"/>
        </w:rPr>
        <w:t xml:space="preserve"> </w:t>
      </w:r>
      <w:r>
        <w:rPr>
          <w:i/>
          <w:color w:val="231F20"/>
          <w:sz w:val="18"/>
        </w:rPr>
        <w:t>R</w:t>
      </w:r>
      <w:r>
        <w:rPr>
          <w:i/>
          <w:color w:val="231F20"/>
          <w:spacing w:val="-14"/>
          <w:sz w:val="18"/>
        </w:rPr>
        <w:t xml:space="preserve"> </w:t>
      </w:r>
      <w:r>
        <w:rPr>
          <w:i/>
          <w:color w:val="231F20"/>
          <w:spacing w:val="-3"/>
          <w:sz w:val="18"/>
        </w:rPr>
        <w:t>(84)</w:t>
      </w:r>
      <w:r>
        <w:rPr>
          <w:i/>
          <w:color w:val="231F20"/>
          <w:spacing w:val="-14"/>
          <w:sz w:val="18"/>
        </w:rPr>
        <w:t xml:space="preserve"> </w:t>
      </w:r>
      <w:r>
        <w:rPr>
          <w:i/>
          <w:color w:val="231F20"/>
          <w:sz w:val="18"/>
        </w:rPr>
        <w:t>15</w:t>
      </w:r>
      <w:r>
        <w:rPr>
          <w:i/>
          <w:color w:val="231F20"/>
          <w:spacing w:val="-14"/>
          <w:sz w:val="18"/>
        </w:rPr>
        <w:t xml:space="preserve"> </w:t>
      </w:r>
      <w:r>
        <w:rPr>
          <w:i/>
          <w:color w:val="231F20"/>
          <w:spacing w:val="-3"/>
          <w:sz w:val="18"/>
        </w:rPr>
        <w:t>від</w:t>
      </w:r>
      <w:r>
        <w:rPr>
          <w:i/>
          <w:color w:val="231F20"/>
          <w:spacing w:val="-14"/>
          <w:sz w:val="18"/>
        </w:rPr>
        <w:t xml:space="preserve"> </w:t>
      </w:r>
      <w:r>
        <w:rPr>
          <w:i/>
          <w:color w:val="231F20"/>
          <w:sz w:val="18"/>
        </w:rPr>
        <w:t>11</w:t>
      </w:r>
      <w:r>
        <w:rPr>
          <w:i/>
          <w:color w:val="231F20"/>
          <w:spacing w:val="-14"/>
          <w:sz w:val="18"/>
        </w:rPr>
        <w:t xml:space="preserve"> </w:t>
      </w:r>
      <w:r>
        <w:rPr>
          <w:i/>
          <w:color w:val="231F20"/>
          <w:spacing w:val="-4"/>
          <w:sz w:val="18"/>
        </w:rPr>
        <w:t>вересня</w:t>
      </w:r>
      <w:r>
        <w:rPr>
          <w:i/>
          <w:color w:val="231F20"/>
          <w:spacing w:val="-14"/>
          <w:sz w:val="18"/>
        </w:rPr>
        <w:t xml:space="preserve"> </w:t>
      </w:r>
      <w:r>
        <w:rPr>
          <w:i/>
          <w:color w:val="231F20"/>
          <w:spacing w:val="-3"/>
          <w:sz w:val="18"/>
        </w:rPr>
        <w:t>1984</w:t>
      </w:r>
      <w:r>
        <w:rPr>
          <w:i/>
          <w:color w:val="231F20"/>
          <w:spacing w:val="-10"/>
          <w:sz w:val="18"/>
        </w:rPr>
        <w:t xml:space="preserve"> </w:t>
      </w:r>
      <w:r>
        <w:rPr>
          <w:i/>
          <w:color w:val="231F20"/>
          <w:sz w:val="18"/>
        </w:rPr>
        <w:t>р.</w:t>
      </w:r>
      <w:r>
        <w:rPr>
          <w:i/>
          <w:color w:val="231F20"/>
          <w:spacing w:val="-13"/>
          <w:sz w:val="18"/>
        </w:rPr>
        <w:t xml:space="preserve"> </w:t>
      </w:r>
      <w:r>
        <w:rPr>
          <w:i/>
          <w:color w:val="231F20"/>
          <w:spacing w:val="-6"/>
          <w:sz w:val="18"/>
        </w:rPr>
        <w:t>Комітету</w:t>
      </w:r>
      <w:r>
        <w:rPr>
          <w:i/>
          <w:color w:val="231F20"/>
          <w:spacing w:val="-14"/>
          <w:sz w:val="18"/>
        </w:rPr>
        <w:t xml:space="preserve"> </w:t>
      </w:r>
      <w:r>
        <w:rPr>
          <w:i/>
          <w:color w:val="231F20"/>
          <w:spacing w:val="-4"/>
          <w:sz w:val="18"/>
        </w:rPr>
        <w:t>Міністрів</w:t>
      </w:r>
      <w:r>
        <w:rPr>
          <w:i/>
          <w:color w:val="231F20"/>
          <w:spacing w:val="-14"/>
          <w:sz w:val="18"/>
        </w:rPr>
        <w:t xml:space="preserve"> </w:t>
      </w:r>
      <w:r>
        <w:rPr>
          <w:i/>
          <w:color w:val="231F20"/>
          <w:spacing w:val="-5"/>
          <w:sz w:val="18"/>
        </w:rPr>
        <w:t xml:space="preserve">держа- </w:t>
      </w:r>
      <w:r>
        <w:rPr>
          <w:i/>
          <w:color w:val="231F20"/>
          <w:spacing w:val="-4"/>
          <w:sz w:val="18"/>
        </w:rPr>
        <w:t xml:space="preserve">вам-членам </w:t>
      </w:r>
      <w:r>
        <w:rPr>
          <w:i/>
          <w:color w:val="231F20"/>
          <w:spacing w:val="-3"/>
          <w:sz w:val="18"/>
        </w:rPr>
        <w:t xml:space="preserve">щодо </w:t>
      </w:r>
      <w:r>
        <w:rPr>
          <w:i/>
          <w:color w:val="231F20"/>
          <w:spacing w:val="-4"/>
          <w:sz w:val="18"/>
        </w:rPr>
        <w:t xml:space="preserve">публічної правової відповідальності </w:t>
      </w:r>
      <w:r>
        <w:rPr>
          <w:i/>
          <w:color w:val="231F20"/>
          <w:sz w:val="18"/>
        </w:rPr>
        <w:t>за</w:t>
      </w:r>
      <w:r>
        <w:rPr>
          <w:i/>
          <w:color w:val="231F20"/>
          <w:spacing w:val="-28"/>
          <w:sz w:val="18"/>
        </w:rPr>
        <w:t xml:space="preserve"> </w:t>
      </w:r>
      <w:r>
        <w:rPr>
          <w:i/>
          <w:color w:val="231F20"/>
          <w:spacing w:val="-4"/>
          <w:sz w:val="18"/>
        </w:rPr>
        <w:t xml:space="preserve">спричинену </w:t>
      </w:r>
      <w:r>
        <w:rPr>
          <w:i/>
          <w:color w:val="231F20"/>
          <w:spacing w:val="-5"/>
          <w:sz w:val="18"/>
        </w:rPr>
        <w:t>шкоду;</w:t>
      </w:r>
    </w:p>
    <w:p w14:paraId="5F2C2FB1" w14:textId="77777777" w:rsidR="00DE575E" w:rsidRDefault="002E7560">
      <w:pPr>
        <w:pStyle w:val="ListParagraph"/>
        <w:numPr>
          <w:ilvl w:val="0"/>
          <w:numId w:val="285"/>
        </w:numPr>
        <w:tabs>
          <w:tab w:val="left" w:pos="971"/>
        </w:tabs>
        <w:spacing w:before="2" w:line="244" w:lineRule="auto"/>
        <w:ind w:right="411" w:firstLine="284"/>
        <w:rPr>
          <w:i/>
          <w:sz w:val="18"/>
        </w:rPr>
      </w:pPr>
      <w:r>
        <w:rPr>
          <w:i/>
          <w:color w:val="231F20"/>
          <w:sz w:val="18"/>
        </w:rPr>
        <w:t xml:space="preserve">Рекомендація № R (87) 16 від 17 вересня 1987 р. Комітету Міністрів державам-членам щодо адміністративних процедур, які зачіпають права великої кількості </w:t>
      </w:r>
      <w:r>
        <w:rPr>
          <w:i/>
          <w:color w:val="231F20"/>
          <w:sz w:val="18"/>
        </w:rPr>
        <w:t>осіб,</w:t>
      </w:r>
      <w:r>
        <w:rPr>
          <w:i/>
          <w:color w:val="231F20"/>
          <w:spacing w:val="-4"/>
          <w:sz w:val="18"/>
        </w:rPr>
        <w:t xml:space="preserve"> </w:t>
      </w:r>
      <w:r>
        <w:rPr>
          <w:i/>
          <w:color w:val="231F20"/>
          <w:sz w:val="18"/>
        </w:rPr>
        <w:t>тощо.</w:t>
      </w:r>
    </w:p>
    <w:p w14:paraId="3D2E7277" w14:textId="77777777" w:rsidR="00DE575E" w:rsidRDefault="002E7560">
      <w:pPr>
        <w:pStyle w:val="BodyText"/>
        <w:spacing w:before="130" w:line="252" w:lineRule="auto"/>
        <w:ind w:left="250" w:right="411" w:firstLine="283"/>
        <w:jc w:val="both"/>
      </w:pPr>
      <w:r>
        <w:rPr>
          <w:color w:val="231F20"/>
        </w:rPr>
        <w:t xml:space="preserve">До </w:t>
      </w:r>
      <w:r>
        <w:rPr>
          <w:color w:val="231F20"/>
          <w:spacing w:val="-3"/>
        </w:rPr>
        <w:t xml:space="preserve">суб’єктів </w:t>
      </w:r>
      <w:r>
        <w:rPr>
          <w:color w:val="231F20"/>
        </w:rPr>
        <w:t>видання актів «м’якого права» належить Організація з безпеки та співробітництва в Європі (ОБСЄ), яка має своїм завдан- ням забезпечення безпеки у світі, урегулювання кризових ситуацій, ліквідацію наслідків конфліктів. Вирішення цих завдань супрово- джуєтьс</w:t>
      </w:r>
      <w:r>
        <w:rPr>
          <w:color w:val="231F20"/>
        </w:rPr>
        <w:t>я ухваленням відповідних рішень, які, не маючи юридично обов’язкового характеру для країн-членів, мають однак важливе політичне значення. Положення рішень ОБСЄ можуть надалі розви- ватися на рівні національного законодавства.</w:t>
      </w:r>
    </w:p>
    <w:p w14:paraId="39EA1EEA" w14:textId="77777777" w:rsidR="00DE575E" w:rsidRDefault="002E7560">
      <w:pPr>
        <w:spacing w:before="103"/>
        <w:ind w:left="817"/>
        <w:rPr>
          <w:i/>
          <w:sz w:val="18"/>
        </w:rPr>
      </w:pPr>
      <w:r>
        <w:rPr>
          <w:i/>
          <w:color w:val="231F20"/>
          <w:sz w:val="18"/>
          <w:u w:val="single" w:color="231F20"/>
        </w:rPr>
        <w:t>Наприклад:</w:t>
      </w:r>
    </w:p>
    <w:p w14:paraId="65B0CF1F" w14:textId="77777777" w:rsidR="00DE575E" w:rsidRDefault="002E7560">
      <w:pPr>
        <w:pStyle w:val="ListParagraph"/>
        <w:numPr>
          <w:ilvl w:val="0"/>
          <w:numId w:val="285"/>
        </w:numPr>
        <w:tabs>
          <w:tab w:val="left" w:pos="971"/>
        </w:tabs>
        <w:spacing w:before="5"/>
        <w:ind w:firstLine="284"/>
        <w:jc w:val="left"/>
        <w:rPr>
          <w:i/>
          <w:sz w:val="18"/>
        </w:rPr>
      </w:pPr>
      <w:r>
        <w:rPr>
          <w:i/>
          <w:color w:val="231F20"/>
          <w:sz w:val="18"/>
        </w:rPr>
        <w:t>Декларація щодо агр</w:t>
      </w:r>
      <w:r>
        <w:rPr>
          <w:i/>
          <w:color w:val="231F20"/>
          <w:sz w:val="18"/>
        </w:rPr>
        <w:t>есивного націоналізму (1993</w:t>
      </w:r>
      <w:r>
        <w:rPr>
          <w:i/>
          <w:color w:val="231F20"/>
          <w:spacing w:val="-8"/>
          <w:sz w:val="18"/>
        </w:rPr>
        <w:t xml:space="preserve"> </w:t>
      </w:r>
      <w:r>
        <w:rPr>
          <w:i/>
          <w:color w:val="231F20"/>
          <w:sz w:val="18"/>
        </w:rPr>
        <w:t>р.);</w:t>
      </w:r>
    </w:p>
    <w:p w14:paraId="4B06C97A" w14:textId="77777777" w:rsidR="00DE575E" w:rsidRDefault="002E7560">
      <w:pPr>
        <w:pStyle w:val="ListParagraph"/>
        <w:numPr>
          <w:ilvl w:val="0"/>
          <w:numId w:val="285"/>
        </w:numPr>
        <w:tabs>
          <w:tab w:val="left" w:pos="971"/>
        </w:tabs>
        <w:spacing w:before="5"/>
        <w:ind w:firstLine="284"/>
        <w:jc w:val="left"/>
        <w:rPr>
          <w:i/>
          <w:sz w:val="18"/>
        </w:rPr>
      </w:pPr>
      <w:r>
        <w:rPr>
          <w:i/>
          <w:color w:val="231F20"/>
          <w:sz w:val="18"/>
        </w:rPr>
        <w:t>Единбурзька декларація (2004</w:t>
      </w:r>
      <w:r>
        <w:rPr>
          <w:i/>
          <w:color w:val="231F20"/>
          <w:spacing w:val="-7"/>
          <w:sz w:val="18"/>
        </w:rPr>
        <w:t xml:space="preserve"> </w:t>
      </w:r>
      <w:r>
        <w:rPr>
          <w:i/>
          <w:color w:val="231F20"/>
          <w:sz w:val="18"/>
        </w:rPr>
        <w:t>р.);</w:t>
      </w:r>
    </w:p>
    <w:p w14:paraId="5E6C38C4" w14:textId="77777777" w:rsidR="00DE575E" w:rsidRDefault="002E7560">
      <w:pPr>
        <w:pStyle w:val="ListParagraph"/>
        <w:numPr>
          <w:ilvl w:val="0"/>
          <w:numId w:val="285"/>
        </w:numPr>
        <w:tabs>
          <w:tab w:val="left" w:pos="971"/>
        </w:tabs>
        <w:spacing w:before="5" w:line="244" w:lineRule="auto"/>
        <w:ind w:right="411" w:firstLine="284"/>
        <w:rPr>
          <w:i/>
          <w:sz w:val="18"/>
        </w:rPr>
      </w:pPr>
      <w:r>
        <w:rPr>
          <w:i/>
          <w:color w:val="231F20"/>
          <w:sz w:val="18"/>
        </w:rPr>
        <w:t>Астанінська  пам’ятна  декларація:  назустріч  спільноті  безпеки (2010</w:t>
      </w:r>
      <w:r>
        <w:rPr>
          <w:i/>
          <w:color w:val="231F20"/>
          <w:spacing w:val="-4"/>
          <w:sz w:val="18"/>
        </w:rPr>
        <w:t xml:space="preserve"> </w:t>
      </w:r>
      <w:r>
        <w:rPr>
          <w:i/>
          <w:color w:val="231F20"/>
          <w:sz w:val="18"/>
        </w:rPr>
        <w:t>р.).</w:t>
      </w:r>
    </w:p>
    <w:p w14:paraId="78CAA32C" w14:textId="77777777" w:rsidR="00DE575E" w:rsidRDefault="00DE575E">
      <w:pPr>
        <w:pStyle w:val="BodyText"/>
        <w:rPr>
          <w:i/>
          <w:sz w:val="20"/>
        </w:rPr>
      </w:pPr>
    </w:p>
    <w:p w14:paraId="10E2C560" w14:textId="77777777" w:rsidR="00DE575E" w:rsidRDefault="00DE575E">
      <w:pPr>
        <w:pStyle w:val="BodyText"/>
        <w:rPr>
          <w:i/>
          <w:sz w:val="20"/>
        </w:rPr>
      </w:pPr>
    </w:p>
    <w:p w14:paraId="66BAA70D" w14:textId="77777777" w:rsidR="00DE575E" w:rsidRDefault="002E7560">
      <w:pPr>
        <w:pStyle w:val="Heading4"/>
        <w:numPr>
          <w:ilvl w:val="1"/>
          <w:numId w:val="284"/>
        </w:numPr>
        <w:tabs>
          <w:tab w:val="left" w:pos="1463"/>
        </w:tabs>
        <w:spacing w:before="168"/>
        <w:ind w:right="1211" w:hanging="1118"/>
        <w:jc w:val="left"/>
      </w:pPr>
      <w:r>
        <w:rPr>
          <w:color w:val="231F20"/>
        </w:rPr>
        <w:t xml:space="preserve">Рішення </w:t>
      </w:r>
      <w:r>
        <w:rPr>
          <w:color w:val="231F20"/>
          <w:spacing w:val="-3"/>
        </w:rPr>
        <w:t xml:space="preserve">судових </w:t>
      </w:r>
      <w:r>
        <w:rPr>
          <w:color w:val="231F20"/>
        </w:rPr>
        <w:t>органів у системі джерел адміністративного</w:t>
      </w:r>
      <w:r>
        <w:rPr>
          <w:color w:val="231F20"/>
          <w:spacing w:val="-2"/>
        </w:rPr>
        <w:t xml:space="preserve"> </w:t>
      </w:r>
      <w:r>
        <w:rPr>
          <w:color w:val="231F20"/>
        </w:rPr>
        <w:t>права</w:t>
      </w:r>
    </w:p>
    <w:p w14:paraId="21A779E3" w14:textId="77777777" w:rsidR="00DE575E" w:rsidRDefault="00DE575E">
      <w:pPr>
        <w:pStyle w:val="BodyText"/>
        <w:rPr>
          <w:b/>
          <w:sz w:val="26"/>
        </w:rPr>
      </w:pPr>
    </w:p>
    <w:p w14:paraId="30FBBCFA" w14:textId="77777777" w:rsidR="00DE575E" w:rsidRDefault="002E7560">
      <w:pPr>
        <w:pStyle w:val="BodyText"/>
        <w:spacing w:before="224" w:line="252" w:lineRule="auto"/>
        <w:ind w:left="250" w:right="411" w:firstLine="283"/>
        <w:jc w:val="both"/>
      </w:pPr>
      <w:r>
        <w:rPr>
          <w:color w:val="231F20"/>
          <w:spacing w:val="-5"/>
        </w:rPr>
        <w:t xml:space="preserve">Суди </w:t>
      </w:r>
      <w:r>
        <w:rPr>
          <w:color w:val="231F20"/>
        </w:rPr>
        <w:t xml:space="preserve">та </w:t>
      </w:r>
      <w:r>
        <w:rPr>
          <w:color w:val="231F20"/>
          <w:spacing w:val="-3"/>
        </w:rPr>
        <w:t xml:space="preserve">судді </w:t>
      </w:r>
      <w:r>
        <w:rPr>
          <w:color w:val="231F20"/>
        </w:rPr>
        <w:t>здійснюють застосування права.</w:t>
      </w:r>
      <w:r>
        <w:rPr>
          <w:color w:val="231F20"/>
        </w:rPr>
        <w:t xml:space="preserve"> Проте прогалини  у праві, суперечливість окремих положень юридичних актів усклад- нюють здійснення правосуддя. З </w:t>
      </w:r>
      <w:r>
        <w:rPr>
          <w:color w:val="231F20"/>
          <w:spacing w:val="-3"/>
        </w:rPr>
        <w:t xml:space="preserve">огляду </w:t>
      </w:r>
      <w:r>
        <w:rPr>
          <w:color w:val="231F20"/>
        </w:rPr>
        <w:t xml:space="preserve">на це, виникає потреба розроблення </w:t>
      </w:r>
      <w:r>
        <w:rPr>
          <w:color w:val="231F20"/>
          <w:spacing w:val="-3"/>
        </w:rPr>
        <w:t xml:space="preserve">суддями </w:t>
      </w:r>
      <w:r>
        <w:rPr>
          <w:color w:val="231F20"/>
        </w:rPr>
        <w:t>окремих принципів (положень), спрямова- них на виправлення недоліків, що виявляються в чинни</w:t>
      </w:r>
      <w:r>
        <w:rPr>
          <w:color w:val="231F20"/>
        </w:rPr>
        <w:t>х норма- тивних актах. Подібні принципи (положення) можуть застосовува- тися</w:t>
      </w:r>
      <w:r>
        <w:rPr>
          <w:color w:val="231F20"/>
          <w:spacing w:val="-11"/>
        </w:rPr>
        <w:t xml:space="preserve"> </w:t>
      </w:r>
      <w:r>
        <w:rPr>
          <w:color w:val="231F20"/>
        </w:rPr>
        <w:t>іншими</w:t>
      </w:r>
      <w:r>
        <w:rPr>
          <w:color w:val="231F20"/>
          <w:spacing w:val="-11"/>
        </w:rPr>
        <w:t xml:space="preserve"> </w:t>
      </w:r>
      <w:r>
        <w:rPr>
          <w:color w:val="231F20"/>
          <w:spacing w:val="-3"/>
        </w:rPr>
        <w:t>судами</w:t>
      </w:r>
      <w:r>
        <w:rPr>
          <w:color w:val="231F20"/>
          <w:spacing w:val="-11"/>
        </w:rPr>
        <w:t xml:space="preserve"> </w:t>
      </w:r>
      <w:r>
        <w:rPr>
          <w:color w:val="231F20"/>
        </w:rPr>
        <w:t>(суддями)</w:t>
      </w:r>
      <w:r>
        <w:rPr>
          <w:color w:val="231F20"/>
          <w:spacing w:val="-11"/>
        </w:rPr>
        <w:t xml:space="preserve"> </w:t>
      </w:r>
      <w:r>
        <w:rPr>
          <w:color w:val="231F20"/>
        </w:rPr>
        <w:t>під</w:t>
      </w:r>
      <w:r>
        <w:rPr>
          <w:color w:val="231F20"/>
          <w:spacing w:val="-11"/>
        </w:rPr>
        <w:t xml:space="preserve"> </w:t>
      </w:r>
      <w:r>
        <w:rPr>
          <w:color w:val="231F20"/>
        </w:rPr>
        <w:t>час</w:t>
      </w:r>
      <w:r>
        <w:rPr>
          <w:color w:val="231F20"/>
          <w:spacing w:val="-11"/>
        </w:rPr>
        <w:t xml:space="preserve"> </w:t>
      </w:r>
      <w:r>
        <w:rPr>
          <w:color w:val="231F20"/>
        </w:rPr>
        <w:t>вирішення</w:t>
      </w:r>
      <w:r>
        <w:rPr>
          <w:color w:val="231F20"/>
          <w:spacing w:val="-11"/>
        </w:rPr>
        <w:t xml:space="preserve"> </w:t>
      </w:r>
      <w:r>
        <w:rPr>
          <w:color w:val="231F20"/>
        </w:rPr>
        <w:t>аналогічних</w:t>
      </w:r>
      <w:r>
        <w:rPr>
          <w:color w:val="231F20"/>
          <w:spacing w:val="-11"/>
        </w:rPr>
        <w:t xml:space="preserve"> </w:t>
      </w:r>
      <w:r>
        <w:rPr>
          <w:color w:val="231F20"/>
        </w:rPr>
        <w:t>справ. Важливими вони є також і для публічної адміністрації, оскільки в їх змісті фіксуються необхідні для функціонування ост</w:t>
      </w:r>
      <w:r>
        <w:rPr>
          <w:color w:val="231F20"/>
        </w:rPr>
        <w:t>анньої роз’яс- нення</w:t>
      </w:r>
      <w:r>
        <w:rPr>
          <w:color w:val="231F20"/>
          <w:spacing w:val="-1"/>
        </w:rPr>
        <w:t xml:space="preserve"> </w:t>
      </w:r>
      <w:r>
        <w:rPr>
          <w:color w:val="231F20"/>
        </w:rPr>
        <w:t>(рекомендації).</w:t>
      </w:r>
    </w:p>
    <w:p w14:paraId="448D8F8C" w14:textId="77777777" w:rsidR="00DE575E" w:rsidRDefault="002E7560">
      <w:pPr>
        <w:pStyle w:val="BodyText"/>
        <w:spacing w:before="5" w:line="252" w:lineRule="auto"/>
        <w:ind w:left="250" w:right="412" w:firstLine="283"/>
        <w:jc w:val="both"/>
      </w:pPr>
      <w:r>
        <w:rPr>
          <w:color w:val="231F20"/>
        </w:rPr>
        <w:t xml:space="preserve">Верховна Рада </w:t>
      </w:r>
      <w:r>
        <w:rPr>
          <w:color w:val="231F20"/>
          <w:spacing w:val="-3"/>
        </w:rPr>
        <w:t xml:space="preserve">України, </w:t>
      </w:r>
      <w:r>
        <w:rPr>
          <w:color w:val="231F20"/>
        </w:rPr>
        <w:t>виходячи з  власних  уявлень  про  мету та завдання юридичного регулювання відповідних</w:t>
      </w:r>
      <w:r>
        <w:rPr>
          <w:color w:val="231F20"/>
          <w:spacing w:val="42"/>
        </w:rPr>
        <w:t xml:space="preserve"> </w:t>
      </w:r>
      <w:r>
        <w:rPr>
          <w:color w:val="231F20"/>
        </w:rPr>
        <w:t>суспільних</w:t>
      </w:r>
    </w:p>
    <w:p w14:paraId="05C8C7B4" w14:textId="77777777" w:rsidR="00DE575E" w:rsidRDefault="00DE575E">
      <w:pPr>
        <w:pStyle w:val="BodyText"/>
        <w:spacing w:before="7"/>
        <w:rPr>
          <w:sz w:val="29"/>
        </w:rPr>
      </w:pPr>
    </w:p>
    <w:p w14:paraId="02A1EFB4" w14:textId="77777777" w:rsidR="00DE575E" w:rsidRDefault="002E7560">
      <w:pPr>
        <w:spacing w:before="91"/>
        <w:ind w:right="411"/>
        <w:jc w:val="right"/>
        <w:rPr>
          <w:rFonts w:ascii="Times New Roman"/>
          <w:sz w:val="20"/>
        </w:rPr>
      </w:pPr>
      <w:r>
        <w:rPr>
          <w:rFonts w:ascii="Times New Roman"/>
          <w:color w:val="231F20"/>
          <w:w w:val="90"/>
          <w:sz w:val="20"/>
        </w:rPr>
        <w:t>71</w:t>
      </w:r>
    </w:p>
    <w:p w14:paraId="19757F6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BA5FA1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97873D7" w14:textId="03C2B22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7011D88" wp14:editId="14E72D54">
                <wp:extent cx="4140200" cy="6350"/>
                <wp:effectExtent l="0" t="0" r="12700" b="6350"/>
                <wp:docPr id="122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29" name="Line 122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EF4F79" id="Group_x0020_122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dY9a9/AgAAnAUAAA4A&#10;AAAAAAAAAAAAAAAALAIAAGRycy9lMm9Eb2MueG1sUEsBAi0AFAAGAAgAAAAhAEynsJDZAAAAAwEA&#10;AA8AAAAAAAAAAAAAAAAA1wQAAGRycy9kb3ducmV2LnhtbFBLBQYAAAAABAAEAPMAAADdBQAAAAA=&#10;">
                <v:line id="Line_x0020_122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3Vm8UAAADdAAAADwAAAGRycy9kb3ducmV2LnhtbERPzWrCQBC+F3yHZYReSt00QrGpq0hB&#10;kB60Gh9gzE6T4O5szK4m+vSuUOhtPr7fmc57a8SFWl87VvA2SkAQF07XXCrY58vXCQgfkDUax6Tg&#10;Sh7ms8HTFDPtOt7SZRdKEUPYZ6igCqHJpPRFRRb9yDXEkft1rcUQYVtK3WIXw62RaZK8S4s1x4YK&#10;G/qqqDjuzlZBfnoJ5mfzbbp8cxjLw2k9vp3XSj0P+8UniEB9+Bf/uVc6zk/TD3h8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83Vm8UAAADdAAAADwAAAAAAAAAA&#10;AAAAAAChAgAAZHJzL2Rvd25yZXYueG1sUEsFBgAAAAAEAAQA+QAAAJMDAAAAAA==&#10;" strokecolor="#231f20" strokeweight=".5pt"/>
                <w10:anchorlock/>
              </v:group>
            </w:pict>
          </mc:Fallback>
        </mc:AlternateContent>
      </w:r>
    </w:p>
    <w:p w14:paraId="5D00C204" w14:textId="77777777" w:rsidR="00DE575E" w:rsidRDefault="00DE575E">
      <w:pPr>
        <w:pStyle w:val="BodyText"/>
        <w:spacing w:before="7"/>
        <w:rPr>
          <w:rFonts w:ascii="AdonisC"/>
          <w:i/>
          <w:sz w:val="11"/>
        </w:rPr>
      </w:pPr>
    </w:p>
    <w:p w14:paraId="011FF52A" w14:textId="77777777" w:rsidR="00DE575E" w:rsidRDefault="002E7560">
      <w:pPr>
        <w:pStyle w:val="BodyText"/>
        <w:spacing w:before="101" w:line="252" w:lineRule="auto"/>
        <w:ind w:left="533" w:right="128"/>
        <w:jc w:val="both"/>
      </w:pPr>
      <w:r>
        <w:rPr>
          <w:color w:val="231F20"/>
        </w:rPr>
        <w:t>відносин, уповноважена створювати нові юридичні акти. Можли- вості суду (судді) у цій сфері обмежені рамками чинних юридичних актів. Тобто суд (суддя) своїм рішенням може лише конкретизувати або доповнити юридичні акти</w:t>
      </w:r>
      <w:r>
        <w:rPr>
          <w:color w:val="231F20"/>
          <w:position w:val="7"/>
          <w:sz w:val="12"/>
        </w:rPr>
        <w:t>1</w:t>
      </w:r>
      <w:r>
        <w:rPr>
          <w:color w:val="231F20"/>
        </w:rPr>
        <w:t>.</w:t>
      </w:r>
    </w:p>
    <w:p w14:paraId="420CFA57" w14:textId="77777777" w:rsidR="00DE575E" w:rsidRDefault="00DE575E">
      <w:pPr>
        <w:pStyle w:val="BodyText"/>
        <w:spacing w:before="2"/>
        <w:rPr>
          <w:sz w:val="22"/>
        </w:rPr>
      </w:pPr>
    </w:p>
    <w:p w14:paraId="06ECAA49" w14:textId="77777777" w:rsidR="00DE575E" w:rsidRDefault="002E7560">
      <w:pPr>
        <w:pStyle w:val="Heading5"/>
        <w:numPr>
          <w:ilvl w:val="2"/>
          <w:numId w:val="283"/>
        </w:numPr>
        <w:tabs>
          <w:tab w:val="left" w:pos="1383"/>
        </w:tabs>
        <w:spacing w:line="252" w:lineRule="auto"/>
        <w:ind w:right="954" w:firstLine="0"/>
      </w:pPr>
      <w:r>
        <w:rPr>
          <w:color w:val="231F20"/>
        </w:rPr>
        <w:t>Практика</w:t>
      </w:r>
      <w:r>
        <w:rPr>
          <w:color w:val="231F20"/>
          <w:spacing w:val="-7"/>
        </w:rPr>
        <w:t xml:space="preserve"> </w:t>
      </w:r>
      <w:r>
        <w:rPr>
          <w:color w:val="231F20"/>
        </w:rPr>
        <w:t>Європейського</w:t>
      </w:r>
      <w:r>
        <w:rPr>
          <w:color w:val="231F20"/>
          <w:spacing w:val="-7"/>
        </w:rPr>
        <w:t xml:space="preserve"> </w:t>
      </w:r>
      <w:r>
        <w:rPr>
          <w:color w:val="231F20"/>
          <w:spacing w:val="-4"/>
        </w:rPr>
        <w:t>суду</w:t>
      </w:r>
      <w:r>
        <w:rPr>
          <w:color w:val="231F20"/>
          <w:spacing w:val="-6"/>
        </w:rPr>
        <w:t xml:space="preserve"> </w:t>
      </w:r>
      <w:r>
        <w:rPr>
          <w:color w:val="231F20"/>
        </w:rPr>
        <w:t>з</w:t>
      </w:r>
      <w:r>
        <w:rPr>
          <w:color w:val="231F20"/>
          <w:spacing w:val="-7"/>
        </w:rPr>
        <w:t xml:space="preserve"> </w:t>
      </w:r>
      <w:r>
        <w:rPr>
          <w:color w:val="231F20"/>
        </w:rPr>
        <w:t>прав</w:t>
      </w:r>
      <w:r>
        <w:rPr>
          <w:color w:val="231F20"/>
          <w:spacing w:val="-7"/>
        </w:rPr>
        <w:t xml:space="preserve"> </w:t>
      </w:r>
      <w:r>
        <w:rPr>
          <w:color w:val="231F20"/>
        </w:rPr>
        <w:t>людини</w:t>
      </w:r>
      <w:r>
        <w:rPr>
          <w:color w:val="231F20"/>
          <w:spacing w:val="-6"/>
        </w:rPr>
        <w:t xml:space="preserve"> </w:t>
      </w:r>
      <w:r>
        <w:rPr>
          <w:color w:val="231F20"/>
        </w:rPr>
        <w:t>як джерело адміністративного</w:t>
      </w:r>
      <w:r>
        <w:rPr>
          <w:color w:val="231F20"/>
          <w:spacing w:val="-3"/>
        </w:rPr>
        <w:t xml:space="preserve"> </w:t>
      </w:r>
      <w:r>
        <w:rPr>
          <w:color w:val="231F20"/>
        </w:rPr>
        <w:t>права</w:t>
      </w:r>
    </w:p>
    <w:p w14:paraId="404D66D2" w14:textId="77777777" w:rsidR="00DE575E" w:rsidRDefault="00DE575E">
      <w:pPr>
        <w:pStyle w:val="BodyText"/>
        <w:spacing w:before="1"/>
        <w:rPr>
          <w:b/>
          <w:sz w:val="22"/>
        </w:rPr>
      </w:pPr>
    </w:p>
    <w:p w14:paraId="746E57E2" w14:textId="77777777" w:rsidR="00DE575E" w:rsidRDefault="002E7560">
      <w:pPr>
        <w:pStyle w:val="BodyText"/>
        <w:spacing w:line="252" w:lineRule="auto"/>
        <w:ind w:left="533" w:right="127" w:firstLine="283"/>
        <w:jc w:val="both"/>
      </w:pPr>
      <w:r>
        <w:rPr>
          <w:color w:val="231F20"/>
        </w:rPr>
        <w:t xml:space="preserve">У положеннях </w:t>
      </w:r>
      <w:r>
        <w:rPr>
          <w:color w:val="231F20"/>
          <w:spacing w:val="-6"/>
        </w:rPr>
        <w:t xml:space="preserve">ст. </w:t>
      </w:r>
      <w:r>
        <w:rPr>
          <w:color w:val="231F20"/>
        </w:rPr>
        <w:t xml:space="preserve">17 Закону </w:t>
      </w:r>
      <w:r>
        <w:rPr>
          <w:color w:val="231F20"/>
          <w:spacing w:val="-3"/>
        </w:rPr>
        <w:t xml:space="preserve">України </w:t>
      </w:r>
      <w:r>
        <w:rPr>
          <w:color w:val="231F20"/>
        </w:rPr>
        <w:t xml:space="preserve">від 23 лютого 2006 р. «Про виконання рішень та  застосування  практики  Європейського  </w:t>
      </w:r>
      <w:r>
        <w:rPr>
          <w:color w:val="231F20"/>
          <w:spacing w:val="-4"/>
        </w:rPr>
        <w:t xml:space="preserve">суду </w:t>
      </w:r>
      <w:r>
        <w:rPr>
          <w:color w:val="231F20"/>
        </w:rPr>
        <w:t xml:space="preserve">з прав людини» зазначено, що </w:t>
      </w:r>
      <w:r>
        <w:rPr>
          <w:color w:val="231F20"/>
          <w:spacing w:val="-4"/>
        </w:rPr>
        <w:t xml:space="preserve">суди </w:t>
      </w:r>
      <w:r>
        <w:rPr>
          <w:color w:val="231F20"/>
        </w:rPr>
        <w:t xml:space="preserve">застосовують у </w:t>
      </w:r>
      <w:r>
        <w:rPr>
          <w:color w:val="231F20"/>
          <w:spacing w:val="-3"/>
        </w:rPr>
        <w:t xml:space="preserve">розгляді </w:t>
      </w:r>
      <w:r>
        <w:rPr>
          <w:color w:val="231F20"/>
        </w:rPr>
        <w:t xml:space="preserve">справ Конвенцію та практику Європейського </w:t>
      </w:r>
      <w:r>
        <w:rPr>
          <w:color w:val="231F20"/>
          <w:spacing w:val="-5"/>
        </w:rPr>
        <w:t xml:space="preserve">Суду </w:t>
      </w:r>
      <w:r>
        <w:rPr>
          <w:color w:val="231F20"/>
        </w:rPr>
        <w:t>як джерела адміністра- тивного</w:t>
      </w:r>
      <w:r>
        <w:rPr>
          <w:color w:val="231F20"/>
          <w:spacing w:val="-2"/>
        </w:rPr>
        <w:t xml:space="preserve"> </w:t>
      </w:r>
      <w:r>
        <w:rPr>
          <w:color w:val="231F20"/>
        </w:rPr>
        <w:t>права</w:t>
      </w:r>
      <w:r>
        <w:rPr>
          <w:color w:val="231F20"/>
          <w:position w:val="7"/>
          <w:sz w:val="12"/>
        </w:rPr>
        <w:t>2</w:t>
      </w:r>
      <w:r>
        <w:rPr>
          <w:color w:val="231F20"/>
        </w:rPr>
        <w:t>.</w:t>
      </w:r>
    </w:p>
    <w:p w14:paraId="482E71E3" w14:textId="77777777" w:rsidR="00DE575E" w:rsidRDefault="002E7560">
      <w:pPr>
        <w:pStyle w:val="BodyText"/>
        <w:spacing w:before="2" w:line="252" w:lineRule="auto"/>
        <w:ind w:left="533" w:right="123" w:firstLine="283"/>
        <w:jc w:val="both"/>
      </w:pPr>
      <w:r>
        <w:rPr>
          <w:color w:val="231F20"/>
          <w:spacing w:val="1"/>
        </w:rPr>
        <w:t xml:space="preserve">Наведена норма законодавства  </w:t>
      </w:r>
      <w:r>
        <w:rPr>
          <w:color w:val="231F20"/>
        </w:rPr>
        <w:t xml:space="preserve">є  </w:t>
      </w:r>
      <w:r>
        <w:rPr>
          <w:color w:val="231F20"/>
          <w:spacing w:val="1"/>
        </w:rPr>
        <w:t xml:space="preserve">рівною  мірою  обов’язко- </w:t>
      </w:r>
      <w:r>
        <w:rPr>
          <w:color w:val="231F20"/>
        </w:rPr>
        <w:t xml:space="preserve">вою та </w:t>
      </w:r>
      <w:r>
        <w:rPr>
          <w:color w:val="231F20"/>
          <w:spacing w:val="1"/>
        </w:rPr>
        <w:t xml:space="preserve">важливою </w:t>
      </w:r>
      <w:r>
        <w:rPr>
          <w:color w:val="231F20"/>
        </w:rPr>
        <w:t xml:space="preserve">як </w:t>
      </w:r>
      <w:r>
        <w:rPr>
          <w:color w:val="231F20"/>
          <w:spacing w:val="2"/>
        </w:rPr>
        <w:t xml:space="preserve">для </w:t>
      </w:r>
      <w:r>
        <w:rPr>
          <w:color w:val="231F20"/>
        </w:rPr>
        <w:t xml:space="preserve">суду  (судді),  так  і  </w:t>
      </w:r>
      <w:r>
        <w:rPr>
          <w:color w:val="231F20"/>
          <w:spacing w:val="2"/>
        </w:rPr>
        <w:t xml:space="preserve">для  </w:t>
      </w:r>
      <w:r>
        <w:rPr>
          <w:color w:val="231F20"/>
          <w:spacing w:val="1"/>
        </w:rPr>
        <w:t xml:space="preserve">інших  учасни-  </w:t>
      </w:r>
      <w:r>
        <w:rPr>
          <w:color w:val="231F20"/>
        </w:rPr>
        <w:t xml:space="preserve">ків </w:t>
      </w:r>
      <w:r>
        <w:rPr>
          <w:color w:val="231F20"/>
          <w:spacing w:val="1"/>
        </w:rPr>
        <w:t xml:space="preserve">правовідносин </w:t>
      </w:r>
      <w:r>
        <w:rPr>
          <w:color w:val="231F20"/>
        </w:rPr>
        <w:t xml:space="preserve">– </w:t>
      </w:r>
      <w:r>
        <w:rPr>
          <w:color w:val="231F20"/>
          <w:spacing w:val="1"/>
        </w:rPr>
        <w:t xml:space="preserve">громадян, </w:t>
      </w:r>
      <w:r>
        <w:rPr>
          <w:color w:val="231F20"/>
        </w:rPr>
        <w:t xml:space="preserve">суб’єктів </w:t>
      </w:r>
      <w:r>
        <w:rPr>
          <w:color w:val="231F20"/>
          <w:spacing w:val="1"/>
        </w:rPr>
        <w:t xml:space="preserve">публічної </w:t>
      </w:r>
      <w:r>
        <w:rPr>
          <w:color w:val="231F20"/>
          <w:spacing w:val="2"/>
        </w:rPr>
        <w:t xml:space="preserve">адміністрації </w:t>
      </w:r>
      <w:r>
        <w:rPr>
          <w:color w:val="231F20"/>
          <w:spacing w:val="1"/>
        </w:rPr>
        <w:t xml:space="preserve">тощо. </w:t>
      </w:r>
      <w:r>
        <w:rPr>
          <w:color w:val="231F20"/>
        </w:rPr>
        <w:t xml:space="preserve">Тобто кожен із </w:t>
      </w:r>
      <w:r>
        <w:rPr>
          <w:color w:val="231F20"/>
          <w:spacing w:val="1"/>
        </w:rPr>
        <w:t xml:space="preserve">названих </w:t>
      </w:r>
      <w:r>
        <w:rPr>
          <w:color w:val="231F20"/>
        </w:rPr>
        <w:t xml:space="preserve">суб’єктів у </w:t>
      </w:r>
      <w:r>
        <w:rPr>
          <w:color w:val="231F20"/>
          <w:spacing w:val="1"/>
        </w:rPr>
        <w:t xml:space="preserve">разі, якщо стикається </w:t>
      </w:r>
      <w:r>
        <w:rPr>
          <w:color w:val="231F20"/>
        </w:rPr>
        <w:t xml:space="preserve">з </w:t>
      </w:r>
      <w:r>
        <w:rPr>
          <w:color w:val="231F20"/>
          <w:spacing w:val="1"/>
        </w:rPr>
        <w:t xml:space="preserve">потребою правозастосування, </w:t>
      </w:r>
      <w:r>
        <w:rPr>
          <w:color w:val="231F20"/>
        </w:rPr>
        <w:t xml:space="preserve">має </w:t>
      </w:r>
      <w:r>
        <w:rPr>
          <w:color w:val="231F20"/>
          <w:spacing w:val="1"/>
        </w:rPr>
        <w:t xml:space="preserve">орієнтуватися </w:t>
      </w:r>
      <w:r>
        <w:rPr>
          <w:color w:val="231F20"/>
        </w:rPr>
        <w:t xml:space="preserve">у </w:t>
      </w:r>
      <w:r>
        <w:rPr>
          <w:color w:val="231F20"/>
          <w:spacing w:val="1"/>
        </w:rPr>
        <w:t xml:space="preserve">своїх </w:t>
      </w:r>
      <w:r>
        <w:rPr>
          <w:color w:val="231F20"/>
          <w:spacing w:val="2"/>
        </w:rPr>
        <w:t xml:space="preserve">рішеннях </w:t>
      </w:r>
      <w:r>
        <w:rPr>
          <w:color w:val="231F20"/>
        </w:rPr>
        <w:t xml:space="preserve">та </w:t>
      </w:r>
      <w:r>
        <w:rPr>
          <w:color w:val="231F20"/>
          <w:spacing w:val="1"/>
        </w:rPr>
        <w:t xml:space="preserve">діях </w:t>
      </w:r>
      <w:r>
        <w:rPr>
          <w:color w:val="231F20"/>
        </w:rPr>
        <w:t xml:space="preserve">на </w:t>
      </w:r>
      <w:r>
        <w:rPr>
          <w:color w:val="231F20"/>
          <w:spacing w:val="1"/>
        </w:rPr>
        <w:t xml:space="preserve">практику Європейського </w:t>
      </w:r>
      <w:r>
        <w:rPr>
          <w:color w:val="231F20"/>
        </w:rPr>
        <w:t xml:space="preserve">суду з </w:t>
      </w:r>
      <w:r>
        <w:rPr>
          <w:color w:val="231F20"/>
          <w:spacing w:val="1"/>
        </w:rPr>
        <w:t xml:space="preserve">прав </w:t>
      </w:r>
      <w:r>
        <w:rPr>
          <w:color w:val="231F20"/>
        </w:rPr>
        <w:t xml:space="preserve">людини. </w:t>
      </w:r>
      <w:r>
        <w:rPr>
          <w:color w:val="231F20"/>
          <w:spacing w:val="2"/>
        </w:rPr>
        <w:t xml:space="preserve">Інакше </w:t>
      </w:r>
      <w:r>
        <w:rPr>
          <w:color w:val="231F20"/>
          <w:spacing w:val="1"/>
        </w:rPr>
        <w:t>кажучи, названі особ</w:t>
      </w:r>
      <w:r>
        <w:rPr>
          <w:color w:val="231F20"/>
          <w:spacing w:val="1"/>
        </w:rPr>
        <w:t xml:space="preserve">и </w:t>
      </w:r>
      <w:r>
        <w:rPr>
          <w:color w:val="231F20"/>
        </w:rPr>
        <w:t xml:space="preserve">мають </w:t>
      </w:r>
      <w:r>
        <w:rPr>
          <w:color w:val="231F20"/>
          <w:spacing w:val="1"/>
        </w:rPr>
        <w:t xml:space="preserve">керуватися рішеннями Європейсь- </w:t>
      </w:r>
      <w:r>
        <w:rPr>
          <w:color w:val="231F20"/>
        </w:rPr>
        <w:t xml:space="preserve">кого суду з </w:t>
      </w:r>
      <w:r>
        <w:rPr>
          <w:color w:val="231F20"/>
          <w:spacing w:val="1"/>
        </w:rPr>
        <w:t xml:space="preserve">прав </w:t>
      </w:r>
      <w:r>
        <w:rPr>
          <w:color w:val="231F20"/>
        </w:rPr>
        <w:t xml:space="preserve">людини </w:t>
      </w:r>
      <w:r>
        <w:rPr>
          <w:color w:val="231F20"/>
          <w:spacing w:val="1"/>
        </w:rPr>
        <w:t xml:space="preserve">нарівні </w:t>
      </w:r>
      <w:r>
        <w:rPr>
          <w:color w:val="231F20"/>
        </w:rPr>
        <w:t xml:space="preserve">з </w:t>
      </w:r>
      <w:r>
        <w:rPr>
          <w:color w:val="231F20"/>
          <w:spacing w:val="1"/>
        </w:rPr>
        <w:t xml:space="preserve">національними </w:t>
      </w:r>
      <w:r>
        <w:rPr>
          <w:color w:val="231F20"/>
          <w:spacing w:val="2"/>
        </w:rPr>
        <w:t xml:space="preserve">юридичними </w:t>
      </w:r>
      <w:r>
        <w:rPr>
          <w:color w:val="231F20"/>
          <w:spacing w:val="1"/>
        </w:rPr>
        <w:t xml:space="preserve">актами. </w:t>
      </w:r>
      <w:r>
        <w:rPr>
          <w:color w:val="231F20"/>
        </w:rPr>
        <w:t xml:space="preserve">У </w:t>
      </w:r>
      <w:r>
        <w:rPr>
          <w:color w:val="231F20"/>
          <w:spacing w:val="1"/>
        </w:rPr>
        <w:t xml:space="preserve">тому разі якщо рішенням Європейського </w:t>
      </w:r>
      <w:r>
        <w:rPr>
          <w:color w:val="231F20"/>
        </w:rPr>
        <w:t xml:space="preserve">суду з </w:t>
      </w:r>
      <w:r>
        <w:rPr>
          <w:color w:val="231F20"/>
          <w:spacing w:val="2"/>
        </w:rPr>
        <w:t xml:space="preserve">прав </w:t>
      </w:r>
      <w:r>
        <w:rPr>
          <w:color w:val="231F20"/>
        </w:rPr>
        <w:t xml:space="preserve">людини </w:t>
      </w:r>
      <w:r>
        <w:rPr>
          <w:color w:val="231F20"/>
          <w:spacing w:val="1"/>
        </w:rPr>
        <w:t xml:space="preserve">певний нормативний </w:t>
      </w:r>
      <w:r>
        <w:rPr>
          <w:color w:val="231F20"/>
        </w:rPr>
        <w:t xml:space="preserve">акт </w:t>
      </w:r>
      <w:r>
        <w:rPr>
          <w:color w:val="231F20"/>
          <w:spacing w:val="1"/>
        </w:rPr>
        <w:t xml:space="preserve">повністю </w:t>
      </w:r>
      <w:r>
        <w:rPr>
          <w:color w:val="231F20"/>
        </w:rPr>
        <w:t xml:space="preserve">або </w:t>
      </w:r>
      <w:r>
        <w:rPr>
          <w:color w:val="231F20"/>
          <w:spacing w:val="1"/>
        </w:rPr>
        <w:t xml:space="preserve">частково </w:t>
      </w:r>
      <w:r>
        <w:rPr>
          <w:color w:val="231F20"/>
          <w:spacing w:val="2"/>
        </w:rPr>
        <w:t xml:space="preserve">визнано </w:t>
      </w:r>
      <w:r>
        <w:rPr>
          <w:color w:val="231F20"/>
          <w:spacing w:val="1"/>
        </w:rPr>
        <w:t xml:space="preserve">неправовим, останній відповідно повністю </w:t>
      </w:r>
      <w:r>
        <w:rPr>
          <w:color w:val="231F20"/>
        </w:rPr>
        <w:t xml:space="preserve">або </w:t>
      </w:r>
      <w:r>
        <w:rPr>
          <w:color w:val="231F20"/>
          <w:spacing w:val="1"/>
        </w:rPr>
        <w:t xml:space="preserve">частково </w:t>
      </w:r>
      <w:r>
        <w:rPr>
          <w:color w:val="231F20"/>
        </w:rPr>
        <w:t xml:space="preserve">не </w:t>
      </w:r>
      <w:r>
        <w:rPr>
          <w:color w:val="231F20"/>
          <w:spacing w:val="1"/>
        </w:rPr>
        <w:t xml:space="preserve">засто- совується </w:t>
      </w:r>
      <w:r>
        <w:rPr>
          <w:color w:val="231F20"/>
        </w:rPr>
        <w:t xml:space="preserve">на </w:t>
      </w:r>
      <w:r>
        <w:rPr>
          <w:color w:val="231F20"/>
          <w:spacing w:val="1"/>
        </w:rPr>
        <w:t xml:space="preserve">території </w:t>
      </w:r>
      <w:r>
        <w:rPr>
          <w:color w:val="231F20"/>
        </w:rPr>
        <w:t xml:space="preserve">України. </w:t>
      </w:r>
      <w:r>
        <w:rPr>
          <w:color w:val="231F20"/>
          <w:spacing w:val="1"/>
        </w:rPr>
        <w:t xml:space="preserve">Рішення Європейського </w:t>
      </w:r>
      <w:r>
        <w:rPr>
          <w:color w:val="231F20"/>
        </w:rPr>
        <w:t xml:space="preserve">суду з </w:t>
      </w:r>
      <w:r>
        <w:rPr>
          <w:color w:val="231F20"/>
          <w:spacing w:val="1"/>
        </w:rPr>
        <w:t xml:space="preserve">прав </w:t>
      </w:r>
      <w:r>
        <w:rPr>
          <w:color w:val="231F20"/>
        </w:rPr>
        <w:t xml:space="preserve">людини, як і </w:t>
      </w:r>
      <w:r>
        <w:rPr>
          <w:color w:val="231F20"/>
          <w:spacing w:val="1"/>
        </w:rPr>
        <w:t xml:space="preserve">рішення Конституційного </w:t>
      </w:r>
      <w:r>
        <w:rPr>
          <w:color w:val="231F20"/>
        </w:rPr>
        <w:t xml:space="preserve">Суду України </w:t>
      </w:r>
      <w:r>
        <w:rPr>
          <w:color w:val="231F20"/>
          <w:spacing w:val="2"/>
        </w:rPr>
        <w:t xml:space="preserve">можуть </w:t>
      </w:r>
      <w:r>
        <w:rPr>
          <w:color w:val="231F20"/>
          <w:spacing w:val="1"/>
        </w:rPr>
        <w:t xml:space="preserve">змінювати норми національного права взагалі </w:t>
      </w:r>
      <w:r>
        <w:rPr>
          <w:color w:val="231F20"/>
        </w:rPr>
        <w:t xml:space="preserve">та </w:t>
      </w:r>
      <w:r>
        <w:rPr>
          <w:color w:val="231F20"/>
          <w:spacing w:val="1"/>
        </w:rPr>
        <w:t>норми адмініст- ративн</w:t>
      </w:r>
      <w:r>
        <w:rPr>
          <w:color w:val="231F20"/>
          <w:spacing w:val="1"/>
        </w:rPr>
        <w:t>ого права</w:t>
      </w:r>
      <w:r>
        <w:rPr>
          <w:color w:val="231F20"/>
          <w:spacing w:val="13"/>
        </w:rPr>
        <w:t xml:space="preserve"> </w:t>
      </w:r>
      <w:r>
        <w:rPr>
          <w:color w:val="231F20"/>
          <w:spacing w:val="2"/>
        </w:rPr>
        <w:t>зокрема.</w:t>
      </w:r>
    </w:p>
    <w:p w14:paraId="38D3E3D0" w14:textId="77777777" w:rsidR="00DE575E" w:rsidRDefault="00DE575E">
      <w:pPr>
        <w:pStyle w:val="BodyText"/>
        <w:spacing w:before="8"/>
        <w:rPr>
          <w:sz w:val="22"/>
        </w:rPr>
      </w:pPr>
    </w:p>
    <w:p w14:paraId="33D76DF1" w14:textId="77777777" w:rsidR="00DE575E" w:rsidRDefault="002E7560">
      <w:pPr>
        <w:pStyle w:val="Heading5"/>
        <w:numPr>
          <w:ilvl w:val="2"/>
          <w:numId w:val="283"/>
        </w:numPr>
        <w:tabs>
          <w:tab w:val="left" w:pos="1383"/>
        </w:tabs>
        <w:spacing w:line="252" w:lineRule="auto"/>
        <w:ind w:right="831" w:firstLine="0"/>
      </w:pPr>
      <w:r>
        <w:rPr>
          <w:color w:val="231F20"/>
        </w:rPr>
        <w:t xml:space="preserve">Рішення Конституційного </w:t>
      </w:r>
      <w:r>
        <w:rPr>
          <w:color w:val="231F20"/>
          <w:spacing w:val="-5"/>
        </w:rPr>
        <w:t xml:space="preserve">Суду </w:t>
      </w:r>
      <w:r>
        <w:rPr>
          <w:color w:val="231F20"/>
          <w:spacing w:val="-4"/>
        </w:rPr>
        <w:t xml:space="preserve">України </w:t>
      </w:r>
      <w:r>
        <w:rPr>
          <w:color w:val="231F20"/>
        </w:rPr>
        <w:t>в системі джерел адміністративного</w:t>
      </w:r>
      <w:r>
        <w:rPr>
          <w:color w:val="231F20"/>
          <w:spacing w:val="-3"/>
        </w:rPr>
        <w:t xml:space="preserve"> </w:t>
      </w:r>
      <w:r>
        <w:rPr>
          <w:color w:val="231F20"/>
        </w:rPr>
        <w:t>права</w:t>
      </w:r>
    </w:p>
    <w:p w14:paraId="6AA1860C" w14:textId="77777777" w:rsidR="00DE575E" w:rsidRDefault="00DE575E">
      <w:pPr>
        <w:pStyle w:val="BodyText"/>
        <w:spacing w:before="1"/>
        <w:rPr>
          <w:b/>
          <w:sz w:val="22"/>
        </w:rPr>
      </w:pPr>
    </w:p>
    <w:p w14:paraId="51A06FD9" w14:textId="77777777" w:rsidR="00DE575E" w:rsidRDefault="002E7560">
      <w:pPr>
        <w:pStyle w:val="BodyText"/>
        <w:spacing w:line="252" w:lineRule="auto"/>
        <w:ind w:left="533" w:right="127" w:firstLine="283"/>
        <w:jc w:val="both"/>
      </w:pPr>
      <w:r>
        <w:rPr>
          <w:color w:val="231F20"/>
          <w:spacing w:val="-3"/>
        </w:rPr>
        <w:t>Результат</w:t>
      </w:r>
      <w:r>
        <w:rPr>
          <w:color w:val="231F20"/>
          <w:spacing w:val="-15"/>
        </w:rPr>
        <w:t xml:space="preserve"> </w:t>
      </w:r>
      <w:r>
        <w:rPr>
          <w:color w:val="231F20"/>
        </w:rPr>
        <w:t>діяльності</w:t>
      </w:r>
      <w:r>
        <w:rPr>
          <w:color w:val="231F20"/>
          <w:spacing w:val="-15"/>
        </w:rPr>
        <w:t xml:space="preserve"> </w:t>
      </w:r>
      <w:r>
        <w:rPr>
          <w:color w:val="231F20"/>
        </w:rPr>
        <w:t>Конституційного</w:t>
      </w:r>
      <w:r>
        <w:rPr>
          <w:color w:val="231F20"/>
          <w:spacing w:val="-15"/>
        </w:rPr>
        <w:t xml:space="preserve"> </w:t>
      </w:r>
      <w:r>
        <w:rPr>
          <w:color w:val="231F20"/>
          <w:spacing w:val="-5"/>
        </w:rPr>
        <w:t>Суду</w:t>
      </w:r>
      <w:r>
        <w:rPr>
          <w:color w:val="231F20"/>
          <w:spacing w:val="-15"/>
        </w:rPr>
        <w:t xml:space="preserve"> </w:t>
      </w:r>
      <w:r>
        <w:rPr>
          <w:color w:val="231F20"/>
          <w:spacing w:val="-3"/>
        </w:rPr>
        <w:t>України</w:t>
      </w:r>
      <w:r>
        <w:rPr>
          <w:color w:val="231F20"/>
          <w:spacing w:val="-15"/>
        </w:rPr>
        <w:t xml:space="preserve"> </w:t>
      </w:r>
      <w:r>
        <w:rPr>
          <w:color w:val="231F20"/>
        </w:rPr>
        <w:t>–</w:t>
      </w:r>
      <w:r>
        <w:rPr>
          <w:color w:val="231F20"/>
          <w:spacing w:val="-15"/>
        </w:rPr>
        <w:t xml:space="preserve"> </w:t>
      </w:r>
      <w:r>
        <w:rPr>
          <w:color w:val="231F20"/>
        </w:rPr>
        <w:t>висновки</w:t>
      </w:r>
      <w:r>
        <w:rPr>
          <w:color w:val="231F20"/>
          <w:spacing w:val="-15"/>
        </w:rPr>
        <w:t xml:space="preserve"> </w:t>
      </w:r>
      <w:r>
        <w:rPr>
          <w:color w:val="231F20"/>
        </w:rPr>
        <w:t xml:space="preserve">та рішення, в яких тлумачаться норми Конституції та законів </w:t>
      </w:r>
      <w:r>
        <w:rPr>
          <w:color w:val="231F20"/>
          <w:spacing w:val="-3"/>
        </w:rPr>
        <w:t xml:space="preserve">України, </w:t>
      </w:r>
      <w:r>
        <w:rPr>
          <w:color w:val="231F20"/>
        </w:rPr>
        <w:t>а також визнаються неконсти</w:t>
      </w:r>
      <w:r>
        <w:rPr>
          <w:color w:val="231F20"/>
        </w:rPr>
        <w:t>туційними (скасовуються)</w:t>
      </w:r>
      <w:r>
        <w:rPr>
          <w:color w:val="231F20"/>
          <w:spacing w:val="-7"/>
        </w:rPr>
        <w:t xml:space="preserve"> </w:t>
      </w:r>
      <w:r>
        <w:rPr>
          <w:color w:val="231F20"/>
        </w:rPr>
        <w:t>положення</w:t>
      </w:r>
    </w:p>
    <w:p w14:paraId="12EFAA7B" w14:textId="0AB13E7F" w:rsidR="00DE575E" w:rsidRDefault="002E7560">
      <w:pPr>
        <w:pStyle w:val="BodyText"/>
        <w:spacing w:before="5"/>
        <w:rPr>
          <w:sz w:val="25"/>
        </w:rPr>
      </w:pPr>
      <w:r>
        <w:rPr>
          <w:noProof/>
        </w:rPr>
        <mc:AlternateContent>
          <mc:Choice Requires="wps">
            <w:drawing>
              <wp:anchor distT="0" distB="0" distL="0" distR="0" simplePos="0" relativeHeight="3640" behindDoc="0" locked="0" layoutInCell="1" allowOverlap="1" wp14:anchorId="3ECE0189" wp14:editId="250D4F8B">
                <wp:simplePos x="0" y="0"/>
                <wp:positionH relativeFrom="page">
                  <wp:posOffset>719455</wp:posOffset>
                </wp:positionH>
                <wp:positionV relativeFrom="paragraph">
                  <wp:posOffset>217805</wp:posOffset>
                </wp:positionV>
                <wp:extent cx="1080135" cy="0"/>
                <wp:effectExtent l="8255" t="14605" r="29210" b="23495"/>
                <wp:wrapTopAndBottom/>
                <wp:docPr id="1227"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0CEF6" id="Line_x0020_1226" o:spid="_x0000_s1026" style="position:absolute;z-index:3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15pt" to="141.7pt,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" strokecolor="#231f20" strokeweight=".5pt">
                <w10:wrap type="topAndBottom" anchorx="page"/>
              </v:line>
            </w:pict>
          </mc:Fallback>
        </mc:AlternateContent>
      </w:r>
    </w:p>
    <w:p w14:paraId="0F6BF193" w14:textId="77777777" w:rsidR="00DE575E" w:rsidRDefault="002E7560">
      <w:pPr>
        <w:spacing w:line="204" w:lineRule="auto"/>
        <w:ind w:left="533"/>
        <w:rPr>
          <w:sz w:val="16"/>
        </w:rPr>
      </w:pPr>
      <w:r>
        <w:rPr>
          <w:color w:val="231F20"/>
          <w:position w:val="5"/>
          <w:sz w:val="9"/>
        </w:rPr>
        <w:t xml:space="preserve">1 </w:t>
      </w:r>
      <w:r>
        <w:rPr>
          <w:color w:val="231F20"/>
          <w:sz w:val="16"/>
        </w:rPr>
        <w:t>Цуркаленко Ю. Визнання судових рішень джерелами адміністративного права як необхідність забезпечення принципу верховенства права. 2015. № 4. С. 297-301.</w:t>
      </w:r>
    </w:p>
    <w:p w14:paraId="3B1F536B" w14:textId="77777777" w:rsidR="00DE575E" w:rsidRDefault="002E7560">
      <w:pPr>
        <w:spacing w:before="26" w:line="204" w:lineRule="auto"/>
        <w:ind w:left="533"/>
        <w:rPr>
          <w:sz w:val="16"/>
        </w:rPr>
      </w:pPr>
      <w:r>
        <w:rPr>
          <w:color w:val="231F20"/>
          <w:position w:val="5"/>
          <w:sz w:val="9"/>
        </w:rPr>
        <w:t xml:space="preserve">2 </w:t>
      </w:r>
      <w:r>
        <w:rPr>
          <w:color w:val="231F20"/>
          <w:sz w:val="16"/>
        </w:rPr>
        <w:t>Про виконання рішень та застосування практики Європейського суду з прав людини : Закон від 23 лютого 2006 р. № 3477-IV.</w:t>
      </w:r>
    </w:p>
    <w:p w14:paraId="3BD0007F" w14:textId="77777777" w:rsidR="00DE575E" w:rsidRDefault="00DE575E">
      <w:pPr>
        <w:pStyle w:val="BodyText"/>
        <w:spacing w:before="5"/>
        <w:rPr>
          <w:sz w:val="12"/>
        </w:rPr>
      </w:pPr>
    </w:p>
    <w:p w14:paraId="35AFCCB2" w14:textId="77777777" w:rsidR="00DE575E" w:rsidRDefault="002E7560">
      <w:pPr>
        <w:spacing w:before="91"/>
        <w:ind w:left="533"/>
        <w:rPr>
          <w:rFonts w:ascii="Times New Roman"/>
          <w:sz w:val="20"/>
        </w:rPr>
      </w:pPr>
      <w:r>
        <w:rPr>
          <w:rFonts w:ascii="Times New Roman"/>
          <w:color w:val="231F20"/>
          <w:sz w:val="20"/>
        </w:rPr>
        <w:t>72</w:t>
      </w:r>
    </w:p>
    <w:p w14:paraId="344CAA39" w14:textId="77777777" w:rsidR="00DE575E" w:rsidRDefault="00DE575E">
      <w:pPr>
        <w:rPr>
          <w:rFonts w:ascii="Times New Roman"/>
          <w:sz w:val="20"/>
        </w:rPr>
        <w:sectPr w:rsidR="00DE575E">
          <w:pgSz w:w="8510" w:h="12760"/>
          <w:pgMar w:top="660" w:right="720" w:bottom="280" w:left="600" w:header="720" w:footer="720" w:gutter="0"/>
          <w:cols w:space="720"/>
        </w:sectPr>
      </w:pPr>
    </w:p>
    <w:p w14:paraId="7C2B1336"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Глава І. Загальне адміністративне право Розділ 3. Джерела адміністративного права</w:t>
      </w:r>
    </w:p>
    <w:p w14:paraId="1B8CFBE6" w14:textId="1EA7B0F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01DBC84" wp14:editId="63C52EF7">
                <wp:extent cx="4140200" cy="6350"/>
                <wp:effectExtent l="0" t="0" r="12700" b="6350"/>
                <wp:docPr id="1225"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26" name="Line 12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367E7" id="Group_x0020_12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x+hC1/AgAAnAUAAA4A&#10;AAAAAAAAAAAAAAAALAIAAGRycy9lMm9Eb2MueG1sUEsBAi0AFAAGAAgAAAAhAEynsJDZAAAAAwEA&#10;AA8AAAAAAAAAAAAAAAAA1wQAAGRycy9kb3ducmV2LnhtbFBLBQYAAAAABAAEAPMAAADdBQAAAAA=&#10;">
                <v:line id="Line_x0020_12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JB6cQAAADdAAAADwAAAGRycy9kb3ducmV2LnhtbERPzWrCQBC+C77DMoIXqZtGEEldRYSC&#10;eNDW+ABjdpqE7s7G7Gpin75bKHibj+93luveGnGn1teOFbxOExDEhdM1lwrO+fvLAoQPyBqNY1Lw&#10;IA/r1XCwxEy7jj/pfgqliCHsM1RQhdBkUvqiIot+6hriyH251mKIsC2lbrGL4dbINEnm0mLNsaHC&#10;hrYVFd+nm1WQXyfBfBz3psuPl5m8XA+zn9tBqfGo37yBCNSHp/jfvdNxfprO4e+beIJ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UkHpxAAAAN0AAAAPAAAAAAAAAAAA&#10;AAAAAKECAABkcnMvZG93bnJldi54bWxQSwUGAAAAAAQABAD5AAAAkgMAAAAA&#10;" strokecolor="#231f20" strokeweight=".5pt"/>
                <w10:anchorlock/>
              </v:group>
            </w:pict>
          </mc:Fallback>
        </mc:AlternateContent>
      </w:r>
    </w:p>
    <w:p w14:paraId="0AA87502" w14:textId="77777777" w:rsidR="00DE575E" w:rsidRDefault="00DE575E">
      <w:pPr>
        <w:pStyle w:val="BodyText"/>
        <w:spacing w:before="7"/>
        <w:rPr>
          <w:rFonts w:ascii="AdonisC"/>
          <w:i/>
          <w:sz w:val="19"/>
        </w:rPr>
      </w:pPr>
    </w:p>
    <w:p w14:paraId="7B9D8804" w14:textId="77777777" w:rsidR="00DE575E" w:rsidRDefault="002E7560">
      <w:pPr>
        <w:pStyle w:val="BodyText"/>
        <w:spacing w:before="1" w:line="252" w:lineRule="auto"/>
        <w:ind w:left="250" w:right="521"/>
      </w:pPr>
      <w:r>
        <w:rPr>
          <w:color w:val="231F20"/>
        </w:rPr>
        <w:t>відповідних юридичних актів. Рішення та висновки Конституцій- ного Суду України є обов’язковими до виконання.</w:t>
      </w:r>
    </w:p>
    <w:p w14:paraId="65780DCB" w14:textId="77777777" w:rsidR="00DE575E" w:rsidRDefault="002E7560">
      <w:pPr>
        <w:pStyle w:val="BodyText"/>
        <w:spacing w:before="1" w:line="252" w:lineRule="auto"/>
        <w:ind w:left="250" w:right="413" w:firstLine="283"/>
        <w:jc w:val="both"/>
      </w:pPr>
      <w:r>
        <w:rPr>
          <w:color w:val="231F20"/>
        </w:rPr>
        <w:t>Відповідно до ст. 7 Закону України від 13 липня 2017 р. «Про Конституційний Суд України»</w:t>
      </w:r>
      <w:r>
        <w:rPr>
          <w:color w:val="231F20"/>
          <w:position w:val="7"/>
          <w:sz w:val="12"/>
        </w:rPr>
        <w:t xml:space="preserve">1 </w:t>
      </w:r>
      <w:r>
        <w:rPr>
          <w:color w:val="231F20"/>
        </w:rPr>
        <w:t>до повноважень Суду належать такі:</w:t>
      </w:r>
    </w:p>
    <w:p w14:paraId="49B606D4" w14:textId="77777777" w:rsidR="00DE575E" w:rsidRDefault="002E7560">
      <w:pPr>
        <w:pStyle w:val="ListParagraph"/>
        <w:numPr>
          <w:ilvl w:val="0"/>
          <w:numId w:val="282"/>
        </w:numPr>
        <w:tabs>
          <w:tab w:val="left" w:pos="818"/>
        </w:tabs>
        <w:spacing w:line="252" w:lineRule="auto"/>
        <w:ind w:right="411" w:firstLine="283"/>
        <w:rPr>
          <w:sz w:val="21"/>
        </w:rPr>
      </w:pPr>
      <w:r>
        <w:rPr>
          <w:color w:val="231F20"/>
          <w:spacing w:val="-3"/>
          <w:sz w:val="21"/>
        </w:rPr>
        <w:t xml:space="preserve">вирішення питань </w:t>
      </w:r>
      <w:r>
        <w:rPr>
          <w:color w:val="231F20"/>
          <w:sz w:val="21"/>
        </w:rPr>
        <w:t xml:space="preserve">про </w:t>
      </w:r>
      <w:r>
        <w:rPr>
          <w:color w:val="231F20"/>
          <w:spacing w:val="-3"/>
          <w:sz w:val="21"/>
        </w:rPr>
        <w:t xml:space="preserve">відповідність Конституції </w:t>
      </w:r>
      <w:r>
        <w:rPr>
          <w:color w:val="231F20"/>
          <w:spacing w:val="-5"/>
          <w:sz w:val="21"/>
        </w:rPr>
        <w:t xml:space="preserve">України </w:t>
      </w:r>
      <w:r>
        <w:rPr>
          <w:color w:val="231F20"/>
          <w:spacing w:val="-3"/>
          <w:sz w:val="21"/>
        </w:rPr>
        <w:t xml:space="preserve">(конституційність) законів </w:t>
      </w:r>
      <w:r>
        <w:rPr>
          <w:color w:val="231F20"/>
          <w:spacing w:val="-5"/>
          <w:sz w:val="21"/>
        </w:rPr>
        <w:t xml:space="preserve">України </w:t>
      </w:r>
      <w:r>
        <w:rPr>
          <w:color w:val="231F20"/>
          <w:sz w:val="21"/>
        </w:rPr>
        <w:t xml:space="preserve">та </w:t>
      </w:r>
      <w:r>
        <w:rPr>
          <w:color w:val="231F20"/>
          <w:spacing w:val="-3"/>
          <w:sz w:val="21"/>
        </w:rPr>
        <w:t xml:space="preserve">інших правових актів </w:t>
      </w:r>
      <w:r>
        <w:rPr>
          <w:color w:val="231F20"/>
          <w:spacing w:val="-4"/>
          <w:sz w:val="21"/>
        </w:rPr>
        <w:t xml:space="preserve">Верхов- </w:t>
      </w:r>
      <w:r>
        <w:rPr>
          <w:color w:val="231F20"/>
          <w:sz w:val="21"/>
        </w:rPr>
        <w:t xml:space="preserve">ної </w:t>
      </w:r>
      <w:r>
        <w:rPr>
          <w:color w:val="231F20"/>
          <w:spacing w:val="-4"/>
          <w:sz w:val="21"/>
        </w:rPr>
        <w:t xml:space="preserve">Ради України, </w:t>
      </w:r>
      <w:r>
        <w:rPr>
          <w:color w:val="231F20"/>
          <w:spacing w:val="-3"/>
          <w:sz w:val="21"/>
        </w:rPr>
        <w:t xml:space="preserve">актів Президента </w:t>
      </w:r>
      <w:r>
        <w:rPr>
          <w:color w:val="231F20"/>
          <w:spacing w:val="-4"/>
          <w:sz w:val="21"/>
        </w:rPr>
        <w:t xml:space="preserve">України, </w:t>
      </w:r>
      <w:r>
        <w:rPr>
          <w:color w:val="231F20"/>
          <w:spacing w:val="-3"/>
          <w:sz w:val="21"/>
        </w:rPr>
        <w:t xml:space="preserve">актів Кабінету Міністрів </w:t>
      </w:r>
      <w:r>
        <w:rPr>
          <w:color w:val="231F20"/>
          <w:spacing w:val="-4"/>
          <w:sz w:val="21"/>
        </w:rPr>
        <w:t>України,</w:t>
      </w:r>
      <w:r>
        <w:rPr>
          <w:color w:val="231F20"/>
          <w:spacing w:val="-9"/>
          <w:sz w:val="21"/>
        </w:rPr>
        <w:t xml:space="preserve"> </w:t>
      </w:r>
      <w:r>
        <w:rPr>
          <w:color w:val="231F20"/>
          <w:spacing w:val="-3"/>
          <w:sz w:val="21"/>
        </w:rPr>
        <w:t>правових</w:t>
      </w:r>
      <w:r>
        <w:rPr>
          <w:color w:val="231F20"/>
          <w:spacing w:val="-9"/>
          <w:sz w:val="21"/>
        </w:rPr>
        <w:t xml:space="preserve"> </w:t>
      </w:r>
      <w:r>
        <w:rPr>
          <w:color w:val="231F20"/>
          <w:spacing w:val="-3"/>
          <w:sz w:val="21"/>
        </w:rPr>
        <w:t>актів</w:t>
      </w:r>
      <w:r>
        <w:rPr>
          <w:color w:val="231F20"/>
          <w:spacing w:val="-9"/>
          <w:sz w:val="21"/>
        </w:rPr>
        <w:t xml:space="preserve"> </w:t>
      </w:r>
      <w:r>
        <w:rPr>
          <w:color w:val="231F20"/>
          <w:spacing w:val="-3"/>
          <w:sz w:val="21"/>
        </w:rPr>
        <w:t>Верховної</w:t>
      </w:r>
      <w:r>
        <w:rPr>
          <w:color w:val="231F20"/>
          <w:spacing w:val="-9"/>
          <w:sz w:val="21"/>
        </w:rPr>
        <w:t xml:space="preserve"> </w:t>
      </w:r>
      <w:r>
        <w:rPr>
          <w:color w:val="231F20"/>
          <w:spacing w:val="-4"/>
          <w:sz w:val="21"/>
        </w:rPr>
        <w:t>Ради</w:t>
      </w:r>
      <w:r>
        <w:rPr>
          <w:color w:val="231F20"/>
          <w:spacing w:val="-9"/>
          <w:sz w:val="21"/>
        </w:rPr>
        <w:t xml:space="preserve"> </w:t>
      </w:r>
      <w:r>
        <w:rPr>
          <w:color w:val="231F20"/>
          <w:sz w:val="21"/>
        </w:rPr>
        <w:t>Автономної</w:t>
      </w:r>
      <w:r>
        <w:rPr>
          <w:color w:val="231F20"/>
          <w:spacing w:val="-9"/>
          <w:sz w:val="21"/>
        </w:rPr>
        <w:t xml:space="preserve"> </w:t>
      </w:r>
      <w:r>
        <w:rPr>
          <w:color w:val="231F20"/>
          <w:spacing w:val="-4"/>
          <w:sz w:val="21"/>
        </w:rPr>
        <w:t>Республіки</w:t>
      </w:r>
      <w:r>
        <w:rPr>
          <w:color w:val="231F20"/>
          <w:spacing w:val="-9"/>
          <w:sz w:val="21"/>
        </w:rPr>
        <w:t xml:space="preserve"> </w:t>
      </w:r>
      <w:r>
        <w:rPr>
          <w:color w:val="231F20"/>
          <w:spacing w:val="-3"/>
          <w:sz w:val="21"/>
        </w:rPr>
        <w:t>Крим;</w:t>
      </w:r>
    </w:p>
    <w:p w14:paraId="6730C3F0" w14:textId="77777777" w:rsidR="00DE575E" w:rsidRDefault="002E7560">
      <w:pPr>
        <w:pStyle w:val="ListParagraph"/>
        <w:numPr>
          <w:ilvl w:val="0"/>
          <w:numId w:val="282"/>
        </w:numPr>
        <w:tabs>
          <w:tab w:val="left" w:pos="818"/>
        </w:tabs>
        <w:spacing w:before="2"/>
        <w:ind w:firstLine="283"/>
        <w:jc w:val="left"/>
        <w:rPr>
          <w:sz w:val="21"/>
        </w:rPr>
      </w:pPr>
      <w:r>
        <w:rPr>
          <w:color w:val="231F20"/>
          <w:sz w:val="21"/>
        </w:rPr>
        <w:t>офіційне тлумачення Конституції</w:t>
      </w:r>
      <w:r>
        <w:rPr>
          <w:color w:val="231F20"/>
          <w:spacing w:val="-3"/>
          <w:sz w:val="21"/>
        </w:rPr>
        <w:t xml:space="preserve"> України;</w:t>
      </w:r>
    </w:p>
    <w:p w14:paraId="54D9AE9F" w14:textId="77777777" w:rsidR="00DE575E" w:rsidRDefault="002E7560">
      <w:pPr>
        <w:pStyle w:val="ListParagraph"/>
        <w:numPr>
          <w:ilvl w:val="0"/>
          <w:numId w:val="282"/>
        </w:numPr>
        <w:tabs>
          <w:tab w:val="left" w:pos="818"/>
        </w:tabs>
        <w:spacing w:before="12" w:line="252" w:lineRule="auto"/>
        <w:ind w:right="411" w:firstLine="283"/>
        <w:rPr>
          <w:sz w:val="21"/>
        </w:rPr>
      </w:pPr>
      <w:r>
        <w:rPr>
          <w:color w:val="231F20"/>
          <w:sz w:val="21"/>
        </w:rPr>
        <w:t xml:space="preserve">надання за зверненням Президента </w:t>
      </w:r>
      <w:r>
        <w:rPr>
          <w:color w:val="231F20"/>
          <w:spacing w:val="-3"/>
          <w:sz w:val="21"/>
        </w:rPr>
        <w:t xml:space="preserve">України </w:t>
      </w:r>
      <w:r>
        <w:rPr>
          <w:color w:val="231F20"/>
          <w:sz w:val="21"/>
        </w:rPr>
        <w:t xml:space="preserve">або щонайменше сорока п’яти народних депутатів </w:t>
      </w:r>
      <w:r>
        <w:rPr>
          <w:color w:val="231F20"/>
          <w:spacing w:val="-3"/>
          <w:sz w:val="21"/>
        </w:rPr>
        <w:t xml:space="preserve">України, </w:t>
      </w:r>
      <w:r>
        <w:rPr>
          <w:color w:val="231F20"/>
          <w:sz w:val="21"/>
        </w:rPr>
        <w:t xml:space="preserve">або Кабінету Міністрів </w:t>
      </w:r>
      <w:r>
        <w:rPr>
          <w:color w:val="231F20"/>
          <w:spacing w:val="-3"/>
          <w:sz w:val="21"/>
        </w:rPr>
        <w:t xml:space="preserve">України </w:t>
      </w:r>
      <w:r>
        <w:rPr>
          <w:color w:val="231F20"/>
          <w:sz w:val="21"/>
        </w:rPr>
        <w:t xml:space="preserve">висновків про відповідність Конституції </w:t>
      </w:r>
      <w:r>
        <w:rPr>
          <w:color w:val="231F20"/>
          <w:spacing w:val="-3"/>
          <w:sz w:val="21"/>
        </w:rPr>
        <w:t>Укра</w:t>
      </w:r>
      <w:r>
        <w:rPr>
          <w:color w:val="231F20"/>
          <w:spacing w:val="-3"/>
          <w:sz w:val="21"/>
        </w:rPr>
        <w:t xml:space="preserve">їни </w:t>
      </w:r>
      <w:r>
        <w:rPr>
          <w:color w:val="231F20"/>
          <w:sz w:val="21"/>
        </w:rPr>
        <w:t xml:space="preserve">чинних міжнародних договорів </w:t>
      </w:r>
      <w:r>
        <w:rPr>
          <w:color w:val="231F20"/>
          <w:spacing w:val="-3"/>
          <w:sz w:val="21"/>
        </w:rPr>
        <w:t xml:space="preserve">України </w:t>
      </w:r>
      <w:r>
        <w:rPr>
          <w:color w:val="231F20"/>
          <w:sz w:val="21"/>
        </w:rPr>
        <w:t xml:space="preserve">чи  тих  міжнародних  договорів,  що вносяться до Верховної Ради </w:t>
      </w:r>
      <w:r>
        <w:rPr>
          <w:color w:val="231F20"/>
          <w:spacing w:val="-3"/>
          <w:sz w:val="21"/>
        </w:rPr>
        <w:t xml:space="preserve">України </w:t>
      </w:r>
      <w:r>
        <w:rPr>
          <w:color w:val="231F20"/>
          <w:sz w:val="21"/>
        </w:rPr>
        <w:t>для надання згоди на їх обов’язковість;</w:t>
      </w:r>
    </w:p>
    <w:p w14:paraId="3E0CDAD6" w14:textId="77777777" w:rsidR="00DE575E" w:rsidRDefault="002E7560">
      <w:pPr>
        <w:pStyle w:val="ListParagraph"/>
        <w:numPr>
          <w:ilvl w:val="0"/>
          <w:numId w:val="282"/>
        </w:numPr>
        <w:tabs>
          <w:tab w:val="left" w:pos="818"/>
        </w:tabs>
        <w:spacing w:before="3" w:line="252" w:lineRule="auto"/>
        <w:ind w:right="411" w:firstLine="283"/>
        <w:rPr>
          <w:sz w:val="21"/>
        </w:rPr>
      </w:pPr>
      <w:r>
        <w:rPr>
          <w:color w:val="231F20"/>
          <w:sz w:val="21"/>
        </w:rPr>
        <w:t xml:space="preserve">надання за зверненням Президента </w:t>
      </w:r>
      <w:r>
        <w:rPr>
          <w:color w:val="231F20"/>
          <w:spacing w:val="-3"/>
          <w:sz w:val="21"/>
        </w:rPr>
        <w:t xml:space="preserve">України </w:t>
      </w:r>
      <w:r>
        <w:rPr>
          <w:color w:val="231F20"/>
          <w:sz w:val="21"/>
        </w:rPr>
        <w:t xml:space="preserve">або щонайменше сорока п’яти народних депутатів </w:t>
      </w:r>
      <w:r>
        <w:rPr>
          <w:color w:val="231F20"/>
          <w:spacing w:val="-3"/>
          <w:sz w:val="21"/>
        </w:rPr>
        <w:t xml:space="preserve">України </w:t>
      </w:r>
      <w:r>
        <w:rPr>
          <w:color w:val="231F20"/>
          <w:sz w:val="21"/>
        </w:rPr>
        <w:t>виснов</w:t>
      </w:r>
      <w:r>
        <w:rPr>
          <w:color w:val="231F20"/>
          <w:sz w:val="21"/>
        </w:rPr>
        <w:t xml:space="preserve">ків про відповід- ність Конституції </w:t>
      </w:r>
      <w:r>
        <w:rPr>
          <w:color w:val="231F20"/>
          <w:spacing w:val="-3"/>
          <w:sz w:val="21"/>
        </w:rPr>
        <w:t xml:space="preserve">України </w:t>
      </w:r>
      <w:r>
        <w:rPr>
          <w:color w:val="231F20"/>
          <w:sz w:val="21"/>
        </w:rPr>
        <w:t>(конституційність) питань, які пропону- ються для винесення на всеукраїнський референдум за народною ініціативою;</w:t>
      </w:r>
    </w:p>
    <w:p w14:paraId="0E340BC0" w14:textId="77777777" w:rsidR="00DE575E" w:rsidRDefault="002E7560">
      <w:pPr>
        <w:pStyle w:val="ListParagraph"/>
        <w:numPr>
          <w:ilvl w:val="0"/>
          <w:numId w:val="282"/>
        </w:numPr>
        <w:tabs>
          <w:tab w:val="left" w:pos="818"/>
        </w:tabs>
        <w:spacing w:before="3" w:line="252" w:lineRule="auto"/>
        <w:ind w:right="411" w:firstLine="283"/>
        <w:rPr>
          <w:sz w:val="21"/>
        </w:rPr>
      </w:pPr>
      <w:r>
        <w:rPr>
          <w:color w:val="231F20"/>
          <w:sz w:val="21"/>
        </w:rPr>
        <w:t>надання</w:t>
      </w:r>
      <w:r>
        <w:rPr>
          <w:color w:val="231F20"/>
          <w:spacing w:val="-17"/>
          <w:sz w:val="21"/>
        </w:rPr>
        <w:t xml:space="preserve"> </w:t>
      </w:r>
      <w:r>
        <w:rPr>
          <w:color w:val="231F20"/>
          <w:sz w:val="21"/>
        </w:rPr>
        <w:t>за</w:t>
      </w:r>
      <w:r>
        <w:rPr>
          <w:color w:val="231F20"/>
          <w:spacing w:val="-17"/>
          <w:sz w:val="21"/>
        </w:rPr>
        <w:t xml:space="preserve"> </w:t>
      </w:r>
      <w:r>
        <w:rPr>
          <w:color w:val="231F20"/>
          <w:sz w:val="21"/>
        </w:rPr>
        <w:t>зверненням</w:t>
      </w:r>
      <w:r>
        <w:rPr>
          <w:color w:val="231F20"/>
          <w:spacing w:val="-17"/>
          <w:sz w:val="21"/>
        </w:rPr>
        <w:t xml:space="preserve"> </w:t>
      </w:r>
      <w:r>
        <w:rPr>
          <w:color w:val="231F20"/>
          <w:sz w:val="21"/>
        </w:rPr>
        <w:t>Верховної</w:t>
      </w:r>
      <w:r>
        <w:rPr>
          <w:color w:val="231F20"/>
          <w:spacing w:val="-17"/>
          <w:sz w:val="21"/>
        </w:rPr>
        <w:t xml:space="preserve"> </w:t>
      </w:r>
      <w:r>
        <w:rPr>
          <w:color w:val="231F20"/>
          <w:sz w:val="21"/>
        </w:rPr>
        <w:t>Ради</w:t>
      </w:r>
      <w:r>
        <w:rPr>
          <w:color w:val="231F20"/>
          <w:spacing w:val="-17"/>
          <w:sz w:val="21"/>
        </w:rPr>
        <w:t xml:space="preserve"> </w:t>
      </w:r>
      <w:r>
        <w:rPr>
          <w:color w:val="231F20"/>
          <w:spacing w:val="-3"/>
          <w:sz w:val="21"/>
        </w:rPr>
        <w:t>України</w:t>
      </w:r>
      <w:r>
        <w:rPr>
          <w:color w:val="231F20"/>
          <w:spacing w:val="-17"/>
          <w:sz w:val="21"/>
        </w:rPr>
        <w:t xml:space="preserve"> </w:t>
      </w:r>
      <w:r>
        <w:rPr>
          <w:color w:val="231F20"/>
          <w:sz w:val="21"/>
        </w:rPr>
        <w:t>висновку</w:t>
      </w:r>
      <w:r>
        <w:rPr>
          <w:color w:val="231F20"/>
          <w:spacing w:val="-17"/>
          <w:sz w:val="21"/>
        </w:rPr>
        <w:t xml:space="preserve"> </w:t>
      </w:r>
      <w:r>
        <w:rPr>
          <w:color w:val="231F20"/>
          <w:sz w:val="21"/>
        </w:rPr>
        <w:t>щодо додержання конституційної процедури роз</w:t>
      </w:r>
      <w:r>
        <w:rPr>
          <w:color w:val="231F20"/>
          <w:sz w:val="21"/>
        </w:rPr>
        <w:t xml:space="preserve">слідування і </w:t>
      </w:r>
      <w:r>
        <w:rPr>
          <w:color w:val="231F20"/>
          <w:spacing w:val="-3"/>
          <w:sz w:val="21"/>
        </w:rPr>
        <w:t xml:space="preserve">розгляду </w:t>
      </w:r>
      <w:r>
        <w:rPr>
          <w:color w:val="231F20"/>
          <w:sz w:val="21"/>
        </w:rPr>
        <w:t xml:space="preserve">справи про усунення Президента </w:t>
      </w:r>
      <w:r>
        <w:rPr>
          <w:color w:val="231F20"/>
          <w:spacing w:val="-3"/>
          <w:sz w:val="21"/>
        </w:rPr>
        <w:t xml:space="preserve">України </w:t>
      </w:r>
      <w:r>
        <w:rPr>
          <w:color w:val="231F20"/>
          <w:sz w:val="21"/>
        </w:rPr>
        <w:t>з поста в порядку імпіч- менту в межах, визначених статтями 111 і 151 Конституції</w:t>
      </w:r>
      <w:r>
        <w:rPr>
          <w:color w:val="231F20"/>
          <w:spacing w:val="-10"/>
          <w:sz w:val="21"/>
        </w:rPr>
        <w:t xml:space="preserve"> </w:t>
      </w:r>
      <w:r>
        <w:rPr>
          <w:color w:val="231F20"/>
          <w:spacing w:val="-3"/>
          <w:sz w:val="21"/>
        </w:rPr>
        <w:t>України;</w:t>
      </w:r>
    </w:p>
    <w:p w14:paraId="7DB38D94" w14:textId="77777777" w:rsidR="00DE575E" w:rsidRDefault="002E7560">
      <w:pPr>
        <w:pStyle w:val="ListParagraph"/>
        <w:numPr>
          <w:ilvl w:val="0"/>
          <w:numId w:val="282"/>
        </w:numPr>
        <w:tabs>
          <w:tab w:val="left" w:pos="818"/>
        </w:tabs>
        <w:spacing w:before="2" w:line="252" w:lineRule="auto"/>
        <w:ind w:right="411" w:firstLine="283"/>
        <w:rPr>
          <w:sz w:val="21"/>
        </w:rPr>
      </w:pPr>
      <w:r>
        <w:rPr>
          <w:color w:val="231F20"/>
          <w:sz w:val="21"/>
        </w:rPr>
        <w:t xml:space="preserve">надання за зверненням Верховної Ради </w:t>
      </w:r>
      <w:r>
        <w:rPr>
          <w:color w:val="231F20"/>
          <w:spacing w:val="-3"/>
          <w:sz w:val="21"/>
        </w:rPr>
        <w:t xml:space="preserve">України </w:t>
      </w:r>
      <w:r>
        <w:rPr>
          <w:color w:val="231F20"/>
          <w:sz w:val="21"/>
        </w:rPr>
        <w:t xml:space="preserve">висновку щодо відповідності законопроєкту про внесення змін до Конститу- ції </w:t>
      </w:r>
      <w:r>
        <w:rPr>
          <w:color w:val="231F20"/>
          <w:spacing w:val="-3"/>
          <w:sz w:val="21"/>
        </w:rPr>
        <w:t xml:space="preserve">України </w:t>
      </w:r>
      <w:r>
        <w:rPr>
          <w:color w:val="231F20"/>
          <w:sz w:val="21"/>
        </w:rPr>
        <w:t xml:space="preserve">вимогам статей 157 і 158 Конституції </w:t>
      </w:r>
      <w:r>
        <w:rPr>
          <w:color w:val="231F20"/>
          <w:spacing w:val="-3"/>
          <w:sz w:val="21"/>
        </w:rPr>
        <w:t>України;</w:t>
      </w:r>
    </w:p>
    <w:p w14:paraId="6C4B55E2" w14:textId="77777777" w:rsidR="00DE575E" w:rsidRDefault="002E7560">
      <w:pPr>
        <w:pStyle w:val="ListParagraph"/>
        <w:numPr>
          <w:ilvl w:val="0"/>
          <w:numId w:val="282"/>
        </w:numPr>
        <w:tabs>
          <w:tab w:val="left" w:pos="818"/>
        </w:tabs>
        <w:spacing w:line="252" w:lineRule="auto"/>
        <w:ind w:right="411" w:firstLine="283"/>
        <w:rPr>
          <w:sz w:val="21"/>
        </w:rPr>
      </w:pPr>
      <w:r>
        <w:rPr>
          <w:color w:val="231F20"/>
          <w:sz w:val="21"/>
        </w:rPr>
        <w:t xml:space="preserve">надання за зверненням Верховної Ради </w:t>
      </w:r>
      <w:r>
        <w:rPr>
          <w:color w:val="231F20"/>
          <w:spacing w:val="-3"/>
          <w:sz w:val="21"/>
        </w:rPr>
        <w:t xml:space="preserve">України </w:t>
      </w:r>
      <w:r>
        <w:rPr>
          <w:color w:val="231F20"/>
          <w:sz w:val="21"/>
        </w:rPr>
        <w:t xml:space="preserve">висновку про порушення Верховною Радою Автономної Республіки Крим Консти- туції </w:t>
      </w:r>
      <w:r>
        <w:rPr>
          <w:color w:val="231F20"/>
          <w:spacing w:val="-3"/>
          <w:sz w:val="21"/>
        </w:rPr>
        <w:t xml:space="preserve">України </w:t>
      </w:r>
      <w:r>
        <w:rPr>
          <w:color w:val="231F20"/>
          <w:sz w:val="21"/>
        </w:rPr>
        <w:t xml:space="preserve">або законів </w:t>
      </w:r>
      <w:r>
        <w:rPr>
          <w:color w:val="231F20"/>
          <w:spacing w:val="-3"/>
          <w:sz w:val="21"/>
        </w:rPr>
        <w:t>України;</w:t>
      </w:r>
    </w:p>
    <w:p w14:paraId="212AA754" w14:textId="77777777" w:rsidR="00DE575E" w:rsidRDefault="002E7560">
      <w:pPr>
        <w:pStyle w:val="ListParagraph"/>
        <w:numPr>
          <w:ilvl w:val="0"/>
          <w:numId w:val="282"/>
        </w:numPr>
        <w:tabs>
          <w:tab w:val="left" w:pos="818"/>
        </w:tabs>
        <w:spacing w:before="2" w:line="252" w:lineRule="auto"/>
        <w:ind w:right="411" w:firstLine="283"/>
        <w:rPr>
          <w:sz w:val="21"/>
        </w:rPr>
      </w:pPr>
      <w:r>
        <w:rPr>
          <w:color w:val="231F20"/>
          <w:sz w:val="21"/>
        </w:rPr>
        <w:t xml:space="preserve">вирішення питань про відповідність Конституції </w:t>
      </w:r>
      <w:r>
        <w:rPr>
          <w:color w:val="231F20"/>
          <w:spacing w:val="-3"/>
          <w:sz w:val="21"/>
        </w:rPr>
        <w:t xml:space="preserve">України </w:t>
      </w:r>
      <w:r>
        <w:rPr>
          <w:color w:val="231F20"/>
          <w:sz w:val="21"/>
        </w:rPr>
        <w:t xml:space="preserve">та законам </w:t>
      </w:r>
      <w:r>
        <w:rPr>
          <w:color w:val="231F20"/>
          <w:spacing w:val="-3"/>
          <w:sz w:val="21"/>
        </w:rPr>
        <w:t xml:space="preserve">України </w:t>
      </w:r>
      <w:r>
        <w:rPr>
          <w:color w:val="231F20"/>
          <w:sz w:val="21"/>
        </w:rPr>
        <w:t>нормативних правових актів Верховної Ради Авто- номної</w:t>
      </w:r>
      <w:r>
        <w:rPr>
          <w:color w:val="231F20"/>
          <w:spacing w:val="-8"/>
          <w:sz w:val="21"/>
        </w:rPr>
        <w:t xml:space="preserve"> </w:t>
      </w:r>
      <w:r>
        <w:rPr>
          <w:color w:val="231F20"/>
          <w:sz w:val="21"/>
        </w:rPr>
        <w:t>Республіки</w:t>
      </w:r>
      <w:r>
        <w:rPr>
          <w:color w:val="231F20"/>
          <w:spacing w:val="-8"/>
          <w:sz w:val="21"/>
        </w:rPr>
        <w:t xml:space="preserve"> </w:t>
      </w:r>
      <w:r>
        <w:rPr>
          <w:color w:val="231F20"/>
          <w:sz w:val="21"/>
        </w:rPr>
        <w:t>Крим</w:t>
      </w:r>
      <w:r>
        <w:rPr>
          <w:color w:val="231F20"/>
          <w:spacing w:val="-8"/>
          <w:sz w:val="21"/>
        </w:rPr>
        <w:t xml:space="preserve"> </w:t>
      </w:r>
      <w:r>
        <w:rPr>
          <w:color w:val="231F20"/>
          <w:sz w:val="21"/>
        </w:rPr>
        <w:t>за</w:t>
      </w:r>
      <w:r>
        <w:rPr>
          <w:color w:val="231F20"/>
          <w:spacing w:val="-8"/>
          <w:sz w:val="21"/>
        </w:rPr>
        <w:t xml:space="preserve"> </w:t>
      </w:r>
      <w:r>
        <w:rPr>
          <w:color w:val="231F20"/>
          <w:sz w:val="21"/>
        </w:rPr>
        <w:t>зверненням</w:t>
      </w:r>
      <w:r>
        <w:rPr>
          <w:color w:val="231F20"/>
          <w:spacing w:val="-8"/>
          <w:sz w:val="21"/>
        </w:rPr>
        <w:t xml:space="preserve"> </w:t>
      </w:r>
      <w:r>
        <w:rPr>
          <w:color w:val="231F20"/>
          <w:sz w:val="21"/>
        </w:rPr>
        <w:t>Президента</w:t>
      </w:r>
      <w:r>
        <w:rPr>
          <w:color w:val="231F20"/>
          <w:spacing w:val="-8"/>
          <w:sz w:val="21"/>
        </w:rPr>
        <w:t xml:space="preserve"> </w:t>
      </w:r>
      <w:r>
        <w:rPr>
          <w:color w:val="231F20"/>
          <w:spacing w:val="-3"/>
          <w:sz w:val="21"/>
        </w:rPr>
        <w:t>України</w:t>
      </w:r>
      <w:r>
        <w:rPr>
          <w:color w:val="231F20"/>
          <w:spacing w:val="-8"/>
          <w:sz w:val="21"/>
        </w:rPr>
        <w:t xml:space="preserve"> </w:t>
      </w:r>
      <w:r>
        <w:rPr>
          <w:color w:val="231F20"/>
          <w:sz w:val="21"/>
        </w:rPr>
        <w:t>згідно</w:t>
      </w:r>
      <w:r>
        <w:rPr>
          <w:color w:val="231F20"/>
          <w:spacing w:val="-8"/>
          <w:sz w:val="21"/>
        </w:rPr>
        <w:t xml:space="preserve"> </w:t>
      </w:r>
      <w:r>
        <w:rPr>
          <w:color w:val="231F20"/>
          <w:sz w:val="21"/>
        </w:rPr>
        <w:t>з частиною другою статті 137 Конституції</w:t>
      </w:r>
      <w:r>
        <w:rPr>
          <w:color w:val="231F20"/>
          <w:spacing w:val="-3"/>
          <w:sz w:val="21"/>
        </w:rPr>
        <w:t xml:space="preserve"> У</w:t>
      </w:r>
      <w:r>
        <w:rPr>
          <w:color w:val="231F20"/>
          <w:spacing w:val="-3"/>
          <w:sz w:val="21"/>
        </w:rPr>
        <w:t>країни;</w:t>
      </w:r>
    </w:p>
    <w:p w14:paraId="7C620E77" w14:textId="77777777" w:rsidR="00DE575E" w:rsidRDefault="002E7560">
      <w:pPr>
        <w:pStyle w:val="ListParagraph"/>
        <w:numPr>
          <w:ilvl w:val="0"/>
          <w:numId w:val="282"/>
        </w:numPr>
        <w:tabs>
          <w:tab w:val="left" w:pos="818"/>
        </w:tabs>
        <w:spacing w:before="2" w:line="252" w:lineRule="auto"/>
        <w:ind w:right="410" w:firstLine="283"/>
        <w:rPr>
          <w:sz w:val="21"/>
        </w:rPr>
      </w:pPr>
      <w:r>
        <w:rPr>
          <w:color w:val="231F20"/>
          <w:sz w:val="21"/>
        </w:rPr>
        <w:t xml:space="preserve">вирішення питань про відповідність Конституції </w:t>
      </w:r>
      <w:r>
        <w:rPr>
          <w:color w:val="231F20"/>
          <w:spacing w:val="-3"/>
          <w:sz w:val="21"/>
        </w:rPr>
        <w:t xml:space="preserve">України </w:t>
      </w:r>
      <w:r>
        <w:rPr>
          <w:color w:val="231F20"/>
          <w:sz w:val="21"/>
        </w:rPr>
        <w:t xml:space="preserve">(конституційність) законів </w:t>
      </w:r>
      <w:r>
        <w:rPr>
          <w:color w:val="231F20"/>
          <w:spacing w:val="-3"/>
          <w:sz w:val="21"/>
        </w:rPr>
        <w:t xml:space="preserve">України </w:t>
      </w:r>
      <w:r>
        <w:rPr>
          <w:color w:val="231F20"/>
          <w:sz w:val="21"/>
        </w:rPr>
        <w:t>(їх окремих положень) за конституційною</w:t>
      </w:r>
      <w:r>
        <w:rPr>
          <w:color w:val="231F20"/>
          <w:spacing w:val="-6"/>
          <w:sz w:val="21"/>
        </w:rPr>
        <w:t xml:space="preserve"> </w:t>
      </w:r>
      <w:r>
        <w:rPr>
          <w:color w:val="231F20"/>
          <w:sz w:val="21"/>
        </w:rPr>
        <w:t>скаргою</w:t>
      </w:r>
      <w:r>
        <w:rPr>
          <w:color w:val="231F20"/>
          <w:spacing w:val="-6"/>
          <w:sz w:val="21"/>
        </w:rPr>
        <w:t xml:space="preserve"> </w:t>
      </w:r>
      <w:r>
        <w:rPr>
          <w:color w:val="231F20"/>
          <w:sz w:val="21"/>
        </w:rPr>
        <w:t>особи,</w:t>
      </w:r>
      <w:r>
        <w:rPr>
          <w:color w:val="231F20"/>
          <w:spacing w:val="-6"/>
          <w:sz w:val="21"/>
        </w:rPr>
        <w:t xml:space="preserve"> </w:t>
      </w:r>
      <w:r>
        <w:rPr>
          <w:color w:val="231F20"/>
          <w:sz w:val="21"/>
        </w:rPr>
        <w:t>яка</w:t>
      </w:r>
      <w:r>
        <w:rPr>
          <w:color w:val="231F20"/>
          <w:spacing w:val="-6"/>
          <w:sz w:val="21"/>
        </w:rPr>
        <w:t xml:space="preserve"> </w:t>
      </w:r>
      <w:r>
        <w:rPr>
          <w:color w:val="231F20"/>
          <w:sz w:val="21"/>
        </w:rPr>
        <w:t>вважає,</w:t>
      </w:r>
      <w:r>
        <w:rPr>
          <w:color w:val="231F20"/>
          <w:spacing w:val="-6"/>
          <w:sz w:val="21"/>
        </w:rPr>
        <w:t xml:space="preserve"> </w:t>
      </w:r>
      <w:r>
        <w:rPr>
          <w:color w:val="231F20"/>
          <w:sz w:val="21"/>
        </w:rPr>
        <w:t>що</w:t>
      </w:r>
      <w:r>
        <w:rPr>
          <w:color w:val="231F20"/>
          <w:spacing w:val="-6"/>
          <w:sz w:val="21"/>
        </w:rPr>
        <w:t xml:space="preserve"> </w:t>
      </w:r>
      <w:r>
        <w:rPr>
          <w:color w:val="231F20"/>
          <w:sz w:val="21"/>
        </w:rPr>
        <w:t>застосований</w:t>
      </w:r>
      <w:r>
        <w:rPr>
          <w:color w:val="231F20"/>
          <w:spacing w:val="-6"/>
          <w:sz w:val="21"/>
        </w:rPr>
        <w:t xml:space="preserve"> </w:t>
      </w:r>
      <w:r>
        <w:rPr>
          <w:color w:val="231F20"/>
          <w:sz w:val="21"/>
        </w:rPr>
        <w:t>в</w:t>
      </w:r>
      <w:r>
        <w:rPr>
          <w:color w:val="231F20"/>
          <w:spacing w:val="-9"/>
          <w:sz w:val="21"/>
        </w:rPr>
        <w:t xml:space="preserve"> </w:t>
      </w:r>
      <w:r>
        <w:rPr>
          <w:color w:val="231F20"/>
          <w:sz w:val="21"/>
        </w:rPr>
        <w:t>оста-</w:t>
      </w:r>
    </w:p>
    <w:p w14:paraId="58D1D9F9" w14:textId="38FFAAB3" w:rsidR="00DE575E" w:rsidRDefault="002E7560">
      <w:pPr>
        <w:pStyle w:val="BodyText"/>
        <w:spacing w:before="4"/>
        <w:rPr>
          <w:sz w:val="24"/>
        </w:rPr>
      </w:pPr>
      <w:r>
        <w:rPr>
          <w:noProof/>
        </w:rPr>
        <mc:AlternateContent>
          <mc:Choice Requires="wps">
            <w:drawing>
              <wp:anchor distT="0" distB="0" distL="0" distR="0" simplePos="0" relativeHeight="3688" behindDoc="0" locked="0" layoutInCell="1" allowOverlap="1" wp14:anchorId="1598CC6D" wp14:editId="128FFD93">
                <wp:simplePos x="0" y="0"/>
                <wp:positionH relativeFrom="page">
                  <wp:posOffset>539750</wp:posOffset>
                </wp:positionH>
                <wp:positionV relativeFrom="paragraph">
                  <wp:posOffset>208915</wp:posOffset>
                </wp:positionV>
                <wp:extent cx="1080135" cy="0"/>
                <wp:effectExtent l="6350" t="18415" r="31115" b="19685"/>
                <wp:wrapTopAndBottom/>
                <wp:docPr id="1224"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31543" id="Line_x0020_1223" o:spid="_x0000_s1026" style="position:absolute;z-index:3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5pt" to="127.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" strokecolor="#231f20" strokeweight=".5pt">
                <w10:wrap type="topAndBottom" anchorx="page"/>
              </v:line>
            </w:pict>
          </mc:Fallback>
        </mc:AlternateContent>
      </w:r>
    </w:p>
    <w:p w14:paraId="05A41148" w14:textId="77777777" w:rsidR="00DE575E" w:rsidRDefault="002E7560">
      <w:pPr>
        <w:spacing w:line="162" w:lineRule="exact"/>
        <w:ind w:left="250"/>
        <w:rPr>
          <w:sz w:val="16"/>
        </w:rPr>
      </w:pPr>
      <w:r>
        <w:rPr>
          <w:color w:val="231F20"/>
          <w:position w:val="5"/>
          <w:sz w:val="9"/>
        </w:rPr>
        <w:t xml:space="preserve">1 </w:t>
      </w:r>
      <w:r>
        <w:rPr>
          <w:color w:val="231F20"/>
          <w:sz w:val="16"/>
        </w:rPr>
        <w:t>Про Конституційний Суд України: Закон від 13 липня 2017 р. № 2136-VIII.</w:t>
      </w:r>
    </w:p>
    <w:p w14:paraId="0237B93F" w14:textId="77777777" w:rsidR="00DE575E" w:rsidRDefault="00DE575E">
      <w:pPr>
        <w:pStyle w:val="BodyText"/>
        <w:spacing w:before="10"/>
        <w:rPr>
          <w:sz w:val="11"/>
        </w:rPr>
      </w:pPr>
    </w:p>
    <w:p w14:paraId="2ECA614E" w14:textId="77777777" w:rsidR="00DE575E" w:rsidRDefault="002E7560">
      <w:pPr>
        <w:spacing w:before="92"/>
        <w:ind w:right="411"/>
        <w:jc w:val="right"/>
        <w:rPr>
          <w:rFonts w:ascii="Times New Roman"/>
          <w:sz w:val="20"/>
        </w:rPr>
      </w:pPr>
      <w:r>
        <w:rPr>
          <w:rFonts w:ascii="Times New Roman"/>
          <w:color w:val="231F20"/>
          <w:w w:val="90"/>
          <w:sz w:val="20"/>
        </w:rPr>
        <w:t>73</w:t>
      </w:r>
    </w:p>
    <w:p w14:paraId="2503C8C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D394F4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AA45035" w14:textId="2A0D8FA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1E71D57" wp14:editId="211126E3">
                <wp:extent cx="4140200" cy="6350"/>
                <wp:effectExtent l="0" t="0" r="12700" b="6350"/>
                <wp:docPr id="1222"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23" name="Line 122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5C8401" id="Group_x0020_122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ifgX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32J+BfQIAAJwFAAAOAAAA&#10;AAAAAAAAAAAAACwCAABkcnMvZTJvRG9jLnhtbFBLAQItABQABgAIAAAAIQBMp7CQ2QAAAAMBAAAP&#10;AAAAAAAAAAAAAAAAANUEAABkcnMvZG93bnJldi54bWxQSwUGAAAAAAQABADzAAAA2wUAAAAA&#10;">
                <v:line id="Line_x0020_122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XiccQAAADdAAAADwAAAGRycy9kb3ducmV2LnhtbERPzWrCQBC+F3yHZYReSt00gSLRVYog&#10;lB60NX2AMTsmobuzMbua6NN3BcHbfHy/M18O1ogzdb5xrOBtkoAgLp1uuFLwW6xfpyB8QNZoHJOC&#10;C3lYLkZPc8y16/mHzrtQiRjCPkcFdQhtLqUva7LoJ64ljtzBdRZDhF0ldYd9DLdGpknyLi02HBtq&#10;bGlVU/m3O1kFxfElmO/tl+mL7T6T++Mmu542Sj2Ph48ZiEBDeIjv7k8d56dpBrdv4gly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JeJxxAAAAN0AAAAPAAAAAAAAAAAA&#10;AAAAAKECAABkcnMvZG93bnJldi54bWxQSwUGAAAAAAQABAD5AAAAkgMAAAAA&#10;" strokecolor="#231f20" strokeweight=".5pt"/>
                <w10:anchorlock/>
              </v:group>
            </w:pict>
          </mc:Fallback>
        </mc:AlternateContent>
      </w:r>
    </w:p>
    <w:p w14:paraId="4CA5D82C" w14:textId="77777777" w:rsidR="00DE575E" w:rsidRDefault="00DE575E">
      <w:pPr>
        <w:pStyle w:val="BodyText"/>
        <w:spacing w:before="7"/>
        <w:rPr>
          <w:rFonts w:ascii="AdonisC"/>
          <w:i/>
          <w:sz w:val="11"/>
        </w:rPr>
      </w:pPr>
    </w:p>
    <w:p w14:paraId="1162DE70" w14:textId="77777777" w:rsidR="00DE575E" w:rsidRDefault="002E7560">
      <w:pPr>
        <w:pStyle w:val="BodyText"/>
        <w:spacing w:before="101" w:line="252" w:lineRule="auto"/>
        <w:ind w:left="533" w:right="33"/>
      </w:pPr>
      <w:r>
        <w:rPr>
          <w:color w:val="231F20"/>
        </w:rPr>
        <w:t xml:space="preserve">точному </w:t>
      </w:r>
      <w:r>
        <w:rPr>
          <w:color w:val="231F20"/>
          <w:spacing w:val="-3"/>
        </w:rPr>
        <w:t xml:space="preserve">судовому </w:t>
      </w:r>
      <w:r>
        <w:rPr>
          <w:color w:val="231F20"/>
        </w:rPr>
        <w:t xml:space="preserve">рішенні в її справі Закон </w:t>
      </w:r>
      <w:r>
        <w:rPr>
          <w:color w:val="231F20"/>
          <w:spacing w:val="-3"/>
        </w:rPr>
        <w:t xml:space="preserve">України </w:t>
      </w:r>
      <w:r>
        <w:rPr>
          <w:color w:val="231F20"/>
        </w:rPr>
        <w:t xml:space="preserve">суперечить Конс- титуції </w:t>
      </w:r>
      <w:r>
        <w:rPr>
          <w:color w:val="231F20"/>
          <w:spacing w:val="-3"/>
        </w:rPr>
        <w:t>України.</w:t>
      </w:r>
    </w:p>
    <w:p w14:paraId="18FC28FC" w14:textId="77777777" w:rsidR="00DE575E" w:rsidRDefault="00DE575E">
      <w:pPr>
        <w:pStyle w:val="BodyText"/>
        <w:spacing w:before="1"/>
        <w:rPr>
          <w:sz w:val="22"/>
        </w:rPr>
      </w:pPr>
    </w:p>
    <w:p w14:paraId="1CBD0B2A" w14:textId="77777777" w:rsidR="00DE575E" w:rsidRDefault="002E7560">
      <w:pPr>
        <w:pStyle w:val="Heading5"/>
        <w:numPr>
          <w:ilvl w:val="2"/>
          <w:numId w:val="283"/>
        </w:numPr>
        <w:tabs>
          <w:tab w:val="left" w:pos="1383"/>
        </w:tabs>
        <w:spacing w:line="252" w:lineRule="auto"/>
        <w:ind w:right="2239" w:firstLine="0"/>
      </w:pPr>
      <w:r>
        <w:rPr>
          <w:color w:val="231F20"/>
        </w:rPr>
        <w:t xml:space="preserve">Рішення Верховного </w:t>
      </w:r>
      <w:r>
        <w:rPr>
          <w:color w:val="231F20"/>
          <w:spacing w:val="-5"/>
        </w:rPr>
        <w:t xml:space="preserve">Суду </w:t>
      </w:r>
      <w:r>
        <w:rPr>
          <w:color w:val="231F20"/>
        </w:rPr>
        <w:t>в</w:t>
      </w:r>
      <w:r>
        <w:rPr>
          <w:color w:val="231F20"/>
          <w:spacing w:val="-18"/>
        </w:rPr>
        <w:t xml:space="preserve"> </w:t>
      </w:r>
      <w:r>
        <w:rPr>
          <w:color w:val="231F20"/>
        </w:rPr>
        <w:t>системі джерел адміністративного</w:t>
      </w:r>
      <w:r>
        <w:rPr>
          <w:color w:val="231F20"/>
          <w:spacing w:val="-4"/>
        </w:rPr>
        <w:t xml:space="preserve"> </w:t>
      </w:r>
      <w:r>
        <w:rPr>
          <w:color w:val="231F20"/>
        </w:rPr>
        <w:t>права</w:t>
      </w:r>
    </w:p>
    <w:p w14:paraId="1B6205E7" w14:textId="77777777" w:rsidR="00DE575E" w:rsidRDefault="00DE575E">
      <w:pPr>
        <w:pStyle w:val="BodyText"/>
        <w:spacing w:before="1"/>
        <w:rPr>
          <w:b/>
          <w:sz w:val="22"/>
        </w:rPr>
      </w:pPr>
    </w:p>
    <w:p w14:paraId="1A8938E0" w14:textId="77777777" w:rsidR="00DE575E" w:rsidRDefault="002E7560">
      <w:pPr>
        <w:pStyle w:val="BodyText"/>
        <w:spacing w:line="252" w:lineRule="auto"/>
        <w:ind w:left="533" w:right="128" w:firstLine="283"/>
        <w:jc w:val="both"/>
      </w:pPr>
      <w:r>
        <w:rPr>
          <w:color w:val="231F20"/>
        </w:rPr>
        <w:t xml:space="preserve">Верховний </w:t>
      </w:r>
      <w:r>
        <w:rPr>
          <w:color w:val="231F20"/>
          <w:spacing w:val="-6"/>
        </w:rPr>
        <w:t xml:space="preserve">Суд </w:t>
      </w:r>
      <w:r>
        <w:rPr>
          <w:color w:val="231F20"/>
        </w:rPr>
        <w:t xml:space="preserve">є найвищим </w:t>
      </w:r>
      <w:r>
        <w:rPr>
          <w:color w:val="231F20"/>
          <w:spacing w:val="-3"/>
        </w:rPr>
        <w:t xml:space="preserve">судом </w:t>
      </w:r>
      <w:r>
        <w:rPr>
          <w:color w:val="231F20"/>
        </w:rPr>
        <w:t xml:space="preserve">у системі </w:t>
      </w:r>
      <w:r>
        <w:rPr>
          <w:color w:val="231F20"/>
          <w:spacing w:val="-3"/>
        </w:rPr>
        <w:t xml:space="preserve">судоустрою України, </w:t>
      </w:r>
      <w:r>
        <w:rPr>
          <w:color w:val="231F20"/>
        </w:rPr>
        <w:t xml:space="preserve">який  забезпечує  сталість  та  єдність  </w:t>
      </w:r>
      <w:r>
        <w:rPr>
          <w:color w:val="231F20"/>
          <w:spacing w:val="-3"/>
        </w:rPr>
        <w:t xml:space="preserve">судової  </w:t>
      </w:r>
      <w:r>
        <w:rPr>
          <w:color w:val="231F20"/>
        </w:rPr>
        <w:t>практики  в  порядку і спосіб, визначені процесуальним</w:t>
      </w:r>
      <w:r>
        <w:rPr>
          <w:color w:val="231F20"/>
          <w:spacing w:val="-5"/>
        </w:rPr>
        <w:t xml:space="preserve"> </w:t>
      </w:r>
      <w:r>
        <w:rPr>
          <w:color w:val="231F20"/>
        </w:rPr>
        <w:t>законом.</w:t>
      </w:r>
    </w:p>
    <w:p w14:paraId="1D57A791" w14:textId="77777777" w:rsidR="00DE575E" w:rsidRDefault="002E7560">
      <w:pPr>
        <w:spacing w:before="1"/>
        <w:ind w:left="817"/>
        <w:rPr>
          <w:sz w:val="21"/>
        </w:rPr>
      </w:pPr>
      <w:r>
        <w:rPr>
          <w:i/>
          <w:color w:val="231F20"/>
          <w:sz w:val="21"/>
        </w:rPr>
        <w:t>Верховний Суд</w:t>
      </w:r>
      <w:r>
        <w:rPr>
          <w:color w:val="231F20"/>
          <w:sz w:val="21"/>
        </w:rPr>
        <w:t>:</w:t>
      </w:r>
    </w:p>
    <w:p w14:paraId="46C43660" w14:textId="77777777" w:rsidR="00DE575E" w:rsidRDefault="002E7560">
      <w:pPr>
        <w:pStyle w:val="ListParagraph"/>
        <w:numPr>
          <w:ilvl w:val="1"/>
          <w:numId w:val="282"/>
        </w:numPr>
        <w:tabs>
          <w:tab w:val="left" w:pos="1101"/>
        </w:tabs>
        <w:spacing w:before="13" w:line="252" w:lineRule="auto"/>
        <w:ind w:right="128" w:firstLine="284"/>
        <w:rPr>
          <w:sz w:val="21"/>
        </w:rPr>
      </w:pPr>
      <w:r>
        <w:rPr>
          <w:color w:val="231F20"/>
          <w:sz w:val="21"/>
        </w:rPr>
        <w:t xml:space="preserve">здійснює правосуддя як </w:t>
      </w:r>
      <w:r>
        <w:rPr>
          <w:color w:val="231F20"/>
          <w:spacing w:val="-4"/>
          <w:sz w:val="21"/>
        </w:rPr>
        <w:t xml:space="preserve">суд </w:t>
      </w:r>
      <w:r>
        <w:rPr>
          <w:color w:val="231F20"/>
          <w:sz w:val="21"/>
        </w:rPr>
        <w:t>касаційної інстанції, а у випадках, визначених</w:t>
      </w:r>
      <w:r>
        <w:rPr>
          <w:color w:val="231F20"/>
          <w:spacing w:val="-14"/>
          <w:sz w:val="21"/>
        </w:rPr>
        <w:t xml:space="preserve"> </w:t>
      </w:r>
      <w:r>
        <w:rPr>
          <w:color w:val="231F20"/>
          <w:sz w:val="21"/>
        </w:rPr>
        <w:t>процесуальним</w:t>
      </w:r>
      <w:r>
        <w:rPr>
          <w:color w:val="231F20"/>
          <w:spacing w:val="-14"/>
          <w:sz w:val="21"/>
        </w:rPr>
        <w:t xml:space="preserve"> </w:t>
      </w:r>
      <w:r>
        <w:rPr>
          <w:color w:val="231F20"/>
          <w:sz w:val="21"/>
        </w:rPr>
        <w:t>законом,</w:t>
      </w:r>
      <w:r>
        <w:rPr>
          <w:color w:val="231F20"/>
          <w:spacing w:val="-14"/>
          <w:sz w:val="21"/>
        </w:rPr>
        <w:t xml:space="preserve"> </w:t>
      </w:r>
      <w:r>
        <w:rPr>
          <w:color w:val="231F20"/>
          <w:sz w:val="21"/>
        </w:rPr>
        <w:t>–</w:t>
      </w:r>
      <w:r>
        <w:rPr>
          <w:color w:val="231F20"/>
          <w:spacing w:val="-14"/>
          <w:sz w:val="21"/>
        </w:rPr>
        <w:t xml:space="preserve"> </w:t>
      </w:r>
      <w:r>
        <w:rPr>
          <w:color w:val="231F20"/>
          <w:sz w:val="21"/>
        </w:rPr>
        <w:t>як</w:t>
      </w:r>
      <w:r>
        <w:rPr>
          <w:color w:val="231F20"/>
          <w:spacing w:val="-14"/>
          <w:sz w:val="21"/>
        </w:rPr>
        <w:t xml:space="preserve"> </w:t>
      </w:r>
      <w:r>
        <w:rPr>
          <w:color w:val="231F20"/>
          <w:spacing w:val="-4"/>
          <w:sz w:val="21"/>
        </w:rPr>
        <w:t>суд</w:t>
      </w:r>
      <w:r>
        <w:rPr>
          <w:color w:val="231F20"/>
          <w:spacing w:val="-14"/>
          <w:sz w:val="21"/>
        </w:rPr>
        <w:t xml:space="preserve"> </w:t>
      </w:r>
      <w:r>
        <w:rPr>
          <w:color w:val="231F20"/>
          <w:sz w:val="21"/>
        </w:rPr>
        <w:t>першої</w:t>
      </w:r>
      <w:r>
        <w:rPr>
          <w:color w:val="231F20"/>
          <w:spacing w:val="-14"/>
          <w:sz w:val="21"/>
        </w:rPr>
        <w:t xml:space="preserve"> </w:t>
      </w:r>
      <w:r>
        <w:rPr>
          <w:color w:val="231F20"/>
          <w:sz w:val="21"/>
        </w:rPr>
        <w:t>або</w:t>
      </w:r>
      <w:r>
        <w:rPr>
          <w:color w:val="231F20"/>
          <w:spacing w:val="-14"/>
          <w:sz w:val="21"/>
        </w:rPr>
        <w:t xml:space="preserve"> </w:t>
      </w:r>
      <w:r>
        <w:rPr>
          <w:color w:val="231F20"/>
          <w:sz w:val="21"/>
        </w:rPr>
        <w:t>апеляційно</w:t>
      </w:r>
      <w:r>
        <w:rPr>
          <w:color w:val="231F20"/>
          <w:sz w:val="21"/>
        </w:rPr>
        <w:t xml:space="preserve">ї інстанції, у </w:t>
      </w:r>
      <w:r>
        <w:rPr>
          <w:color w:val="231F20"/>
          <w:spacing w:val="-3"/>
          <w:sz w:val="21"/>
        </w:rPr>
        <w:t xml:space="preserve">порядку, </w:t>
      </w:r>
      <w:r>
        <w:rPr>
          <w:color w:val="231F20"/>
          <w:sz w:val="21"/>
        </w:rPr>
        <w:t>установленому процесуальним</w:t>
      </w:r>
      <w:r>
        <w:rPr>
          <w:color w:val="231F20"/>
          <w:spacing w:val="-4"/>
          <w:sz w:val="21"/>
        </w:rPr>
        <w:t xml:space="preserve"> </w:t>
      </w:r>
      <w:r>
        <w:rPr>
          <w:color w:val="231F20"/>
          <w:sz w:val="21"/>
        </w:rPr>
        <w:t>законом;</w:t>
      </w:r>
    </w:p>
    <w:p w14:paraId="7066CC66" w14:textId="77777777" w:rsidR="00DE575E" w:rsidRDefault="002E7560">
      <w:pPr>
        <w:pStyle w:val="ListParagraph"/>
        <w:numPr>
          <w:ilvl w:val="1"/>
          <w:numId w:val="282"/>
        </w:numPr>
        <w:tabs>
          <w:tab w:val="left" w:pos="1101"/>
        </w:tabs>
        <w:spacing w:before="2" w:line="252" w:lineRule="auto"/>
        <w:ind w:right="130" w:firstLine="284"/>
        <w:rPr>
          <w:sz w:val="21"/>
        </w:rPr>
      </w:pPr>
      <w:r>
        <w:rPr>
          <w:color w:val="231F20"/>
          <w:sz w:val="21"/>
        </w:rPr>
        <w:t xml:space="preserve">здійснює аналіз </w:t>
      </w:r>
      <w:r>
        <w:rPr>
          <w:color w:val="231F20"/>
          <w:spacing w:val="-3"/>
          <w:sz w:val="21"/>
        </w:rPr>
        <w:t xml:space="preserve">судової </w:t>
      </w:r>
      <w:r>
        <w:rPr>
          <w:color w:val="231F20"/>
          <w:sz w:val="21"/>
        </w:rPr>
        <w:t xml:space="preserve">статистики, узагальнення </w:t>
      </w:r>
      <w:r>
        <w:rPr>
          <w:color w:val="231F20"/>
          <w:spacing w:val="-3"/>
          <w:sz w:val="21"/>
        </w:rPr>
        <w:t xml:space="preserve">судової </w:t>
      </w:r>
      <w:r>
        <w:rPr>
          <w:color w:val="231F20"/>
          <w:sz w:val="21"/>
        </w:rPr>
        <w:t>практики;</w:t>
      </w:r>
    </w:p>
    <w:p w14:paraId="32BC68DB" w14:textId="77777777" w:rsidR="00DE575E" w:rsidRDefault="002E7560">
      <w:pPr>
        <w:pStyle w:val="ListParagraph"/>
        <w:numPr>
          <w:ilvl w:val="1"/>
          <w:numId w:val="282"/>
        </w:numPr>
        <w:tabs>
          <w:tab w:val="left" w:pos="1101"/>
        </w:tabs>
        <w:spacing w:line="252" w:lineRule="auto"/>
        <w:ind w:right="127" w:firstLine="284"/>
        <w:rPr>
          <w:sz w:val="21"/>
        </w:rPr>
      </w:pPr>
      <w:r>
        <w:rPr>
          <w:color w:val="231F20"/>
          <w:sz w:val="21"/>
        </w:rPr>
        <w:t xml:space="preserve">надає висновки щодо проєктів законодавчих актів, які стосу- ються судоустрою, судочинства, статусу </w:t>
      </w:r>
      <w:r>
        <w:rPr>
          <w:color w:val="231F20"/>
          <w:spacing w:val="-3"/>
          <w:sz w:val="21"/>
        </w:rPr>
        <w:t xml:space="preserve">суддів, </w:t>
      </w:r>
      <w:r>
        <w:rPr>
          <w:color w:val="231F20"/>
          <w:sz w:val="21"/>
        </w:rPr>
        <w:t xml:space="preserve">виконання </w:t>
      </w:r>
      <w:r>
        <w:rPr>
          <w:color w:val="231F20"/>
          <w:spacing w:val="-3"/>
          <w:sz w:val="21"/>
        </w:rPr>
        <w:t xml:space="preserve">судових </w:t>
      </w:r>
      <w:r>
        <w:rPr>
          <w:color w:val="231F20"/>
          <w:sz w:val="21"/>
        </w:rPr>
        <w:t>ріш</w:t>
      </w:r>
      <w:r>
        <w:rPr>
          <w:color w:val="231F20"/>
          <w:sz w:val="21"/>
        </w:rPr>
        <w:t>ень та інших питань, пов’язаних із функціонуванням системи судоустрою;</w:t>
      </w:r>
    </w:p>
    <w:p w14:paraId="010F6085" w14:textId="77777777" w:rsidR="00DE575E" w:rsidRDefault="002E7560">
      <w:pPr>
        <w:pStyle w:val="ListParagraph"/>
        <w:numPr>
          <w:ilvl w:val="1"/>
          <w:numId w:val="282"/>
        </w:numPr>
        <w:tabs>
          <w:tab w:val="left" w:pos="1101"/>
        </w:tabs>
        <w:spacing w:before="2" w:line="252" w:lineRule="auto"/>
        <w:ind w:right="127" w:firstLine="284"/>
        <w:rPr>
          <w:sz w:val="21"/>
        </w:rPr>
      </w:pPr>
      <w:r>
        <w:rPr>
          <w:color w:val="231F20"/>
          <w:sz w:val="21"/>
        </w:rPr>
        <w:t xml:space="preserve">надає висновок про наявність чи відсутність у діяннях, у яких звинувачується Президент </w:t>
      </w:r>
      <w:r>
        <w:rPr>
          <w:color w:val="231F20"/>
          <w:spacing w:val="-3"/>
          <w:sz w:val="21"/>
        </w:rPr>
        <w:t xml:space="preserve">України, </w:t>
      </w:r>
      <w:r>
        <w:rPr>
          <w:color w:val="231F20"/>
          <w:sz w:val="21"/>
        </w:rPr>
        <w:t>ознак державної зради або іншого злочину; вносить за зверненням Верховної Ради письмове п</w:t>
      </w:r>
      <w:r>
        <w:rPr>
          <w:color w:val="231F20"/>
          <w:sz w:val="21"/>
        </w:rPr>
        <w:t>одання про неспроможність виконання Президентом своїх повно- важень за станом</w:t>
      </w:r>
      <w:r>
        <w:rPr>
          <w:color w:val="231F20"/>
          <w:spacing w:val="-3"/>
          <w:sz w:val="21"/>
        </w:rPr>
        <w:t xml:space="preserve"> </w:t>
      </w:r>
      <w:r>
        <w:rPr>
          <w:color w:val="231F20"/>
          <w:sz w:val="21"/>
        </w:rPr>
        <w:t>здоров’я;</w:t>
      </w:r>
    </w:p>
    <w:p w14:paraId="45F68251" w14:textId="77777777" w:rsidR="00DE575E" w:rsidRDefault="002E7560">
      <w:pPr>
        <w:pStyle w:val="ListParagraph"/>
        <w:numPr>
          <w:ilvl w:val="1"/>
          <w:numId w:val="282"/>
        </w:numPr>
        <w:tabs>
          <w:tab w:val="left" w:pos="1101"/>
        </w:tabs>
        <w:spacing w:before="2" w:line="252" w:lineRule="auto"/>
        <w:ind w:right="127" w:firstLine="284"/>
        <w:rPr>
          <w:sz w:val="21"/>
        </w:rPr>
      </w:pPr>
      <w:r>
        <w:rPr>
          <w:color w:val="231F20"/>
          <w:sz w:val="21"/>
        </w:rPr>
        <w:t xml:space="preserve">звертається до Конституційного </w:t>
      </w:r>
      <w:r>
        <w:rPr>
          <w:color w:val="231F20"/>
          <w:spacing w:val="-5"/>
          <w:sz w:val="21"/>
        </w:rPr>
        <w:t xml:space="preserve">Суду </w:t>
      </w:r>
      <w:r>
        <w:rPr>
          <w:color w:val="231F20"/>
          <w:spacing w:val="-3"/>
          <w:sz w:val="21"/>
        </w:rPr>
        <w:t xml:space="preserve">України </w:t>
      </w:r>
      <w:r>
        <w:rPr>
          <w:color w:val="231F20"/>
          <w:sz w:val="21"/>
        </w:rPr>
        <w:t>щодо консти- туційності законів, інших правових актів, а також щодо офіційного тлумачення Конституції</w:t>
      </w:r>
      <w:r>
        <w:rPr>
          <w:color w:val="231F20"/>
          <w:spacing w:val="-2"/>
          <w:sz w:val="21"/>
        </w:rPr>
        <w:t xml:space="preserve"> </w:t>
      </w:r>
      <w:r>
        <w:rPr>
          <w:color w:val="231F20"/>
          <w:spacing w:val="-3"/>
          <w:sz w:val="21"/>
        </w:rPr>
        <w:t>України;</w:t>
      </w:r>
    </w:p>
    <w:p w14:paraId="1CF23984" w14:textId="77777777" w:rsidR="00DE575E" w:rsidRDefault="002E7560">
      <w:pPr>
        <w:pStyle w:val="ListParagraph"/>
        <w:numPr>
          <w:ilvl w:val="1"/>
          <w:numId w:val="282"/>
        </w:numPr>
        <w:tabs>
          <w:tab w:val="left" w:pos="1101"/>
        </w:tabs>
        <w:spacing w:line="252" w:lineRule="auto"/>
        <w:ind w:right="130" w:firstLine="284"/>
        <w:rPr>
          <w:sz w:val="21"/>
        </w:rPr>
      </w:pPr>
      <w:r>
        <w:rPr>
          <w:color w:val="231F20"/>
          <w:spacing w:val="-4"/>
          <w:sz w:val="21"/>
        </w:rPr>
        <w:t>забезпечує од</w:t>
      </w:r>
      <w:r>
        <w:rPr>
          <w:color w:val="231F20"/>
          <w:spacing w:val="-4"/>
          <w:sz w:val="21"/>
        </w:rPr>
        <w:t xml:space="preserve">накове </w:t>
      </w:r>
      <w:r>
        <w:rPr>
          <w:color w:val="231F20"/>
          <w:spacing w:val="-3"/>
          <w:sz w:val="21"/>
        </w:rPr>
        <w:t xml:space="preserve">застосування норм права </w:t>
      </w:r>
      <w:r>
        <w:rPr>
          <w:color w:val="231F20"/>
          <w:spacing w:val="-5"/>
          <w:sz w:val="21"/>
        </w:rPr>
        <w:t xml:space="preserve">судами </w:t>
      </w:r>
      <w:r>
        <w:rPr>
          <w:color w:val="231F20"/>
          <w:spacing w:val="-3"/>
          <w:sz w:val="21"/>
        </w:rPr>
        <w:t xml:space="preserve">різних спеціалізацій </w:t>
      </w:r>
      <w:r>
        <w:rPr>
          <w:color w:val="231F20"/>
          <w:sz w:val="21"/>
        </w:rPr>
        <w:t xml:space="preserve">у </w:t>
      </w:r>
      <w:r>
        <w:rPr>
          <w:color w:val="231F20"/>
          <w:spacing w:val="-3"/>
          <w:sz w:val="21"/>
        </w:rPr>
        <w:t xml:space="preserve">порядку </w:t>
      </w:r>
      <w:r>
        <w:rPr>
          <w:color w:val="231F20"/>
          <w:sz w:val="21"/>
        </w:rPr>
        <w:t xml:space="preserve">та </w:t>
      </w:r>
      <w:r>
        <w:rPr>
          <w:color w:val="231F20"/>
          <w:spacing w:val="-3"/>
          <w:sz w:val="21"/>
        </w:rPr>
        <w:t xml:space="preserve">спосіб, визначені </w:t>
      </w:r>
      <w:r>
        <w:rPr>
          <w:color w:val="231F20"/>
          <w:spacing w:val="-4"/>
          <w:sz w:val="21"/>
        </w:rPr>
        <w:t>процесуальним</w:t>
      </w:r>
      <w:r>
        <w:rPr>
          <w:color w:val="231F20"/>
          <w:spacing w:val="-3"/>
          <w:sz w:val="21"/>
        </w:rPr>
        <w:t xml:space="preserve"> </w:t>
      </w:r>
      <w:r>
        <w:rPr>
          <w:color w:val="231F20"/>
          <w:spacing w:val="-4"/>
          <w:sz w:val="21"/>
        </w:rPr>
        <w:t>законом;</w:t>
      </w:r>
    </w:p>
    <w:p w14:paraId="139544F6" w14:textId="77777777" w:rsidR="00DE575E" w:rsidRDefault="002E7560">
      <w:pPr>
        <w:pStyle w:val="ListParagraph"/>
        <w:numPr>
          <w:ilvl w:val="1"/>
          <w:numId w:val="282"/>
        </w:numPr>
        <w:tabs>
          <w:tab w:val="left" w:pos="1101"/>
        </w:tabs>
        <w:spacing w:line="252" w:lineRule="auto"/>
        <w:ind w:right="128" w:firstLine="284"/>
        <w:rPr>
          <w:sz w:val="21"/>
        </w:rPr>
      </w:pPr>
      <w:r>
        <w:rPr>
          <w:color w:val="231F20"/>
          <w:sz w:val="21"/>
        </w:rPr>
        <w:t xml:space="preserve">забезпечує апеляційні та місцеві </w:t>
      </w:r>
      <w:r>
        <w:rPr>
          <w:color w:val="231F20"/>
          <w:spacing w:val="-4"/>
          <w:sz w:val="21"/>
        </w:rPr>
        <w:t xml:space="preserve">суди </w:t>
      </w:r>
      <w:r>
        <w:rPr>
          <w:color w:val="231F20"/>
          <w:sz w:val="21"/>
        </w:rPr>
        <w:t>методичною інформа- цією з питань</w:t>
      </w:r>
      <w:r>
        <w:rPr>
          <w:color w:val="231F20"/>
          <w:spacing w:val="-2"/>
          <w:sz w:val="21"/>
        </w:rPr>
        <w:t xml:space="preserve"> </w:t>
      </w:r>
      <w:r>
        <w:rPr>
          <w:color w:val="231F20"/>
          <w:sz w:val="21"/>
        </w:rPr>
        <w:t>правозастосування;</w:t>
      </w:r>
    </w:p>
    <w:p w14:paraId="60835A32" w14:textId="77777777" w:rsidR="00DE575E" w:rsidRDefault="002E7560">
      <w:pPr>
        <w:pStyle w:val="ListParagraph"/>
        <w:numPr>
          <w:ilvl w:val="1"/>
          <w:numId w:val="282"/>
        </w:numPr>
        <w:tabs>
          <w:tab w:val="left" w:pos="1101"/>
        </w:tabs>
        <w:ind w:firstLine="284"/>
        <w:jc w:val="left"/>
        <w:rPr>
          <w:sz w:val="21"/>
        </w:rPr>
      </w:pPr>
      <w:r>
        <w:rPr>
          <w:color w:val="231F20"/>
          <w:sz w:val="21"/>
        </w:rPr>
        <w:t>здійснює інші повноваження, визначені</w:t>
      </w:r>
      <w:r>
        <w:rPr>
          <w:color w:val="231F20"/>
          <w:spacing w:val="-3"/>
          <w:sz w:val="21"/>
        </w:rPr>
        <w:t xml:space="preserve"> </w:t>
      </w:r>
      <w:r>
        <w:rPr>
          <w:color w:val="231F20"/>
          <w:sz w:val="21"/>
        </w:rPr>
        <w:t>законом.</w:t>
      </w:r>
    </w:p>
    <w:p w14:paraId="2A281F49" w14:textId="77777777" w:rsidR="00DE575E" w:rsidRDefault="002E7560">
      <w:pPr>
        <w:pStyle w:val="BodyText"/>
        <w:spacing w:before="13" w:line="252" w:lineRule="auto"/>
        <w:ind w:left="533" w:right="128" w:firstLine="283"/>
        <w:jc w:val="both"/>
      </w:pPr>
      <w:r>
        <w:rPr>
          <w:color w:val="231F20"/>
        </w:rPr>
        <w:t xml:space="preserve">Під час вибору правової норми, що має застосовуватися до спір- них правовідносин, </w:t>
      </w:r>
      <w:r>
        <w:rPr>
          <w:color w:val="231F20"/>
          <w:spacing w:val="-4"/>
        </w:rPr>
        <w:t xml:space="preserve">суд </w:t>
      </w:r>
      <w:r>
        <w:rPr>
          <w:color w:val="231F20"/>
        </w:rPr>
        <w:t xml:space="preserve">зобов’язаний ураховувати висновки Верхов- ного </w:t>
      </w:r>
      <w:r>
        <w:rPr>
          <w:color w:val="231F20"/>
          <w:spacing w:val="-5"/>
        </w:rPr>
        <w:t xml:space="preserve">Суду </w:t>
      </w:r>
      <w:r>
        <w:rPr>
          <w:color w:val="231F20"/>
          <w:spacing w:val="-3"/>
        </w:rPr>
        <w:t xml:space="preserve">України, </w:t>
      </w:r>
      <w:r>
        <w:rPr>
          <w:color w:val="231F20"/>
        </w:rPr>
        <w:t xml:space="preserve">викладені в рішеннях, ухвалених за </w:t>
      </w:r>
      <w:r>
        <w:rPr>
          <w:color w:val="231F20"/>
          <w:spacing w:val="-3"/>
        </w:rPr>
        <w:t xml:space="preserve">результатами розгляду </w:t>
      </w:r>
      <w:r>
        <w:rPr>
          <w:color w:val="231F20"/>
        </w:rPr>
        <w:t xml:space="preserve">заяв про перегляд </w:t>
      </w:r>
      <w:r>
        <w:rPr>
          <w:color w:val="231F20"/>
          <w:spacing w:val="-3"/>
        </w:rPr>
        <w:t xml:space="preserve">судового </w:t>
      </w:r>
      <w:r>
        <w:rPr>
          <w:color w:val="231F20"/>
        </w:rPr>
        <w:t>рішення.</w:t>
      </w:r>
    </w:p>
    <w:p w14:paraId="6044F54E" w14:textId="77777777" w:rsidR="00DE575E" w:rsidRDefault="002E7560">
      <w:pPr>
        <w:pStyle w:val="Heading5"/>
        <w:spacing w:before="2" w:line="252" w:lineRule="auto"/>
        <w:ind w:right="126" w:firstLine="283"/>
        <w:jc w:val="both"/>
        <w:rPr>
          <w:b w:val="0"/>
          <w:i/>
        </w:rPr>
      </w:pPr>
      <w:r>
        <w:rPr>
          <w:color w:val="231F20"/>
        </w:rPr>
        <w:t>Отже, суб’єкти а</w:t>
      </w:r>
      <w:r>
        <w:rPr>
          <w:color w:val="231F20"/>
        </w:rPr>
        <w:t>дміністративного права мають організову- вати свою діяльність з огляду на положення рішень Верховного Суду України</w:t>
      </w:r>
      <w:r>
        <w:rPr>
          <w:b w:val="0"/>
          <w:i/>
          <w:color w:val="231F20"/>
        </w:rPr>
        <w:t>.</w:t>
      </w:r>
    </w:p>
    <w:p w14:paraId="50839D9B" w14:textId="77777777" w:rsidR="00DE575E" w:rsidRDefault="00DE575E">
      <w:pPr>
        <w:pStyle w:val="BodyText"/>
        <w:spacing w:before="8"/>
        <w:rPr>
          <w:i/>
          <w:sz w:val="12"/>
        </w:rPr>
      </w:pPr>
    </w:p>
    <w:p w14:paraId="64422F34" w14:textId="77777777" w:rsidR="00DE575E" w:rsidRDefault="002E7560">
      <w:pPr>
        <w:spacing w:before="92"/>
        <w:ind w:left="533"/>
        <w:rPr>
          <w:rFonts w:ascii="Times New Roman"/>
          <w:sz w:val="20"/>
        </w:rPr>
      </w:pPr>
      <w:r>
        <w:rPr>
          <w:rFonts w:ascii="Times New Roman"/>
          <w:color w:val="231F20"/>
          <w:sz w:val="20"/>
        </w:rPr>
        <w:t>74</w:t>
      </w:r>
    </w:p>
    <w:p w14:paraId="5A19CD4F" w14:textId="77777777" w:rsidR="00DE575E" w:rsidRDefault="00DE575E">
      <w:pPr>
        <w:rPr>
          <w:rFonts w:ascii="Times New Roman"/>
          <w:sz w:val="20"/>
        </w:rPr>
        <w:sectPr w:rsidR="00DE575E">
          <w:pgSz w:w="8510" w:h="12760"/>
          <w:pgMar w:top="660" w:right="720" w:bottom="280" w:left="600" w:header="720" w:footer="720" w:gutter="0"/>
          <w:cols w:space="720"/>
        </w:sectPr>
      </w:pPr>
    </w:p>
    <w:p w14:paraId="2AE62D5C"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Глава І. Загальне адміністративне право Розділ 3. Джерела адміністративного права</w:t>
      </w:r>
    </w:p>
    <w:p w14:paraId="5B66FE35" w14:textId="31B848C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8F67A9A" wp14:editId="0FAE6DD5">
                <wp:extent cx="4140200" cy="6350"/>
                <wp:effectExtent l="0" t="0" r="12700" b="6350"/>
                <wp:docPr id="1220"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21" name="Line 122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AB1645" id="Group_x0020_121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">
                <v:line id="Line_x0020_122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vZncQAAADdAAAADwAAAGRycy9kb3ducmV2LnhtbERPzWrCQBC+F3yHZQpeim6MUCS6ShEK&#10;xYO2xgcYs2MS3J2N2dVEn75bKHibj+93FqveGnGj1teOFUzGCQjiwumaSwWH/HM0A+EDskbjmBTc&#10;ycNqOXhZYKZdxz9024dSxBD2GSqoQmgyKX1RkUU/dg1x5E6utRgibEupW+xiuDUyTZJ3abHm2FBh&#10;Q+uKivP+ahXkl7dgvncb0+W741QeL9vp47pVavjaf8xBBOrDU/zv/tJxfppO4O+beIJ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u9mdxAAAAN0AAAAPAAAAAAAAAAAA&#10;AAAAAKECAABkcnMvZG93bnJldi54bWxQSwUGAAAAAAQABAD5AAAAkgMAAAAA&#10;" strokecolor="#231f20" strokeweight=".5pt"/>
                <w10:anchorlock/>
              </v:group>
            </w:pict>
          </mc:Fallback>
        </mc:AlternateContent>
      </w:r>
    </w:p>
    <w:p w14:paraId="193324A7" w14:textId="77777777" w:rsidR="00DE575E" w:rsidRDefault="00DE575E">
      <w:pPr>
        <w:pStyle w:val="BodyText"/>
        <w:spacing w:before="6"/>
        <w:rPr>
          <w:rFonts w:ascii="AdonisC"/>
          <w:i/>
          <w:sz w:val="19"/>
        </w:rPr>
      </w:pPr>
    </w:p>
    <w:p w14:paraId="5A11D5A3" w14:textId="77777777" w:rsidR="00DE575E" w:rsidRDefault="002E7560">
      <w:pPr>
        <w:pStyle w:val="Heading4"/>
        <w:numPr>
          <w:ilvl w:val="1"/>
          <w:numId w:val="284"/>
        </w:numPr>
        <w:tabs>
          <w:tab w:val="left" w:pos="673"/>
        </w:tabs>
        <w:ind w:left="672"/>
        <w:jc w:val="left"/>
      </w:pPr>
      <w:r>
        <w:rPr>
          <w:color w:val="231F20"/>
        </w:rPr>
        <w:t>Неформалізовані квазіджерела адміністративного</w:t>
      </w:r>
      <w:r>
        <w:rPr>
          <w:color w:val="231F20"/>
          <w:spacing w:val="-34"/>
        </w:rPr>
        <w:t xml:space="preserve"> </w:t>
      </w:r>
      <w:r>
        <w:rPr>
          <w:color w:val="231F20"/>
        </w:rPr>
        <w:t>права</w:t>
      </w:r>
    </w:p>
    <w:p w14:paraId="793DA62D" w14:textId="77777777" w:rsidR="00DE575E" w:rsidRDefault="00DE575E">
      <w:pPr>
        <w:pStyle w:val="BodyText"/>
        <w:rPr>
          <w:b/>
          <w:sz w:val="26"/>
        </w:rPr>
      </w:pPr>
    </w:p>
    <w:p w14:paraId="4D1D15FE" w14:textId="77777777" w:rsidR="00DE575E" w:rsidRDefault="002E7560">
      <w:pPr>
        <w:pStyle w:val="BodyText"/>
        <w:spacing w:before="224" w:line="252" w:lineRule="auto"/>
        <w:ind w:left="250" w:right="411" w:firstLine="283"/>
        <w:jc w:val="both"/>
      </w:pPr>
      <w:r>
        <w:rPr>
          <w:color w:val="231F20"/>
        </w:rPr>
        <w:t xml:space="preserve">Разом із джерелами адміністративного права, які мають форму документа, тобто є формалізованими, виокремлюють і </w:t>
      </w:r>
      <w:r>
        <w:rPr>
          <w:b/>
          <w:i/>
          <w:color w:val="231F20"/>
        </w:rPr>
        <w:t xml:space="preserve">неформалі- зовані джерела </w:t>
      </w:r>
      <w:r>
        <w:rPr>
          <w:color w:val="231F20"/>
        </w:rPr>
        <w:t>(</w:t>
      </w:r>
      <w:r>
        <w:rPr>
          <w:b/>
          <w:i/>
          <w:color w:val="231F20"/>
        </w:rPr>
        <w:t>квазіджерела)</w:t>
      </w:r>
      <w:r>
        <w:rPr>
          <w:color w:val="231F20"/>
        </w:rPr>
        <w:t>, в яких також</w:t>
      </w:r>
      <w:r>
        <w:rPr>
          <w:color w:val="231F20"/>
        </w:rPr>
        <w:t xml:space="preserve"> можуть міститися норми адміністративного права.</w:t>
      </w:r>
    </w:p>
    <w:p w14:paraId="6FE17EAC" w14:textId="77777777" w:rsidR="00DE575E" w:rsidRDefault="002E7560">
      <w:pPr>
        <w:pStyle w:val="BodyText"/>
        <w:spacing w:before="2" w:line="252" w:lineRule="auto"/>
        <w:ind w:left="250" w:right="409" w:firstLine="283"/>
        <w:jc w:val="both"/>
      </w:pPr>
      <w:r>
        <w:rPr>
          <w:color w:val="231F20"/>
          <w:spacing w:val="-4"/>
        </w:rPr>
        <w:t xml:space="preserve">Так, </w:t>
      </w:r>
      <w:r>
        <w:rPr>
          <w:color w:val="231F20"/>
        </w:rPr>
        <w:t xml:space="preserve">у Рішенні Конституційного </w:t>
      </w:r>
      <w:r>
        <w:rPr>
          <w:color w:val="231F20"/>
          <w:spacing w:val="-5"/>
        </w:rPr>
        <w:t xml:space="preserve">Суду </w:t>
      </w:r>
      <w:r>
        <w:rPr>
          <w:color w:val="231F20"/>
          <w:spacing w:val="-3"/>
        </w:rPr>
        <w:t xml:space="preserve">України </w:t>
      </w:r>
      <w:r>
        <w:rPr>
          <w:color w:val="231F20"/>
        </w:rPr>
        <w:t>від 2 листопада 2004</w:t>
      </w:r>
      <w:r>
        <w:rPr>
          <w:color w:val="231F20"/>
          <w:spacing w:val="-8"/>
        </w:rPr>
        <w:t xml:space="preserve"> </w:t>
      </w:r>
      <w:r>
        <w:rPr>
          <w:color w:val="231F20"/>
        </w:rPr>
        <w:t>р.</w:t>
      </w:r>
      <w:r>
        <w:rPr>
          <w:color w:val="231F20"/>
          <w:spacing w:val="-3"/>
        </w:rPr>
        <w:t xml:space="preserve"> </w:t>
      </w:r>
      <w:r>
        <w:rPr>
          <w:color w:val="231F20"/>
        </w:rPr>
        <w:t>№</w:t>
      </w:r>
      <w:r>
        <w:rPr>
          <w:color w:val="231F20"/>
          <w:spacing w:val="-8"/>
        </w:rPr>
        <w:t xml:space="preserve"> </w:t>
      </w:r>
      <w:r>
        <w:rPr>
          <w:color w:val="231F20"/>
        </w:rPr>
        <w:t>15-рп/2004</w:t>
      </w:r>
      <w:r>
        <w:rPr>
          <w:color w:val="231F20"/>
          <w:spacing w:val="-3"/>
        </w:rPr>
        <w:t xml:space="preserve"> </w:t>
      </w:r>
      <w:r>
        <w:rPr>
          <w:color w:val="231F20"/>
        </w:rPr>
        <w:t>у</w:t>
      </w:r>
      <w:r>
        <w:rPr>
          <w:color w:val="231F20"/>
          <w:spacing w:val="-3"/>
        </w:rPr>
        <w:t xml:space="preserve"> </w:t>
      </w:r>
      <w:r>
        <w:rPr>
          <w:color w:val="231F20"/>
        </w:rPr>
        <w:t>справі</w:t>
      </w:r>
      <w:r>
        <w:rPr>
          <w:color w:val="231F20"/>
          <w:spacing w:val="-3"/>
        </w:rPr>
        <w:t xml:space="preserve"> </w:t>
      </w:r>
      <w:r>
        <w:rPr>
          <w:color w:val="231F20"/>
        </w:rPr>
        <w:t>за</w:t>
      </w:r>
      <w:r>
        <w:rPr>
          <w:color w:val="231F20"/>
          <w:spacing w:val="-3"/>
        </w:rPr>
        <w:t xml:space="preserve"> </w:t>
      </w:r>
      <w:r>
        <w:rPr>
          <w:color w:val="231F20"/>
        </w:rPr>
        <w:t>конституційним</w:t>
      </w:r>
      <w:r>
        <w:rPr>
          <w:color w:val="231F20"/>
          <w:spacing w:val="-3"/>
        </w:rPr>
        <w:t xml:space="preserve"> </w:t>
      </w:r>
      <w:r>
        <w:rPr>
          <w:color w:val="231F20"/>
        </w:rPr>
        <w:t>поданням</w:t>
      </w:r>
      <w:r>
        <w:rPr>
          <w:color w:val="231F20"/>
          <w:spacing w:val="-3"/>
        </w:rPr>
        <w:t xml:space="preserve"> </w:t>
      </w:r>
      <w:r>
        <w:rPr>
          <w:color w:val="231F20"/>
        </w:rPr>
        <w:t xml:space="preserve">Верхов- ного </w:t>
      </w:r>
      <w:r>
        <w:rPr>
          <w:color w:val="231F20"/>
          <w:spacing w:val="-5"/>
        </w:rPr>
        <w:t xml:space="preserve">Суду </w:t>
      </w:r>
      <w:r>
        <w:rPr>
          <w:color w:val="231F20"/>
          <w:spacing w:val="-3"/>
        </w:rPr>
        <w:t xml:space="preserve">України </w:t>
      </w:r>
      <w:r>
        <w:rPr>
          <w:color w:val="231F20"/>
        </w:rPr>
        <w:t xml:space="preserve">щодо відповідності Конституції </w:t>
      </w:r>
      <w:r>
        <w:rPr>
          <w:color w:val="231F20"/>
          <w:spacing w:val="-3"/>
        </w:rPr>
        <w:t xml:space="preserve">України </w:t>
      </w:r>
      <w:r>
        <w:rPr>
          <w:color w:val="231F20"/>
        </w:rPr>
        <w:t xml:space="preserve">(консти- туційності) положень статті 69 Кримінального кодексу </w:t>
      </w:r>
      <w:r>
        <w:rPr>
          <w:color w:val="231F20"/>
          <w:spacing w:val="-3"/>
        </w:rPr>
        <w:t xml:space="preserve">України </w:t>
      </w:r>
      <w:r>
        <w:rPr>
          <w:color w:val="231F20"/>
        </w:rPr>
        <w:t xml:space="preserve">(справа про призначення </w:t>
      </w:r>
      <w:r>
        <w:rPr>
          <w:color w:val="231F20"/>
          <w:spacing w:val="-3"/>
        </w:rPr>
        <w:t xml:space="preserve">судом </w:t>
      </w:r>
      <w:r>
        <w:rPr>
          <w:color w:val="231F20"/>
        </w:rPr>
        <w:t>більш м’якого покарання)</w:t>
      </w:r>
      <w:r>
        <w:rPr>
          <w:color w:val="231F20"/>
          <w:position w:val="7"/>
          <w:sz w:val="12"/>
        </w:rPr>
        <w:t xml:space="preserve">1 </w:t>
      </w:r>
      <w:r>
        <w:rPr>
          <w:color w:val="231F20"/>
        </w:rPr>
        <w:t>наголо- шується,</w:t>
      </w:r>
      <w:r>
        <w:rPr>
          <w:color w:val="231F20"/>
          <w:spacing w:val="-15"/>
        </w:rPr>
        <w:t xml:space="preserve"> </w:t>
      </w:r>
      <w:r>
        <w:rPr>
          <w:color w:val="231F20"/>
        </w:rPr>
        <w:t>що</w:t>
      </w:r>
      <w:r>
        <w:rPr>
          <w:color w:val="231F20"/>
          <w:spacing w:val="-14"/>
        </w:rPr>
        <w:t xml:space="preserve"> </w:t>
      </w:r>
      <w:r>
        <w:rPr>
          <w:color w:val="231F20"/>
        </w:rPr>
        <w:t>«верховенство</w:t>
      </w:r>
      <w:r>
        <w:rPr>
          <w:color w:val="231F20"/>
          <w:spacing w:val="-15"/>
        </w:rPr>
        <w:t xml:space="preserve"> </w:t>
      </w:r>
      <w:r>
        <w:rPr>
          <w:color w:val="231F20"/>
        </w:rPr>
        <w:t>права</w:t>
      </w:r>
      <w:r>
        <w:rPr>
          <w:color w:val="231F20"/>
          <w:spacing w:val="-15"/>
        </w:rPr>
        <w:t xml:space="preserve"> </w:t>
      </w:r>
      <w:r>
        <w:rPr>
          <w:color w:val="231F20"/>
        </w:rPr>
        <w:t>вимагає</w:t>
      </w:r>
      <w:r>
        <w:rPr>
          <w:color w:val="231F20"/>
          <w:spacing w:val="-15"/>
        </w:rPr>
        <w:t xml:space="preserve"> </w:t>
      </w:r>
      <w:r>
        <w:rPr>
          <w:color w:val="231F20"/>
        </w:rPr>
        <w:t>від</w:t>
      </w:r>
      <w:r>
        <w:rPr>
          <w:color w:val="231F20"/>
          <w:spacing w:val="-14"/>
        </w:rPr>
        <w:t xml:space="preserve"> </w:t>
      </w:r>
      <w:r>
        <w:rPr>
          <w:color w:val="231F20"/>
        </w:rPr>
        <w:t>держави</w:t>
      </w:r>
      <w:r>
        <w:rPr>
          <w:color w:val="231F20"/>
          <w:spacing w:val="-14"/>
        </w:rPr>
        <w:t xml:space="preserve"> </w:t>
      </w:r>
      <w:r>
        <w:rPr>
          <w:color w:val="231F20"/>
        </w:rPr>
        <w:t>його</w:t>
      </w:r>
      <w:r>
        <w:rPr>
          <w:color w:val="231F20"/>
          <w:spacing w:val="-14"/>
        </w:rPr>
        <w:t xml:space="preserve"> </w:t>
      </w:r>
      <w:r>
        <w:rPr>
          <w:color w:val="231F20"/>
        </w:rPr>
        <w:t>втілення у правотворчу та правозастосовну діяльність, зокрема в закони, які за своїм змістом мають бути наповнені передусім ідеями соціальної справедливості, свободи, рівності тощо. Одним із проявів верховен- ства права є те, що право не обмежується лише з</w:t>
      </w:r>
      <w:r>
        <w:rPr>
          <w:color w:val="231F20"/>
        </w:rPr>
        <w:t xml:space="preserve">аконодавством як однією з його форм, а включає й інші соціальні регулятори, зокрема </w:t>
      </w:r>
      <w:r>
        <w:rPr>
          <w:i/>
          <w:color w:val="231F20"/>
        </w:rPr>
        <w:t xml:space="preserve">норми моралі, традиції, звичаї </w:t>
      </w:r>
      <w:r>
        <w:rPr>
          <w:color w:val="231F20"/>
        </w:rPr>
        <w:t xml:space="preserve">тощо, які легітимовані суспільством  і зумовлені історично досягнутим культурним рівнем суспільства. </w:t>
      </w:r>
      <w:r>
        <w:rPr>
          <w:color w:val="231F20"/>
          <w:spacing w:val="-7"/>
        </w:rPr>
        <w:t xml:space="preserve">Усі </w:t>
      </w:r>
      <w:r>
        <w:rPr>
          <w:color w:val="231F20"/>
        </w:rPr>
        <w:t xml:space="preserve">ці елементи права </w:t>
      </w:r>
      <w:r>
        <w:rPr>
          <w:color w:val="231F20"/>
          <w:spacing w:val="-3"/>
        </w:rPr>
        <w:t xml:space="preserve">об’єднуються </w:t>
      </w:r>
      <w:r>
        <w:rPr>
          <w:color w:val="231F20"/>
        </w:rPr>
        <w:t>якіст</w:t>
      </w:r>
      <w:r>
        <w:rPr>
          <w:color w:val="231F20"/>
        </w:rPr>
        <w:t>ю, що відповідає ідеології справедливості,</w:t>
      </w:r>
      <w:r>
        <w:rPr>
          <w:color w:val="231F20"/>
          <w:spacing w:val="-10"/>
        </w:rPr>
        <w:t xml:space="preserve"> </w:t>
      </w:r>
      <w:r>
        <w:rPr>
          <w:color w:val="231F20"/>
        </w:rPr>
        <w:t>ідеї</w:t>
      </w:r>
      <w:r>
        <w:rPr>
          <w:color w:val="231F20"/>
          <w:spacing w:val="-10"/>
        </w:rPr>
        <w:t xml:space="preserve"> </w:t>
      </w:r>
      <w:r>
        <w:rPr>
          <w:color w:val="231F20"/>
        </w:rPr>
        <w:t>права,</w:t>
      </w:r>
      <w:r>
        <w:rPr>
          <w:color w:val="231F20"/>
          <w:spacing w:val="-10"/>
        </w:rPr>
        <w:t xml:space="preserve"> </w:t>
      </w:r>
      <w:r>
        <w:rPr>
          <w:color w:val="231F20"/>
        </w:rPr>
        <w:t>яка</w:t>
      </w:r>
      <w:r>
        <w:rPr>
          <w:color w:val="231F20"/>
          <w:spacing w:val="-10"/>
        </w:rPr>
        <w:t xml:space="preserve"> </w:t>
      </w:r>
      <w:r>
        <w:rPr>
          <w:color w:val="231F20"/>
        </w:rPr>
        <w:t>значною</w:t>
      </w:r>
      <w:r>
        <w:rPr>
          <w:color w:val="231F20"/>
          <w:spacing w:val="-10"/>
        </w:rPr>
        <w:t xml:space="preserve"> </w:t>
      </w:r>
      <w:r>
        <w:rPr>
          <w:color w:val="231F20"/>
        </w:rPr>
        <w:t>мірою</w:t>
      </w:r>
      <w:r>
        <w:rPr>
          <w:color w:val="231F20"/>
          <w:spacing w:val="-10"/>
        </w:rPr>
        <w:t xml:space="preserve"> </w:t>
      </w:r>
      <w:r>
        <w:rPr>
          <w:color w:val="231F20"/>
        </w:rPr>
        <w:t>дістала</w:t>
      </w:r>
      <w:r>
        <w:rPr>
          <w:color w:val="231F20"/>
          <w:spacing w:val="-10"/>
        </w:rPr>
        <w:t xml:space="preserve"> </w:t>
      </w:r>
      <w:r>
        <w:rPr>
          <w:color w:val="231F20"/>
        </w:rPr>
        <w:t>відображення в Конституції</w:t>
      </w:r>
      <w:r>
        <w:rPr>
          <w:color w:val="231F20"/>
          <w:spacing w:val="-2"/>
        </w:rPr>
        <w:t xml:space="preserve"> </w:t>
      </w:r>
      <w:r>
        <w:rPr>
          <w:color w:val="231F20"/>
          <w:spacing w:val="-3"/>
        </w:rPr>
        <w:t>України».</w:t>
      </w:r>
    </w:p>
    <w:p w14:paraId="38C57EAD" w14:textId="77777777" w:rsidR="00DE575E" w:rsidRDefault="002E7560">
      <w:pPr>
        <w:pStyle w:val="BodyText"/>
        <w:spacing w:before="8" w:line="252" w:lineRule="auto"/>
        <w:ind w:left="250" w:right="411" w:firstLine="283"/>
        <w:jc w:val="both"/>
      </w:pPr>
      <w:r>
        <w:rPr>
          <w:color w:val="231F20"/>
        </w:rPr>
        <w:t>Нині</w:t>
      </w:r>
      <w:r>
        <w:rPr>
          <w:color w:val="231F20"/>
          <w:spacing w:val="-15"/>
        </w:rPr>
        <w:t xml:space="preserve"> </w:t>
      </w:r>
      <w:r>
        <w:rPr>
          <w:color w:val="231F20"/>
        </w:rPr>
        <w:t>про</w:t>
      </w:r>
      <w:r>
        <w:rPr>
          <w:color w:val="231F20"/>
          <w:spacing w:val="-15"/>
        </w:rPr>
        <w:t xml:space="preserve"> </w:t>
      </w:r>
      <w:r>
        <w:rPr>
          <w:color w:val="231F20"/>
        </w:rPr>
        <w:t>норми</w:t>
      </w:r>
      <w:r>
        <w:rPr>
          <w:color w:val="231F20"/>
          <w:spacing w:val="-15"/>
        </w:rPr>
        <w:t xml:space="preserve"> </w:t>
      </w:r>
      <w:r>
        <w:rPr>
          <w:color w:val="231F20"/>
        </w:rPr>
        <w:t>моралі,</w:t>
      </w:r>
      <w:r>
        <w:rPr>
          <w:color w:val="231F20"/>
          <w:spacing w:val="-15"/>
        </w:rPr>
        <w:t xml:space="preserve"> </w:t>
      </w:r>
      <w:r>
        <w:rPr>
          <w:color w:val="231F20"/>
        </w:rPr>
        <w:t>традиції</w:t>
      </w:r>
      <w:r>
        <w:rPr>
          <w:color w:val="231F20"/>
          <w:spacing w:val="-15"/>
        </w:rPr>
        <w:t xml:space="preserve"> </w:t>
      </w:r>
      <w:r>
        <w:rPr>
          <w:color w:val="231F20"/>
        </w:rPr>
        <w:t>та</w:t>
      </w:r>
      <w:r>
        <w:rPr>
          <w:color w:val="231F20"/>
          <w:spacing w:val="-15"/>
        </w:rPr>
        <w:t xml:space="preserve"> </w:t>
      </w:r>
      <w:r>
        <w:rPr>
          <w:color w:val="231F20"/>
        </w:rPr>
        <w:t>звичаї</w:t>
      </w:r>
      <w:r>
        <w:rPr>
          <w:color w:val="231F20"/>
          <w:spacing w:val="-15"/>
        </w:rPr>
        <w:t xml:space="preserve"> </w:t>
      </w:r>
      <w:r>
        <w:rPr>
          <w:color w:val="231F20"/>
        </w:rPr>
        <w:t>як</w:t>
      </w:r>
      <w:r>
        <w:rPr>
          <w:color w:val="231F20"/>
          <w:spacing w:val="-15"/>
        </w:rPr>
        <w:t xml:space="preserve"> </w:t>
      </w:r>
      <w:r>
        <w:rPr>
          <w:color w:val="231F20"/>
        </w:rPr>
        <w:t>джерела</w:t>
      </w:r>
      <w:r>
        <w:rPr>
          <w:color w:val="231F20"/>
          <w:spacing w:val="-15"/>
        </w:rPr>
        <w:t xml:space="preserve"> </w:t>
      </w:r>
      <w:r>
        <w:rPr>
          <w:color w:val="231F20"/>
        </w:rPr>
        <w:t>права</w:t>
      </w:r>
      <w:r>
        <w:rPr>
          <w:color w:val="231F20"/>
          <w:spacing w:val="-15"/>
        </w:rPr>
        <w:t xml:space="preserve"> </w:t>
      </w:r>
      <w:r>
        <w:rPr>
          <w:color w:val="231F20"/>
        </w:rPr>
        <w:t xml:space="preserve">згаду- ється переважно в галузях приватного права. </w:t>
      </w:r>
      <w:r>
        <w:rPr>
          <w:color w:val="231F20"/>
          <w:spacing w:val="-4"/>
        </w:rPr>
        <w:t xml:space="preserve">Так, </w:t>
      </w:r>
      <w:r>
        <w:rPr>
          <w:color w:val="231F20"/>
        </w:rPr>
        <w:t xml:space="preserve">у </w:t>
      </w:r>
      <w:r>
        <w:rPr>
          <w:color w:val="231F20"/>
          <w:spacing w:val="-6"/>
        </w:rPr>
        <w:t xml:space="preserve">ст. </w:t>
      </w:r>
      <w:r>
        <w:rPr>
          <w:color w:val="231F20"/>
        </w:rPr>
        <w:t>7 Цивільного коде</w:t>
      </w:r>
      <w:r>
        <w:rPr>
          <w:color w:val="231F20"/>
        </w:rPr>
        <w:t xml:space="preserve">ксу </w:t>
      </w:r>
      <w:r>
        <w:rPr>
          <w:color w:val="231F20"/>
          <w:spacing w:val="-3"/>
        </w:rPr>
        <w:t>України</w:t>
      </w:r>
      <w:r>
        <w:rPr>
          <w:color w:val="231F20"/>
          <w:spacing w:val="-3"/>
          <w:position w:val="7"/>
          <w:sz w:val="12"/>
        </w:rPr>
        <w:t xml:space="preserve">2 </w:t>
      </w:r>
      <w:r>
        <w:rPr>
          <w:color w:val="231F20"/>
        </w:rPr>
        <w:t>встановлюється, що цивільні відносини можуть регулюватися звичаєм, зокрема звичаєм ділового</w:t>
      </w:r>
      <w:r>
        <w:rPr>
          <w:color w:val="231F20"/>
          <w:spacing w:val="-11"/>
        </w:rPr>
        <w:t xml:space="preserve"> </w:t>
      </w:r>
      <w:r>
        <w:rPr>
          <w:color w:val="231F20"/>
          <w:spacing w:val="-3"/>
        </w:rPr>
        <w:t>обігу.</w:t>
      </w:r>
    </w:p>
    <w:p w14:paraId="0B9985CC" w14:textId="77777777" w:rsidR="00DE575E" w:rsidRDefault="002E7560">
      <w:pPr>
        <w:pStyle w:val="BodyText"/>
        <w:spacing w:before="2" w:line="252" w:lineRule="auto"/>
        <w:ind w:left="250" w:right="411" w:firstLine="283"/>
        <w:jc w:val="both"/>
        <w:rPr>
          <w:i/>
        </w:rPr>
      </w:pPr>
      <w:r>
        <w:rPr>
          <w:b/>
          <w:i/>
          <w:color w:val="231F20"/>
        </w:rPr>
        <w:t xml:space="preserve">Звичай </w:t>
      </w:r>
      <w:r>
        <w:rPr>
          <w:color w:val="231F20"/>
        </w:rPr>
        <w:t>– це правило поведінки, яке не встановлене актами цивільного законодавства, проте є усталеним у певній сфері цивіль- них відносин</w:t>
      </w:r>
      <w:r>
        <w:rPr>
          <w:i/>
          <w:color w:val="231F20"/>
        </w:rPr>
        <w:t>.</w:t>
      </w:r>
    </w:p>
    <w:p w14:paraId="1BAE9983" w14:textId="77777777" w:rsidR="00DE575E" w:rsidRDefault="002E7560">
      <w:pPr>
        <w:pStyle w:val="BodyText"/>
        <w:spacing w:before="1" w:line="252" w:lineRule="auto"/>
        <w:ind w:left="250" w:right="410" w:firstLine="283"/>
        <w:jc w:val="both"/>
      </w:pPr>
      <w:r>
        <w:rPr>
          <w:color w:val="231F20"/>
        </w:rPr>
        <w:t xml:space="preserve">Норми адміністративного права можуть міститися в неформалі- зованих джерелах. За сучасного стану нормативного регулювання діяльності публічної адміністрації для неформалізованих джерел адміністративного права залишається доволі небагато місця, проте це не </w:t>
      </w:r>
      <w:r>
        <w:rPr>
          <w:color w:val="231F20"/>
        </w:rPr>
        <w:t>виключає можливості їх існування</w:t>
      </w:r>
      <w:r>
        <w:rPr>
          <w:color w:val="231F20"/>
          <w:position w:val="7"/>
          <w:sz w:val="12"/>
        </w:rPr>
        <w:t>3</w:t>
      </w:r>
      <w:r>
        <w:rPr>
          <w:color w:val="231F20"/>
        </w:rPr>
        <w:t>.</w:t>
      </w:r>
    </w:p>
    <w:p w14:paraId="1443E520" w14:textId="77777777" w:rsidR="00DE575E" w:rsidRDefault="00DE575E">
      <w:pPr>
        <w:pStyle w:val="BodyText"/>
        <w:rPr>
          <w:sz w:val="20"/>
        </w:rPr>
      </w:pPr>
    </w:p>
    <w:p w14:paraId="0BB9A863" w14:textId="04CC8FFF" w:rsidR="00DE575E" w:rsidRDefault="002E7560">
      <w:pPr>
        <w:pStyle w:val="BodyText"/>
        <w:spacing w:before="9"/>
        <w:rPr>
          <w:sz w:val="15"/>
        </w:rPr>
      </w:pPr>
      <w:r>
        <w:rPr>
          <w:noProof/>
        </w:rPr>
        <mc:AlternateContent>
          <mc:Choice Requires="wps">
            <w:drawing>
              <wp:anchor distT="0" distB="0" distL="0" distR="0" simplePos="0" relativeHeight="3760" behindDoc="0" locked="0" layoutInCell="1" allowOverlap="1" wp14:anchorId="7106F5D5" wp14:editId="4512FEFA">
                <wp:simplePos x="0" y="0"/>
                <wp:positionH relativeFrom="page">
                  <wp:posOffset>539750</wp:posOffset>
                </wp:positionH>
                <wp:positionV relativeFrom="paragraph">
                  <wp:posOffset>145415</wp:posOffset>
                </wp:positionV>
                <wp:extent cx="1080135" cy="0"/>
                <wp:effectExtent l="6350" t="18415" r="31115" b="19685"/>
                <wp:wrapTopAndBottom/>
                <wp:docPr id="1219"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632BD" id="Line_x0020_1218" o:spid="_x0000_s1026" style="position:absolute;z-index: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45pt" to="127.55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" strokecolor="#231f20" strokeweight=".5pt">
                <w10:wrap type="topAndBottom" anchorx="page"/>
              </v:line>
            </w:pict>
          </mc:Fallback>
        </mc:AlternateContent>
      </w:r>
    </w:p>
    <w:p w14:paraId="6C7D946F" w14:textId="77777777" w:rsidR="00DE575E" w:rsidRDefault="002E7560">
      <w:pPr>
        <w:spacing w:line="162" w:lineRule="exact"/>
        <w:ind w:left="250"/>
        <w:rPr>
          <w:sz w:val="16"/>
        </w:rPr>
      </w:pPr>
      <w:r>
        <w:rPr>
          <w:color w:val="231F20"/>
          <w:position w:val="5"/>
          <w:sz w:val="9"/>
        </w:rPr>
        <w:t xml:space="preserve">1 </w:t>
      </w:r>
      <w:r>
        <w:rPr>
          <w:color w:val="231F20"/>
          <w:sz w:val="16"/>
        </w:rPr>
        <w:t>Офіційний вісник України. 2004. № 45. Ст. 2975.</w:t>
      </w:r>
    </w:p>
    <w:p w14:paraId="28B4688D" w14:textId="77777777" w:rsidR="00DE575E" w:rsidRDefault="002E7560">
      <w:pPr>
        <w:ind w:left="250"/>
        <w:rPr>
          <w:sz w:val="16"/>
        </w:rPr>
      </w:pPr>
      <w:r>
        <w:rPr>
          <w:color w:val="231F20"/>
          <w:position w:val="5"/>
          <w:sz w:val="9"/>
        </w:rPr>
        <w:t xml:space="preserve">2 </w:t>
      </w:r>
      <w:r>
        <w:rPr>
          <w:color w:val="231F20"/>
          <w:sz w:val="16"/>
        </w:rPr>
        <w:t>Цивільний кодекс України: Закон від 16.01.2003 р. № 435.</w:t>
      </w:r>
    </w:p>
    <w:p w14:paraId="2C1BB760" w14:textId="77777777" w:rsidR="00DE575E" w:rsidRDefault="002E7560">
      <w:pPr>
        <w:spacing w:before="1"/>
        <w:ind w:left="250"/>
        <w:rPr>
          <w:sz w:val="16"/>
        </w:rPr>
      </w:pPr>
      <w:r>
        <w:rPr>
          <w:color w:val="231F20"/>
          <w:position w:val="5"/>
          <w:sz w:val="9"/>
        </w:rPr>
        <w:t xml:space="preserve">3 </w:t>
      </w:r>
      <w:r>
        <w:rPr>
          <w:color w:val="231F20"/>
          <w:sz w:val="16"/>
        </w:rPr>
        <w:t>Мельник Р. Зазнач. праця.</w:t>
      </w:r>
    </w:p>
    <w:p w14:paraId="3E56A2A9" w14:textId="77777777" w:rsidR="00DE575E" w:rsidRDefault="00DE575E">
      <w:pPr>
        <w:pStyle w:val="BodyText"/>
        <w:spacing w:before="11"/>
        <w:rPr>
          <w:sz w:val="11"/>
        </w:rPr>
      </w:pPr>
    </w:p>
    <w:p w14:paraId="1CAAFD7F" w14:textId="77777777" w:rsidR="00DE575E" w:rsidRDefault="002E7560">
      <w:pPr>
        <w:spacing w:before="92"/>
        <w:ind w:right="411"/>
        <w:jc w:val="right"/>
        <w:rPr>
          <w:rFonts w:ascii="Times New Roman"/>
          <w:sz w:val="20"/>
        </w:rPr>
      </w:pPr>
      <w:r>
        <w:rPr>
          <w:rFonts w:ascii="Times New Roman"/>
          <w:color w:val="231F20"/>
          <w:w w:val="90"/>
          <w:sz w:val="20"/>
        </w:rPr>
        <w:t>75</w:t>
      </w:r>
    </w:p>
    <w:p w14:paraId="66CBAB4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E76C13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CDE856A" w14:textId="6A6F920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311D38E" wp14:editId="26A3869A">
                <wp:extent cx="4140200" cy="6350"/>
                <wp:effectExtent l="0" t="0" r="12700" b="6350"/>
                <wp:docPr id="1217"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18" name="Line 12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B4800" id="Group_x0020_12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7VcICgAIAAJwFAAAO&#10;AAAAAAAAAAAAAAAAACwCAABkcnMvZTJvRG9jLnhtbFBLAQItABQABgAIAAAAIQBMp7CQ2QAAAAMB&#10;AAAPAAAAAAAAAAAAAAAAANgEAABkcnMvZG93bnJldi54bWxQSwUGAAAAAAQABADzAAAA3gUAAAAA&#10;">
                <v:line id="Line_x0020_12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26vccAAADdAAAADwAAAGRycy9kb3ducmV2LnhtbESPQWvCQBCF74X+h2UKXkrdqFAkdZVS&#10;EMSDWuMPGLPTJHR3NmZXk/bXO4dCbzO8N+99s1gN3qkbdbEJbGAyzkARl8E2XBk4FeuXOaiYkC26&#10;wGTghyKslo8PC8xt6PmTbsdUKQnhmKOBOqU21zqWNXmM49ASi/YVOo9J1q7StsNewr3T0yx71R4b&#10;loYaW/qoqfw+Xr2B4vKc3GG/dX2xP8/0+bKb/V53xoyehvc3UImG9G/+u95YwZ9OBFe+kRH08g4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7bq9xwAAAN0AAAAPAAAAAAAA&#10;AAAAAAAAAKECAABkcnMvZG93bnJldi54bWxQSwUGAAAAAAQABAD5AAAAlQMAAAAA&#10;" strokecolor="#231f20" strokeweight=".5pt"/>
                <w10:anchorlock/>
              </v:group>
            </w:pict>
          </mc:Fallback>
        </mc:AlternateContent>
      </w:r>
    </w:p>
    <w:p w14:paraId="1FB0FCB7" w14:textId="77777777" w:rsidR="00DE575E" w:rsidRDefault="00DE575E">
      <w:pPr>
        <w:pStyle w:val="BodyText"/>
        <w:spacing w:before="7"/>
        <w:rPr>
          <w:rFonts w:ascii="AdonisC"/>
          <w:i/>
          <w:sz w:val="11"/>
        </w:rPr>
      </w:pPr>
    </w:p>
    <w:p w14:paraId="63DBBDB6" w14:textId="77777777" w:rsidR="00DE575E" w:rsidRDefault="002E7560">
      <w:pPr>
        <w:pStyle w:val="BodyText"/>
        <w:spacing w:before="101" w:line="252" w:lineRule="auto"/>
        <w:ind w:left="533" w:right="128" w:firstLine="283"/>
        <w:jc w:val="both"/>
      </w:pPr>
      <w:r>
        <w:rPr>
          <w:color w:val="231F20"/>
        </w:rPr>
        <w:t>Для визнання норм моралі, традицій та звичаїв джерелами адмі- ністративного права необхідними є такі передумови:</w:t>
      </w:r>
    </w:p>
    <w:p w14:paraId="0009E908" w14:textId="77777777" w:rsidR="00DE575E" w:rsidRDefault="002E7560">
      <w:pPr>
        <w:pStyle w:val="ListParagraph"/>
        <w:numPr>
          <w:ilvl w:val="0"/>
          <w:numId w:val="281"/>
        </w:numPr>
        <w:tabs>
          <w:tab w:val="left" w:pos="1101"/>
        </w:tabs>
        <w:spacing w:line="252" w:lineRule="auto"/>
        <w:ind w:right="128" w:firstLine="284"/>
        <w:rPr>
          <w:sz w:val="21"/>
        </w:rPr>
      </w:pPr>
      <w:r>
        <w:rPr>
          <w:i/>
          <w:color w:val="231F20"/>
          <w:spacing w:val="-3"/>
          <w:sz w:val="21"/>
        </w:rPr>
        <w:t xml:space="preserve">об’єктивний </w:t>
      </w:r>
      <w:r>
        <w:rPr>
          <w:i/>
          <w:color w:val="231F20"/>
          <w:sz w:val="21"/>
        </w:rPr>
        <w:t xml:space="preserve">елемент </w:t>
      </w:r>
      <w:r>
        <w:rPr>
          <w:color w:val="231F20"/>
          <w:sz w:val="21"/>
        </w:rPr>
        <w:t>– їх тривала та загальна практика засто- сування;</w:t>
      </w:r>
    </w:p>
    <w:p w14:paraId="173D7954" w14:textId="77777777" w:rsidR="00DE575E" w:rsidRDefault="002E7560">
      <w:pPr>
        <w:pStyle w:val="ListParagraph"/>
        <w:numPr>
          <w:ilvl w:val="0"/>
          <w:numId w:val="281"/>
        </w:numPr>
        <w:tabs>
          <w:tab w:val="left" w:pos="1101"/>
        </w:tabs>
        <w:spacing w:line="252" w:lineRule="auto"/>
        <w:ind w:right="128" w:firstLine="284"/>
        <w:rPr>
          <w:sz w:val="21"/>
        </w:rPr>
      </w:pPr>
      <w:r>
        <w:rPr>
          <w:i/>
          <w:color w:val="231F20"/>
          <w:sz w:val="21"/>
        </w:rPr>
        <w:t xml:space="preserve">суб’єктивний елемент </w:t>
      </w:r>
      <w:r>
        <w:rPr>
          <w:color w:val="231F20"/>
          <w:sz w:val="21"/>
        </w:rPr>
        <w:t>– загальна пере</w:t>
      </w:r>
      <w:r>
        <w:rPr>
          <w:color w:val="231F20"/>
          <w:sz w:val="21"/>
        </w:rPr>
        <w:t xml:space="preserve">конаність у </w:t>
      </w:r>
      <w:r>
        <w:rPr>
          <w:color w:val="231F20"/>
          <w:spacing w:val="-4"/>
          <w:sz w:val="21"/>
        </w:rPr>
        <w:t xml:space="preserve">тому, </w:t>
      </w:r>
      <w:r>
        <w:rPr>
          <w:color w:val="231F20"/>
          <w:sz w:val="21"/>
        </w:rPr>
        <w:t>що їх застосування є</w:t>
      </w:r>
      <w:r>
        <w:rPr>
          <w:color w:val="231F20"/>
          <w:spacing w:val="-2"/>
          <w:sz w:val="21"/>
        </w:rPr>
        <w:t xml:space="preserve"> </w:t>
      </w:r>
      <w:r>
        <w:rPr>
          <w:color w:val="231F20"/>
          <w:sz w:val="21"/>
        </w:rPr>
        <w:t>правомірним;</w:t>
      </w:r>
    </w:p>
    <w:p w14:paraId="2C643F72" w14:textId="77777777" w:rsidR="00DE575E" w:rsidRDefault="002E7560">
      <w:pPr>
        <w:pStyle w:val="ListParagraph"/>
        <w:numPr>
          <w:ilvl w:val="0"/>
          <w:numId w:val="281"/>
        </w:numPr>
        <w:tabs>
          <w:tab w:val="left" w:pos="1101"/>
        </w:tabs>
        <w:spacing w:line="252" w:lineRule="auto"/>
        <w:ind w:right="128" w:firstLine="284"/>
        <w:rPr>
          <w:sz w:val="21"/>
        </w:rPr>
      </w:pPr>
      <w:r>
        <w:rPr>
          <w:i/>
          <w:color w:val="231F20"/>
          <w:sz w:val="21"/>
        </w:rPr>
        <w:t xml:space="preserve">змістовна  визначеність   </w:t>
      </w:r>
      <w:r>
        <w:rPr>
          <w:color w:val="231F20"/>
          <w:sz w:val="21"/>
        </w:rPr>
        <w:t>–   можливість   їх   формулювання   у вигляді юридичної</w:t>
      </w:r>
      <w:r>
        <w:rPr>
          <w:color w:val="231F20"/>
          <w:spacing w:val="-4"/>
          <w:sz w:val="21"/>
        </w:rPr>
        <w:t xml:space="preserve"> </w:t>
      </w:r>
      <w:r>
        <w:rPr>
          <w:color w:val="231F20"/>
          <w:sz w:val="21"/>
        </w:rPr>
        <w:t>норми</w:t>
      </w:r>
      <w:r>
        <w:rPr>
          <w:color w:val="231F20"/>
          <w:position w:val="7"/>
          <w:sz w:val="12"/>
        </w:rPr>
        <w:t>1</w:t>
      </w:r>
      <w:r>
        <w:rPr>
          <w:color w:val="231F20"/>
          <w:sz w:val="21"/>
        </w:rPr>
        <w:t>.</w:t>
      </w:r>
    </w:p>
    <w:p w14:paraId="1CE2B4D4" w14:textId="77777777" w:rsidR="00DE575E" w:rsidRDefault="002E7560">
      <w:pPr>
        <w:pStyle w:val="BodyText"/>
        <w:spacing w:before="1" w:line="252" w:lineRule="auto"/>
        <w:ind w:left="533" w:right="127" w:firstLine="283"/>
        <w:jc w:val="both"/>
      </w:pPr>
      <w:r>
        <w:rPr>
          <w:color w:val="231F20"/>
        </w:rPr>
        <w:t xml:space="preserve">До переліку неформалізованих джерел адміністративного права належить </w:t>
      </w:r>
      <w:r>
        <w:rPr>
          <w:b/>
          <w:i/>
          <w:color w:val="231F20"/>
        </w:rPr>
        <w:t xml:space="preserve">правова доктрина </w:t>
      </w:r>
      <w:r>
        <w:rPr>
          <w:color w:val="231F20"/>
        </w:rPr>
        <w:t>– система основоположних по</w:t>
      </w:r>
      <w:r>
        <w:rPr>
          <w:color w:val="231F20"/>
        </w:rPr>
        <w:t>глядів правознавців, що визначають стратегічні перспективи правового розвитку</w:t>
      </w:r>
      <w:r>
        <w:rPr>
          <w:color w:val="231F20"/>
          <w:spacing w:val="-8"/>
        </w:rPr>
        <w:t xml:space="preserve"> </w:t>
      </w:r>
      <w:r>
        <w:rPr>
          <w:color w:val="231F20"/>
        </w:rPr>
        <w:t>держави,</w:t>
      </w:r>
      <w:r>
        <w:rPr>
          <w:color w:val="231F20"/>
          <w:spacing w:val="-8"/>
        </w:rPr>
        <w:t xml:space="preserve"> </w:t>
      </w:r>
      <w:r>
        <w:rPr>
          <w:color w:val="231F20"/>
        </w:rPr>
        <w:t>науково</w:t>
      </w:r>
      <w:r>
        <w:rPr>
          <w:color w:val="231F20"/>
          <w:spacing w:val="-8"/>
        </w:rPr>
        <w:t xml:space="preserve"> </w:t>
      </w:r>
      <w:r>
        <w:rPr>
          <w:color w:val="231F20"/>
        </w:rPr>
        <w:t>обґрунтовують</w:t>
      </w:r>
      <w:r>
        <w:rPr>
          <w:color w:val="231F20"/>
          <w:spacing w:val="-8"/>
        </w:rPr>
        <w:t xml:space="preserve"> </w:t>
      </w:r>
      <w:r>
        <w:rPr>
          <w:color w:val="231F20"/>
        </w:rPr>
        <w:t>важливі</w:t>
      </w:r>
      <w:r>
        <w:rPr>
          <w:color w:val="231F20"/>
          <w:spacing w:val="-8"/>
        </w:rPr>
        <w:t xml:space="preserve"> </w:t>
      </w:r>
      <w:r>
        <w:rPr>
          <w:color w:val="231F20"/>
        </w:rPr>
        <w:t>проблеми</w:t>
      </w:r>
      <w:r>
        <w:rPr>
          <w:color w:val="231F20"/>
          <w:spacing w:val="-8"/>
        </w:rPr>
        <w:t xml:space="preserve"> </w:t>
      </w:r>
      <w:r>
        <w:rPr>
          <w:color w:val="231F20"/>
        </w:rPr>
        <w:t>права з метою більш ефективного їх вирішення, безпосередньо орієнту- ють</w:t>
      </w:r>
      <w:r>
        <w:rPr>
          <w:color w:val="231F20"/>
          <w:spacing w:val="-5"/>
        </w:rPr>
        <w:t xml:space="preserve"> </w:t>
      </w:r>
      <w:r>
        <w:rPr>
          <w:color w:val="231F20"/>
        </w:rPr>
        <w:t>на</w:t>
      </w:r>
      <w:r>
        <w:rPr>
          <w:color w:val="231F20"/>
          <w:spacing w:val="-5"/>
        </w:rPr>
        <w:t xml:space="preserve"> </w:t>
      </w:r>
      <w:r>
        <w:rPr>
          <w:color w:val="231F20"/>
        </w:rPr>
        <w:t>практичну</w:t>
      </w:r>
      <w:r>
        <w:rPr>
          <w:color w:val="231F20"/>
          <w:spacing w:val="-5"/>
        </w:rPr>
        <w:t xml:space="preserve"> </w:t>
      </w:r>
      <w:r>
        <w:rPr>
          <w:color w:val="231F20"/>
        </w:rPr>
        <w:t>дію</w:t>
      </w:r>
      <w:r>
        <w:rPr>
          <w:color w:val="231F20"/>
          <w:spacing w:val="-5"/>
        </w:rPr>
        <w:t xml:space="preserve"> </w:t>
      </w:r>
      <w:r>
        <w:rPr>
          <w:color w:val="231F20"/>
        </w:rPr>
        <w:t>та</w:t>
      </w:r>
      <w:r>
        <w:rPr>
          <w:color w:val="231F20"/>
          <w:spacing w:val="-5"/>
        </w:rPr>
        <w:t xml:space="preserve"> </w:t>
      </w:r>
      <w:r>
        <w:rPr>
          <w:color w:val="231F20"/>
        </w:rPr>
        <w:t>можуть</w:t>
      </w:r>
      <w:r>
        <w:rPr>
          <w:color w:val="231F20"/>
          <w:spacing w:val="-5"/>
        </w:rPr>
        <w:t xml:space="preserve"> </w:t>
      </w:r>
      <w:r>
        <w:rPr>
          <w:color w:val="231F20"/>
        </w:rPr>
        <w:t>поставати</w:t>
      </w:r>
      <w:r>
        <w:rPr>
          <w:color w:val="231F20"/>
          <w:spacing w:val="-5"/>
        </w:rPr>
        <w:t xml:space="preserve"> </w:t>
      </w:r>
      <w:r>
        <w:rPr>
          <w:color w:val="231F20"/>
        </w:rPr>
        <w:t>як</w:t>
      </w:r>
      <w:r>
        <w:rPr>
          <w:color w:val="231F20"/>
          <w:spacing w:val="-5"/>
        </w:rPr>
        <w:t xml:space="preserve"> </w:t>
      </w:r>
      <w:r>
        <w:rPr>
          <w:color w:val="231F20"/>
        </w:rPr>
        <w:t>регулятор</w:t>
      </w:r>
      <w:r>
        <w:rPr>
          <w:color w:val="231F20"/>
          <w:spacing w:val="-5"/>
        </w:rPr>
        <w:t xml:space="preserve"> </w:t>
      </w:r>
      <w:r>
        <w:rPr>
          <w:color w:val="231F20"/>
        </w:rPr>
        <w:t>суспільних відносин</w:t>
      </w:r>
      <w:r>
        <w:rPr>
          <w:color w:val="231F20"/>
          <w:position w:val="7"/>
          <w:sz w:val="12"/>
        </w:rPr>
        <w:t>2</w:t>
      </w:r>
      <w:r>
        <w:rPr>
          <w:color w:val="231F20"/>
        </w:rPr>
        <w:t>.</w:t>
      </w:r>
    </w:p>
    <w:p w14:paraId="403FE40F" w14:textId="77777777" w:rsidR="00DE575E" w:rsidRDefault="002E7560">
      <w:pPr>
        <w:pStyle w:val="BodyText"/>
        <w:spacing w:before="3" w:line="252" w:lineRule="auto"/>
        <w:ind w:left="533" w:right="127" w:firstLine="283"/>
        <w:jc w:val="both"/>
      </w:pPr>
      <w:r>
        <w:rPr>
          <w:color w:val="231F20"/>
        </w:rPr>
        <w:t>Визнання</w:t>
      </w:r>
      <w:r>
        <w:rPr>
          <w:color w:val="231F20"/>
          <w:spacing w:val="-11"/>
        </w:rPr>
        <w:t xml:space="preserve"> </w:t>
      </w:r>
      <w:r>
        <w:rPr>
          <w:color w:val="231F20"/>
        </w:rPr>
        <w:t>правової</w:t>
      </w:r>
      <w:r>
        <w:rPr>
          <w:color w:val="231F20"/>
          <w:spacing w:val="-11"/>
        </w:rPr>
        <w:t xml:space="preserve"> </w:t>
      </w:r>
      <w:r>
        <w:rPr>
          <w:color w:val="231F20"/>
        </w:rPr>
        <w:t>доктрини</w:t>
      </w:r>
      <w:r>
        <w:rPr>
          <w:color w:val="231F20"/>
          <w:spacing w:val="-11"/>
        </w:rPr>
        <w:t xml:space="preserve"> </w:t>
      </w:r>
      <w:r>
        <w:rPr>
          <w:color w:val="231F20"/>
        </w:rPr>
        <w:t>джерелом</w:t>
      </w:r>
      <w:r>
        <w:rPr>
          <w:color w:val="231F20"/>
          <w:spacing w:val="-11"/>
        </w:rPr>
        <w:t xml:space="preserve"> </w:t>
      </w:r>
      <w:r>
        <w:rPr>
          <w:color w:val="231F20"/>
        </w:rPr>
        <w:t>адміністративного</w:t>
      </w:r>
      <w:r>
        <w:rPr>
          <w:color w:val="231F20"/>
          <w:spacing w:val="-11"/>
        </w:rPr>
        <w:t xml:space="preserve"> </w:t>
      </w:r>
      <w:r>
        <w:rPr>
          <w:color w:val="231F20"/>
        </w:rPr>
        <w:t xml:space="preserve">права стало </w:t>
      </w:r>
      <w:r>
        <w:rPr>
          <w:color w:val="231F20"/>
          <w:spacing w:val="-3"/>
        </w:rPr>
        <w:t xml:space="preserve">об’єктивною </w:t>
      </w:r>
      <w:r>
        <w:rPr>
          <w:color w:val="231F20"/>
        </w:rPr>
        <w:t xml:space="preserve">потребою, зокрема після набуття чинності КАС </w:t>
      </w:r>
      <w:r>
        <w:rPr>
          <w:color w:val="231F20"/>
          <w:spacing w:val="-3"/>
        </w:rPr>
        <w:t xml:space="preserve">України, </w:t>
      </w:r>
      <w:r>
        <w:rPr>
          <w:color w:val="231F20"/>
        </w:rPr>
        <w:t>який містив чималу кількість абсолютно нових для вітчиз- няних</w:t>
      </w:r>
      <w:r>
        <w:rPr>
          <w:color w:val="231F20"/>
          <w:spacing w:val="-10"/>
        </w:rPr>
        <w:t xml:space="preserve"> </w:t>
      </w:r>
      <w:r>
        <w:rPr>
          <w:color w:val="231F20"/>
        </w:rPr>
        <w:t>правозастосовників</w:t>
      </w:r>
      <w:r>
        <w:rPr>
          <w:color w:val="231F20"/>
          <w:spacing w:val="-10"/>
        </w:rPr>
        <w:t xml:space="preserve"> </w:t>
      </w:r>
      <w:r>
        <w:rPr>
          <w:color w:val="231F20"/>
        </w:rPr>
        <w:t>категорій</w:t>
      </w:r>
      <w:r>
        <w:rPr>
          <w:color w:val="231F20"/>
          <w:spacing w:val="-10"/>
        </w:rPr>
        <w:t xml:space="preserve"> </w:t>
      </w:r>
      <w:r>
        <w:rPr>
          <w:color w:val="231F20"/>
        </w:rPr>
        <w:t>(адміністр</w:t>
      </w:r>
      <w:r>
        <w:rPr>
          <w:color w:val="231F20"/>
        </w:rPr>
        <w:t>ативна</w:t>
      </w:r>
      <w:r>
        <w:rPr>
          <w:color w:val="231F20"/>
          <w:spacing w:val="-10"/>
        </w:rPr>
        <w:t xml:space="preserve"> </w:t>
      </w:r>
      <w:r>
        <w:rPr>
          <w:color w:val="231F20"/>
        </w:rPr>
        <w:t>угода,</w:t>
      </w:r>
      <w:r>
        <w:rPr>
          <w:color w:val="231F20"/>
          <w:spacing w:val="-10"/>
        </w:rPr>
        <w:t xml:space="preserve"> </w:t>
      </w:r>
      <w:r>
        <w:rPr>
          <w:color w:val="231F20"/>
          <w:spacing w:val="-4"/>
        </w:rPr>
        <w:t xml:space="preserve">суб’єкт </w:t>
      </w:r>
      <w:r>
        <w:rPr>
          <w:color w:val="231F20"/>
        </w:rPr>
        <w:t xml:space="preserve">владних повноважень, публічна служба тощо), які потрібно </w:t>
      </w:r>
      <w:r>
        <w:rPr>
          <w:color w:val="231F20"/>
          <w:spacing w:val="-3"/>
        </w:rPr>
        <w:t xml:space="preserve">було </w:t>
      </w:r>
      <w:r>
        <w:rPr>
          <w:color w:val="231F20"/>
        </w:rPr>
        <w:t xml:space="preserve">б покладати в основу відповідних </w:t>
      </w:r>
      <w:r>
        <w:rPr>
          <w:color w:val="231F20"/>
          <w:spacing w:val="-3"/>
        </w:rPr>
        <w:t xml:space="preserve">судових </w:t>
      </w:r>
      <w:r>
        <w:rPr>
          <w:color w:val="231F20"/>
        </w:rPr>
        <w:t>та/або адміністративних рішень.</w:t>
      </w:r>
      <w:r>
        <w:rPr>
          <w:color w:val="231F20"/>
          <w:spacing w:val="-6"/>
        </w:rPr>
        <w:t xml:space="preserve"> </w:t>
      </w:r>
      <w:r>
        <w:rPr>
          <w:color w:val="231F20"/>
        </w:rPr>
        <w:t>За</w:t>
      </w:r>
      <w:r>
        <w:rPr>
          <w:color w:val="231F20"/>
          <w:spacing w:val="-5"/>
        </w:rPr>
        <w:t xml:space="preserve"> </w:t>
      </w:r>
      <w:r>
        <w:rPr>
          <w:color w:val="231F20"/>
        </w:rPr>
        <w:t>відсутності</w:t>
      </w:r>
      <w:r>
        <w:rPr>
          <w:color w:val="231F20"/>
          <w:spacing w:val="-6"/>
        </w:rPr>
        <w:t xml:space="preserve"> </w:t>
      </w:r>
      <w:r>
        <w:rPr>
          <w:color w:val="231F20"/>
        </w:rPr>
        <w:t>законодавчого</w:t>
      </w:r>
      <w:r>
        <w:rPr>
          <w:color w:val="231F20"/>
          <w:spacing w:val="-5"/>
        </w:rPr>
        <w:t xml:space="preserve"> </w:t>
      </w:r>
      <w:r>
        <w:rPr>
          <w:color w:val="231F20"/>
        </w:rPr>
        <w:t>тлумачення</w:t>
      </w:r>
      <w:r>
        <w:rPr>
          <w:color w:val="231F20"/>
          <w:spacing w:val="-6"/>
        </w:rPr>
        <w:t xml:space="preserve"> </w:t>
      </w:r>
      <w:r>
        <w:rPr>
          <w:color w:val="231F20"/>
        </w:rPr>
        <w:t>змісту</w:t>
      </w:r>
      <w:r>
        <w:rPr>
          <w:color w:val="231F20"/>
          <w:spacing w:val="-6"/>
        </w:rPr>
        <w:t xml:space="preserve"> </w:t>
      </w:r>
      <w:r>
        <w:rPr>
          <w:color w:val="231F20"/>
        </w:rPr>
        <w:t>цих</w:t>
      </w:r>
      <w:r>
        <w:rPr>
          <w:color w:val="231F20"/>
          <w:spacing w:val="-5"/>
        </w:rPr>
        <w:t xml:space="preserve"> </w:t>
      </w:r>
      <w:r>
        <w:rPr>
          <w:color w:val="231F20"/>
        </w:rPr>
        <w:t xml:space="preserve">понять </w:t>
      </w:r>
      <w:r>
        <w:rPr>
          <w:color w:val="231F20"/>
          <w:spacing w:val="-3"/>
        </w:rPr>
        <w:t xml:space="preserve">суб’єкти </w:t>
      </w:r>
      <w:r>
        <w:rPr>
          <w:color w:val="231F20"/>
        </w:rPr>
        <w:t xml:space="preserve">правозастосування користувалися </w:t>
      </w:r>
      <w:r>
        <w:rPr>
          <w:color w:val="231F20"/>
        </w:rPr>
        <w:t>правовою</w:t>
      </w:r>
      <w:r>
        <w:rPr>
          <w:color w:val="231F20"/>
          <w:spacing w:val="-9"/>
        </w:rPr>
        <w:t xml:space="preserve"> </w:t>
      </w:r>
      <w:r>
        <w:rPr>
          <w:color w:val="231F20"/>
        </w:rPr>
        <w:t>доктриною.</w:t>
      </w:r>
    </w:p>
    <w:p w14:paraId="6E1CF262" w14:textId="77777777" w:rsidR="00DE575E" w:rsidRDefault="002E7560">
      <w:pPr>
        <w:pStyle w:val="BodyText"/>
        <w:spacing w:before="4" w:line="252" w:lineRule="auto"/>
        <w:ind w:left="533" w:right="129" w:firstLine="283"/>
        <w:jc w:val="both"/>
      </w:pPr>
      <w:r>
        <w:rPr>
          <w:color w:val="231F20"/>
        </w:rPr>
        <w:t>Правова доктрина як джерело адміністративного права може застосовуватися в таких ситуаціях:</w:t>
      </w:r>
    </w:p>
    <w:p w14:paraId="678B78C2" w14:textId="77777777" w:rsidR="00DE575E" w:rsidRDefault="002E7560">
      <w:pPr>
        <w:pStyle w:val="ListParagraph"/>
        <w:numPr>
          <w:ilvl w:val="0"/>
          <w:numId w:val="280"/>
        </w:numPr>
        <w:tabs>
          <w:tab w:val="left" w:pos="1101"/>
        </w:tabs>
        <w:spacing w:line="252" w:lineRule="auto"/>
        <w:ind w:right="127" w:firstLine="284"/>
        <w:rPr>
          <w:sz w:val="21"/>
        </w:rPr>
      </w:pPr>
      <w:r>
        <w:rPr>
          <w:color w:val="231F20"/>
          <w:sz w:val="21"/>
        </w:rPr>
        <w:t>існування прогалин у позитивному праві, оскільки саме правові ідеї є фундаментом права, його основою і мають велике значення для процесу тлумаче</w:t>
      </w:r>
      <w:r>
        <w:rPr>
          <w:color w:val="231F20"/>
          <w:sz w:val="21"/>
        </w:rPr>
        <w:t>ння</w:t>
      </w:r>
      <w:r>
        <w:rPr>
          <w:color w:val="231F20"/>
          <w:spacing w:val="-3"/>
          <w:sz w:val="21"/>
        </w:rPr>
        <w:t xml:space="preserve"> </w:t>
      </w:r>
      <w:r>
        <w:rPr>
          <w:color w:val="231F20"/>
          <w:sz w:val="21"/>
        </w:rPr>
        <w:t>права;</w:t>
      </w:r>
    </w:p>
    <w:p w14:paraId="6CA49EB0" w14:textId="77777777" w:rsidR="00DE575E" w:rsidRDefault="002E7560">
      <w:pPr>
        <w:pStyle w:val="ListParagraph"/>
        <w:numPr>
          <w:ilvl w:val="0"/>
          <w:numId w:val="280"/>
        </w:numPr>
        <w:tabs>
          <w:tab w:val="left" w:pos="1101"/>
        </w:tabs>
        <w:spacing w:line="252" w:lineRule="auto"/>
        <w:ind w:right="127" w:firstLine="284"/>
        <w:rPr>
          <w:sz w:val="21"/>
        </w:rPr>
      </w:pPr>
      <w:r>
        <w:rPr>
          <w:color w:val="231F20"/>
          <w:sz w:val="21"/>
        </w:rPr>
        <w:t>розроблення проєктів нормативних актів та їх ухвалення (затвердження);</w:t>
      </w:r>
    </w:p>
    <w:p w14:paraId="0268BB94" w14:textId="77777777" w:rsidR="00DE575E" w:rsidRDefault="002E7560">
      <w:pPr>
        <w:pStyle w:val="ListParagraph"/>
        <w:numPr>
          <w:ilvl w:val="0"/>
          <w:numId w:val="280"/>
        </w:numPr>
        <w:tabs>
          <w:tab w:val="left" w:pos="1101"/>
        </w:tabs>
        <w:ind w:firstLine="284"/>
        <w:jc w:val="left"/>
        <w:rPr>
          <w:sz w:val="21"/>
        </w:rPr>
      </w:pPr>
      <w:r>
        <w:rPr>
          <w:color w:val="231F20"/>
          <w:sz w:val="21"/>
        </w:rPr>
        <w:t xml:space="preserve">ухвалення рішень Конституційним </w:t>
      </w:r>
      <w:r>
        <w:rPr>
          <w:color w:val="231F20"/>
          <w:spacing w:val="-4"/>
          <w:sz w:val="21"/>
        </w:rPr>
        <w:t>Судом</w:t>
      </w:r>
      <w:r>
        <w:rPr>
          <w:color w:val="231F20"/>
          <w:spacing w:val="-5"/>
          <w:sz w:val="21"/>
        </w:rPr>
        <w:t xml:space="preserve"> </w:t>
      </w:r>
      <w:r>
        <w:rPr>
          <w:color w:val="231F20"/>
          <w:spacing w:val="-3"/>
          <w:sz w:val="21"/>
        </w:rPr>
        <w:t>України;</w:t>
      </w:r>
    </w:p>
    <w:p w14:paraId="06F0D723" w14:textId="77777777" w:rsidR="00DE575E" w:rsidRDefault="002E7560">
      <w:pPr>
        <w:pStyle w:val="ListParagraph"/>
        <w:numPr>
          <w:ilvl w:val="0"/>
          <w:numId w:val="280"/>
        </w:numPr>
        <w:tabs>
          <w:tab w:val="left" w:pos="1101"/>
        </w:tabs>
        <w:spacing w:before="13" w:line="252" w:lineRule="auto"/>
        <w:ind w:right="128" w:firstLine="284"/>
        <w:rPr>
          <w:sz w:val="21"/>
        </w:rPr>
      </w:pPr>
      <w:r>
        <w:rPr>
          <w:color w:val="231F20"/>
          <w:sz w:val="21"/>
        </w:rPr>
        <w:t xml:space="preserve">обґрунтування </w:t>
      </w:r>
      <w:r>
        <w:rPr>
          <w:color w:val="231F20"/>
          <w:spacing w:val="-3"/>
          <w:sz w:val="21"/>
        </w:rPr>
        <w:t xml:space="preserve">судового </w:t>
      </w:r>
      <w:r>
        <w:rPr>
          <w:color w:val="231F20"/>
          <w:sz w:val="21"/>
        </w:rPr>
        <w:t>та/або адміністративного рішення (вживаючи формулювання «відповідно до панівної в науковій літе- ратурі</w:t>
      </w:r>
      <w:r>
        <w:rPr>
          <w:color w:val="231F20"/>
          <w:spacing w:val="-2"/>
          <w:sz w:val="21"/>
        </w:rPr>
        <w:t xml:space="preserve"> </w:t>
      </w:r>
      <w:r>
        <w:rPr>
          <w:color w:val="231F20"/>
          <w:sz w:val="21"/>
        </w:rPr>
        <w:t>думки»)</w:t>
      </w:r>
      <w:r>
        <w:rPr>
          <w:color w:val="231F20"/>
          <w:position w:val="7"/>
          <w:sz w:val="12"/>
        </w:rPr>
        <w:t>3</w:t>
      </w:r>
      <w:r>
        <w:rPr>
          <w:color w:val="231F20"/>
          <w:sz w:val="21"/>
        </w:rPr>
        <w:t>.</w:t>
      </w:r>
    </w:p>
    <w:p w14:paraId="607A204C" w14:textId="242AA570" w:rsidR="00DE575E" w:rsidRDefault="002E7560">
      <w:pPr>
        <w:pStyle w:val="BodyText"/>
        <w:spacing w:before="6"/>
        <w:rPr>
          <w:sz w:val="17"/>
        </w:rPr>
      </w:pPr>
      <w:r>
        <w:rPr>
          <w:noProof/>
        </w:rPr>
        <mc:AlternateContent>
          <mc:Choice Requires="wps">
            <w:drawing>
              <wp:anchor distT="0" distB="0" distL="0" distR="0" simplePos="0" relativeHeight="3808" behindDoc="0" locked="0" layoutInCell="1" allowOverlap="1" wp14:anchorId="36E10741" wp14:editId="5FED0D78">
                <wp:simplePos x="0" y="0"/>
                <wp:positionH relativeFrom="page">
                  <wp:posOffset>719455</wp:posOffset>
                </wp:positionH>
                <wp:positionV relativeFrom="paragraph">
                  <wp:posOffset>158750</wp:posOffset>
                </wp:positionV>
                <wp:extent cx="1080135" cy="0"/>
                <wp:effectExtent l="8255" t="19050" r="29210" b="19050"/>
                <wp:wrapTopAndBottom/>
                <wp:docPr id="1216"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3FB5A" id="Line_x0020_1215" o:spid="_x0000_s1026" style="position:absolute;z-index: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5pt" to="141.7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" strokecolor="#231f20" strokeweight=".5pt">
                <w10:wrap type="topAndBottom" anchorx="page"/>
              </v:line>
            </w:pict>
          </mc:Fallback>
        </mc:AlternateContent>
      </w:r>
    </w:p>
    <w:p w14:paraId="4835F87D" w14:textId="77777777" w:rsidR="00DE575E" w:rsidRDefault="002E7560">
      <w:pPr>
        <w:spacing w:line="204" w:lineRule="auto"/>
        <w:ind w:left="533"/>
        <w:rPr>
          <w:sz w:val="16"/>
        </w:rPr>
      </w:pPr>
      <w:r>
        <w:rPr>
          <w:color w:val="231F20"/>
          <w:position w:val="5"/>
          <w:sz w:val="9"/>
        </w:rPr>
        <w:t xml:space="preserve">1 </w:t>
      </w:r>
      <w:r>
        <w:rPr>
          <w:color w:val="231F20"/>
          <w:sz w:val="16"/>
        </w:rPr>
        <w:t>Мельник Р. С. Загальне адміністративне право в питаннях і відповідях : навчальний посібник. Київ: Юрінком Інтер, 2018. 308 с.</w:t>
      </w:r>
    </w:p>
    <w:p w14:paraId="598AABC0" w14:textId="77777777" w:rsidR="00DE575E" w:rsidRDefault="002E7560">
      <w:pPr>
        <w:spacing w:before="26" w:line="204" w:lineRule="auto"/>
        <w:ind w:left="533" w:right="128"/>
        <w:rPr>
          <w:sz w:val="16"/>
        </w:rPr>
      </w:pPr>
      <w:r>
        <w:rPr>
          <w:color w:val="231F20"/>
          <w:position w:val="5"/>
          <w:sz w:val="9"/>
        </w:rPr>
        <w:t xml:space="preserve">2 </w:t>
      </w:r>
      <w:r>
        <w:rPr>
          <w:color w:val="231F20"/>
          <w:sz w:val="16"/>
        </w:rPr>
        <w:t>Кармаліта М. Правова доктрина джерело (форма) права: дис… канд. юрид. наук: Київ, 2011. С. 182.</w:t>
      </w:r>
    </w:p>
    <w:p w14:paraId="37EBC482" w14:textId="77777777" w:rsidR="00DE575E" w:rsidRDefault="002E7560">
      <w:pPr>
        <w:spacing w:before="29" w:line="204" w:lineRule="auto"/>
        <w:ind w:left="533"/>
        <w:rPr>
          <w:sz w:val="16"/>
        </w:rPr>
      </w:pPr>
      <w:r>
        <w:rPr>
          <w:color w:val="231F20"/>
          <w:position w:val="5"/>
          <w:sz w:val="9"/>
        </w:rPr>
        <w:t xml:space="preserve">3 </w:t>
      </w:r>
      <w:r>
        <w:rPr>
          <w:color w:val="231F20"/>
          <w:sz w:val="16"/>
        </w:rPr>
        <w:t>Мельник Р.С. Заг</w:t>
      </w:r>
      <w:r>
        <w:rPr>
          <w:color w:val="231F20"/>
          <w:sz w:val="16"/>
        </w:rPr>
        <w:t>альне адміністративне право в питаннях і відповідях : навчальний посібник. Київ: Юрінком Інтер, 2018. 308 с.</w:t>
      </w:r>
    </w:p>
    <w:p w14:paraId="6ADE8E4F" w14:textId="77777777" w:rsidR="00DE575E" w:rsidRDefault="00DE575E">
      <w:pPr>
        <w:pStyle w:val="BodyText"/>
        <w:spacing w:before="5"/>
        <w:rPr>
          <w:sz w:val="12"/>
        </w:rPr>
      </w:pPr>
    </w:p>
    <w:p w14:paraId="770659CB" w14:textId="77777777" w:rsidR="00DE575E" w:rsidRDefault="002E7560">
      <w:pPr>
        <w:spacing w:before="92"/>
        <w:ind w:left="533"/>
        <w:rPr>
          <w:rFonts w:ascii="Times New Roman"/>
          <w:sz w:val="20"/>
        </w:rPr>
      </w:pPr>
      <w:r>
        <w:rPr>
          <w:rFonts w:ascii="Times New Roman"/>
          <w:color w:val="231F20"/>
          <w:sz w:val="20"/>
        </w:rPr>
        <w:t>76</w:t>
      </w:r>
    </w:p>
    <w:p w14:paraId="49AFAC91" w14:textId="77777777" w:rsidR="00DE575E" w:rsidRDefault="00DE575E">
      <w:pPr>
        <w:rPr>
          <w:rFonts w:ascii="Times New Roman"/>
          <w:sz w:val="20"/>
        </w:rPr>
        <w:sectPr w:rsidR="00DE575E">
          <w:pgSz w:w="8510" w:h="12760"/>
          <w:pgMar w:top="660" w:right="720" w:bottom="280" w:left="600" w:header="720" w:footer="720" w:gutter="0"/>
          <w:cols w:space="720"/>
        </w:sectPr>
      </w:pPr>
    </w:p>
    <w:p w14:paraId="737C1F33"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Глава І. Загальне адміністративне право Розділ 3. Джерела адміністративного права</w:t>
      </w:r>
    </w:p>
    <w:p w14:paraId="7BC5D046" w14:textId="08E108B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1E008AD" wp14:editId="22433F53">
                <wp:extent cx="4140200" cy="6350"/>
                <wp:effectExtent l="0" t="0" r="12700" b="6350"/>
                <wp:docPr id="1214"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15" name="Line 12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5EEAF1" id="Group_x0020_12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UG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HHVBh/AgAAnAUAAA4A&#10;AAAAAAAAAAAAAAAALAIAAGRycy9lMm9Eb2MueG1sUEsBAi0AFAAGAAgAAAAhAEynsJDZAAAAAwEA&#10;AA8AAAAAAAAAAAAAAAAA1wQAAGRycy9kb3ducmV2LnhtbFBLBQYAAAAABAAEAPMAAADdBQAAAAA=&#10;">
                <v:line id="Line_x0020_12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wVI8QAAADdAAAADwAAAGRycy9kb3ducmV2LnhtbERP22rCQBB9F/oPyxR8kbpRUUrqKiIU&#10;ig/e0g8Ys9MkdHc2ZleT9utdQfBtDuc682VnjbhS4yvHCkbDBARx7nTFhYLv7PPtHYQPyBqNY1Lw&#10;Rx6Wi5feHFPtWj7Q9RgKEUPYp6igDKFOpfR5SRb90NXEkftxjcUQYVNI3WAbw62R4ySZSYsVx4YS&#10;a1qXlP8eL1ZBdh4Es99tTJvtThN5Om8n/5etUv3XbvUBIlAXnuKH+0vH+ePRFO7fxBP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7BUjxAAAAN0AAAAPAAAAAAAAAAAA&#10;AAAAAKECAABkcnMvZG93bnJldi54bWxQSwUGAAAAAAQABAD5AAAAkgMAAAAA&#10;" strokecolor="#231f20" strokeweight=".5pt"/>
                <w10:anchorlock/>
              </v:group>
            </w:pict>
          </mc:Fallback>
        </mc:AlternateContent>
      </w:r>
    </w:p>
    <w:p w14:paraId="6ED40B3B" w14:textId="77777777" w:rsidR="00DE575E" w:rsidRDefault="00DE575E">
      <w:pPr>
        <w:pStyle w:val="BodyText"/>
        <w:spacing w:before="6"/>
        <w:rPr>
          <w:rFonts w:ascii="AdonisC"/>
          <w:i/>
          <w:sz w:val="19"/>
        </w:rPr>
      </w:pPr>
    </w:p>
    <w:p w14:paraId="57BFD5BC" w14:textId="77777777" w:rsidR="00DE575E" w:rsidRDefault="002E7560">
      <w:pPr>
        <w:pStyle w:val="Heading4"/>
        <w:numPr>
          <w:ilvl w:val="1"/>
          <w:numId w:val="284"/>
        </w:numPr>
        <w:tabs>
          <w:tab w:val="left" w:pos="1548"/>
        </w:tabs>
        <w:ind w:right="1296" w:hanging="1034"/>
        <w:jc w:val="left"/>
      </w:pPr>
      <w:r>
        <w:rPr>
          <w:color w:val="231F20"/>
        </w:rPr>
        <w:t>Юридична сила формалізованих джерел адміністративного</w:t>
      </w:r>
      <w:r>
        <w:rPr>
          <w:color w:val="231F20"/>
          <w:spacing w:val="-2"/>
        </w:rPr>
        <w:t xml:space="preserve"> </w:t>
      </w:r>
      <w:r>
        <w:rPr>
          <w:color w:val="231F20"/>
        </w:rPr>
        <w:t>права</w:t>
      </w:r>
    </w:p>
    <w:p w14:paraId="75777E83" w14:textId="77777777" w:rsidR="00DE575E" w:rsidRDefault="00DE575E">
      <w:pPr>
        <w:pStyle w:val="BodyText"/>
        <w:rPr>
          <w:b/>
          <w:sz w:val="26"/>
        </w:rPr>
      </w:pPr>
    </w:p>
    <w:p w14:paraId="043D530A" w14:textId="77777777" w:rsidR="00DE575E" w:rsidRDefault="002E7560">
      <w:pPr>
        <w:pStyle w:val="BodyText"/>
        <w:spacing w:before="224" w:line="252" w:lineRule="auto"/>
        <w:ind w:left="250" w:right="411" w:firstLine="283"/>
        <w:jc w:val="both"/>
      </w:pPr>
      <w:r>
        <w:rPr>
          <w:color w:val="231F20"/>
        </w:rPr>
        <w:t>Джерела (норми) адміністративного права, зафіксовані у форма- лізованому джерелі, перебувають між собою в певній супідрядно- сті, що зумовлюється їх юридичною силою. Рівень юридичної сили джерела</w:t>
      </w:r>
      <w:r>
        <w:rPr>
          <w:color w:val="231F20"/>
          <w:spacing w:val="-6"/>
        </w:rPr>
        <w:t xml:space="preserve"> </w:t>
      </w:r>
      <w:r>
        <w:rPr>
          <w:color w:val="231F20"/>
        </w:rPr>
        <w:t>(норми)</w:t>
      </w:r>
      <w:r>
        <w:rPr>
          <w:color w:val="231F20"/>
          <w:spacing w:val="-6"/>
        </w:rPr>
        <w:t xml:space="preserve"> </w:t>
      </w:r>
      <w:r>
        <w:rPr>
          <w:color w:val="231F20"/>
        </w:rPr>
        <w:t>адміністративного</w:t>
      </w:r>
      <w:r>
        <w:rPr>
          <w:color w:val="231F20"/>
          <w:spacing w:val="-6"/>
        </w:rPr>
        <w:t xml:space="preserve"> </w:t>
      </w:r>
      <w:r>
        <w:rPr>
          <w:color w:val="231F20"/>
        </w:rPr>
        <w:t>права</w:t>
      </w:r>
      <w:r>
        <w:rPr>
          <w:color w:val="231F20"/>
          <w:spacing w:val="-6"/>
        </w:rPr>
        <w:t xml:space="preserve"> </w:t>
      </w:r>
      <w:r>
        <w:rPr>
          <w:color w:val="231F20"/>
        </w:rPr>
        <w:t>залежить</w:t>
      </w:r>
      <w:r>
        <w:rPr>
          <w:color w:val="231F20"/>
          <w:spacing w:val="-6"/>
        </w:rPr>
        <w:t xml:space="preserve"> </w:t>
      </w:r>
      <w:r>
        <w:rPr>
          <w:color w:val="231F20"/>
        </w:rPr>
        <w:t>насамперед</w:t>
      </w:r>
      <w:r>
        <w:rPr>
          <w:color w:val="231F20"/>
          <w:spacing w:val="-6"/>
        </w:rPr>
        <w:t xml:space="preserve"> </w:t>
      </w:r>
      <w:r>
        <w:rPr>
          <w:color w:val="231F20"/>
        </w:rPr>
        <w:t>від прав</w:t>
      </w:r>
      <w:r>
        <w:rPr>
          <w:color w:val="231F20"/>
        </w:rPr>
        <w:t xml:space="preserve">ового статусу </w:t>
      </w:r>
      <w:r>
        <w:rPr>
          <w:color w:val="231F20"/>
          <w:spacing w:val="-3"/>
        </w:rPr>
        <w:t xml:space="preserve">суб’єкта </w:t>
      </w:r>
      <w:r>
        <w:rPr>
          <w:color w:val="231F20"/>
        </w:rPr>
        <w:t>його</w:t>
      </w:r>
      <w:r>
        <w:rPr>
          <w:color w:val="231F20"/>
          <w:spacing w:val="-1"/>
        </w:rPr>
        <w:t xml:space="preserve"> </w:t>
      </w:r>
      <w:r>
        <w:rPr>
          <w:color w:val="231F20"/>
        </w:rPr>
        <w:t>видання.</w:t>
      </w:r>
    </w:p>
    <w:p w14:paraId="3FA76C64" w14:textId="77777777" w:rsidR="00DE575E" w:rsidRDefault="002E7560">
      <w:pPr>
        <w:spacing w:before="2" w:line="252" w:lineRule="auto"/>
        <w:ind w:left="250" w:right="411" w:firstLine="283"/>
        <w:jc w:val="both"/>
        <w:rPr>
          <w:sz w:val="21"/>
        </w:rPr>
      </w:pPr>
      <w:r>
        <w:rPr>
          <w:color w:val="231F20"/>
          <w:sz w:val="21"/>
        </w:rPr>
        <w:t xml:space="preserve">Джерела адміністративного права утворюють </w:t>
      </w:r>
      <w:r>
        <w:rPr>
          <w:i/>
          <w:color w:val="231F20"/>
          <w:sz w:val="21"/>
        </w:rPr>
        <w:t>«ієрархічну піра- міду»</w:t>
      </w:r>
      <w:r>
        <w:rPr>
          <w:color w:val="231F20"/>
          <w:sz w:val="21"/>
        </w:rPr>
        <w:t>, що має такий вигляд</w:t>
      </w:r>
      <w:r>
        <w:rPr>
          <w:color w:val="231F20"/>
          <w:position w:val="7"/>
          <w:sz w:val="12"/>
        </w:rPr>
        <w:t>1</w:t>
      </w:r>
      <w:r>
        <w:rPr>
          <w:color w:val="231F20"/>
          <w:sz w:val="21"/>
        </w:rPr>
        <w:t>:</w:t>
      </w:r>
    </w:p>
    <w:p w14:paraId="14F6164B" w14:textId="77777777" w:rsidR="00DE575E" w:rsidRDefault="00DE575E">
      <w:pPr>
        <w:pStyle w:val="BodyText"/>
        <w:spacing w:before="11"/>
        <w:rPr>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5"/>
        <w:gridCol w:w="3255"/>
      </w:tblGrid>
      <w:tr w:rsidR="00DE575E" w14:paraId="1B111493" w14:textId="77777777">
        <w:trPr>
          <w:trHeight w:val="4338"/>
        </w:trPr>
        <w:tc>
          <w:tcPr>
            <w:tcW w:w="3255" w:type="dxa"/>
          </w:tcPr>
          <w:p w14:paraId="3FC1E62E" w14:textId="77777777" w:rsidR="00DE575E" w:rsidRDefault="002E7560">
            <w:pPr>
              <w:pStyle w:val="TableParagraph"/>
              <w:spacing w:before="17"/>
              <w:rPr>
                <w:sz w:val="20"/>
              </w:rPr>
            </w:pPr>
            <w:r>
              <w:rPr>
                <w:b/>
                <w:color w:val="231F20"/>
                <w:sz w:val="20"/>
              </w:rPr>
              <w:t>Державний рівень</w:t>
            </w:r>
            <w:r>
              <w:rPr>
                <w:color w:val="231F20"/>
                <w:sz w:val="20"/>
              </w:rPr>
              <w:t>:</w:t>
            </w:r>
          </w:p>
          <w:p w14:paraId="0CA84FA0" w14:textId="77777777" w:rsidR="00DE575E" w:rsidRDefault="002E7560">
            <w:pPr>
              <w:pStyle w:val="TableParagraph"/>
              <w:numPr>
                <w:ilvl w:val="0"/>
                <w:numId w:val="279"/>
              </w:numPr>
              <w:tabs>
                <w:tab w:val="left" w:pos="317"/>
              </w:tabs>
              <w:spacing w:before="5"/>
              <w:ind w:firstLine="0"/>
              <w:rPr>
                <w:sz w:val="20"/>
              </w:rPr>
            </w:pPr>
            <w:r>
              <w:rPr>
                <w:color w:val="231F20"/>
                <w:sz w:val="20"/>
              </w:rPr>
              <w:t>Конституція</w:t>
            </w:r>
            <w:r>
              <w:rPr>
                <w:color w:val="231F20"/>
                <w:spacing w:val="-1"/>
                <w:sz w:val="20"/>
              </w:rPr>
              <w:t xml:space="preserve"> </w:t>
            </w:r>
            <w:r>
              <w:rPr>
                <w:color w:val="231F20"/>
                <w:spacing w:val="-3"/>
                <w:sz w:val="20"/>
              </w:rPr>
              <w:t>України;</w:t>
            </w:r>
          </w:p>
          <w:p w14:paraId="30036998" w14:textId="77777777" w:rsidR="00DE575E" w:rsidRDefault="002E7560">
            <w:pPr>
              <w:pStyle w:val="TableParagraph"/>
              <w:numPr>
                <w:ilvl w:val="0"/>
                <w:numId w:val="279"/>
              </w:numPr>
              <w:tabs>
                <w:tab w:val="left" w:pos="317"/>
              </w:tabs>
              <w:spacing w:before="6"/>
              <w:ind w:firstLine="0"/>
              <w:rPr>
                <w:sz w:val="20"/>
              </w:rPr>
            </w:pPr>
            <w:r>
              <w:rPr>
                <w:color w:val="231F20"/>
                <w:sz w:val="20"/>
              </w:rPr>
              <w:t>міжнародні договори</w:t>
            </w:r>
            <w:r>
              <w:rPr>
                <w:color w:val="231F20"/>
                <w:spacing w:val="-2"/>
                <w:sz w:val="20"/>
              </w:rPr>
              <w:t xml:space="preserve"> </w:t>
            </w:r>
            <w:r>
              <w:rPr>
                <w:color w:val="231F20"/>
                <w:spacing w:val="-3"/>
                <w:sz w:val="20"/>
              </w:rPr>
              <w:t>України;</w:t>
            </w:r>
          </w:p>
          <w:p w14:paraId="0DF6B61A" w14:textId="77777777" w:rsidR="00DE575E" w:rsidRDefault="002E7560">
            <w:pPr>
              <w:pStyle w:val="TableParagraph"/>
              <w:numPr>
                <w:ilvl w:val="0"/>
                <w:numId w:val="279"/>
              </w:numPr>
              <w:tabs>
                <w:tab w:val="left" w:pos="317"/>
              </w:tabs>
              <w:spacing w:before="6"/>
              <w:ind w:firstLine="0"/>
              <w:rPr>
                <w:sz w:val="20"/>
              </w:rPr>
            </w:pPr>
            <w:r>
              <w:rPr>
                <w:color w:val="231F20"/>
                <w:sz w:val="20"/>
              </w:rPr>
              <w:t xml:space="preserve">закони </w:t>
            </w:r>
            <w:r>
              <w:rPr>
                <w:color w:val="231F20"/>
                <w:spacing w:val="-3"/>
                <w:sz w:val="20"/>
              </w:rPr>
              <w:t>України;</w:t>
            </w:r>
          </w:p>
          <w:p w14:paraId="4CB4BAAB" w14:textId="77777777" w:rsidR="00DE575E" w:rsidRDefault="002E7560">
            <w:pPr>
              <w:pStyle w:val="TableParagraph"/>
              <w:numPr>
                <w:ilvl w:val="0"/>
                <w:numId w:val="279"/>
              </w:numPr>
              <w:tabs>
                <w:tab w:val="left" w:pos="317"/>
              </w:tabs>
              <w:spacing w:before="5"/>
              <w:ind w:firstLine="0"/>
              <w:rPr>
                <w:sz w:val="20"/>
              </w:rPr>
            </w:pPr>
            <w:r>
              <w:rPr>
                <w:color w:val="231F20"/>
                <w:sz w:val="20"/>
              </w:rPr>
              <w:t>акти Президента</w:t>
            </w:r>
            <w:r>
              <w:rPr>
                <w:color w:val="231F20"/>
                <w:spacing w:val="-3"/>
                <w:sz w:val="20"/>
              </w:rPr>
              <w:t xml:space="preserve"> України;</w:t>
            </w:r>
          </w:p>
          <w:p w14:paraId="4C6A06F1" w14:textId="77777777" w:rsidR="00DE575E" w:rsidRDefault="002E7560">
            <w:pPr>
              <w:pStyle w:val="TableParagraph"/>
              <w:numPr>
                <w:ilvl w:val="0"/>
                <w:numId w:val="279"/>
              </w:numPr>
              <w:tabs>
                <w:tab w:val="left" w:pos="317"/>
                <w:tab w:val="left" w:pos="1136"/>
                <w:tab w:val="left" w:pos="2343"/>
              </w:tabs>
              <w:spacing w:before="6" w:line="244" w:lineRule="auto"/>
              <w:ind w:right="46" w:firstLine="0"/>
              <w:rPr>
                <w:sz w:val="20"/>
              </w:rPr>
            </w:pPr>
            <w:r>
              <w:rPr>
                <w:color w:val="231F20"/>
                <w:sz w:val="20"/>
              </w:rPr>
              <w:t>акти</w:t>
            </w:r>
            <w:r>
              <w:rPr>
                <w:color w:val="231F20"/>
                <w:sz w:val="20"/>
              </w:rPr>
              <w:tab/>
              <w:t>Кабінету</w:t>
            </w:r>
            <w:r>
              <w:rPr>
                <w:color w:val="231F20"/>
                <w:sz w:val="20"/>
              </w:rPr>
              <w:tab/>
            </w:r>
            <w:r>
              <w:rPr>
                <w:color w:val="231F20"/>
                <w:spacing w:val="-1"/>
                <w:sz w:val="20"/>
              </w:rPr>
              <w:t xml:space="preserve">Міністрів </w:t>
            </w:r>
            <w:r>
              <w:rPr>
                <w:color w:val="231F20"/>
                <w:spacing w:val="-3"/>
                <w:sz w:val="20"/>
              </w:rPr>
              <w:t>України;</w:t>
            </w:r>
          </w:p>
          <w:p w14:paraId="1A9916B5" w14:textId="77777777" w:rsidR="00DE575E" w:rsidRDefault="002E7560">
            <w:pPr>
              <w:pStyle w:val="TableParagraph"/>
              <w:numPr>
                <w:ilvl w:val="0"/>
                <w:numId w:val="279"/>
              </w:numPr>
              <w:tabs>
                <w:tab w:val="left" w:pos="317"/>
                <w:tab w:val="left" w:pos="1034"/>
                <w:tab w:val="left" w:pos="2514"/>
              </w:tabs>
              <w:spacing w:before="1" w:line="244" w:lineRule="auto"/>
              <w:ind w:right="46" w:firstLine="0"/>
              <w:rPr>
                <w:sz w:val="20"/>
              </w:rPr>
            </w:pPr>
            <w:r>
              <w:rPr>
                <w:color w:val="231F20"/>
                <w:sz w:val="20"/>
              </w:rPr>
              <w:t>акти</w:t>
            </w:r>
            <w:r>
              <w:rPr>
                <w:color w:val="231F20"/>
                <w:sz w:val="20"/>
              </w:rPr>
              <w:tab/>
              <w:t>центральних</w:t>
            </w:r>
            <w:r>
              <w:rPr>
                <w:color w:val="231F20"/>
                <w:sz w:val="20"/>
              </w:rPr>
              <w:tab/>
              <w:t>органів виконавчої</w:t>
            </w:r>
            <w:r>
              <w:rPr>
                <w:color w:val="231F20"/>
                <w:spacing w:val="-1"/>
                <w:sz w:val="20"/>
              </w:rPr>
              <w:t xml:space="preserve"> </w:t>
            </w:r>
            <w:r>
              <w:rPr>
                <w:color w:val="231F20"/>
                <w:sz w:val="20"/>
              </w:rPr>
              <w:t>влади;</w:t>
            </w:r>
          </w:p>
          <w:p w14:paraId="7E08D858" w14:textId="77777777" w:rsidR="00DE575E" w:rsidRDefault="002E7560">
            <w:pPr>
              <w:pStyle w:val="TableParagraph"/>
              <w:numPr>
                <w:ilvl w:val="0"/>
                <w:numId w:val="279"/>
              </w:numPr>
              <w:tabs>
                <w:tab w:val="left" w:pos="317"/>
              </w:tabs>
              <w:spacing w:before="2" w:line="244" w:lineRule="auto"/>
              <w:ind w:right="44" w:firstLine="0"/>
              <w:rPr>
                <w:sz w:val="20"/>
              </w:rPr>
            </w:pPr>
            <w:r>
              <w:rPr>
                <w:color w:val="231F20"/>
                <w:sz w:val="20"/>
              </w:rPr>
              <w:t>акти інших загальнодержавних органів</w:t>
            </w:r>
          </w:p>
          <w:p w14:paraId="3460A9D2" w14:textId="77777777" w:rsidR="00DE575E" w:rsidRDefault="002E7560">
            <w:pPr>
              <w:pStyle w:val="TableParagraph"/>
              <w:spacing w:before="2"/>
              <w:rPr>
                <w:sz w:val="20"/>
              </w:rPr>
            </w:pPr>
            <w:r>
              <w:rPr>
                <w:color w:val="231F20"/>
                <w:sz w:val="20"/>
              </w:rPr>
              <w:t>влади;</w:t>
            </w:r>
          </w:p>
          <w:p w14:paraId="7B5FAEE2" w14:textId="77777777" w:rsidR="00DE575E" w:rsidRDefault="002E7560">
            <w:pPr>
              <w:pStyle w:val="TableParagraph"/>
              <w:numPr>
                <w:ilvl w:val="0"/>
                <w:numId w:val="279"/>
              </w:numPr>
              <w:tabs>
                <w:tab w:val="left" w:pos="317"/>
                <w:tab w:val="left" w:pos="1090"/>
                <w:tab w:val="left" w:pos="2121"/>
              </w:tabs>
              <w:spacing w:before="5" w:line="244" w:lineRule="auto"/>
              <w:ind w:right="44" w:firstLine="0"/>
              <w:rPr>
                <w:sz w:val="20"/>
              </w:rPr>
            </w:pPr>
            <w:r>
              <w:rPr>
                <w:color w:val="231F20"/>
                <w:sz w:val="20"/>
              </w:rPr>
              <w:t>акти</w:t>
            </w:r>
            <w:r>
              <w:rPr>
                <w:color w:val="231F20"/>
                <w:sz w:val="20"/>
              </w:rPr>
              <w:tab/>
              <w:t>органів</w:t>
            </w:r>
            <w:r>
              <w:rPr>
                <w:color w:val="231F20"/>
                <w:sz w:val="20"/>
              </w:rPr>
              <w:tab/>
              <w:t>Автономної Республіки</w:t>
            </w:r>
            <w:r>
              <w:rPr>
                <w:color w:val="231F20"/>
                <w:spacing w:val="-1"/>
                <w:sz w:val="20"/>
              </w:rPr>
              <w:t xml:space="preserve"> </w:t>
            </w:r>
            <w:r>
              <w:rPr>
                <w:color w:val="231F20"/>
                <w:sz w:val="20"/>
              </w:rPr>
              <w:t>Крим;</w:t>
            </w:r>
          </w:p>
          <w:p w14:paraId="20C50CE3" w14:textId="77777777" w:rsidR="00DE575E" w:rsidRDefault="002E7560">
            <w:pPr>
              <w:pStyle w:val="TableParagraph"/>
              <w:numPr>
                <w:ilvl w:val="0"/>
                <w:numId w:val="279"/>
              </w:numPr>
              <w:tabs>
                <w:tab w:val="left" w:pos="317"/>
              </w:tabs>
              <w:spacing w:before="2" w:line="244" w:lineRule="auto"/>
              <w:ind w:right="44" w:firstLine="0"/>
              <w:rPr>
                <w:sz w:val="20"/>
              </w:rPr>
            </w:pPr>
            <w:r>
              <w:rPr>
                <w:color w:val="231F20"/>
                <w:sz w:val="20"/>
              </w:rPr>
              <w:t>акти місцевих органів виконав- чої влади;</w:t>
            </w:r>
          </w:p>
          <w:p w14:paraId="428C32D0" w14:textId="77777777" w:rsidR="00DE575E" w:rsidRDefault="002E7560">
            <w:pPr>
              <w:pStyle w:val="TableParagraph"/>
              <w:numPr>
                <w:ilvl w:val="0"/>
                <w:numId w:val="279"/>
              </w:numPr>
              <w:tabs>
                <w:tab w:val="left" w:pos="317"/>
              </w:tabs>
              <w:spacing w:before="1"/>
              <w:ind w:firstLine="0"/>
              <w:rPr>
                <w:sz w:val="20"/>
              </w:rPr>
            </w:pPr>
            <w:r>
              <w:rPr>
                <w:color w:val="231F20"/>
                <w:sz w:val="20"/>
              </w:rPr>
              <w:t>акти інших юридичних осіб</w:t>
            </w:r>
          </w:p>
          <w:p w14:paraId="178620F1" w14:textId="77777777" w:rsidR="00DE575E" w:rsidRDefault="002E7560">
            <w:pPr>
              <w:pStyle w:val="TableParagraph"/>
              <w:spacing w:before="6" w:line="222" w:lineRule="exact"/>
              <w:rPr>
                <w:sz w:val="20"/>
              </w:rPr>
            </w:pPr>
            <w:r>
              <w:rPr>
                <w:color w:val="231F20"/>
                <w:sz w:val="20"/>
              </w:rPr>
              <w:t>публічного права.</w:t>
            </w:r>
          </w:p>
        </w:tc>
        <w:tc>
          <w:tcPr>
            <w:tcW w:w="3255" w:type="dxa"/>
          </w:tcPr>
          <w:p w14:paraId="0FAA8D0E" w14:textId="77777777" w:rsidR="00DE575E" w:rsidRDefault="002E7560">
            <w:pPr>
              <w:pStyle w:val="TableParagraph"/>
              <w:spacing w:before="17" w:line="244" w:lineRule="auto"/>
              <w:ind w:right="528"/>
              <w:rPr>
                <w:b/>
                <w:sz w:val="20"/>
              </w:rPr>
            </w:pPr>
            <w:r>
              <w:rPr>
                <w:b/>
                <w:color w:val="231F20"/>
                <w:sz w:val="20"/>
              </w:rPr>
              <w:t>Місцевий (муніципальний) рівень:</w:t>
            </w:r>
          </w:p>
          <w:p w14:paraId="1CF1FAD9" w14:textId="77777777" w:rsidR="00DE575E" w:rsidRDefault="002E7560">
            <w:pPr>
              <w:pStyle w:val="TableParagraph"/>
              <w:numPr>
                <w:ilvl w:val="0"/>
                <w:numId w:val="278"/>
              </w:numPr>
              <w:tabs>
                <w:tab w:val="left" w:pos="317"/>
              </w:tabs>
              <w:spacing w:before="2" w:line="244" w:lineRule="auto"/>
              <w:ind w:right="45" w:firstLine="0"/>
              <w:jc w:val="both"/>
              <w:rPr>
                <w:sz w:val="20"/>
              </w:rPr>
            </w:pPr>
            <w:r>
              <w:rPr>
                <w:color w:val="231F20"/>
                <w:sz w:val="20"/>
              </w:rPr>
              <w:t>акти органів місцевого само- врядування;</w:t>
            </w:r>
          </w:p>
          <w:p w14:paraId="0A31297B" w14:textId="77777777" w:rsidR="00DE575E" w:rsidRDefault="002E7560">
            <w:pPr>
              <w:pStyle w:val="TableParagraph"/>
              <w:numPr>
                <w:ilvl w:val="0"/>
                <w:numId w:val="278"/>
              </w:numPr>
              <w:tabs>
                <w:tab w:val="left" w:pos="317"/>
                <w:tab w:val="left" w:pos="1519"/>
              </w:tabs>
              <w:spacing w:before="1" w:line="244" w:lineRule="auto"/>
              <w:ind w:right="44" w:firstLine="0"/>
              <w:jc w:val="both"/>
              <w:rPr>
                <w:sz w:val="20"/>
              </w:rPr>
            </w:pPr>
            <w:r>
              <w:rPr>
                <w:color w:val="231F20"/>
                <w:sz w:val="20"/>
              </w:rPr>
              <w:t>акти інших юридичних осіб публічного права, які діють на місцевому</w:t>
            </w:r>
            <w:r>
              <w:rPr>
                <w:color w:val="231F20"/>
                <w:sz w:val="20"/>
              </w:rPr>
              <w:tab/>
              <w:t>(муніципальному) рівні.</w:t>
            </w:r>
          </w:p>
        </w:tc>
      </w:tr>
    </w:tbl>
    <w:p w14:paraId="794F0A6A" w14:textId="77777777" w:rsidR="00DE575E" w:rsidRDefault="00DE575E">
      <w:pPr>
        <w:pStyle w:val="BodyText"/>
        <w:spacing w:before="3"/>
        <w:rPr>
          <w:sz w:val="20"/>
        </w:rPr>
      </w:pPr>
    </w:p>
    <w:p w14:paraId="684F7B7E" w14:textId="77777777" w:rsidR="00DE575E" w:rsidRDefault="002E7560">
      <w:pPr>
        <w:pStyle w:val="BodyText"/>
        <w:spacing w:before="1" w:line="252" w:lineRule="auto"/>
        <w:ind w:left="250" w:right="410" w:firstLine="283"/>
        <w:jc w:val="both"/>
      </w:pPr>
      <w:r>
        <w:rPr>
          <w:color w:val="231F20"/>
        </w:rPr>
        <w:t xml:space="preserve">Неформалізовані джерела (норми) адміністративного права фактично можуть бути виявлені на </w:t>
      </w:r>
      <w:r>
        <w:rPr>
          <w:color w:val="231F20"/>
        </w:rPr>
        <w:t xml:space="preserve">будь-якому рівні, який власне    і </w:t>
      </w:r>
      <w:r>
        <w:rPr>
          <w:color w:val="231F20"/>
          <w:spacing w:val="-4"/>
        </w:rPr>
        <w:t xml:space="preserve">буде </w:t>
      </w:r>
      <w:r>
        <w:rPr>
          <w:color w:val="231F20"/>
        </w:rPr>
        <w:t>зумовлювати їх юридичну</w:t>
      </w:r>
      <w:r>
        <w:rPr>
          <w:color w:val="231F20"/>
          <w:spacing w:val="-1"/>
        </w:rPr>
        <w:t xml:space="preserve"> </w:t>
      </w:r>
      <w:r>
        <w:rPr>
          <w:color w:val="231F20"/>
          <w:spacing w:val="-4"/>
        </w:rPr>
        <w:t>силу.</w:t>
      </w:r>
    </w:p>
    <w:p w14:paraId="4C417BB2" w14:textId="77777777" w:rsidR="00DE575E" w:rsidRDefault="002E7560">
      <w:pPr>
        <w:pStyle w:val="BodyText"/>
        <w:spacing w:before="1" w:line="252" w:lineRule="auto"/>
        <w:ind w:left="250" w:right="411" w:firstLine="283"/>
        <w:jc w:val="both"/>
      </w:pPr>
      <w:r>
        <w:rPr>
          <w:color w:val="231F20"/>
        </w:rPr>
        <w:t>«Ієрархічна піраміда» дозволяє чіткіше зрозуміти місце певного юридичного акта в системі джерел адміністративного  права.  Проте викладене не означає, що в ситуації, коли певні суспільні відносини регулюються низкою юридичних актів,</w:t>
      </w:r>
      <w:r>
        <w:rPr>
          <w:color w:val="231F20"/>
          <w:spacing w:val="30"/>
        </w:rPr>
        <w:t xml:space="preserve"> </w:t>
      </w:r>
      <w:r>
        <w:rPr>
          <w:color w:val="231F20"/>
        </w:rPr>
        <w:t>першочергово</w:t>
      </w:r>
    </w:p>
    <w:p w14:paraId="07333D39" w14:textId="3F42ADEE" w:rsidR="00DE575E" w:rsidRDefault="002E7560">
      <w:pPr>
        <w:pStyle w:val="BodyText"/>
        <w:spacing w:before="7"/>
        <w:rPr>
          <w:sz w:val="27"/>
        </w:rPr>
      </w:pPr>
      <w:r>
        <w:rPr>
          <w:noProof/>
        </w:rPr>
        <mc:AlternateContent>
          <mc:Choice Requires="wps">
            <w:drawing>
              <wp:anchor distT="0" distB="0" distL="0" distR="0" simplePos="0" relativeHeight="3856" behindDoc="0" locked="0" layoutInCell="1" allowOverlap="1" wp14:anchorId="022CF3B8" wp14:editId="21290F75">
                <wp:simplePos x="0" y="0"/>
                <wp:positionH relativeFrom="page">
                  <wp:posOffset>539750</wp:posOffset>
                </wp:positionH>
                <wp:positionV relativeFrom="paragraph">
                  <wp:posOffset>233045</wp:posOffset>
                </wp:positionV>
                <wp:extent cx="1080135" cy="0"/>
                <wp:effectExtent l="6350" t="17145" r="31115" b="20955"/>
                <wp:wrapTopAndBottom/>
                <wp:docPr id="1213"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869E4" id="Line_x0020_1212" o:spid="_x0000_s1026" style="position:absolute;z-index: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35pt" to="127.55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" strokecolor="#231f20" strokeweight=".5pt">
                <w10:wrap type="topAndBottom" anchorx="page"/>
              </v:line>
            </w:pict>
          </mc:Fallback>
        </mc:AlternateContent>
      </w:r>
    </w:p>
    <w:p w14:paraId="53C07A37" w14:textId="77777777" w:rsidR="00DE575E" w:rsidRDefault="002E7560">
      <w:pPr>
        <w:spacing w:line="162" w:lineRule="exact"/>
        <w:ind w:left="250"/>
        <w:rPr>
          <w:sz w:val="16"/>
        </w:rPr>
      </w:pPr>
      <w:r>
        <w:rPr>
          <w:color w:val="231F20"/>
          <w:position w:val="5"/>
          <w:sz w:val="9"/>
        </w:rPr>
        <w:t xml:space="preserve">1 </w:t>
      </w:r>
      <w:r>
        <w:rPr>
          <w:color w:val="231F20"/>
          <w:sz w:val="16"/>
        </w:rPr>
        <w:t>Мельник Р. Зазнач. праця.</w:t>
      </w:r>
    </w:p>
    <w:p w14:paraId="1A1D66E6" w14:textId="77777777" w:rsidR="00DE575E" w:rsidRDefault="00DE575E">
      <w:pPr>
        <w:pStyle w:val="BodyText"/>
        <w:spacing w:before="10"/>
        <w:rPr>
          <w:sz w:val="11"/>
        </w:rPr>
      </w:pPr>
    </w:p>
    <w:p w14:paraId="75015400" w14:textId="77777777" w:rsidR="00DE575E" w:rsidRDefault="002E7560">
      <w:pPr>
        <w:spacing w:before="92"/>
        <w:ind w:right="411"/>
        <w:jc w:val="right"/>
        <w:rPr>
          <w:rFonts w:ascii="Times New Roman"/>
          <w:sz w:val="20"/>
        </w:rPr>
      </w:pPr>
      <w:r>
        <w:rPr>
          <w:rFonts w:ascii="Times New Roman"/>
          <w:color w:val="231F20"/>
          <w:w w:val="90"/>
          <w:sz w:val="20"/>
        </w:rPr>
        <w:t>77</w:t>
      </w:r>
    </w:p>
    <w:p w14:paraId="4F008B0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2E224F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8B0217F" w14:textId="5E6C041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18E81DC" wp14:editId="126F99CD">
                <wp:extent cx="4140200" cy="6350"/>
                <wp:effectExtent l="0" t="0" r="12700" b="6350"/>
                <wp:docPr id="121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12" name="Line 12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09FB2" id="Group_x0020_12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FCGEI4ECAACcBQAA&#10;DgAAAAAAAAAAAAAAAAAsAgAAZHJzL2Uyb0RvYy54bWxQSwECLQAUAAYACAAAACEATKewkNkAAAAD&#10;AQAADwAAAAAAAAAAAAAAAADZBAAAZHJzL2Rvd25yZXYueG1sUEsFBgAAAAAEAAQA8wAAAN8FAAAA&#10;AA==&#10;">
                <v:line id="Line_x0020_12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WNV8QAAADdAAAADwAAAGRycy9kb3ducmV2LnhtbERPzWrCQBC+F3yHZQpeim6MUCS6ShEK&#10;xYO2xgcYs2MS3J2N2dVEn75bKHibj+93FqveGnGj1teOFUzGCQjiwumaSwWH/HM0A+EDskbjmBTc&#10;ycNqOXhZYKZdxz9024dSxBD2GSqoQmgyKX1RkUU/dg1x5E6utRgibEupW+xiuDUyTZJ3abHm2FBh&#10;Q+uKivP+ahXkl7dgvncb0+W741QeL9vp47pVavjaf8xBBOrDU/zv/tJxfjpJ4e+beIJ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BY1XxAAAAN0AAAAPAAAAAAAAAAAA&#10;AAAAAKECAABkcnMvZG93bnJldi54bWxQSwUGAAAAAAQABAD5AAAAkgMAAAAA&#10;" strokecolor="#231f20" strokeweight=".5pt"/>
                <w10:anchorlock/>
              </v:group>
            </w:pict>
          </mc:Fallback>
        </mc:AlternateContent>
      </w:r>
    </w:p>
    <w:p w14:paraId="3801C6DA" w14:textId="77777777" w:rsidR="00DE575E" w:rsidRDefault="00DE575E">
      <w:pPr>
        <w:pStyle w:val="BodyText"/>
        <w:spacing w:before="7"/>
        <w:rPr>
          <w:rFonts w:ascii="AdonisC"/>
          <w:i/>
          <w:sz w:val="11"/>
        </w:rPr>
      </w:pPr>
    </w:p>
    <w:p w14:paraId="37365823" w14:textId="77777777" w:rsidR="00DE575E" w:rsidRDefault="002E7560">
      <w:pPr>
        <w:pStyle w:val="BodyText"/>
        <w:spacing w:before="101" w:line="252" w:lineRule="auto"/>
        <w:ind w:left="533" w:right="127"/>
        <w:jc w:val="both"/>
      </w:pPr>
      <w:r>
        <w:rPr>
          <w:color w:val="231F20"/>
        </w:rPr>
        <w:t>застосовується той із них, який має найвищу юридичну силу. У разі, якщо між актами, що мають різну юрид</w:t>
      </w:r>
      <w:r>
        <w:rPr>
          <w:color w:val="231F20"/>
        </w:rPr>
        <w:t xml:space="preserve">ичну силу, </w:t>
      </w:r>
      <w:r>
        <w:rPr>
          <w:i/>
          <w:color w:val="231F20"/>
        </w:rPr>
        <w:t>не виникає колізій за змістом</w:t>
      </w:r>
      <w:r>
        <w:rPr>
          <w:color w:val="231F20"/>
        </w:rPr>
        <w:t>, доречно, щоб насамперед застосованим був юридичний акт, який має найменшу юридичну силу. Але при цьому не мають порушуватися приписи актів, які мають вищу юридичну силу</w:t>
      </w:r>
      <w:r>
        <w:rPr>
          <w:color w:val="231F20"/>
          <w:position w:val="7"/>
          <w:sz w:val="12"/>
        </w:rPr>
        <w:t>1</w:t>
      </w:r>
      <w:r>
        <w:rPr>
          <w:color w:val="231F20"/>
        </w:rPr>
        <w:t>.</w:t>
      </w:r>
    </w:p>
    <w:p w14:paraId="3AE0005F" w14:textId="77777777" w:rsidR="00DE575E" w:rsidRDefault="002E7560">
      <w:pPr>
        <w:spacing w:before="2" w:line="252" w:lineRule="auto"/>
        <w:ind w:left="533" w:right="127" w:firstLine="283"/>
        <w:jc w:val="right"/>
        <w:rPr>
          <w:sz w:val="21"/>
        </w:rPr>
      </w:pPr>
      <w:r>
        <w:rPr>
          <w:color w:val="231F20"/>
          <w:sz w:val="21"/>
        </w:rPr>
        <w:t xml:space="preserve">У </w:t>
      </w:r>
      <w:r>
        <w:rPr>
          <w:color w:val="231F20"/>
          <w:spacing w:val="-4"/>
          <w:sz w:val="21"/>
        </w:rPr>
        <w:t xml:space="preserve">разі, якщо між двома </w:t>
      </w:r>
      <w:r>
        <w:rPr>
          <w:color w:val="231F20"/>
          <w:spacing w:val="-5"/>
          <w:sz w:val="21"/>
        </w:rPr>
        <w:t>нормами адміністрати</w:t>
      </w:r>
      <w:r>
        <w:rPr>
          <w:color w:val="231F20"/>
          <w:spacing w:val="-5"/>
          <w:sz w:val="21"/>
        </w:rPr>
        <w:t xml:space="preserve">вного </w:t>
      </w:r>
      <w:r>
        <w:rPr>
          <w:color w:val="231F20"/>
          <w:spacing w:val="-4"/>
          <w:sz w:val="21"/>
        </w:rPr>
        <w:t xml:space="preserve">права </w:t>
      </w:r>
      <w:r>
        <w:rPr>
          <w:i/>
          <w:color w:val="231F20"/>
          <w:spacing w:val="-6"/>
          <w:sz w:val="21"/>
        </w:rPr>
        <w:t>виникає</w:t>
      </w:r>
      <w:r>
        <w:rPr>
          <w:i/>
          <w:color w:val="231F20"/>
          <w:spacing w:val="-5"/>
          <w:sz w:val="21"/>
        </w:rPr>
        <w:t xml:space="preserve"> колізія </w:t>
      </w:r>
      <w:r>
        <w:rPr>
          <w:i/>
          <w:color w:val="231F20"/>
          <w:spacing w:val="-3"/>
          <w:sz w:val="21"/>
        </w:rPr>
        <w:t xml:space="preserve">за </w:t>
      </w:r>
      <w:r>
        <w:rPr>
          <w:i/>
          <w:color w:val="231F20"/>
          <w:spacing w:val="-5"/>
          <w:sz w:val="21"/>
        </w:rPr>
        <w:t>змістом</w:t>
      </w:r>
      <w:r>
        <w:rPr>
          <w:color w:val="231F20"/>
          <w:spacing w:val="-5"/>
          <w:sz w:val="21"/>
        </w:rPr>
        <w:t xml:space="preserve">, застосовується норма, </w:t>
      </w:r>
      <w:r>
        <w:rPr>
          <w:color w:val="231F20"/>
          <w:spacing w:val="-4"/>
          <w:sz w:val="21"/>
        </w:rPr>
        <w:t xml:space="preserve">яка має вищу </w:t>
      </w:r>
      <w:r>
        <w:rPr>
          <w:color w:val="231F20"/>
          <w:spacing w:val="-5"/>
          <w:sz w:val="21"/>
        </w:rPr>
        <w:t xml:space="preserve">юридичну </w:t>
      </w:r>
      <w:r>
        <w:rPr>
          <w:color w:val="231F20"/>
          <w:spacing w:val="-8"/>
          <w:sz w:val="21"/>
        </w:rPr>
        <w:t>силу.</w:t>
      </w:r>
      <w:r>
        <w:rPr>
          <w:color w:val="231F20"/>
          <w:sz w:val="21"/>
        </w:rPr>
        <w:t xml:space="preserve"> </w:t>
      </w:r>
      <w:r>
        <w:rPr>
          <w:b/>
          <w:i/>
          <w:color w:val="231F20"/>
          <w:spacing w:val="-3"/>
          <w:sz w:val="21"/>
        </w:rPr>
        <w:t xml:space="preserve">Колізія </w:t>
      </w:r>
      <w:r>
        <w:rPr>
          <w:b/>
          <w:i/>
          <w:color w:val="231F20"/>
          <w:sz w:val="21"/>
        </w:rPr>
        <w:t xml:space="preserve">норм адміністративного права </w:t>
      </w:r>
      <w:r>
        <w:rPr>
          <w:color w:val="231F20"/>
          <w:sz w:val="21"/>
        </w:rPr>
        <w:t>означає, що норми нижчого ієрархічного рівня є недійсними. Проте така недійсність може викликатися лише тими нормами вищого ієрархічного рівня,</w:t>
      </w:r>
    </w:p>
    <w:p w14:paraId="3E7B0531" w14:textId="77777777" w:rsidR="00DE575E" w:rsidRDefault="002E7560">
      <w:pPr>
        <w:pStyle w:val="BodyText"/>
        <w:spacing w:before="3"/>
        <w:ind w:left="533"/>
      </w:pPr>
      <w:r>
        <w:rPr>
          <w:color w:val="231F20"/>
        </w:rPr>
        <w:t>які є правовими (законними) за своїм змістом.</w:t>
      </w:r>
    </w:p>
    <w:p w14:paraId="108309FC" w14:textId="77777777" w:rsidR="00DE575E" w:rsidRDefault="002E7560">
      <w:pPr>
        <w:pStyle w:val="BodyText"/>
        <w:spacing w:before="12" w:line="252" w:lineRule="auto"/>
        <w:ind w:left="533" w:right="127" w:firstLine="283"/>
        <w:jc w:val="both"/>
      </w:pPr>
      <w:r>
        <w:rPr>
          <w:color w:val="231F20"/>
        </w:rPr>
        <w:t>У разі, якщо закон або постанова уряду є неправовими (неза- конними), положення таких актів не можуть вступати в колізію з нормами</w:t>
      </w:r>
      <w:r>
        <w:rPr>
          <w:color w:val="231F20"/>
          <w:spacing w:val="-7"/>
        </w:rPr>
        <w:t xml:space="preserve"> </w:t>
      </w:r>
      <w:r>
        <w:rPr>
          <w:color w:val="231F20"/>
        </w:rPr>
        <w:t>адміністративного</w:t>
      </w:r>
      <w:r>
        <w:rPr>
          <w:color w:val="231F20"/>
          <w:spacing w:val="-7"/>
        </w:rPr>
        <w:t xml:space="preserve"> </w:t>
      </w:r>
      <w:r>
        <w:rPr>
          <w:color w:val="231F20"/>
        </w:rPr>
        <w:t>права,</w:t>
      </w:r>
      <w:r>
        <w:rPr>
          <w:color w:val="231F20"/>
          <w:spacing w:val="-7"/>
        </w:rPr>
        <w:t xml:space="preserve"> </w:t>
      </w:r>
      <w:r>
        <w:rPr>
          <w:color w:val="231F20"/>
        </w:rPr>
        <w:t>що</w:t>
      </w:r>
      <w:r>
        <w:rPr>
          <w:color w:val="231F20"/>
          <w:spacing w:val="-7"/>
        </w:rPr>
        <w:t xml:space="preserve"> </w:t>
      </w:r>
      <w:r>
        <w:rPr>
          <w:color w:val="231F20"/>
        </w:rPr>
        <w:t>мають</w:t>
      </w:r>
      <w:r>
        <w:rPr>
          <w:color w:val="231F20"/>
          <w:spacing w:val="-7"/>
        </w:rPr>
        <w:t xml:space="preserve"> </w:t>
      </w:r>
      <w:r>
        <w:rPr>
          <w:color w:val="231F20"/>
        </w:rPr>
        <w:t>нижчу</w:t>
      </w:r>
      <w:r>
        <w:rPr>
          <w:color w:val="231F20"/>
          <w:spacing w:val="-7"/>
        </w:rPr>
        <w:t xml:space="preserve"> </w:t>
      </w:r>
      <w:r>
        <w:rPr>
          <w:color w:val="231F20"/>
        </w:rPr>
        <w:t>юридичну</w:t>
      </w:r>
      <w:r>
        <w:rPr>
          <w:color w:val="231F20"/>
          <w:spacing w:val="-7"/>
        </w:rPr>
        <w:t xml:space="preserve"> </w:t>
      </w:r>
      <w:r>
        <w:rPr>
          <w:color w:val="231F20"/>
          <w:spacing w:val="-4"/>
        </w:rPr>
        <w:t xml:space="preserve">силу. </w:t>
      </w:r>
      <w:r>
        <w:rPr>
          <w:color w:val="231F20"/>
        </w:rPr>
        <w:t>Останні в такому разі залишаються</w:t>
      </w:r>
      <w:r>
        <w:rPr>
          <w:color w:val="231F20"/>
          <w:spacing w:val="-7"/>
        </w:rPr>
        <w:t xml:space="preserve"> </w:t>
      </w:r>
      <w:r>
        <w:rPr>
          <w:color w:val="231F20"/>
        </w:rPr>
        <w:t>дійсними.</w:t>
      </w:r>
    </w:p>
    <w:p w14:paraId="0E22D294" w14:textId="77777777" w:rsidR="00DE575E" w:rsidRDefault="002E7560">
      <w:pPr>
        <w:pStyle w:val="BodyText"/>
        <w:spacing w:before="2" w:line="252" w:lineRule="auto"/>
        <w:ind w:left="533" w:right="126" w:firstLine="283"/>
        <w:jc w:val="both"/>
      </w:pPr>
      <w:r>
        <w:rPr>
          <w:color w:val="231F20"/>
        </w:rPr>
        <w:t>У разі, якщо колізія виник</w:t>
      </w:r>
      <w:r>
        <w:rPr>
          <w:color w:val="231F20"/>
        </w:rPr>
        <w:t>ає: 1) між юридичними актами одного й</w:t>
      </w:r>
      <w:r>
        <w:rPr>
          <w:color w:val="231F20"/>
          <w:spacing w:val="-11"/>
        </w:rPr>
        <w:t xml:space="preserve"> </w:t>
      </w:r>
      <w:r>
        <w:rPr>
          <w:color w:val="231F20"/>
        </w:rPr>
        <w:t>того</w:t>
      </w:r>
      <w:r>
        <w:rPr>
          <w:color w:val="231F20"/>
          <w:spacing w:val="-11"/>
        </w:rPr>
        <w:t xml:space="preserve"> </w:t>
      </w:r>
      <w:r>
        <w:rPr>
          <w:color w:val="231F20"/>
        </w:rPr>
        <w:t>самого</w:t>
      </w:r>
      <w:r>
        <w:rPr>
          <w:color w:val="231F20"/>
          <w:spacing w:val="-11"/>
        </w:rPr>
        <w:t xml:space="preserve"> </w:t>
      </w:r>
      <w:r>
        <w:rPr>
          <w:color w:val="231F20"/>
        </w:rPr>
        <w:t>ієрархічного</w:t>
      </w:r>
      <w:r>
        <w:rPr>
          <w:color w:val="231F20"/>
          <w:spacing w:val="-11"/>
        </w:rPr>
        <w:t xml:space="preserve"> </w:t>
      </w:r>
      <w:r>
        <w:rPr>
          <w:color w:val="231F20"/>
        </w:rPr>
        <w:t>рівня,</w:t>
      </w:r>
      <w:r>
        <w:rPr>
          <w:color w:val="231F20"/>
          <w:spacing w:val="-11"/>
        </w:rPr>
        <w:t xml:space="preserve"> </w:t>
      </w:r>
      <w:r>
        <w:rPr>
          <w:color w:val="231F20"/>
        </w:rPr>
        <w:t>тобто</w:t>
      </w:r>
      <w:r>
        <w:rPr>
          <w:color w:val="231F20"/>
          <w:spacing w:val="-11"/>
        </w:rPr>
        <w:t xml:space="preserve"> </w:t>
      </w:r>
      <w:r>
        <w:rPr>
          <w:color w:val="231F20"/>
        </w:rPr>
        <w:t>виданими</w:t>
      </w:r>
      <w:r>
        <w:rPr>
          <w:color w:val="231F20"/>
          <w:spacing w:val="-11"/>
        </w:rPr>
        <w:t xml:space="preserve"> </w:t>
      </w:r>
      <w:r>
        <w:rPr>
          <w:color w:val="231F20"/>
        </w:rPr>
        <w:t>одним</w:t>
      </w:r>
      <w:r>
        <w:rPr>
          <w:color w:val="231F20"/>
          <w:spacing w:val="-11"/>
        </w:rPr>
        <w:t xml:space="preserve"> </w:t>
      </w:r>
      <w:r>
        <w:rPr>
          <w:color w:val="231F20"/>
        </w:rPr>
        <w:t>і</w:t>
      </w:r>
      <w:r>
        <w:rPr>
          <w:color w:val="231F20"/>
          <w:spacing w:val="-9"/>
        </w:rPr>
        <w:t xml:space="preserve"> </w:t>
      </w:r>
      <w:r>
        <w:rPr>
          <w:color w:val="231F20"/>
        </w:rPr>
        <w:t>тим</w:t>
      </w:r>
      <w:r>
        <w:rPr>
          <w:color w:val="231F20"/>
          <w:spacing w:val="-11"/>
        </w:rPr>
        <w:t xml:space="preserve"> </w:t>
      </w:r>
      <w:r>
        <w:rPr>
          <w:color w:val="231F20"/>
        </w:rPr>
        <w:t xml:space="preserve">самим </w:t>
      </w:r>
      <w:r>
        <w:rPr>
          <w:color w:val="231F20"/>
          <w:spacing w:val="-3"/>
        </w:rPr>
        <w:t xml:space="preserve">суб’єктом, </w:t>
      </w:r>
      <w:r>
        <w:rPr>
          <w:color w:val="231F20"/>
        </w:rPr>
        <w:t>проте в різний час, – застосовується останній за часом ухвалення юридичний акт (норма); 2) між загальним і спеціальним юридичними актами одного ієрархічного рівня – застосовується останній</w:t>
      </w:r>
      <w:r>
        <w:rPr>
          <w:color w:val="231F20"/>
          <w:position w:val="7"/>
          <w:sz w:val="12"/>
        </w:rPr>
        <w:t>2</w:t>
      </w:r>
      <w:r>
        <w:rPr>
          <w:color w:val="231F20"/>
        </w:rPr>
        <w:t>.</w:t>
      </w:r>
    </w:p>
    <w:p w14:paraId="68F53CEC" w14:textId="77777777" w:rsidR="00DE575E" w:rsidRDefault="00DE575E">
      <w:pPr>
        <w:pStyle w:val="BodyText"/>
        <w:rPr>
          <w:sz w:val="24"/>
        </w:rPr>
      </w:pPr>
    </w:p>
    <w:p w14:paraId="232F1CAD" w14:textId="77777777" w:rsidR="00DE575E" w:rsidRDefault="00DE575E">
      <w:pPr>
        <w:pStyle w:val="BodyText"/>
        <w:spacing w:before="5"/>
        <w:rPr>
          <w:sz w:val="20"/>
        </w:rPr>
      </w:pPr>
    </w:p>
    <w:p w14:paraId="616BE4C0" w14:textId="77777777" w:rsidR="00DE575E" w:rsidRDefault="002E7560">
      <w:pPr>
        <w:pStyle w:val="Heading5"/>
        <w:ind w:left="2697"/>
      </w:pPr>
      <w:r>
        <w:rPr>
          <w:color w:val="231F20"/>
        </w:rPr>
        <w:t>Запитання і завдання</w:t>
      </w:r>
    </w:p>
    <w:p w14:paraId="033373AB" w14:textId="77777777" w:rsidR="00DE575E" w:rsidRDefault="00DE575E">
      <w:pPr>
        <w:pStyle w:val="BodyText"/>
        <w:spacing w:before="2"/>
        <w:rPr>
          <w:b/>
          <w:sz w:val="23"/>
        </w:rPr>
      </w:pPr>
    </w:p>
    <w:p w14:paraId="67E91965" w14:textId="77777777" w:rsidR="00DE575E" w:rsidRDefault="002E7560">
      <w:pPr>
        <w:pStyle w:val="ListParagraph"/>
        <w:numPr>
          <w:ilvl w:val="0"/>
          <w:numId w:val="277"/>
        </w:numPr>
        <w:tabs>
          <w:tab w:val="left" w:pos="1101"/>
        </w:tabs>
        <w:ind w:firstLine="284"/>
        <w:jc w:val="left"/>
        <w:rPr>
          <w:sz w:val="21"/>
        </w:rPr>
      </w:pPr>
      <w:r>
        <w:rPr>
          <w:color w:val="231F20"/>
          <w:sz w:val="21"/>
        </w:rPr>
        <w:t>Що розуміється під джерелом адміністратив</w:t>
      </w:r>
      <w:r>
        <w:rPr>
          <w:color w:val="231F20"/>
          <w:sz w:val="21"/>
        </w:rPr>
        <w:t>ного</w:t>
      </w:r>
      <w:r>
        <w:rPr>
          <w:color w:val="231F20"/>
          <w:spacing w:val="-8"/>
          <w:sz w:val="21"/>
        </w:rPr>
        <w:t xml:space="preserve"> </w:t>
      </w:r>
      <w:r>
        <w:rPr>
          <w:color w:val="231F20"/>
          <w:sz w:val="21"/>
        </w:rPr>
        <w:t>права?</w:t>
      </w:r>
    </w:p>
    <w:p w14:paraId="74803353" w14:textId="77777777" w:rsidR="00DE575E" w:rsidRDefault="002E7560">
      <w:pPr>
        <w:pStyle w:val="ListParagraph"/>
        <w:numPr>
          <w:ilvl w:val="0"/>
          <w:numId w:val="277"/>
        </w:numPr>
        <w:tabs>
          <w:tab w:val="left" w:pos="1101"/>
        </w:tabs>
        <w:spacing w:before="12" w:line="252" w:lineRule="auto"/>
        <w:ind w:right="128" w:firstLine="284"/>
        <w:jc w:val="left"/>
        <w:rPr>
          <w:sz w:val="21"/>
        </w:rPr>
      </w:pPr>
      <w:r>
        <w:rPr>
          <w:color w:val="231F20"/>
          <w:sz w:val="21"/>
        </w:rPr>
        <w:t>Яка система притаманна для джерел адміністративного права?</w:t>
      </w:r>
    </w:p>
    <w:p w14:paraId="753DDCC1" w14:textId="77777777" w:rsidR="00DE575E" w:rsidRDefault="002E7560">
      <w:pPr>
        <w:pStyle w:val="ListParagraph"/>
        <w:numPr>
          <w:ilvl w:val="0"/>
          <w:numId w:val="277"/>
        </w:numPr>
        <w:tabs>
          <w:tab w:val="left" w:pos="1101"/>
        </w:tabs>
        <w:ind w:firstLine="284"/>
        <w:jc w:val="left"/>
        <w:rPr>
          <w:sz w:val="21"/>
        </w:rPr>
      </w:pPr>
      <w:r>
        <w:rPr>
          <w:color w:val="231F20"/>
          <w:sz w:val="21"/>
        </w:rPr>
        <w:t>Яке значення мають джерела адміністративного</w:t>
      </w:r>
      <w:r>
        <w:rPr>
          <w:color w:val="231F20"/>
          <w:spacing w:val="-9"/>
          <w:sz w:val="21"/>
        </w:rPr>
        <w:t xml:space="preserve"> </w:t>
      </w:r>
      <w:r>
        <w:rPr>
          <w:color w:val="231F20"/>
          <w:sz w:val="21"/>
        </w:rPr>
        <w:t>права?</w:t>
      </w:r>
    </w:p>
    <w:p w14:paraId="614ABDA4" w14:textId="77777777" w:rsidR="00DE575E" w:rsidRDefault="002E7560">
      <w:pPr>
        <w:pStyle w:val="ListParagraph"/>
        <w:numPr>
          <w:ilvl w:val="0"/>
          <w:numId w:val="277"/>
        </w:numPr>
        <w:tabs>
          <w:tab w:val="left" w:pos="1101"/>
        </w:tabs>
        <w:spacing w:before="13" w:line="252" w:lineRule="auto"/>
        <w:ind w:right="127" w:firstLine="284"/>
        <w:jc w:val="left"/>
        <w:rPr>
          <w:sz w:val="21"/>
        </w:rPr>
      </w:pPr>
      <w:r>
        <w:rPr>
          <w:color w:val="231F20"/>
          <w:sz w:val="21"/>
        </w:rPr>
        <w:t>Розкрийте поняття та здійсніть класифікацію законів як джерел адміністративного</w:t>
      </w:r>
      <w:r>
        <w:rPr>
          <w:color w:val="231F20"/>
          <w:spacing w:val="-1"/>
          <w:sz w:val="21"/>
        </w:rPr>
        <w:t xml:space="preserve"> </w:t>
      </w:r>
      <w:r>
        <w:rPr>
          <w:color w:val="231F20"/>
          <w:sz w:val="21"/>
        </w:rPr>
        <w:t>права.</w:t>
      </w:r>
    </w:p>
    <w:p w14:paraId="0B5A1B37" w14:textId="77777777" w:rsidR="00DE575E" w:rsidRDefault="002E7560">
      <w:pPr>
        <w:pStyle w:val="ListParagraph"/>
        <w:numPr>
          <w:ilvl w:val="0"/>
          <w:numId w:val="277"/>
        </w:numPr>
        <w:tabs>
          <w:tab w:val="left" w:pos="1101"/>
        </w:tabs>
        <w:spacing w:line="252" w:lineRule="auto"/>
        <w:ind w:right="127" w:firstLine="284"/>
        <w:jc w:val="left"/>
        <w:rPr>
          <w:sz w:val="21"/>
        </w:rPr>
      </w:pPr>
      <w:r>
        <w:rPr>
          <w:color w:val="231F20"/>
          <w:sz w:val="21"/>
        </w:rPr>
        <w:t>Розкрийте поняття та здійсніть класифікацію пі</w:t>
      </w:r>
      <w:r>
        <w:rPr>
          <w:color w:val="231F20"/>
          <w:sz w:val="21"/>
        </w:rPr>
        <w:t>дзаконних нормативних правових актів як джерел адміністративного</w:t>
      </w:r>
      <w:r>
        <w:rPr>
          <w:color w:val="231F20"/>
          <w:spacing w:val="-17"/>
          <w:sz w:val="21"/>
        </w:rPr>
        <w:t xml:space="preserve"> </w:t>
      </w:r>
      <w:r>
        <w:rPr>
          <w:color w:val="231F20"/>
          <w:sz w:val="21"/>
        </w:rPr>
        <w:t>права.</w:t>
      </w:r>
    </w:p>
    <w:p w14:paraId="1AD2D045" w14:textId="77777777" w:rsidR="00DE575E" w:rsidRDefault="002E7560">
      <w:pPr>
        <w:pStyle w:val="ListParagraph"/>
        <w:numPr>
          <w:ilvl w:val="0"/>
          <w:numId w:val="277"/>
        </w:numPr>
        <w:tabs>
          <w:tab w:val="left" w:pos="1101"/>
        </w:tabs>
        <w:ind w:firstLine="284"/>
        <w:jc w:val="left"/>
        <w:rPr>
          <w:sz w:val="21"/>
        </w:rPr>
      </w:pPr>
      <w:r>
        <w:rPr>
          <w:color w:val="231F20"/>
          <w:sz w:val="21"/>
        </w:rPr>
        <w:t>У чому полягає зміст джерел права</w:t>
      </w:r>
      <w:r>
        <w:rPr>
          <w:color w:val="231F20"/>
          <w:spacing w:val="-5"/>
          <w:sz w:val="21"/>
        </w:rPr>
        <w:t xml:space="preserve"> </w:t>
      </w:r>
      <w:r>
        <w:rPr>
          <w:color w:val="231F20"/>
          <w:sz w:val="21"/>
        </w:rPr>
        <w:t>ЄС?</w:t>
      </w:r>
    </w:p>
    <w:p w14:paraId="248C9EE4" w14:textId="77777777" w:rsidR="00DE575E" w:rsidRDefault="002E7560">
      <w:pPr>
        <w:pStyle w:val="ListParagraph"/>
        <w:numPr>
          <w:ilvl w:val="0"/>
          <w:numId w:val="277"/>
        </w:numPr>
        <w:tabs>
          <w:tab w:val="left" w:pos="1101"/>
        </w:tabs>
        <w:spacing w:before="13" w:line="252" w:lineRule="auto"/>
        <w:ind w:right="128" w:firstLine="284"/>
        <w:jc w:val="left"/>
        <w:rPr>
          <w:sz w:val="21"/>
        </w:rPr>
      </w:pPr>
      <w:r>
        <w:rPr>
          <w:color w:val="231F20"/>
          <w:sz w:val="21"/>
        </w:rPr>
        <w:t>У</w:t>
      </w:r>
      <w:r>
        <w:rPr>
          <w:color w:val="231F20"/>
          <w:spacing w:val="-6"/>
          <w:sz w:val="21"/>
        </w:rPr>
        <w:t xml:space="preserve"> </w:t>
      </w:r>
      <w:r>
        <w:rPr>
          <w:color w:val="231F20"/>
          <w:sz w:val="21"/>
        </w:rPr>
        <w:t>чому</w:t>
      </w:r>
      <w:r>
        <w:rPr>
          <w:color w:val="231F20"/>
          <w:spacing w:val="-6"/>
          <w:sz w:val="21"/>
        </w:rPr>
        <w:t xml:space="preserve"> </w:t>
      </w:r>
      <w:r>
        <w:rPr>
          <w:color w:val="231F20"/>
          <w:sz w:val="21"/>
        </w:rPr>
        <w:t>полягає</w:t>
      </w:r>
      <w:r>
        <w:rPr>
          <w:color w:val="231F20"/>
          <w:spacing w:val="-6"/>
          <w:sz w:val="21"/>
        </w:rPr>
        <w:t xml:space="preserve"> </w:t>
      </w:r>
      <w:r>
        <w:rPr>
          <w:color w:val="231F20"/>
          <w:sz w:val="21"/>
        </w:rPr>
        <w:t>відмінність</w:t>
      </w:r>
      <w:r>
        <w:rPr>
          <w:color w:val="231F20"/>
          <w:spacing w:val="-6"/>
          <w:sz w:val="21"/>
        </w:rPr>
        <w:t xml:space="preserve"> </w:t>
      </w:r>
      <w:r>
        <w:rPr>
          <w:color w:val="231F20"/>
          <w:sz w:val="21"/>
        </w:rPr>
        <w:t>між</w:t>
      </w:r>
      <w:r>
        <w:rPr>
          <w:color w:val="231F20"/>
          <w:spacing w:val="-6"/>
          <w:sz w:val="21"/>
        </w:rPr>
        <w:t xml:space="preserve"> </w:t>
      </w:r>
      <w:r>
        <w:rPr>
          <w:color w:val="231F20"/>
          <w:sz w:val="21"/>
        </w:rPr>
        <w:t>формалізованими</w:t>
      </w:r>
      <w:r>
        <w:rPr>
          <w:color w:val="231F20"/>
          <w:spacing w:val="-6"/>
          <w:sz w:val="21"/>
        </w:rPr>
        <w:t xml:space="preserve"> </w:t>
      </w:r>
      <w:r>
        <w:rPr>
          <w:color w:val="231F20"/>
          <w:sz w:val="21"/>
        </w:rPr>
        <w:t>та</w:t>
      </w:r>
      <w:r>
        <w:rPr>
          <w:color w:val="231F20"/>
          <w:spacing w:val="-6"/>
          <w:sz w:val="21"/>
        </w:rPr>
        <w:t xml:space="preserve"> </w:t>
      </w:r>
      <w:r>
        <w:rPr>
          <w:color w:val="231F20"/>
          <w:sz w:val="21"/>
        </w:rPr>
        <w:t>неформа- лізованими міжнародними джерелами</w:t>
      </w:r>
      <w:r>
        <w:rPr>
          <w:color w:val="231F20"/>
          <w:spacing w:val="-4"/>
          <w:sz w:val="21"/>
        </w:rPr>
        <w:t xml:space="preserve"> </w:t>
      </w:r>
      <w:r>
        <w:rPr>
          <w:color w:val="231F20"/>
          <w:sz w:val="21"/>
        </w:rPr>
        <w:t>права?</w:t>
      </w:r>
    </w:p>
    <w:p w14:paraId="41B850AB" w14:textId="77777777" w:rsidR="00DE575E" w:rsidRDefault="00DE575E">
      <w:pPr>
        <w:pStyle w:val="BodyText"/>
        <w:rPr>
          <w:sz w:val="20"/>
        </w:rPr>
      </w:pPr>
    </w:p>
    <w:p w14:paraId="56FB80AB" w14:textId="2A3A4148" w:rsidR="00DE575E" w:rsidRDefault="002E7560">
      <w:pPr>
        <w:pStyle w:val="BodyText"/>
        <w:spacing w:before="4"/>
        <w:rPr>
          <w:sz w:val="10"/>
        </w:rPr>
      </w:pPr>
      <w:r>
        <w:rPr>
          <w:noProof/>
        </w:rPr>
        <mc:AlternateContent>
          <mc:Choice Requires="wps">
            <w:drawing>
              <wp:anchor distT="0" distB="0" distL="0" distR="0" simplePos="0" relativeHeight="3904" behindDoc="0" locked="0" layoutInCell="1" allowOverlap="1" wp14:anchorId="7F2FD9FC" wp14:editId="6EBED690">
                <wp:simplePos x="0" y="0"/>
                <wp:positionH relativeFrom="page">
                  <wp:posOffset>719455</wp:posOffset>
                </wp:positionH>
                <wp:positionV relativeFrom="paragraph">
                  <wp:posOffset>104775</wp:posOffset>
                </wp:positionV>
                <wp:extent cx="1080135" cy="0"/>
                <wp:effectExtent l="8255" t="15875" r="29210" b="22225"/>
                <wp:wrapTopAndBottom/>
                <wp:docPr id="1210"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140F7" id="Line_x0020_1209" o:spid="_x0000_s1026" style="position:absolute;z-index: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25pt" to="141.7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" strokecolor="#231f20" strokeweight=".5pt">
                <w10:wrap type="topAndBottom" anchorx="page"/>
              </v:line>
            </w:pict>
          </mc:Fallback>
        </mc:AlternateContent>
      </w:r>
    </w:p>
    <w:p w14:paraId="09840414" w14:textId="77777777" w:rsidR="00DE575E" w:rsidRDefault="002E7560">
      <w:pPr>
        <w:spacing w:line="162" w:lineRule="exact"/>
        <w:ind w:left="533"/>
        <w:rPr>
          <w:sz w:val="16"/>
        </w:rPr>
      </w:pPr>
      <w:r>
        <w:rPr>
          <w:color w:val="231F20"/>
          <w:position w:val="5"/>
          <w:sz w:val="9"/>
        </w:rPr>
        <w:t xml:space="preserve">1 </w:t>
      </w:r>
      <w:r>
        <w:rPr>
          <w:color w:val="231F20"/>
          <w:sz w:val="16"/>
        </w:rPr>
        <w:t>Мельник Р. Зазнач. праця.</w:t>
      </w:r>
    </w:p>
    <w:p w14:paraId="289D3295" w14:textId="77777777" w:rsidR="00DE575E" w:rsidRDefault="002E7560">
      <w:pPr>
        <w:ind w:left="533"/>
        <w:rPr>
          <w:sz w:val="16"/>
        </w:rPr>
      </w:pPr>
      <w:r>
        <w:rPr>
          <w:color w:val="231F20"/>
          <w:position w:val="5"/>
          <w:sz w:val="9"/>
        </w:rPr>
        <w:t xml:space="preserve">2 </w:t>
      </w:r>
      <w:r>
        <w:rPr>
          <w:color w:val="231F20"/>
          <w:sz w:val="16"/>
        </w:rPr>
        <w:t>Мельник Р. Там само.</w:t>
      </w:r>
    </w:p>
    <w:p w14:paraId="31AA4443" w14:textId="77777777" w:rsidR="00DE575E" w:rsidRDefault="00DE575E">
      <w:pPr>
        <w:pStyle w:val="BodyText"/>
        <w:spacing w:before="11"/>
        <w:rPr>
          <w:sz w:val="11"/>
        </w:rPr>
      </w:pPr>
    </w:p>
    <w:p w14:paraId="6C0998C7" w14:textId="77777777" w:rsidR="00DE575E" w:rsidRDefault="002E7560">
      <w:pPr>
        <w:spacing w:before="92"/>
        <w:ind w:left="533"/>
        <w:rPr>
          <w:rFonts w:ascii="Times New Roman"/>
          <w:sz w:val="20"/>
        </w:rPr>
      </w:pPr>
      <w:r>
        <w:rPr>
          <w:rFonts w:ascii="Times New Roman"/>
          <w:color w:val="231F20"/>
          <w:sz w:val="20"/>
        </w:rPr>
        <w:t>78</w:t>
      </w:r>
    </w:p>
    <w:p w14:paraId="4736ED59" w14:textId="77777777" w:rsidR="00DE575E" w:rsidRDefault="00DE575E">
      <w:pPr>
        <w:rPr>
          <w:rFonts w:ascii="Times New Roman"/>
          <w:sz w:val="20"/>
        </w:rPr>
        <w:sectPr w:rsidR="00DE575E">
          <w:pgSz w:w="8510" w:h="12760"/>
          <w:pgMar w:top="660" w:right="720" w:bottom="280" w:left="600" w:header="720" w:footer="720" w:gutter="0"/>
          <w:cols w:space="720"/>
        </w:sectPr>
      </w:pPr>
    </w:p>
    <w:p w14:paraId="213C4E45" w14:textId="77777777" w:rsidR="00DE575E" w:rsidRDefault="002E7560">
      <w:pPr>
        <w:spacing w:before="72" w:line="249" w:lineRule="auto"/>
        <w:ind w:left="3181" w:firstLine="290"/>
        <w:rPr>
          <w:rFonts w:ascii="AdonisC" w:hAnsi="AdonisC"/>
          <w:i/>
          <w:sz w:val="18"/>
        </w:rPr>
      </w:pPr>
      <w:r>
        <w:rPr>
          <w:rFonts w:ascii="AdonisC" w:hAnsi="AdonisC"/>
          <w:i/>
          <w:color w:val="231F20"/>
          <w:sz w:val="18"/>
        </w:rPr>
        <w:t>Глава І. Загальне адміністративне право Розділ 3. Джерела адміністративного права</w:t>
      </w:r>
    </w:p>
    <w:p w14:paraId="219365DD" w14:textId="2DE3F33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9CA9779" wp14:editId="0ADBD0BF">
                <wp:extent cx="4140200" cy="6350"/>
                <wp:effectExtent l="0" t="0" r="12700" b="6350"/>
                <wp:docPr id="1208"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09" name="Line 120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428431" id="Group_x0020_120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7ciX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lO3Il/AgAAnAUAAA4A&#10;AAAAAAAAAAAAAAAALAIAAGRycy9lMm9Eb2MueG1sUEsBAi0AFAAGAAgAAAAhAEynsJDZAAAAAwEA&#10;AA8AAAAAAAAAAAAAAAAA1wQAAGRycy9kb3ducmV2LnhtbFBLBQYAAAAABAAEAPMAAADdBQAAAAA=&#10;">
                <v:line id="Line_x0020_120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iJ+8UAAADdAAAADwAAAGRycy9kb3ducmV2LnhtbERPzWrCQBC+C77DMgUvpdlUodiYVaRQ&#10;KB60Gh9gzI5J6O5szK4m7dN3CwVv8/H9Tr4arBE36nzjWMFzkoIgLp1uuFJwLN6f5iB8QNZoHJOC&#10;b/KwWo5HOWba9byn2yFUIoawz1BBHUKbSenLmiz6xLXEkTu7zmKIsKuk7rCP4dbIaZq+SIsNx4Ya&#10;W3qrqfw6XK2C4vIYzOduY/pid5rJ02U7+7lulZo8DOsFiEBDuIv/3R86zp+mr/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HiJ+8UAAADdAAAADwAAAAAAAAAA&#10;AAAAAAChAgAAZHJzL2Rvd25yZXYueG1sUEsFBgAAAAAEAAQA+QAAAJMDAAAAAA==&#10;" strokecolor="#231f20" strokeweight=".5pt"/>
                <w10:anchorlock/>
              </v:group>
            </w:pict>
          </mc:Fallback>
        </mc:AlternateContent>
      </w:r>
    </w:p>
    <w:p w14:paraId="2EB79CFD" w14:textId="77777777" w:rsidR="00DE575E" w:rsidRDefault="00DE575E">
      <w:pPr>
        <w:pStyle w:val="BodyText"/>
        <w:spacing w:before="7"/>
        <w:rPr>
          <w:rFonts w:ascii="AdonisC"/>
          <w:i/>
          <w:sz w:val="19"/>
        </w:rPr>
      </w:pPr>
    </w:p>
    <w:p w14:paraId="550E573F" w14:textId="77777777" w:rsidR="00DE575E" w:rsidRDefault="002E7560">
      <w:pPr>
        <w:pStyle w:val="ListParagraph"/>
        <w:numPr>
          <w:ilvl w:val="0"/>
          <w:numId w:val="277"/>
        </w:numPr>
        <w:tabs>
          <w:tab w:val="left" w:pos="818"/>
        </w:tabs>
        <w:spacing w:line="252" w:lineRule="auto"/>
        <w:ind w:left="250" w:right="410" w:firstLine="283"/>
        <w:jc w:val="both"/>
        <w:rPr>
          <w:sz w:val="21"/>
        </w:rPr>
      </w:pPr>
      <w:r>
        <w:rPr>
          <w:color w:val="231F20"/>
          <w:sz w:val="21"/>
        </w:rPr>
        <w:t>Як можна пояснити причину збільшення кількості джерел адміністративно</w:t>
      </w:r>
      <w:r>
        <w:rPr>
          <w:color w:val="231F20"/>
          <w:sz w:val="21"/>
        </w:rPr>
        <w:t>го</w:t>
      </w:r>
      <w:r>
        <w:rPr>
          <w:color w:val="231F20"/>
          <w:spacing w:val="-1"/>
          <w:sz w:val="21"/>
        </w:rPr>
        <w:t xml:space="preserve"> </w:t>
      </w:r>
      <w:r>
        <w:rPr>
          <w:color w:val="231F20"/>
          <w:sz w:val="21"/>
        </w:rPr>
        <w:t>права?</w:t>
      </w:r>
    </w:p>
    <w:p w14:paraId="2235F4B7" w14:textId="77777777" w:rsidR="00DE575E" w:rsidRDefault="002E7560">
      <w:pPr>
        <w:pStyle w:val="ListParagraph"/>
        <w:numPr>
          <w:ilvl w:val="0"/>
          <w:numId w:val="277"/>
        </w:numPr>
        <w:tabs>
          <w:tab w:val="left" w:pos="818"/>
        </w:tabs>
        <w:spacing w:line="252" w:lineRule="auto"/>
        <w:ind w:left="250" w:right="410" w:firstLine="283"/>
        <w:jc w:val="both"/>
        <w:rPr>
          <w:sz w:val="21"/>
        </w:rPr>
      </w:pPr>
      <w:r>
        <w:rPr>
          <w:color w:val="231F20"/>
          <w:sz w:val="21"/>
        </w:rPr>
        <w:t>Схарактеризуйте сучасні тенденції розвитку системи джерел адміністративного права</w:t>
      </w:r>
      <w:r>
        <w:rPr>
          <w:color w:val="231F20"/>
          <w:spacing w:val="-2"/>
          <w:sz w:val="21"/>
        </w:rPr>
        <w:t xml:space="preserve"> </w:t>
      </w:r>
      <w:r>
        <w:rPr>
          <w:color w:val="231F20"/>
          <w:spacing w:val="-3"/>
          <w:sz w:val="21"/>
        </w:rPr>
        <w:t>України.</w:t>
      </w:r>
    </w:p>
    <w:p w14:paraId="0AF9C861" w14:textId="77777777" w:rsidR="00DE575E" w:rsidRDefault="00DE575E">
      <w:pPr>
        <w:pStyle w:val="BodyText"/>
        <w:spacing w:before="2"/>
        <w:rPr>
          <w:sz w:val="22"/>
        </w:rPr>
      </w:pPr>
    </w:p>
    <w:p w14:paraId="2B88F80C" w14:textId="77777777" w:rsidR="00DE575E" w:rsidRDefault="002E7560">
      <w:pPr>
        <w:pStyle w:val="Heading5"/>
        <w:ind w:left="1494"/>
      </w:pPr>
      <w:r>
        <w:rPr>
          <w:color w:val="231F20"/>
        </w:rPr>
        <w:t>Література для поглибленого вивчення</w:t>
      </w:r>
    </w:p>
    <w:p w14:paraId="40A0B0C9" w14:textId="77777777" w:rsidR="00DE575E" w:rsidRDefault="00DE575E">
      <w:pPr>
        <w:pStyle w:val="BodyText"/>
        <w:spacing w:before="2"/>
        <w:rPr>
          <w:b/>
          <w:sz w:val="23"/>
        </w:rPr>
      </w:pPr>
    </w:p>
    <w:p w14:paraId="6FAAF359" w14:textId="77777777" w:rsidR="00DE575E" w:rsidRDefault="002E7560">
      <w:pPr>
        <w:pStyle w:val="ListParagraph"/>
        <w:numPr>
          <w:ilvl w:val="0"/>
          <w:numId w:val="276"/>
        </w:numPr>
        <w:tabs>
          <w:tab w:val="left" w:pos="818"/>
        </w:tabs>
        <w:spacing w:before="0" w:line="252" w:lineRule="auto"/>
        <w:ind w:right="412" w:firstLine="283"/>
        <w:jc w:val="both"/>
        <w:rPr>
          <w:sz w:val="21"/>
        </w:rPr>
      </w:pPr>
      <w:r>
        <w:rPr>
          <w:color w:val="231F20"/>
          <w:sz w:val="21"/>
        </w:rPr>
        <w:t xml:space="preserve">Галунько </w:t>
      </w:r>
      <w:r>
        <w:rPr>
          <w:color w:val="231F20"/>
          <w:spacing w:val="-3"/>
          <w:sz w:val="21"/>
        </w:rPr>
        <w:t xml:space="preserve">В., </w:t>
      </w:r>
      <w:r>
        <w:rPr>
          <w:color w:val="231F20"/>
          <w:sz w:val="21"/>
        </w:rPr>
        <w:t xml:space="preserve">Курило </w:t>
      </w:r>
      <w:r>
        <w:rPr>
          <w:color w:val="231F20"/>
          <w:spacing w:val="-3"/>
          <w:sz w:val="21"/>
        </w:rPr>
        <w:t xml:space="preserve">В., </w:t>
      </w:r>
      <w:r>
        <w:rPr>
          <w:color w:val="231F20"/>
          <w:sz w:val="21"/>
        </w:rPr>
        <w:t xml:space="preserve">Короєд С. та ін. Адміністративне право </w:t>
      </w:r>
      <w:r>
        <w:rPr>
          <w:color w:val="231F20"/>
          <w:spacing w:val="-3"/>
          <w:sz w:val="21"/>
        </w:rPr>
        <w:t xml:space="preserve">України. </w:t>
      </w:r>
      <w:r>
        <w:rPr>
          <w:color w:val="231F20"/>
          <w:spacing w:val="-12"/>
          <w:sz w:val="21"/>
        </w:rPr>
        <w:t>Т.</w:t>
      </w:r>
      <w:r>
        <w:rPr>
          <w:color w:val="231F20"/>
          <w:spacing w:val="21"/>
          <w:sz w:val="21"/>
        </w:rPr>
        <w:t xml:space="preserve"> </w:t>
      </w:r>
      <w:r>
        <w:rPr>
          <w:color w:val="231F20"/>
          <w:sz w:val="21"/>
        </w:rPr>
        <w:t>1. Загальне адміністративне право. Херсон: Грінь Д.С., 2015. 272 с.</w:t>
      </w:r>
    </w:p>
    <w:p w14:paraId="0C467F7E" w14:textId="77777777" w:rsidR="00DE575E" w:rsidRDefault="002E7560">
      <w:pPr>
        <w:pStyle w:val="ListParagraph"/>
        <w:numPr>
          <w:ilvl w:val="0"/>
          <w:numId w:val="276"/>
        </w:numPr>
        <w:tabs>
          <w:tab w:val="left" w:pos="818"/>
        </w:tabs>
        <w:spacing w:line="252" w:lineRule="auto"/>
        <w:ind w:right="411" w:firstLine="283"/>
        <w:jc w:val="both"/>
        <w:rPr>
          <w:sz w:val="21"/>
        </w:rPr>
      </w:pPr>
      <w:r>
        <w:rPr>
          <w:color w:val="231F20"/>
          <w:sz w:val="21"/>
        </w:rPr>
        <w:t xml:space="preserve">Гриценко І., Мельник </w:t>
      </w:r>
      <w:r>
        <w:rPr>
          <w:color w:val="231F20"/>
          <w:spacing w:val="-10"/>
          <w:sz w:val="21"/>
        </w:rPr>
        <w:t xml:space="preserve">Р., </w:t>
      </w:r>
      <w:r>
        <w:rPr>
          <w:color w:val="231F20"/>
          <w:sz w:val="21"/>
        </w:rPr>
        <w:t>Пухтецька А. та ін. Загальне адміні- стративне право: підручник. Київ: Юрінком Інтер, 2017. 566</w:t>
      </w:r>
      <w:r>
        <w:rPr>
          <w:color w:val="231F20"/>
          <w:spacing w:val="-8"/>
          <w:sz w:val="21"/>
        </w:rPr>
        <w:t xml:space="preserve"> </w:t>
      </w:r>
      <w:r>
        <w:rPr>
          <w:color w:val="231F20"/>
          <w:sz w:val="21"/>
        </w:rPr>
        <w:t>с.</w:t>
      </w:r>
    </w:p>
    <w:p w14:paraId="0795B674" w14:textId="77777777" w:rsidR="00DE575E" w:rsidRDefault="002E7560">
      <w:pPr>
        <w:pStyle w:val="ListParagraph"/>
        <w:numPr>
          <w:ilvl w:val="0"/>
          <w:numId w:val="276"/>
        </w:numPr>
        <w:tabs>
          <w:tab w:val="left" w:pos="818"/>
        </w:tabs>
        <w:spacing w:line="252" w:lineRule="auto"/>
        <w:ind w:right="412" w:firstLine="283"/>
        <w:jc w:val="both"/>
        <w:rPr>
          <w:sz w:val="21"/>
        </w:rPr>
      </w:pPr>
      <w:r>
        <w:rPr>
          <w:color w:val="231F20"/>
          <w:sz w:val="21"/>
        </w:rPr>
        <w:t xml:space="preserve">Кармаліта М. Правова доктрина джерело (форма) права: дис… канд. </w:t>
      </w:r>
      <w:r>
        <w:rPr>
          <w:color w:val="231F20"/>
          <w:sz w:val="21"/>
        </w:rPr>
        <w:t>юрид. наук: 12.00.01. Київ, 2011. С.</w:t>
      </w:r>
      <w:r>
        <w:rPr>
          <w:color w:val="231F20"/>
          <w:spacing w:val="-3"/>
          <w:sz w:val="21"/>
        </w:rPr>
        <w:t xml:space="preserve"> </w:t>
      </w:r>
      <w:r>
        <w:rPr>
          <w:color w:val="231F20"/>
          <w:sz w:val="21"/>
        </w:rPr>
        <w:t>182.</w:t>
      </w:r>
    </w:p>
    <w:p w14:paraId="15854407" w14:textId="77777777" w:rsidR="00DE575E" w:rsidRDefault="002E7560">
      <w:pPr>
        <w:pStyle w:val="ListParagraph"/>
        <w:numPr>
          <w:ilvl w:val="0"/>
          <w:numId w:val="276"/>
        </w:numPr>
        <w:tabs>
          <w:tab w:val="left" w:pos="818"/>
        </w:tabs>
        <w:spacing w:line="252" w:lineRule="auto"/>
        <w:ind w:right="412" w:firstLine="283"/>
        <w:jc w:val="both"/>
        <w:rPr>
          <w:sz w:val="21"/>
        </w:rPr>
      </w:pPr>
      <w:r>
        <w:rPr>
          <w:color w:val="231F20"/>
          <w:sz w:val="21"/>
        </w:rPr>
        <w:t xml:space="preserve">Мельник </w:t>
      </w:r>
      <w:r>
        <w:rPr>
          <w:color w:val="231F20"/>
          <w:spacing w:val="-14"/>
          <w:sz w:val="21"/>
        </w:rPr>
        <w:t xml:space="preserve">Р. </w:t>
      </w:r>
      <w:r>
        <w:rPr>
          <w:color w:val="231F20"/>
          <w:sz w:val="21"/>
        </w:rPr>
        <w:t>та ін. 100 відповідей на 100 питань по загальному адміністративному праву: навчальний посібник. Київ: Юрінком Інтер, 2017. С. 85. (російською</w:t>
      </w:r>
      <w:r>
        <w:rPr>
          <w:color w:val="231F20"/>
          <w:spacing w:val="-1"/>
          <w:sz w:val="21"/>
        </w:rPr>
        <w:t xml:space="preserve"> </w:t>
      </w:r>
      <w:r>
        <w:rPr>
          <w:color w:val="231F20"/>
          <w:sz w:val="21"/>
        </w:rPr>
        <w:t>мовою).</w:t>
      </w:r>
    </w:p>
    <w:p w14:paraId="348F89C0" w14:textId="77777777" w:rsidR="00DE575E" w:rsidRDefault="002E7560">
      <w:pPr>
        <w:pStyle w:val="ListParagraph"/>
        <w:numPr>
          <w:ilvl w:val="0"/>
          <w:numId w:val="276"/>
        </w:numPr>
        <w:tabs>
          <w:tab w:val="left" w:pos="818"/>
        </w:tabs>
        <w:spacing w:before="2" w:line="252" w:lineRule="auto"/>
        <w:ind w:right="411" w:firstLine="283"/>
        <w:jc w:val="both"/>
        <w:rPr>
          <w:sz w:val="21"/>
        </w:rPr>
      </w:pPr>
      <w:r>
        <w:rPr>
          <w:color w:val="231F20"/>
          <w:sz w:val="21"/>
        </w:rPr>
        <w:t>Мельник</w:t>
      </w:r>
      <w:r>
        <w:rPr>
          <w:color w:val="231F20"/>
          <w:spacing w:val="-15"/>
          <w:sz w:val="21"/>
        </w:rPr>
        <w:t xml:space="preserve"> </w:t>
      </w:r>
      <w:r>
        <w:rPr>
          <w:color w:val="231F20"/>
          <w:spacing w:val="-14"/>
          <w:sz w:val="21"/>
        </w:rPr>
        <w:t>Р.</w:t>
      </w:r>
      <w:r>
        <w:rPr>
          <w:color w:val="231F20"/>
          <w:spacing w:val="-15"/>
          <w:sz w:val="21"/>
        </w:rPr>
        <w:t xml:space="preserve"> </w:t>
      </w:r>
      <w:r>
        <w:rPr>
          <w:color w:val="231F20"/>
          <w:sz w:val="21"/>
        </w:rPr>
        <w:t>Загальне</w:t>
      </w:r>
      <w:r>
        <w:rPr>
          <w:color w:val="231F20"/>
          <w:spacing w:val="-15"/>
          <w:sz w:val="21"/>
        </w:rPr>
        <w:t xml:space="preserve"> </w:t>
      </w:r>
      <w:r>
        <w:rPr>
          <w:color w:val="231F20"/>
          <w:sz w:val="21"/>
        </w:rPr>
        <w:t>адміністративне</w:t>
      </w:r>
      <w:r>
        <w:rPr>
          <w:color w:val="231F20"/>
          <w:spacing w:val="-15"/>
          <w:sz w:val="21"/>
        </w:rPr>
        <w:t xml:space="preserve"> </w:t>
      </w:r>
      <w:r>
        <w:rPr>
          <w:color w:val="231F20"/>
          <w:sz w:val="21"/>
        </w:rPr>
        <w:t>право</w:t>
      </w:r>
      <w:r>
        <w:rPr>
          <w:color w:val="231F20"/>
          <w:spacing w:val="-15"/>
          <w:sz w:val="21"/>
        </w:rPr>
        <w:t xml:space="preserve"> </w:t>
      </w:r>
      <w:r>
        <w:rPr>
          <w:color w:val="231F20"/>
          <w:sz w:val="21"/>
        </w:rPr>
        <w:t>в</w:t>
      </w:r>
      <w:r>
        <w:rPr>
          <w:color w:val="231F20"/>
          <w:spacing w:val="-12"/>
          <w:sz w:val="21"/>
        </w:rPr>
        <w:t xml:space="preserve"> </w:t>
      </w:r>
      <w:r>
        <w:rPr>
          <w:color w:val="231F20"/>
          <w:sz w:val="21"/>
        </w:rPr>
        <w:t>питаннях</w:t>
      </w:r>
      <w:r>
        <w:rPr>
          <w:color w:val="231F20"/>
          <w:spacing w:val="-15"/>
          <w:sz w:val="21"/>
        </w:rPr>
        <w:t xml:space="preserve"> </w:t>
      </w:r>
      <w:r>
        <w:rPr>
          <w:color w:val="231F20"/>
          <w:sz w:val="21"/>
        </w:rPr>
        <w:t>і</w:t>
      </w:r>
      <w:r>
        <w:rPr>
          <w:color w:val="231F20"/>
          <w:spacing w:val="-15"/>
          <w:sz w:val="21"/>
        </w:rPr>
        <w:t xml:space="preserve"> </w:t>
      </w:r>
      <w:r>
        <w:rPr>
          <w:color w:val="231F20"/>
          <w:sz w:val="21"/>
        </w:rPr>
        <w:t>відпо- відях : навчальний посібник. Київ: Юрінком Інтер, 2018. 308</w:t>
      </w:r>
      <w:r>
        <w:rPr>
          <w:color w:val="231F20"/>
          <w:spacing w:val="-2"/>
          <w:sz w:val="21"/>
        </w:rPr>
        <w:t xml:space="preserve"> </w:t>
      </w:r>
      <w:r>
        <w:rPr>
          <w:color w:val="231F20"/>
          <w:sz w:val="21"/>
        </w:rPr>
        <w:t>с.</w:t>
      </w:r>
    </w:p>
    <w:p w14:paraId="01A44FFD" w14:textId="77777777" w:rsidR="00DE575E" w:rsidRDefault="002E7560">
      <w:pPr>
        <w:pStyle w:val="ListParagraph"/>
        <w:numPr>
          <w:ilvl w:val="0"/>
          <w:numId w:val="276"/>
        </w:numPr>
        <w:tabs>
          <w:tab w:val="left" w:pos="818"/>
        </w:tabs>
        <w:spacing w:line="252" w:lineRule="auto"/>
        <w:ind w:right="411" w:firstLine="283"/>
        <w:jc w:val="both"/>
        <w:rPr>
          <w:sz w:val="21"/>
        </w:rPr>
      </w:pPr>
      <w:r>
        <w:rPr>
          <w:color w:val="231F20"/>
          <w:sz w:val="21"/>
        </w:rPr>
        <w:t xml:space="preserve">Цуркаленко </w:t>
      </w:r>
      <w:r>
        <w:rPr>
          <w:color w:val="231F20"/>
          <w:spacing w:val="-3"/>
          <w:sz w:val="21"/>
        </w:rPr>
        <w:t xml:space="preserve">Ю. </w:t>
      </w:r>
      <w:r>
        <w:rPr>
          <w:color w:val="231F20"/>
          <w:sz w:val="21"/>
        </w:rPr>
        <w:t xml:space="preserve">Визнання </w:t>
      </w:r>
      <w:r>
        <w:rPr>
          <w:color w:val="231F20"/>
          <w:spacing w:val="-3"/>
          <w:sz w:val="21"/>
        </w:rPr>
        <w:t xml:space="preserve">судових </w:t>
      </w:r>
      <w:r>
        <w:rPr>
          <w:color w:val="231F20"/>
          <w:sz w:val="21"/>
        </w:rPr>
        <w:t xml:space="preserve">рішень джерелами адмініст- ративного права як необхідність забезпечення принципу верховен- ства права. 2015. № 4. С. 297 301. URL: </w:t>
      </w:r>
      <w:hyperlink r:id="rId28">
        <w:r>
          <w:rPr>
            <w:color w:val="231F20"/>
            <w:spacing w:val="-3"/>
            <w:sz w:val="21"/>
          </w:rPr>
          <w:t>http://nbuv.gov.ua/UJRN/FP_</w:t>
        </w:r>
      </w:hyperlink>
      <w:r>
        <w:rPr>
          <w:color w:val="231F20"/>
          <w:spacing w:val="-3"/>
          <w:sz w:val="21"/>
        </w:rPr>
        <w:t xml:space="preserve"> </w:t>
      </w:r>
      <w:r>
        <w:rPr>
          <w:color w:val="231F20"/>
          <w:sz w:val="21"/>
        </w:rPr>
        <w:t>index.htm_2015_4_53.</w:t>
      </w:r>
    </w:p>
    <w:p w14:paraId="179D4A18" w14:textId="77777777" w:rsidR="00DE575E" w:rsidRDefault="002E7560">
      <w:pPr>
        <w:pStyle w:val="ListParagraph"/>
        <w:numPr>
          <w:ilvl w:val="0"/>
          <w:numId w:val="276"/>
        </w:numPr>
        <w:tabs>
          <w:tab w:val="left" w:pos="818"/>
        </w:tabs>
        <w:spacing w:before="2" w:line="252" w:lineRule="auto"/>
        <w:ind w:right="410" w:firstLine="283"/>
        <w:jc w:val="both"/>
        <w:rPr>
          <w:sz w:val="21"/>
        </w:rPr>
      </w:pPr>
      <w:r>
        <w:rPr>
          <w:color w:val="231F20"/>
          <w:sz w:val="21"/>
        </w:rPr>
        <w:t xml:space="preserve">Шалінська  І.  Акти  «м’якого  права»:  поняття  та  значення    у міжнародному </w:t>
      </w:r>
      <w:r>
        <w:rPr>
          <w:color w:val="231F20"/>
          <w:spacing w:val="-3"/>
          <w:sz w:val="21"/>
        </w:rPr>
        <w:t xml:space="preserve">правопорядку. </w:t>
      </w:r>
      <w:r>
        <w:rPr>
          <w:i/>
          <w:color w:val="231F20"/>
          <w:sz w:val="21"/>
        </w:rPr>
        <w:t>Соціологія права</w:t>
      </w:r>
      <w:r>
        <w:rPr>
          <w:color w:val="231F20"/>
          <w:sz w:val="21"/>
        </w:rPr>
        <w:t>. 2011. №</w:t>
      </w:r>
      <w:r>
        <w:rPr>
          <w:color w:val="231F20"/>
          <w:spacing w:val="33"/>
          <w:sz w:val="21"/>
        </w:rPr>
        <w:t xml:space="preserve"> </w:t>
      </w:r>
      <w:r>
        <w:rPr>
          <w:color w:val="231F20"/>
          <w:sz w:val="21"/>
        </w:rPr>
        <w:t>2.</w:t>
      </w:r>
    </w:p>
    <w:p w14:paraId="08304281" w14:textId="77777777" w:rsidR="00DE575E" w:rsidRDefault="002E7560">
      <w:pPr>
        <w:pStyle w:val="ListParagraph"/>
        <w:numPr>
          <w:ilvl w:val="0"/>
          <w:numId w:val="276"/>
        </w:numPr>
        <w:tabs>
          <w:tab w:val="left" w:pos="818"/>
        </w:tabs>
        <w:spacing w:line="252" w:lineRule="auto"/>
        <w:ind w:right="411" w:firstLine="283"/>
        <w:jc w:val="both"/>
        <w:rPr>
          <w:sz w:val="21"/>
        </w:rPr>
      </w:pPr>
      <w:r>
        <w:rPr>
          <w:color w:val="231F20"/>
          <w:sz w:val="21"/>
        </w:rPr>
        <w:t xml:space="preserve">Решота </w:t>
      </w:r>
      <w:r>
        <w:rPr>
          <w:color w:val="231F20"/>
          <w:spacing w:val="-3"/>
          <w:sz w:val="21"/>
        </w:rPr>
        <w:t xml:space="preserve">В. </w:t>
      </w:r>
      <w:r>
        <w:rPr>
          <w:color w:val="231F20"/>
          <w:sz w:val="21"/>
        </w:rPr>
        <w:t>Адміністративні договори в си</w:t>
      </w:r>
      <w:r>
        <w:rPr>
          <w:color w:val="231F20"/>
          <w:sz w:val="21"/>
        </w:rPr>
        <w:t xml:space="preserve">стемі джерел адмі- ністративного права </w:t>
      </w:r>
      <w:r>
        <w:rPr>
          <w:color w:val="231F20"/>
          <w:spacing w:val="-3"/>
          <w:sz w:val="21"/>
        </w:rPr>
        <w:t xml:space="preserve">України. </w:t>
      </w:r>
      <w:r>
        <w:rPr>
          <w:i/>
          <w:color w:val="231F20"/>
          <w:sz w:val="21"/>
        </w:rPr>
        <w:t>Вчені записки Таврійського національ- ного університету імені В.І. Вернадського</w:t>
      </w:r>
      <w:r>
        <w:rPr>
          <w:color w:val="231F20"/>
          <w:sz w:val="21"/>
        </w:rPr>
        <w:t xml:space="preserve">. </w:t>
      </w:r>
      <w:r>
        <w:rPr>
          <w:i/>
          <w:color w:val="231F20"/>
          <w:sz w:val="21"/>
        </w:rPr>
        <w:t>Серія: юридичні науки</w:t>
      </w:r>
      <w:r>
        <w:rPr>
          <w:color w:val="231F20"/>
          <w:sz w:val="21"/>
        </w:rPr>
        <w:t xml:space="preserve">. 2018. </w:t>
      </w:r>
      <w:r>
        <w:rPr>
          <w:color w:val="231F20"/>
          <w:spacing w:val="-12"/>
          <w:sz w:val="21"/>
        </w:rPr>
        <w:t xml:space="preserve">Т. </w:t>
      </w:r>
      <w:r>
        <w:rPr>
          <w:color w:val="231F20"/>
          <w:sz w:val="21"/>
        </w:rPr>
        <w:t>29 (68). № 4. C.</w:t>
      </w:r>
      <w:r>
        <w:rPr>
          <w:color w:val="231F20"/>
          <w:spacing w:val="-29"/>
          <w:sz w:val="21"/>
        </w:rPr>
        <w:t xml:space="preserve"> </w:t>
      </w:r>
      <w:r>
        <w:rPr>
          <w:color w:val="231F20"/>
          <w:sz w:val="21"/>
        </w:rPr>
        <w:t>126–130.</w:t>
      </w:r>
    </w:p>
    <w:p w14:paraId="3E740E4A" w14:textId="77777777" w:rsidR="00DE575E" w:rsidRDefault="002E7560">
      <w:pPr>
        <w:pStyle w:val="ListParagraph"/>
        <w:numPr>
          <w:ilvl w:val="0"/>
          <w:numId w:val="276"/>
        </w:numPr>
        <w:tabs>
          <w:tab w:val="left" w:pos="818"/>
        </w:tabs>
        <w:spacing w:before="2" w:line="252" w:lineRule="auto"/>
        <w:ind w:right="411" w:firstLine="283"/>
        <w:jc w:val="both"/>
        <w:rPr>
          <w:sz w:val="21"/>
        </w:rPr>
      </w:pPr>
      <w:r>
        <w:rPr>
          <w:color w:val="231F20"/>
          <w:sz w:val="21"/>
        </w:rPr>
        <w:t xml:space="preserve">Решота </w:t>
      </w:r>
      <w:r>
        <w:rPr>
          <w:color w:val="231F20"/>
          <w:spacing w:val="-3"/>
          <w:sz w:val="21"/>
        </w:rPr>
        <w:t xml:space="preserve">В. </w:t>
      </w:r>
      <w:r>
        <w:rPr>
          <w:color w:val="231F20"/>
          <w:sz w:val="21"/>
        </w:rPr>
        <w:t>Акти органів місцевого самоврядування в системі джерел адмі</w:t>
      </w:r>
      <w:r>
        <w:rPr>
          <w:color w:val="231F20"/>
          <w:sz w:val="21"/>
        </w:rPr>
        <w:t xml:space="preserve">ністративного права. </w:t>
      </w:r>
      <w:r>
        <w:rPr>
          <w:i/>
          <w:color w:val="231F20"/>
          <w:sz w:val="21"/>
        </w:rPr>
        <w:t>Право  і  суспільство</w:t>
      </w:r>
      <w:r>
        <w:rPr>
          <w:color w:val="231F20"/>
          <w:sz w:val="21"/>
        </w:rPr>
        <w:t>.  2017.  № 6. С. 126–131.</w:t>
      </w:r>
    </w:p>
    <w:p w14:paraId="055510A7" w14:textId="77777777" w:rsidR="00DE575E" w:rsidRDefault="002E7560">
      <w:pPr>
        <w:pStyle w:val="BodyText"/>
        <w:spacing w:before="1" w:line="252" w:lineRule="auto"/>
        <w:ind w:left="250" w:right="411" w:firstLine="283"/>
        <w:jc w:val="both"/>
      </w:pPr>
      <w:r>
        <w:rPr>
          <w:color w:val="231F20"/>
        </w:rPr>
        <w:t>10.Решота В. Джерела адміністративного права України: проб- леми судового застосування: монографія. Львів: ТзОВ Галицька видавнича спілка, 2018. 432 с.</w:t>
      </w:r>
    </w:p>
    <w:p w14:paraId="2B6C97B5" w14:textId="77777777" w:rsidR="00DE575E" w:rsidRDefault="00DE575E">
      <w:pPr>
        <w:pStyle w:val="BodyText"/>
        <w:rPr>
          <w:sz w:val="20"/>
        </w:rPr>
      </w:pPr>
    </w:p>
    <w:p w14:paraId="0004C7B6" w14:textId="77777777" w:rsidR="00DE575E" w:rsidRDefault="00DE575E">
      <w:pPr>
        <w:pStyle w:val="BodyText"/>
        <w:rPr>
          <w:sz w:val="20"/>
        </w:rPr>
      </w:pPr>
    </w:p>
    <w:p w14:paraId="526E3322" w14:textId="77777777" w:rsidR="00DE575E" w:rsidRDefault="00DE575E">
      <w:pPr>
        <w:pStyle w:val="BodyText"/>
        <w:rPr>
          <w:sz w:val="20"/>
        </w:rPr>
      </w:pPr>
    </w:p>
    <w:p w14:paraId="68AC8B06" w14:textId="77777777" w:rsidR="00DE575E" w:rsidRDefault="00DE575E">
      <w:pPr>
        <w:pStyle w:val="BodyText"/>
        <w:rPr>
          <w:sz w:val="20"/>
        </w:rPr>
      </w:pPr>
    </w:p>
    <w:p w14:paraId="3E5E4D8E" w14:textId="77777777" w:rsidR="00DE575E" w:rsidRDefault="00DE575E">
      <w:pPr>
        <w:pStyle w:val="BodyText"/>
        <w:spacing w:before="10"/>
        <w:rPr>
          <w:sz w:val="20"/>
        </w:rPr>
      </w:pPr>
    </w:p>
    <w:p w14:paraId="42D21B66" w14:textId="77777777" w:rsidR="00DE575E" w:rsidRDefault="002E7560">
      <w:pPr>
        <w:spacing w:before="92"/>
        <w:ind w:right="411"/>
        <w:jc w:val="right"/>
        <w:rPr>
          <w:rFonts w:ascii="Times New Roman"/>
          <w:sz w:val="20"/>
        </w:rPr>
      </w:pPr>
      <w:r>
        <w:rPr>
          <w:rFonts w:ascii="Times New Roman"/>
          <w:color w:val="231F20"/>
          <w:w w:val="90"/>
          <w:sz w:val="20"/>
        </w:rPr>
        <w:t>79</w:t>
      </w:r>
    </w:p>
    <w:p w14:paraId="1171F79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C34260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7A3FA5D" w14:textId="0566FE5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D44F339" wp14:editId="625C2E3E">
                <wp:extent cx="4140200" cy="6350"/>
                <wp:effectExtent l="0" t="0" r="12700" b="6350"/>
                <wp:docPr id="1206"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07" name="Line 120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1CEAF2" id="Group_x0020_120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yLnI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YDIucgAIAAJwFAAAO&#10;AAAAAAAAAAAAAAAAACwCAABkcnMvZTJvRG9jLnhtbFBLAQItABQABgAIAAAAIQBMp7CQ2QAAAAMB&#10;AAAPAAAAAAAAAAAAAAAAANgEAABkcnMvZG93bnJldi54bWxQSwUGAAAAAAQABADzAAAA3gUAAAAA&#10;">
                <v:line id="Line_x0020_120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u4EsUAAADdAAAADwAAAGRycy9kb3ducmV2LnhtbERPzWrCQBC+C77DMgUvpdlUoZaYVaRQ&#10;KB60Gh9gzI5J6O5szK4m7dN3CwVv8/H9Tr4arBE36nzjWMFzkoIgLp1uuFJwLN6fXkH4gKzROCYF&#10;3+RhtRyPcsy063lPt0OoRAxhn6GCOoQ2k9KXNVn0iWuJI3d2ncUQYVdJ3WEfw62R0zR9kRYbjg01&#10;tvRWU/l1uFoFxeUxmM/dxvTF7jSTp8t29nPdKjV5GNYLEIGGcBf/uz90nD9N5/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qu4EsUAAADdAAAADwAAAAAAAAAA&#10;AAAAAAChAgAAZHJzL2Rvd25yZXYueG1sUEsFBgAAAAAEAAQA+QAAAJMDAAAAAA==&#10;" strokecolor="#231f20" strokeweight=".5pt"/>
                <w10:anchorlock/>
              </v:group>
            </w:pict>
          </mc:Fallback>
        </mc:AlternateContent>
      </w:r>
    </w:p>
    <w:p w14:paraId="48C8AC7C" w14:textId="77777777" w:rsidR="00DE575E" w:rsidRDefault="00DE575E">
      <w:pPr>
        <w:pStyle w:val="BodyText"/>
        <w:rPr>
          <w:rFonts w:ascii="AdonisC"/>
          <w:i/>
          <w:sz w:val="18"/>
        </w:rPr>
      </w:pPr>
    </w:p>
    <w:p w14:paraId="558DDDB3" w14:textId="77777777" w:rsidR="00DE575E" w:rsidRDefault="002E7560">
      <w:pPr>
        <w:pStyle w:val="Heading2"/>
        <w:spacing w:before="1" w:line="300" w:lineRule="exact"/>
        <w:ind w:right="292"/>
        <w:jc w:val="center"/>
      </w:pPr>
      <w:r>
        <w:rPr>
          <w:color w:val="231F20"/>
        </w:rPr>
        <w:t>Розділ 4</w:t>
      </w:r>
    </w:p>
    <w:p w14:paraId="3E7EEEE6" w14:textId="77777777" w:rsidR="00DE575E" w:rsidRDefault="002E7560">
      <w:pPr>
        <w:ind w:left="819"/>
        <w:rPr>
          <w:b/>
          <w:sz w:val="16"/>
        </w:rPr>
      </w:pPr>
      <w:r>
        <w:rPr>
          <w:b/>
          <w:color w:val="231F20"/>
          <w:sz w:val="28"/>
        </w:rPr>
        <w:t>СУБ’ЄКТИ ПУБЛІЧНОГО АДМІНІСТРУВАННЯ</w:t>
      </w:r>
      <w:r>
        <w:rPr>
          <w:b/>
          <w:color w:val="231F20"/>
          <w:position w:val="9"/>
          <w:sz w:val="16"/>
        </w:rPr>
        <w:t>1</w:t>
      </w:r>
    </w:p>
    <w:p w14:paraId="269FC359" w14:textId="77777777" w:rsidR="00DE575E" w:rsidRDefault="00DE575E">
      <w:pPr>
        <w:pStyle w:val="BodyText"/>
        <w:rPr>
          <w:b/>
          <w:sz w:val="43"/>
        </w:rPr>
      </w:pPr>
    </w:p>
    <w:p w14:paraId="5A160658" w14:textId="77777777" w:rsidR="00DE575E" w:rsidRDefault="002E7560">
      <w:pPr>
        <w:pStyle w:val="Heading4"/>
        <w:ind w:left="2282" w:right="521" w:hanging="216"/>
      </w:pPr>
      <w:r>
        <w:rPr>
          <w:color w:val="231F20"/>
        </w:rPr>
        <w:t>4.1. Поняття та система суб’єктів публічного адміністрування</w:t>
      </w:r>
    </w:p>
    <w:p w14:paraId="19FE5615" w14:textId="77777777" w:rsidR="00DE575E" w:rsidRDefault="00DE575E">
      <w:pPr>
        <w:pStyle w:val="BodyText"/>
        <w:rPr>
          <w:b/>
          <w:sz w:val="26"/>
        </w:rPr>
      </w:pPr>
    </w:p>
    <w:p w14:paraId="4D391D9F" w14:textId="77777777" w:rsidR="00DE575E" w:rsidRDefault="002E7560">
      <w:pPr>
        <w:pStyle w:val="BodyText"/>
        <w:spacing w:before="224" w:line="252" w:lineRule="auto"/>
        <w:ind w:left="533" w:right="128" w:firstLine="283"/>
        <w:jc w:val="both"/>
      </w:pPr>
      <w:r>
        <w:rPr>
          <w:color w:val="231F20"/>
        </w:rPr>
        <w:t xml:space="preserve">Ключовим     </w:t>
      </w:r>
      <w:r>
        <w:rPr>
          <w:color w:val="231F20"/>
          <w:spacing w:val="-3"/>
        </w:rPr>
        <w:t xml:space="preserve">суб’єктом      </w:t>
      </w:r>
      <w:r>
        <w:rPr>
          <w:color w:val="231F20"/>
        </w:rPr>
        <w:t xml:space="preserve">адміністративно-правових      відносин є </w:t>
      </w:r>
      <w:r>
        <w:rPr>
          <w:color w:val="231F20"/>
          <w:spacing w:val="-4"/>
        </w:rPr>
        <w:t xml:space="preserve">суб’єкт </w:t>
      </w:r>
      <w:r>
        <w:rPr>
          <w:color w:val="231F20"/>
        </w:rPr>
        <w:t>публічної адміністрації, без яког</w:t>
      </w:r>
      <w:r>
        <w:rPr>
          <w:color w:val="231F20"/>
        </w:rPr>
        <w:t>о взагалі не можна гово- рити про адміністративне</w:t>
      </w:r>
      <w:r>
        <w:rPr>
          <w:color w:val="231F20"/>
          <w:spacing w:val="-3"/>
        </w:rPr>
        <w:t xml:space="preserve"> </w:t>
      </w:r>
      <w:r>
        <w:rPr>
          <w:color w:val="231F20"/>
        </w:rPr>
        <w:t>право.</w:t>
      </w:r>
    </w:p>
    <w:p w14:paraId="23324D3B" w14:textId="77777777" w:rsidR="00DE575E" w:rsidRDefault="00DE575E">
      <w:pPr>
        <w:pStyle w:val="BodyText"/>
        <w:spacing w:before="1"/>
        <w:rPr>
          <w:sz w:val="22"/>
        </w:rPr>
      </w:pPr>
    </w:p>
    <w:p w14:paraId="5BC99C8F" w14:textId="77777777" w:rsidR="00DE575E" w:rsidRDefault="002E7560">
      <w:pPr>
        <w:pStyle w:val="Heading5"/>
        <w:numPr>
          <w:ilvl w:val="2"/>
          <w:numId w:val="275"/>
        </w:numPr>
        <w:tabs>
          <w:tab w:val="left" w:pos="1383"/>
        </w:tabs>
        <w:spacing w:before="1"/>
        <w:jc w:val="left"/>
      </w:pPr>
      <w:r>
        <w:rPr>
          <w:color w:val="231F20"/>
        </w:rPr>
        <w:t xml:space="preserve">Поняття </w:t>
      </w:r>
      <w:r>
        <w:rPr>
          <w:color w:val="231F20"/>
          <w:spacing w:val="-3"/>
        </w:rPr>
        <w:t xml:space="preserve">суб’єкта </w:t>
      </w:r>
      <w:r>
        <w:rPr>
          <w:color w:val="231F20"/>
        </w:rPr>
        <w:t>публічного</w:t>
      </w:r>
      <w:r>
        <w:rPr>
          <w:color w:val="231F20"/>
          <w:spacing w:val="-2"/>
        </w:rPr>
        <w:t xml:space="preserve"> </w:t>
      </w:r>
      <w:r>
        <w:rPr>
          <w:color w:val="231F20"/>
        </w:rPr>
        <w:t>адміністрування</w:t>
      </w:r>
    </w:p>
    <w:p w14:paraId="608808C4" w14:textId="77777777" w:rsidR="00DE575E" w:rsidRDefault="00DE575E">
      <w:pPr>
        <w:pStyle w:val="BodyText"/>
        <w:spacing w:before="2"/>
        <w:rPr>
          <w:b/>
          <w:sz w:val="23"/>
        </w:rPr>
      </w:pPr>
    </w:p>
    <w:p w14:paraId="5DC539D8" w14:textId="77777777" w:rsidR="00DE575E" w:rsidRDefault="002E7560">
      <w:pPr>
        <w:pStyle w:val="BodyText"/>
        <w:spacing w:line="252" w:lineRule="auto"/>
        <w:ind w:left="533" w:right="127" w:firstLine="283"/>
        <w:jc w:val="both"/>
      </w:pPr>
      <w:r>
        <w:rPr>
          <w:color w:val="231F20"/>
          <w:spacing w:val="-4"/>
        </w:rPr>
        <w:t xml:space="preserve">Суб’єкти </w:t>
      </w:r>
      <w:r>
        <w:rPr>
          <w:color w:val="231F20"/>
        </w:rPr>
        <w:t>публічного адміністрування (публічна адміністрація) мають певну організаційну структуру публічного адміністрування, під якою розуміється органічно єдина та чинна система органів публічного</w:t>
      </w:r>
      <w:r>
        <w:rPr>
          <w:color w:val="231F20"/>
          <w:spacing w:val="-10"/>
        </w:rPr>
        <w:t xml:space="preserve"> </w:t>
      </w:r>
      <w:r>
        <w:rPr>
          <w:color w:val="231F20"/>
        </w:rPr>
        <w:t>управління,</w:t>
      </w:r>
      <w:r>
        <w:rPr>
          <w:color w:val="231F20"/>
          <w:spacing w:val="-10"/>
        </w:rPr>
        <w:t xml:space="preserve"> </w:t>
      </w:r>
      <w:r>
        <w:rPr>
          <w:color w:val="231F20"/>
        </w:rPr>
        <w:t>передусім</w:t>
      </w:r>
      <w:r>
        <w:rPr>
          <w:color w:val="231F20"/>
          <w:spacing w:val="-10"/>
        </w:rPr>
        <w:t xml:space="preserve"> </w:t>
      </w:r>
      <w:r>
        <w:rPr>
          <w:color w:val="231F20"/>
        </w:rPr>
        <w:t>органів</w:t>
      </w:r>
      <w:r>
        <w:rPr>
          <w:color w:val="231F20"/>
          <w:spacing w:val="-10"/>
        </w:rPr>
        <w:t xml:space="preserve"> </w:t>
      </w:r>
      <w:r>
        <w:rPr>
          <w:color w:val="231F20"/>
        </w:rPr>
        <w:t>виконавчої</w:t>
      </w:r>
      <w:r>
        <w:rPr>
          <w:color w:val="231F20"/>
          <w:spacing w:val="-10"/>
        </w:rPr>
        <w:t xml:space="preserve"> </w:t>
      </w:r>
      <w:r>
        <w:rPr>
          <w:color w:val="231F20"/>
        </w:rPr>
        <w:t>влади</w:t>
      </w:r>
      <w:r>
        <w:rPr>
          <w:color w:val="231F20"/>
          <w:spacing w:val="-9"/>
        </w:rPr>
        <w:t xml:space="preserve"> </w:t>
      </w:r>
      <w:r>
        <w:rPr>
          <w:color w:val="231F20"/>
        </w:rPr>
        <w:t>та</w:t>
      </w:r>
      <w:r>
        <w:rPr>
          <w:color w:val="231F20"/>
          <w:spacing w:val="-10"/>
        </w:rPr>
        <w:t xml:space="preserve"> </w:t>
      </w:r>
      <w:r>
        <w:rPr>
          <w:color w:val="231F20"/>
        </w:rPr>
        <w:t>влад- них структур місцевого самоврядування, їх посадових і службових осіб, а також установ, організацій, окремих недержавних структур, які відповідно до законодавства здійснюють публічні управлінські функції з метою задоволення публічного</w:t>
      </w:r>
      <w:r>
        <w:rPr>
          <w:color w:val="231F20"/>
          <w:spacing w:val="-8"/>
        </w:rPr>
        <w:t xml:space="preserve"> </w:t>
      </w:r>
      <w:r>
        <w:rPr>
          <w:color w:val="231F20"/>
        </w:rPr>
        <w:t>інтересу.</w:t>
      </w:r>
    </w:p>
    <w:p w14:paraId="7248E9DC" w14:textId="77777777" w:rsidR="00DE575E" w:rsidRDefault="002E7560">
      <w:pPr>
        <w:pStyle w:val="BodyText"/>
        <w:spacing w:before="4"/>
        <w:ind w:left="817"/>
      </w:pPr>
      <w:r>
        <w:rPr>
          <w:color w:val="231F20"/>
        </w:rPr>
        <w:t>До осн</w:t>
      </w:r>
      <w:r>
        <w:rPr>
          <w:color w:val="231F20"/>
        </w:rPr>
        <w:t>овних суб’єктів публічної адміністрації належать:</w:t>
      </w:r>
    </w:p>
    <w:p w14:paraId="72408751" w14:textId="77777777" w:rsidR="00DE575E" w:rsidRDefault="002E7560">
      <w:pPr>
        <w:pStyle w:val="ListParagraph"/>
        <w:numPr>
          <w:ilvl w:val="0"/>
          <w:numId w:val="274"/>
        </w:numPr>
        <w:tabs>
          <w:tab w:val="left" w:pos="1101"/>
        </w:tabs>
        <w:spacing w:before="12"/>
        <w:ind w:hanging="283"/>
        <w:rPr>
          <w:sz w:val="21"/>
        </w:rPr>
      </w:pPr>
      <w:r>
        <w:rPr>
          <w:color w:val="231F20"/>
          <w:sz w:val="21"/>
        </w:rPr>
        <w:t>органи виконавчої</w:t>
      </w:r>
      <w:r>
        <w:rPr>
          <w:color w:val="231F20"/>
          <w:spacing w:val="-2"/>
          <w:sz w:val="21"/>
        </w:rPr>
        <w:t xml:space="preserve"> </w:t>
      </w:r>
      <w:r>
        <w:rPr>
          <w:color w:val="231F20"/>
          <w:sz w:val="21"/>
        </w:rPr>
        <w:t>влади</w:t>
      </w:r>
      <w:r>
        <w:rPr>
          <w:color w:val="231F20"/>
          <w:position w:val="7"/>
          <w:sz w:val="12"/>
        </w:rPr>
        <w:t>2</w:t>
      </w:r>
      <w:r>
        <w:rPr>
          <w:color w:val="231F20"/>
          <w:sz w:val="21"/>
        </w:rPr>
        <w:t>;</w:t>
      </w:r>
    </w:p>
    <w:p w14:paraId="30942BEF" w14:textId="77777777" w:rsidR="00DE575E" w:rsidRDefault="002E7560">
      <w:pPr>
        <w:pStyle w:val="ListParagraph"/>
        <w:numPr>
          <w:ilvl w:val="0"/>
          <w:numId w:val="274"/>
        </w:numPr>
        <w:tabs>
          <w:tab w:val="left" w:pos="1101"/>
        </w:tabs>
        <w:spacing w:before="13"/>
        <w:ind w:hanging="283"/>
        <w:rPr>
          <w:sz w:val="21"/>
        </w:rPr>
      </w:pPr>
      <w:r>
        <w:rPr>
          <w:color w:val="231F20"/>
          <w:spacing w:val="-3"/>
          <w:sz w:val="21"/>
        </w:rPr>
        <w:t xml:space="preserve">суб’єкти </w:t>
      </w:r>
      <w:r>
        <w:rPr>
          <w:color w:val="231F20"/>
          <w:sz w:val="21"/>
        </w:rPr>
        <w:t>місцевого</w:t>
      </w:r>
      <w:r>
        <w:rPr>
          <w:color w:val="231F20"/>
          <w:spacing w:val="1"/>
          <w:sz w:val="21"/>
        </w:rPr>
        <w:t xml:space="preserve"> </w:t>
      </w:r>
      <w:r>
        <w:rPr>
          <w:color w:val="231F20"/>
          <w:sz w:val="21"/>
        </w:rPr>
        <w:t>самоврядування;</w:t>
      </w:r>
    </w:p>
    <w:p w14:paraId="3F662CE4" w14:textId="77777777" w:rsidR="00DE575E" w:rsidRDefault="002E7560">
      <w:pPr>
        <w:pStyle w:val="ListParagraph"/>
        <w:numPr>
          <w:ilvl w:val="0"/>
          <w:numId w:val="274"/>
        </w:numPr>
        <w:tabs>
          <w:tab w:val="left" w:pos="1101"/>
        </w:tabs>
        <w:spacing w:before="13"/>
        <w:ind w:hanging="283"/>
        <w:rPr>
          <w:sz w:val="21"/>
        </w:rPr>
      </w:pPr>
      <w:r>
        <w:rPr>
          <w:color w:val="231F20"/>
          <w:spacing w:val="-3"/>
          <w:sz w:val="21"/>
        </w:rPr>
        <w:t xml:space="preserve">суб’єкти </w:t>
      </w:r>
      <w:r>
        <w:rPr>
          <w:color w:val="231F20"/>
          <w:sz w:val="21"/>
        </w:rPr>
        <w:t>делегованих</w:t>
      </w:r>
      <w:r>
        <w:rPr>
          <w:color w:val="231F20"/>
          <w:sz w:val="21"/>
        </w:rPr>
        <w:t xml:space="preserve"> </w:t>
      </w:r>
      <w:r>
        <w:rPr>
          <w:color w:val="231F20"/>
          <w:sz w:val="21"/>
        </w:rPr>
        <w:t>повноважень:</w:t>
      </w:r>
    </w:p>
    <w:p w14:paraId="4DD50217" w14:textId="77777777" w:rsidR="00DE575E" w:rsidRDefault="002E7560">
      <w:pPr>
        <w:spacing w:before="13"/>
        <w:ind w:left="1100"/>
        <w:rPr>
          <w:i/>
          <w:sz w:val="21"/>
        </w:rPr>
      </w:pPr>
      <w:r>
        <w:rPr>
          <w:i/>
          <w:color w:val="231F20"/>
          <w:sz w:val="21"/>
        </w:rPr>
        <w:t>а) громадські об’єднання;</w:t>
      </w:r>
    </w:p>
    <w:p w14:paraId="7FBE0F55" w14:textId="77777777" w:rsidR="00DE575E" w:rsidRDefault="002E7560">
      <w:pPr>
        <w:spacing w:before="13" w:line="252" w:lineRule="auto"/>
        <w:ind w:left="1384" w:right="128" w:hanging="284"/>
        <w:rPr>
          <w:i/>
          <w:sz w:val="21"/>
        </w:rPr>
      </w:pPr>
      <w:r>
        <w:rPr>
          <w:i/>
          <w:color w:val="231F20"/>
          <w:sz w:val="21"/>
        </w:rPr>
        <w:t>б) інші суб’єкти під час здійснення делегованих законодавст- вом виконавчих функцій.</w:t>
      </w:r>
    </w:p>
    <w:p w14:paraId="395F2E0F" w14:textId="77777777" w:rsidR="00DE575E" w:rsidRDefault="002E7560">
      <w:pPr>
        <w:pStyle w:val="BodyText"/>
        <w:spacing w:before="1" w:line="252" w:lineRule="auto"/>
        <w:ind w:left="533" w:firstLine="283"/>
      </w:pPr>
      <w:r>
        <w:rPr>
          <w:color w:val="231F20"/>
        </w:rPr>
        <w:t>Розуміння суб’єкта публічної адміністрації розкривається в Реко- мендації Комітету Міністрів РЄ від 11.09.1984 р. № R (84) 15 щодо</w:t>
      </w:r>
    </w:p>
    <w:p w14:paraId="1376CACC" w14:textId="77777777" w:rsidR="00DE575E" w:rsidRDefault="00DE575E">
      <w:pPr>
        <w:pStyle w:val="BodyText"/>
        <w:rPr>
          <w:sz w:val="20"/>
        </w:rPr>
      </w:pPr>
    </w:p>
    <w:p w14:paraId="4F4EA350" w14:textId="24AE938F" w:rsidR="00DE575E" w:rsidRDefault="002E7560">
      <w:pPr>
        <w:pStyle w:val="BodyText"/>
        <w:spacing w:before="4"/>
        <w:rPr>
          <w:sz w:val="17"/>
        </w:rPr>
      </w:pPr>
      <w:r>
        <w:rPr>
          <w:noProof/>
        </w:rPr>
        <mc:AlternateContent>
          <mc:Choice Requires="wps">
            <w:drawing>
              <wp:anchor distT="0" distB="0" distL="0" distR="0" simplePos="0" relativeHeight="3976" behindDoc="0" locked="0" layoutInCell="1" allowOverlap="1" wp14:anchorId="101A9695" wp14:editId="3EC8493E">
                <wp:simplePos x="0" y="0"/>
                <wp:positionH relativeFrom="page">
                  <wp:posOffset>719455</wp:posOffset>
                </wp:positionH>
                <wp:positionV relativeFrom="paragraph">
                  <wp:posOffset>156845</wp:posOffset>
                </wp:positionV>
                <wp:extent cx="1080135" cy="0"/>
                <wp:effectExtent l="8255" t="17145" r="29210" b="20955"/>
                <wp:wrapTopAndBottom/>
                <wp:docPr id="1205"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88E9" id="Line_x0020_1204" o:spid="_x0000_s1026" style="position:absolute;z-index:3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35pt" to="141.7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" strokecolor="#231f20" strokeweight=".5pt">
                <w10:wrap type="topAndBottom" anchorx="page"/>
              </v:line>
            </w:pict>
          </mc:Fallback>
        </mc:AlternateContent>
      </w:r>
    </w:p>
    <w:p w14:paraId="16DC1E8A"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За загальною редакцією </w:t>
      </w:r>
      <w:r>
        <w:rPr>
          <w:b/>
          <w:color w:val="231F20"/>
          <w:sz w:val="16"/>
        </w:rPr>
        <w:t>Юлії Ващенко.</w:t>
      </w:r>
    </w:p>
    <w:p w14:paraId="158C4BE2" w14:textId="77777777" w:rsidR="00DE575E" w:rsidRDefault="002E7560">
      <w:pPr>
        <w:spacing w:before="23" w:line="204" w:lineRule="auto"/>
        <w:ind w:left="533" w:right="128"/>
        <w:jc w:val="both"/>
        <w:rPr>
          <w:i/>
          <w:sz w:val="16"/>
        </w:rPr>
      </w:pPr>
      <w:r>
        <w:rPr>
          <w:color w:val="231F20"/>
          <w:position w:val="5"/>
          <w:sz w:val="9"/>
        </w:rPr>
        <w:t xml:space="preserve">2 </w:t>
      </w:r>
      <w:r>
        <w:rPr>
          <w:i/>
          <w:color w:val="231F20"/>
          <w:sz w:val="16"/>
        </w:rPr>
        <w:t xml:space="preserve">Згідно з чинним законодавством до органів виконавчої влади не належать </w:t>
      </w:r>
      <w:r>
        <w:rPr>
          <w:i/>
          <w:color w:val="231F20"/>
          <w:spacing w:val="-7"/>
          <w:sz w:val="16"/>
        </w:rPr>
        <w:t xml:space="preserve">СБУ, </w:t>
      </w:r>
      <w:r>
        <w:rPr>
          <w:i/>
          <w:color w:val="231F20"/>
          <w:spacing w:val="-6"/>
          <w:sz w:val="16"/>
        </w:rPr>
        <w:t xml:space="preserve">НАБУ, </w:t>
      </w:r>
      <w:r>
        <w:rPr>
          <w:i/>
          <w:color w:val="231F20"/>
          <w:sz w:val="16"/>
        </w:rPr>
        <w:t>НАЗК, ЦВК, Державна судова адміністрація, Комісія, що здійснює державне регулювання   у сферах енергетики та комунальних послуг, Національна рада України з питань телеба- чення</w:t>
      </w:r>
      <w:r>
        <w:rPr>
          <w:i/>
          <w:color w:val="231F20"/>
          <w:spacing w:val="-8"/>
          <w:sz w:val="16"/>
        </w:rPr>
        <w:t xml:space="preserve"> </w:t>
      </w:r>
      <w:r>
        <w:rPr>
          <w:i/>
          <w:color w:val="231F20"/>
          <w:sz w:val="16"/>
        </w:rPr>
        <w:t>і</w:t>
      </w:r>
      <w:r>
        <w:rPr>
          <w:i/>
          <w:color w:val="231F20"/>
          <w:spacing w:val="-8"/>
          <w:sz w:val="16"/>
        </w:rPr>
        <w:t xml:space="preserve"> </w:t>
      </w:r>
      <w:r>
        <w:rPr>
          <w:i/>
          <w:color w:val="231F20"/>
          <w:sz w:val="16"/>
        </w:rPr>
        <w:t>радіомовлення</w:t>
      </w:r>
      <w:r>
        <w:rPr>
          <w:i/>
          <w:color w:val="231F20"/>
          <w:spacing w:val="-9"/>
          <w:sz w:val="16"/>
        </w:rPr>
        <w:t xml:space="preserve"> </w:t>
      </w:r>
      <w:r>
        <w:rPr>
          <w:i/>
          <w:color w:val="231F20"/>
          <w:sz w:val="16"/>
        </w:rPr>
        <w:t>тощо,</w:t>
      </w:r>
      <w:r>
        <w:rPr>
          <w:i/>
          <w:color w:val="231F20"/>
          <w:spacing w:val="-8"/>
          <w:sz w:val="16"/>
        </w:rPr>
        <w:t xml:space="preserve"> </w:t>
      </w:r>
      <w:r>
        <w:rPr>
          <w:i/>
          <w:color w:val="231F20"/>
          <w:sz w:val="16"/>
        </w:rPr>
        <w:t>проте</w:t>
      </w:r>
      <w:r>
        <w:rPr>
          <w:i/>
          <w:color w:val="231F20"/>
          <w:spacing w:val="-8"/>
          <w:sz w:val="16"/>
        </w:rPr>
        <w:t xml:space="preserve"> </w:t>
      </w:r>
      <w:r>
        <w:rPr>
          <w:i/>
          <w:color w:val="231F20"/>
          <w:sz w:val="16"/>
        </w:rPr>
        <w:t>вони</w:t>
      </w:r>
      <w:r>
        <w:rPr>
          <w:i/>
          <w:color w:val="231F20"/>
          <w:spacing w:val="-8"/>
          <w:sz w:val="16"/>
        </w:rPr>
        <w:t xml:space="preserve"> </w:t>
      </w:r>
      <w:r>
        <w:rPr>
          <w:i/>
          <w:color w:val="231F20"/>
          <w:sz w:val="16"/>
        </w:rPr>
        <w:t>виконують</w:t>
      </w:r>
      <w:r>
        <w:rPr>
          <w:i/>
          <w:color w:val="231F20"/>
          <w:spacing w:val="-8"/>
          <w:sz w:val="16"/>
        </w:rPr>
        <w:t xml:space="preserve"> </w:t>
      </w:r>
      <w:r>
        <w:rPr>
          <w:i/>
          <w:color w:val="231F20"/>
          <w:sz w:val="16"/>
        </w:rPr>
        <w:t>вагомі</w:t>
      </w:r>
      <w:r>
        <w:rPr>
          <w:i/>
          <w:color w:val="231F20"/>
          <w:spacing w:val="-8"/>
          <w:sz w:val="16"/>
        </w:rPr>
        <w:t xml:space="preserve"> </w:t>
      </w:r>
      <w:r>
        <w:rPr>
          <w:i/>
          <w:color w:val="231F20"/>
          <w:sz w:val="16"/>
        </w:rPr>
        <w:t>виконавчі</w:t>
      </w:r>
      <w:r>
        <w:rPr>
          <w:i/>
          <w:color w:val="231F20"/>
          <w:spacing w:val="-8"/>
          <w:sz w:val="16"/>
        </w:rPr>
        <w:t xml:space="preserve"> </w:t>
      </w:r>
      <w:r>
        <w:rPr>
          <w:i/>
          <w:color w:val="231F20"/>
          <w:sz w:val="16"/>
        </w:rPr>
        <w:t>функції</w:t>
      </w:r>
      <w:r>
        <w:rPr>
          <w:i/>
          <w:color w:val="231F20"/>
          <w:spacing w:val="-8"/>
          <w:sz w:val="16"/>
        </w:rPr>
        <w:t xml:space="preserve"> </w:t>
      </w:r>
      <w:r>
        <w:rPr>
          <w:i/>
          <w:color w:val="231F20"/>
          <w:sz w:val="16"/>
        </w:rPr>
        <w:t>у</w:t>
      </w:r>
      <w:r>
        <w:rPr>
          <w:i/>
          <w:color w:val="231F20"/>
          <w:spacing w:val="-8"/>
          <w:sz w:val="16"/>
        </w:rPr>
        <w:t xml:space="preserve"> </w:t>
      </w:r>
      <w:r>
        <w:rPr>
          <w:i/>
          <w:color w:val="231F20"/>
          <w:sz w:val="16"/>
        </w:rPr>
        <w:t>спе</w:t>
      </w:r>
      <w:r>
        <w:rPr>
          <w:i/>
          <w:color w:val="231F20"/>
          <w:sz w:val="16"/>
        </w:rPr>
        <w:t>ціальних сферах адміністративної діяльності тощо. Однак ці органи є державними органами, які здійснюють виконавчу владу в певних сферах суспільного життя. Тим самим їм прита- манні</w:t>
      </w:r>
      <w:r>
        <w:rPr>
          <w:i/>
          <w:color w:val="231F20"/>
          <w:spacing w:val="-9"/>
          <w:sz w:val="16"/>
        </w:rPr>
        <w:t xml:space="preserve"> </w:t>
      </w:r>
      <w:r>
        <w:rPr>
          <w:i/>
          <w:color w:val="231F20"/>
          <w:sz w:val="16"/>
        </w:rPr>
        <w:t>всі</w:t>
      </w:r>
      <w:r>
        <w:rPr>
          <w:i/>
          <w:color w:val="231F20"/>
          <w:spacing w:val="-9"/>
          <w:sz w:val="16"/>
        </w:rPr>
        <w:t xml:space="preserve"> </w:t>
      </w:r>
      <w:r>
        <w:rPr>
          <w:i/>
          <w:color w:val="231F20"/>
          <w:sz w:val="16"/>
        </w:rPr>
        <w:t>ознаки</w:t>
      </w:r>
      <w:r>
        <w:rPr>
          <w:i/>
          <w:color w:val="231F20"/>
          <w:spacing w:val="-10"/>
          <w:sz w:val="16"/>
        </w:rPr>
        <w:t xml:space="preserve"> </w:t>
      </w:r>
      <w:r>
        <w:rPr>
          <w:i/>
          <w:color w:val="231F20"/>
          <w:sz w:val="16"/>
        </w:rPr>
        <w:t>органу</w:t>
      </w:r>
      <w:r>
        <w:rPr>
          <w:i/>
          <w:color w:val="231F20"/>
          <w:spacing w:val="-9"/>
          <w:sz w:val="16"/>
        </w:rPr>
        <w:t xml:space="preserve"> </w:t>
      </w:r>
      <w:r>
        <w:rPr>
          <w:i/>
          <w:color w:val="231F20"/>
          <w:sz w:val="16"/>
        </w:rPr>
        <w:t>виконавчої</w:t>
      </w:r>
      <w:r>
        <w:rPr>
          <w:i/>
          <w:color w:val="231F20"/>
          <w:spacing w:val="-9"/>
          <w:sz w:val="16"/>
        </w:rPr>
        <w:t xml:space="preserve"> </w:t>
      </w:r>
      <w:r>
        <w:rPr>
          <w:i/>
          <w:color w:val="231F20"/>
          <w:sz w:val="16"/>
        </w:rPr>
        <w:t>влади,</w:t>
      </w:r>
      <w:r>
        <w:rPr>
          <w:i/>
          <w:color w:val="231F20"/>
          <w:spacing w:val="-9"/>
          <w:sz w:val="16"/>
        </w:rPr>
        <w:t xml:space="preserve"> </w:t>
      </w:r>
      <w:r>
        <w:rPr>
          <w:i/>
          <w:color w:val="231F20"/>
          <w:sz w:val="16"/>
        </w:rPr>
        <w:t>а</w:t>
      </w:r>
      <w:r>
        <w:rPr>
          <w:i/>
          <w:color w:val="231F20"/>
          <w:spacing w:val="-9"/>
          <w:sz w:val="16"/>
        </w:rPr>
        <w:t xml:space="preserve"> </w:t>
      </w:r>
      <w:r>
        <w:rPr>
          <w:i/>
          <w:color w:val="231F20"/>
          <w:sz w:val="16"/>
        </w:rPr>
        <w:t>тому</w:t>
      </w:r>
      <w:r>
        <w:rPr>
          <w:i/>
          <w:color w:val="231F20"/>
          <w:spacing w:val="-10"/>
          <w:sz w:val="16"/>
        </w:rPr>
        <w:t xml:space="preserve"> </w:t>
      </w:r>
      <w:r>
        <w:rPr>
          <w:i/>
          <w:color w:val="231F20"/>
          <w:sz w:val="16"/>
        </w:rPr>
        <w:t>їх</w:t>
      </w:r>
      <w:r>
        <w:rPr>
          <w:i/>
          <w:color w:val="231F20"/>
          <w:spacing w:val="-10"/>
          <w:sz w:val="16"/>
        </w:rPr>
        <w:t xml:space="preserve"> </w:t>
      </w:r>
      <w:r>
        <w:rPr>
          <w:i/>
          <w:color w:val="231F20"/>
          <w:sz w:val="16"/>
        </w:rPr>
        <w:t>практично</w:t>
      </w:r>
      <w:r>
        <w:rPr>
          <w:i/>
          <w:color w:val="231F20"/>
          <w:spacing w:val="-9"/>
          <w:sz w:val="16"/>
        </w:rPr>
        <w:t xml:space="preserve"> </w:t>
      </w:r>
      <w:r>
        <w:rPr>
          <w:i/>
          <w:color w:val="231F20"/>
          <w:sz w:val="16"/>
        </w:rPr>
        <w:t>потрібно</w:t>
      </w:r>
      <w:r>
        <w:rPr>
          <w:i/>
          <w:color w:val="231F20"/>
          <w:spacing w:val="-9"/>
          <w:sz w:val="16"/>
        </w:rPr>
        <w:t xml:space="preserve"> </w:t>
      </w:r>
      <w:r>
        <w:rPr>
          <w:i/>
          <w:color w:val="231F20"/>
          <w:sz w:val="16"/>
        </w:rPr>
        <w:t>відносити</w:t>
      </w:r>
      <w:r>
        <w:rPr>
          <w:i/>
          <w:color w:val="231F20"/>
          <w:spacing w:val="-9"/>
          <w:sz w:val="16"/>
        </w:rPr>
        <w:t xml:space="preserve"> </w:t>
      </w:r>
      <w:r>
        <w:rPr>
          <w:i/>
          <w:color w:val="231F20"/>
          <w:sz w:val="16"/>
        </w:rPr>
        <w:t>до</w:t>
      </w:r>
      <w:r>
        <w:rPr>
          <w:i/>
          <w:color w:val="231F20"/>
          <w:spacing w:val="-9"/>
          <w:sz w:val="16"/>
        </w:rPr>
        <w:t xml:space="preserve"> </w:t>
      </w:r>
      <w:r>
        <w:rPr>
          <w:i/>
          <w:color w:val="231F20"/>
          <w:sz w:val="16"/>
        </w:rPr>
        <w:t>орга- нів виконавчої</w:t>
      </w:r>
      <w:r>
        <w:rPr>
          <w:i/>
          <w:color w:val="231F20"/>
          <w:spacing w:val="-2"/>
          <w:sz w:val="16"/>
        </w:rPr>
        <w:t xml:space="preserve"> </w:t>
      </w:r>
      <w:r>
        <w:rPr>
          <w:i/>
          <w:color w:val="231F20"/>
          <w:sz w:val="16"/>
        </w:rPr>
        <w:t>влади.</w:t>
      </w:r>
    </w:p>
    <w:p w14:paraId="4247D5F9" w14:textId="77777777" w:rsidR="00DE575E" w:rsidRDefault="00DE575E">
      <w:pPr>
        <w:pStyle w:val="BodyText"/>
        <w:spacing w:before="8"/>
        <w:rPr>
          <w:i/>
          <w:sz w:val="12"/>
        </w:rPr>
      </w:pPr>
    </w:p>
    <w:p w14:paraId="58E88620" w14:textId="77777777" w:rsidR="00DE575E" w:rsidRDefault="002E7560">
      <w:pPr>
        <w:spacing w:before="92"/>
        <w:ind w:left="533"/>
        <w:rPr>
          <w:rFonts w:ascii="Times New Roman"/>
          <w:sz w:val="20"/>
        </w:rPr>
      </w:pPr>
      <w:r>
        <w:rPr>
          <w:rFonts w:ascii="Times New Roman"/>
          <w:color w:val="231F20"/>
          <w:sz w:val="20"/>
        </w:rPr>
        <w:t>80</w:t>
      </w:r>
    </w:p>
    <w:p w14:paraId="6B6E5D34" w14:textId="77777777" w:rsidR="00DE575E" w:rsidRDefault="00DE575E">
      <w:pPr>
        <w:rPr>
          <w:rFonts w:ascii="Times New Roman"/>
          <w:sz w:val="20"/>
        </w:rPr>
        <w:sectPr w:rsidR="00DE575E">
          <w:pgSz w:w="8510" w:h="12760"/>
          <w:pgMar w:top="660" w:right="720" w:bottom="280" w:left="600" w:header="720" w:footer="720" w:gutter="0"/>
          <w:cols w:space="720"/>
        </w:sectPr>
      </w:pPr>
    </w:p>
    <w:p w14:paraId="03FA7D18" w14:textId="77777777" w:rsidR="00DE575E" w:rsidRDefault="002E7560">
      <w:pPr>
        <w:spacing w:before="72" w:line="249" w:lineRule="auto"/>
        <w:ind w:left="2942" w:right="411" w:firstLine="487"/>
        <w:jc w:val="right"/>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3B9DB618" w14:textId="70BA4ED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70F9C15" wp14:editId="61FAE1EE">
                <wp:extent cx="4140200" cy="6350"/>
                <wp:effectExtent l="0" t="0" r="12700" b="6350"/>
                <wp:docPr id="120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04" name="Line 12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94F3CE" id="Group_x0020_12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mEfZl/AgAAnAUAAA4A&#10;AAAAAAAAAAAAAAAALAIAAGRycy9lMm9Eb2MueG1sUEsBAi0AFAAGAAgAAAAhAEynsJDZAAAAAwEA&#10;AA8AAAAAAAAAAAAAAAAA1wQAAGRycy9kb3ducmV2LnhtbFBLBQYAAAAABAAEAPMAAADdBQAAAAA=&#10;">
                <v:line id="Line_x0020_12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kmZcUAAADdAAAADwAAAGRycy9kb3ducmV2LnhtbERPzWrCQBC+C77DMgUvpdlUi5SYVaRQ&#10;KB60Gh9gzI5J6O5szK4m7dN3CwVv8/H9Tr4arBE36nzjWMFzkoIgLp1uuFJwLN6fXkH4gKzROCYF&#10;3+RhtRyPcsy063lPt0OoRAxhn6GCOoQ2k9KXNVn0iWuJI3d2ncUQYVdJ3WEfw62R0zSdS4sNx4Ya&#10;W3qrqfw6XK2C4vIYzOduY/pid5rJ02U7+7lulZo8DOsFiEBDuIv/3R86zp+mL/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nkmZcUAAADdAAAADwAAAAAAAAAA&#10;AAAAAAChAgAAZHJzL2Rvd25yZXYueG1sUEsFBgAAAAAEAAQA+QAAAJMDAAAAAA==&#10;" strokecolor="#231f20" strokeweight=".5pt"/>
                <w10:anchorlock/>
              </v:group>
            </w:pict>
          </mc:Fallback>
        </mc:AlternateContent>
      </w:r>
    </w:p>
    <w:p w14:paraId="2C5F8F49" w14:textId="77777777" w:rsidR="00DE575E" w:rsidRDefault="00DE575E">
      <w:pPr>
        <w:pStyle w:val="BodyText"/>
        <w:spacing w:before="7"/>
        <w:rPr>
          <w:rFonts w:ascii="AdonisC"/>
          <w:i/>
          <w:sz w:val="19"/>
        </w:rPr>
      </w:pPr>
    </w:p>
    <w:p w14:paraId="6908B1D1" w14:textId="77777777" w:rsidR="00DE575E" w:rsidRDefault="002E7560">
      <w:pPr>
        <w:pStyle w:val="BodyText"/>
        <w:spacing w:before="1" w:line="252" w:lineRule="auto"/>
        <w:ind w:left="250"/>
      </w:pPr>
      <w:r>
        <w:rPr>
          <w:color w:val="231F20"/>
        </w:rPr>
        <w:t>публічної правової відповідальності за спричинену шкоду</w:t>
      </w:r>
      <w:r>
        <w:rPr>
          <w:color w:val="231F20"/>
          <w:position w:val="7"/>
          <w:sz w:val="12"/>
        </w:rPr>
        <w:t>1</w:t>
      </w:r>
      <w:r>
        <w:rPr>
          <w:color w:val="231F20"/>
        </w:rPr>
        <w:t>, в якій визначено, що публічна влада – це:</w:t>
      </w:r>
    </w:p>
    <w:p w14:paraId="0D9A9803" w14:textId="77777777" w:rsidR="00DE575E" w:rsidRDefault="002E7560">
      <w:pPr>
        <w:pStyle w:val="ListParagraph"/>
        <w:numPr>
          <w:ilvl w:val="0"/>
          <w:numId w:val="299"/>
        </w:numPr>
        <w:tabs>
          <w:tab w:val="left" w:pos="818"/>
        </w:tabs>
        <w:spacing w:line="252" w:lineRule="auto"/>
        <w:ind w:right="412" w:firstLine="283"/>
        <w:rPr>
          <w:sz w:val="21"/>
        </w:rPr>
      </w:pPr>
      <w:r>
        <w:rPr>
          <w:color w:val="231F20"/>
          <w:spacing w:val="-3"/>
          <w:sz w:val="21"/>
        </w:rPr>
        <w:t>будь-який</w:t>
      </w:r>
      <w:r>
        <w:rPr>
          <w:color w:val="231F20"/>
          <w:spacing w:val="-6"/>
          <w:sz w:val="21"/>
        </w:rPr>
        <w:t xml:space="preserve"> </w:t>
      </w:r>
      <w:r>
        <w:rPr>
          <w:color w:val="231F20"/>
          <w:spacing w:val="-4"/>
          <w:sz w:val="21"/>
        </w:rPr>
        <w:t>суб’єкт</w:t>
      </w:r>
      <w:r>
        <w:rPr>
          <w:color w:val="231F20"/>
          <w:spacing w:val="-6"/>
          <w:sz w:val="21"/>
        </w:rPr>
        <w:t xml:space="preserve"> </w:t>
      </w:r>
      <w:r>
        <w:rPr>
          <w:color w:val="231F20"/>
          <w:sz w:val="21"/>
        </w:rPr>
        <w:t>публічного</w:t>
      </w:r>
      <w:r>
        <w:rPr>
          <w:color w:val="231F20"/>
          <w:spacing w:val="-6"/>
          <w:sz w:val="21"/>
        </w:rPr>
        <w:t xml:space="preserve"> </w:t>
      </w:r>
      <w:r>
        <w:rPr>
          <w:color w:val="231F20"/>
          <w:sz w:val="21"/>
        </w:rPr>
        <w:t>права</w:t>
      </w:r>
      <w:r>
        <w:rPr>
          <w:color w:val="231F20"/>
          <w:spacing w:val="-6"/>
          <w:sz w:val="21"/>
        </w:rPr>
        <w:t xml:space="preserve"> </w:t>
      </w:r>
      <w:r>
        <w:rPr>
          <w:color w:val="231F20"/>
          <w:sz w:val="21"/>
        </w:rPr>
        <w:t>будь-якого</w:t>
      </w:r>
      <w:r>
        <w:rPr>
          <w:color w:val="231F20"/>
          <w:spacing w:val="-6"/>
          <w:sz w:val="21"/>
        </w:rPr>
        <w:t xml:space="preserve"> </w:t>
      </w:r>
      <w:r>
        <w:rPr>
          <w:color w:val="231F20"/>
          <w:sz w:val="21"/>
        </w:rPr>
        <w:t>виду</w:t>
      </w:r>
      <w:r>
        <w:rPr>
          <w:color w:val="231F20"/>
          <w:spacing w:val="-6"/>
          <w:sz w:val="21"/>
        </w:rPr>
        <w:t xml:space="preserve"> </w:t>
      </w:r>
      <w:r>
        <w:rPr>
          <w:color w:val="231F20"/>
          <w:sz w:val="21"/>
        </w:rPr>
        <w:t>чи</w:t>
      </w:r>
      <w:r>
        <w:rPr>
          <w:color w:val="231F20"/>
          <w:spacing w:val="-6"/>
          <w:sz w:val="21"/>
        </w:rPr>
        <w:t xml:space="preserve"> </w:t>
      </w:r>
      <w:r>
        <w:rPr>
          <w:color w:val="231F20"/>
          <w:sz w:val="21"/>
        </w:rPr>
        <w:t>рівня</w:t>
      </w:r>
      <w:r>
        <w:rPr>
          <w:color w:val="231F20"/>
          <w:spacing w:val="-5"/>
          <w:sz w:val="21"/>
        </w:rPr>
        <w:t xml:space="preserve"> </w:t>
      </w:r>
      <w:r>
        <w:rPr>
          <w:color w:val="231F20"/>
          <w:sz w:val="21"/>
        </w:rPr>
        <w:t xml:space="preserve">– державного, регіонального, місцевого – або незалежний </w:t>
      </w:r>
      <w:r>
        <w:rPr>
          <w:color w:val="231F20"/>
          <w:spacing w:val="-4"/>
          <w:sz w:val="21"/>
        </w:rPr>
        <w:t>суб</w:t>
      </w:r>
      <w:r>
        <w:rPr>
          <w:color w:val="231F20"/>
          <w:spacing w:val="-4"/>
          <w:sz w:val="21"/>
        </w:rPr>
        <w:t xml:space="preserve">’єкт </w:t>
      </w:r>
      <w:r>
        <w:rPr>
          <w:color w:val="231F20"/>
          <w:sz w:val="21"/>
        </w:rPr>
        <w:t>публічного</w:t>
      </w:r>
      <w:r>
        <w:rPr>
          <w:color w:val="231F20"/>
          <w:spacing w:val="-1"/>
          <w:sz w:val="21"/>
        </w:rPr>
        <w:t xml:space="preserve"> </w:t>
      </w:r>
      <w:r>
        <w:rPr>
          <w:color w:val="231F20"/>
          <w:sz w:val="21"/>
        </w:rPr>
        <w:t>права;</w:t>
      </w:r>
    </w:p>
    <w:p w14:paraId="7EC672F1" w14:textId="77777777" w:rsidR="00DE575E" w:rsidRDefault="002E7560">
      <w:pPr>
        <w:pStyle w:val="ListParagraph"/>
        <w:numPr>
          <w:ilvl w:val="0"/>
          <w:numId w:val="299"/>
        </w:numPr>
        <w:tabs>
          <w:tab w:val="left" w:pos="818"/>
        </w:tabs>
        <w:spacing w:line="252" w:lineRule="auto"/>
        <w:ind w:right="410" w:firstLine="283"/>
        <w:rPr>
          <w:sz w:val="21"/>
        </w:rPr>
      </w:pPr>
      <w:r>
        <w:rPr>
          <w:color w:val="231F20"/>
          <w:spacing w:val="-3"/>
          <w:sz w:val="21"/>
        </w:rPr>
        <w:t xml:space="preserve">будь-яка </w:t>
      </w:r>
      <w:r>
        <w:rPr>
          <w:color w:val="231F20"/>
          <w:sz w:val="21"/>
        </w:rPr>
        <w:t>приватна особа під час здійснення нею повноважень офіційної влади.</w:t>
      </w:r>
    </w:p>
    <w:p w14:paraId="1E348F2C" w14:textId="77777777" w:rsidR="00DE575E" w:rsidRDefault="002E7560">
      <w:pPr>
        <w:pStyle w:val="BodyText"/>
        <w:spacing w:before="1" w:line="252" w:lineRule="auto"/>
        <w:ind w:left="176" w:right="411" w:firstLine="283"/>
        <w:jc w:val="right"/>
      </w:pPr>
      <w:r>
        <w:rPr>
          <w:color w:val="231F20"/>
        </w:rPr>
        <w:t>Крім того ці ознаки, на думку професора О. Рогача, треба допов- нити ключовою ознакою – здійсненням публічного адміністрування. Важливо зазначити, що у вітчизняній адміністративній доктрині категорії «суб’єкт публічного адміністрування» і «адміністративний</w:t>
      </w:r>
    </w:p>
    <w:p w14:paraId="61655C21" w14:textId="77777777" w:rsidR="00DE575E" w:rsidRDefault="002E7560">
      <w:pPr>
        <w:pStyle w:val="BodyText"/>
        <w:spacing w:before="2"/>
        <w:ind w:left="250"/>
      </w:pPr>
      <w:r>
        <w:rPr>
          <w:color w:val="231F20"/>
        </w:rPr>
        <w:t>орган» практично вважаються тотожними.</w:t>
      </w:r>
    </w:p>
    <w:p w14:paraId="088C5354" w14:textId="77777777" w:rsidR="00DE575E" w:rsidRDefault="002E7560">
      <w:pPr>
        <w:pStyle w:val="BodyText"/>
        <w:spacing w:before="13" w:line="252" w:lineRule="auto"/>
        <w:ind w:left="250" w:right="407" w:firstLine="283"/>
        <w:jc w:val="both"/>
      </w:pPr>
      <w:r>
        <w:rPr>
          <w:color w:val="231F20"/>
        </w:rPr>
        <w:t>Незважаючи на широку розрізненість суб’єктів публічного адмі- ністрування, усім їм  притаманні  спільні  ознаки,  які  дозволяють  їх диференціювати як такі. Ці ознаки зумовлені спільним функ- ціональним видом діяльності – здійсненням публічного адмі- ніст</w:t>
      </w:r>
      <w:r>
        <w:rPr>
          <w:color w:val="231F20"/>
        </w:rPr>
        <w:t>рування.</w:t>
      </w:r>
    </w:p>
    <w:p w14:paraId="0A65823A" w14:textId="77777777" w:rsidR="00DE575E" w:rsidRDefault="002E7560">
      <w:pPr>
        <w:pStyle w:val="Heading6"/>
        <w:spacing w:before="2" w:line="252" w:lineRule="auto"/>
        <w:ind w:left="250" w:right="414"/>
        <w:jc w:val="both"/>
      </w:pPr>
      <w:r>
        <w:rPr>
          <w:color w:val="231F20"/>
        </w:rPr>
        <w:t xml:space="preserve">До найбільш суттєвих ознак, що формують поняття </w:t>
      </w:r>
      <w:r>
        <w:rPr>
          <w:color w:val="231F20"/>
        </w:rPr>
        <w:t>суб’єкта публічної адміністрації, слід віднести такі:</w:t>
      </w:r>
    </w:p>
    <w:p w14:paraId="7341B433" w14:textId="77777777" w:rsidR="00DE575E" w:rsidRDefault="002E7560">
      <w:pPr>
        <w:pStyle w:val="ListParagraph"/>
        <w:numPr>
          <w:ilvl w:val="0"/>
          <w:numId w:val="299"/>
        </w:numPr>
        <w:tabs>
          <w:tab w:val="left" w:pos="818"/>
        </w:tabs>
        <w:spacing w:line="252" w:lineRule="auto"/>
        <w:ind w:right="411" w:firstLine="283"/>
        <w:rPr>
          <w:sz w:val="21"/>
        </w:rPr>
      </w:pPr>
      <w:r>
        <w:rPr>
          <w:color w:val="231F20"/>
          <w:sz w:val="21"/>
        </w:rPr>
        <w:t xml:space="preserve">кожен із </w:t>
      </w:r>
      <w:r>
        <w:rPr>
          <w:color w:val="231F20"/>
          <w:spacing w:val="-3"/>
          <w:sz w:val="21"/>
        </w:rPr>
        <w:t xml:space="preserve">суб’єктів </w:t>
      </w:r>
      <w:r>
        <w:rPr>
          <w:color w:val="231F20"/>
          <w:sz w:val="21"/>
        </w:rPr>
        <w:t xml:space="preserve">є відокремленою частиною єдиної функціо- нальної системи </w:t>
      </w:r>
      <w:r>
        <w:rPr>
          <w:color w:val="231F20"/>
          <w:spacing w:val="-3"/>
          <w:sz w:val="21"/>
        </w:rPr>
        <w:t xml:space="preserve">суб’єктів </w:t>
      </w:r>
      <w:r>
        <w:rPr>
          <w:color w:val="231F20"/>
          <w:sz w:val="21"/>
        </w:rPr>
        <w:t>публічного адміністрування;</w:t>
      </w:r>
    </w:p>
    <w:p w14:paraId="3AAAED28" w14:textId="77777777" w:rsidR="00DE575E" w:rsidRDefault="002E7560">
      <w:pPr>
        <w:pStyle w:val="ListParagraph"/>
        <w:numPr>
          <w:ilvl w:val="0"/>
          <w:numId w:val="299"/>
        </w:numPr>
        <w:tabs>
          <w:tab w:val="left" w:pos="818"/>
        </w:tabs>
        <w:spacing w:line="252" w:lineRule="auto"/>
        <w:ind w:right="406" w:firstLine="283"/>
        <w:rPr>
          <w:sz w:val="21"/>
        </w:rPr>
      </w:pPr>
      <w:r>
        <w:rPr>
          <w:color w:val="231F20"/>
          <w:spacing w:val="1"/>
          <w:sz w:val="21"/>
        </w:rPr>
        <w:t xml:space="preserve">вони </w:t>
      </w:r>
      <w:r>
        <w:rPr>
          <w:color w:val="231F20"/>
          <w:sz w:val="21"/>
        </w:rPr>
        <w:t xml:space="preserve">мають </w:t>
      </w:r>
      <w:r>
        <w:rPr>
          <w:color w:val="231F20"/>
          <w:spacing w:val="1"/>
          <w:sz w:val="21"/>
        </w:rPr>
        <w:t>свій відповідний пра</w:t>
      </w:r>
      <w:r>
        <w:rPr>
          <w:color w:val="231F20"/>
          <w:spacing w:val="1"/>
          <w:sz w:val="21"/>
        </w:rPr>
        <w:t xml:space="preserve">вовий статус, який визна- чається законами </w:t>
      </w:r>
      <w:r>
        <w:rPr>
          <w:color w:val="231F20"/>
          <w:sz w:val="21"/>
        </w:rPr>
        <w:t xml:space="preserve">або </w:t>
      </w:r>
      <w:r>
        <w:rPr>
          <w:color w:val="231F20"/>
          <w:spacing w:val="1"/>
          <w:sz w:val="21"/>
        </w:rPr>
        <w:t xml:space="preserve">підзаконними </w:t>
      </w:r>
      <w:r>
        <w:rPr>
          <w:color w:val="231F20"/>
          <w:spacing w:val="2"/>
          <w:sz w:val="21"/>
        </w:rPr>
        <w:t>нормативно-правовими актами;</w:t>
      </w:r>
    </w:p>
    <w:p w14:paraId="4A58EF46" w14:textId="77777777" w:rsidR="00DE575E" w:rsidRDefault="002E7560">
      <w:pPr>
        <w:pStyle w:val="ListParagraph"/>
        <w:numPr>
          <w:ilvl w:val="0"/>
          <w:numId w:val="299"/>
        </w:numPr>
        <w:tabs>
          <w:tab w:val="left" w:pos="818"/>
        </w:tabs>
        <w:spacing w:before="2" w:line="252" w:lineRule="auto"/>
        <w:ind w:right="409" w:firstLine="283"/>
        <w:rPr>
          <w:sz w:val="21"/>
        </w:rPr>
      </w:pPr>
      <w:r>
        <w:rPr>
          <w:color w:val="231F20"/>
          <w:sz w:val="21"/>
        </w:rPr>
        <w:t>усі</w:t>
      </w:r>
      <w:r>
        <w:rPr>
          <w:color w:val="231F20"/>
          <w:spacing w:val="-16"/>
          <w:sz w:val="21"/>
        </w:rPr>
        <w:t xml:space="preserve"> </w:t>
      </w:r>
      <w:r>
        <w:rPr>
          <w:color w:val="231F20"/>
          <w:spacing w:val="-3"/>
          <w:sz w:val="21"/>
        </w:rPr>
        <w:t>суб’єкти</w:t>
      </w:r>
      <w:r>
        <w:rPr>
          <w:color w:val="231F20"/>
          <w:spacing w:val="-16"/>
          <w:sz w:val="21"/>
        </w:rPr>
        <w:t xml:space="preserve"> </w:t>
      </w:r>
      <w:r>
        <w:rPr>
          <w:color w:val="231F20"/>
          <w:sz w:val="21"/>
        </w:rPr>
        <w:t>публічного</w:t>
      </w:r>
      <w:r>
        <w:rPr>
          <w:color w:val="231F20"/>
          <w:spacing w:val="-16"/>
          <w:sz w:val="21"/>
        </w:rPr>
        <w:t xml:space="preserve"> </w:t>
      </w:r>
      <w:r>
        <w:rPr>
          <w:color w:val="231F20"/>
          <w:sz w:val="21"/>
        </w:rPr>
        <w:t>адміністрування</w:t>
      </w:r>
      <w:r>
        <w:rPr>
          <w:color w:val="231F20"/>
          <w:spacing w:val="-16"/>
          <w:sz w:val="21"/>
        </w:rPr>
        <w:t xml:space="preserve"> </w:t>
      </w:r>
      <w:r>
        <w:rPr>
          <w:color w:val="231F20"/>
          <w:sz w:val="21"/>
        </w:rPr>
        <w:t>реалізують</w:t>
      </w:r>
      <w:r>
        <w:rPr>
          <w:color w:val="231F20"/>
          <w:spacing w:val="-16"/>
          <w:sz w:val="21"/>
        </w:rPr>
        <w:t xml:space="preserve"> </w:t>
      </w:r>
      <w:r>
        <w:rPr>
          <w:color w:val="231F20"/>
          <w:sz w:val="21"/>
        </w:rPr>
        <w:t>не</w:t>
      </w:r>
      <w:r>
        <w:rPr>
          <w:color w:val="231F20"/>
          <w:spacing w:val="-16"/>
          <w:sz w:val="21"/>
        </w:rPr>
        <w:t xml:space="preserve"> </w:t>
      </w:r>
      <w:r>
        <w:rPr>
          <w:color w:val="231F20"/>
          <w:sz w:val="21"/>
        </w:rPr>
        <w:t xml:space="preserve">приват- ний, а публічний інтерес, незважаючи на те, що окремі з них можуть бути </w:t>
      </w:r>
      <w:r>
        <w:rPr>
          <w:color w:val="231F20"/>
          <w:spacing w:val="-3"/>
          <w:sz w:val="21"/>
        </w:rPr>
        <w:t xml:space="preserve">суб’єктами </w:t>
      </w:r>
      <w:r>
        <w:rPr>
          <w:color w:val="231F20"/>
          <w:sz w:val="21"/>
        </w:rPr>
        <w:t>приватного права;</w:t>
      </w:r>
    </w:p>
    <w:p w14:paraId="50E01ECE" w14:textId="77777777" w:rsidR="00DE575E" w:rsidRDefault="002E7560">
      <w:pPr>
        <w:pStyle w:val="ListParagraph"/>
        <w:numPr>
          <w:ilvl w:val="0"/>
          <w:numId w:val="299"/>
        </w:numPr>
        <w:tabs>
          <w:tab w:val="left" w:pos="818"/>
        </w:tabs>
        <w:spacing w:line="252" w:lineRule="auto"/>
        <w:ind w:right="412" w:firstLine="283"/>
        <w:rPr>
          <w:sz w:val="21"/>
        </w:rPr>
      </w:pPr>
      <w:r>
        <w:rPr>
          <w:color w:val="231F20"/>
          <w:sz w:val="21"/>
        </w:rPr>
        <w:t xml:space="preserve">для </w:t>
      </w:r>
      <w:r>
        <w:rPr>
          <w:color w:val="231F20"/>
          <w:sz w:val="21"/>
        </w:rPr>
        <w:t xml:space="preserve">здійснення публічного адміністрування </w:t>
      </w:r>
      <w:r>
        <w:rPr>
          <w:color w:val="231F20"/>
          <w:spacing w:val="-3"/>
          <w:sz w:val="21"/>
        </w:rPr>
        <w:t xml:space="preserve">суб’єкти </w:t>
      </w:r>
      <w:r>
        <w:rPr>
          <w:color w:val="231F20"/>
          <w:sz w:val="21"/>
        </w:rPr>
        <w:t>наділені повноваженнями з ухвалення публічних владних</w:t>
      </w:r>
      <w:r>
        <w:rPr>
          <w:color w:val="231F20"/>
          <w:spacing w:val="-5"/>
          <w:sz w:val="21"/>
        </w:rPr>
        <w:t xml:space="preserve"> </w:t>
      </w:r>
      <w:r>
        <w:rPr>
          <w:color w:val="231F20"/>
          <w:sz w:val="21"/>
        </w:rPr>
        <w:t>рішень;</w:t>
      </w:r>
    </w:p>
    <w:p w14:paraId="410A9E86" w14:textId="77777777" w:rsidR="00DE575E" w:rsidRDefault="002E7560">
      <w:pPr>
        <w:pStyle w:val="ListParagraph"/>
        <w:numPr>
          <w:ilvl w:val="0"/>
          <w:numId w:val="299"/>
        </w:numPr>
        <w:tabs>
          <w:tab w:val="left" w:pos="818"/>
        </w:tabs>
        <w:spacing w:line="252" w:lineRule="auto"/>
        <w:ind w:right="410" w:firstLine="283"/>
        <w:rPr>
          <w:sz w:val="21"/>
        </w:rPr>
      </w:pPr>
      <w:r>
        <w:rPr>
          <w:color w:val="231F20"/>
          <w:sz w:val="21"/>
        </w:rPr>
        <w:t>вони орієнтовані на діяльність на основі та для публічного виконання</w:t>
      </w:r>
      <w:r>
        <w:rPr>
          <w:color w:val="231F20"/>
          <w:spacing w:val="-1"/>
          <w:sz w:val="21"/>
        </w:rPr>
        <w:t xml:space="preserve"> </w:t>
      </w:r>
      <w:r>
        <w:rPr>
          <w:color w:val="231F20"/>
          <w:sz w:val="21"/>
        </w:rPr>
        <w:t>законів.</w:t>
      </w:r>
    </w:p>
    <w:p w14:paraId="4F7064C7" w14:textId="77777777" w:rsidR="00DE575E" w:rsidRDefault="002E7560">
      <w:pPr>
        <w:pStyle w:val="Heading5"/>
        <w:spacing w:before="1" w:line="252" w:lineRule="auto"/>
        <w:ind w:left="250" w:right="410" w:firstLine="283"/>
        <w:jc w:val="both"/>
      </w:pPr>
      <w:r>
        <w:rPr>
          <w:color w:val="231F20"/>
        </w:rPr>
        <w:t xml:space="preserve">Отже, </w:t>
      </w:r>
      <w:r>
        <w:rPr>
          <w:color w:val="231F20"/>
          <w:spacing w:val="-3"/>
        </w:rPr>
        <w:t xml:space="preserve">суб’єкт </w:t>
      </w:r>
      <w:r>
        <w:rPr>
          <w:color w:val="231F20"/>
        </w:rPr>
        <w:t xml:space="preserve">публічної адміністрації – це </w:t>
      </w:r>
      <w:r>
        <w:rPr>
          <w:color w:val="231F20"/>
          <w:spacing w:val="-3"/>
        </w:rPr>
        <w:t xml:space="preserve">суб’єкт </w:t>
      </w:r>
      <w:r>
        <w:rPr>
          <w:color w:val="231F20"/>
        </w:rPr>
        <w:t>владних повноважен</w:t>
      </w:r>
      <w:r>
        <w:rPr>
          <w:color w:val="231F20"/>
        </w:rPr>
        <w:t>ь,</w:t>
      </w:r>
      <w:r>
        <w:rPr>
          <w:color w:val="231F20"/>
          <w:spacing w:val="-24"/>
        </w:rPr>
        <w:t xml:space="preserve"> </w:t>
      </w:r>
      <w:r>
        <w:rPr>
          <w:color w:val="231F20"/>
        </w:rPr>
        <w:t>наділений</w:t>
      </w:r>
      <w:r>
        <w:rPr>
          <w:color w:val="231F20"/>
          <w:spacing w:val="-23"/>
        </w:rPr>
        <w:t xml:space="preserve"> </w:t>
      </w:r>
      <w:r>
        <w:rPr>
          <w:color w:val="231F20"/>
        </w:rPr>
        <w:t>законом</w:t>
      </w:r>
      <w:r>
        <w:rPr>
          <w:color w:val="231F20"/>
          <w:spacing w:val="-24"/>
        </w:rPr>
        <w:t xml:space="preserve"> </w:t>
      </w:r>
      <w:r>
        <w:rPr>
          <w:color w:val="231F20"/>
        </w:rPr>
        <w:t>повноваженнями</w:t>
      </w:r>
      <w:r>
        <w:rPr>
          <w:color w:val="231F20"/>
          <w:spacing w:val="-23"/>
        </w:rPr>
        <w:t xml:space="preserve"> </w:t>
      </w:r>
      <w:r>
        <w:rPr>
          <w:color w:val="231F20"/>
        </w:rPr>
        <w:t>здійснювати публічне адміністрування – надавати адміністративні послуги чи здійснювати виконавчо-розпорядчу</w:t>
      </w:r>
      <w:r>
        <w:rPr>
          <w:color w:val="231F20"/>
          <w:spacing w:val="-4"/>
        </w:rPr>
        <w:t xml:space="preserve"> </w:t>
      </w:r>
      <w:r>
        <w:rPr>
          <w:color w:val="231F20"/>
        </w:rPr>
        <w:t>діяльність.</w:t>
      </w:r>
    </w:p>
    <w:p w14:paraId="25D707ED" w14:textId="77777777" w:rsidR="00DE575E" w:rsidRDefault="00DE575E">
      <w:pPr>
        <w:pStyle w:val="BodyText"/>
        <w:rPr>
          <w:b/>
          <w:sz w:val="20"/>
        </w:rPr>
      </w:pPr>
    </w:p>
    <w:p w14:paraId="4557DC93" w14:textId="59E23854" w:rsidR="00DE575E" w:rsidRDefault="002E7560">
      <w:pPr>
        <w:pStyle w:val="BodyText"/>
        <w:spacing w:before="3"/>
        <w:rPr>
          <w:b/>
        </w:rPr>
      </w:pPr>
      <w:r>
        <w:rPr>
          <w:noProof/>
        </w:rPr>
        <mc:AlternateContent>
          <mc:Choice Requires="wps">
            <w:drawing>
              <wp:anchor distT="0" distB="0" distL="0" distR="0" simplePos="0" relativeHeight="4024" behindDoc="0" locked="0" layoutInCell="1" allowOverlap="1" wp14:anchorId="26D0F9C6" wp14:editId="27CF61A8">
                <wp:simplePos x="0" y="0"/>
                <wp:positionH relativeFrom="page">
                  <wp:posOffset>539750</wp:posOffset>
                </wp:positionH>
                <wp:positionV relativeFrom="paragraph">
                  <wp:posOffset>186055</wp:posOffset>
                </wp:positionV>
                <wp:extent cx="1080135" cy="0"/>
                <wp:effectExtent l="6350" t="8255" r="31115" b="29845"/>
                <wp:wrapTopAndBottom/>
                <wp:docPr id="1202"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6F25" id="Line_x0020_1201" o:spid="_x0000_s1026" style="position:absolute;z-index:4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65pt" to="127.55pt,1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tAFS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" strokecolor="#231f20" strokeweight=".5pt">
                <w10:wrap type="topAndBottom" anchorx="page"/>
              </v:line>
            </w:pict>
          </mc:Fallback>
        </mc:AlternateContent>
      </w:r>
    </w:p>
    <w:p w14:paraId="56B5C632"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 xml:space="preserve">Reccomendation No. R (84) 15 of the Committee of Ministers to member states // relating to public </w:t>
      </w:r>
      <w:r>
        <w:rPr>
          <w:color w:val="231F20"/>
          <w:spacing w:val="-3"/>
          <w:sz w:val="16"/>
        </w:rPr>
        <w:t xml:space="preserve">liability. </w:t>
      </w:r>
      <w:r>
        <w:rPr>
          <w:color w:val="231F20"/>
          <w:sz w:val="16"/>
        </w:rPr>
        <w:t xml:space="preserve">URL: </w:t>
      </w:r>
      <w:hyperlink r:id="rId29">
        <w:r>
          <w:rPr>
            <w:color w:val="231F20"/>
            <w:sz w:val="16"/>
          </w:rPr>
          <w:t>www.coe.int/t/e/legal_affairs/legal_co-oper</w:t>
        </w:r>
        <w:r>
          <w:rPr>
            <w:color w:val="231F20"/>
            <w:sz w:val="16"/>
          </w:rPr>
          <w:t>ation/administrative_law_and_</w:t>
        </w:r>
      </w:hyperlink>
      <w:r>
        <w:rPr>
          <w:color w:val="231F20"/>
          <w:sz w:val="16"/>
        </w:rPr>
        <w:t xml:space="preserve"> justice/</w:t>
      </w:r>
    </w:p>
    <w:p w14:paraId="1681615B" w14:textId="77777777" w:rsidR="00DE575E" w:rsidRDefault="00DE575E">
      <w:pPr>
        <w:pStyle w:val="BodyText"/>
        <w:spacing w:before="2"/>
        <w:rPr>
          <w:sz w:val="12"/>
        </w:rPr>
      </w:pPr>
    </w:p>
    <w:p w14:paraId="7C8096D4" w14:textId="77777777" w:rsidR="00DE575E" w:rsidRDefault="002E7560">
      <w:pPr>
        <w:spacing w:before="92"/>
        <w:ind w:right="411"/>
        <w:jc w:val="right"/>
        <w:rPr>
          <w:rFonts w:ascii="Times New Roman"/>
          <w:sz w:val="20"/>
        </w:rPr>
      </w:pPr>
      <w:r>
        <w:rPr>
          <w:rFonts w:ascii="Times New Roman"/>
          <w:color w:val="231F20"/>
          <w:w w:val="90"/>
          <w:sz w:val="20"/>
        </w:rPr>
        <w:t>81</w:t>
      </w:r>
    </w:p>
    <w:p w14:paraId="6C273AC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805BBC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F01AE03" w14:textId="468E36C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A0AEC75" wp14:editId="6DCF58CA">
                <wp:extent cx="4140200" cy="6350"/>
                <wp:effectExtent l="0" t="0" r="12700" b="6350"/>
                <wp:docPr id="1200"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01" name="Line 12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51630" id="Group_x0020_11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ZGZBLgAIAAJwFAAAO&#10;AAAAAAAAAAAAAAAAACwCAABkcnMvZTJvRG9jLnhtbFBLAQItABQABgAIAAAAIQBMp7CQ2QAAAAMB&#10;AAAPAAAAAAAAAAAAAAAAANgEAABkcnMvZG93bnJldi54bWxQSwUGAAAAAAQABADzAAAA3gUAAAAA&#10;">
                <v:line id="Line_x0020_12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6F/cQAAADdAAAADwAAAGRycy9kb3ducmV2LnhtbERPzYrCMBC+L/gOYYS9LJqqsEg1iggL&#10;yx501/oAYzO2xWRSm2irT78RBG/z8f3OfNlZI67U+MqxgtEwAUGcO11xoWCffQ2mIHxA1mgck4Ib&#10;eVguem9zTLVr+Y+uu1CIGMI+RQVlCHUqpc9LsuiHriaO3NE1FkOETSF1g20Mt0aOk+RTWqw4NpRY&#10;07qk/LS7WAXZ+SOY3+2PabPtYSIP583kftko9d7vVjMQgbrwEj/d3zrOHycjeHwTT5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DoX9xAAAAN0AAAAPAAAAAAAAAAAA&#10;AAAAAKECAABkcnMvZG93bnJldi54bWxQSwUGAAAAAAQABAD5AAAAkgMAAAAA&#10;" strokecolor="#231f20" strokeweight=".5pt"/>
                <w10:anchorlock/>
              </v:group>
            </w:pict>
          </mc:Fallback>
        </mc:AlternateContent>
      </w:r>
    </w:p>
    <w:p w14:paraId="0E7D9870" w14:textId="77777777" w:rsidR="00DE575E" w:rsidRDefault="00DE575E">
      <w:pPr>
        <w:pStyle w:val="BodyText"/>
        <w:spacing w:before="7"/>
        <w:rPr>
          <w:rFonts w:ascii="AdonisC"/>
          <w:i/>
          <w:sz w:val="11"/>
        </w:rPr>
      </w:pPr>
    </w:p>
    <w:p w14:paraId="034DB105" w14:textId="77777777" w:rsidR="00DE575E" w:rsidRDefault="002E7560">
      <w:pPr>
        <w:pStyle w:val="Heading5"/>
        <w:numPr>
          <w:ilvl w:val="2"/>
          <w:numId w:val="275"/>
        </w:numPr>
        <w:tabs>
          <w:tab w:val="left" w:pos="1383"/>
        </w:tabs>
        <w:spacing w:before="101"/>
        <w:jc w:val="left"/>
      </w:pPr>
      <w:r>
        <w:rPr>
          <w:color w:val="231F20"/>
        </w:rPr>
        <w:t xml:space="preserve">Ознаки </w:t>
      </w:r>
      <w:r>
        <w:rPr>
          <w:color w:val="231F20"/>
          <w:spacing w:val="-3"/>
        </w:rPr>
        <w:t xml:space="preserve">суб’єкта </w:t>
      </w:r>
      <w:r>
        <w:rPr>
          <w:color w:val="231F20"/>
        </w:rPr>
        <w:t>публічного</w:t>
      </w:r>
      <w:r>
        <w:rPr>
          <w:color w:val="231F20"/>
          <w:spacing w:val="-3"/>
        </w:rPr>
        <w:t xml:space="preserve"> </w:t>
      </w:r>
      <w:r>
        <w:rPr>
          <w:color w:val="231F20"/>
        </w:rPr>
        <w:t>адміністрування</w:t>
      </w:r>
    </w:p>
    <w:p w14:paraId="568CC65C" w14:textId="77777777" w:rsidR="00DE575E" w:rsidRDefault="00DE575E">
      <w:pPr>
        <w:pStyle w:val="BodyText"/>
        <w:spacing w:before="2"/>
        <w:rPr>
          <w:b/>
          <w:sz w:val="23"/>
        </w:rPr>
      </w:pPr>
    </w:p>
    <w:p w14:paraId="71A2A471" w14:textId="77777777" w:rsidR="00DE575E" w:rsidRDefault="002E7560">
      <w:pPr>
        <w:pStyle w:val="BodyText"/>
        <w:spacing w:line="252" w:lineRule="auto"/>
        <w:ind w:left="533" w:right="125" w:firstLine="283"/>
        <w:jc w:val="both"/>
      </w:pPr>
      <w:r>
        <w:rPr>
          <w:color w:val="231F20"/>
        </w:rPr>
        <w:t>Суб’єкти публічної сфери є органічними складниками єдиної державної влади, поділені на відповідні гілки, орієнтовані на цінності, цілі, потреби громади та її окремих членів як</w:t>
      </w:r>
      <w:r>
        <w:rPr>
          <w:color w:val="231F20"/>
        </w:rPr>
        <w:t xml:space="preserve"> споживачів послуг адміністративних структур публічного адміністрування.</w:t>
      </w:r>
    </w:p>
    <w:p w14:paraId="078B7EE9" w14:textId="77777777" w:rsidR="00DE575E" w:rsidRDefault="002E7560">
      <w:pPr>
        <w:pStyle w:val="Heading6"/>
        <w:spacing w:before="2" w:line="252" w:lineRule="auto"/>
        <w:ind w:right="128"/>
        <w:jc w:val="both"/>
      </w:pPr>
      <w:r>
        <w:rPr>
          <w:color w:val="231F20"/>
        </w:rPr>
        <w:t xml:space="preserve">До загальних ознак суб’єктів публічної адміністрації нале- </w:t>
      </w:r>
      <w:r>
        <w:rPr>
          <w:color w:val="231F20"/>
        </w:rPr>
        <w:t>жать такі:</w:t>
      </w:r>
    </w:p>
    <w:p w14:paraId="0D906DDD" w14:textId="77777777" w:rsidR="00DE575E" w:rsidRDefault="002E7560">
      <w:pPr>
        <w:pStyle w:val="ListParagraph"/>
        <w:numPr>
          <w:ilvl w:val="0"/>
          <w:numId w:val="273"/>
        </w:numPr>
        <w:tabs>
          <w:tab w:val="left" w:pos="1101"/>
        </w:tabs>
        <w:spacing w:line="252" w:lineRule="auto"/>
        <w:ind w:right="127" w:firstLine="284"/>
        <w:jc w:val="both"/>
        <w:rPr>
          <w:sz w:val="21"/>
        </w:rPr>
      </w:pPr>
      <w:r>
        <w:rPr>
          <w:color w:val="231F20"/>
          <w:sz w:val="21"/>
        </w:rPr>
        <w:t xml:space="preserve">за своєю юридичною природою </w:t>
      </w:r>
      <w:r>
        <w:rPr>
          <w:color w:val="231F20"/>
          <w:spacing w:val="-4"/>
          <w:sz w:val="21"/>
        </w:rPr>
        <w:t xml:space="preserve">суб’єкт </w:t>
      </w:r>
      <w:r>
        <w:rPr>
          <w:color w:val="231F20"/>
          <w:sz w:val="21"/>
        </w:rPr>
        <w:t>публічної адміністра- ції є зобов’язальним перед приватними особами і має</w:t>
      </w:r>
      <w:r>
        <w:rPr>
          <w:color w:val="231F20"/>
          <w:spacing w:val="-29"/>
          <w:sz w:val="21"/>
        </w:rPr>
        <w:t xml:space="preserve"> </w:t>
      </w:r>
      <w:r>
        <w:rPr>
          <w:color w:val="231F20"/>
          <w:sz w:val="21"/>
        </w:rPr>
        <w:t>якн</w:t>
      </w:r>
      <w:r>
        <w:rPr>
          <w:color w:val="231F20"/>
          <w:sz w:val="21"/>
        </w:rPr>
        <w:t>айповніше задовольняти права, свободи та законні інтереси приватних осіб, публічний інтерес суспільства</w:t>
      </w:r>
      <w:r>
        <w:rPr>
          <w:color w:val="231F20"/>
          <w:spacing w:val="-2"/>
          <w:sz w:val="21"/>
        </w:rPr>
        <w:t xml:space="preserve"> </w:t>
      </w:r>
      <w:r>
        <w:rPr>
          <w:color w:val="231F20"/>
          <w:sz w:val="21"/>
        </w:rPr>
        <w:t>загалом;</w:t>
      </w:r>
    </w:p>
    <w:p w14:paraId="78D37A1E" w14:textId="77777777" w:rsidR="00DE575E" w:rsidRDefault="002E7560">
      <w:pPr>
        <w:pStyle w:val="ListParagraph"/>
        <w:numPr>
          <w:ilvl w:val="0"/>
          <w:numId w:val="273"/>
        </w:numPr>
        <w:tabs>
          <w:tab w:val="left" w:pos="1101"/>
        </w:tabs>
        <w:spacing w:before="2" w:line="252" w:lineRule="auto"/>
        <w:ind w:right="128" w:firstLine="284"/>
        <w:jc w:val="both"/>
        <w:rPr>
          <w:sz w:val="21"/>
        </w:rPr>
      </w:pPr>
      <w:r>
        <w:rPr>
          <w:color w:val="231F20"/>
          <w:sz w:val="21"/>
        </w:rPr>
        <w:t xml:space="preserve">їх адміністративна діяльність є обмеженою принципом «зв’я- заності правом» – вони можуть діяти виключно у спосіб і порядок, передбачений Конституцією та законами </w:t>
      </w:r>
      <w:r>
        <w:rPr>
          <w:color w:val="231F20"/>
          <w:spacing w:val="-3"/>
          <w:sz w:val="21"/>
        </w:rPr>
        <w:t>України</w:t>
      </w:r>
      <w:r>
        <w:rPr>
          <w:color w:val="231F20"/>
          <w:spacing w:val="-3"/>
          <w:position w:val="7"/>
          <w:sz w:val="12"/>
        </w:rPr>
        <w:t>1</w:t>
      </w:r>
      <w:r>
        <w:rPr>
          <w:color w:val="231F20"/>
          <w:spacing w:val="-3"/>
          <w:sz w:val="21"/>
        </w:rPr>
        <w:t xml:space="preserve">, </w:t>
      </w:r>
      <w:r>
        <w:rPr>
          <w:color w:val="231F20"/>
          <w:sz w:val="21"/>
        </w:rPr>
        <w:t xml:space="preserve">що відповідає другому принципу правового регулювання: </w:t>
      </w:r>
      <w:r>
        <w:rPr>
          <w:color w:val="231F20"/>
          <w:spacing w:val="-3"/>
          <w:sz w:val="21"/>
        </w:rPr>
        <w:t xml:space="preserve">суб’єкту </w:t>
      </w:r>
      <w:r>
        <w:rPr>
          <w:color w:val="231F20"/>
          <w:sz w:val="21"/>
        </w:rPr>
        <w:t>публічної адмі- ністр</w:t>
      </w:r>
      <w:r>
        <w:rPr>
          <w:color w:val="231F20"/>
          <w:sz w:val="21"/>
        </w:rPr>
        <w:t>ації заборонено все крім того, що прямо дозволено</w:t>
      </w:r>
      <w:r>
        <w:rPr>
          <w:color w:val="231F20"/>
          <w:spacing w:val="-20"/>
          <w:sz w:val="21"/>
        </w:rPr>
        <w:t xml:space="preserve"> </w:t>
      </w:r>
      <w:r>
        <w:rPr>
          <w:color w:val="231F20"/>
          <w:sz w:val="21"/>
        </w:rPr>
        <w:t>законом;</w:t>
      </w:r>
    </w:p>
    <w:p w14:paraId="6400D1FF" w14:textId="77777777" w:rsidR="00DE575E" w:rsidRDefault="002E7560">
      <w:pPr>
        <w:pStyle w:val="ListParagraph"/>
        <w:numPr>
          <w:ilvl w:val="0"/>
          <w:numId w:val="273"/>
        </w:numPr>
        <w:tabs>
          <w:tab w:val="left" w:pos="1101"/>
        </w:tabs>
        <w:spacing w:before="2" w:line="252" w:lineRule="auto"/>
        <w:ind w:right="127" w:firstLine="284"/>
        <w:jc w:val="both"/>
        <w:rPr>
          <w:sz w:val="21"/>
        </w:rPr>
      </w:pPr>
      <w:r>
        <w:rPr>
          <w:color w:val="231F20"/>
          <w:sz w:val="21"/>
        </w:rPr>
        <w:t>первинною</w:t>
      </w:r>
      <w:r>
        <w:rPr>
          <w:color w:val="231F20"/>
          <w:spacing w:val="-17"/>
          <w:sz w:val="21"/>
        </w:rPr>
        <w:t xml:space="preserve"> </w:t>
      </w:r>
      <w:r>
        <w:rPr>
          <w:color w:val="231F20"/>
          <w:sz w:val="21"/>
        </w:rPr>
        <w:t>компетенцією</w:t>
      </w:r>
      <w:r>
        <w:rPr>
          <w:color w:val="231F20"/>
          <w:spacing w:val="-17"/>
          <w:sz w:val="21"/>
        </w:rPr>
        <w:t xml:space="preserve"> </w:t>
      </w:r>
      <w:r>
        <w:rPr>
          <w:color w:val="231F20"/>
          <w:sz w:val="21"/>
        </w:rPr>
        <w:t>є</w:t>
      </w:r>
      <w:r>
        <w:rPr>
          <w:color w:val="231F20"/>
          <w:spacing w:val="-17"/>
          <w:sz w:val="21"/>
        </w:rPr>
        <w:t xml:space="preserve"> </w:t>
      </w:r>
      <w:r>
        <w:rPr>
          <w:color w:val="231F20"/>
          <w:sz w:val="21"/>
        </w:rPr>
        <w:t>адміністративні</w:t>
      </w:r>
      <w:r>
        <w:rPr>
          <w:color w:val="231F20"/>
          <w:spacing w:val="-17"/>
          <w:sz w:val="21"/>
        </w:rPr>
        <w:t xml:space="preserve"> </w:t>
      </w:r>
      <w:r>
        <w:rPr>
          <w:color w:val="231F20"/>
          <w:sz w:val="21"/>
        </w:rPr>
        <w:t>обов’язки,</w:t>
      </w:r>
      <w:r>
        <w:rPr>
          <w:color w:val="231F20"/>
          <w:spacing w:val="-17"/>
          <w:sz w:val="21"/>
        </w:rPr>
        <w:t xml:space="preserve"> </w:t>
      </w:r>
      <w:r>
        <w:rPr>
          <w:color w:val="231F20"/>
          <w:sz w:val="21"/>
        </w:rPr>
        <w:t>а</w:t>
      </w:r>
      <w:r>
        <w:rPr>
          <w:color w:val="231F20"/>
          <w:spacing w:val="-16"/>
          <w:sz w:val="21"/>
        </w:rPr>
        <w:t xml:space="preserve"> </w:t>
      </w:r>
      <w:r>
        <w:rPr>
          <w:color w:val="231F20"/>
          <w:sz w:val="21"/>
        </w:rPr>
        <w:t>похід- ною</w:t>
      </w:r>
      <w:r>
        <w:rPr>
          <w:color w:val="231F20"/>
          <w:spacing w:val="-8"/>
          <w:sz w:val="21"/>
        </w:rPr>
        <w:t xml:space="preserve"> </w:t>
      </w:r>
      <w:r>
        <w:rPr>
          <w:color w:val="231F20"/>
          <w:sz w:val="21"/>
        </w:rPr>
        <w:t>–</w:t>
      </w:r>
      <w:r>
        <w:rPr>
          <w:color w:val="231F20"/>
          <w:spacing w:val="-7"/>
          <w:sz w:val="21"/>
        </w:rPr>
        <w:t xml:space="preserve"> </w:t>
      </w:r>
      <w:r>
        <w:rPr>
          <w:color w:val="231F20"/>
          <w:sz w:val="21"/>
        </w:rPr>
        <w:t>адміністративні</w:t>
      </w:r>
      <w:r>
        <w:rPr>
          <w:color w:val="231F20"/>
          <w:spacing w:val="-8"/>
          <w:sz w:val="21"/>
        </w:rPr>
        <w:t xml:space="preserve"> </w:t>
      </w:r>
      <w:r>
        <w:rPr>
          <w:color w:val="231F20"/>
          <w:sz w:val="21"/>
        </w:rPr>
        <w:t>права,</w:t>
      </w:r>
      <w:r>
        <w:rPr>
          <w:color w:val="231F20"/>
          <w:spacing w:val="-7"/>
          <w:sz w:val="21"/>
        </w:rPr>
        <w:t xml:space="preserve"> </w:t>
      </w:r>
      <w:r>
        <w:rPr>
          <w:color w:val="231F20"/>
          <w:sz w:val="21"/>
        </w:rPr>
        <w:t>що</w:t>
      </w:r>
      <w:r>
        <w:rPr>
          <w:color w:val="231F20"/>
          <w:spacing w:val="-7"/>
          <w:sz w:val="21"/>
        </w:rPr>
        <w:t xml:space="preserve"> </w:t>
      </w:r>
      <w:r>
        <w:rPr>
          <w:color w:val="231F20"/>
          <w:sz w:val="21"/>
        </w:rPr>
        <w:t>надаються</w:t>
      </w:r>
      <w:r>
        <w:rPr>
          <w:color w:val="231F20"/>
          <w:spacing w:val="-7"/>
          <w:sz w:val="21"/>
        </w:rPr>
        <w:t xml:space="preserve"> </w:t>
      </w:r>
      <w:r>
        <w:rPr>
          <w:color w:val="231F20"/>
          <w:spacing w:val="-3"/>
          <w:sz w:val="21"/>
        </w:rPr>
        <w:t>суб’єктові</w:t>
      </w:r>
      <w:r>
        <w:rPr>
          <w:color w:val="231F20"/>
          <w:spacing w:val="-7"/>
          <w:sz w:val="21"/>
        </w:rPr>
        <w:t xml:space="preserve"> </w:t>
      </w:r>
      <w:r>
        <w:rPr>
          <w:color w:val="231F20"/>
          <w:sz w:val="21"/>
        </w:rPr>
        <w:t>в</w:t>
      </w:r>
      <w:r>
        <w:rPr>
          <w:color w:val="231F20"/>
          <w:spacing w:val="-6"/>
          <w:sz w:val="21"/>
        </w:rPr>
        <w:t xml:space="preserve"> </w:t>
      </w:r>
      <w:r>
        <w:rPr>
          <w:color w:val="231F20"/>
          <w:sz w:val="21"/>
        </w:rPr>
        <w:t>мінімальних межах для ефективного виконання</w:t>
      </w:r>
      <w:r>
        <w:rPr>
          <w:color w:val="231F20"/>
          <w:spacing w:val="-1"/>
          <w:sz w:val="21"/>
        </w:rPr>
        <w:t xml:space="preserve"> </w:t>
      </w:r>
      <w:r>
        <w:rPr>
          <w:color w:val="231F20"/>
          <w:sz w:val="21"/>
        </w:rPr>
        <w:t>обов’язків;</w:t>
      </w:r>
    </w:p>
    <w:p w14:paraId="0E8522A5" w14:textId="77777777" w:rsidR="00DE575E" w:rsidRDefault="002E7560">
      <w:pPr>
        <w:pStyle w:val="ListParagraph"/>
        <w:numPr>
          <w:ilvl w:val="0"/>
          <w:numId w:val="273"/>
        </w:numPr>
        <w:tabs>
          <w:tab w:val="left" w:pos="1101"/>
        </w:tabs>
        <w:spacing w:before="2" w:line="252" w:lineRule="auto"/>
        <w:ind w:right="128" w:firstLine="284"/>
        <w:jc w:val="both"/>
        <w:rPr>
          <w:sz w:val="21"/>
        </w:rPr>
      </w:pPr>
      <w:r>
        <w:rPr>
          <w:color w:val="231F20"/>
          <w:spacing w:val="-3"/>
          <w:sz w:val="21"/>
        </w:rPr>
        <w:t xml:space="preserve">суб’єктам </w:t>
      </w:r>
      <w:r>
        <w:rPr>
          <w:color w:val="231F20"/>
          <w:sz w:val="21"/>
        </w:rPr>
        <w:t>притаманна адміністративна правоздатність – потенційна</w:t>
      </w:r>
      <w:r>
        <w:rPr>
          <w:color w:val="231F20"/>
          <w:spacing w:val="-9"/>
          <w:sz w:val="21"/>
        </w:rPr>
        <w:t xml:space="preserve"> </w:t>
      </w:r>
      <w:r>
        <w:rPr>
          <w:color w:val="231F20"/>
          <w:sz w:val="21"/>
        </w:rPr>
        <w:t>здатність</w:t>
      </w:r>
      <w:r>
        <w:rPr>
          <w:color w:val="231F20"/>
          <w:spacing w:val="-9"/>
          <w:sz w:val="21"/>
        </w:rPr>
        <w:t xml:space="preserve"> </w:t>
      </w:r>
      <w:r>
        <w:rPr>
          <w:color w:val="231F20"/>
          <w:sz w:val="21"/>
        </w:rPr>
        <w:t>мати</w:t>
      </w:r>
      <w:r>
        <w:rPr>
          <w:color w:val="231F20"/>
          <w:spacing w:val="-9"/>
          <w:sz w:val="21"/>
        </w:rPr>
        <w:t xml:space="preserve"> </w:t>
      </w:r>
      <w:r>
        <w:rPr>
          <w:color w:val="231F20"/>
          <w:sz w:val="21"/>
        </w:rPr>
        <w:t>адміністративні</w:t>
      </w:r>
      <w:r>
        <w:rPr>
          <w:color w:val="231F20"/>
          <w:spacing w:val="-9"/>
          <w:sz w:val="21"/>
        </w:rPr>
        <w:t xml:space="preserve"> </w:t>
      </w:r>
      <w:r>
        <w:rPr>
          <w:color w:val="231F20"/>
          <w:sz w:val="21"/>
        </w:rPr>
        <w:t>обов’язки</w:t>
      </w:r>
      <w:r>
        <w:rPr>
          <w:color w:val="231F20"/>
          <w:spacing w:val="-9"/>
          <w:sz w:val="21"/>
        </w:rPr>
        <w:t xml:space="preserve"> </w:t>
      </w:r>
      <w:r>
        <w:rPr>
          <w:color w:val="231F20"/>
          <w:sz w:val="21"/>
        </w:rPr>
        <w:t>і</w:t>
      </w:r>
      <w:r>
        <w:rPr>
          <w:color w:val="231F20"/>
          <w:spacing w:val="-9"/>
          <w:sz w:val="21"/>
        </w:rPr>
        <w:t xml:space="preserve"> </w:t>
      </w:r>
      <w:r>
        <w:rPr>
          <w:color w:val="231F20"/>
          <w:sz w:val="21"/>
        </w:rPr>
        <w:t>права</w:t>
      </w:r>
      <w:r>
        <w:rPr>
          <w:color w:val="231F20"/>
          <w:spacing w:val="-9"/>
          <w:sz w:val="21"/>
        </w:rPr>
        <w:t xml:space="preserve"> </w:t>
      </w:r>
      <w:r>
        <w:rPr>
          <w:color w:val="231F20"/>
          <w:sz w:val="21"/>
        </w:rPr>
        <w:t>у</w:t>
      </w:r>
      <w:r>
        <w:rPr>
          <w:color w:val="231F20"/>
          <w:spacing w:val="-9"/>
          <w:sz w:val="21"/>
        </w:rPr>
        <w:t xml:space="preserve"> </w:t>
      </w:r>
      <w:r>
        <w:rPr>
          <w:color w:val="231F20"/>
          <w:sz w:val="21"/>
        </w:rPr>
        <w:t>сфері публічного</w:t>
      </w:r>
      <w:r>
        <w:rPr>
          <w:color w:val="231F20"/>
          <w:spacing w:val="-10"/>
          <w:sz w:val="21"/>
        </w:rPr>
        <w:t xml:space="preserve"> </w:t>
      </w:r>
      <w:r>
        <w:rPr>
          <w:color w:val="231F20"/>
          <w:sz w:val="21"/>
        </w:rPr>
        <w:t>адміністрування,</w:t>
      </w:r>
      <w:r>
        <w:rPr>
          <w:color w:val="231F20"/>
          <w:spacing w:val="-10"/>
          <w:sz w:val="21"/>
        </w:rPr>
        <w:t xml:space="preserve"> </w:t>
      </w:r>
      <w:r>
        <w:rPr>
          <w:color w:val="231F20"/>
          <w:sz w:val="21"/>
        </w:rPr>
        <w:t>а</w:t>
      </w:r>
      <w:r>
        <w:rPr>
          <w:color w:val="231F20"/>
          <w:spacing w:val="-10"/>
          <w:sz w:val="21"/>
        </w:rPr>
        <w:t xml:space="preserve"> </w:t>
      </w:r>
      <w:r>
        <w:rPr>
          <w:color w:val="231F20"/>
          <w:sz w:val="21"/>
        </w:rPr>
        <w:t>також</w:t>
      </w:r>
      <w:r>
        <w:rPr>
          <w:color w:val="231F20"/>
          <w:spacing w:val="-10"/>
          <w:sz w:val="21"/>
        </w:rPr>
        <w:t xml:space="preserve"> </w:t>
      </w:r>
      <w:r>
        <w:rPr>
          <w:color w:val="231F20"/>
          <w:sz w:val="21"/>
        </w:rPr>
        <w:t>адміністративна</w:t>
      </w:r>
      <w:r>
        <w:rPr>
          <w:color w:val="231F20"/>
          <w:spacing w:val="-10"/>
          <w:sz w:val="21"/>
        </w:rPr>
        <w:t xml:space="preserve"> </w:t>
      </w:r>
      <w:r>
        <w:rPr>
          <w:color w:val="231F20"/>
          <w:sz w:val="21"/>
        </w:rPr>
        <w:t>дієздатність</w:t>
      </w:r>
      <w:r>
        <w:rPr>
          <w:color w:val="231F20"/>
          <w:spacing w:val="-10"/>
          <w:sz w:val="21"/>
        </w:rPr>
        <w:t xml:space="preserve"> </w:t>
      </w:r>
      <w:r>
        <w:rPr>
          <w:color w:val="231F20"/>
          <w:sz w:val="21"/>
        </w:rPr>
        <w:t xml:space="preserve">– здатність виконувати адміністративні обов’язки та реалізувати з їх виконання </w:t>
      </w:r>
      <w:r>
        <w:rPr>
          <w:color w:val="231F20"/>
          <w:sz w:val="21"/>
        </w:rPr>
        <w:t xml:space="preserve">свої адміністративні права у сфері публічного адміні- стрування, що загалом формує основу адміністративного правового статусу </w:t>
      </w:r>
      <w:r>
        <w:rPr>
          <w:color w:val="231F20"/>
          <w:spacing w:val="-3"/>
          <w:sz w:val="21"/>
        </w:rPr>
        <w:t xml:space="preserve">суб’єкта </w:t>
      </w:r>
      <w:r>
        <w:rPr>
          <w:color w:val="231F20"/>
          <w:sz w:val="21"/>
        </w:rPr>
        <w:t>публічної адміністрації.</w:t>
      </w:r>
    </w:p>
    <w:p w14:paraId="248EC2D9" w14:textId="77777777" w:rsidR="00DE575E" w:rsidRDefault="002E7560">
      <w:pPr>
        <w:pStyle w:val="BodyText"/>
        <w:spacing w:before="3" w:line="252" w:lineRule="auto"/>
        <w:ind w:left="533" w:right="127" w:firstLine="283"/>
        <w:jc w:val="both"/>
      </w:pPr>
      <w:r>
        <w:rPr>
          <w:i/>
          <w:color w:val="231F20"/>
        </w:rPr>
        <w:t xml:space="preserve">Адміністративна правоздатність </w:t>
      </w:r>
      <w:r>
        <w:rPr>
          <w:i/>
          <w:color w:val="231F20"/>
          <w:spacing w:val="-3"/>
        </w:rPr>
        <w:t xml:space="preserve">суб’єкта </w:t>
      </w:r>
      <w:r>
        <w:rPr>
          <w:i/>
          <w:color w:val="231F20"/>
        </w:rPr>
        <w:t xml:space="preserve">публічної адміністра- ції </w:t>
      </w:r>
      <w:r>
        <w:rPr>
          <w:color w:val="231F20"/>
        </w:rPr>
        <w:t xml:space="preserve">– це його здатність мати </w:t>
      </w:r>
      <w:r>
        <w:rPr>
          <w:color w:val="231F20"/>
          <w:spacing w:val="-3"/>
        </w:rPr>
        <w:t xml:space="preserve">суб’єктивні  </w:t>
      </w:r>
      <w:r>
        <w:rPr>
          <w:color w:val="231F20"/>
        </w:rPr>
        <w:t xml:space="preserve">адміністративні обов’язки   і права у сфері публічного адміністрування, які передбачені нормами адміністративного права. Правоздатність починає існу- вати з моменту створення (призначення на посаду) </w:t>
      </w:r>
      <w:r>
        <w:rPr>
          <w:color w:val="231F20"/>
          <w:spacing w:val="-3"/>
        </w:rPr>
        <w:t xml:space="preserve">суб’єкта </w:t>
      </w:r>
      <w:r>
        <w:rPr>
          <w:color w:val="231F20"/>
        </w:rPr>
        <w:t>публіч- ної адміністрації, а припин</w:t>
      </w:r>
      <w:r>
        <w:rPr>
          <w:color w:val="231F20"/>
        </w:rPr>
        <w:t>яється з моменту його ліквідації (звіль- нення з</w:t>
      </w:r>
      <w:r>
        <w:rPr>
          <w:color w:val="231F20"/>
          <w:spacing w:val="-1"/>
        </w:rPr>
        <w:t xml:space="preserve"> </w:t>
      </w:r>
      <w:r>
        <w:rPr>
          <w:color w:val="231F20"/>
        </w:rPr>
        <w:t>посади).</w:t>
      </w:r>
    </w:p>
    <w:p w14:paraId="13D5CD6F" w14:textId="77777777" w:rsidR="00DE575E" w:rsidRDefault="002E7560">
      <w:pPr>
        <w:spacing w:before="4" w:line="252" w:lineRule="auto"/>
        <w:ind w:left="533" w:right="128" w:firstLine="283"/>
        <w:jc w:val="both"/>
        <w:rPr>
          <w:sz w:val="21"/>
        </w:rPr>
      </w:pPr>
      <w:r>
        <w:rPr>
          <w:i/>
          <w:color w:val="231F20"/>
          <w:sz w:val="21"/>
        </w:rPr>
        <w:t>Адміністративна</w:t>
      </w:r>
      <w:r>
        <w:rPr>
          <w:i/>
          <w:color w:val="231F20"/>
          <w:spacing w:val="-9"/>
          <w:sz w:val="21"/>
        </w:rPr>
        <w:t xml:space="preserve"> </w:t>
      </w:r>
      <w:r>
        <w:rPr>
          <w:i/>
          <w:color w:val="231F20"/>
          <w:sz w:val="21"/>
        </w:rPr>
        <w:t>дієздатність</w:t>
      </w:r>
      <w:r>
        <w:rPr>
          <w:i/>
          <w:color w:val="231F20"/>
          <w:spacing w:val="-9"/>
          <w:sz w:val="21"/>
        </w:rPr>
        <w:t xml:space="preserve"> </w:t>
      </w:r>
      <w:r>
        <w:rPr>
          <w:i/>
          <w:color w:val="231F20"/>
          <w:spacing w:val="-3"/>
          <w:sz w:val="21"/>
        </w:rPr>
        <w:t>суб’єкта</w:t>
      </w:r>
      <w:r>
        <w:rPr>
          <w:i/>
          <w:color w:val="231F20"/>
          <w:spacing w:val="-9"/>
          <w:sz w:val="21"/>
        </w:rPr>
        <w:t xml:space="preserve"> </w:t>
      </w:r>
      <w:r>
        <w:rPr>
          <w:i/>
          <w:color w:val="231F20"/>
          <w:sz w:val="21"/>
        </w:rPr>
        <w:t>публічної</w:t>
      </w:r>
      <w:r>
        <w:rPr>
          <w:i/>
          <w:color w:val="231F20"/>
          <w:spacing w:val="-9"/>
          <w:sz w:val="21"/>
        </w:rPr>
        <w:t xml:space="preserve"> </w:t>
      </w:r>
      <w:r>
        <w:rPr>
          <w:i/>
          <w:color w:val="231F20"/>
          <w:sz w:val="21"/>
        </w:rPr>
        <w:t>адміністрації</w:t>
      </w:r>
      <w:r>
        <w:rPr>
          <w:i/>
          <w:color w:val="231F20"/>
          <w:spacing w:val="-9"/>
          <w:sz w:val="21"/>
        </w:rPr>
        <w:t xml:space="preserve"> </w:t>
      </w:r>
      <w:r>
        <w:rPr>
          <w:color w:val="231F20"/>
          <w:sz w:val="21"/>
        </w:rPr>
        <w:t xml:space="preserve">– це юридична здатність </w:t>
      </w:r>
      <w:r>
        <w:rPr>
          <w:color w:val="231F20"/>
          <w:spacing w:val="-3"/>
          <w:sz w:val="21"/>
        </w:rPr>
        <w:t xml:space="preserve">суб’єкта </w:t>
      </w:r>
      <w:r>
        <w:rPr>
          <w:color w:val="231F20"/>
          <w:sz w:val="21"/>
        </w:rPr>
        <w:t>публічної адміністрації своїми</w:t>
      </w:r>
      <w:r>
        <w:rPr>
          <w:color w:val="231F20"/>
          <w:spacing w:val="-8"/>
          <w:sz w:val="21"/>
        </w:rPr>
        <w:t xml:space="preserve"> </w:t>
      </w:r>
      <w:r>
        <w:rPr>
          <w:color w:val="231F20"/>
          <w:sz w:val="21"/>
        </w:rPr>
        <w:t>адмі-</w:t>
      </w:r>
    </w:p>
    <w:p w14:paraId="0C36E38F" w14:textId="50362280" w:rsidR="00DE575E" w:rsidRDefault="002E7560">
      <w:pPr>
        <w:pStyle w:val="BodyText"/>
        <w:rPr>
          <w:sz w:val="19"/>
        </w:rPr>
      </w:pPr>
      <w:r>
        <w:rPr>
          <w:noProof/>
        </w:rPr>
        <mc:AlternateContent>
          <mc:Choice Requires="wps">
            <w:drawing>
              <wp:anchor distT="0" distB="0" distL="0" distR="0" simplePos="0" relativeHeight="4072" behindDoc="0" locked="0" layoutInCell="1" allowOverlap="1" wp14:anchorId="2F08E16F" wp14:editId="65718CDF">
                <wp:simplePos x="0" y="0"/>
                <wp:positionH relativeFrom="page">
                  <wp:posOffset>719455</wp:posOffset>
                </wp:positionH>
                <wp:positionV relativeFrom="paragraph">
                  <wp:posOffset>169545</wp:posOffset>
                </wp:positionV>
                <wp:extent cx="1080135" cy="0"/>
                <wp:effectExtent l="8255" t="17145" r="29210" b="20955"/>
                <wp:wrapTopAndBottom/>
                <wp:docPr id="1199"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79F1" id="Line_x0020_1198" o:spid="_x0000_s1026" style="position:absolute;z-index:4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35pt" to="141.7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" strokecolor="#231f20" strokeweight=".5pt">
                <w10:wrap type="topAndBottom" anchorx="page"/>
              </v:line>
            </w:pict>
          </mc:Fallback>
        </mc:AlternateContent>
      </w:r>
    </w:p>
    <w:p w14:paraId="30C49C53"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Органи державної влади та органи місцевого самоврядування, їх </w:t>
      </w:r>
      <w:r>
        <w:rPr>
          <w:color w:val="231F20"/>
          <w:sz w:val="16"/>
        </w:rPr>
        <w:t>посадові особи зобов’язані діяти лише на підставі, у межах повноважень та у спосіб, що передбачені Кон- ституцією та законами України (ст. 19 Конституції України).</w:t>
      </w:r>
    </w:p>
    <w:p w14:paraId="01ADD88C" w14:textId="77777777" w:rsidR="00DE575E" w:rsidRDefault="00DE575E">
      <w:pPr>
        <w:pStyle w:val="BodyText"/>
        <w:spacing w:before="2"/>
        <w:rPr>
          <w:sz w:val="12"/>
        </w:rPr>
      </w:pPr>
    </w:p>
    <w:p w14:paraId="055935C6" w14:textId="77777777" w:rsidR="00DE575E" w:rsidRDefault="002E7560">
      <w:pPr>
        <w:spacing w:before="92"/>
        <w:ind w:left="533"/>
        <w:rPr>
          <w:rFonts w:ascii="Times New Roman"/>
          <w:sz w:val="20"/>
        </w:rPr>
      </w:pPr>
      <w:r>
        <w:rPr>
          <w:rFonts w:ascii="Times New Roman"/>
          <w:color w:val="231F20"/>
          <w:sz w:val="20"/>
        </w:rPr>
        <w:t>82</w:t>
      </w:r>
    </w:p>
    <w:p w14:paraId="4A70A846" w14:textId="77777777" w:rsidR="00DE575E" w:rsidRDefault="00DE575E">
      <w:pPr>
        <w:rPr>
          <w:rFonts w:ascii="Times New Roman"/>
          <w:sz w:val="20"/>
        </w:rPr>
        <w:sectPr w:rsidR="00DE575E">
          <w:pgSz w:w="8510" w:h="12760"/>
          <w:pgMar w:top="660" w:right="720" w:bottom="280" w:left="600" w:header="720" w:footer="720" w:gutter="0"/>
          <w:cols w:space="720"/>
        </w:sectPr>
      </w:pPr>
    </w:p>
    <w:p w14:paraId="5EF470DE"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4. Суб’єкти публічного адміністрування</w:t>
      </w:r>
    </w:p>
    <w:p w14:paraId="629AD155" w14:textId="6ADD463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2BD32B9" wp14:editId="4FD9A009">
                <wp:extent cx="4140200" cy="6350"/>
                <wp:effectExtent l="0" t="0" r="12700" b="6350"/>
                <wp:docPr id="1197"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98" name="Line 119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B0DC36" id="Group_x0020_119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SKFk1gAIAAJwFAAAO&#10;AAAAAAAAAAAAAAAAACwCAABkcnMvZTJvRG9jLnhtbFBLAQItABQABgAIAAAAIQBMp7CQ2QAAAAMB&#10;AAAPAAAAAAAAAAAAAAAAANgEAABkcnMvZG93bnJldi54bWxQSwUGAAAAAAQABADzAAAA3gUAAAAA&#10;">
                <v:line id="Line_x0020_119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vYm8gAAADdAAAADwAAAGRycy9kb3ducmV2LnhtbESPQWvCQBCF74X+h2UKXkrdqFBs6iql&#10;IIgHraY/YMxOk9Dd2ZhdTeyv7xwKvc3w3rz3zWI1eKeu1MUmsIHJOANFXAbbcGXgs1g/zUHFhGzR&#10;BSYDN4qwWt7fLTC3oecDXY+pUhLCMUcDdUptrnUsa/IYx6ElFu0rdB6TrF2lbYe9hHunp1n2rD02&#10;LA01tvReU/l9vHgDxfkxuY/91vXF/jTTp/Nu9nPZGTN6GN5eQSUa0r/573pjBX/yIrj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BvYm8gAAADdAAAADwAAAAAA&#10;AAAAAAAAAAChAgAAZHJzL2Rvd25yZXYueG1sUEsFBgAAAAAEAAQA+QAAAJYDAAAAAA==&#10;" strokecolor="#231f20" strokeweight=".5pt"/>
                <w10:anchorlock/>
              </v:group>
            </w:pict>
          </mc:Fallback>
        </mc:AlternateContent>
      </w:r>
    </w:p>
    <w:p w14:paraId="685D9E2A" w14:textId="77777777" w:rsidR="00DE575E" w:rsidRDefault="00DE575E">
      <w:pPr>
        <w:pStyle w:val="BodyText"/>
        <w:spacing w:before="7"/>
        <w:rPr>
          <w:rFonts w:ascii="AdonisC"/>
          <w:i/>
          <w:sz w:val="19"/>
        </w:rPr>
      </w:pPr>
    </w:p>
    <w:p w14:paraId="6A89ADDC" w14:textId="77777777" w:rsidR="00DE575E" w:rsidRDefault="002E7560">
      <w:pPr>
        <w:pStyle w:val="BodyText"/>
        <w:spacing w:before="1" w:line="252" w:lineRule="auto"/>
        <w:ind w:left="250" w:right="411"/>
        <w:jc w:val="both"/>
      </w:pPr>
      <w:r>
        <w:rPr>
          <w:color w:val="231F20"/>
        </w:rPr>
        <w:t xml:space="preserve">ністративними діями самостійно реалізовувати набуті адміністра- тивні обов’язки і права та нести за них відповідальність. Складовою дієздатності є адміністративна деліктоздатність суб’єкта публічної адміністрації, що виражається в його юридичній здатності </w:t>
      </w:r>
      <w:r>
        <w:rPr>
          <w:color w:val="231F20"/>
        </w:rPr>
        <w:t>само- стійно усвідомлювати свої вчинки та їх суспільно небезпечні (шкід- ливі) результати, відповідати за свої протиправні дії й нести за них юридичну відповідальність.</w:t>
      </w:r>
    </w:p>
    <w:p w14:paraId="3EDFD3BF" w14:textId="77777777" w:rsidR="00DE575E" w:rsidRDefault="002E7560">
      <w:pPr>
        <w:spacing w:before="3" w:line="252" w:lineRule="auto"/>
        <w:ind w:left="250" w:right="410" w:firstLine="283"/>
        <w:jc w:val="both"/>
        <w:rPr>
          <w:sz w:val="21"/>
        </w:rPr>
      </w:pPr>
      <w:r>
        <w:rPr>
          <w:color w:val="231F20"/>
          <w:sz w:val="21"/>
        </w:rPr>
        <w:t xml:space="preserve">Для </w:t>
      </w:r>
      <w:r>
        <w:rPr>
          <w:i/>
          <w:color w:val="231F20"/>
          <w:sz w:val="21"/>
        </w:rPr>
        <w:t>юридичних осіб публічної адміністрації  правосуб’єктність</w:t>
      </w:r>
      <w:r>
        <w:rPr>
          <w:color w:val="231F20"/>
          <w:sz w:val="21"/>
        </w:rPr>
        <w:t>, як правило, єдина – вона</w:t>
      </w:r>
      <w:r>
        <w:rPr>
          <w:color w:val="231F20"/>
          <w:sz w:val="21"/>
        </w:rPr>
        <w:t xml:space="preserve"> виникає з моменту створення (державної реєстрації) юридичної особи, припиняється з моменту ліквідації (виключення з державного реєстру) та відзначається спеціальним публічним</w:t>
      </w:r>
      <w:r>
        <w:rPr>
          <w:color w:val="231F20"/>
          <w:spacing w:val="-1"/>
          <w:sz w:val="21"/>
        </w:rPr>
        <w:t xml:space="preserve"> </w:t>
      </w:r>
      <w:r>
        <w:rPr>
          <w:color w:val="231F20"/>
          <w:sz w:val="21"/>
        </w:rPr>
        <w:t>характером.</w:t>
      </w:r>
    </w:p>
    <w:p w14:paraId="2BCB25C6" w14:textId="77777777" w:rsidR="00DE575E" w:rsidRDefault="002E7560">
      <w:pPr>
        <w:spacing w:before="3" w:line="252" w:lineRule="auto"/>
        <w:ind w:left="250" w:right="411" w:firstLine="283"/>
        <w:jc w:val="both"/>
        <w:rPr>
          <w:sz w:val="21"/>
        </w:rPr>
      </w:pPr>
      <w:r>
        <w:rPr>
          <w:i/>
          <w:color w:val="231F20"/>
          <w:sz w:val="21"/>
        </w:rPr>
        <w:t xml:space="preserve">Адміністративна дієздатність посадових осіб </w:t>
      </w:r>
      <w:r>
        <w:rPr>
          <w:color w:val="231F20"/>
          <w:spacing w:val="-3"/>
          <w:sz w:val="21"/>
        </w:rPr>
        <w:t xml:space="preserve">суб’єктів </w:t>
      </w:r>
      <w:r>
        <w:rPr>
          <w:color w:val="231F20"/>
          <w:sz w:val="21"/>
        </w:rPr>
        <w:t>публічної адмі</w:t>
      </w:r>
      <w:r>
        <w:rPr>
          <w:color w:val="231F20"/>
          <w:sz w:val="21"/>
        </w:rPr>
        <w:t xml:space="preserve">ністрації виникає з моменту призначення на </w:t>
      </w:r>
      <w:r>
        <w:rPr>
          <w:color w:val="231F20"/>
          <w:spacing w:val="-3"/>
          <w:sz w:val="21"/>
        </w:rPr>
        <w:t xml:space="preserve">посаду, </w:t>
      </w:r>
      <w:r>
        <w:rPr>
          <w:color w:val="231F20"/>
          <w:sz w:val="21"/>
        </w:rPr>
        <w:t>хоча часто після цього ще потребується складання відповідної присяги.</w:t>
      </w:r>
    </w:p>
    <w:p w14:paraId="2B74D92C" w14:textId="77777777" w:rsidR="00DE575E" w:rsidRDefault="00DE575E">
      <w:pPr>
        <w:pStyle w:val="BodyText"/>
        <w:spacing w:before="1"/>
        <w:rPr>
          <w:sz w:val="22"/>
        </w:rPr>
      </w:pPr>
    </w:p>
    <w:p w14:paraId="3CBC4853" w14:textId="77777777" w:rsidR="00DE575E" w:rsidRDefault="002E7560">
      <w:pPr>
        <w:pStyle w:val="Heading5"/>
        <w:numPr>
          <w:ilvl w:val="2"/>
          <w:numId w:val="275"/>
        </w:numPr>
        <w:tabs>
          <w:tab w:val="left" w:pos="1099"/>
        </w:tabs>
        <w:ind w:left="1098"/>
        <w:jc w:val="left"/>
      </w:pPr>
      <w:r>
        <w:rPr>
          <w:color w:val="231F20"/>
          <w:spacing w:val="-3"/>
        </w:rPr>
        <w:t xml:space="preserve">Групи суб’єктів </w:t>
      </w:r>
      <w:r>
        <w:rPr>
          <w:color w:val="231F20"/>
        </w:rPr>
        <w:t>публічного</w:t>
      </w:r>
      <w:r>
        <w:rPr>
          <w:color w:val="231F20"/>
          <w:spacing w:val="1"/>
        </w:rPr>
        <w:t xml:space="preserve"> </w:t>
      </w:r>
      <w:r>
        <w:rPr>
          <w:color w:val="231F20"/>
        </w:rPr>
        <w:t>адміністрування</w:t>
      </w:r>
    </w:p>
    <w:p w14:paraId="1E2F5BBD" w14:textId="77777777" w:rsidR="00DE575E" w:rsidRDefault="00DE575E">
      <w:pPr>
        <w:pStyle w:val="BodyText"/>
        <w:spacing w:before="2"/>
        <w:rPr>
          <w:b/>
          <w:sz w:val="23"/>
        </w:rPr>
      </w:pPr>
    </w:p>
    <w:p w14:paraId="19DF355C" w14:textId="77777777" w:rsidR="00DE575E" w:rsidRDefault="002E7560">
      <w:pPr>
        <w:pStyle w:val="BodyText"/>
        <w:spacing w:line="252" w:lineRule="auto"/>
        <w:ind w:left="250" w:right="411" w:firstLine="283"/>
        <w:jc w:val="both"/>
      </w:pPr>
      <w:r>
        <w:rPr>
          <w:color w:val="231F20"/>
        </w:rPr>
        <w:t xml:space="preserve">В апараті держави суб’єкти владних повноважень, які виконують виконавчі функції, набагато </w:t>
      </w:r>
      <w:r>
        <w:rPr>
          <w:color w:val="231F20"/>
        </w:rPr>
        <w:t>численніші за тих, хто забезпечує зако- нодавчі й судові повноваження.</w:t>
      </w:r>
    </w:p>
    <w:p w14:paraId="230EB9C7" w14:textId="77777777" w:rsidR="00DE575E" w:rsidRDefault="002E7560">
      <w:pPr>
        <w:pStyle w:val="BodyText"/>
        <w:spacing w:before="2" w:line="252" w:lineRule="auto"/>
        <w:ind w:left="250" w:right="411" w:firstLine="283"/>
        <w:jc w:val="both"/>
      </w:pPr>
      <w:r>
        <w:rPr>
          <w:color w:val="231F20"/>
        </w:rPr>
        <w:t>В Україні конституційна кількість народних депутатів складає 450 осіб, кількість суддів не перевищує 10 тис., а державних служ- бовців – понад 200 тис., до цього потрібно окремим рядком</w:t>
      </w:r>
      <w:r>
        <w:rPr>
          <w:color w:val="231F20"/>
        </w:rPr>
        <w:t xml:space="preserve"> додати понад 200 тис. осіб із МВС (без національної гвардії), понад 80 тис. посадових осіб органів місцевого самоврядування та ін.</w:t>
      </w:r>
    </w:p>
    <w:p w14:paraId="06F9D958" w14:textId="77777777" w:rsidR="00DE575E" w:rsidRDefault="002E7560">
      <w:pPr>
        <w:pStyle w:val="BodyText"/>
        <w:spacing w:before="2" w:line="252" w:lineRule="auto"/>
        <w:ind w:left="250" w:right="411" w:firstLine="283"/>
        <w:jc w:val="both"/>
      </w:pPr>
      <w:r>
        <w:rPr>
          <w:color w:val="231F20"/>
        </w:rPr>
        <w:t xml:space="preserve">Від часів незалежності формування </w:t>
      </w:r>
      <w:r>
        <w:rPr>
          <w:color w:val="231F20"/>
          <w:spacing w:val="-3"/>
        </w:rPr>
        <w:t xml:space="preserve">суб’єктів </w:t>
      </w:r>
      <w:r>
        <w:rPr>
          <w:color w:val="231F20"/>
        </w:rPr>
        <w:t xml:space="preserve">різних гілок влади здійснювалося в демократичний спосіб, але під впливом різних </w:t>
      </w:r>
      <w:r>
        <w:rPr>
          <w:color w:val="231F20"/>
        </w:rPr>
        <w:t>центрів</w:t>
      </w:r>
      <w:r>
        <w:rPr>
          <w:color w:val="231F20"/>
          <w:spacing w:val="-14"/>
        </w:rPr>
        <w:t xml:space="preserve"> </w:t>
      </w:r>
      <w:r>
        <w:rPr>
          <w:color w:val="231F20"/>
        </w:rPr>
        <w:t>політичних</w:t>
      </w:r>
      <w:r>
        <w:rPr>
          <w:color w:val="231F20"/>
          <w:spacing w:val="-14"/>
        </w:rPr>
        <w:t xml:space="preserve"> </w:t>
      </w:r>
      <w:r>
        <w:rPr>
          <w:color w:val="231F20"/>
        </w:rPr>
        <w:t>впливів</w:t>
      </w:r>
      <w:r>
        <w:rPr>
          <w:color w:val="231F20"/>
          <w:spacing w:val="-14"/>
        </w:rPr>
        <w:t xml:space="preserve"> </w:t>
      </w:r>
      <w:r>
        <w:rPr>
          <w:color w:val="231F20"/>
        </w:rPr>
        <w:t>і</w:t>
      </w:r>
      <w:r>
        <w:rPr>
          <w:color w:val="231F20"/>
          <w:spacing w:val="-14"/>
        </w:rPr>
        <w:t xml:space="preserve"> </w:t>
      </w:r>
      <w:r>
        <w:rPr>
          <w:color w:val="231F20"/>
        </w:rPr>
        <w:t>груп</w:t>
      </w:r>
      <w:r>
        <w:rPr>
          <w:color w:val="231F20"/>
          <w:spacing w:val="-14"/>
        </w:rPr>
        <w:t xml:space="preserve"> </w:t>
      </w:r>
      <w:r>
        <w:rPr>
          <w:color w:val="231F20"/>
        </w:rPr>
        <w:t>вітчизняних</w:t>
      </w:r>
      <w:r>
        <w:rPr>
          <w:color w:val="231F20"/>
          <w:spacing w:val="-14"/>
        </w:rPr>
        <w:t xml:space="preserve"> </w:t>
      </w:r>
      <w:r>
        <w:rPr>
          <w:color w:val="231F20"/>
        </w:rPr>
        <w:t>еліт</w:t>
      </w:r>
      <w:r>
        <w:rPr>
          <w:color w:val="231F20"/>
          <w:spacing w:val="-13"/>
        </w:rPr>
        <w:t xml:space="preserve"> </w:t>
      </w:r>
      <w:r>
        <w:rPr>
          <w:color w:val="231F20"/>
        </w:rPr>
        <w:t>із</w:t>
      </w:r>
      <w:r>
        <w:rPr>
          <w:color w:val="231F20"/>
          <w:spacing w:val="-13"/>
        </w:rPr>
        <w:t xml:space="preserve"> </w:t>
      </w:r>
      <w:r>
        <w:rPr>
          <w:color w:val="231F20"/>
        </w:rPr>
        <w:t>різними</w:t>
      </w:r>
      <w:r>
        <w:rPr>
          <w:color w:val="231F20"/>
          <w:spacing w:val="-14"/>
        </w:rPr>
        <w:t xml:space="preserve"> </w:t>
      </w:r>
      <w:r>
        <w:rPr>
          <w:color w:val="231F20"/>
          <w:spacing w:val="-2"/>
        </w:rPr>
        <w:t xml:space="preserve">погля- </w:t>
      </w:r>
      <w:r>
        <w:rPr>
          <w:color w:val="231F20"/>
        </w:rPr>
        <w:t>дами на теорію публічного</w:t>
      </w:r>
      <w:r>
        <w:rPr>
          <w:color w:val="231F20"/>
          <w:spacing w:val="-3"/>
        </w:rPr>
        <w:t xml:space="preserve"> </w:t>
      </w:r>
      <w:r>
        <w:rPr>
          <w:color w:val="231F20"/>
        </w:rPr>
        <w:t>адміністрування.</w:t>
      </w:r>
    </w:p>
    <w:p w14:paraId="3A13B479" w14:textId="77777777" w:rsidR="00DE575E" w:rsidRDefault="002E7560">
      <w:pPr>
        <w:pStyle w:val="BodyText"/>
        <w:spacing w:before="2" w:line="252" w:lineRule="auto"/>
        <w:ind w:left="250" w:right="410" w:firstLine="283"/>
        <w:jc w:val="both"/>
      </w:pPr>
      <w:r>
        <w:rPr>
          <w:color w:val="231F20"/>
        </w:rPr>
        <w:t>У результаті цього в Україні сформувалася специфічна розгалу- жена система суб’єктів публічної адміністрації, що виконують вико- навчі функції: по-перше, формально входять до органів виконавчої влади, по-друге, формально не входять до системи органів вико-</w:t>
      </w:r>
      <w:r>
        <w:rPr>
          <w:color w:val="231F20"/>
        </w:rPr>
        <w:t xml:space="preserve"> навчої влади, однак здійснюють виконавчі функції (публічне адмі- ністрування) в системі законодавчої, виконавчої та судової гілок державної влади.</w:t>
      </w:r>
    </w:p>
    <w:p w14:paraId="20FF65F1" w14:textId="77777777" w:rsidR="00DE575E" w:rsidRDefault="002E7560">
      <w:pPr>
        <w:pStyle w:val="BodyText"/>
        <w:spacing w:before="4" w:line="252" w:lineRule="auto"/>
        <w:ind w:left="250" w:right="411" w:firstLine="283"/>
        <w:jc w:val="both"/>
      </w:pPr>
      <w:r>
        <w:rPr>
          <w:color w:val="231F20"/>
        </w:rPr>
        <w:t>Тим самим, незважаючи на те, що суб’єкти публічної адміністра- ції функціонують переважно в органах виконавчої влади та місце-</w:t>
      </w:r>
    </w:p>
    <w:p w14:paraId="00F69C2E" w14:textId="77777777" w:rsidR="00DE575E" w:rsidRDefault="00DE575E">
      <w:pPr>
        <w:pStyle w:val="BodyText"/>
        <w:spacing w:before="6"/>
        <w:rPr>
          <w:sz w:val="12"/>
        </w:rPr>
      </w:pPr>
    </w:p>
    <w:p w14:paraId="0FD24B15" w14:textId="77777777" w:rsidR="00DE575E" w:rsidRDefault="002E7560">
      <w:pPr>
        <w:spacing w:before="92"/>
        <w:ind w:right="411"/>
        <w:jc w:val="right"/>
        <w:rPr>
          <w:rFonts w:ascii="Times New Roman"/>
          <w:sz w:val="20"/>
        </w:rPr>
      </w:pPr>
      <w:r>
        <w:rPr>
          <w:rFonts w:ascii="Times New Roman"/>
          <w:color w:val="231F20"/>
          <w:w w:val="90"/>
          <w:sz w:val="20"/>
        </w:rPr>
        <w:t>83</w:t>
      </w:r>
    </w:p>
    <w:p w14:paraId="11972B3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F61A00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F441F58" w14:textId="13C95D0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C48DE42" wp14:editId="5481D4B1">
                <wp:extent cx="4140200" cy="6350"/>
                <wp:effectExtent l="0" t="0" r="12700" b="6350"/>
                <wp:docPr id="1195"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96" name="Line 119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70E67" id="Group_x0020_119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cniIvgAIAAJwFAAAO&#10;AAAAAAAAAAAAAAAAACwCAABkcnMvZTJvRG9jLnhtbFBLAQItABQABgAIAAAAIQBMp7CQ2QAAAAMB&#10;AAAPAAAAAAAAAAAAAAAAANgEAABkcnMvZG93bnJldi54bWxQSwUGAAAAAAQABADzAAAA3gUAAAAA&#10;">
                <v:line id="Line_x0020_119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jpcsQAAADdAAAADwAAAGRycy9kb3ducmV2LnhtbERPzWrCQBC+C77DMkIvohsrSBtdRQRB&#10;elBr+gBjdpqE7s7G7GrSPn1XELzNx/c7i1VnjbhR4yvHCibjBARx7nTFhYKvbDt6A+EDskbjmBT8&#10;kofVst9bYKpdy590O4VCxBD2KSooQ6hTKX1ekkU/djVx5L5dYzFE2BRSN9jGcGvka5LMpMWKY0OJ&#10;NW1Kyn9OV6sguwyDOR4+TJsdzlN5vuynf9e9Ui+Dbj0HEagLT/HDvdNx/uR9Bvdv4gl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yOlyxAAAAN0AAAAPAAAAAAAAAAAA&#10;AAAAAKECAABkcnMvZG93bnJldi54bWxQSwUGAAAAAAQABAD5AAAAkgMAAAAA&#10;" strokecolor="#231f20" strokeweight=".5pt"/>
                <w10:anchorlock/>
              </v:group>
            </w:pict>
          </mc:Fallback>
        </mc:AlternateContent>
      </w:r>
    </w:p>
    <w:p w14:paraId="43732E16" w14:textId="77777777" w:rsidR="00DE575E" w:rsidRDefault="00DE575E">
      <w:pPr>
        <w:pStyle w:val="BodyText"/>
        <w:spacing w:before="7"/>
        <w:rPr>
          <w:rFonts w:ascii="AdonisC"/>
          <w:i/>
          <w:sz w:val="11"/>
        </w:rPr>
      </w:pPr>
    </w:p>
    <w:p w14:paraId="34BBE7E5" w14:textId="77777777" w:rsidR="00DE575E" w:rsidRDefault="002E7560">
      <w:pPr>
        <w:pStyle w:val="BodyText"/>
        <w:spacing w:before="101" w:line="252" w:lineRule="auto"/>
        <w:ind w:left="533" w:right="128"/>
        <w:jc w:val="both"/>
      </w:pPr>
      <w:r>
        <w:rPr>
          <w:color w:val="231F20"/>
        </w:rPr>
        <w:t>в</w:t>
      </w:r>
      <w:r>
        <w:rPr>
          <w:color w:val="231F20"/>
        </w:rPr>
        <w:t xml:space="preserve">ого самоврядуванням, вони присутні і в законодавчій, і у викона- вчій гілках влади та в державних органах, які формально не </w:t>
      </w:r>
      <w:r>
        <w:rPr>
          <w:color w:val="231F20"/>
          <w:spacing w:val="-3"/>
        </w:rPr>
        <w:t xml:space="preserve">входять </w:t>
      </w:r>
      <w:r>
        <w:rPr>
          <w:color w:val="231F20"/>
        </w:rPr>
        <w:t>у систему жодної з них.</w:t>
      </w:r>
    </w:p>
    <w:p w14:paraId="27BC173B" w14:textId="77777777" w:rsidR="00DE575E" w:rsidRDefault="002E7560">
      <w:pPr>
        <w:pStyle w:val="BodyText"/>
        <w:spacing w:before="1" w:line="252" w:lineRule="auto"/>
        <w:ind w:left="533" w:right="127" w:firstLine="283"/>
        <w:jc w:val="both"/>
      </w:pPr>
      <w:r>
        <w:rPr>
          <w:color w:val="231F20"/>
        </w:rPr>
        <w:t xml:space="preserve">Серед них слід виділити певні групи </w:t>
      </w:r>
      <w:r>
        <w:rPr>
          <w:color w:val="231F20"/>
          <w:spacing w:val="-3"/>
        </w:rPr>
        <w:t xml:space="preserve">суб’єктів </w:t>
      </w:r>
      <w:r>
        <w:rPr>
          <w:color w:val="231F20"/>
        </w:rPr>
        <w:t>публічного адміні- стрування – органи державної влади, державні органи, які викону- ють</w:t>
      </w:r>
      <w:r>
        <w:rPr>
          <w:color w:val="231F20"/>
          <w:spacing w:val="-20"/>
        </w:rPr>
        <w:t xml:space="preserve"> </w:t>
      </w:r>
      <w:r>
        <w:rPr>
          <w:color w:val="231F20"/>
        </w:rPr>
        <w:t>виконавчі</w:t>
      </w:r>
      <w:r>
        <w:rPr>
          <w:color w:val="231F20"/>
          <w:spacing w:val="-20"/>
        </w:rPr>
        <w:t xml:space="preserve"> </w:t>
      </w:r>
      <w:r>
        <w:rPr>
          <w:color w:val="231F20"/>
        </w:rPr>
        <w:t>функції,</w:t>
      </w:r>
      <w:r>
        <w:rPr>
          <w:color w:val="231F20"/>
          <w:spacing w:val="-20"/>
        </w:rPr>
        <w:t xml:space="preserve"> </w:t>
      </w:r>
      <w:r>
        <w:rPr>
          <w:color w:val="231F20"/>
        </w:rPr>
        <w:t>але</w:t>
      </w:r>
      <w:r>
        <w:rPr>
          <w:color w:val="231F20"/>
          <w:spacing w:val="-20"/>
        </w:rPr>
        <w:t xml:space="preserve"> </w:t>
      </w:r>
      <w:r>
        <w:rPr>
          <w:color w:val="231F20"/>
        </w:rPr>
        <w:t>формально</w:t>
      </w:r>
      <w:r>
        <w:rPr>
          <w:color w:val="231F20"/>
          <w:spacing w:val="-20"/>
        </w:rPr>
        <w:t xml:space="preserve"> </w:t>
      </w:r>
      <w:r>
        <w:rPr>
          <w:color w:val="231F20"/>
        </w:rPr>
        <w:t>не</w:t>
      </w:r>
      <w:r>
        <w:rPr>
          <w:color w:val="231F20"/>
          <w:spacing w:val="-20"/>
        </w:rPr>
        <w:t xml:space="preserve"> </w:t>
      </w:r>
      <w:r>
        <w:rPr>
          <w:color w:val="231F20"/>
        </w:rPr>
        <w:t>належать</w:t>
      </w:r>
      <w:r>
        <w:rPr>
          <w:color w:val="231F20"/>
          <w:spacing w:val="-20"/>
        </w:rPr>
        <w:t xml:space="preserve"> </w:t>
      </w:r>
      <w:r>
        <w:rPr>
          <w:color w:val="231F20"/>
        </w:rPr>
        <w:t>до</w:t>
      </w:r>
      <w:r>
        <w:rPr>
          <w:color w:val="231F20"/>
          <w:spacing w:val="-20"/>
        </w:rPr>
        <w:t xml:space="preserve"> </w:t>
      </w:r>
      <w:r>
        <w:rPr>
          <w:color w:val="231F20"/>
        </w:rPr>
        <w:t>цієї</w:t>
      </w:r>
      <w:r>
        <w:rPr>
          <w:color w:val="231F20"/>
          <w:spacing w:val="-20"/>
        </w:rPr>
        <w:t xml:space="preserve"> </w:t>
      </w:r>
      <w:r>
        <w:rPr>
          <w:color w:val="231F20"/>
        </w:rPr>
        <w:t>структури; державні фонди та установи; органи влади автономного утво- рення (Автономної Республіки Крим); органи мі</w:t>
      </w:r>
      <w:r>
        <w:rPr>
          <w:color w:val="231F20"/>
        </w:rPr>
        <w:t xml:space="preserve">сцевого самовряду- вання; </w:t>
      </w:r>
      <w:r>
        <w:rPr>
          <w:color w:val="231F20"/>
          <w:spacing w:val="-3"/>
        </w:rPr>
        <w:t xml:space="preserve">суб’єкти, </w:t>
      </w:r>
      <w:r>
        <w:rPr>
          <w:color w:val="231F20"/>
        </w:rPr>
        <w:t>яким делеговано окремі повноваження публічного адміністрування</w:t>
      </w:r>
      <w:r>
        <w:rPr>
          <w:color w:val="231F20"/>
          <w:position w:val="7"/>
          <w:sz w:val="12"/>
        </w:rPr>
        <w:t>1</w:t>
      </w:r>
      <w:r>
        <w:rPr>
          <w:color w:val="231F20"/>
        </w:rPr>
        <w:t>.</w:t>
      </w:r>
    </w:p>
    <w:p w14:paraId="75D40082" w14:textId="77777777" w:rsidR="00DE575E" w:rsidRDefault="002E7560">
      <w:pPr>
        <w:pStyle w:val="Heading6"/>
        <w:spacing w:before="4" w:line="252" w:lineRule="auto"/>
        <w:ind w:right="128"/>
        <w:jc w:val="both"/>
      </w:pPr>
      <w:r>
        <w:rPr>
          <w:color w:val="231F20"/>
        </w:rPr>
        <w:t xml:space="preserve">Під системою державних органів розуміють апарат </w:t>
      </w:r>
      <w:r>
        <w:rPr>
          <w:color w:val="231F20"/>
        </w:rPr>
        <w:t xml:space="preserve">держави, що представлений упорядкованою, організованою, цілісною системою органів законодавчої, виконавчої </w:t>
      </w:r>
      <w:r>
        <w:rPr>
          <w:color w:val="231F20"/>
        </w:rPr>
        <w:t>та судової влади, які наділені  відповідними  владними  повноваженнями, а їх діяльність спрямована на реалізацію державної влади на всій території та в усіх сферах</w:t>
      </w:r>
      <w:r>
        <w:rPr>
          <w:color w:val="231F20"/>
          <w:spacing w:val="-9"/>
        </w:rPr>
        <w:t xml:space="preserve"> </w:t>
      </w:r>
      <w:r>
        <w:rPr>
          <w:color w:val="231F20"/>
        </w:rPr>
        <w:t>суспільства.</w:t>
      </w:r>
    </w:p>
    <w:p w14:paraId="61245F67" w14:textId="77777777" w:rsidR="00DE575E" w:rsidRDefault="002E7560">
      <w:pPr>
        <w:spacing w:before="3" w:line="252" w:lineRule="auto"/>
        <w:ind w:left="533" w:right="128" w:firstLine="283"/>
        <w:jc w:val="both"/>
        <w:rPr>
          <w:i/>
          <w:sz w:val="21"/>
        </w:rPr>
      </w:pPr>
      <w:r>
        <w:rPr>
          <w:i/>
          <w:color w:val="231F20"/>
          <w:sz w:val="21"/>
        </w:rPr>
        <w:t>Крім органів виконавчої влади, до суб’єктів публічної адміністра- ції ще належа</w:t>
      </w:r>
      <w:r>
        <w:rPr>
          <w:i/>
          <w:color w:val="231F20"/>
          <w:sz w:val="21"/>
        </w:rPr>
        <w:t>ть:</w:t>
      </w:r>
    </w:p>
    <w:p w14:paraId="4B6CED13" w14:textId="77777777" w:rsidR="00DE575E" w:rsidRDefault="002E7560">
      <w:pPr>
        <w:pStyle w:val="ListParagraph"/>
        <w:numPr>
          <w:ilvl w:val="1"/>
          <w:numId w:val="299"/>
        </w:numPr>
        <w:tabs>
          <w:tab w:val="left" w:pos="1101"/>
        </w:tabs>
        <w:spacing w:line="252" w:lineRule="auto"/>
        <w:ind w:right="128" w:firstLine="284"/>
        <w:rPr>
          <w:sz w:val="21"/>
        </w:rPr>
      </w:pPr>
      <w:r>
        <w:rPr>
          <w:color w:val="231F20"/>
          <w:sz w:val="21"/>
        </w:rPr>
        <w:t>Президент</w:t>
      </w:r>
      <w:r>
        <w:rPr>
          <w:color w:val="231F20"/>
          <w:spacing w:val="-23"/>
          <w:sz w:val="21"/>
        </w:rPr>
        <w:t xml:space="preserve"> </w:t>
      </w:r>
      <w:r>
        <w:rPr>
          <w:color w:val="231F20"/>
          <w:spacing w:val="-3"/>
          <w:sz w:val="21"/>
        </w:rPr>
        <w:t>України</w:t>
      </w:r>
      <w:r>
        <w:rPr>
          <w:color w:val="231F20"/>
          <w:spacing w:val="-23"/>
          <w:sz w:val="21"/>
        </w:rPr>
        <w:t xml:space="preserve"> </w:t>
      </w:r>
      <w:r>
        <w:rPr>
          <w:color w:val="231F20"/>
          <w:sz w:val="21"/>
        </w:rPr>
        <w:t>при</w:t>
      </w:r>
      <w:r>
        <w:rPr>
          <w:color w:val="231F20"/>
          <w:spacing w:val="-23"/>
          <w:sz w:val="21"/>
        </w:rPr>
        <w:t xml:space="preserve"> </w:t>
      </w:r>
      <w:r>
        <w:rPr>
          <w:color w:val="231F20"/>
          <w:sz w:val="21"/>
        </w:rPr>
        <w:t>здійснення</w:t>
      </w:r>
      <w:r>
        <w:rPr>
          <w:color w:val="231F20"/>
          <w:spacing w:val="-23"/>
          <w:sz w:val="21"/>
        </w:rPr>
        <w:t xml:space="preserve"> </w:t>
      </w:r>
      <w:r>
        <w:rPr>
          <w:color w:val="231F20"/>
          <w:sz w:val="21"/>
        </w:rPr>
        <w:t>деяких</w:t>
      </w:r>
      <w:r>
        <w:rPr>
          <w:color w:val="231F20"/>
          <w:spacing w:val="-23"/>
          <w:sz w:val="21"/>
        </w:rPr>
        <w:t xml:space="preserve"> </w:t>
      </w:r>
      <w:r>
        <w:rPr>
          <w:color w:val="231F20"/>
          <w:sz w:val="21"/>
        </w:rPr>
        <w:t>повноваження</w:t>
      </w:r>
      <w:r>
        <w:rPr>
          <w:color w:val="231F20"/>
          <w:spacing w:val="-23"/>
          <w:sz w:val="21"/>
        </w:rPr>
        <w:t xml:space="preserve"> </w:t>
      </w:r>
      <w:r>
        <w:rPr>
          <w:color w:val="231F20"/>
          <w:sz w:val="21"/>
        </w:rPr>
        <w:t>щодо публічного</w:t>
      </w:r>
      <w:r>
        <w:rPr>
          <w:color w:val="231F20"/>
          <w:spacing w:val="-10"/>
          <w:sz w:val="21"/>
        </w:rPr>
        <w:t xml:space="preserve"> </w:t>
      </w:r>
      <w:r>
        <w:rPr>
          <w:color w:val="231F20"/>
          <w:sz w:val="21"/>
        </w:rPr>
        <w:t>адміністрування</w:t>
      </w:r>
      <w:r>
        <w:rPr>
          <w:color w:val="231F20"/>
          <w:spacing w:val="-10"/>
          <w:sz w:val="21"/>
        </w:rPr>
        <w:t xml:space="preserve"> </w:t>
      </w:r>
      <w:r>
        <w:rPr>
          <w:color w:val="231F20"/>
          <w:sz w:val="21"/>
        </w:rPr>
        <w:t>та</w:t>
      </w:r>
      <w:r>
        <w:rPr>
          <w:color w:val="231F20"/>
          <w:spacing w:val="-10"/>
          <w:sz w:val="21"/>
        </w:rPr>
        <w:t xml:space="preserve"> </w:t>
      </w:r>
      <w:r>
        <w:rPr>
          <w:color w:val="231F20"/>
          <w:sz w:val="21"/>
        </w:rPr>
        <w:t>Офіс</w:t>
      </w:r>
      <w:r>
        <w:rPr>
          <w:color w:val="231F20"/>
          <w:spacing w:val="-10"/>
          <w:sz w:val="21"/>
        </w:rPr>
        <w:t xml:space="preserve"> </w:t>
      </w:r>
      <w:r>
        <w:rPr>
          <w:color w:val="231F20"/>
          <w:sz w:val="21"/>
        </w:rPr>
        <w:t>Президента</w:t>
      </w:r>
      <w:r>
        <w:rPr>
          <w:color w:val="231F20"/>
          <w:spacing w:val="-10"/>
          <w:sz w:val="21"/>
        </w:rPr>
        <w:t xml:space="preserve"> </w:t>
      </w:r>
      <w:r>
        <w:rPr>
          <w:color w:val="231F20"/>
          <w:sz w:val="21"/>
        </w:rPr>
        <w:t>України</w:t>
      </w:r>
      <w:r>
        <w:rPr>
          <w:color w:val="231F20"/>
          <w:position w:val="7"/>
          <w:sz w:val="12"/>
        </w:rPr>
        <w:t>2</w:t>
      </w:r>
      <w:r>
        <w:rPr>
          <w:color w:val="231F20"/>
          <w:sz w:val="21"/>
        </w:rPr>
        <w:t>,</w:t>
      </w:r>
      <w:r>
        <w:rPr>
          <w:color w:val="231F20"/>
          <w:spacing w:val="-10"/>
          <w:sz w:val="21"/>
        </w:rPr>
        <w:t xml:space="preserve"> </w:t>
      </w:r>
      <w:r>
        <w:rPr>
          <w:color w:val="231F20"/>
          <w:sz w:val="21"/>
        </w:rPr>
        <w:t xml:space="preserve">Представ- ництво Президента </w:t>
      </w:r>
      <w:r>
        <w:rPr>
          <w:color w:val="231F20"/>
          <w:spacing w:val="-3"/>
          <w:sz w:val="21"/>
        </w:rPr>
        <w:t xml:space="preserve">України </w:t>
      </w:r>
      <w:r>
        <w:rPr>
          <w:color w:val="231F20"/>
          <w:sz w:val="21"/>
        </w:rPr>
        <w:t>в Автономній Республіці</w:t>
      </w:r>
      <w:r>
        <w:rPr>
          <w:color w:val="231F20"/>
          <w:spacing w:val="-3"/>
          <w:sz w:val="21"/>
        </w:rPr>
        <w:t xml:space="preserve"> </w:t>
      </w:r>
      <w:r>
        <w:rPr>
          <w:color w:val="231F20"/>
          <w:sz w:val="21"/>
        </w:rPr>
        <w:t>Крим</w:t>
      </w:r>
      <w:r>
        <w:rPr>
          <w:color w:val="231F20"/>
          <w:position w:val="7"/>
          <w:sz w:val="12"/>
        </w:rPr>
        <w:t>3</w:t>
      </w:r>
      <w:r>
        <w:rPr>
          <w:color w:val="231F20"/>
          <w:sz w:val="21"/>
        </w:rPr>
        <w:t>;</w:t>
      </w:r>
    </w:p>
    <w:p w14:paraId="2CCFD901" w14:textId="77777777" w:rsidR="00DE575E" w:rsidRDefault="002E7560">
      <w:pPr>
        <w:pStyle w:val="ListParagraph"/>
        <w:numPr>
          <w:ilvl w:val="1"/>
          <w:numId w:val="299"/>
        </w:numPr>
        <w:tabs>
          <w:tab w:val="left" w:pos="1101"/>
        </w:tabs>
        <w:spacing w:line="252" w:lineRule="auto"/>
        <w:ind w:right="127" w:firstLine="284"/>
        <w:rPr>
          <w:sz w:val="21"/>
        </w:rPr>
      </w:pPr>
      <w:r>
        <w:rPr>
          <w:color w:val="231F20"/>
          <w:sz w:val="21"/>
        </w:rPr>
        <w:t xml:space="preserve">апарат Верховної ради </w:t>
      </w:r>
      <w:r>
        <w:rPr>
          <w:color w:val="231F20"/>
          <w:spacing w:val="-3"/>
          <w:sz w:val="21"/>
        </w:rPr>
        <w:t xml:space="preserve">України, </w:t>
      </w:r>
      <w:r>
        <w:rPr>
          <w:color w:val="231F20"/>
          <w:sz w:val="21"/>
        </w:rPr>
        <w:t xml:space="preserve">Уповноважена  Верховної Ради </w:t>
      </w:r>
      <w:r>
        <w:rPr>
          <w:color w:val="231F20"/>
          <w:spacing w:val="-3"/>
          <w:sz w:val="21"/>
        </w:rPr>
        <w:t xml:space="preserve">України </w:t>
      </w:r>
      <w:r>
        <w:rPr>
          <w:color w:val="231F20"/>
          <w:sz w:val="21"/>
        </w:rPr>
        <w:t>з прав людини та її секретаріат</w:t>
      </w:r>
      <w:r>
        <w:rPr>
          <w:color w:val="231F20"/>
          <w:position w:val="7"/>
          <w:sz w:val="12"/>
        </w:rPr>
        <w:t xml:space="preserve">4 </w:t>
      </w:r>
      <w:r>
        <w:rPr>
          <w:color w:val="231F20"/>
          <w:sz w:val="21"/>
        </w:rPr>
        <w:t>у законодавчій гілці влади</w:t>
      </w:r>
      <w:r>
        <w:rPr>
          <w:color w:val="231F20"/>
          <w:position w:val="7"/>
          <w:sz w:val="12"/>
        </w:rPr>
        <w:t>5</w:t>
      </w:r>
      <w:r>
        <w:rPr>
          <w:color w:val="231F20"/>
          <w:sz w:val="21"/>
        </w:rPr>
        <w:t>;</w:t>
      </w:r>
    </w:p>
    <w:p w14:paraId="3CC4D2CE" w14:textId="77777777" w:rsidR="00DE575E" w:rsidRDefault="002E7560">
      <w:pPr>
        <w:pStyle w:val="ListParagraph"/>
        <w:numPr>
          <w:ilvl w:val="1"/>
          <w:numId w:val="299"/>
        </w:numPr>
        <w:tabs>
          <w:tab w:val="left" w:pos="1101"/>
        </w:tabs>
        <w:spacing w:line="252" w:lineRule="auto"/>
        <w:ind w:right="128" w:firstLine="284"/>
        <w:rPr>
          <w:sz w:val="21"/>
        </w:rPr>
      </w:pPr>
      <w:r>
        <w:rPr>
          <w:color w:val="231F20"/>
          <w:spacing w:val="-3"/>
          <w:sz w:val="21"/>
        </w:rPr>
        <w:t xml:space="preserve">судді </w:t>
      </w:r>
      <w:r>
        <w:rPr>
          <w:color w:val="231F20"/>
          <w:sz w:val="21"/>
        </w:rPr>
        <w:t xml:space="preserve">на адміністративних посадах, апарат </w:t>
      </w:r>
      <w:r>
        <w:rPr>
          <w:color w:val="231F20"/>
          <w:spacing w:val="-4"/>
          <w:sz w:val="21"/>
        </w:rPr>
        <w:t xml:space="preserve">суду </w:t>
      </w:r>
      <w:r>
        <w:rPr>
          <w:color w:val="231F20"/>
          <w:sz w:val="21"/>
        </w:rPr>
        <w:t xml:space="preserve">і Державна </w:t>
      </w:r>
      <w:r>
        <w:rPr>
          <w:color w:val="231F20"/>
          <w:spacing w:val="-3"/>
          <w:sz w:val="21"/>
        </w:rPr>
        <w:t xml:space="preserve">судова </w:t>
      </w:r>
      <w:r>
        <w:rPr>
          <w:color w:val="231F20"/>
          <w:sz w:val="21"/>
        </w:rPr>
        <w:t>адміністрація</w:t>
      </w:r>
      <w:r>
        <w:rPr>
          <w:color w:val="231F20"/>
          <w:position w:val="7"/>
          <w:sz w:val="12"/>
        </w:rPr>
        <w:t>6</w:t>
      </w:r>
      <w:r>
        <w:rPr>
          <w:color w:val="231F20"/>
          <w:sz w:val="21"/>
        </w:rPr>
        <w:t xml:space="preserve">, Вища рада правосуддя, ВККСУ в </w:t>
      </w:r>
      <w:r>
        <w:rPr>
          <w:color w:val="231F20"/>
          <w:spacing w:val="-3"/>
          <w:sz w:val="21"/>
        </w:rPr>
        <w:t xml:space="preserve">судовій </w:t>
      </w:r>
      <w:r>
        <w:rPr>
          <w:color w:val="231F20"/>
          <w:sz w:val="21"/>
        </w:rPr>
        <w:t>гілці влади;</w:t>
      </w:r>
    </w:p>
    <w:p w14:paraId="65D801B3" w14:textId="1B557802" w:rsidR="00DE575E" w:rsidRDefault="002E7560">
      <w:pPr>
        <w:pStyle w:val="BodyText"/>
        <w:spacing w:before="6"/>
        <w:rPr>
          <w:sz w:val="28"/>
        </w:rPr>
      </w:pPr>
      <w:r>
        <w:rPr>
          <w:noProof/>
        </w:rPr>
        <mc:AlternateContent>
          <mc:Choice Requires="wps">
            <w:drawing>
              <wp:anchor distT="0" distB="0" distL="0" distR="0" simplePos="0" relativeHeight="4144" behindDoc="0" locked="0" layoutInCell="1" allowOverlap="1" wp14:anchorId="7279FE8C" wp14:editId="6CA54503">
                <wp:simplePos x="0" y="0"/>
                <wp:positionH relativeFrom="page">
                  <wp:posOffset>719455</wp:posOffset>
                </wp:positionH>
                <wp:positionV relativeFrom="paragraph">
                  <wp:posOffset>240030</wp:posOffset>
                </wp:positionV>
                <wp:extent cx="1080135" cy="0"/>
                <wp:effectExtent l="8255" t="11430" r="29210" b="26670"/>
                <wp:wrapTopAndBottom/>
                <wp:docPr id="1194"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73E76" id="Line_x0020_1193" o:spid="_x0000_s1026" style="position:absolute;z-index: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9pt" to="141.7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" strokecolor="#231f20" strokeweight=".5pt">
                <w10:wrap type="topAndBottom" anchorx="page"/>
              </v:line>
            </w:pict>
          </mc:Fallback>
        </mc:AlternateContent>
      </w:r>
    </w:p>
    <w:p w14:paraId="2AC61A34" w14:textId="77777777" w:rsidR="00DE575E" w:rsidRDefault="002E7560">
      <w:pPr>
        <w:spacing w:line="162" w:lineRule="exact"/>
        <w:ind w:left="533"/>
        <w:jc w:val="both"/>
        <w:rPr>
          <w:sz w:val="16"/>
        </w:rPr>
      </w:pPr>
      <w:r>
        <w:rPr>
          <w:color w:val="231F20"/>
          <w:position w:val="5"/>
          <w:sz w:val="9"/>
        </w:rPr>
        <w:t xml:space="preserve">1 </w:t>
      </w:r>
      <w:r>
        <w:rPr>
          <w:color w:val="231F20"/>
          <w:sz w:val="16"/>
        </w:rPr>
        <w:t>Мельник Р. Зазнач. праця</w:t>
      </w:r>
    </w:p>
    <w:p w14:paraId="0CE7FF21" w14:textId="77777777" w:rsidR="00DE575E" w:rsidRDefault="002E7560">
      <w:pPr>
        <w:spacing w:before="23" w:line="204" w:lineRule="auto"/>
        <w:ind w:left="533" w:right="128"/>
        <w:jc w:val="both"/>
        <w:rPr>
          <w:i/>
          <w:sz w:val="16"/>
        </w:rPr>
      </w:pPr>
      <w:r>
        <w:rPr>
          <w:color w:val="231F20"/>
          <w:position w:val="5"/>
          <w:sz w:val="9"/>
        </w:rPr>
        <w:t xml:space="preserve">2 </w:t>
      </w:r>
      <w:r>
        <w:rPr>
          <w:b/>
          <w:i/>
          <w:color w:val="231F20"/>
          <w:sz w:val="16"/>
        </w:rPr>
        <w:t xml:space="preserve">Офіс Президента України </w:t>
      </w:r>
      <w:r>
        <w:rPr>
          <w:i/>
          <w:color w:val="231F20"/>
          <w:sz w:val="16"/>
        </w:rPr>
        <w:t>є пості</w:t>
      </w:r>
      <w:r>
        <w:rPr>
          <w:i/>
          <w:color w:val="231F20"/>
          <w:sz w:val="16"/>
        </w:rPr>
        <w:t>йним допоміжним органом. Його основними завдан- нями є організаційне, правове, консультативне, інформаційне, експертно-аналітичне та інше забезпечення Президента України (Положення Про Офіс Президента України. Затвер- джено Указом Президента України від 25</w:t>
      </w:r>
      <w:r>
        <w:rPr>
          <w:i/>
          <w:color w:val="231F20"/>
          <w:sz w:val="16"/>
        </w:rPr>
        <w:t xml:space="preserve"> червня 2019 р. № 436).</w:t>
      </w:r>
    </w:p>
    <w:p w14:paraId="3B335E58" w14:textId="77777777" w:rsidR="00DE575E" w:rsidRDefault="002E7560">
      <w:pPr>
        <w:spacing w:before="31" w:line="204" w:lineRule="auto"/>
        <w:ind w:left="533" w:right="127"/>
        <w:jc w:val="both"/>
        <w:rPr>
          <w:sz w:val="16"/>
        </w:rPr>
      </w:pPr>
      <w:r>
        <w:rPr>
          <w:color w:val="231F20"/>
          <w:position w:val="5"/>
          <w:sz w:val="9"/>
        </w:rPr>
        <w:t xml:space="preserve">3 </w:t>
      </w:r>
      <w:r>
        <w:rPr>
          <w:color w:val="231F20"/>
          <w:sz w:val="16"/>
        </w:rPr>
        <w:t>Про Представництво Президента України в Автономній Республіці Крим. Закон від 02.03.2000 № 1524-III.</w:t>
      </w:r>
    </w:p>
    <w:p w14:paraId="3CB72924" w14:textId="77777777" w:rsidR="00DE575E" w:rsidRDefault="002E7560">
      <w:pPr>
        <w:spacing w:before="29" w:line="204" w:lineRule="auto"/>
        <w:ind w:left="533" w:right="128"/>
        <w:jc w:val="both"/>
        <w:rPr>
          <w:sz w:val="16"/>
        </w:rPr>
      </w:pPr>
      <w:r>
        <w:rPr>
          <w:color w:val="231F20"/>
          <w:position w:val="5"/>
          <w:sz w:val="9"/>
        </w:rPr>
        <w:t xml:space="preserve">4 </w:t>
      </w:r>
      <w:r>
        <w:rPr>
          <w:b/>
          <w:color w:val="231F20"/>
          <w:sz w:val="16"/>
        </w:rPr>
        <w:t xml:space="preserve">Секретаріат </w:t>
      </w:r>
      <w:r>
        <w:rPr>
          <w:b/>
          <w:color w:val="231F20"/>
          <w:spacing w:val="-3"/>
          <w:sz w:val="16"/>
        </w:rPr>
        <w:t xml:space="preserve">Уповноваженого  </w:t>
      </w:r>
      <w:r>
        <w:rPr>
          <w:b/>
          <w:color w:val="231F20"/>
          <w:sz w:val="16"/>
        </w:rPr>
        <w:t xml:space="preserve">Верховної Ради </w:t>
      </w:r>
      <w:r>
        <w:rPr>
          <w:b/>
          <w:color w:val="231F20"/>
          <w:spacing w:val="-3"/>
          <w:sz w:val="16"/>
        </w:rPr>
        <w:t xml:space="preserve">України  </w:t>
      </w:r>
      <w:r>
        <w:rPr>
          <w:b/>
          <w:color w:val="231F20"/>
          <w:sz w:val="16"/>
        </w:rPr>
        <w:t>з прав лю</w:t>
      </w:r>
      <w:r>
        <w:rPr>
          <w:color w:val="231F20"/>
          <w:sz w:val="16"/>
        </w:rPr>
        <w:t>дини є юридич-  ною особою, що утворюється Уповноваженим Верховної</w:t>
      </w:r>
      <w:r>
        <w:rPr>
          <w:color w:val="231F20"/>
          <w:sz w:val="16"/>
        </w:rPr>
        <w:t xml:space="preserve"> Ради України з прав людини для забезпечення його</w:t>
      </w:r>
      <w:r>
        <w:rPr>
          <w:color w:val="231F20"/>
          <w:spacing w:val="-2"/>
          <w:sz w:val="16"/>
        </w:rPr>
        <w:t xml:space="preserve"> </w:t>
      </w:r>
      <w:r>
        <w:rPr>
          <w:color w:val="231F20"/>
          <w:sz w:val="16"/>
        </w:rPr>
        <w:t>діяльності.</w:t>
      </w:r>
    </w:p>
    <w:p w14:paraId="59B21561" w14:textId="77777777" w:rsidR="00DE575E" w:rsidRDefault="002E7560">
      <w:pPr>
        <w:spacing w:before="30" w:line="204" w:lineRule="auto"/>
        <w:ind w:left="533" w:right="128"/>
        <w:jc w:val="both"/>
        <w:rPr>
          <w:sz w:val="16"/>
        </w:rPr>
      </w:pPr>
      <w:r>
        <w:rPr>
          <w:color w:val="231F20"/>
          <w:position w:val="5"/>
          <w:sz w:val="9"/>
        </w:rPr>
        <w:t xml:space="preserve">5 </w:t>
      </w:r>
      <w:r>
        <w:rPr>
          <w:b/>
          <w:color w:val="231F20"/>
          <w:sz w:val="16"/>
        </w:rPr>
        <w:t xml:space="preserve">Апарат Верховної Ради </w:t>
      </w:r>
      <w:r>
        <w:rPr>
          <w:b/>
          <w:color w:val="231F20"/>
          <w:spacing w:val="-3"/>
          <w:sz w:val="16"/>
        </w:rPr>
        <w:t xml:space="preserve">України </w:t>
      </w:r>
      <w:r>
        <w:rPr>
          <w:color w:val="231F20"/>
          <w:sz w:val="16"/>
        </w:rPr>
        <w:t>є постійним органом, який здійснює правове, нау- кове,  організаційне,  документальне,  інформаційне,  експертно-аналітичне,  фінансове   й матеріально-технічне забезпечення діяльності Верховної Ради України, її органів та народних депутатів</w:t>
      </w:r>
      <w:r>
        <w:rPr>
          <w:color w:val="231F20"/>
          <w:spacing w:val="-3"/>
          <w:sz w:val="16"/>
        </w:rPr>
        <w:t xml:space="preserve"> </w:t>
      </w:r>
      <w:r>
        <w:rPr>
          <w:color w:val="231F20"/>
          <w:sz w:val="16"/>
        </w:rPr>
        <w:t>України.</w:t>
      </w:r>
    </w:p>
    <w:p w14:paraId="1FEB1922" w14:textId="77777777" w:rsidR="00DE575E" w:rsidRDefault="002E7560">
      <w:pPr>
        <w:spacing w:before="31" w:line="204" w:lineRule="auto"/>
        <w:ind w:left="533" w:right="128"/>
        <w:jc w:val="both"/>
        <w:rPr>
          <w:sz w:val="16"/>
        </w:rPr>
      </w:pPr>
      <w:r>
        <w:rPr>
          <w:color w:val="231F20"/>
          <w:position w:val="5"/>
          <w:sz w:val="9"/>
        </w:rPr>
        <w:t xml:space="preserve">6 </w:t>
      </w:r>
      <w:r>
        <w:rPr>
          <w:color w:val="231F20"/>
          <w:sz w:val="16"/>
        </w:rPr>
        <w:t>Дер</w:t>
      </w:r>
      <w:r>
        <w:rPr>
          <w:color w:val="231F20"/>
          <w:sz w:val="16"/>
        </w:rPr>
        <w:t>жавна судова адміністрація є державним органом у системі правосуддя, який здійснює організаційне та фінансове забезпечення діяльності органів судової влади.</w:t>
      </w:r>
    </w:p>
    <w:p w14:paraId="19300099" w14:textId="77777777" w:rsidR="00DE575E" w:rsidRDefault="00DE575E">
      <w:pPr>
        <w:pStyle w:val="BodyText"/>
        <w:spacing w:before="5"/>
        <w:rPr>
          <w:sz w:val="12"/>
        </w:rPr>
      </w:pPr>
    </w:p>
    <w:p w14:paraId="6193BFDA" w14:textId="77777777" w:rsidR="00DE575E" w:rsidRDefault="002E7560">
      <w:pPr>
        <w:spacing w:before="91"/>
        <w:ind w:left="533"/>
        <w:rPr>
          <w:rFonts w:ascii="Times New Roman"/>
          <w:sz w:val="20"/>
        </w:rPr>
      </w:pPr>
      <w:r>
        <w:rPr>
          <w:rFonts w:ascii="Times New Roman"/>
          <w:color w:val="231F20"/>
          <w:sz w:val="20"/>
        </w:rPr>
        <w:t>84</w:t>
      </w:r>
    </w:p>
    <w:p w14:paraId="7C33F8F7" w14:textId="77777777" w:rsidR="00DE575E" w:rsidRDefault="00DE575E">
      <w:pPr>
        <w:rPr>
          <w:rFonts w:ascii="Times New Roman"/>
          <w:sz w:val="20"/>
        </w:rPr>
        <w:sectPr w:rsidR="00DE575E">
          <w:pgSz w:w="8510" w:h="12760"/>
          <w:pgMar w:top="660" w:right="720" w:bottom="280" w:left="600" w:header="720" w:footer="720" w:gutter="0"/>
          <w:cols w:space="720"/>
        </w:sectPr>
      </w:pPr>
    </w:p>
    <w:p w14:paraId="70E315B6"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4. Суб’єкти публічного адміністрування</w:t>
      </w:r>
    </w:p>
    <w:p w14:paraId="52C4DC3B" w14:textId="53EC695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D273B5E" wp14:editId="3E54BD3C">
                <wp:extent cx="4140200" cy="6350"/>
                <wp:effectExtent l="0" t="0" r="12700" b="6350"/>
                <wp:docPr id="119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93" name="Line 119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F4838F" id="Group_x0020_119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g5g3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3ODmDfQIAAJwFAAAOAAAA&#10;AAAAAAAAAAAAACwCAABkcnMvZTJvRG9jLnhtbFBLAQItABQABgAIAAAAIQBMp7CQ2QAAAAMBAAAP&#10;AAAAAAAAAAAAAAAAANUEAABkcnMvZG93bnJldi54bWxQSwUGAAAAAAQABADzAAAA2wUAAAAA&#10;">
                <v:line id="Line_x0020_119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9K6sUAAADdAAAADwAAAGRycy9kb3ducmV2LnhtbERPzWrCQBC+F/oOyxS8FN1ooGh0lSII&#10;4kGr8QHG7JiE7s7G7GrSPn23UOhtPr7fWax6a8SDWl87VjAeJSCIC6drLhWc881wCsIHZI3GMSn4&#10;Ig+r5fPTAjPtOj7S4xRKEUPYZ6igCqHJpPRFRRb9yDXEkbu61mKIsC2lbrGL4dbISZK8SYs1x4YK&#10;G1pXVHye7lZBfnsN5uOwM11+uKTyctun3/e9UoOX/n0OIlAf/sV/7q2O88ez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9K6sUAAADdAAAADwAAAAAAAAAA&#10;AAAAAAChAgAAZHJzL2Rvd25yZXYueG1sUEsFBgAAAAAEAAQA+QAAAJMDAAAAAA==&#10;" strokecolor="#231f20" strokeweight=".5pt"/>
                <w10:anchorlock/>
              </v:group>
            </w:pict>
          </mc:Fallback>
        </mc:AlternateContent>
      </w:r>
    </w:p>
    <w:p w14:paraId="654199AD" w14:textId="77777777" w:rsidR="00DE575E" w:rsidRDefault="00DE575E">
      <w:pPr>
        <w:pStyle w:val="BodyText"/>
        <w:spacing w:before="7"/>
        <w:rPr>
          <w:rFonts w:ascii="AdonisC"/>
          <w:i/>
          <w:sz w:val="19"/>
        </w:rPr>
      </w:pPr>
    </w:p>
    <w:p w14:paraId="20B15E50" w14:textId="77777777" w:rsidR="00DE575E" w:rsidRDefault="002E7560">
      <w:pPr>
        <w:pStyle w:val="ListParagraph"/>
        <w:numPr>
          <w:ilvl w:val="0"/>
          <w:numId w:val="299"/>
        </w:numPr>
        <w:tabs>
          <w:tab w:val="left" w:pos="818"/>
        </w:tabs>
        <w:spacing w:line="252" w:lineRule="auto"/>
        <w:ind w:right="413" w:firstLine="283"/>
        <w:rPr>
          <w:sz w:val="21"/>
        </w:rPr>
      </w:pPr>
      <w:r>
        <w:rPr>
          <w:color w:val="231F20"/>
          <w:sz w:val="21"/>
        </w:rPr>
        <w:t>Рада Міністрів АРК як виконавчий орган виконавчої влади АРК</w:t>
      </w:r>
      <w:r>
        <w:rPr>
          <w:color w:val="231F20"/>
          <w:position w:val="7"/>
          <w:sz w:val="12"/>
        </w:rPr>
        <w:t>1</w:t>
      </w:r>
      <w:r>
        <w:rPr>
          <w:color w:val="231F20"/>
          <w:sz w:val="21"/>
        </w:rPr>
        <w:t>.</w:t>
      </w:r>
    </w:p>
    <w:p w14:paraId="4F7BDC15" w14:textId="77777777" w:rsidR="00DE575E" w:rsidRDefault="002E7560">
      <w:pPr>
        <w:pStyle w:val="ListParagraph"/>
        <w:numPr>
          <w:ilvl w:val="0"/>
          <w:numId w:val="299"/>
        </w:numPr>
        <w:tabs>
          <w:tab w:val="left" w:pos="818"/>
        </w:tabs>
        <w:spacing w:line="252" w:lineRule="auto"/>
        <w:ind w:right="412" w:firstLine="283"/>
        <w:rPr>
          <w:sz w:val="21"/>
        </w:rPr>
      </w:pPr>
      <w:r>
        <w:rPr>
          <w:color w:val="231F20"/>
          <w:spacing w:val="-3"/>
          <w:sz w:val="21"/>
        </w:rPr>
        <w:t xml:space="preserve">суб’єкти </w:t>
      </w:r>
      <w:r>
        <w:rPr>
          <w:color w:val="231F20"/>
          <w:sz w:val="21"/>
        </w:rPr>
        <w:t>публічної адміністрації, які не мають статусу органу державної</w:t>
      </w:r>
      <w:r>
        <w:rPr>
          <w:color w:val="231F20"/>
          <w:spacing w:val="-1"/>
          <w:sz w:val="21"/>
        </w:rPr>
        <w:t xml:space="preserve"> </w:t>
      </w:r>
      <w:r>
        <w:rPr>
          <w:color w:val="231F20"/>
          <w:sz w:val="21"/>
        </w:rPr>
        <w:t>влади</w:t>
      </w:r>
      <w:r>
        <w:rPr>
          <w:color w:val="231F20"/>
          <w:position w:val="7"/>
          <w:sz w:val="12"/>
        </w:rPr>
        <w:t>2</w:t>
      </w:r>
      <w:r>
        <w:rPr>
          <w:color w:val="231F20"/>
          <w:sz w:val="21"/>
        </w:rPr>
        <w:t>;</w:t>
      </w:r>
    </w:p>
    <w:p w14:paraId="5DB6F43C" w14:textId="77777777" w:rsidR="00DE575E" w:rsidRDefault="002E7560">
      <w:pPr>
        <w:pStyle w:val="ListParagraph"/>
        <w:numPr>
          <w:ilvl w:val="0"/>
          <w:numId w:val="299"/>
        </w:numPr>
        <w:tabs>
          <w:tab w:val="left" w:pos="818"/>
        </w:tabs>
        <w:spacing w:line="252" w:lineRule="auto"/>
        <w:ind w:right="410" w:firstLine="283"/>
        <w:rPr>
          <w:sz w:val="21"/>
        </w:rPr>
      </w:pPr>
      <w:r>
        <w:rPr>
          <w:color w:val="231F20"/>
          <w:sz w:val="21"/>
        </w:rPr>
        <w:t>органи державної влади (змішаного підпорядкування), які виконують виконавчі функції (здійснюють публічне адміністру- вання), але формально не підпорядковані вищому чи центральним органам виконавчої</w:t>
      </w:r>
      <w:r>
        <w:rPr>
          <w:color w:val="231F20"/>
          <w:spacing w:val="-2"/>
          <w:sz w:val="21"/>
        </w:rPr>
        <w:t xml:space="preserve"> </w:t>
      </w:r>
      <w:r>
        <w:rPr>
          <w:color w:val="231F20"/>
          <w:sz w:val="21"/>
        </w:rPr>
        <w:t>влади.</w:t>
      </w:r>
    </w:p>
    <w:p w14:paraId="4EC47D22" w14:textId="77777777" w:rsidR="00DE575E" w:rsidRDefault="002E7560">
      <w:pPr>
        <w:pStyle w:val="BodyText"/>
        <w:spacing w:before="2" w:line="252" w:lineRule="auto"/>
        <w:ind w:left="250" w:right="411" w:firstLine="283"/>
        <w:jc w:val="both"/>
      </w:pPr>
      <w:r>
        <w:rPr>
          <w:color w:val="231F20"/>
        </w:rPr>
        <w:t>Серед органів державної влади, що здійснюють публіч</w:t>
      </w:r>
      <w:r>
        <w:rPr>
          <w:color w:val="231F20"/>
        </w:rPr>
        <w:t>не адміні- стрування, але формально не підпорядковані вищому чи централь- ним органам виконавчої влади, слід відзначити:</w:t>
      </w:r>
    </w:p>
    <w:p w14:paraId="63016B4C" w14:textId="77777777" w:rsidR="00DE575E" w:rsidRDefault="002E7560">
      <w:pPr>
        <w:pStyle w:val="ListParagraph"/>
        <w:numPr>
          <w:ilvl w:val="0"/>
          <w:numId w:val="272"/>
        </w:numPr>
        <w:tabs>
          <w:tab w:val="left" w:pos="818"/>
        </w:tabs>
        <w:spacing w:line="252" w:lineRule="auto"/>
        <w:ind w:right="411" w:firstLine="283"/>
        <w:rPr>
          <w:sz w:val="21"/>
        </w:rPr>
      </w:pPr>
      <w:r>
        <w:rPr>
          <w:i/>
          <w:color w:val="231F20"/>
          <w:sz w:val="21"/>
        </w:rPr>
        <w:t xml:space="preserve">Службу безпеки України </w:t>
      </w:r>
      <w:r>
        <w:rPr>
          <w:color w:val="231F20"/>
          <w:sz w:val="21"/>
        </w:rPr>
        <w:t xml:space="preserve">– державний правоохоронний орган спеціального призначення, який забезпечує державну безпеку </w:t>
      </w:r>
      <w:r>
        <w:rPr>
          <w:color w:val="231F20"/>
          <w:spacing w:val="-3"/>
          <w:sz w:val="21"/>
        </w:rPr>
        <w:t>України;</w:t>
      </w:r>
    </w:p>
    <w:p w14:paraId="487E3CAB" w14:textId="77777777" w:rsidR="00DE575E" w:rsidRDefault="002E7560">
      <w:pPr>
        <w:pStyle w:val="ListParagraph"/>
        <w:numPr>
          <w:ilvl w:val="0"/>
          <w:numId w:val="272"/>
        </w:numPr>
        <w:tabs>
          <w:tab w:val="left" w:pos="818"/>
        </w:tabs>
        <w:spacing w:before="2" w:line="252" w:lineRule="auto"/>
        <w:ind w:right="411" w:firstLine="283"/>
        <w:rPr>
          <w:sz w:val="21"/>
        </w:rPr>
      </w:pPr>
      <w:r>
        <w:rPr>
          <w:i/>
          <w:color w:val="231F20"/>
          <w:sz w:val="21"/>
        </w:rPr>
        <w:t>Раду національної безпеки і оборони України</w:t>
      </w:r>
      <w:r>
        <w:rPr>
          <w:color w:val="231F20"/>
          <w:sz w:val="21"/>
        </w:rPr>
        <w:t xml:space="preserve">, яка є координаці- йним органом з питань національної безпеки і оборони при Прези- дентові </w:t>
      </w:r>
      <w:r>
        <w:rPr>
          <w:color w:val="231F20"/>
          <w:spacing w:val="-3"/>
          <w:sz w:val="21"/>
        </w:rPr>
        <w:t>України;</w:t>
      </w:r>
    </w:p>
    <w:p w14:paraId="2DEA41D7" w14:textId="77777777" w:rsidR="00DE575E" w:rsidRDefault="002E7560">
      <w:pPr>
        <w:pStyle w:val="ListParagraph"/>
        <w:numPr>
          <w:ilvl w:val="0"/>
          <w:numId w:val="272"/>
        </w:numPr>
        <w:tabs>
          <w:tab w:val="left" w:pos="818"/>
        </w:tabs>
        <w:spacing w:line="252" w:lineRule="auto"/>
        <w:ind w:right="411" w:firstLine="283"/>
        <w:rPr>
          <w:sz w:val="21"/>
        </w:rPr>
      </w:pPr>
      <w:r>
        <w:rPr>
          <w:i/>
          <w:color w:val="231F20"/>
          <w:sz w:val="21"/>
        </w:rPr>
        <w:t>Рахункову</w:t>
      </w:r>
      <w:r>
        <w:rPr>
          <w:i/>
          <w:color w:val="231F20"/>
          <w:spacing w:val="-14"/>
          <w:sz w:val="21"/>
        </w:rPr>
        <w:t xml:space="preserve"> </w:t>
      </w:r>
      <w:r>
        <w:rPr>
          <w:i/>
          <w:color w:val="231F20"/>
          <w:sz w:val="21"/>
        </w:rPr>
        <w:t>палату</w:t>
      </w:r>
      <w:r>
        <w:rPr>
          <w:i/>
          <w:color w:val="231F20"/>
          <w:spacing w:val="-13"/>
          <w:sz w:val="21"/>
        </w:rPr>
        <w:t xml:space="preserve"> </w:t>
      </w:r>
      <w:r>
        <w:rPr>
          <w:i/>
          <w:color w:val="231F20"/>
          <w:sz w:val="21"/>
        </w:rPr>
        <w:t>України</w:t>
      </w:r>
      <w:r>
        <w:rPr>
          <w:color w:val="231F20"/>
          <w:sz w:val="21"/>
        </w:rPr>
        <w:t>,</w:t>
      </w:r>
      <w:r>
        <w:rPr>
          <w:color w:val="231F20"/>
          <w:spacing w:val="-14"/>
          <w:sz w:val="21"/>
        </w:rPr>
        <w:t xml:space="preserve"> </w:t>
      </w:r>
      <w:r>
        <w:rPr>
          <w:color w:val="231F20"/>
          <w:sz w:val="21"/>
        </w:rPr>
        <w:t>що</w:t>
      </w:r>
      <w:r>
        <w:rPr>
          <w:color w:val="231F20"/>
          <w:spacing w:val="-14"/>
          <w:sz w:val="21"/>
        </w:rPr>
        <w:t xml:space="preserve"> </w:t>
      </w:r>
      <w:r>
        <w:rPr>
          <w:color w:val="231F20"/>
          <w:sz w:val="21"/>
        </w:rPr>
        <w:t>є</w:t>
      </w:r>
      <w:r>
        <w:rPr>
          <w:color w:val="231F20"/>
          <w:spacing w:val="-13"/>
          <w:sz w:val="21"/>
        </w:rPr>
        <w:t xml:space="preserve"> </w:t>
      </w:r>
      <w:r>
        <w:rPr>
          <w:color w:val="231F20"/>
          <w:sz w:val="21"/>
        </w:rPr>
        <w:t>державним</w:t>
      </w:r>
      <w:r>
        <w:rPr>
          <w:color w:val="231F20"/>
          <w:spacing w:val="-14"/>
          <w:sz w:val="21"/>
        </w:rPr>
        <w:t xml:space="preserve"> </w:t>
      </w:r>
      <w:r>
        <w:rPr>
          <w:color w:val="231F20"/>
          <w:sz w:val="21"/>
        </w:rPr>
        <w:t>колегіальним</w:t>
      </w:r>
      <w:r>
        <w:rPr>
          <w:color w:val="231F20"/>
          <w:spacing w:val="-14"/>
          <w:sz w:val="21"/>
        </w:rPr>
        <w:t xml:space="preserve"> </w:t>
      </w:r>
      <w:r>
        <w:rPr>
          <w:color w:val="231F20"/>
          <w:sz w:val="21"/>
        </w:rPr>
        <w:t xml:space="preserve">орга- ном, який від імені Верховної Ради </w:t>
      </w:r>
      <w:r>
        <w:rPr>
          <w:color w:val="231F20"/>
          <w:spacing w:val="-3"/>
          <w:sz w:val="21"/>
        </w:rPr>
        <w:t xml:space="preserve">України </w:t>
      </w:r>
      <w:r>
        <w:rPr>
          <w:color w:val="231F20"/>
          <w:sz w:val="21"/>
        </w:rPr>
        <w:t xml:space="preserve">здійснює </w:t>
      </w:r>
      <w:r>
        <w:rPr>
          <w:color w:val="231F20"/>
          <w:sz w:val="21"/>
        </w:rPr>
        <w:t xml:space="preserve">контроль за надходженням коштів до Державного бюджету </w:t>
      </w:r>
      <w:r>
        <w:rPr>
          <w:color w:val="231F20"/>
          <w:spacing w:val="-3"/>
          <w:sz w:val="21"/>
        </w:rPr>
        <w:t xml:space="preserve">України </w:t>
      </w:r>
      <w:r>
        <w:rPr>
          <w:color w:val="231F20"/>
          <w:sz w:val="21"/>
        </w:rPr>
        <w:t>та їх вико- ристанням;</w:t>
      </w:r>
    </w:p>
    <w:p w14:paraId="0EECA728" w14:textId="77777777" w:rsidR="00DE575E" w:rsidRDefault="002E7560">
      <w:pPr>
        <w:pStyle w:val="ListParagraph"/>
        <w:numPr>
          <w:ilvl w:val="0"/>
          <w:numId w:val="272"/>
        </w:numPr>
        <w:tabs>
          <w:tab w:val="left" w:pos="818"/>
        </w:tabs>
        <w:spacing w:before="2" w:line="252" w:lineRule="auto"/>
        <w:ind w:right="410" w:firstLine="283"/>
        <w:rPr>
          <w:sz w:val="21"/>
        </w:rPr>
      </w:pPr>
      <w:r>
        <w:rPr>
          <w:i/>
          <w:color w:val="231F20"/>
          <w:sz w:val="21"/>
        </w:rPr>
        <w:t>Центральну виборчу комісію</w:t>
      </w:r>
      <w:r>
        <w:rPr>
          <w:color w:val="231F20"/>
          <w:sz w:val="21"/>
        </w:rPr>
        <w:t>, що є постійним чинним коле- гіальним державним органом, наділеним повноваженнями щодо організації підготовки і проведення</w:t>
      </w:r>
      <w:r>
        <w:rPr>
          <w:color w:val="231F20"/>
          <w:spacing w:val="-3"/>
          <w:sz w:val="21"/>
        </w:rPr>
        <w:t xml:space="preserve"> </w:t>
      </w:r>
      <w:r>
        <w:rPr>
          <w:color w:val="231F20"/>
          <w:sz w:val="21"/>
        </w:rPr>
        <w:t>виборів;</w:t>
      </w:r>
    </w:p>
    <w:p w14:paraId="27D5590A" w14:textId="77777777" w:rsidR="00DE575E" w:rsidRDefault="002E7560">
      <w:pPr>
        <w:pStyle w:val="ListParagraph"/>
        <w:numPr>
          <w:ilvl w:val="0"/>
          <w:numId w:val="272"/>
        </w:numPr>
        <w:tabs>
          <w:tab w:val="left" w:pos="818"/>
        </w:tabs>
        <w:spacing w:before="2" w:line="252" w:lineRule="auto"/>
        <w:ind w:right="411" w:firstLine="283"/>
        <w:rPr>
          <w:sz w:val="21"/>
        </w:rPr>
      </w:pPr>
      <w:r>
        <w:rPr>
          <w:i/>
          <w:color w:val="231F20"/>
          <w:sz w:val="21"/>
        </w:rPr>
        <w:t>Управління д</w:t>
      </w:r>
      <w:r>
        <w:rPr>
          <w:i/>
          <w:color w:val="231F20"/>
          <w:sz w:val="21"/>
        </w:rPr>
        <w:t>ержавної охорони</w:t>
      </w:r>
      <w:r>
        <w:rPr>
          <w:color w:val="231F20"/>
          <w:sz w:val="21"/>
        </w:rPr>
        <w:t xml:space="preserve">, що є державним правоохорон- ним органом спеціального призначення, підпорядкованим Прези- дентові </w:t>
      </w:r>
      <w:r>
        <w:rPr>
          <w:color w:val="231F20"/>
          <w:spacing w:val="-3"/>
          <w:sz w:val="21"/>
        </w:rPr>
        <w:t xml:space="preserve">України </w:t>
      </w:r>
      <w:r>
        <w:rPr>
          <w:color w:val="231F20"/>
          <w:sz w:val="21"/>
        </w:rPr>
        <w:t>та підконтрольним Верховній Раді</w:t>
      </w:r>
      <w:r>
        <w:rPr>
          <w:color w:val="231F20"/>
          <w:spacing w:val="-4"/>
          <w:sz w:val="21"/>
        </w:rPr>
        <w:t xml:space="preserve"> </w:t>
      </w:r>
      <w:r>
        <w:rPr>
          <w:color w:val="231F20"/>
          <w:spacing w:val="-3"/>
          <w:sz w:val="21"/>
        </w:rPr>
        <w:t>України;</w:t>
      </w:r>
    </w:p>
    <w:p w14:paraId="3EC58E41" w14:textId="77777777" w:rsidR="00DE575E" w:rsidRDefault="002E7560">
      <w:pPr>
        <w:pStyle w:val="ListParagraph"/>
        <w:numPr>
          <w:ilvl w:val="0"/>
          <w:numId w:val="272"/>
        </w:numPr>
        <w:tabs>
          <w:tab w:val="left" w:pos="818"/>
        </w:tabs>
        <w:spacing w:line="252" w:lineRule="auto"/>
        <w:ind w:right="412" w:firstLine="283"/>
        <w:rPr>
          <w:sz w:val="21"/>
        </w:rPr>
      </w:pPr>
      <w:r>
        <w:rPr>
          <w:i/>
          <w:color w:val="231F20"/>
          <w:sz w:val="21"/>
        </w:rPr>
        <w:t>Національний банк України</w:t>
      </w:r>
      <w:r>
        <w:rPr>
          <w:color w:val="231F20"/>
          <w:sz w:val="21"/>
        </w:rPr>
        <w:t>, який є центральним банком країни, особливим центральним органом державного</w:t>
      </w:r>
      <w:r>
        <w:rPr>
          <w:color w:val="231F20"/>
          <w:spacing w:val="-13"/>
          <w:sz w:val="21"/>
        </w:rPr>
        <w:t xml:space="preserve"> </w:t>
      </w:r>
      <w:r>
        <w:rPr>
          <w:color w:val="231F20"/>
          <w:sz w:val="21"/>
        </w:rPr>
        <w:t>управління;</w:t>
      </w:r>
    </w:p>
    <w:p w14:paraId="3BEF213D" w14:textId="77777777" w:rsidR="00DE575E" w:rsidRDefault="002E7560">
      <w:pPr>
        <w:pStyle w:val="ListParagraph"/>
        <w:numPr>
          <w:ilvl w:val="0"/>
          <w:numId w:val="272"/>
        </w:numPr>
        <w:tabs>
          <w:tab w:val="left" w:pos="818"/>
        </w:tabs>
        <w:spacing w:line="252" w:lineRule="auto"/>
        <w:ind w:right="411" w:firstLine="283"/>
        <w:rPr>
          <w:sz w:val="21"/>
        </w:rPr>
      </w:pPr>
      <w:r>
        <w:rPr>
          <w:i/>
          <w:color w:val="231F20"/>
          <w:sz w:val="21"/>
        </w:rPr>
        <w:t>національні  комісії  регулювання   природних   монополій</w:t>
      </w:r>
      <w:r>
        <w:rPr>
          <w:color w:val="231F20"/>
          <w:sz w:val="21"/>
        </w:rPr>
        <w:t>,   які є центральними органами виконавчої влади зі спеціальним стату- сом: утворюються та ліквідуються Презид</w:t>
      </w:r>
      <w:r>
        <w:rPr>
          <w:color w:val="231F20"/>
          <w:sz w:val="21"/>
        </w:rPr>
        <w:t>ентом</w:t>
      </w:r>
      <w:r>
        <w:rPr>
          <w:color w:val="231F20"/>
          <w:spacing w:val="-8"/>
          <w:sz w:val="21"/>
        </w:rPr>
        <w:t xml:space="preserve"> </w:t>
      </w:r>
      <w:r>
        <w:rPr>
          <w:color w:val="231F20"/>
          <w:spacing w:val="-3"/>
          <w:sz w:val="21"/>
        </w:rPr>
        <w:t>України.</w:t>
      </w:r>
    </w:p>
    <w:p w14:paraId="5FDB01E4" w14:textId="77777777" w:rsidR="00DE575E" w:rsidRDefault="00DE575E">
      <w:pPr>
        <w:pStyle w:val="BodyText"/>
        <w:rPr>
          <w:sz w:val="20"/>
        </w:rPr>
      </w:pPr>
    </w:p>
    <w:p w14:paraId="6FE474C5" w14:textId="77777777" w:rsidR="00DE575E" w:rsidRDefault="00DE575E">
      <w:pPr>
        <w:pStyle w:val="BodyText"/>
        <w:rPr>
          <w:sz w:val="20"/>
        </w:rPr>
      </w:pPr>
    </w:p>
    <w:p w14:paraId="2A60ADD1" w14:textId="507B8F5B" w:rsidR="00DE575E" w:rsidRDefault="002E7560">
      <w:pPr>
        <w:pStyle w:val="BodyText"/>
        <w:spacing w:before="1"/>
        <w:rPr>
          <w:sz w:val="24"/>
        </w:rPr>
      </w:pPr>
      <w:r>
        <w:rPr>
          <w:noProof/>
        </w:rPr>
        <mc:AlternateContent>
          <mc:Choice Requires="wps">
            <w:drawing>
              <wp:anchor distT="0" distB="0" distL="0" distR="0" simplePos="0" relativeHeight="4192" behindDoc="0" locked="0" layoutInCell="1" allowOverlap="1" wp14:anchorId="02BAE29F" wp14:editId="73E26CF9">
                <wp:simplePos x="0" y="0"/>
                <wp:positionH relativeFrom="page">
                  <wp:posOffset>539750</wp:posOffset>
                </wp:positionH>
                <wp:positionV relativeFrom="paragraph">
                  <wp:posOffset>207645</wp:posOffset>
                </wp:positionV>
                <wp:extent cx="1080135" cy="0"/>
                <wp:effectExtent l="6350" t="17145" r="31115" b="20955"/>
                <wp:wrapTopAndBottom/>
                <wp:docPr id="1191"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346D4" id="Line_x0020_1190" o:spid="_x0000_s1026" style="position:absolute;z-index: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35pt" to="127.55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" strokecolor="#231f20" strokeweight=".5pt">
                <w10:wrap type="topAndBottom" anchorx="page"/>
              </v:line>
            </w:pict>
          </mc:Fallback>
        </mc:AlternateContent>
      </w:r>
    </w:p>
    <w:p w14:paraId="59F8F554" w14:textId="77777777" w:rsidR="00DE575E" w:rsidRDefault="002E7560">
      <w:pPr>
        <w:spacing w:line="148" w:lineRule="exact"/>
        <w:ind w:left="250"/>
        <w:rPr>
          <w:sz w:val="16"/>
        </w:rPr>
      </w:pPr>
      <w:r>
        <w:rPr>
          <w:color w:val="231F20"/>
          <w:position w:val="5"/>
          <w:sz w:val="9"/>
        </w:rPr>
        <w:t xml:space="preserve">1 </w:t>
      </w:r>
      <w:r>
        <w:rPr>
          <w:color w:val="231F20"/>
          <w:sz w:val="16"/>
        </w:rPr>
        <w:t>Конституція Автономної республіки Крим. Затверджена Законом від 23.12.1998</w:t>
      </w:r>
    </w:p>
    <w:p w14:paraId="3EE87F84" w14:textId="77777777" w:rsidR="00DE575E" w:rsidRDefault="002E7560">
      <w:pPr>
        <w:spacing w:line="174" w:lineRule="exact"/>
        <w:ind w:left="250"/>
        <w:rPr>
          <w:sz w:val="16"/>
        </w:rPr>
      </w:pPr>
      <w:r>
        <w:rPr>
          <w:color w:val="231F20"/>
          <w:sz w:val="16"/>
        </w:rPr>
        <w:t>№ 350-XIV.</w:t>
      </w:r>
    </w:p>
    <w:p w14:paraId="7870C949" w14:textId="77777777" w:rsidR="00DE575E" w:rsidRDefault="002E7560">
      <w:pPr>
        <w:spacing w:before="23" w:line="204" w:lineRule="auto"/>
        <w:ind w:left="250" w:right="411"/>
        <w:jc w:val="both"/>
        <w:rPr>
          <w:i/>
          <w:sz w:val="16"/>
        </w:rPr>
      </w:pPr>
      <w:r>
        <w:rPr>
          <w:color w:val="231F20"/>
          <w:position w:val="5"/>
          <w:sz w:val="9"/>
        </w:rPr>
        <w:t xml:space="preserve">2 </w:t>
      </w:r>
      <w:r>
        <w:rPr>
          <w:i/>
          <w:color w:val="231F20"/>
          <w:sz w:val="16"/>
          <w:u w:val="single" w:color="231F20"/>
        </w:rPr>
        <w:t>Приклад</w:t>
      </w:r>
      <w:r>
        <w:rPr>
          <w:i/>
          <w:color w:val="231F20"/>
          <w:sz w:val="16"/>
        </w:rPr>
        <w:t>: фонд соціального страхування України  –  некомерційна  самоврядна організація, орган, який здійснює керівництво та управління загальнообов</w:t>
      </w:r>
      <w:r>
        <w:rPr>
          <w:i/>
          <w:color w:val="231F20"/>
          <w:sz w:val="16"/>
        </w:rPr>
        <w:t>’язковим державним соціальним страхуванням від нещасного випадку, у зв’язку з тимчасовою втратою працездатності та медичним</w:t>
      </w:r>
      <w:r>
        <w:rPr>
          <w:i/>
          <w:color w:val="231F20"/>
          <w:spacing w:val="-6"/>
          <w:sz w:val="16"/>
        </w:rPr>
        <w:t xml:space="preserve"> </w:t>
      </w:r>
      <w:r>
        <w:rPr>
          <w:i/>
          <w:color w:val="231F20"/>
          <w:sz w:val="16"/>
        </w:rPr>
        <w:t>страхуванням.</w:t>
      </w:r>
    </w:p>
    <w:p w14:paraId="19E6E9A9" w14:textId="77777777" w:rsidR="00DE575E" w:rsidRDefault="00DE575E">
      <w:pPr>
        <w:pStyle w:val="BodyText"/>
        <w:spacing w:before="6"/>
        <w:rPr>
          <w:i/>
          <w:sz w:val="12"/>
        </w:rPr>
      </w:pPr>
    </w:p>
    <w:p w14:paraId="4A9EC0DA" w14:textId="77777777" w:rsidR="00DE575E" w:rsidRDefault="002E7560">
      <w:pPr>
        <w:spacing w:before="92"/>
        <w:ind w:right="411"/>
        <w:jc w:val="right"/>
        <w:rPr>
          <w:rFonts w:ascii="Times New Roman"/>
          <w:sz w:val="20"/>
        </w:rPr>
      </w:pPr>
      <w:r>
        <w:rPr>
          <w:rFonts w:ascii="Times New Roman"/>
          <w:color w:val="231F20"/>
          <w:w w:val="90"/>
          <w:sz w:val="20"/>
        </w:rPr>
        <w:t>85</w:t>
      </w:r>
    </w:p>
    <w:p w14:paraId="4759377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4B1F35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9D187BA" w14:textId="032A8C5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6949B8B" wp14:editId="5C174122">
                <wp:extent cx="4140200" cy="6350"/>
                <wp:effectExtent l="0" t="0" r="12700" b="6350"/>
                <wp:docPr id="1189"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90" name="Line 11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6B14EF" id="Group_x0020_11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bfvQogAIAAJwFAAAO&#10;AAAAAAAAAAAAAAAAACwCAABkcnMvZTJvRG9jLnhtbFBLAQItABQABgAIAAAAIQBMp7CQ2QAAAAMB&#10;AAAPAAAAAAAAAAAAAAAAANgEAABkcnMvZG93bnJldi54bWxQSwUGAAAAAAQABADzAAAA3gUAAAAA&#10;">
                <v:line id="Line_x0020_11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3UncgAAADdAAAADwAAAGRycy9kb3ducmV2LnhtbESPQWvCQBCF74X+h2UKXkrdqFBs6iql&#10;IIgHraY/YMxOk9Dd2ZhdTeyv7xwKvc3w3rz3zWI1eKeu1MUmsIHJOANFXAbbcGXgs1g/zUHFhGzR&#10;BSYDN4qwWt7fLTC3oecDXY+pUhLCMUcDdUptrnUsa/IYx6ElFu0rdB6TrF2lbYe9hHunp1n2rD02&#10;LA01tvReU/l9vHgDxfkxuY/91vXF/jTTp/Nu9nPZGTN6GN5eQSUa0r/573pjBX/yIvz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m3UncgAAADdAAAADwAAAAAA&#10;AAAAAAAAAAChAgAAZHJzL2Rvd25yZXYueG1sUEsFBgAAAAAEAAQA+QAAAJYDAAAAAA==&#10;" strokecolor="#231f20" strokeweight=".5pt"/>
                <w10:anchorlock/>
              </v:group>
            </w:pict>
          </mc:Fallback>
        </mc:AlternateContent>
      </w:r>
    </w:p>
    <w:p w14:paraId="7650E812" w14:textId="77777777" w:rsidR="00DE575E" w:rsidRDefault="00DE575E">
      <w:pPr>
        <w:pStyle w:val="BodyText"/>
        <w:rPr>
          <w:rFonts w:ascii="AdonisC"/>
          <w:i/>
          <w:sz w:val="19"/>
        </w:rPr>
      </w:pPr>
    </w:p>
    <w:p w14:paraId="18E40456" w14:textId="77777777" w:rsidR="00DE575E" w:rsidRDefault="002E7560">
      <w:pPr>
        <w:pStyle w:val="Heading4"/>
        <w:numPr>
          <w:ilvl w:val="1"/>
          <w:numId w:val="271"/>
        </w:numPr>
        <w:tabs>
          <w:tab w:val="left" w:pos="1294"/>
        </w:tabs>
        <w:jc w:val="left"/>
        <w:rPr>
          <w:sz w:val="13"/>
        </w:rPr>
      </w:pPr>
      <w:r>
        <w:rPr>
          <w:color w:val="231F20"/>
        </w:rPr>
        <w:t xml:space="preserve">Компетенція </w:t>
      </w:r>
      <w:r>
        <w:rPr>
          <w:color w:val="231F20"/>
          <w:spacing w:val="-3"/>
        </w:rPr>
        <w:t xml:space="preserve">суб’єкта </w:t>
      </w:r>
      <w:r>
        <w:rPr>
          <w:color w:val="231F20"/>
        </w:rPr>
        <w:t>публічного</w:t>
      </w:r>
      <w:r>
        <w:rPr>
          <w:color w:val="231F20"/>
          <w:spacing w:val="-8"/>
        </w:rPr>
        <w:t xml:space="preserve"> </w:t>
      </w:r>
      <w:r>
        <w:rPr>
          <w:color w:val="231F20"/>
        </w:rPr>
        <w:t>адміністрування</w:t>
      </w:r>
      <w:r>
        <w:rPr>
          <w:color w:val="231F20"/>
          <w:position w:val="7"/>
          <w:sz w:val="13"/>
        </w:rPr>
        <w:t>1</w:t>
      </w:r>
    </w:p>
    <w:p w14:paraId="7E870C37" w14:textId="77777777" w:rsidR="00DE575E" w:rsidRDefault="00DE575E">
      <w:pPr>
        <w:pStyle w:val="BodyText"/>
        <w:rPr>
          <w:b/>
          <w:sz w:val="26"/>
        </w:rPr>
      </w:pPr>
    </w:p>
    <w:p w14:paraId="1DEC83EE" w14:textId="77777777" w:rsidR="00DE575E" w:rsidRDefault="002E7560">
      <w:pPr>
        <w:pStyle w:val="Heading5"/>
        <w:numPr>
          <w:ilvl w:val="2"/>
          <w:numId w:val="271"/>
        </w:numPr>
        <w:tabs>
          <w:tab w:val="left" w:pos="1383"/>
        </w:tabs>
        <w:spacing w:before="223" w:line="252" w:lineRule="auto"/>
        <w:ind w:right="648" w:firstLine="0"/>
        <w:jc w:val="left"/>
        <w:rPr>
          <w:color w:val="231F20"/>
        </w:rPr>
      </w:pPr>
      <w:r>
        <w:rPr>
          <w:color w:val="231F20"/>
        </w:rPr>
        <w:t xml:space="preserve">Компетенція </w:t>
      </w:r>
      <w:r>
        <w:rPr>
          <w:color w:val="231F20"/>
          <w:spacing w:val="-3"/>
        </w:rPr>
        <w:t xml:space="preserve">суб’єкта </w:t>
      </w:r>
      <w:r>
        <w:rPr>
          <w:color w:val="231F20"/>
        </w:rPr>
        <w:t>публічного адміністрування: сутність і</w:t>
      </w:r>
      <w:r>
        <w:rPr>
          <w:color w:val="231F20"/>
          <w:spacing w:val="-2"/>
        </w:rPr>
        <w:t xml:space="preserve"> </w:t>
      </w:r>
      <w:r>
        <w:rPr>
          <w:color w:val="231F20"/>
        </w:rPr>
        <w:t>структура</w:t>
      </w:r>
    </w:p>
    <w:p w14:paraId="158E154F" w14:textId="77777777" w:rsidR="00DE575E" w:rsidRDefault="00DE575E">
      <w:pPr>
        <w:pStyle w:val="BodyText"/>
        <w:spacing w:before="1"/>
        <w:rPr>
          <w:b/>
          <w:sz w:val="22"/>
        </w:rPr>
      </w:pPr>
    </w:p>
    <w:p w14:paraId="06D434FF" w14:textId="77777777" w:rsidR="00DE575E" w:rsidRDefault="002E7560">
      <w:pPr>
        <w:pStyle w:val="BodyText"/>
        <w:spacing w:line="252" w:lineRule="auto"/>
        <w:ind w:left="533" w:right="128" w:firstLine="283"/>
        <w:jc w:val="both"/>
      </w:pPr>
      <w:r>
        <w:rPr>
          <w:color w:val="231F20"/>
        </w:rPr>
        <w:t>Компетенція є базовою теоретичною категорією адміністра- тивного права, яка дозволяє повно та всеб</w:t>
      </w:r>
      <w:r>
        <w:rPr>
          <w:color w:val="231F20"/>
        </w:rPr>
        <w:t>ічно схарактеризувати конкретного суб’єкта публічного адміністрування.</w:t>
      </w:r>
    </w:p>
    <w:p w14:paraId="1601BE15" w14:textId="77777777" w:rsidR="00DE575E" w:rsidRDefault="002E7560">
      <w:pPr>
        <w:pStyle w:val="BodyText"/>
        <w:spacing w:before="1"/>
        <w:ind w:left="817"/>
      </w:pPr>
      <w:r>
        <w:rPr>
          <w:color w:val="231F20"/>
        </w:rPr>
        <w:t>Виділяють два аспекти компетенції – зовнішній і внутрішній.</w:t>
      </w:r>
    </w:p>
    <w:p w14:paraId="5BE5DBE2" w14:textId="77777777" w:rsidR="00DE575E" w:rsidRDefault="002E7560">
      <w:pPr>
        <w:pStyle w:val="BodyText"/>
        <w:spacing w:before="13" w:line="252" w:lineRule="auto"/>
        <w:ind w:left="533" w:right="127" w:firstLine="283"/>
        <w:jc w:val="both"/>
      </w:pPr>
      <w:r>
        <w:rPr>
          <w:i/>
          <w:color w:val="231F20"/>
        </w:rPr>
        <w:t xml:space="preserve">Зовнішній аспект </w:t>
      </w:r>
      <w:r>
        <w:rPr>
          <w:color w:val="231F20"/>
        </w:rPr>
        <w:t xml:space="preserve">пов’язаний з етимологією терміна «компетен- ція», що </w:t>
      </w:r>
      <w:r>
        <w:rPr>
          <w:color w:val="231F20"/>
          <w:spacing w:val="-3"/>
        </w:rPr>
        <w:t xml:space="preserve">походить </w:t>
      </w:r>
      <w:r>
        <w:rPr>
          <w:color w:val="231F20"/>
        </w:rPr>
        <w:t xml:space="preserve">від латинського </w:t>
      </w:r>
      <w:r>
        <w:rPr>
          <w:i/>
          <w:color w:val="231F20"/>
        </w:rPr>
        <w:t xml:space="preserve">competere </w:t>
      </w:r>
      <w:r>
        <w:rPr>
          <w:color w:val="231F20"/>
        </w:rPr>
        <w:t>(«бути відповідним»)</w:t>
      </w:r>
      <w:r>
        <w:rPr>
          <w:color w:val="231F20"/>
        </w:rPr>
        <w:t xml:space="preserve">. У нашому разі йдеться про те, що кожен </w:t>
      </w:r>
      <w:r>
        <w:rPr>
          <w:color w:val="231F20"/>
          <w:spacing w:val="-4"/>
        </w:rPr>
        <w:t xml:space="preserve">суб’єкт </w:t>
      </w:r>
      <w:r>
        <w:rPr>
          <w:color w:val="231F20"/>
        </w:rPr>
        <w:t>відповідає своєму місцю в публічній адміністрації. Коло питань, вирішення яких йому доручено, є унікальним, а право на вирішення цих питань – монопо- лією конкретного</w:t>
      </w:r>
      <w:r>
        <w:rPr>
          <w:color w:val="231F20"/>
          <w:spacing w:val="-2"/>
        </w:rPr>
        <w:t xml:space="preserve"> </w:t>
      </w:r>
      <w:r>
        <w:rPr>
          <w:color w:val="231F20"/>
          <w:spacing w:val="-3"/>
        </w:rPr>
        <w:t>суб’єкта.</w:t>
      </w:r>
    </w:p>
    <w:p w14:paraId="1C31460B" w14:textId="77777777" w:rsidR="00DE575E" w:rsidRDefault="002E7560">
      <w:pPr>
        <w:pStyle w:val="BodyText"/>
        <w:spacing w:before="3" w:line="252" w:lineRule="auto"/>
        <w:ind w:left="533" w:right="127" w:firstLine="283"/>
        <w:jc w:val="both"/>
      </w:pPr>
      <w:r>
        <w:rPr>
          <w:i/>
          <w:color w:val="231F20"/>
        </w:rPr>
        <w:t xml:space="preserve">Внутрішній аспект </w:t>
      </w:r>
      <w:r>
        <w:rPr>
          <w:color w:val="231F20"/>
        </w:rPr>
        <w:t>компетенції легко пояснити через її будову. Компетенція не є однорідною і складається з низки взаємопов’я- заних елементів. Її основні складові – мета та завдання, предмет відання, адміністративні повноваження. Іноді до складників компе- тенції додають фун</w:t>
      </w:r>
      <w:r>
        <w:rPr>
          <w:color w:val="231F20"/>
        </w:rPr>
        <w:t>кції суб’єкта публічного адміністрування, його відповідальність тощо.</w:t>
      </w:r>
    </w:p>
    <w:p w14:paraId="2958DEC7" w14:textId="77777777" w:rsidR="00DE575E" w:rsidRDefault="002E7560">
      <w:pPr>
        <w:pStyle w:val="BodyText"/>
        <w:spacing w:before="3" w:line="252" w:lineRule="auto"/>
        <w:ind w:left="533" w:right="126" w:firstLine="283"/>
        <w:jc w:val="both"/>
      </w:pPr>
      <w:r>
        <w:rPr>
          <w:color w:val="231F20"/>
        </w:rPr>
        <w:t xml:space="preserve">Компетенція </w:t>
      </w:r>
      <w:r>
        <w:rPr>
          <w:color w:val="231F20"/>
          <w:spacing w:val="-3"/>
        </w:rPr>
        <w:t xml:space="preserve">Уряду </w:t>
      </w:r>
      <w:r>
        <w:rPr>
          <w:color w:val="231F20"/>
        </w:rPr>
        <w:t xml:space="preserve">встановлюється Законом «Про Кабінет Міністрів </w:t>
      </w:r>
      <w:r>
        <w:rPr>
          <w:color w:val="231F20"/>
          <w:spacing w:val="-3"/>
        </w:rPr>
        <w:t xml:space="preserve">України»,  </w:t>
      </w:r>
      <w:r>
        <w:rPr>
          <w:color w:val="231F20"/>
        </w:rPr>
        <w:t>компетенція  центральних  органів  виконав- чої влади – Законом «Про центральні органи виконавчої</w:t>
      </w:r>
      <w:r>
        <w:rPr>
          <w:color w:val="231F20"/>
          <w:spacing w:val="20"/>
        </w:rPr>
        <w:t xml:space="preserve"> </w:t>
      </w:r>
      <w:r>
        <w:rPr>
          <w:color w:val="231F20"/>
        </w:rPr>
        <w:t>влади», спеці</w:t>
      </w:r>
      <w:r>
        <w:rPr>
          <w:color w:val="231F20"/>
        </w:rPr>
        <w:t xml:space="preserve">альними законами та положеннями про відповідні державні органи. </w:t>
      </w:r>
      <w:r>
        <w:rPr>
          <w:color w:val="231F20"/>
          <w:spacing w:val="-5"/>
        </w:rPr>
        <w:t xml:space="preserve">Такі </w:t>
      </w:r>
      <w:r>
        <w:rPr>
          <w:color w:val="231F20"/>
        </w:rPr>
        <w:t xml:space="preserve">положення затверджуються постановами </w:t>
      </w:r>
      <w:r>
        <w:rPr>
          <w:color w:val="231F20"/>
          <w:spacing w:val="-9"/>
        </w:rPr>
        <w:t xml:space="preserve">КМУ. </w:t>
      </w:r>
      <w:r>
        <w:rPr>
          <w:color w:val="231F20"/>
        </w:rPr>
        <w:t xml:space="preserve">Компе- тенція місцевих державних адміністрацій встановлюється Законом </w:t>
      </w:r>
      <w:r>
        <w:rPr>
          <w:color w:val="231F20"/>
          <w:spacing w:val="-3"/>
        </w:rPr>
        <w:t xml:space="preserve">України </w:t>
      </w:r>
      <w:r>
        <w:rPr>
          <w:color w:val="231F20"/>
        </w:rPr>
        <w:t xml:space="preserve">«Про місцеві державні адміністрації». </w:t>
      </w:r>
      <w:r>
        <w:rPr>
          <w:color w:val="231F20"/>
          <w:spacing w:val="-5"/>
        </w:rPr>
        <w:t xml:space="preserve">Такі </w:t>
      </w:r>
      <w:r>
        <w:rPr>
          <w:color w:val="231F20"/>
        </w:rPr>
        <w:t>нормативні акти ми назив</w:t>
      </w:r>
      <w:r>
        <w:rPr>
          <w:color w:val="231F20"/>
        </w:rPr>
        <w:t>атимемо</w:t>
      </w:r>
      <w:r>
        <w:rPr>
          <w:color w:val="231F20"/>
          <w:spacing w:val="-2"/>
        </w:rPr>
        <w:t xml:space="preserve"> </w:t>
      </w:r>
      <w:r>
        <w:rPr>
          <w:i/>
          <w:color w:val="231F20"/>
        </w:rPr>
        <w:t>компетенційними</w:t>
      </w:r>
      <w:r>
        <w:rPr>
          <w:color w:val="231F20"/>
        </w:rPr>
        <w:t>.</w:t>
      </w:r>
    </w:p>
    <w:p w14:paraId="51673668" w14:textId="77777777" w:rsidR="00DE575E" w:rsidRDefault="002E7560">
      <w:pPr>
        <w:pStyle w:val="BodyText"/>
        <w:spacing w:before="4"/>
        <w:ind w:left="817"/>
      </w:pPr>
      <w:r>
        <w:rPr>
          <w:color w:val="231F20"/>
        </w:rPr>
        <w:t>Тепер розглянемо складові компетенції.</w:t>
      </w:r>
    </w:p>
    <w:p w14:paraId="7F9F23DF" w14:textId="77777777" w:rsidR="00DE575E" w:rsidRDefault="002E7560">
      <w:pPr>
        <w:pStyle w:val="BodyText"/>
        <w:spacing w:before="13" w:line="252" w:lineRule="auto"/>
        <w:ind w:left="533" w:right="128" w:firstLine="283"/>
        <w:jc w:val="both"/>
      </w:pPr>
      <w:r>
        <w:rPr>
          <w:b/>
          <w:i/>
          <w:color w:val="231F20"/>
        </w:rPr>
        <w:t xml:space="preserve">Мета та завдання </w:t>
      </w:r>
      <w:r>
        <w:rPr>
          <w:color w:val="231F20"/>
        </w:rPr>
        <w:t>визначають соціальне призначення суб’єкта публічного адміністрування, його роль і значення в організації суспільного життя та реалізації публічного інтересу.</w:t>
      </w:r>
    </w:p>
    <w:p w14:paraId="17301807" w14:textId="77777777" w:rsidR="00DE575E" w:rsidRDefault="002E7560">
      <w:pPr>
        <w:pStyle w:val="BodyText"/>
        <w:spacing w:before="1" w:line="252" w:lineRule="auto"/>
        <w:ind w:left="533" w:right="126" w:firstLine="283"/>
        <w:jc w:val="both"/>
      </w:pPr>
      <w:r>
        <w:rPr>
          <w:i/>
          <w:color w:val="231F20"/>
        </w:rPr>
        <w:t xml:space="preserve">Завдання </w:t>
      </w:r>
      <w:r>
        <w:rPr>
          <w:color w:val="231F20"/>
        </w:rPr>
        <w:t>– це нап</w:t>
      </w:r>
      <w:r>
        <w:rPr>
          <w:color w:val="231F20"/>
        </w:rPr>
        <w:t>еред визначений, запланований до виконання обсяг робіт, покладений на суб’єкта публічного адміністрування. Перед кожним суб’єктом ставиться чітко визначене коло завдань.</w:t>
      </w:r>
    </w:p>
    <w:p w14:paraId="2B167B51" w14:textId="331CFA0F" w:rsidR="00DE575E" w:rsidRDefault="002E7560">
      <w:pPr>
        <w:pStyle w:val="BodyText"/>
        <w:spacing w:before="10"/>
        <w:rPr>
          <w:sz w:val="23"/>
        </w:rPr>
      </w:pPr>
      <w:r>
        <w:rPr>
          <w:noProof/>
        </w:rPr>
        <mc:AlternateContent>
          <mc:Choice Requires="wps">
            <w:drawing>
              <wp:anchor distT="0" distB="0" distL="0" distR="0" simplePos="0" relativeHeight="4240" behindDoc="0" locked="0" layoutInCell="1" allowOverlap="1" wp14:anchorId="4C2CD615" wp14:editId="6E183E5A">
                <wp:simplePos x="0" y="0"/>
                <wp:positionH relativeFrom="page">
                  <wp:posOffset>719455</wp:posOffset>
                </wp:positionH>
                <wp:positionV relativeFrom="paragraph">
                  <wp:posOffset>205740</wp:posOffset>
                </wp:positionV>
                <wp:extent cx="1080135" cy="0"/>
                <wp:effectExtent l="8255" t="15240" r="29210" b="22860"/>
                <wp:wrapTopAndBottom/>
                <wp:docPr id="1188"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D2B4" id="Line_x0020_1187" o:spid="_x0000_s1026" style="position:absolute;z-index: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2pt" to="141.7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yVBy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" strokecolor="#231f20" strokeweight=".5pt">
                <w10:wrap type="topAndBottom" anchorx="page"/>
              </v:line>
            </w:pict>
          </mc:Fallback>
        </mc:AlternateContent>
      </w:r>
    </w:p>
    <w:p w14:paraId="1885A3CD" w14:textId="77777777" w:rsidR="00DE575E" w:rsidRDefault="002E7560">
      <w:pPr>
        <w:spacing w:line="162" w:lineRule="exact"/>
        <w:ind w:left="533"/>
        <w:rPr>
          <w:sz w:val="16"/>
        </w:rPr>
      </w:pPr>
      <w:r>
        <w:rPr>
          <w:color w:val="231F20"/>
          <w:position w:val="5"/>
          <w:sz w:val="9"/>
        </w:rPr>
        <w:t xml:space="preserve">1 </w:t>
      </w:r>
      <w:r>
        <w:rPr>
          <w:color w:val="231F20"/>
          <w:sz w:val="16"/>
        </w:rPr>
        <w:t xml:space="preserve">Автор: </w:t>
      </w:r>
      <w:r>
        <w:rPr>
          <w:b/>
          <w:color w:val="231F20"/>
          <w:sz w:val="16"/>
        </w:rPr>
        <w:t>Олександр Зима</w:t>
      </w:r>
      <w:r>
        <w:rPr>
          <w:color w:val="231F20"/>
          <w:sz w:val="16"/>
        </w:rPr>
        <w:t>.</w:t>
      </w:r>
    </w:p>
    <w:p w14:paraId="59E9ACFD" w14:textId="77777777" w:rsidR="00DE575E" w:rsidRDefault="00DE575E">
      <w:pPr>
        <w:pStyle w:val="BodyText"/>
        <w:spacing w:before="10"/>
        <w:rPr>
          <w:sz w:val="11"/>
        </w:rPr>
      </w:pPr>
    </w:p>
    <w:p w14:paraId="749E449E" w14:textId="77777777" w:rsidR="00DE575E" w:rsidRDefault="002E7560">
      <w:pPr>
        <w:spacing w:before="92"/>
        <w:ind w:left="533"/>
        <w:rPr>
          <w:rFonts w:ascii="Times New Roman"/>
          <w:sz w:val="20"/>
        </w:rPr>
      </w:pPr>
      <w:r>
        <w:rPr>
          <w:rFonts w:ascii="Times New Roman"/>
          <w:color w:val="231F20"/>
          <w:sz w:val="20"/>
        </w:rPr>
        <w:t>86</w:t>
      </w:r>
    </w:p>
    <w:p w14:paraId="76BB5203" w14:textId="77777777" w:rsidR="00DE575E" w:rsidRDefault="00DE575E">
      <w:pPr>
        <w:rPr>
          <w:rFonts w:ascii="Times New Roman"/>
          <w:sz w:val="20"/>
        </w:rPr>
        <w:sectPr w:rsidR="00DE575E">
          <w:pgSz w:w="8510" w:h="12760"/>
          <w:pgMar w:top="660" w:right="720" w:bottom="280" w:left="600" w:header="720" w:footer="720" w:gutter="0"/>
          <w:cols w:space="720"/>
        </w:sectPr>
      </w:pPr>
    </w:p>
    <w:p w14:paraId="0B463D98"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4. Суб’єкти публічного адміністрування</w:t>
      </w:r>
    </w:p>
    <w:p w14:paraId="20B5B77A" w14:textId="3DEEF64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F1DB2AD" wp14:editId="08E46B24">
                <wp:extent cx="4140200" cy="6350"/>
                <wp:effectExtent l="0" t="0" r="12700" b="6350"/>
                <wp:docPr id="118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87" name="Line 118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83C37" id="Group_x0020_118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EQq4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xcRCrgAIAAJwFAAAO&#10;AAAAAAAAAAAAAAAAACwCAABkcnMvZTJvRG9jLnhtbFBLAQItABQABgAIAAAAIQBMp7CQ2QAAAAMB&#10;AAAPAAAAAAAAAAAAAAAAANgEAABkcnMvZG93bnJldi54bWxQSwUGAAAAAAQABADzAAAA3gUAAAAA&#10;">
                <v:line id="Line_x0020_118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3aNMQAAADdAAAADwAAAGRycy9kb3ducmV2LnhtbERPzWrCQBC+F3yHZQQvRTdWaCW6ihQK&#10;xYO2xgcYs2MS3J2N2dVEn94VCr3Nx/c782VnjbhS4yvHCsajBARx7nTFhYJ99jWcgvABWaNxTApu&#10;5GG56L3MMdWu5V+67kIhYgj7FBWUIdSplD4vyaIfuZo4ckfXWAwRNoXUDbYx3Br5liTv0mLFsaHE&#10;mj5Lyk+7i1WQnV+D+dmuTZttDxN5OG8m98tGqUG/W81ABOrCv/jP/a3j/PH0A57fxBP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Xdo0xAAAAN0AAAAPAAAAAAAAAAAA&#10;AAAAAKECAABkcnMvZG93bnJldi54bWxQSwUGAAAAAAQABAD5AAAAkgMAAAAA&#10;" strokecolor="#231f20" strokeweight=".5pt"/>
                <w10:anchorlock/>
              </v:group>
            </w:pict>
          </mc:Fallback>
        </mc:AlternateContent>
      </w:r>
    </w:p>
    <w:p w14:paraId="764C9331" w14:textId="77777777" w:rsidR="00DE575E" w:rsidRDefault="00DE575E">
      <w:pPr>
        <w:pStyle w:val="BodyText"/>
        <w:spacing w:before="8"/>
        <w:rPr>
          <w:rFonts w:ascii="AdonisC"/>
          <w:i/>
          <w:sz w:val="12"/>
        </w:rPr>
      </w:pPr>
    </w:p>
    <w:p w14:paraId="72B7B0C4" w14:textId="77777777" w:rsidR="00DE575E" w:rsidRDefault="002E7560">
      <w:pPr>
        <w:spacing w:before="100" w:line="249" w:lineRule="auto"/>
        <w:ind w:left="533" w:right="411" w:firstLine="283"/>
        <w:jc w:val="both"/>
        <w:rPr>
          <w:i/>
          <w:sz w:val="18"/>
        </w:rPr>
      </w:pPr>
      <w:r>
        <w:rPr>
          <w:i/>
          <w:color w:val="231F20"/>
          <w:sz w:val="18"/>
          <w:u w:val="single" w:color="231F20"/>
        </w:rPr>
        <w:t>Приклад</w:t>
      </w:r>
      <w:r>
        <w:rPr>
          <w:i/>
          <w:color w:val="231F20"/>
          <w:sz w:val="18"/>
        </w:rPr>
        <w:t xml:space="preserve">: Національна поліція має чотири завдання: забезпечення публіч- </w:t>
      </w:r>
      <w:r>
        <w:rPr>
          <w:i/>
          <w:color w:val="231F20"/>
          <w:sz w:val="18"/>
        </w:rPr>
        <w:t>ної безпеки і порядку; охорона прав і свобод людини, а також інтересів суспільства і держави; протидія злочинності; надання в межах, визначених законом, послуг з допомоги особам, які з особистих, економічних, соціальних причин або внаслідок надзвичайних си</w:t>
      </w:r>
      <w:r>
        <w:rPr>
          <w:i/>
          <w:color w:val="231F20"/>
          <w:sz w:val="18"/>
        </w:rPr>
        <w:t>туацій потребують такої допомоги</w:t>
      </w:r>
      <w:r>
        <w:rPr>
          <w:i/>
          <w:color w:val="231F20"/>
          <w:position w:val="6"/>
          <w:sz w:val="10"/>
        </w:rPr>
        <w:t>1</w:t>
      </w:r>
      <w:r>
        <w:rPr>
          <w:i/>
          <w:color w:val="231F20"/>
          <w:sz w:val="18"/>
        </w:rPr>
        <w:t>, Служба</w:t>
      </w:r>
      <w:r>
        <w:rPr>
          <w:i/>
          <w:color w:val="231F20"/>
          <w:spacing w:val="-12"/>
          <w:sz w:val="18"/>
        </w:rPr>
        <w:t xml:space="preserve"> </w:t>
      </w:r>
      <w:r>
        <w:rPr>
          <w:i/>
          <w:color w:val="231F20"/>
          <w:sz w:val="18"/>
        </w:rPr>
        <w:t>зовнішньої</w:t>
      </w:r>
      <w:r>
        <w:rPr>
          <w:i/>
          <w:color w:val="231F20"/>
          <w:spacing w:val="-12"/>
          <w:sz w:val="18"/>
        </w:rPr>
        <w:t xml:space="preserve"> </w:t>
      </w:r>
      <w:r>
        <w:rPr>
          <w:i/>
          <w:color w:val="231F20"/>
          <w:sz w:val="18"/>
        </w:rPr>
        <w:t>розвідки</w:t>
      </w:r>
      <w:r>
        <w:rPr>
          <w:i/>
          <w:color w:val="231F20"/>
          <w:spacing w:val="-12"/>
          <w:sz w:val="18"/>
        </w:rPr>
        <w:t xml:space="preserve"> </w:t>
      </w:r>
      <w:r>
        <w:rPr>
          <w:i/>
          <w:color w:val="231F20"/>
          <w:sz w:val="18"/>
        </w:rPr>
        <w:t>України</w:t>
      </w:r>
      <w:r>
        <w:rPr>
          <w:i/>
          <w:color w:val="231F20"/>
          <w:spacing w:val="-12"/>
          <w:sz w:val="18"/>
        </w:rPr>
        <w:t xml:space="preserve"> </w:t>
      </w:r>
      <w:r>
        <w:rPr>
          <w:i/>
          <w:color w:val="231F20"/>
          <w:sz w:val="18"/>
        </w:rPr>
        <w:t>–</w:t>
      </w:r>
      <w:r>
        <w:rPr>
          <w:i/>
          <w:color w:val="231F20"/>
          <w:spacing w:val="-12"/>
          <w:sz w:val="18"/>
        </w:rPr>
        <w:t xml:space="preserve"> </w:t>
      </w:r>
      <w:r>
        <w:rPr>
          <w:i/>
          <w:color w:val="231F20"/>
          <w:sz w:val="18"/>
        </w:rPr>
        <w:t>п’ять</w:t>
      </w:r>
      <w:r>
        <w:rPr>
          <w:i/>
          <w:color w:val="231F20"/>
          <w:spacing w:val="-12"/>
          <w:sz w:val="18"/>
        </w:rPr>
        <w:t xml:space="preserve"> </w:t>
      </w:r>
      <w:r>
        <w:rPr>
          <w:i/>
          <w:color w:val="231F20"/>
          <w:position w:val="6"/>
          <w:sz w:val="10"/>
        </w:rPr>
        <w:t>2</w:t>
      </w:r>
      <w:r>
        <w:rPr>
          <w:i/>
          <w:color w:val="231F20"/>
          <w:sz w:val="18"/>
        </w:rPr>
        <w:t>,</w:t>
      </w:r>
      <w:r>
        <w:rPr>
          <w:i/>
          <w:color w:val="231F20"/>
          <w:spacing w:val="-12"/>
          <w:sz w:val="18"/>
        </w:rPr>
        <w:t xml:space="preserve"> </w:t>
      </w:r>
      <w:r>
        <w:rPr>
          <w:i/>
          <w:color w:val="231F20"/>
          <w:sz w:val="18"/>
        </w:rPr>
        <w:t>Міністерства</w:t>
      </w:r>
      <w:r>
        <w:rPr>
          <w:i/>
          <w:color w:val="231F20"/>
          <w:spacing w:val="-12"/>
          <w:sz w:val="18"/>
        </w:rPr>
        <w:t xml:space="preserve"> </w:t>
      </w:r>
      <w:r>
        <w:rPr>
          <w:i/>
          <w:color w:val="231F20"/>
          <w:sz w:val="18"/>
        </w:rPr>
        <w:t>юстиції</w:t>
      </w:r>
      <w:r>
        <w:rPr>
          <w:i/>
          <w:color w:val="231F20"/>
          <w:spacing w:val="-12"/>
          <w:sz w:val="18"/>
        </w:rPr>
        <w:t xml:space="preserve"> </w:t>
      </w:r>
      <w:r>
        <w:rPr>
          <w:i/>
          <w:color w:val="231F20"/>
          <w:sz w:val="18"/>
        </w:rPr>
        <w:t>України</w:t>
      </w:r>
      <w:r>
        <w:rPr>
          <w:i/>
          <w:color w:val="231F20"/>
          <w:spacing w:val="-12"/>
          <w:sz w:val="18"/>
        </w:rPr>
        <w:t xml:space="preserve"> </w:t>
      </w:r>
      <w:r>
        <w:rPr>
          <w:i/>
          <w:color w:val="231F20"/>
          <w:sz w:val="18"/>
        </w:rPr>
        <w:t>– шістнадцять</w:t>
      </w:r>
      <w:r>
        <w:rPr>
          <w:i/>
          <w:color w:val="231F20"/>
          <w:spacing w:val="-1"/>
          <w:sz w:val="18"/>
        </w:rPr>
        <w:t xml:space="preserve"> </w:t>
      </w:r>
      <w:r>
        <w:rPr>
          <w:i/>
          <w:color w:val="231F20"/>
          <w:position w:val="6"/>
          <w:sz w:val="10"/>
        </w:rPr>
        <w:t>3</w:t>
      </w:r>
      <w:r>
        <w:rPr>
          <w:i/>
          <w:color w:val="231F20"/>
          <w:sz w:val="18"/>
        </w:rPr>
        <w:t>.</w:t>
      </w:r>
    </w:p>
    <w:p w14:paraId="0C0533AF" w14:textId="77777777" w:rsidR="00DE575E" w:rsidRDefault="002E7560">
      <w:pPr>
        <w:pStyle w:val="BodyText"/>
        <w:spacing w:before="129" w:line="254" w:lineRule="auto"/>
        <w:ind w:left="250" w:right="411" w:firstLine="283"/>
        <w:jc w:val="both"/>
      </w:pPr>
      <w:r>
        <w:rPr>
          <w:i/>
          <w:color w:val="231F20"/>
          <w:spacing w:val="-3"/>
        </w:rPr>
        <w:t xml:space="preserve">Мета </w:t>
      </w:r>
      <w:r>
        <w:rPr>
          <w:color w:val="231F20"/>
          <w:spacing w:val="-3"/>
        </w:rPr>
        <w:t xml:space="preserve">відбиває загальну спрямованість діяльності </w:t>
      </w:r>
      <w:r>
        <w:rPr>
          <w:color w:val="231F20"/>
          <w:spacing w:val="-6"/>
        </w:rPr>
        <w:t xml:space="preserve">суб’єкта </w:t>
      </w:r>
      <w:r>
        <w:rPr>
          <w:color w:val="231F20"/>
          <w:spacing w:val="-3"/>
        </w:rPr>
        <w:t xml:space="preserve">публіч- </w:t>
      </w:r>
      <w:r>
        <w:rPr>
          <w:color w:val="231F20"/>
        </w:rPr>
        <w:t xml:space="preserve">ного </w:t>
      </w:r>
      <w:r>
        <w:rPr>
          <w:color w:val="231F20"/>
          <w:spacing w:val="-3"/>
        </w:rPr>
        <w:t xml:space="preserve">адміністрування. </w:t>
      </w:r>
      <w:r>
        <w:rPr>
          <w:color w:val="231F20"/>
          <w:spacing w:val="-5"/>
        </w:rPr>
        <w:t xml:space="preserve">Теоретично </w:t>
      </w:r>
      <w:r>
        <w:rPr>
          <w:color w:val="231F20"/>
          <w:spacing w:val="-3"/>
        </w:rPr>
        <w:t xml:space="preserve">завдання </w:t>
      </w:r>
      <w:r>
        <w:rPr>
          <w:color w:val="231F20"/>
          <w:spacing w:val="-4"/>
        </w:rPr>
        <w:t xml:space="preserve">конкретизують, </w:t>
      </w:r>
      <w:r>
        <w:rPr>
          <w:color w:val="231F20"/>
          <w:spacing w:val="-3"/>
        </w:rPr>
        <w:t xml:space="preserve">розкри- вають </w:t>
      </w:r>
      <w:r>
        <w:rPr>
          <w:color w:val="231F20"/>
          <w:spacing w:val="-6"/>
        </w:rPr>
        <w:t xml:space="preserve">мету, </w:t>
      </w:r>
      <w:r>
        <w:rPr>
          <w:color w:val="231F20"/>
        </w:rPr>
        <w:t xml:space="preserve">є </w:t>
      </w:r>
      <w:r>
        <w:rPr>
          <w:color w:val="231F20"/>
          <w:spacing w:val="-3"/>
        </w:rPr>
        <w:t xml:space="preserve">похідними </w:t>
      </w:r>
      <w:r>
        <w:rPr>
          <w:color w:val="231F20"/>
        </w:rPr>
        <w:t xml:space="preserve">від </w:t>
      </w:r>
      <w:r>
        <w:rPr>
          <w:color w:val="231F20"/>
          <w:spacing w:val="-3"/>
        </w:rPr>
        <w:t xml:space="preserve">неї. Однак мета </w:t>
      </w:r>
      <w:r>
        <w:rPr>
          <w:color w:val="231F20"/>
        </w:rPr>
        <w:t xml:space="preserve">не завжди </w:t>
      </w:r>
      <w:r>
        <w:rPr>
          <w:color w:val="231F20"/>
          <w:spacing w:val="-3"/>
        </w:rPr>
        <w:t xml:space="preserve">закріплюється </w:t>
      </w:r>
      <w:r>
        <w:rPr>
          <w:color w:val="231F20"/>
        </w:rPr>
        <w:t xml:space="preserve">в </w:t>
      </w:r>
      <w:r>
        <w:rPr>
          <w:color w:val="231F20"/>
          <w:spacing w:val="-3"/>
        </w:rPr>
        <w:t xml:space="preserve">компетенційних актах. </w:t>
      </w:r>
      <w:r>
        <w:rPr>
          <w:color w:val="231F20"/>
        </w:rPr>
        <w:t xml:space="preserve">В </w:t>
      </w:r>
      <w:r>
        <w:rPr>
          <w:color w:val="231F20"/>
          <w:spacing w:val="-4"/>
        </w:rPr>
        <w:t xml:space="preserve">одних </w:t>
      </w:r>
      <w:r>
        <w:rPr>
          <w:color w:val="231F20"/>
          <w:spacing w:val="-3"/>
        </w:rPr>
        <w:t xml:space="preserve">випадках </w:t>
      </w:r>
      <w:r>
        <w:rPr>
          <w:color w:val="231F20"/>
          <w:spacing w:val="-4"/>
        </w:rPr>
        <w:t xml:space="preserve">сформулювати </w:t>
      </w:r>
      <w:r>
        <w:rPr>
          <w:color w:val="231F20"/>
        </w:rPr>
        <w:t xml:space="preserve">її </w:t>
      </w:r>
      <w:r>
        <w:rPr>
          <w:color w:val="231F20"/>
          <w:spacing w:val="-3"/>
        </w:rPr>
        <w:t xml:space="preserve">складно </w:t>
      </w:r>
      <w:r>
        <w:rPr>
          <w:color w:val="231F20"/>
        </w:rPr>
        <w:t xml:space="preserve">через    </w:t>
      </w:r>
      <w:r>
        <w:rPr>
          <w:color w:val="231F20"/>
          <w:spacing w:val="-3"/>
        </w:rPr>
        <w:t xml:space="preserve">різноспрямованість    адміністративної     діяльності     </w:t>
      </w:r>
      <w:r>
        <w:rPr>
          <w:color w:val="231F20"/>
          <w:spacing w:val="-5"/>
        </w:rPr>
        <w:t xml:space="preserve">органу, </w:t>
      </w:r>
      <w:r>
        <w:rPr>
          <w:color w:val="231F20"/>
        </w:rPr>
        <w:t xml:space="preserve">в </w:t>
      </w:r>
      <w:r>
        <w:rPr>
          <w:color w:val="231F20"/>
          <w:spacing w:val="-3"/>
        </w:rPr>
        <w:t xml:space="preserve">інших </w:t>
      </w:r>
      <w:r>
        <w:rPr>
          <w:color w:val="231F20"/>
        </w:rPr>
        <w:t xml:space="preserve">– через </w:t>
      </w:r>
      <w:r>
        <w:rPr>
          <w:color w:val="231F20"/>
          <w:spacing w:val="-3"/>
        </w:rPr>
        <w:t>велику кількість завдань</w:t>
      </w:r>
      <w:r>
        <w:rPr>
          <w:color w:val="231F20"/>
          <w:spacing w:val="-3"/>
        </w:rPr>
        <w:t>, поставлених перед</w:t>
      </w:r>
      <w:r>
        <w:rPr>
          <w:color w:val="231F20"/>
          <w:spacing w:val="-26"/>
        </w:rPr>
        <w:t xml:space="preserve"> </w:t>
      </w:r>
      <w:r>
        <w:rPr>
          <w:color w:val="231F20"/>
          <w:spacing w:val="-3"/>
        </w:rPr>
        <w:t>ним.</w:t>
      </w:r>
    </w:p>
    <w:p w14:paraId="3E9C8A61" w14:textId="77777777" w:rsidR="00DE575E" w:rsidRDefault="002E7560">
      <w:pPr>
        <w:pStyle w:val="BodyText"/>
        <w:spacing w:line="254" w:lineRule="auto"/>
        <w:ind w:left="250" w:right="411" w:firstLine="283"/>
        <w:jc w:val="both"/>
      </w:pPr>
      <w:r>
        <w:rPr>
          <w:color w:val="231F20"/>
        </w:rPr>
        <w:t>В компетенційних актах часто використовуються словосполу- чення «забезпечує формування державної політики» та «реалізує державну</w:t>
      </w:r>
      <w:r>
        <w:rPr>
          <w:color w:val="231F20"/>
          <w:spacing w:val="-11"/>
        </w:rPr>
        <w:t xml:space="preserve"> </w:t>
      </w:r>
      <w:r>
        <w:rPr>
          <w:color w:val="231F20"/>
        </w:rPr>
        <w:t>політику».</w:t>
      </w:r>
      <w:r>
        <w:rPr>
          <w:color w:val="231F20"/>
          <w:spacing w:val="-11"/>
        </w:rPr>
        <w:t xml:space="preserve"> </w:t>
      </w:r>
      <w:r>
        <w:rPr>
          <w:color w:val="231F20"/>
        </w:rPr>
        <w:t>Перше</w:t>
      </w:r>
      <w:r>
        <w:rPr>
          <w:color w:val="231F20"/>
          <w:spacing w:val="-11"/>
        </w:rPr>
        <w:t xml:space="preserve"> </w:t>
      </w:r>
      <w:r>
        <w:rPr>
          <w:color w:val="231F20"/>
        </w:rPr>
        <w:t>з</w:t>
      </w:r>
      <w:r>
        <w:rPr>
          <w:color w:val="231F20"/>
          <w:spacing w:val="-11"/>
        </w:rPr>
        <w:t xml:space="preserve"> </w:t>
      </w:r>
      <w:r>
        <w:rPr>
          <w:color w:val="231F20"/>
        </w:rPr>
        <w:t>них</w:t>
      </w:r>
      <w:r>
        <w:rPr>
          <w:color w:val="231F20"/>
          <w:spacing w:val="-11"/>
        </w:rPr>
        <w:t xml:space="preserve"> </w:t>
      </w:r>
      <w:r>
        <w:rPr>
          <w:color w:val="231F20"/>
        </w:rPr>
        <w:t>вказує</w:t>
      </w:r>
      <w:r>
        <w:rPr>
          <w:color w:val="231F20"/>
          <w:spacing w:val="-11"/>
        </w:rPr>
        <w:t xml:space="preserve"> </w:t>
      </w:r>
      <w:r>
        <w:rPr>
          <w:color w:val="231F20"/>
        </w:rPr>
        <w:t>на</w:t>
      </w:r>
      <w:r>
        <w:rPr>
          <w:color w:val="231F20"/>
          <w:spacing w:val="-11"/>
        </w:rPr>
        <w:t xml:space="preserve"> </w:t>
      </w:r>
      <w:r>
        <w:rPr>
          <w:color w:val="231F20"/>
        </w:rPr>
        <w:t>те,</w:t>
      </w:r>
      <w:r>
        <w:rPr>
          <w:color w:val="231F20"/>
          <w:spacing w:val="-11"/>
        </w:rPr>
        <w:t xml:space="preserve"> </w:t>
      </w:r>
      <w:r>
        <w:rPr>
          <w:color w:val="231F20"/>
        </w:rPr>
        <w:t>що</w:t>
      </w:r>
      <w:r>
        <w:rPr>
          <w:color w:val="231F20"/>
          <w:spacing w:val="-11"/>
        </w:rPr>
        <w:t xml:space="preserve"> </w:t>
      </w:r>
      <w:r>
        <w:rPr>
          <w:color w:val="231F20"/>
        </w:rPr>
        <w:t>виконання</w:t>
      </w:r>
      <w:r>
        <w:rPr>
          <w:color w:val="231F20"/>
          <w:spacing w:val="-11"/>
        </w:rPr>
        <w:t xml:space="preserve"> </w:t>
      </w:r>
      <w:r>
        <w:rPr>
          <w:color w:val="231F20"/>
        </w:rPr>
        <w:t>постав- лених перед органом мети та завдань передбач</w:t>
      </w:r>
      <w:r>
        <w:rPr>
          <w:color w:val="231F20"/>
        </w:rPr>
        <w:t>ає переважно ухва- лення нормативних актів, а друге – ухвалення адміністративних актів, проведення організаційних заходів</w:t>
      </w:r>
      <w:r>
        <w:rPr>
          <w:color w:val="231F20"/>
          <w:spacing w:val="-4"/>
        </w:rPr>
        <w:t xml:space="preserve"> </w:t>
      </w:r>
      <w:r>
        <w:rPr>
          <w:color w:val="231F20"/>
        </w:rPr>
        <w:t>тощо.</w:t>
      </w:r>
    </w:p>
    <w:p w14:paraId="167581DC" w14:textId="77777777" w:rsidR="00DE575E" w:rsidRDefault="002E7560">
      <w:pPr>
        <w:pStyle w:val="BodyText"/>
        <w:spacing w:line="254" w:lineRule="auto"/>
        <w:ind w:left="250" w:right="411" w:firstLine="283"/>
        <w:jc w:val="both"/>
      </w:pPr>
      <w:r>
        <w:rPr>
          <w:color w:val="231F20"/>
        </w:rPr>
        <w:t xml:space="preserve">Другий складник компетенції – </w:t>
      </w:r>
      <w:r>
        <w:rPr>
          <w:b/>
          <w:i/>
          <w:color w:val="231F20"/>
        </w:rPr>
        <w:t>предмет відання</w:t>
      </w:r>
      <w:r>
        <w:rPr>
          <w:i/>
          <w:color w:val="231F20"/>
        </w:rPr>
        <w:t xml:space="preserve">. </w:t>
      </w:r>
      <w:r>
        <w:rPr>
          <w:color w:val="231F20"/>
        </w:rPr>
        <w:t xml:space="preserve">Він визначає коло питань, які компетентний вирішувати </w:t>
      </w:r>
      <w:r>
        <w:rPr>
          <w:color w:val="231F20"/>
          <w:spacing w:val="-4"/>
        </w:rPr>
        <w:t xml:space="preserve">суб’єкт </w:t>
      </w:r>
      <w:r>
        <w:rPr>
          <w:color w:val="231F20"/>
        </w:rPr>
        <w:t>публічного адмі- ні</w:t>
      </w:r>
      <w:r>
        <w:rPr>
          <w:color w:val="231F20"/>
        </w:rPr>
        <w:t xml:space="preserve">стрування. У переважній більшості випадків у нормативному акті неможливо навести їх вичерпний перелік. </w:t>
      </w:r>
      <w:r>
        <w:rPr>
          <w:color w:val="231F20"/>
          <w:spacing w:val="-5"/>
        </w:rPr>
        <w:t xml:space="preserve">Тому </w:t>
      </w:r>
      <w:r>
        <w:rPr>
          <w:color w:val="231F20"/>
        </w:rPr>
        <w:t xml:space="preserve">для встановлення меж предмета відання існують різноманітні маркери – територі- альні, </w:t>
      </w:r>
      <w:r>
        <w:rPr>
          <w:color w:val="231F20"/>
          <w:spacing w:val="-3"/>
        </w:rPr>
        <w:t xml:space="preserve">об’єктні, суб’єктні </w:t>
      </w:r>
      <w:r>
        <w:rPr>
          <w:color w:val="231F20"/>
        </w:rPr>
        <w:t>тощо.</w:t>
      </w:r>
    </w:p>
    <w:p w14:paraId="35038780" w14:textId="77777777" w:rsidR="00DE575E" w:rsidRDefault="002E7560">
      <w:pPr>
        <w:pStyle w:val="BodyText"/>
        <w:spacing w:line="254" w:lineRule="auto"/>
        <w:ind w:left="250" w:right="410" w:firstLine="283"/>
        <w:jc w:val="both"/>
      </w:pPr>
      <w:r>
        <w:rPr>
          <w:i/>
          <w:color w:val="231F20"/>
        </w:rPr>
        <w:t xml:space="preserve">Територіальний маркер </w:t>
      </w:r>
      <w:r>
        <w:rPr>
          <w:color w:val="231F20"/>
        </w:rPr>
        <w:t>вказує на геог</w:t>
      </w:r>
      <w:r>
        <w:rPr>
          <w:color w:val="231F20"/>
        </w:rPr>
        <w:t>рафічно визначену тери- торію, у межах якої виникають питання, що належать до предмета відання суб’єкта публічної адміністрації (напр., Рахівський район, зона відчуження, територія заповідника тощо).</w:t>
      </w:r>
    </w:p>
    <w:p w14:paraId="63720447" w14:textId="77777777" w:rsidR="00DE575E" w:rsidRDefault="002E7560">
      <w:pPr>
        <w:pStyle w:val="BodyText"/>
        <w:spacing w:line="254" w:lineRule="auto"/>
        <w:ind w:left="250" w:right="410" w:firstLine="283"/>
        <w:jc w:val="both"/>
      </w:pPr>
      <w:r>
        <w:rPr>
          <w:i/>
          <w:color w:val="231F20"/>
          <w:spacing w:val="-3"/>
        </w:rPr>
        <w:t xml:space="preserve">Об’єктний </w:t>
      </w:r>
      <w:r>
        <w:rPr>
          <w:i/>
          <w:color w:val="231F20"/>
        </w:rPr>
        <w:t xml:space="preserve">маркер </w:t>
      </w:r>
      <w:r>
        <w:rPr>
          <w:color w:val="231F20"/>
        </w:rPr>
        <w:t xml:space="preserve">вказує на предмети та процеси, з якими пов’я- зане управлінське питання </w:t>
      </w:r>
      <w:r>
        <w:rPr>
          <w:color w:val="231F20"/>
          <w:spacing w:val="-3"/>
        </w:rPr>
        <w:t xml:space="preserve">(об’єкти </w:t>
      </w:r>
      <w:r>
        <w:rPr>
          <w:color w:val="231F20"/>
        </w:rPr>
        <w:t xml:space="preserve">інтелектуальної власності, </w:t>
      </w:r>
      <w:r>
        <w:rPr>
          <w:color w:val="231F20"/>
          <w:spacing w:val="-3"/>
        </w:rPr>
        <w:t xml:space="preserve">буді- </w:t>
      </w:r>
      <w:r>
        <w:rPr>
          <w:color w:val="231F20"/>
        </w:rPr>
        <w:t xml:space="preserve">вельна діяльність, товари, </w:t>
      </w:r>
      <w:r>
        <w:rPr>
          <w:color w:val="231F20"/>
          <w:spacing w:val="-3"/>
        </w:rPr>
        <w:t xml:space="preserve">культурна </w:t>
      </w:r>
      <w:r>
        <w:rPr>
          <w:color w:val="231F20"/>
        </w:rPr>
        <w:t>цінність). Зазвичай предмет відання окреслюється кількома предметними маркерами.</w:t>
      </w:r>
    </w:p>
    <w:p w14:paraId="281AFC46" w14:textId="77777777" w:rsidR="00DE575E" w:rsidRDefault="002E7560">
      <w:pPr>
        <w:pStyle w:val="BodyText"/>
        <w:spacing w:line="254" w:lineRule="auto"/>
        <w:ind w:left="250" w:right="411" w:firstLine="283"/>
        <w:jc w:val="both"/>
      </w:pPr>
      <w:r>
        <w:rPr>
          <w:i/>
          <w:color w:val="231F20"/>
        </w:rPr>
        <w:t xml:space="preserve">Суб’єктний маркер </w:t>
      </w:r>
      <w:r>
        <w:rPr>
          <w:color w:val="231F20"/>
        </w:rPr>
        <w:t>вказує</w:t>
      </w:r>
      <w:r>
        <w:rPr>
          <w:color w:val="231F20"/>
        </w:rPr>
        <w:t xml:space="preserve"> на коло осіб, причетних до вирішува- ного питання (іноземці, військовослужбовці, громадяни України,</w:t>
      </w:r>
    </w:p>
    <w:p w14:paraId="2E4CD329" w14:textId="77777777" w:rsidR="00DE575E" w:rsidRDefault="00DE575E">
      <w:pPr>
        <w:pStyle w:val="BodyText"/>
        <w:rPr>
          <w:sz w:val="20"/>
        </w:rPr>
      </w:pPr>
    </w:p>
    <w:p w14:paraId="544D9B8B" w14:textId="73100724" w:rsidR="00DE575E" w:rsidRDefault="002E7560">
      <w:pPr>
        <w:pStyle w:val="BodyText"/>
        <w:spacing w:before="1"/>
        <w:rPr>
          <w:sz w:val="10"/>
        </w:rPr>
      </w:pPr>
      <w:r>
        <w:rPr>
          <w:noProof/>
        </w:rPr>
        <mc:AlternateContent>
          <mc:Choice Requires="wps">
            <w:drawing>
              <wp:anchor distT="0" distB="0" distL="0" distR="0" simplePos="0" relativeHeight="4288" behindDoc="0" locked="0" layoutInCell="1" allowOverlap="1" wp14:anchorId="35FC57FD" wp14:editId="72E5C052">
                <wp:simplePos x="0" y="0"/>
                <wp:positionH relativeFrom="page">
                  <wp:posOffset>539750</wp:posOffset>
                </wp:positionH>
                <wp:positionV relativeFrom="paragraph">
                  <wp:posOffset>102870</wp:posOffset>
                </wp:positionV>
                <wp:extent cx="1080135" cy="0"/>
                <wp:effectExtent l="6350" t="13970" r="31115" b="24130"/>
                <wp:wrapTopAndBottom/>
                <wp:docPr id="1185"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1BD59" id="Line_x0020_1184" o:spid="_x0000_s1026" style="position:absolute;z-index: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1pt" to="127.55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y0/SI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" strokecolor="#231f20" strokeweight=".5pt">
                <w10:wrap type="topAndBottom" anchorx="page"/>
              </v:line>
            </w:pict>
          </mc:Fallback>
        </mc:AlternateContent>
      </w:r>
    </w:p>
    <w:p w14:paraId="4055008F" w14:textId="77777777" w:rsidR="00DE575E" w:rsidRDefault="002E7560">
      <w:pPr>
        <w:spacing w:line="162" w:lineRule="exact"/>
        <w:ind w:left="250"/>
        <w:rPr>
          <w:sz w:val="16"/>
        </w:rPr>
      </w:pPr>
      <w:r>
        <w:rPr>
          <w:color w:val="231F20"/>
          <w:position w:val="5"/>
          <w:sz w:val="9"/>
        </w:rPr>
        <w:t xml:space="preserve">1 </w:t>
      </w:r>
      <w:r>
        <w:rPr>
          <w:color w:val="231F20"/>
          <w:sz w:val="16"/>
        </w:rPr>
        <w:t>Про Національну поліцію: Закон України.</w:t>
      </w:r>
    </w:p>
    <w:p w14:paraId="1803385B" w14:textId="77777777" w:rsidR="00DE575E" w:rsidRDefault="002E7560">
      <w:pPr>
        <w:ind w:left="250"/>
        <w:rPr>
          <w:sz w:val="16"/>
        </w:rPr>
      </w:pPr>
      <w:r>
        <w:rPr>
          <w:color w:val="231F20"/>
          <w:position w:val="5"/>
          <w:sz w:val="9"/>
        </w:rPr>
        <w:t xml:space="preserve">2 </w:t>
      </w:r>
      <w:r>
        <w:rPr>
          <w:color w:val="231F20"/>
          <w:sz w:val="16"/>
        </w:rPr>
        <w:t>Про Службу зовнішньої розвідки України: Закон України.</w:t>
      </w:r>
    </w:p>
    <w:p w14:paraId="4E95BCB2" w14:textId="77777777" w:rsidR="00DE575E" w:rsidRDefault="002E7560">
      <w:pPr>
        <w:spacing w:before="24" w:line="204" w:lineRule="auto"/>
        <w:ind w:left="250"/>
        <w:rPr>
          <w:sz w:val="16"/>
        </w:rPr>
      </w:pPr>
      <w:r>
        <w:rPr>
          <w:color w:val="231F20"/>
          <w:position w:val="5"/>
          <w:sz w:val="9"/>
        </w:rPr>
        <w:t xml:space="preserve">3 </w:t>
      </w:r>
      <w:r>
        <w:rPr>
          <w:color w:val="231F20"/>
          <w:sz w:val="16"/>
        </w:rPr>
        <w:t>Про затвердження Положення про Міністерство юстиції</w:t>
      </w:r>
      <w:r>
        <w:rPr>
          <w:color w:val="231F20"/>
          <w:sz w:val="16"/>
        </w:rPr>
        <w:t xml:space="preserve"> України: Постанова Кабінету Міністрів України від 2.07.2014 р. № 228.</w:t>
      </w:r>
    </w:p>
    <w:p w14:paraId="6174D6FF" w14:textId="77777777" w:rsidR="00DE575E" w:rsidRDefault="00DE575E">
      <w:pPr>
        <w:pStyle w:val="BodyText"/>
        <w:spacing w:before="5"/>
        <w:rPr>
          <w:sz w:val="12"/>
        </w:rPr>
      </w:pPr>
    </w:p>
    <w:p w14:paraId="5A68E8C6" w14:textId="77777777" w:rsidR="00DE575E" w:rsidRDefault="002E7560">
      <w:pPr>
        <w:spacing w:before="92"/>
        <w:ind w:right="411"/>
        <w:jc w:val="right"/>
        <w:rPr>
          <w:rFonts w:ascii="Times New Roman"/>
          <w:sz w:val="20"/>
        </w:rPr>
      </w:pPr>
      <w:r>
        <w:rPr>
          <w:rFonts w:ascii="Times New Roman"/>
          <w:color w:val="231F20"/>
          <w:w w:val="90"/>
          <w:sz w:val="20"/>
        </w:rPr>
        <w:t>87</w:t>
      </w:r>
    </w:p>
    <w:p w14:paraId="05B6E29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41FEC4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7B88B27" w14:textId="64ADB88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CC8517D" wp14:editId="0B62B45B">
                <wp:extent cx="4140200" cy="6350"/>
                <wp:effectExtent l="0" t="0" r="12700" b="6350"/>
                <wp:docPr id="1183"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84" name="Line 11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08912" id="Group_x0020_11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D55q5/AgAAnAUAAA4A&#10;AAAAAAAAAAAAAAAALAIAAGRycy9lMm9Eb2MueG1sUEsBAi0AFAAGAAgAAAAhAEynsJDZAAAAAwEA&#10;AA8AAAAAAAAAAAAAAAAA1wQAAGRycy9kb3ducmV2LnhtbFBLBQYAAAAABAAEAPMAAADdBQAAAAA=&#10;">
                <v:line id="Line_x0020_11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9EQ8QAAADdAAAADwAAAGRycy9kb3ducmV2LnhtbERPzWrCQBC+F3yHZQQvRTfWUiS6ihQK&#10;xYO2xgcYs2MS3J2N2dVEn94VCr3Nx/c782VnjbhS4yvHCsajBARx7nTFhYJ99jWcgvABWaNxTApu&#10;5GG56L3MMdWu5V+67kIhYgj7FBWUIdSplD4vyaIfuZo4ckfXWAwRNoXUDbYx3Br5liQf0mLFsaHE&#10;mj5Lyk+7i1WQnV+D+dmuTZttDxN5OG8m98tGqUG/W81ABOrCv/jP/a3j/PH0HZ7fxBP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j0RDxAAAAN0AAAAPAAAAAAAAAAAA&#10;AAAAAKECAABkcnMvZG93bnJldi54bWxQSwUGAAAAAAQABAD5AAAAkgMAAAAA&#10;" strokecolor="#231f20" strokeweight=".5pt"/>
                <w10:anchorlock/>
              </v:group>
            </w:pict>
          </mc:Fallback>
        </mc:AlternateContent>
      </w:r>
    </w:p>
    <w:p w14:paraId="2DBF40D1" w14:textId="77777777" w:rsidR="00DE575E" w:rsidRDefault="00DE575E">
      <w:pPr>
        <w:pStyle w:val="BodyText"/>
        <w:spacing w:before="7"/>
        <w:rPr>
          <w:rFonts w:ascii="AdonisC"/>
          <w:i/>
          <w:sz w:val="11"/>
        </w:rPr>
      </w:pPr>
    </w:p>
    <w:p w14:paraId="1D26701D" w14:textId="77777777" w:rsidR="00DE575E" w:rsidRDefault="002E7560">
      <w:pPr>
        <w:pStyle w:val="BodyText"/>
        <w:spacing w:before="101" w:line="252" w:lineRule="auto"/>
        <w:ind w:left="533"/>
      </w:pPr>
      <w:r>
        <w:rPr>
          <w:color w:val="231F20"/>
        </w:rPr>
        <w:t>закордонні українці, політичні партії, комунальні неприбуткові підприємства, медичні заклади тощо).</w:t>
      </w:r>
    </w:p>
    <w:p w14:paraId="66A7C85F" w14:textId="77777777" w:rsidR="00DE575E" w:rsidRDefault="002E7560">
      <w:pPr>
        <w:pStyle w:val="BodyText"/>
        <w:spacing w:before="1" w:line="252" w:lineRule="auto"/>
        <w:ind w:left="533" w:right="127" w:firstLine="283"/>
        <w:jc w:val="both"/>
      </w:pPr>
      <w:r>
        <w:rPr>
          <w:color w:val="231F20"/>
        </w:rPr>
        <w:t>Для встановлення меж предмета відання суб’єкта публічного адміністрування використовуються різні види маркерів одночасн</w:t>
      </w:r>
      <w:r>
        <w:rPr>
          <w:color w:val="231F20"/>
        </w:rPr>
        <w:t>о.</w:t>
      </w:r>
    </w:p>
    <w:p w14:paraId="4DBEDB6C" w14:textId="77777777" w:rsidR="00DE575E" w:rsidRDefault="002E7560">
      <w:pPr>
        <w:spacing w:before="100" w:line="244" w:lineRule="auto"/>
        <w:ind w:left="817" w:right="127" w:firstLine="283"/>
        <w:jc w:val="both"/>
        <w:rPr>
          <w:i/>
          <w:sz w:val="18"/>
        </w:rPr>
      </w:pPr>
      <w:r>
        <w:rPr>
          <w:i/>
          <w:color w:val="231F20"/>
          <w:sz w:val="18"/>
          <w:u w:val="single" w:color="231F20"/>
        </w:rPr>
        <w:t>Приклад</w:t>
      </w:r>
      <w:r>
        <w:rPr>
          <w:i/>
          <w:color w:val="231F20"/>
          <w:sz w:val="18"/>
        </w:rPr>
        <w:t>: Національна комісія України з цінних паперів та фондового ринку вирішує питання, пов’язані з випуском та обігом цінних паперів (об’єк- тні маркери), учасниками фондового ринку (суб’єктний маркер) в Україні (територіальний маркер).</w:t>
      </w:r>
    </w:p>
    <w:p w14:paraId="2DF4A231" w14:textId="77777777" w:rsidR="00DE575E" w:rsidRDefault="002E7560">
      <w:pPr>
        <w:pStyle w:val="BodyText"/>
        <w:spacing w:before="130" w:line="252" w:lineRule="auto"/>
        <w:ind w:left="533" w:right="127" w:firstLine="283"/>
        <w:jc w:val="both"/>
      </w:pPr>
      <w:r>
        <w:rPr>
          <w:color w:val="231F20"/>
        </w:rPr>
        <w:t>Третій складн</w:t>
      </w:r>
      <w:r>
        <w:rPr>
          <w:color w:val="231F20"/>
        </w:rPr>
        <w:t xml:space="preserve">ик компетенції – </w:t>
      </w:r>
      <w:r>
        <w:rPr>
          <w:b/>
          <w:i/>
          <w:color w:val="231F20"/>
        </w:rPr>
        <w:t>повноваження</w:t>
      </w:r>
      <w:r>
        <w:rPr>
          <w:color w:val="231F20"/>
        </w:rPr>
        <w:t>. Це юридична конструкція, щопоєднуєвсобіспецифічніправа та обов’язкисуб’єктів публічного адміністрування. Саме тому деякі вчені, що займаються проблемами теорії права, називають повноваження «правообов’яз- ком». Кількість повн</w:t>
      </w:r>
      <w:r>
        <w:rPr>
          <w:color w:val="231F20"/>
        </w:rPr>
        <w:t>оважень суб’єктів публічного адміністрування залежить від різних обставин й істотно відрізняється.</w:t>
      </w:r>
    </w:p>
    <w:p w14:paraId="1CFEF11E" w14:textId="77777777" w:rsidR="00DE575E" w:rsidRDefault="002E7560">
      <w:pPr>
        <w:spacing w:before="102" w:line="244" w:lineRule="auto"/>
        <w:ind w:left="817" w:right="128" w:firstLine="283"/>
        <w:jc w:val="both"/>
        <w:rPr>
          <w:i/>
          <w:sz w:val="18"/>
        </w:rPr>
      </w:pPr>
      <w:r>
        <w:rPr>
          <w:i/>
          <w:color w:val="231F20"/>
          <w:sz w:val="18"/>
          <w:u w:val="single" w:color="231F20"/>
        </w:rPr>
        <w:t>Приклад</w:t>
      </w:r>
      <w:r>
        <w:rPr>
          <w:i/>
          <w:color w:val="231F20"/>
          <w:sz w:val="18"/>
        </w:rPr>
        <w:t>: у компетенційних нормативних актах за Державною міграцій- ною</w:t>
      </w:r>
      <w:r>
        <w:rPr>
          <w:i/>
          <w:color w:val="231F20"/>
          <w:spacing w:val="-16"/>
          <w:sz w:val="18"/>
        </w:rPr>
        <w:t xml:space="preserve"> </w:t>
      </w:r>
      <w:r>
        <w:rPr>
          <w:i/>
          <w:color w:val="231F20"/>
          <w:sz w:val="18"/>
        </w:rPr>
        <w:t>службою</w:t>
      </w:r>
      <w:r>
        <w:rPr>
          <w:i/>
          <w:color w:val="231F20"/>
          <w:spacing w:val="-16"/>
          <w:sz w:val="18"/>
        </w:rPr>
        <w:t xml:space="preserve"> </w:t>
      </w:r>
      <w:r>
        <w:rPr>
          <w:i/>
          <w:color w:val="231F20"/>
          <w:sz w:val="18"/>
        </w:rPr>
        <w:t>України</w:t>
      </w:r>
      <w:r>
        <w:rPr>
          <w:i/>
          <w:color w:val="231F20"/>
          <w:spacing w:val="-16"/>
          <w:sz w:val="18"/>
        </w:rPr>
        <w:t xml:space="preserve"> </w:t>
      </w:r>
      <w:r>
        <w:rPr>
          <w:i/>
          <w:color w:val="231F20"/>
          <w:sz w:val="18"/>
        </w:rPr>
        <w:t>закріплено</w:t>
      </w:r>
      <w:r>
        <w:rPr>
          <w:i/>
          <w:color w:val="231F20"/>
          <w:spacing w:val="-17"/>
          <w:sz w:val="18"/>
        </w:rPr>
        <w:t xml:space="preserve"> </w:t>
      </w:r>
      <w:r>
        <w:rPr>
          <w:i/>
          <w:color w:val="231F20"/>
          <w:sz w:val="18"/>
        </w:rPr>
        <w:t>сорок</w:t>
      </w:r>
      <w:r>
        <w:rPr>
          <w:i/>
          <w:color w:val="231F20"/>
          <w:spacing w:val="-16"/>
          <w:sz w:val="18"/>
        </w:rPr>
        <w:t xml:space="preserve"> </w:t>
      </w:r>
      <w:r>
        <w:rPr>
          <w:i/>
          <w:color w:val="231F20"/>
          <w:sz w:val="18"/>
        </w:rPr>
        <w:t>два</w:t>
      </w:r>
      <w:r>
        <w:rPr>
          <w:i/>
          <w:color w:val="231F20"/>
          <w:spacing w:val="-16"/>
          <w:sz w:val="18"/>
        </w:rPr>
        <w:t xml:space="preserve"> </w:t>
      </w:r>
      <w:r>
        <w:rPr>
          <w:i/>
          <w:color w:val="231F20"/>
          <w:sz w:val="18"/>
        </w:rPr>
        <w:t>адміністративних</w:t>
      </w:r>
      <w:r>
        <w:rPr>
          <w:i/>
          <w:color w:val="231F20"/>
          <w:spacing w:val="-17"/>
          <w:sz w:val="18"/>
        </w:rPr>
        <w:t xml:space="preserve"> </w:t>
      </w:r>
      <w:r>
        <w:rPr>
          <w:i/>
          <w:color w:val="231F20"/>
          <w:sz w:val="18"/>
        </w:rPr>
        <w:t>повноваження</w:t>
      </w:r>
      <w:r>
        <w:rPr>
          <w:i/>
          <w:color w:val="231F20"/>
          <w:position w:val="6"/>
          <w:sz w:val="10"/>
        </w:rPr>
        <w:t>1</w:t>
      </w:r>
      <w:r>
        <w:rPr>
          <w:i/>
          <w:color w:val="231F20"/>
          <w:sz w:val="18"/>
        </w:rPr>
        <w:t>, за</w:t>
      </w:r>
      <w:r>
        <w:rPr>
          <w:i/>
          <w:color w:val="231F20"/>
          <w:spacing w:val="-8"/>
          <w:sz w:val="18"/>
        </w:rPr>
        <w:t xml:space="preserve"> </w:t>
      </w:r>
      <w:r>
        <w:rPr>
          <w:i/>
          <w:color w:val="231F20"/>
          <w:sz w:val="18"/>
        </w:rPr>
        <w:t>Державною</w:t>
      </w:r>
      <w:r>
        <w:rPr>
          <w:i/>
          <w:color w:val="231F20"/>
          <w:spacing w:val="-8"/>
          <w:sz w:val="18"/>
        </w:rPr>
        <w:t xml:space="preserve"> </w:t>
      </w:r>
      <w:r>
        <w:rPr>
          <w:i/>
          <w:color w:val="231F20"/>
          <w:sz w:val="18"/>
        </w:rPr>
        <w:t>фіск</w:t>
      </w:r>
      <w:r>
        <w:rPr>
          <w:i/>
          <w:color w:val="231F20"/>
          <w:sz w:val="18"/>
        </w:rPr>
        <w:t>альною</w:t>
      </w:r>
      <w:r>
        <w:rPr>
          <w:i/>
          <w:color w:val="231F20"/>
          <w:spacing w:val="-8"/>
          <w:sz w:val="18"/>
        </w:rPr>
        <w:t xml:space="preserve"> </w:t>
      </w:r>
      <w:r>
        <w:rPr>
          <w:i/>
          <w:color w:val="231F20"/>
          <w:sz w:val="18"/>
        </w:rPr>
        <w:t>службою</w:t>
      </w:r>
      <w:r>
        <w:rPr>
          <w:i/>
          <w:color w:val="231F20"/>
          <w:spacing w:val="-7"/>
          <w:sz w:val="18"/>
        </w:rPr>
        <w:t xml:space="preserve"> </w:t>
      </w:r>
      <w:r>
        <w:rPr>
          <w:i/>
          <w:color w:val="231F20"/>
          <w:sz w:val="18"/>
        </w:rPr>
        <w:t>України</w:t>
      </w:r>
      <w:r>
        <w:rPr>
          <w:i/>
          <w:color w:val="231F20"/>
          <w:spacing w:val="-7"/>
          <w:sz w:val="18"/>
        </w:rPr>
        <w:t xml:space="preserve"> </w:t>
      </w:r>
      <w:r>
        <w:rPr>
          <w:i/>
          <w:color w:val="231F20"/>
          <w:sz w:val="18"/>
        </w:rPr>
        <w:t>–</w:t>
      </w:r>
      <w:r>
        <w:rPr>
          <w:i/>
          <w:color w:val="231F20"/>
          <w:spacing w:val="-8"/>
          <w:sz w:val="18"/>
        </w:rPr>
        <w:t xml:space="preserve"> </w:t>
      </w:r>
      <w:r>
        <w:rPr>
          <w:i/>
          <w:color w:val="231F20"/>
          <w:sz w:val="18"/>
        </w:rPr>
        <w:t>близько</w:t>
      </w:r>
      <w:r>
        <w:rPr>
          <w:i/>
          <w:color w:val="231F20"/>
          <w:spacing w:val="-8"/>
          <w:sz w:val="18"/>
        </w:rPr>
        <w:t xml:space="preserve"> </w:t>
      </w:r>
      <w:r>
        <w:rPr>
          <w:i/>
          <w:color w:val="231F20"/>
          <w:sz w:val="18"/>
        </w:rPr>
        <w:t>ста</w:t>
      </w:r>
      <w:r>
        <w:rPr>
          <w:i/>
          <w:color w:val="231F20"/>
          <w:spacing w:val="-8"/>
          <w:sz w:val="18"/>
        </w:rPr>
        <w:t xml:space="preserve"> </w:t>
      </w:r>
      <w:r>
        <w:rPr>
          <w:i/>
          <w:color w:val="231F20"/>
          <w:position w:val="6"/>
          <w:sz w:val="10"/>
        </w:rPr>
        <w:t>2</w:t>
      </w:r>
      <w:r>
        <w:rPr>
          <w:i/>
          <w:color w:val="231F20"/>
          <w:sz w:val="18"/>
        </w:rPr>
        <w:t>,</w:t>
      </w:r>
      <w:r>
        <w:rPr>
          <w:i/>
          <w:color w:val="231F20"/>
          <w:spacing w:val="-8"/>
          <w:sz w:val="18"/>
        </w:rPr>
        <w:t xml:space="preserve"> </w:t>
      </w:r>
      <w:r>
        <w:rPr>
          <w:i/>
          <w:color w:val="231F20"/>
          <w:sz w:val="18"/>
        </w:rPr>
        <w:t>за</w:t>
      </w:r>
      <w:r>
        <w:rPr>
          <w:i/>
          <w:color w:val="231F20"/>
          <w:spacing w:val="-8"/>
          <w:sz w:val="18"/>
        </w:rPr>
        <w:t xml:space="preserve"> </w:t>
      </w:r>
      <w:r>
        <w:rPr>
          <w:i/>
          <w:color w:val="231F20"/>
          <w:sz w:val="18"/>
        </w:rPr>
        <w:t>деякими</w:t>
      </w:r>
      <w:r>
        <w:rPr>
          <w:i/>
          <w:color w:val="231F20"/>
          <w:spacing w:val="-8"/>
          <w:sz w:val="18"/>
        </w:rPr>
        <w:t xml:space="preserve"> </w:t>
      </w:r>
      <w:r>
        <w:rPr>
          <w:i/>
          <w:color w:val="231F20"/>
          <w:sz w:val="18"/>
        </w:rPr>
        <w:t>мініс- терствами – понад три</w:t>
      </w:r>
      <w:r>
        <w:rPr>
          <w:i/>
          <w:color w:val="231F20"/>
          <w:spacing w:val="-5"/>
          <w:sz w:val="18"/>
        </w:rPr>
        <w:t xml:space="preserve"> </w:t>
      </w:r>
      <w:r>
        <w:rPr>
          <w:i/>
          <w:color w:val="231F20"/>
          <w:sz w:val="18"/>
        </w:rPr>
        <w:t>сотні.</w:t>
      </w:r>
    </w:p>
    <w:p w14:paraId="7B74D207" w14:textId="77777777" w:rsidR="00DE575E" w:rsidRDefault="002E7560">
      <w:pPr>
        <w:pStyle w:val="BodyText"/>
        <w:spacing w:before="131" w:line="252" w:lineRule="auto"/>
        <w:ind w:left="533" w:right="127" w:firstLine="283"/>
        <w:jc w:val="both"/>
      </w:pPr>
      <w:r>
        <w:rPr>
          <w:color w:val="231F20"/>
        </w:rPr>
        <w:t xml:space="preserve">Особливості функціонування конкретного </w:t>
      </w:r>
      <w:r>
        <w:rPr>
          <w:color w:val="231F20"/>
          <w:spacing w:val="-3"/>
        </w:rPr>
        <w:t xml:space="preserve">суб’єкта </w:t>
      </w:r>
      <w:r>
        <w:rPr>
          <w:color w:val="231F20"/>
        </w:rPr>
        <w:t>публічного адміністрування можуть бути розкриті лише з урахуванням взає- мозв’язків і динамічної взаємодії всіх елементів його компетенції. Отож,</w:t>
      </w:r>
      <w:r>
        <w:rPr>
          <w:color w:val="231F20"/>
          <w:spacing w:val="-13"/>
        </w:rPr>
        <w:t xml:space="preserve"> </w:t>
      </w:r>
      <w:r>
        <w:rPr>
          <w:color w:val="231F20"/>
        </w:rPr>
        <w:t>для</w:t>
      </w:r>
      <w:r>
        <w:rPr>
          <w:color w:val="231F20"/>
          <w:spacing w:val="-13"/>
        </w:rPr>
        <w:t xml:space="preserve"> </w:t>
      </w:r>
      <w:r>
        <w:rPr>
          <w:color w:val="231F20"/>
        </w:rPr>
        <w:t>того</w:t>
      </w:r>
      <w:r>
        <w:rPr>
          <w:color w:val="231F20"/>
          <w:spacing w:val="-13"/>
        </w:rPr>
        <w:t xml:space="preserve"> </w:t>
      </w:r>
      <w:r>
        <w:rPr>
          <w:color w:val="231F20"/>
        </w:rPr>
        <w:t>щоб</w:t>
      </w:r>
      <w:r>
        <w:rPr>
          <w:color w:val="231F20"/>
          <w:spacing w:val="-13"/>
        </w:rPr>
        <w:t xml:space="preserve"> </w:t>
      </w:r>
      <w:r>
        <w:rPr>
          <w:color w:val="231F20"/>
        </w:rPr>
        <w:t>зрозуміти</w:t>
      </w:r>
      <w:r>
        <w:rPr>
          <w:color w:val="231F20"/>
          <w:spacing w:val="-13"/>
        </w:rPr>
        <w:t xml:space="preserve"> </w:t>
      </w:r>
      <w:r>
        <w:rPr>
          <w:color w:val="231F20"/>
        </w:rPr>
        <w:t>сутність</w:t>
      </w:r>
      <w:r>
        <w:rPr>
          <w:color w:val="231F20"/>
          <w:spacing w:val="-13"/>
        </w:rPr>
        <w:t xml:space="preserve"> </w:t>
      </w:r>
      <w:r>
        <w:rPr>
          <w:color w:val="231F20"/>
          <w:spacing w:val="-3"/>
        </w:rPr>
        <w:t>суб’єкта</w:t>
      </w:r>
      <w:r>
        <w:rPr>
          <w:color w:val="231F20"/>
          <w:spacing w:val="-13"/>
        </w:rPr>
        <w:t xml:space="preserve"> </w:t>
      </w:r>
      <w:r>
        <w:rPr>
          <w:color w:val="231F20"/>
        </w:rPr>
        <w:t>публічного</w:t>
      </w:r>
      <w:r>
        <w:rPr>
          <w:color w:val="231F20"/>
          <w:spacing w:val="-13"/>
        </w:rPr>
        <w:t xml:space="preserve"> </w:t>
      </w:r>
      <w:r>
        <w:rPr>
          <w:color w:val="231F20"/>
        </w:rPr>
        <w:t xml:space="preserve">значення, його роль і значення в публічній адміністрації, </w:t>
      </w:r>
      <w:r>
        <w:rPr>
          <w:color w:val="231F20"/>
        </w:rPr>
        <w:t>а також управлінські можливості, слід детально знати його</w:t>
      </w:r>
      <w:r>
        <w:rPr>
          <w:color w:val="231F20"/>
          <w:spacing w:val="-7"/>
        </w:rPr>
        <w:t xml:space="preserve"> </w:t>
      </w:r>
      <w:r>
        <w:rPr>
          <w:color w:val="231F20"/>
        </w:rPr>
        <w:t>компетенцію.</w:t>
      </w:r>
    </w:p>
    <w:p w14:paraId="4BAA5758" w14:textId="77777777" w:rsidR="00DE575E" w:rsidRDefault="002E7560">
      <w:pPr>
        <w:pStyle w:val="Heading5"/>
        <w:spacing w:before="3" w:line="252" w:lineRule="auto"/>
        <w:ind w:right="128" w:firstLine="283"/>
        <w:jc w:val="both"/>
      </w:pPr>
      <w:r>
        <w:rPr>
          <w:color w:val="231F20"/>
        </w:rPr>
        <w:t>Отже, компетенція – це комплекс взаємопов’язаних елемен- тів (мети, завдань, предмета відання та повноважень), що характеризують особливості діяльності конкретного суб’єкта публічного а</w:t>
      </w:r>
      <w:r>
        <w:rPr>
          <w:color w:val="231F20"/>
        </w:rPr>
        <w:t>дміністрування, зумовлені його місцем у публічній адміністрації.</w:t>
      </w:r>
    </w:p>
    <w:p w14:paraId="60E5AE19" w14:textId="77777777" w:rsidR="00DE575E" w:rsidRDefault="00DE575E">
      <w:pPr>
        <w:pStyle w:val="BodyText"/>
        <w:spacing w:before="2"/>
        <w:rPr>
          <w:b/>
          <w:sz w:val="22"/>
        </w:rPr>
      </w:pPr>
    </w:p>
    <w:p w14:paraId="6654DAD5" w14:textId="77777777" w:rsidR="00DE575E" w:rsidRDefault="002E7560">
      <w:pPr>
        <w:pStyle w:val="ListParagraph"/>
        <w:numPr>
          <w:ilvl w:val="2"/>
          <w:numId w:val="271"/>
        </w:numPr>
        <w:tabs>
          <w:tab w:val="left" w:pos="1383"/>
        </w:tabs>
        <w:ind w:firstLine="0"/>
        <w:jc w:val="left"/>
        <w:rPr>
          <w:b/>
          <w:color w:val="231F20"/>
          <w:sz w:val="21"/>
        </w:rPr>
      </w:pPr>
      <w:r>
        <w:rPr>
          <w:b/>
          <w:color w:val="231F20"/>
          <w:sz w:val="21"/>
        </w:rPr>
        <w:t xml:space="preserve">Повноваження </w:t>
      </w:r>
      <w:r>
        <w:rPr>
          <w:b/>
          <w:color w:val="231F20"/>
          <w:spacing w:val="-3"/>
          <w:sz w:val="21"/>
        </w:rPr>
        <w:t xml:space="preserve">суб’єктів </w:t>
      </w:r>
      <w:r>
        <w:rPr>
          <w:b/>
          <w:color w:val="231F20"/>
          <w:sz w:val="21"/>
        </w:rPr>
        <w:t>публічного</w:t>
      </w:r>
      <w:r>
        <w:rPr>
          <w:b/>
          <w:color w:val="231F20"/>
          <w:spacing w:val="-6"/>
          <w:sz w:val="21"/>
        </w:rPr>
        <w:t xml:space="preserve"> </w:t>
      </w:r>
      <w:r>
        <w:rPr>
          <w:b/>
          <w:color w:val="231F20"/>
          <w:sz w:val="21"/>
        </w:rPr>
        <w:t>адміністрування</w:t>
      </w:r>
    </w:p>
    <w:p w14:paraId="605C10D7" w14:textId="77777777" w:rsidR="00DE575E" w:rsidRDefault="00DE575E">
      <w:pPr>
        <w:pStyle w:val="BodyText"/>
        <w:spacing w:before="2"/>
        <w:rPr>
          <w:b/>
          <w:sz w:val="23"/>
        </w:rPr>
      </w:pPr>
    </w:p>
    <w:p w14:paraId="46FF04C9" w14:textId="77777777" w:rsidR="00DE575E" w:rsidRDefault="002E7560">
      <w:pPr>
        <w:pStyle w:val="BodyText"/>
        <w:spacing w:line="252" w:lineRule="auto"/>
        <w:ind w:left="533" w:right="126" w:firstLine="283"/>
        <w:jc w:val="both"/>
      </w:pPr>
      <w:r>
        <w:rPr>
          <w:color w:val="231F20"/>
          <w:spacing w:val="-3"/>
        </w:rPr>
        <w:t xml:space="preserve">Будь-який </w:t>
      </w:r>
      <w:r>
        <w:rPr>
          <w:color w:val="231F20"/>
          <w:spacing w:val="-4"/>
        </w:rPr>
        <w:t xml:space="preserve">суб’єкт </w:t>
      </w:r>
      <w:r>
        <w:rPr>
          <w:color w:val="231F20"/>
        </w:rPr>
        <w:t>публічного адміністрування утворюється державою чи територіальною громадою для  того,  щоб  покласти на</w:t>
      </w:r>
      <w:r>
        <w:rPr>
          <w:color w:val="231F20"/>
          <w:spacing w:val="13"/>
        </w:rPr>
        <w:t xml:space="preserve"> </w:t>
      </w:r>
      <w:r>
        <w:rPr>
          <w:color w:val="231F20"/>
        </w:rPr>
        <w:t>нього</w:t>
      </w:r>
      <w:r>
        <w:rPr>
          <w:color w:val="231F20"/>
          <w:spacing w:val="13"/>
        </w:rPr>
        <w:t xml:space="preserve"> </w:t>
      </w:r>
      <w:r>
        <w:rPr>
          <w:color w:val="231F20"/>
        </w:rPr>
        <w:t>обов’язки</w:t>
      </w:r>
      <w:r>
        <w:rPr>
          <w:color w:val="231F20"/>
          <w:spacing w:val="13"/>
        </w:rPr>
        <w:t xml:space="preserve"> </w:t>
      </w:r>
      <w:r>
        <w:rPr>
          <w:color w:val="231F20"/>
        </w:rPr>
        <w:t>з</w:t>
      </w:r>
      <w:r>
        <w:rPr>
          <w:color w:val="231F20"/>
          <w:spacing w:val="13"/>
        </w:rPr>
        <w:t xml:space="preserve"> </w:t>
      </w:r>
      <w:r>
        <w:rPr>
          <w:color w:val="231F20"/>
        </w:rPr>
        <w:t>виконання</w:t>
      </w:r>
      <w:r>
        <w:rPr>
          <w:color w:val="231F20"/>
          <w:spacing w:val="13"/>
        </w:rPr>
        <w:t xml:space="preserve"> </w:t>
      </w:r>
      <w:r>
        <w:rPr>
          <w:color w:val="231F20"/>
        </w:rPr>
        <w:t>певних</w:t>
      </w:r>
      <w:r>
        <w:rPr>
          <w:color w:val="231F20"/>
          <w:spacing w:val="13"/>
        </w:rPr>
        <w:t xml:space="preserve"> </w:t>
      </w:r>
      <w:r>
        <w:rPr>
          <w:color w:val="231F20"/>
        </w:rPr>
        <w:t>дій</w:t>
      </w:r>
      <w:r>
        <w:rPr>
          <w:color w:val="231F20"/>
          <w:spacing w:val="13"/>
        </w:rPr>
        <w:t xml:space="preserve"> </w:t>
      </w:r>
      <w:r>
        <w:rPr>
          <w:color w:val="231F20"/>
        </w:rPr>
        <w:t>в</w:t>
      </w:r>
      <w:r>
        <w:rPr>
          <w:color w:val="231F20"/>
          <w:spacing w:val="11"/>
        </w:rPr>
        <w:t xml:space="preserve"> </w:t>
      </w:r>
      <w:r>
        <w:rPr>
          <w:color w:val="231F20"/>
        </w:rPr>
        <w:t>інтересах</w:t>
      </w:r>
      <w:r>
        <w:rPr>
          <w:color w:val="231F20"/>
          <w:spacing w:val="13"/>
        </w:rPr>
        <w:t xml:space="preserve"> </w:t>
      </w:r>
      <w:r>
        <w:rPr>
          <w:color w:val="231F20"/>
        </w:rPr>
        <w:t>держави</w:t>
      </w:r>
      <w:r>
        <w:rPr>
          <w:color w:val="231F20"/>
          <w:spacing w:val="13"/>
        </w:rPr>
        <w:t xml:space="preserve"> </w:t>
      </w:r>
      <w:r>
        <w:rPr>
          <w:color w:val="231F20"/>
        </w:rPr>
        <w:t>чи</w:t>
      </w:r>
    </w:p>
    <w:p w14:paraId="40677673" w14:textId="5B305205" w:rsidR="00DE575E" w:rsidRDefault="002E7560">
      <w:pPr>
        <w:pStyle w:val="BodyText"/>
        <w:spacing w:before="10"/>
        <w:rPr>
          <w:sz w:val="15"/>
        </w:rPr>
      </w:pPr>
      <w:r>
        <w:rPr>
          <w:noProof/>
        </w:rPr>
        <mc:AlternateContent>
          <mc:Choice Requires="wps">
            <w:drawing>
              <wp:anchor distT="0" distB="0" distL="0" distR="0" simplePos="0" relativeHeight="4336" behindDoc="0" locked="0" layoutInCell="1" allowOverlap="1" wp14:anchorId="1FAB7AFB" wp14:editId="0F4813E8">
                <wp:simplePos x="0" y="0"/>
                <wp:positionH relativeFrom="page">
                  <wp:posOffset>719455</wp:posOffset>
                </wp:positionH>
                <wp:positionV relativeFrom="paragraph">
                  <wp:posOffset>146050</wp:posOffset>
                </wp:positionV>
                <wp:extent cx="1080135" cy="0"/>
                <wp:effectExtent l="8255" t="19050" r="29210" b="19050"/>
                <wp:wrapTopAndBottom/>
                <wp:docPr id="1182"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40C6C" id="Line_x0020_1181" o:spid="_x0000_s1026" style="position:absolute;z-index: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141.7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" strokecolor="#231f20" strokeweight=".5pt">
                <w10:wrap type="topAndBottom" anchorx="page"/>
              </v:line>
            </w:pict>
          </mc:Fallback>
        </mc:AlternateContent>
      </w:r>
    </w:p>
    <w:p w14:paraId="5C37F50A" w14:textId="77777777" w:rsidR="00DE575E" w:rsidRDefault="002E7560">
      <w:pPr>
        <w:spacing w:line="204" w:lineRule="auto"/>
        <w:ind w:left="533"/>
        <w:rPr>
          <w:sz w:val="16"/>
        </w:rPr>
      </w:pPr>
      <w:r>
        <w:rPr>
          <w:color w:val="231F20"/>
          <w:position w:val="5"/>
          <w:sz w:val="9"/>
        </w:rPr>
        <w:t xml:space="preserve">1 </w:t>
      </w:r>
      <w:r>
        <w:rPr>
          <w:color w:val="231F20"/>
          <w:sz w:val="16"/>
        </w:rPr>
        <w:t>Про затвердження Положення про Державну міграційну службу України: Постанова Кабінету Міністрів України від 20.08.2014 р. № 360.</w:t>
      </w:r>
    </w:p>
    <w:p w14:paraId="69C0639C" w14:textId="77777777" w:rsidR="00DE575E" w:rsidRDefault="002E7560">
      <w:pPr>
        <w:spacing w:before="26" w:line="204" w:lineRule="auto"/>
        <w:ind w:left="533"/>
        <w:rPr>
          <w:sz w:val="16"/>
        </w:rPr>
      </w:pPr>
      <w:r>
        <w:rPr>
          <w:color w:val="231F20"/>
          <w:position w:val="5"/>
          <w:sz w:val="9"/>
        </w:rPr>
        <w:t xml:space="preserve">2 </w:t>
      </w:r>
      <w:r>
        <w:rPr>
          <w:color w:val="231F20"/>
          <w:sz w:val="16"/>
        </w:rPr>
        <w:t xml:space="preserve">Про Державну фіскальну службу України: Постанова Кабінету Міністрів України </w:t>
      </w:r>
      <w:r>
        <w:rPr>
          <w:color w:val="231F20"/>
          <w:sz w:val="16"/>
        </w:rPr>
        <w:t>від 21.05.2014 р. № 360.</w:t>
      </w:r>
    </w:p>
    <w:p w14:paraId="14BA55DB" w14:textId="77777777" w:rsidR="00DE575E" w:rsidRDefault="00DE575E">
      <w:pPr>
        <w:pStyle w:val="BodyText"/>
        <w:spacing w:before="5"/>
        <w:rPr>
          <w:sz w:val="12"/>
        </w:rPr>
      </w:pPr>
    </w:p>
    <w:p w14:paraId="4B7C618A" w14:textId="77777777" w:rsidR="00DE575E" w:rsidRDefault="002E7560">
      <w:pPr>
        <w:spacing w:before="91"/>
        <w:ind w:left="533"/>
        <w:rPr>
          <w:rFonts w:ascii="Times New Roman"/>
          <w:sz w:val="20"/>
        </w:rPr>
      </w:pPr>
      <w:r>
        <w:rPr>
          <w:rFonts w:ascii="Times New Roman"/>
          <w:color w:val="231F20"/>
          <w:sz w:val="20"/>
        </w:rPr>
        <w:t>88</w:t>
      </w:r>
    </w:p>
    <w:p w14:paraId="7DB6C0B3" w14:textId="77777777" w:rsidR="00DE575E" w:rsidRDefault="00DE575E">
      <w:pPr>
        <w:rPr>
          <w:rFonts w:ascii="Times New Roman"/>
          <w:sz w:val="20"/>
        </w:rPr>
        <w:sectPr w:rsidR="00DE575E">
          <w:pgSz w:w="8510" w:h="12760"/>
          <w:pgMar w:top="660" w:right="720" w:bottom="280" w:left="600" w:header="720" w:footer="720" w:gutter="0"/>
          <w:cols w:space="720"/>
        </w:sectPr>
      </w:pPr>
    </w:p>
    <w:p w14:paraId="670B7D80"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3EDA75AF" w14:textId="3920CD0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099A177" wp14:editId="009A439F">
                <wp:extent cx="4140200" cy="6350"/>
                <wp:effectExtent l="0" t="0" r="12700" b="6350"/>
                <wp:docPr id="1180"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81" name="Line 118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BAE324" id="Group_x0020_117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gaZTggAIAAJwFAAAO&#10;AAAAAAAAAAAAAAAAACwCAABkcnMvZTJvRG9jLnhtbFBLAQItABQABgAIAAAAIQBMp7CQ2QAAAAMB&#10;AAAPAAAAAAAAAAAAAAAAANgEAABkcnMvZG93bnJldi54bWxQSwUGAAAAAAQABADzAAAA3gUAAAAA&#10;">
                <v:line id="Line_x0020_118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jn28QAAADdAAAADwAAAGRycy9kb3ducmV2LnhtbERPzWrCQBC+F/oOyxR6KbpJBZHoKkUQ&#10;xINW4wOM2TEJ3Z2N2dWkffquIHibj+93ZoveGnGj1teOFaTDBARx4XTNpYJjvhpMQPiArNE4JgW/&#10;5GExf32ZYaZdx3u6HUIpYgj7DBVUITSZlL6oyKIfuoY4cmfXWgwRtqXULXYx3Br5mSRjabHm2FBh&#10;Q8uKip/D1SrILx/BfO82pst3p5E8Xbajv+tWqfe3/msKIlAfnuKHe63j/HSSwv2beIK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OfbxAAAAN0AAAAPAAAAAAAAAAAA&#10;AAAAAKECAABkcnMvZG93bnJldi54bWxQSwUGAAAAAAQABAD5AAAAkgMAAAAA&#10;" strokecolor="#231f20" strokeweight=".5pt"/>
                <w10:anchorlock/>
              </v:group>
            </w:pict>
          </mc:Fallback>
        </mc:AlternateContent>
      </w:r>
    </w:p>
    <w:p w14:paraId="5DE1A0C6" w14:textId="77777777" w:rsidR="00DE575E" w:rsidRDefault="00DE575E">
      <w:pPr>
        <w:pStyle w:val="BodyText"/>
        <w:spacing w:before="3"/>
        <w:rPr>
          <w:rFonts w:ascii="AdonisC"/>
          <w:i/>
          <w:sz w:val="12"/>
        </w:rPr>
      </w:pPr>
    </w:p>
    <w:p w14:paraId="33E1C2D8" w14:textId="77777777" w:rsidR="00DE575E" w:rsidRDefault="002E7560">
      <w:pPr>
        <w:pStyle w:val="BodyText"/>
        <w:spacing w:before="100" w:line="252" w:lineRule="auto"/>
        <w:ind w:left="250" w:right="409"/>
        <w:jc w:val="both"/>
      </w:pPr>
      <w:r>
        <w:rPr>
          <w:color w:val="231F20"/>
        </w:rPr>
        <w:t xml:space="preserve">громади. </w:t>
      </w:r>
      <w:r>
        <w:rPr>
          <w:color w:val="231F20"/>
          <w:spacing w:val="-4"/>
        </w:rPr>
        <w:t xml:space="preserve">Тобто </w:t>
      </w:r>
      <w:r>
        <w:rPr>
          <w:color w:val="231F20"/>
        </w:rPr>
        <w:t xml:space="preserve">з самого початку визначається коло його публічних обов’язків. Однак виконання більшості з них передбачає контакт      і взаємодію уповноваженого </w:t>
      </w:r>
      <w:r>
        <w:rPr>
          <w:color w:val="231F20"/>
          <w:spacing w:val="-3"/>
        </w:rPr>
        <w:t xml:space="preserve">суб’єкта </w:t>
      </w:r>
      <w:r>
        <w:rPr>
          <w:color w:val="231F20"/>
        </w:rPr>
        <w:t xml:space="preserve">з іншими особами, перед усім приватними. </w:t>
      </w:r>
      <w:r>
        <w:rPr>
          <w:color w:val="231F20"/>
          <w:spacing w:val="-5"/>
        </w:rPr>
        <w:t xml:space="preserve">Тому </w:t>
      </w:r>
      <w:r>
        <w:rPr>
          <w:color w:val="231F20"/>
          <w:spacing w:val="-3"/>
        </w:rPr>
        <w:t>суб’</w:t>
      </w:r>
      <w:r>
        <w:rPr>
          <w:color w:val="231F20"/>
          <w:spacing w:val="-3"/>
        </w:rPr>
        <w:t xml:space="preserve">єкту </w:t>
      </w:r>
      <w:r>
        <w:rPr>
          <w:color w:val="231F20"/>
        </w:rPr>
        <w:t>публічної адміністрації надаються права вимагати від таких осіб виконання покладених на них обов’язків, дотримуватися</w:t>
      </w:r>
      <w:r>
        <w:rPr>
          <w:color w:val="231F20"/>
          <w:spacing w:val="-7"/>
        </w:rPr>
        <w:t xml:space="preserve"> </w:t>
      </w:r>
      <w:r>
        <w:rPr>
          <w:color w:val="231F20"/>
        </w:rPr>
        <w:t>належної</w:t>
      </w:r>
      <w:r>
        <w:rPr>
          <w:color w:val="231F20"/>
          <w:spacing w:val="-7"/>
        </w:rPr>
        <w:t xml:space="preserve"> </w:t>
      </w:r>
      <w:r>
        <w:rPr>
          <w:color w:val="231F20"/>
        </w:rPr>
        <w:t>поведінки.</w:t>
      </w:r>
      <w:r>
        <w:rPr>
          <w:color w:val="231F20"/>
          <w:spacing w:val="-7"/>
        </w:rPr>
        <w:t xml:space="preserve"> </w:t>
      </w:r>
      <w:r>
        <w:rPr>
          <w:color w:val="231F20"/>
        </w:rPr>
        <w:t>При</w:t>
      </w:r>
      <w:r>
        <w:rPr>
          <w:color w:val="231F20"/>
          <w:spacing w:val="-7"/>
        </w:rPr>
        <w:t xml:space="preserve"> </w:t>
      </w:r>
      <w:r>
        <w:rPr>
          <w:color w:val="231F20"/>
        </w:rPr>
        <w:t>цьому</w:t>
      </w:r>
      <w:r>
        <w:rPr>
          <w:color w:val="231F20"/>
          <w:spacing w:val="-7"/>
        </w:rPr>
        <w:t xml:space="preserve"> </w:t>
      </w:r>
      <w:r>
        <w:rPr>
          <w:color w:val="231F20"/>
        </w:rPr>
        <w:t>реалізація</w:t>
      </w:r>
      <w:r>
        <w:rPr>
          <w:color w:val="231F20"/>
          <w:spacing w:val="-7"/>
        </w:rPr>
        <w:t xml:space="preserve"> </w:t>
      </w:r>
      <w:r>
        <w:rPr>
          <w:color w:val="231F20"/>
        </w:rPr>
        <w:t xml:space="preserve">обов’язку без використання права для </w:t>
      </w:r>
      <w:r>
        <w:rPr>
          <w:color w:val="231F20"/>
          <w:spacing w:val="-3"/>
        </w:rPr>
        <w:t xml:space="preserve">суб’єкта  </w:t>
      </w:r>
      <w:r>
        <w:rPr>
          <w:color w:val="231F20"/>
        </w:rPr>
        <w:t>публічного адміністрування   є майже неможлив</w:t>
      </w:r>
      <w:r>
        <w:rPr>
          <w:color w:val="231F20"/>
        </w:rPr>
        <w:t>им. А у своєму поєднанні право та обов’язок</w:t>
      </w:r>
      <w:r>
        <w:rPr>
          <w:color w:val="231F20"/>
          <w:spacing w:val="-29"/>
        </w:rPr>
        <w:t xml:space="preserve"> </w:t>
      </w:r>
      <w:r>
        <w:rPr>
          <w:color w:val="231F20"/>
        </w:rPr>
        <w:t>скла- дають адміністративне</w:t>
      </w:r>
      <w:r>
        <w:rPr>
          <w:color w:val="231F20"/>
          <w:spacing w:val="-3"/>
        </w:rPr>
        <w:t xml:space="preserve"> </w:t>
      </w:r>
      <w:r>
        <w:rPr>
          <w:color w:val="231F20"/>
        </w:rPr>
        <w:t>повноваження.</w:t>
      </w:r>
    </w:p>
    <w:p w14:paraId="76FC960F" w14:textId="77777777" w:rsidR="00DE575E" w:rsidRDefault="002E7560">
      <w:pPr>
        <w:spacing w:before="103" w:line="244" w:lineRule="auto"/>
        <w:ind w:left="533" w:right="411" w:firstLine="283"/>
        <w:jc w:val="both"/>
        <w:rPr>
          <w:i/>
          <w:sz w:val="18"/>
        </w:rPr>
      </w:pPr>
      <w:r>
        <w:rPr>
          <w:i/>
          <w:color w:val="231F20"/>
          <w:sz w:val="18"/>
          <w:u w:val="single" w:color="231F20"/>
        </w:rPr>
        <w:t>Приклад</w:t>
      </w:r>
      <w:r>
        <w:rPr>
          <w:i/>
          <w:color w:val="231F20"/>
          <w:sz w:val="18"/>
        </w:rPr>
        <w:t>: Міністерство охорони здоров’я України зобов’язане видавати ліцензії</w:t>
      </w:r>
      <w:r>
        <w:rPr>
          <w:i/>
          <w:color w:val="231F20"/>
          <w:spacing w:val="-8"/>
          <w:sz w:val="18"/>
        </w:rPr>
        <w:t xml:space="preserve"> </w:t>
      </w:r>
      <w:r>
        <w:rPr>
          <w:i/>
          <w:color w:val="231F20"/>
          <w:sz w:val="18"/>
        </w:rPr>
        <w:t>на</w:t>
      </w:r>
      <w:r>
        <w:rPr>
          <w:i/>
          <w:color w:val="231F20"/>
          <w:spacing w:val="-8"/>
          <w:sz w:val="18"/>
        </w:rPr>
        <w:t xml:space="preserve"> </w:t>
      </w:r>
      <w:r>
        <w:rPr>
          <w:i/>
          <w:color w:val="231F20"/>
          <w:sz w:val="18"/>
        </w:rPr>
        <w:t>здійснення</w:t>
      </w:r>
      <w:r>
        <w:rPr>
          <w:i/>
          <w:color w:val="231F20"/>
          <w:spacing w:val="-8"/>
          <w:sz w:val="18"/>
        </w:rPr>
        <w:t xml:space="preserve"> </w:t>
      </w:r>
      <w:r>
        <w:rPr>
          <w:i/>
          <w:color w:val="231F20"/>
          <w:sz w:val="18"/>
        </w:rPr>
        <w:t>медичної</w:t>
      </w:r>
      <w:r>
        <w:rPr>
          <w:i/>
          <w:color w:val="231F20"/>
          <w:spacing w:val="-7"/>
          <w:sz w:val="18"/>
        </w:rPr>
        <w:t xml:space="preserve"> </w:t>
      </w:r>
      <w:r>
        <w:rPr>
          <w:i/>
          <w:color w:val="231F20"/>
          <w:sz w:val="18"/>
        </w:rPr>
        <w:t>практики</w:t>
      </w:r>
      <w:r>
        <w:rPr>
          <w:i/>
          <w:color w:val="231F20"/>
          <w:spacing w:val="-7"/>
          <w:sz w:val="18"/>
        </w:rPr>
        <w:t xml:space="preserve"> </w:t>
      </w:r>
      <w:r>
        <w:rPr>
          <w:i/>
          <w:color w:val="231F20"/>
          <w:sz w:val="18"/>
        </w:rPr>
        <w:t>та</w:t>
      </w:r>
      <w:r>
        <w:rPr>
          <w:i/>
          <w:color w:val="231F20"/>
          <w:spacing w:val="-8"/>
          <w:sz w:val="18"/>
        </w:rPr>
        <w:t xml:space="preserve"> </w:t>
      </w:r>
      <w:r>
        <w:rPr>
          <w:i/>
          <w:color w:val="231F20"/>
          <w:sz w:val="18"/>
        </w:rPr>
        <w:t>вести</w:t>
      </w:r>
      <w:r>
        <w:rPr>
          <w:i/>
          <w:color w:val="231F20"/>
          <w:spacing w:val="-8"/>
          <w:sz w:val="18"/>
        </w:rPr>
        <w:t xml:space="preserve"> </w:t>
      </w:r>
      <w:r>
        <w:rPr>
          <w:i/>
          <w:color w:val="231F20"/>
          <w:sz w:val="18"/>
        </w:rPr>
        <w:t>реєстр</w:t>
      </w:r>
      <w:r>
        <w:rPr>
          <w:i/>
          <w:color w:val="231F20"/>
          <w:spacing w:val="-8"/>
          <w:sz w:val="18"/>
        </w:rPr>
        <w:t xml:space="preserve"> </w:t>
      </w:r>
      <w:r>
        <w:rPr>
          <w:i/>
          <w:color w:val="231F20"/>
          <w:sz w:val="18"/>
        </w:rPr>
        <w:t>осіб,</w:t>
      </w:r>
      <w:r>
        <w:rPr>
          <w:i/>
          <w:color w:val="231F20"/>
          <w:spacing w:val="-8"/>
          <w:sz w:val="18"/>
        </w:rPr>
        <w:t xml:space="preserve"> </w:t>
      </w:r>
      <w:r>
        <w:rPr>
          <w:i/>
          <w:color w:val="231F20"/>
          <w:sz w:val="18"/>
        </w:rPr>
        <w:t>що</w:t>
      </w:r>
      <w:r>
        <w:rPr>
          <w:i/>
          <w:color w:val="231F20"/>
          <w:spacing w:val="-8"/>
          <w:sz w:val="18"/>
        </w:rPr>
        <w:t xml:space="preserve"> </w:t>
      </w:r>
      <w:r>
        <w:rPr>
          <w:i/>
          <w:color w:val="231F20"/>
          <w:sz w:val="18"/>
        </w:rPr>
        <w:t>отримали такі ліцензії, також у нього є право вимагати від претендентів на ліцензію подання визначеного переліку документів, сплати адміністративного збору, тощо. Разом ці права та обов’язки становлять собою повноваження з ліцен- зування медичної</w:t>
      </w:r>
      <w:r>
        <w:rPr>
          <w:i/>
          <w:color w:val="231F20"/>
          <w:spacing w:val="-3"/>
          <w:sz w:val="18"/>
        </w:rPr>
        <w:t xml:space="preserve"> </w:t>
      </w:r>
      <w:r>
        <w:rPr>
          <w:i/>
          <w:color w:val="231F20"/>
          <w:sz w:val="18"/>
        </w:rPr>
        <w:t>практики.</w:t>
      </w:r>
    </w:p>
    <w:p w14:paraId="5315A320" w14:textId="77777777" w:rsidR="00DE575E" w:rsidRDefault="002E7560">
      <w:pPr>
        <w:pStyle w:val="BodyText"/>
        <w:spacing w:before="133" w:line="252" w:lineRule="auto"/>
        <w:ind w:left="250" w:right="411" w:firstLine="283"/>
        <w:jc w:val="both"/>
      </w:pPr>
      <w:r>
        <w:rPr>
          <w:color w:val="231F20"/>
        </w:rPr>
        <w:t xml:space="preserve">Повноваження </w:t>
      </w:r>
      <w:r>
        <w:rPr>
          <w:color w:val="231F20"/>
          <w:spacing w:val="-3"/>
        </w:rPr>
        <w:t xml:space="preserve">суб’єктів </w:t>
      </w:r>
      <w:r>
        <w:rPr>
          <w:color w:val="231F20"/>
        </w:rPr>
        <w:t xml:space="preserve">публічної адміністрації прямо згаду- ються в Конституції </w:t>
      </w:r>
      <w:r>
        <w:rPr>
          <w:color w:val="231F20"/>
          <w:spacing w:val="-3"/>
        </w:rPr>
        <w:t xml:space="preserve">України. </w:t>
      </w:r>
      <w:r>
        <w:rPr>
          <w:color w:val="231F20"/>
        </w:rPr>
        <w:t>Частина 2 статті 19 Основного Закону зазначає,</w:t>
      </w:r>
      <w:r>
        <w:rPr>
          <w:color w:val="231F20"/>
          <w:spacing w:val="-9"/>
        </w:rPr>
        <w:t xml:space="preserve"> </w:t>
      </w:r>
      <w:r>
        <w:rPr>
          <w:color w:val="231F20"/>
        </w:rPr>
        <w:t>що</w:t>
      </w:r>
      <w:r>
        <w:rPr>
          <w:color w:val="231F20"/>
          <w:spacing w:val="-9"/>
        </w:rPr>
        <w:t xml:space="preserve"> </w:t>
      </w:r>
      <w:r>
        <w:rPr>
          <w:color w:val="231F20"/>
        </w:rPr>
        <w:t>органи</w:t>
      </w:r>
      <w:r>
        <w:rPr>
          <w:color w:val="231F20"/>
          <w:spacing w:val="-9"/>
        </w:rPr>
        <w:t xml:space="preserve"> </w:t>
      </w:r>
      <w:r>
        <w:rPr>
          <w:color w:val="231F20"/>
        </w:rPr>
        <w:t>державної</w:t>
      </w:r>
      <w:r>
        <w:rPr>
          <w:color w:val="231F20"/>
          <w:spacing w:val="-9"/>
        </w:rPr>
        <w:t xml:space="preserve"> </w:t>
      </w:r>
      <w:r>
        <w:rPr>
          <w:color w:val="231F20"/>
        </w:rPr>
        <w:t>влади</w:t>
      </w:r>
      <w:r>
        <w:rPr>
          <w:color w:val="231F20"/>
          <w:spacing w:val="-9"/>
        </w:rPr>
        <w:t xml:space="preserve"> </w:t>
      </w:r>
      <w:r>
        <w:rPr>
          <w:color w:val="231F20"/>
        </w:rPr>
        <w:t>й</w:t>
      </w:r>
      <w:r>
        <w:rPr>
          <w:color w:val="231F20"/>
          <w:spacing w:val="-9"/>
        </w:rPr>
        <w:t xml:space="preserve"> </w:t>
      </w:r>
      <w:r>
        <w:rPr>
          <w:color w:val="231F20"/>
        </w:rPr>
        <w:t>органи</w:t>
      </w:r>
      <w:r>
        <w:rPr>
          <w:color w:val="231F20"/>
          <w:spacing w:val="-9"/>
        </w:rPr>
        <w:t xml:space="preserve"> </w:t>
      </w:r>
      <w:r>
        <w:rPr>
          <w:color w:val="231F20"/>
        </w:rPr>
        <w:t>місцевого</w:t>
      </w:r>
      <w:r>
        <w:rPr>
          <w:color w:val="231F20"/>
          <w:spacing w:val="-9"/>
        </w:rPr>
        <w:t xml:space="preserve"> </w:t>
      </w:r>
      <w:r>
        <w:rPr>
          <w:color w:val="231F20"/>
        </w:rPr>
        <w:t xml:space="preserve">самовряду- вання, їх посадові особи зобов’язані діяти лише на підставі, </w:t>
      </w:r>
      <w:r>
        <w:rPr>
          <w:i/>
          <w:color w:val="231F20"/>
        </w:rPr>
        <w:t xml:space="preserve">у </w:t>
      </w:r>
      <w:r>
        <w:rPr>
          <w:i/>
          <w:color w:val="231F20"/>
        </w:rPr>
        <w:t xml:space="preserve">межах повноважень </w:t>
      </w:r>
      <w:r>
        <w:rPr>
          <w:color w:val="231F20"/>
        </w:rPr>
        <w:t xml:space="preserve">та у спосіб, що передбачений Конституцією та зако- нами </w:t>
      </w:r>
      <w:r>
        <w:rPr>
          <w:color w:val="231F20"/>
          <w:spacing w:val="-3"/>
        </w:rPr>
        <w:t>України.</w:t>
      </w:r>
    </w:p>
    <w:p w14:paraId="001FEF33" w14:textId="77777777" w:rsidR="00DE575E" w:rsidRDefault="002E7560">
      <w:pPr>
        <w:pStyle w:val="BodyText"/>
        <w:spacing w:before="3"/>
        <w:ind w:left="533"/>
      </w:pPr>
      <w:r>
        <w:rPr>
          <w:color w:val="231F20"/>
        </w:rPr>
        <w:t>З цієї норми можна зробити такі висновки:</w:t>
      </w:r>
    </w:p>
    <w:p w14:paraId="64283292" w14:textId="77777777" w:rsidR="00DE575E" w:rsidRDefault="002E7560">
      <w:pPr>
        <w:pStyle w:val="ListParagraph"/>
        <w:numPr>
          <w:ilvl w:val="0"/>
          <w:numId w:val="270"/>
        </w:numPr>
        <w:tabs>
          <w:tab w:val="left" w:pos="818"/>
        </w:tabs>
        <w:spacing w:before="12" w:line="252" w:lineRule="auto"/>
        <w:ind w:right="411" w:firstLine="283"/>
        <w:jc w:val="both"/>
        <w:rPr>
          <w:sz w:val="21"/>
        </w:rPr>
      </w:pPr>
      <w:r>
        <w:rPr>
          <w:color w:val="231F20"/>
          <w:sz w:val="21"/>
        </w:rPr>
        <w:t xml:space="preserve">повноваження будь-якого </w:t>
      </w:r>
      <w:r>
        <w:rPr>
          <w:color w:val="231F20"/>
          <w:spacing w:val="-3"/>
          <w:sz w:val="21"/>
        </w:rPr>
        <w:t xml:space="preserve">суб’єкта </w:t>
      </w:r>
      <w:r>
        <w:rPr>
          <w:color w:val="231F20"/>
          <w:sz w:val="21"/>
        </w:rPr>
        <w:t xml:space="preserve">публічного адміністру- вання мають бути нормативно закріплені. Вони мають прямо вста- новлюватись </w:t>
      </w:r>
      <w:r>
        <w:rPr>
          <w:color w:val="231F20"/>
          <w:sz w:val="21"/>
        </w:rPr>
        <w:t>законом або опосередковано спиратись на</w:t>
      </w:r>
      <w:r>
        <w:rPr>
          <w:color w:val="231F20"/>
          <w:spacing w:val="-7"/>
          <w:sz w:val="21"/>
        </w:rPr>
        <w:t xml:space="preserve"> </w:t>
      </w:r>
      <w:r>
        <w:rPr>
          <w:color w:val="231F20"/>
          <w:sz w:val="21"/>
        </w:rPr>
        <w:t>закон;</w:t>
      </w:r>
    </w:p>
    <w:p w14:paraId="7528E9F9" w14:textId="77777777" w:rsidR="00DE575E" w:rsidRDefault="002E7560">
      <w:pPr>
        <w:pStyle w:val="ListParagraph"/>
        <w:numPr>
          <w:ilvl w:val="0"/>
          <w:numId w:val="270"/>
        </w:numPr>
        <w:tabs>
          <w:tab w:val="left" w:pos="818"/>
        </w:tabs>
        <w:spacing w:before="2"/>
        <w:ind w:firstLine="283"/>
        <w:rPr>
          <w:sz w:val="21"/>
        </w:rPr>
      </w:pPr>
      <w:r>
        <w:rPr>
          <w:color w:val="231F20"/>
          <w:sz w:val="21"/>
        </w:rPr>
        <w:t>кожне</w:t>
      </w:r>
      <w:r>
        <w:rPr>
          <w:color w:val="231F20"/>
          <w:spacing w:val="-12"/>
          <w:sz w:val="21"/>
        </w:rPr>
        <w:t xml:space="preserve"> </w:t>
      </w:r>
      <w:r>
        <w:rPr>
          <w:color w:val="231F20"/>
          <w:sz w:val="21"/>
        </w:rPr>
        <w:t>повноваження</w:t>
      </w:r>
      <w:r>
        <w:rPr>
          <w:color w:val="231F20"/>
          <w:spacing w:val="-12"/>
          <w:sz w:val="21"/>
        </w:rPr>
        <w:t xml:space="preserve"> </w:t>
      </w:r>
      <w:r>
        <w:rPr>
          <w:color w:val="231F20"/>
          <w:sz w:val="21"/>
        </w:rPr>
        <w:t>має</w:t>
      </w:r>
      <w:r>
        <w:rPr>
          <w:color w:val="231F20"/>
          <w:spacing w:val="-12"/>
          <w:sz w:val="21"/>
        </w:rPr>
        <w:t xml:space="preserve"> </w:t>
      </w:r>
      <w:r>
        <w:rPr>
          <w:color w:val="231F20"/>
          <w:sz w:val="21"/>
        </w:rPr>
        <w:t>бути</w:t>
      </w:r>
      <w:r>
        <w:rPr>
          <w:color w:val="231F20"/>
          <w:spacing w:val="-12"/>
          <w:sz w:val="21"/>
        </w:rPr>
        <w:t xml:space="preserve"> </w:t>
      </w:r>
      <w:r>
        <w:rPr>
          <w:color w:val="231F20"/>
          <w:sz w:val="21"/>
        </w:rPr>
        <w:t>викладене</w:t>
      </w:r>
      <w:r>
        <w:rPr>
          <w:color w:val="231F20"/>
          <w:spacing w:val="-12"/>
          <w:sz w:val="21"/>
        </w:rPr>
        <w:t xml:space="preserve"> </w:t>
      </w:r>
      <w:r>
        <w:rPr>
          <w:color w:val="231F20"/>
          <w:sz w:val="21"/>
        </w:rPr>
        <w:t>чітко</w:t>
      </w:r>
      <w:r>
        <w:rPr>
          <w:color w:val="231F20"/>
          <w:spacing w:val="-12"/>
          <w:sz w:val="21"/>
        </w:rPr>
        <w:t xml:space="preserve"> </w:t>
      </w:r>
      <w:r>
        <w:rPr>
          <w:color w:val="231F20"/>
          <w:sz w:val="21"/>
        </w:rPr>
        <w:t>та</w:t>
      </w:r>
      <w:r>
        <w:rPr>
          <w:color w:val="231F20"/>
          <w:spacing w:val="-12"/>
          <w:sz w:val="21"/>
        </w:rPr>
        <w:t xml:space="preserve"> </w:t>
      </w:r>
      <w:r>
        <w:rPr>
          <w:color w:val="231F20"/>
          <w:sz w:val="21"/>
        </w:rPr>
        <w:t>однозначно;</w:t>
      </w:r>
    </w:p>
    <w:p w14:paraId="3DA4E301" w14:textId="77777777" w:rsidR="00DE575E" w:rsidRDefault="002E7560">
      <w:pPr>
        <w:pStyle w:val="ListParagraph"/>
        <w:numPr>
          <w:ilvl w:val="0"/>
          <w:numId w:val="270"/>
        </w:numPr>
        <w:tabs>
          <w:tab w:val="left" w:pos="818"/>
        </w:tabs>
        <w:spacing w:before="13" w:line="252" w:lineRule="auto"/>
        <w:ind w:right="411" w:firstLine="283"/>
        <w:jc w:val="both"/>
        <w:rPr>
          <w:sz w:val="21"/>
        </w:rPr>
      </w:pPr>
      <w:r>
        <w:rPr>
          <w:color w:val="231F20"/>
          <w:sz w:val="21"/>
        </w:rPr>
        <w:t>у нормативних актах має міститись вичерпний перелік</w:t>
      </w:r>
      <w:r>
        <w:rPr>
          <w:color w:val="231F20"/>
          <w:spacing w:val="-27"/>
          <w:sz w:val="21"/>
        </w:rPr>
        <w:t xml:space="preserve"> </w:t>
      </w:r>
      <w:r>
        <w:rPr>
          <w:color w:val="231F20"/>
          <w:sz w:val="21"/>
        </w:rPr>
        <w:t xml:space="preserve">повно- важень конкретного </w:t>
      </w:r>
      <w:r>
        <w:rPr>
          <w:color w:val="231F20"/>
          <w:spacing w:val="-3"/>
          <w:sz w:val="21"/>
        </w:rPr>
        <w:t xml:space="preserve">суб’єкта </w:t>
      </w:r>
      <w:r>
        <w:rPr>
          <w:color w:val="231F20"/>
          <w:sz w:val="21"/>
        </w:rPr>
        <w:t>публічного адміністрування. Непри- пустимою є ситуація, коли такий перелік закінчується словами «та інші» чи «тощо»;</w:t>
      </w:r>
    </w:p>
    <w:p w14:paraId="79A5666A" w14:textId="77777777" w:rsidR="00DE575E" w:rsidRDefault="002E7560">
      <w:pPr>
        <w:pStyle w:val="ListParagraph"/>
        <w:numPr>
          <w:ilvl w:val="0"/>
          <w:numId w:val="270"/>
        </w:numPr>
        <w:tabs>
          <w:tab w:val="left" w:pos="818"/>
        </w:tabs>
        <w:spacing w:before="2" w:line="252" w:lineRule="auto"/>
        <w:ind w:right="411" w:firstLine="283"/>
        <w:jc w:val="both"/>
        <w:rPr>
          <w:sz w:val="21"/>
        </w:rPr>
      </w:pPr>
      <w:r>
        <w:rPr>
          <w:color w:val="231F20"/>
          <w:sz w:val="21"/>
        </w:rPr>
        <w:t xml:space="preserve">владна діяльність </w:t>
      </w:r>
      <w:r>
        <w:rPr>
          <w:color w:val="231F20"/>
          <w:spacing w:val="-3"/>
          <w:sz w:val="21"/>
        </w:rPr>
        <w:t xml:space="preserve">суб’єкта </w:t>
      </w:r>
      <w:r>
        <w:rPr>
          <w:color w:val="231F20"/>
          <w:sz w:val="21"/>
        </w:rPr>
        <w:t xml:space="preserve">публічного адміністрування поза межами  встановлених  для  нього  повноважень  є  протиправною    і суперечить приписам згаданої статті Конституції </w:t>
      </w:r>
      <w:r>
        <w:rPr>
          <w:color w:val="231F20"/>
          <w:spacing w:val="-3"/>
          <w:sz w:val="21"/>
        </w:rPr>
        <w:t xml:space="preserve">України </w:t>
      </w:r>
      <w:r>
        <w:rPr>
          <w:color w:val="231F20"/>
          <w:sz w:val="21"/>
        </w:rPr>
        <w:t>та прин- ципу верховенства</w:t>
      </w:r>
      <w:r>
        <w:rPr>
          <w:color w:val="231F20"/>
          <w:spacing w:val="-1"/>
          <w:sz w:val="21"/>
        </w:rPr>
        <w:t xml:space="preserve"> </w:t>
      </w:r>
      <w:r>
        <w:rPr>
          <w:color w:val="231F20"/>
          <w:sz w:val="21"/>
        </w:rPr>
        <w:t>права.</w:t>
      </w:r>
    </w:p>
    <w:p w14:paraId="5956F488" w14:textId="77777777" w:rsidR="00DE575E" w:rsidRDefault="002E7560">
      <w:pPr>
        <w:pStyle w:val="BodyText"/>
        <w:spacing w:before="2" w:line="252" w:lineRule="auto"/>
        <w:ind w:left="250" w:right="411" w:firstLine="283"/>
        <w:jc w:val="both"/>
      </w:pPr>
      <w:r>
        <w:rPr>
          <w:color w:val="231F20"/>
        </w:rPr>
        <w:t>У</w:t>
      </w:r>
      <w:r>
        <w:rPr>
          <w:color w:val="231F20"/>
          <w:spacing w:val="-10"/>
        </w:rPr>
        <w:t xml:space="preserve"> </w:t>
      </w:r>
      <w:r>
        <w:rPr>
          <w:color w:val="231F20"/>
        </w:rPr>
        <w:t>компетенційних</w:t>
      </w:r>
      <w:r>
        <w:rPr>
          <w:color w:val="231F20"/>
          <w:spacing w:val="-9"/>
        </w:rPr>
        <w:t xml:space="preserve"> </w:t>
      </w:r>
      <w:r>
        <w:rPr>
          <w:color w:val="231F20"/>
        </w:rPr>
        <w:t>актах,</w:t>
      </w:r>
      <w:r>
        <w:rPr>
          <w:color w:val="231F20"/>
          <w:spacing w:val="-9"/>
        </w:rPr>
        <w:t xml:space="preserve"> </w:t>
      </w:r>
      <w:r>
        <w:rPr>
          <w:color w:val="231F20"/>
        </w:rPr>
        <w:t>особливо</w:t>
      </w:r>
      <w:r>
        <w:rPr>
          <w:color w:val="231F20"/>
          <w:spacing w:val="-9"/>
        </w:rPr>
        <w:t xml:space="preserve"> </w:t>
      </w:r>
      <w:r>
        <w:rPr>
          <w:color w:val="231F20"/>
        </w:rPr>
        <w:t>підзаконних,</w:t>
      </w:r>
      <w:r>
        <w:rPr>
          <w:color w:val="231F20"/>
          <w:spacing w:val="-9"/>
        </w:rPr>
        <w:t xml:space="preserve"> </w:t>
      </w:r>
      <w:r>
        <w:rPr>
          <w:color w:val="231F20"/>
        </w:rPr>
        <w:t>термін</w:t>
      </w:r>
      <w:r>
        <w:rPr>
          <w:color w:val="231F20"/>
          <w:spacing w:val="-10"/>
        </w:rPr>
        <w:t xml:space="preserve"> </w:t>
      </w:r>
      <w:r>
        <w:rPr>
          <w:color w:val="231F20"/>
        </w:rPr>
        <w:t>«повнова- жен</w:t>
      </w:r>
      <w:r>
        <w:rPr>
          <w:color w:val="231F20"/>
        </w:rPr>
        <w:t>ня»</w:t>
      </w:r>
      <w:r>
        <w:rPr>
          <w:color w:val="231F20"/>
          <w:spacing w:val="-8"/>
        </w:rPr>
        <w:t xml:space="preserve"> </w:t>
      </w:r>
      <w:r>
        <w:rPr>
          <w:color w:val="231F20"/>
        </w:rPr>
        <w:t>застосовується</w:t>
      </w:r>
      <w:r>
        <w:rPr>
          <w:color w:val="231F20"/>
          <w:spacing w:val="-8"/>
        </w:rPr>
        <w:t xml:space="preserve"> </w:t>
      </w:r>
      <w:r>
        <w:rPr>
          <w:color w:val="231F20"/>
        </w:rPr>
        <w:t>не</w:t>
      </w:r>
      <w:r>
        <w:rPr>
          <w:color w:val="231F20"/>
          <w:spacing w:val="-8"/>
        </w:rPr>
        <w:t xml:space="preserve"> </w:t>
      </w:r>
      <w:r>
        <w:rPr>
          <w:color w:val="231F20"/>
        </w:rPr>
        <w:t>завжди.</w:t>
      </w:r>
      <w:r>
        <w:rPr>
          <w:color w:val="231F20"/>
          <w:spacing w:val="-8"/>
        </w:rPr>
        <w:t xml:space="preserve"> </w:t>
      </w:r>
      <w:r>
        <w:rPr>
          <w:color w:val="231F20"/>
        </w:rPr>
        <w:t>Часто</w:t>
      </w:r>
      <w:r>
        <w:rPr>
          <w:color w:val="231F20"/>
          <w:spacing w:val="-8"/>
        </w:rPr>
        <w:t xml:space="preserve"> </w:t>
      </w:r>
      <w:r>
        <w:rPr>
          <w:color w:val="231F20"/>
        </w:rPr>
        <w:t>його</w:t>
      </w:r>
      <w:r>
        <w:rPr>
          <w:color w:val="231F20"/>
          <w:spacing w:val="-8"/>
        </w:rPr>
        <w:t xml:space="preserve"> </w:t>
      </w:r>
      <w:r>
        <w:rPr>
          <w:color w:val="231F20"/>
        </w:rPr>
        <w:t>замінюють</w:t>
      </w:r>
      <w:r>
        <w:rPr>
          <w:color w:val="231F20"/>
          <w:spacing w:val="-8"/>
        </w:rPr>
        <w:t xml:space="preserve"> </w:t>
      </w:r>
      <w:r>
        <w:rPr>
          <w:color w:val="231F20"/>
        </w:rPr>
        <w:t>складними конструкціями на кшталт «на виконання своїх завдань орган здійс- нює» або «до компетенції органу належить». А іноді йдеться і про права державних</w:t>
      </w:r>
      <w:r>
        <w:rPr>
          <w:color w:val="231F20"/>
          <w:spacing w:val="-2"/>
        </w:rPr>
        <w:t xml:space="preserve"> </w:t>
      </w:r>
      <w:r>
        <w:rPr>
          <w:color w:val="231F20"/>
        </w:rPr>
        <w:t>органів.</w:t>
      </w:r>
    </w:p>
    <w:p w14:paraId="77EFE157" w14:textId="77777777" w:rsidR="00DE575E" w:rsidRDefault="00DE575E">
      <w:pPr>
        <w:pStyle w:val="BodyText"/>
        <w:spacing w:before="2"/>
        <w:rPr>
          <w:sz w:val="15"/>
        </w:rPr>
      </w:pPr>
    </w:p>
    <w:p w14:paraId="48A4C1F0" w14:textId="77777777" w:rsidR="00DE575E" w:rsidRDefault="002E7560">
      <w:pPr>
        <w:spacing w:before="92"/>
        <w:ind w:right="411"/>
        <w:jc w:val="right"/>
        <w:rPr>
          <w:rFonts w:ascii="Times New Roman"/>
          <w:sz w:val="20"/>
        </w:rPr>
      </w:pPr>
      <w:r>
        <w:rPr>
          <w:rFonts w:ascii="Times New Roman"/>
          <w:color w:val="231F20"/>
          <w:w w:val="90"/>
          <w:sz w:val="20"/>
        </w:rPr>
        <w:t>89</w:t>
      </w:r>
    </w:p>
    <w:p w14:paraId="73B0ED6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591553F"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w:t>
      </w:r>
      <w:r>
        <w:rPr>
          <w:rFonts w:ascii="AdonisC" w:hAnsi="AdonisC"/>
          <w:i/>
          <w:color w:val="231F20"/>
          <w:sz w:val="18"/>
        </w:rPr>
        <w:t>України. Повний курс</w:t>
      </w:r>
    </w:p>
    <w:p w14:paraId="13804C66" w14:textId="470C715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03C6A51" wp14:editId="55FF87E0">
                <wp:extent cx="4140200" cy="6350"/>
                <wp:effectExtent l="0" t="0" r="12700" b="6350"/>
                <wp:docPr id="1178"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79" name="Line 11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CB7E8B" id="Group_x0020_11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iMX3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3YjF9/AgAAnAUAAA4A&#10;AAAAAAAAAAAAAAAALAIAAGRycy9lMm9Eb2MueG1sUEsBAi0AFAAGAAgAAAAhAEynsJDZAAAAAwEA&#10;AA8AAAAAAAAAAAAAAAAA1wQAAGRycy9kb3ducmV2LnhtbFBLBQYAAAAABAAEAPMAAADdBQAAAAA=&#10;">
                <v:line id="Line_x0020_11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1ub+sUAAADdAAAADwAAAGRycy9kb3ducmV2LnhtbERPzWrCQBC+C77DMkIvRTdWqBpdRYRC&#10;6UFb4wOM2TEJ7s7G7GrSPn23UPA2H9/vLNedNeJOja8cKxiPEhDEudMVFwqO2dtwBsIHZI3GMSn4&#10;Jg/rVb+3xFS7lr/ofgiFiCHsU1RQhlCnUvq8JIt+5GriyJ1dYzFE2BRSN9jGcGvkS5K8SosVx4YS&#10;a9qWlF8ON6sguz4H87n/MG22P03k6bqb/Nx2Sj0Nus0CRKAuPMT/7ncd54+nc/j7Jp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1ub+sUAAADdAAAADwAAAAAAAAAA&#10;AAAAAAChAgAAZHJzL2Rvd25yZXYueG1sUEsFBgAAAAAEAAQA+QAAAJMDAAAAAA==&#10;" strokecolor="#231f20" strokeweight=".5pt"/>
                <w10:anchorlock/>
              </v:group>
            </w:pict>
          </mc:Fallback>
        </mc:AlternateContent>
      </w:r>
    </w:p>
    <w:p w14:paraId="3BFF97DB" w14:textId="77777777" w:rsidR="00DE575E" w:rsidRDefault="00DE575E">
      <w:pPr>
        <w:pStyle w:val="BodyText"/>
        <w:spacing w:before="7"/>
        <w:rPr>
          <w:rFonts w:ascii="AdonisC"/>
          <w:i/>
          <w:sz w:val="11"/>
        </w:rPr>
      </w:pPr>
    </w:p>
    <w:p w14:paraId="57718C3E" w14:textId="77777777" w:rsidR="00DE575E" w:rsidRDefault="002E7560">
      <w:pPr>
        <w:pStyle w:val="BodyText"/>
        <w:spacing w:before="101" w:line="252" w:lineRule="auto"/>
        <w:ind w:left="533" w:right="127" w:firstLine="283"/>
        <w:jc w:val="both"/>
      </w:pPr>
      <w:r>
        <w:rPr>
          <w:color w:val="231F20"/>
        </w:rPr>
        <w:t xml:space="preserve">Слід розуміти, що  реалізація  </w:t>
      </w:r>
      <w:r>
        <w:rPr>
          <w:color w:val="231F20"/>
          <w:spacing w:val="-3"/>
        </w:rPr>
        <w:t xml:space="preserve">суб’єктом  </w:t>
      </w:r>
      <w:r>
        <w:rPr>
          <w:color w:val="231F20"/>
        </w:rPr>
        <w:t>публічної  адміністра-  ції окремих прав у відриві від обов’язків руйнує саму ідею публіч- ного адміністрування як діяльності, спрямованої на реалізацію публічного інтересу. Кат</w:t>
      </w:r>
      <w:r>
        <w:rPr>
          <w:color w:val="231F20"/>
        </w:rPr>
        <w:t xml:space="preserve">егорія </w:t>
      </w:r>
      <w:r>
        <w:rPr>
          <w:color w:val="231F20"/>
          <w:spacing w:val="-3"/>
        </w:rPr>
        <w:t xml:space="preserve">«суб’єктивне </w:t>
      </w:r>
      <w:r>
        <w:rPr>
          <w:color w:val="231F20"/>
        </w:rPr>
        <w:t>право» тісно пов’язана з приватним інтересом, категорія ж «повноваження» – з інтересом публічним.</w:t>
      </w:r>
    </w:p>
    <w:p w14:paraId="3A1DFEA4" w14:textId="77777777" w:rsidR="00DE575E" w:rsidRDefault="002E7560">
      <w:pPr>
        <w:pStyle w:val="BodyText"/>
        <w:spacing w:before="3" w:line="252" w:lineRule="auto"/>
        <w:ind w:left="533" w:right="126" w:firstLine="283"/>
        <w:jc w:val="both"/>
      </w:pPr>
      <w:r>
        <w:rPr>
          <w:color w:val="231F20"/>
        </w:rPr>
        <w:t xml:space="preserve">Різні суб’єкти публічного адміністрування наділені різними повноваженнями, підбір яких зумовлений їх метою, завданнями, предметом відання </w:t>
      </w:r>
      <w:r>
        <w:rPr>
          <w:color w:val="231F20"/>
        </w:rPr>
        <w:t>та іншими чинниками.</w:t>
      </w:r>
    </w:p>
    <w:p w14:paraId="2BBEA46F" w14:textId="77777777" w:rsidR="00DE575E" w:rsidRDefault="002E7560">
      <w:pPr>
        <w:pStyle w:val="BodyText"/>
        <w:spacing w:before="1" w:line="252" w:lineRule="auto"/>
        <w:ind w:left="533" w:right="128" w:firstLine="283"/>
        <w:jc w:val="both"/>
      </w:pPr>
      <w:r>
        <w:rPr>
          <w:color w:val="231F20"/>
        </w:rPr>
        <w:t xml:space="preserve">З функціонального боку складники компетенції взаємодіють таким чином: </w:t>
      </w:r>
      <w:r>
        <w:rPr>
          <w:i/>
          <w:color w:val="231F20"/>
        </w:rPr>
        <w:t xml:space="preserve">предмет відання </w:t>
      </w:r>
      <w:r>
        <w:rPr>
          <w:color w:val="231F20"/>
        </w:rPr>
        <w:t xml:space="preserve">визначає коло питань, які підляга- ють вирішенню, </w:t>
      </w:r>
      <w:r>
        <w:rPr>
          <w:i/>
          <w:color w:val="231F20"/>
        </w:rPr>
        <w:t xml:space="preserve">завдання </w:t>
      </w:r>
      <w:r>
        <w:rPr>
          <w:color w:val="231F20"/>
        </w:rPr>
        <w:t xml:space="preserve">прогнозують бажаний результат, а </w:t>
      </w:r>
      <w:r>
        <w:rPr>
          <w:i/>
          <w:color w:val="231F20"/>
        </w:rPr>
        <w:t xml:space="preserve">повно- важення </w:t>
      </w:r>
      <w:r>
        <w:rPr>
          <w:color w:val="231F20"/>
        </w:rPr>
        <w:t>дають знаряддя, потрібні для досягнення такого резуль- тату. Чим ширший предмет відання і різноманітніше коло завдань, тим більше повноважень буде надано суб’єктові для їх вирішення.</w:t>
      </w:r>
    </w:p>
    <w:p w14:paraId="4BB6FB68" w14:textId="77777777" w:rsidR="00DE575E" w:rsidRDefault="002E7560">
      <w:pPr>
        <w:pStyle w:val="Heading6"/>
        <w:spacing w:before="3" w:line="252" w:lineRule="auto"/>
        <w:ind w:right="128"/>
        <w:jc w:val="both"/>
      </w:pPr>
      <w:r>
        <w:rPr>
          <w:color w:val="231F20"/>
        </w:rPr>
        <w:t xml:space="preserve">Отже, адміністративні повноваження – це взаємопов’язані </w:t>
      </w:r>
      <w:r>
        <w:rPr>
          <w:color w:val="231F20"/>
          <w:spacing w:val="-3"/>
        </w:rPr>
        <w:t>(об’єднані)</w:t>
      </w:r>
      <w:r>
        <w:rPr>
          <w:color w:val="231F20"/>
          <w:spacing w:val="-13"/>
        </w:rPr>
        <w:t xml:space="preserve"> </w:t>
      </w:r>
      <w:r>
        <w:rPr>
          <w:color w:val="231F20"/>
        </w:rPr>
        <w:t>адмін</w:t>
      </w:r>
      <w:r>
        <w:rPr>
          <w:color w:val="231F20"/>
        </w:rPr>
        <w:t>істративні</w:t>
      </w:r>
      <w:r>
        <w:rPr>
          <w:color w:val="231F20"/>
          <w:spacing w:val="-13"/>
        </w:rPr>
        <w:t xml:space="preserve"> </w:t>
      </w:r>
      <w:r>
        <w:rPr>
          <w:color w:val="231F20"/>
        </w:rPr>
        <w:t>обов’язки</w:t>
      </w:r>
      <w:r>
        <w:rPr>
          <w:color w:val="231F20"/>
          <w:spacing w:val="-13"/>
        </w:rPr>
        <w:t xml:space="preserve"> </w:t>
      </w:r>
      <w:r>
        <w:rPr>
          <w:color w:val="231F20"/>
        </w:rPr>
        <w:t>та</w:t>
      </w:r>
      <w:r>
        <w:rPr>
          <w:color w:val="231F20"/>
          <w:spacing w:val="-13"/>
        </w:rPr>
        <w:t xml:space="preserve"> </w:t>
      </w:r>
      <w:r>
        <w:rPr>
          <w:color w:val="231F20"/>
        </w:rPr>
        <w:t>права</w:t>
      </w:r>
      <w:r>
        <w:rPr>
          <w:color w:val="231F20"/>
          <w:spacing w:val="-13"/>
        </w:rPr>
        <w:t xml:space="preserve"> </w:t>
      </w:r>
      <w:r>
        <w:rPr>
          <w:color w:val="231F20"/>
          <w:spacing w:val="-3"/>
        </w:rPr>
        <w:t>суб’єкта</w:t>
      </w:r>
      <w:r>
        <w:rPr>
          <w:color w:val="231F20"/>
          <w:spacing w:val="-13"/>
        </w:rPr>
        <w:t xml:space="preserve"> </w:t>
      </w:r>
      <w:r>
        <w:rPr>
          <w:color w:val="231F20"/>
        </w:rPr>
        <w:t>публіч- ного адміністрування, надані йому законним чином і необхідні для досягнення поставлених перед ним</w:t>
      </w:r>
      <w:r>
        <w:rPr>
          <w:color w:val="231F20"/>
          <w:spacing w:val="-6"/>
        </w:rPr>
        <w:t xml:space="preserve"> </w:t>
      </w:r>
      <w:r>
        <w:rPr>
          <w:color w:val="231F20"/>
        </w:rPr>
        <w:t>завдань.</w:t>
      </w:r>
    </w:p>
    <w:p w14:paraId="45D7B0C1" w14:textId="77777777" w:rsidR="00DE575E" w:rsidRDefault="002E7560">
      <w:pPr>
        <w:spacing w:before="2" w:line="252" w:lineRule="auto"/>
        <w:ind w:left="533" w:right="128" w:firstLine="283"/>
        <w:jc w:val="both"/>
        <w:rPr>
          <w:sz w:val="21"/>
        </w:rPr>
      </w:pPr>
      <w:r>
        <w:rPr>
          <w:color w:val="231F20"/>
          <w:sz w:val="21"/>
        </w:rPr>
        <w:t>Адміністративні повноваження класифікують за низкою крите- ріїв. Так, залежно від завдання, на виконан</w:t>
      </w:r>
      <w:r>
        <w:rPr>
          <w:color w:val="231F20"/>
          <w:sz w:val="21"/>
        </w:rPr>
        <w:t xml:space="preserve">ня якого будуть спрямо- вані повноваження, їх можна розділити на </w:t>
      </w:r>
      <w:r>
        <w:rPr>
          <w:i/>
          <w:color w:val="231F20"/>
          <w:sz w:val="21"/>
        </w:rPr>
        <w:t>контрольні</w:t>
      </w:r>
      <w:r>
        <w:rPr>
          <w:color w:val="231F20"/>
          <w:sz w:val="21"/>
        </w:rPr>
        <w:t xml:space="preserve">, </w:t>
      </w:r>
      <w:r>
        <w:rPr>
          <w:i/>
          <w:color w:val="231F20"/>
          <w:sz w:val="21"/>
        </w:rPr>
        <w:t>координаці- йні</w:t>
      </w:r>
      <w:r>
        <w:rPr>
          <w:color w:val="231F20"/>
          <w:sz w:val="21"/>
        </w:rPr>
        <w:t xml:space="preserve">, </w:t>
      </w:r>
      <w:r>
        <w:rPr>
          <w:i/>
          <w:color w:val="231F20"/>
          <w:sz w:val="21"/>
        </w:rPr>
        <w:t>сервісні</w:t>
      </w:r>
      <w:r>
        <w:rPr>
          <w:color w:val="231F20"/>
          <w:sz w:val="21"/>
        </w:rPr>
        <w:t xml:space="preserve">, </w:t>
      </w:r>
      <w:r>
        <w:rPr>
          <w:i/>
          <w:color w:val="231F20"/>
          <w:sz w:val="21"/>
        </w:rPr>
        <w:t>юрисдикційні</w:t>
      </w:r>
      <w:r>
        <w:rPr>
          <w:color w:val="231F20"/>
          <w:sz w:val="21"/>
        </w:rPr>
        <w:t xml:space="preserve">, </w:t>
      </w:r>
      <w:r>
        <w:rPr>
          <w:i/>
          <w:color w:val="231F20"/>
          <w:sz w:val="21"/>
        </w:rPr>
        <w:t>регулятивні</w:t>
      </w:r>
      <w:r>
        <w:rPr>
          <w:color w:val="231F20"/>
          <w:sz w:val="21"/>
        </w:rPr>
        <w:t xml:space="preserve">, </w:t>
      </w:r>
      <w:r>
        <w:rPr>
          <w:i/>
          <w:color w:val="231F20"/>
          <w:sz w:val="21"/>
        </w:rPr>
        <w:t xml:space="preserve">інформаційні </w:t>
      </w:r>
      <w:r>
        <w:rPr>
          <w:color w:val="231F20"/>
          <w:sz w:val="21"/>
        </w:rPr>
        <w:t>тощо.</w:t>
      </w:r>
    </w:p>
    <w:p w14:paraId="7EA4AC22" w14:textId="77777777" w:rsidR="00DE575E" w:rsidRDefault="002E7560">
      <w:pPr>
        <w:spacing w:before="2" w:line="252" w:lineRule="auto"/>
        <w:ind w:left="533" w:right="128" w:firstLine="283"/>
        <w:jc w:val="both"/>
        <w:rPr>
          <w:sz w:val="21"/>
        </w:rPr>
      </w:pPr>
      <w:r>
        <w:rPr>
          <w:color w:val="231F20"/>
          <w:sz w:val="21"/>
        </w:rPr>
        <w:t xml:space="preserve">Залежно від місця органу публічного адміністрування, якому належать повноваження, в державній адміністрації їх можна розді- лити на </w:t>
      </w:r>
      <w:r>
        <w:rPr>
          <w:i/>
          <w:color w:val="231F20"/>
          <w:sz w:val="21"/>
        </w:rPr>
        <w:t>повноваження вищого органу виконавчої влади, повнова- ження центральних органів виконавчої влади, повноваження місце- вих</w:t>
      </w:r>
      <w:r>
        <w:rPr>
          <w:i/>
          <w:color w:val="231F20"/>
          <w:spacing w:val="-19"/>
          <w:sz w:val="21"/>
        </w:rPr>
        <w:t xml:space="preserve"> </w:t>
      </w:r>
      <w:r>
        <w:rPr>
          <w:i/>
          <w:color w:val="231F20"/>
          <w:sz w:val="21"/>
        </w:rPr>
        <w:t>ор</w:t>
      </w:r>
      <w:r>
        <w:rPr>
          <w:i/>
          <w:color w:val="231F20"/>
          <w:sz w:val="21"/>
        </w:rPr>
        <w:t>ганів</w:t>
      </w:r>
      <w:r>
        <w:rPr>
          <w:i/>
          <w:color w:val="231F20"/>
          <w:spacing w:val="-19"/>
          <w:sz w:val="21"/>
        </w:rPr>
        <w:t xml:space="preserve"> </w:t>
      </w:r>
      <w:r>
        <w:rPr>
          <w:i/>
          <w:color w:val="231F20"/>
          <w:sz w:val="21"/>
        </w:rPr>
        <w:t>виконавчої</w:t>
      </w:r>
      <w:r>
        <w:rPr>
          <w:i/>
          <w:color w:val="231F20"/>
          <w:spacing w:val="-19"/>
          <w:sz w:val="21"/>
        </w:rPr>
        <w:t xml:space="preserve"> </w:t>
      </w:r>
      <w:r>
        <w:rPr>
          <w:i/>
          <w:color w:val="231F20"/>
          <w:sz w:val="21"/>
        </w:rPr>
        <w:t>влади,</w:t>
      </w:r>
      <w:r>
        <w:rPr>
          <w:i/>
          <w:color w:val="231F20"/>
          <w:spacing w:val="-19"/>
          <w:sz w:val="21"/>
        </w:rPr>
        <w:t xml:space="preserve"> </w:t>
      </w:r>
      <w:r>
        <w:rPr>
          <w:i/>
          <w:color w:val="231F20"/>
          <w:sz w:val="21"/>
        </w:rPr>
        <w:t>повноваження</w:t>
      </w:r>
      <w:r>
        <w:rPr>
          <w:i/>
          <w:color w:val="231F20"/>
          <w:spacing w:val="-18"/>
          <w:sz w:val="21"/>
        </w:rPr>
        <w:t xml:space="preserve"> </w:t>
      </w:r>
      <w:r>
        <w:rPr>
          <w:i/>
          <w:color w:val="231F20"/>
          <w:sz w:val="21"/>
        </w:rPr>
        <w:t>інших</w:t>
      </w:r>
      <w:r>
        <w:rPr>
          <w:i/>
          <w:color w:val="231F20"/>
          <w:spacing w:val="-19"/>
          <w:sz w:val="21"/>
        </w:rPr>
        <w:t xml:space="preserve"> </w:t>
      </w:r>
      <w:r>
        <w:rPr>
          <w:i/>
          <w:color w:val="231F20"/>
          <w:sz w:val="21"/>
        </w:rPr>
        <w:t>державних</w:t>
      </w:r>
      <w:r>
        <w:rPr>
          <w:i/>
          <w:color w:val="231F20"/>
          <w:spacing w:val="-19"/>
          <w:sz w:val="21"/>
        </w:rPr>
        <w:t xml:space="preserve"> </w:t>
      </w:r>
      <w:r>
        <w:rPr>
          <w:i/>
          <w:color w:val="231F20"/>
          <w:sz w:val="21"/>
        </w:rPr>
        <w:t>органів, повноваження органів місцевого</w:t>
      </w:r>
      <w:r>
        <w:rPr>
          <w:i/>
          <w:color w:val="231F20"/>
          <w:spacing w:val="-6"/>
          <w:sz w:val="21"/>
        </w:rPr>
        <w:t xml:space="preserve"> </w:t>
      </w:r>
      <w:r>
        <w:rPr>
          <w:i/>
          <w:color w:val="231F20"/>
          <w:sz w:val="21"/>
        </w:rPr>
        <w:t>самоврядування</w:t>
      </w:r>
      <w:r>
        <w:rPr>
          <w:color w:val="231F20"/>
          <w:sz w:val="21"/>
        </w:rPr>
        <w:t>.</w:t>
      </w:r>
    </w:p>
    <w:p w14:paraId="0E6C9442" w14:textId="77777777" w:rsidR="00DE575E" w:rsidRDefault="002E7560">
      <w:pPr>
        <w:pStyle w:val="BodyText"/>
        <w:spacing w:before="3" w:line="252" w:lineRule="auto"/>
        <w:ind w:left="533" w:right="127" w:firstLine="283"/>
        <w:jc w:val="both"/>
      </w:pPr>
      <w:r>
        <w:rPr>
          <w:color w:val="231F20"/>
        </w:rPr>
        <w:t xml:space="preserve">За критерієм належності повноваження можна розділити на </w:t>
      </w:r>
      <w:r>
        <w:rPr>
          <w:i/>
          <w:color w:val="231F20"/>
        </w:rPr>
        <w:t xml:space="preserve">власні </w:t>
      </w:r>
      <w:r>
        <w:rPr>
          <w:color w:val="231F20"/>
        </w:rPr>
        <w:t xml:space="preserve">(надані безпосередньо суб’єкту публічного адміністрування) та </w:t>
      </w:r>
      <w:r>
        <w:rPr>
          <w:i/>
          <w:color w:val="231F20"/>
        </w:rPr>
        <w:t xml:space="preserve">делеговані </w:t>
      </w:r>
      <w:r>
        <w:rPr>
          <w:color w:val="231F20"/>
        </w:rPr>
        <w:t>(отримані в</w:t>
      </w:r>
      <w:r>
        <w:rPr>
          <w:color w:val="231F20"/>
        </w:rPr>
        <w:t>ід іншого суб’єкта публічного адміністру- вання).</w:t>
      </w:r>
    </w:p>
    <w:p w14:paraId="76805DD9" w14:textId="77777777" w:rsidR="00DE575E" w:rsidRDefault="002E7560">
      <w:pPr>
        <w:spacing w:before="2" w:line="252" w:lineRule="auto"/>
        <w:ind w:left="817"/>
        <w:rPr>
          <w:sz w:val="21"/>
        </w:rPr>
      </w:pPr>
      <w:r>
        <w:rPr>
          <w:color w:val="231F20"/>
          <w:sz w:val="21"/>
        </w:rPr>
        <w:t xml:space="preserve">Окремо згадаємо так звані </w:t>
      </w:r>
      <w:r>
        <w:rPr>
          <w:i/>
          <w:color w:val="231F20"/>
          <w:sz w:val="21"/>
        </w:rPr>
        <w:t>дискреційні повноваження</w:t>
      </w:r>
      <w:r>
        <w:rPr>
          <w:color w:val="231F20"/>
          <w:sz w:val="21"/>
        </w:rPr>
        <w:t>. Адміністративний розсуд (дискреція) передбачає надання суб’єк-</w:t>
      </w:r>
    </w:p>
    <w:p w14:paraId="359D3EAD" w14:textId="77777777" w:rsidR="00DE575E" w:rsidRDefault="002E7560">
      <w:pPr>
        <w:pStyle w:val="BodyText"/>
        <w:spacing w:before="1" w:line="252" w:lineRule="auto"/>
        <w:ind w:left="533" w:right="128"/>
        <w:jc w:val="both"/>
      </w:pPr>
      <w:r>
        <w:rPr>
          <w:color w:val="231F20"/>
        </w:rPr>
        <w:t>тові публічного адміністрування можливості самостійно обирати варіант вирішення питання у в</w:t>
      </w:r>
      <w:r>
        <w:rPr>
          <w:color w:val="231F20"/>
        </w:rPr>
        <w:t>изначених законом межах. Він здійс- нюється через реалізацію дискреційних повноважень. У таких повноваженнях складова права виявляється сильніше, домінує  над</w:t>
      </w:r>
    </w:p>
    <w:p w14:paraId="6C7A3B9A" w14:textId="77777777" w:rsidR="00DE575E" w:rsidRDefault="00DE575E">
      <w:pPr>
        <w:pStyle w:val="BodyText"/>
        <w:spacing w:before="6"/>
        <w:rPr>
          <w:sz w:val="12"/>
        </w:rPr>
      </w:pPr>
    </w:p>
    <w:p w14:paraId="284D6B19" w14:textId="77777777" w:rsidR="00DE575E" w:rsidRDefault="002E7560">
      <w:pPr>
        <w:spacing w:before="92"/>
        <w:ind w:left="533"/>
        <w:rPr>
          <w:rFonts w:ascii="Times New Roman"/>
          <w:sz w:val="20"/>
        </w:rPr>
      </w:pPr>
      <w:r>
        <w:rPr>
          <w:rFonts w:ascii="Times New Roman"/>
          <w:color w:val="231F20"/>
          <w:sz w:val="20"/>
        </w:rPr>
        <w:t>90</w:t>
      </w:r>
    </w:p>
    <w:p w14:paraId="3D126424" w14:textId="77777777" w:rsidR="00DE575E" w:rsidRDefault="00DE575E">
      <w:pPr>
        <w:rPr>
          <w:rFonts w:ascii="Times New Roman"/>
          <w:sz w:val="20"/>
        </w:rPr>
        <w:sectPr w:rsidR="00DE575E">
          <w:pgSz w:w="8510" w:h="12760"/>
          <w:pgMar w:top="660" w:right="720" w:bottom="280" w:left="600" w:header="720" w:footer="720" w:gutter="0"/>
          <w:cols w:space="720"/>
        </w:sectPr>
      </w:pPr>
    </w:p>
    <w:p w14:paraId="05988C8D"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w:t>
      </w:r>
      <w:r>
        <w:rPr>
          <w:rFonts w:ascii="AdonisC" w:hAnsi="AdonisC"/>
          <w:i/>
          <w:color w:val="231F20"/>
          <w:sz w:val="18"/>
        </w:rPr>
        <w:t>ування</w:t>
      </w:r>
    </w:p>
    <w:p w14:paraId="4854BE09" w14:textId="27A0F5A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C983A4" wp14:editId="5C8CFBB3">
                <wp:extent cx="4140200" cy="6350"/>
                <wp:effectExtent l="0" t="0" r="12700" b="6350"/>
                <wp:docPr id="1176"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77" name="Line 117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EDFC5" id="Group_x0020_117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ya20p/AgAAnAUAAA4A&#10;AAAAAAAAAAAAAAAALAIAAGRycy9lMm9Eb2MueG1sUEsBAi0AFAAGAAgAAAAhAEynsJDZAAAAAwEA&#10;AA8AAAAAAAAAAAAAAAAA1wQAAGRycy9kb3ducmV2LnhtbFBLBQYAAAAABAAEAPMAAADdBQAAAAA=&#10;">
                <v:line id="Line_x0020_117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iqE8QAAADdAAAADwAAAGRycy9kb3ducmV2LnhtbERPzWrCQBC+C77DMkIvohsraImuIoIg&#10;Pag1fYAxO01Cd2djdjVpn74rCL3Nx/c7y3VnjbhT4yvHCibjBARx7nTFhYLPbDd6A+EDskbjmBT8&#10;kIf1qt9bYqpdyx90P4dCxBD2KSooQ6hTKX1ekkU/djVx5L5cYzFE2BRSN9jGcGvka5LMpMWKY0OJ&#10;NW1Lyr/PN6sguw6DOR3fTZsdL1N5uR6mv7eDUi+DbrMAEagL/+Kne6/j/Ml8Do9v4gl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iKoTxAAAAN0AAAAPAAAAAAAAAAAA&#10;AAAAAKECAABkcnMvZG93bnJldi54bWxQSwUGAAAAAAQABAD5AAAAkgMAAAAA&#10;" strokecolor="#231f20" strokeweight=".5pt"/>
                <w10:anchorlock/>
              </v:group>
            </w:pict>
          </mc:Fallback>
        </mc:AlternateContent>
      </w:r>
    </w:p>
    <w:p w14:paraId="760B3DAD" w14:textId="77777777" w:rsidR="00DE575E" w:rsidRDefault="00DE575E">
      <w:pPr>
        <w:pStyle w:val="BodyText"/>
        <w:spacing w:before="3"/>
        <w:rPr>
          <w:rFonts w:ascii="AdonisC"/>
          <w:i/>
          <w:sz w:val="12"/>
        </w:rPr>
      </w:pPr>
    </w:p>
    <w:p w14:paraId="284A10F5" w14:textId="77777777" w:rsidR="00DE575E" w:rsidRDefault="002E7560">
      <w:pPr>
        <w:pStyle w:val="BodyText"/>
        <w:spacing w:before="100" w:line="252" w:lineRule="auto"/>
        <w:ind w:left="250" w:right="339"/>
      </w:pPr>
      <w:r>
        <w:rPr>
          <w:color w:val="231F20"/>
        </w:rPr>
        <w:t>складовою обов’язку. Більш детально про адміністративний розсуд ви дізнаєтесь у спеціальному розділі.</w:t>
      </w:r>
    </w:p>
    <w:p w14:paraId="3C794B44" w14:textId="77777777" w:rsidR="00DE575E" w:rsidRDefault="002E7560">
      <w:pPr>
        <w:pStyle w:val="BodyText"/>
        <w:spacing w:before="1" w:line="252" w:lineRule="auto"/>
        <w:ind w:left="250" w:right="411" w:firstLine="283"/>
        <w:jc w:val="both"/>
      </w:pPr>
      <w:r>
        <w:rPr>
          <w:color w:val="231F20"/>
        </w:rPr>
        <w:t xml:space="preserve">Змістом адміністративних правовідносин  є  </w:t>
      </w:r>
      <w:r>
        <w:rPr>
          <w:color w:val="231F20"/>
          <w:spacing w:val="-3"/>
        </w:rPr>
        <w:t xml:space="preserve">суб’єктивні  </w:t>
      </w:r>
      <w:r>
        <w:rPr>
          <w:color w:val="231F20"/>
        </w:rPr>
        <w:t xml:space="preserve">права  та обов’язки приватних осіб, з одного </w:t>
      </w:r>
      <w:r>
        <w:rPr>
          <w:color w:val="231F20"/>
          <w:spacing w:val="-5"/>
        </w:rPr>
        <w:t xml:space="preserve">боку, </w:t>
      </w:r>
      <w:r>
        <w:rPr>
          <w:color w:val="231F20"/>
        </w:rPr>
        <w:t xml:space="preserve">та </w:t>
      </w:r>
      <w:r>
        <w:rPr>
          <w:color w:val="231F20"/>
          <w:spacing w:val="-3"/>
        </w:rPr>
        <w:t xml:space="preserve">об’єднані </w:t>
      </w:r>
      <w:r>
        <w:rPr>
          <w:color w:val="231F20"/>
        </w:rPr>
        <w:t xml:space="preserve">у повнова- женнях права та обов’язки </w:t>
      </w:r>
      <w:r>
        <w:rPr>
          <w:color w:val="231F20"/>
          <w:spacing w:val="-3"/>
        </w:rPr>
        <w:t xml:space="preserve">суб’єктів </w:t>
      </w:r>
      <w:r>
        <w:rPr>
          <w:color w:val="231F20"/>
        </w:rPr>
        <w:t>публічного адміністрування – з іншого.</w:t>
      </w:r>
    </w:p>
    <w:p w14:paraId="14493564" w14:textId="77777777" w:rsidR="00DE575E" w:rsidRDefault="002E7560">
      <w:pPr>
        <w:pStyle w:val="BodyText"/>
        <w:spacing w:before="2" w:line="252" w:lineRule="auto"/>
        <w:ind w:left="250" w:right="410" w:firstLine="283"/>
        <w:jc w:val="both"/>
      </w:pPr>
      <w:r>
        <w:rPr>
          <w:color w:val="231F20"/>
        </w:rPr>
        <w:t xml:space="preserve">Слід зауважити, що </w:t>
      </w:r>
      <w:r>
        <w:rPr>
          <w:color w:val="231F20"/>
          <w:spacing w:val="-4"/>
        </w:rPr>
        <w:t xml:space="preserve">суб’єкт </w:t>
      </w:r>
      <w:r>
        <w:rPr>
          <w:color w:val="231F20"/>
        </w:rPr>
        <w:t>публічного адміністрування може вступати</w:t>
      </w:r>
      <w:r>
        <w:rPr>
          <w:color w:val="231F20"/>
          <w:spacing w:val="-6"/>
        </w:rPr>
        <w:t xml:space="preserve"> </w:t>
      </w:r>
      <w:r>
        <w:rPr>
          <w:color w:val="231F20"/>
        </w:rPr>
        <w:t>у</w:t>
      </w:r>
      <w:r>
        <w:rPr>
          <w:color w:val="231F20"/>
          <w:spacing w:val="-6"/>
        </w:rPr>
        <w:t xml:space="preserve"> </w:t>
      </w:r>
      <w:r>
        <w:rPr>
          <w:color w:val="231F20"/>
        </w:rPr>
        <w:t>правовідносини,</w:t>
      </w:r>
      <w:r>
        <w:rPr>
          <w:color w:val="231F20"/>
          <w:spacing w:val="-6"/>
        </w:rPr>
        <w:t xml:space="preserve"> </w:t>
      </w:r>
      <w:r>
        <w:rPr>
          <w:color w:val="231F20"/>
        </w:rPr>
        <w:t>не</w:t>
      </w:r>
      <w:r>
        <w:rPr>
          <w:color w:val="231F20"/>
          <w:spacing w:val="-6"/>
        </w:rPr>
        <w:t xml:space="preserve"> </w:t>
      </w:r>
      <w:r>
        <w:rPr>
          <w:color w:val="231F20"/>
        </w:rPr>
        <w:t>пов’язані</w:t>
      </w:r>
      <w:r>
        <w:rPr>
          <w:color w:val="231F20"/>
          <w:spacing w:val="-6"/>
        </w:rPr>
        <w:t xml:space="preserve"> </w:t>
      </w:r>
      <w:r>
        <w:rPr>
          <w:color w:val="231F20"/>
        </w:rPr>
        <w:t>з</w:t>
      </w:r>
      <w:r>
        <w:rPr>
          <w:color w:val="231F20"/>
          <w:spacing w:val="-6"/>
        </w:rPr>
        <w:t xml:space="preserve"> </w:t>
      </w:r>
      <w:r>
        <w:rPr>
          <w:color w:val="231F20"/>
        </w:rPr>
        <w:t>реалізацією</w:t>
      </w:r>
      <w:r>
        <w:rPr>
          <w:color w:val="231F20"/>
          <w:spacing w:val="-6"/>
        </w:rPr>
        <w:t xml:space="preserve"> </w:t>
      </w:r>
      <w:r>
        <w:rPr>
          <w:color w:val="231F20"/>
        </w:rPr>
        <w:t>повноважень. Це</w:t>
      </w:r>
      <w:r>
        <w:rPr>
          <w:color w:val="231F20"/>
          <w:spacing w:val="-9"/>
        </w:rPr>
        <w:t xml:space="preserve"> </w:t>
      </w:r>
      <w:r>
        <w:rPr>
          <w:color w:val="231F20"/>
        </w:rPr>
        <w:t>цивільні,</w:t>
      </w:r>
      <w:r>
        <w:rPr>
          <w:color w:val="231F20"/>
          <w:spacing w:val="-9"/>
        </w:rPr>
        <w:t xml:space="preserve"> </w:t>
      </w:r>
      <w:r>
        <w:rPr>
          <w:color w:val="231F20"/>
        </w:rPr>
        <w:t>господарські,</w:t>
      </w:r>
      <w:r>
        <w:rPr>
          <w:color w:val="231F20"/>
          <w:spacing w:val="-9"/>
        </w:rPr>
        <w:t xml:space="preserve"> </w:t>
      </w:r>
      <w:r>
        <w:rPr>
          <w:color w:val="231F20"/>
          <w:spacing w:val="-3"/>
        </w:rPr>
        <w:t>трудові</w:t>
      </w:r>
      <w:r>
        <w:rPr>
          <w:color w:val="231F20"/>
          <w:spacing w:val="-9"/>
        </w:rPr>
        <w:t xml:space="preserve"> </w:t>
      </w:r>
      <w:r>
        <w:rPr>
          <w:color w:val="231F20"/>
        </w:rPr>
        <w:t>чи</w:t>
      </w:r>
      <w:r>
        <w:rPr>
          <w:color w:val="231F20"/>
          <w:spacing w:val="-9"/>
        </w:rPr>
        <w:t xml:space="preserve"> </w:t>
      </w:r>
      <w:r>
        <w:rPr>
          <w:color w:val="231F20"/>
        </w:rPr>
        <w:t>інші</w:t>
      </w:r>
      <w:r>
        <w:rPr>
          <w:color w:val="231F20"/>
          <w:spacing w:val="-9"/>
        </w:rPr>
        <w:t xml:space="preserve"> </w:t>
      </w:r>
      <w:r>
        <w:rPr>
          <w:color w:val="231F20"/>
        </w:rPr>
        <w:t>відносини,</w:t>
      </w:r>
      <w:r>
        <w:rPr>
          <w:color w:val="231F20"/>
          <w:spacing w:val="-9"/>
        </w:rPr>
        <w:t xml:space="preserve"> </w:t>
      </w:r>
      <w:r>
        <w:rPr>
          <w:color w:val="231F20"/>
        </w:rPr>
        <w:t>прямо</w:t>
      </w:r>
      <w:r>
        <w:rPr>
          <w:color w:val="231F20"/>
          <w:spacing w:val="-9"/>
        </w:rPr>
        <w:t xml:space="preserve"> </w:t>
      </w:r>
      <w:r>
        <w:rPr>
          <w:color w:val="231F20"/>
        </w:rPr>
        <w:t>не</w:t>
      </w:r>
      <w:r>
        <w:rPr>
          <w:color w:val="231F20"/>
          <w:spacing w:val="-9"/>
        </w:rPr>
        <w:t xml:space="preserve"> </w:t>
      </w:r>
      <w:r>
        <w:rPr>
          <w:color w:val="231F20"/>
        </w:rPr>
        <w:t>пов’я- зані з реалізацією публічної</w:t>
      </w:r>
      <w:r>
        <w:rPr>
          <w:color w:val="231F20"/>
          <w:spacing w:val="-4"/>
        </w:rPr>
        <w:t xml:space="preserve"> </w:t>
      </w:r>
      <w:r>
        <w:rPr>
          <w:color w:val="231F20"/>
        </w:rPr>
        <w:t>влади.</w:t>
      </w:r>
    </w:p>
    <w:p w14:paraId="5791EDF5" w14:textId="77777777" w:rsidR="00DE575E" w:rsidRDefault="00DE575E">
      <w:pPr>
        <w:pStyle w:val="BodyText"/>
        <w:spacing w:before="2"/>
        <w:rPr>
          <w:sz w:val="22"/>
        </w:rPr>
      </w:pPr>
    </w:p>
    <w:p w14:paraId="1462A56D" w14:textId="77777777" w:rsidR="00DE575E" w:rsidRDefault="002E7560">
      <w:pPr>
        <w:pStyle w:val="Heading5"/>
        <w:numPr>
          <w:ilvl w:val="2"/>
          <w:numId w:val="271"/>
        </w:numPr>
        <w:tabs>
          <w:tab w:val="left" w:pos="1099"/>
        </w:tabs>
        <w:spacing w:line="252" w:lineRule="auto"/>
        <w:ind w:left="533" w:right="1097" w:firstLine="0"/>
        <w:jc w:val="left"/>
        <w:rPr>
          <w:color w:val="231F20"/>
        </w:rPr>
      </w:pPr>
      <w:r>
        <w:rPr>
          <w:color w:val="231F20"/>
        </w:rPr>
        <w:t>Наділення адміністративними повноваженнями, делегування адміністративних</w:t>
      </w:r>
      <w:r>
        <w:rPr>
          <w:color w:val="231F20"/>
          <w:spacing w:val="-4"/>
        </w:rPr>
        <w:t xml:space="preserve"> </w:t>
      </w:r>
      <w:r>
        <w:rPr>
          <w:color w:val="231F20"/>
        </w:rPr>
        <w:t>повноважень</w:t>
      </w:r>
    </w:p>
    <w:p w14:paraId="2770FCC6" w14:textId="77777777" w:rsidR="00DE575E" w:rsidRDefault="00DE575E">
      <w:pPr>
        <w:pStyle w:val="BodyText"/>
        <w:spacing w:before="1"/>
        <w:rPr>
          <w:b/>
          <w:sz w:val="22"/>
        </w:rPr>
      </w:pPr>
    </w:p>
    <w:p w14:paraId="349DF7EB" w14:textId="77777777" w:rsidR="00DE575E" w:rsidRDefault="002E7560">
      <w:pPr>
        <w:pStyle w:val="BodyText"/>
        <w:spacing w:line="252" w:lineRule="auto"/>
        <w:ind w:left="250" w:right="410" w:firstLine="283"/>
        <w:jc w:val="both"/>
      </w:pPr>
      <w:r>
        <w:rPr>
          <w:color w:val="231F20"/>
        </w:rPr>
        <w:t>Повноваження є найбільш об’ємною та мінливою, нестабільною складовою компетенції. З метою забезпечення ефективності адмі- ністрування їх перелік постійно оновлюють. Суб’єктові публічного адміністрування надають нових повноважень, позбавляють старих, а трет</w:t>
      </w:r>
      <w:r>
        <w:rPr>
          <w:color w:val="231F20"/>
        </w:rPr>
        <w:t>і істотно змінюють.</w:t>
      </w:r>
    </w:p>
    <w:p w14:paraId="2B3CD0DB" w14:textId="77777777" w:rsidR="00DE575E" w:rsidRDefault="002E7560">
      <w:pPr>
        <w:pStyle w:val="BodyText"/>
        <w:spacing w:before="2" w:line="252" w:lineRule="auto"/>
        <w:ind w:left="250" w:right="408" w:firstLine="283"/>
        <w:jc w:val="both"/>
      </w:pPr>
      <w:r>
        <w:rPr>
          <w:color w:val="231F20"/>
        </w:rPr>
        <w:t>Повноваження суб’єкти публічного адміністрування отримують різними способами. Це зокрема: 1) наділення повноваженнями;</w:t>
      </w:r>
    </w:p>
    <w:p w14:paraId="57253D45" w14:textId="77777777" w:rsidR="00DE575E" w:rsidRDefault="002E7560">
      <w:pPr>
        <w:pStyle w:val="ListParagraph"/>
        <w:numPr>
          <w:ilvl w:val="0"/>
          <w:numId w:val="269"/>
        </w:numPr>
        <w:tabs>
          <w:tab w:val="left" w:pos="496"/>
        </w:tabs>
        <w:spacing w:line="252" w:lineRule="auto"/>
        <w:ind w:right="411" w:firstLine="0"/>
        <w:rPr>
          <w:sz w:val="21"/>
        </w:rPr>
      </w:pPr>
      <w:r>
        <w:rPr>
          <w:color w:val="231F20"/>
          <w:sz w:val="21"/>
        </w:rPr>
        <w:t>перерозподіл (передання) повноважень; 3) делегування повно- важень.</w:t>
      </w:r>
    </w:p>
    <w:p w14:paraId="4AAC667E" w14:textId="77777777" w:rsidR="00DE575E" w:rsidRDefault="002E7560">
      <w:pPr>
        <w:pStyle w:val="BodyText"/>
        <w:spacing w:before="1" w:line="252" w:lineRule="auto"/>
        <w:ind w:left="250" w:right="409" w:firstLine="283"/>
        <w:jc w:val="both"/>
      </w:pPr>
      <w:r>
        <w:rPr>
          <w:b/>
          <w:i/>
          <w:color w:val="231F20"/>
        </w:rPr>
        <w:t xml:space="preserve">Наділення повноваженнями </w:t>
      </w:r>
      <w:r>
        <w:rPr>
          <w:color w:val="231F20"/>
        </w:rPr>
        <w:t>суб’єкта публічного адміністру- вання здійснюється органом законодавчої влади, іншим уповно- важеним на те органом. Воно відбувається у зв’язку зі створенням нового суб’єкта публічного адміністрування або у зв’язку з розши- ренням його предмета відання в р</w:t>
      </w:r>
      <w:r>
        <w:rPr>
          <w:color w:val="231F20"/>
        </w:rPr>
        <w:t>езультаті виникнення нових питань, які потребують вирішення (напр., проблеми, пов’язані з кібербезпекою чи внутрішньо переміщеними особами). Зазвичай рішення про наділення повноваженнями ухвалюється тим самим органом, який ухвалив рішення про створення суб</w:t>
      </w:r>
      <w:r>
        <w:rPr>
          <w:color w:val="231F20"/>
        </w:rPr>
        <w:t>’єкта публічного адміністрування. Наділення повноваженнями здійснюється через видання компетенційного акта чи внесення до нього змін.</w:t>
      </w:r>
    </w:p>
    <w:p w14:paraId="52E4D53A" w14:textId="77777777" w:rsidR="00DE575E" w:rsidRDefault="002E7560">
      <w:pPr>
        <w:spacing w:before="97" w:line="228" w:lineRule="auto"/>
        <w:ind w:left="533" w:right="411" w:firstLine="283"/>
        <w:jc w:val="both"/>
        <w:rPr>
          <w:i/>
          <w:sz w:val="18"/>
        </w:rPr>
      </w:pPr>
      <w:r>
        <w:rPr>
          <w:i/>
          <w:color w:val="231F20"/>
          <w:sz w:val="18"/>
          <w:u w:val="single" w:color="231F20"/>
        </w:rPr>
        <w:t>Наприклад:</w:t>
      </w:r>
      <w:r>
        <w:rPr>
          <w:i/>
          <w:color w:val="231F20"/>
          <w:sz w:val="18"/>
        </w:rPr>
        <w:t xml:space="preserve"> наділення повноваженнями місцевих державних адміністра- цій </w:t>
      </w:r>
      <w:r>
        <w:rPr>
          <w:i/>
          <w:color w:val="231F20"/>
          <w:spacing w:val="-3"/>
          <w:sz w:val="18"/>
        </w:rPr>
        <w:t xml:space="preserve">було </w:t>
      </w:r>
      <w:r>
        <w:rPr>
          <w:i/>
          <w:color w:val="231F20"/>
          <w:sz w:val="18"/>
        </w:rPr>
        <w:t>здійснене Верховною Радою України через ухвале</w:t>
      </w:r>
      <w:r>
        <w:rPr>
          <w:i/>
          <w:color w:val="231F20"/>
          <w:sz w:val="18"/>
        </w:rPr>
        <w:t>ння Закону «Про місцеві державні адміністрації». Наділення повноваженнями Державного агентства</w:t>
      </w:r>
      <w:r>
        <w:rPr>
          <w:i/>
          <w:color w:val="231F20"/>
          <w:spacing w:val="-11"/>
          <w:sz w:val="18"/>
        </w:rPr>
        <w:t xml:space="preserve"> </w:t>
      </w:r>
      <w:r>
        <w:rPr>
          <w:i/>
          <w:color w:val="231F20"/>
          <w:sz w:val="18"/>
        </w:rPr>
        <w:t>автомобільних</w:t>
      </w:r>
      <w:r>
        <w:rPr>
          <w:i/>
          <w:color w:val="231F20"/>
          <w:spacing w:val="-11"/>
          <w:sz w:val="18"/>
        </w:rPr>
        <w:t xml:space="preserve"> </w:t>
      </w:r>
      <w:r>
        <w:rPr>
          <w:i/>
          <w:color w:val="231F20"/>
          <w:sz w:val="18"/>
        </w:rPr>
        <w:t>доріг</w:t>
      </w:r>
      <w:r>
        <w:rPr>
          <w:i/>
          <w:color w:val="231F20"/>
          <w:spacing w:val="-11"/>
          <w:sz w:val="18"/>
        </w:rPr>
        <w:t xml:space="preserve"> </w:t>
      </w:r>
      <w:r>
        <w:rPr>
          <w:i/>
          <w:color w:val="231F20"/>
          <w:sz w:val="18"/>
        </w:rPr>
        <w:t>України</w:t>
      </w:r>
      <w:r>
        <w:rPr>
          <w:i/>
          <w:color w:val="231F20"/>
          <w:spacing w:val="-11"/>
          <w:sz w:val="18"/>
        </w:rPr>
        <w:t xml:space="preserve"> </w:t>
      </w:r>
      <w:r>
        <w:rPr>
          <w:i/>
          <w:color w:val="231F20"/>
          <w:sz w:val="18"/>
        </w:rPr>
        <w:t>–</w:t>
      </w:r>
      <w:r>
        <w:rPr>
          <w:i/>
          <w:color w:val="231F20"/>
          <w:spacing w:val="-11"/>
          <w:sz w:val="18"/>
        </w:rPr>
        <w:t xml:space="preserve"> </w:t>
      </w:r>
      <w:r>
        <w:rPr>
          <w:i/>
          <w:color w:val="231F20"/>
          <w:sz w:val="18"/>
        </w:rPr>
        <w:t>Урядом</w:t>
      </w:r>
      <w:r>
        <w:rPr>
          <w:i/>
          <w:color w:val="231F20"/>
          <w:spacing w:val="-11"/>
          <w:sz w:val="18"/>
        </w:rPr>
        <w:t xml:space="preserve"> </w:t>
      </w:r>
      <w:r>
        <w:rPr>
          <w:i/>
          <w:color w:val="231F20"/>
          <w:sz w:val="18"/>
        </w:rPr>
        <w:t>України,</w:t>
      </w:r>
      <w:r>
        <w:rPr>
          <w:i/>
          <w:color w:val="231F20"/>
          <w:spacing w:val="-11"/>
          <w:sz w:val="18"/>
        </w:rPr>
        <w:t xml:space="preserve"> </w:t>
      </w:r>
      <w:r>
        <w:rPr>
          <w:i/>
          <w:color w:val="231F20"/>
          <w:sz w:val="18"/>
        </w:rPr>
        <w:t>який</w:t>
      </w:r>
      <w:r>
        <w:rPr>
          <w:i/>
          <w:color w:val="231F20"/>
          <w:spacing w:val="-11"/>
          <w:sz w:val="18"/>
        </w:rPr>
        <w:t xml:space="preserve"> </w:t>
      </w:r>
      <w:r>
        <w:rPr>
          <w:i/>
          <w:color w:val="231F20"/>
          <w:sz w:val="18"/>
        </w:rPr>
        <w:t>згідно</w:t>
      </w:r>
      <w:r>
        <w:rPr>
          <w:i/>
          <w:color w:val="231F20"/>
          <w:spacing w:val="-11"/>
          <w:sz w:val="18"/>
        </w:rPr>
        <w:t xml:space="preserve"> </w:t>
      </w:r>
      <w:r>
        <w:rPr>
          <w:i/>
          <w:color w:val="231F20"/>
          <w:sz w:val="18"/>
        </w:rPr>
        <w:t>із</w:t>
      </w:r>
      <w:r>
        <w:rPr>
          <w:i/>
          <w:color w:val="231F20"/>
          <w:spacing w:val="-11"/>
          <w:sz w:val="18"/>
        </w:rPr>
        <w:t xml:space="preserve"> </w:t>
      </w:r>
      <w:r>
        <w:rPr>
          <w:i/>
          <w:color w:val="231F20"/>
          <w:sz w:val="18"/>
        </w:rPr>
        <w:t xml:space="preserve">Зако- ном «Про Кабінет Міністрів України» затвердив Положення «Про Державне агентство автомобільних </w:t>
      </w:r>
      <w:r>
        <w:rPr>
          <w:i/>
          <w:color w:val="231F20"/>
          <w:sz w:val="18"/>
        </w:rPr>
        <w:t>доріг</w:t>
      </w:r>
      <w:r>
        <w:rPr>
          <w:i/>
          <w:color w:val="231F20"/>
          <w:spacing w:val="-4"/>
          <w:sz w:val="18"/>
        </w:rPr>
        <w:t xml:space="preserve"> </w:t>
      </w:r>
      <w:r>
        <w:rPr>
          <w:i/>
          <w:color w:val="231F20"/>
          <w:sz w:val="18"/>
        </w:rPr>
        <w:t>України».</w:t>
      </w:r>
    </w:p>
    <w:p w14:paraId="2FD4E9AA" w14:textId="77777777" w:rsidR="00DE575E" w:rsidRDefault="00DE575E">
      <w:pPr>
        <w:pStyle w:val="BodyText"/>
        <w:spacing w:before="7"/>
        <w:rPr>
          <w:i/>
          <w:sz w:val="12"/>
        </w:rPr>
      </w:pPr>
    </w:p>
    <w:p w14:paraId="1614DF33" w14:textId="77777777" w:rsidR="00DE575E" w:rsidRDefault="002E7560">
      <w:pPr>
        <w:spacing w:before="92"/>
        <w:ind w:right="411"/>
        <w:jc w:val="right"/>
        <w:rPr>
          <w:rFonts w:ascii="Times New Roman"/>
          <w:sz w:val="20"/>
        </w:rPr>
      </w:pPr>
      <w:r>
        <w:rPr>
          <w:rFonts w:ascii="Times New Roman"/>
          <w:color w:val="231F20"/>
          <w:w w:val="90"/>
          <w:sz w:val="20"/>
        </w:rPr>
        <w:t>91</w:t>
      </w:r>
    </w:p>
    <w:p w14:paraId="39C3631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7BD791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ADA69D9" w14:textId="45A188B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ECA887C" wp14:editId="46585429">
                <wp:extent cx="4140200" cy="6350"/>
                <wp:effectExtent l="0" t="0" r="12700" b="6350"/>
                <wp:docPr id="1174"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75" name="Line 117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520D66" id="Group_x0020_117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LaEN1/AgAAnAUAAA4A&#10;AAAAAAAAAAAAAAAALAIAAGRycy9lMm9Eb2MueG1sUEsBAi0AFAAGAAgAAAAhAEynsJDZAAAAAwEA&#10;AA8AAAAAAAAAAAAAAAAA1wQAAGRycy9kb3ducmV2LnhtbFBLBQYAAAAABAAEAPMAAADdBQAAAAA=&#10;">
                <v:line id="Line_x0020_117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aR/8UAAADdAAAADwAAAGRycy9kb3ducmV2LnhtbERPzWrCQBC+C77DMkIvRTdWqhJdRYRC&#10;6UFb4wOM2TEJ7s7G7GrSPn23UPA2H9/vLNedNeJOja8cKxiPEhDEudMVFwqO2dtwDsIHZI3GMSn4&#10;Jg/rVb+3xFS7lr/ofgiFiCHsU1RQhlCnUvq8JIt+5GriyJ1dYzFE2BRSN9jGcGvkS5JMpcWKY0OJ&#10;NW1Lyi+Hm1WQXZ+D+dx/mDbbnybydN1Nfm47pZ4G3WYBIlAXHuJ/97uO88ezV/j7Jp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haR/8UAAADdAAAADwAAAAAAAAAA&#10;AAAAAAChAgAAZHJzL2Rvd25yZXYueG1sUEsFBgAAAAAEAAQA+QAAAJMDAAAAAA==&#10;" strokecolor="#231f20" strokeweight=".5pt"/>
                <w10:anchorlock/>
              </v:group>
            </w:pict>
          </mc:Fallback>
        </mc:AlternateContent>
      </w:r>
    </w:p>
    <w:p w14:paraId="081BA086" w14:textId="77777777" w:rsidR="00DE575E" w:rsidRDefault="00DE575E">
      <w:pPr>
        <w:pStyle w:val="BodyText"/>
        <w:spacing w:before="7"/>
        <w:rPr>
          <w:rFonts w:ascii="AdonisC"/>
          <w:i/>
          <w:sz w:val="11"/>
        </w:rPr>
      </w:pPr>
    </w:p>
    <w:p w14:paraId="26E9DD5E" w14:textId="77777777" w:rsidR="00DE575E" w:rsidRDefault="002E7560">
      <w:pPr>
        <w:pStyle w:val="BodyText"/>
        <w:spacing w:before="101" w:line="252" w:lineRule="auto"/>
        <w:ind w:left="533" w:right="128" w:firstLine="283"/>
        <w:jc w:val="both"/>
      </w:pPr>
      <w:r>
        <w:rPr>
          <w:b/>
          <w:i/>
          <w:color w:val="231F20"/>
        </w:rPr>
        <w:t xml:space="preserve">Перерозподіл повноважень </w:t>
      </w:r>
      <w:r>
        <w:rPr>
          <w:color w:val="231F20"/>
        </w:rPr>
        <w:t xml:space="preserve">має похідний, вторинний харак- тер. У разі наділення </w:t>
      </w:r>
      <w:r>
        <w:rPr>
          <w:color w:val="231F20"/>
          <w:spacing w:val="-4"/>
        </w:rPr>
        <w:t xml:space="preserve">суб’єкт </w:t>
      </w:r>
      <w:r>
        <w:rPr>
          <w:color w:val="231F20"/>
        </w:rPr>
        <w:t>отримує нові, раніше невідомі повнова- ження.</w:t>
      </w:r>
      <w:r>
        <w:rPr>
          <w:color w:val="231F20"/>
          <w:spacing w:val="-12"/>
        </w:rPr>
        <w:t xml:space="preserve"> </w:t>
      </w:r>
      <w:r>
        <w:rPr>
          <w:color w:val="231F20"/>
        </w:rPr>
        <w:t>У</w:t>
      </w:r>
      <w:r>
        <w:rPr>
          <w:color w:val="231F20"/>
          <w:spacing w:val="-12"/>
        </w:rPr>
        <w:t xml:space="preserve"> </w:t>
      </w:r>
      <w:r>
        <w:rPr>
          <w:color w:val="231F20"/>
        </w:rPr>
        <w:t>разі</w:t>
      </w:r>
      <w:r>
        <w:rPr>
          <w:color w:val="231F20"/>
          <w:spacing w:val="-12"/>
        </w:rPr>
        <w:t xml:space="preserve"> </w:t>
      </w:r>
      <w:r>
        <w:rPr>
          <w:color w:val="231F20"/>
        </w:rPr>
        <w:t>перерозподілу</w:t>
      </w:r>
      <w:r>
        <w:rPr>
          <w:color w:val="231F20"/>
          <w:spacing w:val="-12"/>
        </w:rPr>
        <w:t xml:space="preserve"> </w:t>
      </w:r>
      <w:r>
        <w:rPr>
          <w:color w:val="231F20"/>
        </w:rPr>
        <w:t>вже</w:t>
      </w:r>
      <w:r>
        <w:rPr>
          <w:color w:val="231F20"/>
          <w:spacing w:val="-12"/>
        </w:rPr>
        <w:t xml:space="preserve"> </w:t>
      </w:r>
      <w:r>
        <w:rPr>
          <w:color w:val="231F20"/>
        </w:rPr>
        <w:t>чинні</w:t>
      </w:r>
      <w:r>
        <w:rPr>
          <w:color w:val="231F20"/>
          <w:spacing w:val="-12"/>
        </w:rPr>
        <w:t xml:space="preserve"> </w:t>
      </w:r>
      <w:r>
        <w:rPr>
          <w:color w:val="231F20"/>
        </w:rPr>
        <w:t>повноваження</w:t>
      </w:r>
      <w:r>
        <w:rPr>
          <w:color w:val="231F20"/>
          <w:spacing w:val="-12"/>
        </w:rPr>
        <w:t xml:space="preserve"> </w:t>
      </w:r>
      <w:r>
        <w:rPr>
          <w:color w:val="231F20"/>
        </w:rPr>
        <w:t>переходять</w:t>
      </w:r>
      <w:r>
        <w:rPr>
          <w:color w:val="231F20"/>
          <w:spacing w:val="-12"/>
        </w:rPr>
        <w:t xml:space="preserve"> </w:t>
      </w:r>
      <w:r>
        <w:rPr>
          <w:color w:val="231F20"/>
        </w:rPr>
        <w:t xml:space="preserve">від одного </w:t>
      </w:r>
      <w:r>
        <w:rPr>
          <w:color w:val="231F20"/>
          <w:spacing w:val="-3"/>
        </w:rPr>
        <w:t xml:space="preserve">суб’єкта </w:t>
      </w:r>
      <w:r>
        <w:rPr>
          <w:color w:val="231F20"/>
        </w:rPr>
        <w:t>публічної ад</w:t>
      </w:r>
      <w:r>
        <w:rPr>
          <w:color w:val="231F20"/>
        </w:rPr>
        <w:t>міністрації до</w:t>
      </w:r>
      <w:r>
        <w:rPr>
          <w:color w:val="231F20"/>
          <w:spacing w:val="-4"/>
        </w:rPr>
        <w:t xml:space="preserve"> </w:t>
      </w:r>
      <w:r>
        <w:rPr>
          <w:color w:val="231F20"/>
        </w:rPr>
        <w:t>іншого.</w:t>
      </w:r>
    </w:p>
    <w:p w14:paraId="74DE2AD3" w14:textId="77777777" w:rsidR="00DE575E" w:rsidRDefault="002E7560">
      <w:pPr>
        <w:pStyle w:val="BodyText"/>
        <w:spacing w:before="2" w:line="252" w:lineRule="auto"/>
        <w:ind w:left="533" w:right="128" w:firstLine="283"/>
        <w:jc w:val="both"/>
      </w:pPr>
      <w:r>
        <w:rPr>
          <w:color w:val="231F20"/>
        </w:rPr>
        <w:t>Перерозподіл повноважень є наслідком зміни структури публіч- ної адміністрації (реорганізації чи ліквідації окремих її складових).</w:t>
      </w:r>
    </w:p>
    <w:p w14:paraId="0A1DCC07" w14:textId="77777777" w:rsidR="00DE575E" w:rsidRDefault="002E7560">
      <w:pPr>
        <w:pStyle w:val="BodyText"/>
        <w:spacing w:before="1" w:line="252" w:lineRule="auto"/>
        <w:ind w:left="533" w:right="128" w:firstLine="283"/>
        <w:jc w:val="both"/>
      </w:pPr>
      <w:r>
        <w:rPr>
          <w:color w:val="231F20"/>
        </w:rPr>
        <w:t>На рівні центральних органів виконавчої влади це питання врегульовано</w:t>
      </w:r>
      <w:r>
        <w:rPr>
          <w:color w:val="231F20"/>
          <w:spacing w:val="-9"/>
        </w:rPr>
        <w:t xml:space="preserve"> </w:t>
      </w:r>
      <w:r>
        <w:rPr>
          <w:color w:val="231F20"/>
        </w:rPr>
        <w:t>таким</w:t>
      </w:r>
      <w:r>
        <w:rPr>
          <w:color w:val="231F20"/>
          <w:spacing w:val="-9"/>
        </w:rPr>
        <w:t xml:space="preserve"> </w:t>
      </w:r>
      <w:r>
        <w:rPr>
          <w:color w:val="231F20"/>
        </w:rPr>
        <w:t>чином,</w:t>
      </w:r>
      <w:r>
        <w:rPr>
          <w:color w:val="231F20"/>
          <w:spacing w:val="-9"/>
        </w:rPr>
        <w:t xml:space="preserve"> </w:t>
      </w:r>
      <w:r>
        <w:rPr>
          <w:color w:val="231F20"/>
        </w:rPr>
        <w:t>що</w:t>
      </w:r>
      <w:r>
        <w:rPr>
          <w:color w:val="231F20"/>
          <w:spacing w:val="-9"/>
        </w:rPr>
        <w:t xml:space="preserve"> </w:t>
      </w:r>
      <w:r>
        <w:rPr>
          <w:color w:val="231F20"/>
        </w:rPr>
        <w:t>повноваження</w:t>
      </w:r>
      <w:r>
        <w:rPr>
          <w:color w:val="231F20"/>
          <w:spacing w:val="-9"/>
        </w:rPr>
        <w:t xml:space="preserve"> </w:t>
      </w:r>
      <w:r>
        <w:rPr>
          <w:color w:val="231F20"/>
        </w:rPr>
        <w:t>пер</w:t>
      </w:r>
      <w:r>
        <w:rPr>
          <w:color w:val="231F20"/>
        </w:rPr>
        <w:t>едаються:</w:t>
      </w:r>
      <w:r>
        <w:rPr>
          <w:color w:val="231F20"/>
          <w:spacing w:val="-9"/>
        </w:rPr>
        <w:t xml:space="preserve"> </w:t>
      </w:r>
      <w:r>
        <w:rPr>
          <w:color w:val="231F20"/>
        </w:rPr>
        <w:t>1)</w:t>
      </w:r>
      <w:r>
        <w:rPr>
          <w:color w:val="231F20"/>
          <w:spacing w:val="-8"/>
        </w:rPr>
        <w:t xml:space="preserve"> </w:t>
      </w:r>
      <w:r>
        <w:rPr>
          <w:color w:val="231F20"/>
        </w:rPr>
        <w:t>у</w:t>
      </w:r>
      <w:r>
        <w:rPr>
          <w:color w:val="231F20"/>
          <w:spacing w:val="-10"/>
        </w:rPr>
        <w:t xml:space="preserve"> </w:t>
      </w:r>
      <w:r>
        <w:rPr>
          <w:color w:val="231F20"/>
        </w:rPr>
        <w:t>разі злиття органів виконавчої влади – до органу виконавчої влади, утвореного внаслідок такого злиття; 2) у разі приєднання одного або кількох органів виконавчої влади до іншого органу виконав-  чої влади – до органу виконавчої влади, до яко</w:t>
      </w:r>
      <w:r>
        <w:rPr>
          <w:color w:val="231F20"/>
        </w:rPr>
        <w:t xml:space="preserve">го приєднано </w:t>
      </w:r>
      <w:r>
        <w:rPr>
          <w:color w:val="231F20"/>
          <w:spacing w:val="-3"/>
        </w:rPr>
        <w:t xml:space="preserve">один </w:t>
      </w:r>
      <w:r>
        <w:rPr>
          <w:color w:val="231F20"/>
        </w:rPr>
        <w:t>чи</w:t>
      </w:r>
      <w:r>
        <w:rPr>
          <w:color w:val="231F20"/>
          <w:spacing w:val="-6"/>
        </w:rPr>
        <w:t xml:space="preserve"> </w:t>
      </w:r>
      <w:r>
        <w:rPr>
          <w:color w:val="231F20"/>
        </w:rPr>
        <w:t>кілька</w:t>
      </w:r>
      <w:r>
        <w:rPr>
          <w:color w:val="231F20"/>
          <w:spacing w:val="-6"/>
        </w:rPr>
        <w:t xml:space="preserve"> </w:t>
      </w:r>
      <w:r>
        <w:rPr>
          <w:color w:val="231F20"/>
        </w:rPr>
        <w:t>органів</w:t>
      </w:r>
      <w:r>
        <w:rPr>
          <w:color w:val="231F20"/>
          <w:spacing w:val="-6"/>
        </w:rPr>
        <w:t xml:space="preserve"> </w:t>
      </w:r>
      <w:r>
        <w:rPr>
          <w:color w:val="231F20"/>
        </w:rPr>
        <w:t>виконавчої</w:t>
      </w:r>
      <w:r>
        <w:rPr>
          <w:color w:val="231F20"/>
          <w:spacing w:val="-6"/>
        </w:rPr>
        <w:t xml:space="preserve"> </w:t>
      </w:r>
      <w:r>
        <w:rPr>
          <w:color w:val="231F20"/>
        </w:rPr>
        <w:t>влади;</w:t>
      </w:r>
      <w:r>
        <w:rPr>
          <w:color w:val="231F20"/>
          <w:spacing w:val="-6"/>
        </w:rPr>
        <w:t xml:space="preserve"> </w:t>
      </w:r>
      <w:r>
        <w:rPr>
          <w:color w:val="231F20"/>
        </w:rPr>
        <w:t>3)</w:t>
      </w:r>
      <w:r>
        <w:rPr>
          <w:color w:val="231F20"/>
          <w:spacing w:val="-8"/>
        </w:rPr>
        <w:t xml:space="preserve"> </w:t>
      </w:r>
      <w:r>
        <w:rPr>
          <w:color w:val="231F20"/>
        </w:rPr>
        <w:t>у</w:t>
      </w:r>
      <w:r>
        <w:rPr>
          <w:color w:val="231F20"/>
          <w:spacing w:val="-6"/>
        </w:rPr>
        <w:t xml:space="preserve"> </w:t>
      </w:r>
      <w:r>
        <w:rPr>
          <w:color w:val="231F20"/>
        </w:rPr>
        <w:t>разі</w:t>
      </w:r>
      <w:r>
        <w:rPr>
          <w:color w:val="231F20"/>
          <w:spacing w:val="-6"/>
        </w:rPr>
        <w:t xml:space="preserve"> </w:t>
      </w:r>
      <w:r>
        <w:rPr>
          <w:color w:val="231F20"/>
        </w:rPr>
        <w:t>поділу</w:t>
      </w:r>
      <w:r>
        <w:rPr>
          <w:color w:val="231F20"/>
          <w:spacing w:val="-6"/>
        </w:rPr>
        <w:t xml:space="preserve"> </w:t>
      </w:r>
      <w:r>
        <w:rPr>
          <w:color w:val="231F20"/>
        </w:rPr>
        <w:t>органу</w:t>
      </w:r>
      <w:r>
        <w:rPr>
          <w:color w:val="231F20"/>
          <w:spacing w:val="-6"/>
        </w:rPr>
        <w:t xml:space="preserve"> </w:t>
      </w:r>
      <w:r>
        <w:rPr>
          <w:color w:val="231F20"/>
        </w:rPr>
        <w:t>виконав- чої</w:t>
      </w:r>
      <w:r>
        <w:rPr>
          <w:color w:val="231F20"/>
          <w:spacing w:val="-11"/>
        </w:rPr>
        <w:t xml:space="preserve"> </w:t>
      </w:r>
      <w:r>
        <w:rPr>
          <w:color w:val="231F20"/>
        </w:rPr>
        <w:t>влади</w:t>
      </w:r>
      <w:r>
        <w:rPr>
          <w:color w:val="231F20"/>
          <w:spacing w:val="-11"/>
        </w:rPr>
        <w:t xml:space="preserve"> </w:t>
      </w:r>
      <w:r>
        <w:rPr>
          <w:color w:val="231F20"/>
        </w:rPr>
        <w:t>–</w:t>
      </w:r>
      <w:r>
        <w:rPr>
          <w:color w:val="231F20"/>
          <w:spacing w:val="-10"/>
        </w:rPr>
        <w:t xml:space="preserve"> </w:t>
      </w:r>
      <w:r>
        <w:rPr>
          <w:color w:val="231F20"/>
        </w:rPr>
        <w:t>до</w:t>
      </w:r>
      <w:r>
        <w:rPr>
          <w:color w:val="231F20"/>
          <w:spacing w:val="-11"/>
        </w:rPr>
        <w:t xml:space="preserve"> </w:t>
      </w:r>
      <w:r>
        <w:rPr>
          <w:color w:val="231F20"/>
        </w:rPr>
        <w:t>органів</w:t>
      </w:r>
      <w:r>
        <w:rPr>
          <w:color w:val="231F20"/>
          <w:spacing w:val="-11"/>
        </w:rPr>
        <w:t xml:space="preserve"> </w:t>
      </w:r>
      <w:r>
        <w:rPr>
          <w:color w:val="231F20"/>
        </w:rPr>
        <w:t>виконавчої</w:t>
      </w:r>
      <w:r>
        <w:rPr>
          <w:color w:val="231F20"/>
          <w:spacing w:val="-11"/>
        </w:rPr>
        <w:t xml:space="preserve"> </w:t>
      </w:r>
      <w:r>
        <w:rPr>
          <w:color w:val="231F20"/>
        </w:rPr>
        <w:t>влади,</w:t>
      </w:r>
      <w:r>
        <w:rPr>
          <w:color w:val="231F20"/>
          <w:spacing w:val="-10"/>
        </w:rPr>
        <w:t xml:space="preserve"> </w:t>
      </w:r>
      <w:r>
        <w:rPr>
          <w:color w:val="231F20"/>
        </w:rPr>
        <w:t>утворених</w:t>
      </w:r>
      <w:r>
        <w:rPr>
          <w:color w:val="231F20"/>
          <w:spacing w:val="-11"/>
        </w:rPr>
        <w:t xml:space="preserve"> </w:t>
      </w:r>
      <w:r>
        <w:rPr>
          <w:color w:val="231F20"/>
        </w:rPr>
        <w:t>унаслідок</w:t>
      </w:r>
      <w:r>
        <w:rPr>
          <w:color w:val="231F20"/>
          <w:spacing w:val="-10"/>
        </w:rPr>
        <w:t xml:space="preserve"> </w:t>
      </w:r>
      <w:r>
        <w:rPr>
          <w:color w:val="231F20"/>
        </w:rPr>
        <w:t>такого поділу; 4) у разі перетворення органу виконавчої влади – до</w:t>
      </w:r>
      <w:r>
        <w:rPr>
          <w:color w:val="231F20"/>
          <w:spacing w:val="-32"/>
        </w:rPr>
        <w:t xml:space="preserve"> </w:t>
      </w:r>
      <w:r>
        <w:rPr>
          <w:color w:val="231F20"/>
        </w:rPr>
        <w:t>утворе- ного органу виконавчої влади; 5) у разі ліквідації органу</w:t>
      </w:r>
      <w:r>
        <w:rPr>
          <w:color w:val="231F20"/>
          <w:spacing w:val="-32"/>
        </w:rPr>
        <w:t xml:space="preserve"> </w:t>
      </w:r>
      <w:r>
        <w:rPr>
          <w:color w:val="231F20"/>
        </w:rPr>
        <w:t>виконавчої влади</w:t>
      </w:r>
      <w:r>
        <w:rPr>
          <w:color w:val="231F20"/>
          <w:spacing w:val="-11"/>
        </w:rPr>
        <w:t xml:space="preserve"> </w:t>
      </w:r>
      <w:r>
        <w:rPr>
          <w:color w:val="231F20"/>
        </w:rPr>
        <w:t>й</w:t>
      </w:r>
      <w:r>
        <w:rPr>
          <w:color w:val="231F20"/>
          <w:spacing w:val="-12"/>
        </w:rPr>
        <w:t xml:space="preserve"> </w:t>
      </w:r>
      <w:r>
        <w:rPr>
          <w:color w:val="231F20"/>
        </w:rPr>
        <w:t>передання</w:t>
      </w:r>
      <w:r>
        <w:rPr>
          <w:color w:val="231F20"/>
          <w:spacing w:val="-11"/>
        </w:rPr>
        <w:t xml:space="preserve"> </w:t>
      </w:r>
      <w:r>
        <w:rPr>
          <w:color w:val="231F20"/>
        </w:rPr>
        <w:t>його</w:t>
      </w:r>
      <w:r>
        <w:rPr>
          <w:color w:val="231F20"/>
          <w:spacing w:val="-11"/>
        </w:rPr>
        <w:t xml:space="preserve"> </w:t>
      </w:r>
      <w:r>
        <w:rPr>
          <w:color w:val="231F20"/>
        </w:rPr>
        <w:t>завдань</w:t>
      </w:r>
      <w:r>
        <w:rPr>
          <w:color w:val="231F20"/>
          <w:spacing w:val="-11"/>
        </w:rPr>
        <w:t xml:space="preserve"> </w:t>
      </w:r>
      <w:r>
        <w:rPr>
          <w:color w:val="231F20"/>
        </w:rPr>
        <w:t>та</w:t>
      </w:r>
      <w:r>
        <w:rPr>
          <w:color w:val="231F20"/>
          <w:spacing w:val="-11"/>
        </w:rPr>
        <w:t xml:space="preserve"> </w:t>
      </w:r>
      <w:r>
        <w:rPr>
          <w:color w:val="231F20"/>
        </w:rPr>
        <w:t>функцій</w:t>
      </w:r>
      <w:r>
        <w:rPr>
          <w:color w:val="231F20"/>
          <w:spacing w:val="-12"/>
        </w:rPr>
        <w:t xml:space="preserve"> </w:t>
      </w:r>
      <w:r>
        <w:rPr>
          <w:color w:val="231F20"/>
        </w:rPr>
        <w:t>іншим</w:t>
      </w:r>
      <w:r>
        <w:rPr>
          <w:color w:val="231F20"/>
          <w:spacing w:val="-11"/>
        </w:rPr>
        <w:t xml:space="preserve"> </w:t>
      </w:r>
      <w:r>
        <w:rPr>
          <w:color w:val="231F20"/>
        </w:rPr>
        <w:t>органам</w:t>
      </w:r>
      <w:r>
        <w:rPr>
          <w:color w:val="231F20"/>
          <w:spacing w:val="-11"/>
        </w:rPr>
        <w:t xml:space="preserve"> </w:t>
      </w:r>
      <w:r>
        <w:rPr>
          <w:color w:val="231F20"/>
        </w:rPr>
        <w:t>виконав- чої влади – до органів виконавчої влади, визначених відповідним актом Кабінету Міністрів</w:t>
      </w:r>
      <w:r>
        <w:rPr>
          <w:color w:val="231F20"/>
          <w:spacing w:val="-3"/>
        </w:rPr>
        <w:t xml:space="preserve"> </w:t>
      </w:r>
      <w:r>
        <w:rPr>
          <w:color w:val="231F20"/>
        </w:rPr>
        <w:t>України</w:t>
      </w:r>
      <w:r>
        <w:rPr>
          <w:color w:val="231F20"/>
          <w:position w:val="7"/>
          <w:sz w:val="12"/>
        </w:rPr>
        <w:t>1</w:t>
      </w:r>
      <w:r>
        <w:rPr>
          <w:color w:val="231F20"/>
        </w:rPr>
        <w:t>.</w:t>
      </w:r>
    </w:p>
    <w:p w14:paraId="3428E742" w14:textId="77777777" w:rsidR="00DE575E" w:rsidRDefault="002E7560">
      <w:pPr>
        <w:pStyle w:val="BodyText"/>
        <w:spacing w:before="6" w:line="252" w:lineRule="auto"/>
        <w:ind w:left="533" w:right="128" w:firstLine="283"/>
        <w:jc w:val="both"/>
      </w:pPr>
      <w:r>
        <w:rPr>
          <w:color w:val="231F20"/>
        </w:rPr>
        <w:t>Можливий перерозподіл повноважень і без змін у структурі публічної адміністрації. Наприклад, рішення про зміну предмета відання суб’єкта майже автоматично призводить до розширення (звуження) кола його повноважень.</w:t>
      </w:r>
    </w:p>
    <w:p w14:paraId="203CAA17" w14:textId="77777777" w:rsidR="00DE575E" w:rsidRDefault="002E7560">
      <w:pPr>
        <w:pStyle w:val="BodyText"/>
        <w:spacing w:before="2" w:line="252" w:lineRule="auto"/>
        <w:ind w:left="533" w:right="127" w:firstLine="283"/>
        <w:jc w:val="both"/>
      </w:pPr>
      <w:r>
        <w:rPr>
          <w:color w:val="231F20"/>
        </w:rPr>
        <w:t>Зміст</w:t>
      </w:r>
      <w:r>
        <w:rPr>
          <w:color w:val="231F20"/>
          <w:spacing w:val="-12"/>
        </w:rPr>
        <w:t xml:space="preserve"> </w:t>
      </w:r>
      <w:r>
        <w:rPr>
          <w:b/>
          <w:i/>
          <w:color w:val="231F20"/>
        </w:rPr>
        <w:t>делегування</w:t>
      </w:r>
      <w:r>
        <w:rPr>
          <w:b/>
          <w:i/>
          <w:color w:val="231F20"/>
          <w:spacing w:val="-12"/>
        </w:rPr>
        <w:t xml:space="preserve"> </w:t>
      </w:r>
      <w:r>
        <w:rPr>
          <w:b/>
          <w:i/>
          <w:color w:val="231F20"/>
        </w:rPr>
        <w:t>повноважень</w:t>
      </w:r>
      <w:r>
        <w:rPr>
          <w:b/>
          <w:i/>
          <w:color w:val="231F20"/>
          <w:spacing w:val="-11"/>
        </w:rPr>
        <w:t xml:space="preserve"> </w:t>
      </w:r>
      <w:r>
        <w:rPr>
          <w:color w:val="231F20"/>
        </w:rPr>
        <w:t>полягає</w:t>
      </w:r>
      <w:r>
        <w:rPr>
          <w:color w:val="231F20"/>
          <w:spacing w:val="-12"/>
        </w:rPr>
        <w:t xml:space="preserve"> </w:t>
      </w:r>
      <w:r>
        <w:rPr>
          <w:color w:val="231F20"/>
        </w:rPr>
        <w:t>в</w:t>
      </w:r>
      <w:r>
        <w:rPr>
          <w:color w:val="231F20"/>
          <w:spacing w:val="-12"/>
        </w:rPr>
        <w:t xml:space="preserve"> </w:t>
      </w:r>
      <w:r>
        <w:rPr>
          <w:color w:val="231F20"/>
        </w:rPr>
        <w:t>переданні</w:t>
      </w:r>
      <w:r>
        <w:rPr>
          <w:color w:val="231F20"/>
          <w:spacing w:val="-12"/>
        </w:rPr>
        <w:t xml:space="preserve"> </w:t>
      </w:r>
      <w:r>
        <w:rPr>
          <w:color w:val="231F20"/>
          <w:spacing w:val="-3"/>
        </w:rPr>
        <w:t xml:space="preserve">суб’єктами </w:t>
      </w:r>
      <w:r>
        <w:rPr>
          <w:color w:val="231F20"/>
        </w:rPr>
        <w:t>публічної</w:t>
      </w:r>
      <w:r>
        <w:rPr>
          <w:color w:val="231F20"/>
          <w:spacing w:val="-7"/>
        </w:rPr>
        <w:t xml:space="preserve"> </w:t>
      </w:r>
      <w:r>
        <w:rPr>
          <w:color w:val="231F20"/>
        </w:rPr>
        <w:t>адміністрацій</w:t>
      </w:r>
      <w:r>
        <w:rPr>
          <w:color w:val="231F20"/>
          <w:spacing w:val="-7"/>
        </w:rPr>
        <w:t xml:space="preserve"> </w:t>
      </w:r>
      <w:r>
        <w:rPr>
          <w:color w:val="231F20"/>
        </w:rPr>
        <w:t>своїх</w:t>
      </w:r>
      <w:r>
        <w:rPr>
          <w:color w:val="231F20"/>
          <w:spacing w:val="-7"/>
        </w:rPr>
        <w:t xml:space="preserve"> </w:t>
      </w:r>
      <w:r>
        <w:rPr>
          <w:color w:val="231F20"/>
        </w:rPr>
        <w:t>повноважень</w:t>
      </w:r>
      <w:r>
        <w:rPr>
          <w:color w:val="231F20"/>
          <w:spacing w:val="-7"/>
        </w:rPr>
        <w:t xml:space="preserve"> </w:t>
      </w:r>
      <w:r>
        <w:rPr>
          <w:color w:val="231F20"/>
        </w:rPr>
        <w:t>іншим</w:t>
      </w:r>
      <w:r>
        <w:rPr>
          <w:color w:val="231F20"/>
          <w:spacing w:val="-7"/>
        </w:rPr>
        <w:t xml:space="preserve"> </w:t>
      </w:r>
      <w:r>
        <w:rPr>
          <w:color w:val="231F20"/>
          <w:spacing w:val="-3"/>
        </w:rPr>
        <w:t>суб’єктам.</w:t>
      </w:r>
      <w:r>
        <w:rPr>
          <w:color w:val="231F20"/>
          <w:spacing w:val="-7"/>
        </w:rPr>
        <w:t xml:space="preserve"> </w:t>
      </w:r>
      <w:r>
        <w:rPr>
          <w:color w:val="231F20"/>
        </w:rPr>
        <w:t xml:space="preserve">Делегу- вання, як і перерозподіл, є вторинним способом набуття повнова- жень, адже делегувати можна лише ті, які вже належать </w:t>
      </w:r>
      <w:r>
        <w:rPr>
          <w:color w:val="231F20"/>
          <w:spacing w:val="-3"/>
        </w:rPr>
        <w:t xml:space="preserve">суб’єктові </w:t>
      </w:r>
      <w:r>
        <w:rPr>
          <w:color w:val="231F20"/>
        </w:rPr>
        <w:t>публічної</w:t>
      </w:r>
      <w:r>
        <w:rPr>
          <w:color w:val="231F20"/>
          <w:spacing w:val="-1"/>
        </w:rPr>
        <w:t xml:space="preserve"> </w:t>
      </w:r>
      <w:r>
        <w:rPr>
          <w:color w:val="231F20"/>
        </w:rPr>
        <w:t>адміністрації.</w:t>
      </w:r>
    </w:p>
    <w:p w14:paraId="52560966" w14:textId="77777777" w:rsidR="00DE575E" w:rsidRDefault="002E7560">
      <w:pPr>
        <w:pStyle w:val="BodyText"/>
        <w:spacing w:before="2" w:line="252" w:lineRule="auto"/>
        <w:ind w:left="533" w:right="125" w:firstLine="283"/>
        <w:jc w:val="both"/>
      </w:pPr>
      <w:r>
        <w:rPr>
          <w:color w:val="231F20"/>
        </w:rPr>
        <w:t>Делегування по</w:t>
      </w:r>
      <w:r>
        <w:rPr>
          <w:color w:val="231F20"/>
        </w:rPr>
        <w:t xml:space="preserve">вноважень може здійснюватися з метою підви- щення ефективності урядування, зменшення організаційного навантаження на суб’єкт або залучення громадськості до процесу адміністрування. Є випадки, коли причиною делегування є немож- ливість суб’єкта, наділеного </w:t>
      </w:r>
      <w:r>
        <w:rPr>
          <w:color w:val="231F20"/>
        </w:rPr>
        <w:t>повноваженнями, виконувати їх самостійно. Однак у будь-якому  разі  результатом  делегування  має стати підвищення ефективності задоволення публічного інтересу.</w:t>
      </w:r>
    </w:p>
    <w:p w14:paraId="49B36E1D" w14:textId="63E7991B" w:rsidR="00DE575E" w:rsidRDefault="002E7560">
      <w:pPr>
        <w:pStyle w:val="BodyText"/>
        <w:spacing w:before="4"/>
        <w:rPr>
          <w:sz w:val="19"/>
        </w:rPr>
      </w:pPr>
      <w:r>
        <w:rPr>
          <w:noProof/>
        </w:rPr>
        <mc:AlternateContent>
          <mc:Choice Requires="wps">
            <w:drawing>
              <wp:anchor distT="0" distB="0" distL="0" distR="0" simplePos="0" relativeHeight="4456" behindDoc="0" locked="0" layoutInCell="1" allowOverlap="1" wp14:anchorId="46474E98" wp14:editId="4A7ACBC1">
                <wp:simplePos x="0" y="0"/>
                <wp:positionH relativeFrom="page">
                  <wp:posOffset>719455</wp:posOffset>
                </wp:positionH>
                <wp:positionV relativeFrom="paragraph">
                  <wp:posOffset>172085</wp:posOffset>
                </wp:positionV>
                <wp:extent cx="1080135" cy="0"/>
                <wp:effectExtent l="8255" t="6985" r="29210" b="31115"/>
                <wp:wrapTopAndBottom/>
                <wp:docPr id="1173"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32FD8" id="Line_x0020_1172" o:spid="_x0000_s1026" style="position:absolute;z-index:4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55pt" to="141.7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" strokecolor="#231f20" strokeweight=".5pt">
                <w10:wrap type="topAndBottom" anchorx="page"/>
              </v:line>
            </w:pict>
          </mc:Fallback>
        </mc:AlternateContent>
      </w:r>
    </w:p>
    <w:p w14:paraId="03942322" w14:textId="77777777" w:rsidR="00DE575E" w:rsidRDefault="002E7560">
      <w:pPr>
        <w:spacing w:line="204" w:lineRule="auto"/>
        <w:ind w:left="533" w:right="129"/>
        <w:jc w:val="both"/>
        <w:rPr>
          <w:sz w:val="16"/>
        </w:rPr>
      </w:pPr>
      <w:r>
        <w:rPr>
          <w:color w:val="231F20"/>
          <w:position w:val="5"/>
          <w:sz w:val="9"/>
        </w:rPr>
        <w:t xml:space="preserve">1 </w:t>
      </w:r>
      <w:r>
        <w:rPr>
          <w:color w:val="231F20"/>
          <w:sz w:val="16"/>
        </w:rPr>
        <w:t>Про затвердження Порядку здійснення заходів, пов’язаних з утворенням, реорганізацією</w:t>
      </w:r>
      <w:r>
        <w:rPr>
          <w:color w:val="231F20"/>
          <w:spacing w:val="-10"/>
          <w:sz w:val="16"/>
        </w:rPr>
        <w:t xml:space="preserve"> </w:t>
      </w:r>
      <w:r>
        <w:rPr>
          <w:color w:val="231F20"/>
          <w:sz w:val="16"/>
        </w:rPr>
        <w:t>або</w:t>
      </w:r>
      <w:r>
        <w:rPr>
          <w:color w:val="231F20"/>
          <w:spacing w:val="-10"/>
          <w:sz w:val="16"/>
        </w:rPr>
        <w:t xml:space="preserve"> </w:t>
      </w:r>
      <w:r>
        <w:rPr>
          <w:color w:val="231F20"/>
          <w:sz w:val="16"/>
        </w:rPr>
        <w:t>лі</w:t>
      </w:r>
      <w:r>
        <w:rPr>
          <w:color w:val="231F20"/>
          <w:sz w:val="16"/>
        </w:rPr>
        <w:t>квідацією</w:t>
      </w:r>
      <w:r>
        <w:rPr>
          <w:color w:val="231F20"/>
          <w:spacing w:val="-10"/>
          <w:sz w:val="16"/>
        </w:rPr>
        <w:t xml:space="preserve"> </w:t>
      </w:r>
      <w:r>
        <w:rPr>
          <w:color w:val="231F20"/>
          <w:sz w:val="16"/>
        </w:rPr>
        <w:t>міністерств,</w:t>
      </w:r>
      <w:r>
        <w:rPr>
          <w:color w:val="231F20"/>
          <w:spacing w:val="-10"/>
          <w:sz w:val="16"/>
        </w:rPr>
        <w:t xml:space="preserve"> </w:t>
      </w:r>
      <w:r>
        <w:rPr>
          <w:color w:val="231F20"/>
          <w:sz w:val="16"/>
        </w:rPr>
        <w:t>інших</w:t>
      </w:r>
      <w:r>
        <w:rPr>
          <w:color w:val="231F20"/>
          <w:spacing w:val="-10"/>
          <w:sz w:val="16"/>
        </w:rPr>
        <w:t xml:space="preserve"> </w:t>
      </w:r>
      <w:r>
        <w:rPr>
          <w:color w:val="231F20"/>
          <w:sz w:val="16"/>
        </w:rPr>
        <w:t>центральних</w:t>
      </w:r>
      <w:r>
        <w:rPr>
          <w:color w:val="231F20"/>
          <w:spacing w:val="-10"/>
          <w:sz w:val="16"/>
        </w:rPr>
        <w:t xml:space="preserve"> </w:t>
      </w:r>
      <w:r>
        <w:rPr>
          <w:color w:val="231F20"/>
          <w:sz w:val="16"/>
        </w:rPr>
        <w:t>органів</w:t>
      </w:r>
      <w:r>
        <w:rPr>
          <w:color w:val="231F20"/>
          <w:spacing w:val="-10"/>
          <w:sz w:val="16"/>
        </w:rPr>
        <w:t xml:space="preserve"> </w:t>
      </w:r>
      <w:r>
        <w:rPr>
          <w:color w:val="231F20"/>
          <w:sz w:val="16"/>
        </w:rPr>
        <w:t>виконавчої</w:t>
      </w:r>
      <w:r>
        <w:rPr>
          <w:color w:val="231F20"/>
          <w:spacing w:val="-10"/>
          <w:sz w:val="16"/>
        </w:rPr>
        <w:t xml:space="preserve"> </w:t>
      </w:r>
      <w:r>
        <w:rPr>
          <w:color w:val="231F20"/>
          <w:sz w:val="16"/>
        </w:rPr>
        <w:t>влади (Постанова Кабінету Міністрів України від 20.10.2011. № 1074</w:t>
      </w:r>
      <w:r>
        <w:rPr>
          <w:color w:val="231F20"/>
          <w:spacing w:val="-16"/>
          <w:sz w:val="16"/>
        </w:rPr>
        <w:t xml:space="preserve"> </w:t>
      </w:r>
      <w:r>
        <w:rPr>
          <w:color w:val="231F20"/>
          <w:sz w:val="16"/>
        </w:rPr>
        <w:t>р.).</w:t>
      </w:r>
    </w:p>
    <w:p w14:paraId="65148599" w14:textId="77777777" w:rsidR="00DE575E" w:rsidRDefault="00DE575E">
      <w:pPr>
        <w:pStyle w:val="BodyText"/>
        <w:spacing w:before="2"/>
        <w:rPr>
          <w:sz w:val="12"/>
        </w:rPr>
      </w:pPr>
    </w:p>
    <w:p w14:paraId="5F562BE7" w14:textId="77777777" w:rsidR="00DE575E" w:rsidRDefault="002E7560">
      <w:pPr>
        <w:spacing w:before="92"/>
        <w:ind w:left="533"/>
        <w:rPr>
          <w:rFonts w:ascii="Times New Roman"/>
          <w:sz w:val="20"/>
        </w:rPr>
      </w:pPr>
      <w:r>
        <w:rPr>
          <w:rFonts w:ascii="Times New Roman"/>
          <w:color w:val="231F20"/>
          <w:sz w:val="20"/>
        </w:rPr>
        <w:t>92</w:t>
      </w:r>
    </w:p>
    <w:p w14:paraId="07DF1749" w14:textId="77777777" w:rsidR="00DE575E" w:rsidRDefault="00DE575E">
      <w:pPr>
        <w:rPr>
          <w:rFonts w:ascii="Times New Roman"/>
          <w:sz w:val="20"/>
        </w:rPr>
        <w:sectPr w:rsidR="00DE575E">
          <w:pgSz w:w="8510" w:h="12760"/>
          <w:pgMar w:top="660" w:right="720" w:bottom="280" w:left="600" w:header="720" w:footer="720" w:gutter="0"/>
          <w:cols w:space="720"/>
        </w:sectPr>
      </w:pPr>
    </w:p>
    <w:p w14:paraId="148D013F"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00758A6F" w14:textId="32112DC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89EE586" wp14:editId="7DF4C407">
                <wp:extent cx="4140200" cy="6350"/>
                <wp:effectExtent l="0" t="0" r="12700" b="6350"/>
                <wp:docPr id="1171"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72" name="Line 11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AC5E0E" id="Group_x0020_11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lzzA5n4CAACcBQAADgAA&#10;AAAAAAAAAAAAAAAsAgAAZHJzL2Uyb0RvYy54bWxQSwECLQAUAAYACAAAACEATKewkNkAAAADAQAA&#10;DwAAAAAAAAAAAAAAAADWBAAAZHJzL2Rvd25yZXYueG1sUEsFBgAAAAAEAAQA8wAAANwFAAAAAA==&#10;">
                <v:line id="Line_x0020_11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8Ji8QAAADdAAAADwAAAGRycy9kb3ducmV2LnhtbERP22rCQBB9F/oPyxR8kbpRQUvqKiIU&#10;ig/e0g8Ys9MkdHc2ZleT9utdQfBtDuc682VnjbhS4yvHCkbDBARx7nTFhYLv7PPtHYQPyBqNY1Lw&#10;Rx6Wi5feHFPtWj7Q9RgKEUPYp6igDKFOpfR5SRb90NXEkftxjcUQYVNI3WAbw62R4ySZSosVx4YS&#10;a1qXlP8eL1ZBdh4Es99tTJvtThN5Om8n/5etUv3XbvUBIlAXnuKH+0vH+aPZGO7fxBP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wmLxAAAAN0AAAAPAAAAAAAAAAAA&#10;AAAAAKECAABkcnMvZG93bnJldi54bWxQSwUGAAAAAAQABAD5AAAAkgMAAAAA&#10;" strokecolor="#231f20" strokeweight=".5pt"/>
                <w10:anchorlock/>
              </v:group>
            </w:pict>
          </mc:Fallback>
        </mc:AlternateContent>
      </w:r>
    </w:p>
    <w:p w14:paraId="384C6ECF" w14:textId="77777777" w:rsidR="00DE575E" w:rsidRDefault="00DE575E">
      <w:pPr>
        <w:pStyle w:val="BodyText"/>
        <w:spacing w:before="3"/>
        <w:rPr>
          <w:rFonts w:ascii="AdonisC"/>
          <w:i/>
          <w:sz w:val="12"/>
        </w:rPr>
      </w:pPr>
    </w:p>
    <w:p w14:paraId="6743D4AA" w14:textId="77777777" w:rsidR="00DE575E" w:rsidRDefault="002E7560">
      <w:pPr>
        <w:spacing w:before="100"/>
        <w:ind w:left="533"/>
        <w:rPr>
          <w:i/>
          <w:sz w:val="21"/>
        </w:rPr>
      </w:pPr>
      <w:r>
        <w:rPr>
          <w:i/>
          <w:color w:val="231F20"/>
          <w:sz w:val="21"/>
        </w:rPr>
        <w:t>Прийнято виділяти такі способи делегування повноважень:</w:t>
      </w:r>
    </w:p>
    <w:p w14:paraId="30425E6B" w14:textId="77777777" w:rsidR="00DE575E" w:rsidRDefault="002E7560">
      <w:pPr>
        <w:pStyle w:val="ListParagraph"/>
        <w:numPr>
          <w:ilvl w:val="1"/>
          <w:numId w:val="269"/>
        </w:numPr>
        <w:tabs>
          <w:tab w:val="left" w:pos="818"/>
        </w:tabs>
        <w:spacing w:before="13"/>
        <w:rPr>
          <w:sz w:val="21"/>
        </w:rPr>
      </w:pPr>
      <w:r>
        <w:rPr>
          <w:color w:val="231F20"/>
          <w:sz w:val="21"/>
        </w:rPr>
        <w:t>через видання нормативного</w:t>
      </w:r>
      <w:r>
        <w:rPr>
          <w:color w:val="231F20"/>
          <w:spacing w:val="-2"/>
          <w:sz w:val="21"/>
        </w:rPr>
        <w:t xml:space="preserve"> </w:t>
      </w:r>
      <w:r>
        <w:rPr>
          <w:color w:val="231F20"/>
          <w:sz w:val="21"/>
        </w:rPr>
        <w:t>акта;</w:t>
      </w:r>
    </w:p>
    <w:p w14:paraId="7D2CEE7B" w14:textId="77777777" w:rsidR="00DE575E" w:rsidRDefault="002E7560">
      <w:pPr>
        <w:pStyle w:val="ListParagraph"/>
        <w:numPr>
          <w:ilvl w:val="1"/>
          <w:numId w:val="269"/>
        </w:numPr>
        <w:tabs>
          <w:tab w:val="left" w:pos="818"/>
        </w:tabs>
        <w:spacing w:before="13"/>
        <w:rPr>
          <w:sz w:val="21"/>
        </w:rPr>
      </w:pPr>
      <w:r>
        <w:rPr>
          <w:color w:val="231F20"/>
          <w:sz w:val="21"/>
        </w:rPr>
        <w:t>через видання індивідуального</w:t>
      </w:r>
      <w:r>
        <w:rPr>
          <w:color w:val="231F20"/>
          <w:spacing w:val="-2"/>
          <w:sz w:val="21"/>
        </w:rPr>
        <w:t xml:space="preserve"> </w:t>
      </w:r>
      <w:r>
        <w:rPr>
          <w:color w:val="231F20"/>
          <w:sz w:val="21"/>
        </w:rPr>
        <w:t>акта;</w:t>
      </w:r>
    </w:p>
    <w:p w14:paraId="3FC5ED0E" w14:textId="77777777" w:rsidR="00DE575E" w:rsidRDefault="002E7560">
      <w:pPr>
        <w:pStyle w:val="ListParagraph"/>
        <w:numPr>
          <w:ilvl w:val="1"/>
          <w:numId w:val="269"/>
        </w:numPr>
        <w:tabs>
          <w:tab w:val="left" w:pos="818"/>
        </w:tabs>
        <w:spacing w:before="12"/>
        <w:rPr>
          <w:sz w:val="21"/>
        </w:rPr>
      </w:pPr>
      <w:r>
        <w:rPr>
          <w:color w:val="231F20"/>
          <w:sz w:val="21"/>
        </w:rPr>
        <w:t>через укладення адміністративного</w:t>
      </w:r>
      <w:r>
        <w:rPr>
          <w:color w:val="231F20"/>
          <w:spacing w:val="-2"/>
          <w:sz w:val="21"/>
        </w:rPr>
        <w:t xml:space="preserve"> </w:t>
      </w:r>
      <w:r>
        <w:rPr>
          <w:color w:val="231F20"/>
          <w:spacing w:val="-3"/>
          <w:sz w:val="21"/>
        </w:rPr>
        <w:t>договору.</w:t>
      </w:r>
    </w:p>
    <w:p w14:paraId="2723FC0B" w14:textId="77777777" w:rsidR="00DE575E" w:rsidRDefault="002E7560">
      <w:pPr>
        <w:pStyle w:val="BodyText"/>
        <w:spacing w:before="13" w:line="252" w:lineRule="auto"/>
        <w:ind w:left="250" w:right="412" w:firstLine="283"/>
        <w:jc w:val="both"/>
      </w:pPr>
      <w:r>
        <w:rPr>
          <w:color w:val="231F20"/>
        </w:rPr>
        <w:t>Суб’єкт, якому було делеговано повноваження, реалізує їх так само, як і повноваження, отримані іншими способами.</w:t>
      </w:r>
    </w:p>
    <w:p w14:paraId="2A88F030" w14:textId="77777777" w:rsidR="00DE575E" w:rsidRDefault="002E7560">
      <w:pPr>
        <w:spacing w:before="1" w:line="252" w:lineRule="auto"/>
        <w:ind w:left="250" w:right="411" w:firstLine="283"/>
        <w:jc w:val="both"/>
        <w:rPr>
          <w:i/>
          <w:sz w:val="21"/>
        </w:rPr>
      </w:pPr>
      <w:r>
        <w:rPr>
          <w:i/>
          <w:color w:val="231F20"/>
          <w:spacing w:val="-3"/>
          <w:sz w:val="21"/>
        </w:rPr>
        <w:t xml:space="preserve">Таким </w:t>
      </w:r>
      <w:r>
        <w:rPr>
          <w:i/>
          <w:color w:val="231F20"/>
          <w:sz w:val="21"/>
        </w:rPr>
        <w:t xml:space="preserve">чином, делегування адміністративних повноважень перед- бачає, що </w:t>
      </w:r>
      <w:r>
        <w:rPr>
          <w:i/>
          <w:color w:val="231F20"/>
          <w:spacing w:val="-3"/>
          <w:sz w:val="21"/>
        </w:rPr>
        <w:t xml:space="preserve">суб’єкт </w:t>
      </w:r>
      <w:r>
        <w:rPr>
          <w:i/>
          <w:color w:val="231F20"/>
          <w:sz w:val="21"/>
        </w:rPr>
        <w:t>публічної адміністрації ситуаційно, тимчасово  або безстроково передає іншій особі належні йому адміністративні повноваження на підставі нормативного чи індивідуального акта або адміністративного договору з метою ефективного, якісного забезпечення публічно</w:t>
      </w:r>
      <w:r>
        <w:rPr>
          <w:i/>
          <w:color w:val="231F20"/>
          <w:sz w:val="21"/>
        </w:rPr>
        <w:t>го</w:t>
      </w:r>
      <w:r>
        <w:rPr>
          <w:i/>
          <w:color w:val="231F20"/>
          <w:spacing w:val="-3"/>
          <w:sz w:val="21"/>
        </w:rPr>
        <w:t xml:space="preserve"> </w:t>
      </w:r>
      <w:r>
        <w:rPr>
          <w:i/>
          <w:color w:val="231F20"/>
          <w:sz w:val="21"/>
        </w:rPr>
        <w:t>інтересу.</w:t>
      </w:r>
    </w:p>
    <w:p w14:paraId="62733222" w14:textId="77777777" w:rsidR="00DE575E" w:rsidRDefault="002E7560">
      <w:pPr>
        <w:pStyle w:val="Heading6"/>
        <w:spacing w:before="3" w:line="252" w:lineRule="auto"/>
        <w:ind w:left="250" w:right="411"/>
        <w:jc w:val="both"/>
        <w:rPr>
          <w:i w:val="0"/>
        </w:rPr>
      </w:pPr>
      <w:r>
        <w:rPr>
          <w:color w:val="231F20"/>
        </w:rPr>
        <w:t xml:space="preserve">Делегування повноважень у сфері публічного адміністру- </w:t>
      </w:r>
      <w:r>
        <w:rPr>
          <w:color w:val="231F20"/>
        </w:rPr>
        <w:t>вання застосовується досить широко. Найбільш відомими ситуаціями є такі</w:t>
      </w:r>
      <w:r>
        <w:rPr>
          <w:i w:val="0"/>
          <w:color w:val="231F20"/>
        </w:rPr>
        <w:t>:</w:t>
      </w:r>
    </w:p>
    <w:p w14:paraId="7857343D" w14:textId="77777777" w:rsidR="00DE575E" w:rsidRDefault="002E7560">
      <w:pPr>
        <w:pStyle w:val="BodyText"/>
        <w:spacing w:before="2" w:line="252" w:lineRule="auto"/>
        <w:ind w:left="250" w:right="411" w:firstLine="283"/>
        <w:jc w:val="both"/>
      </w:pPr>
      <w:r>
        <w:rPr>
          <w:b/>
          <w:color w:val="231F20"/>
        </w:rPr>
        <w:t>По-перше,</w:t>
      </w:r>
      <w:r>
        <w:rPr>
          <w:b/>
          <w:color w:val="231F20"/>
          <w:spacing w:val="-12"/>
        </w:rPr>
        <w:t xml:space="preserve"> </w:t>
      </w:r>
      <w:r>
        <w:rPr>
          <w:color w:val="231F20"/>
        </w:rPr>
        <w:t>делегування</w:t>
      </w:r>
      <w:r>
        <w:rPr>
          <w:color w:val="231F20"/>
          <w:spacing w:val="-12"/>
        </w:rPr>
        <w:t xml:space="preserve"> </w:t>
      </w:r>
      <w:r>
        <w:rPr>
          <w:color w:val="231F20"/>
        </w:rPr>
        <w:t>керівником</w:t>
      </w:r>
      <w:r>
        <w:rPr>
          <w:color w:val="231F20"/>
          <w:spacing w:val="-12"/>
        </w:rPr>
        <w:t xml:space="preserve"> </w:t>
      </w:r>
      <w:r>
        <w:rPr>
          <w:color w:val="231F20"/>
          <w:spacing w:val="-3"/>
        </w:rPr>
        <w:t>органу,</w:t>
      </w:r>
      <w:r>
        <w:rPr>
          <w:color w:val="231F20"/>
          <w:spacing w:val="-12"/>
        </w:rPr>
        <w:t xml:space="preserve"> </w:t>
      </w:r>
      <w:r>
        <w:rPr>
          <w:color w:val="231F20"/>
        </w:rPr>
        <w:t>структурного</w:t>
      </w:r>
      <w:r>
        <w:rPr>
          <w:color w:val="231F20"/>
          <w:spacing w:val="-12"/>
        </w:rPr>
        <w:t xml:space="preserve"> </w:t>
      </w:r>
      <w:r>
        <w:rPr>
          <w:color w:val="231F20"/>
        </w:rPr>
        <w:t>підроз- ділу своїх повноважень чи їх частини іншій посадовій</w:t>
      </w:r>
      <w:r>
        <w:rPr>
          <w:color w:val="231F20"/>
          <w:spacing w:val="-4"/>
        </w:rPr>
        <w:t xml:space="preserve"> </w:t>
      </w:r>
      <w:r>
        <w:rPr>
          <w:color w:val="231F20"/>
        </w:rPr>
        <w:t>особі.</w:t>
      </w:r>
    </w:p>
    <w:p w14:paraId="447C0BF6" w14:textId="77777777" w:rsidR="00DE575E" w:rsidRDefault="002E7560">
      <w:pPr>
        <w:spacing w:before="99" w:line="244" w:lineRule="auto"/>
        <w:ind w:left="533" w:right="411" w:firstLine="283"/>
        <w:jc w:val="both"/>
        <w:rPr>
          <w:i/>
          <w:sz w:val="18"/>
        </w:rPr>
      </w:pPr>
      <w:r>
        <w:rPr>
          <w:i/>
          <w:color w:val="231F20"/>
          <w:sz w:val="18"/>
          <w:u w:val="single" w:color="231F20"/>
        </w:rPr>
        <w:t>Приклад</w:t>
      </w:r>
      <w:r>
        <w:rPr>
          <w:i/>
          <w:color w:val="231F20"/>
          <w:sz w:val="18"/>
        </w:rPr>
        <w:t>: делегування повноважень здійснюється при розподілі міні- стром власних повноважень між заступниками міністра в разі його відсут- ності (ст. 8 Закону України «Про центральні органи виконавчої влади»).</w:t>
      </w:r>
    </w:p>
    <w:p w14:paraId="65E3A353" w14:textId="77777777" w:rsidR="00DE575E" w:rsidRDefault="002E7560">
      <w:pPr>
        <w:pStyle w:val="BodyText"/>
        <w:spacing w:before="131" w:line="252" w:lineRule="auto"/>
        <w:ind w:left="250" w:right="411" w:firstLine="283"/>
        <w:jc w:val="both"/>
      </w:pPr>
      <w:r>
        <w:rPr>
          <w:b/>
          <w:color w:val="231F20"/>
        </w:rPr>
        <w:t>По-друге,</w:t>
      </w:r>
      <w:r>
        <w:rPr>
          <w:b/>
          <w:color w:val="231F20"/>
          <w:spacing w:val="-12"/>
        </w:rPr>
        <w:t xml:space="preserve"> </w:t>
      </w:r>
      <w:r>
        <w:rPr>
          <w:color w:val="231F20"/>
        </w:rPr>
        <w:t>делегування</w:t>
      </w:r>
      <w:r>
        <w:rPr>
          <w:color w:val="231F20"/>
          <w:spacing w:val="-12"/>
        </w:rPr>
        <w:t xml:space="preserve"> </w:t>
      </w:r>
      <w:r>
        <w:rPr>
          <w:color w:val="231F20"/>
        </w:rPr>
        <w:t>повноважень</w:t>
      </w:r>
      <w:r>
        <w:rPr>
          <w:color w:val="231F20"/>
          <w:spacing w:val="-12"/>
        </w:rPr>
        <w:t xml:space="preserve"> </w:t>
      </w:r>
      <w:r>
        <w:rPr>
          <w:color w:val="231F20"/>
        </w:rPr>
        <w:t>у</w:t>
      </w:r>
      <w:r>
        <w:rPr>
          <w:color w:val="231F20"/>
          <w:spacing w:val="-12"/>
        </w:rPr>
        <w:t xml:space="preserve"> </w:t>
      </w:r>
      <w:r>
        <w:rPr>
          <w:color w:val="231F20"/>
        </w:rPr>
        <w:t>проц</w:t>
      </w:r>
      <w:r>
        <w:rPr>
          <w:color w:val="231F20"/>
        </w:rPr>
        <w:t>есі</w:t>
      </w:r>
      <w:r>
        <w:rPr>
          <w:color w:val="231F20"/>
          <w:spacing w:val="-12"/>
        </w:rPr>
        <w:t xml:space="preserve"> </w:t>
      </w:r>
      <w:r>
        <w:rPr>
          <w:color w:val="231F20"/>
        </w:rPr>
        <w:t>взаємодії</w:t>
      </w:r>
      <w:r>
        <w:rPr>
          <w:color w:val="231F20"/>
          <w:spacing w:val="-12"/>
        </w:rPr>
        <w:t xml:space="preserve"> </w:t>
      </w:r>
      <w:r>
        <w:rPr>
          <w:color w:val="231F20"/>
        </w:rPr>
        <w:t>місцевих державних адміністрацій та органів місцевого</w:t>
      </w:r>
      <w:r>
        <w:rPr>
          <w:color w:val="231F20"/>
          <w:spacing w:val="-10"/>
        </w:rPr>
        <w:t xml:space="preserve"> </w:t>
      </w:r>
      <w:r>
        <w:rPr>
          <w:color w:val="231F20"/>
        </w:rPr>
        <w:t>самоврядування.</w:t>
      </w:r>
    </w:p>
    <w:p w14:paraId="68FD8184" w14:textId="77777777" w:rsidR="00DE575E" w:rsidRDefault="002E7560">
      <w:pPr>
        <w:spacing w:before="99" w:line="244" w:lineRule="auto"/>
        <w:ind w:left="533" w:right="411" w:firstLine="283"/>
        <w:jc w:val="both"/>
        <w:rPr>
          <w:i/>
          <w:sz w:val="18"/>
        </w:rPr>
      </w:pPr>
      <w:r>
        <w:rPr>
          <w:i/>
          <w:color w:val="231F20"/>
          <w:sz w:val="18"/>
          <w:u w:val="single" w:color="231F20"/>
        </w:rPr>
        <w:t>Приклад:</w:t>
      </w:r>
      <w:r>
        <w:rPr>
          <w:i/>
          <w:color w:val="231F20"/>
          <w:sz w:val="18"/>
        </w:rPr>
        <w:t xml:space="preserve"> Закон України «Про місцеве самоврядування» визначає, що деле- говані повноваження – це повноваження органів місцевого самоврядування, які передаються відповідним м</w:t>
      </w:r>
      <w:r>
        <w:rPr>
          <w:i/>
          <w:color w:val="231F20"/>
          <w:sz w:val="18"/>
        </w:rPr>
        <w:t>ісцевим державним адміністраціям за рішен- нями районних, обласних рад.</w:t>
      </w:r>
    </w:p>
    <w:p w14:paraId="605E810A" w14:textId="77777777" w:rsidR="00DE575E" w:rsidRDefault="002E7560">
      <w:pPr>
        <w:pStyle w:val="BodyText"/>
        <w:spacing w:before="131" w:line="252" w:lineRule="auto"/>
        <w:ind w:left="250" w:right="411" w:firstLine="283"/>
        <w:jc w:val="both"/>
      </w:pPr>
      <w:r>
        <w:rPr>
          <w:b/>
          <w:color w:val="231F20"/>
        </w:rPr>
        <w:t>По-третє,</w:t>
      </w:r>
      <w:r>
        <w:rPr>
          <w:b/>
          <w:color w:val="231F20"/>
          <w:spacing w:val="-12"/>
        </w:rPr>
        <w:t xml:space="preserve"> </w:t>
      </w:r>
      <w:r>
        <w:rPr>
          <w:color w:val="231F20"/>
        </w:rPr>
        <w:t>делегування,</w:t>
      </w:r>
      <w:r>
        <w:rPr>
          <w:color w:val="231F20"/>
          <w:spacing w:val="-12"/>
        </w:rPr>
        <w:t xml:space="preserve"> </w:t>
      </w:r>
      <w:r>
        <w:rPr>
          <w:color w:val="231F20"/>
        </w:rPr>
        <w:t>яке</w:t>
      </w:r>
      <w:r>
        <w:rPr>
          <w:color w:val="231F20"/>
          <w:spacing w:val="-12"/>
        </w:rPr>
        <w:t xml:space="preserve"> </w:t>
      </w:r>
      <w:r>
        <w:rPr>
          <w:color w:val="231F20"/>
        </w:rPr>
        <w:t>відбувається</w:t>
      </w:r>
      <w:r>
        <w:rPr>
          <w:color w:val="231F20"/>
          <w:spacing w:val="-12"/>
        </w:rPr>
        <w:t xml:space="preserve"> </w:t>
      </w:r>
      <w:r>
        <w:rPr>
          <w:color w:val="231F20"/>
        </w:rPr>
        <w:t>в</w:t>
      </w:r>
      <w:r>
        <w:rPr>
          <w:color w:val="231F20"/>
          <w:spacing w:val="-12"/>
        </w:rPr>
        <w:t xml:space="preserve"> </w:t>
      </w:r>
      <w:r>
        <w:rPr>
          <w:color w:val="231F20"/>
        </w:rPr>
        <w:t>межах</w:t>
      </w:r>
      <w:r>
        <w:rPr>
          <w:color w:val="231F20"/>
          <w:spacing w:val="-12"/>
        </w:rPr>
        <w:t xml:space="preserve"> </w:t>
      </w:r>
      <w:r>
        <w:rPr>
          <w:color w:val="231F20"/>
        </w:rPr>
        <w:t>системи</w:t>
      </w:r>
      <w:r>
        <w:rPr>
          <w:color w:val="231F20"/>
          <w:spacing w:val="-12"/>
        </w:rPr>
        <w:t xml:space="preserve"> </w:t>
      </w:r>
      <w:r>
        <w:rPr>
          <w:color w:val="231F20"/>
        </w:rPr>
        <w:t xml:space="preserve">органів виконавчої влади між окремими </w:t>
      </w:r>
      <w:r>
        <w:rPr>
          <w:color w:val="231F20"/>
          <w:spacing w:val="-3"/>
        </w:rPr>
        <w:t xml:space="preserve">суб’єктами </w:t>
      </w:r>
      <w:r>
        <w:rPr>
          <w:color w:val="231F20"/>
        </w:rPr>
        <w:t>публічного адміністру- вання. Повноваження можуть передаватись між органами як пов’я- заними, так і не пов’язаними владною</w:t>
      </w:r>
      <w:r>
        <w:rPr>
          <w:color w:val="231F20"/>
          <w:spacing w:val="-7"/>
        </w:rPr>
        <w:t xml:space="preserve"> </w:t>
      </w:r>
      <w:r>
        <w:rPr>
          <w:color w:val="231F20"/>
        </w:rPr>
        <w:t>вертикаллю.</w:t>
      </w:r>
    </w:p>
    <w:p w14:paraId="24893F8A" w14:textId="77777777" w:rsidR="00DE575E" w:rsidRDefault="002E7560">
      <w:pPr>
        <w:spacing w:before="101" w:line="244" w:lineRule="auto"/>
        <w:ind w:left="533" w:right="411" w:firstLine="283"/>
        <w:jc w:val="both"/>
        <w:rPr>
          <w:i/>
          <w:sz w:val="18"/>
        </w:rPr>
      </w:pPr>
      <w:r>
        <w:rPr>
          <w:i/>
          <w:color w:val="231F20"/>
          <w:sz w:val="18"/>
          <w:u w:val="single" w:color="231F20"/>
        </w:rPr>
        <w:t>Приклад</w:t>
      </w:r>
      <w:r>
        <w:rPr>
          <w:i/>
          <w:color w:val="231F20"/>
          <w:sz w:val="18"/>
        </w:rPr>
        <w:t xml:space="preserve">: Наказ Міністерства економіки України «Про порядок ліцензу- </w:t>
      </w:r>
      <w:r>
        <w:rPr>
          <w:i/>
          <w:color w:val="231F20"/>
          <w:sz w:val="18"/>
        </w:rPr>
        <w:t xml:space="preserve">вання експорту товарів» містить положення про делегування структур- ним підрозділам обласних державних адміністрацій права видання ліцензій на експорт товарів </w:t>
      </w:r>
      <w:r>
        <w:rPr>
          <w:i/>
          <w:color w:val="231F20"/>
          <w:spacing w:val="-3"/>
          <w:sz w:val="18"/>
        </w:rPr>
        <w:t xml:space="preserve">суб’єктам </w:t>
      </w:r>
      <w:r>
        <w:rPr>
          <w:i/>
          <w:color w:val="231F20"/>
          <w:sz w:val="18"/>
        </w:rPr>
        <w:t>зовнішньоекономічної діяльності, які зареє- стровані</w:t>
      </w:r>
      <w:r>
        <w:rPr>
          <w:i/>
          <w:color w:val="231F20"/>
          <w:spacing w:val="-6"/>
          <w:sz w:val="18"/>
        </w:rPr>
        <w:t xml:space="preserve"> </w:t>
      </w:r>
      <w:r>
        <w:rPr>
          <w:i/>
          <w:color w:val="231F20"/>
          <w:sz w:val="18"/>
        </w:rPr>
        <w:t>у</w:t>
      </w:r>
      <w:r>
        <w:rPr>
          <w:i/>
          <w:color w:val="231F20"/>
          <w:spacing w:val="-6"/>
          <w:sz w:val="18"/>
        </w:rPr>
        <w:t xml:space="preserve"> </w:t>
      </w:r>
      <w:r>
        <w:rPr>
          <w:i/>
          <w:color w:val="231F20"/>
          <w:sz w:val="18"/>
        </w:rPr>
        <w:t>відповідних</w:t>
      </w:r>
      <w:r>
        <w:rPr>
          <w:i/>
          <w:color w:val="231F20"/>
          <w:spacing w:val="-5"/>
          <w:sz w:val="18"/>
        </w:rPr>
        <w:t xml:space="preserve"> </w:t>
      </w:r>
      <w:r>
        <w:rPr>
          <w:i/>
          <w:color w:val="231F20"/>
          <w:sz w:val="18"/>
        </w:rPr>
        <w:t>регіонах</w:t>
      </w:r>
      <w:r>
        <w:rPr>
          <w:i/>
          <w:color w:val="231F20"/>
          <w:spacing w:val="-6"/>
          <w:sz w:val="18"/>
        </w:rPr>
        <w:t xml:space="preserve"> </w:t>
      </w:r>
      <w:r>
        <w:rPr>
          <w:i/>
          <w:color w:val="231F20"/>
          <w:sz w:val="18"/>
        </w:rPr>
        <w:t>та</w:t>
      </w:r>
      <w:r>
        <w:rPr>
          <w:i/>
          <w:color w:val="231F20"/>
          <w:spacing w:val="-6"/>
          <w:sz w:val="18"/>
        </w:rPr>
        <w:t xml:space="preserve"> </w:t>
      </w:r>
      <w:r>
        <w:rPr>
          <w:i/>
          <w:color w:val="231F20"/>
          <w:sz w:val="18"/>
        </w:rPr>
        <w:t>облікова</w:t>
      </w:r>
      <w:r>
        <w:rPr>
          <w:i/>
          <w:color w:val="231F20"/>
          <w:spacing w:val="-6"/>
          <w:sz w:val="18"/>
        </w:rPr>
        <w:t xml:space="preserve"> </w:t>
      </w:r>
      <w:r>
        <w:rPr>
          <w:i/>
          <w:color w:val="231F20"/>
          <w:sz w:val="18"/>
        </w:rPr>
        <w:t>вартість</w:t>
      </w:r>
      <w:r>
        <w:rPr>
          <w:i/>
          <w:color w:val="231F20"/>
          <w:spacing w:val="-6"/>
          <w:sz w:val="18"/>
        </w:rPr>
        <w:t xml:space="preserve"> </w:t>
      </w:r>
      <w:r>
        <w:rPr>
          <w:i/>
          <w:color w:val="231F20"/>
          <w:sz w:val="18"/>
        </w:rPr>
        <w:t>товарів</w:t>
      </w:r>
      <w:r>
        <w:rPr>
          <w:i/>
          <w:color w:val="231F20"/>
          <w:spacing w:val="-6"/>
          <w:sz w:val="18"/>
        </w:rPr>
        <w:t xml:space="preserve"> </w:t>
      </w:r>
      <w:r>
        <w:rPr>
          <w:i/>
          <w:color w:val="231F20"/>
          <w:sz w:val="18"/>
        </w:rPr>
        <w:t>за</w:t>
      </w:r>
      <w:r>
        <w:rPr>
          <w:i/>
          <w:color w:val="231F20"/>
          <w:spacing w:val="-6"/>
          <w:sz w:val="18"/>
        </w:rPr>
        <w:t xml:space="preserve"> </w:t>
      </w:r>
      <w:r>
        <w:rPr>
          <w:i/>
          <w:color w:val="231F20"/>
          <w:sz w:val="18"/>
        </w:rPr>
        <w:t>договорами (контрактами) яких не перевищує 300 тис. доларів</w:t>
      </w:r>
      <w:r>
        <w:rPr>
          <w:i/>
          <w:color w:val="231F20"/>
          <w:spacing w:val="-9"/>
          <w:sz w:val="18"/>
        </w:rPr>
        <w:t xml:space="preserve"> </w:t>
      </w:r>
      <w:r>
        <w:rPr>
          <w:i/>
          <w:color w:val="231F20"/>
          <w:sz w:val="18"/>
        </w:rPr>
        <w:t>США</w:t>
      </w:r>
      <w:r>
        <w:rPr>
          <w:i/>
          <w:color w:val="231F20"/>
          <w:position w:val="6"/>
          <w:sz w:val="10"/>
        </w:rPr>
        <w:t>1</w:t>
      </w:r>
      <w:r>
        <w:rPr>
          <w:i/>
          <w:color w:val="231F20"/>
          <w:sz w:val="18"/>
        </w:rPr>
        <w:t>.</w:t>
      </w:r>
    </w:p>
    <w:p w14:paraId="405761FB" w14:textId="77777777" w:rsidR="00DE575E" w:rsidRDefault="00DE575E">
      <w:pPr>
        <w:pStyle w:val="BodyText"/>
        <w:rPr>
          <w:i/>
          <w:sz w:val="20"/>
        </w:rPr>
      </w:pPr>
    </w:p>
    <w:p w14:paraId="7356B3A5" w14:textId="7088F88D" w:rsidR="00DE575E" w:rsidRDefault="002E7560">
      <w:pPr>
        <w:pStyle w:val="BodyText"/>
        <w:spacing w:before="7"/>
        <w:rPr>
          <w:i/>
          <w:sz w:val="13"/>
        </w:rPr>
      </w:pPr>
      <w:r>
        <w:rPr>
          <w:noProof/>
        </w:rPr>
        <mc:AlternateContent>
          <mc:Choice Requires="wps">
            <w:drawing>
              <wp:anchor distT="0" distB="0" distL="0" distR="0" simplePos="0" relativeHeight="4504" behindDoc="0" locked="0" layoutInCell="1" allowOverlap="1" wp14:anchorId="79DED03C" wp14:editId="732F16C2">
                <wp:simplePos x="0" y="0"/>
                <wp:positionH relativeFrom="page">
                  <wp:posOffset>539750</wp:posOffset>
                </wp:positionH>
                <wp:positionV relativeFrom="paragraph">
                  <wp:posOffset>128905</wp:posOffset>
                </wp:positionV>
                <wp:extent cx="1080135" cy="0"/>
                <wp:effectExtent l="6350" t="14605" r="31115" b="23495"/>
                <wp:wrapTopAndBottom/>
                <wp:docPr id="1170"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EF60A" id="Line_x0020_1169" o:spid="_x0000_s1026" style="position:absolute;z-index:4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15pt" to="127.55pt,1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" strokecolor="#231f20" strokeweight=".5pt">
                <w10:wrap type="topAndBottom" anchorx="page"/>
              </v:line>
            </w:pict>
          </mc:Fallback>
        </mc:AlternateContent>
      </w:r>
    </w:p>
    <w:p w14:paraId="6036BC7F" w14:textId="77777777" w:rsidR="00DE575E" w:rsidRDefault="002E7560">
      <w:pPr>
        <w:spacing w:line="148" w:lineRule="exact"/>
        <w:ind w:left="250"/>
        <w:rPr>
          <w:sz w:val="16"/>
        </w:rPr>
      </w:pPr>
      <w:r>
        <w:rPr>
          <w:color w:val="231F20"/>
          <w:position w:val="5"/>
          <w:sz w:val="9"/>
        </w:rPr>
        <w:t xml:space="preserve">1 </w:t>
      </w:r>
      <w:r>
        <w:rPr>
          <w:color w:val="231F20"/>
          <w:sz w:val="16"/>
        </w:rPr>
        <w:t>Про порядок ліцензування експорту товарів: наказ Мінекономіки від 09.09.2009.</w:t>
      </w:r>
    </w:p>
    <w:p w14:paraId="2EEA4235" w14:textId="77777777" w:rsidR="00DE575E" w:rsidRDefault="002E7560">
      <w:pPr>
        <w:spacing w:line="174" w:lineRule="exact"/>
        <w:ind w:left="250"/>
        <w:rPr>
          <w:sz w:val="16"/>
        </w:rPr>
      </w:pPr>
      <w:r>
        <w:rPr>
          <w:color w:val="231F20"/>
          <w:sz w:val="16"/>
        </w:rPr>
        <w:t xml:space="preserve">№ </w:t>
      </w:r>
      <w:hyperlink r:id="rId30">
        <w:r>
          <w:rPr>
            <w:color w:val="231F20"/>
            <w:sz w:val="16"/>
          </w:rPr>
          <w:t>991. http://zakon3.rada.gov.ua/laws/show/z0937-09</w:t>
        </w:r>
      </w:hyperlink>
    </w:p>
    <w:p w14:paraId="6BFABE92" w14:textId="77777777" w:rsidR="00DE575E" w:rsidRDefault="00DE575E">
      <w:pPr>
        <w:pStyle w:val="BodyText"/>
        <w:spacing w:before="10"/>
        <w:rPr>
          <w:sz w:val="11"/>
        </w:rPr>
      </w:pPr>
    </w:p>
    <w:p w14:paraId="0D6DE6A5" w14:textId="77777777" w:rsidR="00DE575E" w:rsidRDefault="002E7560">
      <w:pPr>
        <w:spacing w:before="92"/>
        <w:ind w:right="411"/>
        <w:jc w:val="right"/>
        <w:rPr>
          <w:rFonts w:ascii="Times New Roman"/>
          <w:sz w:val="20"/>
        </w:rPr>
      </w:pPr>
      <w:r>
        <w:rPr>
          <w:rFonts w:ascii="Times New Roman"/>
          <w:color w:val="231F20"/>
          <w:w w:val="90"/>
          <w:sz w:val="20"/>
        </w:rPr>
        <w:t>93</w:t>
      </w:r>
    </w:p>
    <w:p w14:paraId="4C36084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FE9734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9F91814" w14:textId="54346A6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3E77771" wp14:editId="04D400EE">
                <wp:extent cx="4140200" cy="6350"/>
                <wp:effectExtent l="0" t="0" r="12700" b="6350"/>
                <wp:docPr id="1168"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69" name="Line 116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036EE" id="Group_x0020_116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YTH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pTmEx/AgAAnAUAAA4A&#10;AAAAAAAAAAAAAAAALAIAAGRycy9lMm9Eb2MueG1sUEsBAi0AFAAGAAgAAAAhAEynsJDZAAAAAwEA&#10;AA8AAAAAAAAAAAAAAAAA1wQAAGRycy9kb3ducmV2LnhtbFBLBQYAAAAABAAEAPMAAADdBQAAAAA=&#10;">
                <v:line id="Line_x0020_116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INJ8QAAADdAAAADwAAAGRycy9kb3ducmV2LnhtbERPzWrCQBC+C77DMkIvohsrSBtdRQRB&#10;elBr+gBjdpqE7s7G7GrSPn1XELzNx/c7i1VnjbhR4yvHCibjBARx7nTFhYKvbDt6A+EDskbjmBT8&#10;kofVst9bYKpdy590O4VCxBD2KSooQ6hTKX1ekkU/djVx5L5dYzFE2BRSN9jGcGvka5LMpMWKY0OJ&#10;NW1Kyn9OV6sguwyDOR4+TJsdzlN5vuynf9e9Ui+Dbj0HEagLT/HDvdNx/mT2Dvdv4gl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gg0nxAAAAN0AAAAPAAAAAAAAAAAA&#10;AAAAAKECAABkcnMvZG93bnJldi54bWxQSwUGAAAAAAQABAD5AAAAkgMAAAAA&#10;" strokecolor="#231f20" strokeweight=".5pt"/>
                <w10:anchorlock/>
              </v:group>
            </w:pict>
          </mc:Fallback>
        </mc:AlternateContent>
      </w:r>
    </w:p>
    <w:p w14:paraId="741D9F90" w14:textId="77777777" w:rsidR="00DE575E" w:rsidRDefault="00DE575E">
      <w:pPr>
        <w:pStyle w:val="BodyText"/>
        <w:spacing w:before="7"/>
        <w:rPr>
          <w:rFonts w:ascii="AdonisC"/>
          <w:i/>
          <w:sz w:val="11"/>
        </w:rPr>
      </w:pPr>
    </w:p>
    <w:p w14:paraId="2F7F5186" w14:textId="77777777" w:rsidR="00DE575E" w:rsidRDefault="002E7560">
      <w:pPr>
        <w:pStyle w:val="BodyText"/>
        <w:spacing w:before="101" w:line="252" w:lineRule="auto"/>
        <w:ind w:left="533" w:right="128" w:firstLine="283"/>
        <w:jc w:val="both"/>
      </w:pPr>
      <w:r>
        <w:rPr>
          <w:b/>
          <w:color w:val="231F20"/>
        </w:rPr>
        <w:t xml:space="preserve">По-четверте, </w:t>
      </w:r>
      <w:r>
        <w:rPr>
          <w:color w:val="231F20"/>
        </w:rPr>
        <w:t>делегування повноважень суб’єкта публічного адміністрування приват</w:t>
      </w:r>
      <w:r>
        <w:rPr>
          <w:color w:val="231F20"/>
        </w:rPr>
        <w:t>ним особам.</w:t>
      </w:r>
    </w:p>
    <w:p w14:paraId="42673F0C" w14:textId="77777777" w:rsidR="00DE575E" w:rsidRDefault="002E7560">
      <w:pPr>
        <w:spacing w:before="100" w:line="244" w:lineRule="auto"/>
        <w:ind w:left="817" w:right="127" w:firstLine="283"/>
        <w:jc w:val="both"/>
        <w:rPr>
          <w:i/>
          <w:sz w:val="18"/>
        </w:rPr>
      </w:pPr>
      <w:r>
        <w:rPr>
          <w:i/>
          <w:color w:val="231F20"/>
          <w:sz w:val="18"/>
          <w:u w:val="single" w:color="231F20"/>
        </w:rPr>
        <w:t>Приклад</w:t>
      </w:r>
      <w:r>
        <w:rPr>
          <w:i/>
          <w:color w:val="231F20"/>
          <w:sz w:val="18"/>
        </w:rPr>
        <w:t xml:space="preserve">: Згідно зі ст. 49 Закону України «Про цінні папери та фондовий ринок» </w:t>
      </w:r>
      <w:r>
        <w:rPr>
          <w:i/>
          <w:color w:val="231F20"/>
          <w:spacing w:val="-3"/>
          <w:sz w:val="18"/>
        </w:rPr>
        <w:t xml:space="preserve">об’єднання </w:t>
      </w:r>
      <w:r>
        <w:rPr>
          <w:i/>
          <w:color w:val="231F20"/>
          <w:sz w:val="18"/>
        </w:rPr>
        <w:t xml:space="preserve">професійних учасників фондового ринку </w:t>
      </w:r>
      <w:r>
        <w:rPr>
          <w:i/>
          <w:color w:val="231F20"/>
          <w:spacing w:val="-3"/>
          <w:sz w:val="18"/>
        </w:rPr>
        <w:t xml:space="preserve">може </w:t>
      </w:r>
      <w:r>
        <w:rPr>
          <w:i/>
          <w:color w:val="231F20"/>
          <w:sz w:val="18"/>
        </w:rPr>
        <w:t>викону- вати повноваження, передбачені у відповідному рішенні Національної комісії з цінних паперів та фондового ринку про делегування повноважень з регулю- вання фондового</w:t>
      </w:r>
      <w:r>
        <w:rPr>
          <w:i/>
          <w:color w:val="231F20"/>
          <w:spacing w:val="-2"/>
          <w:sz w:val="18"/>
        </w:rPr>
        <w:t xml:space="preserve"> </w:t>
      </w:r>
      <w:r>
        <w:rPr>
          <w:i/>
          <w:color w:val="231F20"/>
          <w:sz w:val="18"/>
        </w:rPr>
        <w:t>ринку</w:t>
      </w:r>
      <w:r>
        <w:rPr>
          <w:i/>
          <w:color w:val="231F20"/>
          <w:position w:val="6"/>
          <w:sz w:val="10"/>
        </w:rPr>
        <w:t>1</w:t>
      </w:r>
      <w:r>
        <w:rPr>
          <w:i/>
          <w:color w:val="231F20"/>
          <w:sz w:val="18"/>
        </w:rPr>
        <w:t>.</w:t>
      </w:r>
    </w:p>
    <w:p w14:paraId="0DEA8023" w14:textId="77777777" w:rsidR="00DE575E" w:rsidRDefault="00DE575E">
      <w:pPr>
        <w:pStyle w:val="BodyText"/>
        <w:rPr>
          <w:i/>
          <w:sz w:val="20"/>
        </w:rPr>
      </w:pPr>
    </w:p>
    <w:p w14:paraId="78426AD8" w14:textId="77777777" w:rsidR="00DE575E" w:rsidRDefault="00DE575E">
      <w:pPr>
        <w:pStyle w:val="BodyText"/>
        <w:rPr>
          <w:i/>
          <w:sz w:val="20"/>
        </w:rPr>
      </w:pPr>
    </w:p>
    <w:p w14:paraId="2709E026" w14:textId="77777777" w:rsidR="00DE575E" w:rsidRDefault="002E7560">
      <w:pPr>
        <w:pStyle w:val="Heading4"/>
        <w:numPr>
          <w:ilvl w:val="1"/>
          <w:numId w:val="271"/>
        </w:numPr>
        <w:tabs>
          <w:tab w:val="left" w:pos="1163"/>
        </w:tabs>
        <w:spacing w:before="170"/>
        <w:ind w:left="1162" w:hanging="410"/>
        <w:jc w:val="left"/>
      </w:pPr>
      <w:r>
        <w:rPr>
          <w:color w:val="231F20"/>
        </w:rPr>
        <w:t xml:space="preserve">Роль Президента </w:t>
      </w:r>
      <w:r>
        <w:rPr>
          <w:color w:val="231F20"/>
          <w:spacing w:val="-4"/>
        </w:rPr>
        <w:t xml:space="preserve">України </w:t>
      </w:r>
      <w:r>
        <w:rPr>
          <w:color w:val="231F20"/>
        </w:rPr>
        <w:t>в системі виконавчої</w:t>
      </w:r>
      <w:r>
        <w:rPr>
          <w:color w:val="231F20"/>
          <w:spacing w:val="-14"/>
        </w:rPr>
        <w:t xml:space="preserve"> </w:t>
      </w:r>
      <w:r>
        <w:rPr>
          <w:color w:val="231F20"/>
        </w:rPr>
        <w:t>влади</w:t>
      </w:r>
    </w:p>
    <w:p w14:paraId="40E8D910" w14:textId="77777777" w:rsidR="00DE575E" w:rsidRDefault="00DE575E">
      <w:pPr>
        <w:pStyle w:val="BodyText"/>
        <w:rPr>
          <w:b/>
          <w:sz w:val="26"/>
        </w:rPr>
      </w:pPr>
    </w:p>
    <w:p w14:paraId="3FDC0AB0" w14:textId="77777777" w:rsidR="00DE575E" w:rsidRDefault="002E7560">
      <w:pPr>
        <w:pStyle w:val="BodyText"/>
        <w:spacing w:before="223" w:line="252" w:lineRule="auto"/>
        <w:ind w:left="533" w:right="127" w:firstLine="283"/>
        <w:jc w:val="both"/>
      </w:pPr>
      <w:r>
        <w:rPr>
          <w:color w:val="231F20"/>
        </w:rPr>
        <w:t>Президент</w:t>
      </w:r>
      <w:r>
        <w:rPr>
          <w:color w:val="231F20"/>
          <w:spacing w:val="-13"/>
        </w:rPr>
        <w:t xml:space="preserve"> </w:t>
      </w:r>
      <w:r>
        <w:rPr>
          <w:color w:val="231F20"/>
          <w:spacing w:val="-3"/>
        </w:rPr>
        <w:t>України</w:t>
      </w:r>
      <w:r>
        <w:rPr>
          <w:color w:val="231F20"/>
          <w:spacing w:val="-13"/>
        </w:rPr>
        <w:t xml:space="preserve"> </w:t>
      </w:r>
      <w:r>
        <w:rPr>
          <w:color w:val="231F20"/>
        </w:rPr>
        <w:t>є</w:t>
      </w:r>
      <w:r>
        <w:rPr>
          <w:color w:val="231F20"/>
          <w:spacing w:val="-12"/>
        </w:rPr>
        <w:t xml:space="preserve"> </w:t>
      </w:r>
      <w:r>
        <w:rPr>
          <w:color w:val="231F20"/>
          <w:spacing w:val="-3"/>
        </w:rPr>
        <w:t>главою</w:t>
      </w:r>
      <w:r>
        <w:rPr>
          <w:color w:val="231F20"/>
          <w:spacing w:val="-13"/>
        </w:rPr>
        <w:t xml:space="preserve"> </w:t>
      </w:r>
      <w:r>
        <w:rPr>
          <w:color w:val="231F20"/>
        </w:rPr>
        <w:t>держави</w:t>
      </w:r>
      <w:r>
        <w:rPr>
          <w:color w:val="231F20"/>
          <w:spacing w:val="-13"/>
        </w:rPr>
        <w:t xml:space="preserve"> </w:t>
      </w:r>
      <w:r>
        <w:rPr>
          <w:color w:val="231F20"/>
        </w:rPr>
        <w:t>і</w:t>
      </w:r>
      <w:r>
        <w:rPr>
          <w:color w:val="231F20"/>
          <w:spacing w:val="-13"/>
        </w:rPr>
        <w:t xml:space="preserve"> </w:t>
      </w:r>
      <w:r>
        <w:rPr>
          <w:color w:val="231F20"/>
        </w:rPr>
        <w:t>виступає</w:t>
      </w:r>
      <w:r>
        <w:rPr>
          <w:color w:val="231F20"/>
          <w:spacing w:val="-13"/>
        </w:rPr>
        <w:t xml:space="preserve"> </w:t>
      </w:r>
      <w:r>
        <w:rPr>
          <w:color w:val="231F20"/>
        </w:rPr>
        <w:t>від</w:t>
      </w:r>
      <w:r>
        <w:rPr>
          <w:color w:val="231F20"/>
          <w:spacing w:val="-13"/>
        </w:rPr>
        <w:t xml:space="preserve"> </w:t>
      </w:r>
      <w:r>
        <w:rPr>
          <w:color w:val="231F20"/>
        </w:rPr>
        <w:t>її</w:t>
      </w:r>
      <w:r>
        <w:rPr>
          <w:color w:val="231F20"/>
          <w:spacing w:val="-13"/>
        </w:rPr>
        <w:t xml:space="preserve"> </w:t>
      </w:r>
      <w:r>
        <w:rPr>
          <w:color w:val="231F20"/>
        </w:rPr>
        <w:t>імені.</w:t>
      </w:r>
      <w:r>
        <w:rPr>
          <w:color w:val="231F20"/>
          <w:spacing w:val="-13"/>
        </w:rPr>
        <w:t xml:space="preserve"> </w:t>
      </w:r>
      <w:r>
        <w:rPr>
          <w:color w:val="231F20"/>
        </w:rPr>
        <w:t xml:space="preserve">Прези- дент </w:t>
      </w:r>
      <w:r>
        <w:rPr>
          <w:color w:val="231F20"/>
          <w:spacing w:val="-3"/>
        </w:rPr>
        <w:t xml:space="preserve">України </w:t>
      </w:r>
      <w:r>
        <w:rPr>
          <w:color w:val="231F20"/>
        </w:rPr>
        <w:t xml:space="preserve">є гарантом державного суверенітету, територіальної цілісності </w:t>
      </w:r>
      <w:r>
        <w:rPr>
          <w:color w:val="231F20"/>
          <w:spacing w:val="-3"/>
        </w:rPr>
        <w:t xml:space="preserve">України, </w:t>
      </w:r>
      <w:r>
        <w:rPr>
          <w:color w:val="231F20"/>
        </w:rPr>
        <w:t xml:space="preserve">додержання Конституції </w:t>
      </w:r>
      <w:r>
        <w:rPr>
          <w:color w:val="231F20"/>
          <w:spacing w:val="-3"/>
        </w:rPr>
        <w:t xml:space="preserve">України, </w:t>
      </w:r>
      <w:r>
        <w:rPr>
          <w:color w:val="231F20"/>
        </w:rPr>
        <w:t>прав і свобод людини і громадянина. Поряд із цим він має низку повноважень      у сфері викон</w:t>
      </w:r>
      <w:r>
        <w:rPr>
          <w:color w:val="231F20"/>
        </w:rPr>
        <w:t>авчої</w:t>
      </w:r>
      <w:r>
        <w:rPr>
          <w:color w:val="231F20"/>
          <w:spacing w:val="-3"/>
        </w:rPr>
        <w:t xml:space="preserve"> </w:t>
      </w:r>
      <w:r>
        <w:rPr>
          <w:color w:val="231F20"/>
        </w:rPr>
        <w:t>влади:</w:t>
      </w:r>
    </w:p>
    <w:p w14:paraId="7792CD89" w14:textId="77777777" w:rsidR="00DE575E" w:rsidRDefault="002E7560">
      <w:pPr>
        <w:pStyle w:val="BodyText"/>
        <w:spacing w:before="3" w:line="252" w:lineRule="auto"/>
        <w:ind w:left="533" w:right="126" w:firstLine="283"/>
        <w:jc w:val="both"/>
      </w:pPr>
      <w:r>
        <w:rPr>
          <w:b/>
          <w:i/>
          <w:color w:val="231F20"/>
        </w:rPr>
        <w:t xml:space="preserve">Громадянські повноваження </w:t>
      </w:r>
      <w:r>
        <w:rPr>
          <w:color w:val="231F20"/>
        </w:rPr>
        <w:t>Президента України у сфері публічного адміністрування є такими: ухвалює рішення про прий- няття до громадянства України та припинення громадянства України, про надання притулку в Україні.</w:t>
      </w:r>
    </w:p>
    <w:p w14:paraId="55E40B89" w14:textId="77777777" w:rsidR="00DE575E" w:rsidRDefault="002E7560">
      <w:pPr>
        <w:pStyle w:val="BodyText"/>
        <w:spacing w:before="2" w:line="252" w:lineRule="auto"/>
        <w:ind w:left="533" w:right="125" w:firstLine="283"/>
        <w:jc w:val="both"/>
      </w:pPr>
      <w:r>
        <w:rPr>
          <w:b/>
          <w:i/>
          <w:color w:val="231F20"/>
        </w:rPr>
        <w:t xml:space="preserve">Кадрові повноваження </w:t>
      </w:r>
      <w:r>
        <w:rPr>
          <w:color w:val="231F20"/>
        </w:rPr>
        <w:t>Президен</w:t>
      </w:r>
      <w:r>
        <w:rPr>
          <w:color w:val="231F20"/>
        </w:rPr>
        <w:t>та України у сфері публіч- ного адміністрування є такими: вносить подання про призначення Верховною Радою України Прем’єр-міністра України, подання про призначення Міністра оборони України, Міністра закордонних справ України; призначає на посади та звільня</w:t>
      </w:r>
      <w:r>
        <w:rPr>
          <w:color w:val="231F20"/>
        </w:rPr>
        <w:t>є з посад половину складу Ради Національного банку України;  призначає  на  посади  та звільняє з  посад  половину  складу  Національної  ради  України з питань телебачення і  радіомовлення;  вносить  до  Верховної Ради України подання про призначення на п</w:t>
      </w:r>
      <w:r>
        <w:rPr>
          <w:color w:val="231F20"/>
        </w:rPr>
        <w:t>осаду та звільнення      з посади Голови Служби безпеки України; присвоює вищі військові звання та</w:t>
      </w:r>
      <w:r>
        <w:rPr>
          <w:color w:val="231F20"/>
          <w:spacing w:val="7"/>
        </w:rPr>
        <w:t xml:space="preserve"> </w:t>
      </w:r>
      <w:r>
        <w:rPr>
          <w:color w:val="231F20"/>
        </w:rPr>
        <w:t>ін.</w:t>
      </w:r>
    </w:p>
    <w:p w14:paraId="289B6FE5" w14:textId="77777777" w:rsidR="00DE575E" w:rsidRDefault="002E7560">
      <w:pPr>
        <w:pStyle w:val="BodyText"/>
        <w:spacing w:before="5" w:line="252" w:lineRule="auto"/>
        <w:ind w:left="533" w:right="126" w:firstLine="283"/>
        <w:jc w:val="both"/>
      </w:pPr>
      <w:r>
        <w:rPr>
          <w:b/>
          <w:i/>
          <w:color w:val="231F20"/>
        </w:rPr>
        <w:t xml:space="preserve">Забезпечувальні повноваження </w:t>
      </w:r>
      <w:r>
        <w:rPr>
          <w:color w:val="231F20"/>
        </w:rPr>
        <w:t>Президента країни у сфері публічного адміністрування є такими: створює консультативні, дорадчі та інші допоміжні органи і служби; ухвалює рішення про введення</w:t>
      </w:r>
      <w:r>
        <w:rPr>
          <w:color w:val="231F20"/>
          <w:spacing w:val="-14"/>
        </w:rPr>
        <w:t xml:space="preserve"> </w:t>
      </w:r>
      <w:r>
        <w:rPr>
          <w:color w:val="231F20"/>
        </w:rPr>
        <w:t>в</w:t>
      </w:r>
      <w:r>
        <w:rPr>
          <w:color w:val="231F20"/>
          <w:spacing w:val="-14"/>
        </w:rPr>
        <w:t xml:space="preserve"> </w:t>
      </w:r>
      <w:r>
        <w:rPr>
          <w:color w:val="231F20"/>
          <w:spacing w:val="-3"/>
        </w:rPr>
        <w:t>Україні</w:t>
      </w:r>
      <w:r>
        <w:rPr>
          <w:color w:val="231F20"/>
          <w:spacing w:val="-14"/>
        </w:rPr>
        <w:t xml:space="preserve"> </w:t>
      </w:r>
      <w:r>
        <w:rPr>
          <w:color w:val="231F20"/>
        </w:rPr>
        <w:t>або</w:t>
      </w:r>
      <w:r>
        <w:rPr>
          <w:color w:val="231F20"/>
          <w:spacing w:val="-14"/>
        </w:rPr>
        <w:t xml:space="preserve"> </w:t>
      </w:r>
      <w:r>
        <w:rPr>
          <w:color w:val="231F20"/>
        </w:rPr>
        <w:t>в</w:t>
      </w:r>
      <w:r>
        <w:rPr>
          <w:color w:val="231F20"/>
          <w:spacing w:val="-13"/>
        </w:rPr>
        <w:t xml:space="preserve"> </w:t>
      </w:r>
      <w:r>
        <w:rPr>
          <w:color w:val="231F20"/>
        </w:rPr>
        <w:t>окремих</w:t>
      </w:r>
      <w:r>
        <w:rPr>
          <w:color w:val="231F20"/>
          <w:spacing w:val="-14"/>
        </w:rPr>
        <w:t xml:space="preserve"> </w:t>
      </w:r>
      <w:r>
        <w:rPr>
          <w:color w:val="231F20"/>
        </w:rPr>
        <w:t>її</w:t>
      </w:r>
      <w:r>
        <w:rPr>
          <w:color w:val="231F20"/>
          <w:spacing w:val="-14"/>
        </w:rPr>
        <w:t xml:space="preserve"> </w:t>
      </w:r>
      <w:r>
        <w:rPr>
          <w:color w:val="231F20"/>
        </w:rPr>
        <w:t>місцевостях</w:t>
      </w:r>
      <w:r>
        <w:rPr>
          <w:color w:val="231F20"/>
          <w:spacing w:val="-14"/>
        </w:rPr>
        <w:t xml:space="preserve"> </w:t>
      </w:r>
      <w:r>
        <w:rPr>
          <w:color w:val="231F20"/>
        </w:rPr>
        <w:t>надзвичайного</w:t>
      </w:r>
      <w:r>
        <w:rPr>
          <w:color w:val="231F20"/>
          <w:spacing w:val="-14"/>
        </w:rPr>
        <w:t xml:space="preserve"> </w:t>
      </w:r>
      <w:r>
        <w:rPr>
          <w:color w:val="231F20"/>
          <w:spacing w:val="-3"/>
        </w:rPr>
        <w:t xml:space="preserve">стану, </w:t>
      </w:r>
      <w:r>
        <w:rPr>
          <w:color w:val="231F20"/>
        </w:rPr>
        <w:t>а</w:t>
      </w:r>
      <w:r>
        <w:rPr>
          <w:color w:val="231F20"/>
          <w:spacing w:val="21"/>
        </w:rPr>
        <w:t xml:space="preserve"> </w:t>
      </w:r>
      <w:r>
        <w:rPr>
          <w:color w:val="231F20"/>
        </w:rPr>
        <w:t>також</w:t>
      </w:r>
      <w:r>
        <w:rPr>
          <w:color w:val="231F20"/>
          <w:spacing w:val="21"/>
        </w:rPr>
        <w:t xml:space="preserve"> </w:t>
      </w:r>
      <w:r>
        <w:rPr>
          <w:color w:val="231F20"/>
        </w:rPr>
        <w:t>оголошує</w:t>
      </w:r>
      <w:r>
        <w:rPr>
          <w:color w:val="231F20"/>
          <w:spacing w:val="21"/>
        </w:rPr>
        <w:t xml:space="preserve"> </w:t>
      </w:r>
      <w:r>
        <w:rPr>
          <w:color w:val="231F20"/>
        </w:rPr>
        <w:t>в</w:t>
      </w:r>
      <w:r>
        <w:rPr>
          <w:color w:val="231F20"/>
          <w:spacing w:val="21"/>
        </w:rPr>
        <w:t xml:space="preserve"> </w:t>
      </w:r>
      <w:r>
        <w:rPr>
          <w:color w:val="231F20"/>
        </w:rPr>
        <w:t>разі</w:t>
      </w:r>
      <w:r>
        <w:rPr>
          <w:color w:val="231F20"/>
          <w:spacing w:val="21"/>
        </w:rPr>
        <w:t xml:space="preserve"> </w:t>
      </w:r>
      <w:r>
        <w:rPr>
          <w:color w:val="231F20"/>
        </w:rPr>
        <w:t>потреби</w:t>
      </w:r>
      <w:r>
        <w:rPr>
          <w:color w:val="231F20"/>
          <w:spacing w:val="21"/>
        </w:rPr>
        <w:t xml:space="preserve"> </w:t>
      </w:r>
      <w:r>
        <w:rPr>
          <w:color w:val="231F20"/>
        </w:rPr>
        <w:t>окрем</w:t>
      </w:r>
      <w:r>
        <w:rPr>
          <w:color w:val="231F20"/>
        </w:rPr>
        <w:t>і</w:t>
      </w:r>
      <w:r>
        <w:rPr>
          <w:color w:val="231F20"/>
          <w:spacing w:val="21"/>
        </w:rPr>
        <w:t xml:space="preserve"> </w:t>
      </w:r>
      <w:r>
        <w:rPr>
          <w:color w:val="231F20"/>
        </w:rPr>
        <w:t>території</w:t>
      </w:r>
      <w:r>
        <w:rPr>
          <w:color w:val="231F20"/>
          <w:spacing w:val="21"/>
        </w:rPr>
        <w:t xml:space="preserve"> </w:t>
      </w:r>
      <w:r>
        <w:rPr>
          <w:color w:val="231F20"/>
          <w:spacing w:val="-3"/>
        </w:rPr>
        <w:t>України</w:t>
      </w:r>
      <w:r>
        <w:rPr>
          <w:color w:val="231F20"/>
          <w:spacing w:val="21"/>
        </w:rPr>
        <w:t xml:space="preserve"> </w:t>
      </w:r>
      <w:r>
        <w:rPr>
          <w:color w:val="231F20"/>
        </w:rPr>
        <w:t>зонами</w:t>
      </w:r>
    </w:p>
    <w:p w14:paraId="6E2077F5" w14:textId="2051AFCD" w:rsidR="00DE575E" w:rsidRDefault="002E7560">
      <w:pPr>
        <w:pStyle w:val="BodyText"/>
        <w:spacing w:before="6"/>
        <w:rPr>
          <w:sz w:val="23"/>
        </w:rPr>
      </w:pPr>
      <w:r>
        <w:rPr>
          <w:noProof/>
        </w:rPr>
        <mc:AlternateContent>
          <mc:Choice Requires="wps">
            <w:drawing>
              <wp:anchor distT="0" distB="0" distL="0" distR="0" simplePos="0" relativeHeight="4552" behindDoc="0" locked="0" layoutInCell="1" allowOverlap="1" wp14:anchorId="13B4499B" wp14:editId="1CAC7D5A">
                <wp:simplePos x="0" y="0"/>
                <wp:positionH relativeFrom="page">
                  <wp:posOffset>719455</wp:posOffset>
                </wp:positionH>
                <wp:positionV relativeFrom="paragraph">
                  <wp:posOffset>203200</wp:posOffset>
                </wp:positionV>
                <wp:extent cx="1080135" cy="0"/>
                <wp:effectExtent l="8255" t="12700" r="29210" b="25400"/>
                <wp:wrapTopAndBottom/>
                <wp:docPr id="1167"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43CD5" id="Line_x0020_1166" o:spid="_x0000_s1026" style="position:absolute;z-index:4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141.7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jy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" strokecolor="#231f20" strokeweight=".5pt">
                <w10:wrap type="topAndBottom" anchorx="page"/>
              </v:line>
            </w:pict>
          </mc:Fallback>
        </mc:AlternateContent>
      </w:r>
    </w:p>
    <w:p w14:paraId="6EA6F50D" w14:textId="77777777" w:rsidR="00DE575E" w:rsidRDefault="002E7560">
      <w:pPr>
        <w:spacing w:line="162" w:lineRule="exact"/>
        <w:ind w:left="533"/>
        <w:rPr>
          <w:sz w:val="16"/>
        </w:rPr>
      </w:pPr>
      <w:r>
        <w:rPr>
          <w:color w:val="231F20"/>
          <w:position w:val="5"/>
          <w:sz w:val="9"/>
        </w:rPr>
        <w:t xml:space="preserve">1 </w:t>
      </w:r>
      <w:r>
        <w:rPr>
          <w:color w:val="231F20"/>
          <w:sz w:val="16"/>
        </w:rPr>
        <w:t>Про цінні папери та фондовий ринок : Закон України.</w:t>
      </w:r>
    </w:p>
    <w:p w14:paraId="1613E817" w14:textId="77777777" w:rsidR="00DE575E" w:rsidRDefault="00DE575E">
      <w:pPr>
        <w:pStyle w:val="BodyText"/>
        <w:spacing w:before="10"/>
        <w:rPr>
          <w:sz w:val="11"/>
        </w:rPr>
      </w:pPr>
    </w:p>
    <w:p w14:paraId="14BB7148" w14:textId="77777777" w:rsidR="00DE575E" w:rsidRDefault="002E7560">
      <w:pPr>
        <w:spacing w:before="92"/>
        <w:ind w:left="533"/>
        <w:rPr>
          <w:rFonts w:ascii="Times New Roman"/>
          <w:sz w:val="20"/>
        </w:rPr>
      </w:pPr>
      <w:r>
        <w:rPr>
          <w:rFonts w:ascii="Times New Roman"/>
          <w:color w:val="231F20"/>
          <w:sz w:val="20"/>
        </w:rPr>
        <w:t>94</w:t>
      </w:r>
    </w:p>
    <w:p w14:paraId="75F59019" w14:textId="77777777" w:rsidR="00DE575E" w:rsidRDefault="00DE575E">
      <w:pPr>
        <w:rPr>
          <w:rFonts w:ascii="Times New Roman"/>
          <w:sz w:val="20"/>
        </w:rPr>
        <w:sectPr w:rsidR="00DE575E">
          <w:pgSz w:w="8510" w:h="12760"/>
          <w:pgMar w:top="660" w:right="720" w:bottom="280" w:left="600" w:header="720" w:footer="720" w:gutter="0"/>
          <w:cols w:space="720"/>
        </w:sectPr>
      </w:pPr>
    </w:p>
    <w:p w14:paraId="68A61115" w14:textId="77777777" w:rsidR="00DE575E" w:rsidRDefault="002E7560">
      <w:pPr>
        <w:spacing w:before="72" w:line="249" w:lineRule="auto"/>
        <w:ind w:left="2942" w:right="411" w:firstLine="487"/>
        <w:jc w:val="right"/>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45EA322A" w14:textId="497AABF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6786839" wp14:editId="1A6901E7">
                <wp:extent cx="4140200" cy="6350"/>
                <wp:effectExtent l="0" t="0" r="12700" b="6350"/>
                <wp:docPr id="1165"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66" name="Line 11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FE9C7E" id="Group_x0020_11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F16c5/AgAAnAUAAA4A&#10;AAAAAAAAAAAAAAAALAIAAGRycy9lMm9Eb2MueG1sUEsBAi0AFAAGAAgAAAAhAEynsJDZAAAAAwEA&#10;AA8AAAAAAAAAAAAAAAAA1wQAAGRycy9kb3ducmV2LnhtbFBLBQYAAAAABAAEAPMAAADdBQAAAAA=&#10;">
                <v:line id="Line_x0020_11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2ZVcQAAADdAAAADwAAAGRycy9kb3ducmV2LnhtbERPzWrCQBC+F3yHZYReim5UCBJdRYRC&#10;8aCt8QHG7DQJ3Z2N2dWkPr1bKHibj+93luveGnGj1teOFUzGCQjiwumaSwWn/H00B+EDskbjmBT8&#10;kof1avCyxEy7jr/odgyliCHsM1RQhdBkUvqiIot+7BriyH271mKIsC2lbrGL4dbIaZKk0mLNsaHC&#10;hrYVFT/Hq1WQX96C+TzsTJcfzjN5vuxn9+teqddhv1mACNSHp/jf/aHj/Emawt838QS5e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HZlVxAAAAN0AAAAPAAAAAAAAAAAA&#10;AAAAAKECAABkcnMvZG93bnJldi54bWxQSwUGAAAAAAQABAD5AAAAkgMAAAAA&#10;" strokecolor="#231f20" strokeweight=".5pt"/>
                <w10:anchorlock/>
              </v:group>
            </w:pict>
          </mc:Fallback>
        </mc:AlternateContent>
      </w:r>
    </w:p>
    <w:p w14:paraId="44933F70" w14:textId="77777777" w:rsidR="00DE575E" w:rsidRDefault="00DE575E">
      <w:pPr>
        <w:pStyle w:val="BodyText"/>
        <w:spacing w:before="7"/>
        <w:rPr>
          <w:rFonts w:ascii="AdonisC"/>
          <w:i/>
          <w:sz w:val="19"/>
        </w:rPr>
      </w:pPr>
    </w:p>
    <w:p w14:paraId="5FF57EC8" w14:textId="77777777" w:rsidR="00DE575E" w:rsidRDefault="002E7560">
      <w:pPr>
        <w:pStyle w:val="BodyText"/>
        <w:spacing w:before="1" w:line="252" w:lineRule="auto"/>
        <w:ind w:left="250" w:right="401"/>
      </w:pPr>
      <w:r>
        <w:rPr>
          <w:color w:val="231F20"/>
        </w:rPr>
        <w:t>надзвичайної екологічної ситуації з подальшим затвердженням цих рішень Верховною Радою України тощо.</w:t>
      </w:r>
    </w:p>
    <w:p w14:paraId="680DA95A" w14:textId="77777777" w:rsidR="00DE575E" w:rsidRDefault="002E7560">
      <w:pPr>
        <w:pStyle w:val="BodyText"/>
        <w:spacing w:before="1" w:line="252" w:lineRule="auto"/>
        <w:ind w:left="250" w:right="410" w:firstLine="283"/>
        <w:jc w:val="right"/>
      </w:pPr>
      <w:r>
        <w:rPr>
          <w:b/>
          <w:i/>
          <w:color w:val="231F20"/>
        </w:rPr>
        <w:t xml:space="preserve">Контрольні повноваження </w:t>
      </w:r>
      <w:r>
        <w:rPr>
          <w:color w:val="231F20"/>
        </w:rPr>
        <w:t xml:space="preserve">Президента </w:t>
      </w:r>
      <w:r>
        <w:rPr>
          <w:color w:val="231F20"/>
          <w:spacing w:val="-3"/>
        </w:rPr>
        <w:t xml:space="preserve">України </w:t>
      </w:r>
      <w:r>
        <w:rPr>
          <w:color w:val="231F20"/>
        </w:rPr>
        <w:t>у</w:t>
      </w:r>
      <w:r>
        <w:rPr>
          <w:color w:val="231F20"/>
          <w:spacing w:val="2"/>
        </w:rPr>
        <w:t xml:space="preserve"> </w:t>
      </w:r>
      <w:r>
        <w:rPr>
          <w:color w:val="231F20"/>
        </w:rPr>
        <w:t>сфері</w:t>
      </w:r>
      <w:r>
        <w:rPr>
          <w:color w:val="231F20"/>
          <w:spacing w:val="-1"/>
        </w:rPr>
        <w:t xml:space="preserve"> </w:t>
      </w:r>
      <w:r>
        <w:rPr>
          <w:color w:val="231F20"/>
        </w:rPr>
        <w:t>публіч- ного адміністрування є такими: зупиняє дію актів</w:t>
      </w:r>
      <w:r>
        <w:rPr>
          <w:color w:val="231F20"/>
          <w:spacing w:val="16"/>
        </w:rPr>
        <w:t xml:space="preserve"> </w:t>
      </w:r>
      <w:r>
        <w:rPr>
          <w:color w:val="231F20"/>
        </w:rPr>
        <w:t>Кабінету</w:t>
      </w:r>
      <w:r>
        <w:rPr>
          <w:color w:val="231F20"/>
          <w:spacing w:val="8"/>
        </w:rPr>
        <w:t xml:space="preserve"> </w:t>
      </w:r>
      <w:r>
        <w:rPr>
          <w:color w:val="231F20"/>
        </w:rPr>
        <w:t>М</w:t>
      </w:r>
      <w:r>
        <w:rPr>
          <w:color w:val="231F20"/>
        </w:rPr>
        <w:t>ініст- рів</w:t>
      </w:r>
      <w:r>
        <w:rPr>
          <w:color w:val="231F20"/>
          <w:spacing w:val="18"/>
        </w:rPr>
        <w:t xml:space="preserve"> </w:t>
      </w:r>
      <w:r>
        <w:rPr>
          <w:color w:val="231F20"/>
          <w:spacing w:val="-3"/>
        </w:rPr>
        <w:t>України</w:t>
      </w:r>
      <w:r>
        <w:rPr>
          <w:color w:val="231F20"/>
          <w:spacing w:val="17"/>
        </w:rPr>
        <w:t xml:space="preserve"> </w:t>
      </w:r>
      <w:r>
        <w:rPr>
          <w:color w:val="231F20"/>
        </w:rPr>
        <w:t>з</w:t>
      </w:r>
      <w:r>
        <w:rPr>
          <w:color w:val="231F20"/>
          <w:spacing w:val="18"/>
        </w:rPr>
        <w:t xml:space="preserve"> </w:t>
      </w:r>
      <w:r>
        <w:rPr>
          <w:color w:val="231F20"/>
        </w:rPr>
        <w:t>мотивів</w:t>
      </w:r>
      <w:r>
        <w:rPr>
          <w:color w:val="231F20"/>
          <w:spacing w:val="17"/>
        </w:rPr>
        <w:t xml:space="preserve"> </w:t>
      </w:r>
      <w:r>
        <w:rPr>
          <w:color w:val="231F20"/>
        </w:rPr>
        <w:t>їх</w:t>
      </w:r>
      <w:r>
        <w:rPr>
          <w:color w:val="231F20"/>
          <w:spacing w:val="18"/>
        </w:rPr>
        <w:t xml:space="preserve"> </w:t>
      </w:r>
      <w:r>
        <w:rPr>
          <w:color w:val="231F20"/>
        </w:rPr>
        <w:t>невідповідності</w:t>
      </w:r>
      <w:r>
        <w:rPr>
          <w:color w:val="231F20"/>
          <w:spacing w:val="17"/>
        </w:rPr>
        <w:t xml:space="preserve"> </w:t>
      </w:r>
      <w:r>
        <w:rPr>
          <w:color w:val="231F20"/>
        </w:rPr>
        <w:t>Конституції</w:t>
      </w:r>
      <w:r>
        <w:rPr>
          <w:color w:val="231F20"/>
          <w:spacing w:val="18"/>
        </w:rPr>
        <w:t xml:space="preserve"> </w:t>
      </w:r>
      <w:r>
        <w:rPr>
          <w:color w:val="231F20"/>
        </w:rPr>
        <w:t>з</w:t>
      </w:r>
      <w:r>
        <w:rPr>
          <w:color w:val="231F20"/>
          <w:spacing w:val="18"/>
        </w:rPr>
        <w:t xml:space="preserve"> </w:t>
      </w:r>
      <w:r>
        <w:rPr>
          <w:color w:val="231F20"/>
        </w:rPr>
        <w:t>одночасним</w:t>
      </w:r>
      <w:r>
        <w:rPr>
          <w:color w:val="231F20"/>
          <w:spacing w:val="-1"/>
        </w:rPr>
        <w:t xml:space="preserve"> </w:t>
      </w:r>
      <w:r>
        <w:rPr>
          <w:color w:val="231F20"/>
        </w:rPr>
        <w:t xml:space="preserve">зверненням до Конституційного </w:t>
      </w:r>
      <w:r>
        <w:rPr>
          <w:color w:val="231F20"/>
          <w:spacing w:val="-5"/>
        </w:rPr>
        <w:t xml:space="preserve">Суду </w:t>
      </w:r>
      <w:r>
        <w:rPr>
          <w:color w:val="231F20"/>
          <w:spacing w:val="-3"/>
        </w:rPr>
        <w:t xml:space="preserve">України </w:t>
      </w:r>
      <w:r>
        <w:rPr>
          <w:color w:val="231F20"/>
        </w:rPr>
        <w:t>щодо</w:t>
      </w:r>
      <w:r>
        <w:rPr>
          <w:color w:val="231F20"/>
          <w:spacing w:val="42"/>
        </w:rPr>
        <w:t xml:space="preserve"> </w:t>
      </w:r>
      <w:r>
        <w:rPr>
          <w:color w:val="231F20"/>
        </w:rPr>
        <w:t>їх</w:t>
      </w:r>
      <w:r>
        <w:rPr>
          <w:color w:val="231F20"/>
          <w:spacing w:val="5"/>
        </w:rPr>
        <w:t xml:space="preserve"> </w:t>
      </w:r>
      <w:r>
        <w:rPr>
          <w:color w:val="231F20"/>
        </w:rPr>
        <w:t>конституцій- ності;</w:t>
      </w:r>
      <w:r>
        <w:rPr>
          <w:color w:val="231F20"/>
          <w:spacing w:val="-7"/>
        </w:rPr>
        <w:t xml:space="preserve"> </w:t>
      </w:r>
      <w:r>
        <w:rPr>
          <w:color w:val="231F20"/>
        </w:rPr>
        <w:t>призначає</w:t>
      </w:r>
      <w:r>
        <w:rPr>
          <w:color w:val="231F20"/>
          <w:spacing w:val="-7"/>
        </w:rPr>
        <w:t xml:space="preserve"> </w:t>
      </w:r>
      <w:r>
        <w:rPr>
          <w:color w:val="231F20"/>
        </w:rPr>
        <w:t>всеукраїнський</w:t>
      </w:r>
      <w:r>
        <w:rPr>
          <w:color w:val="231F20"/>
          <w:spacing w:val="-7"/>
        </w:rPr>
        <w:t xml:space="preserve"> </w:t>
      </w:r>
      <w:r>
        <w:rPr>
          <w:color w:val="231F20"/>
        </w:rPr>
        <w:t>референдум</w:t>
      </w:r>
      <w:r>
        <w:rPr>
          <w:color w:val="231F20"/>
          <w:spacing w:val="-7"/>
        </w:rPr>
        <w:t xml:space="preserve"> </w:t>
      </w:r>
      <w:r>
        <w:rPr>
          <w:color w:val="231F20"/>
        </w:rPr>
        <w:t>щодо</w:t>
      </w:r>
      <w:r>
        <w:rPr>
          <w:color w:val="231F20"/>
          <w:spacing w:val="-7"/>
        </w:rPr>
        <w:t xml:space="preserve"> </w:t>
      </w:r>
      <w:r>
        <w:rPr>
          <w:color w:val="231F20"/>
        </w:rPr>
        <w:t>змін</w:t>
      </w:r>
      <w:r>
        <w:rPr>
          <w:color w:val="231F20"/>
          <w:spacing w:val="-7"/>
        </w:rPr>
        <w:t xml:space="preserve"> </w:t>
      </w:r>
      <w:r>
        <w:rPr>
          <w:color w:val="231F20"/>
        </w:rPr>
        <w:t>у</w:t>
      </w:r>
      <w:r>
        <w:rPr>
          <w:color w:val="231F20"/>
          <w:spacing w:val="-7"/>
        </w:rPr>
        <w:t xml:space="preserve"> </w:t>
      </w:r>
      <w:r>
        <w:rPr>
          <w:color w:val="231F20"/>
        </w:rPr>
        <w:t>Конститу- ції,</w:t>
      </w:r>
      <w:r>
        <w:rPr>
          <w:color w:val="231F20"/>
          <w:spacing w:val="21"/>
        </w:rPr>
        <w:t xml:space="preserve"> </w:t>
      </w:r>
      <w:r>
        <w:rPr>
          <w:color w:val="231F20"/>
        </w:rPr>
        <w:t>проголошує</w:t>
      </w:r>
      <w:r>
        <w:rPr>
          <w:color w:val="231F20"/>
          <w:spacing w:val="21"/>
        </w:rPr>
        <w:t xml:space="preserve"> </w:t>
      </w:r>
      <w:r>
        <w:rPr>
          <w:color w:val="231F20"/>
        </w:rPr>
        <w:t>всеукраїнський</w:t>
      </w:r>
      <w:r>
        <w:rPr>
          <w:color w:val="231F20"/>
          <w:spacing w:val="21"/>
        </w:rPr>
        <w:t xml:space="preserve"> </w:t>
      </w:r>
      <w:r>
        <w:rPr>
          <w:color w:val="231F20"/>
        </w:rPr>
        <w:t>референдум</w:t>
      </w:r>
      <w:r>
        <w:rPr>
          <w:color w:val="231F20"/>
          <w:spacing w:val="21"/>
        </w:rPr>
        <w:t xml:space="preserve"> </w:t>
      </w:r>
      <w:r>
        <w:rPr>
          <w:color w:val="231F20"/>
        </w:rPr>
        <w:t>за</w:t>
      </w:r>
      <w:r>
        <w:rPr>
          <w:color w:val="231F20"/>
          <w:spacing w:val="21"/>
        </w:rPr>
        <w:t xml:space="preserve"> </w:t>
      </w:r>
      <w:r>
        <w:rPr>
          <w:color w:val="231F20"/>
        </w:rPr>
        <w:t>народною</w:t>
      </w:r>
      <w:r>
        <w:rPr>
          <w:color w:val="231F20"/>
          <w:spacing w:val="21"/>
        </w:rPr>
        <w:t xml:space="preserve"> </w:t>
      </w:r>
      <w:r>
        <w:rPr>
          <w:color w:val="231F20"/>
        </w:rPr>
        <w:t>ініціати- вою;</w:t>
      </w:r>
      <w:r>
        <w:rPr>
          <w:color w:val="231F20"/>
          <w:spacing w:val="-12"/>
        </w:rPr>
        <w:t xml:space="preserve"> </w:t>
      </w:r>
      <w:r>
        <w:rPr>
          <w:color w:val="231F20"/>
        </w:rPr>
        <w:t>скасовує</w:t>
      </w:r>
      <w:r>
        <w:rPr>
          <w:color w:val="231F20"/>
          <w:spacing w:val="-12"/>
        </w:rPr>
        <w:t xml:space="preserve"> </w:t>
      </w:r>
      <w:r>
        <w:rPr>
          <w:color w:val="231F20"/>
        </w:rPr>
        <w:t>акти</w:t>
      </w:r>
      <w:r>
        <w:rPr>
          <w:color w:val="231F20"/>
          <w:spacing w:val="-12"/>
        </w:rPr>
        <w:t xml:space="preserve"> </w:t>
      </w:r>
      <w:r>
        <w:rPr>
          <w:color w:val="231F20"/>
        </w:rPr>
        <w:t>Ради</w:t>
      </w:r>
      <w:r>
        <w:rPr>
          <w:color w:val="231F20"/>
          <w:spacing w:val="-12"/>
        </w:rPr>
        <w:t xml:space="preserve"> </w:t>
      </w:r>
      <w:r>
        <w:rPr>
          <w:color w:val="231F20"/>
        </w:rPr>
        <w:t>міністрів</w:t>
      </w:r>
      <w:r>
        <w:rPr>
          <w:color w:val="231F20"/>
          <w:spacing w:val="-12"/>
        </w:rPr>
        <w:t xml:space="preserve"> </w:t>
      </w:r>
      <w:r>
        <w:rPr>
          <w:color w:val="231F20"/>
        </w:rPr>
        <w:t>Автономної</w:t>
      </w:r>
      <w:r>
        <w:rPr>
          <w:color w:val="231F20"/>
          <w:spacing w:val="-12"/>
        </w:rPr>
        <w:t xml:space="preserve"> </w:t>
      </w:r>
      <w:r>
        <w:rPr>
          <w:color w:val="231F20"/>
        </w:rPr>
        <w:t>Республіки</w:t>
      </w:r>
      <w:r>
        <w:rPr>
          <w:color w:val="231F20"/>
          <w:spacing w:val="-12"/>
        </w:rPr>
        <w:t xml:space="preserve"> </w:t>
      </w:r>
      <w:r>
        <w:rPr>
          <w:color w:val="231F20"/>
        </w:rPr>
        <w:t>Крим</w:t>
      </w:r>
      <w:r>
        <w:rPr>
          <w:color w:val="231F20"/>
          <w:spacing w:val="-12"/>
        </w:rPr>
        <w:t xml:space="preserve"> </w:t>
      </w:r>
      <w:r>
        <w:rPr>
          <w:color w:val="231F20"/>
        </w:rPr>
        <w:t>та</w:t>
      </w:r>
      <w:r>
        <w:rPr>
          <w:color w:val="231F20"/>
          <w:spacing w:val="-12"/>
        </w:rPr>
        <w:t xml:space="preserve"> </w:t>
      </w:r>
      <w:r>
        <w:rPr>
          <w:color w:val="231F20"/>
        </w:rPr>
        <w:t xml:space="preserve">ін. Особливе місце в системі </w:t>
      </w:r>
      <w:r>
        <w:rPr>
          <w:color w:val="231F20"/>
          <w:spacing w:val="-3"/>
        </w:rPr>
        <w:t xml:space="preserve">суб’єктів </w:t>
      </w:r>
      <w:r>
        <w:rPr>
          <w:color w:val="231F20"/>
        </w:rPr>
        <w:t>публічної</w:t>
      </w:r>
      <w:r>
        <w:rPr>
          <w:color w:val="231F20"/>
          <w:spacing w:val="-21"/>
        </w:rPr>
        <w:t xml:space="preserve"> </w:t>
      </w:r>
      <w:r>
        <w:rPr>
          <w:color w:val="231F20"/>
        </w:rPr>
        <w:t>адміністрації</w:t>
      </w:r>
      <w:r>
        <w:rPr>
          <w:color w:val="231F20"/>
          <w:spacing w:val="-5"/>
        </w:rPr>
        <w:t xml:space="preserve"> </w:t>
      </w:r>
      <w:r>
        <w:rPr>
          <w:color w:val="231F20"/>
        </w:rPr>
        <w:t>займає</w:t>
      </w:r>
      <w:r>
        <w:rPr>
          <w:color w:val="231F20"/>
          <w:spacing w:val="-1"/>
        </w:rPr>
        <w:t xml:space="preserve"> </w:t>
      </w:r>
      <w:r>
        <w:rPr>
          <w:b/>
          <w:color w:val="231F20"/>
        </w:rPr>
        <w:t>Рада</w:t>
      </w:r>
      <w:r>
        <w:rPr>
          <w:b/>
          <w:color w:val="231F20"/>
          <w:spacing w:val="20"/>
        </w:rPr>
        <w:t xml:space="preserve"> </w:t>
      </w:r>
      <w:r>
        <w:rPr>
          <w:b/>
          <w:color w:val="231F20"/>
        </w:rPr>
        <w:t>національної</w:t>
      </w:r>
      <w:r>
        <w:rPr>
          <w:b/>
          <w:color w:val="231F20"/>
          <w:spacing w:val="20"/>
        </w:rPr>
        <w:t xml:space="preserve"> </w:t>
      </w:r>
      <w:r>
        <w:rPr>
          <w:b/>
          <w:color w:val="231F20"/>
        </w:rPr>
        <w:t>безпеки</w:t>
      </w:r>
      <w:r>
        <w:rPr>
          <w:b/>
          <w:color w:val="231F20"/>
          <w:spacing w:val="20"/>
        </w:rPr>
        <w:t xml:space="preserve"> </w:t>
      </w:r>
      <w:r>
        <w:rPr>
          <w:b/>
          <w:color w:val="231F20"/>
        </w:rPr>
        <w:t>і</w:t>
      </w:r>
      <w:r>
        <w:rPr>
          <w:b/>
          <w:color w:val="231F20"/>
          <w:spacing w:val="20"/>
        </w:rPr>
        <w:t xml:space="preserve"> </w:t>
      </w:r>
      <w:r>
        <w:rPr>
          <w:b/>
          <w:color w:val="231F20"/>
        </w:rPr>
        <w:t>оборони</w:t>
      </w:r>
      <w:r>
        <w:rPr>
          <w:b/>
          <w:color w:val="231F20"/>
          <w:spacing w:val="20"/>
        </w:rPr>
        <w:t xml:space="preserve"> </w:t>
      </w:r>
      <w:r>
        <w:rPr>
          <w:b/>
          <w:color w:val="231F20"/>
          <w:spacing w:val="-4"/>
        </w:rPr>
        <w:t>України</w:t>
      </w:r>
      <w:r>
        <w:rPr>
          <w:b/>
          <w:color w:val="231F20"/>
          <w:spacing w:val="20"/>
        </w:rPr>
        <w:t xml:space="preserve"> </w:t>
      </w:r>
      <w:r>
        <w:rPr>
          <w:color w:val="231F20"/>
        </w:rPr>
        <w:t>(далі</w:t>
      </w:r>
      <w:r>
        <w:rPr>
          <w:color w:val="231F20"/>
          <w:spacing w:val="20"/>
        </w:rPr>
        <w:t xml:space="preserve"> </w:t>
      </w:r>
      <w:r>
        <w:rPr>
          <w:color w:val="231F20"/>
        </w:rPr>
        <w:t>–</w:t>
      </w:r>
      <w:r>
        <w:rPr>
          <w:color w:val="231F20"/>
          <w:spacing w:val="20"/>
        </w:rPr>
        <w:t xml:space="preserve"> </w:t>
      </w:r>
      <w:r>
        <w:rPr>
          <w:color w:val="231F20"/>
        </w:rPr>
        <w:t>РНБО),</w:t>
      </w:r>
      <w:r>
        <w:rPr>
          <w:color w:val="231F20"/>
          <w:spacing w:val="20"/>
        </w:rPr>
        <w:t xml:space="preserve"> </w:t>
      </w:r>
      <w:r>
        <w:rPr>
          <w:color w:val="231F20"/>
        </w:rPr>
        <w:t>що є</w:t>
      </w:r>
      <w:r>
        <w:rPr>
          <w:color w:val="231F20"/>
          <w:spacing w:val="-9"/>
        </w:rPr>
        <w:t xml:space="preserve"> </w:t>
      </w:r>
      <w:r>
        <w:rPr>
          <w:color w:val="231F20"/>
        </w:rPr>
        <w:t>координаційним</w:t>
      </w:r>
      <w:r>
        <w:rPr>
          <w:color w:val="231F20"/>
          <w:spacing w:val="-9"/>
        </w:rPr>
        <w:t xml:space="preserve"> </w:t>
      </w:r>
      <w:r>
        <w:rPr>
          <w:color w:val="231F20"/>
        </w:rPr>
        <w:t>органом</w:t>
      </w:r>
      <w:r>
        <w:rPr>
          <w:color w:val="231F20"/>
          <w:spacing w:val="-9"/>
        </w:rPr>
        <w:t xml:space="preserve"> </w:t>
      </w:r>
      <w:r>
        <w:rPr>
          <w:color w:val="231F20"/>
        </w:rPr>
        <w:t>з</w:t>
      </w:r>
      <w:r>
        <w:rPr>
          <w:color w:val="231F20"/>
          <w:spacing w:val="-9"/>
        </w:rPr>
        <w:t xml:space="preserve"> </w:t>
      </w:r>
      <w:r>
        <w:rPr>
          <w:color w:val="231F20"/>
        </w:rPr>
        <w:t>питань</w:t>
      </w:r>
      <w:r>
        <w:rPr>
          <w:color w:val="231F20"/>
          <w:spacing w:val="-9"/>
        </w:rPr>
        <w:t xml:space="preserve"> </w:t>
      </w:r>
      <w:r>
        <w:rPr>
          <w:color w:val="231F20"/>
        </w:rPr>
        <w:t>національної</w:t>
      </w:r>
      <w:r>
        <w:rPr>
          <w:color w:val="231F20"/>
          <w:spacing w:val="-9"/>
        </w:rPr>
        <w:t xml:space="preserve"> </w:t>
      </w:r>
      <w:r>
        <w:rPr>
          <w:color w:val="231F20"/>
        </w:rPr>
        <w:t>безпеки</w:t>
      </w:r>
      <w:r>
        <w:rPr>
          <w:color w:val="231F20"/>
          <w:spacing w:val="-9"/>
        </w:rPr>
        <w:t xml:space="preserve"> </w:t>
      </w:r>
      <w:r>
        <w:rPr>
          <w:color w:val="231F20"/>
        </w:rPr>
        <w:t>і</w:t>
      </w:r>
      <w:r>
        <w:rPr>
          <w:color w:val="231F20"/>
          <w:spacing w:val="-9"/>
        </w:rPr>
        <w:t xml:space="preserve"> </w:t>
      </w:r>
      <w:r>
        <w:rPr>
          <w:color w:val="231F20"/>
        </w:rPr>
        <w:t xml:space="preserve">оборони при Президентові </w:t>
      </w:r>
      <w:r>
        <w:rPr>
          <w:color w:val="231F20"/>
          <w:spacing w:val="-3"/>
        </w:rPr>
        <w:t xml:space="preserve">України. </w:t>
      </w:r>
      <w:r>
        <w:rPr>
          <w:color w:val="231F20"/>
        </w:rPr>
        <w:t>Її правовий статус</w:t>
      </w:r>
      <w:r>
        <w:rPr>
          <w:color w:val="231F20"/>
          <w:spacing w:val="11"/>
        </w:rPr>
        <w:t xml:space="preserve"> </w:t>
      </w:r>
      <w:r>
        <w:rPr>
          <w:color w:val="231F20"/>
        </w:rPr>
        <w:t>визначається</w:t>
      </w:r>
      <w:r>
        <w:rPr>
          <w:color w:val="231F20"/>
        </w:rPr>
        <w:t xml:space="preserve"> </w:t>
      </w:r>
      <w:r>
        <w:rPr>
          <w:color w:val="231F20"/>
        </w:rPr>
        <w:t xml:space="preserve">Консти- туцією </w:t>
      </w:r>
      <w:r>
        <w:rPr>
          <w:color w:val="231F20"/>
          <w:spacing w:val="-3"/>
        </w:rPr>
        <w:t xml:space="preserve">України </w:t>
      </w:r>
      <w:r>
        <w:rPr>
          <w:color w:val="231F20"/>
        </w:rPr>
        <w:t xml:space="preserve">та Законом </w:t>
      </w:r>
      <w:r>
        <w:rPr>
          <w:color w:val="231F20"/>
          <w:spacing w:val="-3"/>
        </w:rPr>
        <w:t xml:space="preserve">України </w:t>
      </w:r>
      <w:r>
        <w:rPr>
          <w:color w:val="231F20"/>
        </w:rPr>
        <w:t>«Про Раду</w:t>
      </w:r>
      <w:r>
        <w:rPr>
          <w:color w:val="231F20"/>
          <w:spacing w:val="12"/>
        </w:rPr>
        <w:t xml:space="preserve"> </w:t>
      </w:r>
      <w:r>
        <w:rPr>
          <w:color w:val="231F20"/>
        </w:rPr>
        <w:t>національної</w:t>
      </w:r>
      <w:r>
        <w:rPr>
          <w:color w:val="231F20"/>
        </w:rPr>
        <w:t xml:space="preserve"> </w:t>
      </w:r>
      <w:r>
        <w:rPr>
          <w:color w:val="231F20"/>
        </w:rPr>
        <w:t>безпеки</w:t>
      </w:r>
      <w:r>
        <w:rPr>
          <w:color w:val="231F20"/>
          <w:spacing w:val="-1"/>
        </w:rPr>
        <w:t xml:space="preserve"> </w:t>
      </w:r>
      <w:r>
        <w:rPr>
          <w:color w:val="231F20"/>
        </w:rPr>
        <w:t>і</w:t>
      </w:r>
      <w:r>
        <w:rPr>
          <w:color w:val="231F20"/>
          <w:spacing w:val="8"/>
        </w:rPr>
        <w:t xml:space="preserve"> </w:t>
      </w:r>
      <w:r>
        <w:rPr>
          <w:color w:val="231F20"/>
        </w:rPr>
        <w:t>оборони</w:t>
      </w:r>
      <w:r>
        <w:rPr>
          <w:color w:val="231F20"/>
          <w:spacing w:val="8"/>
        </w:rPr>
        <w:t xml:space="preserve"> </w:t>
      </w:r>
      <w:r>
        <w:rPr>
          <w:color w:val="231F20"/>
          <w:spacing w:val="-3"/>
        </w:rPr>
        <w:t>України».</w:t>
      </w:r>
      <w:r>
        <w:rPr>
          <w:color w:val="231F20"/>
          <w:spacing w:val="8"/>
        </w:rPr>
        <w:t xml:space="preserve"> </w:t>
      </w:r>
      <w:r>
        <w:rPr>
          <w:color w:val="231F20"/>
        </w:rPr>
        <w:t>При</w:t>
      </w:r>
      <w:r>
        <w:rPr>
          <w:color w:val="231F20"/>
          <w:spacing w:val="8"/>
        </w:rPr>
        <w:t xml:space="preserve"> </w:t>
      </w:r>
      <w:r>
        <w:rPr>
          <w:color w:val="231F20"/>
        </w:rPr>
        <w:t>цьому</w:t>
      </w:r>
      <w:r>
        <w:rPr>
          <w:color w:val="231F20"/>
          <w:spacing w:val="8"/>
        </w:rPr>
        <w:t xml:space="preserve"> </w:t>
      </w:r>
      <w:r>
        <w:rPr>
          <w:color w:val="231F20"/>
        </w:rPr>
        <w:t>Президент</w:t>
      </w:r>
      <w:r>
        <w:rPr>
          <w:color w:val="231F20"/>
          <w:spacing w:val="8"/>
        </w:rPr>
        <w:t xml:space="preserve"> </w:t>
      </w:r>
      <w:r>
        <w:rPr>
          <w:color w:val="231F20"/>
          <w:spacing w:val="-3"/>
        </w:rPr>
        <w:t>України</w:t>
      </w:r>
      <w:r>
        <w:rPr>
          <w:color w:val="231F20"/>
          <w:spacing w:val="8"/>
        </w:rPr>
        <w:t xml:space="preserve"> </w:t>
      </w:r>
      <w:r>
        <w:rPr>
          <w:color w:val="231F20"/>
        </w:rPr>
        <w:t>є</w:t>
      </w:r>
      <w:r>
        <w:rPr>
          <w:color w:val="231F20"/>
          <w:spacing w:val="10"/>
        </w:rPr>
        <w:t xml:space="preserve"> </w:t>
      </w:r>
      <w:r>
        <w:rPr>
          <w:color w:val="231F20"/>
        </w:rPr>
        <w:t>головою</w:t>
      </w:r>
      <w:r>
        <w:rPr>
          <w:color w:val="231F20"/>
          <w:spacing w:val="8"/>
        </w:rPr>
        <w:t xml:space="preserve"> </w:t>
      </w:r>
      <w:r>
        <w:rPr>
          <w:color w:val="231F20"/>
        </w:rPr>
        <w:t>РНБО.</w:t>
      </w:r>
    </w:p>
    <w:p w14:paraId="6F26D4B5" w14:textId="77777777" w:rsidR="00DE575E" w:rsidRDefault="002E7560">
      <w:pPr>
        <w:pStyle w:val="BodyText"/>
        <w:spacing w:before="6"/>
        <w:ind w:left="250"/>
      </w:pPr>
      <w:r>
        <w:rPr>
          <w:color w:val="231F20"/>
        </w:rPr>
        <w:t>Рішення РНБО вводяться в дію указами Презид</w:t>
      </w:r>
      <w:r>
        <w:rPr>
          <w:color w:val="231F20"/>
        </w:rPr>
        <w:t>ента України.</w:t>
      </w:r>
    </w:p>
    <w:p w14:paraId="3FBB1CFD" w14:textId="77777777" w:rsidR="00DE575E" w:rsidRDefault="002E7560">
      <w:pPr>
        <w:spacing w:before="13"/>
        <w:ind w:left="533"/>
        <w:rPr>
          <w:i/>
          <w:sz w:val="21"/>
        </w:rPr>
      </w:pPr>
      <w:r>
        <w:rPr>
          <w:i/>
          <w:color w:val="231F20"/>
          <w:sz w:val="21"/>
        </w:rPr>
        <w:t>Функціями Ради національної безпеки і оборони України є такі:</w:t>
      </w:r>
    </w:p>
    <w:p w14:paraId="0853EBDB" w14:textId="77777777" w:rsidR="00DE575E" w:rsidRDefault="002E7560">
      <w:pPr>
        <w:pStyle w:val="ListParagraph"/>
        <w:numPr>
          <w:ilvl w:val="0"/>
          <w:numId w:val="268"/>
        </w:numPr>
        <w:tabs>
          <w:tab w:val="left" w:pos="818"/>
        </w:tabs>
        <w:spacing w:before="13" w:line="252" w:lineRule="auto"/>
        <w:ind w:right="411" w:firstLine="283"/>
        <w:jc w:val="both"/>
        <w:rPr>
          <w:sz w:val="21"/>
        </w:rPr>
      </w:pPr>
      <w:r>
        <w:rPr>
          <w:color w:val="231F20"/>
          <w:sz w:val="21"/>
        </w:rPr>
        <w:t xml:space="preserve">внесення пропозицій Президентові </w:t>
      </w:r>
      <w:r>
        <w:rPr>
          <w:color w:val="231F20"/>
          <w:spacing w:val="-3"/>
          <w:sz w:val="21"/>
        </w:rPr>
        <w:t xml:space="preserve">України  </w:t>
      </w:r>
      <w:r>
        <w:rPr>
          <w:color w:val="231F20"/>
          <w:sz w:val="21"/>
        </w:rPr>
        <w:t>щодо  реаліза-  ції засад внутрішньої і зовнішньої політики у сфері національної безпеки і</w:t>
      </w:r>
      <w:r>
        <w:rPr>
          <w:color w:val="231F20"/>
          <w:spacing w:val="-3"/>
          <w:sz w:val="21"/>
        </w:rPr>
        <w:t xml:space="preserve"> </w:t>
      </w:r>
      <w:r>
        <w:rPr>
          <w:color w:val="231F20"/>
          <w:sz w:val="21"/>
        </w:rPr>
        <w:t>оборони;</w:t>
      </w:r>
    </w:p>
    <w:p w14:paraId="168BF126" w14:textId="77777777" w:rsidR="00DE575E" w:rsidRDefault="002E7560">
      <w:pPr>
        <w:pStyle w:val="ListParagraph"/>
        <w:numPr>
          <w:ilvl w:val="0"/>
          <w:numId w:val="268"/>
        </w:numPr>
        <w:tabs>
          <w:tab w:val="left" w:pos="818"/>
        </w:tabs>
        <w:spacing w:line="252" w:lineRule="auto"/>
        <w:ind w:right="411" w:firstLine="283"/>
        <w:jc w:val="both"/>
        <w:rPr>
          <w:sz w:val="21"/>
        </w:rPr>
      </w:pPr>
      <w:r>
        <w:rPr>
          <w:color w:val="231F20"/>
          <w:sz w:val="21"/>
        </w:rPr>
        <w:t>координація та здійснення контролю за діяльністю органів виконавчої влади у сфері національної безпеки і оборони у мирний час;</w:t>
      </w:r>
    </w:p>
    <w:p w14:paraId="11AF0850" w14:textId="77777777" w:rsidR="00DE575E" w:rsidRDefault="002E7560">
      <w:pPr>
        <w:pStyle w:val="ListParagraph"/>
        <w:numPr>
          <w:ilvl w:val="0"/>
          <w:numId w:val="268"/>
        </w:numPr>
        <w:tabs>
          <w:tab w:val="left" w:pos="818"/>
        </w:tabs>
        <w:spacing w:before="2" w:line="252" w:lineRule="auto"/>
        <w:ind w:right="411" w:firstLine="283"/>
        <w:jc w:val="both"/>
        <w:rPr>
          <w:sz w:val="21"/>
        </w:rPr>
      </w:pPr>
      <w:r>
        <w:rPr>
          <w:color w:val="231F20"/>
          <w:sz w:val="21"/>
        </w:rPr>
        <w:t>координація та здійснення контролю за діяльністю органів виконавчої влади у сфері національної безпеки і оборони в умовах воєнног</w:t>
      </w:r>
      <w:r>
        <w:rPr>
          <w:color w:val="231F20"/>
          <w:sz w:val="21"/>
        </w:rPr>
        <w:t>о або надзвичайного стану та при виникненні кризових ситуацій, що загрожують національній безпеці</w:t>
      </w:r>
      <w:r>
        <w:rPr>
          <w:color w:val="231F20"/>
          <w:spacing w:val="-6"/>
          <w:sz w:val="21"/>
        </w:rPr>
        <w:t xml:space="preserve"> </w:t>
      </w:r>
      <w:r>
        <w:rPr>
          <w:color w:val="231F20"/>
          <w:spacing w:val="-3"/>
          <w:sz w:val="21"/>
        </w:rPr>
        <w:t>України.</w:t>
      </w:r>
    </w:p>
    <w:p w14:paraId="02DE9FCF" w14:textId="77777777" w:rsidR="00DE575E" w:rsidRDefault="002E7560">
      <w:pPr>
        <w:pStyle w:val="Heading5"/>
        <w:spacing w:before="2" w:line="252" w:lineRule="auto"/>
        <w:ind w:left="250" w:right="411" w:firstLine="283"/>
        <w:jc w:val="both"/>
      </w:pPr>
      <w:r>
        <w:rPr>
          <w:color w:val="231F20"/>
        </w:rPr>
        <w:t>Отже, адміністративно-правовий статус інституту Прези- дента України має подвійний характер:</w:t>
      </w:r>
    </w:p>
    <w:p w14:paraId="31A58B43" w14:textId="77777777" w:rsidR="00DE575E" w:rsidRDefault="002E7560">
      <w:pPr>
        <w:pStyle w:val="ListParagraph"/>
        <w:numPr>
          <w:ilvl w:val="0"/>
          <w:numId w:val="267"/>
        </w:numPr>
        <w:tabs>
          <w:tab w:val="left" w:pos="818"/>
        </w:tabs>
        <w:spacing w:line="252" w:lineRule="auto"/>
        <w:ind w:right="411" w:firstLine="283"/>
        <w:rPr>
          <w:b/>
          <w:sz w:val="21"/>
        </w:rPr>
      </w:pPr>
      <w:r>
        <w:rPr>
          <w:b/>
          <w:color w:val="231F20"/>
          <w:sz w:val="21"/>
        </w:rPr>
        <w:t xml:space="preserve">по-перше, для галузі адміністративного права конститу- ційні повноваження Президента </w:t>
      </w:r>
      <w:r>
        <w:rPr>
          <w:b/>
          <w:color w:val="231F20"/>
          <w:spacing w:val="-4"/>
          <w:sz w:val="21"/>
        </w:rPr>
        <w:t xml:space="preserve">України </w:t>
      </w:r>
      <w:r>
        <w:rPr>
          <w:b/>
          <w:color w:val="231F20"/>
          <w:spacing w:val="-3"/>
          <w:sz w:val="21"/>
        </w:rPr>
        <w:t xml:space="preserve">щодо </w:t>
      </w:r>
      <w:r>
        <w:rPr>
          <w:b/>
          <w:color w:val="231F20"/>
          <w:sz w:val="21"/>
        </w:rPr>
        <w:t xml:space="preserve">гарантування державного суверенітету, територіальної цілісності </w:t>
      </w:r>
      <w:r>
        <w:rPr>
          <w:b/>
          <w:color w:val="231F20"/>
          <w:spacing w:val="-4"/>
          <w:sz w:val="21"/>
        </w:rPr>
        <w:t xml:space="preserve">України, </w:t>
      </w:r>
      <w:r>
        <w:rPr>
          <w:b/>
          <w:color w:val="231F20"/>
          <w:sz w:val="21"/>
        </w:rPr>
        <w:t xml:space="preserve">дотримання Конституції, прав і свобод людини та громадянина є вихідними положеннями, </w:t>
      </w:r>
      <w:r>
        <w:rPr>
          <w:b/>
          <w:color w:val="231F20"/>
          <w:sz w:val="21"/>
        </w:rPr>
        <w:t xml:space="preserve">які мають розвиватися </w:t>
      </w:r>
      <w:r>
        <w:rPr>
          <w:b/>
          <w:color w:val="231F20"/>
          <w:spacing w:val="-3"/>
          <w:sz w:val="21"/>
        </w:rPr>
        <w:t xml:space="preserve">наукою </w:t>
      </w:r>
      <w:r>
        <w:rPr>
          <w:b/>
          <w:color w:val="231F20"/>
          <w:sz w:val="21"/>
        </w:rPr>
        <w:t>адмі- ністративного права та безпосередньо забезпечуватись орга- нами й посадовими особами виконавчої влади та місцевого самоврядування;</w:t>
      </w:r>
    </w:p>
    <w:p w14:paraId="36DC529F" w14:textId="77777777" w:rsidR="00DE575E" w:rsidRDefault="002E7560">
      <w:pPr>
        <w:pStyle w:val="ListParagraph"/>
        <w:numPr>
          <w:ilvl w:val="0"/>
          <w:numId w:val="267"/>
        </w:numPr>
        <w:tabs>
          <w:tab w:val="left" w:pos="818"/>
        </w:tabs>
        <w:spacing w:before="4" w:line="252" w:lineRule="auto"/>
        <w:ind w:right="410" w:firstLine="283"/>
        <w:rPr>
          <w:b/>
          <w:sz w:val="21"/>
        </w:rPr>
      </w:pPr>
      <w:r>
        <w:rPr>
          <w:b/>
          <w:color w:val="231F20"/>
          <w:sz w:val="21"/>
        </w:rPr>
        <w:t xml:space="preserve">по-друге, повноваження </w:t>
      </w:r>
      <w:r>
        <w:rPr>
          <w:b/>
          <w:color w:val="231F20"/>
          <w:spacing w:val="-6"/>
          <w:sz w:val="21"/>
        </w:rPr>
        <w:t xml:space="preserve">Глави </w:t>
      </w:r>
      <w:r>
        <w:rPr>
          <w:b/>
          <w:color w:val="231F20"/>
          <w:sz w:val="21"/>
        </w:rPr>
        <w:t xml:space="preserve">держави </w:t>
      </w:r>
      <w:r>
        <w:rPr>
          <w:b/>
          <w:color w:val="231F20"/>
          <w:spacing w:val="-3"/>
          <w:sz w:val="21"/>
        </w:rPr>
        <w:t xml:space="preserve">щодо </w:t>
      </w:r>
      <w:r>
        <w:rPr>
          <w:b/>
          <w:color w:val="231F20"/>
          <w:sz w:val="21"/>
        </w:rPr>
        <w:t>форму- вання</w:t>
      </w:r>
      <w:r>
        <w:rPr>
          <w:b/>
          <w:color w:val="231F20"/>
          <w:spacing w:val="7"/>
          <w:sz w:val="21"/>
        </w:rPr>
        <w:t xml:space="preserve"> </w:t>
      </w:r>
      <w:r>
        <w:rPr>
          <w:b/>
          <w:color w:val="231F20"/>
          <w:sz w:val="21"/>
        </w:rPr>
        <w:t>органів</w:t>
      </w:r>
      <w:r>
        <w:rPr>
          <w:b/>
          <w:color w:val="231F20"/>
          <w:spacing w:val="7"/>
          <w:sz w:val="21"/>
        </w:rPr>
        <w:t xml:space="preserve"> </w:t>
      </w:r>
      <w:r>
        <w:rPr>
          <w:b/>
          <w:color w:val="231F20"/>
          <w:sz w:val="21"/>
        </w:rPr>
        <w:t>виконавчої</w:t>
      </w:r>
      <w:r>
        <w:rPr>
          <w:b/>
          <w:color w:val="231F20"/>
          <w:spacing w:val="7"/>
          <w:sz w:val="21"/>
        </w:rPr>
        <w:t xml:space="preserve"> </w:t>
      </w:r>
      <w:r>
        <w:rPr>
          <w:b/>
          <w:color w:val="231F20"/>
          <w:sz w:val="21"/>
        </w:rPr>
        <w:t>влади,</w:t>
      </w:r>
      <w:r>
        <w:rPr>
          <w:b/>
          <w:color w:val="231F20"/>
          <w:spacing w:val="7"/>
          <w:sz w:val="21"/>
        </w:rPr>
        <w:t xml:space="preserve"> </w:t>
      </w:r>
      <w:r>
        <w:rPr>
          <w:b/>
          <w:color w:val="231F20"/>
          <w:sz w:val="21"/>
        </w:rPr>
        <w:t>контролю</w:t>
      </w:r>
      <w:r>
        <w:rPr>
          <w:b/>
          <w:color w:val="231F20"/>
          <w:spacing w:val="7"/>
          <w:sz w:val="21"/>
        </w:rPr>
        <w:t xml:space="preserve"> </w:t>
      </w:r>
      <w:r>
        <w:rPr>
          <w:b/>
          <w:color w:val="231F20"/>
          <w:sz w:val="21"/>
        </w:rPr>
        <w:t>за</w:t>
      </w:r>
      <w:r>
        <w:rPr>
          <w:b/>
          <w:color w:val="231F20"/>
          <w:spacing w:val="7"/>
          <w:sz w:val="21"/>
        </w:rPr>
        <w:t xml:space="preserve"> </w:t>
      </w:r>
      <w:r>
        <w:rPr>
          <w:b/>
          <w:color w:val="231F20"/>
          <w:sz w:val="21"/>
        </w:rPr>
        <w:t>їх</w:t>
      </w:r>
      <w:r>
        <w:rPr>
          <w:b/>
          <w:color w:val="231F20"/>
          <w:spacing w:val="7"/>
          <w:sz w:val="21"/>
        </w:rPr>
        <w:t xml:space="preserve"> </w:t>
      </w:r>
      <w:r>
        <w:rPr>
          <w:b/>
          <w:color w:val="231F20"/>
          <w:sz w:val="21"/>
        </w:rPr>
        <w:t>діяльністю,</w:t>
      </w:r>
    </w:p>
    <w:p w14:paraId="3D5A80F8" w14:textId="77777777" w:rsidR="00DE575E" w:rsidRDefault="00DE575E">
      <w:pPr>
        <w:pStyle w:val="BodyText"/>
        <w:spacing w:before="5"/>
        <w:rPr>
          <w:b/>
          <w:sz w:val="12"/>
        </w:rPr>
      </w:pPr>
    </w:p>
    <w:p w14:paraId="54127073" w14:textId="77777777" w:rsidR="00DE575E" w:rsidRDefault="002E7560">
      <w:pPr>
        <w:spacing w:before="92"/>
        <w:ind w:right="411"/>
        <w:jc w:val="right"/>
        <w:rPr>
          <w:rFonts w:ascii="Times New Roman"/>
          <w:sz w:val="20"/>
        </w:rPr>
      </w:pPr>
      <w:r>
        <w:rPr>
          <w:rFonts w:ascii="Times New Roman"/>
          <w:color w:val="231F20"/>
          <w:w w:val="90"/>
          <w:sz w:val="20"/>
        </w:rPr>
        <w:t>95</w:t>
      </w:r>
    </w:p>
    <w:p w14:paraId="6270DB1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E930AF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A18128D" w14:textId="100FED8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B53BF1C" wp14:editId="6E60BBC2">
                <wp:extent cx="4140200" cy="6350"/>
                <wp:effectExtent l="0" t="0" r="12700" b="6350"/>
                <wp:docPr id="1163"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64" name="Line 11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3D11BA" id="Group_x0020_11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k5X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qZOVx/AgAAnAUAAA4A&#10;AAAAAAAAAAAAAAAALAIAAGRycy9lMm9Eb2MueG1sUEsBAi0AFAAGAAgAAAAhAEynsJDZAAAAAwEA&#10;AA8AAAAAAAAAAAAAAAAA1wQAAGRycy9kb3ducmV2LnhtbFBLBQYAAAAABAAEAPMAAADdBQAAAAA=&#10;">
                <v:line id="Line_x0020_11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OiucQAAADdAAAADwAAAGRycy9kb3ducmV2LnhtbERPzWrCQBC+C77DMkIvohurSImuIoIg&#10;Pag1fYAxO01Cd2djdjVpn74rCL3Nx/c7y3VnjbhT4yvHCibjBARx7nTFhYLPbDd6A+EDskbjmBT8&#10;kIf1qt9bYqpdyx90P4dCxBD2KSooQ6hTKX1ekkU/djVx5L5cYzFE2BRSN9jGcGvka5LMpcWKY0OJ&#10;NW1Lyr/PN6sguw6DOR3fTZsdL1N5uR6mv7eDUi+DbrMAEagL/+Kne6/j/Ml8Bo9v4gl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g6K5xAAAAN0AAAAPAAAAAAAAAAAA&#10;AAAAAKECAABkcnMvZG93bnJldi54bWxQSwUGAAAAAAQABAD5AAAAkgMAAAAA&#10;" strokecolor="#231f20" strokeweight=".5pt"/>
                <w10:anchorlock/>
              </v:group>
            </w:pict>
          </mc:Fallback>
        </mc:AlternateContent>
      </w:r>
    </w:p>
    <w:p w14:paraId="588C71E1" w14:textId="77777777" w:rsidR="00DE575E" w:rsidRDefault="00DE575E">
      <w:pPr>
        <w:pStyle w:val="BodyText"/>
        <w:spacing w:before="7"/>
        <w:rPr>
          <w:rFonts w:ascii="AdonisC"/>
          <w:i/>
          <w:sz w:val="11"/>
        </w:rPr>
      </w:pPr>
    </w:p>
    <w:p w14:paraId="1EF9A998" w14:textId="77777777" w:rsidR="00DE575E" w:rsidRDefault="002E7560">
      <w:pPr>
        <w:pStyle w:val="Heading5"/>
        <w:spacing w:before="101" w:line="252" w:lineRule="auto"/>
        <w:ind w:right="128"/>
        <w:jc w:val="both"/>
      </w:pPr>
      <w:r>
        <w:rPr>
          <w:color w:val="231F20"/>
        </w:rPr>
        <w:t>забезпечення національної безпеки та ін. дають підстави вважати,</w:t>
      </w:r>
      <w:r>
        <w:rPr>
          <w:color w:val="231F20"/>
          <w:spacing w:val="-9"/>
        </w:rPr>
        <w:t xml:space="preserve"> </w:t>
      </w:r>
      <w:r>
        <w:rPr>
          <w:color w:val="231F20"/>
        </w:rPr>
        <w:t>що</w:t>
      </w:r>
      <w:r>
        <w:rPr>
          <w:color w:val="231F20"/>
          <w:spacing w:val="-9"/>
        </w:rPr>
        <w:t xml:space="preserve"> </w:t>
      </w:r>
      <w:r>
        <w:rPr>
          <w:color w:val="231F20"/>
        </w:rPr>
        <w:t>інститут</w:t>
      </w:r>
      <w:r>
        <w:rPr>
          <w:color w:val="231F20"/>
          <w:spacing w:val="-9"/>
        </w:rPr>
        <w:t xml:space="preserve"> </w:t>
      </w:r>
      <w:r>
        <w:rPr>
          <w:color w:val="231F20"/>
        </w:rPr>
        <w:t>Президента</w:t>
      </w:r>
      <w:r>
        <w:rPr>
          <w:color w:val="231F20"/>
          <w:spacing w:val="-9"/>
        </w:rPr>
        <w:t xml:space="preserve"> </w:t>
      </w:r>
      <w:r>
        <w:rPr>
          <w:color w:val="231F20"/>
        </w:rPr>
        <w:t>в</w:t>
      </w:r>
      <w:r>
        <w:rPr>
          <w:color w:val="231F20"/>
          <w:spacing w:val="-9"/>
        </w:rPr>
        <w:t xml:space="preserve"> </w:t>
      </w:r>
      <w:r>
        <w:rPr>
          <w:color w:val="231F20"/>
          <w:spacing w:val="-4"/>
        </w:rPr>
        <w:t>Україні</w:t>
      </w:r>
      <w:r>
        <w:rPr>
          <w:color w:val="231F20"/>
          <w:spacing w:val="-9"/>
        </w:rPr>
        <w:t xml:space="preserve"> </w:t>
      </w:r>
      <w:r>
        <w:rPr>
          <w:color w:val="231F20"/>
          <w:spacing w:val="-3"/>
        </w:rPr>
        <w:t>законодавчо</w:t>
      </w:r>
      <w:r>
        <w:rPr>
          <w:color w:val="231F20"/>
          <w:spacing w:val="-9"/>
        </w:rPr>
        <w:t xml:space="preserve"> </w:t>
      </w:r>
      <w:r>
        <w:rPr>
          <w:color w:val="231F20"/>
        </w:rPr>
        <w:t>є</w:t>
      </w:r>
      <w:r>
        <w:rPr>
          <w:color w:val="231F20"/>
          <w:spacing w:val="-9"/>
        </w:rPr>
        <w:t xml:space="preserve"> </w:t>
      </w:r>
      <w:r>
        <w:rPr>
          <w:color w:val="231F20"/>
        </w:rPr>
        <w:t>таким, що наділений функціями виконавчої</w:t>
      </w:r>
      <w:r>
        <w:rPr>
          <w:color w:val="231F20"/>
          <w:spacing w:val="-6"/>
        </w:rPr>
        <w:t xml:space="preserve"> </w:t>
      </w:r>
      <w:r>
        <w:rPr>
          <w:color w:val="231F20"/>
        </w:rPr>
        <w:t>влади.</w:t>
      </w:r>
    </w:p>
    <w:p w14:paraId="6AEBF26D" w14:textId="77777777" w:rsidR="00DE575E" w:rsidRDefault="00DE575E">
      <w:pPr>
        <w:pStyle w:val="BodyText"/>
        <w:rPr>
          <w:b/>
          <w:sz w:val="24"/>
        </w:rPr>
      </w:pPr>
    </w:p>
    <w:p w14:paraId="78C02100" w14:textId="77777777" w:rsidR="00DE575E" w:rsidRDefault="00DE575E">
      <w:pPr>
        <w:pStyle w:val="BodyText"/>
        <w:spacing w:before="4"/>
        <w:rPr>
          <w:b/>
          <w:sz w:val="19"/>
        </w:rPr>
      </w:pPr>
    </w:p>
    <w:p w14:paraId="7DBF024B" w14:textId="77777777" w:rsidR="00DE575E" w:rsidRDefault="002E7560">
      <w:pPr>
        <w:pStyle w:val="ListParagraph"/>
        <w:numPr>
          <w:ilvl w:val="1"/>
          <w:numId w:val="271"/>
        </w:numPr>
        <w:tabs>
          <w:tab w:val="left" w:pos="2165"/>
        </w:tabs>
        <w:ind w:left="2164" w:hanging="410"/>
        <w:jc w:val="left"/>
        <w:rPr>
          <w:b/>
        </w:rPr>
      </w:pPr>
      <w:r>
        <w:rPr>
          <w:b/>
          <w:color w:val="231F20"/>
        </w:rPr>
        <w:t>Система органів виконавчої</w:t>
      </w:r>
      <w:r>
        <w:rPr>
          <w:b/>
          <w:color w:val="231F20"/>
          <w:spacing w:val="-4"/>
        </w:rPr>
        <w:t xml:space="preserve"> </w:t>
      </w:r>
      <w:r>
        <w:rPr>
          <w:b/>
          <w:color w:val="231F20"/>
        </w:rPr>
        <w:t>влади</w:t>
      </w:r>
    </w:p>
    <w:p w14:paraId="23C7FCD8" w14:textId="77777777" w:rsidR="00DE575E" w:rsidRDefault="00DE575E">
      <w:pPr>
        <w:pStyle w:val="BodyText"/>
        <w:rPr>
          <w:b/>
          <w:sz w:val="26"/>
        </w:rPr>
      </w:pPr>
    </w:p>
    <w:p w14:paraId="4A3BBF36" w14:textId="77777777" w:rsidR="00DE575E" w:rsidRDefault="002E7560">
      <w:pPr>
        <w:spacing w:before="223" w:line="252" w:lineRule="auto"/>
        <w:ind w:left="533" w:right="128" w:firstLine="283"/>
        <w:jc w:val="both"/>
        <w:rPr>
          <w:i/>
          <w:sz w:val="21"/>
        </w:rPr>
      </w:pPr>
      <w:r>
        <w:rPr>
          <w:b/>
          <w:i/>
          <w:color w:val="231F20"/>
          <w:sz w:val="21"/>
        </w:rPr>
        <w:t>Система</w:t>
      </w:r>
      <w:r>
        <w:rPr>
          <w:b/>
          <w:i/>
          <w:color w:val="231F20"/>
          <w:spacing w:val="-7"/>
          <w:sz w:val="21"/>
        </w:rPr>
        <w:t xml:space="preserve"> </w:t>
      </w:r>
      <w:r>
        <w:rPr>
          <w:b/>
          <w:i/>
          <w:color w:val="231F20"/>
          <w:sz w:val="21"/>
        </w:rPr>
        <w:t>органів</w:t>
      </w:r>
      <w:r>
        <w:rPr>
          <w:b/>
          <w:i/>
          <w:color w:val="231F20"/>
          <w:spacing w:val="-7"/>
          <w:sz w:val="21"/>
        </w:rPr>
        <w:t xml:space="preserve"> </w:t>
      </w:r>
      <w:r>
        <w:rPr>
          <w:b/>
          <w:i/>
          <w:color w:val="231F20"/>
          <w:sz w:val="21"/>
        </w:rPr>
        <w:t>виконавчої</w:t>
      </w:r>
      <w:r>
        <w:rPr>
          <w:b/>
          <w:i/>
          <w:color w:val="231F20"/>
          <w:spacing w:val="-7"/>
          <w:sz w:val="21"/>
        </w:rPr>
        <w:t xml:space="preserve"> </w:t>
      </w:r>
      <w:r>
        <w:rPr>
          <w:b/>
          <w:i/>
          <w:color w:val="231F20"/>
          <w:sz w:val="21"/>
        </w:rPr>
        <w:t>влади</w:t>
      </w:r>
      <w:r>
        <w:rPr>
          <w:b/>
          <w:i/>
          <w:color w:val="231F20"/>
          <w:spacing w:val="-7"/>
          <w:sz w:val="21"/>
        </w:rPr>
        <w:t xml:space="preserve"> </w:t>
      </w:r>
      <w:r>
        <w:rPr>
          <w:i/>
          <w:color w:val="231F20"/>
          <w:sz w:val="21"/>
        </w:rPr>
        <w:t>–</w:t>
      </w:r>
      <w:r>
        <w:rPr>
          <w:i/>
          <w:color w:val="231F20"/>
          <w:spacing w:val="-7"/>
          <w:sz w:val="21"/>
        </w:rPr>
        <w:t xml:space="preserve"> </w:t>
      </w:r>
      <w:r>
        <w:rPr>
          <w:i/>
          <w:color w:val="231F20"/>
          <w:sz w:val="21"/>
        </w:rPr>
        <w:t>це</w:t>
      </w:r>
      <w:r>
        <w:rPr>
          <w:i/>
          <w:color w:val="231F20"/>
          <w:spacing w:val="-7"/>
          <w:sz w:val="21"/>
        </w:rPr>
        <w:t xml:space="preserve"> </w:t>
      </w:r>
      <w:r>
        <w:rPr>
          <w:i/>
          <w:color w:val="231F20"/>
          <w:sz w:val="21"/>
        </w:rPr>
        <w:t>сукупність</w:t>
      </w:r>
      <w:r>
        <w:rPr>
          <w:i/>
          <w:color w:val="231F20"/>
          <w:spacing w:val="-7"/>
          <w:sz w:val="21"/>
        </w:rPr>
        <w:t xml:space="preserve"> </w:t>
      </w:r>
      <w:r>
        <w:rPr>
          <w:i/>
          <w:color w:val="231F20"/>
          <w:sz w:val="21"/>
        </w:rPr>
        <w:t>взаємопов’я- заних і взаємозалежних держави органів, які створюють цілісну єдність у процесі реалізації виконавчої влади на території</w:t>
      </w:r>
      <w:r>
        <w:rPr>
          <w:i/>
          <w:color w:val="231F20"/>
          <w:spacing w:val="-33"/>
          <w:sz w:val="21"/>
        </w:rPr>
        <w:t xml:space="preserve"> </w:t>
      </w:r>
      <w:r>
        <w:rPr>
          <w:i/>
          <w:color w:val="231F20"/>
          <w:sz w:val="21"/>
        </w:rPr>
        <w:t>України.</w:t>
      </w:r>
    </w:p>
    <w:p w14:paraId="7123652A" w14:textId="77777777" w:rsidR="00DE575E" w:rsidRDefault="002E7560">
      <w:pPr>
        <w:pStyle w:val="BodyText"/>
        <w:spacing w:before="2"/>
        <w:ind w:left="817"/>
      </w:pPr>
      <w:r>
        <w:rPr>
          <w:color w:val="231F20"/>
        </w:rPr>
        <w:t xml:space="preserve">Найбільш суттєвими </w:t>
      </w:r>
      <w:r>
        <w:rPr>
          <w:b/>
          <w:color w:val="231F20"/>
        </w:rPr>
        <w:t xml:space="preserve">ознаками </w:t>
      </w:r>
      <w:r>
        <w:rPr>
          <w:color w:val="231F20"/>
        </w:rPr>
        <w:t>органу виконавчої влади є такі:</w:t>
      </w:r>
    </w:p>
    <w:p w14:paraId="75ECE155" w14:textId="77777777" w:rsidR="00DE575E" w:rsidRDefault="002E7560">
      <w:pPr>
        <w:pStyle w:val="ListParagraph"/>
        <w:numPr>
          <w:ilvl w:val="1"/>
          <w:numId w:val="267"/>
        </w:numPr>
        <w:tabs>
          <w:tab w:val="left" w:pos="1101"/>
        </w:tabs>
        <w:spacing w:before="13" w:line="252" w:lineRule="auto"/>
        <w:ind w:right="125" w:firstLine="284"/>
        <w:rPr>
          <w:sz w:val="21"/>
        </w:rPr>
      </w:pPr>
      <w:r>
        <w:rPr>
          <w:color w:val="231F20"/>
          <w:sz w:val="21"/>
        </w:rPr>
        <w:t>кожен орган виконавч</w:t>
      </w:r>
      <w:r>
        <w:rPr>
          <w:color w:val="231F20"/>
          <w:sz w:val="21"/>
        </w:rPr>
        <w:t>ої влади, діючи від імені та за доручен- ням держави, має певний правовий статус, є носієм відповідних державновладних</w:t>
      </w:r>
      <w:r>
        <w:rPr>
          <w:color w:val="231F20"/>
          <w:spacing w:val="3"/>
          <w:sz w:val="21"/>
        </w:rPr>
        <w:t xml:space="preserve"> </w:t>
      </w:r>
      <w:r>
        <w:rPr>
          <w:color w:val="231F20"/>
          <w:sz w:val="21"/>
        </w:rPr>
        <w:t>повноважень;</w:t>
      </w:r>
    </w:p>
    <w:p w14:paraId="1B8D7B6F" w14:textId="77777777" w:rsidR="00DE575E" w:rsidRDefault="002E7560">
      <w:pPr>
        <w:pStyle w:val="ListParagraph"/>
        <w:numPr>
          <w:ilvl w:val="1"/>
          <w:numId w:val="267"/>
        </w:numPr>
        <w:tabs>
          <w:tab w:val="left" w:pos="1101"/>
        </w:tabs>
        <w:spacing w:line="252" w:lineRule="auto"/>
        <w:ind w:right="125" w:firstLine="284"/>
        <w:rPr>
          <w:sz w:val="21"/>
        </w:rPr>
      </w:pPr>
      <w:r>
        <w:rPr>
          <w:color w:val="231F20"/>
          <w:sz w:val="21"/>
        </w:rPr>
        <w:t>основним   змістом   діяльності   органів   виконавчої   влади   є надання адміністративних послуг і здійснення публічного у</w:t>
      </w:r>
      <w:r>
        <w:rPr>
          <w:color w:val="231F20"/>
          <w:sz w:val="21"/>
        </w:rPr>
        <w:t>прав- ління;</w:t>
      </w:r>
    </w:p>
    <w:p w14:paraId="1DC5070D" w14:textId="77777777" w:rsidR="00DE575E" w:rsidRDefault="002E7560">
      <w:pPr>
        <w:pStyle w:val="ListParagraph"/>
        <w:numPr>
          <w:ilvl w:val="1"/>
          <w:numId w:val="267"/>
        </w:numPr>
        <w:tabs>
          <w:tab w:val="left" w:pos="1101"/>
        </w:tabs>
        <w:spacing w:before="2" w:line="252" w:lineRule="auto"/>
        <w:ind w:right="125" w:firstLine="284"/>
        <w:rPr>
          <w:sz w:val="21"/>
        </w:rPr>
      </w:pPr>
      <w:r>
        <w:rPr>
          <w:color w:val="231F20"/>
          <w:sz w:val="21"/>
        </w:rPr>
        <w:t>створення, структура, порядок діяльності й компетенція органів виконавчої влади визначаються Конституцією та зако- нами України, актами Кабінету Міністрів України, іншими норма- тивними правовими</w:t>
      </w:r>
      <w:r>
        <w:rPr>
          <w:color w:val="231F20"/>
          <w:spacing w:val="7"/>
          <w:sz w:val="21"/>
        </w:rPr>
        <w:t xml:space="preserve"> </w:t>
      </w:r>
      <w:r>
        <w:rPr>
          <w:color w:val="231F20"/>
          <w:sz w:val="21"/>
        </w:rPr>
        <w:t>актами;</w:t>
      </w:r>
    </w:p>
    <w:p w14:paraId="2AAC3A44" w14:textId="77777777" w:rsidR="00DE575E" w:rsidRDefault="002E7560">
      <w:pPr>
        <w:pStyle w:val="ListParagraph"/>
        <w:numPr>
          <w:ilvl w:val="1"/>
          <w:numId w:val="267"/>
        </w:numPr>
        <w:tabs>
          <w:tab w:val="left" w:pos="1101"/>
        </w:tabs>
        <w:ind w:firstLine="284"/>
        <w:jc w:val="left"/>
        <w:rPr>
          <w:sz w:val="21"/>
        </w:rPr>
      </w:pPr>
      <w:r>
        <w:rPr>
          <w:color w:val="231F20"/>
          <w:sz w:val="21"/>
        </w:rPr>
        <w:t>органи виконавчої влади створюють єдину</w:t>
      </w:r>
      <w:r>
        <w:rPr>
          <w:color w:val="231F20"/>
          <w:spacing w:val="32"/>
          <w:sz w:val="21"/>
        </w:rPr>
        <w:t xml:space="preserve"> </w:t>
      </w:r>
      <w:r>
        <w:rPr>
          <w:color w:val="231F20"/>
          <w:sz w:val="21"/>
        </w:rPr>
        <w:t>систему;</w:t>
      </w:r>
    </w:p>
    <w:p w14:paraId="2C44138D" w14:textId="77777777" w:rsidR="00DE575E" w:rsidRDefault="002E7560">
      <w:pPr>
        <w:pStyle w:val="ListParagraph"/>
        <w:numPr>
          <w:ilvl w:val="1"/>
          <w:numId w:val="267"/>
        </w:numPr>
        <w:tabs>
          <w:tab w:val="left" w:pos="1101"/>
        </w:tabs>
        <w:spacing w:before="13" w:line="252" w:lineRule="auto"/>
        <w:ind w:right="124" w:firstLine="284"/>
        <w:rPr>
          <w:sz w:val="21"/>
        </w:rPr>
      </w:pPr>
      <w:r>
        <w:rPr>
          <w:color w:val="231F20"/>
          <w:sz w:val="21"/>
        </w:rPr>
        <w:t>у межах цієї системи органи виконавчої влади наділяються необхідною оперативною самостійністю, що виражається в їх компетенції;</w:t>
      </w:r>
    </w:p>
    <w:p w14:paraId="4AAEE1B0" w14:textId="77777777" w:rsidR="00DE575E" w:rsidRDefault="002E7560">
      <w:pPr>
        <w:pStyle w:val="ListParagraph"/>
        <w:numPr>
          <w:ilvl w:val="1"/>
          <w:numId w:val="267"/>
        </w:numPr>
        <w:tabs>
          <w:tab w:val="left" w:pos="1101"/>
        </w:tabs>
        <w:spacing w:before="2" w:line="252" w:lineRule="auto"/>
        <w:ind w:right="127" w:firstLine="284"/>
        <w:rPr>
          <w:sz w:val="21"/>
        </w:rPr>
      </w:pPr>
      <w:r>
        <w:rPr>
          <w:color w:val="231F20"/>
          <w:sz w:val="21"/>
        </w:rPr>
        <w:t>діяльність органів виконавчої влади має підзаконний, адмі- ністративно-сервісний та виконавчо-розпорядчий характер, вони здійснюють</w:t>
      </w:r>
      <w:r>
        <w:rPr>
          <w:color w:val="231F20"/>
          <w:spacing w:val="6"/>
          <w:sz w:val="21"/>
        </w:rPr>
        <w:t xml:space="preserve"> </w:t>
      </w:r>
      <w:r>
        <w:rPr>
          <w:color w:val="231F20"/>
          <w:sz w:val="21"/>
        </w:rPr>
        <w:t>свої</w:t>
      </w:r>
      <w:r>
        <w:rPr>
          <w:color w:val="231F20"/>
          <w:spacing w:val="6"/>
          <w:sz w:val="21"/>
        </w:rPr>
        <w:t xml:space="preserve"> </w:t>
      </w:r>
      <w:r>
        <w:rPr>
          <w:color w:val="231F20"/>
          <w:sz w:val="21"/>
        </w:rPr>
        <w:t>функції</w:t>
      </w:r>
      <w:r>
        <w:rPr>
          <w:color w:val="231F20"/>
          <w:spacing w:val="6"/>
          <w:sz w:val="21"/>
        </w:rPr>
        <w:t xml:space="preserve"> </w:t>
      </w:r>
      <w:r>
        <w:rPr>
          <w:color w:val="231F20"/>
          <w:sz w:val="21"/>
        </w:rPr>
        <w:t>на</w:t>
      </w:r>
      <w:r>
        <w:rPr>
          <w:color w:val="231F20"/>
          <w:spacing w:val="6"/>
          <w:sz w:val="21"/>
        </w:rPr>
        <w:t xml:space="preserve"> </w:t>
      </w:r>
      <w:r>
        <w:rPr>
          <w:color w:val="231F20"/>
          <w:sz w:val="21"/>
        </w:rPr>
        <w:t>підставі</w:t>
      </w:r>
      <w:r>
        <w:rPr>
          <w:color w:val="231F20"/>
          <w:spacing w:val="6"/>
          <w:sz w:val="21"/>
        </w:rPr>
        <w:t xml:space="preserve"> </w:t>
      </w:r>
      <w:r>
        <w:rPr>
          <w:color w:val="231F20"/>
          <w:sz w:val="21"/>
        </w:rPr>
        <w:t>та</w:t>
      </w:r>
      <w:r>
        <w:rPr>
          <w:color w:val="231F20"/>
          <w:spacing w:val="6"/>
          <w:sz w:val="21"/>
        </w:rPr>
        <w:t xml:space="preserve"> </w:t>
      </w:r>
      <w:r>
        <w:rPr>
          <w:color w:val="231F20"/>
          <w:sz w:val="21"/>
        </w:rPr>
        <w:t>на</w:t>
      </w:r>
      <w:r>
        <w:rPr>
          <w:color w:val="231F20"/>
          <w:spacing w:val="6"/>
          <w:sz w:val="21"/>
        </w:rPr>
        <w:t xml:space="preserve"> </w:t>
      </w:r>
      <w:r>
        <w:rPr>
          <w:color w:val="231F20"/>
          <w:sz w:val="21"/>
        </w:rPr>
        <w:t>виконання</w:t>
      </w:r>
      <w:r>
        <w:rPr>
          <w:color w:val="231F20"/>
          <w:spacing w:val="6"/>
          <w:sz w:val="21"/>
        </w:rPr>
        <w:t xml:space="preserve"> </w:t>
      </w:r>
      <w:r>
        <w:rPr>
          <w:color w:val="231F20"/>
          <w:sz w:val="21"/>
        </w:rPr>
        <w:t>закону;</w:t>
      </w:r>
    </w:p>
    <w:p w14:paraId="3214F222" w14:textId="77777777" w:rsidR="00DE575E" w:rsidRDefault="002E7560">
      <w:pPr>
        <w:pStyle w:val="ListParagraph"/>
        <w:numPr>
          <w:ilvl w:val="1"/>
          <w:numId w:val="267"/>
        </w:numPr>
        <w:tabs>
          <w:tab w:val="left" w:pos="1101"/>
        </w:tabs>
        <w:ind w:firstLine="284"/>
        <w:jc w:val="left"/>
        <w:rPr>
          <w:sz w:val="21"/>
        </w:rPr>
      </w:pPr>
      <w:r>
        <w:rPr>
          <w:color w:val="231F20"/>
          <w:sz w:val="21"/>
        </w:rPr>
        <w:t>ухвалювати підзаконні нормативні</w:t>
      </w:r>
      <w:r>
        <w:rPr>
          <w:color w:val="231F20"/>
          <w:spacing w:val="15"/>
          <w:sz w:val="21"/>
        </w:rPr>
        <w:t xml:space="preserve"> </w:t>
      </w:r>
      <w:r>
        <w:rPr>
          <w:color w:val="231F20"/>
          <w:sz w:val="21"/>
        </w:rPr>
        <w:t>акти;</w:t>
      </w:r>
    </w:p>
    <w:p w14:paraId="6899C9FB" w14:textId="77777777" w:rsidR="00DE575E" w:rsidRDefault="002E7560">
      <w:pPr>
        <w:pStyle w:val="ListParagraph"/>
        <w:numPr>
          <w:ilvl w:val="1"/>
          <w:numId w:val="267"/>
        </w:numPr>
        <w:tabs>
          <w:tab w:val="left" w:pos="1101"/>
        </w:tabs>
        <w:spacing w:before="13" w:line="252" w:lineRule="auto"/>
        <w:ind w:right="124" w:firstLine="284"/>
        <w:rPr>
          <w:sz w:val="21"/>
        </w:rPr>
      </w:pPr>
      <w:r>
        <w:rPr>
          <w:color w:val="231F20"/>
          <w:sz w:val="21"/>
        </w:rPr>
        <w:t>під час здійснення захисту прав, свобод  і  законних  інтере- сів  приватних  осіб,  забезпечення  публічного  інтересу  держави    й суспільства загалом вони мають право діяти юридично владно, застосовуючи різні правові засоби нормотворчого, виконавчого (</w:t>
      </w:r>
      <w:r>
        <w:rPr>
          <w:color w:val="231F20"/>
          <w:sz w:val="21"/>
        </w:rPr>
        <w:t>розпорядчого) та юрисдикційного (правоохоронного)</w:t>
      </w:r>
      <w:r>
        <w:rPr>
          <w:color w:val="231F20"/>
          <w:spacing w:val="31"/>
          <w:sz w:val="21"/>
        </w:rPr>
        <w:t xml:space="preserve"> </w:t>
      </w:r>
      <w:r>
        <w:rPr>
          <w:color w:val="231F20"/>
          <w:sz w:val="21"/>
        </w:rPr>
        <w:t>характеру;</w:t>
      </w:r>
    </w:p>
    <w:p w14:paraId="6EE694E5" w14:textId="77777777" w:rsidR="00DE575E" w:rsidRDefault="002E7560">
      <w:pPr>
        <w:pStyle w:val="ListParagraph"/>
        <w:numPr>
          <w:ilvl w:val="1"/>
          <w:numId w:val="267"/>
        </w:numPr>
        <w:tabs>
          <w:tab w:val="left" w:pos="1101"/>
        </w:tabs>
        <w:spacing w:before="3" w:line="252" w:lineRule="auto"/>
        <w:ind w:right="125" w:firstLine="284"/>
        <w:rPr>
          <w:sz w:val="21"/>
        </w:rPr>
      </w:pPr>
      <w:r>
        <w:rPr>
          <w:color w:val="231F20"/>
          <w:sz w:val="21"/>
        </w:rPr>
        <w:t>кожен орган виконавчої влади має визначений для нього законодавством територіальний масштаб діяльності, який  ураховує особливості адміністративно-територіального устрою України;</w:t>
      </w:r>
    </w:p>
    <w:p w14:paraId="1EEB18EB" w14:textId="77777777" w:rsidR="00DE575E" w:rsidRDefault="00DE575E">
      <w:pPr>
        <w:pStyle w:val="BodyText"/>
        <w:spacing w:before="7"/>
        <w:rPr>
          <w:sz w:val="12"/>
        </w:rPr>
      </w:pPr>
    </w:p>
    <w:p w14:paraId="3C27AF6F" w14:textId="77777777" w:rsidR="00DE575E" w:rsidRDefault="002E7560">
      <w:pPr>
        <w:spacing w:before="91"/>
        <w:ind w:left="533"/>
        <w:rPr>
          <w:rFonts w:ascii="Times New Roman"/>
          <w:sz w:val="20"/>
        </w:rPr>
      </w:pPr>
      <w:r>
        <w:rPr>
          <w:rFonts w:ascii="Times New Roman"/>
          <w:color w:val="231F20"/>
          <w:sz w:val="20"/>
        </w:rPr>
        <w:t>96</w:t>
      </w:r>
    </w:p>
    <w:p w14:paraId="59821AC7" w14:textId="77777777" w:rsidR="00DE575E" w:rsidRDefault="00DE575E">
      <w:pPr>
        <w:rPr>
          <w:rFonts w:ascii="Times New Roman"/>
          <w:sz w:val="20"/>
        </w:rPr>
        <w:sectPr w:rsidR="00DE575E">
          <w:pgSz w:w="8510" w:h="12760"/>
          <w:pgMar w:top="660" w:right="720" w:bottom="280" w:left="600" w:header="720" w:footer="720" w:gutter="0"/>
          <w:cols w:space="720"/>
        </w:sectPr>
      </w:pPr>
    </w:p>
    <w:p w14:paraId="6F4A1BE2"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091C93E8" w14:textId="200C22F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DE244C4" wp14:editId="3AC48416">
                <wp:extent cx="4140200" cy="6350"/>
                <wp:effectExtent l="0" t="0" r="12700" b="6350"/>
                <wp:docPr id="1161"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62" name="Line 11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56CC81" id="Group_x0020_11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8LfU9X4CAACcBQAADgAA&#10;AAAAAAAAAAAAAAAsAgAAZHJzL2Uyb0RvYy54bWxQSwECLQAUAAYACAAAACEATKewkNkAAAADAQAA&#10;DwAAAAAAAAAAAAAAAADWBAAAZHJzL2Rvd25yZXYueG1sUEsFBgAAAAAEAAQA8wAAANwFAAAAAA==&#10;">
                <v:line id="Line_x0020_11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afVsQAAADdAAAADwAAAGRycy9kb3ducmV2LnhtbERP22rCQBB9F/oPyxR8kbpRQUp0lSII&#10;pQ/e0g+YZMckdHc2ZlcT+/VdQejbHM51luveGnGj1teOFUzGCQjiwumaSwXf2fbtHYQPyBqNY1Jw&#10;Jw/r1ctgial2HR/pdgqliCHsU1RQhdCkUvqiIot+7BriyJ1dazFE2JZSt9jFcGvkNEnm0mLNsaHC&#10;hjYVFT+nq1WQXUbBHPZfpsv2+Uzml93s97pTavjafyxABOrDv/jp/tRx/mQ+hcc38QS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Jp9WxAAAAN0AAAAPAAAAAAAAAAAA&#10;AAAAAKECAABkcnMvZG93bnJldi54bWxQSwUGAAAAAAQABAD5AAAAkgMAAAAA&#10;" strokecolor="#231f20" strokeweight=".5pt"/>
                <w10:anchorlock/>
              </v:group>
            </w:pict>
          </mc:Fallback>
        </mc:AlternateContent>
      </w:r>
    </w:p>
    <w:p w14:paraId="2862E6DA" w14:textId="77777777" w:rsidR="00DE575E" w:rsidRDefault="00DE575E">
      <w:pPr>
        <w:pStyle w:val="BodyText"/>
        <w:spacing w:before="7"/>
        <w:rPr>
          <w:rFonts w:ascii="AdonisC"/>
          <w:i/>
          <w:sz w:val="19"/>
        </w:rPr>
      </w:pPr>
    </w:p>
    <w:p w14:paraId="753EFC2E" w14:textId="77777777" w:rsidR="00DE575E" w:rsidRDefault="002E7560">
      <w:pPr>
        <w:pStyle w:val="ListParagraph"/>
        <w:numPr>
          <w:ilvl w:val="0"/>
          <w:numId w:val="266"/>
        </w:numPr>
        <w:tabs>
          <w:tab w:val="left" w:pos="818"/>
        </w:tabs>
        <w:spacing w:line="252" w:lineRule="auto"/>
        <w:ind w:right="410" w:firstLine="283"/>
        <w:rPr>
          <w:sz w:val="21"/>
        </w:rPr>
      </w:pPr>
      <w:r>
        <w:rPr>
          <w:color w:val="231F20"/>
          <w:sz w:val="21"/>
        </w:rPr>
        <w:t xml:space="preserve">органи виконавчої влади мають власну внутрішню </w:t>
      </w:r>
      <w:r>
        <w:rPr>
          <w:color w:val="231F20"/>
          <w:spacing w:val="-3"/>
          <w:sz w:val="21"/>
        </w:rPr>
        <w:t xml:space="preserve">структуру, </w:t>
      </w:r>
      <w:r>
        <w:rPr>
          <w:color w:val="231F20"/>
          <w:sz w:val="21"/>
        </w:rPr>
        <w:t>штат державних службовців, сформований за допомогою їх конкур- сного добору або призначення на посаду для здійснення</w:t>
      </w:r>
      <w:r>
        <w:rPr>
          <w:color w:val="231F20"/>
          <w:spacing w:val="-30"/>
          <w:sz w:val="21"/>
        </w:rPr>
        <w:t xml:space="preserve"> </w:t>
      </w:r>
      <w:r>
        <w:rPr>
          <w:color w:val="231F20"/>
          <w:sz w:val="21"/>
        </w:rPr>
        <w:t>конкретної виконавчо-розпорядчої діяльності в юридично владній</w:t>
      </w:r>
      <w:r>
        <w:rPr>
          <w:color w:val="231F20"/>
          <w:spacing w:val="-11"/>
          <w:sz w:val="21"/>
        </w:rPr>
        <w:t xml:space="preserve"> </w:t>
      </w:r>
      <w:r>
        <w:rPr>
          <w:color w:val="231F20"/>
          <w:sz w:val="21"/>
        </w:rPr>
        <w:t>формі.</w:t>
      </w:r>
    </w:p>
    <w:p w14:paraId="0C5D5964" w14:textId="77777777" w:rsidR="00DE575E" w:rsidRDefault="002E7560">
      <w:pPr>
        <w:pStyle w:val="ListParagraph"/>
        <w:numPr>
          <w:ilvl w:val="0"/>
          <w:numId w:val="266"/>
        </w:numPr>
        <w:tabs>
          <w:tab w:val="left" w:pos="818"/>
        </w:tabs>
        <w:spacing w:before="2" w:line="252" w:lineRule="auto"/>
        <w:ind w:right="410" w:firstLine="283"/>
        <w:rPr>
          <w:sz w:val="12"/>
        </w:rPr>
      </w:pPr>
      <w:r>
        <w:rPr>
          <w:color w:val="231F20"/>
          <w:sz w:val="21"/>
        </w:rPr>
        <w:t>кожен орган виконавчої влади має  офіційне  найменування та повноваження використовувати різні атрибути з державною символікою. Фінансування органів виконавчої влади здійснюється з державного</w:t>
      </w:r>
      <w:r>
        <w:rPr>
          <w:color w:val="231F20"/>
          <w:spacing w:val="-2"/>
          <w:sz w:val="21"/>
        </w:rPr>
        <w:t xml:space="preserve"> </w:t>
      </w:r>
      <w:r>
        <w:rPr>
          <w:color w:val="231F20"/>
          <w:sz w:val="21"/>
        </w:rPr>
        <w:t>бюджету</w:t>
      </w:r>
      <w:r>
        <w:rPr>
          <w:color w:val="231F20"/>
          <w:position w:val="7"/>
          <w:sz w:val="12"/>
        </w:rPr>
        <w:t>1.</w:t>
      </w:r>
    </w:p>
    <w:p w14:paraId="743AFB5C" w14:textId="77777777" w:rsidR="00DE575E" w:rsidRDefault="002E7560">
      <w:pPr>
        <w:pStyle w:val="Heading5"/>
        <w:spacing w:before="2" w:line="252" w:lineRule="auto"/>
        <w:ind w:left="250" w:right="410" w:firstLine="283"/>
        <w:jc w:val="both"/>
      </w:pPr>
      <w:r>
        <w:rPr>
          <w:color w:val="231F20"/>
        </w:rPr>
        <w:t xml:space="preserve">Отже, органи виконавчої влади – це частина державного </w:t>
      </w:r>
      <w:r>
        <w:rPr>
          <w:color w:val="231F20"/>
          <w:spacing w:val="-4"/>
        </w:rPr>
        <w:t xml:space="preserve">апарату, </w:t>
      </w:r>
      <w:r>
        <w:rPr>
          <w:color w:val="231F20"/>
        </w:rPr>
        <w:t>що має власну структуру та штат службовців і в межах установленої</w:t>
      </w:r>
      <w:r>
        <w:rPr>
          <w:color w:val="231F20"/>
          <w:spacing w:val="-18"/>
        </w:rPr>
        <w:t xml:space="preserve"> </w:t>
      </w:r>
      <w:r>
        <w:rPr>
          <w:color w:val="231F20"/>
        </w:rPr>
        <w:t>компетенції</w:t>
      </w:r>
      <w:r>
        <w:rPr>
          <w:color w:val="231F20"/>
          <w:spacing w:val="-18"/>
        </w:rPr>
        <w:t xml:space="preserve"> </w:t>
      </w:r>
      <w:r>
        <w:rPr>
          <w:color w:val="231F20"/>
        </w:rPr>
        <w:t>здійснює</w:t>
      </w:r>
      <w:r>
        <w:rPr>
          <w:color w:val="231F20"/>
          <w:spacing w:val="-18"/>
        </w:rPr>
        <w:t xml:space="preserve"> </w:t>
      </w:r>
      <w:r>
        <w:rPr>
          <w:color w:val="231F20"/>
        </w:rPr>
        <w:t>на</w:t>
      </w:r>
      <w:r>
        <w:rPr>
          <w:color w:val="231F20"/>
          <w:spacing w:val="-18"/>
        </w:rPr>
        <w:t xml:space="preserve"> </w:t>
      </w:r>
      <w:r>
        <w:rPr>
          <w:color w:val="231F20"/>
        </w:rPr>
        <w:t>основі</w:t>
      </w:r>
      <w:r>
        <w:rPr>
          <w:color w:val="231F20"/>
          <w:spacing w:val="-18"/>
        </w:rPr>
        <w:t xml:space="preserve"> </w:t>
      </w:r>
      <w:r>
        <w:rPr>
          <w:color w:val="231F20"/>
        </w:rPr>
        <w:t>законів</w:t>
      </w:r>
      <w:r>
        <w:rPr>
          <w:color w:val="231F20"/>
          <w:spacing w:val="-18"/>
        </w:rPr>
        <w:t xml:space="preserve"> </w:t>
      </w:r>
      <w:r>
        <w:rPr>
          <w:color w:val="231F20"/>
        </w:rPr>
        <w:t>та</w:t>
      </w:r>
      <w:r>
        <w:rPr>
          <w:color w:val="231F20"/>
          <w:spacing w:val="-18"/>
        </w:rPr>
        <w:t xml:space="preserve"> </w:t>
      </w:r>
      <w:r>
        <w:rPr>
          <w:color w:val="231F20"/>
        </w:rPr>
        <w:t>з</w:t>
      </w:r>
      <w:r>
        <w:rPr>
          <w:color w:val="231F20"/>
          <w:spacing w:val="-18"/>
        </w:rPr>
        <w:t xml:space="preserve"> </w:t>
      </w:r>
      <w:r>
        <w:rPr>
          <w:color w:val="231F20"/>
        </w:rPr>
        <w:t>їх</w:t>
      </w:r>
      <w:r>
        <w:rPr>
          <w:color w:val="231F20"/>
          <w:spacing w:val="-18"/>
        </w:rPr>
        <w:t xml:space="preserve"> </w:t>
      </w:r>
      <w:r>
        <w:rPr>
          <w:color w:val="231F20"/>
        </w:rPr>
        <w:t xml:space="preserve">вико- нання, від свого імені й за дорученням </w:t>
      </w:r>
      <w:r>
        <w:rPr>
          <w:color w:val="231F20"/>
          <w:spacing w:val="-3"/>
        </w:rPr>
        <w:t xml:space="preserve">народу </w:t>
      </w:r>
      <w:r>
        <w:rPr>
          <w:color w:val="231F20"/>
          <w:spacing w:val="-4"/>
        </w:rPr>
        <w:t xml:space="preserve">України </w:t>
      </w:r>
      <w:r>
        <w:rPr>
          <w:color w:val="231F20"/>
        </w:rPr>
        <w:t>публічне адміністрування</w:t>
      </w:r>
      <w:r>
        <w:rPr>
          <w:color w:val="231F20"/>
          <w:spacing w:val="-15"/>
        </w:rPr>
        <w:t xml:space="preserve"> </w:t>
      </w:r>
      <w:r>
        <w:rPr>
          <w:color w:val="231F20"/>
        </w:rPr>
        <w:t>в</w:t>
      </w:r>
      <w:r>
        <w:rPr>
          <w:color w:val="231F20"/>
          <w:spacing w:val="-16"/>
        </w:rPr>
        <w:t xml:space="preserve"> </w:t>
      </w:r>
      <w:r>
        <w:rPr>
          <w:color w:val="231F20"/>
        </w:rPr>
        <w:t>певних</w:t>
      </w:r>
      <w:r>
        <w:rPr>
          <w:color w:val="231F20"/>
          <w:spacing w:val="-15"/>
        </w:rPr>
        <w:t xml:space="preserve"> </w:t>
      </w:r>
      <w:r>
        <w:rPr>
          <w:color w:val="231F20"/>
        </w:rPr>
        <w:t>галузях,</w:t>
      </w:r>
      <w:r>
        <w:rPr>
          <w:color w:val="231F20"/>
          <w:spacing w:val="-15"/>
        </w:rPr>
        <w:t xml:space="preserve"> </w:t>
      </w:r>
      <w:r>
        <w:rPr>
          <w:color w:val="231F20"/>
        </w:rPr>
        <w:t>сферах</w:t>
      </w:r>
      <w:r>
        <w:rPr>
          <w:color w:val="231F20"/>
          <w:spacing w:val="-15"/>
        </w:rPr>
        <w:t xml:space="preserve"> </w:t>
      </w:r>
      <w:r>
        <w:rPr>
          <w:color w:val="231F20"/>
        </w:rPr>
        <w:t>і</w:t>
      </w:r>
      <w:r>
        <w:rPr>
          <w:color w:val="231F20"/>
          <w:spacing w:val="-16"/>
        </w:rPr>
        <w:t xml:space="preserve"> </w:t>
      </w:r>
      <w:r>
        <w:rPr>
          <w:color w:val="231F20"/>
        </w:rPr>
        <w:t>секторах</w:t>
      </w:r>
      <w:r>
        <w:rPr>
          <w:color w:val="231F20"/>
          <w:spacing w:val="-15"/>
        </w:rPr>
        <w:t xml:space="preserve"> </w:t>
      </w:r>
      <w:r>
        <w:rPr>
          <w:color w:val="231F20"/>
        </w:rPr>
        <w:t>суспільного ж</w:t>
      </w:r>
      <w:r>
        <w:rPr>
          <w:color w:val="231F20"/>
        </w:rPr>
        <w:t>иття.</w:t>
      </w:r>
    </w:p>
    <w:p w14:paraId="15C9F4CE" w14:textId="77777777" w:rsidR="00DE575E" w:rsidRDefault="00DE575E">
      <w:pPr>
        <w:pStyle w:val="BodyText"/>
        <w:spacing w:before="2"/>
        <w:rPr>
          <w:b/>
          <w:sz w:val="22"/>
        </w:rPr>
      </w:pPr>
    </w:p>
    <w:p w14:paraId="7FC14A64" w14:textId="77777777" w:rsidR="00DE575E" w:rsidRDefault="002E7560">
      <w:pPr>
        <w:pStyle w:val="ListParagraph"/>
        <w:numPr>
          <w:ilvl w:val="2"/>
          <w:numId w:val="265"/>
        </w:numPr>
        <w:tabs>
          <w:tab w:val="left" w:pos="1099"/>
        </w:tabs>
        <w:rPr>
          <w:i/>
          <w:sz w:val="12"/>
        </w:rPr>
      </w:pPr>
      <w:r>
        <w:rPr>
          <w:b/>
          <w:color w:val="231F20"/>
          <w:sz w:val="21"/>
        </w:rPr>
        <w:t>Рівні органів виконавчої</w:t>
      </w:r>
      <w:r>
        <w:rPr>
          <w:b/>
          <w:color w:val="231F20"/>
          <w:spacing w:val="-2"/>
          <w:sz w:val="21"/>
        </w:rPr>
        <w:t xml:space="preserve"> </w:t>
      </w:r>
      <w:r>
        <w:rPr>
          <w:b/>
          <w:color w:val="231F20"/>
          <w:sz w:val="21"/>
        </w:rPr>
        <w:t>влади</w:t>
      </w:r>
      <w:r>
        <w:rPr>
          <w:i/>
          <w:color w:val="231F20"/>
          <w:position w:val="7"/>
          <w:sz w:val="12"/>
        </w:rPr>
        <w:t>2</w:t>
      </w:r>
    </w:p>
    <w:p w14:paraId="354FCA13" w14:textId="77777777" w:rsidR="00DE575E" w:rsidRDefault="00DE575E">
      <w:pPr>
        <w:pStyle w:val="BodyText"/>
        <w:spacing w:before="2"/>
        <w:rPr>
          <w:i/>
          <w:sz w:val="23"/>
        </w:rPr>
      </w:pPr>
    </w:p>
    <w:p w14:paraId="51081C88" w14:textId="77777777" w:rsidR="00DE575E" w:rsidRDefault="002E7560">
      <w:pPr>
        <w:pStyle w:val="BodyText"/>
        <w:spacing w:line="252" w:lineRule="auto"/>
        <w:ind w:left="250" w:right="410" w:firstLine="283"/>
        <w:jc w:val="both"/>
      </w:pPr>
      <w:r>
        <w:rPr>
          <w:color w:val="231F20"/>
        </w:rPr>
        <w:t xml:space="preserve">Органи виконавчої влади становлять найбільш численну групу </w:t>
      </w:r>
      <w:r>
        <w:rPr>
          <w:color w:val="231F20"/>
          <w:spacing w:val="-3"/>
        </w:rPr>
        <w:t xml:space="preserve">суб’єктів </w:t>
      </w:r>
      <w:r>
        <w:rPr>
          <w:color w:val="231F20"/>
        </w:rPr>
        <w:t>публічної адміністрації. На них покладається найбільше функцій у сфері публічного управління. Саме з органами виконав- чої влади різного рівня найчастіше вступають у правовідносини приватні</w:t>
      </w:r>
      <w:r>
        <w:rPr>
          <w:color w:val="231F20"/>
          <w:spacing w:val="-13"/>
        </w:rPr>
        <w:t xml:space="preserve"> </w:t>
      </w:r>
      <w:r>
        <w:rPr>
          <w:color w:val="231F20"/>
        </w:rPr>
        <w:t>особи</w:t>
      </w:r>
      <w:r>
        <w:rPr>
          <w:color w:val="231F20"/>
          <w:spacing w:val="-14"/>
        </w:rPr>
        <w:t xml:space="preserve"> </w:t>
      </w:r>
      <w:r>
        <w:rPr>
          <w:color w:val="231F20"/>
        </w:rPr>
        <w:t>–</w:t>
      </w:r>
      <w:r>
        <w:rPr>
          <w:color w:val="231F20"/>
          <w:spacing w:val="-13"/>
        </w:rPr>
        <w:t xml:space="preserve"> </w:t>
      </w:r>
      <w:r>
        <w:rPr>
          <w:color w:val="231F20"/>
        </w:rPr>
        <w:t>фізичні</w:t>
      </w:r>
      <w:r>
        <w:rPr>
          <w:color w:val="231F20"/>
          <w:spacing w:val="-14"/>
        </w:rPr>
        <w:t xml:space="preserve"> </w:t>
      </w:r>
      <w:r>
        <w:rPr>
          <w:color w:val="231F20"/>
        </w:rPr>
        <w:t>особи</w:t>
      </w:r>
      <w:r>
        <w:rPr>
          <w:color w:val="231F20"/>
          <w:spacing w:val="-13"/>
        </w:rPr>
        <w:t xml:space="preserve"> </w:t>
      </w:r>
      <w:r>
        <w:rPr>
          <w:color w:val="231F20"/>
        </w:rPr>
        <w:t>та</w:t>
      </w:r>
      <w:r>
        <w:rPr>
          <w:color w:val="231F20"/>
          <w:spacing w:val="-13"/>
        </w:rPr>
        <w:t xml:space="preserve"> </w:t>
      </w:r>
      <w:r>
        <w:rPr>
          <w:color w:val="231F20"/>
        </w:rPr>
        <w:t>юридичні</w:t>
      </w:r>
      <w:r>
        <w:rPr>
          <w:color w:val="231F20"/>
          <w:spacing w:val="-14"/>
        </w:rPr>
        <w:t xml:space="preserve"> </w:t>
      </w:r>
      <w:r>
        <w:rPr>
          <w:color w:val="231F20"/>
        </w:rPr>
        <w:t>особи</w:t>
      </w:r>
      <w:r>
        <w:rPr>
          <w:color w:val="231F20"/>
          <w:spacing w:val="-13"/>
        </w:rPr>
        <w:t xml:space="preserve"> </w:t>
      </w:r>
      <w:r>
        <w:rPr>
          <w:color w:val="231F20"/>
        </w:rPr>
        <w:t>приватного</w:t>
      </w:r>
      <w:r>
        <w:rPr>
          <w:color w:val="231F20"/>
          <w:spacing w:val="-13"/>
        </w:rPr>
        <w:t xml:space="preserve"> </w:t>
      </w:r>
      <w:r>
        <w:rPr>
          <w:color w:val="231F20"/>
        </w:rPr>
        <w:t>права, а отже с</w:t>
      </w:r>
      <w:r>
        <w:rPr>
          <w:color w:val="231F20"/>
        </w:rPr>
        <w:t>аме від належного функціонування органів виконавчої влади значною мірою залежить дотримання прав і свобод людини   і громадянина та реалізація законних інтересів приватних</w:t>
      </w:r>
      <w:r>
        <w:rPr>
          <w:color w:val="231F20"/>
          <w:spacing w:val="-8"/>
        </w:rPr>
        <w:t xml:space="preserve"> </w:t>
      </w:r>
      <w:r>
        <w:rPr>
          <w:color w:val="231F20"/>
        </w:rPr>
        <w:t>осіб.</w:t>
      </w:r>
    </w:p>
    <w:p w14:paraId="3F3B813F" w14:textId="77777777" w:rsidR="00DE575E" w:rsidRDefault="002E7560">
      <w:pPr>
        <w:pStyle w:val="BodyText"/>
        <w:spacing w:before="4" w:line="252" w:lineRule="auto"/>
        <w:ind w:left="250" w:right="410" w:firstLine="283"/>
        <w:jc w:val="both"/>
      </w:pPr>
      <w:r>
        <w:rPr>
          <w:color w:val="231F20"/>
        </w:rPr>
        <w:t>Правові</w:t>
      </w:r>
      <w:r>
        <w:rPr>
          <w:color w:val="231F20"/>
          <w:spacing w:val="-15"/>
        </w:rPr>
        <w:t xml:space="preserve"> </w:t>
      </w:r>
      <w:r>
        <w:rPr>
          <w:color w:val="231F20"/>
        </w:rPr>
        <w:t>засади</w:t>
      </w:r>
      <w:r>
        <w:rPr>
          <w:color w:val="231F20"/>
          <w:spacing w:val="-14"/>
        </w:rPr>
        <w:t xml:space="preserve"> </w:t>
      </w:r>
      <w:r>
        <w:rPr>
          <w:color w:val="231F20"/>
        </w:rPr>
        <w:t>системи</w:t>
      </w:r>
      <w:r>
        <w:rPr>
          <w:color w:val="231F20"/>
          <w:spacing w:val="-15"/>
        </w:rPr>
        <w:t xml:space="preserve"> </w:t>
      </w:r>
      <w:r>
        <w:rPr>
          <w:color w:val="231F20"/>
        </w:rPr>
        <w:t>органів</w:t>
      </w:r>
      <w:r>
        <w:rPr>
          <w:color w:val="231F20"/>
          <w:spacing w:val="-15"/>
        </w:rPr>
        <w:t xml:space="preserve"> </w:t>
      </w:r>
      <w:r>
        <w:rPr>
          <w:color w:val="231F20"/>
        </w:rPr>
        <w:t>виконавчої</w:t>
      </w:r>
      <w:r>
        <w:rPr>
          <w:color w:val="231F20"/>
          <w:spacing w:val="-15"/>
        </w:rPr>
        <w:t xml:space="preserve"> </w:t>
      </w:r>
      <w:r>
        <w:rPr>
          <w:color w:val="231F20"/>
        </w:rPr>
        <w:t>влади</w:t>
      </w:r>
      <w:r>
        <w:rPr>
          <w:color w:val="231F20"/>
          <w:spacing w:val="-14"/>
        </w:rPr>
        <w:t xml:space="preserve"> </w:t>
      </w:r>
      <w:r>
        <w:rPr>
          <w:color w:val="231F20"/>
        </w:rPr>
        <w:t>визначені</w:t>
      </w:r>
      <w:r>
        <w:rPr>
          <w:color w:val="231F20"/>
          <w:spacing w:val="-15"/>
        </w:rPr>
        <w:t xml:space="preserve"> </w:t>
      </w:r>
      <w:r>
        <w:rPr>
          <w:color w:val="231F20"/>
        </w:rPr>
        <w:t>пере- дусім у Консти</w:t>
      </w:r>
      <w:r>
        <w:rPr>
          <w:color w:val="231F20"/>
        </w:rPr>
        <w:t xml:space="preserve">туції </w:t>
      </w:r>
      <w:r>
        <w:rPr>
          <w:color w:val="231F20"/>
          <w:spacing w:val="-3"/>
        </w:rPr>
        <w:t xml:space="preserve">України. В. </w:t>
      </w:r>
      <w:r>
        <w:rPr>
          <w:color w:val="231F20"/>
        </w:rPr>
        <w:t xml:space="preserve">Авер’янов, аналізуючи положення Конституції </w:t>
      </w:r>
      <w:r>
        <w:rPr>
          <w:color w:val="231F20"/>
          <w:spacing w:val="-3"/>
        </w:rPr>
        <w:t xml:space="preserve">України </w:t>
      </w:r>
      <w:r>
        <w:rPr>
          <w:color w:val="231F20"/>
        </w:rPr>
        <w:t xml:space="preserve">щодо видів органів виконавчої влади, справед- ливо зазначав, що конституційне визначення певних органів вико- навчої влади в Конституції </w:t>
      </w:r>
      <w:r>
        <w:rPr>
          <w:color w:val="231F20"/>
          <w:spacing w:val="-3"/>
        </w:rPr>
        <w:t xml:space="preserve">України </w:t>
      </w:r>
      <w:r>
        <w:rPr>
          <w:color w:val="231F20"/>
        </w:rPr>
        <w:t>означає лише те, що існування цих видів є</w:t>
      </w:r>
      <w:r>
        <w:rPr>
          <w:color w:val="231F20"/>
        </w:rPr>
        <w:t xml:space="preserve">  обов’язковим  для  системи  органів  виконавчої  влади в </w:t>
      </w:r>
      <w:r>
        <w:rPr>
          <w:color w:val="231F20"/>
          <w:spacing w:val="-3"/>
        </w:rPr>
        <w:t xml:space="preserve">Україні. </w:t>
      </w:r>
      <w:r>
        <w:rPr>
          <w:color w:val="231F20"/>
        </w:rPr>
        <w:t>Водночас зміст Конституції не виключає можливості існу- вання</w:t>
      </w:r>
      <w:r>
        <w:rPr>
          <w:color w:val="231F20"/>
          <w:spacing w:val="-7"/>
        </w:rPr>
        <w:t xml:space="preserve"> </w:t>
      </w:r>
      <w:r>
        <w:rPr>
          <w:color w:val="231F20"/>
        </w:rPr>
        <w:t>додаткових</w:t>
      </w:r>
      <w:r>
        <w:rPr>
          <w:color w:val="231F20"/>
          <w:spacing w:val="-6"/>
        </w:rPr>
        <w:t xml:space="preserve"> </w:t>
      </w:r>
      <w:r>
        <w:rPr>
          <w:color w:val="231F20"/>
        </w:rPr>
        <w:t>(звичайно,</w:t>
      </w:r>
      <w:r>
        <w:rPr>
          <w:color w:val="231F20"/>
          <w:spacing w:val="-7"/>
        </w:rPr>
        <w:t xml:space="preserve"> </w:t>
      </w:r>
      <w:r>
        <w:rPr>
          <w:color w:val="231F20"/>
        </w:rPr>
        <w:t>за</w:t>
      </w:r>
      <w:r>
        <w:rPr>
          <w:color w:val="231F20"/>
          <w:spacing w:val="-7"/>
        </w:rPr>
        <w:t xml:space="preserve"> </w:t>
      </w:r>
      <w:r>
        <w:rPr>
          <w:color w:val="231F20"/>
        </w:rPr>
        <w:t>тим</w:t>
      </w:r>
      <w:r>
        <w:rPr>
          <w:color w:val="231F20"/>
          <w:spacing w:val="-7"/>
        </w:rPr>
        <w:t xml:space="preserve"> </w:t>
      </w:r>
      <w:r>
        <w:rPr>
          <w:color w:val="231F20"/>
        </w:rPr>
        <w:t>самим</w:t>
      </w:r>
      <w:r>
        <w:rPr>
          <w:color w:val="231F20"/>
          <w:spacing w:val="-7"/>
        </w:rPr>
        <w:t xml:space="preserve"> </w:t>
      </w:r>
      <w:r>
        <w:rPr>
          <w:color w:val="231F20"/>
        </w:rPr>
        <w:t>критерієм)</w:t>
      </w:r>
      <w:r>
        <w:rPr>
          <w:color w:val="231F20"/>
          <w:spacing w:val="-7"/>
        </w:rPr>
        <w:t xml:space="preserve"> </w:t>
      </w:r>
      <w:r>
        <w:rPr>
          <w:color w:val="231F20"/>
        </w:rPr>
        <w:t>видів</w:t>
      </w:r>
      <w:r>
        <w:rPr>
          <w:color w:val="231F20"/>
          <w:spacing w:val="-7"/>
        </w:rPr>
        <w:t xml:space="preserve"> </w:t>
      </w:r>
      <w:r>
        <w:rPr>
          <w:color w:val="231F20"/>
        </w:rPr>
        <w:t>органів виконавчої</w:t>
      </w:r>
      <w:r>
        <w:rPr>
          <w:color w:val="231F20"/>
          <w:spacing w:val="-13"/>
        </w:rPr>
        <w:t xml:space="preserve"> </w:t>
      </w:r>
      <w:r>
        <w:rPr>
          <w:color w:val="231F20"/>
        </w:rPr>
        <w:t>влади,</w:t>
      </w:r>
      <w:r>
        <w:rPr>
          <w:color w:val="231F20"/>
          <w:spacing w:val="-13"/>
        </w:rPr>
        <w:t xml:space="preserve"> </w:t>
      </w:r>
      <w:r>
        <w:rPr>
          <w:color w:val="231F20"/>
        </w:rPr>
        <w:t>що</w:t>
      </w:r>
      <w:r>
        <w:rPr>
          <w:color w:val="231F20"/>
          <w:spacing w:val="-13"/>
        </w:rPr>
        <w:t xml:space="preserve"> </w:t>
      </w:r>
      <w:r>
        <w:rPr>
          <w:color w:val="231F20"/>
        </w:rPr>
        <w:t>посідали</w:t>
      </w:r>
      <w:r>
        <w:rPr>
          <w:color w:val="231F20"/>
          <w:spacing w:val="-13"/>
        </w:rPr>
        <w:t xml:space="preserve"> </w:t>
      </w:r>
      <w:r>
        <w:rPr>
          <w:color w:val="231F20"/>
        </w:rPr>
        <w:t>б</w:t>
      </w:r>
      <w:r>
        <w:rPr>
          <w:color w:val="231F20"/>
          <w:spacing w:val="-13"/>
        </w:rPr>
        <w:t xml:space="preserve"> </w:t>
      </w:r>
      <w:r>
        <w:rPr>
          <w:color w:val="231F20"/>
        </w:rPr>
        <w:t>місце</w:t>
      </w:r>
      <w:r>
        <w:rPr>
          <w:color w:val="231F20"/>
          <w:spacing w:val="-13"/>
        </w:rPr>
        <w:t xml:space="preserve"> </w:t>
      </w:r>
      <w:r>
        <w:rPr>
          <w:color w:val="231F20"/>
        </w:rPr>
        <w:t>поряд</w:t>
      </w:r>
      <w:r>
        <w:rPr>
          <w:color w:val="231F20"/>
          <w:spacing w:val="-13"/>
        </w:rPr>
        <w:t xml:space="preserve"> </w:t>
      </w:r>
      <w:r>
        <w:rPr>
          <w:color w:val="231F20"/>
        </w:rPr>
        <w:t>(чи</w:t>
      </w:r>
      <w:r>
        <w:rPr>
          <w:color w:val="231F20"/>
          <w:spacing w:val="-13"/>
        </w:rPr>
        <w:t xml:space="preserve"> </w:t>
      </w:r>
      <w:r>
        <w:rPr>
          <w:color w:val="231F20"/>
        </w:rPr>
        <w:t>поміж)</w:t>
      </w:r>
      <w:r>
        <w:rPr>
          <w:color w:val="231F20"/>
          <w:spacing w:val="-13"/>
        </w:rPr>
        <w:t xml:space="preserve"> </w:t>
      </w:r>
      <w:r>
        <w:rPr>
          <w:color w:val="231F20"/>
        </w:rPr>
        <w:t>із</w:t>
      </w:r>
      <w:r>
        <w:rPr>
          <w:color w:val="231F20"/>
          <w:spacing w:val="-13"/>
        </w:rPr>
        <w:t xml:space="preserve"> </w:t>
      </w:r>
      <w:r>
        <w:rPr>
          <w:color w:val="231F20"/>
        </w:rPr>
        <w:t xml:space="preserve">згаданими видами. </w:t>
      </w:r>
      <w:r>
        <w:rPr>
          <w:color w:val="231F20"/>
          <w:spacing w:val="-4"/>
        </w:rPr>
        <w:t xml:space="preserve">Такий </w:t>
      </w:r>
      <w:r>
        <w:rPr>
          <w:color w:val="231F20"/>
        </w:rPr>
        <w:t>висновок учений робить на тій підставі, що Консти- туція не містить вичерпного визначення всіх елементів</w:t>
      </w:r>
      <w:r>
        <w:rPr>
          <w:color w:val="231F20"/>
          <w:spacing w:val="35"/>
        </w:rPr>
        <w:t xml:space="preserve"> </w:t>
      </w:r>
      <w:r>
        <w:rPr>
          <w:color w:val="231F20"/>
        </w:rPr>
        <w:t>системи</w:t>
      </w:r>
    </w:p>
    <w:p w14:paraId="68DA20AE" w14:textId="77777777" w:rsidR="00DE575E" w:rsidRDefault="00DE575E">
      <w:pPr>
        <w:pStyle w:val="BodyText"/>
        <w:rPr>
          <w:sz w:val="20"/>
        </w:rPr>
      </w:pPr>
    </w:p>
    <w:p w14:paraId="1324A867" w14:textId="31A30822" w:rsidR="00DE575E" w:rsidRDefault="002E7560">
      <w:pPr>
        <w:pStyle w:val="BodyText"/>
        <w:spacing w:before="9"/>
        <w:rPr>
          <w:sz w:val="10"/>
        </w:rPr>
      </w:pPr>
      <w:r>
        <w:rPr>
          <w:noProof/>
        </w:rPr>
        <mc:AlternateContent>
          <mc:Choice Requires="wps">
            <w:drawing>
              <wp:anchor distT="0" distB="0" distL="0" distR="0" simplePos="0" relativeHeight="4648" behindDoc="0" locked="0" layoutInCell="1" allowOverlap="1" wp14:anchorId="2ED8B819" wp14:editId="639DA3D5">
                <wp:simplePos x="0" y="0"/>
                <wp:positionH relativeFrom="page">
                  <wp:posOffset>539750</wp:posOffset>
                </wp:positionH>
                <wp:positionV relativeFrom="paragraph">
                  <wp:posOffset>107950</wp:posOffset>
                </wp:positionV>
                <wp:extent cx="1080135" cy="0"/>
                <wp:effectExtent l="6350" t="19050" r="31115" b="19050"/>
                <wp:wrapTopAndBottom/>
                <wp:docPr id="1160"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D3F96" id="Line_x0020_1159" o:spid="_x0000_s1026" style="position:absolute;z-index:4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5pt" to="127.5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" strokecolor="#231f20" strokeweight=".5pt">
                <w10:wrap type="topAndBottom" anchorx="page"/>
              </v:line>
            </w:pict>
          </mc:Fallback>
        </mc:AlternateContent>
      </w:r>
    </w:p>
    <w:p w14:paraId="005D2E32" w14:textId="77777777" w:rsidR="00DE575E" w:rsidRDefault="002E7560">
      <w:pPr>
        <w:spacing w:line="162" w:lineRule="exact"/>
        <w:ind w:left="250"/>
        <w:rPr>
          <w:sz w:val="16"/>
        </w:rPr>
      </w:pPr>
      <w:r>
        <w:rPr>
          <w:color w:val="231F20"/>
          <w:position w:val="5"/>
          <w:sz w:val="9"/>
        </w:rPr>
        <w:t xml:space="preserve">1 </w:t>
      </w:r>
      <w:r>
        <w:rPr>
          <w:color w:val="231F20"/>
          <w:sz w:val="16"/>
        </w:rPr>
        <w:t>Матюхіна Н. Основи публічного адміністрування. Харків: Право. 2016.</w:t>
      </w:r>
    </w:p>
    <w:p w14:paraId="11C1DF2D" w14:textId="77777777" w:rsidR="00DE575E" w:rsidRDefault="002E7560">
      <w:pPr>
        <w:ind w:left="250"/>
        <w:rPr>
          <w:b/>
          <w:sz w:val="16"/>
        </w:rPr>
      </w:pPr>
      <w:r>
        <w:rPr>
          <w:color w:val="231F20"/>
          <w:position w:val="5"/>
          <w:sz w:val="9"/>
        </w:rPr>
        <w:t xml:space="preserve">2 </w:t>
      </w:r>
      <w:r>
        <w:rPr>
          <w:color w:val="231F20"/>
          <w:sz w:val="16"/>
        </w:rPr>
        <w:t xml:space="preserve">Авторка: </w:t>
      </w:r>
      <w:r>
        <w:rPr>
          <w:b/>
          <w:color w:val="231F20"/>
          <w:sz w:val="16"/>
        </w:rPr>
        <w:t>Юлія Ващенко.</w:t>
      </w:r>
    </w:p>
    <w:p w14:paraId="559B7EDD" w14:textId="77777777" w:rsidR="00DE575E" w:rsidRDefault="00DE575E">
      <w:pPr>
        <w:pStyle w:val="BodyText"/>
        <w:spacing w:before="11"/>
        <w:rPr>
          <w:b/>
          <w:sz w:val="11"/>
        </w:rPr>
      </w:pPr>
    </w:p>
    <w:p w14:paraId="495ED15D" w14:textId="77777777" w:rsidR="00DE575E" w:rsidRDefault="002E7560">
      <w:pPr>
        <w:spacing w:before="92"/>
        <w:ind w:right="411"/>
        <w:jc w:val="right"/>
        <w:rPr>
          <w:rFonts w:ascii="Times New Roman"/>
          <w:sz w:val="20"/>
        </w:rPr>
      </w:pPr>
      <w:r>
        <w:rPr>
          <w:rFonts w:ascii="Times New Roman"/>
          <w:color w:val="231F20"/>
          <w:w w:val="90"/>
          <w:sz w:val="20"/>
        </w:rPr>
        <w:t>97</w:t>
      </w:r>
    </w:p>
    <w:p w14:paraId="5592AA1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694DF6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84AFCC2" w14:textId="6CBB99B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B1B60BC" wp14:editId="05CB8BB7">
                <wp:extent cx="4140200" cy="6350"/>
                <wp:effectExtent l="0" t="0" r="12700" b="6350"/>
                <wp:docPr id="115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59" name="Line 115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A49634" id="Group_x0020_115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6leX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POpXl/AgAAnAUAAA4A&#10;AAAAAAAAAAAAAAAALAIAAGRycy9lMm9Eb2MueG1sUEsBAi0AFAAGAAgAAAAhAEynsJDZAAAAAwEA&#10;AA8AAAAAAAAAAAAAAAAA1wQAAGRycy9kb3ducmV2LnhtbFBLBQYAAAAABAAEAPMAAADdBQAAAAA=&#10;">
                <v:line id="Line_x0020_115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7HmsUAAADdAAAADwAAAGRycy9kb3ducmV2LnhtbERPzWrCQBC+C77DMkIvRTdWKhpdRYRC&#10;6UFb4wOM2TEJ7s7G7GrSPn23UPA2H9/vLNedNeJOja8cKxiPEhDEudMVFwqO2dtwBsIHZI3GMSn4&#10;Jg/rVb+3xFS7lr/ofgiFiCHsU1RQhlCnUvq8JIt+5GriyJ1dYzFE2BRSN9jGcGvkS5JMpcWKY0OJ&#10;NW1Lyi+Hm1WQXZ+D+dx/mDbbnybydN1Nfm47pZ4G3WYBIlAXHuJ/97uO88evc/j7Jp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O7HmsUAAADdAAAADwAAAAAAAAAA&#10;AAAAAAChAgAAZHJzL2Rvd25yZXYueG1sUEsFBgAAAAAEAAQA+QAAAJMDAAAAAA==&#10;" strokecolor="#231f20" strokeweight=".5pt"/>
                <w10:anchorlock/>
              </v:group>
            </w:pict>
          </mc:Fallback>
        </mc:AlternateContent>
      </w:r>
    </w:p>
    <w:p w14:paraId="7FCF7B02" w14:textId="77777777" w:rsidR="00DE575E" w:rsidRDefault="00DE575E">
      <w:pPr>
        <w:pStyle w:val="BodyText"/>
        <w:spacing w:before="7"/>
        <w:rPr>
          <w:rFonts w:ascii="AdonisC"/>
          <w:i/>
          <w:sz w:val="11"/>
        </w:rPr>
      </w:pPr>
    </w:p>
    <w:p w14:paraId="55AF0871" w14:textId="77777777" w:rsidR="00DE575E" w:rsidRDefault="002E7560">
      <w:pPr>
        <w:pStyle w:val="BodyText"/>
        <w:spacing w:before="101" w:line="252" w:lineRule="auto"/>
        <w:ind w:left="533" w:right="126"/>
        <w:jc w:val="both"/>
      </w:pPr>
      <w:r>
        <w:rPr>
          <w:color w:val="231F20"/>
        </w:rPr>
        <w:t xml:space="preserve">органів виконавчої влади. Натомість, згідно з п. 12 частини першої </w:t>
      </w:r>
      <w:r>
        <w:rPr>
          <w:color w:val="231F20"/>
          <w:spacing w:val="-6"/>
        </w:rPr>
        <w:t xml:space="preserve">ст. </w:t>
      </w:r>
      <w:r>
        <w:rPr>
          <w:color w:val="231F20"/>
        </w:rPr>
        <w:t xml:space="preserve">92 Конституції виключно законами </w:t>
      </w:r>
      <w:r>
        <w:rPr>
          <w:color w:val="231F20"/>
          <w:spacing w:val="-3"/>
        </w:rPr>
        <w:t xml:space="preserve">України </w:t>
      </w:r>
      <w:r>
        <w:rPr>
          <w:color w:val="231F20"/>
        </w:rPr>
        <w:t xml:space="preserve">визначаються орга- нізація й діяльність органів виконавчої влади. </w:t>
      </w:r>
      <w:r>
        <w:rPr>
          <w:color w:val="231F20"/>
          <w:spacing w:val="-4"/>
        </w:rPr>
        <w:t xml:space="preserve">Тобто </w:t>
      </w:r>
      <w:r>
        <w:rPr>
          <w:color w:val="231F20"/>
        </w:rPr>
        <w:t>Конституція відносить вирішення пит</w:t>
      </w:r>
      <w:r>
        <w:rPr>
          <w:color w:val="231F20"/>
        </w:rPr>
        <w:t>ання про можливість існування в системі органів</w:t>
      </w:r>
      <w:r>
        <w:rPr>
          <w:color w:val="231F20"/>
          <w:spacing w:val="-12"/>
        </w:rPr>
        <w:t xml:space="preserve"> </w:t>
      </w:r>
      <w:r>
        <w:rPr>
          <w:color w:val="231F20"/>
        </w:rPr>
        <w:t>виконавчої</w:t>
      </w:r>
      <w:r>
        <w:rPr>
          <w:color w:val="231F20"/>
          <w:spacing w:val="-12"/>
        </w:rPr>
        <w:t xml:space="preserve"> </w:t>
      </w:r>
      <w:r>
        <w:rPr>
          <w:color w:val="231F20"/>
        </w:rPr>
        <w:t>влади</w:t>
      </w:r>
      <w:r>
        <w:rPr>
          <w:color w:val="231F20"/>
          <w:spacing w:val="-12"/>
        </w:rPr>
        <w:t xml:space="preserve"> </w:t>
      </w:r>
      <w:r>
        <w:rPr>
          <w:color w:val="231F20"/>
        </w:rPr>
        <w:t>поряд</w:t>
      </w:r>
      <w:r>
        <w:rPr>
          <w:color w:val="231F20"/>
          <w:spacing w:val="-12"/>
        </w:rPr>
        <w:t xml:space="preserve"> </w:t>
      </w:r>
      <w:r>
        <w:rPr>
          <w:color w:val="231F20"/>
        </w:rPr>
        <w:t>із</w:t>
      </w:r>
      <w:r>
        <w:rPr>
          <w:color w:val="231F20"/>
          <w:spacing w:val="-12"/>
        </w:rPr>
        <w:t xml:space="preserve"> </w:t>
      </w:r>
      <w:r>
        <w:rPr>
          <w:color w:val="231F20"/>
        </w:rPr>
        <w:t>наведеними</w:t>
      </w:r>
      <w:r>
        <w:rPr>
          <w:color w:val="231F20"/>
          <w:spacing w:val="-12"/>
        </w:rPr>
        <w:t xml:space="preserve"> </w:t>
      </w:r>
      <w:r>
        <w:rPr>
          <w:color w:val="231F20"/>
        </w:rPr>
        <w:t>видами</w:t>
      </w:r>
      <w:r>
        <w:rPr>
          <w:color w:val="231F20"/>
          <w:spacing w:val="-12"/>
        </w:rPr>
        <w:t xml:space="preserve"> </w:t>
      </w:r>
      <w:r>
        <w:rPr>
          <w:color w:val="231F20"/>
        </w:rPr>
        <w:t>деяких</w:t>
      </w:r>
      <w:r>
        <w:rPr>
          <w:color w:val="231F20"/>
          <w:spacing w:val="-12"/>
        </w:rPr>
        <w:t xml:space="preserve"> </w:t>
      </w:r>
      <w:r>
        <w:rPr>
          <w:color w:val="231F20"/>
        </w:rPr>
        <w:t xml:space="preserve">інших на </w:t>
      </w:r>
      <w:r>
        <w:rPr>
          <w:color w:val="231F20"/>
          <w:spacing w:val="-3"/>
        </w:rPr>
        <w:t xml:space="preserve">розсуд </w:t>
      </w:r>
      <w:r>
        <w:rPr>
          <w:color w:val="231F20"/>
        </w:rPr>
        <w:t>законодавця – через ухвалення поточних</w:t>
      </w:r>
      <w:r>
        <w:rPr>
          <w:color w:val="231F20"/>
          <w:spacing w:val="-6"/>
        </w:rPr>
        <w:t xml:space="preserve"> </w:t>
      </w:r>
      <w:r>
        <w:rPr>
          <w:color w:val="231F20"/>
        </w:rPr>
        <w:t>законів.</w:t>
      </w:r>
    </w:p>
    <w:p w14:paraId="36E3B5B0" w14:textId="77777777" w:rsidR="00DE575E" w:rsidRDefault="002E7560">
      <w:pPr>
        <w:spacing w:before="3" w:line="252" w:lineRule="auto"/>
        <w:ind w:left="533" w:right="128" w:firstLine="283"/>
        <w:jc w:val="both"/>
        <w:rPr>
          <w:b/>
          <w:i/>
          <w:sz w:val="21"/>
        </w:rPr>
      </w:pPr>
      <w:r>
        <w:rPr>
          <w:color w:val="231F20"/>
          <w:sz w:val="21"/>
        </w:rPr>
        <w:t xml:space="preserve">Згідно з конституційною правовою моделлю </w:t>
      </w:r>
      <w:r>
        <w:rPr>
          <w:b/>
          <w:i/>
          <w:color w:val="231F20"/>
          <w:sz w:val="21"/>
        </w:rPr>
        <w:t xml:space="preserve">в Україні функ- ціонує три рівні органів виконавчої </w:t>
      </w:r>
      <w:r>
        <w:rPr>
          <w:b/>
          <w:i/>
          <w:color w:val="231F20"/>
          <w:sz w:val="21"/>
        </w:rPr>
        <w:t>влади – вищі, центральні</w:t>
      </w:r>
      <w:r>
        <w:rPr>
          <w:b/>
          <w:i/>
          <w:color w:val="231F20"/>
          <w:position w:val="7"/>
          <w:sz w:val="12"/>
        </w:rPr>
        <w:t xml:space="preserve">1 </w:t>
      </w:r>
      <w:r>
        <w:rPr>
          <w:b/>
          <w:i/>
          <w:color w:val="231F20"/>
          <w:sz w:val="21"/>
        </w:rPr>
        <w:t>та місцеві</w:t>
      </w:r>
      <w:r>
        <w:rPr>
          <w:b/>
          <w:i/>
          <w:color w:val="231F20"/>
          <w:position w:val="7"/>
          <w:sz w:val="12"/>
        </w:rPr>
        <w:t>2</w:t>
      </w:r>
      <w:r>
        <w:rPr>
          <w:b/>
          <w:i/>
          <w:color w:val="231F20"/>
          <w:sz w:val="21"/>
        </w:rPr>
        <w:t>.</w:t>
      </w:r>
    </w:p>
    <w:p w14:paraId="58BDE439" w14:textId="77777777" w:rsidR="00DE575E" w:rsidRDefault="00DE575E">
      <w:pPr>
        <w:pStyle w:val="BodyText"/>
        <w:spacing w:before="2"/>
        <w:rPr>
          <w:b/>
          <w:i/>
          <w:sz w:val="22"/>
        </w:rPr>
      </w:pPr>
    </w:p>
    <w:p w14:paraId="07E93CE5" w14:textId="77777777" w:rsidR="00DE575E" w:rsidRDefault="002E7560">
      <w:pPr>
        <w:pStyle w:val="Heading6"/>
        <w:numPr>
          <w:ilvl w:val="3"/>
          <w:numId w:val="265"/>
        </w:numPr>
        <w:tabs>
          <w:tab w:val="left" w:pos="1535"/>
        </w:tabs>
        <w:spacing w:before="0"/>
        <w:ind w:hanging="717"/>
        <w:jc w:val="left"/>
      </w:pPr>
      <w:r>
        <w:rPr>
          <w:color w:val="231F20"/>
        </w:rPr>
        <w:t>Кабінет Міністрів</w:t>
      </w:r>
      <w:r>
        <w:rPr>
          <w:color w:val="231F20"/>
          <w:spacing w:val="-3"/>
        </w:rPr>
        <w:t xml:space="preserve"> </w:t>
      </w:r>
      <w:r>
        <w:rPr>
          <w:color w:val="231F20"/>
        </w:rPr>
        <w:t>України</w:t>
      </w:r>
    </w:p>
    <w:p w14:paraId="19D1DD08" w14:textId="77777777" w:rsidR="00DE575E" w:rsidRDefault="002E7560">
      <w:pPr>
        <w:pStyle w:val="BodyText"/>
        <w:spacing w:before="13" w:line="252" w:lineRule="auto"/>
        <w:ind w:left="533" w:right="126" w:firstLine="283"/>
        <w:jc w:val="both"/>
      </w:pPr>
      <w:r>
        <w:rPr>
          <w:color w:val="231F20"/>
        </w:rPr>
        <w:t xml:space="preserve">Кабінет Міністрів </w:t>
      </w:r>
      <w:r>
        <w:rPr>
          <w:color w:val="231F20"/>
          <w:spacing w:val="-3"/>
        </w:rPr>
        <w:t xml:space="preserve">України </w:t>
      </w:r>
      <w:r>
        <w:rPr>
          <w:color w:val="231F20"/>
        </w:rPr>
        <w:t>забезпечує права і свободи людини та громадянина; сприятливі умови для вільного й усебічного</w:t>
      </w:r>
      <w:r>
        <w:rPr>
          <w:color w:val="231F20"/>
          <w:spacing w:val="-30"/>
        </w:rPr>
        <w:t xml:space="preserve"> </w:t>
      </w:r>
      <w:r>
        <w:rPr>
          <w:color w:val="231F20"/>
        </w:rPr>
        <w:t>розвитку особистості; державний суверенітет та економічну самостійність; провадження зовнішньоекономічної діяльності та митної справи; розвиток і державну підтримку науково-технічного та інновацій- ного потенціалу держави; рівні умови для розвитку всіх фор</w:t>
      </w:r>
      <w:r>
        <w:rPr>
          <w:color w:val="231F20"/>
        </w:rPr>
        <w:t>м влас- ності; проведення бюджетної, фінансової, цінової, інвестиційної, податкової, структурно-галузевої політики; політики у сферах</w:t>
      </w:r>
      <w:r>
        <w:rPr>
          <w:color w:val="231F20"/>
          <w:spacing w:val="-31"/>
        </w:rPr>
        <w:t xml:space="preserve"> </w:t>
      </w:r>
      <w:r>
        <w:rPr>
          <w:color w:val="231F20"/>
        </w:rPr>
        <w:t xml:space="preserve">праці та зайнятості населення, соціального </w:t>
      </w:r>
      <w:r>
        <w:rPr>
          <w:color w:val="231F20"/>
          <w:spacing w:val="-3"/>
        </w:rPr>
        <w:t xml:space="preserve">захисту, </w:t>
      </w:r>
      <w:r>
        <w:rPr>
          <w:color w:val="231F20"/>
        </w:rPr>
        <w:t xml:space="preserve">охорони здоров’я, освіти, науки  й  </w:t>
      </w:r>
      <w:r>
        <w:rPr>
          <w:color w:val="231F20"/>
          <w:spacing w:val="-3"/>
        </w:rPr>
        <w:t xml:space="preserve">культури,  </w:t>
      </w:r>
      <w:r>
        <w:rPr>
          <w:color w:val="231F20"/>
        </w:rPr>
        <w:t>охорони  природи,  екол</w:t>
      </w:r>
      <w:r>
        <w:rPr>
          <w:color w:val="231F20"/>
        </w:rPr>
        <w:t>огічної  безпеки  і</w:t>
      </w:r>
      <w:r>
        <w:rPr>
          <w:color w:val="231F20"/>
          <w:spacing w:val="-2"/>
        </w:rPr>
        <w:t xml:space="preserve"> </w:t>
      </w:r>
      <w:r>
        <w:rPr>
          <w:color w:val="231F20"/>
        </w:rPr>
        <w:t>природокористування.</w:t>
      </w:r>
    </w:p>
    <w:p w14:paraId="23194C75" w14:textId="77777777" w:rsidR="00DE575E" w:rsidRDefault="002E7560">
      <w:pPr>
        <w:pStyle w:val="BodyText"/>
        <w:spacing w:before="5" w:line="252" w:lineRule="auto"/>
        <w:ind w:left="533" w:right="126" w:firstLine="283"/>
        <w:jc w:val="both"/>
      </w:pPr>
      <w:r>
        <w:rPr>
          <w:color w:val="231F20"/>
        </w:rPr>
        <w:t xml:space="preserve">Згідно із Законом від 27.02.2014 № 794-VII Кабінет Міністрів </w:t>
      </w:r>
      <w:r>
        <w:rPr>
          <w:color w:val="231F20"/>
          <w:spacing w:val="-3"/>
        </w:rPr>
        <w:t xml:space="preserve">України </w:t>
      </w:r>
      <w:r>
        <w:rPr>
          <w:color w:val="231F20"/>
        </w:rPr>
        <w:t>здійснює виконавчу владу безпосередньо та через міністер- ства, інші центральні органи виконавчої влади та місцеві державні адміністрації, спрямов</w:t>
      </w:r>
      <w:r>
        <w:rPr>
          <w:color w:val="231F20"/>
        </w:rPr>
        <w:t xml:space="preserve">ує, координує та контролює діяльність цих органів. Кабінет Міністрів </w:t>
      </w:r>
      <w:r>
        <w:rPr>
          <w:color w:val="231F20"/>
          <w:spacing w:val="-3"/>
        </w:rPr>
        <w:t xml:space="preserve">України </w:t>
      </w:r>
      <w:r>
        <w:rPr>
          <w:color w:val="231F20"/>
        </w:rPr>
        <w:t xml:space="preserve">відповідальний перед Президен- том </w:t>
      </w:r>
      <w:r>
        <w:rPr>
          <w:color w:val="231F20"/>
          <w:spacing w:val="-3"/>
        </w:rPr>
        <w:t xml:space="preserve">України </w:t>
      </w:r>
      <w:r>
        <w:rPr>
          <w:color w:val="231F20"/>
        </w:rPr>
        <w:t xml:space="preserve">й Верховною Радою </w:t>
      </w:r>
      <w:r>
        <w:rPr>
          <w:color w:val="231F20"/>
          <w:spacing w:val="-3"/>
        </w:rPr>
        <w:t xml:space="preserve">України, </w:t>
      </w:r>
      <w:r>
        <w:rPr>
          <w:color w:val="231F20"/>
        </w:rPr>
        <w:t xml:space="preserve">підконтрольний і підзвіт- ний Верховній Раді </w:t>
      </w:r>
      <w:r>
        <w:rPr>
          <w:color w:val="231F20"/>
          <w:spacing w:val="-3"/>
        </w:rPr>
        <w:t xml:space="preserve">України </w:t>
      </w:r>
      <w:r>
        <w:rPr>
          <w:color w:val="231F20"/>
        </w:rPr>
        <w:t xml:space="preserve">в межах, передбачених Конституцією </w:t>
      </w:r>
      <w:r>
        <w:rPr>
          <w:color w:val="231F20"/>
          <w:spacing w:val="-3"/>
        </w:rPr>
        <w:t>України.</w:t>
      </w:r>
    </w:p>
    <w:p w14:paraId="1C96E219" w14:textId="77777777" w:rsidR="00DE575E" w:rsidRDefault="002E7560">
      <w:pPr>
        <w:pStyle w:val="BodyText"/>
        <w:spacing w:before="4" w:line="252" w:lineRule="auto"/>
        <w:ind w:left="533" w:right="124" w:firstLine="283"/>
        <w:jc w:val="both"/>
      </w:pPr>
      <w:r>
        <w:rPr>
          <w:color w:val="231F20"/>
        </w:rPr>
        <w:t>Кабінет Міністрів України спрямовує та координує роботу міністерств й інших центральних органів виконавчої влади, які забезпечують проведення державної політики у  відповідних сферах суспільного й державного життя,  виконання  Конституції  та законів Украї</w:t>
      </w:r>
      <w:r>
        <w:rPr>
          <w:color w:val="231F20"/>
        </w:rPr>
        <w:t>ни, актів Президента України, додержання</w:t>
      </w:r>
      <w:r>
        <w:rPr>
          <w:color w:val="231F20"/>
          <w:spacing w:val="1"/>
        </w:rPr>
        <w:t xml:space="preserve"> </w:t>
      </w:r>
      <w:r>
        <w:rPr>
          <w:color w:val="231F20"/>
        </w:rPr>
        <w:t>прав</w:t>
      </w:r>
    </w:p>
    <w:p w14:paraId="636C9865" w14:textId="1DE3DF50" w:rsidR="00DE575E" w:rsidRDefault="002E7560">
      <w:pPr>
        <w:pStyle w:val="BodyText"/>
        <w:spacing w:before="3"/>
        <w:rPr>
          <w:sz w:val="25"/>
        </w:rPr>
      </w:pPr>
      <w:r>
        <w:rPr>
          <w:noProof/>
        </w:rPr>
        <mc:AlternateContent>
          <mc:Choice Requires="wps">
            <w:drawing>
              <wp:anchor distT="0" distB="0" distL="0" distR="0" simplePos="0" relativeHeight="4696" behindDoc="0" locked="0" layoutInCell="1" allowOverlap="1" wp14:anchorId="616919C9" wp14:editId="7E3DA4B0">
                <wp:simplePos x="0" y="0"/>
                <wp:positionH relativeFrom="page">
                  <wp:posOffset>719455</wp:posOffset>
                </wp:positionH>
                <wp:positionV relativeFrom="paragraph">
                  <wp:posOffset>215900</wp:posOffset>
                </wp:positionV>
                <wp:extent cx="1080135" cy="0"/>
                <wp:effectExtent l="8255" t="12700" r="29210" b="25400"/>
                <wp:wrapTopAndBottom/>
                <wp:docPr id="1157"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67A3C" id="Line_x0020_1156" o:spid="_x0000_s1026" style="position:absolute;z-index:4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pt" to="141.7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Uavi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" strokecolor="#231f20" strokeweight=".5pt">
                <w10:wrap type="topAndBottom" anchorx="page"/>
              </v:line>
            </w:pict>
          </mc:Fallback>
        </mc:AlternateContent>
      </w:r>
    </w:p>
    <w:p w14:paraId="581F4730"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Відповідно до Закону від 17.03.2011 № 166-VI України «Про центральні органи вико- навчої влади» систему центральних органів виконавчої влади складають міністерства України та інші центральні органи виконавч</w:t>
      </w:r>
      <w:r>
        <w:rPr>
          <w:color w:val="231F20"/>
          <w:sz w:val="16"/>
        </w:rPr>
        <w:t>ої влади.</w:t>
      </w:r>
    </w:p>
    <w:p w14:paraId="42FAD6E0" w14:textId="77777777" w:rsidR="00DE575E" w:rsidRDefault="002E7560">
      <w:pPr>
        <w:spacing w:before="4"/>
        <w:ind w:left="533"/>
        <w:jc w:val="both"/>
        <w:rPr>
          <w:sz w:val="16"/>
        </w:rPr>
      </w:pPr>
      <w:r>
        <w:rPr>
          <w:color w:val="231F20"/>
          <w:position w:val="5"/>
          <w:sz w:val="9"/>
        </w:rPr>
        <w:t xml:space="preserve">2 </w:t>
      </w:r>
      <w:r>
        <w:rPr>
          <w:color w:val="231F20"/>
          <w:sz w:val="16"/>
        </w:rPr>
        <w:t>Про місцеві державні адміністрації. Закон від 09.04.1999 № 586-XIV.</w:t>
      </w:r>
    </w:p>
    <w:p w14:paraId="2C12326F" w14:textId="77777777" w:rsidR="00DE575E" w:rsidRDefault="00DE575E">
      <w:pPr>
        <w:pStyle w:val="BodyText"/>
        <w:spacing w:before="10"/>
        <w:rPr>
          <w:sz w:val="11"/>
        </w:rPr>
      </w:pPr>
    </w:p>
    <w:p w14:paraId="512584BF" w14:textId="77777777" w:rsidR="00DE575E" w:rsidRDefault="002E7560">
      <w:pPr>
        <w:spacing w:before="92"/>
        <w:ind w:left="533"/>
        <w:rPr>
          <w:rFonts w:ascii="Times New Roman"/>
          <w:sz w:val="20"/>
        </w:rPr>
      </w:pPr>
      <w:r>
        <w:rPr>
          <w:rFonts w:ascii="Times New Roman"/>
          <w:color w:val="231F20"/>
          <w:sz w:val="20"/>
        </w:rPr>
        <w:t>98</w:t>
      </w:r>
    </w:p>
    <w:p w14:paraId="2762649C" w14:textId="77777777" w:rsidR="00DE575E" w:rsidRDefault="00DE575E">
      <w:pPr>
        <w:rPr>
          <w:rFonts w:ascii="Times New Roman"/>
          <w:sz w:val="20"/>
        </w:rPr>
        <w:sectPr w:rsidR="00DE575E">
          <w:pgSz w:w="8510" w:h="12760"/>
          <w:pgMar w:top="660" w:right="720" w:bottom="280" w:left="600" w:header="720" w:footer="720" w:gutter="0"/>
          <w:cols w:space="720"/>
        </w:sectPr>
      </w:pPr>
    </w:p>
    <w:p w14:paraId="04BA8A9E"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03648FFE" w14:textId="6329B95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80F247D" wp14:editId="568C65C9">
                <wp:extent cx="4140200" cy="6350"/>
                <wp:effectExtent l="0" t="0" r="12700" b="6350"/>
                <wp:docPr id="1155"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56" name="Line 11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917C8A" id="Group_x0020_11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46NT7gAIAAJwFAAAO&#10;AAAAAAAAAAAAAAAAACwCAABkcnMvZTJvRG9jLnhtbFBLAQItABQABgAIAAAAIQBMp7CQ2QAAAAMB&#10;AAAPAAAAAAAAAAAAAAAAANgEAABkcnMvZG93bnJldi54bWxQSwUGAAAAAAQABADzAAAA3gUAAAAA&#10;">
                <v:line id="Line_x0020_11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FT6MQAAADdAAAADwAAAGRycy9kb3ducmV2LnhtbERPzWrCQBC+C77DMkIvohsrSomuIoIg&#10;Pag1fYAxO01Cd2djdjVpn74rCL3Nx/c7y3VnjbhT4yvHCibjBARx7nTFhYLPbDd6A+EDskbjmBT8&#10;kIf1qt9bYqpdyx90P4dCxBD2KSooQ6hTKX1ekkU/djVx5L5cYzFE2BRSN9jGcGvka5LMpcWKY0OJ&#10;NW1Lyr/PN6sguw6DOR3fTZsdL1N5uR6mv7eDUi+DbrMAEagL/+Kne6/j/MlsDo9v4gl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cVPoxAAAAN0AAAAPAAAAAAAAAAAA&#10;AAAAAKECAABkcnMvZG93bnJldi54bWxQSwUGAAAAAAQABAD5AAAAkgMAAAAA&#10;" strokecolor="#231f20" strokeweight=".5pt"/>
                <w10:anchorlock/>
              </v:group>
            </w:pict>
          </mc:Fallback>
        </mc:AlternateContent>
      </w:r>
    </w:p>
    <w:p w14:paraId="43F4A66A" w14:textId="77777777" w:rsidR="00DE575E" w:rsidRDefault="00DE575E">
      <w:pPr>
        <w:pStyle w:val="BodyText"/>
        <w:spacing w:before="7"/>
        <w:rPr>
          <w:rFonts w:ascii="AdonisC"/>
          <w:i/>
          <w:sz w:val="19"/>
        </w:rPr>
      </w:pPr>
    </w:p>
    <w:p w14:paraId="1BA1119E" w14:textId="77777777" w:rsidR="00DE575E" w:rsidRDefault="002E7560">
      <w:pPr>
        <w:pStyle w:val="BodyText"/>
        <w:spacing w:before="1" w:line="252" w:lineRule="auto"/>
        <w:ind w:left="250" w:right="408"/>
        <w:jc w:val="both"/>
      </w:pPr>
      <w:r>
        <w:rPr>
          <w:color w:val="231F20"/>
        </w:rPr>
        <w:t xml:space="preserve">і свобод людини та громадянина. Міністерства та інші центральні органи виконавчої влади відповідальні перед Кабінетом Мініст-  рів, підзвітні та підконтрольні </w:t>
      </w:r>
      <w:r>
        <w:rPr>
          <w:color w:val="231F20"/>
          <w:spacing w:val="-3"/>
        </w:rPr>
        <w:t xml:space="preserve">йому. </w:t>
      </w:r>
      <w:r>
        <w:rPr>
          <w:color w:val="231F20"/>
        </w:rPr>
        <w:t>Кабінет Міністрів координує діяльність місцевих держав</w:t>
      </w:r>
      <w:r>
        <w:rPr>
          <w:color w:val="231F20"/>
        </w:rPr>
        <w:t>них адміністрацій щодо виконання Конституції та законів України, актів Президента, актів Кабінету Міністрів, органів виконавчої влади вищого рівня, здійснення на відповідній території інших наданих місцевим державним адміні- страціям</w:t>
      </w:r>
      <w:r>
        <w:rPr>
          <w:color w:val="231F20"/>
          <w:spacing w:val="3"/>
        </w:rPr>
        <w:t xml:space="preserve"> </w:t>
      </w:r>
      <w:r>
        <w:rPr>
          <w:color w:val="231F20"/>
        </w:rPr>
        <w:t>повноважень</w:t>
      </w:r>
      <w:r>
        <w:rPr>
          <w:color w:val="231F20"/>
          <w:position w:val="7"/>
          <w:sz w:val="12"/>
        </w:rPr>
        <w:t>1</w:t>
      </w:r>
      <w:r>
        <w:rPr>
          <w:color w:val="231F20"/>
        </w:rPr>
        <w:t>.</w:t>
      </w:r>
    </w:p>
    <w:p w14:paraId="0D2D9D76" w14:textId="77777777" w:rsidR="00DE575E" w:rsidRDefault="002E7560">
      <w:pPr>
        <w:pStyle w:val="BodyText"/>
        <w:spacing w:before="4" w:line="252" w:lineRule="auto"/>
        <w:ind w:left="250" w:right="409" w:firstLine="283"/>
        <w:jc w:val="both"/>
      </w:pPr>
      <w:r>
        <w:rPr>
          <w:color w:val="231F20"/>
        </w:rPr>
        <w:t>Державно</w:t>
      </w:r>
      <w:r>
        <w:rPr>
          <w:color w:val="231F20"/>
        </w:rPr>
        <w:t xml:space="preserve">-політичні відносини за участю </w:t>
      </w:r>
      <w:r>
        <w:rPr>
          <w:color w:val="231F20"/>
          <w:spacing w:val="-3"/>
        </w:rPr>
        <w:t xml:space="preserve">Уряду </w:t>
      </w:r>
      <w:r>
        <w:rPr>
          <w:color w:val="231F20"/>
        </w:rPr>
        <w:t xml:space="preserve">регламенту- ються нормами конституційного права, а його участь у державних адміністративних відносинах – нормами адміністративного права. Відповідно відносини, пов’язані з реалізацією Кабінетом Міністрів </w:t>
      </w:r>
      <w:r>
        <w:rPr>
          <w:color w:val="231F20"/>
          <w:spacing w:val="-3"/>
        </w:rPr>
        <w:t xml:space="preserve">України </w:t>
      </w:r>
      <w:r>
        <w:rPr>
          <w:color w:val="231F20"/>
        </w:rPr>
        <w:t>констит</w:t>
      </w:r>
      <w:r>
        <w:rPr>
          <w:color w:val="231F20"/>
        </w:rPr>
        <w:t>уційних повноважень щодо утворення, реорганіза- ції та ліквідації міністерств та інших центральних органів виконав- чої</w:t>
      </w:r>
      <w:r>
        <w:rPr>
          <w:color w:val="231F20"/>
          <w:spacing w:val="-16"/>
        </w:rPr>
        <w:t xml:space="preserve"> </w:t>
      </w:r>
      <w:r>
        <w:rPr>
          <w:color w:val="231F20"/>
        </w:rPr>
        <w:t>влади,</w:t>
      </w:r>
      <w:r>
        <w:rPr>
          <w:color w:val="231F20"/>
          <w:spacing w:val="-16"/>
        </w:rPr>
        <w:t xml:space="preserve"> </w:t>
      </w:r>
      <w:r>
        <w:rPr>
          <w:color w:val="231F20"/>
        </w:rPr>
        <w:t>призначення</w:t>
      </w:r>
      <w:r>
        <w:rPr>
          <w:color w:val="231F20"/>
          <w:spacing w:val="-16"/>
        </w:rPr>
        <w:t xml:space="preserve"> </w:t>
      </w:r>
      <w:r>
        <w:rPr>
          <w:color w:val="231F20"/>
        </w:rPr>
        <w:t>на</w:t>
      </w:r>
      <w:r>
        <w:rPr>
          <w:color w:val="231F20"/>
          <w:spacing w:val="-16"/>
        </w:rPr>
        <w:t xml:space="preserve"> </w:t>
      </w:r>
      <w:r>
        <w:rPr>
          <w:color w:val="231F20"/>
        </w:rPr>
        <w:t>посади</w:t>
      </w:r>
      <w:r>
        <w:rPr>
          <w:color w:val="231F20"/>
          <w:spacing w:val="-16"/>
        </w:rPr>
        <w:t xml:space="preserve"> </w:t>
      </w:r>
      <w:r>
        <w:rPr>
          <w:color w:val="231F20"/>
        </w:rPr>
        <w:t>та</w:t>
      </w:r>
      <w:r>
        <w:rPr>
          <w:color w:val="231F20"/>
          <w:spacing w:val="-16"/>
        </w:rPr>
        <w:t xml:space="preserve"> </w:t>
      </w:r>
      <w:r>
        <w:rPr>
          <w:color w:val="231F20"/>
        </w:rPr>
        <w:t>звільнення</w:t>
      </w:r>
      <w:r>
        <w:rPr>
          <w:color w:val="231F20"/>
          <w:spacing w:val="-16"/>
        </w:rPr>
        <w:t xml:space="preserve"> </w:t>
      </w:r>
      <w:r>
        <w:rPr>
          <w:color w:val="231F20"/>
        </w:rPr>
        <w:t>з</w:t>
      </w:r>
      <w:r>
        <w:rPr>
          <w:color w:val="231F20"/>
          <w:spacing w:val="-16"/>
        </w:rPr>
        <w:t xml:space="preserve"> </w:t>
      </w:r>
      <w:r>
        <w:rPr>
          <w:color w:val="231F20"/>
        </w:rPr>
        <w:t>посад</w:t>
      </w:r>
      <w:r>
        <w:rPr>
          <w:color w:val="231F20"/>
          <w:spacing w:val="-16"/>
        </w:rPr>
        <w:t xml:space="preserve"> </w:t>
      </w:r>
      <w:r>
        <w:rPr>
          <w:color w:val="231F20"/>
        </w:rPr>
        <w:t>їх</w:t>
      </w:r>
      <w:r>
        <w:rPr>
          <w:color w:val="231F20"/>
          <w:spacing w:val="-16"/>
        </w:rPr>
        <w:t xml:space="preserve"> </w:t>
      </w:r>
      <w:r>
        <w:rPr>
          <w:color w:val="231F20"/>
        </w:rPr>
        <w:t>керівників, нормативного</w:t>
      </w:r>
      <w:r>
        <w:rPr>
          <w:color w:val="231F20"/>
          <w:spacing w:val="-7"/>
        </w:rPr>
        <w:t xml:space="preserve"> </w:t>
      </w:r>
      <w:r>
        <w:rPr>
          <w:color w:val="231F20"/>
        </w:rPr>
        <w:t>правового</w:t>
      </w:r>
      <w:r>
        <w:rPr>
          <w:color w:val="231F20"/>
          <w:spacing w:val="-7"/>
        </w:rPr>
        <w:t xml:space="preserve"> </w:t>
      </w:r>
      <w:r>
        <w:rPr>
          <w:color w:val="231F20"/>
        </w:rPr>
        <w:t>регулювання</w:t>
      </w:r>
      <w:r>
        <w:rPr>
          <w:color w:val="231F20"/>
          <w:spacing w:val="-7"/>
        </w:rPr>
        <w:t xml:space="preserve"> </w:t>
      </w:r>
      <w:r>
        <w:rPr>
          <w:color w:val="231F20"/>
        </w:rPr>
        <w:t>їх</w:t>
      </w:r>
      <w:r>
        <w:rPr>
          <w:color w:val="231F20"/>
          <w:spacing w:val="-7"/>
        </w:rPr>
        <w:t xml:space="preserve"> </w:t>
      </w:r>
      <w:r>
        <w:rPr>
          <w:color w:val="231F20"/>
        </w:rPr>
        <w:t>діяльності,</w:t>
      </w:r>
      <w:r>
        <w:rPr>
          <w:color w:val="231F20"/>
          <w:spacing w:val="-7"/>
        </w:rPr>
        <w:t xml:space="preserve"> </w:t>
      </w:r>
      <w:r>
        <w:rPr>
          <w:color w:val="231F20"/>
        </w:rPr>
        <w:t>їх</w:t>
      </w:r>
      <w:r>
        <w:rPr>
          <w:color w:val="231F20"/>
          <w:spacing w:val="-7"/>
        </w:rPr>
        <w:t xml:space="preserve"> </w:t>
      </w:r>
      <w:r>
        <w:rPr>
          <w:color w:val="231F20"/>
        </w:rPr>
        <w:t xml:space="preserve">спрямування та координації, конкретизованих у законах </w:t>
      </w:r>
      <w:r>
        <w:rPr>
          <w:color w:val="231F20"/>
          <w:spacing w:val="-3"/>
        </w:rPr>
        <w:t xml:space="preserve">України, </w:t>
      </w:r>
      <w:r>
        <w:rPr>
          <w:color w:val="231F20"/>
        </w:rPr>
        <w:t xml:space="preserve">належать до сфери адміністративного правового регулювання. Правову основу організації  та  діяльності  КМУ  складають  передусім  Конститу- ція </w:t>
      </w:r>
      <w:r>
        <w:rPr>
          <w:color w:val="231F20"/>
          <w:spacing w:val="-3"/>
        </w:rPr>
        <w:t xml:space="preserve">України, </w:t>
      </w:r>
      <w:r>
        <w:rPr>
          <w:color w:val="231F20"/>
        </w:rPr>
        <w:t xml:space="preserve">Закон  </w:t>
      </w:r>
      <w:r>
        <w:rPr>
          <w:color w:val="231F20"/>
          <w:spacing w:val="-3"/>
        </w:rPr>
        <w:t xml:space="preserve">України  </w:t>
      </w:r>
      <w:r>
        <w:rPr>
          <w:color w:val="231F20"/>
        </w:rPr>
        <w:t>«Про  Кабінет  Міністрів</w:t>
      </w:r>
      <w:r>
        <w:rPr>
          <w:color w:val="231F20"/>
        </w:rPr>
        <w:t xml:space="preserve">  </w:t>
      </w:r>
      <w:r>
        <w:rPr>
          <w:color w:val="231F20"/>
          <w:spacing w:val="-3"/>
        </w:rPr>
        <w:t xml:space="preserve">України»  </w:t>
      </w:r>
      <w:r>
        <w:rPr>
          <w:color w:val="231F20"/>
        </w:rPr>
        <w:t xml:space="preserve">від 27 лютого 2014 р. № 794-VII, </w:t>
      </w:r>
      <w:r>
        <w:rPr>
          <w:color w:val="231F20"/>
          <w:spacing w:val="-3"/>
        </w:rPr>
        <w:t xml:space="preserve">Регламент </w:t>
      </w:r>
      <w:r>
        <w:rPr>
          <w:color w:val="231F20"/>
        </w:rPr>
        <w:t xml:space="preserve">Кабінету Міністрів </w:t>
      </w:r>
      <w:r>
        <w:rPr>
          <w:color w:val="231F20"/>
          <w:spacing w:val="-3"/>
        </w:rPr>
        <w:t xml:space="preserve">України, </w:t>
      </w:r>
      <w:r>
        <w:rPr>
          <w:color w:val="231F20"/>
        </w:rPr>
        <w:t xml:space="preserve">затверджений постановою Кабінету Міністрів </w:t>
      </w:r>
      <w:r>
        <w:rPr>
          <w:color w:val="231F20"/>
          <w:spacing w:val="-3"/>
        </w:rPr>
        <w:t xml:space="preserve">України </w:t>
      </w:r>
      <w:r>
        <w:rPr>
          <w:color w:val="231F20"/>
        </w:rPr>
        <w:t xml:space="preserve">від 18 липня 2007 р. № 950 (у редакції постанови Кабінету Міністрів </w:t>
      </w:r>
      <w:r>
        <w:rPr>
          <w:color w:val="231F20"/>
          <w:spacing w:val="-3"/>
        </w:rPr>
        <w:t xml:space="preserve">України </w:t>
      </w:r>
      <w:r>
        <w:rPr>
          <w:color w:val="231F20"/>
        </w:rPr>
        <w:t>від 9 листопада 2011 р. №</w:t>
      </w:r>
      <w:r>
        <w:rPr>
          <w:color w:val="231F20"/>
          <w:spacing w:val="-12"/>
        </w:rPr>
        <w:t xml:space="preserve"> </w:t>
      </w:r>
      <w:r>
        <w:rPr>
          <w:color w:val="231F20"/>
        </w:rPr>
        <w:t>1156).</w:t>
      </w:r>
    </w:p>
    <w:p w14:paraId="29FE8126" w14:textId="77777777" w:rsidR="00DE575E" w:rsidRDefault="002E7560">
      <w:pPr>
        <w:pStyle w:val="BodyText"/>
        <w:spacing w:before="8" w:line="252" w:lineRule="auto"/>
        <w:ind w:left="250" w:right="411" w:firstLine="283"/>
        <w:jc w:val="both"/>
      </w:pPr>
      <w:r>
        <w:rPr>
          <w:color w:val="231F20"/>
        </w:rPr>
        <w:t xml:space="preserve">До складу КМУ входять </w:t>
      </w:r>
      <w:r>
        <w:rPr>
          <w:color w:val="231F20"/>
          <w:spacing w:val="-3"/>
        </w:rPr>
        <w:t xml:space="preserve">Прем’єр-міністр України, </w:t>
      </w:r>
      <w:r>
        <w:rPr>
          <w:color w:val="231F20"/>
        </w:rPr>
        <w:t>Перший віце- прем’єр-міністр,</w:t>
      </w:r>
      <w:r>
        <w:rPr>
          <w:color w:val="231F20"/>
          <w:spacing w:val="-6"/>
        </w:rPr>
        <w:t xml:space="preserve"> </w:t>
      </w:r>
      <w:r>
        <w:rPr>
          <w:color w:val="231F20"/>
        </w:rPr>
        <w:t>віце-прем’єр-міністри</w:t>
      </w:r>
      <w:r>
        <w:rPr>
          <w:color w:val="231F20"/>
          <w:spacing w:val="-6"/>
        </w:rPr>
        <w:t xml:space="preserve"> </w:t>
      </w:r>
      <w:r>
        <w:rPr>
          <w:color w:val="231F20"/>
        </w:rPr>
        <w:t>та</w:t>
      </w:r>
      <w:r>
        <w:rPr>
          <w:color w:val="231F20"/>
          <w:spacing w:val="-5"/>
        </w:rPr>
        <w:t xml:space="preserve"> </w:t>
      </w:r>
      <w:r>
        <w:rPr>
          <w:color w:val="231F20"/>
        </w:rPr>
        <w:t>міністри</w:t>
      </w:r>
      <w:r>
        <w:rPr>
          <w:color w:val="231F20"/>
          <w:spacing w:val="-6"/>
        </w:rPr>
        <w:t xml:space="preserve"> </w:t>
      </w:r>
      <w:r>
        <w:rPr>
          <w:color w:val="231F20"/>
        </w:rPr>
        <w:t>(ч.</w:t>
      </w:r>
      <w:r>
        <w:rPr>
          <w:color w:val="231F20"/>
          <w:spacing w:val="-12"/>
        </w:rPr>
        <w:t xml:space="preserve"> </w:t>
      </w:r>
      <w:r>
        <w:rPr>
          <w:color w:val="231F20"/>
        </w:rPr>
        <w:t>1.</w:t>
      </w:r>
      <w:r>
        <w:rPr>
          <w:color w:val="231F20"/>
          <w:spacing w:val="-5"/>
        </w:rPr>
        <w:t xml:space="preserve"> </w:t>
      </w:r>
      <w:r>
        <w:rPr>
          <w:color w:val="231F20"/>
          <w:spacing w:val="-6"/>
        </w:rPr>
        <w:t>ст.</w:t>
      </w:r>
      <w:r>
        <w:rPr>
          <w:color w:val="231F20"/>
          <w:spacing w:val="-12"/>
        </w:rPr>
        <w:t xml:space="preserve"> </w:t>
      </w:r>
      <w:r>
        <w:rPr>
          <w:color w:val="231F20"/>
        </w:rPr>
        <w:t>114</w:t>
      </w:r>
      <w:r>
        <w:rPr>
          <w:color w:val="231F20"/>
          <w:spacing w:val="-5"/>
        </w:rPr>
        <w:t xml:space="preserve"> </w:t>
      </w:r>
      <w:r>
        <w:rPr>
          <w:color w:val="231F20"/>
        </w:rPr>
        <w:t>Конс- титуції</w:t>
      </w:r>
      <w:r>
        <w:rPr>
          <w:color w:val="231F20"/>
          <w:spacing w:val="-1"/>
        </w:rPr>
        <w:t xml:space="preserve"> </w:t>
      </w:r>
      <w:r>
        <w:rPr>
          <w:color w:val="231F20"/>
          <w:spacing w:val="-3"/>
        </w:rPr>
        <w:t>України).</w:t>
      </w:r>
    </w:p>
    <w:p w14:paraId="23AD5B02" w14:textId="77777777" w:rsidR="00DE575E" w:rsidRDefault="002E7560">
      <w:pPr>
        <w:pStyle w:val="BodyText"/>
        <w:spacing w:before="1" w:line="252" w:lineRule="auto"/>
        <w:ind w:left="250" w:right="411" w:firstLine="283"/>
        <w:jc w:val="both"/>
      </w:pPr>
      <w:r>
        <w:rPr>
          <w:i/>
          <w:color w:val="231F20"/>
        </w:rPr>
        <w:t>Прем’єр-міністр</w:t>
      </w:r>
      <w:r>
        <w:rPr>
          <w:i/>
          <w:color w:val="231F20"/>
          <w:spacing w:val="-26"/>
        </w:rPr>
        <w:t xml:space="preserve"> </w:t>
      </w:r>
      <w:r>
        <w:rPr>
          <w:i/>
          <w:color w:val="231F20"/>
        </w:rPr>
        <w:t>України</w:t>
      </w:r>
      <w:r>
        <w:rPr>
          <w:i/>
          <w:color w:val="231F20"/>
          <w:spacing w:val="-26"/>
        </w:rPr>
        <w:t xml:space="preserve"> </w:t>
      </w:r>
      <w:r>
        <w:rPr>
          <w:color w:val="231F20"/>
        </w:rPr>
        <w:t>призначається</w:t>
      </w:r>
      <w:r>
        <w:rPr>
          <w:color w:val="231F20"/>
          <w:spacing w:val="-26"/>
        </w:rPr>
        <w:t xml:space="preserve"> </w:t>
      </w:r>
      <w:r>
        <w:rPr>
          <w:color w:val="231F20"/>
        </w:rPr>
        <w:t>Верховною</w:t>
      </w:r>
      <w:r>
        <w:rPr>
          <w:color w:val="231F20"/>
          <w:spacing w:val="-26"/>
        </w:rPr>
        <w:t xml:space="preserve"> </w:t>
      </w:r>
      <w:r>
        <w:rPr>
          <w:color w:val="231F20"/>
        </w:rPr>
        <w:t>Радою</w:t>
      </w:r>
      <w:r>
        <w:rPr>
          <w:color w:val="231F20"/>
          <w:spacing w:val="-26"/>
        </w:rPr>
        <w:t xml:space="preserve"> </w:t>
      </w:r>
      <w:r>
        <w:rPr>
          <w:color w:val="231F20"/>
          <w:spacing w:val="-3"/>
        </w:rPr>
        <w:t xml:space="preserve">України </w:t>
      </w:r>
      <w:r>
        <w:rPr>
          <w:color w:val="231F20"/>
        </w:rPr>
        <w:t xml:space="preserve">за поданням Президента </w:t>
      </w:r>
      <w:r>
        <w:rPr>
          <w:color w:val="231F20"/>
          <w:spacing w:val="-3"/>
        </w:rPr>
        <w:t xml:space="preserve">України </w:t>
      </w:r>
      <w:r>
        <w:rPr>
          <w:color w:val="231F20"/>
        </w:rPr>
        <w:t xml:space="preserve">(ч. 2 </w:t>
      </w:r>
      <w:r>
        <w:rPr>
          <w:color w:val="231F20"/>
          <w:spacing w:val="-6"/>
        </w:rPr>
        <w:t xml:space="preserve">ст. </w:t>
      </w:r>
      <w:r>
        <w:rPr>
          <w:color w:val="231F20"/>
        </w:rPr>
        <w:t>114</w:t>
      </w:r>
      <w:r>
        <w:rPr>
          <w:color w:val="231F20"/>
        </w:rPr>
        <w:t xml:space="preserve"> Конституції </w:t>
      </w:r>
      <w:r>
        <w:rPr>
          <w:color w:val="231F20"/>
          <w:spacing w:val="-3"/>
        </w:rPr>
        <w:t xml:space="preserve">України). </w:t>
      </w:r>
      <w:r>
        <w:rPr>
          <w:color w:val="231F20"/>
        </w:rPr>
        <w:t xml:space="preserve">Кандидатуру для призначення на посаду </w:t>
      </w:r>
      <w:r>
        <w:rPr>
          <w:color w:val="231F20"/>
          <w:spacing w:val="-3"/>
        </w:rPr>
        <w:t xml:space="preserve">Прем’єр-міністра України </w:t>
      </w:r>
      <w:r>
        <w:rPr>
          <w:color w:val="231F20"/>
        </w:rPr>
        <w:t xml:space="preserve">вносить Президент за пропозицією коаліції депутатських фракцій  у Верховній Раді, сформованої відповідно до статті 83 Конституції </w:t>
      </w:r>
      <w:r>
        <w:rPr>
          <w:color w:val="231F20"/>
          <w:spacing w:val="-3"/>
        </w:rPr>
        <w:t xml:space="preserve">України, </w:t>
      </w:r>
      <w:r>
        <w:rPr>
          <w:color w:val="231F20"/>
        </w:rPr>
        <w:t xml:space="preserve">або депутатської фракції, до складу якої входить більшість народних депутатів </w:t>
      </w:r>
      <w:r>
        <w:rPr>
          <w:color w:val="231F20"/>
          <w:spacing w:val="-3"/>
        </w:rPr>
        <w:t xml:space="preserve">України </w:t>
      </w:r>
      <w:r>
        <w:rPr>
          <w:color w:val="231F20"/>
        </w:rPr>
        <w:t xml:space="preserve">від конституційного складу Верховної Ради (ч. 3 </w:t>
      </w:r>
      <w:r>
        <w:rPr>
          <w:color w:val="231F20"/>
          <w:spacing w:val="-6"/>
        </w:rPr>
        <w:t xml:space="preserve">ст. </w:t>
      </w:r>
      <w:r>
        <w:rPr>
          <w:color w:val="231F20"/>
        </w:rPr>
        <w:t>114</w:t>
      </w:r>
      <w:r>
        <w:rPr>
          <w:color w:val="231F20"/>
          <w:spacing w:val="-6"/>
        </w:rPr>
        <w:t xml:space="preserve"> </w:t>
      </w:r>
      <w:r>
        <w:rPr>
          <w:color w:val="231F20"/>
        </w:rPr>
        <w:t>Конституції).</w:t>
      </w:r>
    </w:p>
    <w:p w14:paraId="4C892B26" w14:textId="77777777" w:rsidR="00DE575E" w:rsidRDefault="002E7560">
      <w:pPr>
        <w:pStyle w:val="BodyText"/>
        <w:spacing w:before="4" w:line="252" w:lineRule="auto"/>
        <w:ind w:left="250" w:right="411" w:firstLine="283"/>
        <w:jc w:val="both"/>
      </w:pPr>
      <w:r>
        <w:rPr>
          <w:color w:val="231F20"/>
        </w:rPr>
        <w:t xml:space="preserve">Слід звернути </w:t>
      </w:r>
      <w:r>
        <w:rPr>
          <w:color w:val="231F20"/>
          <w:spacing w:val="-3"/>
        </w:rPr>
        <w:t xml:space="preserve">увагу, </w:t>
      </w:r>
      <w:r>
        <w:rPr>
          <w:color w:val="231F20"/>
        </w:rPr>
        <w:t xml:space="preserve">що всі члени Кабінету Міністрів </w:t>
      </w:r>
      <w:r>
        <w:rPr>
          <w:color w:val="231F20"/>
          <w:spacing w:val="-3"/>
        </w:rPr>
        <w:t xml:space="preserve">України </w:t>
      </w:r>
      <w:r>
        <w:rPr>
          <w:color w:val="231F20"/>
        </w:rPr>
        <w:t>призначаються</w:t>
      </w:r>
      <w:r>
        <w:rPr>
          <w:color w:val="231F20"/>
          <w:spacing w:val="-8"/>
        </w:rPr>
        <w:t xml:space="preserve"> </w:t>
      </w:r>
      <w:r>
        <w:rPr>
          <w:color w:val="231F20"/>
        </w:rPr>
        <w:t>на</w:t>
      </w:r>
      <w:r>
        <w:rPr>
          <w:color w:val="231F20"/>
          <w:spacing w:val="-8"/>
        </w:rPr>
        <w:t xml:space="preserve"> </w:t>
      </w:r>
      <w:r>
        <w:rPr>
          <w:color w:val="231F20"/>
        </w:rPr>
        <w:t>посади</w:t>
      </w:r>
      <w:r>
        <w:rPr>
          <w:color w:val="231F20"/>
          <w:spacing w:val="-8"/>
        </w:rPr>
        <w:t xml:space="preserve"> </w:t>
      </w:r>
      <w:r>
        <w:rPr>
          <w:color w:val="231F20"/>
        </w:rPr>
        <w:t>та</w:t>
      </w:r>
      <w:r>
        <w:rPr>
          <w:color w:val="231F20"/>
          <w:spacing w:val="-8"/>
        </w:rPr>
        <w:t xml:space="preserve"> </w:t>
      </w:r>
      <w:r>
        <w:rPr>
          <w:color w:val="231F20"/>
        </w:rPr>
        <w:t>звільняються</w:t>
      </w:r>
      <w:r>
        <w:rPr>
          <w:color w:val="231F20"/>
          <w:spacing w:val="-8"/>
        </w:rPr>
        <w:t xml:space="preserve"> </w:t>
      </w:r>
      <w:r>
        <w:rPr>
          <w:color w:val="231F20"/>
        </w:rPr>
        <w:t>з</w:t>
      </w:r>
      <w:r>
        <w:rPr>
          <w:color w:val="231F20"/>
          <w:spacing w:val="-8"/>
        </w:rPr>
        <w:t xml:space="preserve"> </w:t>
      </w:r>
      <w:r>
        <w:rPr>
          <w:color w:val="231F20"/>
        </w:rPr>
        <w:t>посад</w:t>
      </w:r>
      <w:r>
        <w:rPr>
          <w:color w:val="231F20"/>
          <w:spacing w:val="-8"/>
        </w:rPr>
        <w:t xml:space="preserve"> </w:t>
      </w:r>
      <w:r>
        <w:rPr>
          <w:color w:val="231F20"/>
        </w:rPr>
        <w:t>Верховною</w:t>
      </w:r>
      <w:r>
        <w:rPr>
          <w:color w:val="231F20"/>
          <w:spacing w:val="-8"/>
        </w:rPr>
        <w:t xml:space="preserve"> </w:t>
      </w:r>
      <w:r>
        <w:rPr>
          <w:color w:val="231F20"/>
        </w:rPr>
        <w:t>Радою</w:t>
      </w:r>
    </w:p>
    <w:p w14:paraId="45493F53" w14:textId="29D2AA8B" w:rsidR="00DE575E" w:rsidRDefault="002E7560">
      <w:pPr>
        <w:pStyle w:val="BodyText"/>
        <w:spacing w:before="3"/>
        <w:rPr>
          <w:sz w:val="24"/>
        </w:rPr>
      </w:pPr>
      <w:r>
        <w:rPr>
          <w:noProof/>
        </w:rPr>
        <mc:AlternateContent>
          <mc:Choice Requires="wps">
            <w:drawing>
              <wp:anchor distT="0" distB="0" distL="0" distR="0" simplePos="0" relativeHeight="4744" behindDoc="0" locked="0" layoutInCell="1" allowOverlap="1" wp14:anchorId="1116C597" wp14:editId="0374905B">
                <wp:simplePos x="0" y="0"/>
                <wp:positionH relativeFrom="page">
                  <wp:posOffset>539750</wp:posOffset>
                </wp:positionH>
                <wp:positionV relativeFrom="paragraph">
                  <wp:posOffset>208915</wp:posOffset>
                </wp:positionV>
                <wp:extent cx="1080135" cy="0"/>
                <wp:effectExtent l="6350" t="18415" r="31115" b="19685"/>
                <wp:wrapTopAndBottom/>
                <wp:docPr id="1154"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62675" id="Line_x0020_1153" o:spid="_x0000_s1026" style="position:absolute;z-index:4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5pt" to="127.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3kmiI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" strokecolor="#231f20" strokeweight=".5pt">
                <w10:wrap type="topAndBottom" anchorx="page"/>
              </v:line>
            </w:pict>
          </mc:Fallback>
        </mc:AlternateContent>
      </w:r>
    </w:p>
    <w:p w14:paraId="260F29EC" w14:textId="77777777" w:rsidR="00DE575E" w:rsidRDefault="002E7560">
      <w:pPr>
        <w:spacing w:line="162" w:lineRule="exact"/>
        <w:ind w:left="250"/>
        <w:rPr>
          <w:sz w:val="16"/>
        </w:rPr>
      </w:pPr>
      <w:r>
        <w:rPr>
          <w:color w:val="231F20"/>
          <w:position w:val="5"/>
          <w:sz w:val="9"/>
        </w:rPr>
        <w:t xml:space="preserve">1 </w:t>
      </w:r>
      <w:r>
        <w:rPr>
          <w:color w:val="231F20"/>
          <w:sz w:val="16"/>
        </w:rPr>
        <w:t>Про Кабінет Міністрів України. Закон від 27.02.2014 № 794-VII.</w:t>
      </w:r>
    </w:p>
    <w:p w14:paraId="2EC80340" w14:textId="77777777" w:rsidR="00DE575E" w:rsidRDefault="00DE575E">
      <w:pPr>
        <w:pStyle w:val="BodyText"/>
        <w:spacing w:before="10"/>
        <w:rPr>
          <w:sz w:val="11"/>
        </w:rPr>
      </w:pPr>
    </w:p>
    <w:p w14:paraId="4A3170C9" w14:textId="77777777" w:rsidR="00DE575E" w:rsidRDefault="002E7560">
      <w:pPr>
        <w:spacing w:before="92"/>
        <w:ind w:right="411"/>
        <w:jc w:val="right"/>
        <w:rPr>
          <w:rFonts w:ascii="Times New Roman"/>
          <w:sz w:val="20"/>
        </w:rPr>
      </w:pPr>
      <w:r>
        <w:rPr>
          <w:rFonts w:ascii="Times New Roman"/>
          <w:color w:val="231F20"/>
          <w:w w:val="90"/>
          <w:sz w:val="20"/>
        </w:rPr>
        <w:t>99</w:t>
      </w:r>
    </w:p>
    <w:p w14:paraId="65C0B43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CCFBDF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8B66CFD" w14:textId="209274F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1A6FE22" wp14:editId="03DBC147">
                <wp:extent cx="4140200" cy="6350"/>
                <wp:effectExtent l="0" t="0" r="12700" b="6350"/>
                <wp:docPr id="1152"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53" name="Line 115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AE84A9" id="Group_x0020_115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7PV3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Pis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TTs9XfQIAAJwFAAAOAAAA&#10;AAAAAAAAAAAAACwCAABkcnMvZTJvRG9jLnhtbFBLAQItABQABgAIAAAAIQBMp7CQ2QAAAAMBAAAP&#10;AAAAAAAAAAAAAAAAANUEAABkcnMvZG93bnJldi54bWxQSwUGAAAAAAQABADzAAAA2wUAAAAA&#10;">
                <v:line id="Line_x0020_115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bwcMUAAADdAAAADwAAAGRycy9kb3ducmV2LnhtbERPzWrCQBC+F/oOyxS8FN1oqEh0lSII&#10;4kGr8QHG7JiE7s7G7GrSPn23UOhtPr7fWax6a8SDWl87VjAeJSCIC6drLhWc881wBsIHZI3GMSn4&#10;Ig+r5fPTAjPtOj7S4xRKEUPYZ6igCqHJpPRFRRb9yDXEkbu61mKIsC2lbrGL4dbISZJMpcWaY0OF&#10;Da0rKj5Pd6sgv70G83HYmS4/XFJ5ue3T7/teqcFL/z4HEagP/+I/91bH+eO3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QbwcMUAAADdAAAADwAAAAAAAAAA&#10;AAAAAAChAgAAZHJzL2Rvd25yZXYueG1sUEsFBgAAAAAEAAQA+QAAAJMDAAAAAA==&#10;" strokecolor="#231f20" strokeweight=".5pt"/>
                <w10:anchorlock/>
              </v:group>
            </w:pict>
          </mc:Fallback>
        </mc:AlternateContent>
      </w:r>
    </w:p>
    <w:p w14:paraId="498006B8" w14:textId="77777777" w:rsidR="00DE575E" w:rsidRDefault="00DE575E">
      <w:pPr>
        <w:pStyle w:val="BodyText"/>
        <w:spacing w:before="7"/>
        <w:rPr>
          <w:rFonts w:ascii="AdonisC"/>
          <w:i/>
          <w:sz w:val="11"/>
        </w:rPr>
      </w:pPr>
    </w:p>
    <w:p w14:paraId="4F8E8E65" w14:textId="77777777" w:rsidR="00DE575E" w:rsidRDefault="002E7560">
      <w:pPr>
        <w:pStyle w:val="BodyText"/>
        <w:spacing w:before="101" w:line="252" w:lineRule="auto"/>
        <w:ind w:left="533" w:right="128"/>
        <w:jc w:val="both"/>
      </w:pPr>
      <w:r>
        <w:rPr>
          <w:color w:val="231F20"/>
          <w:spacing w:val="-3"/>
        </w:rPr>
        <w:t xml:space="preserve">України. </w:t>
      </w:r>
      <w:r>
        <w:rPr>
          <w:color w:val="231F20"/>
        </w:rPr>
        <w:t xml:space="preserve">Однак два міністри – оборони та закордонних справ – призначаються на посади за поданням  Президента  </w:t>
      </w:r>
      <w:r>
        <w:rPr>
          <w:color w:val="231F20"/>
          <w:spacing w:val="-3"/>
        </w:rPr>
        <w:t xml:space="preserve">України,  </w:t>
      </w:r>
      <w:r>
        <w:rPr>
          <w:color w:val="231F20"/>
        </w:rPr>
        <w:t xml:space="preserve">тоді як члени </w:t>
      </w:r>
      <w:r>
        <w:rPr>
          <w:color w:val="231F20"/>
          <w:spacing w:val="-3"/>
        </w:rPr>
        <w:t xml:space="preserve">Уряду </w:t>
      </w:r>
      <w:r>
        <w:rPr>
          <w:color w:val="231F20"/>
        </w:rPr>
        <w:t xml:space="preserve">– за поданням </w:t>
      </w:r>
      <w:r>
        <w:rPr>
          <w:color w:val="231F20"/>
          <w:spacing w:val="-3"/>
        </w:rPr>
        <w:t xml:space="preserve">Прем’єр-міністра України. </w:t>
      </w:r>
      <w:r>
        <w:rPr>
          <w:color w:val="231F20"/>
        </w:rPr>
        <w:t xml:space="preserve">Зазначені повноваження Президента щодо </w:t>
      </w:r>
      <w:r>
        <w:rPr>
          <w:color w:val="231F20"/>
        </w:rPr>
        <w:t xml:space="preserve">участі у формуванні складу </w:t>
      </w:r>
      <w:r>
        <w:rPr>
          <w:color w:val="231F20"/>
          <w:spacing w:val="-3"/>
        </w:rPr>
        <w:t xml:space="preserve">Уряду </w:t>
      </w:r>
      <w:r>
        <w:rPr>
          <w:color w:val="231F20"/>
        </w:rPr>
        <w:t xml:space="preserve">зумовлюються тим, що Президент є </w:t>
      </w:r>
      <w:r>
        <w:rPr>
          <w:color w:val="231F20"/>
          <w:spacing w:val="-3"/>
        </w:rPr>
        <w:t xml:space="preserve">главою </w:t>
      </w:r>
      <w:r>
        <w:rPr>
          <w:color w:val="231F20"/>
        </w:rPr>
        <w:t xml:space="preserve">держави і виступає від її імені, представляє </w:t>
      </w:r>
      <w:r>
        <w:rPr>
          <w:color w:val="231F20"/>
          <w:spacing w:val="-3"/>
        </w:rPr>
        <w:t xml:space="preserve">Україну </w:t>
      </w:r>
      <w:r>
        <w:rPr>
          <w:color w:val="231F20"/>
        </w:rPr>
        <w:t xml:space="preserve">в міжнародних відносинах (ці повно- важення зумовлюють участь у призначенні Міністра закордонних справ </w:t>
      </w:r>
      <w:r>
        <w:rPr>
          <w:color w:val="231F20"/>
          <w:spacing w:val="-3"/>
        </w:rPr>
        <w:t xml:space="preserve">України), </w:t>
      </w:r>
      <w:r>
        <w:rPr>
          <w:color w:val="231F20"/>
        </w:rPr>
        <w:t>а також є Верховн</w:t>
      </w:r>
      <w:r>
        <w:rPr>
          <w:color w:val="231F20"/>
        </w:rPr>
        <w:t xml:space="preserve">им Головнокомандувачем Зброй- них Сил </w:t>
      </w:r>
      <w:r>
        <w:rPr>
          <w:color w:val="231F20"/>
          <w:spacing w:val="-3"/>
        </w:rPr>
        <w:t xml:space="preserve">України </w:t>
      </w:r>
      <w:r>
        <w:rPr>
          <w:color w:val="231F20"/>
        </w:rPr>
        <w:t>(ці повноваження обумовлюють участь у призна- ченні Міністра оборони</w:t>
      </w:r>
      <w:r>
        <w:rPr>
          <w:color w:val="231F20"/>
          <w:spacing w:val="-1"/>
        </w:rPr>
        <w:t xml:space="preserve"> </w:t>
      </w:r>
      <w:r>
        <w:rPr>
          <w:color w:val="231F20"/>
          <w:spacing w:val="-3"/>
        </w:rPr>
        <w:t>України).</w:t>
      </w:r>
    </w:p>
    <w:p w14:paraId="2AF99275" w14:textId="77777777" w:rsidR="00DE575E" w:rsidRDefault="002E7560">
      <w:pPr>
        <w:pStyle w:val="BodyText"/>
        <w:spacing w:before="5" w:line="252" w:lineRule="auto"/>
        <w:ind w:left="533" w:right="128" w:firstLine="283"/>
        <w:jc w:val="both"/>
      </w:pPr>
      <w:r>
        <w:rPr>
          <w:color w:val="231F20"/>
        </w:rPr>
        <w:t xml:space="preserve">Зауважимо, що ні Президент </w:t>
      </w:r>
      <w:r>
        <w:rPr>
          <w:color w:val="231F20"/>
          <w:spacing w:val="-3"/>
        </w:rPr>
        <w:t xml:space="preserve">України, </w:t>
      </w:r>
      <w:r>
        <w:rPr>
          <w:color w:val="231F20"/>
        </w:rPr>
        <w:t xml:space="preserve">ні </w:t>
      </w:r>
      <w:r>
        <w:rPr>
          <w:color w:val="231F20"/>
          <w:spacing w:val="-3"/>
        </w:rPr>
        <w:t xml:space="preserve">Прем’єр-міністр України </w:t>
      </w:r>
      <w:r>
        <w:rPr>
          <w:color w:val="231F20"/>
        </w:rPr>
        <w:t xml:space="preserve">не очолюють  вертикаль  органів  виконавчої  гілки  влади.  Згідно  з Конституцією </w:t>
      </w:r>
      <w:r>
        <w:rPr>
          <w:color w:val="231F20"/>
          <w:spacing w:val="-3"/>
        </w:rPr>
        <w:t xml:space="preserve">України Прем’єр-міністр керує </w:t>
      </w:r>
      <w:r>
        <w:rPr>
          <w:color w:val="231F20"/>
        </w:rPr>
        <w:t>роботою Кабінету Міністрів,</w:t>
      </w:r>
      <w:r>
        <w:rPr>
          <w:color w:val="231F20"/>
          <w:spacing w:val="-10"/>
        </w:rPr>
        <w:t xml:space="preserve"> </w:t>
      </w:r>
      <w:r>
        <w:rPr>
          <w:color w:val="231F20"/>
        </w:rPr>
        <w:t>спрямовує</w:t>
      </w:r>
      <w:r>
        <w:rPr>
          <w:color w:val="231F20"/>
          <w:spacing w:val="-10"/>
        </w:rPr>
        <w:t xml:space="preserve"> </w:t>
      </w:r>
      <w:r>
        <w:rPr>
          <w:color w:val="231F20"/>
        </w:rPr>
        <w:t>її</w:t>
      </w:r>
      <w:r>
        <w:rPr>
          <w:color w:val="231F20"/>
          <w:spacing w:val="-10"/>
        </w:rPr>
        <w:t xml:space="preserve"> </w:t>
      </w:r>
      <w:r>
        <w:rPr>
          <w:color w:val="231F20"/>
        </w:rPr>
        <w:t>на</w:t>
      </w:r>
      <w:r>
        <w:rPr>
          <w:color w:val="231F20"/>
          <w:spacing w:val="-10"/>
        </w:rPr>
        <w:t xml:space="preserve"> </w:t>
      </w:r>
      <w:r>
        <w:rPr>
          <w:color w:val="231F20"/>
        </w:rPr>
        <w:t>виконання</w:t>
      </w:r>
      <w:r>
        <w:rPr>
          <w:color w:val="231F20"/>
          <w:spacing w:val="-10"/>
        </w:rPr>
        <w:t xml:space="preserve"> </w:t>
      </w:r>
      <w:r>
        <w:rPr>
          <w:color w:val="231F20"/>
        </w:rPr>
        <w:t>Програми</w:t>
      </w:r>
      <w:r>
        <w:rPr>
          <w:color w:val="231F20"/>
          <w:spacing w:val="-10"/>
        </w:rPr>
        <w:t xml:space="preserve"> </w:t>
      </w:r>
      <w:r>
        <w:rPr>
          <w:color w:val="231F20"/>
        </w:rPr>
        <w:t>діяльності</w:t>
      </w:r>
      <w:r>
        <w:rPr>
          <w:color w:val="231F20"/>
          <w:spacing w:val="-10"/>
        </w:rPr>
        <w:t xml:space="preserve"> </w:t>
      </w:r>
      <w:r>
        <w:rPr>
          <w:color w:val="231F20"/>
          <w:spacing w:val="-9"/>
        </w:rPr>
        <w:t>КМУ,</w:t>
      </w:r>
      <w:r>
        <w:rPr>
          <w:color w:val="231F20"/>
          <w:spacing w:val="-10"/>
        </w:rPr>
        <w:t xml:space="preserve"> </w:t>
      </w:r>
      <w:r>
        <w:rPr>
          <w:color w:val="231F20"/>
        </w:rPr>
        <w:t xml:space="preserve">схва- леної Верховною Радою </w:t>
      </w:r>
      <w:r>
        <w:rPr>
          <w:color w:val="231F20"/>
          <w:spacing w:val="-3"/>
        </w:rPr>
        <w:t xml:space="preserve">України </w:t>
      </w:r>
      <w:r>
        <w:rPr>
          <w:color w:val="231F20"/>
        </w:rPr>
        <w:t xml:space="preserve">(ч. 5 </w:t>
      </w:r>
      <w:r>
        <w:rPr>
          <w:color w:val="231F20"/>
          <w:spacing w:val="-6"/>
        </w:rPr>
        <w:t xml:space="preserve">ст. </w:t>
      </w:r>
      <w:r>
        <w:rPr>
          <w:color w:val="231F20"/>
        </w:rPr>
        <w:t xml:space="preserve">114 Конституції </w:t>
      </w:r>
      <w:r>
        <w:rPr>
          <w:color w:val="231F20"/>
          <w:spacing w:val="-3"/>
        </w:rPr>
        <w:t>Ук</w:t>
      </w:r>
      <w:r>
        <w:rPr>
          <w:color w:val="231F20"/>
          <w:spacing w:val="-3"/>
        </w:rPr>
        <w:t xml:space="preserve">раїни). </w:t>
      </w:r>
      <w:r>
        <w:rPr>
          <w:color w:val="231F20"/>
          <w:spacing w:val="-4"/>
        </w:rPr>
        <w:t xml:space="preserve">Тобто </w:t>
      </w:r>
      <w:r>
        <w:rPr>
          <w:color w:val="231F20"/>
          <w:spacing w:val="-3"/>
        </w:rPr>
        <w:t xml:space="preserve">Прем’єр-міністр України </w:t>
      </w:r>
      <w:r>
        <w:rPr>
          <w:color w:val="231F20"/>
        </w:rPr>
        <w:t xml:space="preserve">є очільником </w:t>
      </w:r>
      <w:r>
        <w:rPr>
          <w:color w:val="231F20"/>
          <w:spacing w:val="-6"/>
        </w:rPr>
        <w:t xml:space="preserve">Уряду, </w:t>
      </w:r>
      <w:r>
        <w:rPr>
          <w:color w:val="231F20"/>
        </w:rPr>
        <w:t>однак не очіль- ником вертикалі органів виконавчої гілки</w:t>
      </w:r>
      <w:r>
        <w:rPr>
          <w:color w:val="231F20"/>
          <w:spacing w:val="-4"/>
        </w:rPr>
        <w:t xml:space="preserve"> </w:t>
      </w:r>
      <w:r>
        <w:rPr>
          <w:color w:val="231F20"/>
        </w:rPr>
        <w:t>влади.</w:t>
      </w:r>
    </w:p>
    <w:p w14:paraId="43745D35" w14:textId="77777777" w:rsidR="00DE575E" w:rsidRDefault="002E7560">
      <w:pPr>
        <w:pStyle w:val="BodyText"/>
        <w:spacing w:before="3" w:line="252" w:lineRule="auto"/>
        <w:ind w:left="533" w:right="126" w:firstLine="283"/>
        <w:jc w:val="both"/>
      </w:pPr>
      <w:r>
        <w:rPr>
          <w:color w:val="231F20"/>
        </w:rPr>
        <w:t>На відміну від Верховної Ради України та Президента України, повноваження яких визначаються виключно Конституцією України та не можуть визначатися іншими нормативними правовими актами, повноваження Кабінету Міністрів України визначаються Конституцією та за</w:t>
      </w:r>
      <w:r>
        <w:rPr>
          <w:color w:val="231F20"/>
        </w:rPr>
        <w:t>конами України (п. 10 ч. 1 ст. 116 Конституції). Зокрема, відповідно до ст. 116 Конституції Уряд:</w:t>
      </w:r>
    </w:p>
    <w:p w14:paraId="622897C3" w14:textId="77777777" w:rsidR="00DE575E" w:rsidRDefault="002E7560">
      <w:pPr>
        <w:pStyle w:val="ListParagraph"/>
        <w:numPr>
          <w:ilvl w:val="0"/>
          <w:numId w:val="264"/>
        </w:numPr>
        <w:tabs>
          <w:tab w:val="left" w:pos="1101"/>
        </w:tabs>
        <w:spacing w:before="3" w:line="252" w:lineRule="auto"/>
        <w:ind w:right="127" w:firstLine="284"/>
        <w:rPr>
          <w:sz w:val="21"/>
        </w:rPr>
      </w:pPr>
      <w:r>
        <w:rPr>
          <w:color w:val="231F20"/>
          <w:sz w:val="21"/>
        </w:rPr>
        <w:t xml:space="preserve">забезпечує державний суверенітет і економічну самостійність </w:t>
      </w:r>
      <w:r>
        <w:rPr>
          <w:color w:val="231F20"/>
          <w:spacing w:val="-3"/>
          <w:sz w:val="21"/>
        </w:rPr>
        <w:t xml:space="preserve">України, </w:t>
      </w:r>
      <w:r>
        <w:rPr>
          <w:color w:val="231F20"/>
          <w:sz w:val="21"/>
        </w:rPr>
        <w:t xml:space="preserve">здійснення внутрішньої і зовнішньої політики держави, виконання Конституції та законів </w:t>
      </w:r>
      <w:r>
        <w:rPr>
          <w:color w:val="231F20"/>
          <w:spacing w:val="-3"/>
          <w:sz w:val="21"/>
        </w:rPr>
        <w:t>Ук</w:t>
      </w:r>
      <w:r>
        <w:rPr>
          <w:color w:val="231F20"/>
          <w:spacing w:val="-3"/>
          <w:sz w:val="21"/>
        </w:rPr>
        <w:t xml:space="preserve">раїни, </w:t>
      </w:r>
      <w:r>
        <w:rPr>
          <w:color w:val="231F20"/>
          <w:sz w:val="21"/>
        </w:rPr>
        <w:t xml:space="preserve">актів Президента </w:t>
      </w:r>
      <w:r>
        <w:rPr>
          <w:color w:val="231F20"/>
          <w:spacing w:val="-3"/>
          <w:sz w:val="21"/>
        </w:rPr>
        <w:t>України;</w:t>
      </w:r>
    </w:p>
    <w:p w14:paraId="4A53080E" w14:textId="77777777" w:rsidR="00DE575E" w:rsidRDefault="002E7560">
      <w:pPr>
        <w:pStyle w:val="ListParagraph"/>
        <w:numPr>
          <w:ilvl w:val="0"/>
          <w:numId w:val="264"/>
        </w:numPr>
        <w:tabs>
          <w:tab w:val="left" w:pos="1101"/>
        </w:tabs>
        <w:spacing w:before="2" w:line="252" w:lineRule="auto"/>
        <w:ind w:right="128" w:firstLine="284"/>
        <w:rPr>
          <w:sz w:val="21"/>
        </w:rPr>
      </w:pPr>
      <w:r>
        <w:rPr>
          <w:color w:val="231F20"/>
          <w:sz w:val="21"/>
        </w:rPr>
        <w:t>забезпечує</w:t>
      </w:r>
      <w:r>
        <w:rPr>
          <w:color w:val="231F20"/>
          <w:spacing w:val="-19"/>
          <w:sz w:val="21"/>
        </w:rPr>
        <w:t xml:space="preserve"> </w:t>
      </w:r>
      <w:r>
        <w:rPr>
          <w:color w:val="231F20"/>
          <w:sz w:val="21"/>
        </w:rPr>
        <w:t>реалізацію</w:t>
      </w:r>
      <w:r>
        <w:rPr>
          <w:color w:val="231F20"/>
          <w:spacing w:val="-19"/>
          <w:sz w:val="21"/>
        </w:rPr>
        <w:t xml:space="preserve"> </w:t>
      </w:r>
      <w:r>
        <w:rPr>
          <w:color w:val="231F20"/>
          <w:sz w:val="21"/>
        </w:rPr>
        <w:t>стратегічного</w:t>
      </w:r>
      <w:r>
        <w:rPr>
          <w:color w:val="231F20"/>
          <w:spacing w:val="-19"/>
          <w:sz w:val="21"/>
        </w:rPr>
        <w:t xml:space="preserve"> </w:t>
      </w:r>
      <w:r>
        <w:rPr>
          <w:color w:val="231F20"/>
          <w:sz w:val="21"/>
        </w:rPr>
        <w:t>курсу</w:t>
      </w:r>
      <w:r>
        <w:rPr>
          <w:color w:val="231F20"/>
          <w:spacing w:val="-19"/>
          <w:sz w:val="21"/>
        </w:rPr>
        <w:t xml:space="preserve"> </w:t>
      </w:r>
      <w:r>
        <w:rPr>
          <w:color w:val="231F20"/>
          <w:sz w:val="21"/>
        </w:rPr>
        <w:t>держави</w:t>
      </w:r>
      <w:r>
        <w:rPr>
          <w:color w:val="231F20"/>
          <w:spacing w:val="-19"/>
          <w:sz w:val="21"/>
        </w:rPr>
        <w:t xml:space="preserve"> </w:t>
      </w:r>
      <w:r>
        <w:rPr>
          <w:color w:val="231F20"/>
          <w:sz w:val="21"/>
        </w:rPr>
        <w:t>на</w:t>
      </w:r>
      <w:r>
        <w:rPr>
          <w:color w:val="231F20"/>
          <w:spacing w:val="-19"/>
          <w:sz w:val="21"/>
        </w:rPr>
        <w:t xml:space="preserve"> </w:t>
      </w:r>
      <w:r>
        <w:rPr>
          <w:color w:val="231F20"/>
          <w:sz w:val="21"/>
        </w:rPr>
        <w:t>набуття повноправного членства в Європейському Союзі та в Організації Північноатлантичного</w:t>
      </w:r>
      <w:r>
        <w:rPr>
          <w:color w:val="231F20"/>
          <w:spacing w:val="-2"/>
          <w:sz w:val="21"/>
        </w:rPr>
        <w:t xml:space="preserve"> </w:t>
      </w:r>
      <w:r>
        <w:rPr>
          <w:color w:val="231F20"/>
          <w:sz w:val="21"/>
        </w:rPr>
        <w:t>договору;</w:t>
      </w:r>
    </w:p>
    <w:p w14:paraId="6E68D05C" w14:textId="77777777" w:rsidR="00DE575E" w:rsidRDefault="002E7560">
      <w:pPr>
        <w:pStyle w:val="ListParagraph"/>
        <w:numPr>
          <w:ilvl w:val="0"/>
          <w:numId w:val="264"/>
        </w:numPr>
        <w:tabs>
          <w:tab w:val="left" w:pos="1101"/>
        </w:tabs>
        <w:spacing w:line="252" w:lineRule="auto"/>
        <w:ind w:right="128" w:firstLine="284"/>
        <w:rPr>
          <w:sz w:val="21"/>
        </w:rPr>
      </w:pPr>
      <w:r>
        <w:rPr>
          <w:color w:val="231F20"/>
          <w:sz w:val="21"/>
        </w:rPr>
        <w:t>уживає  заходів  щодо  забезпечення  прав  і  свобод  людини   і</w:t>
      </w:r>
      <w:r>
        <w:rPr>
          <w:color w:val="231F20"/>
          <w:spacing w:val="-1"/>
          <w:sz w:val="21"/>
        </w:rPr>
        <w:t xml:space="preserve"> </w:t>
      </w:r>
      <w:r>
        <w:rPr>
          <w:color w:val="231F20"/>
          <w:sz w:val="21"/>
        </w:rPr>
        <w:t>гром</w:t>
      </w:r>
      <w:r>
        <w:rPr>
          <w:color w:val="231F20"/>
          <w:sz w:val="21"/>
        </w:rPr>
        <w:t>адянина;</w:t>
      </w:r>
    </w:p>
    <w:p w14:paraId="460E3A01" w14:textId="77777777" w:rsidR="00DE575E" w:rsidRDefault="002E7560">
      <w:pPr>
        <w:pStyle w:val="ListParagraph"/>
        <w:numPr>
          <w:ilvl w:val="0"/>
          <w:numId w:val="264"/>
        </w:numPr>
        <w:tabs>
          <w:tab w:val="left" w:pos="1101"/>
        </w:tabs>
        <w:spacing w:line="252" w:lineRule="auto"/>
        <w:ind w:right="126" w:firstLine="284"/>
        <w:rPr>
          <w:sz w:val="21"/>
        </w:rPr>
      </w:pPr>
      <w:r>
        <w:rPr>
          <w:color w:val="231F20"/>
          <w:sz w:val="21"/>
        </w:rPr>
        <w:t xml:space="preserve">забезпечує  проведення  фінансової,   цінової,   інвестицій-   ної та податкової політики, політики у сферах праці й зайнятості населення, соціального </w:t>
      </w:r>
      <w:r>
        <w:rPr>
          <w:color w:val="231F20"/>
          <w:spacing w:val="-3"/>
          <w:sz w:val="21"/>
        </w:rPr>
        <w:t xml:space="preserve">захисту, </w:t>
      </w:r>
      <w:r>
        <w:rPr>
          <w:color w:val="231F20"/>
          <w:sz w:val="21"/>
        </w:rPr>
        <w:t xml:space="preserve">освіти, науки, </w:t>
      </w:r>
      <w:r>
        <w:rPr>
          <w:color w:val="231F20"/>
          <w:spacing w:val="-3"/>
          <w:sz w:val="21"/>
        </w:rPr>
        <w:t xml:space="preserve">культури, </w:t>
      </w:r>
      <w:r>
        <w:rPr>
          <w:color w:val="231F20"/>
          <w:sz w:val="21"/>
        </w:rPr>
        <w:t>охорони природи, екологічної безпеки і</w:t>
      </w:r>
      <w:r>
        <w:rPr>
          <w:color w:val="231F20"/>
          <w:spacing w:val="-6"/>
          <w:sz w:val="21"/>
        </w:rPr>
        <w:t xml:space="preserve"> </w:t>
      </w:r>
      <w:r>
        <w:rPr>
          <w:color w:val="231F20"/>
          <w:sz w:val="21"/>
        </w:rPr>
        <w:t>природокористування;</w:t>
      </w:r>
    </w:p>
    <w:p w14:paraId="2AD41773" w14:textId="77777777" w:rsidR="00DE575E" w:rsidRDefault="002E7560">
      <w:pPr>
        <w:pStyle w:val="ListParagraph"/>
        <w:numPr>
          <w:ilvl w:val="0"/>
          <w:numId w:val="264"/>
        </w:numPr>
        <w:tabs>
          <w:tab w:val="left" w:pos="1101"/>
        </w:tabs>
        <w:spacing w:before="2" w:line="252" w:lineRule="auto"/>
        <w:ind w:right="128" w:firstLine="284"/>
        <w:rPr>
          <w:sz w:val="21"/>
        </w:rPr>
      </w:pPr>
      <w:r>
        <w:rPr>
          <w:color w:val="231F20"/>
          <w:sz w:val="21"/>
        </w:rPr>
        <w:t>ро</w:t>
      </w:r>
      <w:r>
        <w:rPr>
          <w:color w:val="231F20"/>
          <w:sz w:val="21"/>
        </w:rPr>
        <w:t xml:space="preserve">зробляє і здійснює загальнодержавні програми еконо- мічного, науково-технічного, соціального і культурного розвитку </w:t>
      </w:r>
      <w:r>
        <w:rPr>
          <w:color w:val="231F20"/>
          <w:spacing w:val="-3"/>
          <w:sz w:val="21"/>
        </w:rPr>
        <w:t>України;</w:t>
      </w:r>
    </w:p>
    <w:p w14:paraId="25945D83" w14:textId="77777777" w:rsidR="00DE575E" w:rsidRDefault="00DE575E">
      <w:pPr>
        <w:pStyle w:val="BodyText"/>
        <w:spacing w:before="6"/>
        <w:rPr>
          <w:sz w:val="12"/>
        </w:rPr>
      </w:pPr>
    </w:p>
    <w:p w14:paraId="47D4300C" w14:textId="77777777" w:rsidR="00DE575E" w:rsidRDefault="002E7560">
      <w:pPr>
        <w:spacing w:before="92"/>
        <w:ind w:left="533"/>
        <w:rPr>
          <w:rFonts w:ascii="Times New Roman"/>
          <w:sz w:val="20"/>
        </w:rPr>
      </w:pPr>
      <w:r>
        <w:rPr>
          <w:rFonts w:ascii="Times New Roman"/>
          <w:color w:val="231F20"/>
          <w:sz w:val="20"/>
        </w:rPr>
        <w:t>100</w:t>
      </w:r>
    </w:p>
    <w:p w14:paraId="324424D0" w14:textId="77777777" w:rsidR="00DE575E" w:rsidRDefault="00DE575E">
      <w:pPr>
        <w:rPr>
          <w:rFonts w:ascii="Times New Roman"/>
          <w:sz w:val="20"/>
        </w:rPr>
        <w:sectPr w:rsidR="00DE575E">
          <w:pgSz w:w="8510" w:h="12760"/>
          <w:pgMar w:top="660" w:right="720" w:bottom="280" w:left="600" w:header="720" w:footer="720" w:gutter="0"/>
          <w:cols w:space="720"/>
        </w:sectPr>
      </w:pPr>
    </w:p>
    <w:p w14:paraId="7B44FAFA"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205D4A99" w14:textId="0E5A920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1A4476B" wp14:editId="14DA1B6B">
                <wp:extent cx="4140200" cy="6350"/>
                <wp:effectExtent l="0" t="0" r="12700" b="6350"/>
                <wp:docPr id="1150"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51" name="Line 115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1E367D" id="Group_x0020_114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g8A1Gn4CAACcBQAADgAA&#10;AAAAAAAAAAAAAAAsAgAAZHJzL2Uyb0RvYy54bWxQSwECLQAUAAYACAAAACEATKewkNkAAAADAQAA&#10;DwAAAAAAAAAAAAAAAADWBAAAZHJzL2Rvd25yZXYueG1sUEsFBgAAAAAEAAQA8wAAANwFAAAAAA==&#10;">
                <v:line id="Line_x0020_115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jLnMUAAADdAAAADwAAAGRycy9kb3ducmV2LnhtbERPzWrCQBC+C32HZQq9SN1EqZTUVUqh&#10;ID1oTXyAMTtNQndnY3Y1aZ/eFQRv8/H9zmI1WCPO1PnGsYJ0koAgLp1uuFKwLz6fX0H4gKzROCYF&#10;f+RhtXwYLTDTrucdnfNQiRjCPkMFdQhtJqUva7LoJ64ljtyP6yyGCLtK6g77GG6NnCbJXFpsODbU&#10;2NJHTeVvfrIKiuM4mO/tl+mL7WEmD8fN7P+0UerpcXh/AxFoCHfxzb3WcX76ksL1m3iCX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pjLnMUAAADdAAAADwAAAAAAAAAA&#10;AAAAAAChAgAAZHJzL2Rvd25yZXYueG1sUEsFBgAAAAAEAAQA+QAAAJMDAAAAAA==&#10;" strokecolor="#231f20" strokeweight=".5pt"/>
                <w10:anchorlock/>
              </v:group>
            </w:pict>
          </mc:Fallback>
        </mc:AlternateContent>
      </w:r>
    </w:p>
    <w:p w14:paraId="36039A23" w14:textId="77777777" w:rsidR="00DE575E" w:rsidRDefault="00DE575E">
      <w:pPr>
        <w:pStyle w:val="BodyText"/>
        <w:spacing w:before="7"/>
        <w:rPr>
          <w:rFonts w:ascii="AdonisC"/>
          <w:i/>
          <w:sz w:val="19"/>
        </w:rPr>
      </w:pPr>
    </w:p>
    <w:p w14:paraId="433D004A" w14:textId="77777777" w:rsidR="00DE575E" w:rsidRDefault="002E7560">
      <w:pPr>
        <w:pStyle w:val="ListParagraph"/>
        <w:numPr>
          <w:ilvl w:val="0"/>
          <w:numId w:val="263"/>
        </w:numPr>
        <w:tabs>
          <w:tab w:val="left" w:pos="818"/>
        </w:tabs>
        <w:spacing w:line="252" w:lineRule="auto"/>
        <w:ind w:right="411" w:firstLine="283"/>
        <w:rPr>
          <w:sz w:val="21"/>
        </w:rPr>
      </w:pPr>
      <w:r>
        <w:rPr>
          <w:color w:val="231F20"/>
          <w:sz w:val="21"/>
        </w:rPr>
        <w:t xml:space="preserve">здійснює </w:t>
      </w:r>
      <w:r>
        <w:rPr>
          <w:color w:val="231F20"/>
          <w:spacing w:val="-2"/>
          <w:sz w:val="21"/>
        </w:rPr>
        <w:t xml:space="preserve">заходи </w:t>
      </w:r>
      <w:r>
        <w:rPr>
          <w:color w:val="231F20"/>
          <w:sz w:val="21"/>
        </w:rPr>
        <w:t>щодо забезпечення обороноздатності і</w:t>
      </w:r>
      <w:r>
        <w:rPr>
          <w:color w:val="231F20"/>
          <w:spacing w:val="-34"/>
          <w:sz w:val="21"/>
        </w:rPr>
        <w:t xml:space="preserve"> </w:t>
      </w:r>
      <w:r>
        <w:rPr>
          <w:color w:val="231F20"/>
          <w:sz w:val="21"/>
        </w:rPr>
        <w:t>націо- нальної</w:t>
      </w:r>
      <w:r>
        <w:rPr>
          <w:color w:val="231F20"/>
          <w:spacing w:val="-10"/>
          <w:sz w:val="21"/>
        </w:rPr>
        <w:t xml:space="preserve"> </w:t>
      </w:r>
      <w:r>
        <w:rPr>
          <w:color w:val="231F20"/>
          <w:sz w:val="21"/>
        </w:rPr>
        <w:t>безпеки</w:t>
      </w:r>
      <w:r>
        <w:rPr>
          <w:color w:val="231F20"/>
          <w:spacing w:val="-10"/>
          <w:sz w:val="21"/>
        </w:rPr>
        <w:t xml:space="preserve"> </w:t>
      </w:r>
      <w:r>
        <w:rPr>
          <w:color w:val="231F20"/>
          <w:spacing w:val="-3"/>
          <w:sz w:val="21"/>
        </w:rPr>
        <w:t>України,</w:t>
      </w:r>
      <w:r>
        <w:rPr>
          <w:color w:val="231F20"/>
          <w:spacing w:val="-10"/>
          <w:sz w:val="21"/>
        </w:rPr>
        <w:t xml:space="preserve"> </w:t>
      </w:r>
      <w:r>
        <w:rPr>
          <w:color w:val="231F20"/>
          <w:sz w:val="21"/>
        </w:rPr>
        <w:t>громадського</w:t>
      </w:r>
      <w:r>
        <w:rPr>
          <w:color w:val="231F20"/>
          <w:spacing w:val="-10"/>
          <w:sz w:val="21"/>
        </w:rPr>
        <w:t xml:space="preserve"> </w:t>
      </w:r>
      <w:r>
        <w:rPr>
          <w:color w:val="231F20"/>
          <w:spacing w:val="-3"/>
          <w:sz w:val="21"/>
        </w:rPr>
        <w:t>порядку,</w:t>
      </w:r>
      <w:r>
        <w:rPr>
          <w:color w:val="231F20"/>
          <w:spacing w:val="-10"/>
          <w:sz w:val="21"/>
        </w:rPr>
        <w:t xml:space="preserve"> </w:t>
      </w:r>
      <w:r>
        <w:rPr>
          <w:color w:val="231F20"/>
          <w:sz w:val="21"/>
        </w:rPr>
        <w:t>боротьби</w:t>
      </w:r>
      <w:r>
        <w:rPr>
          <w:color w:val="231F20"/>
          <w:spacing w:val="-10"/>
          <w:sz w:val="21"/>
        </w:rPr>
        <w:t xml:space="preserve"> </w:t>
      </w:r>
      <w:r>
        <w:rPr>
          <w:color w:val="231F20"/>
          <w:sz w:val="21"/>
        </w:rPr>
        <w:t>зі</w:t>
      </w:r>
      <w:r>
        <w:rPr>
          <w:color w:val="231F20"/>
          <w:spacing w:val="-10"/>
          <w:sz w:val="21"/>
        </w:rPr>
        <w:t xml:space="preserve"> </w:t>
      </w:r>
      <w:r>
        <w:rPr>
          <w:color w:val="231F20"/>
          <w:sz w:val="21"/>
        </w:rPr>
        <w:t>злочин- ністю.</w:t>
      </w:r>
    </w:p>
    <w:p w14:paraId="1640ECFA" w14:textId="77777777" w:rsidR="00DE575E" w:rsidRDefault="002E7560">
      <w:pPr>
        <w:pStyle w:val="BodyText"/>
        <w:spacing w:before="1" w:line="252" w:lineRule="auto"/>
        <w:ind w:left="250" w:right="411" w:firstLine="283"/>
        <w:jc w:val="both"/>
      </w:pPr>
      <w:r>
        <w:rPr>
          <w:color w:val="231F20"/>
        </w:rPr>
        <w:t>Саме Уряд України утворює, реорганізовує та ліквідовує відпо- відно до закону мін</w:t>
      </w:r>
      <w:r>
        <w:rPr>
          <w:color w:val="231F20"/>
        </w:rPr>
        <w:t>істерства та інші центральні органи виконавчої влади, діючи в межах коштів, передбачених на утримання органів виконавчої влади (п. 9</w:t>
      </w:r>
      <w:r>
        <w:rPr>
          <w:color w:val="231F20"/>
          <w:position w:val="7"/>
          <w:sz w:val="12"/>
        </w:rPr>
        <w:t xml:space="preserve">1 </w:t>
      </w:r>
      <w:r>
        <w:rPr>
          <w:color w:val="231F20"/>
        </w:rPr>
        <w:t>ч. 1 ст. 116 Конституції України).</w:t>
      </w:r>
    </w:p>
    <w:p w14:paraId="53D00158" w14:textId="77777777" w:rsidR="00DE575E" w:rsidRDefault="002E7560">
      <w:pPr>
        <w:pStyle w:val="BodyText"/>
        <w:spacing w:before="2" w:line="252" w:lineRule="auto"/>
        <w:ind w:left="250" w:right="409" w:firstLine="283"/>
        <w:jc w:val="both"/>
      </w:pPr>
      <w:r>
        <w:rPr>
          <w:color w:val="231F20"/>
        </w:rPr>
        <w:t>КМУ в межах своєї компетенції видає постанови й розпоря- дження, які є обов’язковими до</w:t>
      </w:r>
      <w:r>
        <w:rPr>
          <w:color w:val="231F20"/>
        </w:rPr>
        <w:t xml:space="preserve"> виконання. При цьому постанови – це акти нормативного характеру, тоді як розпорядження – це акти  з організаційно-розпорядчих та інших поточних питань. Прикла- дом</w:t>
      </w:r>
      <w:r>
        <w:rPr>
          <w:color w:val="231F20"/>
          <w:spacing w:val="21"/>
        </w:rPr>
        <w:t xml:space="preserve"> </w:t>
      </w:r>
      <w:r>
        <w:rPr>
          <w:color w:val="231F20"/>
        </w:rPr>
        <w:t>постанови</w:t>
      </w:r>
      <w:r>
        <w:rPr>
          <w:color w:val="231F20"/>
          <w:spacing w:val="21"/>
        </w:rPr>
        <w:t xml:space="preserve"> </w:t>
      </w:r>
      <w:r>
        <w:rPr>
          <w:color w:val="231F20"/>
        </w:rPr>
        <w:t>КМУ</w:t>
      </w:r>
      <w:r>
        <w:rPr>
          <w:color w:val="231F20"/>
          <w:spacing w:val="21"/>
        </w:rPr>
        <w:t xml:space="preserve"> </w:t>
      </w:r>
      <w:r>
        <w:rPr>
          <w:color w:val="231F20"/>
        </w:rPr>
        <w:t>є</w:t>
      </w:r>
      <w:r>
        <w:rPr>
          <w:color w:val="231F20"/>
          <w:spacing w:val="20"/>
        </w:rPr>
        <w:t xml:space="preserve"> </w:t>
      </w:r>
      <w:r>
        <w:rPr>
          <w:color w:val="231F20"/>
        </w:rPr>
        <w:t>Постанова</w:t>
      </w:r>
      <w:r>
        <w:rPr>
          <w:color w:val="231F20"/>
          <w:spacing w:val="21"/>
        </w:rPr>
        <w:t xml:space="preserve"> </w:t>
      </w:r>
      <w:r>
        <w:rPr>
          <w:color w:val="231F20"/>
        </w:rPr>
        <w:t>КМУ</w:t>
      </w:r>
      <w:r>
        <w:rPr>
          <w:color w:val="231F20"/>
          <w:spacing w:val="21"/>
        </w:rPr>
        <w:t xml:space="preserve"> </w:t>
      </w:r>
      <w:r>
        <w:rPr>
          <w:color w:val="231F20"/>
        </w:rPr>
        <w:t>від</w:t>
      </w:r>
      <w:r>
        <w:rPr>
          <w:color w:val="231F20"/>
          <w:spacing w:val="21"/>
        </w:rPr>
        <w:t xml:space="preserve"> </w:t>
      </w:r>
      <w:r>
        <w:rPr>
          <w:color w:val="231F20"/>
        </w:rPr>
        <w:t>18</w:t>
      </w:r>
      <w:r>
        <w:rPr>
          <w:color w:val="231F20"/>
          <w:spacing w:val="21"/>
        </w:rPr>
        <w:t xml:space="preserve"> </w:t>
      </w:r>
      <w:r>
        <w:rPr>
          <w:color w:val="231F20"/>
        </w:rPr>
        <w:t>серпня</w:t>
      </w:r>
      <w:r>
        <w:rPr>
          <w:color w:val="231F20"/>
          <w:spacing w:val="21"/>
        </w:rPr>
        <w:t xml:space="preserve"> </w:t>
      </w:r>
      <w:r>
        <w:rPr>
          <w:color w:val="231F20"/>
        </w:rPr>
        <w:t>2017</w:t>
      </w:r>
      <w:r>
        <w:rPr>
          <w:color w:val="231F20"/>
          <w:spacing w:val="3"/>
        </w:rPr>
        <w:t xml:space="preserve"> </w:t>
      </w:r>
      <w:r>
        <w:rPr>
          <w:color w:val="231F20"/>
        </w:rPr>
        <w:t>р.</w:t>
      </w:r>
      <w:r>
        <w:rPr>
          <w:color w:val="231F20"/>
          <w:spacing w:val="21"/>
        </w:rPr>
        <w:t xml:space="preserve"> </w:t>
      </w:r>
      <w:r>
        <w:rPr>
          <w:color w:val="231F20"/>
        </w:rPr>
        <w:t>№</w:t>
      </w:r>
      <w:r>
        <w:rPr>
          <w:color w:val="231F20"/>
          <w:spacing w:val="3"/>
        </w:rPr>
        <w:t xml:space="preserve"> </w:t>
      </w:r>
      <w:r>
        <w:rPr>
          <w:color w:val="231F20"/>
        </w:rPr>
        <w:t>648</w:t>
      </w:r>
    </w:p>
    <w:p w14:paraId="6DD07498" w14:textId="77777777" w:rsidR="00DE575E" w:rsidRDefault="002E7560">
      <w:pPr>
        <w:pStyle w:val="BodyText"/>
        <w:spacing w:before="3" w:line="252" w:lineRule="auto"/>
        <w:ind w:left="250" w:right="411"/>
        <w:jc w:val="both"/>
      </w:pPr>
      <w:r>
        <w:rPr>
          <w:color w:val="231F20"/>
        </w:rPr>
        <w:t>«Про внесення змін до Порядку проведення конкурсу на зайняття посад державної служби»; прикладом розпорядження КМУ – Розпорядження КМУ від 26 вересня 2018 р. № 681-р «Про затвер- дження плану заходів з проведення у 2018 році Всеукраїнського тижня права».</w:t>
      </w:r>
    </w:p>
    <w:p w14:paraId="7115CD13" w14:textId="77777777" w:rsidR="00DE575E" w:rsidRDefault="002E7560">
      <w:pPr>
        <w:pStyle w:val="BodyText"/>
        <w:spacing w:before="2" w:line="252" w:lineRule="auto"/>
        <w:ind w:left="250" w:right="411" w:firstLine="283"/>
        <w:jc w:val="both"/>
      </w:pPr>
      <w:r>
        <w:rPr>
          <w:color w:val="231F20"/>
        </w:rPr>
        <w:t>А</w:t>
      </w:r>
      <w:r>
        <w:rPr>
          <w:color w:val="231F20"/>
        </w:rPr>
        <w:t xml:space="preserve">кти Кабінету Міністрів </w:t>
      </w:r>
      <w:r>
        <w:rPr>
          <w:color w:val="231F20"/>
          <w:spacing w:val="-3"/>
        </w:rPr>
        <w:t xml:space="preserve">України </w:t>
      </w:r>
      <w:r>
        <w:rPr>
          <w:color w:val="231F20"/>
        </w:rPr>
        <w:t xml:space="preserve">підписує </w:t>
      </w:r>
      <w:r>
        <w:rPr>
          <w:color w:val="231F20"/>
          <w:spacing w:val="-3"/>
        </w:rPr>
        <w:t>Прем’єр-міністр України.</w:t>
      </w:r>
      <w:r>
        <w:rPr>
          <w:color w:val="231F20"/>
          <w:spacing w:val="-9"/>
        </w:rPr>
        <w:t xml:space="preserve"> </w:t>
      </w:r>
      <w:r>
        <w:rPr>
          <w:color w:val="231F20"/>
        </w:rPr>
        <w:t>КМУ</w:t>
      </w:r>
      <w:r>
        <w:rPr>
          <w:color w:val="231F20"/>
          <w:spacing w:val="-9"/>
        </w:rPr>
        <w:t xml:space="preserve"> </w:t>
      </w:r>
      <w:r>
        <w:rPr>
          <w:color w:val="231F20"/>
        </w:rPr>
        <w:t>спрямовує</w:t>
      </w:r>
      <w:r>
        <w:rPr>
          <w:color w:val="231F20"/>
          <w:spacing w:val="-9"/>
        </w:rPr>
        <w:t xml:space="preserve"> </w:t>
      </w:r>
      <w:r>
        <w:rPr>
          <w:color w:val="231F20"/>
        </w:rPr>
        <w:t>і</w:t>
      </w:r>
      <w:r>
        <w:rPr>
          <w:color w:val="231F20"/>
          <w:spacing w:val="-8"/>
        </w:rPr>
        <w:t xml:space="preserve"> </w:t>
      </w:r>
      <w:r>
        <w:rPr>
          <w:color w:val="231F20"/>
        </w:rPr>
        <w:t>координує</w:t>
      </w:r>
      <w:r>
        <w:rPr>
          <w:color w:val="231F20"/>
          <w:spacing w:val="-9"/>
        </w:rPr>
        <w:t xml:space="preserve"> </w:t>
      </w:r>
      <w:r>
        <w:rPr>
          <w:color w:val="231F20"/>
        </w:rPr>
        <w:t>роботу</w:t>
      </w:r>
      <w:r>
        <w:rPr>
          <w:color w:val="231F20"/>
          <w:spacing w:val="-9"/>
        </w:rPr>
        <w:t xml:space="preserve"> </w:t>
      </w:r>
      <w:r>
        <w:rPr>
          <w:color w:val="231F20"/>
        </w:rPr>
        <w:t>міністерств,</w:t>
      </w:r>
      <w:r>
        <w:rPr>
          <w:color w:val="231F20"/>
          <w:spacing w:val="-9"/>
        </w:rPr>
        <w:t xml:space="preserve"> </w:t>
      </w:r>
      <w:r>
        <w:rPr>
          <w:color w:val="231F20"/>
        </w:rPr>
        <w:t>інших</w:t>
      </w:r>
      <w:r>
        <w:rPr>
          <w:color w:val="231F20"/>
          <w:spacing w:val="-9"/>
        </w:rPr>
        <w:t xml:space="preserve"> </w:t>
      </w:r>
      <w:r>
        <w:rPr>
          <w:color w:val="231F20"/>
        </w:rPr>
        <w:t xml:space="preserve">орга- нів виконавчої влади (п. 9 ч. 1 </w:t>
      </w:r>
      <w:r>
        <w:rPr>
          <w:color w:val="231F20"/>
          <w:spacing w:val="-6"/>
        </w:rPr>
        <w:t xml:space="preserve">ст. </w:t>
      </w:r>
      <w:r>
        <w:rPr>
          <w:color w:val="231F20"/>
        </w:rPr>
        <w:t>116 Конституції</w:t>
      </w:r>
      <w:r>
        <w:rPr>
          <w:color w:val="231F20"/>
          <w:spacing w:val="-11"/>
        </w:rPr>
        <w:t xml:space="preserve"> </w:t>
      </w:r>
      <w:r>
        <w:rPr>
          <w:color w:val="231F20"/>
          <w:spacing w:val="-3"/>
        </w:rPr>
        <w:t>України).</w:t>
      </w:r>
    </w:p>
    <w:p w14:paraId="6C69346E" w14:textId="77777777" w:rsidR="00DE575E" w:rsidRDefault="00DE575E">
      <w:pPr>
        <w:pStyle w:val="BodyText"/>
        <w:spacing w:before="2"/>
        <w:rPr>
          <w:sz w:val="22"/>
        </w:rPr>
      </w:pPr>
    </w:p>
    <w:p w14:paraId="1B0D5AC5" w14:textId="77777777" w:rsidR="00DE575E" w:rsidRDefault="002E7560">
      <w:pPr>
        <w:pStyle w:val="Heading6"/>
        <w:numPr>
          <w:ilvl w:val="3"/>
          <w:numId w:val="265"/>
        </w:numPr>
        <w:tabs>
          <w:tab w:val="left" w:pos="1252"/>
        </w:tabs>
        <w:ind w:left="1251"/>
        <w:jc w:val="left"/>
      </w:pPr>
      <w:r>
        <w:rPr>
          <w:color w:val="231F20"/>
        </w:rPr>
        <w:t>Система центральних органів виконавчої</w:t>
      </w:r>
      <w:r>
        <w:rPr>
          <w:color w:val="231F20"/>
          <w:spacing w:val="-8"/>
        </w:rPr>
        <w:t xml:space="preserve"> </w:t>
      </w:r>
      <w:r>
        <w:rPr>
          <w:color w:val="231F20"/>
        </w:rPr>
        <w:t>влади</w:t>
      </w:r>
    </w:p>
    <w:p w14:paraId="6A600650" w14:textId="77777777" w:rsidR="00DE575E" w:rsidRDefault="002E7560">
      <w:pPr>
        <w:pStyle w:val="BodyText"/>
        <w:spacing w:before="12" w:line="252" w:lineRule="auto"/>
        <w:ind w:left="250" w:right="410" w:firstLine="283"/>
        <w:jc w:val="both"/>
      </w:pPr>
      <w:r>
        <w:rPr>
          <w:color w:val="231F20"/>
        </w:rPr>
        <w:t xml:space="preserve">В </w:t>
      </w:r>
      <w:r>
        <w:rPr>
          <w:color w:val="231F20"/>
          <w:spacing w:val="-3"/>
        </w:rPr>
        <w:t xml:space="preserve">Україні </w:t>
      </w:r>
      <w:r>
        <w:rPr>
          <w:color w:val="231F20"/>
        </w:rPr>
        <w:t>на центральні о</w:t>
      </w:r>
      <w:r>
        <w:rPr>
          <w:color w:val="231F20"/>
        </w:rPr>
        <w:t>ргани виконавчої влади та їх територі- альні</w:t>
      </w:r>
      <w:r>
        <w:rPr>
          <w:color w:val="231F20"/>
          <w:spacing w:val="-20"/>
        </w:rPr>
        <w:t xml:space="preserve"> </w:t>
      </w:r>
      <w:r>
        <w:rPr>
          <w:color w:val="231F20"/>
        </w:rPr>
        <w:t>органи</w:t>
      </w:r>
      <w:r>
        <w:rPr>
          <w:color w:val="231F20"/>
          <w:spacing w:val="-20"/>
        </w:rPr>
        <w:t xml:space="preserve"> </w:t>
      </w:r>
      <w:r>
        <w:rPr>
          <w:color w:val="231F20"/>
        </w:rPr>
        <w:t>на</w:t>
      </w:r>
      <w:r>
        <w:rPr>
          <w:color w:val="231F20"/>
          <w:spacing w:val="-20"/>
        </w:rPr>
        <w:t xml:space="preserve"> </w:t>
      </w:r>
      <w:r>
        <w:rPr>
          <w:color w:val="231F20"/>
        </w:rPr>
        <w:t>місцях</w:t>
      </w:r>
      <w:r>
        <w:rPr>
          <w:color w:val="231F20"/>
          <w:spacing w:val="-20"/>
        </w:rPr>
        <w:t xml:space="preserve"> </w:t>
      </w:r>
      <w:r>
        <w:rPr>
          <w:color w:val="231F20"/>
        </w:rPr>
        <w:t>лягає</w:t>
      </w:r>
      <w:r>
        <w:rPr>
          <w:color w:val="231F20"/>
          <w:spacing w:val="-20"/>
        </w:rPr>
        <w:t xml:space="preserve"> </w:t>
      </w:r>
      <w:r>
        <w:rPr>
          <w:color w:val="231F20"/>
        </w:rPr>
        <w:t>основне</w:t>
      </w:r>
      <w:r>
        <w:rPr>
          <w:color w:val="231F20"/>
          <w:spacing w:val="-20"/>
        </w:rPr>
        <w:t xml:space="preserve"> </w:t>
      </w:r>
      <w:r>
        <w:rPr>
          <w:color w:val="231F20"/>
        </w:rPr>
        <w:t>навантаження</w:t>
      </w:r>
      <w:r>
        <w:rPr>
          <w:color w:val="231F20"/>
          <w:spacing w:val="-20"/>
        </w:rPr>
        <w:t xml:space="preserve"> </w:t>
      </w:r>
      <w:r>
        <w:rPr>
          <w:color w:val="231F20"/>
        </w:rPr>
        <w:t>щодо</w:t>
      </w:r>
      <w:r>
        <w:rPr>
          <w:color w:val="231F20"/>
          <w:spacing w:val="-20"/>
        </w:rPr>
        <w:t xml:space="preserve"> </w:t>
      </w:r>
      <w:r>
        <w:rPr>
          <w:color w:val="231F20"/>
        </w:rPr>
        <w:t>публічного забезпечення прав, свобод і законних інтересів фізичних і юридич- них</w:t>
      </w:r>
      <w:r>
        <w:rPr>
          <w:color w:val="231F20"/>
          <w:spacing w:val="-13"/>
        </w:rPr>
        <w:t xml:space="preserve"> </w:t>
      </w:r>
      <w:r>
        <w:rPr>
          <w:color w:val="231F20"/>
        </w:rPr>
        <w:t>осіб,</w:t>
      </w:r>
      <w:r>
        <w:rPr>
          <w:color w:val="231F20"/>
          <w:spacing w:val="-13"/>
        </w:rPr>
        <w:t xml:space="preserve"> </w:t>
      </w:r>
      <w:r>
        <w:rPr>
          <w:color w:val="231F20"/>
        </w:rPr>
        <w:t>надання</w:t>
      </w:r>
      <w:r>
        <w:rPr>
          <w:color w:val="231F20"/>
          <w:spacing w:val="-13"/>
        </w:rPr>
        <w:t xml:space="preserve"> </w:t>
      </w:r>
      <w:r>
        <w:rPr>
          <w:color w:val="231F20"/>
        </w:rPr>
        <w:t>їм</w:t>
      </w:r>
      <w:r>
        <w:rPr>
          <w:color w:val="231F20"/>
          <w:spacing w:val="-13"/>
        </w:rPr>
        <w:t xml:space="preserve"> </w:t>
      </w:r>
      <w:r>
        <w:rPr>
          <w:color w:val="231F20"/>
        </w:rPr>
        <w:t>адміністративних</w:t>
      </w:r>
      <w:r>
        <w:rPr>
          <w:color w:val="231F20"/>
          <w:spacing w:val="-13"/>
        </w:rPr>
        <w:t xml:space="preserve"> </w:t>
      </w:r>
      <w:r>
        <w:rPr>
          <w:color w:val="231F20"/>
          <w:spacing w:val="-3"/>
        </w:rPr>
        <w:t>послуг,</w:t>
      </w:r>
      <w:r>
        <w:rPr>
          <w:color w:val="231F20"/>
          <w:spacing w:val="-13"/>
        </w:rPr>
        <w:t xml:space="preserve"> </w:t>
      </w:r>
      <w:r>
        <w:rPr>
          <w:color w:val="231F20"/>
        </w:rPr>
        <w:t>забезпечення</w:t>
      </w:r>
      <w:r>
        <w:rPr>
          <w:color w:val="231F20"/>
          <w:spacing w:val="-14"/>
        </w:rPr>
        <w:t xml:space="preserve"> </w:t>
      </w:r>
      <w:r>
        <w:rPr>
          <w:color w:val="231F20"/>
        </w:rPr>
        <w:t xml:space="preserve">інтересу держави та суспільства загалом. Відповідно до Закону </w:t>
      </w:r>
      <w:r>
        <w:rPr>
          <w:color w:val="231F20"/>
          <w:spacing w:val="-3"/>
        </w:rPr>
        <w:t xml:space="preserve">України </w:t>
      </w:r>
      <w:r>
        <w:rPr>
          <w:color w:val="231F20"/>
        </w:rPr>
        <w:t>від 17.03.2011 р. № 3166-VI «Про центральні органи виконавчої влади» систему</w:t>
      </w:r>
      <w:r>
        <w:rPr>
          <w:color w:val="231F20"/>
          <w:spacing w:val="-8"/>
        </w:rPr>
        <w:t xml:space="preserve"> </w:t>
      </w:r>
      <w:r>
        <w:rPr>
          <w:color w:val="231F20"/>
        </w:rPr>
        <w:t>центральних</w:t>
      </w:r>
      <w:r>
        <w:rPr>
          <w:color w:val="231F20"/>
          <w:spacing w:val="-8"/>
        </w:rPr>
        <w:t xml:space="preserve"> </w:t>
      </w:r>
      <w:r>
        <w:rPr>
          <w:color w:val="231F20"/>
        </w:rPr>
        <w:t>органів</w:t>
      </w:r>
      <w:r>
        <w:rPr>
          <w:color w:val="231F20"/>
          <w:spacing w:val="-8"/>
        </w:rPr>
        <w:t xml:space="preserve"> </w:t>
      </w:r>
      <w:r>
        <w:rPr>
          <w:color w:val="231F20"/>
        </w:rPr>
        <w:t>виконавчої</w:t>
      </w:r>
      <w:r>
        <w:rPr>
          <w:color w:val="231F20"/>
          <w:spacing w:val="-8"/>
        </w:rPr>
        <w:t xml:space="preserve"> </w:t>
      </w:r>
      <w:r>
        <w:rPr>
          <w:color w:val="231F20"/>
        </w:rPr>
        <w:t>влади</w:t>
      </w:r>
      <w:r>
        <w:rPr>
          <w:color w:val="231F20"/>
          <w:spacing w:val="-8"/>
        </w:rPr>
        <w:t xml:space="preserve"> </w:t>
      </w:r>
      <w:r>
        <w:rPr>
          <w:color w:val="231F20"/>
        </w:rPr>
        <w:t>складають</w:t>
      </w:r>
      <w:r>
        <w:rPr>
          <w:color w:val="231F20"/>
          <w:spacing w:val="-8"/>
        </w:rPr>
        <w:t xml:space="preserve"> </w:t>
      </w:r>
      <w:r>
        <w:rPr>
          <w:color w:val="231F20"/>
        </w:rPr>
        <w:t>міністер- ства та інші центральні органи виконавчої</w:t>
      </w:r>
      <w:r>
        <w:rPr>
          <w:color w:val="231F20"/>
          <w:spacing w:val="-6"/>
        </w:rPr>
        <w:t xml:space="preserve"> </w:t>
      </w:r>
      <w:r>
        <w:rPr>
          <w:color w:val="231F20"/>
        </w:rPr>
        <w:t>влади.</w:t>
      </w:r>
    </w:p>
    <w:p w14:paraId="00DF2799" w14:textId="77777777" w:rsidR="00DE575E" w:rsidRDefault="002E7560">
      <w:pPr>
        <w:pStyle w:val="BodyText"/>
        <w:spacing w:before="4" w:line="252" w:lineRule="auto"/>
        <w:ind w:left="250" w:right="410" w:firstLine="283"/>
        <w:jc w:val="both"/>
      </w:pPr>
      <w:r>
        <w:rPr>
          <w:color w:val="231F20"/>
        </w:rPr>
        <w:t xml:space="preserve">Для позначення цієї численної групи Конституція </w:t>
      </w:r>
      <w:r>
        <w:rPr>
          <w:color w:val="231F20"/>
          <w:spacing w:val="-3"/>
        </w:rPr>
        <w:t xml:space="preserve">України </w:t>
      </w:r>
      <w:r>
        <w:rPr>
          <w:color w:val="231F20"/>
        </w:rPr>
        <w:t xml:space="preserve">вико- ристовує формулювання «міністерства та інші центральні органи виконавчої влади». </w:t>
      </w:r>
      <w:r>
        <w:rPr>
          <w:color w:val="231F20"/>
          <w:spacing w:val="-4"/>
        </w:rPr>
        <w:t xml:space="preserve">Так, </w:t>
      </w:r>
      <w:r>
        <w:rPr>
          <w:color w:val="231F20"/>
        </w:rPr>
        <w:t xml:space="preserve">у Конституції </w:t>
      </w:r>
      <w:r>
        <w:rPr>
          <w:color w:val="231F20"/>
          <w:spacing w:val="-3"/>
        </w:rPr>
        <w:t xml:space="preserve">України </w:t>
      </w:r>
      <w:r>
        <w:rPr>
          <w:color w:val="231F20"/>
        </w:rPr>
        <w:t xml:space="preserve">визначено лише  один вид центральних органів виконавчої влади – міністерства, тоді як </w:t>
      </w:r>
      <w:r>
        <w:rPr>
          <w:color w:val="231F20"/>
        </w:rPr>
        <w:t xml:space="preserve">інші, виходячи з її положень, мають визначатися законами. Проте аналіз законодавства </w:t>
      </w:r>
      <w:r>
        <w:rPr>
          <w:color w:val="231F20"/>
          <w:spacing w:val="-3"/>
        </w:rPr>
        <w:t xml:space="preserve">України </w:t>
      </w:r>
      <w:r>
        <w:rPr>
          <w:color w:val="231F20"/>
        </w:rPr>
        <w:t>дозволяє зробити висновок, що в правовому статусі і міністерств, і  інших  центральних  орга- нів виконавчої  влади  можна  виділити  й  конституційно-правові,  й</w:t>
      </w:r>
      <w:r>
        <w:rPr>
          <w:color w:val="231F20"/>
          <w:spacing w:val="20"/>
        </w:rPr>
        <w:t xml:space="preserve"> </w:t>
      </w:r>
      <w:r>
        <w:rPr>
          <w:color w:val="231F20"/>
        </w:rPr>
        <w:t>адміністративно-правові</w:t>
      </w:r>
      <w:r>
        <w:rPr>
          <w:color w:val="231F20"/>
          <w:spacing w:val="20"/>
        </w:rPr>
        <w:t xml:space="preserve"> </w:t>
      </w:r>
      <w:r>
        <w:rPr>
          <w:color w:val="231F20"/>
        </w:rPr>
        <w:t>аспекти,</w:t>
      </w:r>
      <w:r>
        <w:rPr>
          <w:color w:val="231F20"/>
          <w:spacing w:val="20"/>
        </w:rPr>
        <w:t xml:space="preserve"> </w:t>
      </w:r>
      <w:r>
        <w:rPr>
          <w:color w:val="231F20"/>
        </w:rPr>
        <w:t>хоча</w:t>
      </w:r>
      <w:r>
        <w:rPr>
          <w:color w:val="231F20"/>
          <w:spacing w:val="20"/>
        </w:rPr>
        <w:t xml:space="preserve"> </w:t>
      </w:r>
      <w:r>
        <w:rPr>
          <w:color w:val="231F20"/>
        </w:rPr>
        <w:t>можна</w:t>
      </w:r>
      <w:r>
        <w:rPr>
          <w:color w:val="231F20"/>
          <w:spacing w:val="20"/>
        </w:rPr>
        <w:t xml:space="preserve"> </w:t>
      </w:r>
      <w:r>
        <w:rPr>
          <w:color w:val="231F20"/>
        </w:rPr>
        <w:t>дискутувати</w:t>
      </w:r>
      <w:r>
        <w:rPr>
          <w:color w:val="231F20"/>
          <w:spacing w:val="20"/>
        </w:rPr>
        <w:t xml:space="preserve"> </w:t>
      </w:r>
      <w:r>
        <w:rPr>
          <w:color w:val="231F20"/>
        </w:rPr>
        <w:t>щодо</w:t>
      </w:r>
    </w:p>
    <w:p w14:paraId="0BFEC7B7" w14:textId="77777777" w:rsidR="00DE575E" w:rsidRDefault="00DE575E">
      <w:pPr>
        <w:pStyle w:val="BodyText"/>
        <w:spacing w:before="9"/>
        <w:rPr>
          <w:sz w:val="12"/>
        </w:rPr>
      </w:pPr>
    </w:p>
    <w:p w14:paraId="4840749F" w14:textId="77777777" w:rsidR="00DE575E" w:rsidRDefault="002E7560">
      <w:pPr>
        <w:spacing w:before="92"/>
        <w:ind w:right="411"/>
        <w:jc w:val="right"/>
        <w:rPr>
          <w:rFonts w:ascii="Times New Roman"/>
          <w:sz w:val="20"/>
        </w:rPr>
      </w:pPr>
      <w:r>
        <w:rPr>
          <w:rFonts w:ascii="Times New Roman"/>
          <w:color w:val="231F20"/>
          <w:w w:val="90"/>
          <w:sz w:val="20"/>
        </w:rPr>
        <w:t>101</w:t>
      </w:r>
    </w:p>
    <w:p w14:paraId="6BC6E57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85F005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F9C12D7" w14:textId="1609658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EF1333B" wp14:editId="780FED24">
                <wp:extent cx="4140200" cy="6350"/>
                <wp:effectExtent l="0" t="0" r="12700" b="6350"/>
                <wp:docPr id="1148"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49" name="Line 114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5BB9D" id="Group_x0020_114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Wxan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RFsWp/AgAAnAUAAA4A&#10;AAAAAAAAAAAAAAAALAIAAGRycy9lMm9Eb2MueG1sUEsBAi0AFAAGAAgAAAAhAEynsJDZAAAAAwEA&#10;AA8AAAAAAAAAAAAAAAAA1wQAAGRycy9kb3ducmV2LnhtbFBLBQYAAAAABAAEAPMAAADdBQAAAAA=&#10;">
                <v:line id="Line_x0020_114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dRR8UAAADdAAAADwAAAGRycy9kb3ducmV2LnhtbERPzWrCQBC+C77DMkIvRTfWIhpdRYRC&#10;6UFb4wOM2TEJ7s7G7GrSPn23UPA2H9/vLNedNeJOja8cKxiPEhDEudMVFwqO2dtwBsIHZI3GMSn4&#10;Jg/rVb+3xFS7lr/ofgiFiCHsU1RQhlCnUvq8JIt+5GriyJ1dYzFE2BRSN9jGcGvkS5JMpcWKY0OJ&#10;NW1Lyi+Hm1WQXZ+D+dx/mDbbnybydN1Nfm47pZ4G3WYBIlAXHuJ/97uO88evc/j7Jp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dRR8UAAADdAAAADwAAAAAAAAAA&#10;AAAAAAChAgAAZHJzL2Rvd25yZXYueG1sUEsFBgAAAAAEAAQA+QAAAJMDAAAAAA==&#10;" strokecolor="#231f20" strokeweight=".5pt"/>
                <w10:anchorlock/>
              </v:group>
            </w:pict>
          </mc:Fallback>
        </mc:AlternateContent>
      </w:r>
    </w:p>
    <w:p w14:paraId="218BC622" w14:textId="77777777" w:rsidR="00DE575E" w:rsidRDefault="00DE575E">
      <w:pPr>
        <w:pStyle w:val="BodyText"/>
        <w:spacing w:before="7"/>
        <w:rPr>
          <w:rFonts w:ascii="AdonisC"/>
          <w:i/>
          <w:sz w:val="11"/>
        </w:rPr>
      </w:pPr>
    </w:p>
    <w:p w14:paraId="0A3CBBEE" w14:textId="77777777" w:rsidR="00DE575E" w:rsidRDefault="002E7560">
      <w:pPr>
        <w:pStyle w:val="BodyText"/>
        <w:spacing w:before="101" w:line="252" w:lineRule="auto"/>
        <w:ind w:left="533" w:right="127"/>
        <w:jc w:val="both"/>
      </w:pPr>
      <w:r>
        <w:rPr>
          <w:color w:val="231F20"/>
        </w:rPr>
        <w:t xml:space="preserve">їх співвідношення. </w:t>
      </w:r>
      <w:r>
        <w:rPr>
          <w:color w:val="231F20"/>
          <w:spacing w:val="-4"/>
        </w:rPr>
        <w:t xml:space="preserve">Так, </w:t>
      </w:r>
      <w:r>
        <w:rPr>
          <w:color w:val="231F20"/>
        </w:rPr>
        <w:t xml:space="preserve">Конституція </w:t>
      </w:r>
      <w:r>
        <w:rPr>
          <w:color w:val="231F20"/>
          <w:spacing w:val="-3"/>
        </w:rPr>
        <w:t xml:space="preserve">України </w:t>
      </w:r>
      <w:r>
        <w:rPr>
          <w:color w:val="231F20"/>
        </w:rPr>
        <w:t xml:space="preserve">містить норми щодо </w:t>
      </w:r>
      <w:r>
        <w:rPr>
          <w:color w:val="231F20"/>
          <w:spacing w:val="-3"/>
        </w:rPr>
        <w:t xml:space="preserve">суб’єкта  </w:t>
      </w:r>
      <w:r>
        <w:rPr>
          <w:color w:val="231F20"/>
        </w:rPr>
        <w:t xml:space="preserve">утворення,  реорганізації,  ліквідації  як  міністерств,  так   й інших центральних органів виконавчої влади (ним є Кабінет Міністрів </w:t>
      </w:r>
      <w:r>
        <w:rPr>
          <w:color w:val="231F20"/>
          <w:spacing w:val="-3"/>
        </w:rPr>
        <w:t xml:space="preserve">України </w:t>
      </w:r>
      <w:r>
        <w:rPr>
          <w:color w:val="231F20"/>
        </w:rPr>
        <w:t>– ві</w:t>
      </w:r>
      <w:r>
        <w:rPr>
          <w:color w:val="231F20"/>
        </w:rPr>
        <w:t xml:space="preserve">дповідно до п. 91 ч. 1 </w:t>
      </w:r>
      <w:r>
        <w:rPr>
          <w:color w:val="231F20"/>
          <w:spacing w:val="-6"/>
        </w:rPr>
        <w:t xml:space="preserve">ст. </w:t>
      </w:r>
      <w:r>
        <w:rPr>
          <w:color w:val="231F20"/>
        </w:rPr>
        <w:t xml:space="preserve">116 Конституції </w:t>
      </w:r>
      <w:r>
        <w:rPr>
          <w:color w:val="231F20"/>
          <w:spacing w:val="-3"/>
        </w:rPr>
        <w:t xml:space="preserve">України), суб’єктів </w:t>
      </w:r>
      <w:r>
        <w:rPr>
          <w:color w:val="231F20"/>
        </w:rPr>
        <w:t xml:space="preserve">призначення на посади та звільнення з посад міністрів (Верховна Рада </w:t>
      </w:r>
      <w:r>
        <w:rPr>
          <w:color w:val="231F20"/>
          <w:spacing w:val="-3"/>
        </w:rPr>
        <w:t xml:space="preserve">України </w:t>
      </w:r>
      <w:r>
        <w:rPr>
          <w:color w:val="231F20"/>
        </w:rPr>
        <w:t xml:space="preserve">– відповідно до п. 12 </w:t>
      </w:r>
      <w:r>
        <w:rPr>
          <w:color w:val="231F20"/>
          <w:spacing w:val="-6"/>
        </w:rPr>
        <w:t xml:space="preserve">ст. </w:t>
      </w:r>
      <w:r>
        <w:rPr>
          <w:color w:val="231F20"/>
        </w:rPr>
        <w:t xml:space="preserve">85 Конс- титуції </w:t>
      </w:r>
      <w:r>
        <w:rPr>
          <w:color w:val="231F20"/>
          <w:spacing w:val="-3"/>
        </w:rPr>
        <w:t xml:space="preserve">України), </w:t>
      </w:r>
      <w:r>
        <w:rPr>
          <w:color w:val="231F20"/>
        </w:rPr>
        <w:t>а також керівників центральних органів виконав- чої</w:t>
      </w:r>
      <w:r>
        <w:rPr>
          <w:color w:val="231F20"/>
          <w:spacing w:val="-7"/>
        </w:rPr>
        <w:t xml:space="preserve"> </w:t>
      </w:r>
      <w:r>
        <w:rPr>
          <w:color w:val="231F20"/>
        </w:rPr>
        <w:t>влади,</w:t>
      </w:r>
      <w:r>
        <w:rPr>
          <w:color w:val="231F20"/>
          <w:spacing w:val="-7"/>
        </w:rPr>
        <w:t xml:space="preserve"> </w:t>
      </w:r>
      <w:r>
        <w:rPr>
          <w:color w:val="231F20"/>
        </w:rPr>
        <w:t>які</w:t>
      </w:r>
      <w:r>
        <w:rPr>
          <w:color w:val="231F20"/>
          <w:spacing w:val="-7"/>
        </w:rPr>
        <w:t xml:space="preserve"> </w:t>
      </w:r>
      <w:r>
        <w:rPr>
          <w:color w:val="231F20"/>
        </w:rPr>
        <w:t>не</w:t>
      </w:r>
      <w:r>
        <w:rPr>
          <w:color w:val="231F20"/>
          <w:spacing w:val="-7"/>
        </w:rPr>
        <w:t xml:space="preserve"> </w:t>
      </w:r>
      <w:r>
        <w:rPr>
          <w:color w:val="231F20"/>
        </w:rPr>
        <w:t>входять</w:t>
      </w:r>
      <w:r>
        <w:rPr>
          <w:color w:val="231F20"/>
          <w:spacing w:val="-7"/>
        </w:rPr>
        <w:t xml:space="preserve"> </w:t>
      </w:r>
      <w:r>
        <w:rPr>
          <w:color w:val="231F20"/>
        </w:rPr>
        <w:t>до</w:t>
      </w:r>
      <w:r>
        <w:rPr>
          <w:color w:val="231F20"/>
          <w:spacing w:val="-7"/>
        </w:rPr>
        <w:t xml:space="preserve"> </w:t>
      </w:r>
      <w:r>
        <w:rPr>
          <w:color w:val="231F20"/>
        </w:rPr>
        <w:t>складу</w:t>
      </w:r>
      <w:r>
        <w:rPr>
          <w:color w:val="231F20"/>
          <w:spacing w:val="-7"/>
        </w:rPr>
        <w:t xml:space="preserve"> </w:t>
      </w:r>
      <w:r>
        <w:rPr>
          <w:color w:val="231F20"/>
        </w:rPr>
        <w:t>Кабінету</w:t>
      </w:r>
      <w:r>
        <w:rPr>
          <w:color w:val="231F20"/>
          <w:spacing w:val="-7"/>
        </w:rPr>
        <w:t xml:space="preserve"> </w:t>
      </w:r>
      <w:r>
        <w:rPr>
          <w:color w:val="231F20"/>
        </w:rPr>
        <w:t>Міністрів</w:t>
      </w:r>
      <w:r>
        <w:rPr>
          <w:color w:val="231F20"/>
          <w:spacing w:val="-7"/>
        </w:rPr>
        <w:t xml:space="preserve"> </w:t>
      </w:r>
      <w:r>
        <w:rPr>
          <w:color w:val="231F20"/>
          <w:spacing w:val="-3"/>
        </w:rPr>
        <w:t>України</w:t>
      </w:r>
      <w:r>
        <w:rPr>
          <w:color w:val="231F20"/>
          <w:spacing w:val="-7"/>
        </w:rPr>
        <w:t xml:space="preserve"> </w:t>
      </w:r>
      <w:r>
        <w:rPr>
          <w:color w:val="231F20"/>
        </w:rPr>
        <w:t xml:space="preserve">(Кабі- нет Міністрів </w:t>
      </w:r>
      <w:r>
        <w:rPr>
          <w:color w:val="231F20"/>
          <w:spacing w:val="-3"/>
        </w:rPr>
        <w:t xml:space="preserve">України </w:t>
      </w:r>
      <w:r>
        <w:rPr>
          <w:color w:val="231F20"/>
        </w:rPr>
        <w:t xml:space="preserve">– відповідно до п. 92 ч. 1 </w:t>
      </w:r>
      <w:r>
        <w:rPr>
          <w:color w:val="231F20"/>
          <w:spacing w:val="-6"/>
        </w:rPr>
        <w:t xml:space="preserve">ст. </w:t>
      </w:r>
      <w:r>
        <w:rPr>
          <w:color w:val="231F20"/>
        </w:rPr>
        <w:t xml:space="preserve">116 Конституції </w:t>
      </w:r>
      <w:r>
        <w:rPr>
          <w:color w:val="231F20"/>
          <w:spacing w:val="-3"/>
        </w:rPr>
        <w:t xml:space="preserve">України).  </w:t>
      </w:r>
      <w:r>
        <w:rPr>
          <w:color w:val="231F20"/>
        </w:rPr>
        <w:t xml:space="preserve">Конституцією  </w:t>
      </w:r>
      <w:r>
        <w:rPr>
          <w:color w:val="231F20"/>
          <w:spacing w:val="-3"/>
        </w:rPr>
        <w:t xml:space="preserve">України   </w:t>
      </w:r>
      <w:r>
        <w:rPr>
          <w:color w:val="231F20"/>
        </w:rPr>
        <w:t>також  визначено,  що  діяльність і міністерств, і інших центральних органів виконавчої влади спр</w:t>
      </w:r>
      <w:r>
        <w:rPr>
          <w:color w:val="231F20"/>
        </w:rPr>
        <w:t>я- мовується</w:t>
      </w:r>
      <w:r>
        <w:rPr>
          <w:color w:val="231F20"/>
          <w:spacing w:val="-13"/>
        </w:rPr>
        <w:t xml:space="preserve"> </w:t>
      </w:r>
      <w:r>
        <w:rPr>
          <w:color w:val="231F20"/>
        </w:rPr>
        <w:t>й</w:t>
      </w:r>
      <w:r>
        <w:rPr>
          <w:color w:val="231F20"/>
          <w:spacing w:val="-13"/>
        </w:rPr>
        <w:t xml:space="preserve"> </w:t>
      </w:r>
      <w:r>
        <w:rPr>
          <w:color w:val="231F20"/>
        </w:rPr>
        <w:t>координується</w:t>
      </w:r>
      <w:r>
        <w:rPr>
          <w:color w:val="231F20"/>
          <w:spacing w:val="-13"/>
        </w:rPr>
        <w:t xml:space="preserve"> </w:t>
      </w:r>
      <w:r>
        <w:rPr>
          <w:color w:val="231F20"/>
        </w:rPr>
        <w:t>Кабінетом</w:t>
      </w:r>
      <w:r>
        <w:rPr>
          <w:color w:val="231F20"/>
          <w:spacing w:val="-13"/>
        </w:rPr>
        <w:t xml:space="preserve"> </w:t>
      </w:r>
      <w:r>
        <w:rPr>
          <w:color w:val="231F20"/>
        </w:rPr>
        <w:t>Міністрів</w:t>
      </w:r>
      <w:r>
        <w:rPr>
          <w:color w:val="231F20"/>
          <w:spacing w:val="-13"/>
        </w:rPr>
        <w:t xml:space="preserve"> </w:t>
      </w:r>
      <w:r>
        <w:rPr>
          <w:color w:val="231F20"/>
          <w:spacing w:val="-3"/>
        </w:rPr>
        <w:t>України.</w:t>
      </w:r>
      <w:r>
        <w:rPr>
          <w:color w:val="231F20"/>
          <w:spacing w:val="-13"/>
        </w:rPr>
        <w:t xml:space="preserve"> </w:t>
      </w:r>
      <w:r>
        <w:rPr>
          <w:color w:val="231F20"/>
        </w:rPr>
        <w:t xml:space="preserve">Відповідно до </w:t>
      </w:r>
      <w:r>
        <w:rPr>
          <w:color w:val="231F20"/>
          <w:spacing w:val="-6"/>
        </w:rPr>
        <w:t xml:space="preserve">ст. </w:t>
      </w:r>
      <w:r>
        <w:rPr>
          <w:color w:val="231F20"/>
        </w:rPr>
        <w:t xml:space="preserve">117 Конституції </w:t>
      </w:r>
      <w:r>
        <w:rPr>
          <w:color w:val="231F20"/>
          <w:spacing w:val="-3"/>
        </w:rPr>
        <w:t xml:space="preserve">України </w:t>
      </w:r>
      <w:r>
        <w:rPr>
          <w:color w:val="231F20"/>
        </w:rPr>
        <w:t>нормативно-правові акти</w:t>
      </w:r>
      <w:r>
        <w:rPr>
          <w:color w:val="231F20"/>
          <w:spacing w:val="-34"/>
        </w:rPr>
        <w:t xml:space="preserve"> </w:t>
      </w:r>
      <w:r>
        <w:rPr>
          <w:color w:val="231F20"/>
        </w:rPr>
        <w:t xml:space="preserve">міністерств і інших центральних органів виконавчої влади підлягають реєстра- ції в </w:t>
      </w:r>
      <w:r>
        <w:rPr>
          <w:color w:val="231F20"/>
          <w:spacing w:val="-3"/>
        </w:rPr>
        <w:t xml:space="preserve">порядку, </w:t>
      </w:r>
      <w:r>
        <w:rPr>
          <w:color w:val="231F20"/>
        </w:rPr>
        <w:t xml:space="preserve">установленому законом. </w:t>
      </w:r>
      <w:r>
        <w:rPr>
          <w:color w:val="231F20"/>
          <w:spacing w:val="-4"/>
        </w:rPr>
        <w:t xml:space="preserve">Таким </w:t>
      </w:r>
      <w:r>
        <w:rPr>
          <w:color w:val="231F20"/>
        </w:rPr>
        <w:t xml:space="preserve">чином, Конституція </w:t>
      </w:r>
      <w:r>
        <w:rPr>
          <w:color w:val="231F20"/>
          <w:spacing w:val="-3"/>
        </w:rPr>
        <w:t xml:space="preserve">України </w:t>
      </w:r>
      <w:r>
        <w:rPr>
          <w:color w:val="231F20"/>
        </w:rPr>
        <w:t>закладає підвалини правового статусу і міністерств, і інших центральних органів виконавчої</w:t>
      </w:r>
      <w:r>
        <w:rPr>
          <w:color w:val="231F20"/>
          <w:spacing w:val="-3"/>
        </w:rPr>
        <w:t xml:space="preserve"> </w:t>
      </w:r>
      <w:r>
        <w:rPr>
          <w:color w:val="231F20"/>
        </w:rPr>
        <w:t>влади.</w:t>
      </w:r>
    </w:p>
    <w:p w14:paraId="57024811" w14:textId="77777777" w:rsidR="00DE575E" w:rsidRDefault="002E7560">
      <w:pPr>
        <w:pStyle w:val="BodyText"/>
        <w:spacing w:before="8" w:line="252" w:lineRule="auto"/>
        <w:ind w:left="533" w:right="126" w:firstLine="283"/>
        <w:jc w:val="both"/>
      </w:pPr>
      <w:r>
        <w:rPr>
          <w:color w:val="231F20"/>
        </w:rPr>
        <w:t>Потрібно зазначити, що центральний рівень системи органів виконавчої</w:t>
      </w:r>
      <w:r>
        <w:rPr>
          <w:color w:val="231F20"/>
          <w:spacing w:val="-15"/>
        </w:rPr>
        <w:t xml:space="preserve"> </w:t>
      </w:r>
      <w:r>
        <w:rPr>
          <w:color w:val="231F20"/>
        </w:rPr>
        <w:t>влади</w:t>
      </w:r>
      <w:r>
        <w:rPr>
          <w:color w:val="231F20"/>
          <w:spacing w:val="-15"/>
        </w:rPr>
        <w:t xml:space="preserve"> </w:t>
      </w:r>
      <w:r>
        <w:rPr>
          <w:color w:val="231F20"/>
        </w:rPr>
        <w:t>зазнавав</w:t>
      </w:r>
      <w:r>
        <w:rPr>
          <w:color w:val="231F20"/>
          <w:spacing w:val="-15"/>
        </w:rPr>
        <w:t xml:space="preserve"> </w:t>
      </w:r>
      <w:r>
        <w:rPr>
          <w:color w:val="231F20"/>
        </w:rPr>
        <w:t>чи</w:t>
      </w:r>
      <w:r>
        <w:rPr>
          <w:color w:val="231F20"/>
          <w:spacing w:val="-15"/>
        </w:rPr>
        <w:t xml:space="preserve"> </w:t>
      </w:r>
      <w:r>
        <w:rPr>
          <w:color w:val="231F20"/>
        </w:rPr>
        <w:t>не</w:t>
      </w:r>
      <w:r>
        <w:rPr>
          <w:color w:val="231F20"/>
          <w:spacing w:val="-15"/>
        </w:rPr>
        <w:t xml:space="preserve"> </w:t>
      </w:r>
      <w:r>
        <w:rPr>
          <w:color w:val="231F20"/>
        </w:rPr>
        <w:t>найсильнішого</w:t>
      </w:r>
      <w:r>
        <w:rPr>
          <w:color w:val="231F20"/>
          <w:spacing w:val="-15"/>
        </w:rPr>
        <w:t xml:space="preserve"> </w:t>
      </w:r>
      <w:r>
        <w:rPr>
          <w:color w:val="231F20"/>
        </w:rPr>
        <w:t>політичного</w:t>
      </w:r>
      <w:r>
        <w:rPr>
          <w:color w:val="231F20"/>
          <w:spacing w:val="-15"/>
        </w:rPr>
        <w:t xml:space="preserve"> </w:t>
      </w:r>
      <w:r>
        <w:rPr>
          <w:color w:val="231F20"/>
        </w:rPr>
        <w:t>впливу упродовж</w:t>
      </w:r>
      <w:r>
        <w:rPr>
          <w:color w:val="231F20"/>
        </w:rPr>
        <w:t xml:space="preserve"> усіх етапів реформи публічної адміністрації в </w:t>
      </w:r>
      <w:r>
        <w:rPr>
          <w:color w:val="231F20"/>
          <w:spacing w:val="-3"/>
        </w:rPr>
        <w:t xml:space="preserve">Україні. </w:t>
      </w:r>
      <w:r>
        <w:rPr>
          <w:color w:val="231F20"/>
        </w:rPr>
        <w:t xml:space="preserve">Однією з причин цього є те, що Конституція </w:t>
      </w:r>
      <w:r>
        <w:rPr>
          <w:color w:val="231F20"/>
          <w:spacing w:val="-3"/>
        </w:rPr>
        <w:t xml:space="preserve">Україна </w:t>
      </w:r>
      <w:r>
        <w:rPr>
          <w:color w:val="231F20"/>
        </w:rPr>
        <w:t xml:space="preserve">не містить вичерпного переліку організаційно-правових форм центральних органів виконавчої влади. Вона оперує загальним формулюван- ням «міністерства </w:t>
      </w:r>
      <w:r>
        <w:rPr>
          <w:color w:val="231F20"/>
        </w:rPr>
        <w:t xml:space="preserve">та інші центральні органи  виконавчої  влади». Це формулювання призводить до проблем у процесі організації та функціонування системи центральних органів виконавчої влади. Відповідно до </w:t>
      </w:r>
      <w:r>
        <w:rPr>
          <w:color w:val="231F20"/>
          <w:spacing w:val="-6"/>
        </w:rPr>
        <w:t xml:space="preserve">ст. </w:t>
      </w:r>
      <w:r>
        <w:rPr>
          <w:color w:val="231F20"/>
        </w:rPr>
        <w:t xml:space="preserve">92 Конституції </w:t>
      </w:r>
      <w:r>
        <w:rPr>
          <w:color w:val="231F20"/>
          <w:spacing w:val="-3"/>
        </w:rPr>
        <w:t xml:space="preserve">України </w:t>
      </w:r>
      <w:r>
        <w:rPr>
          <w:color w:val="231F20"/>
        </w:rPr>
        <w:t>організація та функціону- вання органів вико</w:t>
      </w:r>
      <w:r>
        <w:rPr>
          <w:color w:val="231F20"/>
        </w:rPr>
        <w:t xml:space="preserve">навчої влади визначаються виключно законом. Проте на практиці це конституційне положення часто ігнорувалося органами влади. Система центральних органів виконавчої влади залежала від публічного </w:t>
      </w:r>
      <w:r>
        <w:rPr>
          <w:color w:val="231F20"/>
          <w:spacing w:val="-3"/>
        </w:rPr>
        <w:t xml:space="preserve">суб’єкта, </w:t>
      </w:r>
      <w:r>
        <w:rPr>
          <w:color w:val="231F20"/>
        </w:rPr>
        <w:t>який був уповноважений утворю- вати, реорганізовувати</w:t>
      </w:r>
      <w:r>
        <w:rPr>
          <w:color w:val="231F20"/>
        </w:rPr>
        <w:t xml:space="preserve"> та ліквідовувати такі органи, і зазначений </w:t>
      </w:r>
      <w:r>
        <w:rPr>
          <w:color w:val="231F20"/>
          <w:spacing w:val="-4"/>
        </w:rPr>
        <w:t xml:space="preserve">суб’єкт </w:t>
      </w:r>
      <w:r>
        <w:rPr>
          <w:color w:val="231F20"/>
        </w:rPr>
        <w:t>змінювався в умовах конституційної</w:t>
      </w:r>
      <w:r>
        <w:rPr>
          <w:color w:val="231F20"/>
          <w:spacing w:val="-3"/>
        </w:rPr>
        <w:t xml:space="preserve"> </w:t>
      </w:r>
      <w:r>
        <w:rPr>
          <w:color w:val="231F20"/>
        </w:rPr>
        <w:t>реформи.</w:t>
      </w:r>
    </w:p>
    <w:p w14:paraId="0D938D45" w14:textId="77777777" w:rsidR="00DE575E" w:rsidRDefault="002E7560">
      <w:pPr>
        <w:pStyle w:val="BodyText"/>
        <w:spacing w:before="8" w:line="252" w:lineRule="auto"/>
        <w:ind w:left="533" w:right="127" w:firstLine="283"/>
        <w:jc w:val="both"/>
      </w:pPr>
      <w:r>
        <w:rPr>
          <w:color w:val="231F20"/>
        </w:rPr>
        <w:t>Слід</w:t>
      </w:r>
      <w:r>
        <w:rPr>
          <w:color w:val="231F20"/>
          <w:spacing w:val="-17"/>
        </w:rPr>
        <w:t xml:space="preserve"> </w:t>
      </w:r>
      <w:r>
        <w:rPr>
          <w:color w:val="231F20"/>
        </w:rPr>
        <w:t>звернути</w:t>
      </w:r>
      <w:r>
        <w:rPr>
          <w:color w:val="231F20"/>
          <w:spacing w:val="-17"/>
        </w:rPr>
        <w:t xml:space="preserve"> </w:t>
      </w:r>
      <w:r>
        <w:rPr>
          <w:color w:val="231F20"/>
          <w:spacing w:val="-3"/>
        </w:rPr>
        <w:t>увагу,</w:t>
      </w:r>
      <w:r>
        <w:rPr>
          <w:color w:val="231F20"/>
          <w:spacing w:val="-17"/>
        </w:rPr>
        <w:t xml:space="preserve"> </w:t>
      </w:r>
      <w:r>
        <w:rPr>
          <w:color w:val="231F20"/>
        </w:rPr>
        <w:t>що</w:t>
      </w:r>
      <w:r>
        <w:rPr>
          <w:color w:val="231F20"/>
          <w:spacing w:val="-17"/>
        </w:rPr>
        <w:t xml:space="preserve"> </w:t>
      </w:r>
      <w:r>
        <w:rPr>
          <w:color w:val="231F20"/>
        </w:rPr>
        <w:t>порядок</w:t>
      </w:r>
      <w:r>
        <w:rPr>
          <w:color w:val="231F20"/>
          <w:spacing w:val="-17"/>
        </w:rPr>
        <w:t xml:space="preserve"> </w:t>
      </w:r>
      <w:r>
        <w:rPr>
          <w:color w:val="231F20"/>
        </w:rPr>
        <w:t>утворення,</w:t>
      </w:r>
      <w:r>
        <w:rPr>
          <w:color w:val="231F20"/>
          <w:spacing w:val="-18"/>
        </w:rPr>
        <w:t xml:space="preserve"> </w:t>
      </w:r>
      <w:r>
        <w:rPr>
          <w:color w:val="231F20"/>
        </w:rPr>
        <w:t>реорганізації</w:t>
      </w:r>
      <w:r>
        <w:rPr>
          <w:color w:val="231F20"/>
          <w:spacing w:val="-18"/>
        </w:rPr>
        <w:t xml:space="preserve"> </w:t>
      </w:r>
      <w:r>
        <w:rPr>
          <w:color w:val="231F20"/>
        </w:rPr>
        <w:t>та</w:t>
      </w:r>
      <w:r>
        <w:rPr>
          <w:color w:val="231F20"/>
          <w:spacing w:val="-17"/>
        </w:rPr>
        <w:t xml:space="preserve"> </w:t>
      </w:r>
      <w:r>
        <w:rPr>
          <w:color w:val="231F20"/>
        </w:rPr>
        <w:t>лікві- дації міністерств та інших центральних органів виконавчої влади,   а також порядок призначенн</w:t>
      </w:r>
      <w:r>
        <w:rPr>
          <w:color w:val="231F20"/>
        </w:rPr>
        <w:t xml:space="preserve">я на посади та звільнення з посад їх керівників залежить від форми правління в </w:t>
      </w:r>
      <w:r>
        <w:rPr>
          <w:color w:val="231F20"/>
          <w:spacing w:val="-3"/>
        </w:rPr>
        <w:t xml:space="preserve">Україні. </w:t>
      </w:r>
      <w:r>
        <w:rPr>
          <w:color w:val="231F20"/>
          <w:spacing w:val="-4"/>
        </w:rPr>
        <w:t xml:space="preserve">Так, </w:t>
      </w:r>
      <w:r>
        <w:rPr>
          <w:color w:val="231F20"/>
        </w:rPr>
        <w:t xml:space="preserve">відповідно до Конституції </w:t>
      </w:r>
      <w:r>
        <w:rPr>
          <w:color w:val="231F20"/>
          <w:spacing w:val="-3"/>
        </w:rPr>
        <w:t xml:space="preserve">України </w:t>
      </w:r>
      <w:r>
        <w:rPr>
          <w:color w:val="231F20"/>
        </w:rPr>
        <w:t xml:space="preserve">в редакції 1996 р. </w:t>
      </w:r>
      <w:r>
        <w:rPr>
          <w:color w:val="231F20"/>
          <w:spacing w:val="-3"/>
        </w:rPr>
        <w:t xml:space="preserve">Україна була </w:t>
      </w:r>
      <w:r>
        <w:rPr>
          <w:color w:val="231F20"/>
        </w:rPr>
        <w:t>президент- сько-парламентською</w:t>
      </w:r>
      <w:r>
        <w:rPr>
          <w:color w:val="231F20"/>
          <w:spacing w:val="-9"/>
        </w:rPr>
        <w:t xml:space="preserve"> </w:t>
      </w:r>
      <w:r>
        <w:rPr>
          <w:color w:val="231F20"/>
        </w:rPr>
        <w:t>республікою.</w:t>
      </w:r>
      <w:r>
        <w:rPr>
          <w:color w:val="231F20"/>
          <w:spacing w:val="-9"/>
        </w:rPr>
        <w:t xml:space="preserve"> </w:t>
      </w:r>
      <w:r>
        <w:rPr>
          <w:color w:val="231F20"/>
        </w:rPr>
        <w:t>Міністерства</w:t>
      </w:r>
      <w:r>
        <w:rPr>
          <w:color w:val="231F20"/>
          <w:spacing w:val="-9"/>
        </w:rPr>
        <w:t xml:space="preserve"> </w:t>
      </w:r>
      <w:r>
        <w:rPr>
          <w:color w:val="231F20"/>
        </w:rPr>
        <w:t>та</w:t>
      </w:r>
      <w:r>
        <w:rPr>
          <w:color w:val="231F20"/>
          <w:spacing w:val="-9"/>
        </w:rPr>
        <w:t xml:space="preserve"> </w:t>
      </w:r>
      <w:r>
        <w:rPr>
          <w:color w:val="231F20"/>
        </w:rPr>
        <w:t>інші</w:t>
      </w:r>
      <w:r>
        <w:rPr>
          <w:color w:val="231F20"/>
          <w:spacing w:val="-9"/>
        </w:rPr>
        <w:t xml:space="preserve"> </w:t>
      </w:r>
      <w:r>
        <w:rPr>
          <w:color w:val="231F20"/>
        </w:rPr>
        <w:t>центральні</w:t>
      </w:r>
    </w:p>
    <w:p w14:paraId="709F426A" w14:textId="77777777" w:rsidR="00DE575E" w:rsidRDefault="00DE575E">
      <w:pPr>
        <w:pStyle w:val="BodyText"/>
        <w:spacing w:before="7"/>
        <w:rPr>
          <w:sz w:val="12"/>
        </w:rPr>
      </w:pPr>
    </w:p>
    <w:p w14:paraId="28C3DF1C" w14:textId="77777777" w:rsidR="00DE575E" w:rsidRDefault="002E7560">
      <w:pPr>
        <w:spacing w:before="92"/>
        <w:ind w:left="533"/>
        <w:rPr>
          <w:rFonts w:ascii="Times New Roman"/>
          <w:sz w:val="20"/>
        </w:rPr>
      </w:pPr>
      <w:r>
        <w:rPr>
          <w:rFonts w:ascii="Times New Roman"/>
          <w:color w:val="231F20"/>
          <w:sz w:val="20"/>
        </w:rPr>
        <w:t>102</w:t>
      </w:r>
    </w:p>
    <w:p w14:paraId="7D52FFB9" w14:textId="77777777" w:rsidR="00DE575E" w:rsidRDefault="00DE575E">
      <w:pPr>
        <w:rPr>
          <w:rFonts w:ascii="Times New Roman"/>
          <w:sz w:val="20"/>
        </w:rPr>
        <w:sectPr w:rsidR="00DE575E">
          <w:pgSz w:w="8510" w:h="12760"/>
          <w:pgMar w:top="660" w:right="720" w:bottom="280" w:left="600" w:header="720" w:footer="720" w:gutter="0"/>
          <w:cols w:space="720"/>
        </w:sectPr>
      </w:pPr>
    </w:p>
    <w:p w14:paraId="74295224"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70412BAE" w14:textId="0097E80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477B06A" wp14:editId="7314D0B7">
                <wp:extent cx="4140200" cy="6350"/>
                <wp:effectExtent l="0" t="0" r="12700" b="6350"/>
                <wp:docPr id="1146"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47" name="Line 114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27C869" id="Group_x0020_114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fmf4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VB+Z/gAIAAJwFAAAO&#10;AAAAAAAAAAAAAAAAACwCAABkcnMvZTJvRG9jLnhtbFBLAQItABQABgAIAAAAIQBMp7CQ2QAAAAMB&#10;AAAPAAAAAAAAAAAAAAAAANgEAABkcnMvZG93bnJldi54bWxQSwUGAAAAAAQABADzAAAA3gUAAAAA&#10;">
                <v:line id="Line_x0020_114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grsUAAADdAAAADwAAAGRycy9kb3ducmV2LnhtbERPzWrCQBC+C77DMkIvRTfWohJdRYRC&#10;6UFb4wOM2TEJ7s7G7GrSPn23UPA2H9/vLNedNeJOja8cKxiPEhDEudMVFwqO2dtwDsIHZI3GMSn4&#10;Jg/rVb+3xFS7lr/ofgiFiCHsU1RQhlCnUvq8JIt+5GriyJ1dYzFE2BRSN9jGcGvkS5JMpcWKY0OJ&#10;NW1Lyi+Hm1WQXZ+D+dx/mDbbnybydN1Nfm47pZ4G3WYBIlAXHuJ/97uO88evM/j7Jp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grsUAAADdAAAADwAAAAAAAAAA&#10;AAAAAAChAgAAZHJzL2Rvd25yZXYueG1sUEsFBgAAAAAEAAQA+QAAAJMDAAAAAA==&#10;" strokecolor="#231f20" strokeweight=".5pt"/>
                <w10:anchorlock/>
              </v:group>
            </w:pict>
          </mc:Fallback>
        </mc:AlternateContent>
      </w:r>
    </w:p>
    <w:p w14:paraId="0F35B51D" w14:textId="77777777" w:rsidR="00DE575E" w:rsidRDefault="00DE575E">
      <w:pPr>
        <w:pStyle w:val="BodyText"/>
        <w:spacing w:before="7"/>
        <w:rPr>
          <w:rFonts w:ascii="AdonisC"/>
          <w:i/>
          <w:sz w:val="19"/>
        </w:rPr>
      </w:pPr>
    </w:p>
    <w:p w14:paraId="1A71D99A" w14:textId="77777777" w:rsidR="00DE575E" w:rsidRDefault="002E7560">
      <w:pPr>
        <w:pStyle w:val="BodyText"/>
        <w:spacing w:before="1" w:line="252" w:lineRule="auto"/>
        <w:ind w:left="250" w:right="411"/>
        <w:jc w:val="both"/>
      </w:pPr>
      <w:r>
        <w:rPr>
          <w:color w:val="231F20"/>
        </w:rPr>
        <w:t>органи виконавчої влади утворювалися, реорганізовувалися та ліквідовувалися</w:t>
      </w:r>
      <w:r>
        <w:rPr>
          <w:color w:val="231F20"/>
          <w:spacing w:val="-17"/>
        </w:rPr>
        <w:t xml:space="preserve"> </w:t>
      </w:r>
      <w:r>
        <w:rPr>
          <w:color w:val="231F20"/>
        </w:rPr>
        <w:t>Президентом</w:t>
      </w:r>
      <w:r>
        <w:rPr>
          <w:color w:val="231F20"/>
          <w:spacing w:val="-17"/>
        </w:rPr>
        <w:t xml:space="preserve"> </w:t>
      </w:r>
      <w:r>
        <w:rPr>
          <w:color w:val="231F20"/>
          <w:spacing w:val="-3"/>
        </w:rPr>
        <w:t>України</w:t>
      </w:r>
      <w:r>
        <w:rPr>
          <w:color w:val="231F20"/>
          <w:spacing w:val="-17"/>
        </w:rPr>
        <w:t xml:space="preserve"> </w:t>
      </w:r>
      <w:r>
        <w:rPr>
          <w:color w:val="231F20"/>
        </w:rPr>
        <w:t>за</w:t>
      </w:r>
      <w:r>
        <w:rPr>
          <w:color w:val="231F20"/>
          <w:spacing w:val="-17"/>
        </w:rPr>
        <w:t xml:space="preserve"> </w:t>
      </w:r>
      <w:r>
        <w:rPr>
          <w:color w:val="231F20"/>
        </w:rPr>
        <w:t>пода</w:t>
      </w:r>
      <w:r>
        <w:rPr>
          <w:color w:val="231F20"/>
        </w:rPr>
        <w:t>нням</w:t>
      </w:r>
      <w:r>
        <w:rPr>
          <w:color w:val="231F20"/>
          <w:spacing w:val="-17"/>
        </w:rPr>
        <w:t xml:space="preserve"> </w:t>
      </w:r>
      <w:r>
        <w:rPr>
          <w:color w:val="231F20"/>
          <w:spacing w:val="-3"/>
        </w:rPr>
        <w:t xml:space="preserve">Прем’єр-міністра України </w:t>
      </w:r>
      <w:r>
        <w:rPr>
          <w:color w:val="231F20"/>
        </w:rPr>
        <w:t xml:space="preserve">(п. 15 ч. 1 </w:t>
      </w:r>
      <w:r>
        <w:rPr>
          <w:color w:val="231F20"/>
          <w:spacing w:val="-6"/>
        </w:rPr>
        <w:t xml:space="preserve">ст. </w:t>
      </w:r>
      <w:r>
        <w:rPr>
          <w:color w:val="231F20"/>
        </w:rPr>
        <w:t xml:space="preserve">106); міністри та керівники інших централь- них органів виконавчої влади призначалися за поданням </w:t>
      </w:r>
      <w:r>
        <w:rPr>
          <w:color w:val="231F20"/>
          <w:spacing w:val="-4"/>
        </w:rPr>
        <w:t xml:space="preserve">Прем’єр- </w:t>
      </w:r>
      <w:r>
        <w:rPr>
          <w:color w:val="231F20"/>
        </w:rPr>
        <w:t>міністра та звільнялися</w:t>
      </w:r>
      <w:r>
        <w:rPr>
          <w:color w:val="231F20"/>
          <w:spacing w:val="-4"/>
        </w:rPr>
        <w:t xml:space="preserve"> </w:t>
      </w:r>
      <w:r>
        <w:rPr>
          <w:color w:val="231F20"/>
        </w:rPr>
        <w:t>Президентом.</w:t>
      </w:r>
    </w:p>
    <w:p w14:paraId="1CB5A80A" w14:textId="77777777" w:rsidR="00DE575E" w:rsidRDefault="002E7560">
      <w:pPr>
        <w:pStyle w:val="BodyText"/>
        <w:spacing w:before="2" w:line="252" w:lineRule="auto"/>
        <w:ind w:left="250" w:right="411" w:firstLine="283"/>
        <w:jc w:val="both"/>
      </w:pPr>
      <w:r>
        <w:rPr>
          <w:color w:val="231F20"/>
        </w:rPr>
        <w:t xml:space="preserve">Положення Конституції </w:t>
      </w:r>
      <w:r>
        <w:rPr>
          <w:color w:val="231F20"/>
          <w:spacing w:val="-3"/>
        </w:rPr>
        <w:t xml:space="preserve">України </w:t>
      </w:r>
      <w:r>
        <w:rPr>
          <w:color w:val="231F20"/>
        </w:rPr>
        <w:t xml:space="preserve">з урахуванням внесених змін свідчать про те, що сьогодні </w:t>
      </w:r>
      <w:r>
        <w:rPr>
          <w:color w:val="231F20"/>
          <w:spacing w:val="-3"/>
        </w:rPr>
        <w:t xml:space="preserve">Україна </w:t>
      </w:r>
      <w:r>
        <w:rPr>
          <w:color w:val="231F20"/>
        </w:rPr>
        <w:t>за формою правління є парла- ментсько-президентською республікою, що зумовлює й відповід- ний</w:t>
      </w:r>
      <w:r>
        <w:rPr>
          <w:color w:val="231F20"/>
          <w:spacing w:val="-13"/>
        </w:rPr>
        <w:t xml:space="preserve"> </w:t>
      </w:r>
      <w:r>
        <w:rPr>
          <w:color w:val="231F20"/>
        </w:rPr>
        <w:t>порядок</w:t>
      </w:r>
      <w:r>
        <w:rPr>
          <w:color w:val="231F20"/>
          <w:spacing w:val="-13"/>
        </w:rPr>
        <w:t xml:space="preserve"> </w:t>
      </w:r>
      <w:r>
        <w:rPr>
          <w:color w:val="231F20"/>
        </w:rPr>
        <w:t>формування</w:t>
      </w:r>
      <w:r>
        <w:rPr>
          <w:color w:val="231F20"/>
          <w:spacing w:val="-13"/>
        </w:rPr>
        <w:t xml:space="preserve"> </w:t>
      </w:r>
      <w:r>
        <w:rPr>
          <w:color w:val="231F20"/>
        </w:rPr>
        <w:t>центральних</w:t>
      </w:r>
      <w:r>
        <w:rPr>
          <w:color w:val="231F20"/>
          <w:spacing w:val="-13"/>
        </w:rPr>
        <w:t xml:space="preserve"> </w:t>
      </w:r>
      <w:r>
        <w:rPr>
          <w:color w:val="231F20"/>
        </w:rPr>
        <w:t>органів</w:t>
      </w:r>
      <w:r>
        <w:rPr>
          <w:color w:val="231F20"/>
          <w:spacing w:val="-13"/>
        </w:rPr>
        <w:t xml:space="preserve"> </w:t>
      </w:r>
      <w:r>
        <w:rPr>
          <w:color w:val="231F20"/>
        </w:rPr>
        <w:t>виконавчої</w:t>
      </w:r>
      <w:r>
        <w:rPr>
          <w:color w:val="231F20"/>
          <w:spacing w:val="-13"/>
        </w:rPr>
        <w:t xml:space="preserve"> </w:t>
      </w:r>
      <w:r>
        <w:rPr>
          <w:color w:val="231F20"/>
        </w:rPr>
        <w:t>влади.</w:t>
      </w:r>
      <w:r>
        <w:rPr>
          <w:color w:val="231F20"/>
          <w:spacing w:val="-13"/>
        </w:rPr>
        <w:t xml:space="preserve"> </w:t>
      </w:r>
      <w:r>
        <w:rPr>
          <w:color w:val="231F20"/>
        </w:rPr>
        <w:t>Як зазначалося вище, міністерства та інш</w:t>
      </w:r>
      <w:r>
        <w:rPr>
          <w:color w:val="231F20"/>
        </w:rPr>
        <w:t xml:space="preserve">і центральні органи виконав- чої влади утворюються, реорганізуються та ліквідуються </w:t>
      </w:r>
      <w:r>
        <w:rPr>
          <w:color w:val="231F20"/>
          <w:spacing w:val="-3"/>
        </w:rPr>
        <w:t>Урядом України.</w:t>
      </w:r>
    </w:p>
    <w:p w14:paraId="7FFC38DB" w14:textId="77777777" w:rsidR="00DE575E" w:rsidRDefault="002E7560">
      <w:pPr>
        <w:pStyle w:val="BodyText"/>
        <w:spacing w:before="4" w:line="252" w:lineRule="auto"/>
        <w:ind w:left="250" w:right="410" w:firstLine="283"/>
        <w:jc w:val="both"/>
      </w:pPr>
      <w:r>
        <w:rPr>
          <w:color w:val="231F20"/>
        </w:rPr>
        <w:t xml:space="preserve">Наразі конституційно-правові норми щодо правового статусу міністерств та інших центральних органів виконавчої влади дета- лізовано в Законі </w:t>
      </w:r>
      <w:r>
        <w:rPr>
          <w:color w:val="231F20"/>
          <w:spacing w:val="-3"/>
        </w:rPr>
        <w:t xml:space="preserve">України </w:t>
      </w:r>
      <w:r>
        <w:rPr>
          <w:color w:val="231F20"/>
        </w:rPr>
        <w:t>«Про цен</w:t>
      </w:r>
      <w:r>
        <w:rPr>
          <w:color w:val="231F20"/>
        </w:rPr>
        <w:t xml:space="preserve">тральні органи виконавчої влади» від 17 березня 2011 р. № 3166-VI. </w:t>
      </w:r>
      <w:r>
        <w:rPr>
          <w:color w:val="231F20"/>
          <w:spacing w:val="-3"/>
        </w:rPr>
        <w:t xml:space="preserve">Ухвалення </w:t>
      </w:r>
      <w:r>
        <w:rPr>
          <w:color w:val="231F20"/>
        </w:rPr>
        <w:t xml:space="preserve">цього Закону стало важливим кроком на шляху вдосконалення системи органів виконавчої влади в </w:t>
      </w:r>
      <w:r>
        <w:rPr>
          <w:color w:val="231F20"/>
          <w:spacing w:val="-3"/>
        </w:rPr>
        <w:t xml:space="preserve">Україні. </w:t>
      </w:r>
      <w:r>
        <w:rPr>
          <w:color w:val="231F20"/>
        </w:rPr>
        <w:t>Зокрема, у ньому визначено види інших центральних органів виконавчої влади, п</w:t>
      </w:r>
      <w:r>
        <w:rPr>
          <w:color w:val="231F20"/>
        </w:rPr>
        <w:t xml:space="preserve">равові засади організації та діяльності міністерств та інших центральних органів виконав- чої влади. Важливо відзначити, що відповідно до </w:t>
      </w:r>
      <w:r>
        <w:rPr>
          <w:color w:val="231F20"/>
          <w:spacing w:val="-6"/>
        </w:rPr>
        <w:t xml:space="preserve">ст. </w:t>
      </w:r>
      <w:r>
        <w:rPr>
          <w:color w:val="231F20"/>
        </w:rPr>
        <w:t>3 цього Закону організація, повноваження й порядок діяльності міністерств, інших центральних органів виконавчої вл</w:t>
      </w:r>
      <w:r>
        <w:rPr>
          <w:color w:val="231F20"/>
        </w:rPr>
        <w:t>ади визначаються</w:t>
      </w:r>
      <w:r>
        <w:rPr>
          <w:color w:val="231F20"/>
          <w:spacing w:val="-31"/>
        </w:rPr>
        <w:t xml:space="preserve"> </w:t>
      </w:r>
      <w:r>
        <w:rPr>
          <w:color w:val="231F20"/>
        </w:rPr>
        <w:t xml:space="preserve">Конституцією </w:t>
      </w:r>
      <w:r>
        <w:rPr>
          <w:color w:val="231F20"/>
          <w:spacing w:val="-3"/>
        </w:rPr>
        <w:t xml:space="preserve">України, </w:t>
      </w:r>
      <w:r>
        <w:rPr>
          <w:color w:val="231F20"/>
        </w:rPr>
        <w:t xml:space="preserve">цим та іншими законами </w:t>
      </w:r>
      <w:r>
        <w:rPr>
          <w:color w:val="231F20"/>
          <w:spacing w:val="-3"/>
        </w:rPr>
        <w:t xml:space="preserve">України. </w:t>
      </w:r>
      <w:r>
        <w:rPr>
          <w:color w:val="231F20"/>
        </w:rPr>
        <w:t xml:space="preserve">На підзаконному норма- тивно-правовому рівні діяльність центральних органів виконавчої влади унормовується Кабінетом Міністрів </w:t>
      </w:r>
      <w:r>
        <w:rPr>
          <w:color w:val="231F20"/>
          <w:spacing w:val="-3"/>
        </w:rPr>
        <w:t xml:space="preserve">України </w:t>
      </w:r>
      <w:r>
        <w:rPr>
          <w:color w:val="231F20"/>
        </w:rPr>
        <w:t>через затвер- дження відповідних</w:t>
      </w:r>
      <w:r>
        <w:rPr>
          <w:color w:val="231F20"/>
          <w:spacing w:val="-2"/>
        </w:rPr>
        <w:t xml:space="preserve"> </w:t>
      </w:r>
      <w:r>
        <w:rPr>
          <w:color w:val="231F20"/>
        </w:rPr>
        <w:t>положень.</w:t>
      </w:r>
    </w:p>
    <w:p w14:paraId="0A1E36BA" w14:textId="77777777" w:rsidR="00DE575E" w:rsidRDefault="002E7560">
      <w:pPr>
        <w:pStyle w:val="BodyText"/>
        <w:spacing w:before="7" w:line="252" w:lineRule="auto"/>
        <w:ind w:left="250" w:right="411" w:firstLine="283"/>
        <w:jc w:val="both"/>
      </w:pPr>
      <w:r>
        <w:rPr>
          <w:color w:val="231F20"/>
        </w:rPr>
        <w:t>Відпові</w:t>
      </w:r>
      <w:r>
        <w:rPr>
          <w:color w:val="231F20"/>
        </w:rPr>
        <w:t xml:space="preserve">дно до цього Закону систему центральних органів вико- навчої влади складають міністерства </w:t>
      </w:r>
      <w:r>
        <w:rPr>
          <w:color w:val="231F20"/>
          <w:spacing w:val="-3"/>
        </w:rPr>
        <w:t xml:space="preserve">України </w:t>
      </w:r>
      <w:r>
        <w:rPr>
          <w:color w:val="231F20"/>
        </w:rPr>
        <w:t xml:space="preserve">та інші центральні органи виконавчої влади. Перелік центральних органів виконав- чої влади міститься у Схемі спрямування й координації діяльності центральних </w:t>
      </w:r>
      <w:r>
        <w:rPr>
          <w:color w:val="231F20"/>
        </w:rPr>
        <w:t xml:space="preserve">органів виконавчої влади Кабінетом Міністрів </w:t>
      </w:r>
      <w:r>
        <w:rPr>
          <w:color w:val="231F20"/>
          <w:spacing w:val="-3"/>
        </w:rPr>
        <w:t xml:space="preserve">України </w:t>
      </w:r>
      <w:r>
        <w:rPr>
          <w:color w:val="231F20"/>
        </w:rPr>
        <w:t xml:space="preserve">через відповідних членів </w:t>
      </w:r>
      <w:r>
        <w:rPr>
          <w:color w:val="231F20"/>
          <w:spacing w:val="-9"/>
        </w:rPr>
        <w:t xml:space="preserve">КМУ, </w:t>
      </w:r>
      <w:r>
        <w:rPr>
          <w:color w:val="231F20"/>
        </w:rPr>
        <w:t>затвердженій Постановою КМУ від 10</w:t>
      </w:r>
      <w:r>
        <w:rPr>
          <w:color w:val="231F20"/>
          <w:spacing w:val="10"/>
        </w:rPr>
        <w:t xml:space="preserve"> </w:t>
      </w:r>
      <w:r>
        <w:rPr>
          <w:color w:val="231F20"/>
        </w:rPr>
        <w:t>вересня</w:t>
      </w:r>
      <w:r>
        <w:rPr>
          <w:color w:val="231F20"/>
          <w:spacing w:val="10"/>
        </w:rPr>
        <w:t xml:space="preserve"> </w:t>
      </w:r>
      <w:r>
        <w:rPr>
          <w:color w:val="231F20"/>
        </w:rPr>
        <w:t>2014</w:t>
      </w:r>
      <w:r>
        <w:rPr>
          <w:color w:val="231F20"/>
          <w:spacing w:val="-7"/>
        </w:rPr>
        <w:t xml:space="preserve"> </w:t>
      </w:r>
      <w:r>
        <w:rPr>
          <w:color w:val="231F20"/>
        </w:rPr>
        <w:t>р.</w:t>
      </w:r>
      <w:r>
        <w:rPr>
          <w:color w:val="231F20"/>
          <w:spacing w:val="10"/>
        </w:rPr>
        <w:t xml:space="preserve"> </w:t>
      </w:r>
      <w:r>
        <w:rPr>
          <w:color w:val="231F20"/>
        </w:rPr>
        <w:t>№</w:t>
      </w:r>
      <w:r>
        <w:rPr>
          <w:color w:val="231F20"/>
          <w:spacing w:val="-7"/>
        </w:rPr>
        <w:t xml:space="preserve"> </w:t>
      </w:r>
      <w:r>
        <w:rPr>
          <w:color w:val="231F20"/>
        </w:rPr>
        <w:t>442</w:t>
      </w:r>
      <w:r>
        <w:rPr>
          <w:color w:val="231F20"/>
          <w:spacing w:val="10"/>
        </w:rPr>
        <w:t xml:space="preserve"> </w:t>
      </w:r>
      <w:r>
        <w:rPr>
          <w:color w:val="231F20"/>
        </w:rPr>
        <w:t>(у</w:t>
      </w:r>
      <w:r>
        <w:rPr>
          <w:color w:val="231F20"/>
          <w:spacing w:val="10"/>
        </w:rPr>
        <w:t xml:space="preserve"> </w:t>
      </w:r>
      <w:r>
        <w:rPr>
          <w:color w:val="231F20"/>
        </w:rPr>
        <w:t>редакції</w:t>
      </w:r>
      <w:r>
        <w:rPr>
          <w:color w:val="231F20"/>
          <w:spacing w:val="10"/>
        </w:rPr>
        <w:t xml:space="preserve"> </w:t>
      </w:r>
      <w:r>
        <w:rPr>
          <w:color w:val="231F20"/>
        </w:rPr>
        <w:t>Постанови</w:t>
      </w:r>
      <w:r>
        <w:rPr>
          <w:color w:val="231F20"/>
          <w:spacing w:val="10"/>
        </w:rPr>
        <w:t xml:space="preserve"> </w:t>
      </w:r>
      <w:r>
        <w:rPr>
          <w:color w:val="231F20"/>
        </w:rPr>
        <w:t>КМУ</w:t>
      </w:r>
      <w:r>
        <w:rPr>
          <w:color w:val="231F20"/>
          <w:spacing w:val="10"/>
        </w:rPr>
        <w:t xml:space="preserve"> </w:t>
      </w:r>
      <w:r>
        <w:rPr>
          <w:color w:val="231F20"/>
        </w:rPr>
        <w:t>від</w:t>
      </w:r>
      <w:r>
        <w:rPr>
          <w:color w:val="231F20"/>
          <w:spacing w:val="10"/>
        </w:rPr>
        <w:t xml:space="preserve"> </w:t>
      </w:r>
      <w:r>
        <w:rPr>
          <w:color w:val="231F20"/>
        </w:rPr>
        <w:t>20</w:t>
      </w:r>
      <w:r>
        <w:rPr>
          <w:color w:val="231F20"/>
          <w:spacing w:val="10"/>
        </w:rPr>
        <w:t xml:space="preserve"> </w:t>
      </w:r>
      <w:r>
        <w:rPr>
          <w:color w:val="231F20"/>
        </w:rPr>
        <w:t>жовтня</w:t>
      </w:r>
    </w:p>
    <w:p w14:paraId="44263923" w14:textId="77777777" w:rsidR="00DE575E" w:rsidRDefault="002E7560">
      <w:pPr>
        <w:pStyle w:val="BodyText"/>
        <w:spacing w:before="3"/>
        <w:ind w:left="250"/>
      </w:pPr>
      <w:r>
        <w:rPr>
          <w:color w:val="231F20"/>
        </w:rPr>
        <w:t>2019 р. № 879).</w:t>
      </w:r>
    </w:p>
    <w:p w14:paraId="096ADD11" w14:textId="77777777" w:rsidR="00DE575E" w:rsidRDefault="002E7560">
      <w:pPr>
        <w:pStyle w:val="BodyText"/>
        <w:spacing w:before="13" w:line="252" w:lineRule="auto"/>
        <w:ind w:left="250" w:right="411" w:firstLine="283"/>
        <w:jc w:val="both"/>
      </w:pPr>
      <w:r>
        <w:rPr>
          <w:i/>
          <w:color w:val="231F20"/>
        </w:rPr>
        <w:t xml:space="preserve">В Україні зокрема діють такі міністерства: </w:t>
      </w:r>
      <w:r>
        <w:rPr>
          <w:color w:val="231F20"/>
        </w:rPr>
        <w:t xml:space="preserve">Міністерство внутрішніх справ, Міністерство енергетики та захисту довкілля, Міністерство закордонних справ, Міністерство інфраструктури, Міністерство  </w:t>
      </w:r>
      <w:r>
        <w:rPr>
          <w:color w:val="231F20"/>
          <w:spacing w:val="-3"/>
        </w:rPr>
        <w:t xml:space="preserve">культури,   </w:t>
      </w:r>
      <w:r>
        <w:rPr>
          <w:color w:val="231F20"/>
        </w:rPr>
        <w:t xml:space="preserve">молоді  та  </w:t>
      </w:r>
      <w:r>
        <w:rPr>
          <w:color w:val="231F20"/>
          <w:spacing w:val="-3"/>
        </w:rPr>
        <w:t xml:space="preserve">спорту,   </w:t>
      </w:r>
      <w:r>
        <w:rPr>
          <w:color w:val="231F20"/>
        </w:rPr>
        <w:t>Міністерство   оборони,</w:t>
      </w:r>
    </w:p>
    <w:p w14:paraId="63AF977C" w14:textId="77777777" w:rsidR="00DE575E" w:rsidRDefault="00DE575E">
      <w:pPr>
        <w:pStyle w:val="BodyText"/>
        <w:spacing w:before="7"/>
        <w:rPr>
          <w:sz w:val="12"/>
        </w:rPr>
      </w:pPr>
    </w:p>
    <w:p w14:paraId="625366BB" w14:textId="77777777" w:rsidR="00DE575E" w:rsidRDefault="002E7560">
      <w:pPr>
        <w:spacing w:before="91"/>
        <w:ind w:right="411"/>
        <w:jc w:val="right"/>
        <w:rPr>
          <w:rFonts w:ascii="Times New Roman"/>
          <w:sz w:val="20"/>
        </w:rPr>
      </w:pPr>
      <w:r>
        <w:rPr>
          <w:rFonts w:ascii="Times New Roman"/>
          <w:color w:val="231F20"/>
          <w:w w:val="90"/>
          <w:sz w:val="20"/>
        </w:rPr>
        <w:t>103</w:t>
      </w:r>
    </w:p>
    <w:p w14:paraId="3499095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E08670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364A319" w14:textId="395D610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5C9361D" wp14:editId="701A3B2F">
                <wp:extent cx="4140200" cy="6350"/>
                <wp:effectExtent l="0" t="0" r="12700" b="6350"/>
                <wp:docPr id="1144"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45" name="Line 114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03F9D" id="Group_x0020_114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ct6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tHLeh/AgAAnAUAAA4A&#10;AAAAAAAAAAAAAAAALAIAAGRycy9lMm9Eb2MueG1sUEsBAi0AFAAGAAgAAAAhAEynsJDZAAAAAwEA&#10;AA8AAAAAAAAAAAAAAAAA1wQAAGRycy9kb3ducmV2LnhtbFBLBQYAAAAABAAEAPMAAADdBQAAAAA=&#10;">
                <v:line id="Line_x0020_114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HpbQsUAAADdAAAADwAAAGRycy9kb3ducmV2LnhtbERPzWrCQBC+C77DMkIvRTfWKhJdRYRC&#10;6UFb4wOM2TEJ7s7G7GrSPn23UPA2H9/vLNedNeJOja8cKxiPEhDEudMVFwqO2dtwDsIHZI3GMSn4&#10;Jg/rVb+3xFS7lr/ofgiFiCHsU1RQhlCnUvq8JIt+5GriyJ1dYzFE2BRSN9jGcGvkS5LMpMWKY0OJ&#10;NW1Lyi+Hm1WQXZ+D+dx/mDbbnybydN1Nfm47pZ4G3WYBIlAXHuJ/97uO88evU/j7Jp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HpbQsUAAADdAAAADwAAAAAAAAAA&#10;AAAAAAChAgAAZHJzL2Rvd25yZXYueG1sUEsFBgAAAAAEAAQA+QAAAJMDAAAAAA==&#10;" strokecolor="#231f20" strokeweight=".5pt"/>
                <w10:anchorlock/>
              </v:group>
            </w:pict>
          </mc:Fallback>
        </mc:AlternateContent>
      </w:r>
    </w:p>
    <w:p w14:paraId="56D1DB29" w14:textId="77777777" w:rsidR="00DE575E" w:rsidRDefault="00DE575E">
      <w:pPr>
        <w:pStyle w:val="BodyText"/>
        <w:spacing w:before="7"/>
        <w:rPr>
          <w:rFonts w:ascii="AdonisC"/>
          <w:i/>
          <w:sz w:val="11"/>
        </w:rPr>
      </w:pPr>
    </w:p>
    <w:p w14:paraId="4BD18F02" w14:textId="77777777" w:rsidR="00DE575E" w:rsidRDefault="002E7560">
      <w:pPr>
        <w:pStyle w:val="BodyText"/>
        <w:spacing w:before="101" w:line="252" w:lineRule="auto"/>
        <w:ind w:left="533" w:right="126"/>
        <w:jc w:val="both"/>
      </w:pPr>
      <w:r>
        <w:rPr>
          <w:color w:val="231F20"/>
        </w:rPr>
        <w:t>Міністерство освіти і науки, Міністерство охорони здоров’я, Мініс- терство розвитку економіки, торгівлі та сільського господарства, Міністерство</w:t>
      </w:r>
      <w:r>
        <w:rPr>
          <w:color w:val="231F20"/>
          <w:spacing w:val="-13"/>
        </w:rPr>
        <w:t xml:space="preserve"> </w:t>
      </w:r>
      <w:r>
        <w:rPr>
          <w:color w:val="231F20"/>
        </w:rPr>
        <w:t>ро</w:t>
      </w:r>
      <w:r>
        <w:rPr>
          <w:color w:val="231F20"/>
        </w:rPr>
        <w:t>звитку</w:t>
      </w:r>
      <w:r>
        <w:rPr>
          <w:color w:val="231F20"/>
          <w:spacing w:val="-13"/>
        </w:rPr>
        <w:t xml:space="preserve"> </w:t>
      </w:r>
      <w:r>
        <w:rPr>
          <w:color w:val="231F20"/>
        </w:rPr>
        <w:t>громад</w:t>
      </w:r>
      <w:r>
        <w:rPr>
          <w:color w:val="231F20"/>
          <w:spacing w:val="-13"/>
        </w:rPr>
        <w:t xml:space="preserve"> </w:t>
      </w:r>
      <w:r>
        <w:rPr>
          <w:color w:val="231F20"/>
        </w:rPr>
        <w:t>та</w:t>
      </w:r>
      <w:r>
        <w:rPr>
          <w:color w:val="231F20"/>
          <w:spacing w:val="-13"/>
        </w:rPr>
        <w:t xml:space="preserve"> </w:t>
      </w:r>
      <w:r>
        <w:rPr>
          <w:color w:val="231F20"/>
        </w:rPr>
        <w:t>територій,</w:t>
      </w:r>
      <w:r>
        <w:rPr>
          <w:color w:val="231F20"/>
          <w:spacing w:val="-13"/>
        </w:rPr>
        <w:t xml:space="preserve"> </w:t>
      </w:r>
      <w:r>
        <w:rPr>
          <w:color w:val="231F20"/>
        </w:rPr>
        <w:t>Міністерство</w:t>
      </w:r>
      <w:r>
        <w:rPr>
          <w:color w:val="231F20"/>
          <w:spacing w:val="-13"/>
        </w:rPr>
        <w:t xml:space="preserve"> </w:t>
      </w:r>
      <w:r>
        <w:rPr>
          <w:color w:val="231F20"/>
        </w:rPr>
        <w:t>соціальної політики, Міністерство у справах ветеранів, тимчасово окупованих територій та внутрішньо переміщених осіб, Міністерство цифрової трансформації, Міністерство фінансів, Міністерство</w:t>
      </w:r>
      <w:r>
        <w:rPr>
          <w:color w:val="231F20"/>
          <w:spacing w:val="-9"/>
        </w:rPr>
        <w:t xml:space="preserve"> </w:t>
      </w:r>
      <w:r>
        <w:rPr>
          <w:color w:val="231F20"/>
        </w:rPr>
        <w:t>юстиції.</w:t>
      </w:r>
    </w:p>
    <w:p w14:paraId="416814C5" w14:textId="77777777" w:rsidR="00DE575E" w:rsidRDefault="002E7560">
      <w:pPr>
        <w:pStyle w:val="BodyText"/>
        <w:spacing w:before="3" w:line="252" w:lineRule="auto"/>
        <w:ind w:left="533" w:right="128" w:firstLine="283"/>
        <w:jc w:val="both"/>
      </w:pPr>
      <w:r>
        <w:rPr>
          <w:color w:val="231F20"/>
        </w:rPr>
        <w:t>Особливістю міністерств та інших центральних органів виконав- чої влади є те, що їхні повноваження поширюються на всю терито- рію України.</w:t>
      </w:r>
    </w:p>
    <w:p w14:paraId="50F1A9A0" w14:textId="77777777" w:rsidR="00DE575E" w:rsidRDefault="002E7560">
      <w:pPr>
        <w:pStyle w:val="BodyText"/>
        <w:spacing w:before="1" w:line="252" w:lineRule="auto"/>
        <w:ind w:left="533" w:right="128" w:firstLine="283"/>
        <w:jc w:val="both"/>
      </w:pPr>
      <w:r>
        <w:rPr>
          <w:color w:val="231F20"/>
        </w:rPr>
        <w:t>Однією з ключових відмінностей між міністерствами та іншими центральними органами виконавчої  влади  є  те,  що  міні</w:t>
      </w:r>
      <w:r>
        <w:rPr>
          <w:color w:val="231F20"/>
        </w:rPr>
        <w:t xml:space="preserve">стер-  ства забезпечують формування  й  реалізують  державну  політику в одній чи декількох сферах, проведення якої покладено на Кабінет Міністрів </w:t>
      </w:r>
      <w:r>
        <w:rPr>
          <w:color w:val="231F20"/>
          <w:spacing w:val="-3"/>
        </w:rPr>
        <w:t xml:space="preserve">України </w:t>
      </w:r>
      <w:r>
        <w:rPr>
          <w:color w:val="231F20"/>
        </w:rPr>
        <w:t xml:space="preserve">Конституцією та законами </w:t>
      </w:r>
      <w:r>
        <w:rPr>
          <w:color w:val="231F20"/>
          <w:spacing w:val="-3"/>
        </w:rPr>
        <w:t xml:space="preserve">України, </w:t>
      </w:r>
      <w:r>
        <w:rPr>
          <w:color w:val="231F20"/>
        </w:rPr>
        <w:t>тоді як інші центральні органи виконавчої влади виконують окремі фу</w:t>
      </w:r>
      <w:r>
        <w:rPr>
          <w:color w:val="231F20"/>
        </w:rPr>
        <w:t>нкції з реалізації державної політики. Безумовно, зазначена відмінність підкреслює особливе місце міністерств у системі центральних орга- нів виконавчої влади. Однак Закон не визначає міністерство голов- ним, провідним центральним органом виконавчої</w:t>
      </w:r>
      <w:r>
        <w:rPr>
          <w:color w:val="231F20"/>
          <w:spacing w:val="-2"/>
        </w:rPr>
        <w:t xml:space="preserve"> </w:t>
      </w:r>
      <w:r>
        <w:rPr>
          <w:color w:val="231F20"/>
        </w:rPr>
        <w:t>влади.</w:t>
      </w:r>
    </w:p>
    <w:p w14:paraId="620533B8" w14:textId="77777777" w:rsidR="00DE575E" w:rsidRDefault="00DE575E">
      <w:pPr>
        <w:pStyle w:val="BodyText"/>
        <w:spacing w:before="6"/>
        <w:rPr>
          <w:sz w:val="22"/>
        </w:rPr>
      </w:pPr>
    </w:p>
    <w:p w14:paraId="7C9DF674" w14:textId="77777777" w:rsidR="00DE575E" w:rsidRDefault="002E7560">
      <w:pPr>
        <w:pStyle w:val="Heading5"/>
        <w:ind w:left="817"/>
      </w:pPr>
      <w:r>
        <w:rPr>
          <w:color w:val="231F20"/>
        </w:rPr>
        <w:t>4.4.1.2.1. Міністерства</w:t>
      </w:r>
    </w:p>
    <w:p w14:paraId="5304AD76" w14:textId="77777777" w:rsidR="00DE575E" w:rsidRDefault="002E7560">
      <w:pPr>
        <w:pStyle w:val="BodyText"/>
        <w:spacing w:before="13" w:line="252" w:lineRule="auto"/>
        <w:ind w:left="533" w:right="127" w:firstLine="283"/>
        <w:jc w:val="both"/>
      </w:pPr>
      <w:r>
        <w:rPr>
          <w:color w:val="231F20"/>
        </w:rPr>
        <w:t>–  забезпечують формування та реалізують державну політику   в одній чи декількох сферах, інші центральні органи виконують окремі</w:t>
      </w:r>
      <w:r>
        <w:rPr>
          <w:color w:val="231F20"/>
          <w:spacing w:val="-15"/>
        </w:rPr>
        <w:t xml:space="preserve"> </w:t>
      </w:r>
      <w:r>
        <w:rPr>
          <w:color w:val="231F20"/>
        </w:rPr>
        <w:t>функції</w:t>
      </w:r>
      <w:r>
        <w:rPr>
          <w:color w:val="231F20"/>
          <w:spacing w:val="-15"/>
        </w:rPr>
        <w:t xml:space="preserve"> </w:t>
      </w:r>
      <w:r>
        <w:rPr>
          <w:color w:val="231F20"/>
        </w:rPr>
        <w:t>з</w:t>
      </w:r>
      <w:r>
        <w:rPr>
          <w:color w:val="231F20"/>
          <w:spacing w:val="-15"/>
        </w:rPr>
        <w:t xml:space="preserve"> </w:t>
      </w:r>
      <w:r>
        <w:rPr>
          <w:color w:val="231F20"/>
        </w:rPr>
        <w:t>реалізації</w:t>
      </w:r>
      <w:r>
        <w:rPr>
          <w:color w:val="231F20"/>
          <w:spacing w:val="-15"/>
        </w:rPr>
        <w:t xml:space="preserve"> </w:t>
      </w:r>
      <w:r>
        <w:rPr>
          <w:color w:val="231F20"/>
        </w:rPr>
        <w:t>державної</w:t>
      </w:r>
      <w:r>
        <w:rPr>
          <w:color w:val="231F20"/>
          <w:spacing w:val="-15"/>
        </w:rPr>
        <w:t xml:space="preserve"> </w:t>
      </w:r>
      <w:r>
        <w:rPr>
          <w:color w:val="231F20"/>
        </w:rPr>
        <w:t>політики.</w:t>
      </w:r>
      <w:r>
        <w:rPr>
          <w:color w:val="231F20"/>
          <w:spacing w:val="-15"/>
        </w:rPr>
        <w:t xml:space="preserve"> </w:t>
      </w:r>
      <w:r>
        <w:rPr>
          <w:color w:val="231F20"/>
        </w:rPr>
        <w:t>Повноваження</w:t>
      </w:r>
      <w:r>
        <w:rPr>
          <w:color w:val="231F20"/>
          <w:spacing w:val="-15"/>
        </w:rPr>
        <w:t xml:space="preserve"> </w:t>
      </w:r>
      <w:r>
        <w:rPr>
          <w:color w:val="231F20"/>
        </w:rPr>
        <w:t>мініс- терств, інших центральних органів викон</w:t>
      </w:r>
      <w:r>
        <w:rPr>
          <w:color w:val="231F20"/>
        </w:rPr>
        <w:t xml:space="preserve">авчої влади поширюються на всю територію держави. </w:t>
      </w:r>
      <w:r>
        <w:rPr>
          <w:color w:val="231F20"/>
          <w:spacing w:val="-5"/>
        </w:rPr>
        <w:t xml:space="preserve">Також </w:t>
      </w:r>
      <w:r>
        <w:rPr>
          <w:color w:val="231F20"/>
        </w:rPr>
        <w:t>до центральних органів виконав- чої влади входять державні служби, агентства та</w:t>
      </w:r>
      <w:r>
        <w:rPr>
          <w:color w:val="231F20"/>
          <w:spacing w:val="-11"/>
        </w:rPr>
        <w:t xml:space="preserve"> </w:t>
      </w:r>
      <w:r>
        <w:rPr>
          <w:color w:val="231F20"/>
        </w:rPr>
        <w:t>інспекції.</w:t>
      </w:r>
    </w:p>
    <w:p w14:paraId="757F624D" w14:textId="77777777" w:rsidR="00DE575E" w:rsidRDefault="002E7560">
      <w:pPr>
        <w:pStyle w:val="BodyText"/>
        <w:spacing w:before="3" w:line="252" w:lineRule="auto"/>
        <w:ind w:left="533" w:right="128" w:firstLine="283"/>
        <w:jc w:val="both"/>
      </w:pPr>
      <w:r>
        <w:rPr>
          <w:color w:val="231F20"/>
        </w:rPr>
        <w:t xml:space="preserve">У теорії адміністративного права під </w:t>
      </w:r>
      <w:r>
        <w:rPr>
          <w:i/>
          <w:color w:val="231F20"/>
        </w:rPr>
        <w:t xml:space="preserve">міністерством </w:t>
      </w:r>
      <w:r>
        <w:rPr>
          <w:color w:val="231F20"/>
        </w:rPr>
        <w:t>розуміють основний різновид центральних органів виконавчої</w:t>
      </w:r>
      <w:r>
        <w:rPr>
          <w:color w:val="231F20"/>
        </w:rPr>
        <w:t xml:space="preserve"> влади, що має дві основні ознаки:</w:t>
      </w:r>
    </w:p>
    <w:p w14:paraId="32EB2D64" w14:textId="77777777" w:rsidR="00DE575E" w:rsidRDefault="002E7560">
      <w:pPr>
        <w:pStyle w:val="ListParagraph"/>
        <w:numPr>
          <w:ilvl w:val="0"/>
          <w:numId w:val="262"/>
        </w:numPr>
        <w:tabs>
          <w:tab w:val="left" w:pos="1101"/>
        </w:tabs>
        <w:ind w:firstLine="284"/>
        <w:rPr>
          <w:sz w:val="21"/>
        </w:rPr>
      </w:pPr>
      <w:r>
        <w:rPr>
          <w:color w:val="231F20"/>
          <w:sz w:val="21"/>
        </w:rPr>
        <w:t>відповідає за розроблення державної</w:t>
      </w:r>
      <w:r>
        <w:rPr>
          <w:color w:val="231F20"/>
          <w:spacing w:val="-5"/>
          <w:sz w:val="21"/>
        </w:rPr>
        <w:t xml:space="preserve"> </w:t>
      </w:r>
      <w:r>
        <w:rPr>
          <w:color w:val="231F20"/>
          <w:sz w:val="21"/>
        </w:rPr>
        <w:t>політики;</w:t>
      </w:r>
    </w:p>
    <w:p w14:paraId="03393444" w14:textId="77777777" w:rsidR="00DE575E" w:rsidRDefault="002E7560">
      <w:pPr>
        <w:pStyle w:val="ListParagraph"/>
        <w:numPr>
          <w:ilvl w:val="0"/>
          <w:numId w:val="262"/>
        </w:numPr>
        <w:tabs>
          <w:tab w:val="left" w:pos="1101"/>
        </w:tabs>
        <w:spacing w:before="13" w:line="252" w:lineRule="auto"/>
        <w:ind w:right="128" w:firstLine="284"/>
        <w:jc w:val="both"/>
        <w:rPr>
          <w:sz w:val="21"/>
        </w:rPr>
      </w:pPr>
      <w:r>
        <w:rPr>
          <w:color w:val="231F20"/>
          <w:sz w:val="21"/>
        </w:rPr>
        <w:t>очолюється членом уряду – політиком, а не державним служ- бовцем</w:t>
      </w:r>
      <w:r>
        <w:rPr>
          <w:color w:val="231F20"/>
          <w:position w:val="7"/>
          <w:sz w:val="12"/>
        </w:rPr>
        <w:t>1</w:t>
      </w:r>
      <w:r>
        <w:rPr>
          <w:color w:val="231F20"/>
          <w:sz w:val="21"/>
        </w:rPr>
        <w:t>.</w:t>
      </w:r>
    </w:p>
    <w:p w14:paraId="4496CD80" w14:textId="77777777" w:rsidR="00DE575E" w:rsidRDefault="002E7560">
      <w:pPr>
        <w:pStyle w:val="BodyText"/>
        <w:spacing w:before="1" w:line="252" w:lineRule="auto"/>
        <w:ind w:left="533" w:right="126" w:firstLine="283"/>
        <w:jc w:val="both"/>
      </w:pPr>
      <w:r>
        <w:rPr>
          <w:color w:val="231F20"/>
        </w:rPr>
        <w:t>До основних завдань міністерства як органу, що забезпечує формування та реалізує державну політику в одній чи декількох сферах, належать:</w:t>
      </w:r>
    </w:p>
    <w:p w14:paraId="68567533" w14:textId="77777777" w:rsidR="00DE575E" w:rsidRDefault="00DE575E">
      <w:pPr>
        <w:pStyle w:val="BodyText"/>
        <w:rPr>
          <w:sz w:val="20"/>
        </w:rPr>
      </w:pPr>
    </w:p>
    <w:p w14:paraId="57DB243B" w14:textId="3AF2943A" w:rsidR="00DE575E" w:rsidRDefault="002E7560">
      <w:pPr>
        <w:pStyle w:val="BodyText"/>
        <w:spacing w:before="9"/>
        <w:rPr>
          <w:sz w:val="12"/>
        </w:rPr>
      </w:pPr>
      <w:r>
        <w:rPr>
          <w:noProof/>
        </w:rPr>
        <mc:AlternateContent>
          <mc:Choice Requires="wps">
            <w:drawing>
              <wp:anchor distT="0" distB="0" distL="0" distR="0" simplePos="0" relativeHeight="4888" behindDoc="0" locked="0" layoutInCell="1" allowOverlap="1" wp14:anchorId="5A0844F3" wp14:editId="00B1AAD0">
                <wp:simplePos x="0" y="0"/>
                <wp:positionH relativeFrom="page">
                  <wp:posOffset>719455</wp:posOffset>
                </wp:positionH>
                <wp:positionV relativeFrom="paragraph">
                  <wp:posOffset>123190</wp:posOffset>
                </wp:positionV>
                <wp:extent cx="1080135" cy="0"/>
                <wp:effectExtent l="8255" t="8890" r="29210" b="29210"/>
                <wp:wrapTopAndBottom/>
                <wp:docPr id="1143"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86BCC" id="Line_x0020_1142" o:spid="_x0000_s1026" style="position:absolute;z-index:4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pt" to="141.7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" strokecolor="#231f20" strokeweight=".5pt">
                <w10:wrap type="topAndBottom" anchorx="page"/>
              </v:line>
            </w:pict>
          </mc:Fallback>
        </mc:AlternateContent>
      </w:r>
    </w:p>
    <w:p w14:paraId="0D09CB32" w14:textId="77777777" w:rsidR="00DE575E" w:rsidRDefault="002E7560">
      <w:pPr>
        <w:spacing w:line="204" w:lineRule="auto"/>
        <w:ind w:left="533"/>
        <w:rPr>
          <w:sz w:val="16"/>
        </w:rPr>
      </w:pPr>
      <w:r>
        <w:rPr>
          <w:color w:val="231F20"/>
          <w:position w:val="5"/>
          <w:sz w:val="9"/>
        </w:rPr>
        <w:t xml:space="preserve">1 </w:t>
      </w:r>
      <w:r>
        <w:rPr>
          <w:color w:val="231F20"/>
          <w:sz w:val="16"/>
        </w:rPr>
        <w:t>Коліушко І. Виконавча влада та проблеми адміністративної реформи в Україні. Моно- графія. Київ: Факт, 2002. С. 49.</w:t>
      </w:r>
    </w:p>
    <w:p w14:paraId="4BC4F5E2" w14:textId="77777777" w:rsidR="00DE575E" w:rsidRDefault="00DE575E">
      <w:pPr>
        <w:pStyle w:val="BodyText"/>
        <w:spacing w:before="1"/>
        <w:rPr>
          <w:sz w:val="12"/>
        </w:rPr>
      </w:pPr>
    </w:p>
    <w:p w14:paraId="5E19CC32" w14:textId="77777777" w:rsidR="00DE575E" w:rsidRDefault="002E7560">
      <w:pPr>
        <w:spacing w:before="92"/>
        <w:ind w:left="533"/>
        <w:rPr>
          <w:rFonts w:ascii="Times New Roman"/>
          <w:sz w:val="20"/>
        </w:rPr>
      </w:pPr>
      <w:r>
        <w:rPr>
          <w:rFonts w:ascii="Times New Roman"/>
          <w:color w:val="231F20"/>
          <w:sz w:val="20"/>
        </w:rPr>
        <w:t>104</w:t>
      </w:r>
    </w:p>
    <w:p w14:paraId="1EBB85FD" w14:textId="77777777" w:rsidR="00DE575E" w:rsidRDefault="00DE575E">
      <w:pPr>
        <w:rPr>
          <w:rFonts w:ascii="Times New Roman"/>
          <w:sz w:val="20"/>
        </w:rPr>
        <w:sectPr w:rsidR="00DE575E">
          <w:pgSz w:w="8510" w:h="12760"/>
          <w:pgMar w:top="660" w:right="720" w:bottom="280" w:left="600" w:header="720" w:footer="720" w:gutter="0"/>
          <w:cols w:space="720"/>
        </w:sectPr>
      </w:pPr>
    </w:p>
    <w:p w14:paraId="1B0FFD00"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4F69A46B" w14:textId="7834A3A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A4A0AB4" wp14:editId="11A814DA">
                <wp:extent cx="4140200" cy="6350"/>
                <wp:effectExtent l="0" t="0" r="12700" b="6350"/>
                <wp:docPr id="1141"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42" name="Line 11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C74BCF" id="Group_x0020_11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PqH9034CAACcBQAADgAA&#10;AAAAAAAAAAAAAAAsAgAAZHJzL2Uyb0RvYy54bWxQSwECLQAUAAYACAAAACEATKewkNkAAAADAQAA&#10;DwAAAAAAAAAAAAAAAADWBAAAZHJzL2Rvd25yZXYueG1sUEsFBgAAAAAEAAQA8wAAANwFAAAAAA==&#10;">
                <v:line id="Line_x0020_11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PDNsQAAADdAAAADwAAAGRycy9kb3ducmV2LnhtbERP22rCQBB9F/oPyxR8kbrxgpTUVUQo&#10;FB+8pR8wZqdJ6O5szK4m7de7guDbHM515svOGnGlxleOFYyGCQji3OmKCwXf2efbOwgfkDUax6Tg&#10;jzwsFy+9OabatXyg6zEUIoawT1FBGUKdSunzkiz6oauJI/fjGoshwqaQusE2hlsjx0kykxYrjg0l&#10;1rQuKf89XqyC7DwIZr/bmDbbnSbydN5O/i9bpfqv3eoDRKAuPMUP95eO80fTMdy/iSfIx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k8M2xAAAAN0AAAAPAAAAAAAAAAAA&#10;AAAAAKECAABkcnMvZG93bnJldi54bWxQSwUGAAAAAAQABAD5AAAAkgMAAAAA&#10;" strokecolor="#231f20" strokeweight=".5pt"/>
                <w10:anchorlock/>
              </v:group>
            </w:pict>
          </mc:Fallback>
        </mc:AlternateContent>
      </w:r>
    </w:p>
    <w:p w14:paraId="22D57849" w14:textId="77777777" w:rsidR="00DE575E" w:rsidRDefault="00DE575E">
      <w:pPr>
        <w:pStyle w:val="BodyText"/>
        <w:spacing w:before="7"/>
        <w:rPr>
          <w:rFonts w:ascii="AdonisC"/>
          <w:i/>
          <w:sz w:val="19"/>
        </w:rPr>
      </w:pPr>
    </w:p>
    <w:p w14:paraId="72745312" w14:textId="77777777" w:rsidR="00DE575E" w:rsidRDefault="002E7560">
      <w:pPr>
        <w:pStyle w:val="ListParagraph"/>
        <w:numPr>
          <w:ilvl w:val="0"/>
          <w:numId w:val="261"/>
        </w:numPr>
        <w:tabs>
          <w:tab w:val="left" w:pos="818"/>
        </w:tabs>
        <w:ind w:firstLine="283"/>
        <w:jc w:val="left"/>
        <w:rPr>
          <w:sz w:val="21"/>
        </w:rPr>
      </w:pPr>
      <w:r>
        <w:rPr>
          <w:color w:val="231F20"/>
          <w:sz w:val="21"/>
        </w:rPr>
        <w:t>забезпечення нормативно-правового</w:t>
      </w:r>
      <w:r>
        <w:rPr>
          <w:color w:val="231F20"/>
          <w:spacing w:val="-3"/>
          <w:sz w:val="21"/>
        </w:rPr>
        <w:t xml:space="preserve"> </w:t>
      </w:r>
      <w:r>
        <w:rPr>
          <w:color w:val="231F20"/>
          <w:sz w:val="21"/>
        </w:rPr>
        <w:t>регулювання;</w:t>
      </w:r>
    </w:p>
    <w:p w14:paraId="73A3CF79" w14:textId="77777777" w:rsidR="00DE575E" w:rsidRDefault="002E7560">
      <w:pPr>
        <w:pStyle w:val="ListParagraph"/>
        <w:numPr>
          <w:ilvl w:val="0"/>
          <w:numId w:val="261"/>
        </w:numPr>
        <w:tabs>
          <w:tab w:val="left" w:pos="818"/>
        </w:tabs>
        <w:spacing w:before="12"/>
        <w:ind w:firstLine="283"/>
        <w:jc w:val="left"/>
        <w:rPr>
          <w:sz w:val="21"/>
        </w:rPr>
      </w:pPr>
      <w:r>
        <w:rPr>
          <w:color w:val="231F20"/>
          <w:sz w:val="21"/>
        </w:rPr>
        <w:t>визначення пріоритетних напрямків</w:t>
      </w:r>
      <w:r>
        <w:rPr>
          <w:color w:val="231F20"/>
          <w:spacing w:val="-1"/>
          <w:sz w:val="21"/>
        </w:rPr>
        <w:t xml:space="preserve"> </w:t>
      </w:r>
      <w:r>
        <w:rPr>
          <w:color w:val="231F20"/>
          <w:sz w:val="21"/>
        </w:rPr>
        <w:t>розвитку;</w:t>
      </w:r>
    </w:p>
    <w:p w14:paraId="6E5B518F" w14:textId="77777777" w:rsidR="00DE575E" w:rsidRDefault="002E7560">
      <w:pPr>
        <w:pStyle w:val="ListParagraph"/>
        <w:numPr>
          <w:ilvl w:val="0"/>
          <w:numId w:val="261"/>
        </w:numPr>
        <w:tabs>
          <w:tab w:val="left" w:pos="818"/>
        </w:tabs>
        <w:spacing w:before="13" w:line="252" w:lineRule="auto"/>
        <w:ind w:right="411" w:firstLine="283"/>
        <w:rPr>
          <w:sz w:val="21"/>
        </w:rPr>
      </w:pPr>
      <w:r>
        <w:rPr>
          <w:color w:val="231F20"/>
          <w:sz w:val="21"/>
        </w:rPr>
        <w:t>інформування</w:t>
      </w:r>
      <w:r>
        <w:rPr>
          <w:color w:val="231F20"/>
          <w:spacing w:val="-19"/>
          <w:sz w:val="21"/>
        </w:rPr>
        <w:t xml:space="preserve"> </w:t>
      </w:r>
      <w:r>
        <w:rPr>
          <w:color w:val="231F20"/>
          <w:sz w:val="21"/>
        </w:rPr>
        <w:t>та</w:t>
      </w:r>
      <w:r>
        <w:rPr>
          <w:color w:val="231F20"/>
          <w:spacing w:val="-19"/>
          <w:sz w:val="21"/>
        </w:rPr>
        <w:t xml:space="preserve"> </w:t>
      </w:r>
      <w:r>
        <w:rPr>
          <w:color w:val="231F20"/>
          <w:sz w:val="21"/>
        </w:rPr>
        <w:t>надання</w:t>
      </w:r>
      <w:r>
        <w:rPr>
          <w:color w:val="231F20"/>
          <w:spacing w:val="-19"/>
          <w:sz w:val="21"/>
        </w:rPr>
        <w:t xml:space="preserve"> </w:t>
      </w:r>
      <w:r>
        <w:rPr>
          <w:color w:val="231F20"/>
          <w:sz w:val="21"/>
        </w:rPr>
        <w:t>роз’яснень</w:t>
      </w:r>
      <w:r>
        <w:rPr>
          <w:color w:val="231F20"/>
          <w:spacing w:val="-19"/>
          <w:sz w:val="21"/>
        </w:rPr>
        <w:t xml:space="preserve"> </w:t>
      </w:r>
      <w:r>
        <w:rPr>
          <w:color w:val="231F20"/>
          <w:sz w:val="21"/>
        </w:rPr>
        <w:t>щодо</w:t>
      </w:r>
      <w:r>
        <w:rPr>
          <w:color w:val="231F20"/>
          <w:spacing w:val="-19"/>
          <w:sz w:val="21"/>
        </w:rPr>
        <w:t xml:space="preserve"> </w:t>
      </w:r>
      <w:r>
        <w:rPr>
          <w:color w:val="231F20"/>
          <w:sz w:val="21"/>
        </w:rPr>
        <w:t>здійснення</w:t>
      </w:r>
      <w:r>
        <w:rPr>
          <w:color w:val="231F20"/>
          <w:spacing w:val="-19"/>
          <w:sz w:val="21"/>
        </w:rPr>
        <w:t xml:space="preserve"> </w:t>
      </w:r>
      <w:r>
        <w:rPr>
          <w:color w:val="231F20"/>
          <w:sz w:val="21"/>
        </w:rPr>
        <w:t>держав- ної політики;</w:t>
      </w:r>
    </w:p>
    <w:p w14:paraId="4054DDD9" w14:textId="77777777" w:rsidR="00DE575E" w:rsidRDefault="002E7560">
      <w:pPr>
        <w:pStyle w:val="ListParagraph"/>
        <w:numPr>
          <w:ilvl w:val="0"/>
          <w:numId w:val="261"/>
        </w:numPr>
        <w:tabs>
          <w:tab w:val="left" w:pos="818"/>
        </w:tabs>
        <w:spacing w:line="252" w:lineRule="auto"/>
        <w:ind w:right="411" w:firstLine="283"/>
        <w:rPr>
          <w:sz w:val="21"/>
        </w:rPr>
      </w:pPr>
      <w:r>
        <w:rPr>
          <w:color w:val="231F20"/>
          <w:sz w:val="21"/>
        </w:rPr>
        <w:t>удосконалення</w:t>
      </w:r>
      <w:r>
        <w:rPr>
          <w:color w:val="231F20"/>
          <w:spacing w:val="-22"/>
          <w:sz w:val="21"/>
        </w:rPr>
        <w:t xml:space="preserve"> </w:t>
      </w:r>
      <w:r>
        <w:rPr>
          <w:color w:val="231F20"/>
          <w:sz w:val="21"/>
        </w:rPr>
        <w:t>практики</w:t>
      </w:r>
      <w:r>
        <w:rPr>
          <w:color w:val="231F20"/>
          <w:spacing w:val="-22"/>
          <w:sz w:val="21"/>
        </w:rPr>
        <w:t xml:space="preserve"> </w:t>
      </w:r>
      <w:r>
        <w:rPr>
          <w:color w:val="231F20"/>
          <w:sz w:val="21"/>
        </w:rPr>
        <w:t>застосування</w:t>
      </w:r>
      <w:r>
        <w:rPr>
          <w:color w:val="231F20"/>
          <w:spacing w:val="-22"/>
          <w:sz w:val="21"/>
        </w:rPr>
        <w:t xml:space="preserve"> </w:t>
      </w:r>
      <w:r>
        <w:rPr>
          <w:color w:val="231F20"/>
          <w:sz w:val="21"/>
        </w:rPr>
        <w:t>законодавства,</w:t>
      </w:r>
      <w:r>
        <w:rPr>
          <w:color w:val="231F20"/>
          <w:spacing w:val="-22"/>
          <w:sz w:val="21"/>
        </w:rPr>
        <w:t xml:space="preserve"> </w:t>
      </w:r>
      <w:r>
        <w:rPr>
          <w:color w:val="231F20"/>
          <w:sz w:val="21"/>
        </w:rPr>
        <w:t xml:space="preserve">розроб- лення пропозицій щодо його вдосконалення та внесення в установ- леному порядку проєктів законодавчих актів, актів Президента </w:t>
      </w:r>
      <w:r>
        <w:rPr>
          <w:color w:val="231F20"/>
          <w:spacing w:val="-3"/>
          <w:sz w:val="21"/>
        </w:rPr>
        <w:t xml:space="preserve">України, </w:t>
      </w:r>
      <w:r>
        <w:rPr>
          <w:color w:val="231F20"/>
          <w:sz w:val="21"/>
        </w:rPr>
        <w:t xml:space="preserve">Кабінету Міністрів </w:t>
      </w:r>
      <w:r>
        <w:rPr>
          <w:color w:val="231F20"/>
          <w:spacing w:val="-3"/>
          <w:sz w:val="21"/>
        </w:rPr>
        <w:t xml:space="preserve">України </w:t>
      </w:r>
      <w:r>
        <w:rPr>
          <w:color w:val="231F20"/>
          <w:sz w:val="21"/>
        </w:rPr>
        <w:t xml:space="preserve">на </w:t>
      </w:r>
      <w:r>
        <w:rPr>
          <w:color w:val="231F20"/>
          <w:spacing w:val="-3"/>
          <w:sz w:val="21"/>
        </w:rPr>
        <w:t xml:space="preserve">розгляд </w:t>
      </w:r>
      <w:r>
        <w:rPr>
          <w:color w:val="231F20"/>
          <w:sz w:val="21"/>
        </w:rPr>
        <w:t>Президентові та Кабінету</w:t>
      </w:r>
      <w:r>
        <w:rPr>
          <w:color w:val="231F20"/>
          <w:spacing w:val="-2"/>
          <w:sz w:val="21"/>
        </w:rPr>
        <w:t xml:space="preserve"> </w:t>
      </w:r>
      <w:r>
        <w:rPr>
          <w:color w:val="231F20"/>
          <w:sz w:val="21"/>
        </w:rPr>
        <w:t>Міністрів;</w:t>
      </w:r>
    </w:p>
    <w:p w14:paraId="12CFB443" w14:textId="77777777" w:rsidR="00DE575E" w:rsidRDefault="002E7560">
      <w:pPr>
        <w:pStyle w:val="ListParagraph"/>
        <w:numPr>
          <w:ilvl w:val="0"/>
          <w:numId w:val="261"/>
        </w:numPr>
        <w:tabs>
          <w:tab w:val="left" w:pos="818"/>
        </w:tabs>
        <w:spacing w:before="3" w:line="252" w:lineRule="auto"/>
        <w:ind w:right="413" w:firstLine="283"/>
        <w:rPr>
          <w:sz w:val="21"/>
        </w:rPr>
      </w:pPr>
      <w:r>
        <w:rPr>
          <w:color w:val="231F20"/>
          <w:sz w:val="21"/>
        </w:rPr>
        <w:t>забезпечення здійснення соціального діал</w:t>
      </w:r>
      <w:r>
        <w:rPr>
          <w:color w:val="231F20"/>
          <w:sz w:val="21"/>
        </w:rPr>
        <w:t>огу на галузевому рівні;</w:t>
      </w:r>
    </w:p>
    <w:p w14:paraId="45432D6E" w14:textId="77777777" w:rsidR="00DE575E" w:rsidRDefault="002E7560">
      <w:pPr>
        <w:pStyle w:val="ListParagraph"/>
        <w:numPr>
          <w:ilvl w:val="0"/>
          <w:numId w:val="261"/>
        </w:numPr>
        <w:tabs>
          <w:tab w:val="left" w:pos="818"/>
        </w:tabs>
        <w:spacing w:line="252" w:lineRule="auto"/>
        <w:ind w:left="533" w:right="411" w:firstLine="0"/>
        <w:jc w:val="left"/>
        <w:rPr>
          <w:sz w:val="21"/>
        </w:rPr>
      </w:pPr>
      <w:r>
        <w:rPr>
          <w:color w:val="231F20"/>
          <w:sz w:val="21"/>
        </w:rPr>
        <w:t xml:space="preserve">здійснення інших завдань, визначених законами </w:t>
      </w:r>
      <w:r>
        <w:rPr>
          <w:color w:val="231F20"/>
          <w:spacing w:val="-3"/>
          <w:sz w:val="21"/>
        </w:rPr>
        <w:t xml:space="preserve">України. </w:t>
      </w:r>
      <w:r>
        <w:rPr>
          <w:color w:val="231F20"/>
          <w:sz w:val="21"/>
        </w:rPr>
        <w:t>Наявність повноважень щодо нормативно-правового</w:t>
      </w:r>
      <w:r>
        <w:rPr>
          <w:color w:val="231F20"/>
          <w:spacing w:val="43"/>
          <w:sz w:val="21"/>
        </w:rPr>
        <w:t xml:space="preserve"> </w:t>
      </w:r>
      <w:r>
        <w:rPr>
          <w:color w:val="231F20"/>
          <w:spacing w:val="-3"/>
          <w:sz w:val="21"/>
        </w:rPr>
        <w:t>регулю-</w:t>
      </w:r>
    </w:p>
    <w:p w14:paraId="3D32AC8D" w14:textId="77777777" w:rsidR="00DE575E" w:rsidRDefault="002E7560">
      <w:pPr>
        <w:pStyle w:val="BodyText"/>
        <w:spacing w:before="1" w:line="252" w:lineRule="auto"/>
        <w:ind w:left="250"/>
      </w:pPr>
      <w:r>
        <w:rPr>
          <w:color w:val="231F20"/>
        </w:rPr>
        <w:t>вання є ще однією ознакою, що відрізняє міністерства від інших центральних органів виконавчої влади.</w:t>
      </w:r>
    </w:p>
    <w:p w14:paraId="5C128406" w14:textId="77777777" w:rsidR="00DE575E" w:rsidRDefault="002E7560">
      <w:pPr>
        <w:pStyle w:val="BodyText"/>
        <w:spacing w:before="1" w:line="252" w:lineRule="auto"/>
        <w:ind w:left="250" w:right="411" w:firstLine="283"/>
        <w:jc w:val="both"/>
      </w:pPr>
      <w:r>
        <w:rPr>
          <w:color w:val="231F20"/>
        </w:rPr>
        <w:t xml:space="preserve">Звертаємо </w:t>
      </w:r>
      <w:r>
        <w:rPr>
          <w:color w:val="231F20"/>
          <w:spacing w:val="-3"/>
        </w:rPr>
        <w:t xml:space="preserve">увагу, </w:t>
      </w:r>
      <w:r>
        <w:rPr>
          <w:color w:val="231F20"/>
        </w:rPr>
        <w:t>що</w:t>
      </w:r>
      <w:r>
        <w:rPr>
          <w:color w:val="231F20"/>
        </w:rPr>
        <w:t xml:space="preserve"> згідно із Законом міністр має подвійний правовий</w:t>
      </w:r>
      <w:r>
        <w:rPr>
          <w:color w:val="231F20"/>
          <w:spacing w:val="-6"/>
        </w:rPr>
        <w:t xml:space="preserve"> </w:t>
      </w:r>
      <w:r>
        <w:rPr>
          <w:color w:val="231F20"/>
        </w:rPr>
        <w:t>статус,</w:t>
      </w:r>
      <w:r>
        <w:rPr>
          <w:color w:val="231F20"/>
          <w:spacing w:val="-5"/>
        </w:rPr>
        <w:t xml:space="preserve"> </w:t>
      </w:r>
      <w:r>
        <w:rPr>
          <w:color w:val="231F20"/>
        </w:rPr>
        <w:t>оскільки</w:t>
      </w:r>
      <w:r>
        <w:rPr>
          <w:color w:val="231F20"/>
          <w:spacing w:val="-5"/>
        </w:rPr>
        <w:t xml:space="preserve"> </w:t>
      </w:r>
      <w:r>
        <w:rPr>
          <w:color w:val="231F20"/>
        </w:rPr>
        <w:t>постає</w:t>
      </w:r>
      <w:r>
        <w:rPr>
          <w:color w:val="231F20"/>
          <w:spacing w:val="-5"/>
        </w:rPr>
        <w:t xml:space="preserve"> </w:t>
      </w:r>
      <w:r>
        <w:rPr>
          <w:color w:val="231F20"/>
        </w:rPr>
        <w:t>і</w:t>
      </w:r>
      <w:r>
        <w:rPr>
          <w:color w:val="231F20"/>
          <w:spacing w:val="-6"/>
        </w:rPr>
        <w:t xml:space="preserve"> </w:t>
      </w:r>
      <w:r>
        <w:rPr>
          <w:color w:val="231F20"/>
        </w:rPr>
        <w:t>як</w:t>
      </w:r>
      <w:r>
        <w:rPr>
          <w:color w:val="231F20"/>
          <w:spacing w:val="-5"/>
        </w:rPr>
        <w:t xml:space="preserve"> </w:t>
      </w:r>
      <w:r>
        <w:rPr>
          <w:color w:val="231F20"/>
        </w:rPr>
        <w:t>член</w:t>
      </w:r>
      <w:r>
        <w:rPr>
          <w:color w:val="231F20"/>
          <w:spacing w:val="-5"/>
        </w:rPr>
        <w:t xml:space="preserve"> </w:t>
      </w:r>
      <w:r>
        <w:rPr>
          <w:color w:val="231F20"/>
          <w:spacing w:val="-6"/>
        </w:rPr>
        <w:t xml:space="preserve">Уряду, </w:t>
      </w:r>
      <w:r>
        <w:rPr>
          <w:color w:val="231F20"/>
        </w:rPr>
        <w:t>і</w:t>
      </w:r>
      <w:r>
        <w:rPr>
          <w:color w:val="231F20"/>
          <w:spacing w:val="-6"/>
        </w:rPr>
        <w:t xml:space="preserve"> </w:t>
      </w:r>
      <w:r>
        <w:rPr>
          <w:color w:val="231F20"/>
        </w:rPr>
        <w:t>як</w:t>
      </w:r>
      <w:r>
        <w:rPr>
          <w:color w:val="231F20"/>
          <w:spacing w:val="-5"/>
        </w:rPr>
        <w:t xml:space="preserve"> </w:t>
      </w:r>
      <w:r>
        <w:rPr>
          <w:color w:val="231F20"/>
        </w:rPr>
        <w:t>керівник</w:t>
      </w:r>
      <w:r>
        <w:rPr>
          <w:color w:val="231F20"/>
          <w:spacing w:val="-6"/>
        </w:rPr>
        <w:t xml:space="preserve"> </w:t>
      </w:r>
      <w:r>
        <w:rPr>
          <w:color w:val="231F20"/>
        </w:rPr>
        <w:t xml:space="preserve">мініс- терства. При цьому </w:t>
      </w:r>
      <w:r>
        <w:rPr>
          <w:i/>
          <w:color w:val="231F20"/>
        </w:rPr>
        <w:t xml:space="preserve">як член КМУ </w:t>
      </w:r>
      <w:r>
        <w:rPr>
          <w:color w:val="231F20"/>
        </w:rPr>
        <w:t xml:space="preserve">він здійснює повноваження, визна- чені Законом </w:t>
      </w:r>
      <w:r>
        <w:rPr>
          <w:color w:val="231F20"/>
          <w:spacing w:val="-3"/>
        </w:rPr>
        <w:t xml:space="preserve">України </w:t>
      </w:r>
      <w:r>
        <w:rPr>
          <w:color w:val="231F20"/>
        </w:rPr>
        <w:t xml:space="preserve">«Про Кабінет Міністрів </w:t>
      </w:r>
      <w:r>
        <w:rPr>
          <w:color w:val="231F20"/>
          <w:spacing w:val="-3"/>
        </w:rPr>
        <w:t xml:space="preserve">України», </w:t>
      </w:r>
      <w:r>
        <w:rPr>
          <w:color w:val="231F20"/>
        </w:rPr>
        <w:t xml:space="preserve">зокрема щодо спрямування </w:t>
      </w:r>
      <w:r>
        <w:rPr>
          <w:color w:val="231F20"/>
        </w:rPr>
        <w:t xml:space="preserve">та координації діяльності центральних органів виконавчої влади. </w:t>
      </w:r>
      <w:r>
        <w:rPr>
          <w:i/>
          <w:color w:val="231F20"/>
        </w:rPr>
        <w:t>Як керівник міністерства</w:t>
      </w:r>
      <w:r>
        <w:rPr>
          <w:color w:val="231F20"/>
        </w:rPr>
        <w:t>,</w:t>
      </w:r>
      <w:r>
        <w:rPr>
          <w:color w:val="231F20"/>
          <w:spacing w:val="-7"/>
        </w:rPr>
        <w:t xml:space="preserve"> </w:t>
      </w:r>
      <w:r>
        <w:rPr>
          <w:color w:val="231F20"/>
        </w:rPr>
        <w:t>міністр:</w:t>
      </w:r>
    </w:p>
    <w:p w14:paraId="4D5FBC1C" w14:textId="77777777" w:rsidR="00DE575E" w:rsidRDefault="002E7560">
      <w:pPr>
        <w:pStyle w:val="ListParagraph"/>
        <w:numPr>
          <w:ilvl w:val="0"/>
          <w:numId w:val="261"/>
        </w:numPr>
        <w:tabs>
          <w:tab w:val="left" w:pos="818"/>
        </w:tabs>
        <w:spacing w:before="3"/>
        <w:ind w:firstLine="283"/>
        <w:jc w:val="left"/>
        <w:rPr>
          <w:sz w:val="21"/>
        </w:rPr>
      </w:pPr>
      <w:r>
        <w:rPr>
          <w:color w:val="231F20"/>
          <w:sz w:val="21"/>
        </w:rPr>
        <w:t>очолює міністерство, здійснює керівництво його</w:t>
      </w:r>
      <w:r>
        <w:rPr>
          <w:color w:val="231F20"/>
          <w:spacing w:val="-7"/>
          <w:sz w:val="21"/>
        </w:rPr>
        <w:t xml:space="preserve"> </w:t>
      </w:r>
      <w:r>
        <w:rPr>
          <w:color w:val="231F20"/>
          <w:sz w:val="21"/>
        </w:rPr>
        <w:t>діяльністю;</w:t>
      </w:r>
    </w:p>
    <w:p w14:paraId="6CC06785" w14:textId="77777777" w:rsidR="00DE575E" w:rsidRDefault="002E7560">
      <w:pPr>
        <w:pStyle w:val="ListParagraph"/>
        <w:numPr>
          <w:ilvl w:val="0"/>
          <w:numId w:val="261"/>
        </w:numPr>
        <w:tabs>
          <w:tab w:val="left" w:pos="818"/>
        </w:tabs>
        <w:spacing w:before="12" w:line="252" w:lineRule="auto"/>
        <w:ind w:right="411" w:firstLine="283"/>
        <w:rPr>
          <w:sz w:val="21"/>
        </w:rPr>
      </w:pPr>
      <w:r>
        <w:rPr>
          <w:color w:val="231F20"/>
          <w:sz w:val="21"/>
        </w:rPr>
        <w:t xml:space="preserve">у межах своєї компетенції організовує та контролює вико- нання міністерством Конституції </w:t>
      </w:r>
      <w:r>
        <w:rPr>
          <w:color w:val="231F20"/>
          <w:spacing w:val="-3"/>
          <w:sz w:val="21"/>
        </w:rPr>
        <w:t xml:space="preserve">України, </w:t>
      </w:r>
      <w:r>
        <w:rPr>
          <w:color w:val="231F20"/>
          <w:sz w:val="21"/>
        </w:rPr>
        <w:t xml:space="preserve">законів </w:t>
      </w:r>
      <w:r>
        <w:rPr>
          <w:color w:val="231F20"/>
          <w:spacing w:val="-3"/>
          <w:sz w:val="21"/>
        </w:rPr>
        <w:t xml:space="preserve">України, </w:t>
      </w:r>
      <w:r>
        <w:rPr>
          <w:color w:val="231F20"/>
          <w:sz w:val="21"/>
        </w:rPr>
        <w:t xml:space="preserve">актів Президента </w:t>
      </w:r>
      <w:r>
        <w:rPr>
          <w:color w:val="231F20"/>
          <w:spacing w:val="-3"/>
          <w:sz w:val="21"/>
        </w:rPr>
        <w:t xml:space="preserve">України, </w:t>
      </w:r>
      <w:r>
        <w:rPr>
          <w:color w:val="231F20"/>
          <w:sz w:val="21"/>
        </w:rPr>
        <w:t>актів Кабінету Міністрів</w:t>
      </w:r>
      <w:r>
        <w:rPr>
          <w:color w:val="231F20"/>
          <w:spacing w:val="-4"/>
          <w:sz w:val="21"/>
        </w:rPr>
        <w:t xml:space="preserve"> </w:t>
      </w:r>
      <w:r>
        <w:rPr>
          <w:color w:val="231F20"/>
          <w:spacing w:val="-3"/>
          <w:sz w:val="21"/>
        </w:rPr>
        <w:t>України;</w:t>
      </w:r>
    </w:p>
    <w:p w14:paraId="2C5041FE" w14:textId="77777777" w:rsidR="00DE575E" w:rsidRDefault="002E7560">
      <w:pPr>
        <w:pStyle w:val="ListParagraph"/>
        <w:numPr>
          <w:ilvl w:val="0"/>
          <w:numId w:val="261"/>
        </w:numPr>
        <w:tabs>
          <w:tab w:val="left" w:pos="818"/>
        </w:tabs>
        <w:spacing w:before="2" w:line="252" w:lineRule="auto"/>
        <w:ind w:right="411" w:firstLine="283"/>
        <w:rPr>
          <w:sz w:val="21"/>
        </w:rPr>
      </w:pPr>
      <w:r>
        <w:rPr>
          <w:color w:val="231F20"/>
          <w:sz w:val="21"/>
        </w:rPr>
        <w:t>затверджує структуру апарату міністерства і його територі- альних</w:t>
      </w:r>
      <w:r>
        <w:rPr>
          <w:color w:val="231F20"/>
          <w:spacing w:val="-2"/>
          <w:sz w:val="21"/>
        </w:rPr>
        <w:t xml:space="preserve"> </w:t>
      </w:r>
      <w:r>
        <w:rPr>
          <w:color w:val="231F20"/>
          <w:sz w:val="21"/>
        </w:rPr>
        <w:t>органів;</w:t>
      </w:r>
    </w:p>
    <w:p w14:paraId="1E007DAD" w14:textId="77777777" w:rsidR="00DE575E" w:rsidRDefault="002E7560">
      <w:pPr>
        <w:pStyle w:val="ListParagraph"/>
        <w:numPr>
          <w:ilvl w:val="0"/>
          <w:numId w:val="261"/>
        </w:numPr>
        <w:tabs>
          <w:tab w:val="left" w:pos="818"/>
        </w:tabs>
        <w:spacing w:line="252" w:lineRule="auto"/>
        <w:ind w:right="411" w:firstLine="283"/>
        <w:rPr>
          <w:sz w:val="21"/>
        </w:rPr>
      </w:pPr>
      <w:r>
        <w:rPr>
          <w:color w:val="231F20"/>
          <w:sz w:val="21"/>
        </w:rPr>
        <w:t xml:space="preserve">представляє міністерство в публічно-правових відносинах з іншими органами, підприємствами,  установами  та  організаціями в </w:t>
      </w:r>
      <w:r>
        <w:rPr>
          <w:color w:val="231F20"/>
          <w:spacing w:val="-3"/>
          <w:sz w:val="21"/>
        </w:rPr>
        <w:t xml:space="preserve">Україні </w:t>
      </w:r>
      <w:r>
        <w:rPr>
          <w:color w:val="231F20"/>
          <w:sz w:val="21"/>
        </w:rPr>
        <w:t>та за її</w:t>
      </w:r>
      <w:r>
        <w:rPr>
          <w:color w:val="231F20"/>
          <w:spacing w:val="-1"/>
          <w:sz w:val="21"/>
        </w:rPr>
        <w:t xml:space="preserve"> </w:t>
      </w:r>
      <w:r>
        <w:rPr>
          <w:color w:val="231F20"/>
          <w:sz w:val="21"/>
        </w:rPr>
        <w:t>межами;</w:t>
      </w:r>
    </w:p>
    <w:p w14:paraId="13E20581" w14:textId="77777777" w:rsidR="00DE575E" w:rsidRDefault="002E7560">
      <w:pPr>
        <w:pStyle w:val="ListParagraph"/>
        <w:numPr>
          <w:ilvl w:val="0"/>
          <w:numId w:val="261"/>
        </w:numPr>
        <w:tabs>
          <w:tab w:val="left" w:pos="818"/>
        </w:tabs>
        <w:ind w:firstLine="283"/>
        <w:jc w:val="left"/>
        <w:rPr>
          <w:sz w:val="21"/>
        </w:rPr>
      </w:pPr>
      <w:r>
        <w:rPr>
          <w:color w:val="231F20"/>
          <w:sz w:val="21"/>
        </w:rPr>
        <w:t>підписує накази</w:t>
      </w:r>
      <w:r>
        <w:rPr>
          <w:color w:val="231F20"/>
          <w:spacing w:val="-2"/>
          <w:sz w:val="21"/>
        </w:rPr>
        <w:t xml:space="preserve"> </w:t>
      </w:r>
      <w:r>
        <w:rPr>
          <w:color w:val="231F20"/>
          <w:sz w:val="21"/>
        </w:rPr>
        <w:t>міністерства;</w:t>
      </w:r>
    </w:p>
    <w:p w14:paraId="60F9ED6B" w14:textId="77777777" w:rsidR="00DE575E" w:rsidRDefault="002E7560">
      <w:pPr>
        <w:pStyle w:val="ListParagraph"/>
        <w:numPr>
          <w:ilvl w:val="0"/>
          <w:numId w:val="261"/>
        </w:numPr>
        <w:tabs>
          <w:tab w:val="left" w:pos="818"/>
        </w:tabs>
        <w:spacing w:before="13" w:line="252" w:lineRule="auto"/>
        <w:ind w:right="410" w:firstLine="283"/>
        <w:rPr>
          <w:sz w:val="21"/>
        </w:rPr>
      </w:pPr>
      <w:r>
        <w:rPr>
          <w:color w:val="231F20"/>
          <w:sz w:val="21"/>
        </w:rPr>
        <w:t xml:space="preserve">дає обов’язкові для виконання державними службовцями та працівниками апарату </w:t>
      </w:r>
      <w:r>
        <w:rPr>
          <w:color w:val="231F20"/>
          <w:sz w:val="21"/>
        </w:rPr>
        <w:t>міністерства</w:t>
      </w:r>
      <w:r>
        <w:rPr>
          <w:color w:val="231F20"/>
          <w:spacing w:val="-4"/>
          <w:sz w:val="21"/>
        </w:rPr>
        <w:t xml:space="preserve"> </w:t>
      </w:r>
      <w:r>
        <w:rPr>
          <w:color w:val="231F20"/>
          <w:sz w:val="21"/>
        </w:rPr>
        <w:t>доручення.</w:t>
      </w:r>
    </w:p>
    <w:p w14:paraId="6F160D9E" w14:textId="77777777" w:rsidR="00DE575E" w:rsidRDefault="002E7560">
      <w:pPr>
        <w:pStyle w:val="BodyText"/>
        <w:spacing w:before="1" w:line="252" w:lineRule="auto"/>
        <w:ind w:left="250" w:right="409" w:firstLine="283"/>
        <w:jc w:val="both"/>
      </w:pPr>
      <w:r>
        <w:rPr>
          <w:color w:val="231F20"/>
        </w:rPr>
        <w:t>Звертаємо увагу, що відповідно до ч. 2 ст. 2 зазначеного Закону міністерства діють за принципом єдиноначальності. Це означає, що за таким критерієм, як спосіб ухвалення владних рішень, міністер- ство належить до єдиноначальних (одно</w:t>
      </w:r>
      <w:r>
        <w:rPr>
          <w:color w:val="231F20"/>
        </w:rPr>
        <w:t>особових), а не колегіаль- них органів. Відповідно органом по суті є сам міністр, а не міністер- ство. У зв’язку з цим дискусійним із теоретичної точки зору можна</w:t>
      </w:r>
    </w:p>
    <w:p w14:paraId="3C1547E1" w14:textId="77777777" w:rsidR="00DE575E" w:rsidRDefault="00DE575E">
      <w:pPr>
        <w:pStyle w:val="BodyText"/>
        <w:spacing w:before="7"/>
        <w:rPr>
          <w:sz w:val="12"/>
        </w:rPr>
      </w:pPr>
    </w:p>
    <w:p w14:paraId="177368B8" w14:textId="77777777" w:rsidR="00DE575E" w:rsidRDefault="002E7560">
      <w:pPr>
        <w:spacing w:before="92"/>
        <w:ind w:right="411"/>
        <w:jc w:val="right"/>
        <w:rPr>
          <w:rFonts w:ascii="Times New Roman"/>
          <w:sz w:val="20"/>
        </w:rPr>
      </w:pPr>
      <w:r>
        <w:rPr>
          <w:rFonts w:ascii="Times New Roman"/>
          <w:color w:val="231F20"/>
          <w:w w:val="90"/>
          <w:sz w:val="20"/>
        </w:rPr>
        <w:t>105</w:t>
      </w:r>
    </w:p>
    <w:p w14:paraId="4185167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9BC835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0086B57" w14:textId="73674AB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EAF1751" wp14:editId="5EB57C1D">
                <wp:extent cx="4140200" cy="6350"/>
                <wp:effectExtent l="0" t="0" r="12700" b="6350"/>
                <wp:docPr id="1139"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40" name="Line 11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4BDF8" id="Group_x0020_11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F2sx+gAIAAJwFAAAO&#10;AAAAAAAAAAAAAAAAACwCAABkcnMvZTJvRG9jLnhtbFBLAQItABQABgAIAAAAIQBMp7CQ2QAAAAMB&#10;AAAPAAAAAAAAAAAAAAAAANgEAABkcnMvZG93bnJldi54bWxQSwUGAAAAAAQABADzAAAA3gUAAAAA&#10;">
                <v:line id="Line_x0020_11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342sgAAADdAAAADwAAAGRycy9kb3ducmV2LnhtbESPQWvCQBCF74X+h2UKXkrdqEVK6iql&#10;IIgHraY/YMxOk9Dd2ZhdTeyv7xwKvc3w3rz3zWI1eKeu1MUmsIHJOANFXAbbcGXgs1g/vYCKCdmi&#10;C0wGbhRhtby/W2BuQ88Huh5TpSSEY44G6pTaXOtY1uQxjkNLLNpX6DwmWbtK2w57CfdOT7Nsrj02&#10;LA01tvReU/l9vHgDxfkxuY/91vXF/jTTp/Nu9nPZGTN6GN5eQSUa0r/573pjBX/yLPzyjYy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A342sgAAADdAAAADwAAAAAA&#10;AAAAAAAAAAChAgAAZHJzL2Rvd25yZXYueG1sUEsFBgAAAAAEAAQA+QAAAJYDAAAAAA==&#10;" strokecolor="#231f20" strokeweight=".5pt"/>
                <w10:anchorlock/>
              </v:group>
            </w:pict>
          </mc:Fallback>
        </mc:AlternateContent>
      </w:r>
    </w:p>
    <w:p w14:paraId="1E0AB94E" w14:textId="77777777" w:rsidR="00DE575E" w:rsidRDefault="00DE575E">
      <w:pPr>
        <w:pStyle w:val="BodyText"/>
        <w:spacing w:before="7"/>
        <w:rPr>
          <w:rFonts w:ascii="AdonisC"/>
          <w:i/>
          <w:sz w:val="11"/>
        </w:rPr>
      </w:pPr>
    </w:p>
    <w:p w14:paraId="1C73B0DE" w14:textId="77777777" w:rsidR="00DE575E" w:rsidRDefault="002E7560">
      <w:pPr>
        <w:pStyle w:val="BodyText"/>
        <w:spacing w:before="101" w:line="252" w:lineRule="auto"/>
        <w:ind w:left="533"/>
      </w:pPr>
      <w:r>
        <w:rPr>
          <w:color w:val="231F20"/>
        </w:rPr>
        <w:t>вважати положення Закону про те, що міністр є керівником мініс- терства.</w:t>
      </w:r>
    </w:p>
    <w:p w14:paraId="1D54EBB9" w14:textId="77777777" w:rsidR="00DE575E" w:rsidRDefault="002E7560">
      <w:pPr>
        <w:pStyle w:val="BodyText"/>
        <w:spacing w:before="1" w:line="252" w:lineRule="auto"/>
        <w:ind w:left="533" w:right="127" w:firstLine="283"/>
        <w:jc w:val="both"/>
      </w:pPr>
      <w:r>
        <w:rPr>
          <w:i/>
          <w:color w:val="231F20"/>
        </w:rPr>
        <w:t xml:space="preserve">Міністр має першого заступника та заступників </w:t>
      </w:r>
      <w:r>
        <w:rPr>
          <w:color w:val="231F20"/>
        </w:rPr>
        <w:t xml:space="preserve">(один з яких      є заступником із питань боротьби з корупцією), які призначаються на посади та звільняються з посад Кабінетом Міністрів </w:t>
      </w:r>
      <w:r>
        <w:rPr>
          <w:color w:val="231F20"/>
          <w:spacing w:val="-3"/>
        </w:rPr>
        <w:t xml:space="preserve">України </w:t>
      </w:r>
      <w:r>
        <w:rPr>
          <w:color w:val="231F20"/>
        </w:rPr>
        <w:t xml:space="preserve">за поданням </w:t>
      </w:r>
      <w:r>
        <w:rPr>
          <w:color w:val="231F20"/>
          <w:spacing w:val="-3"/>
        </w:rPr>
        <w:t xml:space="preserve">Прем’єр-міністра України </w:t>
      </w:r>
      <w:r>
        <w:rPr>
          <w:color w:val="231F20"/>
        </w:rPr>
        <w:t>відповідно до пропозицій відпо- відного</w:t>
      </w:r>
      <w:r>
        <w:rPr>
          <w:color w:val="231F20"/>
          <w:spacing w:val="-2"/>
        </w:rPr>
        <w:t xml:space="preserve"> </w:t>
      </w:r>
      <w:r>
        <w:rPr>
          <w:color w:val="231F20"/>
        </w:rPr>
        <w:t>міністра.</w:t>
      </w:r>
    </w:p>
    <w:p w14:paraId="5DE3DF16" w14:textId="77777777" w:rsidR="00DE575E" w:rsidRDefault="002E7560">
      <w:pPr>
        <w:pStyle w:val="BodyText"/>
        <w:spacing w:before="2" w:line="252" w:lineRule="auto"/>
        <w:ind w:left="533" w:right="125" w:firstLine="283"/>
        <w:jc w:val="both"/>
      </w:pPr>
      <w:r>
        <w:rPr>
          <w:color w:val="231F20"/>
        </w:rPr>
        <w:t>Незалежно</w:t>
      </w:r>
      <w:r>
        <w:rPr>
          <w:color w:val="231F20"/>
          <w:spacing w:val="-13"/>
        </w:rPr>
        <w:t xml:space="preserve"> </w:t>
      </w:r>
      <w:r>
        <w:rPr>
          <w:color w:val="231F20"/>
        </w:rPr>
        <w:t>від</w:t>
      </w:r>
      <w:r>
        <w:rPr>
          <w:color w:val="231F20"/>
          <w:spacing w:val="-13"/>
        </w:rPr>
        <w:t xml:space="preserve"> </w:t>
      </w:r>
      <w:r>
        <w:rPr>
          <w:color w:val="231F20"/>
        </w:rPr>
        <w:t>політичних</w:t>
      </w:r>
      <w:r>
        <w:rPr>
          <w:color w:val="231F20"/>
          <w:spacing w:val="-13"/>
        </w:rPr>
        <w:t xml:space="preserve"> </w:t>
      </w:r>
      <w:r>
        <w:rPr>
          <w:color w:val="231F20"/>
        </w:rPr>
        <w:t>змін</w:t>
      </w:r>
      <w:r>
        <w:rPr>
          <w:color w:val="231F20"/>
          <w:spacing w:val="-13"/>
        </w:rPr>
        <w:t xml:space="preserve"> </w:t>
      </w:r>
      <w:r>
        <w:rPr>
          <w:color w:val="231F20"/>
        </w:rPr>
        <w:t>у</w:t>
      </w:r>
      <w:r>
        <w:rPr>
          <w:color w:val="231F20"/>
          <w:spacing w:val="-14"/>
        </w:rPr>
        <w:t xml:space="preserve"> </w:t>
      </w:r>
      <w:r>
        <w:rPr>
          <w:color w:val="231F20"/>
        </w:rPr>
        <w:t>державі,</w:t>
      </w:r>
      <w:r>
        <w:rPr>
          <w:color w:val="231F20"/>
          <w:spacing w:val="-13"/>
        </w:rPr>
        <w:t xml:space="preserve"> </w:t>
      </w:r>
      <w:r>
        <w:rPr>
          <w:color w:val="231F20"/>
        </w:rPr>
        <w:t>що</w:t>
      </w:r>
      <w:r>
        <w:rPr>
          <w:color w:val="231F20"/>
          <w:spacing w:val="-13"/>
        </w:rPr>
        <w:t xml:space="preserve"> </w:t>
      </w:r>
      <w:r>
        <w:rPr>
          <w:color w:val="231F20"/>
        </w:rPr>
        <w:t>можуть</w:t>
      </w:r>
      <w:r>
        <w:rPr>
          <w:color w:val="231F20"/>
          <w:spacing w:val="-13"/>
        </w:rPr>
        <w:t xml:space="preserve"> </w:t>
      </w:r>
      <w:r>
        <w:rPr>
          <w:color w:val="231F20"/>
        </w:rPr>
        <w:t>мати</w:t>
      </w:r>
      <w:r>
        <w:rPr>
          <w:color w:val="231F20"/>
          <w:spacing w:val="-13"/>
        </w:rPr>
        <w:t xml:space="preserve"> </w:t>
      </w:r>
      <w:r>
        <w:rPr>
          <w:color w:val="231F20"/>
        </w:rPr>
        <w:t xml:space="preserve">наслід- ком зміну </w:t>
      </w:r>
      <w:r>
        <w:rPr>
          <w:color w:val="231F20"/>
          <w:spacing w:val="-6"/>
        </w:rPr>
        <w:t xml:space="preserve">Уряду, </w:t>
      </w:r>
      <w:r>
        <w:rPr>
          <w:color w:val="231F20"/>
        </w:rPr>
        <w:t xml:space="preserve">або окремих членів </w:t>
      </w:r>
      <w:r>
        <w:rPr>
          <w:color w:val="231F20"/>
          <w:spacing w:val="-3"/>
        </w:rPr>
        <w:t xml:space="preserve">уряду, </w:t>
      </w:r>
      <w:r>
        <w:rPr>
          <w:color w:val="231F20"/>
        </w:rPr>
        <w:t>міністерство мусить стабільно працювати. З метою забезпечення діяльності міністер- ства, стабільності та наступності у його роботі, організації поточної роботи, пов’язаної і</w:t>
      </w:r>
      <w:r>
        <w:rPr>
          <w:color w:val="231F20"/>
        </w:rPr>
        <w:t xml:space="preserve">з здійсненням його повноважень, у міністерстві є посада державного секретаря. Державний секретар міністерства   є вищою посадовою особою з-поміж державних службовців мініс- терства. Державний секретар підзвітний і підконтрольний </w:t>
      </w:r>
      <w:r>
        <w:rPr>
          <w:color w:val="231F20"/>
          <w:spacing w:val="-3"/>
        </w:rPr>
        <w:t xml:space="preserve">міністру. </w:t>
      </w:r>
      <w:r>
        <w:rPr>
          <w:color w:val="231F20"/>
        </w:rPr>
        <w:t>Державний секрета</w:t>
      </w:r>
      <w:r>
        <w:rPr>
          <w:color w:val="231F20"/>
        </w:rPr>
        <w:t>р міністерства призначається на посаду КМУ на строк п’ять років із правом повторного</w:t>
      </w:r>
      <w:r>
        <w:rPr>
          <w:color w:val="231F20"/>
          <w:spacing w:val="-5"/>
        </w:rPr>
        <w:t xml:space="preserve"> </w:t>
      </w:r>
      <w:r>
        <w:rPr>
          <w:color w:val="231F20"/>
        </w:rPr>
        <w:t>призначення.</w:t>
      </w:r>
    </w:p>
    <w:p w14:paraId="09F248C1" w14:textId="77777777" w:rsidR="00DE575E" w:rsidRDefault="002E7560">
      <w:pPr>
        <w:pStyle w:val="BodyText"/>
        <w:spacing w:before="5" w:line="252" w:lineRule="auto"/>
        <w:ind w:left="533" w:right="128" w:firstLine="283"/>
        <w:jc w:val="both"/>
      </w:pPr>
      <w:r>
        <w:rPr>
          <w:i/>
          <w:color w:val="231F20"/>
        </w:rPr>
        <w:t>Державний</w:t>
      </w:r>
      <w:r>
        <w:rPr>
          <w:i/>
          <w:color w:val="231F20"/>
          <w:spacing w:val="-10"/>
        </w:rPr>
        <w:t xml:space="preserve"> </w:t>
      </w:r>
      <w:r>
        <w:rPr>
          <w:i/>
          <w:color w:val="231F20"/>
        </w:rPr>
        <w:t>секретар</w:t>
      </w:r>
      <w:r>
        <w:rPr>
          <w:i/>
          <w:color w:val="231F20"/>
          <w:spacing w:val="-10"/>
        </w:rPr>
        <w:t xml:space="preserve"> </w:t>
      </w:r>
      <w:r>
        <w:rPr>
          <w:color w:val="231F20"/>
        </w:rPr>
        <w:t>очолює</w:t>
      </w:r>
      <w:r>
        <w:rPr>
          <w:color w:val="231F20"/>
          <w:spacing w:val="-10"/>
        </w:rPr>
        <w:t xml:space="preserve"> </w:t>
      </w:r>
      <w:r>
        <w:rPr>
          <w:color w:val="231F20"/>
        </w:rPr>
        <w:t>апарат</w:t>
      </w:r>
      <w:r>
        <w:rPr>
          <w:color w:val="231F20"/>
          <w:spacing w:val="-10"/>
        </w:rPr>
        <w:t xml:space="preserve"> </w:t>
      </w:r>
      <w:r>
        <w:rPr>
          <w:color w:val="231F20"/>
        </w:rPr>
        <w:t>міністерства</w:t>
      </w:r>
      <w:r>
        <w:rPr>
          <w:color w:val="231F20"/>
          <w:spacing w:val="-10"/>
        </w:rPr>
        <w:t xml:space="preserve"> </w:t>
      </w:r>
      <w:r>
        <w:rPr>
          <w:color w:val="231F20"/>
        </w:rPr>
        <w:t>–</w:t>
      </w:r>
      <w:r>
        <w:rPr>
          <w:color w:val="231F20"/>
          <w:spacing w:val="-10"/>
        </w:rPr>
        <w:t xml:space="preserve"> </w:t>
      </w:r>
      <w:r>
        <w:rPr>
          <w:color w:val="231F20"/>
        </w:rPr>
        <w:t>організаційно поєднану сукупність структурних підрозділів і посад, що забезпечу- ють</w:t>
      </w:r>
      <w:r>
        <w:rPr>
          <w:color w:val="231F20"/>
          <w:spacing w:val="-7"/>
        </w:rPr>
        <w:t xml:space="preserve"> </w:t>
      </w:r>
      <w:r>
        <w:rPr>
          <w:color w:val="231F20"/>
        </w:rPr>
        <w:t>діяльність</w:t>
      </w:r>
      <w:r>
        <w:rPr>
          <w:color w:val="231F20"/>
          <w:spacing w:val="-7"/>
        </w:rPr>
        <w:t xml:space="preserve"> </w:t>
      </w:r>
      <w:r>
        <w:rPr>
          <w:color w:val="231F20"/>
        </w:rPr>
        <w:t>міністра,</w:t>
      </w:r>
      <w:r>
        <w:rPr>
          <w:color w:val="231F20"/>
          <w:spacing w:val="-7"/>
        </w:rPr>
        <w:t xml:space="preserve"> </w:t>
      </w:r>
      <w:r>
        <w:rPr>
          <w:color w:val="231F20"/>
        </w:rPr>
        <w:t>а</w:t>
      </w:r>
      <w:r>
        <w:rPr>
          <w:color w:val="231F20"/>
          <w:spacing w:val="-6"/>
        </w:rPr>
        <w:t xml:space="preserve"> </w:t>
      </w:r>
      <w:r>
        <w:rPr>
          <w:color w:val="231F20"/>
        </w:rPr>
        <w:t>також</w:t>
      </w:r>
      <w:r>
        <w:rPr>
          <w:color w:val="231F20"/>
          <w:spacing w:val="-7"/>
        </w:rPr>
        <w:t xml:space="preserve"> </w:t>
      </w:r>
      <w:r>
        <w:rPr>
          <w:color w:val="231F20"/>
        </w:rPr>
        <w:t>виконання</w:t>
      </w:r>
      <w:r>
        <w:rPr>
          <w:color w:val="231F20"/>
          <w:spacing w:val="-7"/>
        </w:rPr>
        <w:t xml:space="preserve"> </w:t>
      </w:r>
      <w:r>
        <w:rPr>
          <w:color w:val="231F20"/>
        </w:rPr>
        <w:t>покладених</w:t>
      </w:r>
      <w:r>
        <w:rPr>
          <w:color w:val="231F20"/>
          <w:spacing w:val="-7"/>
        </w:rPr>
        <w:t xml:space="preserve"> </w:t>
      </w:r>
      <w:r>
        <w:rPr>
          <w:color w:val="231F20"/>
        </w:rPr>
        <w:t>на</w:t>
      </w:r>
      <w:r>
        <w:rPr>
          <w:color w:val="231F20"/>
          <w:spacing w:val="-7"/>
        </w:rPr>
        <w:t xml:space="preserve"> </w:t>
      </w:r>
      <w:r>
        <w:rPr>
          <w:color w:val="231F20"/>
        </w:rPr>
        <w:t>міністер- ство</w:t>
      </w:r>
      <w:r>
        <w:rPr>
          <w:color w:val="231F20"/>
          <w:spacing w:val="-1"/>
        </w:rPr>
        <w:t xml:space="preserve"> </w:t>
      </w:r>
      <w:r>
        <w:rPr>
          <w:color w:val="231F20"/>
        </w:rPr>
        <w:t>завдань.</w:t>
      </w:r>
    </w:p>
    <w:p w14:paraId="2EDDCDF6" w14:textId="77777777" w:rsidR="00DE575E" w:rsidRDefault="002E7560">
      <w:pPr>
        <w:pStyle w:val="Heading5"/>
        <w:spacing w:before="2"/>
        <w:ind w:left="817"/>
      </w:pPr>
      <w:r>
        <w:rPr>
          <w:color w:val="231F20"/>
        </w:rPr>
        <w:t>У складі апарату міністерств утворюються:</w:t>
      </w:r>
    </w:p>
    <w:p w14:paraId="0E33128A" w14:textId="77777777" w:rsidR="00DE575E" w:rsidRDefault="002E7560">
      <w:pPr>
        <w:pStyle w:val="ListParagraph"/>
        <w:numPr>
          <w:ilvl w:val="0"/>
          <w:numId w:val="260"/>
        </w:numPr>
        <w:tabs>
          <w:tab w:val="left" w:pos="1101"/>
        </w:tabs>
        <w:spacing w:before="13" w:line="252" w:lineRule="auto"/>
        <w:ind w:right="127" w:firstLine="284"/>
        <w:jc w:val="both"/>
        <w:rPr>
          <w:i/>
          <w:sz w:val="21"/>
        </w:rPr>
      </w:pPr>
      <w:r>
        <w:rPr>
          <w:b/>
          <w:i/>
          <w:color w:val="231F20"/>
          <w:sz w:val="21"/>
        </w:rPr>
        <w:t xml:space="preserve">директорат </w:t>
      </w:r>
      <w:r>
        <w:rPr>
          <w:color w:val="231F20"/>
          <w:sz w:val="21"/>
        </w:rPr>
        <w:t xml:space="preserve">– самостійний структурний підрозділ, що утворюється для виконання завдань, пов’язаних із  забезпечен-  ням формування державної політики в одній або </w:t>
      </w:r>
      <w:r>
        <w:rPr>
          <w:color w:val="231F20"/>
          <w:sz w:val="21"/>
        </w:rPr>
        <w:t xml:space="preserve">декількох сферах компетенції міністерства, координацією та моніторингом її реалі- зації, проведення аналізу та оцінки впливу її реалізації на заінте- ресовані сторони, а також інших завдань – крім тих, що </w:t>
      </w:r>
      <w:r>
        <w:rPr>
          <w:i/>
          <w:color w:val="231F20"/>
          <w:sz w:val="21"/>
        </w:rPr>
        <w:t>пов’язані з виконанням функцій з надання адміністра</w:t>
      </w:r>
      <w:r>
        <w:rPr>
          <w:i/>
          <w:color w:val="231F20"/>
          <w:sz w:val="21"/>
        </w:rPr>
        <w:t xml:space="preserve">тивних послуг, управління </w:t>
      </w:r>
      <w:r>
        <w:rPr>
          <w:i/>
          <w:color w:val="231F20"/>
          <w:spacing w:val="-3"/>
          <w:sz w:val="21"/>
        </w:rPr>
        <w:t xml:space="preserve">об’єктами </w:t>
      </w:r>
      <w:r>
        <w:rPr>
          <w:i/>
          <w:color w:val="231F20"/>
          <w:sz w:val="21"/>
        </w:rPr>
        <w:t>державної власності або здійснення державного нагляду (контролю)</w:t>
      </w:r>
      <w:r>
        <w:rPr>
          <w:color w:val="231F20"/>
          <w:position w:val="7"/>
          <w:sz w:val="12"/>
        </w:rPr>
        <w:t>1</w:t>
      </w:r>
      <w:r>
        <w:rPr>
          <w:i/>
          <w:color w:val="231F20"/>
          <w:sz w:val="21"/>
        </w:rPr>
        <w:t>.</w:t>
      </w:r>
    </w:p>
    <w:p w14:paraId="585AE623" w14:textId="77777777" w:rsidR="00DE575E" w:rsidRDefault="002E7560">
      <w:pPr>
        <w:pStyle w:val="ListParagraph"/>
        <w:numPr>
          <w:ilvl w:val="0"/>
          <w:numId w:val="260"/>
        </w:numPr>
        <w:tabs>
          <w:tab w:val="left" w:pos="1101"/>
        </w:tabs>
        <w:spacing w:before="4" w:line="252" w:lineRule="auto"/>
        <w:ind w:right="128" w:firstLine="284"/>
        <w:jc w:val="both"/>
        <w:rPr>
          <w:sz w:val="21"/>
        </w:rPr>
      </w:pPr>
      <w:r>
        <w:rPr>
          <w:b/>
          <w:i/>
          <w:color w:val="231F20"/>
          <w:spacing w:val="-5"/>
          <w:sz w:val="21"/>
        </w:rPr>
        <w:t xml:space="preserve">директорат стратегічного планування </w:t>
      </w:r>
      <w:r>
        <w:rPr>
          <w:b/>
          <w:i/>
          <w:color w:val="231F20"/>
          <w:spacing w:val="-3"/>
          <w:sz w:val="21"/>
        </w:rPr>
        <w:t xml:space="preserve">та </w:t>
      </w:r>
      <w:r>
        <w:rPr>
          <w:b/>
          <w:i/>
          <w:color w:val="231F20"/>
          <w:spacing w:val="-6"/>
          <w:sz w:val="21"/>
        </w:rPr>
        <w:t xml:space="preserve">європейської </w:t>
      </w:r>
      <w:r>
        <w:rPr>
          <w:b/>
          <w:i/>
          <w:color w:val="231F20"/>
          <w:spacing w:val="-5"/>
          <w:sz w:val="21"/>
        </w:rPr>
        <w:t xml:space="preserve">інтеграції </w:t>
      </w:r>
      <w:r>
        <w:rPr>
          <w:color w:val="231F20"/>
          <w:sz w:val="21"/>
        </w:rPr>
        <w:t xml:space="preserve">– </w:t>
      </w:r>
      <w:r>
        <w:rPr>
          <w:color w:val="231F20"/>
          <w:spacing w:val="-5"/>
          <w:sz w:val="21"/>
        </w:rPr>
        <w:t xml:space="preserve">самостійний структурний підрозділ, </w:t>
      </w:r>
      <w:r>
        <w:rPr>
          <w:color w:val="231F20"/>
          <w:spacing w:val="-3"/>
          <w:sz w:val="21"/>
        </w:rPr>
        <w:t xml:space="preserve">що </w:t>
      </w:r>
      <w:r>
        <w:rPr>
          <w:color w:val="231F20"/>
          <w:spacing w:val="-5"/>
          <w:sz w:val="21"/>
        </w:rPr>
        <w:t xml:space="preserve">може утворюва- </w:t>
      </w:r>
      <w:r>
        <w:rPr>
          <w:color w:val="231F20"/>
          <w:spacing w:val="-4"/>
          <w:sz w:val="21"/>
        </w:rPr>
        <w:t xml:space="preserve">тися </w:t>
      </w:r>
      <w:r>
        <w:rPr>
          <w:color w:val="231F20"/>
          <w:sz w:val="21"/>
        </w:rPr>
        <w:t xml:space="preserve">для </w:t>
      </w:r>
      <w:r>
        <w:rPr>
          <w:color w:val="231F20"/>
          <w:spacing w:val="-5"/>
          <w:sz w:val="21"/>
        </w:rPr>
        <w:t>виконання завдань, пов’яза</w:t>
      </w:r>
      <w:r>
        <w:rPr>
          <w:color w:val="231F20"/>
          <w:spacing w:val="-5"/>
          <w:sz w:val="21"/>
        </w:rPr>
        <w:t xml:space="preserve">них </w:t>
      </w:r>
      <w:r>
        <w:rPr>
          <w:color w:val="231F20"/>
          <w:spacing w:val="-3"/>
          <w:sz w:val="21"/>
        </w:rPr>
        <w:t xml:space="preserve">зі </w:t>
      </w:r>
      <w:r>
        <w:rPr>
          <w:color w:val="231F20"/>
          <w:spacing w:val="-5"/>
          <w:sz w:val="21"/>
        </w:rPr>
        <w:t>стратегічним</w:t>
      </w:r>
      <w:r>
        <w:rPr>
          <w:color w:val="231F20"/>
          <w:spacing w:val="7"/>
          <w:sz w:val="21"/>
        </w:rPr>
        <w:t xml:space="preserve"> </w:t>
      </w:r>
      <w:r>
        <w:rPr>
          <w:color w:val="231F20"/>
          <w:spacing w:val="-5"/>
          <w:sz w:val="21"/>
        </w:rPr>
        <w:t>плануванням</w:t>
      </w:r>
    </w:p>
    <w:p w14:paraId="323BBAC9" w14:textId="77777777" w:rsidR="00DE575E" w:rsidRDefault="00DE575E">
      <w:pPr>
        <w:pStyle w:val="BodyText"/>
        <w:rPr>
          <w:sz w:val="20"/>
        </w:rPr>
      </w:pPr>
    </w:p>
    <w:p w14:paraId="38798457" w14:textId="5BCC029B" w:rsidR="00DE575E" w:rsidRDefault="002E7560">
      <w:pPr>
        <w:pStyle w:val="BodyText"/>
        <w:rPr>
          <w:sz w:val="16"/>
        </w:rPr>
      </w:pPr>
      <w:r>
        <w:rPr>
          <w:noProof/>
        </w:rPr>
        <mc:AlternateContent>
          <mc:Choice Requires="wps">
            <w:drawing>
              <wp:anchor distT="0" distB="0" distL="0" distR="0" simplePos="0" relativeHeight="4960" behindDoc="0" locked="0" layoutInCell="1" allowOverlap="1" wp14:anchorId="181C94B4" wp14:editId="7ED8BCB2">
                <wp:simplePos x="0" y="0"/>
                <wp:positionH relativeFrom="page">
                  <wp:posOffset>719455</wp:posOffset>
                </wp:positionH>
                <wp:positionV relativeFrom="paragraph">
                  <wp:posOffset>147320</wp:posOffset>
                </wp:positionV>
                <wp:extent cx="1080135" cy="0"/>
                <wp:effectExtent l="8255" t="7620" r="29210" b="30480"/>
                <wp:wrapTopAndBottom/>
                <wp:docPr id="1138"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CE63" id="Line_x0020_1137" o:spid="_x0000_s1026" style="position:absolute;z-index: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6pt" to="141.7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pwBC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" strokecolor="#231f20" strokeweight=".5pt">
                <w10:wrap type="topAndBottom" anchorx="page"/>
              </v:line>
            </w:pict>
          </mc:Fallback>
        </mc:AlternateContent>
      </w:r>
    </w:p>
    <w:p w14:paraId="28D6D6D9"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Стратегічне планування розвитку міністерств здійснюється директоратами (де вони є). Публічне адміністрування галуззі безпосередньо лягає на плечі інших працівників міністерства. Фінансування діяльності директоратів здійснюється за рахунок грантових коштів </w:t>
      </w:r>
      <w:r>
        <w:rPr>
          <w:color w:val="231F20"/>
          <w:sz w:val="16"/>
        </w:rPr>
        <w:t>і на рівні стандартів, прийнятих у розвинутих кранах. Це призводить до того, що директорати у складі міністерств мають певний рівень</w:t>
      </w:r>
      <w:r>
        <w:rPr>
          <w:color w:val="231F20"/>
          <w:spacing w:val="-8"/>
          <w:sz w:val="16"/>
        </w:rPr>
        <w:t xml:space="preserve"> </w:t>
      </w:r>
      <w:r>
        <w:rPr>
          <w:color w:val="231F20"/>
          <w:sz w:val="16"/>
        </w:rPr>
        <w:t>автономності.</w:t>
      </w:r>
    </w:p>
    <w:p w14:paraId="54FD031F" w14:textId="77777777" w:rsidR="00DE575E" w:rsidRDefault="00DE575E">
      <w:pPr>
        <w:pStyle w:val="BodyText"/>
        <w:spacing w:before="3"/>
        <w:rPr>
          <w:sz w:val="12"/>
        </w:rPr>
      </w:pPr>
    </w:p>
    <w:p w14:paraId="096D9043" w14:textId="77777777" w:rsidR="00DE575E" w:rsidRDefault="002E7560">
      <w:pPr>
        <w:spacing w:before="92"/>
        <w:ind w:left="533"/>
        <w:rPr>
          <w:rFonts w:ascii="Times New Roman"/>
          <w:sz w:val="20"/>
        </w:rPr>
      </w:pPr>
      <w:r>
        <w:rPr>
          <w:rFonts w:ascii="Times New Roman"/>
          <w:color w:val="231F20"/>
          <w:sz w:val="20"/>
        </w:rPr>
        <w:t>106</w:t>
      </w:r>
    </w:p>
    <w:p w14:paraId="4B43FF34" w14:textId="77777777" w:rsidR="00DE575E" w:rsidRDefault="00DE575E">
      <w:pPr>
        <w:rPr>
          <w:rFonts w:ascii="Times New Roman"/>
          <w:sz w:val="20"/>
        </w:rPr>
        <w:sectPr w:rsidR="00DE575E">
          <w:pgSz w:w="8510" w:h="12760"/>
          <w:pgMar w:top="660" w:right="720" w:bottom="280" w:left="600" w:header="720" w:footer="720" w:gutter="0"/>
          <w:cols w:space="720"/>
        </w:sectPr>
      </w:pPr>
    </w:p>
    <w:p w14:paraId="0AA255D2"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10C30A4C" w14:textId="012F931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B8181A7" wp14:editId="6092F78C">
                <wp:extent cx="4140200" cy="6350"/>
                <wp:effectExtent l="0" t="0" r="12700" b="6350"/>
                <wp:docPr id="1136"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37" name="Line 113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0DBEA" id="Group_x0020_113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gt4kGgAIAAJwFAAAO&#10;AAAAAAAAAAAAAAAAACwCAABkcnMvZTJvRG9jLnhtbFBLAQItABQABgAIAAAAIQBMp7CQ2QAAAAMB&#10;AAAPAAAAAAAAAAAAAAAAANgEAABkcnMvZG93bnJldi54bWxQSwUGAAAAAAQABADzAAAA3gUAAAAA&#10;">
                <v:line id="Line_x0020_113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T08UAAADdAAAADwAAAGRycy9kb3ducmV2LnhtbERPzWrCQBC+F/oOyxS8FN1ooEp0lSII&#10;4kGr8QHG7JiE7s7G7GrSPn23UOhtPr7fWax6a8SDWl87VjAeJSCIC6drLhWc881wBsIHZI3GMSn4&#10;Ig+r5fPTAjPtOj7S4xRKEUPYZ6igCqHJpPRFRRb9yDXEkbu61mKIsC2lbrGL4dbISZK8SYs1x4YK&#10;G1pXVHye7lZBfnsN5uOwM11+uKTyctun3/e9UoOX/n0OIlAf/sV/7q2O88fpFH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IT08UAAADdAAAADwAAAAAAAAAA&#10;AAAAAAChAgAAZHJzL2Rvd25yZXYueG1sUEsFBgAAAAAEAAQA+QAAAJMDAAAAAA==&#10;" strokecolor="#231f20" strokeweight=".5pt"/>
                <w10:anchorlock/>
              </v:group>
            </w:pict>
          </mc:Fallback>
        </mc:AlternateContent>
      </w:r>
    </w:p>
    <w:p w14:paraId="256EB125" w14:textId="77777777" w:rsidR="00DE575E" w:rsidRDefault="00DE575E">
      <w:pPr>
        <w:pStyle w:val="BodyText"/>
        <w:spacing w:before="7"/>
        <w:rPr>
          <w:rFonts w:ascii="AdonisC"/>
          <w:i/>
          <w:sz w:val="19"/>
        </w:rPr>
      </w:pPr>
    </w:p>
    <w:p w14:paraId="228EA060" w14:textId="77777777" w:rsidR="00DE575E" w:rsidRDefault="002E7560">
      <w:pPr>
        <w:pStyle w:val="BodyText"/>
        <w:spacing w:before="1" w:line="252" w:lineRule="auto"/>
        <w:ind w:left="250" w:right="411"/>
        <w:jc w:val="both"/>
      </w:pPr>
      <w:r>
        <w:rPr>
          <w:color w:val="231F20"/>
          <w:spacing w:val="-5"/>
        </w:rPr>
        <w:t xml:space="preserve">діяльності </w:t>
      </w:r>
      <w:r>
        <w:rPr>
          <w:color w:val="231F20"/>
          <w:spacing w:val="-3"/>
        </w:rPr>
        <w:t xml:space="preserve">та </w:t>
      </w:r>
      <w:r>
        <w:rPr>
          <w:color w:val="231F20"/>
          <w:spacing w:val="-5"/>
        </w:rPr>
        <w:t xml:space="preserve">плануванням бюджету міністерства, європейською </w:t>
      </w:r>
      <w:r>
        <w:rPr>
          <w:color w:val="231F20"/>
          <w:spacing w:val="-4"/>
        </w:rPr>
        <w:t xml:space="preserve">інте- </w:t>
      </w:r>
      <w:r>
        <w:rPr>
          <w:color w:val="231F20"/>
          <w:spacing w:val="-5"/>
        </w:rPr>
        <w:t xml:space="preserve">грацією, </w:t>
      </w:r>
      <w:r>
        <w:rPr>
          <w:color w:val="231F20"/>
          <w:spacing w:val="-6"/>
        </w:rPr>
        <w:t xml:space="preserve">координацією </w:t>
      </w:r>
      <w:r>
        <w:rPr>
          <w:color w:val="231F20"/>
          <w:spacing w:val="-5"/>
        </w:rPr>
        <w:t xml:space="preserve">виконання міністерством міжнародних зобов’я- </w:t>
      </w:r>
      <w:r>
        <w:rPr>
          <w:color w:val="231F20"/>
          <w:spacing w:val="-4"/>
        </w:rPr>
        <w:t xml:space="preserve">зань, </w:t>
      </w:r>
      <w:r>
        <w:rPr>
          <w:color w:val="231F20"/>
        </w:rPr>
        <w:t xml:space="preserve">а </w:t>
      </w:r>
      <w:r>
        <w:rPr>
          <w:color w:val="231F20"/>
          <w:spacing w:val="-5"/>
        </w:rPr>
        <w:t xml:space="preserve">також </w:t>
      </w:r>
      <w:r>
        <w:rPr>
          <w:color w:val="231F20"/>
          <w:spacing w:val="-6"/>
        </w:rPr>
        <w:t xml:space="preserve">координацією </w:t>
      </w:r>
      <w:r>
        <w:rPr>
          <w:color w:val="231F20"/>
          <w:spacing w:val="-5"/>
        </w:rPr>
        <w:t xml:space="preserve">роботи </w:t>
      </w:r>
      <w:r>
        <w:rPr>
          <w:color w:val="231F20"/>
          <w:spacing w:val="-3"/>
        </w:rPr>
        <w:t xml:space="preserve">із </w:t>
      </w:r>
      <w:r>
        <w:rPr>
          <w:color w:val="231F20"/>
          <w:spacing w:val="-5"/>
        </w:rPr>
        <w:t xml:space="preserve">забезпечення формування державної політики </w:t>
      </w:r>
      <w:r>
        <w:rPr>
          <w:color w:val="231F20"/>
        </w:rPr>
        <w:t xml:space="preserve">у </w:t>
      </w:r>
      <w:r>
        <w:rPr>
          <w:color w:val="231F20"/>
          <w:spacing w:val="-4"/>
        </w:rPr>
        <w:t xml:space="preserve">сферах </w:t>
      </w:r>
      <w:r>
        <w:rPr>
          <w:color w:val="231F20"/>
          <w:spacing w:val="-5"/>
        </w:rPr>
        <w:t>компетенції міністерства;</w:t>
      </w:r>
    </w:p>
    <w:p w14:paraId="54AB44BC" w14:textId="77777777" w:rsidR="00DE575E" w:rsidRDefault="002E7560">
      <w:pPr>
        <w:pStyle w:val="ListParagraph"/>
        <w:numPr>
          <w:ilvl w:val="0"/>
          <w:numId w:val="259"/>
        </w:numPr>
        <w:tabs>
          <w:tab w:val="left" w:pos="818"/>
        </w:tabs>
        <w:spacing w:before="2" w:line="252" w:lineRule="auto"/>
        <w:ind w:right="412" w:firstLine="283"/>
        <w:jc w:val="both"/>
        <w:rPr>
          <w:sz w:val="21"/>
        </w:rPr>
      </w:pPr>
      <w:r>
        <w:rPr>
          <w:b/>
          <w:i/>
          <w:color w:val="231F20"/>
          <w:sz w:val="21"/>
        </w:rPr>
        <w:t xml:space="preserve">експертна група </w:t>
      </w:r>
      <w:r>
        <w:rPr>
          <w:color w:val="231F20"/>
          <w:sz w:val="21"/>
        </w:rPr>
        <w:t>– структурний підрозділ, що входить до складу директорату та утворюється для виконання завдань за визначеними напрямками (функціями) діяльності</w:t>
      </w:r>
      <w:r>
        <w:rPr>
          <w:color w:val="231F20"/>
          <w:spacing w:val="-7"/>
          <w:sz w:val="21"/>
        </w:rPr>
        <w:t xml:space="preserve"> </w:t>
      </w:r>
      <w:r>
        <w:rPr>
          <w:color w:val="231F20"/>
          <w:sz w:val="21"/>
        </w:rPr>
        <w:t>директорату;</w:t>
      </w:r>
    </w:p>
    <w:p w14:paraId="4978D389" w14:textId="77777777" w:rsidR="00DE575E" w:rsidRDefault="002E7560">
      <w:pPr>
        <w:pStyle w:val="ListParagraph"/>
        <w:numPr>
          <w:ilvl w:val="0"/>
          <w:numId w:val="259"/>
        </w:numPr>
        <w:tabs>
          <w:tab w:val="left" w:pos="818"/>
        </w:tabs>
        <w:spacing w:line="252" w:lineRule="auto"/>
        <w:ind w:right="411" w:firstLine="283"/>
        <w:jc w:val="both"/>
        <w:rPr>
          <w:sz w:val="21"/>
        </w:rPr>
      </w:pPr>
      <w:r>
        <w:rPr>
          <w:b/>
          <w:i/>
          <w:color w:val="231F20"/>
          <w:sz w:val="21"/>
        </w:rPr>
        <w:t>голов</w:t>
      </w:r>
      <w:r>
        <w:rPr>
          <w:b/>
          <w:i/>
          <w:color w:val="231F20"/>
          <w:sz w:val="21"/>
        </w:rPr>
        <w:t xml:space="preserve">не управління </w:t>
      </w:r>
      <w:r>
        <w:rPr>
          <w:color w:val="231F20"/>
          <w:sz w:val="21"/>
        </w:rPr>
        <w:t>у складі директорату – структурний підрозділ,</w:t>
      </w:r>
      <w:r>
        <w:rPr>
          <w:color w:val="231F20"/>
          <w:spacing w:val="-12"/>
          <w:sz w:val="21"/>
        </w:rPr>
        <w:t xml:space="preserve"> </w:t>
      </w:r>
      <w:r>
        <w:rPr>
          <w:color w:val="231F20"/>
          <w:sz w:val="21"/>
        </w:rPr>
        <w:t>що</w:t>
      </w:r>
      <w:r>
        <w:rPr>
          <w:color w:val="231F20"/>
          <w:spacing w:val="-12"/>
          <w:sz w:val="21"/>
        </w:rPr>
        <w:t xml:space="preserve"> </w:t>
      </w:r>
      <w:r>
        <w:rPr>
          <w:color w:val="231F20"/>
          <w:sz w:val="21"/>
        </w:rPr>
        <w:t>утворюється</w:t>
      </w:r>
      <w:r>
        <w:rPr>
          <w:color w:val="231F20"/>
          <w:spacing w:val="-12"/>
          <w:sz w:val="21"/>
        </w:rPr>
        <w:t xml:space="preserve"> </w:t>
      </w:r>
      <w:r>
        <w:rPr>
          <w:color w:val="231F20"/>
          <w:sz w:val="21"/>
        </w:rPr>
        <w:t>для</w:t>
      </w:r>
      <w:r>
        <w:rPr>
          <w:color w:val="231F20"/>
          <w:spacing w:val="-12"/>
          <w:sz w:val="21"/>
        </w:rPr>
        <w:t xml:space="preserve"> </w:t>
      </w:r>
      <w:r>
        <w:rPr>
          <w:color w:val="231F20"/>
          <w:sz w:val="21"/>
        </w:rPr>
        <w:t>виконання</w:t>
      </w:r>
      <w:r>
        <w:rPr>
          <w:color w:val="231F20"/>
          <w:spacing w:val="-12"/>
          <w:sz w:val="21"/>
        </w:rPr>
        <w:t xml:space="preserve"> </w:t>
      </w:r>
      <w:r>
        <w:rPr>
          <w:color w:val="231F20"/>
          <w:sz w:val="21"/>
        </w:rPr>
        <w:t>завдань</w:t>
      </w:r>
      <w:r>
        <w:rPr>
          <w:color w:val="231F20"/>
          <w:spacing w:val="-11"/>
          <w:sz w:val="21"/>
        </w:rPr>
        <w:t xml:space="preserve"> </w:t>
      </w:r>
      <w:r>
        <w:rPr>
          <w:color w:val="231F20"/>
          <w:sz w:val="21"/>
        </w:rPr>
        <w:t>за</w:t>
      </w:r>
      <w:r>
        <w:rPr>
          <w:color w:val="231F20"/>
          <w:spacing w:val="-12"/>
          <w:sz w:val="21"/>
        </w:rPr>
        <w:t xml:space="preserve"> </w:t>
      </w:r>
      <w:r>
        <w:rPr>
          <w:color w:val="231F20"/>
          <w:sz w:val="21"/>
        </w:rPr>
        <w:t>одним</w:t>
      </w:r>
      <w:r>
        <w:rPr>
          <w:color w:val="231F20"/>
          <w:spacing w:val="-12"/>
          <w:sz w:val="21"/>
        </w:rPr>
        <w:t xml:space="preserve"> </w:t>
      </w:r>
      <w:r>
        <w:rPr>
          <w:color w:val="231F20"/>
          <w:sz w:val="21"/>
        </w:rPr>
        <w:t>напрям- ком (функцією) діяльності</w:t>
      </w:r>
      <w:r>
        <w:rPr>
          <w:color w:val="231F20"/>
          <w:spacing w:val="-1"/>
          <w:sz w:val="21"/>
        </w:rPr>
        <w:t xml:space="preserve"> </w:t>
      </w:r>
      <w:r>
        <w:rPr>
          <w:color w:val="231F20"/>
          <w:spacing w:val="-3"/>
          <w:sz w:val="21"/>
        </w:rPr>
        <w:t>директорату.</w:t>
      </w:r>
    </w:p>
    <w:p w14:paraId="3B58168C" w14:textId="77777777" w:rsidR="00DE575E" w:rsidRDefault="002E7560">
      <w:pPr>
        <w:pStyle w:val="BodyText"/>
        <w:spacing w:before="2" w:line="252" w:lineRule="auto"/>
        <w:ind w:left="250" w:right="411" w:firstLine="283"/>
        <w:jc w:val="both"/>
      </w:pPr>
      <w:r>
        <w:rPr>
          <w:color w:val="231F20"/>
        </w:rPr>
        <w:t xml:space="preserve">У міністерствах також утворюється </w:t>
      </w:r>
      <w:r>
        <w:rPr>
          <w:b/>
          <w:i/>
          <w:color w:val="231F20"/>
        </w:rPr>
        <w:t xml:space="preserve">секретаріат </w:t>
      </w:r>
      <w:r>
        <w:rPr>
          <w:color w:val="231F20"/>
        </w:rPr>
        <w:t>– сукупність самостійних структурних підрозділів і посад,</w:t>
      </w:r>
      <w:r>
        <w:rPr>
          <w:color w:val="231F20"/>
        </w:rPr>
        <w:t xml:space="preserve"> що здійснюють орга- нізаційне, правове, фінансово-економічне, матеріально-технічне забезпечення діяльності міністерства, зокрема щодо: забезпечення функціонування документообігу, здійснення контролю за дотри- манням строків виконання завдань і заходів, ві</w:t>
      </w:r>
      <w:r>
        <w:rPr>
          <w:color w:val="231F20"/>
        </w:rPr>
        <w:t>дповідальним за виконання яких є міністерство; управління персоналом, ведення бухгалтерського обліку і звітності; протокольного забезпечення міжнародного співробітництва; реалізації законодавства щодо доступу до публічної інформації, організації розгляду з</w:t>
      </w:r>
      <w:r>
        <w:rPr>
          <w:color w:val="231F20"/>
        </w:rPr>
        <w:t xml:space="preserve">вернень громадян; забезпечення ІТ-підтримки та захисту інформації; забез- печення здійснення державних закупівель; забезпечення взаємодії із засобами масової інформації та зв’язків із громадськістю; мате- ріально-технічного та господарського забезпечення; </w:t>
      </w:r>
      <w:r>
        <w:rPr>
          <w:color w:val="231F20"/>
        </w:rPr>
        <w:t>взаємодії з органами державної влади; дотримання вимог щодо охорони праці та цивільного захисту</w:t>
      </w:r>
      <w:r>
        <w:rPr>
          <w:color w:val="231F20"/>
          <w:position w:val="7"/>
          <w:sz w:val="12"/>
        </w:rPr>
        <w:t>1</w:t>
      </w:r>
      <w:r>
        <w:rPr>
          <w:color w:val="231F20"/>
        </w:rPr>
        <w:t>.</w:t>
      </w:r>
    </w:p>
    <w:p w14:paraId="3D65C24A" w14:textId="77777777" w:rsidR="00DE575E" w:rsidRDefault="002E7560">
      <w:pPr>
        <w:pStyle w:val="BodyText"/>
        <w:spacing w:before="8" w:line="252" w:lineRule="auto"/>
        <w:ind w:left="250" w:right="411" w:firstLine="283"/>
        <w:jc w:val="both"/>
      </w:pPr>
      <w:r>
        <w:rPr>
          <w:i/>
          <w:color w:val="231F20"/>
        </w:rPr>
        <w:t>Міністр</w:t>
      </w:r>
      <w:r>
        <w:rPr>
          <w:i/>
          <w:color w:val="231F20"/>
          <w:spacing w:val="-14"/>
        </w:rPr>
        <w:t xml:space="preserve"> </w:t>
      </w:r>
      <w:r>
        <w:rPr>
          <w:i/>
          <w:color w:val="231F20"/>
        </w:rPr>
        <w:t>має</w:t>
      </w:r>
      <w:r>
        <w:rPr>
          <w:i/>
          <w:color w:val="231F20"/>
          <w:spacing w:val="-14"/>
        </w:rPr>
        <w:t xml:space="preserve"> </w:t>
      </w:r>
      <w:r>
        <w:rPr>
          <w:i/>
          <w:color w:val="231F20"/>
        </w:rPr>
        <w:t>право</w:t>
      </w:r>
      <w:r>
        <w:rPr>
          <w:i/>
          <w:color w:val="231F20"/>
          <w:spacing w:val="-14"/>
        </w:rPr>
        <w:t xml:space="preserve"> </w:t>
      </w:r>
      <w:r>
        <w:rPr>
          <w:i/>
          <w:color w:val="231F20"/>
        </w:rPr>
        <w:t>сформувати</w:t>
      </w:r>
      <w:r>
        <w:rPr>
          <w:i/>
          <w:color w:val="231F20"/>
          <w:spacing w:val="-14"/>
        </w:rPr>
        <w:t xml:space="preserve"> </w:t>
      </w:r>
      <w:r>
        <w:rPr>
          <w:i/>
          <w:color w:val="231F20"/>
        </w:rPr>
        <w:t>патронатну</w:t>
      </w:r>
      <w:r>
        <w:rPr>
          <w:i/>
          <w:color w:val="231F20"/>
          <w:spacing w:val="-13"/>
        </w:rPr>
        <w:t xml:space="preserve"> </w:t>
      </w:r>
      <w:r>
        <w:rPr>
          <w:i/>
          <w:color w:val="231F20"/>
        </w:rPr>
        <w:t>службу</w:t>
      </w:r>
      <w:r>
        <w:rPr>
          <w:i/>
          <w:color w:val="231F20"/>
          <w:spacing w:val="-14"/>
        </w:rPr>
        <w:t xml:space="preserve"> </w:t>
      </w:r>
      <w:r>
        <w:rPr>
          <w:i/>
          <w:color w:val="231F20"/>
        </w:rPr>
        <w:t>міністра</w:t>
      </w:r>
      <w:r>
        <w:rPr>
          <w:color w:val="231F20"/>
        </w:rPr>
        <w:t>,</w:t>
      </w:r>
      <w:r>
        <w:rPr>
          <w:color w:val="231F20"/>
          <w:spacing w:val="-14"/>
        </w:rPr>
        <w:t xml:space="preserve"> </w:t>
      </w:r>
      <w:r>
        <w:rPr>
          <w:color w:val="231F20"/>
        </w:rPr>
        <w:t>яка здійснює</w:t>
      </w:r>
      <w:r>
        <w:rPr>
          <w:color w:val="231F20"/>
          <w:spacing w:val="-8"/>
        </w:rPr>
        <w:t xml:space="preserve"> </w:t>
      </w:r>
      <w:r>
        <w:rPr>
          <w:color w:val="231F20"/>
        </w:rPr>
        <w:t>консультування</w:t>
      </w:r>
      <w:r>
        <w:rPr>
          <w:color w:val="231F20"/>
          <w:spacing w:val="-8"/>
        </w:rPr>
        <w:t xml:space="preserve"> </w:t>
      </w:r>
      <w:r>
        <w:rPr>
          <w:color w:val="231F20"/>
        </w:rPr>
        <w:t>міністра,</w:t>
      </w:r>
      <w:r>
        <w:rPr>
          <w:color w:val="231F20"/>
          <w:spacing w:val="-8"/>
        </w:rPr>
        <w:t xml:space="preserve"> </w:t>
      </w:r>
      <w:r>
        <w:rPr>
          <w:color w:val="231F20"/>
        </w:rPr>
        <w:t>підготовку</w:t>
      </w:r>
      <w:r>
        <w:rPr>
          <w:color w:val="231F20"/>
          <w:spacing w:val="-8"/>
        </w:rPr>
        <w:t xml:space="preserve"> </w:t>
      </w:r>
      <w:r>
        <w:rPr>
          <w:color w:val="231F20"/>
        </w:rPr>
        <w:t>необхідних</w:t>
      </w:r>
      <w:r>
        <w:rPr>
          <w:color w:val="231F20"/>
          <w:spacing w:val="-8"/>
        </w:rPr>
        <w:t xml:space="preserve"> </w:t>
      </w:r>
      <w:r>
        <w:rPr>
          <w:color w:val="231F20"/>
        </w:rPr>
        <w:t>для</w:t>
      </w:r>
      <w:r>
        <w:rPr>
          <w:color w:val="231F20"/>
          <w:spacing w:val="-8"/>
        </w:rPr>
        <w:t xml:space="preserve"> </w:t>
      </w:r>
      <w:r>
        <w:rPr>
          <w:color w:val="231F20"/>
        </w:rPr>
        <w:t>вико- нання</w:t>
      </w:r>
      <w:r>
        <w:rPr>
          <w:color w:val="231F20"/>
          <w:spacing w:val="-7"/>
        </w:rPr>
        <w:t xml:space="preserve"> </w:t>
      </w:r>
      <w:r>
        <w:rPr>
          <w:color w:val="231F20"/>
        </w:rPr>
        <w:t>завдань</w:t>
      </w:r>
      <w:r>
        <w:rPr>
          <w:color w:val="231F20"/>
          <w:spacing w:val="-7"/>
        </w:rPr>
        <w:t xml:space="preserve"> </w:t>
      </w:r>
      <w:r>
        <w:rPr>
          <w:color w:val="231F20"/>
        </w:rPr>
        <w:t>міністерства</w:t>
      </w:r>
      <w:r>
        <w:rPr>
          <w:color w:val="231F20"/>
          <w:spacing w:val="-7"/>
        </w:rPr>
        <w:t xml:space="preserve"> </w:t>
      </w:r>
      <w:r>
        <w:rPr>
          <w:color w:val="231F20"/>
        </w:rPr>
        <w:t>матеріалів,</w:t>
      </w:r>
      <w:r>
        <w:rPr>
          <w:color w:val="231F20"/>
          <w:spacing w:val="-7"/>
        </w:rPr>
        <w:t xml:space="preserve"> </w:t>
      </w:r>
      <w:r>
        <w:rPr>
          <w:color w:val="231F20"/>
        </w:rPr>
        <w:t>забезпечує</w:t>
      </w:r>
      <w:r>
        <w:rPr>
          <w:color w:val="231F20"/>
          <w:spacing w:val="-7"/>
        </w:rPr>
        <w:t xml:space="preserve"> </w:t>
      </w:r>
      <w:r>
        <w:rPr>
          <w:color w:val="231F20"/>
        </w:rPr>
        <w:t>зв’язок</w:t>
      </w:r>
      <w:r>
        <w:rPr>
          <w:color w:val="231F20"/>
          <w:spacing w:val="-7"/>
        </w:rPr>
        <w:t xml:space="preserve"> </w:t>
      </w:r>
      <w:r>
        <w:rPr>
          <w:color w:val="231F20"/>
        </w:rPr>
        <w:t>із</w:t>
      </w:r>
      <w:r>
        <w:rPr>
          <w:color w:val="231F20"/>
          <w:spacing w:val="-7"/>
        </w:rPr>
        <w:t xml:space="preserve"> </w:t>
      </w:r>
      <w:r>
        <w:rPr>
          <w:color w:val="231F20"/>
        </w:rPr>
        <w:t>посадо- вими</w:t>
      </w:r>
      <w:r>
        <w:rPr>
          <w:color w:val="231F20"/>
          <w:spacing w:val="-11"/>
        </w:rPr>
        <w:t xml:space="preserve"> </w:t>
      </w:r>
      <w:r>
        <w:rPr>
          <w:color w:val="231F20"/>
        </w:rPr>
        <w:t>особами</w:t>
      </w:r>
      <w:r>
        <w:rPr>
          <w:color w:val="231F20"/>
          <w:spacing w:val="-11"/>
        </w:rPr>
        <w:t xml:space="preserve"> </w:t>
      </w:r>
      <w:r>
        <w:rPr>
          <w:color w:val="231F20"/>
        </w:rPr>
        <w:t>інших</w:t>
      </w:r>
      <w:r>
        <w:rPr>
          <w:color w:val="231F20"/>
          <w:spacing w:val="-11"/>
        </w:rPr>
        <w:t xml:space="preserve"> </w:t>
      </w:r>
      <w:r>
        <w:rPr>
          <w:color w:val="231F20"/>
        </w:rPr>
        <w:t>органів</w:t>
      </w:r>
      <w:r>
        <w:rPr>
          <w:color w:val="231F20"/>
          <w:spacing w:val="-11"/>
        </w:rPr>
        <w:t xml:space="preserve"> </w:t>
      </w:r>
      <w:r>
        <w:rPr>
          <w:color w:val="231F20"/>
        </w:rPr>
        <w:t>державної</w:t>
      </w:r>
      <w:r>
        <w:rPr>
          <w:color w:val="231F20"/>
          <w:spacing w:val="-11"/>
        </w:rPr>
        <w:t xml:space="preserve"> </w:t>
      </w:r>
      <w:r>
        <w:rPr>
          <w:color w:val="231F20"/>
        </w:rPr>
        <w:t>влади,</w:t>
      </w:r>
      <w:r>
        <w:rPr>
          <w:color w:val="231F20"/>
          <w:spacing w:val="-11"/>
        </w:rPr>
        <w:t xml:space="preserve"> </w:t>
      </w:r>
      <w:r>
        <w:rPr>
          <w:color w:val="231F20"/>
        </w:rPr>
        <w:t>організацію</w:t>
      </w:r>
      <w:r>
        <w:rPr>
          <w:color w:val="231F20"/>
          <w:spacing w:val="-11"/>
        </w:rPr>
        <w:t xml:space="preserve"> </w:t>
      </w:r>
      <w:r>
        <w:rPr>
          <w:color w:val="231F20"/>
        </w:rPr>
        <w:t>зустрічей та зв’язків із громадськістю, засобами масової інформації, а також виконує інші доручення міністра. При цьому працівники патронат- ної служби не маю</w:t>
      </w:r>
      <w:r>
        <w:rPr>
          <w:color w:val="231F20"/>
        </w:rPr>
        <w:t>ть права давати доручення державним службов- цям та працівникам</w:t>
      </w:r>
      <w:r>
        <w:rPr>
          <w:color w:val="231F20"/>
          <w:spacing w:val="-3"/>
        </w:rPr>
        <w:t xml:space="preserve"> </w:t>
      </w:r>
      <w:r>
        <w:rPr>
          <w:color w:val="231F20"/>
        </w:rPr>
        <w:t>міністерства.</w:t>
      </w:r>
    </w:p>
    <w:p w14:paraId="03DB6B07" w14:textId="77777777" w:rsidR="00DE575E" w:rsidRDefault="002E7560">
      <w:pPr>
        <w:pStyle w:val="BodyText"/>
        <w:spacing w:before="3" w:line="252" w:lineRule="auto"/>
        <w:ind w:left="250" w:right="411" w:firstLine="283"/>
        <w:jc w:val="both"/>
      </w:pPr>
      <w:r>
        <w:rPr>
          <w:color w:val="231F20"/>
        </w:rPr>
        <w:t>З метою  забезпечення  законності  та  ефективності  діяль-  ності єдиноначальних (одноособових) органів влади важливим</w:t>
      </w:r>
      <w:r>
        <w:rPr>
          <w:color w:val="231F20"/>
          <w:spacing w:val="35"/>
        </w:rPr>
        <w:t xml:space="preserve"> </w:t>
      </w:r>
      <w:r>
        <w:rPr>
          <w:color w:val="231F20"/>
        </w:rPr>
        <w:t>є</w:t>
      </w:r>
    </w:p>
    <w:p w14:paraId="13A58C5D" w14:textId="77777777" w:rsidR="00DE575E" w:rsidRDefault="00DE575E">
      <w:pPr>
        <w:pStyle w:val="BodyText"/>
        <w:rPr>
          <w:sz w:val="20"/>
        </w:rPr>
      </w:pPr>
    </w:p>
    <w:p w14:paraId="510694B1" w14:textId="6E6A7801" w:rsidR="00DE575E" w:rsidRDefault="002E7560">
      <w:pPr>
        <w:pStyle w:val="BodyText"/>
        <w:spacing w:before="9"/>
        <w:rPr>
          <w:sz w:val="12"/>
        </w:rPr>
      </w:pPr>
      <w:r>
        <w:rPr>
          <w:noProof/>
        </w:rPr>
        <mc:AlternateContent>
          <mc:Choice Requires="wps">
            <w:drawing>
              <wp:anchor distT="0" distB="0" distL="0" distR="0" simplePos="0" relativeHeight="5008" behindDoc="0" locked="0" layoutInCell="1" allowOverlap="1" wp14:anchorId="0808B8B1" wp14:editId="61EA23C0">
                <wp:simplePos x="0" y="0"/>
                <wp:positionH relativeFrom="page">
                  <wp:posOffset>539750</wp:posOffset>
                </wp:positionH>
                <wp:positionV relativeFrom="paragraph">
                  <wp:posOffset>123190</wp:posOffset>
                </wp:positionV>
                <wp:extent cx="1080135" cy="0"/>
                <wp:effectExtent l="6350" t="8890" r="31115" b="29210"/>
                <wp:wrapTopAndBottom/>
                <wp:docPr id="1135"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C8899" id="Line_x0020_1134" o:spid="_x0000_s1026" style="position:absolute;z-index: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pR/iA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" strokecolor="#231f20" strokeweight=".5pt">
                <w10:wrap type="topAndBottom" anchorx="page"/>
              </v:line>
            </w:pict>
          </mc:Fallback>
        </mc:AlternateContent>
      </w:r>
    </w:p>
    <w:p w14:paraId="04831A07" w14:textId="77777777" w:rsidR="00DE575E" w:rsidRDefault="002E7560">
      <w:pPr>
        <w:spacing w:line="204" w:lineRule="auto"/>
        <w:ind w:left="250" w:right="521"/>
        <w:rPr>
          <w:sz w:val="16"/>
        </w:rPr>
      </w:pPr>
      <w:r>
        <w:rPr>
          <w:color w:val="231F20"/>
          <w:position w:val="5"/>
          <w:sz w:val="9"/>
        </w:rPr>
        <w:t xml:space="preserve">1 </w:t>
      </w:r>
      <w:r>
        <w:rPr>
          <w:color w:val="231F20"/>
          <w:sz w:val="16"/>
        </w:rPr>
        <w:t>Деякі питання реформування державного управління. Затверджено Постановою Кабі- нету Міністрів України від 11 грудня 2019 р. № 1034.</w:t>
      </w:r>
    </w:p>
    <w:p w14:paraId="348A3C36" w14:textId="77777777" w:rsidR="00DE575E" w:rsidRDefault="00DE575E">
      <w:pPr>
        <w:pStyle w:val="BodyText"/>
        <w:spacing w:before="1"/>
        <w:rPr>
          <w:sz w:val="12"/>
        </w:rPr>
      </w:pPr>
    </w:p>
    <w:p w14:paraId="3634A9E7" w14:textId="77777777" w:rsidR="00DE575E" w:rsidRDefault="002E7560">
      <w:pPr>
        <w:spacing w:before="92"/>
        <w:ind w:right="411"/>
        <w:jc w:val="right"/>
        <w:rPr>
          <w:rFonts w:ascii="Times New Roman"/>
          <w:sz w:val="20"/>
        </w:rPr>
      </w:pPr>
      <w:r>
        <w:rPr>
          <w:rFonts w:ascii="Times New Roman"/>
          <w:color w:val="231F20"/>
          <w:w w:val="90"/>
          <w:sz w:val="20"/>
        </w:rPr>
        <w:t>107</w:t>
      </w:r>
    </w:p>
    <w:p w14:paraId="1D66C4E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A9DB94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FD991F6" w14:textId="067CF96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1A20D5B" wp14:editId="2A0B16F8">
                <wp:extent cx="4140200" cy="6350"/>
                <wp:effectExtent l="0" t="0" r="12700" b="6350"/>
                <wp:docPr id="1133"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34" name="Line 11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C5EA8C" id="Group_x0020_11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9/A3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E/fwN/AgAAnAUAAA4A&#10;AAAAAAAAAAAAAAAALAIAAGRycy9lMm9Eb2MueG1sUEsBAi0AFAAGAAgAAAAhAEynsJDZAAAAAwEA&#10;AA8AAAAAAAAAAAAAAAAA1wQAAGRycy9kb3ducmV2LnhtbFBLBQYAAAAABAAEAPMAAADdBQAAAAA=&#10;">
                <v:line id="Line_x0020_11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CNpMUAAADdAAAADwAAAGRycy9kb3ducmV2LnhtbERPzWrCQBC+F/oOyxS8FN1oikh0lSII&#10;4kGr8QHG7JiE7s7G7GrSPn23UOhtPr7fWax6a8SDWl87VjAeJSCIC6drLhWc881wBsIHZI3GMSn4&#10;Ig+r5fPTAjPtOj7S4xRKEUPYZ6igCqHJpPRFRRb9yDXEkbu61mKIsC2lbrGL4dbISZJMpcWaY0OF&#10;Da0rKj5Pd6sgv70G83HYmS4/XFJ5ue3T7/teqcFL/z4HEagP/+I/91bH+eP0DX6/iS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zCNpMUAAADdAAAADwAAAAAAAAAA&#10;AAAAAAChAgAAZHJzL2Rvd25yZXYueG1sUEsFBgAAAAAEAAQA+QAAAJMDAAAAAA==&#10;" strokecolor="#231f20" strokeweight=".5pt"/>
                <w10:anchorlock/>
              </v:group>
            </w:pict>
          </mc:Fallback>
        </mc:AlternateContent>
      </w:r>
    </w:p>
    <w:p w14:paraId="38C17AE9" w14:textId="77777777" w:rsidR="00DE575E" w:rsidRDefault="00DE575E">
      <w:pPr>
        <w:pStyle w:val="BodyText"/>
        <w:spacing w:before="7"/>
        <w:rPr>
          <w:rFonts w:ascii="AdonisC"/>
          <w:i/>
          <w:sz w:val="11"/>
        </w:rPr>
      </w:pPr>
    </w:p>
    <w:p w14:paraId="71950FBD" w14:textId="77777777" w:rsidR="00DE575E" w:rsidRDefault="002E7560">
      <w:pPr>
        <w:pStyle w:val="BodyText"/>
        <w:spacing w:before="101" w:line="252" w:lineRule="auto"/>
        <w:ind w:left="533" w:right="127"/>
        <w:jc w:val="both"/>
      </w:pPr>
      <w:r>
        <w:rPr>
          <w:color w:val="231F20"/>
        </w:rPr>
        <w:t>поєднання</w:t>
      </w:r>
      <w:r>
        <w:rPr>
          <w:color w:val="231F20"/>
          <w:spacing w:val="-18"/>
        </w:rPr>
        <w:t xml:space="preserve"> </w:t>
      </w:r>
      <w:r>
        <w:rPr>
          <w:color w:val="231F20"/>
        </w:rPr>
        <w:t>принципу</w:t>
      </w:r>
      <w:r>
        <w:rPr>
          <w:color w:val="231F20"/>
          <w:spacing w:val="-18"/>
        </w:rPr>
        <w:t xml:space="preserve"> </w:t>
      </w:r>
      <w:r>
        <w:rPr>
          <w:color w:val="231F20"/>
        </w:rPr>
        <w:t>єдиноначальності</w:t>
      </w:r>
      <w:r>
        <w:rPr>
          <w:color w:val="231F20"/>
          <w:spacing w:val="-18"/>
        </w:rPr>
        <w:t xml:space="preserve"> </w:t>
      </w:r>
      <w:r>
        <w:rPr>
          <w:color w:val="231F20"/>
        </w:rPr>
        <w:t>з</w:t>
      </w:r>
      <w:r>
        <w:rPr>
          <w:color w:val="231F20"/>
          <w:spacing w:val="-18"/>
        </w:rPr>
        <w:t xml:space="preserve"> </w:t>
      </w:r>
      <w:r>
        <w:rPr>
          <w:color w:val="231F20"/>
        </w:rPr>
        <w:t>певними</w:t>
      </w:r>
      <w:r>
        <w:rPr>
          <w:color w:val="231F20"/>
          <w:spacing w:val="-18"/>
        </w:rPr>
        <w:t xml:space="preserve"> </w:t>
      </w:r>
      <w:r>
        <w:rPr>
          <w:color w:val="231F20"/>
        </w:rPr>
        <w:t>елементами</w:t>
      </w:r>
      <w:r>
        <w:rPr>
          <w:color w:val="231F20"/>
          <w:spacing w:val="-18"/>
        </w:rPr>
        <w:t xml:space="preserve"> </w:t>
      </w:r>
      <w:r>
        <w:rPr>
          <w:color w:val="231F20"/>
        </w:rPr>
        <w:t xml:space="preserve">коле- гіальності. У зв’язку з цим у вказаному Законі </w:t>
      </w:r>
      <w:r>
        <w:rPr>
          <w:color w:val="231F20"/>
          <w:spacing w:val="-5"/>
        </w:rPr>
        <w:t xml:space="preserve">(ст. </w:t>
      </w:r>
      <w:r>
        <w:rPr>
          <w:color w:val="231F20"/>
        </w:rPr>
        <w:t>14) передбачено можливість утворення колегії міністерства та інших консультатив- них, дорадчих та інших допоміжних органів міністерства.</w:t>
      </w:r>
      <w:r>
        <w:rPr>
          <w:color w:val="231F20"/>
        </w:rPr>
        <w:t xml:space="preserve"> Рішення колегії можуть бути реалізовані через видання відповідного наказу міністерства.</w:t>
      </w:r>
    </w:p>
    <w:p w14:paraId="7E89B05B" w14:textId="77777777" w:rsidR="00DE575E" w:rsidRDefault="002E7560">
      <w:pPr>
        <w:pStyle w:val="BodyText"/>
        <w:spacing w:before="3" w:line="252" w:lineRule="auto"/>
        <w:ind w:left="533" w:right="127" w:firstLine="283"/>
        <w:jc w:val="both"/>
      </w:pPr>
      <w:r>
        <w:rPr>
          <w:color w:val="231F20"/>
        </w:rPr>
        <w:t xml:space="preserve">Міністерство для виконання покладених на нього завдань має право залучати до виконання окремих </w:t>
      </w:r>
      <w:r>
        <w:rPr>
          <w:color w:val="231F20"/>
          <w:spacing w:val="-4"/>
        </w:rPr>
        <w:t xml:space="preserve">робіт, </w:t>
      </w:r>
      <w:r>
        <w:rPr>
          <w:color w:val="231F20"/>
        </w:rPr>
        <w:t>участі у вивченні окре- мих питань учених і фахівців, зокрема на договірній основі, а також працівників</w:t>
      </w:r>
      <w:r>
        <w:rPr>
          <w:color w:val="231F20"/>
          <w:spacing w:val="-11"/>
        </w:rPr>
        <w:t xml:space="preserve"> </w:t>
      </w:r>
      <w:r>
        <w:rPr>
          <w:color w:val="231F20"/>
        </w:rPr>
        <w:t>центральних</w:t>
      </w:r>
      <w:r>
        <w:rPr>
          <w:color w:val="231F20"/>
          <w:spacing w:val="-11"/>
        </w:rPr>
        <w:t xml:space="preserve"> </w:t>
      </w:r>
      <w:r>
        <w:rPr>
          <w:color w:val="231F20"/>
        </w:rPr>
        <w:t>і</w:t>
      </w:r>
      <w:r>
        <w:rPr>
          <w:color w:val="231F20"/>
          <w:spacing w:val="-9"/>
        </w:rPr>
        <w:t xml:space="preserve"> </w:t>
      </w:r>
      <w:r>
        <w:rPr>
          <w:color w:val="231F20"/>
        </w:rPr>
        <w:t>місцевих</w:t>
      </w:r>
      <w:r>
        <w:rPr>
          <w:color w:val="231F20"/>
          <w:spacing w:val="-11"/>
        </w:rPr>
        <w:t xml:space="preserve"> </w:t>
      </w:r>
      <w:r>
        <w:rPr>
          <w:color w:val="231F20"/>
        </w:rPr>
        <w:t>органів</w:t>
      </w:r>
      <w:r>
        <w:rPr>
          <w:color w:val="231F20"/>
          <w:spacing w:val="-11"/>
        </w:rPr>
        <w:t xml:space="preserve"> </w:t>
      </w:r>
      <w:r>
        <w:rPr>
          <w:color w:val="231F20"/>
        </w:rPr>
        <w:t>виконавчої</w:t>
      </w:r>
      <w:r>
        <w:rPr>
          <w:color w:val="231F20"/>
          <w:spacing w:val="-11"/>
        </w:rPr>
        <w:t xml:space="preserve"> </w:t>
      </w:r>
      <w:r>
        <w:rPr>
          <w:color w:val="231F20"/>
        </w:rPr>
        <w:t>влади;</w:t>
      </w:r>
      <w:r>
        <w:rPr>
          <w:color w:val="231F20"/>
          <w:spacing w:val="-11"/>
        </w:rPr>
        <w:t xml:space="preserve"> </w:t>
      </w:r>
      <w:r>
        <w:rPr>
          <w:color w:val="231F20"/>
        </w:rPr>
        <w:t>одер- жувати інформацію, документи й матеріали від державних органів та органів місцевого самоврядуванн</w:t>
      </w:r>
      <w:r>
        <w:rPr>
          <w:color w:val="231F20"/>
        </w:rPr>
        <w:t>я, підприємств, установ, орга- нізацій усіх форм власності та їх посадових осіб; скликати наради, створювати комісії та робочі групи; користуватися відповідними інформаційними базами</w:t>
      </w:r>
      <w:r>
        <w:rPr>
          <w:color w:val="231F20"/>
          <w:spacing w:val="-2"/>
        </w:rPr>
        <w:t xml:space="preserve"> </w:t>
      </w:r>
      <w:r>
        <w:rPr>
          <w:color w:val="231F20"/>
        </w:rPr>
        <w:t>даних.</w:t>
      </w:r>
    </w:p>
    <w:p w14:paraId="033F8614" w14:textId="77777777" w:rsidR="00DE575E" w:rsidRDefault="002E7560">
      <w:pPr>
        <w:pStyle w:val="BodyText"/>
        <w:spacing w:before="4" w:line="252" w:lineRule="auto"/>
        <w:ind w:left="533" w:right="126" w:firstLine="283"/>
        <w:jc w:val="both"/>
      </w:pPr>
      <w:r>
        <w:rPr>
          <w:color w:val="231F20"/>
        </w:rPr>
        <w:t>Міністерство</w:t>
      </w:r>
      <w:r>
        <w:rPr>
          <w:color w:val="231F20"/>
          <w:spacing w:val="-20"/>
        </w:rPr>
        <w:t xml:space="preserve"> </w:t>
      </w:r>
      <w:r>
        <w:rPr>
          <w:color w:val="231F20"/>
        </w:rPr>
        <w:t>здійснює</w:t>
      </w:r>
      <w:r>
        <w:rPr>
          <w:color w:val="231F20"/>
          <w:spacing w:val="-20"/>
        </w:rPr>
        <w:t xml:space="preserve"> </w:t>
      </w:r>
      <w:r>
        <w:rPr>
          <w:color w:val="231F20"/>
        </w:rPr>
        <w:t>свої</w:t>
      </w:r>
      <w:r>
        <w:rPr>
          <w:color w:val="231F20"/>
          <w:spacing w:val="-20"/>
        </w:rPr>
        <w:t xml:space="preserve"> </w:t>
      </w:r>
      <w:r>
        <w:rPr>
          <w:color w:val="231F20"/>
        </w:rPr>
        <w:t>повноваження</w:t>
      </w:r>
      <w:r>
        <w:rPr>
          <w:color w:val="231F20"/>
          <w:spacing w:val="-20"/>
        </w:rPr>
        <w:t xml:space="preserve"> </w:t>
      </w:r>
      <w:r>
        <w:rPr>
          <w:color w:val="231F20"/>
        </w:rPr>
        <w:t>безпосередньо</w:t>
      </w:r>
      <w:r>
        <w:rPr>
          <w:color w:val="231F20"/>
          <w:spacing w:val="-20"/>
        </w:rPr>
        <w:t xml:space="preserve"> </w:t>
      </w:r>
      <w:r>
        <w:rPr>
          <w:color w:val="231F20"/>
        </w:rPr>
        <w:t>та</w:t>
      </w:r>
      <w:r>
        <w:rPr>
          <w:color w:val="231F20"/>
          <w:spacing w:val="-20"/>
        </w:rPr>
        <w:t xml:space="preserve"> </w:t>
      </w:r>
      <w:r>
        <w:rPr>
          <w:color w:val="231F20"/>
        </w:rPr>
        <w:t xml:space="preserve">через свої територіальні органи на місцях. Міністерство в межах своїх повноважень видає накази, які підписує міністр </w:t>
      </w:r>
      <w:r>
        <w:rPr>
          <w:color w:val="231F20"/>
          <w:spacing w:val="-3"/>
        </w:rPr>
        <w:t xml:space="preserve">України. </w:t>
      </w:r>
      <w:r>
        <w:rPr>
          <w:color w:val="231F20"/>
        </w:rPr>
        <w:t>Накази міністерства нормативно-правового змісту  підлягають  держав- ній реєстрації. Територіальні органи міністерства діють на пі</w:t>
      </w:r>
      <w:r>
        <w:rPr>
          <w:color w:val="231F20"/>
        </w:rPr>
        <w:t>дставі положень, що затверджуються</w:t>
      </w:r>
      <w:r>
        <w:rPr>
          <w:color w:val="231F20"/>
          <w:spacing w:val="-2"/>
        </w:rPr>
        <w:t xml:space="preserve"> </w:t>
      </w:r>
      <w:r>
        <w:rPr>
          <w:color w:val="231F20"/>
        </w:rPr>
        <w:t>міністром.</w:t>
      </w:r>
    </w:p>
    <w:p w14:paraId="370759D9" w14:textId="77777777" w:rsidR="00DE575E" w:rsidRDefault="002E7560">
      <w:pPr>
        <w:spacing w:before="3" w:line="252" w:lineRule="auto"/>
        <w:ind w:left="533" w:right="126" w:firstLine="283"/>
        <w:jc w:val="right"/>
        <w:rPr>
          <w:b/>
          <w:sz w:val="21"/>
        </w:rPr>
      </w:pPr>
      <w:r>
        <w:rPr>
          <w:b/>
          <w:i/>
          <w:color w:val="231F20"/>
          <w:spacing w:val="-3"/>
          <w:sz w:val="21"/>
        </w:rPr>
        <w:t xml:space="preserve">Актами міністерства  </w:t>
      </w:r>
      <w:r>
        <w:rPr>
          <w:b/>
          <w:i/>
          <w:color w:val="231F20"/>
          <w:sz w:val="21"/>
        </w:rPr>
        <w:t xml:space="preserve">є  </w:t>
      </w:r>
      <w:r>
        <w:rPr>
          <w:b/>
          <w:i/>
          <w:color w:val="231F20"/>
          <w:spacing w:val="-3"/>
          <w:sz w:val="21"/>
        </w:rPr>
        <w:t>накази</w:t>
      </w:r>
      <w:r>
        <w:rPr>
          <w:color w:val="231F20"/>
          <w:spacing w:val="-3"/>
          <w:sz w:val="21"/>
        </w:rPr>
        <w:t xml:space="preserve">,  </w:t>
      </w:r>
      <w:r>
        <w:rPr>
          <w:color w:val="231F20"/>
          <w:sz w:val="21"/>
        </w:rPr>
        <w:t>які</w:t>
      </w:r>
      <w:r>
        <w:rPr>
          <w:color w:val="231F20"/>
          <w:spacing w:val="40"/>
          <w:sz w:val="21"/>
        </w:rPr>
        <w:t xml:space="preserve"> </w:t>
      </w:r>
      <w:r>
        <w:rPr>
          <w:color w:val="231F20"/>
          <w:spacing w:val="-3"/>
          <w:sz w:val="21"/>
        </w:rPr>
        <w:t xml:space="preserve">видаються  міністерством </w:t>
      </w:r>
      <w:r>
        <w:rPr>
          <w:color w:val="231F20"/>
          <w:sz w:val="21"/>
        </w:rPr>
        <w:t xml:space="preserve">і </w:t>
      </w:r>
      <w:r>
        <w:rPr>
          <w:color w:val="231F20"/>
          <w:spacing w:val="-3"/>
          <w:sz w:val="21"/>
        </w:rPr>
        <w:t xml:space="preserve">підписуються міністром </w:t>
      </w:r>
      <w:r>
        <w:rPr>
          <w:color w:val="231F20"/>
          <w:spacing w:val="-7"/>
          <w:sz w:val="21"/>
        </w:rPr>
        <w:t xml:space="preserve">(ст. </w:t>
      </w:r>
      <w:r>
        <w:rPr>
          <w:color w:val="231F20"/>
          <w:sz w:val="21"/>
        </w:rPr>
        <w:t xml:space="preserve">15 </w:t>
      </w:r>
      <w:r>
        <w:rPr>
          <w:color w:val="231F20"/>
          <w:spacing w:val="-3"/>
          <w:sz w:val="21"/>
        </w:rPr>
        <w:t xml:space="preserve">Закону). </w:t>
      </w:r>
      <w:r>
        <w:rPr>
          <w:color w:val="231F20"/>
          <w:sz w:val="21"/>
        </w:rPr>
        <w:t xml:space="preserve">При цьому </w:t>
      </w:r>
      <w:r>
        <w:rPr>
          <w:color w:val="231F20"/>
          <w:spacing w:val="-3"/>
          <w:sz w:val="21"/>
        </w:rPr>
        <w:t>згідно</w:t>
      </w:r>
      <w:r>
        <w:rPr>
          <w:color w:val="231F20"/>
          <w:sz w:val="21"/>
        </w:rPr>
        <w:t xml:space="preserve"> із</w:t>
      </w:r>
      <w:r>
        <w:rPr>
          <w:color w:val="231F20"/>
          <w:spacing w:val="20"/>
          <w:sz w:val="21"/>
        </w:rPr>
        <w:t xml:space="preserve"> </w:t>
      </w:r>
      <w:r>
        <w:rPr>
          <w:color w:val="231F20"/>
          <w:spacing w:val="-3"/>
          <w:sz w:val="21"/>
        </w:rPr>
        <w:t>вказа-</w:t>
      </w:r>
      <w:r>
        <w:rPr>
          <w:color w:val="231F20"/>
          <w:sz w:val="21"/>
        </w:rPr>
        <w:t xml:space="preserve"> ним</w:t>
      </w:r>
      <w:r>
        <w:rPr>
          <w:color w:val="231F20"/>
          <w:spacing w:val="-14"/>
          <w:sz w:val="21"/>
        </w:rPr>
        <w:t xml:space="preserve"> </w:t>
      </w:r>
      <w:r>
        <w:rPr>
          <w:color w:val="231F20"/>
          <w:spacing w:val="-3"/>
          <w:sz w:val="21"/>
        </w:rPr>
        <w:t>Законом</w:t>
      </w:r>
      <w:r>
        <w:rPr>
          <w:color w:val="231F20"/>
          <w:spacing w:val="-14"/>
          <w:sz w:val="21"/>
        </w:rPr>
        <w:t xml:space="preserve"> </w:t>
      </w:r>
      <w:r>
        <w:rPr>
          <w:color w:val="231F20"/>
          <w:spacing w:val="-3"/>
          <w:sz w:val="21"/>
        </w:rPr>
        <w:t>накази</w:t>
      </w:r>
      <w:r>
        <w:rPr>
          <w:color w:val="231F20"/>
          <w:spacing w:val="-14"/>
          <w:sz w:val="21"/>
        </w:rPr>
        <w:t xml:space="preserve"> </w:t>
      </w:r>
      <w:r>
        <w:rPr>
          <w:color w:val="231F20"/>
          <w:spacing w:val="-3"/>
          <w:sz w:val="21"/>
        </w:rPr>
        <w:t>міністерства</w:t>
      </w:r>
      <w:r>
        <w:rPr>
          <w:color w:val="231F20"/>
          <w:spacing w:val="-14"/>
          <w:sz w:val="21"/>
        </w:rPr>
        <w:t xml:space="preserve"> </w:t>
      </w:r>
      <w:r>
        <w:rPr>
          <w:color w:val="231F20"/>
          <w:spacing w:val="-3"/>
          <w:sz w:val="21"/>
        </w:rPr>
        <w:t>можуть</w:t>
      </w:r>
      <w:r>
        <w:rPr>
          <w:color w:val="231F20"/>
          <w:spacing w:val="-14"/>
          <w:sz w:val="21"/>
        </w:rPr>
        <w:t xml:space="preserve"> </w:t>
      </w:r>
      <w:r>
        <w:rPr>
          <w:color w:val="231F20"/>
          <w:spacing w:val="-3"/>
          <w:sz w:val="21"/>
        </w:rPr>
        <w:t>мати</w:t>
      </w:r>
      <w:r>
        <w:rPr>
          <w:color w:val="231F20"/>
          <w:spacing w:val="-14"/>
          <w:sz w:val="21"/>
        </w:rPr>
        <w:t xml:space="preserve"> </w:t>
      </w:r>
      <w:r>
        <w:rPr>
          <w:color w:val="231F20"/>
          <w:spacing w:val="-3"/>
          <w:sz w:val="21"/>
        </w:rPr>
        <w:t>різну</w:t>
      </w:r>
      <w:r>
        <w:rPr>
          <w:color w:val="231F20"/>
          <w:spacing w:val="-14"/>
          <w:sz w:val="21"/>
        </w:rPr>
        <w:t xml:space="preserve"> </w:t>
      </w:r>
      <w:r>
        <w:rPr>
          <w:color w:val="231F20"/>
          <w:spacing w:val="-3"/>
          <w:sz w:val="21"/>
        </w:rPr>
        <w:t>правову</w:t>
      </w:r>
      <w:r>
        <w:rPr>
          <w:color w:val="231F20"/>
          <w:spacing w:val="-14"/>
          <w:sz w:val="21"/>
        </w:rPr>
        <w:t xml:space="preserve"> </w:t>
      </w:r>
      <w:r>
        <w:rPr>
          <w:color w:val="231F20"/>
          <w:spacing w:val="-6"/>
          <w:sz w:val="21"/>
        </w:rPr>
        <w:t>природу,</w:t>
      </w:r>
      <w:r>
        <w:rPr>
          <w:color w:val="231F20"/>
          <w:sz w:val="21"/>
        </w:rPr>
        <w:t xml:space="preserve"> </w:t>
      </w:r>
      <w:r>
        <w:rPr>
          <w:color w:val="231F20"/>
          <w:spacing w:val="-3"/>
          <w:sz w:val="21"/>
        </w:rPr>
        <w:t>зокрема</w:t>
      </w:r>
      <w:r>
        <w:rPr>
          <w:color w:val="231F20"/>
          <w:spacing w:val="-19"/>
          <w:sz w:val="21"/>
        </w:rPr>
        <w:t xml:space="preserve"> </w:t>
      </w:r>
      <w:r>
        <w:rPr>
          <w:color w:val="231F20"/>
          <w:sz w:val="21"/>
        </w:rPr>
        <w:t>бути</w:t>
      </w:r>
      <w:r>
        <w:rPr>
          <w:color w:val="231F20"/>
          <w:spacing w:val="-20"/>
          <w:sz w:val="21"/>
        </w:rPr>
        <w:t xml:space="preserve"> </w:t>
      </w:r>
      <w:r>
        <w:rPr>
          <w:color w:val="231F20"/>
          <w:spacing w:val="-3"/>
          <w:sz w:val="21"/>
        </w:rPr>
        <w:t>нормативно-правовими</w:t>
      </w:r>
      <w:r>
        <w:rPr>
          <w:color w:val="231F20"/>
          <w:spacing w:val="-20"/>
          <w:sz w:val="21"/>
        </w:rPr>
        <w:t xml:space="preserve"> </w:t>
      </w:r>
      <w:r>
        <w:rPr>
          <w:color w:val="231F20"/>
          <w:spacing w:val="-3"/>
          <w:sz w:val="21"/>
        </w:rPr>
        <w:t>актами,</w:t>
      </w:r>
      <w:r>
        <w:rPr>
          <w:color w:val="231F20"/>
          <w:spacing w:val="-20"/>
          <w:sz w:val="21"/>
        </w:rPr>
        <w:t xml:space="preserve"> </w:t>
      </w:r>
      <w:r>
        <w:rPr>
          <w:color w:val="231F20"/>
          <w:spacing w:val="-3"/>
          <w:sz w:val="21"/>
        </w:rPr>
        <w:t>регуляторними</w:t>
      </w:r>
      <w:r>
        <w:rPr>
          <w:color w:val="231F20"/>
          <w:spacing w:val="-19"/>
          <w:sz w:val="21"/>
        </w:rPr>
        <w:t xml:space="preserve"> </w:t>
      </w:r>
      <w:r>
        <w:rPr>
          <w:color w:val="231F20"/>
          <w:spacing w:val="-3"/>
          <w:sz w:val="21"/>
        </w:rPr>
        <w:t xml:space="preserve">актами. </w:t>
      </w:r>
      <w:r>
        <w:rPr>
          <w:b/>
          <w:color w:val="231F20"/>
          <w:sz w:val="21"/>
        </w:rPr>
        <w:t>Отже,</w:t>
      </w:r>
      <w:r>
        <w:rPr>
          <w:b/>
          <w:color w:val="231F20"/>
          <w:spacing w:val="8"/>
          <w:sz w:val="21"/>
        </w:rPr>
        <w:t xml:space="preserve"> </w:t>
      </w:r>
      <w:r>
        <w:rPr>
          <w:b/>
          <w:color w:val="231F20"/>
          <w:sz w:val="21"/>
        </w:rPr>
        <w:t>міністерство</w:t>
      </w:r>
      <w:r>
        <w:rPr>
          <w:b/>
          <w:color w:val="231F20"/>
          <w:spacing w:val="8"/>
          <w:sz w:val="21"/>
        </w:rPr>
        <w:t xml:space="preserve"> </w:t>
      </w:r>
      <w:r>
        <w:rPr>
          <w:b/>
          <w:color w:val="231F20"/>
          <w:sz w:val="21"/>
        </w:rPr>
        <w:t>–</w:t>
      </w:r>
      <w:r>
        <w:rPr>
          <w:b/>
          <w:color w:val="231F20"/>
          <w:spacing w:val="8"/>
          <w:sz w:val="21"/>
        </w:rPr>
        <w:t xml:space="preserve"> </w:t>
      </w:r>
      <w:r>
        <w:rPr>
          <w:b/>
          <w:color w:val="231F20"/>
          <w:sz w:val="21"/>
        </w:rPr>
        <w:t>це</w:t>
      </w:r>
      <w:r>
        <w:rPr>
          <w:b/>
          <w:color w:val="231F20"/>
          <w:spacing w:val="8"/>
          <w:sz w:val="21"/>
        </w:rPr>
        <w:t xml:space="preserve"> </w:t>
      </w:r>
      <w:r>
        <w:rPr>
          <w:b/>
          <w:color w:val="231F20"/>
          <w:sz w:val="21"/>
        </w:rPr>
        <w:t>центральний</w:t>
      </w:r>
      <w:r>
        <w:rPr>
          <w:b/>
          <w:color w:val="231F20"/>
          <w:spacing w:val="8"/>
          <w:sz w:val="21"/>
        </w:rPr>
        <w:t xml:space="preserve"> </w:t>
      </w:r>
      <w:r>
        <w:rPr>
          <w:b/>
          <w:color w:val="231F20"/>
          <w:sz w:val="21"/>
        </w:rPr>
        <w:t>орган</w:t>
      </w:r>
      <w:r>
        <w:rPr>
          <w:b/>
          <w:color w:val="231F20"/>
          <w:spacing w:val="8"/>
          <w:sz w:val="21"/>
        </w:rPr>
        <w:t xml:space="preserve"> </w:t>
      </w:r>
      <w:r>
        <w:rPr>
          <w:b/>
          <w:color w:val="231F20"/>
          <w:sz w:val="21"/>
        </w:rPr>
        <w:t>виконавчої влади, який забезпечує формування та реалізує</w:t>
      </w:r>
      <w:r>
        <w:rPr>
          <w:b/>
          <w:color w:val="231F20"/>
          <w:spacing w:val="5"/>
          <w:sz w:val="21"/>
        </w:rPr>
        <w:t xml:space="preserve"> </w:t>
      </w:r>
      <w:r>
        <w:rPr>
          <w:b/>
          <w:color w:val="231F20"/>
          <w:sz w:val="21"/>
        </w:rPr>
        <w:t>державну</w:t>
      </w:r>
      <w:r>
        <w:rPr>
          <w:b/>
          <w:color w:val="231F20"/>
          <w:sz w:val="21"/>
        </w:rPr>
        <w:t xml:space="preserve"> </w:t>
      </w:r>
      <w:r>
        <w:rPr>
          <w:b/>
          <w:color w:val="231F20"/>
          <w:sz w:val="21"/>
        </w:rPr>
        <w:t xml:space="preserve">полі- тику в </w:t>
      </w:r>
      <w:r>
        <w:rPr>
          <w:b/>
          <w:color w:val="231F20"/>
          <w:spacing w:val="-3"/>
          <w:sz w:val="21"/>
        </w:rPr>
        <w:t xml:space="preserve">одній </w:t>
      </w:r>
      <w:r>
        <w:rPr>
          <w:b/>
          <w:color w:val="231F20"/>
          <w:sz w:val="21"/>
        </w:rPr>
        <w:t>чи декількох визначених</w:t>
      </w:r>
      <w:r>
        <w:rPr>
          <w:b/>
          <w:color w:val="231F20"/>
          <w:spacing w:val="17"/>
          <w:sz w:val="21"/>
        </w:rPr>
        <w:t xml:space="preserve"> </w:t>
      </w:r>
      <w:r>
        <w:rPr>
          <w:b/>
          <w:color w:val="231F20"/>
          <w:sz w:val="21"/>
        </w:rPr>
        <w:t>Президентом</w:t>
      </w:r>
      <w:r>
        <w:rPr>
          <w:b/>
          <w:color w:val="231F20"/>
          <w:spacing w:val="7"/>
          <w:sz w:val="21"/>
        </w:rPr>
        <w:t xml:space="preserve"> </w:t>
      </w:r>
      <w:r>
        <w:rPr>
          <w:b/>
          <w:color w:val="231F20"/>
          <w:spacing w:val="-4"/>
          <w:sz w:val="21"/>
        </w:rPr>
        <w:t>України</w:t>
      </w:r>
      <w:r>
        <w:rPr>
          <w:b/>
          <w:color w:val="231F20"/>
          <w:spacing w:val="-1"/>
          <w:sz w:val="21"/>
        </w:rPr>
        <w:t xml:space="preserve"> </w:t>
      </w:r>
      <w:r>
        <w:rPr>
          <w:b/>
          <w:color w:val="231F20"/>
          <w:sz w:val="21"/>
        </w:rPr>
        <w:t>сферах,</w:t>
      </w:r>
      <w:r>
        <w:rPr>
          <w:b/>
          <w:color w:val="231F20"/>
          <w:spacing w:val="-9"/>
          <w:sz w:val="21"/>
        </w:rPr>
        <w:t xml:space="preserve"> </w:t>
      </w:r>
      <w:r>
        <w:rPr>
          <w:b/>
          <w:color w:val="231F20"/>
          <w:sz w:val="21"/>
        </w:rPr>
        <w:t>здійснення</w:t>
      </w:r>
      <w:r>
        <w:rPr>
          <w:b/>
          <w:color w:val="231F20"/>
          <w:spacing w:val="-9"/>
          <w:sz w:val="21"/>
        </w:rPr>
        <w:t xml:space="preserve"> </w:t>
      </w:r>
      <w:r>
        <w:rPr>
          <w:b/>
          <w:color w:val="231F20"/>
          <w:sz w:val="21"/>
        </w:rPr>
        <w:t>якої</w:t>
      </w:r>
      <w:r>
        <w:rPr>
          <w:b/>
          <w:color w:val="231F20"/>
          <w:spacing w:val="-9"/>
          <w:sz w:val="21"/>
        </w:rPr>
        <w:t xml:space="preserve"> </w:t>
      </w:r>
      <w:r>
        <w:rPr>
          <w:b/>
          <w:color w:val="231F20"/>
          <w:sz w:val="21"/>
        </w:rPr>
        <w:t>покладено</w:t>
      </w:r>
      <w:r>
        <w:rPr>
          <w:b/>
          <w:color w:val="231F20"/>
          <w:spacing w:val="-9"/>
          <w:sz w:val="21"/>
        </w:rPr>
        <w:t xml:space="preserve"> </w:t>
      </w:r>
      <w:r>
        <w:rPr>
          <w:b/>
          <w:color w:val="231F20"/>
          <w:sz w:val="21"/>
        </w:rPr>
        <w:t>на</w:t>
      </w:r>
      <w:r>
        <w:rPr>
          <w:b/>
          <w:color w:val="231F20"/>
          <w:spacing w:val="-9"/>
          <w:sz w:val="21"/>
        </w:rPr>
        <w:t xml:space="preserve"> </w:t>
      </w:r>
      <w:r>
        <w:rPr>
          <w:b/>
          <w:color w:val="231F20"/>
          <w:sz w:val="21"/>
        </w:rPr>
        <w:t>Кабінет</w:t>
      </w:r>
      <w:r>
        <w:rPr>
          <w:b/>
          <w:color w:val="231F20"/>
          <w:spacing w:val="-9"/>
          <w:sz w:val="21"/>
        </w:rPr>
        <w:t xml:space="preserve"> </w:t>
      </w:r>
      <w:r>
        <w:rPr>
          <w:b/>
          <w:color w:val="231F20"/>
          <w:sz w:val="21"/>
        </w:rPr>
        <w:t>Міністрів</w:t>
      </w:r>
      <w:r>
        <w:rPr>
          <w:b/>
          <w:color w:val="231F20"/>
          <w:spacing w:val="-9"/>
          <w:sz w:val="21"/>
        </w:rPr>
        <w:t xml:space="preserve"> </w:t>
      </w:r>
      <w:r>
        <w:rPr>
          <w:b/>
          <w:color w:val="231F20"/>
          <w:spacing w:val="-4"/>
          <w:sz w:val="21"/>
        </w:rPr>
        <w:t>України</w:t>
      </w:r>
      <w:r>
        <w:rPr>
          <w:b/>
          <w:color w:val="231F20"/>
          <w:spacing w:val="-1"/>
          <w:sz w:val="21"/>
        </w:rPr>
        <w:t xml:space="preserve"> </w:t>
      </w:r>
      <w:r>
        <w:rPr>
          <w:b/>
          <w:color w:val="231F20"/>
          <w:sz w:val="21"/>
        </w:rPr>
        <w:t>Конституцією</w:t>
      </w:r>
      <w:r>
        <w:rPr>
          <w:b/>
          <w:color w:val="231F20"/>
          <w:spacing w:val="-12"/>
          <w:sz w:val="21"/>
        </w:rPr>
        <w:t xml:space="preserve"> </w:t>
      </w:r>
      <w:r>
        <w:rPr>
          <w:b/>
          <w:color w:val="231F20"/>
          <w:sz w:val="21"/>
        </w:rPr>
        <w:t>та</w:t>
      </w:r>
      <w:r>
        <w:rPr>
          <w:b/>
          <w:color w:val="231F20"/>
          <w:spacing w:val="-12"/>
          <w:sz w:val="21"/>
        </w:rPr>
        <w:t xml:space="preserve"> </w:t>
      </w:r>
      <w:r>
        <w:rPr>
          <w:b/>
          <w:color w:val="231F20"/>
          <w:sz w:val="21"/>
        </w:rPr>
        <w:t>законами</w:t>
      </w:r>
      <w:r>
        <w:rPr>
          <w:b/>
          <w:color w:val="231F20"/>
          <w:spacing w:val="-12"/>
          <w:sz w:val="21"/>
        </w:rPr>
        <w:t xml:space="preserve"> </w:t>
      </w:r>
      <w:r>
        <w:rPr>
          <w:b/>
          <w:color w:val="231F20"/>
          <w:spacing w:val="-4"/>
          <w:sz w:val="21"/>
        </w:rPr>
        <w:t>України,</w:t>
      </w:r>
      <w:r>
        <w:rPr>
          <w:b/>
          <w:color w:val="231F20"/>
          <w:spacing w:val="-12"/>
          <w:sz w:val="21"/>
        </w:rPr>
        <w:t xml:space="preserve"> </w:t>
      </w:r>
      <w:r>
        <w:rPr>
          <w:b/>
          <w:color w:val="231F20"/>
          <w:sz w:val="21"/>
        </w:rPr>
        <w:t>контролює</w:t>
      </w:r>
      <w:r>
        <w:rPr>
          <w:b/>
          <w:color w:val="231F20"/>
          <w:spacing w:val="-12"/>
          <w:sz w:val="21"/>
        </w:rPr>
        <w:t xml:space="preserve"> </w:t>
      </w:r>
      <w:r>
        <w:rPr>
          <w:b/>
          <w:color w:val="231F20"/>
          <w:sz w:val="21"/>
        </w:rPr>
        <w:t>діяльність</w:t>
      </w:r>
      <w:r>
        <w:rPr>
          <w:b/>
          <w:color w:val="231F20"/>
          <w:spacing w:val="-12"/>
          <w:sz w:val="21"/>
        </w:rPr>
        <w:t xml:space="preserve"> </w:t>
      </w:r>
      <w:r>
        <w:rPr>
          <w:b/>
          <w:color w:val="231F20"/>
          <w:sz w:val="21"/>
        </w:rPr>
        <w:t>інших</w:t>
      </w:r>
      <w:r>
        <w:rPr>
          <w:b/>
          <w:color w:val="231F20"/>
          <w:spacing w:val="-1"/>
          <w:sz w:val="21"/>
        </w:rPr>
        <w:t xml:space="preserve"> </w:t>
      </w:r>
      <w:r>
        <w:rPr>
          <w:b/>
          <w:color w:val="231F20"/>
          <w:sz w:val="21"/>
        </w:rPr>
        <w:t>центральних органів виконавчої влади, які перебувають у</w:t>
      </w:r>
      <w:r>
        <w:rPr>
          <w:b/>
          <w:color w:val="231F20"/>
          <w:spacing w:val="30"/>
          <w:sz w:val="21"/>
        </w:rPr>
        <w:t xml:space="preserve"> </w:t>
      </w:r>
      <w:r>
        <w:rPr>
          <w:b/>
          <w:color w:val="231F20"/>
          <w:sz w:val="21"/>
        </w:rPr>
        <w:t>його</w:t>
      </w:r>
    </w:p>
    <w:p w14:paraId="300EB699" w14:textId="77777777" w:rsidR="00DE575E" w:rsidRDefault="002E7560">
      <w:pPr>
        <w:pStyle w:val="Heading5"/>
        <w:spacing w:before="5"/>
      </w:pPr>
      <w:r>
        <w:rPr>
          <w:color w:val="231F20"/>
        </w:rPr>
        <w:t>підпорядкуванні.</w:t>
      </w:r>
    </w:p>
    <w:p w14:paraId="3F7FD11E" w14:textId="77777777" w:rsidR="00DE575E" w:rsidRDefault="00DE575E">
      <w:pPr>
        <w:pStyle w:val="BodyText"/>
        <w:spacing w:before="2"/>
        <w:rPr>
          <w:b/>
          <w:sz w:val="23"/>
        </w:rPr>
      </w:pPr>
    </w:p>
    <w:p w14:paraId="258634F5" w14:textId="77777777" w:rsidR="00DE575E" w:rsidRDefault="002E7560">
      <w:pPr>
        <w:ind w:left="817"/>
        <w:rPr>
          <w:b/>
          <w:sz w:val="21"/>
        </w:rPr>
      </w:pPr>
      <w:r>
        <w:rPr>
          <w:b/>
          <w:color w:val="231F20"/>
          <w:sz w:val="21"/>
        </w:rPr>
        <w:t>4.4.1.2.2. Інші центральні органи виконавчої влади</w:t>
      </w:r>
    </w:p>
    <w:p w14:paraId="28AA524E" w14:textId="77777777" w:rsidR="00DE575E" w:rsidRDefault="002E7560">
      <w:pPr>
        <w:pStyle w:val="BodyText"/>
        <w:spacing w:before="13" w:line="252" w:lineRule="auto"/>
        <w:ind w:left="533" w:right="127" w:firstLine="283"/>
        <w:jc w:val="both"/>
      </w:pPr>
      <w:r>
        <w:rPr>
          <w:color w:val="231F20"/>
        </w:rPr>
        <w:t>До</w:t>
      </w:r>
      <w:r>
        <w:rPr>
          <w:color w:val="231F20"/>
          <w:spacing w:val="-8"/>
        </w:rPr>
        <w:t xml:space="preserve"> </w:t>
      </w:r>
      <w:r>
        <w:rPr>
          <w:color w:val="231F20"/>
        </w:rPr>
        <w:t>інших</w:t>
      </w:r>
      <w:r>
        <w:rPr>
          <w:color w:val="231F20"/>
          <w:spacing w:val="-8"/>
        </w:rPr>
        <w:t xml:space="preserve"> </w:t>
      </w:r>
      <w:r>
        <w:rPr>
          <w:color w:val="231F20"/>
        </w:rPr>
        <w:t>центральних</w:t>
      </w:r>
      <w:r>
        <w:rPr>
          <w:color w:val="231F20"/>
          <w:spacing w:val="-8"/>
        </w:rPr>
        <w:t xml:space="preserve"> </w:t>
      </w:r>
      <w:r>
        <w:rPr>
          <w:color w:val="231F20"/>
        </w:rPr>
        <w:t>органів</w:t>
      </w:r>
      <w:r>
        <w:rPr>
          <w:color w:val="231F20"/>
          <w:spacing w:val="-8"/>
        </w:rPr>
        <w:t xml:space="preserve"> </w:t>
      </w:r>
      <w:r>
        <w:rPr>
          <w:color w:val="231F20"/>
        </w:rPr>
        <w:t>викона</w:t>
      </w:r>
      <w:r>
        <w:rPr>
          <w:color w:val="231F20"/>
        </w:rPr>
        <w:t>вчої</w:t>
      </w:r>
      <w:r>
        <w:rPr>
          <w:color w:val="231F20"/>
          <w:spacing w:val="-8"/>
        </w:rPr>
        <w:t xml:space="preserve"> </w:t>
      </w:r>
      <w:r>
        <w:rPr>
          <w:color w:val="231F20"/>
        </w:rPr>
        <w:t>влади</w:t>
      </w:r>
      <w:r>
        <w:rPr>
          <w:color w:val="231F20"/>
          <w:spacing w:val="-8"/>
        </w:rPr>
        <w:t xml:space="preserve"> </w:t>
      </w:r>
      <w:r>
        <w:rPr>
          <w:color w:val="231F20"/>
        </w:rPr>
        <w:t>Закон</w:t>
      </w:r>
      <w:r>
        <w:rPr>
          <w:color w:val="231F20"/>
          <w:spacing w:val="-8"/>
        </w:rPr>
        <w:t xml:space="preserve"> </w:t>
      </w:r>
      <w:r>
        <w:rPr>
          <w:color w:val="231F20"/>
        </w:rPr>
        <w:t xml:space="preserve">відносить </w:t>
      </w:r>
      <w:r>
        <w:rPr>
          <w:b/>
          <w:color w:val="231F20"/>
        </w:rPr>
        <w:t xml:space="preserve">агентства </w:t>
      </w:r>
      <w:r>
        <w:rPr>
          <w:color w:val="231F20"/>
        </w:rPr>
        <w:t xml:space="preserve">(наприклад, Державне агентство автомобільних доріг </w:t>
      </w:r>
      <w:r>
        <w:rPr>
          <w:color w:val="231F20"/>
          <w:spacing w:val="-3"/>
        </w:rPr>
        <w:t xml:space="preserve">України, </w:t>
      </w:r>
      <w:r>
        <w:rPr>
          <w:color w:val="231F20"/>
        </w:rPr>
        <w:t xml:space="preserve">Державне агентство водних ресурсів </w:t>
      </w:r>
      <w:r>
        <w:rPr>
          <w:color w:val="231F20"/>
          <w:spacing w:val="-3"/>
        </w:rPr>
        <w:t xml:space="preserve">України, </w:t>
      </w:r>
      <w:r>
        <w:rPr>
          <w:color w:val="231F20"/>
        </w:rPr>
        <w:t xml:space="preserve">Державне агентство з енергоефективності та енергозбереження </w:t>
      </w:r>
      <w:r>
        <w:rPr>
          <w:color w:val="231F20"/>
          <w:spacing w:val="-3"/>
        </w:rPr>
        <w:t xml:space="preserve">України, </w:t>
      </w:r>
      <w:r>
        <w:rPr>
          <w:color w:val="231F20"/>
        </w:rPr>
        <w:t>Державне</w:t>
      </w:r>
      <w:r>
        <w:rPr>
          <w:color w:val="231F20"/>
          <w:spacing w:val="-9"/>
        </w:rPr>
        <w:t xml:space="preserve"> </w:t>
      </w:r>
      <w:r>
        <w:rPr>
          <w:color w:val="231F20"/>
        </w:rPr>
        <w:t>агентство</w:t>
      </w:r>
      <w:r>
        <w:rPr>
          <w:color w:val="231F20"/>
          <w:spacing w:val="-9"/>
        </w:rPr>
        <w:t xml:space="preserve"> </w:t>
      </w:r>
      <w:r>
        <w:rPr>
          <w:color w:val="231F20"/>
        </w:rPr>
        <w:t>з</w:t>
      </w:r>
      <w:r>
        <w:rPr>
          <w:color w:val="231F20"/>
          <w:spacing w:val="-9"/>
        </w:rPr>
        <w:t xml:space="preserve"> </w:t>
      </w:r>
      <w:r>
        <w:rPr>
          <w:color w:val="231F20"/>
        </w:rPr>
        <w:t>питань</w:t>
      </w:r>
      <w:r>
        <w:rPr>
          <w:color w:val="231F20"/>
          <w:spacing w:val="-9"/>
        </w:rPr>
        <w:t xml:space="preserve"> </w:t>
      </w:r>
      <w:r>
        <w:rPr>
          <w:color w:val="231F20"/>
        </w:rPr>
        <w:t>кіно,</w:t>
      </w:r>
      <w:r>
        <w:rPr>
          <w:color w:val="231F20"/>
          <w:spacing w:val="-9"/>
        </w:rPr>
        <w:t xml:space="preserve"> </w:t>
      </w:r>
      <w:r>
        <w:rPr>
          <w:color w:val="231F20"/>
        </w:rPr>
        <w:t>Державне</w:t>
      </w:r>
      <w:r>
        <w:rPr>
          <w:color w:val="231F20"/>
          <w:spacing w:val="-9"/>
        </w:rPr>
        <w:t xml:space="preserve"> </w:t>
      </w:r>
      <w:r>
        <w:rPr>
          <w:color w:val="231F20"/>
        </w:rPr>
        <w:t>агентство</w:t>
      </w:r>
      <w:r>
        <w:rPr>
          <w:color w:val="231F20"/>
          <w:spacing w:val="-9"/>
        </w:rPr>
        <w:t xml:space="preserve"> </w:t>
      </w:r>
      <w:r>
        <w:rPr>
          <w:color w:val="231F20"/>
        </w:rPr>
        <w:t>з</w:t>
      </w:r>
      <w:r>
        <w:rPr>
          <w:color w:val="231F20"/>
          <w:spacing w:val="-9"/>
        </w:rPr>
        <w:t xml:space="preserve"> </w:t>
      </w:r>
      <w:r>
        <w:rPr>
          <w:color w:val="231F20"/>
        </w:rPr>
        <w:t>управління</w:t>
      </w:r>
    </w:p>
    <w:p w14:paraId="29242FC3" w14:textId="77777777" w:rsidR="00DE575E" w:rsidRDefault="00DE575E">
      <w:pPr>
        <w:pStyle w:val="BodyText"/>
        <w:spacing w:before="7"/>
        <w:rPr>
          <w:sz w:val="12"/>
        </w:rPr>
      </w:pPr>
    </w:p>
    <w:p w14:paraId="6C4912DF" w14:textId="77777777" w:rsidR="00DE575E" w:rsidRDefault="002E7560">
      <w:pPr>
        <w:spacing w:before="91"/>
        <w:ind w:left="533"/>
        <w:rPr>
          <w:rFonts w:ascii="Times New Roman"/>
          <w:sz w:val="20"/>
        </w:rPr>
      </w:pPr>
      <w:r>
        <w:rPr>
          <w:rFonts w:ascii="Times New Roman"/>
          <w:color w:val="231F20"/>
          <w:sz w:val="20"/>
        </w:rPr>
        <w:t>108</w:t>
      </w:r>
    </w:p>
    <w:p w14:paraId="4A65D658" w14:textId="77777777" w:rsidR="00DE575E" w:rsidRDefault="00DE575E">
      <w:pPr>
        <w:rPr>
          <w:rFonts w:ascii="Times New Roman"/>
          <w:sz w:val="20"/>
        </w:rPr>
        <w:sectPr w:rsidR="00DE575E">
          <w:pgSz w:w="8510" w:h="12760"/>
          <w:pgMar w:top="660" w:right="720" w:bottom="280" w:left="600" w:header="720" w:footer="720" w:gutter="0"/>
          <w:cols w:space="720"/>
        </w:sectPr>
      </w:pPr>
    </w:p>
    <w:p w14:paraId="3FDCC603"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13A524FA" w14:textId="7A4C9E4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1730592" wp14:editId="22DFAF16">
                <wp:extent cx="4140200" cy="6350"/>
                <wp:effectExtent l="0" t="0" r="12700" b="6350"/>
                <wp:docPr id="1131"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32" name="Line 113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E081E" id="Group_x0020_113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CxGSqn4CAACcBQAADgAA&#10;AAAAAAAAAAAAAAAsAgAAZHJzL2Uyb0RvYy54bWxQSwECLQAUAAYACAAAACEATKewkNkAAAADAQAA&#10;DwAAAAAAAAAAAAAAAADWBAAAZHJzL2Rvd25yZXYueG1sUEsFBgAAAAAEAAQA8wAAANwFAAAAAA==&#10;">
                <v:line id="Line_x0020_113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WwS8QAAADdAAAADwAAAGRycy9kb3ducmV2LnhtbERPzWrCQBC+F3yHZYReSt1oQErqKiIU&#10;Sg9aTR9gzI5JcHc2ZlcTffquIHibj+93ZoveGnGh1teOFYxHCQjiwumaSwV/+df7BwgfkDUax6Tg&#10;Sh4W88HLDDPtOt7SZRdKEUPYZ6igCqHJpPRFRRb9yDXEkTu41mKIsC2lbrGL4dbISZJMpcWaY0OF&#10;Da0qKo67s1WQn96C+d38mC7f7FO5P63T23mt1OuwX36CCNSHp/jh/tZx/jidwP2beIK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lbBLxAAAAN0AAAAPAAAAAAAAAAAA&#10;AAAAAKECAABkcnMvZG93bnJldi54bWxQSwUGAAAAAAQABAD5AAAAkgMAAAAA&#10;" strokecolor="#231f20" strokeweight=".5pt"/>
                <w10:anchorlock/>
              </v:group>
            </w:pict>
          </mc:Fallback>
        </mc:AlternateContent>
      </w:r>
    </w:p>
    <w:p w14:paraId="41885407" w14:textId="77777777" w:rsidR="00DE575E" w:rsidRDefault="00DE575E">
      <w:pPr>
        <w:pStyle w:val="BodyText"/>
        <w:spacing w:before="7"/>
        <w:rPr>
          <w:rFonts w:ascii="AdonisC"/>
          <w:i/>
          <w:sz w:val="19"/>
        </w:rPr>
      </w:pPr>
    </w:p>
    <w:p w14:paraId="260C55C7" w14:textId="77777777" w:rsidR="00DE575E" w:rsidRDefault="002E7560">
      <w:pPr>
        <w:pStyle w:val="BodyText"/>
        <w:spacing w:before="1" w:line="252" w:lineRule="auto"/>
        <w:ind w:left="250" w:right="409"/>
        <w:jc w:val="both"/>
      </w:pPr>
      <w:r>
        <w:rPr>
          <w:color w:val="231F20"/>
        </w:rPr>
        <w:t>зоною відчуження, Державне агентство інфраструктурних проєкті</w:t>
      </w:r>
      <w:r>
        <w:rPr>
          <w:color w:val="231F20"/>
        </w:rPr>
        <w:t>в тощо),</w:t>
      </w:r>
      <w:r>
        <w:rPr>
          <w:color w:val="231F20"/>
          <w:spacing w:val="-17"/>
        </w:rPr>
        <w:t xml:space="preserve"> </w:t>
      </w:r>
      <w:r>
        <w:rPr>
          <w:b/>
          <w:color w:val="231F20"/>
        </w:rPr>
        <w:t>служби</w:t>
      </w:r>
      <w:r>
        <w:rPr>
          <w:b/>
          <w:color w:val="231F20"/>
          <w:spacing w:val="-17"/>
        </w:rPr>
        <w:t xml:space="preserve"> </w:t>
      </w:r>
      <w:r>
        <w:rPr>
          <w:color w:val="231F20"/>
        </w:rPr>
        <w:t>(Державна</w:t>
      </w:r>
      <w:r>
        <w:rPr>
          <w:color w:val="231F20"/>
          <w:spacing w:val="-17"/>
        </w:rPr>
        <w:t xml:space="preserve"> </w:t>
      </w:r>
      <w:r>
        <w:rPr>
          <w:color w:val="231F20"/>
        </w:rPr>
        <w:t>авіаційна</w:t>
      </w:r>
      <w:r>
        <w:rPr>
          <w:color w:val="231F20"/>
          <w:spacing w:val="-17"/>
        </w:rPr>
        <w:t xml:space="preserve"> </w:t>
      </w:r>
      <w:r>
        <w:rPr>
          <w:color w:val="231F20"/>
        </w:rPr>
        <w:t>служба</w:t>
      </w:r>
      <w:r>
        <w:rPr>
          <w:color w:val="231F20"/>
          <w:spacing w:val="-17"/>
        </w:rPr>
        <w:t xml:space="preserve"> </w:t>
      </w:r>
      <w:r>
        <w:rPr>
          <w:color w:val="231F20"/>
          <w:spacing w:val="-3"/>
        </w:rPr>
        <w:t>України,</w:t>
      </w:r>
      <w:r>
        <w:rPr>
          <w:color w:val="231F20"/>
          <w:spacing w:val="-17"/>
        </w:rPr>
        <w:t xml:space="preserve"> </w:t>
      </w:r>
      <w:r>
        <w:rPr>
          <w:color w:val="231F20"/>
        </w:rPr>
        <w:t>Державна</w:t>
      </w:r>
      <w:r>
        <w:rPr>
          <w:color w:val="231F20"/>
          <w:spacing w:val="-17"/>
        </w:rPr>
        <w:t xml:space="preserve"> </w:t>
      </w:r>
      <w:r>
        <w:rPr>
          <w:color w:val="231F20"/>
        </w:rPr>
        <w:t xml:space="preserve">мігра- ційна служба, Державна податкова служба, Державна екологічна служба, Державна регуляторна служба </w:t>
      </w:r>
      <w:r>
        <w:rPr>
          <w:color w:val="231F20"/>
          <w:spacing w:val="-3"/>
        </w:rPr>
        <w:t xml:space="preserve">України </w:t>
      </w:r>
      <w:r>
        <w:rPr>
          <w:color w:val="231F20"/>
        </w:rPr>
        <w:t xml:space="preserve">тощо), </w:t>
      </w:r>
      <w:r>
        <w:rPr>
          <w:b/>
          <w:color w:val="231F20"/>
        </w:rPr>
        <w:t xml:space="preserve">інспекції </w:t>
      </w:r>
      <w:r>
        <w:rPr>
          <w:color w:val="231F20"/>
        </w:rPr>
        <w:t xml:space="preserve">(наприклад, Державна архітектурно-будівельна інспекція </w:t>
      </w:r>
      <w:r>
        <w:rPr>
          <w:color w:val="231F20"/>
          <w:spacing w:val="-3"/>
        </w:rPr>
        <w:t xml:space="preserve">України, </w:t>
      </w:r>
      <w:r>
        <w:rPr>
          <w:color w:val="231F20"/>
        </w:rPr>
        <w:t xml:space="preserve">Державна інспекція енергетичного </w:t>
      </w:r>
      <w:r>
        <w:rPr>
          <w:color w:val="231F20"/>
          <w:spacing w:val="-4"/>
        </w:rPr>
        <w:t xml:space="preserve">нагляду, </w:t>
      </w:r>
      <w:r>
        <w:rPr>
          <w:color w:val="231F20"/>
        </w:rPr>
        <w:t>Державна інспекція ядерного</w:t>
      </w:r>
      <w:r>
        <w:rPr>
          <w:color w:val="231F20"/>
          <w:spacing w:val="-13"/>
        </w:rPr>
        <w:t xml:space="preserve"> </w:t>
      </w:r>
      <w:r>
        <w:rPr>
          <w:color w:val="231F20"/>
        </w:rPr>
        <w:t>регулювання)</w:t>
      </w:r>
      <w:r>
        <w:rPr>
          <w:color w:val="231F20"/>
          <w:spacing w:val="-14"/>
        </w:rPr>
        <w:t xml:space="preserve"> </w:t>
      </w:r>
      <w:r>
        <w:rPr>
          <w:color w:val="231F20"/>
        </w:rPr>
        <w:t>та</w:t>
      </w:r>
      <w:r>
        <w:rPr>
          <w:color w:val="231F20"/>
          <w:spacing w:val="-13"/>
        </w:rPr>
        <w:t xml:space="preserve"> </w:t>
      </w:r>
      <w:r>
        <w:rPr>
          <w:b/>
          <w:color w:val="231F20"/>
        </w:rPr>
        <w:t>центральні</w:t>
      </w:r>
      <w:r>
        <w:rPr>
          <w:b/>
          <w:color w:val="231F20"/>
          <w:spacing w:val="-13"/>
        </w:rPr>
        <w:t xml:space="preserve"> </w:t>
      </w:r>
      <w:r>
        <w:rPr>
          <w:b/>
          <w:color w:val="231F20"/>
        </w:rPr>
        <w:t>органи</w:t>
      </w:r>
      <w:r>
        <w:rPr>
          <w:b/>
          <w:color w:val="231F20"/>
          <w:spacing w:val="-13"/>
        </w:rPr>
        <w:t xml:space="preserve"> </w:t>
      </w:r>
      <w:r>
        <w:rPr>
          <w:b/>
          <w:color w:val="231F20"/>
        </w:rPr>
        <w:t>виконавчої</w:t>
      </w:r>
      <w:r>
        <w:rPr>
          <w:b/>
          <w:color w:val="231F20"/>
          <w:spacing w:val="-13"/>
        </w:rPr>
        <w:t xml:space="preserve"> </w:t>
      </w:r>
      <w:r>
        <w:rPr>
          <w:b/>
          <w:color w:val="231F20"/>
        </w:rPr>
        <w:t>влади</w:t>
      </w:r>
      <w:r>
        <w:rPr>
          <w:b/>
          <w:color w:val="231F20"/>
          <w:spacing w:val="-13"/>
        </w:rPr>
        <w:t xml:space="preserve"> </w:t>
      </w:r>
      <w:r>
        <w:rPr>
          <w:b/>
          <w:color w:val="231F20"/>
        </w:rPr>
        <w:t>зі спеціальним</w:t>
      </w:r>
      <w:r>
        <w:rPr>
          <w:b/>
          <w:color w:val="231F20"/>
          <w:spacing w:val="-1"/>
        </w:rPr>
        <w:t xml:space="preserve"> </w:t>
      </w:r>
      <w:r>
        <w:rPr>
          <w:b/>
          <w:color w:val="231F20"/>
        </w:rPr>
        <w:t>статусом</w:t>
      </w:r>
      <w:r>
        <w:rPr>
          <w:color w:val="231F20"/>
        </w:rPr>
        <w:t>.</w:t>
      </w:r>
    </w:p>
    <w:p w14:paraId="424386D7" w14:textId="77777777" w:rsidR="00DE575E" w:rsidRDefault="002E7560">
      <w:pPr>
        <w:spacing w:before="4"/>
        <w:ind w:left="533"/>
        <w:rPr>
          <w:i/>
          <w:sz w:val="21"/>
        </w:rPr>
      </w:pPr>
      <w:r>
        <w:rPr>
          <w:i/>
          <w:color w:val="231F20"/>
          <w:sz w:val="21"/>
        </w:rPr>
        <w:t>Відповідно до теорії адміністративного права:</w:t>
      </w:r>
    </w:p>
    <w:p w14:paraId="3398ADE3" w14:textId="77777777" w:rsidR="00DE575E" w:rsidRDefault="002E7560">
      <w:pPr>
        <w:pStyle w:val="BodyText"/>
        <w:spacing w:before="12" w:line="252" w:lineRule="auto"/>
        <w:ind w:left="250" w:right="411" w:firstLine="283"/>
        <w:jc w:val="both"/>
      </w:pPr>
      <w:r>
        <w:rPr>
          <w:b/>
          <w:i/>
          <w:color w:val="231F20"/>
        </w:rPr>
        <w:t xml:space="preserve">Державна служба </w:t>
      </w:r>
      <w:r>
        <w:rPr>
          <w:color w:val="231F20"/>
        </w:rPr>
        <w:t>– це центральний орган виконавчої влади, що забезпечує реалізацію державної політики через надання адмі- ністративних</w:t>
      </w:r>
      <w:r>
        <w:rPr>
          <w:color w:val="231F20"/>
          <w:spacing w:val="-7"/>
        </w:rPr>
        <w:t xml:space="preserve"> </w:t>
      </w:r>
      <w:r>
        <w:rPr>
          <w:color w:val="231F20"/>
        </w:rPr>
        <w:t>послуг</w:t>
      </w:r>
      <w:r>
        <w:rPr>
          <w:color w:val="231F20"/>
          <w:spacing w:val="-7"/>
        </w:rPr>
        <w:t xml:space="preserve"> </w:t>
      </w:r>
      <w:r>
        <w:rPr>
          <w:color w:val="231F20"/>
        </w:rPr>
        <w:t>фізичним</w:t>
      </w:r>
      <w:r>
        <w:rPr>
          <w:color w:val="231F20"/>
          <w:spacing w:val="-7"/>
        </w:rPr>
        <w:t xml:space="preserve"> </w:t>
      </w:r>
      <w:r>
        <w:rPr>
          <w:color w:val="231F20"/>
        </w:rPr>
        <w:t>і</w:t>
      </w:r>
      <w:r>
        <w:rPr>
          <w:color w:val="231F20"/>
          <w:spacing w:val="-6"/>
        </w:rPr>
        <w:t xml:space="preserve"> </w:t>
      </w:r>
      <w:r>
        <w:rPr>
          <w:color w:val="231F20"/>
        </w:rPr>
        <w:t>юридичним</w:t>
      </w:r>
      <w:r>
        <w:rPr>
          <w:color w:val="231F20"/>
          <w:spacing w:val="-7"/>
        </w:rPr>
        <w:t xml:space="preserve"> </w:t>
      </w:r>
      <w:r>
        <w:rPr>
          <w:color w:val="231F20"/>
        </w:rPr>
        <w:t>особам</w:t>
      </w:r>
      <w:r>
        <w:rPr>
          <w:color w:val="231F20"/>
          <w:spacing w:val="-7"/>
        </w:rPr>
        <w:t xml:space="preserve"> </w:t>
      </w:r>
      <w:r>
        <w:rPr>
          <w:color w:val="231F20"/>
        </w:rPr>
        <w:t>у</w:t>
      </w:r>
      <w:r>
        <w:rPr>
          <w:color w:val="231F20"/>
          <w:spacing w:val="-7"/>
        </w:rPr>
        <w:t xml:space="preserve"> </w:t>
      </w:r>
      <w:r>
        <w:rPr>
          <w:color w:val="231F20"/>
        </w:rPr>
        <w:t>певних</w:t>
      </w:r>
      <w:r>
        <w:rPr>
          <w:color w:val="231F20"/>
          <w:spacing w:val="-7"/>
        </w:rPr>
        <w:t xml:space="preserve"> </w:t>
      </w:r>
      <w:r>
        <w:rPr>
          <w:color w:val="231F20"/>
        </w:rPr>
        <w:t>сферах публічного</w:t>
      </w:r>
      <w:r>
        <w:rPr>
          <w:color w:val="231F20"/>
          <w:spacing w:val="-1"/>
        </w:rPr>
        <w:t xml:space="preserve"> </w:t>
      </w:r>
      <w:r>
        <w:rPr>
          <w:color w:val="231F20"/>
        </w:rPr>
        <w:t>адміністрування.</w:t>
      </w:r>
    </w:p>
    <w:p w14:paraId="0353B7C2" w14:textId="77777777" w:rsidR="00DE575E" w:rsidRDefault="002E7560">
      <w:pPr>
        <w:pStyle w:val="BodyText"/>
        <w:spacing w:before="2" w:line="252" w:lineRule="auto"/>
        <w:ind w:left="250" w:right="410" w:firstLine="283"/>
        <w:jc w:val="both"/>
      </w:pPr>
      <w:r>
        <w:rPr>
          <w:b/>
          <w:i/>
          <w:color w:val="231F20"/>
        </w:rPr>
        <w:t xml:space="preserve">Державне агентство </w:t>
      </w:r>
      <w:r>
        <w:rPr>
          <w:color w:val="231F20"/>
        </w:rPr>
        <w:t xml:space="preserve">– це центральний посередницький (між відповідним міністерством і </w:t>
      </w:r>
      <w:r>
        <w:rPr>
          <w:color w:val="231F20"/>
          <w:spacing w:val="-3"/>
        </w:rPr>
        <w:t xml:space="preserve">об’єктами </w:t>
      </w:r>
      <w:r>
        <w:rPr>
          <w:color w:val="231F20"/>
        </w:rPr>
        <w:t>державного управління) орган</w:t>
      </w:r>
      <w:r>
        <w:rPr>
          <w:color w:val="231F20"/>
          <w:spacing w:val="-12"/>
        </w:rPr>
        <w:t xml:space="preserve"> </w:t>
      </w:r>
      <w:r>
        <w:rPr>
          <w:color w:val="231F20"/>
        </w:rPr>
        <w:t>виконавчої</w:t>
      </w:r>
      <w:r>
        <w:rPr>
          <w:color w:val="231F20"/>
          <w:spacing w:val="-12"/>
        </w:rPr>
        <w:t xml:space="preserve"> </w:t>
      </w:r>
      <w:r>
        <w:rPr>
          <w:color w:val="231F20"/>
        </w:rPr>
        <w:t>влади,</w:t>
      </w:r>
      <w:r>
        <w:rPr>
          <w:color w:val="231F20"/>
          <w:spacing w:val="-12"/>
        </w:rPr>
        <w:t xml:space="preserve"> </w:t>
      </w:r>
      <w:r>
        <w:rPr>
          <w:color w:val="231F20"/>
        </w:rPr>
        <w:t>який</w:t>
      </w:r>
      <w:r>
        <w:rPr>
          <w:color w:val="231F20"/>
          <w:spacing w:val="-12"/>
        </w:rPr>
        <w:t xml:space="preserve"> </w:t>
      </w:r>
      <w:r>
        <w:rPr>
          <w:color w:val="231F20"/>
        </w:rPr>
        <w:t>забезпечує</w:t>
      </w:r>
      <w:r>
        <w:rPr>
          <w:color w:val="231F20"/>
          <w:spacing w:val="-12"/>
        </w:rPr>
        <w:t xml:space="preserve"> </w:t>
      </w:r>
      <w:r>
        <w:rPr>
          <w:color w:val="231F20"/>
        </w:rPr>
        <w:t>реалізацію</w:t>
      </w:r>
      <w:r>
        <w:rPr>
          <w:color w:val="231F20"/>
          <w:spacing w:val="-12"/>
        </w:rPr>
        <w:t xml:space="preserve"> </w:t>
      </w:r>
      <w:r>
        <w:rPr>
          <w:color w:val="231F20"/>
        </w:rPr>
        <w:t>державної</w:t>
      </w:r>
      <w:r>
        <w:rPr>
          <w:color w:val="231F20"/>
          <w:spacing w:val="-12"/>
        </w:rPr>
        <w:t xml:space="preserve"> </w:t>
      </w:r>
      <w:r>
        <w:rPr>
          <w:color w:val="231F20"/>
        </w:rPr>
        <w:t>полі- тики через реалізацію управлінських функцій у сфері використання державного майна та наданн</w:t>
      </w:r>
      <w:r>
        <w:rPr>
          <w:color w:val="231F20"/>
        </w:rPr>
        <w:t>я адміністративних послуг у відповід- ній сфері публічного</w:t>
      </w:r>
      <w:r>
        <w:rPr>
          <w:color w:val="231F20"/>
          <w:spacing w:val="-2"/>
        </w:rPr>
        <w:t xml:space="preserve"> </w:t>
      </w:r>
      <w:r>
        <w:rPr>
          <w:color w:val="231F20"/>
        </w:rPr>
        <w:t>адміністрування.</w:t>
      </w:r>
    </w:p>
    <w:p w14:paraId="3DBD3C3B" w14:textId="77777777" w:rsidR="00DE575E" w:rsidRDefault="002E7560">
      <w:pPr>
        <w:pStyle w:val="BodyText"/>
        <w:spacing w:before="3" w:line="252" w:lineRule="auto"/>
        <w:ind w:left="250" w:right="411" w:firstLine="283"/>
        <w:jc w:val="both"/>
      </w:pPr>
      <w:r>
        <w:rPr>
          <w:b/>
          <w:i/>
          <w:color w:val="231F20"/>
        </w:rPr>
        <w:t xml:space="preserve">Державна інспекція </w:t>
      </w:r>
      <w:r>
        <w:rPr>
          <w:color w:val="231F20"/>
        </w:rPr>
        <w:t>– це центральний орган виконавчої влади, який забезпечує реалізацію державної політики через здійснення нагляду (контролю) за дотриманням і виконанням законодавс</w:t>
      </w:r>
      <w:r>
        <w:rPr>
          <w:color w:val="231F20"/>
        </w:rPr>
        <w:t>тва різними</w:t>
      </w:r>
      <w:r>
        <w:rPr>
          <w:color w:val="231F20"/>
          <w:spacing w:val="-17"/>
        </w:rPr>
        <w:t xml:space="preserve"> </w:t>
      </w:r>
      <w:r>
        <w:rPr>
          <w:color w:val="231F20"/>
          <w:spacing w:val="-3"/>
        </w:rPr>
        <w:t>об’єктами</w:t>
      </w:r>
      <w:r>
        <w:rPr>
          <w:color w:val="231F20"/>
          <w:spacing w:val="-17"/>
        </w:rPr>
        <w:t xml:space="preserve"> </w:t>
      </w:r>
      <w:r>
        <w:rPr>
          <w:color w:val="231F20"/>
        </w:rPr>
        <w:t>публічного</w:t>
      </w:r>
      <w:r>
        <w:rPr>
          <w:color w:val="231F20"/>
          <w:spacing w:val="-17"/>
        </w:rPr>
        <w:t xml:space="preserve"> </w:t>
      </w:r>
      <w:r>
        <w:rPr>
          <w:color w:val="231F20"/>
        </w:rPr>
        <w:t>управління</w:t>
      </w:r>
      <w:r>
        <w:rPr>
          <w:color w:val="231F20"/>
          <w:spacing w:val="-17"/>
        </w:rPr>
        <w:t xml:space="preserve"> </w:t>
      </w:r>
      <w:r>
        <w:rPr>
          <w:color w:val="231F20"/>
        </w:rPr>
        <w:t>у</w:t>
      </w:r>
      <w:r>
        <w:rPr>
          <w:color w:val="231F20"/>
          <w:spacing w:val="-16"/>
        </w:rPr>
        <w:t xml:space="preserve"> </w:t>
      </w:r>
      <w:r>
        <w:rPr>
          <w:color w:val="231F20"/>
        </w:rPr>
        <w:t>відповідній</w:t>
      </w:r>
      <w:r>
        <w:rPr>
          <w:color w:val="231F20"/>
          <w:spacing w:val="-17"/>
        </w:rPr>
        <w:t xml:space="preserve"> </w:t>
      </w:r>
      <w:r>
        <w:rPr>
          <w:color w:val="231F20"/>
        </w:rPr>
        <w:t>сфері</w:t>
      </w:r>
      <w:r>
        <w:rPr>
          <w:color w:val="231F20"/>
          <w:spacing w:val="-17"/>
        </w:rPr>
        <w:t xml:space="preserve"> </w:t>
      </w:r>
      <w:r>
        <w:rPr>
          <w:color w:val="231F20"/>
        </w:rPr>
        <w:t>публіч- ного</w:t>
      </w:r>
      <w:r>
        <w:rPr>
          <w:color w:val="231F20"/>
          <w:spacing w:val="-1"/>
        </w:rPr>
        <w:t xml:space="preserve"> </w:t>
      </w:r>
      <w:r>
        <w:rPr>
          <w:color w:val="231F20"/>
        </w:rPr>
        <w:t>адміністрування.</w:t>
      </w:r>
    </w:p>
    <w:p w14:paraId="1FBC8A77" w14:textId="77777777" w:rsidR="00DE575E" w:rsidRDefault="002E7560">
      <w:pPr>
        <w:pStyle w:val="BodyText"/>
        <w:spacing w:before="3" w:line="252" w:lineRule="auto"/>
        <w:ind w:left="250" w:right="409" w:firstLine="283"/>
        <w:jc w:val="both"/>
      </w:pPr>
      <w:r>
        <w:rPr>
          <w:color w:val="231F20"/>
        </w:rPr>
        <w:t>Проте слід зазначити, що чинне законодавство не містить чітких критеріїв розмежування зазначених типів центральних органів виконавчої влади. Наприклад, розмежуван</w:t>
      </w:r>
      <w:r>
        <w:rPr>
          <w:color w:val="231F20"/>
        </w:rPr>
        <w:t>ня служб, агентств та інспекцій здійснено за обсягом компетенції. Центральний орган виконавчої влади утворюється як служба, якщо більшість його функцій – надання адміністративних послуг фізичним і юридич- ним особам. Якщо більшість функцій органу – управлі</w:t>
      </w:r>
      <w:r>
        <w:rPr>
          <w:color w:val="231F20"/>
        </w:rPr>
        <w:t xml:space="preserve">ння </w:t>
      </w:r>
      <w:r>
        <w:rPr>
          <w:color w:val="231F20"/>
          <w:spacing w:val="-4"/>
        </w:rPr>
        <w:t xml:space="preserve">об’єк- </w:t>
      </w:r>
      <w:r>
        <w:rPr>
          <w:color w:val="231F20"/>
        </w:rPr>
        <w:t>тами державної власності, що належать до сфери його управління, орган утворюється як агентство. Інспекція – це центральний орган виконавчої влади, більшість функцій якого складають контрольно- наглядові</w:t>
      </w:r>
      <w:r>
        <w:rPr>
          <w:color w:val="231F20"/>
          <w:spacing w:val="-11"/>
        </w:rPr>
        <w:t xml:space="preserve"> </w:t>
      </w:r>
      <w:r>
        <w:rPr>
          <w:color w:val="231F20"/>
        </w:rPr>
        <w:t>функції</w:t>
      </w:r>
      <w:r>
        <w:rPr>
          <w:color w:val="231F20"/>
          <w:spacing w:val="-11"/>
        </w:rPr>
        <w:t xml:space="preserve"> </w:t>
      </w:r>
      <w:r>
        <w:rPr>
          <w:color w:val="231F20"/>
        </w:rPr>
        <w:t>за</w:t>
      </w:r>
      <w:r>
        <w:rPr>
          <w:color w:val="231F20"/>
          <w:spacing w:val="-11"/>
        </w:rPr>
        <w:t xml:space="preserve"> </w:t>
      </w:r>
      <w:r>
        <w:rPr>
          <w:color w:val="231F20"/>
        </w:rPr>
        <w:t>дотриманням</w:t>
      </w:r>
      <w:r>
        <w:rPr>
          <w:color w:val="231F20"/>
          <w:spacing w:val="-11"/>
        </w:rPr>
        <w:t xml:space="preserve"> </w:t>
      </w:r>
      <w:r>
        <w:rPr>
          <w:color w:val="231F20"/>
        </w:rPr>
        <w:t>державними</w:t>
      </w:r>
      <w:r>
        <w:rPr>
          <w:color w:val="231F20"/>
          <w:spacing w:val="-11"/>
        </w:rPr>
        <w:t xml:space="preserve"> </w:t>
      </w:r>
      <w:r>
        <w:rPr>
          <w:color w:val="231F20"/>
        </w:rPr>
        <w:t>органами</w:t>
      </w:r>
      <w:r>
        <w:rPr>
          <w:color w:val="231F20"/>
        </w:rPr>
        <w:t>,</w:t>
      </w:r>
      <w:r>
        <w:rPr>
          <w:color w:val="231F20"/>
          <w:spacing w:val="-11"/>
        </w:rPr>
        <w:t xml:space="preserve"> </w:t>
      </w:r>
      <w:r>
        <w:rPr>
          <w:color w:val="231F20"/>
        </w:rPr>
        <w:t>органами місцевого самоврядування, їх посадовими особами, юридичними та фізичними особами актів</w:t>
      </w:r>
      <w:r>
        <w:rPr>
          <w:color w:val="231F20"/>
          <w:spacing w:val="-4"/>
        </w:rPr>
        <w:t xml:space="preserve"> </w:t>
      </w:r>
      <w:r>
        <w:rPr>
          <w:color w:val="231F20"/>
        </w:rPr>
        <w:t>законодавства.</w:t>
      </w:r>
    </w:p>
    <w:p w14:paraId="1F18B858" w14:textId="77777777" w:rsidR="00DE575E" w:rsidRDefault="002E7560">
      <w:pPr>
        <w:pStyle w:val="BodyText"/>
        <w:spacing w:before="6" w:line="252" w:lineRule="auto"/>
        <w:ind w:left="250" w:right="410" w:firstLine="283"/>
        <w:jc w:val="both"/>
      </w:pPr>
      <w:r>
        <w:rPr>
          <w:color w:val="231F20"/>
        </w:rPr>
        <w:t>Однак</w:t>
      </w:r>
      <w:r>
        <w:rPr>
          <w:color w:val="231F20"/>
          <w:spacing w:val="-25"/>
        </w:rPr>
        <w:t xml:space="preserve"> </w:t>
      </w:r>
      <w:r>
        <w:rPr>
          <w:color w:val="231F20"/>
        </w:rPr>
        <w:t>термін«служба»</w:t>
      </w:r>
      <w:r>
        <w:rPr>
          <w:color w:val="231F20"/>
          <w:spacing w:val="-25"/>
        </w:rPr>
        <w:t xml:space="preserve"> </w:t>
      </w:r>
      <w:r>
        <w:rPr>
          <w:color w:val="231F20"/>
        </w:rPr>
        <w:t>використовується</w:t>
      </w:r>
      <w:r>
        <w:rPr>
          <w:color w:val="231F20"/>
          <w:spacing w:val="-25"/>
        </w:rPr>
        <w:t xml:space="preserve"> </w:t>
      </w:r>
      <w:r>
        <w:rPr>
          <w:color w:val="231F20"/>
        </w:rPr>
        <w:t>не</w:t>
      </w:r>
      <w:r>
        <w:rPr>
          <w:color w:val="231F20"/>
          <w:spacing w:val="-25"/>
        </w:rPr>
        <w:t xml:space="preserve"> </w:t>
      </w:r>
      <w:r>
        <w:rPr>
          <w:color w:val="231F20"/>
        </w:rPr>
        <w:t>лише</w:t>
      </w:r>
      <w:r>
        <w:rPr>
          <w:color w:val="231F20"/>
          <w:spacing w:val="-25"/>
        </w:rPr>
        <w:t xml:space="preserve"> </w:t>
      </w:r>
      <w:r>
        <w:rPr>
          <w:color w:val="231F20"/>
        </w:rPr>
        <w:t>щодо</w:t>
      </w:r>
      <w:r>
        <w:rPr>
          <w:color w:val="231F20"/>
          <w:spacing w:val="-25"/>
        </w:rPr>
        <w:t xml:space="preserve"> </w:t>
      </w:r>
      <w:r>
        <w:rPr>
          <w:color w:val="231F20"/>
        </w:rPr>
        <w:t>централь- них</w:t>
      </w:r>
      <w:r>
        <w:rPr>
          <w:color w:val="231F20"/>
          <w:spacing w:val="12"/>
        </w:rPr>
        <w:t xml:space="preserve"> </w:t>
      </w:r>
      <w:r>
        <w:rPr>
          <w:color w:val="231F20"/>
        </w:rPr>
        <w:t>органів</w:t>
      </w:r>
      <w:r>
        <w:rPr>
          <w:color w:val="231F20"/>
          <w:spacing w:val="12"/>
        </w:rPr>
        <w:t xml:space="preserve"> </w:t>
      </w:r>
      <w:r>
        <w:rPr>
          <w:color w:val="231F20"/>
        </w:rPr>
        <w:t>виконавчої</w:t>
      </w:r>
      <w:r>
        <w:rPr>
          <w:color w:val="231F20"/>
          <w:spacing w:val="12"/>
        </w:rPr>
        <w:t xml:space="preserve"> </w:t>
      </w:r>
      <w:r>
        <w:rPr>
          <w:color w:val="231F20"/>
        </w:rPr>
        <w:t>влади.</w:t>
      </w:r>
      <w:r>
        <w:rPr>
          <w:color w:val="231F20"/>
          <w:spacing w:val="12"/>
        </w:rPr>
        <w:t xml:space="preserve"> </w:t>
      </w:r>
      <w:r>
        <w:rPr>
          <w:color w:val="231F20"/>
        </w:rPr>
        <w:t>Наприклад,</w:t>
      </w:r>
      <w:r>
        <w:rPr>
          <w:color w:val="231F20"/>
          <w:spacing w:val="12"/>
        </w:rPr>
        <w:t xml:space="preserve"> </w:t>
      </w:r>
      <w:r>
        <w:rPr>
          <w:color w:val="231F20"/>
        </w:rPr>
        <w:t>Служба</w:t>
      </w:r>
      <w:r>
        <w:rPr>
          <w:color w:val="231F20"/>
          <w:spacing w:val="12"/>
        </w:rPr>
        <w:t xml:space="preserve"> </w:t>
      </w:r>
      <w:r>
        <w:rPr>
          <w:color w:val="231F20"/>
        </w:rPr>
        <w:t>безпеки</w:t>
      </w:r>
      <w:r>
        <w:rPr>
          <w:color w:val="231F20"/>
          <w:spacing w:val="12"/>
        </w:rPr>
        <w:t xml:space="preserve"> </w:t>
      </w:r>
      <w:r>
        <w:rPr>
          <w:color w:val="231F20"/>
          <w:spacing w:val="-3"/>
        </w:rPr>
        <w:t>України</w:t>
      </w:r>
    </w:p>
    <w:p w14:paraId="1264DBE4" w14:textId="77777777" w:rsidR="00DE575E" w:rsidRDefault="00DE575E">
      <w:pPr>
        <w:pStyle w:val="BodyText"/>
        <w:spacing w:before="6"/>
        <w:rPr>
          <w:sz w:val="12"/>
        </w:rPr>
      </w:pPr>
    </w:p>
    <w:p w14:paraId="42547E17" w14:textId="77777777" w:rsidR="00DE575E" w:rsidRDefault="002E7560">
      <w:pPr>
        <w:spacing w:before="91"/>
        <w:ind w:right="411"/>
        <w:jc w:val="right"/>
        <w:rPr>
          <w:rFonts w:ascii="Times New Roman"/>
          <w:sz w:val="20"/>
        </w:rPr>
      </w:pPr>
      <w:r>
        <w:rPr>
          <w:rFonts w:ascii="Times New Roman"/>
          <w:color w:val="231F20"/>
          <w:w w:val="90"/>
          <w:sz w:val="20"/>
        </w:rPr>
        <w:t>109</w:t>
      </w:r>
    </w:p>
    <w:p w14:paraId="3E75FE0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F9F9CA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9487B8B" w14:textId="48B912B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81A4065" wp14:editId="2E27D23C">
                <wp:extent cx="4140200" cy="6350"/>
                <wp:effectExtent l="0" t="0" r="12700" b="6350"/>
                <wp:docPr id="1129"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30" name="Line 11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C5D4AF" id="Group_x0020_11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tM3mWgAIAAJwFAAAO&#10;AAAAAAAAAAAAAAAAACwCAABkcnMvZTJvRG9jLnhtbFBLAQItABQABgAIAAAAIQBMp7CQ2QAAAAMB&#10;AAAPAAAAAAAAAAAAAAAAANgEAABkcnMvZG93bnJldi54bWxQSwUGAAAAAAQABADzAAAA3gUAAAAA&#10;">
                <v:line id="Line_x0020_11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uLp8gAAADdAAAADwAAAGRycy9kb3ducmV2LnhtbESPQWvCQBCF74X+h2UKvRTd2ECR6CpF&#10;EEoP2hp/wJgdk9Dd2ZhdTdpf3zkUepvhvXnvm+V69E7dqI9tYAOzaQaKuAq25drAsdxO5qBiQrbo&#10;ApOBb4qwXt3fLbGwYeBPuh1SrSSEY4EGmpS6QutYNeQxTkNHLNo59B6TrH2tbY+DhHunn7PsRXts&#10;WRoa7GjTUPV1uHoD5eUpuY/9uxvK/SnXp8su/7nujHl8GF8XoBKN6d/8d/1mBX+WC798IyPo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AuLp8gAAADdAAAADwAAAAAA&#10;AAAAAAAAAAChAgAAZHJzL2Rvd25yZXYueG1sUEsFBgAAAAAEAAQA+QAAAJYDAAAAAA==&#10;" strokecolor="#231f20" strokeweight=".5pt"/>
                <w10:anchorlock/>
              </v:group>
            </w:pict>
          </mc:Fallback>
        </mc:AlternateContent>
      </w:r>
    </w:p>
    <w:p w14:paraId="2CB86009" w14:textId="77777777" w:rsidR="00DE575E" w:rsidRDefault="00DE575E">
      <w:pPr>
        <w:pStyle w:val="BodyText"/>
        <w:spacing w:before="7"/>
        <w:rPr>
          <w:rFonts w:ascii="AdonisC"/>
          <w:i/>
          <w:sz w:val="11"/>
        </w:rPr>
      </w:pPr>
    </w:p>
    <w:p w14:paraId="3848F942" w14:textId="77777777" w:rsidR="00DE575E" w:rsidRDefault="002E7560">
      <w:pPr>
        <w:pStyle w:val="BodyText"/>
        <w:spacing w:before="101" w:line="252" w:lineRule="auto"/>
        <w:ind w:left="533" w:right="127"/>
        <w:jc w:val="both"/>
      </w:pPr>
      <w:r>
        <w:rPr>
          <w:color w:val="231F20"/>
        </w:rPr>
        <w:t xml:space="preserve">не є центральним органом виконавчої влади – це державний орган спеціального призначення з правоохоронними функціями, який забезпечує державну безпеку </w:t>
      </w:r>
      <w:r>
        <w:rPr>
          <w:color w:val="231F20"/>
          <w:spacing w:val="-3"/>
        </w:rPr>
        <w:t xml:space="preserve">України. </w:t>
      </w:r>
      <w:r>
        <w:rPr>
          <w:color w:val="231F20"/>
          <w:spacing w:val="-4"/>
        </w:rPr>
        <w:t xml:space="preserve">Тобто </w:t>
      </w:r>
      <w:r>
        <w:rPr>
          <w:color w:val="231F20"/>
        </w:rPr>
        <w:t>в такому разі служба – це не організаційно-правова фор</w:t>
      </w:r>
      <w:r>
        <w:rPr>
          <w:color w:val="231F20"/>
        </w:rPr>
        <w:t xml:space="preserve">ма державного </w:t>
      </w:r>
      <w:r>
        <w:rPr>
          <w:color w:val="231F20"/>
          <w:spacing w:val="-3"/>
        </w:rPr>
        <w:t xml:space="preserve">органу, </w:t>
      </w:r>
      <w:r>
        <w:rPr>
          <w:color w:val="231F20"/>
        </w:rPr>
        <w:t>а складова назви.</w:t>
      </w:r>
      <w:r>
        <w:rPr>
          <w:color w:val="231F20"/>
          <w:spacing w:val="-8"/>
        </w:rPr>
        <w:t xml:space="preserve"> </w:t>
      </w:r>
      <w:r>
        <w:rPr>
          <w:color w:val="231F20"/>
        </w:rPr>
        <w:t>Відповідно</w:t>
      </w:r>
      <w:r>
        <w:rPr>
          <w:color w:val="231F20"/>
          <w:spacing w:val="-9"/>
        </w:rPr>
        <w:t xml:space="preserve"> </w:t>
      </w:r>
      <w:r>
        <w:rPr>
          <w:color w:val="231F20"/>
        </w:rPr>
        <w:t>до</w:t>
      </w:r>
      <w:r>
        <w:rPr>
          <w:color w:val="231F20"/>
          <w:spacing w:val="-8"/>
        </w:rPr>
        <w:t xml:space="preserve"> </w:t>
      </w:r>
      <w:r>
        <w:rPr>
          <w:color w:val="231F20"/>
        </w:rPr>
        <w:t>Положення</w:t>
      </w:r>
      <w:r>
        <w:rPr>
          <w:color w:val="231F20"/>
          <w:spacing w:val="-8"/>
        </w:rPr>
        <w:t xml:space="preserve"> </w:t>
      </w:r>
      <w:r>
        <w:rPr>
          <w:color w:val="231F20"/>
        </w:rPr>
        <w:t>про</w:t>
      </w:r>
      <w:r>
        <w:rPr>
          <w:color w:val="231F20"/>
          <w:spacing w:val="-8"/>
        </w:rPr>
        <w:t xml:space="preserve"> </w:t>
      </w:r>
      <w:r>
        <w:rPr>
          <w:color w:val="231F20"/>
        </w:rPr>
        <w:t>Національне</w:t>
      </w:r>
      <w:r>
        <w:rPr>
          <w:color w:val="231F20"/>
          <w:spacing w:val="-8"/>
        </w:rPr>
        <w:t xml:space="preserve"> </w:t>
      </w:r>
      <w:r>
        <w:rPr>
          <w:color w:val="231F20"/>
        </w:rPr>
        <w:t>агентство</w:t>
      </w:r>
      <w:r>
        <w:rPr>
          <w:color w:val="231F20"/>
          <w:spacing w:val="-8"/>
        </w:rPr>
        <w:t xml:space="preserve"> </w:t>
      </w:r>
      <w:r>
        <w:rPr>
          <w:color w:val="231F20"/>
          <w:spacing w:val="-3"/>
        </w:rPr>
        <w:t xml:space="preserve">України </w:t>
      </w:r>
      <w:r>
        <w:rPr>
          <w:color w:val="231F20"/>
        </w:rPr>
        <w:t xml:space="preserve">з питань державної служби, затвердженого постановою Кабінету Міністрів </w:t>
      </w:r>
      <w:r>
        <w:rPr>
          <w:color w:val="231F20"/>
          <w:spacing w:val="-3"/>
        </w:rPr>
        <w:t xml:space="preserve">України </w:t>
      </w:r>
      <w:r>
        <w:rPr>
          <w:color w:val="231F20"/>
        </w:rPr>
        <w:t>від 1 жовтня 2014 р. № 500, Національне агент- ство</w:t>
      </w:r>
      <w:r>
        <w:rPr>
          <w:color w:val="231F20"/>
          <w:spacing w:val="-15"/>
        </w:rPr>
        <w:t xml:space="preserve"> </w:t>
      </w:r>
      <w:r>
        <w:rPr>
          <w:color w:val="231F20"/>
          <w:spacing w:val="-3"/>
        </w:rPr>
        <w:t>України</w:t>
      </w:r>
      <w:r>
        <w:rPr>
          <w:color w:val="231F20"/>
          <w:spacing w:val="-15"/>
        </w:rPr>
        <w:t xml:space="preserve"> </w:t>
      </w:r>
      <w:r>
        <w:rPr>
          <w:color w:val="231F20"/>
        </w:rPr>
        <w:t>з</w:t>
      </w:r>
      <w:r>
        <w:rPr>
          <w:color w:val="231F20"/>
          <w:spacing w:val="-15"/>
        </w:rPr>
        <w:t xml:space="preserve"> </w:t>
      </w:r>
      <w:r>
        <w:rPr>
          <w:color w:val="231F20"/>
        </w:rPr>
        <w:t>питань</w:t>
      </w:r>
      <w:r>
        <w:rPr>
          <w:color w:val="231F20"/>
          <w:spacing w:val="-15"/>
        </w:rPr>
        <w:t xml:space="preserve"> </w:t>
      </w:r>
      <w:r>
        <w:rPr>
          <w:color w:val="231F20"/>
        </w:rPr>
        <w:t>державної</w:t>
      </w:r>
      <w:r>
        <w:rPr>
          <w:color w:val="231F20"/>
          <w:spacing w:val="-15"/>
        </w:rPr>
        <w:t xml:space="preserve"> </w:t>
      </w:r>
      <w:r>
        <w:rPr>
          <w:color w:val="231F20"/>
        </w:rPr>
        <w:t>служби</w:t>
      </w:r>
      <w:r>
        <w:rPr>
          <w:color w:val="231F20"/>
          <w:spacing w:val="-15"/>
        </w:rPr>
        <w:t xml:space="preserve"> </w:t>
      </w:r>
      <w:r>
        <w:rPr>
          <w:color w:val="231F20"/>
        </w:rPr>
        <w:t>(НАДС)</w:t>
      </w:r>
      <w:r>
        <w:rPr>
          <w:color w:val="231F20"/>
          <w:spacing w:val="-15"/>
        </w:rPr>
        <w:t xml:space="preserve"> </w:t>
      </w:r>
      <w:r>
        <w:rPr>
          <w:color w:val="231F20"/>
        </w:rPr>
        <w:t>є</w:t>
      </w:r>
      <w:r>
        <w:rPr>
          <w:color w:val="231F20"/>
          <w:spacing w:val="-15"/>
        </w:rPr>
        <w:t xml:space="preserve"> </w:t>
      </w:r>
      <w:r>
        <w:rPr>
          <w:color w:val="231F20"/>
        </w:rPr>
        <w:t>центральним</w:t>
      </w:r>
      <w:r>
        <w:rPr>
          <w:color w:val="231F20"/>
          <w:spacing w:val="-15"/>
        </w:rPr>
        <w:t xml:space="preserve"> </w:t>
      </w:r>
      <w:r>
        <w:rPr>
          <w:color w:val="231F20"/>
        </w:rPr>
        <w:t xml:space="preserve">орга- ном виконавчої влади, діяльність якого спрямовується й координу- ється Кабінетом Міністрів </w:t>
      </w:r>
      <w:r>
        <w:rPr>
          <w:color w:val="231F20"/>
          <w:spacing w:val="-3"/>
        </w:rPr>
        <w:t xml:space="preserve">України </w:t>
      </w:r>
      <w:r>
        <w:rPr>
          <w:color w:val="231F20"/>
        </w:rPr>
        <w:t>та який забезпечує формування та реалізує державну політику у сфері державної служби, здійснює функціональне управління дер</w:t>
      </w:r>
      <w:r>
        <w:rPr>
          <w:color w:val="231F20"/>
        </w:rPr>
        <w:t>жавною службою в органі державної влади,</w:t>
      </w:r>
      <w:r>
        <w:rPr>
          <w:color w:val="231F20"/>
          <w:spacing w:val="-8"/>
        </w:rPr>
        <w:t xml:space="preserve"> </w:t>
      </w:r>
      <w:r>
        <w:rPr>
          <w:color w:val="231F20"/>
        </w:rPr>
        <w:t>іншому</w:t>
      </w:r>
      <w:r>
        <w:rPr>
          <w:color w:val="231F20"/>
          <w:spacing w:val="-9"/>
        </w:rPr>
        <w:t xml:space="preserve"> </w:t>
      </w:r>
      <w:r>
        <w:rPr>
          <w:color w:val="231F20"/>
        </w:rPr>
        <w:t>державному</w:t>
      </w:r>
      <w:r>
        <w:rPr>
          <w:color w:val="231F20"/>
          <w:spacing w:val="-9"/>
        </w:rPr>
        <w:t xml:space="preserve"> </w:t>
      </w:r>
      <w:r>
        <w:rPr>
          <w:color w:val="231F20"/>
        </w:rPr>
        <w:t>органі,</w:t>
      </w:r>
      <w:r>
        <w:rPr>
          <w:color w:val="231F20"/>
          <w:spacing w:val="-9"/>
        </w:rPr>
        <w:t xml:space="preserve"> </w:t>
      </w:r>
      <w:r>
        <w:rPr>
          <w:color w:val="231F20"/>
        </w:rPr>
        <w:t>його</w:t>
      </w:r>
      <w:r>
        <w:rPr>
          <w:color w:val="231F20"/>
          <w:spacing w:val="-8"/>
        </w:rPr>
        <w:t xml:space="preserve"> </w:t>
      </w:r>
      <w:r>
        <w:rPr>
          <w:color w:val="231F20"/>
        </w:rPr>
        <w:t>апараті</w:t>
      </w:r>
      <w:r>
        <w:rPr>
          <w:color w:val="231F20"/>
          <w:spacing w:val="-9"/>
        </w:rPr>
        <w:t xml:space="preserve"> </w:t>
      </w:r>
      <w:r>
        <w:rPr>
          <w:color w:val="231F20"/>
        </w:rPr>
        <w:t>(секретаріаті).</w:t>
      </w:r>
      <w:r>
        <w:rPr>
          <w:color w:val="231F20"/>
          <w:spacing w:val="-8"/>
        </w:rPr>
        <w:t xml:space="preserve"> </w:t>
      </w:r>
      <w:r>
        <w:rPr>
          <w:color w:val="231F20"/>
          <w:spacing w:val="-4"/>
        </w:rPr>
        <w:t xml:space="preserve">Тобто </w:t>
      </w:r>
      <w:r>
        <w:rPr>
          <w:color w:val="231F20"/>
        </w:rPr>
        <w:t xml:space="preserve">призначенням такого органу не є управління </w:t>
      </w:r>
      <w:r>
        <w:rPr>
          <w:color w:val="231F20"/>
          <w:spacing w:val="-3"/>
        </w:rPr>
        <w:t xml:space="preserve">об’єктами </w:t>
      </w:r>
      <w:r>
        <w:rPr>
          <w:color w:val="231F20"/>
        </w:rPr>
        <w:t>державної власності,</w:t>
      </w:r>
      <w:r>
        <w:rPr>
          <w:color w:val="231F20"/>
          <w:spacing w:val="-5"/>
        </w:rPr>
        <w:t xml:space="preserve"> </w:t>
      </w:r>
      <w:r>
        <w:rPr>
          <w:color w:val="231F20"/>
        </w:rPr>
        <w:t>як</w:t>
      </w:r>
      <w:r>
        <w:rPr>
          <w:color w:val="231F20"/>
          <w:spacing w:val="-5"/>
        </w:rPr>
        <w:t xml:space="preserve"> </w:t>
      </w:r>
      <w:r>
        <w:rPr>
          <w:color w:val="231F20"/>
        </w:rPr>
        <w:t>це</w:t>
      </w:r>
      <w:r>
        <w:rPr>
          <w:color w:val="231F20"/>
          <w:spacing w:val="-5"/>
        </w:rPr>
        <w:t xml:space="preserve"> </w:t>
      </w:r>
      <w:r>
        <w:rPr>
          <w:color w:val="231F20"/>
        </w:rPr>
        <w:t>передбачено</w:t>
      </w:r>
      <w:r>
        <w:rPr>
          <w:color w:val="231F20"/>
          <w:spacing w:val="-5"/>
        </w:rPr>
        <w:t xml:space="preserve"> </w:t>
      </w:r>
      <w:r>
        <w:rPr>
          <w:color w:val="231F20"/>
        </w:rPr>
        <w:t>для</w:t>
      </w:r>
      <w:r>
        <w:rPr>
          <w:color w:val="231F20"/>
          <w:spacing w:val="-6"/>
        </w:rPr>
        <w:t xml:space="preserve"> </w:t>
      </w:r>
      <w:r>
        <w:rPr>
          <w:color w:val="231F20"/>
        </w:rPr>
        <w:t>агентств</w:t>
      </w:r>
      <w:r>
        <w:rPr>
          <w:color w:val="231F20"/>
          <w:spacing w:val="-5"/>
        </w:rPr>
        <w:t xml:space="preserve"> </w:t>
      </w:r>
      <w:r>
        <w:rPr>
          <w:color w:val="231F20"/>
        </w:rPr>
        <w:t>згідно</w:t>
      </w:r>
      <w:r>
        <w:rPr>
          <w:color w:val="231F20"/>
          <w:spacing w:val="-6"/>
        </w:rPr>
        <w:t xml:space="preserve"> </w:t>
      </w:r>
      <w:r>
        <w:rPr>
          <w:color w:val="231F20"/>
        </w:rPr>
        <w:t>із</w:t>
      </w:r>
      <w:r>
        <w:rPr>
          <w:color w:val="231F20"/>
          <w:spacing w:val="-5"/>
        </w:rPr>
        <w:t xml:space="preserve"> </w:t>
      </w:r>
      <w:r>
        <w:rPr>
          <w:color w:val="231F20"/>
        </w:rPr>
        <w:t>Законом</w:t>
      </w:r>
      <w:r>
        <w:rPr>
          <w:color w:val="231F20"/>
          <w:spacing w:val="-6"/>
        </w:rPr>
        <w:t xml:space="preserve"> </w:t>
      </w:r>
      <w:r>
        <w:rPr>
          <w:color w:val="231F20"/>
          <w:spacing w:val="-3"/>
        </w:rPr>
        <w:t>України</w:t>
      </w:r>
    </w:p>
    <w:p w14:paraId="628F3776" w14:textId="77777777" w:rsidR="00DE575E" w:rsidRDefault="002E7560">
      <w:pPr>
        <w:pStyle w:val="BodyText"/>
        <w:spacing w:before="7" w:line="252" w:lineRule="auto"/>
        <w:ind w:left="533" w:right="127"/>
        <w:jc w:val="both"/>
      </w:pPr>
      <w:r>
        <w:rPr>
          <w:color w:val="231F20"/>
        </w:rPr>
        <w:t>«Про</w:t>
      </w:r>
      <w:r>
        <w:rPr>
          <w:color w:val="231F20"/>
          <w:spacing w:val="-10"/>
        </w:rPr>
        <w:t xml:space="preserve"> </w:t>
      </w:r>
      <w:r>
        <w:rPr>
          <w:color w:val="231F20"/>
        </w:rPr>
        <w:t>центральні</w:t>
      </w:r>
      <w:r>
        <w:rPr>
          <w:color w:val="231F20"/>
          <w:spacing w:val="-11"/>
        </w:rPr>
        <w:t xml:space="preserve"> </w:t>
      </w:r>
      <w:r>
        <w:rPr>
          <w:color w:val="231F20"/>
        </w:rPr>
        <w:t>органи</w:t>
      </w:r>
      <w:r>
        <w:rPr>
          <w:color w:val="231F20"/>
          <w:spacing w:val="-11"/>
        </w:rPr>
        <w:t xml:space="preserve"> </w:t>
      </w:r>
      <w:r>
        <w:rPr>
          <w:color w:val="231F20"/>
        </w:rPr>
        <w:t>виконавчої</w:t>
      </w:r>
      <w:r>
        <w:rPr>
          <w:color w:val="231F20"/>
          <w:spacing w:val="-11"/>
        </w:rPr>
        <w:t xml:space="preserve"> </w:t>
      </w:r>
      <w:r>
        <w:rPr>
          <w:color w:val="231F20"/>
        </w:rPr>
        <w:t>влади».</w:t>
      </w:r>
      <w:r>
        <w:rPr>
          <w:color w:val="231F20"/>
          <w:spacing w:val="-10"/>
        </w:rPr>
        <w:t xml:space="preserve"> </w:t>
      </w:r>
      <w:r>
        <w:rPr>
          <w:color w:val="231F20"/>
        </w:rPr>
        <w:t>Більше</w:t>
      </w:r>
      <w:r>
        <w:rPr>
          <w:color w:val="231F20"/>
          <w:spacing w:val="-11"/>
        </w:rPr>
        <w:t xml:space="preserve"> </w:t>
      </w:r>
      <w:r>
        <w:rPr>
          <w:color w:val="231F20"/>
        </w:rPr>
        <w:t>того,</w:t>
      </w:r>
      <w:r>
        <w:rPr>
          <w:color w:val="231F20"/>
          <w:spacing w:val="-10"/>
        </w:rPr>
        <w:t xml:space="preserve"> </w:t>
      </w:r>
      <w:r>
        <w:rPr>
          <w:color w:val="231F20"/>
        </w:rPr>
        <w:t>НАДС</w:t>
      </w:r>
      <w:r>
        <w:rPr>
          <w:color w:val="231F20"/>
          <w:spacing w:val="-11"/>
        </w:rPr>
        <w:t xml:space="preserve"> </w:t>
      </w:r>
      <w:r>
        <w:rPr>
          <w:color w:val="231F20"/>
        </w:rPr>
        <w:t>упов- новажений не лише здійснювати державну політику, а й формувати її, що відповідно до вказаного Закону віднесено до повноважень лише міністерств і центральних органів виконавчої влади зі спеці- альним</w:t>
      </w:r>
      <w:r>
        <w:rPr>
          <w:color w:val="231F20"/>
          <w:spacing w:val="-2"/>
        </w:rPr>
        <w:t xml:space="preserve"> </w:t>
      </w:r>
      <w:r>
        <w:rPr>
          <w:color w:val="231F20"/>
        </w:rPr>
        <w:t>статусом.</w:t>
      </w:r>
    </w:p>
    <w:p w14:paraId="2B4F8595" w14:textId="77777777" w:rsidR="00DE575E" w:rsidRDefault="002E7560">
      <w:pPr>
        <w:pStyle w:val="BodyText"/>
        <w:spacing w:before="3" w:line="252" w:lineRule="auto"/>
        <w:ind w:left="533" w:right="128" w:firstLine="283"/>
        <w:jc w:val="both"/>
      </w:pPr>
      <w:r>
        <w:rPr>
          <w:color w:val="231F20"/>
        </w:rPr>
        <w:t>Осно</w:t>
      </w:r>
      <w:r>
        <w:rPr>
          <w:color w:val="231F20"/>
        </w:rPr>
        <w:t>вними завданнями інших центральних органів виконавчої влади є надання адміністративних послуг; здійснення державного нагляду (контролю); управління об’єктами державної власності; внесення пропозицій щодо забезпечення формування державної політики на розгля</w:t>
      </w:r>
      <w:r>
        <w:rPr>
          <w:color w:val="231F20"/>
        </w:rPr>
        <w:t>д міністрів, які спрямовують і координують їх діяльність.</w:t>
      </w:r>
    </w:p>
    <w:p w14:paraId="24C46532" w14:textId="77777777" w:rsidR="00DE575E" w:rsidRDefault="002E7560">
      <w:pPr>
        <w:pStyle w:val="BodyText"/>
        <w:spacing w:before="2" w:line="252" w:lineRule="auto"/>
        <w:ind w:left="533" w:right="127" w:firstLine="283"/>
        <w:jc w:val="both"/>
      </w:pPr>
      <w:r>
        <w:rPr>
          <w:color w:val="231F20"/>
        </w:rPr>
        <w:t>Центральний орган виконавчої влади видає накази організа- ційно-розпорядчого характеру, які підписує керівник центрального органу виконавчої влади.</w:t>
      </w:r>
    </w:p>
    <w:p w14:paraId="1D6AEE42" w14:textId="77777777" w:rsidR="00DE575E" w:rsidRDefault="002E7560">
      <w:pPr>
        <w:pStyle w:val="BodyText"/>
        <w:spacing w:before="2" w:line="252" w:lineRule="auto"/>
        <w:ind w:left="533" w:right="127" w:firstLine="283"/>
        <w:jc w:val="both"/>
      </w:pPr>
      <w:r>
        <w:rPr>
          <w:i/>
          <w:color w:val="231F20"/>
        </w:rPr>
        <w:t xml:space="preserve">Відмінною рисою агентств, служб, інспекцій </w:t>
      </w:r>
      <w:r>
        <w:rPr>
          <w:color w:val="231F20"/>
        </w:rPr>
        <w:t>порівня</w:t>
      </w:r>
      <w:r>
        <w:rPr>
          <w:color w:val="231F20"/>
        </w:rPr>
        <w:t xml:space="preserve">но з мініс- терствами та центральними органами виконавчої влади зі спе- ціальним статусом є те, що їхня діяльність спрямовується та коор- динується КМУ не безпосередньо, а через уповноваженого міністра (напр., через міністра внутрішніх справ спрямовується </w:t>
      </w:r>
      <w:r>
        <w:rPr>
          <w:color w:val="231F20"/>
        </w:rPr>
        <w:t>та координу- ється діяльність Національної поліції України).</w:t>
      </w:r>
    </w:p>
    <w:p w14:paraId="2A430B35" w14:textId="77777777" w:rsidR="00DE575E" w:rsidRDefault="002E7560">
      <w:pPr>
        <w:spacing w:before="3" w:line="252" w:lineRule="auto"/>
        <w:ind w:left="533" w:right="128" w:firstLine="283"/>
        <w:jc w:val="both"/>
        <w:rPr>
          <w:sz w:val="21"/>
        </w:rPr>
      </w:pPr>
      <w:r>
        <w:rPr>
          <w:i/>
          <w:color w:val="231F20"/>
          <w:sz w:val="21"/>
        </w:rPr>
        <w:t>Відповідно до ст. 18 Закону України «Про центральні органи вико- навчої влади» міністр</w:t>
      </w:r>
      <w:r>
        <w:rPr>
          <w:color w:val="231F20"/>
          <w:sz w:val="21"/>
        </w:rPr>
        <w:t>:</w:t>
      </w:r>
    </w:p>
    <w:p w14:paraId="6911B0B1" w14:textId="77777777" w:rsidR="00DE575E" w:rsidRDefault="002E7560">
      <w:pPr>
        <w:pStyle w:val="BodyText"/>
        <w:spacing w:before="1" w:line="252" w:lineRule="auto"/>
        <w:ind w:left="533" w:right="128" w:firstLine="283"/>
        <w:jc w:val="both"/>
      </w:pPr>
      <w:r>
        <w:rPr>
          <w:color w:val="231F20"/>
        </w:rPr>
        <w:t>– контролює реалізацію центральним органом виконавчої  влади державної політики у сфері, формування якої ві</w:t>
      </w:r>
      <w:r>
        <w:rPr>
          <w:color w:val="231F20"/>
        </w:rPr>
        <w:t>н</w:t>
      </w:r>
      <w:r>
        <w:rPr>
          <w:color w:val="231F20"/>
          <w:spacing w:val="-23"/>
        </w:rPr>
        <w:t xml:space="preserve"> </w:t>
      </w:r>
      <w:r>
        <w:rPr>
          <w:color w:val="231F20"/>
        </w:rPr>
        <w:t>забезпечує;</w:t>
      </w:r>
    </w:p>
    <w:p w14:paraId="66B4583B" w14:textId="77777777" w:rsidR="00DE575E" w:rsidRDefault="00DE575E">
      <w:pPr>
        <w:pStyle w:val="BodyText"/>
        <w:spacing w:before="5"/>
        <w:rPr>
          <w:sz w:val="12"/>
        </w:rPr>
      </w:pPr>
    </w:p>
    <w:p w14:paraId="2FA9B8C9" w14:textId="77777777" w:rsidR="00DE575E" w:rsidRDefault="002E7560">
      <w:pPr>
        <w:spacing w:before="92"/>
        <w:ind w:left="533"/>
        <w:rPr>
          <w:rFonts w:ascii="Times New Roman"/>
          <w:sz w:val="20"/>
        </w:rPr>
      </w:pPr>
      <w:r>
        <w:rPr>
          <w:rFonts w:ascii="Times New Roman"/>
          <w:color w:val="231F20"/>
          <w:sz w:val="20"/>
        </w:rPr>
        <w:t>110</w:t>
      </w:r>
    </w:p>
    <w:p w14:paraId="1D22B955" w14:textId="77777777" w:rsidR="00DE575E" w:rsidRDefault="00DE575E">
      <w:pPr>
        <w:rPr>
          <w:rFonts w:ascii="Times New Roman"/>
          <w:sz w:val="20"/>
        </w:rPr>
        <w:sectPr w:rsidR="00DE575E">
          <w:pgSz w:w="8510" w:h="12760"/>
          <w:pgMar w:top="660" w:right="720" w:bottom="280" w:left="600" w:header="720" w:footer="720" w:gutter="0"/>
          <w:cols w:space="720"/>
        </w:sectPr>
      </w:pPr>
    </w:p>
    <w:p w14:paraId="582CC233"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482313F1" w14:textId="705A8D2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5B32B91" wp14:editId="100A25D8">
                <wp:extent cx="4140200" cy="6350"/>
                <wp:effectExtent l="0" t="0" r="12700" b="6350"/>
                <wp:docPr id="1127"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28" name="Line 11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6B019F" id="Group_x0020_11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D7sCYgAIAAJwFAAAO&#10;AAAAAAAAAAAAAAAAACwCAABkcnMvZTJvRG9jLnhtbFBLAQItABQABgAIAAAAIQBMp7CQ2QAAAAMB&#10;AAAPAAAAAAAAAAAAAAAAANgEAABkcnMvZG93bnJldi54bWxQSwUGAAAAAAQABADzAAAA3gUAAAAA&#10;">
                <v:line id="Line_x0020_11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QRfMcAAADdAAAADwAAAGRycy9kb3ducmV2LnhtbESPQWvCQBCF74X+h2UKXkrdqFAkdZVS&#10;EMSDWuMPGLPTJHR3NmZXk/bXO4dCbzO8N+99s1gN3qkbdbEJbGAyzkARl8E2XBk4FeuXOaiYkC26&#10;wGTghyKslo8PC8xt6PmTbsdUKQnhmKOBOqU21zqWNXmM49ASi/YVOo9J1q7StsNewr3T0yx71R4b&#10;loYaW/qoqfw+Xr2B4vKc3GG/dX2xP8/0+bKb/V53xoyehvc3UImG9G/+u95YwZ9MBVe+kRH08g4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pBF8xwAAAN0AAAAPAAAAAAAA&#10;AAAAAAAAAKECAABkcnMvZG93bnJldi54bWxQSwUGAAAAAAQABAD5AAAAlQMAAAAA&#10;" strokecolor="#231f20" strokeweight=".5pt"/>
                <w10:anchorlock/>
              </v:group>
            </w:pict>
          </mc:Fallback>
        </mc:AlternateContent>
      </w:r>
    </w:p>
    <w:p w14:paraId="04C0D03B" w14:textId="77777777" w:rsidR="00DE575E" w:rsidRDefault="00DE575E">
      <w:pPr>
        <w:pStyle w:val="BodyText"/>
        <w:spacing w:before="7"/>
        <w:rPr>
          <w:rFonts w:ascii="AdonisC"/>
          <w:i/>
          <w:sz w:val="19"/>
        </w:rPr>
      </w:pPr>
    </w:p>
    <w:p w14:paraId="74012C71" w14:textId="77777777" w:rsidR="00DE575E" w:rsidRDefault="002E7560">
      <w:pPr>
        <w:pStyle w:val="ListParagraph"/>
        <w:numPr>
          <w:ilvl w:val="0"/>
          <w:numId w:val="258"/>
        </w:numPr>
        <w:tabs>
          <w:tab w:val="left" w:pos="818"/>
        </w:tabs>
        <w:spacing w:line="252" w:lineRule="auto"/>
        <w:ind w:right="411" w:firstLine="283"/>
        <w:rPr>
          <w:sz w:val="21"/>
        </w:rPr>
      </w:pPr>
      <w:r>
        <w:rPr>
          <w:color w:val="231F20"/>
          <w:sz w:val="21"/>
        </w:rPr>
        <w:t xml:space="preserve">погоджує та подає на </w:t>
      </w:r>
      <w:r>
        <w:rPr>
          <w:color w:val="231F20"/>
          <w:spacing w:val="-3"/>
          <w:sz w:val="21"/>
        </w:rPr>
        <w:t xml:space="preserve">розгляд </w:t>
      </w:r>
      <w:r>
        <w:rPr>
          <w:color w:val="231F20"/>
          <w:sz w:val="21"/>
        </w:rPr>
        <w:t xml:space="preserve">КМУ  розроблені  централь-  ним органом виконавчої влади проєкти законів, актів Президента </w:t>
      </w:r>
      <w:r>
        <w:rPr>
          <w:color w:val="231F20"/>
          <w:spacing w:val="-3"/>
          <w:sz w:val="21"/>
        </w:rPr>
        <w:t xml:space="preserve">України </w:t>
      </w:r>
      <w:r>
        <w:rPr>
          <w:color w:val="231F20"/>
          <w:sz w:val="21"/>
        </w:rPr>
        <w:t>та</w:t>
      </w:r>
      <w:r>
        <w:rPr>
          <w:color w:val="231F20"/>
          <w:sz w:val="21"/>
        </w:rPr>
        <w:t xml:space="preserve"> </w:t>
      </w:r>
      <w:r>
        <w:rPr>
          <w:color w:val="231F20"/>
          <w:sz w:val="21"/>
        </w:rPr>
        <w:t>КМУ;</w:t>
      </w:r>
    </w:p>
    <w:p w14:paraId="6C12D00D" w14:textId="77777777" w:rsidR="00DE575E" w:rsidRDefault="002E7560">
      <w:pPr>
        <w:pStyle w:val="ListParagraph"/>
        <w:numPr>
          <w:ilvl w:val="0"/>
          <w:numId w:val="258"/>
        </w:numPr>
        <w:tabs>
          <w:tab w:val="left" w:pos="818"/>
        </w:tabs>
        <w:spacing w:line="252" w:lineRule="auto"/>
        <w:ind w:right="410" w:firstLine="283"/>
        <w:rPr>
          <w:sz w:val="21"/>
        </w:rPr>
      </w:pPr>
      <w:r>
        <w:rPr>
          <w:color w:val="231F20"/>
          <w:sz w:val="21"/>
        </w:rPr>
        <w:t>визначає пріоритетні напрямки роботи центрального органу виконавчої</w:t>
      </w:r>
      <w:r>
        <w:rPr>
          <w:color w:val="231F20"/>
          <w:spacing w:val="-13"/>
          <w:sz w:val="21"/>
        </w:rPr>
        <w:t xml:space="preserve"> </w:t>
      </w:r>
      <w:r>
        <w:rPr>
          <w:color w:val="231F20"/>
          <w:sz w:val="21"/>
        </w:rPr>
        <w:t>влади</w:t>
      </w:r>
      <w:r>
        <w:rPr>
          <w:color w:val="231F20"/>
          <w:spacing w:val="-13"/>
          <w:sz w:val="21"/>
        </w:rPr>
        <w:t xml:space="preserve"> </w:t>
      </w:r>
      <w:r>
        <w:rPr>
          <w:color w:val="231F20"/>
          <w:sz w:val="21"/>
        </w:rPr>
        <w:t>та</w:t>
      </w:r>
      <w:r>
        <w:rPr>
          <w:color w:val="231F20"/>
          <w:spacing w:val="-13"/>
          <w:sz w:val="21"/>
        </w:rPr>
        <w:t xml:space="preserve"> </w:t>
      </w:r>
      <w:r>
        <w:rPr>
          <w:color w:val="231F20"/>
          <w:sz w:val="21"/>
        </w:rPr>
        <w:t>шляхи</w:t>
      </w:r>
      <w:r>
        <w:rPr>
          <w:color w:val="231F20"/>
          <w:spacing w:val="-13"/>
          <w:sz w:val="21"/>
        </w:rPr>
        <w:t xml:space="preserve"> </w:t>
      </w:r>
      <w:r>
        <w:rPr>
          <w:color w:val="231F20"/>
          <w:sz w:val="21"/>
        </w:rPr>
        <w:t>виконання</w:t>
      </w:r>
      <w:r>
        <w:rPr>
          <w:color w:val="231F20"/>
          <w:spacing w:val="-13"/>
          <w:sz w:val="21"/>
        </w:rPr>
        <w:t xml:space="preserve"> </w:t>
      </w:r>
      <w:r>
        <w:rPr>
          <w:color w:val="231F20"/>
          <w:sz w:val="21"/>
        </w:rPr>
        <w:t>покладених</w:t>
      </w:r>
      <w:r>
        <w:rPr>
          <w:color w:val="231F20"/>
          <w:spacing w:val="-13"/>
          <w:sz w:val="21"/>
        </w:rPr>
        <w:t xml:space="preserve"> </w:t>
      </w:r>
      <w:r>
        <w:rPr>
          <w:color w:val="231F20"/>
          <w:sz w:val="21"/>
        </w:rPr>
        <w:t>на</w:t>
      </w:r>
      <w:r>
        <w:rPr>
          <w:color w:val="231F20"/>
          <w:spacing w:val="-13"/>
          <w:sz w:val="21"/>
        </w:rPr>
        <w:t xml:space="preserve"> </w:t>
      </w:r>
      <w:r>
        <w:rPr>
          <w:color w:val="231F20"/>
          <w:sz w:val="21"/>
        </w:rPr>
        <w:t>нього</w:t>
      </w:r>
      <w:r>
        <w:rPr>
          <w:color w:val="231F20"/>
          <w:spacing w:val="-13"/>
          <w:sz w:val="21"/>
        </w:rPr>
        <w:t xml:space="preserve"> </w:t>
      </w:r>
      <w:r>
        <w:rPr>
          <w:color w:val="231F20"/>
          <w:sz w:val="21"/>
        </w:rPr>
        <w:t>завдань, затверджує плани його</w:t>
      </w:r>
      <w:r>
        <w:rPr>
          <w:color w:val="231F20"/>
          <w:spacing w:val="-2"/>
          <w:sz w:val="21"/>
        </w:rPr>
        <w:t xml:space="preserve"> </w:t>
      </w:r>
      <w:r>
        <w:rPr>
          <w:color w:val="231F20"/>
          <w:sz w:val="21"/>
        </w:rPr>
        <w:t>роботи;</w:t>
      </w:r>
    </w:p>
    <w:p w14:paraId="28C47D3B" w14:textId="77777777" w:rsidR="00DE575E" w:rsidRDefault="002E7560">
      <w:pPr>
        <w:pStyle w:val="ListParagraph"/>
        <w:numPr>
          <w:ilvl w:val="0"/>
          <w:numId w:val="258"/>
        </w:numPr>
        <w:tabs>
          <w:tab w:val="left" w:pos="818"/>
        </w:tabs>
        <w:spacing w:before="2" w:line="252" w:lineRule="auto"/>
        <w:ind w:right="411" w:firstLine="283"/>
        <w:rPr>
          <w:sz w:val="21"/>
        </w:rPr>
      </w:pPr>
      <w:r>
        <w:rPr>
          <w:color w:val="231F20"/>
          <w:sz w:val="21"/>
        </w:rPr>
        <w:t>заслуховує звіти про виконання покладених на центральний орган виконавчої влади завдань і планів їх</w:t>
      </w:r>
      <w:r>
        <w:rPr>
          <w:color w:val="231F20"/>
          <w:spacing w:val="-7"/>
          <w:sz w:val="21"/>
        </w:rPr>
        <w:t xml:space="preserve"> </w:t>
      </w:r>
      <w:r>
        <w:rPr>
          <w:color w:val="231F20"/>
          <w:sz w:val="21"/>
        </w:rPr>
        <w:t>роботи.</w:t>
      </w:r>
    </w:p>
    <w:p w14:paraId="150519AD" w14:textId="77777777" w:rsidR="00DE575E" w:rsidRDefault="002E7560">
      <w:pPr>
        <w:pStyle w:val="BodyText"/>
        <w:spacing w:before="1" w:line="252" w:lineRule="auto"/>
        <w:ind w:left="250" w:right="411" w:firstLine="283"/>
        <w:jc w:val="both"/>
      </w:pPr>
      <w:r>
        <w:rPr>
          <w:i/>
          <w:color w:val="231F20"/>
          <w:spacing w:val="-3"/>
        </w:rPr>
        <w:t xml:space="preserve">Керівник </w:t>
      </w:r>
      <w:r>
        <w:rPr>
          <w:i/>
          <w:color w:val="231F20"/>
        </w:rPr>
        <w:t>центрального органу виконавчої влади призначається на посаду та звільн</w:t>
      </w:r>
      <w:r>
        <w:rPr>
          <w:i/>
          <w:color w:val="231F20"/>
        </w:rPr>
        <w:t xml:space="preserve">яється з посади </w:t>
      </w:r>
      <w:r>
        <w:rPr>
          <w:i/>
          <w:color w:val="231F20"/>
          <w:spacing w:val="-9"/>
        </w:rPr>
        <w:t xml:space="preserve">КМУ. </w:t>
      </w:r>
      <w:r>
        <w:rPr>
          <w:color w:val="231F20"/>
        </w:rPr>
        <w:t xml:space="preserve">Комісія з питань вищого корпусу державної служби вносить на  </w:t>
      </w:r>
      <w:r>
        <w:rPr>
          <w:color w:val="231F20"/>
          <w:spacing w:val="-3"/>
        </w:rPr>
        <w:t xml:space="preserve">розгляд  </w:t>
      </w:r>
      <w:r>
        <w:rPr>
          <w:color w:val="231F20"/>
        </w:rPr>
        <w:t xml:space="preserve">Кабінету  Мініст-  рів </w:t>
      </w:r>
      <w:r>
        <w:rPr>
          <w:color w:val="231F20"/>
          <w:spacing w:val="-3"/>
        </w:rPr>
        <w:t xml:space="preserve">України </w:t>
      </w:r>
      <w:r>
        <w:rPr>
          <w:color w:val="231F20"/>
        </w:rPr>
        <w:t>пропозиції щодо кандидатур (загальною кількістю не більше п’яти осіб) для призначення на посаду керівника централь- ного органу викона</w:t>
      </w:r>
      <w:r>
        <w:rPr>
          <w:color w:val="231F20"/>
        </w:rPr>
        <w:t xml:space="preserve">вчої влади за </w:t>
      </w:r>
      <w:r>
        <w:rPr>
          <w:color w:val="231F20"/>
          <w:spacing w:val="-3"/>
        </w:rPr>
        <w:t xml:space="preserve">результатами </w:t>
      </w:r>
      <w:r>
        <w:rPr>
          <w:color w:val="231F20"/>
        </w:rPr>
        <w:t xml:space="preserve">конкурсу відповідно до законодавства про державну </w:t>
      </w:r>
      <w:r>
        <w:rPr>
          <w:color w:val="231F20"/>
          <w:spacing w:val="-3"/>
        </w:rPr>
        <w:t xml:space="preserve">службу. </w:t>
      </w:r>
      <w:r>
        <w:rPr>
          <w:color w:val="231F20"/>
        </w:rPr>
        <w:t xml:space="preserve">Керівник центрального органу виконавчої влади звільняється з посади Кабінетом Мініст- рів </w:t>
      </w:r>
      <w:r>
        <w:rPr>
          <w:color w:val="231F20"/>
          <w:spacing w:val="-3"/>
        </w:rPr>
        <w:t xml:space="preserve">України </w:t>
      </w:r>
      <w:r>
        <w:rPr>
          <w:color w:val="231F20"/>
        </w:rPr>
        <w:t xml:space="preserve">за поданням </w:t>
      </w:r>
      <w:r>
        <w:rPr>
          <w:color w:val="231F20"/>
          <w:spacing w:val="-3"/>
        </w:rPr>
        <w:t xml:space="preserve">Прем’єр-міністра України </w:t>
      </w:r>
      <w:r>
        <w:rPr>
          <w:color w:val="231F20"/>
        </w:rPr>
        <w:t>або міністра, який спрямовує та координує діяльність такого</w:t>
      </w:r>
      <w:r>
        <w:rPr>
          <w:color w:val="231F20"/>
          <w:spacing w:val="-8"/>
        </w:rPr>
        <w:t xml:space="preserve"> </w:t>
      </w:r>
      <w:r>
        <w:rPr>
          <w:color w:val="231F20"/>
          <w:spacing w:val="-3"/>
        </w:rPr>
        <w:t>органу.</w:t>
      </w:r>
    </w:p>
    <w:p w14:paraId="7FB6C222" w14:textId="77777777" w:rsidR="00DE575E" w:rsidRDefault="002E7560">
      <w:pPr>
        <w:pStyle w:val="BodyText"/>
        <w:spacing w:before="5" w:line="252" w:lineRule="auto"/>
        <w:ind w:left="250" w:right="409" w:firstLine="283"/>
        <w:jc w:val="both"/>
      </w:pPr>
      <w:r>
        <w:rPr>
          <w:color w:val="231F20"/>
        </w:rPr>
        <w:t>На відміну від посади міністра, яка є політичною, посади керів- ника служби, агентства, інспекції належать до посад державної служби.</w:t>
      </w:r>
    </w:p>
    <w:p w14:paraId="21428CB6" w14:textId="77777777" w:rsidR="00DE575E" w:rsidRDefault="002E7560">
      <w:pPr>
        <w:pStyle w:val="BodyText"/>
        <w:spacing w:before="1" w:line="252" w:lineRule="auto"/>
        <w:ind w:left="250" w:right="412" w:firstLine="283"/>
        <w:jc w:val="both"/>
      </w:pPr>
      <w:r>
        <w:rPr>
          <w:color w:val="231F20"/>
        </w:rPr>
        <w:t>Організаційне забезпечення діяльності керівника центра</w:t>
      </w:r>
      <w:r>
        <w:rPr>
          <w:color w:val="231F20"/>
        </w:rPr>
        <w:t>льного органу виконавчої влади та реалізації органом своїх повноважень здійснює апарат центрального органу виконавчої влади.</w:t>
      </w:r>
    </w:p>
    <w:p w14:paraId="111CED6C" w14:textId="77777777" w:rsidR="00DE575E" w:rsidRDefault="002E7560">
      <w:pPr>
        <w:pStyle w:val="BodyText"/>
        <w:spacing w:before="2" w:line="252" w:lineRule="auto"/>
        <w:ind w:left="250" w:right="411" w:firstLine="283"/>
        <w:jc w:val="both"/>
      </w:pPr>
      <w:r>
        <w:rPr>
          <w:color w:val="231F20"/>
        </w:rPr>
        <w:t>Для</w:t>
      </w:r>
      <w:r>
        <w:rPr>
          <w:color w:val="231F20"/>
          <w:spacing w:val="-17"/>
        </w:rPr>
        <w:t xml:space="preserve"> </w:t>
      </w:r>
      <w:r>
        <w:rPr>
          <w:color w:val="231F20"/>
        </w:rPr>
        <w:t>підготовки</w:t>
      </w:r>
      <w:r>
        <w:rPr>
          <w:color w:val="231F20"/>
          <w:spacing w:val="-17"/>
        </w:rPr>
        <w:t xml:space="preserve"> </w:t>
      </w:r>
      <w:r>
        <w:rPr>
          <w:color w:val="231F20"/>
        </w:rPr>
        <w:t>рекомендацій</w:t>
      </w:r>
      <w:r>
        <w:rPr>
          <w:color w:val="231F20"/>
          <w:spacing w:val="-17"/>
        </w:rPr>
        <w:t xml:space="preserve"> </w:t>
      </w:r>
      <w:r>
        <w:rPr>
          <w:color w:val="231F20"/>
        </w:rPr>
        <w:t>щодо</w:t>
      </w:r>
      <w:r>
        <w:rPr>
          <w:color w:val="231F20"/>
          <w:spacing w:val="-17"/>
        </w:rPr>
        <w:t xml:space="preserve"> </w:t>
      </w:r>
      <w:r>
        <w:rPr>
          <w:color w:val="231F20"/>
        </w:rPr>
        <w:t>виконання</w:t>
      </w:r>
      <w:r>
        <w:rPr>
          <w:color w:val="231F20"/>
          <w:spacing w:val="-17"/>
        </w:rPr>
        <w:t xml:space="preserve"> </w:t>
      </w:r>
      <w:r>
        <w:rPr>
          <w:color w:val="231F20"/>
        </w:rPr>
        <w:t>завдань</w:t>
      </w:r>
      <w:r>
        <w:rPr>
          <w:color w:val="231F20"/>
          <w:spacing w:val="-17"/>
        </w:rPr>
        <w:t xml:space="preserve"> </w:t>
      </w:r>
      <w:r>
        <w:rPr>
          <w:color w:val="231F20"/>
        </w:rPr>
        <w:t>централь- ного органу виконавчої влади в центральному органі виконавчої влади може утворюватися колегія як консультативно-дорадчий орган.</w:t>
      </w:r>
    </w:p>
    <w:p w14:paraId="1DCD10C4" w14:textId="77777777" w:rsidR="00DE575E" w:rsidRDefault="002E7560">
      <w:pPr>
        <w:pStyle w:val="BodyText"/>
        <w:spacing w:before="1" w:line="252" w:lineRule="auto"/>
        <w:ind w:left="250" w:right="410" w:firstLine="283"/>
        <w:jc w:val="both"/>
      </w:pPr>
      <w:r>
        <w:rPr>
          <w:color w:val="231F20"/>
        </w:rPr>
        <w:t>На відміну від міністерств, які видають акти різної правової природи, служби, агентства, інспекції видають накази викл</w:t>
      </w:r>
      <w:r>
        <w:rPr>
          <w:color w:val="231F20"/>
        </w:rPr>
        <w:t>ючно організаційно-розпорядчого характеру.</w:t>
      </w:r>
    </w:p>
    <w:p w14:paraId="5F090272" w14:textId="77777777" w:rsidR="00DE575E" w:rsidRDefault="002E7560">
      <w:pPr>
        <w:pStyle w:val="Heading5"/>
        <w:spacing w:before="2" w:line="252" w:lineRule="auto"/>
        <w:ind w:left="250" w:right="410" w:firstLine="283"/>
        <w:jc w:val="both"/>
      </w:pPr>
      <w:r>
        <w:rPr>
          <w:color w:val="231F20"/>
        </w:rPr>
        <w:t xml:space="preserve">Отже, інші центральні органи виконавчої влади здійснюють реалізацію державної політики у визначеній сфері, крім </w:t>
      </w:r>
      <w:r>
        <w:rPr>
          <w:color w:val="231F20"/>
          <w:spacing w:val="-3"/>
        </w:rPr>
        <w:t xml:space="preserve">того </w:t>
      </w:r>
      <w:r>
        <w:rPr>
          <w:color w:val="231F20"/>
        </w:rPr>
        <w:t>вони відповідно до своїх положень надають адміністративні послуги,</w:t>
      </w:r>
      <w:r>
        <w:rPr>
          <w:color w:val="231F20"/>
          <w:spacing w:val="-11"/>
        </w:rPr>
        <w:t xml:space="preserve"> </w:t>
      </w:r>
      <w:r>
        <w:rPr>
          <w:color w:val="231F20"/>
        </w:rPr>
        <w:t>здійснюють</w:t>
      </w:r>
      <w:r>
        <w:rPr>
          <w:color w:val="231F20"/>
          <w:spacing w:val="-11"/>
        </w:rPr>
        <w:t xml:space="preserve"> </w:t>
      </w:r>
      <w:r>
        <w:rPr>
          <w:color w:val="231F20"/>
        </w:rPr>
        <w:t>державний</w:t>
      </w:r>
      <w:r>
        <w:rPr>
          <w:color w:val="231F20"/>
          <w:spacing w:val="-10"/>
        </w:rPr>
        <w:t xml:space="preserve"> </w:t>
      </w:r>
      <w:r>
        <w:rPr>
          <w:color w:val="231F20"/>
          <w:spacing w:val="-4"/>
        </w:rPr>
        <w:t>нагляд</w:t>
      </w:r>
      <w:r>
        <w:rPr>
          <w:color w:val="231F20"/>
          <w:spacing w:val="-11"/>
        </w:rPr>
        <w:t xml:space="preserve"> </w:t>
      </w:r>
      <w:r>
        <w:rPr>
          <w:color w:val="231F20"/>
        </w:rPr>
        <w:t>(</w:t>
      </w:r>
      <w:r>
        <w:rPr>
          <w:color w:val="231F20"/>
        </w:rPr>
        <w:t>контроль),</w:t>
      </w:r>
      <w:r>
        <w:rPr>
          <w:color w:val="231F20"/>
          <w:spacing w:val="-11"/>
        </w:rPr>
        <w:t xml:space="preserve"> </w:t>
      </w:r>
      <w:r>
        <w:rPr>
          <w:color w:val="231F20"/>
        </w:rPr>
        <w:t xml:space="preserve">здійснюють управління </w:t>
      </w:r>
      <w:r>
        <w:rPr>
          <w:color w:val="231F20"/>
          <w:spacing w:val="-3"/>
        </w:rPr>
        <w:t xml:space="preserve">об’єктами </w:t>
      </w:r>
      <w:r>
        <w:rPr>
          <w:color w:val="231F20"/>
        </w:rPr>
        <w:t>державної власності, узагальнюють прак- тику застосування законодавства з питань, що належать до їх компетенції, здійснюють інші повноваження, визначені законо- давством.</w:t>
      </w:r>
    </w:p>
    <w:p w14:paraId="77AFC80C" w14:textId="77777777" w:rsidR="00DE575E" w:rsidRDefault="00DE575E">
      <w:pPr>
        <w:pStyle w:val="BodyText"/>
        <w:spacing w:before="8"/>
        <w:rPr>
          <w:b/>
          <w:sz w:val="12"/>
        </w:rPr>
      </w:pPr>
    </w:p>
    <w:p w14:paraId="2D9A5F22" w14:textId="77777777" w:rsidR="00DE575E" w:rsidRDefault="002E7560">
      <w:pPr>
        <w:spacing w:before="92"/>
        <w:ind w:right="418"/>
        <w:jc w:val="right"/>
        <w:rPr>
          <w:rFonts w:ascii="Times New Roman"/>
          <w:sz w:val="20"/>
        </w:rPr>
      </w:pPr>
      <w:r>
        <w:rPr>
          <w:rFonts w:ascii="Times New Roman"/>
          <w:color w:val="231F20"/>
          <w:w w:val="90"/>
          <w:sz w:val="20"/>
        </w:rPr>
        <w:t>111</w:t>
      </w:r>
    </w:p>
    <w:p w14:paraId="16406F0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0F0F51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w:t>
      </w:r>
      <w:r>
        <w:rPr>
          <w:rFonts w:ascii="AdonisC" w:hAnsi="AdonisC"/>
          <w:i/>
          <w:color w:val="231F20"/>
          <w:sz w:val="18"/>
        </w:rPr>
        <w:t>країни. Повний курс</w:t>
      </w:r>
    </w:p>
    <w:p w14:paraId="76F6D24F" w14:textId="34EEA4A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DBDE482" wp14:editId="33007E00">
                <wp:extent cx="4140200" cy="6350"/>
                <wp:effectExtent l="0" t="0" r="12700" b="6350"/>
                <wp:docPr id="1125"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26" name="Line 11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019F7" id="Group_x0020_11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NWLuCgAIAAJwFAAAO&#10;AAAAAAAAAAAAAAAAACwCAABkcnMvZTJvRG9jLnhtbFBLAQItABQABgAIAAAAIQBMp7CQ2QAAAAMB&#10;AAAPAAAAAAAAAAAAAAAAANgEAABkcnMvZG93bnJldi54bWxQSwUGAAAAAAQABADzAAAA3gUAAAAA&#10;">
                <v:line id="Line_x0020_11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glcQAAADdAAAADwAAAGRycy9kb3ducmV2LnhtbERP22rCQBB9F/oPyxR8kbpRQUp0lSII&#10;pQ/e0g+YZMckdHc2ZlcT+/VdQejbHM51luveGnGj1teOFUzGCQjiwumaSwXf2fbtHYQPyBqNY1Jw&#10;Jw/r1ctgial2HR/pdgqliCHsU1RQhdCkUvqiIot+7BriyJ1dazFE2JZSt9jFcGvkNEnm0mLNsaHC&#10;hjYVFT+nq1WQXUbBHPZfpsv2+Uzml93s97pTavjafyxABOrDv/jp/tRx/mQ6h8c38QS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dyCVxAAAAN0AAAAPAAAAAAAAAAAA&#10;AAAAAKECAABkcnMvZG93bnJldi54bWxQSwUGAAAAAAQABAD5AAAAkgMAAAAA&#10;" strokecolor="#231f20" strokeweight=".5pt"/>
                <w10:anchorlock/>
              </v:group>
            </w:pict>
          </mc:Fallback>
        </mc:AlternateContent>
      </w:r>
    </w:p>
    <w:p w14:paraId="75EF1CED" w14:textId="77777777" w:rsidR="00DE575E" w:rsidRDefault="00DE575E">
      <w:pPr>
        <w:pStyle w:val="BodyText"/>
        <w:spacing w:before="7"/>
        <w:rPr>
          <w:rFonts w:ascii="AdonisC"/>
          <w:i/>
          <w:sz w:val="11"/>
        </w:rPr>
      </w:pPr>
    </w:p>
    <w:p w14:paraId="7135B697" w14:textId="77777777" w:rsidR="00DE575E" w:rsidRDefault="002E7560">
      <w:pPr>
        <w:pStyle w:val="Heading5"/>
        <w:spacing w:before="101" w:line="252" w:lineRule="auto"/>
        <w:ind w:right="128" w:firstLine="283"/>
        <w:jc w:val="both"/>
      </w:pPr>
      <w:r>
        <w:rPr>
          <w:color w:val="231F20"/>
        </w:rPr>
        <w:t>4.4.1.2.3. Центральний орган виконавчої влади зі спеціаль- ним статусом</w:t>
      </w:r>
    </w:p>
    <w:p w14:paraId="34AAC0DB" w14:textId="77777777" w:rsidR="00DE575E" w:rsidRDefault="002E7560">
      <w:pPr>
        <w:spacing w:before="1" w:line="252" w:lineRule="auto"/>
        <w:ind w:left="533" w:right="126" w:firstLine="283"/>
        <w:jc w:val="both"/>
        <w:rPr>
          <w:sz w:val="21"/>
        </w:rPr>
      </w:pPr>
      <w:r>
        <w:rPr>
          <w:color w:val="231F20"/>
          <w:sz w:val="21"/>
        </w:rPr>
        <w:t xml:space="preserve">Особливу групу серед центральних органів виконавчої влади складають </w:t>
      </w:r>
      <w:r>
        <w:rPr>
          <w:b/>
          <w:color w:val="231F20"/>
          <w:sz w:val="21"/>
        </w:rPr>
        <w:t>центральні органи виконавчої влади зі спеціальним статусом</w:t>
      </w:r>
      <w:r>
        <w:rPr>
          <w:color w:val="231F20"/>
          <w:sz w:val="21"/>
        </w:rPr>
        <w:t>. У Законі України «П</w:t>
      </w:r>
      <w:r>
        <w:rPr>
          <w:color w:val="231F20"/>
          <w:sz w:val="21"/>
        </w:rPr>
        <w:t>ро центральні органи виконавчої влади» їм присвячено спеціальну норму – статтю 24.</w:t>
      </w:r>
    </w:p>
    <w:p w14:paraId="15B57118" w14:textId="77777777" w:rsidR="00DE575E" w:rsidRDefault="002E7560">
      <w:pPr>
        <w:pStyle w:val="BodyText"/>
        <w:spacing w:before="2" w:line="252" w:lineRule="auto"/>
        <w:ind w:left="533" w:right="127" w:firstLine="283"/>
        <w:jc w:val="both"/>
      </w:pPr>
      <w:r>
        <w:rPr>
          <w:color w:val="231F20"/>
        </w:rPr>
        <w:t xml:space="preserve">До центральних органів виконавчої влади зі спеціальним стату- сом належать такі: Антимонопольний комітет </w:t>
      </w:r>
      <w:r>
        <w:rPr>
          <w:color w:val="231F20"/>
          <w:spacing w:val="-3"/>
        </w:rPr>
        <w:t xml:space="preserve">України, </w:t>
      </w:r>
      <w:r>
        <w:rPr>
          <w:color w:val="231F20"/>
        </w:rPr>
        <w:t xml:space="preserve">Державний комітет телебачення й радіомовлення </w:t>
      </w:r>
      <w:r>
        <w:rPr>
          <w:color w:val="231F20"/>
          <w:spacing w:val="-3"/>
        </w:rPr>
        <w:t xml:space="preserve">України, </w:t>
      </w:r>
      <w:r>
        <w:rPr>
          <w:color w:val="231F20"/>
        </w:rPr>
        <w:t xml:space="preserve">Фонд державного майна </w:t>
      </w:r>
      <w:r>
        <w:rPr>
          <w:color w:val="231F20"/>
          <w:spacing w:val="-3"/>
        </w:rPr>
        <w:t xml:space="preserve">України, </w:t>
      </w:r>
      <w:r>
        <w:rPr>
          <w:color w:val="231F20"/>
        </w:rPr>
        <w:t xml:space="preserve">Національне агентство </w:t>
      </w:r>
      <w:r>
        <w:rPr>
          <w:color w:val="231F20"/>
          <w:spacing w:val="-3"/>
        </w:rPr>
        <w:t xml:space="preserve">України </w:t>
      </w:r>
      <w:r>
        <w:rPr>
          <w:color w:val="231F20"/>
        </w:rPr>
        <w:t xml:space="preserve">з питань запобі- гання корупції, Національне агентство </w:t>
      </w:r>
      <w:r>
        <w:rPr>
          <w:color w:val="231F20"/>
          <w:spacing w:val="-3"/>
        </w:rPr>
        <w:t xml:space="preserve">України </w:t>
      </w:r>
      <w:r>
        <w:rPr>
          <w:color w:val="231F20"/>
        </w:rPr>
        <w:t>з питань виявлення, розшуку та управління  активами,  одержаними  від  корупційних  та інших злочинів, Адміністрація Державної служб</w:t>
      </w:r>
      <w:r>
        <w:rPr>
          <w:color w:val="231F20"/>
        </w:rPr>
        <w:t>и спеціального зв’язку та захисту інформації, Державне бюро</w:t>
      </w:r>
      <w:r>
        <w:rPr>
          <w:color w:val="231F20"/>
          <w:spacing w:val="-10"/>
        </w:rPr>
        <w:t xml:space="preserve"> </w:t>
      </w:r>
      <w:r>
        <w:rPr>
          <w:color w:val="231F20"/>
        </w:rPr>
        <w:t>розслідувань.</w:t>
      </w:r>
    </w:p>
    <w:p w14:paraId="6CC06FE5" w14:textId="77777777" w:rsidR="00DE575E" w:rsidRDefault="002E7560">
      <w:pPr>
        <w:pStyle w:val="BodyText"/>
        <w:spacing w:before="4" w:line="252" w:lineRule="auto"/>
        <w:ind w:left="533" w:right="127" w:firstLine="283"/>
        <w:jc w:val="both"/>
      </w:pPr>
      <w:r>
        <w:rPr>
          <w:color w:val="231F20"/>
        </w:rPr>
        <w:t>Центральний орган виконавчої влади зі спеціальним статусом має визначені Конституцією та законодавством України особливі завдання та повноваження, щодо нього може встановлюватися спе</w:t>
      </w:r>
      <w:r>
        <w:rPr>
          <w:color w:val="231F20"/>
        </w:rPr>
        <w:t>ціальний порядок утворення, реорганізації, ліквідації, підконт- рольності, підзвітності, а також призначення і звільнення керів- ників та вирішення інших питань. Центральний орган виконавчої влади зі спеціальним статусом очолює голова.</w:t>
      </w:r>
    </w:p>
    <w:p w14:paraId="2D919DA7" w14:textId="77777777" w:rsidR="00DE575E" w:rsidRDefault="002E7560">
      <w:pPr>
        <w:spacing w:before="102" w:line="244" w:lineRule="auto"/>
        <w:ind w:left="817" w:right="128" w:firstLine="283"/>
        <w:jc w:val="both"/>
        <w:rPr>
          <w:i/>
          <w:sz w:val="18"/>
        </w:rPr>
      </w:pPr>
      <w:r>
        <w:rPr>
          <w:i/>
          <w:color w:val="231F20"/>
          <w:sz w:val="18"/>
          <w:u w:val="single" w:color="231F20"/>
        </w:rPr>
        <w:t>Приклад</w:t>
      </w:r>
      <w:r>
        <w:rPr>
          <w:i/>
          <w:color w:val="231F20"/>
          <w:sz w:val="18"/>
        </w:rPr>
        <w:t>: Пенсійний ф</w:t>
      </w:r>
      <w:r>
        <w:rPr>
          <w:i/>
          <w:color w:val="231F20"/>
          <w:sz w:val="18"/>
        </w:rPr>
        <w:t>онд України є центральним органом виконавчої влади,</w:t>
      </w:r>
      <w:r>
        <w:rPr>
          <w:i/>
          <w:color w:val="231F20"/>
          <w:spacing w:val="-12"/>
          <w:sz w:val="18"/>
        </w:rPr>
        <w:t xml:space="preserve"> </w:t>
      </w:r>
      <w:r>
        <w:rPr>
          <w:i/>
          <w:color w:val="231F20"/>
          <w:sz w:val="18"/>
        </w:rPr>
        <w:t>діяльність</w:t>
      </w:r>
      <w:r>
        <w:rPr>
          <w:i/>
          <w:color w:val="231F20"/>
          <w:spacing w:val="-12"/>
          <w:sz w:val="18"/>
        </w:rPr>
        <w:t xml:space="preserve"> </w:t>
      </w:r>
      <w:r>
        <w:rPr>
          <w:i/>
          <w:color w:val="231F20"/>
          <w:sz w:val="18"/>
        </w:rPr>
        <w:t>якого</w:t>
      </w:r>
      <w:r>
        <w:rPr>
          <w:i/>
          <w:color w:val="231F20"/>
          <w:spacing w:val="-12"/>
          <w:sz w:val="18"/>
        </w:rPr>
        <w:t xml:space="preserve"> </w:t>
      </w:r>
      <w:r>
        <w:rPr>
          <w:i/>
          <w:color w:val="231F20"/>
          <w:sz w:val="18"/>
        </w:rPr>
        <w:t>спрямовується</w:t>
      </w:r>
      <w:r>
        <w:rPr>
          <w:i/>
          <w:color w:val="231F20"/>
          <w:spacing w:val="-11"/>
          <w:sz w:val="18"/>
        </w:rPr>
        <w:t xml:space="preserve"> </w:t>
      </w:r>
      <w:r>
        <w:rPr>
          <w:i/>
          <w:color w:val="231F20"/>
          <w:sz w:val="18"/>
        </w:rPr>
        <w:t>і</w:t>
      </w:r>
      <w:r>
        <w:rPr>
          <w:i/>
          <w:color w:val="231F20"/>
          <w:spacing w:val="-12"/>
          <w:sz w:val="18"/>
        </w:rPr>
        <w:t xml:space="preserve"> </w:t>
      </w:r>
      <w:r>
        <w:rPr>
          <w:i/>
          <w:color w:val="231F20"/>
          <w:sz w:val="18"/>
        </w:rPr>
        <w:t>координується</w:t>
      </w:r>
      <w:r>
        <w:rPr>
          <w:i/>
          <w:color w:val="231F20"/>
          <w:spacing w:val="-12"/>
          <w:sz w:val="18"/>
        </w:rPr>
        <w:t xml:space="preserve"> </w:t>
      </w:r>
      <w:r>
        <w:rPr>
          <w:i/>
          <w:color w:val="231F20"/>
          <w:sz w:val="18"/>
        </w:rPr>
        <w:t>Кабінетом</w:t>
      </w:r>
      <w:r>
        <w:rPr>
          <w:i/>
          <w:color w:val="231F20"/>
          <w:spacing w:val="-12"/>
          <w:sz w:val="18"/>
        </w:rPr>
        <w:t xml:space="preserve"> </w:t>
      </w:r>
      <w:r>
        <w:rPr>
          <w:i/>
          <w:color w:val="231F20"/>
          <w:sz w:val="18"/>
        </w:rPr>
        <w:t>Міністрів України</w:t>
      </w:r>
      <w:r>
        <w:rPr>
          <w:i/>
          <w:color w:val="231F20"/>
          <w:spacing w:val="-9"/>
          <w:sz w:val="18"/>
        </w:rPr>
        <w:t xml:space="preserve"> </w:t>
      </w:r>
      <w:r>
        <w:rPr>
          <w:i/>
          <w:color w:val="231F20"/>
          <w:sz w:val="18"/>
        </w:rPr>
        <w:t>через</w:t>
      </w:r>
      <w:r>
        <w:rPr>
          <w:i/>
          <w:color w:val="231F20"/>
          <w:spacing w:val="-9"/>
          <w:sz w:val="18"/>
        </w:rPr>
        <w:t xml:space="preserve"> </w:t>
      </w:r>
      <w:r>
        <w:rPr>
          <w:i/>
          <w:color w:val="231F20"/>
          <w:sz w:val="18"/>
        </w:rPr>
        <w:t>Міністра</w:t>
      </w:r>
      <w:r>
        <w:rPr>
          <w:i/>
          <w:color w:val="231F20"/>
          <w:spacing w:val="-9"/>
          <w:sz w:val="18"/>
        </w:rPr>
        <w:t xml:space="preserve"> </w:t>
      </w:r>
      <w:r>
        <w:rPr>
          <w:i/>
          <w:color w:val="231F20"/>
          <w:sz w:val="18"/>
        </w:rPr>
        <w:t>соціальної</w:t>
      </w:r>
      <w:r>
        <w:rPr>
          <w:i/>
          <w:color w:val="231F20"/>
          <w:spacing w:val="-9"/>
          <w:sz w:val="18"/>
        </w:rPr>
        <w:t xml:space="preserve"> </w:t>
      </w:r>
      <w:r>
        <w:rPr>
          <w:i/>
          <w:color w:val="231F20"/>
          <w:sz w:val="18"/>
        </w:rPr>
        <w:t>політики</w:t>
      </w:r>
      <w:r>
        <w:rPr>
          <w:i/>
          <w:color w:val="231F20"/>
          <w:spacing w:val="-9"/>
          <w:sz w:val="18"/>
        </w:rPr>
        <w:t xml:space="preserve"> </w:t>
      </w:r>
      <w:r>
        <w:rPr>
          <w:i/>
          <w:color w:val="231F20"/>
          <w:sz w:val="18"/>
        </w:rPr>
        <w:t>України.</w:t>
      </w:r>
      <w:r>
        <w:rPr>
          <w:i/>
          <w:color w:val="231F20"/>
          <w:spacing w:val="-9"/>
          <w:sz w:val="18"/>
        </w:rPr>
        <w:t xml:space="preserve"> </w:t>
      </w:r>
      <w:r>
        <w:rPr>
          <w:i/>
          <w:color w:val="231F20"/>
          <w:sz w:val="18"/>
        </w:rPr>
        <w:t>Пенсійний</w:t>
      </w:r>
      <w:r>
        <w:rPr>
          <w:i/>
          <w:color w:val="231F20"/>
          <w:spacing w:val="-9"/>
          <w:sz w:val="18"/>
        </w:rPr>
        <w:t xml:space="preserve"> </w:t>
      </w:r>
      <w:r>
        <w:rPr>
          <w:i/>
          <w:color w:val="231F20"/>
          <w:sz w:val="18"/>
        </w:rPr>
        <w:t>фонд</w:t>
      </w:r>
      <w:r>
        <w:rPr>
          <w:i/>
          <w:color w:val="231F20"/>
          <w:spacing w:val="-10"/>
          <w:sz w:val="18"/>
        </w:rPr>
        <w:t xml:space="preserve"> </w:t>
      </w:r>
      <w:r>
        <w:rPr>
          <w:i/>
          <w:color w:val="231F20"/>
          <w:sz w:val="18"/>
        </w:rPr>
        <w:t>входить до системи органів виконавчої влади і забезпечує реалізацію державної полі- тики з питань пенсійного забезпечення та ведення персоніфікованого обліку надходжень від сплати єдиного внеску на загальнообов’язкове державне соціальне</w:t>
      </w:r>
      <w:r>
        <w:rPr>
          <w:i/>
          <w:color w:val="231F20"/>
          <w:spacing w:val="-2"/>
          <w:sz w:val="18"/>
        </w:rPr>
        <w:t xml:space="preserve"> </w:t>
      </w:r>
      <w:r>
        <w:rPr>
          <w:i/>
          <w:color w:val="231F20"/>
          <w:sz w:val="18"/>
        </w:rPr>
        <w:t>страхування</w:t>
      </w:r>
      <w:r>
        <w:rPr>
          <w:i/>
          <w:color w:val="231F20"/>
          <w:position w:val="6"/>
          <w:sz w:val="10"/>
        </w:rPr>
        <w:t>1</w:t>
      </w:r>
      <w:r>
        <w:rPr>
          <w:i/>
          <w:color w:val="231F20"/>
          <w:sz w:val="18"/>
        </w:rPr>
        <w:t>.</w:t>
      </w:r>
    </w:p>
    <w:p w14:paraId="4659D414" w14:textId="77777777" w:rsidR="00DE575E" w:rsidRDefault="002E7560">
      <w:pPr>
        <w:pStyle w:val="BodyText"/>
        <w:spacing w:before="133" w:line="252" w:lineRule="auto"/>
        <w:ind w:left="533" w:right="128" w:firstLine="283"/>
        <w:jc w:val="both"/>
      </w:pPr>
      <w:r>
        <w:rPr>
          <w:b/>
          <w:i/>
          <w:color w:val="231F20"/>
        </w:rPr>
        <w:t>Антим</w:t>
      </w:r>
      <w:r>
        <w:rPr>
          <w:b/>
          <w:i/>
          <w:color w:val="231F20"/>
        </w:rPr>
        <w:t xml:space="preserve">онопольний комітет України  </w:t>
      </w:r>
      <w:r>
        <w:rPr>
          <w:color w:val="231F20"/>
        </w:rPr>
        <w:t>є  державним  органом  зі спеціальним статусом, метою діяльності якого є забезпечення державного захисту конкуренції в підприємницькій</w:t>
      </w:r>
      <w:r>
        <w:rPr>
          <w:color w:val="231F20"/>
          <w:spacing w:val="-7"/>
        </w:rPr>
        <w:t xml:space="preserve"> </w:t>
      </w:r>
      <w:r>
        <w:rPr>
          <w:color w:val="231F20"/>
        </w:rPr>
        <w:t>діяльності.</w:t>
      </w:r>
    </w:p>
    <w:p w14:paraId="7F29D6E2" w14:textId="77777777" w:rsidR="00DE575E" w:rsidRDefault="002E7560">
      <w:pPr>
        <w:pStyle w:val="BodyText"/>
        <w:spacing w:before="2" w:line="252" w:lineRule="auto"/>
        <w:ind w:left="533" w:right="128" w:firstLine="283"/>
        <w:jc w:val="both"/>
      </w:pPr>
      <w:r>
        <w:rPr>
          <w:b/>
          <w:i/>
          <w:color w:val="231F20"/>
        </w:rPr>
        <w:t xml:space="preserve">Український інститут національної пам’яті </w:t>
      </w:r>
      <w:r>
        <w:rPr>
          <w:color w:val="231F20"/>
        </w:rPr>
        <w:t>є центральним органом виконавчої влади,</w:t>
      </w:r>
      <w:r>
        <w:rPr>
          <w:color w:val="231F20"/>
        </w:rPr>
        <w:t xml:space="preserve"> діяльність якого спрямовується та коор- динується  Кабінетом  Міністрів  </w:t>
      </w:r>
      <w:r>
        <w:rPr>
          <w:color w:val="231F20"/>
          <w:spacing w:val="-3"/>
        </w:rPr>
        <w:t xml:space="preserve">України   </w:t>
      </w:r>
      <w:r>
        <w:rPr>
          <w:color w:val="231F20"/>
        </w:rPr>
        <w:t xml:space="preserve">через  міністра  </w:t>
      </w:r>
      <w:r>
        <w:rPr>
          <w:color w:val="231F20"/>
          <w:spacing w:val="-3"/>
        </w:rPr>
        <w:t xml:space="preserve">культури  </w:t>
      </w:r>
      <w:r>
        <w:rPr>
          <w:color w:val="231F20"/>
        </w:rPr>
        <w:t>і який реалізує державну політику у сфері відновлення та збере- ження національної пам’яті Українського</w:t>
      </w:r>
      <w:r>
        <w:rPr>
          <w:color w:val="231F20"/>
          <w:spacing w:val="-3"/>
        </w:rPr>
        <w:t xml:space="preserve"> </w:t>
      </w:r>
      <w:r>
        <w:rPr>
          <w:color w:val="231F20"/>
        </w:rPr>
        <w:t>народу</w:t>
      </w:r>
      <w:r>
        <w:rPr>
          <w:color w:val="231F20"/>
          <w:position w:val="7"/>
          <w:sz w:val="12"/>
        </w:rPr>
        <w:t>2</w:t>
      </w:r>
      <w:r>
        <w:rPr>
          <w:color w:val="231F20"/>
        </w:rPr>
        <w:t>.</w:t>
      </w:r>
    </w:p>
    <w:p w14:paraId="03259138" w14:textId="596DFA43" w:rsidR="00DE575E" w:rsidRDefault="002E7560">
      <w:pPr>
        <w:pStyle w:val="BodyText"/>
        <w:spacing w:before="1"/>
        <w:rPr>
          <w:sz w:val="23"/>
        </w:rPr>
      </w:pPr>
      <w:r>
        <w:rPr>
          <w:noProof/>
        </w:rPr>
        <mc:AlternateContent>
          <mc:Choice Requires="wps">
            <w:drawing>
              <wp:anchor distT="0" distB="0" distL="0" distR="0" simplePos="0" relativeHeight="5152" behindDoc="0" locked="0" layoutInCell="1" allowOverlap="1" wp14:anchorId="754EF718" wp14:editId="26BA702B">
                <wp:simplePos x="0" y="0"/>
                <wp:positionH relativeFrom="page">
                  <wp:posOffset>719455</wp:posOffset>
                </wp:positionH>
                <wp:positionV relativeFrom="paragraph">
                  <wp:posOffset>200025</wp:posOffset>
                </wp:positionV>
                <wp:extent cx="1080135" cy="0"/>
                <wp:effectExtent l="8255" t="9525" r="29210" b="28575"/>
                <wp:wrapTopAndBottom/>
                <wp:docPr id="1124"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CC20C" id="Line_x0020_1123" o:spid="_x0000_s1026" style="position:absolute;z-index: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75pt" to="141.7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" strokecolor="#231f20" strokeweight=".5pt">
                <w10:wrap type="topAndBottom" anchorx="page"/>
              </v:line>
            </w:pict>
          </mc:Fallback>
        </mc:AlternateContent>
      </w:r>
    </w:p>
    <w:p w14:paraId="5340C139" w14:textId="77777777" w:rsidR="00DE575E" w:rsidRDefault="002E7560">
      <w:pPr>
        <w:spacing w:line="162" w:lineRule="exact"/>
        <w:ind w:left="533"/>
        <w:rPr>
          <w:sz w:val="16"/>
        </w:rPr>
      </w:pPr>
      <w:r>
        <w:rPr>
          <w:color w:val="231F20"/>
          <w:position w:val="5"/>
          <w:sz w:val="9"/>
        </w:rPr>
        <w:t xml:space="preserve">1 </w:t>
      </w:r>
      <w:r>
        <w:rPr>
          <w:color w:val="231F20"/>
          <w:sz w:val="16"/>
        </w:rPr>
        <w:t>Положення про Пенсійний фонд</w:t>
      </w:r>
      <w:r>
        <w:rPr>
          <w:color w:val="231F20"/>
          <w:sz w:val="16"/>
        </w:rPr>
        <w:t xml:space="preserve"> України. Указ Президент України від 06.04.2011 № 384.</w:t>
      </w:r>
    </w:p>
    <w:p w14:paraId="7641842B" w14:textId="77777777" w:rsidR="00DE575E" w:rsidRDefault="002E7560">
      <w:pPr>
        <w:spacing w:before="23" w:line="204" w:lineRule="auto"/>
        <w:ind w:left="533" w:right="128"/>
        <w:rPr>
          <w:sz w:val="16"/>
        </w:rPr>
      </w:pPr>
      <w:r>
        <w:rPr>
          <w:color w:val="231F20"/>
          <w:position w:val="5"/>
          <w:sz w:val="9"/>
        </w:rPr>
        <w:t xml:space="preserve">2 </w:t>
      </w:r>
      <w:r>
        <w:rPr>
          <w:color w:val="231F20"/>
          <w:sz w:val="16"/>
        </w:rPr>
        <w:t>Деякі питання Українського інституту національної пам’яті. Постанова Кабінет Міністрів України від 12.11.2014 № 684.</w:t>
      </w:r>
    </w:p>
    <w:p w14:paraId="4A785C02" w14:textId="77777777" w:rsidR="00DE575E" w:rsidRDefault="00DE575E">
      <w:pPr>
        <w:pStyle w:val="BodyText"/>
        <w:spacing w:before="5"/>
        <w:rPr>
          <w:sz w:val="12"/>
        </w:rPr>
      </w:pPr>
    </w:p>
    <w:p w14:paraId="066E9245" w14:textId="77777777" w:rsidR="00DE575E" w:rsidRDefault="002E7560">
      <w:pPr>
        <w:spacing w:before="92"/>
        <w:ind w:left="533"/>
        <w:rPr>
          <w:rFonts w:ascii="Times New Roman"/>
          <w:sz w:val="20"/>
        </w:rPr>
      </w:pPr>
      <w:r>
        <w:rPr>
          <w:rFonts w:ascii="Times New Roman"/>
          <w:color w:val="231F20"/>
          <w:sz w:val="20"/>
        </w:rPr>
        <w:t>112</w:t>
      </w:r>
    </w:p>
    <w:p w14:paraId="5AEE16DD" w14:textId="77777777" w:rsidR="00DE575E" w:rsidRDefault="00DE575E">
      <w:pPr>
        <w:rPr>
          <w:rFonts w:ascii="Times New Roman"/>
          <w:sz w:val="20"/>
        </w:rPr>
        <w:sectPr w:rsidR="00DE575E">
          <w:pgSz w:w="8510" w:h="12760"/>
          <w:pgMar w:top="660" w:right="720" w:bottom="280" w:left="600" w:header="720" w:footer="720" w:gutter="0"/>
          <w:cols w:space="720"/>
        </w:sectPr>
      </w:pPr>
    </w:p>
    <w:p w14:paraId="7AF00628"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4. Суб’єкти публічного адміністрування</w:t>
      </w:r>
    </w:p>
    <w:p w14:paraId="65291F9F" w14:textId="0760F84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16A3C64" wp14:editId="7CC40782">
                <wp:extent cx="4140200" cy="6350"/>
                <wp:effectExtent l="0" t="0" r="12700" b="6350"/>
                <wp:docPr id="1122"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23" name="Line 112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B0FC62" id="Group_x0020_112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6gLn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m/qAufQIAAJwFAAAOAAAA&#10;AAAAAAAAAAAAACwCAABkcnMvZTJvRG9jLnhtbFBLAQItABQABgAIAAAAIQBMp7CQ2QAAAAMBAAAP&#10;AAAAAAAAAAAAAAAAANUEAABkcnMvZG93bnJldi54bWxQSwUGAAAAAAQABADzAAAA2wUAAAAA&#10;">
                <v:line id="Line_x0020_112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CDDcQAAADdAAAADwAAAGRycy9kb3ducmV2LnhtbERPzWrCQBC+F3yHZYReSt1oQErqKiIU&#10;Sg9aTR9gzI5JcHc2ZlcTffquIHibj+93ZoveGnGh1teOFYxHCQjiwumaSwV/+df7BwgfkDUax6Tg&#10;Sh4W88HLDDPtOt7SZRdKEUPYZ6igCqHJpPRFRRb9yDXEkTu41mKIsC2lbrGL4dbISZJMpcWaY0OF&#10;Da0qKo67s1WQn96C+d38mC7f7FO5P63T23mt1OuwX36CCNSHp/jh/tZx/niSwv2beIK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AIMNxAAAAN0AAAAPAAAAAAAAAAAA&#10;AAAAAKECAABkcnMvZG93bnJldi54bWxQSwUGAAAAAAQABAD5AAAAkgMAAAAA&#10;" strokecolor="#231f20" strokeweight=".5pt"/>
                <w10:anchorlock/>
              </v:group>
            </w:pict>
          </mc:Fallback>
        </mc:AlternateContent>
      </w:r>
    </w:p>
    <w:p w14:paraId="75AEF099" w14:textId="77777777" w:rsidR="00DE575E" w:rsidRDefault="00DE575E">
      <w:pPr>
        <w:pStyle w:val="BodyText"/>
        <w:spacing w:before="7"/>
        <w:rPr>
          <w:rFonts w:ascii="AdonisC"/>
          <w:i/>
          <w:sz w:val="19"/>
        </w:rPr>
      </w:pPr>
    </w:p>
    <w:p w14:paraId="5351159E" w14:textId="77777777" w:rsidR="00DE575E" w:rsidRDefault="002E7560">
      <w:pPr>
        <w:pStyle w:val="BodyText"/>
        <w:spacing w:before="1" w:line="252" w:lineRule="auto"/>
        <w:ind w:left="250" w:right="409" w:firstLine="283"/>
        <w:jc w:val="both"/>
      </w:pPr>
      <w:r>
        <w:rPr>
          <w:color w:val="231F20"/>
        </w:rPr>
        <w:t xml:space="preserve">Однак законодавством </w:t>
      </w:r>
      <w:r>
        <w:rPr>
          <w:color w:val="231F20"/>
          <w:spacing w:val="-3"/>
        </w:rPr>
        <w:t xml:space="preserve">України </w:t>
      </w:r>
      <w:r>
        <w:rPr>
          <w:color w:val="231F20"/>
        </w:rPr>
        <w:t>не визначено  чіткого  крите-  рію (критеріїв) віднесення органу державної влади до ЦОВВ зі спе- ціальним</w:t>
      </w:r>
      <w:r>
        <w:rPr>
          <w:color w:val="231F20"/>
          <w:spacing w:val="-13"/>
        </w:rPr>
        <w:t xml:space="preserve"> </w:t>
      </w:r>
      <w:r>
        <w:rPr>
          <w:color w:val="231F20"/>
        </w:rPr>
        <w:t>статусом</w:t>
      </w:r>
      <w:r>
        <w:rPr>
          <w:color w:val="231F20"/>
        </w:rPr>
        <w:t>.</w:t>
      </w:r>
      <w:r>
        <w:rPr>
          <w:color w:val="231F20"/>
          <w:spacing w:val="-13"/>
        </w:rPr>
        <w:t xml:space="preserve"> </w:t>
      </w:r>
      <w:r>
        <w:rPr>
          <w:color w:val="231F20"/>
        </w:rPr>
        <w:t>По</w:t>
      </w:r>
      <w:r>
        <w:rPr>
          <w:color w:val="231F20"/>
          <w:spacing w:val="-13"/>
        </w:rPr>
        <w:t xml:space="preserve"> </w:t>
      </w:r>
      <w:r>
        <w:rPr>
          <w:color w:val="231F20"/>
        </w:rPr>
        <w:t>суті</w:t>
      </w:r>
      <w:r>
        <w:rPr>
          <w:color w:val="231F20"/>
          <w:spacing w:val="-13"/>
        </w:rPr>
        <w:t xml:space="preserve"> </w:t>
      </w:r>
      <w:r>
        <w:rPr>
          <w:color w:val="231F20"/>
        </w:rPr>
        <w:t>до</w:t>
      </w:r>
      <w:r>
        <w:rPr>
          <w:color w:val="231F20"/>
          <w:spacing w:val="-13"/>
        </w:rPr>
        <w:t xml:space="preserve"> </w:t>
      </w:r>
      <w:r>
        <w:rPr>
          <w:color w:val="231F20"/>
        </w:rPr>
        <w:t>цієї</w:t>
      </w:r>
      <w:r>
        <w:rPr>
          <w:color w:val="231F20"/>
          <w:spacing w:val="-13"/>
        </w:rPr>
        <w:t xml:space="preserve"> </w:t>
      </w:r>
      <w:r>
        <w:rPr>
          <w:color w:val="231F20"/>
        </w:rPr>
        <w:t>категорії</w:t>
      </w:r>
      <w:r>
        <w:rPr>
          <w:color w:val="231F20"/>
          <w:spacing w:val="-13"/>
        </w:rPr>
        <w:t xml:space="preserve"> </w:t>
      </w:r>
      <w:r>
        <w:rPr>
          <w:color w:val="231F20"/>
        </w:rPr>
        <w:t>державних</w:t>
      </w:r>
      <w:r>
        <w:rPr>
          <w:color w:val="231F20"/>
          <w:spacing w:val="-13"/>
        </w:rPr>
        <w:t xml:space="preserve"> </w:t>
      </w:r>
      <w:r>
        <w:rPr>
          <w:color w:val="231F20"/>
        </w:rPr>
        <w:t>органів</w:t>
      </w:r>
      <w:r>
        <w:rPr>
          <w:color w:val="231F20"/>
          <w:spacing w:val="-13"/>
        </w:rPr>
        <w:t xml:space="preserve"> </w:t>
      </w:r>
      <w:r>
        <w:rPr>
          <w:color w:val="231F20"/>
        </w:rPr>
        <w:t>у</w:t>
      </w:r>
      <w:r>
        <w:rPr>
          <w:color w:val="231F20"/>
          <w:spacing w:val="-14"/>
        </w:rPr>
        <w:t xml:space="preserve"> </w:t>
      </w:r>
      <w:r>
        <w:rPr>
          <w:color w:val="231F20"/>
        </w:rPr>
        <w:t xml:space="preserve">різні періоди включалися органи державної влади, які через особливості їх правової природи не можна </w:t>
      </w:r>
      <w:r>
        <w:rPr>
          <w:color w:val="231F20"/>
          <w:spacing w:val="-3"/>
        </w:rPr>
        <w:t xml:space="preserve">було </w:t>
      </w:r>
      <w:r>
        <w:rPr>
          <w:color w:val="231F20"/>
        </w:rPr>
        <w:t xml:space="preserve">віднести до жодної з гілок влади (напр., Служба безпеки </w:t>
      </w:r>
      <w:r>
        <w:rPr>
          <w:color w:val="231F20"/>
          <w:spacing w:val="-3"/>
        </w:rPr>
        <w:t xml:space="preserve">України, </w:t>
      </w:r>
      <w:r>
        <w:rPr>
          <w:color w:val="231F20"/>
        </w:rPr>
        <w:t xml:space="preserve">національні комісії, що здійснюють державне регулювання у певних сферах економіки), конституційні органи державної влади, не віднесені Основним законом до орга- нів виконавчої влади (Антимонопольний комітет </w:t>
      </w:r>
      <w:r>
        <w:rPr>
          <w:color w:val="231F20"/>
          <w:spacing w:val="-3"/>
        </w:rPr>
        <w:t xml:space="preserve">України, </w:t>
      </w:r>
      <w:r>
        <w:rPr>
          <w:color w:val="231F20"/>
        </w:rPr>
        <w:t xml:space="preserve">Фонд державного майна </w:t>
      </w:r>
      <w:r>
        <w:rPr>
          <w:color w:val="231F20"/>
          <w:spacing w:val="-3"/>
        </w:rPr>
        <w:t xml:space="preserve">України, </w:t>
      </w:r>
      <w:r>
        <w:rPr>
          <w:color w:val="231F20"/>
        </w:rPr>
        <w:t>Державний</w:t>
      </w:r>
      <w:r>
        <w:rPr>
          <w:color w:val="231F20"/>
        </w:rPr>
        <w:t xml:space="preserve"> комітет телебачення і радіо- мовлення </w:t>
      </w:r>
      <w:r>
        <w:rPr>
          <w:color w:val="231F20"/>
          <w:spacing w:val="-3"/>
        </w:rPr>
        <w:t xml:space="preserve">України), </w:t>
      </w:r>
      <w:r>
        <w:rPr>
          <w:color w:val="231F20"/>
        </w:rPr>
        <w:t xml:space="preserve">а також класичні органи виконавчої влади, які  в силу певних </w:t>
      </w:r>
      <w:r>
        <w:rPr>
          <w:color w:val="231F20"/>
          <w:spacing w:val="-3"/>
        </w:rPr>
        <w:t xml:space="preserve">суб’єктивних </w:t>
      </w:r>
      <w:r>
        <w:rPr>
          <w:color w:val="231F20"/>
        </w:rPr>
        <w:t>причин прагнули вивести з-під прямого підпорядкування</w:t>
      </w:r>
      <w:r>
        <w:rPr>
          <w:color w:val="231F20"/>
          <w:spacing w:val="-8"/>
        </w:rPr>
        <w:t xml:space="preserve"> </w:t>
      </w:r>
      <w:r>
        <w:rPr>
          <w:color w:val="231F20"/>
          <w:spacing w:val="-6"/>
        </w:rPr>
        <w:t>Уряду.</w:t>
      </w:r>
      <w:r>
        <w:rPr>
          <w:color w:val="231F20"/>
          <w:spacing w:val="-8"/>
        </w:rPr>
        <w:t xml:space="preserve"> </w:t>
      </w:r>
      <w:r>
        <w:rPr>
          <w:color w:val="231F20"/>
        </w:rPr>
        <w:t>При</w:t>
      </w:r>
      <w:r>
        <w:rPr>
          <w:color w:val="231F20"/>
          <w:spacing w:val="-8"/>
        </w:rPr>
        <w:t xml:space="preserve"> </w:t>
      </w:r>
      <w:r>
        <w:rPr>
          <w:color w:val="231F20"/>
        </w:rPr>
        <w:t>цьому</w:t>
      </w:r>
      <w:r>
        <w:rPr>
          <w:color w:val="231F20"/>
          <w:spacing w:val="-8"/>
        </w:rPr>
        <w:t xml:space="preserve"> </w:t>
      </w:r>
      <w:r>
        <w:rPr>
          <w:color w:val="231F20"/>
        </w:rPr>
        <w:t>можна</w:t>
      </w:r>
      <w:r>
        <w:rPr>
          <w:color w:val="231F20"/>
          <w:spacing w:val="-7"/>
        </w:rPr>
        <w:t xml:space="preserve"> </w:t>
      </w:r>
      <w:r>
        <w:rPr>
          <w:color w:val="231F20"/>
        </w:rPr>
        <w:t>говорити</w:t>
      </w:r>
      <w:r>
        <w:rPr>
          <w:color w:val="231F20"/>
          <w:spacing w:val="-8"/>
        </w:rPr>
        <w:t xml:space="preserve"> </w:t>
      </w:r>
      <w:r>
        <w:rPr>
          <w:color w:val="231F20"/>
        </w:rPr>
        <w:t>про</w:t>
      </w:r>
      <w:r>
        <w:rPr>
          <w:color w:val="231F20"/>
          <w:spacing w:val="-8"/>
        </w:rPr>
        <w:t xml:space="preserve"> </w:t>
      </w:r>
      <w:r>
        <w:rPr>
          <w:color w:val="231F20"/>
        </w:rPr>
        <w:t>особливості саме першої категорії ЦОВВ зі с</w:t>
      </w:r>
      <w:r>
        <w:rPr>
          <w:color w:val="231F20"/>
        </w:rPr>
        <w:t>пеціальним</w:t>
      </w:r>
      <w:r>
        <w:rPr>
          <w:color w:val="231F20"/>
          <w:spacing w:val="-4"/>
        </w:rPr>
        <w:t xml:space="preserve"> </w:t>
      </w:r>
      <w:r>
        <w:rPr>
          <w:color w:val="231F20"/>
        </w:rPr>
        <w:t>статусом.</w:t>
      </w:r>
    </w:p>
    <w:p w14:paraId="68B727F0" w14:textId="77777777" w:rsidR="00DE575E" w:rsidRDefault="002E7560">
      <w:pPr>
        <w:pStyle w:val="BodyText"/>
        <w:spacing w:before="7" w:line="252" w:lineRule="auto"/>
        <w:ind w:left="250" w:right="410" w:firstLine="283"/>
        <w:jc w:val="both"/>
      </w:pPr>
      <w:r>
        <w:rPr>
          <w:color w:val="231F20"/>
        </w:rPr>
        <w:t xml:space="preserve">До їх </w:t>
      </w:r>
      <w:r>
        <w:rPr>
          <w:b/>
          <w:color w:val="231F20"/>
        </w:rPr>
        <w:t xml:space="preserve">основних ознак </w:t>
      </w:r>
      <w:r>
        <w:rPr>
          <w:color w:val="231F20"/>
        </w:rPr>
        <w:t xml:space="preserve">можна  віднести:  особливу  компетен-  цію, особливості взаємовідносин з вищим органом у системі орга- нів виконавчої влади – Кабінетом Міністрів </w:t>
      </w:r>
      <w:r>
        <w:rPr>
          <w:color w:val="231F20"/>
          <w:spacing w:val="-3"/>
        </w:rPr>
        <w:t xml:space="preserve">України, </w:t>
      </w:r>
      <w:r>
        <w:rPr>
          <w:color w:val="231F20"/>
        </w:rPr>
        <w:t>порядок утво- рення, реорганізації та ліквідації, а також п</w:t>
      </w:r>
      <w:r>
        <w:rPr>
          <w:color w:val="231F20"/>
        </w:rPr>
        <w:t>ризначення на посади  та звільнення з посад керівників цих органів, відмінний від інших центральних</w:t>
      </w:r>
      <w:r>
        <w:rPr>
          <w:color w:val="231F20"/>
          <w:spacing w:val="-8"/>
        </w:rPr>
        <w:t xml:space="preserve"> </w:t>
      </w:r>
      <w:r>
        <w:rPr>
          <w:color w:val="231F20"/>
        </w:rPr>
        <w:t>органів</w:t>
      </w:r>
      <w:r>
        <w:rPr>
          <w:color w:val="231F20"/>
          <w:spacing w:val="-8"/>
        </w:rPr>
        <w:t xml:space="preserve"> </w:t>
      </w:r>
      <w:r>
        <w:rPr>
          <w:color w:val="231F20"/>
        </w:rPr>
        <w:t>виконавчої</w:t>
      </w:r>
      <w:r>
        <w:rPr>
          <w:color w:val="231F20"/>
          <w:spacing w:val="-8"/>
        </w:rPr>
        <w:t xml:space="preserve"> </w:t>
      </w:r>
      <w:r>
        <w:rPr>
          <w:color w:val="231F20"/>
        </w:rPr>
        <w:t>влади,</w:t>
      </w:r>
      <w:r>
        <w:rPr>
          <w:color w:val="231F20"/>
          <w:spacing w:val="-7"/>
        </w:rPr>
        <w:t xml:space="preserve"> </w:t>
      </w:r>
      <w:r>
        <w:rPr>
          <w:color w:val="231F20"/>
        </w:rPr>
        <w:t>особливі</w:t>
      </w:r>
      <w:r>
        <w:rPr>
          <w:color w:val="231F20"/>
          <w:spacing w:val="-8"/>
        </w:rPr>
        <w:t xml:space="preserve"> </w:t>
      </w:r>
      <w:r>
        <w:rPr>
          <w:color w:val="231F20"/>
        </w:rPr>
        <w:t>управлінські</w:t>
      </w:r>
      <w:r>
        <w:rPr>
          <w:color w:val="231F20"/>
          <w:spacing w:val="-8"/>
        </w:rPr>
        <w:t xml:space="preserve"> </w:t>
      </w:r>
      <w:r>
        <w:rPr>
          <w:color w:val="231F20"/>
        </w:rPr>
        <w:t>стани з іншими органами державної</w:t>
      </w:r>
      <w:r>
        <w:rPr>
          <w:color w:val="231F20"/>
          <w:spacing w:val="-2"/>
        </w:rPr>
        <w:t xml:space="preserve"> </w:t>
      </w:r>
      <w:r>
        <w:rPr>
          <w:color w:val="231F20"/>
        </w:rPr>
        <w:t>влади.</w:t>
      </w:r>
    </w:p>
    <w:p w14:paraId="5583FE59" w14:textId="77777777" w:rsidR="00DE575E" w:rsidRDefault="002E7560">
      <w:pPr>
        <w:pStyle w:val="BodyText"/>
        <w:spacing w:before="3" w:line="252" w:lineRule="auto"/>
        <w:ind w:left="250" w:right="408" w:firstLine="283"/>
        <w:jc w:val="both"/>
      </w:pPr>
      <w:r>
        <w:rPr>
          <w:b/>
          <w:color w:val="231F20"/>
        </w:rPr>
        <w:t xml:space="preserve">Основною відмінною ознакою </w:t>
      </w:r>
      <w:r>
        <w:rPr>
          <w:color w:val="231F20"/>
        </w:rPr>
        <w:t>зазначених ЦОВВ зі спеціаль- ним статусо</w:t>
      </w:r>
      <w:r>
        <w:rPr>
          <w:color w:val="231F20"/>
        </w:rPr>
        <w:t>м є їх особлива компетенція, для забезпечення належ- ної реалізації якої такі ЦОВВ і наділені всіма іншими особливими ознаками.</w:t>
      </w:r>
      <w:r>
        <w:rPr>
          <w:color w:val="231F20"/>
          <w:spacing w:val="-7"/>
        </w:rPr>
        <w:t xml:space="preserve"> </w:t>
      </w:r>
      <w:r>
        <w:rPr>
          <w:color w:val="231F20"/>
        </w:rPr>
        <w:t>При</w:t>
      </w:r>
      <w:r>
        <w:rPr>
          <w:color w:val="231F20"/>
          <w:spacing w:val="-7"/>
        </w:rPr>
        <w:t xml:space="preserve"> </w:t>
      </w:r>
      <w:r>
        <w:rPr>
          <w:color w:val="231F20"/>
        </w:rPr>
        <w:t>цьому</w:t>
      </w:r>
      <w:r>
        <w:rPr>
          <w:color w:val="231F20"/>
          <w:spacing w:val="-7"/>
        </w:rPr>
        <w:t xml:space="preserve"> </w:t>
      </w:r>
      <w:r>
        <w:rPr>
          <w:color w:val="231F20"/>
        </w:rPr>
        <w:t>особливі</w:t>
      </w:r>
      <w:r>
        <w:rPr>
          <w:color w:val="231F20"/>
          <w:spacing w:val="-7"/>
        </w:rPr>
        <w:t xml:space="preserve"> </w:t>
      </w:r>
      <w:r>
        <w:rPr>
          <w:color w:val="231F20"/>
        </w:rPr>
        <w:t>ознаки</w:t>
      </w:r>
      <w:r>
        <w:rPr>
          <w:color w:val="231F20"/>
          <w:spacing w:val="-7"/>
        </w:rPr>
        <w:t xml:space="preserve"> </w:t>
      </w:r>
      <w:r>
        <w:rPr>
          <w:color w:val="231F20"/>
        </w:rPr>
        <w:t>ЦОВВ</w:t>
      </w:r>
      <w:r>
        <w:rPr>
          <w:color w:val="231F20"/>
          <w:spacing w:val="-7"/>
        </w:rPr>
        <w:t xml:space="preserve"> </w:t>
      </w:r>
      <w:r>
        <w:rPr>
          <w:color w:val="231F20"/>
        </w:rPr>
        <w:t>зі</w:t>
      </w:r>
      <w:r>
        <w:rPr>
          <w:color w:val="231F20"/>
          <w:spacing w:val="-7"/>
        </w:rPr>
        <w:t xml:space="preserve"> </w:t>
      </w:r>
      <w:r>
        <w:rPr>
          <w:color w:val="231F20"/>
        </w:rPr>
        <w:t>спеціальним</w:t>
      </w:r>
      <w:r>
        <w:rPr>
          <w:color w:val="231F20"/>
          <w:spacing w:val="-7"/>
        </w:rPr>
        <w:t xml:space="preserve"> </w:t>
      </w:r>
      <w:r>
        <w:rPr>
          <w:color w:val="231F20"/>
        </w:rPr>
        <w:t>статусом свідчать про перехідний характер зазначених органів, про їх тимча- сове п</w:t>
      </w:r>
      <w:r>
        <w:rPr>
          <w:color w:val="231F20"/>
        </w:rPr>
        <w:t>еребування в системі органів виконавчої влади та потребу    їх виведення за межі виконавчої гілки влади, що вже відбувається сьогодні (напр., із національними комісіями регулювання природ- них монополій).</w:t>
      </w:r>
    </w:p>
    <w:p w14:paraId="43C18635" w14:textId="77777777" w:rsidR="00DE575E" w:rsidRDefault="002E7560">
      <w:pPr>
        <w:pStyle w:val="BodyText"/>
        <w:spacing w:before="4" w:line="252" w:lineRule="auto"/>
        <w:ind w:left="250" w:right="410" w:firstLine="283"/>
        <w:jc w:val="both"/>
      </w:pPr>
      <w:r>
        <w:rPr>
          <w:color w:val="231F20"/>
        </w:rPr>
        <w:t>Зауважимо,</w:t>
      </w:r>
      <w:r>
        <w:rPr>
          <w:color w:val="231F20"/>
          <w:spacing w:val="-8"/>
        </w:rPr>
        <w:t xml:space="preserve"> </w:t>
      </w:r>
      <w:r>
        <w:rPr>
          <w:color w:val="231F20"/>
        </w:rPr>
        <w:t>що</w:t>
      </w:r>
      <w:r>
        <w:rPr>
          <w:color w:val="231F20"/>
          <w:spacing w:val="-8"/>
        </w:rPr>
        <w:t xml:space="preserve"> </w:t>
      </w:r>
      <w:r>
        <w:rPr>
          <w:color w:val="231F20"/>
        </w:rPr>
        <w:t>Національну</w:t>
      </w:r>
      <w:r>
        <w:rPr>
          <w:color w:val="231F20"/>
          <w:spacing w:val="-8"/>
        </w:rPr>
        <w:t xml:space="preserve"> </w:t>
      </w:r>
      <w:r>
        <w:rPr>
          <w:color w:val="231F20"/>
        </w:rPr>
        <w:t>комісію,</w:t>
      </w:r>
      <w:r>
        <w:rPr>
          <w:color w:val="231F20"/>
          <w:spacing w:val="-8"/>
        </w:rPr>
        <w:t xml:space="preserve"> </w:t>
      </w:r>
      <w:r>
        <w:rPr>
          <w:color w:val="231F20"/>
        </w:rPr>
        <w:t>що</w:t>
      </w:r>
      <w:r>
        <w:rPr>
          <w:color w:val="231F20"/>
          <w:spacing w:val="-8"/>
        </w:rPr>
        <w:t xml:space="preserve"> </w:t>
      </w:r>
      <w:r>
        <w:rPr>
          <w:color w:val="231F20"/>
        </w:rPr>
        <w:t>здійснює</w:t>
      </w:r>
      <w:r>
        <w:rPr>
          <w:color w:val="231F20"/>
          <w:spacing w:val="-8"/>
        </w:rPr>
        <w:t xml:space="preserve"> </w:t>
      </w:r>
      <w:r>
        <w:rPr>
          <w:color w:val="231F20"/>
        </w:rPr>
        <w:t>державне</w:t>
      </w:r>
      <w:r>
        <w:rPr>
          <w:color w:val="231F20"/>
          <w:spacing w:val="-8"/>
        </w:rPr>
        <w:t xml:space="preserve"> </w:t>
      </w:r>
      <w:r>
        <w:rPr>
          <w:color w:val="231F20"/>
        </w:rPr>
        <w:t xml:space="preserve">регу- лювання у сфері енергетики та комунальних </w:t>
      </w:r>
      <w:r>
        <w:rPr>
          <w:color w:val="231F20"/>
          <w:spacing w:val="-3"/>
        </w:rPr>
        <w:t xml:space="preserve">послуг, було </w:t>
      </w:r>
      <w:r>
        <w:rPr>
          <w:color w:val="231F20"/>
        </w:rPr>
        <w:t xml:space="preserve">відне- сено до центральних органів виконавчої влади згідно із Законом </w:t>
      </w:r>
      <w:r>
        <w:rPr>
          <w:color w:val="231F20"/>
          <w:spacing w:val="-3"/>
        </w:rPr>
        <w:t xml:space="preserve">України </w:t>
      </w:r>
      <w:r>
        <w:rPr>
          <w:color w:val="231F20"/>
        </w:rPr>
        <w:t xml:space="preserve">«Про внесення змін до деяких законодавчих актів </w:t>
      </w:r>
      <w:r>
        <w:rPr>
          <w:color w:val="231F20"/>
          <w:spacing w:val="-3"/>
        </w:rPr>
        <w:t xml:space="preserve">України </w:t>
      </w:r>
      <w:r>
        <w:rPr>
          <w:color w:val="231F20"/>
        </w:rPr>
        <w:t xml:space="preserve">щодо забезпечення конституційних принципів у сферах </w:t>
      </w:r>
      <w:r>
        <w:rPr>
          <w:color w:val="231F20"/>
        </w:rPr>
        <w:t xml:space="preserve">енерге- тики та комунальних послуг» від 19 </w:t>
      </w:r>
      <w:r>
        <w:rPr>
          <w:color w:val="231F20"/>
          <w:spacing w:val="-3"/>
        </w:rPr>
        <w:t xml:space="preserve">грудня </w:t>
      </w:r>
      <w:r>
        <w:rPr>
          <w:color w:val="231F20"/>
        </w:rPr>
        <w:t xml:space="preserve">2019 р. № 394-IX. Зазна- чений Закон </w:t>
      </w:r>
      <w:r>
        <w:rPr>
          <w:color w:val="231F20"/>
          <w:spacing w:val="-3"/>
        </w:rPr>
        <w:t xml:space="preserve">України було </w:t>
      </w:r>
      <w:r>
        <w:rPr>
          <w:color w:val="231F20"/>
        </w:rPr>
        <w:t xml:space="preserve">прийнято, зокрема, з метою приведення відповідно до Конституції </w:t>
      </w:r>
      <w:r>
        <w:rPr>
          <w:color w:val="231F20"/>
          <w:spacing w:val="-3"/>
        </w:rPr>
        <w:t xml:space="preserve">України </w:t>
      </w:r>
      <w:r>
        <w:rPr>
          <w:color w:val="231F20"/>
        </w:rPr>
        <w:t xml:space="preserve">статусу зазначеної Комісії на виконання Рішення Конституційного </w:t>
      </w:r>
      <w:r>
        <w:rPr>
          <w:color w:val="231F20"/>
          <w:spacing w:val="-5"/>
        </w:rPr>
        <w:t xml:space="preserve">Суду </w:t>
      </w:r>
      <w:r>
        <w:rPr>
          <w:color w:val="231F20"/>
          <w:spacing w:val="-3"/>
        </w:rPr>
        <w:t xml:space="preserve">України </w:t>
      </w:r>
      <w:r>
        <w:rPr>
          <w:color w:val="231F20"/>
        </w:rPr>
        <w:t>від 13</w:t>
      </w:r>
      <w:r>
        <w:rPr>
          <w:color w:val="231F20"/>
          <w:spacing w:val="8"/>
        </w:rPr>
        <w:t xml:space="preserve"> </w:t>
      </w:r>
      <w:r>
        <w:rPr>
          <w:color w:val="231F20"/>
        </w:rPr>
        <w:t>червня</w:t>
      </w:r>
    </w:p>
    <w:p w14:paraId="72466BFA" w14:textId="77777777" w:rsidR="00DE575E" w:rsidRDefault="00DE575E">
      <w:pPr>
        <w:pStyle w:val="BodyText"/>
        <w:spacing w:before="9"/>
        <w:rPr>
          <w:sz w:val="12"/>
        </w:rPr>
      </w:pPr>
    </w:p>
    <w:p w14:paraId="12A95607" w14:textId="77777777" w:rsidR="00DE575E" w:rsidRDefault="002E7560">
      <w:pPr>
        <w:spacing w:before="92"/>
        <w:ind w:right="411"/>
        <w:jc w:val="right"/>
        <w:rPr>
          <w:rFonts w:ascii="Times New Roman"/>
          <w:sz w:val="20"/>
        </w:rPr>
      </w:pPr>
      <w:r>
        <w:rPr>
          <w:rFonts w:ascii="Times New Roman"/>
          <w:color w:val="231F20"/>
          <w:w w:val="90"/>
          <w:sz w:val="20"/>
        </w:rPr>
        <w:t>113</w:t>
      </w:r>
    </w:p>
    <w:p w14:paraId="0555F5E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DC8657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BE9039C" w14:textId="534A292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8FEAB72" wp14:editId="4485924B">
                <wp:extent cx="4140200" cy="6350"/>
                <wp:effectExtent l="0" t="0" r="12700" b="6350"/>
                <wp:docPr id="1120"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21" name="Line 112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91EE87" id="Group_x0020_111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4AO64IECAACcBQAA&#10;DgAAAAAAAAAAAAAAAAAsAgAAZHJzL2Uyb0RvYy54bWxQSwECLQAUAAYACAAAACEATKewkNkAAAAD&#10;AQAADwAAAAAAAAAAAAAAAADZBAAAZHJzL2Rvd25yZXYueG1sUEsFBgAAAAAEAAQA8wAAAN8FAAAA&#10;AA==&#10;">
                <v:line id="Line_x0020_112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644cQAAADdAAAADwAAAGRycy9kb3ducmV2LnhtbERPzWrCQBC+F3yHZYReSt1EQUrqKiII&#10;0oNW0wcYs2MS3J2N2dVEn75bKHibj+93ZoveGnGj1teOFaSjBARx4XTNpYKffP3+AcIHZI3GMSm4&#10;k4fFfPAyw0y7jvd0O4RSxBD2GSqoQmgyKX1RkUU/cg1x5E6utRgibEupW+xiuDVynCRTabHm2FBh&#10;Q6uKivPhahXkl7dgvndfpst3x4k8XraTx3Wr1OuwX36CCNSHp/jfvdFxfjpO4e+beIK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nrjhxAAAAN0AAAAPAAAAAAAAAAAA&#10;AAAAAKECAABkcnMvZG93bnJldi54bWxQSwUGAAAAAAQABAD5AAAAkgMAAAAA&#10;" strokecolor="#231f20" strokeweight=".5pt"/>
                <w10:anchorlock/>
              </v:group>
            </w:pict>
          </mc:Fallback>
        </mc:AlternateContent>
      </w:r>
    </w:p>
    <w:p w14:paraId="553C43CC" w14:textId="77777777" w:rsidR="00DE575E" w:rsidRDefault="00DE575E">
      <w:pPr>
        <w:pStyle w:val="BodyText"/>
        <w:spacing w:before="7"/>
        <w:rPr>
          <w:rFonts w:ascii="AdonisC"/>
          <w:i/>
          <w:sz w:val="11"/>
        </w:rPr>
      </w:pPr>
    </w:p>
    <w:p w14:paraId="0401D7EF" w14:textId="77777777" w:rsidR="00DE575E" w:rsidRDefault="002E7560">
      <w:pPr>
        <w:pStyle w:val="BodyText"/>
        <w:spacing w:before="101" w:line="252" w:lineRule="auto"/>
        <w:ind w:left="533" w:right="125"/>
        <w:jc w:val="both"/>
      </w:pPr>
      <w:r>
        <w:rPr>
          <w:color w:val="231F20"/>
        </w:rPr>
        <w:t xml:space="preserve">2019 р. № 5-р/2019 у справі № 1-17/2018(5133/16) за конституцій- ним поданням 46 народних депутатів </w:t>
      </w:r>
      <w:r>
        <w:rPr>
          <w:color w:val="231F20"/>
          <w:spacing w:val="-3"/>
        </w:rPr>
        <w:t xml:space="preserve">України </w:t>
      </w:r>
      <w:r>
        <w:rPr>
          <w:color w:val="231F20"/>
        </w:rPr>
        <w:t xml:space="preserve">щодо відповідності Конституції </w:t>
      </w:r>
      <w:r>
        <w:rPr>
          <w:color w:val="231F20"/>
          <w:spacing w:val="-3"/>
        </w:rPr>
        <w:t xml:space="preserve">України </w:t>
      </w:r>
      <w:r>
        <w:rPr>
          <w:color w:val="231F20"/>
        </w:rPr>
        <w:t>(конституційності) частини першої статті 1, пункту 2 частини першої статті 4, частини першої, абзаців першого, другого частини другої статті 5, абзаців другого, третього, четвер- того, п’ятого, тридцять дев’ятого, сорокового частини третьої, частини шостої</w:t>
      </w:r>
      <w:r>
        <w:rPr>
          <w:color w:val="231F20"/>
        </w:rPr>
        <w:t xml:space="preserve"> статті 8 Закону </w:t>
      </w:r>
      <w:r>
        <w:rPr>
          <w:color w:val="231F20"/>
          <w:spacing w:val="-3"/>
        </w:rPr>
        <w:t xml:space="preserve">України </w:t>
      </w:r>
      <w:r>
        <w:rPr>
          <w:color w:val="231F20"/>
        </w:rPr>
        <w:t>«Про Національну комі-  сію, що здійснює державне регулювання у сферах енергетики та комунальних послуг» (справа про Національну комісію, що здійс- нює державне регулювання у сферах енергетики та комунальних послуг).</w:t>
      </w:r>
      <w:r>
        <w:rPr>
          <w:color w:val="231F20"/>
          <w:spacing w:val="-9"/>
        </w:rPr>
        <w:t xml:space="preserve"> </w:t>
      </w:r>
      <w:r>
        <w:rPr>
          <w:color w:val="231F20"/>
        </w:rPr>
        <w:t>До</w:t>
      </w:r>
      <w:r>
        <w:rPr>
          <w:color w:val="231F20"/>
          <w:spacing w:val="-8"/>
        </w:rPr>
        <w:t xml:space="preserve"> </w:t>
      </w:r>
      <w:r>
        <w:rPr>
          <w:color w:val="231F20"/>
        </w:rPr>
        <w:t>зазначених</w:t>
      </w:r>
      <w:r>
        <w:rPr>
          <w:color w:val="231F20"/>
          <w:spacing w:val="-8"/>
        </w:rPr>
        <w:t xml:space="preserve"> </w:t>
      </w:r>
      <w:r>
        <w:rPr>
          <w:color w:val="231F20"/>
        </w:rPr>
        <w:t>змін</w:t>
      </w:r>
      <w:r>
        <w:rPr>
          <w:color w:val="231F20"/>
          <w:spacing w:val="-9"/>
        </w:rPr>
        <w:t xml:space="preserve"> </w:t>
      </w:r>
      <w:r>
        <w:rPr>
          <w:color w:val="231F20"/>
        </w:rPr>
        <w:t>у</w:t>
      </w:r>
      <w:r>
        <w:rPr>
          <w:color w:val="231F20"/>
          <w:spacing w:val="-9"/>
        </w:rPr>
        <w:t xml:space="preserve"> </w:t>
      </w:r>
      <w:r>
        <w:rPr>
          <w:color w:val="231F20"/>
        </w:rPr>
        <w:t>законодавстві</w:t>
      </w:r>
      <w:r>
        <w:rPr>
          <w:color w:val="231F20"/>
          <w:spacing w:val="-8"/>
        </w:rPr>
        <w:t xml:space="preserve"> </w:t>
      </w:r>
      <w:r>
        <w:rPr>
          <w:color w:val="231F20"/>
        </w:rPr>
        <w:t>Національна</w:t>
      </w:r>
      <w:r>
        <w:rPr>
          <w:color w:val="231F20"/>
          <w:spacing w:val="-8"/>
        </w:rPr>
        <w:t xml:space="preserve"> </w:t>
      </w:r>
      <w:r>
        <w:rPr>
          <w:color w:val="231F20"/>
        </w:rPr>
        <w:t>комісія,</w:t>
      </w:r>
      <w:r>
        <w:rPr>
          <w:color w:val="231F20"/>
          <w:spacing w:val="-9"/>
        </w:rPr>
        <w:t xml:space="preserve"> </w:t>
      </w:r>
      <w:r>
        <w:rPr>
          <w:color w:val="231F20"/>
        </w:rPr>
        <w:t xml:space="preserve">що здійснює державне регулювання у сферах енергетики та комуналь- них </w:t>
      </w:r>
      <w:r>
        <w:rPr>
          <w:color w:val="231F20"/>
          <w:spacing w:val="-3"/>
        </w:rPr>
        <w:t xml:space="preserve">послуг, </w:t>
      </w:r>
      <w:r>
        <w:rPr>
          <w:color w:val="231F20"/>
        </w:rPr>
        <w:t xml:space="preserve">мала статус постійного незалежного державного коле- гіального </w:t>
      </w:r>
      <w:r>
        <w:rPr>
          <w:color w:val="231F20"/>
          <w:spacing w:val="-3"/>
        </w:rPr>
        <w:t>органу.</w:t>
      </w:r>
    </w:p>
    <w:p w14:paraId="55C591BD" w14:textId="77777777" w:rsidR="00DE575E" w:rsidRDefault="00DE575E">
      <w:pPr>
        <w:pStyle w:val="BodyText"/>
        <w:spacing w:before="6"/>
        <w:rPr>
          <w:sz w:val="22"/>
        </w:rPr>
      </w:pPr>
    </w:p>
    <w:p w14:paraId="1774D60E" w14:textId="77777777" w:rsidR="00DE575E" w:rsidRDefault="002E7560">
      <w:pPr>
        <w:pStyle w:val="Heading5"/>
        <w:spacing w:before="1"/>
        <w:ind w:left="817"/>
      </w:pPr>
      <w:r>
        <w:rPr>
          <w:color w:val="231F20"/>
        </w:rPr>
        <w:t>4.4.2. Місцеві державні адміністрації</w:t>
      </w:r>
    </w:p>
    <w:p w14:paraId="78449B1E" w14:textId="77777777" w:rsidR="00DE575E" w:rsidRDefault="00DE575E">
      <w:pPr>
        <w:pStyle w:val="BodyText"/>
        <w:spacing w:before="2"/>
        <w:rPr>
          <w:b/>
          <w:sz w:val="23"/>
        </w:rPr>
      </w:pPr>
    </w:p>
    <w:p w14:paraId="7AFFCB66" w14:textId="77777777" w:rsidR="00DE575E" w:rsidRDefault="002E7560">
      <w:pPr>
        <w:pStyle w:val="BodyText"/>
        <w:spacing w:line="252" w:lineRule="auto"/>
        <w:ind w:left="533" w:right="126" w:firstLine="283"/>
        <w:jc w:val="right"/>
      </w:pPr>
      <w:r>
        <w:rPr>
          <w:color w:val="231F20"/>
        </w:rPr>
        <w:t>Виконавчу владу на місцево</w:t>
      </w:r>
      <w:r>
        <w:rPr>
          <w:color w:val="231F20"/>
        </w:rPr>
        <w:t>му рівні</w:t>
      </w:r>
      <w:r>
        <w:rPr>
          <w:color w:val="231F20"/>
          <w:spacing w:val="13"/>
        </w:rPr>
        <w:t xml:space="preserve"> </w:t>
      </w:r>
      <w:r>
        <w:rPr>
          <w:color w:val="231F20"/>
        </w:rPr>
        <w:t>здійснюють</w:t>
      </w:r>
      <w:r>
        <w:rPr>
          <w:color w:val="231F20"/>
          <w:spacing w:val="38"/>
        </w:rPr>
        <w:t xml:space="preserve"> </w:t>
      </w:r>
      <w:r>
        <w:rPr>
          <w:b/>
          <w:color w:val="231F20"/>
        </w:rPr>
        <w:t>місцеві</w:t>
      </w:r>
      <w:r>
        <w:rPr>
          <w:b/>
          <w:color w:val="231F20"/>
          <w:spacing w:val="-1"/>
        </w:rPr>
        <w:t xml:space="preserve"> </w:t>
      </w:r>
      <w:r>
        <w:rPr>
          <w:b/>
          <w:color w:val="231F20"/>
        </w:rPr>
        <w:t xml:space="preserve">державні адміністрації </w:t>
      </w:r>
      <w:r>
        <w:rPr>
          <w:color w:val="231F20"/>
        </w:rPr>
        <w:t xml:space="preserve">та </w:t>
      </w:r>
      <w:r>
        <w:rPr>
          <w:b/>
          <w:color w:val="231F20"/>
        </w:rPr>
        <w:t>територіальні</w:t>
      </w:r>
      <w:r>
        <w:rPr>
          <w:b/>
          <w:color w:val="231F20"/>
          <w:spacing w:val="10"/>
        </w:rPr>
        <w:t xml:space="preserve"> </w:t>
      </w:r>
      <w:r>
        <w:rPr>
          <w:b/>
          <w:color w:val="231F20"/>
        </w:rPr>
        <w:t>органи</w:t>
      </w:r>
      <w:r>
        <w:rPr>
          <w:b/>
          <w:color w:val="231F20"/>
          <w:spacing w:val="1"/>
        </w:rPr>
        <w:t xml:space="preserve"> </w:t>
      </w:r>
      <w:r>
        <w:rPr>
          <w:b/>
          <w:color w:val="231F20"/>
        </w:rPr>
        <w:t>центральних органів виконавчої влади</w:t>
      </w:r>
      <w:r>
        <w:rPr>
          <w:color w:val="231F20"/>
        </w:rPr>
        <w:t>. Правовий  статус</w:t>
      </w:r>
      <w:r>
        <w:rPr>
          <w:color w:val="231F20"/>
          <w:spacing w:val="13"/>
        </w:rPr>
        <w:t xml:space="preserve"> </w:t>
      </w:r>
      <w:r>
        <w:rPr>
          <w:color w:val="231F20"/>
        </w:rPr>
        <w:t xml:space="preserve">місцевих </w:t>
      </w:r>
      <w:r>
        <w:rPr>
          <w:color w:val="231F20"/>
          <w:spacing w:val="30"/>
        </w:rPr>
        <w:t xml:space="preserve"> </w:t>
      </w:r>
      <w:r>
        <w:rPr>
          <w:color w:val="231F20"/>
        </w:rPr>
        <w:t>держав- них адміністрацій визначається передусім</w:t>
      </w:r>
      <w:r>
        <w:rPr>
          <w:color w:val="231F20"/>
          <w:spacing w:val="21"/>
        </w:rPr>
        <w:t xml:space="preserve"> </w:t>
      </w:r>
      <w:r>
        <w:rPr>
          <w:color w:val="231F20"/>
        </w:rPr>
        <w:t xml:space="preserve">Конституцією </w:t>
      </w:r>
      <w:r>
        <w:rPr>
          <w:color w:val="231F20"/>
          <w:spacing w:val="5"/>
        </w:rPr>
        <w:t xml:space="preserve"> </w:t>
      </w:r>
      <w:r>
        <w:rPr>
          <w:color w:val="231F20"/>
          <w:spacing w:val="-3"/>
        </w:rPr>
        <w:t>України</w:t>
      </w:r>
      <w:r>
        <w:rPr>
          <w:color w:val="231F20"/>
          <w:spacing w:val="-1"/>
        </w:rPr>
        <w:t xml:space="preserve"> </w:t>
      </w:r>
      <w:r>
        <w:rPr>
          <w:color w:val="231F20"/>
        </w:rPr>
        <w:t>та</w:t>
      </w:r>
      <w:r>
        <w:rPr>
          <w:color w:val="231F20"/>
          <w:spacing w:val="25"/>
        </w:rPr>
        <w:t xml:space="preserve"> </w:t>
      </w:r>
      <w:r>
        <w:rPr>
          <w:color w:val="231F20"/>
        </w:rPr>
        <w:t>Законом</w:t>
      </w:r>
      <w:r>
        <w:rPr>
          <w:color w:val="231F20"/>
          <w:spacing w:val="25"/>
        </w:rPr>
        <w:t xml:space="preserve"> </w:t>
      </w:r>
      <w:r>
        <w:rPr>
          <w:color w:val="231F20"/>
          <w:spacing w:val="-3"/>
        </w:rPr>
        <w:t>України</w:t>
      </w:r>
      <w:r>
        <w:rPr>
          <w:color w:val="231F20"/>
          <w:spacing w:val="25"/>
        </w:rPr>
        <w:t xml:space="preserve"> </w:t>
      </w:r>
      <w:r>
        <w:rPr>
          <w:color w:val="231F20"/>
        </w:rPr>
        <w:t>«Про</w:t>
      </w:r>
      <w:r>
        <w:rPr>
          <w:color w:val="231F20"/>
          <w:spacing w:val="25"/>
        </w:rPr>
        <w:t xml:space="preserve"> </w:t>
      </w:r>
      <w:r>
        <w:rPr>
          <w:color w:val="231F20"/>
        </w:rPr>
        <w:t>місцеві</w:t>
      </w:r>
      <w:r>
        <w:rPr>
          <w:color w:val="231F20"/>
          <w:spacing w:val="25"/>
        </w:rPr>
        <w:t xml:space="preserve"> </w:t>
      </w:r>
      <w:r>
        <w:rPr>
          <w:color w:val="231F20"/>
        </w:rPr>
        <w:t>державні</w:t>
      </w:r>
      <w:r>
        <w:rPr>
          <w:color w:val="231F20"/>
          <w:spacing w:val="25"/>
        </w:rPr>
        <w:t xml:space="preserve"> </w:t>
      </w:r>
      <w:r>
        <w:rPr>
          <w:color w:val="231F20"/>
        </w:rPr>
        <w:t>адміністрації».</w:t>
      </w:r>
      <w:r>
        <w:rPr>
          <w:color w:val="231F20"/>
          <w:spacing w:val="25"/>
        </w:rPr>
        <w:t xml:space="preserve"> </w:t>
      </w:r>
      <w:r>
        <w:rPr>
          <w:color w:val="231F20"/>
        </w:rPr>
        <w:t>Згідно</w:t>
      </w:r>
      <w:r>
        <w:rPr>
          <w:color w:val="231F20"/>
          <w:spacing w:val="25"/>
        </w:rPr>
        <w:t xml:space="preserve"> </w:t>
      </w:r>
      <w:r>
        <w:rPr>
          <w:color w:val="231F20"/>
        </w:rPr>
        <w:t>з Конституцією</w:t>
      </w:r>
      <w:r>
        <w:rPr>
          <w:color w:val="231F20"/>
          <w:spacing w:val="18"/>
        </w:rPr>
        <w:t xml:space="preserve"> </w:t>
      </w:r>
      <w:r>
        <w:rPr>
          <w:color w:val="231F20"/>
          <w:spacing w:val="-3"/>
        </w:rPr>
        <w:t>України</w:t>
      </w:r>
      <w:r>
        <w:rPr>
          <w:color w:val="231F20"/>
          <w:spacing w:val="18"/>
        </w:rPr>
        <w:t xml:space="preserve"> </w:t>
      </w:r>
      <w:r>
        <w:rPr>
          <w:color w:val="231F20"/>
          <w:spacing w:val="-5"/>
        </w:rPr>
        <w:t>(ст.</w:t>
      </w:r>
      <w:r>
        <w:rPr>
          <w:color w:val="231F20"/>
          <w:spacing w:val="-6"/>
        </w:rPr>
        <w:t xml:space="preserve"> </w:t>
      </w:r>
      <w:r>
        <w:rPr>
          <w:color w:val="231F20"/>
        </w:rPr>
        <w:t>118)</w:t>
      </w:r>
      <w:r>
        <w:rPr>
          <w:color w:val="231F20"/>
          <w:spacing w:val="18"/>
        </w:rPr>
        <w:t xml:space="preserve"> </w:t>
      </w:r>
      <w:r>
        <w:rPr>
          <w:color w:val="231F20"/>
        </w:rPr>
        <w:t>виконавчу</w:t>
      </w:r>
      <w:r>
        <w:rPr>
          <w:color w:val="231F20"/>
          <w:spacing w:val="18"/>
        </w:rPr>
        <w:t xml:space="preserve"> </w:t>
      </w:r>
      <w:r>
        <w:rPr>
          <w:color w:val="231F20"/>
        </w:rPr>
        <w:t>владу</w:t>
      </w:r>
      <w:r>
        <w:rPr>
          <w:color w:val="231F20"/>
          <w:spacing w:val="18"/>
        </w:rPr>
        <w:t xml:space="preserve"> </w:t>
      </w:r>
      <w:r>
        <w:rPr>
          <w:color w:val="231F20"/>
        </w:rPr>
        <w:t>в</w:t>
      </w:r>
      <w:r>
        <w:rPr>
          <w:color w:val="231F20"/>
          <w:spacing w:val="18"/>
        </w:rPr>
        <w:t xml:space="preserve"> </w:t>
      </w:r>
      <w:r>
        <w:rPr>
          <w:color w:val="231F20"/>
        </w:rPr>
        <w:t>областях</w:t>
      </w:r>
      <w:r>
        <w:rPr>
          <w:color w:val="231F20"/>
          <w:spacing w:val="20"/>
        </w:rPr>
        <w:t xml:space="preserve"> </w:t>
      </w:r>
      <w:r>
        <w:rPr>
          <w:color w:val="231F20"/>
        </w:rPr>
        <w:t>і</w:t>
      </w:r>
      <w:r>
        <w:rPr>
          <w:color w:val="231F20"/>
          <w:spacing w:val="18"/>
        </w:rPr>
        <w:t xml:space="preserve"> </w:t>
      </w:r>
      <w:r>
        <w:rPr>
          <w:color w:val="231F20"/>
        </w:rPr>
        <w:t>райо- нах, містах Києві та Севастополі здійснюють місцеві</w:t>
      </w:r>
      <w:r>
        <w:rPr>
          <w:color w:val="231F20"/>
          <w:spacing w:val="16"/>
        </w:rPr>
        <w:t xml:space="preserve"> </w:t>
      </w:r>
      <w:r>
        <w:rPr>
          <w:color w:val="231F20"/>
        </w:rPr>
        <w:t>державні</w:t>
      </w:r>
      <w:r>
        <w:rPr>
          <w:color w:val="231F20"/>
          <w:spacing w:val="8"/>
        </w:rPr>
        <w:t xml:space="preserve"> </w:t>
      </w:r>
      <w:r>
        <w:rPr>
          <w:color w:val="231F20"/>
        </w:rPr>
        <w:t>адмі- ністрації.</w:t>
      </w:r>
      <w:r>
        <w:rPr>
          <w:color w:val="231F20"/>
          <w:spacing w:val="-14"/>
        </w:rPr>
        <w:t xml:space="preserve"> </w:t>
      </w:r>
      <w:r>
        <w:rPr>
          <w:color w:val="231F20"/>
        </w:rPr>
        <w:t>Особливості</w:t>
      </w:r>
      <w:r>
        <w:rPr>
          <w:color w:val="231F20"/>
          <w:spacing w:val="-14"/>
        </w:rPr>
        <w:t xml:space="preserve"> </w:t>
      </w:r>
      <w:r>
        <w:rPr>
          <w:color w:val="231F20"/>
        </w:rPr>
        <w:t>здійснення</w:t>
      </w:r>
      <w:r>
        <w:rPr>
          <w:color w:val="231F20"/>
          <w:spacing w:val="-14"/>
        </w:rPr>
        <w:t xml:space="preserve"> </w:t>
      </w:r>
      <w:r>
        <w:rPr>
          <w:color w:val="231F20"/>
        </w:rPr>
        <w:t>виконавчої</w:t>
      </w:r>
      <w:r>
        <w:rPr>
          <w:color w:val="231F20"/>
          <w:spacing w:val="-13"/>
        </w:rPr>
        <w:t xml:space="preserve"> </w:t>
      </w:r>
      <w:r>
        <w:rPr>
          <w:color w:val="231F20"/>
        </w:rPr>
        <w:t>влади</w:t>
      </w:r>
      <w:r>
        <w:rPr>
          <w:color w:val="231F20"/>
          <w:spacing w:val="-13"/>
        </w:rPr>
        <w:t xml:space="preserve"> </w:t>
      </w:r>
      <w:r>
        <w:rPr>
          <w:color w:val="231F20"/>
        </w:rPr>
        <w:t>у</w:t>
      </w:r>
      <w:r>
        <w:rPr>
          <w:color w:val="231F20"/>
          <w:spacing w:val="-12"/>
        </w:rPr>
        <w:t xml:space="preserve"> </w:t>
      </w:r>
      <w:r>
        <w:rPr>
          <w:color w:val="231F20"/>
        </w:rPr>
        <w:t>містах</w:t>
      </w:r>
      <w:r>
        <w:rPr>
          <w:color w:val="231F20"/>
          <w:spacing w:val="-13"/>
        </w:rPr>
        <w:t xml:space="preserve"> </w:t>
      </w:r>
      <w:r>
        <w:rPr>
          <w:color w:val="231F20"/>
        </w:rPr>
        <w:t>Києві</w:t>
      </w:r>
      <w:r>
        <w:rPr>
          <w:color w:val="231F20"/>
          <w:spacing w:val="-13"/>
        </w:rPr>
        <w:t xml:space="preserve"> </w:t>
      </w:r>
      <w:r>
        <w:rPr>
          <w:color w:val="231F20"/>
        </w:rPr>
        <w:t>та</w:t>
      </w:r>
      <w:r>
        <w:rPr>
          <w:color w:val="231F20"/>
          <w:spacing w:val="-1"/>
        </w:rPr>
        <w:t xml:space="preserve"> </w:t>
      </w:r>
      <w:r>
        <w:rPr>
          <w:color w:val="231F20"/>
        </w:rPr>
        <w:t>Севастополі визначаються окре</w:t>
      </w:r>
      <w:r>
        <w:rPr>
          <w:color w:val="231F20"/>
        </w:rPr>
        <w:t>мими законами</w:t>
      </w:r>
      <w:r>
        <w:rPr>
          <w:color w:val="231F20"/>
          <w:spacing w:val="-33"/>
        </w:rPr>
        <w:t xml:space="preserve"> </w:t>
      </w:r>
      <w:r>
        <w:rPr>
          <w:color w:val="231F20"/>
          <w:spacing w:val="-3"/>
        </w:rPr>
        <w:t xml:space="preserve">України </w:t>
      </w:r>
      <w:r>
        <w:rPr>
          <w:color w:val="231F20"/>
        </w:rPr>
        <w:t>(напр.,</w:t>
      </w:r>
      <w:r>
        <w:rPr>
          <w:color w:val="231F20"/>
          <w:spacing w:val="-7"/>
        </w:rPr>
        <w:t xml:space="preserve"> </w:t>
      </w:r>
      <w:r>
        <w:rPr>
          <w:color w:val="231F20"/>
        </w:rPr>
        <w:t>щодо</w:t>
      </w:r>
      <w:r>
        <w:rPr>
          <w:color w:val="231F20"/>
          <w:spacing w:val="-1"/>
        </w:rPr>
        <w:t xml:space="preserve"> </w:t>
      </w:r>
      <w:r>
        <w:rPr>
          <w:color w:val="231F20"/>
        </w:rPr>
        <w:t>Києва</w:t>
      </w:r>
      <w:r>
        <w:rPr>
          <w:color w:val="231F20"/>
          <w:spacing w:val="-10"/>
        </w:rPr>
        <w:t xml:space="preserve"> </w:t>
      </w:r>
      <w:r>
        <w:rPr>
          <w:color w:val="231F20"/>
        </w:rPr>
        <w:t>–</w:t>
      </w:r>
      <w:r>
        <w:rPr>
          <w:color w:val="231F20"/>
          <w:spacing w:val="-10"/>
        </w:rPr>
        <w:t xml:space="preserve"> </w:t>
      </w:r>
      <w:r>
        <w:rPr>
          <w:color w:val="231F20"/>
        </w:rPr>
        <w:t>Законом</w:t>
      </w:r>
      <w:r>
        <w:rPr>
          <w:color w:val="231F20"/>
          <w:spacing w:val="-10"/>
        </w:rPr>
        <w:t xml:space="preserve"> </w:t>
      </w:r>
      <w:r>
        <w:rPr>
          <w:color w:val="231F20"/>
          <w:spacing w:val="-3"/>
        </w:rPr>
        <w:t>України</w:t>
      </w:r>
      <w:r>
        <w:rPr>
          <w:color w:val="231F20"/>
          <w:spacing w:val="-10"/>
        </w:rPr>
        <w:t xml:space="preserve"> </w:t>
      </w:r>
      <w:r>
        <w:rPr>
          <w:color w:val="231F20"/>
        </w:rPr>
        <w:t>«Про</w:t>
      </w:r>
      <w:r>
        <w:rPr>
          <w:color w:val="231F20"/>
          <w:spacing w:val="-10"/>
        </w:rPr>
        <w:t xml:space="preserve"> </w:t>
      </w:r>
      <w:r>
        <w:rPr>
          <w:color w:val="231F20"/>
        </w:rPr>
        <w:t>столицю</w:t>
      </w:r>
      <w:r>
        <w:rPr>
          <w:color w:val="231F20"/>
          <w:spacing w:val="-10"/>
        </w:rPr>
        <w:t xml:space="preserve"> </w:t>
      </w:r>
      <w:r>
        <w:rPr>
          <w:color w:val="231F20"/>
          <w:spacing w:val="-3"/>
        </w:rPr>
        <w:t>України</w:t>
      </w:r>
      <w:r>
        <w:rPr>
          <w:color w:val="231F20"/>
          <w:spacing w:val="-11"/>
        </w:rPr>
        <w:t xml:space="preserve"> </w:t>
      </w:r>
      <w:r>
        <w:rPr>
          <w:color w:val="231F20"/>
        </w:rPr>
        <w:t>–</w:t>
      </w:r>
      <w:r>
        <w:rPr>
          <w:color w:val="231F20"/>
          <w:spacing w:val="-10"/>
        </w:rPr>
        <w:t xml:space="preserve"> </w:t>
      </w:r>
      <w:r>
        <w:rPr>
          <w:color w:val="231F20"/>
        </w:rPr>
        <w:t>місто-герой</w:t>
      </w:r>
      <w:r>
        <w:rPr>
          <w:color w:val="231F20"/>
          <w:spacing w:val="-10"/>
        </w:rPr>
        <w:t xml:space="preserve"> </w:t>
      </w:r>
      <w:r>
        <w:rPr>
          <w:color w:val="231F20"/>
        </w:rPr>
        <w:t>Київ»). Слід</w:t>
      </w:r>
      <w:r>
        <w:rPr>
          <w:color w:val="231F20"/>
          <w:spacing w:val="28"/>
        </w:rPr>
        <w:t xml:space="preserve"> </w:t>
      </w:r>
      <w:r>
        <w:rPr>
          <w:color w:val="231F20"/>
        </w:rPr>
        <w:t>звернути</w:t>
      </w:r>
      <w:r>
        <w:rPr>
          <w:color w:val="231F20"/>
          <w:spacing w:val="28"/>
        </w:rPr>
        <w:t xml:space="preserve"> </w:t>
      </w:r>
      <w:r>
        <w:rPr>
          <w:color w:val="231F20"/>
          <w:spacing w:val="-3"/>
        </w:rPr>
        <w:t>увагу,</w:t>
      </w:r>
      <w:r>
        <w:rPr>
          <w:color w:val="231F20"/>
          <w:spacing w:val="28"/>
        </w:rPr>
        <w:t xml:space="preserve"> </w:t>
      </w:r>
      <w:r>
        <w:rPr>
          <w:color w:val="231F20"/>
        </w:rPr>
        <w:t>що</w:t>
      </w:r>
      <w:r>
        <w:rPr>
          <w:color w:val="231F20"/>
          <w:spacing w:val="28"/>
        </w:rPr>
        <w:t xml:space="preserve"> </w:t>
      </w:r>
      <w:r>
        <w:rPr>
          <w:i/>
          <w:color w:val="231F20"/>
        </w:rPr>
        <w:t>Президент</w:t>
      </w:r>
      <w:r>
        <w:rPr>
          <w:i/>
          <w:color w:val="231F20"/>
          <w:spacing w:val="28"/>
        </w:rPr>
        <w:t xml:space="preserve"> </w:t>
      </w:r>
      <w:r>
        <w:rPr>
          <w:i/>
          <w:color w:val="231F20"/>
        </w:rPr>
        <w:t>України</w:t>
      </w:r>
      <w:r>
        <w:rPr>
          <w:i/>
          <w:color w:val="231F20"/>
          <w:spacing w:val="28"/>
        </w:rPr>
        <w:t xml:space="preserve"> </w:t>
      </w:r>
      <w:r>
        <w:rPr>
          <w:color w:val="231F20"/>
        </w:rPr>
        <w:t>бере</w:t>
      </w:r>
      <w:r>
        <w:rPr>
          <w:color w:val="231F20"/>
          <w:spacing w:val="28"/>
        </w:rPr>
        <w:t xml:space="preserve"> </w:t>
      </w:r>
      <w:r>
        <w:rPr>
          <w:color w:val="231F20"/>
        </w:rPr>
        <w:t>безпосередню</w:t>
      </w:r>
      <w:r>
        <w:rPr>
          <w:color w:val="231F20"/>
          <w:spacing w:val="-1"/>
        </w:rPr>
        <w:t xml:space="preserve"> </w:t>
      </w:r>
      <w:r>
        <w:rPr>
          <w:color w:val="231F20"/>
        </w:rPr>
        <w:t>участь у формуванні та контролі за діяльністю</w:t>
      </w:r>
      <w:r>
        <w:rPr>
          <w:color w:val="231F20"/>
          <w:spacing w:val="-7"/>
        </w:rPr>
        <w:t xml:space="preserve"> </w:t>
      </w:r>
      <w:r>
        <w:rPr>
          <w:color w:val="231F20"/>
        </w:rPr>
        <w:t>місцевих</w:t>
      </w:r>
      <w:r>
        <w:rPr>
          <w:color w:val="231F20"/>
          <w:spacing w:val="37"/>
        </w:rPr>
        <w:t xml:space="preserve"> </w:t>
      </w:r>
      <w:r>
        <w:rPr>
          <w:color w:val="231F20"/>
        </w:rPr>
        <w:t xml:space="preserve">держав- них адміністрацій. </w:t>
      </w:r>
      <w:r>
        <w:rPr>
          <w:color w:val="231F20"/>
          <w:spacing w:val="-4"/>
        </w:rPr>
        <w:t xml:space="preserve">Так, </w:t>
      </w:r>
      <w:r>
        <w:rPr>
          <w:color w:val="231F20"/>
        </w:rPr>
        <w:t>голови місцевих</w:t>
      </w:r>
      <w:r>
        <w:rPr>
          <w:color w:val="231F20"/>
          <w:spacing w:val="21"/>
        </w:rPr>
        <w:t xml:space="preserve"> </w:t>
      </w:r>
      <w:r>
        <w:rPr>
          <w:color w:val="231F20"/>
        </w:rPr>
        <w:t>державних</w:t>
      </w:r>
      <w:r>
        <w:rPr>
          <w:color w:val="231F20"/>
          <w:spacing w:val="38"/>
        </w:rPr>
        <w:t xml:space="preserve"> </w:t>
      </w:r>
      <w:r>
        <w:rPr>
          <w:color w:val="231F20"/>
        </w:rPr>
        <w:t>адміністрацій</w:t>
      </w:r>
      <w:r>
        <w:rPr>
          <w:color w:val="231F20"/>
          <w:spacing w:val="-1"/>
        </w:rPr>
        <w:t xml:space="preserve"> </w:t>
      </w:r>
      <w:r>
        <w:rPr>
          <w:color w:val="231F20"/>
        </w:rPr>
        <w:t>призначаються</w:t>
      </w:r>
      <w:r>
        <w:rPr>
          <w:color w:val="231F20"/>
          <w:spacing w:val="20"/>
        </w:rPr>
        <w:t xml:space="preserve"> </w:t>
      </w:r>
      <w:r>
        <w:rPr>
          <w:color w:val="231F20"/>
        </w:rPr>
        <w:t>на</w:t>
      </w:r>
      <w:r>
        <w:rPr>
          <w:color w:val="231F20"/>
          <w:spacing w:val="20"/>
        </w:rPr>
        <w:t xml:space="preserve"> </w:t>
      </w:r>
      <w:r>
        <w:rPr>
          <w:color w:val="231F20"/>
        </w:rPr>
        <w:t>посаду</w:t>
      </w:r>
      <w:r>
        <w:rPr>
          <w:color w:val="231F20"/>
          <w:spacing w:val="20"/>
        </w:rPr>
        <w:t xml:space="preserve"> </w:t>
      </w:r>
      <w:r>
        <w:rPr>
          <w:color w:val="231F20"/>
        </w:rPr>
        <w:t>і</w:t>
      </w:r>
      <w:r>
        <w:rPr>
          <w:color w:val="231F20"/>
          <w:spacing w:val="20"/>
        </w:rPr>
        <w:t xml:space="preserve"> </w:t>
      </w:r>
      <w:r>
        <w:rPr>
          <w:color w:val="231F20"/>
        </w:rPr>
        <w:t>звільняються</w:t>
      </w:r>
      <w:r>
        <w:rPr>
          <w:color w:val="231F20"/>
          <w:spacing w:val="20"/>
        </w:rPr>
        <w:t xml:space="preserve"> </w:t>
      </w:r>
      <w:r>
        <w:rPr>
          <w:color w:val="231F20"/>
        </w:rPr>
        <w:t>з</w:t>
      </w:r>
      <w:r>
        <w:rPr>
          <w:color w:val="231F20"/>
          <w:spacing w:val="20"/>
        </w:rPr>
        <w:t xml:space="preserve"> </w:t>
      </w:r>
      <w:r>
        <w:rPr>
          <w:color w:val="231F20"/>
        </w:rPr>
        <w:t>посади</w:t>
      </w:r>
      <w:r>
        <w:rPr>
          <w:color w:val="231F20"/>
          <w:spacing w:val="20"/>
        </w:rPr>
        <w:t xml:space="preserve"> </w:t>
      </w:r>
      <w:r>
        <w:rPr>
          <w:color w:val="231F20"/>
        </w:rPr>
        <w:t>Президентом</w:t>
      </w:r>
      <w:r>
        <w:rPr>
          <w:color w:val="231F20"/>
          <w:spacing w:val="20"/>
        </w:rPr>
        <w:t xml:space="preserve"> </w:t>
      </w:r>
      <w:r>
        <w:rPr>
          <w:color w:val="231F20"/>
        </w:rPr>
        <w:t>за</w:t>
      </w:r>
    </w:p>
    <w:p w14:paraId="422B11D9" w14:textId="77777777" w:rsidR="00DE575E" w:rsidRDefault="002E7560">
      <w:pPr>
        <w:pStyle w:val="BodyText"/>
        <w:spacing w:before="7"/>
        <w:ind w:left="533"/>
      </w:pPr>
      <w:r>
        <w:rPr>
          <w:color w:val="231F20"/>
        </w:rPr>
        <w:t>поданням Кабінету Міністрів України.</w:t>
      </w:r>
    </w:p>
    <w:p w14:paraId="09588D2C" w14:textId="77777777" w:rsidR="00DE575E" w:rsidRDefault="002E7560">
      <w:pPr>
        <w:pStyle w:val="BodyText"/>
        <w:spacing w:before="13" w:line="252" w:lineRule="auto"/>
        <w:ind w:left="533" w:right="127" w:firstLine="283"/>
        <w:jc w:val="both"/>
      </w:pPr>
      <w:r>
        <w:rPr>
          <w:i/>
          <w:color w:val="231F20"/>
        </w:rPr>
        <w:t xml:space="preserve">Голови місцевих державних адміністрацій </w:t>
      </w:r>
      <w:r>
        <w:rPr>
          <w:color w:val="231F20"/>
        </w:rPr>
        <w:t>при здійсненні своїх повноважень відповідальні перед Президентом і Кабінетом Мініст- рів України, підзвітні та підконтрольні органам виконавчої влади вищого рівня.</w:t>
      </w:r>
    </w:p>
    <w:p w14:paraId="252C9492" w14:textId="77777777" w:rsidR="00DE575E" w:rsidRDefault="002E7560">
      <w:pPr>
        <w:spacing w:before="1" w:line="252" w:lineRule="auto"/>
        <w:ind w:left="533" w:right="126" w:firstLine="283"/>
        <w:jc w:val="both"/>
        <w:rPr>
          <w:sz w:val="21"/>
        </w:rPr>
      </w:pPr>
      <w:r>
        <w:rPr>
          <w:i/>
          <w:color w:val="231F20"/>
          <w:sz w:val="21"/>
        </w:rPr>
        <w:t xml:space="preserve">Склад місцевих державних адміністрацій формують голови місцевих державних адміністрацій. </w:t>
      </w:r>
      <w:r>
        <w:rPr>
          <w:color w:val="231F20"/>
          <w:sz w:val="21"/>
        </w:rPr>
        <w:t>Рек</w:t>
      </w:r>
      <w:r>
        <w:rPr>
          <w:color w:val="231F20"/>
          <w:sz w:val="21"/>
        </w:rPr>
        <w:t>омендаційні переліки управ- лінь, відділів та інших структурних підрозділів місцевих державних</w:t>
      </w:r>
    </w:p>
    <w:p w14:paraId="3A4C78BC" w14:textId="77777777" w:rsidR="00DE575E" w:rsidRDefault="00DE575E">
      <w:pPr>
        <w:pStyle w:val="BodyText"/>
        <w:spacing w:before="7"/>
        <w:rPr>
          <w:sz w:val="12"/>
        </w:rPr>
      </w:pPr>
    </w:p>
    <w:p w14:paraId="22C09A04" w14:textId="77777777" w:rsidR="00DE575E" w:rsidRDefault="002E7560">
      <w:pPr>
        <w:spacing w:before="92"/>
        <w:ind w:left="533"/>
        <w:rPr>
          <w:rFonts w:ascii="Times New Roman"/>
          <w:sz w:val="20"/>
        </w:rPr>
      </w:pPr>
      <w:r>
        <w:rPr>
          <w:rFonts w:ascii="Times New Roman"/>
          <w:color w:val="231F20"/>
          <w:sz w:val="20"/>
        </w:rPr>
        <w:t>114</w:t>
      </w:r>
    </w:p>
    <w:p w14:paraId="51E15D80" w14:textId="77777777" w:rsidR="00DE575E" w:rsidRDefault="00DE575E">
      <w:pPr>
        <w:rPr>
          <w:rFonts w:ascii="Times New Roman"/>
          <w:sz w:val="20"/>
        </w:rPr>
        <w:sectPr w:rsidR="00DE575E">
          <w:pgSz w:w="8510" w:h="12760"/>
          <w:pgMar w:top="660" w:right="720" w:bottom="280" w:left="600" w:header="720" w:footer="720" w:gutter="0"/>
          <w:cols w:space="720"/>
        </w:sectPr>
      </w:pPr>
    </w:p>
    <w:p w14:paraId="4DCCCD5E"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44EF6F22" w14:textId="15AD6E0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3B15699" wp14:editId="215A0639">
                <wp:extent cx="4140200" cy="6350"/>
                <wp:effectExtent l="0" t="0" r="12700" b="6350"/>
                <wp:docPr id="1118"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19" name="Line 111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311D58" id="Group_x0020_111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3NX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j9zV/AgAAnAUAAA4A&#10;AAAAAAAAAAAAAAAALAIAAGRycy9lMm9Eb2MueG1sUEsBAi0AFAAGAAgAAAAhAEynsJDZAAAAAwEA&#10;AA8AAAAAAAAAAAAAAAAA1wQAAGRycy9kb3ducmV2LnhtbFBLBQYAAAAABAAEAPMAAADdBQAAAAA=&#10;">
                <v:line id="Line_x0020_111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R+WsUAAADdAAAADwAAAGRycy9kb3ducmV2LnhtbERPzWrCQBC+C32HZQq9SN1EodjUVUqh&#10;ID1oTXyAMTtNQndnY3Y1aZ/eFQRv8/H9zmI1WCPO1PnGsYJ0koAgLp1uuFKwLz6f5yB8QNZoHJOC&#10;P/KwWj6MFphp1/OOznmoRAxhn6GCOoQ2k9KXNVn0E9cSR+7HdRZDhF0ldYd9DLdGTpPkRVpsODbU&#10;2NJHTeVvfrIKiuM4mO/tl+mL7WEmD8fN7P+0UerpcXh/AxFoCHfxzb3WcX6avsL1m3iCX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oR+WsUAAADdAAAADwAAAAAAAAAA&#10;AAAAAAChAgAAZHJzL2Rvd25yZXYueG1sUEsFBgAAAAAEAAQA+QAAAJMDAAAAAA==&#10;" strokecolor="#231f20" strokeweight=".5pt"/>
                <w10:anchorlock/>
              </v:group>
            </w:pict>
          </mc:Fallback>
        </mc:AlternateContent>
      </w:r>
    </w:p>
    <w:p w14:paraId="308738FB" w14:textId="77777777" w:rsidR="00DE575E" w:rsidRDefault="00DE575E">
      <w:pPr>
        <w:pStyle w:val="BodyText"/>
        <w:spacing w:before="7"/>
        <w:rPr>
          <w:rFonts w:ascii="AdonisC"/>
          <w:i/>
          <w:sz w:val="19"/>
        </w:rPr>
      </w:pPr>
    </w:p>
    <w:p w14:paraId="4EA1AF8D" w14:textId="77777777" w:rsidR="00DE575E" w:rsidRDefault="002E7560">
      <w:pPr>
        <w:pStyle w:val="BodyText"/>
        <w:spacing w:before="1" w:line="252" w:lineRule="auto"/>
        <w:ind w:left="250" w:right="411"/>
        <w:jc w:val="both"/>
      </w:pPr>
      <w:r>
        <w:rPr>
          <w:color w:val="231F20"/>
        </w:rPr>
        <w:t xml:space="preserve">адміністрацій, а також типові положення про них затверджуються Кабінетом  Міністрів  </w:t>
      </w:r>
      <w:r>
        <w:rPr>
          <w:color w:val="231F20"/>
          <w:spacing w:val="-3"/>
        </w:rPr>
        <w:t xml:space="preserve">України.  </w:t>
      </w:r>
      <w:r>
        <w:rPr>
          <w:color w:val="231F20"/>
        </w:rPr>
        <w:t xml:space="preserve">На  виконання  Конституції,  зако- нів </w:t>
      </w:r>
      <w:r>
        <w:rPr>
          <w:color w:val="231F20"/>
          <w:spacing w:val="-3"/>
        </w:rPr>
        <w:t xml:space="preserve">України, </w:t>
      </w:r>
      <w:r>
        <w:rPr>
          <w:color w:val="231F20"/>
        </w:rPr>
        <w:t xml:space="preserve">актів Президента </w:t>
      </w:r>
      <w:r>
        <w:rPr>
          <w:color w:val="231F20"/>
          <w:spacing w:val="-3"/>
        </w:rPr>
        <w:t xml:space="preserve">України, </w:t>
      </w:r>
      <w:r>
        <w:rPr>
          <w:color w:val="231F20"/>
          <w:spacing w:val="-9"/>
        </w:rPr>
        <w:t xml:space="preserve">КМУ, </w:t>
      </w:r>
      <w:r>
        <w:rPr>
          <w:color w:val="231F20"/>
        </w:rPr>
        <w:t>міністерств та інших центральних органів вико</w:t>
      </w:r>
      <w:r>
        <w:rPr>
          <w:color w:val="231F20"/>
        </w:rPr>
        <w:t>навчої влади, власних і делегованих повноважень голова місцевої державної адміністрації в межах своїх повноважень видає розпорядження, а керівники управлінь, відділів та інших структурних підрозділів –</w:t>
      </w:r>
      <w:r>
        <w:rPr>
          <w:color w:val="231F20"/>
          <w:spacing w:val="-5"/>
        </w:rPr>
        <w:t xml:space="preserve"> </w:t>
      </w:r>
      <w:r>
        <w:rPr>
          <w:color w:val="231F20"/>
        </w:rPr>
        <w:t>накази.</w:t>
      </w:r>
    </w:p>
    <w:p w14:paraId="2BD8A12C" w14:textId="77777777" w:rsidR="00DE575E" w:rsidRDefault="002E7560">
      <w:pPr>
        <w:spacing w:before="3" w:line="252" w:lineRule="auto"/>
        <w:ind w:left="250" w:right="411" w:firstLine="283"/>
        <w:jc w:val="both"/>
        <w:rPr>
          <w:sz w:val="21"/>
        </w:rPr>
      </w:pPr>
      <w:r>
        <w:rPr>
          <w:i/>
          <w:color w:val="231F20"/>
          <w:sz w:val="21"/>
        </w:rPr>
        <w:t>Важливо звернути увагу на подвійну підзвітність і підконтроль- ність  місцевих  державних  адміністрацій</w:t>
      </w:r>
      <w:r>
        <w:rPr>
          <w:color w:val="231F20"/>
          <w:sz w:val="21"/>
        </w:rPr>
        <w:t>,  а  саме:  вони  підзвітні   і підконтрольні радам у частині повноважень, делегованих їм відпо- відними районними чи обласними радами та органам викон</w:t>
      </w:r>
      <w:r>
        <w:rPr>
          <w:color w:val="231F20"/>
          <w:sz w:val="21"/>
        </w:rPr>
        <w:t>авчої влади вищого</w:t>
      </w:r>
      <w:r>
        <w:rPr>
          <w:color w:val="231F20"/>
          <w:spacing w:val="-2"/>
          <w:sz w:val="21"/>
        </w:rPr>
        <w:t xml:space="preserve"> </w:t>
      </w:r>
      <w:r>
        <w:rPr>
          <w:color w:val="231F20"/>
          <w:sz w:val="21"/>
        </w:rPr>
        <w:t>рівня.</w:t>
      </w:r>
    </w:p>
    <w:p w14:paraId="30ABCC82" w14:textId="77777777" w:rsidR="00DE575E" w:rsidRDefault="002E7560">
      <w:pPr>
        <w:pStyle w:val="BodyText"/>
        <w:spacing w:before="3" w:line="252" w:lineRule="auto"/>
        <w:ind w:left="250" w:right="409" w:firstLine="283"/>
        <w:jc w:val="both"/>
      </w:pPr>
      <w:r>
        <w:rPr>
          <w:color w:val="231F20"/>
        </w:rPr>
        <w:t>Рішення голів місцевих державних адміністрацій, що супере- чать Конституції та законам України, іншим актам законодавства України, можуть бути відповідно до закону скасовані Президен- том України або головою місцевої державної адм</w:t>
      </w:r>
      <w:r>
        <w:rPr>
          <w:color w:val="231F20"/>
        </w:rPr>
        <w:t>іністрації вищого рівня.</w:t>
      </w:r>
    </w:p>
    <w:p w14:paraId="49D1618E" w14:textId="77777777" w:rsidR="00DE575E" w:rsidRDefault="002E7560">
      <w:pPr>
        <w:pStyle w:val="BodyText"/>
        <w:spacing w:before="2" w:line="252" w:lineRule="auto"/>
        <w:ind w:left="250" w:right="411" w:firstLine="283"/>
        <w:jc w:val="both"/>
      </w:pPr>
      <w:r>
        <w:rPr>
          <w:color w:val="231F20"/>
        </w:rPr>
        <w:t>Обласна чи районна рада може висловити недовіру голові відпо- відної місцевої державної адміністрації, на підставі чого Президент України ухвалює рішення і дає обґрунтовану відповідь.</w:t>
      </w:r>
    </w:p>
    <w:p w14:paraId="0098659F" w14:textId="77777777" w:rsidR="00DE575E" w:rsidRDefault="002E7560">
      <w:pPr>
        <w:pStyle w:val="BodyText"/>
        <w:spacing w:before="2" w:line="252" w:lineRule="auto"/>
        <w:ind w:left="250" w:right="411" w:firstLine="283"/>
        <w:jc w:val="both"/>
      </w:pPr>
      <w:r>
        <w:rPr>
          <w:color w:val="231F20"/>
        </w:rPr>
        <w:t>Якщо недовіру голові районної чи обласної держа</w:t>
      </w:r>
      <w:r>
        <w:rPr>
          <w:color w:val="231F20"/>
        </w:rPr>
        <w:t>вної адмініст- рації висловили дві третини депутатів від складу відповідної ради, Президент України ухвалює рішення про відставку голови місцевої державної адміністрації.</w:t>
      </w:r>
    </w:p>
    <w:p w14:paraId="717F40DA" w14:textId="77777777" w:rsidR="00DE575E" w:rsidRDefault="002E7560">
      <w:pPr>
        <w:spacing w:before="2" w:line="252" w:lineRule="auto"/>
        <w:ind w:left="250" w:right="411" w:firstLine="283"/>
        <w:jc w:val="both"/>
        <w:rPr>
          <w:i/>
          <w:sz w:val="21"/>
        </w:rPr>
      </w:pPr>
      <w:r>
        <w:rPr>
          <w:i/>
          <w:color w:val="231F20"/>
          <w:sz w:val="21"/>
        </w:rPr>
        <w:t>Відповідно до ст. 119 Конституції України місцеві державні адмі- ністрації на відпові</w:t>
      </w:r>
      <w:r>
        <w:rPr>
          <w:i/>
          <w:color w:val="231F20"/>
          <w:sz w:val="21"/>
        </w:rPr>
        <w:t>дній території забезпечують:</w:t>
      </w:r>
    </w:p>
    <w:p w14:paraId="39E7DEF6" w14:textId="77777777" w:rsidR="00DE575E" w:rsidRDefault="002E7560">
      <w:pPr>
        <w:pStyle w:val="ListParagraph"/>
        <w:numPr>
          <w:ilvl w:val="0"/>
          <w:numId w:val="257"/>
        </w:numPr>
        <w:tabs>
          <w:tab w:val="left" w:pos="818"/>
        </w:tabs>
        <w:spacing w:line="252" w:lineRule="auto"/>
        <w:ind w:right="413" w:firstLine="283"/>
        <w:jc w:val="both"/>
        <w:rPr>
          <w:sz w:val="21"/>
        </w:rPr>
      </w:pPr>
      <w:r>
        <w:rPr>
          <w:color w:val="231F20"/>
          <w:sz w:val="21"/>
        </w:rPr>
        <w:t xml:space="preserve">виконання Конституції та законів </w:t>
      </w:r>
      <w:r>
        <w:rPr>
          <w:color w:val="231F20"/>
          <w:spacing w:val="-3"/>
          <w:sz w:val="21"/>
        </w:rPr>
        <w:t xml:space="preserve">України, </w:t>
      </w:r>
      <w:r>
        <w:rPr>
          <w:color w:val="231F20"/>
          <w:sz w:val="21"/>
        </w:rPr>
        <w:t xml:space="preserve">актів Президента </w:t>
      </w:r>
      <w:r>
        <w:rPr>
          <w:color w:val="231F20"/>
          <w:spacing w:val="-3"/>
          <w:sz w:val="21"/>
        </w:rPr>
        <w:t xml:space="preserve">України, </w:t>
      </w:r>
      <w:r>
        <w:rPr>
          <w:color w:val="231F20"/>
          <w:sz w:val="21"/>
        </w:rPr>
        <w:t xml:space="preserve">Кабінету Міністрів </w:t>
      </w:r>
      <w:r>
        <w:rPr>
          <w:color w:val="231F20"/>
          <w:spacing w:val="-3"/>
          <w:sz w:val="21"/>
        </w:rPr>
        <w:t xml:space="preserve">України, </w:t>
      </w:r>
      <w:r>
        <w:rPr>
          <w:color w:val="231F20"/>
          <w:sz w:val="21"/>
        </w:rPr>
        <w:t>інших органів виконавчої влади;</w:t>
      </w:r>
    </w:p>
    <w:p w14:paraId="0F615AD0" w14:textId="77777777" w:rsidR="00DE575E" w:rsidRDefault="002E7560">
      <w:pPr>
        <w:pStyle w:val="ListParagraph"/>
        <w:numPr>
          <w:ilvl w:val="0"/>
          <w:numId w:val="257"/>
        </w:numPr>
        <w:tabs>
          <w:tab w:val="left" w:pos="818"/>
        </w:tabs>
        <w:spacing w:line="252" w:lineRule="auto"/>
        <w:ind w:right="411" w:firstLine="283"/>
        <w:jc w:val="both"/>
        <w:rPr>
          <w:sz w:val="21"/>
        </w:rPr>
      </w:pPr>
      <w:r>
        <w:rPr>
          <w:color w:val="231F20"/>
          <w:sz w:val="21"/>
        </w:rPr>
        <w:t>законність і правопорядок; додержання прав і свобод громадян;</w:t>
      </w:r>
    </w:p>
    <w:p w14:paraId="24E59011" w14:textId="77777777" w:rsidR="00DE575E" w:rsidRDefault="002E7560">
      <w:pPr>
        <w:pStyle w:val="ListParagraph"/>
        <w:numPr>
          <w:ilvl w:val="0"/>
          <w:numId w:val="257"/>
        </w:numPr>
        <w:tabs>
          <w:tab w:val="left" w:pos="818"/>
        </w:tabs>
        <w:spacing w:line="252" w:lineRule="auto"/>
        <w:ind w:right="411" w:firstLine="283"/>
        <w:jc w:val="both"/>
        <w:rPr>
          <w:sz w:val="21"/>
        </w:rPr>
      </w:pPr>
      <w:r>
        <w:rPr>
          <w:color w:val="231F20"/>
          <w:sz w:val="21"/>
        </w:rPr>
        <w:t xml:space="preserve">виконання державних і регіональних програм соціально- економічного та культурного </w:t>
      </w:r>
      <w:r>
        <w:rPr>
          <w:color w:val="231F20"/>
          <w:spacing w:val="-3"/>
          <w:sz w:val="21"/>
        </w:rPr>
        <w:t xml:space="preserve">розвитку, </w:t>
      </w:r>
      <w:r>
        <w:rPr>
          <w:color w:val="231F20"/>
          <w:sz w:val="21"/>
        </w:rPr>
        <w:t>програм охорони довкілля, а в місцях компактного проживання корінних народів і національ- них меншин – також програм їх національно-культурного</w:t>
      </w:r>
      <w:r>
        <w:rPr>
          <w:color w:val="231F20"/>
          <w:spacing w:val="-34"/>
          <w:sz w:val="21"/>
        </w:rPr>
        <w:t xml:space="preserve"> </w:t>
      </w:r>
      <w:r>
        <w:rPr>
          <w:color w:val="231F20"/>
          <w:sz w:val="21"/>
        </w:rPr>
        <w:t>розвитку;</w:t>
      </w:r>
    </w:p>
    <w:p w14:paraId="15D49FFD" w14:textId="77777777" w:rsidR="00DE575E" w:rsidRDefault="002E7560">
      <w:pPr>
        <w:pStyle w:val="ListParagraph"/>
        <w:numPr>
          <w:ilvl w:val="0"/>
          <w:numId w:val="257"/>
        </w:numPr>
        <w:tabs>
          <w:tab w:val="left" w:pos="818"/>
        </w:tabs>
        <w:spacing w:before="2" w:line="252" w:lineRule="auto"/>
        <w:ind w:right="412" w:firstLine="283"/>
        <w:jc w:val="both"/>
        <w:rPr>
          <w:sz w:val="21"/>
        </w:rPr>
      </w:pPr>
      <w:r>
        <w:rPr>
          <w:color w:val="231F20"/>
          <w:sz w:val="21"/>
        </w:rPr>
        <w:t>підготовку</w:t>
      </w:r>
      <w:r>
        <w:rPr>
          <w:color w:val="231F20"/>
          <w:sz w:val="21"/>
        </w:rPr>
        <w:t xml:space="preserve"> та виконання відповідних обласних і районних бюджетів;</w:t>
      </w:r>
    </w:p>
    <w:p w14:paraId="190A6F26" w14:textId="77777777" w:rsidR="00DE575E" w:rsidRDefault="002E7560">
      <w:pPr>
        <w:pStyle w:val="ListParagraph"/>
        <w:numPr>
          <w:ilvl w:val="0"/>
          <w:numId w:val="257"/>
        </w:numPr>
        <w:tabs>
          <w:tab w:val="left" w:pos="818"/>
        </w:tabs>
        <w:ind w:firstLine="283"/>
        <w:rPr>
          <w:sz w:val="21"/>
        </w:rPr>
      </w:pPr>
      <w:r>
        <w:rPr>
          <w:color w:val="231F20"/>
          <w:sz w:val="21"/>
        </w:rPr>
        <w:t>звіт про виконання відповідних бюджетів та</w:t>
      </w:r>
      <w:r>
        <w:rPr>
          <w:color w:val="231F20"/>
          <w:spacing w:val="-6"/>
          <w:sz w:val="21"/>
        </w:rPr>
        <w:t xml:space="preserve"> </w:t>
      </w:r>
      <w:r>
        <w:rPr>
          <w:color w:val="231F20"/>
          <w:sz w:val="21"/>
        </w:rPr>
        <w:t>програм;</w:t>
      </w:r>
    </w:p>
    <w:p w14:paraId="4056CE29" w14:textId="77777777" w:rsidR="00DE575E" w:rsidRDefault="002E7560">
      <w:pPr>
        <w:pStyle w:val="ListParagraph"/>
        <w:numPr>
          <w:ilvl w:val="0"/>
          <w:numId w:val="257"/>
        </w:numPr>
        <w:tabs>
          <w:tab w:val="left" w:pos="818"/>
        </w:tabs>
        <w:spacing w:before="13"/>
        <w:ind w:firstLine="283"/>
        <w:rPr>
          <w:sz w:val="21"/>
        </w:rPr>
      </w:pPr>
      <w:r>
        <w:rPr>
          <w:color w:val="231F20"/>
          <w:sz w:val="21"/>
        </w:rPr>
        <w:t>взаємодію з органами місцевого</w:t>
      </w:r>
      <w:r>
        <w:rPr>
          <w:color w:val="231F20"/>
          <w:spacing w:val="-5"/>
          <w:sz w:val="21"/>
        </w:rPr>
        <w:t xml:space="preserve"> </w:t>
      </w:r>
      <w:r>
        <w:rPr>
          <w:color w:val="231F20"/>
          <w:sz w:val="21"/>
        </w:rPr>
        <w:t>самоврядування;</w:t>
      </w:r>
    </w:p>
    <w:p w14:paraId="5D2FCE10" w14:textId="77777777" w:rsidR="00DE575E" w:rsidRDefault="00DE575E">
      <w:pPr>
        <w:pStyle w:val="BodyText"/>
        <w:spacing w:before="5"/>
        <w:rPr>
          <w:sz w:val="13"/>
        </w:rPr>
      </w:pPr>
    </w:p>
    <w:p w14:paraId="0E012D7B" w14:textId="77777777" w:rsidR="00DE575E" w:rsidRDefault="002E7560">
      <w:pPr>
        <w:spacing w:before="92"/>
        <w:ind w:right="411"/>
        <w:jc w:val="right"/>
        <w:rPr>
          <w:rFonts w:ascii="Times New Roman"/>
          <w:sz w:val="20"/>
        </w:rPr>
      </w:pPr>
      <w:r>
        <w:rPr>
          <w:rFonts w:ascii="Times New Roman"/>
          <w:color w:val="231F20"/>
          <w:w w:val="90"/>
          <w:sz w:val="20"/>
        </w:rPr>
        <w:t>115</w:t>
      </w:r>
    </w:p>
    <w:p w14:paraId="5E3A903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7BB613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A8DC058" w14:textId="303470E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4946412" wp14:editId="4BCA6FEB">
                <wp:extent cx="4140200" cy="6350"/>
                <wp:effectExtent l="0" t="0" r="12700" b="6350"/>
                <wp:docPr id="1116"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17" name="Line 111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EE3E82" id="Group_x0020_111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GgII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uoaAggAIAAJwFAAAO&#10;AAAAAAAAAAAAAAAAACwCAABkcnMvZTJvRG9jLnhtbFBLAQItABQABgAIAAAAIQBMp7CQ2QAAAAMB&#10;AAAPAAAAAAAAAAAAAAAAANgEAABkcnMvZG93bnJldi54bWxQSwUGAAAAAAQABADzAAAA3gUAAAAA&#10;">
                <v:line id="Line_x0020_111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dPs8UAAADdAAAADwAAAGRycy9kb3ducmV2LnhtbERPzWrCQBC+C32HZQq9SN1EoZbUVUqh&#10;ID1oTXyAMTtNQndnY3Y1aZ/eFQRv8/H9zmI1WCPO1PnGsYJ0koAgLp1uuFKwLz6fX0H4gKzROCYF&#10;f+RhtXwYLTDTrucdnfNQiRjCPkMFdQhtJqUva7LoJ64ljtyP6yyGCLtK6g77GG6NnCbJi7TYcGyo&#10;saWPmsrf/GQVFMdxMN/bL9MX28NMHo6b2f9po9TT4/D+BiLQEO7im3ut4/w0ncP1m3iCX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FdPs8UAAADdAAAADwAAAAAAAAAA&#10;AAAAAAChAgAAZHJzL2Rvd25yZXYueG1sUEsFBgAAAAAEAAQA+QAAAJMDAAAAAA==&#10;" strokecolor="#231f20" strokeweight=".5pt"/>
                <w10:anchorlock/>
              </v:group>
            </w:pict>
          </mc:Fallback>
        </mc:AlternateContent>
      </w:r>
    </w:p>
    <w:p w14:paraId="6B18B460" w14:textId="77777777" w:rsidR="00DE575E" w:rsidRDefault="00DE575E">
      <w:pPr>
        <w:pStyle w:val="BodyText"/>
        <w:spacing w:before="7"/>
        <w:rPr>
          <w:rFonts w:ascii="AdonisC"/>
          <w:i/>
          <w:sz w:val="11"/>
        </w:rPr>
      </w:pPr>
    </w:p>
    <w:p w14:paraId="2DCCC0DC" w14:textId="77777777" w:rsidR="00DE575E" w:rsidRDefault="002E7560">
      <w:pPr>
        <w:pStyle w:val="BodyText"/>
        <w:spacing w:before="101" w:line="252" w:lineRule="auto"/>
        <w:ind w:left="533" w:right="130" w:firstLine="283"/>
        <w:jc w:val="both"/>
      </w:pPr>
      <w:r>
        <w:rPr>
          <w:color w:val="231F20"/>
        </w:rPr>
        <w:t>7) реалізацію інших наданих державою, а також делегованих відповідними радами повноважень.</w:t>
      </w:r>
    </w:p>
    <w:p w14:paraId="230F86AC" w14:textId="77777777" w:rsidR="00DE575E" w:rsidRDefault="002E7560">
      <w:pPr>
        <w:pStyle w:val="BodyText"/>
        <w:spacing w:before="1" w:line="252" w:lineRule="auto"/>
        <w:ind w:left="533" w:right="127" w:firstLine="283"/>
        <w:jc w:val="both"/>
      </w:pPr>
      <w:r>
        <w:rPr>
          <w:color w:val="231F20"/>
          <w:spacing w:val="-3"/>
        </w:rPr>
        <w:t xml:space="preserve">Урядом </w:t>
      </w:r>
      <w:r>
        <w:rPr>
          <w:color w:val="231F20"/>
        </w:rPr>
        <w:t>Автономної Республіки Крим є Рада міністрів</w:t>
      </w:r>
      <w:r>
        <w:rPr>
          <w:color w:val="231F20"/>
          <w:spacing w:val="-33"/>
        </w:rPr>
        <w:t xml:space="preserve"> </w:t>
      </w:r>
      <w:r>
        <w:rPr>
          <w:color w:val="231F20"/>
        </w:rPr>
        <w:t xml:space="preserve">Республіки. </w:t>
      </w:r>
      <w:r>
        <w:rPr>
          <w:color w:val="231F20"/>
          <w:spacing w:val="-3"/>
        </w:rPr>
        <w:t xml:space="preserve">Голова </w:t>
      </w:r>
      <w:r>
        <w:rPr>
          <w:color w:val="231F20"/>
        </w:rPr>
        <w:t xml:space="preserve">Ради міністрів АРК призначається на посаду та звільняється з посади Верховною Радою АРК за погодженням із Президентом </w:t>
      </w:r>
      <w:r>
        <w:rPr>
          <w:color w:val="231F20"/>
          <w:spacing w:val="-3"/>
        </w:rPr>
        <w:t>України.</w:t>
      </w:r>
    </w:p>
    <w:p w14:paraId="25AE4AA7" w14:textId="77777777" w:rsidR="00DE575E" w:rsidRDefault="002E7560">
      <w:pPr>
        <w:pStyle w:val="BodyText"/>
        <w:spacing w:before="2" w:line="252" w:lineRule="auto"/>
        <w:ind w:left="533" w:right="128" w:firstLine="283"/>
        <w:jc w:val="both"/>
      </w:pPr>
      <w:r>
        <w:rPr>
          <w:i/>
          <w:color w:val="231F20"/>
          <w:spacing w:val="-3"/>
        </w:rPr>
        <w:t xml:space="preserve">Місцеві </w:t>
      </w:r>
      <w:r>
        <w:rPr>
          <w:i/>
          <w:color w:val="231F20"/>
          <w:spacing w:val="-4"/>
        </w:rPr>
        <w:t xml:space="preserve">державні </w:t>
      </w:r>
      <w:r>
        <w:rPr>
          <w:i/>
          <w:color w:val="231F20"/>
          <w:spacing w:val="-3"/>
        </w:rPr>
        <w:t xml:space="preserve">адміністрації очолюються </w:t>
      </w:r>
      <w:r>
        <w:rPr>
          <w:color w:val="231F20"/>
        </w:rPr>
        <w:t xml:space="preserve">головами </w:t>
      </w:r>
      <w:r>
        <w:rPr>
          <w:color w:val="231F20"/>
          <w:spacing w:val="-3"/>
        </w:rPr>
        <w:t xml:space="preserve">відповід- </w:t>
      </w:r>
      <w:r>
        <w:rPr>
          <w:color w:val="231F20"/>
        </w:rPr>
        <w:t xml:space="preserve">них </w:t>
      </w:r>
      <w:r>
        <w:rPr>
          <w:color w:val="231F20"/>
          <w:spacing w:val="-3"/>
        </w:rPr>
        <w:t xml:space="preserve">місцевих державних адміністрацій. </w:t>
      </w:r>
      <w:r>
        <w:rPr>
          <w:color w:val="231F20"/>
          <w:spacing w:val="-4"/>
        </w:rPr>
        <w:t xml:space="preserve">Розпорядження </w:t>
      </w:r>
      <w:r>
        <w:rPr>
          <w:color w:val="231F20"/>
        </w:rPr>
        <w:t xml:space="preserve">голів </w:t>
      </w:r>
      <w:r>
        <w:rPr>
          <w:color w:val="231F20"/>
          <w:spacing w:val="-3"/>
        </w:rPr>
        <w:t>адміні- ст</w:t>
      </w:r>
      <w:r>
        <w:rPr>
          <w:color w:val="231F20"/>
          <w:spacing w:val="-3"/>
        </w:rPr>
        <w:t>рацій,</w:t>
      </w:r>
      <w:r>
        <w:rPr>
          <w:color w:val="231F20"/>
          <w:spacing w:val="-10"/>
        </w:rPr>
        <w:t xml:space="preserve"> </w:t>
      </w:r>
      <w:r>
        <w:rPr>
          <w:color w:val="231F20"/>
          <w:spacing w:val="-3"/>
        </w:rPr>
        <w:t>ухвалені</w:t>
      </w:r>
      <w:r>
        <w:rPr>
          <w:color w:val="231F20"/>
          <w:spacing w:val="-10"/>
        </w:rPr>
        <w:t xml:space="preserve"> </w:t>
      </w:r>
      <w:r>
        <w:rPr>
          <w:color w:val="231F20"/>
        </w:rPr>
        <w:t>в</w:t>
      </w:r>
      <w:r>
        <w:rPr>
          <w:color w:val="231F20"/>
          <w:spacing w:val="-10"/>
        </w:rPr>
        <w:t xml:space="preserve"> </w:t>
      </w:r>
      <w:r>
        <w:rPr>
          <w:color w:val="231F20"/>
          <w:spacing w:val="-3"/>
        </w:rPr>
        <w:t>межах</w:t>
      </w:r>
      <w:r>
        <w:rPr>
          <w:color w:val="231F20"/>
          <w:spacing w:val="-10"/>
        </w:rPr>
        <w:t xml:space="preserve"> </w:t>
      </w:r>
      <w:r>
        <w:rPr>
          <w:color w:val="231F20"/>
        </w:rPr>
        <w:t>їх</w:t>
      </w:r>
      <w:r>
        <w:rPr>
          <w:color w:val="231F20"/>
          <w:spacing w:val="-10"/>
        </w:rPr>
        <w:t xml:space="preserve"> </w:t>
      </w:r>
      <w:r>
        <w:rPr>
          <w:color w:val="231F20"/>
          <w:spacing w:val="-3"/>
        </w:rPr>
        <w:t>компетенції</w:t>
      </w:r>
      <w:r>
        <w:rPr>
          <w:color w:val="231F20"/>
          <w:spacing w:val="-10"/>
        </w:rPr>
        <w:t xml:space="preserve"> </w:t>
      </w:r>
      <w:r>
        <w:rPr>
          <w:color w:val="231F20"/>
        </w:rPr>
        <w:t>та</w:t>
      </w:r>
      <w:r>
        <w:rPr>
          <w:color w:val="231F20"/>
          <w:spacing w:val="-10"/>
        </w:rPr>
        <w:t xml:space="preserve"> </w:t>
      </w:r>
      <w:r>
        <w:rPr>
          <w:color w:val="231F20"/>
          <w:spacing w:val="-3"/>
        </w:rPr>
        <w:t>зареєстровані</w:t>
      </w:r>
      <w:r>
        <w:rPr>
          <w:color w:val="231F20"/>
          <w:spacing w:val="-10"/>
        </w:rPr>
        <w:t xml:space="preserve"> </w:t>
      </w:r>
      <w:r>
        <w:rPr>
          <w:color w:val="231F20"/>
        </w:rPr>
        <w:t>в</w:t>
      </w:r>
      <w:r>
        <w:rPr>
          <w:color w:val="231F20"/>
          <w:spacing w:val="-11"/>
        </w:rPr>
        <w:t xml:space="preserve"> </w:t>
      </w:r>
      <w:r>
        <w:rPr>
          <w:color w:val="231F20"/>
          <w:spacing w:val="-3"/>
        </w:rPr>
        <w:t xml:space="preserve">управлінні </w:t>
      </w:r>
      <w:r>
        <w:rPr>
          <w:color w:val="231F20"/>
        </w:rPr>
        <w:t xml:space="preserve">(головному) </w:t>
      </w:r>
      <w:r>
        <w:rPr>
          <w:color w:val="231F20"/>
          <w:spacing w:val="-3"/>
        </w:rPr>
        <w:t xml:space="preserve">Міністерства юстиції, </w:t>
      </w:r>
      <w:r>
        <w:rPr>
          <w:color w:val="231F20"/>
        </w:rPr>
        <w:t xml:space="preserve">є </w:t>
      </w:r>
      <w:r>
        <w:rPr>
          <w:color w:val="231F20"/>
          <w:spacing w:val="-3"/>
        </w:rPr>
        <w:t xml:space="preserve">обов’язковими </w:t>
      </w:r>
      <w:r>
        <w:rPr>
          <w:color w:val="231F20"/>
        </w:rPr>
        <w:t xml:space="preserve">для </w:t>
      </w:r>
      <w:r>
        <w:rPr>
          <w:color w:val="231F20"/>
          <w:spacing w:val="-3"/>
        </w:rPr>
        <w:t xml:space="preserve">виконання на відповідній території всіма органами, підприємствами, </w:t>
      </w:r>
      <w:r>
        <w:rPr>
          <w:color w:val="231F20"/>
          <w:spacing w:val="-4"/>
        </w:rPr>
        <w:t xml:space="preserve">установами </w:t>
      </w:r>
      <w:r>
        <w:rPr>
          <w:color w:val="231F20"/>
          <w:spacing w:val="-3"/>
        </w:rPr>
        <w:t xml:space="preserve">та організаціями, посадовими </w:t>
      </w:r>
      <w:r>
        <w:rPr>
          <w:color w:val="231F20"/>
        </w:rPr>
        <w:t>особами та</w:t>
      </w:r>
      <w:r>
        <w:rPr>
          <w:color w:val="231F20"/>
          <w:spacing w:val="-15"/>
        </w:rPr>
        <w:t xml:space="preserve"> </w:t>
      </w:r>
      <w:r>
        <w:rPr>
          <w:color w:val="231F20"/>
          <w:spacing w:val="-3"/>
        </w:rPr>
        <w:t>громадянами.</w:t>
      </w:r>
    </w:p>
    <w:p w14:paraId="2A72BE2A" w14:textId="77777777" w:rsidR="00DE575E" w:rsidRDefault="002E7560">
      <w:pPr>
        <w:pStyle w:val="BodyText"/>
        <w:spacing w:before="3" w:line="252" w:lineRule="auto"/>
        <w:ind w:left="533" w:right="126" w:firstLine="283"/>
        <w:jc w:val="both"/>
      </w:pPr>
      <w:r>
        <w:rPr>
          <w:color w:val="231F20"/>
        </w:rPr>
        <w:t>Для реалізації наданих повноважень місцеві державні адмініст- рації</w:t>
      </w:r>
      <w:r>
        <w:rPr>
          <w:color w:val="231F20"/>
          <w:spacing w:val="-10"/>
        </w:rPr>
        <w:t xml:space="preserve"> </w:t>
      </w:r>
      <w:r>
        <w:rPr>
          <w:color w:val="231F20"/>
        </w:rPr>
        <w:t>мають</w:t>
      </w:r>
      <w:r>
        <w:rPr>
          <w:color w:val="231F20"/>
          <w:spacing w:val="-10"/>
        </w:rPr>
        <w:t xml:space="preserve"> </w:t>
      </w:r>
      <w:r>
        <w:rPr>
          <w:color w:val="231F20"/>
        </w:rPr>
        <w:t>право:</w:t>
      </w:r>
      <w:r>
        <w:rPr>
          <w:color w:val="231F20"/>
          <w:spacing w:val="-10"/>
        </w:rPr>
        <w:t xml:space="preserve"> </w:t>
      </w:r>
      <w:r>
        <w:rPr>
          <w:color w:val="231F20"/>
        </w:rPr>
        <w:t>перевіряти</w:t>
      </w:r>
      <w:r>
        <w:rPr>
          <w:color w:val="231F20"/>
          <w:spacing w:val="-10"/>
        </w:rPr>
        <w:t xml:space="preserve"> </w:t>
      </w:r>
      <w:r>
        <w:rPr>
          <w:color w:val="231F20"/>
        </w:rPr>
        <w:t>стан</w:t>
      </w:r>
      <w:r>
        <w:rPr>
          <w:color w:val="231F20"/>
          <w:spacing w:val="-10"/>
        </w:rPr>
        <w:t xml:space="preserve"> </w:t>
      </w:r>
      <w:r>
        <w:rPr>
          <w:color w:val="231F20"/>
        </w:rPr>
        <w:t>додержання</w:t>
      </w:r>
      <w:r>
        <w:rPr>
          <w:color w:val="231F20"/>
          <w:spacing w:val="-10"/>
        </w:rPr>
        <w:t xml:space="preserve"> </w:t>
      </w:r>
      <w:r>
        <w:rPr>
          <w:color w:val="231F20"/>
        </w:rPr>
        <w:t>Конституції</w:t>
      </w:r>
      <w:r>
        <w:rPr>
          <w:color w:val="231F20"/>
          <w:spacing w:val="-10"/>
        </w:rPr>
        <w:t xml:space="preserve"> </w:t>
      </w:r>
      <w:r>
        <w:rPr>
          <w:color w:val="231F20"/>
        </w:rPr>
        <w:t>та</w:t>
      </w:r>
      <w:r>
        <w:rPr>
          <w:color w:val="231F20"/>
          <w:spacing w:val="-10"/>
        </w:rPr>
        <w:t xml:space="preserve"> </w:t>
      </w:r>
      <w:r>
        <w:rPr>
          <w:color w:val="231F20"/>
        </w:rPr>
        <w:t xml:space="preserve">зако- нів </w:t>
      </w:r>
      <w:r>
        <w:rPr>
          <w:color w:val="231F20"/>
          <w:spacing w:val="-3"/>
        </w:rPr>
        <w:t xml:space="preserve">України, </w:t>
      </w:r>
      <w:r>
        <w:rPr>
          <w:color w:val="231F20"/>
        </w:rPr>
        <w:t>інших актів законодавства органами місцевого само- врядування та їх посадовими особами, керівниками підприємств, у</w:t>
      </w:r>
      <w:r>
        <w:rPr>
          <w:color w:val="231F20"/>
        </w:rPr>
        <w:t>станов,</w:t>
      </w:r>
      <w:r>
        <w:rPr>
          <w:color w:val="231F20"/>
          <w:spacing w:val="-10"/>
        </w:rPr>
        <w:t xml:space="preserve"> </w:t>
      </w:r>
      <w:r>
        <w:rPr>
          <w:color w:val="231F20"/>
        </w:rPr>
        <w:t>організацій,</w:t>
      </w:r>
      <w:r>
        <w:rPr>
          <w:color w:val="231F20"/>
          <w:spacing w:val="-10"/>
        </w:rPr>
        <w:t xml:space="preserve"> </w:t>
      </w:r>
      <w:r>
        <w:rPr>
          <w:color w:val="231F20"/>
        </w:rPr>
        <w:t>їх</w:t>
      </w:r>
      <w:r>
        <w:rPr>
          <w:color w:val="231F20"/>
          <w:spacing w:val="-10"/>
        </w:rPr>
        <w:t xml:space="preserve"> </w:t>
      </w:r>
      <w:r>
        <w:rPr>
          <w:color w:val="231F20"/>
        </w:rPr>
        <w:t>філіалів</w:t>
      </w:r>
      <w:r>
        <w:rPr>
          <w:color w:val="231F20"/>
          <w:spacing w:val="-10"/>
        </w:rPr>
        <w:t xml:space="preserve"> </w:t>
      </w:r>
      <w:r>
        <w:rPr>
          <w:color w:val="231F20"/>
        </w:rPr>
        <w:t>і</w:t>
      </w:r>
      <w:r>
        <w:rPr>
          <w:color w:val="231F20"/>
          <w:spacing w:val="-9"/>
        </w:rPr>
        <w:t xml:space="preserve"> </w:t>
      </w:r>
      <w:r>
        <w:rPr>
          <w:color w:val="231F20"/>
        </w:rPr>
        <w:t>відділень</w:t>
      </w:r>
      <w:r>
        <w:rPr>
          <w:color w:val="231F20"/>
          <w:spacing w:val="-10"/>
        </w:rPr>
        <w:t xml:space="preserve"> </w:t>
      </w:r>
      <w:r>
        <w:rPr>
          <w:color w:val="231F20"/>
        </w:rPr>
        <w:t>незалежно</w:t>
      </w:r>
      <w:r>
        <w:rPr>
          <w:color w:val="231F20"/>
          <w:spacing w:val="-10"/>
        </w:rPr>
        <w:t xml:space="preserve"> </w:t>
      </w:r>
      <w:r>
        <w:rPr>
          <w:color w:val="231F20"/>
        </w:rPr>
        <w:t>від</w:t>
      </w:r>
      <w:r>
        <w:rPr>
          <w:color w:val="231F20"/>
          <w:spacing w:val="-10"/>
        </w:rPr>
        <w:t xml:space="preserve"> </w:t>
      </w:r>
      <w:r>
        <w:rPr>
          <w:color w:val="231F20"/>
        </w:rPr>
        <w:t>форм</w:t>
      </w:r>
      <w:r>
        <w:rPr>
          <w:color w:val="231F20"/>
          <w:spacing w:val="-10"/>
        </w:rPr>
        <w:t xml:space="preserve"> </w:t>
      </w:r>
      <w:r>
        <w:rPr>
          <w:color w:val="231F20"/>
        </w:rPr>
        <w:t>влас- ності та підпорядкування; залучати вчених, спеціалістів, представ- ників громадськості до проведення перевірок; одержувати відпо- відну статистичну інформацію; давати розпорядження керів</w:t>
      </w:r>
      <w:r>
        <w:rPr>
          <w:color w:val="231F20"/>
        </w:rPr>
        <w:t>никам підприємств, установ, організацій, їх філіалів і відділень незалежно від форм власності та громадянам з контрольованих питань, пору- шувати питання про їх відповідальність.</w:t>
      </w:r>
    </w:p>
    <w:p w14:paraId="0EF60E67" w14:textId="77777777" w:rsidR="00DE575E" w:rsidRDefault="002E7560">
      <w:pPr>
        <w:pStyle w:val="BodyText"/>
        <w:spacing w:before="5" w:line="252" w:lineRule="auto"/>
        <w:ind w:left="533" w:right="128" w:firstLine="283"/>
        <w:jc w:val="both"/>
      </w:pPr>
      <w:r>
        <w:rPr>
          <w:color w:val="231F20"/>
        </w:rPr>
        <w:t>Для правового, організаційного, матеріально-технічного та іншого забезпечення</w:t>
      </w:r>
      <w:r>
        <w:rPr>
          <w:color w:val="231F20"/>
        </w:rPr>
        <w:t xml:space="preserve"> діяльності місцевої державної адміністрації, підготовки аналітичних, інформаційних та інших матеріалів, систе- матичної</w:t>
      </w:r>
      <w:r>
        <w:rPr>
          <w:color w:val="231F20"/>
          <w:spacing w:val="-11"/>
        </w:rPr>
        <w:t xml:space="preserve"> </w:t>
      </w:r>
      <w:r>
        <w:rPr>
          <w:color w:val="231F20"/>
        </w:rPr>
        <w:t>перевірки</w:t>
      </w:r>
      <w:r>
        <w:rPr>
          <w:color w:val="231F20"/>
          <w:spacing w:val="-11"/>
        </w:rPr>
        <w:t xml:space="preserve"> </w:t>
      </w:r>
      <w:r>
        <w:rPr>
          <w:color w:val="231F20"/>
        </w:rPr>
        <w:t>виконання</w:t>
      </w:r>
      <w:r>
        <w:rPr>
          <w:color w:val="231F20"/>
          <w:spacing w:val="-11"/>
        </w:rPr>
        <w:t xml:space="preserve"> </w:t>
      </w:r>
      <w:r>
        <w:rPr>
          <w:color w:val="231F20"/>
        </w:rPr>
        <w:t>актів</w:t>
      </w:r>
      <w:r>
        <w:rPr>
          <w:color w:val="231F20"/>
          <w:spacing w:val="-11"/>
        </w:rPr>
        <w:t xml:space="preserve"> </w:t>
      </w:r>
      <w:r>
        <w:rPr>
          <w:color w:val="231F20"/>
        </w:rPr>
        <w:t>законодавства</w:t>
      </w:r>
      <w:r>
        <w:rPr>
          <w:color w:val="231F20"/>
          <w:spacing w:val="-11"/>
        </w:rPr>
        <w:t xml:space="preserve"> </w:t>
      </w:r>
      <w:r>
        <w:rPr>
          <w:color w:val="231F20"/>
        </w:rPr>
        <w:t>й</w:t>
      </w:r>
      <w:r>
        <w:rPr>
          <w:color w:val="231F20"/>
          <w:spacing w:val="-12"/>
        </w:rPr>
        <w:t xml:space="preserve"> </w:t>
      </w:r>
      <w:r>
        <w:rPr>
          <w:color w:val="231F20"/>
        </w:rPr>
        <w:t>розпоряджень місцевої</w:t>
      </w:r>
      <w:r>
        <w:rPr>
          <w:color w:val="231F20"/>
          <w:spacing w:val="-12"/>
        </w:rPr>
        <w:t xml:space="preserve"> </w:t>
      </w:r>
      <w:r>
        <w:rPr>
          <w:color w:val="231F20"/>
        </w:rPr>
        <w:t>державної</w:t>
      </w:r>
      <w:r>
        <w:rPr>
          <w:color w:val="231F20"/>
          <w:spacing w:val="-12"/>
        </w:rPr>
        <w:t xml:space="preserve"> </w:t>
      </w:r>
      <w:r>
        <w:rPr>
          <w:color w:val="231F20"/>
        </w:rPr>
        <w:t>адміністрації,</w:t>
      </w:r>
      <w:r>
        <w:rPr>
          <w:color w:val="231F20"/>
          <w:spacing w:val="-12"/>
        </w:rPr>
        <w:t xml:space="preserve"> </w:t>
      </w:r>
      <w:r>
        <w:rPr>
          <w:color w:val="231F20"/>
        </w:rPr>
        <w:t>надання</w:t>
      </w:r>
      <w:r>
        <w:rPr>
          <w:color w:val="231F20"/>
          <w:spacing w:val="-12"/>
        </w:rPr>
        <w:t xml:space="preserve"> </w:t>
      </w:r>
      <w:r>
        <w:rPr>
          <w:color w:val="231F20"/>
        </w:rPr>
        <w:t>методичної</w:t>
      </w:r>
      <w:r>
        <w:rPr>
          <w:color w:val="231F20"/>
          <w:spacing w:val="-12"/>
        </w:rPr>
        <w:t xml:space="preserve"> </w:t>
      </w:r>
      <w:r>
        <w:rPr>
          <w:color w:val="231F20"/>
        </w:rPr>
        <w:t>та</w:t>
      </w:r>
      <w:r>
        <w:rPr>
          <w:color w:val="231F20"/>
          <w:spacing w:val="-12"/>
        </w:rPr>
        <w:t xml:space="preserve"> </w:t>
      </w:r>
      <w:r>
        <w:rPr>
          <w:color w:val="231F20"/>
        </w:rPr>
        <w:t>іншої</w:t>
      </w:r>
      <w:r>
        <w:rPr>
          <w:color w:val="231F20"/>
          <w:spacing w:val="-12"/>
        </w:rPr>
        <w:t xml:space="preserve"> </w:t>
      </w:r>
      <w:r>
        <w:rPr>
          <w:color w:val="231F20"/>
        </w:rPr>
        <w:t>прак- тичної допом</w:t>
      </w:r>
      <w:r>
        <w:rPr>
          <w:color w:val="231F20"/>
        </w:rPr>
        <w:t>оги місцевим державним адміністраціям й органам місцевого самоврядування головою місцевої державної адмініст- рації утворюється апарат місцевої державної адміністрації в межах виділених бюджетних</w:t>
      </w:r>
      <w:r>
        <w:rPr>
          <w:color w:val="231F20"/>
          <w:spacing w:val="-2"/>
        </w:rPr>
        <w:t xml:space="preserve"> </w:t>
      </w:r>
      <w:r>
        <w:rPr>
          <w:color w:val="231F20"/>
        </w:rPr>
        <w:t>коштів.</w:t>
      </w:r>
    </w:p>
    <w:p w14:paraId="1093414A" w14:textId="77777777" w:rsidR="00DE575E" w:rsidRDefault="002E7560">
      <w:pPr>
        <w:pStyle w:val="Heading5"/>
        <w:spacing w:before="4" w:line="252" w:lineRule="auto"/>
        <w:ind w:right="127" w:firstLine="283"/>
        <w:jc w:val="both"/>
      </w:pPr>
      <w:r>
        <w:rPr>
          <w:color w:val="231F20"/>
        </w:rPr>
        <w:t xml:space="preserve">Отже, місцеві державні адміністрації – це органи виконав- чої влади, які здійснюють таку владу (публічне адміністру- вання) на території відповідної адміністративно-територіаль- ної одиниці, а також реалізують повноваження, делеговані їм відповідною радою </w:t>
      </w:r>
      <w:r>
        <w:rPr>
          <w:color w:val="231F20"/>
        </w:rPr>
        <w:t xml:space="preserve">з метою забезпечення прав і </w:t>
      </w:r>
      <w:r>
        <w:rPr>
          <w:color w:val="231F20"/>
          <w:spacing w:val="-3"/>
        </w:rPr>
        <w:t xml:space="preserve">свобод </w:t>
      </w:r>
      <w:r>
        <w:rPr>
          <w:color w:val="231F20"/>
        </w:rPr>
        <w:t>людини та громадянина, нормального функціонування громадянського суспільства.</w:t>
      </w:r>
    </w:p>
    <w:p w14:paraId="7C3C6C60" w14:textId="77777777" w:rsidR="00DE575E" w:rsidRDefault="00DE575E">
      <w:pPr>
        <w:pStyle w:val="BodyText"/>
        <w:spacing w:before="8"/>
        <w:rPr>
          <w:b/>
          <w:sz w:val="12"/>
        </w:rPr>
      </w:pPr>
    </w:p>
    <w:p w14:paraId="35169D6E" w14:textId="77777777" w:rsidR="00DE575E" w:rsidRDefault="002E7560">
      <w:pPr>
        <w:spacing w:before="92"/>
        <w:ind w:left="533"/>
        <w:rPr>
          <w:rFonts w:ascii="Times New Roman"/>
          <w:sz w:val="20"/>
        </w:rPr>
      </w:pPr>
      <w:r>
        <w:rPr>
          <w:rFonts w:ascii="Times New Roman"/>
          <w:color w:val="231F20"/>
          <w:sz w:val="20"/>
        </w:rPr>
        <w:t>116</w:t>
      </w:r>
    </w:p>
    <w:p w14:paraId="3FA256DC" w14:textId="77777777" w:rsidR="00DE575E" w:rsidRDefault="00DE575E">
      <w:pPr>
        <w:rPr>
          <w:rFonts w:ascii="Times New Roman"/>
          <w:sz w:val="20"/>
        </w:rPr>
        <w:sectPr w:rsidR="00DE575E">
          <w:pgSz w:w="8510" w:h="12760"/>
          <w:pgMar w:top="660" w:right="720" w:bottom="280" w:left="600" w:header="720" w:footer="720" w:gutter="0"/>
          <w:cols w:space="720"/>
        </w:sectPr>
      </w:pPr>
    </w:p>
    <w:p w14:paraId="51EAFDDA"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3F197C6C" w14:textId="577A5ED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DF73C68" wp14:editId="110066F4">
                <wp:extent cx="4140200" cy="6350"/>
                <wp:effectExtent l="0" t="0" r="12700" b="6350"/>
                <wp:docPr id="1114"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15" name="Line 11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D507B" id="Group_x0020_11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Frt3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Dha7d/AgAAnAUAAA4A&#10;AAAAAAAAAAAAAAAALAIAAGRycy9lMm9Eb2MueG1sUEsBAi0AFAAGAAgAAAAhAEynsJDZAAAAAwEA&#10;AA8AAAAAAAAAAAAAAAAA1wQAAGRycy9kb3ducmV2LnhtbFBLBQYAAAAABAAEAPMAAADdBQAAAAA=&#10;">
                <v:line id="Line_x0020_11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l0X8UAAADdAAAADwAAAGRycy9kb3ducmV2LnhtbERPzWrCQBC+C32HZQq9SN1EqZTUVUqh&#10;ID1oTXyAMTtNQndnY3Y1aZ/eFQRv8/H9zmI1WCPO1PnGsYJ0koAgLp1uuFKwLz6fX0H4gKzROCYF&#10;f+RhtXwYLTDTrucdnfNQiRjCPkMFdQhtJqUva7LoJ64ljtyP6yyGCLtK6g77GG6NnCbJXFpsODbU&#10;2NJHTeVvfrIKiuM4mO/tl+mL7WEmD8fN7P+0UerpcXh/AxFoCHfxzb3WcX6avsD1m3iCX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8l0X8UAAADdAAAADwAAAAAAAAAA&#10;AAAAAAChAgAAZHJzL2Rvd25yZXYueG1sUEsFBgAAAAAEAAQA+QAAAJMDAAAAAA==&#10;" strokecolor="#231f20" strokeweight=".5pt"/>
                <w10:anchorlock/>
              </v:group>
            </w:pict>
          </mc:Fallback>
        </mc:AlternateContent>
      </w:r>
    </w:p>
    <w:p w14:paraId="4FC7081C" w14:textId="77777777" w:rsidR="00DE575E" w:rsidRDefault="00DE575E">
      <w:pPr>
        <w:pStyle w:val="BodyText"/>
        <w:spacing w:before="7"/>
        <w:rPr>
          <w:rFonts w:ascii="AdonisC"/>
          <w:i/>
          <w:sz w:val="19"/>
        </w:rPr>
      </w:pPr>
    </w:p>
    <w:p w14:paraId="218F01F3" w14:textId="77777777" w:rsidR="00DE575E" w:rsidRDefault="002E7560">
      <w:pPr>
        <w:pStyle w:val="Heading5"/>
        <w:numPr>
          <w:ilvl w:val="2"/>
          <w:numId w:val="256"/>
        </w:numPr>
        <w:tabs>
          <w:tab w:val="left" w:pos="1099"/>
        </w:tabs>
        <w:spacing w:before="1" w:line="252" w:lineRule="auto"/>
        <w:ind w:right="1310" w:firstLine="0"/>
      </w:pPr>
      <w:r>
        <w:rPr>
          <w:color w:val="231F20"/>
        </w:rPr>
        <w:t>Порядок утворення, реорганізації та ліквідації органів виконавчої</w:t>
      </w:r>
      <w:r>
        <w:rPr>
          <w:color w:val="231F20"/>
          <w:spacing w:val="-2"/>
        </w:rPr>
        <w:t xml:space="preserve"> </w:t>
      </w:r>
      <w:r>
        <w:rPr>
          <w:color w:val="231F20"/>
        </w:rPr>
        <w:t>влади</w:t>
      </w:r>
    </w:p>
    <w:p w14:paraId="064A90B6" w14:textId="77777777" w:rsidR="00DE575E" w:rsidRDefault="00DE575E">
      <w:pPr>
        <w:pStyle w:val="BodyText"/>
        <w:spacing w:before="1"/>
        <w:rPr>
          <w:b/>
          <w:sz w:val="22"/>
        </w:rPr>
      </w:pPr>
    </w:p>
    <w:p w14:paraId="759E49E4" w14:textId="77777777" w:rsidR="00DE575E" w:rsidRDefault="002E7560">
      <w:pPr>
        <w:pStyle w:val="BodyText"/>
        <w:spacing w:line="252" w:lineRule="auto"/>
        <w:ind w:left="250" w:right="411" w:firstLine="283"/>
        <w:jc w:val="both"/>
      </w:pPr>
      <w:r>
        <w:rPr>
          <w:color w:val="231F20"/>
        </w:rPr>
        <w:t xml:space="preserve">Міністерства та інші центральні органи виконавчої влади утво- рюються, реорганізуються та ліквідуються Кабінетом Міністрів </w:t>
      </w:r>
      <w:r>
        <w:rPr>
          <w:color w:val="231F20"/>
          <w:spacing w:val="-3"/>
        </w:rPr>
        <w:t xml:space="preserve">України </w:t>
      </w:r>
      <w:r>
        <w:rPr>
          <w:color w:val="231F20"/>
        </w:rPr>
        <w:t xml:space="preserve">за поданням </w:t>
      </w:r>
      <w:r>
        <w:rPr>
          <w:color w:val="231F20"/>
          <w:spacing w:val="-3"/>
        </w:rPr>
        <w:t xml:space="preserve">Прем’єр-міністра України. </w:t>
      </w:r>
      <w:r>
        <w:rPr>
          <w:color w:val="231F20"/>
        </w:rPr>
        <w:t xml:space="preserve">Члени КМУ можуть вносити </w:t>
      </w:r>
      <w:r>
        <w:rPr>
          <w:color w:val="231F20"/>
          <w:spacing w:val="-3"/>
        </w:rPr>
        <w:t xml:space="preserve">Прем’єр-міністрові </w:t>
      </w:r>
      <w:r>
        <w:rPr>
          <w:color w:val="231F20"/>
        </w:rPr>
        <w:t>пропозиції щодо утворення, реорганіза- ції</w:t>
      </w:r>
      <w:r>
        <w:rPr>
          <w:color w:val="231F20"/>
          <w:spacing w:val="-10"/>
        </w:rPr>
        <w:t xml:space="preserve"> </w:t>
      </w:r>
      <w:r>
        <w:rPr>
          <w:color w:val="231F20"/>
        </w:rPr>
        <w:t>або</w:t>
      </w:r>
      <w:r>
        <w:rPr>
          <w:color w:val="231F20"/>
          <w:spacing w:val="-10"/>
        </w:rPr>
        <w:t xml:space="preserve"> </w:t>
      </w:r>
      <w:r>
        <w:rPr>
          <w:color w:val="231F20"/>
        </w:rPr>
        <w:t>ліквідації</w:t>
      </w:r>
      <w:r>
        <w:rPr>
          <w:color w:val="231F20"/>
          <w:spacing w:val="-10"/>
        </w:rPr>
        <w:t xml:space="preserve"> </w:t>
      </w:r>
      <w:r>
        <w:rPr>
          <w:color w:val="231F20"/>
        </w:rPr>
        <w:t>міністерств</w:t>
      </w:r>
      <w:r>
        <w:rPr>
          <w:color w:val="231F20"/>
          <w:spacing w:val="-10"/>
        </w:rPr>
        <w:t xml:space="preserve"> </w:t>
      </w:r>
      <w:r>
        <w:rPr>
          <w:color w:val="231F20"/>
        </w:rPr>
        <w:t>та</w:t>
      </w:r>
      <w:r>
        <w:rPr>
          <w:color w:val="231F20"/>
          <w:spacing w:val="-10"/>
        </w:rPr>
        <w:t xml:space="preserve"> </w:t>
      </w:r>
      <w:r>
        <w:rPr>
          <w:color w:val="231F20"/>
        </w:rPr>
        <w:t>інших</w:t>
      </w:r>
      <w:r>
        <w:rPr>
          <w:color w:val="231F20"/>
          <w:spacing w:val="-10"/>
        </w:rPr>
        <w:t xml:space="preserve"> </w:t>
      </w:r>
      <w:r>
        <w:rPr>
          <w:color w:val="231F20"/>
        </w:rPr>
        <w:t>центральних</w:t>
      </w:r>
      <w:r>
        <w:rPr>
          <w:color w:val="231F20"/>
          <w:spacing w:val="-10"/>
        </w:rPr>
        <w:t xml:space="preserve"> </w:t>
      </w:r>
      <w:r>
        <w:rPr>
          <w:color w:val="231F20"/>
        </w:rPr>
        <w:t>органів</w:t>
      </w:r>
      <w:r>
        <w:rPr>
          <w:color w:val="231F20"/>
          <w:spacing w:val="-10"/>
        </w:rPr>
        <w:t xml:space="preserve"> </w:t>
      </w:r>
      <w:r>
        <w:rPr>
          <w:color w:val="231F20"/>
        </w:rPr>
        <w:t>виконав- чої влади.</w:t>
      </w:r>
    </w:p>
    <w:p w14:paraId="54859D5F" w14:textId="77777777" w:rsidR="00DE575E" w:rsidRDefault="002E7560">
      <w:pPr>
        <w:pStyle w:val="BodyText"/>
        <w:spacing w:before="3" w:line="252" w:lineRule="auto"/>
        <w:ind w:left="250" w:right="411" w:firstLine="283"/>
        <w:jc w:val="both"/>
      </w:pPr>
      <w:r>
        <w:rPr>
          <w:i/>
          <w:color w:val="231F20"/>
        </w:rPr>
        <w:t>Утворення, реорганізація та ліквідація міністерства</w:t>
      </w:r>
      <w:r>
        <w:rPr>
          <w:color w:val="231F20"/>
        </w:rPr>
        <w:t>, іншого центрального</w:t>
      </w:r>
      <w:r>
        <w:rPr>
          <w:color w:val="231F20"/>
          <w:spacing w:val="-19"/>
        </w:rPr>
        <w:t xml:space="preserve"> </w:t>
      </w:r>
      <w:r>
        <w:rPr>
          <w:color w:val="231F20"/>
        </w:rPr>
        <w:t>органу</w:t>
      </w:r>
      <w:r>
        <w:rPr>
          <w:color w:val="231F20"/>
          <w:spacing w:val="-19"/>
        </w:rPr>
        <w:t xml:space="preserve"> </w:t>
      </w:r>
      <w:r>
        <w:rPr>
          <w:color w:val="231F20"/>
        </w:rPr>
        <w:t>виконавчої</w:t>
      </w:r>
      <w:r>
        <w:rPr>
          <w:color w:val="231F20"/>
          <w:spacing w:val="-19"/>
        </w:rPr>
        <w:t xml:space="preserve"> </w:t>
      </w:r>
      <w:r>
        <w:rPr>
          <w:color w:val="231F20"/>
        </w:rPr>
        <w:t>влади</w:t>
      </w:r>
      <w:r>
        <w:rPr>
          <w:color w:val="231F20"/>
          <w:spacing w:val="-19"/>
        </w:rPr>
        <w:t xml:space="preserve"> </w:t>
      </w:r>
      <w:r>
        <w:rPr>
          <w:color w:val="231F20"/>
        </w:rPr>
        <w:t>здійснюються</w:t>
      </w:r>
      <w:r>
        <w:rPr>
          <w:color w:val="231F20"/>
          <w:spacing w:val="-19"/>
        </w:rPr>
        <w:t xml:space="preserve"> </w:t>
      </w:r>
      <w:r>
        <w:rPr>
          <w:color w:val="231F20"/>
        </w:rPr>
        <w:t>з</w:t>
      </w:r>
      <w:r>
        <w:rPr>
          <w:color w:val="231F20"/>
          <w:spacing w:val="-19"/>
        </w:rPr>
        <w:t xml:space="preserve"> </w:t>
      </w:r>
      <w:r>
        <w:rPr>
          <w:color w:val="231F20"/>
        </w:rPr>
        <w:t xml:space="preserve">урахуванням завдань Кабінету Міністрів </w:t>
      </w:r>
      <w:r>
        <w:rPr>
          <w:color w:val="231F20"/>
          <w:spacing w:val="-3"/>
        </w:rPr>
        <w:t xml:space="preserve">України, </w:t>
      </w:r>
      <w:r>
        <w:rPr>
          <w:color w:val="231F20"/>
        </w:rPr>
        <w:t>а також з урахуванням потреби забезпечення здійснення повноважень  органів  виконавчої  влади й недопущення дублювання повноважень. Міністерство, і</w:t>
      </w:r>
      <w:r>
        <w:rPr>
          <w:color w:val="231F20"/>
        </w:rPr>
        <w:t xml:space="preserve">нший центральний орган виконавчої влади утворюється через утворення нового органу влади або в </w:t>
      </w:r>
      <w:r>
        <w:rPr>
          <w:color w:val="231F20"/>
          <w:spacing w:val="-3"/>
        </w:rPr>
        <w:t xml:space="preserve">результаті </w:t>
      </w:r>
      <w:r>
        <w:rPr>
          <w:color w:val="231F20"/>
        </w:rPr>
        <w:t xml:space="preserve">реорганізації (злиття, </w:t>
      </w:r>
      <w:r>
        <w:rPr>
          <w:color w:val="231F20"/>
          <w:spacing w:val="-4"/>
        </w:rPr>
        <w:t xml:space="preserve">поділу, </w:t>
      </w:r>
      <w:r>
        <w:rPr>
          <w:color w:val="231F20"/>
        </w:rPr>
        <w:t>перетворення) одного чи кількох центральних органів виконав-  чої влади.</w:t>
      </w:r>
    </w:p>
    <w:p w14:paraId="24F334EF" w14:textId="77777777" w:rsidR="00DE575E" w:rsidRDefault="002E7560">
      <w:pPr>
        <w:pStyle w:val="BodyText"/>
        <w:spacing w:before="4" w:line="252" w:lineRule="auto"/>
        <w:ind w:left="250" w:right="411" w:firstLine="283"/>
        <w:jc w:val="both"/>
      </w:pPr>
      <w:r>
        <w:rPr>
          <w:i/>
          <w:color w:val="231F20"/>
        </w:rPr>
        <w:t xml:space="preserve">Орган виконавчої влади утворюється </w:t>
      </w:r>
      <w:r>
        <w:rPr>
          <w:color w:val="231F20"/>
        </w:rPr>
        <w:t>через утворе</w:t>
      </w:r>
      <w:r>
        <w:rPr>
          <w:color w:val="231F20"/>
        </w:rPr>
        <w:t>ння нового органу виконавчої влади або в результаті реорганізації (злиття, поділу, перетворення) одного чи кількох органів виконавчої влади. Орган виконавчої влади припиняється за допомогою реорганізації (злиття, приєднання, поділу, перетворення) або лікві</w:t>
      </w:r>
      <w:r>
        <w:rPr>
          <w:color w:val="231F20"/>
        </w:rPr>
        <w:t>дації.</w:t>
      </w:r>
    </w:p>
    <w:p w14:paraId="21426C20" w14:textId="77777777" w:rsidR="00DE575E" w:rsidRDefault="002E7560">
      <w:pPr>
        <w:spacing w:before="3" w:line="252" w:lineRule="auto"/>
        <w:ind w:left="250" w:right="410" w:firstLine="283"/>
        <w:jc w:val="both"/>
        <w:rPr>
          <w:sz w:val="21"/>
        </w:rPr>
      </w:pPr>
      <w:r>
        <w:rPr>
          <w:i/>
          <w:color w:val="231F20"/>
          <w:sz w:val="21"/>
        </w:rPr>
        <w:t xml:space="preserve">Унаслідок реорганізації (злиття, приєднання, поділу, перетво- рення) органів виконавчої влади припиняється </w:t>
      </w:r>
      <w:r>
        <w:rPr>
          <w:color w:val="231F20"/>
          <w:sz w:val="21"/>
        </w:rPr>
        <w:t>той орган вико- навчої влади, майнові права та обов’язки якого переходять його правонаступникам. Перейменування органу виконавчої влади не при</w:t>
      </w:r>
      <w:r>
        <w:rPr>
          <w:color w:val="231F20"/>
          <w:sz w:val="21"/>
        </w:rPr>
        <w:t>зводить до його реорганізації1</w:t>
      </w:r>
      <w:r>
        <w:rPr>
          <w:color w:val="231F20"/>
          <w:position w:val="7"/>
          <w:sz w:val="12"/>
        </w:rPr>
        <w:t>1</w:t>
      </w:r>
      <w:r>
        <w:rPr>
          <w:color w:val="231F20"/>
          <w:sz w:val="21"/>
        </w:rPr>
        <w:t>.</w:t>
      </w:r>
    </w:p>
    <w:p w14:paraId="0C3ABD0D" w14:textId="77777777" w:rsidR="00DE575E" w:rsidRDefault="00DE575E">
      <w:pPr>
        <w:pStyle w:val="BodyText"/>
        <w:spacing w:before="2"/>
        <w:rPr>
          <w:sz w:val="22"/>
        </w:rPr>
      </w:pPr>
    </w:p>
    <w:p w14:paraId="447362C1" w14:textId="77777777" w:rsidR="00DE575E" w:rsidRDefault="002E7560">
      <w:pPr>
        <w:pStyle w:val="Heading5"/>
        <w:numPr>
          <w:ilvl w:val="2"/>
          <w:numId w:val="256"/>
        </w:numPr>
        <w:tabs>
          <w:tab w:val="left" w:pos="1099"/>
        </w:tabs>
        <w:ind w:firstLine="0"/>
      </w:pPr>
      <w:r>
        <w:rPr>
          <w:color w:val="231F20"/>
        </w:rPr>
        <w:t>Військово-цивільні</w:t>
      </w:r>
      <w:r>
        <w:rPr>
          <w:color w:val="231F20"/>
          <w:spacing w:val="-2"/>
        </w:rPr>
        <w:t xml:space="preserve"> </w:t>
      </w:r>
      <w:r>
        <w:rPr>
          <w:color w:val="231F20"/>
        </w:rPr>
        <w:t>адміністрації</w:t>
      </w:r>
    </w:p>
    <w:p w14:paraId="19A06773" w14:textId="77777777" w:rsidR="00DE575E" w:rsidRDefault="00DE575E">
      <w:pPr>
        <w:pStyle w:val="BodyText"/>
        <w:spacing w:before="2"/>
        <w:rPr>
          <w:b/>
          <w:sz w:val="23"/>
        </w:rPr>
      </w:pPr>
    </w:p>
    <w:p w14:paraId="39AD5861" w14:textId="77777777" w:rsidR="00DE575E" w:rsidRDefault="002E7560">
      <w:pPr>
        <w:pStyle w:val="BodyText"/>
        <w:spacing w:line="252" w:lineRule="auto"/>
        <w:ind w:left="250" w:right="411" w:firstLine="283"/>
        <w:jc w:val="both"/>
      </w:pPr>
      <w:r>
        <w:rPr>
          <w:color w:val="231F20"/>
          <w:spacing w:val="-4"/>
        </w:rPr>
        <w:t xml:space="preserve">Для </w:t>
      </w:r>
      <w:r>
        <w:rPr>
          <w:color w:val="231F20"/>
          <w:spacing w:val="-5"/>
        </w:rPr>
        <w:t xml:space="preserve">виконання повноважень місцевих органів виконавчої влади, органів місцевого самоврядування </w:t>
      </w:r>
      <w:r>
        <w:rPr>
          <w:color w:val="231F20"/>
        </w:rPr>
        <w:t xml:space="preserve">в </w:t>
      </w:r>
      <w:r>
        <w:rPr>
          <w:color w:val="231F20"/>
          <w:spacing w:val="-4"/>
        </w:rPr>
        <w:t xml:space="preserve">районі </w:t>
      </w:r>
      <w:r>
        <w:rPr>
          <w:color w:val="231F20"/>
          <w:spacing w:val="-5"/>
        </w:rPr>
        <w:t xml:space="preserve">відсічі збройної агресії Російської Федерації, зокрема </w:t>
      </w:r>
      <w:r>
        <w:rPr>
          <w:color w:val="231F20"/>
        </w:rPr>
        <w:t xml:space="preserve">в </w:t>
      </w:r>
      <w:r>
        <w:rPr>
          <w:color w:val="231F20"/>
          <w:spacing w:val="-4"/>
        </w:rPr>
        <w:t xml:space="preserve">районі </w:t>
      </w:r>
      <w:r>
        <w:rPr>
          <w:color w:val="231F20"/>
          <w:spacing w:val="-5"/>
        </w:rPr>
        <w:t>проведення антитерори</w:t>
      </w:r>
      <w:r>
        <w:rPr>
          <w:color w:val="231F20"/>
          <w:spacing w:val="-5"/>
        </w:rPr>
        <w:t xml:space="preserve">стич- </w:t>
      </w:r>
      <w:r>
        <w:rPr>
          <w:color w:val="231F20"/>
          <w:spacing w:val="-4"/>
        </w:rPr>
        <w:t xml:space="preserve">ної </w:t>
      </w:r>
      <w:r>
        <w:rPr>
          <w:color w:val="231F20"/>
          <w:spacing w:val="-5"/>
        </w:rPr>
        <w:t xml:space="preserve">операції, утворено військово-цивільні адміністрації. </w:t>
      </w:r>
      <w:r>
        <w:rPr>
          <w:color w:val="231F20"/>
          <w:spacing w:val="-4"/>
        </w:rPr>
        <w:t xml:space="preserve">Вони займа- </w:t>
      </w:r>
      <w:r>
        <w:rPr>
          <w:color w:val="231F20"/>
          <w:spacing w:val="-5"/>
        </w:rPr>
        <w:t xml:space="preserve">ють особливе </w:t>
      </w:r>
      <w:r>
        <w:rPr>
          <w:color w:val="231F20"/>
          <w:spacing w:val="-4"/>
        </w:rPr>
        <w:t xml:space="preserve">місце серед інших </w:t>
      </w:r>
      <w:r>
        <w:rPr>
          <w:color w:val="231F20"/>
          <w:spacing w:val="-7"/>
        </w:rPr>
        <w:t xml:space="preserve">суб’єктів </w:t>
      </w:r>
      <w:r>
        <w:rPr>
          <w:color w:val="231F20"/>
          <w:spacing w:val="-5"/>
        </w:rPr>
        <w:t>публічної адміністрації.</w:t>
      </w:r>
    </w:p>
    <w:p w14:paraId="4A246485" w14:textId="77777777" w:rsidR="00DE575E" w:rsidRDefault="00DE575E">
      <w:pPr>
        <w:pStyle w:val="BodyText"/>
        <w:rPr>
          <w:sz w:val="20"/>
        </w:rPr>
      </w:pPr>
    </w:p>
    <w:p w14:paraId="71310FA4" w14:textId="17102F63" w:rsidR="00DE575E" w:rsidRDefault="002E7560">
      <w:pPr>
        <w:pStyle w:val="BodyText"/>
        <w:spacing w:before="1"/>
        <w:rPr>
          <w:sz w:val="13"/>
        </w:rPr>
      </w:pPr>
      <w:r>
        <w:rPr>
          <w:noProof/>
        </w:rPr>
        <mc:AlternateContent>
          <mc:Choice Requires="wps">
            <w:drawing>
              <wp:anchor distT="0" distB="0" distL="0" distR="0" simplePos="0" relativeHeight="5296" behindDoc="0" locked="0" layoutInCell="1" allowOverlap="1" wp14:anchorId="7E4920D8" wp14:editId="1FEE611C">
                <wp:simplePos x="0" y="0"/>
                <wp:positionH relativeFrom="page">
                  <wp:posOffset>539750</wp:posOffset>
                </wp:positionH>
                <wp:positionV relativeFrom="paragraph">
                  <wp:posOffset>125095</wp:posOffset>
                </wp:positionV>
                <wp:extent cx="1080135" cy="0"/>
                <wp:effectExtent l="6350" t="10795" r="31115" b="27305"/>
                <wp:wrapTopAndBottom/>
                <wp:docPr id="1113"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7C38" id="Line_x0020_1112" o:spid="_x0000_s1026" style="position:absolute;z-index: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5pt" to="127.55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" strokecolor="#231f20" strokeweight=".5pt">
                <w10:wrap type="topAndBottom" anchorx="page"/>
              </v:line>
            </w:pict>
          </mc:Fallback>
        </mc:AlternateContent>
      </w:r>
    </w:p>
    <w:p w14:paraId="0231F1CE" w14:textId="77777777" w:rsidR="00DE575E" w:rsidRDefault="002E7560">
      <w:pPr>
        <w:spacing w:line="204" w:lineRule="auto"/>
        <w:ind w:left="250"/>
        <w:rPr>
          <w:sz w:val="16"/>
        </w:rPr>
      </w:pPr>
      <w:r>
        <w:rPr>
          <w:color w:val="231F20"/>
          <w:position w:val="5"/>
          <w:sz w:val="9"/>
        </w:rPr>
        <w:t xml:space="preserve">1 </w:t>
      </w:r>
      <w:r>
        <w:rPr>
          <w:color w:val="231F20"/>
          <w:sz w:val="16"/>
        </w:rPr>
        <w:t>Порядок здійснення заходів, пов’язаних з утворенням, реорганізацією або ліквідацією. Затверджено Постановою Кабінет Міністрів України від 20.10.2011 № 1074.</w:t>
      </w:r>
    </w:p>
    <w:p w14:paraId="51161C9D" w14:textId="77777777" w:rsidR="00DE575E" w:rsidRDefault="00DE575E">
      <w:pPr>
        <w:pStyle w:val="BodyText"/>
        <w:spacing w:before="1"/>
        <w:rPr>
          <w:sz w:val="12"/>
        </w:rPr>
      </w:pPr>
    </w:p>
    <w:p w14:paraId="58549664" w14:textId="77777777" w:rsidR="00DE575E" w:rsidRDefault="002E7560">
      <w:pPr>
        <w:spacing w:before="92"/>
        <w:ind w:right="411"/>
        <w:jc w:val="right"/>
        <w:rPr>
          <w:rFonts w:ascii="Times New Roman"/>
          <w:sz w:val="20"/>
        </w:rPr>
      </w:pPr>
      <w:r>
        <w:rPr>
          <w:rFonts w:ascii="Times New Roman"/>
          <w:color w:val="231F20"/>
          <w:w w:val="90"/>
          <w:sz w:val="20"/>
        </w:rPr>
        <w:t>117</w:t>
      </w:r>
    </w:p>
    <w:p w14:paraId="401A65A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FB9892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BCFC22A" w14:textId="025995E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67E0A35" wp14:editId="3E0FE1E3">
                <wp:extent cx="4140200" cy="6350"/>
                <wp:effectExtent l="0" t="0" r="12700" b="6350"/>
                <wp:docPr id="1111"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12" name="Line 11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A5EC68" id="Group_x0020_11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FB7uMgAIAAJwFAAAO&#10;AAAAAAAAAAAAAAAAACwCAABkcnMvZTJvRG9jLnhtbFBLAQItABQABgAIAAAAIQBMp7CQ2QAAAAMB&#10;AAAPAAAAAAAAAAAAAAAAANgEAABkcnMvZG93bnJldi54bWxQSwUGAAAAAAQABADzAAAA3gUAAAAA&#10;">
                <v:line id="Line_x0020_11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DsK8QAAADdAAAADwAAAGRycy9kb3ducmV2LnhtbERPzWrCQBC+F3yHZYReSt1EQUrqKiII&#10;0oNW0wcYs2MS3J2N2dVEn75bKHibj+93ZoveGnGj1teOFaSjBARx4XTNpYKffP3+AcIHZI3GMSm4&#10;k4fFfPAyw0y7jvd0O4RSxBD2GSqoQmgyKX1RkUU/cg1x5E6utRgibEupW+xiuDVynCRTabHm2FBh&#10;Q6uKivPhahXkl7dgvndfpst3x4k8XraTx3Wr1OuwX36CCNSHp/jfvdFxfpqO4e+beIK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IOwrxAAAAN0AAAAPAAAAAAAAAAAA&#10;AAAAAKECAABkcnMvZG93bnJldi54bWxQSwUGAAAAAAQABAD5AAAAkgMAAAAA&#10;" strokecolor="#231f20" strokeweight=".5pt"/>
                <w10:anchorlock/>
              </v:group>
            </w:pict>
          </mc:Fallback>
        </mc:AlternateContent>
      </w:r>
    </w:p>
    <w:p w14:paraId="0C5877B0" w14:textId="77777777" w:rsidR="00DE575E" w:rsidRDefault="00DE575E">
      <w:pPr>
        <w:pStyle w:val="BodyText"/>
        <w:spacing w:before="7"/>
        <w:rPr>
          <w:rFonts w:ascii="AdonisC"/>
          <w:i/>
          <w:sz w:val="11"/>
        </w:rPr>
      </w:pPr>
    </w:p>
    <w:p w14:paraId="38F457C8" w14:textId="77777777" w:rsidR="00DE575E" w:rsidRDefault="002E7560">
      <w:pPr>
        <w:pStyle w:val="BodyText"/>
        <w:spacing w:before="101" w:line="252" w:lineRule="auto"/>
        <w:ind w:left="533"/>
      </w:pPr>
      <w:r>
        <w:rPr>
          <w:color w:val="231F20"/>
        </w:rPr>
        <w:t>Їх правовий статус визначено Законом України «Про військово- цивільні адміністрації» від 3 лютого 2015 р. № 141-VIII.</w:t>
      </w:r>
    </w:p>
    <w:p w14:paraId="10D85A04" w14:textId="77777777" w:rsidR="00DE575E" w:rsidRDefault="002E7560">
      <w:pPr>
        <w:pStyle w:val="BodyText"/>
        <w:spacing w:before="1" w:line="252" w:lineRule="auto"/>
        <w:ind w:left="533" w:right="125" w:firstLine="283"/>
        <w:jc w:val="both"/>
      </w:pPr>
      <w:r>
        <w:rPr>
          <w:b/>
          <w:i/>
          <w:color w:val="231F20"/>
        </w:rPr>
        <w:t xml:space="preserve">Військово-цивільні адміністрації </w:t>
      </w:r>
      <w:r>
        <w:rPr>
          <w:color w:val="231F20"/>
        </w:rPr>
        <w:t>– це тимчасові державні органи в  селах,  селищах,  містах,  районах</w:t>
      </w:r>
      <w:r>
        <w:rPr>
          <w:color w:val="231F20"/>
        </w:rPr>
        <w:t xml:space="preserve">  та  областях,  що  діють  у складі Антитерористичного центру при Службі безпеки України (у разі їх утворення для виконання повноважень відповідних орга- нів у районі антитерористичної операції) або у складі Об’єднаного оперативного штабу Збройних Сил Укр</w:t>
      </w:r>
      <w:r>
        <w:rPr>
          <w:color w:val="231F20"/>
        </w:rPr>
        <w:t xml:space="preserve">аїни (у разі їх утворення </w:t>
      </w:r>
      <w:r>
        <w:rPr>
          <w:color w:val="231F20"/>
          <w:spacing w:val="1"/>
        </w:rPr>
        <w:t xml:space="preserve">для </w:t>
      </w:r>
      <w:r>
        <w:rPr>
          <w:color w:val="231F20"/>
        </w:rPr>
        <w:t xml:space="preserve">виконання повноважень відповідних органів у районі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w:t>
      </w:r>
      <w:r>
        <w:rPr>
          <w:color w:val="231F20"/>
        </w:rPr>
        <w:t>і призначені для забезпечення дії Конс- титуції та законів України, забезпечення безпеки й нормалізації життєдіяльності населення, правопорядку, участі у протидії актам збройної агресії, диверсійним проявам і терористичним актам, недопущення гуманітарної к</w:t>
      </w:r>
      <w:r>
        <w:rPr>
          <w:color w:val="231F20"/>
        </w:rPr>
        <w:t>атастрофи в районі відсічі збройної агресії Російської Федерації, зокрема проведення антитерористич- ної</w:t>
      </w:r>
      <w:r>
        <w:rPr>
          <w:color w:val="231F20"/>
          <w:spacing w:val="3"/>
        </w:rPr>
        <w:t xml:space="preserve"> </w:t>
      </w:r>
      <w:r>
        <w:rPr>
          <w:color w:val="231F20"/>
        </w:rPr>
        <w:t>операції.</w:t>
      </w:r>
    </w:p>
    <w:p w14:paraId="5702146F" w14:textId="77777777" w:rsidR="00DE575E" w:rsidRDefault="002E7560">
      <w:pPr>
        <w:pStyle w:val="BodyText"/>
        <w:spacing w:before="8" w:line="252" w:lineRule="auto"/>
        <w:ind w:left="533" w:right="128" w:firstLine="283"/>
        <w:jc w:val="both"/>
      </w:pPr>
      <w:r>
        <w:rPr>
          <w:color w:val="231F20"/>
        </w:rPr>
        <w:t>Військово-цивільні адміністрації області, району та населених пунктів є юридичними особами публічного права і наділяються повноваженнями, у межах яких діють самостійно і несуть відпові- дальність за свою діяльність відповідно до закону.</w:t>
      </w:r>
    </w:p>
    <w:p w14:paraId="05D6BD05" w14:textId="77777777" w:rsidR="00DE575E" w:rsidRDefault="002E7560">
      <w:pPr>
        <w:pStyle w:val="Heading6"/>
        <w:spacing w:before="2" w:line="252" w:lineRule="auto"/>
        <w:ind w:right="128"/>
        <w:jc w:val="both"/>
      </w:pPr>
      <w:r>
        <w:rPr>
          <w:color w:val="231F20"/>
        </w:rPr>
        <w:t>Військово-цивільні</w:t>
      </w:r>
      <w:r>
        <w:rPr>
          <w:color w:val="231F20"/>
          <w:spacing w:val="-7"/>
        </w:rPr>
        <w:t xml:space="preserve"> </w:t>
      </w:r>
      <w:r>
        <w:rPr>
          <w:color w:val="231F20"/>
        </w:rPr>
        <w:t>адміністрації</w:t>
      </w:r>
      <w:r>
        <w:rPr>
          <w:color w:val="231F20"/>
          <w:spacing w:val="-7"/>
        </w:rPr>
        <w:t xml:space="preserve"> </w:t>
      </w:r>
      <w:r>
        <w:rPr>
          <w:color w:val="231F20"/>
        </w:rPr>
        <w:t>населених</w:t>
      </w:r>
      <w:r>
        <w:rPr>
          <w:color w:val="231F20"/>
          <w:spacing w:val="-7"/>
        </w:rPr>
        <w:t xml:space="preserve"> </w:t>
      </w:r>
      <w:r>
        <w:rPr>
          <w:color w:val="231F20"/>
        </w:rPr>
        <w:t>пунктів</w:t>
      </w:r>
      <w:r>
        <w:rPr>
          <w:color w:val="231F20"/>
          <w:spacing w:val="-7"/>
        </w:rPr>
        <w:t xml:space="preserve"> </w:t>
      </w:r>
      <w:r>
        <w:rPr>
          <w:color w:val="231F20"/>
        </w:rPr>
        <w:t>на</w:t>
      </w:r>
      <w:r>
        <w:rPr>
          <w:color w:val="231F20"/>
          <w:spacing w:val="-7"/>
        </w:rPr>
        <w:t xml:space="preserve"> </w:t>
      </w:r>
      <w:r>
        <w:rPr>
          <w:color w:val="231F20"/>
        </w:rPr>
        <w:t xml:space="preserve">відпо- </w:t>
      </w:r>
      <w:r>
        <w:rPr>
          <w:color w:val="231F20"/>
        </w:rPr>
        <w:t>відній території здійснюють повноваження</w:t>
      </w:r>
      <w:r>
        <w:rPr>
          <w:color w:val="231F20"/>
          <w:spacing w:val="-7"/>
        </w:rPr>
        <w:t xml:space="preserve"> </w:t>
      </w:r>
      <w:r>
        <w:rPr>
          <w:color w:val="231F20"/>
        </w:rPr>
        <w:t>з:</w:t>
      </w:r>
    </w:p>
    <w:p w14:paraId="1A1E225D" w14:textId="77777777" w:rsidR="00DE575E" w:rsidRDefault="002E7560">
      <w:pPr>
        <w:pStyle w:val="ListParagraph"/>
        <w:numPr>
          <w:ilvl w:val="0"/>
          <w:numId w:val="255"/>
        </w:numPr>
        <w:tabs>
          <w:tab w:val="left" w:pos="1101"/>
        </w:tabs>
        <w:spacing w:before="0" w:line="252" w:lineRule="auto"/>
        <w:ind w:right="127" w:firstLine="284"/>
        <w:rPr>
          <w:sz w:val="21"/>
        </w:rPr>
      </w:pPr>
      <w:r>
        <w:rPr>
          <w:color w:val="231F20"/>
          <w:sz w:val="21"/>
        </w:rPr>
        <w:t>підготовки та затвердження програм соціально-економічного й культурного розвитку відповідних адміністративно-територіаль- них одиниць, цільових програм з інших питань міс</w:t>
      </w:r>
      <w:r>
        <w:rPr>
          <w:color w:val="231F20"/>
          <w:sz w:val="21"/>
        </w:rPr>
        <w:t>цевого самовря- дування;</w:t>
      </w:r>
    </w:p>
    <w:p w14:paraId="11191072" w14:textId="77777777" w:rsidR="00DE575E" w:rsidRDefault="002E7560">
      <w:pPr>
        <w:pStyle w:val="ListParagraph"/>
        <w:numPr>
          <w:ilvl w:val="0"/>
          <w:numId w:val="255"/>
        </w:numPr>
        <w:tabs>
          <w:tab w:val="left" w:pos="1101"/>
        </w:tabs>
        <w:spacing w:before="2" w:line="252" w:lineRule="auto"/>
        <w:ind w:right="128" w:firstLine="284"/>
        <w:rPr>
          <w:sz w:val="21"/>
        </w:rPr>
      </w:pPr>
      <w:r>
        <w:rPr>
          <w:color w:val="231F20"/>
          <w:sz w:val="21"/>
        </w:rPr>
        <w:t>забезпечення збалансованого економічного та соціального розвитку відповідної території, ефективного використання</w:t>
      </w:r>
      <w:r>
        <w:rPr>
          <w:color w:val="231F20"/>
          <w:spacing w:val="-27"/>
          <w:sz w:val="21"/>
        </w:rPr>
        <w:t xml:space="preserve"> </w:t>
      </w:r>
      <w:r>
        <w:rPr>
          <w:color w:val="231F20"/>
          <w:sz w:val="21"/>
        </w:rPr>
        <w:t xml:space="preserve">природ- них, </w:t>
      </w:r>
      <w:r>
        <w:rPr>
          <w:color w:val="231F20"/>
          <w:spacing w:val="-3"/>
          <w:sz w:val="21"/>
        </w:rPr>
        <w:t xml:space="preserve">трудових </w:t>
      </w:r>
      <w:r>
        <w:rPr>
          <w:color w:val="231F20"/>
          <w:sz w:val="21"/>
        </w:rPr>
        <w:t>і фінансових</w:t>
      </w:r>
      <w:r>
        <w:rPr>
          <w:color w:val="231F20"/>
          <w:spacing w:val="-1"/>
          <w:sz w:val="21"/>
        </w:rPr>
        <w:t xml:space="preserve"> </w:t>
      </w:r>
      <w:r>
        <w:rPr>
          <w:color w:val="231F20"/>
          <w:sz w:val="21"/>
        </w:rPr>
        <w:t>ресурсів;</w:t>
      </w:r>
    </w:p>
    <w:p w14:paraId="0998A3E8" w14:textId="77777777" w:rsidR="00DE575E" w:rsidRDefault="002E7560">
      <w:pPr>
        <w:pStyle w:val="ListParagraph"/>
        <w:numPr>
          <w:ilvl w:val="0"/>
          <w:numId w:val="255"/>
        </w:numPr>
        <w:tabs>
          <w:tab w:val="left" w:pos="1101"/>
        </w:tabs>
        <w:spacing w:before="2" w:line="252" w:lineRule="auto"/>
        <w:ind w:right="128" w:firstLine="284"/>
        <w:rPr>
          <w:sz w:val="21"/>
        </w:rPr>
      </w:pPr>
      <w:r>
        <w:rPr>
          <w:color w:val="231F20"/>
          <w:sz w:val="21"/>
        </w:rPr>
        <w:t xml:space="preserve">складання та затвердження місцевого </w:t>
      </w:r>
      <w:r>
        <w:rPr>
          <w:color w:val="231F20"/>
          <w:spacing w:val="-4"/>
          <w:sz w:val="21"/>
        </w:rPr>
        <w:t xml:space="preserve">бюджету, </w:t>
      </w:r>
      <w:r>
        <w:rPr>
          <w:color w:val="231F20"/>
          <w:sz w:val="21"/>
        </w:rPr>
        <w:t>внесення</w:t>
      </w:r>
      <w:r>
        <w:rPr>
          <w:color w:val="231F20"/>
          <w:spacing w:val="-35"/>
          <w:sz w:val="21"/>
        </w:rPr>
        <w:t xml:space="preserve"> </w:t>
      </w:r>
      <w:r>
        <w:rPr>
          <w:color w:val="231F20"/>
          <w:sz w:val="21"/>
        </w:rPr>
        <w:t>змін до нього, забезпечення його</w:t>
      </w:r>
      <w:r>
        <w:rPr>
          <w:color w:val="231F20"/>
          <w:spacing w:val="-3"/>
          <w:sz w:val="21"/>
        </w:rPr>
        <w:t xml:space="preserve"> </w:t>
      </w:r>
      <w:r>
        <w:rPr>
          <w:color w:val="231F20"/>
          <w:sz w:val="21"/>
        </w:rPr>
        <w:t>виконання;</w:t>
      </w:r>
    </w:p>
    <w:p w14:paraId="3FD4C17D" w14:textId="77777777" w:rsidR="00DE575E" w:rsidRDefault="002E7560">
      <w:pPr>
        <w:pStyle w:val="ListParagraph"/>
        <w:numPr>
          <w:ilvl w:val="0"/>
          <w:numId w:val="255"/>
        </w:numPr>
        <w:tabs>
          <w:tab w:val="left" w:pos="1101"/>
        </w:tabs>
        <w:spacing w:line="252" w:lineRule="auto"/>
        <w:ind w:right="127" w:firstLine="284"/>
        <w:rPr>
          <w:sz w:val="21"/>
        </w:rPr>
      </w:pPr>
      <w:r>
        <w:rPr>
          <w:color w:val="231F20"/>
          <w:sz w:val="21"/>
        </w:rPr>
        <w:t xml:space="preserve">управління закладами освіти, охорони здоров’я, </w:t>
      </w:r>
      <w:r>
        <w:rPr>
          <w:color w:val="231F20"/>
          <w:spacing w:val="-3"/>
          <w:sz w:val="21"/>
        </w:rPr>
        <w:t xml:space="preserve">культури, </w:t>
      </w:r>
      <w:r>
        <w:rPr>
          <w:color w:val="231F20"/>
          <w:sz w:val="21"/>
        </w:rPr>
        <w:t xml:space="preserve">фізичної </w:t>
      </w:r>
      <w:r>
        <w:rPr>
          <w:color w:val="231F20"/>
          <w:spacing w:val="-3"/>
          <w:sz w:val="21"/>
        </w:rPr>
        <w:t xml:space="preserve">культури </w:t>
      </w:r>
      <w:r>
        <w:rPr>
          <w:color w:val="231F20"/>
          <w:sz w:val="21"/>
        </w:rPr>
        <w:t xml:space="preserve">і </w:t>
      </w:r>
      <w:r>
        <w:rPr>
          <w:color w:val="231F20"/>
          <w:spacing w:val="-3"/>
          <w:sz w:val="21"/>
        </w:rPr>
        <w:t xml:space="preserve">спорту, </w:t>
      </w:r>
      <w:r>
        <w:rPr>
          <w:color w:val="231F20"/>
          <w:sz w:val="21"/>
        </w:rPr>
        <w:t>оздоровчими закладами, які належать територіальним громадам або передані їм, молодіжними підлітко- вими закладами за місцем про</w:t>
      </w:r>
      <w:r>
        <w:rPr>
          <w:color w:val="231F20"/>
          <w:sz w:val="21"/>
        </w:rPr>
        <w:t>живання; організації їх матеріально- технічного та фінансового</w:t>
      </w:r>
      <w:r>
        <w:rPr>
          <w:color w:val="231F20"/>
          <w:spacing w:val="-3"/>
          <w:sz w:val="21"/>
        </w:rPr>
        <w:t xml:space="preserve"> </w:t>
      </w:r>
      <w:r>
        <w:rPr>
          <w:color w:val="231F20"/>
          <w:sz w:val="21"/>
        </w:rPr>
        <w:t>забезпечення;</w:t>
      </w:r>
    </w:p>
    <w:p w14:paraId="600FB9D1" w14:textId="77777777" w:rsidR="00DE575E" w:rsidRDefault="002E7560">
      <w:pPr>
        <w:pStyle w:val="ListParagraph"/>
        <w:numPr>
          <w:ilvl w:val="0"/>
          <w:numId w:val="255"/>
        </w:numPr>
        <w:tabs>
          <w:tab w:val="left" w:pos="1101"/>
        </w:tabs>
        <w:spacing w:before="2"/>
        <w:ind w:firstLine="284"/>
        <w:jc w:val="left"/>
        <w:rPr>
          <w:sz w:val="21"/>
        </w:rPr>
      </w:pPr>
      <w:r>
        <w:rPr>
          <w:color w:val="231F20"/>
          <w:sz w:val="21"/>
        </w:rPr>
        <w:t>сприяння організації призову громадян на військову</w:t>
      </w:r>
      <w:r>
        <w:rPr>
          <w:color w:val="231F20"/>
          <w:spacing w:val="-8"/>
          <w:sz w:val="21"/>
        </w:rPr>
        <w:t xml:space="preserve"> </w:t>
      </w:r>
      <w:r>
        <w:rPr>
          <w:color w:val="231F20"/>
          <w:sz w:val="21"/>
        </w:rPr>
        <w:t>службу;</w:t>
      </w:r>
    </w:p>
    <w:p w14:paraId="565865DC" w14:textId="77777777" w:rsidR="00DE575E" w:rsidRDefault="00DE575E">
      <w:pPr>
        <w:pStyle w:val="BodyText"/>
        <w:spacing w:before="6"/>
        <w:rPr>
          <w:sz w:val="13"/>
        </w:rPr>
      </w:pPr>
    </w:p>
    <w:p w14:paraId="18488815" w14:textId="77777777" w:rsidR="00DE575E" w:rsidRDefault="002E7560">
      <w:pPr>
        <w:spacing w:before="91"/>
        <w:ind w:left="533"/>
        <w:rPr>
          <w:rFonts w:ascii="Times New Roman"/>
          <w:sz w:val="20"/>
        </w:rPr>
      </w:pPr>
      <w:r>
        <w:rPr>
          <w:rFonts w:ascii="Times New Roman"/>
          <w:color w:val="231F20"/>
          <w:sz w:val="20"/>
        </w:rPr>
        <w:t>118</w:t>
      </w:r>
    </w:p>
    <w:p w14:paraId="31995B55" w14:textId="77777777" w:rsidR="00DE575E" w:rsidRDefault="00DE575E">
      <w:pPr>
        <w:rPr>
          <w:rFonts w:ascii="Times New Roman"/>
          <w:sz w:val="20"/>
        </w:rPr>
        <w:sectPr w:rsidR="00DE575E">
          <w:pgSz w:w="8510" w:h="12760"/>
          <w:pgMar w:top="660" w:right="720" w:bottom="280" w:left="600" w:header="720" w:footer="720" w:gutter="0"/>
          <w:cols w:space="720"/>
        </w:sectPr>
      </w:pPr>
    </w:p>
    <w:p w14:paraId="63518D37"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4AA35FCE" w14:textId="0176558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87910F3" wp14:editId="0185B4D1">
                <wp:extent cx="4140200" cy="6350"/>
                <wp:effectExtent l="0" t="0" r="12700" b="6350"/>
                <wp:docPr id="1109"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10" name="Line 110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D66395" id="Group_x0020_110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MlULB/AgAAnAUAAA4A&#10;AAAAAAAAAAAAAAAALAIAAGRycy9lMm9Eb2MueG1sUEsBAi0AFAAGAAgAAAAhAEynsJDZAAAAAwEA&#10;AA8AAAAAAAAAAAAAAAAA1wQAAGRycy9kb3ducmV2LnhtbFBLBQYAAAAABAAEAPMAAADdBQAAAAA=&#10;">
                <v:line id="Line_x0020_110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77Xx8gAAADdAAAADwAAAGRycy9kb3ducmV2LnhtbESPQWvCQBCF74X+h2UKvRTdpEKR6CpF&#10;EEoP2hp/wJgdk9Dd2ZhdTdpf3zkUepvhvXnvm+V69E7dqI9tYAP5NANFXAXbcm3gWG4nc1AxIVt0&#10;gcnAN0VYr+7vlljYMPAn3Q6pVhLCsUADTUpdoXWsGvIYp6EjFu0ceo9J1r7WtsdBwr3Tz1n2oj22&#10;LA0NdrRpqPo6XL2B8vKU3Mf+3Q3l/jTTp8tu9nPdGfP4ML4uQCUa07/57/rNCn6eC798IyPo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77Xx8gAAADdAAAADwAAAAAA&#10;AAAAAAAAAAChAgAAZHJzL2Rvd25yZXYueG1sUEsFBgAAAAAEAAQA+QAAAJYDAAAAAA==&#10;" strokecolor="#231f20" strokeweight=".5pt"/>
                <w10:anchorlock/>
              </v:group>
            </w:pict>
          </mc:Fallback>
        </mc:AlternateContent>
      </w:r>
    </w:p>
    <w:p w14:paraId="789F4018" w14:textId="77777777" w:rsidR="00DE575E" w:rsidRDefault="00DE575E">
      <w:pPr>
        <w:pStyle w:val="BodyText"/>
        <w:spacing w:before="7"/>
        <w:rPr>
          <w:rFonts w:ascii="AdonisC"/>
          <w:i/>
          <w:sz w:val="19"/>
        </w:rPr>
      </w:pPr>
    </w:p>
    <w:p w14:paraId="106AC5E4"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організації та участі у здійсненні заходів, пов’язаних із мобілі- заційною підготовкою та цивільним</w:t>
      </w:r>
      <w:r>
        <w:rPr>
          <w:color w:val="231F20"/>
          <w:spacing w:val="-4"/>
          <w:sz w:val="21"/>
        </w:rPr>
        <w:t xml:space="preserve"> </w:t>
      </w:r>
      <w:r>
        <w:rPr>
          <w:color w:val="231F20"/>
          <w:sz w:val="21"/>
        </w:rPr>
        <w:t>захистом;</w:t>
      </w:r>
    </w:p>
    <w:p w14:paraId="6B368854" w14:textId="77777777" w:rsidR="00DE575E" w:rsidRDefault="002E7560">
      <w:pPr>
        <w:pStyle w:val="ListParagraph"/>
        <w:numPr>
          <w:ilvl w:val="0"/>
          <w:numId w:val="254"/>
        </w:numPr>
        <w:tabs>
          <w:tab w:val="left" w:pos="818"/>
        </w:tabs>
        <w:spacing w:line="252" w:lineRule="auto"/>
        <w:ind w:right="410" w:firstLine="283"/>
        <w:rPr>
          <w:sz w:val="21"/>
        </w:rPr>
      </w:pPr>
      <w:r>
        <w:rPr>
          <w:color w:val="231F20"/>
          <w:sz w:val="21"/>
        </w:rPr>
        <w:t xml:space="preserve">вирішення питань, пов’язаних із наданням військовим части- нам Збройних Сил </w:t>
      </w:r>
      <w:r>
        <w:rPr>
          <w:color w:val="231F20"/>
          <w:spacing w:val="-3"/>
          <w:sz w:val="21"/>
        </w:rPr>
        <w:t>Украї</w:t>
      </w:r>
      <w:r>
        <w:rPr>
          <w:color w:val="231F20"/>
          <w:spacing w:val="-3"/>
          <w:sz w:val="21"/>
        </w:rPr>
        <w:t xml:space="preserve">ни </w:t>
      </w:r>
      <w:r>
        <w:rPr>
          <w:color w:val="231F20"/>
          <w:sz w:val="21"/>
        </w:rPr>
        <w:t xml:space="preserve">службових приміщень і житлової площі, інших </w:t>
      </w:r>
      <w:r>
        <w:rPr>
          <w:color w:val="231F20"/>
          <w:spacing w:val="-3"/>
          <w:sz w:val="21"/>
        </w:rPr>
        <w:t xml:space="preserve">об’єктів, </w:t>
      </w:r>
      <w:r>
        <w:rPr>
          <w:color w:val="231F20"/>
          <w:sz w:val="21"/>
        </w:rPr>
        <w:t>а також комунально-побутових послуг; здійснення контролю за їх використанням, наданням</w:t>
      </w:r>
      <w:r>
        <w:rPr>
          <w:color w:val="231F20"/>
          <w:spacing w:val="-2"/>
          <w:sz w:val="21"/>
        </w:rPr>
        <w:t xml:space="preserve"> </w:t>
      </w:r>
      <w:r>
        <w:rPr>
          <w:color w:val="231F20"/>
          <w:sz w:val="21"/>
        </w:rPr>
        <w:t>послуг;</w:t>
      </w:r>
    </w:p>
    <w:p w14:paraId="2618E9D1" w14:textId="77777777" w:rsidR="00DE575E" w:rsidRDefault="002E7560">
      <w:pPr>
        <w:pStyle w:val="ListParagraph"/>
        <w:numPr>
          <w:ilvl w:val="0"/>
          <w:numId w:val="254"/>
        </w:numPr>
        <w:tabs>
          <w:tab w:val="left" w:pos="818"/>
        </w:tabs>
        <w:spacing w:before="2" w:line="252" w:lineRule="auto"/>
        <w:ind w:right="410" w:firstLine="283"/>
        <w:rPr>
          <w:sz w:val="21"/>
        </w:rPr>
      </w:pPr>
      <w:r>
        <w:rPr>
          <w:color w:val="231F20"/>
          <w:sz w:val="21"/>
        </w:rPr>
        <w:t xml:space="preserve">сприяння організації виробництва й поставок до війська підприємствами та організаціями, що перебувають у комунальній власності, замовленої продукції, </w:t>
      </w:r>
      <w:r>
        <w:rPr>
          <w:color w:val="231F20"/>
          <w:spacing w:val="-3"/>
          <w:sz w:val="21"/>
        </w:rPr>
        <w:t>послуг,</w:t>
      </w:r>
      <w:r>
        <w:rPr>
          <w:color w:val="231F20"/>
          <w:spacing w:val="-7"/>
          <w:sz w:val="21"/>
        </w:rPr>
        <w:t xml:space="preserve"> </w:t>
      </w:r>
      <w:r>
        <w:rPr>
          <w:color w:val="231F20"/>
          <w:sz w:val="21"/>
        </w:rPr>
        <w:t>енергоресурсів;</w:t>
      </w:r>
    </w:p>
    <w:p w14:paraId="24CEAE99"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здійснення заходів щодо створення належних умов для функ- ціонування пунктів пропу</w:t>
      </w:r>
      <w:r>
        <w:rPr>
          <w:color w:val="231F20"/>
          <w:sz w:val="21"/>
        </w:rPr>
        <w:t>ску через державний кордон</w:t>
      </w:r>
      <w:r>
        <w:rPr>
          <w:color w:val="231F20"/>
          <w:spacing w:val="-7"/>
          <w:sz w:val="21"/>
        </w:rPr>
        <w:t xml:space="preserve"> </w:t>
      </w:r>
      <w:r>
        <w:rPr>
          <w:color w:val="231F20"/>
          <w:spacing w:val="-3"/>
          <w:sz w:val="21"/>
        </w:rPr>
        <w:t>України;</w:t>
      </w:r>
    </w:p>
    <w:p w14:paraId="280CFBD9"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 xml:space="preserve">установлення охорони важливих </w:t>
      </w:r>
      <w:r>
        <w:rPr>
          <w:color w:val="231F20"/>
          <w:spacing w:val="-4"/>
          <w:sz w:val="21"/>
        </w:rPr>
        <w:t xml:space="preserve">об’єктів </w:t>
      </w:r>
      <w:r>
        <w:rPr>
          <w:color w:val="231F20"/>
          <w:sz w:val="21"/>
        </w:rPr>
        <w:t xml:space="preserve">національної еконо- міки </w:t>
      </w:r>
      <w:r>
        <w:rPr>
          <w:color w:val="231F20"/>
          <w:spacing w:val="-3"/>
          <w:sz w:val="21"/>
        </w:rPr>
        <w:t xml:space="preserve">України, </w:t>
      </w:r>
      <w:r>
        <w:rPr>
          <w:color w:val="231F20"/>
          <w:sz w:val="21"/>
        </w:rPr>
        <w:t>які забезпечують життєдіяльність</w:t>
      </w:r>
      <w:r>
        <w:rPr>
          <w:color w:val="231F20"/>
          <w:spacing w:val="-2"/>
          <w:sz w:val="21"/>
        </w:rPr>
        <w:t xml:space="preserve"> </w:t>
      </w:r>
      <w:r>
        <w:rPr>
          <w:color w:val="231F20"/>
          <w:sz w:val="21"/>
        </w:rPr>
        <w:t>населення;</w:t>
      </w:r>
    </w:p>
    <w:p w14:paraId="15268CA0" w14:textId="77777777" w:rsidR="00DE575E" w:rsidRDefault="002E7560">
      <w:pPr>
        <w:pStyle w:val="ListParagraph"/>
        <w:numPr>
          <w:ilvl w:val="0"/>
          <w:numId w:val="254"/>
        </w:numPr>
        <w:tabs>
          <w:tab w:val="left" w:pos="818"/>
        </w:tabs>
        <w:spacing w:line="252" w:lineRule="auto"/>
        <w:ind w:right="412" w:firstLine="283"/>
        <w:rPr>
          <w:sz w:val="21"/>
        </w:rPr>
      </w:pPr>
      <w:r>
        <w:rPr>
          <w:color w:val="231F20"/>
          <w:sz w:val="21"/>
        </w:rPr>
        <w:t>здійснення заходів щодо військово-патріотичного виховання населення;</w:t>
      </w:r>
    </w:p>
    <w:p w14:paraId="02ED92F9" w14:textId="77777777" w:rsidR="00DE575E" w:rsidRDefault="002E7560">
      <w:pPr>
        <w:pStyle w:val="ListParagraph"/>
        <w:numPr>
          <w:ilvl w:val="0"/>
          <w:numId w:val="254"/>
        </w:numPr>
        <w:tabs>
          <w:tab w:val="left" w:pos="818"/>
        </w:tabs>
        <w:spacing w:line="252" w:lineRule="auto"/>
        <w:ind w:right="409" w:firstLine="283"/>
        <w:rPr>
          <w:sz w:val="21"/>
        </w:rPr>
      </w:pPr>
      <w:r>
        <w:rPr>
          <w:color w:val="231F20"/>
          <w:sz w:val="21"/>
        </w:rPr>
        <w:t xml:space="preserve">сприяння діяльності органів </w:t>
      </w:r>
      <w:r>
        <w:rPr>
          <w:color w:val="231F20"/>
          <w:spacing w:val="-7"/>
          <w:sz w:val="21"/>
        </w:rPr>
        <w:t xml:space="preserve">суду, </w:t>
      </w:r>
      <w:r>
        <w:rPr>
          <w:color w:val="231F20"/>
          <w:sz w:val="21"/>
        </w:rPr>
        <w:t xml:space="preserve">прокуратури, юстиції, служби безпеки, Національної поліції, адвокатури, Національного антикорупційного бюро </w:t>
      </w:r>
      <w:r>
        <w:rPr>
          <w:color w:val="231F20"/>
          <w:spacing w:val="-3"/>
          <w:sz w:val="21"/>
        </w:rPr>
        <w:t xml:space="preserve">України </w:t>
      </w:r>
      <w:r>
        <w:rPr>
          <w:color w:val="231F20"/>
          <w:sz w:val="21"/>
        </w:rPr>
        <w:t>та Державної кримінально-вико- навчої служби</w:t>
      </w:r>
      <w:r>
        <w:rPr>
          <w:color w:val="231F20"/>
          <w:spacing w:val="-1"/>
          <w:sz w:val="21"/>
        </w:rPr>
        <w:t xml:space="preserve"> </w:t>
      </w:r>
      <w:r>
        <w:rPr>
          <w:color w:val="231F20"/>
          <w:spacing w:val="-3"/>
          <w:sz w:val="21"/>
        </w:rPr>
        <w:t>України;</w:t>
      </w:r>
    </w:p>
    <w:p w14:paraId="6F2BFA73" w14:textId="77777777" w:rsidR="00DE575E" w:rsidRDefault="002E7560">
      <w:pPr>
        <w:pStyle w:val="ListParagraph"/>
        <w:numPr>
          <w:ilvl w:val="0"/>
          <w:numId w:val="254"/>
        </w:numPr>
        <w:tabs>
          <w:tab w:val="left" w:pos="818"/>
        </w:tabs>
        <w:spacing w:before="2" w:line="252" w:lineRule="auto"/>
        <w:ind w:right="408" w:firstLine="283"/>
        <w:rPr>
          <w:sz w:val="21"/>
        </w:rPr>
      </w:pPr>
      <w:r>
        <w:rPr>
          <w:color w:val="231F20"/>
          <w:sz w:val="21"/>
        </w:rPr>
        <w:t>заслуховування інформації прокурорів та керівників органів Національної поліції про ст</w:t>
      </w:r>
      <w:r>
        <w:rPr>
          <w:color w:val="231F20"/>
          <w:sz w:val="21"/>
        </w:rPr>
        <w:t xml:space="preserve">ан законності, боротьби із злочинністю, охорони громадського порядку та </w:t>
      </w:r>
      <w:r>
        <w:rPr>
          <w:color w:val="231F20"/>
          <w:spacing w:val="-3"/>
          <w:sz w:val="21"/>
        </w:rPr>
        <w:t xml:space="preserve">результати </w:t>
      </w:r>
      <w:r>
        <w:rPr>
          <w:color w:val="231F20"/>
          <w:sz w:val="21"/>
        </w:rPr>
        <w:t>діяльності на відпо- відній</w:t>
      </w:r>
      <w:r>
        <w:rPr>
          <w:color w:val="231F20"/>
          <w:spacing w:val="-1"/>
          <w:sz w:val="21"/>
        </w:rPr>
        <w:t xml:space="preserve"> </w:t>
      </w:r>
      <w:r>
        <w:rPr>
          <w:color w:val="231F20"/>
          <w:sz w:val="21"/>
        </w:rPr>
        <w:t>території;</w:t>
      </w:r>
    </w:p>
    <w:p w14:paraId="0533FD21" w14:textId="77777777" w:rsidR="00DE575E" w:rsidRDefault="002E7560">
      <w:pPr>
        <w:pStyle w:val="ListParagraph"/>
        <w:numPr>
          <w:ilvl w:val="0"/>
          <w:numId w:val="254"/>
        </w:numPr>
        <w:tabs>
          <w:tab w:val="left" w:pos="818"/>
        </w:tabs>
        <w:spacing w:before="2" w:line="252" w:lineRule="auto"/>
        <w:ind w:right="411" w:firstLine="283"/>
        <w:rPr>
          <w:sz w:val="21"/>
        </w:rPr>
      </w:pPr>
      <w:r>
        <w:rPr>
          <w:color w:val="231F20"/>
          <w:sz w:val="21"/>
        </w:rPr>
        <w:t xml:space="preserve">скасування актів виконавчих органів відповідної ради, які не відповідають Конституції, законам </w:t>
      </w:r>
      <w:r>
        <w:rPr>
          <w:color w:val="231F20"/>
          <w:spacing w:val="-3"/>
          <w:sz w:val="21"/>
        </w:rPr>
        <w:t xml:space="preserve">України, </w:t>
      </w:r>
      <w:r>
        <w:rPr>
          <w:color w:val="231F20"/>
          <w:sz w:val="21"/>
        </w:rPr>
        <w:t>іншим актам законо- давства, р</w:t>
      </w:r>
      <w:r>
        <w:rPr>
          <w:color w:val="231F20"/>
          <w:sz w:val="21"/>
        </w:rPr>
        <w:t>ішенням відповідної ради, ухваленим у межах її повно- важень;</w:t>
      </w:r>
    </w:p>
    <w:p w14:paraId="36827C08" w14:textId="77777777" w:rsidR="00DE575E" w:rsidRDefault="002E7560">
      <w:pPr>
        <w:pStyle w:val="ListParagraph"/>
        <w:numPr>
          <w:ilvl w:val="0"/>
          <w:numId w:val="254"/>
        </w:numPr>
        <w:tabs>
          <w:tab w:val="left" w:pos="818"/>
        </w:tabs>
        <w:spacing w:before="2" w:line="252" w:lineRule="auto"/>
        <w:ind w:right="411" w:firstLine="283"/>
        <w:rPr>
          <w:sz w:val="21"/>
        </w:rPr>
      </w:pPr>
      <w:r>
        <w:rPr>
          <w:color w:val="231F20"/>
          <w:sz w:val="21"/>
        </w:rPr>
        <w:t>ухвалення</w:t>
      </w:r>
      <w:r>
        <w:rPr>
          <w:color w:val="231F20"/>
          <w:spacing w:val="-7"/>
          <w:sz w:val="21"/>
        </w:rPr>
        <w:t xml:space="preserve"> </w:t>
      </w:r>
      <w:r>
        <w:rPr>
          <w:color w:val="231F20"/>
          <w:sz w:val="21"/>
        </w:rPr>
        <w:t>рішень</w:t>
      </w:r>
      <w:r>
        <w:rPr>
          <w:color w:val="231F20"/>
          <w:spacing w:val="-7"/>
          <w:sz w:val="21"/>
        </w:rPr>
        <w:t xml:space="preserve"> </w:t>
      </w:r>
      <w:r>
        <w:rPr>
          <w:color w:val="231F20"/>
          <w:sz w:val="21"/>
        </w:rPr>
        <w:t>щодо</w:t>
      </w:r>
      <w:r>
        <w:rPr>
          <w:color w:val="231F20"/>
          <w:spacing w:val="-7"/>
          <w:sz w:val="21"/>
        </w:rPr>
        <w:t xml:space="preserve"> </w:t>
      </w:r>
      <w:r>
        <w:rPr>
          <w:color w:val="231F20"/>
          <w:sz w:val="21"/>
        </w:rPr>
        <w:t>організації</w:t>
      </w:r>
      <w:r>
        <w:rPr>
          <w:color w:val="231F20"/>
          <w:spacing w:val="-7"/>
          <w:sz w:val="21"/>
        </w:rPr>
        <w:t xml:space="preserve"> </w:t>
      </w:r>
      <w:r>
        <w:rPr>
          <w:color w:val="231F20"/>
          <w:sz w:val="21"/>
        </w:rPr>
        <w:t>проведення</w:t>
      </w:r>
      <w:r>
        <w:rPr>
          <w:color w:val="231F20"/>
          <w:spacing w:val="-7"/>
          <w:sz w:val="21"/>
        </w:rPr>
        <w:t xml:space="preserve"> </w:t>
      </w:r>
      <w:r>
        <w:rPr>
          <w:color w:val="231F20"/>
          <w:sz w:val="21"/>
        </w:rPr>
        <w:t>в</w:t>
      </w:r>
      <w:r>
        <w:rPr>
          <w:color w:val="231F20"/>
          <w:spacing w:val="-6"/>
          <w:sz w:val="21"/>
        </w:rPr>
        <w:t xml:space="preserve"> </w:t>
      </w:r>
      <w:r>
        <w:rPr>
          <w:color w:val="231F20"/>
          <w:sz w:val="21"/>
        </w:rPr>
        <w:t>межах</w:t>
      </w:r>
      <w:r>
        <w:rPr>
          <w:color w:val="231F20"/>
          <w:spacing w:val="-7"/>
          <w:sz w:val="21"/>
        </w:rPr>
        <w:t xml:space="preserve"> </w:t>
      </w:r>
      <w:r>
        <w:rPr>
          <w:color w:val="231F20"/>
          <w:sz w:val="21"/>
        </w:rPr>
        <w:t>відпо- відної адміністративно-територіальної одиниці виборів органів державної влади, місцевого самоврядування та сільського, селищ- ного, мі</w:t>
      </w:r>
      <w:r>
        <w:rPr>
          <w:color w:val="231F20"/>
          <w:sz w:val="21"/>
        </w:rPr>
        <w:t>ського</w:t>
      </w:r>
      <w:r>
        <w:rPr>
          <w:color w:val="231F20"/>
          <w:spacing w:val="-1"/>
          <w:sz w:val="21"/>
        </w:rPr>
        <w:t xml:space="preserve"> </w:t>
      </w:r>
      <w:r>
        <w:rPr>
          <w:color w:val="231F20"/>
          <w:sz w:val="21"/>
        </w:rPr>
        <w:t>голови;</w:t>
      </w:r>
    </w:p>
    <w:p w14:paraId="46DD1CB7" w14:textId="77777777" w:rsidR="00DE575E" w:rsidRDefault="002E7560">
      <w:pPr>
        <w:pStyle w:val="ListParagraph"/>
        <w:numPr>
          <w:ilvl w:val="0"/>
          <w:numId w:val="254"/>
        </w:numPr>
        <w:tabs>
          <w:tab w:val="left" w:pos="818"/>
        </w:tabs>
        <w:spacing w:before="2" w:line="252" w:lineRule="auto"/>
        <w:ind w:right="410" w:firstLine="283"/>
        <w:rPr>
          <w:sz w:val="21"/>
        </w:rPr>
      </w:pPr>
      <w:r>
        <w:rPr>
          <w:color w:val="231F20"/>
          <w:sz w:val="21"/>
        </w:rPr>
        <w:t>ухвалення в межах, визначених законом, рішень з питань боротьби</w:t>
      </w:r>
      <w:r>
        <w:rPr>
          <w:color w:val="231F20"/>
          <w:spacing w:val="-15"/>
          <w:sz w:val="21"/>
        </w:rPr>
        <w:t xml:space="preserve"> </w:t>
      </w:r>
      <w:r>
        <w:rPr>
          <w:color w:val="231F20"/>
          <w:sz w:val="21"/>
        </w:rPr>
        <w:t>зі</w:t>
      </w:r>
      <w:r>
        <w:rPr>
          <w:color w:val="231F20"/>
          <w:spacing w:val="-15"/>
          <w:sz w:val="21"/>
        </w:rPr>
        <w:t xml:space="preserve"> </w:t>
      </w:r>
      <w:r>
        <w:rPr>
          <w:color w:val="231F20"/>
          <w:sz w:val="21"/>
        </w:rPr>
        <w:t>стихійним</w:t>
      </w:r>
      <w:r>
        <w:rPr>
          <w:color w:val="231F20"/>
          <w:spacing w:val="-15"/>
          <w:sz w:val="21"/>
        </w:rPr>
        <w:t xml:space="preserve"> </w:t>
      </w:r>
      <w:r>
        <w:rPr>
          <w:color w:val="231F20"/>
          <w:sz w:val="21"/>
        </w:rPr>
        <w:t>лихом,</w:t>
      </w:r>
      <w:r>
        <w:rPr>
          <w:color w:val="231F20"/>
          <w:spacing w:val="-15"/>
          <w:sz w:val="21"/>
        </w:rPr>
        <w:t xml:space="preserve"> </w:t>
      </w:r>
      <w:r>
        <w:rPr>
          <w:color w:val="231F20"/>
          <w:sz w:val="21"/>
        </w:rPr>
        <w:t>епідеміями,</w:t>
      </w:r>
      <w:r>
        <w:rPr>
          <w:color w:val="231F20"/>
          <w:spacing w:val="-15"/>
          <w:sz w:val="21"/>
        </w:rPr>
        <w:t xml:space="preserve"> </w:t>
      </w:r>
      <w:r>
        <w:rPr>
          <w:color w:val="231F20"/>
          <w:sz w:val="21"/>
        </w:rPr>
        <w:t>епізоотіями,</w:t>
      </w:r>
      <w:r>
        <w:rPr>
          <w:color w:val="231F20"/>
          <w:spacing w:val="-15"/>
          <w:sz w:val="21"/>
        </w:rPr>
        <w:t xml:space="preserve"> </w:t>
      </w:r>
      <w:r>
        <w:rPr>
          <w:color w:val="231F20"/>
          <w:sz w:val="21"/>
        </w:rPr>
        <w:t>за</w:t>
      </w:r>
      <w:r>
        <w:rPr>
          <w:color w:val="231F20"/>
          <w:spacing w:val="-15"/>
          <w:sz w:val="21"/>
        </w:rPr>
        <w:t xml:space="preserve"> </w:t>
      </w:r>
      <w:r>
        <w:rPr>
          <w:color w:val="231F20"/>
          <w:sz w:val="21"/>
        </w:rPr>
        <w:t>порушення яких передбачено адміністративну</w:t>
      </w:r>
      <w:r>
        <w:rPr>
          <w:color w:val="231F20"/>
          <w:spacing w:val="-3"/>
          <w:sz w:val="21"/>
        </w:rPr>
        <w:t xml:space="preserve"> </w:t>
      </w:r>
      <w:r>
        <w:rPr>
          <w:color w:val="231F20"/>
          <w:sz w:val="21"/>
        </w:rPr>
        <w:t>відповідальність;</w:t>
      </w:r>
    </w:p>
    <w:p w14:paraId="2BA38235" w14:textId="77777777" w:rsidR="00DE575E" w:rsidRDefault="002E7560">
      <w:pPr>
        <w:pStyle w:val="ListParagraph"/>
        <w:numPr>
          <w:ilvl w:val="0"/>
          <w:numId w:val="254"/>
        </w:numPr>
        <w:tabs>
          <w:tab w:val="left" w:pos="818"/>
        </w:tabs>
        <w:spacing w:line="252" w:lineRule="auto"/>
        <w:ind w:right="410" w:firstLine="283"/>
        <w:rPr>
          <w:sz w:val="21"/>
        </w:rPr>
      </w:pPr>
      <w:r>
        <w:rPr>
          <w:color w:val="231F20"/>
          <w:sz w:val="21"/>
        </w:rPr>
        <w:t>визначення територій, на яких можуть проводитися потен- ційно</w:t>
      </w:r>
      <w:r>
        <w:rPr>
          <w:color w:val="231F20"/>
          <w:spacing w:val="-10"/>
          <w:sz w:val="21"/>
        </w:rPr>
        <w:t xml:space="preserve"> </w:t>
      </w:r>
      <w:r>
        <w:rPr>
          <w:color w:val="231F20"/>
          <w:sz w:val="21"/>
        </w:rPr>
        <w:t>небезп</w:t>
      </w:r>
      <w:r>
        <w:rPr>
          <w:color w:val="231F20"/>
          <w:sz w:val="21"/>
        </w:rPr>
        <w:t>ечні</w:t>
      </w:r>
      <w:r>
        <w:rPr>
          <w:color w:val="231F20"/>
          <w:spacing w:val="-10"/>
          <w:sz w:val="21"/>
        </w:rPr>
        <w:t xml:space="preserve"> </w:t>
      </w:r>
      <w:r>
        <w:rPr>
          <w:color w:val="231F20"/>
          <w:spacing w:val="-2"/>
          <w:sz w:val="21"/>
        </w:rPr>
        <w:t>заходи</w:t>
      </w:r>
      <w:r>
        <w:rPr>
          <w:color w:val="231F20"/>
          <w:spacing w:val="-10"/>
          <w:sz w:val="21"/>
        </w:rPr>
        <w:t xml:space="preserve"> </w:t>
      </w:r>
      <w:r>
        <w:rPr>
          <w:color w:val="231F20"/>
          <w:sz w:val="21"/>
        </w:rPr>
        <w:t>в</w:t>
      </w:r>
      <w:r>
        <w:rPr>
          <w:color w:val="231F20"/>
          <w:spacing w:val="-10"/>
          <w:sz w:val="21"/>
        </w:rPr>
        <w:t xml:space="preserve"> </w:t>
      </w:r>
      <w:r>
        <w:rPr>
          <w:color w:val="231F20"/>
          <w:sz w:val="21"/>
        </w:rPr>
        <w:t>умовах</w:t>
      </w:r>
      <w:r>
        <w:rPr>
          <w:color w:val="231F20"/>
          <w:spacing w:val="-10"/>
          <w:sz w:val="21"/>
        </w:rPr>
        <w:t xml:space="preserve"> </w:t>
      </w:r>
      <w:r>
        <w:rPr>
          <w:color w:val="231F20"/>
          <w:sz w:val="21"/>
        </w:rPr>
        <w:t>присутності</w:t>
      </w:r>
      <w:r>
        <w:rPr>
          <w:color w:val="231F20"/>
          <w:spacing w:val="-10"/>
          <w:sz w:val="21"/>
        </w:rPr>
        <w:t xml:space="preserve"> </w:t>
      </w:r>
      <w:r>
        <w:rPr>
          <w:color w:val="231F20"/>
          <w:sz w:val="21"/>
        </w:rPr>
        <w:t>цивільного</w:t>
      </w:r>
      <w:r>
        <w:rPr>
          <w:color w:val="231F20"/>
          <w:spacing w:val="-10"/>
          <w:sz w:val="21"/>
        </w:rPr>
        <w:t xml:space="preserve"> </w:t>
      </w:r>
      <w:r>
        <w:rPr>
          <w:color w:val="231F20"/>
          <w:sz w:val="21"/>
        </w:rPr>
        <w:t>населення за</w:t>
      </w:r>
      <w:r>
        <w:rPr>
          <w:color w:val="231F20"/>
          <w:spacing w:val="-8"/>
          <w:sz w:val="21"/>
        </w:rPr>
        <w:t xml:space="preserve"> </w:t>
      </w:r>
      <w:r>
        <w:rPr>
          <w:color w:val="231F20"/>
          <w:sz w:val="21"/>
        </w:rPr>
        <w:t>участю</w:t>
      </w:r>
      <w:r>
        <w:rPr>
          <w:color w:val="231F20"/>
          <w:spacing w:val="-8"/>
          <w:sz w:val="21"/>
        </w:rPr>
        <w:t xml:space="preserve"> </w:t>
      </w:r>
      <w:r>
        <w:rPr>
          <w:color w:val="231F20"/>
          <w:sz w:val="21"/>
        </w:rPr>
        <w:t>особового</w:t>
      </w:r>
      <w:r>
        <w:rPr>
          <w:color w:val="231F20"/>
          <w:spacing w:val="-8"/>
          <w:sz w:val="21"/>
        </w:rPr>
        <w:t xml:space="preserve"> </w:t>
      </w:r>
      <w:r>
        <w:rPr>
          <w:color w:val="231F20"/>
          <w:sz w:val="21"/>
        </w:rPr>
        <w:t>складу</w:t>
      </w:r>
      <w:r>
        <w:rPr>
          <w:color w:val="231F20"/>
          <w:spacing w:val="-8"/>
          <w:sz w:val="21"/>
        </w:rPr>
        <w:t xml:space="preserve"> </w:t>
      </w:r>
      <w:r>
        <w:rPr>
          <w:color w:val="231F20"/>
          <w:sz w:val="21"/>
        </w:rPr>
        <w:t>Збройних</w:t>
      </w:r>
      <w:r>
        <w:rPr>
          <w:color w:val="231F20"/>
          <w:spacing w:val="-8"/>
          <w:sz w:val="21"/>
        </w:rPr>
        <w:t xml:space="preserve"> </w:t>
      </w:r>
      <w:r>
        <w:rPr>
          <w:color w:val="231F20"/>
          <w:sz w:val="21"/>
        </w:rPr>
        <w:t>Сил</w:t>
      </w:r>
      <w:r>
        <w:rPr>
          <w:color w:val="231F20"/>
          <w:spacing w:val="-8"/>
          <w:sz w:val="21"/>
        </w:rPr>
        <w:t xml:space="preserve"> </w:t>
      </w:r>
      <w:r>
        <w:rPr>
          <w:color w:val="231F20"/>
          <w:spacing w:val="-3"/>
          <w:sz w:val="21"/>
        </w:rPr>
        <w:t>України,</w:t>
      </w:r>
      <w:r>
        <w:rPr>
          <w:color w:val="231F20"/>
          <w:spacing w:val="-8"/>
          <w:sz w:val="21"/>
        </w:rPr>
        <w:t xml:space="preserve"> </w:t>
      </w:r>
      <w:r>
        <w:rPr>
          <w:color w:val="231F20"/>
          <w:sz w:val="21"/>
        </w:rPr>
        <w:t>інших</w:t>
      </w:r>
      <w:r>
        <w:rPr>
          <w:color w:val="231F20"/>
          <w:spacing w:val="-8"/>
          <w:sz w:val="21"/>
        </w:rPr>
        <w:t xml:space="preserve"> </w:t>
      </w:r>
      <w:r>
        <w:rPr>
          <w:color w:val="231F20"/>
          <w:sz w:val="21"/>
        </w:rPr>
        <w:t>військових формувань та правоохоронних органів з використанням озброєння і військової</w:t>
      </w:r>
      <w:r>
        <w:rPr>
          <w:color w:val="231F20"/>
          <w:spacing w:val="-2"/>
          <w:sz w:val="21"/>
        </w:rPr>
        <w:t xml:space="preserve"> </w:t>
      </w:r>
      <w:r>
        <w:rPr>
          <w:color w:val="231F20"/>
          <w:sz w:val="21"/>
        </w:rPr>
        <w:t>техніки;</w:t>
      </w:r>
    </w:p>
    <w:p w14:paraId="3AC6EA0B" w14:textId="77777777" w:rsidR="00DE575E" w:rsidRDefault="00DE575E">
      <w:pPr>
        <w:pStyle w:val="BodyText"/>
        <w:spacing w:before="7"/>
        <w:rPr>
          <w:sz w:val="12"/>
        </w:rPr>
      </w:pPr>
    </w:p>
    <w:p w14:paraId="7C0D8A13" w14:textId="77777777" w:rsidR="00DE575E" w:rsidRDefault="002E7560">
      <w:pPr>
        <w:spacing w:before="92"/>
        <w:ind w:right="411"/>
        <w:jc w:val="right"/>
        <w:rPr>
          <w:rFonts w:ascii="Times New Roman"/>
          <w:sz w:val="20"/>
        </w:rPr>
      </w:pPr>
      <w:r>
        <w:rPr>
          <w:rFonts w:ascii="Times New Roman"/>
          <w:color w:val="231F20"/>
          <w:w w:val="90"/>
          <w:sz w:val="20"/>
        </w:rPr>
        <w:t>119</w:t>
      </w:r>
    </w:p>
    <w:p w14:paraId="2E76F23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435FBDF"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460C6B16" w14:textId="22F233D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A364C39" wp14:editId="4B51FA0A">
                <wp:extent cx="4140200" cy="6350"/>
                <wp:effectExtent l="0" t="0" r="12700" b="6350"/>
                <wp:docPr id="1107"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08" name="Line 110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63DB3" id="Group_x0020_110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N+Om+gAIAAJwFAAAO&#10;AAAAAAAAAAAAAAAAACwCAABkcnMvZTJvRG9jLnhtbFBLAQItABQABgAIAAAAIQBMp7CQ2QAAAAMB&#10;AAAPAAAAAAAAAAAAAAAAANgEAABkcnMvZG93bnJldi54bWxQSwUGAAAAAAQABADzAAAA3gUAAAAA&#10;">
                <v:line id="Line_x0020_110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FNHMcAAADdAAAADwAAAGRycy9kb3ducmV2LnhtbESPQWvCQBCF74X+h2UKvZS6sUKR6Coi&#10;CKUHbU1/wJgdk+DubMyuJu2v7xwEbzO8N+99M18O3qkrdbEJbGA8ykARl8E2XBn4KTavU1AxIVt0&#10;gcnAL0VYLh4f5pjb0PM3XfepUhLCMUcDdUptrnUsa/IYR6ElFu0YOo9J1q7StsNewr3Tb1n2rj02&#10;LA01trSuqTztL95AcX5J7mv36fpid5jow3k7+btsjXl+GlYzUImGdDffrj+s4I8zwZVvZAS9+A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EU0cxwAAAN0AAAAPAAAAAAAA&#10;AAAAAAAAAKECAABkcnMvZG93bnJldi54bWxQSwUGAAAAAAQABAD5AAAAlQMAAAAA&#10;" strokecolor="#231f20" strokeweight=".5pt"/>
                <w10:anchorlock/>
              </v:group>
            </w:pict>
          </mc:Fallback>
        </mc:AlternateContent>
      </w:r>
    </w:p>
    <w:p w14:paraId="6574F2FF" w14:textId="77777777" w:rsidR="00DE575E" w:rsidRDefault="00DE575E">
      <w:pPr>
        <w:pStyle w:val="BodyText"/>
        <w:spacing w:before="7"/>
        <w:rPr>
          <w:rFonts w:ascii="AdonisC"/>
          <w:i/>
          <w:sz w:val="11"/>
        </w:rPr>
      </w:pPr>
    </w:p>
    <w:p w14:paraId="529B0FD4" w14:textId="77777777" w:rsidR="00DE575E" w:rsidRDefault="002E7560">
      <w:pPr>
        <w:pStyle w:val="ListParagraph"/>
        <w:numPr>
          <w:ilvl w:val="0"/>
          <w:numId w:val="253"/>
        </w:numPr>
        <w:tabs>
          <w:tab w:val="left" w:pos="1101"/>
        </w:tabs>
        <w:spacing w:before="101" w:line="252" w:lineRule="auto"/>
        <w:ind w:right="128" w:firstLine="284"/>
        <w:rPr>
          <w:sz w:val="21"/>
        </w:rPr>
      </w:pPr>
      <w:r>
        <w:rPr>
          <w:color w:val="231F20"/>
          <w:sz w:val="21"/>
        </w:rPr>
        <w:t>ухвалення рішення про дострокове припинення повноважень органів територіальної самоорганізації</w:t>
      </w:r>
      <w:r>
        <w:rPr>
          <w:color w:val="231F20"/>
          <w:spacing w:val="-3"/>
          <w:sz w:val="21"/>
        </w:rPr>
        <w:t xml:space="preserve"> </w:t>
      </w:r>
      <w:r>
        <w:rPr>
          <w:color w:val="231F20"/>
          <w:sz w:val="21"/>
        </w:rPr>
        <w:t>населення;</w:t>
      </w:r>
    </w:p>
    <w:p w14:paraId="21BB2723" w14:textId="77777777" w:rsidR="00DE575E" w:rsidRDefault="002E7560">
      <w:pPr>
        <w:pStyle w:val="ListParagraph"/>
        <w:numPr>
          <w:ilvl w:val="0"/>
          <w:numId w:val="253"/>
        </w:numPr>
        <w:tabs>
          <w:tab w:val="left" w:pos="1101"/>
        </w:tabs>
        <w:spacing w:line="252" w:lineRule="auto"/>
        <w:ind w:right="127" w:firstLine="284"/>
        <w:rPr>
          <w:sz w:val="21"/>
        </w:rPr>
      </w:pPr>
      <w:r>
        <w:rPr>
          <w:color w:val="231F20"/>
          <w:sz w:val="21"/>
        </w:rPr>
        <w:t>забезпечення утримання в належному стані кладовищ, інших місць похованн</w:t>
      </w:r>
      <w:r>
        <w:rPr>
          <w:color w:val="231F20"/>
          <w:sz w:val="21"/>
        </w:rPr>
        <w:t>я та їх охорони та</w:t>
      </w:r>
      <w:r>
        <w:rPr>
          <w:color w:val="231F20"/>
          <w:spacing w:val="-4"/>
          <w:sz w:val="21"/>
        </w:rPr>
        <w:t xml:space="preserve"> </w:t>
      </w:r>
      <w:r>
        <w:rPr>
          <w:color w:val="231F20"/>
          <w:sz w:val="21"/>
        </w:rPr>
        <w:t>ін.</w:t>
      </w:r>
    </w:p>
    <w:p w14:paraId="23D92B81" w14:textId="77777777" w:rsidR="00DE575E" w:rsidRDefault="002E7560">
      <w:pPr>
        <w:pStyle w:val="ListParagraph"/>
        <w:numPr>
          <w:ilvl w:val="0"/>
          <w:numId w:val="253"/>
        </w:numPr>
        <w:tabs>
          <w:tab w:val="left" w:pos="1101"/>
        </w:tabs>
        <w:spacing w:line="252" w:lineRule="auto"/>
        <w:ind w:right="127" w:firstLine="284"/>
        <w:rPr>
          <w:sz w:val="21"/>
        </w:rPr>
      </w:pPr>
      <w:r>
        <w:rPr>
          <w:color w:val="231F20"/>
          <w:sz w:val="21"/>
        </w:rPr>
        <w:t>забезпечення утримання в належному стані кладовищ, інших місць поховання та їх охорони та</w:t>
      </w:r>
      <w:r>
        <w:rPr>
          <w:color w:val="231F20"/>
          <w:spacing w:val="-4"/>
          <w:sz w:val="21"/>
        </w:rPr>
        <w:t xml:space="preserve"> </w:t>
      </w:r>
      <w:r>
        <w:rPr>
          <w:color w:val="231F20"/>
          <w:sz w:val="21"/>
        </w:rPr>
        <w:t>ін.</w:t>
      </w:r>
    </w:p>
    <w:p w14:paraId="5D66B9C5" w14:textId="77777777" w:rsidR="00DE575E" w:rsidRDefault="002E7560">
      <w:pPr>
        <w:pStyle w:val="Heading6"/>
        <w:ind w:left="817" w:firstLine="0"/>
      </w:pPr>
      <w:r>
        <w:rPr>
          <w:color w:val="231F20"/>
        </w:rPr>
        <w:t>Права військово-цивільних адміністрацій:</w:t>
      </w:r>
    </w:p>
    <w:p w14:paraId="48F1A677" w14:textId="77777777" w:rsidR="00DE575E" w:rsidRDefault="002E7560">
      <w:pPr>
        <w:pStyle w:val="ListParagraph"/>
        <w:numPr>
          <w:ilvl w:val="0"/>
          <w:numId w:val="253"/>
        </w:numPr>
        <w:tabs>
          <w:tab w:val="left" w:pos="1101"/>
        </w:tabs>
        <w:spacing w:before="12" w:line="252" w:lineRule="auto"/>
        <w:ind w:right="128" w:firstLine="284"/>
        <w:rPr>
          <w:sz w:val="21"/>
        </w:rPr>
      </w:pPr>
      <w:r>
        <w:rPr>
          <w:color w:val="231F20"/>
          <w:sz w:val="21"/>
        </w:rPr>
        <w:t>установлювати</w:t>
      </w:r>
      <w:r>
        <w:rPr>
          <w:color w:val="231F20"/>
          <w:spacing w:val="-11"/>
          <w:sz w:val="21"/>
        </w:rPr>
        <w:t xml:space="preserve"> </w:t>
      </w:r>
      <w:r>
        <w:rPr>
          <w:color w:val="231F20"/>
          <w:sz w:val="21"/>
        </w:rPr>
        <w:t>обмеження</w:t>
      </w:r>
      <w:r>
        <w:rPr>
          <w:color w:val="231F20"/>
          <w:spacing w:val="-11"/>
          <w:sz w:val="21"/>
        </w:rPr>
        <w:t xml:space="preserve"> </w:t>
      </w:r>
      <w:r>
        <w:rPr>
          <w:color w:val="231F20"/>
          <w:sz w:val="21"/>
        </w:rPr>
        <w:t>щодо</w:t>
      </w:r>
      <w:r>
        <w:rPr>
          <w:color w:val="231F20"/>
          <w:spacing w:val="-11"/>
          <w:sz w:val="21"/>
        </w:rPr>
        <w:t xml:space="preserve"> </w:t>
      </w:r>
      <w:r>
        <w:rPr>
          <w:color w:val="231F20"/>
          <w:sz w:val="21"/>
        </w:rPr>
        <w:t>перебування</w:t>
      </w:r>
      <w:r>
        <w:rPr>
          <w:color w:val="231F20"/>
          <w:spacing w:val="-11"/>
          <w:sz w:val="21"/>
        </w:rPr>
        <w:t xml:space="preserve"> </w:t>
      </w:r>
      <w:r>
        <w:rPr>
          <w:color w:val="231F20"/>
          <w:sz w:val="21"/>
        </w:rPr>
        <w:t>в</w:t>
      </w:r>
      <w:r>
        <w:rPr>
          <w:color w:val="231F20"/>
          <w:spacing w:val="-12"/>
          <w:sz w:val="21"/>
        </w:rPr>
        <w:t xml:space="preserve"> </w:t>
      </w:r>
      <w:r>
        <w:rPr>
          <w:color w:val="231F20"/>
          <w:sz w:val="21"/>
        </w:rPr>
        <w:t>певний</w:t>
      </w:r>
      <w:r>
        <w:rPr>
          <w:color w:val="231F20"/>
          <w:spacing w:val="-11"/>
          <w:sz w:val="21"/>
        </w:rPr>
        <w:t xml:space="preserve"> </w:t>
      </w:r>
      <w:r>
        <w:rPr>
          <w:color w:val="231F20"/>
          <w:sz w:val="21"/>
        </w:rPr>
        <w:t>період доби</w:t>
      </w:r>
      <w:r>
        <w:rPr>
          <w:color w:val="231F20"/>
          <w:spacing w:val="-14"/>
          <w:sz w:val="21"/>
        </w:rPr>
        <w:t xml:space="preserve"> </w:t>
      </w:r>
      <w:r>
        <w:rPr>
          <w:color w:val="231F20"/>
          <w:sz w:val="21"/>
        </w:rPr>
        <w:t>на</w:t>
      </w:r>
      <w:r>
        <w:rPr>
          <w:color w:val="231F20"/>
          <w:spacing w:val="-14"/>
          <w:sz w:val="21"/>
        </w:rPr>
        <w:t xml:space="preserve"> </w:t>
      </w:r>
      <w:r>
        <w:rPr>
          <w:color w:val="231F20"/>
          <w:sz w:val="21"/>
        </w:rPr>
        <w:t>вулицях</w:t>
      </w:r>
      <w:r>
        <w:rPr>
          <w:color w:val="231F20"/>
          <w:spacing w:val="-14"/>
          <w:sz w:val="21"/>
        </w:rPr>
        <w:t xml:space="preserve"> </w:t>
      </w:r>
      <w:r>
        <w:rPr>
          <w:color w:val="231F20"/>
          <w:sz w:val="21"/>
        </w:rPr>
        <w:t>та</w:t>
      </w:r>
      <w:r>
        <w:rPr>
          <w:color w:val="231F20"/>
          <w:spacing w:val="-14"/>
          <w:sz w:val="21"/>
        </w:rPr>
        <w:t xml:space="preserve"> </w:t>
      </w:r>
      <w:r>
        <w:rPr>
          <w:color w:val="231F20"/>
          <w:sz w:val="21"/>
        </w:rPr>
        <w:t>в</w:t>
      </w:r>
      <w:r>
        <w:rPr>
          <w:color w:val="231F20"/>
          <w:spacing w:val="-13"/>
          <w:sz w:val="21"/>
        </w:rPr>
        <w:t xml:space="preserve"> </w:t>
      </w:r>
      <w:r>
        <w:rPr>
          <w:color w:val="231F20"/>
          <w:sz w:val="21"/>
        </w:rPr>
        <w:t>інших</w:t>
      </w:r>
      <w:r>
        <w:rPr>
          <w:color w:val="231F20"/>
          <w:spacing w:val="-14"/>
          <w:sz w:val="21"/>
        </w:rPr>
        <w:t xml:space="preserve"> </w:t>
      </w:r>
      <w:r>
        <w:rPr>
          <w:color w:val="231F20"/>
          <w:sz w:val="21"/>
        </w:rPr>
        <w:t>громадських</w:t>
      </w:r>
      <w:r>
        <w:rPr>
          <w:color w:val="231F20"/>
          <w:spacing w:val="-13"/>
          <w:sz w:val="21"/>
        </w:rPr>
        <w:t xml:space="preserve"> </w:t>
      </w:r>
      <w:r>
        <w:rPr>
          <w:color w:val="231F20"/>
          <w:sz w:val="21"/>
        </w:rPr>
        <w:t>місцях</w:t>
      </w:r>
      <w:r>
        <w:rPr>
          <w:color w:val="231F20"/>
          <w:spacing w:val="-14"/>
          <w:sz w:val="21"/>
        </w:rPr>
        <w:t xml:space="preserve"> </w:t>
      </w:r>
      <w:r>
        <w:rPr>
          <w:color w:val="231F20"/>
          <w:sz w:val="21"/>
        </w:rPr>
        <w:t>без</w:t>
      </w:r>
      <w:r>
        <w:rPr>
          <w:color w:val="231F20"/>
          <w:spacing w:val="-14"/>
          <w:sz w:val="21"/>
        </w:rPr>
        <w:t xml:space="preserve"> </w:t>
      </w:r>
      <w:r>
        <w:rPr>
          <w:color w:val="231F20"/>
          <w:sz w:val="21"/>
        </w:rPr>
        <w:t>визначених</w:t>
      </w:r>
      <w:r>
        <w:rPr>
          <w:color w:val="231F20"/>
          <w:spacing w:val="-14"/>
          <w:sz w:val="21"/>
        </w:rPr>
        <w:t xml:space="preserve"> </w:t>
      </w:r>
      <w:r>
        <w:rPr>
          <w:color w:val="231F20"/>
          <w:sz w:val="21"/>
        </w:rPr>
        <w:t>доку- ментів;</w:t>
      </w:r>
    </w:p>
    <w:p w14:paraId="798BEC48" w14:textId="77777777" w:rsidR="00DE575E" w:rsidRDefault="002E7560">
      <w:pPr>
        <w:pStyle w:val="ListParagraph"/>
        <w:numPr>
          <w:ilvl w:val="0"/>
          <w:numId w:val="253"/>
        </w:numPr>
        <w:tabs>
          <w:tab w:val="left" w:pos="1101"/>
        </w:tabs>
        <w:spacing w:before="2" w:line="252" w:lineRule="auto"/>
        <w:ind w:right="129" w:firstLine="284"/>
        <w:rPr>
          <w:sz w:val="21"/>
        </w:rPr>
      </w:pPr>
      <w:r>
        <w:rPr>
          <w:color w:val="231F20"/>
          <w:sz w:val="21"/>
        </w:rPr>
        <w:t>тимчасово обмежувати або забороняти рух транспортних засобів і пішоходів на вулицях, дорогах та ділянках</w:t>
      </w:r>
      <w:r>
        <w:rPr>
          <w:color w:val="231F20"/>
          <w:spacing w:val="-26"/>
          <w:sz w:val="21"/>
        </w:rPr>
        <w:t xml:space="preserve"> </w:t>
      </w:r>
      <w:r>
        <w:rPr>
          <w:color w:val="231F20"/>
          <w:sz w:val="21"/>
        </w:rPr>
        <w:t>місцевості;</w:t>
      </w:r>
    </w:p>
    <w:p w14:paraId="07F48A2F" w14:textId="77777777" w:rsidR="00DE575E" w:rsidRDefault="002E7560">
      <w:pPr>
        <w:pStyle w:val="ListParagraph"/>
        <w:numPr>
          <w:ilvl w:val="0"/>
          <w:numId w:val="253"/>
        </w:numPr>
        <w:tabs>
          <w:tab w:val="left" w:pos="1101"/>
        </w:tabs>
        <w:spacing w:line="252" w:lineRule="auto"/>
        <w:ind w:right="129" w:firstLine="284"/>
        <w:rPr>
          <w:sz w:val="21"/>
        </w:rPr>
      </w:pPr>
      <w:r>
        <w:rPr>
          <w:color w:val="231F20"/>
          <w:sz w:val="21"/>
        </w:rPr>
        <w:t xml:space="preserve">організовувати перевірку документів, що посвідчують </w:t>
      </w:r>
      <w:r>
        <w:rPr>
          <w:color w:val="231F20"/>
          <w:spacing w:val="-3"/>
          <w:sz w:val="21"/>
        </w:rPr>
        <w:t xml:space="preserve">особу, </w:t>
      </w:r>
      <w:r>
        <w:rPr>
          <w:color w:val="231F20"/>
          <w:sz w:val="21"/>
        </w:rPr>
        <w:t>у</w:t>
      </w:r>
      <w:r>
        <w:rPr>
          <w:color w:val="231F20"/>
          <w:spacing w:val="-13"/>
          <w:sz w:val="21"/>
        </w:rPr>
        <w:t xml:space="preserve"> </w:t>
      </w:r>
      <w:r>
        <w:rPr>
          <w:color w:val="231F20"/>
          <w:sz w:val="21"/>
        </w:rPr>
        <w:t>фізичних</w:t>
      </w:r>
      <w:r>
        <w:rPr>
          <w:color w:val="231F20"/>
          <w:spacing w:val="-13"/>
          <w:sz w:val="21"/>
        </w:rPr>
        <w:t xml:space="preserve"> </w:t>
      </w:r>
      <w:r>
        <w:rPr>
          <w:color w:val="231F20"/>
          <w:sz w:val="21"/>
        </w:rPr>
        <w:t>осіб,</w:t>
      </w:r>
      <w:r>
        <w:rPr>
          <w:color w:val="231F20"/>
          <w:spacing w:val="-13"/>
          <w:sz w:val="21"/>
        </w:rPr>
        <w:t xml:space="preserve"> </w:t>
      </w:r>
      <w:r>
        <w:rPr>
          <w:color w:val="231F20"/>
          <w:sz w:val="21"/>
        </w:rPr>
        <w:t>а</w:t>
      </w:r>
      <w:r>
        <w:rPr>
          <w:color w:val="231F20"/>
          <w:spacing w:val="-13"/>
          <w:sz w:val="21"/>
        </w:rPr>
        <w:t xml:space="preserve"> </w:t>
      </w:r>
      <w:r>
        <w:rPr>
          <w:color w:val="231F20"/>
          <w:sz w:val="21"/>
        </w:rPr>
        <w:t>в</w:t>
      </w:r>
      <w:r>
        <w:rPr>
          <w:color w:val="231F20"/>
          <w:spacing w:val="-13"/>
          <w:sz w:val="21"/>
        </w:rPr>
        <w:t xml:space="preserve"> </w:t>
      </w:r>
      <w:r>
        <w:rPr>
          <w:color w:val="231F20"/>
          <w:sz w:val="21"/>
        </w:rPr>
        <w:t>разі</w:t>
      </w:r>
      <w:r>
        <w:rPr>
          <w:color w:val="231F20"/>
          <w:spacing w:val="-13"/>
          <w:sz w:val="21"/>
        </w:rPr>
        <w:t xml:space="preserve"> </w:t>
      </w:r>
      <w:r>
        <w:rPr>
          <w:color w:val="231F20"/>
          <w:sz w:val="21"/>
        </w:rPr>
        <w:t>потреби</w:t>
      </w:r>
      <w:r>
        <w:rPr>
          <w:color w:val="231F20"/>
          <w:spacing w:val="-12"/>
          <w:sz w:val="21"/>
        </w:rPr>
        <w:t xml:space="preserve"> </w:t>
      </w:r>
      <w:r>
        <w:rPr>
          <w:color w:val="231F20"/>
          <w:sz w:val="21"/>
        </w:rPr>
        <w:t>–</w:t>
      </w:r>
      <w:r>
        <w:rPr>
          <w:color w:val="231F20"/>
          <w:spacing w:val="-13"/>
          <w:sz w:val="21"/>
        </w:rPr>
        <w:t xml:space="preserve"> </w:t>
      </w:r>
      <w:r>
        <w:rPr>
          <w:color w:val="231F20"/>
          <w:spacing w:val="-3"/>
          <w:sz w:val="21"/>
        </w:rPr>
        <w:t>огляд</w:t>
      </w:r>
      <w:r>
        <w:rPr>
          <w:color w:val="231F20"/>
          <w:spacing w:val="-13"/>
          <w:sz w:val="21"/>
        </w:rPr>
        <w:t xml:space="preserve"> </w:t>
      </w:r>
      <w:r>
        <w:rPr>
          <w:color w:val="231F20"/>
          <w:sz w:val="21"/>
        </w:rPr>
        <w:t>речей,</w:t>
      </w:r>
      <w:r>
        <w:rPr>
          <w:color w:val="231F20"/>
          <w:spacing w:val="-13"/>
          <w:sz w:val="21"/>
        </w:rPr>
        <w:t xml:space="preserve"> </w:t>
      </w:r>
      <w:r>
        <w:rPr>
          <w:color w:val="231F20"/>
          <w:sz w:val="21"/>
        </w:rPr>
        <w:t>транспортних</w:t>
      </w:r>
      <w:r>
        <w:rPr>
          <w:color w:val="231F20"/>
          <w:spacing w:val="-13"/>
          <w:sz w:val="21"/>
        </w:rPr>
        <w:t xml:space="preserve"> </w:t>
      </w:r>
      <w:r>
        <w:rPr>
          <w:color w:val="231F20"/>
          <w:sz w:val="21"/>
        </w:rPr>
        <w:t xml:space="preserve">засобів, багажу та вантажів, службових приміщень і </w:t>
      </w:r>
      <w:r>
        <w:rPr>
          <w:color w:val="231F20"/>
          <w:spacing w:val="-3"/>
          <w:sz w:val="21"/>
        </w:rPr>
        <w:t>житла</w:t>
      </w:r>
      <w:r>
        <w:rPr>
          <w:color w:val="231F20"/>
          <w:spacing w:val="-7"/>
          <w:sz w:val="21"/>
        </w:rPr>
        <w:t xml:space="preserve"> </w:t>
      </w:r>
      <w:r>
        <w:rPr>
          <w:color w:val="231F20"/>
          <w:sz w:val="21"/>
        </w:rPr>
        <w:t>громадян;</w:t>
      </w:r>
    </w:p>
    <w:p w14:paraId="4B65E2A6" w14:textId="77777777" w:rsidR="00DE575E" w:rsidRDefault="002E7560">
      <w:pPr>
        <w:pStyle w:val="ListParagraph"/>
        <w:numPr>
          <w:ilvl w:val="0"/>
          <w:numId w:val="253"/>
        </w:numPr>
        <w:tabs>
          <w:tab w:val="left" w:pos="1101"/>
        </w:tabs>
        <w:spacing w:line="252" w:lineRule="auto"/>
        <w:ind w:right="124" w:firstLine="284"/>
        <w:rPr>
          <w:sz w:val="21"/>
        </w:rPr>
      </w:pPr>
      <w:r>
        <w:rPr>
          <w:color w:val="231F20"/>
          <w:sz w:val="21"/>
        </w:rPr>
        <w:t>організовувати контроль за роботою підприємств телекому- нікацій, використовувати місцеві радіостанції, телевізійні центри та друкарні для проведення роз’яснювальної роб</w:t>
      </w:r>
      <w:r>
        <w:rPr>
          <w:color w:val="231F20"/>
          <w:sz w:val="21"/>
        </w:rPr>
        <w:t>оти серед насе- лення, особового складу військових формувань і правоохоронних органів;</w:t>
      </w:r>
    </w:p>
    <w:p w14:paraId="1EB4CF47" w14:textId="77777777" w:rsidR="00DE575E" w:rsidRDefault="002E7560">
      <w:pPr>
        <w:pStyle w:val="ListParagraph"/>
        <w:numPr>
          <w:ilvl w:val="0"/>
          <w:numId w:val="253"/>
        </w:numPr>
        <w:tabs>
          <w:tab w:val="left" w:pos="1101"/>
        </w:tabs>
        <w:spacing w:before="3" w:line="252" w:lineRule="auto"/>
        <w:ind w:right="128" w:firstLine="284"/>
        <w:rPr>
          <w:sz w:val="21"/>
        </w:rPr>
      </w:pPr>
      <w:r>
        <w:rPr>
          <w:color w:val="231F20"/>
          <w:sz w:val="21"/>
        </w:rPr>
        <w:t>установлювати обмеження щодо торгівлі зброєю, сильнодію- чими хімічними та отруйними речовинами, алкогольними напоями і речовинами, виробленими на спиртовій</w:t>
      </w:r>
      <w:r>
        <w:rPr>
          <w:color w:val="231F20"/>
          <w:spacing w:val="-5"/>
          <w:sz w:val="21"/>
        </w:rPr>
        <w:t xml:space="preserve"> </w:t>
      </w:r>
      <w:r>
        <w:rPr>
          <w:color w:val="231F20"/>
          <w:sz w:val="21"/>
        </w:rPr>
        <w:t>основі;</w:t>
      </w:r>
    </w:p>
    <w:p w14:paraId="19808986" w14:textId="77777777" w:rsidR="00DE575E" w:rsidRDefault="002E7560">
      <w:pPr>
        <w:pStyle w:val="ListParagraph"/>
        <w:numPr>
          <w:ilvl w:val="0"/>
          <w:numId w:val="253"/>
        </w:numPr>
        <w:tabs>
          <w:tab w:val="left" w:pos="1101"/>
        </w:tabs>
        <w:spacing w:line="252" w:lineRule="auto"/>
        <w:ind w:right="128" w:firstLine="284"/>
        <w:rPr>
          <w:sz w:val="21"/>
        </w:rPr>
      </w:pPr>
      <w:r>
        <w:rPr>
          <w:color w:val="231F20"/>
          <w:sz w:val="21"/>
        </w:rPr>
        <w:t>вилу</w:t>
      </w:r>
      <w:r>
        <w:rPr>
          <w:color w:val="231F20"/>
          <w:sz w:val="21"/>
        </w:rPr>
        <w:t xml:space="preserve">чати у громадян на зберігання вогнепальну зброю та боєприпаси, холодну зброю, а в підприємств, установ і організацій – також навчальну й бойову </w:t>
      </w:r>
      <w:r>
        <w:rPr>
          <w:color w:val="231F20"/>
          <w:spacing w:val="-4"/>
          <w:sz w:val="21"/>
        </w:rPr>
        <w:t xml:space="preserve">техніку, </w:t>
      </w:r>
      <w:r>
        <w:rPr>
          <w:color w:val="231F20"/>
          <w:sz w:val="21"/>
        </w:rPr>
        <w:t>вибухові, радіоактивні речовини і матеріали, сильнодіючі хімічні та отруйні</w:t>
      </w:r>
      <w:r>
        <w:rPr>
          <w:color w:val="231F20"/>
          <w:spacing w:val="-11"/>
          <w:sz w:val="21"/>
        </w:rPr>
        <w:t xml:space="preserve"> </w:t>
      </w:r>
      <w:r>
        <w:rPr>
          <w:color w:val="231F20"/>
          <w:sz w:val="21"/>
        </w:rPr>
        <w:t>речовини;</w:t>
      </w:r>
    </w:p>
    <w:p w14:paraId="73288C07" w14:textId="77777777" w:rsidR="00DE575E" w:rsidRDefault="002E7560">
      <w:pPr>
        <w:pStyle w:val="ListParagraph"/>
        <w:numPr>
          <w:ilvl w:val="0"/>
          <w:numId w:val="253"/>
        </w:numPr>
        <w:tabs>
          <w:tab w:val="left" w:pos="1101"/>
        </w:tabs>
        <w:spacing w:before="2" w:line="252" w:lineRule="auto"/>
        <w:ind w:right="126" w:firstLine="284"/>
        <w:rPr>
          <w:sz w:val="21"/>
        </w:rPr>
      </w:pPr>
      <w:r>
        <w:rPr>
          <w:color w:val="231F20"/>
          <w:sz w:val="21"/>
        </w:rPr>
        <w:t>установлювати пор</w:t>
      </w:r>
      <w:r>
        <w:rPr>
          <w:color w:val="231F20"/>
          <w:sz w:val="21"/>
        </w:rPr>
        <w:t xml:space="preserve">ядок використання сховищ, </w:t>
      </w:r>
      <w:r>
        <w:rPr>
          <w:color w:val="231F20"/>
          <w:spacing w:val="-3"/>
          <w:sz w:val="21"/>
        </w:rPr>
        <w:t xml:space="preserve">споруд </w:t>
      </w:r>
      <w:r>
        <w:rPr>
          <w:color w:val="231F20"/>
          <w:sz w:val="21"/>
        </w:rPr>
        <w:t xml:space="preserve">та інших </w:t>
      </w:r>
      <w:r>
        <w:rPr>
          <w:color w:val="231F20"/>
          <w:spacing w:val="-4"/>
          <w:sz w:val="21"/>
        </w:rPr>
        <w:t xml:space="preserve">об’єктів </w:t>
      </w:r>
      <w:r>
        <w:rPr>
          <w:color w:val="231F20"/>
          <w:sz w:val="21"/>
        </w:rPr>
        <w:t>для захисту населення, а також для задоволення потреб</w:t>
      </w:r>
      <w:r>
        <w:rPr>
          <w:color w:val="231F20"/>
          <w:spacing w:val="-2"/>
          <w:sz w:val="21"/>
        </w:rPr>
        <w:t xml:space="preserve"> </w:t>
      </w:r>
      <w:r>
        <w:rPr>
          <w:color w:val="231F20"/>
          <w:sz w:val="21"/>
        </w:rPr>
        <w:t>безпеки;</w:t>
      </w:r>
    </w:p>
    <w:p w14:paraId="7590EB24" w14:textId="77777777" w:rsidR="00DE575E" w:rsidRDefault="002E7560">
      <w:pPr>
        <w:pStyle w:val="ListParagraph"/>
        <w:numPr>
          <w:ilvl w:val="0"/>
          <w:numId w:val="253"/>
        </w:numPr>
        <w:tabs>
          <w:tab w:val="left" w:pos="1101"/>
        </w:tabs>
        <w:spacing w:before="2" w:line="252" w:lineRule="auto"/>
        <w:ind w:right="127" w:firstLine="284"/>
        <w:rPr>
          <w:sz w:val="21"/>
        </w:rPr>
      </w:pPr>
      <w:r>
        <w:rPr>
          <w:color w:val="231F20"/>
          <w:sz w:val="21"/>
        </w:rPr>
        <w:t>організовувати евакуацію населення з місць і районів, небез- печних для проживання, а також евакуацію підприємств, установ, організацій</w:t>
      </w:r>
      <w:r>
        <w:rPr>
          <w:color w:val="231F20"/>
          <w:spacing w:val="-21"/>
          <w:sz w:val="21"/>
        </w:rPr>
        <w:t xml:space="preserve"> </w:t>
      </w:r>
      <w:r>
        <w:rPr>
          <w:color w:val="231F20"/>
          <w:sz w:val="21"/>
        </w:rPr>
        <w:t>та</w:t>
      </w:r>
      <w:r>
        <w:rPr>
          <w:color w:val="231F20"/>
          <w:spacing w:val="-20"/>
          <w:sz w:val="21"/>
        </w:rPr>
        <w:t xml:space="preserve"> </w:t>
      </w:r>
      <w:r>
        <w:rPr>
          <w:color w:val="231F20"/>
          <w:sz w:val="21"/>
        </w:rPr>
        <w:t>мат</w:t>
      </w:r>
      <w:r>
        <w:rPr>
          <w:color w:val="231F20"/>
          <w:sz w:val="21"/>
        </w:rPr>
        <w:t>еріальних</w:t>
      </w:r>
      <w:r>
        <w:rPr>
          <w:color w:val="231F20"/>
          <w:spacing w:val="-20"/>
          <w:sz w:val="21"/>
        </w:rPr>
        <w:t xml:space="preserve"> </w:t>
      </w:r>
      <w:r>
        <w:rPr>
          <w:color w:val="231F20"/>
          <w:sz w:val="21"/>
        </w:rPr>
        <w:t>цінностей,</w:t>
      </w:r>
      <w:r>
        <w:rPr>
          <w:color w:val="231F20"/>
          <w:spacing w:val="-20"/>
          <w:sz w:val="21"/>
        </w:rPr>
        <w:t xml:space="preserve"> </w:t>
      </w:r>
      <w:r>
        <w:rPr>
          <w:color w:val="231F20"/>
          <w:sz w:val="21"/>
        </w:rPr>
        <w:t>які</w:t>
      </w:r>
      <w:r>
        <w:rPr>
          <w:color w:val="231F20"/>
          <w:spacing w:val="-20"/>
          <w:sz w:val="21"/>
        </w:rPr>
        <w:t xml:space="preserve"> </w:t>
      </w:r>
      <w:r>
        <w:rPr>
          <w:color w:val="231F20"/>
          <w:sz w:val="21"/>
        </w:rPr>
        <w:t>мають</w:t>
      </w:r>
      <w:r>
        <w:rPr>
          <w:color w:val="231F20"/>
          <w:spacing w:val="-20"/>
          <w:sz w:val="21"/>
        </w:rPr>
        <w:t xml:space="preserve"> </w:t>
      </w:r>
      <w:r>
        <w:rPr>
          <w:color w:val="231F20"/>
          <w:sz w:val="21"/>
        </w:rPr>
        <w:t>важливе</w:t>
      </w:r>
      <w:r>
        <w:rPr>
          <w:color w:val="231F20"/>
          <w:spacing w:val="-21"/>
          <w:sz w:val="21"/>
        </w:rPr>
        <w:t xml:space="preserve"> </w:t>
      </w:r>
      <w:r>
        <w:rPr>
          <w:color w:val="231F20"/>
          <w:sz w:val="21"/>
        </w:rPr>
        <w:t xml:space="preserve">державне, господарське і </w:t>
      </w:r>
      <w:r>
        <w:rPr>
          <w:color w:val="231F20"/>
          <w:spacing w:val="-3"/>
          <w:sz w:val="21"/>
        </w:rPr>
        <w:t xml:space="preserve">культурне </w:t>
      </w:r>
      <w:r>
        <w:rPr>
          <w:color w:val="231F20"/>
          <w:sz w:val="21"/>
        </w:rPr>
        <w:t>значення;</w:t>
      </w:r>
    </w:p>
    <w:p w14:paraId="5399B4FF" w14:textId="77777777" w:rsidR="00DE575E" w:rsidRDefault="002E7560">
      <w:pPr>
        <w:pStyle w:val="ListParagraph"/>
        <w:numPr>
          <w:ilvl w:val="0"/>
          <w:numId w:val="253"/>
        </w:numPr>
        <w:tabs>
          <w:tab w:val="left" w:pos="1101"/>
        </w:tabs>
        <w:spacing w:before="2" w:line="252" w:lineRule="auto"/>
        <w:ind w:right="128" w:firstLine="284"/>
        <w:rPr>
          <w:sz w:val="21"/>
        </w:rPr>
      </w:pPr>
      <w:r>
        <w:rPr>
          <w:color w:val="231F20"/>
          <w:sz w:val="21"/>
        </w:rPr>
        <w:t>організовувати в разі потреби нормоване забезпечення насе- лення питною водою, продуктами харчування, предметами першої необхідності,</w:t>
      </w:r>
      <w:r>
        <w:rPr>
          <w:color w:val="231F20"/>
          <w:spacing w:val="-1"/>
          <w:sz w:val="21"/>
        </w:rPr>
        <w:t xml:space="preserve"> </w:t>
      </w:r>
      <w:r>
        <w:rPr>
          <w:color w:val="231F20"/>
          <w:sz w:val="21"/>
        </w:rPr>
        <w:t>ліками</w:t>
      </w:r>
      <w:r>
        <w:rPr>
          <w:color w:val="231F20"/>
          <w:position w:val="7"/>
          <w:sz w:val="12"/>
        </w:rPr>
        <w:t>1</w:t>
      </w:r>
      <w:r>
        <w:rPr>
          <w:color w:val="231F20"/>
          <w:sz w:val="21"/>
        </w:rPr>
        <w:t>.</w:t>
      </w:r>
    </w:p>
    <w:p w14:paraId="4AC16A49" w14:textId="37DFBF40" w:rsidR="00DE575E" w:rsidRDefault="002E7560">
      <w:pPr>
        <w:pStyle w:val="BodyText"/>
        <w:spacing w:before="4"/>
        <w:rPr>
          <w:sz w:val="24"/>
        </w:rPr>
      </w:pPr>
      <w:r>
        <w:rPr>
          <w:noProof/>
        </w:rPr>
        <mc:AlternateContent>
          <mc:Choice Requires="wps">
            <w:drawing>
              <wp:anchor distT="0" distB="0" distL="0" distR="0" simplePos="0" relativeHeight="5392" behindDoc="0" locked="0" layoutInCell="1" allowOverlap="1" wp14:anchorId="1D90EBA1" wp14:editId="76C67E14">
                <wp:simplePos x="0" y="0"/>
                <wp:positionH relativeFrom="page">
                  <wp:posOffset>719455</wp:posOffset>
                </wp:positionH>
                <wp:positionV relativeFrom="paragraph">
                  <wp:posOffset>208915</wp:posOffset>
                </wp:positionV>
                <wp:extent cx="1080135" cy="0"/>
                <wp:effectExtent l="8255" t="18415" r="29210" b="19685"/>
                <wp:wrapTopAndBottom/>
                <wp:docPr id="110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4F095" id="Line_x0020_1105" o:spid="_x0000_s1026" style="position:absolute;z-index: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45pt" to="141.7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" strokecolor="#231f20" strokeweight=".5pt">
                <w10:wrap type="topAndBottom" anchorx="page"/>
              </v:line>
            </w:pict>
          </mc:Fallback>
        </mc:AlternateContent>
      </w:r>
    </w:p>
    <w:p w14:paraId="79174F94" w14:textId="77777777" w:rsidR="00DE575E" w:rsidRDefault="002E7560">
      <w:pPr>
        <w:spacing w:line="162" w:lineRule="exact"/>
        <w:ind w:left="533"/>
        <w:rPr>
          <w:sz w:val="16"/>
        </w:rPr>
      </w:pPr>
      <w:r>
        <w:rPr>
          <w:color w:val="231F20"/>
          <w:position w:val="5"/>
          <w:sz w:val="9"/>
        </w:rPr>
        <w:t xml:space="preserve">1 </w:t>
      </w:r>
      <w:r>
        <w:rPr>
          <w:color w:val="231F20"/>
          <w:sz w:val="16"/>
        </w:rPr>
        <w:t>Про військово-цивільні адміністрації: Закон від 03.02.2015 № 141-VIII.</w:t>
      </w:r>
    </w:p>
    <w:p w14:paraId="0E54D189" w14:textId="77777777" w:rsidR="00DE575E" w:rsidRDefault="00DE575E">
      <w:pPr>
        <w:pStyle w:val="BodyText"/>
        <w:spacing w:before="10"/>
        <w:rPr>
          <w:sz w:val="11"/>
        </w:rPr>
      </w:pPr>
    </w:p>
    <w:p w14:paraId="66F7367B" w14:textId="77777777" w:rsidR="00DE575E" w:rsidRDefault="002E7560">
      <w:pPr>
        <w:spacing w:before="92"/>
        <w:ind w:left="533"/>
        <w:rPr>
          <w:rFonts w:ascii="Times New Roman"/>
          <w:sz w:val="20"/>
        </w:rPr>
      </w:pPr>
      <w:r>
        <w:rPr>
          <w:rFonts w:ascii="Times New Roman"/>
          <w:color w:val="231F20"/>
          <w:sz w:val="20"/>
        </w:rPr>
        <w:t>120</w:t>
      </w:r>
    </w:p>
    <w:p w14:paraId="34F1F1FD" w14:textId="77777777" w:rsidR="00DE575E" w:rsidRDefault="00DE575E">
      <w:pPr>
        <w:rPr>
          <w:rFonts w:ascii="Times New Roman"/>
          <w:sz w:val="20"/>
        </w:rPr>
        <w:sectPr w:rsidR="00DE575E">
          <w:pgSz w:w="8510" w:h="12760"/>
          <w:pgMar w:top="660" w:right="720" w:bottom="280" w:left="600" w:header="720" w:footer="720" w:gutter="0"/>
          <w:cols w:space="720"/>
        </w:sectPr>
      </w:pPr>
    </w:p>
    <w:p w14:paraId="40DD4091"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0302C35C" w14:textId="5832BCE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BAC3C07" wp14:editId="58693C14">
                <wp:extent cx="4140200" cy="6350"/>
                <wp:effectExtent l="0" t="0" r="12700" b="6350"/>
                <wp:docPr id="1104"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05" name="Line 11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BF92AC" id="Group_x0020_11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p/p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dqf6R/AgAAnAUAAA4A&#10;AAAAAAAAAAAAAAAALAIAAGRycy9lMm9Eb2MueG1sUEsBAi0AFAAGAAgAAAAhAEynsJDZAAAAAwEA&#10;AA8AAAAAAAAAAAAAAAAA1wQAAGRycy9kb3ducmV2LnhtbFBLBQYAAAAABAAEAPMAAADdBQAAAAA=&#10;">
                <v:line id="Line_x0020_11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DigsUAAADdAAAADwAAAGRycy9kb3ducmV2LnhtbERPzWrCQBC+C77DMoVeSrNRqZSYVaRQ&#10;kB60Gh9gzI5J6O5szK4m7dN3CwVv8/H9Tr4arBE36nzjWMEkSUEQl043XCk4Fu/PryB8QNZoHJOC&#10;b/KwWo5HOWba9byn2yFUIoawz1BBHUKbSenLmiz6xLXEkTu7zmKIsKuk7rCP4dbIaZrOpcWGY0ON&#10;Lb3VVH4drlZBcXkK5nP3Yfpid5rJ02U7+7lulXp8GNYLEIGGcBf/uzc6zp+kL/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hDigsUAAADdAAAADwAAAAAAAAAA&#10;AAAAAAChAgAAZHJzL2Rvd25yZXYueG1sUEsFBgAAAAAEAAQA+QAAAJMDAAAAAA==&#10;" strokecolor="#231f20" strokeweight=".5pt"/>
                <w10:anchorlock/>
              </v:group>
            </w:pict>
          </mc:Fallback>
        </mc:AlternateContent>
      </w:r>
    </w:p>
    <w:p w14:paraId="1C0D5B3E" w14:textId="77777777" w:rsidR="00DE575E" w:rsidRDefault="00DE575E">
      <w:pPr>
        <w:pStyle w:val="BodyText"/>
        <w:spacing w:before="7"/>
        <w:rPr>
          <w:rFonts w:ascii="AdonisC"/>
          <w:i/>
          <w:sz w:val="19"/>
        </w:rPr>
      </w:pPr>
    </w:p>
    <w:p w14:paraId="4772238E" w14:textId="77777777" w:rsidR="00DE575E" w:rsidRDefault="002E7560">
      <w:pPr>
        <w:pStyle w:val="Heading5"/>
        <w:spacing w:before="1" w:line="252" w:lineRule="auto"/>
        <w:ind w:left="250" w:right="411" w:firstLine="283"/>
        <w:jc w:val="both"/>
      </w:pPr>
      <w:r>
        <w:rPr>
          <w:color w:val="231F20"/>
        </w:rPr>
        <w:t xml:space="preserve">Отже, військово-цивільні адміністрації – це тимчасові надзвичайні </w:t>
      </w:r>
      <w:r>
        <w:rPr>
          <w:color w:val="231F20"/>
          <w:spacing w:val="-3"/>
        </w:rPr>
        <w:t xml:space="preserve">суб’єкти </w:t>
      </w:r>
      <w:r>
        <w:rPr>
          <w:color w:val="231F20"/>
        </w:rPr>
        <w:t xml:space="preserve">публічної адміністрації, що діють у складі Антитерористичного центру при  Службі  безпеки  </w:t>
      </w:r>
      <w:r>
        <w:rPr>
          <w:color w:val="231F20"/>
          <w:spacing w:val="-4"/>
        </w:rPr>
        <w:t xml:space="preserve">України  </w:t>
      </w:r>
      <w:r>
        <w:rPr>
          <w:color w:val="231F20"/>
        </w:rPr>
        <w:t xml:space="preserve">або у складі </w:t>
      </w:r>
      <w:r>
        <w:rPr>
          <w:color w:val="231F20"/>
          <w:spacing w:val="-3"/>
        </w:rPr>
        <w:t xml:space="preserve">Об’єднаного </w:t>
      </w:r>
      <w:r>
        <w:rPr>
          <w:color w:val="231F20"/>
        </w:rPr>
        <w:t xml:space="preserve">оперативного штабу </w:t>
      </w:r>
      <w:r>
        <w:rPr>
          <w:color w:val="231F20"/>
        </w:rPr>
        <w:t xml:space="preserve">Збройних Сил </w:t>
      </w:r>
      <w:r>
        <w:rPr>
          <w:color w:val="231F20"/>
          <w:spacing w:val="-4"/>
        </w:rPr>
        <w:t xml:space="preserve">України </w:t>
      </w:r>
      <w:r>
        <w:rPr>
          <w:color w:val="231F20"/>
        </w:rPr>
        <w:t>і</w:t>
      </w:r>
      <w:r>
        <w:rPr>
          <w:color w:val="231F20"/>
          <w:spacing w:val="-15"/>
        </w:rPr>
        <w:t xml:space="preserve"> </w:t>
      </w:r>
      <w:r>
        <w:rPr>
          <w:color w:val="231F20"/>
        </w:rPr>
        <w:t>призначені</w:t>
      </w:r>
      <w:r>
        <w:rPr>
          <w:color w:val="231F20"/>
          <w:spacing w:val="-15"/>
        </w:rPr>
        <w:t xml:space="preserve"> </w:t>
      </w:r>
      <w:r>
        <w:rPr>
          <w:color w:val="231F20"/>
        </w:rPr>
        <w:t>для</w:t>
      </w:r>
      <w:r>
        <w:rPr>
          <w:color w:val="231F20"/>
          <w:spacing w:val="-15"/>
        </w:rPr>
        <w:t xml:space="preserve"> </w:t>
      </w:r>
      <w:r>
        <w:rPr>
          <w:color w:val="231F20"/>
        </w:rPr>
        <w:t>здійснення</w:t>
      </w:r>
      <w:r>
        <w:rPr>
          <w:color w:val="231F20"/>
          <w:spacing w:val="-15"/>
        </w:rPr>
        <w:t xml:space="preserve"> </w:t>
      </w:r>
      <w:r>
        <w:rPr>
          <w:color w:val="231F20"/>
        </w:rPr>
        <w:t>публічного</w:t>
      </w:r>
      <w:r>
        <w:rPr>
          <w:color w:val="231F20"/>
          <w:spacing w:val="-15"/>
        </w:rPr>
        <w:t xml:space="preserve"> </w:t>
      </w:r>
      <w:r>
        <w:rPr>
          <w:color w:val="231F20"/>
        </w:rPr>
        <w:t>адміністрування</w:t>
      </w:r>
      <w:r>
        <w:rPr>
          <w:color w:val="231F20"/>
          <w:spacing w:val="-15"/>
        </w:rPr>
        <w:t xml:space="preserve"> </w:t>
      </w:r>
      <w:r>
        <w:rPr>
          <w:color w:val="231F20"/>
        </w:rPr>
        <w:t>в</w:t>
      </w:r>
      <w:r>
        <w:rPr>
          <w:color w:val="231F20"/>
          <w:spacing w:val="-15"/>
        </w:rPr>
        <w:t xml:space="preserve"> </w:t>
      </w:r>
      <w:r>
        <w:rPr>
          <w:color w:val="231F20"/>
        </w:rPr>
        <w:t>райо- нах відсічі збройної агресії</w:t>
      </w:r>
      <w:r>
        <w:rPr>
          <w:color w:val="231F20"/>
          <w:spacing w:val="-5"/>
        </w:rPr>
        <w:t xml:space="preserve"> </w:t>
      </w:r>
      <w:r>
        <w:rPr>
          <w:color w:val="231F20"/>
        </w:rPr>
        <w:t>Росії.</w:t>
      </w:r>
    </w:p>
    <w:p w14:paraId="00CADAC0" w14:textId="77777777" w:rsidR="00DE575E" w:rsidRDefault="002E7560">
      <w:pPr>
        <w:pStyle w:val="Heading6"/>
        <w:spacing w:before="3" w:line="252" w:lineRule="auto"/>
        <w:ind w:left="250" w:right="410"/>
        <w:jc w:val="both"/>
        <w:rPr>
          <w:b w:val="0"/>
          <w:i w:val="0"/>
        </w:rPr>
      </w:pPr>
      <w:r>
        <w:rPr>
          <w:color w:val="231F20"/>
        </w:rPr>
        <w:t xml:space="preserve">До суб’єктів публічної адміністрації можна віднести уста- </w:t>
      </w:r>
      <w:r>
        <w:rPr>
          <w:color w:val="231F20"/>
        </w:rPr>
        <w:t>нови, які не мають статусу державних органів, проте здійсню- ють діяльність, безпосередньо пов’язану з виконанням певних функцій держави</w:t>
      </w:r>
      <w:r>
        <w:rPr>
          <w:b w:val="0"/>
          <w:i w:val="0"/>
          <w:color w:val="231F20"/>
        </w:rPr>
        <w:t>.</w:t>
      </w:r>
    </w:p>
    <w:p w14:paraId="0136BB44" w14:textId="77777777" w:rsidR="00DE575E" w:rsidRDefault="002E7560">
      <w:pPr>
        <w:pStyle w:val="BodyText"/>
        <w:spacing w:before="2" w:line="252" w:lineRule="auto"/>
        <w:ind w:left="250" w:right="408" w:firstLine="283"/>
        <w:jc w:val="both"/>
      </w:pPr>
      <w:r>
        <w:rPr>
          <w:color w:val="231F20"/>
        </w:rPr>
        <w:t>Цікавим прикладом є Національне агентство із забезпечення якості вищої освіти (далі – Національне агентство), утворене</w:t>
      </w:r>
      <w:r>
        <w:rPr>
          <w:color w:val="231F20"/>
        </w:rPr>
        <w:t xml:space="preserve"> відпо- відно до Закону </w:t>
      </w:r>
      <w:r>
        <w:rPr>
          <w:color w:val="231F20"/>
          <w:spacing w:val="-3"/>
        </w:rPr>
        <w:t xml:space="preserve">України </w:t>
      </w:r>
      <w:r>
        <w:rPr>
          <w:color w:val="231F20"/>
        </w:rPr>
        <w:t xml:space="preserve">«Про вищу освіту». Згідно зі </w:t>
      </w:r>
      <w:r>
        <w:rPr>
          <w:color w:val="231F20"/>
          <w:spacing w:val="-6"/>
        </w:rPr>
        <w:t xml:space="preserve">ст. </w:t>
      </w:r>
      <w:r>
        <w:rPr>
          <w:color w:val="231F20"/>
        </w:rPr>
        <w:t xml:space="preserve">17 цього Закону Національне агентство є постійним колегіальним органом, уповноваженим цим  Законом  на  реалізацію  державної  політики  у сфері забезпечення якості вищої освіти. Національне </w:t>
      </w:r>
      <w:r>
        <w:rPr>
          <w:color w:val="231F20"/>
        </w:rPr>
        <w:t>агентство     є</w:t>
      </w:r>
      <w:r>
        <w:rPr>
          <w:color w:val="231F20"/>
          <w:spacing w:val="-8"/>
        </w:rPr>
        <w:t xml:space="preserve"> </w:t>
      </w:r>
      <w:r>
        <w:rPr>
          <w:color w:val="231F20"/>
        </w:rPr>
        <w:t>юридичною</w:t>
      </w:r>
      <w:r>
        <w:rPr>
          <w:color w:val="231F20"/>
          <w:spacing w:val="-8"/>
        </w:rPr>
        <w:t xml:space="preserve"> </w:t>
      </w:r>
      <w:r>
        <w:rPr>
          <w:color w:val="231F20"/>
        </w:rPr>
        <w:t>особою</w:t>
      </w:r>
      <w:r>
        <w:rPr>
          <w:color w:val="231F20"/>
          <w:spacing w:val="-8"/>
        </w:rPr>
        <w:t xml:space="preserve"> </w:t>
      </w:r>
      <w:r>
        <w:rPr>
          <w:color w:val="231F20"/>
        </w:rPr>
        <w:t>публічного</w:t>
      </w:r>
      <w:r>
        <w:rPr>
          <w:color w:val="231F20"/>
          <w:spacing w:val="-8"/>
        </w:rPr>
        <w:t xml:space="preserve"> </w:t>
      </w:r>
      <w:r>
        <w:rPr>
          <w:color w:val="231F20"/>
        </w:rPr>
        <w:t>права,</w:t>
      </w:r>
      <w:r>
        <w:rPr>
          <w:color w:val="231F20"/>
          <w:spacing w:val="-8"/>
        </w:rPr>
        <w:t xml:space="preserve"> </w:t>
      </w:r>
      <w:r>
        <w:rPr>
          <w:color w:val="231F20"/>
        </w:rPr>
        <w:t>яка</w:t>
      </w:r>
      <w:r>
        <w:rPr>
          <w:color w:val="231F20"/>
          <w:spacing w:val="-8"/>
        </w:rPr>
        <w:t xml:space="preserve"> </w:t>
      </w:r>
      <w:r>
        <w:rPr>
          <w:color w:val="231F20"/>
        </w:rPr>
        <w:t>діє</w:t>
      </w:r>
      <w:r>
        <w:rPr>
          <w:color w:val="231F20"/>
          <w:spacing w:val="-8"/>
        </w:rPr>
        <w:t xml:space="preserve"> </w:t>
      </w:r>
      <w:r>
        <w:rPr>
          <w:color w:val="231F20"/>
        </w:rPr>
        <w:t>згідно</w:t>
      </w:r>
      <w:r>
        <w:rPr>
          <w:color w:val="231F20"/>
          <w:spacing w:val="-8"/>
        </w:rPr>
        <w:t xml:space="preserve"> </w:t>
      </w:r>
      <w:r>
        <w:rPr>
          <w:color w:val="231F20"/>
        </w:rPr>
        <w:t>з</w:t>
      </w:r>
      <w:r>
        <w:rPr>
          <w:color w:val="231F20"/>
          <w:spacing w:val="-8"/>
        </w:rPr>
        <w:t xml:space="preserve"> </w:t>
      </w:r>
      <w:r>
        <w:rPr>
          <w:color w:val="231F20"/>
        </w:rPr>
        <w:t>цим</w:t>
      </w:r>
      <w:r>
        <w:rPr>
          <w:color w:val="231F20"/>
          <w:spacing w:val="-8"/>
        </w:rPr>
        <w:t xml:space="preserve"> </w:t>
      </w:r>
      <w:r>
        <w:rPr>
          <w:color w:val="231F20"/>
        </w:rPr>
        <w:t xml:space="preserve">Законом і статутом, що затверджується Кабінетом Міністрів </w:t>
      </w:r>
      <w:r>
        <w:rPr>
          <w:color w:val="231F20"/>
          <w:spacing w:val="-3"/>
        </w:rPr>
        <w:t xml:space="preserve">України. </w:t>
      </w:r>
      <w:r>
        <w:rPr>
          <w:color w:val="231F20"/>
        </w:rPr>
        <w:t xml:space="preserve">Відпо- відно до </w:t>
      </w:r>
      <w:r>
        <w:rPr>
          <w:color w:val="231F20"/>
          <w:spacing w:val="-6"/>
        </w:rPr>
        <w:t xml:space="preserve">ст. </w:t>
      </w:r>
      <w:r>
        <w:rPr>
          <w:color w:val="231F20"/>
        </w:rPr>
        <w:t xml:space="preserve">19 цього Закону </w:t>
      </w:r>
      <w:r>
        <w:rPr>
          <w:color w:val="231F20"/>
          <w:spacing w:val="-3"/>
        </w:rPr>
        <w:t xml:space="preserve">України </w:t>
      </w:r>
      <w:r>
        <w:rPr>
          <w:color w:val="231F20"/>
        </w:rPr>
        <w:t>Національне агентство склада- ється з двадцяти трьох осіб, які призначают</w:t>
      </w:r>
      <w:r>
        <w:rPr>
          <w:color w:val="231F20"/>
        </w:rPr>
        <w:t xml:space="preserve">ься Кабінетом Мініст- рів </w:t>
      </w:r>
      <w:r>
        <w:rPr>
          <w:color w:val="231F20"/>
          <w:spacing w:val="-3"/>
        </w:rPr>
        <w:t xml:space="preserve">України </w:t>
      </w:r>
      <w:r>
        <w:rPr>
          <w:color w:val="231F20"/>
        </w:rPr>
        <w:t xml:space="preserve">на підставі рішення Конкурсної комісії за </w:t>
      </w:r>
      <w:r>
        <w:rPr>
          <w:color w:val="231F20"/>
          <w:spacing w:val="-3"/>
        </w:rPr>
        <w:t xml:space="preserve">результатами </w:t>
      </w:r>
      <w:r>
        <w:rPr>
          <w:color w:val="231F20"/>
        </w:rPr>
        <w:t xml:space="preserve">конкурсного </w:t>
      </w:r>
      <w:r>
        <w:rPr>
          <w:color w:val="231F20"/>
          <w:spacing w:val="-3"/>
        </w:rPr>
        <w:t xml:space="preserve">відбору, </w:t>
      </w:r>
      <w:r>
        <w:rPr>
          <w:color w:val="231F20"/>
        </w:rPr>
        <w:t>що відбувається з дотриманням принципів гендерного балансу та галузевого</w:t>
      </w:r>
      <w:r>
        <w:rPr>
          <w:color w:val="231F20"/>
          <w:spacing w:val="-5"/>
        </w:rPr>
        <w:t xml:space="preserve"> </w:t>
      </w:r>
      <w:r>
        <w:rPr>
          <w:color w:val="231F20"/>
        </w:rPr>
        <w:t>представництва.</w:t>
      </w:r>
    </w:p>
    <w:p w14:paraId="2BBAC612" w14:textId="77777777" w:rsidR="00DE575E" w:rsidRDefault="002E7560">
      <w:pPr>
        <w:pStyle w:val="BodyText"/>
        <w:spacing w:before="6" w:line="252" w:lineRule="auto"/>
        <w:ind w:left="250" w:right="408" w:firstLine="283"/>
        <w:jc w:val="both"/>
      </w:pPr>
      <w:r>
        <w:rPr>
          <w:color w:val="231F20"/>
        </w:rPr>
        <w:t>Згідно з даними Єдиного державного реєстру юридичних осіб</w:t>
      </w:r>
      <w:r>
        <w:rPr>
          <w:color w:val="231F20"/>
        </w:rPr>
        <w:t>, фізичних осіб-підприємців та громадських формувань Національне агентство має організаційно-правову форму державної організації (установи,</w:t>
      </w:r>
      <w:r>
        <w:rPr>
          <w:color w:val="231F20"/>
          <w:spacing w:val="-10"/>
        </w:rPr>
        <w:t xml:space="preserve"> </w:t>
      </w:r>
      <w:r>
        <w:rPr>
          <w:color w:val="231F20"/>
        </w:rPr>
        <w:t>закладу),</w:t>
      </w:r>
      <w:r>
        <w:rPr>
          <w:color w:val="231F20"/>
          <w:spacing w:val="-10"/>
        </w:rPr>
        <w:t xml:space="preserve"> </w:t>
      </w:r>
      <w:r>
        <w:rPr>
          <w:color w:val="231F20"/>
        </w:rPr>
        <w:t>а</w:t>
      </w:r>
      <w:r>
        <w:rPr>
          <w:color w:val="231F20"/>
          <w:spacing w:val="-10"/>
        </w:rPr>
        <w:t xml:space="preserve"> </w:t>
      </w:r>
      <w:r>
        <w:rPr>
          <w:color w:val="231F20"/>
        </w:rPr>
        <w:t>не</w:t>
      </w:r>
      <w:r>
        <w:rPr>
          <w:color w:val="231F20"/>
          <w:spacing w:val="-10"/>
        </w:rPr>
        <w:t xml:space="preserve"> </w:t>
      </w:r>
      <w:r>
        <w:rPr>
          <w:color w:val="231F20"/>
        </w:rPr>
        <w:t>державного</w:t>
      </w:r>
      <w:r>
        <w:rPr>
          <w:color w:val="231F20"/>
          <w:spacing w:val="-10"/>
        </w:rPr>
        <w:t xml:space="preserve"> </w:t>
      </w:r>
      <w:r>
        <w:rPr>
          <w:color w:val="231F20"/>
          <w:spacing w:val="-3"/>
        </w:rPr>
        <w:t>органу.</w:t>
      </w:r>
      <w:r>
        <w:rPr>
          <w:color w:val="231F20"/>
          <w:spacing w:val="-10"/>
        </w:rPr>
        <w:t xml:space="preserve"> </w:t>
      </w:r>
      <w:r>
        <w:rPr>
          <w:color w:val="231F20"/>
        </w:rPr>
        <w:t>На</w:t>
      </w:r>
      <w:r>
        <w:rPr>
          <w:color w:val="231F20"/>
          <w:spacing w:val="-10"/>
        </w:rPr>
        <w:t xml:space="preserve"> </w:t>
      </w:r>
      <w:r>
        <w:rPr>
          <w:color w:val="231F20"/>
        </w:rPr>
        <w:t>практиці</w:t>
      </w:r>
      <w:r>
        <w:rPr>
          <w:color w:val="231F20"/>
          <w:spacing w:val="-10"/>
        </w:rPr>
        <w:t xml:space="preserve"> </w:t>
      </w:r>
      <w:r>
        <w:rPr>
          <w:color w:val="231F20"/>
        </w:rPr>
        <w:t xml:space="preserve">виникають питання щодо оскарження рішень Національного агентства в </w:t>
      </w:r>
      <w:r>
        <w:rPr>
          <w:color w:val="231F20"/>
          <w:spacing w:val="-3"/>
        </w:rPr>
        <w:t>суд</w:t>
      </w:r>
      <w:r>
        <w:rPr>
          <w:color w:val="231F20"/>
          <w:spacing w:val="-3"/>
        </w:rPr>
        <w:t xml:space="preserve">о- </w:t>
      </w:r>
      <w:r>
        <w:rPr>
          <w:color w:val="231F20"/>
        </w:rPr>
        <w:t xml:space="preserve">вому </w:t>
      </w:r>
      <w:r>
        <w:rPr>
          <w:color w:val="231F20"/>
          <w:spacing w:val="-3"/>
        </w:rPr>
        <w:t xml:space="preserve">порядку, </w:t>
      </w:r>
      <w:r>
        <w:rPr>
          <w:color w:val="231F20"/>
        </w:rPr>
        <w:t>а саме в порядку якого судочинства – адміністратив- ного чи цивільного – вони підлягають</w:t>
      </w:r>
      <w:r>
        <w:rPr>
          <w:color w:val="231F20"/>
          <w:spacing w:val="-5"/>
        </w:rPr>
        <w:t xml:space="preserve"> </w:t>
      </w:r>
      <w:r>
        <w:rPr>
          <w:color w:val="231F20"/>
        </w:rPr>
        <w:t>оскарженню.</w:t>
      </w:r>
    </w:p>
    <w:p w14:paraId="374D5F84" w14:textId="77777777" w:rsidR="00DE575E" w:rsidRDefault="002E7560">
      <w:pPr>
        <w:pStyle w:val="BodyText"/>
        <w:spacing w:before="3" w:line="252" w:lineRule="auto"/>
        <w:ind w:left="250" w:right="409" w:firstLine="283"/>
        <w:jc w:val="both"/>
      </w:pPr>
      <w:r>
        <w:rPr>
          <w:color w:val="231F20"/>
        </w:rPr>
        <w:t>З цього приводу потрібно звернути увагу на Постанову Верхов- ного Суду від 7 серпня 2019 року в справі № 826/4264/17. На підс- таві аналізу норм законодавства щодо правового статусу Наці- онального агентства Верховний Суд дійшов висновку, що його функції у</w:t>
      </w:r>
      <w:r>
        <w:rPr>
          <w:color w:val="231F20"/>
        </w:rPr>
        <w:t xml:space="preserve"> сфері вищої освіти мають як владний характер (резуль- тати їх здійснення мають обов’язковий характер для учасників правовідносин у сфері вищої освіти), так і такий, що не містить владної складової – зокрема результати їх здійснення підлягають погодженню  </w:t>
      </w:r>
      <w:r>
        <w:rPr>
          <w:color w:val="231F20"/>
        </w:rPr>
        <w:t>чи  затвердженню  Урядом  чи  центральним  органом</w:t>
      </w:r>
    </w:p>
    <w:p w14:paraId="2E561446" w14:textId="77777777" w:rsidR="00DE575E" w:rsidRDefault="00DE575E">
      <w:pPr>
        <w:pStyle w:val="BodyText"/>
        <w:spacing w:before="9"/>
        <w:rPr>
          <w:sz w:val="12"/>
        </w:rPr>
      </w:pPr>
    </w:p>
    <w:p w14:paraId="37547DF9" w14:textId="77777777" w:rsidR="00DE575E" w:rsidRDefault="002E7560">
      <w:pPr>
        <w:spacing w:before="92"/>
        <w:ind w:right="411"/>
        <w:jc w:val="right"/>
        <w:rPr>
          <w:rFonts w:ascii="Times New Roman"/>
          <w:sz w:val="20"/>
        </w:rPr>
      </w:pPr>
      <w:r>
        <w:rPr>
          <w:rFonts w:ascii="Times New Roman"/>
          <w:color w:val="231F20"/>
          <w:w w:val="90"/>
          <w:sz w:val="20"/>
        </w:rPr>
        <w:t>121</w:t>
      </w:r>
    </w:p>
    <w:p w14:paraId="3F718A4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1D3ABC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072ACAB" w14:textId="7931646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A39F893" wp14:editId="0AC3160B">
                <wp:extent cx="4140200" cy="6350"/>
                <wp:effectExtent l="0" t="0" r="12700" b="6350"/>
                <wp:docPr id="1102"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03" name="Line 110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FD06B3" id="Group_x0020_110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iJCH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o6IkIfQIAAJwFAAAOAAAA&#10;AAAAAAAAAAAAACwCAABkcnMvZTJvRG9jLnhtbFBLAQItABQABgAIAAAAIQBMp7CQ2QAAAAMBAAAP&#10;AAAAAAAAAAAAAAAAANUEAABkcnMvZG93bnJldi54bWxQSwUGAAAAAAQABADzAAAA2wUAAAAA&#10;">
                <v:line id="Line_x0020_110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XfbcQAAADdAAAADwAAAGRycy9kb3ducmV2LnhtbERPzWrCQBC+F3yHZYReSt3YgEh0lSII&#10;4kGr6QOM2TEJ3Z2N2dWkffquIHibj+935sveGnGj1teOFYxHCQjiwumaSwXf+fp9CsIHZI3GMSn4&#10;JQ/LxeBljpl2HR/odgyliCHsM1RQhdBkUvqiIot+5BriyJ1dazFE2JZSt9jFcGvkR5JMpMWaY0OF&#10;Da0qKn6OV6sgv7wF87Xfmi7fn1J5uuzSv+tOqddh/zkDEagPT/HDvdFx/jhJ4f5NPEE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td9txAAAAN0AAAAPAAAAAAAAAAAA&#10;AAAAAKECAABkcnMvZG93bnJldi54bWxQSwUGAAAAAAQABAD5AAAAkgMAAAAA&#10;" strokecolor="#231f20" strokeweight=".5pt"/>
                <w10:anchorlock/>
              </v:group>
            </w:pict>
          </mc:Fallback>
        </mc:AlternateContent>
      </w:r>
    </w:p>
    <w:p w14:paraId="3A56E3C1" w14:textId="77777777" w:rsidR="00DE575E" w:rsidRDefault="00DE575E">
      <w:pPr>
        <w:pStyle w:val="BodyText"/>
        <w:spacing w:before="7"/>
        <w:rPr>
          <w:rFonts w:ascii="AdonisC"/>
          <w:i/>
          <w:sz w:val="11"/>
        </w:rPr>
      </w:pPr>
    </w:p>
    <w:p w14:paraId="326C4678" w14:textId="77777777" w:rsidR="00DE575E" w:rsidRDefault="002E7560">
      <w:pPr>
        <w:pStyle w:val="BodyText"/>
        <w:spacing w:before="101" w:line="252" w:lineRule="auto"/>
        <w:ind w:left="533" w:right="125"/>
        <w:jc w:val="both"/>
      </w:pPr>
      <w:r>
        <w:rPr>
          <w:color w:val="231F20"/>
        </w:rPr>
        <w:t xml:space="preserve">виконавчої влади у сфері освіти і науки. </w:t>
      </w:r>
      <w:r>
        <w:rPr>
          <w:color w:val="231F20"/>
          <w:spacing w:val="-3"/>
        </w:rPr>
        <w:t xml:space="preserve">Таким </w:t>
      </w:r>
      <w:r>
        <w:rPr>
          <w:color w:val="231F20"/>
        </w:rPr>
        <w:t xml:space="preserve">чином, – робить висновок Верховний </w:t>
      </w:r>
      <w:r>
        <w:rPr>
          <w:color w:val="231F20"/>
          <w:spacing w:val="-3"/>
        </w:rPr>
        <w:t xml:space="preserve">Суд, </w:t>
      </w:r>
      <w:r>
        <w:rPr>
          <w:color w:val="231F20"/>
        </w:rPr>
        <w:t>– Агентство, учиняючи на виконання покладених на нього законом повноважень з  реалізації  держав-  ної політики у сфері забезпечення</w:t>
      </w:r>
      <w:r>
        <w:rPr>
          <w:color w:val="231F20"/>
        </w:rPr>
        <w:t xml:space="preserve"> якості вищої освіти діяння чи ухвалюючи рішення (індивідуальні акти), які не вимагають пого- дження чи затвердження та є обов’язковими для учасників право- відносин у сфері вищої освіти, діє як суб’єкт владних повноважень при здійсненні владних управлінсь</w:t>
      </w:r>
      <w:r>
        <w:rPr>
          <w:color w:val="231F20"/>
        </w:rPr>
        <w:t>ких</w:t>
      </w:r>
      <w:r>
        <w:rPr>
          <w:color w:val="231F20"/>
          <w:spacing w:val="21"/>
        </w:rPr>
        <w:t xml:space="preserve"> </w:t>
      </w:r>
      <w:r>
        <w:rPr>
          <w:color w:val="231F20"/>
        </w:rPr>
        <w:t>функцій.</w:t>
      </w:r>
    </w:p>
    <w:p w14:paraId="7ED83DE2" w14:textId="77777777" w:rsidR="00DE575E" w:rsidRDefault="00DE575E">
      <w:pPr>
        <w:pStyle w:val="BodyText"/>
        <w:rPr>
          <w:sz w:val="24"/>
        </w:rPr>
      </w:pPr>
    </w:p>
    <w:p w14:paraId="48CB1491" w14:textId="77777777" w:rsidR="00DE575E" w:rsidRDefault="00DE575E">
      <w:pPr>
        <w:pStyle w:val="BodyText"/>
        <w:spacing w:before="7"/>
        <w:rPr>
          <w:sz w:val="19"/>
        </w:rPr>
      </w:pPr>
    </w:p>
    <w:p w14:paraId="31E0D61E" w14:textId="77777777" w:rsidR="00DE575E" w:rsidRDefault="002E7560">
      <w:pPr>
        <w:pStyle w:val="Heading4"/>
        <w:numPr>
          <w:ilvl w:val="1"/>
          <w:numId w:val="271"/>
        </w:numPr>
        <w:tabs>
          <w:tab w:val="left" w:pos="2096"/>
        </w:tabs>
        <w:ind w:left="2095"/>
        <w:jc w:val="left"/>
      </w:pPr>
      <w:r>
        <w:rPr>
          <w:color w:val="231F20"/>
          <w:spacing w:val="-4"/>
        </w:rPr>
        <w:t xml:space="preserve">Суб’єкти </w:t>
      </w:r>
      <w:r>
        <w:rPr>
          <w:color w:val="231F20"/>
        </w:rPr>
        <w:t>місцевого</w:t>
      </w:r>
      <w:r>
        <w:rPr>
          <w:color w:val="231F20"/>
        </w:rPr>
        <w:t xml:space="preserve"> </w:t>
      </w:r>
      <w:r>
        <w:rPr>
          <w:color w:val="231F20"/>
        </w:rPr>
        <w:t>самоврядування</w:t>
      </w:r>
    </w:p>
    <w:p w14:paraId="198315C4" w14:textId="77777777" w:rsidR="00DE575E" w:rsidRDefault="00DE575E">
      <w:pPr>
        <w:pStyle w:val="BodyText"/>
        <w:rPr>
          <w:b/>
          <w:sz w:val="26"/>
        </w:rPr>
      </w:pPr>
    </w:p>
    <w:p w14:paraId="54E6C403" w14:textId="77777777" w:rsidR="00DE575E" w:rsidRDefault="002E7560">
      <w:pPr>
        <w:pStyle w:val="BodyText"/>
        <w:spacing w:before="224" w:line="252" w:lineRule="auto"/>
        <w:ind w:left="533" w:right="127" w:firstLine="283"/>
        <w:jc w:val="both"/>
      </w:pPr>
      <w:r>
        <w:rPr>
          <w:color w:val="231F20"/>
        </w:rPr>
        <w:t xml:space="preserve">Громадяни </w:t>
      </w:r>
      <w:r>
        <w:rPr>
          <w:color w:val="231F20"/>
          <w:spacing w:val="-3"/>
        </w:rPr>
        <w:t xml:space="preserve">України </w:t>
      </w:r>
      <w:r>
        <w:rPr>
          <w:color w:val="231F20"/>
        </w:rPr>
        <w:t>реалізують своє право на участь у місце- вому самоврядуванні за належністю до відповідних територіаль- них громад. Закріплюючи поняття місцевого самоврядування,</w:t>
      </w:r>
      <w:r>
        <w:rPr>
          <w:color w:val="231F20"/>
          <w:spacing w:val="-20"/>
        </w:rPr>
        <w:t xml:space="preserve"> </w:t>
      </w:r>
      <w:r>
        <w:rPr>
          <w:color w:val="231F20"/>
        </w:rPr>
        <w:t xml:space="preserve">Євро- пейська хартія місцевого самоврядування наголошує, що це право  й реальна здатність органів місцевого самоврядування регламен- тувати значну частину державних справ та управляти нею, діючи    в межах </w:t>
      </w:r>
      <w:r>
        <w:rPr>
          <w:color w:val="231F20"/>
          <w:spacing w:val="-3"/>
        </w:rPr>
        <w:t xml:space="preserve">закону, </w:t>
      </w:r>
      <w:r>
        <w:rPr>
          <w:color w:val="231F20"/>
        </w:rPr>
        <w:t>під свою відповідальність і в інтересах мі</w:t>
      </w:r>
      <w:r>
        <w:rPr>
          <w:color w:val="231F20"/>
        </w:rPr>
        <w:t>сцевого населення.</w:t>
      </w:r>
    </w:p>
    <w:p w14:paraId="33FA8FB1" w14:textId="77777777" w:rsidR="00DE575E" w:rsidRDefault="002E7560">
      <w:pPr>
        <w:pStyle w:val="BodyText"/>
        <w:spacing w:before="4" w:line="252" w:lineRule="auto"/>
        <w:ind w:left="533" w:right="127" w:firstLine="283"/>
        <w:jc w:val="both"/>
      </w:pPr>
      <w:r>
        <w:rPr>
          <w:color w:val="231F20"/>
        </w:rPr>
        <w:t xml:space="preserve">Громадяни </w:t>
      </w:r>
      <w:r>
        <w:rPr>
          <w:color w:val="231F20"/>
          <w:spacing w:val="-3"/>
        </w:rPr>
        <w:t xml:space="preserve">України </w:t>
      </w:r>
      <w:r>
        <w:rPr>
          <w:color w:val="231F20"/>
        </w:rPr>
        <w:t>реалізують своє право на участь у місце- вому самоврядуванні за належністю до відповідних територіаль- них громад. Закріплюючи поняття місцевого самоврядування,</w:t>
      </w:r>
      <w:r>
        <w:rPr>
          <w:color w:val="231F20"/>
          <w:spacing w:val="-20"/>
        </w:rPr>
        <w:t xml:space="preserve"> </w:t>
      </w:r>
      <w:r>
        <w:rPr>
          <w:color w:val="231F20"/>
        </w:rPr>
        <w:t>Євро- пейська хартія місцевого самоврядування наголошує, щ</w:t>
      </w:r>
      <w:r>
        <w:rPr>
          <w:color w:val="231F20"/>
        </w:rPr>
        <w:t xml:space="preserve">о це право  й реальна здатність органів місцевого самоврядування регламен- тувати значну частину державних справ та управляти нею, діючи    в межах </w:t>
      </w:r>
      <w:r>
        <w:rPr>
          <w:color w:val="231F20"/>
          <w:spacing w:val="-3"/>
        </w:rPr>
        <w:t xml:space="preserve">закону, </w:t>
      </w:r>
      <w:r>
        <w:rPr>
          <w:color w:val="231F20"/>
        </w:rPr>
        <w:t>під свою відповідальність і в інтересах місцевого населення.</w:t>
      </w:r>
    </w:p>
    <w:p w14:paraId="2E6742A8" w14:textId="77777777" w:rsidR="00DE575E" w:rsidRDefault="002E7560">
      <w:pPr>
        <w:pStyle w:val="BodyText"/>
        <w:spacing w:before="4" w:line="252" w:lineRule="auto"/>
        <w:ind w:left="533" w:right="127" w:firstLine="283"/>
        <w:jc w:val="both"/>
      </w:pPr>
      <w:r>
        <w:rPr>
          <w:color w:val="231F20"/>
        </w:rPr>
        <w:t xml:space="preserve">Згідно зі  </w:t>
      </w:r>
      <w:r>
        <w:rPr>
          <w:color w:val="231F20"/>
          <w:spacing w:val="-6"/>
        </w:rPr>
        <w:t xml:space="preserve">ст. </w:t>
      </w:r>
      <w:r>
        <w:rPr>
          <w:color w:val="231F20"/>
        </w:rPr>
        <w:t xml:space="preserve">140  Конституції  </w:t>
      </w:r>
      <w:r>
        <w:rPr>
          <w:color w:val="231F20"/>
          <w:spacing w:val="-3"/>
        </w:rPr>
        <w:t>Україн</w:t>
      </w:r>
      <w:r>
        <w:rPr>
          <w:color w:val="231F20"/>
          <w:spacing w:val="-3"/>
        </w:rPr>
        <w:t xml:space="preserve">и  </w:t>
      </w:r>
      <w:r>
        <w:rPr>
          <w:color w:val="231F20"/>
        </w:rPr>
        <w:t xml:space="preserve">місцеве  самоврядування  є правом територіальної громади – жителів села чи добровільного </w:t>
      </w:r>
      <w:r>
        <w:rPr>
          <w:color w:val="231F20"/>
          <w:spacing w:val="-3"/>
        </w:rPr>
        <w:t xml:space="preserve">об’єднання </w:t>
      </w:r>
      <w:r>
        <w:rPr>
          <w:color w:val="231F20"/>
        </w:rPr>
        <w:t>в сільську громаду жителів кількох сіл, селища та міста – самостійно вирішувати питання місцевого значення в межах Конс- титуції та законів</w:t>
      </w:r>
      <w:r>
        <w:rPr>
          <w:color w:val="231F20"/>
          <w:spacing w:val="-2"/>
        </w:rPr>
        <w:t xml:space="preserve"> </w:t>
      </w:r>
      <w:r>
        <w:rPr>
          <w:color w:val="231F20"/>
          <w:spacing w:val="-3"/>
        </w:rPr>
        <w:t>України.</w:t>
      </w:r>
    </w:p>
    <w:p w14:paraId="4A74FA34" w14:textId="77777777" w:rsidR="00DE575E" w:rsidRDefault="002E7560">
      <w:pPr>
        <w:pStyle w:val="Heading6"/>
        <w:spacing w:before="2"/>
        <w:ind w:left="817" w:firstLine="0"/>
      </w:pPr>
      <w:r>
        <w:rPr>
          <w:color w:val="231F20"/>
        </w:rPr>
        <w:t>До суб’єктів місцевого самоврядування належать:</w:t>
      </w:r>
    </w:p>
    <w:p w14:paraId="04AF6833" w14:textId="77777777" w:rsidR="00DE575E" w:rsidRDefault="002E7560">
      <w:pPr>
        <w:pStyle w:val="ListParagraph"/>
        <w:numPr>
          <w:ilvl w:val="0"/>
          <w:numId w:val="252"/>
        </w:numPr>
        <w:tabs>
          <w:tab w:val="left" w:pos="1101"/>
        </w:tabs>
        <w:spacing w:before="13"/>
        <w:ind w:hanging="283"/>
        <w:jc w:val="left"/>
        <w:rPr>
          <w:sz w:val="21"/>
        </w:rPr>
      </w:pPr>
      <w:r>
        <w:rPr>
          <w:color w:val="231F20"/>
          <w:sz w:val="21"/>
        </w:rPr>
        <w:t>територіальна громада;</w:t>
      </w:r>
    </w:p>
    <w:p w14:paraId="583D0EB2" w14:textId="77777777" w:rsidR="00DE575E" w:rsidRDefault="002E7560">
      <w:pPr>
        <w:pStyle w:val="ListParagraph"/>
        <w:numPr>
          <w:ilvl w:val="0"/>
          <w:numId w:val="252"/>
        </w:numPr>
        <w:tabs>
          <w:tab w:val="left" w:pos="1101"/>
        </w:tabs>
        <w:spacing w:before="13"/>
        <w:ind w:hanging="283"/>
        <w:jc w:val="left"/>
        <w:rPr>
          <w:sz w:val="21"/>
        </w:rPr>
      </w:pPr>
      <w:r>
        <w:rPr>
          <w:color w:val="231F20"/>
          <w:sz w:val="21"/>
        </w:rPr>
        <w:t>сільська, селищна, міська</w:t>
      </w:r>
      <w:r>
        <w:rPr>
          <w:color w:val="231F20"/>
          <w:spacing w:val="-3"/>
          <w:sz w:val="21"/>
        </w:rPr>
        <w:t xml:space="preserve"> </w:t>
      </w:r>
      <w:r>
        <w:rPr>
          <w:color w:val="231F20"/>
          <w:sz w:val="21"/>
        </w:rPr>
        <w:t>рада;</w:t>
      </w:r>
    </w:p>
    <w:p w14:paraId="396995E9" w14:textId="77777777" w:rsidR="00DE575E" w:rsidRDefault="002E7560">
      <w:pPr>
        <w:pStyle w:val="ListParagraph"/>
        <w:numPr>
          <w:ilvl w:val="0"/>
          <w:numId w:val="252"/>
        </w:numPr>
        <w:tabs>
          <w:tab w:val="left" w:pos="1101"/>
        </w:tabs>
        <w:spacing w:before="13"/>
        <w:ind w:hanging="283"/>
        <w:jc w:val="left"/>
        <w:rPr>
          <w:sz w:val="21"/>
        </w:rPr>
      </w:pPr>
      <w:r>
        <w:rPr>
          <w:color w:val="231F20"/>
          <w:sz w:val="21"/>
        </w:rPr>
        <w:t>сільський, селищний, міський</w:t>
      </w:r>
      <w:r>
        <w:rPr>
          <w:color w:val="231F20"/>
          <w:spacing w:val="-4"/>
          <w:sz w:val="21"/>
        </w:rPr>
        <w:t xml:space="preserve"> </w:t>
      </w:r>
      <w:r>
        <w:rPr>
          <w:color w:val="231F20"/>
          <w:sz w:val="21"/>
        </w:rPr>
        <w:t>голова;</w:t>
      </w:r>
    </w:p>
    <w:p w14:paraId="22A8DDEB" w14:textId="77777777" w:rsidR="00DE575E" w:rsidRDefault="002E7560">
      <w:pPr>
        <w:pStyle w:val="ListParagraph"/>
        <w:numPr>
          <w:ilvl w:val="0"/>
          <w:numId w:val="252"/>
        </w:numPr>
        <w:tabs>
          <w:tab w:val="left" w:pos="1101"/>
        </w:tabs>
        <w:spacing w:before="12"/>
        <w:ind w:hanging="283"/>
        <w:jc w:val="left"/>
        <w:rPr>
          <w:sz w:val="21"/>
        </w:rPr>
      </w:pPr>
      <w:r>
        <w:rPr>
          <w:color w:val="231F20"/>
          <w:sz w:val="21"/>
        </w:rPr>
        <w:t>виконавчі органи сільської селищної, міської</w:t>
      </w:r>
      <w:r>
        <w:rPr>
          <w:color w:val="231F20"/>
          <w:spacing w:val="-5"/>
          <w:sz w:val="21"/>
        </w:rPr>
        <w:t xml:space="preserve"> </w:t>
      </w:r>
      <w:r>
        <w:rPr>
          <w:color w:val="231F20"/>
          <w:sz w:val="21"/>
        </w:rPr>
        <w:t>ради;</w:t>
      </w:r>
    </w:p>
    <w:p w14:paraId="435644C8" w14:textId="77777777" w:rsidR="00DE575E" w:rsidRDefault="00DE575E">
      <w:pPr>
        <w:pStyle w:val="BodyText"/>
        <w:spacing w:before="7"/>
        <w:rPr>
          <w:sz w:val="13"/>
        </w:rPr>
      </w:pPr>
    </w:p>
    <w:p w14:paraId="5F998046" w14:textId="77777777" w:rsidR="00DE575E" w:rsidRDefault="002E7560">
      <w:pPr>
        <w:spacing w:before="91"/>
        <w:ind w:left="533"/>
        <w:rPr>
          <w:rFonts w:ascii="Times New Roman"/>
          <w:sz w:val="20"/>
        </w:rPr>
      </w:pPr>
      <w:r>
        <w:rPr>
          <w:rFonts w:ascii="Times New Roman"/>
          <w:color w:val="231F20"/>
          <w:sz w:val="20"/>
        </w:rPr>
        <w:t>122</w:t>
      </w:r>
    </w:p>
    <w:p w14:paraId="1EDAF28C" w14:textId="77777777" w:rsidR="00DE575E" w:rsidRDefault="00DE575E">
      <w:pPr>
        <w:rPr>
          <w:rFonts w:ascii="Times New Roman"/>
          <w:sz w:val="20"/>
        </w:rPr>
        <w:sectPr w:rsidR="00DE575E">
          <w:pgSz w:w="8510" w:h="12760"/>
          <w:pgMar w:top="660" w:right="720" w:bottom="280" w:left="600" w:header="720" w:footer="720" w:gutter="0"/>
          <w:cols w:space="720"/>
        </w:sectPr>
      </w:pPr>
    </w:p>
    <w:p w14:paraId="509794AA"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w:t>
      </w:r>
      <w:r>
        <w:rPr>
          <w:rFonts w:ascii="AdonisC" w:hAnsi="AdonisC"/>
          <w:i/>
          <w:color w:val="231F20"/>
          <w:sz w:val="18"/>
        </w:rPr>
        <w:t xml:space="preserve"> 4. Суб’єкти публічного адміністрування</w:t>
      </w:r>
    </w:p>
    <w:p w14:paraId="622F1340" w14:textId="5501006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4D6D6BD" wp14:editId="5BE0AAB0">
                <wp:extent cx="4140200" cy="6350"/>
                <wp:effectExtent l="0" t="0" r="12700" b="6350"/>
                <wp:docPr id="1100"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01" name="Line 11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A238D" id="Group_x0020_10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6KyRmgAIAAJwFAAAO&#10;AAAAAAAAAAAAAAAAACwCAABkcnMvZTJvRG9jLnhtbFBLAQItABQABgAIAAAAIQBMp7CQ2QAAAAMB&#10;AAAPAAAAAAAAAAAAAAAAANgEAABkcnMvZG93bnJldi54bWxQSwUGAAAAAAQABADzAAAA3gUAAAAA&#10;">
                <v:line id="Line_x0020_11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vkgcQAAADdAAAADwAAAGRycy9kb3ducmV2LnhtbERP22rCQBB9F/oPyxR8kbqJgkjqKkUQ&#10;Sh+8pR8wZqdJ6O5szK4m7de7guDbHM51FqveGnGl1teOFaTjBARx4XTNpYLvfPM2B+EDskbjmBT8&#10;kYfV8mWwwEy7jg90PYZSxBD2GSqoQmgyKX1RkUU/dg1x5H5cazFE2JZSt9jFcGvkJElm0mLNsaHC&#10;htYVFb/Hi1WQn0fB7Hdfpst3p6k8nbfT/8tWqeFr//EOIlAfnuKH+1PH+WmSwv2beIJ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K+SBxAAAAN0AAAAPAAAAAAAAAAAA&#10;AAAAAKECAABkcnMvZG93bnJldi54bWxQSwUGAAAAAAQABAD5AAAAkgMAAAAA&#10;" strokecolor="#231f20" strokeweight=".5pt"/>
                <w10:anchorlock/>
              </v:group>
            </w:pict>
          </mc:Fallback>
        </mc:AlternateContent>
      </w:r>
    </w:p>
    <w:p w14:paraId="430261C1" w14:textId="77777777" w:rsidR="00DE575E" w:rsidRDefault="00DE575E">
      <w:pPr>
        <w:pStyle w:val="BodyText"/>
        <w:spacing w:before="7"/>
        <w:rPr>
          <w:rFonts w:ascii="AdonisC"/>
          <w:i/>
          <w:sz w:val="19"/>
        </w:rPr>
      </w:pPr>
    </w:p>
    <w:p w14:paraId="4D6D0B58" w14:textId="77777777" w:rsidR="00DE575E" w:rsidRDefault="002E7560">
      <w:pPr>
        <w:pStyle w:val="ListParagraph"/>
        <w:numPr>
          <w:ilvl w:val="0"/>
          <w:numId w:val="258"/>
        </w:numPr>
        <w:tabs>
          <w:tab w:val="left" w:pos="818"/>
        </w:tabs>
        <w:spacing w:line="252" w:lineRule="auto"/>
        <w:ind w:right="411" w:firstLine="283"/>
        <w:rPr>
          <w:sz w:val="21"/>
        </w:rPr>
      </w:pPr>
      <w:r>
        <w:rPr>
          <w:color w:val="231F20"/>
          <w:sz w:val="21"/>
        </w:rPr>
        <w:t>районні та обласні ради, що представляють спільні інтереси територіальних громад сіл, селищ,</w:t>
      </w:r>
      <w:r>
        <w:rPr>
          <w:color w:val="231F20"/>
          <w:spacing w:val="-2"/>
          <w:sz w:val="21"/>
        </w:rPr>
        <w:t xml:space="preserve"> </w:t>
      </w:r>
      <w:r>
        <w:rPr>
          <w:color w:val="231F20"/>
          <w:sz w:val="21"/>
        </w:rPr>
        <w:t>міст;</w:t>
      </w:r>
    </w:p>
    <w:p w14:paraId="6B590DD3" w14:textId="77777777" w:rsidR="00DE575E" w:rsidRDefault="002E7560">
      <w:pPr>
        <w:pStyle w:val="ListParagraph"/>
        <w:numPr>
          <w:ilvl w:val="0"/>
          <w:numId w:val="258"/>
        </w:numPr>
        <w:tabs>
          <w:tab w:val="left" w:pos="818"/>
        </w:tabs>
        <w:ind w:firstLine="283"/>
        <w:jc w:val="left"/>
        <w:rPr>
          <w:sz w:val="21"/>
        </w:rPr>
      </w:pPr>
      <w:r>
        <w:rPr>
          <w:color w:val="231F20"/>
          <w:sz w:val="21"/>
        </w:rPr>
        <w:t>органи самоорганізації</w:t>
      </w:r>
      <w:r>
        <w:rPr>
          <w:color w:val="231F20"/>
          <w:spacing w:val="-3"/>
          <w:sz w:val="21"/>
        </w:rPr>
        <w:t xml:space="preserve"> </w:t>
      </w:r>
      <w:r>
        <w:rPr>
          <w:color w:val="231F20"/>
          <w:sz w:val="21"/>
        </w:rPr>
        <w:t>населення;</w:t>
      </w:r>
    </w:p>
    <w:p w14:paraId="52745635" w14:textId="77777777" w:rsidR="00DE575E" w:rsidRDefault="002E7560">
      <w:pPr>
        <w:pStyle w:val="ListParagraph"/>
        <w:numPr>
          <w:ilvl w:val="0"/>
          <w:numId w:val="258"/>
        </w:numPr>
        <w:tabs>
          <w:tab w:val="left" w:pos="818"/>
        </w:tabs>
        <w:spacing w:before="12" w:line="252" w:lineRule="auto"/>
        <w:ind w:right="412" w:firstLine="283"/>
        <w:rPr>
          <w:sz w:val="21"/>
        </w:rPr>
      </w:pPr>
      <w:r>
        <w:rPr>
          <w:color w:val="231F20"/>
          <w:sz w:val="21"/>
        </w:rPr>
        <w:t>районні в місті ради (у разі їх утворення в містах з районним поділом);</w:t>
      </w:r>
    </w:p>
    <w:p w14:paraId="541C0126" w14:textId="77777777" w:rsidR="00DE575E" w:rsidRDefault="002E7560">
      <w:pPr>
        <w:pStyle w:val="ListParagraph"/>
        <w:numPr>
          <w:ilvl w:val="0"/>
          <w:numId w:val="258"/>
        </w:numPr>
        <w:tabs>
          <w:tab w:val="left" w:pos="818"/>
        </w:tabs>
        <w:spacing w:line="252" w:lineRule="auto"/>
        <w:ind w:right="410" w:firstLine="283"/>
        <w:rPr>
          <w:sz w:val="21"/>
        </w:rPr>
      </w:pPr>
      <w:r>
        <w:rPr>
          <w:color w:val="231F20"/>
          <w:sz w:val="21"/>
        </w:rPr>
        <w:t>виконавчі органи та голови районних у містах рад (у містах з районним</w:t>
      </w:r>
      <w:r>
        <w:rPr>
          <w:color w:val="231F20"/>
          <w:spacing w:val="-2"/>
          <w:sz w:val="21"/>
        </w:rPr>
        <w:t xml:space="preserve"> </w:t>
      </w:r>
      <w:r>
        <w:rPr>
          <w:color w:val="231F20"/>
          <w:sz w:val="21"/>
        </w:rPr>
        <w:t>поділом).</w:t>
      </w:r>
    </w:p>
    <w:p w14:paraId="5164FD19" w14:textId="77777777" w:rsidR="00DE575E" w:rsidRDefault="002E7560">
      <w:pPr>
        <w:pStyle w:val="BodyText"/>
        <w:spacing w:before="1" w:line="252" w:lineRule="auto"/>
        <w:ind w:left="250" w:right="411" w:firstLine="283"/>
        <w:jc w:val="both"/>
      </w:pPr>
      <w:r>
        <w:rPr>
          <w:b/>
          <w:i/>
          <w:color w:val="231F20"/>
        </w:rPr>
        <w:t xml:space="preserve">Сутність місцевого самоврядування </w:t>
      </w:r>
      <w:r>
        <w:rPr>
          <w:color w:val="231F20"/>
        </w:rPr>
        <w:t>полягає в гарантова- ному державою праві територіальної громади, громадян та їх орга- нів розв’язувати значну частину місцевих справ і управля</w:t>
      </w:r>
      <w:r>
        <w:rPr>
          <w:color w:val="231F20"/>
        </w:rPr>
        <w:t xml:space="preserve">ти ними, діючи в межах </w:t>
      </w:r>
      <w:r>
        <w:rPr>
          <w:color w:val="231F20"/>
          <w:spacing w:val="-3"/>
        </w:rPr>
        <w:t xml:space="preserve">закону, </w:t>
      </w:r>
      <w:r>
        <w:rPr>
          <w:color w:val="231F20"/>
        </w:rPr>
        <w:t>під свою відповідальність та в інтересах насе- лення.</w:t>
      </w:r>
    </w:p>
    <w:p w14:paraId="2A4E904F" w14:textId="77777777" w:rsidR="00DE575E" w:rsidRDefault="002E7560">
      <w:pPr>
        <w:spacing w:before="3"/>
        <w:ind w:left="533"/>
        <w:rPr>
          <w:i/>
          <w:sz w:val="21"/>
        </w:rPr>
      </w:pPr>
      <w:r>
        <w:rPr>
          <w:i/>
          <w:color w:val="231F20"/>
          <w:sz w:val="21"/>
        </w:rPr>
        <w:t>Характерні риси місцевого самоврядування:</w:t>
      </w:r>
    </w:p>
    <w:p w14:paraId="2302F394" w14:textId="77777777" w:rsidR="00DE575E" w:rsidRDefault="002E7560">
      <w:pPr>
        <w:pStyle w:val="ListParagraph"/>
        <w:numPr>
          <w:ilvl w:val="0"/>
          <w:numId w:val="254"/>
        </w:numPr>
        <w:tabs>
          <w:tab w:val="left" w:pos="818"/>
        </w:tabs>
        <w:spacing w:before="13" w:line="252" w:lineRule="auto"/>
        <w:ind w:right="411" w:firstLine="283"/>
        <w:rPr>
          <w:sz w:val="21"/>
        </w:rPr>
      </w:pPr>
      <w:r>
        <w:rPr>
          <w:color w:val="231F20"/>
          <w:sz w:val="21"/>
        </w:rPr>
        <w:t xml:space="preserve">займає особливе місце в механізмі управління суспільством    і державою, </w:t>
      </w:r>
      <w:r>
        <w:rPr>
          <w:color w:val="231F20"/>
          <w:spacing w:val="-3"/>
          <w:sz w:val="21"/>
        </w:rPr>
        <w:t xml:space="preserve">будучи  </w:t>
      </w:r>
      <w:r>
        <w:rPr>
          <w:color w:val="231F20"/>
          <w:sz w:val="21"/>
        </w:rPr>
        <w:t xml:space="preserve">специфічною формою публічної влади, яка не    є </w:t>
      </w:r>
      <w:r>
        <w:rPr>
          <w:color w:val="231F20"/>
          <w:sz w:val="21"/>
        </w:rPr>
        <w:t>складовою механізму державної</w:t>
      </w:r>
      <w:r>
        <w:rPr>
          <w:color w:val="231F20"/>
          <w:spacing w:val="-5"/>
          <w:sz w:val="21"/>
        </w:rPr>
        <w:t xml:space="preserve"> </w:t>
      </w:r>
      <w:r>
        <w:rPr>
          <w:color w:val="231F20"/>
          <w:sz w:val="21"/>
        </w:rPr>
        <w:t>влади;</w:t>
      </w:r>
    </w:p>
    <w:p w14:paraId="4347362E" w14:textId="77777777" w:rsidR="00DE575E" w:rsidRDefault="002E7560">
      <w:pPr>
        <w:pStyle w:val="ListParagraph"/>
        <w:numPr>
          <w:ilvl w:val="0"/>
          <w:numId w:val="254"/>
        </w:numPr>
        <w:tabs>
          <w:tab w:val="left" w:pos="818"/>
        </w:tabs>
        <w:spacing w:line="252" w:lineRule="auto"/>
        <w:ind w:right="410" w:firstLine="283"/>
        <w:rPr>
          <w:sz w:val="21"/>
        </w:rPr>
      </w:pPr>
      <w:r>
        <w:rPr>
          <w:color w:val="231F20"/>
          <w:sz w:val="21"/>
        </w:rPr>
        <w:t>місцеве самоврядування займається питаннями</w:t>
      </w:r>
      <w:r>
        <w:rPr>
          <w:color w:val="231F20"/>
          <w:spacing w:val="33"/>
          <w:sz w:val="21"/>
        </w:rPr>
        <w:t xml:space="preserve"> </w:t>
      </w:r>
      <w:r>
        <w:rPr>
          <w:color w:val="231F20"/>
          <w:sz w:val="21"/>
        </w:rPr>
        <w:t>місцевого значення, перелік яких вирішується</w:t>
      </w:r>
      <w:r>
        <w:rPr>
          <w:color w:val="231F20"/>
          <w:spacing w:val="-5"/>
          <w:sz w:val="21"/>
        </w:rPr>
        <w:t xml:space="preserve"> </w:t>
      </w:r>
      <w:r>
        <w:rPr>
          <w:color w:val="231F20"/>
          <w:sz w:val="21"/>
        </w:rPr>
        <w:t>законодавством;</w:t>
      </w:r>
    </w:p>
    <w:p w14:paraId="1DF64C25"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 xml:space="preserve">одним  зі  специфічних  </w:t>
      </w:r>
      <w:r>
        <w:rPr>
          <w:color w:val="231F20"/>
          <w:spacing w:val="-3"/>
          <w:sz w:val="21"/>
        </w:rPr>
        <w:t xml:space="preserve">суб’єктів  </w:t>
      </w:r>
      <w:r>
        <w:rPr>
          <w:color w:val="231F20"/>
          <w:sz w:val="21"/>
        </w:rPr>
        <w:t>місцевого  самоврядування  є територіальна</w:t>
      </w:r>
      <w:r>
        <w:rPr>
          <w:color w:val="231F20"/>
          <w:spacing w:val="-1"/>
          <w:sz w:val="21"/>
        </w:rPr>
        <w:t xml:space="preserve"> </w:t>
      </w:r>
      <w:r>
        <w:rPr>
          <w:color w:val="231F20"/>
          <w:sz w:val="21"/>
        </w:rPr>
        <w:t>громада;</w:t>
      </w:r>
    </w:p>
    <w:p w14:paraId="0CD3DB38" w14:textId="77777777" w:rsidR="00DE575E" w:rsidRDefault="002E7560">
      <w:pPr>
        <w:pStyle w:val="ListParagraph"/>
        <w:numPr>
          <w:ilvl w:val="0"/>
          <w:numId w:val="254"/>
        </w:numPr>
        <w:tabs>
          <w:tab w:val="left" w:pos="818"/>
        </w:tabs>
        <w:spacing w:line="252" w:lineRule="auto"/>
        <w:ind w:right="410" w:firstLine="283"/>
        <w:rPr>
          <w:sz w:val="21"/>
        </w:rPr>
      </w:pPr>
      <w:r>
        <w:rPr>
          <w:color w:val="231F20"/>
          <w:sz w:val="21"/>
        </w:rPr>
        <w:t>самостійність  місцевого  самоврядування,   що   виявляється в організаційній і матеріально-фінансовій відокремленості, само- стійному вирішенні місцевих справ у межах компетенції, закріпле- ної законодавством, самостійній відповідальності органів і посадо</w:t>
      </w:r>
      <w:r>
        <w:rPr>
          <w:color w:val="231F20"/>
          <w:sz w:val="21"/>
        </w:rPr>
        <w:t>- вих осіб місцевого</w:t>
      </w:r>
      <w:r>
        <w:rPr>
          <w:color w:val="231F20"/>
          <w:spacing w:val="-1"/>
          <w:sz w:val="21"/>
        </w:rPr>
        <w:t xml:space="preserve"> </w:t>
      </w:r>
      <w:r>
        <w:rPr>
          <w:color w:val="231F20"/>
          <w:sz w:val="21"/>
        </w:rPr>
        <w:t>самоврядування.</w:t>
      </w:r>
    </w:p>
    <w:p w14:paraId="368DBA87" w14:textId="77777777" w:rsidR="00DE575E" w:rsidRDefault="002E7560">
      <w:pPr>
        <w:pStyle w:val="BodyText"/>
        <w:spacing w:before="3" w:line="252" w:lineRule="auto"/>
        <w:ind w:left="250" w:right="410" w:firstLine="283"/>
        <w:jc w:val="both"/>
      </w:pPr>
      <w:r>
        <w:rPr>
          <w:b/>
          <w:i/>
          <w:color w:val="231F20"/>
        </w:rPr>
        <w:t xml:space="preserve">Першим рівнем місцевого самоврядування </w:t>
      </w:r>
      <w:r>
        <w:rPr>
          <w:color w:val="231F20"/>
        </w:rPr>
        <w:t>є територіальна громада, що поєднує в собі як функції низової адміністративно-те- риторіальної</w:t>
      </w:r>
      <w:r>
        <w:rPr>
          <w:color w:val="231F20"/>
          <w:spacing w:val="-10"/>
        </w:rPr>
        <w:t xml:space="preserve"> </w:t>
      </w:r>
      <w:r>
        <w:rPr>
          <w:color w:val="231F20"/>
        </w:rPr>
        <w:t>одиниці,</w:t>
      </w:r>
      <w:r>
        <w:rPr>
          <w:color w:val="231F20"/>
          <w:spacing w:val="-10"/>
        </w:rPr>
        <w:t xml:space="preserve"> </w:t>
      </w:r>
      <w:r>
        <w:rPr>
          <w:color w:val="231F20"/>
        </w:rPr>
        <w:t>так</w:t>
      </w:r>
      <w:r>
        <w:rPr>
          <w:color w:val="231F20"/>
          <w:spacing w:val="-10"/>
        </w:rPr>
        <w:t xml:space="preserve"> </w:t>
      </w:r>
      <w:r>
        <w:rPr>
          <w:color w:val="231F20"/>
        </w:rPr>
        <w:t>і</w:t>
      </w:r>
      <w:r>
        <w:rPr>
          <w:color w:val="231F20"/>
          <w:spacing w:val="-10"/>
        </w:rPr>
        <w:t xml:space="preserve"> </w:t>
      </w:r>
      <w:r>
        <w:rPr>
          <w:color w:val="231F20"/>
        </w:rPr>
        <w:t>функції</w:t>
      </w:r>
      <w:r>
        <w:rPr>
          <w:color w:val="231F20"/>
          <w:spacing w:val="-10"/>
        </w:rPr>
        <w:t xml:space="preserve"> </w:t>
      </w:r>
      <w:r>
        <w:rPr>
          <w:color w:val="231F20"/>
        </w:rPr>
        <w:t>носія</w:t>
      </w:r>
      <w:r>
        <w:rPr>
          <w:color w:val="231F20"/>
          <w:spacing w:val="-10"/>
        </w:rPr>
        <w:t xml:space="preserve"> </w:t>
      </w:r>
      <w:r>
        <w:rPr>
          <w:color w:val="231F20"/>
        </w:rPr>
        <w:t>місцевого</w:t>
      </w:r>
      <w:r>
        <w:rPr>
          <w:color w:val="231F20"/>
          <w:spacing w:val="-10"/>
        </w:rPr>
        <w:t xml:space="preserve"> </w:t>
      </w:r>
      <w:r>
        <w:rPr>
          <w:color w:val="231F20"/>
        </w:rPr>
        <w:t>самоврядування, інституту місцевої влади. Вона</w:t>
      </w:r>
      <w:r>
        <w:rPr>
          <w:color w:val="231F20"/>
        </w:rPr>
        <w:t xml:space="preserve"> виконує важливі суспільні функції з метою задоволення колективних потреб і захисту законних прав та інтересів громадян.</w:t>
      </w:r>
    </w:p>
    <w:p w14:paraId="763995F2" w14:textId="77777777" w:rsidR="00DE575E" w:rsidRDefault="002E7560">
      <w:pPr>
        <w:pStyle w:val="BodyText"/>
        <w:spacing w:before="3" w:line="252" w:lineRule="auto"/>
        <w:ind w:left="250" w:right="410" w:firstLine="283"/>
        <w:jc w:val="both"/>
      </w:pPr>
      <w:r>
        <w:rPr>
          <w:b/>
          <w:i/>
          <w:color w:val="231F20"/>
        </w:rPr>
        <w:t xml:space="preserve">Другий рівень складають ОМС </w:t>
      </w:r>
      <w:r>
        <w:rPr>
          <w:color w:val="231F20"/>
        </w:rPr>
        <w:t xml:space="preserve">– сільські, селищні, міські, районні в містах (у разі їх створення) ради та їх виконавчі органи,   а також </w:t>
      </w:r>
      <w:r>
        <w:rPr>
          <w:color w:val="231F20"/>
        </w:rPr>
        <w:t>районні й обласні ради та сільський, селищний, міський голова.</w:t>
      </w:r>
    </w:p>
    <w:p w14:paraId="1A3A5B01" w14:textId="77777777" w:rsidR="00DE575E" w:rsidRDefault="002E7560">
      <w:pPr>
        <w:pStyle w:val="BodyText"/>
        <w:spacing w:before="2" w:line="252" w:lineRule="auto"/>
        <w:ind w:left="250" w:right="410" w:firstLine="283"/>
        <w:jc w:val="both"/>
      </w:pPr>
      <w:r>
        <w:rPr>
          <w:b/>
          <w:i/>
          <w:color w:val="231F20"/>
        </w:rPr>
        <w:t xml:space="preserve">До третього рівня </w:t>
      </w:r>
      <w:r>
        <w:rPr>
          <w:color w:val="231F20"/>
        </w:rPr>
        <w:t xml:space="preserve">належать органи самоорганізації насе- лення. Територіальні громади сіл, селищ і міст можуть </w:t>
      </w:r>
      <w:r>
        <w:rPr>
          <w:color w:val="231F20"/>
          <w:spacing w:val="-4"/>
        </w:rPr>
        <w:t xml:space="preserve">об’єдну-  </w:t>
      </w:r>
      <w:r>
        <w:rPr>
          <w:color w:val="231F20"/>
        </w:rPr>
        <w:t xml:space="preserve">вати на договірних засадах </w:t>
      </w:r>
      <w:r>
        <w:rPr>
          <w:color w:val="231F20"/>
          <w:spacing w:val="-4"/>
        </w:rPr>
        <w:t xml:space="preserve">об’єкти </w:t>
      </w:r>
      <w:r>
        <w:rPr>
          <w:color w:val="231F20"/>
        </w:rPr>
        <w:t>комунальної власності, а також кошти</w:t>
      </w:r>
      <w:r>
        <w:rPr>
          <w:color w:val="231F20"/>
          <w:spacing w:val="-11"/>
        </w:rPr>
        <w:t xml:space="preserve"> </w:t>
      </w:r>
      <w:r>
        <w:rPr>
          <w:color w:val="231F20"/>
        </w:rPr>
        <w:t>бюджетів</w:t>
      </w:r>
      <w:r>
        <w:rPr>
          <w:color w:val="231F20"/>
          <w:spacing w:val="-11"/>
        </w:rPr>
        <w:t xml:space="preserve"> </w:t>
      </w:r>
      <w:r>
        <w:rPr>
          <w:color w:val="231F20"/>
        </w:rPr>
        <w:t>для</w:t>
      </w:r>
      <w:r>
        <w:rPr>
          <w:color w:val="231F20"/>
          <w:spacing w:val="-11"/>
        </w:rPr>
        <w:t xml:space="preserve"> </w:t>
      </w:r>
      <w:r>
        <w:rPr>
          <w:color w:val="231F20"/>
        </w:rPr>
        <w:t>виконання</w:t>
      </w:r>
      <w:r>
        <w:rPr>
          <w:color w:val="231F20"/>
          <w:spacing w:val="-11"/>
        </w:rPr>
        <w:t xml:space="preserve"> </w:t>
      </w:r>
      <w:r>
        <w:rPr>
          <w:color w:val="231F20"/>
        </w:rPr>
        <w:t>спільних</w:t>
      </w:r>
      <w:r>
        <w:rPr>
          <w:color w:val="231F20"/>
          <w:spacing w:val="-11"/>
        </w:rPr>
        <w:t xml:space="preserve"> </w:t>
      </w:r>
      <w:r>
        <w:rPr>
          <w:color w:val="231F20"/>
        </w:rPr>
        <w:t>проєктів</w:t>
      </w:r>
      <w:r>
        <w:rPr>
          <w:color w:val="231F20"/>
          <w:spacing w:val="-11"/>
        </w:rPr>
        <w:t xml:space="preserve"> </w:t>
      </w:r>
      <w:r>
        <w:rPr>
          <w:color w:val="231F20"/>
        </w:rPr>
        <w:t>або</w:t>
      </w:r>
      <w:r>
        <w:rPr>
          <w:color w:val="231F20"/>
          <w:spacing w:val="-12"/>
        </w:rPr>
        <w:t xml:space="preserve"> </w:t>
      </w:r>
      <w:r>
        <w:rPr>
          <w:color w:val="231F20"/>
        </w:rPr>
        <w:t>для</w:t>
      </w:r>
      <w:r>
        <w:rPr>
          <w:color w:val="231F20"/>
          <w:spacing w:val="-11"/>
        </w:rPr>
        <w:t xml:space="preserve"> </w:t>
      </w:r>
      <w:r>
        <w:rPr>
          <w:color w:val="231F20"/>
        </w:rPr>
        <w:t>спільного</w:t>
      </w:r>
    </w:p>
    <w:p w14:paraId="4BC1F307" w14:textId="77777777" w:rsidR="00DE575E" w:rsidRDefault="00DE575E">
      <w:pPr>
        <w:pStyle w:val="BodyText"/>
        <w:spacing w:before="6"/>
        <w:rPr>
          <w:sz w:val="12"/>
        </w:rPr>
      </w:pPr>
    </w:p>
    <w:p w14:paraId="6A954030" w14:textId="77777777" w:rsidR="00DE575E" w:rsidRDefault="002E7560">
      <w:pPr>
        <w:spacing w:before="92"/>
        <w:ind w:right="411"/>
        <w:jc w:val="right"/>
        <w:rPr>
          <w:rFonts w:ascii="Times New Roman"/>
          <w:sz w:val="20"/>
        </w:rPr>
      </w:pPr>
      <w:r>
        <w:rPr>
          <w:rFonts w:ascii="Times New Roman"/>
          <w:color w:val="231F20"/>
          <w:w w:val="90"/>
          <w:sz w:val="20"/>
        </w:rPr>
        <w:t>123</w:t>
      </w:r>
    </w:p>
    <w:p w14:paraId="7ACC59C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C9E5B6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2245169" w14:textId="0FECC21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AC72577" wp14:editId="7762448D">
                <wp:extent cx="4140200" cy="6350"/>
                <wp:effectExtent l="0" t="0" r="12700" b="6350"/>
                <wp:docPr id="1098"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99" name="Line 109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29A08" id="Group_x0020_109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dYln5/AgAAnAUAAA4A&#10;AAAAAAAAAAAAAAAALAIAAGRycy9lMm9Eb2MueG1sUEsBAi0AFAAGAAgAAAAhAEynsJDZAAAAAwEA&#10;AA8AAAAAAAAAAAAAAAAA1wQAAGRycy9kb3ducmV2LnhtbFBLBQYAAAAABAAEAPMAAADdBQAAAAA=&#10;">
                <v:line id="Line_x0020_109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ZyncQAAADdAAAADwAAAGRycy9kb3ducmV2LnhtbERPzWrCQBC+F3yHZYReim6qUDS6iggF&#10;6UGr8QHG7JgEd2djdjXRp+8WCr3Nx/c782VnjbhT4yvHCt6HCQji3OmKCwXH7HMwAeEDskbjmBQ8&#10;yMNy0XuZY6pdy3u6H0IhYgj7FBWUIdSplD4vyaIfupo4cmfXWAwRNoXUDbYx3Bo5SpIPabHi2FBi&#10;TeuS8svhZhVk17dgvndfps12p7E8Xbfj522r1Gu/W81ABOrCv/jPvdFxfjKdwu838QS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tnKdxAAAAN0AAAAPAAAAAAAAAAAA&#10;AAAAAKECAABkcnMvZG93bnJldi54bWxQSwUGAAAAAAQABAD5AAAAkgMAAAAA&#10;" strokecolor="#231f20" strokeweight=".5pt"/>
                <w10:anchorlock/>
              </v:group>
            </w:pict>
          </mc:Fallback>
        </mc:AlternateContent>
      </w:r>
    </w:p>
    <w:p w14:paraId="3653F353" w14:textId="77777777" w:rsidR="00DE575E" w:rsidRDefault="00DE575E">
      <w:pPr>
        <w:pStyle w:val="BodyText"/>
        <w:spacing w:before="7"/>
        <w:rPr>
          <w:rFonts w:ascii="AdonisC"/>
          <w:i/>
          <w:sz w:val="11"/>
        </w:rPr>
      </w:pPr>
    </w:p>
    <w:p w14:paraId="4DAA8A3F" w14:textId="77777777" w:rsidR="00DE575E" w:rsidRDefault="002E7560">
      <w:pPr>
        <w:pStyle w:val="BodyText"/>
        <w:spacing w:before="101" w:line="252" w:lineRule="auto"/>
        <w:ind w:left="533" w:right="248"/>
      </w:pPr>
      <w:r>
        <w:rPr>
          <w:color w:val="231F20"/>
        </w:rPr>
        <w:t>фінансування (утримання) комунальних підприємств, організацій   і установ, створювати для цього відповідні органи й</w:t>
      </w:r>
      <w:r>
        <w:rPr>
          <w:color w:val="231F20"/>
          <w:spacing w:val="-7"/>
        </w:rPr>
        <w:t xml:space="preserve"> </w:t>
      </w:r>
      <w:r>
        <w:rPr>
          <w:color w:val="231F20"/>
        </w:rPr>
        <w:t>служби.</w:t>
      </w:r>
    </w:p>
    <w:p w14:paraId="22867D96" w14:textId="77777777" w:rsidR="00DE575E" w:rsidRDefault="002E7560">
      <w:pPr>
        <w:pStyle w:val="BodyText"/>
        <w:spacing w:before="1" w:line="252" w:lineRule="auto"/>
        <w:ind w:left="533" w:right="126" w:firstLine="283"/>
        <w:jc w:val="both"/>
      </w:pPr>
      <w:r>
        <w:rPr>
          <w:color w:val="231F20"/>
        </w:rPr>
        <w:t xml:space="preserve">Від імені та в інтересах територіальних громад права </w:t>
      </w:r>
      <w:r>
        <w:rPr>
          <w:color w:val="231F20"/>
          <w:spacing w:val="-4"/>
        </w:rPr>
        <w:t xml:space="preserve">суб’єкта </w:t>
      </w:r>
      <w:r>
        <w:rPr>
          <w:color w:val="231F20"/>
        </w:rPr>
        <w:t>комунальної власності здійснюютьс</w:t>
      </w:r>
      <w:r>
        <w:rPr>
          <w:color w:val="231F20"/>
        </w:rPr>
        <w:t xml:space="preserve">я відповідними радами. Обласні та районні ради затверджують програми соціально-економічного   й культурного розвитку відповідних областей і районів та контро- люють їх виконання; затверджують районні й  обласні  бюджети, які формуються з коштів Державного </w:t>
      </w:r>
      <w:r>
        <w:rPr>
          <w:color w:val="231F20"/>
        </w:rPr>
        <w:t xml:space="preserve">бюджету для їх відповідного розподілу між територіальними громадами або для виконання спільних проєктів і з коштів, залучених на договірних засадах із місцевих бюджетів для реалізації спільних  соціально-економіч-  них і культурних програм, та контролюють </w:t>
      </w:r>
      <w:r>
        <w:rPr>
          <w:color w:val="231F20"/>
        </w:rPr>
        <w:t>їх виконання; розв’язу- ють інші питання, віднесені законом до їхньої компетенції. Сільські, селищні,</w:t>
      </w:r>
      <w:r>
        <w:rPr>
          <w:color w:val="231F20"/>
          <w:spacing w:val="-11"/>
        </w:rPr>
        <w:t xml:space="preserve"> </w:t>
      </w:r>
      <w:r>
        <w:rPr>
          <w:color w:val="231F20"/>
        </w:rPr>
        <w:t>міські</w:t>
      </w:r>
      <w:r>
        <w:rPr>
          <w:color w:val="231F20"/>
          <w:spacing w:val="-11"/>
        </w:rPr>
        <w:t xml:space="preserve"> </w:t>
      </w:r>
      <w:r>
        <w:rPr>
          <w:color w:val="231F20"/>
        </w:rPr>
        <w:t>ради</w:t>
      </w:r>
      <w:r>
        <w:rPr>
          <w:color w:val="231F20"/>
          <w:spacing w:val="-11"/>
        </w:rPr>
        <w:t xml:space="preserve"> </w:t>
      </w:r>
      <w:r>
        <w:rPr>
          <w:color w:val="231F20"/>
        </w:rPr>
        <w:t>та</w:t>
      </w:r>
      <w:r>
        <w:rPr>
          <w:color w:val="231F20"/>
          <w:spacing w:val="-11"/>
        </w:rPr>
        <w:t xml:space="preserve"> </w:t>
      </w:r>
      <w:r>
        <w:rPr>
          <w:color w:val="231F20"/>
        </w:rPr>
        <w:t>ради</w:t>
      </w:r>
      <w:r>
        <w:rPr>
          <w:color w:val="231F20"/>
          <w:spacing w:val="-11"/>
        </w:rPr>
        <w:t xml:space="preserve"> </w:t>
      </w:r>
      <w:r>
        <w:rPr>
          <w:color w:val="231F20"/>
        </w:rPr>
        <w:t>районів</w:t>
      </w:r>
      <w:r>
        <w:rPr>
          <w:color w:val="231F20"/>
          <w:spacing w:val="-11"/>
        </w:rPr>
        <w:t xml:space="preserve"> </w:t>
      </w:r>
      <w:r>
        <w:rPr>
          <w:color w:val="231F20"/>
        </w:rPr>
        <w:t>міста</w:t>
      </w:r>
      <w:r>
        <w:rPr>
          <w:color w:val="231F20"/>
          <w:spacing w:val="-11"/>
        </w:rPr>
        <w:t xml:space="preserve"> </w:t>
      </w:r>
      <w:r>
        <w:rPr>
          <w:color w:val="231F20"/>
        </w:rPr>
        <w:t>мають</w:t>
      </w:r>
      <w:r>
        <w:rPr>
          <w:color w:val="231F20"/>
          <w:spacing w:val="-11"/>
        </w:rPr>
        <w:t xml:space="preserve"> </w:t>
      </w:r>
      <w:r>
        <w:rPr>
          <w:color w:val="231F20"/>
        </w:rPr>
        <w:t>виконавчі</w:t>
      </w:r>
      <w:r>
        <w:rPr>
          <w:color w:val="231F20"/>
          <w:spacing w:val="-11"/>
        </w:rPr>
        <w:t xml:space="preserve"> </w:t>
      </w:r>
      <w:r>
        <w:rPr>
          <w:color w:val="231F20"/>
        </w:rPr>
        <w:t>органи</w:t>
      </w:r>
      <w:r>
        <w:rPr>
          <w:color w:val="231F20"/>
          <w:spacing w:val="-10"/>
        </w:rPr>
        <w:t xml:space="preserve"> </w:t>
      </w:r>
      <w:r>
        <w:rPr>
          <w:color w:val="231F20"/>
        </w:rPr>
        <w:t>– виконавчі</w:t>
      </w:r>
      <w:r>
        <w:rPr>
          <w:color w:val="231F20"/>
          <w:spacing w:val="-1"/>
        </w:rPr>
        <w:t xml:space="preserve"> </w:t>
      </w:r>
      <w:r>
        <w:rPr>
          <w:color w:val="231F20"/>
        </w:rPr>
        <w:t>комітети.</w:t>
      </w:r>
    </w:p>
    <w:p w14:paraId="1C8CB025" w14:textId="77777777" w:rsidR="00DE575E" w:rsidRDefault="002E7560">
      <w:pPr>
        <w:spacing w:before="6" w:line="252" w:lineRule="auto"/>
        <w:ind w:left="533" w:right="128" w:firstLine="283"/>
        <w:jc w:val="both"/>
        <w:rPr>
          <w:i/>
          <w:sz w:val="21"/>
        </w:rPr>
      </w:pPr>
      <w:r>
        <w:rPr>
          <w:i/>
          <w:color w:val="231F20"/>
          <w:sz w:val="21"/>
        </w:rPr>
        <w:t>До виключної компетенції сільських, селищних і міських рад, зокрема,</w:t>
      </w:r>
      <w:r>
        <w:rPr>
          <w:i/>
          <w:color w:val="231F20"/>
          <w:spacing w:val="-6"/>
          <w:sz w:val="21"/>
        </w:rPr>
        <w:t xml:space="preserve"> </w:t>
      </w:r>
      <w:r>
        <w:rPr>
          <w:i/>
          <w:color w:val="231F20"/>
          <w:sz w:val="21"/>
        </w:rPr>
        <w:t>віднесено</w:t>
      </w:r>
      <w:r>
        <w:rPr>
          <w:i/>
          <w:color w:val="231F20"/>
          <w:spacing w:val="-5"/>
          <w:sz w:val="21"/>
        </w:rPr>
        <w:t xml:space="preserve"> </w:t>
      </w:r>
      <w:r>
        <w:rPr>
          <w:i/>
          <w:color w:val="231F20"/>
          <w:sz w:val="21"/>
        </w:rPr>
        <w:t>такі</w:t>
      </w:r>
      <w:r>
        <w:rPr>
          <w:i/>
          <w:color w:val="231F20"/>
          <w:spacing w:val="-6"/>
          <w:sz w:val="21"/>
        </w:rPr>
        <w:t xml:space="preserve"> </w:t>
      </w:r>
      <w:r>
        <w:rPr>
          <w:i/>
          <w:color w:val="231F20"/>
          <w:sz w:val="21"/>
        </w:rPr>
        <w:t>питання,</w:t>
      </w:r>
      <w:r>
        <w:rPr>
          <w:i/>
          <w:color w:val="231F20"/>
          <w:spacing w:val="-5"/>
          <w:sz w:val="21"/>
        </w:rPr>
        <w:t xml:space="preserve"> </w:t>
      </w:r>
      <w:r>
        <w:rPr>
          <w:i/>
          <w:color w:val="231F20"/>
          <w:sz w:val="21"/>
        </w:rPr>
        <w:t>що</w:t>
      </w:r>
      <w:r>
        <w:rPr>
          <w:i/>
          <w:color w:val="231F20"/>
          <w:spacing w:val="-6"/>
          <w:sz w:val="21"/>
        </w:rPr>
        <w:t xml:space="preserve"> </w:t>
      </w:r>
      <w:r>
        <w:rPr>
          <w:i/>
          <w:color w:val="231F20"/>
          <w:sz w:val="21"/>
        </w:rPr>
        <w:t>вирішуються</w:t>
      </w:r>
      <w:r>
        <w:rPr>
          <w:i/>
          <w:color w:val="231F20"/>
          <w:spacing w:val="-6"/>
          <w:sz w:val="21"/>
        </w:rPr>
        <w:t xml:space="preserve"> </w:t>
      </w:r>
      <w:r>
        <w:rPr>
          <w:i/>
          <w:color w:val="231F20"/>
          <w:sz w:val="21"/>
        </w:rPr>
        <w:t>на</w:t>
      </w:r>
      <w:r>
        <w:rPr>
          <w:i/>
          <w:color w:val="231F20"/>
          <w:spacing w:val="-6"/>
          <w:sz w:val="21"/>
        </w:rPr>
        <w:t xml:space="preserve"> </w:t>
      </w:r>
      <w:r>
        <w:rPr>
          <w:i/>
          <w:color w:val="231F20"/>
          <w:sz w:val="21"/>
        </w:rPr>
        <w:t>пленарних</w:t>
      </w:r>
      <w:r>
        <w:rPr>
          <w:i/>
          <w:color w:val="231F20"/>
          <w:spacing w:val="-5"/>
          <w:sz w:val="21"/>
        </w:rPr>
        <w:t xml:space="preserve"> </w:t>
      </w:r>
      <w:r>
        <w:rPr>
          <w:i/>
          <w:color w:val="231F20"/>
          <w:sz w:val="21"/>
        </w:rPr>
        <w:t>засі- даннях</w:t>
      </w:r>
      <w:r>
        <w:rPr>
          <w:i/>
          <w:color w:val="231F20"/>
          <w:spacing w:val="-2"/>
          <w:sz w:val="21"/>
        </w:rPr>
        <w:t xml:space="preserve"> </w:t>
      </w:r>
      <w:r>
        <w:rPr>
          <w:i/>
          <w:color w:val="231F20"/>
          <w:sz w:val="21"/>
        </w:rPr>
        <w:t>ради:</w:t>
      </w:r>
    </w:p>
    <w:p w14:paraId="5C4E4E50" w14:textId="77777777" w:rsidR="00DE575E" w:rsidRDefault="002E7560">
      <w:pPr>
        <w:pStyle w:val="ListParagraph"/>
        <w:numPr>
          <w:ilvl w:val="0"/>
          <w:numId w:val="251"/>
        </w:numPr>
        <w:tabs>
          <w:tab w:val="left" w:pos="1101"/>
        </w:tabs>
        <w:spacing w:before="2"/>
        <w:ind w:firstLine="284"/>
        <w:jc w:val="left"/>
        <w:rPr>
          <w:sz w:val="21"/>
        </w:rPr>
      </w:pPr>
      <w:r>
        <w:rPr>
          <w:color w:val="231F20"/>
          <w:sz w:val="21"/>
        </w:rPr>
        <w:t>затвердження регламенту</w:t>
      </w:r>
      <w:r>
        <w:rPr>
          <w:color w:val="231F20"/>
          <w:spacing w:val="-2"/>
          <w:sz w:val="21"/>
        </w:rPr>
        <w:t xml:space="preserve"> </w:t>
      </w:r>
      <w:r>
        <w:rPr>
          <w:color w:val="231F20"/>
          <w:sz w:val="21"/>
        </w:rPr>
        <w:t>ради;</w:t>
      </w:r>
    </w:p>
    <w:p w14:paraId="431F28DB" w14:textId="77777777" w:rsidR="00DE575E" w:rsidRDefault="002E7560">
      <w:pPr>
        <w:pStyle w:val="ListParagraph"/>
        <w:numPr>
          <w:ilvl w:val="0"/>
          <w:numId w:val="251"/>
        </w:numPr>
        <w:tabs>
          <w:tab w:val="left" w:pos="1101"/>
        </w:tabs>
        <w:spacing w:before="12" w:line="252" w:lineRule="auto"/>
        <w:ind w:right="127" w:firstLine="284"/>
        <w:rPr>
          <w:sz w:val="21"/>
        </w:rPr>
      </w:pPr>
      <w:r>
        <w:rPr>
          <w:color w:val="231F20"/>
          <w:sz w:val="21"/>
        </w:rPr>
        <w:t>утворення виконавчого комітету ради, визначення його чисельності, затвердження персонального складу; внесення змін до складу виконавчого комітету та його</w:t>
      </w:r>
      <w:r>
        <w:rPr>
          <w:color w:val="231F20"/>
          <w:spacing w:val="-4"/>
          <w:sz w:val="21"/>
        </w:rPr>
        <w:t xml:space="preserve"> </w:t>
      </w:r>
      <w:r>
        <w:rPr>
          <w:color w:val="231F20"/>
          <w:sz w:val="21"/>
        </w:rPr>
        <w:t>розпуск;</w:t>
      </w:r>
    </w:p>
    <w:p w14:paraId="1D6F3293" w14:textId="77777777" w:rsidR="00DE575E" w:rsidRDefault="002E7560">
      <w:pPr>
        <w:pStyle w:val="ListParagraph"/>
        <w:numPr>
          <w:ilvl w:val="0"/>
          <w:numId w:val="251"/>
        </w:numPr>
        <w:tabs>
          <w:tab w:val="left" w:pos="1101"/>
        </w:tabs>
        <w:spacing w:before="2" w:line="252" w:lineRule="auto"/>
        <w:ind w:right="128" w:firstLine="284"/>
        <w:rPr>
          <w:sz w:val="21"/>
        </w:rPr>
      </w:pPr>
      <w:r>
        <w:rPr>
          <w:color w:val="231F20"/>
          <w:sz w:val="21"/>
        </w:rPr>
        <w:t xml:space="preserve">затвердження програм соціально-економічного та </w:t>
      </w:r>
      <w:r>
        <w:rPr>
          <w:color w:val="231F20"/>
          <w:spacing w:val="-3"/>
          <w:sz w:val="21"/>
        </w:rPr>
        <w:t xml:space="preserve">куль- </w:t>
      </w:r>
      <w:r>
        <w:rPr>
          <w:color w:val="231F20"/>
          <w:sz w:val="21"/>
        </w:rPr>
        <w:t>турного розвитку відповідних адміністративно-територіальних одиниць, цільових програм з інших питань місцевого самовряду- вання;</w:t>
      </w:r>
    </w:p>
    <w:p w14:paraId="4DF40326" w14:textId="77777777" w:rsidR="00DE575E" w:rsidRDefault="002E7560">
      <w:pPr>
        <w:pStyle w:val="ListParagraph"/>
        <w:numPr>
          <w:ilvl w:val="0"/>
          <w:numId w:val="251"/>
        </w:numPr>
        <w:tabs>
          <w:tab w:val="left" w:pos="1101"/>
        </w:tabs>
        <w:spacing w:before="2" w:line="252" w:lineRule="auto"/>
        <w:ind w:right="125" w:firstLine="284"/>
        <w:rPr>
          <w:sz w:val="21"/>
        </w:rPr>
      </w:pPr>
      <w:r>
        <w:rPr>
          <w:color w:val="231F20"/>
          <w:sz w:val="21"/>
        </w:rPr>
        <w:t xml:space="preserve">ухвалення рішень про передання іншим органам окремих повноважень </w:t>
      </w:r>
      <w:r>
        <w:rPr>
          <w:color w:val="231F20"/>
          <w:sz w:val="21"/>
        </w:rPr>
        <w:t>щодо управління майном, яке належить до комуналь- ної власності відповідної територіальної громади, визначення меж цих повноважень та умов їх</w:t>
      </w:r>
      <w:r>
        <w:rPr>
          <w:color w:val="231F20"/>
          <w:spacing w:val="-3"/>
          <w:sz w:val="21"/>
        </w:rPr>
        <w:t xml:space="preserve"> </w:t>
      </w:r>
      <w:r>
        <w:rPr>
          <w:color w:val="231F20"/>
          <w:sz w:val="21"/>
        </w:rPr>
        <w:t>здійснення;</w:t>
      </w:r>
    </w:p>
    <w:p w14:paraId="2529A92A" w14:textId="77777777" w:rsidR="00DE575E" w:rsidRDefault="002E7560">
      <w:pPr>
        <w:pStyle w:val="ListParagraph"/>
        <w:numPr>
          <w:ilvl w:val="0"/>
          <w:numId w:val="251"/>
        </w:numPr>
        <w:tabs>
          <w:tab w:val="left" w:pos="1101"/>
        </w:tabs>
        <w:spacing w:before="2" w:line="252" w:lineRule="auto"/>
        <w:ind w:right="127" w:firstLine="284"/>
        <w:rPr>
          <w:sz w:val="21"/>
        </w:rPr>
      </w:pPr>
      <w:r>
        <w:rPr>
          <w:color w:val="231F20"/>
          <w:sz w:val="21"/>
        </w:rPr>
        <w:t>затвердження в установленому порядку місцевих містобудів- них програм, генеральних планів забудови від</w:t>
      </w:r>
      <w:r>
        <w:rPr>
          <w:color w:val="231F20"/>
          <w:sz w:val="21"/>
        </w:rPr>
        <w:t>повідних населених пунктів, іншої містобудівної</w:t>
      </w:r>
      <w:r>
        <w:rPr>
          <w:color w:val="231F20"/>
          <w:spacing w:val="-3"/>
          <w:sz w:val="21"/>
        </w:rPr>
        <w:t xml:space="preserve"> </w:t>
      </w:r>
      <w:r>
        <w:rPr>
          <w:color w:val="231F20"/>
          <w:sz w:val="21"/>
        </w:rPr>
        <w:t>документації.</w:t>
      </w:r>
    </w:p>
    <w:p w14:paraId="4A4B7A5D" w14:textId="77777777" w:rsidR="00DE575E" w:rsidRDefault="002E7560">
      <w:pPr>
        <w:pStyle w:val="BodyText"/>
        <w:spacing w:before="1" w:line="252" w:lineRule="auto"/>
        <w:ind w:left="533" w:right="127" w:firstLine="283"/>
        <w:jc w:val="both"/>
      </w:pPr>
      <w:r>
        <w:rPr>
          <w:color w:val="231F20"/>
        </w:rPr>
        <w:t>Виконавчими органами сільських, селищних, міських, районних у містах (у разі їх створення) рад є їх виконавчі комітети, відділи, управління та інші створювані радами виконавчі органи. Слід звер-</w:t>
      </w:r>
      <w:r>
        <w:rPr>
          <w:color w:val="231F20"/>
        </w:rPr>
        <w:t xml:space="preserve"> нути увагу на подвійну підконтрольність зазначених органів. </w:t>
      </w:r>
      <w:r>
        <w:rPr>
          <w:color w:val="231F20"/>
          <w:spacing w:val="-4"/>
        </w:rPr>
        <w:t xml:space="preserve">Так, </w:t>
      </w:r>
      <w:r>
        <w:rPr>
          <w:color w:val="231F20"/>
        </w:rPr>
        <w:t>виконавчі органи сільських, селищних, міських, районних у містах рад</w:t>
      </w:r>
      <w:r>
        <w:rPr>
          <w:color w:val="231F20"/>
          <w:spacing w:val="-7"/>
        </w:rPr>
        <w:t xml:space="preserve"> </w:t>
      </w:r>
      <w:r>
        <w:rPr>
          <w:color w:val="231F20"/>
        </w:rPr>
        <w:t>є</w:t>
      </w:r>
      <w:r>
        <w:rPr>
          <w:color w:val="231F20"/>
          <w:spacing w:val="-6"/>
        </w:rPr>
        <w:t xml:space="preserve"> </w:t>
      </w:r>
      <w:r>
        <w:rPr>
          <w:color w:val="231F20"/>
        </w:rPr>
        <w:t>підконтрольними</w:t>
      </w:r>
      <w:r>
        <w:rPr>
          <w:color w:val="231F20"/>
          <w:spacing w:val="-7"/>
        </w:rPr>
        <w:t xml:space="preserve"> </w:t>
      </w:r>
      <w:r>
        <w:rPr>
          <w:color w:val="231F20"/>
        </w:rPr>
        <w:t>й</w:t>
      </w:r>
      <w:r>
        <w:rPr>
          <w:color w:val="231F20"/>
          <w:spacing w:val="-8"/>
        </w:rPr>
        <w:t xml:space="preserve"> </w:t>
      </w:r>
      <w:r>
        <w:rPr>
          <w:color w:val="231F20"/>
        </w:rPr>
        <w:t>підзвітними</w:t>
      </w:r>
      <w:r>
        <w:rPr>
          <w:color w:val="231F20"/>
          <w:spacing w:val="-7"/>
        </w:rPr>
        <w:t xml:space="preserve"> </w:t>
      </w:r>
      <w:r>
        <w:rPr>
          <w:color w:val="231F20"/>
        </w:rPr>
        <w:t>відповідним</w:t>
      </w:r>
      <w:r>
        <w:rPr>
          <w:color w:val="231F20"/>
          <w:spacing w:val="-7"/>
        </w:rPr>
        <w:t xml:space="preserve"> </w:t>
      </w:r>
      <w:r>
        <w:rPr>
          <w:color w:val="231F20"/>
        </w:rPr>
        <w:t>радам,</w:t>
      </w:r>
      <w:r>
        <w:rPr>
          <w:color w:val="231F20"/>
          <w:spacing w:val="-7"/>
        </w:rPr>
        <w:t xml:space="preserve"> </w:t>
      </w:r>
      <w:r>
        <w:rPr>
          <w:color w:val="231F20"/>
        </w:rPr>
        <w:t>а</w:t>
      </w:r>
      <w:r>
        <w:rPr>
          <w:color w:val="231F20"/>
          <w:spacing w:val="-7"/>
        </w:rPr>
        <w:t xml:space="preserve"> </w:t>
      </w:r>
      <w:r>
        <w:rPr>
          <w:color w:val="231F20"/>
        </w:rPr>
        <w:t>з</w:t>
      </w:r>
      <w:r>
        <w:rPr>
          <w:color w:val="231F20"/>
          <w:spacing w:val="-7"/>
        </w:rPr>
        <w:t xml:space="preserve"> </w:t>
      </w:r>
      <w:r>
        <w:rPr>
          <w:color w:val="231F20"/>
        </w:rPr>
        <w:t>питань</w:t>
      </w:r>
    </w:p>
    <w:p w14:paraId="4CA20DE9" w14:textId="77777777" w:rsidR="00DE575E" w:rsidRDefault="00DE575E">
      <w:pPr>
        <w:pStyle w:val="BodyText"/>
        <w:spacing w:before="7"/>
        <w:rPr>
          <w:sz w:val="12"/>
        </w:rPr>
      </w:pPr>
    </w:p>
    <w:p w14:paraId="7FFC9276" w14:textId="77777777" w:rsidR="00DE575E" w:rsidRDefault="002E7560">
      <w:pPr>
        <w:spacing w:before="92"/>
        <w:ind w:left="533"/>
        <w:rPr>
          <w:rFonts w:ascii="Times New Roman"/>
          <w:sz w:val="20"/>
        </w:rPr>
      </w:pPr>
      <w:r>
        <w:rPr>
          <w:rFonts w:ascii="Times New Roman"/>
          <w:color w:val="231F20"/>
          <w:sz w:val="20"/>
        </w:rPr>
        <w:t>124</w:t>
      </w:r>
    </w:p>
    <w:p w14:paraId="178BAB83" w14:textId="77777777" w:rsidR="00DE575E" w:rsidRDefault="00DE575E">
      <w:pPr>
        <w:rPr>
          <w:rFonts w:ascii="Times New Roman"/>
          <w:sz w:val="20"/>
        </w:rPr>
        <w:sectPr w:rsidR="00DE575E">
          <w:pgSz w:w="8510" w:h="12760"/>
          <w:pgMar w:top="660" w:right="720" w:bottom="280" w:left="600" w:header="720" w:footer="720" w:gutter="0"/>
          <w:cols w:space="720"/>
        </w:sectPr>
      </w:pPr>
    </w:p>
    <w:p w14:paraId="643F70C4"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4. Суб’єкти публічного адміністрування</w:t>
      </w:r>
    </w:p>
    <w:p w14:paraId="70D60789" w14:textId="2F9B45E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EB5D1E" wp14:editId="7B9F76BE">
                <wp:extent cx="4140200" cy="6350"/>
                <wp:effectExtent l="0" t="0" r="12700" b="6350"/>
                <wp:docPr id="1096"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97" name="Line 10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D3872" id="Group_x0020_10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mGsFrgAIAAJwFAAAO&#10;AAAAAAAAAAAAAAAAACwCAABkcnMvZTJvRG9jLnhtbFBLAQItABQABgAIAAAAIQBMp7CQ2QAAAAMB&#10;AAAPAAAAAAAAAAAAAAAAANgEAABkcnMvZG93bnJldi54bWxQSwUGAAAAAAQABADzAAAA3gUAAAAA&#10;">
                <v:line id="Line_x0020_10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VDdMUAAADdAAAADwAAAGRycy9kb3ducmV2LnhtbERP22rCQBB9F/yHZQq+lLqxQq2pq4hQ&#10;kD54SfyAMTtNQndnY3Y1ab++Wyj4NodzncWqt0bcqPW1YwWTcQKCuHC65lLBKX9/egXhA7JG45gU&#10;fJOH1XI4WGCqXcdHumWhFDGEfYoKqhCaVEpfVGTRj11DHLlP11oMEbal1C12Mdwa+ZwkL9JizbGh&#10;woY2FRVf2dUqyC+PwRz2H6bL9+epPF9205/rTqnRQ79+AxGoD3fxv3ur4/xkPoO/b+IJ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2VDdMUAAADdAAAADwAAAAAAAAAA&#10;AAAAAAChAgAAZHJzL2Rvd25yZXYueG1sUEsFBgAAAAAEAAQA+QAAAJMDAAAAAA==&#10;" strokecolor="#231f20" strokeweight=".5pt"/>
                <w10:anchorlock/>
              </v:group>
            </w:pict>
          </mc:Fallback>
        </mc:AlternateContent>
      </w:r>
    </w:p>
    <w:p w14:paraId="5DEC0808" w14:textId="77777777" w:rsidR="00DE575E" w:rsidRDefault="00DE575E">
      <w:pPr>
        <w:pStyle w:val="BodyText"/>
        <w:spacing w:before="7"/>
        <w:rPr>
          <w:rFonts w:ascii="AdonisC"/>
          <w:i/>
          <w:sz w:val="19"/>
        </w:rPr>
      </w:pPr>
    </w:p>
    <w:p w14:paraId="42FCFF16" w14:textId="77777777" w:rsidR="00DE575E" w:rsidRDefault="002E7560">
      <w:pPr>
        <w:pStyle w:val="BodyText"/>
        <w:spacing w:before="1" w:line="252" w:lineRule="auto"/>
        <w:ind w:left="250"/>
      </w:pPr>
      <w:r>
        <w:rPr>
          <w:color w:val="231F20"/>
        </w:rPr>
        <w:t>здійснення делегованих їх повноважень органів виконавчої влади – також відповідним органам виконавчої влади.</w:t>
      </w:r>
    </w:p>
    <w:p w14:paraId="7ED2C335" w14:textId="77777777" w:rsidR="00DE575E" w:rsidRDefault="002E7560">
      <w:pPr>
        <w:pStyle w:val="BodyText"/>
        <w:spacing w:before="1" w:line="252" w:lineRule="auto"/>
        <w:ind w:left="250" w:right="409" w:firstLine="283"/>
        <w:jc w:val="both"/>
      </w:pPr>
      <w:r>
        <w:rPr>
          <w:color w:val="231F20"/>
        </w:rPr>
        <w:t>У сільських радах, що представляють територіальні  громади,  які налічують до 500 жителів, за рішенням відповідної терито- ріальної</w:t>
      </w:r>
      <w:r>
        <w:rPr>
          <w:color w:val="231F20"/>
          <w:spacing w:val="-8"/>
        </w:rPr>
        <w:t xml:space="preserve"> </w:t>
      </w:r>
      <w:r>
        <w:rPr>
          <w:color w:val="231F20"/>
        </w:rPr>
        <w:t>громади</w:t>
      </w:r>
      <w:r>
        <w:rPr>
          <w:color w:val="231F20"/>
          <w:spacing w:val="-7"/>
        </w:rPr>
        <w:t xml:space="preserve"> </w:t>
      </w:r>
      <w:r>
        <w:rPr>
          <w:color w:val="231F20"/>
        </w:rPr>
        <w:t>або</w:t>
      </w:r>
      <w:r>
        <w:rPr>
          <w:color w:val="231F20"/>
          <w:spacing w:val="-8"/>
        </w:rPr>
        <w:t xml:space="preserve"> </w:t>
      </w:r>
      <w:r>
        <w:rPr>
          <w:color w:val="231F20"/>
        </w:rPr>
        <w:t>сільської</w:t>
      </w:r>
      <w:r>
        <w:rPr>
          <w:color w:val="231F20"/>
          <w:spacing w:val="-7"/>
        </w:rPr>
        <w:t xml:space="preserve"> </w:t>
      </w:r>
      <w:r>
        <w:rPr>
          <w:color w:val="231F20"/>
        </w:rPr>
        <w:t>ради</w:t>
      </w:r>
      <w:r>
        <w:rPr>
          <w:color w:val="231F20"/>
          <w:spacing w:val="-8"/>
        </w:rPr>
        <w:t xml:space="preserve"> </w:t>
      </w:r>
      <w:r>
        <w:rPr>
          <w:color w:val="231F20"/>
        </w:rPr>
        <w:t>виконавчий</w:t>
      </w:r>
      <w:r>
        <w:rPr>
          <w:color w:val="231F20"/>
          <w:spacing w:val="-7"/>
        </w:rPr>
        <w:t xml:space="preserve"> </w:t>
      </w:r>
      <w:r>
        <w:rPr>
          <w:color w:val="231F20"/>
        </w:rPr>
        <w:t>орган</w:t>
      </w:r>
      <w:r>
        <w:rPr>
          <w:color w:val="231F20"/>
          <w:spacing w:val="-8"/>
        </w:rPr>
        <w:t xml:space="preserve"> </w:t>
      </w:r>
      <w:r>
        <w:rPr>
          <w:color w:val="231F20"/>
        </w:rPr>
        <w:t>ради</w:t>
      </w:r>
      <w:r>
        <w:rPr>
          <w:color w:val="231F20"/>
          <w:spacing w:val="-8"/>
        </w:rPr>
        <w:t xml:space="preserve"> </w:t>
      </w:r>
      <w:r>
        <w:rPr>
          <w:color w:val="231F20"/>
        </w:rPr>
        <w:t>може</w:t>
      </w:r>
      <w:r>
        <w:rPr>
          <w:color w:val="231F20"/>
          <w:spacing w:val="-7"/>
        </w:rPr>
        <w:t xml:space="preserve"> </w:t>
      </w:r>
      <w:r>
        <w:rPr>
          <w:color w:val="231F20"/>
        </w:rPr>
        <w:t>не створюватися. У цьому разі функції виконавчого органу ради (крім ро</w:t>
      </w:r>
      <w:r>
        <w:rPr>
          <w:color w:val="231F20"/>
        </w:rPr>
        <w:t>зпорядження земельними та природними ресурсами) здійснює сільський голова</w:t>
      </w:r>
      <w:r>
        <w:rPr>
          <w:color w:val="231F20"/>
          <w:spacing w:val="-2"/>
        </w:rPr>
        <w:t xml:space="preserve"> </w:t>
      </w:r>
      <w:r>
        <w:rPr>
          <w:color w:val="231F20"/>
        </w:rPr>
        <w:t>одноособово.</w:t>
      </w:r>
    </w:p>
    <w:p w14:paraId="7697CEBF" w14:textId="77777777" w:rsidR="00DE575E" w:rsidRDefault="002E7560">
      <w:pPr>
        <w:pStyle w:val="BodyText"/>
        <w:spacing w:before="3" w:line="252" w:lineRule="auto"/>
        <w:ind w:left="250" w:right="412" w:firstLine="283"/>
        <w:jc w:val="both"/>
      </w:pPr>
      <w:r>
        <w:rPr>
          <w:color w:val="231F20"/>
        </w:rPr>
        <w:t>Оскільки районні та обласні ради не мають власних виконавчих органів, вони делегують свої повноваження місцевим державним адміністраціям.</w:t>
      </w:r>
    </w:p>
    <w:p w14:paraId="38E37763" w14:textId="77777777" w:rsidR="00DE575E" w:rsidRDefault="002E7560">
      <w:pPr>
        <w:pStyle w:val="BodyText"/>
        <w:spacing w:before="1" w:line="252" w:lineRule="auto"/>
        <w:ind w:left="250" w:right="407" w:firstLine="283"/>
        <w:jc w:val="both"/>
      </w:pPr>
      <w:r>
        <w:rPr>
          <w:color w:val="231F20"/>
        </w:rPr>
        <w:t>Закон України «Про місцеве самоврядування в Україні» розріз- няє власні та делеговані повноваження виконавчих органів сільсь- ких, селищних і міських рад. Зокрема, у сфері соціально-економіч- ного розвитку, планування та обліку до власних (самоврядних) пов</w:t>
      </w:r>
      <w:r>
        <w:rPr>
          <w:color w:val="231F20"/>
        </w:rPr>
        <w:t xml:space="preserve">новажень віднесено підготовку програм соціально-економіч- ного та культурного  розвитку  сіл,  селищ,  </w:t>
      </w:r>
      <w:r>
        <w:rPr>
          <w:color w:val="231F20"/>
          <w:spacing w:val="-3"/>
        </w:rPr>
        <w:t xml:space="preserve">міст,  </w:t>
      </w:r>
      <w:r>
        <w:rPr>
          <w:color w:val="231F20"/>
        </w:rPr>
        <w:t>цільових  програм з інших питань самоврядування, подання їх на затвердження ради, організація їх виконання, подання раді звітів про хід і результа</w:t>
      </w:r>
      <w:r>
        <w:rPr>
          <w:color w:val="231F20"/>
        </w:rPr>
        <w:t>ти виконання  цих   програм;   розгляд   проєктів   планів   підприємств і організацій, які належать до  комунальної  власності  відповід-  них територіальних громад, внесення до них зауважень і пропо- зицій, здійснення контролю за їх виконанням. Серед дел</w:t>
      </w:r>
      <w:r>
        <w:rPr>
          <w:color w:val="231F20"/>
        </w:rPr>
        <w:t>егованих повноважень слід виділити організаційне забезпечення надання адміністративних послуг органів виконавчої влади через центри надання адміністративних</w:t>
      </w:r>
      <w:r>
        <w:rPr>
          <w:color w:val="231F20"/>
          <w:spacing w:val="7"/>
        </w:rPr>
        <w:t xml:space="preserve"> </w:t>
      </w:r>
      <w:r>
        <w:rPr>
          <w:color w:val="231F20"/>
        </w:rPr>
        <w:t>послуг.</w:t>
      </w:r>
    </w:p>
    <w:p w14:paraId="0967F081" w14:textId="77777777" w:rsidR="00DE575E" w:rsidRDefault="002E7560">
      <w:pPr>
        <w:pStyle w:val="BodyText"/>
        <w:spacing w:before="8" w:line="252" w:lineRule="auto"/>
        <w:ind w:left="250" w:right="409" w:firstLine="283"/>
        <w:jc w:val="both"/>
      </w:pPr>
      <w:r>
        <w:rPr>
          <w:b/>
          <w:color w:val="231F20"/>
        </w:rPr>
        <w:t xml:space="preserve">Виконавчий комітет </w:t>
      </w:r>
      <w:r>
        <w:rPr>
          <w:color w:val="231F20"/>
        </w:rPr>
        <w:t>є юридичною особою. Його утворює Рада на</w:t>
      </w:r>
      <w:r>
        <w:rPr>
          <w:color w:val="231F20"/>
          <w:spacing w:val="-10"/>
        </w:rPr>
        <w:t xml:space="preserve"> </w:t>
      </w:r>
      <w:r>
        <w:rPr>
          <w:color w:val="231F20"/>
        </w:rPr>
        <w:t>строк</w:t>
      </w:r>
      <w:r>
        <w:rPr>
          <w:color w:val="231F20"/>
          <w:spacing w:val="-10"/>
        </w:rPr>
        <w:t xml:space="preserve"> </w:t>
      </w:r>
      <w:r>
        <w:rPr>
          <w:color w:val="231F20"/>
        </w:rPr>
        <w:t>своїх</w:t>
      </w:r>
      <w:r>
        <w:rPr>
          <w:color w:val="231F20"/>
          <w:spacing w:val="-10"/>
        </w:rPr>
        <w:t xml:space="preserve"> </w:t>
      </w:r>
      <w:r>
        <w:rPr>
          <w:color w:val="231F20"/>
        </w:rPr>
        <w:t>повноважень</w:t>
      </w:r>
      <w:r>
        <w:rPr>
          <w:color w:val="231F20"/>
          <w:spacing w:val="-10"/>
        </w:rPr>
        <w:t xml:space="preserve"> </w:t>
      </w:r>
      <w:r>
        <w:rPr>
          <w:color w:val="231F20"/>
        </w:rPr>
        <w:t>у</w:t>
      </w:r>
      <w:r>
        <w:rPr>
          <w:color w:val="231F20"/>
          <w:spacing w:val="-11"/>
        </w:rPr>
        <w:t xml:space="preserve"> </w:t>
      </w:r>
      <w:r>
        <w:rPr>
          <w:color w:val="231F20"/>
        </w:rPr>
        <w:t>склад</w:t>
      </w:r>
      <w:r>
        <w:rPr>
          <w:color w:val="231F20"/>
        </w:rPr>
        <w:t>і</w:t>
      </w:r>
      <w:r>
        <w:rPr>
          <w:color w:val="231F20"/>
          <w:spacing w:val="-10"/>
        </w:rPr>
        <w:t xml:space="preserve"> </w:t>
      </w:r>
      <w:r>
        <w:rPr>
          <w:color w:val="231F20"/>
        </w:rPr>
        <w:t>голови</w:t>
      </w:r>
      <w:r>
        <w:rPr>
          <w:color w:val="231F20"/>
          <w:spacing w:val="-10"/>
        </w:rPr>
        <w:t xml:space="preserve"> </w:t>
      </w:r>
      <w:r>
        <w:rPr>
          <w:color w:val="231F20"/>
        </w:rPr>
        <w:t>відповідної</w:t>
      </w:r>
      <w:r>
        <w:rPr>
          <w:color w:val="231F20"/>
          <w:spacing w:val="-11"/>
        </w:rPr>
        <w:t xml:space="preserve"> </w:t>
      </w:r>
      <w:r>
        <w:rPr>
          <w:color w:val="231F20"/>
        </w:rPr>
        <w:t>ради,</w:t>
      </w:r>
      <w:r>
        <w:rPr>
          <w:color w:val="231F20"/>
          <w:spacing w:val="-11"/>
        </w:rPr>
        <w:t xml:space="preserve"> </w:t>
      </w:r>
      <w:r>
        <w:rPr>
          <w:color w:val="231F20"/>
        </w:rPr>
        <w:t xml:space="preserve">заступ- ника (заступників) сільського, селищного, міського голови з питань діяльності виконавчих органів Ради, керівника справами (секре- таря) виконавчого </w:t>
      </w:r>
      <w:r>
        <w:rPr>
          <w:color w:val="231F20"/>
          <w:spacing w:val="-3"/>
        </w:rPr>
        <w:t xml:space="preserve">комітету, </w:t>
      </w:r>
      <w:r>
        <w:rPr>
          <w:color w:val="231F20"/>
        </w:rPr>
        <w:t>а також керівників відділів, управлінь та</w:t>
      </w:r>
      <w:r>
        <w:rPr>
          <w:color w:val="231F20"/>
          <w:spacing w:val="-6"/>
        </w:rPr>
        <w:t xml:space="preserve"> </w:t>
      </w:r>
      <w:r>
        <w:rPr>
          <w:color w:val="231F20"/>
        </w:rPr>
        <w:t>інших</w:t>
      </w:r>
      <w:r>
        <w:rPr>
          <w:color w:val="231F20"/>
          <w:spacing w:val="-6"/>
        </w:rPr>
        <w:t xml:space="preserve"> </w:t>
      </w:r>
      <w:r>
        <w:rPr>
          <w:color w:val="231F20"/>
        </w:rPr>
        <w:t>виконавчих</w:t>
      </w:r>
      <w:r>
        <w:rPr>
          <w:color w:val="231F20"/>
          <w:spacing w:val="-6"/>
        </w:rPr>
        <w:t xml:space="preserve"> </w:t>
      </w:r>
      <w:r>
        <w:rPr>
          <w:color w:val="231F20"/>
        </w:rPr>
        <w:t>орга</w:t>
      </w:r>
      <w:r>
        <w:rPr>
          <w:color w:val="231F20"/>
        </w:rPr>
        <w:t>нів</w:t>
      </w:r>
      <w:r>
        <w:rPr>
          <w:color w:val="231F20"/>
          <w:spacing w:val="-6"/>
        </w:rPr>
        <w:t xml:space="preserve"> </w:t>
      </w:r>
      <w:r>
        <w:rPr>
          <w:color w:val="231F20"/>
        </w:rPr>
        <w:t>ради,</w:t>
      </w:r>
      <w:r>
        <w:rPr>
          <w:color w:val="231F20"/>
          <w:spacing w:val="-6"/>
        </w:rPr>
        <w:t xml:space="preserve"> </w:t>
      </w:r>
      <w:r>
        <w:rPr>
          <w:color w:val="231F20"/>
        </w:rPr>
        <w:t>інших</w:t>
      </w:r>
      <w:r>
        <w:rPr>
          <w:color w:val="231F20"/>
          <w:spacing w:val="-6"/>
        </w:rPr>
        <w:t xml:space="preserve"> </w:t>
      </w:r>
      <w:r>
        <w:rPr>
          <w:color w:val="231F20"/>
        </w:rPr>
        <w:t>осіб.</w:t>
      </w:r>
      <w:r>
        <w:rPr>
          <w:color w:val="231F20"/>
          <w:spacing w:val="-6"/>
        </w:rPr>
        <w:t xml:space="preserve"> </w:t>
      </w:r>
      <w:r>
        <w:rPr>
          <w:color w:val="231F20"/>
        </w:rPr>
        <w:t>Ураховуючи</w:t>
      </w:r>
      <w:r>
        <w:rPr>
          <w:color w:val="231F20"/>
          <w:spacing w:val="-6"/>
        </w:rPr>
        <w:t xml:space="preserve"> </w:t>
      </w:r>
      <w:r>
        <w:rPr>
          <w:color w:val="231F20"/>
        </w:rPr>
        <w:t>той</w:t>
      </w:r>
      <w:r>
        <w:rPr>
          <w:color w:val="231F20"/>
          <w:spacing w:val="-6"/>
        </w:rPr>
        <w:t xml:space="preserve"> </w:t>
      </w:r>
      <w:r>
        <w:rPr>
          <w:color w:val="231F20"/>
          <w:spacing w:val="-4"/>
        </w:rPr>
        <w:t xml:space="preserve">факт, </w:t>
      </w:r>
      <w:r>
        <w:rPr>
          <w:color w:val="231F20"/>
        </w:rPr>
        <w:t>що відповідно до чинного законодавства районні й обласні ради не мають власних виконавчих органів, делегування ними виконавчих повноважень відповідним обласним і районним державним адміні- страціям є заходом вимуш</w:t>
      </w:r>
      <w:r>
        <w:rPr>
          <w:color w:val="231F20"/>
        </w:rPr>
        <w:t>еним і в умовах сьогодення безальтерна- тивним. Органам місцевого самоврядування законом можуть нада- ватися</w:t>
      </w:r>
      <w:r>
        <w:rPr>
          <w:color w:val="231F20"/>
          <w:spacing w:val="-11"/>
        </w:rPr>
        <w:t xml:space="preserve"> </w:t>
      </w:r>
      <w:r>
        <w:rPr>
          <w:color w:val="231F20"/>
        </w:rPr>
        <w:t>окремі</w:t>
      </w:r>
      <w:r>
        <w:rPr>
          <w:color w:val="231F20"/>
          <w:spacing w:val="-11"/>
        </w:rPr>
        <w:t xml:space="preserve"> </w:t>
      </w:r>
      <w:r>
        <w:rPr>
          <w:color w:val="231F20"/>
        </w:rPr>
        <w:t>повноваження</w:t>
      </w:r>
      <w:r>
        <w:rPr>
          <w:color w:val="231F20"/>
          <w:spacing w:val="-11"/>
        </w:rPr>
        <w:t xml:space="preserve"> </w:t>
      </w:r>
      <w:r>
        <w:rPr>
          <w:color w:val="231F20"/>
        </w:rPr>
        <w:t>органів</w:t>
      </w:r>
      <w:r>
        <w:rPr>
          <w:color w:val="231F20"/>
          <w:spacing w:val="-11"/>
        </w:rPr>
        <w:t xml:space="preserve"> </w:t>
      </w:r>
      <w:r>
        <w:rPr>
          <w:color w:val="231F20"/>
        </w:rPr>
        <w:t>виконавчої</w:t>
      </w:r>
      <w:r>
        <w:rPr>
          <w:color w:val="231F20"/>
          <w:spacing w:val="-11"/>
        </w:rPr>
        <w:t xml:space="preserve"> </w:t>
      </w:r>
      <w:r>
        <w:rPr>
          <w:color w:val="231F20"/>
        </w:rPr>
        <w:t>влади.</w:t>
      </w:r>
      <w:r>
        <w:rPr>
          <w:color w:val="231F20"/>
          <w:spacing w:val="-11"/>
        </w:rPr>
        <w:t xml:space="preserve"> </w:t>
      </w:r>
      <w:r>
        <w:rPr>
          <w:color w:val="231F20"/>
        </w:rPr>
        <w:t>У</w:t>
      </w:r>
      <w:r>
        <w:rPr>
          <w:color w:val="231F20"/>
          <w:spacing w:val="-11"/>
        </w:rPr>
        <w:t xml:space="preserve"> </w:t>
      </w:r>
      <w:r>
        <w:rPr>
          <w:color w:val="231F20"/>
        </w:rPr>
        <w:t>свою</w:t>
      </w:r>
      <w:r>
        <w:rPr>
          <w:color w:val="231F20"/>
          <w:spacing w:val="-11"/>
        </w:rPr>
        <w:t xml:space="preserve"> </w:t>
      </w:r>
      <w:r>
        <w:rPr>
          <w:color w:val="231F20"/>
        </w:rPr>
        <w:t>чергу місцеві</w:t>
      </w:r>
      <w:r>
        <w:rPr>
          <w:color w:val="231F20"/>
          <w:spacing w:val="10"/>
        </w:rPr>
        <w:t xml:space="preserve"> </w:t>
      </w:r>
      <w:r>
        <w:rPr>
          <w:color w:val="231F20"/>
        </w:rPr>
        <w:t>ради</w:t>
      </w:r>
      <w:r>
        <w:rPr>
          <w:color w:val="231F20"/>
          <w:spacing w:val="10"/>
        </w:rPr>
        <w:t xml:space="preserve"> </w:t>
      </w:r>
      <w:r>
        <w:rPr>
          <w:color w:val="231F20"/>
        </w:rPr>
        <w:t>(обласні</w:t>
      </w:r>
      <w:r>
        <w:rPr>
          <w:color w:val="231F20"/>
          <w:spacing w:val="10"/>
        </w:rPr>
        <w:t xml:space="preserve"> </w:t>
      </w:r>
      <w:r>
        <w:rPr>
          <w:color w:val="231F20"/>
        </w:rPr>
        <w:t>та</w:t>
      </w:r>
      <w:r>
        <w:rPr>
          <w:color w:val="231F20"/>
          <w:spacing w:val="10"/>
        </w:rPr>
        <w:t xml:space="preserve"> </w:t>
      </w:r>
      <w:r>
        <w:rPr>
          <w:color w:val="231F20"/>
        </w:rPr>
        <w:t>районні)</w:t>
      </w:r>
      <w:r>
        <w:rPr>
          <w:color w:val="231F20"/>
          <w:spacing w:val="10"/>
        </w:rPr>
        <w:t xml:space="preserve"> </w:t>
      </w:r>
      <w:r>
        <w:rPr>
          <w:color w:val="231F20"/>
        </w:rPr>
        <w:t>можуть</w:t>
      </w:r>
      <w:r>
        <w:rPr>
          <w:color w:val="231F20"/>
          <w:spacing w:val="10"/>
        </w:rPr>
        <w:t xml:space="preserve"> </w:t>
      </w:r>
      <w:r>
        <w:rPr>
          <w:color w:val="231F20"/>
        </w:rPr>
        <w:t>делегувати</w:t>
      </w:r>
      <w:r>
        <w:rPr>
          <w:color w:val="231F20"/>
          <w:spacing w:val="10"/>
        </w:rPr>
        <w:t xml:space="preserve"> </w:t>
      </w:r>
      <w:r>
        <w:rPr>
          <w:color w:val="231F20"/>
        </w:rPr>
        <w:t>частину</w:t>
      </w:r>
      <w:r>
        <w:rPr>
          <w:color w:val="231F20"/>
          <w:spacing w:val="10"/>
        </w:rPr>
        <w:t xml:space="preserve"> </w:t>
      </w:r>
      <w:r>
        <w:rPr>
          <w:color w:val="231F20"/>
        </w:rPr>
        <w:t>своїх</w:t>
      </w:r>
    </w:p>
    <w:p w14:paraId="738228AD" w14:textId="77777777" w:rsidR="00DE575E" w:rsidRDefault="00DE575E">
      <w:pPr>
        <w:pStyle w:val="BodyText"/>
        <w:spacing w:before="10"/>
        <w:rPr>
          <w:sz w:val="12"/>
        </w:rPr>
      </w:pPr>
    </w:p>
    <w:p w14:paraId="635F6E4E" w14:textId="77777777" w:rsidR="00DE575E" w:rsidRDefault="002E7560">
      <w:pPr>
        <w:spacing w:before="92"/>
        <w:ind w:right="411"/>
        <w:jc w:val="right"/>
        <w:rPr>
          <w:rFonts w:ascii="Times New Roman"/>
          <w:sz w:val="20"/>
        </w:rPr>
      </w:pPr>
      <w:r>
        <w:rPr>
          <w:rFonts w:ascii="Times New Roman"/>
          <w:color w:val="231F20"/>
          <w:w w:val="90"/>
          <w:sz w:val="20"/>
        </w:rPr>
        <w:t>125</w:t>
      </w:r>
    </w:p>
    <w:p w14:paraId="5F17911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626B2C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5A5E47F" w14:textId="461B2A0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BB112BC" wp14:editId="571119E4">
                <wp:extent cx="4140200" cy="6350"/>
                <wp:effectExtent l="0" t="0" r="12700" b="6350"/>
                <wp:docPr id="1094"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95" name="Line 10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FD8C6B" id="Group_x0020_10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haCvx/AgAAnAUAAA4A&#10;AAAAAAAAAAAAAAAALAIAAGRycy9lMm9Eb2MueG1sUEsBAi0AFAAGAAgAAAAhAEynsJDZAAAAAwEA&#10;AA8AAAAAAAAAAAAAAAAA1wQAAGRycy9kb3ducmV2LnhtbFBLBQYAAAAABAAEAPMAAADdBQAAAAA=&#10;">
                <v:line id="Line_x0020_10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t4mMUAAADdAAAADwAAAGRycy9kb3ducmV2LnhtbERP22rCQBB9F/yHZQq+lLqxUqmpq4hQ&#10;kD54SfyAMTtNQndnY3Y1ab++Wyj4NodzncWqt0bcqPW1YwWTcQKCuHC65lLBKX9/egXhA7JG45gU&#10;fJOH1XI4WGCqXcdHumWhFDGEfYoKqhCaVEpfVGTRj11DHLlP11oMEbal1C12Mdwa+ZwkM2mx5thQ&#10;YUObioqv7GoV5JfHYA77D9Pl+/NUni+76c91p9TooV+/gQjUh7v4373VcX4yf4G/b+IJ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Pt4mMUAAADdAAAADwAAAAAAAAAA&#10;AAAAAAChAgAAZHJzL2Rvd25yZXYueG1sUEsFBgAAAAAEAAQA+QAAAJMDAAAAAA==&#10;" strokecolor="#231f20" strokeweight=".5pt"/>
                <w10:anchorlock/>
              </v:group>
            </w:pict>
          </mc:Fallback>
        </mc:AlternateContent>
      </w:r>
    </w:p>
    <w:p w14:paraId="383BB24E" w14:textId="77777777" w:rsidR="00DE575E" w:rsidRDefault="00DE575E">
      <w:pPr>
        <w:pStyle w:val="BodyText"/>
        <w:spacing w:before="7"/>
        <w:rPr>
          <w:rFonts w:ascii="AdonisC"/>
          <w:i/>
          <w:sz w:val="11"/>
        </w:rPr>
      </w:pPr>
    </w:p>
    <w:p w14:paraId="65342FD4" w14:textId="77777777" w:rsidR="00DE575E" w:rsidRDefault="002E7560">
      <w:pPr>
        <w:pStyle w:val="BodyText"/>
        <w:spacing w:before="101" w:line="252" w:lineRule="auto"/>
        <w:ind w:left="533"/>
      </w:pPr>
      <w:r>
        <w:rPr>
          <w:color w:val="231F20"/>
        </w:rPr>
        <w:t>повноважень відповідно обласним і районним державним адміні- страціям та контролювати реалізацію цих повноважень.</w:t>
      </w:r>
    </w:p>
    <w:p w14:paraId="1E1BBB86" w14:textId="77777777" w:rsidR="00DE575E" w:rsidRDefault="002E7560">
      <w:pPr>
        <w:spacing w:before="1" w:line="252" w:lineRule="auto"/>
        <w:ind w:left="489" w:right="127" w:firstLine="283"/>
        <w:jc w:val="right"/>
        <w:rPr>
          <w:i/>
          <w:sz w:val="21"/>
        </w:rPr>
      </w:pPr>
      <w:r>
        <w:rPr>
          <w:i/>
          <w:color w:val="231F20"/>
          <w:spacing w:val="-8"/>
          <w:sz w:val="21"/>
        </w:rPr>
        <w:t xml:space="preserve">Усе </w:t>
      </w:r>
      <w:r>
        <w:rPr>
          <w:i/>
          <w:color w:val="231F20"/>
          <w:sz w:val="21"/>
        </w:rPr>
        <w:t xml:space="preserve">це </w:t>
      </w:r>
      <w:r>
        <w:rPr>
          <w:i/>
          <w:color w:val="231F20"/>
          <w:spacing w:val="-3"/>
          <w:sz w:val="21"/>
        </w:rPr>
        <w:t xml:space="preserve">дозволяє </w:t>
      </w:r>
      <w:r>
        <w:rPr>
          <w:i/>
          <w:color w:val="231F20"/>
          <w:spacing w:val="-4"/>
          <w:sz w:val="21"/>
        </w:rPr>
        <w:t xml:space="preserve">вважати, </w:t>
      </w:r>
      <w:r>
        <w:rPr>
          <w:i/>
          <w:color w:val="231F20"/>
          <w:sz w:val="21"/>
        </w:rPr>
        <w:t xml:space="preserve">що ОМС </w:t>
      </w:r>
      <w:r>
        <w:rPr>
          <w:i/>
          <w:color w:val="231F20"/>
          <w:spacing w:val="-3"/>
          <w:sz w:val="21"/>
        </w:rPr>
        <w:t xml:space="preserve">мають риси, </w:t>
      </w:r>
      <w:r>
        <w:rPr>
          <w:i/>
          <w:color w:val="231F20"/>
          <w:sz w:val="21"/>
        </w:rPr>
        <w:t xml:space="preserve">які </w:t>
      </w:r>
      <w:r>
        <w:rPr>
          <w:i/>
          <w:color w:val="231F20"/>
          <w:spacing w:val="-4"/>
          <w:sz w:val="21"/>
        </w:rPr>
        <w:t xml:space="preserve">наближають </w:t>
      </w:r>
      <w:r>
        <w:rPr>
          <w:i/>
          <w:color w:val="231F20"/>
          <w:spacing w:val="-3"/>
          <w:sz w:val="21"/>
        </w:rPr>
        <w:t xml:space="preserve">їх </w:t>
      </w:r>
      <w:r>
        <w:rPr>
          <w:i/>
          <w:color w:val="231F20"/>
          <w:sz w:val="21"/>
        </w:rPr>
        <w:t xml:space="preserve">до </w:t>
      </w:r>
      <w:r>
        <w:rPr>
          <w:i/>
          <w:color w:val="231F20"/>
          <w:spacing w:val="-3"/>
          <w:sz w:val="21"/>
        </w:rPr>
        <w:t xml:space="preserve">органів виконавчої влади, </w:t>
      </w:r>
      <w:r>
        <w:rPr>
          <w:i/>
          <w:color w:val="231F20"/>
          <w:sz w:val="21"/>
        </w:rPr>
        <w:t xml:space="preserve">з </w:t>
      </w:r>
      <w:r>
        <w:rPr>
          <w:i/>
          <w:color w:val="231F20"/>
          <w:spacing w:val="-3"/>
          <w:sz w:val="21"/>
        </w:rPr>
        <w:t xml:space="preserve">якими вони тісно взаємодіють </w:t>
      </w:r>
      <w:r>
        <w:rPr>
          <w:i/>
          <w:color w:val="231F20"/>
          <w:sz w:val="21"/>
        </w:rPr>
        <w:t xml:space="preserve">під </w:t>
      </w:r>
      <w:r>
        <w:rPr>
          <w:i/>
          <w:color w:val="231F20"/>
          <w:spacing w:val="-3"/>
          <w:sz w:val="21"/>
        </w:rPr>
        <w:t xml:space="preserve">час вирішення питань місцевого значення. Значними </w:t>
      </w:r>
      <w:r>
        <w:rPr>
          <w:i/>
          <w:color w:val="231F20"/>
          <w:spacing w:val="-4"/>
          <w:sz w:val="21"/>
        </w:rPr>
        <w:t>повноваженнями</w:t>
      </w:r>
      <w:r>
        <w:rPr>
          <w:i/>
          <w:color w:val="231F20"/>
          <w:spacing w:val="-3"/>
          <w:sz w:val="21"/>
        </w:rPr>
        <w:t xml:space="preserve"> чинне законодавство наділяє голів сіл, селищ </w:t>
      </w:r>
      <w:r>
        <w:rPr>
          <w:i/>
          <w:color w:val="231F20"/>
          <w:sz w:val="21"/>
        </w:rPr>
        <w:t xml:space="preserve">і </w:t>
      </w:r>
      <w:r>
        <w:rPr>
          <w:i/>
          <w:color w:val="231F20"/>
          <w:spacing w:val="-3"/>
          <w:sz w:val="21"/>
        </w:rPr>
        <w:t xml:space="preserve">міст. </w:t>
      </w:r>
      <w:r>
        <w:rPr>
          <w:i/>
          <w:color w:val="231F20"/>
          <w:sz w:val="21"/>
        </w:rPr>
        <w:t xml:space="preserve">Їх </w:t>
      </w:r>
      <w:r>
        <w:rPr>
          <w:i/>
          <w:color w:val="231F20"/>
          <w:spacing w:val="-3"/>
          <w:sz w:val="21"/>
        </w:rPr>
        <w:t>обирає відпо-</w:t>
      </w:r>
      <w:r>
        <w:rPr>
          <w:i/>
          <w:color w:val="231F20"/>
          <w:sz w:val="21"/>
        </w:rPr>
        <w:t xml:space="preserve"> </w:t>
      </w:r>
      <w:r>
        <w:rPr>
          <w:i/>
          <w:color w:val="231F20"/>
          <w:spacing w:val="-3"/>
          <w:sz w:val="21"/>
        </w:rPr>
        <w:t>відна територіальна громада</w:t>
      </w:r>
      <w:r>
        <w:rPr>
          <w:i/>
          <w:color w:val="231F20"/>
          <w:spacing w:val="-3"/>
          <w:sz w:val="21"/>
        </w:rPr>
        <w:t xml:space="preserve">. Вони очолюють раду </w:t>
      </w:r>
      <w:r>
        <w:rPr>
          <w:i/>
          <w:color w:val="231F20"/>
          <w:sz w:val="21"/>
        </w:rPr>
        <w:t xml:space="preserve">та її </w:t>
      </w:r>
      <w:r>
        <w:rPr>
          <w:i/>
          <w:color w:val="231F20"/>
          <w:spacing w:val="-4"/>
          <w:sz w:val="21"/>
        </w:rPr>
        <w:t>виконавчий</w:t>
      </w:r>
      <w:r>
        <w:rPr>
          <w:i/>
          <w:color w:val="231F20"/>
          <w:spacing w:val="-3"/>
          <w:sz w:val="21"/>
        </w:rPr>
        <w:t xml:space="preserve"> комітет, </w:t>
      </w:r>
      <w:r>
        <w:rPr>
          <w:i/>
          <w:color w:val="231F20"/>
          <w:sz w:val="21"/>
        </w:rPr>
        <w:t xml:space="preserve">є </w:t>
      </w:r>
      <w:r>
        <w:rPr>
          <w:i/>
          <w:color w:val="231F20"/>
          <w:spacing w:val="-3"/>
          <w:sz w:val="21"/>
        </w:rPr>
        <w:t xml:space="preserve">головною посадовою особою </w:t>
      </w:r>
      <w:r>
        <w:rPr>
          <w:i/>
          <w:color w:val="231F20"/>
          <w:sz w:val="21"/>
        </w:rPr>
        <w:t xml:space="preserve">з </w:t>
      </w:r>
      <w:r>
        <w:rPr>
          <w:i/>
          <w:color w:val="231F20"/>
          <w:spacing w:val="-3"/>
          <w:sz w:val="21"/>
        </w:rPr>
        <w:t>представницьким мандатом.</w:t>
      </w:r>
    </w:p>
    <w:p w14:paraId="28F5BF8D" w14:textId="77777777" w:rsidR="00DE575E" w:rsidRDefault="002E7560">
      <w:pPr>
        <w:pStyle w:val="BodyText"/>
        <w:spacing w:before="3" w:line="252" w:lineRule="auto"/>
        <w:ind w:left="533" w:right="127" w:firstLine="283"/>
        <w:jc w:val="both"/>
      </w:pPr>
      <w:r>
        <w:rPr>
          <w:color w:val="231F20"/>
        </w:rPr>
        <w:t>Рада</w:t>
      </w:r>
      <w:r>
        <w:rPr>
          <w:color w:val="231F20"/>
          <w:spacing w:val="-8"/>
        </w:rPr>
        <w:t xml:space="preserve"> </w:t>
      </w:r>
      <w:r>
        <w:rPr>
          <w:color w:val="231F20"/>
        </w:rPr>
        <w:t>в</w:t>
      </w:r>
      <w:r>
        <w:rPr>
          <w:color w:val="231F20"/>
          <w:spacing w:val="-8"/>
        </w:rPr>
        <w:t xml:space="preserve"> </w:t>
      </w:r>
      <w:r>
        <w:rPr>
          <w:color w:val="231F20"/>
        </w:rPr>
        <w:t>межах</w:t>
      </w:r>
      <w:r>
        <w:rPr>
          <w:color w:val="231F20"/>
          <w:spacing w:val="-8"/>
        </w:rPr>
        <w:t xml:space="preserve"> </w:t>
      </w:r>
      <w:r>
        <w:rPr>
          <w:color w:val="231F20"/>
        </w:rPr>
        <w:t>своїх</w:t>
      </w:r>
      <w:r>
        <w:rPr>
          <w:color w:val="231F20"/>
          <w:spacing w:val="-8"/>
        </w:rPr>
        <w:t xml:space="preserve"> </w:t>
      </w:r>
      <w:r>
        <w:rPr>
          <w:color w:val="231F20"/>
        </w:rPr>
        <w:t>повноважень</w:t>
      </w:r>
      <w:r>
        <w:rPr>
          <w:color w:val="231F20"/>
          <w:spacing w:val="-8"/>
        </w:rPr>
        <w:t xml:space="preserve"> </w:t>
      </w:r>
      <w:r>
        <w:rPr>
          <w:color w:val="231F20"/>
        </w:rPr>
        <w:t>ухвалює</w:t>
      </w:r>
      <w:r>
        <w:rPr>
          <w:color w:val="231F20"/>
          <w:spacing w:val="-8"/>
        </w:rPr>
        <w:t xml:space="preserve"> </w:t>
      </w:r>
      <w:r>
        <w:rPr>
          <w:color w:val="231F20"/>
        </w:rPr>
        <w:t>нормативні</w:t>
      </w:r>
      <w:r>
        <w:rPr>
          <w:color w:val="231F20"/>
          <w:spacing w:val="-8"/>
        </w:rPr>
        <w:t xml:space="preserve"> </w:t>
      </w:r>
      <w:r>
        <w:rPr>
          <w:color w:val="231F20"/>
        </w:rPr>
        <w:t>та</w:t>
      </w:r>
      <w:r>
        <w:rPr>
          <w:color w:val="231F20"/>
          <w:spacing w:val="-8"/>
        </w:rPr>
        <w:t xml:space="preserve"> </w:t>
      </w:r>
      <w:r>
        <w:rPr>
          <w:color w:val="231F20"/>
        </w:rPr>
        <w:t>інші</w:t>
      </w:r>
      <w:r>
        <w:rPr>
          <w:color w:val="231F20"/>
          <w:spacing w:val="-8"/>
        </w:rPr>
        <w:t xml:space="preserve"> </w:t>
      </w:r>
      <w:r>
        <w:rPr>
          <w:color w:val="231F20"/>
        </w:rPr>
        <w:t xml:space="preserve">акти у формі рішень. </w:t>
      </w:r>
      <w:r>
        <w:rPr>
          <w:color w:val="231F20"/>
          <w:spacing w:val="-5"/>
        </w:rPr>
        <w:t xml:space="preserve">Такі </w:t>
      </w:r>
      <w:r>
        <w:rPr>
          <w:color w:val="231F20"/>
        </w:rPr>
        <w:t>акти ухвалюють і виконавчі комітети Ради. Рішення Ради ухвалюються на</w:t>
      </w:r>
      <w:r>
        <w:rPr>
          <w:color w:val="231F20"/>
        </w:rPr>
        <w:t xml:space="preserve"> її пленарному засіданні після обго- ворення більшістю голосів її депутатів. Рішення нормативно-право- вого характеру набувають чинності з дня їх офіційного оприлюд- нення,</w:t>
      </w:r>
      <w:r>
        <w:rPr>
          <w:color w:val="231F20"/>
          <w:spacing w:val="-10"/>
        </w:rPr>
        <w:t xml:space="preserve"> </w:t>
      </w:r>
      <w:r>
        <w:rPr>
          <w:color w:val="231F20"/>
        </w:rPr>
        <w:t>якщо</w:t>
      </w:r>
      <w:r>
        <w:rPr>
          <w:color w:val="231F20"/>
          <w:spacing w:val="-10"/>
        </w:rPr>
        <w:t xml:space="preserve"> </w:t>
      </w:r>
      <w:r>
        <w:rPr>
          <w:color w:val="231F20"/>
        </w:rPr>
        <w:t>Радою</w:t>
      </w:r>
      <w:r>
        <w:rPr>
          <w:color w:val="231F20"/>
          <w:spacing w:val="-10"/>
        </w:rPr>
        <w:t xml:space="preserve"> </w:t>
      </w:r>
      <w:r>
        <w:rPr>
          <w:color w:val="231F20"/>
        </w:rPr>
        <w:t>не</w:t>
      </w:r>
      <w:r>
        <w:rPr>
          <w:color w:val="231F20"/>
          <w:spacing w:val="-10"/>
        </w:rPr>
        <w:t xml:space="preserve"> </w:t>
      </w:r>
      <w:r>
        <w:rPr>
          <w:color w:val="231F20"/>
        </w:rPr>
        <w:t>встановлено</w:t>
      </w:r>
      <w:r>
        <w:rPr>
          <w:color w:val="231F20"/>
          <w:spacing w:val="-10"/>
        </w:rPr>
        <w:t xml:space="preserve"> </w:t>
      </w:r>
      <w:r>
        <w:rPr>
          <w:color w:val="231F20"/>
        </w:rPr>
        <w:t>пізніший</w:t>
      </w:r>
      <w:r>
        <w:rPr>
          <w:color w:val="231F20"/>
          <w:spacing w:val="-10"/>
        </w:rPr>
        <w:t xml:space="preserve"> </w:t>
      </w:r>
      <w:r>
        <w:rPr>
          <w:color w:val="231F20"/>
        </w:rPr>
        <w:t>строк</w:t>
      </w:r>
      <w:r>
        <w:rPr>
          <w:color w:val="231F20"/>
          <w:spacing w:val="-10"/>
        </w:rPr>
        <w:t xml:space="preserve"> </w:t>
      </w:r>
      <w:r>
        <w:rPr>
          <w:color w:val="231F20"/>
        </w:rPr>
        <w:t>уведення</w:t>
      </w:r>
      <w:r>
        <w:rPr>
          <w:color w:val="231F20"/>
          <w:spacing w:val="-10"/>
        </w:rPr>
        <w:t xml:space="preserve"> </w:t>
      </w:r>
      <w:r>
        <w:rPr>
          <w:color w:val="231F20"/>
        </w:rPr>
        <w:t>їх</w:t>
      </w:r>
      <w:r>
        <w:rPr>
          <w:color w:val="231F20"/>
          <w:spacing w:val="-10"/>
        </w:rPr>
        <w:t xml:space="preserve"> </w:t>
      </w:r>
      <w:r>
        <w:rPr>
          <w:color w:val="231F20"/>
        </w:rPr>
        <w:t>у</w:t>
      </w:r>
      <w:r>
        <w:rPr>
          <w:color w:val="231F20"/>
          <w:spacing w:val="-11"/>
        </w:rPr>
        <w:t xml:space="preserve"> </w:t>
      </w:r>
      <w:r>
        <w:rPr>
          <w:color w:val="231F20"/>
        </w:rPr>
        <w:t>дію. Рішення виконавчого ком</w:t>
      </w:r>
      <w:r>
        <w:rPr>
          <w:color w:val="231F20"/>
        </w:rPr>
        <w:t xml:space="preserve">ітету ухвалюють на його засіданні більші- стю голосів від загального складу </w:t>
      </w:r>
      <w:r>
        <w:rPr>
          <w:color w:val="231F20"/>
          <w:spacing w:val="-3"/>
        </w:rPr>
        <w:t xml:space="preserve">комітету, </w:t>
      </w:r>
      <w:r>
        <w:rPr>
          <w:color w:val="231F20"/>
        </w:rPr>
        <w:t>його підписує сільський голова (селищний, міський, голова районної в місті</w:t>
      </w:r>
      <w:r>
        <w:rPr>
          <w:color w:val="231F20"/>
          <w:spacing w:val="-5"/>
        </w:rPr>
        <w:t xml:space="preserve"> </w:t>
      </w:r>
      <w:r>
        <w:rPr>
          <w:color w:val="231F20"/>
        </w:rPr>
        <w:t>ради).</w:t>
      </w:r>
    </w:p>
    <w:p w14:paraId="76C23CB7" w14:textId="77777777" w:rsidR="00DE575E" w:rsidRDefault="002E7560">
      <w:pPr>
        <w:pStyle w:val="BodyText"/>
        <w:spacing w:before="4" w:line="252" w:lineRule="auto"/>
        <w:ind w:left="533" w:right="126" w:firstLine="283"/>
        <w:jc w:val="both"/>
      </w:pPr>
      <w:r>
        <w:rPr>
          <w:color w:val="231F20"/>
        </w:rPr>
        <w:t>Голова в межах своїх повноважень видає розпорядження. Акти органів і посадових осіб місцевого самоврядування доводяться до відома населення. Загалом можна зазначити, що органи місцевого самоврядування формально наділені вагомими повноваженнями щодо публічн</w:t>
      </w:r>
      <w:r>
        <w:rPr>
          <w:color w:val="231F20"/>
        </w:rPr>
        <w:t>ого забезпечення прав і законних інтересів громадян, здійснення виконавчої влади на певній території</w:t>
      </w:r>
      <w:r>
        <w:rPr>
          <w:color w:val="231F20"/>
          <w:position w:val="7"/>
          <w:sz w:val="12"/>
        </w:rPr>
        <w:t>1</w:t>
      </w:r>
      <w:r>
        <w:rPr>
          <w:color w:val="231F20"/>
        </w:rPr>
        <w:t>.</w:t>
      </w:r>
    </w:p>
    <w:p w14:paraId="14A0370A" w14:textId="77777777" w:rsidR="00DE575E" w:rsidRDefault="002E7560">
      <w:pPr>
        <w:pStyle w:val="BodyText"/>
        <w:spacing w:before="3" w:line="252" w:lineRule="auto"/>
        <w:ind w:left="533" w:right="126" w:firstLine="283"/>
        <w:jc w:val="both"/>
      </w:pPr>
      <w:r>
        <w:rPr>
          <w:color w:val="231F20"/>
        </w:rPr>
        <w:t xml:space="preserve">Потрібно також звернути увагу на особливих </w:t>
      </w:r>
      <w:r>
        <w:rPr>
          <w:color w:val="231F20"/>
          <w:spacing w:val="-3"/>
        </w:rPr>
        <w:t xml:space="preserve">суб’єктів </w:t>
      </w:r>
      <w:r>
        <w:rPr>
          <w:color w:val="231F20"/>
        </w:rPr>
        <w:t xml:space="preserve">місцевого самоврядування, передбачених Законом </w:t>
      </w:r>
      <w:r>
        <w:rPr>
          <w:color w:val="231F20"/>
          <w:spacing w:val="-3"/>
        </w:rPr>
        <w:t xml:space="preserve">України </w:t>
      </w:r>
      <w:r>
        <w:rPr>
          <w:color w:val="231F20"/>
        </w:rPr>
        <w:t xml:space="preserve">«Про добровільне </w:t>
      </w:r>
      <w:r>
        <w:rPr>
          <w:color w:val="231F20"/>
          <w:spacing w:val="-3"/>
        </w:rPr>
        <w:t>об’єднання</w:t>
      </w:r>
      <w:r>
        <w:rPr>
          <w:color w:val="231F20"/>
          <w:spacing w:val="-18"/>
        </w:rPr>
        <w:t xml:space="preserve"> </w:t>
      </w:r>
      <w:r>
        <w:rPr>
          <w:color w:val="231F20"/>
        </w:rPr>
        <w:t>територіальних</w:t>
      </w:r>
      <w:r>
        <w:rPr>
          <w:color w:val="231F20"/>
          <w:spacing w:val="-18"/>
        </w:rPr>
        <w:t xml:space="preserve"> </w:t>
      </w:r>
      <w:r>
        <w:rPr>
          <w:color w:val="231F20"/>
        </w:rPr>
        <w:t>гр</w:t>
      </w:r>
      <w:r>
        <w:rPr>
          <w:color w:val="231F20"/>
        </w:rPr>
        <w:t>омад»</w:t>
      </w:r>
      <w:r>
        <w:rPr>
          <w:color w:val="231F20"/>
          <w:spacing w:val="-18"/>
        </w:rPr>
        <w:t xml:space="preserve"> </w:t>
      </w:r>
      <w:r>
        <w:rPr>
          <w:color w:val="231F20"/>
        </w:rPr>
        <w:t>від</w:t>
      </w:r>
      <w:r>
        <w:rPr>
          <w:color w:val="231F20"/>
          <w:spacing w:val="-18"/>
        </w:rPr>
        <w:t xml:space="preserve"> </w:t>
      </w:r>
      <w:r>
        <w:rPr>
          <w:color w:val="231F20"/>
        </w:rPr>
        <w:t>5</w:t>
      </w:r>
      <w:r>
        <w:rPr>
          <w:color w:val="231F20"/>
          <w:spacing w:val="-18"/>
        </w:rPr>
        <w:t xml:space="preserve"> </w:t>
      </w:r>
      <w:r>
        <w:rPr>
          <w:color w:val="231F20"/>
        </w:rPr>
        <w:t>лютого</w:t>
      </w:r>
      <w:r>
        <w:rPr>
          <w:color w:val="231F20"/>
          <w:spacing w:val="-18"/>
        </w:rPr>
        <w:t xml:space="preserve"> </w:t>
      </w:r>
      <w:r>
        <w:rPr>
          <w:color w:val="231F20"/>
        </w:rPr>
        <w:t>2015</w:t>
      </w:r>
      <w:r>
        <w:rPr>
          <w:color w:val="231F20"/>
          <w:spacing w:val="-7"/>
        </w:rPr>
        <w:t xml:space="preserve"> </w:t>
      </w:r>
      <w:r>
        <w:rPr>
          <w:color w:val="231F20"/>
        </w:rPr>
        <w:t>р.</w:t>
      </w:r>
      <w:r>
        <w:rPr>
          <w:color w:val="231F20"/>
          <w:spacing w:val="-18"/>
        </w:rPr>
        <w:t xml:space="preserve"> </w:t>
      </w:r>
      <w:r>
        <w:rPr>
          <w:color w:val="231F20"/>
        </w:rPr>
        <w:t>№</w:t>
      </w:r>
      <w:r>
        <w:rPr>
          <w:color w:val="231F20"/>
          <w:spacing w:val="-7"/>
        </w:rPr>
        <w:t xml:space="preserve"> </w:t>
      </w:r>
      <w:r>
        <w:rPr>
          <w:color w:val="231F20"/>
        </w:rPr>
        <w:t>157-VIII,</w:t>
      </w:r>
      <w:r>
        <w:rPr>
          <w:color w:val="231F20"/>
          <w:spacing w:val="-19"/>
        </w:rPr>
        <w:t xml:space="preserve"> </w:t>
      </w:r>
      <w:r>
        <w:rPr>
          <w:color w:val="231F20"/>
        </w:rPr>
        <w:t xml:space="preserve">– представницьких органів місцевого самоврядування </w:t>
      </w:r>
      <w:r>
        <w:rPr>
          <w:color w:val="231F20"/>
          <w:spacing w:val="-3"/>
        </w:rPr>
        <w:t xml:space="preserve">об’єднаної </w:t>
      </w:r>
      <w:r>
        <w:rPr>
          <w:color w:val="231F20"/>
        </w:rPr>
        <w:t xml:space="preserve">територіальної громади. Згідно із зазначеним Законом </w:t>
      </w:r>
      <w:r>
        <w:rPr>
          <w:color w:val="231F20"/>
          <w:spacing w:val="-3"/>
        </w:rPr>
        <w:t xml:space="preserve">суб’єктами </w:t>
      </w:r>
      <w:r>
        <w:rPr>
          <w:color w:val="231F20"/>
        </w:rPr>
        <w:t xml:space="preserve">добровільного </w:t>
      </w:r>
      <w:r>
        <w:rPr>
          <w:color w:val="231F20"/>
          <w:spacing w:val="-3"/>
        </w:rPr>
        <w:t xml:space="preserve">об’єднання </w:t>
      </w:r>
      <w:r>
        <w:rPr>
          <w:color w:val="231F20"/>
        </w:rPr>
        <w:t>територіальних громад є суміжні терито- ріальні</w:t>
      </w:r>
      <w:r>
        <w:rPr>
          <w:color w:val="231F20"/>
          <w:spacing w:val="-11"/>
        </w:rPr>
        <w:t xml:space="preserve"> </w:t>
      </w:r>
      <w:r>
        <w:rPr>
          <w:color w:val="231F20"/>
        </w:rPr>
        <w:t>громади</w:t>
      </w:r>
      <w:r>
        <w:rPr>
          <w:color w:val="231F20"/>
          <w:spacing w:val="-10"/>
        </w:rPr>
        <w:t xml:space="preserve"> </w:t>
      </w:r>
      <w:r>
        <w:rPr>
          <w:color w:val="231F20"/>
        </w:rPr>
        <w:t>сіл,</w:t>
      </w:r>
      <w:r>
        <w:rPr>
          <w:color w:val="231F20"/>
          <w:spacing w:val="-11"/>
        </w:rPr>
        <w:t xml:space="preserve"> </w:t>
      </w:r>
      <w:r>
        <w:rPr>
          <w:color w:val="231F20"/>
        </w:rPr>
        <w:t>селищ</w:t>
      </w:r>
      <w:r>
        <w:rPr>
          <w:color w:val="231F20"/>
        </w:rPr>
        <w:t>,</w:t>
      </w:r>
      <w:r>
        <w:rPr>
          <w:color w:val="231F20"/>
          <w:spacing w:val="-11"/>
        </w:rPr>
        <w:t xml:space="preserve"> </w:t>
      </w:r>
      <w:r>
        <w:rPr>
          <w:color w:val="231F20"/>
          <w:spacing w:val="-4"/>
        </w:rPr>
        <w:t>міст.</w:t>
      </w:r>
      <w:r>
        <w:rPr>
          <w:color w:val="231F20"/>
          <w:spacing w:val="-11"/>
        </w:rPr>
        <w:t xml:space="preserve"> </w:t>
      </w:r>
      <w:r>
        <w:rPr>
          <w:color w:val="231F20"/>
        </w:rPr>
        <w:t>Повноваження</w:t>
      </w:r>
      <w:r>
        <w:rPr>
          <w:color w:val="231F20"/>
          <w:spacing w:val="-11"/>
        </w:rPr>
        <w:t xml:space="preserve"> </w:t>
      </w:r>
      <w:r>
        <w:rPr>
          <w:color w:val="231F20"/>
        </w:rPr>
        <w:t>сільських,</w:t>
      </w:r>
      <w:r>
        <w:rPr>
          <w:color w:val="231F20"/>
          <w:spacing w:val="-10"/>
        </w:rPr>
        <w:t xml:space="preserve"> </w:t>
      </w:r>
      <w:r>
        <w:rPr>
          <w:color w:val="231F20"/>
        </w:rPr>
        <w:t xml:space="preserve">селищних, міських рад, сільських, селищних, міських голів, обраних територі- альними громадами, що </w:t>
      </w:r>
      <w:r>
        <w:rPr>
          <w:color w:val="231F20"/>
          <w:spacing w:val="-3"/>
        </w:rPr>
        <w:t xml:space="preserve">об’єдналися, </w:t>
      </w:r>
      <w:r>
        <w:rPr>
          <w:color w:val="231F20"/>
        </w:rPr>
        <w:t xml:space="preserve">завершуються в день набуття повноважень сільською, селищною, міською радою, обраною </w:t>
      </w:r>
      <w:r>
        <w:rPr>
          <w:color w:val="231F20"/>
          <w:spacing w:val="-4"/>
        </w:rPr>
        <w:t xml:space="preserve">об’єд- </w:t>
      </w:r>
      <w:r>
        <w:rPr>
          <w:color w:val="231F20"/>
        </w:rPr>
        <w:t xml:space="preserve">наною територіальною </w:t>
      </w:r>
      <w:r>
        <w:rPr>
          <w:color w:val="231F20"/>
        </w:rPr>
        <w:t>громадою.</w:t>
      </w:r>
    </w:p>
    <w:p w14:paraId="616C262A" w14:textId="77777777" w:rsidR="00DE575E" w:rsidRDefault="002E7560">
      <w:pPr>
        <w:pStyle w:val="BodyText"/>
        <w:spacing w:before="5" w:line="252" w:lineRule="auto"/>
        <w:ind w:left="533" w:right="127" w:firstLine="283"/>
        <w:jc w:val="both"/>
      </w:pPr>
      <w:r>
        <w:rPr>
          <w:color w:val="231F20"/>
        </w:rPr>
        <w:t>Важливим чинником такого об’єднання є те, що податкові надходження місцевого бюджету залишаються безпосередньо</w:t>
      </w:r>
    </w:p>
    <w:p w14:paraId="0D01078E" w14:textId="77777777" w:rsidR="00DE575E" w:rsidRDefault="00DE575E">
      <w:pPr>
        <w:pStyle w:val="BodyText"/>
        <w:rPr>
          <w:sz w:val="20"/>
        </w:rPr>
      </w:pPr>
    </w:p>
    <w:p w14:paraId="7B8B9472" w14:textId="174C81CA" w:rsidR="00DE575E" w:rsidRDefault="002E7560">
      <w:pPr>
        <w:pStyle w:val="BodyText"/>
        <w:spacing w:before="9"/>
        <w:rPr>
          <w:sz w:val="12"/>
        </w:rPr>
      </w:pPr>
      <w:r>
        <w:rPr>
          <w:noProof/>
        </w:rPr>
        <mc:AlternateContent>
          <mc:Choice Requires="wps">
            <w:drawing>
              <wp:anchor distT="0" distB="0" distL="0" distR="0" simplePos="0" relativeHeight="5560" behindDoc="0" locked="0" layoutInCell="1" allowOverlap="1" wp14:anchorId="3650EA4D" wp14:editId="3D559546">
                <wp:simplePos x="0" y="0"/>
                <wp:positionH relativeFrom="page">
                  <wp:posOffset>719455</wp:posOffset>
                </wp:positionH>
                <wp:positionV relativeFrom="paragraph">
                  <wp:posOffset>123190</wp:posOffset>
                </wp:positionV>
                <wp:extent cx="1080135" cy="0"/>
                <wp:effectExtent l="8255" t="8890" r="29210" b="29210"/>
                <wp:wrapTopAndBottom/>
                <wp:docPr id="1093"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4947D" id="Line_x0020_1092" o:spid="_x0000_s1026" style="position:absolute;z-index:5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pt" to="141.7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" strokecolor="#231f20" strokeweight=".5pt">
                <w10:wrap type="topAndBottom" anchorx="page"/>
              </v:line>
            </w:pict>
          </mc:Fallback>
        </mc:AlternateContent>
      </w:r>
    </w:p>
    <w:p w14:paraId="34CACCA8" w14:textId="77777777" w:rsidR="00DE575E" w:rsidRDefault="002E7560">
      <w:pPr>
        <w:spacing w:line="204" w:lineRule="auto"/>
        <w:ind w:left="533" w:right="128"/>
        <w:rPr>
          <w:sz w:val="16"/>
        </w:rPr>
      </w:pPr>
      <w:r>
        <w:rPr>
          <w:color w:val="231F20"/>
          <w:position w:val="5"/>
          <w:sz w:val="9"/>
        </w:rPr>
        <w:t xml:space="preserve">1 </w:t>
      </w:r>
      <w:r>
        <w:rPr>
          <w:color w:val="231F20"/>
          <w:sz w:val="16"/>
        </w:rPr>
        <w:t>Про місцеве самоврядування в Україні: Закон від 21.05.1997 № 280; Про службу в орга- нах місцевого самоврядування.</w:t>
      </w:r>
    </w:p>
    <w:p w14:paraId="631A0A97" w14:textId="77777777" w:rsidR="00DE575E" w:rsidRDefault="00DE575E">
      <w:pPr>
        <w:pStyle w:val="BodyText"/>
        <w:spacing w:before="1"/>
        <w:rPr>
          <w:sz w:val="12"/>
        </w:rPr>
      </w:pPr>
    </w:p>
    <w:p w14:paraId="79154095" w14:textId="77777777" w:rsidR="00DE575E" w:rsidRDefault="002E7560">
      <w:pPr>
        <w:spacing w:before="92"/>
        <w:ind w:left="533"/>
        <w:rPr>
          <w:rFonts w:ascii="Times New Roman"/>
          <w:sz w:val="20"/>
        </w:rPr>
      </w:pPr>
      <w:r>
        <w:rPr>
          <w:rFonts w:ascii="Times New Roman"/>
          <w:color w:val="231F20"/>
          <w:sz w:val="20"/>
        </w:rPr>
        <w:t>126</w:t>
      </w:r>
    </w:p>
    <w:p w14:paraId="3F5B8C64" w14:textId="77777777" w:rsidR="00DE575E" w:rsidRDefault="00DE575E">
      <w:pPr>
        <w:rPr>
          <w:rFonts w:ascii="Times New Roman"/>
          <w:sz w:val="20"/>
        </w:rPr>
        <w:sectPr w:rsidR="00DE575E">
          <w:pgSz w:w="8510" w:h="12760"/>
          <w:pgMar w:top="660" w:right="720" w:bottom="280" w:left="600" w:header="720" w:footer="720" w:gutter="0"/>
          <w:cols w:space="720"/>
        </w:sectPr>
      </w:pPr>
    </w:p>
    <w:p w14:paraId="3625A056"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Глава І. Загальне адміністративне право Розділ 4. Суб’єкти публічного адміністрування</w:t>
      </w:r>
    </w:p>
    <w:p w14:paraId="5C84CC12" w14:textId="17EA0A9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9395241" wp14:editId="1F04D848">
                <wp:extent cx="4140200" cy="6350"/>
                <wp:effectExtent l="0" t="0" r="12700" b="6350"/>
                <wp:docPr id="1091"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92" name="Line 109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5C31B" id="Group_x0020_109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jbzax34CAACcBQAADgAA&#10;AAAAAAAAAAAAAAAsAgAAZHJzL2Uyb0RvYy54bWxQSwECLQAUAAYACAAAACEATKewkNkAAAADAQAA&#10;DwAAAAAAAAAAAAAAAADWBAAAZHJzL2Rvd25yZXYueG1sUEsFBgAAAAAEAAQA8wAAANwFAAAAAA==&#10;">
                <v:line id="Line_x0020_109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Lg7MUAAADdAAAADwAAAGRycy9kb3ducmV2LnhtbERPzWrCQBC+C77DMgUvpdlUodiYVaRQ&#10;KB60Gh9gzI5J6O5szK4m7dN3CwVv8/H9Tr4arBE36nzjWMFzkoIgLp1uuFJwLN6f5iB8QNZoHJOC&#10;b/KwWo5HOWba9byn2yFUIoawz1BBHUKbSenLmiz6xLXEkTu7zmKIsKuk7rCP4dbIaZq+SIsNx4Ya&#10;W3qrqfw6XK2C4vIYzOduY/pid5rJ02U7+7lulZo8DOsFiEBDuIv/3R86zk9fp/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Lg7MUAAADdAAAADwAAAAAAAAAA&#10;AAAAAAChAgAAZHJzL2Rvd25yZXYueG1sUEsFBgAAAAAEAAQA+QAAAJMDAAAAAA==&#10;" strokecolor="#231f20" strokeweight=".5pt"/>
                <w10:anchorlock/>
              </v:group>
            </w:pict>
          </mc:Fallback>
        </mc:AlternateContent>
      </w:r>
    </w:p>
    <w:p w14:paraId="6D95BDA8" w14:textId="77777777" w:rsidR="00DE575E" w:rsidRDefault="00DE575E">
      <w:pPr>
        <w:pStyle w:val="BodyText"/>
        <w:spacing w:before="7"/>
        <w:rPr>
          <w:rFonts w:ascii="AdonisC"/>
          <w:i/>
          <w:sz w:val="19"/>
        </w:rPr>
      </w:pPr>
    </w:p>
    <w:p w14:paraId="2499BE2F" w14:textId="77777777" w:rsidR="00DE575E" w:rsidRDefault="002E7560">
      <w:pPr>
        <w:pStyle w:val="BodyText"/>
        <w:spacing w:before="1" w:line="252" w:lineRule="auto"/>
        <w:ind w:left="250" w:right="411"/>
        <w:jc w:val="both"/>
      </w:pPr>
      <w:r>
        <w:rPr>
          <w:color w:val="231F20"/>
        </w:rPr>
        <w:t>в</w:t>
      </w:r>
      <w:r>
        <w:rPr>
          <w:color w:val="231F20"/>
          <w:spacing w:val="-10"/>
        </w:rPr>
        <w:t xml:space="preserve"> </w:t>
      </w:r>
      <w:r>
        <w:rPr>
          <w:color w:val="231F20"/>
        </w:rPr>
        <w:t>добровільно</w:t>
      </w:r>
      <w:r>
        <w:rPr>
          <w:color w:val="231F20"/>
          <w:spacing w:val="-10"/>
        </w:rPr>
        <w:t xml:space="preserve"> </w:t>
      </w:r>
      <w:r>
        <w:rPr>
          <w:color w:val="231F20"/>
          <w:spacing w:val="-3"/>
        </w:rPr>
        <w:t>об’єднаних</w:t>
      </w:r>
      <w:r>
        <w:rPr>
          <w:color w:val="231F20"/>
          <w:spacing w:val="-10"/>
        </w:rPr>
        <w:t xml:space="preserve"> </w:t>
      </w:r>
      <w:r>
        <w:rPr>
          <w:color w:val="231F20"/>
        </w:rPr>
        <w:t>територіальних</w:t>
      </w:r>
      <w:r>
        <w:rPr>
          <w:color w:val="231F20"/>
          <w:spacing w:val="-10"/>
        </w:rPr>
        <w:t xml:space="preserve"> </w:t>
      </w:r>
      <w:r>
        <w:rPr>
          <w:color w:val="231F20"/>
        </w:rPr>
        <w:t>громадах,</w:t>
      </w:r>
      <w:r>
        <w:rPr>
          <w:color w:val="231F20"/>
          <w:spacing w:val="-10"/>
        </w:rPr>
        <w:t xml:space="preserve"> </w:t>
      </w:r>
      <w:r>
        <w:rPr>
          <w:color w:val="231F20"/>
        </w:rPr>
        <w:t>що</w:t>
      </w:r>
      <w:r>
        <w:rPr>
          <w:color w:val="231F20"/>
          <w:spacing w:val="-10"/>
        </w:rPr>
        <w:t xml:space="preserve"> </w:t>
      </w:r>
      <w:r>
        <w:rPr>
          <w:color w:val="231F20"/>
        </w:rPr>
        <w:t>надає</w:t>
      </w:r>
      <w:r>
        <w:rPr>
          <w:color w:val="231F20"/>
          <w:spacing w:val="-10"/>
        </w:rPr>
        <w:t xml:space="preserve"> </w:t>
      </w:r>
      <w:r>
        <w:rPr>
          <w:color w:val="231F20"/>
        </w:rPr>
        <w:t>фінан- совий ресурс для вирішення численних проблем громадян на регі- ональному рівні за рахунок місцевих бюджетів. Одночасно на них покладено всю відповідальні</w:t>
      </w:r>
      <w:r>
        <w:rPr>
          <w:color w:val="231F20"/>
        </w:rPr>
        <w:t xml:space="preserve">сть за стан забезпечення прав, свобод  і законних інтересів жителів, зокрема щодо надання адміністратив- них </w:t>
      </w:r>
      <w:r>
        <w:rPr>
          <w:color w:val="231F20"/>
          <w:spacing w:val="-3"/>
        </w:rPr>
        <w:t>послуг.</w:t>
      </w:r>
    </w:p>
    <w:p w14:paraId="3921D722" w14:textId="77777777" w:rsidR="00DE575E" w:rsidRDefault="002E7560">
      <w:pPr>
        <w:pStyle w:val="BodyText"/>
        <w:spacing w:before="3" w:line="252" w:lineRule="auto"/>
        <w:ind w:left="250" w:right="410" w:firstLine="283"/>
        <w:jc w:val="both"/>
      </w:pPr>
      <w:r>
        <w:rPr>
          <w:color w:val="231F20"/>
          <w:spacing w:val="-5"/>
        </w:rPr>
        <w:t xml:space="preserve">Така </w:t>
      </w:r>
      <w:r>
        <w:rPr>
          <w:color w:val="231F20"/>
        </w:rPr>
        <w:t>законодавча база значно посилила мотивацію до міжмуні- ципальної консолідації в країні, створила належні правові умови та механізми для формування спроможних територіальних громад сіл, селищ,</w:t>
      </w:r>
      <w:r>
        <w:rPr>
          <w:color w:val="231F20"/>
          <w:spacing w:val="-10"/>
        </w:rPr>
        <w:t xml:space="preserve"> </w:t>
      </w:r>
      <w:r>
        <w:rPr>
          <w:color w:val="231F20"/>
          <w:spacing w:val="-4"/>
        </w:rPr>
        <w:t>міст,</w:t>
      </w:r>
      <w:r>
        <w:rPr>
          <w:color w:val="231F20"/>
          <w:spacing w:val="-10"/>
        </w:rPr>
        <w:t xml:space="preserve"> </w:t>
      </w:r>
      <w:r>
        <w:rPr>
          <w:color w:val="231F20"/>
        </w:rPr>
        <w:t>які</w:t>
      </w:r>
      <w:r>
        <w:rPr>
          <w:color w:val="231F20"/>
          <w:spacing w:val="-10"/>
        </w:rPr>
        <w:t xml:space="preserve"> </w:t>
      </w:r>
      <w:r>
        <w:rPr>
          <w:color w:val="231F20"/>
          <w:spacing w:val="-3"/>
        </w:rPr>
        <w:t>об’єднують</w:t>
      </w:r>
      <w:r>
        <w:rPr>
          <w:color w:val="231F20"/>
          <w:spacing w:val="-10"/>
        </w:rPr>
        <w:t xml:space="preserve"> </w:t>
      </w:r>
      <w:r>
        <w:rPr>
          <w:color w:val="231F20"/>
        </w:rPr>
        <w:t>свої</w:t>
      </w:r>
      <w:r>
        <w:rPr>
          <w:color w:val="231F20"/>
          <w:spacing w:val="-10"/>
        </w:rPr>
        <w:t xml:space="preserve"> </w:t>
      </w:r>
      <w:r>
        <w:rPr>
          <w:color w:val="231F20"/>
        </w:rPr>
        <w:t>зусилля</w:t>
      </w:r>
      <w:r>
        <w:rPr>
          <w:color w:val="231F20"/>
          <w:spacing w:val="-10"/>
        </w:rPr>
        <w:t xml:space="preserve"> </w:t>
      </w:r>
      <w:r>
        <w:rPr>
          <w:color w:val="231F20"/>
        </w:rPr>
        <w:t>у</w:t>
      </w:r>
      <w:r>
        <w:rPr>
          <w:color w:val="231F20"/>
          <w:spacing w:val="-10"/>
        </w:rPr>
        <w:t xml:space="preserve"> </w:t>
      </w:r>
      <w:r>
        <w:rPr>
          <w:color w:val="231F20"/>
        </w:rPr>
        <w:t>вирішенні</w:t>
      </w:r>
      <w:r>
        <w:rPr>
          <w:color w:val="231F20"/>
          <w:spacing w:val="-10"/>
        </w:rPr>
        <w:t xml:space="preserve"> </w:t>
      </w:r>
      <w:r>
        <w:rPr>
          <w:color w:val="231F20"/>
        </w:rPr>
        <w:t>нагальних</w:t>
      </w:r>
      <w:r>
        <w:rPr>
          <w:color w:val="231F20"/>
          <w:spacing w:val="-10"/>
        </w:rPr>
        <w:t xml:space="preserve"> </w:t>
      </w:r>
      <w:r>
        <w:rPr>
          <w:color w:val="231F20"/>
        </w:rPr>
        <w:t>проб- ле</w:t>
      </w:r>
      <w:r>
        <w:rPr>
          <w:color w:val="231F20"/>
        </w:rPr>
        <w:t xml:space="preserve">м. </w:t>
      </w:r>
      <w:r>
        <w:rPr>
          <w:color w:val="231F20"/>
          <w:spacing w:val="-5"/>
        </w:rPr>
        <w:t xml:space="preserve">Також </w:t>
      </w:r>
      <w:r>
        <w:rPr>
          <w:color w:val="231F20"/>
        </w:rPr>
        <w:t>уже виправдала себе нова модель фінансового забезпе- чення</w:t>
      </w:r>
      <w:r>
        <w:rPr>
          <w:color w:val="231F20"/>
          <w:spacing w:val="-12"/>
        </w:rPr>
        <w:t xml:space="preserve"> </w:t>
      </w:r>
      <w:r>
        <w:rPr>
          <w:color w:val="231F20"/>
        </w:rPr>
        <w:t>місцевих</w:t>
      </w:r>
      <w:r>
        <w:rPr>
          <w:color w:val="231F20"/>
          <w:spacing w:val="-12"/>
        </w:rPr>
        <w:t xml:space="preserve"> </w:t>
      </w:r>
      <w:r>
        <w:rPr>
          <w:color w:val="231F20"/>
        </w:rPr>
        <w:t>бюджетів,</w:t>
      </w:r>
      <w:r>
        <w:rPr>
          <w:color w:val="231F20"/>
          <w:spacing w:val="-12"/>
        </w:rPr>
        <w:t xml:space="preserve"> </w:t>
      </w:r>
      <w:r>
        <w:rPr>
          <w:color w:val="231F20"/>
        </w:rPr>
        <w:t>які</w:t>
      </w:r>
      <w:r>
        <w:rPr>
          <w:color w:val="231F20"/>
          <w:spacing w:val="-12"/>
        </w:rPr>
        <w:t xml:space="preserve"> </w:t>
      </w:r>
      <w:r>
        <w:rPr>
          <w:color w:val="231F20"/>
        </w:rPr>
        <w:t>отримали</w:t>
      </w:r>
      <w:r>
        <w:rPr>
          <w:color w:val="231F20"/>
          <w:spacing w:val="-12"/>
        </w:rPr>
        <w:t xml:space="preserve"> </w:t>
      </w:r>
      <w:r>
        <w:rPr>
          <w:color w:val="231F20"/>
        </w:rPr>
        <w:t>значну</w:t>
      </w:r>
      <w:r>
        <w:rPr>
          <w:color w:val="231F20"/>
          <w:spacing w:val="-12"/>
        </w:rPr>
        <w:t xml:space="preserve"> </w:t>
      </w:r>
      <w:r>
        <w:rPr>
          <w:color w:val="231F20"/>
        </w:rPr>
        <w:t>автономію</w:t>
      </w:r>
      <w:r>
        <w:rPr>
          <w:color w:val="231F20"/>
          <w:spacing w:val="-12"/>
        </w:rPr>
        <w:t xml:space="preserve"> </w:t>
      </w:r>
      <w:r>
        <w:rPr>
          <w:color w:val="231F20"/>
        </w:rPr>
        <w:t>і</w:t>
      </w:r>
      <w:r>
        <w:rPr>
          <w:color w:val="231F20"/>
          <w:spacing w:val="-13"/>
        </w:rPr>
        <w:t xml:space="preserve"> </w:t>
      </w:r>
      <w:r>
        <w:rPr>
          <w:color w:val="231F20"/>
        </w:rPr>
        <w:t>незалеж- ність від центрального</w:t>
      </w:r>
      <w:r>
        <w:rPr>
          <w:color w:val="231F20"/>
          <w:spacing w:val="-2"/>
        </w:rPr>
        <w:t xml:space="preserve"> </w:t>
      </w:r>
      <w:r>
        <w:rPr>
          <w:color w:val="231F20"/>
        </w:rPr>
        <w:t>бюджету</w:t>
      </w:r>
      <w:r>
        <w:rPr>
          <w:color w:val="231F20"/>
          <w:position w:val="7"/>
          <w:sz w:val="12"/>
        </w:rPr>
        <w:t>1</w:t>
      </w:r>
      <w:r>
        <w:rPr>
          <w:color w:val="231F20"/>
        </w:rPr>
        <w:t>.</w:t>
      </w:r>
    </w:p>
    <w:p w14:paraId="624706D2" w14:textId="77777777" w:rsidR="00DE575E" w:rsidRDefault="002E7560">
      <w:pPr>
        <w:spacing w:before="3" w:line="252" w:lineRule="auto"/>
        <w:ind w:left="250" w:right="410" w:firstLine="283"/>
        <w:jc w:val="both"/>
        <w:rPr>
          <w:b/>
          <w:sz w:val="21"/>
        </w:rPr>
      </w:pPr>
      <w:r>
        <w:rPr>
          <w:b/>
          <w:color w:val="231F20"/>
          <w:sz w:val="21"/>
        </w:rPr>
        <w:t>Отже, органи місцевого самоврядування – це створені тери- торіальними громадами (жителями села,</w:t>
      </w:r>
      <w:r>
        <w:rPr>
          <w:b/>
          <w:color w:val="231F20"/>
          <w:sz w:val="21"/>
        </w:rPr>
        <w:t xml:space="preserve"> </w:t>
      </w:r>
      <w:r>
        <w:rPr>
          <w:b/>
          <w:color w:val="231F20"/>
          <w:spacing w:val="-3"/>
          <w:sz w:val="21"/>
        </w:rPr>
        <w:t xml:space="preserve">об’єднаннями </w:t>
      </w:r>
      <w:r>
        <w:rPr>
          <w:b/>
          <w:color w:val="231F20"/>
          <w:sz w:val="21"/>
        </w:rPr>
        <w:t xml:space="preserve">жите- лів кількох сіл, селищ, </w:t>
      </w:r>
      <w:r>
        <w:rPr>
          <w:b/>
          <w:color w:val="231F20"/>
          <w:spacing w:val="-5"/>
          <w:sz w:val="21"/>
        </w:rPr>
        <w:t xml:space="preserve">міст, </w:t>
      </w:r>
      <w:r>
        <w:rPr>
          <w:b/>
          <w:color w:val="231F20"/>
          <w:sz w:val="21"/>
        </w:rPr>
        <w:t xml:space="preserve">районів, областей) </w:t>
      </w:r>
      <w:r>
        <w:rPr>
          <w:b/>
          <w:color w:val="231F20"/>
          <w:spacing w:val="-3"/>
          <w:sz w:val="21"/>
        </w:rPr>
        <w:t xml:space="preserve">суб’єкти </w:t>
      </w:r>
      <w:r>
        <w:rPr>
          <w:b/>
          <w:color w:val="231F20"/>
          <w:sz w:val="21"/>
        </w:rPr>
        <w:t xml:space="preserve">публіч- ної адміністрації, які самостійно вирішують питання місцевого значення в межах Конституції та законів </w:t>
      </w:r>
      <w:r>
        <w:rPr>
          <w:b/>
          <w:color w:val="231F20"/>
          <w:spacing w:val="-4"/>
          <w:sz w:val="21"/>
        </w:rPr>
        <w:t xml:space="preserve">України, </w:t>
      </w:r>
      <w:r>
        <w:rPr>
          <w:b/>
          <w:color w:val="231F20"/>
          <w:sz w:val="21"/>
        </w:rPr>
        <w:t xml:space="preserve">що в багатьох аспектах наближує їх  до  місцевих  органів  </w:t>
      </w:r>
      <w:r>
        <w:rPr>
          <w:b/>
          <w:color w:val="231F20"/>
          <w:sz w:val="21"/>
        </w:rPr>
        <w:t>виконавчої  влади, з</w:t>
      </w:r>
      <w:r>
        <w:rPr>
          <w:b/>
          <w:color w:val="231F20"/>
          <w:spacing w:val="-11"/>
          <w:sz w:val="21"/>
        </w:rPr>
        <w:t xml:space="preserve"> </w:t>
      </w:r>
      <w:r>
        <w:rPr>
          <w:b/>
          <w:color w:val="231F20"/>
          <w:sz w:val="21"/>
        </w:rPr>
        <w:t>якими</w:t>
      </w:r>
      <w:r>
        <w:rPr>
          <w:b/>
          <w:color w:val="231F20"/>
          <w:spacing w:val="-10"/>
          <w:sz w:val="21"/>
        </w:rPr>
        <w:t xml:space="preserve"> </w:t>
      </w:r>
      <w:r>
        <w:rPr>
          <w:b/>
          <w:color w:val="231F20"/>
          <w:sz w:val="21"/>
        </w:rPr>
        <w:t>вони</w:t>
      </w:r>
      <w:r>
        <w:rPr>
          <w:b/>
          <w:color w:val="231F20"/>
          <w:spacing w:val="-10"/>
          <w:sz w:val="21"/>
        </w:rPr>
        <w:t xml:space="preserve"> </w:t>
      </w:r>
      <w:r>
        <w:rPr>
          <w:b/>
          <w:color w:val="231F20"/>
          <w:sz w:val="21"/>
        </w:rPr>
        <w:t>тісно</w:t>
      </w:r>
      <w:r>
        <w:rPr>
          <w:b/>
          <w:color w:val="231F20"/>
          <w:spacing w:val="-10"/>
          <w:sz w:val="21"/>
        </w:rPr>
        <w:t xml:space="preserve"> </w:t>
      </w:r>
      <w:r>
        <w:rPr>
          <w:b/>
          <w:color w:val="231F20"/>
          <w:sz w:val="21"/>
        </w:rPr>
        <w:t>взаємодіють</w:t>
      </w:r>
      <w:r>
        <w:rPr>
          <w:b/>
          <w:color w:val="231F20"/>
          <w:spacing w:val="-11"/>
          <w:sz w:val="21"/>
        </w:rPr>
        <w:t xml:space="preserve"> </w:t>
      </w:r>
      <w:r>
        <w:rPr>
          <w:b/>
          <w:color w:val="231F20"/>
          <w:sz w:val="21"/>
        </w:rPr>
        <w:t>під</w:t>
      </w:r>
      <w:r>
        <w:rPr>
          <w:b/>
          <w:color w:val="231F20"/>
          <w:spacing w:val="-10"/>
          <w:sz w:val="21"/>
        </w:rPr>
        <w:t xml:space="preserve"> </w:t>
      </w:r>
      <w:r>
        <w:rPr>
          <w:b/>
          <w:color w:val="231F20"/>
          <w:sz w:val="21"/>
        </w:rPr>
        <w:t>час</w:t>
      </w:r>
      <w:r>
        <w:rPr>
          <w:b/>
          <w:color w:val="231F20"/>
          <w:spacing w:val="-10"/>
          <w:sz w:val="21"/>
        </w:rPr>
        <w:t xml:space="preserve"> </w:t>
      </w:r>
      <w:r>
        <w:rPr>
          <w:b/>
          <w:color w:val="231F20"/>
          <w:sz w:val="21"/>
        </w:rPr>
        <w:t>вирішення</w:t>
      </w:r>
      <w:r>
        <w:rPr>
          <w:b/>
          <w:color w:val="231F20"/>
          <w:spacing w:val="-10"/>
          <w:sz w:val="21"/>
        </w:rPr>
        <w:t xml:space="preserve"> </w:t>
      </w:r>
      <w:r>
        <w:rPr>
          <w:b/>
          <w:color w:val="231F20"/>
          <w:sz w:val="21"/>
        </w:rPr>
        <w:t>питань</w:t>
      </w:r>
      <w:r>
        <w:rPr>
          <w:b/>
          <w:color w:val="231F20"/>
          <w:spacing w:val="-10"/>
          <w:sz w:val="21"/>
        </w:rPr>
        <w:t xml:space="preserve"> </w:t>
      </w:r>
      <w:r>
        <w:rPr>
          <w:b/>
          <w:color w:val="231F20"/>
          <w:sz w:val="21"/>
        </w:rPr>
        <w:t>місце- вого</w:t>
      </w:r>
      <w:r>
        <w:rPr>
          <w:b/>
          <w:color w:val="231F20"/>
          <w:spacing w:val="-2"/>
          <w:sz w:val="21"/>
        </w:rPr>
        <w:t xml:space="preserve"> </w:t>
      </w:r>
      <w:r>
        <w:rPr>
          <w:b/>
          <w:color w:val="231F20"/>
          <w:sz w:val="21"/>
        </w:rPr>
        <w:t>значення.</w:t>
      </w:r>
    </w:p>
    <w:p w14:paraId="59DD8D77" w14:textId="77777777" w:rsidR="00DE575E" w:rsidRDefault="00DE575E">
      <w:pPr>
        <w:pStyle w:val="BodyText"/>
        <w:rPr>
          <w:b/>
          <w:sz w:val="24"/>
        </w:rPr>
      </w:pPr>
    </w:p>
    <w:p w14:paraId="2388ECA4" w14:textId="77777777" w:rsidR="00DE575E" w:rsidRDefault="00DE575E">
      <w:pPr>
        <w:pStyle w:val="BodyText"/>
        <w:spacing w:before="6"/>
        <w:rPr>
          <w:b/>
          <w:sz w:val="20"/>
        </w:rPr>
      </w:pPr>
    </w:p>
    <w:p w14:paraId="56EB2452" w14:textId="77777777" w:rsidR="00DE575E" w:rsidRDefault="002E7560">
      <w:pPr>
        <w:ind w:left="2088"/>
        <w:rPr>
          <w:b/>
          <w:sz w:val="21"/>
        </w:rPr>
      </w:pPr>
      <w:r>
        <w:rPr>
          <w:b/>
          <w:color w:val="231F20"/>
          <w:sz w:val="21"/>
        </w:rPr>
        <w:t>Питання для самоконтролю</w:t>
      </w:r>
    </w:p>
    <w:p w14:paraId="15DD4857" w14:textId="77777777" w:rsidR="00DE575E" w:rsidRDefault="00DE575E">
      <w:pPr>
        <w:pStyle w:val="BodyText"/>
        <w:spacing w:before="2"/>
        <w:rPr>
          <w:b/>
          <w:sz w:val="23"/>
        </w:rPr>
      </w:pPr>
    </w:p>
    <w:p w14:paraId="652CF052" w14:textId="77777777" w:rsidR="00DE575E" w:rsidRDefault="002E7560">
      <w:pPr>
        <w:pStyle w:val="ListParagraph"/>
        <w:numPr>
          <w:ilvl w:val="0"/>
          <w:numId w:val="250"/>
        </w:numPr>
        <w:tabs>
          <w:tab w:val="left" w:pos="818"/>
        </w:tabs>
        <w:spacing w:before="0" w:line="252" w:lineRule="auto"/>
        <w:ind w:right="411" w:firstLine="283"/>
        <w:rPr>
          <w:sz w:val="21"/>
        </w:rPr>
      </w:pPr>
      <w:r>
        <w:rPr>
          <w:color w:val="231F20"/>
          <w:sz w:val="21"/>
        </w:rPr>
        <w:t xml:space="preserve">У чому полягають поняття та система </w:t>
      </w:r>
      <w:r>
        <w:rPr>
          <w:color w:val="231F20"/>
          <w:spacing w:val="-3"/>
          <w:sz w:val="21"/>
        </w:rPr>
        <w:t xml:space="preserve">суб’єктів </w:t>
      </w:r>
      <w:r>
        <w:rPr>
          <w:color w:val="231F20"/>
          <w:sz w:val="21"/>
        </w:rPr>
        <w:t>публічного адміністрування? Схарактеризуйте їх</w:t>
      </w:r>
      <w:r>
        <w:rPr>
          <w:color w:val="231F20"/>
          <w:spacing w:val="-3"/>
          <w:sz w:val="21"/>
        </w:rPr>
        <w:t xml:space="preserve"> </w:t>
      </w:r>
      <w:r>
        <w:rPr>
          <w:color w:val="231F20"/>
          <w:sz w:val="21"/>
        </w:rPr>
        <w:t>ознаки.</w:t>
      </w:r>
    </w:p>
    <w:p w14:paraId="080C54E8" w14:textId="77777777" w:rsidR="00DE575E" w:rsidRDefault="002E7560">
      <w:pPr>
        <w:pStyle w:val="ListParagraph"/>
        <w:numPr>
          <w:ilvl w:val="0"/>
          <w:numId w:val="250"/>
        </w:numPr>
        <w:tabs>
          <w:tab w:val="left" w:pos="818"/>
        </w:tabs>
        <w:ind w:firstLine="283"/>
        <w:rPr>
          <w:sz w:val="21"/>
        </w:rPr>
      </w:pPr>
      <w:r>
        <w:rPr>
          <w:color w:val="231F20"/>
          <w:sz w:val="21"/>
        </w:rPr>
        <w:t xml:space="preserve">Розкрийте групи </w:t>
      </w:r>
      <w:r>
        <w:rPr>
          <w:color w:val="231F20"/>
          <w:spacing w:val="-3"/>
          <w:sz w:val="21"/>
        </w:rPr>
        <w:t xml:space="preserve">суб’єктів </w:t>
      </w:r>
      <w:r>
        <w:rPr>
          <w:color w:val="231F20"/>
          <w:sz w:val="21"/>
        </w:rPr>
        <w:t>публічного</w:t>
      </w:r>
      <w:r>
        <w:rPr>
          <w:color w:val="231F20"/>
          <w:spacing w:val="-2"/>
          <w:sz w:val="21"/>
        </w:rPr>
        <w:t xml:space="preserve"> </w:t>
      </w:r>
      <w:r>
        <w:rPr>
          <w:color w:val="231F20"/>
          <w:sz w:val="21"/>
        </w:rPr>
        <w:t>адміністрування.</w:t>
      </w:r>
    </w:p>
    <w:p w14:paraId="5C21F6F6" w14:textId="77777777" w:rsidR="00DE575E" w:rsidRDefault="002E7560">
      <w:pPr>
        <w:pStyle w:val="ListParagraph"/>
        <w:numPr>
          <w:ilvl w:val="0"/>
          <w:numId w:val="250"/>
        </w:numPr>
        <w:tabs>
          <w:tab w:val="left" w:pos="818"/>
        </w:tabs>
        <w:spacing w:before="13"/>
        <w:ind w:firstLine="283"/>
        <w:rPr>
          <w:sz w:val="21"/>
        </w:rPr>
      </w:pPr>
      <w:r>
        <w:rPr>
          <w:color w:val="231F20"/>
          <w:spacing w:val="-3"/>
          <w:sz w:val="21"/>
        </w:rPr>
        <w:t xml:space="preserve">Дайте визначення компетенції </w:t>
      </w:r>
      <w:r>
        <w:rPr>
          <w:color w:val="231F20"/>
          <w:spacing w:val="-6"/>
          <w:sz w:val="21"/>
        </w:rPr>
        <w:t xml:space="preserve">суб’єкта </w:t>
      </w:r>
      <w:r>
        <w:rPr>
          <w:color w:val="231F20"/>
          <w:spacing w:val="-3"/>
          <w:sz w:val="21"/>
        </w:rPr>
        <w:t>публічної</w:t>
      </w:r>
      <w:r>
        <w:rPr>
          <w:color w:val="231F20"/>
          <w:spacing w:val="-4"/>
          <w:sz w:val="21"/>
        </w:rPr>
        <w:t xml:space="preserve"> </w:t>
      </w:r>
      <w:r>
        <w:rPr>
          <w:color w:val="231F20"/>
          <w:spacing w:val="-3"/>
          <w:sz w:val="21"/>
        </w:rPr>
        <w:t>адміністрації.</w:t>
      </w:r>
    </w:p>
    <w:p w14:paraId="1E0C1B6D" w14:textId="77777777" w:rsidR="00DE575E" w:rsidRDefault="002E7560">
      <w:pPr>
        <w:pStyle w:val="ListParagraph"/>
        <w:numPr>
          <w:ilvl w:val="0"/>
          <w:numId w:val="250"/>
        </w:numPr>
        <w:tabs>
          <w:tab w:val="left" w:pos="818"/>
        </w:tabs>
        <w:spacing w:before="13" w:line="252" w:lineRule="auto"/>
        <w:ind w:right="411" w:firstLine="283"/>
        <w:rPr>
          <w:sz w:val="21"/>
        </w:rPr>
      </w:pPr>
      <w:r>
        <w:rPr>
          <w:color w:val="231F20"/>
          <w:spacing w:val="-3"/>
          <w:sz w:val="21"/>
        </w:rPr>
        <w:t xml:space="preserve">Укажіть </w:t>
      </w:r>
      <w:r>
        <w:rPr>
          <w:color w:val="231F20"/>
          <w:sz w:val="21"/>
        </w:rPr>
        <w:t xml:space="preserve">основні складові компетенції </w:t>
      </w:r>
      <w:r>
        <w:rPr>
          <w:color w:val="231F20"/>
          <w:spacing w:val="-3"/>
          <w:sz w:val="21"/>
        </w:rPr>
        <w:t xml:space="preserve">суб’єкта </w:t>
      </w:r>
      <w:r>
        <w:rPr>
          <w:color w:val="231F20"/>
          <w:sz w:val="21"/>
        </w:rPr>
        <w:t>публічної адмі- ністрації.</w:t>
      </w:r>
    </w:p>
    <w:p w14:paraId="5184F931" w14:textId="77777777" w:rsidR="00DE575E" w:rsidRDefault="002E7560">
      <w:pPr>
        <w:pStyle w:val="ListParagraph"/>
        <w:numPr>
          <w:ilvl w:val="0"/>
          <w:numId w:val="250"/>
        </w:numPr>
        <w:tabs>
          <w:tab w:val="left" w:pos="818"/>
        </w:tabs>
        <w:ind w:firstLine="283"/>
        <w:rPr>
          <w:sz w:val="21"/>
        </w:rPr>
      </w:pPr>
      <w:r>
        <w:rPr>
          <w:color w:val="231F20"/>
          <w:sz w:val="21"/>
        </w:rPr>
        <w:t>Дайте визначення терміну</w:t>
      </w:r>
      <w:r>
        <w:rPr>
          <w:color w:val="231F20"/>
          <w:spacing w:val="-2"/>
          <w:sz w:val="21"/>
        </w:rPr>
        <w:t xml:space="preserve"> </w:t>
      </w:r>
      <w:r>
        <w:rPr>
          <w:color w:val="231F20"/>
          <w:sz w:val="21"/>
        </w:rPr>
        <w:t>«повноваження».</w:t>
      </w:r>
    </w:p>
    <w:p w14:paraId="7558A969" w14:textId="77777777" w:rsidR="00DE575E" w:rsidRDefault="002E7560">
      <w:pPr>
        <w:pStyle w:val="ListParagraph"/>
        <w:numPr>
          <w:ilvl w:val="0"/>
          <w:numId w:val="250"/>
        </w:numPr>
        <w:tabs>
          <w:tab w:val="left" w:pos="818"/>
        </w:tabs>
        <w:spacing w:before="13" w:line="252" w:lineRule="auto"/>
        <w:ind w:right="411" w:firstLine="283"/>
        <w:rPr>
          <w:sz w:val="21"/>
        </w:rPr>
      </w:pPr>
      <w:r>
        <w:rPr>
          <w:color w:val="231F20"/>
          <w:sz w:val="21"/>
        </w:rPr>
        <w:t>Роз’ясніть</w:t>
      </w:r>
      <w:r>
        <w:rPr>
          <w:color w:val="231F20"/>
          <w:spacing w:val="-8"/>
          <w:sz w:val="21"/>
        </w:rPr>
        <w:t xml:space="preserve"> </w:t>
      </w:r>
      <w:r>
        <w:rPr>
          <w:color w:val="231F20"/>
          <w:sz w:val="21"/>
        </w:rPr>
        <w:t>положення</w:t>
      </w:r>
      <w:r>
        <w:rPr>
          <w:color w:val="231F20"/>
          <w:spacing w:val="-8"/>
          <w:sz w:val="21"/>
        </w:rPr>
        <w:t xml:space="preserve"> </w:t>
      </w:r>
      <w:r>
        <w:rPr>
          <w:color w:val="231F20"/>
          <w:sz w:val="21"/>
        </w:rPr>
        <w:t>Конституції</w:t>
      </w:r>
      <w:r>
        <w:rPr>
          <w:color w:val="231F20"/>
          <w:spacing w:val="-8"/>
          <w:sz w:val="21"/>
        </w:rPr>
        <w:t xml:space="preserve"> </w:t>
      </w:r>
      <w:r>
        <w:rPr>
          <w:color w:val="231F20"/>
          <w:spacing w:val="-3"/>
          <w:sz w:val="21"/>
        </w:rPr>
        <w:t>України</w:t>
      </w:r>
      <w:r>
        <w:rPr>
          <w:color w:val="231F20"/>
          <w:spacing w:val="-8"/>
          <w:sz w:val="21"/>
        </w:rPr>
        <w:t xml:space="preserve"> </w:t>
      </w:r>
      <w:r>
        <w:rPr>
          <w:color w:val="231F20"/>
          <w:sz w:val="21"/>
        </w:rPr>
        <w:t>щодо</w:t>
      </w:r>
      <w:r>
        <w:rPr>
          <w:color w:val="231F20"/>
          <w:spacing w:val="-8"/>
          <w:sz w:val="21"/>
        </w:rPr>
        <w:t xml:space="preserve"> </w:t>
      </w:r>
      <w:r>
        <w:rPr>
          <w:color w:val="231F20"/>
          <w:sz w:val="21"/>
        </w:rPr>
        <w:t>ролі</w:t>
      </w:r>
      <w:r>
        <w:rPr>
          <w:color w:val="231F20"/>
          <w:spacing w:val="-8"/>
          <w:sz w:val="21"/>
        </w:rPr>
        <w:t xml:space="preserve"> </w:t>
      </w:r>
      <w:r>
        <w:rPr>
          <w:color w:val="231F20"/>
          <w:sz w:val="21"/>
        </w:rPr>
        <w:t xml:space="preserve">повнова- жень у діяльності </w:t>
      </w:r>
      <w:r>
        <w:rPr>
          <w:color w:val="231F20"/>
          <w:spacing w:val="-3"/>
          <w:sz w:val="21"/>
        </w:rPr>
        <w:t xml:space="preserve">суб’єктів </w:t>
      </w:r>
      <w:r>
        <w:rPr>
          <w:color w:val="231F20"/>
          <w:sz w:val="21"/>
        </w:rPr>
        <w:t>публічної</w:t>
      </w:r>
      <w:r>
        <w:rPr>
          <w:color w:val="231F20"/>
          <w:spacing w:val="-3"/>
          <w:sz w:val="21"/>
        </w:rPr>
        <w:t xml:space="preserve"> </w:t>
      </w:r>
      <w:r>
        <w:rPr>
          <w:color w:val="231F20"/>
          <w:sz w:val="21"/>
        </w:rPr>
        <w:t>адміністрації?</w:t>
      </w:r>
    </w:p>
    <w:p w14:paraId="65680E77" w14:textId="77777777" w:rsidR="00DE575E" w:rsidRDefault="00DE575E">
      <w:pPr>
        <w:pStyle w:val="BodyText"/>
        <w:rPr>
          <w:sz w:val="20"/>
        </w:rPr>
      </w:pPr>
    </w:p>
    <w:p w14:paraId="63FFC5AB" w14:textId="6179AC90" w:rsidR="00DE575E" w:rsidRDefault="002E7560">
      <w:pPr>
        <w:pStyle w:val="BodyText"/>
        <w:spacing w:before="11"/>
        <w:rPr>
          <w:sz w:val="15"/>
        </w:rPr>
      </w:pPr>
      <w:r>
        <w:rPr>
          <w:noProof/>
        </w:rPr>
        <mc:AlternateContent>
          <mc:Choice Requires="wps">
            <w:drawing>
              <wp:anchor distT="0" distB="0" distL="0" distR="0" simplePos="0" relativeHeight="5608" behindDoc="0" locked="0" layoutInCell="1" allowOverlap="1" wp14:anchorId="5C7617B9" wp14:editId="7EB42EF0">
                <wp:simplePos x="0" y="0"/>
                <wp:positionH relativeFrom="page">
                  <wp:posOffset>539750</wp:posOffset>
                </wp:positionH>
                <wp:positionV relativeFrom="paragraph">
                  <wp:posOffset>146685</wp:posOffset>
                </wp:positionV>
                <wp:extent cx="1080135" cy="0"/>
                <wp:effectExtent l="6350" t="6985" r="31115" b="31115"/>
                <wp:wrapTopAndBottom/>
                <wp:docPr id="1090"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4DC84" id="Line_x0020_1089" o:spid="_x0000_s1026" style="position:absolute;z-index:5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55pt" to="127.5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sB7CMCAABH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" strokecolor="#231f20" strokeweight=".5pt">
                <w10:wrap type="topAndBottom" anchorx="page"/>
              </v:line>
            </w:pict>
          </mc:Fallback>
        </mc:AlternateContent>
      </w:r>
    </w:p>
    <w:p w14:paraId="664F142D" w14:textId="77777777" w:rsidR="00DE575E" w:rsidRDefault="002E7560">
      <w:pPr>
        <w:spacing w:line="204" w:lineRule="auto"/>
        <w:ind w:left="250" w:right="409"/>
        <w:jc w:val="both"/>
        <w:rPr>
          <w:sz w:val="16"/>
        </w:rPr>
      </w:pPr>
      <w:r>
        <w:rPr>
          <w:color w:val="231F20"/>
          <w:position w:val="5"/>
          <w:sz w:val="9"/>
        </w:rPr>
        <w:t xml:space="preserve">1 </w:t>
      </w:r>
      <w:r>
        <w:rPr>
          <w:color w:val="231F20"/>
          <w:sz w:val="16"/>
        </w:rPr>
        <w:t>Про співробітництво територіальних громад: Закон від 17.06.2014 № 1508-VII; Про засади державної регіональної політики: Закон від 05.02.2015 № 156-VIII; Про внесення змін до деяких законода</w:t>
      </w:r>
      <w:r>
        <w:rPr>
          <w:color w:val="231F20"/>
          <w:sz w:val="16"/>
        </w:rPr>
        <w:t>вчих актів України щодо децентралізації повноважень у сфері архітектурно-будівельного контролю та удосконалення містобудівного законодавства: Закон 09.04.2015 № 320-VIII.</w:t>
      </w:r>
    </w:p>
    <w:p w14:paraId="02C5E123" w14:textId="77777777" w:rsidR="00DE575E" w:rsidRDefault="00DE575E">
      <w:pPr>
        <w:pStyle w:val="BodyText"/>
        <w:spacing w:before="3"/>
        <w:rPr>
          <w:sz w:val="12"/>
        </w:rPr>
      </w:pPr>
    </w:p>
    <w:p w14:paraId="7C5AA692" w14:textId="77777777" w:rsidR="00DE575E" w:rsidRDefault="002E7560">
      <w:pPr>
        <w:spacing w:before="92"/>
        <w:ind w:right="411"/>
        <w:jc w:val="right"/>
        <w:rPr>
          <w:rFonts w:ascii="Times New Roman"/>
          <w:sz w:val="20"/>
        </w:rPr>
      </w:pPr>
      <w:r>
        <w:rPr>
          <w:rFonts w:ascii="Times New Roman"/>
          <w:color w:val="231F20"/>
          <w:w w:val="90"/>
          <w:sz w:val="20"/>
        </w:rPr>
        <w:t>127</w:t>
      </w:r>
    </w:p>
    <w:p w14:paraId="3CB52B5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D4CCCE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65E6089" w14:textId="045FAA7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978F3BE" wp14:editId="3FF06501">
                <wp:extent cx="4140200" cy="6350"/>
                <wp:effectExtent l="0" t="0" r="12700" b="6350"/>
                <wp:docPr id="1088"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89" name="Line 108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F3EB8" id="Group_x0020_108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OCbX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DTgm1/AgAAnAUAAA4A&#10;AAAAAAAAAAAAAAAALAIAAGRycy9lMm9Eb2MueG1sUEsBAi0AFAAGAAgAAAAhAEynsJDZAAAAAwEA&#10;AA8AAAAAAAAAAAAAAAAA1wQAAGRycy9kb3ducmV2LnhtbFBLBQYAAAAABAAEAPMAAADdBQAAAAA=&#10;">
                <v:line id="Line_x0020_108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kQMUAAADdAAAADwAAAGRycy9kb3ducmV2LnhtbERPzWrCQBC+F3yHZQq9lGZjhWJjVhGh&#10;UHpQa/oAY3ZMQndnY3Y1qU/vCgVv8/H9Tr4YrBFn6nzjWME4SUEQl043XCn4KT5epiB8QNZoHJOC&#10;P/KwmI8ecsy06/mbzrtQiRjCPkMFdQhtJqUva7LoE9cSR+7gOoshwq6SusM+hlsjX9P0TVpsODbU&#10;2NKqpvJ3d7IKiuNzMNvNl+mLzX4i98f15HJaK/X0OCxnIAIN4S7+d3/qOD+dvsPtm3iC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G/kQMUAAADdAAAADwAAAAAAAAAA&#10;AAAAAAChAgAAZHJzL2Rvd25yZXYueG1sUEsFBgAAAAAEAAQA+QAAAJMDAAAAAA==&#10;" strokecolor="#231f20" strokeweight=".5pt"/>
                <w10:anchorlock/>
              </v:group>
            </w:pict>
          </mc:Fallback>
        </mc:AlternateContent>
      </w:r>
    </w:p>
    <w:p w14:paraId="7DAA49B3" w14:textId="77777777" w:rsidR="00DE575E" w:rsidRDefault="00DE575E">
      <w:pPr>
        <w:pStyle w:val="BodyText"/>
        <w:spacing w:before="7"/>
        <w:rPr>
          <w:rFonts w:ascii="AdonisC"/>
          <w:i/>
          <w:sz w:val="11"/>
        </w:rPr>
      </w:pPr>
    </w:p>
    <w:p w14:paraId="08DA4161" w14:textId="77777777" w:rsidR="00DE575E" w:rsidRDefault="002E7560">
      <w:pPr>
        <w:pStyle w:val="ListParagraph"/>
        <w:numPr>
          <w:ilvl w:val="1"/>
          <w:numId w:val="276"/>
        </w:numPr>
        <w:tabs>
          <w:tab w:val="left" w:pos="1101"/>
        </w:tabs>
        <w:spacing w:before="101"/>
        <w:ind w:firstLine="284"/>
        <w:rPr>
          <w:sz w:val="21"/>
        </w:rPr>
      </w:pPr>
      <w:r>
        <w:rPr>
          <w:color w:val="231F20"/>
          <w:sz w:val="21"/>
        </w:rPr>
        <w:t>Які критерії класифікації повноважень вам</w:t>
      </w:r>
      <w:r>
        <w:rPr>
          <w:color w:val="231F20"/>
          <w:spacing w:val="-4"/>
          <w:sz w:val="21"/>
        </w:rPr>
        <w:t xml:space="preserve"> </w:t>
      </w:r>
      <w:r>
        <w:rPr>
          <w:color w:val="231F20"/>
          <w:sz w:val="21"/>
        </w:rPr>
        <w:t>відомі?</w:t>
      </w:r>
    </w:p>
    <w:p w14:paraId="380AE8B3" w14:textId="77777777" w:rsidR="00DE575E" w:rsidRDefault="002E7560">
      <w:pPr>
        <w:pStyle w:val="ListParagraph"/>
        <w:numPr>
          <w:ilvl w:val="1"/>
          <w:numId w:val="276"/>
        </w:numPr>
        <w:tabs>
          <w:tab w:val="left" w:pos="1101"/>
        </w:tabs>
        <w:spacing w:before="12" w:line="252" w:lineRule="auto"/>
        <w:ind w:right="128" w:firstLine="284"/>
        <w:jc w:val="both"/>
        <w:rPr>
          <w:sz w:val="21"/>
        </w:rPr>
      </w:pPr>
      <w:r>
        <w:rPr>
          <w:color w:val="231F20"/>
          <w:sz w:val="21"/>
        </w:rPr>
        <w:t>Перерахуйте та схарактеризуйте способи наділення адмініст- ративними</w:t>
      </w:r>
      <w:r>
        <w:rPr>
          <w:color w:val="231F20"/>
          <w:spacing w:val="-2"/>
          <w:sz w:val="21"/>
        </w:rPr>
        <w:t xml:space="preserve"> </w:t>
      </w:r>
      <w:r>
        <w:rPr>
          <w:color w:val="231F20"/>
          <w:sz w:val="21"/>
        </w:rPr>
        <w:t>повноваженнями.</w:t>
      </w:r>
    </w:p>
    <w:p w14:paraId="158DF94A" w14:textId="77777777" w:rsidR="00DE575E" w:rsidRDefault="002E7560">
      <w:pPr>
        <w:pStyle w:val="ListParagraph"/>
        <w:numPr>
          <w:ilvl w:val="1"/>
          <w:numId w:val="276"/>
        </w:numPr>
        <w:tabs>
          <w:tab w:val="left" w:pos="1101"/>
        </w:tabs>
        <w:ind w:firstLine="284"/>
        <w:rPr>
          <w:sz w:val="21"/>
        </w:rPr>
      </w:pPr>
      <w:r>
        <w:rPr>
          <w:color w:val="231F20"/>
          <w:sz w:val="21"/>
        </w:rPr>
        <w:t>Дайте визначення делегування</w:t>
      </w:r>
      <w:r>
        <w:rPr>
          <w:color w:val="231F20"/>
          <w:spacing w:val="-2"/>
          <w:sz w:val="21"/>
        </w:rPr>
        <w:t xml:space="preserve"> </w:t>
      </w:r>
      <w:r>
        <w:rPr>
          <w:color w:val="231F20"/>
          <w:sz w:val="21"/>
        </w:rPr>
        <w:t>повноважень.</w:t>
      </w:r>
    </w:p>
    <w:p w14:paraId="02A152B2" w14:textId="77777777" w:rsidR="00DE575E" w:rsidRDefault="002E7560">
      <w:pPr>
        <w:pStyle w:val="BodyText"/>
        <w:spacing w:before="13" w:line="252" w:lineRule="auto"/>
        <w:ind w:left="533" w:right="128" w:firstLine="283"/>
        <w:jc w:val="both"/>
      </w:pPr>
      <w:r>
        <w:rPr>
          <w:color w:val="231F20"/>
        </w:rPr>
        <w:t>10.Розкрийте рівні органів виконавчої влади, як вони співвідно- сяться між собою?</w:t>
      </w:r>
    </w:p>
    <w:p w14:paraId="01EE1CBB" w14:textId="77777777" w:rsidR="00DE575E" w:rsidRDefault="002E7560">
      <w:pPr>
        <w:pStyle w:val="BodyText"/>
        <w:spacing w:before="1"/>
        <w:ind w:left="817"/>
      </w:pPr>
      <w:r>
        <w:rPr>
          <w:color w:val="231F20"/>
        </w:rPr>
        <w:t>11.Які ознаки характеризують органи виконавчої влади?</w:t>
      </w:r>
    </w:p>
    <w:p w14:paraId="26D0EFE7" w14:textId="77777777" w:rsidR="00DE575E" w:rsidRDefault="002E7560">
      <w:pPr>
        <w:pStyle w:val="BodyText"/>
        <w:spacing w:before="13" w:line="252" w:lineRule="auto"/>
        <w:ind w:left="533" w:right="130" w:firstLine="283"/>
        <w:jc w:val="both"/>
      </w:pPr>
      <w:r>
        <w:rPr>
          <w:color w:val="231F20"/>
        </w:rPr>
        <w:t>12.У чому полягає роль Кабінету Міністрів України як вищого органу виконавчої влади?</w:t>
      </w:r>
    </w:p>
    <w:p w14:paraId="389043B6" w14:textId="77777777" w:rsidR="00DE575E" w:rsidRDefault="002E7560">
      <w:pPr>
        <w:pStyle w:val="BodyText"/>
        <w:spacing w:before="1" w:line="252" w:lineRule="auto"/>
        <w:ind w:left="533" w:right="126" w:firstLine="283"/>
        <w:jc w:val="both"/>
      </w:pPr>
      <w:r>
        <w:rPr>
          <w:color w:val="231F20"/>
        </w:rPr>
        <w:t xml:space="preserve">13.Розкрийте особливості публічних </w:t>
      </w:r>
      <w:r>
        <w:rPr>
          <w:color w:val="231F20"/>
        </w:rPr>
        <w:t>компетенцій державної служби, агентств та інспекцій.</w:t>
      </w:r>
    </w:p>
    <w:p w14:paraId="1182644D" w14:textId="77777777" w:rsidR="00DE575E" w:rsidRDefault="002E7560">
      <w:pPr>
        <w:pStyle w:val="BodyText"/>
        <w:spacing w:before="1" w:line="252" w:lineRule="auto"/>
        <w:ind w:left="817"/>
      </w:pPr>
      <w:r>
        <w:rPr>
          <w:color w:val="231F20"/>
        </w:rPr>
        <w:t>14.Назвіть призначення військово-цивільних адміністрацій. 15.Який порядок утворення, реорганізації та ліквідації органів</w:t>
      </w:r>
    </w:p>
    <w:p w14:paraId="524EA6E1" w14:textId="77777777" w:rsidR="00DE575E" w:rsidRDefault="002E7560">
      <w:pPr>
        <w:pStyle w:val="BodyText"/>
        <w:spacing w:before="1"/>
        <w:ind w:left="533"/>
      </w:pPr>
      <w:r>
        <w:rPr>
          <w:color w:val="231F20"/>
        </w:rPr>
        <w:t>виконавчої влади?</w:t>
      </w:r>
    </w:p>
    <w:p w14:paraId="2E64D577" w14:textId="77777777" w:rsidR="00DE575E" w:rsidRDefault="002E7560">
      <w:pPr>
        <w:pStyle w:val="BodyText"/>
        <w:spacing w:before="13" w:line="252" w:lineRule="auto"/>
        <w:ind w:left="817" w:right="521"/>
      </w:pPr>
      <w:r>
        <w:rPr>
          <w:color w:val="231F20"/>
        </w:rPr>
        <w:t>16.Розкрийте роль суб’єктів місцевого самоврядування. 17.Які є в</w:t>
      </w:r>
      <w:r>
        <w:rPr>
          <w:color w:val="231F20"/>
        </w:rPr>
        <w:t>иди суб’єктів місцевого самоврядування?</w:t>
      </w:r>
    </w:p>
    <w:p w14:paraId="6D5DF3E5" w14:textId="77777777" w:rsidR="00DE575E" w:rsidRDefault="00DE575E">
      <w:pPr>
        <w:pStyle w:val="BodyText"/>
        <w:spacing w:before="2"/>
        <w:rPr>
          <w:sz w:val="22"/>
        </w:rPr>
      </w:pPr>
    </w:p>
    <w:p w14:paraId="486284D6" w14:textId="77777777" w:rsidR="00DE575E" w:rsidRDefault="002E7560">
      <w:pPr>
        <w:pStyle w:val="Heading5"/>
        <w:ind w:left="2683"/>
      </w:pPr>
      <w:r>
        <w:rPr>
          <w:color w:val="231F20"/>
        </w:rPr>
        <w:t>Додаткова література</w:t>
      </w:r>
    </w:p>
    <w:p w14:paraId="068EEE45" w14:textId="77777777" w:rsidR="00DE575E" w:rsidRDefault="00DE575E">
      <w:pPr>
        <w:pStyle w:val="BodyText"/>
        <w:spacing w:before="2"/>
        <w:rPr>
          <w:b/>
          <w:sz w:val="23"/>
        </w:rPr>
      </w:pPr>
    </w:p>
    <w:p w14:paraId="34578F74" w14:textId="77777777" w:rsidR="00DE575E" w:rsidRDefault="002E7560">
      <w:pPr>
        <w:pStyle w:val="ListParagraph"/>
        <w:numPr>
          <w:ilvl w:val="0"/>
          <w:numId w:val="249"/>
        </w:numPr>
        <w:tabs>
          <w:tab w:val="left" w:pos="1101"/>
        </w:tabs>
        <w:spacing w:before="0" w:line="252" w:lineRule="auto"/>
        <w:ind w:right="129" w:firstLine="284"/>
        <w:jc w:val="both"/>
        <w:rPr>
          <w:sz w:val="21"/>
        </w:rPr>
      </w:pPr>
      <w:r>
        <w:rPr>
          <w:color w:val="231F20"/>
          <w:sz w:val="21"/>
        </w:rPr>
        <w:t xml:space="preserve">Алексєєв </w:t>
      </w:r>
      <w:r>
        <w:rPr>
          <w:color w:val="231F20"/>
          <w:spacing w:val="-3"/>
          <w:sz w:val="21"/>
        </w:rPr>
        <w:t xml:space="preserve">В. </w:t>
      </w:r>
      <w:r>
        <w:rPr>
          <w:color w:val="231F20"/>
          <w:sz w:val="21"/>
        </w:rPr>
        <w:t xml:space="preserve">Структури публічного управління в </w:t>
      </w:r>
      <w:r>
        <w:rPr>
          <w:color w:val="231F20"/>
          <w:spacing w:val="-3"/>
          <w:sz w:val="21"/>
        </w:rPr>
        <w:t xml:space="preserve">Україні. </w:t>
      </w:r>
      <w:r>
        <w:rPr>
          <w:color w:val="231F20"/>
          <w:sz w:val="21"/>
        </w:rPr>
        <w:t xml:space="preserve">Чернівці: </w:t>
      </w:r>
      <w:r>
        <w:rPr>
          <w:color w:val="231F20"/>
          <w:spacing w:val="-4"/>
          <w:sz w:val="21"/>
        </w:rPr>
        <w:t xml:space="preserve">Технодрук, </w:t>
      </w:r>
      <w:r>
        <w:rPr>
          <w:color w:val="231F20"/>
          <w:sz w:val="21"/>
        </w:rPr>
        <w:t>2014. 76</w:t>
      </w:r>
      <w:r>
        <w:rPr>
          <w:color w:val="231F20"/>
          <w:spacing w:val="1"/>
          <w:sz w:val="21"/>
        </w:rPr>
        <w:t xml:space="preserve"> </w:t>
      </w:r>
      <w:r>
        <w:rPr>
          <w:color w:val="231F20"/>
          <w:sz w:val="21"/>
        </w:rPr>
        <w:t>с.</w:t>
      </w:r>
    </w:p>
    <w:p w14:paraId="1E272C6F" w14:textId="77777777" w:rsidR="00DE575E" w:rsidRDefault="002E7560">
      <w:pPr>
        <w:pStyle w:val="ListParagraph"/>
        <w:numPr>
          <w:ilvl w:val="0"/>
          <w:numId w:val="249"/>
        </w:numPr>
        <w:tabs>
          <w:tab w:val="left" w:pos="1101"/>
        </w:tabs>
        <w:spacing w:line="252" w:lineRule="auto"/>
        <w:ind w:right="128" w:firstLine="284"/>
        <w:jc w:val="both"/>
        <w:rPr>
          <w:sz w:val="21"/>
        </w:rPr>
      </w:pPr>
      <w:r>
        <w:rPr>
          <w:color w:val="231F20"/>
          <w:sz w:val="21"/>
        </w:rPr>
        <w:t>Бакуменко</w:t>
      </w:r>
      <w:r>
        <w:rPr>
          <w:color w:val="231F20"/>
          <w:spacing w:val="-15"/>
          <w:sz w:val="21"/>
        </w:rPr>
        <w:t xml:space="preserve"> </w:t>
      </w:r>
      <w:r>
        <w:rPr>
          <w:color w:val="231F20"/>
          <w:spacing w:val="-3"/>
          <w:sz w:val="21"/>
        </w:rPr>
        <w:t>В.</w:t>
      </w:r>
      <w:r>
        <w:rPr>
          <w:color w:val="231F20"/>
          <w:spacing w:val="-15"/>
          <w:sz w:val="21"/>
        </w:rPr>
        <w:t xml:space="preserve"> </w:t>
      </w:r>
      <w:r>
        <w:rPr>
          <w:color w:val="231F20"/>
          <w:sz w:val="21"/>
        </w:rPr>
        <w:t>та</w:t>
      </w:r>
      <w:r>
        <w:rPr>
          <w:color w:val="231F20"/>
          <w:spacing w:val="-15"/>
          <w:sz w:val="21"/>
        </w:rPr>
        <w:t xml:space="preserve"> </w:t>
      </w:r>
      <w:r>
        <w:rPr>
          <w:color w:val="231F20"/>
          <w:sz w:val="21"/>
        </w:rPr>
        <w:t>ін.</w:t>
      </w:r>
      <w:r>
        <w:rPr>
          <w:color w:val="231F20"/>
          <w:spacing w:val="-15"/>
          <w:sz w:val="21"/>
        </w:rPr>
        <w:t xml:space="preserve"> </w:t>
      </w:r>
      <w:r>
        <w:rPr>
          <w:color w:val="231F20"/>
          <w:sz w:val="21"/>
        </w:rPr>
        <w:t>Особливості</w:t>
      </w:r>
      <w:r>
        <w:rPr>
          <w:color w:val="231F20"/>
          <w:spacing w:val="-15"/>
          <w:sz w:val="21"/>
        </w:rPr>
        <w:t xml:space="preserve"> </w:t>
      </w:r>
      <w:r>
        <w:rPr>
          <w:color w:val="231F20"/>
          <w:sz w:val="21"/>
        </w:rPr>
        <w:t>публічного</w:t>
      </w:r>
      <w:r>
        <w:rPr>
          <w:color w:val="231F20"/>
          <w:spacing w:val="-15"/>
          <w:sz w:val="21"/>
        </w:rPr>
        <w:t xml:space="preserve"> </w:t>
      </w:r>
      <w:r>
        <w:rPr>
          <w:color w:val="231F20"/>
          <w:sz w:val="21"/>
        </w:rPr>
        <w:t>управління</w:t>
      </w:r>
      <w:r>
        <w:rPr>
          <w:color w:val="231F20"/>
          <w:spacing w:val="-15"/>
          <w:sz w:val="21"/>
        </w:rPr>
        <w:t xml:space="preserve"> </w:t>
      </w:r>
      <w:r>
        <w:rPr>
          <w:color w:val="231F20"/>
          <w:sz w:val="21"/>
        </w:rPr>
        <w:t>та</w:t>
      </w:r>
      <w:r>
        <w:rPr>
          <w:color w:val="231F20"/>
          <w:spacing w:val="-15"/>
          <w:sz w:val="21"/>
        </w:rPr>
        <w:t xml:space="preserve"> </w:t>
      </w:r>
      <w:r>
        <w:rPr>
          <w:color w:val="231F20"/>
          <w:sz w:val="21"/>
        </w:rPr>
        <w:t>адмі- ністрування: навч. посіб. Київ: Ліра–Київ, 2017. 256</w:t>
      </w:r>
      <w:r>
        <w:rPr>
          <w:color w:val="231F20"/>
          <w:spacing w:val="-2"/>
          <w:sz w:val="21"/>
        </w:rPr>
        <w:t xml:space="preserve"> </w:t>
      </w:r>
      <w:r>
        <w:rPr>
          <w:color w:val="231F20"/>
          <w:sz w:val="21"/>
        </w:rPr>
        <w:t>с.</w:t>
      </w:r>
    </w:p>
    <w:p w14:paraId="5FE06940" w14:textId="77777777" w:rsidR="00DE575E" w:rsidRDefault="002E7560">
      <w:pPr>
        <w:pStyle w:val="ListParagraph"/>
        <w:numPr>
          <w:ilvl w:val="0"/>
          <w:numId w:val="249"/>
        </w:numPr>
        <w:tabs>
          <w:tab w:val="left" w:pos="1101"/>
        </w:tabs>
        <w:spacing w:line="252" w:lineRule="auto"/>
        <w:ind w:right="127" w:firstLine="284"/>
        <w:jc w:val="both"/>
        <w:rPr>
          <w:sz w:val="21"/>
        </w:rPr>
      </w:pPr>
      <w:r>
        <w:rPr>
          <w:color w:val="231F20"/>
          <w:sz w:val="21"/>
        </w:rPr>
        <w:t>Береза А. Реформування публічної влади: сучасні концепції та політична практика : монографія. Київ: Логос, 2012. 360</w:t>
      </w:r>
      <w:r>
        <w:rPr>
          <w:color w:val="231F20"/>
          <w:spacing w:val="-5"/>
          <w:sz w:val="21"/>
        </w:rPr>
        <w:t xml:space="preserve"> </w:t>
      </w:r>
      <w:r>
        <w:rPr>
          <w:color w:val="231F20"/>
          <w:sz w:val="21"/>
        </w:rPr>
        <w:t>с.</w:t>
      </w:r>
    </w:p>
    <w:p w14:paraId="3F32AEAA" w14:textId="77777777" w:rsidR="00DE575E" w:rsidRDefault="002E7560">
      <w:pPr>
        <w:pStyle w:val="ListParagraph"/>
        <w:numPr>
          <w:ilvl w:val="0"/>
          <w:numId w:val="249"/>
        </w:numPr>
        <w:tabs>
          <w:tab w:val="left" w:pos="1101"/>
        </w:tabs>
        <w:spacing w:line="252" w:lineRule="auto"/>
        <w:ind w:right="128" w:firstLine="284"/>
        <w:jc w:val="both"/>
        <w:rPr>
          <w:sz w:val="21"/>
        </w:rPr>
      </w:pPr>
      <w:r>
        <w:rPr>
          <w:color w:val="231F20"/>
          <w:sz w:val="21"/>
        </w:rPr>
        <w:t>Бондар</w:t>
      </w:r>
      <w:r>
        <w:rPr>
          <w:color w:val="231F20"/>
          <w:spacing w:val="-16"/>
          <w:sz w:val="21"/>
        </w:rPr>
        <w:t xml:space="preserve"> </w:t>
      </w:r>
      <w:r>
        <w:rPr>
          <w:color w:val="231F20"/>
          <w:spacing w:val="-3"/>
          <w:sz w:val="21"/>
        </w:rPr>
        <w:t>О.</w:t>
      </w:r>
      <w:r>
        <w:rPr>
          <w:color w:val="231F20"/>
          <w:spacing w:val="-16"/>
          <w:sz w:val="21"/>
        </w:rPr>
        <w:t xml:space="preserve"> </w:t>
      </w:r>
      <w:r>
        <w:rPr>
          <w:color w:val="231F20"/>
          <w:sz w:val="21"/>
        </w:rPr>
        <w:t>та</w:t>
      </w:r>
      <w:r>
        <w:rPr>
          <w:color w:val="231F20"/>
          <w:spacing w:val="-16"/>
          <w:sz w:val="21"/>
        </w:rPr>
        <w:t xml:space="preserve"> </w:t>
      </w:r>
      <w:r>
        <w:rPr>
          <w:color w:val="231F20"/>
          <w:sz w:val="21"/>
        </w:rPr>
        <w:t>ін.</w:t>
      </w:r>
      <w:r>
        <w:rPr>
          <w:color w:val="231F20"/>
          <w:spacing w:val="-16"/>
          <w:sz w:val="21"/>
        </w:rPr>
        <w:t xml:space="preserve"> </w:t>
      </w:r>
      <w:r>
        <w:rPr>
          <w:color w:val="231F20"/>
          <w:sz w:val="21"/>
        </w:rPr>
        <w:t>Адміністративно-правове</w:t>
      </w:r>
      <w:r>
        <w:rPr>
          <w:color w:val="231F20"/>
          <w:spacing w:val="-16"/>
          <w:sz w:val="21"/>
        </w:rPr>
        <w:t xml:space="preserve"> </w:t>
      </w:r>
      <w:r>
        <w:rPr>
          <w:color w:val="231F20"/>
          <w:sz w:val="21"/>
        </w:rPr>
        <w:t>регулювання</w:t>
      </w:r>
      <w:r>
        <w:rPr>
          <w:color w:val="231F20"/>
          <w:spacing w:val="-16"/>
          <w:sz w:val="21"/>
        </w:rPr>
        <w:t xml:space="preserve"> </w:t>
      </w:r>
      <w:r>
        <w:rPr>
          <w:color w:val="231F20"/>
          <w:sz w:val="21"/>
        </w:rPr>
        <w:t xml:space="preserve">публіч- ного адміністрування в </w:t>
      </w:r>
      <w:r>
        <w:rPr>
          <w:color w:val="231F20"/>
          <w:spacing w:val="-3"/>
          <w:sz w:val="21"/>
        </w:rPr>
        <w:t xml:space="preserve">Україні: </w:t>
      </w:r>
      <w:r>
        <w:rPr>
          <w:color w:val="231F20"/>
          <w:sz w:val="21"/>
        </w:rPr>
        <w:t xml:space="preserve">навч. посіб. Запоріжжя: </w:t>
      </w:r>
      <w:r>
        <w:rPr>
          <w:color w:val="231F20"/>
          <w:spacing w:val="-9"/>
          <w:sz w:val="21"/>
        </w:rPr>
        <w:t xml:space="preserve">ЗНУ, </w:t>
      </w:r>
      <w:r>
        <w:rPr>
          <w:color w:val="231F20"/>
          <w:sz w:val="21"/>
        </w:rPr>
        <w:t>2014. 204 с.</w:t>
      </w:r>
    </w:p>
    <w:p w14:paraId="1663979C" w14:textId="77777777" w:rsidR="00DE575E" w:rsidRDefault="002E7560">
      <w:pPr>
        <w:pStyle w:val="ListParagraph"/>
        <w:numPr>
          <w:ilvl w:val="0"/>
          <w:numId w:val="249"/>
        </w:numPr>
        <w:tabs>
          <w:tab w:val="left" w:pos="1101"/>
        </w:tabs>
        <w:spacing w:line="252" w:lineRule="auto"/>
        <w:ind w:right="128" w:firstLine="284"/>
        <w:jc w:val="both"/>
        <w:rPr>
          <w:sz w:val="21"/>
        </w:rPr>
      </w:pPr>
      <w:r>
        <w:rPr>
          <w:color w:val="231F20"/>
          <w:sz w:val="21"/>
        </w:rPr>
        <w:t xml:space="preserve">Галунько </w:t>
      </w:r>
      <w:r>
        <w:rPr>
          <w:color w:val="231F20"/>
          <w:spacing w:val="-3"/>
          <w:sz w:val="21"/>
        </w:rPr>
        <w:t xml:space="preserve">В., </w:t>
      </w:r>
      <w:r>
        <w:rPr>
          <w:color w:val="231F20"/>
          <w:sz w:val="21"/>
        </w:rPr>
        <w:t xml:space="preserve">Курило </w:t>
      </w:r>
      <w:r>
        <w:rPr>
          <w:color w:val="231F20"/>
          <w:spacing w:val="-3"/>
          <w:sz w:val="21"/>
        </w:rPr>
        <w:t xml:space="preserve">В., </w:t>
      </w:r>
      <w:r>
        <w:rPr>
          <w:color w:val="231F20"/>
          <w:sz w:val="21"/>
        </w:rPr>
        <w:t xml:space="preserve">Короєд С. та ін. Адміністративне право </w:t>
      </w:r>
      <w:r>
        <w:rPr>
          <w:color w:val="231F20"/>
          <w:spacing w:val="-3"/>
          <w:sz w:val="21"/>
        </w:rPr>
        <w:t xml:space="preserve">України. </w:t>
      </w:r>
      <w:r>
        <w:rPr>
          <w:color w:val="231F20"/>
          <w:spacing w:val="-7"/>
          <w:sz w:val="21"/>
        </w:rPr>
        <w:t>Т.1.</w:t>
      </w:r>
      <w:r>
        <w:rPr>
          <w:color w:val="231F20"/>
          <w:spacing w:val="31"/>
          <w:sz w:val="21"/>
        </w:rPr>
        <w:t xml:space="preserve"> </w:t>
      </w:r>
      <w:r>
        <w:rPr>
          <w:color w:val="231F20"/>
          <w:sz w:val="21"/>
        </w:rPr>
        <w:t>Загальне адміністративне право. Херсон: Грінь Д.С., 2015. 272с.</w:t>
      </w:r>
    </w:p>
    <w:p w14:paraId="05BC0C13" w14:textId="77777777" w:rsidR="00DE575E" w:rsidRDefault="002E7560">
      <w:pPr>
        <w:pStyle w:val="ListParagraph"/>
        <w:numPr>
          <w:ilvl w:val="0"/>
          <w:numId w:val="249"/>
        </w:numPr>
        <w:tabs>
          <w:tab w:val="left" w:pos="1101"/>
        </w:tabs>
        <w:spacing w:before="2" w:line="252" w:lineRule="auto"/>
        <w:ind w:right="126" w:firstLine="284"/>
        <w:jc w:val="both"/>
        <w:rPr>
          <w:sz w:val="21"/>
        </w:rPr>
      </w:pPr>
      <w:r>
        <w:rPr>
          <w:color w:val="231F20"/>
          <w:sz w:val="21"/>
        </w:rPr>
        <w:t xml:space="preserve">Георгієвський </w:t>
      </w:r>
      <w:r>
        <w:rPr>
          <w:color w:val="231F20"/>
          <w:spacing w:val="-3"/>
          <w:sz w:val="21"/>
        </w:rPr>
        <w:t xml:space="preserve">Ю. </w:t>
      </w:r>
      <w:r>
        <w:rPr>
          <w:color w:val="231F20"/>
          <w:sz w:val="21"/>
        </w:rPr>
        <w:t>Компетенція орга</w:t>
      </w:r>
      <w:r>
        <w:rPr>
          <w:color w:val="231F20"/>
          <w:sz w:val="21"/>
        </w:rPr>
        <w:t>нів публічної влади:</w:t>
      </w:r>
      <w:r>
        <w:rPr>
          <w:color w:val="231F20"/>
          <w:spacing w:val="-29"/>
          <w:sz w:val="21"/>
        </w:rPr>
        <w:t xml:space="preserve"> </w:t>
      </w:r>
      <w:r>
        <w:rPr>
          <w:color w:val="231F20"/>
          <w:sz w:val="21"/>
        </w:rPr>
        <w:t xml:space="preserve">теорія і практика застосування. Київ: Ін-т законодавства Верхов. Ради </w:t>
      </w:r>
      <w:r>
        <w:rPr>
          <w:color w:val="231F20"/>
          <w:spacing w:val="-3"/>
          <w:sz w:val="21"/>
        </w:rPr>
        <w:t xml:space="preserve">України, </w:t>
      </w:r>
      <w:r>
        <w:rPr>
          <w:color w:val="231F20"/>
          <w:sz w:val="21"/>
        </w:rPr>
        <w:t>2016. № 48.</w:t>
      </w:r>
      <w:r>
        <w:rPr>
          <w:color w:val="231F20"/>
          <w:spacing w:val="-3"/>
          <w:sz w:val="21"/>
        </w:rPr>
        <w:t xml:space="preserve"> </w:t>
      </w:r>
      <w:r>
        <w:rPr>
          <w:color w:val="231F20"/>
          <w:sz w:val="21"/>
        </w:rPr>
        <w:t>С.107.</w:t>
      </w:r>
    </w:p>
    <w:p w14:paraId="1A27E48F" w14:textId="77777777" w:rsidR="00DE575E" w:rsidRDefault="002E7560">
      <w:pPr>
        <w:pStyle w:val="ListParagraph"/>
        <w:numPr>
          <w:ilvl w:val="0"/>
          <w:numId w:val="249"/>
        </w:numPr>
        <w:tabs>
          <w:tab w:val="left" w:pos="1101"/>
          <w:tab w:val="left" w:pos="2820"/>
          <w:tab w:val="left" w:pos="4732"/>
          <w:tab w:val="left" w:pos="6132"/>
        </w:tabs>
        <w:spacing w:line="252" w:lineRule="auto"/>
        <w:ind w:right="122" w:firstLine="284"/>
        <w:jc w:val="both"/>
        <w:rPr>
          <w:sz w:val="21"/>
        </w:rPr>
      </w:pPr>
      <w:r>
        <w:rPr>
          <w:color w:val="231F20"/>
          <w:sz w:val="21"/>
        </w:rPr>
        <w:t>Мацелик</w:t>
      </w:r>
      <w:r>
        <w:rPr>
          <w:color w:val="231F20"/>
          <w:spacing w:val="-7"/>
          <w:sz w:val="21"/>
        </w:rPr>
        <w:t xml:space="preserve"> </w:t>
      </w:r>
      <w:r>
        <w:rPr>
          <w:color w:val="231F20"/>
          <w:spacing w:val="-12"/>
          <w:sz w:val="21"/>
        </w:rPr>
        <w:t>Т.</w:t>
      </w:r>
      <w:r>
        <w:rPr>
          <w:color w:val="231F20"/>
          <w:spacing w:val="-12"/>
          <w:sz w:val="21"/>
        </w:rPr>
        <w:tab/>
      </w:r>
      <w:r>
        <w:rPr>
          <w:color w:val="231F20"/>
          <w:sz w:val="21"/>
        </w:rPr>
        <w:t>Компетенція</w:t>
      </w:r>
      <w:r>
        <w:rPr>
          <w:color w:val="231F20"/>
          <w:sz w:val="21"/>
        </w:rPr>
        <w:tab/>
        <w:t>органів</w:t>
      </w:r>
      <w:r>
        <w:rPr>
          <w:color w:val="231F20"/>
          <w:sz w:val="21"/>
        </w:rPr>
        <w:tab/>
        <w:t>публічної адміністрації: поняття та структурні елементи. URL:</w:t>
      </w:r>
      <w:hyperlink r:id="rId31">
        <w:r>
          <w:rPr>
            <w:color w:val="231F20"/>
            <w:sz w:val="21"/>
          </w:rPr>
          <w:t xml:space="preserve"> </w:t>
        </w:r>
        <w:r>
          <w:rPr>
            <w:color w:val="231F20"/>
            <w:spacing w:val="5"/>
            <w:sz w:val="21"/>
          </w:rPr>
          <w:t>http://www.law.journalsofznu.zp.ua/visnik-2-2010/1667-matselik-</w:t>
        </w:r>
      </w:hyperlink>
      <w:r>
        <w:rPr>
          <w:color w:val="231F20"/>
          <w:spacing w:val="5"/>
          <w:sz w:val="21"/>
        </w:rPr>
        <w:t xml:space="preserve"> </w:t>
      </w:r>
      <w:r>
        <w:rPr>
          <w:color w:val="231F20"/>
          <w:spacing w:val="3"/>
          <w:sz w:val="21"/>
        </w:rPr>
        <w:t xml:space="preserve">t-o-kompetentsiya-organiv-publichnoji-administratsiji-ponyattya-ta- </w:t>
      </w:r>
      <w:r>
        <w:rPr>
          <w:color w:val="231F20"/>
          <w:sz w:val="21"/>
        </w:rPr>
        <w:t>strukturni-elementi</w:t>
      </w:r>
    </w:p>
    <w:p w14:paraId="07780982" w14:textId="77777777" w:rsidR="00DE575E" w:rsidRDefault="00DE575E">
      <w:pPr>
        <w:pStyle w:val="BodyText"/>
        <w:spacing w:before="7"/>
        <w:rPr>
          <w:sz w:val="12"/>
        </w:rPr>
      </w:pPr>
    </w:p>
    <w:p w14:paraId="2311859D" w14:textId="77777777" w:rsidR="00DE575E" w:rsidRDefault="002E7560">
      <w:pPr>
        <w:spacing w:before="92"/>
        <w:ind w:left="533"/>
        <w:rPr>
          <w:rFonts w:ascii="Times New Roman"/>
          <w:sz w:val="20"/>
        </w:rPr>
      </w:pPr>
      <w:r>
        <w:rPr>
          <w:rFonts w:ascii="Times New Roman"/>
          <w:color w:val="231F20"/>
          <w:sz w:val="20"/>
        </w:rPr>
        <w:t>128</w:t>
      </w:r>
    </w:p>
    <w:p w14:paraId="723F9327" w14:textId="77777777" w:rsidR="00DE575E" w:rsidRDefault="00DE575E">
      <w:pPr>
        <w:rPr>
          <w:rFonts w:ascii="Times New Roman"/>
          <w:sz w:val="20"/>
        </w:rPr>
        <w:sectPr w:rsidR="00DE575E">
          <w:pgSz w:w="8510" w:h="12760"/>
          <w:pgMar w:top="660" w:right="720" w:bottom="280" w:left="600" w:header="720" w:footer="720" w:gutter="0"/>
          <w:cols w:space="720"/>
        </w:sectPr>
      </w:pPr>
    </w:p>
    <w:p w14:paraId="0BFD2513" w14:textId="77777777" w:rsidR="00DE575E" w:rsidRDefault="002E7560">
      <w:pPr>
        <w:spacing w:before="72" w:line="249" w:lineRule="auto"/>
        <w:ind w:left="2984" w:firstLine="48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4. Суб’єкти публічного адміністрування</w:t>
      </w:r>
    </w:p>
    <w:p w14:paraId="0983FE95" w14:textId="4489107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161BFFC" wp14:editId="3B79A3AE">
                <wp:extent cx="4140200" cy="6350"/>
                <wp:effectExtent l="0" t="0" r="12700" b="6350"/>
                <wp:docPr id="1086"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87" name="Line 108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1E0015" id="Group_x0020_108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VeI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BkdV4gAIAAJwFAAAO&#10;AAAAAAAAAAAAAAAAACwCAABkcnMvZTJvRG9jLnhtbFBLAQItABQABgAIAAAAIQBMp7CQ2QAAAAMB&#10;AAAPAAAAAAAAAAAAAAAAANgEAABkcnMvZG93bnJldi54bWxQSwUGAAAAAAQABADzAAAA3gUAAAAA&#10;">
                <v:line id="Line_x0020_108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zVqcQAAADdAAAADwAAAGRycy9kb3ducmV2LnhtbERPzWrCQBC+F3yHZYReim6qUCW6iggF&#10;6UGr8QHG7JgEd2djdjXRp+8WCr3Nx/c782VnjbhT4yvHCt6HCQji3OmKCwXH7HMwBeEDskbjmBQ8&#10;yMNy0XuZY6pdy3u6H0IhYgj7FBWUIdSplD4vyaIfupo4cmfXWAwRNoXUDbYx3Bo5SpIPabHi2FBi&#10;TeuS8svhZhVk17dgvndfps12p7E8Xbfj522r1Gu/W81ABOrCv/jPvdFxfjKdwO838QS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vNWpxAAAAN0AAAAPAAAAAAAAAAAA&#10;AAAAAKECAABkcnMvZG93bnJldi54bWxQSwUGAAAAAAQABAD5AAAAkgMAAAAA&#10;" strokecolor="#231f20" strokeweight=".5pt"/>
                <w10:anchorlock/>
              </v:group>
            </w:pict>
          </mc:Fallback>
        </mc:AlternateContent>
      </w:r>
    </w:p>
    <w:p w14:paraId="27CA41D8" w14:textId="77777777" w:rsidR="00DE575E" w:rsidRDefault="00DE575E">
      <w:pPr>
        <w:pStyle w:val="BodyText"/>
        <w:spacing w:before="7"/>
        <w:rPr>
          <w:rFonts w:ascii="AdonisC"/>
          <w:i/>
          <w:sz w:val="19"/>
        </w:rPr>
      </w:pPr>
    </w:p>
    <w:p w14:paraId="154CB94A" w14:textId="77777777" w:rsidR="00DE575E" w:rsidRDefault="002E7560">
      <w:pPr>
        <w:pStyle w:val="ListParagraph"/>
        <w:numPr>
          <w:ilvl w:val="0"/>
          <w:numId w:val="248"/>
        </w:numPr>
        <w:tabs>
          <w:tab w:val="left" w:pos="818"/>
        </w:tabs>
        <w:spacing w:line="252" w:lineRule="auto"/>
        <w:ind w:right="411" w:firstLine="283"/>
        <w:jc w:val="both"/>
        <w:rPr>
          <w:sz w:val="21"/>
        </w:rPr>
      </w:pPr>
      <w:r>
        <w:rPr>
          <w:color w:val="231F20"/>
          <w:sz w:val="21"/>
        </w:rPr>
        <w:t>Мельник</w:t>
      </w:r>
      <w:r>
        <w:rPr>
          <w:color w:val="231F20"/>
          <w:spacing w:val="-15"/>
          <w:sz w:val="21"/>
        </w:rPr>
        <w:t xml:space="preserve"> </w:t>
      </w:r>
      <w:r>
        <w:rPr>
          <w:color w:val="231F20"/>
          <w:spacing w:val="-14"/>
          <w:sz w:val="21"/>
        </w:rPr>
        <w:t>Р.</w:t>
      </w:r>
      <w:r>
        <w:rPr>
          <w:color w:val="231F20"/>
          <w:spacing w:val="-15"/>
          <w:sz w:val="21"/>
        </w:rPr>
        <w:t xml:space="preserve"> </w:t>
      </w:r>
      <w:r>
        <w:rPr>
          <w:color w:val="231F20"/>
          <w:sz w:val="21"/>
        </w:rPr>
        <w:t>Загальне</w:t>
      </w:r>
      <w:r>
        <w:rPr>
          <w:color w:val="231F20"/>
          <w:spacing w:val="-15"/>
          <w:sz w:val="21"/>
        </w:rPr>
        <w:t xml:space="preserve"> </w:t>
      </w:r>
      <w:r>
        <w:rPr>
          <w:color w:val="231F20"/>
          <w:sz w:val="21"/>
        </w:rPr>
        <w:t>адміністративне</w:t>
      </w:r>
      <w:r>
        <w:rPr>
          <w:color w:val="231F20"/>
          <w:spacing w:val="-15"/>
          <w:sz w:val="21"/>
        </w:rPr>
        <w:t xml:space="preserve"> </w:t>
      </w:r>
      <w:r>
        <w:rPr>
          <w:color w:val="231F20"/>
          <w:sz w:val="21"/>
        </w:rPr>
        <w:t>право</w:t>
      </w:r>
      <w:r>
        <w:rPr>
          <w:color w:val="231F20"/>
          <w:spacing w:val="-15"/>
          <w:sz w:val="21"/>
        </w:rPr>
        <w:t xml:space="preserve"> </w:t>
      </w:r>
      <w:r>
        <w:rPr>
          <w:color w:val="231F20"/>
          <w:sz w:val="21"/>
        </w:rPr>
        <w:t>в</w:t>
      </w:r>
      <w:r>
        <w:rPr>
          <w:color w:val="231F20"/>
          <w:spacing w:val="-12"/>
          <w:sz w:val="21"/>
        </w:rPr>
        <w:t xml:space="preserve"> </w:t>
      </w:r>
      <w:r>
        <w:rPr>
          <w:color w:val="231F20"/>
          <w:sz w:val="21"/>
        </w:rPr>
        <w:t>питаннях</w:t>
      </w:r>
      <w:r>
        <w:rPr>
          <w:color w:val="231F20"/>
          <w:spacing w:val="-15"/>
          <w:sz w:val="21"/>
        </w:rPr>
        <w:t xml:space="preserve"> </w:t>
      </w:r>
      <w:r>
        <w:rPr>
          <w:color w:val="231F20"/>
          <w:sz w:val="21"/>
        </w:rPr>
        <w:t>і</w:t>
      </w:r>
      <w:r>
        <w:rPr>
          <w:color w:val="231F20"/>
          <w:spacing w:val="-15"/>
          <w:sz w:val="21"/>
        </w:rPr>
        <w:t xml:space="preserve"> </w:t>
      </w:r>
      <w:r>
        <w:rPr>
          <w:color w:val="231F20"/>
          <w:sz w:val="21"/>
        </w:rPr>
        <w:t>відпо- відях : навчальний посібник. Київ: Юрінком Інтер, 2018. 308</w:t>
      </w:r>
      <w:r>
        <w:rPr>
          <w:color w:val="231F20"/>
          <w:spacing w:val="-2"/>
          <w:sz w:val="21"/>
        </w:rPr>
        <w:t xml:space="preserve"> </w:t>
      </w:r>
      <w:r>
        <w:rPr>
          <w:color w:val="231F20"/>
          <w:sz w:val="21"/>
        </w:rPr>
        <w:t>с.</w:t>
      </w:r>
    </w:p>
    <w:p w14:paraId="3B6CF9BD" w14:textId="77777777" w:rsidR="00DE575E" w:rsidRDefault="002E7560">
      <w:pPr>
        <w:pStyle w:val="ListParagraph"/>
        <w:numPr>
          <w:ilvl w:val="0"/>
          <w:numId w:val="248"/>
        </w:numPr>
        <w:tabs>
          <w:tab w:val="left" w:pos="818"/>
        </w:tabs>
        <w:spacing w:line="252" w:lineRule="auto"/>
        <w:ind w:right="411" w:firstLine="283"/>
        <w:jc w:val="both"/>
        <w:rPr>
          <w:sz w:val="21"/>
        </w:rPr>
      </w:pPr>
      <w:r>
        <w:rPr>
          <w:color w:val="231F20"/>
          <w:sz w:val="21"/>
        </w:rPr>
        <w:t>Мосьондз С. Орієнт</w:t>
      </w:r>
      <w:r>
        <w:rPr>
          <w:color w:val="231F20"/>
          <w:sz w:val="21"/>
        </w:rPr>
        <w:t xml:space="preserve">ири ефективного публічного адміністру- вання науки в </w:t>
      </w:r>
      <w:r>
        <w:rPr>
          <w:color w:val="231F20"/>
          <w:spacing w:val="-3"/>
          <w:sz w:val="21"/>
        </w:rPr>
        <w:t xml:space="preserve">Україні. </w:t>
      </w:r>
      <w:r>
        <w:rPr>
          <w:i/>
          <w:color w:val="231F20"/>
          <w:sz w:val="21"/>
        </w:rPr>
        <w:t>Держава і право. Юридичні і політичні науки</w:t>
      </w:r>
      <w:r>
        <w:rPr>
          <w:color w:val="231F20"/>
          <w:sz w:val="21"/>
        </w:rPr>
        <w:t>. Київ, 2013. Вип. 62. С.</w:t>
      </w:r>
      <w:r>
        <w:rPr>
          <w:color w:val="231F20"/>
          <w:spacing w:val="-2"/>
          <w:sz w:val="21"/>
        </w:rPr>
        <w:t xml:space="preserve"> </w:t>
      </w:r>
      <w:r>
        <w:rPr>
          <w:color w:val="231F20"/>
          <w:sz w:val="21"/>
        </w:rPr>
        <w:t>172-177.</w:t>
      </w:r>
    </w:p>
    <w:p w14:paraId="5EB5A7CB" w14:textId="77777777" w:rsidR="00DE575E" w:rsidRDefault="002E7560">
      <w:pPr>
        <w:pStyle w:val="BodyText"/>
        <w:spacing w:before="1" w:line="252" w:lineRule="auto"/>
        <w:ind w:left="250" w:right="411" w:firstLine="283"/>
        <w:jc w:val="both"/>
      </w:pPr>
      <w:r>
        <w:rPr>
          <w:color w:val="231F20"/>
        </w:rPr>
        <w:t>10.Публічне</w:t>
      </w:r>
      <w:r>
        <w:rPr>
          <w:color w:val="231F20"/>
          <w:spacing w:val="-12"/>
        </w:rPr>
        <w:t xml:space="preserve"> </w:t>
      </w:r>
      <w:r>
        <w:rPr>
          <w:color w:val="231F20"/>
        </w:rPr>
        <w:t>адміністрування</w:t>
      </w:r>
      <w:r>
        <w:rPr>
          <w:color w:val="231F20"/>
          <w:spacing w:val="-11"/>
        </w:rPr>
        <w:t xml:space="preserve"> </w:t>
      </w:r>
      <w:r>
        <w:rPr>
          <w:color w:val="231F20"/>
        </w:rPr>
        <w:t>в</w:t>
      </w:r>
      <w:r>
        <w:rPr>
          <w:color w:val="231F20"/>
          <w:spacing w:val="-10"/>
        </w:rPr>
        <w:t xml:space="preserve"> </w:t>
      </w:r>
      <w:r>
        <w:rPr>
          <w:color w:val="231F20"/>
        </w:rPr>
        <w:t>умовах</w:t>
      </w:r>
      <w:r>
        <w:rPr>
          <w:color w:val="231F20"/>
          <w:spacing w:val="-11"/>
        </w:rPr>
        <w:t xml:space="preserve"> </w:t>
      </w:r>
      <w:r>
        <w:rPr>
          <w:color w:val="231F20"/>
        </w:rPr>
        <w:t>змін</w:t>
      </w:r>
      <w:r>
        <w:rPr>
          <w:color w:val="231F20"/>
          <w:spacing w:val="-11"/>
        </w:rPr>
        <w:t xml:space="preserve"> </w:t>
      </w:r>
      <w:r>
        <w:rPr>
          <w:color w:val="231F20"/>
        </w:rPr>
        <w:t>та</w:t>
      </w:r>
      <w:r>
        <w:rPr>
          <w:color w:val="231F20"/>
          <w:spacing w:val="-11"/>
        </w:rPr>
        <w:t xml:space="preserve"> </w:t>
      </w:r>
      <w:r>
        <w:rPr>
          <w:color w:val="231F20"/>
        </w:rPr>
        <w:t>перетворень:</w:t>
      </w:r>
      <w:r>
        <w:rPr>
          <w:color w:val="231F20"/>
          <w:spacing w:val="-11"/>
        </w:rPr>
        <w:t xml:space="preserve"> </w:t>
      </w:r>
      <w:r>
        <w:rPr>
          <w:color w:val="231F20"/>
        </w:rPr>
        <w:t>проб- леми організації та правового забезпечення: зб. наук. пр. за мате- ріалами Міжнар. наук.–практ. конф. (18-19 трав. 2017 р.). Харків: МАДРИД, 2017. 403 с.</w:t>
      </w:r>
    </w:p>
    <w:p w14:paraId="79F2F24E" w14:textId="77777777" w:rsidR="00DE575E" w:rsidRDefault="002E7560">
      <w:pPr>
        <w:pStyle w:val="BodyText"/>
        <w:spacing w:before="2" w:line="252" w:lineRule="auto"/>
        <w:ind w:left="250" w:right="411" w:firstLine="283"/>
        <w:jc w:val="both"/>
      </w:pPr>
      <w:r>
        <w:rPr>
          <w:color w:val="231F20"/>
        </w:rPr>
        <w:t xml:space="preserve">11.Савчина М. Упровадження  децентралізації  публічної  влади  в </w:t>
      </w:r>
      <w:r>
        <w:rPr>
          <w:color w:val="231F20"/>
          <w:spacing w:val="-3"/>
        </w:rPr>
        <w:t xml:space="preserve">Україні: </w:t>
      </w:r>
      <w:r>
        <w:rPr>
          <w:color w:val="231F20"/>
        </w:rPr>
        <w:t>національний і міжнаро</w:t>
      </w:r>
      <w:r>
        <w:rPr>
          <w:color w:val="231F20"/>
        </w:rPr>
        <w:t xml:space="preserve">дний аспекти: монографія. Ужго- род: </w:t>
      </w:r>
      <w:r>
        <w:rPr>
          <w:color w:val="231F20"/>
          <w:spacing w:val="-3"/>
        </w:rPr>
        <w:t xml:space="preserve">TIMPANI, </w:t>
      </w:r>
      <w:r>
        <w:rPr>
          <w:color w:val="231F20"/>
        </w:rPr>
        <w:t>2015. 216 с.</w:t>
      </w:r>
    </w:p>
    <w:p w14:paraId="78469930" w14:textId="77777777" w:rsidR="00DE575E" w:rsidRDefault="002E7560">
      <w:pPr>
        <w:pStyle w:val="BodyText"/>
        <w:spacing w:before="2" w:line="252" w:lineRule="auto"/>
        <w:ind w:left="250" w:right="411" w:firstLine="283"/>
        <w:jc w:val="both"/>
      </w:pPr>
      <w:r>
        <w:rPr>
          <w:color w:val="231F20"/>
        </w:rPr>
        <w:t>12.Тихомиров</w:t>
      </w:r>
      <w:r>
        <w:rPr>
          <w:color w:val="231F20"/>
          <w:spacing w:val="-11"/>
        </w:rPr>
        <w:t xml:space="preserve"> </w:t>
      </w:r>
      <w:r>
        <w:rPr>
          <w:color w:val="231F20"/>
        </w:rPr>
        <w:t>Ю.А.</w:t>
      </w:r>
      <w:r>
        <w:rPr>
          <w:color w:val="231F20"/>
          <w:spacing w:val="-11"/>
        </w:rPr>
        <w:t xml:space="preserve"> </w:t>
      </w:r>
      <w:r>
        <w:rPr>
          <w:color w:val="231F20"/>
          <w:spacing w:val="-3"/>
        </w:rPr>
        <w:t>Теория</w:t>
      </w:r>
      <w:r>
        <w:rPr>
          <w:color w:val="231F20"/>
          <w:spacing w:val="-11"/>
        </w:rPr>
        <w:t xml:space="preserve"> </w:t>
      </w:r>
      <w:r>
        <w:rPr>
          <w:color w:val="231F20"/>
        </w:rPr>
        <w:t>компетенции.</w:t>
      </w:r>
      <w:r>
        <w:rPr>
          <w:color w:val="231F20"/>
          <w:spacing w:val="-11"/>
        </w:rPr>
        <w:t xml:space="preserve"> </w:t>
      </w:r>
      <w:r>
        <w:rPr>
          <w:color w:val="231F20"/>
        </w:rPr>
        <w:t>Москва:</w:t>
      </w:r>
      <w:r>
        <w:rPr>
          <w:color w:val="231F20"/>
          <w:spacing w:val="-12"/>
        </w:rPr>
        <w:t xml:space="preserve"> </w:t>
      </w:r>
      <w:r>
        <w:rPr>
          <w:color w:val="231F20"/>
        </w:rPr>
        <w:t>2001.</w:t>
      </w:r>
      <w:r>
        <w:rPr>
          <w:color w:val="231F20"/>
          <w:spacing w:val="-11"/>
        </w:rPr>
        <w:t xml:space="preserve"> </w:t>
      </w:r>
      <w:r>
        <w:rPr>
          <w:color w:val="231F20"/>
        </w:rPr>
        <w:t>355</w:t>
      </w:r>
      <w:r>
        <w:rPr>
          <w:color w:val="231F20"/>
          <w:spacing w:val="-11"/>
        </w:rPr>
        <w:t xml:space="preserve"> </w:t>
      </w:r>
      <w:r>
        <w:rPr>
          <w:color w:val="231F20"/>
        </w:rPr>
        <w:t>с.</w:t>
      </w:r>
      <w:r>
        <w:rPr>
          <w:color w:val="231F20"/>
          <w:spacing w:val="-12"/>
        </w:rPr>
        <w:t xml:space="preserve"> </w:t>
      </w:r>
      <w:r>
        <w:rPr>
          <w:color w:val="231F20"/>
        </w:rPr>
        <w:t xml:space="preserve">URL: </w:t>
      </w:r>
      <w:hyperlink r:id="rId32">
        <w:r>
          <w:rPr>
            <w:color w:val="231F20"/>
          </w:rPr>
          <w:t>https://www</w:t>
        </w:r>
      </w:hyperlink>
      <w:r>
        <w:rPr>
          <w:color w:val="231F20"/>
        </w:rPr>
        <w:t>.twirp</w:t>
      </w:r>
      <w:hyperlink r:id="rId33">
        <w:r>
          <w:rPr>
            <w:color w:val="231F20"/>
          </w:rPr>
          <w:t>x.com/fi</w:t>
        </w:r>
        <w:r>
          <w:rPr>
            <w:color w:val="231F20"/>
          </w:rPr>
          <w:t>le/1606545.</w:t>
        </w:r>
      </w:hyperlink>
    </w:p>
    <w:p w14:paraId="476FB435" w14:textId="77777777" w:rsidR="00DE575E" w:rsidRDefault="00DE575E">
      <w:pPr>
        <w:pStyle w:val="BodyText"/>
        <w:rPr>
          <w:sz w:val="20"/>
        </w:rPr>
      </w:pPr>
    </w:p>
    <w:p w14:paraId="23613324" w14:textId="77777777" w:rsidR="00DE575E" w:rsidRDefault="00DE575E">
      <w:pPr>
        <w:pStyle w:val="BodyText"/>
        <w:rPr>
          <w:sz w:val="20"/>
        </w:rPr>
      </w:pPr>
    </w:p>
    <w:p w14:paraId="62F3B668" w14:textId="77777777" w:rsidR="00DE575E" w:rsidRDefault="00DE575E">
      <w:pPr>
        <w:pStyle w:val="BodyText"/>
        <w:rPr>
          <w:sz w:val="20"/>
        </w:rPr>
      </w:pPr>
    </w:p>
    <w:p w14:paraId="3AA994D0" w14:textId="77777777" w:rsidR="00DE575E" w:rsidRDefault="00DE575E">
      <w:pPr>
        <w:pStyle w:val="BodyText"/>
        <w:rPr>
          <w:sz w:val="20"/>
        </w:rPr>
      </w:pPr>
    </w:p>
    <w:p w14:paraId="16BED205" w14:textId="77777777" w:rsidR="00DE575E" w:rsidRDefault="00DE575E">
      <w:pPr>
        <w:pStyle w:val="BodyText"/>
        <w:rPr>
          <w:sz w:val="20"/>
        </w:rPr>
      </w:pPr>
    </w:p>
    <w:p w14:paraId="318BD738" w14:textId="77777777" w:rsidR="00DE575E" w:rsidRDefault="00DE575E">
      <w:pPr>
        <w:pStyle w:val="BodyText"/>
        <w:rPr>
          <w:sz w:val="20"/>
        </w:rPr>
      </w:pPr>
    </w:p>
    <w:p w14:paraId="5CCC4B2B" w14:textId="77777777" w:rsidR="00DE575E" w:rsidRDefault="00DE575E">
      <w:pPr>
        <w:pStyle w:val="BodyText"/>
        <w:rPr>
          <w:sz w:val="20"/>
        </w:rPr>
      </w:pPr>
    </w:p>
    <w:p w14:paraId="246CA9EF" w14:textId="77777777" w:rsidR="00DE575E" w:rsidRDefault="00DE575E">
      <w:pPr>
        <w:pStyle w:val="BodyText"/>
        <w:rPr>
          <w:sz w:val="20"/>
        </w:rPr>
      </w:pPr>
    </w:p>
    <w:p w14:paraId="77BFEC38" w14:textId="77777777" w:rsidR="00DE575E" w:rsidRDefault="00DE575E">
      <w:pPr>
        <w:pStyle w:val="BodyText"/>
        <w:rPr>
          <w:sz w:val="20"/>
        </w:rPr>
      </w:pPr>
    </w:p>
    <w:p w14:paraId="18D61B9A" w14:textId="77777777" w:rsidR="00DE575E" w:rsidRDefault="00DE575E">
      <w:pPr>
        <w:pStyle w:val="BodyText"/>
        <w:rPr>
          <w:sz w:val="20"/>
        </w:rPr>
      </w:pPr>
    </w:p>
    <w:p w14:paraId="68EDB524" w14:textId="77777777" w:rsidR="00DE575E" w:rsidRDefault="00DE575E">
      <w:pPr>
        <w:pStyle w:val="BodyText"/>
        <w:rPr>
          <w:sz w:val="20"/>
        </w:rPr>
      </w:pPr>
    </w:p>
    <w:p w14:paraId="024B09E3" w14:textId="77777777" w:rsidR="00DE575E" w:rsidRDefault="00DE575E">
      <w:pPr>
        <w:pStyle w:val="BodyText"/>
        <w:rPr>
          <w:sz w:val="20"/>
        </w:rPr>
      </w:pPr>
    </w:p>
    <w:p w14:paraId="13C6FAD8" w14:textId="77777777" w:rsidR="00DE575E" w:rsidRDefault="00DE575E">
      <w:pPr>
        <w:pStyle w:val="BodyText"/>
        <w:rPr>
          <w:sz w:val="20"/>
        </w:rPr>
      </w:pPr>
    </w:p>
    <w:p w14:paraId="5391FED8" w14:textId="77777777" w:rsidR="00DE575E" w:rsidRDefault="00DE575E">
      <w:pPr>
        <w:pStyle w:val="BodyText"/>
        <w:rPr>
          <w:sz w:val="20"/>
        </w:rPr>
      </w:pPr>
    </w:p>
    <w:p w14:paraId="22EA952A" w14:textId="77777777" w:rsidR="00DE575E" w:rsidRDefault="00DE575E">
      <w:pPr>
        <w:pStyle w:val="BodyText"/>
        <w:rPr>
          <w:sz w:val="20"/>
        </w:rPr>
      </w:pPr>
    </w:p>
    <w:p w14:paraId="1C6926EE" w14:textId="77777777" w:rsidR="00DE575E" w:rsidRDefault="00DE575E">
      <w:pPr>
        <w:pStyle w:val="BodyText"/>
        <w:rPr>
          <w:sz w:val="20"/>
        </w:rPr>
      </w:pPr>
    </w:p>
    <w:p w14:paraId="0907348F" w14:textId="77777777" w:rsidR="00DE575E" w:rsidRDefault="00DE575E">
      <w:pPr>
        <w:pStyle w:val="BodyText"/>
        <w:rPr>
          <w:sz w:val="20"/>
        </w:rPr>
      </w:pPr>
    </w:p>
    <w:p w14:paraId="7477F8FC" w14:textId="77777777" w:rsidR="00DE575E" w:rsidRDefault="00DE575E">
      <w:pPr>
        <w:pStyle w:val="BodyText"/>
        <w:rPr>
          <w:sz w:val="20"/>
        </w:rPr>
      </w:pPr>
    </w:p>
    <w:p w14:paraId="3997CDBD" w14:textId="77777777" w:rsidR="00DE575E" w:rsidRDefault="00DE575E">
      <w:pPr>
        <w:pStyle w:val="BodyText"/>
        <w:rPr>
          <w:sz w:val="20"/>
        </w:rPr>
      </w:pPr>
    </w:p>
    <w:p w14:paraId="0FBC9E9C" w14:textId="77777777" w:rsidR="00DE575E" w:rsidRDefault="00DE575E">
      <w:pPr>
        <w:pStyle w:val="BodyText"/>
        <w:rPr>
          <w:sz w:val="20"/>
        </w:rPr>
      </w:pPr>
    </w:p>
    <w:p w14:paraId="521D7D12" w14:textId="77777777" w:rsidR="00DE575E" w:rsidRDefault="00DE575E">
      <w:pPr>
        <w:pStyle w:val="BodyText"/>
        <w:rPr>
          <w:sz w:val="20"/>
        </w:rPr>
      </w:pPr>
    </w:p>
    <w:p w14:paraId="5053F06F" w14:textId="77777777" w:rsidR="00DE575E" w:rsidRDefault="00DE575E">
      <w:pPr>
        <w:pStyle w:val="BodyText"/>
        <w:rPr>
          <w:sz w:val="20"/>
        </w:rPr>
      </w:pPr>
    </w:p>
    <w:p w14:paraId="3F3BA472" w14:textId="77777777" w:rsidR="00DE575E" w:rsidRDefault="00DE575E">
      <w:pPr>
        <w:pStyle w:val="BodyText"/>
        <w:rPr>
          <w:sz w:val="20"/>
        </w:rPr>
      </w:pPr>
    </w:p>
    <w:p w14:paraId="6E20863F" w14:textId="77777777" w:rsidR="00DE575E" w:rsidRDefault="00DE575E">
      <w:pPr>
        <w:pStyle w:val="BodyText"/>
        <w:rPr>
          <w:sz w:val="20"/>
        </w:rPr>
      </w:pPr>
    </w:p>
    <w:p w14:paraId="70CB211C" w14:textId="77777777" w:rsidR="00DE575E" w:rsidRDefault="00DE575E">
      <w:pPr>
        <w:pStyle w:val="BodyText"/>
        <w:rPr>
          <w:sz w:val="20"/>
        </w:rPr>
      </w:pPr>
    </w:p>
    <w:p w14:paraId="3BC223B0" w14:textId="77777777" w:rsidR="00DE575E" w:rsidRDefault="00DE575E">
      <w:pPr>
        <w:pStyle w:val="BodyText"/>
        <w:rPr>
          <w:sz w:val="20"/>
        </w:rPr>
      </w:pPr>
    </w:p>
    <w:p w14:paraId="21DFDBCC" w14:textId="77777777" w:rsidR="00DE575E" w:rsidRDefault="00DE575E">
      <w:pPr>
        <w:pStyle w:val="BodyText"/>
        <w:rPr>
          <w:sz w:val="20"/>
        </w:rPr>
      </w:pPr>
    </w:p>
    <w:p w14:paraId="23FFF82E" w14:textId="77777777" w:rsidR="00DE575E" w:rsidRDefault="00DE575E">
      <w:pPr>
        <w:pStyle w:val="BodyText"/>
        <w:spacing w:before="8"/>
        <w:rPr>
          <w:sz w:val="24"/>
        </w:rPr>
      </w:pPr>
    </w:p>
    <w:p w14:paraId="2DE0B2BC" w14:textId="77777777" w:rsidR="00DE575E" w:rsidRDefault="002E7560">
      <w:pPr>
        <w:spacing w:before="92"/>
        <w:ind w:right="411"/>
        <w:jc w:val="right"/>
        <w:rPr>
          <w:rFonts w:ascii="Times New Roman"/>
          <w:sz w:val="20"/>
        </w:rPr>
      </w:pPr>
      <w:r>
        <w:rPr>
          <w:rFonts w:ascii="Times New Roman"/>
          <w:color w:val="231F20"/>
          <w:w w:val="90"/>
          <w:sz w:val="20"/>
        </w:rPr>
        <w:t>129</w:t>
      </w:r>
    </w:p>
    <w:p w14:paraId="2035AEB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67C62D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CE8D36F" w14:textId="45D330F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3184A69" wp14:editId="2C6550A2">
                <wp:extent cx="4140200" cy="6350"/>
                <wp:effectExtent l="0" t="0" r="12700" b="6350"/>
                <wp:docPr id="1084"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85" name="Line 108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2CF45" id="Group_x0020_108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RHu9/AgAAnAUAAA4A&#10;AAAAAAAAAAAAAAAALAIAAGRycy9lMm9Eb2MueG1sUEsBAi0AFAAGAAgAAAAhAEynsJDZAAAAAwEA&#10;AA8AAAAAAAAAAAAAAAAA1wQAAGRycy9kb3ducmV2LnhtbFBLBQYAAAAABAAEAPMAAADdBQAAAAA=&#10;">
                <v:line id="Line_x0020_108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LuRcQAAADdAAAADwAAAGRycy9kb3ducmV2LnhtbERPzWrCQBC+F3yHZYReim6qVCS6iggF&#10;6UGr8QHG7JgEd2djdjXRp+8WCr3Nx/c782VnjbhT4yvHCt6HCQji3OmKCwXH7HMwBeEDskbjmBQ8&#10;yMNy0XuZY6pdy3u6H0IhYgj7FBWUIdSplD4vyaIfupo4cmfXWAwRNoXUDbYx3Bo5SpKJtFhxbCix&#10;pnVJ+eVwswqy61sw37sv02a701iertvx87ZV6rXfrWYgAnXhX/zn3ug4P5l+wO838QS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Iu5FxAAAAN0AAAAPAAAAAAAAAAAA&#10;AAAAAKECAABkcnMvZG93bnJldi54bWxQSwUGAAAAAAQABAD5AAAAkgMAAAAA&#10;" strokecolor="#231f20" strokeweight=".5pt"/>
                <w10:anchorlock/>
              </v:group>
            </w:pict>
          </mc:Fallback>
        </mc:AlternateContent>
      </w:r>
    </w:p>
    <w:p w14:paraId="7B04106E" w14:textId="77777777" w:rsidR="00DE575E" w:rsidRDefault="00DE575E">
      <w:pPr>
        <w:pStyle w:val="BodyText"/>
        <w:rPr>
          <w:rFonts w:ascii="AdonisC"/>
          <w:i/>
          <w:sz w:val="18"/>
        </w:rPr>
      </w:pPr>
    </w:p>
    <w:p w14:paraId="65F73442" w14:textId="77777777" w:rsidR="00DE575E" w:rsidRDefault="002E7560">
      <w:pPr>
        <w:pStyle w:val="Heading2"/>
        <w:spacing w:before="1" w:line="300" w:lineRule="exact"/>
        <w:ind w:right="292"/>
        <w:jc w:val="center"/>
      </w:pPr>
      <w:r>
        <w:rPr>
          <w:color w:val="231F20"/>
        </w:rPr>
        <w:t>Розділ 5</w:t>
      </w:r>
    </w:p>
    <w:p w14:paraId="579CC22F" w14:textId="77777777" w:rsidR="00DE575E" w:rsidRDefault="002E7560">
      <w:pPr>
        <w:spacing w:before="23" w:line="218" w:lineRule="auto"/>
        <w:ind w:left="695" w:right="292"/>
        <w:jc w:val="center"/>
        <w:rPr>
          <w:b/>
          <w:sz w:val="16"/>
        </w:rPr>
      </w:pPr>
      <w:r>
        <w:rPr>
          <w:b/>
          <w:color w:val="231F20"/>
          <w:sz w:val="28"/>
        </w:rPr>
        <w:t>ПРИВАТНА ОСОБА ЯК СУБ’ЄКТ АДМІНІСТРАТИВНОГО ПРАВА</w:t>
      </w:r>
      <w:r>
        <w:rPr>
          <w:b/>
          <w:color w:val="231F20"/>
          <w:position w:val="9"/>
          <w:sz w:val="16"/>
        </w:rPr>
        <w:t>1</w:t>
      </w:r>
    </w:p>
    <w:p w14:paraId="33D268BB" w14:textId="77777777" w:rsidR="00DE575E" w:rsidRDefault="00DE575E">
      <w:pPr>
        <w:pStyle w:val="BodyText"/>
        <w:spacing w:before="8"/>
        <w:rPr>
          <w:b/>
          <w:sz w:val="43"/>
        </w:rPr>
      </w:pPr>
    </w:p>
    <w:p w14:paraId="2A0897BD" w14:textId="77777777" w:rsidR="00DE575E" w:rsidRDefault="002E7560">
      <w:pPr>
        <w:pStyle w:val="Heading4"/>
        <w:ind w:left="2382"/>
      </w:pPr>
      <w:r>
        <w:rPr>
          <w:color w:val="231F20"/>
        </w:rPr>
        <w:t>5.1. Місце приватної особи</w:t>
      </w:r>
    </w:p>
    <w:p w14:paraId="26B20447" w14:textId="77777777" w:rsidR="00DE575E" w:rsidRDefault="002E7560">
      <w:pPr>
        <w:ind w:left="1460"/>
        <w:rPr>
          <w:b/>
        </w:rPr>
      </w:pPr>
      <w:r>
        <w:rPr>
          <w:b/>
          <w:color w:val="231F20"/>
        </w:rPr>
        <w:t>в системі суб’єктів адміністративного права</w:t>
      </w:r>
    </w:p>
    <w:p w14:paraId="165AF0BC" w14:textId="77777777" w:rsidR="00DE575E" w:rsidRDefault="00DE575E">
      <w:pPr>
        <w:pStyle w:val="BodyText"/>
        <w:rPr>
          <w:b/>
          <w:sz w:val="26"/>
        </w:rPr>
      </w:pPr>
    </w:p>
    <w:p w14:paraId="39D22713" w14:textId="77777777" w:rsidR="00DE575E" w:rsidRDefault="002E7560">
      <w:pPr>
        <w:pStyle w:val="BodyText"/>
        <w:spacing w:before="224" w:line="252" w:lineRule="auto"/>
        <w:ind w:left="533" w:right="127" w:firstLine="283"/>
        <w:jc w:val="both"/>
      </w:pPr>
      <w:r>
        <w:rPr>
          <w:color w:val="231F20"/>
        </w:rPr>
        <w:t>Виходячи з людиноцентристської ідеології вітчизняного адмі- ністративного права та публічно-управлінських стандартів ЄС, згідно з якими публічна адміністрація має якнайповніше задо- вольняти права, свободи  й  законні  інтереси  невладних  фізичних і юриди</w:t>
      </w:r>
      <w:r>
        <w:rPr>
          <w:color w:val="231F20"/>
        </w:rPr>
        <w:t xml:space="preserve">чних осіб, можна говорити, що відповідно до спрямовано- сті впливу публічної адміністрації приватним особам відведено провідну роль серед </w:t>
      </w:r>
      <w:r>
        <w:rPr>
          <w:color w:val="231F20"/>
          <w:spacing w:val="-3"/>
        </w:rPr>
        <w:t xml:space="preserve">суб’єктів </w:t>
      </w:r>
      <w:r>
        <w:rPr>
          <w:color w:val="231F20"/>
        </w:rPr>
        <w:t>адміністративного</w:t>
      </w:r>
      <w:r>
        <w:rPr>
          <w:color w:val="231F20"/>
          <w:spacing w:val="-3"/>
        </w:rPr>
        <w:t xml:space="preserve"> </w:t>
      </w:r>
      <w:r>
        <w:rPr>
          <w:color w:val="231F20"/>
        </w:rPr>
        <w:t>права.</w:t>
      </w:r>
    </w:p>
    <w:p w14:paraId="4E31E861" w14:textId="77777777" w:rsidR="00DE575E" w:rsidRDefault="002E7560">
      <w:pPr>
        <w:spacing w:before="3" w:line="252" w:lineRule="auto"/>
        <w:ind w:left="533" w:right="128" w:firstLine="283"/>
        <w:jc w:val="both"/>
        <w:rPr>
          <w:i/>
          <w:sz w:val="21"/>
        </w:rPr>
      </w:pPr>
      <w:r>
        <w:rPr>
          <w:i/>
          <w:color w:val="231F20"/>
          <w:sz w:val="21"/>
        </w:rPr>
        <w:t xml:space="preserve">Провідне значення приватних осіб в системі </w:t>
      </w:r>
      <w:r>
        <w:rPr>
          <w:i/>
          <w:color w:val="231F20"/>
          <w:spacing w:val="-3"/>
          <w:sz w:val="21"/>
        </w:rPr>
        <w:t xml:space="preserve">суб’єктів </w:t>
      </w:r>
      <w:r>
        <w:rPr>
          <w:i/>
          <w:color w:val="231F20"/>
          <w:sz w:val="21"/>
        </w:rPr>
        <w:t xml:space="preserve">адміністра- </w:t>
      </w:r>
      <w:r>
        <w:rPr>
          <w:i/>
          <w:color w:val="231F20"/>
          <w:sz w:val="21"/>
        </w:rPr>
        <w:t>тивного права серед іншого визначається такими чинниками:</w:t>
      </w:r>
    </w:p>
    <w:p w14:paraId="6BACC154" w14:textId="77777777" w:rsidR="00DE575E" w:rsidRDefault="002E7560">
      <w:pPr>
        <w:pStyle w:val="ListParagraph"/>
        <w:numPr>
          <w:ilvl w:val="1"/>
          <w:numId w:val="248"/>
        </w:numPr>
        <w:tabs>
          <w:tab w:val="left" w:pos="1101"/>
        </w:tabs>
        <w:spacing w:line="252" w:lineRule="auto"/>
        <w:ind w:right="128" w:firstLine="284"/>
        <w:rPr>
          <w:sz w:val="21"/>
        </w:rPr>
      </w:pPr>
      <w:r>
        <w:rPr>
          <w:color w:val="231F20"/>
          <w:sz w:val="21"/>
        </w:rPr>
        <w:t>фундаментальним</w:t>
      </w:r>
      <w:r>
        <w:rPr>
          <w:color w:val="231F20"/>
          <w:spacing w:val="-10"/>
          <w:sz w:val="21"/>
        </w:rPr>
        <w:t xml:space="preserve"> </w:t>
      </w:r>
      <w:r>
        <w:rPr>
          <w:color w:val="231F20"/>
          <w:sz w:val="21"/>
        </w:rPr>
        <w:t>значенням</w:t>
      </w:r>
      <w:r>
        <w:rPr>
          <w:color w:val="231F20"/>
          <w:spacing w:val="-10"/>
          <w:sz w:val="21"/>
        </w:rPr>
        <w:t xml:space="preserve"> </w:t>
      </w:r>
      <w:r>
        <w:rPr>
          <w:color w:val="231F20"/>
          <w:sz w:val="21"/>
        </w:rPr>
        <w:t>прав</w:t>
      </w:r>
      <w:r>
        <w:rPr>
          <w:color w:val="231F20"/>
          <w:spacing w:val="-10"/>
          <w:sz w:val="21"/>
        </w:rPr>
        <w:t xml:space="preserve"> </w:t>
      </w:r>
      <w:r>
        <w:rPr>
          <w:color w:val="231F20"/>
          <w:sz w:val="21"/>
        </w:rPr>
        <w:t>і</w:t>
      </w:r>
      <w:r>
        <w:rPr>
          <w:color w:val="231F20"/>
          <w:spacing w:val="-10"/>
          <w:sz w:val="21"/>
        </w:rPr>
        <w:t xml:space="preserve"> </w:t>
      </w:r>
      <w:r>
        <w:rPr>
          <w:color w:val="231F20"/>
          <w:sz w:val="21"/>
        </w:rPr>
        <w:t>свобод</w:t>
      </w:r>
      <w:r>
        <w:rPr>
          <w:color w:val="231F20"/>
          <w:spacing w:val="-10"/>
          <w:sz w:val="21"/>
        </w:rPr>
        <w:t xml:space="preserve"> </w:t>
      </w:r>
      <w:r>
        <w:rPr>
          <w:color w:val="231F20"/>
          <w:sz w:val="21"/>
        </w:rPr>
        <w:t>людини</w:t>
      </w:r>
      <w:r>
        <w:rPr>
          <w:color w:val="231F20"/>
          <w:spacing w:val="-10"/>
          <w:sz w:val="21"/>
        </w:rPr>
        <w:t xml:space="preserve"> </w:t>
      </w:r>
      <w:r>
        <w:rPr>
          <w:color w:val="231F20"/>
          <w:sz w:val="21"/>
        </w:rPr>
        <w:t>і</w:t>
      </w:r>
      <w:r>
        <w:rPr>
          <w:color w:val="231F20"/>
          <w:spacing w:val="-10"/>
          <w:sz w:val="21"/>
        </w:rPr>
        <w:t xml:space="preserve"> </w:t>
      </w:r>
      <w:r>
        <w:rPr>
          <w:color w:val="231F20"/>
          <w:sz w:val="21"/>
        </w:rPr>
        <w:t>громадя- нина для визначення змісту та спрямованості діяльності держави, її органів, а також посадових</w:t>
      </w:r>
      <w:r>
        <w:rPr>
          <w:color w:val="231F20"/>
          <w:spacing w:val="-3"/>
          <w:sz w:val="21"/>
        </w:rPr>
        <w:t xml:space="preserve"> </w:t>
      </w:r>
      <w:r>
        <w:rPr>
          <w:color w:val="231F20"/>
          <w:sz w:val="21"/>
        </w:rPr>
        <w:t>осіб;</w:t>
      </w:r>
    </w:p>
    <w:p w14:paraId="5D81A987" w14:textId="77777777" w:rsidR="00DE575E" w:rsidRDefault="002E7560">
      <w:pPr>
        <w:pStyle w:val="ListParagraph"/>
        <w:numPr>
          <w:ilvl w:val="1"/>
          <w:numId w:val="248"/>
        </w:numPr>
        <w:tabs>
          <w:tab w:val="left" w:pos="1101"/>
        </w:tabs>
        <w:spacing w:before="2" w:line="252" w:lineRule="auto"/>
        <w:ind w:right="127" w:firstLine="284"/>
        <w:rPr>
          <w:sz w:val="21"/>
        </w:rPr>
      </w:pPr>
      <w:r>
        <w:rPr>
          <w:color w:val="231F20"/>
          <w:sz w:val="21"/>
        </w:rPr>
        <w:t>законодавчим установленням для органів д</w:t>
      </w:r>
      <w:r>
        <w:rPr>
          <w:color w:val="231F20"/>
          <w:sz w:val="21"/>
        </w:rPr>
        <w:t xml:space="preserve">ержавної влади, органів місцевого самоврядування, їхніх посадових осіб юридич- них обов’язків, які кореспондуються із </w:t>
      </w:r>
      <w:r>
        <w:rPr>
          <w:color w:val="231F20"/>
          <w:spacing w:val="-3"/>
          <w:sz w:val="21"/>
        </w:rPr>
        <w:t xml:space="preserve">суб’єктивними </w:t>
      </w:r>
      <w:r>
        <w:rPr>
          <w:color w:val="231F20"/>
          <w:sz w:val="21"/>
        </w:rPr>
        <w:t>публічними правами приватних</w:t>
      </w:r>
      <w:r>
        <w:rPr>
          <w:color w:val="231F20"/>
          <w:spacing w:val="-2"/>
          <w:sz w:val="21"/>
        </w:rPr>
        <w:t xml:space="preserve"> </w:t>
      </w:r>
      <w:r>
        <w:rPr>
          <w:color w:val="231F20"/>
          <w:sz w:val="21"/>
        </w:rPr>
        <w:t>осіб;</w:t>
      </w:r>
    </w:p>
    <w:p w14:paraId="52517D2E" w14:textId="77777777" w:rsidR="00DE575E" w:rsidRDefault="002E7560">
      <w:pPr>
        <w:pStyle w:val="ListParagraph"/>
        <w:numPr>
          <w:ilvl w:val="1"/>
          <w:numId w:val="248"/>
        </w:numPr>
        <w:tabs>
          <w:tab w:val="left" w:pos="1101"/>
        </w:tabs>
        <w:spacing w:before="2" w:line="252" w:lineRule="auto"/>
        <w:ind w:right="128" w:firstLine="284"/>
        <w:rPr>
          <w:sz w:val="21"/>
        </w:rPr>
      </w:pPr>
      <w:r>
        <w:rPr>
          <w:color w:val="231F20"/>
          <w:sz w:val="21"/>
        </w:rPr>
        <w:t>юридичною</w:t>
      </w:r>
      <w:r>
        <w:rPr>
          <w:color w:val="231F20"/>
          <w:spacing w:val="-17"/>
          <w:sz w:val="21"/>
        </w:rPr>
        <w:t xml:space="preserve"> </w:t>
      </w:r>
      <w:r>
        <w:rPr>
          <w:color w:val="231F20"/>
          <w:sz w:val="21"/>
        </w:rPr>
        <w:t>відповідальністю</w:t>
      </w:r>
      <w:r>
        <w:rPr>
          <w:color w:val="231F20"/>
          <w:spacing w:val="-17"/>
          <w:sz w:val="21"/>
        </w:rPr>
        <w:t xml:space="preserve"> </w:t>
      </w:r>
      <w:r>
        <w:rPr>
          <w:color w:val="231F20"/>
          <w:sz w:val="21"/>
        </w:rPr>
        <w:t>держави,</w:t>
      </w:r>
      <w:r>
        <w:rPr>
          <w:color w:val="231F20"/>
          <w:spacing w:val="-17"/>
          <w:sz w:val="21"/>
        </w:rPr>
        <w:t xml:space="preserve"> </w:t>
      </w:r>
      <w:r>
        <w:rPr>
          <w:color w:val="231F20"/>
          <w:sz w:val="21"/>
        </w:rPr>
        <w:t>передусім</w:t>
      </w:r>
      <w:r>
        <w:rPr>
          <w:color w:val="231F20"/>
          <w:spacing w:val="-17"/>
          <w:sz w:val="21"/>
        </w:rPr>
        <w:t xml:space="preserve"> </w:t>
      </w:r>
      <w:r>
        <w:rPr>
          <w:color w:val="231F20"/>
          <w:sz w:val="21"/>
        </w:rPr>
        <w:t>перед</w:t>
      </w:r>
      <w:r>
        <w:rPr>
          <w:color w:val="231F20"/>
          <w:spacing w:val="-17"/>
          <w:sz w:val="21"/>
        </w:rPr>
        <w:t xml:space="preserve"> </w:t>
      </w:r>
      <w:r>
        <w:rPr>
          <w:color w:val="231F20"/>
          <w:sz w:val="21"/>
        </w:rPr>
        <w:t>люди- ною, за свою</w:t>
      </w:r>
      <w:r>
        <w:rPr>
          <w:color w:val="231F20"/>
          <w:spacing w:val="-3"/>
          <w:sz w:val="21"/>
        </w:rPr>
        <w:t xml:space="preserve"> </w:t>
      </w:r>
      <w:r>
        <w:rPr>
          <w:color w:val="231F20"/>
          <w:sz w:val="21"/>
        </w:rPr>
        <w:t>діяльність;</w:t>
      </w:r>
    </w:p>
    <w:p w14:paraId="1B3C1F16" w14:textId="77777777" w:rsidR="00DE575E" w:rsidRDefault="002E7560">
      <w:pPr>
        <w:pStyle w:val="ListParagraph"/>
        <w:numPr>
          <w:ilvl w:val="1"/>
          <w:numId w:val="248"/>
        </w:numPr>
        <w:tabs>
          <w:tab w:val="left" w:pos="1101"/>
        </w:tabs>
        <w:spacing w:line="252" w:lineRule="auto"/>
        <w:ind w:right="127" w:firstLine="284"/>
        <w:rPr>
          <w:sz w:val="21"/>
        </w:rPr>
      </w:pPr>
      <w:r>
        <w:rPr>
          <w:color w:val="231F20"/>
          <w:sz w:val="21"/>
        </w:rPr>
        <w:t xml:space="preserve">проголошенням у нормах Конституції та законів </w:t>
      </w:r>
      <w:r>
        <w:rPr>
          <w:color w:val="231F20"/>
          <w:spacing w:val="-3"/>
          <w:sz w:val="21"/>
        </w:rPr>
        <w:t xml:space="preserve">України </w:t>
      </w:r>
      <w:r>
        <w:rPr>
          <w:color w:val="231F20"/>
          <w:sz w:val="21"/>
        </w:rPr>
        <w:t>основних</w:t>
      </w:r>
      <w:r>
        <w:rPr>
          <w:color w:val="231F20"/>
          <w:spacing w:val="-7"/>
          <w:sz w:val="21"/>
        </w:rPr>
        <w:t xml:space="preserve"> </w:t>
      </w:r>
      <w:r>
        <w:rPr>
          <w:color w:val="231F20"/>
          <w:spacing w:val="-3"/>
          <w:sz w:val="21"/>
        </w:rPr>
        <w:t>суб’єктивних</w:t>
      </w:r>
      <w:r>
        <w:rPr>
          <w:color w:val="231F20"/>
          <w:spacing w:val="-7"/>
          <w:sz w:val="21"/>
        </w:rPr>
        <w:t xml:space="preserve"> </w:t>
      </w:r>
      <w:r>
        <w:rPr>
          <w:color w:val="231F20"/>
          <w:sz w:val="21"/>
        </w:rPr>
        <w:t>публічних</w:t>
      </w:r>
      <w:r>
        <w:rPr>
          <w:color w:val="231F20"/>
          <w:spacing w:val="-7"/>
          <w:sz w:val="21"/>
        </w:rPr>
        <w:t xml:space="preserve"> </w:t>
      </w:r>
      <w:r>
        <w:rPr>
          <w:color w:val="231F20"/>
          <w:sz w:val="21"/>
        </w:rPr>
        <w:t>прав</w:t>
      </w:r>
      <w:r>
        <w:rPr>
          <w:color w:val="231F20"/>
          <w:spacing w:val="-7"/>
          <w:sz w:val="21"/>
        </w:rPr>
        <w:t xml:space="preserve"> </w:t>
      </w:r>
      <w:r>
        <w:rPr>
          <w:color w:val="231F20"/>
          <w:sz w:val="21"/>
        </w:rPr>
        <w:t>приватних</w:t>
      </w:r>
      <w:r>
        <w:rPr>
          <w:color w:val="231F20"/>
          <w:spacing w:val="-7"/>
          <w:sz w:val="21"/>
        </w:rPr>
        <w:t xml:space="preserve"> </w:t>
      </w:r>
      <w:r>
        <w:rPr>
          <w:color w:val="231F20"/>
          <w:sz w:val="21"/>
        </w:rPr>
        <w:t>осіб,</w:t>
      </w:r>
      <w:r>
        <w:rPr>
          <w:color w:val="231F20"/>
          <w:spacing w:val="-7"/>
          <w:sz w:val="21"/>
        </w:rPr>
        <w:t xml:space="preserve"> </w:t>
      </w:r>
      <w:r>
        <w:rPr>
          <w:color w:val="231F20"/>
          <w:sz w:val="21"/>
        </w:rPr>
        <w:t>утвердження й забезпечення яких є основним обов’язком</w:t>
      </w:r>
      <w:r>
        <w:rPr>
          <w:color w:val="231F20"/>
          <w:spacing w:val="-6"/>
          <w:sz w:val="21"/>
        </w:rPr>
        <w:t xml:space="preserve"> </w:t>
      </w:r>
      <w:r>
        <w:rPr>
          <w:color w:val="231F20"/>
          <w:sz w:val="21"/>
        </w:rPr>
        <w:t>держави.</w:t>
      </w:r>
    </w:p>
    <w:p w14:paraId="6C814C82" w14:textId="77777777" w:rsidR="00DE575E" w:rsidRDefault="002E7560">
      <w:pPr>
        <w:pStyle w:val="BodyText"/>
        <w:spacing w:before="1" w:line="252" w:lineRule="auto"/>
        <w:ind w:left="533" w:right="128" w:firstLine="283"/>
        <w:jc w:val="both"/>
      </w:pPr>
      <w:r>
        <w:rPr>
          <w:b/>
          <w:i/>
          <w:color w:val="231F20"/>
        </w:rPr>
        <w:t xml:space="preserve">Приватна особа </w:t>
      </w:r>
      <w:r>
        <w:rPr>
          <w:color w:val="231F20"/>
        </w:rPr>
        <w:t>– це особа, що діє від себе особисто, неофіційно. Вагомим правом приват</w:t>
      </w:r>
      <w:r>
        <w:rPr>
          <w:color w:val="231F20"/>
        </w:rPr>
        <w:t>ної особи є правоможності володіти, кори- стуватися й розпоряджатися своєю власністю – приватною – як формою привласнення, коли засоби виробництва й продукти праці належать окремим особам</w:t>
      </w:r>
      <w:r>
        <w:rPr>
          <w:color w:val="231F20"/>
          <w:position w:val="7"/>
          <w:sz w:val="12"/>
        </w:rPr>
        <w:t>2</w:t>
      </w:r>
      <w:r>
        <w:rPr>
          <w:color w:val="231F20"/>
        </w:rPr>
        <w:t>.</w:t>
      </w:r>
    </w:p>
    <w:p w14:paraId="3760F5F0" w14:textId="408AB737" w:rsidR="00DE575E" w:rsidRDefault="002E7560">
      <w:pPr>
        <w:pStyle w:val="BodyText"/>
        <w:spacing w:before="5"/>
        <w:rPr>
          <w:sz w:val="27"/>
        </w:rPr>
      </w:pPr>
      <w:r>
        <w:rPr>
          <w:noProof/>
        </w:rPr>
        <mc:AlternateContent>
          <mc:Choice Requires="wps">
            <w:drawing>
              <wp:anchor distT="0" distB="0" distL="0" distR="0" simplePos="0" relativeHeight="5704" behindDoc="0" locked="0" layoutInCell="1" allowOverlap="1" wp14:anchorId="53BD635C" wp14:editId="701714ED">
                <wp:simplePos x="0" y="0"/>
                <wp:positionH relativeFrom="page">
                  <wp:posOffset>719455</wp:posOffset>
                </wp:positionH>
                <wp:positionV relativeFrom="paragraph">
                  <wp:posOffset>232410</wp:posOffset>
                </wp:positionV>
                <wp:extent cx="1080135" cy="0"/>
                <wp:effectExtent l="8255" t="16510" r="29210" b="21590"/>
                <wp:wrapTopAndBottom/>
                <wp:docPr id="1083"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9BF71" id="Line_x0020_1082" o:spid="_x0000_s1026" style="position:absolute;z-index: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141.7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" strokecolor="#231f20" strokeweight=".5pt">
                <w10:wrap type="topAndBottom" anchorx="page"/>
              </v:line>
            </w:pict>
          </mc:Fallback>
        </mc:AlternateContent>
      </w:r>
    </w:p>
    <w:p w14:paraId="1DC7C272"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За загальною редакцією </w:t>
      </w:r>
      <w:r>
        <w:rPr>
          <w:b/>
          <w:color w:val="231F20"/>
          <w:sz w:val="16"/>
        </w:rPr>
        <w:t>Петра Діхтієвського.</w:t>
      </w:r>
    </w:p>
    <w:p w14:paraId="137B431E" w14:textId="77777777" w:rsidR="00DE575E" w:rsidRDefault="002E7560">
      <w:pPr>
        <w:spacing w:before="23" w:line="204" w:lineRule="auto"/>
        <w:ind w:left="533"/>
        <w:rPr>
          <w:sz w:val="16"/>
        </w:rPr>
      </w:pPr>
      <w:r>
        <w:rPr>
          <w:color w:val="231F20"/>
          <w:position w:val="5"/>
          <w:sz w:val="9"/>
        </w:rPr>
        <w:t xml:space="preserve">2 </w:t>
      </w:r>
      <w:r>
        <w:rPr>
          <w:color w:val="231F20"/>
          <w:sz w:val="16"/>
        </w:rPr>
        <w:t>Сучасний тлумачний словник української мови: 100 000 слів / за заг. ред. В. Дубічин- ського. Чернівці: Школа, 2009. С. 716.</w:t>
      </w:r>
    </w:p>
    <w:p w14:paraId="7ACA961C" w14:textId="77777777" w:rsidR="00DE575E" w:rsidRDefault="00DE575E">
      <w:pPr>
        <w:pStyle w:val="BodyText"/>
        <w:spacing w:before="5"/>
        <w:rPr>
          <w:sz w:val="12"/>
        </w:rPr>
      </w:pPr>
    </w:p>
    <w:p w14:paraId="48EDA390" w14:textId="77777777" w:rsidR="00DE575E" w:rsidRDefault="002E7560">
      <w:pPr>
        <w:spacing w:before="92"/>
        <w:ind w:left="533"/>
        <w:rPr>
          <w:rFonts w:ascii="Times New Roman"/>
          <w:sz w:val="20"/>
        </w:rPr>
      </w:pPr>
      <w:r>
        <w:rPr>
          <w:rFonts w:ascii="Times New Roman"/>
          <w:color w:val="231F20"/>
          <w:sz w:val="20"/>
        </w:rPr>
        <w:t>130</w:t>
      </w:r>
    </w:p>
    <w:p w14:paraId="5FA89AA9" w14:textId="77777777" w:rsidR="00DE575E" w:rsidRDefault="00DE575E">
      <w:pPr>
        <w:rPr>
          <w:rFonts w:ascii="Times New Roman"/>
          <w:sz w:val="20"/>
        </w:rPr>
        <w:sectPr w:rsidR="00DE575E">
          <w:pgSz w:w="8510" w:h="12760"/>
          <w:pgMar w:top="660" w:right="720" w:bottom="280" w:left="600" w:header="720" w:footer="720" w:gutter="0"/>
          <w:cols w:space="720"/>
        </w:sectPr>
      </w:pPr>
    </w:p>
    <w:p w14:paraId="62422CF2"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1FC31ACE" w14:textId="601AD1A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39995EB" wp14:editId="5036C470">
                <wp:extent cx="4140200" cy="6350"/>
                <wp:effectExtent l="0" t="0" r="12700" b="6350"/>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82" name="Line 10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8C7F5A" id="Group_x0020_10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6jfO1H4CAACcBQAADgAA&#10;AAAAAAAAAAAAAAAsAgAAZHJzL2Uyb0RvYy54bWxQSwECLQAUAAYACAAAACEATKewkNkAAAADAQAA&#10;DwAAAAAAAAAAAAAAAADWBAAAZHJzL2Rvd25yZXYueG1sUEsFBgAAAAAEAAQA8wAAANwFAAAAAA==&#10;">
                <v:line id="Line_x0020_10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st2McQAAADdAAAADwAAAGRycy9kb3ducmV2LnhtbERPzYrCMBC+L/gOYQQvi6YqLFKNIgsL&#10;4kF3rQ8wNmNbTCa1iba7T78RBG/z8f3OYtVZI+7U+MqxgvEoAUGcO11xoeCYfQ1nIHxA1mgck4Jf&#10;8rBa9t4WmGrX8g/dD6EQMYR9igrKEOpUSp+XZNGPXE0cubNrLIYIm0LqBtsYbo2cJMmHtFhxbCix&#10;ps+S8svhZhVk1/dgvvdb02b701Serrvp322n1KDfrecgAnXhJX66NzrOT2YTeHwTT5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y3YxxAAAAN0AAAAPAAAAAAAAAAAA&#10;AAAAAKECAABkcnMvZG93bnJldi54bWxQSwUGAAAAAAQABAD5AAAAkgMAAAAA&#10;" strokecolor="#231f20" strokeweight=".5pt"/>
                <w10:anchorlock/>
              </v:group>
            </w:pict>
          </mc:Fallback>
        </mc:AlternateContent>
      </w:r>
    </w:p>
    <w:p w14:paraId="1AE810FA" w14:textId="77777777" w:rsidR="00DE575E" w:rsidRDefault="00DE575E">
      <w:pPr>
        <w:pStyle w:val="BodyText"/>
        <w:spacing w:before="3"/>
        <w:rPr>
          <w:rFonts w:ascii="AdonisC"/>
          <w:i/>
          <w:sz w:val="12"/>
        </w:rPr>
      </w:pPr>
    </w:p>
    <w:p w14:paraId="53E00CE1" w14:textId="77777777" w:rsidR="00DE575E" w:rsidRDefault="002E7560">
      <w:pPr>
        <w:pStyle w:val="BodyText"/>
        <w:spacing w:before="100" w:line="252" w:lineRule="auto"/>
        <w:ind w:left="250" w:right="412" w:firstLine="283"/>
        <w:jc w:val="both"/>
      </w:pPr>
      <w:r>
        <w:rPr>
          <w:color w:val="231F20"/>
        </w:rPr>
        <w:t>Зміст поняття «приватна особа» в контексті адміністративного права містить таку тріаду:</w:t>
      </w:r>
    </w:p>
    <w:p w14:paraId="555AE735" w14:textId="77777777" w:rsidR="00DE575E" w:rsidRDefault="002E7560">
      <w:pPr>
        <w:pStyle w:val="ListParagraph"/>
        <w:numPr>
          <w:ilvl w:val="0"/>
          <w:numId w:val="247"/>
        </w:numPr>
        <w:tabs>
          <w:tab w:val="left" w:pos="818"/>
        </w:tabs>
        <w:spacing w:line="252" w:lineRule="auto"/>
        <w:ind w:right="411" w:firstLine="283"/>
        <w:jc w:val="both"/>
        <w:rPr>
          <w:sz w:val="21"/>
        </w:rPr>
      </w:pPr>
      <w:r>
        <w:rPr>
          <w:color w:val="231F20"/>
          <w:sz w:val="21"/>
        </w:rPr>
        <w:t xml:space="preserve">приватна особа як </w:t>
      </w:r>
      <w:r>
        <w:rPr>
          <w:color w:val="231F20"/>
          <w:spacing w:val="-4"/>
          <w:sz w:val="21"/>
        </w:rPr>
        <w:t xml:space="preserve">суб’єкт </w:t>
      </w:r>
      <w:r>
        <w:rPr>
          <w:color w:val="231F20"/>
          <w:sz w:val="21"/>
        </w:rPr>
        <w:t>адміністративно-правових відно- син;</w:t>
      </w:r>
    </w:p>
    <w:p w14:paraId="1B64C36F" w14:textId="77777777" w:rsidR="00DE575E" w:rsidRDefault="002E7560">
      <w:pPr>
        <w:pStyle w:val="ListParagraph"/>
        <w:numPr>
          <w:ilvl w:val="0"/>
          <w:numId w:val="247"/>
        </w:numPr>
        <w:tabs>
          <w:tab w:val="left" w:pos="818"/>
        </w:tabs>
        <w:ind w:firstLine="283"/>
        <w:rPr>
          <w:sz w:val="21"/>
        </w:rPr>
      </w:pPr>
      <w:r>
        <w:rPr>
          <w:color w:val="231F20"/>
          <w:sz w:val="21"/>
        </w:rPr>
        <w:t xml:space="preserve">приватна особа як </w:t>
      </w:r>
      <w:r>
        <w:rPr>
          <w:color w:val="231F20"/>
          <w:spacing w:val="-4"/>
          <w:sz w:val="21"/>
        </w:rPr>
        <w:t xml:space="preserve">об’єкт </w:t>
      </w:r>
      <w:r>
        <w:rPr>
          <w:color w:val="231F20"/>
          <w:sz w:val="21"/>
        </w:rPr>
        <w:t>публічного</w:t>
      </w:r>
      <w:r>
        <w:rPr>
          <w:color w:val="231F20"/>
          <w:sz w:val="21"/>
        </w:rPr>
        <w:t xml:space="preserve"> </w:t>
      </w:r>
      <w:r>
        <w:rPr>
          <w:color w:val="231F20"/>
          <w:sz w:val="21"/>
        </w:rPr>
        <w:t>управління;</w:t>
      </w:r>
    </w:p>
    <w:p w14:paraId="03AA3160" w14:textId="77777777" w:rsidR="00DE575E" w:rsidRDefault="002E7560">
      <w:pPr>
        <w:pStyle w:val="ListParagraph"/>
        <w:numPr>
          <w:ilvl w:val="0"/>
          <w:numId w:val="247"/>
        </w:numPr>
        <w:tabs>
          <w:tab w:val="left" w:pos="818"/>
        </w:tabs>
        <w:spacing w:before="13" w:line="252" w:lineRule="auto"/>
        <w:ind w:right="410" w:firstLine="283"/>
        <w:jc w:val="both"/>
        <w:rPr>
          <w:sz w:val="21"/>
        </w:rPr>
      </w:pPr>
      <w:r>
        <w:rPr>
          <w:color w:val="231F20"/>
          <w:sz w:val="21"/>
        </w:rPr>
        <w:t xml:space="preserve">приватна особа як </w:t>
      </w:r>
      <w:r>
        <w:rPr>
          <w:color w:val="231F20"/>
          <w:spacing w:val="-4"/>
          <w:sz w:val="21"/>
        </w:rPr>
        <w:t xml:space="preserve">суб’єкт </w:t>
      </w:r>
      <w:r>
        <w:rPr>
          <w:color w:val="231F20"/>
          <w:sz w:val="21"/>
        </w:rPr>
        <w:t xml:space="preserve">адміністративно-деліктних відно- син. Юридична природа приватної особи як </w:t>
      </w:r>
      <w:r>
        <w:rPr>
          <w:color w:val="231F20"/>
          <w:spacing w:val="-3"/>
          <w:sz w:val="21"/>
        </w:rPr>
        <w:t xml:space="preserve">суб’єкта </w:t>
      </w:r>
      <w:r>
        <w:rPr>
          <w:color w:val="231F20"/>
          <w:sz w:val="21"/>
        </w:rPr>
        <w:t xml:space="preserve">адміністра- тивно-правових відносин складає основу в цій сфері, коли приватна особа рівним учасником таких відносин: кожному </w:t>
      </w:r>
      <w:r>
        <w:rPr>
          <w:color w:val="231F20"/>
          <w:spacing w:val="-3"/>
          <w:sz w:val="21"/>
        </w:rPr>
        <w:t xml:space="preserve">суб’єктивному </w:t>
      </w:r>
      <w:r>
        <w:rPr>
          <w:color w:val="231F20"/>
          <w:sz w:val="21"/>
        </w:rPr>
        <w:t>публічно</w:t>
      </w:r>
      <w:r>
        <w:rPr>
          <w:color w:val="231F20"/>
          <w:sz w:val="21"/>
        </w:rPr>
        <w:t xml:space="preserve">му праву приватної особи кореспондується юридичний обов’язок </w:t>
      </w:r>
      <w:r>
        <w:rPr>
          <w:color w:val="231F20"/>
          <w:spacing w:val="-3"/>
          <w:sz w:val="21"/>
        </w:rPr>
        <w:t xml:space="preserve">суб’єкта </w:t>
      </w:r>
      <w:r>
        <w:rPr>
          <w:color w:val="231F20"/>
          <w:sz w:val="21"/>
        </w:rPr>
        <w:t>публічної адміністрації й</w:t>
      </w:r>
      <w:r>
        <w:rPr>
          <w:color w:val="231F20"/>
          <w:spacing w:val="-2"/>
          <w:sz w:val="21"/>
        </w:rPr>
        <w:t xml:space="preserve"> </w:t>
      </w:r>
      <w:r>
        <w:rPr>
          <w:color w:val="231F20"/>
          <w:sz w:val="21"/>
        </w:rPr>
        <w:t>навпаки.</w:t>
      </w:r>
    </w:p>
    <w:p w14:paraId="3334DE42" w14:textId="77777777" w:rsidR="00DE575E" w:rsidRDefault="002E7560">
      <w:pPr>
        <w:spacing w:before="102" w:line="244" w:lineRule="auto"/>
        <w:ind w:left="533" w:right="411" w:firstLine="283"/>
        <w:jc w:val="both"/>
        <w:rPr>
          <w:i/>
          <w:sz w:val="18"/>
        </w:rPr>
      </w:pPr>
      <w:r>
        <w:rPr>
          <w:i/>
          <w:color w:val="231F20"/>
          <w:sz w:val="18"/>
          <w:u w:val="single" w:color="231F20"/>
        </w:rPr>
        <w:t>Приклад:</w:t>
      </w:r>
      <w:r>
        <w:rPr>
          <w:i/>
          <w:color w:val="231F20"/>
          <w:sz w:val="18"/>
        </w:rPr>
        <w:t xml:space="preserve"> публічна адміністрація зобов’язана надати адміністративну послугу</w:t>
      </w:r>
      <w:r>
        <w:rPr>
          <w:i/>
          <w:color w:val="231F20"/>
          <w:spacing w:val="-5"/>
          <w:sz w:val="18"/>
        </w:rPr>
        <w:t xml:space="preserve"> </w:t>
      </w:r>
      <w:r>
        <w:rPr>
          <w:i/>
          <w:color w:val="231F20"/>
          <w:sz w:val="18"/>
        </w:rPr>
        <w:t>громадянинові</w:t>
      </w:r>
      <w:r>
        <w:rPr>
          <w:i/>
          <w:color w:val="231F20"/>
          <w:spacing w:val="-6"/>
          <w:sz w:val="18"/>
        </w:rPr>
        <w:t xml:space="preserve"> </w:t>
      </w:r>
      <w:r>
        <w:rPr>
          <w:i/>
          <w:color w:val="231F20"/>
          <w:sz w:val="18"/>
        </w:rPr>
        <w:t>у</w:t>
      </w:r>
      <w:r>
        <w:rPr>
          <w:i/>
          <w:color w:val="231F20"/>
          <w:spacing w:val="-6"/>
          <w:sz w:val="18"/>
        </w:rPr>
        <w:t xml:space="preserve"> </w:t>
      </w:r>
      <w:r>
        <w:rPr>
          <w:i/>
          <w:color w:val="231F20"/>
          <w:sz w:val="18"/>
        </w:rPr>
        <w:t>формі</w:t>
      </w:r>
      <w:r>
        <w:rPr>
          <w:i/>
          <w:color w:val="231F20"/>
          <w:spacing w:val="-6"/>
          <w:sz w:val="18"/>
        </w:rPr>
        <w:t xml:space="preserve"> </w:t>
      </w:r>
      <w:r>
        <w:rPr>
          <w:i/>
          <w:color w:val="231F20"/>
          <w:sz w:val="18"/>
        </w:rPr>
        <w:t>заміни</w:t>
      </w:r>
      <w:r>
        <w:rPr>
          <w:i/>
          <w:color w:val="231F20"/>
          <w:spacing w:val="-6"/>
          <w:sz w:val="18"/>
        </w:rPr>
        <w:t xml:space="preserve"> </w:t>
      </w:r>
      <w:r>
        <w:rPr>
          <w:i/>
          <w:color w:val="231F20"/>
          <w:sz w:val="18"/>
        </w:rPr>
        <w:t>посвідчення</w:t>
      </w:r>
      <w:r>
        <w:rPr>
          <w:i/>
          <w:color w:val="231F20"/>
          <w:spacing w:val="-5"/>
          <w:sz w:val="18"/>
        </w:rPr>
        <w:t xml:space="preserve"> </w:t>
      </w:r>
      <w:r>
        <w:rPr>
          <w:i/>
          <w:color w:val="231F20"/>
          <w:sz w:val="18"/>
        </w:rPr>
        <w:t>на</w:t>
      </w:r>
      <w:r>
        <w:rPr>
          <w:i/>
          <w:color w:val="231F20"/>
          <w:spacing w:val="-6"/>
          <w:sz w:val="18"/>
        </w:rPr>
        <w:t xml:space="preserve"> </w:t>
      </w:r>
      <w:r>
        <w:rPr>
          <w:i/>
          <w:color w:val="231F20"/>
          <w:sz w:val="18"/>
        </w:rPr>
        <w:t>право</w:t>
      </w:r>
      <w:r>
        <w:rPr>
          <w:i/>
          <w:color w:val="231F20"/>
          <w:spacing w:val="-5"/>
          <w:sz w:val="18"/>
        </w:rPr>
        <w:t xml:space="preserve"> </w:t>
      </w:r>
      <w:r>
        <w:rPr>
          <w:i/>
          <w:color w:val="231F20"/>
          <w:sz w:val="18"/>
        </w:rPr>
        <w:t>управління</w:t>
      </w:r>
      <w:r>
        <w:rPr>
          <w:i/>
          <w:color w:val="231F20"/>
          <w:spacing w:val="-6"/>
          <w:sz w:val="18"/>
        </w:rPr>
        <w:t xml:space="preserve"> </w:t>
      </w:r>
      <w:r>
        <w:rPr>
          <w:i/>
          <w:color w:val="231F20"/>
          <w:sz w:val="18"/>
        </w:rPr>
        <w:t xml:space="preserve">тран- спортним </w:t>
      </w:r>
      <w:r>
        <w:rPr>
          <w:i/>
          <w:color w:val="231F20"/>
          <w:sz w:val="18"/>
        </w:rPr>
        <w:t>засобом європейського стандарту та має право вимагати від нього представити ідентифікаційні документи про себе, медичну довідку про придатність до керування транспортним засобом і здати посвідчення старого</w:t>
      </w:r>
      <w:r>
        <w:rPr>
          <w:i/>
          <w:color w:val="231F20"/>
          <w:spacing w:val="-2"/>
          <w:sz w:val="18"/>
        </w:rPr>
        <w:t xml:space="preserve"> </w:t>
      </w:r>
      <w:r>
        <w:rPr>
          <w:i/>
          <w:color w:val="231F20"/>
          <w:sz w:val="18"/>
        </w:rPr>
        <w:t>зразка.</w:t>
      </w:r>
    </w:p>
    <w:p w14:paraId="0E3F4E2A" w14:textId="77777777" w:rsidR="00DE575E" w:rsidRDefault="002E7560">
      <w:pPr>
        <w:pStyle w:val="BodyText"/>
        <w:spacing w:before="132" w:line="252" w:lineRule="auto"/>
        <w:ind w:left="250" w:right="410" w:firstLine="283"/>
        <w:jc w:val="both"/>
      </w:pPr>
      <w:r>
        <w:rPr>
          <w:color w:val="231F20"/>
        </w:rPr>
        <w:t>З погляду теорії публічного управління, пр</w:t>
      </w:r>
      <w:r>
        <w:rPr>
          <w:color w:val="231F20"/>
        </w:rPr>
        <w:t xml:space="preserve">иватна особа є </w:t>
      </w:r>
      <w:r>
        <w:rPr>
          <w:color w:val="231F20"/>
          <w:spacing w:val="-4"/>
        </w:rPr>
        <w:t xml:space="preserve">об’єк- </w:t>
      </w:r>
      <w:r>
        <w:rPr>
          <w:color w:val="231F20"/>
        </w:rPr>
        <w:t>том</w:t>
      </w:r>
      <w:r>
        <w:rPr>
          <w:color w:val="231F20"/>
          <w:spacing w:val="-6"/>
        </w:rPr>
        <w:t xml:space="preserve"> </w:t>
      </w:r>
      <w:r>
        <w:rPr>
          <w:color w:val="231F20"/>
        </w:rPr>
        <w:t>публічного</w:t>
      </w:r>
      <w:r>
        <w:rPr>
          <w:color w:val="231F20"/>
          <w:spacing w:val="-6"/>
        </w:rPr>
        <w:t xml:space="preserve"> </w:t>
      </w:r>
      <w:r>
        <w:rPr>
          <w:color w:val="231F20"/>
        </w:rPr>
        <w:t>управління,</w:t>
      </w:r>
      <w:r>
        <w:rPr>
          <w:color w:val="231F20"/>
          <w:spacing w:val="-6"/>
        </w:rPr>
        <w:t xml:space="preserve"> </w:t>
      </w:r>
      <w:r>
        <w:rPr>
          <w:color w:val="231F20"/>
        </w:rPr>
        <w:t>маючи</w:t>
      </w:r>
      <w:r>
        <w:rPr>
          <w:color w:val="231F20"/>
          <w:spacing w:val="-6"/>
        </w:rPr>
        <w:t xml:space="preserve"> </w:t>
      </w:r>
      <w:r>
        <w:rPr>
          <w:color w:val="231F20"/>
        </w:rPr>
        <w:t>на</w:t>
      </w:r>
      <w:r>
        <w:rPr>
          <w:color w:val="231F20"/>
          <w:spacing w:val="-6"/>
        </w:rPr>
        <w:t xml:space="preserve"> </w:t>
      </w:r>
      <w:r>
        <w:rPr>
          <w:color w:val="231F20"/>
        </w:rPr>
        <w:t>собі</w:t>
      </w:r>
      <w:r>
        <w:rPr>
          <w:color w:val="231F20"/>
          <w:spacing w:val="-6"/>
        </w:rPr>
        <w:t xml:space="preserve"> </w:t>
      </w:r>
      <w:r>
        <w:rPr>
          <w:color w:val="231F20"/>
        </w:rPr>
        <w:t>як</w:t>
      </w:r>
      <w:r>
        <w:rPr>
          <w:color w:val="231F20"/>
          <w:spacing w:val="-6"/>
        </w:rPr>
        <w:t xml:space="preserve"> </w:t>
      </w:r>
      <w:r>
        <w:rPr>
          <w:color w:val="231F20"/>
        </w:rPr>
        <w:t>позитивний,</w:t>
      </w:r>
      <w:r>
        <w:rPr>
          <w:color w:val="231F20"/>
          <w:spacing w:val="-6"/>
        </w:rPr>
        <w:t xml:space="preserve"> </w:t>
      </w:r>
      <w:r>
        <w:rPr>
          <w:color w:val="231F20"/>
        </w:rPr>
        <w:t>так</w:t>
      </w:r>
      <w:r>
        <w:rPr>
          <w:color w:val="231F20"/>
          <w:spacing w:val="-6"/>
        </w:rPr>
        <w:t xml:space="preserve"> </w:t>
      </w:r>
      <w:r>
        <w:rPr>
          <w:color w:val="231F20"/>
        </w:rPr>
        <w:t>і</w:t>
      </w:r>
      <w:r>
        <w:rPr>
          <w:color w:val="231F20"/>
          <w:spacing w:val="-7"/>
        </w:rPr>
        <w:t xml:space="preserve"> </w:t>
      </w:r>
      <w:r>
        <w:rPr>
          <w:color w:val="231F20"/>
        </w:rPr>
        <w:t xml:space="preserve">нега- тивний управлінський вплив </w:t>
      </w:r>
      <w:r>
        <w:rPr>
          <w:color w:val="231F20"/>
          <w:spacing w:val="-3"/>
        </w:rPr>
        <w:t xml:space="preserve">суб’єкта </w:t>
      </w:r>
      <w:r>
        <w:rPr>
          <w:color w:val="231F20"/>
        </w:rPr>
        <w:t xml:space="preserve">публічної адміністрації. У такому разі приватна особа зобов’язана виконувати законні вимоги </w:t>
      </w:r>
      <w:r>
        <w:rPr>
          <w:color w:val="231F20"/>
          <w:spacing w:val="-3"/>
        </w:rPr>
        <w:t xml:space="preserve">суб’єкта </w:t>
      </w:r>
      <w:r>
        <w:rPr>
          <w:color w:val="231F20"/>
        </w:rPr>
        <w:t>публічної</w:t>
      </w:r>
      <w:r>
        <w:rPr>
          <w:color w:val="231F20"/>
        </w:rPr>
        <w:t xml:space="preserve"> </w:t>
      </w:r>
      <w:r>
        <w:rPr>
          <w:color w:val="231F20"/>
        </w:rPr>
        <w:t>адміністрації.</w:t>
      </w:r>
    </w:p>
    <w:p w14:paraId="2DA65FF9" w14:textId="77777777" w:rsidR="00DE575E" w:rsidRDefault="002E7560">
      <w:pPr>
        <w:spacing w:before="101" w:line="244" w:lineRule="auto"/>
        <w:ind w:left="533" w:right="411" w:firstLine="283"/>
        <w:jc w:val="both"/>
        <w:rPr>
          <w:i/>
          <w:sz w:val="18"/>
        </w:rPr>
      </w:pPr>
      <w:r>
        <w:rPr>
          <w:i/>
          <w:color w:val="231F20"/>
          <w:sz w:val="18"/>
          <w:u w:val="single" w:color="231F20"/>
        </w:rPr>
        <w:t>Приклад:</w:t>
      </w:r>
      <w:r>
        <w:rPr>
          <w:i/>
          <w:color w:val="231F20"/>
          <w:sz w:val="18"/>
        </w:rPr>
        <w:t xml:space="preserve"> приватна особа зобов’язана на зауваження суб’єкта публічної адміністрації припинити куріння тютюнових виробів у місцях, де це заборо- нено законом.</w:t>
      </w:r>
    </w:p>
    <w:p w14:paraId="62BCAE91" w14:textId="77777777" w:rsidR="00DE575E" w:rsidRDefault="002E7560">
      <w:pPr>
        <w:pStyle w:val="BodyText"/>
        <w:spacing w:before="130" w:line="252" w:lineRule="auto"/>
        <w:ind w:left="250" w:right="411" w:firstLine="283"/>
        <w:jc w:val="both"/>
      </w:pPr>
      <w:r>
        <w:rPr>
          <w:color w:val="231F20"/>
        </w:rPr>
        <w:t>Приватна особа в адміністративно-деліктних відносинах має потенційну здатність бути їх суб’єктом. Л</w:t>
      </w:r>
      <w:r>
        <w:rPr>
          <w:color w:val="231F20"/>
        </w:rPr>
        <w:t>ише в разі конкретного порушення заборонних норм адміністративного права приватна особа стає суб’єктом адміністративного проступку.</w:t>
      </w:r>
    </w:p>
    <w:p w14:paraId="7B81EC14" w14:textId="77777777" w:rsidR="00DE575E" w:rsidRDefault="002E7560">
      <w:pPr>
        <w:spacing w:before="101" w:line="244" w:lineRule="auto"/>
        <w:ind w:left="533" w:right="411" w:firstLine="283"/>
        <w:jc w:val="both"/>
        <w:rPr>
          <w:i/>
          <w:sz w:val="18"/>
        </w:rPr>
      </w:pPr>
      <w:r>
        <w:rPr>
          <w:i/>
          <w:color w:val="231F20"/>
          <w:sz w:val="18"/>
          <w:u w:val="single" w:color="231F20"/>
        </w:rPr>
        <w:t>Приклад:</w:t>
      </w:r>
      <w:r>
        <w:rPr>
          <w:i/>
          <w:color w:val="231F20"/>
          <w:sz w:val="18"/>
        </w:rPr>
        <w:t xml:space="preserve"> якщо приватна особа не чинить адміністративних правопору- шень, то вона не є суб’єктом адміністративно-деліктних ві</w:t>
      </w:r>
      <w:r>
        <w:rPr>
          <w:i/>
          <w:color w:val="231F20"/>
          <w:sz w:val="18"/>
        </w:rPr>
        <w:t>дносин.</w:t>
      </w:r>
    </w:p>
    <w:p w14:paraId="424AC1B0" w14:textId="77777777" w:rsidR="00DE575E" w:rsidRDefault="002E7560">
      <w:pPr>
        <w:pStyle w:val="BodyText"/>
        <w:spacing w:before="130" w:line="252" w:lineRule="auto"/>
        <w:ind w:left="250" w:right="411" w:firstLine="283"/>
        <w:jc w:val="both"/>
      </w:pPr>
      <w:r>
        <w:rPr>
          <w:color w:val="231F20"/>
        </w:rPr>
        <w:t>Таким чином, приватна особа в системі суб’єктів адміністратив- ного права характеризується такими особливостями:</w:t>
      </w:r>
    </w:p>
    <w:p w14:paraId="48F551AE" w14:textId="77777777" w:rsidR="00DE575E" w:rsidRDefault="002E7560">
      <w:pPr>
        <w:pStyle w:val="ListParagraph"/>
        <w:numPr>
          <w:ilvl w:val="0"/>
          <w:numId w:val="258"/>
        </w:numPr>
        <w:tabs>
          <w:tab w:val="left" w:pos="818"/>
        </w:tabs>
        <w:spacing w:line="252" w:lineRule="auto"/>
        <w:ind w:right="410" w:firstLine="283"/>
        <w:rPr>
          <w:sz w:val="21"/>
        </w:rPr>
      </w:pPr>
      <w:r>
        <w:rPr>
          <w:color w:val="231F20"/>
          <w:sz w:val="21"/>
        </w:rPr>
        <w:t>це особа, що діє від себе особисто, неофіційно, не є посадовою чи службовою особою або/та не виконує делегованих виконавчих функцій;</w:t>
      </w:r>
    </w:p>
    <w:p w14:paraId="064B6AC3" w14:textId="77777777" w:rsidR="00DE575E" w:rsidRDefault="002E7560">
      <w:pPr>
        <w:pStyle w:val="ListParagraph"/>
        <w:numPr>
          <w:ilvl w:val="0"/>
          <w:numId w:val="258"/>
        </w:numPr>
        <w:tabs>
          <w:tab w:val="left" w:pos="818"/>
        </w:tabs>
        <w:spacing w:line="252" w:lineRule="auto"/>
        <w:ind w:right="411" w:firstLine="283"/>
        <w:rPr>
          <w:sz w:val="21"/>
        </w:rPr>
      </w:pPr>
      <w:r>
        <w:rPr>
          <w:color w:val="231F20"/>
          <w:sz w:val="21"/>
        </w:rPr>
        <w:t>з погляду спрямованості управлінського впливу публічної адміністрації, їй належить провідна роль, адже публічна</w:t>
      </w:r>
      <w:r>
        <w:rPr>
          <w:color w:val="231F20"/>
          <w:spacing w:val="-18"/>
          <w:sz w:val="21"/>
        </w:rPr>
        <w:t xml:space="preserve"> </w:t>
      </w:r>
      <w:r>
        <w:rPr>
          <w:color w:val="231F20"/>
          <w:sz w:val="21"/>
        </w:rPr>
        <w:t>адміністра-</w:t>
      </w:r>
    </w:p>
    <w:p w14:paraId="164B798F" w14:textId="77777777" w:rsidR="00DE575E" w:rsidRDefault="00DE575E">
      <w:pPr>
        <w:pStyle w:val="BodyText"/>
        <w:spacing w:before="10"/>
        <w:rPr>
          <w:sz w:val="16"/>
        </w:rPr>
      </w:pPr>
    </w:p>
    <w:p w14:paraId="688317B2" w14:textId="77777777" w:rsidR="00DE575E" w:rsidRDefault="002E7560">
      <w:pPr>
        <w:spacing w:before="92"/>
        <w:ind w:right="411"/>
        <w:jc w:val="right"/>
        <w:rPr>
          <w:rFonts w:ascii="Times New Roman"/>
          <w:sz w:val="20"/>
        </w:rPr>
      </w:pPr>
      <w:r>
        <w:rPr>
          <w:rFonts w:ascii="Times New Roman"/>
          <w:color w:val="231F20"/>
          <w:w w:val="90"/>
          <w:sz w:val="20"/>
        </w:rPr>
        <w:t>131</w:t>
      </w:r>
    </w:p>
    <w:p w14:paraId="0831031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B4FA99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A2A272E" w14:textId="4C0D1D3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B5B24D3" wp14:editId="0BC62885">
                <wp:extent cx="4140200" cy="6350"/>
                <wp:effectExtent l="0" t="0" r="12700" b="6350"/>
                <wp:docPr id="1079"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80" name="Line 10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E9D1CC" id="Group_x0020_10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fJdWYIECAACcBQAA&#10;DgAAAAAAAAAAAAAAAAAsAgAAZHJzL2Uyb0RvYy54bWxQSwECLQAUAAYACAAAACEATKewkNkAAAAD&#10;AQAADwAAAAAAAAAAAAAAAADZBAAAZHJzL2Rvd25yZXYueG1sUEsFBgAAAAAEAAQA8wAAAN8FAAAA&#10;AA==&#10;">
                <v:line id="Line_x0020_10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VN3ccAAADdAAAADwAAAGRycy9kb3ducmV2LnhtbESPQWvCQBCF74X+h2UKvRTdWKFIdJVS&#10;EEoPao0/YMyOSXB3NmZXk/bXO4dCbzO8N+99s1gN3qkbdbEJbGAyzkARl8E2XBk4FOvRDFRMyBZd&#10;YDLwQxFWy8eHBeY29PxNt32qlIRwzNFAnVKbax3LmjzGcWiJRTuFzmOStau07bCXcO/0a5a9aY8N&#10;S0ONLX3UVJ73V2+guLwkt9t+ub7YHqf6eNlMf68bY56fhvc5qERD+jf/XX9awc9mwi/fyAh6e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VU3dxwAAAN0AAAAPAAAAAAAA&#10;AAAAAAAAAKECAABkcnMvZG93bnJldi54bWxQSwUGAAAAAAQABAD5AAAAlQMAAAAA&#10;" strokecolor="#231f20" strokeweight=".5pt"/>
                <w10:anchorlock/>
              </v:group>
            </w:pict>
          </mc:Fallback>
        </mc:AlternateContent>
      </w:r>
    </w:p>
    <w:p w14:paraId="5E2DC5F5" w14:textId="77777777" w:rsidR="00DE575E" w:rsidRDefault="00DE575E">
      <w:pPr>
        <w:pStyle w:val="BodyText"/>
        <w:spacing w:before="7"/>
        <w:rPr>
          <w:rFonts w:ascii="AdonisC"/>
          <w:i/>
          <w:sz w:val="11"/>
        </w:rPr>
      </w:pPr>
    </w:p>
    <w:p w14:paraId="1D103554" w14:textId="77777777" w:rsidR="00DE575E" w:rsidRDefault="002E7560">
      <w:pPr>
        <w:pStyle w:val="BodyText"/>
        <w:spacing w:before="101" w:line="252" w:lineRule="auto"/>
        <w:ind w:left="533"/>
      </w:pPr>
      <w:r>
        <w:rPr>
          <w:color w:val="231F20"/>
        </w:rPr>
        <w:t>ція має якнайповніше задовольняти права, свободи та законні інте- реси невладних фізичних і юридичних осіб;</w:t>
      </w:r>
    </w:p>
    <w:p w14:paraId="11DA8B85" w14:textId="77777777" w:rsidR="00DE575E" w:rsidRDefault="002E7560">
      <w:pPr>
        <w:pStyle w:val="ListParagraph"/>
        <w:numPr>
          <w:ilvl w:val="0"/>
          <w:numId w:val="246"/>
        </w:numPr>
        <w:tabs>
          <w:tab w:val="left" w:pos="1101"/>
        </w:tabs>
        <w:spacing w:line="252" w:lineRule="auto"/>
        <w:ind w:right="128" w:firstLine="284"/>
        <w:rPr>
          <w:sz w:val="21"/>
        </w:rPr>
      </w:pPr>
      <w:r>
        <w:rPr>
          <w:color w:val="231F20"/>
          <w:sz w:val="21"/>
        </w:rPr>
        <w:t>зміст</w:t>
      </w:r>
      <w:r>
        <w:rPr>
          <w:color w:val="231F20"/>
          <w:spacing w:val="-19"/>
          <w:sz w:val="21"/>
        </w:rPr>
        <w:t xml:space="preserve"> </w:t>
      </w:r>
      <w:r>
        <w:rPr>
          <w:color w:val="231F20"/>
          <w:sz w:val="21"/>
        </w:rPr>
        <w:t>поняття</w:t>
      </w:r>
      <w:r>
        <w:rPr>
          <w:color w:val="231F20"/>
          <w:spacing w:val="-19"/>
          <w:sz w:val="21"/>
        </w:rPr>
        <w:t xml:space="preserve"> </w:t>
      </w:r>
      <w:r>
        <w:rPr>
          <w:color w:val="231F20"/>
          <w:sz w:val="21"/>
        </w:rPr>
        <w:t>«приватна</w:t>
      </w:r>
      <w:r>
        <w:rPr>
          <w:color w:val="231F20"/>
          <w:spacing w:val="-19"/>
          <w:sz w:val="21"/>
        </w:rPr>
        <w:t xml:space="preserve"> </w:t>
      </w:r>
      <w:r>
        <w:rPr>
          <w:color w:val="231F20"/>
          <w:sz w:val="21"/>
        </w:rPr>
        <w:t>особа»</w:t>
      </w:r>
      <w:r>
        <w:rPr>
          <w:color w:val="231F20"/>
          <w:spacing w:val="-19"/>
          <w:sz w:val="21"/>
        </w:rPr>
        <w:t xml:space="preserve"> </w:t>
      </w:r>
      <w:r>
        <w:rPr>
          <w:color w:val="231F20"/>
          <w:sz w:val="21"/>
        </w:rPr>
        <w:t>в</w:t>
      </w:r>
      <w:r>
        <w:rPr>
          <w:color w:val="231F20"/>
          <w:spacing w:val="-21"/>
          <w:sz w:val="21"/>
        </w:rPr>
        <w:t xml:space="preserve"> </w:t>
      </w:r>
      <w:r>
        <w:rPr>
          <w:color w:val="231F20"/>
          <w:sz w:val="21"/>
        </w:rPr>
        <w:t>контексті</w:t>
      </w:r>
      <w:r>
        <w:rPr>
          <w:color w:val="231F20"/>
          <w:spacing w:val="-19"/>
          <w:sz w:val="21"/>
        </w:rPr>
        <w:t xml:space="preserve"> </w:t>
      </w:r>
      <w:r>
        <w:rPr>
          <w:color w:val="231F20"/>
          <w:sz w:val="21"/>
        </w:rPr>
        <w:t xml:space="preserve">адміністративного права містить тріаду: приватна особа як </w:t>
      </w:r>
      <w:r>
        <w:rPr>
          <w:color w:val="231F20"/>
          <w:spacing w:val="-4"/>
          <w:sz w:val="21"/>
        </w:rPr>
        <w:t xml:space="preserve">суб’єкт </w:t>
      </w:r>
      <w:r>
        <w:rPr>
          <w:color w:val="231F20"/>
          <w:sz w:val="21"/>
        </w:rPr>
        <w:t>ад</w:t>
      </w:r>
      <w:r>
        <w:rPr>
          <w:color w:val="231F20"/>
          <w:sz w:val="21"/>
        </w:rPr>
        <w:t>міністративно- правових</w:t>
      </w:r>
      <w:r>
        <w:rPr>
          <w:color w:val="231F20"/>
          <w:spacing w:val="-11"/>
          <w:sz w:val="21"/>
        </w:rPr>
        <w:t xml:space="preserve"> </w:t>
      </w:r>
      <w:r>
        <w:rPr>
          <w:color w:val="231F20"/>
          <w:sz w:val="21"/>
        </w:rPr>
        <w:t>відносин;</w:t>
      </w:r>
      <w:r>
        <w:rPr>
          <w:color w:val="231F20"/>
          <w:spacing w:val="-11"/>
          <w:sz w:val="21"/>
        </w:rPr>
        <w:t xml:space="preserve"> </w:t>
      </w:r>
      <w:r>
        <w:rPr>
          <w:color w:val="231F20"/>
          <w:sz w:val="21"/>
        </w:rPr>
        <w:t>приватна</w:t>
      </w:r>
      <w:r>
        <w:rPr>
          <w:color w:val="231F20"/>
          <w:spacing w:val="-11"/>
          <w:sz w:val="21"/>
        </w:rPr>
        <w:t xml:space="preserve"> </w:t>
      </w:r>
      <w:r>
        <w:rPr>
          <w:color w:val="231F20"/>
          <w:sz w:val="21"/>
        </w:rPr>
        <w:t>особа</w:t>
      </w:r>
      <w:r>
        <w:rPr>
          <w:color w:val="231F20"/>
          <w:spacing w:val="-11"/>
          <w:sz w:val="21"/>
        </w:rPr>
        <w:t xml:space="preserve"> </w:t>
      </w:r>
      <w:r>
        <w:rPr>
          <w:color w:val="231F20"/>
          <w:sz w:val="21"/>
        </w:rPr>
        <w:t>як</w:t>
      </w:r>
      <w:r>
        <w:rPr>
          <w:color w:val="231F20"/>
          <w:spacing w:val="-11"/>
          <w:sz w:val="21"/>
        </w:rPr>
        <w:t xml:space="preserve"> </w:t>
      </w:r>
      <w:r>
        <w:rPr>
          <w:color w:val="231F20"/>
          <w:spacing w:val="-4"/>
          <w:sz w:val="21"/>
        </w:rPr>
        <w:t>об’єкт</w:t>
      </w:r>
      <w:r>
        <w:rPr>
          <w:color w:val="231F20"/>
          <w:spacing w:val="-11"/>
          <w:sz w:val="21"/>
        </w:rPr>
        <w:t xml:space="preserve"> </w:t>
      </w:r>
      <w:r>
        <w:rPr>
          <w:color w:val="231F20"/>
          <w:sz w:val="21"/>
        </w:rPr>
        <w:t>публічного</w:t>
      </w:r>
      <w:r>
        <w:rPr>
          <w:color w:val="231F20"/>
          <w:spacing w:val="-11"/>
          <w:sz w:val="21"/>
        </w:rPr>
        <w:t xml:space="preserve"> </w:t>
      </w:r>
      <w:r>
        <w:rPr>
          <w:color w:val="231F20"/>
          <w:sz w:val="21"/>
        </w:rPr>
        <w:t xml:space="preserve">управління; приватна особа як </w:t>
      </w:r>
      <w:r>
        <w:rPr>
          <w:color w:val="231F20"/>
          <w:spacing w:val="-4"/>
          <w:sz w:val="21"/>
        </w:rPr>
        <w:t xml:space="preserve">суб’єкт </w:t>
      </w:r>
      <w:r>
        <w:rPr>
          <w:color w:val="231F20"/>
          <w:sz w:val="21"/>
        </w:rPr>
        <w:t>адміністративно-деліктних</w:t>
      </w:r>
      <w:r>
        <w:rPr>
          <w:color w:val="231F20"/>
          <w:spacing w:val="-4"/>
          <w:sz w:val="21"/>
        </w:rPr>
        <w:t xml:space="preserve"> </w:t>
      </w:r>
      <w:r>
        <w:rPr>
          <w:color w:val="231F20"/>
          <w:sz w:val="21"/>
        </w:rPr>
        <w:t>відносин.</w:t>
      </w:r>
    </w:p>
    <w:p w14:paraId="0827230B" w14:textId="77777777" w:rsidR="00DE575E" w:rsidRDefault="002E7560">
      <w:pPr>
        <w:pStyle w:val="Heading5"/>
        <w:spacing w:before="2" w:line="252" w:lineRule="auto"/>
        <w:ind w:right="126" w:firstLine="283"/>
        <w:jc w:val="both"/>
      </w:pPr>
      <w:r>
        <w:rPr>
          <w:color w:val="231F20"/>
        </w:rPr>
        <w:t xml:space="preserve">Отже, приватна особа в системі </w:t>
      </w:r>
      <w:r>
        <w:rPr>
          <w:color w:val="231F20"/>
          <w:spacing w:val="-3"/>
        </w:rPr>
        <w:t xml:space="preserve">суб’єктів </w:t>
      </w:r>
      <w:r>
        <w:rPr>
          <w:color w:val="231F20"/>
        </w:rPr>
        <w:t>адміністративного права</w:t>
      </w:r>
      <w:r>
        <w:rPr>
          <w:color w:val="231F20"/>
          <w:spacing w:val="-10"/>
        </w:rPr>
        <w:t xml:space="preserve"> </w:t>
      </w:r>
      <w:r>
        <w:rPr>
          <w:color w:val="231F20"/>
        </w:rPr>
        <w:t>–</w:t>
      </w:r>
      <w:r>
        <w:rPr>
          <w:color w:val="231F20"/>
          <w:spacing w:val="-10"/>
        </w:rPr>
        <w:t xml:space="preserve"> </w:t>
      </w:r>
      <w:r>
        <w:rPr>
          <w:color w:val="231F20"/>
        </w:rPr>
        <w:t>це</w:t>
      </w:r>
      <w:r>
        <w:rPr>
          <w:color w:val="231F20"/>
          <w:spacing w:val="-10"/>
        </w:rPr>
        <w:t xml:space="preserve"> </w:t>
      </w:r>
      <w:r>
        <w:rPr>
          <w:color w:val="231F20"/>
        </w:rPr>
        <w:t>фізична</w:t>
      </w:r>
      <w:r>
        <w:rPr>
          <w:color w:val="231F20"/>
          <w:spacing w:val="-10"/>
        </w:rPr>
        <w:t xml:space="preserve"> </w:t>
      </w:r>
      <w:r>
        <w:rPr>
          <w:color w:val="231F20"/>
        </w:rPr>
        <w:t>або</w:t>
      </w:r>
      <w:r>
        <w:rPr>
          <w:color w:val="231F20"/>
          <w:spacing w:val="-10"/>
        </w:rPr>
        <w:t xml:space="preserve"> </w:t>
      </w:r>
      <w:r>
        <w:rPr>
          <w:color w:val="231F20"/>
        </w:rPr>
        <w:t>юридична</w:t>
      </w:r>
      <w:r>
        <w:rPr>
          <w:color w:val="231F20"/>
          <w:spacing w:val="-10"/>
        </w:rPr>
        <w:t xml:space="preserve"> </w:t>
      </w:r>
      <w:r>
        <w:rPr>
          <w:color w:val="231F20"/>
        </w:rPr>
        <w:t>особа,</w:t>
      </w:r>
      <w:r>
        <w:rPr>
          <w:color w:val="231F20"/>
          <w:spacing w:val="-10"/>
        </w:rPr>
        <w:t xml:space="preserve"> </w:t>
      </w:r>
      <w:r>
        <w:rPr>
          <w:color w:val="231F20"/>
        </w:rPr>
        <w:t>що</w:t>
      </w:r>
      <w:r>
        <w:rPr>
          <w:color w:val="231F20"/>
          <w:spacing w:val="-10"/>
        </w:rPr>
        <w:t xml:space="preserve"> </w:t>
      </w:r>
      <w:r>
        <w:rPr>
          <w:color w:val="231F20"/>
        </w:rPr>
        <w:t>діє</w:t>
      </w:r>
      <w:r>
        <w:rPr>
          <w:color w:val="231F20"/>
          <w:spacing w:val="-10"/>
        </w:rPr>
        <w:t xml:space="preserve"> </w:t>
      </w:r>
      <w:r>
        <w:rPr>
          <w:color w:val="231F20"/>
        </w:rPr>
        <w:t>від</w:t>
      </w:r>
      <w:r>
        <w:rPr>
          <w:color w:val="231F20"/>
          <w:spacing w:val="-10"/>
        </w:rPr>
        <w:t xml:space="preserve"> </w:t>
      </w:r>
      <w:r>
        <w:rPr>
          <w:color w:val="231F20"/>
        </w:rPr>
        <w:t>себе</w:t>
      </w:r>
      <w:r>
        <w:rPr>
          <w:color w:val="231F20"/>
          <w:spacing w:val="-10"/>
        </w:rPr>
        <w:t xml:space="preserve"> </w:t>
      </w:r>
      <w:r>
        <w:rPr>
          <w:color w:val="231F20"/>
        </w:rPr>
        <w:t>особисто, неофіційно та не має будь-яких владних</w:t>
      </w:r>
      <w:r>
        <w:rPr>
          <w:color w:val="231F20"/>
          <w:spacing w:val="-13"/>
        </w:rPr>
        <w:t xml:space="preserve"> </w:t>
      </w:r>
      <w:r>
        <w:rPr>
          <w:color w:val="231F20"/>
        </w:rPr>
        <w:t>повноважень.</w:t>
      </w:r>
    </w:p>
    <w:p w14:paraId="60781989" w14:textId="77777777" w:rsidR="00DE575E" w:rsidRDefault="00DE575E">
      <w:pPr>
        <w:pStyle w:val="BodyText"/>
        <w:spacing w:before="1"/>
        <w:rPr>
          <w:b/>
          <w:sz w:val="22"/>
        </w:rPr>
      </w:pPr>
    </w:p>
    <w:p w14:paraId="7A7893FA" w14:textId="77777777" w:rsidR="00DE575E" w:rsidRDefault="002E7560">
      <w:pPr>
        <w:pStyle w:val="ListParagraph"/>
        <w:numPr>
          <w:ilvl w:val="2"/>
          <w:numId w:val="245"/>
        </w:numPr>
        <w:tabs>
          <w:tab w:val="left" w:pos="1383"/>
        </w:tabs>
        <w:spacing w:before="0"/>
        <w:rPr>
          <w:b/>
          <w:sz w:val="21"/>
        </w:rPr>
      </w:pPr>
      <w:r>
        <w:rPr>
          <w:b/>
          <w:color w:val="231F20"/>
          <w:sz w:val="21"/>
        </w:rPr>
        <w:t>Види приватних</w:t>
      </w:r>
      <w:r>
        <w:rPr>
          <w:b/>
          <w:color w:val="231F20"/>
          <w:spacing w:val="-3"/>
          <w:sz w:val="21"/>
        </w:rPr>
        <w:t xml:space="preserve"> </w:t>
      </w:r>
      <w:r>
        <w:rPr>
          <w:b/>
          <w:color w:val="231F20"/>
          <w:sz w:val="21"/>
        </w:rPr>
        <w:t>осіб</w:t>
      </w:r>
    </w:p>
    <w:p w14:paraId="7ED1DDA5" w14:textId="77777777" w:rsidR="00DE575E" w:rsidRDefault="00DE575E">
      <w:pPr>
        <w:pStyle w:val="BodyText"/>
        <w:spacing w:before="2"/>
        <w:rPr>
          <w:b/>
          <w:sz w:val="23"/>
        </w:rPr>
      </w:pPr>
    </w:p>
    <w:p w14:paraId="5430FEA6" w14:textId="77777777" w:rsidR="00DE575E" w:rsidRDefault="002E7560">
      <w:pPr>
        <w:pStyle w:val="BodyText"/>
        <w:spacing w:line="252" w:lineRule="auto"/>
        <w:ind w:left="533" w:right="128" w:firstLine="283"/>
        <w:jc w:val="both"/>
      </w:pPr>
      <w:r>
        <w:rPr>
          <w:color w:val="231F20"/>
        </w:rPr>
        <w:t>Для адміністративного права характерна значна кількість приватних суб’єктів із різними повноваженнями, статусом, структу- рою і правовими ознаками.</w:t>
      </w:r>
    </w:p>
    <w:p w14:paraId="76A5FBF2" w14:textId="77777777" w:rsidR="00DE575E" w:rsidRDefault="002E7560">
      <w:pPr>
        <w:spacing w:before="2" w:line="252" w:lineRule="auto"/>
        <w:ind w:left="533" w:right="128" w:firstLine="283"/>
        <w:jc w:val="both"/>
        <w:rPr>
          <w:sz w:val="21"/>
        </w:rPr>
      </w:pPr>
      <w:r>
        <w:rPr>
          <w:color w:val="231F20"/>
          <w:sz w:val="21"/>
        </w:rPr>
        <w:t xml:space="preserve">Серед </w:t>
      </w:r>
      <w:r>
        <w:rPr>
          <w:b/>
          <w:color w:val="231F20"/>
          <w:spacing w:val="-3"/>
          <w:sz w:val="21"/>
        </w:rPr>
        <w:t xml:space="preserve">суб’єктів  </w:t>
      </w:r>
      <w:r>
        <w:rPr>
          <w:b/>
          <w:color w:val="231F20"/>
          <w:sz w:val="21"/>
        </w:rPr>
        <w:t>адміністративного права приватних осіб</w:t>
      </w:r>
      <w:r>
        <w:rPr>
          <w:color w:val="231F20"/>
          <w:sz w:val="21"/>
        </w:rPr>
        <w:t>, які  є учасниками адміністративних правовідносин і правовий статус яких характеризується відсутністю владних повноважень у сфері публічного адміністрування, слід</w:t>
      </w:r>
      <w:r>
        <w:rPr>
          <w:color w:val="231F20"/>
          <w:spacing w:val="-3"/>
          <w:sz w:val="21"/>
        </w:rPr>
        <w:t xml:space="preserve"> </w:t>
      </w:r>
      <w:r>
        <w:rPr>
          <w:color w:val="231F20"/>
          <w:sz w:val="21"/>
        </w:rPr>
        <w:t>виділити:</w:t>
      </w:r>
    </w:p>
    <w:p w14:paraId="58BF645B" w14:textId="77777777" w:rsidR="00DE575E" w:rsidRDefault="002E7560">
      <w:pPr>
        <w:pStyle w:val="ListParagraph"/>
        <w:numPr>
          <w:ilvl w:val="0"/>
          <w:numId w:val="246"/>
        </w:numPr>
        <w:tabs>
          <w:tab w:val="left" w:pos="1101"/>
        </w:tabs>
        <w:spacing w:before="2" w:line="252" w:lineRule="auto"/>
        <w:ind w:right="128" w:firstLine="284"/>
        <w:rPr>
          <w:sz w:val="21"/>
        </w:rPr>
      </w:pPr>
      <w:r>
        <w:rPr>
          <w:color w:val="231F20"/>
          <w:sz w:val="21"/>
        </w:rPr>
        <w:t>фізичних осіб-громадян України, іноземців, о</w:t>
      </w:r>
      <w:r>
        <w:rPr>
          <w:color w:val="231F20"/>
          <w:sz w:val="21"/>
        </w:rPr>
        <w:t>сіб без грома- дянства;</w:t>
      </w:r>
    </w:p>
    <w:p w14:paraId="4179D133" w14:textId="77777777" w:rsidR="00DE575E" w:rsidRDefault="002E7560">
      <w:pPr>
        <w:pStyle w:val="ListParagraph"/>
        <w:numPr>
          <w:ilvl w:val="0"/>
          <w:numId w:val="246"/>
        </w:numPr>
        <w:tabs>
          <w:tab w:val="left" w:pos="1101"/>
        </w:tabs>
        <w:ind w:firstLine="284"/>
        <w:jc w:val="left"/>
        <w:rPr>
          <w:sz w:val="21"/>
        </w:rPr>
      </w:pPr>
      <w:r>
        <w:rPr>
          <w:color w:val="231F20"/>
          <w:sz w:val="21"/>
        </w:rPr>
        <w:t>фізичних</w:t>
      </w:r>
      <w:r>
        <w:rPr>
          <w:color w:val="231F20"/>
          <w:spacing w:val="-2"/>
          <w:sz w:val="21"/>
        </w:rPr>
        <w:t xml:space="preserve"> </w:t>
      </w:r>
      <w:r>
        <w:rPr>
          <w:color w:val="231F20"/>
          <w:sz w:val="21"/>
        </w:rPr>
        <w:t>осіб-підприємців;</w:t>
      </w:r>
    </w:p>
    <w:p w14:paraId="795B58B5" w14:textId="77777777" w:rsidR="00DE575E" w:rsidRDefault="002E7560">
      <w:pPr>
        <w:pStyle w:val="ListParagraph"/>
        <w:numPr>
          <w:ilvl w:val="0"/>
          <w:numId w:val="246"/>
        </w:numPr>
        <w:tabs>
          <w:tab w:val="left" w:pos="1101"/>
        </w:tabs>
        <w:spacing w:before="13" w:line="252" w:lineRule="auto"/>
        <w:ind w:right="127" w:firstLine="284"/>
        <w:rPr>
          <w:sz w:val="21"/>
        </w:rPr>
      </w:pPr>
      <w:r>
        <w:rPr>
          <w:color w:val="231F20"/>
          <w:sz w:val="21"/>
        </w:rPr>
        <w:t>юридичних осіб приватної форми власності (підприємства, установи, господарські</w:t>
      </w:r>
      <w:r>
        <w:rPr>
          <w:color w:val="231F20"/>
          <w:spacing w:val="-3"/>
          <w:sz w:val="21"/>
        </w:rPr>
        <w:t xml:space="preserve"> </w:t>
      </w:r>
      <w:r>
        <w:rPr>
          <w:color w:val="231F20"/>
          <w:sz w:val="21"/>
        </w:rPr>
        <w:t>товариства);</w:t>
      </w:r>
    </w:p>
    <w:p w14:paraId="40670706" w14:textId="77777777" w:rsidR="00DE575E" w:rsidRDefault="002E7560">
      <w:pPr>
        <w:pStyle w:val="ListParagraph"/>
        <w:numPr>
          <w:ilvl w:val="0"/>
          <w:numId w:val="246"/>
        </w:numPr>
        <w:tabs>
          <w:tab w:val="left" w:pos="1101"/>
        </w:tabs>
        <w:ind w:firstLine="284"/>
        <w:jc w:val="left"/>
        <w:rPr>
          <w:sz w:val="21"/>
        </w:rPr>
      </w:pPr>
      <w:r>
        <w:rPr>
          <w:color w:val="231F20"/>
          <w:sz w:val="21"/>
        </w:rPr>
        <w:t xml:space="preserve">громадські </w:t>
      </w:r>
      <w:r>
        <w:rPr>
          <w:color w:val="231F20"/>
          <w:spacing w:val="-3"/>
          <w:sz w:val="21"/>
        </w:rPr>
        <w:t>об’єднання;</w:t>
      </w:r>
    </w:p>
    <w:p w14:paraId="4B8540FA" w14:textId="77777777" w:rsidR="00DE575E" w:rsidRDefault="002E7560">
      <w:pPr>
        <w:pStyle w:val="ListParagraph"/>
        <w:numPr>
          <w:ilvl w:val="0"/>
          <w:numId w:val="246"/>
        </w:numPr>
        <w:tabs>
          <w:tab w:val="left" w:pos="1101"/>
        </w:tabs>
        <w:spacing w:before="12"/>
        <w:ind w:firstLine="284"/>
        <w:jc w:val="left"/>
        <w:rPr>
          <w:sz w:val="21"/>
        </w:rPr>
      </w:pPr>
      <w:r>
        <w:rPr>
          <w:color w:val="231F20"/>
          <w:sz w:val="21"/>
        </w:rPr>
        <w:t>професійні</w:t>
      </w:r>
      <w:r>
        <w:rPr>
          <w:color w:val="231F20"/>
          <w:spacing w:val="-1"/>
          <w:sz w:val="21"/>
        </w:rPr>
        <w:t xml:space="preserve"> </w:t>
      </w:r>
      <w:r>
        <w:rPr>
          <w:color w:val="231F20"/>
          <w:sz w:val="21"/>
        </w:rPr>
        <w:t>спілки;</w:t>
      </w:r>
    </w:p>
    <w:p w14:paraId="521AA1D1" w14:textId="77777777" w:rsidR="00DE575E" w:rsidRDefault="002E7560">
      <w:pPr>
        <w:pStyle w:val="ListParagraph"/>
        <w:numPr>
          <w:ilvl w:val="0"/>
          <w:numId w:val="246"/>
        </w:numPr>
        <w:tabs>
          <w:tab w:val="left" w:pos="1101"/>
        </w:tabs>
        <w:spacing w:before="13"/>
        <w:ind w:firstLine="284"/>
        <w:jc w:val="left"/>
        <w:rPr>
          <w:sz w:val="21"/>
        </w:rPr>
      </w:pPr>
      <w:r>
        <w:rPr>
          <w:color w:val="231F20"/>
          <w:sz w:val="21"/>
        </w:rPr>
        <w:t>політичні</w:t>
      </w:r>
      <w:r>
        <w:rPr>
          <w:color w:val="231F20"/>
          <w:spacing w:val="-1"/>
          <w:sz w:val="21"/>
        </w:rPr>
        <w:t xml:space="preserve"> </w:t>
      </w:r>
      <w:r>
        <w:rPr>
          <w:color w:val="231F20"/>
          <w:sz w:val="21"/>
        </w:rPr>
        <w:t>партії;</w:t>
      </w:r>
    </w:p>
    <w:p w14:paraId="62BEB773" w14:textId="77777777" w:rsidR="00DE575E" w:rsidRDefault="002E7560">
      <w:pPr>
        <w:pStyle w:val="ListParagraph"/>
        <w:numPr>
          <w:ilvl w:val="0"/>
          <w:numId w:val="246"/>
        </w:numPr>
        <w:tabs>
          <w:tab w:val="left" w:pos="1101"/>
        </w:tabs>
        <w:spacing w:before="13"/>
        <w:ind w:firstLine="284"/>
        <w:jc w:val="left"/>
        <w:rPr>
          <w:sz w:val="21"/>
        </w:rPr>
      </w:pPr>
      <w:r>
        <w:rPr>
          <w:color w:val="231F20"/>
          <w:sz w:val="21"/>
        </w:rPr>
        <w:t>органи самоорганізації</w:t>
      </w:r>
      <w:r>
        <w:rPr>
          <w:color w:val="231F20"/>
          <w:spacing w:val="-3"/>
          <w:sz w:val="21"/>
        </w:rPr>
        <w:t xml:space="preserve"> </w:t>
      </w:r>
      <w:r>
        <w:rPr>
          <w:color w:val="231F20"/>
          <w:sz w:val="21"/>
        </w:rPr>
        <w:t>населення;</w:t>
      </w:r>
    </w:p>
    <w:p w14:paraId="49909F87" w14:textId="77777777" w:rsidR="00DE575E" w:rsidRDefault="002E7560">
      <w:pPr>
        <w:pStyle w:val="ListParagraph"/>
        <w:numPr>
          <w:ilvl w:val="0"/>
          <w:numId w:val="246"/>
        </w:numPr>
        <w:tabs>
          <w:tab w:val="left" w:pos="1101"/>
        </w:tabs>
        <w:spacing w:before="13"/>
        <w:ind w:firstLine="284"/>
        <w:jc w:val="left"/>
        <w:rPr>
          <w:sz w:val="21"/>
        </w:rPr>
      </w:pPr>
      <w:r>
        <w:rPr>
          <w:color w:val="231F20"/>
          <w:sz w:val="21"/>
        </w:rPr>
        <w:t>релігійні</w:t>
      </w:r>
      <w:r>
        <w:rPr>
          <w:color w:val="231F20"/>
          <w:spacing w:val="-2"/>
          <w:sz w:val="21"/>
        </w:rPr>
        <w:t xml:space="preserve"> </w:t>
      </w:r>
      <w:r>
        <w:rPr>
          <w:color w:val="231F20"/>
          <w:sz w:val="21"/>
        </w:rPr>
        <w:t>організації.</w:t>
      </w:r>
    </w:p>
    <w:p w14:paraId="4C44D556" w14:textId="77777777" w:rsidR="00DE575E" w:rsidRDefault="00DE575E">
      <w:pPr>
        <w:pStyle w:val="BodyText"/>
        <w:spacing w:before="2"/>
        <w:rPr>
          <w:sz w:val="23"/>
        </w:rPr>
      </w:pPr>
    </w:p>
    <w:p w14:paraId="07B90F2D" w14:textId="77777777" w:rsidR="00DE575E" w:rsidRDefault="002E7560">
      <w:pPr>
        <w:pStyle w:val="Heading6"/>
        <w:numPr>
          <w:ilvl w:val="3"/>
          <w:numId w:val="245"/>
        </w:numPr>
        <w:tabs>
          <w:tab w:val="left" w:pos="1535"/>
        </w:tabs>
        <w:spacing w:before="0"/>
        <w:ind w:hanging="717"/>
      </w:pPr>
      <w:r>
        <w:rPr>
          <w:color w:val="231F20"/>
        </w:rPr>
        <w:t>Громадяни</w:t>
      </w:r>
      <w:r>
        <w:rPr>
          <w:color w:val="231F20"/>
          <w:spacing w:val="-2"/>
        </w:rPr>
        <w:t xml:space="preserve"> </w:t>
      </w:r>
      <w:r>
        <w:rPr>
          <w:color w:val="231F20"/>
          <w:spacing w:val="-3"/>
        </w:rPr>
        <w:t>України</w:t>
      </w:r>
    </w:p>
    <w:p w14:paraId="6187D709" w14:textId="77777777" w:rsidR="00DE575E" w:rsidRDefault="002E7560">
      <w:pPr>
        <w:pStyle w:val="BodyText"/>
        <w:spacing w:before="13" w:line="252" w:lineRule="auto"/>
        <w:ind w:left="533" w:right="128" w:firstLine="283"/>
        <w:jc w:val="both"/>
      </w:pPr>
      <w:r>
        <w:rPr>
          <w:color w:val="231F20"/>
        </w:rPr>
        <w:t>До основних індивідуальних приватних осіб, за адміністратив- ним правом, належать громадяни України.</w:t>
      </w:r>
    </w:p>
    <w:p w14:paraId="33515C1F" w14:textId="77777777" w:rsidR="00DE575E" w:rsidRDefault="002E7560">
      <w:pPr>
        <w:pStyle w:val="BodyText"/>
        <w:spacing w:before="1" w:line="252" w:lineRule="auto"/>
        <w:ind w:left="533" w:right="127" w:firstLine="283"/>
        <w:jc w:val="both"/>
      </w:pPr>
      <w:r>
        <w:rPr>
          <w:b/>
          <w:i/>
          <w:color w:val="231F20"/>
        </w:rPr>
        <w:t xml:space="preserve">Громадяни </w:t>
      </w:r>
      <w:r>
        <w:rPr>
          <w:color w:val="231F20"/>
        </w:rPr>
        <w:t xml:space="preserve">– найбільша група </w:t>
      </w:r>
      <w:r>
        <w:rPr>
          <w:color w:val="231F20"/>
          <w:spacing w:val="-3"/>
        </w:rPr>
        <w:t xml:space="preserve">суб’єктів </w:t>
      </w:r>
      <w:r>
        <w:rPr>
          <w:color w:val="231F20"/>
        </w:rPr>
        <w:t xml:space="preserve">адміністративно-право- вих відносин. Конституція </w:t>
      </w:r>
      <w:r>
        <w:rPr>
          <w:color w:val="231F20"/>
          <w:spacing w:val="-3"/>
        </w:rPr>
        <w:t xml:space="preserve">України </w:t>
      </w:r>
      <w:r>
        <w:rPr>
          <w:color w:val="231F20"/>
        </w:rPr>
        <w:t>визначає, що людина, її прав</w:t>
      </w:r>
      <w:r>
        <w:rPr>
          <w:color w:val="231F20"/>
        </w:rPr>
        <w:t>а та свободи є найвищою цінністю. Визнання, дотримання та захист цих прав</w:t>
      </w:r>
      <w:r>
        <w:rPr>
          <w:color w:val="231F20"/>
          <w:spacing w:val="-16"/>
        </w:rPr>
        <w:t xml:space="preserve"> </w:t>
      </w:r>
      <w:r>
        <w:rPr>
          <w:color w:val="231F20"/>
        </w:rPr>
        <w:t>і</w:t>
      </w:r>
      <w:r>
        <w:rPr>
          <w:color w:val="231F20"/>
          <w:spacing w:val="-16"/>
        </w:rPr>
        <w:t xml:space="preserve"> </w:t>
      </w:r>
      <w:r>
        <w:rPr>
          <w:color w:val="231F20"/>
        </w:rPr>
        <w:t>свобод</w:t>
      </w:r>
      <w:r>
        <w:rPr>
          <w:color w:val="231F20"/>
          <w:spacing w:val="-16"/>
        </w:rPr>
        <w:t xml:space="preserve"> </w:t>
      </w:r>
      <w:r>
        <w:rPr>
          <w:color w:val="231F20"/>
        </w:rPr>
        <w:t>є</w:t>
      </w:r>
      <w:r>
        <w:rPr>
          <w:color w:val="231F20"/>
          <w:spacing w:val="-16"/>
        </w:rPr>
        <w:t xml:space="preserve"> </w:t>
      </w:r>
      <w:r>
        <w:rPr>
          <w:color w:val="231F20"/>
        </w:rPr>
        <w:t>обов’язком</w:t>
      </w:r>
      <w:r>
        <w:rPr>
          <w:color w:val="231F20"/>
          <w:spacing w:val="-16"/>
        </w:rPr>
        <w:t xml:space="preserve"> </w:t>
      </w:r>
      <w:r>
        <w:rPr>
          <w:color w:val="231F20"/>
        </w:rPr>
        <w:t>держави.</w:t>
      </w:r>
      <w:r>
        <w:rPr>
          <w:color w:val="231F20"/>
          <w:spacing w:val="-16"/>
        </w:rPr>
        <w:t xml:space="preserve"> </w:t>
      </w:r>
      <w:r>
        <w:rPr>
          <w:color w:val="231F20"/>
          <w:spacing w:val="-3"/>
        </w:rPr>
        <w:t>Кожен</w:t>
      </w:r>
      <w:r>
        <w:rPr>
          <w:color w:val="231F20"/>
          <w:spacing w:val="-16"/>
        </w:rPr>
        <w:t xml:space="preserve"> </w:t>
      </w:r>
      <w:r>
        <w:rPr>
          <w:color w:val="231F20"/>
        </w:rPr>
        <w:t>громадянин</w:t>
      </w:r>
      <w:r>
        <w:rPr>
          <w:color w:val="231F20"/>
          <w:spacing w:val="-16"/>
        </w:rPr>
        <w:t xml:space="preserve"> </w:t>
      </w:r>
      <w:r>
        <w:rPr>
          <w:color w:val="231F20"/>
          <w:spacing w:val="-3"/>
        </w:rPr>
        <w:t>України</w:t>
      </w:r>
      <w:r>
        <w:rPr>
          <w:color w:val="231F20"/>
          <w:spacing w:val="-17"/>
        </w:rPr>
        <w:t xml:space="preserve"> </w:t>
      </w:r>
      <w:r>
        <w:rPr>
          <w:color w:val="231F20"/>
        </w:rPr>
        <w:t>воло- діє на її території всіма правами та свободами і несе рівні обов’язки, передбачені</w:t>
      </w:r>
      <w:r>
        <w:rPr>
          <w:color w:val="231F20"/>
          <w:spacing w:val="-1"/>
        </w:rPr>
        <w:t xml:space="preserve"> </w:t>
      </w:r>
      <w:r>
        <w:rPr>
          <w:color w:val="231F20"/>
        </w:rPr>
        <w:t>Конституцією.</w:t>
      </w:r>
    </w:p>
    <w:p w14:paraId="5347E1A9" w14:textId="77777777" w:rsidR="00DE575E" w:rsidRDefault="00DE575E">
      <w:pPr>
        <w:pStyle w:val="BodyText"/>
        <w:spacing w:before="8"/>
        <w:rPr>
          <w:sz w:val="12"/>
        </w:rPr>
      </w:pPr>
    </w:p>
    <w:p w14:paraId="07A8E66A" w14:textId="77777777" w:rsidR="00DE575E" w:rsidRDefault="002E7560">
      <w:pPr>
        <w:spacing w:before="92"/>
        <w:ind w:left="533"/>
        <w:rPr>
          <w:rFonts w:ascii="Times New Roman"/>
          <w:sz w:val="20"/>
        </w:rPr>
      </w:pPr>
      <w:r>
        <w:rPr>
          <w:rFonts w:ascii="Times New Roman"/>
          <w:color w:val="231F20"/>
          <w:sz w:val="20"/>
        </w:rPr>
        <w:t>132</w:t>
      </w:r>
    </w:p>
    <w:p w14:paraId="759C3810" w14:textId="77777777" w:rsidR="00DE575E" w:rsidRDefault="00DE575E">
      <w:pPr>
        <w:rPr>
          <w:rFonts w:ascii="Times New Roman"/>
          <w:sz w:val="20"/>
        </w:rPr>
        <w:sectPr w:rsidR="00DE575E">
          <w:pgSz w:w="8510" w:h="12760"/>
          <w:pgMar w:top="660" w:right="720" w:bottom="280" w:left="600" w:header="720" w:footer="720" w:gutter="0"/>
          <w:cols w:space="720"/>
        </w:sectPr>
      </w:pPr>
    </w:p>
    <w:p w14:paraId="051FA990"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2AB8B495" w14:textId="6E23EFC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F3B68FF" wp14:editId="27C5E661">
                <wp:extent cx="4140200" cy="6350"/>
                <wp:effectExtent l="0" t="0" r="12700" b="6350"/>
                <wp:docPr id="1077"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78" name="Line 107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79572" id="Group_x0020_107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IqEMUgAIAAJwFAAAO&#10;AAAAAAAAAAAAAAAAACwCAABkcnMvZTJvRG9jLnhtbFBLAQItABQABgAIAAAAIQBMp7CQ2QAAAAMB&#10;AAAPAAAAAAAAAAAAAAAAANgEAABkcnMvZG93bnJldi54bWxQSwUGAAAAAAQABADzAAAA3gUAAAAA&#10;">
                <v:line id="Line_x0020_107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Yx/MgAAADdAAAADwAAAGRycy9kb3ducmV2LnhtbESPQUvDQBCF74L/YRmhF7GbtqASuy1S&#10;EMRDaxN/wDQ7JsHd2TS7bWJ/fecgeJvhvXnvm+V69E6dqY9tYAOzaQaKuAq25drAV/n28AwqJmSL&#10;LjAZ+KUI69XtzRJzGwbe07lItZIQjjkaaFLqcq1j1ZDHOA0dsWjfofeYZO1rbXscJNw7Pc+yR+2x&#10;ZWlosKNNQ9VPcfIGyuN9cp+7DzeUu8NCH47bxeW0NWZyN76+gEo0pn/z3/W7FfzsSXDlGxlBr6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vYx/MgAAADdAAAADwAAAAAA&#10;AAAAAAAAAAChAgAAZHJzL2Rvd25yZXYueG1sUEsFBgAAAAAEAAQA+QAAAJYDAAAAAA==&#10;" strokecolor="#231f20" strokeweight=".5pt"/>
                <w10:anchorlock/>
              </v:group>
            </w:pict>
          </mc:Fallback>
        </mc:AlternateContent>
      </w:r>
    </w:p>
    <w:p w14:paraId="0AF4859C" w14:textId="77777777" w:rsidR="00DE575E" w:rsidRDefault="00DE575E">
      <w:pPr>
        <w:pStyle w:val="BodyText"/>
        <w:spacing w:before="7"/>
        <w:rPr>
          <w:rFonts w:ascii="AdonisC"/>
          <w:i/>
          <w:sz w:val="19"/>
        </w:rPr>
      </w:pPr>
    </w:p>
    <w:p w14:paraId="61B65E1A" w14:textId="77777777" w:rsidR="00DE575E" w:rsidRDefault="002E7560">
      <w:pPr>
        <w:pStyle w:val="BodyText"/>
        <w:spacing w:before="1" w:line="252" w:lineRule="auto"/>
        <w:ind w:left="250" w:right="411" w:firstLine="283"/>
        <w:jc w:val="both"/>
      </w:pPr>
      <w:r>
        <w:rPr>
          <w:color w:val="231F20"/>
        </w:rPr>
        <w:t>Зазначені конституційні положення є вихідними для адміністра- тивно-правового статусу гро</w:t>
      </w:r>
      <w:r>
        <w:rPr>
          <w:color w:val="231F20"/>
        </w:rPr>
        <w:t>мадян, зміст якого становить комплекс їхніх прав, свобод і обов’язків, закріплених нормами адміністратив- ного права у сфері публічного адміністрування, а також установ- лення відповідальності громадян перед публічною владою.</w:t>
      </w:r>
    </w:p>
    <w:p w14:paraId="2C4500A2" w14:textId="77777777" w:rsidR="00DE575E" w:rsidRDefault="002E7560">
      <w:pPr>
        <w:pStyle w:val="BodyText"/>
        <w:spacing w:before="2" w:line="252" w:lineRule="auto"/>
        <w:ind w:left="250" w:right="411" w:firstLine="283"/>
        <w:jc w:val="both"/>
      </w:pPr>
      <w:r>
        <w:rPr>
          <w:color w:val="231F20"/>
        </w:rPr>
        <w:t>Такий статус громадян України є частиною їх загального право- вого статусу, який визначено Конституцією й законами України, зокрема Законом від 18.01.2001 р. «Про громадянство України», міжнародними договорами та іншими актами законодавства України. Осново</w:t>
      </w:r>
      <w:r>
        <w:rPr>
          <w:color w:val="231F20"/>
        </w:rPr>
        <w:t>ю адміністративно-правового статусу (адмініст- ративної правосуб’єктності) громадян України є адміністративна правоздатність і адміністративна дієздатність.</w:t>
      </w:r>
    </w:p>
    <w:p w14:paraId="6E3623FC" w14:textId="77777777" w:rsidR="00DE575E" w:rsidRDefault="002E7560">
      <w:pPr>
        <w:pStyle w:val="BodyText"/>
        <w:spacing w:before="4" w:line="252" w:lineRule="auto"/>
        <w:ind w:left="250" w:right="411" w:firstLine="283"/>
        <w:jc w:val="both"/>
      </w:pPr>
      <w:r>
        <w:rPr>
          <w:b/>
          <w:i/>
          <w:color w:val="231F20"/>
        </w:rPr>
        <w:t xml:space="preserve">Адміністративна правоздатність </w:t>
      </w:r>
      <w:r>
        <w:rPr>
          <w:color w:val="231F20"/>
        </w:rPr>
        <w:t>– це здатність мати права   і нести обов’язки адміністративно-правов</w:t>
      </w:r>
      <w:r>
        <w:rPr>
          <w:color w:val="231F20"/>
        </w:rPr>
        <w:t xml:space="preserve">ого </w:t>
      </w:r>
      <w:r>
        <w:rPr>
          <w:color w:val="231F20"/>
          <w:spacing w:val="-3"/>
        </w:rPr>
        <w:t xml:space="preserve">характеру. </w:t>
      </w:r>
      <w:r>
        <w:rPr>
          <w:color w:val="231F20"/>
        </w:rPr>
        <w:t>Вона вини- кає в момент народження громадянина і припиняється з його смертю. Її обсяг установлюють і змінюють за допомогою адмініст- ративно-правових норм. Вона підтверджується документами про громадянство – паспортом громадянина, а для осіб</w:t>
      </w:r>
      <w:r>
        <w:rPr>
          <w:color w:val="231F20"/>
        </w:rPr>
        <w:t xml:space="preserve"> до 14 років – свідоцтвом про</w:t>
      </w:r>
      <w:r>
        <w:rPr>
          <w:color w:val="231F20"/>
          <w:spacing w:val="-2"/>
        </w:rPr>
        <w:t xml:space="preserve"> </w:t>
      </w:r>
      <w:r>
        <w:rPr>
          <w:color w:val="231F20"/>
        </w:rPr>
        <w:t>народження.</w:t>
      </w:r>
    </w:p>
    <w:p w14:paraId="2E0F7249" w14:textId="77777777" w:rsidR="00DE575E" w:rsidRDefault="002E7560">
      <w:pPr>
        <w:pStyle w:val="BodyText"/>
        <w:spacing w:before="3" w:line="252" w:lineRule="auto"/>
        <w:ind w:left="250" w:right="411" w:firstLine="283"/>
        <w:jc w:val="both"/>
      </w:pPr>
      <w:r>
        <w:rPr>
          <w:color w:val="231F20"/>
        </w:rPr>
        <w:t>Адміністративна правоздатність не може бути відчужена. Грома- дянин не може навіть добровільно відмовитися від своєї правоздат- ності</w:t>
      </w:r>
      <w:r>
        <w:rPr>
          <w:color w:val="231F20"/>
          <w:spacing w:val="-11"/>
        </w:rPr>
        <w:t xml:space="preserve"> </w:t>
      </w:r>
      <w:r>
        <w:rPr>
          <w:color w:val="231F20"/>
        </w:rPr>
        <w:t>–</w:t>
      </w:r>
      <w:r>
        <w:rPr>
          <w:color w:val="231F20"/>
          <w:spacing w:val="-11"/>
        </w:rPr>
        <w:t xml:space="preserve"> </w:t>
      </w:r>
      <w:r>
        <w:rPr>
          <w:color w:val="231F20"/>
        </w:rPr>
        <w:t>така</w:t>
      </w:r>
      <w:r>
        <w:rPr>
          <w:color w:val="231F20"/>
          <w:spacing w:val="-11"/>
        </w:rPr>
        <w:t xml:space="preserve"> </w:t>
      </w:r>
      <w:r>
        <w:rPr>
          <w:color w:val="231F20"/>
        </w:rPr>
        <w:t>відмова</w:t>
      </w:r>
      <w:r>
        <w:rPr>
          <w:color w:val="231F20"/>
          <w:spacing w:val="-11"/>
        </w:rPr>
        <w:t xml:space="preserve"> </w:t>
      </w:r>
      <w:r>
        <w:rPr>
          <w:color w:val="231F20"/>
        </w:rPr>
        <w:t>не</w:t>
      </w:r>
      <w:r>
        <w:rPr>
          <w:color w:val="231F20"/>
          <w:spacing w:val="-11"/>
        </w:rPr>
        <w:t xml:space="preserve"> </w:t>
      </w:r>
      <w:r>
        <w:rPr>
          <w:color w:val="231F20"/>
        </w:rPr>
        <w:t>має</w:t>
      </w:r>
      <w:r>
        <w:rPr>
          <w:color w:val="231F20"/>
          <w:spacing w:val="-11"/>
        </w:rPr>
        <w:t xml:space="preserve"> </w:t>
      </w:r>
      <w:r>
        <w:rPr>
          <w:color w:val="231F20"/>
        </w:rPr>
        <w:t>законної</w:t>
      </w:r>
      <w:r>
        <w:rPr>
          <w:color w:val="231F20"/>
          <w:spacing w:val="-11"/>
        </w:rPr>
        <w:t xml:space="preserve"> </w:t>
      </w:r>
      <w:r>
        <w:rPr>
          <w:color w:val="231F20"/>
        </w:rPr>
        <w:t>сили.</w:t>
      </w:r>
      <w:r>
        <w:rPr>
          <w:color w:val="231F20"/>
          <w:spacing w:val="-11"/>
        </w:rPr>
        <w:t xml:space="preserve"> </w:t>
      </w:r>
      <w:r>
        <w:rPr>
          <w:color w:val="231F20"/>
        </w:rPr>
        <w:t>Правоздатність</w:t>
      </w:r>
      <w:r>
        <w:rPr>
          <w:color w:val="231F20"/>
          <w:spacing w:val="-11"/>
        </w:rPr>
        <w:t xml:space="preserve"> </w:t>
      </w:r>
      <w:r>
        <w:rPr>
          <w:color w:val="231F20"/>
        </w:rPr>
        <w:t>може</w:t>
      </w:r>
      <w:r>
        <w:rPr>
          <w:color w:val="231F20"/>
          <w:spacing w:val="-11"/>
        </w:rPr>
        <w:t xml:space="preserve"> </w:t>
      </w:r>
      <w:r>
        <w:rPr>
          <w:color w:val="231F20"/>
        </w:rPr>
        <w:t>бути обмежена при вчине</w:t>
      </w:r>
      <w:r>
        <w:rPr>
          <w:color w:val="231F20"/>
        </w:rPr>
        <w:t xml:space="preserve">нні злочину або адміністративного правопору- шення лише на основі вироку або постанови </w:t>
      </w:r>
      <w:r>
        <w:rPr>
          <w:color w:val="231F20"/>
          <w:spacing w:val="-4"/>
        </w:rPr>
        <w:t xml:space="preserve">суду </w:t>
      </w:r>
      <w:r>
        <w:rPr>
          <w:color w:val="231F20"/>
        </w:rPr>
        <w:t>– права керування транспортними засобами, права полювання, права пересування, батьківських прав</w:t>
      </w:r>
      <w:r>
        <w:rPr>
          <w:color w:val="231F20"/>
          <w:spacing w:val="-3"/>
        </w:rPr>
        <w:t xml:space="preserve"> </w:t>
      </w:r>
      <w:r>
        <w:rPr>
          <w:color w:val="231F20"/>
        </w:rPr>
        <w:t>тощо.</w:t>
      </w:r>
    </w:p>
    <w:p w14:paraId="21A01830" w14:textId="77777777" w:rsidR="00DE575E" w:rsidRDefault="002E7560">
      <w:pPr>
        <w:pStyle w:val="BodyText"/>
        <w:spacing w:before="4" w:line="252" w:lineRule="auto"/>
        <w:ind w:left="250" w:right="411" w:firstLine="283"/>
        <w:jc w:val="both"/>
      </w:pPr>
      <w:r>
        <w:rPr>
          <w:b/>
          <w:i/>
          <w:color w:val="231F20"/>
        </w:rPr>
        <w:t xml:space="preserve">Адміністративна дієздатність </w:t>
      </w:r>
      <w:r>
        <w:rPr>
          <w:color w:val="231F20"/>
        </w:rPr>
        <w:t>є другим складником адмі- ністративної</w:t>
      </w:r>
      <w:r>
        <w:rPr>
          <w:color w:val="231F20"/>
          <w:spacing w:val="-11"/>
        </w:rPr>
        <w:t xml:space="preserve"> </w:t>
      </w:r>
      <w:r>
        <w:rPr>
          <w:color w:val="231F20"/>
        </w:rPr>
        <w:t>правосуб’єктності</w:t>
      </w:r>
      <w:r>
        <w:rPr>
          <w:color w:val="231F20"/>
          <w:spacing w:val="-11"/>
        </w:rPr>
        <w:t xml:space="preserve"> </w:t>
      </w:r>
      <w:r>
        <w:rPr>
          <w:color w:val="231F20"/>
        </w:rPr>
        <w:t>громадянина.</w:t>
      </w:r>
      <w:r>
        <w:rPr>
          <w:color w:val="231F20"/>
          <w:spacing w:val="-11"/>
        </w:rPr>
        <w:t xml:space="preserve"> </w:t>
      </w:r>
      <w:r>
        <w:rPr>
          <w:color w:val="231F20"/>
        </w:rPr>
        <w:t>Важливо,</w:t>
      </w:r>
      <w:r>
        <w:rPr>
          <w:color w:val="231F20"/>
          <w:spacing w:val="-11"/>
        </w:rPr>
        <w:t xml:space="preserve"> </w:t>
      </w:r>
      <w:r>
        <w:rPr>
          <w:color w:val="231F20"/>
        </w:rPr>
        <w:t>що</w:t>
      </w:r>
      <w:r>
        <w:rPr>
          <w:color w:val="231F20"/>
          <w:spacing w:val="-11"/>
        </w:rPr>
        <w:t xml:space="preserve"> </w:t>
      </w:r>
      <w:r>
        <w:rPr>
          <w:color w:val="231F20"/>
        </w:rPr>
        <w:t xml:space="preserve">адмініст- ративна правоздатність є основою адміністративної дієздатності громадян, вона складає умови, за яких реалізуються їх </w:t>
      </w:r>
      <w:r>
        <w:rPr>
          <w:color w:val="231F20"/>
          <w:spacing w:val="-3"/>
        </w:rPr>
        <w:t xml:space="preserve">суб’єктивні </w:t>
      </w:r>
      <w:r>
        <w:rPr>
          <w:color w:val="231F20"/>
        </w:rPr>
        <w:t>права й</w:t>
      </w:r>
      <w:r>
        <w:rPr>
          <w:color w:val="231F20"/>
          <w:spacing w:val="-3"/>
        </w:rPr>
        <w:t xml:space="preserve"> </w:t>
      </w:r>
      <w:r>
        <w:rPr>
          <w:color w:val="231F20"/>
        </w:rPr>
        <w:t>обов’язки.</w:t>
      </w:r>
    </w:p>
    <w:p w14:paraId="15CCAFB9" w14:textId="77777777" w:rsidR="00DE575E" w:rsidRDefault="002E7560">
      <w:pPr>
        <w:pStyle w:val="BodyText"/>
        <w:spacing w:before="2" w:line="252" w:lineRule="auto"/>
        <w:ind w:left="250" w:right="411" w:firstLine="283"/>
        <w:jc w:val="both"/>
      </w:pPr>
      <w:r>
        <w:rPr>
          <w:color w:val="231F20"/>
        </w:rPr>
        <w:t xml:space="preserve">Адміністративна </w:t>
      </w:r>
      <w:r>
        <w:rPr>
          <w:color w:val="231F20"/>
        </w:rPr>
        <w:t>дієздатність – це визнана законом спромож- ність</w:t>
      </w:r>
      <w:r>
        <w:rPr>
          <w:color w:val="231F20"/>
          <w:spacing w:val="-4"/>
        </w:rPr>
        <w:t xml:space="preserve"> </w:t>
      </w:r>
      <w:r>
        <w:rPr>
          <w:color w:val="231F20"/>
        </w:rPr>
        <w:t>громадян</w:t>
      </w:r>
      <w:r>
        <w:rPr>
          <w:color w:val="231F20"/>
          <w:spacing w:val="-4"/>
        </w:rPr>
        <w:t xml:space="preserve"> </w:t>
      </w:r>
      <w:r>
        <w:rPr>
          <w:color w:val="231F20"/>
        </w:rPr>
        <w:t>своїми</w:t>
      </w:r>
      <w:r>
        <w:rPr>
          <w:color w:val="231F20"/>
          <w:spacing w:val="-4"/>
        </w:rPr>
        <w:t xml:space="preserve"> </w:t>
      </w:r>
      <w:r>
        <w:rPr>
          <w:color w:val="231F20"/>
        </w:rPr>
        <w:t>діями</w:t>
      </w:r>
      <w:r>
        <w:rPr>
          <w:color w:val="231F20"/>
          <w:spacing w:val="-4"/>
        </w:rPr>
        <w:t xml:space="preserve"> </w:t>
      </w:r>
      <w:r>
        <w:rPr>
          <w:color w:val="231F20"/>
        </w:rPr>
        <w:t>набувати</w:t>
      </w:r>
      <w:r>
        <w:rPr>
          <w:color w:val="231F20"/>
          <w:spacing w:val="-4"/>
        </w:rPr>
        <w:t xml:space="preserve"> </w:t>
      </w:r>
      <w:r>
        <w:rPr>
          <w:color w:val="231F20"/>
        </w:rPr>
        <w:t>та</w:t>
      </w:r>
      <w:r>
        <w:rPr>
          <w:color w:val="231F20"/>
          <w:spacing w:val="-4"/>
        </w:rPr>
        <w:t xml:space="preserve"> </w:t>
      </w:r>
      <w:r>
        <w:rPr>
          <w:color w:val="231F20"/>
        </w:rPr>
        <w:t>здійснювати</w:t>
      </w:r>
      <w:r>
        <w:rPr>
          <w:color w:val="231F20"/>
          <w:spacing w:val="-4"/>
        </w:rPr>
        <w:t xml:space="preserve"> </w:t>
      </w:r>
      <w:r>
        <w:rPr>
          <w:color w:val="231F20"/>
        </w:rPr>
        <w:t>права</w:t>
      </w:r>
      <w:r>
        <w:rPr>
          <w:color w:val="231F20"/>
          <w:spacing w:val="-4"/>
        </w:rPr>
        <w:t xml:space="preserve"> </w:t>
      </w:r>
      <w:r>
        <w:rPr>
          <w:color w:val="231F20"/>
        </w:rPr>
        <w:t>й</w:t>
      </w:r>
      <w:r>
        <w:rPr>
          <w:color w:val="231F20"/>
          <w:spacing w:val="-5"/>
        </w:rPr>
        <w:t xml:space="preserve"> </w:t>
      </w:r>
      <w:r>
        <w:rPr>
          <w:color w:val="231F20"/>
        </w:rPr>
        <w:t>вико- нувати обов’язки адміністративно-правового</w:t>
      </w:r>
      <w:r>
        <w:rPr>
          <w:color w:val="231F20"/>
          <w:spacing w:val="-5"/>
        </w:rPr>
        <w:t xml:space="preserve"> </w:t>
      </w:r>
      <w:r>
        <w:rPr>
          <w:color w:val="231F20"/>
        </w:rPr>
        <w:t>характеру</w:t>
      </w:r>
      <w:r>
        <w:rPr>
          <w:color w:val="231F20"/>
          <w:position w:val="7"/>
          <w:sz w:val="12"/>
        </w:rPr>
        <w:t>1</w:t>
      </w:r>
      <w:r>
        <w:rPr>
          <w:color w:val="231F20"/>
        </w:rPr>
        <w:t>.</w:t>
      </w:r>
    </w:p>
    <w:p w14:paraId="687E0E37" w14:textId="77777777" w:rsidR="00DE575E" w:rsidRDefault="002E7560">
      <w:pPr>
        <w:pStyle w:val="BodyText"/>
        <w:spacing w:before="1" w:line="252" w:lineRule="auto"/>
        <w:ind w:left="250" w:right="411" w:firstLine="283"/>
        <w:jc w:val="both"/>
      </w:pPr>
      <w:r>
        <w:rPr>
          <w:color w:val="231F20"/>
        </w:rPr>
        <w:t>У</w:t>
      </w:r>
      <w:r>
        <w:rPr>
          <w:color w:val="231F20"/>
          <w:spacing w:val="-14"/>
        </w:rPr>
        <w:t xml:space="preserve"> </w:t>
      </w:r>
      <w:r>
        <w:rPr>
          <w:color w:val="231F20"/>
        </w:rPr>
        <w:t>повному</w:t>
      </w:r>
      <w:r>
        <w:rPr>
          <w:color w:val="231F20"/>
          <w:spacing w:val="-14"/>
        </w:rPr>
        <w:t xml:space="preserve"> </w:t>
      </w:r>
      <w:r>
        <w:rPr>
          <w:color w:val="231F20"/>
        </w:rPr>
        <w:t>обсязі</w:t>
      </w:r>
      <w:r>
        <w:rPr>
          <w:color w:val="231F20"/>
          <w:spacing w:val="-14"/>
        </w:rPr>
        <w:t xml:space="preserve"> </w:t>
      </w:r>
      <w:r>
        <w:rPr>
          <w:color w:val="231F20"/>
        </w:rPr>
        <w:t>адміністративна</w:t>
      </w:r>
      <w:r>
        <w:rPr>
          <w:color w:val="231F20"/>
          <w:spacing w:val="-14"/>
        </w:rPr>
        <w:t xml:space="preserve"> </w:t>
      </w:r>
      <w:r>
        <w:rPr>
          <w:color w:val="231F20"/>
        </w:rPr>
        <w:t>дієздатність</w:t>
      </w:r>
      <w:r>
        <w:rPr>
          <w:color w:val="231F20"/>
          <w:spacing w:val="-14"/>
        </w:rPr>
        <w:t xml:space="preserve"> </w:t>
      </w:r>
      <w:r>
        <w:rPr>
          <w:color w:val="231F20"/>
        </w:rPr>
        <w:t>настає</w:t>
      </w:r>
      <w:r>
        <w:rPr>
          <w:color w:val="231F20"/>
          <w:spacing w:val="-14"/>
        </w:rPr>
        <w:t xml:space="preserve"> </w:t>
      </w:r>
      <w:r>
        <w:rPr>
          <w:color w:val="231F20"/>
        </w:rPr>
        <w:t>з</w:t>
      </w:r>
      <w:r>
        <w:rPr>
          <w:color w:val="231F20"/>
          <w:spacing w:val="-14"/>
        </w:rPr>
        <w:t xml:space="preserve"> </w:t>
      </w:r>
      <w:r>
        <w:rPr>
          <w:color w:val="231F20"/>
        </w:rPr>
        <w:t xml:space="preserve">досягнен- ням 18-річного </w:t>
      </w:r>
      <w:r>
        <w:rPr>
          <w:color w:val="231F20"/>
          <w:spacing w:val="-4"/>
        </w:rPr>
        <w:t xml:space="preserve">віку. </w:t>
      </w:r>
      <w:r>
        <w:rPr>
          <w:color w:val="231F20"/>
          <w:spacing w:val="-5"/>
        </w:rPr>
        <w:t xml:space="preserve">Також </w:t>
      </w:r>
      <w:r>
        <w:rPr>
          <w:color w:val="231F20"/>
        </w:rPr>
        <w:t>вона виникає і по досягненні</w:t>
      </w:r>
      <w:r>
        <w:rPr>
          <w:color w:val="231F20"/>
          <w:spacing w:val="37"/>
        </w:rPr>
        <w:t xml:space="preserve"> </w:t>
      </w:r>
      <w:r>
        <w:rPr>
          <w:color w:val="231F20"/>
        </w:rPr>
        <w:t>14-річного</w:t>
      </w:r>
    </w:p>
    <w:p w14:paraId="46F45528" w14:textId="77777777" w:rsidR="00DE575E" w:rsidRDefault="00DE575E">
      <w:pPr>
        <w:pStyle w:val="BodyText"/>
        <w:rPr>
          <w:sz w:val="20"/>
        </w:rPr>
      </w:pPr>
    </w:p>
    <w:p w14:paraId="2673BF11" w14:textId="0B3EEB2E" w:rsidR="00DE575E" w:rsidRDefault="002E7560">
      <w:pPr>
        <w:pStyle w:val="BodyText"/>
        <w:spacing w:before="9"/>
        <w:rPr>
          <w:sz w:val="12"/>
        </w:rPr>
      </w:pPr>
      <w:r>
        <w:rPr>
          <w:noProof/>
        </w:rPr>
        <mc:AlternateContent>
          <mc:Choice Requires="wps">
            <w:drawing>
              <wp:anchor distT="0" distB="0" distL="0" distR="0" simplePos="0" relativeHeight="5800" behindDoc="0" locked="0" layoutInCell="1" allowOverlap="1" wp14:anchorId="1944FFD5" wp14:editId="38BB79DD">
                <wp:simplePos x="0" y="0"/>
                <wp:positionH relativeFrom="page">
                  <wp:posOffset>539750</wp:posOffset>
                </wp:positionH>
                <wp:positionV relativeFrom="paragraph">
                  <wp:posOffset>123190</wp:posOffset>
                </wp:positionV>
                <wp:extent cx="1080135" cy="0"/>
                <wp:effectExtent l="6350" t="8890" r="31115" b="29210"/>
                <wp:wrapTopAndBottom/>
                <wp:docPr id="1076"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7EF7" id="Line_x0020_1075" o:spid="_x0000_s1026" style="position:absolute;z-index:5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EV4i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3gEV4iMCAABH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4175B95B" w14:textId="77777777" w:rsidR="00DE575E" w:rsidRDefault="002E7560">
      <w:pPr>
        <w:spacing w:line="204" w:lineRule="auto"/>
        <w:ind w:left="250" w:right="521"/>
        <w:rPr>
          <w:sz w:val="16"/>
        </w:rPr>
      </w:pPr>
      <w:r>
        <w:rPr>
          <w:color w:val="231F20"/>
          <w:position w:val="5"/>
          <w:sz w:val="9"/>
        </w:rPr>
        <w:t xml:space="preserve">1 </w:t>
      </w:r>
      <w:r>
        <w:rPr>
          <w:color w:val="231F20"/>
          <w:sz w:val="16"/>
        </w:rPr>
        <w:t>Колпаков В, Кузьменко О., Пастух У. та ін. Курс адміністративного права України: підручник. Київ: Юрінком Інтер, 2012. С. 140-141.</w:t>
      </w:r>
    </w:p>
    <w:p w14:paraId="5C54AB27" w14:textId="77777777" w:rsidR="00DE575E" w:rsidRDefault="00DE575E">
      <w:pPr>
        <w:pStyle w:val="BodyText"/>
        <w:spacing w:before="1"/>
        <w:rPr>
          <w:sz w:val="12"/>
        </w:rPr>
      </w:pPr>
    </w:p>
    <w:p w14:paraId="3736E1DE" w14:textId="77777777" w:rsidR="00DE575E" w:rsidRDefault="002E7560">
      <w:pPr>
        <w:spacing w:before="92"/>
        <w:ind w:right="411"/>
        <w:jc w:val="right"/>
        <w:rPr>
          <w:rFonts w:ascii="Times New Roman"/>
          <w:sz w:val="20"/>
        </w:rPr>
      </w:pPr>
      <w:r>
        <w:rPr>
          <w:rFonts w:ascii="Times New Roman"/>
          <w:color w:val="231F20"/>
          <w:w w:val="90"/>
          <w:sz w:val="20"/>
        </w:rPr>
        <w:t>133</w:t>
      </w:r>
    </w:p>
    <w:p w14:paraId="4F83CE4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E8E32D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0415E44" w14:textId="5FB614C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17545E" wp14:editId="08B9EC97">
                <wp:extent cx="4140200" cy="6350"/>
                <wp:effectExtent l="0" t="0" r="12700" b="6350"/>
                <wp:docPr id="1074"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75" name="Line 107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754941" id="Group_x0020_107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I61Q5/AgAAnAUAAA4A&#10;AAAAAAAAAAAAAAAALAIAAGRycy9lMm9Eb2MueG1sUEsBAi0AFAAGAAgAAAAhAEynsJDZAAAAAwEA&#10;AA8AAAAAAAAAAAAAAAAA1wQAAGRycy9kb3ducmV2LnhtbFBLBQYAAAAABAAEAPMAAADdBQAAAAA=&#10;">
                <v:line id="Line_x0020_107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eeYsUAAADdAAAADwAAAGRycy9kb3ducmV2LnhtbERP22rCQBB9F/yHZQq+lLqxUiupq4hQ&#10;kD54SfyAMTtNQndnY3Y1ab++Wyj4NodzncWqt0bcqPW1YwWTcQKCuHC65lLBKX9/moPwAVmjcUwK&#10;vsnDajkcLDDVruMj3bJQihjCPkUFVQhNKqUvKrLox64hjtynay2GCNtS6ha7GG6NfE6SmbRYc2yo&#10;sKFNRcVXdrUK8stjMIf9h+ny/Xkqz5fd9Oe6U2r00K/fQATqw138797qOD95fYG/b+IJ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PeeYsUAAADdAAAADwAAAAAAAAAA&#10;AAAAAAChAgAAZHJzL2Rvd25yZXYueG1sUEsFBgAAAAAEAAQA+QAAAJMDAAAAAA==&#10;" strokecolor="#231f20" strokeweight=".5pt"/>
                <w10:anchorlock/>
              </v:group>
            </w:pict>
          </mc:Fallback>
        </mc:AlternateContent>
      </w:r>
    </w:p>
    <w:p w14:paraId="66CA095A" w14:textId="77777777" w:rsidR="00DE575E" w:rsidRDefault="00DE575E">
      <w:pPr>
        <w:pStyle w:val="BodyText"/>
        <w:spacing w:before="7"/>
        <w:rPr>
          <w:rFonts w:ascii="AdonisC"/>
          <w:i/>
          <w:sz w:val="11"/>
        </w:rPr>
      </w:pPr>
    </w:p>
    <w:p w14:paraId="6FD5B9CE" w14:textId="77777777" w:rsidR="00DE575E" w:rsidRDefault="002E7560">
      <w:pPr>
        <w:pStyle w:val="BodyText"/>
        <w:spacing w:before="101" w:line="252" w:lineRule="auto"/>
        <w:ind w:left="533" w:right="128"/>
        <w:jc w:val="both"/>
      </w:pPr>
      <w:r>
        <w:rPr>
          <w:color w:val="231F20"/>
        </w:rPr>
        <w:t>віку (одержання паспорта, дотримання правил паспортної системи тощо). Така дієздатність може наставати в деяких випадках і до досягнення 14-річного віку.</w:t>
      </w:r>
    </w:p>
    <w:p w14:paraId="75460294" w14:textId="77777777" w:rsidR="00DE575E" w:rsidRDefault="002E7560">
      <w:pPr>
        <w:pStyle w:val="BodyText"/>
        <w:spacing w:before="1" w:line="252" w:lineRule="auto"/>
        <w:ind w:left="533" w:right="126" w:firstLine="283"/>
        <w:jc w:val="both"/>
      </w:pPr>
      <w:r>
        <w:rPr>
          <w:color w:val="231F20"/>
        </w:rPr>
        <w:t>Сукупність конкретних прав, які особа</w:t>
      </w:r>
      <w:r>
        <w:rPr>
          <w:color w:val="231F20"/>
        </w:rPr>
        <w:t xml:space="preserve"> може  мати  відповідно  до </w:t>
      </w:r>
      <w:r>
        <w:rPr>
          <w:color w:val="231F20"/>
          <w:spacing w:val="-3"/>
        </w:rPr>
        <w:t xml:space="preserve">закону, </w:t>
      </w:r>
      <w:r>
        <w:rPr>
          <w:color w:val="231F20"/>
        </w:rPr>
        <w:t>можна поділити на три групи – особисті, політичні та соціально-економічні.</w:t>
      </w:r>
    </w:p>
    <w:p w14:paraId="19DDD397" w14:textId="77777777" w:rsidR="00DE575E" w:rsidRDefault="002E7560">
      <w:pPr>
        <w:pStyle w:val="BodyText"/>
        <w:spacing w:before="2" w:line="252" w:lineRule="auto"/>
        <w:ind w:left="533" w:right="126" w:firstLine="283"/>
        <w:jc w:val="both"/>
      </w:pPr>
      <w:r>
        <w:rPr>
          <w:i/>
          <w:color w:val="231F20"/>
        </w:rPr>
        <w:t xml:space="preserve">Особисті права і свободи громадянина </w:t>
      </w:r>
      <w:r>
        <w:rPr>
          <w:color w:val="231F20"/>
        </w:rPr>
        <w:t>– це можливість задово- лення</w:t>
      </w:r>
      <w:r>
        <w:rPr>
          <w:color w:val="231F20"/>
          <w:spacing w:val="-7"/>
        </w:rPr>
        <w:t xml:space="preserve"> </w:t>
      </w:r>
      <w:r>
        <w:rPr>
          <w:color w:val="231F20"/>
        </w:rPr>
        <w:t>його</w:t>
      </w:r>
      <w:r>
        <w:rPr>
          <w:color w:val="231F20"/>
          <w:spacing w:val="-6"/>
        </w:rPr>
        <w:t xml:space="preserve"> </w:t>
      </w:r>
      <w:r>
        <w:rPr>
          <w:color w:val="231F20"/>
        </w:rPr>
        <w:t>особистих</w:t>
      </w:r>
      <w:r>
        <w:rPr>
          <w:color w:val="231F20"/>
          <w:spacing w:val="-6"/>
        </w:rPr>
        <w:t xml:space="preserve"> </w:t>
      </w:r>
      <w:r>
        <w:rPr>
          <w:color w:val="231F20"/>
        </w:rPr>
        <w:t>потреб.</w:t>
      </w:r>
      <w:r>
        <w:rPr>
          <w:color w:val="231F20"/>
          <w:spacing w:val="-7"/>
        </w:rPr>
        <w:t xml:space="preserve"> </w:t>
      </w:r>
      <w:r>
        <w:rPr>
          <w:color w:val="231F20"/>
        </w:rPr>
        <w:t>До</w:t>
      </w:r>
      <w:r>
        <w:rPr>
          <w:color w:val="231F20"/>
          <w:spacing w:val="-7"/>
        </w:rPr>
        <w:t xml:space="preserve"> </w:t>
      </w:r>
      <w:r>
        <w:rPr>
          <w:color w:val="231F20"/>
        </w:rPr>
        <w:t>особистих</w:t>
      </w:r>
      <w:r>
        <w:rPr>
          <w:color w:val="231F20"/>
          <w:spacing w:val="-6"/>
        </w:rPr>
        <w:t xml:space="preserve"> </w:t>
      </w:r>
      <w:r>
        <w:rPr>
          <w:color w:val="231F20"/>
        </w:rPr>
        <w:t>прав</w:t>
      </w:r>
      <w:r>
        <w:rPr>
          <w:color w:val="231F20"/>
          <w:spacing w:val="-7"/>
        </w:rPr>
        <w:t xml:space="preserve"> </w:t>
      </w:r>
      <w:r>
        <w:rPr>
          <w:color w:val="231F20"/>
        </w:rPr>
        <w:t>належать:</w:t>
      </w:r>
      <w:r>
        <w:rPr>
          <w:color w:val="231F20"/>
          <w:spacing w:val="-6"/>
        </w:rPr>
        <w:t xml:space="preserve"> </w:t>
      </w:r>
      <w:r>
        <w:rPr>
          <w:color w:val="231F20"/>
        </w:rPr>
        <w:t>право</w:t>
      </w:r>
      <w:r>
        <w:rPr>
          <w:color w:val="231F20"/>
          <w:spacing w:val="-7"/>
        </w:rPr>
        <w:t xml:space="preserve"> </w:t>
      </w:r>
      <w:r>
        <w:rPr>
          <w:color w:val="231F20"/>
        </w:rPr>
        <w:t xml:space="preserve">на повагу до гідності, право на свободу та особисту недоторканність, свободу пересування, право вільного вибору місця проживання, право вільно залишати територію </w:t>
      </w:r>
      <w:r>
        <w:rPr>
          <w:color w:val="231F20"/>
          <w:spacing w:val="-3"/>
        </w:rPr>
        <w:t xml:space="preserve">України; </w:t>
      </w:r>
      <w:r>
        <w:rPr>
          <w:color w:val="231F20"/>
        </w:rPr>
        <w:t>право на таємницю листування, телефонних розмов, телеграфної та іншої кореспон- денці</w:t>
      </w:r>
      <w:r>
        <w:rPr>
          <w:color w:val="231F20"/>
        </w:rPr>
        <w:t>ї; право на  спростування  недостовірної  інформації  про  себе і членів своєї сім’ї</w:t>
      </w:r>
      <w:r>
        <w:rPr>
          <w:color w:val="231F20"/>
          <w:spacing w:val="-4"/>
        </w:rPr>
        <w:t xml:space="preserve"> </w:t>
      </w:r>
      <w:r>
        <w:rPr>
          <w:color w:val="231F20"/>
        </w:rPr>
        <w:t>тощо.</w:t>
      </w:r>
    </w:p>
    <w:p w14:paraId="6E0B0A04" w14:textId="77777777" w:rsidR="00DE575E" w:rsidRDefault="002E7560">
      <w:pPr>
        <w:pStyle w:val="BodyText"/>
        <w:spacing w:before="4" w:line="252" w:lineRule="auto"/>
        <w:ind w:left="533" w:right="127" w:firstLine="283"/>
        <w:jc w:val="both"/>
      </w:pPr>
      <w:r>
        <w:rPr>
          <w:i/>
          <w:color w:val="231F20"/>
        </w:rPr>
        <w:t>Політичні</w:t>
      </w:r>
      <w:r>
        <w:rPr>
          <w:i/>
          <w:color w:val="231F20"/>
          <w:spacing w:val="-8"/>
        </w:rPr>
        <w:t xml:space="preserve"> </w:t>
      </w:r>
      <w:r>
        <w:rPr>
          <w:i/>
          <w:color w:val="231F20"/>
        </w:rPr>
        <w:t>права</w:t>
      </w:r>
      <w:r>
        <w:rPr>
          <w:i/>
          <w:color w:val="231F20"/>
          <w:spacing w:val="-9"/>
        </w:rPr>
        <w:t xml:space="preserve"> </w:t>
      </w:r>
      <w:r>
        <w:rPr>
          <w:i/>
          <w:color w:val="231F20"/>
        </w:rPr>
        <w:t>і</w:t>
      </w:r>
      <w:r>
        <w:rPr>
          <w:i/>
          <w:color w:val="231F20"/>
          <w:spacing w:val="-9"/>
        </w:rPr>
        <w:t xml:space="preserve"> </w:t>
      </w:r>
      <w:r>
        <w:rPr>
          <w:i/>
          <w:color w:val="231F20"/>
        </w:rPr>
        <w:t>свободи</w:t>
      </w:r>
      <w:r>
        <w:rPr>
          <w:i/>
          <w:color w:val="231F20"/>
          <w:spacing w:val="-9"/>
        </w:rPr>
        <w:t xml:space="preserve"> </w:t>
      </w:r>
      <w:r>
        <w:rPr>
          <w:color w:val="231F20"/>
        </w:rPr>
        <w:t>–</w:t>
      </w:r>
      <w:r>
        <w:rPr>
          <w:color w:val="231F20"/>
          <w:spacing w:val="-9"/>
        </w:rPr>
        <w:t xml:space="preserve"> </w:t>
      </w:r>
      <w:r>
        <w:rPr>
          <w:color w:val="231F20"/>
        </w:rPr>
        <w:t>це</w:t>
      </w:r>
      <w:r>
        <w:rPr>
          <w:color w:val="231F20"/>
          <w:spacing w:val="-9"/>
        </w:rPr>
        <w:t xml:space="preserve"> </w:t>
      </w:r>
      <w:r>
        <w:rPr>
          <w:color w:val="231F20"/>
        </w:rPr>
        <w:t>можливість</w:t>
      </w:r>
      <w:r>
        <w:rPr>
          <w:color w:val="231F20"/>
          <w:spacing w:val="-9"/>
        </w:rPr>
        <w:t xml:space="preserve"> </w:t>
      </w:r>
      <w:r>
        <w:rPr>
          <w:color w:val="231F20"/>
        </w:rPr>
        <w:t>громадян</w:t>
      </w:r>
      <w:r>
        <w:rPr>
          <w:color w:val="231F20"/>
          <w:spacing w:val="-9"/>
        </w:rPr>
        <w:t xml:space="preserve"> </w:t>
      </w:r>
      <w:r>
        <w:rPr>
          <w:color w:val="231F20"/>
        </w:rPr>
        <w:t>брати</w:t>
      </w:r>
      <w:r>
        <w:rPr>
          <w:color w:val="231F20"/>
          <w:spacing w:val="-9"/>
        </w:rPr>
        <w:t xml:space="preserve"> </w:t>
      </w:r>
      <w:r>
        <w:rPr>
          <w:color w:val="231F20"/>
        </w:rPr>
        <w:t xml:space="preserve">участь у публічному управлінні державними справами, реалізувати своє волевиявлення щодо </w:t>
      </w:r>
      <w:r>
        <w:rPr>
          <w:color w:val="231F20"/>
          <w:spacing w:val="-3"/>
        </w:rPr>
        <w:t xml:space="preserve">об’єднання </w:t>
      </w:r>
      <w:r>
        <w:rPr>
          <w:color w:val="231F20"/>
        </w:rPr>
        <w:t>в політич</w:t>
      </w:r>
      <w:r>
        <w:rPr>
          <w:color w:val="231F20"/>
        </w:rPr>
        <w:t xml:space="preserve">ні партії, громадські </w:t>
      </w:r>
      <w:r>
        <w:rPr>
          <w:color w:val="231F20"/>
          <w:spacing w:val="-3"/>
        </w:rPr>
        <w:t xml:space="preserve">об’єднання, </w:t>
      </w:r>
      <w:r>
        <w:rPr>
          <w:color w:val="231F20"/>
        </w:rPr>
        <w:t>рухи, проведення мирних зібрань, мітингів і демонстра- цій тощо.</w:t>
      </w:r>
    </w:p>
    <w:p w14:paraId="388C2434" w14:textId="77777777" w:rsidR="00DE575E" w:rsidRDefault="002E7560">
      <w:pPr>
        <w:pStyle w:val="BodyText"/>
        <w:spacing w:before="2" w:line="252" w:lineRule="auto"/>
        <w:ind w:left="533" w:right="128" w:firstLine="283"/>
        <w:jc w:val="both"/>
      </w:pPr>
      <w:r>
        <w:rPr>
          <w:i/>
          <w:color w:val="231F20"/>
        </w:rPr>
        <w:t xml:space="preserve">Соціально-економічні права </w:t>
      </w:r>
      <w:r>
        <w:rPr>
          <w:color w:val="231F20"/>
        </w:rPr>
        <w:t>громадяни реалізують через вико- ристання норм адміністративного права. Це забезпечення можли- вості заняття підприємницькою діяль</w:t>
      </w:r>
      <w:r>
        <w:rPr>
          <w:color w:val="231F20"/>
        </w:rPr>
        <w:t>ністю, реалізації права на працю, відпочинок, соціальний захист, достатній життєвий рівень, освіту, здоров’я.</w:t>
      </w:r>
    </w:p>
    <w:p w14:paraId="7355B654" w14:textId="77777777" w:rsidR="00DE575E" w:rsidRDefault="002E7560">
      <w:pPr>
        <w:pStyle w:val="BodyText"/>
        <w:spacing w:before="2" w:line="252" w:lineRule="auto"/>
        <w:ind w:left="533" w:right="126" w:firstLine="283"/>
        <w:jc w:val="both"/>
      </w:pPr>
      <w:r>
        <w:rPr>
          <w:color w:val="231F20"/>
        </w:rPr>
        <w:t>До</w:t>
      </w:r>
      <w:r>
        <w:rPr>
          <w:color w:val="231F20"/>
          <w:spacing w:val="-14"/>
        </w:rPr>
        <w:t xml:space="preserve"> </w:t>
      </w:r>
      <w:r>
        <w:rPr>
          <w:color w:val="231F20"/>
        </w:rPr>
        <w:t>змісту</w:t>
      </w:r>
      <w:r>
        <w:rPr>
          <w:color w:val="231F20"/>
          <w:spacing w:val="-14"/>
        </w:rPr>
        <w:t xml:space="preserve"> </w:t>
      </w:r>
      <w:r>
        <w:rPr>
          <w:color w:val="231F20"/>
        </w:rPr>
        <w:t>адміністративно-правового</w:t>
      </w:r>
      <w:r>
        <w:rPr>
          <w:color w:val="231F20"/>
          <w:spacing w:val="-14"/>
        </w:rPr>
        <w:t xml:space="preserve"> </w:t>
      </w:r>
      <w:r>
        <w:rPr>
          <w:color w:val="231F20"/>
        </w:rPr>
        <w:t>статусу</w:t>
      </w:r>
      <w:r>
        <w:rPr>
          <w:color w:val="231F20"/>
          <w:spacing w:val="-14"/>
        </w:rPr>
        <w:t xml:space="preserve"> </w:t>
      </w:r>
      <w:r>
        <w:rPr>
          <w:color w:val="231F20"/>
        </w:rPr>
        <w:t>громадян</w:t>
      </w:r>
      <w:r>
        <w:rPr>
          <w:color w:val="231F20"/>
          <w:spacing w:val="-14"/>
        </w:rPr>
        <w:t xml:space="preserve"> </w:t>
      </w:r>
      <w:r>
        <w:rPr>
          <w:color w:val="231F20"/>
        </w:rPr>
        <w:t xml:space="preserve">належать також обов’язки: захищати незалежність і територіальну цілісність </w:t>
      </w:r>
      <w:r>
        <w:rPr>
          <w:color w:val="231F20"/>
          <w:spacing w:val="-3"/>
        </w:rPr>
        <w:t xml:space="preserve">України, </w:t>
      </w:r>
      <w:r>
        <w:rPr>
          <w:color w:val="231F20"/>
        </w:rPr>
        <w:t xml:space="preserve">шанувати </w:t>
      </w:r>
      <w:r>
        <w:rPr>
          <w:color w:val="231F20"/>
        </w:rPr>
        <w:t xml:space="preserve">її державні символи, нести військову службу; не завдавати шкоди природі, культурній спадщині та відшкодовувати збитки, які завдані їм; подавати щорічно до податкових інспекцій за місцем  проживання  декларації  про  особистий  майновий  стан  і </w:t>
      </w:r>
      <w:r>
        <w:rPr>
          <w:color w:val="231F20"/>
          <w:spacing w:val="-3"/>
        </w:rPr>
        <w:t xml:space="preserve">доходи </w:t>
      </w:r>
      <w:r>
        <w:rPr>
          <w:color w:val="231F20"/>
        </w:rPr>
        <w:t>за м</w:t>
      </w:r>
      <w:r>
        <w:rPr>
          <w:color w:val="231F20"/>
        </w:rPr>
        <w:t xml:space="preserve">инулий рік у </w:t>
      </w:r>
      <w:r>
        <w:rPr>
          <w:color w:val="231F20"/>
          <w:spacing w:val="-3"/>
        </w:rPr>
        <w:t xml:space="preserve">порядку, </w:t>
      </w:r>
      <w:r>
        <w:rPr>
          <w:color w:val="231F20"/>
        </w:rPr>
        <w:t xml:space="preserve">установленому законом, а також звіт щодо e-декларації за вимогами антикорупційного законо- давства; сплачувати податки і збори. </w:t>
      </w:r>
      <w:r>
        <w:rPr>
          <w:color w:val="231F20"/>
          <w:spacing w:val="-3"/>
        </w:rPr>
        <w:t xml:space="preserve">Кожен </w:t>
      </w:r>
      <w:r>
        <w:rPr>
          <w:color w:val="231F20"/>
        </w:rPr>
        <w:t xml:space="preserve">громадянин зобов’яза- ний неухильно дотримуватися Конституції </w:t>
      </w:r>
      <w:r>
        <w:rPr>
          <w:color w:val="231F20"/>
          <w:spacing w:val="-3"/>
        </w:rPr>
        <w:t xml:space="preserve">України, </w:t>
      </w:r>
      <w:r>
        <w:rPr>
          <w:color w:val="231F20"/>
        </w:rPr>
        <w:t>не посягати на права, свободи</w:t>
      </w:r>
      <w:r>
        <w:rPr>
          <w:color w:val="231F20"/>
        </w:rPr>
        <w:t xml:space="preserve">, честь і гідність інших людей </w:t>
      </w:r>
      <w:r>
        <w:rPr>
          <w:color w:val="231F20"/>
          <w:spacing w:val="-5"/>
        </w:rPr>
        <w:t xml:space="preserve">(ст. </w:t>
      </w:r>
      <w:r>
        <w:rPr>
          <w:color w:val="231F20"/>
          <w:spacing w:val="-6"/>
        </w:rPr>
        <w:t>ст.</w:t>
      </w:r>
      <w:r>
        <w:rPr>
          <w:color w:val="231F20"/>
          <w:spacing w:val="27"/>
        </w:rPr>
        <w:t xml:space="preserve"> </w:t>
      </w:r>
      <w:r>
        <w:rPr>
          <w:color w:val="231F20"/>
        </w:rPr>
        <w:t>65-68).</w:t>
      </w:r>
    </w:p>
    <w:p w14:paraId="3A40B3BF" w14:textId="77777777" w:rsidR="00DE575E" w:rsidRDefault="002E7560">
      <w:pPr>
        <w:pStyle w:val="BodyText"/>
        <w:spacing w:before="6" w:line="252" w:lineRule="auto"/>
        <w:ind w:left="533" w:right="128" w:firstLine="283"/>
        <w:jc w:val="both"/>
      </w:pPr>
      <w:r>
        <w:rPr>
          <w:color w:val="231F20"/>
        </w:rPr>
        <w:t xml:space="preserve">Крім того Закон </w:t>
      </w:r>
      <w:r>
        <w:rPr>
          <w:color w:val="231F20"/>
          <w:spacing w:val="-3"/>
        </w:rPr>
        <w:t xml:space="preserve">України </w:t>
      </w:r>
      <w:r>
        <w:rPr>
          <w:color w:val="231F20"/>
        </w:rPr>
        <w:t xml:space="preserve">«Про  громадянство  </w:t>
      </w:r>
      <w:r>
        <w:rPr>
          <w:color w:val="231F20"/>
          <w:spacing w:val="-3"/>
        </w:rPr>
        <w:t xml:space="preserve">України»  </w:t>
      </w:r>
      <w:r>
        <w:rPr>
          <w:color w:val="231F20"/>
        </w:rPr>
        <w:t xml:space="preserve">визна- чає правовий зміст громадянства </w:t>
      </w:r>
      <w:r>
        <w:rPr>
          <w:color w:val="231F20"/>
          <w:spacing w:val="-3"/>
        </w:rPr>
        <w:t xml:space="preserve">України, </w:t>
      </w:r>
      <w:r>
        <w:rPr>
          <w:color w:val="231F20"/>
        </w:rPr>
        <w:t>підстави і порядок його набуття та припинення, повноваження органів публічної адмініст- рації,</w:t>
      </w:r>
      <w:r>
        <w:rPr>
          <w:color w:val="231F20"/>
          <w:spacing w:val="21"/>
        </w:rPr>
        <w:t xml:space="preserve"> </w:t>
      </w:r>
      <w:r>
        <w:rPr>
          <w:color w:val="231F20"/>
        </w:rPr>
        <w:t>що</w:t>
      </w:r>
      <w:r>
        <w:rPr>
          <w:color w:val="231F20"/>
          <w:spacing w:val="21"/>
        </w:rPr>
        <w:t xml:space="preserve"> </w:t>
      </w:r>
      <w:r>
        <w:rPr>
          <w:color w:val="231F20"/>
        </w:rPr>
        <w:t>беруть</w:t>
      </w:r>
      <w:r>
        <w:rPr>
          <w:color w:val="231F20"/>
          <w:spacing w:val="21"/>
        </w:rPr>
        <w:t xml:space="preserve"> </w:t>
      </w:r>
      <w:r>
        <w:rPr>
          <w:color w:val="231F20"/>
        </w:rPr>
        <w:t>участь</w:t>
      </w:r>
      <w:r>
        <w:rPr>
          <w:color w:val="231F20"/>
          <w:spacing w:val="21"/>
        </w:rPr>
        <w:t xml:space="preserve"> </w:t>
      </w:r>
      <w:r>
        <w:rPr>
          <w:color w:val="231F20"/>
        </w:rPr>
        <w:t>у</w:t>
      </w:r>
      <w:r>
        <w:rPr>
          <w:color w:val="231F20"/>
          <w:spacing w:val="21"/>
        </w:rPr>
        <w:t xml:space="preserve"> </w:t>
      </w:r>
      <w:r>
        <w:rPr>
          <w:color w:val="231F20"/>
        </w:rPr>
        <w:t>вирішенні</w:t>
      </w:r>
      <w:r>
        <w:rPr>
          <w:color w:val="231F20"/>
          <w:spacing w:val="21"/>
        </w:rPr>
        <w:t xml:space="preserve"> </w:t>
      </w:r>
      <w:r>
        <w:rPr>
          <w:color w:val="231F20"/>
        </w:rPr>
        <w:t>питань</w:t>
      </w:r>
      <w:r>
        <w:rPr>
          <w:color w:val="231F20"/>
          <w:spacing w:val="21"/>
        </w:rPr>
        <w:t xml:space="preserve"> </w:t>
      </w:r>
      <w:r>
        <w:rPr>
          <w:color w:val="231F20"/>
        </w:rPr>
        <w:t>громадянства</w:t>
      </w:r>
      <w:r>
        <w:rPr>
          <w:color w:val="231F20"/>
          <w:spacing w:val="21"/>
        </w:rPr>
        <w:t xml:space="preserve"> </w:t>
      </w:r>
      <w:r>
        <w:rPr>
          <w:color w:val="231F20"/>
          <w:spacing w:val="-3"/>
        </w:rPr>
        <w:t>України,</w:t>
      </w:r>
    </w:p>
    <w:p w14:paraId="5F3C6A58" w14:textId="77777777" w:rsidR="00DE575E" w:rsidRDefault="00DE575E">
      <w:pPr>
        <w:pStyle w:val="BodyText"/>
        <w:spacing w:before="6"/>
        <w:rPr>
          <w:sz w:val="12"/>
        </w:rPr>
      </w:pPr>
    </w:p>
    <w:p w14:paraId="2BC8A882" w14:textId="77777777" w:rsidR="00DE575E" w:rsidRDefault="002E7560">
      <w:pPr>
        <w:spacing w:before="92"/>
        <w:ind w:left="533"/>
        <w:rPr>
          <w:rFonts w:ascii="Times New Roman"/>
          <w:sz w:val="20"/>
        </w:rPr>
      </w:pPr>
      <w:r>
        <w:rPr>
          <w:rFonts w:ascii="Times New Roman"/>
          <w:color w:val="231F20"/>
          <w:sz w:val="20"/>
        </w:rPr>
        <w:t>134</w:t>
      </w:r>
    </w:p>
    <w:p w14:paraId="4BF54457" w14:textId="77777777" w:rsidR="00DE575E" w:rsidRDefault="00DE575E">
      <w:pPr>
        <w:rPr>
          <w:rFonts w:ascii="Times New Roman"/>
          <w:sz w:val="20"/>
        </w:rPr>
        <w:sectPr w:rsidR="00DE575E">
          <w:pgSz w:w="8510" w:h="12760"/>
          <w:pgMar w:top="660" w:right="720" w:bottom="280" w:left="600" w:header="720" w:footer="720" w:gutter="0"/>
          <w:cols w:space="720"/>
        </w:sectPr>
      </w:pPr>
    </w:p>
    <w:p w14:paraId="1B4B9187"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3D1AAC4E" w14:textId="4B9E7F4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20B1BD1" wp14:editId="5C232710">
                <wp:extent cx="4140200" cy="6350"/>
                <wp:effectExtent l="0" t="0" r="12700" b="6350"/>
                <wp:docPr id="1072"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73" name="Line 107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BB2B8C" id="Group_x0020_107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tuCOifQIAAJwFAAAOAAAA&#10;AAAAAAAAAAAAACwCAABkcnMvZTJvRG9jLnhtbFBLAQItABQABgAIAAAAIQBMp7CQ2QAAAAMBAAAP&#10;AAAAAAAAAAAAAAAAANUEAABkcnMvZG93bnJldi54bWxQSwUGAAAAAAQABADzAAAA2wUAAAAA&#10;">
                <v:line id="Line_x0020_107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KjjcQAAADdAAAADwAAAGRycy9kb3ducmV2LnhtbERP22rCQBB9L/Qflin0pehGA1qiq4gg&#10;SB+8pR8wZqdJ6O5szK4m7de7QqFvczjXmS97a8SNWl87VjAaJiCIC6drLhV85pvBOwgfkDUax6Tg&#10;hzwsF89Pc8y06/hIt1MoRQxhn6GCKoQmk9IXFVn0Q9cQR+7LtRZDhG0pdYtdDLdGjpNkIi3WHBsq&#10;bGhdUfF9uloF+eUtmMP+w3T5/pzK82WX/l53Sr2+9KsZiEB9+Bf/ubc6zk+m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UqONxAAAAN0AAAAPAAAAAAAAAAAA&#10;AAAAAKECAABkcnMvZG93bnJldi54bWxQSwUGAAAAAAQABAD5AAAAkgMAAAAA&#10;" strokecolor="#231f20" strokeweight=".5pt"/>
                <w10:anchorlock/>
              </v:group>
            </w:pict>
          </mc:Fallback>
        </mc:AlternateContent>
      </w:r>
    </w:p>
    <w:p w14:paraId="4350F205" w14:textId="77777777" w:rsidR="00DE575E" w:rsidRDefault="00DE575E">
      <w:pPr>
        <w:pStyle w:val="BodyText"/>
        <w:spacing w:before="7"/>
        <w:rPr>
          <w:rFonts w:ascii="AdonisC"/>
          <w:i/>
          <w:sz w:val="19"/>
        </w:rPr>
      </w:pPr>
    </w:p>
    <w:p w14:paraId="136180D0" w14:textId="77777777" w:rsidR="00DE575E" w:rsidRDefault="002E7560">
      <w:pPr>
        <w:pStyle w:val="BodyText"/>
        <w:spacing w:before="1" w:line="252" w:lineRule="auto"/>
        <w:ind w:left="250" w:right="340"/>
      </w:pPr>
      <w:r>
        <w:rPr>
          <w:color w:val="231F20"/>
        </w:rPr>
        <w:t>порядок оскарження рішень з питань громадянства, дій чи бездіяль- ності органів державної влади, їх посадових і службових осіб.</w:t>
      </w:r>
    </w:p>
    <w:p w14:paraId="1E975A9F" w14:textId="77777777" w:rsidR="00DE575E" w:rsidRDefault="002E7560">
      <w:pPr>
        <w:pStyle w:val="Heading6"/>
        <w:ind w:firstLine="0"/>
        <w:rPr>
          <w:i w:val="0"/>
        </w:rPr>
      </w:pPr>
      <w:r>
        <w:rPr>
          <w:color w:val="231F20"/>
        </w:rPr>
        <w:t>Обов’язки громадян розрізняють за такими групами</w:t>
      </w:r>
      <w:r>
        <w:rPr>
          <w:i w:val="0"/>
          <w:color w:val="231F20"/>
        </w:rPr>
        <w:t>:</w:t>
      </w:r>
    </w:p>
    <w:p w14:paraId="2F7C3BF0" w14:textId="77777777" w:rsidR="00DE575E" w:rsidRDefault="002E7560">
      <w:pPr>
        <w:pStyle w:val="BodyText"/>
        <w:spacing w:before="12" w:line="252" w:lineRule="auto"/>
        <w:ind w:left="250" w:right="409" w:firstLine="283"/>
        <w:jc w:val="both"/>
      </w:pPr>
      <w:r>
        <w:rPr>
          <w:i/>
          <w:color w:val="231F20"/>
        </w:rPr>
        <w:t xml:space="preserve">Абсолютні обов’язки </w:t>
      </w:r>
      <w:r>
        <w:rPr>
          <w:color w:val="231F20"/>
        </w:rPr>
        <w:t xml:space="preserve">– ті, що покладені на громадянина у сфері публічного адміністрування та виконання яких не залежить від </w:t>
      </w:r>
      <w:r>
        <w:rPr>
          <w:color w:val="231F20"/>
          <w:spacing w:val="-3"/>
        </w:rPr>
        <w:t xml:space="preserve">будь-яких </w:t>
      </w:r>
      <w:r>
        <w:rPr>
          <w:color w:val="231F20"/>
        </w:rPr>
        <w:t xml:space="preserve">обставин, оскільки це передбачено нормами чинного законодавства. До таких обов’язків можна віднести загальний обов’язок дотримуватися </w:t>
      </w:r>
      <w:r>
        <w:rPr>
          <w:color w:val="231F20"/>
          <w:spacing w:val="-3"/>
        </w:rPr>
        <w:t xml:space="preserve">закону, </w:t>
      </w:r>
      <w:r>
        <w:rPr>
          <w:color w:val="231F20"/>
        </w:rPr>
        <w:t>с</w:t>
      </w:r>
      <w:r>
        <w:rPr>
          <w:color w:val="231F20"/>
        </w:rPr>
        <w:t>плачувати податки, не завдавати шкоду</w:t>
      </w:r>
      <w:r>
        <w:rPr>
          <w:color w:val="231F20"/>
          <w:spacing w:val="-9"/>
        </w:rPr>
        <w:t xml:space="preserve"> </w:t>
      </w:r>
      <w:r>
        <w:rPr>
          <w:color w:val="231F20"/>
        </w:rPr>
        <w:t>природі,</w:t>
      </w:r>
      <w:r>
        <w:rPr>
          <w:color w:val="231F20"/>
          <w:spacing w:val="-9"/>
        </w:rPr>
        <w:t xml:space="preserve"> </w:t>
      </w:r>
      <w:r>
        <w:rPr>
          <w:color w:val="231F20"/>
        </w:rPr>
        <w:t>культурним</w:t>
      </w:r>
      <w:r>
        <w:rPr>
          <w:color w:val="231F20"/>
          <w:spacing w:val="-9"/>
        </w:rPr>
        <w:t xml:space="preserve"> </w:t>
      </w:r>
      <w:r>
        <w:rPr>
          <w:color w:val="231F20"/>
        </w:rPr>
        <w:t>й</w:t>
      </w:r>
      <w:r>
        <w:rPr>
          <w:color w:val="231F20"/>
          <w:spacing w:val="-9"/>
        </w:rPr>
        <w:t xml:space="preserve"> </w:t>
      </w:r>
      <w:r>
        <w:rPr>
          <w:color w:val="231F20"/>
        </w:rPr>
        <w:t>історичним</w:t>
      </w:r>
      <w:r>
        <w:rPr>
          <w:color w:val="231F20"/>
          <w:spacing w:val="-9"/>
        </w:rPr>
        <w:t xml:space="preserve"> </w:t>
      </w:r>
      <w:r>
        <w:rPr>
          <w:color w:val="231F20"/>
        </w:rPr>
        <w:t>пам’яткам,</w:t>
      </w:r>
      <w:r>
        <w:rPr>
          <w:color w:val="231F20"/>
          <w:spacing w:val="-9"/>
        </w:rPr>
        <w:t xml:space="preserve"> </w:t>
      </w:r>
      <w:r>
        <w:rPr>
          <w:color w:val="231F20"/>
        </w:rPr>
        <w:t>а</w:t>
      </w:r>
      <w:r>
        <w:rPr>
          <w:color w:val="231F20"/>
          <w:spacing w:val="-10"/>
        </w:rPr>
        <w:t xml:space="preserve"> </w:t>
      </w:r>
      <w:r>
        <w:rPr>
          <w:color w:val="231F20"/>
        </w:rPr>
        <w:t>також</w:t>
      </w:r>
      <w:r>
        <w:rPr>
          <w:color w:val="231F20"/>
          <w:spacing w:val="-9"/>
        </w:rPr>
        <w:t xml:space="preserve"> </w:t>
      </w:r>
      <w:r>
        <w:rPr>
          <w:color w:val="231F20"/>
        </w:rPr>
        <w:t>досить важливий обов’язок не зловживати своїми правами, тим самим порушуючи права інших</w:t>
      </w:r>
      <w:r>
        <w:rPr>
          <w:color w:val="231F20"/>
          <w:spacing w:val="-2"/>
        </w:rPr>
        <w:t xml:space="preserve"> </w:t>
      </w:r>
      <w:r>
        <w:rPr>
          <w:color w:val="231F20"/>
          <w:spacing w:val="-3"/>
        </w:rPr>
        <w:t>суб’єктів.</w:t>
      </w:r>
    </w:p>
    <w:p w14:paraId="4C14262D" w14:textId="77777777" w:rsidR="00DE575E" w:rsidRDefault="002E7560">
      <w:pPr>
        <w:pStyle w:val="BodyText"/>
        <w:spacing w:before="4" w:line="252" w:lineRule="auto"/>
        <w:ind w:left="250" w:right="409" w:firstLine="283"/>
        <w:jc w:val="both"/>
      </w:pPr>
      <w:r>
        <w:rPr>
          <w:i/>
          <w:color w:val="231F20"/>
        </w:rPr>
        <w:t xml:space="preserve">Відносні обов’язки </w:t>
      </w:r>
      <w:r>
        <w:rPr>
          <w:color w:val="231F20"/>
        </w:rPr>
        <w:t>– це обов’язки громадян у сфері публічного адмін</w:t>
      </w:r>
      <w:r>
        <w:rPr>
          <w:color w:val="231F20"/>
        </w:rPr>
        <w:t>істрування, виконання яких залежить від низки  чинників,  які можуть стосуватись або волевиявлення громадянина (вступ до ВНЗ – обов’язки абітурієнта; вступ на державну службу – обов’язки, визначені</w:t>
      </w:r>
      <w:r>
        <w:rPr>
          <w:color w:val="231F20"/>
          <w:spacing w:val="-9"/>
        </w:rPr>
        <w:t xml:space="preserve"> </w:t>
      </w:r>
      <w:r>
        <w:rPr>
          <w:color w:val="231F20"/>
        </w:rPr>
        <w:t>Законом</w:t>
      </w:r>
      <w:r>
        <w:rPr>
          <w:color w:val="231F20"/>
          <w:spacing w:val="-9"/>
        </w:rPr>
        <w:t xml:space="preserve"> </w:t>
      </w:r>
      <w:r>
        <w:rPr>
          <w:color w:val="231F20"/>
          <w:spacing w:val="-3"/>
        </w:rPr>
        <w:t>України</w:t>
      </w:r>
      <w:r>
        <w:rPr>
          <w:color w:val="231F20"/>
          <w:spacing w:val="-9"/>
        </w:rPr>
        <w:t xml:space="preserve"> </w:t>
      </w:r>
      <w:r>
        <w:rPr>
          <w:color w:val="231F20"/>
        </w:rPr>
        <w:t>про</w:t>
      </w:r>
      <w:r>
        <w:rPr>
          <w:color w:val="231F20"/>
          <w:spacing w:val="-9"/>
        </w:rPr>
        <w:t xml:space="preserve"> </w:t>
      </w:r>
      <w:r>
        <w:rPr>
          <w:color w:val="231F20"/>
        </w:rPr>
        <w:t>державну</w:t>
      </w:r>
      <w:r>
        <w:rPr>
          <w:color w:val="231F20"/>
          <w:spacing w:val="-9"/>
        </w:rPr>
        <w:t xml:space="preserve"> </w:t>
      </w:r>
      <w:r>
        <w:rPr>
          <w:color w:val="231F20"/>
        </w:rPr>
        <w:t>службу),</w:t>
      </w:r>
      <w:r>
        <w:rPr>
          <w:color w:val="231F20"/>
          <w:spacing w:val="-9"/>
        </w:rPr>
        <w:t xml:space="preserve"> </w:t>
      </w:r>
      <w:r>
        <w:rPr>
          <w:color w:val="231F20"/>
        </w:rPr>
        <w:t>або</w:t>
      </w:r>
      <w:r>
        <w:rPr>
          <w:color w:val="231F20"/>
          <w:spacing w:val="-9"/>
        </w:rPr>
        <w:t xml:space="preserve"> </w:t>
      </w:r>
      <w:r>
        <w:rPr>
          <w:color w:val="231F20"/>
        </w:rPr>
        <w:t>певних</w:t>
      </w:r>
      <w:r>
        <w:rPr>
          <w:color w:val="231F20"/>
          <w:spacing w:val="-9"/>
        </w:rPr>
        <w:t xml:space="preserve"> </w:t>
      </w:r>
      <w:r>
        <w:rPr>
          <w:color w:val="231F20"/>
        </w:rPr>
        <w:t>обста- ви</w:t>
      </w:r>
      <w:r>
        <w:rPr>
          <w:color w:val="231F20"/>
        </w:rPr>
        <w:t>н (у період надзвичайного стану – обов’язок обмежити пересу- вання</w:t>
      </w:r>
      <w:r>
        <w:rPr>
          <w:color w:val="231F20"/>
          <w:spacing w:val="-1"/>
        </w:rPr>
        <w:t xml:space="preserve"> </w:t>
      </w:r>
      <w:r>
        <w:rPr>
          <w:color w:val="231F20"/>
        </w:rPr>
        <w:t>тощо).</w:t>
      </w:r>
    </w:p>
    <w:p w14:paraId="3C096AD5" w14:textId="77777777" w:rsidR="00DE575E" w:rsidRDefault="002E7560">
      <w:pPr>
        <w:pStyle w:val="BodyText"/>
        <w:spacing w:before="4" w:line="252" w:lineRule="auto"/>
        <w:ind w:left="250" w:right="411" w:firstLine="283"/>
        <w:jc w:val="both"/>
      </w:pPr>
      <w:r>
        <w:rPr>
          <w:i/>
          <w:color w:val="231F20"/>
        </w:rPr>
        <w:t xml:space="preserve">Деліктні обов’язки </w:t>
      </w:r>
      <w:r>
        <w:rPr>
          <w:color w:val="231F20"/>
        </w:rPr>
        <w:t xml:space="preserve">– це обов’язки, що виникають із деліктних правовідносин, складають особливу </w:t>
      </w:r>
      <w:r>
        <w:rPr>
          <w:color w:val="231F20"/>
          <w:spacing w:val="-4"/>
        </w:rPr>
        <w:t xml:space="preserve">групу, </w:t>
      </w:r>
      <w:r>
        <w:rPr>
          <w:color w:val="231F20"/>
        </w:rPr>
        <w:t>тобто обов’язки, які покладені на громадянина у зв’язку з його протиправною пове</w:t>
      </w:r>
      <w:r>
        <w:rPr>
          <w:color w:val="231F20"/>
        </w:rPr>
        <w:t xml:space="preserve">дін- кою і полягають, власне, в обов’язку </w:t>
      </w:r>
      <w:r>
        <w:rPr>
          <w:color w:val="231F20"/>
          <w:spacing w:val="-3"/>
        </w:rPr>
        <w:t xml:space="preserve">суб’єкта </w:t>
      </w:r>
      <w:r>
        <w:rPr>
          <w:color w:val="231F20"/>
        </w:rPr>
        <w:t xml:space="preserve">зазнати певних обме- жень своїх прав і свобод як покарання за вчинений проступок. Способи виконання обов’язків різні. Вони залежать від конкрет- ного їх </w:t>
      </w:r>
      <w:r>
        <w:rPr>
          <w:color w:val="231F20"/>
          <w:spacing w:val="-3"/>
        </w:rPr>
        <w:t xml:space="preserve">змісту. </w:t>
      </w:r>
      <w:r>
        <w:rPr>
          <w:color w:val="231F20"/>
        </w:rPr>
        <w:t xml:space="preserve">Одні виконуються за допомогою активних дій, </w:t>
      </w:r>
      <w:r>
        <w:rPr>
          <w:color w:val="231F20"/>
        </w:rPr>
        <w:t>інші – з утриманням від дій, заборонених нормами</w:t>
      </w:r>
      <w:r>
        <w:rPr>
          <w:color w:val="231F20"/>
          <w:spacing w:val="-9"/>
        </w:rPr>
        <w:t xml:space="preserve"> </w:t>
      </w:r>
      <w:r>
        <w:rPr>
          <w:color w:val="231F20"/>
        </w:rPr>
        <w:t>права.</w:t>
      </w:r>
    </w:p>
    <w:p w14:paraId="50544917" w14:textId="77777777" w:rsidR="00DE575E" w:rsidRDefault="00DE575E">
      <w:pPr>
        <w:pStyle w:val="BodyText"/>
        <w:spacing w:before="5"/>
        <w:rPr>
          <w:sz w:val="22"/>
        </w:rPr>
      </w:pPr>
    </w:p>
    <w:p w14:paraId="4C84DDC8" w14:textId="77777777" w:rsidR="00DE575E" w:rsidRDefault="002E7560">
      <w:pPr>
        <w:pStyle w:val="Heading6"/>
        <w:spacing w:before="0"/>
        <w:ind w:firstLine="0"/>
      </w:pPr>
      <w:r>
        <w:rPr>
          <w:color w:val="231F20"/>
        </w:rPr>
        <w:t>5.1.1.2. Іноземці, особи без громадянства</w:t>
      </w:r>
    </w:p>
    <w:p w14:paraId="203D271D" w14:textId="77777777" w:rsidR="00DE575E" w:rsidRDefault="002E7560">
      <w:pPr>
        <w:pStyle w:val="BodyText"/>
        <w:spacing w:before="13" w:line="252" w:lineRule="auto"/>
        <w:ind w:left="250" w:right="411" w:firstLine="283"/>
        <w:jc w:val="both"/>
      </w:pPr>
      <w:r>
        <w:rPr>
          <w:color w:val="231F20"/>
        </w:rPr>
        <w:t xml:space="preserve">Індивідуальними суб’єктами адміністративного права є іноземці та особи без громадянства. Відповідно до Закону України «Про правовий статус іноземців та осіб </w:t>
      </w:r>
      <w:r>
        <w:rPr>
          <w:color w:val="231F20"/>
        </w:rPr>
        <w:t>без громадянства»:</w:t>
      </w:r>
    </w:p>
    <w:p w14:paraId="651234C3" w14:textId="77777777" w:rsidR="00DE575E" w:rsidRDefault="002E7560">
      <w:pPr>
        <w:pStyle w:val="BodyText"/>
        <w:spacing w:before="1" w:line="252" w:lineRule="auto"/>
        <w:ind w:left="250" w:right="411" w:firstLine="283"/>
        <w:jc w:val="both"/>
      </w:pPr>
      <w:r>
        <w:rPr>
          <w:b/>
          <w:color w:val="231F20"/>
        </w:rPr>
        <w:t xml:space="preserve">Іноземець </w:t>
      </w:r>
      <w:r>
        <w:rPr>
          <w:color w:val="231F20"/>
        </w:rPr>
        <w:t xml:space="preserve">– це особа, яка не перебуває у громадянстві </w:t>
      </w:r>
      <w:r>
        <w:rPr>
          <w:color w:val="231F20"/>
          <w:spacing w:val="-3"/>
        </w:rPr>
        <w:t xml:space="preserve">України    </w:t>
      </w:r>
      <w:r>
        <w:rPr>
          <w:color w:val="231F20"/>
        </w:rPr>
        <w:t>і є громадянином (підданим) іншої держави або</w:t>
      </w:r>
      <w:r>
        <w:rPr>
          <w:color w:val="231F20"/>
          <w:spacing w:val="-5"/>
        </w:rPr>
        <w:t xml:space="preserve"> </w:t>
      </w:r>
      <w:r>
        <w:rPr>
          <w:color w:val="231F20"/>
        </w:rPr>
        <w:t>держав.</w:t>
      </w:r>
    </w:p>
    <w:p w14:paraId="067F03A5" w14:textId="77777777" w:rsidR="00DE575E" w:rsidRDefault="002E7560">
      <w:pPr>
        <w:spacing w:before="1" w:line="252" w:lineRule="auto"/>
        <w:ind w:left="250" w:right="411" w:firstLine="283"/>
        <w:jc w:val="both"/>
        <w:rPr>
          <w:sz w:val="21"/>
        </w:rPr>
      </w:pPr>
      <w:r>
        <w:rPr>
          <w:b/>
          <w:color w:val="231F20"/>
          <w:sz w:val="21"/>
        </w:rPr>
        <w:t xml:space="preserve">Особа без громадянства </w:t>
      </w:r>
      <w:r>
        <w:rPr>
          <w:color w:val="231F20"/>
          <w:sz w:val="21"/>
        </w:rPr>
        <w:t>– це особа, яку жодна держава відпо- відно до законодавства не вважає своїм громадянином.</w:t>
      </w:r>
    </w:p>
    <w:p w14:paraId="51BB8C82" w14:textId="77777777" w:rsidR="00DE575E" w:rsidRDefault="002E7560">
      <w:pPr>
        <w:pStyle w:val="BodyText"/>
        <w:spacing w:before="1" w:line="252" w:lineRule="auto"/>
        <w:ind w:left="250" w:right="409" w:firstLine="283"/>
        <w:jc w:val="both"/>
      </w:pPr>
      <w:r>
        <w:rPr>
          <w:color w:val="231F20"/>
        </w:rPr>
        <w:t xml:space="preserve">Для іноземних громадян і осіб без громадянства обов’язковими  є норми Конституції </w:t>
      </w:r>
      <w:r>
        <w:rPr>
          <w:color w:val="231F20"/>
          <w:spacing w:val="-3"/>
        </w:rPr>
        <w:t xml:space="preserve">України </w:t>
      </w:r>
      <w:r>
        <w:rPr>
          <w:color w:val="231F20"/>
        </w:rPr>
        <w:t xml:space="preserve">та інших законів, загальнообов’язкові правила стосовно охорони природи, санітарії, пожежної безпеки, громадського </w:t>
      </w:r>
      <w:r>
        <w:rPr>
          <w:color w:val="231F20"/>
          <w:spacing w:val="-3"/>
        </w:rPr>
        <w:t xml:space="preserve">порядку, </w:t>
      </w:r>
      <w:r>
        <w:rPr>
          <w:color w:val="231F20"/>
        </w:rPr>
        <w:t>користування транспортними</w:t>
      </w:r>
      <w:r>
        <w:rPr>
          <w:color w:val="231F20"/>
          <w:spacing w:val="45"/>
        </w:rPr>
        <w:t xml:space="preserve"> </w:t>
      </w:r>
      <w:r>
        <w:rPr>
          <w:color w:val="231F20"/>
        </w:rPr>
        <w:t>засобами,</w:t>
      </w:r>
    </w:p>
    <w:p w14:paraId="230A4094" w14:textId="77777777" w:rsidR="00DE575E" w:rsidRDefault="00DE575E">
      <w:pPr>
        <w:pStyle w:val="BodyText"/>
        <w:spacing w:before="6"/>
        <w:rPr>
          <w:sz w:val="12"/>
        </w:rPr>
      </w:pPr>
    </w:p>
    <w:p w14:paraId="5B5C3013" w14:textId="77777777" w:rsidR="00DE575E" w:rsidRDefault="002E7560">
      <w:pPr>
        <w:spacing w:before="92"/>
        <w:ind w:right="411"/>
        <w:jc w:val="right"/>
        <w:rPr>
          <w:rFonts w:ascii="Times New Roman"/>
          <w:sz w:val="20"/>
        </w:rPr>
      </w:pPr>
      <w:r>
        <w:rPr>
          <w:rFonts w:ascii="Times New Roman"/>
          <w:color w:val="231F20"/>
          <w:w w:val="90"/>
          <w:sz w:val="20"/>
        </w:rPr>
        <w:t>135</w:t>
      </w:r>
    </w:p>
    <w:p w14:paraId="7AAD3F9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36D52E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4125A08" w14:textId="02AA2CF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BDFFBA2" wp14:editId="084964BC">
                <wp:extent cx="4140200" cy="6350"/>
                <wp:effectExtent l="0" t="0" r="12700" b="6350"/>
                <wp:docPr id="1070"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71" name="Line 107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423AD4" id="Group_x0020_106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bZ74A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9NtnvgAIAAJwFAAAO&#10;AAAAAAAAAAAAAAAAACwCAABkcnMvZTJvRG9jLnhtbFBLAQItABQABgAIAAAAIQBMp7CQ2QAAAAMB&#10;AAAPAAAAAAAAAAAAAAAAANgEAABkcnMvZG93bnJldi54bWxQSwUGAAAAAAQABADzAAAA3gUAAAAA&#10;">
                <v:line id="Line_x0020_107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yYYcUAAADdAAAADwAAAGRycy9kb3ducmV2LnhtbERPzWrCQBC+C77DMoVeSrNRoZaYVaRQ&#10;kB60Gh9gzI5J6O5szK4m7dN3CwVv8/H9Tr4arBE36nzjWMEkSUEQl043XCk4Fu/PryB8QNZoHJOC&#10;b/KwWo5HOWba9byn2yFUIoawz1BBHUKbSenLmiz6xLXEkTu7zmKIsKuk7rCP4dbIaZq+SIsNx4Ya&#10;W3qrqfw6XK2C4vIUzOfuw/TF7jSTp8t29nPdKvX4MKwXIAIN4S7+d290nJ/OJ/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8yYYcUAAADdAAAADwAAAAAAAAAA&#10;AAAAAAChAgAAZHJzL2Rvd25yZXYueG1sUEsFBgAAAAAEAAQA+QAAAJMDAAAAAA==&#10;" strokecolor="#231f20" strokeweight=".5pt"/>
                <w10:anchorlock/>
              </v:group>
            </w:pict>
          </mc:Fallback>
        </mc:AlternateContent>
      </w:r>
    </w:p>
    <w:p w14:paraId="7F14D73E" w14:textId="77777777" w:rsidR="00DE575E" w:rsidRDefault="00DE575E">
      <w:pPr>
        <w:pStyle w:val="BodyText"/>
        <w:spacing w:before="7"/>
        <w:rPr>
          <w:rFonts w:ascii="AdonisC"/>
          <w:i/>
          <w:sz w:val="11"/>
        </w:rPr>
      </w:pPr>
    </w:p>
    <w:p w14:paraId="5D926CEB" w14:textId="77777777" w:rsidR="00DE575E" w:rsidRDefault="002E7560">
      <w:pPr>
        <w:pStyle w:val="BodyText"/>
        <w:spacing w:before="101" w:line="252" w:lineRule="auto"/>
        <w:ind w:left="533" w:right="127"/>
        <w:jc w:val="both"/>
      </w:pPr>
      <w:r>
        <w:rPr>
          <w:color w:val="231F20"/>
        </w:rPr>
        <w:t xml:space="preserve">в’їзду та виїзду. Ці особи не користуються частиною прав і обов’яз- ків, які утворюють групу виняткових прав і обов’язків громадян </w:t>
      </w:r>
      <w:r>
        <w:rPr>
          <w:color w:val="231F20"/>
        </w:rPr>
        <w:t>України (виборче право, право мати паспорт громадянина України тощо).</w:t>
      </w:r>
    </w:p>
    <w:p w14:paraId="556955E7" w14:textId="77777777" w:rsidR="00DE575E" w:rsidRDefault="002E7560">
      <w:pPr>
        <w:pStyle w:val="BodyText"/>
        <w:spacing w:before="2" w:line="252" w:lineRule="auto"/>
        <w:ind w:left="533" w:right="128" w:firstLine="283"/>
        <w:jc w:val="both"/>
      </w:pPr>
      <w:r>
        <w:rPr>
          <w:color w:val="231F20"/>
        </w:rPr>
        <w:t xml:space="preserve">Іноземці та особи без громадянства є рівними перед законами </w:t>
      </w:r>
      <w:r>
        <w:rPr>
          <w:color w:val="231F20"/>
          <w:spacing w:val="-3"/>
        </w:rPr>
        <w:t xml:space="preserve">України </w:t>
      </w:r>
      <w:r>
        <w:rPr>
          <w:color w:val="231F20"/>
        </w:rPr>
        <w:t xml:space="preserve">незалежно від походження, соціального й майнового </w:t>
      </w:r>
      <w:r>
        <w:rPr>
          <w:color w:val="231F20"/>
          <w:spacing w:val="-3"/>
        </w:rPr>
        <w:t xml:space="preserve">стану, </w:t>
      </w:r>
      <w:r>
        <w:rPr>
          <w:color w:val="231F20"/>
        </w:rPr>
        <w:t>расової</w:t>
      </w:r>
      <w:r>
        <w:rPr>
          <w:color w:val="231F20"/>
          <w:spacing w:val="-11"/>
        </w:rPr>
        <w:t xml:space="preserve"> </w:t>
      </w:r>
      <w:r>
        <w:rPr>
          <w:color w:val="231F20"/>
        </w:rPr>
        <w:t>та</w:t>
      </w:r>
      <w:r>
        <w:rPr>
          <w:color w:val="231F20"/>
          <w:spacing w:val="-11"/>
        </w:rPr>
        <w:t xml:space="preserve"> </w:t>
      </w:r>
      <w:r>
        <w:rPr>
          <w:color w:val="231F20"/>
        </w:rPr>
        <w:t>національної</w:t>
      </w:r>
      <w:r>
        <w:rPr>
          <w:color w:val="231F20"/>
          <w:spacing w:val="-11"/>
        </w:rPr>
        <w:t xml:space="preserve"> </w:t>
      </w:r>
      <w:r>
        <w:rPr>
          <w:color w:val="231F20"/>
        </w:rPr>
        <w:t>належності,</w:t>
      </w:r>
      <w:r>
        <w:rPr>
          <w:color w:val="231F20"/>
          <w:spacing w:val="-11"/>
        </w:rPr>
        <w:t xml:space="preserve"> </w:t>
      </w:r>
      <w:r>
        <w:rPr>
          <w:color w:val="231F20"/>
        </w:rPr>
        <w:t>статі,</w:t>
      </w:r>
      <w:r>
        <w:rPr>
          <w:color w:val="231F20"/>
          <w:spacing w:val="-11"/>
        </w:rPr>
        <w:t xml:space="preserve"> </w:t>
      </w:r>
      <w:r>
        <w:rPr>
          <w:color w:val="231F20"/>
        </w:rPr>
        <w:t>мови,</w:t>
      </w:r>
      <w:r>
        <w:rPr>
          <w:color w:val="231F20"/>
          <w:spacing w:val="-11"/>
        </w:rPr>
        <w:t xml:space="preserve"> </w:t>
      </w:r>
      <w:r>
        <w:rPr>
          <w:color w:val="231F20"/>
        </w:rPr>
        <w:t>ставлення</w:t>
      </w:r>
      <w:r>
        <w:rPr>
          <w:color w:val="231F20"/>
          <w:spacing w:val="-11"/>
        </w:rPr>
        <w:t xml:space="preserve"> </w:t>
      </w:r>
      <w:r>
        <w:rPr>
          <w:color w:val="231F20"/>
        </w:rPr>
        <w:t>до</w:t>
      </w:r>
      <w:r>
        <w:rPr>
          <w:color w:val="231F20"/>
          <w:spacing w:val="-11"/>
        </w:rPr>
        <w:t xml:space="preserve"> </w:t>
      </w:r>
      <w:r>
        <w:rPr>
          <w:color w:val="231F20"/>
        </w:rPr>
        <w:t>релігії, характеру занять</w:t>
      </w:r>
      <w:r>
        <w:rPr>
          <w:color w:val="231F20"/>
          <w:spacing w:val="-3"/>
        </w:rPr>
        <w:t xml:space="preserve"> </w:t>
      </w:r>
      <w:r>
        <w:rPr>
          <w:color w:val="231F20"/>
        </w:rPr>
        <w:t>тощо.</w:t>
      </w:r>
    </w:p>
    <w:p w14:paraId="4511534A" w14:textId="77777777" w:rsidR="00DE575E" w:rsidRDefault="002E7560">
      <w:pPr>
        <w:pStyle w:val="BodyText"/>
        <w:spacing w:before="2" w:line="252" w:lineRule="auto"/>
        <w:ind w:left="533" w:right="126" w:firstLine="283"/>
        <w:jc w:val="both"/>
      </w:pPr>
      <w:r>
        <w:rPr>
          <w:color w:val="231F20"/>
        </w:rPr>
        <w:t>Якщо іноземною державою встановлено обмеження щодо реалі- зації прав і свобод громадянина України, Кабінет Міністрів України може ухвалити рішення про встановлення відповідного порядку реалізації прав і свобод громадянами цієї держави на території України.</w:t>
      </w:r>
    </w:p>
    <w:p w14:paraId="44B50597" w14:textId="77777777" w:rsidR="00DE575E" w:rsidRDefault="002E7560">
      <w:pPr>
        <w:pStyle w:val="BodyText"/>
        <w:spacing w:before="2" w:line="252" w:lineRule="auto"/>
        <w:ind w:left="533" w:right="125" w:firstLine="283"/>
        <w:jc w:val="both"/>
      </w:pPr>
      <w:r>
        <w:rPr>
          <w:color w:val="231F20"/>
        </w:rPr>
        <w:t xml:space="preserve">Реалізація іноземцями та особами без громадянства своїх прав    і свобод не має завдавати шкоди національним інтересам </w:t>
      </w:r>
      <w:r>
        <w:rPr>
          <w:color w:val="231F20"/>
          <w:spacing w:val="-3"/>
        </w:rPr>
        <w:t xml:space="preserve">України, </w:t>
      </w:r>
      <w:r>
        <w:rPr>
          <w:color w:val="231F20"/>
        </w:rPr>
        <w:t>правам,</w:t>
      </w:r>
      <w:r>
        <w:rPr>
          <w:color w:val="231F20"/>
          <w:spacing w:val="-6"/>
        </w:rPr>
        <w:t xml:space="preserve"> </w:t>
      </w:r>
      <w:r>
        <w:rPr>
          <w:color w:val="231F20"/>
        </w:rPr>
        <w:t>свободам</w:t>
      </w:r>
      <w:r>
        <w:rPr>
          <w:color w:val="231F20"/>
          <w:spacing w:val="-6"/>
        </w:rPr>
        <w:t xml:space="preserve"> </w:t>
      </w:r>
      <w:r>
        <w:rPr>
          <w:color w:val="231F20"/>
        </w:rPr>
        <w:t>і</w:t>
      </w:r>
      <w:r>
        <w:rPr>
          <w:color w:val="231F20"/>
          <w:spacing w:val="-6"/>
        </w:rPr>
        <w:t xml:space="preserve"> </w:t>
      </w:r>
      <w:r>
        <w:rPr>
          <w:color w:val="231F20"/>
        </w:rPr>
        <w:t>законним</w:t>
      </w:r>
      <w:r>
        <w:rPr>
          <w:color w:val="231F20"/>
          <w:spacing w:val="-6"/>
        </w:rPr>
        <w:t xml:space="preserve"> </w:t>
      </w:r>
      <w:r>
        <w:rPr>
          <w:color w:val="231F20"/>
        </w:rPr>
        <w:t>інтересам</w:t>
      </w:r>
      <w:r>
        <w:rPr>
          <w:color w:val="231F20"/>
          <w:spacing w:val="-6"/>
        </w:rPr>
        <w:t xml:space="preserve"> </w:t>
      </w:r>
      <w:r>
        <w:rPr>
          <w:color w:val="231F20"/>
        </w:rPr>
        <w:t>її</w:t>
      </w:r>
      <w:r>
        <w:rPr>
          <w:color w:val="231F20"/>
          <w:spacing w:val="-6"/>
        </w:rPr>
        <w:t xml:space="preserve"> </w:t>
      </w:r>
      <w:r>
        <w:rPr>
          <w:color w:val="231F20"/>
        </w:rPr>
        <w:t>громадян</w:t>
      </w:r>
      <w:r>
        <w:rPr>
          <w:color w:val="231F20"/>
          <w:spacing w:val="-6"/>
        </w:rPr>
        <w:t xml:space="preserve"> </w:t>
      </w:r>
      <w:r>
        <w:rPr>
          <w:color w:val="231F20"/>
        </w:rPr>
        <w:t>та</w:t>
      </w:r>
      <w:r>
        <w:rPr>
          <w:color w:val="231F20"/>
          <w:spacing w:val="-6"/>
        </w:rPr>
        <w:t xml:space="preserve"> </w:t>
      </w:r>
      <w:r>
        <w:rPr>
          <w:color w:val="231F20"/>
        </w:rPr>
        <w:t>інших</w:t>
      </w:r>
      <w:r>
        <w:rPr>
          <w:color w:val="231F20"/>
          <w:spacing w:val="-6"/>
        </w:rPr>
        <w:t xml:space="preserve"> </w:t>
      </w:r>
      <w:r>
        <w:rPr>
          <w:color w:val="231F20"/>
        </w:rPr>
        <w:t>осіб,</w:t>
      </w:r>
      <w:r>
        <w:rPr>
          <w:color w:val="231F20"/>
          <w:spacing w:val="-6"/>
        </w:rPr>
        <w:t xml:space="preserve"> </w:t>
      </w:r>
      <w:r>
        <w:rPr>
          <w:color w:val="231F20"/>
        </w:rPr>
        <w:t>які проживають в</w:t>
      </w:r>
      <w:r>
        <w:rPr>
          <w:color w:val="231F20"/>
          <w:spacing w:val="-3"/>
        </w:rPr>
        <w:t xml:space="preserve"> Україні.</w:t>
      </w:r>
    </w:p>
    <w:p w14:paraId="6FA4452C" w14:textId="77777777" w:rsidR="00DE575E" w:rsidRDefault="002E7560">
      <w:pPr>
        <w:pStyle w:val="BodyText"/>
        <w:spacing w:before="2" w:line="252" w:lineRule="auto"/>
        <w:ind w:left="533" w:right="127" w:firstLine="283"/>
        <w:jc w:val="both"/>
      </w:pPr>
      <w:r>
        <w:rPr>
          <w:color w:val="231F20"/>
        </w:rPr>
        <w:t>Іноземці та особи без громадянства м</w:t>
      </w:r>
      <w:r>
        <w:rPr>
          <w:color w:val="231F20"/>
        </w:rPr>
        <w:t xml:space="preserve">ожуть перебувати в </w:t>
      </w:r>
      <w:r>
        <w:rPr>
          <w:color w:val="231F20"/>
          <w:spacing w:val="-3"/>
        </w:rPr>
        <w:t xml:space="preserve">Україні </w:t>
      </w:r>
      <w:r>
        <w:rPr>
          <w:color w:val="231F20"/>
        </w:rPr>
        <w:t xml:space="preserve">постійно або тимчасово, мають право в установленому порядку приїжджати та залишати територію </w:t>
      </w:r>
      <w:r>
        <w:rPr>
          <w:color w:val="231F20"/>
          <w:spacing w:val="-3"/>
        </w:rPr>
        <w:t xml:space="preserve">України. </w:t>
      </w:r>
      <w:r>
        <w:rPr>
          <w:color w:val="231F20"/>
        </w:rPr>
        <w:t>Іноземець або особа без</w:t>
      </w:r>
      <w:r>
        <w:rPr>
          <w:color w:val="231F20"/>
          <w:spacing w:val="-7"/>
        </w:rPr>
        <w:t xml:space="preserve"> </w:t>
      </w:r>
      <w:r>
        <w:rPr>
          <w:color w:val="231F20"/>
        </w:rPr>
        <w:t>громадянства</w:t>
      </w:r>
      <w:r>
        <w:rPr>
          <w:color w:val="231F20"/>
          <w:spacing w:val="-7"/>
        </w:rPr>
        <w:t xml:space="preserve"> </w:t>
      </w:r>
      <w:r>
        <w:rPr>
          <w:color w:val="231F20"/>
        </w:rPr>
        <w:t>можуть</w:t>
      </w:r>
      <w:r>
        <w:rPr>
          <w:color w:val="231F20"/>
          <w:spacing w:val="-7"/>
        </w:rPr>
        <w:t xml:space="preserve"> </w:t>
      </w:r>
      <w:r>
        <w:rPr>
          <w:color w:val="231F20"/>
        </w:rPr>
        <w:t>бути</w:t>
      </w:r>
      <w:r>
        <w:rPr>
          <w:color w:val="231F20"/>
          <w:spacing w:val="-7"/>
        </w:rPr>
        <w:t xml:space="preserve"> </w:t>
      </w:r>
      <w:r>
        <w:rPr>
          <w:color w:val="231F20"/>
        </w:rPr>
        <w:t>примусово</w:t>
      </w:r>
      <w:r>
        <w:rPr>
          <w:color w:val="231F20"/>
          <w:spacing w:val="-7"/>
        </w:rPr>
        <w:t xml:space="preserve"> </w:t>
      </w:r>
      <w:r>
        <w:rPr>
          <w:color w:val="231F20"/>
        </w:rPr>
        <w:t>повернуті</w:t>
      </w:r>
      <w:r>
        <w:rPr>
          <w:color w:val="231F20"/>
          <w:spacing w:val="-7"/>
        </w:rPr>
        <w:t xml:space="preserve"> </w:t>
      </w:r>
      <w:r>
        <w:rPr>
          <w:color w:val="231F20"/>
        </w:rPr>
        <w:t>до</w:t>
      </w:r>
      <w:r>
        <w:rPr>
          <w:color w:val="231F20"/>
          <w:spacing w:val="-7"/>
        </w:rPr>
        <w:t xml:space="preserve"> </w:t>
      </w:r>
      <w:r>
        <w:rPr>
          <w:color w:val="231F20"/>
        </w:rPr>
        <w:t>країни</w:t>
      </w:r>
      <w:r>
        <w:rPr>
          <w:color w:val="231F20"/>
          <w:spacing w:val="-7"/>
        </w:rPr>
        <w:t xml:space="preserve"> </w:t>
      </w:r>
      <w:r>
        <w:rPr>
          <w:color w:val="231F20"/>
        </w:rPr>
        <w:t>похо- дження чи третьої</w:t>
      </w:r>
      <w:r>
        <w:rPr>
          <w:color w:val="231F20"/>
          <w:spacing w:val="-1"/>
        </w:rPr>
        <w:t xml:space="preserve"> </w:t>
      </w:r>
      <w:r>
        <w:rPr>
          <w:color w:val="231F20"/>
        </w:rPr>
        <w:t>країни.</w:t>
      </w:r>
    </w:p>
    <w:p w14:paraId="0BFEA897" w14:textId="77777777" w:rsidR="00DE575E" w:rsidRDefault="002E7560">
      <w:pPr>
        <w:pStyle w:val="BodyText"/>
        <w:spacing w:before="3" w:line="252" w:lineRule="auto"/>
        <w:ind w:left="533" w:right="126" w:firstLine="283"/>
        <w:jc w:val="both"/>
      </w:pPr>
      <w:r>
        <w:rPr>
          <w:color w:val="231F20"/>
        </w:rPr>
        <w:t>Основні  обмежен</w:t>
      </w:r>
      <w:r>
        <w:rPr>
          <w:color w:val="231F20"/>
        </w:rPr>
        <w:t xml:space="preserve">ня  для  іноземців  та  осіб  без  громадянства    є такими: не можуть займати посади (президента </w:t>
      </w:r>
      <w:r>
        <w:rPr>
          <w:color w:val="231F20"/>
          <w:spacing w:val="-3"/>
        </w:rPr>
        <w:t xml:space="preserve">України, судді, </w:t>
      </w:r>
      <w:r>
        <w:rPr>
          <w:color w:val="231F20"/>
        </w:rPr>
        <w:t>прокурора, перебувати на посадах державних службовців у складі морських і повітряних екіпажів тощо); не мають доступу до посад, діяльність яки</w:t>
      </w:r>
      <w:r>
        <w:rPr>
          <w:color w:val="231F20"/>
        </w:rPr>
        <w:t xml:space="preserve">х пов’язана з державною таємницею; не можуть служити в Збройних Силах </w:t>
      </w:r>
      <w:r>
        <w:rPr>
          <w:color w:val="231F20"/>
          <w:spacing w:val="-3"/>
        </w:rPr>
        <w:t xml:space="preserve">України; </w:t>
      </w:r>
      <w:r>
        <w:rPr>
          <w:color w:val="231F20"/>
        </w:rPr>
        <w:t xml:space="preserve">для іноземних громадян і осіб без громадянства допускаються обмеження в пересуванні чи пере- буванні в окремих місцях; для них установлено окремі правила паспортного </w:t>
      </w:r>
      <w:r>
        <w:rPr>
          <w:color w:val="231F20"/>
          <w:spacing w:val="-4"/>
        </w:rPr>
        <w:t xml:space="preserve">режиму, </w:t>
      </w:r>
      <w:r>
        <w:rPr>
          <w:color w:val="231F20"/>
        </w:rPr>
        <w:t>вст</w:t>
      </w:r>
      <w:r>
        <w:rPr>
          <w:color w:val="231F20"/>
        </w:rPr>
        <w:t>упу до навчальних закладів; для іноземних громадян і осіб без громадянства встановлено особливу адміністра- тивну деліктоздатність у зв’язку з їх протиправною</w:t>
      </w:r>
      <w:r>
        <w:rPr>
          <w:color w:val="231F20"/>
          <w:spacing w:val="-18"/>
        </w:rPr>
        <w:t xml:space="preserve"> </w:t>
      </w:r>
      <w:r>
        <w:rPr>
          <w:color w:val="231F20"/>
        </w:rPr>
        <w:t>поведінкою.</w:t>
      </w:r>
    </w:p>
    <w:p w14:paraId="43966938" w14:textId="77777777" w:rsidR="00DE575E" w:rsidRDefault="002E7560">
      <w:pPr>
        <w:pStyle w:val="BodyText"/>
        <w:spacing w:before="5" w:line="252" w:lineRule="auto"/>
        <w:ind w:left="533" w:right="125" w:firstLine="283"/>
        <w:jc w:val="both"/>
      </w:pPr>
      <w:r>
        <w:rPr>
          <w:color w:val="231F20"/>
        </w:rPr>
        <w:t>Законом України «Про правовий статус іноземців та осіб без громадянства» встановлено нормативні підстави, за наявності яких в’їзд на територію України іноземцям та особам без громадянства забороняється.</w:t>
      </w:r>
    </w:p>
    <w:p w14:paraId="7C4F644E" w14:textId="77777777" w:rsidR="00DE575E" w:rsidRDefault="002E7560">
      <w:pPr>
        <w:pStyle w:val="BodyText"/>
        <w:spacing w:before="2" w:line="252" w:lineRule="auto"/>
        <w:ind w:left="533" w:right="127" w:firstLine="283"/>
        <w:jc w:val="both"/>
      </w:pPr>
      <w:r>
        <w:rPr>
          <w:color w:val="231F20"/>
        </w:rPr>
        <w:t>Серед таких підстав слід назвати такі: в інтересах за</w:t>
      </w:r>
      <w:r>
        <w:rPr>
          <w:color w:val="231F20"/>
        </w:rPr>
        <w:t>безпечення національної безпеки України або охорони громадського порядку;</w:t>
      </w:r>
    </w:p>
    <w:p w14:paraId="0CC7F1CF" w14:textId="77777777" w:rsidR="00DE575E" w:rsidRDefault="00DE575E">
      <w:pPr>
        <w:pStyle w:val="BodyText"/>
        <w:spacing w:before="5"/>
        <w:rPr>
          <w:sz w:val="12"/>
        </w:rPr>
      </w:pPr>
    </w:p>
    <w:p w14:paraId="6D945435" w14:textId="77777777" w:rsidR="00DE575E" w:rsidRDefault="002E7560">
      <w:pPr>
        <w:spacing w:before="92"/>
        <w:ind w:left="533"/>
        <w:rPr>
          <w:rFonts w:ascii="Times New Roman"/>
          <w:sz w:val="20"/>
        </w:rPr>
      </w:pPr>
      <w:r>
        <w:rPr>
          <w:rFonts w:ascii="Times New Roman"/>
          <w:color w:val="231F20"/>
          <w:sz w:val="20"/>
        </w:rPr>
        <w:t>136</w:t>
      </w:r>
    </w:p>
    <w:p w14:paraId="6E6F766E" w14:textId="77777777" w:rsidR="00DE575E" w:rsidRDefault="00DE575E">
      <w:pPr>
        <w:rPr>
          <w:rFonts w:ascii="Times New Roman"/>
          <w:sz w:val="20"/>
        </w:rPr>
        <w:sectPr w:rsidR="00DE575E">
          <w:pgSz w:w="8510" w:h="12760"/>
          <w:pgMar w:top="660" w:right="720" w:bottom="280" w:left="600" w:header="720" w:footer="720" w:gutter="0"/>
          <w:cols w:space="720"/>
        </w:sectPr>
      </w:pPr>
    </w:p>
    <w:p w14:paraId="451F397F"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59ED8764" w14:textId="13295B7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E66CCC9" wp14:editId="4B4E3A8F">
                <wp:extent cx="4140200" cy="6350"/>
                <wp:effectExtent l="0" t="0" r="12700" b="6350"/>
                <wp:docPr id="1068"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69" name="Line 106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B209DA" id="Group_x0020_106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Ndn3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qzXZ9/AgAAnAUAAA4A&#10;AAAAAAAAAAAAAAAALAIAAGRycy9lMm9Eb2MueG1sUEsBAi0AFAAGAAgAAAAhAEynsJDZAAAAAwEA&#10;AA8AAAAAAAAAAAAAAAAA1wQAAGRycy9kb3ducmV2LnhtbFBLBQYAAAAABAAEAPMAAADdBQAAAAA=&#10;">
                <v:line id="Line_x0020_106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MCusUAAADdAAAADwAAAGRycy9kb3ducmV2LnhtbERP22rCQBB9L/gPyxT6UpqNFaSNWUWE&#10;QumDt/QDxuyYhO7OxuxqUr/eFQp9m8O5Tr4YrBEX6nzjWME4SUEQl043XCn4Lj5e3kD4gKzROCYF&#10;v+RhMR895Jhp1/OOLvtQiRjCPkMFdQhtJqUva7LoE9cSR+7oOoshwq6SusM+hlsjX9N0Ki02HBtq&#10;bGlVU/mzP1sFxek5mO3my/TF5jCRh9N6cj2vlXp6HJYzEIGG8C/+c3/qOD+dvsP9m3iC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GMCusUAAADdAAAADwAAAAAAAAAA&#10;AAAAAAChAgAAZHJzL2Rvd25yZXYueG1sUEsFBgAAAAAEAAQA+QAAAJMDAAAAAA==&#10;" strokecolor="#231f20" strokeweight=".5pt"/>
                <w10:anchorlock/>
              </v:group>
            </w:pict>
          </mc:Fallback>
        </mc:AlternateContent>
      </w:r>
    </w:p>
    <w:p w14:paraId="086FE165" w14:textId="77777777" w:rsidR="00DE575E" w:rsidRDefault="00DE575E">
      <w:pPr>
        <w:pStyle w:val="BodyText"/>
        <w:spacing w:before="7"/>
        <w:rPr>
          <w:rFonts w:ascii="AdonisC"/>
          <w:i/>
          <w:sz w:val="19"/>
        </w:rPr>
      </w:pPr>
    </w:p>
    <w:p w14:paraId="47269FE8" w14:textId="77777777" w:rsidR="00DE575E" w:rsidRDefault="002E7560">
      <w:pPr>
        <w:pStyle w:val="BodyText"/>
        <w:spacing w:before="1" w:line="252" w:lineRule="auto"/>
        <w:ind w:left="250" w:right="410"/>
        <w:jc w:val="both"/>
      </w:pPr>
      <w:r>
        <w:rPr>
          <w:color w:val="231F20"/>
        </w:rPr>
        <w:t xml:space="preserve">якщо це необхідно для охорони здоров’я, захисту прав і законних інтересів громадян </w:t>
      </w:r>
      <w:r>
        <w:rPr>
          <w:color w:val="231F20"/>
          <w:spacing w:val="-3"/>
        </w:rPr>
        <w:t xml:space="preserve">України </w:t>
      </w:r>
      <w:r>
        <w:rPr>
          <w:color w:val="231F20"/>
        </w:rPr>
        <w:t xml:space="preserve">та інших осіб, які проживають в </w:t>
      </w:r>
      <w:r>
        <w:rPr>
          <w:color w:val="231F20"/>
          <w:spacing w:val="-3"/>
        </w:rPr>
        <w:t xml:space="preserve">Україні; </w:t>
      </w:r>
      <w:r>
        <w:rPr>
          <w:color w:val="231F20"/>
        </w:rPr>
        <w:t xml:space="preserve">якщо при клопотанні про в’їзд в </w:t>
      </w:r>
      <w:r>
        <w:rPr>
          <w:color w:val="231F20"/>
          <w:spacing w:val="-3"/>
        </w:rPr>
        <w:t xml:space="preserve">Україну </w:t>
      </w:r>
      <w:r>
        <w:rPr>
          <w:color w:val="231F20"/>
        </w:rPr>
        <w:t>така особа подала про себе завідомо неправдиві відомості або підроблені документи; якщо паспортний документ такої особи, віза підроблені, зіпсовані чи не відповідають установленому зразку або належать іншій особі; якщо така особа порушила в пункті пропуску</w:t>
      </w:r>
      <w:r>
        <w:rPr>
          <w:color w:val="231F20"/>
        </w:rPr>
        <w:t xml:space="preserve"> через державний кордон </w:t>
      </w:r>
      <w:r>
        <w:rPr>
          <w:color w:val="231F20"/>
          <w:spacing w:val="-3"/>
        </w:rPr>
        <w:t xml:space="preserve">України </w:t>
      </w:r>
      <w:r>
        <w:rPr>
          <w:color w:val="231F20"/>
        </w:rPr>
        <w:t>правила його перетинання, митні правила, санітарні норми чи</w:t>
      </w:r>
      <w:r>
        <w:rPr>
          <w:color w:val="231F20"/>
          <w:spacing w:val="-11"/>
        </w:rPr>
        <w:t xml:space="preserve"> </w:t>
      </w:r>
      <w:r>
        <w:rPr>
          <w:color w:val="231F20"/>
        </w:rPr>
        <w:t>правила</w:t>
      </w:r>
      <w:r>
        <w:rPr>
          <w:color w:val="231F20"/>
          <w:spacing w:val="-12"/>
        </w:rPr>
        <w:t xml:space="preserve"> </w:t>
      </w:r>
      <w:r>
        <w:rPr>
          <w:color w:val="231F20"/>
        </w:rPr>
        <w:t>або</w:t>
      </w:r>
      <w:r>
        <w:rPr>
          <w:color w:val="231F20"/>
          <w:spacing w:val="-12"/>
        </w:rPr>
        <w:t xml:space="preserve"> </w:t>
      </w:r>
      <w:r>
        <w:rPr>
          <w:color w:val="231F20"/>
        </w:rPr>
        <w:t>не</w:t>
      </w:r>
      <w:r>
        <w:rPr>
          <w:color w:val="231F20"/>
          <w:spacing w:val="-11"/>
        </w:rPr>
        <w:t xml:space="preserve"> </w:t>
      </w:r>
      <w:r>
        <w:rPr>
          <w:color w:val="231F20"/>
        </w:rPr>
        <w:t>виконала</w:t>
      </w:r>
      <w:r>
        <w:rPr>
          <w:color w:val="231F20"/>
          <w:spacing w:val="-11"/>
        </w:rPr>
        <w:t xml:space="preserve"> </w:t>
      </w:r>
      <w:r>
        <w:rPr>
          <w:color w:val="231F20"/>
        </w:rPr>
        <w:t>законних</w:t>
      </w:r>
      <w:r>
        <w:rPr>
          <w:color w:val="231F20"/>
          <w:spacing w:val="-11"/>
        </w:rPr>
        <w:t xml:space="preserve"> </w:t>
      </w:r>
      <w:r>
        <w:rPr>
          <w:color w:val="231F20"/>
        </w:rPr>
        <w:t>вимог</w:t>
      </w:r>
      <w:r>
        <w:rPr>
          <w:color w:val="231F20"/>
          <w:spacing w:val="-12"/>
        </w:rPr>
        <w:t xml:space="preserve"> </w:t>
      </w:r>
      <w:r>
        <w:rPr>
          <w:color w:val="231F20"/>
        </w:rPr>
        <w:t>посадових</w:t>
      </w:r>
      <w:r>
        <w:rPr>
          <w:color w:val="231F20"/>
          <w:spacing w:val="-11"/>
        </w:rPr>
        <w:t xml:space="preserve"> </w:t>
      </w:r>
      <w:r>
        <w:rPr>
          <w:color w:val="231F20"/>
        </w:rPr>
        <w:t>та</w:t>
      </w:r>
      <w:r>
        <w:rPr>
          <w:color w:val="231F20"/>
          <w:spacing w:val="-11"/>
        </w:rPr>
        <w:t xml:space="preserve"> </w:t>
      </w:r>
      <w:r>
        <w:rPr>
          <w:color w:val="231F20"/>
        </w:rPr>
        <w:t xml:space="preserve">службових осіб органів охорони державного </w:t>
      </w:r>
      <w:r>
        <w:rPr>
          <w:color w:val="231F20"/>
          <w:spacing w:val="-4"/>
        </w:rPr>
        <w:t xml:space="preserve">кордону, </w:t>
      </w:r>
      <w:r>
        <w:rPr>
          <w:color w:val="231F20"/>
        </w:rPr>
        <w:t xml:space="preserve">органів </w:t>
      </w:r>
      <w:r>
        <w:rPr>
          <w:color w:val="231F20"/>
          <w:spacing w:val="-3"/>
        </w:rPr>
        <w:t xml:space="preserve">доходів </w:t>
      </w:r>
      <w:r>
        <w:rPr>
          <w:color w:val="231F20"/>
        </w:rPr>
        <w:t xml:space="preserve">і зборів та інших органів, що здійснюють контроль на державному кордоні; якщо під час попереднього перебування на території </w:t>
      </w:r>
      <w:r>
        <w:rPr>
          <w:color w:val="231F20"/>
          <w:spacing w:val="-3"/>
        </w:rPr>
        <w:t xml:space="preserve">України </w:t>
      </w:r>
      <w:r>
        <w:rPr>
          <w:color w:val="231F20"/>
        </w:rPr>
        <w:t>інозе- мець</w:t>
      </w:r>
      <w:r>
        <w:rPr>
          <w:color w:val="231F20"/>
          <w:spacing w:val="-13"/>
        </w:rPr>
        <w:t xml:space="preserve"> </w:t>
      </w:r>
      <w:r>
        <w:rPr>
          <w:color w:val="231F20"/>
        </w:rPr>
        <w:t>або</w:t>
      </w:r>
      <w:r>
        <w:rPr>
          <w:color w:val="231F20"/>
          <w:spacing w:val="-13"/>
        </w:rPr>
        <w:t xml:space="preserve"> </w:t>
      </w:r>
      <w:r>
        <w:rPr>
          <w:color w:val="231F20"/>
        </w:rPr>
        <w:t>особа</w:t>
      </w:r>
      <w:r>
        <w:rPr>
          <w:color w:val="231F20"/>
          <w:spacing w:val="-13"/>
        </w:rPr>
        <w:t xml:space="preserve"> </w:t>
      </w:r>
      <w:r>
        <w:rPr>
          <w:color w:val="231F20"/>
        </w:rPr>
        <w:t>без</w:t>
      </w:r>
      <w:r>
        <w:rPr>
          <w:color w:val="231F20"/>
          <w:spacing w:val="-13"/>
        </w:rPr>
        <w:t xml:space="preserve"> </w:t>
      </w:r>
      <w:r>
        <w:rPr>
          <w:color w:val="231F20"/>
        </w:rPr>
        <w:t>громадянства</w:t>
      </w:r>
      <w:r>
        <w:rPr>
          <w:color w:val="231F20"/>
          <w:spacing w:val="-13"/>
        </w:rPr>
        <w:t xml:space="preserve"> </w:t>
      </w:r>
      <w:r>
        <w:rPr>
          <w:color w:val="231F20"/>
        </w:rPr>
        <w:t>не</w:t>
      </w:r>
      <w:r>
        <w:rPr>
          <w:color w:val="231F20"/>
          <w:spacing w:val="-13"/>
        </w:rPr>
        <w:t xml:space="preserve"> </w:t>
      </w:r>
      <w:r>
        <w:rPr>
          <w:color w:val="231F20"/>
        </w:rPr>
        <w:t>виконали</w:t>
      </w:r>
      <w:r>
        <w:rPr>
          <w:color w:val="231F20"/>
          <w:spacing w:val="-13"/>
        </w:rPr>
        <w:t xml:space="preserve"> </w:t>
      </w:r>
      <w:r>
        <w:rPr>
          <w:color w:val="231F20"/>
        </w:rPr>
        <w:t>рішення</w:t>
      </w:r>
      <w:r>
        <w:rPr>
          <w:color w:val="231F20"/>
          <w:spacing w:val="-13"/>
        </w:rPr>
        <w:t xml:space="preserve"> </w:t>
      </w:r>
      <w:r>
        <w:rPr>
          <w:color w:val="231F20"/>
          <w:spacing w:val="-4"/>
        </w:rPr>
        <w:t>суду</w:t>
      </w:r>
      <w:r>
        <w:rPr>
          <w:color w:val="231F20"/>
          <w:spacing w:val="-13"/>
        </w:rPr>
        <w:t xml:space="preserve"> </w:t>
      </w:r>
      <w:r>
        <w:rPr>
          <w:color w:val="231F20"/>
        </w:rPr>
        <w:t>або</w:t>
      </w:r>
      <w:r>
        <w:rPr>
          <w:color w:val="231F20"/>
          <w:spacing w:val="-13"/>
        </w:rPr>
        <w:t xml:space="preserve"> </w:t>
      </w:r>
      <w:r>
        <w:rPr>
          <w:color w:val="231F20"/>
        </w:rPr>
        <w:t>орга- нів державної влади, уповноважених накладати адмін</w:t>
      </w:r>
      <w:r>
        <w:rPr>
          <w:color w:val="231F20"/>
        </w:rPr>
        <w:t xml:space="preserve">істративні стягнення, або мають інші не виконані майнові зобов’язання перед державою, фізичними або юридичними особами, включаючи пов’я- зані з попереднім видворенням, зокрема після закінчення терміну заборони подальшого в’їзду в </w:t>
      </w:r>
      <w:r>
        <w:rPr>
          <w:color w:val="231F20"/>
          <w:spacing w:val="-5"/>
        </w:rPr>
        <w:t>Україну,</w:t>
      </w:r>
      <w:r>
        <w:rPr>
          <w:color w:val="231F20"/>
          <w:spacing w:val="-6"/>
        </w:rPr>
        <w:t xml:space="preserve"> </w:t>
      </w:r>
      <w:r>
        <w:rPr>
          <w:color w:val="231F20"/>
        </w:rPr>
        <w:t>тощо.</w:t>
      </w:r>
    </w:p>
    <w:p w14:paraId="2FD1544F" w14:textId="77777777" w:rsidR="00DE575E" w:rsidRDefault="002E7560">
      <w:pPr>
        <w:pStyle w:val="BodyText"/>
        <w:spacing w:before="9" w:line="252" w:lineRule="auto"/>
        <w:ind w:left="250" w:right="411" w:firstLine="283"/>
        <w:jc w:val="both"/>
      </w:pPr>
      <w:r>
        <w:rPr>
          <w:color w:val="231F20"/>
        </w:rPr>
        <w:t>Рішення про</w:t>
      </w:r>
      <w:r>
        <w:rPr>
          <w:color w:val="231F20"/>
        </w:rPr>
        <w:t xml:space="preserve"> заборону в’їзду в </w:t>
      </w:r>
      <w:r>
        <w:rPr>
          <w:color w:val="231F20"/>
          <w:spacing w:val="-3"/>
        </w:rPr>
        <w:t xml:space="preserve">Україну </w:t>
      </w:r>
      <w:r>
        <w:rPr>
          <w:color w:val="231F20"/>
        </w:rPr>
        <w:t xml:space="preserve">строком на три роки ухва- люється центральним органом виконавчої влади, що забезпечує реалізацію державної політики у сфері міграції, Службою безпеки </w:t>
      </w:r>
      <w:r>
        <w:rPr>
          <w:color w:val="231F20"/>
          <w:spacing w:val="-3"/>
        </w:rPr>
        <w:t xml:space="preserve">України </w:t>
      </w:r>
      <w:r>
        <w:rPr>
          <w:color w:val="231F20"/>
        </w:rPr>
        <w:t xml:space="preserve">або органом охорони державного </w:t>
      </w:r>
      <w:r>
        <w:rPr>
          <w:color w:val="231F20"/>
          <w:spacing w:val="-4"/>
        </w:rPr>
        <w:t xml:space="preserve">кордону. </w:t>
      </w:r>
      <w:r>
        <w:rPr>
          <w:color w:val="231F20"/>
        </w:rPr>
        <w:t>У разі невико- нання рішення пр</w:t>
      </w:r>
      <w:r>
        <w:rPr>
          <w:color w:val="231F20"/>
        </w:rPr>
        <w:t xml:space="preserve">о заборону в’їзду в </w:t>
      </w:r>
      <w:r>
        <w:rPr>
          <w:color w:val="231F20"/>
          <w:spacing w:val="-3"/>
        </w:rPr>
        <w:t xml:space="preserve">Україну </w:t>
      </w:r>
      <w:r>
        <w:rPr>
          <w:color w:val="231F20"/>
        </w:rPr>
        <w:t>іноземцям та особам без</w:t>
      </w:r>
      <w:r>
        <w:rPr>
          <w:color w:val="231F20"/>
          <w:spacing w:val="-18"/>
        </w:rPr>
        <w:t xml:space="preserve"> </w:t>
      </w:r>
      <w:r>
        <w:rPr>
          <w:color w:val="231F20"/>
        </w:rPr>
        <w:t>громадянства</w:t>
      </w:r>
      <w:r>
        <w:rPr>
          <w:color w:val="231F20"/>
          <w:spacing w:val="-18"/>
        </w:rPr>
        <w:t xml:space="preserve"> </w:t>
      </w:r>
      <w:r>
        <w:rPr>
          <w:color w:val="231F20"/>
        </w:rPr>
        <w:t>забороняється</w:t>
      </w:r>
      <w:r>
        <w:rPr>
          <w:color w:val="231F20"/>
          <w:spacing w:val="-18"/>
        </w:rPr>
        <w:t xml:space="preserve"> </w:t>
      </w:r>
      <w:r>
        <w:rPr>
          <w:color w:val="231F20"/>
        </w:rPr>
        <w:t>подальший</w:t>
      </w:r>
      <w:r>
        <w:rPr>
          <w:color w:val="231F20"/>
          <w:spacing w:val="-18"/>
        </w:rPr>
        <w:t xml:space="preserve"> </w:t>
      </w:r>
      <w:r>
        <w:rPr>
          <w:color w:val="231F20"/>
        </w:rPr>
        <w:t>в’їзд</w:t>
      </w:r>
      <w:r>
        <w:rPr>
          <w:color w:val="231F20"/>
          <w:spacing w:val="-18"/>
        </w:rPr>
        <w:t xml:space="preserve"> </w:t>
      </w:r>
      <w:r>
        <w:rPr>
          <w:color w:val="231F20"/>
        </w:rPr>
        <w:t>в</w:t>
      </w:r>
      <w:r>
        <w:rPr>
          <w:color w:val="231F20"/>
          <w:spacing w:val="-19"/>
        </w:rPr>
        <w:t xml:space="preserve"> </w:t>
      </w:r>
      <w:r>
        <w:rPr>
          <w:color w:val="231F20"/>
          <w:spacing w:val="-3"/>
        </w:rPr>
        <w:t>Україну</w:t>
      </w:r>
      <w:r>
        <w:rPr>
          <w:color w:val="231F20"/>
          <w:spacing w:val="-18"/>
        </w:rPr>
        <w:t xml:space="preserve"> </w:t>
      </w:r>
      <w:r>
        <w:rPr>
          <w:color w:val="231F20"/>
        </w:rPr>
        <w:t>на</w:t>
      </w:r>
      <w:r>
        <w:rPr>
          <w:color w:val="231F20"/>
          <w:spacing w:val="-18"/>
        </w:rPr>
        <w:t xml:space="preserve"> </w:t>
      </w:r>
      <w:r>
        <w:rPr>
          <w:color w:val="231F20"/>
        </w:rPr>
        <w:t xml:space="preserve">десять років, що додається до частини строку заборони в’їзду в </w:t>
      </w:r>
      <w:r>
        <w:rPr>
          <w:color w:val="231F20"/>
          <w:spacing w:val="-5"/>
        </w:rPr>
        <w:t xml:space="preserve">Україну, </w:t>
      </w:r>
      <w:r>
        <w:rPr>
          <w:color w:val="231F20"/>
        </w:rPr>
        <w:t xml:space="preserve">який не сплив до моменту ухвалення повторного рішення про забо- рону в’їзду </w:t>
      </w:r>
      <w:r>
        <w:rPr>
          <w:color w:val="231F20"/>
        </w:rPr>
        <w:t>в</w:t>
      </w:r>
      <w:r>
        <w:rPr>
          <w:color w:val="231F20"/>
          <w:spacing w:val="-3"/>
        </w:rPr>
        <w:t xml:space="preserve"> </w:t>
      </w:r>
      <w:r>
        <w:rPr>
          <w:color w:val="231F20"/>
          <w:spacing w:val="-5"/>
        </w:rPr>
        <w:t>Україну.</w:t>
      </w:r>
    </w:p>
    <w:p w14:paraId="0C9C2A0D" w14:textId="77777777" w:rsidR="00DE575E" w:rsidRDefault="002E7560">
      <w:pPr>
        <w:pStyle w:val="BodyText"/>
        <w:spacing w:before="4" w:line="252" w:lineRule="auto"/>
        <w:ind w:left="250" w:right="408" w:firstLine="283"/>
        <w:jc w:val="both"/>
      </w:pPr>
      <w:r>
        <w:rPr>
          <w:i/>
          <w:color w:val="231F20"/>
        </w:rPr>
        <w:t>Біженці та особи, які потребують додаткового чи тимчасово захисту</w:t>
      </w:r>
      <w:r>
        <w:rPr>
          <w:color w:val="231F20"/>
        </w:rPr>
        <w:t>, становлять особливу категорію іноземних громадян. Ними є особи, які з певних причин не можуть перебувати в межах країни їхнього громадянства, оскільки подальше перебування пов’яз</w:t>
      </w:r>
      <w:r>
        <w:rPr>
          <w:color w:val="231F20"/>
        </w:rPr>
        <w:t xml:space="preserve">ано із загрозою їх життю, здоров’ю або свободі. </w:t>
      </w:r>
      <w:r>
        <w:rPr>
          <w:color w:val="231F20"/>
          <w:spacing w:val="-5"/>
        </w:rPr>
        <w:t xml:space="preserve">Такі </w:t>
      </w:r>
      <w:r>
        <w:rPr>
          <w:color w:val="231F20"/>
        </w:rPr>
        <w:t xml:space="preserve">особи є по суті інозем- цями, а це означає, що на них поширюються всі положення, викла- дені нами стосовно прав, обов’язків та обмежень іноземців й осіб без громадянства. Питання, пов’язані з біженцями, </w:t>
      </w:r>
      <w:r>
        <w:rPr>
          <w:color w:val="231F20"/>
        </w:rPr>
        <w:t xml:space="preserve">регулюються Конституцією </w:t>
      </w:r>
      <w:r>
        <w:rPr>
          <w:color w:val="231F20"/>
          <w:spacing w:val="-3"/>
        </w:rPr>
        <w:t xml:space="preserve">України, </w:t>
      </w:r>
      <w:r>
        <w:rPr>
          <w:color w:val="231F20"/>
        </w:rPr>
        <w:t xml:space="preserve">Законом </w:t>
      </w:r>
      <w:r>
        <w:rPr>
          <w:color w:val="231F20"/>
          <w:spacing w:val="-3"/>
        </w:rPr>
        <w:t xml:space="preserve">України </w:t>
      </w:r>
      <w:r>
        <w:rPr>
          <w:color w:val="231F20"/>
        </w:rPr>
        <w:t>«Про біженців та осіб, які потребують додаткового або тимчасового захисту», іншими норма- тивно-правовими</w:t>
      </w:r>
      <w:r>
        <w:rPr>
          <w:color w:val="231F20"/>
          <w:spacing w:val="-9"/>
        </w:rPr>
        <w:t xml:space="preserve"> </w:t>
      </w:r>
      <w:r>
        <w:rPr>
          <w:color w:val="231F20"/>
        </w:rPr>
        <w:t>актами,</w:t>
      </w:r>
      <w:r>
        <w:rPr>
          <w:color w:val="231F20"/>
          <w:spacing w:val="-9"/>
        </w:rPr>
        <w:t xml:space="preserve"> </w:t>
      </w:r>
      <w:r>
        <w:rPr>
          <w:color w:val="231F20"/>
        </w:rPr>
        <w:t>а</w:t>
      </w:r>
      <w:r>
        <w:rPr>
          <w:color w:val="231F20"/>
          <w:spacing w:val="-7"/>
        </w:rPr>
        <w:t xml:space="preserve"> </w:t>
      </w:r>
      <w:r>
        <w:rPr>
          <w:color w:val="231F20"/>
        </w:rPr>
        <w:t>також</w:t>
      </w:r>
      <w:r>
        <w:rPr>
          <w:color w:val="231F20"/>
          <w:spacing w:val="-9"/>
        </w:rPr>
        <w:t xml:space="preserve"> </w:t>
      </w:r>
      <w:r>
        <w:rPr>
          <w:color w:val="231F20"/>
        </w:rPr>
        <w:t>міжнародними</w:t>
      </w:r>
      <w:r>
        <w:rPr>
          <w:color w:val="231F20"/>
          <w:spacing w:val="-9"/>
        </w:rPr>
        <w:t xml:space="preserve"> </w:t>
      </w:r>
      <w:r>
        <w:rPr>
          <w:color w:val="231F20"/>
        </w:rPr>
        <w:t>договорами,</w:t>
      </w:r>
      <w:r>
        <w:rPr>
          <w:color w:val="231F20"/>
          <w:spacing w:val="-9"/>
        </w:rPr>
        <w:t xml:space="preserve"> </w:t>
      </w:r>
      <w:r>
        <w:rPr>
          <w:color w:val="231F20"/>
        </w:rPr>
        <w:t>згода на обов’язковість яких надана Верховною Радою</w:t>
      </w:r>
      <w:r>
        <w:rPr>
          <w:color w:val="231F20"/>
          <w:spacing w:val="-5"/>
        </w:rPr>
        <w:t xml:space="preserve"> </w:t>
      </w:r>
      <w:r>
        <w:rPr>
          <w:color w:val="231F20"/>
          <w:spacing w:val="-3"/>
        </w:rPr>
        <w:t>України.</w:t>
      </w:r>
    </w:p>
    <w:p w14:paraId="5E05F5E9" w14:textId="77777777" w:rsidR="00DE575E" w:rsidRDefault="00DE575E">
      <w:pPr>
        <w:pStyle w:val="BodyText"/>
        <w:spacing w:before="10"/>
        <w:rPr>
          <w:sz w:val="12"/>
        </w:rPr>
      </w:pPr>
    </w:p>
    <w:p w14:paraId="25B7C689" w14:textId="77777777" w:rsidR="00DE575E" w:rsidRDefault="002E7560">
      <w:pPr>
        <w:spacing w:before="92"/>
        <w:ind w:right="411"/>
        <w:jc w:val="right"/>
        <w:rPr>
          <w:rFonts w:ascii="Times New Roman"/>
          <w:sz w:val="20"/>
        </w:rPr>
      </w:pPr>
      <w:r>
        <w:rPr>
          <w:rFonts w:ascii="Times New Roman"/>
          <w:color w:val="231F20"/>
          <w:w w:val="90"/>
          <w:sz w:val="20"/>
        </w:rPr>
        <w:t>137</w:t>
      </w:r>
    </w:p>
    <w:p w14:paraId="164835E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B48F1B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86D59DC" w14:textId="28F3987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F00AF37" wp14:editId="7FD852F6">
                <wp:extent cx="4140200" cy="6350"/>
                <wp:effectExtent l="0" t="0" r="12700" b="6350"/>
                <wp:docPr id="1066"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67" name="Line 106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9DCB98" id="Group_x0020_106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Kio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r8QqKgAIAAJwFAAAO&#10;AAAAAAAAAAAAAAAAACwCAABkcnMvZTJvRG9jLnhtbFBLAQItABQABgAIAAAAIQBMp7CQ2QAAAAMB&#10;AAAPAAAAAAAAAAAAAAAAANgEAABkcnMvZG93bnJldi54bWxQSwUGAAAAAAQABADzAAAA3gUAAAAA&#10;">
                <v:line id="Line_x0020_106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AzU8UAAADdAAAADwAAAGRycy9kb3ducmV2LnhtbERP22rCQBB9L/gPyxT6UpqNFWyJWUWE&#10;QumDt/QDxuyYhO7OxuxqUr/eFQp9m8O5Tr4YrBEX6nzjWME4SUEQl043XCn4Lj5e3kH4gKzROCYF&#10;v+RhMR895Jhp1/OOLvtQiRjCPkMFdQhtJqUva7LoE9cSR+7oOoshwq6SusM+hlsjX9N0Ki02HBtq&#10;bGlVU/mzP1sFxek5mO3my/TF5jCRh9N6cj2vlXp6HJYzEIGG8C/+c3/qOD+dvsH9m3iC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AzU8UAAADdAAAADwAAAAAAAAAA&#10;AAAAAAChAgAAZHJzL2Rvd25yZXYueG1sUEsFBgAAAAAEAAQA+QAAAJMDAAAAAA==&#10;" strokecolor="#231f20" strokeweight=".5pt"/>
                <w10:anchorlock/>
              </v:group>
            </w:pict>
          </mc:Fallback>
        </mc:AlternateContent>
      </w:r>
    </w:p>
    <w:p w14:paraId="461D343F" w14:textId="77777777" w:rsidR="00DE575E" w:rsidRDefault="00DE575E">
      <w:pPr>
        <w:pStyle w:val="BodyText"/>
        <w:spacing w:before="7"/>
        <w:rPr>
          <w:rFonts w:ascii="AdonisC"/>
          <w:i/>
          <w:sz w:val="11"/>
        </w:rPr>
      </w:pPr>
    </w:p>
    <w:p w14:paraId="696A413B" w14:textId="77777777" w:rsidR="00DE575E" w:rsidRDefault="002E7560">
      <w:pPr>
        <w:pStyle w:val="BodyText"/>
        <w:spacing w:before="101" w:line="252" w:lineRule="auto"/>
        <w:ind w:left="533" w:right="126" w:firstLine="283"/>
        <w:jc w:val="both"/>
      </w:pPr>
      <w:r>
        <w:rPr>
          <w:b/>
          <w:i/>
          <w:color w:val="231F20"/>
        </w:rPr>
        <w:t xml:space="preserve">Біженець </w:t>
      </w:r>
      <w:r>
        <w:rPr>
          <w:color w:val="231F20"/>
        </w:rPr>
        <w:t xml:space="preserve">– це особа, яка не є громадянином </w:t>
      </w:r>
      <w:r>
        <w:rPr>
          <w:color w:val="231F20"/>
          <w:spacing w:val="-3"/>
        </w:rPr>
        <w:t xml:space="preserve">України </w:t>
      </w:r>
      <w:r>
        <w:rPr>
          <w:color w:val="231F20"/>
        </w:rPr>
        <w:t>і внаслідок обґрунтованих побоювань стати жертвою переслідувань за о</w:t>
      </w:r>
      <w:r>
        <w:rPr>
          <w:color w:val="231F20"/>
        </w:rPr>
        <w:t>зна- ками раси, віросповідання, національності, громадянства (піддан- ства),</w:t>
      </w:r>
      <w:r>
        <w:rPr>
          <w:color w:val="231F20"/>
          <w:spacing w:val="-8"/>
        </w:rPr>
        <w:t xml:space="preserve"> </w:t>
      </w:r>
      <w:r>
        <w:rPr>
          <w:color w:val="231F20"/>
        </w:rPr>
        <w:t>належності</w:t>
      </w:r>
      <w:r>
        <w:rPr>
          <w:color w:val="231F20"/>
          <w:spacing w:val="-8"/>
        </w:rPr>
        <w:t xml:space="preserve"> </w:t>
      </w:r>
      <w:r>
        <w:rPr>
          <w:color w:val="231F20"/>
        </w:rPr>
        <w:t>до</w:t>
      </w:r>
      <w:r>
        <w:rPr>
          <w:color w:val="231F20"/>
          <w:spacing w:val="-8"/>
        </w:rPr>
        <w:t xml:space="preserve"> </w:t>
      </w:r>
      <w:r>
        <w:rPr>
          <w:color w:val="231F20"/>
        </w:rPr>
        <w:t>певної</w:t>
      </w:r>
      <w:r>
        <w:rPr>
          <w:color w:val="231F20"/>
          <w:spacing w:val="-9"/>
        </w:rPr>
        <w:t xml:space="preserve"> </w:t>
      </w:r>
      <w:r>
        <w:rPr>
          <w:color w:val="231F20"/>
        </w:rPr>
        <w:t>соціальної</w:t>
      </w:r>
      <w:r>
        <w:rPr>
          <w:color w:val="231F20"/>
          <w:spacing w:val="-9"/>
        </w:rPr>
        <w:t xml:space="preserve"> </w:t>
      </w:r>
      <w:r>
        <w:rPr>
          <w:color w:val="231F20"/>
        </w:rPr>
        <w:t>групи</w:t>
      </w:r>
      <w:r>
        <w:rPr>
          <w:color w:val="231F20"/>
          <w:spacing w:val="-8"/>
        </w:rPr>
        <w:t xml:space="preserve"> </w:t>
      </w:r>
      <w:r>
        <w:rPr>
          <w:color w:val="231F20"/>
        </w:rPr>
        <w:t>або</w:t>
      </w:r>
      <w:r>
        <w:rPr>
          <w:color w:val="231F20"/>
          <w:spacing w:val="-9"/>
        </w:rPr>
        <w:t xml:space="preserve"> </w:t>
      </w:r>
      <w:r>
        <w:rPr>
          <w:color w:val="231F20"/>
        </w:rPr>
        <w:t>політичних</w:t>
      </w:r>
      <w:r>
        <w:rPr>
          <w:color w:val="231F20"/>
          <w:spacing w:val="-8"/>
        </w:rPr>
        <w:t xml:space="preserve"> </w:t>
      </w:r>
      <w:r>
        <w:rPr>
          <w:color w:val="231F20"/>
        </w:rPr>
        <w:t>переко- нань</w:t>
      </w:r>
      <w:r>
        <w:rPr>
          <w:color w:val="231F20"/>
          <w:spacing w:val="-8"/>
        </w:rPr>
        <w:t xml:space="preserve"> </w:t>
      </w:r>
      <w:r>
        <w:rPr>
          <w:color w:val="231F20"/>
        </w:rPr>
        <w:t>перебуває</w:t>
      </w:r>
      <w:r>
        <w:rPr>
          <w:color w:val="231F20"/>
          <w:spacing w:val="-9"/>
        </w:rPr>
        <w:t xml:space="preserve"> </w:t>
      </w:r>
      <w:r>
        <w:rPr>
          <w:color w:val="231F20"/>
        </w:rPr>
        <w:t>за</w:t>
      </w:r>
      <w:r>
        <w:rPr>
          <w:color w:val="231F20"/>
          <w:spacing w:val="-9"/>
        </w:rPr>
        <w:t xml:space="preserve"> </w:t>
      </w:r>
      <w:r>
        <w:rPr>
          <w:color w:val="231F20"/>
        </w:rPr>
        <w:t>межами</w:t>
      </w:r>
      <w:r>
        <w:rPr>
          <w:color w:val="231F20"/>
          <w:spacing w:val="-9"/>
        </w:rPr>
        <w:t xml:space="preserve"> </w:t>
      </w:r>
      <w:r>
        <w:rPr>
          <w:color w:val="231F20"/>
        </w:rPr>
        <w:t>країни</w:t>
      </w:r>
      <w:r>
        <w:rPr>
          <w:color w:val="231F20"/>
          <w:spacing w:val="-9"/>
        </w:rPr>
        <w:t xml:space="preserve"> </w:t>
      </w:r>
      <w:r>
        <w:rPr>
          <w:color w:val="231F20"/>
        </w:rPr>
        <w:t>своєї</w:t>
      </w:r>
      <w:r>
        <w:rPr>
          <w:color w:val="231F20"/>
          <w:spacing w:val="-9"/>
        </w:rPr>
        <w:t xml:space="preserve"> </w:t>
      </w:r>
      <w:r>
        <w:rPr>
          <w:color w:val="231F20"/>
        </w:rPr>
        <w:t>громадянської</w:t>
      </w:r>
      <w:r>
        <w:rPr>
          <w:color w:val="231F20"/>
          <w:spacing w:val="-9"/>
        </w:rPr>
        <w:t xml:space="preserve"> </w:t>
      </w:r>
      <w:r>
        <w:rPr>
          <w:color w:val="231F20"/>
        </w:rPr>
        <w:t>належності</w:t>
      </w:r>
      <w:r>
        <w:rPr>
          <w:color w:val="231F20"/>
          <w:spacing w:val="-9"/>
        </w:rPr>
        <w:t xml:space="preserve"> </w:t>
      </w:r>
      <w:r>
        <w:rPr>
          <w:color w:val="231F20"/>
        </w:rPr>
        <w:t>та не може користуватися захистом цієї країни або не бажає користу- ватися цим захистом через такі побоювання, або, не маючи грома- дянства (підданства) і перебуваючи за межами країни свого попе- реднього постійного проживання, не може чи не бажає повернут</w:t>
      </w:r>
      <w:r>
        <w:rPr>
          <w:color w:val="231F20"/>
        </w:rPr>
        <w:t>ися до неї через означені</w:t>
      </w:r>
      <w:r>
        <w:rPr>
          <w:color w:val="231F20"/>
          <w:spacing w:val="-2"/>
        </w:rPr>
        <w:t xml:space="preserve"> </w:t>
      </w:r>
      <w:r>
        <w:rPr>
          <w:color w:val="231F20"/>
        </w:rPr>
        <w:t>побоювання.</w:t>
      </w:r>
    </w:p>
    <w:p w14:paraId="2C55674D" w14:textId="77777777" w:rsidR="00DE575E" w:rsidRDefault="002E7560">
      <w:pPr>
        <w:pStyle w:val="BodyText"/>
        <w:spacing w:before="5" w:line="252" w:lineRule="auto"/>
        <w:ind w:left="533" w:right="126" w:firstLine="283"/>
        <w:jc w:val="both"/>
      </w:pPr>
      <w:r>
        <w:rPr>
          <w:i/>
          <w:color w:val="231F20"/>
        </w:rPr>
        <w:t xml:space="preserve">Додатковий захист </w:t>
      </w:r>
      <w:r>
        <w:rPr>
          <w:color w:val="231F20"/>
        </w:rPr>
        <w:t>– форма захисту, що надається в Україні на індивідуальній основі іноземцям та особам без громадянства, які прибули до України або перебувають в Україні і не можуть або не бажають повернутися до країни громадянської належності чи країни попереднього постійн</w:t>
      </w:r>
      <w:r>
        <w:rPr>
          <w:color w:val="231F20"/>
        </w:rPr>
        <w:t>ого проживання через обставини, які загрожують їх життю, безпеці чи свободі.</w:t>
      </w:r>
    </w:p>
    <w:p w14:paraId="6368B9E8" w14:textId="77777777" w:rsidR="00DE575E" w:rsidRDefault="002E7560">
      <w:pPr>
        <w:pStyle w:val="BodyText"/>
        <w:spacing w:before="3" w:line="252" w:lineRule="auto"/>
        <w:ind w:left="533" w:right="123" w:firstLine="283"/>
        <w:jc w:val="both"/>
      </w:pPr>
      <w:r>
        <w:rPr>
          <w:b/>
          <w:i/>
          <w:color w:val="231F20"/>
        </w:rPr>
        <w:t>Особа, яка потребує додаткового захисту</w:t>
      </w:r>
      <w:r>
        <w:rPr>
          <w:color w:val="231F20"/>
        </w:rPr>
        <w:t>, – це особа, що не    є  біженцем  відповідно  до  Конвенції  про  статус  біженців  1951 р.  і Протоколу щодо статусу біженців та осіб, як</w:t>
      </w:r>
      <w:r>
        <w:rPr>
          <w:color w:val="231F20"/>
        </w:rPr>
        <w:t>і потребують додатко- вого чи тимчасового захисту, але потребує захисту, адже така особа змушена була прибути до України або залишитися в Україні через загрозу її життю, безпеці чи свободі в країні походження з причин побоювання застосування щодо неї смерт</w:t>
      </w:r>
      <w:r>
        <w:rPr>
          <w:color w:val="231F20"/>
        </w:rPr>
        <w:t>ної кари або тортур, нелюдського або такого, що принижує гідність, поводження чи покарання.</w:t>
      </w:r>
    </w:p>
    <w:p w14:paraId="43B0D751" w14:textId="77777777" w:rsidR="00DE575E" w:rsidRDefault="002E7560">
      <w:pPr>
        <w:pStyle w:val="BodyText"/>
        <w:spacing w:before="4" w:line="252" w:lineRule="auto"/>
        <w:ind w:left="533" w:right="127" w:firstLine="283"/>
        <w:jc w:val="both"/>
      </w:pPr>
      <w:r>
        <w:rPr>
          <w:i/>
          <w:color w:val="231F20"/>
        </w:rPr>
        <w:t xml:space="preserve">Тимчасовий захист </w:t>
      </w:r>
      <w:r>
        <w:rPr>
          <w:color w:val="231F20"/>
        </w:rPr>
        <w:t xml:space="preserve">– форма </w:t>
      </w:r>
      <w:r>
        <w:rPr>
          <w:color w:val="231F20"/>
          <w:spacing w:val="-3"/>
        </w:rPr>
        <w:t xml:space="preserve">захисту, </w:t>
      </w:r>
      <w:r>
        <w:rPr>
          <w:color w:val="231F20"/>
        </w:rPr>
        <w:t>що є винятковим практич- ним заходом, обмеженим у часі, і надається іноземцям та особам без громадянства,</w:t>
      </w:r>
      <w:r>
        <w:rPr>
          <w:color w:val="231F20"/>
          <w:spacing w:val="-5"/>
        </w:rPr>
        <w:t xml:space="preserve"> </w:t>
      </w:r>
      <w:r>
        <w:rPr>
          <w:color w:val="231F20"/>
        </w:rPr>
        <w:t>які</w:t>
      </w:r>
      <w:r>
        <w:rPr>
          <w:color w:val="231F20"/>
          <w:spacing w:val="-5"/>
        </w:rPr>
        <w:t xml:space="preserve"> </w:t>
      </w:r>
      <w:r>
        <w:rPr>
          <w:color w:val="231F20"/>
        </w:rPr>
        <w:t>масово</w:t>
      </w:r>
      <w:r>
        <w:rPr>
          <w:color w:val="231F20"/>
          <w:spacing w:val="-5"/>
        </w:rPr>
        <w:t xml:space="preserve"> </w:t>
      </w:r>
      <w:r>
        <w:rPr>
          <w:color w:val="231F20"/>
        </w:rPr>
        <w:t>прибули</w:t>
      </w:r>
      <w:r>
        <w:rPr>
          <w:color w:val="231F20"/>
          <w:spacing w:val="-5"/>
        </w:rPr>
        <w:t xml:space="preserve"> </w:t>
      </w:r>
      <w:r>
        <w:rPr>
          <w:color w:val="231F20"/>
        </w:rPr>
        <w:t>до</w:t>
      </w:r>
      <w:r>
        <w:rPr>
          <w:color w:val="231F20"/>
          <w:spacing w:val="-5"/>
        </w:rPr>
        <w:t xml:space="preserve"> </w:t>
      </w:r>
      <w:r>
        <w:rPr>
          <w:color w:val="231F20"/>
          <w:spacing w:val="-3"/>
        </w:rPr>
        <w:t>У</w:t>
      </w:r>
      <w:r>
        <w:rPr>
          <w:color w:val="231F20"/>
          <w:spacing w:val="-3"/>
        </w:rPr>
        <w:t>країни</w:t>
      </w:r>
      <w:r>
        <w:rPr>
          <w:color w:val="231F20"/>
          <w:spacing w:val="-5"/>
        </w:rPr>
        <w:t xml:space="preserve"> </w:t>
      </w:r>
      <w:r>
        <w:rPr>
          <w:color w:val="231F20"/>
        </w:rPr>
        <w:t>з</w:t>
      </w:r>
      <w:r>
        <w:rPr>
          <w:color w:val="231F20"/>
          <w:spacing w:val="-5"/>
        </w:rPr>
        <w:t xml:space="preserve"> </w:t>
      </w:r>
      <w:r>
        <w:rPr>
          <w:color w:val="231F20"/>
        </w:rPr>
        <w:t>країни,</w:t>
      </w:r>
      <w:r>
        <w:rPr>
          <w:color w:val="231F20"/>
          <w:spacing w:val="-5"/>
        </w:rPr>
        <w:t xml:space="preserve"> </w:t>
      </w:r>
      <w:r>
        <w:rPr>
          <w:color w:val="231F20"/>
        </w:rPr>
        <w:t>що</w:t>
      </w:r>
      <w:r>
        <w:rPr>
          <w:color w:val="231F20"/>
          <w:spacing w:val="-5"/>
        </w:rPr>
        <w:t xml:space="preserve"> </w:t>
      </w:r>
      <w:r>
        <w:rPr>
          <w:color w:val="231F20"/>
        </w:rPr>
        <w:t>має</w:t>
      </w:r>
      <w:r>
        <w:rPr>
          <w:color w:val="231F20"/>
          <w:spacing w:val="-5"/>
        </w:rPr>
        <w:t xml:space="preserve"> </w:t>
      </w:r>
      <w:r>
        <w:rPr>
          <w:color w:val="231F20"/>
        </w:rPr>
        <w:t xml:space="preserve">спіль- ний кордон з </w:t>
      </w:r>
      <w:r>
        <w:rPr>
          <w:color w:val="231F20"/>
          <w:spacing w:val="-3"/>
        </w:rPr>
        <w:t xml:space="preserve">Україною, </w:t>
      </w:r>
      <w:r>
        <w:rPr>
          <w:color w:val="231F20"/>
        </w:rPr>
        <w:t xml:space="preserve">і не можуть повернутися до країни постій- ного проживання через обставини, зазначені в законі. Особи, які потребують тимчасового </w:t>
      </w:r>
      <w:r>
        <w:rPr>
          <w:color w:val="231F20"/>
          <w:spacing w:val="-3"/>
        </w:rPr>
        <w:t xml:space="preserve">захисту, </w:t>
      </w:r>
      <w:r>
        <w:rPr>
          <w:color w:val="231F20"/>
        </w:rPr>
        <w:t>– це іноземці та особи без грома- дянства,</w:t>
      </w:r>
      <w:r>
        <w:rPr>
          <w:color w:val="231F20"/>
          <w:spacing w:val="-7"/>
        </w:rPr>
        <w:t xml:space="preserve"> </w:t>
      </w:r>
      <w:r>
        <w:rPr>
          <w:color w:val="231F20"/>
        </w:rPr>
        <w:t>які</w:t>
      </w:r>
      <w:r>
        <w:rPr>
          <w:color w:val="231F20"/>
          <w:spacing w:val="-7"/>
        </w:rPr>
        <w:t xml:space="preserve"> </w:t>
      </w:r>
      <w:r>
        <w:rPr>
          <w:color w:val="231F20"/>
        </w:rPr>
        <w:t>постійно</w:t>
      </w:r>
      <w:r>
        <w:rPr>
          <w:color w:val="231F20"/>
          <w:spacing w:val="-7"/>
        </w:rPr>
        <w:t xml:space="preserve"> </w:t>
      </w:r>
      <w:r>
        <w:rPr>
          <w:color w:val="231F20"/>
        </w:rPr>
        <w:t>проживаю</w:t>
      </w:r>
      <w:r>
        <w:rPr>
          <w:color w:val="231F20"/>
        </w:rPr>
        <w:t>ть</w:t>
      </w:r>
      <w:r>
        <w:rPr>
          <w:color w:val="231F20"/>
          <w:spacing w:val="-7"/>
        </w:rPr>
        <w:t xml:space="preserve"> </w:t>
      </w:r>
      <w:r>
        <w:rPr>
          <w:color w:val="231F20"/>
        </w:rPr>
        <w:t>на</w:t>
      </w:r>
      <w:r>
        <w:rPr>
          <w:color w:val="231F20"/>
          <w:spacing w:val="-7"/>
        </w:rPr>
        <w:t xml:space="preserve"> </w:t>
      </w:r>
      <w:r>
        <w:rPr>
          <w:color w:val="231F20"/>
        </w:rPr>
        <w:t>території</w:t>
      </w:r>
      <w:r>
        <w:rPr>
          <w:color w:val="231F20"/>
          <w:spacing w:val="-7"/>
        </w:rPr>
        <w:t xml:space="preserve"> </w:t>
      </w:r>
      <w:r>
        <w:rPr>
          <w:color w:val="231F20"/>
        </w:rPr>
        <w:t>країни,</w:t>
      </w:r>
      <w:r>
        <w:rPr>
          <w:color w:val="231F20"/>
          <w:spacing w:val="-7"/>
        </w:rPr>
        <w:t xml:space="preserve"> </w:t>
      </w:r>
      <w:r>
        <w:rPr>
          <w:color w:val="231F20"/>
        </w:rPr>
        <w:t>що</w:t>
      </w:r>
      <w:r>
        <w:rPr>
          <w:color w:val="231F20"/>
          <w:spacing w:val="-7"/>
        </w:rPr>
        <w:t xml:space="preserve"> </w:t>
      </w:r>
      <w:r>
        <w:rPr>
          <w:color w:val="231F20"/>
        </w:rPr>
        <w:t>має</w:t>
      </w:r>
      <w:r>
        <w:rPr>
          <w:color w:val="231F20"/>
          <w:spacing w:val="-7"/>
        </w:rPr>
        <w:t xml:space="preserve"> </w:t>
      </w:r>
      <w:r>
        <w:rPr>
          <w:color w:val="231F20"/>
        </w:rPr>
        <w:t xml:space="preserve">спіль- ний кордон з </w:t>
      </w:r>
      <w:r>
        <w:rPr>
          <w:color w:val="231F20"/>
          <w:spacing w:val="-3"/>
        </w:rPr>
        <w:t xml:space="preserve">Україною, </w:t>
      </w:r>
      <w:r>
        <w:rPr>
          <w:color w:val="231F20"/>
        </w:rPr>
        <w:t xml:space="preserve">і масово вимушені шукати захисту в </w:t>
      </w:r>
      <w:r>
        <w:rPr>
          <w:color w:val="231F20"/>
          <w:spacing w:val="-3"/>
        </w:rPr>
        <w:t xml:space="preserve">Україні </w:t>
      </w:r>
      <w:r>
        <w:rPr>
          <w:color w:val="231F20"/>
        </w:rPr>
        <w:t>внаслідок зовнішньої агресії, іноземної окупації, громадянської війни,</w:t>
      </w:r>
      <w:r>
        <w:rPr>
          <w:color w:val="231F20"/>
          <w:spacing w:val="-11"/>
        </w:rPr>
        <w:t xml:space="preserve"> </w:t>
      </w:r>
      <w:r>
        <w:rPr>
          <w:color w:val="231F20"/>
        </w:rPr>
        <w:t>зіткнень</w:t>
      </w:r>
      <w:r>
        <w:rPr>
          <w:color w:val="231F20"/>
          <w:spacing w:val="-11"/>
        </w:rPr>
        <w:t xml:space="preserve"> </w:t>
      </w:r>
      <w:r>
        <w:rPr>
          <w:color w:val="231F20"/>
        </w:rPr>
        <w:t>на</w:t>
      </w:r>
      <w:r>
        <w:rPr>
          <w:color w:val="231F20"/>
          <w:spacing w:val="-11"/>
        </w:rPr>
        <w:t xml:space="preserve"> </w:t>
      </w:r>
      <w:r>
        <w:rPr>
          <w:color w:val="231F20"/>
        </w:rPr>
        <w:t>етичному</w:t>
      </w:r>
      <w:r>
        <w:rPr>
          <w:color w:val="231F20"/>
          <w:spacing w:val="-11"/>
        </w:rPr>
        <w:t xml:space="preserve"> </w:t>
      </w:r>
      <w:r>
        <w:rPr>
          <w:color w:val="231F20"/>
        </w:rPr>
        <w:t>ґрунті,</w:t>
      </w:r>
      <w:r>
        <w:rPr>
          <w:color w:val="231F20"/>
          <w:spacing w:val="-11"/>
        </w:rPr>
        <w:t xml:space="preserve"> </w:t>
      </w:r>
      <w:r>
        <w:rPr>
          <w:color w:val="231F20"/>
        </w:rPr>
        <w:t>природних</w:t>
      </w:r>
      <w:r>
        <w:rPr>
          <w:color w:val="231F20"/>
          <w:spacing w:val="-11"/>
        </w:rPr>
        <w:t xml:space="preserve"> </w:t>
      </w:r>
      <w:r>
        <w:rPr>
          <w:color w:val="231F20"/>
        </w:rPr>
        <w:t>чи</w:t>
      </w:r>
      <w:r>
        <w:rPr>
          <w:color w:val="231F20"/>
          <w:spacing w:val="-11"/>
        </w:rPr>
        <w:t xml:space="preserve"> </w:t>
      </w:r>
      <w:r>
        <w:rPr>
          <w:color w:val="231F20"/>
        </w:rPr>
        <w:t>техногенних</w:t>
      </w:r>
      <w:r>
        <w:rPr>
          <w:color w:val="231F20"/>
          <w:spacing w:val="-11"/>
        </w:rPr>
        <w:t xml:space="preserve"> </w:t>
      </w:r>
      <w:r>
        <w:rPr>
          <w:color w:val="231F20"/>
        </w:rPr>
        <w:t>ката- строф або інших подій, що порушують громадський порядок на території країни</w:t>
      </w:r>
      <w:r>
        <w:rPr>
          <w:color w:val="231F20"/>
          <w:spacing w:val="-2"/>
        </w:rPr>
        <w:t xml:space="preserve"> </w:t>
      </w:r>
      <w:r>
        <w:rPr>
          <w:color w:val="231F20"/>
        </w:rPr>
        <w:t>походження.</w:t>
      </w:r>
    </w:p>
    <w:p w14:paraId="724116B0" w14:textId="77777777" w:rsidR="00DE575E" w:rsidRDefault="002E7560">
      <w:pPr>
        <w:pStyle w:val="BodyText"/>
        <w:spacing w:before="6" w:line="252" w:lineRule="auto"/>
        <w:ind w:left="533" w:right="128" w:firstLine="283"/>
        <w:jc w:val="both"/>
      </w:pPr>
      <w:r>
        <w:rPr>
          <w:color w:val="231F20"/>
        </w:rPr>
        <w:t>Законодавством України передбачено заборону виселення або примусове повернення біженця чи особи, яка потребує додатко-</w:t>
      </w:r>
    </w:p>
    <w:p w14:paraId="46105D17" w14:textId="77777777" w:rsidR="00DE575E" w:rsidRDefault="00DE575E">
      <w:pPr>
        <w:pStyle w:val="BodyText"/>
        <w:spacing w:before="5"/>
        <w:rPr>
          <w:sz w:val="12"/>
        </w:rPr>
      </w:pPr>
    </w:p>
    <w:p w14:paraId="7CD01EA2" w14:textId="77777777" w:rsidR="00DE575E" w:rsidRDefault="002E7560">
      <w:pPr>
        <w:spacing w:before="92"/>
        <w:ind w:left="533"/>
        <w:rPr>
          <w:rFonts w:ascii="Times New Roman"/>
          <w:sz w:val="20"/>
        </w:rPr>
      </w:pPr>
      <w:r>
        <w:rPr>
          <w:rFonts w:ascii="Times New Roman"/>
          <w:color w:val="231F20"/>
          <w:sz w:val="20"/>
        </w:rPr>
        <w:t>138</w:t>
      </w:r>
    </w:p>
    <w:p w14:paraId="5734208A" w14:textId="77777777" w:rsidR="00DE575E" w:rsidRDefault="00DE575E">
      <w:pPr>
        <w:rPr>
          <w:rFonts w:ascii="Times New Roman"/>
          <w:sz w:val="20"/>
        </w:rPr>
        <w:sectPr w:rsidR="00DE575E">
          <w:pgSz w:w="8510" w:h="12760"/>
          <w:pgMar w:top="660" w:right="720" w:bottom="280" w:left="600" w:header="720" w:footer="720" w:gutter="0"/>
          <w:cols w:space="720"/>
        </w:sectPr>
      </w:pPr>
    </w:p>
    <w:p w14:paraId="05D1395C"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w:t>
      </w:r>
      <w:r>
        <w:rPr>
          <w:rFonts w:ascii="AdonisC" w:hAnsi="AdonisC"/>
          <w:i/>
          <w:color w:val="231F20"/>
          <w:sz w:val="18"/>
        </w:rPr>
        <w:t>стративне право Розділ 5. Приватна особа як суб’єкт адміністративного права</w:t>
      </w:r>
    </w:p>
    <w:p w14:paraId="46922F20" w14:textId="29E1B8D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2430F40" wp14:editId="642CE889">
                <wp:extent cx="4140200" cy="6350"/>
                <wp:effectExtent l="0" t="0" r="12700" b="6350"/>
                <wp:docPr id="1064"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65" name="Line 106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FA18F2" id="Group_x0020_106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HBHX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WxwR1/AgAAnAUAAA4A&#10;AAAAAAAAAAAAAAAALAIAAGRycy9lMm9Eb2MueG1sUEsBAi0AFAAGAAgAAAAhAEynsJDZAAAAAwEA&#10;AA8AAAAAAAAAAAAAAAAA1wQAAGRycy9kb3ducmV2LnhtbFBLBQYAAAAABAAEAPMAAADdBQAAAAA=&#10;">
                <v:line id="Line_x0020_106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4Iv8UAAADdAAAADwAAAGRycy9kb3ducmV2LnhtbERPzWrCQBC+F3yHZQq9lGZjpVJiVhGh&#10;UHpQa/oAY3ZMQndnY3Y1qU/vCgVv8/H9Tr4YrBFn6nzjWME4SUEQl043XCn4KT5e3kH4gKzROCYF&#10;f+RhMR895Jhp1/M3nXehEjGEfYYK6hDaTEpf1mTRJ64ljtzBdRZDhF0ldYd9DLdGvqbpVFpsODbU&#10;2NKqpvJ3d7IKiuNzMNvNl+mLzX4i98f15HJaK/X0OCxnIAIN4S7+d3/qOD+dvsHtm3iC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S4Iv8UAAADdAAAADwAAAAAAAAAA&#10;AAAAAAChAgAAZHJzL2Rvd25yZXYueG1sUEsFBgAAAAAEAAQA+QAAAJMDAAAAAA==&#10;" strokecolor="#231f20" strokeweight=".5pt"/>
                <w10:anchorlock/>
              </v:group>
            </w:pict>
          </mc:Fallback>
        </mc:AlternateContent>
      </w:r>
    </w:p>
    <w:p w14:paraId="7126BB02" w14:textId="77777777" w:rsidR="00DE575E" w:rsidRDefault="00DE575E">
      <w:pPr>
        <w:pStyle w:val="BodyText"/>
        <w:spacing w:before="7"/>
        <w:rPr>
          <w:rFonts w:ascii="AdonisC"/>
          <w:i/>
          <w:sz w:val="19"/>
        </w:rPr>
      </w:pPr>
    </w:p>
    <w:p w14:paraId="75E13A81" w14:textId="77777777" w:rsidR="00DE575E" w:rsidRDefault="002E7560">
      <w:pPr>
        <w:pStyle w:val="BodyText"/>
        <w:spacing w:before="1" w:line="252" w:lineRule="auto"/>
        <w:ind w:left="250"/>
      </w:pPr>
      <w:r>
        <w:rPr>
          <w:color w:val="231F20"/>
        </w:rPr>
        <w:t>вого чи тимчасового захисту, до країни, з якої вони прибули та де їх життю або свободі загрожує небезпека.</w:t>
      </w:r>
    </w:p>
    <w:p w14:paraId="5C8E4D97" w14:textId="77777777" w:rsidR="00DE575E" w:rsidRDefault="00DE575E">
      <w:pPr>
        <w:pStyle w:val="BodyText"/>
        <w:spacing w:before="2"/>
        <w:rPr>
          <w:sz w:val="22"/>
        </w:rPr>
      </w:pPr>
    </w:p>
    <w:p w14:paraId="5A4374E4" w14:textId="77777777" w:rsidR="00DE575E" w:rsidRDefault="002E7560">
      <w:pPr>
        <w:pStyle w:val="Heading6"/>
        <w:spacing w:before="0"/>
        <w:ind w:firstLine="0"/>
      </w:pPr>
      <w:r>
        <w:rPr>
          <w:color w:val="231F20"/>
        </w:rPr>
        <w:t>5.1.1.3. Фізичні особи-підприємці</w:t>
      </w:r>
    </w:p>
    <w:p w14:paraId="68E84344" w14:textId="77777777" w:rsidR="00DE575E" w:rsidRDefault="002E7560">
      <w:pPr>
        <w:pStyle w:val="BodyText"/>
        <w:spacing w:before="13" w:line="252" w:lineRule="auto"/>
        <w:ind w:left="250" w:right="409" w:firstLine="283"/>
        <w:jc w:val="both"/>
      </w:pPr>
      <w:r>
        <w:rPr>
          <w:color w:val="231F20"/>
        </w:rPr>
        <w:t>У розвинених демократичних правових країнах більшість грома- дян забезпечують собі достойне існування за рахунок власної справи – малого й середнього бізнесу. В Україні громадяни займа- ються малим бізнесом, як правило, че</w:t>
      </w:r>
      <w:r>
        <w:rPr>
          <w:color w:val="231F20"/>
        </w:rPr>
        <w:t>рез легалізацію себе як фізич- ної особи-підприємця. Цю категорію юридично закріплено в низці законів, зокрема в ЦК, ПК, Законі України «Про державну реєстра- цію юридичних осіб та фізичних осіб-підприємців та громадських формувань».</w:t>
      </w:r>
    </w:p>
    <w:p w14:paraId="31696BE2" w14:textId="77777777" w:rsidR="00DE575E" w:rsidRDefault="002E7560">
      <w:pPr>
        <w:pStyle w:val="BodyText"/>
        <w:spacing w:before="3" w:line="252" w:lineRule="auto"/>
        <w:ind w:left="250" w:right="410" w:firstLine="283"/>
        <w:jc w:val="both"/>
      </w:pPr>
      <w:r>
        <w:rPr>
          <w:color w:val="231F20"/>
        </w:rPr>
        <w:t xml:space="preserve">Потрібно підкреслити, </w:t>
      </w:r>
      <w:r>
        <w:rPr>
          <w:color w:val="231F20"/>
        </w:rPr>
        <w:t>що адміністративно-правовий статус фізичної особи не є тотожним статусу фізичної особи-підприємця. Вони мають як спільні, так і відмінні риси, що базуються на науко- вій природі підприємництва як самостійної, ініціативної, система- тичної,</w:t>
      </w:r>
      <w:r>
        <w:rPr>
          <w:color w:val="231F20"/>
          <w:spacing w:val="-11"/>
        </w:rPr>
        <w:t xml:space="preserve"> </w:t>
      </w:r>
      <w:r>
        <w:rPr>
          <w:color w:val="231F20"/>
        </w:rPr>
        <w:t>на</w:t>
      </w:r>
      <w:r>
        <w:rPr>
          <w:color w:val="231F20"/>
          <w:spacing w:val="-11"/>
        </w:rPr>
        <w:t xml:space="preserve"> </w:t>
      </w:r>
      <w:r>
        <w:rPr>
          <w:color w:val="231F20"/>
        </w:rPr>
        <w:t>власний</w:t>
      </w:r>
      <w:r>
        <w:rPr>
          <w:color w:val="231F20"/>
          <w:spacing w:val="-11"/>
        </w:rPr>
        <w:t xml:space="preserve"> </w:t>
      </w:r>
      <w:r>
        <w:rPr>
          <w:color w:val="231F20"/>
        </w:rPr>
        <w:t>ризик</w:t>
      </w:r>
      <w:r>
        <w:rPr>
          <w:color w:val="231F20"/>
          <w:spacing w:val="-11"/>
        </w:rPr>
        <w:t xml:space="preserve"> </w:t>
      </w:r>
      <w:r>
        <w:rPr>
          <w:color w:val="231F20"/>
        </w:rPr>
        <w:t>господарської</w:t>
      </w:r>
      <w:r>
        <w:rPr>
          <w:color w:val="231F20"/>
          <w:spacing w:val="-11"/>
        </w:rPr>
        <w:t xml:space="preserve"> </w:t>
      </w:r>
      <w:r>
        <w:rPr>
          <w:color w:val="231F20"/>
        </w:rPr>
        <w:t>діяльності,</w:t>
      </w:r>
      <w:r>
        <w:rPr>
          <w:color w:val="231F20"/>
          <w:spacing w:val="-11"/>
        </w:rPr>
        <w:t xml:space="preserve"> </w:t>
      </w:r>
      <w:r>
        <w:rPr>
          <w:color w:val="231F20"/>
        </w:rPr>
        <w:t>що</w:t>
      </w:r>
      <w:r>
        <w:rPr>
          <w:color w:val="231F20"/>
          <w:spacing w:val="-11"/>
        </w:rPr>
        <w:t xml:space="preserve"> </w:t>
      </w:r>
      <w:r>
        <w:rPr>
          <w:color w:val="231F20"/>
        </w:rPr>
        <w:t xml:space="preserve">здійснюється </w:t>
      </w:r>
      <w:r>
        <w:rPr>
          <w:color w:val="231F20"/>
          <w:spacing w:val="-3"/>
        </w:rPr>
        <w:t xml:space="preserve">суб’єктами </w:t>
      </w:r>
      <w:r>
        <w:rPr>
          <w:color w:val="231F20"/>
        </w:rPr>
        <w:t xml:space="preserve">господарювання (підприємцями) з метою досягнення економічних і соціальних </w:t>
      </w:r>
      <w:r>
        <w:rPr>
          <w:color w:val="231F20"/>
          <w:spacing w:val="-3"/>
        </w:rPr>
        <w:t xml:space="preserve">результатів </w:t>
      </w:r>
      <w:r>
        <w:rPr>
          <w:color w:val="231F20"/>
        </w:rPr>
        <w:t>та одержання</w:t>
      </w:r>
      <w:r>
        <w:rPr>
          <w:color w:val="231F20"/>
          <w:spacing w:val="-1"/>
        </w:rPr>
        <w:t xml:space="preserve"> </w:t>
      </w:r>
      <w:r>
        <w:rPr>
          <w:color w:val="231F20"/>
          <w:spacing w:val="-3"/>
        </w:rPr>
        <w:t>прибутку.</w:t>
      </w:r>
    </w:p>
    <w:p w14:paraId="345C9152" w14:textId="77777777" w:rsidR="00DE575E" w:rsidRDefault="002E7560">
      <w:pPr>
        <w:spacing w:before="4" w:line="252" w:lineRule="auto"/>
        <w:ind w:left="250" w:right="410" w:firstLine="283"/>
        <w:jc w:val="both"/>
        <w:rPr>
          <w:i/>
          <w:sz w:val="21"/>
        </w:rPr>
      </w:pPr>
      <w:r>
        <w:rPr>
          <w:i/>
          <w:color w:val="231F20"/>
          <w:sz w:val="21"/>
        </w:rPr>
        <w:t>До особливостей адміністративно-правового статусу фізичних осіб-підприємців належать такі:</w:t>
      </w:r>
    </w:p>
    <w:p w14:paraId="5E3FD6EC"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пе</w:t>
      </w:r>
      <w:r>
        <w:rPr>
          <w:color w:val="231F20"/>
          <w:sz w:val="21"/>
        </w:rPr>
        <w:t xml:space="preserve">рвинною особливістю фізичної особи-підприємця є те, що після державної реєстрації в </w:t>
      </w:r>
      <w:r>
        <w:rPr>
          <w:color w:val="231F20"/>
          <w:spacing w:val="-3"/>
          <w:sz w:val="21"/>
        </w:rPr>
        <w:t xml:space="preserve">порядку, </w:t>
      </w:r>
      <w:r>
        <w:rPr>
          <w:color w:val="231F20"/>
          <w:sz w:val="21"/>
        </w:rPr>
        <w:t>установленому законом, він набуває права на здійснення підприємницької діяльності, яку не заборонено законом, та обмеження на здійснення підприємницької діяльності</w:t>
      </w:r>
      <w:r>
        <w:rPr>
          <w:color w:val="231F20"/>
          <w:sz w:val="21"/>
        </w:rPr>
        <w:t>, що встановлюються Конституцією та законами</w:t>
      </w:r>
      <w:r>
        <w:rPr>
          <w:color w:val="231F20"/>
          <w:spacing w:val="-18"/>
          <w:sz w:val="21"/>
        </w:rPr>
        <w:t xml:space="preserve"> </w:t>
      </w:r>
      <w:r>
        <w:rPr>
          <w:color w:val="231F20"/>
          <w:spacing w:val="-3"/>
          <w:sz w:val="21"/>
        </w:rPr>
        <w:t>України;</w:t>
      </w:r>
    </w:p>
    <w:p w14:paraId="5224F74C" w14:textId="77777777" w:rsidR="00DE575E" w:rsidRDefault="002E7560">
      <w:pPr>
        <w:pStyle w:val="ListParagraph"/>
        <w:numPr>
          <w:ilvl w:val="0"/>
          <w:numId w:val="254"/>
        </w:numPr>
        <w:tabs>
          <w:tab w:val="left" w:pos="818"/>
        </w:tabs>
        <w:spacing w:before="2" w:line="252" w:lineRule="auto"/>
        <w:ind w:right="411" w:firstLine="283"/>
        <w:rPr>
          <w:sz w:val="21"/>
        </w:rPr>
      </w:pPr>
      <w:r>
        <w:rPr>
          <w:color w:val="231F20"/>
          <w:sz w:val="21"/>
        </w:rPr>
        <w:t xml:space="preserve">на підприємницьку діяльність фізичних осіб поширюються нормативно-правові акти, що </w:t>
      </w:r>
      <w:r>
        <w:rPr>
          <w:color w:val="231F20"/>
          <w:spacing w:val="-2"/>
          <w:sz w:val="21"/>
        </w:rPr>
        <w:t xml:space="preserve">регулюють </w:t>
      </w:r>
      <w:r>
        <w:rPr>
          <w:color w:val="231F20"/>
          <w:sz w:val="21"/>
        </w:rPr>
        <w:t>підприємницьку діяль- ність юридичних</w:t>
      </w:r>
      <w:r>
        <w:rPr>
          <w:color w:val="231F20"/>
          <w:spacing w:val="-2"/>
          <w:sz w:val="21"/>
        </w:rPr>
        <w:t xml:space="preserve"> </w:t>
      </w:r>
      <w:r>
        <w:rPr>
          <w:color w:val="231F20"/>
          <w:sz w:val="21"/>
        </w:rPr>
        <w:t>осіб;</w:t>
      </w:r>
    </w:p>
    <w:p w14:paraId="6F2FF719" w14:textId="77777777" w:rsidR="00DE575E" w:rsidRDefault="002E7560">
      <w:pPr>
        <w:pStyle w:val="ListParagraph"/>
        <w:numPr>
          <w:ilvl w:val="0"/>
          <w:numId w:val="254"/>
        </w:numPr>
        <w:tabs>
          <w:tab w:val="left" w:pos="818"/>
        </w:tabs>
        <w:spacing w:before="2" w:line="252" w:lineRule="auto"/>
        <w:ind w:right="411" w:firstLine="283"/>
        <w:rPr>
          <w:sz w:val="21"/>
        </w:rPr>
      </w:pPr>
      <w:r>
        <w:rPr>
          <w:color w:val="231F20"/>
          <w:sz w:val="21"/>
        </w:rPr>
        <w:t>фізична особа-підприємець відповідає за зобов’язаннями, пов’язани</w:t>
      </w:r>
      <w:r>
        <w:rPr>
          <w:color w:val="231F20"/>
          <w:sz w:val="21"/>
        </w:rPr>
        <w:t>ми з підприємницькою діяльністю, усім своїм майном, крім майна, на яке згідно із законом не може бути звернено стяг- нення, та може бути визнана</w:t>
      </w:r>
      <w:r>
        <w:rPr>
          <w:color w:val="231F20"/>
          <w:spacing w:val="-4"/>
          <w:sz w:val="21"/>
        </w:rPr>
        <w:t xml:space="preserve"> </w:t>
      </w:r>
      <w:r>
        <w:rPr>
          <w:color w:val="231F20"/>
          <w:sz w:val="21"/>
        </w:rPr>
        <w:t>банкрутом;</w:t>
      </w:r>
    </w:p>
    <w:p w14:paraId="1E2767C8" w14:textId="77777777" w:rsidR="00DE575E" w:rsidRDefault="002E7560">
      <w:pPr>
        <w:pStyle w:val="ListParagraph"/>
        <w:numPr>
          <w:ilvl w:val="0"/>
          <w:numId w:val="254"/>
        </w:numPr>
        <w:tabs>
          <w:tab w:val="left" w:pos="818"/>
        </w:tabs>
        <w:spacing w:before="2" w:line="252" w:lineRule="auto"/>
        <w:ind w:right="411" w:firstLine="283"/>
        <w:rPr>
          <w:sz w:val="21"/>
        </w:rPr>
      </w:pPr>
      <w:r>
        <w:rPr>
          <w:color w:val="231F20"/>
          <w:sz w:val="21"/>
        </w:rPr>
        <w:t>важливою рисою фізичної особи-підприємця є угодоздат- ність;</w:t>
      </w:r>
    </w:p>
    <w:p w14:paraId="68C51422"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на фізичних осіб-підприємців поширюєтьс</w:t>
      </w:r>
      <w:r>
        <w:rPr>
          <w:color w:val="231F20"/>
          <w:sz w:val="21"/>
        </w:rPr>
        <w:t>я право на захист від</w:t>
      </w:r>
      <w:r>
        <w:rPr>
          <w:color w:val="231F20"/>
          <w:spacing w:val="-9"/>
          <w:sz w:val="21"/>
        </w:rPr>
        <w:t xml:space="preserve"> </w:t>
      </w:r>
      <w:r>
        <w:rPr>
          <w:color w:val="231F20"/>
          <w:sz w:val="21"/>
        </w:rPr>
        <w:t>порушень</w:t>
      </w:r>
      <w:r>
        <w:rPr>
          <w:color w:val="231F20"/>
          <w:spacing w:val="-9"/>
          <w:sz w:val="21"/>
        </w:rPr>
        <w:t xml:space="preserve"> </w:t>
      </w:r>
      <w:r>
        <w:rPr>
          <w:color w:val="231F20"/>
          <w:sz w:val="21"/>
        </w:rPr>
        <w:t>з</w:t>
      </w:r>
      <w:r>
        <w:rPr>
          <w:color w:val="231F20"/>
          <w:spacing w:val="-9"/>
          <w:sz w:val="21"/>
        </w:rPr>
        <w:t xml:space="preserve"> </w:t>
      </w:r>
      <w:r>
        <w:rPr>
          <w:color w:val="231F20"/>
          <w:sz w:val="21"/>
        </w:rPr>
        <w:t>боку</w:t>
      </w:r>
      <w:r>
        <w:rPr>
          <w:color w:val="231F20"/>
          <w:spacing w:val="-9"/>
          <w:sz w:val="21"/>
        </w:rPr>
        <w:t xml:space="preserve"> </w:t>
      </w:r>
      <w:r>
        <w:rPr>
          <w:color w:val="231F20"/>
          <w:spacing w:val="-3"/>
          <w:sz w:val="21"/>
        </w:rPr>
        <w:t>суб’єктів</w:t>
      </w:r>
      <w:r>
        <w:rPr>
          <w:color w:val="231F20"/>
          <w:spacing w:val="-9"/>
          <w:sz w:val="21"/>
        </w:rPr>
        <w:t xml:space="preserve"> </w:t>
      </w:r>
      <w:r>
        <w:rPr>
          <w:color w:val="231F20"/>
          <w:sz w:val="21"/>
        </w:rPr>
        <w:t>публічної</w:t>
      </w:r>
      <w:r>
        <w:rPr>
          <w:color w:val="231F20"/>
          <w:spacing w:val="-9"/>
          <w:sz w:val="21"/>
        </w:rPr>
        <w:t xml:space="preserve"> </w:t>
      </w:r>
      <w:r>
        <w:rPr>
          <w:color w:val="231F20"/>
          <w:sz w:val="21"/>
        </w:rPr>
        <w:t>адміністрації</w:t>
      </w:r>
      <w:r>
        <w:rPr>
          <w:color w:val="231F20"/>
          <w:spacing w:val="-9"/>
          <w:sz w:val="21"/>
        </w:rPr>
        <w:t xml:space="preserve"> </w:t>
      </w:r>
      <w:r>
        <w:rPr>
          <w:color w:val="231F20"/>
          <w:sz w:val="21"/>
        </w:rPr>
        <w:t>у</w:t>
      </w:r>
      <w:r>
        <w:rPr>
          <w:color w:val="231F20"/>
          <w:spacing w:val="-8"/>
          <w:sz w:val="21"/>
        </w:rPr>
        <w:t xml:space="preserve"> </w:t>
      </w:r>
      <w:r>
        <w:rPr>
          <w:color w:val="231F20"/>
          <w:sz w:val="21"/>
        </w:rPr>
        <w:t>процесі</w:t>
      </w:r>
      <w:r>
        <w:rPr>
          <w:color w:val="231F20"/>
          <w:spacing w:val="-9"/>
          <w:sz w:val="21"/>
        </w:rPr>
        <w:t xml:space="preserve"> </w:t>
      </w:r>
      <w:r>
        <w:rPr>
          <w:color w:val="231F20"/>
          <w:sz w:val="21"/>
        </w:rPr>
        <w:t>здійс- нення публічного контролю (дотримання мораторію на перевірку бізнесу).</w:t>
      </w:r>
    </w:p>
    <w:p w14:paraId="6BA24A32" w14:textId="77777777" w:rsidR="00DE575E" w:rsidRDefault="00DE575E">
      <w:pPr>
        <w:pStyle w:val="BodyText"/>
        <w:spacing w:before="6"/>
        <w:rPr>
          <w:sz w:val="12"/>
        </w:rPr>
      </w:pPr>
    </w:p>
    <w:p w14:paraId="4C0544F1" w14:textId="77777777" w:rsidR="00DE575E" w:rsidRDefault="002E7560">
      <w:pPr>
        <w:spacing w:before="92"/>
        <w:ind w:right="411"/>
        <w:jc w:val="right"/>
        <w:rPr>
          <w:rFonts w:ascii="Times New Roman"/>
          <w:sz w:val="20"/>
        </w:rPr>
      </w:pPr>
      <w:r>
        <w:rPr>
          <w:rFonts w:ascii="Times New Roman"/>
          <w:color w:val="231F20"/>
          <w:w w:val="90"/>
          <w:sz w:val="20"/>
        </w:rPr>
        <w:t>139</w:t>
      </w:r>
    </w:p>
    <w:p w14:paraId="0132B73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1AC189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2374D1E" w14:textId="1B68AB7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4A24AE5" wp14:editId="07E5F15A">
                <wp:extent cx="4140200" cy="6350"/>
                <wp:effectExtent l="0" t="0" r="12700" b="6350"/>
                <wp:docPr id="1062"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63" name="Line 106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939E36" id="Group_x0020_106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3sX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Ni8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KMzexfQIAAJwFAAAOAAAA&#10;AAAAAAAAAAAAACwCAABkcnMvZTJvRG9jLnhtbFBLAQItABQABgAIAAAAIQBMp7CQ2QAAAAMBAAAP&#10;AAAAAAAAAAAAAAAAANUEAABkcnMvZG93bnJldi54bWxQSwUGAAAAAAQABADzAAAA2wUAAAAA&#10;">
                <v:line id="Line_x0020_106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s1UMQAAADdAAAADwAAAGRycy9kb3ducmV2LnhtbERPzWrCQBC+F/oOyxS8lLrRgEjqKkUQ&#10;xINa0wcYs9MkdHc2ZlcTfXpXKHibj+93ZoveGnGh1teOFYyGCQjiwumaSwU/+epjCsIHZI3GMSm4&#10;kofF/PVlhpl2HX/T5RBKEUPYZ6igCqHJpPRFRRb90DXEkft1rcUQYVtK3WIXw62R4ySZSIs1x4YK&#10;G1pWVPwdzlZBfnoPZr/bmC7fHVN5PG3T23mr1OCt//oEEagPT/G/e63j/GSSwuObeIK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izVQxAAAAN0AAAAPAAAAAAAAAAAA&#10;AAAAAKECAABkcnMvZG93bnJldi54bWxQSwUGAAAAAAQABAD5AAAAkgMAAAAA&#10;" strokecolor="#231f20" strokeweight=".5pt"/>
                <w10:anchorlock/>
              </v:group>
            </w:pict>
          </mc:Fallback>
        </mc:AlternateContent>
      </w:r>
    </w:p>
    <w:p w14:paraId="6E964017" w14:textId="77777777" w:rsidR="00DE575E" w:rsidRDefault="00DE575E">
      <w:pPr>
        <w:pStyle w:val="BodyText"/>
        <w:spacing w:before="7"/>
        <w:rPr>
          <w:rFonts w:ascii="AdonisC"/>
          <w:i/>
          <w:sz w:val="11"/>
        </w:rPr>
      </w:pPr>
    </w:p>
    <w:p w14:paraId="15259FCB" w14:textId="77777777" w:rsidR="00DE575E" w:rsidRDefault="002E7560">
      <w:pPr>
        <w:pStyle w:val="Heading5"/>
        <w:spacing w:before="101" w:line="252" w:lineRule="auto"/>
        <w:ind w:right="127" w:firstLine="283"/>
        <w:jc w:val="both"/>
      </w:pPr>
      <w:r>
        <w:rPr>
          <w:color w:val="231F20"/>
        </w:rPr>
        <w:t>Отже, адміністративно-правовий статус особи-підприємця – це</w:t>
      </w:r>
      <w:r>
        <w:rPr>
          <w:color w:val="231F20"/>
          <w:spacing w:val="-25"/>
        </w:rPr>
        <w:t xml:space="preserve"> </w:t>
      </w:r>
      <w:r>
        <w:rPr>
          <w:color w:val="231F20"/>
        </w:rPr>
        <w:t>порядок</w:t>
      </w:r>
      <w:r>
        <w:rPr>
          <w:color w:val="231F20"/>
          <w:spacing w:val="-25"/>
        </w:rPr>
        <w:t xml:space="preserve"> </w:t>
      </w:r>
      <w:r>
        <w:rPr>
          <w:color w:val="231F20"/>
        </w:rPr>
        <w:t>і</w:t>
      </w:r>
      <w:r>
        <w:rPr>
          <w:color w:val="231F20"/>
          <w:spacing w:val="-25"/>
        </w:rPr>
        <w:t xml:space="preserve"> </w:t>
      </w:r>
      <w:r>
        <w:rPr>
          <w:color w:val="231F20"/>
        </w:rPr>
        <w:t>підстави</w:t>
      </w:r>
      <w:r>
        <w:rPr>
          <w:color w:val="231F20"/>
          <w:spacing w:val="-25"/>
        </w:rPr>
        <w:t xml:space="preserve"> </w:t>
      </w:r>
      <w:r>
        <w:rPr>
          <w:color w:val="231F20"/>
        </w:rPr>
        <w:t>легалізації</w:t>
      </w:r>
      <w:r>
        <w:rPr>
          <w:color w:val="231F20"/>
          <w:spacing w:val="-25"/>
        </w:rPr>
        <w:t xml:space="preserve"> </w:t>
      </w:r>
      <w:r>
        <w:rPr>
          <w:color w:val="231F20"/>
        </w:rPr>
        <w:t>приватної</w:t>
      </w:r>
      <w:r>
        <w:rPr>
          <w:color w:val="231F20"/>
          <w:spacing w:val="-25"/>
        </w:rPr>
        <w:t xml:space="preserve"> </w:t>
      </w:r>
      <w:r>
        <w:rPr>
          <w:color w:val="231F20"/>
        </w:rPr>
        <w:t>особи</w:t>
      </w:r>
      <w:r>
        <w:rPr>
          <w:color w:val="231F20"/>
          <w:spacing w:val="-25"/>
        </w:rPr>
        <w:t xml:space="preserve"> </w:t>
      </w:r>
      <w:r>
        <w:rPr>
          <w:color w:val="231F20"/>
        </w:rPr>
        <w:t>в</w:t>
      </w:r>
      <w:r>
        <w:rPr>
          <w:color w:val="231F20"/>
          <w:spacing w:val="-25"/>
        </w:rPr>
        <w:t xml:space="preserve"> </w:t>
      </w:r>
      <w:r>
        <w:rPr>
          <w:color w:val="231F20"/>
        </w:rPr>
        <w:t>цьому</w:t>
      </w:r>
      <w:r>
        <w:rPr>
          <w:color w:val="231F20"/>
          <w:spacing w:val="-25"/>
        </w:rPr>
        <w:t xml:space="preserve"> </w:t>
      </w:r>
      <w:r>
        <w:rPr>
          <w:color w:val="231F20"/>
        </w:rPr>
        <w:t>статусі, а також сукупність прав вільно здійснювати підприємницьку діяльність,</w:t>
      </w:r>
      <w:r>
        <w:rPr>
          <w:color w:val="231F20"/>
          <w:spacing w:val="-7"/>
        </w:rPr>
        <w:t xml:space="preserve"> </w:t>
      </w:r>
      <w:r>
        <w:rPr>
          <w:color w:val="231F20"/>
        </w:rPr>
        <w:t>не</w:t>
      </w:r>
      <w:r>
        <w:rPr>
          <w:color w:val="231F20"/>
          <w:spacing w:val="-7"/>
        </w:rPr>
        <w:t xml:space="preserve"> </w:t>
      </w:r>
      <w:r>
        <w:rPr>
          <w:color w:val="231F20"/>
        </w:rPr>
        <w:t>порушуючи</w:t>
      </w:r>
      <w:r>
        <w:rPr>
          <w:color w:val="231F20"/>
          <w:spacing w:val="-7"/>
        </w:rPr>
        <w:t xml:space="preserve"> </w:t>
      </w:r>
      <w:r>
        <w:rPr>
          <w:color w:val="231F20"/>
        </w:rPr>
        <w:t>при</w:t>
      </w:r>
      <w:r>
        <w:rPr>
          <w:color w:val="231F20"/>
          <w:spacing w:val="-7"/>
        </w:rPr>
        <w:t xml:space="preserve"> </w:t>
      </w:r>
      <w:r>
        <w:rPr>
          <w:color w:val="231F20"/>
        </w:rPr>
        <w:t>цьому</w:t>
      </w:r>
      <w:r>
        <w:rPr>
          <w:color w:val="231F20"/>
          <w:spacing w:val="-7"/>
        </w:rPr>
        <w:t xml:space="preserve"> </w:t>
      </w:r>
      <w:r>
        <w:rPr>
          <w:color w:val="231F20"/>
        </w:rPr>
        <w:t>заборонних</w:t>
      </w:r>
      <w:r>
        <w:rPr>
          <w:color w:val="231F20"/>
          <w:spacing w:val="-6"/>
        </w:rPr>
        <w:t xml:space="preserve"> </w:t>
      </w:r>
      <w:r>
        <w:rPr>
          <w:color w:val="231F20"/>
        </w:rPr>
        <w:t>норм</w:t>
      </w:r>
      <w:r>
        <w:rPr>
          <w:color w:val="231F20"/>
          <w:spacing w:val="-7"/>
        </w:rPr>
        <w:t xml:space="preserve"> </w:t>
      </w:r>
      <w:r>
        <w:rPr>
          <w:color w:val="231F20"/>
        </w:rPr>
        <w:t>адмініст- ративного (господарського) права, що підкріплено обов’язком публічної адміністрації надавати сервісні послуги для ефектив- ного</w:t>
      </w:r>
      <w:r>
        <w:rPr>
          <w:color w:val="231F20"/>
          <w:spacing w:val="-14"/>
        </w:rPr>
        <w:t xml:space="preserve"> </w:t>
      </w:r>
      <w:r>
        <w:rPr>
          <w:color w:val="231F20"/>
        </w:rPr>
        <w:t>розвитку</w:t>
      </w:r>
      <w:r>
        <w:rPr>
          <w:color w:val="231F20"/>
          <w:spacing w:val="-14"/>
        </w:rPr>
        <w:t xml:space="preserve"> </w:t>
      </w:r>
      <w:r>
        <w:rPr>
          <w:color w:val="231F20"/>
        </w:rPr>
        <w:t>підприємницької</w:t>
      </w:r>
      <w:r>
        <w:rPr>
          <w:color w:val="231F20"/>
          <w:spacing w:val="-14"/>
        </w:rPr>
        <w:t xml:space="preserve"> </w:t>
      </w:r>
      <w:r>
        <w:rPr>
          <w:color w:val="231F20"/>
        </w:rPr>
        <w:t>діяльності</w:t>
      </w:r>
      <w:r>
        <w:rPr>
          <w:color w:val="231F20"/>
          <w:spacing w:val="-14"/>
        </w:rPr>
        <w:t xml:space="preserve"> </w:t>
      </w:r>
      <w:r>
        <w:rPr>
          <w:color w:val="231F20"/>
        </w:rPr>
        <w:t>та</w:t>
      </w:r>
      <w:r>
        <w:rPr>
          <w:color w:val="231F20"/>
          <w:spacing w:val="-14"/>
        </w:rPr>
        <w:t xml:space="preserve"> </w:t>
      </w:r>
      <w:r>
        <w:rPr>
          <w:color w:val="231F20"/>
        </w:rPr>
        <w:t>дотримання</w:t>
      </w:r>
      <w:r>
        <w:rPr>
          <w:color w:val="231F20"/>
          <w:spacing w:val="-14"/>
        </w:rPr>
        <w:t xml:space="preserve"> </w:t>
      </w:r>
      <w:r>
        <w:rPr>
          <w:color w:val="231F20"/>
        </w:rPr>
        <w:t xml:space="preserve">обме- жень </w:t>
      </w:r>
      <w:r>
        <w:rPr>
          <w:color w:val="231F20"/>
          <w:spacing w:val="-3"/>
        </w:rPr>
        <w:t xml:space="preserve">щодо </w:t>
      </w:r>
      <w:r>
        <w:rPr>
          <w:color w:val="231F20"/>
        </w:rPr>
        <w:t>міри і ступеня втручання у сферу під</w:t>
      </w:r>
      <w:r>
        <w:rPr>
          <w:color w:val="231F20"/>
        </w:rPr>
        <w:t>приємницької свободи.</w:t>
      </w:r>
    </w:p>
    <w:p w14:paraId="5F6FDA21" w14:textId="77777777" w:rsidR="00DE575E" w:rsidRDefault="00DE575E">
      <w:pPr>
        <w:pStyle w:val="BodyText"/>
        <w:spacing w:before="5"/>
        <w:rPr>
          <w:b/>
          <w:sz w:val="22"/>
        </w:rPr>
      </w:pPr>
    </w:p>
    <w:p w14:paraId="61100458" w14:textId="77777777" w:rsidR="00DE575E" w:rsidRDefault="002E7560">
      <w:pPr>
        <w:pStyle w:val="Heading6"/>
        <w:spacing w:before="0" w:line="252" w:lineRule="auto"/>
        <w:ind w:right="128"/>
        <w:jc w:val="both"/>
      </w:pPr>
      <w:r>
        <w:rPr>
          <w:color w:val="231F20"/>
        </w:rPr>
        <w:t xml:space="preserve">5.1.1.4. Підприємства, установи, організації як </w:t>
      </w:r>
      <w:r>
        <w:rPr>
          <w:color w:val="231F20"/>
          <w:spacing w:val="-3"/>
        </w:rPr>
        <w:t xml:space="preserve">суб’єкти </w:t>
      </w:r>
      <w:r>
        <w:rPr>
          <w:color w:val="231F20"/>
        </w:rPr>
        <w:t xml:space="preserve">адмі- </w:t>
      </w:r>
      <w:r>
        <w:rPr>
          <w:color w:val="231F20"/>
        </w:rPr>
        <w:t>ністративного права</w:t>
      </w:r>
    </w:p>
    <w:p w14:paraId="3E839470" w14:textId="77777777" w:rsidR="00DE575E" w:rsidRDefault="002E7560">
      <w:pPr>
        <w:pStyle w:val="BodyText"/>
        <w:spacing w:before="1" w:line="252" w:lineRule="auto"/>
        <w:ind w:left="533" w:right="128" w:firstLine="283"/>
        <w:jc w:val="both"/>
      </w:pPr>
      <w:r>
        <w:rPr>
          <w:color w:val="231F20"/>
          <w:spacing w:val="-3"/>
        </w:rPr>
        <w:t xml:space="preserve">Колективні приватні </w:t>
      </w:r>
      <w:r>
        <w:rPr>
          <w:color w:val="231F20"/>
          <w:spacing w:val="-6"/>
        </w:rPr>
        <w:t xml:space="preserve">суб’єкти </w:t>
      </w:r>
      <w:r>
        <w:rPr>
          <w:color w:val="231F20"/>
          <w:spacing w:val="-3"/>
        </w:rPr>
        <w:t>адміністративного права утворені насамперед</w:t>
      </w:r>
      <w:r>
        <w:rPr>
          <w:color w:val="231F20"/>
          <w:spacing w:val="-19"/>
        </w:rPr>
        <w:t xml:space="preserve"> </w:t>
      </w:r>
      <w:r>
        <w:rPr>
          <w:color w:val="231F20"/>
          <w:spacing w:val="-3"/>
        </w:rPr>
        <w:t>юридичними</w:t>
      </w:r>
      <w:r>
        <w:rPr>
          <w:color w:val="231F20"/>
          <w:spacing w:val="-19"/>
        </w:rPr>
        <w:t xml:space="preserve"> </w:t>
      </w:r>
      <w:r>
        <w:rPr>
          <w:color w:val="231F20"/>
        </w:rPr>
        <w:t>особами</w:t>
      </w:r>
      <w:r>
        <w:rPr>
          <w:color w:val="231F20"/>
          <w:spacing w:val="-19"/>
        </w:rPr>
        <w:t xml:space="preserve"> </w:t>
      </w:r>
      <w:r>
        <w:rPr>
          <w:color w:val="231F20"/>
          <w:spacing w:val="-3"/>
        </w:rPr>
        <w:t>приватного</w:t>
      </w:r>
      <w:r>
        <w:rPr>
          <w:color w:val="231F20"/>
          <w:spacing w:val="-19"/>
        </w:rPr>
        <w:t xml:space="preserve"> </w:t>
      </w:r>
      <w:r>
        <w:rPr>
          <w:color w:val="231F20"/>
          <w:spacing w:val="-3"/>
        </w:rPr>
        <w:t>права,</w:t>
      </w:r>
      <w:r>
        <w:rPr>
          <w:color w:val="231F20"/>
          <w:spacing w:val="-19"/>
        </w:rPr>
        <w:t xml:space="preserve"> </w:t>
      </w:r>
      <w:r>
        <w:rPr>
          <w:color w:val="231F20"/>
        </w:rPr>
        <w:t>які</w:t>
      </w:r>
      <w:r>
        <w:rPr>
          <w:color w:val="231F20"/>
          <w:spacing w:val="-19"/>
        </w:rPr>
        <w:t xml:space="preserve"> </w:t>
      </w:r>
      <w:r>
        <w:rPr>
          <w:color w:val="231F20"/>
          <w:spacing w:val="-4"/>
        </w:rPr>
        <w:t xml:space="preserve">створюються </w:t>
      </w:r>
      <w:r>
        <w:rPr>
          <w:color w:val="231F20"/>
        </w:rPr>
        <w:t xml:space="preserve">за </w:t>
      </w:r>
      <w:r>
        <w:rPr>
          <w:color w:val="231F20"/>
          <w:spacing w:val="-3"/>
        </w:rPr>
        <w:t>волевиявленням заснов</w:t>
      </w:r>
      <w:r>
        <w:rPr>
          <w:color w:val="231F20"/>
          <w:spacing w:val="-3"/>
        </w:rPr>
        <w:t xml:space="preserve">ників </w:t>
      </w:r>
      <w:r>
        <w:rPr>
          <w:color w:val="231F20"/>
        </w:rPr>
        <w:t xml:space="preserve">на </w:t>
      </w:r>
      <w:r>
        <w:rPr>
          <w:color w:val="231F20"/>
          <w:spacing w:val="-3"/>
        </w:rPr>
        <w:t xml:space="preserve">підставі установчих актів (доку- ментів). Найбільш поширеними організаційно-правовими формами юридичних </w:t>
      </w:r>
      <w:r>
        <w:rPr>
          <w:color w:val="231F20"/>
        </w:rPr>
        <w:t xml:space="preserve">осіб є </w:t>
      </w:r>
      <w:r>
        <w:rPr>
          <w:color w:val="231F20"/>
          <w:spacing w:val="-3"/>
        </w:rPr>
        <w:t xml:space="preserve">підприємства, </w:t>
      </w:r>
      <w:r>
        <w:rPr>
          <w:color w:val="231F20"/>
          <w:spacing w:val="-4"/>
        </w:rPr>
        <w:t xml:space="preserve">установи </w:t>
      </w:r>
      <w:r>
        <w:rPr>
          <w:color w:val="231F20"/>
        </w:rPr>
        <w:t xml:space="preserve">й </w:t>
      </w:r>
      <w:r>
        <w:rPr>
          <w:color w:val="231F20"/>
          <w:spacing w:val="-3"/>
        </w:rPr>
        <w:t xml:space="preserve">організації, </w:t>
      </w:r>
      <w:r>
        <w:rPr>
          <w:color w:val="231F20"/>
        </w:rPr>
        <w:t xml:space="preserve">які </w:t>
      </w:r>
      <w:r>
        <w:rPr>
          <w:color w:val="231F20"/>
          <w:spacing w:val="-3"/>
        </w:rPr>
        <w:t xml:space="preserve">викону- ють економічні, </w:t>
      </w:r>
      <w:r>
        <w:rPr>
          <w:color w:val="231F20"/>
          <w:spacing w:val="-4"/>
        </w:rPr>
        <w:t xml:space="preserve">соціально-культурні, </w:t>
      </w:r>
      <w:r>
        <w:rPr>
          <w:color w:val="231F20"/>
          <w:spacing w:val="-3"/>
        </w:rPr>
        <w:t xml:space="preserve">адміністративно-політичні та інші функції </w:t>
      </w:r>
      <w:r>
        <w:rPr>
          <w:color w:val="231F20"/>
        </w:rPr>
        <w:t xml:space="preserve">з метою </w:t>
      </w:r>
      <w:r>
        <w:rPr>
          <w:color w:val="231F20"/>
          <w:spacing w:val="-3"/>
        </w:rPr>
        <w:t xml:space="preserve">задоволення матеріальних, духовних </w:t>
      </w:r>
      <w:r>
        <w:rPr>
          <w:color w:val="231F20"/>
        </w:rPr>
        <w:t xml:space="preserve">та </w:t>
      </w:r>
      <w:r>
        <w:rPr>
          <w:color w:val="231F20"/>
          <w:spacing w:val="-3"/>
        </w:rPr>
        <w:t xml:space="preserve">інших потреб громадян, суспільства </w:t>
      </w:r>
      <w:r>
        <w:rPr>
          <w:color w:val="231F20"/>
        </w:rPr>
        <w:t xml:space="preserve">й </w:t>
      </w:r>
      <w:r>
        <w:rPr>
          <w:color w:val="231F20"/>
          <w:spacing w:val="-3"/>
        </w:rPr>
        <w:t xml:space="preserve">держави. Вони відрізняються </w:t>
      </w:r>
      <w:r>
        <w:rPr>
          <w:color w:val="231F20"/>
          <w:spacing w:val="-4"/>
        </w:rPr>
        <w:t xml:space="preserve">один </w:t>
      </w:r>
      <w:r>
        <w:rPr>
          <w:color w:val="231F20"/>
          <w:spacing w:val="-3"/>
        </w:rPr>
        <w:t xml:space="preserve">від </w:t>
      </w:r>
      <w:r>
        <w:rPr>
          <w:color w:val="231F20"/>
          <w:spacing w:val="-4"/>
        </w:rPr>
        <w:t xml:space="preserve">одного </w:t>
      </w:r>
      <w:r>
        <w:rPr>
          <w:color w:val="231F20"/>
        </w:rPr>
        <w:t xml:space="preserve">за </w:t>
      </w:r>
      <w:r>
        <w:rPr>
          <w:color w:val="231F20"/>
          <w:spacing w:val="-3"/>
        </w:rPr>
        <w:t xml:space="preserve">змістом, </w:t>
      </w:r>
      <w:r>
        <w:rPr>
          <w:color w:val="231F20"/>
          <w:spacing w:val="-4"/>
        </w:rPr>
        <w:t xml:space="preserve">результатом </w:t>
      </w:r>
      <w:r>
        <w:rPr>
          <w:color w:val="231F20"/>
        </w:rPr>
        <w:t>і метою основної</w:t>
      </w:r>
      <w:r>
        <w:rPr>
          <w:color w:val="231F20"/>
          <w:spacing w:val="-28"/>
        </w:rPr>
        <w:t xml:space="preserve"> </w:t>
      </w:r>
      <w:r>
        <w:rPr>
          <w:color w:val="231F20"/>
          <w:spacing w:val="-3"/>
        </w:rPr>
        <w:t>діяльності.</w:t>
      </w:r>
    </w:p>
    <w:p w14:paraId="58E258D0" w14:textId="77777777" w:rsidR="00DE575E" w:rsidRDefault="002E7560">
      <w:pPr>
        <w:pStyle w:val="BodyText"/>
        <w:spacing w:before="5" w:line="252" w:lineRule="auto"/>
        <w:ind w:left="533" w:right="127" w:firstLine="283"/>
        <w:jc w:val="both"/>
      </w:pPr>
      <w:r>
        <w:rPr>
          <w:b/>
          <w:color w:val="231F20"/>
        </w:rPr>
        <w:t xml:space="preserve">Підприємства </w:t>
      </w:r>
      <w:r>
        <w:rPr>
          <w:color w:val="231F20"/>
        </w:rPr>
        <w:t>– самостійний господарський статутний суб’єкт, який має права ю</w:t>
      </w:r>
      <w:r>
        <w:rPr>
          <w:color w:val="231F20"/>
        </w:rPr>
        <w:t>ридичної особи, здійснює виробничу, науково- дослідну й комерційну діяльність з метою одержання відповідного прибутку (доходу). Підприємство має самостійний баланс, розра- хункові та інші рахунки в установах банків, печатку, а промислове підприємство – і т</w:t>
      </w:r>
      <w:r>
        <w:rPr>
          <w:color w:val="231F20"/>
        </w:rPr>
        <w:t>оварний знак.</w:t>
      </w:r>
    </w:p>
    <w:p w14:paraId="7E761261" w14:textId="77777777" w:rsidR="00DE575E" w:rsidRDefault="002E7560">
      <w:pPr>
        <w:pStyle w:val="BodyText"/>
        <w:spacing w:before="3" w:line="252" w:lineRule="auto"/>
        <w:ind w:left="533" w:right="127" w:firstLine="283"/>
        <w:jc w:val="both"/>
      </w:pPr>
      <w:r>
        <w:rPr>
          <w:b/>
          <w:color w:val="231F20"/>
          <w:spacing w:val="-4"/>
        </w:rPr>
        <w:t xml:space="preserve">Установи </w:t>
      </w:r>
      <w:r>
        <w:rPr>
          <w:color w:val="231F20"/>
        </w:rPr>
        <w:t>виконують соціально-культурні або адміністративно- політичні функції. Їх мета – створення соціальних цінностей пере- важно</w:t>
      </w:r>
      <w:r>
        <w:rPr>
          <w:color w:val="231F20"/>
          <w:spacing w:val="-9"/>
        </w:rPr>
        <w:t xml:space="preserve"> </w:t>
      </w:r>
      <w:r>
        <w:rPr>
          <w:color w:val="231F20"/>
        </w:rPr>
        <w:t>невиробничого</w:t>
      </w:r>
      <w:r>
        <w:rPr>
          <w:color w:val="231F20"/>
          <w:spacing w:val="-9"/>
        </w:rPr>
        <w:t xml:space="preserve"> </w:t>
      </w:r>
      <w:r>
        <w:rPr>
          <w:color w:val="231F20"/>
        </w:rPr>
        <w:t>характеру</w:t>
      </w:r>
      <w:r>
        <w:rPr>
          <w:color w:val="231F20"/>
          <w:spacing w:val="-9"/>
        </w:rPr>
        <w:t xml:space="preserve"> </w:t>
      </w:r>
      <w:r>
        <w:rPr>
          <w:color w:val="231F20"/>
        </w:rPr>
        <w:t>(культура,</w:t>
      </w:r>
      <w:r>
        <w:rPr>
          <w:color w:val="231F20"/>
          <w:spacing w:val="-9"/>
        </w:rPr>
        <w:t xml:space="preserve"> </w:t>
      </w:r>
      <w:r>
        <w:rPr>
          <w:color w:val="231F20"/>
        </w:rPr>
        <w:t>освіта,</w:t>
      </w:r>
      <w:r>
        <w:rPr>
          <w:color w:val="231F20"/>
          <w:spacing w:val="-8"/>
        </w:rPr>
        <w:t xml:space="preserve"> </w:t>
      </w:r>
      <w:r>
        <w:rPr>
          <w:color w:val="231F20"/>
        </w:rPr>
        <w:t>охорона</w:t>
      </w:r>
      <w:r>
        <w:rPr>
          <w:color w:val="231F20"/>
          <w:spacing w:val="-8"/>
        </w:rPr>
        <w:t xml:space="preserve"> </w:t>
      </w:r>
      <w:r>
        <w:rPr>
          <w:color w:val="231F20"/>
        </w:rPr>
        <w:t>здоров’я тощо).</w:t>
      </w:r>
    </w:p>
    <w:p w14:paraId="12AC05E2" w14:textId="77777777" w:rsidR="00DE575E" w:rsidRDefault="002E7560">
      <w:pPr>
        <w:pStyle w:val="BodyText"/>
        <w:spacing w:before="2" w:line="252" w:lineRule="auto"/>
        <w:ind w:left="533" w:right="126" w:firstLine="283"/>
        <w:jc w:val="both"/>
      </w:pPr>
      <w:r>
        <w:rPr>
          <w:color w:val="231F20"/>
        </w:rPr>
        <w:t xml:space="preserve">Свою діяльність  підприємства  й  установи </w:t>
      </w:r>
      <w:r>
        <w:rPr>
          <w:color w:val="231F20"/>
        </w:rPr>
        <w:t xml:space="preserve"> здійснюють  згідно  з ГК, ЦК, ПК, законами </w:t>
      </w:r>
      <w:r>
        <w:rPr>
          <w:color w:val="231F20"/>
          <w:spacing w:val="-3"/>
        </w:rPr>
        <w:t xml:space="preserve">України </w:t>
      </w:r>
      <w:r>
        <w:rPr>
          <w:color w:val="231F20"/>
        </w:rPr>
        <w:t xml:space="preserve">«Про господарські товариства», «Про державно-приватне партнерство», іншими законами та законо- давчими актами </w:t>
      </w:r>
      <w:r>
        <w:rPr>
          <w:color w:val="231F20"/>
          <w:spacing w:val="-3"/>
        </w:rPr>
        <w:t xml:space="preserve">України, </w:t>
      </w:r>
      <w:r>
        <w:rPr>
          <w:color w:val="231F20"/>
        </w:rPr>
        <w:t xml:space="preserve">а також на підставі статуту, який затвер- джує власник майна за участю </w:t>
      </w:r>
      <w:r>
        <w:rPr>
          <w:color w:val="231F20"/>
          <w:spacing w:val="-3"/>
        </w:rPr>
        <w:t>трудового</w:t>
      </w:r>
      <w:r>
        <w:rPr>
          <w:color w:val="231F20"/>
          <w:spacing w:val="-9"/>
        </w:rPr>
        <w:t xml:space="preserve"> </w:t>
      </w:r>
      <w:r>
        <w:rPr>
          <w:color w:val="231F20"/>
        </w:rPr>
        <w:t>коле</w:t>
      </w:r>
      <w:r>
        <w:rPr>
          <w:color w:val="231F20"/>
        </w:rPr>
        <w:t>ктиву.</w:t>
      </w:r>
    </w:p>
    <w:p w14:paraId="6C6A5F47" w14:textId="77777777" w:rsidR="00DE575E" w:rsidRDefault="002E7560">
      <w:pPr>
        <w:pStyle w:val="BodyText"/>
        <w:spacing w:before="2" w:line="252" w:lineRule="auto"/>
        <w:ind w:left="533" w:right="128" w:firstLine="283"/>
        <w:jc w:val="both"/>
      </w:pPr>
      <w:r>
        <w:rPr>
          <w:color w:val="231F20"/>
        </w:rPr>
        <w:t xml:space="preserve">У взаємовідносинах із </w:t>
      </w:r>
      <w:r>
        <w:rPr>
          <w:color w:val="231F20"/>
          <w:spacing w:val="-3"/>
        </w:rPr>
        <w:t xml:space="preserve">суб’єктами </w:t>
      </w:r>
      <w:r>
        <w:rPr>
          <w:color w:val="231F20"/>
        </w:rPr>
        <w:t>публічної адміністрації підпри- ємства</w:t>
      </w:r>
      <w:r>
        <w:rPr>
          <w:color w:val="231F20"/>
          <w:spacing w:val="-13"/>
        </w:rPr>
        <w:t xml:space="preserve"> </w:t>
      </w:r>
      <w:r>
        <w:rPr>
          <w:color w:val="231F20"/>
        </w:rPr>
        <w:t>й</w:t>
      </w:r>
      <w:r>
        <w:rPr>
          <w:color w:val="231F20"/>
          <w:spacing w:val="-13"/>
        </w:rPr>
        <w:t xml:space="preserve"> </w:t>
      </w:r>
      <w:r>
        <w:rPr>
          <w:color w:val="231F20"/>
        </w:rPr>
        <w:t>установи</w:t>
      </w:r>
      <w:r>
        <w:rPr>
          <w:color w:val="231F20"/>
          <w:spacing w:val="-13"/>
        </w:rPr>
        <w:t xml:space="preserve"> </w:t>
      </w:r>
      <w:r>
        <w:rPr>
          <w:color w:val="231F20"/>
        </w:rPr>
        <w:t>практично</w:t>
      </w:r>
      <w:r>
        <w:rPr>
          <w:color w:val="231F20"/>
          <w:spacing w:val="-13"/>
        </w:rPr>
        <w:t xml:space="preserve"> </w:t>
      </w:r>
      <w:r>
        <w:rPr>
          <w:color w:val="231F20"/>
        </w:rPr>
        <w:t>вирішують</w:t>
      </w:r>
      <w:r>
        <w:rPr>
          <w:color w:val="231F20"/>
          <w:spacing w:val="-13"/>
        </w:rPr>
        <w:t xml:space="preserve"> </w:t>
      </w:r>
      <w:r>
        <w:rPr>
          <w:color w:val="231F20"/>
        </w:rPr>
        <w:t>усі</w:t>
      </w:r>
      <w:r>
        <w:rPr>
          <w:color w:val="231F20"/>
          <w:spacing w:val="-13"/>
        </w:rPr>
        <w:t xml:space="preserve"> </w:t>
      </w:r>
      <w:r>
        <w:rPr>
          <w:color w:val="231F20"/>
        </w:rPr>
        <w:t>питання</w:t>
      </w:r>
      <w:r>
        <w:rPr>
          <w:color w:val="231F20"/>
          <w:spacing w:val="-12"/>
        </w:rPr>
        <w:t xml:space="preserve"> </w:t>
      </w:r>
      <w:r>
        <w:rPr>
          <w:color w:val="231F20"/>
        </w:rPr>
        <w:t>–</w:t>
      </w:r>
      <w:r>
        <w:rPr>
          <w:color w:val="231F20"/>
          <w:spacing w:val="-13"/>
        </w:rPr>
        <w:t xml:space="preserve"> </w:t>
      </w:r>
      <w:r>
        <w:rPr>
          <w:color w:val="231F20"/>
        </w:rPr>
        <w:t>від</w:t>
      </w:r>
      <w:r>
        <w:rPr>
          <w:color w:val="231F20"/>
          <w:spacing w:val="-13"/>
        </w:rPr>
        <w:t xml:space="preserve"> </w:t>
      </w:r>
      <w:r>
        <w:rPr>
          <w:color w:val="231F20"/>
        </w:rPr>
        <w:t>державної реєстрації,</w:t>
      </w:r>
      <w:r>
        <w:rPr>
          <w:color w:val="231F20"/>
          <w:spacing w:val="12"/>
        </w:rPr>
        <w:t xml:space="preserve"> </w:t>
      </w:r>
      <w:r>
        <w:rPr>
          <w:color w:val="231F20"/>
        </w:rPr>
        <w:t>провадження</w:t>
      </w:r>
      <w:r>
        <w:rPr>
          <w:color w:val="231F20"/>
          <w:spacing w:val="12"/>
        </w:rPr>
        <w:t xml:space="preserve"> </w:t>
      </w:r>
      <w:r>
        <w:rPr>
          <w:color w:val="231F20"/>
        </w:rPr>
        <w:t>своєї</w:t>
      </w:r>
      <w:r>
        <w:rPr>
          <w:color w:val="231F20"/>
          <w:spacing w:val="12"/>
        </w:rPr>
        <w:t xml:space="preserve"> </w:t>
      </w:r>
      <w:r>
        <w:rPr>
          <w:color w:val="231F20"/>
        </w:rPr>
        <w:t>діяльності</w:t>
      </w:r>
      <w:r>
        <w:rPr>
          <w:color w:val="231F20"/>
          <w:spacing w:val="12"/>
        </w:rPr>
        <w:t xml:space="preserve"> </w:t>
      </w:r>
      <w:r>
        <w:rPr>
          <w:color w:val="231F20"/>
        </w:rPr>
        <w:t>та</w:t>
      </w:r>
      <w:r>
        <w:rPr>
          <w:color w:val="231F20"/>
          <w:spacing w:val="12"/>
        </w:rPr>
        <w:t xml:space="preserve"> </w:t>
      </w:r>
      <w:r>
        <w:rPr>
          <w:color w:val="231F20"/>
        </w:rPr>
        <w:t>до</w:t>
      </w:r>
      <w:r>
        <w:rPr>
          <w:color w:val="231F20"/>
          <w:spacing w:val="12"/>
        </w:rPr>
        <w:t xml:space="preserve"> </w:t>
      </w:r>
      <w:r>
        <w:rPr>
          <w:color w:val="231F20"/>
        </w:rPr>
        <w:t>її</w:t>
      </w:r>
      <w:r>
        <w:rPr>
          <w:color w:val="231F20"/>
          <w:spacing w:val="12"/>
        </w:rPr>
        <w:t xml:space="preserve"> </w:t>
      </w:r>
      <w:r>
        <w:rPr>
          <w:color w:val="231F20"/>
        </w:rPr>
        <w:t>припинення.</w:t>
      </w:r>
      <w:r>
        <w:rPr>
          <w:color w:val="231F20"/>
          <w:spacing w:val="12"/>
        </w:rPr>
        <w:t xml:space="preserve"> </w:t>
      </w:r>
      <w:r>
        <w:rPr>
          <w:color w:val="231F20"/>
        </w:rPr>
        <w:t>Крім</w:t>
      </w:r>
    </w:p>
    <w:p w14:paraId="47D61F21" w14:textId="77777777" w:rsidR="00DE575E" w:rsidRDefault="00DE575E">
      <w:pPr>
        <w:pStyle w:val="BodyText"/>
        <w:spacing w:before="6"/>
        <w:rPr>
          <w:sz w:val="12"/>
        </w:rPr>
      </w:pPr>
    </w:p>
    <w:p w14:paraId="7C750409" w14:textId="77777777" w:rsidR="00DE575E" w:rsidRDefault="002E7560">
      <w:pPr>
        <w:spacing w:before="91"/>
        <w:ind w:left="533"/>
        <w:rPr>
          <w:rFonts w:ascii="Times New Roman"/>
          <w:sz w:val="20"/>
        </w:rPr>
      </w:pPr>
      <w:r>
        <w:rPr>
          <w:rFonts w:ascii="Times New Roman"/>
          <w:color w:val="231F20"/>
          <w:sz w:val="20"/>
        </w:rPr>
        <w:t>140</w:t>
      </w:r>
    </w:p>
    <w:p w14:paraId="3028BF50" w14:textId="77777777" w:rsidR="00DE575E" w:rsidRDefault="00DE575E">
      <w:pPr>
        <w:rPr>
          <w:rFonts w:ascii="Times New Roman"/>
          <w:sz w:val="20"/>
        </w:rPr>
        <w:sectPr w:rsidR="00DE575E">
          <w:pgSz w:w="8510" w:h="12760"/>
          <w:pgMar w:top="660" w:right="720" w:bottom="280" w:left="600" w:header="720" w:footer="720" w:gutter="0"/>
          <w:cols w:space="720"/>
        </w:sectPr>
      </w:pPr>
    </w:p>
    <w:p w14:paraId="26402539"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05E0C84A" w14:textId="57AED32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2C0DEB0" wp14:editId="148BF125">
                <wp:extent cx="4140200" cy="6350"/>
                <wp:effectExtent l="0" t="0" r="12700" b="6350"/>
                <wp:docPr id="1060"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61" name="Line 106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CCD181" id="Group_x0020_105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Mzi1/gAIAAJwFAAAO&#10;AAAAAAAAAAAAAAAAACwCAABkcnMvZTJvRG9jLnhtbFBLAQItABQABgAIAAAAIQBMp7CQ2QAAAAMB&#10;AAAPAAAAAAAAAAAAAAAAANgEAABkcnMvZG93bnJldi54bWxQSwUGAAAAAAQABADzAAAA3gUAAAAA&#10;">
                <v:line id="Line_x0020_106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UOvMQAAADdAAAADwAAAGRycy9kb3ducmV2LnhtbERP24rCMBB9F/yHMMK+yJqqIEvXKCIs&#10;LD54637A2IxtMZnUJtrufv1GEHybw7nOfNlZI+7U+MqxgvEoAUGcO11xoeAn+3r/AOEDskbjmBT8&#10;koflot+bY6pdywe6H0MhYgj7FBWUIdSplD4vyaIfuZo4cmfXWAwRNoXUDbYx3Bo5SZKZtFhxbCix&#10;pnVJ+eV4swqy6zCY/W5j2mx3msrTdTv9u22Veht0q08QgbrwEj/d3zrOT2ZjeHwTT5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FQ68xAAAAN0AAAAPAAAAAAAAAAAA&#10;AAAAAKECAABkcnMvZG93bnJldi54bWxQSwUGAAAAAAQABAD5AAAAkgMAAAAA&#10;" strokecolor="#231f20" strokeweight=".5pt"/>
                <w10:anchorlock/>
              </v:group>
            </w:pict>
          </mc:Fallback>
        </mc:AlternateContent>
      </w:r>
    </w:p>
    <w:p w14:paraId="1B70646D" w14:textId="77777777" w:rsidR="00DE575E" w:rsidRDefault="00DE575E">
      <w:pPr>
        <w:pStyle w:val="BodyText"/>
        <w:spacing w:before="7"/>
        <w:rPr>
          <w:rFonts w:ascii="AdonisC"/>
          <w:i/>
          <w:sz w:val="19"/>
        </w:rPr>
      </w:pPr>
    </w:p>
    <w:p w14:paraId="41C95D26" w14:textId="77777777" w:rsidR="00DE575E" w:rsidRDefault="002E7560">
      <w:pPr>
        <w:pStyle w:val="BodyText"/>
        <w:spacing w:before="1" w:line="252" w:lineRule="auto"/>
        <w:ind w:left="250" w:right="410"/>
        <w:jc w:val="both"/>
      </w:pPr>
      <w:r>
        <w:rPr>
          <w:color w:val="231F20"/>
        </w:rPr>
        <w:t xml:space="preserve">того підприємства й установи вступають в адміністративно-правові відносини з </w:t>
      </w:r>
      <w:r>
        <w:rPr>
          <w:color w:val="231F20"/>
          <w:spacing w:val="-3"/>
        </w:rPr>
        <w:t xml:space="preserve">суб’єктами </w:t>
      </w:r>
      <w:r>
        <w:rPr>
          <w:color w:val="231F20"/>
        </w:rPr>
        <w:t>п</w:t>
      </w:r>
      <w:r>
        <w:rPr>
          <w:color w:val="231F20"/>
        </w:rPr>
        <w:t xml:space="preserve">ублічної адміністрації щодо оперативного й бухгалтерського обліку </w:t>
      </w:r>
      <w:r>
        <w:rPr>
          <w:color w:val="231F20"/>
          <w:spacing w:val="-3"/>
        </w:rPr>
        <w:t xml:space="preserve">результатів </w:t>
      </w:r>
      <w:r>
        <w:rPr>
          <w:color w:val="231F20"/>
        </w:rPr>
        <w:t>свої діяльності; статистичної звітності; податків; безпеки виробництва та праці; протипожежної та екологічної безпеки; санітарно-гігієнічних норм і вимог щодо захисту здоров’я їх</w:t>
      </w:r>
      <w:r>
        <w:rPr>
          <w:color w:val="231F20"/>
        </w:rPr>
        <w:t xml:space="preserve"> працівників, населення,  споживачів  продук-  ції; охорони навколишнього середовища від забруднення та інших шкідливих впливів; відшкодування збитків, завданих нераціональ- ним використанням землі та інших природних ресурсів і </w:t>
      </w:r>
      <w:r>
        <w:rPr>
          <w:color w:val="231F20"/>
          <w:spacing w:val="-3"/>
        </w:rPr>
        <w:t xml:space="preserve">забруд- </w:t>
      </w:r>
      <w:r>
        <w:rPr>
          <w:color w:val="231F20"/>
        </w:rPr>
        <w:t xml:space="preserve">нення навколишнього </w:t>
      </w:r>
      <w:r>
        <w:rPr>
          <w:color w:val="231F20"/>
        </w:rPr>
        <w:t>середовища; сплати у відповідних випадках штрафу; створення спеціальних робочих місць для осіб з обмеже- ною</w:t>
      </w:r>
      <w:r>
        <w:rPr>
          <w:color w:val="231F20"/>
          <w:spacing w:val="-10"/>
        </w:rPr>
        <w:t xml:space="preserve"> </w:t>
      </w:r>
      <w:r>
        <w:rPr>
          <w:color w:val="231F20"/>
        </w:rPr>
        <w:t>працездатністю</w:t>
      </w:r>
      <w:r>
        <w:rPr>
          <w:color w:val="231F20"/>
          <w:spacing w:val="-11"/>
        </w:rPr>
        <w:t xml:space="preserve"> </w:t>
      </w:r>
      <w:r>
        <w:rPr>
          <w:color w:val="231F20"/>
        </w:rPr>
        <w:t>та</w:t>
      </w:r>
      <w:r>
        <w:rPr>
          <w:color w:val="231F20"/>
          <w:spacing w:val="-10"/>
        </w:rPr>
        <w:t xml:space="preserve"> </w:t>
      </w:r>
      <w:r>
        <w:rPr>
          <w:color w:val="231F20"/>
        </w:rPr>
        <w:t>організації</w:t>
      </w:r>
      <w:r>
        <w:rPr>
          <w:color w:val="231F20"/>
          <w:spacing w:val="-11"/>
        </w:rPr>
        <w:t xml:space="preserve"> </w:t>
      </w:r>
      <w:r>
        <w:rPr>
          <w:color w:val="231F20"/>
        </w:rPr>
        <w:t>їх</w:t>
      </w:r>
      <w:r>
        <w:rPr>
          <w:color w:val="231F20"/>
          <w:spacing w:val="-10"/>
        </w:rPr>
        <w:t xml:space="preserve"> </w:t>
      </w:r>
      <w:r>
        <w:rPr>
          <w:color w:val="231F20"/>
        </w:rPr>
        <w:t>професійної</w:t>
      </w:r>
      <w:r>
        <w:rPr>
          <w:color w:val="231F20"/>
          <w:spacing w:val="-11"/>
        </w:rPr>
        <w:t xml:space="preserve"> </w:t>
      </w:r>
      <w:r>
        <w:rPr>
          <w:color w:val="231F20"/>
        </w:rPr>
        <w:t>підготовки;</w:t>
      </w:r>
      <w:r>
        <w:rPr>
          <w:color w:val="231F20"/>
          <w:spacing w:val="-11"/>
        </w:rPr>
        <w:t xml:space="preserve"> </w:t>
      </w:r>
      <w:r>
        <w:rPr>
          <w:color w:val="231F20"/>
        </w:rPr>
        <w:t>прове- дення непрофільних робіт у разі стихійного лиха, обставин, пов’яза- них із надзвичайними ситуаціями</w:t>
      </w:r>
      <w:r>
        <w:rPr>
          <w:color w:val="231F20"/>
          <w:spacing w:val="-2"/>
        </w:rPr>
        <w:t xml:space="preserve"> </w:t>
      </w:r>
      <w:r>
        <w:rPr>
          <w:color w:val="231F20"/>
        </w:rPr>
        <w:t>тощо.</w:t>
      </w:r>
    </w:p>
    <w:p w14:paraId="65075371" w14:textId="77777777" w:rsidR="00DE575E" w:rsidRDefault="002E7560">
      <w:pPr>
        <w:pStyle w:val="BodyText"/>
        <w:spacing w:before="7" w:line="252" w:lineRule="auto"/>
        <w:ind w:left="250" w:right="411" w:firstLine="283"/>
        <w:jc w:val="both"/>
      </w:pPr>
      <w:r>
        <w:rPr>
          <w:color w:val="231F20"/>
        </w:rPr>
        <w:t>Крім юридичних осіб приватного права, до зазначеної групи суб’єктів адміністративного права зараховуються також громадські організації та грома</w:t>
      </w:r>
      <w:r>
        <w:rPr>
          <w:color w:val="231F20"/>
        </w:rPr>
        <w:t>дські об’єднання</w:t>
      </w:r>
      <w:r>
        <w:rPr>
          <w:color w:val="231F20"/>
          <w:position w:val="7"/>
          <w:sz w:val="12"/>
        </w:rPr>
        <w:t>1</w:t>
      </w:r>
      <w:r>
        <w:rPr>
          <w:color w:val="231F20"/>
        </w:rPr>
        <w:t>.</w:t>
      </w:r>
    </w:p>
    <w:p w14:paraId="651911AE" w14:textId="77777777" w:rsidR="00DE575E" w:rsidRDefault="002E7560">
      <w:pPr>
        <w:pStyle w:val="BodyText"/>
        <w:spacing w:before="1" w:line="252" w:lineRule="auto"/>
        <w:ind w:left="250" w:right="411" w:firstLine="283"/>
        <w:jc w:val="both"/>
      </w:pPr>
      <w:r>
        <w:rPr>
          <w:color w:val="231F20"/>
        </w:rPr>
        <w:t xml:space="preserve">Їх діяльність ґрунтується на спільності професійних та інших інтересів їх членів і спрямована на участь у розробленні державної політики, розвиток науки, культури, відродження духовних ціннос- тей, розв’язання соціальних проблем окремих </w:t>
      </w:r>
      <w:r>
        <w:rPr>
          <w:color w:val="231F20"/>
        </w:rPr>
        <w:t>категорій і груп громадян, благодійність, охорону навколишнього природного сере- довища тощо.</w:t>
      </w:r>
    </w:p>
    <w:p w14:paraId="0DC8352D" w14:textId="77777777" w:rsidR="00DE575E" w:rsidRDefault="002E7560">
      <w:pPr>
        <w:spacing w:before="3" w:line="252" w:lineRule="auto"/>
        <w:ind w:left="250" w:right="411" w:firstLine="283"/>
        <w:jc w:val="both"/>
        <w:rPr>
          <w:i/>
          <w:sz w:val="21"/>
        </w:rPr>
      </w:pPr>
      <w:r>
        <w:rPr>
          <w:i/>
          <w:color w:val="231F20"/>
          <w:sz w:val="21"/>
        </w:rPr>
        <w:t>Взаємовідносини держави і громадських об’єднань значною мірою регулюються нормами адміністративного права, які визначають адміністративно-правовий статус громадсь</w:t>
      </w:r>
      <w:r>
        <w:rPr>
          <w:i/>
          <w:color w:val="231F20"/>
          <w:sz w:val="21"/>
        </w:rPr>
        <w:t>ких об’єднань, а саме сукупність прав та обов’язків, які реалізуються в адміністративних правовідносинах, що виникають між об’єднаннями громадян і суб’єк- тами публічної адміністрації.</w:t>
      </w:r>
    </w:p>
    <w:p w14:paraId="54ACC794" w14:textId="77777777" w:rsidR="00DE575E" w:rsidRDefault="002E7560">
      <w:pPr>
        <w:pStyle w:val="BodyText"/>
        <w:spacing w:before="3" w:line="252" w:lineRule="auto"/>
        <w:ind w:left="250" w:right="411" w:firstLine="283"/>
        <w:jc w:val="both"/>
      </w:pPr>
      <w:r>
        <w:rPr>
          <w:b/>
          <w:color w:val="231F20"/>
        </w:rPr>
        <w:t xml:space="preserve">Громадські об’єднання </w:t>
      </w:r>
      <w:r>
        <w:rPr>
          <w:color w:val="231F20"/>
        </w:rPr>
        <w:t>відповідно до Закону України «Про громадські об’єднання» поділяються на громадські організації та громадські спілки.</w:t>
      </w:r>
    </w:p>
    <w:p w14:paraId="03715681" w14:textId="77777777" w:rsidR="00DE575E" w:rsidRDefault="002E7560">
      <w:pPr>
        <w:spacing w:before="1" w:line="252" w:lineRule="auto"/>
        <w:ind w:left="250" w:right="411" w:firstLine="283"/>
        <w:jc w:val="both"/>
        <w:rPr>
          <w:sz w:val="21"/>
        </w:rPr>
      </w:pPr>
      <w:r>
        <w:rPr>
          <w:b/>
          <w:i/>
          <w:color w:val="231F20"/>
          <w:sz w:val="21"/>
        </w:rPr>
        <w:t xml:space="preserve">Громадська організація </w:t>
      </w:r>
      <w:r>
        <w:rPr>
          <w:color w:val="231F20"/>
          <w:sz w:val="21"/>
        </w:rPr>
        <w:t>– це громадське об’єднання, засновни- ками та членами (учасниками) якого є фізичні особи.</w:t>
      </w:r>
    </w:p>
    <w:p w14:paraId="2E104F42" w14:textId="77777777" w:rsidR="00DE575E" w:rsidRDefault="002E7560">
      <w:pPr>
        <w:pStyle w:val="BodyText"/>
        <w:spacing w:before="1" w:line="252" w:lineRule="auto"/>
        <w:ind w:left="250" w:right="410" w:firstLine="283"/>
        <w:jc w:val="both"/>
      </w:pPr>
      <w:r>
        <w:rPr>
          <w:b/>
          <w:i/>
          <w:color w:val="231F20"/>
        </w:rPr>
        <w:t xml:space="preserve">Громадська спілка </w:t>
      </w:r>
      <w:r>
        <w:rPr>
          <w:color w:val="231F20"/>
        </w:rPr>
        <w:t>– це гро</w:t>
      </w:r>
      <w:r>
        <w:rPr>
          <w:color w:val="231F20"/>
        </w:rPr>
        <w:t>мадське об’єднання, засновниками якого є юридичні особи приватного права, а членами (учасниками) можуть бути юридичні особи приватного права й фізичні особи.</w:t>
      </w:r>
    </w:p>
    <w:p w14:paraId="42BD59E3" w14:textId="36EDAC59" w:rsidR="00DE575E" w:rsidRDefault="002E7560">
      <w:pPr>
        <w:pStyle w:val="BodyText"/>
        <w:spacing w:before="4"/>
        <w:rPr>
          <w:sz w:val="24"/>
        </w:rPr>
      </w:pPr>
      <w:r>
        <w:rPr>
          <w:noProof/>
        </w:rPr>
        <mc:AlternateContent>
          <mc:Choice Requires="wps">
            <w:drawing>
              <wp:anchor distT="0" distB="0" distL="0" distR="0" simplePos="0" relativeHeight="6016" behindDoc="0" locked="0" layoutInCell="1" allowOverlap="1" wp14:anchorId="274388DA" wp14:editId="1B2A0AD1">
                <wp:simplePos x="0" y="0"/>
                <wp:positionH relativeFrom="page">
                  <wp:posOffset>539750</wp:posOffset>
                </wp:positionH>
                <wp:positionV relativeFrom="paragraph">
                  <wp:posOffset>209550</wp:posOffset>
                </wp:positionV>
                <wp:extent cx="1080135" cy="0"/>
                <wp:effectExtent l="6350" t="19050" r="31115" b="19050"/>
                <wp:wrapTopAndBottom/>
                <wp:docPr id="1059"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0D1C" id="Line_x0020_1058" o:spid="_x0000_s1026" style="position:absolute;z-index: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pt" to="127.5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" strokecolor="#231f20" strokeweight=".5pt">
                <w10:wrap type="topAndBottom" anchorx="page"/>
              </v:line>
            </w:pict>
          </mc:Fallback>
        </mc:AlternateContent>
      </w:r>
    </w:p>
    <w:p w14:paraId="752E3B2B" w14:textId="77777777" w:rsidR="00DE575E" w:rsidRDefault="002E7560">
      <w:pPr>
        <w:spacing w:line="162" w:lineRule="exact"/>
        <w:ind w:left="250"/>
        <w:rPr>
          <w:sz w:val="16"/>
        </w:rPr>
      </w:pPr>
      <w:r>
        <w:rPr>
          <w:color w:val="231F20"/>
          <w:position w:val="5"/>
          <w:sz w:val="9"/>
        </w:rPr>
        <w:t xml:space="preserve">1 </w:t>
      </w:r>
      <w:r>
        <w:rPr>
          <w:color w:val="231F20"/>
          <w:sz w:val="16"/>
        </w:rPr>
        <w:t>Про громадські об’єднання. Закон від 22.03 2012 р. № 4572-VI.</w:t>
      </w:r>
    </w:p>
    <w:p w14:paraId="09A0DB6F" w14:textId="77777777" w:rsidR="00DE575E" w:rsidRDefault="00DE575E">
      <w:pPr>
        <w:pStyle w:val="BodyText"/>
        <w:spacing w:before="10"/>
        <w:rPr>
          <w:sz w:val="11"/>
        </w:rPr>
      </w:pPr>
    </w:p>
    <w:p w14:paraId="7B0ED9B5" w14:textId="77777777" w:rsidR="00DE575E" w:rsidRDefault="002E7560">
      <w:pPr>
        <w:spacing w:before="92"/>
        <w:ind w:right="411"/>
        <w:jc w:val="right"/>
        <w:rPr>
          <w:rFonts w:ascii="Times New Roman"/>
          <w:sz w:val="20"/>
        </w:rPr>
      </w:pPr>
      <w:r>
        <w:rPr>
          <w:rFonts w:ascii="Times New Roman"/>
          <w:color w:val="231F20"/>
          <w:w w:val="90"/>
          <w:sz w:val="20"/>
        </w:rPr>
        <w:t>141</w:t>
      </w:r>
    </w:p>
    <w:p w14:paraId="03C2F14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8AF532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9163D56" w14:textId="6A43CD3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4E5CBC4" wp14:editId="4021C307">
                <wp:extent cx="4140200" cy="6350"/>
                <wp:effectExtent l="0" t="0" r="12700" b="6350"/>
                <wp:docPr id="1057"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58" name="Line 10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EBB249" id="Group_x0020_10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GvmoygAIAAJwFAAAO&#10;AAAAAAAAAAAAAAAAACwCAABkcnMvZTJvRG9jLnhtbFBLAQItABQABgAIAAAAIQBMp7CQ2QAAAAMB&#10;AAAPAAAAAAAAAAAAAAAAANgEAABkcnMvZG93bnJldi54bWxQSwUGAAAAAAQABADzAAAA3gUAAAAA&#10;">
                <v:line id="Line_x0020_10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NtnMgAAADdAAAADwAAAGRycy9kb3ducmV2LnhtbESPQUvDQBCF74L/YRmhF7GbtigSuy1S&#10;EMRDaxN/wDQ7JsHd2TS7bWJ/fecgeJvhvXnvm+V69E6dqY9tYAOzaQaKuAq25drAV/n28AwqJmSL&#10;LjAZ+KUI69XtzRJzGwbe07lItZIQjjkaaFLqcq1j1ZDHOA0dsWjfofeYZO1rbXscJNw7Pc+yJ+2x&#10;ZWlosKNNQ9VPcfIGyuN9cp+7DzeUu8NCH47bxeW0NWZyN76+gEo0pn/z3/W7FfzsUXDlGxlBr6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UNtnMgAAADdAAAADwAAAAAA&#10;AAAAAAAAAAChAgAAZHJzL2Rvd25yZXYueG1sUEsFBgAAAAAEAAQA+QAAAJYDAAAAAA==&#10;" strokecolor="#231f20" strokeweight=".5pt"/>
                <w10:anchorlock/>
              </v:group>
            </w:pict>
          </mc:Fallback>
        </mc:AlternateContent>
      </w:r>
    </w:p>
    <w:p w14:paraId="553BE63B" w14:textId="77777777" w:rsidR="00DE575E" w:rsidRDefault="00DE575E">
      <w:pPr>
        <w:pStyle w:val="BodyText"/>
        <w:spacing w:before="7"/>
        <w:rPr>
          <w:rFonts w:ascii="AdonisC"/>
          <w:i/>
          <w:sz w:val="11"/>
        </w:rPr>
      </w:pPr>
    </w:p>
    <w:p w14:paraId="75FC450A" w14:textId="77777777" w:rsidR="00DE575E" w:rsidRDefault="002E7560">
      <w:pPr>
        <w:pStyle w:val="BodyText"/>
        <w:spacing w:before="101" w:line="252" w:lineRule="auto"/>
        <w:ind w:left="533" w:right="130" w:firstLine="283"/>
        <w:jc w:val="both"/>
      </w:pPr>
      <w:r>
        <w:rPr>
          <w:color w:val="231F20"/>
        </w:rPr>
        <w:t>Учасниками адміністративно-правових відносин можуть бути також політичні партії.</w:t>
      </w:r>
    </w:p>
    <w:p w14:paraId="69F18824" w14:textId="77777777" w:rsidR="00DE575E" w:rsidRDefault="002E7560">
      <w:pPr>
        <w:pStyle w:val="BodyText"/>
        <w:spacing w:before="1" w:line="252" w:lineRule="auto"/>
        <w:ind w:left="533" w:right="127" w:firstLine="283"/>
        <w:jc w:val="both"/>
      </w:pPr>
      <w:r>
        <w:rPr>
          <w:i/>
          <w:color w:val="231F20"/>
        </w:rPr>
        <w:t xml:space="preserve">Політичною партією </w:t>
      </w:r>
      <w:r>
        <w:rPr>
          <w:color w:val="231F20"/>
        </w:rPr>
        <w:t xml:space="preserve">на підставі Закону </w:t>
      </w:r>
      <w:r>
        <w:rPr>
          <w:color w:val="231F20"/>
          <w:spacing w:val="-3"/>
        </w:rPr>
        <w:t xml:space="preserve">України </w:t>
      </w:r>
      <w:r>
        <w:rPr>
          <w:color w:val="231F20"/>
        </w:rPr>
        <w:t>«Про політичні партії</w:t>
      </w:r>
      <w:r>
        <w:rPr>
          <w:color w:val="231F20"/>
          <w:spacing w:val="-7"/>
        </w:rPr>
        <w:t xml:space="preserve"> </w:t>
      </w:r>
      <w:r>
        <w:rPr>
          <w:color w:val="231F20"/>
        </w:rPr>
        <w:t>в</w:t>
      </w:r>
      <w:r>
        <w:rPr>
          <w:color w:val="231F20"/>
          <w:spacing w:val="-7"/>
        </w:rPr>
        <w:t xml:space="preserve"> </w:t>
      </w:r>
      <w:r>
        <w:rPr>
          <w:color w:val="231F20"/>
          <w:spacing w:val="-3"/>
        </w:rPr>
        <w:t>Україні»</w:t>
      </w:r>
      <w:r>
        <w:rPr>
          <w:color w:val="231F20"/>
          <w:spacing w:val="-7"/>
        </w:rPr>
        <w:t xml:space="preserve"> </w:t>
      </w:r>
      <w:r>
        <w:rPr>
          <w:color w:val="231F20"/>
        </w:rPr>
        <w:t>визнається</w:t>
      </w:r>
      <w:r>
        <w:rPr>
          <w:color w:val="231F20"/>
          <w:spacing w:val="-7"/>
        </w:rPr>
        <w:t xml:space="preserve"> </w:t>
      </w:r>
      <w:r>
        <w:rPr>
          <w:color w:val="231F20"/>
        </w:rPr>
        <w:t>зареєстроване</w:t>
      </w:r>
      <w:r>
        <w:rPr>
          <w:color w:val="231F20"/>
          <w:spacing w:val="-7"/>
        </w:rPr>
        <w:t xml:space="preserve"> </w:t>
      </w:r>
      <w:r>
        <w:rPr>
          <w:color w:val="231F20"/>
        </w:rPr>
        <w:t>згідно</w:t>
      </w:r>
      <w:r>
        <w:rPr>
          <w:color w:val="231F20"/>
          <w:spacing w:val="-7"/>
        </w:rPr>
        <w:t xml:space="preserve"> </w:t>
      </w:r>
      <w:r>
        <w:rPr>
          <w:color w:val="231F20"/>
        </w:rPr>
        <w:t>із</w:t>
      </w:r>
      <w:r>
        <w:rPr>
          <w:color w:val="231F20"/>
          <w:spacing w:val="-7"/>
        </w:rPr>
        <w:t xml:space="preserve"> </w:t>
      </w:r>
      <w:r>
        <w:rPr>
          <w:color w:val="231F20"/>
        </w:rPr>
        <w:t xml:space="preserve">законодавством </w:t>
      </w:r>
      <w:r>
        <w:rPr>
          <w:color w:val="231F20"/>
          <w:spacing w:val="-3"/>
        </w:rPr>
        <w:t xml:space="preserve">України </w:t>
      </w:r>
      <w:r>
        <w:rPr>
          <w:color w:val="231F20"/>
        </w:rPr>
        <w:t xml:space="preserve">добровільне </w:t>
      </w:r>
      <w:r>
        <w:rPr>
          <w:color w:val="231F20"/>
          <w:spacing w:val="-3"/>
        </w:rPr>
        <w:t xml:space="preserve">об’єднання </w:t>
      </w:r>
      <w:r>
        <w:rPr>
          <w:color w:val="231F20"/>
        </w:rPr>
        <w:t xml:space="preserve">громадян – прихильників певної загальнонаціональної програми суспільного </w:t>
      </w:r>
      <w:r>
        <w:rPr>
          <w:color w:val="231F20"/>
          <w:spacing w:val="-3"/>
        </w:rPr>
        <w:t xml:space="preserve">розвитку, </w:t>
      </w:r>
      <w:r>
        <w:rPr>
          <w:color w:val="231F20"/>
        </w:rPr>
        <w:t>що має на меті сприяння формуванню й вираженню політичної в</w:t>
      </w:r>
      <w:r>
        <w:rPr>
          <w:color w:val="231F20"/>
        </w:rPr>
        <w:t>олі</w:t>
      </w:r>
      <w:r>
        <w:rPr>
          <w:color w:val="231F20"/>
          <w:spacing w:val="-27"/>
        </w:rPr>
        <w:t xml:space="preserve"> </w:t>
      </w:r>
      <w:r>
        <w:rPr>
          <w:color w:val="231F20"/>
        </w:rPr>
        <w:t>громадян, бере участь у виборах та інших політичних</w:t>
      </w:r>
      <w:r>
        <w:rPr>
          <w:color w:val="231F20"/>
          <w:spacing w:val="-9"/>
        </w:rPr>
        <w:t xml:space="preserve"> </w:t>
      </w:r>
      <w:r>
        <w:rPr>
          <w:color w:val="231F20"/>
        </w:rPr>
        <w:t>заходах.</w:t>
      </w:r>
    </w:p>
    <w:p w14:paraId="7200C27D" w14:textId="77777777" w:rsidR="00DE575E" w:rsidRDefault="002E7560">
      <w:pPr>
        <w:pStyle w:val="BodyText"/>
        <w:spacing w:before="3" w:line="252" w:lineRule="auto"/>
        <w:ind w:left="533" w:right="126" w:firstLine="283"/>
        <w:jc w:val="both"/>
      </w:pPr>
      <w:r>
        <w:rPr>
          <w:color w:val="231F20"/>
        </w:rPr>
        <w:t xml:space="preserve">За спільними професійними інтересами громадяни можуть ство- рювати профспілки. Відповідно до Закону </w:t>
      </w:r>
      <w:r>
        <w:rPr>
          <w:color w:val="231F20"/>
          <w:spacing w:val="-3"/>
        </w:rPr>
        <w:t xml:space="preserve">України </w:t>
      </w:r>
      <w:r>
        <w:rPr>
          <w:color w:val="231F20"/>
        </w:rPr>
        <w:t>«Про професійні спілки,</w:t>
      </w:r>
      <w:r>
        <w:rPr>
          <w:color w:val="231F20"/>
          <w:spacing w:val="-10"/>
        </w:rPr>
        <w:t xml:space="preserve"> </w:t>
      </w:r>
      <w:r>
        <w:rPr>
          <w:color w:val="231F20"/>
        </w:rPr>
        <w:t>їх</w:t>
      </w:r>
      <w:r>
        <w:rPr>
          <w:color w:val="231F20"/>
          <w:spacing w:val="-10"/>
        </w:rPr>
        <w:t xml:space="preserve"> </w:t>
      </w:r>
      <w:r>
        <w:rPr>
          <w:color w:val="231F20"/>
        </w:rPr>
        <w:t>права</w:t>
      </w:r>
      <w:r>
        <w:rPr>
          <w:color w:val="231F20"/>
          <w:spacing w:val="-10"/>
        </w:rPr>
        <w:t xml:space="preserve"> </w:t>
      </w:r>
      <w:r>
        <w:rPr>
          <w:color w:val="231F20"/>
        </w:rPr>
        <w:t>та</w:t>
      </w:r>
      <w:r>
        <w:rPr>
          <w:color w:val="231F20"/>
          <w:spacing w:val="-10"/>
        </w:rPr>
        <w:t xml:space="preserve"> </w:t>
      </w:r>
      <w:r>
        <w:rPr>
          <w:color w:val="231F20"/>
        </w:rPr>
        <w:t>гарантії</w:t>
      </w:r>
      <w:r>
        <w:rPr>
          <w:color w:val="231F20"/>
          <w:spacing w:val="-10"/>
        </w:rPr>
        <w:t xml:space="preserve"> </w:t>
      </w:r>
      <w:r>
        <w:rPr>
          <w:color w:val="231F20"/>
        </w:rPr>
        <w:t>діяльності»</w:t>
      </w:r>
      <w:r>
        <w:rPr>
          <w:color w:val="231F20"/>
          <w:spacing w:val="-11"/>
        </w:rPr>
        <w:t xml:space="preserve"> </w:t>
      </w:r>
      <w:r>
        <w:rPr>
          <w:color w:val="231F20"/>
        </w:rPr>
        <w:t>професійна</w:t>
      </w:r>
      <w:r>
        <w:rPr>
          <w:color w:val="231F20"/>
          <w:spacing w:val="-10"/>
        </w:rPr>
        <w:t xml:space="preserve"> </w:t>
      </w:r>
      <w:r>
        <w:rPr>
          <w:color w:val="231F20"/>
        </w:rPr>
        <w:t>спілка</w:t>
      </w:r>
      <w:r>
        <w:rPr>
          <w:color w:val="231F20"/>
          <w:spacing w:val="-10"/>
        </w:rPr>
        <w:t xml:space="preserve"> </w:t>
      </w:r>
      <w:r>
        <w:rPr>
          <w:color w:val="231F20"/>
        </w:rPr>
        <w:t>–</w:t>
      </w:r>
      <w:r>
        <w:rPr>
          <w:color w:val="231F20"/>
          <w:spacing w:val="-10"/>
        </w:rPr>
        <w:t xml:space="preserve"> </w:t>
      </w:r>
      <w:r>
        <w:rPr>
          <w:color w:val="231F20"/>
        </w:rPr>
        <w:t>це</w:t>
      </w:r>
      <w:r>
        <w:rPr>
          <w:color w:val="231F20"/>
          <w:spacing w:val="-10"/>
        </w:rPr>
        <w:t xml:space="preserve"> </w:t>
      </w:r>
      <w:r>
        <w:rPr>
          <w:color w:val="231F20"/>
        </w:rPr>
        <w:t xml:space="preserve">добро- вільна неприбуткова громадська організація, що </w:t>
      </w:r>
      <w:r>
        <w:rPr>
          <w:color w:val="231F20"/>
          <w:spacing w:val="-4"/>
        </w:rPr>
        <w:t xml:space="preserve">об’єднує </w:t>
      </w:r>
      <w:r>
        <w:rPr>
          <w:color w:val="231F20"/>
        </w:rPr>
        <w:t>громадян, пов’язаних спільними інтересами за родом їх професійної</w:t>
      </w:r>
      <w:r>
        <w:rPr>
          <w:color w:val="231F20"/>
          <w:spacing w:val="-31"/>
        </w:rPr>
        <w:t xml:space="preserve"> </w:t>
      </w:r>
      <w:r>
        <w:rPr>
          <w:color w:val="231F20"/>
          <w:spacing w:val="-3"/>
        </w:rPr>
        <w:t xml:space="preserve">(трудової) </w:t>
      </w:r>
      <w:r>
        <w:rPr>
          <w:color w:val="231F20"/>
        </w:rPr>
        <w:t>діяльності</w:t>
      </w:r>
      <w:r>
        <w:rPr>
          <w:color w:val="231F20"/>
          <w:spacing w:val="-2"/>
        </w:rPr>
        <w:t xml:space="preserve"> </w:t>
      </w:r>
      <w:r>
        <w:rPr>
          <w:color w:val="231F20"/>
        </w:rPr>
        <w:t>(навчання).</w:t>
      </w:r>
    </w:p>
    <w:p w14:paraId="22322774" w14:textId="77777777" w:rsidR="00DE575E" w:rsidRDefault="002E7560">
      <w:pPr>
        <w:pStyle w:val="BodyText"/>
        <w:spacing w:before="3" w:line="252" w:lineRule="auto"/>
        <w:ind w:left="533" w:right="128" w:firstLine="283"/>
        <w:jc w:val="both"/>
      </w:pPr>
      <w:r>
        <w:rPr>
          <w:color w:val="231F20"/>
        </w:rPr>
        <w:t>Різновидом об’єднань громадян можна вважати органи самоор- ганізації населення, діяльність як</w:t>
      </w:r>
      <w:r>
        <w:rPr>
          <w:color w:val="231F20"/>
        </w:rPr>
        <w:t>их регулюється законами України</w:t>
      </w:r>
    </w:p>
    <w:p w14:paraId="7920524C" w14:textId="77777777" w:rsidR="00DE575E" w:rsidRDefault="002E7560">
      <w:pPr>
        <w:pStyle w:val="BodyText"/>
        <w:spacing w:before="1" w:line="252" w:lineRule="auto"/>
        <w:ind w:left="533" w:right="126"/>
        <w:jc w:val="both"/>
      </w:pPr>
      <w:r>
        <w:rPr>
          <w:color w:val="231F20"/>
        </w:rPr>
        <w:t xml:space="preserve">«Про місцеве самоврядування в </w:t>
      </w:r>
      <w:r>
        <w:rPr>
          <w:color w:val="231F20"/>
          <w:spacing w:val="-3"/>
        </w:rPr>
        <w:t xml:space="preserve">Україні» </w:t>
      </w:r>
      <w:r>
        <w:rPr>
          <w:color w:val="231F20"/>
        </w:rPr>
        <w:t xml:space="preserve">і «Про органи самооргані- зації населення». Відповідно до положень означених законів органи самоорганізації населення є однією з форм участі членів територі- альних громад сіл, селищ, </w:t>
      </w:r>
      <w:r>
        <w:rPr>
          <w:color w:val="231F20"/>
          <w:spacing w:val="-4"/>
        </w:rPr>
        <w:t>м</w:t>
      </w:r>
      <w:r>
        <w:rPr>
          <w:color w:val="231F20"/>
          <w:spacing w:val="-4"/>
        </w:rPr>
        <w:t xml:space="preserve">іст, </w:t>
      </w:r>
      <w:r>
        <w:rPr>
          <w:color w:val="231F20"/>
        </w:rPr>
        <w:t>районів у містах у вирішенні окре- мих питань місцевого значення. Органи самоорганізації населення є представницькими органами, що створюються за ініціативи жите- лів у вигляді будинкових, вуличних, квартальних та інших органів самоорганізації</w:t>
      </w:r>
      <w:r>
        <w:rPr>
          <w:color w:val="231F20"/>
          <w:spacing w:val="-1"/>
        </w:rPr>
        <w:t xml:space="preserve"> </w:t>
      </w:r>
      <w:r>
        <w:rPr>
          <w:color w:val="231F20"/>
        </w:rPr>
        <w:t>населен</w:t>
      </w:r>
      <w:r>
        <w:rPr>
          <w:color w:val="231F20"/>
        </w:rPr>
        <w:t>ня.</w:t>
      </w:r>
    </w:p>
    <w:p w14:paraId="6802208C" w14:textId="77777777" w:rsidR="00DE575E" w:rsidRDefault="002E7560">
      <w:pPr>
        <w:pStyle w:val="BodyText"/>
        <w:spacing w:before="3" w:line="252" w:lineRule="auto"/>
        <w:ind w:left="533" w:right="127" w:firstLine="283"/>
        <w:jc w:val="both"/>
      </w:pPr>
      <w:r>
        <w:rPr>
          <w:color w:val="231F20"/>
        </w:rPr>
        <w:t>Реалізація</w:t>
      </w:r>
      <w:r>
        <w:rPr>
          <w:color w:val="231F20"/>
          <w:spacing w:val="-10"/>
        </w:rPr>
        <w:t xml:space="preserve"> </w:t>
      </w:r>
      <w:r>
        <w:rPr>
          <w:color w:val="231F20"/>
        </w:rPr>
        <w:t>громадянами</w:t>
      </w:r>
      <w:r>
        <w:rPr>
          <w:color w:val="231F20"/>
          <w:spacing w:val="-10"/>
        </w:rPr>
        <w:t xml:space="preserve"> </w:t>
      </w:r>
      <w:r>
        <w:rPr>
          <w:color w:val="231F20"/>
        </w:rPr>
        <w:t>гарантій</w:t>
      </w:r>
      <w:r>
        <w:rPr>
          <w:color w:val="231F20"/>
          <w:spacing w:val="-10"/>
        </w:rPr>
        <w:t xml:space="preserve"> </w:t>
      </w:r>
      <w:r>
        <w:rPr>
          <w:color w:val="231F20"/>
          <w:spacing w:val="-6"/>
        </w:rPr>
        <w:t>ст.</w:t>
      </w:r>
      <w:r>
        <w:rPr>
          <w:color w:val="231F20"/>
          <w:spacing w:val="-8"/>
        </w:rPr>
        <w:t xml:space="preserve"> </w:t>
      </w:r>
      <w:r>
        <w:rPr>
          <w:color w:val="231F20"/>
        </w:rPr>
        <w:t>35</w:t>
      </w:r>
      <w:r>
        <w:rPr>
          <w:color w:val="231F20"/>
          <w:spacing w:val="-10"/>
        </w:rPr>
        <w:t xml:space="preserve"> </w:t>
      </w:r>
      <w:r>
        <w:rPr>
          <w:color w:val="231F20"/>
        </w:rPr>
        <w:t>Конституції</w:t>
      </w:r>
      <w:r>
        <w:rPr>
          <w:color w:val="231F20"/>
          <w:spacing w:val="-10"/>
        </w:rPr>
        <w:t xml:space="preserve"> </w:t>
      </w:r>
      <w:r>
        <w:rPr>
          <w:color w:val="231F20"/>
          <w:spacing w:val="-3"/>
        </w:rPr>
        <w:t>України</w:t>
      </w:r>
      <w:r>
        <w:rPr>
          <w:color w:val="231F20"/>
          <w:spacing w:val="-10"/>
        </w:rPr>
        <w:t xml:space="preserve"> </w:t>
      </w:r>
      <w:r>
        <w:rPr>
          <w:color w:val="231F20"/>
        </w:rPr>
        <w:t xml:space="preserve">щодо свободи світогляду і віросповідання породжує суспільні відносини, значна частина яких має правовий характер. </w:t>
      </w:r>
      <w:r>
        <w:rPr>
          <w:color w:val="231F20"/>
          <w:spacing w:val="-4"/>
        </w:rPr>
        <w:t xml:space="preserve">Так, </w:t>
      </w:r>
      <w:r>
        <w:rPr>
          <w:color w:val="231F20"/>
        </w:rPr>
        <w:t>закріплене в цій статті</w:t>
      </w:r>
      <w:r>
        <w:rPr>
          <w:color w:val="231F20"/>
          <w:spacing w:val="-13"/>
        </w:rPr>
        <w:t xml:space="preserve"> </w:t>
      </w:r>
      <w:r>
        <w:rPr>
          <w:color w:val="231F20"/>
        </w:rPr>
        <w:t>право</w:t>
      </w:r>
      <w:r>
        <w:rPr>
          <w:color w:val="231F20"/>
          <w:spacing w:val="-13"/>
        </w:rPr>
        <w:t xml:space="preserve"> </w:t>
      </w:r>
      <w:r>
        <w:rPr>
          <w:color w:val="231F20"/>
        </w:rPr>
        <w:t>громадян</w:t>
      </w:r>
      <w:r>
        <w:rPr>
          <w:color w:val="231F20"/>
          <w:spacing w:val="-13"/>
        </w:rPr>
        <w:t xml:space="preserve"> </w:t>
      </w:r>
      <w:r>
        <w:rPr>
          <w:color w:val="231F20"/>
        </w:rPr>
        <w:t>на</w:t>
      </w:r>
      <w:r>
        <w:rPr>
          <w:color w:val="231F20"/>
          <w:spacing w:val="-13"/>
        </w:rPr>
        <w:t xml:space="preserve"> </w:t>
      </w:r>
      <w:r>
        <w:rPr>
          <w:color w:val="231F20"/>
        </w:rPr>
        <w:t>відправлення</w:t>
      </w:r>
      <w:r>
        <w:rPr>
          <w:color w:val="231F20"/>
          <w:spacing w:val="-13"/>
        </w:rPr>
        <w:t xml:space="preserve"> </w:t>
      </w:r>
      <w:r>
        <w:rPr>
          <w:color w:val="231F20"/>
        </w:rPr>
        <w:t>релігійних</w:t>
      </w:r>
      <w:r>
        <w:rPr>
          <w:color w:val="231F20"/>
          <w:spacing w:val="-13"/>
        </w:rPr>
        <w:t xml:space="preserve"> </w:t>
      </w:r>
      <w:r>
        <w:rPr>
          <w:color w:val="231F20"/>
          <w:spacing w:val="-4"/>
        </w:rPr>
        <w:t>культів</w:t>
      </w:r>
      <w:r>
        <w:rPr>
          <w:color w:val="231F20"/>
          <w:spacing w:val="-13"/>
        </w:rPr>
        <w:t xml:space="preserve"> </w:t>
      </w:r>
      <w:r>
        <w:rPr>
          <w:color w:val="231F20"/>
        </w:rPr>
        <w:t>і</w:t>
      </w:r>
      <w:r>
        <w:rPr>
          <w:color w:val="231F20"/>
          <w:spacing w:val="-11"/>
        </w:rPr>
        <w:t xml:space="preserve"> </w:t>
      </w:r>
      <w:r>
        <w:rPr>
          <w:color w:val="231F20"/>
        </w:rPr>
        <w:t>ритуаль- них обрядів, на релігійну діяльність зумовлює створення та діяль- ність різних релігійних організацій – релігійних товариств, управ- лінь, центрів, монастирів, релігійних братств, духовних навчальних закладів тощо, які становлять собою стійкі ор</w:t>
      </w:r>
      <w:r>
        <w:rPr>
          <w:color w:val="231F20"/>
        </w:rPr>
        <w:t>ганізаційні утворення зі специфічними цілями та конкретними способами їх</w:t>
      </w:r>
      <w:r>
        <w:rPr>
          <w:color w:val="231F20"/>
          <w:spacing w:val="-15"/>
        </w:rPr>
        <w:t xml:space="preserve"> </w:t>
      </w:r>
      <w:r>
        <w:rPr>
          <w:color w:val="231F20"/>
        </w:rPr>
        <w:t>досягнення.</w:t>
      </w:r>
    </w:p>
    <w:p w14:paraId="34A78D47" w14:textId="77777777" w:rsidR="00DE575E" w:rsidRDefault="002E7560">
      <w:pPr>
        <w:pStyle w:val="BodyText"/>
        <w:spacing w:before="5" w:line="252" w:lineRule="auto"/>
        <w:ind w:left="533" w:right="127" w:firstLine="283"/>
        <w:jc w:val="both"/>
      </w:pPr>
      <w:r>
        <w:rPr>
          <w:color w:val="231F20"/>
        </w:rPr>
        <w:t>Сутність правового регулювання стосунків держави і релігійних організацій полягає в тому, що держава та суб’єкти публічної адмі- ністрації не користуються методами державн</w:t>
      </w:r>
      <w:r>
        <w:rPr>
          <w:color w:val="231F20"/>
        </w:rPr>
        <w:t>о-правового конт- ролю або примусу при визначенні громадянами свого ставлення до релігії, не втручаються в релігійну діяльність організацій віруючих, якщо ті не порушують законів держави та встановленого порядку,</w:t>
      </w:r>
    </w:p>
    <w:p w14:paraId="1AE39E48" w14:textId="77777777" w:rsidR="00DE575E" w:rsidRDefault="00DE575E">
      <w:pPr>
        <w:pStyle w:val="BodyText"/>
        <w:spacing w:before="7"/>
        <w:rPr>
          <w:sz w:val="12"/>
        </w:rPr>
      </w:pPr>
    </w:p>
    <w:p w14:paraId="293C008E" w14:textId="77777777" w:rsidR="00DE575E" w:rsidRDefault="002E7560">
      <w:pPr>
        <w:spacing w:before="92"/>
        <w:ind w:left="533"/>
        <w:rPr>
          <w:rFonts w:ascii="Times New Roman"/>
          <w:sz w:val="20"/>
        </w:rPr>
      </w:pPr>
      <w:r>
        <w:rPr>
          <w:rFonts w:ascii="Times New Roman"/>
          <w:color w:val="231F20"/>
          <w:sz w:val="20"/>
        </w:rPr>
        <w:t>142</w:t>
      </w:r>
    </w:p>
    <w:p w14:paraId="7DEE1D9A" w14:textId="77777777" w:rsidR="00DE575E" w:rsidRDefault="00DE575E">
      <w:pPr>
        <w:rPr>
          <w:rFonts w:ascii="Times New Roman"/>
          <w:sz w:val="20"/>
        </w:rPr>
        <w:sectPr w:rsidR="00DE575E">
          <w:pgSz w:w="8510" w:h="12760"/>
          <w:pgMar w:top="660" w:right="720" w:bottom="280" w:left="600" w:header="720" w:footer="720" w:gutter="0"/>
          <w:cols w:space="720"/>
        </w:sectPr>
      </w:pPr>
    </w:p>
    <w:p w14:paraId="32F28ADE" w14:textId="77777777" w:rsidR="00DE575E" w:rsidRDefault="002E7560">
      <w:pPr>
        <w:spacing w:before="72" w:line="249" w:lineRule="auto"/>
        <w:ind w:left="1683" w:right="411" w:firstLine="1746"/>
        <w:jc w:val="right"/>
        <w:rPr>
          <w:rFonts w:ascii="AdonisC" w:hAnsi="AdonisC"/>
          <w:i/>
          <w:sz w:val="18"/>
        </w:rPr>
      </w:pPr>
      <w:r>
        <w:rPr>
          <w:rFonts w:ascii="AdonisC" w:hAnsi="AdonisC"/>
          <w:i/>
          <w:color w:val="231F20"/>
          <w:sz w:val="18"/>
        </w:rPr>
        <w:t>Глава І. Загальне адміні</w:t>
      </w:r>
      <w:r>
        <w:rPr>
          <w:rFonts w:ascii="AdonisC" w:hAnsi="AdonisC"/>
          <w:i/>
          <w:color w:val="231F20"/>
          <w:sz w:val="18"/>
        </w:rPr>
        <w:t>стративне право Розділ 5. Приватна особа як суб’єкт адміністративного права</w:t>
      </w:r>
    </w:p>
    <w:p w14:paraId="1DC62C1C" w14:textId="7CBC77F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2F2A67D" wp14:editId="59B12A9C">
                <wp:extent cx="4140200" cy="6350"/>
                <wp:effectExtent l="0" t="0" r="12700" b="6350"/>
                <wp:docPr id="1055"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56" name="Line 10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1B80E8" id="Group_x0020_10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ICBEogAIAAJwFAAAO&#10;AAAAAAAAAAAAAAAAACwCAABkcnMvZTJvRG9jLnhtbFBLAQItABQABgAIAAAAIQBMp7CQ2QAAAAMB&#10;AAAPAAAAAAAAAAAAAAAAANgEAABkcnMvZG93bnJldi54bWxQSwUGAAAAAAQABADzAAAA3gUAAAAA&#10;">
                <v:line id="Line_x0020_10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5BcdcUAAADdAAAADwAAAGRycy9kb3ducmV2LnhtbERPzWrCQBC+F3yHZQq9lGZjpVJiVhGh&#10;UHpQa/oAY3ZMQndnY3Y1qU/vCgVv8/H9Tr4YrBFn6nzjWME4SUEQl043XCn4KT5e3kH4gKzROCYF&#10;f+RhMR895Jhp1/M3nXehEjGEfYYK6hDaTEpf1mTRJ64ljtzBdRZDhF0ldYd9DLdGvqbpVFpsODbU&#10;2NKqpvJ3d7IKiuNzMNvNl+mLzX4i98f15HJaK/X0OCxnIAIN4S7+d3/qOD99m8Ltm3iC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5BcdcUAAADdAAAADwAAAAAAAAAA&#10;AAAAAAChAgAAZHJzL2Rvd25yZXYueG1sUEsFBgAAAAAEAAQA+QAAAJMDAAAAAA==&#10;" strokecolor="#231f20" strokeweight=".5pt"/>
                <w10:anchorlock/>
              </v:group>
            </w:pict>
          </mc:Fallback>
        </mc:AlternateContent>
      </w:r>
    </w:p>
    <w:p w14:paraId="5696F042" w14:textId="77777777" w:rsidR="00DE575E" w:rsidRDefault="00DE575E">
      <w:pPr>
        <w:pStyle w:val="BodyText"/>
        <w:spacing w:before="7"/>
        <w:rPr>
          <w:rFonts w:ascii="AdonisC"/>
          <w:i/>
          <w:sz w:val="19"/>
        </w:rPr>
      </w:pPr>
    </w:p>
    <w:p w14:paraId="778BF5C1" w14:textId="77777777" w:rsidR="00DE575E" w:rsidRDefault="002E7560">
      <w:pPr>
        <w:pStyle w:val="BodyText"/>
        <w:spacing w:before="1" w:line="247" w:lineRule="auto"/>
        <w:ind w:left="250" w:right="410"/>
        <w:jc w:val="both"/>
      </w:pPr>
      <w:r>
        <w:rPr>
          <w:color w:val="231F20"/>
        </w:rPr>
        <w:t xml:space="preserve">не надають релігійним організаціям матеріальної підтримки, не доручають їм виконання </w:t>
      </w:r>
      <w:r>
        <w:rPr>
          <w:color w:val="231F20"/>
          <w:spacing w:val="-3"/>
        </w:rPr>
        <w:t xml:space="preserve">будь-яких  </w:t>
      </w:r>
      <w:r>
        <w:rPr>
          <w:color w:val="231F20"/>
        </w:rPr>
        <w:t>державних  функцій.  Водно-  час держава сприяє встановленню відносин взаємної релігійної та світоглядної терпимості й пова</w:t>
      </w:r>
      <w:r>
        <w:rPr>
          <w:color w:val="231F20"/>
        </w:rPr>
        <w:t xml:space="preserve">ги між людьми, охороняє законну діяльність релігійних організацій та право віруючих на відправ- лення релігійних </w:t>
      </w:r>
      <w:r>
        <w:rPr>
          <w:color w:val="231F20"/>
          <w:spacing w:val="-4"/>
        </w:rPr>
        <w:t xml:space="preserve">культів </w:t>
      </w:r>
      <w:r>
        <w:rPr>
          <w:color w:val="231F20"/>
        </w:rPr>
        <w:t>і ритуальних обрядів, здійснює державний контроль</w:t>
      </w:r>
      <w:r>
        <w:rPr>
          <w:color w:val="231F20"/>
          <w:spacing w:val="-14"/>
        </w:rPr>
        <w:t xml:space="preserve"> </w:t>
      </w:r>
      <w:r>
        <w:rPr>
          <w:color w:val="231F20"/>
        </w:rPr>
        <w:t>за</w:t>
      </w:r>
      <w:r>
        <w:rPr>
          <w:color w:val="231F20"/>
          <w:spacing w:val="-14"/>
        </w:rPr>
        <w:t xml:space="preserve"> </w:t>
      </w:r>
      <w:r>
        <w:rPr>
          <w:color w:val="231F20"/>
        </w:rPr>
        <w:t>додержанням</w:t>
      </w:r>
      <w:r>
        <w:rPr>
          <w:color w:val="231F20"/>
          <w:spacing w:val="-14"/>
        </w:rPr>
        <w:t xml:space="preserve"> </w:t>
      </w:r>
      <w:r>
        <w:rPr>
          <w:color w:val="231F20"/>
        </w:rPr>
        <w:t>законодавства</w:t>
      </w:r>
      <w:r>
        <w:rPr>
          <w:color w:val="231F20"/>
          <w:spacing w:val="-14"/>
        </w:rPr>
        <w:t xml:space="preserve"> </w:t>
      </w:r>
      <w:r>
        <w:rPr>
          <w:color w:val="231F20"/>
        </w:rPr>
        <w:t>про</w:t>
      </w:r>
      <w:r>
        <w:rPr>
          <w:color w:val="231F20"/>
          <w:spacing w:val="-14"/>
        </w:rPr>
        <w:t xml:space="preserve"> </w:t>
      </w:r>
      <w:r>
        <w:rPr>
          <w:color w:val="231F20"/>
        </w:rPr>
        <w:t>свободу</w:t>
      </w:r>
      <w:r>
        <w:rPr>
          <w:color w:val="231F20"/>
          <w:spacing w:val="-14"/>
        </w:rPr>
        <w:t xml:space="preserve"> </w:t>
      </w:r>
      <w:r>
        <w:rPr>
          <w:color w:val="231F20"/>
        </w:rPr>
        <w:t>совісті</w:t>
      </w:r>
      <w:r>
        <w:rPr>
          <w:color w:val="231F20"/>
          <w:spacing w:val="-14"/>
        </w:rPr>
        <w:t xml:space="preserve"> </w:t>
      </w:r>
      <w:r>
        <w:rPr>
          <w:color w:val="231F20"/>
        </w:rPr>
        <w:t>та</w:t>
      </w:r>
      <w:r>
        <w:rPr>
          <w:color w:val="231F20"/>
          <w:spacing w:val="-14"/>
        </w:rPr>
        <w:t xml:space="preserve"> </w:t>
      </w:r>
      <w:r>
        <w:rPr>
          <w:color w:val="231F20"/>
        </w:rPr>
        <w:t>релі- гійні організації.</w:t>
      </w:r>
    </w:p>
    <w:p w14:paraId="4F5FEEE3" w14:textId="77777777" w:rsidR="00DE575E" w:rsidRDefault="002E7560">
      <w:pPr>
        <w:pStyle w:val="BodyText"/>
        <w:spacing w:before="3" w:line="247" w:lineRule="auto"/>
        <w:ind w:left="250" w:right="411" w:firstLine="283"/>
        <w:jc w:val="both"/>
      </w:pPr>
      <w:r>
        <w:rPr>
          <w:color w:val="231F20"/>
        </w:rPr>
        <w:t>У свою чергу релігійні організації позбавлені права втручатися   у</w:t>
      </w:r>
      <w:r>
        <w:rPr>
          <w:color w:val="231F20"/>
          <w:spacing w:val="-14"/>
        </w:rPr>
        <w:t xml:space="preserve"> </w:t>
      </w:r>
      <w:r>
        <w:rPr>
          <w:color w:val="231F20"/>
        </w:rPr>
        <w:t>справи</w:t>
      </w:r>
      <w:r>
        <w:rPr>
          <w:color w:val="231F20"/>
          <w:spacing w:val="-15"/>
        </w:rPr>
        <w:t xml:space="preserve"> </w:t>
      </w:r>
      <w:r>
        <w:rPr>
          <w:color w:val="231F20"/>
        </w:rPr>
        <w:t>держави,</w:t>
      </w:r>
      <w:r>
        <w:rPr>
          <w:color w:val="231F20"/>
          <w:spacing w:val="-14"/>
        </w:rPr>
        <w:t xml:space="preserve"> </w:t>
      </w:r>
      <w:r>
        <w:rPr>
          <w:color w:val="231F20"/>
        </w:rPr>
        <w:t>брати</w:t>
      </w:r>
      <w:r>
        <w:rPr>
          <w:color w:val="231F20"/>
          <w:spacing w:val="-15"/>
        </w:rPr>
        <w:t xml:space="preserve"> </w:t>
      </w:r>
      <w:r>
        <w:rPr>
          <w:color w:val="231F20"/>
        </w:rPr>
        <w:t>участь</w:t>
      </w:r>
      <w:r>
        <w:rPr>
          <w:color w:val="231F20"/>
          <w:spacing w:val="-14"/>
        </w:rPr>
        <w:t xml:space="preserve"> </w:t>
      </w:r>
      <w:r>
        <w:rPr>
          <w:color w:val="231F20"/>
        </w:rPr>
        <w:t>у</w:t>
      </w:r>
      <w:r>
        <w:rPr>
          <w:color w:val="231F20"/>
          <w:spacing w:val="-15"/>
        </w:rPr>
        <w:t xml:space="preserve"> </w:t>
      </w:r>
      <w:r>
        <w:rPr>
          <w:color w:val="231F20"/>
        </w:rPr>
        <w:t>діяльності</w:t>
      </w:r>
      <w:r>
        <w:rPr>
          <w:color w:val="231F20"/>
          <w:spacing w:val="-15"/>
        </w:rPr>
        <w:t xml:space="preserve"> </w:t>
      </w:r>
      <w:r>
        <w:rPr>
          <w:color w:val="231F20"/>
        </w:rPr>
        <w:t>політичних</w:t>
      </w:r>
      <w:r>
        <w:rPr>
          <w:color w:val="231F20"/>
          <w:spacing w:val="-15"/>
        </w:rPr>
        <w:t xml:space="preserve"> </w:t>
      </w:r>
      <w:r>
        <w:rPr>
          <w:color w:val="231F20"/>
        </w:rPr>
        <w:t>партій,</w:t>
      </w:r>
      <w:r>
        <w:rPr>
          <w:color w:val="231F20"/>
          <w:spacing w:val="-15"/>
        </w:rPr>
        <w:t xml:space="preserve"> </w:t>
      </w:r>
      <w:r>
        <w:rPr>
          <w:color w:val="231F20"/>
        </w:rPr>
        <w:t>вису- вати кандидатів до органів державної влади. Ці організації займа- ються винятково питаннями, пов’язаними із задоволенням р</w:t>
      </w:r>
      <w:r>
        <w:rPr>
          <w:color w:val="231F20"/>
        </w:rPr>
        <w:t>елігій- них</w:t>
      </w:r>
      <w:r>
        <w:rPr>
          <w:color w:val="231F20"/>
          <w:spacing w:val="-8"/>
        </w:rPr>
        <w:t xml:space="preserve"> </w:t>
      </w:r>
      <w:r>
        <w:rPr>
          <w:color w:val="231F20"/>
        </w:rPr>
        <w:t>потреб</w:t>
      </w:r>
      <w:r>
        <w:rPr>
          <w:color w:val="231F20"/>
          <w:spacing w:val="-8"/>
        </w:rPr>
        <w:t xml:space="preserve"> </w:t>
      </w:r>
      <w:r>
        <w:rPr>
          <w:color w:val="231F20"/>
        </w:rPr>
        <w:t>громадян.</w:t>
      </w:r>
      <w:r>
        <w:rPr>
          <w:color w:val="231F20"/>
          <w:spacing w:val="-8"/>
        </w:rPr>
        <w:t xml:space="preserve"> </w:t>
      </w:r>
      <w:r>
        <w:rPr>
          <w:color w:val="231F20"/>
        </w:rPr>
        <w:t>Водночас</w:t>
      </w:r>
      <w:r>
        <w:rPr>
          <w:color w:val="231F20"/>
          <w:spacing w:val="-8"/>
        </w:rPr>
        <w:t xml:space="preserve"> </w:t>
      </w:r>
      <w:r>
        <w:rPr>
          <w:color w:val="231F20"/>
        </w:rPr>
        <w:t>релігійні</w:t>
      </w:r>
      <w:r>
        <w:rPr>
          <w:color w:val="231F20"/>
          <w:spacing w:val="-8"/>
        </w:rPr>
        <w:t xml:space="preserve"> </w:t>
      </w:r>
      <w:r>
        <w:rPr>
          <w:color w:val="231F20"/>
        </w:rPr>
        <w:t>організації</w:t>
      </w:r>
      <w:r>
        <w:rPr>
          <w:color w:val="231F20"/>
          <w:spacing w:val="-8"/>
        </w:rPr>
        <w:t xml:space="preserve"> </w:t>
      </w:r>
      <w:r>
        <w:rPr>
          <w:color w:val="231F20"/>
        </w:rPr>
        <w:t>мають</w:t>
      </w:r>
      <w:r>
        <w:rPr>
          <w:color w:val="231F20"/>
          <w:spacing w:val="-8"/>
        </w:rPr>
        <w:t xml:space="preserve"> </w:t>
      </w:r>
      <w:r>
        <w:rPr>
          <w:color w:val="231F20"/>
        </w:rPr>
        <w:t>право</w:t>
      </w:r>
      <w:r>
        <w:rPr>
          <w:color w:val="231F20"/>
          <w:spacing w:val="-8"/>
        </w:rPr>
        <w:t xml:space="preserve"> </w:t>
      </w:r>
      <w:r>
        <w:rPr>
          <w:color w:val="231F20"/>
        </w:rPr>
        <w:t xml:space="preserve">на участь у суспільному житті та використання засобів масової інфор- мації нарівні з </w:t>
      </w:r>
      <w:r>
        <w:rPr>
          <w:color w:val="231F20"/>
          <w:spacing w:val="-3"/>
        </w:rPr>
        <w:t>об’єднаннями</w:t>
      </w:r>
      <w:r>
        <w:rPr>
          <w:color w:val="231F20"/>
          <w:spacing w:val="-2"/>
        </w:rPr>
        <w:t xml:space="preserve"> </w:t>
      </w:r>
      <w:r>
        <w:rPr>
          <w:color w:val="231F20"/>
        </w:rPr>
        <w:t>громадян.</w:t>
      </w:r>
    </w:p>
    <w:p w14:paraId="2E5C6B62" w14:textId="77777777" w:rsidR="00DE575E" w:rsidRDefault="00DE575E">
      <w:pPr>
        <w:pStyle w:val="BodyText"/>
        <w:rPr>
          <w:sz w:val="24"/>
        </w:rPr>
      </w:pPr>
    </w:p>
    <w:p w14:paraId="2A905E2D" w14:textId="77777777" w:rsidR="00DE575E" w:rsidRDefault="00DE575E">
      <w:pPr>
        <w:pStyle w:val="BodyText"/>
        <w:spacing w:before="9"/>
        <w:rPr>
          <w:sz w:val="18"/>
        </w:rPr>
      </w:pPr>
    </w:p>
    <w:p w14:paraId="7F79BA70" w14:textId="77777777" w:rsidR="00DE575E" w:rsidRDefault="002E7560">
      <w:pPr>
        <w:pStyle w:val="Heading4"/>
        <w:numPr>
          <w:ilvl w:val="1"/>
          <w:numId w:val="244"/>
        </w:numPr>
        <w:tabs>
          <w:tab w:val="left" w:pos="939"/>
        </w:tabs>
        <w:ind w:hanging="410"/>
        <w:jc w:val="left"/>
      </w:pPr>
      <w:r>
        <w:rPr>
          <w:color w:val="231F20"/>
        </w:rPr>
        <w:t>Адміністративна правосуб’єктність приватної</w:t>
      </w:r>
      <w:r>
        <w:rPr>
          <w:color w:val="231F20"/>
          <w:spacing w:val="-10"/>
        </w:rPr>
        <w:t xml:space="preserve"> </w:t>
      </w:r>
      <w:r>
        <w:rPr>
          <w:color w:val="231F20"/>
        </w:rPr>
        <w:t>особи</w:t>
      </w:r>
    </w:p>
    <w:p w14:paraId="7BF24F93" w14:textId="77777777" w:rsidR="00DE575E" w:rsidRDefault="00DE575E">
      <w:pPr>
        <w:pStyle w:val="BodyText"/>
        <w:rPr>
          <w:b/>
          <w:sz w:val="26"/>
        </w:rPr>
      </w:pPr>
    </w:p>
    <w:p w14:paraId="19E3A208" w14:textId="77777777" w:rsidR="00DE575E" w:rsidRDefault="002E7560">
      <w:pPr>
        <w:pStyle w:val="Heading5"/>
        <w:numPr>
          <w:ilvl w:val="2"/>
          <w:numId w:val="244"/>
        </w:numPr>
        <w:tabs>
          <w:tab w:val="left" w:pos="1099"/>
        </w:tabs>
        <w:spacing w:before="209"/>
      </w:pPr>
      <w:r>
        <w:rPr>
          <w:color w:val="231F20"/>
        </w:rPr>
        <w:t>Адміністративна</w:t>
      </w:r>
      <w:r>
        <w:rPr>
          <w:color w:val="231F20"/>
          <w:spacing w:val="-1"/>
        </w:rPr>
        <w:t xml:space="preserve"> </w:t>
      </w:r>
      <w:r>
        <w:rPr>
          <w:color w:val="231F20"/>
        </w:rPr>
        <w:t>правозд</w:t>
      </w:r>
      <w:r>
        <w:rPr>
          <w:color w:val="231F20"/>
        </w:rPr>
        <w:t>атність</w:t>
      </w:r>
    </w:p>
    <w:p w14:paraId="4CCBC879" w14:textId="77777777" w:rsidR="00DE575E" w:rsidRDefault="00DE575E">
      <w:pPr>
        <w:pStyle w:val="BodyText"/>
        <w:spacing w:before="3"/>
        <w:rPr>
          <w:b/>
          <w:sz w:val="22"/>
        </w:rPr>
      </w:pPr>
    </w:p>
    <w:p w14:paraId="40D6B34E" w14:textId="77777777" w:rsidR="00DE575E" w:rsidRDefault="002E7560">
      <w:pPr>
        <w:pStyle w:val="BodyText"/>
        <w:spacing w:before="1" w:line="247" w:lineRule="auto"/>
        <w:ind w:left="250" w:right="411" w:firstLine="283"/>
        <w:jc w:val="both"/>
      </w:pPr>
      <w:r>
        <w:rPr>
          <w:color w:val="231F20"/>
        </w:rPr>
        <w:t>Основною ознакою суб’єктів є їх правосуб’єктність, що охоплює правоздатність (наявність прав і обов’язків) і дієздатність (здат- ність реалізовувати права й обов’язки).</w:t>
      </w:r>
    </w:p>
    <w:p w14:paraId="07A9A004" w14:textId="77777777" w:rsidR="00DE575E" w:rsidRDefault="002E7560">
      <w:pPr>
        <w:pStyle w:val="BodyText"/>
        <w:spacing w:before="1" w:line="247" w:lineRule="auto"/>
        <w:ind w:left="202" w:right="411" w:firstLine="283"/>
        <w:jc w:val="right"/>
      </w:pPr>
      <w:r>
        <w:rPr>
          <w:i/>
          <w:color w:val="231F20"/>
          <w:spacing w:val="-3"/>
        </w:rPr>
        <w:t xml:space="preserve">Правоздатність </w:t>
      </w:r>
      <w:r>
        <w:rPr>
          <w:color w:val="231F20"/>
        </w:rPr>
        <w:t xml:space="preserve">– це </w:t>
      </w:r>
      <w:r>
        <w:rPr>
          <w:color w:val="231F20"/>
          <w:spacing w:val="-3"/>
        </w:rPr>
        <w:t xml:space="preserve">здатність </w:t>
      </w:r>
      <w:r>
        <w:rPr>
          <w:color w:val="231F20"/>
        </w:rPr>
        <w:t xml:space="preserve">особи бути </w:t>
      </w:r>
      <w:r>
        <w:rPr>
          <w:color w:val="231F20"/>
          <w:spacing w:val="-3"/>
        </w:rPr>
        <w:t xml:space="preserve">носієм </w:t>
      </w:r>
      <w:r>
        <w:rPr>
          <w:color w:val="231F20"/>
        </w:rPr>
        <w:t xml:space="preserve">прав і </w:t>
      </w:r>
      <w:r>
        <w:rPr>
          <w:color w:val="231F20"/>
          <w:spacing w:val="-3"/>
        </w:rPr>
        <w:t>обов’яз-</w:t>
      </w:r>
      <w:r>
        <w:rPr>
          <w:color w:val="231F20"/>
        </w:rPr>
        <w:t xml:space="preserve"> </w:t>
      </w:r>
      <w:r>
        <w:rPr>
          <w:color w:val="231F20"/>
          <w:spacing w:val="-3"/>
        </w:rPr>
        <w:t xml:space="preserve">ків. Загальною умовою </w:t>
      </w:r>
      <w:r>
        <w:rPr>
          <w:color w:val="231F20"/>
        </w:rPr>
        <w:t xml:space="preserve">вступу </w:t>
      </w:r>
      <w:r>
        <w:rPr>
          <w:color w:val="231F20"/>
          <w:spacing w:val="-3"/>
        </w:rPr>
        <w:t xml:space="preserve">організацій </w:t>
      </w:r>
      <w:r>
        <w:rPr>
          <w:color w:val="231F20"/>
        </w:rPr>
        <w:t xml:space="preserve">та осіб в </w:t>
      </w:r>
      <w:r>
        <w:rPr>
          <w:color w:val="231F20"/>
          <w:spacing w:val="-3"/>
        </w:rPr>
        <w:t xml:space="preserve">адміністративно- правові відносини </w:t>
      </w:r>
      <w:r>
        <w:rPr>
          <w:color w:val="231F20"/>
        </w:rPr>
        <w:t xml:space="preserve">є </w:t>
      </w:r>
      <w:r>
        <w:rPr>
          <w:color w:val="231F20"/>
          <w:spacing w:val="-3"/>
        </w:rPr>
        <w:t xml:space="preserve">наявність </w:t>
      </w:r>
      <w:r>
        <w:rPr>
          <w:color w:val="231F20"/>
        </w:rPr>
        <w:t xml:space="preserve">у них </w:t>
      </w:r>
      <w:r>
        <w:rPr>
          <w:color w:val="231F20"/>
          <w:spacing w:val="-3"/>
        </w:rPr>
        <w:t xml:space="preserve">адміністративної правоздатності. </w:t>
      </w:r>
      <w:r>
        <w:rPr>
          <w:b/>
          <w:i/>
          <w:color w:val="231F20"/>
        </w:rPr>
        <w:t xml:space="preserve">Адміністративна правоздатність </w:t>
      </w:r>
      <w:r>
        <w:rPr>
          <w:color w:val="231F20"/>
        </w:rPr>
        <w:t>– це фактична можливість</w:t>
      </w:r>
      <w:r>
        <w:rPr>
          <w:color w:val="231F20"/>
          <w:spacing w:val="-1"/>
        </w:rPr>
        <w:t xml:space="preserve"> </w:t>
      </w:r>
      <w:r>
        <w:rPr>
          <w:color w:val="231F20"/>
        </w:rPr>
        <w:t>особи (громадянина) бути носієм прав і обов’язків у сфері публі</w:t>
      </w:r>
      <w:r>
        <w:rPr>
          <w:color w:val="231F20"/>
        </w:rPr>
        <w:t>ч- ного адміністрування. Вона виникає з моменту народження людини</w:t>
      </w:r>
      <w:r>
        <w:rPr>
          <w:color w:val="231F20"/>
          <w:spacing w:val="-1"/>
        </w:rPr>
        <w:t xml:space="preserve"> </w:t>
      </w:r>
      <w:r>
        <w:rPr>
          <w:color w:val="231F20"/>
        </w:rPr>
        <w:t xml:space="preserve">й підтверджується документами про громадянство – паспортом громадянина </w:t>
      </w:r>
      <w:r>
        <w:rPr>
          <w:color w:val="231F20"/>
          <w:spacing w:val="-3"/>
        </w:rPr>
        <w:t xml:space="preserve">України, </w:t>
      </w:r>
      <w:r>
        <w:rPr>
          <w:color w:val="231F20"/>
        </w:rPr>
        <w:t>а для осіб до 14 років – свідоцтвом про народ- ження. Правоздатність не може бути обмежена або відчужена. Від</w:t>
      </w:r>
      <w:r>
        <w:rPr>
          <w:color w:val="231F20"/>
          <w:spacing w:val="-1"/>
        </w:rPr>
        <w:t xml:space="preserve"> </w:t>
      </w:r>
      <w:r>
        <w:rPr>
          <w:color w:val="231F20"/>
        </w:rPr>
        <w:t>неї неможливо відмовитися добровільно, оскільки така відмова не має юридичної сили. Правоздатність людини утворює юридичне</w:t>
      </w:r>
    </w:p>
    <w:p w14:paraId="116C636B" w14:textId="77777777" w:rsidR="00DE575E" w:rsidRDefault="002E7560">
      <w:pPr>
        <w:pStyle w:val="BodyText"/>
        <w:spacing w:before="10"/>
        <w:ind w:left="250"/>
        <w:jc w:val="both"/>
      </w:pPr>
      <w:r>
        <w:rPr>
          <w:color w:val="231F20"/>
        </w:rPr>
        <w:t>поняття особи і громадянина</w:t>
      </w:r>
      <w:r>
        <w:rPr>
          <w:color w:val="231F20"/>
          <w:position w:val="7"/>
          <w:sz w:val="12"/>
        </w:rPr>
        <w:t>1</w:t>
      </w:r>
      <w:r>
        <w:rPr>
          <w:color w:val="231F20"/>
        </w:rPr>
        <w:t>.</w:t>
      </w:r>
    </w:p>
    <w:p w14:paraId="062EA890" w14:textId="67549E42" w:rsidR="00DE575E" w:rsidRDefault="002E7560">
      <w:pPr>
        <w:pStyle w:val="BodyText"/>
        <w:spacing w:before="6"/>
        <w:rPr>
          <w:sz w:val="26"/>
        </w:rPr>
      </w:pPr>
      <w:r>
        <w:rPr>
          <w:noProof/>
        </w:rPr>
        <mc:AlternateContent>
          <mc:Choice Requires="wps">
            <w:drawing>
              <wp:anchor distT="0" distB="0" distL="0" distR="0" simplePos="0" relativeHeight="6088" behindDoc="0" locked="0" layoutInCell="1" allowOverlap="1" wp14:anchorId="0113EA37" wp14:editId="450837E1">
                <wp:simplePos x="0" y="0"/>
                <wp:positionH relativeFrom="page">
                  <wp:posOffset>539750</wp:posOffset>
                </wp:positionH>
                <wp:positionV relativeFrom="paragraph">
                  <wp:posOffset>225425</wp:posOffset>
                </wp:positionV>
                <wp:extent cx="1080135" cy="0"/>
                <wp:effectExtent l="6350" t="9525" r="31115" b="28575"/>
                <wp:wrapTopAndBottom/>
                <wp:docPr id="1054"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B5262" id="Line_x0020_1053" o:spid="_x0000_s1026" style="position:absolute;z-index:6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75pt" to="127.55pt,1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9PTSI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" strokecolor="#231f20" strokeweight=".5pt">
                <w10:wrap type="topAndBottom" anchorx="page"/>
              </v:line>
            </w:pict>
          </mc:Fallback>
        </mc:AlternateContent>
      </w:r>
    </w:p>
    <w:p w14:paraId="470541A0" w14:textId="77777777" w:rsidR="00DE575E" w:rsidRDefault="002E7560">
      <w:pPr>
        <w:spacing w:line="204" w:lineRule="auto"/>
        <w:ind w:left="250" w:right="339"/>
        <w:rPr>
          <w:sz w:val="16"/>
        </w:rPr>
      </w:pPr>
      <w:r>
        <w:rPr>
          <w:color w:val="231F20"/>
          <w:position w:val="5"/>
          <w:sz w:val="9"/>
        </w:rPr>
        <w:t xml:space="preserve">1 </w:t>
      </w:r>
      <w:r>
        <w:rPr>
          <w:color w:val="231F20"/>
          <w:sz w:val="16"/>
        </w:rPr>
        <w:t>Гриценко І., Мельник Р., Пухтецька А. та ін. Загальне адміністративне право: підручник. Київ: Юрінком Інтер, 2015. С. 229-230.</w:t>
      </w:r>
    </w:p>
    <w:p w14:paraId="2FB38280" w14:textId="77777777" w:rsidR="00DE575E" w:rsidRDefault="00DE575E">
      <w:pPr>
        <w:pStyle w:val="BodyText"/>
        <w:spacing w:before="1"/>
        <w:rPr>
          <w:sz w:val="12"/>
        </w:rPr>
      </w:pPr>
    </w:p>
    <w:p w14:paraId="14A22725" w14:textId="77777777" w:rsidR="00DE575E" w:rsidRDefault="002E7560">
      <w:pPr>
        <w:spacing w:before="92"/>
        <w:ind w:right="411"/>
        <w:jc w:val="right"/>
        <w:rPr>
          <w:rFonts w:ascii="Times New Roman"/>
          <w:sz w:val="20"/>
        </w:rPr>
      </w:pPr>
      <w:r>
        <w:rPr>
          <w:rFonts w:ascii="Times New Roman"/>
          <w:color w:val="231F20"/>
          <w:w w:val="90"/>
          <w:sz w:val="20"/>
        </w:rPr>
        <w:t>143</w:t>
      </w:r>
    </w:p>
    <w:p w14:paraId="2BC4643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845B7E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5ABC5B3" w14:textId="33B2DC9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40CF7E0" wp14:editId="102D44BE">
                <wp:extent cx="4140200" cy="6350"/>
                <wp:effectExtent l="0" t="0" r="12700" b="6350"/>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53" name="Line 105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F03057" id="Group_x0020_105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4KhH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Nis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jrgqEfQIAAJwFAAAOAAAA&#10;AAAAAAAAAAAAACwCAABkcnMvZTJvRG9jLnhtbFBLAQItABQABgAIAAAAIQBMp7CQ2QAAAAMBAAAP&#10;AAAAAAAAAAAAAAAAANUEAABkcnMvZG93bnJldi54bWxQSwUGAAAAAAQABADzAAAA2wUAAAAA&#10;">
                <v:line id="Line_x0020_105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7cQAAADdAAAADwAAAGRycy9kb3ducmV2LnhtbERP22rCQBB9L/Qflin0pehGg1Kiq4gg&#10;SB+8pR8wZqdJ6O5szK4m7de7QqFvczjXmS97a8SNWl87VjAaJiCIC6drLhV85pvBOwgfkDUax6Tg&#10;hzwsF89Pc8y06/hIt1MoRQxhn6GCKoQmk9IXFVn0Q9cQR+7LtRZDhG0pdYtdDLdGjpNkKi3WHBsq&#10;bGhdUfF9uloF+eUtmMP+w3T5/pzK82WX/l53Sr2+9KsZiEB9+Bf/ubc6zk8m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5//txAAAAN0AAAAPAAAAAAAAAAAA&#10;AAAAAKECAABkcnMvZG93bnJldi54bWxQSwUGAAAAAAQABAD5AAAAkgMAAAAA&#10;" strokecolor="#231f20" strokeweight=".5pt"/>
                <w10:anchorlock/>
              </v:group>
            </w:pict>
          </mc:Fallback>
        </mc:AlternateContent>
      </w:r>
    </w:p>
    <w:p w14:paraId="79CC15C7" w14:textId="77777777" w:rsidR="00DE575E" w:rsidRDefault="00DE575E">
      <w:pPr>
        <w:pStyle w:val="BodyText"/>
        <w:spacing w:before="7"/>
        <w:rPr>
          <w:rFonts w:ascii="AdonisC"/>
          <w:i/>
          <w:sz w:val="11"/>
        </w:rPr>
      </w:pPr>
    </w:p>
    <w:p w14:paraId="256C6483" w14:textId="77777777" w:rsidR="00DE575E" w:rsidRDefault="002E7560">
      <w:pPr>
        <w:pStyle w:val="BodyText"/>
        <w:spacing w:before="101" w:line="252" w:lineRule="auto"/>
        <w:ind w:left="533" w:right="128" w:firstLine="283"/>
        <w:jc w:val="both"/>
      </w:pPr>
      <w:r>
        <w:rPr>
          <w:color w:val="231F20"/>
          <w:spacing w:val="-3"/>
        </w:rPr>
        <w:t xml:space="preserve">Адміністративна правоздатність органів публічного адміністру- вання виникає </w:t>
      </w:r>
      <w:r>
        <w:rPr>
          <w:color w:val="231F20"/>
          <w:spacing w:val="-4"/>
        </w:rPr>
        <w:t xml:space="preserve">одночасно </w:t>
      </w:r>
      <w:r>
        <w:rPr>
          <w:color w:val="231F20"/>
        </w:rPr>
        <w:t xml:space="preserve">з їх </w:t>
      </w:r>
      <w:r>
        <w:rPr>
          <w:color w:val="231F20"/>
          <w:spacing w:val="-3"/>
        </w:rPr>
        <w:t xml:space="preserve">утворенням </w:t>
      </w:r>
      <w:r>
        <w:rPr>
          <w:color w:val="231F20"/>
        </w:rPr>
        <w:t xml:space="preserve">і </w:t>
      </w:r>
      <w:r>
        <w:rPr>
          <w:color w:val="231F20"/>
          <w:spacing w:val="-3"/>
        </w:rPr>
        <w:t xml:space="preserve">визначенням компетенції. </w:t>
      </w:r>
      <w:r>
        <w:rPr>
          <w:color w:val="231F20"/>
        </w:rPr>
        <w:t xml:space="preserve">При цьому </w:t>
      </w:r>
      <w:r>
        <w:rPr>
          <w:color w:val="231F20"/>
          <w:spacing w:val="-3"/>
        </w:rPr>
        <w:t xml:space="preserve">зазвичай органи публічного адміністрування зобов’язані вступати </w:t>
      </w:r>
      <w:r>
        <w:rPr>
          <w:color w:val="231F20"/>
        </w:rPr>
        <w:t xml:space="preserve">в </w:t>
      </w:r>
      <w:r>
        <w:rPr>
          <w:color w:val="231F20"/>
          <w:spacing w:val="-3"/>
        </w:rPr>
        <w:t>адміністративн</w:t>
      </w:r>
      <w:r>
        <w:rPr>
          <w:color w:val="231F20"/>
          <w:spacing w:val="-3"/>
        </w:rPr>
        <w:t xml:space="preserve">о-правові відносини, </w:t>
      </w:r>
      <w:r>
        <w:rPr>
          <w:color w:val="231F20"/>
        </w:rPr>
        <w:t xml:space="preserve">які </w:t>
      </w:r>
      <w:r>
        <w:rPr>
          <w:color w:val="231F20"/>
          <w:spacing w:val="-3"/>
        </w:rPr>
        <w:t xml:space="preserve">відіграють роль основного засобу практичної реалізації належної </w:t>
      </w:r>
      <w:r>
        <w:rPr>
          <w:color w:val="231F20"/>
        </w:rPr>
        <w:t xml:space="preserve">їм </w:t>
      </w:r>
      <w:r>
        <w:rPr>
          <w:color w:val="231F20"/>
          <w:spacing w:val="-3"/>
        </w:rPr>
        <w:t>компетенції.</w:t>
      </w:r>
    </w:p>
    <w:p w14:paraId="4A58BAC0" w14:textId="77777777" w:rsidR="00DE575E" w:rsidRDefault="002E7560">
      <w:pPr>
        <w:pStyle w:val="BodyText"/>
        <w:spacing w:before="2" w:line="252" w:lineRule="auto"/>
        <w:ind w:left="533" w:right="128" w:firstLine="283"/>
        <w:jc w:val="both"/>
      </w:pPr>
      <w:r>
        <w:rPr>
          <w:color w:val="231F20"/>
        </w:rPr>
        <w:t>Обсяг і зміст адміністративної правоздатності визначається законами й ухваленими на їх основі актами публічного управління, у яких містяться відповідні</w:t>
      </w:r>
      <w:r>
        <w:rPr>
          <w:color w:val="231F20"/>
        </w:rPr>
        <w:t xml:space="preserve"> норми адміністративного права.</w:t>
      </w:r>
    </w:p>
    <w:p w14:paraId="49012454" w14:textId="77777777" w:rsidR="00DE575E" w:rsidRDefault="002E7560">
      <w:pPr>
        <w:pStyle w:val="BodyText"/>
        <w:spacing w:before="2" w:line="252" w:lineRule="auto"/>
        <w:ind w:left="533" w:right="128" w:firstLine="283"/>
        <w:jc w:val="both"/>
      </w:pPr>
      <w:r>
        <w:rPr>
          <w:color w:val="231F20"/>
        </w:rPr>
        <w:t>Конкретний обсяг прав, свобод і обов’язків громадян у сфері публічного управління визначається низкою обставин – віком, станом здоров’я, наявністю освіти тощо. Наприклад, родинні відно- сини можуть бути підставою для обмежен</w:t>
      </w:r>
      <w:r>
        <w:rPr>
          <w:color w:val="231F20"/>
        </w:rPr>
        <w:t>ня права на заняття посади в державному органі.</w:t>
      </w:r>
    </w:p>
    <w:p w14:paraId="4BDB766B" w14:textId="77777777" w:rsidR="00DE575E" w:rsidRDefault="00DE575E">
      <w:pPr>
        <w:pStyle w:val="BodyText"/>
        <w:spacing w:before="2"/>
        <w:rPr>
          <w:sz w:val="22"/>
        </w:rPr>
      </w:pPr>
    </w:p>
    <w:p w14:paraId="3D5AC0C9" w14:textId="77777777" w:rsidR="00DE575E" w:rsidRDefault="002E7560">
      <w:pPr>
        <w:pStyle w:val="Heading5"/>
        <w:ind w:left="817"/>
      </w:pPr>
      <w:r>
        <w:rPr>
          <w:color w:val="231F20"/>
        </w:rPr>
        <w:t>5.2.2. Адміністративна дієздатність</w:t>
      </w:r>
    </w:p>
    <w:p w14:paraId="5DA2B7A9" w14:textId="77777777" w:rsidR="00DE575E" w:rsidRDefault="00DE575E">
      <w:pPr>
        <w:pStyle w:val="BodyText"/>
        <w:spacing w:before="2"/>
        <w:rPr>
          <w:b/>
          <w:sz w:val="23"/>
        </w:rPr>
      </w:pPr>
    </w:p>
    <w:p w14:paraId="466CA3AA" w14:textId="77777777" w:rsidR="00DE575E" w:rsidRDefault="002E7560">
      <w:pPr>
        <w:pStyle w:val="BodyText"/>
        <w:spacing w:line="252" w:lineRule="auto"/>
        <w:ind w:left="533" w:right="127" w:firstLine="283"/>
        <w:jc w:val="both"/>
      </w:pPr>
      <w:r>
        <w:rPr>
          <w:color w:val="231F20"/>
        </w:rPr>
        <w:t xml:space="preserve">На відміну від адміністративної правоздатності, яка визначає потенційну здатність </w:t>
      </w:r>
      <w:r>
        <w:rPr>
          <w:color w:val="231F20"/>
          <w:spacing w:val="-3"/>
        </w:rPr>
        <w:t xml:space="preserve">суб’єкта </w:t>
      </w:r>
      <w:r>
        <w:rPr>
          <w:color w:val="231F20"/>
        </w:rPr>
        <w:t xml:space="preserve">мати публічні права та юридичні обов’язки у сфері юридичного управління, </w:t>
      </w:r>
      <w:r>
        <w:rPr>
          <w:b/>
          <w:i/>
          <w:color w:val="231F20"/>
        </w:rPr>
        <w:t xml:space="preserve">адміністративна дієз- датність </w:t>
      </w:r>
      <w:r>
        <w:rPr>
          <w:color w:val="231F20"/>
        </w:rPr>
        <w:t>– це здатність особи (громадянина) своїми діями набу- вати</w:t>
      </w:r>
      <w:r>
        <w:rPr>
          <w:color w:val="231F20"/>
          <w:spacing w:val="-17"/>
        </w:rPr>
        <w:t xml:space="preserve"> </w:t>
      </w:r>
      <w:r>
        <w:rPr>
          <w:color w:val="231F20"/>
        </w:rPr>
        <w:t>та</w:t>
      </w:r>
      <w:r>
        <w:rPr>
          <w:color w:val="231F20"/>
          <w:spacing w:val="-17"/>
        </w:rPr>
        <w:t xml:space="preserve"> </w:t>
      </w:r>
      <w:r>
        <w:rPr>
          <w:color w:val="231F20"/>
        </w:rPr>
        <w:t>здійснювати</w:t>
      </w:r>
      <w:r>
        <w:rPr>
          <w:color w:val="231F20"/>
          <w:spacing w:val="-17"/>
        </w:rPr>
        <w:t xml:space="preserve"> </w:t>
      </w:r>
      <w:r>
        <w:rPr>
          <w:color w:val="231F20"/>
        </w:rPr>
        <w:t>права,</w:t>
      </w:r>
      <w:r>
        <w:rPr>
          <w:color w:val="231F20"/>
          <w:spacing w:val="-17"/>
        </w:rPr>
        <w:t xml:space="preserve"> </w:t>
      </w:r>
      <w:r>
        <w:rPr>
          <w:color w:val="231F20"/>
        </w:rPr>
        <w:t>виконувати</w:t>
      </w:r>
      <w:r>
        <w:rPr>
          <w:color w:val="231F20"/>
          <w:spacing w:val="-17"/>
        </w:rPr>
        <w:t xml:space="preserve"> </w:t>
      </w:r>
      <w:r>
        <w:rPr>
          <w:color w:val="231F20"/>
        </w:rPr>
        <w:t>покладені</w:t>
      </w:r>
      <w:r>
        <w:rPr>
          <w:color w:val="231F20"/>
          <w:spacing w:val="-17"/>
        </w:rPr>
        <w:t xml:space="preserve"> </w:t>
      </w:r>
      <w:r>
        <w:rPr>
          <w:color w:val="231F20"/>
        </w:rPr>
        <w:t>обов’язки</w:t>
      </w:r>
      <w:r>
        <w:rPr>
          <w:color w:val="231F20"/>
          <w:spacing w:val="-17"/>
        </w:rPr>
        <w:t xml:space="preserve"> </w:t>
      </w:r>
      <w:r>
        <w:rPr>
          <w:color w:val="231F20"/>
        </w:rPr>
        <w:t>та</w:t>
      </w:r>
      <w:r>
        <w:rPr>
          <w:color w:val="231F20"/>
          <w:spacing w:val="-17"/>
        </w:rPr>
        <w:t xml:space="preserve"> </w:t>
      </w:r>
      <w:r>
        <w:rPr>
          <w:color w:val="231F20"/>
        </w:rPr>
        <w:t>нести юридичну відповідальність. Адміністративна правоздатність стано- вить підґрунтя адміністративної дієздат</w:t>
      </w:r>
      <w:r>
        <w:rPr>
          <w:color w:val="231F20"/>
        </w:rPr>
        <w:t xml:space="preserve">ності особи (громадянина), оскільки визначає умови, за яких реалізуються </w:t>
      </w:r>
      <w:r>
        <w:rPr>
          <w:color w:val="231F20"/>
          <w:spacing w:val="-3"/>
        </w:rPr>
        <w:t xml:space="preserve">суб’єктивні </w:t>
      </w:r>
      <w:r>
        <w:rPr>
          <w:color w:val="231F20"/>
        </w:rPr>
        <w:t xml:space="preserve">публічні права й обов’язки. У повному обсязі адміністративна дієздатність настає з досягненням 18-річного </w:t>
      </w:r>
      <w:r>
        <w:rPr>
          <w:color w:val="231F20"/>
          <w:spacing w:val="-4"/>
        </w:rPr>
        <w:t xml:space="preserve">віку. </w:t>
      </w:r>
      <w:r>
        <w:rPr>
          <w:color w:val="231F20"/>
        </w:rPr>
        <w:t>Частково вона виникає і по досягненні 14-річного віку – з о</w:t>
      </w:r>
      <w:r>
        <w:rPr>
          <w:color w:val="231F20"/>
        </w:rPr>
        <w:t>держанням паспорта, дотриманням правил паспортної системи тощо. Адміністративна дієздатність може наставати в деяких випадках і до досягнення 14-річного</w:t>
      </w:r>
      <w:r>
        <w:rPr>
          <w:color w:val="231F20"/>
          <w:spacing w:val="-19"/>
        </w:rPr>
        <w:t xml:space="preserve"> </w:t>
      </w:r>
      <w:r>
        <w:rPr>
          <w:color w:val="231F20"/>
          <w:spacing w:val="-4"/>
        </w:rPr>
        <w:t>віку.</w:t>
      </w:r>
    </w:p>
    <w:p w14:paraId="50CF7F5B" w14:textId="77777777" w:rsidR="00DE575E" w:rsidRDefault="002E7560">
      <w:pPr>
        <w:pStyle w:val="BodyText"/>
        <w:spacing w:before="7" w:line="252" w:lineRule="auto"/>
        <w:ind w:left="533" w:right="128" w:firstLine="283"/>
        <w:jc w:val="both"/>
      </w:pPr>
      <w:r>
        <w:rPr>
          <w:color w:val="231F20"/>
        </w:rPr>
        <w:t>Поєднання адміністративної правоздатності та дієздатності створює умови, за яких суб’єкт адмініст</w:t>
      </w:r>
      <w:r>
        <w:rPr>
          <w:color w:val="231F20"/>
        </w:rPr>
        <w:t>ративного права стає учас- ником (стороною) адміністративно-правових відносин.</w:t>
      </w:r>
    </w:p>
    <w:p w14:paraId="4355B4A7" w14:textId="77777777" w:rsidR="00DE575E" w:rsidRDefault="002E7560">
      <w:pPr>
        <w:pStyle w:val="BodyText"/>
        <w:spacing w:before="1" w:line="252" w:lineRule="auto"/>
        <w:ind w:left="533" w:right="127" w:firstLine="283"/>
        <w:jc w:val="both"/>
      </w:pPr>
      <w:r>
        <w:rPr>
          <w:b/>
          <w:i/>
          <w:color w:val="231F20"/>
        </w:rPr>
        <w:t xml:space="preserve">Фізична особа </w:t>
      </w:r>
      <w:r>
        <w:rPr>
          <w:color w:val="231F20"/>
        </w:rPr>
        <w:t>– це будь-яка народжена й жива людина, що здійснює різні акти соціально значущого поводження й несе відпо- відальність згідно зі своїм рівнем, віком, психічним і ф</w:t>
      </w:r>
      <w:r>
        <w:rPr>
          <w:color w:val="231F20"/>
        </w:rPr>
        <w:t>ізичним здоров’ям. Правоздатність фізичних осіб виникає в момент народ- ження і припиняється зі смертю. Дієздатність фізичних осіб пов’я- зана з психічними і віковими властивостями людини і залежить від них. Частковою дієздатністю володіють неповнолітні гр</w:t>
      </w:r>
      <w:r>
        <w:rPr>
          <w:color w:val="231F20"/>
        </w:rPr>
        <w:t>омадяни,</w:t>
      </w:r>
    </w:p>
    <w:p w14:paraId="4A004867" w14:textId="77777777" w:rsidR="00DE575E" w:rsidRDefault="00DE575E">
      <w:pPr>
        <w:pStyle w:val="BodyText"/>
        <w:spacing w:before="9"/>
        <w:rPr>
          <w:sz w:val="12"/>
        </w:rPr>
      </w:pPr>
    </w:p>
    <w:p w14:paraId="07E67A2D" w14:textId="77777777" w:rsidR="00DE575E" w:rsidRDefault="002E7560">
      <w:pPr>
        <w:spacing w:before="92"/>
        <w:ind w:left="533"/>
        <w:rPr>
          <w:rFonts w:ascii="Times New Roman"/>
          <w:sz w:val="20"/>
        </w:rPr>
      </w:pPr>
      <w:r>
        <w:rPr>
          <w:rFonts w:ascii="Times New Roman"/>
          <w:color w:val="231F20"/>
          <w:sz w:val="20"/>
        </w:rPr>
        <w:t>144</w:t>
      </w:r>
    </w:p>
    <w:p w14:paraId="2FE9D343" w14:textId="77777777" w:rsidR="00DE575E" w:rsidRDefault="00DE575E">
      <w:pPr>
        <w:rPr>
          <w:rFonts w:ascii="Times New Roman"/>
          <w:sz w:val="20"/>
        </w:rPr>
        <w:sectPr w:rsidR="00DE575E">
          <w:pgSz w:w="8510" w:h="12760"/>
          <w:pgMar w:top="660" w:right="720" w:bottom="280" w:left="600" w:header="720" w:footer="720" w:gutter="0"/>
          <w:cols w:space="720"/>
        </w:sectPr>
      </w:pPr>
    </w:p>
    <w:p w14:paraId="385A6CAF"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00084A06" w14:textId="59419E8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EB4BB30" wp14:editId="7CB224FB">
                <wp:extent cx="4140200" cy="6350"/>
                <wp:effectExtent l="0" t="0" r="12700" b="6350"/>
                <wp:docPr id="1050"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51" name="Line 105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CE5CE1" id="Group_x0020_104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Mg8Ml/AgAAnAUAAA4A&#10;AAAAAAAAAAAAAAAALAIAAGRycy9lMm9Eb2MueG1sUEsBAi0AFAAGAAgAAAAhAEynsJDZAAAAAwEA&#10;AA8AAAAAAAAAAAAAAAAA1wQAAGRycy9kb3ducmV2LnhtbFBLBQYAAAAABAAEAPMAAADdBQAAAAA=&#10;">
                <v:line id="Line_x0020_105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nEAcUAAADdAAAADwAAAGRycy9kb3ducmV2LnhtbERPzWrCQBC+C77DMoVeSrNRqZSYVaRQ&#10;kB60Gh9gzI5J6O5szK4m7dN3CwVv8/H9Tr4arBE36nzjWMEkSUEQl043XCk4Fu/PryB8QNZoHJOC&#10;b/KwWo5HOWba9byn2yFUIoawz1BBHUKbSenLmiz6xLXEkTu7zmKIsKuk7rCP4dbIaZrOpcWGY0ON&#10;Lb3VVH4drlZBcXkK5nP3Yfpid5rJ02U7+7lulXp8GNYLEIGGcBf/uzc6zk9fJv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HnEAcUAAADdAAAADwAAAAAAAAAA&#10;AAAAAAChAgAAZHJzL2Rvd25yZXYueG1sUEsFBgAAAAAEAAQA+QAAAJMDAAAAAA==&#10;" strokecolor="#231f20" strokeweight=".5pt"/>
                <w10:anchorlock/>
              </v:group>
            </w:pict>
          </mc:Fallback>
        </mc:AlternateContent>
      </w:r>
    </w:p>
    <w:p w14:paraId="590C707D" w14:textId="77777777" w:rsidR="00DE575E" w:rsidRDefault="00DE575E">
      <w:pPr>
        <w:pStyle w:val="BodyText"/>
        <w:spacing w:before="7"/>
        <w:rPr>
          <w:rFonts w:ascii="AdonisC"/>
          <w:i/>
          <w:sz w:val="19"/>
        </w:rPr>
      </w:pPr>
    </w:p>
    <w:p w14:paraId="4D4460F9" w14:textId="77777777" w:rsidR="00DE575E" w:rsidRDefault="002E7560">
      <w:pPr>
        <w:pStyle w:val="BodyText"/>
        <w:spacing w:before="1" w:line="249" w:lineRule="auto"/>
        <w:ind w:left="250" w:right="411"/>
        <w:jc w:val="both"/>
      </w:pPr>
      <w:r>
        <w:rPr>
          <w:color w:val="231F20"/>
        </w:rPr>
        <w:t>що</w:t>
      </w:r>
      <w:r>
        <w:rPr>
          <w:color w:val="231F20"/>
          <w:spacing w:val="-6"/>
        </w:rPr>
        <w:t xml:space="preserve"> </w:t>
      </w:r>
      <w:r>
        <w:rPr>
          <w:color w:val="231F20"/>
        </w:rPr>
        <w:t>не</w:t>
      </w:r>
      <w:r>
        <w:rPr>
          <w:color w:val="231F20"/>
          <w:spacing w:val="-6"/>
        </w:rPr>
        <w:t xml:space="preserve"> </w:t>
      </w:r>
      <w:r>
        <w:rPr>
          <w:color w:val="231F20"/>
          <w:spacing w:val="-3"/>
        </w:rPr>
        <w:t>досягли</w:t>
      </w:r>
      <w:r>
        <w:rPr>
          <w:color w:val="231F20"/>
          <w:spacing w:val="-6"/>
        </w:rPr>
        <w:t xml:space="preserve"> </w:t>
      </w:r>
      <w:r>
        <w:rPr>
          <w:color w:val="231F20"/>
        </w:rPr>
        <w:t>14-річного</w:t>
      </w:r>
      <w:r>
        <w:rPr>
          <w:color w:val="231F20"/>
          <w:spacing w:val="-6"/>
        </w:rPr>
        <w:t xml:space="preserve"> </w:t>
      </w:r>
      <w:r>
        <w:rPr>
          <w:color w:val="231F20"/>
        </w:rPr>
        <w:t>віку</w:t>
      </w:r>
      <w:r>
        <w:rPr>
          <w:color w:val="231F20"/>
          <w:spacing w:val="-6"/>
        </w:rPr>
        <w:t xml:space="preserve"> </w:t>
      </w:r>
      <w:r>
        <w:rPr>
          <w:color w:val="231F20"/>
        </w:rPr>
        <w:t>(малолітні</w:t>
      </w:r>
      <w:r>
        <w:rPr>
          <w:color w:val="231F20"/>
          <w:spacing w:val="-6"/>
        </w:rPr>
        <w:t xml:space="preserve"> </w:t>
      </w:r>
      <w:r>
        <w:rPr>
          <w:color w:val="231F20"/>
        </w:rPr>
        <w:t>громадяни),</w:t>
      </w:r>
      <w:r>
        <w:rPr>
          <w:color w:val="231F20"/>
          <w:spacing w:val="-6"/>
        </w:rPr>
        <w:t xml:space="preserve"> </w:t>
      </w:r>
      <w:r>
        <w:rPr>
          <w:color w:val="231F20"/>
        </w:rPr>
        <w:t>і</w:t>
      </w:r>
      <w:r>
        <w:rPr>
          <w:color w:val="231F20"/>
          <w:spacing w:val="-7"/>
        </w:rPr>
        <w:t xml:space="preserve"> </w:t>
      </w:r>
      <w:r>
        <w:rPr>
          <w:color w:val="231F20"/>
        </w:rPr>
        <w:t>неповнолітні у</w:t>
      </w:r>
      <w:r>
        <w:rPr>
          <w:color w:val="231F20"/>
          <w:spacing w:val="-5"/>
        </w:rPr>
        <w:t xml:space="preserve"> </w:t>
      </w:r>
      <w:r>
        <w:rPr>
          <w:color w:val="231F20"/>
        </w:rPr>
        <w:t>віці</w:t>
      </w:r>
      <w:r>
        <w:rPr>
          <w:color w:val="231F20"/>
          <w:spacing w:val="-5"/>
        </w:rPr>
        <w:t xml:space="preserve"> </w:t>
      </w:r>
      <w:r>
        <w:rPr>
          <w:color w:val="231F20"/>
        </w:rPr>
        <w:t>від</w:t>
      </w:r>
      <w:r>
        <w:rPr>
          <w:color w:val="231F20"/>
          <w:spacing w:val="-5"/>
        </w:rPr>
        <w:t xml:space="preserve"> </w:t>
      </w:r>
      <w:r>
        <w:rPr>
          <w:color w:val="231F20"/>
        </w:rPr>
        <w:t>14</w:t>
      </w:r>
      <w:r>
        <w:rPr>
          <w:color w:val="231F20"/>
          <w:spacing w:val="-5"/>
        </w:rPr>
        <w:t xml:space="preserve"> </w:t>
      </w:r>
      <w:r>
        <w:rPr>
          <w:color w:val="231F20"/>
        </w:rPr>
        <w:t>до</w:t>
      </w:r>
      <w:r>
        <w:rPr>
          <w:color w:val="231F20"/>
          <w:spacing w:val="-5"/>
        </w:rPr>
        <w:t xml:space="preserve"> </w:t>
      </w:r>
      <w:r>
        <w:rPr>
          <w:color w:val="231F20"/>
        </w:rPr>
        <w:t>18</w:t>
      </w:r>
      <w:r>
        <w:rPr>
          <w:color w:val="231F20"/>
          <w:spacing w:val="-5"/>
        </w:rPr>
        <w:t xml:space="preserve"> </w:t>
      </w:r>
      <w:r>
        <w:rPr>
          <w:color w:val="231F20"/>
        </w:rPr>
        <w:t>років.</w:t>
      </w:r>
      <w:r>
        <w:rPr>
          <w:color w:val="231F20"/>
          <w:spacing w:val="-5"/>
        </w:rPr>
        <w:t xml:space="preserve"> </w:t>
      </w:r>
      <w:r>
        <w:rPr>
          <w:color w:val="231F20"/>
        </w:rPr>
        <w:t>Повний</w:t>
      </w:r>
      <w:r>
        <w:rPr>
          <w:color w:val="231F20"/>
          <w:spacing w:val="-5"/>
        </w:rPr>
        <w:t xml:space="preserve"> </w:t>
      </w:r>
      <w:r>
        <w:rPr>
          <w:color w:val="231F20"/>
        </w:rPr>
        <w:t>обсяг</w:t>
      </w:r>
      <w:r>
        <w:rPr>
          <w:color w:val="231F20"/>
          <w:spacing w:val="-5"/>
        </w:rPr>
        <w:t xml:space="preserve"> </w:t>
      </w:r>
      <w:r>
        <w:rPr>
          <w:color w:val="231F20"/>
        </w:rPr>
        <w:t>дієздатності</w:t>
      </w:r>
      <w:r>
        <w:rPr>
          <w:color w:val="231F20"/>
          <w:spacing w:val="-5"/>
        </w:rPr>
        <w:t xml:space="preserve"> </w:t>
      </w:r>
      <w:r>
        <w:rPr>
          <w:color w:val="231F20"/>
        </w:rPr>
        <w:t>настає</w:t>
      </w:r>
      <w:r>
        <w:rPr>
          <w:color w:val="231F20"/>
          <w:spacing w:val="-5"/>
        </w:rPr>
        <w:t xml:space="preserve"> </w:t>
      </w:r>
      <w:r>
        <w:rPr>
          <w:color w:val="231F20"/>
        </w:rPr>
        <w:t>з</w:t>
      </w:r>
      <w:r>
        <w:rPr>
          <w:color w:val="231F20"/>
          <w:spacing w:val="-5"/>
        </w:rPr>
        <w:t xml:space="preserve"> </w:t>
      </w:r>
      <w:r>
        <w:rPr>
          <w:color w:val="231F20"/>
        </w:rPr>
        <w:t xml:space="preserve">моменту повноліття – 18 років, але адміністративній відповідальності підля- гають особи, що </w:t>
      </w:r>
      <w:r>
        <w:rPr>
          <w:color w:val="231F20"/>
          <w:spacing w:val="-3"/>
        </w:rPr>
        <w:t xml:space="preserve">досягли </w:t>
      </w:r>
      <w:r>
        <w:rPr>
          <w:color w:val="231F20"/>
        </w:rPr>
        <w:t xml:space="preserve">на момент здійснення правопорушення 16-річного </w:t>
      </w:r>
      <w:r>
        <w:rPr>
          <w:color w:val="231F20"/>
          <w:spacing w:val="-4"/>
        </w:rPr>
        <w:t xml:space="preserve">віку. </w:t>
      </w:r>
      <w:r>
        <w:rPr>
          <w:color w:val="231F20"/>
        </w:rPr>
        <w:t>Державою передбачається обмеження дієздатності та визнання громадянина</w:t>
      </w:r>
      <w:r>
        <w:rPr>
          <w:color w:val="231F20"/>
          <w:spacing w:val="-3"/>
        </w:rPr>
        <w:t xml:space="preserve"> </w:t>
      </w:r>
      <w:r>
        <w:rPr>
          <w:color w:val="231F20"/>
        </w:rPr>
        <w:t>недієздатним.</w:t>
      </w:r>
    </w:p>
    <w:p w14:paraId="534917B5" w14:textId="77777777" w:rsidR="00DE575E" w:rsidRDefault="002E7560">
      <w:pPr>
        <w:pStyle w:val="BodyText"/>
        <w:spacing w:line="249" w:lineRule="auto"/>
        <w:ind w:left="250" w:right="410" w:firstLine="283"/>
        <w:jc w:val="both"/>
      </w:pPr>
      <w:r>
        <w:rPr>
          <w:b/>
          <w:i/>
          <w:color w:val="231F20"/>
        </w:rPr>
        <w:t xml:space="preserve">Юридичні особи </w:t>
      </w:r>
      <w:r>
        <w:rPr>
          <w:color w:val="231F20"/>
        </w:rPr>
        <w:t>– ц</w:t>
      </w:r>
      <w:r>
        <w:rPr>
          <w:color w:val="231F20"/>
        </w:rPr>
        <w:t xml:space="preserve">е органи публічної влади, </w:t>
      </w:r>
      <w:r>
        <w:rPr>
          <w:color w:val="231F20"/>
          <w:spacing w:val="-3"/>
        </w:rPr>
        <w:t xml:space="preserve">будь-які </w:t>
      </w:r>
      <w:r>
        <w:rPr>
          <w:color w:val="231F20"/>
        </w:rPr>
        <w:t xml:space="preserve">інші органи публічної адміністрації, органи місцевого самоврядування, </w:t>
      </w:r>
      <w:r>
        <w:rPr>
          <w:color w:val="231F20"/>
          <w:spacing w:val="-3"/>
        </w:rPr>
        <w:t xml:space="preserve">об’єднання  </w:t>
      </w:r>
      <w:r>
        <w:rPr>
          <w:color w:val="231F20"/>
        </w:rPr>
        <w:t>громадян, підприємства, установи, організації (в особі  їх керівників, які очолюють органи публічного адміністрування цих підприємств, уста</w:t>
      </w:r>
      <w:r>
        <w:rPr>
          <w:color w:val="231F20"/>
        </w:rPr>
        <w:t xml:space="preserve">нов, організацій). До них також належать і струк- турні підрозділи органів публічної адміністрації, установ, організа- цій (наприклад, цех, </w:t>
      </w:r>
      <w:r>
        <w:rPr>
          <w:color w:val="231F20"/>
          <w:spacing w:val="-4"/>
        </w:rPr>
        <w:t xml:space="preserve">факультет, </w:t>
      </w:r>
      <w:r>
        <w:rPr>
          <w:color w:val="231F20"/>
        </w:rPr>
        <w:t>відділення в лікарні</w:t>
      </w:r>
      <w:r>
        <w:rPr>
          <w:color w:val="231F20"/>
          <w:spacing w:val="-5"/>
        </w:rPr>
        <w:t xml:space="preserve"> </w:t>
      </w:r>
      <w:r>
        <w:rPr>
          <w:color w:val="231F20"/>
        </w:rPr>
        <w:t>тощо).</w:t>
      </w:r>
    </w:p>
    <w:p w14:paraId="361F6022" w14:textId="77777777" w:rsidR="00DE575E" w:rsidRDefault="002E7560">
      <w:pPr>
        <w:pStyle w:val="BodyText"/>
        <w:spacing w:line="249" w:lineRule="auto"/>
        <w:ind w:left="250" w:right="410" w:firstLine="283"/>
        <w:jc w:val="both"/>
      </w:pPr>
      <w:r>
        <w:rPr>
          <w:color w:val="231F20"/>
          <w:spacing w:val="-3"/>
        </w:rPr>
        <w:t xml:space="preserve">Невід’ємними   суб’єктами   </w:t>
      </w:r>
      <w:r>
        <w:rPr>
          <w:color w:val="231F20"/>
        </w:rPr>
        <w:t>адміністративно-правових   відносин є різноманітні інші адміністративні органи – наприклад, на яких нормами адміністративного права покладено обов’язок</w:t>
      </w:r>
      <w:r>
        <w:rPr>
          <w:color w:val="231F20"/>
          <w:spacing w:val="-34"/>
        </w:rPr>
        <w:t xml:space="preserve"> </w:t>
      </w:r>
      <w:r>
        <w:rPr>
          <w:color w:val="231F20"/>
        </w:rPr>
        <w:t>державного контролю пожежних, санітарних та інших загальнообов’язкових норм і</w:t>
      </w:r>
      <w:r>
        <w:rPr>
          <w:color w:val="231F20"/>
          <w:spacing w:val="-2"/>
        </w:rPr>
        <w:t xml:space="preserve"> </w:t>
      </w:r>
      <w:r>
        <w:rPr>
          <w:color w:val="231F20"/>
        </w:rPr>
        <w:t>правил.</w:t>
      </w:r>
    </w:p>
    <w:p w14:paraId="6CB7C8F9" w14:textId="77777777" w:rsidR="00DE575E" w:rsidRDefault="00DE575E">
      <w:pPr>
        <w:pStyle w:val="BodyText"/>
        <w:spacing w:before="8"/>
      </w:pPr>
    </w:p>
    <w:p w14:paraId="61A5E361" w14:textId="77777777" w:rsidR="00DE575E" w:rsidRDefault="002E7560">
      <w:pPr>
        <w:pStyle w:val="Heading5"/>
        <w:spacing w:before="1"/>
      </w:pPr>
      <w:r>
        <w:rPr>
          <w:color w:val="231F20"/>
        </w:rPr>
        <w:t>5.2.3. Адміністра</w:t>
      </w:r>
      <w:r>
        <w:rPr>
          <w:color w:val="231F20"/>
        </w:rPr>
        <w:t>тивна деліктоздатність</w:t>
      </w:r>
    </w:p>
    <w:p w14:paraId="3410E1DF" w14:textId="77777777" w:rsidR="00DE575E" w:rsidRDefault="00DE575E">
      <w:pPr>
        <w:pStyle w:val="BodyText"/>
        <w:spacing w:before="7"/>
        <w:rPr>
          <w:b/>
          <w:sz w:val="22"/>
        </w:rPr>
      </w:pPr>
    </w:p>
    <w:p w14:paraId="06B5F57E" w14:textId="77777777" w:rsidR="00DE575E" w:rsidRDefault="002E7560">
      <w:pPr>
        <w:pStyle w:val="BodyText"/>
        <w:spacing w:before="1" w:line="249" w:lineRule="auto"/>
        <w:ind w:left="250" w:right="411" w:firstLine="283"/>
        <w:jc w:val="both"/>
      </w:pPr>
      <w:r>
        <w:rPr>
          <w:i/>
          <w:color w:val="231F20"/>
        </w:rPr>
        <w:t xml:space="preserve">Деліктоздатність </w:t>
      </w:r>
      <w:r>
        <w:rPr>
          <w:color w:val="231F20"/>
        </w:rPr>
        <w:t>– це здатність особи нести юридичну відпові- дальність</w:t>
      </w:r>
      <w:r>
        <w:rPr>
          <w:color w:val="231F20"/>
          <w:spacing w:val="-9"/>
        </w:rPr>
        <w:t xml:space="preserve"> </w:t>
      </w:r>
      <w:r>
        <w:rPr>
          <w:color w:val="231F20"/>
        </w:rPr>
        <w:t>за</w:t>
      </w:r>
      <w:r>
        <w:rPr>
          <w:color w:val="231F20"/>
          <w:spacing w:val="-9"/>
        </w:rPr>
        <w:t xml:space="preserve"> </w:t>
      </w:r>
      <w:r>
        <w:rPr>
          <w:color w:val="231F20"/>
          <w:spacing w:val="-5"/>
        </w:rPr>
        <w:t>шкоду,</w:t>
      </w:r>
      <w:r>
        <w:rPr>
          <w:color w:val="231F20"/>
          <w:spacing w:val="-9"/>
        </w:rPr>
        <w:t xml:space="preserve"> </w:t>
      </w:r>
      <w:r>
        <w:rPr>
          <w:color w:val="231F20"/>
        </w:rPr>
        <w:t>заподіяну</w:t>
      </w:r>
      <w:r>
        <w:rPr>
          <w:color w:val="231F20"/>
          <w:spacing w:val="-9"/>
        </w:rPr>
        <w:t xml:space="preserve"> </w:t>
      </w:r>
      <w:r>
        <w:rPr>
          <w:color w:val="231F20"/>
        </w:rPr>
        <w:t>її</w:t>
      </w:r>
      <w:r>
        <w:rPr>
          <w:color w:val="231F20"/>
          <w:spacing w:val="-9"/>
        </w:rPr>
        <w:t xml:space="preserve"> </w:t>
      </w:r>
      <w:r>
        <w:rPr>
          <w:color w:val="231F20"/>
        </w:rPr>
        <w:t>протиправними</w:t>
      </w:r>
      <w:r>
        <w:rPr>
          <w:color w:val="231F20"/>
          <w:spacing w:val="-9"/>
        </w:rPr>
        <w:t xml:space="preserve"> </w:t>
      </w:r>
      <w:r>
        <w:rPr>
          <w:color w:val="231F20"/>
        </w:rPr>
        <w:t>діями.</w:t>
      </w:r>
      <w:r>
        <w:rPr>
          <w:color w:val="231F20"/>
          <w:spacing w:val="-9"/>
        </w:rPr>
        <w:t xml:space="preserve"> </w:t>
      </w:r>
      <w:r>
        <w:rPr>
          <w:color w:val="231F20"/>
        </w:rPr>
        <w:t>Полягає</w:t>
      </w:r>
      <w:r>
        <w:rPr>
          <w:color w:val="231F20"/>
          <w:spacing w:val="-9"/>
        </w:rPr>
        <w:t xml:space="preserve"> </w:t>
      </w:r>
      <w:r>
        <w:rPr>
          <w:color w:val="231F20"/>
        </w:rPr>
        <w:t xml:space="preserve">вона в здатності </w:t>
      </w:r>
      <w:r>
        <w:rPr>
          <w:color w:val="231F20"/>
          <w:spacing w:val="-3"/>
        </w:rPr>
        <w:t xml:space="preserve">суб’єкта </w:t>
      </w:r>
      <w:r>
        <w:rPr>
          <w:color w:val="231F20"/>
        </w:rPr>
        <w:t xml:space="preserve">самостійно усвідомлювати свій вчинок і його шкідливі </w:t>
      </w:r>
      <w:r>
        <w:rPr>
          <w:color w:val="231F20"/>
          <w:spacing w:val="-3"/>
        </w:rPr>
        <w:t xml:space="preserve">результати, </w:t>
      </w:r>
      <w:r>
        <w:rPr>
          <w:color w:val="231F20"/>
        </w:rPr>
        <w:t>відповідати за св</w:t>
      </w:r>
      <w:r>
        <w:rPr>
          <w:color w:val="231F20"/>
        </w:rPr>
        <w:t>ої протиправні дії й нести за них юридичну</w:t>
      </w:r>
      <w:r>
        <w:rPr>
          <w:color w:val="231F20"/>
          <w:spacing w:val="-2"/>
        </w:rPr>
        <w:t xml:space="preserve"> </w:t>
      </w:r>
      <w:r>
        <w:rPr>
          <w:color w:val="231F20"/>
        </w:rPr>
        <w:t>відповідальність.</w:t>
      </w:r>
    </w:p>
    <w:p w14:paraId="0D978F36" w14:textId="77777777" w:rsidR="00DE575E" w:rsidRDefault="002E7560">
      <w:pPr>
        <w:pStyle w:val="BodyText"/>
        <w:spacing w:line="249" w:lineRule="auto"/>
        <w:ind w:left="250" w:right="410" w:firstLine="283"/>
        <w:jc w:val="both"/>
      </w:pPr>
      <w:r>
        <w:rPr>
          <w:color w:val="231F20"/>
        </w:rPr>
        <w:t>Деліктоздатність є окремою, специфічною, але все ж частиною дієздатності. Вона має характерну нормативну конструкцію, що передбачає можливість притягнення до відповідальності частково дієздатного</w:t>
      </w:r>
      <w:r>
        <w:rPr>
          <w:color w:val="231F20"/>
        </w:rPr>
        <w:t xml:space="preserve"> </w:t>
      </w:r>
      <w:r>
        <w:rPr>
          <w:color w:val="231F20"/>
          <w:spacing w:val="-3"/>
        </w:rPr>
        <w:t xml:space="preserve">суб’єкта </w:t>
      </w:r>
      <w:r>
        <w:rPr>
          <w:color w:val="231F20"/>
        </w:rPr>
        <w:t xml:space="preserve">права. Окрема частина дієздатності, поєдную- чись із деліктоздатністю, додає до здатності реалізовувати права  та обов’язки (як правового змісту дієздатності) здатність нести юридичну відповідальність. Одночасно з набуттям дієздатності </w:t>
      </w:r>
      <w:r>
        <w:rPr>
          <w:color w:val="231F20"/>
          <w:spacing w:val="-4"/>
        </w:rPr>
        <w:t>суб’єкт</w:t>
      </w:r>
      <w:r>
        <w:rPr>
          <w:color w:val="231F20"/>
          <w:spacing w:val="-11"/>
        </w:rPr>
        <w:t xml:space="preserve"> </w:t>
      </w:r>
      <w:r>
        <w:rPr>
          <w:color w:val="231F20"/>
        </w:rPr>
        <w:t>пр</w:t>
      </w:r>
      <w:r>
        <w:rPr>
          <w:color w:val="231F20"/>
        </w:rPr>
        <w:t>ава</w:t>
      </w:r>
      <w:r>
        <w:rPr>
          <w:color w:val="231F20"/>
          <w:spacing w:val="-11"/>
        </w:rPr>
        <w:t xml:space="preserve"> </w:t>
      </w:r>
      <w:r>
        <w:rPr>
          <w:color w:val="231F20"/>
        </w:rPr>
        <w:t>набуває</w:t>
      </w:r>
      <w:r>
        <w:rPr>
          <w:color w:val="231F20"/>
          <w:spacing w:val="-11"/>
        </w:rPr>
        <w:t xml:space="preserve"> </w:t>
      </w:r>
      <w:r>
        <w:rPr>
          <w:color w:val="231F20"/>
        </w:rPr>
        <w:t>й</w:t>
      </w:r>
      <w:r>
        <w:rPr>
          <w:color w:val="231F20"/>
          <w:spacing w:val="-12"/>
        </w:rPr>
        <w:t xml:space="preserve"> </w:t>
      </w:r>
      <w:r>
        <w:rPr>
          <w:color w:val="231F20"/>
        </w:rPr>
        <w:t>іншого</w:t>
      </w:r>
      <w:r>
        <w:rPr>
          <w:color w:val="231F20"/>
          <w:spacing w:val="-11"/>
        </w:rPr>
        <w:t xml:space="preserve"> </w:t>
      </w:r>
      <w:r>
        <w:rPr>
          <w:color w:val="231F20"/>
        </w:rPr>
        <w:t>елементу</w:t>
      </w:r>
      <w:r>
        <w:rPr>
          <w:color w:val="231F20"/>
          <w:spacing w:val="-11"/>
        </w:rPr>
        <w:t xml:space="preserve"> </w:t>
      </w:r>
      <w:r>
        <w:rPr>
          <w:color w:val="231F20"/>
        </w:rPr>
        <w:t>правосуб’єктності</w:t>
      </w:r>
      <w:r>
        <w:rPr>
          <w:color w:val="231F20"/>
          <w:spacing w:val="-11"/>
        </w:rPr>
        <w:t xml:space="preserve"> </w:t>
      </w:r>
      <w:r>
        <w:rPr>
          <w:color w:val="231F20"/>
        </w:rPr>
        <w:t>–</w:t>
      </w:r>
      <w:r>
        <w:rPr>
          <w:color w:val="231F20"/>
          <w:spacing w:val="-11"/>
        </w:rPr>
        <w:t xml:space="preserve"> </w:t>
      </w:r>
      <w:r>
        <w:rPr>
          <w:color w:val="231F20"/>
        </w:rPr>
        <w:t>здатно- сті вчинювати</w:t>
      </w:r>
      <w:r>
        <w:rPr>
          <w:color w:val="231F20"/>
          <w:spacing w:val="-2"/>
        </w:rPr>
        <w:t xml:space="preserve"> </w:t>
      </w:r>
      <w:r>
        <w:rPr>
          <w:color w:val="231F20"/>
        </w:rPr>
        <w:t>правопорушення</w:t>
      </w:r>
      <w:r>
        <w:rPr>
          <w:color w:val="231F20"/>
          <w:position w:val="7"/>
          <w:sz w:val="12"/>
        </w:rPr>
        <w:t>1</w:t>
      </w:r>
      <w:r>
        <w:rPr>
          <w:color w:val="231F20"/>
        </w:rPr>
        <w:t>.</w:t>
      </w:r>
    </w:p>
    <w:p w14:paraId="0A5DB315" w14:textId="77777777" w:rsidR="00DE575E" w:rsidRDefault="002E7560">
      <w:pPr>
        <w:pStyle w:val="BodyText"/>
        <w:spacing w:line="252" w:lineRule="auto"/>
        <w:ind w:left="250" w:right="412" w:firstLine="283"/>
        <w:jc w:val="both"/>
      </w:pPr>
      <w:r>
        <w:rPr>
          <w:color w:val="231F20"/>
        </w:rPr>
        <w:t>Адміністративна деліктоздатність у фізичних осіб, за загальним правилом, настає з 16 років. Якщо абстрагуватись від усталеного</w:t>
      </w:r>
    </w:p>
    <w:p w14:paraId="47ABE367" w14:textId="2C98A063" w:rsidR="00DE575E" w:rsidRDefault="002E7560">
      <w:pPr>
        <w:pStyle w:val="BodyText"/>
        <w:spacing w:before="6"/>
        <w:rPr>
          <w:sz w:val="19"/>
        </w:rPr>
      </w:pPr>
      <w:r>
        <w:rPr>
          <w:noProof/>
        </w:rPr>
        <mc:AlternateContent>
          <mc:Choice Requires="wps">
            <w:drawing>
              <wp:anchor distT="0" distB="0" distL="0" distR="0" simplePos="0" relativeHeight="6160" behindDoc="0" locked="0" layoutInCell="1" allowOverlap="1" wp14:anchorId="3AE01CFD" wp14:editId="69C45909">
                <wp:simplePos x="0" y="0"/>
                <wp:positionH relativeFrom="page">
                  <wp:posOffset>539750</wp:posOffset>
                </wp:positionH>
                <wp:positionV relativeFrom="paragraph">
                  <wp:posOffset>173355</wp:posOffset>
                </wp:positionV>
                <wp:extent cx="1080135" cy="0"/>
                <wp:effectExtent l="6350" t="8255" r="31115" b="29845"/>
                <wp:wrapTopAndBottom/>
                <wp:docPr id="1049"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4C45A" id="Line_x0020_1048" o:spid="_x0000_s1026" style="position:absolute;z-index: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65pt" to="127.5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" strokecolor="#231f20" strokeweight=".5pt">
                <w10:wrap type="topAndBottom" anchorx="page"/>
              </v:line>
            </w:pict>
          </mc:Fallback>
        </mc:AlternateContent>
      </w:r>
    </w:p>
    <w:p w14:paraId="283FB7CB" w14:textId="77777777" w:rsidR="00DE575E" w:rsidRDefault="002E7560">
      <w:pPr>
        <w:spacing w:line="204" w:lineRule="auto"/>
        <w:ind w:left="250"/>
        <w:rPr>
          <w:sz w:val="16"/>
        </w:rPr>
      </w:pPr>
      <w:r>
        <w:rPr>
          <w:color w:val="231F20"/>
          <w:position w:val="5"/>
          <w:sz w:val="9"/>
        </w:rPr>
        <w:t xml:space="preserve">1 </w:t>
      </w:r>
      <w:r>
        <w:rPr>
          <w:color w:val="231F20"/>
          <w:sz w:val="16"/>
        </w:rPr>
        <w:t>Пасічник А. Адміністративна правосуб’єктність юридичних осіб приватного права: монографія. Суми: Мрія-1, 2014.</w:t>
      </w:r>
    </w:p>
    <w:p w14:paraId="2F7AA443" w14:textId="77777777" w:rsidR="00DE575E" w:rsidRDefault="00DE575E">
      <w:pPr>
        <w:pStyle w:val="BodyText"/>
        <w:spacing w:before="1"/>
        <w:rPr>
          <w:sz w:val="12"/>
        </w:rPr>
      </w:pPr>
    </w:p>
    <w:p w14:paraId="0EFC7D0D" w14:textId="77777777" w:rsidR="00DE575E" w:rsidRDefault="002E7560">
      <w:pPr>
        <w:spacing w:before="92"/>
        <w:ind w:right="411"/>
        <w:jc w:val="right"/>
        <w:rPr>
          <w:rFonts w:ascii="Times New Roman"/>
          <w:sz w:val="20"/>
        </w:rPr>
      </w:pPr>
      <w:r>
        <w:rPr>
          <w:rFonts w:ascii="Times New Roman"/>
          <w:color w:val="231F20"/>
          <w:w w:val="90"/>
          <w:sz w:val="20"/>
        </w:rPr>
        <w:t>145</w:t>
      </w:r>
    </w:p>
    <w:p w14:paraId="075625F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EFBC1E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B49E1AD" w14:textId="76AD7E4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2C4FAC4" wp14:editId="65D9FC36">
                <wp:extent cx="4140200" cy="6350"/>
                <wp:effectExtent l="0" t="0" r="12700" b="6350"/>
                <wp:docPr id="1047"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48" name="Line 10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D912F" id="Group_x0020_10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hNX4hgAIAAJwFAAAO&#10;AAAAAAAAAAAAAAAAACwCAABkcnMvZTJvRG9jLnhtbFBLAQItABQABgAIAAAAIQBMp7CQ2QAAAAMB&#10;AAAPAAAAAAAAAAAAAAAAANgEAABkcnMvZG93bnJldi54bWxQSwUGAAAAAAQABADzAAAA3gUAAAAA&#10;">
                <v:line id="Line_x0020_10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r7QcgAAADdAAAADwAAAGRycy9kb3ducmV2LnhtbESPQUvDQBCF74L/YRmhF7GbtiISuy1S&#10;EMRDaxN/wDQ7JsHd2TS7bWJ/fecgeJvhvXnvm+V69E6dqY9tYAOzaQaKuAq25drAV/n28AwqJmSL&#10;LjAZ+KUI69XtzRJzGwbe07lItZIQjjkaaFLqcq1j1ZDHOA0dsWjfofeYZO1rbXscJNw7Pc+yJ+2x&#10;ZWlosKNNQ9VPcfIGyuN9cp+7DzeUu8NCH47bxeW0NWZyN76+gEo0pn/z3/W7FfzsUXDlGxlBr6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Jr7QcgAAADdAAAADwAAAAAA&#10;AAAAAAAAAAChAgAAZHJzL2Rvd25yZXYueG1sUEsFBgAAAAAEAAQA+QAAAJYDAAAAAA==&#10;" strokecolor="#231f20" strokeweight=".5pt"/>
                <w10:anchorlock/>
              </v:group>
            </w:pict>
          </mc:Fallback>
        </mc:AlternateContent>
      </w:r>
    </w:p>
    <w:p w14:paraId="0C639D3E" w14:textId="77777777" w:rsidR="00DE575E" w:rsidRDefault="00DE575E">
      <w:pPr>
        <w:pStyle w:val="BodyText"/>
        <w:spacing w:before="7"/>
        <w:rPr>
          <w:rFonts w:ascii="AdonisC"/>
          <w:i/>
          <w:sz w:val="11"/>
        </w:rPr>
      </w:pPr>
    </w:p>
    <w:p w14:paraId="6493FC82" w14:textId="77777777" w:rsidR="00DE575E" w:rsidRDefault="002E7560">
      <w:pPr>
        <w:pStyle w:val="BodyText"/>
        <w:spacing w:before="101" w:line="252" w:lineRule="auto"/>
        <w:ind w:left="533" w:right="127"/>
        <w:jc w:val="both"/>
      </w:pPr>
      <w:r>
        <w:rPr>
          <w:color w:val="231F20"/>
        </w:rPr>
        <w:t>розуміння адміністративної відповідальності та, як наслідок, адміністративної деліктоздатності, можна зробити висновок, що порушення учнем (дитиною шкільного віку) правил шкільного розпорядку також перебуває в площині публічних відносин і харак- теризуєтьс</w:t>
      </w:r>
      <w:r>
        <w:rPr>
          <w:color w:val="231F20"/>
        </w:rPr>
        <w:t>я використанням адміністративних методів адміністру- вання. Тому часткова деліктоздатність виникає з моменту зараху- вання дитини до навчального закладу (тобто вже з 6-7 років).</w:t>
      </w:r>
    </w:p>
    <w:p w14:paraId="1C4AEEC8" w14:textId="77777777" w:rsidR="00DE575E" w:rsidRDefault="002E7560">
      <w:pPr>
        <w:pStyle w:val="BodyText"/>
        <w:spacing w:before="3" w:line="252" w:lineRule="auto"/>
        <w:ind w:left="533" w:right="127" w:firstLine="283"/>
        <w:jc w:val="both"/>
      </w:pPr>
      <w:r>
        <w:rPr>
          <w:color w:val="231F20"/>
        </w:rPr>
        <w:t>Питання деліктоздатності юридичної особи викликали чимало дискусій. З ухваленн</w:t>
      </w:r>
      <w:r>
        <w:rPr>
          <w:color w:val="231F20"/>
        </w:rPr>
        <w:t xml:space="preserve">ям </w:t>
      </w:r>
      <w:r>
        <w:rPr>
          <w:color w:val="231F20"/>
          <w:spacing w:val="-8"/>
        </w:rPr>
        <w:t xml:space="preserve">КАСУ, </w:t>
      </w:r>
      <w:r>
        <w:rPr>
          <w:color w:val="231F20"/>
        </w:rPr>
        <w:t xml:space="preserve">який визнав відповідачем орган державної влади та орган місцевого самоврядування як </w:t>
      </w:r>
      <w:r>
        <w:rPr>
          <w:color w:val="231F20"/>
          <w:spacing w:val="-4"/>
        </w:rPr>
        <w:t xml:space="preserve">суб’єкт </w:t>
      </w:r>
      <w:r>
        <w:rPr>
          <w:color w:val="231F20"/>
        </w:rPr>
        <w:t>владних</w:t>
      </w:r>
      <w:r>
        <w:rPr>
          <w:color w:val="231F20"/>
          <w:spacing w:val="-10"/>
        </w:rPr>
        <w:t xml:space="preserve"> </w:t>
      </w:r>
      <w:r>
        <w:rPr>
          <w:color w:val="231F20"/>
        </w:rPr>
        <w:t>повноважень,</w:t>
      </w:r>
      <w:r>
        <w:rPr>
          <w:color w:val="231F20"/>
          <w:spacing w:val="-10"/>
        </w:rPr>
        <w:t xml:space="preserve"> </w:t>
      </w:r>
      <w:r>
        <w:rPr>
          <w:color w:val="231F20"/>
        </w:rPr>
        <w:t>це</w:t>
      </w:r>
      <w:r>
        <w:rPr>
          <w:color w:val="231F20"/>
          <w:spacing w:val="-10"/>
        </w:rPr>
        <w:t xml:space="preserve"> </w:t>
      </w:r>
      <w:r>
        <w:rPr>
          <w:color w:val="231F20"/>
        </w:rPr>
        <w:t>питання</w:t>
      </w:r>
      <w:r>
        <w:rPr>
          <w:color w:val="231F20"/>
          <w:spacing w:val="-10"/>
        </w:rPr>
        <w:t xml:space="preserve"> </w:t>
      </w:r>
      <w:r>
        <w:rPr>
          <w:color w:val="231F20"/>
        </w:rPr>
        <w:t>вирішено</w:t>
      </w:r>
      <w:r>
        <w:rPr>
          <w:color w:val="231F20"/>
          <w:spacing w:val="-10"/>
        </w:rPr>
        <w:t xml:space="preserve"> </w:t>
      </w:r>
      <w:r>
        <w:rPr>
          <w:color w:val="231F20"/>
        </w:rPr>
        <w:t>на</w:t>
      </w:r>
      <w:r>
        <w:rPr>
          <w:color w:val="231F20"/>
          <w:spacing w:val="-10"/>
        </w:rPr>
        <w:t xml:space="preserve"> </w:t>
      </w:r>
      <w:r>
        <w:rPr>
          <w:color w:val="231F20"/>
        </w:rPr>
        <w:t>користь</w:t>
      </w:r>
      <w:r>
        <w:rPr>
          <w:color w:val="231F20"/>
          <w:spacing w:val="-10"/>
        </w:rPr>
        <w:t xml:space="preserve"> </w:t>
      </w:r>
      <w:r>
        <w:rPr>
          <w:color w:val="231F20"/>
        </w:rPr>
        <w:t>розширення можливостей притягнення до адміністративної відповідальності юридичних осіб і за інші адміні</w:t>
      </w:r>
      <w:r>
        <w:rPr>
          <w:color w:val="231F20"/>
        </w:rPr>
        <w:t>стративні правопорушення (напри- клад,  у  природоохоронній  сфері,  податкових  відносинах  тощо).  У будь-якому разі деліктоздатність юридичної особи має виникати одночасно з правосуб’єктністю, оскільки саме вона зумовлює обсяг компетенції (сукупності пр</w:t>
      </w:r>
      <w:r>
        <w:rPr>
          <w:color w:val="231F20"/>
        </w:rPr>
        <w:t>ав та обов’язків), за реалізацію і в межах якої, власне, юридична особа й нестиме</w:t>
      </w:r>
      <w:r>
        <w:rPr>
          <w:color w:val="231F20"/>
          <w:spacing w:val="-6"/>
        </w:rPr>
        <w:t xml:space="preserve"> </w:t>
      </w:r>
      <w:r>
        <w:rPr>
          <w:color w:val="231F20"/>
        </w:rPr>
        <w:t>відповідальність</w:t>
      </w:r>
      <w:r>
        <w:rPr>
          <w:color w:val="231F20"/>
          <w:position w:val="7"/>
          <w:sz w:val="12"/>
        </w:rPr>
        <w:t>1</w:t>
      </w:r>
      <w:r>
        <w:rPr>
          <w:color w:val="231F20"/>
        </w:rPr>
        <w:t>.</w:t>
      </w:r>
    </w:p>
    <w:p w14:paraId="01B7232F" w14:textId="77777777" w:rsidR="00DE575E" w:rsidRDefault="002E7560">
      <w:pPr>
        <w:pStyle w:val="Heading5"/>
        <w:spacing w:before="6" w:line="252" w:lineRule="auto"/>
        <w:ind w:right="127" w:firstLine="283"/>
        <w:jc w:val="both"/>
      </w:pPr>
      <w:r>
        <w:rPr>
          <w:color w:val="231F20"/>
        </w:rPr>
        <w:t>Отже, адміністративна деліктоздатність полягає у здат- ності фізичних  осіб  нести  адміністративну  відповідальність,  а юридичних осіб – відповідальність</w:t>
      </w:r>
      <w:r>
        <w:rPr>
          <w:color w:val="231F20"/>
        </w:rPr>
        <w:t xml:space="preserve"> в адміністративному </w:t>
      </w:r>
      <w:r>
        <w:rPr>
          <w:color w:val="231F20"/>
          <w:spacing w:val="-4"/>
        </w:rPr>
        <w:t xml:space="preserve">порядку, </w:t>
      </w:r>
      <w:r>
        <w:rPr>
          <w:color w:val="231F20"/>
        </w:rPr>
        <w:t>зокрема й</w:t>
      </w:r>
      <w:r>
        <w:rPr>
          <w:color w:val="231F20"/>
        </w:rPr>
        <w:t xml:space="preserve"> </w:t>
      </w:r>
      <w:r>
        <w:rPr>
          <w:color w:val="231F20"/>
          <w:spacing w:val="-3"/>
        </w:rPr>
        <w:t>матеріальну.</w:t>
      </w:r>
    </w:p>
    <w:p w14:paraId="69CD8236" w14:textId="77777777" w:rsidR="00DE575E" w:rsidRDefault="00DE575E">
      <w:pPr>
        <w:pStyle w:val="BodyText"/>
        <w:spacing w:before="1"/>
        <w:rPr>
          <w:b/>
          <w:sz w:val="22"/>
        </w:rPr>
      </w:pPr>
    </w:p>
    <w:p w14:paraId="0C093E0B" w14:textId="77777777" w:rsidR="00DE575E" w:rsidRDefault="002E7560">
      <w:pPr>
        <w:spacing w:before="1" w:line="252" w:lineRule="auto"/>
        <w:ind w:left="817" w:right="320"/>
        <w:rPr>
          <w:b/>
          <w:sz w:val="21"/>
        </w:rPr>
      </w:pPr>
      <w:r>
        <w:rPr>
          <w:b/>
          <w:color w:val="231F20"/>
          <w:sz w:val="21"/>
        </w:rPr>
        <w:t>5.2.4. Загальний та спеціальний адміністративно-правовий статус приватної особи</w:t>
      </w:r>
    </w:p>
    <w:p w14:paraId="599DF01B" w14:textId="77777777" w:rsidR="00DE575E" w:rsidRDefault="00DE575E">
      <w:pPr>
        <w:pStyle w:val="BodyText"/>
        <w:rPr>
          <w:b/>
          <w:sz w:val="22"/>
        </w:rPr>
      </w:pPr>
    </w:p>
    <w:p w14:paraId="1B1119EC" w14:textId="77777777" w:rsidR="00DE575E" w:rsidRDefault="002E7560">
      <w:pPr>
        <w:pStyle w:val="BodyText"/>
        <w:spacing w:before="1" w:line="252" w:lineRule="auto"/>
        <w:ind w:left="533" w:right="130" w:firstLine="283"/>
        <w:jc w:val="both"/>
      </w:pPr>
      <w:r>
        <w:rPr>
          <w:color w:val="231F20"/>
        </w:rPr>
        <w:t xml:space="preserve">Адміністративна правосуб’єктність індивідуальних </w:t>
      </w:r>
      <w:r>
        <w:rPr>
          <w:color w:val="231F20"/>
          <w:spacing w:val="-3"/>
        </w:rPr>
        <w:t xml:space="preserve">суб’єктів </w:t>
      </w:r>
      <w:r>
        <w:rPr>
          <w:color w:val="231F20"/>
        </w:rPr>
        <w:t>адміністративного права включає адміністративну правоздатність</w:t>
      </w:r>
      <w:r>
        <w:rPr>
          <w:color w:val="231F20"/>
        </w:rPr>
        <w:t xml:space="preserve">  і дієздатність (що у свою чергу включає</w:t>
      </w:r>
      <w:r>
        <w:rPr>
          <w:color w:val="231F20"/>
          <w:spacing w:val="-10"/>
        </w:rPr>
        <w:t xml:space="preserve"> </w:t>
      </w:r>
      <w:r>
        <w:rPr>
          <w:color w:val="231F20"/>
        </w:rPr>
        <w:t>деліктоздатність).</w:t>
      </w:r>
    </w:p>
    <w:p w14:paraId="7A1C2B9A" w14:textId="77777777" w:rsidR="00DE575E" w:rsidRDefault="002E7560">
      <w:pPr>
        <w:pStyle w:val="BodyText"/>
        <w:spacing w:before="1" w:line="252" w:lineRule="auto"/>
        <w:ind w:left="533" w:right="128" w:firstLine="283"/>
        <w:jc w:val="both"/>
      </w:pPr>
      <w:r>
        <w:rPr>
          <w:color w:val="231F20"/>
        </w:rPr>
        <w:t xml:space="preserve">У сфері публічного управління правосуб’єктність індивідуаль- них </w:t>
      </w:r>
      <w:r>
        <w:rPr>
          <w:color w:val="231F20"/>
          <w:spacing w:val="-3"/>
        </w:rPr>
        <w:t xml:space="preserve">суб’єктів </w:t>
      </w:r>
      <w:r>
        <w:rPr>
          <w:color w:val="231F20"/>
        </w:rPr>
        <w:t>має як загальні ознаки, так й ознаки, що дозволяють  їх розмежовувати, через що виділяють загальну та спеціальну адмі- н</w:t>
      </w:r>
      <w:r>
        <w:rPr>
          <w:color w:val="231F20"/>
        </w:rPr>
        <w:t xml:space="preserve">істративну правосуб’єктність індивідуальних </w:t>
      </w:r>
      <w:r>
        <w:rPr>
          <w:color w:val="231F20"/>
          <w:spacing w:val="-3"/>
        </w:rPr>
        <w:t xml:space="preserve">суб’єктів </w:t>
      </w:r>
      <w:r>
        <w:rPr>
          <w:color w:val="231F20"/>
        </w:rPr>
        <w:t>адміністра- тивного</w:t>
      </w:r>
      <w:r>
        <w:rPr>
          <w:color w:val="231F20"/>
          <w:spacing w:val="-2"/>
        </w:rPr>
        <w:t xml:space="preserve"> </w:t>
      </w:r>
      <w:r>
        <w:rPr>
          <w:color w:val="231F20"/>
        </w:rPr>
        <w:t>права.</w:t>
      </w:r>
    </w:p>
    <w:p w14:paraId="25C1ADFB" w14:textId="77777777" w:rsidR="00DE575E" w:rsidRDefault="002E7560">
      <w:pPr>
        <w:pStyle w:val="BodyText"/>
        <w:spacing w:before="3" w:line="252" w:lineRule="auto"/>
        <w:ind w:left="533" w:right="128" w:firstLine="283"/>
        <w:jc w:val="both"/>
      </w:pPr>
      <w:r>
        <w:rPr>
          <w:b/>
          <w:i/>
          <w:color w:val="231F20"/>
        </w:rPr>
        <w:t xml:space="preserve">Загальну ознаку </w:t>
      </w:r>
      <w:r>
        <w:rPr>
          <w:color w:val="231F20"/>
        </w:rPr>
        <w:t>прийнято називати статусом громадянина. За змістом</w:t>
      </w:r>
      <w:r>
        <w:rPr>
          <w:color w:val="231F20"/>
          <w:spacing w:val="-11"/>
        </w:rPr>
        <w:t xml:space="preserve"> </w:t>
      </w:r>
      <w:r>
        <w:rPr>
          <w:color w:val="231F20"/>
        </w:rPr>
        <w:t>розрізняються</w:t>
      </w:r>
      <w:r>
        <w:rPr>
          <w:color w:val="231F20"/>
          <w:spacing w:val="-11"/>
        </w:rPr>
        <w:t xml:space="preserve"> </w:t>
      </w:r>
      <w:r>
        <w:rPr>
          <w:color w:val="231F20"/>
        </w:rPr>
        <w:t>такі</w:t>
      </w:r>
      <w:r>
        <w:rPr>
          <w:color w:val="231F20"/>
          <w:spacing w:val="-11"/>
        </w:rPr>
        <w:t xml:space="preserve"> </w:t>
      </w:r>
      <w:r>
        <w:rPr>
          <w:color w:val="231F20"/>
        </w:rPr>
        <w:t>групи</w:t>
      </w:r>
      <w:r>
        <w:rPr>
          <w:color w:val="231F20"/>
          <w:spacing w:val="-11"/>
        </w:rPr>
        <w:t xml:space="preserve"> </w:t>
      </w:r>
      <w:r>
        <w:rPr>
          <w:color w:val="231F20"/>
        </w:rPr>
        <w:t>прав</w:t>
      </w:r>
      <w:r>
        <w:rPr>
          <w:color w:val="231F20"/>
          <w:spacing w:val="-11"/>
        </w:rPr>
        <w:t xml:space="preserve"> </w:t>
      </w:r>
      <w:r>
        <w:rPr>
          <w:color w:val="231F20"/>
        </w:rPr>
        <w:t>громадян:</w:t>
      </w:r>
      <w:r>
        <w:rPr>
          <w:color w:val="231F20"/>
          <w:spacing w:val="-11"/>
        </w:rPr>
        <w:t xml:space="preserve"> </w:t>
      </w:r>
      <w:r>
        <w:rPr>
          <w:color w:val="231F20"/>
        </w:rPr>
        <w:t>на</w:t>
      </w:r>
      <w:r>
        <w:rPr>
          <w:color w:val="231F20"/>
          <w:spacing w:val="-11"/>
        </w:rPr>
        <w:t xml:space="preserve"> </w:t>
      </w:r>
      <w:r>
        <w:rPr>
          <w:color w:val="231F20"/>
        </w:rPr>
        <w:t>участь</w:t>
      </w:r>
      <w:r>
        <w:rPr>
          <w:color w:val="231F20"/>
          <w:spacing w:val="-11"/>
        </w:rPr>
        <w:t xml:space="preserve"> </w:t>
      </w:r>
      <w:r>
        <w:rPr>
          <w:color w:val="231F20"/>
        </w:rPr>
        <w:t>у</w:t>
      </w:r>
      <w:r>
        <w:rPr>
          <w:color w:val="231F20"/>
          <w:spacing w:val="-12"/>
        </w:rPr>
        <w:t xml:space="preserve"> </w:t>
      </w:r>
      <w:r>
        <w:rPr>
          <w:color w:val="231F20"/>
        </w:rPr>
        <w:t>публіч-</w:t>
      </w:r>
    </w:p>
    <w:p w14:paraId="123C338E" w14:textId="76CB5138" w:rsidR="00DE575E" w:rsidRDefault="002E7560">
      <w:pPr>
        <w:pStyle w:val="BodyText"/>
        <w:spacing w:before="2"/>
        <w:rPr>
          <w:sz w:val="19"/>
        </w:rPr>
      </w:pPr>
      <w:r>
        <w:rPr>
          <w:noProof/>
        </w:rPr>
        <mc:AlternateContent>
          <mc:Choice Requires="wps">
            <w:drawing>
              <wp:anchor distT="0" distB="0" distL="0" distR="0" simplePos="0" relativeHeight="6208" behindDoc="0" locked="0" layoutInCell="1" allowOverlap="1" wp14:anchorId="1A24588E" wp14:editId="02B8636F">
                <wp:simplePos x="0" y="0"/>
                <wp:positionH relativeFrom="page">
                  <wp:posOffset>719455</wp:posOffset>
                </wp:positionH>
                <wp:positionV relativeFrom="paragraph">
                  <wp:posOffset>170815</wp:posOffset>
                </wp:positionV>
                <wp:extent cx="1080135" cy="0"/>
                <wp:effectExtent l="8255" t="18415" r="29210" b="19685"/>
                <wp:wrapTopAndBottom/>
                <wp:docPr id="1046"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19C65" id="Line_x0020_1045" o:spid="_x0000_s1026" style="position:absolute;z-index: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45pt" to="141.7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" strokecolor="#231f20" strokeweight=".5pt">
                <w10:wrap type="topAndBottom" anchorx="page"/>
              </v:line>
            </w:pict>
          </mc:Fallback>
        </mc:AlternateContent>
      </w:r>
    </w:p>
    <w:p w14:paraId="2A9278FF"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Мацелик Т. Адміністративна правосуб’єктність як онтологічна здатність особи бути суб’єктом адміністративного права. </w:t>
      </w:r>
      <w:r>
        <w:rPr>
          <w:i/>
          <w:color w:val="231F20"/>
          <w:sz w:val="16"/>
        </w:rPr>
        <w:t xml:space="preserve">Науковий вісник Чернівецького університету. </w:t>
      </w:r>
      <w:r>
        <w:rPr>
          <w:color w:val="231F20"/>
          <w:sz w:val="16"/>
        </w:rPr>
        <w:t>2011. Вип. 597.</w:t>
      </w:r>
    </w:p>
    <w:p w14:paraId="5038A122" w14:textId="77777777" w:rsidR="00DE575E" w:rsidRDefault="00DE575E">
      <w:pPr>
        <w:pStyle w:val="BodyText"/>
        <w:spacing w:before="2"/>
        <w:rPr>
          <w:sz w:val="12"/>
        </w:rPr>
      </w:pPr>
    </w:p>
    <w:p w14:paraId="278A6EAB" w14:textId="77777777" w:rsidR="00DE575E" w:rsidRDefault="002E7560">
      <w:pPr>
        <w:spacing w:before="92"/>
        <w:ind w:left="533"/>
        <w:rPr>
          <w:rFonts w:ascii="Times New Roman"/>
          <w:sz w:val="20"/>
        </w:rPr>
      </w:pPr>
      <w:r>
        <w:rPr>
          <w:rFonts w:ascii="Times New Roman"/>
          <w:color w:val="231F20"/>
          <w:sz w:val="20"/>
        </w:rPr>
        <w:t>146</w:t>
      </w:r>
    </w:p>
    <w:p w14:paraId="04C45D62" w14:textId="77777777" w:rsidR="00DE575E" w:rsidRDefault="00DE575E">
      <w:pPr>
        <w:rPr>
          <w:rFonts w:ascii="Times New Roman"/>
          <w:sz w:val="20"/>
        </w:rPr>
        <w:sectPr w:rsidR="00DE575E">
          <w:pgSz w:w="8510" w:h="12760"/>
          <w:pgMar w:top="660" w:right="720" w:bottom="280" w:left="600" w:header="720" w:footer="720" w:gutter="0"/>
          <w:cols w:space="720"/>
        </w:sectPr>
      </w:pPr>
    </w:p>
    <w:p w14:paraId="7C3F221C"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w:t>
      </w:r>
      <w:r>
        <w:rPr>
          <w:rFonts w:ascii="AdonisC" w:hAnsi="AdonisC"/>
          <w:i/>
          <w:color w:val="231F20"/>
          <w:sz w:val="18"/>
        </w:rPr>
        <w:t>оба як суб’єкт адміністративного права</w:t>
      </w:r>
    </w:p>
    <w:p w14:paraId="1D0C7E24" w14:textId="6363B77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F65F827" wp14:editId="3EFBF7F1">
                <wp:extent cx="4140200" cy="6350"/>
                <wp:effectExtent l="0" t="0" r="12700" b="6350"/>
                <wp:docPr id="1044"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45" name="Line 104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DFF3C0" id="Group_x0020_104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foO3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un6Dt/AgAAnAUAAA4A&#10;AAAAAAAAAAAAAAAALAIAAGRycy9lMm9Eb2MueG1sUEsBAi0AFAAGAAgAAAAhAEynsJDZAAAAAwEA&#10;AA8AAAAAAAAAAAAAAAAA1wQAAGRycy9kb3ducmV2LnhtbFBLBQYAAAAABAAEAPMAAADdBQAAAAA=&#10;">
                <v:line id="Line_x0020_104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tU38UAAADdAAAADwAAAGRycy9kb3ducmV2LnhtbERP22rCQBB9F/yHZQq+lLqx1iKpq4hQ&#10;kD54SfyAMTtNQndnY3Y1ab++Wyj4NodzncWqt0bcqPW1YwWTcQKCuHC65lLBKX9/moPwAVmjcUwK&#10;vsnDajkcLDDVruMj3bJQihjCPkUFVQhNKqUvKrLox64hjtynay2GCNtS6ha7GG6NfE6SV2mx5thQ&#10;YUObioqv7GoV5JfHYA77D9Pl+/NUni+76c91p9TooV+/gQjUh7v4373VcX7yMoO/b+IJ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ptU38UAAADdAAAADwAAAAAAAAAA&#10;AAAAAAChAgAAZHJzL2Rvd25yZXYueG1sUEsFBgAAAAAEAAQA+QAAAJMDAAAAAA==&#10;" strokecolor="#231f20" strokeweight=".5pt"/>
                <w10:anchorlock/>
              </v:group>
            </w:pict>
          </mc:Fallback>
        </mc:AlternateContent>
      </w:r>
    </w:p>
    <w:p w14:paraId="034FE933" w14:textId="77777777" w:rsidR="00DE575E" w:rsidRDefault="00DE575E">
      <w:pPr>
        <w:pStyle w:val="BodyText"/>
        <w:spacing w:before="7"/>
        <w:rPr>
          <w:rFonts w:ascii="AdonisC"/>
          <w:i/>
          <w:sz w:val="19"/>
        </w:rPr>
      </w:pPr>
    </w:p>
    <w:p w14:paraId="2BB1ECE5" w14:textId="77777777" w:rsidR="00DE575E" w:rsidRDefault="002E7560">
      <w:pPr>
        <w:pStyle w:val="BodyText"/>
        <w:spacing w:before="1" w:line="252" w:lineRule="auto"/>
        <w:ind w:left="250" w:right="411"/>
        <w:jc w:val="both"/>
      </w:pPr>
      <w:r>
        <w:rPr>
          <w:color w:val="231F20"/>
        </w:rPr>
        <w:t xml:space="preserve">ному управлінні, на державну участь, сприяння, допомогу компе- тентних органів публічного адміністрування, право на </w:t>
      </w:r>
      <w:r>
        <w:rPr>
          <w:color w:val="231F20"/>
          <w:spacing w:val="-3"/>
        </w:rPr>
        <w:t xml:space="preserve">захист, </w:t>
      </w:r>
      <w:r>
        <w:rPr>
          <w:color w:val="231F20"/>
        </w:rPr>
        <w:t>право на допомогу недержавних організацій.</w:t>
      </w:r>
    </w:p>
    <w:p w14:paraId="63D9DCD7" w14:textId="77777777" w:rsidR="00DE575E" w:rsidRDefault="002E7560">
      <w:pPr>
        <w:pStyle w:val="BodyText"/>
        <w:spacing w:before="1" w:line="252" w:lineRule="auto"/>
        <w:ind w:left="250" w:right="411" w:firstLine="283"/>
        <w:jc w:val="both"/>
      </w:pPr>
      <w:r>
        <w:rPr>
          <w:color w:val="231F20"/>
        </w:rPr>
        <w:t>Для</w:t>
      </w:r>
      <w:r>
        <w:rPr>
          <w:color w:val="231F20"/>
          <w:spacing w:val="-15"/>
        </w:rPr>
        <w:t xml:space="preserve"> </w:t>
      </w:r>
      <w:r>
        <w:rPr>
          <w:color w:val="231F20"/>
        </w:rPr>
        <w:t>всіх</w:t>
      </w:r>
      <w:r>
        <w:rPr>
          <w:color w:val="231F20"/>
          <w:spacing w:val="-15"/>
        </w:rPr>
        <w:t xml:space="preserve"> </w:t>
      </w:r>
      <w:r>
        <w:rPr>
          <w:color w:val="231F20"/>
        </w:rPr>
        <w:t>осіб,</w:t>
      </w:r>
      <w:r>
        <w:rPr>
          <w:color w:val="231F20"/>
          <w:spacing w:val="-15"/>
        </w:rPr>
        <w:t xml:space="preserve"> </w:t>
      </w:r>
      <w:r>
        <w:rPr>
          <w:color w:val="231F20"/>
        </w:rPr>
        <w:t>які</w:t>
      </w:r>
      <w:r>
        <w:rPr>
          <w:color w:val="231F20"/>
          <w:spacing w:val="-15"/>
        </w:rPr>
        <w:t xml:space="preserve"> </w:t>
      </w:r>
      <w:r>
        <w:rPr>
          <w:color w:val="231F20"/>
        </w:rPr>
        <w:t>перебувають</w:t>
      </w:r>
      <w:r>
        <w:rPr>
          <w:color w:val="231F20"/>
          <w:spacing w:val="-15"/>
        </w:rPr>
        <w:t xml:space="preserve"> </w:t>
      </w:r>
      <w:r>
        <w:rPr>
          <w:color w:val="231F20"/>
        </w:rPr>
        <w:t>на</w:t>
      </w:r>
      <w:r>
        <w:rPr>
          <w:color w:val="231F20"/>
          <w:spacing w:val="-15"/>
        </w:rPr>
        <w:t xml:space="preserve"> </w:t>
      </w:r>
      <w:r>
        <w:rPr>
          <w:color w:val="231F20"/>
        </w:rPr>
        <w:t>території</w:t>
      </w:r>
      <w:r>
        <w:rPr>
          <w:color w:val="231F20"/>
          <w:spacing w:val="-15"/>
        </w:rPr>
        <w:t xml:space="preserve"> </w:t>
      </w:r>
      <w:r>
        <w:rPr>
          <w:color w:val="231F20"/>
          <w:spacing w:val="-3"/>
        </w:rPr>
        <w:t>України</w:t>
      </w:r>
      <w:r>
        <w:rPr>
          <w:color w:val="231F20"/>
          <w:spacing w:val="-15"/>
        </w:rPr>
        <w:t xml:space="preserve"> </w:t>
      </w:r>
      <w:r>
        <w:rPr>
          <w:color w:val="231F20"/>
        </w:rPr>
        <w:t>та</w:t>
      </w:r>
      <w:r>
        <w:rPr>
          <w:color w:val="231F20"/>
          <w:spacing w:val="-15"/>
        </w:rPr>
        <w:t xml:space="preserve"> </w:t>
      </w:r>
      <w:r>
        <w:rPr>
          <w:color w:val="231F20"/>
        </w:rPr>
        <w:t>не</w:t>
      </w:r>
      <w:r>
        <w:rPr>
          <w:color w:val="231F20"/>
          <w:spacing w:val="-15"/>
        </w:rPr>
        <w:t xml:space="preserve"> </w:t>
      </w:r>
      <w:r>
        <w:rPr>
          <w:color w:val="231F20"/>
        </w:rPr>
        <w:t>є</w:t>
      </w:r>
      <w:r>
        <w:rPr>
          <w:color w:val="231F20"/>
          <w:spacing w:val="-16"/>
        </w:rPr>
        <w:t xml:space="preserve"> </w:t>
      </w:r>
      <w:r>
        <w:rPr>
          <w:color w:val="231F20"/>
        </w:rPr>
        <w:t>її</w:t>
      </w:r>
      <w:r>
        <w:rPr>
          <w:color w:val="231F20"/>
          <w:spacing w:val="-15"/>
        </w:rPr>
        <w:t xml:space="preserve"> </w:t>
      </w:r>
      <w:r>
        <w:rPr>
          <w:color w:val="231F20"/>
        </w:rPr>
        <w:t>грома- дянами, законодавством встановлено певні особливості праводієз- датності: вони не можуть бути державними службовцями, займати окремі посади, працювати в правоохоронних органах; не допуска- ються до діяльності, пов’язаної з державною таємн</w:t>
      </w:r>
      <w:r>
        <w:rPr>
          <w:color w:val="231F20"/>
        </w:rPr>
        <w:t>ицею; на них не поширюється військовий обов’язок; їх адміністративна деліктоз- датність специфічна; вони проживають і здійснюють свою діяль- ність на підставі спеціальних документів (це, наприклад,  довідка на проживання, закордонний паспорт тощо). Для них</w:t>
      </w:r>
      <w:r>
        <w:rPr>
          <w:color w:val="231F20"/>
        </w:rPr>
        <w:t xml:space="preserve"> можуть бути встановлені обмеження в пересуванні й виборі місця проживання, коли це потрібно для дотримання національної безпеки, суспіль- ного </w:t>
      </w:r>
      <w:r>
        <w:rPr>
          <w:color w:val="231F20"/>
          <w:spacing w:val="-3"/>
        </w:rPr>
        <w:t xml:space="preserve">порядку, </w:t>
      </w:r>
      <w:r>
        <w:rPr>
          <w:color w:val="231F20"/>
        </w:rPr>
        <w:t>захисту прав і законних інтересів громадян</w:t>
      </w:r>
      <w:r>
        <w:rPr>
          <w:color w:val="231F20"/>
        </w:rPr>
        <w:t xml:space="preserve"> </w:t>
      </w:r>
      <w:r>
        <w:rPr>
          <w:color w:val="231F20"/>
        </w:rPr>
        <w:t>тощо.</w:t>
      </w:r>
    </w:p>
    <w:p w14:paraId="37FA182C" w14:textId="77777777" w:rsidR="00DE575E" w:rsidRDefault="002E7560">
      <w:pPr>
        <w:spacing w:before="6" w:line="252" w:lineRule="auto"/>
        <w:ind w:left="250" w:right="411" w:firstLine="283"/>
        <w:jc w:val="both"/>
        <w:rPr>
          <w:sz w:val="21"/>
        </w:rPr>
      </w:pPr>
      <w:r>
        <w:rPr>
          <w:b/>
          <w:i/>
          <w:color w:val="231F20"/>
          <w:sz w:val="21"/>
        </w:rPr>
        <w:t xml:space="preserve">Спеціальна адміністративна правосуб’єктність </w:t>
      </w:r>
      <w:r>
        <w:rPr>
          <w:color w:val="231F20"/>
          <w:sz w:val="21"/>
        </w:rPr>
        <w:t>індивіду-</w:t>
      </w:r>
      <w:r>
        <w:rPr>
          <w:color w:val="231F20"/>
          <w:sz w:val="21"/>
        </w:rPr>
        <w:t xml:space="preserve"> альних суб’єктів адміністративного права. У реальному житті існує розмаїття спеціальних адміністративно-правових статусів.</w:t>
      </w:r>
    </w:p>
    <w:p w14:paraId="107E1153" w14:textId="77777777" w:rsidR="00DE575E" w:rsidRDefault="002E7560">
      <w:pPr>
        <w:pStyle w:val="BodyText"/>
        <w:spacing w:before="2"/>
        <w:ind w:left="533"/>
      </w:pPr>
      <w:r>
        <w:rPr>
          <w:color w:val="231F20"/>
        </w:rPr>
        <w:t>До них можна віднести:</w:t>
      </w:r>
    </w:p>
    <w:p w14:paraId="4F6B5F9D" w14:textId="77777777" w:rsidR="00DE575E" w:rsidRDefault="002E7560">
      <w:pPr>
        <w:pStyle w:val="ListParagraph"/>
        <w:numPr>
          <w:ilvl w:val="0"/>
          <w:numId w:val="243"/>
        </w:numPr>
        <w:tabs>
          <w:tab w:val="left" w:pos="818"/>
        </w:tabs>
        <w:spacing w:before="12" w:line="252" w:lineRule="auto"/>
        <w:ind w:right="408" w:firstLine="283"/>
        <w:rPr>
          <w:sz w:val="21"/>
        </w:rPr>
      </w:pPr>
      <w:r>
        <w:rPr>
          <w:color w:val="231F20"/>
          <w:sz w:val="21"/>
        </w:rPr>
        <w:t>статус членів адміністративних колективів (розрізняються статуси осіб, які навчаються, мілітаризованих службо</w:t>
      </w:r>
      <w:r>
        <w:rPr>
          <w:color w:val="231F20"/>
          <w:sz w:val="21"/>
        </w:rPr>
        <w:t>вців, осіб, свобода яких обмежена в адміністративному</w:t>
      </w:r>
      <w:r>
        <w:rPr>
          <w:color w:val="231F20"/>
          <w:spacing w:val="-7"/>
          <w:sz w:val="21"/>
        </w:rPr>
        <w:t xml:space="preserve"> </w:t>
      </w:r>
      <w:r>
        <w:rPr>
          <w:color w:val="231F20"/>
          <w:sz w:val="21"/>
        </w:rPr>
        <w:t>порядку);</w:t>
      </w:r>
    </w:p>
    <w:p w14:paraId="653FE84B" w14:textId="77777777" w:rsidR="00DE575E" w:rsidRDefault="002E7560">
      <w:pPr>
        <w:pStyle w:val="ListParagraph"/>
        <w:numPr>
          <w:ilvl w:val="0"/>
          <w:numId w:val="243"/>
        </w:numPr>
        <w:tabs>
          <w:tab w:val="left" w:pos="818"/>
        </w:tabs>
        <w:spacing w:before="2" w:line="252" w:lineRule="auto"/>
        <w:ind w:right="411" w:firstLine="283"/>
        <w:rPr>
          <w:sz w:val="21"/>
        </w:rPr>
      </w:pPr>
      <w:r>
        <w:rPr>
          <w:color w:val="231F20"/>
          <w:sz w:val="21"/>
        </w:rPr>
        <w:t>статус</w:t>
      </w:r>
      <w:r>
        <w:rPr>
          <w:color w:val="231F20"/>
          <w:spacing w:val="-18"/>
          <w:sz w:val="21"/>
        </w:rPr>
        <w:t xml:space="preserve"> </w:t>
      </w:r>
      <w:r>
        <w:rPr>
          <w:color w:val="231F20"/>
          <w:spacing w:val="-3"/>
          <w:sz w:val="21"/>
        </w:rPr>
        <w:t>суб’єктів</w:t>
      </w:r>
      <w:r>
        <w:rPr>
          <w:color w:val="231F20"/>
          <w:spacing w:val="-18"/>
          <w:sz w:val="21"/>
        </w:rPr>
        <w:t xml:space="preserve"> </w:t>
      </w:r>
      <w:r>
        <w:rPr>
          <w:color w:val="231F20"/>
          <w:sz w:val="21"/>
        </w:rPr>
        <w:t>адміністративної</w:t>
      </w:r>
      <w:r>
        <w:rPr>
          <w:color w:val="231F20"/>
          <w:spacing w:val="-18"/>
          <w:sz w:val="21"/>
        </w:rPr>
        <w:t xml:space="preserve"> </w:t>
      </w:r>
      <w:r>
        <w:rPr>
          <w:color w:val="231F20"/>
          <w:sz w:val="21"/>
        </w:rPr>
        <w:t>опіки</w:t>
      </w:r>
      <w:r>
        <w:rPr>
          <w:color w:val="231F20"/>
          <w:spacing w:val="-18"/>
          <w:sz w:val="21"/>
        </w:rPr>
        <w:t xml:space="preserve"> </w:t>
      </w:r>
      <w:r>
        <w:rPr>
          <w:color w:val="231F20"/>
          <w:sz w:val="21"/>
        </w:rPr>
        <w:t>(установлення</w:t>
      </w:r>
      <w:r>
        <w:rPr>
          <w:color w:val="231F20"/>
          <w:spacing w:val="-18"/>
          <w:sz w:val="21"/>
        </w:rPr>
        <w:t xml:space="preserve"> </w:t>
      </w:r>
      <w:r>
        <w:rPr>
          <w:color w:val="231F20"/>
          <w:sz w:val="21"/>
        </w:rPr>
        <w:t>держав- ної опіки над особами, що її потребують, безробітними, чорнобиль- цями, біженцями  і  змушеними  переселенцями,  інвалідами  війни  і прирівняними до них особами, дітьми-сиротами, багатодітними батьками</w:t>
      </w:r>
      <w:r>
        <w:rPr>
          <w:color w:val="231F20"/>
          <w:spacing w:val="-2"/>
          <w:sz w:val="21"/>
        </w:rPr>
        <w:t xml:space="preserve"> </w:t>
      </w:r>
      <w:r>
        <w:rPr>
          <w:color w:val="231F20"/>
          <w:sz w:val="21"/>
        </w:rPr>
        <w:t>тощо);</w:t>
      </w:r>
    </w:p>
    <w:p w14:paraId="5FBF726A" w14:textId="77777777" w:rsidR="00DE575E" w:rsidRDefault="002E7560">
      <w:pPr>
        <w:pStyle w:val="ListParagraph"/>
        <w:numPr>
          <w:ilvl w:val="0"/>
          <w:numId w:val="243"/>
        </w:numPr>
        <w:tabs>
          <w:tab w:val="left" w:pos="818"/>
        </w:tabs>
        <w:spacing w:before="2" w:line="252" w:lineRule="auto"/>
        <w:ind w:right="411" w:firstLine="283"/>
        <w:rPr>
          <w:sz w:val="21"/>
        </w:rPr>
      </w:pPr>
      <w:r>
        <w:rPr>
          <w:color w:val="231F20"/>
          <w:spacing w:val="-3"/>
          <w:sz w:val="21"/>
        </w:rPr>
        <w:t xml:space="preserve">статус жителів територій </w:t>
      </w:r>
      <w:r>
        <w:rPr>
          <w:color w:val="231F20"/>
          <w:sz w:val="21"/>
        </w:rPr>
        <w:t xml:space="preserve">з особливим </w:t>
      </w:r>
      <w:r>
        <w:rPr>
          <w:color w:val="231F20"/>
          <w:spacing w:val="-3"/>
          <w:sz w:val="21"/>
        </w:rPr>
        <w:t>а</w:t>
      </w:r>
      <w:r>
        <w:rPr>
          <w:color w:val="231F20"/>
          <w:spacing w:val="-3"/>
          <w:sz w:val="21"/>
        </w:rPr>
        <w:t xml:space="preserve">дміністративно-пра- вовим режимом (території, </w:t>
      </w:r>
      <w:r>
        <w:rPr>
          <w:color w:val="231F20"/>
          <w:sz w:val="21"/>
        </w:rPr>
        <w:t xml:space="preserve">що </w:t>
      </w:r>
      <w:r>
        <w:rPr>
          <w:color w:val="231F20"/>
          <w:spacing w:val="-3"/>
          <w:sz w:val="21"/>
        </w:rPr>
        <w:t xml:space="preserve">тимчасово </w:t>
      </w:r>
      <w:r>
        <w:rPr>
          <w:color w:val="231F20"/>
          <w:sz w:val="21"/>
        </w:rPr>
        <w:t xml:space="preserve">чи </w:t>
      </w:r>
      <w:r>
        <w:rPr>
          <w:color w:val="231F20"/>
          <w:spacing w:val="-3"/>
          <w:sz w:val="21"/>
        </w:rPr>
        <w:t xml:space="preserve">постійно </w:t>
      </w:r>
      <w:r>
        <w:rPr>
          <w:color w:val="231F20"/>
          <w:spacing w:val="-4"/>
          <w:sz w:val="21"/>
        </w:rPr>
        <w:t xml:space="preserve">перебувають </w:t>
      </w:r>
      <w:r>
        <w:rPr>
          <w:color w:val="231F20"/>
          <w:sz w:val="21"/>
        </w:rPr>
        <w:t xml:space="preserve">на особливому </w:t>
      </w:r>
      <w:r>
        <w:rPr>
          <w:color w:val="231F20"/>
          <w:spacing w:val="-3"/>
          <w:sz w:val="21"/>
        </w:rPr>
        <w:t xml:space="preserve">правовому положенні: райони проведення антитеро- ристичної операції, режими </w:t>
      </w:r>
      <w:r>
        <w:rPr>
          <w:color w:val="231F20"/>
          <w:spacing w:val="-4"/>
          <w:sz w:val="21"/>
        </w:rPr>
        <w:t xml:space="preserve">прикордонної </w:t>
      </w:r>
      <w:r>
        <w:rPr>
          <w:color w:val="231F20"/>
          <w:spacing w:val="-3"/>
          <w:sz w:val="21"/>
        </w:rPr>
        <w:t xml:space="preserve">зони, закритих </w:t>
      </w:r>
      <w:r>
        <w:rPr>
          <w:color w:val="231F20"/>
          <w:spacing w:val="-6"/>
          <w:sz w:val="21"/>
        </w:rPr>
        <w:t xml:space="preserve">міст, </w:t>
      </w:r>
      <w:r>
        <w:rPr>
          <w:color w:val="231F20"/>
          <w:sz w:val="21"/>
        </w:rPr>
        <w:t xml:space="preserve">запо- </w:t>
      </w:r>
      <w:r>
        <w:rPr>
          <w:color w:val="231F20"/>
          <w:spacing w:val="-3"/>
          <w:sz w:val="21"/>
        </w:rPr>
        <w:t>відників, вільних економічних зон, карантин</w:t>
      </w:r>
      <w:r>
        <w:rPr>
          <w:color w:val="231F20"/>
          <w:spacing w:val="-3"/>
          <w:sz w:val="21"/>
        </w:rPr>
        <w:t xml:space="preserve">и </w:t>
      </w:r>
      <w:r>
        <w:rPr>
          <w:color w:val="231F20"/>
          <w:sz w:val="21"/>
        </w:rPr>
        <w:t xml:space="preserve">тощо). </w:t>
      </w:r>
      <w:r>
        <w:rPr>
          <w:color w:val="231F20"/>
          <w:spacing w:val="-3"/>
          <w:sz w:val="21"/>
        </w:rPr>
        <w:t xml:space="preserve">Спеціальна адміністративна </w:t>
      </w:r>
      <w:r>
        <w:rPr>
          <w:color w:val="231F20"/>
          <w:spacing w:val="-4"/>
          <w:sz w:val="21"/>
        </w:rPr>
        <w:t xml:space="preserve">правосуб’єктність індивідуальних </w:t>
      </w:r>
      <w:r>
        <w:rPr>
          <w:color w:val="231F20"/>
          <w:spacing w:val="-5"/>
          <w:sz w:val="21"/>
        </w:rPr>
        <w:t xml:space="preserve">суб’єктів </w:t>
      </w:r>
      <w:r>
        <w:rPr>
          <w:color w:val="231F20"/>
          <w:sz w:val="21"/>
        </w:rPr>
        <w:t xml:space="preserve">адмі- </w:t>
      </w:r>
      <w:r>
        <w:rPr>
          <w:color w:val="231F20"/>
          <w:spacing w:val="-3"/>
          <w:sz w:val="21"/>
        </w:rPr>
        <w:t xml:space="preserve">ністративного права таких територій містить </w:t>
      </w:r>
      <w:r>
        <w:rPr>
          <w:color w:val="231F20"/>
          <w:sz w:val="21"/>
        </w:rPr>
        <w:t xml:space="preserve">у </w:t>
      </w:r>
      <w:r>
        <w:rPr>
          <w:color w:val="231F20"/>
          <w:spacing w:val="-3"/>
          <w:sz w:val="21"/>
        </w:rPr>
        <w:t xml:space="preserve">собі </w:t>
      </w:r>
      <w:r>
        <w:rPr>
          <w:color w:val="231F20"/>
          <w:sz w:val="21"/>
        </w:rPr>
        <w:t xml:space="preserve">особливі </w:t>
      </w:r>
      <w:r>
        <w:rPr>
          <w:color w:val="231F20"/>
          <w:spacing w:val="-3"/>
          <w:sz w:val="21"/>
        </w:rPr>
        <w:t xml:space="preserve">правила в’їзду </w:t>
      </w:r>
      <w:r>
        <w:rPr>
          <w:color w:val="231F20"/>
          <w:sz w:val="21"/>
        </w:rPr>
        <w:t xml:space="preserve">в </w:t>
      </w:r>
      <w:r>
        <w:rPr>
          <w:color w:val="231F20"/>
          <w:spacing w:val="-6"/>
          <w:sz w:val="21"/>
        </w:rPr>
        <w:t xml:space="preserve">зону, </w:t>
      </w:r>
      <w:r>
        <w:rPr>
          <w:color w:val="231F20"/>
          <w:spacing w:val="-5"/>
          <w:sz w:val="21"/>
        </w:rPr>
        <w:t xml:space="preserve">виїзду, </w:t>
      </w:r>
      <w:r>
        <w:rPr>
          <w:color w:val="231F20"/>
          <w:spacing w:val="-3"/>
          <w:sz w:val="21"/>
        </w:rPr>
        <w:t xml:space="preserve">пересування, діяльності </w:t>
      </w:r>
      <w:r>
        <w:rPr>
          <w:color w:val="231F20"/>
          <w:sz w:val="21"/>
        </w:rPr>
        <w:t xml:space="preserve">в </w:t>
      </w:r>
      <w:r>
        <w:rPr>
          <w:color w:val="231F20"/>
          <w:spacing w:val="-3"/>
          <w:sz w:val="21"/>
        </w:rPr>
        <w:t xml:space="preserve">ній, здійснення адмі- ністративного </w:t>
      </w:r>
      <w:r>
        <w:rPr>
          <w:color w:val="231F20"/>
          <w:spacing w:val="-6"/>
          <w:sz w:val="21"/>
        </w:rPr>
        <w:t xml:space="preserve">нагляду, </w:t>
      </w:r>
      <w:r>
        <w:rPr>
          <w:color w:val="231F20"/>
          <w:spacing w:val="-3"/>
          <w:sz w:val="21"/>
        </w:rPr>
        <w:t>застосува</w:t>
      </w:r>
      <w:r>
        <w:rPr>
          <w:color w:val="231F20"/>
          <w:spacing w:val="-3"/>
          <w:sz w:val="21"/>
        </w:rPr>
        <w:t>ння адміністративного</w:t>
      </w:r>
      <w:r>
        <w:rPr>
          <w:color w:val="231F20"/>
          <w:spacing w:val="-1"/>
          <w:sz w:val="21"/>
        </w:rPr>
        <w:t xml:space="preserve"> </w:t>
      </w:r>
      <w:r>
        <w:rPr>
          <w:color w:val="231F20"/>
          <w:spacing w:val="-4"/>
          <w:sz w:val="21"/>
        </w:rPr>
        <w:t>примусу;</w:t>
      </w:r>
    </w:p>
    <w:p w14:paraId="4E953F4C" w14:textId="77777777" w:rsidR="00DE575E" w:rsidRDefault="002E7560">
      <w:pPr>
        <w:pStyle w:val="ListParagraph"/>
        <w:numPr>
          <w:ilvl w:val="0"/>
          <w:numId w:val="243"/>
        </w:numPr>
        <w:tabs>
          <w:tab w:val="left" w:pos="818"/>
        </w:tabs>
        <w:spacing w:before="5" w:line="252" w:lineRule="auto"/>
        <w:ind w:right="411" w:firstLine="283"/>
        <w:rPr>
          <w:sz w:val="21"/>
        </w:rPr>
      </w:pPr>
      <w:r>
        <w:rPr>
          <w:color w:val="231F20"/>
          <w:sz w:val="21"/>
        </w:rPr>
        <w:t xml:space="preserve">статус </w:t>
      </w:r>
      <w:r>
        <w:rPr>
          <w:color w:val="231F20"/>
          <w:spacing w:val="-3"/>
          <w:sz w:val="21"/>
        </w:rPr>
        <w:t xml:space="preserve">суб’єктів </w:t>
      </w:r>
      <w:r>
        <w:rPr>
          <w:color w:val="231F20"/>
          <w:sz w:val="21"/>
        </w:rPr>
        <w:t>дозвільної системи («дозвільна система» – це сукупність</w:t>
      </w:r>
      <w:r>
        <w:rPr>
          <w:color w:val="231F20"/>
          <w:spacing w:val="-7"/>
          <w:sz w:val="21"/>
        </w:rPr>
        <w:t xml:space="preserve"> </w:t>
      </w:r>
      <w:r>
        <w:rPr>
          <w:color w:val="231F20"/>
          <w:sz w:val="21"/>
        </w:rPr>
        <w:t>правил,</w:t>
      </w:r>
      <w:r>
        <w:rPr>
          <w:color w:val="231F20"/>
          <w:spacing w:val="-7"/>
          <w:sz w:val="21"/>
        </w:rPr>
        <w:t xml:space="preserve"> </w:t>
      </w:r>
      <w:r>
        <w:rPr>
          <w:color w:val="231F20"/>
          <w:sz w:val="21"/>
        </w:rPr>
        <w:t>що</w:t>
      </w:r>
      <w:r>
        <w:rPr>
          <w:color w:val="231F20"/>
          <w:spacing w:val="-7"/>
          <w:sz w:val="21"/>
        </w:rPr>
        <w:t xml:space="preserve"> </w:t>
      </w:r>
      <w:r>
        <w:rPr>
          <w:color w:val="231F20"/>
          <w:sz w:val="21"/>
        </w:rPr>
        <w:t>вимагають</w:t>
      </w:r>
      <w:r>
        <w:rPr>
          <w:color w:val="231F20"/>
          <w:spacing w:val="-7"/>
          <w:sz w:val="21"/>
        </w:rPr>
        <w:t xml:space="preserve"> </w:t>
      </w:r>
      <w:r>
        <w:rPr>
          <w:color w:val="231F20"/>
          <w:sz w:val="21"/>
        </w:rPr>
        <w:t>одержання</w:t>
      </w:r>
      <w:r>
        <w:rPr>
          <w:color w:val="231F20"/>
          <w:spacing w:val="-7"/>
          <w:sz w:val="21"/>
        </w:rPr>
        <w:t xml:space="preserve"> </w:t>
      </w:r>
      <w:r>
        <w:rPr>
          <w:color w:val="231F20"/>
          <w:sz w:val="21"/>
        </w:rPr>
        <w:t>дозволу</w:t>
      </w:r>
      <w:r>
        <w:rPr>
          <w:color w:val="231F20"/>
          <w:spacing w:val="-7"/>
          <w:sz w:val="21"/>
        </w:rPr>
        <w:t xml:space="preserve"> </w:t>
      </w:r>
      <w:r>
        <w:rPr>
          <w:color w:val="231F20"/>
          <w:sz w:val="21"/>
        </w:rPr>
        <w:t>на</w:t>
      </w:r>
      <w:r>
        <w:rPr>
          <w:color w:val="231F20"/>
          <w:spacing w:val="-7"/>
          <w:sz w:val="21"/>
        </w:rPr>
        <w:t xml:space="preserve"> </w:t>
      </w:r>
      <w:r>
        <w:rPr>
          <w:color w:val="231F20"/>
          <w:sz w:val="21"/>
        </w:rPr>
        <w:t xml:space="preserve">здійснення визначеної діяльності й </w:t>
      </w:r>
      <w:r>
        <w:rPr>
          <w:color w:val="231F20"/>
          <w:spacing w:val="-2"/>
          <w:sz w:val="21"/>
        </w:rPr>
        <w:t xml:space="preserve">регулюють </w:t>
      </w:r>
      <w:r>
        <w:rPr>
          <w:color w:val="231F20"/>
          <w:sz w:val="21"/>
        </w:rPr>
        <w:t>контроль за</w:t>
      </w:r>
      <w:r>
        <w:rPr>
          <w:color w:val="231F20"/>
          <w:spacing w:val="-5"/>
          <w:sz w:val="21"/>
        </w:rPr>
        <w:t xml:space="preserve"> </w:t>
      </w:r>
      <w:r>
        <w:rPr>
          <w:color w:val="231F20"/>
          <w:sz w:val="21"/>
        </w:rPr>
        <w:t>нею).</w:t>
      </w:r>
    </w:p>
    <w:p w14:paraId="4EAA2AF0" w14:textId="77777777" w:rsidR="00DE575E" w:rsidRDefault="00DE575E">
      <w:pPr>
        <w:pStyle w:val="BodyText"/>
        <w:spacing w:before="6"/>
        <w:rPr>
          <w:sz w:val="12"/>
        </w:rPr>
      </w:pPr>
    </w:p>
    <w:p w14:paraId="713E1B57" w14:textId="77777777" w:rsidR="00DE575E" w:rsidRDefault="002E7560">
      <w:pPr>
        <w:spacing w:before="91"/>
        <w:ind w:right="411"/>
        <w:jc w:val="right"/>
        <w:rPr>
          <w:rFonts w:ascii="Times New Roman"/>
          <w:sz w:val="20"/>
        </w:rPr>
      </w:pPr>
      <w:r>
        <w:rPr>
          <w:rFonts w:ascii="Times New Roman"/>
          <w:color w:val="231F20"/>
          <w:w w:val="90"/>
          <w:sz w:val="20"/>
        </w:rPr>
        <w:t>147</w:t>
      </w:r>
    </w:p>
    <w:p w14:paraId="76ABD6D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95E924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C1FB930" w14:textId="5F5E267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4F75527" wp14:editId="0FCA4FA5">
                <wp:extent cx="4140200" cy="6350"/>
                <wp:effectExtent l="0" t="0" r="12700" b="6350"/>
                <wp:docPr id="1042"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43" name="Line 104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595764" id="Group_x0020_104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el3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EJR6XfQIAAJwFAAAOAAAA&#10;AAAAAAAAAAAAACwCAABkcnMvZTJvRG9jLnhtbFBLAQItABQABgAIAAAAIQBMp7CQ2QAAAAMBAAAP&#10;AAAAAAAAAAAAAAAAANUEAABkcnMvZG93bnJldi54bWxQSwUGAAAAAAQABADzAAAA2wUAAAAA&#10;">
                <v:line id="Line_x0020_104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5pMMQAAADdAAAADwAAAGRycy9kb3ducmV2LnhtbERP22rCQBB9L/Qflin0pehGI1Kiq4gg&#10;SB+8pR8wZqdJ6O5szK4m7de7QqFvczjXmS97a8SNWl87VjAaJiCIC6drLhV85pvBOwgfkDUax6Tg&#10;hzwsF89Pc8y06/hIt1MoRQxhn6GCKoQmk9IXFVn0Q9cQR+7LtRZDhG0pdYtdDLdGjpNkKi3WHBsq&#10;bGhdUfF9uloF+eUtmMP+w3T5/pzK82WX/l53Sr2+9KsZiEB9+Bf/ubc6zk8m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PmkwxAAAAN0AAAAPAAAAAAAAAAAA&#10;AAAAAKECAABkcnMvZG93bnJldi54bWxQSwUGAAAAAAQABAD5AAAAkgMAAAAA&#10;" strokecolor="#231f20" strokeweight=".5pt"/>
                <w10:anchorlock/>
              </v:group>
            </w:pict>
          </mc:Fallback>
        </mc:AlternateContent>
      </w:r>
    </w:p>
    <w:p w14:paraId="68105421" w14:textId="77777777" w:rsidR="00DE575E" w:rsidRDefault="00DE575E">
      <w:pPr>
        <w:pStyle w:val="BodyText"/>
        <w:spacing w:before="6"/>
        <w:rPr>
          <w:rFonts w:ascii="AdonisC"/>
          <w:i/>
          <w:sz w:val="11"/>
        </w:rPr>
      </w:pPr>
    </w:p>
    <w:p w14:paraId="55787331" w14:textId="77777777" w:rsidR="00DE575E" w:rsidRDefault="002E7560">
      <w:pPr>
        <w:pStyle w:val="Heading4"/>
        <w:numPr>
          <w:ilvl w:val="1"/>
          <w:numId w:val="244"/>
        </w:numPr>
        <w:tabs>
          <w:tab w:val="left" w:pos="2523"/>
        </w:tabs>
        <w:spacing w:before="100"/>
        <w:ind w:left="2522"/>
        <w:jc w:val="left"/>
      </w:pPr>
      <w:r>
        <w:rPr>
          <w:color w:val="231F20"/>
          <w:spacing w:val="-3"/>
        </w:rPr>
        <w:t xml:space="preserve">Суб’єктивне </w:t>
      </w:r>
      <w:r>
        <w:rPr>
          <w:color w:val="231F20"/>
        </w:rPr>
        <w:t>публічне право</w:t>
      </w:r>
    </w:p>
    <w:p w14:paraId="08E80CA6" w14:textId="77777777" w:rsidR="00DE575E" w:rsidRDefault="00DE575E">
      <w:pPr>
        <w:pStyle w:val="BodyText"/>
        <w:rPr>
          <w:b/>
          <w:sz w:val="26"/>
        </w:rPr>
      </w:pPr>
    </w:p>
    <w:p w14:paraId="4939FAB8" w14:textId="77777777" w:rsidR="00DE575E" w:rsidRDefault="002E7560">
      <w:pPr>
        <w:pStyle w:val="Heading5"/>
        <w:numPr>
          <w:ilvl w:val="2"/>
          <w:numId w:val="242"/>
        </w:numPr>
        <w:tabs>
          <w:tab w:val="left" w:pos="1383"/>
        </w:tabs>
        <w:spacing w:before="223"/>
        <w:jc w:val="left"/>
      </w:pPr>
      <w:r>
        <w:rPr>
          <w:color w:val="231F20"/>
        </w:rPr>
        <w:t>Сутність суб’єктивних публічних прав приватної</w:t>
      </w:r>
      <w:r>
        <w:rPr>
          <w:color w:val="231F20"/>
          <w:spacing w:val="-27"/>
        </w:rPr>
        <w:t xml:space="preserve"> </w:t>
      </w:r>
      <w:r>
        <w:rPr>
          <w:color w:val="231F20"/>
        </w:rPr>
        <w:t>особи</w:t>
      </w:r>
    </w:p>
    <w:p w14:paraId="50544A72" w14:textId="77777777" w:rsidR="00DE575E" w:rsidRDefault="00DE575E">
      <w:pPr>
        <w:pStyle w:val="BodyText"/>
        <w:spacing w:before="2"/>
        <w:rPr>
          <w:b/>
          <w:sz w:val="23"/>
        </w:rPr>
      </w:pPr>
    </w:p>
    <w:p w14:paraId="4CB8DCF1" w14:textId="77777777" w:rsidR="00DE575E" w:rsidRDefault="002E7560">
      <w:pPr>
        <w:pStyle w:val="BodyText"/>
        <w:spacing w:line="252" w:lineRule="auto"/>
        <w:ind w:left="533" w:right="128" w:firstLine="283"/>
        <w:jc w:val="both"/>
      </w:pPr>
      <w:r>
        <w:rPr>
          <w:color w:val="231F20"/>
        </w:rPr>
        <w:t>Суб’єктивні права приватної особи є частиною структури адмі- ністративно-правового статусу особи.</w:t>
      </w:r>
    </w:p>
    <w:p w14:paraId="6B00E81C" w14:textId="77777777" w:rsidR="00DE575E" w:rsidRDefault="002E7560">
      <w:pPr>
        <w:pStyle w:val="BodyText"/>
        <w:spacing w:before="1" w:line="252" w:lineRule="auto"/>
        <w:ind w:left="533" w:right="127" w:firstLine="283"/>
        <w:jc w:val="both"/>
      </w:pPr>
      <w:r>
        <w:rPr>
          <w:b/>
          <w:i/>
          <w:color w:val="231F20"/>
        </w:rPr>
        <w:t xml:space="preserve">Суб’єктивні права особи </w:t>
      </w:r>
      <w:r>
        <w:rPr>
          <w:color w:val="231F20"/>
        </w:rPr>
        <w:t>– це надана й гарантована державою через закріплення у правових нормах міра можливої (дозволеної) поведінки цієї особи.</w:t>
      </w:r>
    </w:p>
    <w:p w14:paraId="1CD55CDB" w14:textId="77777777" w:rsidR="00DE575E" w:rsidRDefault="002E7560">
      <w:pPr>
        <w:pStyle w:val="BodyText"/>
        <w:spacing w:before="1" w:line="252" w:lineRule="auto"/>
        <w:ind w:left="533" w:right="128" w:firstLine="283"/>
        <w:jc w:val="both"/>
      </w:pPr>
      <w:r>
        <w:rPr>
          <w:color w:val="231F20"/>
        </w:rPr>
        <w:t>Ознаками наявн</w:t>
      </w:r>
      <w:r>
        <w:rPr>
          <w:color w:val="231F20"/>
        </w:rPr>
        <w:t>ості в учасників адміністративних правовід- носин суб’єктивних прав є: можливість певної поведінки з метою задоволення своїх інтересів; наявність адміністративної право- суб’єктності; можливість реалізації поведінки в адміністративних правовідносинах; обме</w:t>
      </w:r>
      <w:r>
        <w:rPr>
          <w:color w:val="231F20"/>
        </w:rPr>
        <w:t>женість поведінки межами адміністративно- правових норм, вихід за які є порушенням правових приписів.</w:t>
      </w:r>
    </w:p>
    <w:p w14:paraId="4057F994" w14:textId="77777777" w:rsidR="00DE575E" w:rsidRDefault="002E7560">
      <w:pPr>
        <w:pStyle w:val="BodyText"/>
        <w:spacing w:before="3" w:line="252" w:lineRule="auto"/>
        <w:ind w:left="533" w:right="127" w:firstLine="283"/>
        <w:jc w:val="both"/>
      </w:pPr>
      <w:r>
        <w:rPr>
          <w:color w:val="231F20"/>
          <w:spacing w:val="-3"/>
        </w:rPr>
        <w:t xml:space="preserve">Суб’єктивні </w:t>
      </w:r>
      <w:r>
        <w:rPr>
          <w:color w:val="231F20"/>
        </w:rPr>
        <w:t xml:space="preserve">права встановлюють індивідуальну конкретну владну міру свободи поведінки, що надається уповноваженому </w:t>
      </w:r>
      <w:r>
        <w:rPr>
          <w:color w:val="231F20"/>
          <w:spacing w:val="-3"/>
        </w:rPr>
        <w:t xml:space="preserve">суб’єкту </w:t>
      </w:r>
      <w:r>
        <w:rPr>
          <w:color w:val="231F20"/>
        </w:rPr>
        <w:t xml:space="preserve">для задоволення його інтересів </w:t>
      </w:r>
      <w:r>
        <w:rPr>
          <w:color w:val="231F20"/>
        </w:rPr>
        <w:t xml:space="preserve">і забезпечена відповідними обов’язками інших </w:t>
      </w:r>
      <w:r>
        <w:rPr>
          <w:color w:val="231F20"/>
          <w:spacing w:val="-3"/>
        </w:rPr>
        <w:t xml:space="preserve">суб’єктів </w:t>
      </w:r>
      <w:r>
        <w:rPr>
          <w:color w:val="231F20"/>
        </w:rPr>
        <w:t>та гарантіями держави.</w:t>
      </w:r>
    </w:p>
    <w:p w14:paraId="0A0E6934" w14:textId="77777777" w:rsidR="00DE575E" w:rsidRDefault="002E7560">
      <w:pPr>
        <w:pStyle w:val="BodyText"/>
        <w:spacing w:before="2" w:line="252" w:lineRule="auto"/>
        <w:ind w:left="533" w:right="126" w:firstLine="283"/>
        <w:jc w:val="both"/>
      </w:pPr>
      <w:r>
        <w:rPr>
          <w:color w:val="231F20"/>
          <w:spacing w:val="-3"/>
        </w:rPr>
        <w:t xml:space="preserve">Суб’єктивні </w:t>
      </w:r>
      <w:r>
        <w:rPr>
          <w:color w:val="231F20"/>
        </w:rPr>
        <w:t>права відзначаються публічністю, що означає змогу приватних осіб впливати  на  управлінські  процеси,  брати  участь  у державній і суспільно-політичній діяльності, реалізовувати права і свободи, надані Конституцією, оскаржувати рішення, дії чи безді- яльн</w:t>
      </w:r>
      <w:r>
        <w:rPr>
          <w:color w:val="231F20"/>
        </w:rPr>
        <w:t xml:space="preserve">ість  органів  державної  влади,  їх  посадових  осіб  до  </w:t>
      </w:r>
      <w:r>
        <w:rPr>
          <w:color w:val="231F20"/>
          <w:spacing w:val="-4"/>
        </w:rPr>
        <w:t xml:space="preserve">суду  </w:t>
      </w:r>
      <w:r>
        <w:rPr>
          <w:color w:val="231F20"/>
        </w:rPr>
        <w:t>чи  в позасудовому</w:t>
      </w:r>
      <w:r>
        <w:rPr>
          <w:color w:val="231F20"/>
          <w:spacing w:val="-3"/>
        </w:rPr>
        <w:t xml:space="preserve"> порядку.</w:t>
      </w:r>
    </w:p>
    <w:p w14:paraId="65E69979" w14:textId="77777777" w:rsidR="00DE575E" w:rsidRDefault="002E7560">
      <w:pPr>
        <w:pStyle w:val="BodyText"/>
        <w:spacing w:before="3" w:line="252" w:lineRule="auto"/>
        <w:ind w:left="533" w:right="127" w:firstLine="283"/>
        <w:jc w:val="both"/>
      </w:pPr>
      <w:r>
        <w:rPr>
          <w:i/>
          <w:color w:val="231F20"/>
          <w:spacing w:val="-3"/>
        </w:rPr>
        <w:t xml:space="preserve">Суб’єктивні </w:t>
      </w:r>
      <w:r>
        <w:rPr>
          <w:i/>
          <w:color w:val="231F20"/>
        </w:rPr>
        <w:t xml:space="preserve">права у сфері публічного адміністрування </w:t>
      </w:r>
      <w:r>
        <w:rPr>
          <w:color w:val="231F20"/>
        </w:rPr>
        <w:t xml:space="preserve">(або </w:t>
      </w:r>
      <w:r>
        <w:rPr>
          <w:color w:val="231F20"/>
          <w:spacing w:val="-4"/>
        </w:rPr>
        <w:t xml:space="preserve">суб’єк- </w:t>
      </w:r>
      <w:r>
        <w:rPr>
          <w:color w:val="231F20"/>
        </w:rPr>
        <w:t>тивні публічні права приватної особи) – це надана і гарантована державою, а також закріплена в ад</w:t>
      </w:r>
      <w:r>
        <w:rPr>
          <w:color w:val="231F20"/>
        </w:rPr>
        <w:t xml:space="preserve">міністративно-правових нормах міра можливої (дозволеної) поведінки особи </w:t>
      </w:r>
      <w:r>
        <w:rPr>
          <w:color w:val="231F20"/>
          <w:spacing w:val="-3"/>
        </w:rPr>
        <w:t xml:space="preserve">(суб’єкта), </w:t>
      </w:r>
      <w:r>
        <w:rPr>
          <w:color w:val="231F20"/>
        </w:rPr>
        <w:t xml:space="preserve">що забезпе- чена кореспондованим зобов’язанням іншого </w:t>
      </w:r>
      <w:r>
        <w:rPr>
          <w:color w:val="231F20"/>
          <w:spacing w:val="-3"/>
        </w:rPr>
        <w:t xml:space="preserve">суб’єкта </w:t>
      </w:r>
      <w:r>
        <w:rPr>
          <w:color w:val="231F20"/>
        </w:rPr>
        <w:t>у правовідно- синах публічного управління.</w:t>
      </w:r>
    </w:p>
    <w:p w14:paraId="5A9AAFE4" w14:textId="77777777" w:rsidR="00DE575E" w:rsidRDefault="002E7560">
      <w:pPr>
        <w:pStyle w:val="BodyText"/>
        <w:spacing w:before="3" w:line="252" w:lineRule="auto"/>
        <w:ind w:left="533" w:right="128" w:firstLine="283"/>
        <w:jc w:val="both"/>
      </w:pPr>
      <w:r>
        <w:rPr>
          <w:color w:val="231F20"/>
        </w:rPr>
        <w:t xml:space="preserve">Для </w:t>
      </w:r>
      <w:r>
        <w:rPr>
          <w:color w:val="231F20"/>
          <w:spacing w:val="-3"/>
        </w:rPr>
        <w:t xml:space="preserve">суб’єктивних </w:t>
      </w:r>
      <w:r>
        <w:rPr>
          <w:color w:val="231F20"/>
        </w:rPr>
        <w:t>прав у сфері публічного управління характерні та</w:t>
      </w:r>
      <w:r>
        <w:rPr>
          <w:color w:val="231F20"/>
        </w:rPr>
        <w:t>кі ознаки: адміністративно-правова природа, існування в адмі- ністративних правовідносинах, наявність меж у поведінці, належ- ність</w:t>
      </w:r>
      <w:r>
        <w:rPr>
          <w:color w:val="231F20"/>
          <w:spacing w:val="-13"/>
        </w:rPr>
        <w:t xml:space="preserve"> </w:t>
      </w:r>
      <w:r>
        <w:rPr>
          <w:color w:val="231F20"/>
        </w:rPr>
        <w:t>особам,</w:t>
      </w:r>
      <w:r>
        <w:rPr>
          <w:color w:val="231F20"/>
          <w:spacing w:val="-13"/>
        </w:rPr>
        <w:t xml:space="preserve"> </w:t>
      </w:r>
      <w:r>
        <w:rPr>
          <w:color w:val="231F20"/>
        </w:rPr>
        <w:t>які</w:t>
      </w:r>
      <w:r>
        <w:rPr>
          <w:color w:val="231F20"/>
          <w:spacing w:val="-13"/>
        </w:rPr>
        <w:t xml:space="preserve"> </w:t>
      </w:r>
      <w:r>
        <w:rPr>
          <w:color w:val="231F20"/>
        </w:rPr>
        <w:t>мають</w:t>
      </w:r>
      <w:r>
        <w:rPr>
          <w:color w:val="231F20"/>
          <w:spacing w:val="-14"/>
        </w:rPr>
        <w:t xml:space="preserve"> </w:t>
      </w:r>
      <w:r>
        <w:rPr>
          <w:color w:val="231F20"/>
        </w:rPr>
        <w:t>адміністративну</w:t>
      </w:r>
      <w:r>
        <w:rPr>
          <w:color w:val="231F20"/>
          <w:spacing w:val="-14"/>
        </w:rPr>
        <w:t xml:space="preserve"> </w:t>
      </w:r>
      <w:r>
        <w:rPr>
          <w:color w:val="231F20"/>
        </w:rPr>
        <w:t>правоздатність</w:t>
      </w:r>
      <w:r>
        <w:rPr>
          <w:color w:val="231F20"/>
          <w:spacing w:val="-14"/>
        </w:rPr>
        <w:t xml:space="preserve"> </w:t>
      </w:r>
      <w:r>
        <w:rPr>
          <w:color w:val="231F20"/>
        </w:rPr>
        <w:t>та</w:t>
      </w:r>
      <w:r>
        <w:rPr>
          <w:color w:val="231F20"/>
          <w:spacing w:val="-13"/>
        </w:rPr>
        <w:t xml:space="preserve"> </w:t>
      </w:r>
      <w:r>
        <w:rPr>
          <w:color w:val="231F20"/>
        </w:rPr>
        <w:t>адмініст- ративну дієздатність, наявність державних</w:t>
      </w:r>
      <w:r>
        <w:rPr>
          <w:color w:val="231F20"/>
          <w:spacing w:val="-6"/>
        </w:rPr>
        <w:t xml:space="preserve"> </w:t>
      </w:r>
      <w:r>
        <w:rPr>
          <w:color w:val="231F20"/>
        </w:rPr>
        <w:t>гарантій.</w:t>
      </w:r>
    </w:p>
    <w:p w14:paraId="7B5A9E1C" w14:textId="77777777" w:rsidR="00DE575E" w:rsidRDefault="002E7560">
      <w:pPr>
        <w:pStyle w:val="BodyText"/>
        <w:spacing w:before="3" w:line="252" w:lineRule="auto"/>
        <w:ind w:left="533" w:right="128" w:firstLine="283"/>
        <w:jc w:val="both"/>
      </w:pPr>
      <w:r>
        <w:rPr>
          <w:color w:val="231F20"/>
        </w:rPr>
        <w:t>Система су</w:t>
      </w:r>
      <w:r>
        <w:rPr>
          <w:color w:val="231F20"/>
        </w:rPr>
        <w:t>б’єктивних публічних прав приватних осіб склада- ється:</w:t>
      </w:r>
    </w:p>
    <w:p w14:paraId="5E7081AB" w14:textId="77777777" w:rsidR="00DE575E" w:rsidRDefault="00DE575E">
      <w:pPr>
        <w:pStyle w:val="BodyText"/>
        <w:spacing w:before="10"/>
        <w:rPr>
          <w:sz w:val="11"/>
        </w:rPr>
      </w:pPr>
    </w:p>
    <w:p w14:paraId="1D2B73BC" w14:textId="77777777" w:rsidR="00DE575E" w:rsidRDefault="002E7560">
      <w:pPr>
        <w:spacing w:before="92"/>
        <w:ind w:left="533"/>
        <w:rPr>
          <w:rFonts w:ascii="Times New Roman"/>
          <w:sz w:val="20"/>
        </w:rPr>
      </w:pPr>
      <w:r>
        <w:rPr>
          <w:rFonts w:ascii="Times New Roman"/>
          <w:color w:val="231F20"/>
          <w:sz w:val="20"/>
        </w:rPr>
        <w:t>148</w:t>
      </w:r>
    </w:p>
    <w:p w14:paraId="2703BB61" w14:textId="77777777" w:rsidR="00DE575E" w:rsidRDefault="00DE575E">
      <w:pPr>
        <w:rPr>
          <w:rFonts w:ascii="Times New Roman"/>
          <w:sz w:val="20"/>
        </w:rPr>
        <w:sectPr w:rsidR="00DE575E">
          <w:pgSz w:w="8510" w:h="12760"/>
          <w:pgMar w:top="660" w:right="720" w:bottom="280" w:left="600" w:header="720" w:footer="720" w:gutter="0"/>
          <w:cols w:space="720"/>
        </w:sectPr>
      </w:pPr>
    </w:p>
    <w:p w14:paraId="55384809" w14:textId="77777777" w:rsidR="00DE575E" w:rsidRDefault="002E7560">
      <w:pPr>
        <w:spacing w:before="72" w:line="249" w:lineRule="auto"/>
        <w:ind w:left="1683" w:right="411" w:firstLine="1746"/>
        <w:jc w:val="right"/>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6B306C44" w14:textId="5D3C284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0A137A2" wp14:editId="31D1EB49">
                <wp:extent cx="4140200" cy="6350"/>
                <wp:effectExtent l="0" t="0" r="12700" b="6350"/>
                <wp:docPr id="1040"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41" name="Line 104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46D723" id="Group_x0020_103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vOLWFgAIAAJwFAAAO&#10;AAAAAAAAAAAAAAAAACwCAABkcnMvZTJvRG9jLnhtbFBLAQItABQABgAIAAAAIQBMp7CQ2QAAAAMB&#10;AAAPAAAAAAAAAAAAAAAAANgEAABkcnMvZG93bnJldi54bWxQSwUGAAAAAAQABADzAAAA3gUAAAAA&#10;">
                <v:line id="Line_x0020_104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BS3MUAAADdAAAADwAAAGRycy9kb3ducmV2LnhtbERPzWrCQBC+C77DMoVeSrNRi5SYVaRQ&#10;kB60Gh9gzI5J6O5szK4m7dN3CwVv8/H9Tr4arBE36nzjWMEkSUEQl043XCk4Fu/PryB8QNZoHJOC&#10;b/KwWo5HOWba9byn2yFUIoawz1BBHUKbSenLmiz6xLXEkTu7zmKIsKuk7rCP4dbIaZrOpcWGY0ON&#10;Lb3VVH4drlZBcXkK5nP3Yfpid5rJ02U7+7lulXp8GNYLEIGGcBf/uzc6zk9fJv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aBS3MUAAADdAAAADwAAAAAAAAAA&#10;AAAAAAChAgAAZHJzL2Rvd25yZXYueG1sUEsFBgAAAAAEAAQA+QAAAJMDAAAAAA==&#10;" strokecolor="#231f20" strokeweight=".5pt"/>
                <w10:anchorlock/>
              </v:group>
            </w:pict>
          </mc:Fallback>
        </mc:AlternateContent>
      </w:r>
    </w:p>
    <w:p w14:paraId="3BB6553B" w14:textId="77777777" w:rsidR="00DE575E" w:rsidRDefault="00DE575E">
      <w:pPr>
        <w:pStyle w:val="BodyText"/>
        <w:spacing w:before="7"/>
        <w:rPr>
          <w:rFonts w:ascii="AdonisC"/>
          <w:i/>
          <w:sz w:val="19"/>
        </w:rPr>
      </w:pPr>
    </w:p>
    <w:p w14:paraId="5CF07AE5" w14:textId="77777777" w:rsidR="00DE575E" w:rsidRDefault="002E7560">
      <w:pPr>
        <w:pStyle w:val="ListParagraph"/>
        <w:numPr>
          <w:ilvl w:val="0"/>
          <w:numId w:val="258"/>
        </w:numPr>
        <w:tabs>
          <w:tab w:val="left" w:pos="818"/>
        </w:tabs>
        <w:ind w:firstLine="283"/>
        <w:jc w:val="left"/>
        <w:rPr>
          <w:sz w:val="21"/>
        </w:rPr>
      </w:pPr>
      <w:r>
        <w:rPr>
          <w:color w:val="231F20"/>
          <w:sz w:val="21"/>
        </w:rPr>
        <w:t xml:space="preserve">з прав на свободу слова, зібрань, </w:t>
      </w:r>
      <w:r>
        <w:rPr>
          <w:color w:val="231F20"/>
          <w:spacing w:val="-3"/>
          <w:sz w:val="21"/>
        </w:rPr>
        <w:t>об’єднання,</w:t>
      </w:r>
      <w:r>
        <w:rPr>
          <w:color w:val="231F20"/>
          <w:spacing w:val="-9"/>
          <w:sz w:val="21"/>
        </w:rPr>
        <w:t xml:space="preserve"> </w:t>
      </w:r>
      <w:r>
        <w:rPr>
          <w:color w:val="231F20"/>
          <w:sz w:val="21"/>
        </w:rPr>
        <w:t>віросповідання;</w:t>
      </w:r>
    </w:p>
    <w:p w14:paraId="10A78174" w14:textId="77777777" w:rsidR="00DE575E" w:rsidRDefault="002E7560">
      <w:pPr>
        <w:pStyle w:val="ListParagraph"/>
        <w:numPr>
          <w:ilvl w:val="0"/>
          <w:numId w:val="258"/>
        </w:numPr>
        <w:tabs>
          <w:tab w:val="left" w:pos="818"/>
        </w:tabs>
        <w:spacing w:before="12" w:line="252" w:lineRule="auto"/>
        <w:ind w:right="411" w:firstLine="283"/>
        <w:rPr>
          <w:sz w:val="21"/>
        </w:rPr>
      </w:pPr>
      <w:r>
        <w:rPr>
          <w:color w:val="231F20"/>
          <w:sz w:val="21"/>
        </w:rPr>
        <w:t>з прав, пов’язаних з участю громадян в управлінні держав- ними справами (активне та пасивне виборче право, право на здійс- нення громадського контролю, право</w:t>
      </w:r>
      <w:r>
        <w:rPr>
          <w:color w:val="231F20"/>
          <w:sz w:val="21"/>
        </w:rPr>
        <w:t xml:space="preserve"> на участь у відправленні правосуддя);</w:t>
      </w:r>
    </w:p>
    <w:p w14:paraId="051E05F4" w14:textId="77777777" w:rsidR="00DE575E" w:rsidRDefault="002E7560">
      <w:pPr>
        <w:pStyle w:val="ListParagraph"/>
        <w:numPr>
          <w:ilvl w:val="0"/>
          <w:numId w:val="258"/>
        </w:numPr>
        <w:tabs>
          <w:tab w:val="left" w:pos="818"/>
        </w:tabs>
        <w:spacing w:before="2"/>
        <w:ind w:firstLine="283"/>
        <w:jc w:val="left"/>
        <w:rPr>
          <w:sz w:val="21"/>
        </w:rPr>
      </w:pPr>
      <w:r>
        <w:rPr>
          <w:color w:val="231F20"/>
          <w:sz w:val="21"/>
        </w:rPr>
        <w:t>з прав на отримання адміністративних</w:t>
      </w:r>
      <w:r>
        <w:rPr>
          <w:color w:val="231F20"/>
          <w:spacing w:val="-7"/>
          <w:sz w:val="21"/>
        </w:rPr>
        <w:t xml:space="preserve"> </w:t>
      </w:r>
      <w:r>
        <w:rPr>
          <w:color w:val="231F20"/>
          <w:sz w:val="21"/>
        </w:rPr>
        <w:t>послуг;</w:t>
      </w:r>
    </w:p>
    <w:p w14:paraId="6BD707B4" w14:textId="77777777" w:rsidR="00DE575E" w:rsidRDefault="002E7560">
      <w:pPr>
        <w:pStyle w:val="ListParagraph"/>
        <w:numPr>
          <w:ilvl w:val="0"/>
          <w:numId w:val="258"/>
        </w:numPr>
        <w:tabs>
          <w:tab w:val="left" w:pos="818"/>
        </w:tabs>
        <w:spacing w:before="13" w:line="252" w:lineRule="auto"/>
        <w:ind w:right="410" w:firstLine="283"/>
        <w:rPr>
          <w:sz w:val="21"/>
        </w:rPr>
      </w:pPr>
      <w:r>
        <w:rPr>
          <w:color w:val="231F20"/>
          <w:sz w:val="21"/>
        </w:rPr>
        <w:t>з прав на користування публічним майном (вулиці, площі, парки тощо);</w:t>
      </w:r>
    </w:p>
    <w:p w14:paraId="334F68B9" w14:textId="77777777" w:rsidR="00DE575E" w:rsidRDefault="002E7560">
      <w:pPr>
        <w:pStyle w:val="ListParagraph"/>
        <w:numPr>
          <w:ilvl w:val="0"/>
          <w:numId w:val="258"/>
        </w:numPr>
        <w:tabs>
          <w:tab w:val="left" w:pos="818"/>
        </w:tabs>
        <w:spacing w:line="252" w:lineRule="auto"/>
        <w:ind w:right="411" w:firstLine="283"/>
        <w:rPr>
          <w:sz w:val="21"/>
        </w:rPr>
      </w:pPr>
      <w:r>
        <w:rPr>
          <w:color w:val="231F20"/>
          <w:sz w:val="21"/>
        </w:rPr>
        <w:t>з прав, пов’язаних із можливістю захисту своїх прав і свобод (право на</w:t>
      </w:r>
      <w:r>
        <w:rPr>
          <w:color w:val="231F20"/>
          <w:spacing w:val="-2"/>
          <w:sz w:val="21"/>
        </w:rPr>
        <w:t xml:space="preserve"> </w:t>
      </w:r>
      <w:r>
        <w:rPr>
          <w:color w:val="231F20"/>
          <w:sz w:val="21"/>
        </w:rPr>
        <w:t>звернення).</w:t>
      </w:r>
    </w:p>
    <w:p w14:paraId="08713D14" w14:textId="77777777" w:rsidR="00DE575E" w:rsidRDefault="002E7560">
      <w:pPr>
        <w:pStyle w:val="BodyText"/>
        <w:spacing w:before="1" w:line="252" w:lineRule="auto"/>
        <w:ind w:left="250" w:right="410" w:firstLine="283"/>
        <w:jc w:val="both"/>
      </w:pPr>
      <w:r>
        <w:rPr>
          <w:color w:val="231F20"/>
        </w:rPr>
        <w:t>Згідно  з  основними</w:t>
      </w:r>
      <w:r>
        <w:rPr>
          <w:color w:val="231F20"/>
        </w:rPr>
        <w:t xml:space="preserve">   правами   та   обов’язками,   закріпленими в нормах Конституції </w:t>
      </w:r>
      <w:r>
        <w:rPr>
          <w:color w:val="231F20"/>
          <w:spacing w:val="-3"/>
        </w:rPr>
        <w:t xml:space="preserve">України, </w:t>
      </w:r>
      <w:r>
        <w:rPr>
          <w:color w:val="231F20"/>
        </w:rPr>
        <w:t xml:space="preserve">потрібно розрізняти: права грома- дян, закріплені в нормах адміністративного права, які розвивають   і конкретизують права, закріплені в Конституції </w:t>
      </w:r>
      <w:r>
        <w:rPr>
          <w:color w:val="231F20"/>
          <w:spacing w:val="-3"/>
        </w:rPr>
        <w:t xml:space="preserve">України </w:t>
      </w:r>
      <w:r>
        <w:rPr>
          <w:color w:val="231F20"/>
        </w:rPr>
        <w:t>(право на участь в упра</w:t>
      </w:r>
      <w:r>
        <w:rPr>
          <w:color w:val="231F20"/>
        </w:rPr>
        <w:t xml:space="preserve">влінні державними справами, право на медичну допо- </w:t>
      </w:r>
      <w:r>
        <w:rPr>
          <w:color w:val="231F20"/>
          <w:spacing w:val="-4"/>
        </w:rPr>
        <w:t>могу,</w:t>
      </w:r>
      <w:r>
        <w:rPr>
          <w:color w:val="231F20"/>
          <w:spacing w:val="-15"/>
        </w:rPr>
        <w:t xml:space="preserve"> </w:t>
      </w:r>
      <w:r>
        <w:rPr>
          <w:color w:val="231F20"/>
        </w:rPr>
        <w:t>право</w:t>
      </w:r>
      <w:r>
        <w:rPr>
          <w:color w:val="231F20"/>
          <w:spacing w:val="-15"/>
        </w:rPr>
        <w:t xml:space="preserve"> </w:t>
      </w:r>
      <w:r>
        <w:rPr>
          <w:color w:val="231F20"/>
        </w:rPr>
        <w:t>на</w:t>
      </w:r>
      <w:r>
        <w:rPr>
          <w:color w:val="231F20"/>
          <w:spacing w:val="-15"/>
        </w:rPr>
        <w:t xml:space="preserve"> </w:t>
      </w:r>
      <w:r>
        <w:rPr>
          <w:color w:val="231F20"/>
        </w:rPr>
        <w:t>освіту</w:t>
      </w:r>
      <w:r>
        <w:rPr>
          <w:color w:val="231F20"/>
          <w:spacing w:val="-15"/>
        </w:rPr>
        <w:t xml:space="preserve"> </w:t>
      </w:r>
      <w:r>
        <w:rPr>
          <w:color w:val="231F20"/>
        </w:rPr>
        <w:t>тощо),</w:t>
      </w:r>
      <w:r>
        <w:rPr>
          <w:color w:val="231F20"/>
          <w:spacing w:val="-15"/>
        </w:rPr>
        <w:t xml:space="preserve"> </w:t>
      </w:r>
      <w:r>
        <w:rPr>
          <w:color w:val="231F20"/>
        </w:rPr>
        <w:t>та</w:t>
      </w:r>
      <w:r>
        <w:rPr>
          <w:color w:val="231F20"/>
          <w:spacing w:val="-15"/>
        </w:rPr>
        <w:t xml:space="preserve"> </w:t>
      </w:r>
      <w:r>
        <w:rPr>
          <w:color w:val="231F20"/>
        </w:rPr>
        <w:t>права</w:t>
      </w:r>
      <w:r>
        <w:rPr>
          <w:color w:val="231F20"/>
          <w:spacing w:val="-15"/>
        </w:rPr>
        <w:t xml:space="preserve"> </w:t>
      </w:r>
      <w:r>
        <w:rPr>
          <w:color w:val="231F20"/>
        </w:rPr>
        <w:t>громадян,</w:t>
      </w:r>
      <w:r>
        <w:rPr>
          <w:color w:val="231F20"/>
          <w:spacing w:val="-15"/>
        </w:rPr>
        <w:t xml:space="preserve"> </w:t>
      </w:r>
      <w:r>
        <w:rPr>
          <w:color w:val="231F20"/>
        </w:rPr>
        <w:t>передбачені</w:t>
      </w:r>
      <w:r>
        <w:rPr>
          <w:color w:val="231F20"/>
          <w:spacing w:val="-15"/>
        </w:rPr>
        <w:t xml:space="preserve"> </w:t>
      </w:r>
      <w:r>
        <w:rPr>
          <w:color w:val="231F20"/>
        </w:rPr>
        <w:t>нормами тільки адміністративного права (наприклад ті, що зумовлені наяв- ністю паспортної</w:t>
      </w:r>
      <w:r>
        <w:rPr>
          <w:color w:val="231F20"/>
          <w:spacing w:val="-2"/>
        </w:rPr>
        <w:t xml:space="preserve"> </w:t>
      </w:r>
      <w:r>
        <w:rPr>
          <w:color w:val="231F20"/>
        </w:rPr>
        <w:t>системи).</w:t>
      </w:r>
    </w:p>
    <w:p w14:paraId="7B40E0C2" w14:textId="77777777" w:rsidR="00DE575E" w:rsidRDefault="002E7560">
      <w:pPr>
        <w:pStyle w:val="BodyText"/>
        <w:spacing w:before="4" w:line="252" w:lineRule="auto"/>
        <w:ind w:left="250" w:right="410" w:firstLine="283"/>
        <w:jc w:val="both"/>
      </w:pPr>
      <w:r>
        <w:rPr>
          <w:color w:val="231F20"/>
          <w:spacing w:val="-3"/>
        </w:rPr>
        <w:t xml:space="preserve">Суб’єктивні </w:t>
      </w:r>
      <w:r>
        <w:rPr>
          <w:color w:val="231F20"/>
        </w:rPr>
        <w:t>публічні права  приватних  осіб  можна  визначити  як права, якими користуються приватні особи у сфері публічного управління,</w:t>
      </w:r>
      <w:r>
        <w:rPr>
          <w:color w:val="231F20"/>
          <w:spacing w:val="-12"/>
        </w:rPr>
        <w:t xml:space="preserve"> </w:t>
      </w:r>
      <w:r>
        <w:rPr>
          <w:color w:val="231F20"/>
        </w:rPr>
        <w:t>вони</w:t>
      </w:r>
      <w:r>
        <w:rPr>
          <w:color w:val="231F20"/>
          <w:spacing w:val="-11"/>
        </w:rPr>
        <w:t xml:space="preserve"> </w:t>
      </w:r>
      <w:r>
        <w:rPr>
          <w:color w:val="231F20"/>
        </w:rPr>
        <w:t>є</w:t>
      </w:r>
      <w:r>
        <w:rPr>
          <w:color w:val="231F20"/>
          <w:spacing w:val="-10"/>
        </w:rPr>
        <w:t xml:space="preserve"> </w:t>
      </w:r>
      <w:r>
        <w:rPr>
          <w:color w:val="231F20"/>
        </w:rPr>
        <w:t>підґрунтям</w:t>
      </w:r>
      <w:r>
        <w:rPr>
          <w:color w:val="231F20"/>
          <w:spacing w:val="-11"/>
        </w:rPr>
        <w:t xml:space="preserve"> </w:t>
      </w:r>
      <w:r>
        <w:rPr>
          <w:color w:val="231F20"/>
        </w:rPr>
        <w:t>відносин</w:t>
      </w:r>
      <w:r>
        <w:rPr>
          <w:color w:val="231F20"/>
          <w:spacing w:val="-12"/>
        </w:rPr>
        <w:t xml:space="preserve"> </w:t>
      </w:r>
      <w:r>
        <w:rPr>
          <w:color w:val="231F20"/>
        </w:rPr>
        <w:t>приватних</w:t>
      </w:r>
      <w:r>
        <w:rPr>
          <w:color w:val="231F20"/>
          <w:spacing w:val="-11"/>
        </w:rPr>
        <w:t xml:space="preserve"> </w:t>
      </w:r>
      <w:r>
        <w:rPr>
          <w:color w:val="231F20"/>
        </w:rPr>
        <w:t>осіб</w:t>
      </w:r>
      <w:r>
        <w:rPr>
          <w:color w:val="231F20"/>
          <w:spacing w:val="-11"/>
        </w:rPr>
        <w:t xml:space="preserve"> </w:t>
      </w:r>
      <w:r>
        <w:rPr>
          <w:color w:val="231F20"/>
        </w:rPr>
        <w:t>із</w:t>
      </w:r>
      <w:r>
        <w:rPr>
          <w:color w:val="231F20"/>
          <w:spacing w:val="-11"/>
        </w:rPr>
        <w:t xml:space="preserve"> </w:t>
      </w:r>
      <w:r>
        <w:rPr>
          <w:color w:val="231F20"/>
        </w:rPr>
        <w:t>державою, складовим елементом адміністративно-правового статусу останніх і реалізуються в межах адміністративно-правових</w:t>
      </w:r>
      <w:r>
        <w:rPr>
          <w:color w:val="231F20"/>
          <w:spacing w:val="-11"/>
        </w:rPr>
        <w:t xml:space="preserve"> </w:t>
      </w:r>
      <w:r>
        <w:rPr>
          <w:color w:val="231F20"/>
        </w:rPr>
        <w:t>відносин.</w:t>
      </w:r>
    </w:p>
    <w:p w14:paraId="02FB7109" w14:textId="77777777" w:rsidR="00DE575E" w:rsidRDefault="00DE575E">
      <w:pPr>
        <w:pStyle w:val="BodyText"/>
        <w:spacing w:before="3"/>
        <w:rPr>
          <w:sz w:val="22"/>
        </w:rPr>
      </w:pPr>
    </w:p>
    <w:p w14:paraId="032C11CF" w14:textId="77777777" w:rsidR="00DE575E" w:rsidRDefault="002E7560">
      <w:pPr>
        <w:pStyle w:val="Heading5"/>
        <w:numPr>
          <w:ilvl w:val="2"/>
          <w:numId w:val="242"/>
        </w:numPr>
        <w:tabs>
          <w:tab w:val="left" w:pos="1099"/>
        </w:tabs>
        <w:ind w:left="1098"/>
        <w:jc w:val="left"/>
      </w:pPr>
      <w:r>
        <w:rPr>
          <w:color w:val="231F20"/>
        </w:rPr>
        <w:t xml:space="preserve">Окремі </w:t>
      </w:r>
      <w:r>
        <w:rPr>
          <w:color w:val="231F20"/>
          <w:spacing w:val="-3"/>
        </w:rPr>
        <w:t xml:space="preserve">суб’єктивні </w:t>
      </w:r>
      <w:r>
        <w:rPr>
          <w:color w:val="231F20"/>
        </w:rPr>
        <w:t>публічні права та їх</w:t>
      </w:r>
      <w:r>
        <w:rPr>
          <w:color w:val="231F20"/>
          <w:spacing w:val="-7"/>
        </w:rPr>
        <w:t xml:space="preserve"> </w:t>
      </w:r>
      <w:r>
        <w:rPr>
          <w:color w:val="231F20"/>
        </w:rPr>
        <w:t>реалізація</w:t>
      </w:r>
    </w:p>
    <w:p w14:paraId="4CB3D3C5" w14:textId="77777777" w:rsidR="00DE575E" w:rsidRDefault="00DE575E">
      <w:pPr>
        <w:pStyle w:val="BodyText"/>
        <w:spacing w:before="2"/>
        <w:rPr>
          <w:b/>
          <w:sz w:val="23"/>
        </w:rPr>
      </w:pPr>
    </w:p>
    <w:p w14:paraId="29D0056E" w14:textId="77777777" w:rsidR="00DE575E" w:rsidRDefault="002E7560">
      <w:pPr>
        <w:pStyle w:val="BodyText"/>
        <w:spacing w:line="252" w:lineRule="auto"/>
        <w:ind w:left="250" w:right="409" w:firstLine="283"/>
        <w:jc w:val="right"/>
      </w:pPr>
      <w:r>
        <w:rPr>
          <w:color w:val="231F20"/>
        </w:rPr>
        <w:t>У</w:t>
      </w:r>
      <w:r>
        <w:rPr>
          <w:color w:val="231F20"/>
          <w:spacing w:val="12"/>
        </w:rPr>
        <w:t xml:space="preserve"> </w:t>
      </w:r>
      <w:r>
        <w:rPr>
          <w:color w:val="231F20"/>
        </w:rPr>
        <w:t>юридичній</w:t>
      </w:r>
      <w:r>
        <w:rPr>
          <w:color w:val="231F20"/>
          <w:spacing w:val="12"/>
        </w:rPr>
        <w:t xml:space="preserve"> </w:t>
      </w:r>
      <w:r>
        <w:rPr>
          <w:color w:val="231F20"/>
        </w:rPr>
        <w:t>літературі</w:t>
      </w:r>
      <w:r>
        <w:rPr>
          <w:color w:val="231F20"/>
          <w:spacing w:val="12"/>
        </w:rPr>
        <w:t xml:space="preserve"> </w:t>
      </w:r>
      <w:r>
        <w:rPr>
          <w:color w:val="231F20"/>
        </w:rPr>
        <w:t>слово</w:t>
      </w:r>
      <w:r>
        <w:rPr>
          <w:color w:val="231F20"/>
          <w:spacing w:val="12"/>
        </w:rPr>
        <w:t xml:space="preserve"> </w:t>
      </w:r>
      <w:r>
        <w:rPr>
          <w:color w:val="231F20"/>
        </w:rPr>
        <w:t>«право»</w:t>
      </w:r>
      <w:r>
        <w:rPr>
          <w:color w:val="231F20"/>
          <w:spacing w:val="12"/>
        </w:rPr>
        <w:t xml:space="preserve"> </w:t>
      </w:r>
      <w:r>
        <w:rPr>
          <w:color w:val="231F20"/>
        </w:rPr>
        <w:t>вживається</w:t>
      </w:r>
      <w:r>
        <w:rPr>
          <w:color w:val="231F20"/>
          <w:spacing w:val="12"/>
        </w:rPr>
        <w:t xml:space="preserve"> </w:t>
      </w:r>
      <w:r>
        <w:rPr>
          <w:color w:val="231F20"/>
        </w:rPr>
        <w:t>у</w:t>
      </w:r>
      <w:r>
        <w:rPr>
          <w:color w:val="231F20"/>
          <w:spacing w:val="13"/>
        </w:rPr>
        <w:t xml:space="preserve"> </w:t>
      </w:r>
      <w:r>
        <w:rPr>
          <w:color w:val="231F20"/>
        </w:rPr>
        <w:t>двох основних значення</w:t>
      </w:r>
      <w:r>
        <w:rPr>
          <w:color w:val="231F20"/>
        </w:rPr>
        <w:t xml:space="preserve">х – </w:t>
      </w:r>
      <w:r>
        <w:rPr>
          <w:color w:val="231F20"/>
          <w:spacing w:val="-3"/>
        </w:rPr>
        <w:t xml:space="preserve">об’єктивному </w:t>
      </w:r>
      <w:r>
        <w:rPr>
          <w:color w:val="231F20"/>
        </w:rPr>
        <w:t xml:space="preserve">та </w:t>
      </w:r>
      <w:r>
        <w:rPr>
          <w:color w:val="231F20"/>
          <w:spacing w:val="-4"/>
        </w:rPr>
        <w:t xml:space="preserve">суб’єктивному, </w:t>
      </w:r>
      <w:r>
        <w:rPr>
          <w:color w:val="231F20"/>
          <w:spacing w:val="1"/>
        </w:rPr>
        <w:t xml:space="preserve"> </w:t>
      </w:r>
      <w:r>
        <w:rPr>
          <w:color w:val="231F20"/>
        </w:rPr>
        <w:t xml:space="preserve">що </w:t>
      </w:r>
      <w:r>
        <w:rPr>
          <w:color w:val="231F20"/>
          <w:spacing w:val="12"/>
        </w:rPr>
        <w:t xml:space="preserve"> </w:t>
      </w:r>
      <w:r>
        <w:rPr>
          <w:color w:val="231F20"/>
        </w:rPr>
        <w:t>дозво- ляє розглядати правову дійсність у двох аспектах: як</w:t>
      </w:r>
      <w:r>
        <w:rPr>
          <w:color w:val="231F20"/>
          <w:spacing w:val="1"/>
        </w:rPr>
        <w:t xml:space="preserve"> </w:t>
      </w:r>
      <w:r>
        <w:rPr>
          <w:color w:val="231F20"/>
        </w:rPr>
        <w:t>систему</w:t>
      </w:r>
      <w:r>
        <w:rPr>
          <w:color w:val="231F20"/>
          <w:spacing w:val="5"/>
        </w:rPr>
        <w:t xml:space="preserve"> </w:t>
      </w:r>
      <w:r>
        <w:rPr>
          <w:color w:val="231F20"/>
        </w:rPr>
        <w:t>норм права</w:t>
      </w:r>
      <w:r>
        <w:rPr>
          <w:color w:val="231F20"/>
          <w:spacing w:val="16"/>
        </w:rPr>
        <w:t xml:space="preserve"> </w:t>
      </w:r>
      <w:r>
        <w:rPr>
          <w:color w:val="231F20"/>
        </w:rPr>
        <w:t>і</w:t>
      </w:r>
      <w:r>
        <w:rPr>
          <w:color w:val="231F20"/>
          <w:spacing w:val="16"/>
        </w:rPr>
        <w:t xml:space="preserve"> </w:t>
      </w:r>
      <w:r>
        <w:rPr>
          <w:color w:val="231F20"/>
        </w:rPr>
        <w:t>як</w:t>
      </w:r>
      <w:r>
        <w:rPr>
          <w:color w:val="231F20"/>
          <w:spacing w:val="16"/>
        </w:rPr>
        <w:t xml:space="preserve"> </w:t>
      </w:r>
      <w:r>
        <w:rPr>
          <w:color w:val="231F20"/>
        </w:rPr>
        <w:t>можливості</w:t>
      </w:r>
      <w:r>
        <w:rPr>
          <w:color w:val="231F20"/>
          <w:spacing w:val="16"/>
        </w:rPr>
        <w:t xml:space="preserve"> </w:t>
      </w:r>
      <w:r>
        <w:rPr>
          <w:color w:val="231F20"/>
        </w:rPr>
        <w:t>та</w:t>
      </w:r>
      <w:r>
        <w:rPr>
          <w:color w:val="231F20"/>
          <w:spacing w:val="16"/>
        </w:rPr>
        <w:t xml:space="preserve"> </w:t>
      </w:r>
      <w:r>
        <w:rPr>
          <w:color w:val="231F20"/>
        </w:rPr>
        <w:t>повноваження,</w:t>
      </w:r>
      <w:r>
        <w:rPr>
          <w:color w:val="231F20"/>
          <w:spacing w:val="16"/>
        </w:rPr>
        <w:t xml:space="preserve"> </w:t>
      </w:r>
      <w:r>
        <w:rPr>
          <w:color w:val="231F20"/>
        </w:rPr>
        <w:t>що</w:t>
      </w:r>
      <w:r>
        <w:rPr>
          <w:color w:val="231F20"/>
          <w:spacing w:val="16"/>
        </w:rPr>
        <w:t xml:space="preserve"> </w:t>
      </w:r>
      <w:r>
        <w:rPr>
          <w:color w:val="231F20"/>
        </w:rPr>
        <w:t>належать</w:t>
      </w:r>
      <w:r>
        <w:rPr>
          <w:color w:val="231F20"/>
          <w:spacing w:val="16"/>
        </w:rPr>
        <w:t xml:space="preserve"> </w:t>
      </w:r>
      <w:r>
        <w:rPr>
          <w:color w:val="231F20"/>
          <w:spacing w:val="-3"/>
        </w:rPr>
        <w:t>суб’єктам</w:t>
      </w:r>
      <w:r>
        <w:rPr>
          <w:color w:val="231F20"/>
          <w:spacing w:val="16"/>
        </w:rPr>
        <w:t xml:space="preserve"> </w:t>
      </w:r>
      <w:r>
        <w:rPr>
          <w:color w:val="231F20"/>
        </w:rPr>
        <w:t xml:space="preserve">на основі й у межах цих норм. Норми </w:t>
      </w:r>
      <w:r>
        <w:rPr>
          <w:color w:val="231F20"/>
          <w:spacing w:val="-3"/>
        </w:rPr>
        <w:t>об’єктивного</w:t>
      </w:r>
      <w:r>
        <w:rPr>
          <w:color w:val="231F20"/>
          <w:spacing w:val="-8"/>
        </w:rPr>
        <w:t xml:space="preserve"> </w:t>
      </w:r>
      <w:r>
        <w:rPr>
          <w:color w:val="231F20"/>
        </w:rPr>
        <w:t>права</w:t>
      </w:r>
      <w:r>
        <w:rPr>
          <w:color w:val="231F20"/>
          <w:spacing w:val="32"/>
        </w:rPr>
        <w:t xml:space="preserve"> </w:t>
      </w:r>
      <w:r>
        <w:rPr>
          <w:color w:val="231F20"/>
          <w:spacing w:val="-3"/>
        </w:rPr>
        <w:t>регулюють</w:t>
      </w:r>
      <w:r>
        <w:rPr>
          <w:color w:val="231F20"/>
          <w:spacing w:val="-1"/>
        </w:rPr>
        <w:t xml:space="preserve"> </w:t>
      </w:r>
      <w:r>
        <w:rPr>
          <w:color w:val="231F20"/>
        </w:rPr>
        <w:t>поведінку особи, визначають зміст прав та обов’язків,</w:t>
      </w:r>
      <w:r>
        <w:rPr>
          <w:color w:val="231F20"/>
          <w:spacing w:val="33"/>
        </w:rPr>
        <w:t xml:space="preserve"> </w:t>
      </w:r>
      <w:r>
        <w:rPr>
          <w:color w:val="231F20"/>
        </w:rPr>
        <w:t>а</w:t>
      </w:r>
      <w:r>
        <w:rPr>
          <w:color w:val="231F20"/>
          <w:spacing w:val="2"/>
        </w:rPr>
        <w:t xml:space="preserve"> </w:t>
      </w:r>
      <w:r>
        <w:rPr>
          <w:color w:val="231F20"/>
          <w:spacing w:val="-3"/>
        </w:rPr>
        <w:t>суб’єктивне</w:t>
      </w:r>
      <w:r>
        <w:rPr>
          <w:color w:val="231F20"/>
          <w:spacing w:val="-1"/>
        </w:rPr>
        <w:t xml:space="preserve"> </w:t>
      </w:r>
      <w:r>
        <w:rPr>
          <w:color w:val="231F20"/>
        </w:rPr>
        <w:t>право</w:t>
      </w:r>
      <w:r>
        <w:rPr>
          <w:color w:val="231F20"/>
          <w:spacing w:val="8"/>
        </w:rPr>
        <w:t xml:space="preserve"> </w:t>
      </w:r>
      <w:r>
        <w:rPr>
          <w:color w:val="231F20"/>
        </w:rPr>
        <w:t>є</w:t>
      </w:r>
      <w:r>
        <w:rPr>
          <w:color w:val="231F20"/>
          <w:spacing w:val="8"/>
        </w:rPr>
        <w:t xml:space="preserve"> </w:t>
      </w:r>
      <w:r>
        <w:rPr>
          <w:color w:val="231F20"/>
        </w:rPr>
        <w:t>засобом</w:t>
      </w:r>
      <w:r>
        <w:rPr>
          <w:color w:val="231F20"/>
          <w:spacing w:val="8"/>
        </w:rPr>
        <w:t xml:space="preserve"> </w:t>
      </w:r>
      <w:r>
        <w:rPr>
          <w:color w:val="231F20"/>
        </w:rPr>
        <w:t>реалізації</w:t>
      </w:r>
      <w:r>
        <w:rPr>
          <w:color w:val="231F20"/>
          <w:spacing w:val="8"/>
        </w:rPr>
        <w:t xml:space="preserve"> </w:t>
      </w:r>
      <w:r>
        <w:rPr>
          <w:color w:val="231F20"/>
        </w:rPr>
        <w:t>можливостей</w:t>
      </w:r>
      <w:r>
        <w:rPr>
          <w:color w:val="231F20"/>
          <w:spacing w:val="8"/>
        </w:rPr>
        <w:t xml:space="preserve"> </w:t>
      </w:r>
      <w:r>
        <w:rPr>
          <w:color w:val="231F20"/>
        </w:rPr>
        <w:t>та</w:t>
      </w:r>
      <w:r>
        <w:rPr>
          <w:color w:val="231F20"/>
          <w:spacing w:val="8"/>
        </w:rPr>
        <w:t xml:space="preserve"> </w:t>
      </w:r>
      <w:r>
        <w:rPr>
          <w:color w:val="231F20"/>
        </w:rPr>
        <w:t>інтересів</w:t>
      </w:r>
      <w:r>
        <w:rPr>
          <w:color w:val="231F20"/>
          <w:spacing w:val="8"/>
        </w:rPr>
        <w:t xml:space="preserve"> </w:t>
      </w:r>
      <w:r>
        <w:rPr>
          <w:color w:val="231F20"/>
        </w:rPr>
        <w:t>особи.</w:t>
      </w:r>
      <w:r>
        <w:rPr>
          <w:color w:val="231F20"/>
          <w:spacing w:val="8"/>
        </w:rPr>
        <w:t xml:space="preserve"> </w:t>
      </w:r>
      <w:r>
        <w:rPr>
          <w:color w:val="231F20"/>
        </w:rPr>
        <w:t>Саме</w:t>
      </w:r>
      <w:r>
        <w:rPr>
          <w:color w:val="231F20"/>
          <w:spacing w:val="8"/>
        </w:rPr>
        <w:t xml:space="preserve"> </w:t>
      </w:r>
      <w:r>
        <w:rPr>
          <w:color w:val="231F20"/>
        </w:rPr>
        <w:t>за</w:t>
      </w:r>
      <w:r>
        <w:rPr>
          <w:color w:val="231F20"/>
          <w:spacing w:val="-1"/>
        </w:rPr>
        <w:t xml:space="preserve"> </w:t>
      </w:r>
      <w:r>
        <w:rPr>
          <w:color w:val="231F20"/>
        </w:rPr>
        <w:t xml:space="preserve">допомогою </w:t>
      </w:r>
      <w:r>
        <w:rPr>
          <w:color w:val="231F20"/>
          <w:spacing w:val="-3"/>
        </w:rPr>
        <w:t xml:space="preserve">об’єктивного </w:t>
      </w:r>
      <w:r>
        <w:rPr>
          <w:color w:val="231F20"/>
        </w:rPr>
        <w:t xml:space="preserve">й </w:t>
      </w:r>
      <w:r>
        <w:rPr>
          <w:color w:val="231F20"/>
          <w:spacing w:val="-3"/>
        </w:rPr>
        <w:t xml:space="preserve">суб’єктивного </w:t>
      </w:r>
      <w:r>
        <w:rPr>
          <w:color w:val="231F20"/>
        </w:rPr>
        <w:t>права особа</w:t>
      </w:r>
      <w:r>
        <w:rPr>
          <w:color w:val="231F20"/>
          <w:spacing w:val="-10"/>
        </w:rPr>
        <w:t xml:space="preserve"> </w:t>
      </w:r>
      <w:r>
        <w:rPr>
          <w:color w:val="231F20"/>
        </w:rPr>
        <w:t>реалізує</w:t>
      </w:r>
      <w:r>
        <w:rPr>
          <w:color w:val="231F20"/>
          <w:spacing w:val="10"/>
        </w:rPr>
        <w:t xml:space="preserve"> </w:t>
      </w:r>
      <w:r>
        <w:rPr>
          <w:color w:val="231F20"/>
        </w:rPr>
        <w:t>себе, свій</w:t>
      </w:r>
      <w:r>
        <w:rPr>
          <w:color w:val="231F20"/>
          <w:spacing w:val="-13"/>
        </w:rPr>
        <w:t xml:space="preserve"> </w:t>
      </w:r>
      <w:r>
        <w:rPr>
          <w:color w:val="231F20"/>
        </w:rPr>
        <w:t>соціальний,</w:t>
      </w:r>
      <w:r>
        <w:rPr>
          <w:color w:val="231F20"/>
          <w:spacing w:val="-13"/>
        </w:rPr>
        <w:t xml:space="preserve"> </w:t>
      </w:r>
      <w:r>
        <w:rPr>
          <w:color w:val="231F20"/>
        </w:rPr>
        <w:t>юридичний</w:t>
      </w:r>
      <w:r>
        <w:rPr>
          <w:color w:val="231F20"/>
          <w:spacing w:val="-13"/>
        </w:rPr>
        <w:t xml:space="preserve"> </w:t>
      </w:r>
      <w:r>
        <w:rPr>
          <w:color w:val="231F20"/>
        </w:rPr>
        <w:t>і</w:t>
      </w:r>
      <w:r>
        <w:rPr>
          <w:color w:val="231F20"/>
          <w:spacing w:val="-13"/>
        </w:rPr>
        <w:t xml:space="preserve"> </w:t>
      </w:r>
      <w:r>
        <w:rPr>
          <w:color w:val="231F20"/>
        </w:rPr>
        <w:t>матеріальний</w:t>
      </w:r>
      <w:r>
        <w:rPr>
          <w:color w:val="231F20"/>
          <w:spacing w:val="-13"/>
        </w:rPr>
        <w:t xml:space="preserve"> </w:t>
      </w:r>
      <w:r>
        <w:rPr>
          <w:color w:val="231F20"/>
        </w:rPr>
        <w:t>потенціал,</w:t>
      </w:r>
      <w:r>
        <w:rPr>
          <w:color w:val="231F20"/>
          <w:spacing w:val="-12"/>
        </w:rPr>
        <w:t xml:space="preserve"> </w:t>
      </w:r>
      <w:r>
        <w:rPr>
          <w:color w:val="231F20"/>
        </w:rPr>
        <w:t>св</w:t>
      </w:r>
      <w:r>
        <w:rPr>
          <w:color w:val="231F20"/>
        </w:rPr>
        <w:t>ої</w:t>
      </w:r>
      <w:r>
        <w:rPr>
          <w:color w:val="231F20"/>
          <w:spacing w:val="-13"/>
        </w:rPr>
        <w:t xml:space="preserve"> </w:t>
      </w:r>
      <w:r>
        <w:rPr>
          <w:color w:val="231F20"/>
        </w:rPr>
        <w:t xml:space="preserve">інтереси. </w:t>
      </w:r>
      <w:r>
        <w:rPr>
          <w:b/>
          <w:i/>
          <w:color w:val="231F20"/>
          <w:spacing w:val="-3"/>
        </w:rPr>
        <w:t xml:space="preserve">Суб’єктивне </w:t>
      </w:r>
      <w:r>
        <w:rPr>
          <w:b/>
          <w:i/>
          <w:color w:val="231F20"/>
        </w:rPr>
        <w:t xml:space="preserve">право особи </w:t>
      </w:r>
      <w:r>
        <w:rPr>
          <w:color w:val="231F20"/>
        </w:rPr>
        <w:t>– це забезпечена державою</w:t>
      </w:r>
      <w:r>
        <w:rPr>
          <w:color w:val="231F20"/>
          <w:spacing w:val="15"/>
        </w:rPr>
        <w:t xml:space="preserve"> </w:t>
      </w:r>
      <w:r>
        <w:rPr>
          <w:color w:val="231F20"/>
        </w:rPr>
        <w:t>і</w:t>
      </w:r>
      <w:r>
        <w:rPr>
          <w:color w:val="231F20"/>
        </w:rPr>
        <w:t xml:space="preserve"> </w:t>
      </w:r>
      <w:r>
        <w:rPr>
          <w:color w:val="231F20"/>
        </w:rPr>
        <w:t>закрі- плена в нормах права можливість певної поведінки,</w:t>
      </w:r>
      <w:r>
        <w:rPr>
          <w:color w:val="231F20"/>
          <w:spacing w:val="20"/>
        </w:rPr>
        <w:t xml:space="preserve"> </w:t>
      </w:r>
      <w:r>
        <w:rPr>
          <w:color w:val="231F20"/>
        </w:rPr>
        <w:t>спрямованої</w:t>
      </w:r>
      <w:r>
        <w:rPr>
          <w:color w:val="231F20"/>
          <w:spacing w:val="1"/>
        </w:rPr>
        <w:t xml:space="preserve"> </w:t>
      </w:r>
      <w:r>
        <w:rPr>
          <w:color w:val="231F20"/>
        </w:rPr>
        <w:t xml:space="preserve">на здійснення певних прав. Носій </w:t>
      </w:r>
      <w:r>
        <w:rPr>
          <w:color w:val="231F20"/>
          <w:spacing w:val="-3"/>
        </w:rPr>
        <w:t xml:space="preserve">суб’єктивного </w:t>
      </w:r>
      <w:r>
        <w:rPr>
          <w:color w:val="231F20"/>
        </w:rPr>
        <w:t>права</w:t>
      </w:r>
      <w:r>
        <w:rPr>
          <w:color w:val="231F20"/>
          <w:spacing w:val="8"/>
        </w:rPr>
        <w:t xml:space="preserve"> </w:t>
      </w:r>
      <w:r>
        <w:rPr>
          <w:color w:val="231F20"/>
        </w:rPr>
        <w:t>має</w:t>
      </w:r>
      <w:r>
        <w:rPr>
          <w:color w:val="231F20"/>
          <w:spacing w:val="7"/>
        </w:rPr>
        <w:t xml:space="preserve"> </w:t>
      </w:r>
      <w:r>
        <w:rPr>
          <w:color w:val="231F20"/>
        </w:rPr>
        <w:t>можливість</w:t>
      </w:r>
      <w:r>
        <w:rPr>
          <w:color w:val="231F20"/>
          <w:spacing w:val="-1"/>
        </w:rPr>
        <w:t xml:space="preserve"> </w:t>
      </w:r>
      <w:r>
        <w:rPr>
          <w:color w:val="231F20"/>
        </w:rPr>
        <w:t>своїми</w:t>
      </w:r>
      <w:r>
        <w:rPr>
          <w:color w:val="231F20"/>
          <w:spacing w:val="23"/>
        </w:rPr>
        <w:t xml:space="preserve"> </w:t>
      </w:r>
      <w:r>
        <w:rPr>
          <w:color w:val="231F20"/>
        </w:rPr>
        <w:t>діями</w:t>
      </w:r>
      <w:r>
        <w:rPr>
          <w:color w:val="231F20"/>
          <w:spacing w:val="23"/>
        </w:rPr>
        <w:t xml:space="preserve"> </w:t>
      </w:r>
      <w:r>
        <w:rPr>
          <w:color w:val="231F20"/>
        </w:rPr>
        <w:t>самостійно</w:t>
      </w:r>
      <w:r>
        <w:rPr>
          <w:color w:val="231F20"/>
          <w:spacing w:val="23"/>
        </w:rPr>
        <w:t xml:space="preserve"> </w:t>
      </w:r>
      <w:r>
        <w:rPr>
          <w:color w:val="231F20"/>
        </w:rPr>
        <w:t>виявити</w:t>
      </w:r>
      <w:r>
        <w:rPr>
          <w:color w:val="231F20"/>
          <w:spacing w:val="23"/>
        </w:rPr>
        <w:t xml:space="preserve"> </w:t>
      </w:r>
      <w:r>
        <w:rPr>
          <w:color w:val="231F20"/>
        </w:rPr>
        <w:t>себе</w:t>
      </w:r>
      <w:r>
        <w:rPr>
          <w:color w:val="231F20"/>
          <w:spacing w:val="23"/>
        </w:rPr>
        <w:t xml:space="preserve"> </w:t>
      </w:r>
      <w:r>
        <w:rPr>
          <w:color w:val="231F20"/>
        </w:rPr>
        <w:t>у</w:t>
      </w:r>
      <w:r>
        <w:rPr>
          <w:color w:val="231F20"/>
          <w:spacing w:val="23"/>
        </w:rPr>
        <w:t xml:space="preserve"> </w:t>
      </w:r>
      <w:r>
        <w:rPr>
          <w:color w:val="231F20"/>
        </w:rPr>
        <w:t>своїй</w:t>
      </w:r>
      <w:r>
        <w:rPr>
          <w:color w:val="231F20"/>
          <w:spacing w:val="23"/>
        </w:rPr>
        <w:t xml:space="preserve"> </w:t>
      </w:r>
      <w:r>
        <w:rPr>
          <w:color w:val="231F20"/>
        </w:rPr>
        <w:t>поведінці,</w:t>
      </w:r>
      <w:r>
        <w:rPr>
          <w:color w:val="231F20"/>
          <w:spacing w:val="23"/>
        </w:rPr>
        <w:t xml:space="preserve"> </w:t>
      </w:r>
      <w:r>
        <w:rPr>
          <w:color w:val="231F20"/>
        </w:rPr>
        <w:t>вимагати</w:t>
      </w:r>
    </w:p>
    <w:p w14:paraId="2C6D0921" w14:textId="77777777" w:rsidR="00DE575E" w:rsidRDefault="00DE575E">
      <w:pPr>
        <w:pStyle w:val="BodyText"/>
        <w:rPr>
          <w:sz w:val="13"/>
        </w:rPr>
      </w:pPr>
    </w:p>
    <w:p w14:paraId="6E040B5B" w14:textId="77777777" w:rsidR="00DE575E" w:rsidRDefault="002E7560">
      <w:pPr>
        <w:spacing w:before="92"/>
        <w:ind w:right="411"/>
        <w:jc w:val="right"/>
        <w:rPr>
          <w:rFonts w:ascii="Times New Roman"/>
          <w:sz w:val="20"/>
        </w:rPr>
      </w:pPr>
      <w:r>
        <w:rPr>
          <w:rFonts w:ascii="Times New Roman"/>
          <w:color w:val="231F20"/>
          <w:w w:val="90"/>
          <w:sz w:val="20"/>
        </w:rPr>
        <w:t>149</w:t>
      </w:r>
    </w:p>
    <w:p w14:paraId="2C34902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78A156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76330D0" w14:textId="64CB7CD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85C5DEC" wp14:editId="1B353F56">
                <wp:extent cx="4140200" cy="6350"/>
                <wp:effectExtent l="0" t="0" r="12700" b="6350"/>
                <wp:docPr id="1038"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39" name="Line 103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79C98" id="Group_x0020_103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EVG8B/AgAAnAUAAA4A&#10;AAAAAAAAAAAAAAAALAIAAGRycy9lMm9Eb2MueG1sUEsBAi0AFAAGAAgAAAAhAEynsJDZAAAAAwEA&#10;AA8AAAAAAAAAAAAAAAAA1wQAAGRycy9kb3ducmV2LnhtbFBLBQYAAAAABAAEAPMAAADdBQAAAAA=&#10;">
                <v:line id="Line_x0020_103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Atp8QAAADdAAAADwAAAGRycy9kb3ducmV2LnhtbERP22rCQBB9L/Qflin0pehGA2Kjq4gg&#10;SB+8pR8wZqdJ6O5szK4m7de7QqFvczjXmS97a8SNWl87VjAaJiCIC6drLhV85pvBFIQPyBqNY1Lw&#10;Qx6Wi+enOWbadXyk2ymUIoawz1BBFUKTSemLiiz6oWuII/flWoshwraUusUuhlsjx0kykRZrjg0V&#10;NrSuqPg+Xa2C/PIWzGH/Ybp8f07l+bJLf687pV5f+tUMRKA+/Iv/3Fsd5yfpOz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0C2nxAAAAN0AAAAPAAAAAAAAAAAA&#10;AAAAAKECAABkcnMvZG93bnJldi54bWxQSwUGAAAAAAQABAD5AAAAkgMAAAAA&#10;" strokecolor="#231f20" strokeweight=".5pt"/>
                <w10:anchorlock/>
              </v:group>
            </w:pict>
          </mc:Fallback>
        </mc:AlternateContent>
      </w:r>
    </w:p>
    <w:p w14:paraId="035457BC" w14:textId="77777777" w:rsidR="00DE575E" w:rsidRDefault="00DE575E">
      <w:pPr>
        <w:pStyle w:val="BodyText"/>
        <w:spacing w:before="7"/>
        <w:rPr>
          <w:rFonts w:ascii="AdonisC"/>
          <w:i/>
          <w:sz w:val="11"/>
        </w:rPr>
      </w:pPr>
    </w:p>
    <w:p w14:paraId="55B6754D" w14:textId="77777777" w:rsidR="00DE575E" w:rsidRDefault="002E7560">
      <w:pPr>
        <w:pStyle w:val="BodyText"/>
        <w:spacing w:before="101" w:line="252" w:lineRule="auto"/>
        <w:ind w:left="533" w:right="128"/>
        <w:jc w:val="both"/>
      </w:pPr>
      <w:r>
        <w:rPr>
          <w:color w:val="231F20"/>
        </w:rPr>
        <w:t>відповідної поведінки від інших осіб, звертатися до уповноваже- них органів через потребу захистити порушене право за допомогою заходів державного примусу.</w:t>
      </w:r>
    </w:p>
    <w:p w14:paraId="53BEF90B" w14:textId="77777777" w:rsidR="00DE575E" w:rsidRDefault="002E7560">
      <w:pPr>
        <w:pStyle w:val="BodyText"/>
        <w:spacing w:before="1" w:line="252" w:lineRule="auto"/>
        <w:ind w:left="533" w:right="128" w:firstLine="283"/>
        <w:jc w:val="both"/>
      </w:pPr>
      <w:r>
        <w:rPr>
          <w:color w:val="231F20"/>
        </w:rPr>
        <w:t xml:space="preserve">У загальному вигляді зміст будь-якого </w:t>
      </w:r>
      <w:r>
        <w:rPr>
          <w:color w:val="231F20"/>
          <w:spacing w:val="-3"/>
        </w:rPr>
        <w:t xml:space="preserve">суб’єктивного </w:t>
      </w:r>
      <w:r>
        <w:rPr>
          <w:color w:val="231F20"/>
        </w:rPr>
        <w:t xml:space="preserve">права поля- гає в </w:t>
      </w:r>
      <w:r>
        <w:rPr>
          <w:color w:val="231F20"/>
          <w:spacing w:val="-4"/>
        </w:rPr>
        <w:t xml:space="preserve">тому, </w:t>
      </w:r>
      <w:r>
        <w:rPr>
          <w:color w:val="231F20"/>
        </w:rPr>
        <w:t xml:space="preserve">що воно надає уповноваженому </w:t>
      </w:r>
      <w:r>
        <w:rPr>
          <w:color w:val="231F20"/>
          <w:spacing w:val="-3"/>
        </w:rPr>
        <w:t xml:space="preserve">суб’єктові </w:t>
      </w:r>
      <w:r>
        <w:rPr>
          <w:color w:val="231F20"/>
        </w:rPr>
        <w:t>можливості:</w:t>
      </w:r>
    </w:p>
    <w:p w14:paraId="60650551" w14:textId="77777777" w:rsidR="00DE575E" w:rsidRDefault="002E7560">
      <w:pPr>
        <w:pStyle w:val="ListParagraph"/>
        <w:numPr>
          <w:ilvl w:val="0"/>
          <w:numId w:val="241"/>
        </w:numPr>
        <w:tabs>
          <w:tab w:val="left" w:pos="1101"/>
        </w:tabs>
        <w:ind w:firstLine="284"/>
        <w:jc w:val="left"/>
        <w:rPr>
          <w:sz w:val="21"/>
        </w:rPr>
      </w:pPr>
      <w:r>
        <w:rPr>
          <w:color w:val="231F20"/>
          <w:sz w:val="21"/>
        </w:rPr>
        <w:t>поводити себе відповідним чином (право на свої</w:t>
      </w:r>
      <w:r>
        <w:rPr>
          <w:color w:val="231F20"/>
          <w:spacing w:val="-9"/>
          <w:sz w:val="21"/>
        </w:rPr>
        <w:t xml:space="preserve"> </w:t>
      </w:r>
      <w:r>
        <w:rPr>
          <w:color w:val="231F20"/>
          <w:sz w:val="21"/>
        </w:rPr>
        <w:t>дії);</w:t>
      </w:r>
    </w:p>
    <w:p w14:paraId="1E89EAF7" w14:textId="77777777" w:rsidR="00DE575E" w:rsidRDefault="002E7560">
      <w:pPr>
        <w:pStyle w:val="ListParagraph"/>
        <w:numPr>
          <w:ilvl w:val="0"/>
          <w:numId w:val="241"/>
        </w:numPr>
        <w:tabs>
          <w:tab w:val="left" w:pos="1101"/>
        </w:tabs>
        <w:spacing w:before="13" w:line="252" w:lineRule="auto"/>
        <w:ind w:right="128" w:firstLine="284"/>
        <w:rPr>
          <w:sz w:val="21"/>
        </w:rPr>
      </w:pPr>
      <w:r>
        <w:rPr>
          <w:color w:val="231F20"/>
          <w:sz w:val="21"/>
        </w:rPr>
        <w:t xml:space="preserve">вимагати відповідної поведінки від інших </w:t>
      </w:r>
      <w:r>
        <w:rPr>
          <w:color w:val="231F20"/>
          <w:spacing w:val="-3"/>
          <w:sz w:val="21"/>
        </w:rPr>
        <w:t xml:space="preserve">суб’єктів </w:t>
      </w:r>
      <w:r>
        <w:rPr>
          <w:color w:val="231F20"/>
          <w:sz w:val="21"/>
        </w:rPr>
        <w:t>(право на чужі</w:t>
      </w:r>
      <w:r>
        <w:rPr>
          <w:color w:val="231F20"/>
          <w:spacing w:val="-1"/>
          <w:sz w:val="21"/>
        </w:rPr>
        <w:t xml:space="preserve"> </w:t>
      </w:r>
      <w:r>
        <w:rPr>
          <w:color w:val="231F20"/>
          <w:sz w:val="21"/>
        </w:rPr>
        <w:t>дії);</w:t>
      </w:r>
    </w:p>
    <w:p w14:paraId="2C07C6D8" w14:textId="77777777" w:rsidR="00DE575E" w:rsidRDefault="002E7560">
      <w:pPr>
        <w:pStyle w:val="ListParagraph"/>
        <w:numPr>
          <w:ilvl w:val="0"/>
          <w:numId w:val="241"/>
        </w:numPr>
        <w:tabs>
          <w:tab w:val="left" w:pos="1101"/>
        </w:tabs>
        <w:ind w:firstLine="284"/>
        <w:jc w:val="left"/>
        <w:rPr>
          <w:sz w:val="21"/>
        </w:rPr>
      </w:pPr>
      <w:r>
        <w:rPr>
          <w:color w:val="231F20"/>
          <w:sz w:val="21"/>
        </w:rPr>
        <w:t>звертатися до держави за захистом свого юридичного</w:t>
      </w:r>
      <w:r>
        <w:rPr>
          <w:color w:val="231F20"/>
          <w:spacing w:val="-19"/>
          <w:sz w:val="21"/>
        </w:rPr>
        <w:t xml:space="preserve"> </w:t>
      </w:r>
      <w:r>
        <w:rPr>
          <w:color w:val="231F20"/>
          <w:sz w:val="21"/>
        </w:rPr>
        <w:t>прав</w:t>
      </w:r>
      <w:r>
        <w:rPr>
          <w:color w:val="231F20"/>
          <w:sz w:val="21"/>
        </w:rPr>
        <w:t>а.</w:t>
      </w:r>
    </w:p>
    <w:p w14:paraId="41642064" w14:textId="77777777" w:rsidR="00DE575E" w:rsidRDefault="002E7560">
      <w:pPr>
        <w:pStyle w:val="BodyText"/>
        <w:spacing w:before="13" w:line="252" w:lineRule="auto"/>
        <w:ind w:left="533" w:right="129" w:firstLine="283"/>
        <w:jc w:val="both"/>
      </w:pPr>
      <w:r>
        <w:rPr>
          <w:color w:val="231F20"/>
          <w:spacing w:val="-3"/>
        </w:rPr>
        <w:t xml:space="preserve">Суб’єктивне </w:t>
      </w:r>
      <w:r>
        <w:rPr>
          <w:color w:val="231F20"/>
        </w:rPr>
        <w:t>право визначає межі юридичної можливої поведінки певної особи, яка задовольняє її інтереси.</w:t>
      </w:r>
    </w:p>
    <w:p w14:paraId="393B6097" w14:textId="77777777" w:rsidR="00DE575E" w:rsidRDefault="002E7560">
      <w:pPr>
        <w:pStyle w:val="BodyText"/>
        <w:spacing w:before="1" w:line="252" w:lineRule="auto"/>
        <w:ind w:left="533" w:right="127" w:firstLine="283"/>
        <w:jc w:val="both"/>
      </w:pPr>
      <w:r>
        <w:rPr>
          <w:color w:val="231F20"/>
        </w:rPr>
        <w:t>Суб’єктивні права й суб’єктивні обов’язки нерозривно пов’язані та не можуть існувати одне без одного, оскільки право однієї особи, як правило, не мож</w:t>
      </w:r>
      <w:r>
        <w:rPr>
          <w:color w:val="231F20"/>
        </w:rPr>
        <w:t>е бути реалізовано поза виконанням обов’язку іншою особою.</w:t>
      </w:r>
    </w:p>
    <w:p w14:paraId="35F5468A" w14:textId="77777777" w:rsidR="00DE575E" w:rsidRDefault="002E7560">
      <w:pPr>
        <w:pStyle w:val="BodyText"/>
        <w:spacing w:before="2" w:line="252" w:lineRule="auto"/>
        <w:ind w:left="533" w:right="127" w:firstLine="283"/>
        <w:jc w:val="both"/>
      </w:pPr>
      <w:r>
        <w:rPr>
          <w:color w:val="231F20"/>
        </w:rPr>
        <w:t xml:space="preserve">У сфері публічного адміністрування до </w:t>
      </w:r>
      <w:r>
        <w:rPr>
          <w:b/>
          <w:i/>
          <w:color w:val="231F20"/>
        </w:rPr>
        <w:t xml:space="preserve">ознак суб’єктивних адміністративно-правових обов’язків </w:t>
      </w:r>
      <w:r>
        <w:rPr>
          <w:color w:val="231F20"/>
        </w:rPr>
        <w:t>належать такі: необхідна, належна поведінка; покладаються тільки на правоздатну та дієз- датну особу; по</w:t>
      </w:r>
      <w:r>
        <w:rPr>
          <w:color w:val="231F20"/>
        </w:rPr>
        <w:t>кладаються в інтересах інших осіб; існують у право- відносинах; не можуть існувати поза зв’язком із суб’єктивними правами у сфері публічного адміністрування; їх реалізація забезпе- чується державним примусом; мають юридичну природу, оскільки закріплені адм</w:t>
      </w:r>
      <w:r>
        <w:rPr>
          <w:color w:val="231F20"/>
        </w:rPr>
        <w:t>іністративно-правовими нормами, а їх виконання забезпечується застосуванням державного примусу.</w:t>
      </w:r>
    </w:p>
    <w:p w14:paraId="1D9FF321" w14:textId="77777777" w:rsidR="00DE575E" w:rsidRDefault="002E7560">
      <w:pPr>
        <w:pStyle w:val="BodyText"/>
        <w:spacing w:before="4" w:line="252" w:lineRule="auto"/>
        <w:ind w:left="533" w:right="128" w:firstLine="283"/>
        <w:jc w:val="both"/>
      </w:pPr>
      <w:r>
        <w:rPr>
          <w:b/>
          <w:i/>
          <w:color w:val="231F20"/>
          <w:spacing w:val="-3"/>
        </w:rPr>
        <w:t xml:space="preserve">Суб’єктивні </w:t>
      </w:r>
      <w:r>
        <w:rPr>
          <w:b/>
          <w:i/>
          <w:color w:val="231F20"/>
        </w:rPr>
        <w:t xml:space="preserve">адміністративно-правові обов’язки </w:t>
      </w:r>
      <w:r>
        <w:rPr>
          <w:color w:val="231F20"/>
        </w:rPr>
        <w:t xml:space="preserve">– це покла- дена державою та закріплена в адміністративно-правових нормах міра належної  поведінки  </w:t>
      </w:r>
      <w:r>
        <w:rPr>
          <w:color w:val="231F20"/>
          <w:spacing w:val="-3"/>
        </w:rPr>
        <w:t xml:space="preserve">суб’єкта  </w:t>
      </w:r>
      <w:r>
        <w:rPr>
          <w:color w:val="231F20"/>
        </w:rPr>
        <w:t>в  п</w:t>
      </w:r>
      <w:r>
        <w:rPr>
          <w:color w:val="231F20"/>
        </w:rPr>
        <w:t xml:space="preserve">ублічних  правовідносинах,  їх реалізація, забезпечена можливістю застосування державного </w:t>
      </w:r>
      <w:r>
        <w:rPr>
          <w:color w:val="231F20"/>
          <w:spacing w:val="-3"/>
        </w:rPr>
        <w:t>примусу.</w:t>
      </w:r>
    </w:p>
    <w:p w14:paraId="1C3EE80C" w14:textId="77777777" w:rsidR="00DE575E" w:rsidRDefault="002E7560">
      <w:pPr>
        <w:spacing w:before="3" w:line="252" w:lineRule="auto"/>
        <w:ind w:left="533" w:right="128" w:firstLine="283"/>
        <w:jc w:val="both"/>
        <w:rPr>
          <w:sz w:val="21"/>
        </w:rPr>
      </w:pPr>
      <w:r>
        <w:rPr>
          <w:b/>
          <w:i/>
          <w:color w:val="231F20"/>
          <w:sz w:val="21"/>
        </w:rPr>
        <w:t xml:space="preserve">Реалізація суб’єктивних публічних прав. </w:t>
      </w:r>
      <w:r>
        <w:rPr>
          <w:color w:val="231F20"/>
          <w:sz w:val="21"/>
        </w:rPr>
        <w:t>Суб’єктивні публічні права реалізуються через систему суб’єктивних публічних прав та обов’язків приватних осіб.</w:t>
      </w:r>
    </w:p>
    <w:p w14:paraId="3458CA89" w14:textId="77777777" w:rsidR="00DE575E" w:rsidRDefault="002E7560">
      <w:pPr>
        <w:pStyle w:val="BodyText"/>
        <w:spacing w:before="1" w:line="252" w:lineRule="auto"/>
        <w:ind w:left="533" w:right="127" w:firstLine="283"/>
        <w:jc w:val="both"/>
      </w:pPr>
      <w:r>
        <w:rPr>
          <w:color w:val="231F20"/>
        </w:rPr>
        <w:t>Нормами адміністративного права регулюються (закріплю- ються)</w:t>
      </w:r>
      <w:r>
        <w:rPr>
          <w:color w:val="231F20"/>
          <w:spacing w:val="-6"/>
        </w:rPr>
        <w:t xml:space="preserve"> </w:t>
      </w:r>
      <w:r>
        <w:rPr>
          <w:color w:val="231F20"/>
        </w:rPr>
        <w:t>всі</w:t>
      </w:r>
      <w:r>
        <w:rPr>
          <w:color w:val="231F20"/>
          <w:spacing w:val="-6"/>
        </w:rPr>
        <w:t xml:space="preserve"> </w:t>
      </w:r>
      <w:r>
        <w:rPr>
          <w:color w:val="231F20"/>
        </w:rPr>
        <w:t>ті</w:t>
      </w:r>
      <w:r>
        <w:rPr>
          <w:color w:val="231F20"/>
          <w:spacing w:val="-6"/>
        </w:rPr>
        <w:t xml:space="preserve"> </w:t>
      </w:r>
      <w:r>
        <w:rPr>
          <w:color w:val="231F20"/>
        </w:rPr>
        <w:t>права</w:t>
      </w:r>
      <w:r>
        <w:rPr>
          <w:color w:val="231F20"/>
          <w:spacing w:val="-6"/>
        </w:rPr>
        <w:t xml:space="preserve"> </w:t>
      </w:r>
      <w:r>
        <w:rPr>
          <w:color w:val="231F20"/>
        </w:rPr>
        <w:t>та</w:t>
      </w:r>
      <w:r>
        <w:rPr>
          <w:color w:val="231F20"/>
          <w:spacing w:val="-6"/>
        </w:rPr>
        <w:t xml:space="preserve"> </w:t>
      </w:r>
      <w:r>
        <w:rPr>
          <w:color w:val="231F20"/>
        </w:rPr>
        <w:t>свободи</w:t>
      </w:r>
      <w:r>
        <w:rPr>
          <w:color w:val="231F20"/>
          <w:spacing w:val="-6"/>
        </w:rPr>
        <w:t xml:space="preserve"> </w:t>
      </w:r>
      <w:r>
        <w:rPr>
          <w:color w:val="231F20"/>
        </w:rPr>
        <w:t>приватної</w:t>
      </w:r>
      <w:r>
        <w:rPr>
          <w:color w:val="231F20"/>
          <w:spacing w:val="-6"/>
        </w:rPr>
        <w:t xml:space="preserve"> </w:t>
      </w:r>
      <w:r>
        <w:rPr>
          <w:color w:val="231F20"/>
        </w:rPr>
        <w:t>особи,</w:t>
      </w:r>
      <w:r>
        <w:rPr>
          <w:color w:val="231F20"/>
          <w:spacing w:val="-6"/>
        </w:rPr>
        <w:t xml:space="preserve"> </w:t>
      </w:r>
      <w:r>
        <w:rPr>
          <w:color w:val="231F20"/>
        </w:rPr>
        <w:t>якими</w:t>
      </w:r>
      <w:r>
        <w:rPr>
          <w:color w:val="231F20"/>
          <w:spacing w:val="-6"/>
        </w:rPr>
        <w:t xml:space="preserve"> </w:t>
      </w:r>
      <w:r>
        <w:rPr>
          <w:color w:val="231F20"/>
        </w:rPr>
        <w:t>вона</w:t>
      </w:r>
      <w:r>
        <w:rPr>
          <w:color w:val="231F20"/>
          <w:spacing w:val="-6"/>
        </w:rPr>
        <w:t xml:space="preserve"> </w:t>
      </w:r>
      <w:r>
        <w:rPr>
          <w:color w:val="231F20"/>
        </w:rPr>
        <w:t xml:space="preserve">користу- ється у сфері публічного адміністрування і не може реалізувати без вступу у відносини з органами публічної влади. Відповідно до </w:t>
      </w:r>
      <w:r>
        <w:rPr>
          <w:color w:val="231F20"/>
          <w:spacing w:val="-6"/>
        </w:rPr>
        <w:t xml:space="preserve">ст. </w:t>
      </w:r>
      <w:r>
        <w:rPr>
          <w:color w:val="231F20"/>
        </w:rPr>
        <w:t>3</w:t>
      </w:r>
      <w:r>
        <w:rPr>
          <w:color w:val="231F20"/>
        </w:rPr>
        <w:t xml:space="preserve"> Конституції </w:t>
      </w:r>
      <w:r>
        <w:rPr>
          <w:color w:val="231F20"/>
          <w:spacing w:val="-3"/>
        </w:rPr>
        <w:t xml:space="preserve">України </w:t>
      </w:r>
      <w:r>
        <w:rPr>
          <w:color w:val="231F20"/>
        </w:rPr>
        <w:t>права і свободи людини та їх гарантії визнача- ють</w:t>
      </w:r>
      <w:r>
        <w:rPr>
          <w:color w:val="231F20"/>
          <w:spacing w:val="-8"/>
        </w:rPr>
        <w:t xml:space="preserve"> </w:t>
      </w:r>
      <w:r>
        <w:rPr>
          <w:color w:val="231F20"/>
        </w:rPr>
        <w:t>зміст</w:t>
      </w:r>
      <w:r>
        <w:rPr>
          <w:color w:val="231F20"/>
          <w:spacing w:val="-8"/>
        </w:rPr>
        <w:t xml:space="preserve"> </w:t>
      </w:r>
      <w:r>
        <w:rPr>
          <w:color w:val="231F20"/>
        </w:rPr>
        <w:t>і</w:t>
      </w:r>
      <w:r>
        <w:rPr>
          <w:color w:val="231F20"/>
          <w:spacing w:val="-8"/>
        </w:rPr>
        <w:t xml:space="preserve"> </w:t>
      </w:r>
      <w:r>
        <w:rPr>
          <w:color w:val="231F20"/>
        </w:rPr>
        <w:t>спрямованість</w:t>
      </w:r>
      <w:r>
        <w:rPr>
          <w:color w:val="231F20"/>
          <w:spacing w:val="-8"/>
        </w:rPr>
        <w:t xml:space="preserve"> </w:t>
      </w:r>
      <w:r>
        <w:rPr>
          <w:color w:val="231F20"/>
        </w:rPr>
        <w:t>діяльності</w:t>
      </w:r>
      <w:r>
        <w:rPr>
          <w:color w:val="231F20"/>
          <w:spacing w:val="-8"/>
        </w:rPr>
        <w:t xml:space="preserve"> </w:t>
      </w:r>
      <w:r>
        <w:rPr>
          <w:color w:val="231F20"/>
        </w:rPr>
        <w:t>держави.</w:t>
      </w:r>
      <w:r>
        <w:rPr>
          <w:color w:val="231F20"/>
          <w:spacing w:val="-8"/>
        </w:rPr>
        <w:t xml:space="preserve"> </w:t>
      </w:r>
      <w:r>
        <w:rPr>
          <w:color w:val="231F20"/>
        </w:rPr>
        <w:t>Утвердження</w:t>
      </w:r>
      <w:r>
        <w:rPr>
          <w:color w:val="231F20"/>
          <w:spacing w:val="-8"/>
        </w:rPr>
        <w:t xml:space="preserve"> </w:t>
      </w:r>
      <w:r>
        <w:rPr>
          <w:color w:val="231F20"/>
        </w:rPr>
        <w:t>й</w:t>
      </w:r>
      <w:r>
        <w:rPr>
          <w:color w:val="231F20"/>
          <w:spacing w:val="-9"/>
        </w:rPr>
        <w:t xml:space="preserve"> </w:t>
      </w:r>
      <w:r>
        <w:rPr>
          <w:color w:val="231F20"/>
        </w:rPr>
        <w:t>забез- печення</w:t>
      </w:r>
      <w:r>
        <w:rPr>
          <w:color w:val="231F20"/>
          <w:spacing w:val="8"/>
        </w:rPr>
        <w:t xml:space="preserve"> </w:t>
      </w:r>
      <w:r>
        <w:rPr>
          <w:color w:val="231F20"/>
        </w:rPr>
        <w:t>прав</w:t>
      </w:r>
      <w:r>
        <w:rPr>
          <w:color w:val="231F20"/>
          <w:spacing w:val="10"/>
        </w:rPr>
        <w:t xml:space="preserve"> </w:t>
      </w:r>
      <w:r>
        <w:rPr>
          <w:color w:val="231F20"/>
        </w:rPr>
        <w:t>і</w:t>
      </w:r>
      <w:r>
        <w:rPr>
          <w:color w:val="231F20"/>
          <w:spacing w:val="10"/>
        </w:rPr>
        <w:t xml:space="preserve"> </w:t>
      </w:r>
      <w:r>
        <w:rPr>
          <w:color w:val="231F20"/>
        </w:rPr>
        <w:t>свобод</w:t>
      </w:r>
      <w:r>
        <w:rPr>
          <w:color w:val="231F20"/>
          <w:spacing w:val="10"/>
        </w:rPr>
        <w:t xml:space="preserve"> </w:t>
      </w:r>
      <w:r>
        <w:rPr>
          <w:color w:val="231F20"/>
        </w:rPr>
        <w:t>людини</w:t>
      </w:r>
      <w:r>
        <w:rPr>
          <w:color w:val="231F20"/>
          <w:spacing w:val="10"/>
        </w:rPr>
        <w:t xml:space="preserve"> </w:t>
      </w:r>
      <w:r>
        <w:rPr>
          <w:color w:val="231F20"/>
        </w:rPr>
        <w:t>є</w:t>
      </w:r>
      <w:r>
        <w:rPr>
          <w:color w:val="231F20"/>
          <w:spacing w:val="10"/>
        </w:rPr>
        <w:t xml:space="preserve"> </w:t>
      </w:r>
      <w:r>
        <w:rPr>
          <w:color w:val="231F20"/>
        </w:rPr>
        <w:t>головним</w:t>
      </w:r>
      <w:r>
        <w:rPr>
          <w:color w:val="231F20"/>
          <w:spacing w:val="10"/>
        </w:rPr>
        <w:t xml:space="preserve"> </w:t>
      </w:r>
      <w:r>
        <w:rPr>
          <w:color w:val="231F20"/>
        </w:rPr>
        <w:t>обов’язком</w:t>
      </w:r>
      <w:r>
        <w:rPr>
          <w:color w:val="231F20"/>
          <w:spacing w:val="10"/>
        </w:rPr>
        <w:t xml:space="preserve"> </w:t>
      </w:r>
      <w:r>
        <w:rPr>
          <w:color w:val="231F20"/>
        </w:rPr>
        <w:t>держави.</w:t>
      </w:r>
    </w:p>
    <w:p w14:paraId="4D5EA9C2" w14:textId="77777777" w:rsidR="00DE575E" w:rsidRDefault="00DE575E">
      <w:pPr>
        <w:pStyle w:val="BodyText"/>
        <w:spacing w:before="8"/>
        <w:rPr>
          <w:sz w:val="12"/>
        </w:rPr>
      </w:pPr>
    </w:p>
    <w:p w14:paraId="43A355F6" w14:textId="77777777" w:rsidR="00DE575E" w:rsidRDefault="002E7560">
      <w:pPr>
        <w:spacing w:before="92"/>
        <w:ind w:left="533"/>
        <w:rPr>
          <w:rFonts w:ascii="Times New Roman"/>
          <w:sz w:val="20"/>
        </w:rPr>
      </w:pPr>
      <w:r>
        <w:rPr>
          <w:rFonts w:ascii="Times New Roman"/>
          <w:color w:val="231F20"/>
          <w:sz w:val="20"/>
        </w:rPr>
        <w:t>150</w:t>
      </w:r>
    </w:p>
    <w:p w14:paraId="6C259A14" w14:textId="77777777" w:rsidR="00DE575E" w:rsidRDefault="00DE575E">
      <w:pPr>
        <w:rPr>
          <w:rFonts w:ascii="Times New Roman"/>
          <w:sz w:val="20"/>
        </w:rPr>
        <w:sectPr w:rsidR="00DE575E">
          <w:pgSz w:w="8510" w:h="12760"/>
          <w:pgMar w:top="660" w:right="720" w:bottom="280" w:left="600" w:header="720" w:footer="720" w:gutter="0"/>
          <w:cols w:space="720"/>
        </w:sectPr>
      </w:pPr>
    </w:p>
    <w:p w14:paraId="7994D7B0"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5. Приватна особа як суб’єкт адміністративного права</w:t>
      </w:r>
    </w:p>
    <w:p w14:paraId="5E2386D4" w14:textId="5B0A498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4F0FC3F" wp14:editId="1532DB0D">
                <wp:extent cx="4140200" cy="6350"/>
                <wp:effectExtent l="0" t="0" r="12700" b="6350"/>
                <wp:docPr id="1036"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37" name="Line 103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D45B6" id="Group_x0020_103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QV0zVgAIAAJwFAAAO&#10;AAAAAAAAAAAAAAAAACwCAABkcnMvZTJvRG9jLnhtbFBLAQItABQABgAIAAAAIQBMp7CQ2QAAAAMB&#10;AAAPAAAAAAAAAAAAAAAAANgEAABkcnMvZG93bnJldi54bWxQSwUGAAAAAAQABADzAAAA3gUAAAAA&#10;">
                <v:line id="Line_x0020_103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McTsQAAADdAAAADwAAAGRycy9kb3ducmV2LnhtbERP22rCQBB9L/Qflin0pehGA1qiq4gg&#10;SB+8pR8wZqdJ6O5szK4m7de7QqFvczjXmS97a8SNWl87VjAaJiCIC6drLhV85pvBOwgfkDUax6Tg&#10;hzwsF89Pc8y06/hIt1MoRQxhn6GCKoQmk9IXFVn0Q9cQR+7LtRZDhG0pdYtdDLdGjpNkIi3WHBsq&#10;bGhdUfF9uloF+eUtmMP+w3T5/pzK82WX/l53Sr2+9KsZiEB9+Bf/ubc6zk/SK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AxxOxAAAAN0AAAAPAAAAAAAAAAAA&#10;AAAAAKECAABkcnMvZG93bnJldi54bWxQSwUGAAAAAAQABAD5AAAAkgMAAAAA&#10;" strokecolor="#231f20" strokeweight=".5pt"/>
                <w10:anchorlock/>
              </v:group>
            </w:pict>
          </mc:Fallback>
        </mc:AlternateContent>
      </w:r>
    </w:p>
    <w:p w14:paraId="13F851A7" w14:textId="77777777" w:rsidR="00DE575E" w:rsidRDefault="00DE575E">
      <w:pPr>
        <w:pStyle w:val="BodyText"/>
        <w:spacing w:before="7"/>
        <w:rPr>
          <w:rFonts w:ascii="AdonisC"/>
          <w:i/>
          <w:sz w:val="19"/>
        </w:rPr>
      </w:pPr>
    </w:p>
    <w:p w14:paraId="386136F4" w14:textId="77777777" w:rsidR="00DE575E" w:rsidRDefault="002E7560">
      <w:pPr>
        <w:pStyle w:val="BodyText"/>
        <w:spacing w:before="1" w:line="252" w:lineRule="auto"/>
        <w:ind w:left="250"/>
      </w:pPr>
      <w:r>
        <w:rPr>
          <w:color w:val="231F20"/>
        </w:rPr>
        <w:t>Ці приписи можна вважати конституційною основою регулювання публічних відносин між людиною та державою.</w:t>
      </w:r>
    </w:p>
    <w:p w14:paraId="04860CD4" w14:textId="77777777" w:rsidR="00DE575E" w:rsidRDefault="002E7560">
      <w:pPr>
        <w:spacing w:before="1" w:line="252" w:lineRule="auto"/>
        <w:ind w:left="250" w:right="414" w:firstLine="283"/>
        <w:jc w:val="both"/>
        <w:rPr>
          <w:sz w:val="21"/>
        </w:rPr>
      </w:pPr>
      <w:r>
        <w:rPr>
          <w:b/>
          <w:i/>
          <w:color w:val="231F20"/>
          <w:sz w:val="21"/>
        </w:rPr>
        <w:t>Система реалізації суб’єк</w:t>
      </w:r>
      <w:r>
        <w:rPr>
          <w:b/>
          <w:i/>
          <w:color w:val="231F20"/>
          <w:sz w:val="21"/>
        </w:rPr>
        <w:t xml:space="preserve">тивних публічних прав приватних осіб </w:t>
      </w:r>
      <w:r>
        <w:rPr>
          <w:color w:val="231F20"/>
          <w:sz w:val="21"/>
        </w:rPr>
        <w:t>має у своєму складі:</w:t>
      </w:r>
    </w:p>
    <w:p w14:paraId="25A6E0DB" w14:textId="77777777" w:rsidR="00DE575E" w:rsidRDefault="002E7560">
      <w:pPr>
        <w:pStyle w:val="ListParagraph"/>
        <w:numPr>
          <w:ilvl w:val="0"/>
          <w:numId w:val="254"/>
        </w:numPr>
        <w:tabs>
          <w:tab w:val="left" w:pos="818"/>
        </w:tabs>
        <w:ind w:firstLine="283"/>
        <w:jc w:val="left"/>
        <w:rPr>
          <w:sz w:val="21"/>
        </w:rPr>
      </w:pPr>
      <w:r>
        <w:rPr>
          <w:color w:val="231F20"/>
          <w:sz w:val="21"/>
        </w:rPr>
        <w:t xml:space="preserve">права на свободу слова, зібрань, </w:t>
      </w:r>
      <w:r>
        <w:rPr>
          <w:color w:val="231F20"/>
          <w:spacing w:val="-3"/>
          <w:sz w:val="21"/>
        </w:rPr>
        <w:t>об’єднань,</w:t>
      </w:r>
      <w:r>
        <w:rPr>
          <w:color w:val="231F20"/>
          <w:spacing w:val="-8"/>
          <w:sz w:val="21"/>
        </w:rPr>
        <w:t xml:space="preserve"> </w:t>
      </w:r>
      <w:r>
        <w:rPr>
          <w:color w:val="231F20"/>
          <w:sz w:val="21"/>
        </w:rPr>
        <w:t>віросповідання;</w:t>
      </w:r>
    </w:p>
    <w:p w14:paraId="0E0D021C" w14:textId="77777777" w:rsidR="00DE575E" w:rsidRDefault="002E7560">
      <w:pPr>
        <w:pStyle w:val="ListParagraph"/>
        <w:numPr>
          <w:ilvl w:val="0"/>
          <w:numId w:val="254"/>
        </w:numPr>
        <w:tabs>
          <w:tab w:val="left" w:pos="818"/>
        </w:tabs>
        <w:spacing w:before="12" w:line="252" w:lineRule="auto"/>
        <w:ind w:right="411" w:firstLine="283"/>
        <w:rPr>
          <w:sz w:val="21"/>
        </w:rPr>
      </w:pPr>
      <w:r>
        <w:rPr>
          <w:color w:val="231F20"/>
          <w:sz w:val="21"/>
        </w:rPr>
        <w:t>права, пов’язані з участю громадян в управлінні державними справами (активне та пасивне виборче право, право на здійснення громадського ко</w:t>
      </w:r>
      <w:r>
        <w:rPr>
          <w:color w:val="231F20"/>
          <w:sz w:val="21"/>
        </w:rPr>
        <w:t xml:space="preserve">нтролю, право на участь у відправленні право- </w:t>
      </w:r>
      <w:r>
        <w:rPr>
          <w:color w:val="231F20"/>
          <w:spacing w:val="-3"/>
          <w:sz w:val="21"/>
        </w:rPr>
        <w:t>суддя);</w:t>
      </w:r>
    </w:p>
    <w:p w14:paraId="2416A9C4" w14:textId="77777777" w:rsidR="00DE575E" w:rsidRDefault="002E7560">
      <w:pPr>
        <w:pStyle w:val="ListParagraph"/>
        <w:numPr>
          <w:ilvl w:val="0"/>
          <w:numId w:val="254"/>
        </w:numPr>
        <w:tabs>
          <w:tab w:val="left" w:pos="818"/>
        </w:tabs>
        <w:spacing w:before="2"/>
        <w:ind w:firstLine="283"/>
        <w:jc w:val="left"/>
        <w:rPr>
          <w:sz w:val="21"/>
        </w:rPr>
      </w:pPr>
      <w:r>
        <w:rPr>
          <w:color w:val="231F20"/>
          <w:sz w:val="21"/>
        </w:rPr>
        <w:t>право на отримання адміністративних</w:t>
      </w:r>
      <w:r>
        <w:rPr>
          <w:color w:val="231F20"/>
          <w:spacing w:val="-6"/>
          <w:sz w:val="21"/>
        </w:rPr>
        <w:t xml:space="preserve"> </w:t>
      </w:r>
      <w:r>
        <w:rPr>
          <w:color w:val="231F20"/>
          <w:sz w:val="21"/>
        </w:rPr>
        <w:t>послуг;</w:t>
      </w:r>
    </w:p>
    <w:p w14:paraId="147B8385" w14:textId="77777777" w:rsidR="00DE575E" w:rsidRDefault="002E7560">
      <w:pPr>
        <w:pStyle w:val="ListParagraph"/>
        <w:numPr>
          <w:ilvl w:val="0"/>
          <w:numId w:val="254"/>
        </w:numPr>
        <w:tabs>
          <w:tab w:val="left" w:pos="818"/>
        </w:tabs>
        <w:spacing w:before="13" w:line="252" w:lineRule="auto"/>
        <w:ind w:right="410" w:firstLine="283"/>
        <w:rPr>
          <w:sz w:val="21"/>
        </w:rPr>
      </w:pPr>
      <w:r>
        <w:rPr>
          <w:color w:val="231F20"/>
          <w:sz w:val="21"/>
        </w:rPr>
        <w:t>право на користування публічним майном (вулиці, площі, парки тощо);</w:t>
      </w:r>
    </w:p>
    <w:p w14:paraId="61714B73"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права, пов’язані з можливістю захисту своїх прав і свобод (право на</w:t>
      </w:r>
      <w:r>
        <w:rPr>
          <w:color w:val="231F20"/>
          <w:spacing w:val="-2"/>
          <w:sz w:val="21"/>
        </w:rPr>
        <w:t xml:space="preserve"> </w:t>
      </w:r>
      <w:r>
        <w:rPr>
          <w:color w:val="231F20"/>
          <w:sz w:val="21"/>
        </w:rPr>
        <w:t>звернення).</w:t>
      </w:r>
    </w:p>
    <w:p w14:paraId="52685537" w14:textId="77777777" w:rsidR="00DE575E" w:rsidRDefault="002E7560">
      <w:pPr>
        <w:pStyle w:val="BodyText"/>
        <w:spacing w:before="1" w:line="252" w:lineRule="auto"/>
        <w:ind w:left="250" w:right="410" w:firstLine="283"/>
        <w:jc w:val="both"/>
      </w:pPr>
      <w:r>
        <w:rPr>
          <w:color w:val="231F20"/>
        </w:rPr>
        <w:t xml:space="preserve">Згідно з основними правами та обов’язками, закріпленими </w:t>
      </w:r>
      <w:r>
        <w:rPr>
          <w:color w:val="231F20"/>
          <w:spacing w:val="2"/>
        </w:rPr>
        <w:t>внормах</w:t>
      </w:r>
      <w:r>
        <w:rPr>
          <w:color w:val="231F20"/>
          <w:spacing w:val="-22"/>
        </w:rPr>
        <w:t xml:space="preserve"> </w:t>
      </w:r>
      <w:r>
        <w:rPr>
          <w:color w:val="231F20"/>
        </w:rPr>
        <w:t>Конституції</w:t>
      </w:r>
      <w:r>
        <w:rPr>
          <w:color w:val="231F20"/>
          <w:spacing w:val="-22"/>
        </w:rPr>
        <w:t xml:space="preserve"> </w:t>
      </w:r>
      <w:r>
        <w:rPr>
          <w:color w:val="231F20"/>
          <w:spacing w:val="-3"/>
        </w:rPr>
        <w:t>України,</w:t>
      </w:r>
      <w:r>
        <w:rPr>
          <w:color w:val="231F20"/>
          <w:spacing w:val="-22"/>
        </w:rPr>
        <w:t xml:space="preserve"> </w:t>
      </w:r>
      <w:r>
        <w:rPr>
          <w:color w:val="231F20"/>
        </w:rPr>
        <w:t>слід</w:t>
      </w:r>
      <w:r>
        <w:rPr>
          <w:color w:val="231F20"/>
          <w:spacing w:val="-22"/>
        </w:rPr>
        <w:t xml:space="preserve"> </w:t>
      </w:r>
      <w:r>
        <w:rPr>
          <w:color w:val="231F20"/>
        </w:rPr>
        <w:t>розрізняти:</w:t>
      </w:r>
      <w:r>
        <w:rPr>
          <w:color w:val="231F20"/>
          <w:spacing w:val="-23"/>
        </w:rPr>
        <w:t xml:space="preserve"> </w:t>
      </w:r>
      <w:r>
        <w:rPr>
          <w:color w:val="231F20"/>
        </w:rPr>
        <w:t>права</w:t>
      </w:r>
      <w:r>
        <w:rPr>
          <w:color w:val="231F20"/>
          <w:spacing w:val="-22"/>
        </w:rPr>
        <w:t xml:space="preserve"> </w:t>
      </w:r>
      <w:r>
        <w:rPr>
          <w:color w:val="231F20"/>
        </w:rPr>
        <w:t>громадян,</w:t>
      </w:r>
      <w:r>
        <w:rPr>
          <w:color w:val="231F20"/>
          <w:spacing w:val="-22"/>
        </w:rPr>
        <w:t xml:space="preserve"> </w:t>
      </w:r>
      <w:r>
        <w:rPr>
          <w:color w:val="231F20"/>
        </w:rPr>
        <w:t xml:space="preserve">закрі- плені в нормах адміністративного права, які розвивають і конкре- тизують права, закріплені в Конституції </w:t>
      </w:r>
      <w:r>
        <w:rPr>
          <w:color w:val="231F20"/>
          <w:spacing w:val="-3"/>
        </w:rPr>
        <w:t xml:space="preserve">України  </w:t>
      </w:r>
      <w:r>
        <w:rPr>
          <w:color w:val="231F20"/>
        </w:rPr>
        <w:t xml:space="preserve">(право на участь </w:t>
      </w:r>
      <w:r>
        <w:rPr>
          <w:color w:val="231F20"/>
        </w:rPr>
        <w:t xml:space="preserve">  в управлінні державними справами, право на медичну </w:t>
      </w:r>
      <w:r>
        <w:rPr>
          <w:color w:val="231F20"/>
          <w:spacing w:val="-3"/>
        </w:rPr>
        <w:t xml:space="preserve">допомогу, </w:t>
      </w:r>
      <w:r>
        <w:rPr>
          <w:color w:val="231F20"/>
        </w:rPr>
        <w:t>право</w:t>
      </w:r>
      <w:r>
        <w:rPr>
          <w:color w:val="231F20"/>
          <w:spacing w:val="-6"/>
        </w:rPr>
        <w:t xml:space="preserve"> </w:t>
      </w:r>
      <w:r>
        <w:rPr>
          <w:color w:val="231F20"/>
        </w:rPr>
        <w:t>на</w:t>
      </w:r>
      <w:r>
        <w:rPr>
          <w:color w:val="231F20"/>
          <w:spacing w:val="-6"/>
        </w:rPr>
        <w:t xml:space="preserve"> </w:t>
      </w:r>
      <w:r>
        <w:rPr>
          <w:color w:val="231F20"/>
        </w:rPr>
        <w:t>освіту</w:t>
      </w:r>
      <w:r>
        <w:rPr>
          <w:color w:val="231F20"/>
          <w:spacing w:val="-6"/>
        </w:rPr>
        <w:t xml:space="preserve"> </w:t>
      </w:r>
      <w:r>
        <w:rPr>
          <w:color w:val="231F20"/>
        </w:rPr>
        <w:t>тощо);</w:t>
      </w:r>
      <w:r>
        <w:rPr>
          <w:color w:val="231F20"/>
          <w:spacing w:val="-6"/>
        </w:rPr>
        <w:t xml:space="preserve"> </w:t>
      </w:r>
      <w:r>
        <w:rPr>
          <w:color w:val="231F20"/>
        </w:rPr>
        <w:t>права</w:t>
      </w:r>
      <w:r>
        <w:rPr>
          <w:color w:val="231F20"/>
          <w:spacing w:val="-6"/>
        </w:rPr>
        <w:t xml:space="preserve"> </w:t>
      </w:r>
      <w:r>
        <w:rPr>
          <w:color w:val="231F20"/>
        </w:rPr>
        <w:t>громадян,</w:t>
      </w:r>
      <w:r>
        <w:rPr>
          <w:color w:val="231F20"/>
          <w:spacing w:val="-6"/>
        </w:rPr>
        <w:t xml:space="preserve"> </w:t>
      </w:r>
      <w:r>
        <w:rPr>
          <w:color w:val="231F20"/>
        </w:rPr>
        <w:t>передбачені</w:t>
      </w:r>
      <w:r>
        <w:rPr>
          <w:color w:val="231F20"/>
          <w:spacing w:val="-6"/>
        </w:rPr>
        <w:t xml:space="preserve"> </w:t>
      </w:r>
      <w:r>
        <w:rPr>
          <w:color w:val="231F20"/>
        </w:rPr>
        <w:t>нормами</w:t>
      </w:r>
      <w:r>
        <w:rPr>
          <w:color w:val="231F20"/>
          <w:spacing w:val="-6"/>
        </w:rPr>
        <w:t xml:space="preserve"> </w:t>
      </w:r>
      <w:r>
        <w:rPr>
          <w:color w:val="231F20"/>
        </w:rPr>
        <w:t>тільки адміністративного права  (напр.,  зумовлені  наявністю  паспорт- ної системи).</w:t>
      </w:r>
    </w:p>
    <w:p w14:paraId="079A020A" w14:textId="77777777" w:rsidR="00DE575E" w:rsidRDefault="002E7560">
      <w:pPr>
        <w:pStyle w:val="BodyText"/>
        <w:spacing w:before="4" w:line="252" w:lineRule="auto"/>
        <w:ind w:left="250" w:right="410" w:firstLine="283"/>
        <w:jc w:val="both"/>
      </w:pPr>
      <w:r>
        <w:rPr>
          <w:color w:val="231F20"/>
          <w:spacing w:val="-3"/>
        </w:rPr>
        <w:t xml:space="preserve">Суб’єктивні </w:t>
      </w:r>
      <w:r>
        <w:rPr>
          <w:color w:val="231F20"/>
        </w:rPr>
        <w:t xml:space="preserve">публічні права приватних осіб можна </w:t>
      </w:r>
      <w:r>
        <w:rPr>
          <w:color w:val="231F20"/>
        </w:rPr>
        <w:t>визначити як права, якими користуються громадяни у сфері публічного адміні- стрування; вони є підґрунтям відносин приватних осіб із державою, складовим елементом адміністративно-правового статусу приват- них</w:t>
      </w:r>
      <w:r>
        <w:rPr>
          <w:color w:val="231F20"/>
          <w:spacing w:val="-10"/>
        </w:rPr>
        <w:t xml:space="preserve"> </w:t>
      </w:r>
      <w:r>
        <w:rPr>
          <w:color w:val="231F20"/>
        </w:rPr>
        <w:t>осіб</w:t>
      </w:r>
      <w:r>
        <w:rPr>
          <w:color w:val="231F20"/>
          <w:spacing w:val="-10"/>
        </w:rPr>
        <w:t xml:space="preserve"> </w:t>
      </w:r>
      <w:r>
        <w:rPr>
          <w:color w:val="231F20"/>
        </w:rPr>
        <w:t>і</w:t>
      </w:r>
      <w:r>
        <w:rPr>
          <w:color w:val="231F20"/>
          <w:spacing w:val="-10"/>
        </w:rPr>
        <w:t xml:space="preserve"> </w:t>
      </w:r>
      <w:r>
        <w:rPr>
          <w:color w:val="231F20"/>
        </w:rPr>
        <w:t>реалізуються</w:t>
      </w:r>
      <w:r>
        <w:rPr>
          <w:color w:val="231F20"/>
          <w:spacing w:val="-10"/>
        </w:rPr>
        <w:t xml:space="preserve"> </w:t>
      </w:r>
      <w:r>
        <w:rPr>
          <w:color w:val="231F20"/>
        </w:rPr>
        <w:t>в</w:t>
      </w:r>
      <w:r>
        <w:rPr>
          <w:color w:val="231F20"/>
          <w:spacing w:val="-10"/>
        </w:rPr>
        <w:t xml:space="preserve"> </w:t>
      </w:r>
      <w:r>
        <w:rPr>
          <w:color w:val="231F20"/>
        </w:rPr>
        <w:t>межах</w:t>
      </w:r>
      <w:r>
        <w:rPr>
          <w:color w:val="231F20"/>
          <w:spacing w:val="-10"/>
        </w:rPr>
        <w:t xml:space="preserve"> </w:t>
      </w:r>
      <w:r>
        <w:rPr>
          <w:color w:val="231F20"/>
        </w:rPr>
        <w:t>адміністративно-прав</w:t>
      </w:r>
      <w:r>
        <w:rPr>
          <w:color w:val="231F20"/>
        </w:rPr>
        <w:t>ових</w:t>
      </w:r>
      <w:r>
        <w:rPr>
          <w:color w:val="231F20"/>
          <w:spacing w:val="-10"/>
        </w:rPr>
        <w:t xml:space="preserve"> </w:t>
      </w:r>
      <w:r>
        <w:rPr>
          <w:color w:val="231F20"/>
        </w:rPr>
        <w:t>відносин.</w:t>
      </w:r>
    </w:p>
    <w:p w14:paraId="3A4CF20E" w14:textId="77777777" w:rsidR="00DE575E" w:rsidRDefault="00DE575E">
      <w:pPr>
        <w:pStyle w:val="BodyText"/>
        <w:spacing w:before="4"/>
        <w:rPr>
          <w:sz w:val="22"/>
        </w:rPr>
      </w:pPr>
    </w:p>
    <w:p w14:paraId="34EED44F" w14:textId="77777777" w:rsidR="00DE575E" w:rsidRDefault="002E7560">
      <w:pPr>
        <w:pStyle w:val="Heading6"/>
        <w:numPr>
          <w:ilvl w:val="3"/>
          <w:numId w:val="242"/>
        </w:numPr>
        <w:tabs>
          <w:tab w:val="left" w:pos="1252"/>
        </w:tabs>
        <w:spacing w:before="0"/>
      </w:pPr>
      <w:r>
        <w:rPr>
          <w:color w:val="231F20"/>
        </w:rPr>
        <w:t>Право на участь в ухваленні</w:t>
      </w:r>
      <w:r>
        <w:rPr>
          <w:color w:val="231F20"/>
          <w:spacing w:val="-7"/>
        </w:rPr>
        <w:t xml:space="preserve"> </w:t>
      </w:r>
      <w:r>
        <w:rPr>
          <w:color w:val="231F20"/>
        </w:rPr>
        <w:t>рішень</w:t>
      </w:r>
    </w:p>
    <w:p w14:paraId="4953B0A4" w14:textId="77777777" w:rsidR="00DE575E" w:rsidRDefault="002E7560">
      <w:pPr>
        <w:pStyle w:val="BodyText"/>
        <w:spacing w:before="13" w:line="252" w:lineRule="auto"/>
        <w:ind w:left="250" w:right="411" w:firstLine="283"/>
        <w:jc w:val="both"/>
      </w:pPr>
      <w:r>
        <w:rPr>
          <w:color w:val="231F20"/>
        </w:rPr>
        <w:t>В</w:t>
      </w:r>
      <w:r>
        <w:rPr>
          <w:color w:val="231F20"/>
          <w:spacing w:val="-9"/>
        </w:rPr>
        <w:t xml:space="preserve"> </w:t>
      </w:r>
      <w:r>
        <w:rPr>
          <w:color w:val="231F20"/>
          <w:spacing w:val="-3"/>
        </w:rPr>
        <w:t>Україні</w:t>
      </w:r>
      <w:r>
        <w:rPr>
          <w:color w:val="231F20"/>
          <w:spacing w:val="-9"/>
        </w:rPr>
        <w:t xml:space="preserve"> </w:t>
      </w:r>
      <w:r>
        <w:rPr>
          <w:color w:val="231F20"/>
        </w:rPr>
        <w:t>єдиним</w:t>
      </w:r>
      <w:r>
        <w:rPr>
          <w:color w:val="231F20"/>
          <w:spacing w:val="-9"/>
        </w:rPr>
        <w:t xml:space="preserve"> </w:t>
      </w:r>
      <w:r>
        <w:rPr>
          <w:color w:val="231F20"/>
        </w:rPr>
        <w:t>джерелом</w:t>
      </w:r>
      <w:r>
        <w:rPr>
          <w:color w:val="231F20"/>
          <w:spacing w:val="-9"/>
        </w:rPr>
        <w:t xml:space="preserve"> </w:t>
      </w:r>
      <w:r>
        <w:rPr>
          <w:color w:val="231F20"/>
        </w:rPr>
        <w:t>влади</w:t>
      </w:r>
      <w:r>
        <w:rPr>
          <w:color w:val="231F20"/>
          <w:spacing w:val="-9"/>
        </w:rPr>
        <w:t xml:space="preserve"> </w:t>
      </w:r>
      <w:r>
        <w:rPr>
          <w:color w:val="231F20"/>
        </w:rPr>
        <w:t>є</w:t>
      </w:r>
      <w:r>
        <w:rPr>
          <w:color w:val="231F20"/>
          <w:spacing w:val="-8"/>
        </w:rPr>
        <w:t xml:space="preserve"> </w:t>
      </w:r>
      <w:r>
        <w:rPr>
          <w:color w:val="231F20"/>
        </w:rPr>
        <w:t>народ,</w:t>
      </w:r>
      <w:r>
        <w:rPr>
          <w:color w:val="231F20"/>
          <w:spacing w:val="-9"/>
        </w:rPr>
        <w:t xml:space="preserve"> </w:t>
      </w:r>
      <w:r>
        <w:rPr>
          <w:color w:val="231F20"/>
        </w:rPr>
        <w:t>який</w:t>
      </w:r>
      <w:r>
        <w:rPr>
          <w:color w:val="231F20"/>
          <w:spacing w:val="-9"/>
        </w:rPr>
        <w:t xml:space="preserve"> </w:t>
      </w:r>
      <w:r>
        <w:rPr>
          <w:color w:val="231F20"/>
        </w:rPr>
        <w:t>може</w:t>
      </w:r>
      <w:r>
        <w:rPr>
          <w:color w:val="231F20"/>
          <w:spacing w:val="-9"/>
        </w:rPr>
        <w:t xml:space="preserve"> </w:t>
      </w:r>
      <w:r>
        <w:rPr>
          <w:color w:val="231F20"/>
        </w:rPr>
        <w:t xml:space="preserve">вирішувати важливі питання як власного життя, так і держави загалом. Відпо- відно до </w:t>
      </w:r>
      <w:r>
        <w:rPr>
          <w:color w:val="231F20"/>
          <w:spacing w:val="-6"/>
        </w:rPr>
        <w:t xml:space="preserve">ст. </w:t>
      </w:r>
      <w:r>
        <w:rPr>
          <w:color w:val="231F20"/>
        </w:rPr>
        <w:t xml:space="preserve">38 Конституції </w:t>
      </w:r>
      <w:r>
        <w:rPr>
          <w:color w:val="231F20"/>
          <w:spacing w:val="-3"/>
        </w:rPr>
        <w:t xml:space="preserve">України </w:t>
      </w:r>
      <w:r>
        <w:rPr>
          <w:color w:val="231F20"/>
        </w:rPr>
        <w:t>громадяни мають право брати участь в управлінні державними справами, у всеукраїнському та місцевих</w:t>
      </w:r>
      <w:r>
        <w:rPr>
          <w:color w:val="231F20"/>
          <w:spacing w:val="-7"/>
        </w:rPr>
        <w:t xml:space="preserve"> </w:t>
      </w:r>
      <w:r>
        <w:rPr>
          <w:color w:val="231F20"/>
        </w:rPr>
        <w:t>референдумах,</w:t>
      </w:r>
      <w:r>
        <w:rPr>
          <w:color w:val="231F20"/>
          <w:spacing w:val="-7"/>
        </w:rPr>
        <w:t xml:space="preserve"> </w:t>
      </w:r>
      <w:r>
        <w:rPr>
          <w:color w:val="231F20"/>
        </w:rPr>
        <w:t>вільно</w:t>
      </w:r>
      <w:r>
        <w:rPr>
          <w:color w:val="231F20"/>
          <w:spacing w:val="-7"/>
        </w:rPr>
        <w:t xml:space="preserve"> </w:t>
      </w:r>
      <w:r>
        <w:rPr>
          <w:color w:val="231F20"/>
        </w:rPr>
        <w:t>обирати</w:t>
      </w:r>
      <w:r>
        <w:rPr>
          <w:color w:val="231F20"/>
          <w:spacing w:val="-7"/>
        </w:rPr>
        <w:t xml:space="preserve"> </w:t>
      </w:r>
      <w:r>
        <w:rPr>
          <w:color w:val="231F20"/>
        </w:rPr>
        <w:t>й</w:t>
      </w:r>
      <w:r>
        <w:rPr>
          <w:color w:val="231F20"/>
          <w:spacing w:val="-6"/>
        </w:rPr>
        <w:t xml:space="preserve"> </w:t>
      </w:r>
      <w:r>
        <w:rPr>
          <w:color w:val="231F20"/>
        </w:rPr>
        <w:t>бути</w:t>
      </w:r>
      <w:r>
        <w:rPr>
          <w:color w:val="231F20"/>
          <w:spacing w:val="-7"/>
        </w:rPr>
        <w:t xml:space="preserve"> </w:t>
      </w:r>
      <w:r>
        <w:rPr>
          <w:color w:val="231F20"/>
        </w:rPr>
        <w:t>обраними</w:t>
      </w:r>
      <w:r>
        <w:rPr>
          <w:color w:val="231F20"/>
          <w:spacing w:val="-7"/>
        </w:rPr>
        <w:t xml:space="preserve"> </w:t>
      </w:r>
      <w:r>
        <w:rPr>
          <w:color w:val="231F20"/>
        </w:rPr>
        <w:t>до</w:t>
      </w:r>
      <w:r>
        <w:rPr>
          <w:color w:val="231F20"/>
          <w:spacing w:val="-7"/>
        </w:rPr>
        <w:t xml:space="preserve"> </w:t>
      </w:r>
      <w:r>
        <w:rPr>
          <w:color w:val="231F20"/>
        </w:rPr>
        <w:t>органів державної влади та органів місцевого</w:t>
      </w:r>
      <w:r>
        <w:rPr>
          <w:color w:val="231F20"/>
          <w:spacing w:val="-5"/>
        </w:rPr>
        <w:t xml:space="preserve"> </w:t>
      </w:r>
      <w:r>
        <w:rPr>
          <w:color w:val="231F20"/>
        </w:rPr>
        <w:t>самоврядування.</w:t>
      </w:r>
    </w:p>
    <w:p w14:paraId="2AAC6A88" w14:textId="77777777" w:rsidR="00DE575E" w:rsidRDefault="002E7560">
      <w:pPr>
        <w:pStyle w:val="BodyText"/>
        <w:spacing w:before="2" w:line="252" w:lineRule="auto"/>
        <w:ind w:left="250" w:right="411" w:firstLine="283"/>
        <w:jc w:val="both"/>
      </w:pPr>
      <w:r>
        <w:rPr>
          <w:i/>
          <w:color w:val="231F20"/>
        </w:rPr>
        <w:t xml:space="preserve">Управління  державними  справами  </w:t>
      </w:r>
      <w:r>
        <w:rPr>
          <w:color w:val="231F20"/>
        </w:rPr>
        <w:t xml:space="preserve">здійснюється  </w:t>
      </w:r>
      <w:r>
        <w:rPr>
          <w:color w:val="231F20"/>
        </w:rPr>
        <w:t>через  участь  у виборах, у референдумах, у діяльності політичних партій та орга- нізацій, в ухваленні рішень органами  місцевого  самоврядування  та</w:t>
      </w:r>
      <w:r>
        <w:rPr>
          <w:color w:val="231F20"/>
          <w:spacing w:val="25"/>
        </w:rPr>
        <w:t xml:space="preserve"> </w:t>
      </w:r>
      <w:r>
        <w:rPr>
          <w:color w:val="231F20"/>
        </w:rPr>
        <w:t>органами</w:t>
      </w:r>
      <w:r>
        <w:rPr>
          <w:color w:val="231F20"/>
          <w:spacing w:val="25"/>
        </w:rPr>
        <w:t xml:space="preserve"> </w:t>
      </w:r>
      <w:r>
        <w:rPr>
          <w:color w:val="231F20"/>
        </w:rPr>
        <w:t>публічної</w:t>
      </w:r>
      <w:r>
        <w:rPr>
          <w:color w:val="231F20"/>
          <w:spacing w:val="25"/>
        </w:rPr>
        <w:t xml:space="preserve"> </w:t>
      </w:r>
      <w:r>
        <w:rPr>
          <w:color w:val="231F20"/>
        </w:rPr>
        <w:t>влади,</w:t>
      </w:r>
      <w:r>
        <w:rPr>
          <w:color w:val="231F20"/>
          <w:spacing w:val="25"/>
        </w:rPr>
        <w:t xml:space="preserve"> </w:t>
      </w:r>
      <w:r>
        <w:rPr>
          <w:color w:val="231F20"/>
        </w:rPr>
        <w:t>у</w:t>
      </w:r>
      <w:r>
        <w:rPr>
          <w:color w:val="231F20"/>
          <w:spacing w:val="25"/>
        </w:rPr>
        <w:t xml:space="preserve"> </w:t>
      </w:r>
      <w:r>
        <w:rPr>
          <w:color w:val="231F20"/>
        </w:rPr>
        <w:t>проведенні</w:t>
      </w:r>
      <w:r>
        <w:rPr>
          <w:color w:val="231F20"/>
          <w:spacing w:val="25"/>
        </w:rPr>
        <w:t xml:space="preserve"> </w:t>
      </w:r>
      <w:r>
        <w:rPr>
          <w:color w:val="231F20"/>
        </w:rPr>
        <w:t>регуляторної</w:t>
      </w:r>
      <w:r>
        <w:rPr>
          <w:color w:val="231F20"/>
          <w:spacing w:val="25"/>
        </w:rPr>
        <w:t xml:space="preserve"> </w:t>
      </w:r>
      <w:r>
        <w:rPr>
          <w:color w:val="231F20"/>
        </w:rPr>
        <w:t>політики</w:t>
      </w:r>
    </w:p>
    <w:p w14:paraId="337FACE9" w14:textId="77777777" w:rsidR="00DE575E" w:rsidRDefault="00DE575E">
      <w:pPr>
        <w:pStyle w:val="BodyText"/>
        <w:spacing w:before="7"/>
        <w:rPr>
          <w:sz w:val="12"/>
        </w:rPr>
      </w:pPr>
    </w:p>
    <w:p w14:paraId="441947C0" w14:textId="77777777" w:rsidR="00DE575E" w:rsidRDefault="002E7560">
      <w:pPr>
        <w:spacing w:before="91"/>
        <w:ind w:right="411"/>
        <w:jc w:val="right"/>
        <w:rPr>
          <w:rFonts w:ascii="Times New Roman"/>
          <w:sz w:val="20"/>
        </w:rPr>
      </w:pPr>
      <w:r>
        <w:rPr>
          <w:rFonts w:ascii="Times New Roman"/>
          <w:color w:val="231F20"/>
          <w:w w:val="90"/>
          <w:sz w:val="20"/>
        </w:rPr>
        <w:t>151</w:t>
      </w:r>
    </w:p>
    <w:p w14:paraId="18E27A2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375D9A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B2AC1B1" w14:textId="0E04D97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6FDF66" wp14:editId="3BE9A8FE">
                <wp:extent cx="4140200" cy="6350"/>
                <wp:effectExtent l="0" t="0" r="12700" b="6350"/>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35" name="Line 103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4069C1" id="Group_x0020_103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eHQn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4Xh0J/AgAAnAUAAA4A&#10;AAAAAAAAAAAAAAAALAIAAGRycy9lMm9Eb2MueG1sUEsBAi0AFAAGAAgAAAAhAEynsJDZAAAAAwEA&#10;AA8AAAAAAAAAAAAAAAAA1wQAAGRycy9kb3ducmV2LnhtbFBLBQYAAAAABAAEAPMAAADdBQAAAAA=&#10;">
                <v:line id="Line_x0020_103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nosQAAADdAAAADwAAAGRycy9kb3ducmV2LnhtbERP22rCQBB9L/Qflin0pehGg1Kiq4gg&#10;SB+8pR8wZqdJ6O5szK4m7de7QqFvczjXmS97a8SNWl87VjAaJiCIC6drLhV85pvBOwgfkDUax6Tg&#10;hzwsF89Pc8y06/hIt1MoRQxhn6GCKoQmk9IXFVn0Q9cQR+7LtRZDhG0pdYtdDLdGjpNkKi3WHBsq&#10;bGhdUfF9uloF+eUtmMP+w3T5/pzK82WX/l53Sr2+9KsZiEB9+Bf/ubc6zk/SCTy+iSf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nSeixAAAAN0AAAAPAAAAAAAAAAAA&#10;AAAAAKECAABkcnMvZG93bnJldi54bWxQSwUGAAAAAAQABAD5AAAAkgMAAAAA&#10;" strokecolor="#231f20" strokeweight=".5pt"/>
                <w10:anchorlock/>
              </v:group>
            </w:pict>
          </mc:Fallback>
        </mc:AlternateContent>
      </w:r>
    </w:p>
    <w:p w14:paraId="525572B9" w14:textId="77777777" w:rsidR="00DE575E" w:rsidRDefault="00DE575E">
      <w:pPr>
        <w:pStyle w:val="BodyText"/>
        <w:spacing w:before="7"/>
        <w:rPr>
          <w:rFonts w:ascii="AdonisC"/>
          <w:i/>
          <w:sz w:val="11"/>
        </w:rPr>
      </w:pPr>
    </w:p>
    <w:p w14:paraId="331F11BA" w14:textId="77777777" w:rsidR="00DE575E" w:rsidRDefault="002E7560">
      <w:pPr>
        <w:pStyle w:val="BodyText"/>
        <w:spacing w:before="101" w:line="252" w:lineRule="auto"/>
        <w:ind w:left="533" w:right="127"/>
        <w:jc w:val="both"/>
      </w:pPr>
      <w:r>
        <w:rPr>
          <w:color w:val="231F20"/>
        </w:rPr>
        <w:t>держави, через доступ до державної служби, звернення  до  орга- нів влади, доступ до інформації про діяльність влади, оскарження рішень органів</w:t>
      </w:r>
      <w:r>
        <w:rPr>
          <w:color w:val="231F20"/>
          <w:spacing w:val="-2"/>
        </w:rPr>
        <w:t xml:space="preserve"> </w:t>
      </w:r>
      <w:r>
        <w:rPr>
          <w:color w:val="231F20"/>
        </w:rPr>
        <w:t>влади.</w:t>
      </w:r>
    </w:p>
    <w:p w14:paraId="49F7E356" w14:textId="77777777" w:rsidR="00DE575E" w:rsidRDefault="002E7560">
      <w:pPr>
        <w:pStyle w:val="BodyText"/>
        <w:spacing w:before="1" w:line="252" w:lineRule="auto"/>
        <w:ind w:left="533" w:right="128" w:firstLine="283"/>
        <w:jc w:val="both"/>
      </w:pPr>
      <w:r>
        <w:rPr>
          <w:color w:val="231F20"/>
        </w:rPr>
        <w:t>Громадяни можуть брати участь у процесі підготовки та ухва- ленні рі</w:t>
      </w:r>
      <w:r>
        <w:rPr>
          <w:color w:val="231F20"/>
        </w:rPr>
        <w:t>шень з питань державного й суспільного життя.</w:t>
      </w:r>
    </w:p>
    <w:p w14:paraId="45D9411E" w14:textId="77777777" w:rsidR="00DE575E" w:rsidRDefault="002E7560">
      <w:pPr>
        <w:pStyle w:val="BodyText"/>
        <w:spacing w:before="1" w:line="252" w:lineRule="auto"/>
        <w:ind w:left="533" w:right="128" w:firstLine="283"/>
        <w:jc w:val="both"/>
      </w:pPr>
      <w:r>
        <w:rPr>
          <w:i/>
          <w:color w:val="231F20"/>
          <w:spacing w:val="-3"/>
        </w:rPr>
        <w:t xml:space="preserve">Ухвалення </w:t>
      </w:r>
      <w:r>
        <w:rPr>
          <w:i/>
          <w:color w:val="231F20"/>
        </w:rPr>
        <w:t>управлінських р</w:t>
      </w:r>
      <w:r>
        <w:rPr>
          <w:color w:val="231F20"/>
        </w:rPr>
        <w:t>ішень – це процес трансформації вимог різноманітних</w:t>
      </w:r>
      <w:r>
        <w:rPr>
          <w:color w:val="231F20"/>
          <w:spacing w:val="-7"/>
        </w:rPr>
        <w:t xml:space="preserve"> </w:t>
      </w:r>
      <w:r>
        <w:rPr>
          <w:color w:val="231F20"/>
        </w:rPr>
        <w:t>груп</w:t>
      </w:r>
      <w:r>
        <w:rPr>
          <w:color w:val="231F20"/>
          <w:spacing w:val="-7"/>
        </w:rPr>
        <w:t xml:space="preserve"> </w:t>
      </w:r>
      <w:r>
        <w:rPr>
          <w:color w:val="231F20"/>
        </w:rPr>
        <w:t>і</w:t>
      </w:r>
      <w:r>
        <w:rPr>
          <w:color w:val="231F20"/>
          <w:spacing w:val="-6"/>
        </w:rPr>
        <w:t xml:space="preserve"> </w:t>
      </w:r>
      <w:r>
        <w:rPr>
          <w:color w:val="231F20"/>
        </w:rPr>
        <w:t>окремих</w:t>
      </w:r>
      <w:r>
        <w:rPr>
          <w:color w:val="231F20"/>
          <w:spacing w:val="-7"/>
        </w:rPr>
        <w:t xml:space="preserve"> </w:t>
      </w:r>
      <w:r>
        <w:rPr>
          <w:color w:val="231F20"/>
        </w:rPr>
        <w:t>громадян</w:t>
      </w:r>
      <w:r>
        <w:rPr>
          <w:color w:val="231F20"/>
          <w:spacing w:val="-7"/>
        </w:rPr>
        <w:t xml:space="preserve"> </w:t>
      </w:r>
      <w:r>
        <w:rPr>
          <w:color w:val="231F20"/>
        </w:rPr>
        <w:t>у</w:t>
      </w:r>
      <w:r>
        <w:rPr>
          <w:color w:val="231F20"/>
          <w:spacing w:val="-8"/>
        </w:rPr>
        <w:t xml:space="preserve"> </w:t>
      </w:r>
      <w:r>
        <w:rPr>
          <w:color w:val="231F20"/>
        </w:rPr>
        <w:t>прийнятні</w:t>
      </w:r>
      <w:r>
        <w:rPr>
          <w:color w:val="231F20"/>
          <w:spacing w:val="-7"/>
        </w:rPr>
        <w:t xml:space="preserve"> </w:t>
      </w:r>
      <w:r>
        <w:rPr>
          <w:color w:val="231F20"/>
        </w:rPr>
        <w:t>для</w:t>
      </w:r>
      <w:r>
        <w:rPr>
          <w:color w:val="231F20"/>
          <w:spacing w:val="-7"/>
        </w:rPr>
        <w:t xml:space="preserve"> </w:t>
      </w:r>
      <w:r>
        <w:rPr>
          <w:color w:val="231F20"/>
        </w:rPr>
        <w:t>суспільства засоби та методи регулювання соціальних</w:t>
      </w:r>
      <w:r>
        <w:rPr>
          <w:color w:val="231F20"/>
          <w:spacing w:val="-9"/>
        </w:rPr>
        <w:t xml:space="preserve"> </w:t>
      </w:r>
      <w:r>
        <w:rPr>
          <w:color w:val="231F20"/>
        </w:rPr>
        <w:t>відносин.</w:t>
      </w:r>
    </w:p>
    <w:p w14:paraId="3AA404CC" w14:textId="77777777" w:rsidR="00DE575E" w:rsidRDefault="002E7560">
      <w:pPr>
        <w:pStyle w:val="BodyText"/>
        <w:spacing w:before="2" w:line="252" w:lineRule="auto"/>
        <w:ind w:left="533" w:right="127" w:firstLine="283"/>
        <w:jc w:val="both"/>
      </w:pPr>
      <w:r>
        <w:rPr>
          <w:color w:val="231F20"/>
        </w:rPr>
        <w:t>З метою залучення громадян до у</w:t>
      </w:r>
      <w:r>
        <w:rPr>
          <w:color w:val="231F20"/>
        </w:rPr>
        <w:t xml:space="preserve">часті в ухваленні рішень орга- нів публічної влади запроваджують </w:t>
      </w:r>
      <w:r>
        <w:rPr>
          <w:color w:val="231F20"/>
          <w:spacing w:val="-3"/>
        </w:rPr>
        <w:t xml:space="preserve">консультації  </w:t>
      </w:r>
      <w:r>
        <w:rPr>
          <w:color w:val="231F20"/>
        </w:rPr>
        <w:t>з громадськістю   з питань формування та реалізації державної</w:t>
      </w:r>
      <w:r>
        <w:rPr>
          <w:color w:val="231F20"/>
          <w:spacing w:val="-9"/>
        </w:rPr>
        <w:t xml:space="preserve"> </w:t>
      </w:r>
      <w:r>
        <w:rPr>
          <w:color w:val="231F20"/>
        </w:rPr>
        <w:t>політики.</w:t>
      </w:r>
    </w:p>
    <w:p w14:paraId="4158EB56" w14:textId="77777777" w:rsidR="00DE575E" w:rsidRDefault="002E7560">
      <w:pPr>
        <w:pStyle w:val="BodyText"/>
        <w:spacing w:before="1" w:line="252" w:lineRule="auto"/>
        <w:ind w:left="533" w:right="127" w:firstLine="283"/>
        <w:jc w:val="both"/>
      </w:pPr>
      <w:r>
        <w:rPr>
          <w:b/>
          <w:i/>
          <w:color w:val="231F20"/>
          <w:spacing w:val="-3"/>
        </w:rPr>
        <w:t>Консультації</w:t>
      </w:r>
      <w:r>
        <w:rPr>
          <w:b/>
          <w:i/>
          <w:color w:val="231F20"/>
          <w:spacing w:val="-11"/>
        </w:rPr>
        <w:t xml:space="preserve"> </w:t>
      </w:r>
      <w:r>
        <w:rPr>
          <w:b/>
          <w:i/>
          <w:color w:val="231F20"/>
        </w:rPr>
        <w:t>з</w:t>
      </w:r>
      <w:r>
        <w:rPr>
          <w:b/>
          <w:i/>
          <w:color w:val="231F20"/>
          <w:spacing w:val="-12"/>
        </w:rPr>
        <w:t xml:space="preserve"> </w:t>
      </w:r>
      <w:r>
        <w:rPr>
          <w:b/>
          <w:i/>
          <w:color w:val="231F20"/>
        </w:rPr>
        <w:t>громадськістю</w:t>
      </w:r>
      <w:r>
        <w:rPr>
          <w:b/>
          <w:i/>
          <w:color w:val="231F20"/>
          <w:spacing w:val="-12"/>
        </w:rPr>
        <w:t xml:space="preserve"> </w:t>
      </w:r>
      <w:r>
        <w:rPr>
          <w:color w:val="231F20"/>
        </w:rPr>
        <w:t>–</w:t>
      </w:r>
      <w:r>
        <w:rPr>
          <w:color w:val="231F20"/>
          <w:spacing w:val="-12"/>
        </w:rPr>
        <w:t xml:space="preserve"> </w:t>
      </w:r>
      <w:r>
        <w:rPr>
          <w:color w:val="231F20"/>
        </w:rPr>
        <w:t>це</w:t>
      </w:r>
      <w:r>
        <w:rPr>
          <w:color w:val="231F20"/>
          <w:spacing w:val="-12"/>
        </w:rPr>
        <w:t xml:space="preserve"> </w:t>
      </w:r>
      <w:r>
        <w:rPr>
          <w:color w:val="231F20"/>
        </w:rPr>
        <w:t>процес</w:t>
      </w:r>
      <w:r>
        <w:rPr>
          <w:color w:val="231F20"/>
          <w:spacing w:val="-12"/>
        </w:rPr>
        <w:t xml:space="preserve"> </w:t>
      </w:r>
      <w:r>
        <w:rPr>
          <w:color w:val="231F20"/>
        </w:rPr>
        <w:t>комунікації</w:t>
      </w:r>
      <w:r>
        <w:rPr>
          <w:color w:val="231F20"/>
          <w:spacing w:val="-12"/>
        </w:rPr>
        <w:t xml:space="preserve"> </w:t>
      </w:r>
      <w:r>
        <w:rPr>
          <w:color w:val="231F20"/>
        </w:rPr>
        <w:t>між</w:t>
      </w:r>
      <w:r>
        <w:rPr>
          <w:color w:val="231F20"/>
          <w:spacing w:val="-12"/>
        </w:rPr>
        <w:t xml:space="preserve"> </w:t>
      </w:r>
      <w:r>
        <w:rPr>
          <w:color w:val="231F20"/>
        </w:rPr>
        <w:t xml:space="preserve">орга- нами державної влади й громадянами та їх </w:t>
      </w:r>
      <w:r>
        <w:rPr>
          <w:color w:val="231F20"/>
          <w:spacing w:val="-3"/>
        </w:rPr>
        <w:t xml:space="preserve">об’єднаннями. </w:t>
      </w:r>
      <w:r>
        <w:rPr>
          <w:color w:val="231F20"/>
        </w:rPr>
        <w:t xml:space="preserve">Метою проведення  </w:t>
      </w:r>
      <w:r>
        <w:rPr>
          <w:color w:val="231F20"/>
          <w:spacing w:val="-3"/>
        </w:rPr>
        <w:t xml:space="preserve">консультацій   </w:t>
      </w:r>
      <w:r>
        <w:rPr>
          <w:color w:val="231F20"/>
        </w:rPr>
        <w:t xml:space="preserve">з  громадськістю  є  ухвалення  рішень,   у яких </w:t>
      </w:r>
      <w:r>
        <w:rPr>
          <w:color w:val="231F20"/>
          <w:spacing w:val="-4"/>
        </w:rPr>
        <w:t xml:space="preserve">буде </w:t>
      </w:r>
      <w:r>
        <w:rPr>
          <w:color w:val="231F20"/>
        </w:rPr>
        <w:t xml:space="preserve">враховано права, інтереси та знання всіх зацікавлених сторін. </w:t>
      </w:r>
      <w:r>
        <w:rPr>
          <w:color w:val="231F20"/>
          <w:spacing w:val="-3"/>
        </w:rPr>
        <w:t xml:space="preserve">Консультації </w:t>
      </w:r>
      <w:r>
        <w:rPr>
          <w:color w:val="231F20"/>
        </w:rPr>
        <w:t>з громадськістю надають можливість громадя- нам впливати на зміст рішень, що ухв</w:t>
      </w:r>
      <w:r>
        <w:rPr>
          <w:color w:val="231F20"/>
        </w:rPr>
        <w:t>алюються органами</w:t>
      </w:r>
      <w:r>
        <w:rPr>
          <w:color w:val="231F20"/>
          <w:spacing w:val="-11"/>
        </w:rPr>
        <w:t xml:space="preserve"> </w:t>
      </w:r>
      <w:r>
        <w:rPr>
          <w:color w:val="231F20"/>
        </w:rPr>
        <w:t>влади.</w:t>
      </w:r>
    </w:p>
    <w:p w14:paraId="0B492B4C" w14:textId="77777777" w:rsidR="00DE575E" w:rsidRDefault="002E7560">
      <w:pPr>
        <w:spacing w:before="3"/>
        <w:ind w:left="817"/>
        <w:rPr>
          <w:sz w:val="21"/>
        </w:rPr>
      </w:pPr>
      <w:r>
        <w:rPr>
          <w:i/>
          <w:color w:val="231F20"/>
          <w:sz w:val="21"/>
        </w:rPr>
        <w:t>Консультації з громадськістю можуть проводитися в формі</w:t>
      </w:r>
      <w:r>
        <w:rPr>
          <w:color w:val="231F20"/>
          <w:sz w:val="21"/>
        </w:rPr>
        <w:t>:</w:t>
      </w:r>
    </w:p>
    <w:p w14:paraId="110EA90D" w14:textId="77777777" w:rsidR="00DE575E" w:rsidRDefault="002E7560">
      <w:pPr>
        <w:pStyle w:val="ListParagraph"/>
        <w:numPr>
          <w:ilvl w:val="0"/>
          <w:numId w:val="240"/>
        </w:numPr>
        <w:tabs>
          <w:tab w:val="left" w:pos="1101"/>
        </w:tabs>
        <w:spacing w:before="13"/>
        <w:ind w:firstLine="284"/>
        <w:jc w:val="left"/>
        <w:rPr>
          <w:sz w:val="21"/>
        </w:rPr>
      </w:pPr>
      <w:r>
        <w:rPr>
          <w:color w:val="231F20"/>
          <w:sz w:val="21"/>
        </w:rPr>
        <w:t>публічного громадського</w:t>
      </w:r>
      <w:r>
        <w:rPr>
          <w:color w:val="231F20"/>
          <w:spacing w:val="-1"/>
          <w:sz w:val="21"/>
        </w:rPr>
        <w:t xml:space="preserve"> </w:t>
      </w:r>
      <w:r>
        <w:rPr>
          <w:color w:val="231F20"/>
          <w:sz w:val="21"/>
        </w:rPr>
        <w:t>обговорення;</w:t>
      </w:r>
    </w:p>
    <w:p w14:paraId="7A78122A" w14:textId="77777777" w:rsidR="00DE575E" w:rsidRDefault="002E7560">
      <w:pPr>
        <w:pStyle w:val="ListParagraph"/>
        <w:numPr>
          <w:ilvl w:val="0"/>
          <w:numId w:val="240"/>
        </w:numPr>
        <w:tabs>
          <w:tab w:val="left" w:pos="1101"/>
        </w:tabs>
        <w:spacing w:before="13" w:line="252" w:lineRule="auto"/>
        <w:ind w:right="125" w:firstLine="284"/>
        <w:rPr>
          <w:sz w:val="21"/>
        </w:rPr>
      </w:pPr>
      <w:r>
        <w:rPr>
          <w:color w:val="231F20"/>
          <w:sz w:val="21"/>
        </w:rPr>
        <w:t xml:space="preserve">електронних </w:t>
      </w:r>
      <w:r>
        <w:rPr>
          <w:color w:val="231F20"/>
          <w:spacing w:val="-3"/>
          <w:sz w:val="21"/>
        </w:rPr>
        <w:t xml:space="preserve">консультацій </w:t>
      </w:r>
      <w:r>
        <w:rPr>
          <w:color w:val="231F20"/>
          <w:sz w:val="21"/>
        </w:rPr>
        <w:t>з громадськістю (безпосередні форми);</w:t>
      </w:r>
    </w:p>
    <w:p w14:paraId="6B5DC92B" w14:textId="77777777" w:rsidR="00DE575E" w:rsidRDefault="002E7560">
      <w:pPr>
        <w:pStyle w:val="ListParagraph"/>
        <w:numPr>
          <w:ilvl w:val="0"/>
          <w:numId w:val="240"/>
        </w:numPr>
        <w:tabs>
          <w:tab w:val="left" w:pos="1101"/>
        </w:tabs>
        <w:ind w:firstLine="284"/>
        <w:jc w:val="left"/>
        <w:rPr>
          <w:sz w:val="21"/>
        </w:rPr>
      </w:pPr>
      <w:r>
        <w:rPr>
          <w:color w:val="231F20"/>
          <w:sz w:val="21"/>
        </w:rPr>
        <w:t>вивчення громадської думки (опосередкована</w:t>
      </w:r>
      <w:r>
        <w:rPr>
          <w:color w:val="231F20"/>
          <w:spacing w:val="-6"/>
          <w:sz w:val="21"/>
        </w:rPr>
        <w:t xml:space="preserve"> </w:t>
      </w:r>
      <w:r>
        <w:rPr>
          <w:color w:val="231F20"/>
          <w:sz w:val="21"/>
        </w:rPr>
        <w:t>форма).</w:t>
      </w:r>
    </w:p>
    <w:p w14:paraId="07FB76D4" w14:textId="77777777" w:rsidR="00DE575E" w:rsidRDefault="002E7560">
      <w:pPr>
        <w:pStyle w:val="BodyText"/>
        <w:spacing w:before="12" w:line="252" w:lineRule="auto"/>
        <w:ind w:left="533" w:right="125" w:firstLine="283"/>
        <w:jc w:val="both"/>
      </w:pPr>
      <w:r>
        <w:rPr>
          <w:color w:val="231F20"/>
        </w:rPr>
        <w:t xml:space="preserve">В обов’язковому порядку проводяться </w:t>
      </w:r>
      <w:r>
        <w:rPr>
          <w:color w:val="231F20"/>
          <w:spacing w:val="-3"/>
        </w:rPr>
        <w:t xml:space="preserve">консультації </w:t>
      </w:r>
      <w:r>
        <w:rPr>
          <w:color w:val="231F20"/>
        </w:rPr>
        <w:t xml:space="preserve">з громадсь- кістю у формі публічного громадського обговорення та/або елект- ронних </w:t>
      </w:r>
      <w:r>
        <w:rPr>
          <w:color w:val="231F20"/>
          <w:spacing w:val="-3"/>
        </w:rPr>
        <w:t xml:space="preserve">консультацій </w:t>
      </w:r>
      <w:r>
        <w:rPr>
          <w:color w:val="231F20"/>
        </w:rPr>
        <w:t>з громадськістю щодо проєктів нормативно- правових актів, які стосуються конституційних прав, свобод та обов’яз</w:t>
      </w:r>
      <w:r>
        <w:rPr>
          <w:color w:val="231F20"/>
        </w:rPr>
        <w:t>ків громадян; стосуються життєвих інтересів громадян, зокрема впливають на стан навколишнього природного середо- вища; передбачають провадження регуляторної діяльності в певній сфері; визначають стратегічні цілі, пріоритети й завдання у відпо- відній сфері</w:t>
      </w:r>
      <w:r>
        <w:rPr>
          <w:color w:val="231F20"/>
        </w:rPr>
        <w:t xml:space="preserve"> державного управління; стосуються інтересів терито- ріальних громад, здійснення повноважень самоврядування, делего- ваних органам виконавчої влади відповідними радами; визначають порядок надання адміністративних послуг; стосуються правового статусу громад</w:t>
      </w:r>
      <w:r>
        <w:rPr>
          <w:color w:val="231F20"/>
        </w:rPr>
        <w:t xml:space="preserve">ських </w:t>
      </w:r>
      <w:r>
        <w:rPr>
          <w:color w:val="231F20"/>
          <w:spacing w:val="-3"/>
        </w:rPr>
        <w:t xml:space="preserve">об’єднань, </w:t>
      </w:r>
      <w:r>
        <w:rPr>
          <w:color w:val="231F20"/>
        </w:rPr>
        <w:t xml:space="preserve">їх фінансування та діяльності; передбачають надання пільг чи встановлення обмежень для </w:t>
      </w:r>
      <w:r>
        <w:rPr>
          <w:color w:val="231F20"/>
          <w:spacing w:val="-4"/>
        </w:rPr>
        <w:t xml:space="preserve">суб’єк- </w:t>
      </w:r>
      <w:r>
        <w:rPr>
          <w:color w:val="231F20"/>
        </w:rPr>
        <w:t>тів</w:t>
      </w:r>
      <w:r>
        <w:rPr>
          <w:color w:val="231F20"/>
          <w:spacing w:val="-9"/>
        </w:rPr>
        <w:t xml:space="preserve"> </w:t>
      </w:r>
      <w:r>
        <w:rPr>
          <w:color w:val="231F20"/>
        </w:rPr>
        <w:t>господарювання</w:t>
      </w:r>
      <w:r>
        <w:rPr>
          <w:color w:val="231F20"/>
          <w:spacing w:val="-9"/>
        </w:rPr>
        <w:t xml:space="preserve"> </w:t>
      </w:r>
      <w:r>
        <w:rPr>
          <w:color w:val="231F20"/>
        </w:rPr>
        <w:t>й</w:t>
      </w:r>
      <w:r>
        <w:rPr>
          <w:color w:val="231F20"/>
          <w:spacing w:val="-9"/>
        </w:rPr>
        <w:t xml:space="preserve"> </w:t>
      </w:r>
      <w:r>
        <w:rPr>
          <w:color w:val="231F20"/>
        </w:rPr>
        <w:t>інститутів</w:t>
      </w:r>
      <w:r>
        <w:rPr>
          <w:color w:val="231F20"/>
          <w:spacing w:val="-9"/>
        </w:rPr>
        <w:t xml:space="preserve"> </w:t>
      </w:r>
      <w:r>
        <w:rPr>
          <w:color w:val="231F20"/>
        </w:rPr>
        <w:t>громадянського</w:t>
      </w:r>
      <w:r>
        <w:rPr>
          <w:color w:val="231F20"/>
          <w:spacing w:val="-9"/>
        </w:rPr>
        <w:t xml:space="preserve"> </w:t>
      </w:r>
      <w:r>
        <w:rPr>
          <w:color w:val="231F20"/>
        </w:rPr>
        <w:t>суспільства;</w:t>
      </w:r>
      <w:r>
        <w:rPr>
          <w:color w:val="231F20"/>
          <w:spacing w:val="-9"/>
        </w:rPr>
        <w:t xml:space="preserve"> </w:t>
      </w:r>
      <w:r>
        <w:rPr>
          <w:color w:val="231F20"/>
        </w:rPr>
        <w:t xml:space="preserve">стосу- ються присвоєння юридичним особам та </w:t>
      </w:r>
      <w:r>
        <w:rPr>
          <w:color w:val="231F20"/>
          <w:spacing w:val="-4"/>
        </w:rPr>
        <w:t xml:space="preserve">об’єктам  </w:t>
      </w:r>
      <w:r>
        <w:rPr>
          <w:color w:val="231F20"/>
        </w:rPr>
        <w:t>права  власно- сті,</w:t>
      </w:r>
      <w:r>
        <w:rPr>
          <w:color w:val="231F20"/>
          <w:spacing w:val="23"/>
        </w:rPr>
        <w:t xml:space="preserve"> </w:t>
      </w:r>
      <w:r>
        <w:rPr>
          <w:color w:val="231F20"/>
        </w:rPr>
        <w:t>які</w:t>
      </w:r>
      <w:r>
        <w:rPr>
          <w:color w:val="231F20"/>
          <w:spacing w:val="25"/>
        </w:rPr>
        <w:t xml:space="preserve"> </w:t>
      </w:r>
      <w:r>
        <w:rPr>
          <w:color w:val="231F20"/>
        </w:rPr>
        <w:t>за</w:t>
      </w:r>
      <w:r>
        <w:rPr>
          <w:color w:val="231F20"/>
          <w:spacing w:val="23"/>
        </w:rPr>
        <w:t xml:space="preserve"> </w:t>
      </w:r>
      <w:r>
        <w:rPr>
          <w:color w:val="231F20"/>
        </w:rPr>
        <w:t>ними</w:t>
      </w:r>
      <w:r>
        <w:rPr>
          <w:color w:val="231F20"/>
          <w:spacing w:val="23"/>
        </w:rPr>
        <w:t xml:space="preserve"> </w:t>
      </w:r>
      <w:r>
        <w:rPr>
          <w:color w:val="231F20"/>
        </w:rPr>
        <w:t>закріплені,</w:t>
      </w:r>
      <w:r>
        <w:rPr>
          <w:color w:val="231F20"/>
          <w:spacing w:val="23"/>
        </w:rPr>
        <w:t xml:space="preserve"> </w:t>
      </w:r>
      <w:r>
        <w:rPr>
          <w:color w:val="231F20"/>
          <w:spacing w:val="-4"/>
        </w:rPr>
        <w:t>об’єктам</w:t>
      </w:r>
      <w:r>
        <w:rPr>
          <w:color w:val="231F20"/>
          <w:spacing w:val="23"/>
        </w:rPr>
        <w:t xml:space="preserve"> </w:t>
      </w:r>
      <w:r>
        <w:rPr>
          <w:color w:val="231F20"/>
        </w:rPr>
        <w:t>права</w:t>
      </w:r>
      <w:r>
        <w:rPr>
          <w:color w:val="231F20"/>
          <w:spacing w:val="23"/>
        </w:rPr>
        <w:t xml:space="preserve"> </w:t>
      </w:r>
      <w:r>
        <w:rPr>
          <w:color w:val="231F20"/>
        </w:rPr>
        <w:t>власності,</w:t>
      </w:r>
      <w:r>
        <w:rPr>
          <w:color w:val="231F20"/>
          <w:spacing w:val="23"/>
        </w:rPr>
        <w:t xml:space="preserve"> </w:t>
      </w:r>
      <w:r>
        <w:rPr>
          <w:color w:val="231F20"/>
        </w:rPr>
        <w:t>які</w:t>
      </w:r>
      <w:r>
        <w:rPr>
          <w:color w:val="231F20"/>
          <w:spacing w:val="23"/>
        </w:rPr>
        <w:t xml:space="preserve"> </w:t>
      </w:r>
      <w:r>
        <w:rPr>
          <w:color w:val="231F20"/>
        </w:rPr>
        <w:t>належать</w:t>
      </w:r>
    </w:p>
    <w:p w14:paraId="550A4E66" w14:textId="77777777" w:rsidR="00DE575E" w:rsidRDefault="00DE575E">
      <w:pPr>
        <w:pStyle w:val="BodyText"/>
        <w:spacing w:before="1"/>
        <w:rPr>
          <w:sz w:val="13"/>
        </w:rPr>
      </w:pPr>
    </w:p>
    <w:p w14:paraId="076E7F6B" w14:textId="77777777" w:rsidR="00DE575E" w:rsidRDefault="002E7560">
      <w:pPr>
        <w:spacing w:before="92"/>
        <w:ind w:left="533"/>
        <w:rPr>
          <w:rFonts w:ascii="Times New Roman"/>
          <w:sz w:val="20"/>
        </w:rPr>
      </w:pPr>
      <w:r>
        <w:rPr>
          <w:rFonts w:ascii="Times New Roman"/>
          <w:color w:val="231F20"/>
          <w:sz w:val="20"/>
        </w:rPr>
        <w:t>152</w:t>
      </w:r>
    </w:p>
    <w:p w14:paraId="351ACF9D" w14:textId="77777777" w:rsidR="00DE575E" w:rsidRDefault="00DE575E">
      <w:pPr>
        <w:rPr>
          <w:rFonts w:ascii="Times New Roman"/>
          <w:sz w:val="20"/>
        </w:rPr>
        <w:sectPr w:rsidR="00DE575E">
          <w:pgSz w:w="8510" w:h="12760"/>
          <w:pgMar w:top="660" w:right="720" w:bottom="280" w:left="600" w:header="720" w:footer="720" w:gutter="0"/>
          <w:cols w:space="720"/>
        </w:sectPr>
      </w:pPr>
    </w:p>
    <w:p w14:paraId="609B8629"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4976C1B7" w14:textId="5AC0148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9EDC46E" wp14:editId="0F76C714">
                <wp:extent cx="4140200" cy="6350"/>
                <wp:effectExtent l="0" t="0" r="12700" b="6350"/>
                <wp:docPr id="1032"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33" name="Line 103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EC4262" id="Group_x0020_103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Vx7n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xlXHufQIAAJwFAAAOAAAA&#10;AAAAAAAAAAAAACwCAABkcnMvZTJvRG9jLnhtbFBLAQItABQABgAIAAAAIQBMp7CQ2QAAAAMBAAAP&#10;AAAAAAAAAAAAAAAAANUEAABkcnMvZG93bnJldi54bWxQSwUGAAAAAAQABADzAAAA2wUAAAAA&#10;">
                <v:line id="Line_x0020_103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gaTcQAAADdAAAADwAAAGRycy9kb3ducmV2LnhtbERPzWrCQBC+F3yHZYReim7aQJHoKiIU&#10;xIO2xgcYs2MS3J2N2dVEn75bKHibj+93ZoveGnGj1teOFbyPExDEhdM1lwoO+ddoAsIHZI3GMSm4&#10;k4fFfPAyw0y7jn/otg+liCHsM1RQhdBkUvqiIot+7BriyJ1cazFE2JZSt9jFcGvkR5J8Sos1x4YK&#10;G1pVVJz3V6sgv7wF873bmC7fHVN5vGzTx3Wr1OuwX05BBOrDU/zvXus4P0lT+Psmni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OBpNxAAAAN0AAAAPAAAAAAAAAAAA&#10;AAAAAKECAABkcnMvZG93bnJldi54bWxQSwUGAAAAAAQABAD5AAAAkgMAAAAA&#10;" strokecolor="#231f20" strokeweight=".5pt"/>
                <w10:anchorlock/>
              </v:group>
            </w:pict>
          </mc:Fallback>
        </mc:AlternateContent>
      </w:r>
    </w:p>
    <w:p w14:paraId="6BF255C1" w14:textId="77777777" w:rsidR="00DE575E" w:rsidRDefault="00DE575E">
      <w:pPr>
        <w:pStyle w:val="BodyText"/>
        <w:spacing w:before="7"/>
        <w:rPr>
          <w:rFonts w:ascii="AdonisC"/>
          <w:i/>
          <w:sz w:val="19"/>
        </w:rPr>
      </w:pPr>
    </w:p>
    <w:p w14:paraId="4AD0C9DE" w14:textId="77777777" w:rsidR="00DE575E" w:rsidRDefault="002E7560">
      <w:pPr>
        <w:pStyle w:val="BodyText"/>
        <w:spacing w:before="1" w:line="252" w:lineRule="auto"/>
        <w:ind w:left="250" w:right="410"/>
        <w:jc w:val="both"/>
      </w:pPr>
      <w:r>
        <w:rPr>
          <w:color w:val="231F20"/>
        </w:rPr>
        <w:t>фізичним особам, імен (псевдонімів) фізичних осіб, ювілейних та святкових дат, назв і дат історичних подій; стосуються витрачання бюджетних коштів.</w:t>
      </w:r>
    </w:p>
    <w:p w14:paraId="46DD341F" w14:textId="77777777" w:rsidR="00DE575E" w:rsidRDefault="002E7560">
      <w:pPr>
        <w:pStyle w:val="BodyText"/>
        <w:spacing w:before="1" w:line="252" w:lineRule="auto"/>
        <w:ind w:left="250" w:right="406" w:firstLine="283"/>
        <w:jc w:val="both"/>
      </w:pPr>
      <w:r>
        <w:rPr>
          <w:color w:val="231F20"/>
        </w:rPr>
        <w:t>Участь громадян у процесі ухвалення  рішень  реалізується  через громадські ради, які створюються при міністерствах, інших центральних органах виконавчої влади, Раді Міністрів Автономної Республіки Крим, обласній, Київській та Севастопольській міській, рай</w:t>
      </w:r>
      <w:r>
        <w:rPr>
          <w:color w:val="231F20"/>
        </w:rPr>
        <w:t>онній, районній у містах Києві та Севастополі держадміністра- ціях як тимчасові консультативно-дорадчі органи для сприяння участі громадськості у формуванні та реалізації державної політики.</w:t>
      </w:r>
    </w:p>
    <w:p w14:paraId="2F25675F" w14:textId="77777777" w:rsidR="00DE575E" w:rsidRDefault="002E7560">
      <w:pPr>
        <w:pStyle w:val="BodyText"/>
        <w:spacing w:before="4" w:line="252" w:lineRule="auto"/>
        <w:ind w:left="250" w:right="411" w:firstLine="283"/>
        <w:jc w:val="both"/>
      </w:pPr>
      <w:r>
        <w:rPr>
          <w:color w:val="231F20"/>
        </w:rPr>
        <w:t>Створення громадських рад при органах влади сприяє виник- ненню д</w:t>
      </w:r>
      <w:r>
        <w:rPr>
          <w:color w:val="231F20"/>
        </w:rPr>
        <w:t>іалогу між державою та громадянами, який допомагає публічній владі вплинути на процедуру ухвалення суспільно-полі- тичних рішень у державі.</w:t>
      </w:r>
    </w:p>
    <w:p w14:paraId="48FB86BF" w14:textId="77777777" w:rsidR="00DE575E" w:rsidRDefault="002E7560">
      <w:pPr>
        <w:pStyle w:val="BodyText"/>
        <w:spacing w:before="2" w:line="252" w:lineRule="auto"/>
        <w:ind w:left="250" w:right="411" w:firstLine="283"/>
        <w:jc w:val="both"/>
      </w:pPr>
      <w:r>
        <w:rPr>
          <w:i/>
          <w:color w:val="231F20"/>
        </w:rPr>
        <w:t>Громадська</w:t>
      </w:r>
      <w:r>
        <w:rPr>
          <w:i/>
          <w:color w:val="231F20"/>
          <w:spacing w:val="-6"/>
        </w:rPr>
        <w:t xml:space="preserve"> </w:t>
      </w:r>
      <w:r>
        <w:rPr>
          <w:i/>
          <w:color w:val="231F20"/>
        </w:rPr>
        <w:t>рада</w:t>
      </w:r>
      <w:r>
        <w:rPr>
          <w:i/>
          <w:color w:val="231F20"/>
          <w:spacing w:val="-6"/>
        </w:rPr>
        <w:t xml:space="preserve"> </w:t>
      </w:r>
      <w:r>
        <w:rPr>
          <w:i/>
          <w:color w:val="231F20"/>
        </w:rPr>
        <w:t>виконує</w:t>
      </w:r>
      <w:r>
        <w:rPr>
          <w:i/>
          <w:color w:val="231F20"/>
          <w:spacing w:val="-6"/>
        </w:rPr>
        <w:t xml:space="preserve"> </w:t>
      </w:r>
      <w:r>
        <w:rPr>
          <w:i/>
          <w:color w:val="231F20"/>
        </w:rPr>
        <w:t>відповідні</w:t>
      </w:r>
      <w:r>
        <w:rPr>
          <w:i/>
          <w:color w:val="231F20"/>
          <w:spacing w:val="-6"/>
        </w:rPr>
        <w:t xml:space="preserve"> </w:t>
      </w:r>
      <w:r>
        <w:rPr>
          <w:i/>
          <w:color w:val="231F20"/>
        </w:rPr>
        <w:t>функції</w:t>
      </w:r>
      <w:r>
        <w:rPr>
          <w:color w:val="231F20"/>
        </w:rPr>
        <w:t>:</w:t>
      </w:r>
      <w:r>
        <w:rPr>
          <w:color w:val="231F20"/>
          <w:spacing w:val="-6"/>
        </w:rPr>
        <w:t xml:space="preserve"> </w:t>
      </w:r>
      <w:r>
        <w:rPr>
          <w:color w:val="231F20"/>
        </w:rPr>
        <w:t>готує</w:t>
      </w:r>
      <w:r>
        <w:rPr>
          <w:color w:val="231F20"/>
          <w:spacing w:val="-6"/>
        </w:rPr>
        <w:t xml:space="preserve"> </w:t>
      </w:r>
      <w:r>
        <w:rPr>
          <w:color w:val="231F20"/>
        </w:rPr>
        <w:t>та</w:t>
      </w:r>
      <w:r>
        <w:rPr>
          <w:color w:val="231F20"/>
          <w:spacing w:val="-6"/>
        </w:rPr>
        <w:t xml:space="preserve"> </w:t>
      </w:r>
      <w:r>
        <w:rPr>
          <w:color w:val="231F20"/>
        </w:rPr>
        <w:t>подає</w:t>
      </w:r>
      <w:r>
        <w:rPr>
          <w:color w:val="231F20"/>
          <w:spacing w:val="-6"/>
        </w:rPr>
        <w:t xml:space="preserve"> </w:t>
      </w:r>
      <w:r>
        <w:rPr>
          <w:color w:val="231F20"/>
        </w:rPr>
        <w:t xml:space="preserve">органу пропозиції до орієнтовного плану проведення </w:t>
      </w:r>
      <w:r>
        <w:rPr>
          <w:color w:val="231F20"/>
          <w:spacing w:val="-3"/>
        </w:rPr>
        <w:t>консул</w:t>
      </w:r>
      <w:r>
        <w:rPr>
          <w:color w:val="231F20"/>
          <w:spacing w:val="-3"/>
        </w:rPr>
        <w:t xml:space="preserve">ьтацій </w:t>
      </w:r>
      <w:r>
        <w:rPr>
          <w:color w:val="231F20"/>
        </w:rPr>
        <w:t xml:space="preserve">із громадськістю, а також щодо проведення консультацій, не передба- чених таким планом; подає органу обов’язкові для </w:t>
      </w:r>
      <w:r>
        <w:rPr>
          <w:color w:val="231F20"/>
          <w:spacing w:val="-3"/>
        </w:rPr>
        <w:t xml:space="preserve">розгляду </w:t>
      </w:r>
      <w:r>
        <w:rPr>
          <w:color w:val="231F20"/>
        </w:rPr>
        <w:t xml:space="preserve">пропо- зиції з питань, щодо яких орган проводить </w:t>
      </w:r>
      <w:r>
        <w:rPr>
          <w:color w:val="231F20"/>
          <w:spacing w:val="-3"/>
        </w:rPr>
        <w:t xml:space="preserve">консультації </w:t>
      </w:r>
      <w:r>
        <w:rPr>
          <w:color w:val="231F20"/>
        </w:rPr>
        <w:t>з громадсь- кістю,</w:t>
      </w:r>
      <w:r>
        <w:rPr>
          <w:color w:val="231F20"/>
          <w:spacing w:val="-18"/>
        </w:rPr>
        <w:t xml:space="preserve"> </w:t>
      </w:r>
      <w:r>
        <w:rPr>
          <w:color w:val="231F20"/>
        </w:rPr>
        <w:t>а</w:t>
      </w:r>
      <w:r>
        <w:rPr>
          <w:color w:val="231F20"/>
          <w:spacing w:val="-18"/>
        </w:rPr>
        <w:t xml:space="preserve"> </w:t>
      </w:r>
      <w:r>
        <w:rPr>
          <w:color w:val="231F20"/>
        </w:rPr>
        <w:t>також</w:t>
      </w:r>
      <w:r>
        <w:rPr>
          <w:color w:val="231F20"/>
          <w:spacing w:val="-18"/>
        </w:rPr>
        <w:t xml:space="preserve"> </w:t>
      </w:r>
      <w:r>
        <w:rPr>
          <w:color w:val="231F20"/>
        </w:rPr>
        <w:t>щодо</w:t>
      </w:r>
      <w:r>
        <w:rPr>
          <w:color w:val="231F20"/>
          <w:spacing w:val="-18"/>
        </w:rPr>
        <w:t xml:space="preserve"> </w:t>
      </w:r>
      <w:r>
        <w:rPr>
          <w:color w:val="231F20"/>
        </w:rPr>
        <w:t>підготовки</w:t>
      </w:r>
      <w:r>
        <w:rPr>
          <w:color w:val="231F20"/>
          <w:spacing w:val="-18"/>
        </w:rPr>
        <w:t xml:space="preserve"> </w:t>
      </w:r>
      <w:r>
        <w:rPr>
          <w:color w:val="231F20"/>
        </w:rPr>
        <w:t>проєктів</w:t>
      </w:r>
      <w:r>
        <w:rPr>
          <w:color w:val="231F20"/>
          <w:spacing w:val="-18"/>
        </w:rPr>
        <w:t xml:space="preserve"> </w:t>
      </w:r>
      <w:r>
        <w:rPr>
          <w:color w:val="231F20"/>
        </w:rPr>
        <w:t>нормативн</w:t>
      </w:r>
      <w:r>
        <w:rPr>
          <w:color w:val="231F20"/>
        </w:rPr>
        <w:t>о-правових</w:t>
      </w:r>
      <w:r>
        <w:rPr>
          <w:color w:val="231F20"/>
          <w:spacing w:val="-18"/>
        </w:rPr>
        <w:t xml:space="preserve"> </w:t>
      </w:r>
      <w:r>
        <w:rPr>
          <w:color w:val="231F20"/>
        </w:rPr>
        <w:t>актів з</w:t>
      </w:r>
      <w:r>
        <w:rPr>
          <w:color w:val="231F20"/>
          <w:spacing w:val="-9"/>
        </w:rPr>
        <w:t xml:space="preserve"> </w:t>
      </w:r>
      <w:r>
        <w:rPr>
          <w:color w:val="231F20"/>
        </w:rPr>
        <w:t>питань</w:t>
      </w:r>
      <w:r>
        <w:rPr>
          <w:color w:val="231F20"/>
          <w:spacing w:val="-9"/>
        </w:rPr>
        <w:t xml:space="preserve"> </w:t>
      </w:r>
      <w:r>
        <w:rPr>
          <w:color w:val="231F20"/>
        </w:rPr>
        <w:t>формування</w:t>
      </w:r>
      <w:r>
        <w:rPr>
          <w:color w:val="231F20"/>
          <w:spacing w:val="-9"/>
        </w:rPr>
        <w:t xml:space="preserve"> </w:t>
      </w:r>
      <w:r>
        <w:rPr>
          <w:color w:val="231F20"/>
        </w:rPr>
        <w:t>та</w:t>
      </w:r>
      <w:r>
        <w:rPr>
          <w:color w:val="231F20"/>
          <w:spacing w:val="-9"/>
        </w:rPr>
        <w:t xml:space="preserve"> </w:t>
      </w:r>
      <w:r>
        <w:rPr>
          <w:color w:val="231F20"/>
        </w:rPr>
        <w:t>реалізації</w:t>
      </w:r>
      <w:r>
        <w:rPr>
          <w:color w:val="231F20"/>
          <w:spacing w:val="-9"/>
        </w:rPr>
        <w:t xml:space="preserve"> </w:t>
      </w:r>
      <w:r>
        <w:rPr>
          <w:color w:val="231F20"/>
        </w:rPr>
        <w:t>державної</w:t>
      </w:r>
      <w:r>
        <w:rPr>
          <w:color w:val="231F20"/>
          <w:spacing w:val="-9"/>
        </w:rPr>
        <w:t xml:space="preserve"> </w:t>
      </w:r>
      <w:r>
        <w:rPr>
          <w:color w:val="231F20"/>
        </w:rPr>
        <w:t>політики</w:t>
      </w:r>
      <w:r>
        <w:rPr>
          <w:color w:val="231F20"/>
          <w:spacing w:val="-9"/>
        </w:rPr>
        <w:t xml:space="preserve"> </w:t>
      </w:r>
      <w:r>
        <w:rPr>
          <w:color w:val="231F20"/>
        </w:rPr>
        <w:t>у</w:t>
      </w:r>
      <w:r>
        <w:rPr>
          <w:color w:val="231F20"/>
          <w:spacing w:val="-8"/>
        </w:rPr>
        <w:t xml:space="preserve"> </w:t>
      </w:r>
      <w:r>
        <w:rPr>
          <w:color w:val="231F20"/>
        </w:rPr>
        <w:t>відповідній сфері, удосконалення роботи органу; здійснює відповідно до зако- нодавства громадську експертизу діяльності органу та громадську антикорупційну експертизу нормативно-правов</w:t>
      </w:r>
      <w:r>
        <w:rPr>
          <w:color w:val="231F20"/>
        </w:rPr>
        <w:t>их актів і проєктів нормативно-правових актів, які розробляє орган, та</w:t>
      </w:r>
      <w:r>
        <w:rPr>
          <w:color w:val="231F20"/>
          <w:spacing w:val="-9"/>
        </w:rPr>
        <w:t xml:space="preserve"> </w:t>
      </w:r>
      <w:r>
        <w:rPr>
          <w:color w:val="231F20"/>
        </w:rPr>
        <w:t>ін.</w:t>
      </w:r>
    </w:p>
    <w:p w14:paraId="746D220E" w14:textId="77777777" w:rsidR="00DE575E" w:rsidRDefault="002E7560">
      <w:pPr>
        <w:pStyle w:val="BodyText"/>
        <w:spacing w:before="6" w:line="252" w:lineRule="auto"/>
        <w:ind w:left="250" w:right="410" w:firstLine="283"/>
        <w:jc w:val="both"/>
      </w:pPr>
      <w:r>
        <w:rPr>
          <w:color w:val="231F20"/>
        </w:rPr>
        <w:t>Право на участь громадян в ухваленні рішень спільно з</w:t>
      </w:r>
      <w:r>
        <w:rPr>
          <w:color w:val="231F20"/>
          <w:spacing w:val="-28"/>
        </w:rPr>
        <w:t xml:space="preserve"> </w:t>
      </w:r>
      <w:r>
        <w:rPr>
          <w:color w:val="231F20"/>
        </w:rPr>
        <w:t>органами влади</w:t>
      </w:r>
      <w:r>
        <w:rPr>
          <w:color w:val="231F20"/>
          <w:spacing w:val="-11"/>
        </w:rPr>
        <w:t xml:space="preserve"> </w:t>
      </w:r>
      <w:r>
        <w:rPr>
          <w:color w:val="231F20"/>
        </w:rPr>
        <w:t>дозволяє</w:t>
      </w:r>
      <w:r>
        <w:rPr>
          <w:color w:val="231F20"/>
          <w:spacing w:val="-11"/>
        </w:rPr>
        <w:t xml:space="preserve"> </w:t>
      </w:r>
      <w:r>
        <w:rPr>
          <w:color w:val="231F20"/>
        </w:rPr>
        <w:t>громадянам</w:t>
      </w:r>
      <w:r>
        <w:rPr>
          <w:color w:val="231F20"/>
          <w:spacing w:val="-11"/>
        </w:rPr>
        <w:t xml:space="preserve"> </w:t>
      </w:r>
      <w:r>
        <w:rPr>
          <w:color w:val="231F20"/>
        </w:rPr>
        <w:t>вплинути</w:t>
      </w:r>
      <w:r>
        <w:rPr>
          <w:color w:val="231F20"/>
          <w:spacing w:val="-11"/>
        </w:rPr>
        <w:t xml:space="preserve"> </w:t>
      </w:r>
      <w:r>
        <w:rPr>
          <w:color w:val="231F20"/>
        </w:rPr>
        <w:t>на</w:t>
      </w:r>
      <w:r>
        <w:rPr>
          <w:color w:val="231F20"/>
          <w:spacing w:val="-11"/>
        </w:rPr>
        <w:t xml:space="preserve"> </w:t>
      </w:r>
      <w:r>
        <w:rPr>
          <w:color w:val="231F20"/>
        </w:rPr>
        <w:t>подальший</w:t>
      </w:r>
      <w:r>
        <w:rPr>
          <w:color w:val="231F20"/>
          <w:spacing w:val="-11"/>
        </w:rPr>
        <w:t xml:space="preserve"> </w:t>
      </w:r>
      <w:r>
        <w:rPr>
          <w:color w:val="231F20"/>
        </w:rPr>
        <w:t>розвиток</w:t>
      </w:r>
      <w:r>
        <w:rPr>
          <w:color w:val="231F20"/>
          <w:spacing w:val="-11"/>
        </w:rPr>
        <w:t xml:space="preserve"> </w:t>
      </w:r>
      <w:r>
        <w:rPr>
          <w:color w:val="231F20"/>
        </w:rPr>
        <w:t>задо- волення їх потреб, покращити рівень соціального захисту грома- дян і запропонувати владі альтернативні варіанти для вирішення суспільних проблем,  а  також  виявити  питання,  вирішення  яких  є актуальним для громадян і публічної</w:t>
      </w:r>
      <w:r>
        <w:rPr>
          <w:color w:val="231F20"/>
          <w:spacing w:val="-5"/>
        </w:rPr>
        <w:t xml:space="preserve"> </w:t>
      </w:r>
      <w:r>
        <w:rPr>
          <w:color w:val="231F20"/>
        </w:rPr>
        <w:t>влади.</w:t>
      </w:r>
    </w:p>
    <w:p w14:paraId="19C056AB" w14:textId="77777777" w:rsidR="00DE575E" w:rsidRDefault="00DE575E">
      <w:pPr>
        <w:pStyle w:val="BodyText"/>
        <w:spacing w:before="3"/>
        <w:rPr>
          <w:sz w:val="22"/>
        </w:rPr>
      </w:pPr>
    </w:p>
    <w:p w14:paraId="02C9A109" w14:textId="77777777" w:rsidR="00DE575E" w:rsidRDefault="002E7560">
      <w:pPr>
        <w:pStyle w:val="Heading6"/>
        <w:ind w:firstLine="0"/>
      </w:pPr>
      <w:r>
        <w:rPr>
          <w:color w:val="231F20"/>
        </w:rPr>
        <w:t>5.3.2.2. Пр</w:t>
      </w:r>
      <w:r>
        <w:rPr>
          <w:color w:val="231F20"/>
        </w:rPr>
        <w:t>аво на звернення</w:t>
      </w:r>
    </w:p>
    <w:p w14:paraId="0C33919E" w14:textId="77777777" w:rsidR="00DE575E" w:rsidRDefault="002E7560">
      <w:pPr>
        <w:pStyle w:val="BodyText"/>
        <w:spacing w:before="12" w:line="252" w:lineRule="auto"/>
        <w:ind w:left="250" w:right="411" w:firstLine="283"/>
        <w:jc w:val="both"/>
      </w:pPr>
      <w:r>
        <w:rPr>
          <w:color w:val="231F20"/>
        </w:rPr>
        <w:t>Основними нормативно-правовими актами, які сприяють реалі- зації означеного права, є Конституція України, Закон України «Про звернення громадян» та інші нормативні правові акти, що закрі- пили право на звернення громадян до органів державн</w:t>
      </w:r>
      <w:r>
        <w:rPr>
          <w:color w:val="231F20"/>
        </w:rPr>
        <w:t>ої влади, органів  місцевого  самоврядування  та  посадових  і  службових осіб</w:t>
      </w:r>
    </w:p>
    <w:p w14:paraId="3166087C" w14:textId="77777777" w:rsidR="00DE575E" w:rsidRDefault="00DE575E">
      <w:pPr>
        <w:pStyle w:val="BodyText"/>
        <w:spacing w:before="7"/>
        <w:rPr>
          <w:sz w:val="12"/>
        </w:rPr>
      </w:pPr>
    </w:p>
    <w:p w14:paraId="32603C5A" w14:textId="77777777" w:rsidR="00DE575E" w:rsidRDefault="002E7560">
      <w:pPr>
        <w:spacing w:before="92"/>
        <w:ind w:right="411"/>
        <w:jc w:val="right"/>
        <w:rPr>
          <w:rFonts w:ascii="Times New Roman"/>
          <w:sz w:val="20"/>
        </w:rPr>
      </w:pPr>
      <w:r>
        <w:rPr>
          <w:rFonts w:ascii="Times New Roman"/>
          <w:color w:val="231F20"/>
          <w:w w:val="90"/>
          <w:sz w:val="20"/>
        </w:rPr>
        <w:t>153</w:t>
      </w:r>
    </w:p>
    <w:p w14:paraId="30F825F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AD47D8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4E1A178" w14:textId="7CB9970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612B2C0" wp14:editId="04FD1920">
                <wp:extent cx="4140200" cy="6350"/>
                <wp:effectExtent l="0" t="0" r="12700" b="6350"/>
                <wp:docPr id="1030"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31" name="Line 103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60E09" id="Group_x0020_102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hG4ujgAIAAJwFAAAO&#10;AAAAAAAAAAAAAAAAACwCAABkcnMvZTJvRG9jLnhtbFBLAQItABQABgAIAAAAIQBMp7CQ2QAAAAMB&#10;AAAPAAAAAAAAAAAAAAAAANgEAABkcnMvZG93bnJldi54bWxQSwUGAAAAAAQABADzAAAA3gUAAAAA&#10;">
                <v:line id="Line_x0020_103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YhocQAAADdAAAADwAAAGRycy9kb3ducmV2LnhtbERPzWrCQBC+F3yHZYReSt3YgEh0lSII&#10;4kGr6QOM2TEJ3Z2N2dWkffquIHibj+935sveGnGj1teOFYxHCQjiwumaSwXf+fp9CsIHZI3GMSn4&#10;JQ/LxeBljpl2HR/odgyliCHsM1RQhdBkUvqiIot+5BriyJ1dazFE2JZSt9jFcGvkR5JMpMWaY0OF&#10;Da0qKn6OV6sgv7wF87Xfmi7fn1J5uuzSv+tOqddh/zkDEagPT/HDvdFxfpKO4f5NPEE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piGhxAAAAN0AAAAPAAAAAAAAAAAA&#10;AAAAAKECAABkcnMvZG93bnJldi54bWxQSwUGAAAAAAQABAD5AAAAkgMAAAAA&#10;" strokecolor="#231f20" strokeweight=".5pt"/>
                <w10:anchorlock/>
              </v:group>
            </w:pict>
          </mc:Fallback>
        </mc:AlternateContent>
      </w:r>
    </w:p>
    <w:p w14:paraId="5EFC318A" w14:textId="77777777" w:rsidR="00DE575E" w:rsidRDefault="00DE575E">
      <w:pPr>
        <w:pStyle w:val="BodyText"/>
        <w:spacing w:before="7"/>
        <w:rPr>
          <w:rFonts w:ascii="AdonisC"/>
          <w:i/>
          <w:sz w:val="11"/>
        </w:rPr>
      </w:pPr>
    </w:p>
    <w:p w14:paraId="0C0556C6" w14:textId="77777777" w:rsidR="00DE575E" w:rsidRDefault="002E7560">
      <w:pPr>
        <w:pStyle w:val="BodyText"/>
        <w:spacing w:before="101" w:line="252" w:lineRule="auto"/>
        <w:ind w:left="533"/>
      </w:pPr>
      <w:r>
        <w:rPr>
          <w:color w:val="231F20"/>
        </w:rPr>
        <w:t>цих органів, які зобов’язані розглянути звернення й дати обґрунто- вану відповідь у встановлений законом строк.</w:t>
      </w:r>
    </w:p>
    <w:p w14:paraId="43DEA306" w14:textId="77777777" w:rsidR="00DE575E" w:rsidRDefault="002E7560">
      <w:pPr>
        <w:pStyle w:val="BodyText"/>
        <w:spacing w:before="1" w:line="252" w:lineRule="auto"/>
        <w:ind w:left="533" w:right="124" w:firstLine="283"/>
        <w:jc w:val="both"/>
      </w:pPr>
      <w:r>
        <w:rPr>
          <w:color w:val="231F20"/>
        </w:rPr>
        <w:t>Відповідно до Закону України від 2 жовтня 1996 р. «Про звер- нення громадян» держава гарантує право громадя</w:t>
      </w:r>
      <w:r>
        <w:rPr>
          <w:color w:val="231F20"/>
        </w:rPr>
        <w:t>нам України звернутися до органів державної влади, місцевого самовряду- вання, об’єднань громадян, підприємств, установ, організацій неза- лежно від форм власності, засобів масової інформації, посадових осіб відповідно до їх функціональних обов’язків із за</w:t>
      </w:r>
      <w:r>
        <w:rPr>
          <w:color w:val="231F20"/>
        </w:rPr>
        <w:t>уваженнями, скаргами та пропозиціями, що стосуються їх статутної діяльності,  із заявою або клопотанням щодо реалізації своїх соціально-еконо- мічних, політичних та особистих прав і законних інтересів та скар- гою про їх</w:t>
      </w:r>
      <w:r>
        <w:rPr>
          <w:color w:val="231F20"/>
          <w:spacing w:val="11"/>
        </w:rPr>
        <w:t xml:space="preserve"> </w:t>
      </w:r>
      <w:r>
        <w:rPr>
          <w:color w:val="231F20"/>
        </w:rPr>
        <w:t>порушення.</w:t>
      </w:r>
    </w:p>
    <w:p w14:paraId="4F2106C1" w14:textId="77777777" w:rsidR="00DE575E" w:rsidRDefault="002E7560">
      <w:pPr>
        <w:pStyle w:val="BodyText"/>
        <w:spacing w:before="5" w:line="252" w:lineRule="auto"/>
        <w:ind w:left="533" w:right="127" w:firstLine="283"/>
        <w:jc w:val="both"/>
      </w:pPr>
      <w:r>
        <w:rPr>
          <w:color w:val="231F20"/>
        </w:rPr>
        <w:t xml:space="preserve">Сутність звернення полягає в </w:t>
      </w:r>
      <w:r>
        <w:rPr>
          <w:color w:val="231F20"/>
          <w:spacing w:val="-4"/>
        </w:rPr>
        <w:t xml:space="preserve">тому, </w:t>
      </w:r>
      <w:r>
        <w:rPr>
          <w:color w:val="231F20"/>
        </w:rPr>
        <w:t xml:space="preserve">що між громадянином та органом публічної влади виникають відносини у зв’язку з реаліза- цією публічною адміністрацією управлінських функцій. </w:t>
      </w:r>
      <w:r>
        <w:rPr>
          <w:color w:val="231F20"/>
          <w:spacing w:val="-5"/>
        </w:rPr>
        <w:t xml:space="preserve">Тому </w:t>
      </w:r>
      <w:r>
        <w:rPr>
          <w:color w:val="231F20"/>
        </w:rPr>
        <w:t>в цих правовідносинах</w:t>
      </w:r>
      <w:r>
        <w:rPr>
          <w:color w:val="231F20"/>
          <w:spacing w:val="-11"/>
        </w:rPr>
        <w:t xml:space="preserve"> </w:t>
      </w:r>
      <w:r>
        <w:rPr>
          <w:color w:val="231F20"/>
        </w:rPr>
        <w:t>є</w:t>
      </w:r>
      <w:r>
        <w:rPr>
          <w:color w:val="231F20"/>
          <w:spacing w:val="-10"/>
        </w:rPr>
        <w:t xml:space="preserve"> </w:t>
      </w:r>
      <w:r>
        <w:rPr>
          <w:color w:val="231F20"/>
        </w:rPr>
        <w:t>два</w:t>
      </w:r>
      <w:r>
        <w:rPr>
          <w:color w:val="231F20"/>
          <w:spacing w:val="-11"/>
        </w:rPr>
        <w:t xml:space="preserve"> </w:t>
      </w:r>
      <w:r>
        <w:rPr>
          <w:color w:val="231F20"/>
        </w:rPr>
        <w:t>обов’язкових</w:t>
      </w:r>
      <w:r>
        <w:rPr>
          <w:color w:val="231F20"/>
          <w:spacing w:val="-11"/>
        </w:rPr>
        <w:t xml:space="preserve"> </w:t>
      </w:r>
      <w:r>
        <w:rPr>
          <w:color w:val="231F20"/>
          <w:spacing w:val="-3"/>
        </w:rPr>
        <w:t>суб’єкти:</w:t>
      </w:r>
      <w:r>
        <w:rPr>
          <w:color w:val="231F20"/>
          <w:spacing w:val="-11"/>
        </w:rPr>
        <w:t xml:space="preserve"> </w:t>
      </w:r>
      <w:r>
        <w:rPr>
          <w:color w:val="231F20"/>
        </w:rPr>
        <w:t>орган,</w:t>
      </w:r>
      <w:r>
        <w:rPr>
          <w:color w:val="231F20"/>
          <w:spacing w:val="-11"/>
        </w:rPr>
        <w:t xml:space="preserve"> </w:t>
      </w:r>
      <w:r>
        <w:rPr>
          <w:color w:val="231F20"/>
        </w:rPr>
        <w:t>наділений</w:t>
      </w:r>
      <w:r>
        <w:rPr>
          <w:color w:val="231F20"/>
          <w:spacing w:val="-11"/>
        </w:rPr>
        <w:t xml:space="preserve"> </w:t>
      </w:r>
      <w:r>
        <w:rPr>
          <w:color w:val="231F20"/>
        </w:rPr>
        <w:t>влад- н</w:t>
      </w:r>
      <w:r>
        <w:rPr>
          <w:color w:val="231F20"/>
        </w:rPr>
        <w:t>ими повноваженнями, та</w:t>
      </w:r>
      <w:r>
        <w:rPr>
          <w:color w:val="231F20"/>
          <w:spacing w:val="-2"/>
        </w:rPr>
        <w:t xml:space="preserve"> </w:t>
      </w:r>
      <w:r>
        <w:rPr>
          <w:color w:val="231F20"/>
        </w:rPr>
        <w:t>громадянин.</w:t>
      </w:r>
    </w:p>
    <w:p w14:paraId="410CF154" w14:textId="77777777" w:rsidR="00DE575E" w:rsidRDefault="002E7560">
      <w:pPr>
        <w:pStyle w:val="BodyText"/>
        <w:spacing w:before="2" w:line="252" w:lineRule="auto"/>
        <w:ind w:left="533" w:right="127" w:firstLine="283"/>
        <w:jc w:val="both"/>
      </w:pPr>
      <w:r>
        <w:rPr>
          <w:color w:val="231F20"/>
        </w:rPr>
        <w:t>Законом України «Про звернення громадян» передбачено три види звернень громадян: пропозиції (зауваження), заяви (клопо- тання) і скарги.</w:t>
      </w:r>
    </w:p>
    <w:p w14:paraId="28930DD7" w14:textId="77777777" w:rsidR="00DE575E" w:rsidRDefault="002E7560">
      <w:pPr>
        <w:pStyle w:val="BodyText"/>
        <w:spacing w:before="2" w:line="252" w:lineRule="auto"/>
        <w:ind w:left="533" w:right="127" w:firstLine="283"/>
        <w:jc w:val="both"/>
      </w:pPr>
      <w:r>
        <w:rPr>
          <w:b/>
          <w:color w:val="231F20"/>
        </w:rPr>
        <w:t xml:space="preserve">Пропозиція (зауваження) </w:t>
      </w:r>
      <w:r>
        <w:rPr>
          <w:color w:val="231F20"/>
        </w:rPr>
        <w:t>– це звернення громадян, де вислов- люються порада, рекоменд</w:t>
      </w:r>
      <w:r>
        <w:rPr>
          <w:color w:val="231F20"/>
        </w:rPr>
        <w:t>ація щодо діяльності органів державної влади й місцевого самоврядування, депутатів усіх рівнів, посадо- вих осіб, а також думки щодо врегулювання суспільних відносин та умов життя громадян, удосконалення правової основи державного  і громадського життя, со</w:t>
      </w:r>
      <w:r>
        <w:rPr>
          <w:color w:val="231F20"/>
        </w:rPr>
        <w:t>ціально-культурної та інших сфер діяль- ності держави й</w:t>
      </w:r>
      <w:r>
        <w:rPr>
          <w:color w:val="231F20"/>
          <w:spacing w:val="-2"/>
        </w:rPr>
        <w:t xml:space="preserve"> </w:t>
      </w:r>
      <w:r>
        <w:rPr>
          <w:color w:val="231F20"/>
        </w:rPr>
        <w:t>суспільства.</w:t>
      </w:r>
    </w:p>
    <w:p w14:paraId="2C86C148" w14:textId="77777777" w:rsidR="00DE575E" w:rsidRDefault="002E7560">
      <w:pPr>
        <w:pStyle w:val="BodyText"/>
        <w:spacing w:before="3" w:line="252" w:lineRule="auto"/>
        <w:ind w:left="533" w:right="128" w:firstLine="283"/>
        <w:jc w:val="both"/>
      </w:pPr>
      <w:r>
        <w:rPr>
          <w:b/>
          <w:color w:val="231F20"/>
        </w:rPr>
        <w:t xml:space="preserve">Заява (клопотання) </w:t>
      </w:r>
      <w:r>
        <w:rPr>
          <w:color w:val="231F20"/>
        </w:rPr>
        <w:t>– звернення громадян із проханням про сприяння реалізації закріплених Конституцією та чинним зако- нодавством їх прав та інтересів або повідомлення про порушення чинног</w:t>
      </w:r>
      <w:r>
        <w:rPr>
          <w:color w:val="231F20"/>
        </w:rPr>
        <w:t xml:space="preserve">о законодавства чи недоліки в діяльності підприємств, уста- нов, організацій незалежно від форм власності, народних депутатів </w:t>
      </w:r>
      <w:r>
        <w:rPr>
          <w:color w:val="231F20"/>
          <w:spacing w:val="-3"/>
        </w:rPr>
        <w:t>України,</w:t>
      </w:r>
      <w:r>
        <w:rPr>
          <w:color w:val="231F20"/>
          <w:spacing w:val="-19"/>
        </w:rPr>
        <w:t xml:space="preserve"> </w:t>
      </w:r>
      <w:r>
        <w:rPr>
          <w:color w:val="231F20"/>
        </w:rPr>
        <w:t>депутатів</w:t>
      </w:r>
      <w:r>
        <w:rPr>
          <w:color w:val="231F20"/>
          <w:spacing w:val="-19"/>
        </w:rPr>
        <w:t xml:space="preserve"> </w:t>
      </w:r>
      <w:r>
        <w:rPr>
          <w:color w:val="231F20"/>
        </w:rPr>
        <w:t>місцевих</w:t>
      </w:r>
      <w:r>
        <w:rPr>
          <w:color w:val="231F20"/>
          <w:spacing w:val="-19"/>
        </w:rPr>
        <w:t xml:space="preserve"> </w:t>
      </w:r>
      <w:r>
        <w:rPr>
          <w:color w:val="231F20"/>
        </w:rPr>
        <w:t>рад,</w:t>
      </w:r>
      <w:r>
        <w:rPr>
          <w:color w:val="231F20"/>
          <w:spacing w:val="-19"/>
        </w:rPr>
        <w:t xml:space="preserve"> </w:t>
      </w:r>
      <w:r>
        <w:rPr>
          <w:color w:val="231F20"/>
        </w:rPr>
        <w:t>посадових</w:t>
      </w:r>
      <w:r>
        <w:rPr>
          <w:color w:val="231F20"/>
          <w:spacing w:val="-19"/>
        </w:rPr>
        <w:t xml:space="preserve"> </w:t>
      </w:r>
      <w:r>
        <w:rPr>
          <w:color w:val="231F20"/>
        </w:rPr>
        <w:t>осіб,</w:t>
      </w:r>
      <w:r>
        <w:rPr>
          <w:color w:val="231F20"/>
          <w:spacing w:val="-19"/>
        </w:rPr>
        <w:t xml:space="preserve"> </w:t>
      </w:r>
      <w:r>
        <w:rPr>
          <w:color w:val="231F20"/>
        </w:rPr>
        <w:t>а</w:t>
      </w:r>
      <w:r>
        <w:rPr>
          <w:color w:val="231F20"/>
          <w:spacing w:val="-19"/>
        </w:rPr>
        <w:t xml:space="preserve"> </w:t>
      </w:r>
      <w:r>
        <w:rPr>
          <w:color w:val="231F20"/>
        </w:rPr>
        <w:t>також</w:t>
      </w:r>
      <w:r>
        <w:rPr>
          <w:color w:val="231F20"/>
          <w:spacing w:val="-19"/>
        </w:rPr>
        <w:t xml:space="preserve"> </w:t>
      </w:r>
      <w:r>
        <w:rPr>
          <w:color w:val="231F20"/>
        </w:rPr>
        <w:t>висловлення думки</w:t>
      </w:r>
      <w:r>
        <w:rPr>
          <w:color w:val="231F20"/>
          <w:spacing w:val="-11"/>
        </w:rPr>
        <w:t xml:space="preserve"> </w:t>
      </w:r>
      <w:r>
        <w:rPr>
          <w:color w:val="231F20"/>
        </w:rPr>
        <w:t>щодо</w:t>
      </w:r>
      <w:r>
        <w:rPr>
          <w:color w:val="231F20"/>
          <w:spacing w:val="-11"/>
        </w:rPr>
        <w:t xml:space="preserve"> </w:t>
      </w:r>
      <w:r>
        <w:rPr>
          <w:color w:val="231F20"/>
        </w:rPr>
        <w:t>поліпшення</w:t>
      </w:r>
      <w:r>
        <w:rPr>
          <w:color w:val="231F20"/>
          <w:spacing w:val="-12"/>
        </w:rPr>
        <w:t xml:space="preserve"> </w:t>
      </w:r>
      <w:r>
        <w:rPr>
          <w:color w:val="231F20"/>
        </w:rPr>
        <w:t>їх</w:t>
      </w:r>
      <w:r>
        <w:rPr>
          <w:color w:val="231F20"/>
          <w:spacing w:val="-11"/>
        </w:rPr>
        <w:t xml:space="preserve"> </w:t>
      </w:r>
      <w:r>
        <w:rPr>
          <w:color w:val="231F20"/>
        </w:rPr>
        <w:t>діяльності.</w:t>
      </w:r>
      <w:r>
        <w:rPr>
          <w:color w:val="231F20"/>
          <w:spacing w:val="-11"/>
        </w:rPr>
        <w:t xml:space="preserve"> </w:t>
      </w:r>
      <w:r>
        <w:rPr>
          <w:b/>
          <w:color w:val="231F20"/>
        </w:rPr>
        <w:t>Клопотання</w:t>
      </w:r>
      <w:r>
        <w:rPr>
          <w:b/>
          <w:color w:val="231F20"/>
          <w:spacing w:val="-12"/>
        </w:rPr>
        <w:t xml:space="preserve"> </w:t>
      </w:r>
      <w:r>
        <w:rPr>
          <w:color w:val="231F20"/>
        </w:rPr>
        <w:t>–</w:t>
      </w:r>
      <w:r>
        <w:rPr>
          <w:color w:val="231F20"/>
          <w:spacing w:val="-11"/>
        </w:rPr>
        <w:t xml:space="preserve"> </w:t>
      </w:r>
      <w:r>
        <w:rPr>
          <w:color w:val="231F20"/>
        </w:rPr>
        <w:t>письмове</w:t>
      </w:r>
      <w:r>
        <w:rPr>
          <w:color w:val="231F20"/>
          <w:spacing w:val="-11"/>
        </w:rPr>
        <w:t xml:space="preserve"> </w:t>
      </w:r>
      <w:r>
        <w:rPr>
          <w:color w:val="231F20"/>
        </w:rPr>
        <w:t>зв</w:t>
      </w:r>
      <w:r>
        <w:rPr>
          <w:color w:val="231F20"/>
        </w:rPr>
        <w:t xml:space="preserve">ер- нення з проханням про визнання за особою відповідного </w:t>
      </w:r>
      <w:r>
        <w:rPr>
          <w:color w:val="231F20"/>
          <w:spacing w:val="-3"/>
        </w:rPr>
        <w:t xml:space="preserve">статусу, </w:t>
      </w:r>
      <w:r>
        <w:rPr>
          <w:color w:val="231F20"/>
        </w:rPr>
        <w:t>прав чи свобод</w:t>
      </w:r>
      <w:r>
        <w:rPr>
          <w:color w:val="231F20"/>
          <w:spacing w:val="-3"/>
        </w:rPr>
        <w:t xml:space="preserve"> </w:t>
      </w:r>
      <w:r>
        <w:rPr>
          <w:color w:val="231F20"/>
        </w:rPr>
        <w:t>тощо.</w:t>
      </w:r>
    </w:p>
    <w:p w14:paraId="48B1A845" w14:textId="77777777" w:rsidR="00DE575E" w:rsidRDefault="002E7560">
      <w:pPr>
        <w:pStyle w:val="BodyText"/>
        <w:spacing w:before="4" w:line="252" w:lineRule="auto"/>
        <w:ind w:left="533" w:right="125" w:firstLine="283"/>
        <w:jc w:val="both"/>
      </w:pPr>
      <w:r>
        <w:rPr>
          <w:b/>
          <w:color w:val="231F20"/>
        </w:rPr>
        <w:t xml:space="preserve">Скарга </w:t>
      </w:r>
      <w:r>
        <w:rPr>
          <w:color w:val="231F20"/>
        </w:rPr>
        <w:t>–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w:t>
      </w:r>
    </w:p>
    <w:p w14:paraId="629132FC" w14:textId="77777777" w:rsidR="00DE575E" w:rsidRDefault="00DE575E">
      <w:pPr>
        <w:pStyle w:val="BodyText"/>
        <w:spacing w:before="6"/>
        <w:rPr>
          <w:sz w:val="12"/>
        </w:rPr>
      </w:pPr>
    </w:p>
    <w:p w14:paraId="775DD82B" w14:textId="77777777" w:rsidR="00DE575E" w:rsidRDefault="002E7560">
      <w:pPr>
        <w:spacing w:before="92"/>
        <w:ind w:left="533"/>
        <w:rPr>
          <w:rFonts w:ascii="Times New Roman"/>
          <w:sz w:val="20"/>
        </w:rPr>
      </w:pPr>
      <w:r>
        <w:rPr>
          <w:rFonts w:ascii="Times New Roman"/>
          <w:color w:val="231F20"/>
          <w:sz w:val="20"/>
        </w:rPr>
        <w:t>154</w:t>
      </w:r>
    </w:p>
    <w:p w14:paraId="663AD5AA" w14:textId="77777777" w:rsidR="00DE575E" w:rsidRDefault="00DE575E">
      <w:pPr>
        <w:rPr>
          <w:rFonts w:ascii="Times New Roman"/>
          <w:sz w:val="20"/>
        </w:rPr>
        <w:sectPr w:rsidR="00DE575E">
          <w:pgSz w:w="8510" w:h="12760"/>
          <w:pgMar w:top="660" w:right="720" w:bottom="280" w:left="600" w:header="720" w:footer="720" w:gutter="0"/>
          <w:cols w:space="720"/>
        </w:sectPr>
      </w:pPr>
    </w:p>
    <w:p w14:paraId="7A23D842"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5. Приватна особа як суб’єкт адміністративного права</w:t>
      </w:r>
    </w:p>
    <w:p w14:paraId="4C2C65B2" w14:textId="68105E3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5EE634C" wp14:editId="036C2D3E">
                <wp:extent cx="4140200" cy="6350"/>
                <wp:effectExtent l="0" t="0" r="12700" b="6350"/>
                <wp:docPr id="1028"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29" name="Line 102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D44DCC" id="Group_x0020_102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4P03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aeD9N/AgAAnAUAAA4A&#10;AAAAAAAAAAAAAAAALAIAAGRycy9lMm9Eb2MueG1sUEsBAi0AFAAGAAgAAAAhAEynsJDZAAAAAwEA&#10;AA8AAAAAAAAAAAAAAAAA1wQAAGRycy9kb3ducmV2LnhtbFBLBQYAAAAABAAEAPMAAADdBQAAAAA=&#10;">
                <v:line id="Line_x0020_102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7esUAAADdAAAADwAAAGRycy9kb3ducmV2LnhtbERPzWrCQBC+C77DMgUvpdlUodiYVaRQ&#10;KB60Gh9gzI5J6O5szK4m7dN3CwVv8/H9Tr4arBE36nzjWMFzkoIgLp1uuFJwLN6f5iB8QNZoHJOC&#10;b/KwWo5HOWba9byn2yFUIoawz1BBHUKbSenLmiz6xLXEkTu7zmKIsKuk7rCP4dbIaZq+SIsNx4Ya&#10;W3qrqfw6XK2C4vIYzOduY/pid5rJ02U7+7lulZo8DOsFiEBDuIv/3R86zk+nr/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m7esUAAADdAAAADwAAAAAAAAAA&#10;AAAAAAChAgAAZHJzL2Rvd25yZXYueG1sUEsFBgAAAAAEAAQA+QAAAJMDAAAAAA==&#10;" strokecolor="#231f20" strokeweight=".5pt"/>
                <w10:anchorlock/>
              </v:group>
            </w:pict>
          </mc:Fallback>
        </mc:AlternateContent>
      </w:r>
    </w:p>
    <w:p w14:paraId="5E46321B" w14:textId="77777777" w:rsidR="00DE575E" w:rsidRDefault="00DE575E">
      <w:pPr>
        <w:pStyle w:val="BodyText"/>
        <w:spacing w:before="7"/>
        <w:rPr>
          <w:rFonts w:ascii="AdonisC"/>
          <w:i/>
          <w:sz w:val="19"/>
        </w:rPr>
      </w:pPr>
    </w:p>
    <w:p w14:paraId="45FD2AD9" w14:textId="77777777" w:rsidR="00DE575E" w:rsidRDefault="002E7560">
      <w:pPr>
        <w:pStyle w:val="BodyText"/>
        <w:spacing w:before="1" w:line="252" w:lineRule="auto"/>
        <w:ind w:left="250" w:right="410"/>
        <w:jc w:val="both"/>
      </w:pPr>
      <w:r>
        <w:rPr>
          <w:color w:val="231F20"/>
        </w:rPr>
        <w:t>підприємств, установ, організацій, об’єднань громадян, посадових осіб. Забороняється надсилати скарги громадян для розгляду тим о</w:t>
      </w:r>
      <w:r>
        <w:rPr>
          <w:color w:val="231F20"/>
        </w:rPr>
        <w:t>рганам або посадовим особам, дії чи рішення яких оскаржуються.</w:t>
      </w:r>
    </w:p>
    <w:p w14:paraId="1C619609" w14:textId="77777777" w:rsidR="00DE575E" w:rsidRDefault="002E7560">
      <w:pPr>
        <w:pStyle w:val="BodyText"/>
        <w:spacing w:before="1" w:line="252" w:lineRule="auto"/>
        <w:ind w:left="250" w:right="410" w:firstLine="283"/>
        <w:jc w:val="both"/>
      </w:pPr>
      <w:r>
        <w:rPr>
          <w:color w:val="231F20"/>
        </w:rPr>
        <w:t xml:space="preserve">Крім того, Законом </w:t>
      </w:r>
      <w:r>
        <w:rPr>
          <w:color w:val="231F20"/>
          <w:spacing w:val="-3"/>
        </w:rPr>
        <w:t xml:space="preserve">України </w:t>
      </w:r>
      <w:r>
        <w:rPr>
          <w:color w:val="231F20"/>
        </w:rPr>
        <w:t>від 13.01.2011 р. № 2939-VI «Про доступ до публічної інформації» передбачено право особи подавати індивідуальний</w:t>
      </w:r>
      <w:r>
        <w:rPr>
          <w:color w:val="231F20"/>
          <w:spacing w:val="-12"/>
        </w:rPr>
        <w:t xml:space="preserve"> </w:t>
      </w:r>
      <w:r>
        <w:rPr>
          <w:color w:val="231F20"/>
        </w:rPr>
        <w:t>або</w:t>
      </w:r>
      <w:r>
        <w:rPr>
          <w:color w:val="231F20"/>
          <w:spacing w:val="-12"/>
        </w:rPr>
        <w:t xml:space="preserve"> </w:t>
      </w:r>
      <w:r>
        <w:rPr>
          <w:color w:val="231F20"/>
        </w:rPr>
        <w:t>колективний</w:t>
      </w:r>
      <w:r>
        <w:rPr>
          <w:color w:val="231F20"/>
          <w:spacing w:val="-12"/>
        </w:rPr>
        <w:t xml:space="preserve"> </w:t>
      </w:r>
      <w:r>
        <w:rPr>
          <w:color w:val="231F20"/>
        </w:rPr>
        <w:t>письмовий,</w:t>
      </w:r>
      <w:r>
        <w:rPr>
          <w:color w:val="231F20"/>
          <w:spacing w:val="-12"/>
        </w:rPr>
        <w:t xml:space="preserve"> </w:t>
      </w:r>
      <w:r>
        <w:rPr>
          <w:color w:val="231F20"/>
        </w:rPr>
        <w:t>усний</w:t>
      </w:r>
      <w:r>
        <w:rPr>
          <w:color w:val="231F20"/>
          <w:spacing w:val="-12"/>
        </w:rPr>
        <w:t xml:space="preserve"> </w:t>
      </w:r>
      <w:r>
        <w:rPr>
          <w:color w:val="231F20"/>
        </w:rPr>
        <w:t>чи</w:t>
      </w:r>
      <w:r>
        <w:rPr>
          <w:color w:val="231F20"/>
          <w:spacing w:val="-12"/>
        </w:rPr>
        <w:t xml:space="preserve"> </w:t>
      </w:r>
      <w:r>
        <w:rPr>
          <w:color w:val="231F20"/>
        </w:rPr>
        <w:t>в</w:t>
      </w:r>
      <w:r>
        <w:rPr>
          <w:color w:val="231F20"/>
          <w:spacing w:val="-12"/>
        </w:rPr>
        <w:t xml:space="preserve"> </w:t>
      </w:r>
      <w:r>
        <w:rPr>
          <w:color w:val="231F20"/>
        </w:rPr>
        <w:t>іншій</w:t>
      </w:r>
      <w:r>
        <w:rPr>
          <w:color w:val="231F20"/>
          <w:spacing w:val="-12"/>
        </w:rPr>
        <w:t xml:space="preserve"> </w:t>
      </w:r>
      <w:r>
        <w:rPr>
          <w:color w:val="231F20"/>
        </w:rPr>
        <w:t xml:space="preserve">формі </w:t>
      </w:r>
      <w:r>
        <w:rPr>
          <w:b/>
          <w:color w:val="231F20"/>
        </w:rPr>
        <w:t>зап</w:t>
      </w:r>
      <w:r>
        <w:rPr>
          <w:b/>
          <w:color w:val="231F20"/>
        </w:rPr>
        <w:t>ит</w:t>
      </w:r>
      <w:r>
        <w:rPr>
          <w:color w:val="231F20"/>
        </w:rPr>
        <w:t xml:space="preserve">, зокрема до </w:t>
      </w:r>
      <w:r>
        <w:rPr>
          <w:color w:val="231F20"/>
          <w:spacing w:val="-3"/>
        </w:rPr>
        <w:t xml:space="preserve">суб’єктів </w:t>
      </w:r>
      <w:r>
        <w:rPr>
          <w:color w:val="231F20"/>
        </w:rPr>
        <w:t>владних повноважень, про надання публічної інформації.</w:t>
      </w:r>
    </w:p>
    <w:p w14:paraId="66C58A85" w14:textId="77777777" w:rsidR="00DE575E" w:rsidRDefault="002E7560">
      <w:pPr>
        <w:pStyle w:val="BodyText"/>
        <w:spacing w:before="3" w:line="252" w:lineRule="auto"/>
        <w:ind w:left="250" w:right="410" w:firstLine="283"/>
        <w:jc w:val="both"/>
      </w:pPr>
      <w:r>
        <w:rPr>
          <w:color w:val="231F20"/>
        </w:rPr>
        <w:t>Слід</w:t>
      </w:r>
      <w:r>
        <w:rPr>
          <w:color w:val="231F20"/>
          <w:spacing w:val="-6"/>
        </w:rPr>
        <w:t xml:space="preserve"> </w:t>
      </w:r>
      <w:r>
        <w:rPr>
          <w:color w:val="231F20"/>
        </w:rPr>
        <w:t>звернути</w:t>
      </w:r>
      <w:r>
        <w:rPr>
          <w:color w:val="231F20"/>
          <w:spacing w:val="-6"/>
        </w:rPr>
        <w:t xml:space="preserve"> </w:t>
      </w:r>
      <w:r>
        <w:rPr>
          <w:color w:val="231F20"/>
          <w:spacing w:val="-3"/>
        </w:rPr>
        <w:t>увагу,</w:t>
      </w:r>
      <w:r>
        <w:rPr>
          <w:color w:val="231F20"/>
          <w:spacing w:val="-6"/>
        </w:rPr>
        <w:t xml:space="preserve"> </w:t>
      </w:r>
      <w:r>
        <w:rPr>
          <w:color w:val="231F20"/>
        </w:rPr>
        <w:t>що</w:t>
      </w:r>
      <w:r>
        <w:rPr>
          <w:color w:val="231F20"/>
          <w:spacing w:val="-6"/>
        </w:rPr>
        <w:t xml:space="preserve"> </w:t>
      </w:r>
      <w:r>
        <w:rPr>
          <w:color w:val="231F20"/>
        </w:rPr>
        <w:t>запити</w:t>
      </w:r>
      <w:r>
        <w:rPr>
          <w:color w:val="231F20"/>
          <w:spacing w:val="-6"/>
        </w:rPr>
        <w:t xml:space="preserve"> </w:t>
      </w:r>
      <w:r>
        <w:rPr>
          <w:color w:val="231F20"/>
        </w:rPr>
        <w:t>на</w:t>
      </w:r>
      <w:r>
        <w:rPr>
          <w:color w:val="231F20"/>
          <w:spacing w:val="-6"/>
        </w:rPr>
        <w:t xml:space="preserve"> </w:t>
      </w:r>
      <w:r>
        <w:rPr>
          <w:color w:val="231F20"/>
        </w:rPr>
        <w:t>доступ</w:t>
      </w:r>
      <w:r>
        <w:rPr>
          <w:color w:val="231F20"/>
          <w:spacing w:val="-6"/>
        </w:rPr>
        <w:t xml:space="preserve"> </w:t>
      </w:r>
      <w:r>
        <w:rPr>
          <w:color w:val="231F20"/>
        </w:rPr>
        <w:t>до</w:t>
      </w:r>
      <w:r>
        <w:rPr>
          <w:color w:val="231F20"/>
          <w:spacing w:val="-6"/>
        </w:rPr>
        <w:t xml:space="preserve"> </w:t>
      </w:r>
      <w:r>
        <w:rPr>
          <w:color w:val="231F20"/>
        </w:rPr>
        <w:t>публічної</w:t>
      </w:r>
      <w:r>
        <w:rPr>
          <w:color w:val="231F20"/>
          <w:spacing w:val="-6"/>
        </w:rPr>
        <w:t xml:space="preserve"> </w:t>
      </w:r>
      <w:r>
        <w:rPr>
          <w:color w:val="231F20"/>
        </w:rPr>
        <w:t xml:space="preserve">інформації є хоча частково пов’язаними між собою формами реалізації </w:t>
      </w:r>
      <w:r>
        <w:rPr>
          <w:color w:val="231F20"/>
          <w:spacing w:val="-4"/>
        </w:rPr>
        <w:t xml:space="preserve">суб’єк- </w:t>
      </w:r>
      <w:r>
        <w:rPr>
          <w:color w:val="231F20"/>
        </w:rPr>
        <w:t xml:space="preserve">тивних публічних прав приватними </w:t>
      </w:r>
      <w:r>
        <w:rPr>
          <w:color w:val="231F20"/>
          <w:spacing w:val="-3"/>
        </w:rPr>
        <w:t xml:space="preserve">суб’єктами </w:t>
      </w:r>
      <w:r>
        <w:rPr>
          <w:color w:val="231F20"/>
        </w:rPr>
        <w:t>адміністративного права, але водночас і різні між</w:t>
      </w:r>
      <w:r>
        <w:rPr>
          <w:color w:val="231F20"/>
          <w:spacing w:val="-7"/>
        </w:rPr>
        <w:t xml:space="preserve"> </w:t>
      </w:r>
      <w:r>
        <w:rPr>
          <w:color w:val="231F20"/>
        </w:rPr>
        <w:t>собою.</w:t>
      </w:r>
    </w:p>
    <w:p w14:paraId="435FF372" w14:textId="77777777" w:rsidR="00DE575E" w:rsidRDefault="002E7560">
      <w:pPr>
        <w:pStyle w:val="BodyText"/>
        <w:spacing w:before="2" w:line="252" w:lineRule="auto"/>
        <w:ind w:left="250" w:right="406" w:firstLine="283"/>
        <w:jc w:val="both"/>
      </w:pPr>
      <w:r>
        <w:rPr>
          <w:color w:val="231F20"/>
        </w:rPr>
        <w:t xml:space="preserve">Як зазначив Вищий адміністративний </w:t>
      </w:r>
      <w:r>
        <w:rPr>
          <w:color w:val="231F20"/>
          <w:spacing w:val="-3"/>
        </w:rPr>
        <w:t xml:space="preserve">суд </w:t>
      </w:r>
      <w:r>
        <w:rPr>
          <w:color w:val="231F20"/>
        </w:rPr>
        <w:t>України у пункті 3.4 Постанови Пленуму «Про практику застосування адміністратив- ними судами законодавства про доступ до публічної інформації» від 29.09.2016 ро</w:t>
      </w:r>
      <w:r>
        <w:rPr>
          <w:color w:val="231F20"/>
        </w:rPr>
        <w:t>ку № 10, одержавши запит на інформацію, який подано згідно із Законом України «Про доступ до публічної інфор- мації», проте який за своїм змістом є зверненням громадянина відповідно до Закону України «Про звернення громадян», розпо- рядник публічної інформ</w:t>
      </w:r>
      <w:r>
        <w:rPr>
          <w:color w:val="231F20"/>
        </w:rPr>
        <w:t>ації має відмовити в задоволенні такого запиту  через  невідповідність  його   предмета   вимогам   першого з названих</w:t>
      </w:r>
      <w:r>
        <w:rPr>
          <w:color w:val="231F20"/>
          <w:spacing w:val="7"/>
        </w:rPr>
        <w:t xml:space="preserve"> </w:t>
      </w:r>
      <w:r>
        <w:rPr>
          <w:color w:val="231F20"/>
        </w:rPr>
        <w:t>законів</w:t>
      </w:r>
      <w:r>
        <w:rPr>
          <w:color w:val="231F20"/>
          <w:position w:val="7"/>
          <w:sz w:val="12"/>
        </w:rPr>
        <w:t>1</w:t>
      </w:r>
      <w:r>
        <w:rPr>
          <w:color w:val="231F20"/>
        </w:rPr>
        <w:t>.</w:t>
      </w:r>
    </w:p>
    <w:p w14:paraId="530B422A" w14:textId="77777777" w:rsidR="00DE575E" w:rsidRDefault="002E7560">
      <w:pPr>
        <w:pStyle w:val="BodyText"/>
        <w:spacing w:before="5" w:line="252" w:lineRule="auto"/>
        <w:ind w:left="250" w:right="410" w:firstLine="283"/>
        <w:jc w:val="both"/>
      </w:pPr>
      <w:r>
        <w:rPr>
          <w:color w:val="231F20"/>
        </w:rPr>
        <w:t>У такому разі уповноважена посадова особа органу</w:t>
      </w:r>
      <w:r>
        <w:rPr>
          <w:color w:val="231F20"/>
          <w:spacing w:val="25"/>
        </w:rPr>
        <w:t xml:space="preserve"> </w:t>
      </w:r>
      <w:r>
        <w:rPr>
          <w:color w:val="231F20"/>
        </w:rPr>
        <w:t>державної влади, органу місцевого самоврядування, підприємства, установи чи ор</w:t>
      </w:r>
      <w:r>
        <w:rPr>
          <w:color w:val="231F20"/>
        </w:rPr>
        <w:t xml:space="preserve">ганізації, до якої надійшов </w:t>
      </w:r>
      <w:r>
        <w:rPr>
          <w:color w:val="231F20"/>
          <w:spacing w:val="-3"/>
        </w:rPr>
        <w:t xml:space="preserve">запит, </w:t>
      </w:r>
      <w:r>
        <w:rPr>
          <w:color w:val="231F20"/>
        </w:rPr>
        <w:t>зобов’язана розглянути його, керуючись</w:t>
      </w:r>
      <w:r>
        <w:rPr>
          <w:color w:val="231F20"/>
          <w:spacing w:val="-7"/>
        </w:rPr>
        <w:t xml:space="preserve"> </w:t>
      </w:r>
      <w:r>
        <w:rPr>
          <w:color w:val="231F20"/>
        </w:rPr>
        <w:t>принципами</w:t>
      </w:r>
      <w:r>
        <w:rPr>
          <w:color w:val="231F20"/>
          <w:spacing w:val="-6"/>
        </w:rPr>
        <w:t xml:space="preserve"> </w:t>
      </w:r>
      <w:r>
        <w:rPr>
          <w:color w:val="231F20"/>
        </w:rPr>
        <w:t>добросовісності</w:t>
      </w:r>
      <w:r>
        <w:rPr>
          <w:color w:val="231F20"/>
          <w:spacing w:val="-7"/>
        </w:rPr>
        <w:t xml:space="preserve"> </w:t>
      </w:r>
      <w:r>
        <w:rPr>
          <w:color w:val="231F20"/>
        </w:rPr>
        <w:t>й</w:t>
      </w:r>
      <w:r>
        <w:rPr>
          <w:color w:val="231F20"/>
          <w:spacing w:val="-7"/>
        </w:rPr>
        <w:t xml:space="preserve"> </w:t>
      </w:r>
      <w:r>
        <w:rPr>
          <w:color w:val="231F20"/>
        </w:rPr>
        <w:t>розсудливості</w:t>
      </w:r>
      <w:r>
        <w:rPr>
          <w:color w:val="231F20"/>
          <w:spacing w:val="-7"/>
        </w:rPr>
        <w:t xml:space="preserve"> </w:t>
      </w:r>
      <w:r>
        <w:rPr>
          <w:color w:val="231F20"/>
        </w:rPr>
        <w:t>на</w:t>
      </w:r>
      <w:r>
        <w:rPr>
          <w:color w:val="231F20"/>
          <w:spacing w:val="-6"/>
        </w:rPr>
        <w:t xml:space="preserve"> </w:t>
      </w:r>
      <w:r>
        <w:rPr>
          <w:color w:val="231F20"/>
        </w:rPr>
        <w:t xml:space="preserve">підставі вимог Закону </w:t>
      </w:r>
      <w:r>
        <w:rPr>
          <w:color w:val="231F20"/>
          <w:spacing w:val="-3"/>
        </w:rPr>
        <w:t xml:space="preserve">України </w:t>
      </w:r>
      <w:r>
        <w:rPr>
          <w:color w:val="231F20"/>
        </w:rPr>
        <w:t xml:space="preserve">«Про звернення громадян». При цьому запи- тувача має бути повідомлено у п’ятиденний строк про те, що його </w:t>
      </w:r>
      <w:r>
        <w:rPr>
          <w:color w:val="231F20"/>
        </w:rPr>
        <w:t xml:space="preserve">запит на інформацію </w:t>
      </w:r>
      <w:r>
        <w:rPr>
          <w:color w:val="231F20"/>
          <w:spacing w:val="-4"/>
        </w:rPr>
        <w:t xml:space="preserve">буде </w:t>
      </w:r>
      <w:r>
        <w:rPr>
          <w:color w:val="231F20"/>
        </w:rPr>
        <w:t xml:space="preserve">розглядатися як звернення відповідно до Закону </w:t>
      </w:r>
      <w:r>
        <w:rPr>
          <w:color w:val="231F20"/>
          <w:spacing w:val="-3"/>
        </w:rPr>
        <w:t xml:space="preserve">України </w:t>
      </w:r>
      <w:r>
        <w:rPr>
          <w:color w:val="231F20"/>
        </w:rPr>
        <w:t>«Про звернення громадян».</w:t>
      </w:r>
    </w:p>
    <w:p w14:paraId="71F638B8" w14:textId="77777777" w:rsidR="00DE575E" w:rsidRDefault="002E7560">
      <w:pPr>
        <w:pStyle w:val="BodyText"/>
        <w:spacing w:before="3" w:line="252" w:lineRule="auto"/>
        <w:ind w:left="250" w:right="411" w:firstLine="283"/>
        <w:jc w:val="both"/>
      </w:pPr>
      <w:r>
        <w:rPr>
          <w:color w:val="231F20"/>
        </w:rPr>
        <w:t xml:space="preserve">У разі якщо запит на інформацію, який подано згідно із Зако- ном </w:t>
      </w:r>
      <w:r>
        <w:rPr>
          <w:color w:val="231F20"/>
          <w:spacing w:val="-3"/>
        </w:rPr>
        <w:t xml:space="preserve">України </w:t>
      </w:r>
      <w:r>
        <w:rPr>
          <w:color w:val="231F20"/>
        </w:rPr>
        <w:t>«Про доступ до публічної інформації», за своїм змістом поєднує предмет регулю</w:t>
      </w:r>
      <w:r>
        <w:rPr>
          <w:color w:val="231F20"/>
        </w:rPr>
        <w:t xml:space="preserve">вання цього Закону та Закону </w:t>
      </w:r>
      <w:r>
        <w:rPr>
          <w:color w:val="231F20"/>
          <w:spacing w:val="-3"/>
        </w:rPr>
        <w:t>України</w:t>
      </w:r>
      <w:r>
        <w:rPr>
          <w:color w:val="231F20"/>
          <w:spacing w:val="-31"/>
        </w:rPr>
        <w:t xml:space="preserve"> </w:t>
      </w:r>
      <w:r>
        <w:rPr>
          <w:color w:val="231F20"/>
        </w:rPr>
        <w:t xml:space="preserve">«Про звернення громадян», то такий «запит-звернення» має </w:t>
      </w:r>
      <w:r>
        <w:rPr>
          <w:color w:val="231F20"/>
          <w:spacing w:val="-3"/>
        </w:rPr>
        <w:t xml:space="preserve">розгляда- </w:t>
      </w:r>
      <w:r>
        <w:rPr>
          <w:color w:val="231F20"/>
        </w:rPr>
        <w:t>тися у відповідних частинах у строк та порядок, передбачені відпо- відними законами. При цьому розпорядник публічної</w:t>
      </w:r>
      <w:r>
        <w:rPr>
          <w:color w:val="231F20"/>
          <w:spacing w:val="8"/>
        </w:rPr>
        <w:t xml:space="preserve"> </w:t>
      </w:r>
      <w:r>
        <w:rPr>
          <w:color w:val="231F20"/>
        </w:rPr>
        <w:t>інформації</w:t>
      </w:r>
    </w:p>
    <w:p w14:paraId="0DEAE787" w14:textId="2B440703" w:rsidR="00DE575E" w:rsidRDefault="002E7560">
      <w:pPr>
        <w:pStyle w:val="BodyText"/>
        <w:spacing w:before="3"/>
        <w:rPr>
          <w:sz w:val="19"/>
        </w:rPr>
      </w:pPr>
      <w:r>
        <w:rPr>
          <w:noProof/>
        </w:rPr>
        <mc:AlternateContent>
          <mc:Choice Requires="wps">
            <w:drawing>
              <wp:anchor distT="0" distB="0" distL="0" distR="0" simplePos="0" relativeHeight="6448" behindDoc="0" locked="0" layoutInCell="1" allowOverlap="1" wp14:anchorId="4EE12119" wp14:editId="1B9481CB">
                <wp:simplePos x="0" y="0"/>
                <wp:positionH relativeFrom="page">
                  <wp:posOffset>539750</wp:posOffset>
                </wp:positionH>
                <wp:positionV relativeFrom="paragraph">
                  <wp:posOffset>171450</wp:posOffset>
                </wp:positionV>
                <wp:extent cx="1080135" cy="0"/>
                <wp:effectExtent l="6350" t="19050" r="31115" b="19050"/>
                <wp:wrapTopAndBottom/>
                <wp:docPr id="1027"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8F3DD" id="Line_x0020_1026" o:spid="_x0000_s1026" style="position:absolute;z-index: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5pt" to="127.5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" strokecolor="#231f20" strokeweight=".5pt">
                <w10:wrap type="topAndBottom" anchorx="page"/>
              </v:line>
            </w:pict>
          </mc:Fallback>
        </mc:AlternateContent>
      </w:r>
    </w:p>
    <w:p w14:paraId="07C0E31D" w14:textId="77777777" w:rsidR="00DE575E" w:rsidRDefault="002E7560">
      <w:pPr>
        <w:spacing w:line="204" w:lineRule="auto"/>
        <w:ind w:left="250" w:right="413"/>
        <w:jc w:val="both"/>
        <w:rPr>
          <w:sz w:val="16"/>
        </w:rPr>
      </w:pPr>
      <w:r>
        <w:rPr>
          <w:color w:val="231F20"/>
          <w:position w:val="5"/>
          <w:sz w:val="9"/>
        </w:rPr>
        <w:t xml:space="preserve">1 </w:t>
      </w:r>
      <w:r>
        <w:rPr>
          <w:color w:val="231F20"/>
          <w:sz w:val="16"/>
        </w:rPr>
        <w:t>Про практику застосування адміністративними судами законодавства України про доступ до публічної інформації : Постанова Пленуму Вищого адміністративного суду України від 29.09.2016 № 10.</w:t>
      </w:r>
    </w:p>
    <w:p w14:paraId="0DD58470" w14:textId="77777777" w:rsidR="00DE575E" w:rsidRDefault="00DE575E">
      <w:pPr>
        <w:pStyle w:val="BodyText"/>
        <w:spacing w:before="2"/>
        <w:rPr>
          <w:sz w:val="12"/>
        </w:rPr>
      </w:pPr>
    </w:p>
    <w:p w14:paraId="5346794E" w14:textId="77777777" w:rsidR="00DE575E" w:rsidRDefault="002E7560">
      <w:pPr>
        <w:spacing w:before="92"/>
        <w:ind w:right="411"/>
        <w:jc w:val="right"/>
        <w:rPr>
          <w:rFonts w:ascii="Times New Roman"/>
          <w:sz w:val="20"/>
        </w:rPr>
      </w:pPr>
      <w:r>
        <w:rPr>
          <w:rFonts w:ascii="Times New Roman"/>
          <w:color w:val="231F20"/>
          <w:w w:val="90"/>
          <w:sz w:val="20"/>
        </w:rPr>
        <w:t>155</w:t>
      </w:r>
    </w:p>
    <w:p w14:paraId="51A87D2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7D6168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B2A7528" w14:textId="08DFB01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DBF9566" wp14:editId="664F3CE3">
                <wp:extent cx="4140200" cy="6350"/>
                <wp:effectExtent l="0" t="0" r="12700" b="6350"/>
                <wp:docPr id="1025"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26" name="Line 10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DAF027" id="Group_x0020_10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9uH5RgAIAAJwFAAAO&#10;AAAAAAAAAAAAAAAAACwCAABkcnMvZTJvRG9jLnhtbFBLAQItABQABgAIAAAAIQBMp7CQ2QAAAAMB&#10;AAAPAAAAAAAAAAAAAAAAANgEAABkcnMvZG93bnJldi54bWxQSwUGAAAAAAQABADzAAAA3gUAAAAA&#10;">
                <v:line id="Line_x0020_10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YvCMQAAADdAAAADwAAAGRycy9kb3ducmV2LnhtbERPzYrCMBC+L/gOYYS9LJqugkg1iggL&#10;4kFd6wOMzdgWk0ltou3u02+EBW/z8f3OfNlZIx7U+Mqxgs9hAoI4d7riQsEp+xpMQfiArNE4JgU/&#10;5GG56L3NMdWu5W96HEMhYgj7FBWUIdSplD4vyaIfupo4chfXWAwRNoXUDbYx3Bo5SpKJtFhxbCix&#10;pnVJ+fV4twqy20cwh/3WtNn+PJbn2278e98p9d7vVjMQgbrwEv+7NzrOT0YTeH4TT5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li8IxAAAAN0AAAAPAAAAAAAAAAAA&#10;AAAAAKECAABkcnMvZG93bnJldi54bWxQSwUGAAAAAAQABAD5AAAAkgMAAAAA&#10;" strokecolor="#231f20" strokeweight=".5pt"/>
                <w10:anchorlock/>
              </v:group>
            </w:pict>
          </mc:Fallback>
        </mc:AlternateContent>
      </w:r>
    </w:p>
    <w:p w14:paraId="26DD6A02" w14:textId="77777777" w:rsidR="00DE575E" w:rsidRDefault="00DE575E">
      <w:pPr>
        <w:pStyle w:val="BodyText"/>
        <w:spacing w:before="7"/>
        <w:rPr>
          <w:rFonts w:ascii="AdonisC"/>
          <w:i/>
          <w:sz w:val="11"/>
        </w:rPr>
      </w:pPr>
    </w:p>
    <w:p w14:paraId="1738868D" w14:textId="77777777" w:rsidR="00DE575E" w:rsidRDefault="002E7560">
      <w:pPr>
        <w:pStyle w:val="BodyText"/>
        <w:spacing w:before="101" w:line="252" w:lineRule="auto"/>
        <w:ind w:left="533" w:right="128"/>
        <w:jc w:val="both"/>
      </w:pPr>
      <w:r>
        <w:rPr>
          <w:color w:val="231F20"/>
        </w:rPr>
        <w:t>у п’ятиденний строк мусить відповісти по суті запиту, а також пові- домити запитувача, що решта питань розглядатимуться як звер- нення згідно із Законом України «Про звернення громадян».</w:t>
      </w:r>
    </w:p>
    <w:p w14:paraId="6E8E8F0F" w14:textId="77777777" w:rsidR="00DE575E" w:rsidRDefault="002E7560">
      <w:pPr>
        <w:pStyle w:val="BodyText"/>
        <w:spacing w:before="1" w:line="252" w:lineRule="auto"/>
        <w:ind w:left="533" w:right="128" w:firstLine="283"/>
        <w:jc w:val="both"/>
      </w:pPr>
      <w:r>
        <w:rPr>
          <w:color w:val="231F20"/>
        </w:rPr>
        <w:t>Найбільш в</w:t>
      </w:r>
      <w:r>
        <w:rPr>
          <w:color w:val="231F20"/>
        </w:rPr>
        <w:t>икористовуваним видом звернення є саме скарга. Подання скарг громадянами передбачає початок процедури оскар- ження рішень, дій чи бездіяльності посадових осіб державних орга- нів, інших суб’єктів при здійсненні ними владних управлінських функцій – безпосер</w:t>
      </w:r>
      <w:r>
        <w:rPr>
          <w:color w:val="231F20"/>
        </w:rPr>
        <w:t>едньо до них самих чи до вищих за ієрархією адміністративних органів.</w:t>
      </w:r>
    </w:p>
    <w:p w14:paraId="6E13295C" w14:textId="77777777" w:rsidR="00DE575E" w:rsidRDefault="002E7560">
      <w:pPr>
        <w:pStyle w:val="BodyText"/>
        <w:spacing w:before="3" w:line="252" w:lineRule="auto"/>
        <w:ind w:left="533" w:right="127" w:firstLine="283"/>
        <w:jc w:val="both"/>
      </w:pPr>
      <w:r>
        <w:rPr>
          <w:color w:val="231F20"/>
        </w:rPr>
        <w:t>Означені форми звернень не потребують ведення окремого обліку, окремого порядку реагування на кожне з них. Важливість існування різних форм пов’язується з їх змістовою відмінністю, конкр</w:t>
      </w:r>
      <w:r>
        <w:rPr>
          <w:color w:val="231F20"/>
        </w:rPr>
        <w:t>етною адресністю.</w:t>
      </w:r>
    </w:p>
    <w:p w14:paraId="70269273" w14:textId="77777777" w:rsidR="00DE575E" w:rsidRDefault="002E7560">
      <w:pPr>
        <w:pStyle w:val="BodyText"/>
        <w:spacing w:before="2" w:line="252" w:lineRule="auto"/>
        <w:ind w:left="533" w:right="127" w:firstLine="283"/>
        <w:jc w:val="both"/>
      </w:pPr>
      <w:r>
        <w:rPr>
          <w:color w:val="231F20"/>
        </w:rPr>
        <w:t>Окремі форми звернень доповнюють, а не виключають одне одного. Так, пропозиція або зауваження можуть включати думки громадян щодо будь-якої сфери діяльності держави й суспільства. Зазвичай у пропозиції відбито власні спостереження, індиві</w:t>
      </w:r>
      <w:r>
        <w:rPr>
          <w:color w:val="231F20"/>
        </w:rPr>
        <w:t>дуальну практику її автора, порушуються проблеми державного і громад- ського життя із зазначенням помилок у їх вирішенні, яких припус- каються конкретні органи, а також пропонуються шляхи і способи вирішення цих проблем. Пропозиціям громадян приділено не т</w:t>
      </w:r>
      <w:r>
        <w:rPr>
          <w:color w:val="231F20"/>
        </w:rPr>
        <w:t>ак багато уваги, як тим же скаргам. Водночас пропозиції є безпосеред- ньою можливістю для громадян брати участь у публічному управ- лінні, вносити свої побажання, зауваження та загалом впливати на представників публічної влади.</w:t>
      </w:r>
    </w:p>
    <w:p w14:paraId="12CD3280" w14:textId="77777777" w:rsidR="00DE575E" w:rsidRDefault="002E7560">
      <w:pPr>
        <w:pStyle w:val="BodyText"/>
        <w:spacing w:before="6" w:line="252" w:lineRule="auto"/>
        <w:ind w:left="533" w:right="127" w:firstLine="283"/>
        <w:jc w:val="both"/>
      </w:pPr>
      <w:r>
        <w:rPr>
          <w:i/>
          <w:color w:val="231F20"/>
        </w:rPr>
        <w:t xml:space="preserve">Заява </w:t>
      </w:r>
      <w:r>
        <w:rPr>
          <w:color w:val="231F20"/>
        </w:rPr>
        <w:t xml:space="preserve">або </w:t>
      </w:r>
      <w:r>
        <w:rPr>
          <w:i/>
          <w:color w:val="231F20"/>
        </w:rPr>
        <w:t xml:space="preserve">клопотання </w:t>
      </w:r>
      <w:r>
        <w:rPr>
          <w:color w:val="231F20"/>
        </w:rPr>
        <w:t xml:space="preserve">здебільшого пов’язані з порушенням чинного законодавства, недоліками діяльності підприємств, уста- нов, організацій незалежно від форм власності, народних депутатів </w:t>
      </w:r>
      <w:r>
        <w:rPr>
          <w:color w:val="231F20"/>
          <w:spacing w:val="-3"/>
        </w:rPr>
        <w:t xml:space="preserve">України, </w:t>
      </w:r>
      <w:r>
        <w:rPr>
          <w:color w:val="231F20"/>
        </w:rPr>
        <w:t>депутатів місцевих рад, службових осіб і містять власні ідеї, думки, пропозиції що</w:t>
      </w:r>
      <w:r>
        <w:rPr>
          <w:color w:val="231F20"/>
        </w:rPr>
        <w:t>до поліпшення діяльності адресатів звернень.</w:t>
      </w:r>
    </w:p>
    <w:p w14:paraId="6517218E" w14:textId="77777777" w:rsidR="00DE575E" w:rsidRDefault="002E7560">
      <w:pPr>
        <w:pStyle w:val="BodyText"/>
        <w:spacing w:before="2" w:line="252" w:lineRule="auto"/>
        <w:ind w:left="533" w:right="125" w:firstLine="283"/>
        <w:jc w:val="both"/>
      </w:pPr>
      <w:r>
        <w:rPr>
          <w:color w:val="231F20"/>
        </w:rPr>
        <w:t xml:space="preserve">У </w:t>
      </w:r>
      <w:r>
        <w:rPr>
          <w:i/>
          <w:color w:val="231F20"/>
        </w:rPr>
        <w:t xml:space="preserve">скарзі </w:t>
      </w:r>
      <w:r>
        <w:rPr>
          <w:color w:val="231F20"/>
        </w:rPr>
        <w:t>зазначаються порушення особистого права громадя- нина, обґрунтовуються вимоги про скасування рішення, яким право порушено, про притягнення до  відповідальності  службо-  вих осіб, які ухвалили таке ріше</w:t>
      </w:r>
      <w:r>
        <w:rPr>
          <w:color w:val="231F20"/>
        </w:rPr>
        <w:t>ння. Право вибору виду звернення належить його</w:t>
      </w:r>
      <w:r>
        <w:rPr>
          <w:color w:val="231F20"/>
          <w:spacing w:val="7"/>
        </w:rPr>
        <w:t xml:space="preserve"> </w:t>
      </w:r>
      <w:r>
        <w:rPr>
          <w:color w:val="231F20"/>
        </w:rPr>
        <w:t>автору.</w:t>
      </w:r>
    </w:p>
    <w:p w14:paraId="436F223F" w14:textId="77777777" w:rsidR="00DE575E" w:rsidRDefault="002E7560">
      <w:pPr>
        <w:pStyle w:val="BodyText"/>
        <w:spacing w:before="3" w:line="252" w:lineRule="auto"/>
        <w:ind w:left="533" w:right="127" w:firstLine="283"/>
        <w:jc w:val="both"/>
      </w:pPr>
      <w:r>
        <w:rPr>
          <w:i/>
          <w:color w:val="231F20"/>
        </w:rPr>
        <w:t xml:space="preserve">Звернення </w:t>
      </w:r>
      <w:r>
        <w:rPr>
          <w:color w:val="231F20"/>
        </w:rPr>
        <w:t>громадян (скарги) можуть стосуватися дій (рішень) публічної</w:t>
      </w:r>
      <w:r>
        <w:rPr>
          <w:color w:val="231F20"/>
          <w:spacing w:val="-22"/>
        </w:rPr>
        <w:t xml:space="preserve"> </w:t>
      </w:r>
      <w:r>
        <w:rPr>
          <w:color w:val="231F20"/>
        </w:rPr>
        <w:t>адміністрації,</w:t>
      </w:r>
      <w:r>
        <w:rPr>
          <w:color w:val="231F20"/>
          <w:spacing w:val="-22"/>
        </w:rPr>
        <w:t xml:space="preserve"> </w:t>
      </w:r>
      <w:r>
        <w:rPr>
          <w:color w:val="231F20"/>
        </w:rPr>
        <w:t>внаслідок</w:t>
      </w:r>
      <w:r>
        <w:rPr>
          <w:color w:val="231F20"/>
          <w:spacing w:val="-22"/>
        </w:rPr>
        <w:t xml:space="preserve"> </w:t>
      </w:r>
      <w:r>
        <w:rPr>
          <w:color w:val="231F20"/>
        </w:rPr>
        <w:t>яких</w:t>
      </w:r>
      <w:r>
        <w:rPr>
          <w:color w:val="231F20"/>
          <w:spacing w:val="-22"/>
        </w:rPr>
        <w:t xml:space="preserve"> </w:t>
      </w:r>
      <w:r>
        <w:rPr>
          <w:color w:val="231F20"/>
        </w:rPr>
        <w:t>порушуються</w:t>
      </w:r>
      <w:r>
        <w:rPr>
          <w:color w:val="231F20"/>
          <w:spacing w:val="-22"/>
        </w:rPr>
        <w:t xml:space="preserve"> </w:t>
      </w:r>
      <w:r>
        <w:rPr>
          <w:color w:val="231F20"/>
        </w:rPr>
        <w:t>права</w:t>
      </w:r>
      <w:r>
        <w:rPr>
          <w:color w:val="231F20"/>
          <w:spacing w:val="-22"/>
        </w:rPr>
        <w:t xml:space="preserve"> </w:t>
      </w:r>
      <w:r>
        <w:rPr>
          <w:color w:val="231F20"/>
        </w:rPr>
        <w:t>й</w:t>
      </w:r>
      <w:r>
        <w:rPr>
          <w:color w:val="231F20"/>
          <w:spacing w:val="-22"/>
        </w:rPr>
        <w:t xml:space="preserve"> </w:t>
      </w:r>
      <w:r>
        <w:rPr>
          <w:color w:val="231F20"/>
        </w:rPr>
        <w:t>законні інтереси чи свободи громадянина (групи громадян);  створю-  ються</w:t>
      </w:r>
      <w:r>
        <w:rPr>
          <w:color w:val="231F20"/>
          <w:spacing w:val="10"/>
        </w:rPr>
        <w:t xml:space="preserve"> </w:t>
      </w:r>
      <w:r>
        <w:rPr>
          <w:color w:val="231F20"/>
        </w:rPr>
        <w:t>перешкоди</w:t>
      </w:r>
      <w:r>
        <w:rPr>
          <w:color w:val="231F20"/>
          <w:spacing w:val="10"/>
        </w:rPr>
        <w:t xml:space="preserve"> </w:t>
      </w:r>
      <w:r>
        <w:rPr>
          <w:color w:val="231F20"/>
        </w:rPr>
        <w:t>у</w:t>
      </w:r>
      <w:r>
        <w:rPr>
          <w:color w:val="231F20"/>
          <w:spacing w:val="10"/>
        </w:rPr>
        <w:t xml:space="preserve"> </w:t>
      </w:r>
      <w:r>
        <w:rPr>
          <w:color w:val="231F20"/>
        </w:rPr>
        <w:t>здійсненні</w:t>
      </w:r>
      <w:r>
        <w:rPr>
          <w:color w:val="231F20"/>
          <w:spacing w:val="10"/>
        </w:rPr>
        <w:t xml:space="preserve"> </w:t>
      </w:r>
      <w:r>
        <w:rPr>
          <w:color w:val="231F20"/>
        </w:rPr>
        <w:t>громадянином</w:t>
      </w:r>
      <w:r>
        <w:rPr>
          <w:color w:val="231F20"/>
          <w:spacing w:val="10"/>
        </w:rPr>
        <w:t xml:space="preserve"> </w:t>
      </w:r>
      <w:r>
        <w:rPr>
          <w:color w:val="231F20"/>
        </w:rPr>
        <w:t>його</w:t>
      </w:r>
      <w:r>
        <w:rPr>
          <w:color w:val="231F20"/>
          <w:spacing w:val="10"/>
        </w:rPr>
        <w:t xml:space="preserve"> </w:t>
      </w:r>
      <w:r>
        <w:rPr>
          <w:color w:val="231F20"/>
        </w:rPr>
        <w:t>прав</w:t>
      </w:r>
      <w:r>
        <w:rPr>
          <w:color w:val="231F20"/>
          <w:spacing w:val="10"/>
        </w:rPr>
        <w:t xml:space="preserve"> </w:t>
      </w:r>
      <w:r>
        <w:rPr>
          <w:color w:val="231F20"/>
        </w:rPr>
        <w:t>і</w:t>
      </w:r>
      <w:r>
        <w:rPr>
          <w:color w:val="231F20"/>
          <w:spacing w:val="10"/>
        </w:rPr>
        <w:t xml:space="preserve"> </w:t>
      </w:r>
      <w:r>
        <w:rPr>
          <w:color w:val="231F20"/>
        </w:rPr>
        <w:t>законних</w:t>
      </w:r>
    </w:p>
    <w:p w14:paraId="1981A6AD" w14:textId="77777777" w:rsidR="00DE575E" w:rsidRDefault="00DE575E">
      <w:pPr>
        <w:pStyle w:val="BodyText"/>
        <w:spacing w:before="6"/>
        <w:rPr>
          <w:sz w:val="12"/>
        </w:rPr>
      </w:pPr>
    </w:p>
    <w:p w14:paraId="1DE401E2" w14:textId="77777777" w:rsidR="00DE575E" w:rsidRDefault="002E7560">
      <w:pPr>
        <w:spacing w:before="92"/>
        <w:ind w:left="533"/>
        <w:rPr>
          <w:rFonts w:ascii="Times New Roman"/>
          <w:sz w:val="20"/>
        </w:rPr>
      </w:pPr>
      <w:r>
        <w:rPr>
          <w:rFonts w:ascii="Times New Roman"/>
          <w:color w:val="231F20"/>
          <w:sz w:val="20"/>
        </w:rPr>
        <w:t>156</w:t>
      </w:r>
    </w:p>
    <w:p w14:paraId="4F28F612" w14:textId="77777777" w:rsidR="00DE575E" w:rsidRDefault="00DE575E">
      <w:pPr>
        <w:rPr>
          <w:rFonts w:ascii="Times New Roman"/>
          <w:sz w:val="20"/>
        </w:rPr>
        <w:sectPr w:rsidR="00DE575E">
          <w:pgSz w:w="8510" w:h="12760"/>
          <w:pgMar w:top="660" w:right="720" w:bottom="280" w:left="600" w:header="720" w:footer="720" w:gutter="0"/>
          <w:cols w:space="720"/>
        </w:sectPr>
      </w:pPr>
    </w:p>
    <w:p w14:paraId="7174E881" w14:textId="77777777" w:rsidR="00DE575E" w:rsidRDefault="002E7560">
      <w:pPr>
        <w:spacing w:before="72" w:line="249" w:lineRule="auto"/>
        <w:ind w:left="1683" w:right="411" w:firstLine="1746"/>
        <w:jc w:val="right"/>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2D088025" w14:textId="507979B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61799F0" wp14:editId="667C7AA2">
                <wp:extent cx="4140200" cy="6350"/>
                <wp:effectExtent l="0" t="0" r="12700" b="6350"/>
                <wp:docPr id="1023"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24" name="Line 102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CCA2BF" id="Group_x0020_102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ZUrsN/AgAAnAUAAA4A&#10;AAAAAAAAAAAAAAAALAIAAGRycy9lMm9Eb2MueG1sUEsBAi0AFAAGAAgAAAAhAEynsJDZAAAAAwEA&#10;AA8AAAAAAAAAAAAAAAAA1wQAAGRycy9kb3ducmV2LnhtbFBLBQYAAAAABAAEAPMAAADdBQAAAAA=&#10;">
                <v:line id="Line_x0020_102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gU5MUAAADdAAAADwAAAGRycy9kb3ducmV2LnhtbERPzWrCQBC+C77DMgUvpdlUi5SYVaRQ&#10;KB60Gh9gzI5J6O5szK4m7dN3CwVv8/H9Tr4arBE36nzjWMFzkoIgLp1uuFJwLN6fXkH4gKzROCYF&#10;3+RhtRyPcsy063lPt0OoRAxhn6GCOoQ2k9KXNVn0iWuJI3d2ncUQYVdJ3WEfw62R0zSdS4sNx4Ya&#10;W3qrqfw6XK2C4vIYzOduY/pid5rJ02U7+7lulZo8DOsFiEBDuIv/3R86zk+nL/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gU5MUAAADdAAAADwAAAAAAAAAA&#10;AAAAAAChAgAAZHJzL2Rvd25yZXYueG1sUEsFBgAAAAAEAAQA+QAAAJMDAAAAAA==&#10;" strokecolor="#231f20" strokeweight=".5pt"/>
                <w10:anchorlock/>
              </v:group>
            </w:pict>
          </mc:Fallback>
        </mc:AlternateContent>
      </w:r>
    </w:p>
    <w:p w14:paraId="3A28D8D8" w14:textId="77777777" w:rsidR="00DE575E" w:rsidRDefault="00DE575E">
      <w:pPr>
        <w:pStyle w:val="BodyText"/>
        <w:spacing w:before="7"/>
        <w:rPr>
          <w:rFonts w:ascii="AdonisC"/>
          <w:i/>
          <w:sz w:val="19"/>
        </w:rPr>
      </w:pPr>
    </w:p>
    <w:p w14:paraId="4C13A24C" w14:textId="77777777" w:rsidR="00DE575E" w:rsidRDefault="002E7560">
      <w:pPr>
        <w:pStyle w:val="BodyText"/>
        <w:spacing w:before="1" w:line="252" w:lineRule="auto"/>
        <w:ind w:left="250" w:right="407"/>
        <w:jc w:val="both"/>
      </w:pPr>
      <w:r>
        <w:rPr>
          <w:color w:val="231F20"/>
        </w:rPr>
        <w:t>інтересів чи свобод; незаконно накладаються на громадянина які-небудь обов’язки або його незаконно притягнуто до відпові- дальності.</w:t>
      </w:r>
    </w:p>
    <w:p w14:paraId="2846108F" w14:textId="77777777" w:rsidR="00DE575E" w:rsidRDefault="002E7560">
      <w:pPr>
        <w:pStyle w:val="BodyText"/>
        <w:spacing w:before="1" w:line="252" w:lineRule="auto"/>
        <w:ind w:left="250" w:right="410" w:firstLine="283"/>
        <w:jc w:val="both"/>
      </w:pPr>
      <w:r>
        <w:rPr>
          <w:color w:val="231F20"/>
        </w:rPr>
        <w:t>У зверненні обов’язково має бути зазначено прізвище, ім’я, по батькові, місце проживання громадянина, викладено сутність по</w:t>
      </w:r>
      <w:r>
        <w:rPr>
          <w:color w:val="231F20"/>
        </w:rPr>
        <w:t>ру- шеного питання, зауваження, пропозиції, заяви чи скарги, прохання чи вимоги.</w:t>
      </w:r>
    </w:p>
    <w:p w14:paraId="22F5F459" w14:textId="77777777" w:rsidR="00DE575E" w:rsidRDefault="002E7560">
      <w:pPr>
        <w:pStyle w:val="BodyText"/>
        <w:spacing w:before="2" w:line="252" w:lineRule="auto"/>
        <w:ind w:left="250" w:right="408" w:firstLine="283"/>
        <w:jc w:val="both"/>
      </w:pPr>
      <w:r>
        <w:rPr>
          <w:color w:val="231F20"/>
        </w:rPr>
        <w:t xml:space="preserve">Письмове звернення має бути підписано заявником (заявни- ками) із зазначенням дати. В електронному зверненні також має бути зазначено електронну поштову </w:t>
      </w:r>
      <w:r>
        <w:rPr>
          <w:color w:val="231F20"/>
          <w:spacing w:val="-4"/>
        </w:rPr>
        <w:t xml:space="preserve">адресу, </w:t>
      </w:r>
      <w:r>
        <w:rPr>
          <w:color w:val="231F20"/>
        </w:rPr>
        <w:t>на яку заявнику може бути надіслано відповідь, або відомості про інші засоби зв’язку з ним.</w:t>
      </w:r>
      <w:r>
        <w:rPr>
          <w:color w:val="231F20"/>
          <w:spacing w:val="-8"/>
        </w:rPr>
        <w:t xml:space="preserve"> </w:t>
      </w:r>
      <w:r>
        <w:rPr>
          <w:color w:val="231F20"/>
        </w:rPr>
        <w:t>Застосування</w:t>
      </w:r>
      <w:r>
        <w:rPr>
          <w:color w:val="231F20"/>
          <w:spacing w:val="-8"/>
        </w:rPr>
        <w:t xml:space="preserve"> </w:t>
      </w:r>
      <w:r>
        <w:rPr>
          <w:color w:val="231F20"/>
        </w:rPr>
        <w:t>електронного</w:t>
      </w:r>
      <w:r>
        <w:rPr>
          <w:color w:val="231F20"/>
          <w:spacing w:val="-8"/>
        </w:rPr>
        <w:t xml:space="preserve"> </w:t>
      </w:r>
      <w:r>
        <w:rPr>
          <w:color w:val="231F20"/>
        </w:rPr>
        <w:t>цифрового</w:t>
      </w:r>
      <w:r>
        <w:rPr>
          <w:color w:val="231F20"/>
          <w:spacing w:val="-8"/>
        </w:rPr>
        <w:t xml:space="preserve"> </w:t>
      </w:r>
      <w:r>
        <w:rPr>
          <w:color w:val="231F20"/>
        </w:rPr>
        <w:t>підпису</w:t>
      </w:r>
      <w:r>
        <w:rPr>
          <w:color w:val="231F20"/>
          <w:spacing w:val="-8"/>
        </w:rPr>
        <w:t xml:space="preserve"> </w:t>
      </w:r>
      <w:r>
        <w:rPr>
          <w:color w:val="231F20"/>
        </w:rPr>
        <w:t>при</w:t>
      </w:r>
      <w:r>
        <w:rPr>
          <w:color w:val="231F20"/>
          <w:spacing w:val="-8"/>
        </w:rPr>
        <w:t xml:space="preserve"> </w:t>
      </w:r>
      <w:r>
        <w:rPr>
          <w:color w:val="231F20"/>
        </w:rPr>
        <w:t>надсиланні електронного звернення не</w:t>
      </w:r>
      <w:r>
        <w:rPr>
          <w:color w:val="231F20"/>
          <w:spacing w:val="-2"/>
        </w:rPr>
        <w:t xml:space="preserve"> </w:t>
      </w:r>
      <w:r>
        <w:rPr>
          <w:color w:val="231F20"/>
        </w:rPr>
        <w:t>вимагається.</w:t>
      </w:r>
    </w:p>
    <w:p w14:paraId="50ABCF3A" w14:textId="77777777" w:rsidR="00DE575E" w:rsidRDefault="002E7560">
      <w:pPr>
        <w:pStyle w:val="BodyText"/>
        <w:spacing w:before="3" w:line="252" w:lineRule="auto"/>
        <w:ind w:left="250" w:right="411" w:firstLine="283"/>
        <w:jc w:val="both"/>
      </w:pPr>
      <w:r>
        <w:rPr>
          <w:color w:val="231F20"/>
        </w:rPr>
        <w:t xml:space="preserve">Звернення, оформлене без дотримання зазначених </w:t>
      </w:r>
      <w:r>
        <w:rPr>
          <w:color w:val="231F20"/>
          <w:spacing w:val="-3"/>
        </w:rPr>
        <w:t xml:space="preserve">вимог, </w:t>
      </w:r>
      <w:r>
        <w:rPr>
          <w:color w:val="231F20"/>
        </w:rPr>
        <w:t>повер- таєть</w:t>
      </w:r>
      <w:r>
        <w:rPr>
          <w:color w:val="231F20"/>
        </w:rPr>
        <w:t>ся заявнику з відповідними роз’ясненнями не пізніш як через десять днів від дня його надходження.</w:t>
      </w:r>
    </w:p>
    <w:p w14:paraId="6A39B631" w14:textId="77777777" w:rsidR="00DE575E" w:rsidRDefault="002E7560">
      <w:pPr>
        <w:pStyle w:val="BodyText"/>
        <w:spacing w:before="2" w:line="252" w:lineRule="auto"/>
        <w:ind w:left="250" w:right="411" w:firstLine="283"/>
        <w:jc w:val="both"/>
      </w:pPr>
      <w:r>
        <w:rPr>
          <w:color w:val="231F20"/>
        </w:rPr>
        <w:t>Якщо звернення, оформлені належним чином і подані у вста- новленому порядку, вони підлягають обов’язковому прийняттю та розгляду.</w:t>
      </w:r>
    </w:p>
    <w:p w14:paraId="430F52A3" w14:textId="77777777" w:rsidR="00DE575E" w:rsidRDefault="002E7560">
      <w:pPr>
        <w:pStyle w:val="BodyText"/>
        <w:spacing w:before="1" w:line="252" w:lineRule="auto"/>
        <w:ind w:left="250" w:right="409" w:firstLine="283"/>
        <w:jc w:val="right"/>
      </w:pPr>
      <w:r>
        <w:rPr>
          <w:color w:val="231F20"/>
        </w:rPr>
        <w:t>Забороняється</w:t>
      </w:r>
      <w:r>
        <w:rPr>
          <w:color w:val="231F20"/>
          <w:spacing w:val="-8"/>
        </w:rPr>
        <w:t xml:space="preserve"> </w:t>
      </w:r>
      <w:r>
        <w:rPr>
          <w:color w:val="231F20"/>
        </w:rPr>
        <w:t>відмова</w:t>
      </w:r>
      <w:r>
        <w:rPr>
          <w:color w:val="231F20"/>
          <w:spacing w:val="-8"/>
        </w:rPr>
        <w:t xml:space="preserve"> </w:t>
      </w:r>
      <w:r>
        <w:rPr>
          <w:color w:val="231F20"/>
        </w:rPr>
        <w:t>в</w:t>
      </w:r>
      <w:r>
        <w:rPr>
          <w:color w:val="231F20"/>
          <w:spacing w:val="-8"/>
        </w:rPr>
        <w:t xml:space="preserve"> </w:t>
      </w:r>
      <w:r>
        <w:rPr>
          <w:color w:val="231F20"/>
        </w:rPr>
        <w:t>прий</w:t>
      </w:r>
      <w:r>
        <w:rPr>
          <w:color w:val="231F20"/>
        </w:rPr>
        <w:t>нятті</w:t>
      </w:r>
      <w:r>
        <w:rPr>
          <w:color w:val="231F20"/>
          <w:spacing w:val="-8"/>
        </w:rPr>
        <w:t xml:space="preserve"> </w:t>
      </w:r>
      <w:r>
        <w:rPr>
          <w:color w:val="231F20"/>
        </w:rPr>
        <w:t>та</w:t>
      </w:r>
      <w:r>
        <w:rPr>
          <w:color w:val="231F20"/>
          <w:spacing w:val="-8"/>
        </w:rPr>
        <w:t xml:space="preserve"> </w:t>
      </w:r>
      <w:r>
        <w:rPr>
          <w:color w:val="231F20"/>
          <w:spacing w:val="-3"/>
        </w:rPr>
        <w:t>розгляді</w:t>
      </w:r>
      <w:r>
        <w:rPr>
          <w:color w:val="231F20"/>
          <w:spacing w:val="-8"/>
        </w:rPr>
        <w:t xml:space="preserve"> </w:t>
      </w:r>
      <w:r>
        <w:rPr>
          <w:color w:val="231F20"/>
        </w:rPr>
        <w:t>звернення</w:t>
      </w:r>
      <w:r>
        <w:rPr>
          <w:color w:val="231F20"/>
          <w:spacing w:val="-8"/>
        </w:rPr>
        <w:t xml:space="preserve"> </w:t>
      </w:r>
      <w:r>
        <w:rPr>
          <w:color w:val="231F20"/>
        </w:rPr>
        <w:t>з</w:t>
      </w:r>
      <w:r>
        <w:rPr>
          <w:color w:val="231F20"/>
          <w:spacing w:val="-8"/>
        </w:rPr>
        <w:t xml:space="preserve"> </w:t>
      </w:r>
      <w:r>
        <w:rPr>
          <w:color w:val="231F20"/>
        </w:rPr>
        <w:t>поси- ланням</w:t>
      </w:r>
      <w:r>
        <w:rPr>
          <w:color w:val="231F20"/>
          <w:spacing w:val="8"/>
        </w:rPr>
        <w:t xml:space="preserve"> </w:t>
      </w:r>
      <w:r>
        <w:rPr>
          <w:color w:val="231F20"/>
        </w:rPr>
        <w:t>на</w:t>
      </w:r>
      <w:r>
        <w:rPr>
          <w:color w:val="231F20"/>
          <w:spacing w:val="8"/>
        </w:rPr>
        <w:t xml:space="preserve"> </w:t>
      </w:r>
      <w:r>
        <w:rPr>
          <w:color w:val="231F20"/>
        </w:rPr>
        <w:t>політичні</w:t>
      </w:r>
      <w:r>
        <w:rPr>
          <w:color w:val="231F20"/>
          <w:spacing w:val="8"/>
        </w:rPr>
        <w:t xml:space="preserve"> </w:t>
      </w:r>
      <w:r>
        <w:rPr>
          <w:color w:val="231F20"/>
        </w:rPr>
        <w:t>погляди,</w:t>
      </w:r>
      <w:r>
        <w:rPr>
          <w:color w:val="231F20"/>
          <w:spacing w:val="8"/>
        </w:rPr>
        <w:t xml:space="preserve"> </w:t>
      </w:r>
      <w:r>
        <w:rPr>
          <w:color w:val="231F20"/>
        </w:rPr>
        <w:t>партійну</w:t>
      </w:r>
      <w:r>
        <w:rPr>
          <w:color w:val="231F20"/>
          <w:spacing w:val="8"/>
        </w:rPr>
        <w:t xml:space="preserve"> </w:t>
      </w:r>
      <w:r>
        <w:rPr>
          <w:color w:val="231F20"/>
        </w:rPr>
        <w:t>належність,</w:t>
      </w:r>
      <w:r>
        <w:rPr>
          <w:color w:val="231F20"/>
          <w:spacing w:val="8"/>
        </w:rPr>
        <w:t xml:space="preserve"> </w:t>
      </w:r>
      <w:r>
        <w:rPr>
          <w:color w:val="231F20"/>
        </w:rPr>
        <w:t>стать,</w:t>
      </w:r>
      <w:r>
        <w:rPr>
          <w:color w:val="231F20"/>
          <w:spacing w:val="8"/>
        </w:rPr>
        <w:t xml:space="preserve"> </w:t>
      </w:r>
      <w:r>
        <w:rPr>
          <w:color w:val="231F20"/>
        </w:rPr>
        <w:t>вік,</w:t>
      </w:r>
      <w:r>
        <w:rPr>
          <w:color w:val="231F20"/>
          <w:spacing w:val="8"/>
        </w:rPr>
        <w:t xml:space="preserve"> </w:t>
      </w:r>
      <w:r>
        <w:rPr>
          <w:color w:val="231F20"/>
        </w:rPr>
        <w:t>віро- сповідання, національність громадянина, незнання</w:t>
      </w:r>
      <w:r>
        <w:rPr>
          <w:color w:val="231F20"/>
          <w:spacing w:val="-34"/>
        </w:rPr>
        <w:t xml:space="preserve"> </w:t>
      </w:r>
      <w:r>
        <w:rPr>
          <w:color w:val="231F20"/>
        </w:rPr>
        <w:t>мови</w:t>
      </w:r>
      <w:r>
        <w:rPr>
          <w:color w:val="231F20"/>
          <w:spacing w:val="-9"/>
        </w:rPr>
        <w:t xml:space="preserve"> </w:t>
      </w:r>
      <w:r>
        <w:rPr>
          <w:color w:val="231F20"/>
        </w:rPr>
        <w:t>звернення. Якщо</w:t>
      </w:r>
      <w:r>
        <w:rPr>
          <w:color w:val="231F20"/>
          <w:spacing w:val="-12"/>
        </w:rPr>
        <w:t xml:space="preserve"> </w:t>
      </w:r>
      <w:r>
        <w:rPr>
          <w:color w:val="231F20"/>
        </w:rPr>
        <w:t>питання,</w:t>
      </w:r>
      <w:r>
        <w:rPr>
          <w:color w:val="231F20"/>
          <w:spacing w:val="-12"/>
        </w:rPr>
        <w:t xml:space="preserve"> </w:t>
      </w:r>
      <w:r>
        <w:rPr>
          <w:color w:val="231F20"/>
        </w:rPr>
        <w:t>порушені</w:t>
      </w:r>
      <w:r>
        <w:rPr>
          <w:color w:val="231F20"/>
          <w:spacing w:val="-12"/>
        </w:rPr>
        <w:t xml:space="preserve"> </w:t>
      </w:r>
      <w:r>
        <w:rPr>
          <w:color w:val="231F20"/>
        </w:rPr>
        <w:t>в</w:t>
      </w:r>
      <w:r>
        <w:rPr>
          <w:color w:val="231F20"/>
          <w:spacing w:val="-13"/>
        </w:rPr>
        <w:t xml:space="preserve"> </w:t>
      </w:r>
      <w:r>
        <w:rPr>
          <w:color w:val="231F20"/>
        </w:rPr>
        <w:t>одержаному</w:t>
      </w:r>
      <w:r>
        <w:rPr>
          <w:color w:val="231F20"/>
          <w:spacing w:val="-12"/>
        </w:rPr>
        <w:t xml:space="preserve"> </w:t>
      </w:r>
      <w:r>
        <w:rPr>
          <w:color w:val="231F20"/>
        </w:rPr>
        <w:t>органом</w:t>
      </w:r>
      <w:r>
        <w:rPr>
          <w:color w:val="231F20"/>
          <w:spacing w:val="-12"/>
        </w:rPr>
        <w:t xml:space="preserve"> </w:t>
      </w:r>
      <w:r>
        <w:rPr>
          <w:color w:val="231F20"/>
        </w:rPr>
        <w:t>державної</w:t>
      </w:r>
      <w:r>
        <w:rPr>
          <w:color w:val="231F20"/>
          <w:spacing w:val="-12"/>
        </w:rPr>
        <w:t xml:space="preserve"> </w:t>
      </w:r>
      <w:r>
        <w:rPr>
          <w:color w:val="231F20"/>
        </w:rPr>
        <w:t>влади, місцевого самоврядування, підприємствами, установами,</w:t>
      </w:r>
      <w:r>
        <w:rPr>
          <w:color w:val="231F20"/>
          <w:spacing w:val="30"/>
        </w:rPr>
        <w:t xml:space="preserve"> </w:t>
      </w:r>
      <w:r>
        <w:rPr>
          <w:color w:val="231F20"/>
        </w:rPr>
        <w:t>органі- заціями незалежно від форм  власності,</w:t>
      </w:r>
      <w:r>
        <w:rPr>
          <w:color w:val="231F20"/>
          <w:spacing w:val="15"/>
        </w:rPr>
        <w:t xml:space="preserve"> </w:t>
      </w:r>
      <w:r>
        <w:rPr>
          <w:color w:val="231F20"/>
          <w:spacing w:val="-3"/>
        </w:rPr>
        <w:t xml:space="preserve">об’єднаннями </w:t>
      </w:r>
      <w:r>
        <w:rPr>
          <w:color w:val="231F20"/>
          <w:spacing w:val="32"/>
        </w:rPr>
        <w:t xml:space="preserve"> </w:t>
      </w:r>
      <w:r>
        <w:rPr>
          <w:color w:val="231F20"/>
        </w:rPr>
        <w:t>громадян або</w:t>
      </w:r>
      <w:r>
        <w:rPr>
          <w:color w:val="231F20"/>
          <w:spacing w:val="18"/>
        </w:rPr>
        <w:t xml:space="preserve"> </w:t>
      </w:r>
      <w:r>
        <w:rPr>
          <w:color w:val="231F20"/>
        </w:rPr>
        <w:t>посадовими</w:t>
      </w:r>
      <w:r>
        <w:rPr>
          <w:color w:val="231F20"/>
          <w:spacing w:val="18"/>
        </w:rPr>
        <w:t xml:space="preserve"> </w:t>
      </w:r>
      <w:r>
        <w:rPr>
          <w:color w:val="231F20"/>
        </w:rPr>
        <w:t>особами</w:t>
      </w:r>
      <w:r>
        <w:rPr>
          <w:color w:val="231F20"/>
          <w:spacing w:val="18"/>
        </w:rPr>
        <w:t xml:space="preserve"> </w:t>
      </w:r>
      <w:r>
        <w:rPr>
          <w:color w:val="231F20"/>
        </w:rPr>
        <w:t>зверненні,</w:t>
      </w:r>
      <w:r>
        <w:rPr>
          <w:color w:val="231F20"/>
          <w:spacing w:val="17"/>
        </w:rPr>
        <w:t xml:space="preserve"> </w:t>
      </w:r>
      <w:r>
        <w:rPr>
          <w:color w:val="231F20"/>
        </w:rPr>
        <w:t>не</w:t>
      </w:r>
      <w:r>
        <w:rPr>
          <w:color w:val="231F20"/>
          <w:spacing w:val="18"/>
        </w:rPr>
        <w:t xml:space="preserve"> </w:t>
      </w:r>
      <w:r>
        <w:rPr>
          <w:color w:val="231F20"/>
        </w:rPr>
        <w:t>входять</w:t>
      </w:r>
      <w:r>
        <w:rPr>
          <w:color w:val="231F20"/>
          <w:spacing w:val="18"/>
        </w:rPr>
        <w:t xml:space="preserve"> </w:t>
      </w:r>
      <w:r>
        <w:rPr>
          <w:color w:val="231F20"/>
        </w:rPr>
        <w:t>до</w:t>
      </w:r>
      <w:r>
        <w:rPr>
          <w:color w:val="231F20"/>
          <w:spacing w:val="18"/>
        </w:rPr>
        <w:t xml:space="preserve"> </w:t>
      </w:r>
      <w:r>
        <w:rPr>
          <w:color w:val="231F20"/>
        </w:rPr>
        <w:t>їх</w:t>
      </w:r>
      <w:r>
        <w:rPr>
          <w:color w:val="231F20"/>
          <w:spacing w:val="18"/>
        </w:rPr>
        <w:t xml:space="preserve"> </w:t>
      </w:r>
      <w:r>
        <w:rPr>
          <w:color w:val="231F20"/>
        </w:rPr>
        <w:t>повноважень, воно</w:t>
      </w:r>
      <w:r>
        <w:rPr>
          <w:color w:val="231F20"/>
          <w:spacing w:val="23"/>
        </w:rPr>
        <w:t xml:space="preserve"> </w:t>
      </w:r>
      <w:r>
        <w:rPr>
          <w:color w:val="231F20"/>
        </w:rPr>
        <w:t>в</w:t>
      </w:r>
      <w:r>
        <w:rPr>
          <w:color w:val="231F20"/>
          <w:spacing w:val="23"/>
        </w:rPr>
        <w:t xml:space="preserve"> </w:t>
      </w:r>
      <w:r>
        <w:rPr>
          <w:color w:val="231F20"/>
        </w:rPr>
        <w:t>термін</w:t>
      </w:r>
      <w:r>
        <w:rPr>
          <w:color w:val="231F20"/>
          <w:spacing w:val="23"/>
        </w:rPr>
        <w:t xml:space="preserve"> </w:t>
      </w:r>
      <w:r>
        <w:rPr>
          <w:color w:val="231F20"/>
        </w:rPr>
        <w:t>не</w:t>
      </w:r>
      <w:r>
        <w:rPr>
          <w:color w:val="231F20"/>
          <w:spacing w:val="23"/>
        </w:rPr>
        <w:t xml:space="preserve"> </w:t>
      </w:r>
      <w:r>
        <w:rPr>
          <w:color w:val="231F20"/>
        </w:rPr>
        <w:t>більше</w:t>
      </w:r>
      <w:r>
        <w:rPr>
          <w:color w:val="231F20"/>
          <w:spacing w:val="23"/>
        </w:rPr>
        <w:t xml:space="preserve"> </w:t>
      </w:r>
      <w:r>
        <w:rPr>
          <w:color w:val="231F20"/>
        </w:rPr>
        <w:t>п’яти</w:t>
      </w:r>
      <w:r>
        <w:rPr>
          <w:color w:val="231F20"/>
          <w:spacing w:val="23"/>
        </w:rPr>
        <w:t xml:space="preserve"> </w:t>
      </w:r>
      <w:r>
        <w:rPr>
          <w:color w:val="231F20"/>
        </w:rPr>
        <w:t>днів</w:t>
      </w:r>
      <w:r>
        <w:rPr>
          <w:color w:val="231F20"/>
          <w:spacing w:val="23"/>
        </w:rPr>
        <w:t xml:space="preserve"> </w:t>
      </w:r>
      <w:r>
        <w:rPr>
          <w:color w:val="231F20"/>
        </w:rPr>
        <w:t>пересилається</w:t>
      </w:r>
      <w:r>
        <w:rPr>
          <w:color w:val="231F20"/>
          <w:spacing w:val="23"/>
        </w:rPr>
        <w:t xml:space="preserve"> </w:t>
      </w:r>
      <w:r>
        <w:rPr>
          <w:color w:val="231F20"/>
        </w:rPr>
        <w:t>ними</w:t>
      </w:r>
      <w:r>
        <w:rPr>
          <w:color w:val="231F20"/>
          <w:spacing w:val="23"/>
        </w:rPr>
        <w:t xml:space="preserve"> </w:t>
      </w:r>
      <w:r>
        <w:rPr>
          <w:color w:val="231F20"/>
        </w:rPr>
        <w:t>за</w:t>
      </w:r>
      <w:r>
        <w:rPr>
          <w:color w:val="231F20"/>
          <w:spacing w:val="23"/>
        </w:rPr>
        <w:t xml:space="preserve"> </w:t>
      </w:r>
      <w:r>
        <w:rPr>
          <w:color w:val="231F20"/>
        </w:rPr>
        <w:t>нале</w:t>
      </w:r>
      <w:r>
        <w:rPr>
          <w:color w:val="231F20"/>
        </w:rPr>
        <w:t>ж- ністю</w:t>
      </w:r>
      <w:r>
        <w:rPr>
          <w:color w:val="231F20"/>
          <w:spacing w:val="30"/>
        </w:rPr>
        <w:t xml:space="preserve"> </w:t>
      </w:r>
      <w:r>
        <w:rPr>
          <w:color w:val="231F20"/>
        </w:rPr>
        <w:t>відповідному</w:t>
      </w:r>
      <w:r>
        <w:rPr>
          <w:color w:val="231F20"/>
          <w:spacing w:val="30"/>
        </w:rPr>
        <w:t xml:space="preserve"> </w:t>
      </w:r>
      <w:r>
        <w:rPr>
          <w:color w:val="231F20"/>
        </w:rPr>
        <w:t>органу</w:t>
      </w:r>
      <w:r>
        <w:rPr>
          <w:color w:val="231F20"/>
          <w:spacing w:val="30"/>
        </w:rPr>
        <w:t xml:space="preserve"> </w:t>
      </w:r>
      <w:r>
        <w:rPr>
          <w:color w:val="231F20"/>
        </w:rPr>
        <w:t>чи</w:t>
      </w:r>
      <w:r>
        <w:rPr>
          <w:color w:val="231F20"/>
          <w:spacing w:val="30"/>
        </w:rPr>
        <w:t xml:space="preserve"> </w:t>
      </w:r>
      <w:r>
        <w:rPr>
          <w:color w:val="231F20"/>
        </w:rPr>
        <w:t>посадовій</w:t>
      </w:r>
      <w:r>
        <w:rPr>
          <w:color w:val="231F20"/>
          <w:spacing w:val="30"/>
        </w:rPr>
        <w:t xml:space="preserve"> </w:t>
      </w:r>
      <w:r>
        <w:rPr>
          <w:color w:val="231F20"/>
        </w:rPr>
        <w:t>особі,</w:t>
      </w:r>
      <w:r>
        <w:rPr>
          <w:color w:val="231F20"/>
          <w:spacing w:val="30"/>
        </w:rPr>
        <w:t xml:space="preserve"> </w:t>
      </w:r>
      <w:r>
        <w:rPr>
          <w:color w:val="231F20"/>
        </w:rPr>
        <w:t>про</w:t>
      </w:r>
      <w:r>
        <w:rPr>
          <w:color w:val="231F20"/>
          <w:spacing w:val="30"/>
        </w:rPr>
        <w:t xml:space="preserve"> </w:t>
      </w:r>
      <w:r>
        <w:rPr>
          <w:color w:val="231F20"/>
        </w:rPr>
        <w:t>що</w:t>
      </w:r>
      <w:r>
        <w:rPr>
          <w:color w:val="231F20"/>
          <w:spacing w:val="30"/>
        </w:rPr>
        <w:t xml:space="preserve"> </w:t>
      </w:r>
      <w:r>
        <w:rPr>
          <w:color w:val="231F20"/>
        </w:rPr>
        <w:t>повідомля- ється</w:t>
      </w:r>
      <w:r>
        <w:rPr>
          <w:color w:val="231F20"/>
          <w:spacing w:val="22"/>
        </w:rPr>
        <w:t xml:space="preserve"> </w:t>
      </w:r>
      <w:r>
        <w:rPr>
          <w:color w:val="231F20"/>
        </w:rPr>
        <w:t>громадянину,</w:t>
      </w:r>
      <w:r>
        <w:rPr>
          <w:color w:val="231F20"/>
          <w:spacing w:val="22"/>
        </w:rPr>
        <w:t xml:space="preserve"> </w:t>
      </w:r>
      <w:r>
        <w:rPr>
          <w:color w:val="231F20"/>
        </w:rPr>
        <w:t>який</w:t>
      </w:r>
      <w:r>
        <w:rPr>
          <w:color w:val="231F20"/>
          <w:spacing w:val="22"/>
        </w:rPr>
        <w:t xml:space="preserve"> </w:t>
      </w:r>
      <w:r>
        <w:rPr>
          <w:color w:val="231F20"/>
        </w:rPr>
        <w:t>подав</w:t>
      </w:r>
      <w:r>
        <w:rPr>
          <w:color w:val="231F20"/>
          <w:spacing w:val="22"/>
        </w:rPr>
        <w:t xml:space="preserve"> </w:t>
      </w:r>
      <w:r>
        <w:rPr>
          <w:color w:val="231F20"/>
        </w:rPr>
        <w:t>звернення.</w:t>
      </w:r>
      <w:r>
        <w:rPr>
          <w:color w:val="231F20"/>
          <w:spacing w:val="22"/>
        </w:rPr>
        <w:t xml:space="preserve"> </w:t>
      </w:r>
      <w:r>
        <w:rPr>
          <w:color w:val="231F20"/>
        </w:rPr>
        <w:t>У</w:t>
      </w:r>
      <w:r>
        <w:rPr>
          <w:color w:val="231F20"/>
          <w:spacing w:val="22"/>
        </w:rPr>
        <w:t xml:space="preserve"> </w:t>
      </w:r>
      <w:r>
        <w:rPr>
          <w:color w:val="231F20"/>
        </w:rPr>
        <w:t>разі</w:t>
      </w:r>
      <w:r>
        <w:rPr>
          <w:color w:val="231F20"/>
          <w:spacing w:val="22"/>
        </w:rPr>
        <w:t xml:space="preserve"> </w:t>
      </w:r>
      <w:r>
        <w:rPr>
          <w:color w:val="231F20"/>
        </w:rPr>
        <w:t>якщо</w:t>
      </w:r>
      <w:r>
        <w:rPr>
          <w:color w:val="231F20"/>
          <w:spacing w:val="22"/>
        </w:rPr>
        <w:t xml:space="preserve"> </w:t>
      </w:r>
      <w:r>
        <w:rPr>
          <w:color w:val="231F20"/>
        </w:rPr>
        <w:t>звернення</w:t>
      </w:r>
      <w:r>
        <w:rPr>
          <w:color w:val="231F20"/>
          <w:spacing w:val="-1"/>
        </w:rPr>
        <w:t xml:space="preserve"> </w:t>
      </w:r>
      <w:r>
        <w:rPr>
          <w:color w:val="231F20"/>
        </w:rPr>
        <w:t>не містить даних, достатніх для ухвалення</w:t>
      </w:r>
      <w:r>
        <w:rPr>
          <w:color w:val="231F20"/>
          <w:spacing w:val="-6"/>
        </w:rPr>
        <w:t xml:space="preserve"> </w:t>
      </w:r>
      <w:r>
        <w:rPr>
          <w:color w:val="231F20"/>
        </w:rPr>
        <w:t>обґрунтованого</w:t>
      </w:r>
      <w:r>
        <w:rPr>
          <w:color w:val="231F20"/>
          <w:spacing w:val="-1"/>
        </w:rPr>
        <w:t xml:space="preserve"> </w:t>
      </w:r>
      <w:r>
        <w:rPr>
          <w:color w:val="231F20"/>
        </w:rPr>
        <w:t>рішення</w:t>
      </w:r>
      <w:r>
        <w:rPr>
          <w:color w:val="231F20"/>
          <w:spacing w:val="-1"/>
        </w:rPr>
        <w:t xml:space="preserve"> </w:t>
      </w:r>
      <w:r>
        <w:rPr>
          <w:color w:val="231F20"/>
        </w:rPr>
        <w:t>органом</w:t>
      </w:r>
      <w:r>
        <w:rPr>
          <w:color w:val="231F20"/>
          <w:spacing w:val="18"/>
        </w:rPr>
        <w:t xml:space="preserve"> </w:t>
      </w:r>
      <w:r>
        <w:rPr>
          <w:color w:val="231F20"/>
        </w:rPr>
        <w:t>чи</w:t>
      </w:r>
      <w:r>
        <w:rPr>
          <w:color w:val="231F20"/>
          <w:spacing w:val="18"/>
        </w:rPr>
        <w:t xml:space="preserve"> </w:t>
      </w:r>
      <w:r>
        <w:rPr>
          <w:color w:val="231F20"/>
        </w:rPr>
        <w:t>посадовою</w:t>
      </w:r>
      <w:r>
        <w:rPr>
          <w:color w:val="231F20"/>
          <w:spacing w:val="18"/>
        </w:rPr>
        <w:t xml:space="preserve"> </w:t>
      </w:r>
      <w:r>
        <w:rPr>
          <w:color w:val="231F20"/>
        </w:rPr>
        <w:t>особою,</w:t>
      </w:r>
      <w:r>
        <w:rPr>
          <w:color w:val="231F20"/>
          <w:spacing w:val="18"/>
        </w:rPr>
        <w:t xml:space="preserve"> </w:t>
      </w:r>
      <w:r>
        <w:rPr>
          <w:color w:val="231F20"/>
        </w:rPr>
        <w:t>воно</w:t>
      </w:r>
      <w:r>
        <w:rPr>
          <w:color w:val="231F20"/>
          <w:spacing w:val="18"/>
        </w:rPr>
        <w:t xml:space="preserve"> </w:t>
      </w:r>
      <w:r>
        <w:rPr>
          <w:color w:val="231F20"/>
        </w:rPr>
        <w:t>в</w:t>
      </w:r>
      <w:r>
        <w:rPr>
          <w:color w:val="231F20"/>
          <w:spacing w:val="18"/>
        </w:rPr>
        <w:t xml:space="preserve"> </w:t>
      </w:r>
      <w:r>
        <w:rPr>
          <w:color w:val="231F20"/>
        </w:rPr>
        <w:t>той</w:t>
      </w:r>
      <w:r>
        <w:rPr>
          <w:color w:val="231F20"/>
          <w:spacing w:val="18"/>
        </w:rPr>
        <w:t xml:space="preserve"> </w:t>
      </w:r>
      <w:r>
        <w:rPr>
          <w:color w:val="231F20"/>
        </w:rPr>
        <w:t>же</w:t>
      </w:r>
      <w:r>
        <w:rPr>
          <w:color w:val="231F20"/>
          <w:spacing w:val="18"/>
        </w:rPr>
        <w:t xml:space="preserve"> </w:t>
      </w:r>
      <w:r>
        <w:rPr>
          <w:color w:val="231F20"/>
        </w:rPr>
        <w:t>термін</w:t>
      </w:r>
      <w:r>
        <w:rPr>
          <w:color w:val="231F20"/>
          <w:spacing w:val="18"/>
        </w:rPr>
        <w:t xml:space="preserve"> </w:t>
      </w:r>
      <w:r>
        <w:rPr>
          <w:color w:val="231F20"/>
        </w:rPr>
        <w:t>повертається</w:t>
      </w:r>
    </w:p>
    <w:p w14:paraId="3DE21314" w14:textId="77777777" w:rsidR="00DE575E" w:rsidRDefault="002E7560">
      <w:pPr>
        <w:pStyle w:val="BodyText"/>
        <w:spacing w:before="6"/>
        <w:ind w:left="250"/>
      </w:pPr>
      <w:r>
        <w:rPr>
          <w:color w:val="231F20"/>
        </w:rPr>
        <w:t>громадянину з відповідними роз’ясненнями.</w:t>
      </w:r>
    </w:p>
    <w:p w14:paraId="2502B445" w14:textId="77777777" w:rsidR="00DE575E" w:rsidRDefault="002E7560">
      <w:pPr>
        <w:pStyle w:val="BodyText"/>
        <w:spacing w:before="13" w:line="252" w:lineRule="auto"/>
        <w:ind w:left="250" w:right="410" w:firstLine="283"/>
        <w:jc w:val="both"/>
      </w:pPr>
      <w:r>
        <w:rPr>
          <w:b/>
          <w:i/>
          <w:color w:val="231F20"/>
        </w:rPr>
        <w:t xml:space="preserve">Забороняється </w:t>
      </w:r>
      <w:r>
        <w:rPr>
          <w:color w:val="231F20"/>
        </w:rPr>
        <w:t xml:space="preserve">відмова в прийнятті та </w:t>
      </w:r>
      <w:r>
        <w:rPr>
          <w:color w:val="231F20"/>
          <w:spacing w:val="-3"/>
        </w:rPr>
        <w:t xml:space="preserve">розгляді </w:t>
      </w:r>
      <w:r>
        <w:rPr>
          <w:color w:val="231F20"/>
        </w:rPr>
        <w:t>звернення з посиланням на політичні погляди, партійну належність, стать, вік, віросповідання, національність громадянина,  незнання  держав- ної мови. Не м</w:t>
      </w:r>
      <w:r>
        <w:rPr>
          <w:color w:val="231F20"/>
        </w:rPr>
        <w:t>оже бути привілеїв чи обмежень за ознаками раси, кольору шкіри, політичних, релігійних чи інших переконань, статі, етнічного</w:t>
      </w:r>
      <w:r>
        <w:rPr>
          <w:color w:val="231F20"/>
          <w:spacing w:val="-7"/>
        </w:rPr>
        <w:t xml:space="preserve"> </w:t>
      </w:r>
      <w:r>
        <w:rPr>
          <w:color w:val="231F20"/>
        </w:rPr>
        <w:t>й</w:t>
      </w:r>
      <w:r>
        <w:rPr>
          <w:color w:val="231F20"/>
          <w:spacing w:val="-7"/>
        </w:rPr>
        <w:t xml:space="preserve"> </w:t>
      </w:r>
      <w:r>
        <w:rPr>
          <w:color w:val="231F20"/>
        </w:rPr>
        <w:t>соціального</w:t>
      </w:r>
      <w:r>
        <w:rPr>
          <w:color w:val="231F20"/>
          <w:spacing w:val="-7"/>
        </w:rPr>
        <w:t xml:space="preserve"> </w:t>
      </w:r>
      <w:r>
        <w:rPr>
          <w:color w:val="231F20"/>
        </w:rPr>
        <w:t>походження,</w:t>
      </w:r>
      <w:r>
        <w:rPr>
          <w:color w:val="231F20"/>
          <w:spacing w:val="-7"/>
        </w:rPr>
        <w:t xml:space="preserve"> </w:t>
      </w:r>
      <w:r>
        <w:rPr>
          <w:color w:val="231F20"/>
        </w:rPr>
        <w:t>майнового</w:t>
      </w:r>
      <w:r>
        <w:rPr>
          <w:color w:val="231F20"/>
          <w:spacing w:val="-7"/>
        </w:rPr>
        <w:t xml:space="preserve"> </w:t>
      </w:r>
      <w:r>
        <w:rPr>
          <w:color w:val="231F20"/>
          <w:spacing w:val="-3"/>
        </w:rPr>
        <w:t>стану,</w:t>
      </w:r>
      <w:r>
        <w:rPr>
          <w:color w:val="231F20"/>
          <w:spacing w:val="-7"/>
        </w:rPr>
        <w:t xml:space="preserve"> </w:t>
      </w:r>
      <w:r>
        <w:rPr>
          <w:color w:val="231F20"/>
        </w:rPr>
        <w:t>місця</w:t>
      </w:r>
      <w:r>
        <w:rPr>
          <w:color w:val="231F20"/>
          <w:spacing w:val="-7"/>
        </w:rPr>
        <w:t xml:space="preserve"> </w:t>
      </w:r>
      <w:r>
        <w:rPr>
          <w:color w:val="231F20"/>
        </w:rPr>
        <w:t>прожи- вання,</w:t>
      </w:r>
      <w:r>
        <w:rPr>
          <w:color w:val="231F20"/>
          <w:spacing w:val="22"/>
        </w:rPr>
        <w:t xml:space="preserve"> </w:t>
      </w:r>
      <w:r>
        <w:rPr>
          <w:color w:val="231F20"/>
        </w:rPr>
        <w:t>за</w:t>
      </w:r>
      <w:r>
        <w:rPr>
          <w:color w:val="231F20"/>
          <w:spacing w:val="22"/>
        </w:rPr>
        <w:t xml:space="preserve"> </w:t>
      </w:r>
      <w:r>
        <w:rPr>
          <w:color w:val="231F20"/>
        </w:rPr>
        <w:t>мовними</w:t>
      </w:r>
      <w:r>
        <w:rPr>
          <w:color w:val="231F20"/>
          <w:spacing w:val="22"/>
        </w:rPr>
        <w:t xml:space="preserve"> </w:t>
      </w:r>
      <w:r>
        <w:rPr>
          <w:color w:val="231F20"/>
        </w:rPr>
        <w:t>або</w:t>
      </w:r>
      <w:r>
        <w:rPr>
          <w:color w:val="231F20"/>
          <w:spacing w:val="22"/>
        </w:rPr>
        <w:t xml:space="preserve"> </w:t>
      </w:r>
      <w:r>
        <w:rPr>
          <w:color w:val="231F20"/>
        </w:rPr>
        <w:t>іншими</w:t>
      </w:r>
      <w:r>
        <w:rPr>
          <w:color w:val="231F20"/>
          <w:spacing w:val="22"/>
        </w:rPr>
        <w:t xml:space="preserve"> </w:t>
      </w:r>
      <w:r>
        <w:rPr>
          <w:color w:val="231F20"/>
        </w:rPr>
        <w:t>ознаками.</w:t>
      </w:r>
      <w:r>
        <w:rPr>
          <w:color w:val="231F20"/>
          <w:spacing w:val="22"/>
        </w:rPr>
        <w:t xml:space="preserve"> </w:t>
      </w:r>
      <w:r>
        <w:rPr>
          <w:color w:val="231F20"/>
        </w:rPr>
        <w:t>Ці</w:t>
      </w:r>
      <w:r>
        <w:rPr>
          <w:color w:val="231F20"/>
          <w:spacing w:val="22"/>
        </w:rPr>
        <w:t xml:space="preserve"> </w:t>
      </w:r>
      <w:r>
        <w:rPr>
          <w:color w:val="231F20"/>
        </w:rPr>
        <w:t>принципи</w:t>
      </w:r>
      <w:r>
        <w:rPr>
          <w:color w:val="231F20"/>
          <w:spacing w:val="22"/>
        </w:rPr>
        <w:t xml:space="preserve"> </w:t>
      </w:r>
      <w:r>
        <w:rPr>
          <w:color w:val="231F20"/>
        </w:rPr>
        <w:t>закріплено</w:t>
      </w:r>
    </w:p>
    <w:p w14:paraId="73CA71E9" w14:textId="77777777" w:rsidR="00DE575E" w:rsidRDefault="00DE575E">
      <w:pPr>
        <w:pStyle w:val="BodyText"/>
        <w:spacing w:before="8"/>
        <w:rPr>
          <w:sz w:val="12"/>
        </w:rPr>
      </w:pPr>
    </w:p>
    <w:p w14:paraId="3880F659" w14:textId="77777777" w:rsidR="00DE575E" w:rsidRDefault="002E7560">
      <w:pPr>
        <w:spacing w:before="91"/>
        <w:ind w:right="411"/>
        <w:jc w:val="right"/>
        <w:rPr>
          <w:rFonts w:ascii="Times New Roman"/>
          <w:sz w:val="20"/>
        </w:rPr>
      </w:pPr>
      <w:r>
        <w:rPr>
          <w:rFonts w:ascii="Times New Roman"/>
          <w:color w:val="231F20"/>
          <w:w w:val="90"/>
          <w:sz w:val="20"/>
        </w:rPr>
        <w:t>157</w:t>
      </w:r>
    </w:p>
    <w:p w14:paraId="4677942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47BF54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27EC0AC" w14:textId="5671567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429C4CA" wp14:editId="1C8C8905">
                <wp:extent cx="4140200" cy="6350"/>
                <wp:effectExtent l="0" t="0" r="12700" b="6350"/>
                <wp:docPr id="1021"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22" name="Line 102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66C67B" id="Group_x0020_102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x6Q2p/AgAAnAUAAA4A&#10;AAAAAAAAAAAAAAAALAIAAGRycy9lMm9Eb2MueG1sUEsBAi0AFAAGAAgAAAAhAEynsJDZAAAAAwEA&#10;AA8AAAAAAAAAAAAAAAAA1wQAAGRycy9kb3ducmV2LnhtbFBLBQYAAAAABAAEAPMAAADdBQAAAAA=&#10;">
                <v:line id="Line_x0020_102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K0pC8QAAADdAAAADwAAAGRycy9kb3ducmV2LnhtbERP22rCQBB9F/oPyxR8kbppBJHUVYog&#10;FB+8pR8wZqdJ6O5szK4m+vVuoeDbHM515sveGnGl1teOFbyPExDEhdM1lwq+8/XbDIQPyBqNY1Jw&#10;Iw/Lxctgjpl2HR/oegyliCHsM1RQhdBkUvqiIot+7BriyP241mKIsC2lbrGL4dbINEmm0mLNsaHC&#10;hlYVFb/Hi1WQn0fB7Hcb0+W700SeztvJ/bJVavjaf36ACNSHp/jf/aXj/CRN4e+beIJcP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rSkLxAAAAN0AAAAPAAAAAAAAAAAA&#10;AAAAAKECAABkcnMvZG93bnJldi54bWxQSwUGAAAAAAQABAD5AAAAkgMAAAAA&#10;" strokecolor="#231f20" strokeweight=".5pt"/>
                <w10:anchorlock/>
              </v:group>
            </w:pict>
          </mc:Fallback>
        </mc:AlternateContent>
      </w:r>
    </w:p>
    <w:p w14:paraId="63B272C1" w14:textId="77777777" w:rsidR="00DE575E" w:rsidRDefault="00DE575E">
      <w:pPr>
        <w:pStyle w:val="BodyText"/>
        <w:spacing w:before="7"/>
        <w:rPr>
          <w:rFonts w:ascii="AdonisC"/>
          <w:i/>
          <w:sz w:val="11"/>
        </w:rPr>
      </w:pPr>
    </w:p>
    <w:p w14:paraId="4FE94202" w14:textId="77777777" w:rsidR="00DE575E" w:rsidRDefault="002E7560">
      <w:pPr>
        <w:pStyle w:val="BodyText"/>
        <w:spacing w:before="101" w:line="252" w:lineRule="auto"/>
        <w:ind w:left="533" w:right="128"/>
        <w:jc w:val="both"/>
      </w:pPr>
      <w:r>
        <w:rPr>
          <w:color w:val="231F20"/>
        </w:rPr>
        <w:t>в Загальній декларації прав людини від 10 грудня 1948 р. і Міжна- родній конвенції про ліквідацію всіх форм расової дискримінації від 7 березня 1966 р</w:t>
      </w:r>
      <w:r>
        <w:rPr>
          <w:color w:val="231F20"/>
          <w:position w:val="7"/>
          <w:sz w:val="12"/>
        </w:rPr>
        <w:t>1</w:t>
      </w:r>
      <w:r>
        <w:rPr>
          <w:color w:val="231F20"/>
        </w:rPr>
        <w:t>.</w:t>
      </w:r>
    </w:p>
    <w:p w14:paraId="42963625" w14:textId="77777777" w:rsidR="00DE575E" w:rsidRDefault="002E7560">
      <w:pPr>
        <w:pStyle w:val="BodyText"/>
        <w:spacing w:before="1" w:line="252" w:lineRule="auto"/>
        <w:ind w:left="533" w:right="126" w:firstLine="283"/>
        <w:jc w:val="both"/>
      </w:pPr>
      <w:r>
        <w:rPr>
          <w:color w:val="231F20"/>
        </w:rPr>
        <w:t xml:space="preserve">Подання скарги не передбачає жодних фінансових витрат скарж- ника </w:t>
      </w:r>
      <w:r>
        <w:rPr>
          <w:color w:val="231F20"/>
        </w:rPr>
        <w:t>(безоплатність розгляду). Скарги розглядаються залежно від їх характеру упродовж 30 днів (звичайні);  15  днів  (невідкладні); 45 днів (складні, які потребують додаткового</w:t>
      </w:r>
      <w:r>
        <w:rPr>
          <w:color w:val="231F20"/>
          <w:spacing w:val="-9"/>
        </w:rPr>
        <w:t xml:space="preserve"> </w:t>
      </w:r>
      <w:r>
        <w:rPr>
          <w:color w:val="231F20"/>
        </w:rPr>
        <w:t>вивчення).</w:t>
      </w:r>
    </w:p>
    <w:p w14:paraId="17A8071B" w14:textId="77777777" w:rsidR="00DE575E" w:rsidRDefault="002E7560">
      <w:pPr>
        <w:pStyle w:val="BodyText"/>
        <w:spacing w:before="2" w:line="252" w:lineRule="auto"/>
        <w:ind w:left="533" w:right="128" w:firstLine="283"/>
        <w:jc w:val="both"/>
      </w:pPr>
      <w:r>
        <w:rPr>
          <w:color w:val="231F20"/>
        </w:rPr>
        <w:t>Особи,</w:t>
      </w:r>
      <w:r>
        <w:rPr>
          <w:color w:val="231F20"/>
          <w:spacing w:val="-7"/>
        </w:rPr>
        <w:t xml:space="preserve"> </w:t>
      </w:r>
      <w:r>
        <w:rPr>
          <w:color w:val="231F20"/>
        </w:rPr>
        <w:t>винні</w:t>
      </w:r>
      <w:r>
        <w:rPr>
          <w:color w:val="231F20"/>
          <w:spacing w:val="-7"/>
        </w:rPr>
        <w:t xml:space="preserve"> </w:t>
      </w:r>
      <w:r>
        <w:rPr>
          <w:color w:val="231F20"/>
        </w:rPr>
        <w:t>в</w:t>
      </w:r>
      <w:r>
        <w:rPr>
          <w:color w:val="231F20"/>
          <w:spacing w:val="-6"/>
        </w:rPr>
        <w:t xml:space="preserve"> </w:t>
      </w:r>
      <w:r>
        <w:rPr>
          <w:color w:val="231F20"/>
        </w:rPr>
        <w:t>порушенні</w:t>
      </w:r>
      <w:r>
        <w:rPr>
          <w:color w:val="231F20"/>
          <w:spacing w:val="-7"/>
        </w:rPr>
        <w:t xml:space="preserve"> </w:t>
      </w:r>
      <w:r>
        <w:rPr>
          <w:color w:val="231F20"/>
        </w:rPr>
        <w:t>законодавства</w:t>
      </w:r>
      <w:r>
        <w:rPr>
          <w:color w:val="231F20"/>
          <w:spacing w:val="-7"/>
        </w:rPr>
        <w:t xml:space="preserve"> </w:t>
      </w:r>
      <w:r>
        <w:rPr>
          <w:color w:val="231F20"/>
        </w:rPr>
        <w:t>про</w:t>
      </w:r>
      <w:r>
        <w:rPr>
          <w:color w:val="231F20"/>
          <w:spacing w:val="-7"/>
        </w:rPr>
        <w:t xml:space="preserve"> </w:t>
      </w:r>
      <w:r>
        <w:rPr>
          <w:color w:val="231F20"/>
          <w:spacing w:val="-3"/>
        </w:rPr>
        <w:t>розгляд</w:t>
      </w:r>
      <w:r>
        <w:rPr>
          <w:color w:val="231F20"/>
          <w:spacing w:val="-7"/>
        </w:rPr>
        <w:t xml:space="preserve"> </w:t>
      </w:r>
      <w:r>
        <w:rPr>
          <w:color w:val="231F20"/>
        </w:rPr>
        <w:t>скарг</w:t>
      </w:r>
      <w:r>
        <w:rPr>
          <w:color w:val="231F20"/>
          <w:spacing w:val="-7"/>
        </w:rPr>
        <w:t xml:space="preserve"> </w:t>
      </w:r>
      <w:r>
        <w:rPr>
          <w:color w:val="231F20"/>
        </w:rPr>
        <w:t>(щодо захисту прав, свобод, законних інтересів осіб в адміністративному порядку або ж у порядку адміністративного оскарження), несуть цивільну, адміністративну, кримінальну</w:t>
      </w:r>
      <w:r>
        <w:rPr>
          <w:color w:val="231F20"/>
          <w:spacing w:val="-10"/>
        </w:rPr>
        <w:t xml:space="preserve"> </w:t>
      </w:r>
      <w:r>
        <w:rPr>
          <w:color w:val="231F20"/>
        </w:rPr>
        <w:t>відповідальність.</w:t>
      </w:r>
    </w:p>
    <w:p w14:paraId="24254C3C" w14:textId="77777777" w:rsidR="00DE575E" w:rsidRDefault="002E7560">
      <w:pPr>
        <w:pStyle w:val="BodyText"/>
        <w:spacing w:before="2" w:line="252" w:lineRule="auto"/>
        <w:ind w:left="463" w:right="126" w:firstLine="283"/>
        <w:jc w:val="right"/>
      </w:pPr>
      <w:r>
        <w:rPr>
          <w:b/>
          <w:i/>
          <w:color w:val="231F20"/>
        </w:rPr>
        <w:t xml:space="preserve">Адміністративне оскарження </w:t>
      </w:r>
      <w:r>
        <w:rPr>
          <w:color w:val="231F20"/>
        </w:rPr>
        <w:t>– це порядок захисту порушених прав гр</w:t>
      </w:r>
      <w:r>
        <w:rPr>
          <w:color w:val="231F20"/>
        </w:rPr>
        <w:t>омадян у сфері публічного управління, визначений на зако- нодавчому рівні, який передбачає подання скарги громадянином на рішення, дії чи бездіяльність уповноважених осіб органів держав- ної влади, органів місцевого самоврядування в адміністративному поряд</w:t>
      </w:r>
      <w:r>
        <w:rPr>
          <w:color w:val="231F20"/>
        </w:rPr>
        <w:t>ку та обов’язок цих осіб вирішити питання, порушені у скарзі. Особливою формою колективного звернення громадян до Прези- дента України, Верховної Ради України, Кабінету Міністрів України, органу місцевого самоврядування є електронна петиція, яка пода- єтьс</w:t>
      </w:r>
      <w:r>
        <w:rPr>
          <w:color w:val="231F20"/>
        </w:rPr>
        <w:t>я та розглядається в порядку, передбаченому Законом України</w:t>
      </w:r>
    </w:p>
    <w:p w14:paraId="45EA60D4" w14:textId="77777777" w:rsidR="00DE575E" w:rsidRDefault="002E7560">
      <w:pPr>
        <w:pStyle w:val="BodyText"/>
        <w:spacing w:before="5"/>
        <w:ind w:left="533"/>
      </w:pPr>
      <w:r>
        <w:rPr>
          <w:color w:val="231F20"/>
        </w:rPr>
        <w:t>«Про звернення громадян».</w:t>
      </w:r>
    </w:p>
    <w:p w14:paraId="4B918659" w14:textId="77777777" w:rsidR="00DE575E" w:rsidRDefault="002E7560">
      <w:pPr>
        <w:pStyle w:val="BodyText"/>
        <w:spacing w:before="13" w:line="252" w:lineRule="auto"/>
        <w:ind w:left="533" w:right="127" w:firstLine="283"/>
        <w:jc w:val="both"/>
      </w:pPr>
      <w:r>
        <w:rPr>
          <w:b/>
          <w:i/>
          <w:color w:val="231F20"/>
        </w:rPr>
        <w:t>Електронні</w:t>
      </w:r>
      <w:r>
        <w:rPr>
          <w:b/>
          <w:i/>
          <w:color w:val="231F20"/>
          <w:spacing w:val="-13"/>
        </w:rPr>
        <w:t xml:space="preserve"> </w:t>
      </w:r>
      <w:r>
        <w:rPr>
          <w:b/>
          <w:i/>
          <w:color w:val="231F20"/>
        </w:rPr>
        <w:t>петиції</w:t>
      </w:r>
      <w:r>
        <w:rPr>
          <w:b/>
          <w:i/>
          <w:color w:val="231F20"/>
          <w:spacing w:val="-15"/>
        </w:rPr>
        <w:t xml:space="preserve"> </w:t>
      </w:r>
      <w:r>
        <w:rPr>
          <w:color w:val="231F20"/>
        </w:rPr>
        <w:t>подаються</w:t>
      </w:r>
      <w:r>
        <w:rPr>
          <w:color w:val="231F20"/>
          <w:spacing w:val="-13"/>
        </w:rPr>
        <w:t xml:space="preserve"> </w:t>
      </w:r>
      <w:r>
        <w:rPr>
          <w:color w:val="231F20"/>
        </w:rPr>
        <w:t>через</w:t>
      </w:r>
      <w:r>
        <w:rPr>
          <w:color w:val="231F20"/>
          <w:spacing w:val="-13"/>
        </w:rPr>
        <w:t xml:space="preserve"> </w:t>
      </w:r>
      <w:r>
        <w:rPr>
          <w:color w:val="231F20"/>
        </w:rPr>
        <w:t>офіційний</w:t>
      </w:r>
      <w:r>
        <w:rPr>
          <w:color w:val="231F20"/>
          <w:spacing w:val="-13"/>
        </w:rPr>
        <w:t xml:space="preserve"> </w:t>
      </w:r>
      <w:r>
        <w:rPr>
          <w:color w:val="231F20"/>
        </w:rPr>
        <w:t>веб-сайт</w:t>
      </w:r>
      <w:r>
        <w:rPr>
          <w:color w:val="231F20"/>
          <w:spacing w:val="-13"/>
        </w:rPr>
        <w:t xml:space="preserve"> </w:t>
      </w:r>
      <w:r>
        <w:rPr>
          <w:color w:val="231F20"/>
          <w:spacing w:val="-3"/>
        </w:rPr>
        <w:t xml:space="preserve">органу, </w:t>
      </w:r>
      <w:r>
        <w:rPr>
          <w:color w:val="231F20"/>
        </w:rPr>
        <w:t xml:space="preserve">якому вона адресована, або веб-сайт громадського </w:t>
      </w:r>
      <w:r>
        <w:rPr>
          <w:color w:val="231F20"/>
          <w:spacing w:val="-3"/>
        </w:rPr>
        <w:t xml:space="preserve">об’єднання, </w:t>
      </w:r>
      <w:r>
        <w:rPr>
          <w:color w:val="231F20"/>
        </w:rPr>
        <w:t>яке здійснює збір підписів на підтримку електро</w:t>
      </w:r>
      <w:r>
        <w:rPr>
          <w:color w:val="231F20"/>
        </w:rPr>
        <w:t>нної</w:t>
      </w:r>
      <w:r>
        <w:rPr>
          <w:color w:val="231F20"/>
          <w:spacing w:val="-5"/>
        </w:rPr>
        <w:t xml:space="preserve"> </w:t>
      </w:r>
      <w:r>
        <w:rPr>
          <w:color w:val="231F20"/>
        </w:rPr>
        <w:t>петиції.</w:t>
      </w:r>
    </w:p>
    <w:p w14:paraId="28DBDC4D" w14:textId="77777777" w:rsidR="00DE575E" w:rsidRDefault="002E7560">
      <w:pPr>
        <w:pStyle w:val="BodyText"/>
        <w:spacing w:before="1" w:line="252" w:lineRule="auto"/>
        <w:ind w:left="533" w:right="128" w:firstLine="283"/>
        <w:jc w:val="both"/>
      </w:pPr>
      <w:r>
        <w:rPr>
          <w:color w:val="231F20"/>
        </w:rPr>
        <w:t xml:space="preserve">В </w:t>
      </w:r>
      <w:r>
        <w:rPr>
          <w:color w:val="231F20"/>
          <w:spacing w:val="-3"/>
        </w:rPr>
        <w:t xml:space="preserve">електронній петиції </w:t>
      </w:r>
      <w:r>
        <w:rPr>
          <w:color w:val="231F20"/>
        </w:rPr>
        <w:t xml:space="preserve">має бути </w:t>
      </w:r>
      <w:r>
        <w:rPr>
          <w:color w:val="231F20"/>
          <w:spacing w:val="-3"/>
        </w:rPr>
        <w:t xml:space="preserve">викладено сутність звернення, зазначено прізвище, ім’я, </w:t>
      </w:r>
      <w:r>
        <w:rPr>
          <w:color w:val="231F20"/>
        </w:rPr>
        <w:t xml:space="preserve">по </w:t>
      </w:r>
      <w:r>
        <w:rPr>
          <w:color w:val="231F20"/>
          <w:spacing w:val="-3"/>
        </w:rPr>
        <w:t xml:space="preserve">батькові </w:t>
      </w:r>
      <w:r>
        <w:rPr>
          <w:color w:val="231F20"/>
        </w:rPr>
        <w:t xml:space="preserve">автора </w:t>
      </w:r>
      <w:r>
        <w:rPr>
          <w:color w:val="231F20"/>
          <w:spacing w:val="-3"/>
        </w:rPr>
        <w:t xml:space="preserve">(ініціатора) електронної петиції, адресу електронної пошти. </w:t>
      </w:r>
      <w:r>
        <w:rPr>
          <w:color w:val="231F20"/>
        </w:rPr>
        <w:t xml:space="preserve">На </w:t>
      </w:r>
      <w:r>
        <w:rPr>
          <w:color w:val="231F20"/>
          <w:spacing w:val="-3"/>
        </w:rPr>
        <w:t xml:space="preserve">веб-сайті відповідного органу </w:t>
      </w:r>
      <w:r>
        <w:rPr>
          <w:color w:val="231F20"/>
        </w:rPr>
        <w:t xml:space="preserve">або </w:t>
      </w:r>
      <w:r>
        <w:rPr>
          <w:color w:val="231F20"/>
          <w:spacing w:val="-3"/>
        </w:rPr>
        <w:t xml:space="preserve">громадського </w:t>
      </w:r>
      <w:r>
        <w:rPr>
          <w:color w:val="231F20"/>
          <w:spacing w:val="-5"/>
        </w:rPr>
        <w:t xml:space="preserve">об’єднання, </w:t>
      </w:r>
      <w:r>
        <w:rPr>
          <w:color w:val="231F20"/>
        </w:rPr>
        <w:t xml:space="preserve">що </w:t>
      </w:r>
      <w:r>
        <w:rPr>
          <w:color w:val="231F20"/>
          <w:spacing w:val="-3"/>
        </w:rPr>
        <w:t>здійснює зб</w:t>
      </w:r>
      <w:r>
        <w:rPr>
          <w:color w:val="231F20"/>
          <w:spacing w:val="-3"/>
        </w:rPr>
        <w:t xml:space="preserve">ір підписів, </w:t>
      </w:r>
      <w:r>
        <w:rPr>
          <w:color w:val="231F20"/>
          <w:spacing w:val="-4"/>
        </w:rPr>
        <w:t xml:space="preserve">обов’язково зазначаються </w:t>
      </w:r>
      <w:r>
        <w:rPr>
          <w:color w:val="231F20"/>
          <w:spacing w:val="-3"/>
        </w:rPr>
        <w:t xml:space="preserve">дата початку збору підписів </w:t>
      </w:r>
      <w:r>
        <w:rPr>
          <w:color w:val="231F20"/>
        </w:rPr>
        <w:t xml:space="preserve">та </w:t>
      </w:r>
      <w:r>
        <w:rPr>
          <w:color w:val="231F20"/>
          <w:spacing w:val="-3"/>
        </w:rPr>
        <w:t xml:space="preserve">інформація </w:t>
      </w:r>
      <w:r>
        <w:rPr>
          <w:color w:val="231F20"/>
          <w:spacing w:val="-4"/>
        </w:rPr>
        <w:t xml:space="preserve">щодо </w:t>
      </w:r>
      <w:r>
        <w:rPr>
          <w:color w:val="231F20"/>
          <w:spacing w:val="-3"/>
        </w:rPr>
        <w:t xml:space="preserve">загаль- </w:t>
      </w:r>
      <w:r>
        <w:rPr>
          <w:color w:val="231F20"/>
        </w:rPr>
        <w:t xml:space="preserve">ної </w:t>
      </w:r>
      <w:r>
        <w:rPr>
          <w:color w:val="231F20"/>
          <w:spacing w:val="-3"/>
        </w:rPr>
        <w:t xml:space="preserve">кількості </w:t>
      </w:r>
      <w:r>
        <w:rPr>
          <w:color w:val="231F20"/>
        </w:rPr>
        <w:t xml:space="preserve">та </w:t>
      </w:r>
      <w:r>
        <w:rPr>
          <w:color w:val="231F20"/>
          <w:spacing w:val="-3"/>
        </w:rPr>
        <w:t xml:space="preserve">переліку </w:t>
      </w:r>
      <w:r>
        <w:rPr>
          <w:color w:val="231F20"/>
        </w:rPr>
        <w:t xml:space="preserve">осіб, які </w:t>
      </w:r>
      <w:r>
        <w:rPr>
          <w:color w:val="231F20"/>
          <w:spacing w:val="-3"/>
        </w:rPr>
        <w:t>підписали електронну петицію.</w:t>
      </w:r>
    </w:p>
    <w:p w14:paraId="159F32E4" w14:textId="77777777" w:rsidR="00DE575E" w:rsidRDefault="002E7560">
      <w:pPr>
        <w:pStyle w:val="BodyText"/>
        <w:spacing w:before="3" w:line="252" w:lineRule="auto"/>
        <w:ind w:left="533" w:right="127" w:firstLine="283"/>
        <w:jc w:val="both"/>
      </w:pPr>
      <w:r>
        <w:rPr>
          <w:color w:val="231F20"/>
        </w:rPr>
        <w:t>Для створення електронної петиції до Президента України, Верховної Ради України, Кабінету Міністрів України, органу місце- вого самоврядування її автор (ініціатор) заповнює спеціальну форму на офіційному веб-сайті органу, якому вона адресована, або веб-сай</w:t>
      </w:r>
      <w:r>
        <w:rPr>
          <w:color w:val="231F20"/>
        </w:rPr>
        <w:t>ті громадського об’єднання, яке здійснює збір підписів на</w:t>
      </w:r>
    </w:p>
    <w:p w14:paraId="17702228" w14:textId="77777777" w:rsidR="00DE575E" w:rsidRDefault="00DE575E">
      <w:pPr>
        <w:pStyle w:val="BodyText"/>
        <w:rPr>
          <w:sz w:val="20"/>
        </w:rPr>
      </w:pPr>
    </w:p>
    <w:p w14:paraId="43DB1D64" w14:textId="485399BF" w:rsidR="00DE575E" w:rsidRDefault="002E7560">
      <w:pPr>
        <w:pStyle w:val="BodyText"/>
        <w:spacing w:before="10"/>
        <w:rPr>
          <w:sz w:val="12"/>
        </w:rPr>
      </w:pPr>
      <w:r>
        <w:rPr>
          <w:noProof/>
        </w:rPr>
        <mc:AlternateContent>
          <mc:Choice Requires="wps">
            <w:drawing>
              <wp:anchor distT="0" distB="0" distL="0" distR="0" simplePos="0" relativeHeight="6544" behindDoc="0" locked="0" layoutInCell="1" allowOverlap="1" wp14:anchorId="63632B36" wp14:editId="0638B3BA">
                <wp:simplePos x="0" y="0"/>
                <wp:positionH relativeFrom="page">
                  <wp:posOffset>719455</wp:posOffset>
                </wp:positionH>
                <wp:positionV relativeFrom="paragraph">
                  <wp:posOffset>123825</wp:posOffset>
                </wp:positionV>
                <wp:extent cx="1080135" cy="0"/>
                <wp:effectExtent l="8255" t="9525" r="29210" b="28575"/>
                <wp:wrapTopAndBottom/>
                <wp:docPr id="1020"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60075" id="Line_x0020_1019" o:spid="_x0000_s1026" style="position:absolute;z-index: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5pt" to="141.7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" strokecolor="#231f20" strokeweight=".5pt">
                <w10:wrap type="topAndBottom" anchorx="page"/>
              </v:line>
            </w:pict>
          </mc:Fallback>
        </mc:AlternateContent>
      </w:r>
    </w:p>
    <w:p w14:paraId="48035C65" w14:textId="77777777" w:rsidR="00DE575E" w:rsidRDefault="002E7560">
      <w:pPr>
        <w:spacing w:line="204" w:lineRule="auto"/>
        <w:ind w:left="533"/>
        <w:rPr>
          <w:sz w:val="16"/>
        </w:rPr>
      </w:pPr>
      <w:r>
        <w:rPr>
          <w:color w:val="231F20"/>
          <w:position w:val="5"/>
          <w:sz w:val="9"/>
        </w:rPr>
        <w:t xml:space="preserve">1 </w:t>
      </w:r>
      <w:r>
        <w:rPr>
          <w:color w:val="231F20"/>
          <w:sz w:val="16"/>
        </w:rPr>
        <w:t>Гриценко І., Мельник Р., Пухтецька А. та ін. Загальне адміністративне право: підручник. Київ: Юрінком Інтер, 2015. С. 536-537.</w:t>
      </w:r>
    </w:p>
    <w:p w14:paraId="43FC6B14" w14:textId="77777777" w:rsidR="00DE575E" w:rsidRDefault="00DE575E">
      <w:pPr>
        <w:pStyle w:val="BodyText"/>
        <w:spacing w:before="1"/>
        <w:rPr>
          <w:sz w:val="12"/>
        </w:rPr>
      </w:pPr>
    </w:p>
    <w:p w14:paraId="45A4B6AE" w14:textId="77777777" w:rsidR="00DE575E" w:rsidRDefault="002E7560">
      <w:pPr>
        <w:spacing w:before="92"/>
        <w:ind w:left="533"/>
        <w:rPr>
          <w:rFonts w:ascii="Times New Roman"/>
          <w:sz w:val="20"/>
        </w:rPr>
      </w:pPr>
      <w:r>
        <w:rPr>
          <w:rFonts w:ascii="Times New Roman"/>
          <w:color w:val="231F20"/>
          <w:sz w:val="20"/>
        </w:rPr>
        <w:t>158</w:t>
      </w:r>
    </w:p>
    <w:p w14:paraId="5B0117F0" w14:textId="77777777" w:rsidR="00DE575E" w:rsidRDefault="00DE575E">
      <w:pPr>
        <w:rPr>
          <w:rFonts w:ascii="Times New Roman"/>
          <w:sz w:val="20"/>
        </w:rPr>
        <w:sectPr w:rsidR="00DE575E">
          <w:pgSz w:w="8510" w:h="12760"/>
          <w:pgMar w:top="660" w:right="720" w:bottom="280" w:left="600" w:header="720" w:footer="720" w:gutter="0"/>
          <w:cols w:space="720"/>
        </w:sectPr>
      </w:pPr>
    </w:p>
    <w:p w14:paraId="54002D26"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5. Приватна особа як суб’єкт адміністративного права</w:t>
      </w:r>
    </w:p>
    <w:p w14:paraId="25D0F847" w14:textId="309BE85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E7D934D" wp14:editId="5BAA556C">
                <wp:extent cx="4140200" cy="6350"/>
                <wp:effectExtent l="0" t="0" r="12700" b="6350"/>
                <wp:docPr id="1018"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19" name="Line 101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CB3C1B" id="Group_x0020_101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8DMuZ/AgAAnAUAAA4A&#10;AAAAAAAAAAAAAAAALAIAAGRycy9lMm9Eb2MueG1sUEsBAi0AFAAGAAgAAAAhAEynsJDZAAAAAwEA&#10;AA8AAAAAAAAAAAAAAAAA1wQAAGRycy9kb3ducmV2LnhtbFBLBQYAAAAABAAEAPMAAADdBQAAAAA=&#10;">
                <v:line id="Line_x0020_101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Vxx8UAAADdAAAADwAAAGRycy9kb3ducmV2LnhtbERPzWrCQBC+C77DMoVeSrNRodiYVaRQ&#10;kB60Gh9gzI5J6O5szK4m7dN3CwVv8/H9Tr4arBE36nzjWMEkSUEQl043XCk4Fu/PcxA+IGs0jknB&#10;N3lYLcejHDPtet7T7RAqEUPYZ6igDqHNpPRlTRZ94lriyJ1dZzFE2FVSd9jHcGvkNE1fpMWGY0ON&#10;Lb3VVH4drlZBcXkK5nP3Yfpid5rJ02U7+7lulXp8GNYLEIGGcBf/uzc6zk8nr/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GVxx8UAAADdAAAADwAAAAAAAAAA&#10;AAAAAAChAgAAZHJzL2Rvd25yZXYueG1sUEsFBgAAAAAEAAQA+QAAAJMDAAAAAA==&#10;" strokecolor="#231f20" strokeweight=".5pt"/>
                <w10:anchorlock/>
              </v:group>
            </w:pict>
          </mc:Fallback>
        </mc:AlternateContent>
      </w:r>
    </w:p>
    <w:p w14:paraId="5CD17DBA" w14:textId="77777777" w:rsidR="00DE575E" w:rsidRDefault="00DE575E">
      <w:pPr>
        <w:pStyle w:val="BodyText"/>
        <w:spacing w:before="7"/>
        <w:rPr>
          <w:rFonts w:ascii="AdonisC"/>
          <w:i/>
          <w:sz w:val="19"/>
        </w:rPr>
      </w:pPr>
    </w:p>
    <w:p w14:paraId="6BD142C7" w14:textId="77777777" w:rsidR="00DE575E" w:rsidRDefault="002E7560">
      <w:pPr>
        <w:pStyle w:val="BodyText"/>
        <w:spacing w:before="1" w:line="252" w:lineRule="auto"/>
        <w:ind w:left="250" w:right="409"/>
        <w:jc w:val="both"/>
      </w:pPr>
      <w:r>
        <w:rPr>
          <w:color w:val="231F20"/>
        </w:rPr>
        <w:t>підтримку електронних петицій, та розміщує текст електронної петиції. Вона оприлюднюється на офіційному веб-сайті відповідно През</w:t>
      </w:r>
      <w:r>
        <w:rPr>
          <w:color w:val="231F20"/>
        </w:rPr>
        <w:t>идента України, Верховної Ради України, Кабінету Міністрів України, органу місцевого самоврядування або на веб-сайті громад- ського об’єднання, яке здійснює збір підписів на підтримку елект- ронних петицій, упродовж двох робочих днів із дня надсилання її а</w:t>
      </w:r>
      <w:r>
        <w:rPr>
          <w:color w:val="231F20"/>
        </w:rPr>
        <w:t>втором (ініціатором).</w:t>
      </w:r>
    </w:p>
    <w:p w14:paraId="55FBAFF2" w14:textId="77777777" w:rsidR="00DE575E" w:rsidRDefault="002E7560">
      <w:pPr>
        <w:pStyle w:val="BodyText"/>
        <w:spacing w:before="3" w:line="252" w:lineRule="auto"/>
        <w:ind w:left="250" w:right="410" w:firstLine="283"/>
        <w:jc w:val="both"/>
      </w:pPr>
      <w:r>
        <w:rPr>
          <w:color w:val="231F20"/>
        </w:rPr>
        <w:t>Дата оприлюднення електронної петиції на офіційному</w:t>
      </w:r>
      <w:r>
        <w:rPr>
          <w:color w:val="231F20"/>
          <w:spacing w:val="-35"/>
        </w:rPr>
        <w:t xml:space="preserve"> </w:t>
      </w:r>
      <w:r>
        <w:rPr>
          <w:color w:val="231F20"/>
        </w:rPr>
        <w:t xml:space="preserve">веб-сайті відповідно Президента </w:t>
      </w:r>
      <w:r>
        <w:rPr>
          <w:color w:val="231F20"/>
          <w:spacing w:val="-3"/>
        </w:rPr>
        <w:t xml:space="preserve">України, </w:t>
      </w:r>
      <w:r>
        <w:rPr>
          <w:color w:val="231F20"/>
        </w:rPr>
        <w:t xml:space="preserve">Верховної Ради </w:t>
      </w:r>
      <w:r>
        <w:rPr>
          <w:color w:val="231F20"/>
          <w:spacing w:val="-3"/>
        </w:rPr>
        <w:t xml:space="preserve">України, </w:t>
      </w:r>
      <w:r>
        <w:rPr>
          <w:color w:val="231F20"/>
        </w:rPr>
        <w:t xml:space="preserve">Кабінету Міністрів </w:t>
      </w:r>
      <w:r>
        <w:rPr>
          <w:color w:val="231F20"/>
          <w:spacing w:val="-3"/>
        </w:rPr>
        <w:t xml:space="preserve">України, </w:t>
      </w:r>
      <w:r>
        <w:rPr>
          <w:color w:val="231F20"/>
        </w:rPr>
        <w:t xml:space="preserve">відповідного органу місцевого самоврядування або на веб-сайті громадського </w:t>
      </w:r>
      <w:r>
        <w:rPr>
          <w:color w:val="231F20"/>
          <w:spacing w:val="-3"/>
        </w:rPr>
        <w:t xml:space="preserve">об’єднання </w:t>
      </w:r>
      <w:r>
        <w:rPr>
          <w:color w:val="231F20"/>
        </w:rPr>
        <w:t>є д</w:t>
      </w:r>
      <w:r>
        <w:rPr>
          <w:color w:val="231F20"/>
        </w:rPr>
        <w:t>атою початку збору підписів на її</w:t>
      </w:r>
      <w:r>
        <w:rPr>
          <w:color w:val="231F20"/>
          <w:spacing w:val="-1"/>
        </w:rPr>
        <w:t xml:space="preserve"> </w:t>
      </w:r>
      <w:r>
        <w:rPr>
          <w:color w:val="231F20"/>
        </w:rPr>
        <w:t>підтримку.</w:t>
      </w:r>
    </w:p>
    <w:p w14:paraId="3399C73C" w14:textId="77777777" w:rsidR="00DE575E" w:rsidRDefault="002E7560">
      <w:pPr>
        <w:pStyle w:val="BodyText"/>
        <w:spacing w:before="3" w:line="252" w:lineRule="auto"/>
        <w:ind w:left="250" w:right="409" w:firstLine="283"/>
        <w:jc w:val="both"/>
      </w:pPr>
      <w:r>
        <w:rPr>
          <w:color w:val="231F20"/>
        </w:rPr>
        <w:t>Електронна петиція не може містити закликів до повалення конституційного устрою, порушення територіальної цілісності України, пропаганду війни, насильства, жорстокості, розпалювання міжетнічної, расової, релігійної ворожнечі, закликів до вчинення терористи</w:t>
      </w:r>
      <w:r>
        <w:rPr>
          <w:color w:val="231F20"/>
        </w:rPr>
        <w:t>чних актів, посягання на права і свободи людини.</w:t>
      </w:r>
    </w:p>
    <w:p w14:paraId="2D7D06FD" w14:textId="77777777" w:rsidR="00DE575E" w:rsidRDefault="002E7560">
      <w:pPr>
        <w:pStyle w:val="BodyText"/>
        <w:spacing w:before="2" w:line="252" w:lineRule="auto"/>
        <w:ind w:left="250" w:right="411" w:firstLine="283"/>
        <w:jc w:val="both"/>
      </w:pPr>
      <w:r>
        <w:rPr>
          <w:color w:val="231F20"/>
        </w:rPr>
        <w:t>У разі невідповідності електронної петиції встановленим вимо- гам</w:t>
      </w:r>
      <w:r>
        <w:rPr>
          <w:color w:val="231F20"/>
          <w:spacing w:val="-11"/>
        </w:rPr>
        <w:t xml:space="preserve"> </w:t>
      </w:r>
      <w:r>
        <w:rPr>
          <w:color w:val="231F20"/>
        </w:rPr>
        <w:t>оприлюднення</w:t>
      </w:r>
      <w:r>
        <w:rPr>
          <w:color w:val="231F20"/>
          <w:spacing w:val="-11"/>
        </w:rPr>
        <w:t xml:space="preserve"> </w:t>
      </w:r>
      <w:r>
        <w:rPr>
          <w:color w:val="231F20"/>
        </w:rPr>
        <w:t>такої</w:t>
      </w:r>
      <w:r>
        <w:rPr>
          <w:color w:val="231F20"/>
          <w:spacing w:val="-11"/>
        </w:rPr>
        <w:t xml:space="preserve"> </w:t>
      </w:r>
      <w:r>
        <w:rPr>
          <w:color w:val="231F20"/>
        </w:rPr>
        <w:t>петиції</w:t>
      </w:r>
      <w:r>
        <w:rPr>
          <w:color w:val="231F20"/>
          <w:spacing w:val="-11"/>
        </w:rPr>
        <w:t xml:space="preserve"> </w:t>
      </w:r>
      <w:r>
        <w:rPr>
          <w:color w:val="231F20"/>
        </w:rPr>
        <w:t>не</w:t>
      </w:r>
      <w:r>
        <w:rPr>
          <w:color w:val="231F20"/>
          <w:spacing w:val="-11"/>
        </w:rPr>
        <w:t xml:space="preserve"> </w:t>
      </w:r>
      <w:r>
        <w:rPr>
          <w:color w:val="231F20"/>
        </w:rPr>
        <w:t>здійснюється,</w:t>
      </w:r>
      <w:r>
        <w:rPr>
          <w:color w:val="231F20"/>
          <w:spacing w:val="-11"/>
        </w:rPr>
        <w:t xml:space="preserve"> </w:t>
      </w:r>
      <w:r>
        <w:rPr>
          <w:color w:val="231F20"/>
        </w:rPr>
        <w:t>про</w:t>
      </w:r>
      <w:r>
        <w:rPr>
          <w:color w:val="231F20"/>
          <w:spacing w:val="-11"/>
        </w:rPr>
        <w:t xml:space="preserve"> </w:t>
      </w:r>
      <w:r>
        <w:rPr>
          <w:color w:val="231F20"/>
        </w:rPr>
        <w:t>що</w:t>
      </w:r>
      <w:r>
        <w:rPr>
          <w:color w:val="231F20"/>
          <w:spacing w:val="-11"/>
        </w:rPr>
        <w:t xml:space="preserve"> </w:t>
      </w:r>
      <w:r>
        <w:rPr>
          <w:color w:val="231F20"/>
        </w:rPr>
        <w:t>повідомля- ється</w:t>
      </w:r>
      <w:r>
        <w:rPr>
          <w:color w:val="231F20"/>
          <w:spacing w:val="-11"/>
        </w:rPr>
        <w:t xml:space="preserve"> </w:t>
      </w:r>
      <w:r>
        <w:rPr>
          <w:color w:val="231F20"/>
        </w:rPr>
        <w:t>автору</w:t>
      </w:r>
      <w:r>
        <w:rPr>
          <w:color w:val="231F20"/>
          <w:spacing w:val="-11"/>
        </w:rPr>
        <w:t xml:space="preserve"> </w:t>
      </w:r>
      <w:r>
        <w:rPr>
          <w:color w:val="231F20"/>
        </w:rPr>
        <w:t>(ініціатору)</w:t>
      </w:r>
      <w:r>
        <w:rPr>
          <w:color w:val="231F20"/>
          <w:spacing w:val="-11"/>
        </w:rPr>
        <w:t xml:space="preserve"> </w:t>
      </w:r>
      <w:r>
        <w:rPr>
          <w:color w:val="231F20"/>
        </w:rPr>
        <w:t>не</w:t>
      </w:r>
      <w:r>
        <w:rPr>
          <w:color w:val="231F20"/>
          <w:spacing w:val="-11"/>
        </w:rPr>
        <w:t xml:space="preserve"> </w:t>
      </w:r>
      <w:r>
        <w:rPr>
          <w:color w:val="231F20"/>
        </w:rPr>
        <w:t>пізніше</w:t>
      </w:r>
      <w:r>
        <w:rPr>
          <w:color w:val="231F20"/>
          <w:spacing w:val="-11"/>
        </w:rPr>
        <w:t xml:space="preserve"> </w:t>
      </w:r>
      <w:r>
        <w:rPr>
          <w:color w:val="231F20"/>
          <w:spacing w:val="-3"/>
        </w:rPr>
        <w:t>строку,</w:t>
      </w:r>
      <w:r>
        <w:rPr>
          <w:color w:val="231F20"/>
          <w:spacing w:val="-11"/>
        </w:rPr>
        <w:t xml:space="preserve"> </w:t>
      </w:r>
      <w:r>
        <w:rPr>
          <w:color w:val="231F20"/>
        </w:rPr>
        <w:t>встановленого</w:t>
      </w:r>
      <w:r>
        <w:rPr>
          <w:color w:val="231F20"/>
          <w:spacing w:val="-11"/>
        </w:rPr>
        <w:t xml:space="preserve"> </w:t>
      </w:r>
      <w:r>
        <w:rPr>
          <w:color w:val="231F20"/>
        </w:rPr>
        <w:t>для</w:t>
      </w:r>
      <w:r>
        <w:rPr>
          <w:color w:val="231F20"/>
          <w:spacing w:val="-11"/>
        </w:rPr>
        <w:t xml:space="preserve"> </w:t>
      </w:r>
      <w:r>
        <w:rPr>
          <w:color w:val="231F20"/>
        </w:rPr>
        <w:t>опри- люднення.</w:t>
      </w:r>
    </w:p>
    <w:p w14:paraId="3081E89C" w14:textId="77777777" w:rsidR="00DE575E" w:rsidRDefault="002E7560">
      <w:pPr>
        <w:pStyle w:val="BodyText"/>
        <w:spacing w:before="2" w:line="252" w:lineRule="auto"/>
        <w:ind w:left="250" w:right="411" w:firstLine="283"/>
        <w:jc w:val="both"/>
      </w:pPr>
      <w:r>
        <w:rPr>
          <w:color w:val="231F20"/>
        </w:rPr>
        <w:t>Відповідальність за зміст електронної петиції несе автор (ініціа- тор) електронної петиції.</w:t>
      </w:r>
    </w:p>
    <w:p w14:paraId="02C57434" w14:textId="77777777" w:rsidR="00DE575E" w:rsidRDefault="002E7560">
      <w:pPr>
        <w:pStyle w:val="BodyText"/>
        <w:spacing w:before="1" w:line="252" w:lineRule="auto"/>
        <w:ind w:left="250" w:right="410" w:firstLine="283"/>
        <w:jc w:val="both"/>
      </w:pPr>
      <w:r>
        <w:rPr>
          <w:color w:val="231F20"/>
        </w:rPr>
        <w:t>Відповідні органи державної влади, органи місцевого</w:t>
      </w:r>
      <w:r>
        <w:rPr>
          <w:color w:val="231F20"/>
          <w:spacing w:val="-30"/>
        </w:rPr>
        <w:t xml:space="preserve"> </w:t>
      </w:r>
      <w:r>
        <w:rPr>
          <w:color w:val="231F20"/>
        </w:rPr>
        <w:t xml:space="preserve">самовряду- вання та громадські </w:t>
      </w:r>
      <w:r>
        <w:rPr>
          <w:color w:val="231F20"/>
          <w:spacing w:val="-3"/>
        </w:rPr>
        <w:t xml:space="preserve">об’єднання </w:t>
      </w:r>
      <w:r>
        <w:rPr>
          <w:color w:val="231F20"/>
        </w:rPr>
        <w:t>під час збору підписів на підтримку електронної петиції зобов’язані за</w:t>
      </w:r>
      <w:r>
        <w:rPr>
          <w:color w:val="231F20"/>
        </w:rPr>
        <w:t xml:space="preserve">безпечити безоплатність доступу відповідно до Закону </w:t>
      </w:r>
      <w:r>
        <w:rPr>
          <w:color w:val="231F20"/>
          <w:spacing w:val="-3"/>
        </w:rPr>
        <w:t xml:space="preserve">України </w:t>
      </w:r>
      <w:r>
        <w:rPr>
          <w:color w:val="231F20"/>
        </w:rPr>
        <w:t>«Про звернення</w:t>
      </w:r>
      <w:r>
        <w:rPr>
          <w:color w:val="231F20"/>
          <w:spacing w:val="-3"/>
        </w:rPr>
        <w:t xml:space="preserve"> </w:t>
      </w:r>
      <w:r>
        <w:rPr>
          <w:color w:val="231F20"/>
        </w:rPr>
        <w:t>громадян».</w:t>
      </w:r>
    </w:p>
    <w:p w14:paraId="6C07A5F6" w14:textId="77777777" w:rsidR="00DE575E" w:rsidRDefault="002E7560">
      <w:pPr>
        <w:pStyle w:val="BodyText"/>
        <w:spacing w:before="2" w:line="252" w:lineRule="auto"/>
        <w:ind w:left="250" w:right="411" w:firstLine="283"/>
        <w:jc w:val="both"/>
      </w:pPr>
      <w:r>
        <w:rPr>
          <w:color w:val="231F20"/>
        </w:rPr>
        <w:t xml:space="preserve">Електронна петиція, адресована відповідно Президенту </w:t>
      </w:r>
      <w:r>
        <w:rPr>
          <w:color w:val="231F20"/>
          <w:spacing w:val="-3"/>
        </w:rPr>
        <w:t xml:space="preserve">України, </w:t>
      </w:r>
      <w:r>
        <w:rPr>
          <w:color w:val="231F20"/>
        </w:rPr>
        <w:t xml:space="preserve">Верховній Раді </w:t>
      </w:r>
      <w:r>
        <w:rPr>
          <w:color w:val="231F20"/>
          <w:spacing w:val="-3"/>
        </w:rPr>
        <w:t xml:space="preserve">України, </w:t>
      </w:r>
      <w:r>
        <w:rPr>
          <w:color w:val="231F20"/>
        </w:rPr>
        <w:t xml:space="preserve">Кабінету Міністрів </w:t>
      </w:r>
      <w:r>
        <w:rPr>
          <w:color w:val="231F20"/>
          <w:spacing w:val="-3"/>
        </w:rPr>
        <w:t xml:space="preserve">України, </w:t>
      </w:r>
      <w:r>
        <w:rPr>
          <w:color w:val="231F20"/>
        </w:rPr>
        <w:t xml:space="preserve">розглядається  у </w:t>
      </w:r>
      <w:r>
        <w:rPr>
          <w:color w:val="231F20"/>
          <w:spacing w:val="-3"/>
        </w:rPr>
        <w:t xml:space="preserve">порядку, </w:t>
      </w:r>
      <w:r>
        <w:rPr>
          <w:color w:val="231F20"/>
        </w:rPr>
        <w:t>установленому статтею 23-1 За</w:t>
      </w:r>
      <w:r>
        <w:rPr>
          <w:color w:val="231F20"/>
        </w:rPr>
        <w:t xml:space="preserve">кону </w:t>
      </w:r>
      <w:r>
        <w:rPr>
          <w:color w:val="231F20"/>
          <w:spacing w:val="-3"/>
        </w:rPr>
        <w:t xml:space="preserve">України </w:t>
      </w:r>
      <w:r>
        <w:rPr>
          <w:color w:val="231F20"/>
        </w:rPr>
        <w:t>«Про звер- нення</w:t>
      </w:r>
      <w:r>
        <w:rPr>
          <w:color w:val="231F20"/>
          <w:spacing w:val="-6"/>
        </w:rPr>
        <w:t xml:space="preserve"> </w:t>
      </w:r>
      <w:r>
        <w:rPr>
          <w:color w:val="231F20"/>
        </w:rPr>
        <w:t>громадян»</w:t>
      </w:r>
      <w:r>
        <w:rPr>
          <w:color w:val="231F20"/>
          <w:spacing w:val="-5"/>
        </w:rPr>
        <w:t xml:space="preserve"> </w:t>
      </w:r>
      <w:r>
        <w:rPr>
          <w:color w:val="231F20"/>
        </w:rPr>
        <w:t>та</w:t>
      </w:r>
      <w:r>
        <w:rPr>
          <w:color w:val="231F20"/>
          <w:spacing w:val="-5"/>
        </w:rPr>
        <w:t xml:space="preserve"> </w:t>
      </w:r>
      <w:r>
        <w:rPr>
          <w:color w:val="231F20"/>
        </w:rPr>
        <w:t>ухваленими</w:t>
      </w:r>
      <w:r>
        <w:rPr>
          <w:color w:val="231F20"/>
          <w:spacing w:val="-5"/>
        </w:rPr>
        <w:t xml:space="preserve"> </w:t>
      </w:r>
      <w:r>
        <w:rPr>
          <w:color w:val="231F20"/>
        </w:rPr>
        <w:t>на</w:t>
      </w:r>
      <w:r>
        <w:rPr>
          <w:color w:val="231F20"/>
          <w:spacing w:val="-5"/>
        </w:rPr>
        <w:t xml:space="preserve"> </w:t>
      </w:r>
      <w:r>
        <w:rPr>
          <w:color w:val="231F20"/>
        </w:rPr>
        <w:t>її</w:t>
      </w:r>
      <w:r>
        <w:rPr>
          <w:color w:val="231F20"/>
          <w:spacing w:val="-5"/>
        </w:rPr>
        <w:t xml:space="preserve"> </w:t>
      </w:r>
      <w:r>
        <w:rPr>
          <w:color w:val="231F20"/>
        </w:rPr>
        <w:t>виконання</w:t>
      </w:r>
      <w:r>
        <w:rPr>
          <w:color w:val="231F20"/>
          <w:spacing w:val="-5"/>
        </w:rPr>
        <w:t xml:space="preserve"> </w:t>
      </w:r>
      <w:r>
        <w:rPr>
          <w:color w:val="231F20"/>
        </w:rPr>
        <w:t>нормативно-право- вими</w:t>
      </w:r>
      <w:r>
        <w:rPr>
          <w:color w:val="231F20"/>
          <w:spacing w:val="-2"/>
        </w:rPr>
        <w:t xml:space="preserve"> </w:t>
      </w:r>
      <w:r>
        <w:rPr>
          <w:color w:val="231F20"/>
        </w:rPr>
        <w:t>актами.</w:t>
      </w:r>
    </w:p>
    <w:p w14:paraId="7C76BB9D" w14:textId="77777777" w:rsidR="00DE575E" w:rsidRDefault="002E7560">
      <w:pPr>
        <w:pStyle w:val="BodyText"/>
        <w:spacing w:before="2" w:line="252" w:lineRule="auto"/>
        <w:ind w:left="250" w:right="411" w:firstLine="283"/>
        <w:jc w:val="both"/>
      </w:pPr>
      <w:r>
        <w:rPr>
          <w:color w:val="231F20"/>
        </w:rPr>
        <w:t xml:space="preserve">Обов’язковими умовами, за наявності яких електронна  пети-  ція підлягає </w:t>
      </w:r>
      <w:r>
        <w:rPr>
          <w:color w:val="231F20"/>
          <w:spacing w:val="-4"/>
        </w:rPr>
        <w:t xml:space="preserve">розгляду, </w:t>
      </w:r>
      <w:r>
        <w:rPr>
          <w:color w:val="231F20"/>
        </w:rPr>
        <w:t>є факт збору  на  її  підтримку  не  менш  як  25 000 підписів громадян упродовж не більше трьох місяців з дня оприлюднення</w:t>
      </w:r>
      <w:r>
        <w:rPr>
          <w:color w:val="231F20"/>
          <w:spacing w:val="-2"/>
        </w:rPr>
        <w:t xml:space="preserve"> </w:t>
      </w:r>
      <w:r>
        <w:rPr>
          <w:color w:val="231F20"/>
        </w:rPr>
        <w:t>петиції.</w:t>
      </w:r>
    </w:p>
    <w:p w14:paraId="72086081" w14:textId="77777777" w:rsidR="00DE575E" w:rsidRDefault="002E7560">
      <w:pPr>
        <w:pStyle w:val="BodyText"/>
        <w:spacing w:before="2" w:line="252" w:lineRule="auto"/>
        <w:ind w:left="250" w:right="410" w:firstLine="283"/>
        <w:jc w:val="both"/>
      </w:pPr>
      <w:r>
        <w:rPr>
          <w:color w:val="231F20"/>
        </w:rPr>
        <w:t>Вимоги</w:t>
      </w:r>
      <w:r>
        <w:rPr>
          <w:color w:val="231F20"/>
          <w:spacing w:val="-10"/>
        </w:rPr>
        <w:t xml:space="preserve"> </w:t>
      </w:r>
      <w:r>
        <w:rPr>
          <w:color w:val="231F20"/>
        </w:rPr>
        <w:t>до</w:t>
      </w:r>
      <w:r>
        <w:rPr>
          <w:color w:val="231F20"/>
          <w:spacing w:val="-10"/>
        </w:rPr>
        <w:t xml:space="preserve"> </w:t>
      </w:r>
      <w:r>
        <w:rPr>
          <w:color w:val="231F20"/>
        </w:rPr>
        <w:t>кількості</w:t>
      </w:r>
      <w:r>
        <w:rPr>
          <w:color w:val="231F20"/>
          <w:spacing w:val="-10"/>
        </w:rPr>
        <w:t xml:space="preserve"> </w:t>
      </w:r>
      <w:r>
        <w:rPr>
          <w:color w:val="231F20"/>
        </w:rPr>
        <w:t>підписів</w:t>
      </w:r>
      <w:r>
        <w:rPr>
          <w:color w:val="231F20"/>
          <w:spacing w:val="-10"/>
        </w:rPr>
        <w:t xml:space="preserve"> </w:t>
      </w:r>
      <w:r>
        <w:rPr>
          <w:color w:val="231F20"/>
        </w:rPr>
        <w:t>громадян</w:t>
      </w:r>
      <w:r>
        <w:rPr>
          <w:color w:val="231F20"/>
          <w:spacing w:val="-10"/>
        </w:rPr>
        <w:t xml:space="preserve"> </w:t>
      </w:r>
      <w:r>
        <w:rPr>
          <w:color w:val="231F20"/>
        </w:rPr>
        <w:t>на</w:t>
      </w:r>
      <w:r>
        <w:rPr>
          <w:color w:val="231F20"/>
          <w:spacing w:val="-10"/>
        </w:rPr>
        <w:t xml:space="preserve"> </w:t>
      </w:r>
      <w:r>
        <w:rPr>
          <w:color w:val="231F20"/>
        </w:rPr>
        <w:t>підтримку</w:t>
      </w:r>
      <w:r>
        <w:rPr>
          <w:color w:val="231F20"/>
          <w:spacing w:val="-10"/>
        </w:rPr>
        <w:t xml:space="preserve"> </w:t>
      </w:r>
      <w:r>
        <w:rPr>
          <w:color w:val="231F20"/>
        </w:rPr>
        <w:t>електронної петиції до органу місцевого самоврядування та строку збору п</w:t>
      </w:r>
      <w:r>
        <w:rPr>
          <w:color w:val="231F20"/>
        </w:rPr>
        <w:t>ідпи- сів визначаються статутом територіальної</w:t>
      </w:r>
      <w:r>
        <w:rPr>
          <w:color w:val="231F20"/>
          <w:spacing w:val="-3"/>
        </w:rPr>
        <w:t xml:space="preserve"> </w:t>
      </w:r>
      <w:r>
        <w:rPr>
          <w:color w:val="231F20"/>
        </w:rPr>
        <w:t>громади.</w:t>
      </w:r>
    </w:p>
    <w:p w14:paraId="466B3969" w14:textId="77777777" w:rsidR="00DE575E" w:rsidRDefault="00DE575E">
      <w:pPr>
        <w:pStyle w:val="BodyText"/>
        <w:spacing w:before="6"/>
        <w:rPr>
          <w:sz w:val="12"/>
        </w:rPr>
      </w:pPr>
    </w:p>
    <w:p w14:paraId="1A86576D" w14:textId="77777777" w:rsidR="00DE575E" w:rsidRDefault="002E7560">
      <w:pPr>
        <w:spacing w:before="92"/>
        <w:ind w:right="411"/>
        <w:jc w:val="right"/>
        <w:rPr>
          <w:rFonts w:ascii="Times New Roman"/>
          <w:sz w:val="20"/>
        </w:rPr>
      </w:pPr>
      <w:r>
        <w:rPr>
          <w:rFonts w:ascii="Times New Roman"/>
          <w:color w:val="231F20"/>
          <w:w w:val="90"/>
          <w:sz w:val="20"/>
        </w:rPr>
        <w:t>159</w:t>
      </w:r>
    </w:p>
    <w:p w14:paraId="2ED4A1C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E4E229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691942F" w14:textId="0A14DF1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8D01195" wp14:editId="247DD303">
                <wp:extent cx="4140200" cy="6350"/>
                <wp:effectExtent l="0" t="0" r="12700" b="6350"/>
                <wp:docPr id="1016"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17" name="Line 101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13775" id="Group_x0020_101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eQWXzgAIAAJwFAAAO&#10;AAAAAAAAAAAAAAAAACwCAABkcnMvZTJvRG9jLnhtbFBLAQItABQABgAIAAAAIQBMp7CQ2QAAAAMB&#10;AAAPAAAAAAAAAAAAAAAAANgEAABkcnMvZG93bnJldi54bWxQSwUGAAAAAAQABADzAAAA3gUAAAAA&#10;">
                <v:line id="Line_x0020_101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ZALsUAAADdAAAADwAAAGRycy9kb3ducmV2LnhtbERPzWrCQBC+C77DMoVeSrNRoZaYVaRQ&#10;kB60Gh9gzI5J6O5szK4m7dN3CwVv8/H9Tr4arBE36nzjWMEkSUEQl043XCk4Fu/PryB8QNZoHJOC&#10;b/KwWo5HOWba9byn2yFUIoawz1BBHUKbSenLmiz6xLXEkTu7zmKIsKuk7rCP4dbIaZq+SIsNx4Ya&#10;W3qrqfw6XK2C4vIUzOfuw/TF7jSTp8t29nPdKvX4MKwXIAIN4S7+d290nJ9O5v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rZALsUAAADdAAAADwAAAAAAAAAA&#10;AAAAAAChAgAAZHJzL2Rvd25yZXYueG1sUEsFBgAAAAAEAAQA+QAAAJMDAAAAAA==&#10;" strokecolor="#231f20" strokeweight=".5pt"/>
                <w10:anchorlock/>
              </v:group>
            </w:pict>
          </mc:Fallback>
        </mc:AlternateContent>
      </w:r>
    </w:p>
    <w:p w14:paraId="19EE91B0" w14:textId="77777777" w:rsidR="00DE575E" w:rsidRDefault="00DE575E">
      <w:pPr>
        <w:pStyle w:val="BodyText"/>
        <w:spacing w:before="7"/>
        <w:rPr>
          <w:rFonts w:ascii="AdonisC"/>
          <w:i/>
          <w:sz w:val="11"/>
        </w:rPr>
      </w:pPr>
    </w:p>
    <w:p w14:paraId="7057D2C5" w14:textId="77777777" w:rsidR="00DE575E" w:rsidRDefault="002E7560">
      <w:pPr>
        <w:pStyle w:val="BodyText"/>
        <w:spacing w:before="101" w:line="252" w:lineRule="auto"/>
        <w:ind w:left="533" w:right="125" w:firstLine="283"/>
        <w:jc w:val="both"/>
      </w:pPr>
      <w:r>
        <w:rPr>
          <w:color w:val="231F20"/>
        </w:rPr>
        <w:t>Електронна</w:t>
      </w:r>
      <w:r>
        <w:rPr>
          <w:color w:val="231F20"/>
          <w:spacing w:val="-21"/>
        </w:rPr>
        <w:t xml:space="preserve"> </w:t>
      </w:r>
      <w:r>
        <w:rPr>
          <w:color w:val="231F20"/>
        </w:rPr>
        <w:t>петиція,</w:t>
      </w:r>
      <w:r>
        <w:rPr>
          <w:color w:val="231F20"/>
          <w:spacing w:val="-21"/>
        </w:rPr>
        <w:t xml:space="preserve"> </w:t>
      </w:r>
      <w:r>
        <w:rPr>
          <w:color w:val="231F20"/>
        </w:rPr>
        <w:t>збір</w:t>
      </w:r>
      <w:r>
        <w:rPr>
          <w:color w:val="231F20"/>
          <w:spacing w:val="-21"/>
        </w:rPr>
        <w:t xml:space="preserve"> </w:t>
      </w:r>
      <w:r>
        <w:rPr>
          <w:color w:val="231F20"/>
        </w:rPr>
        <w:t>підписів</w:t>
      </w:r>
      <w:r>
        <w:rPr>
          <w:color w:val="231F20"/>
          <w:spacing w:val="-21"/>
        </w:rPr>
        <w:t xml:space="preserve"> </w:t>
      </w:r>
      <w:r>
        <w:rPr>
          <w:color w:val="231F20"/>
        </w:rPr>
        <w:t>на</w:t>
      </w:r>
      <w:r>
        <w:rPr>
          <w:color w:val="231F20"/>
          <w:spacing w:val="-21"/>
        </w:rPr>
        <w:t xml:space="preserve"> </w:t>
      </w:r>
      <w:r>
        <w:rPr>
          <w:color w:val="231F20"/>
        </w:rPr>
        <w:t>підтримку</w:t>
      </w:r>
      <w:r>
        <w:rPr>
          <w:color w:val="231F20"/>
          <w:spacing w:val="-21"/>
        </w:rPr>
        <w:t xml:space="preserve"> </w:t>
      </w:r>
      <w:r>
        <w:rPr>
          <w:color w:val="231F20"/>
        </w:rPr>
        <w:t>якої</w:t>
      </w:r>
      <w:r>
        <w:rPr>
          <w:color w:val="231F20"/>
          <w:spacing w:val="-21"/>
        </w:rPr>
        <w:t xml:space="preserve"> </w:t>
      </w:r>
      <w:r>
        <w:rPr>
          <w:color w:val="231F20"/>
        </w:rPr>
        <w:t xml:space="preserve">здійснювався через веб-сайт громадського </w:t>
      </w:r>
      <w:r>
        <w:rPr>
          <w:color w:val="231F20"/>
          <w:spacing w:val="-3"/>
        </w:rPr>
        <w:t xml:space="preserve">об’єднання </w:t>
      </w:r>
      <w:r>
        <w:rPr>
          <w:color w:val="231F20"/>
        </w:rPr>
        <w:t xml:space="preserve">і яка впродовж установле- ного строку набрала достатню кількість підписів на її підтримку, не пізніше наступного дня після набрання необхідної кількості підпи- сів надсилається громадським </w:t>
      </w:r>
      <w:r>
        <w:rPr>
          <w:color w:val="231F20"/>
          <w:spacing w:val="-3"/>
        </w:rPr>
        <w:t>об’єднанням орг</w:t>
      </w:r>
      <w:r>
        <w:rPr>
          <w:color w:val="231F20"/>
          <w:spacing w:val="-3"/>
        </w:rPr>
        <w:t xml:space="preserve">ану, </w:t>
      </w:r>
      <w:r>
        <w:rPr>
          <w:color w:val="231F20"/>
        </w:rPr>
        <w:t>якому адре- сована петиція, із зазначенням інформації про дату початку збору підписів, дату направлення електронної петиції, загальну кількість та перелік осіб, які підписали електронну петицію (чи посилання на джерело такої інформації в мережі Інтерн</w:t>
      </w:r>
      <w:r>
        <w:rPr>
          <w:color w:val="231F20"/>
        </w:rPr>
        <w:t>ет), строк збору підписів, назву та адресу електронної пошти громадського</w:t>
      </w:r>
      <w:r>
        <w:rPr>
          <w:color w:val="231F20"/>
          <w:spacing w:val="-4"/>
        </w:rPr>
        <w:t xml:space="preserve"> </w:t>
      </w:r>
      <w:r>
        <w:rPr>
          <w:color w:val="231F20"/>
          <w:spacing w:val="-3"/>
        </w:rPr>
        <w:t>об’єднання.</w:t>
      </w:r>
    </w:p>
    <w:p w14:paraId="743DB47E" w14:textId="77777777" w:rsidR="00DE575E" w:rsidRDefault="002E7560">
      <w:pPr>
        <w:pStyle w:val="BodyText"/>
        <w:spacing w:before="5" w:line="252" w:lineRule="auto"/>
        <w:ind w:left="533" w:right="127" w:firstLine="283"/>
        <w:jc w:val="both"/>
      </w:pPr>
      <w:r>
        <w:rPr>
          <w:color w:val="231F20"/>
          <w:spacing w:val="-5"/>
        </w:rPr>
        <w:t xml:space="preserve">Інформація </w:t>
      </w:r>
      <w:r>
        <w:rPr>
          <w:color w:val="231F20"/>
          <w:spacing w:val="-4"/>
        </w:rPr>
        <w:t xml:space="preserve">про </w:t>
      </w:r>
      <w:r>
        <w:rPr>
          <w:color w:val="231F20"/>
          <w:spacing w:val="-5"/>
        </w:rPr>
        <w:t xml:space="preserve">початок </w:t>
      </w:r>
      <w:r>
        <w:rPr>
          <w:color w:val="231F20"/>
          <w:spacing w:val="-6"/>
        </w:rPr>
        <w:t xml:space="preserve">розгляду </w:t>
      </w:r>
      <w:r>
        <w:rPr>
          <w:color w:val="231F20"/>
          <w:spacing w:val="-5"/>
        </w:rPr>
        <w:t xml:space="preserve">електронної петиції, </w:t>
      </w:r>
      <w:r>
        <w:rPr>
          <w:color w:val="231F20"/>
          <w:spacing w:val="-4"/>
        </w:rPr>
        <w:t xml:space="preserve">яка </w:t>
      </w:r>
      <w:r>
        <w:rPr>
          <w:color w:val="231F20"/>
        </w:rPr>
        <w:t xml:space="preserve">в </w:t>
      </w:r>
      <w:r>
        <w:rPr>
          <w:color w:val="231F20"/>
          <w:spacing w:val="-5"/>
        </w:rPr>
        <w:t xml:space="preserve">уста- новлений </w:t>
      </w:r>
      <w:r>
        <w:rPr>
          <w:color w:val="231F20"/>
          <w:spacing w:val="-4"/>
        </w:rPr>
        <w:t xml:space="preserve">строк </w:t>
      </w:r>
      <w:r>
        <w:rPr>
          <w:color w:val="231F20"/>
          <w:spacing w:val="-5"/>
        </w:rPr>
        <w:t xml:space="preserve">набрала достатню кількість голосів </w:t>
      </w:r>
      <w:r>
        <w:rPr>
          <w:color w:val="231F20"/>
          <w:spacing w:val="-3"/>
        </w:rPr>
        <w:t xml:space="preserve">на її </w:t>
      </w:r>
      <w:r>
        <w:rPr>
          <w:color w:val="231F20"/>
          <w:spacing w:val="-7"/>
        </w:rPr>
        <w:t xml:space="preserve">підтримку, </w:t>
      </w:r>
      <w:r>
        <w:rPr>
          <w:color w:val="231F20"/>
          <w:spacing w:val="-5"/>
        </w:rPr>
        <w:t xml:space="preserve">оприлюднюється </w:t>
      </w:r>
      <w:r>
        <w:rPr>
          <w:color w:val="231F20"/>
          <w:spacing w:val="-3"/>
        </w:rPr>
        <w:t xml:space="preserve">на </w:t>
      </w:r>
      <w:r>
        <w:rPr>
          <w:color w:val="231F20"/>
          <w:spacing w:val="-5"/>
        </w:rPr>
        <w:t xml:space="preserve">офіційному веб-сайті відповідно Президента </w:t>
      </w:r>
      <w:r>
        <w:rPr>
          <w:color w:val="231F20"/>
          <w:spacing w:val="-6"/>
        </w:rPr>
        <w:t xml:space="preserve">України, Верховної </w:t>
      </w:r>
      <w:r>
        <w:rPr>
          <w:color w:val="231F20"/>
          <w:spacing w:val="-5"/>
        </w:rPr>
        <w:t xml:space="preserve">Ради </w:t>
      </w:r>
      <w:r>
        <w:rPr>
          <w:color w:val="231F20"/>
          <w:spacing w:val="-6"/>
        </w:rPr>
        <w:t xml:space="preserve">України, </w:t>
      </w:r>
      <w:r>
        <w:rPr>
          <w:color w:val="231F20"/>
          <w:spacing w:val="-4"/>
        </w:rPr>
        <w:t xml:space="preserve">Кабінету </w:t>
      </w:r>
      <w:r>
        <w:rPr>
          <w:color w:val="231F20"/>
          <w:spacing w:val="-5"/>
        </w:rPr>
        <w:t xml:space="preserve">Міністрів </w:t>
      </w:r>
      <w:r>
        <w:rPr>
          <w:color w:val="231F20"/>
          <w:spacing w:val="-6"/>
        </w:rPr>
        <w:t xml:space="preserve">України, </w:t>
      </w:r>
      <w:r>
        <w:rPr>
          <w:color w:val="231F20"/>
          <w:spacing w:val="-5"/>
        </w:rPr>
        <w:t xml:space="preserve">відповід- </w:t>
      </w:r>
      <w:r>
        <w:rPr>
          <w:color w:val="231F20"/>
          <w:spacing w:val="-4"/>
        </w:rPr>
        <w:t xml:space="preserve">ного </w:t>
      </w:r>
      <w:r>
        <w:rPr>
          <w:color w:val="231F20"/>
          <w:spacing w:val="-5"/>
        </w:rPr>
        <w:t xml:space="preserve">органу місцевого самоврядування </w:t>
      </w:r>
      <w:r>
        <w:rPr>
          <w:color w:val="231F20"/>
          <w:spacing w:val="-3"/>
        </w:rPr>
        <w:t xml:space="preserve">не </w:t>
      </w:r>
      <w:r>
        <w:rPr>
          <w:color w:val="231F20"/>
          <w:spacing w:val="-5"/>
        </w:rPr>
        <w:t xml:space="preserve">пізніш </w:t>
      </w:r>
      <w:r>
        <w:rPr>
          <w:color w:val="231F20"/>
          <w:spacing w:val="-3"/>
        </w:rPr>
        <w:t xml:space="preserve">як </w:t>
      </w:r>
      <w:r>
        <w:rPr>
          <w:color w:val="231F20"/>
          <w:spacing w:val="-4"/>
        </w:rPr>
        <w:t xml:space="preserve">через три </w:t>
      </w:r>
      <w:r>
        <w:rPr>
          <w:color w:val="231F20"/>
          <w:spacing w:val="-5"/>
        </w:rPr>
        <w:t xml:space="preserve">робочі </w:t>
      </w:r>
      <w:r>
        <w:rPr>
          <w:color w:val="231F20"/>
          <w:spacing w:val="-4"/>
        </w:rPr>
        <w:t xml:space="preserve">дні після </w:t>
      </w:r>
      <w:r>
        <w:rPr>
          <w:color w:val="231F20"/>
          <w:spacing w:val="-5"/>
        </w:rPr>
        <w:t xml:space="preserve">набрання достатньої кількості підписів </w:t>
      </w:r>
      <w:r>
        <w:rPr>
          <w:color w:val="231F20"/>
          <w:spacing w:val="-3"/>
        </w:rPr>
        <w:t xml:space="preserve">на </w:t>
      </w:r>
      <w:r>
        <w:rPr>
          <w:color w:val="231F20"/>
          <w:spacing w:val="-5"/>
        </w:rPr>
        <w:t xml:space="preserve">підтримку петиції, </w:t>
      </w:r>
      <w:r>
        <w:rPr>
          <w:color w:val="231F20"/>
        </w:rPr>
        <w:t xml:space="preserve">а в </w:t>
      </w:r>
      <w:r>
        <w:rPr>
          <w:color w:val="231F20"/>
          <w:spacing w:val="-4"/>
        </w:rPr>
        <w:t xml:space="preserve">разі </w:t>
      </w:r>
      <w:r>
        <w:rPr>
          <w:color w:val="231F20"/>
          <w:spacing w:val="-5"/>
        </w:rPr>
        <w:t xml:space="preserve">отримання електронної петиції </w:t>
      </w:r>
      <w:r>
        <w:rPr>
          <w:color w:val="231F20"/>
          <w:spacing w:val="-4"/>
        </w:rPr>
        <w:t xml:space="preserve">від </w:t>
      </w:r>
      <w:r>
        <w:rPr>
          <w:color w:val="231F20"/>
          <w:spacing w:val="-5"/>
        </w:rPr>
        <w:t xml:space="preserve">громадського </w:t>
      </w:r>
      <w:r>
        <w:rPr>
          <w:color w:val="231F20"/>
          <w:spacing w:val="-7"/>
        </w:rPr>
        <w:t xml:space="preserve">об’єднання </w:t>
      </w:r>
      <w:r>
        <w:rPr>
          <w:color w:val="231F20"/>
        </w:rPr>
        <w:t xml:space="preserve">– </w:t>
      </w:r>
      <w:r>
        <w:rPr>
          <w:color w:val="231F20"/>
          <w:spacing w:val="-3"/>
        </w:rPr>
        <w:t xml:space="preserve">не </w:t>
      </w:r>
      <w:r>
        <w:rPr>
          <w:color w:val="231F20"/>
          <w:spacing w:val="-5"/>
        </w:rPr>
        <w:t xml:space="preserve">пізніш </w:t>
      </w:r>
      <w:r>
        <w:rPr>
          <w:color w:val="231F20"/>
          <w:spacing w:val="-3"/>
        </w:rPr>
        <w:t xml:space="preserve">як </w:t>
      </w:r>
      <w:r>
        <w:rPr>
          <w:color w:val="231F20"/>
          <w:spacing w:val="-4"/>
        </w:rPr>
        <w:t xml:space="preserve">через два </w:t>
      </w:r>
      <w:r>
        <w:rPr>
          <w:color w:val="231F20"/>
          <w:spacing w:val="-5"/>
        </w:rPr>
        <w:t xml:space="preserve">робочі </w:t>
      </w:r>
      <w:r>
        <w:rPr>
          <w:color w:val="231F20"/>
          <w:spacing w:val="-4"/>
        </w:rPr>
        <w:t xml:space="preserve">дні після </w:t>
      </w:r>
      <w:r>
        <w:rPr>
          <w:color w:val="231F20"/>
          <w:spacing w:val="-5"/>
        </w:rPr>
        <w:t>отримання такої петиції.</w:t>
      </w:r>
    </w:p>
    <w:p w14:paraId="7E423962" w14:textId="77777777" w:rsidR="00DE575E" w:rsidRDefault="002E7560">
      <w:pPr>
        <w:pStyle w:val="BodyText"/>
        <w:spacing w:before="4" w:line="252" w:lineRule="auto"/>
        <w:ind w:left="533" w:right="127" w:firstLine="283"/>
        <w:jc w:val="both"/>
      </w:pPr>
      <w:r>
        <w:rPr>
          <w:color w:val="231F20"/>
        </w:rPr>
        <w:t>Розгляд електронної петиції здійснюється невідкладно, але не пізніше десяти робочих днів з дня оприлюднення інформації про поч</w:t>
      </w:r>
      <w:r>
        <w:rPr>
          <w:color w:val="231F20"/>
        </w:rPr>
        <w:t>аток її розгляду.</w:t>
      </w:r>
    </w:p>
    <w:p w14:paraId="4DA06F4B" w14:textId="77777777" w:rsidR="00DE575E" w:rsidRDefault="002E7560">
      <w:pPr>
        <w:pStyle w:val="BodyText"/>
        <w:spacing w:before="1" w:line="252" w:lineRule="auto"/>
        <w:ind w:left="533" w:right="126" w:firstLine="283"/>
        <w:jc w:val="both"/>
      </w:pPr>
      <w:r>
        <w:rPr>
          <w:color w:val="231F20"/>
        </w:rPr>
        <w:t xml:space="preserve">Якщо електронна петиція містить клопотання про її </w:t>
      </w:r>
      <w:r>
        <w:rPr>
          <w:color w:val="231F20"/>
          <w:spacing w:val="-3"/>
        </w:rPr>
        <w:t xml:space="preserve">розгляд </w:t>
      </w:r>
      <w:r>
        <w:rPr>
          <w:color w:val="231F20"/>
        </w:rPr>
        <w:t xml:space="preserve">на парламентських слуханнях у Верховній Раді </w:t>
      </w:r>
      <w:r>
        <w:rPr>
          <w:color w:val="231F20"/>
          <w:spacing w:val="-3"/>
        </w:rPr>
        <w:t xml:space="preserve">України </w:t>
      </w:r>
      <w:r>
        <w:rPr>
          <w:color w:val="231F20"/>
        </w:rPr>
        <w:t>або громадсь- ких</w:t>
      </w:r>
      <w:r>
        <w:rPr>
          <w:color w:val="231F20"/>
          <w:spacing w:val="-11"/>
        </w:rPr>
        <w:t xml:space="preserve"> </w:t>
      </w:r>
      <w:r>
        <w:rPr>
          <w:color w:val="231F20"/>
        </w:rPr>
        <w:t>слуханнях</w:t>
      </w:r>
      <w:r>
        <w:rPr>
          <w:color w:val="231F20"/>
          <w:spacing w:val="-11"/>
        </w:rPr>
        <w:t xml:space="preserve"> </w:t>
      </w:r>
      <w:r>
        <w:rPr>
          <w:color w:val="231F20"/>
        </w:rPr>
        <w:t>відповідної</w:t>
      </w:r>
      <w:r>
        <w:rPr>
          <w:color w:val="231F20"/>
          <w:spacing w:val="-11"/>
        </w:rPr>
        <w:t xml:space="preserve"> </w:t>
      </w:r>
      <w:r>
        <w:rPr>
          <w:color w:val="231F20"/>
        </w:rPr>
        <w:t>територіальної</w:t>
      </w:r>
      <w:r>
        <w:rPr>
          <w:color w:val="231F20"/>
          <w:spacing w:val="-11"/>
        </w:rPr>
        <w:t xml:space="preserve"> </w:t>
      </w:r>
      <w:r>
        <w:rPr>
          <w:color w:val="231F20"/>
        </w:rPr>
        <w:t>громади,</w:t>
      </w:r>
      <w:r>
        <w:rPr>
          <w:color w:val="231F20"/>
          <w:spacing w:val="-11"/>
        </w:rPr>
        <w:t xml:space="preserve"> </w:t>
      </w:r>
      <w:r>
        <w:rPr>
          <w:color w:val="231F20"/>
        </w:rPr>
        <w:t>автор</w:t>
      </w:r>
      <w:r>
        <w:rPr>
          <w:color w:val="231F20"/>
          <w:spacing w:val="-11"/>
        </w:rPr>
        <w:t xml:space="preserve"> </w:t>
      </w:r>
      <w:r>
        <w:rPr>
          <w:color w:val="231F20"/>
        </w:rPr>
        <w:t>(ініціатор) петиції</w:t>
      </w:r>
      <w:r>
        <w:rPr>
          <w:color w:val="231F20"/>
          <w:spacing w:val="-11"/>
        </w:rPr>
        <w:t xml:space="preserve"> </w:t>
      </w:r>
      <w:r>
        <w:rPr>
          <w:color w:val="231F20"/>
        </w:rPr>
        <w:t>має</w:t>
      </w:r>
      <w:r>
        <w:rPr>
          <w:color w:val="231F20"/>
          <w:spacing w:val="-11"/>
        </w:rPr>
        <w:t xml:space="preserve"> </w:t>
      </w:r>
      <w:r>
        <w:rPr>
          <w:color w:val="231F20"/>
        </w:rPr>
        <w:t>право</w:t>
      </w:r>
      <w:r>
        <w:rPr>
          <w:color w:val="231F20"/>
          <w:spacing w:val="-11"/>
        </w:rPr>
        <w:t xml:space="preserve"> </w:t>
      </w:r>
      <w:r>
        <w:rPr>
          <w:color w:val="231F20"/>
        </w:rPr>
        <w:t>представити</w:t>
      </w:r>
      <w:r>
        <w:rPr>
          <w:color w:val="231F20"/>
          <w:spacing w:val="-11"/>
        </w:rPr>
        <w:t xml:space="preserve"> </w:t>
      </w:r>
      <w:r>
        <w:rPr>
          <w:color w:val="231F20"/>
        </w:rPr>
        <w:t>електронну</w:t>
      </w:r>
      <w:r>
        <w:rPr>
          <w:color w:val="231F20"/>
          <w:spacing w:val="-11"/>
        </w:rPr>
        <w:t xml:space="preserve"> </w:t>
      </w:r>
      <w:r>
        <w:rPr>
          <w:color w:val="231F20"/>
        </w:rPr>
        <w:t>петицію</w:t>
      </w:r>
      <w:r>
        <w:rPr>
          <w:color w:val="231F20"/>
          <w:spacing w:val="-11"/>
        </w:rPr>
        <w:t xml:space="preserve"> </w:t>
      </w:r>
      <w:r>
        <w:rPr>
          <w:color w:val="231F20"/>
        </w:rPr>
        <w:t>на</w:t>
      </w:r>
      <w:r>
        <w:rPr>
          <w:color w:val="231F20"/>
          <w:spacing w:val="-11"/>
        </w:rPr>
        <w:t xml:space="preserve"> </w:t>
      </w:r>
      <w:r>
        <w:rPr>
          <w:color w:val="231F20"/>
        </w:rPr>
        <w:t>таких</w:t>
      </w:r>
      <w:r>
        <w:rPr>
          <w:color w:val="231F20"/>
          <w:spacing w:val="-11"/>
        </w:rPr>
        <w:t xml:space="preserve"> </w:t>
      </w:r>
      <w:r>
        <w:rPr>
          <w:color w:val="231F20"/>
        </w:rPr>
        <w:t xml:space="preserve">слухан- нях. У такому разі строк </w:t>
      </w:r>
      <w:r>
        <w:rPr>
          <w:color w:val="231F20"/>
          <w:spacing w:val="-3"/>
        </w:rPr>
        <w:t xml:space="preserve">розгляду </w:t>
      </w:r>
      <w:r>
        <w:rPr>
          <w:color w:val="231F20"/>
        </w:rPr>
        <w:t>електронної петиції продовжу- ється на строк, достатній для проведення відповідних</w:t>
      </w:r>
      <w:r>
        <w:rPr>
          <w:color w:val="231F20"/>
          <w:spacing w:val="-10"/>
        </w:rPr>
        <w:t xml:space="preserve"> </w:t>
      </w:r>
      <w:r>
        <w:rPr>
          <w:color w:val="231F20"/>
        </w:rPr>
        <w:t>слухань.</w:t>
      </w:r>
    </w:p>
    <w:p w14:paraId="1EDA727B" w14:textId="77777777" w:rsidR="00DE575E" w:rsidRDefault="002E7560">
      <w:pPr>
        <w:pStyle w:val="BodyText"/>
        <w:spacing w:before="3" w:line="252" w:lineRule="auto"/>
        <w:ind w:left="533" w:right="126" w:firstLine="283"/>
        <w:jc w:val="both"/>
      </w:pPr>
      <w:r>
        <w:rPr>
          <w:color w:val="231F20"/>
        </w:rPr>
        <w:t>Про підтримку або непідтримку електронної петиції публічно оголошується на офіційному веб-сайті Президент</w:t>
      </w:r>
      <w:r>
        <w:rPr>
          <w:color w:val="231F20"/>
        </w:rPr>
        <w:t xml:space="preserve">ом </w:t>
      </w:r>
      <w:r>
        <w:rPr>
          <w:color w:val="231F20"/>
          <w:spacing w:val="-3"/>
        </w:rPr>
        <w:t xml:space="preserve">України </w:t>
      </w:r>
      <w:r>
        <w:rPr>
          <w:color w:val="231F20"/>
        </w:rPr>
        <w:t xml:space="preserve">– щодо електронної петиції, адресованої Президенту </w:t>
      </w:r>
      <w:r>
        <w:rPr>
          <w:color w:val="231F20"/>
          <w:spacing w:val="-3"/>
        </w:rPr>
        <w:t xml:space="preserve">України, Головою </w:t>
      </w:r>
      <w:r>
        <w:rPr>
          <w:color w:val="231F20"/>
        </w:rPr>
        <w:t xml:space="preserve">Верховної Ради </w:t>
      </w:r>
      <w:r>
        <w:rPr>
          <w:color w:val="231F20"/>
          <w:spacing w:val="-3"/>
        </w:rPr>
        <w:t xml:space="preserve">України </w:t>
      </w:r>
      <w:r>
        <w:rPr>
          <w:color w:val="231F20"/>
        </w:rPr>
        <w:t xml:space="preserve">– щодо електронної петиції, адресованої Верховній Раді </w:t>
      </w:r>
      <w:r>
        <w:rPr>
          <w:color w:val="231F20"/>
          <w:spacing w:val="-3"/>
        </w:rPr>
        <w:t xml:space="preserve">України, Прем’єр-міністром України </w:t>
      </w:r>
      <w:r>
        <w:rPr>
          <w:color w:val="231F20"/>
        </w:rPr>
        <w:t>– щодо електро- нної</w:t>
      </w:r>
      <w:r>
        <w:rPr>
          <w:color w:val="231F20"/>
          <w:spacing w:val="-9"/>
        </w:rPr>
        <w:t xml:space="preserve"> </w:t>
      </w:r>
      <w:r>
        <w:rPr>
          <w:color w:val="231F20"/>
        </w:rPr>
        <w:t>петиції,</w:t>
      </w:r>
      <w:r>
        <w:rPr>
          <w:color w:val="231F20"/>
          <w:spacing w:val="-9"/>
        </w:rPr>
        <w:t xml:space="preserve"> </w:t>
      </w:r>
      <w:r>
        <w:rPr>
          <w:color w:val="231F20"/>
        </w:rPr>
        <w:t>адресованої</w:t>
      </w:r>
      <w:r>
        <w:rPr>
          <w:color w:val="231F20"/>
          <w:spacing w:val="-9"/>
        </w:rPr>
        <w:t xml:space="preserve"> </w:t>
      </w:r>
      <w:r>
        <w:rPr>
          <w:color w:val="231F20"/>
        </w:rPr>
        <w:t>Кабінету</w:t>
      </w:r>
      <w:r>
        <w:rPr>
          <w:color w:val="231F20"/>
          <w:spacing w:val="-8"/>
        </w:rPr>
        <w:t xml:space="preserve"> </w:t>
      </w:r>
      <w:r>
        <w:rPr>
          <w:color w:val="231F20"/>
        </w:rPr>
        <w:t>Міністрів</w:t>
      </w:r>
      <w:r>
        <w:rPr>
          <w:color w:val="231F20"/>
          <w:spacing w:val="-9"/>
        </w:rPr>
        <w:t xml:space="preserve"> </w:t>
      </w:r>
      <w:r>
        <w:rPr>
          <w:color w:val="231F20"/>
          <w:spacing w:val="-3"/>
        </w:rPr>
        <w:t>Укр</w:t>
      </w:r>
      <w:r>
        <w:rPr>
          <w:color w:val="231F20"/>
          <w:spacing w:val="-3"/>
        </w:rPr>
        <w:t>аїни,</w:t>
      </w:r>
      <w:r>
        <w:rPr>
          <w:color w:val="231F20"/>
          <w:spacing w:val="-9"/>
        </w:rPr>
        <w:t xml:space="preserve"> </w:t>
      </w:r>
      <w:r>
        <w:rPr>
          <w:color w:val="231F20"/>
        </w:rPr>
        <w:t>головою</w:t>
      </w:r>
      <w:r>
        <w:rPr>
          <w:color w:val="231F20"/>
          <w:spacing w:val="-9"/>
        </w:rPr>
        <w:t xml:space="preserve"> </w:t>
      </w:r>
      <w:r>
        <w:rPr>
          <w:color w:val="231F20"/>
        </w:rPr>
        <w:t>відпо- відної</w:t>
      </w:r>
      <w:r>
        <w:rPr>
          <w:color w:val="231F20"/>
          <w:spacing w:val="-6"/>
        </w:rPr>
        <w:t xml:space="preserve"> </w:t>
      </w:r>
      <w:r>
        <w:rPr>
          <w:color w:val="231F20"/>
        </w:rPr>
        <w:t>місцевої</w:t>
      </w:r>
      <w:r>
        <w:rPr>
          <w:color w:val="231F20"/>
          <w:spacing w:val="-6"/>
        </w:rPr>
        <w:t xml:space="preserve"> </w:t>
      </w:r>
      <w:r>
        <w:rPr>
          <w:color w:val="231F20"/>
        </w:rPr>
        <w:t>ради</w:t>
      </w:r>
      <w:r>
        <w:rPr>
          <w:color w:val="231F20"/>
          <w:spacing w:val="-6"/>
        </w:rPr>
        <w:t xml:space="preserve"> </w:t>
      </w:r>
      <w:r>
        <w:rPr>
          <w:color w:val="231F20"/>
        </w:rPr>
        <w:t>–</w:t>
      </w:r>
      <w:r>
        <w:rPr>
          <w:color w:val="231F20"/>
          <w:spacing w:val="-5"/>
        </w:rPr>
        <w:t xml:space="preserve"> </w:t>
      </w:r>
      <w:r>
        <w:rPr>
          <w:color w:val="231F20"/>
        </w:rPr>
        <w:t>щодо</w:t>
      </w:r>
      <w:r>
        <w:rPr>
          <w:color w:val="231F20"/>
          <w:spacing w:val="-6"/>
        </w:rPr>
        <w:t xml:space="preserve"> </w:t>
      </w:r>
      <w:r>
        <w:rPr>
          <w:color w:val="231F20"/>
        </w:rPr>
        <w:t>електронної</w:t>
      </w:r>
      <w:r>
        <w:rPr>
          <w:color w:val="231F20"/>
          <w:spacing w:val="-6"/>
        </w:rPr>
        <w:t xml:space="preserve"> </w:t>
      </w:r>
      <w:r>
        <w:rPr>
          <w:color w:val="231F20"/>
        </w:rPr>
        <w:t>петиції,</w:t>
      </w:r>
      <w:r>
        <w:rPr>
          <w:color w:val="231F20"/>
          <w:spacing w:val="-6"/>
        </w:rPr>
        <w:t xml:space="preserve"> </w:t>
      </w:r>
      <w:r>
        <w:rPr>
          <w:color w:val="231F20"/>
        </w:rPr>
        <w:t>адресованої</w:t>
      </w:r>
      <w:r>
        <w:rPr>
          <w:color w:val="231F20"/>
          <w:spacing w:val="-6"/>
        </w:rPr>
        <w:t xml:space="preserve"> </w:t>
      </w:r>
      <w:r>
        <w:rPr>
          <w:color w:val="231F20"/>
        </w:rPr>
        <w:t>органу місцевого самоврядування.</w:t>
      </w:r>
    </w:p>
    <w:p w14:paraId="3D66912E" w14:textId="77777777" w:rsidR="00DE575E" w:rsidRDefault="002E7560">
      <w:pPr>
        <w:pStyle w:val="BodyText"/>
        <w:spacing w:before="4" w:line="252" w:lineRule="auto"/>
        <w:ind w:left="533" w:right="128" w:firstLine="283"/>
        <w:jc w:val="both"/>
      </w:pPr>
      <w:r>
        <w:rPr>
          <w:color w:val="231F20"/>
        </w:rPr>
        <w:t xml:space="preserve">У </w:t>
      </w:r>
      <w:r>
        <w:rPr>
          <w:color w:val="231F20"/>
          <w:spacing w:val="-3"/>
        </w:rPr>
        <w:t xml:space="preserve">відповіді </w:t>
      </w:r>
      <w:r>
        <w:rPr>
          <w:color w:val="231F20"/>
        </w:rPr>
        <w:t xml:space="preserve">на </w:t>
      </w:r>
      <w:r>
        <w:rPr>
          <w:color w:val="231F20"/>
          <w:spacing w:val="-3"/>
        </w:rPr>
        <w:t xml:space="preserve">електронну петицію повідомляється </w:t>
      </w:r>
      <w:r>
        <w:rPr>
          <w:color w:val="231F20"/>
        </w:rPr>
        <w:t xml:space="preserve">про </w:t>
      </w:r>
      <w:r>
        <w:rPr>
          <w:color w:val="231F20"/>
          <w:spacing w:val="-5"/>
        </w:rPr>
        <w:t xml:space="preserve">результати </w:t>
      </w:r>
      <w:r>
        <w:rPr>
          <w:color w:val="231F20"/>
          <w:spacing w:val="-4"/>
        </w:rPr>
        <w:t xml:space="preserve">розгляду </w:t>
      </w:r>
      <w:r>
        <w:rPr>
          <w:color w:val="231F20"/>
          <w:spacing w:val="-3"/>
        </w:rPr>
        <w:t xml:space="preserve">порушених </w:t>
      </w:r>
      <w:r>
        <w:rPr>
          <w:color w:val="231F20"/>
        </w:rPr>
        <w:t xml:space="preserve">у ній </w:t>
      </w:r>
      <w:r>
        <w:rPr>
          <w:color w:val="231F20"/>
          <w:spacing w:val="-3"/>
        </w:rPr>
        <w:t xml:space="preserve">питань </w:t>
      </w:r>
      <w:r>
        <w:rPr>
          <w:color w:val="231F20"/>
        </w:rPr>
        <w:t xml:space="preserve">із </w:t>
      </w:r>
      <w:r>
        <w:rPr>
          <w:color w:val="231F20"/>
          <w:spacing w:val="-3"/>
        </w:rPr>
        <w:t>відповідним обґрунтуванням.</w:t>
      </w:r>
    </w:p>
    <w:p w14:paraId="22DC69E7" w14:textId="77777777" w:rsidR="00DE575E" w:rsidRDefault="002E7560">
      <w:pPr>
        <w:pStyle w:val="BodyText"/>
        <w:spacing w:before="1" w:line="252" w:lineRule="auto"/>
        <w:ind w:left="533" w:right="128" w:firstLine="283"/>
        <w:jc w:val="both"/>
      </w:pPr>
      <w:r>
        <w:rPr>
          <w:color w:val="231F20"/>
        </w:rPr>
        <w:t>Відповідь на електронну петицію не пізніше наступного робочого дня після закінчення її розгляду оприлюднюється на</w:t>
      </w:r>
    </w:p>
    <w:p w14:paraId="7CD794BC" w14:textId="77777777" w:rsidR="00DE575E" w:rsidRDefault="00DE575E">
      <w:pPr>
        <w:pStyle w:val="BodyText"/>
        <w:spacing w:before="5"/>
        <w:rPr>
          <w:sz w:val="12"/>
        </w:rPr>
      </w:pPr>
    </w:p>
    <w:p w14:paraId="7571FDFC" w14:textId="77777777" w:rsidR="00DE575E" w:rsidRDefault="002E7560">
      <w:pPr>
        <w:spacing w:before="92"/>
        <w:ind w:left="533"/>
        <w:rPr>
          <w:rFonts w:ascii="Times New Roman"/>
          <w:sz w:val="20"/>
        </w:rPr>
      </w:pPr>
      <w:r>
        <w:rPr>
          <w:rFonts w:ascii="Times New Roman"/>
          <w:color w:val="231F20"/>
          <w:sz w:val="20"/>
        </w:rPr>
        <w:t>160</w:t>
      </w:r>
    </w:p>
    <w:p w14:paraId="312998F8" w14:textId="77777777" w:rsidR="00DE575E" w:rsidRDefault="00DE575E">
      <w:pPr>
        <w:rPr>
          <w:rFonts w:ascii="Times New Roman"/>
          <w:sz w:val="20"/>
        </w:rPr>
        <w:sectPr w:rsidR="00DE575E">
          <w:pgSz w:w="8510" w:h="12760"/>
          <w:pgMar w:top="660" w:right="720" w:bottom="280" w:left="600" w:header="720" w:footer="720" w:gutter="0"/>
          <w:cols w:space="720"/>
        </w:sectPr>
      </w:pPr>
    </w:p>
    <w:p w14:paraId="23DE35A4"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1EBC9C5D" w14:textId="7490076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6F6493E" wp14:editId="3EA5AAA3">
                <wp:extent cx="4140200" cy="6350"/>
                <wp:effectExtent l="0" t="0" r="12700" b="6350"/>
                <wp:docPr id="1014"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15" name="Line 10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4CB5AB" id="Group_x0020_10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GuZH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ABrmR/AgAAnAUAAA4A&#10;AAAAAAAAAAAAAAAALAIAAGRycy9lMm9Eb2MueG1sUEsBAi0AFAAGAAgAAAAhAEynsJDZAAAAAwEA&#10;AA8AAAAAAAAAAAAAAAAA1wQAAGRycy9kb3ducmV2LnhtbFBLBQYAAAAABAAEAPMAAADdBQAAAAA=&#10;">
                <v:line id="Line_x0020_10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h7wsUAAADdAAAADwAAAGRycy9kb3ducmV2LnhtbERPzWrCQBC+C77DMoVeSrNRqZSYVaRQ&#10;kB60Gh9gzI5J6O5szK4m7dN3CwVv8/H9Tr4arBE36nzjWMEkSUEQl043XCk4Fu/PryB8QNZoHJOC&#10;b/KwWo5HOWba9byn2yFUIoawz1BBHUKbSenLmiz6xLXEkTu7zmKIsKuk7rCP4dbIaZrOpcWGY0ON&#10;Lb3VVH4drlZBcXkK5nP3Yfpid5rJ02U7+7lulXp8GNYLEIGGcBf/uzc6zk8nL/D3TTxB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h7wsUAAADdAAAADwAAAAAAAAAA&#10;AAAAAAChAgAAZHJzL2Rvd25yZXYueG1sUEsFBgAAAAAEAAQA+QAAAJMDAAAAAA==&#10;" strokecolor="#231f20" strokeweight=".5pt"/>
                <w10:anchorlock/>
              </v:group>
            </w:pict>
          </mc:Fallback>
        </mc:AlternateContent>
      </w:r>
    </w:p>
    <w:p w14:paraId="44C74FB6" w14:textId="77777777" w:rsidR="00DE575E" w:rsidRDefault="00DE575E">
      <w:pPr>
        <w:pStyle w:val="BodyText"/>
        <w:spacing w:before="7"/>
        <w:rPr>
          <w:rFonts w:ascii="AdonisC"/>
          <w:i/>
          <w:sz w:val="19"/>
        </w:rPr>
      </w:pPr>
    </w:p>
    <w:p w14:paraId="2D49CE3D" w14:textId="77777777" w:rsidR="00DE575E" w:rsidRDefault="002E7560">
      <w:pPr>
        <w:pStyle w:val="BodyText"/>
        <w:spacing w:before="1" w:line="252" w:lineRule="auto"/>
        <w:ind w:left="250" w:right="410"/>
        <w:jc w:val="both"/>
      </w:pPr>
      <w:r>
        <w:rPr>
          <w:color w:val="231F20"/>
        </w:rPr>
        <w:t xml:space="preserve">офіційному веб-сайті </w:t>
      </w:r>
      <w:r>
        <w:rPr>
          <w:color w:val="231F20"/>
          <w:spacing w:val="-3"/>
        </w:rPr>
        <w:t xml:space="preserve">органу, </w:t>
      </w:r>
      <w:r>
        <w:rPr>
          <w:color w:val="231F20"/>
        </w:rPr>
        <w:t xml:space="preserve">якому вона </w:t>
      </w:r>
      <w:r>
        <w:rPr>
          <w:color w:val="231F20"/>
          <w:spacing w:val="-3"/>
        </w:rPr>
        <w:t xml:space="preserve">була </w:t>
      </w:r>
      <w:r>
        <w:rPr>
          <w:color w:val="231F20"/>
        </w:rPr>
        <w:t>адресована, а також надсилається</w:t>
      </w:r>
      <w:r>
        <w:rPr>
          <w:color w:val="231F20"/>
          <w:spacing w:val="-6"/>
        </w:rPr>
        <w:t xml:space="preserve"> </w:t>
      </w:r>
      <w:r>
        <w:rPr>
          <w:color w:val="231F20"/>
        </w:rPr>
        <w:t>в</w:t>
      </w:r>
      <w:r>
        <w:rPr>
          <w:color w:val="231F20"/>
          <w:spacing w:val="-7"/>
        </w:rPr>
        <w:t xml:space="preserve"> </w:t>
      </w:r>
      <w:r>
        <w:rPr>
          <w:color w:val="231F20"/>
        </w:rPr>
        <w:t>письмовому</w:t>
      </w:r>
      <w:r>
        <w:rPr>
          <w:color w:val="231F20"/>
          <w:spacing w:val="-7"/>
        </w:rPr>
        <w:t xml:space="preserve"> </w:t>
      </w:r>
      <w:r>
        <w:rPr>
          <w:color w:val="231F20"/>
        </w:rPr>
        <w:t>вигляді</w:t>
      </w:r>
      <w:r>
        <w:rPr>
          <w:color w:val="231F20"/>
          <w:spacing w:val="-6"/>
        </w:rPr>
        <w:t xml:space="preserve"> </w:t>
      </w:r>
      <w:r>
        <w:rPr>
          <w:color w:val="231F20"/>
        </w:rPr>
        <w:t>автору</w:t>
      </w:r>
      <w:r>
        <w:rPr>
          <w:color w:val="231F20"/>
          <w:spacing w:val="-6"/>
        </w:rPr>
        <w:t xml:space="preserve"> </w:t>
      </w:r>
      <w:r>
        <w:rPr>
          <w:color w:val="231F20"/>
        </w:rPr>
        <w:t>(ініціатору)</w:t>
      </w:r>
      <w:r>
        <w:rPr>
          <w:color w:val="231F20"/>
          <w:spacing w:val="-6"/>
        </w:rPr>
        <w:t xml:space="preserve"> </w:t>
      </w:r>
      <w:r>
        <w:rPr>
          <w:color w:val="231F20"/>
        </w:rPr>
        <w:t xml:space="preserve">електронної петиції та відповідному громадському </w:t>
      </w:r>
      <w:r>
        <w:rPr>
          <w:color w:val="231F20"/>
          <w:spacing w:val="-3"/>
        </w:rPr>
        <w:t xml:space="preserve">об’єднанню, </w:t>
      </w:r>
      <w:r>
        <w:rPr>
          <w:color w:val="231F20"/>
        </w:rPr>
        <w:t>яке здійсню</w:t>
      </w:r>
      <w:r>
        <w:rPr>
          <w:color w:val="231F20"/>
        </w:rPr>
        <w:t>вало збір підписів на підтримку відповідної електронної</w:t>
      </w:r>
      <w:r>
        <w:rPr>
          <w:color w:val="231F20"/>
          <w:spacing w:val="-3"/>
        </w:rPr>
        <w:t xml:space="preserve"> </w:t>
      </w:r>
      <w:r>
        <w:rPr>
          <w:color w:val="231F20"/>
        </w:rPr>
        <w:t>петиції.</w:t>
      </w:r>
    </w:p>
    <w:p w14:paraId="0379BAD4" w14:textId="77777777" w:rsidR="00DE575E" w:rsidRDefault="002E7560">
      <w:pPr>
        <w:pStyle w:val="BodyText"/>
        <w:spacing w:before="2" w:line="252" w:lineRule="auto"/>
        <w:ind w:left="250" w:right="411" w:firstLine="283"/>
        <w:jc w:val="both"/>
      </w:pPr>
      <w:r>
        <w:rPr>
          <w:color w:val="231F20"/>
        </w:rPr>
        <w:t>У разі доцільності викладені в  електронній  петиції  пропози-  ції можуть реалізовуватися органом, якому вона адресована, через ухвалення з питань, віднесених до його  компетенції,  відповід</w:t>
      </w:r>
      <w:r>
        <w:rPr>
          <w:color w:val="231F20"/>
        </w:rPr>
        <w:t xml:space="preserve">-  ного рішення. Президентом </w:t>
      </w:r>
      <w:r>
        <w:rPr>
          <w:color w:val="231F20"/>
          <w:spacing w:val="-3"/>
        </w:rPr>
        <w:t xml:space="preserve">України, </w:t>
      </w:r>
      <w:r>
        <w:rPr>
          <w:color w:val="231F20"/>
        </w:rPr>
        <w:t xml:space="preserve">Кабінетом Міністрів </w:t>
      </w:r>
      <w:r>
        <w:rPr>
          <w:color w:val="231F20"/>
          <w:spacing w:val="-3"/>
        </w:rPr>
        <w:t xml:space="preserve">України, </w:t>
      </w:r>
      <w:r>
        <w:rPr>
          <w:color w:val="231F20"/>
        </w:rPr>
        <w:t xml:space="preserve">народними депутатами </w:t>
      </w:r>
      <w:r>
        <w:rPr>
          <w:color w:val="231F20"/>
          <w:spacing w:val="-3"/>
        </w:rPr>
        <w:t xml:space="preserve">України </w:t>
      </w:r>
      <w:r>
        <w:rPr>
          <w:color w:val="231F20"/>
        </w:rPr>
        <w:t xml:space="preserve">за </w:t>
      </w:r>
      <w:r>
        <w:rPr>
          <w:color w:val="231F20"/>
          <w:spacing w:val="-3"/>
        </w:rPr>
        <w:t xml:space="preserve">результатами розгляду </w:t>
      </w:r>
      <w:r>
        <w:rPr>
          <w:color w:val="231F20"/>
        </w:rPr>
        <w:t xml:space="preserve">електро- нної петиції можуть розроблятися та вноситися в установленому порядку на </w:t>
      </w:r>
      <w:r>
        <w:rPr>
          <w:color w:val="231F20"/>
          <w:spacing w:val="-3"/>
        </w:rPr>
        <w:t xml:space="preserve">розгляд </w:t>
      </w:r>
      <w:r>
        <w:rPr>
          <w:color w:val="231F20"/>
        </w:rPr>
        <w:t xml:space="preserve">Верховної Ради </w:t>
      </w:r>
      <w:r>
        <w:rPr>
          <w:color w:val="231F20"/>
          <w:spacing w:val="-3"/>
        </w:rPr>
        <w:t xml:space="preserve">України </w:t>
      </w:r>
      <w:r>
        <w:rPr>
          <w:color w:val="231F20"/>
        </w:rPr>
        <w:t>законопроєкти, спрямо- вані на вирішення порушених у петиції</w:t>
      </w:r>
      <w:r>
        <w:rPr>
          <w:color w:val="231F20"/>
          <w:spacing w:val="-5"/>
        </w:rPr>
        <w:t xml:space="preserve"> </w:t>
      </w:r>
      <w:r>
        <w:rPr>
          <w:color w:val="231F20"/>
        </w:rPr>
        <w:t>питань.</w:t>
      </w:r>
    </w:p>
    <w:p w14:paraId="7001011F" w14:textId="77777777" w:rsidR="00DE575E" w:rsidRDefault="00DE575E">
      <w:pPr>
        <w:pStyle w:val="BodyText"/>
        <w:spacing w:before="4"/>
        <w:rPr>
          <w:sz w:val="22"/>
        </w:rPr>
      </w:pPr>
    </w:p>
    <w:p w14:paraId="7195059C" w14:textId="77777777" w:rsidR="00DE575E" w:rsidRDefault="002E7560">
      <w:pPr>
        <w:pStyle w:val="Heading6"/>
        <w:numPr>
          <w:ilvl w:val="3"/>
          <w:numId w:val="239"/>
        </w:numPr>
        <w:tabs>
          <w:tab w:val="left" w:pos="1252"/>
        </w:tabs>
      </w:pPr>
      <w:r>
        <w:rPr>
          <w:color w:val="231F20"/>
        </w:rPr>
        <w:t>Право на доступ до публічної</w:t>
      </w:r>
      <w:r>
        <w:rPr>
          <w:color w:val="231F20"/>
          <w:spacing w:val="-7"/>
        </w:rPr>
        <w:t xml:space="preserve"> </w:t>
      </w:r>
      <w:r>
        <w:rPr>
          <w:color w:val="231F20"/>
        </w:rPr>
        <w:t>інформації</w:t>
      </w:r>
    </w:p>
    <w:p w14:paraId="7D051B8B" w14:textId="77777777" w:rsidR="00DE575E" w:rsidRDefault="002E7560">
      <w:pPr>
        <w:pStyle w:val="BodyText"/>
        <w:spacing w:before="12" w:line="252" w:lineRule="auto"/>
        <w:ind w:left="250" w:right="411" w:firstLine="283"/>
        <w:jc w:val="both"/>
      </w:pPr>
      <w:r>
        <w:rPr>
          <w:color w:val="231F20"/>
        </w:rPr>
        <w:t>Побудова в Україні інформаційного суспільства, в основі якого лежать засади прозорості та відкритості функціонування публіч- ної влади зумовлює іс</w:t>
      </w:r>
      <w:r>
        <w:rPr>
          <w:color w:val="231F20"/>
        </w:rPr>
        <w:t>тотне зростання соціально-юридичного значення публічної інформації як основного інструмента комуні- кації держави із суспільством, окремими громадянами, юридич- ними особами</w:t>
      </w:r>
      <w:r>
        <w:rPr>
          <w:color w:val="231F20"/>
          <w:position w:val="7"/>
          <w:sz w:val="12"/>
        </w:rPr>
        <w:t>1</w:t>
      </w:r>
      <w:r>
        <w:rPr>
          <w:color w:val="231F20"/>
        </w:rPr>
        <w:t>.</w:t>
      </w:r>
    </w:p>
    <w:p w14:paraId="47FE96A9" w14:textId="77777777" w:rsidR="00DE575E" w:rsidRDefault="002E7560">
      <w:pPr>
        <w:spacing w:before="3" w:line="252" w:lineRule="auto"/>
        <w:ind w:left="250" w:right="409" w:firstLine="283"/>
        <w:jc w:val="both"/>
        <w:rPr>
          <w:sz w:val="21"/>
        </w:rPr>
      </w:pPr>
      <w:r>
        <w:rPr>
          <w:b/>
          <w:i/>
          <w:color w:val="231F20"/>
          <w:sz w:val="21"/>
        </w:rPr>
        <w:t xml:space="preserve">Публічна інформація </w:t>
      </w:r>
      <w:r>
        <w:rPr>
          <w:color w:val="231F20"/>
          <w:sz w:val="21"/>
        </w:rPr>
        <w:t xml:space="preserve">– </w:t>
      </w:r>
      <w:r>
        <w:rPr>
          <w:i/>
          <w:color w:val="231F20"/>
          <w:sz w:val="21"/>
        </w:rPr>
        <w:t>це відображена та задокументована будь-якими засобами та н</w:t>
      </w:r>
      <w:r>
        <w:rPr>
          <w:i/>
          <w:color w:val="231F20"/>
          <w:sz w:val="21"/>
        </w:rPr>
        <w:t>а будь-яких носіях інформація, що була отримана або створена в процесі виконання суб’єктами владних повноважень своїх обов’язків, передбачених чинним законодавст- вом, або яка перебуває у володінні суб’єктів владних повноважень, інших розпорядників публічн</w:t>
      </w:r>
      <w:r>
        <w:rPr>
          <w:i/>
          <w:color w:val="231F20"/>
          <w:sz w:val="21"/>
        </w:rPr>
        <w:t>ої інформації, визначених Законом України «Про доступ до публічної інформації»</w:t>
      </w:r>
      <w:r>
        <w:rPr>
          <w:color w:val="231F20"/>
          <w:position w:val="7"/>
          <w:sz w:val="12"/>
        </w:rPr>
        <w:t>2</w:t>
      </w:r>
      <w:r>
        <w:rPr>
          <w:color w:val="231F20"/>
          <w:sz w:val="21"/>
        </w:rPr>
        <w:t>.</w:t>
      </w:r>
    </w:p>
    <w:p w14:paraId="0CE6B248" w14:textId="77777777" w:rsidR="00DE575E" w:rsidRDefault="002E7560">
      <w:pPr>
        <w:pStyle w:val="BodyText"/>
        <w:spacing w:before="4" w:line="252" w:lineRule="auto"/>
        <w:ind w:left="250" w:right="409" w:firstLine="283"/>
        <w:jc w:val="both"/>
      </w:pPr>
      <w:r>
        <w:rPr>
          <w:color w:val="231F20"/>
        </w:rPr>
        <w:t>Удаючись до системного аналізу наведеного визначення, Вищий адміністративний суд України у Постанові Пленуму від 30.09.2013</w:t>
      </w:r>
    </w:p>
    <w:p w14:paraId="09522251" w14:textId="77777777" w:rsidR="00DE575E" w:rsidRDefault="002E7560">
      <w:pPr>
        <w:pStyle w:val="BodyText"/>
        <w:spacing w:before="1" w:line="252" w:lineRule="auto"/>
        <w:ind w:left="250" w:right="409"/>
        <w:jc w:val="both"/>
      </w:pPr>
      <w:r>
        <w:rPr>
          <w:color w:val="231F20"/>
        </w:rPr>
        <w:t>№ 11 «Про практику застосування адміністративними с</w:t>
      </w:r>
      <w:r>
        <w:rPr>
          <w:color w:val="231F20"/>
        </w:rPr>
        <w:t>удами положень Закону України “Про доступ до публічної інформації”» виокремив такі ознаки інформації, що розглядається</w:t>
      </w:r>
      <w:r>
        <w:rPr>
          <w:color w:val="231F20"/>
          <w:position w:val="7"/>
          <w:sz w:val="12"/>
        </w:rPr>
        <w:t>3</w:t>
      </w:r>
      <w:r>
        <w:rPr>
          <w:color w:val="231F20"/>
        </w:rPr>
        <w:t>:</w:t>
      </w:r>
    </w:p>
    <w:p w14:paraId="2EFB2CB5" w14:textId="77777777" w:rsidR="00DE575E" w:rsidRDefault="00DE575E">
      <w:pPr>
        <w:pStyle w:val="BodyText"/>
        <w:rPr>
          <w:sz w:val="20"/>
        </w:rPr>
      </w:pPr>
    </w:p>
    <w:p w14:paraId="74EEE6D4" w14:textId="254C1749" w:rsidR="00DE575E" w:rsidRDefault="002E7560">
      <w:pPr>
        <w:pStyle w:val="BodyText"/>
        <w:spacing w:before="5"/>
        <w:rPr>
          <w:sz w:val="14"/>
        </w:rPr>
      </w:pPr>
      <w:r>
        <w:rPr>
          <w:noProof/>
        </w:rPr>
        <mc:AlternateContent>
          <mc:Choice Requires="wps">
            <w:drawing>
              <wp:anchor distT="0" distB="0" distL="0" distR="0" simplePos="0" relativeHeight="6640" behindDoc="0" locked="0" layoutInCell="1" allowOverlap="1" wp14:anchorId="0952B98B" wp14:editId="5F1E37B6">
                <wp:simplePos x="0" y="0"/>
                <wp:positionH relativeFrom="page">
                  <wp:posOffset>539750</wp:posOffset>
                </wp:positionH>
                <wp:positionV relativeFrom="paragraph">
                  <wp:posOffset>135255</wp:posOffset>
                </wp:positionV>
                <wp:extent cx="1080135" cy="0"/>
                <wp:effectExtent l="6350" t="8255" r="31115" b="29845"/>
                <wp:wrapTopAndBottom/>
                <wp:docPr id="1013"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791F5" id="Line_x0020_1012" o:spid="_x0000_s1026" style="position:absolute;z-index: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65pt" to="127.5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" strokecolor="#231f20" strokeweight=".5pt">
                <w10:wrap type="topAndBottom" anchorx="page"/>
              </v:line>
            </w:pict>
          </mc:Fallback>
        </mc:AlternateContent>
      </w:r>
    </w:p>
    <w:p w14:paraId="0C1A535F"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 xml:space="preserve">Заярний О. Суб’єкт адміністративних правопорушень у сфері доступу до публічної інформації: Законодавчі підходи та проблеми правозастосовної інтерпретації. </w:t>
      </w:r>
      <w:r>
        <w:rPr>
          <w:i/>
          <w:color w:val="231F20"/>
          <w:sz w:val="16"/>
        </w:rPr>
        <w:t>Eurasian Academic Research Journal</w:t>
      </w:r>
      <w:r>
        <w:rPr>
          <w:color w:val="231F20"/>
          <w:sz w:val="16"/>
        </w:rPr>
        <w:t>. 2017. № 2 (08). С. 138.</w:t>
      </w:r>
    </w:p>
    <w:p w14:paraId="68FD1CD4" w14:textId="77777777" w:rsidR="00DE575E" w:rsidRDefault="002E7560">
      <w:pPr>
        <w:spacing w:before="4" w:line="174" w:lineRule="exact"/>
        <w:ind w:left="250"/>
        <w:rPr>
          <w:sz w:val="16"/>
        </w:rPr>
      </w:pPr>
      <w:r>
        <w:rPr>
          <w:color w:val="231F20"/>
          <w:position w:val="5"/>
          <w:sz w:val="9"/>
        </w:rPr>
        <w:t xml:space="preserve">2 </w:t>
      </w:r>
      <w:r>
        <w:rPr>
          <w:color w:val="231F20"/>
          <w:sz w:val="16"/>
        </w:rPr>
        <w:t>Про доступ до публічної інформації : За</w:t>
      </w:r>
      <w:r>
        <w:rPr>
          <w:color w:val="231F20"/>
          <w:sz w:val="16"/>
        </w:rPr>
        <w:t>кон України від 13.01.2011 № 2939-VI.</w:t>
      </w:r>
    </w:p>
    <w:p w14:paraId="5147EF7E" w14:textId="77777777" w:rsidR="00DE575E" w:rsidRDefault="002E7560">
      <w:pPr>
        <w:spacing w:line="174" w:lineRule="exact"/>
        <w:ind w:left="250"/>
        <w:rPr>
          <w:sz w:val="16"/>
        </w:rPr>
      </w:pPr>
      <w:r>
        <w:rPr>
          <w:i/>
          <w:color w:val="231F20"/>
          <w:sz w:val="16"/>
        </w:rPr>
        <w:t>Відомості Верховної Ради України</w:t>
      </w:r>
      <w:r>
        <w:rPr>
          <w:color w:val="231F20"/>
          <w:sz w:val="16"/>
        </w:rPr>
        <w:t>. 2011. № 32. Ст. 3114.</w:t>
      </w:r>
    </w:p>
    <w:p w14:paraId="4FBBA5FD" w14:textId="77777777" w:rsidR="00DE575E" w:rsidRDefault="002E7560">
      <w:pPr>
        <w:spacing w:line="174" w:lineRule="exact"/>
        <w:ind w:left="250"/>
        <w:rPr>
          <w:sz w:val="16"/>
        </w:rPr>
      </w:pPr>
      <w:r>
        <w:rPr>
          <w:color w:val="231F20"/>
          <w:position w:val="5"/>
          <w:sz w:val="9"/>
        </w:rPr>
        <w:t xml:space="preserve">3 </w:t>
      </w:r>
      <w:r>
        <w:rPr>
          <w:color w:val="231F20"/>
          <w:sz w:val="16"/>
        </w:rPr>
        <w:t>Про практику застосування адміністративними судами положень Закону України</w:t>
      </w:r>
    </w:p>
    <w:p w14:paraId="6CDBC65B" w14:textId="77777777" w:rsidR="00DE575E" w:rsidRDefault="002E7560">
      <w:pPr>
        <w:spacing w:before="9" w:line="204" w:lineRule="auto"/>
        <w:ind w:left="250" w:right="521"/>
        <w:rPr>
          <w:sz w:val="16"/>
        </w:rPr>
      </w:pPr>
      <w:r>
        <w:rPr>
          <w:color w:val="231F20"/>
          <w:sz w:val="16"/>
        </w:rPr>
        <w:t>«Про доступ до публічної інформації» : Постанова Пленуму Вищого адміністративного суду України від 30.09.2013 № 11.</w:t>
      </w:r>
    </w:p>
    <w:p w14:paraId="46557D08" w14:textId="77777777" w:rsidR="00DE575E" w:rsidRDefault="00DE575E">
      <w:pPr>
        <w:pStyle w:val="BodyText"/>
        <w:spacing w:before="5"/>
        <w:rPr>
          <w:sz w:val="12"/>
        </w:rPr>
      </w:pPr>
    </w:p>
    <w:p w14:paraId="58AA6C01" w14:textId="77777777" w:rsidR="00DE575E" w:rsidRDefault="002E7560">
      <w:pPr>
        <w:spacing w:before="92"/>
        <w:ind w:right="411"/>
        <w:jc w:val="right"/>
        <w:rPr>
          <w:rFonts w:ascii="Times New Roman"/>
          <w:sz w:val="20"/>
        </w:rPr>
      </w:pPr>
      <w:r>
        <w:rPr>
          <w:rFonts w:ascii="Times New Roman"/>
          <w:color w:val="231F20"/>
          <w:w w:val="90"/>
          <w:sz w:val="20"/>
        </w:rPr>
        <w:t>161</w:t>
      </w:r>
    </w:p>
    <w:p w14:paraId="1CFE42E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1583D0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12B05F9" w14:textId="49AD6E2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5A4CD15" wp14:editId="27B0EE29">
                <wp:extent cx="4140200" cy="6350"/>
                <wp:effectExtent l="0" t="0" r="12700" b="6350"/>
                <wp:docPr id="101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12" name="Line 10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9732E" id="Group_x0020_10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ted+X4ECAACcBQAA&#10;DgAAAAAAAAAAAAAAAAAsAgAAZHJzL2Uyb0RvYy54bWxQSwECLQAUAAYACAAAACEATKewkNkAAAAD&#10;AQAADwAAAAAAAAAAAAAAAADZBAAAZHJzL2Rvd25yZXYueG1sUEsFBgAAAAAEAAQA8wAAAN8FAAAA&#10;AA==&#10;">
                <v:line id="Line_x0020_10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HjtsQAAADdAAAADwAAAGRycy9kb3ducmV2LnhtbERPzYrCMBC+L/gOYYS9LJqqsEg1iggL&#10;yx501/oAYzO2xWRSm2irT78RBG/z8f3OfNlZI67U+MqxgtEwAUGcO11xoWCffQ2mIHxA1mgck4Ib&#10;eVguem9zTLVr+Y+uu1CIGMI+RQVlCHUqpc9LsuiHriaO3NE1FkOETSF1g20Mt0aOk+RTWqw4NpRY&#10;07qk/LS7WAXZ+SOY3+2PabPtYSIP583kftko9d7vVjMQgbrwEj/d3zrOT0ZjeHwTT5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eO2xAAAAN0AAAAPAAAAAAAAAAAA&#10;AAAAAKECAABkcnMvZG93bnJldi54bWxQSwUGAAAAAAQABAD5AAAAkgMAAAAA&#10;" strokecolor="#231f20" strokeweight=".5pt"/>
                <w10:anchorlock/>
              </v:group>
            </w:pict>
          </mc:Fallback>
        </mc:AlternateContent>
      </w:r>
    </w:p>
    <w:p w14:paraId="3A90EAAA" w14:textId="77777777" w:rsidR="00DE575E" w:rsidRDefault="00DE575E">
      <w:pPr>
        <w:pStyle w:val="BodyText"/>
        <w:spacing w:before="7"/>
        <w:rPr>
          <w:rFonts w:ascii="AdonisC"/>
          <w:i/>
          <w:sz w:val="11"/>
        </w:rPr>
      </w:pPr>
    </w:p>
    <w:p w14:paraId="648740FD" w14:textId="77777777" w:rsidR="00DE575E" w:rsidRDefault="002E7560">
      <w:pPr>
        <w:pStyle w:val="ListParagraph"/>
        <w:numPr>
          <w:ilvl w:val="0"/>
          <w:numId w:val="238"/>
        </w:numPr>
        <w:tabs>
          <w:tab w:val="left" w:pos="1101"/>
        </w:tabs>
        <w:spacing w:before="101" w:line="252" w:lineRule="auto"/>
        <w:ind w:right="128" w:firstLine="284"/>
        <w:rPr>
          <w:sz w:val="21"/>
        </w:rPr>
      </w:pPr>
      <w:r>
        <w:rPr>
          <w:color w:val="231F20"/>
          <w:sz w:val="21"/>
        </w:rPr>
        <w:t>публічна ін</w:t>
      </w:r>
      <w:r>
        <w:rPr>
          <w:color w:val="231F20"/>
          <w:sz w:val="21"/>
        </w:rPr>
        <w:t xml:space="preserve">формація є готовим продуктом, який отриманий або створений лише в процесі виконання </w:t>
      </w:r>
      <w:r>
        <w:rPr>
          <w:color w:val="231F20"/>
          <w:spacing w:val="-3"/>
          <w:sz w:val="21"/>
        </w:rPr>
        <w:t xml:space="preserve">суб’єктами </w:t>
      </w:r>
      <w:r>
        <w:rPr>
          <w:color w:val="231F20"/>
          <w:sz w:val="21"/>
        </w:rPr>
        <w:t>публічної адмі- ністрації своїх обов’язків, визначених чинним</w:t>
      </w:r>
      <w:r>
        <w:rPr>
          <w:color w:val="231F20"/>
          <w:spacing w:val="-10"/>
          <w:sz w:val="21"/>
        </w:rPr>
        <w:t xml:space="preserve"> </w:t>
      </w:r>
      <w:r>
        <w:rPr>
          <w:color w:val="231F20"/>
          <w:sz w:val="21"/>
        </w:rPr>
        <w:t>законодавством;</w:t>
      </w:r>
    </w:p>
    <w:p w14:paraId="33D523D2" w14:textId="77777777" w:rsidR="00DE575E" w:rsidRDefault="002E7560">
      <w:pPr>
        <w:pStyle w:val="ListParagraph"/>
        <w:numPr>
          <w:ilvl w:val="0"/>
          <w:numId w:val="238"/>
        </w:numPr>
        <w:tabs>
          <w:tab w:val="left" w:pos="1101"/>
        </w:tabs>
        <w:spacing w:line="252" w:lineRule="auto"/>
        <w:ind w:right="128" w:firstLine="284"/>
        <w:rPr>
          <w:sz w:val="21"/>
        </w:rPr>
      </w:pPr>
      <w:r>
        <w:rPr>
          <w:color w:val="231F20"/>
          <w:sz w:val="21"/>
        </w:rPr>
        <w:t xml:space="preserve">публічна інформація заздалегідь відображена або задокумен- тована будь-якими засобами та на </w:t>
      </w:r>
      <w:r>
        <w:rPr>
          <w:color w:val="231F20"/>
          <w:spacing w:val="-3"/>
          <w:sz w:val="21"/>
        </w:rPr>
        <w:t>будь-яких</w:t>
      </w:r>
      <w:r>
        <w:rPr>
          <w:color w:val="231F20"/>
          <w:spacing w:val="-7"/>
          <w:sz w:val="21"/>
        </w:rPr>
        <w:t xml:space="preserve"> </w:t>
      </w:r>
      <w:r>
        <w:rPr>
          <w:color w:val="231F20"/>
          <w:sz w:val="21"/>
        </w:rPr>
        <w:t>носіях;</w:t>
      </w:r>
    </w:p>
    <w:p w14:paraId="12CBF713" w14:textId="77777777" w:rsidR="00DE575E" w:rsidRDefault="002E7560">
      <w:pPr>
        <w:pStyle w:val="ListParagraph"/>
        <w:numPr>
          <w:ilvl w:val="0"/>
          <w:numId w:val="238"/>
        </w:numPr>
        <w:tabs>
          <w:tab w:val="left" w:pos="1101"/>
        </w:tabs>
        <w:spacing w:line="252" w:lineRule="auto"/>
        <w:ind w:right="130" w:firstLine="284"/>
        <w:rPr>
          <w:sz w:val="21"/>
        </w:rPr>
      </w:pPr>
      <w:r>
        <w:rPr>
          <w:color w:val="231F20"/>
          <w:sz w:val="21"/>
        </w:rPr>
        <w:t xml:space="preserve">така інформація перебуває у володінні </w:t>
      </w:r>
      <w:r>
        <w:rPr>
          <w:color w:val="231F20"/>
          <w:spacing w:val="-3"/>
          <w:sz w:val="21"/>
        </w:rPr>
        <w:t xml:space="preserve">суб’єктів </w:t>
      </w:r>
      <w:r>
        <w:rPr>
          <w:color w:val="231F20"/>
          <w:sz w:val="21"/>
        </w:rPr>
        <w:t>владних повноважень або інших розпорядників публічної</w:t>
      </w:r>
      <w:r>
        <w:rPr>
          <w:color w:val="231F20"/>
          <w:spacing w:val="-6"/>
          <w:sz w:val="21"/>
        </w:rPr>
        <w:t xml:space="preserve"> </w:t>
      </w:r>
      <w:r>
        <w:rPr>
          <w:color w:val="231F20"/>
          <w:sz w:val="21"/>
        </w:rPr>
        <w:t>інформації;</w:t>
      </w:r>
    </w:p>
    <w:p w14:paraId="35D247D4" w14:textId="77777777" w:rsidR="00DE575E" w:rsidRDefault="002E7560">
      <w:pPr>
        <w:pStyle w:val="ListParagraph"/>
        <w:numPr>
          <w:ilvl w:val="0"/>
          <w:numId w:val="238"/>
        </w:numPr>
        <w:tabs>
          <w:tab w:val="left" w:pos="1101"/>
        </w:tabs>
        <w:spacing w:line="252" w:lineRule="auto"/>
        <w:ind w:right="126" w:firstLine="284"/>
        <w:rPr>
          <w:sz w:val="21"/>
        </w:rPr>
      </w:pPr>
      <w:r>
        <w:rPr>
          <w:color w:val="231F20"/>
          <w:sz w:val="21"/>
        </w:rPr>
        <w:t xml:space="preserve">публічною не може визнаватися інформація, яка створена </w:t>
      </w:r>
      <w:r>
        <w:rPr>
          <w:color w:val="231F20"/>
          <w:spacing w:val="-3"/>
          <w:sz w:val="21"/>
        </w:rPr>
        <w:t xml:space="preserve">суб’єктом </w:t>
      </w:r>
      <w:r>
        <w:rPr>
          <w:color w:val="231F20"/>
          <w:sz w:val="21"/>
        </w:rPr>
        <w:t>владних повноважень не під час виконання ним передба- чених законом</w:t>
      </w:r>
      <w:r>
        <w:rPr>
          <w:color w:val="231F20"/>
          <w:spacing w:val="-1"/>
          <w:sz w:val="21"/>
        </w:rPr>
        <w:t xml:space="preserve"> </w:t>
      </w:r>
      <w:r>
        <w:rPr>
          <w:color w:val="231F20"/>
          <w:sz w:val="21"/>
        </w:rPr>
        <w:t>обов’язків;</w:t>
      </w:r>
    </w:p>
    <w:p w14:paraId="5F1A6522" w14:textId="77777777" w:rsidR="00DE575E" w:rsidRDefault="002E7560">
      <w:pPr>
        <w:pStyle w:val="ListParagraph"/>
        <w:numPr>
          <w:ilvl w:val="0"/>
          <w:numId w:val="238"/>
        </w:numPr>
        <w:tabs>
          <w:tab w:val="left" w:pos="1101"/>
        </w:tabs>
        <w:spacing w:before="2" w:line="252" w:lineRule="auto"/>
        <w:ind w:right="128" w:firstLine="284"/>
        <w:rPr>
          <w:sz w:val="21"/>
        </w:rPr>
      </w:pPr>
      <w:r>
        <w:rPr>
          <w:color w:val="231F20"/>
          <w:sz w:val="21"/>
        </w:rPr>
        <w:t xml:space="preserve">інформація не може бути публічною, якщо створена не </w:t>
      </w:r>
      <w:r>
        <w:rPr>
          <w:color w:val="231F20"/>
          <w:spacing w:val="-4"/>
          <w:sz w:val="21"/>
        </w:rPr>
        <w:t xml:space="preserve">суб’єк- </w:t>
      </w:r>
      <w:r>
        <w:rPr>
          <w:color w:val="231F20"/>
          <w:sz w:val="21"/>
        </w:rPr>
        <w:t>том владних</w:t>
      </w:r>
      <w:r>
        <w:rPr>
          <w:color w:val="231F20"/>
          <w:spacing w:val="-2"/>
          <w:sz w:val="21"/>
        </w:rPr>
        <w:t xml:space="preserve"> </w:t>
      </w:r>
      <w:r>
        <w:rPr>
          <w:color w:val="231F20"/>
          <w:sz w:val="21"/>
        </w:rPr>
        <w:t>повноважень</w:t>
      </w:r>
    </w:p>
    <w:p w14:paraId="12A6B062" w14:textId="77777777" w:rsidR="00DE575E" w:rsidRDefault="002E7560">
      <w:pPr>
        <w:pStyle w:val="BodyText"/>
        <w:spacing w:before="1"/>
        <w:ind w:left="817"/>
      </w:pPr>
      <w:r>
        <w:rPr>
          <w:color w:val="231F20"/>
        </w:rPr>
        <w:t>До категорії публічної нале</w:t>
      </w:r>
      <w:r>
        <w:rPr>
          <w:color w:val="231F20"/>
        </w:rPr>
        <w:t>жать наступні виді інформації:</w:t>
      </w:r>
    </w:p>
    <w:p w14:paraId="1FC949B7" w14:textId="77777777" w:rsidR="00DE575E" w:rsidRDefault="002E7560">
      <w:pPr>
        <w:pStyle w:val="ListParagraph"/>
        <w:numPr>
          <w:ilvl w:val="4"/>
          <w:numId w:val="239"/>
        </w:numPr>
        <w:tabs>
          <w:tab w:val="left" w:pos="1101"/>
        </w:tabs>
        <w:spacing w:before="12" w:line="252" w:lineRule="auto"/>
        <w:ind w:right="127" w:firstLine="284"/>
        <w:rPr>
          <w:sz w:val="21"/>
        </w:rPr>
      </w:pPr>
      <w:r>
        <w:rPr>
          <w:color w:val="231F20"/>
          <w:sz w:val="21"/>
        </w:rPr>
        <w:t xml:space="preserve">уся інформація, що перебуває у володінні </w:t>
      </w:r>
      <w:r>
        <w:rPr>
          <w:color w:val="231F20"/>
          <w:spacing w:val="-3"/>
          <w:sz w:val="21"/>
        </w:rPr>
        <w:t xml:space="preserve">суб’єктів </w:t>
      </w:r>
      <w:r>
        <w:rPr>
          <w:color w:val="231F20"/>
          <w:sz w:val="21"/>
        </w:rPr>
        <w:t xml:space="preserve">владних повноважень, тобто органів державної влади, інших державних органів, органів місцевого самоврядування, органів влади Авто- номної Республіки Крим, інших </w:t>
      </w:r>
      <w:r>
        <w:rPr>
          <w:color w:val="231F20"/>
          <w:spacing w:val="-3"/>
          <w:sz w:val="21"/>
        </w:rPr>
        <w:t xml:space="preserve">суб’єктів, </w:t>
      </w:r>
      <w:r>
        <w:rPr>
          <w:color w:val="231F20"/>
          <w:sz w:val="21"/>
        </w:rPr>
        <w:t>що</w:t>
      </w:r>
      <w:r>
        <w:rPr>
          <w:color w:val="231F20"/>
          <w:sz w:val="21"/>
        </w:rPr>
        <w:t xml:space="preserve"> здійснюють владні управлінські функції відповідно до законодавства та рішення яких є обов’язковими для</w:t>
      </w:r>
      <w:r>
        <w:rPr>
          <w:color w:val="231F20"/>
          <w:spacing w:val="-3"/>
          <w:sz w:val="21"/>
        </w:rPr>
        <w:t xml:space="preserve"> </w:t>
      </w:r>
      <w:r>
        <w:rPr>
          <w:color w:val="231F20"/>
          <w:sz w:val="21"/>
        </w:rPr>
        <w:t>виконання;</w:t>
      </w:r>
    </w:p>
    <w:p w14:paraId="081DA81B" w14:textId="77777777" w:rsidR="00DE575E" w:rsidRDefault="002E7560">
      <w:pPr>
        <w:pStyle w:val="ListParagraph"/>
        <w:numPr>
          <w:ilvl w:val="4"/>
          <w:numId w:val="239"/>
        </w:numPr>
        <w:tabs>
          <w:tab w:val="left" w:pos="1101"/>
        </w:tabs>
        <w:spacing w:before="3" w:line="252" w:lineRule="auto"/>
        <w:ind w:right="127" w:firstLine="284"/>
        <w:rPr>
          <w:sz w:val="21"/>
        </w:rPr>
      </w:pPr>
      <w:r>
        <w:rPr>
          <w:color w:val="231F20"/>
          <w:sz w:val="21"/>
        </w:rPr>
        <w:t>інформація щодо використання бюджетних коштів юридич- ними особами, що фінансуються з державного, місцевих бюджетів, бюджету Автономної Респу</w:t>
      </w:r>
      <w:r>
        <w:rPr>
          <w:color w:val="231F20"/>
          <w:sz w:val="21"/>
        </w:rPr>
        <w:t>бліки</w:t>
      </w:r>
      <w:r>
        <w:rPr>
          <w:color w:val="231F20"/>
          <w:spacing w:val="-2"/>
          <w:sz w:val="21"/>
        </w:rPr>
        <w:t xml:space="preserve"> </w:t>
      </w:r>
      <w:r>
        <w:rPr>
          <w:color w:val="231F20"/>
          <w:sz w:val="21"/>
        </w:rPr>
        <w:t>Крим;</w:t>
      </w:r>
    </w:p>
    <w:p w14:paraId="74C6D73E" w14:textId="77777777" w:rsidR="00DE575E" w:rsidRDefault="002E7560">
      <w:pPr>
        <w:pStyle w:val="ListParagraph"/>
        <w:numPr>
          <w:ilvl w:val="4"/>
          <w:numId w:val="239"/>
        </w:numPr>
        <w:tabs>
          <w:tab w:val="left" w:pos="1101"/>
        </w:tabs>
        <w:spacing w:before="2" w:line="252" w:lineRule="auto"/>
        <w:ind w:right="125" w:firstLine="284"/>
        <w:rPr>
          <w:sz w:val="21"/>
        </w:rPr>
      </w:pPr>
      <w:r>
        <w:rPr>
          <w:color w:val="231F20"/>
          <w:sz w:val="21"/>
        </w:rPr>
        <w:t xml:space="preserve">інформація, пов’язана з виконанням особами делегованих повноважень </w:t>
      </w:r>
      <w:r>
        <w:rPr>
          <w:color w:val="231F20"/>
          <w:spacing w:val="-3"/>
          <w:sz w:val="21"/>
        </w:rPr>
        <w:t xml:space="preserve">суб’єктів </w:t>
      </w:r>
      <w:r>
        <w:rPr>
          <w:color w:val="231F20"/>
          <w:sz w:val="21"/>
        </w:rPr>
        <w:t>владних повноважень згідно із законом чи договором, включаючи надання освітніх, оздоровчих, соціальних або інших державних</w:t>
      </w:r>
      <w:r>
        <w:rPr>
          <w:color w:val="231F20"/>
          <w:spacing w:val="-2"/>
          <w:sz w:val="21"/>
        </w:rPr>
        <w:t xml:space="preserve"> </w:t>
      </w:r>
      <w:r>
        <w:rPr>
          <w:color w:val="231F20"/>
          <w:sz w:val="21"/>
        </w:rPr>
        <w:t>послуг;</w:t>
      </w:r>
    </w:p>
    <w:p w14:paraId="0B3C51A6" w14:textId="77777777" w:rsidR="00DE575E" w:rsidRDefault="002E7560">
      <w:pPr>
        <w:pStyle w:val="ListParagraph"/>
        <w:numPr>
          <w:ilvl w:val="4"/>
          <w:numId w:val="239"/>
        </w:numPr>
        <w:tabs>
          <w:tab w:val="left" w:pos="1101"/>
        </w:tabs>
        <w:spacing w:before="2" w:line="252" w:lineRule="auto"/>
        <w:ind w:right="126" w:firstLine="284"/>
        <w:rPr>
          <w:sz w:val="21"/>
        </w:rPr>
      </w:pPr>
      <w:r>
        <w:rPr>
          <w:color w:val="231F20"/>
          <w:sz w:val="21"/>
        </w:rPr>
        <w:t>інформація щодо умов постачання товарів, послуг та цін на них,</w:t>
      </w:r>
      <w:r>
        <w:rPr>
          <w:color w:val="231F20"/>
          <w:spacing w:val="-8"/>
          <w:sz w:val="21"/>
        </w:rPr>
        <w:t xml:space="preserve"> </w:t>
      </w:r>
      <w:r>
        <w:rPr>
          <w:color w:val="231F20"/>
          <w:sz w:val="21"/>
        </w:rPr>
        <w:t>якщо</w:t>
      </w:r>
      <w:r>
        <w:rPr>
          <w:color w:val="231F20"/>
          <w:spacing w:val="-8"/>
          <w:sz w:val="21"/>
        </w:rPr>
        <w:t xml:space="preserve"> </w:t>
      </w:r>
      <w:r>
        <w:rPr>
          <w:color w:val="231F20"/>
          <w:sz w:val="21"/>
        </w:rPr>
        <w:t>йдеться</w:t>
      </w:r>
      <w:r>
        <w:rPr>
          <w:color w:val="231F20"/>
          <w:spacing w:val="-8"/>
          <w:sz w:val="21"/>
        </w:rPr>
        <w:t xml:space="preserve"> </w:t>
      </w:r>
      <w:r>
        <w:rPr>
          <w:color w:val="231F20"/>
          <w:sz w:val="21"/>
        </w:rPr>
        <w:t>про</w:t>
      </w:r>
      <w:r>
        <w:rPr>
          <w:color w:val="231F20"/>
          <w:spacing w:val="-8"/>
          <w:sz w:val="21"/>
        </w:rPr>
        <w:t xml:space="preserve"> </w:t>
      </w:r>
      <w:r>
        <w:rPr>
          <w:color w:val="231F20"/>
          <w:spacing w:val="-3"/>
          <w:sz w:val="21"/>
        </w:rPr>
        <w:t>суб’єктів</w:t>
      </w:r>
      <w:r>
        <w:rPr>
          <w:color w:val="231F20"/>
          <w:spacing w:val="-8"/>
          <w:sz w:val="21"/>
        </w:rPr>
        <w:t xml:space="preserve"> </w:t>
      </w:r>
      <w:r>
        <w:rPr>
          <w:color w:val="231F20"/>
          <w:sz w:val="21"/>
        </w:rPr>
        <w:t>господарювання,</w:t>
      </w:r>
      <w:r>
        <w:rPr>
          <w:color w:val="231F20"/>
          <w:spacing w:val="-8"/>
          <w:sz w:val="21"/>
        </w:rPr>
        <w:t xml:space="preserve"> </w:t>
      </w:r>
      <w:r>
        <w:rPr>
          <w:color w:val="231F20"/>
          <w:sz w:val="21"/>
        </w:rPr>
        <w:t>які</w:t>
      </w:r>
      <w:r>
        <w:rPr>
          <w:color w:val="231F20"/>
          <w:spacing w:val="-8"/>
          <w:sz w:val="21"/>
        </w:rPr>
        <w:t xml:space="preserve"> </w:t>
      </w:r>
      <w:r>
        <w:rPr>
          <w:color w:val="231F20"/>
          <w:sz w:val="21"/>
        </w:rPr>
        <w:t>займають</w:t>
      </w:r>
      <w:r>
        <w:rPr>
          <w:color w:val="231F20"/>
          <w:spacing w:val="-8"/>
          <w:sz w:val="21"/>
        </w:rPr>
        <w:t xml:space="preserve"> </w:t>
      </w:r>
      <w:r>
        <w:rPr>
          <w:color w:val="231F20"/>
          <w:sz w:val="21"/>
        </w:rPr>
        <w:t>домі- нантне становище на ринку або наділені спеціальними чи виключ- ними правами, або є природними</w:t>
      </w:r>
      <w:r>
        <w:rPr>
          <w:color w:val="231F20"/>
          <w:spacing w:val="-6"/>
          <w:sz w:val="21"/>
        </w:rPr>
        <w:t xml:space="preserve"> </w:t>
      </w:r>
      <w:r>
        <w:rPr>
          <w:color w:val="231F20"/>
          <w:sz w:val="21"/>
        </w:rPr>
        <w:t>монополіями;</w:t>
      </w:r>
    </w:p>
    <w:p w14:paraId="241504FA" w14:textId="77777777" w:rsidR="00DE575E" w:rsidRDefault="002E7560">
      <w:pPr>
        <w:pStyle w:val="ListParagraph"/>
        <w:numPr>
          <w:ilvl w:val="4"/>
          <w:numId w:val="239"/>
        </w:numPr>
        <w:tabs>
          <w:tab w:val="left" w:pos="1101"/>
        </w:tabs>
        <w:spacing w:before="2" w:line="252" w:lineRule="auto"/>
        <w:ind w:right="128" w:firstLine="284"/>
        <w:rPr>
          <w:sz w:val="21"/>
        </w:rPr>
      </w:pPr>
      <w:r>
        <w:rPr>
          <w:color w:val="231F20"/>
          <w:sz w:val="21"/>
        </w:rPr>
        <w:t>інформація  про  стан  д</w:t>
      </w:r>
      <w:r>
        <w:rPr>
          <w:color w:val="231F20"/>
          <w:sz w:val="21"/>
        </w:rPr>
        <w:t>овкілля;  якість  харчових  продуктів    і предметів побуту; аварії, катастрофи, небезпечні природні явища та інші надзвичайні події, що сталися або можуть статися і загрожу- ють здоров’ю та безпеці</w:t>
      </w:r>
      <w:r>
        <w:rPr>
          <w:color w:val="231F20"/>
          <w:spacing w:val="-5"/>
          <w:sz w:val="21"/>
        </w:rPr>
        <w:t xml:space="preserve"> </w:t>
      </w:r>
      <w:r>
        <w:rPr>
          <w:color w:val="231F20"/>
          <w:sz w:val="21"/>
        </w:rPr>
        <w:t>громадян;</w:t>
      </w:r>
    </w:p>
    <w:p w14:paraId="556CC316" w14:textId="77777777" w:rsidR="00DE575E" w:rsidRDefault="002E7560">
      <w:pPr>
        <w:pStyle w:val="ListParagraph"/>
        <w:numPr>
          <w:ilvl w:val="4"/>
          <w:numId w:val="239"/>
        </w:numPr>
        <w:tabs>
          <w:tab w:val="left" w:pos="1101"/>
        </w:tabs>
        <w:spacing w:before="2" w:line="252" w:lineRule="auto"/>
        <w:ind w:right="126" w:firstLine="284"/>
        <w:rPr>
          <w:sz w:val="21"/>
        </w:rPr>
      </w:pPr>
      <w:r>
        <w:rPr>
          <w:color w:val="231F20"/>
          <w:sz w:val="21"/>
        </w:rPr>
        <w:t>інша інформація, що становить суспільний інтерес (суспільно необхідна інформація).</w:t>
      </w:r>
    </w:p>
    <w:p w14:paraId="4884FBC8" w14:textId="77777777" w:rsidR="00DE575E" w:rsidRDefault="002E7560">
      <w:pPr>
        <w:pStyle w:val="BodyText"/>
        <w:spacing w:before="1" w:line="252" w:lineRule="auto"/>
        <w:ind w:left="533" w:right="127" w:firstLine="283"/>
        <w:jc w:val="both"/>
      </w:pPr>
      <w:r>
        <w:rPr>
          <w:color w:val="231F20"/>
        </w:rPr>
        <w:t>Правову основу реалізації фізичними особами суб’єктивного права на доступ до публічної інформації складають норми Консти- туції України, Закону України «Про доступ до публіч</w:t>
      </w:r>
      <w:r>
        <w:rPr>
          <w:color w:val="231F20"/>
        </w:rPr>
        <w:t>ної інформації»,</w:t>
      </w:r>
    </w:p>
    <w:p w14:paraId="30BC0ADD" w14:textId="77777777" w:rsidR="00DE575E" w:rsidRDefault="00DE575E">
      <w:pPr>
        <w:pStyle w:val="BodyText"/>
        <w:spacing w:before="5"/>
        <w:rPr>
          <w:sz w:val="12"/>
        </w:rPr>
      </w:pPr>
    </w:p>
    <w:p w14:paraId="38F986A5" w14:textId="77777777" w:rsidR="00DE575E" w:rsidRDefault="002E7560">
      <w:pPr>
        <w:spacing w:before="92"/>
        <w:ind w:left="533"/>
        <w:rPr>
          <w:rFonts w:ascii="Times New Roman"/>
          <w:sz w:val="20"/>
        </w:rPr>
      </w:pPr>
      <w:r>
        <w:rPr>
          <w:rFonts w:ascii="Times New Roman"/>
          <w:color w:val="231F20"/>
          <w:sz w:val="20"/>
        </w:rPr>
        <w:t>162</w:t>
      </w:r>
    </w:p>
    <w:p w14:paraId="57AF30EC" w14:textId="77777777" w:rsidR="00DE575E" w:rsidRDefault="00DE575E">
      <w:pPr>
        <w:rPr>
          <w:rFonts w:ascii="Times New Roman"/>
          <w:sz w:val="20"/>
        </w:rPr>
        <w:sectPr w:rsidR="00DE575E">
          <w:pgSz w:w="8510" w:h="12760"/>
          <w:pgMar w:top="660" w:right="720" w:bottom="280" w:left="600" w:header="720" w:footer="720" w:gutter="0"/>
          <w:cols w:space="720"/>
        </w:sectPr>
      </w:pPr>
    </w:p>
    <w:p w14:paraId="76F4A46C"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2254C982" w14:textId="2841FC7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D53EC0F" wp14:editId="6610A976">
                <wp:extent cx="4140200" cy="6350"/>
                <wp:effectExtent l="0" t="0" r="12700" b="6350"/>
                <wp:docPr id="1009"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10" name="Line 100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73DD89" id="Group_x0020_100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PFlWN/AgAAnAUAAA4A&#10;AAAAAAAAAAAAAAAALAIAAGRycy9lMm9Eb2MueG1sUEsBAi0AFAAGAAgAAAAhAEynsJDZAAAAAwEA&#10;AA8AAAAAAAAAAAAAAAAA1wQAAGRycy9kb3ducmV2LnhtbFBLBQYAAAAABAAEAPMAAADdBQAAAAA=&#10;">
                <v:line id="Line_x0020_100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YWscAAADdAAAADwAAAGRycy9kb3ducmV2LnhtbESPQWvCQBCF74X+h2UKvZS6sUKR6Coi&#10;CKUHbU1/wJgdk+DubMyuJu2v7xwEbzO8N+99M18O3qkrdbEJbGA8ykARl8E2XBn4KTavU1AxIVt0&#10;gcnAL0VYLh4f5pjb0PM3XfepUhLCMUcDdUptrnUsa/IYR6ElFu0YOo9J1q7StsNewr3Tb1n2rj02&#10;LA01trSuqTztL95AcX5J7mv36fpid5jow3k7+btsjXl+GlYzUImGdDffrj+s4Gdj4ZdvZAS9+A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X9haxwAAAN0AAAAPAAAAAAAA&#10;AAAAAAAAAKECAABkcnMvZG93bnJldi54bWxQSwUGAAAAAAQABAD5AAAAlQMAAAAA&#10;" strokecolor="#231f20" strokeweight=".5pt"/>
                <w10:anchorlock/>
              </v:group>
            </w:pict>
          </mc:Fallback>
        </mc:AlternateContent>
      </w:r>
    </w:p>
    <w:p w14:paraId="29C346E3" w14:textId="77777777" w:rsidR="00DE575E" w:rsidRDefault="00DE575E">
      <w:pPr>
        <w:pStyle w:val="BodyText"/>
        <w:spacing w:before="7"/>
        <w:rPr>
          <w:rFonts w:ascii="AdonisC"/>
          <w:i/>
          <w:sz w:val="19"/>
        </w:rPr>
      </w:pPr>
    </w:p>
    <w:p w14:paraId="438330F5" w14:textId="77777777" w:rsidR="00DE575E" w:rsidRDefault="002E7560">
      <w:pPr>
        <w:pStyle w:val="BodyText"/>
        <w:spacing w:before="1" w:line="252" w:lineRule="auto"/>
        <w:ind w:left="250" w:right="411"/>
        <w:jc w:val="both"/>
      </w:pPr>
      <w:r>
        <w:rPr>
          <w:color w:val="231F20"/>
        </w:rPr>
        <w:t>інших законів України та підзаконних нормативно-право</w:t>
      </w:r>
      <w:r>
        <w:rPr>
          <w:color w:val="231F20"/>
        </w:rPr>
        <w:t>вих актів, якими визначаються особливості доступу до окремих видів публіч- ної інформації.</w:t>
      </w:r>
    </w:p>
    <w:p w14:paraId="1AF9ED37" w14:textId="77777777" w:rsidR="00DE575E" w:rsidRDefault="002E7560">
      <w:pPr>
        <w:pStyle w:val="BodyText"/>
        <w:spacing w:before="1" w:line="252" w:lineRule="auto"/>
        <w:ind w:left="250" w:right="409" w:firstLine="283"/>
        <w:jc w:val="both"/>
      </w:pPr>
      <w:r>
        <w:rPr>
          <w:color w:val="231F20"/>
        </w:rPr>
        <w:t>Слід</w:t>
      </w:r>
      <w:r>
        <w:rPr>
          <w:color w:val="231F20"/>
          <w:spacing w:val="-10"/>
        </w:rPr>
        <w:t xml:space="preserve"> </w:t>
      </w:r>
      <w:r>
        <w:rPr>
          <w:color w:val="231F20"/>
        </w:rPr>
        <w:t>підкреслити,</w:t>
      </w:r>
      <w:r>
        <w:rPr>
          <w:color w:val="231F20"/>
          <w:spacing w:val="-10"/>
        </w:rPr>
        <w:t xml:space="preserve"> </w:t>
      </w:r>
      <w:r>
        <w:rPr>
          <w:color w:val="231F20"/>
        </w:rPr>
        <w:t>дія</w:t>
      </w:r>
      <w:r>
        <w:rPr>
          <w:color w:val="231F20"/>
          <w:spacing w:val="-11"/>
        </w:rPr>
        <w:t xml:space="preserve"> </w:t>
      </w:r>
      <w:r>
        <w:rPr>
          <w:color w:val="231F20"/>
        </w:rPr>
        <w:t>норм</w:t>
      </w:r>
      <w:r>
        <w:rPr>
          <w:color w:val="231F20"/>
          <w:spacing w:val="-10"/>
        </w:rPr>
        <w:t xml:space="preserve"> </w:t>
      </w:r>
      <w:r>
        <w:rPr>
          <w:color w:val="231F20"/>
        </w:rPr>
        <w:t>Закону</w:t>
      </w:r>
      <w:r>
        <w:rPr>
          <w:color w:val="231F20"/>
          <w:spacing w:val="-10"/>
        </w:rPr>
        <w:t xml:space="preserve"> </w:t>
      </w:r>
      <w:r>
        <w:rPr>
          <w:color w:val="231F20"/>
          <w:spacing w:val="-3"/>
        </w:rPr>
        <w:t>України</w:t>
      </w:r>
      <w:r>
        <w:rPr>
          <w:color w:val="231F20"/>
          <w:spacing w:val="-11"/>
        </w:rPr>
        <w:t xml:space="preserve"> </w:t>
      </w:r>
      <w:r>
        <w:rPr>
          <w:color w:val="231F20"/>
        </w:rPr>
        <w:t>«Про</w:t>
      </w:r>
      <w:r>
        <w:rPr>
          <w:color w:val="231F20"/>
          <w:spacing w:val="-10"/>
        </w:rPr>
        <w:t xml:space="preserve"> </w:t>
      </w:r>
      <w:r>
        <w:rPr>
          <w:color w:val="231F20"/>
        </w:rPr>
        <w:t>доступ</w:t>
      </w:r>
      <w:r>
        <w:rPr>
          <w:color w:val="231F20"/>
          <w:spacing w:val="-10"/>
        </w:rPr>
        <w:t xml:space="preserve"> </w:t>
      </w:r>
      <w:r>
        <w:rPr>
          <w:color w:val="231F20"/>
        </w:rPr>
        <w:t>до</w:t>
      </w:r>
      <w:r>
        <w:rPr>
          <w:color w:val="231F20"/>
          <w:spacing w:val="-10"/>
        </w:rPr>
        <w:t xml:space="preserve"> </w:t>
      </w:r>
      <w:r>
        <w:rPr>
          <w:color w:val="231F20"/>
        </w:rPr>
        <w:t>публіч- ної інформації» має певні обмеження за колом суспільних відносин щодо забезпечення доступу до відпов</w:t>
      </w:r>
      <w:r>
        <w:rPr>
          <w:color w:val="231F20"/>
        </w:rPr>
        <w:t>ідної</w:t>
      </w:r>
      <w:r>
        <w:rPr>
          <w:color w:val="231F20"/>
          <w:spacing w:val="-8"/>
        </w:rPr>
        <w:t xml:space="preserve"> </w:t>
      </w:r>
      <w:r>
        <w:rPr>
          <w:color w:val="231F20"/>
        </w:rPr>
        <w:t>інформації.</w:t>
      </w:r>
    </w:p>
    <w:p w14:paraId="010E1207" w14:textId="77777777" w:rsidR="00DE575E" w:rsidRDefault="002E7560">
      <w:pPr>
        <w:pStyle w:val="BodyText"/>
        <w:spacing w:before="2"/>
        <w:ind w:left="533"/>
      </w:pPr>
      <w:r>
        <w:rPr>
          <w:color w:val="231F20"/>
        </w:rPr>
        <w:t>Йдеться, зокрема, про такі групи публічно-правових відносин:</w:t>
      </w:r>
    </w:p>
    <w:p w14:paraId="13D64F1E" w14:textId="77777777" w:rsidR="00DE575E" w:rsidRDefault="002E7560">
      <w:pPr>
        <w:pStyle w:val="ListParagraph"/>
        <w:numPr>
          <w:ilvl w:val="0"/>
          <w:numId w:val="237"/>
        </w:numPr>
        <w:tabs>
          <w:tab w:val="left" w:pos="818"/>
        </w:tabs>
        <w:spacing w:before="12" w:line="252" w:lineRule="auto"/>
        <w:ind w:right="410" w:firstLine="283"/>
        <w:rPr>
          <w:sz w:val="21"/>
        </w:rPr>
      </w:pPr>
      <w:r>
        <w:rPr>
          <w:color w:val="231F20"/>
          <w:sz w:val="21"/>
        </w:rPr>
        <w:t xml:space="preserve">між </w:t>
      </w:r>
      <w:r>
        <w:rPr>
          <w:color w:val="231F20"/>
          <w:spacing w:val="-3"/>
          <w:sz w:val="21"/>
        </w:rPr>
        <w:t xml:space="preserve">суб’єктами </w:t>
      </w:r>
      <w:r>
        <w:rPr>
          <w:color w:val="231F20"/>
          <w:sz w:val="21"/>
        </w:rPr>
        <w:t>владних повноважень щодо створення, одер- жання чи поширення публічної інформації з метою реалізації їхньої компетенції;</w:t>
      </w:r>
    </w:p>
    <w:p w14:paraId="1FA5EAB3" w14:textId="77777777" w:rsidR="00DE575E" w:rsidRDefault="002E7560">
      <w:pPr>
        <w:pStyle w:val="ListParagraph"/>
        <w:numPr>
          <w:ilvl w:val="0"/>
          <w:numId w:val="237"/>
        </w:numPr>
        <w:tabs>
          <w:tab w:val="left" w:pos="818"/>
        </w:tabs>
        <w:spacing w:before="2" w:line="252" w:lineRule="auto"/>
        <w:ind w:right="411" w:firstLine="283"/>
        <w:rPr>
          <w:sz w:val="21"/>
        </w:rPr>
      </w:pPr>
      <w:r>
        <w:rPr>
          <w:color w:val="231F20"/>
          <w:sz w:val="21"/>
        </w:rPr>
        <w:t>щодо одержання публічної інформації на підставі адвокат- ського</w:t>
      </w:r>
      <w:r>
        <w:rPr>
          <w:color w:val="231F20"/>
          <w:spacing w:val="-1"/>
          <w:sz w:val="21"/>
        </w:rPr>
        <w:t xml:space="preserve"> </w:t>
      </w:r>
      <w:r>
        <w:rPr>
          <w:color w:val="231F20"/>
          <w:sz w:val="21"/>
        </w:rPr>
        <w:t>звернення;</w:t>
      </w:r>
    </w:p>
    <w:p w14:paraId="3B2987DE" w14:textId="77777777" w:rsidR="00DE575E" w:rsidRDefault="002E7560">
      <w:pPr>
        <w:pStyle w:val="ListParagraph"/>
        <w:numPr>
          <w:ilvl w:val="0"/>
          <w:numId w:val="237"/>
        </w:numPr>
        <w:tabs>
          <w:tab w:val="left" w:pos="818"/>
        </w:tabs>
        <w:spacing w:line="252" w:lineRule="auto"/>
        <w:ind w:right="410" w:firstLine="283"/>
        <w:rPr>
          <w:sz w:val="21"/>
        </w:rPr>
      </w:pPr>
      <w:r>
        <w:rPr>
          <w:color w:val="231F20"/>
          <w:sz w:val="21"/>
        </w:rPr>
        <w:t>що виникають у зв’язку з наданням публічної інформації на підставі депутатських запитів або</w:t>
      </w:r>
      <w:r>
        <w:rPr>
          <w:color w:val="231F20"/>
          <w:spacing w:val="-4"/>
          <w:sz w:val="21"/>
        </w:rPr>
        <w:t xml:space="preserve"> </w:t>
      </w:r>
      <w:r>
        <w:rPr>
          <w:color w:val="231F20"/>
          <w:sz w:val="21"/>
        </w:rPr>
        <w:t>звернень;</w:t>
      </w:r>
    </w:p>
    <w:p w14:paraId="434E1FA2" w14:textId="77777777" w:rsidR="00DE575E" w:rsidRDefault="002E7560">
      <w:pPr>
        <w:pStyle w:val="ListParagraph"/>
        <w:numPr>
          <w:ilvl w:val="0"/>
          <w:numId w:val="237"/>
        </w:numPr>
        <w:tabs>
          <w:tab w:val="left" w:pos="818"/>
        </w:tabs>
        <w:spacing w:line="252" w:lineRule="auto"/>
        <w:ind w:right="411" w:firstLine="283"/>
        <w:rPr>
          <w:sz w:val="21"/>
        </w:rPr>
      </w:pPr>
      <w:r>
        <w:rPr>
          <w:color w:val="231F20"/>
          <w:sz w:val="21"/>
        </w:rPr>
        <w:t xml:space="preserve">пов’язані з поданням, </w:t>
      </w:r>
      <w:r>
        <w:rPr>
          <w:color w:val="231F20"/>
          <w:spacing w:val="-2"/>
          <w:sz w:val="21"/>
        </w:rPr>
        <w:t xml:space="preserve">розглядом </w:t>
      </w:r>
      <w:r>
        <w:rPr>
          <w:color w:val="231F20"/>
          <w:sz w:val="21"/>
        </w:rPr>
        <w:t>і наданням відповідей за зверненнями</w:t>
      </w:r>
      <w:r>
        <w:rPr>
          <w:color w:val="231F20"/>
          <w:spacing w:val="-2"/>
          <w:sz w:val="21"/>
        </w:rPr>
        <w:t xml:space="preserve"> </w:t>
      </w:r>
      <w:r>
        <w:rPr>
          <w:color w:val="231F20"/>
          <w:sz w:val="21"/>
        </w:rPr>
        <w:t>громадян;</w:t>
      </w:r>
    </w:p>
    <w:p w14:paraId="2720730D" w14:textId="77777777" w:rsidR="00DE575E" w:rsidRDefault="002E7560">
      <w:pPr>
        <w:pStyle w:val="ListParagraph"/>
        <w:numPr>
          <w:ilvl w:val="0"/>
          <w:numId w:val="237"/>
        </w:numPr>
        <w:tabs>
          <w:tab w:val="left" w:pos="818"/>
        </w:tabs>
        <w:spacing w:line="252" w:lineRule="auto"/>
        <w:ind w:right="411" w:firstLine="283"/>
        <w:rPr>
          <w:sz w:val="21"/>
        </w:rPr>
      </w:pPr>
      <w:r>
        <w:rPr>
          <w:color w:val="231F20"/>
          <w:sz w:val="21"/>
        </w:rPr>
        <w:t>спрямовані</w:t>
      </w:r>
      <w:r>
        <w:rPr>
          <w:color w:val="231F20"/>
          <w:spacing w:val="-9"/>
          <w:sz w:val="21"/>
        </w:rPr>
        <w:t xml:space="preserve"> </w:t>
      </w:r>
      <w:r>
        <w:rPr>
          <w:color w:val="231F20"/>
          <w:sz w:val="21"/>
        </w:rPr>
        <w:t>на</w:t>
      </w:r>
      <w:r>
        <w:rPr>
          <w:color w:val="231F20"/>
          <w:spacing w:val="-9"/>
          <w:sz w:val="21"/>
        </w:rPr>
        <w:t xml:space="preserve"> </w:t>
      </w:r>
      <w:r>
        <w:rPr>
          <w:color w:val="231F20"/>
          <w:sz w:val="21"/>
        </w:rPr>
        <w:t>одержання</w:t>
      </w:r>
      <w:r>
        <w:rPr>
          <w:color w:val="231F20"/>
          <w:spacing w:val="-9"/>
          <w:sz w:val="21"/>
        </w:rPr>
        <w:t xml:space="preserve"> </w:t>
      </w:r>
      <w:r>
        <w:rPr>
          <w:color w:val="231F20"/>
          <w:sz w:val="21"/>
        </w:rPr>
        <w:t>юридичними</w:t>
      </w:r>
      <w:r>
        <w:rPr>
          <w:color w:val="231F20"/>
          <w:spacing w:val="-9"/>
          <w:sz w:val="21"/>
        </w:rPr>
        <w:t xml:space="preserve"> </w:t>
      </w:r>
      <w:r>
        <w:rPr>
          <w:color w:val="231F20"/>
          <w:sz w:val="21"/>
        </w:rPr>
        <w:t>особами</w:t>
      </w:r>
      <w:r>
        <w:rPr>
          <w:color w:val="231F20"/>
          <w:spacing w:val="-9"/>
          <w:sz w:val="21"/>
        </w:rPr>
        <w:t xml:space="preserve"> </w:t>
      </w:r>
      <w:r>
        <w:rPr>
          <w:color w:val="231F20"/>
          <w:sz w:val="21"/>
        </w:rPr>
        <w:t>або</w:t>
      </w:r>
      <w:r>
        <w:rPr>
          <w:color w:val="231F20"/>
          <w:spacing w:val="-9"/>
          <w:sz w:val="21"/>
        </w:rPr>
        <w:t xml:space="preserve"> </w:t>
      </w:r>
      <w:r>
        <w:rPr>
          <w:color w:val="231F20"/>
          <w:sz w:val="21"/>
        </w:rPr>
        <w:t>їх</w:t>
      </w:r>
      <w:r>
        <w:rPr>
          <w:color w:val="231F20"/>
          <w:spacing w:val="-9"/>
          <w:sz w:val="21"/>
        </w:rPr>
        <w:t xml:space="preserve"> </w:t>
      </w:r>
      <w:r>
        <w:rPr>
          <w:color w:val="231F20"/>
          <w:sz w:val="21"/>
        </w:rPr>
        <w:t>уповно- важеними представниками доступу до публічної інформації</w:t>
      </w:r>
      <w:r>
        <w:rPr>
          <w:color w:val="231F20"/>
          <w:spacing w:val="-8"/>
          <w:sz w:val="21"/>
        </w:rPr>
        <w:t xml:space="preserve"> </w:t>
      </w:r>
      <w:r>
        <w:rPr>
          <w:color w:val="231F20"/>
          <w:sz w:val="21"/>
        </w:rPr>
        <w:t>тощо.</w:t>
      </w:r>
    </w:p>
    <w:p w14:paraId="22EA9477" w14:textId="77777777" w:rsidR="00DE575E" w:rsidRDefault="002E7560">
      <w:pPr>
        <w:pStyle w:val="BodyText"/>
        <w:spacing w:before="1" w:line="252" w:lineRule="auto"/>
        <w:ind w:left="250" w:right="410" w:firstLine="283"/>
        <w:jc w:val="both"/>
      </w:pPr>
      <w:r>
        <w:rPr>
          <w:color w:val="231F20"/>
        </w:rPr>
        <w:t>Право приватної особи на доступ до публічної інформації можна розглядати як визнану в нормах законодавства та гарантовану державою</w:t>
      </w:r>
      <w:r>
        <w:rPr>
          <w:color w:val="231F20"/>
          <w:spacing w:val="-12"/>
        </w:rPr>
        <w:t xml:space="preserve"> </w:t>
      </w:r>
      <w:r>
        <w:rPr>
          <w:color w:val="231F20"/>
        </w:rPr>
        <w:t>можли</w:t>
      </w:r>
      <w:r>
        <w:rPr>
          <w:color w:val="231F20"/>
        </w:rPr>
        <w:t>вість</w:t>
      </w:r>
      <w:r>
        <w:rPr>
          <w:color w:val="231F20"/>
          <w:spacing w:val="-12"/>
        </w:rPr>
        <w:t xml:space="preserve"> </w:t>
      </w:r>
      <w:r>
        <w:rPr>
          <w:color w:val="231F20"/>
        </w:rPr>
        <w:t>кожної</w:t>
      </w:r>
      <w:r>
        <w:rPr>
          <w:color w:val="231F20"/>
          <w:spacing w:val="-12"/>
        </w:rPr>
        <w:t xml:space="preserve"> </w:t>
      </w:r>
      <w:r>
        <w:rPr>
          <w:color w:val="231F20"/>
        </w:rPr>
        <w:t>особи,</w:t>
      </w:r>
      <w:r>
        <w:rPr>
          <w:color w:val="231F20"/>
          <w:spacing w:val="-12"/>
        </w:rPr>
        <w:t xml:space="preserve"> </w:t>
      </w:r>
      <w:r>
        <w:rPr>
          <w:color w:val="231F20"/>
        </w:rPr>
        <w:t>яка</w:t>
      </w:r>
      <w:r>
        <w:rPr>
          <w:color w:val="231F20"/>
          <w:spacing w:val="-12"/>
        </w:rPr>
        <w:t xml:space="preserve"> </w:t>
      </w:r>
      <w:r>
        <w:rPr>
          <w:color w:val="231F20"/>
        </w:rPr>
        <w:t>на</w:t>
      </w:r>
      <w:r>
        <w:rPr>
          <w:color w:val="231F20"/>
          <w:spacing w:val="-12"/>
        </w:rPr>
        <w:t xml:space="preserve"> </w:t>
      </w:r>
      <w:r>
        <w:rPr>
          <w:color w:val="231F20"/>
        </w:rPr>
        <w:t>законних</w:t>
      </w:r>
      <w:r>
        <w:rPr>
          <w:color w:val="231F20"/>
          <w:spacing w:val="-12"/>
        </w:rPr>
        <w:t xml:space="preserve"> </w:t>
      </w:r>
      <w:r>
        <w:rPr>
          <w:color w:val="231F20"/>
        </w:rPr>
        <w:t>підставах</w:t>
      </w:r>
      <w:r>
        <w:rPr>
          <w:color w:val="231F20"/>
          <w:spacing w:val="-12"/>
        </w:rPr>
        <w:t xml:space="preserve"> </w:t>
      </w:r>
      <w:r>
        <w:rPr>
          <w:color w:val="231F20"/>
        </w:rPr>
        <w:t xml:space="preserve">пере- буває чи зареєстрована в </w:t>
      </w:r>
      <w:r>
        <w:rPr>
          <w:color w:val="231F20"/>
          <w:spacing w:val="-3"/>
        </w:rPr>
        <w:t xml:space="preserve">Україні, </w:t>
      </w:r>
      <w:r>
        <w:rPr>
          <w:color w:val="231F20"/>
        </w:rPr>
        <w:t>вільно збирати, зберігати, поши- рювати публічну інформацію не забороненими законом способами з метою задоволення власних чи суспільних потреб, участі в управ- лінні сусп</w:t>
      </w:r>
      <w:r>
        <w:rPr>
          <w:color w:val="231F20"/>
        </w:rPr>
        <w:t xml:space="preserve">ільними і державними справами, реалізації інших </w:t>
      </w:r>
      <w:r>
        <w:rPr>
          <w:color w:val="231F20"/>
          <w:spacing w:val="-4"/>
        </w:rPr>
        <w:t xml:space="preserve">суб’єк- </w:t>
      </w:r>
      <w:r>
        <w:rPr>
          <w:color w:val="231F20"/>
        </w:rPr>
        <w:t>тивних публічних прав, а також підвищення ступеня відкритості діяльності держави, її органів та посадових</w:t>
      </w:r>
      <w:r>
        <w:rPr>
          <w:color w:val="231F20"/>
          <w:spacing w:val="-5"/>
        </w:rPr>
        <w:t xml:space="preserve"> </w:t>
      </w:r>
      <w:r>
        <w:rPr>
          <w:color w:val="231F20"/>
        </w:rPr>
        <w:t>осіб</w:t>
      </w:r>
      <w:r>
        <w:rPr>
          <w:color w:val="231F20"/>
          <w:position w:val="7"/>
          <w:sz w:val="12"/>
        </w:rPr>
        <w:t>1</w:t>
      </w:r>
      <w:r>
        <w:rPr>
          <w:color w:val="231F20"/>
        </w:rPr>
        <w:t>.</w:t>
      </w:r>
    </w:p>
    <w:p w14:paraId="1C4E4B6F" w14:textId="77777777" w:rsidR="00DE575E" w:rsidRDefault="002E7560">
      <w:pPr>
        <w:pStyle w:val="BodyText"/>
        <w:spacing w:before="4" w:line="252" w:lineRule="auto"/>
        <w:ind w:left="250" w:right="411" w:firstLine="283"/>
        <w:jc w:val="both"/>
      </w:pPr>
      <w:r>
        <w:rPr>
          <w:color w:val="231F20"/>
        </w:rPr>
        <w:t xml:space="preserve">Відповідно, як </w:t>
      </w:r>
      <w:r>
        <w:rPr>
          <w:color w:val="231F20"/>
          <w:spacing w:val="-3"/>
        </w:rPr>
        <w:t xml:space="preserve">суб’єктивне </w:t>
      </w:r>
      <w:r>
        <w:rPr>
          <w:color w:val="231F20"/>
        </w:rPr>
        <w:t>публічне право приватних осіб, право на</w:t>
      </w:r>
      <w:r>
        <w:rPr>
          <w:color w:val="231F20"/>
          <w:spacing w:val="-10"/>
        </w:rPr>
        <w:t xml:space="preserve"> </w:t>
      </w:r>
      <w:r>
        <w:rPr>
          <w:color w:val="231F20"/>
        </w:rPr>
        <w:t>доступ</w:t>
      </w:r>
      <w:r>
        <w:rPr>
          <w:color w:val="231F20"/>
          <w:spacing w:val="-10"/>
        </w:rPr>
        <w:t xml:space="preserve"> </w:t>
      </w:r>
      <w:r>
        <w:rPr>
          <w:color w:val="231F20"/>
        </w:rPr>
        <w:t>до</w:t>
      </w:r>
      <w:r>
        <w:rPr>
          <w:color w:val="231F20"/>
          <w:spacing w:val="-10"/>
        </w:rPr>
        <w:t xml:space="preserve"> </w:t>
      </w:r>
      <w:r>
        <w:rPr>
          <w:color w:val="231F20"/>
        </w:rPr>
        <w:t>публічної</w:t>
      </w:r>
      <w:r>
        <w:rPr>
          <w:color w:val="231F20"/>
          <w:spacing w:val="-10"/>
        </w:rPr>
        <w:t xml:space="preserve"> </w:t>
      </w:r>
      <w:r>
        <w:rPr>
          <w:color w:val="231F20"/>
        </w:rPr>
        <w:t>інформації</w:t>
      </w:r>
      <w:r>
        <w:rPr>
          <w:color w:val="231F20"/>
          <w:spacing w:val="-10"/>
        </w:rPr>
        <w:t xml:space="preserve"> </w:t>
      </w:r>
      <w:r>
        <w:rPr>
          <w:color w:val="231F20"/>
        </w:rPr>
        <w:t>характеризується</w:t>
      </w:r>
      <w:r>
        <w:rPr>
          <w:color w:val="231F20"/>
          <w:spacing w:val="-10"/>
        </w:rPr>
        <w:t xml:space="preserve"> </w:t>
      </w:r>
      <w:r>
        <w:rPr>
          <w:color w:val="231F20"/>
        </w:rPr>
        <w:t>такими</w:t>
      </w:r>
      <w:r>
        <w:rPr>
          <w:color w:val="231F20"/>
          <w:spacing w:val="-10"/>
        </w:rPr>
        <w:t xml:space="preserve"> </w:t>
      </w:r>
      <w:r>
        <w:rPr>
          <w:color w:val="231F20"/>
        </w:rPr>
        <w:t>рисами:</w:t>
      </w:r>
    </w:p>
    <w:p w14:paraId="02B0AFA1" w14:textId="77777777" w:rsidR="00DE575E" w:rsidRDefault="002E7560">
      <w:pPr>
        <w:pStyle w:val="ListParagraph"/>
        <w:numPr>
          <w:ilvl w:val="0"/>
          <w:numId w:val="237"/>
        </w:numPr>
        <w:tabs>
          <w:tab w:val="left" w:pos="818"/>
        </w:tabs>
        <w:spacing w:line="252" w:lineRule="auto"/>
        <w:ind w:right="412" w:firstLine="283"/>
        <w:rPr>
          <w:sz w:val="21"/>
        </w:rPr>
      </w:pPr>
      <w:r>
        <w:rPr>
          <w:color w:val="231F20"/>
          <w:sz w:val="21"/>
        </w:rPr>
        <w:t>є природним правом фізичних осіб і не підлягає делегуванню або переданню в інший спосіб третім</w:t>
      </w:r>
      <w:r>
        <w:rPr>
          <w:color w:val="231F20"/>
          <w:spacing w:val="-5"/>
          <w:sz w:val="21"/>
        </w:rPr>
        <w:t xml:space="preserve"> </w:t>
      </w:r>
      <w:r>
        <w:rPr>
          <w:color w:val="231F20"/>
          <w:sz w:val="21"/>
        </w:rPr>
        <w:t>особам;</w:t>
      </w:r>
    </w:p>
    <w:p w14:paraId="4F4E5FD8" w14:textId="77777777" w:rsidR="00DE575E" w:rsidRDefault="002E7560">
      <w:pPr>
        <w:pStyle w:val="ListParagraph"/>
        <w:numPr>
          <w:ilvl w:val="0"/>
          <w:numId w:val="237"/>
        </w:numPr>
        <w:tabs>
          <w:tab w:val="left" w:pos="818"/>
        </w:tabs>
        <w:spacing w:line="252" w:lineRule="auto"/>
        <w:ind w:right="411" w:firstLine="283"/>
        <w:rPr>
          <w:sz w:val="21"/>
        </w:rPr>
      </w:pPr>
      <w:r>
        <w:rPr>
          <w:color w:val="231F20"/>
          <w:sz w:val="21"/>
        </w:rPr>
        <w:t xml:space="preserve">реалізується через направлення запиту на одержання публіч- ної інформації з урахуванням </w:t>
      </w:r>
      <w:r>
        <w:rPr>
          <w:color w:val="231F20"/>
          <w:spacing w:val="-3"/>
          <w:sz w:val="21"/>
        </w:rPr>
        <w:t xml:space="preserve">вимог, </w:t>
      </w:r>
      <w:r>
        <w:rPr>
          <w:color w:val="231F20"/>
          <w:sz w:val="21"/>
        </w:rPr>
        <w:t>установлених За</w:t>
      </w:r>
      <w:r>
        <w:rPr>
          <w:color w:val="231F20"/>
          <w:sz w:val="21"/>
        </w:rPr>
        <w:t>коном</w:t>
      </w:r>
      <w:r>
        <w:rPr>
          <w:color w:val="231F20"/>
          <w:spacing w:val="18"/>
          <w:sz w:val="21"/>
        </w:rPr>
        <w:t xml:space="preserve"> </w:t>
      </w:r>
      <w:r>
        <w:rPr>
          <w:color w:val="231F20"/>
          <w:spacing w:val="-3"/>
          <w:sz w:val="21"/>
        </w:rPr>
        <w:t>України</w:t>
      </w:r>
    </w:p>
    <w:p w14:paraId="0CBFCFB2" w14:textId="77777777" w:rsidR="00DE575E" w:rsidRDefault="002E7560">
      <w:pPr>
        <w:pStyle w:val="BodyText"/>
        <w:spacing w:before="1"/>
        <w:ind w:left="250"/>
      </w:pPr>
      <w:r>
        <w:rPr>
          <w:color w:val="231F20"/>
        </w:rPr>
        <w:t>«Про доступ до публічної інформації»;</w:t>
      </w:r>
    </w:p>
    <w:p w14:paraId="358F8B33" w14:textId="77777777" w:rsidR="00DE575E" w:rsidRDefault="002E7560">
      <w:pPr>
        <w:pStyle w:val="ListParagraph"/>
        <w:numPr>
          <w:ilvl w:val="0"/>
          <w:numId w:val="237"/>
        </w:numPr>
        <w:tabs>
          <w:tab w:val="left" w:pos="818"/>
        </w:tabs>
        <w:spacing w:before="13" w:line="252" w:lineRule="auto"/>
        <w:ind w:right="411" w:firstLine="283"/>
        <w:rPr>
          <w:sz w:val="21"/>
        </w:rPr>
      </w:pPr>
      <w:r>
        <w:rPr>
          <w:color w:val="231F20"/>
          <w:sz w:val="21"/>
        </w:rPr>
        <w:t>його</w:t>
      </w:r>
      <w:r>
        <w:rPr>
          <w:color w:val="231F20"/>
          <w:spacing w:val="-13"/>
          <w:sz w:val="21"/>
        </w:rPr>
        <w:t xml:space="preserve"> </w:t>
      </w:r>
      <w:r>
        <w:rPr>
          <w:color w:val="231F20"/>
          <w:spacing w:val="-3"/>
          <w:sz w:val="21"/>
        </w:rPr>
        <w:t>реалізація</w:t>
      </w:r>
      <w:r>
        <w:rPr>
          <w:color w:val="231F20"/>
          <w:spacing w:val="-13"/>
          <w:sz w:val="21"/>
        </w:rPr>
        <w:t xml:space="preserve"> </w:t>
      </w:r>
      <w:r>
        <w:rPr>
          <w:color w:val="231F20"/>
          <w:spacing w:val="-3"/>
          <w:sz w:val="21"/>
        </w:rPr>
        <w:t>спрямована</w:t>
      </w:r>
      <w:r>
        <w:rPr>
          <w:color w:val="231F20"/>
          <w:spacing w:val="-13"/>
          <w:sz w:val="21"/>
        </w:rPr>
        <w:t xml:space="preserve"> </w:t>
      </w:r>
      <w:r>
        <w:rPr>
          <w:color w:val="231F20"/>
          <w:sz w:val="21"/>
        </w:rPr>
        <w:t>на</w:t>
      </w:r>
      <w:r>
        <w:rPr>
          <w:color w:val="231F20"/>
          <w:spacing w:val="-13"/>
          <w:sz w:val="21"/>
        </w:rPr>
        <w:t xml:space="preserve"> </w:t>
      </w:r>
      <w:r>
        <w:rPr>
          <w:color w:val="231F20"/>
          <w:spacing w:val="-4"/>
          <w:sz w:val="21"/>
        </w:rPr>
        <w:t>одержання</w:t>
      </w:r>
      <w:r>
        <w:rPr>
          <w:color w:val="231F20"/>
          <w:spacing w:val="-13"/>
          <w:sz w:val="21"/>
        </w:rPr>
        <w:t xml:space="preserve"> </w:t>
      </w:r>
      <w:r>
        <w:rPr>
          <w:color w:val="231F20"/>
          <w:spacing w:val="-3"/>
          <w:sz w:val="21"/>
        </w:rPr>
        <w:t>саме</w:t>
      </w:r>
      <w:r>
        <w:rPr>
          <w:color w:val="231F20"/>
          <w:spacing w:val="-13"/>
          <w:sz w:val="21"/>
        </w:rPr>
        <w:t xml:space="preserve"> </w:t>
      </w:r>
      <w:r>
        <w:rPr>
          <w:color w:val="231F20"/>
          <w:spacing w:val="-3"/>
          <w:sz w:val="21"/>
        </w:rPr>
        <w:t>публічної</w:t>
      </w:r>
      <w:r>
        <w:rPr>
          <w:color w:val="231F20"/>
          <w:spacing w:val="-13"/>
          <w:sz w:val="21"/>
        </w:rPr>
        <w:t xml:space="preserve"> </w:t>
      </w:r>
      <w:r>
        <w:rPr>
          <w:color w:val="231F20"/>
          <w:spacing w:val="-3"/>
          <w:sz w:val="21"/>
        </w:rPr>
        <w:t xml:space="preserve">інфор- мації, </w:t>
      </w:r>
      <w:r>
        <w:rPr>
          <w:color w:val="231F20"/>
          <w:sz w:val="21"/>
        </w:rPr>
        <w:t xml:space="preserve">а не </w:t>
      </w:r>
      <w:r>
        <w:rPr>
          <w:color w:val="231F20"/>
          <w:spacing w:val="-3"/>
          <w:sz w:val="21"/>
        </w:rPr>
        <w:t xml:space="preserve">ініціювання </w:t>
      </w:r>
      <w:r>
        <w:rPr>
          <w:color w:val="231F20"/>
          <w:spacing w:val="-4"/>
          <w:sz w:val="21"/>
        </w:rPr>
        <w:t xml:space="preserve">розгляду будь-якого </w:t>
      </w:r>
      <w:r>
        <w:rPr>
          <w:color w:val="231F20"/>
          <w:spacing w:val="-3"/>
          <w:sz w:val="21"/>
        </w:rPr>
        <w:t>звернення</w:t>
      </w:r>
      <w:r>
        <w:rPr>
          <w:color w:val="231F20"/>
          <w:spacing w:val="-18"/>
          <w:sz w:val="21"/>
        </w:rPr>
        <w:t xml:space="preserve"> </w:t>
      </w:r>
      <w:r>
        <w:rPr>
          <w:color w:val="231F20"/>
          <w:spacing w:val="-3"/>
          <w:sz w:val="21"/>
        </w:rPr>
        <w:t>громадян;</w:t>
      </w:r>
    </w:p>
    <w:p w14:paraId="5EDBEB75" w14:textId="2CCF8BE7" w:rsidR="00DE575E" w:rsidRDefault="002E7560">
      <w:pPr>
        <w:pStyle w:val="BodyText"/>
        <w:spacing w:before="1"/>
        <w:rPr>
          <w:sz w:val="19"/>
        </w:rPr>
      </w:pPr>
      <w:r>
        <w:rPr>
          <w:noProof/>
        </w:rPr>
        <mc:AlternateContent>
          <mc:Choice Requires="wps">
            <w:drawing>
              <wp:anchor distT="0" distB="0" distL="0" distR="0" simplePos="0" relativeHeight="6712" behindDoc="0" locked="0" layoutInCell="1" allowOverlap="1" wp14:anchorId="39F4F163" wp14:editId="38158657">
                <wp:simplePos x="0" y="0"/>
                <wp:positionH relativeFrom="page">
                  <wp:posOffset>539750</wp:posOffset>
                </wp:positionH>
                <wp:positionV relativeFrom="paragraph">
                  <wp:posOffset>170180</wp:posOffset>
                </wp:positionV>
                <wp:extent cx="1080135" cy="0"/>
                <wp:effectExtent l="6350" t="17780" r="31115" b="20320"/>
                <wp:wrapTopAndBottom/>
                <wp:docPr id="1008"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EA80C" id="Line_x0020_1007" o:spid="_x0000_s1026" style="position:absolute;z-index:6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4pt" to="127.5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" strokecolor="#231f20" strokeweight=".5pt">
                <w10:wrap type="topAndBottom" anchorx="page"/>
              </v:line>
            </w:pict>
          </mc:Fallback>
        </mc:AlternateContent>
      </w:r>
    </w:p>
    <w:p w14:paraId="35E4CFBB" w14:textId="77777777" w:rsidR="00DE575E" w:rsidRDefault="002E7560">
      <w:pPr>
        <w:spacing w:line="204" w:lineRule="auto"/>
        <w:ind w:left="250" w:right="412"/>
        <w:jc w:val="both"/>
        <w:rPr>
          <w:sz w:val="16"/>
        </w:rPr>
      </w:pPr>
      <w:r>
        <w:rPr>
          <w:color w:val="231F20"/>
          <w:position w:val="5"/>
          <w:sz w:val="9"/>
        </w:rPr>
        <w:t xml:space="preserve">1 </w:t>
      </w:r>
      <w:r>
        <w:rPr>
          <w:color w:val="231F20"/>
          <w:sz w:val="16"/>
        </w:rPr>
        <w:t>Заярний О. Правове забезпечення розвитку інформаційної сфери України: адміністративно-деліктний аспект : монографія. Херсон: Видавничий дім «Гельветика», 2017. С. 352</w:t>
      </w:r>
    </w:p>
    <w:p w14:paraId="260205D0" w14:textId="77777777" w:rsidR="00DE575E" w:rsidRDefault="00DE575E">
      <w:pPr>
        <w:pStyle w:val="BodyText"/>
        <w:spacing w:before="2"/>
        <w:rPr>
          <w:sz w:val="12"/>
        </w:rPr>
      </w:pPr>
    </w:p>
    <w:p w14:paraId="36A5BDFA" w14:textId="77777777" w:rsidR="00DE575E" w:rsidRDefault="002E7560">
      <w:pPr>
        <w:spacing w:before="92"/>
        <w:ind w:right="411"/>
        <w:jc w:val="right"/>
        <w:rPr>
          <w:rFonts w:ascii="Times New Roman"/>
          <w:sz w:val="20"/>
        </w:rPr>
      </w:pPr>
      <w:r>
        <w:rPr>
          <w:rFonts w:ascii="Times New Roman"/>
          <w:color w:val="231F20"/>
          <w:w w:val="90"/>
          <w:sz w:val="20"/>
        </w:rPr>
        <w:t>163</w:t>
      </w:r>
    </w:p>
    <w:p w14:paraId="0F75E94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982166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EA1C182" w14:textId="053AC27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4DD3FA8" wp14:editId="06E11DA4">
                <wp:extent cx="4140200" cy="6350"/>
                <wp:effectExtent l="0" t="0" r="12700" b="6350"/>
                <wp:docPr id="1006"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07" name="Line 100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45434D" id="Group_x0020_100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nKceB/AgAAnAUAAA4A&#10;AAAAAAAAAAAAAAAALAIAAGRycy9lMm9Eb2MueG1sUEsBAi0AFAAGAAgAAAAhAEynsJDZAAAAAwEA&#10;AA8AAAAAAAAAAAAAAAAA1wQAAGRycy9kb3ducmV2LnhtbFBLBQYAAAAABAAEAPMAAADdBQAAAAA=&#10;">
                <v:line id="Line_x0020_100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W88QAAADdAAAADwAAAGRycy9kb3ducmV2LnhtbERPzWoCMRC+F3yHMIIXqYkVatkaRQSh&#10;eNDq9gHGzXR3aTJZN9Hd9umbgtDbfHy/s1j1zoobtaH2rGE6USCIC29qLjV85NvHFxAhIhu0nknD&#10;NwVYLQcPC8yM7/hIt1MsRQrhkKGGKsYmkzIUFTkME98QJ+7Ttw5jgm0pTYtdCndWPin1LB3WnBoq&#10;bGhTUfF1ujoN+WUc7fthZ7v8cJ7J82U/+7nutR4N+/UriEh9/Bff3W8mzVdqDn/fpBP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b9bzxAAAAN0AAAAPAAAAAAAAAAAA&#10;AAAAAKECAABkcnMvZG93bnJldi54bWxQSwUGAAAAAAQABAD5AAAAkgMAAAAA&#10;" strokecolor="#231f20" strokeweight=".5pt"/>
                <w10:anchorlock/>
              </v:group>
            </w:pict>
          </mc:Fallback>
        </mc:AlternateContent>
      </w:r>
    </w:p>
    <w:p w14:paraId="2E89877F" w14:textId="77777777" w:rsidR="00DE575E" w:rsidRDefault="00DE575E">
      <w:pPr>
        <w:pStyle w:val="BodyText"/>
        <w:spacing w:before="7"/>
        <w:rPr>
          <w:rFonts w:ascii="AdonisC"/>
          <w:i/>
          <w:sz w:val="11"/>
        </w:rPr>
      </w:pPr>
    </w:p>
    <w:p w14:paraId="6D1FE2DC" w14:textId="77777777" w:rsidR="00DE575E" w:rsidRDefault="002E7560">
      <w:pPr>
        <w:pStyle w:val="ListParagraph"/>
        <w:numPr>
          <w:ilvl w:val="0"/>
          <w:numId w:val="236"/>
        </w:numPr>
        <w:tabs>
          <w:tab w:val="left" w:pos="1101"/>
        </w:tabs>
        <w:spacing w:before="101" w:line="252" w:lineRule="auto"/>
        <w:ind w:right="128" w:firstLine="284"/>
        <w:rPr>
          <w:sz w:val="21"/>
        </w:rPr>
      </w:pPr>
      <w:r>
        <w:rPr>
          <w:color w:val="231F20"/>
          <w:sz w:val="21"/>
        </w:rPr>
        <w:t>право</w:t>
      </w:r>
      <w:r>
        <w:rPr>
          <w:color w:val="231F20"/>
          <w:spacing w:val="-14"/>
          <w:sz w:val="21"/>
        </w:rPr>
        <w:t xml:space="preserve"> </w:t>
      </w:r>
      <w:r>
        <w:rPr>
          <w:color w:val="231F20"/>
          <w:sz w:val="21"/>
        </w:rPr>
        <w:t>особи</w:t>
      </w:r>
      <w:r>
        <w:rPr>
          <w:color w:val="231F20"/>
          <w:spacing w:val="-14"/>
          <w:sz w:val="21"/>
        </w:rPr>
        <w:t xml:space="preserve"> </w:t>
      </w:r>
      <w:r>
        <w:rPr>
          <w:color w:val="231F20"/>
          <w:sz w:val="21"/>
        </w:rPr>
        <w:t>на</w:t>
      </w:r>
      <w:r>
        <w:rPr>
          <w:color w:val="231F20"/>
          <w:spacing w:val="-14"/>
          <w:sz w:val="21"/>
        </w:rPr>
        <w:t xml:space="preserve"> </w:t>
      </w:r>
      <w:r>
        <w:rPr>
          <w:color w:val="231F20"/>
          <w:sz w:val="21"/>
        </w:rPr>
        <w:t>доступ</w:t>
      </w:r>
      <w:r>
        <w:rPr>
          <w:color w:val="231F20"/>
          <w:spacing w:val="-14"/>
          <w:sz w:val="21"/>
        </w:rPr>
        <w:t xml:space="preserve"> </w:t>
      </w:r>
      <w:r>
        <w:rPr>
          <w:color w:val="231F20"/>
          <w:sz w:val="21"/>
        </w:rPr>
        <w:t>до</w:t>
      </w:r>
      <w:r>
        <w:rPr>
          <w:color w:val="231F20"/>
          <w:spacing w:val="-14"/>
          <w:sz w:val="21"/>
        </w:rPr>
        <w:t xml:space="preserve"> </w:t>
      </w:r>
      <w:r>
        <w:rPr>
          <w:color w:val="231F20"/>
          <w:sz w:val="21"/>
        </w:rPr>
        <w:t>публічної</w:t>
      </w:r>
      <w:r>
        <w:rPr>
          <w:color w:val="231F20"/>
          <w:spacing w:val="-14"/>
          <w:sz w:val="21"/>
        </w:rPr>
        <w:t xml:space="preserve"> </w:t>
      </w:r>
      <w:r>
        <w:rPr>
          <w:color w:val="231F20"/>
          <w:sz w:val="21"/>
        </w:rPr>
        <w:t>інформації</w:t>
      </w:r>
      <w:r>
        <w:rPr>
          <w:color w:val="231F20"/>
          <w:spacing w:val="-14"/>
          <w:sz w:val="21"/>
        </w:rPr>
        <w:t xml:space="preserve"> </w:t>
      </w:r>
      <w:r>
        <w:rPr>
          <w:color w:val="231F20"/>
          <w:sz w:val="21"/>
        </w:rPr>
        <w:t>може</w:t>
      </w:r>
      <w:r>
        <w:rPr>
          <w:color w:val="231F20"/>
          <w:spacing w:val="-14"/>
          <w:sz w:val="21"/>
        </w:rPr>
        <w:t xml:space="preserve"> </w:t>
      </w:r>
      <w:r>
        <w:rPr>
          <w:color w:val="231F20"/>
          <w:sz w:val="21"/>
        </w:rPr>
        <w:t>бути</w:t>
      </w:r>
      <w:r>
        <w:rPr>
          <w:color w:val="231F20"/>
          <w:spacing w:val="-14"/>
          <w:sz w:val="21"/>
        </w:rPr>
        <w:t xml:space="preserve"> </w:t>
      </w:r>
      <w:r>
        <w:rPr>
          <w:color w:val="231F20"/>
          <w:sz w:val="21"/>
        </w:rPr>
        <w:t xml:space="preserve">осно- вою для набуття чи реалізації інших </w:t>
      </w:r>
      <w:r>
        <w:rPr>
          <w:color w:val="231F20"/>
          <w:spacing w:val="-3"/>
          <w:sz w:val="21"/>
        </w:rPr>
        <w:t xml:space="preserve">суб’єктивних </w:t>
      </w:r>
      <w:r>
        <w:rPr>
          <w:color w:val="231F20"/>
          <w:sz w:val="21"/>
        </w:rPr>
        <w:t>публічних</w:t>
      </w:r>
      <w:r>
        <w:rPr>
          <w:color w:val="231F20"/>
          <w:spacing w:val="-4"/>
          <w:sz w:val="21"/>
        </w:rPr>
        <w:t xml:space="preserve"> </w:t>
      </w:r>
      <w:r>
        <w:rPr>
          <w:color w:val="231F20"/>
          <w:sz w:val="21"/>
        </w:rPr>
        <w:t>прав;</w:t>
      </w:r>
    </w:p>
    <w:p w14:paraId="7B4EF5F3" w14:textId="77777777" w:rsidR="00DE575E" w:rsidRDefault="002E7560">
      <w:pPr>
        <w:pStyle w:val="ListParagraph"/>
        <w:numPr>
          <w:ilvl w:val="0"/>
          <w:numId w:val="236"/>
        </w:numPr>
        <w:tabs>
          <w:tab w:val="left" w:pos="1101"/>
        </w:tabs>
        <w:spacing w:line="252" w:lineRule="auto"/>
        <w:ind w:right="128" w:firstLine="284"/>
        <w:rPr>
          <w:sz w:val="21"/>
        </w:rPr>
      </w:pPr>
      <w:r>
        <w:rPr>
          <w:color w:val="231F20"/>
          <w:sz w:val="21"/>
        </w:rPr>
        <w:t>таке право завжди реалізується у відносинах з уповноваже- ними розпорядниками публічної</w:t>
      </w:r>
      <w:r>
        <w:rPr>
          <w:color w:val="231F20"/>
          <w:spacing w:val="-2"/>
          <w:sz w:val="21"/>
        </w:rPr>
        <w:t xml:space="preserve"> </w:t>
      </w:r>
      <w:r>
        <w:rPr>
          <w:color w:val="231F20"/>
          <w:sz w:val="21"/>
        </w:rPr>
        <w:t>інформації;</w:t>
      </w:r>
    </w:p>
    <w:p w14:paraId="1F3E5800" w14:textId="77777777" w:rsidR="00DE575E" w:rsidRDefault="002E7560">
      <w:pPr>
        <w:pStyle w:val="ListParagraph"/>
        <w:numPr>
          <w:ilvl w:val="0"/>
          <w:numId w:val="236"/>
        </w:numPr>
        <w:tabs>
          <w:tab w:val="left" w:pos="1101"/>
        </w:tabs>
        <w:spacing w:line="252" w:lineRule="auto"/>
        <w:ind w:right="128" w:firstLine="284"/>
        <w:rPr>
          <w:sz w:val="21"/>
        </w:rPr>
      </w:pPr>
      <w:r>
        <w:rPr>
          <w:color w:val="231F20"/>
          <w:sz w:val="21"/>
        </w:rPr>
        <w:t>це право здійснюється щодо одержання саме публічної інфор- мації, а не документа, в якому вона</w:t>
      </w:r>
      <w:r>
        <w:rPr>
          <w:color w:val="231F20"/>
          <w:spacing w:val="-6"/>
          <w:sz w:val="21"/>
        </w:rPr>
        <w:t xml:space="preserve"> </w:t>
      </w:r>
      <w:r>
        <w:rPr>
          <w:color w:val="231F20"/>
          <w:sz w:val="21"/>
        </w:rPr>
        <w:t>викладена;</w:t>
      </w:r>
    </w:p>
    <w:p w14:paraId="35C2C10E" w14:textId="77777777" w:rsidR="00DE575E" w:rsidRDefault="002E7560">
      <w:pPr>
        <w:pStyle w:val="ListParagraph"/>
        <w:numPr>
          <w:ilvl w:val="0"/>
          <w:numId w:val="236"/>
        </w:numPr>
        <w:tabs>
          <w:tab w:val="left" w:pos="1101"/>
        </w:tabs>
        <w:spacing w:line="252" w:lineRule="auto"/>
        <w:ind w:right="127" w:firstLine="284"/>
        <w:rPr>
          <w:sz w:val="21"/>
        </w:rPr>
      </w:pPr>
      <w:r>
        <w:rPr>
          <w:color w:val="231F20"/>
          <w:sz w:val="21"/>
        </w:rPr>
        <w:t>право особи на доступ до публічної інформації в разі його порушення</w:t>
      </w:r>
      <w:r>
        <w:rPr>
          <w:color w:val="231F20"/>
          <w:spacing w:val="-8"/>
          <w:sz w:val="21"/>
        </w:rPr>
        <w:t xml:space="preserve"> </w:t>
      </w:r>
      <w:r>
        <w:rPr>
          <w:color w:val="231F20"/>
          <w:sz w:val="21"/>
        </w:rPr>
        <w:t>підлягає</w:t>
      </w:r>
      <w:r>
        <w:rPr>
          <w:color w:val="231F20"/>
          <w:spacing w:val="-8"/>
          <w:sz w:val="21"/>
        </w:rPr>
        <w:t xml:space="preserve"> </w:t>
      </w:r>
      <w:r>
        <w:rPr>
          <w:color w:val="231F20"/>
          <w:sz w:val="21"/>
        </w:rPr>
        <w:t>захисту</w:t>
      </w:r>
      <w:r>
        <w:rPr>
          <w:color w:val="231F20"/>
          <w:spacing w:val="-8"/>
          <w:sz w:val="21"/>
        </w:rPr>
        <w:t xml:space="preserve"> </w:t>
      </w:r>
      <w:r>
        <w:rPr>
          <w:color w:val="231F20"/>
          <w:sz w:val="21"/>
        </w:rPr>
        <w:t>в</w:t>
      </w:r>
      <w:r>
        <w:rPr>
          <w:color w:val="231F20"/>
          <w:spacing w:val="-8"/>
          <w:sz w:val="21"/>
        </w:rPr>
        <w:t xml:space="preserve"> </w:t>
      </w:r>
      <w:r>
        <w:rPr>
          <w:color w:val="231F20"/>
          <w:sz w:val="21"/>
        </w:rPr>
        <w:t>позасудовому</w:t>
      </w:r>
      <w:r>
        <w:rPr>
          <w:color w:val="231F20"/>
          <w:spacing w:val="-8"/>
          <w:sz w:val="21"/>
        </w:rPr>
        <w:t xml:space="preserve"> </w:t>
      </w:r>
      <w:r>
        <w:rPr>
          <w:color w:val="231F20"/>
          <w:sz w:val="21"/>
        </w:rPr>
        <w:t>порядку</w:t>
      </w:r>
      <w:r>
        <w:rPr>
          <w:color w:val="231F20"/>
          <w:spacing w:val="-8"/>
          <w:sz w:val="21"/>
        </w:rPr>
        <w:t xml:space="preserve"> </w:t>
      </w:r>
      <w:r>
        <w:rPr>
          <w:color w:val="231F20"/>
          <w:sz w:val="21"/>
        </w:rPr>
        <w:t>вищою</w:t>
      </w:r>
      <w:r>
        <w:rPr>
          <w:color w:val="231F20"/>
          <w:spacing w:val="-8"/>
          <w:sz w:val="21"/>
        </w:rPr>
        <w:t xml:space="preserve"> </w:t>
      </w:r>
      <w:r>
        <w:rPr>
          <w:color w:val="231F20"/>
          <w:sz w:val="21"/>
        </w:rPr>
        <w:t>особою чи органом розпорядника публічної інформації, Уповноваженим Верховної</w:t>
      </w:r>
      <w:r>
        <w:rPr>
          <w:color w:val="231F20"/>
          <w:spacing w:val="-8"/>
          <w:sz w:val="21"/>
        </w:rPr>
        <w:t xml:space="preserve"> </w:t>
      </w:r>
      <w:r>
        <w:rPr>
          <w:color w:val="231F20"/>
          <w:sz w:val="21"/>
        </w:rPr>
        <w:t>Ради</w:t>
      </w:r>
      <w:r>
        <w:rPr>
          <w:color w:val="231F20"/>
          <w:spacing w:val="-8"/>
          <w:sz w:val="21"/>
        </w:rPr>
        <w:t xml:space="preserve"> </w:t>
      </w:r>
      <w:r>
        <w:rPr>
          <w:color w:val="231F20"/>
          <w:spacing w:val="-3"/>
          <w:sz w:val="21"/>
        </w:rPr>
        <w:t>України</w:t>
      </w:r>
      <w:r>
        <w:rPr>
          <w:color w:val="231F20"/>
          <w:spacing w:val="-8"/>
          <w:sz w:val="21"/>
        </w:rPr>
        <w:t xml:space="preserve"> </w:t>
      </w:r>
      <w:r>
        <w:rPr>
          <w:color w:val="231F20"/>
          <w:sz w:val="21"/>
        </w:rPr>
        <w:t>з</w:t>
      </w:r>
      <w:r>
        <w:rPr>
          <w:color w:val="231F20"/>
          <w:spacing w:val="-8"/>
          <w:sz w:val="21"/>
        </w:rPr>
        <w:t xml:space="preserve"> </w:t>
      </w:r>
      <w:r>
        <w:rPr>
          <w:color w:val="231F20"/>
          <w:sz w:val="21"/>
        </w:rPr>
        <w:t>прав</w:t>
      </w:r>
      <w:r>
        <w:rPr>
          <w:color w:val="231F20"/>
          <w:spacing w:val="-8"/>
          <w:sz w:val="21"/>
        </w:rPr>
        <w:t xml:space="preserve"> </w:t>
      </w:r>
      <w:r>
        <w:rPr>
          <w:color w:val="231F20"/>
          <w:sz w:val="21"/>
        </w:rPr>
        <w:t>людини</w:t>
      </w:r>
      <w:r>
        <w:rPr>
          <w:color w:val="231F20"/>
          <w:spacing w:val="-8"/>
          <w:sz w:val="21"/>
        </w:rPr>
        <w:t xml:space="preserve"> </w:t>
      </w:r>
      <w:r>
        <w:rPr>
          <w:color w:val="231F20"/>
          <w:sz w:val="21"/>
        </w:rPr>
        <w:t>або</w:t>
      </w:r>
      <w:r>
        <w:rPr>
          <w:color w:val="231F20"/>
          <w:spacing w:val="-8"/>
          <w:sz w:val="21"/>
        </w:rPr>
        <w:t xml:space="preserve"> </w:t>
      </w:r>
      <w:r>
        <w:rPr>
          <w:color w:val="231F20"/>
          <w:sz w:val="21"/>
        </w:rPr>
        <w:t>шляхом</w:t>
      </w:r>
      <w:r>
        <w:rPr>
          <w:color w:val="231F20"/>
          <w:spacing w:val="-8"/>
          <w:sz w:val="21"/>
        </w:rPr>
        <w:t xml:space="preserve"> </w:t>
      </w:r>
      <w:r>
        <w:rPr>
          <w:color w:val="231F20"/>
          <w:sz w:val="21"/>
        </w:rPr>
        <w:t>безпосереднього звернення з позовом до адміністративного</w:t>
      </w:r>
      <w:r>
        <w:rPr>
          <w:color w:val="231F20"/>
          <w:spacing w:val="-6"/>
          <w:sz w:val="21"/>
        </w:rPr>
        <w:t xml:space="preserve"> </w:t>
      </w:r>
      <w:r>
        <w:rPr>
          <w:color w:val="231F20"/>
          <w:spacing w:val="-7"/>
          <w:sz w:val="21"/>
        </w:rPr>
        <w:t>суду.</w:t>
      </w:r>
    </w:p>
    <w:p w14:paraId="0B7513C0" w14:textId="77777777" w:rsidR="00DE575E" w:rsidRDefault="002E7560">
      <w:pPr>
        <w:pStyle w:val="BodyText"/>
        <w:spacing w:before="2" w:line="252" w:lineRule="auto"/>
        <w:ind w:left="533" w:right="127" w:firstLine="283"/>
        <w:jc w:val="both"/>
      </w:pPr>
      <w:r>
        <w:rPr>
          <w:color w:val="231F20"/>
        </w:rPr>
        <w:t>Здійснення права на доступ до публічної інформації ґрунтується на таких основн</w:t>
      </w:r>
      <w:r>
        <w:rPr>
          <w:color w:val="231F20"/>
        </w:rPr>
        <w:t>их принципах:</w:t>
      </w:r>
    </w:p>
    <w:p w14:paraId="2583622D" w14:textId="77777777" w:rsidR="00DE575E" w:rsidRDefault="002E7560">
      <w:pPr>
        <w:pStyle w:val="ListParagraph"/>
        <w:numPr>
          <w:ilvl w:val="0"/>
          <w:numId w:val="235"/>
        </w:numPr>
        <w:tabs>
          <w:tab w:val="left" w:pos="1101"/>
        </w:tabs>
        <w:spacing w:line="252" w:lineRule="auto"/>
        <w:ind w:right="128" w:firstLine="284"/>
        <w:jc w:val="both"/>
        <w:rPr>
          <w:sz w:val="21"/>
        </w:rPr>
      </w:pPr>
      <w:r>
        <w:rPr>
          <w:color w:val="231F20"/>
          <w:sz w:val="21"/>
        </w:rPr>
        <w:t xml:space="preserve">прозорості та відкритості діяльності </w:t>
      </w:r>
      <w:r>
        <w:rPr>
          <w:color w:val="231F20"/>
          <w:spacing w:val="-3"/>
          <w:sz w:val="21"/>
        </w:rPr>
        <w:t xml:space="preserve">суб’єктів </w:t>
      </w:r>
      <w:r>
        <w:rPr>
          <w:color w:val="231F20"/>
          <w:sz w:val="21"/>
        </w:rPr>
        <w:t>владних повно- важень;</w:t>
      </w:r>
    </w:p>
    <w:p w14:paraId="3C5A1F61" w14:textId="77777777" w:rsidR="00DE575E" w:rsidRDefault="002E7560">
      <w:pPr>
        <w:pStyle w:val="ListParagraph"/>
        <w:numPr>
          <w:ilvl w:val="0"/>
          <w:numId w:val="235"/>
        </w:numPr>
        <w:tabs>
          <w:tab w:val="left" w:pos="1101"/>
        </w:tabs>
        <w:spacing w:line="252" w:lineRule="auto"/>
        <w:ind w:right="127" w:firstLine="284"/>
        <w:jc w:val="both"/>
        <w:rPr>
          <w:sz w:val="21"/>
        </w:rPr>
      </w:pPr>
      <w:r>
        <w:rPr>
          <w:color w:val="231F20"/>
          <w:sz w:val="21"/>
        </w:rPr>
        <w:t xml:space="preserve">вільного отримання, поширення та будь-якого іншого вико- ристання інформації, що </w:t>
      </w:r>
      <w:r>
        <w:rPr>
          <w:color w:val="231F20"/>
          <w:spacing w:val="-3"/>
          <w:sz w:val="21"/>
        </w:rPr>
        <w:t xml:space="preserve">була </w:t>
      </w:r>
      <w:r>
        <w:rPr>
          <w:color w:val="231F20"/>
          <w:sz w:val="21"/>
        </w:rPr>
        <w:t xml:space="preserve">надана або оприлюднена відповідно до цього Закону </w:t>
      </w:r>
      <w:r>
        <w:rPr>
          <w:color w:val="231F20"/>
          <w:spacing w:val="-3"/>
          <w:sz w:val="21"/>
        </w:rPr>
        <w:t xml:space="preserve">України </w:t>
      </w:r>
      <w:r>
        <w:rPr>
          <w:color w:val="231F20"/>
          <w:sz w:val="21"/>
        </w:rPr>
        <w:t>«Про доступ до публічної інформації», крім обмежень, встановлених</w:t>
      </w:r>
      <w:r>
        <w:rPr>
          <w:color w:val="231F20"/>
          <w:spacing w:val="-2"/>
          <w:sz w:val="21"/>
        </w:rPr>
        <w:t xml:space="preserve"> </w:t>
      </w:r>
      <w:r>
        <w:rPr>
          <w:color w:val="231F20"/>
          <w:sz w:val="21"/>
        </w:rPr>
        <w:t>законом;</w:t>
      </w:r>
    </w:p>
    <w:p w14:paraId="6872AD91" w14:textId="77777777" w:rsidR="00DE575E" w:rsidRDefault="002E7560">
      <w:pPr>
        <w:pStyle w:val="ListParagraph"/>
        <w:numPr>
          <w:ilvl w:val="0"/>
          <w:numId w:val="235"/>
        </w:numPr>
        <w:tabs>
          <w:tab w:val="left" w:pos="1101"/>
        </w:tabs>
        <w:spacing w:before="2" w:line="252" w:lineRule="auto"/>
        <w:ind w:right="127" w:firstLine="284"/>
        <w:jc w:val="both"/>
        <w:rPr>
          <w:sz w:val="21"/>
        </w:rPr>
      </w:pPr>
      <w:r>
        <w:rPr>
          <w:color w:val="231F20"/>
          <w:sz w:val="21"/>
        </w:rPr>
        <w:t xml:space="preserve">рівноправності, незалежно від ознак раси, політичних, релі- гійних та інших переконань, статі, етнічного та соціального </w:t>
      </w:r>
      <w:r>
        <w:rPr>
          <w:color w:val="231F20"/>
          <w:spacing w:val="-3"/>
          <w:sz w:val="21"/>
        </w:rPr>
        <w:t xml:space="preserve">похо- </w:t>
      </w:r>
      <w:r>
        <w:rPr>
          <w:color w:val="231F20"/>
          <w:sz w:val="21"/>
        </w:rPr>
        <w:t xml:space="preserve">дження, майнового </w:t>
      </w:r>
      <w:r>
        <w:rPr>
          <w:color w:val="231F20"/>
          <w:spacing w:val="-3"/>
          <w:sz w:val="21"/>
        </w:rPr>
        <w:t xml:space="preserve">стану, </w:t>
      </w:r>
      <w:r>
        <w:rPr>
          <w:color w:val="231F20"/>
          <w:sz w:val="21"/>
        </w:rPr>
        <w:t>місця проживання, мовних або і</w:t>
      </w:r>
      <w:r>
        <w:rPr>
          <w:color w:val="231F20"/>
          <w:sz w:val="21"/>
        </w:rPr>
        <w:t>нших ознак.</w:t>
      </w:r>
    </w:p>
    <w:p w14:paraId="12799202" w14:textId="77777777" w:rsidR="00DE575E" w:rsidRDefault="002E7560">
      <w:pPr>
        <w:pStyle w:val="BodyText"/>
        <w:spacing w:before="2" w:line="252" w:lineRule="auto"/>
        <w:ind w:left="533" w:right="128" w:firstLine="283"/>
        <w:jc w:val="both"/>
      </w:pPr>
      <w:r>
        <w:rPr>
          <w:color w:val="231F20"/>
        </w:rPr>
        <w:t>Якщо</w:t>
      </w:r>
      <w:r>
        <w:rPr>
          <w:color w:val="231F20"/>
          <w:spacing w:val="-15"/>
        </w:rPr>
        <w:t xml:space="preserve"> </w:t>
      </w:r>
      <w:r>
        <w:rPr>
          <w:color w:val="231F20"/>
        </w:rPr>
        <w:t>фізична</w:t>
      </w:r>
      <w:r>
        <w:rPr>
          <w:color w:val="231F20"/>
          <w:spacing w:val="-15"/>
        </w:rPr>
        <w:t xml:space="preserve"> </w:t>
      </w:r>
      <w:r>
        <w:rPr>
          <w:color w:val="231F20"/>
        </w:rPr>
        <w:t>особа</w:t>
      </w:r>
      <w:r>
        <w:rPr>
          <w:color w:val="231F20"/>
          <w:spacing w:val="-15"/>
        </w:rPr>
        <w:t xml:space="preserve"> </w:t>
      </w:r>
      <w:r>
        <w:rPr>
          <w:color w:val="231F20"/>
        </w:rPr>
        <w:t>прагне</w:t>
      </w:r>
      <w:r>
        <w:rPr>
          <w:color w:val="231F20"/>
          <w:spacing w:val="-15"/>
        </w:rPr>
        <w:t xml:space="preserve"> </w:t>
      </w:r>
      <w:r>
        <w:rPr>
          <w:color w:val="231F20"/>
        </w:rPr>
        <w:t>реалізувати</w:t>
      </w:r>
      <w:r>
        <w:rPr>
          <w:color w:val="231F20"/>
          <w:spacing w:val="-15"/>
        </w:rPr>
        <w:t xml:space="preserve"> </w:t>
      </w:r>
      <w:r>
        <w:rPr>
          <w:color w:val="231F20"/>
        </w:rPr>
        <w:t>своє</w:t>
      </w:r>
      <w:r>
        <w:rPr>
          <w:color w:val="231F20"/>
          <w:spacing w:val="-15"/>
        </w:rPr>
        <w:t xml:space="preserve"> </w:t>
      </w:r>
      <w:r>
        <w:rPr>
          <w:color w:val="231F20"/>
          <w:spacing w:val="-3"/>
        </w:rPr>
        <w:t>суб’єктивне</w:t>
      </w:r>
      <w:r>
        <w:rPr>
          <w:color w:val="231F20"/>
          <w:spacing w:val="-15"/>
        </w:rPr>
        <w:t xml:space="preserve"> </w:t>
      </w:r>
      <w:r>
        <w:rPr>
          <w:color w:val="231F20"/>
        </w:rPr>
        <w:t>публічне право на доступ до конфіденційної, службової чи таємної інформа- ції, то реалізація такого права є обмеженою й зумовлюється право- вим режимом запитуваної</w:t>
      </w:r>
      <w:r>
        <w:rPr>
          <w:color w:val="231F20"/>
          <w:spacing w:val="-4"/>
        </w:rPr>
        <w:t xml:space="preserve"> </w:t>
      </w:r>
      <w:r>
        <w:rPr>
          <w:color w:val="231F20"/>
        </w:rPr>
        <w:t>інформації.</w:t>
      </w:r>
    </w:p>
    <w:p w14:paraId="5CE313A4" w14:textId="77777777" w:rsidR="00DE575E" w:rsidRDefault="002E7560">
      <w:pPr>
        <w:pStyle w:val="BodyText"/>
        <w:spacing w:before="2" w:line="252" w:lineRule="auto"/>
        <w:ind w:left="533" w:right="128" w:firstLine="283"/>
        <w:jc w:val="both"/>
      </w:pPr>
      <w:r>
        <w:rPr>
          <w:color w:val="231F20"/>
        </w:rPr>
        <w:t>Обмеження дос</w:t>
      </w:r>
      <w:r>
        <w:rPr>
          <w:color w:val="231F20"/>
        </w:rPr>
        <w:t>тупу до інформації здійснюється відповідно до закону при дотриманні сукупності таких вимог:</w:t>
      </w:r>
    </w:p>
    <w:p w14:paraId="0E756E45" w14:textId="77777777" w:rsidR="00DE575E" w:rsidRDefault="002E7560">
      <w:pPr>
        <w:pStyle w:val="ListParagraph"/>
        <w:numPr>
          <w:ilvl w:val="0"/>
          <w:numId w:val="236"/>
        </w:numPr>
        <w:tabs>
          <w:tab w:val="left" w:pos="1101"/>
        </w:tabs>
        <w:spacing w:line="252" w:lineRule="auto"/>
        <w:ind w:right="126" w:firstLine="284"/>
        <w:rPr>
          <w:sz w:val="21"/>
        </w:rPr>
      </w:pPr>
      <w:r>
        <w:rPr>
          <w:color w:val="231F20"/>
          <w:sz w:val="21"/>
        </w:rPr>
        <w:t>виключно в інтересах національної безпеки, територіальної цілісності або громадського порядку з метою запобігання завору- шенням чи злочинам, для охорони здоров’я н</w:t>
      </w:r>
      <w:r>
        <w:rPr>
          <w:color w:val="231F20"/>
          <w:sz w:val="21"/>
        </w:rPr>
        <w:t>аселення, для захисту репутації або прав інших людей, для запобігання розголошенню інформації, одержаної конфіденційно, або для підтримання автори- тету і неупередженості</w:t>
      </w:r>
      <w:r>
        <w:rPr>
          <w:color w:val="231F20"/>
          <w:spacing w:val="-3"/>
          <w:sz w:val="21"/>
        </w:rPr>
        <w:t xml:space="preserve"> </w:t>
      </w:r>
      <w:r>
        <w:rPr>
          <w:color w:val="231F20"/>
          <w:sz w:val="21"/>
        </w:rPr>
        <w:t>правосуддя;</w:t>
      </w:r>
    </w:p>
    <w:p w14:paraId="4A1411ED" w14:textId="77777777" w:rsidR="00DE575E" w:rsidRDefault="002E7560">
      <w:pPr>
        <w:pStyle w:val="ListParagraph"/>
        <w:numPr>
          <w:ilvl w:val="0"/>
          <w:numId w:val="236"/>
        </w:numPr>
        <w:tabs>
          <w:tab w:val="left" w:pos="1101"/>
        </w:tabs>
        <w:spacing w:before="3" w:line="252" w:lineRule="auto"/>
        <w:ind w:right="127" w:firstLine="284"/>
        <w:rPr>
          <w:sz w:val="21"/>
        </w:rPr>
      </w:pPr>
      <w:r>
        <w:rPr>
          <w:color w:val="231F20"/>
          <w:sz w:val="21"/>
        </w:rPr>
        <w:t>розголошення інформації може завдати істотної шкоди цим інтересам;</w:t>
      </w:r>
    </w:p>
    <w:p w14:paraId="7F008829" w14:textId="77777777" w:rsidR="00DE575E" w:rsidRDefault="002E7560">
      <w:pPr>
        <w:pStyle w:val="ListParagraph"/>
        <w:numPr>
          <w:ilvl w:val="0"/>
          <w:numId w:val="236"/>
        </w:numPr>
        <w:tabs>
          <w:tab w:val="left" w:pos="1101"/>
        </w:tabs>
        <w:spacing w:line="252" w:lineRule="auto"/>
        <w:ind w:right="128" w:firstLine="284"/>
        <w:rPr>
          <w:sz w:val="21"/>
        </w:rPr>
      </w:pPr>
      <w:r>
        <w:rPr>
          <w:color w:val="231F20"/>
          <w:sz w:val="21"/>
        </w:rPr>
        <w:t>шкода від оприлюднення такої інформації переважає суспіль- ний інтерес в її</w:t>
      </w:r>
      <w:r>
        <w:rPr>
          <w:color w:val="231F20"/>
          <w:spacing w:val="-2"/>
          <w:sz w:val="21"/>
        </w:rPr>
        <w:t xml:space="preserve"> </w:t>
      </w:r>
      <w:r>
        <w:rPr>
          <w:color w:val="231F20"/>
          <w:sz w:val="21"/>
        </w:rPr>
        <w:t>отриманні.</w:t>
      </w:r>
    </w:p>
    <w:p w14:paraId="52748FA5" w14:textId="77777777" w:rsidR="00DE575E" w:rsidRDefault="00DE575E">
      <w:pPr>
        <w:pStyle w:val="BodyText"/>
        <w:spacing w:before="5"/>
        <w:rPr>
          <w:sz w:val="12"/>
        </w:rPr>
      </w:pPr>
    </w:p>
    <w:p w14:paraId="5CB7856E" w14:textId="77777777" w:rsidR="00DE575E" w:rsidRDefault="002E7560">
      <w:pPr>
        <w:spacing w:before="92"/>
        <w:ind w:left="533"/>
        <w:rPr>
          <w:rFonts w:ascii="Times New Roman"/>
          <w:sz w:val="20"/>
        </w:rPr>
      </w:pPr>
      <w:r>
        <w:rPr>
          <w:rFonts w:ascii="Times New Roman"/>
          <w:color w:val="231F20"/>
          <w:sz w:val="20"/>
        </w:rPr>
        <w:t>164</w:t>
      </w:r>
    </w:p>
    <w:p w14:paraId="0786BAA9" w14:textId="77777777" w:rsidR="00DE575E" w:rsidRDefault="00DE575E">
      <w:pPr>
        <w:rPr>
          <w:rFonts w:ascii="Times New Roman"/>
          <w:sz w:val="20"/>
        </w:rPr>
        <w:sectPr w:rsidR="00DE575E">
          <w:pgSz w:w="8510" w:h="12760"/>
          <w:pgMar w:top="660" w:right="720" w:bottom="280" w:left="600" w:header="720" w:footer="720" w:gutter="0"/>
          <w:cols w:space="720"/>
        </w:sectPr>
      </w:pPr>
    </w:p>
    <w:p w14:paraId="56B395DF" w14:textId="77777777" w:rsidR="00DE575E" w:rsidRDefault="002E7560">
      <w:pPr>
        <w:spacing w:before="72" w:line="249" w:lineRule="auto"/>
        <w:ind w:left="1683" w:right="411" w:firstLine="1746"/>
        <w:jc w:val="right"/>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428979DB" w14:textId="0E8A56C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F931876" wp14:editId="051EED82">
                <wp:extent cx="4140200" cy="6350"/>
                <wp:effectExtent l="0" t="0" r="12700" b="6350"/>
                <wp:docPr id="1004"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05" name="Line 10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AA2FED" id="Group_x0020_10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eKund/AgAAnAUAAA4A&#10;AAAAAAAAAAAAAAAALAIAAGRycy9lMm9Eb2MueG1sUEsBAi0AFAAGAAgAAAAhAEynsJDZAAAAAwEA&#10;AA8AAAAAAAAAAAAAAAAA1wQAAGRycy9kb3ducmV2LnhtbFBLBQYAAAAABAAEAPMAAADdBQAAAAA=&#10;">
                <v:line id="Line_x0020_10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HtH8QAAADdAAAADwAAAGRycy9kb3ducmV2LnhtbERPzWoCMRC+F3yHMIIXqYmVStkaRQSh&#10;eNDq9gHGzXR3aTJZN9Hd9umbgtDbfHy/s1j1zoobtaH2rGE6USCIC29qLjV85NvHFxAhIhu0nknD&#10;NwVYLQcPC8yM7/hIt1MsRQrhkKGGKsYmkzIUFTkME98QJ+7Ttw5jgm0pTYtdCndWPik1lw5rTg0V&#10;NrSpqPg6XZ2G/DKO9v2ws11+OM/k+bKf/Vz3Wo+G/foVRKQ+/ovv7jeT5iv1DH/fpBP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8e0fxAAAAN0AAAAPAAAAAAAAAAAA&#10;AAAAAKECAABkcnMvZG93bnJldi54bWxQSwUGAAAAAAQABAD5AAAAkgMAAAAA&#10;" strokecolor="#231f20" strokeweight=".5pt"/>
                <w10:anchorlock/>
              </v:group>
            </w:pict>
          </mc:Fallback>
        </mc:AlternateContent>
      </w:r>
    </w:p>
    <w:p w14:paraId="2F14AB57" w14:textId="77777777" w:rsidR="00DE575E" w:rsidRDefault="00DE575E">
      <w:pPr>
        <w:pStyle w:val="BodyText"/>
        <w:spacing w:before="7"/>
        <w:rPr>
          <w:rFonts w:ascii="AdonisC"/>
          <w:i/>
          <w:sz w:val="19"/>
        </w:rPr>
      </w:pPr>
    </w:p>
    <w:p w14:paraId="46FDE7D8" w14:textId="77777777" w:rsidR="00DE575E" w:rsidRDefault="002E7560">
      <w:pPr>
        <w:pStyle w:val="BodyText"/>
        <w:spacing w:before="1" w:line="252" w:lineRule="auto"/>
        <w:ind w:left="250" w:right="409" w:firstLine="283"/>
        <w:jc w:val="both"/>
      </w:pPr>
      <w:r>
        <w:rPr>
          <w:color w:val="231F20"/>
        </w:rPr>
        <w:t>Інформація з обмеженим доступом має надаватися розпоряд- ником інформації, якщо він правомірно оприлюднив її раніше. При цьому інформація з обмеженим доступом має надаватися розпо- рядником інформації, якщо немає законн</w:t>
      </w:r>
      <w:r>
        <w:rPr>
          <w:color w:val="231F20"/>
        </w:rPr>
        <w:t>их підстав для обмеження в доступі до такої інформації, які існували раніше.</w:t>
      </w:r>
    </w:p>
    <w:p w14:paraId="15B42F00" w14:textId="77777777" w:rsidR="00DE575E" w:rsidRDefault="002E7560">
      <w:pPr>
        <w:pStyle w:val="BodyText"/>
        <w:spacing w:before="2" w:line="252" w:lineRule="auto"/>
        <w:ind w:left="250" w:right="410" w:firstLine="283"/>
        <w:jc w:val="both"/>
      </w:pPr>
      <w:r>
        <w:rPr>
          <w:color w:val="231F20"/>
        </w:rPr>
        <w:t>Не</w:t>
      </w:r>
      <w:r>
        <w:rPr>
          <w:color w:val="231F20"/>
          <w:spacing w:val="-11"/>
        </w:rPr>
        <w:t xml:space="preserve"> </w:t>
      </w:r>
      <w:r>
        <w:rPr>
          <w:color w:val="231F20"/>
        </w:rPr>
        <w:t>може</w:t>
      </w:r>
      <w:r>
        <w:rPr>
          <w:color w:val="231F20"/>
          <w:spacing w:val="-11"/>
        </w:rPr>
        <w:t xml:space="preserve"> </w:t>
      </w:r>
      <w:r>
        <w:rPr>
          <w:color w:val="231F20"/>
        </w:rPr>
        <w:t>бути</w:t>
      </w:r>
      <w:r>
        <w:rPr>
          <w:color w:val="231F20"/>
          <w:spacing w:val="-12"/>
        </w:rPr>
        <w:t xml:space="preserve"> </w:t>
      </w:r>
      <w:r>
        <w:rPr>
          <w:color w:val="231F20"/>
        </w:rPr>
        <w:t>обмежено</w:t>
      </w:r>
      <w:r>
        <w:rPr>
          <w:color w:val="231F20"/>
          <w:spacing w:val="-11"/>
        </w:rPr>
        <w:t xml:space="preserve"> </w:t>
      </w:r>
      <w:r>
        <w:rPr>
          <w:color w:val="231F20"/>
        </w:rPr>
        <w:t>доступ</w:t>
      </w:r>
      <w:r>
        <w:rPr>
          <w:color w:val="231F20"/>
          <w:spacing w:val="-11"/>
        </w:rPr>
        <w:t xml:space="preserve"> </w:t>
      </w:r>
      <w:r>
        <w:rPr>
          <w:color w:val="231F20"/>
        </w:rPr>
        <w:t>до</w:t>
      </w:r>
      <w:r>
        <w:rPr>
          <w:color w:val="231F20"/>
          <w:spacing w:val="-12"/>
        </w:rPr>
        <w:t xml:space="preserve"> </w:t>
      </w:r>
      <w:r>
        <w:rPr>
          <w:color w:val="231F20"/>
        </w:rPr>
        <w:t>інформації</w:t>
      </w:r>
      <w:r>
        <w:rPr>
          <w:color w:val="231F20"/>
          <w:spacing w:val="-12"/>
        </w:rPr>
        <w:t xml:space="preserve"> </w:t>
      </w:r>
      <w:r>
        <w:rPr>
          <w:color w:val="231F20"/>
        </w:rPr>
        <w:t>про</w:t>
      </w:r>
      <w:r>
        <w:rPr>
          <w:color w:val="231F20"/>
          <w:spacing w:val="-11"/>
        </w:rPr>
        <w:t xml:space="preserve"> </w:t>
      </w:r>
      <w:r>
        <w:rPr>
          <w:color w:val="231F20"/>
        </w:rPr>
        <w:t>розпорядження бюджетними коштами, володіння, користування чи розпорядження державним, комунальним майном, зокрема до копій відповідн</w:t>
      </w:r>
      <w:r>
        <w:rPr>
          <w:color w:val="231F20"/>
        </w:rPr>
        <w:t>их документів,</w:t>
      </w:r>
      <w:r>
        <w:rPr>
          <w:color w:val="231F20"/>
          <w:spacing w:val="-7"/>
        </w:rPr>
        <w:t xml:space="preserve"> </w:t>
      </w:r>
      <w:r>
        <w:rPr>
          <w:color w:val="231F20"/>
        </w:rPr>
        <w:t>умови</w:t>
      </w:r>
      <w:r>
        <w:rPr>
          <w:color w:val="231F20"/>
          <w:spacing w:val="-7"/>
        </w:rPr>
        <w:t xml:space="preserve"> </w:t>
      </w:r>
      <w:r>
        <w:rPr>
          <w:color w:val="231F20"/>
        </w:rPr>
        <w:t>отримання</w:t>
      </w:r>
      <w:r>
        <w:rPr>
          <w:color w:val="231F20"/>
          <w:spacing w:val="-7"/>
        </w:rPr>
        <w:t xml:space="preserve"> </w:t>
      </w:r>
      <w:r>
        <w:rPr>
          <w:color w:val="231F20"/>
        </w:rPr>
        <w:t>цих</w:t>
      </w:r>
      <w:r>
        <w:rPr>
          <w:color w:val="231F20"/>
          <w:spacing w:val="-7"/>
        </w:rPr>
        <w:t xml:space="preserve"> </w:t>
      </w:r>
      <w:r>
        <w:rPr>
          <w:color w:val="231F20"/>
        </w:rPr>
        <w:t>коштів</w:t>
      </w:r>
      <w:r>
        <w:rPr>
          <w:color w:val="231F20"/>
          <w:spacing w:val="-7"/>
        </w:rPr>
        <w:t xml:space="preserve"> </w:t>
      </w:r>
      <w:r>
        <w:rPr>
          <w:color w:val="231F20"/>
        </w:rPr>
        <w:t>чи</w:t>
      </w:r>
      <w:r>
        <w:rPr>
          <w:color w:val="231F20"/>
          <w:spacing w:val="-7"/>
        </w:rPr>
        <w:t xml:space="preserve"> </w:t>
      </w:r>
      <w:r>
        <w:rPr>
          <w:color w:val="231F20"/>
        </w:rPr>
        <w:t>майна,</w:t>
      </w:r>
      <w:r>
        <w:rPr>
          <w:color w:val="231F20"/>
          <w:spacing w:val="-7"/>
        </w:rPr>
        <w:t xml:space="preserve"> </w:t>
      </w:r>
      <w:r>
        <w:rPr>
          <w:color w:val="231F20"/>
        </w:rPr>
        <w:t>прізвища,</w:t>
      </w:r>
      <w:r>
        <w:rPr>
          <w:color w:val="231F20"/>
          <w:spacing w:val="-7"/>
        </w:rPr>
        <w:t xml:space="preserve"> </w:t>
      </w:r>
      <w:r>
        <w:rPr>
          <w:color w:val="231F20"/>
        </w:rPr>
        <w:t>імена, по батькові фізичних осіб та найменування юридичних осіб, які отримали ці кошти або</w:t>
      </w:r>
      <w:r>
        <w:rPr>
          <w:color w:val="231F20"/>
          <w:spacing w:val="-3"/>
        </w:rPr>
        <w:t xml:space="preserve"> </w:t>
      </w:r>
      <w:r>
        <w:rPr>
          <w:color w:val="231F20"/>
        </w:rPr>
        <w:t>майно.</w:t>
      </w:r>
    </w:p>
    <w:p w14:paraId="3C7BCB32" w14:textId="77777777" w:rsidR="00DE575E" w:rsidRDefault="002E7560">
      <w:pPr>
        <w:pStyle w:val="BodyText"/>
        <w:spacing w:before="3" w:line="252" w:lineRule="auto"/>
        <w:ind w:left="250" w:right="410" w:firstLine="283"/>
        <w:jc w:val="both"/>
      </w:pPr>
      <w:r>
        <w:rPr>
          <w:color w:val="231F20"/>
        </w:rPr>
        <w:t xml:space="preserve">Слід звернути </w:t>
      </w:r>
      <w:r>
        <w:rPr>
          <w:color w:val="231F20"/>
          <w:spacing w:val="-3"/>
        </w:rPr>
        <w:t xml:space="preserve">увагу, </w:t>
      </w:r>
      <w:r>
        <w:rPr>
          <w:color w:val="231F20"/>
        </w:rPr>
        <w:t>що обмеженню доступу підлягає інформа- ція,</w:t>
      </w:r>
      <w:r>
        <w:rPr>
          <w:color w:val="231F20"/>
          <w:spacing w:val="-5"/>
        </w:rPr>
        <w:t xml:space="preserve"> </w:t>
      </w:r>
      <w:r>
        <w:rPr>
          <w:color w:val="231F20"/>
        </w:rPr>
        <w:t>а</w:t>
      </w:r>
      <w:r>
        <w:rPr>
          <w:color w:val="231F20"/>
          <w:spacing w:val="-6"/>
        </w:rPr>
        <w:t xml:space="preserve"> </w:t>
      </w:r>
      <w:r>
        <w:rPr>
          <w:color w:val="231F20"/>
        </w:rPr>
        <w:t>не</w:t>
      </w:r>
      <w:r>
        <w:rPr>
          <w:color w:val="231F20"/>
          <w:spacing w:val="-5"/>
        </w:rPr>
        <w:t xml:space="preserve"> </w:t>
      </w:r>
      <w:r>
        <w:rPr>
          <w:color w:val="231F20"/>
          <w:spacing w:val="-3"/>
        </w:rPr>
        <w:t>документ.</w:t>
      </w:r>
      <w:r>
        <w:rPr>
          <w:color w:val="231F20"/>
          <w:spacing w:val="-5"/>
        </w:rPr>
        <w:t xml:space="preserve"> </w:t>
      </w:r>
      <w:r>
        <w:rPr>
          <w:color w:val="231F20"/>
        </w:rPr>
        <w:t>Якщо</w:t>
      </w:r>
      <w:r>
        <w:rPr>
          <w:color w:val="231F20"/>
          <w:spacing w:val="-5"/>
        </w:rPr>
        <w:t xml:space="preserve"> </w:t>
      </w:r>
      <w:r>
        <w:rPr>
          <w:color w:val="231F20"/>
        </w:rPr>
        <w:t>документ</w:t>
      </w:r>
      <w:r>
        <w:rPr>
          <w:color w:val="231F20"/>
          <w:spacing w:val="-6"/>
        </w:rPr>
        <w:t xml:space="preserve"> </w:t>
      </w:r>
      <w:r>
        <w:rPr>
          <w:color w:val="231F20"/>
        </w:rPr>
        <w:t>мі</w:t>
      </w:r>
      <w:r>
        <w:rPr>
          <w:color w:val="231F20"/>
        </w:rPr>
        <w:t>стить</w:t>
      </w:r>
      <w:r>
        <w:rPr>
          <w:color w:val="231F20"/>
          <w:spacing w:val="-5"/>
        </w:rPr>
        <w:t xml:space="preserve"> </w:t>
      </w:r>
      <w:r>
        <w:rPr>
          <w:color w:val="231F20"/>
        </w:rPr>
        <w:t>інформацію</w:t>
      </w:r>
      <w:r>
        <w:rPr>
          <w:color w:val="231F20"/>
          <w:spacing w:val="-5"/>
        </w:rPr>
        <w:t xml:space="preserve"> </w:t>
      </w:r>
      <w:r>
        <w:rPr>
          <w:color w:val="231F20"/>
        </w:rPr>
        <w:t>з</w:t>
      </w:r>
      <w:r>
        <w:rPr>
          <w:color w:val="231F20"/>
          <w:spacing w:val="-5"/>
        </w:rPr>
        <w:t xml:space="preserve"> </w:t>
      </w:r>
      <w:r>
        <w:rPr>
          <w:color w:val="231F20"/>
        </w:rPr>
        <w:t>обмеженим доступом, для ознайомлення надається інформація, доступ до якої необмежений.</w:t>
      </w:r>
    </w:p>
    <w:p w14:paraId="742F1FD7" w14:textId="77777777" w:rsidR="00DE575E" w:rsidRDefault="002E7560">
      <w:pPr>
        <w:pStyle w:val="BodyText"/>
        <w:spacing w:before="2" w:line="252" w:lineRule="auto"/>
        <w:ind w:left="250" w:right="411" w:firstLine="283"/>
        <w:jc w:val="both"/>
      </w:pPr>
      <w:r>
        <w:rPr>
          <w:color w:val="231F20"/>
        </w:rPr>
        <w:t xml:space="preserve">Чинне в </w:t>
      </w:r>
      <w:r>
        <w:rPr>
          <w:color w:val="231F20"/>
          <w:spacing w:val="-3"/>
        </w:rPr>
        <w:t xml:space="preserve">Україні </w:t>
      </w:r>
      <w:r>
        <w:rPr>
          <w:color w:val="231F20"/>
        </w:rPr>
        <w:t>законодавство про доступ до публічної інформа- ції</w:t>
      </w:r>
      <w:r>
        <w:rPr>
          <w:color w:val="231F20"/>
          <w:spacing w:val="-11"/>
        </w:rPr>
        <w:t xml:space="preserve"> </w:t>
      </w:r>
      <w:r>
        <w:rPr>
          <w:color w:val="231F20"/>
        </w:rPr>
        <w:t>передбачає</w:t>
      </w:r>
      <w:r>
        <w:rPr>
          <w:color w:val="231F20"/>
          <w:spacing w:val="-11"/>
        </w:rPr>
        <w:t xml:space="preserve"> </w:t>
      </w:r>
      <w:r>
        <w:rPr>
          <w:color w:val="231F20"/>
        </w:rPr>
        <w:t>кілька</w:t>
      </w:r>
      <w:r>
        <w:rPr>
          <w:color w:val="231F20"/>
          <w:spacing w:val="-11"/>
        </w:rPr>
        <w:t xml:space="preserve"> </w:t>
      </w:r>
      <w:r>
        <w:rPr>
          <w:color w:val="231F20"/>
        </w:rPr>
        <w:t>способів</w:t>
      </w:r>
      <w:r>
        <w:rPr>
          <w:color w:val="231F20"/>
          <w:spacing w:val="-11"/>
        </w:rPr>
        <w:t xml:space="preserve"> </w:t>
      </w:r>
      <w:r>
        <w:rPr>
          <w:color w:val="231F20"/>
        </w:rPr>
        <w:t>здійснення</w:t>
      </w:r>
      <w:r>
        <w:rPr>
          <w:color w:val="231F20"/>
          <w:spacing w:val="-11"/>
        </w:rPr>
        <w:t xml:space="preserve"> </w:t>
      </w:r>
      <w:r>
        <w:rPr>
          <w:color w:val="231F20"/>
        </w:rPr>
        <w:t>права</w:t>
      </w:r>
      <w:r>
        <w:rPr>
          <w:color w:val="231F20"/>
          <w:spacing w:val="-11"/>
        </w:rPr>
        <w:t xml:space="preserve"> </w:t>
      </w:r>
      <w:r>
        <w:rPr>
          <w:color w:val="231F20"/>
        </w:rPr>
        <w:t>на</w:t>
      </w:r>
      <w:r>
        <w:rPr>
          <w:color w:val="231F20"/>
          <w:spacing w:val="-11"/>
        </w:rPr>
        <w:t xml:space="preserve"> </w:t>
      </w:r>
      <w:r>
        <w:rPr>
          <w:color w:val="231F20"/>
        </w:rPr>
        <w:t>доступ</w:t>
      </w:r>
      <w:r>
        <w:rPr>
          <w:color w:val="231F20"/>
          <w:spacing w:val="-11"/>
        </w:rPr>
        <w:t xml:space="preserve"> </w:t>
      </w:r>
      <w:r>
        <w:rPr>
          <w:color w:val="231F20"/>
        </w:rPr>
        <w:t>до</w:t>
      </w:r>
      <w:r>
        <w:rPr>
          <w:color w:val="231F20"/>
          <w:spacing w:val="-11"/>
        </w:rPr>
        <w:t xml:space="preserve"> </w:t>
      </w:r>
      <w:r>
        <w:rPr>
          <w:color w:val="231F20"/>
        </w:rPr>
        <w:t>публіч- ної інформації.</w:t>
      </w:r>
    </w:p>
    <w:p w14:paraId="4EE583C6" w14:textId="77777777" w:rsidR="00DE575E" w:rsidRDefault="002E7560">
      <w:pPr>
        <w:spacing w:before="2" w:line="252" w:lineRule="auto"/>
        <w:ind w:left="250" w:right="410" w:firstLine="283"/>
        <w:jc w:val="both"/>
        <w:rPr>
          <w:sz w:val="21"/>
        </w:rPr>
      </w:pPr>
      <w:r>
        <w:rPr>
          <w:color w:val="231F20"/>
          <w:sz w:val="21"/>
        </w:rPr>
        <w:t xml:space="preserve">Залежно від суб’єкта волевиявлення щодо забезпечення доступу до публічної інформації, правових підстав надання інформації та способу її оприлюднення виділяються два основних </w:t>
      </w:r>
      <w:r>
        <w:rPr>
          <w:b/>
          <w:i/>
          <w:color w:val="231F20"/>
          <w:sz w:val="21"/>
        </w:rPr>
        <w:t>способи реалі- зації громадянами суб’єктивного права на доступ до публічної інформ</w:t>
      </w:r>
      <w:r>
        <w:rPr>
          <w:b/>
          <w:i/>
          <w:color w:val="231F20"/>
          <w:sz w:val="21"/>
        </w:rPr>
        <w:t>ації</w:t>
      </w:r>
      <w:r>
        <w:rPr>
          <w:color w:val="231F20"/>
          <w:sz w:val="21"/>
        </w:rPr>
        <w:t>:</w:t>
      </w:r>
    </w:p>
    <w:p w14:paraId="55FD28C2" w14:textId="77777777" w:rsidR="00DE575E" w:rsidRDefault="002E7560">
      <w:pPr>
        <w:pStyle w:val="ListParagraph"/>
        <w:numPr>
          <w:ilvl w:val="0"/>
          <w:numId w:val="234"/>
        </w:numPr>
        <w:tabs>
          <w:tab w:val="left" w:pos="818"/>
        </w:tabs>
        <w:spacing w:before="2" w:line="252" w:lineRule="auto"/>
        <w:ind w:right="411" w:firstLine="283"/>
        <w:jc w:val="both"/>
        <w:rPr>
          <w:sz w:val="21"/>
        </w:rPr>
      </w:pPr>
      <w:r>
        <w:rPr>
          <w:color w:val="231F20"/>
          <w:sz w:val="21"/>
        </w:rPr>
        <w:t>систематичне та оперативне оприлюднення інформації її безпосереднім розпорядником на виконання його</w:t>
      </w:r>
      <w:r>
        <w:rPr>
          <w:color w:val="231F20"/>
          <w:spacing w:val="-8"/>
          <w:sz w:val="21"/>
        </w:rPr>
        <w:t xml:space="preserve"> </w:t>
      </w:r>
      <w:r>
        <w:rPr>
          <w:color w:val="231F20"/>
          <w:sz w:val="21"/>
        </w:rPr>
        <w:t>обов’язків;</w:t>
      </w:r>
    </w:p>
    <w:p w14:paraId="6C116E8B" w14:textId="77777777" w:rsidR="00DE575E" w:rsidRDefault="002E7560">
      <w:pPr>
        <w:pStyle w:val="ListParagraph"/>
        <w:numPr>
          <w:ilvl w:val="0"/>
          <w:numId w:val="234"/>
        </w:numPr>
        <w:tabs>
          <w:tab w:val="left" w:pos="818"/>
        </w:tabs>
        <w:spacing w:line="252" w:lineRule="auto"/>
        <w:ind w:right="410" w:firstLine="283"/>
        <w:jc w:val="both"/>
        <w:rPr>
          <w:sz w:val="21"/>
        </w:rPr>
      </w:pPr>
      <w:r>
        <w:rPr>
          <w:color w:val="231F20"/>
          <w:sz w:val="21"/>
        </w:rPr>
        <w:t>надання інформації за запитами фізичних осіб на доступ до публічної інформації.</w:t>
      </w:r>
    </w:p>
    <w:p w14:paraId="73CAC30E" w14:textId="77777777" w:rsidR="00DE575E" w:rsidRDefault="002E7560">
      <w:pPr>
        <w:pStyle w:val="BodyText"/>
        <w:spacing w:before="1" w:line="252" w:lineRule="auto"/>
        <w:ind w:left="250" w:right="411" w:firstLine="283"/>
        <w:jc w:val="both"/>
      </w:pPr>
      <w:r>
        <w:rPr>
          <w:color w:val="231F20"/>
        </w:rPr>
        <w:t>Перший із наведених способів здійснення права фізичними ос</w:t>
      </w:r>
      <w:r>
        <w:rPr>
          <w:color w:val="231F20"/>
        </w:rPr>
        <w:t>обами на доступ до публічної інформації кореспондується безпо- середньо з обов’язками розпорядників такої інформації та забезпе- чується через оприлюднення публічної інформації:</w:t>
      </w:r>
    </w:p>
    <w:p w14:paraId="44A9D3F7" w14:textId="77777777" w:rsidR="00DE575E" w:rsidRDefault="002E7560">
      <w:pPr>
        <w:pStyle w:val="ListParagraph"/>
        <w:numPr>
          <w:ilvl w:val="0"/>
          <w:numId w:val="237"/>
        </w:numPr>
        <w:tabs>
          <w:tab w:val="left" w:pos="818"/>
        </w:tabs>
        <w:spacing w:before="2"/>
        <w:ind w:firstLine="283"/>
        <w:jc w:val="left"/>
        <w:rPr>
          <w:sz w:val="21"/>
        </w:rPr>
      </w:pPr>
      <w:r>
        <w:rPr>
          <w:color w:val="231F20"/>
          <w:sz w:val="21"/>
        </w:rPr>
        <w:t>в офіційних друкованих</w:t>
      </w:r>
      <w:r>
        <w:rPr>
          <w:color w:val="231F20"/>
          <w:spacing w:val="-3"/>
          <w:sz w:val="21"/>
        </w:rPr>
        <w:t xml:space="preserve"> </w:t>
      </w:r>
      <w:r>
        <w:rPr>
          <w:color w:val="231F20"/>
          <w:sz w:val="21"/>
        </w:rPr>
        <w:t>виданнях;</w:t>
      </w:r>
    </w:p>
    <w:p w14:paraId="42358984" w14:textId="77777777" w:rsidR="00DE575E" w:rsidRDefault="002E7560">
      <w:pPr>
        <w:pStyle w:val="ListParagraph"/>
        <w:numPr>
          <w:ilvl w:val="0"/>
          <w:numId w:val="237"/>
        </w:numPr>
        <w:tabs>
          <w:tab w:val="left" w:pos="818"/>
        </w:tabs>
        <w:spacing w:before="13"/>
        <w:ind w:firstLine="283"/>
        <w:jc w:val="left"/>
        <w:rPr>
          <w:sz w:val="21"/>
        </w:rPr>
      </w:pPr>
      <w:r>
        <w:rPr>
          <w:color w:val="231F20"/>
          <w:sz w:val="21"/>
        </w:rPr>
        <w:t>на офіційних веб-сайтах у мережі</w:t>
      </w:r>
      <w:r>
        <w:rPr>
          <w:color w:val="231F20"/>
          <w:spacing w:val="-2"/>
          <w:sz w:val="21"/>
        </w:rPr>
        <w:t xml:space="preserve"> </w:t>
      </w:r>
      <w:r>
        <w:rPr>
          <w:color w:val="231F20"/>
          <w:sz w:val="21"/>
        </w:rPr>
        <w:t>Інтернет;</w:t>
      </w:r>
    </w:p>
    <w:p w14:paraId="1AE95E2E" w14:textId="77777777" w:rsidR="00DE575E" w:rsidRDefault="002E7560">
      <w:pPr>
        <w:pStyle w:val="ListParagraph"/>
        <w:numPr>
          <w:ilvl w:val="0"/>
          <w:numId w:val="237"/>
        </w:numPr>
        <w:tabs>
          <w:tab w:val="left" w:pos="818"/>
        </w:tabs>
        <w:spacing w:before="13"/>
        <w:ind w:firstLine="283"/>
        <w:jc w:val="left"/>
        <w:rPr>
          <w:sz w:val="21"/>
        </w:rPr>
      </w:pPr>
      <w:r>
        <w:rPr>
          <w:color w:val="231F20"/>
          <w:sz w:val="21"/>
        </w:rPr>
        <w:t>на</w:t>
      </w:r>
      <w:r>
        <w:rPr>
          <w:color w:val="231F20"/>
          <w:sz w:val="21"/>
        </w:rPr>
        <w:t xml:space="preserve"> єдиному державному веб-порталі відкритих</w:t>
      </w:r>
      <w:r>
        <w:rPr>
          <w:color w:val="231F20"/>
          <w:spacing w:val="-7"/>
          <w:sz w:val="21"/>
        </w:rPr>
        <w:t xml:space="preserve"> </w:t>
      </w:r>
      <w:r>
        <w:rPr>
          <w:color w:val="231F20"/>
          <w:sz w:val="21"/>
        </w:rPr>
        <w:t>даних;</w:t>
      </w:r>
    </w:p>
    <w:p w14:paraId="05CEBA4B" w14:textId="77777777" w:rsidR="00DE575E" w:rsidRDefault="002E7560">
      <w:pPr>
        <w:pStyle w:val="ListParagraph"/>
        <w:numPr>
          <w:ilvl w:val="0"/>
          <w:numId w:val="237"/>
        </w:numPr>
        <w:tabs>
          <w:tab w:val="left" w:pos="818"/>
        </w:tabs>
        <w:spacing w:before="12"/>
        <w:ind w:firstLine="283"/>
        <w:jc w:val="left"/>
        <w:rPr>
          <w:sz w:val="21"/>
        </w:rPr>
      </w:pPr>
      <w:r>
        <w:rPr>
          <w:color w:val="231F20"/>
          <w:sz w:val="21"/>
        </w:rPr>
        <w:t>на інформаційних стендах;</w:t>
      </w:r>
    </w:p>
    <w:p w14:paraId="66CD8FD5" w14:textId="77777777" w:rsidR="00DE575E" w:rsidRDefault="002E7560">
      <w:pPr>
        <w:pStyle w:val="ListParagraph"/>
        <w:numPr>
          <w:ilvl w:val="0"/>
          <w:numId w:val="237"/>
        </w:numPr>
        <w:tabs>
          <w:tab w:val="left" w:pos="818"/>
        </w:tabs>
        <w:spacing w:before="13" w:line="252" w:lineRule="auto"/>
        <w:ind w:right="410" w:firstLine="283"/>
        <w:jc w:val="right"/>
        <w:rPr>
          <w:sz w:val="21"/>
        </w:rPr>
      </w:pPr>
      <w:r>
        <w:rPr>
          <w:color w:val="231F20"/>
          <w:spacing w:val="-3"/>
          <w:sz w:val="21"/>
        </w:rPr>
        <w:t xml:space="preserve">будь-яким </w:t>
      </w:r>
      <w:r>
        <w:rPr>
          <w:color w:val="231F20"/>
          <w:sz w:val="21"/>
        </w:rPr>
        <w:t>іншим способом, що відповідає</w:t>
      </w:r>
      <w:r>
        <w:rPr>
          <w:color w:val="231F20"/>
          <w:spacing w:val="42"/>
          <w:sz w:val="21"/>
        </w:rPr>
        <w:t xml:space="preserve"> </w:t>
      </w:r>
      <w:r>
        <w:rPr>
          <w:color w:val="231F20"/>
          <w:sz w:val="21"/>
        </w:rPr>
        <w:t>змісту</w:t>
      </w:r>
      <w:r>
        <w:rPr>
          <w:color w:val="231F20"/>
          <w:spacing w:val="7"/>
          <w:sz w:val="21"/>
        </w:rPr>
        <w:t xml:space="preserve"> </w:t>
      </w:r>
      <w:r>
        <w:rPr>
          <w:color w:val="231F20"/>
          <w:sz w:val="21"/>
        </w:rPr>
        <w:t>компетенції, підставам і формам діяльності розпорядників</w:t>
      </w:r>
      <w:r>
        <w:rPr>
          <w:color w:val="231F20"/>
          <w:spacing w:val="-26"/>
          <w:sz w:val="21"/>
        </w:rPr>
        <w:t xml:space="preserve"> </w:t>
      </w:r>
      <w:r>
        <w:rPr>
          <w:color w:val="231F20"/>
          <w:sz w:val="21"/>
        </w:rPr>
        <w:t>публічної</w:t>
      </w:r>
      <w:r>
        <w:rPr>
          <w:color w:val="231F20"/>
          <w:spacing w:val="-5"/>
          <w:sz w:val="21"/>
        </w:rPr>
        <w:t xml:space="preserve"> </w:t>
      </w:r>
      <w:r>
        <w:rPr>
          <w:color w:val="231F20"/>
          <w:sz w:val="21"/>
        </w:rPr>
        <w:t>інформації. Основним способом здійснення фізичними</w:t>
      </w:r>
      <w:r>
        <w:rPr>
          <w:color w:val="231F20"/>
          <w:spacing w:val="12"/>
          <w:sz w:val="21"/>
        </w:rPr>
        <w:t xml:space="preserve"> </w:t>
      </w:r>
      <w:r>
        <w:rPr>
          <w:color w:val="231F20"/>
          <w:sz w:val="21"/>
        </w:rPr>
        <w:t>особами</w:t>
      </w:r>
      <w:r>
        <w:rPr>
          <w:color w:val="231F20"/>
          <w:spacing w:val="2"/>
          <w:sz w:val="21"/>
        </w:rPr>
        <w:t xml:space="preserve"> </w:t>
      </w:r>
      <w:r>
        <w:rPr>
          <w:color w:val="231F20"/>
          <w:spacing w:val="-3"/>
          <w:sz w:val="21"/>
        </w:rPr>
        <w:t>суб’єктив-</w:t>
      </w:r>
      <w:r>
        <w:rPr>
          <w:color w:val="231F20"/>
          <w:sz w:val="21"/>
        </w:rPr>
        <w:t xml:space="preserve"> ного</w:t>
      </w:r>
      <w:r>
        <w:rPr>
          <w:color w:val="231F20"/>
          <w:spacing w:val="-7"/>
          <w:sz w:val="21"/>
        </w:rPr>
        <w:t xml:space="preserve"> </w:t>
      </w:r>
      <w:r>
        <w:rPr>
          <w:color w:val="231F20"/>
          <w:sz w:val="21"/>
        </w:rPr>
        <w:t>права</w:t>
      </w:r>
      <w:r>
        <w:rPr>
          <w:color w:val="231F20"/>
          <w:spacing w:val="-7"/>
          <w:sz w:val="21"/>
        </w:rPr>
        <w:t xml:space="preserve"> </w:t>
      </w:r>
      <w:r>
        <w:rPr>
          <w:color w:val="231F20"/>
          <w:sz w:val="21"/>
        </w:rPr>
        <w:t>на</w:t>
      </w:r>
      <w:r>
        <w:rPr>
          <w:color w:val="231F20"/>
          <w:spacing w:val="-7"/>
          <w:sz w:val="21"/>
        </w:rPr>
        <w:t xml:space="preserve"> </w:t>
      </w:r>
      <w:r>
        <w:rPr>
          <w:color w:val="231F20"/>
          <w:sz w:val="21"/>
        </w:rPr>
        <w:t>доступ</w:t>
      </w:r>
      <w:r>
        <w:rPr>
          <w:color w:val="231F20"/>
          <w:spacing w:val="-7"/>
          <w:sz w:val="21"/>
        </w:rPr>
        <w:t xml:space="preserve"> </w:t>
      </w:r>
      <w:r>
        <w:rPr>
          <w:color w:val="231F20"/>
          <w:sz w:val="21"/>
        </w:rPr>
        <w:t>до</w:t>
      </w:r>
      <w:r>
        <w:rPr>
          <w:color w:val="231F20"/>
          <w:spacing w:val="-7"/>
          <w:sz w:val="21"/>
        </w:rPr>
        <w:t xml:space="preserve"> </w:t>
      </w:r>
      <w:r>
        <w:rPr>
          <w:color w:val="231F20"/>
          <w:sz w:val="21"/>
        </w:rPr>
        <w:t>публічної</w:t>
      </w:r>
      <w:r>
        <w:rPr>
          <w:color w:val="231F20"/>
          <w:spacing w:val="-7"/>
          <w:sz w:val="21"/>
        </w:rPr>
        <w:t xml:space="preserve"> </w:t>
      </w:r>
      <w:r>
        <w:rPr>
          <w:color w:val="231F20"/>
          <w:sz w:val="21"/>
        </w:rPr>
        <w:t>інформації</w:t>
      </w:r>
      <w:r>
        <w:rPr>
          <w:color w:val="231F20"/>
          <w:spacing w:val="-7"/>
          <w:sz w:val="21"/>
        </w:rPr>
        <w:t xml:space="preserve"> </w:t>
      </w:r>
      <w:r>
        <w:rPr>
          <w:color w:val="231F20"/>
          <w:sz w:val="21"/>
        </w:rPr>
        <w:t>є</w:t>
      </w:r>
      <w:r>
        <w:rPr>
          <w:color w:val="231F20"/>
          <w:spacing w:val="-7"/>
          <w:sz w:val="21"/>
        </w:rPr>
        <w:t xml:space="preserve"> </w:t>
      </w:r>
      <w:r>
        <w:rPr>
          <w:color w:val="231F20"/>
          <w:sz w:val="21"/>
        </w:rPr>
        <w:t>запит</w:t>
      </w:r>
      <w:r>
        <w:rPr>
          <w:color w:val="231F20"/>
          <w:spacing w:val="-7"/>
          <w:sz w:val="21"/>
        </w:rPr>
        <w:t xml:space="preserve"> </w:t>
      </w:r>
      <w:r>
        <w:rPr>
          <w:color w:val="231F20"/>
          <w:sz w:val="21"/>
        </w:rPr>
        <w:t>на</w:t>
      </w:r>
      <w:r>
        <w:rPr>
          <w:color w:val="231F20"/>
          <w:spacing w:val="-7"/>
          <w:sz w:val="21"/>
        </w:rPr>
        <w:t xml:space="preserve"> </w:t>
      </w:r>
      <w:r>
        <w:rPr>
          <w:color w:val="231F20"/>
          <w:sz w:val="21"/>
        </w:rPr>
        <w:t>інформацію.</w:t>
      </w:r>
    </w:p>
    <w:p w14:paraId="7713CE3E" w14:textId="77777777" w:rsidR="00DE575E" w:rsidRDefault="00DE575E">
      <w:pPr>
        <w:pStyle w:val="BodyText"/>
        <w:spacing w:before="6"/>
        <w:rPr>
          <w:sz w:val="12"/>
        </w:rPr>
      </w:pPr>
    </w:p>
    <w:p w14:paraId="4DDC27FE" w14:textId="77777777" w:rsidR="00DE575E" w:rsidRDefault="002E7560">
      <w:pPr>
        <w:spacing w:before="92"/>
        <w:ind w:right="411"/>
        <w:jc w:val="right"/>
        <w:rPr>
          <w:rFonts w:ascii="Times New Roman"/>
          <w:sz w:val="20"/>
        </w:rPr>
      </w:pPr>
      <w:r>
        <w:rPr>
          <w:rFonts w:ascii="Times New Roman"/>
          <w:color w:val="231F20"/>
          <w:w w:val="90"/>
          <w:sz w:val="20"/>
        </w:rPr>
        <w:t>165</w:t>
      </w:r>
    </w:p>
    <w:p w14:paraId="11F724B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147B04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64392E7" w14:textId="2B3513A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909CCE6" wp14:editId="55A80E2F">
                <wp:extent cx="4140200" cy="6350"/>
                <wp:effectExtent l="0" t="0" r="12700" b="6350"/>
                <wp:docPr id="1002"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03" name="Line 100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9E162C" id="Group_x0020_100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YCEzbfQIAAJwFAAAOAAAA&#10;AAAAAAAAAAAAACwCAABkcnMvZTJvRG9jLnhtbFBLAQItABQABgAIAAAAIQBMp7CQ2QAAAAMBAAAP&#10;AAAAAAAAAAAAAAAAANUEAABkcnMvZG93bnJldi54bWxQSwUGAAAAAAQABADzAAAA2wUAAAAA&#10;">
                <v:line id="Line_x0020_100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TQ8MQAAADdAAAADwAAAGRycy9kb3ducmV2LnhtbERP3WrCMBS+H+wdwhl4M2aihTE6o4yB&#10;IF7oZvcAx+bYFpOT2kRbffplMPDufHy/Z7YYnBUX6kLjWcNkrEAQl940XGn4KZYvbyBCRDZoPZOG&#10;KwVYzB8fZpgb3/M3XXaxEimEQ44a6hjbXMpQ1uQwjH1LnLiD7xzGBLtKmg77FO6snCr1Kh02nBpq&#10;bOmzpvK4OzsNxek52q/t2vbFdp/J/WmT3c4brUdPw8c7iEhDvIv/3SuT5iuVwd836QQ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VNDwxAAAAN0AAAAPAAAAAAAAAAAA&#10;AAAAAKECAABkcnMvZG93bnJldi54bWxQSwUGAAAAAAQABAD5AAAAkgMAAAAA&#10;" strokecolor="#231f20" strokeweight=".5pt"/>
                <w10:anchorlock/>
              </v:group>
            </w:pict>
          </mc:Fallback>
        </mc:AlternateContent>
      </w:r>
    </w:p>
    <w:p w14:paraId="29677758" w14:textId="77777777" w:rsidR="00DE575E" w:rsidRDefault="00DE575E">
      <w:pPr>
        <w:pStyle w:val="BodyText"/>
        <w:spacing w:before="7"/>
        <w:rPr>
          <w:rFonts w:ascii="AdonisC"/>
          <w:i/>
          <w:sz w:val="11"/>
        </w:rPr>
      </w:pPr>
    </w:p>
    <w:p w14:paraId="015A3321" w14:textId="77777777" w:rsidR="00DE575E" w:rsidRDefault="002E7560">
      <w:pPr>
        <w:pStyle w:val="BodyText"/>
        <w:spacing w:before="101" w:line="252" w:lineRule="auto"/>
        <w:ind w:left="533" w:right="126" w:firstLine="283"/>
        <w:jc w:val="both"/>
      </w:pPr>
      <w:r>
        <w:rPr>
          <w:color w:val="231F20"/>
        </w:rPr>
        <w:t>Запит на інформацію – це прохання особи до розпорядника інформації надати публічну інформацію, що перебуває в його володінні.</w:t>
      </w:r>
    </w:p>
    <w:p w14:paraId="7C682963" w14:textId="77777777" w:rsidR="00DE575E" w:rsidRDefault="002E7560">
      <w:pPr>
        <w:pStyle w:val="BodyText"/>
        <w:spacing w:before="1" w:line="252" w:lineRule="auto"/>
        <w:ind w:left="533" w:right="124" w:firstLine="283"/>
        <w:jc w:val="both"/>
      </w:pPr>
      <w:r>
        <w:rPr>
          <w:color w:val="231F20"/>
        </w:rPr>
        <w:t>Не є інформаційним запитом звернення, для відповіді на яке необхідно створити інформацію, крі</w:t>
      </w:r>
      <w:r>
        <w:rPr>
          <w:color w:val="231F20"/>
        </w:rPr>
        <w:t>м випадків, коли розпорядник інформації не володіє запитуваною інформацією, але зобов’язаний нею володіти.</w:t>
      </w:r>
    </w:p>
    <w:p w14:paraId="4308C835" w14:textId="77777777" w:rsidR="00DE575E" w:rsidRDefault="002E7560">
      <w:pPr>
        <w:pStyle w:val="BodyText"/>
        <w:spacing w:before="2" w:line="252" w:lineRule="auto"/>
        <w:ind w:left="533" w:right="125" w:firstLine="283"/>
        <w:jc w:val="both"/>
      </w:pPr>
      <w:r>
        <w:rPr>
          <w:color w:val="231F20"/>
        </w:rPr>
        <w:t>Якщо запит стосується інформації, яка міститься в кількох доку- ментах і може бути зібрана й надана без значних інтелектуальних зусиль (напр., без пр</w:t>
      </w:r>
      <w:r>
        <w:rPr>
          <w:color w:val="231F20"/>
        </w:rPr>
        <w:t>оведення додаткового змістовного аналізу), то така інформація відповідає критеріям «відображуваності та задо- кументованості» і є публічною.</w:t>
      </w:r>
    </w:p>
    <w:p w14:paraId="42F56767" w14:textId="77777777" w:rsidR="00DE575E" w:rsidRDefault="002E7560">
      <w:pPr>
        <w:pStyle w:val="BodyText"/>
        <w:spacing w:before="3" w:line="252" w:lineRule="auto"/>
        <w:ind w:left="533" w:right="125" w:firstLine="283"/>
        <w:jc w:val="both"/>
      </w:pPr>
      <w:r>
        <w:rPr>
          <w:color w:val="231F20"/>
        </w:rPr>
        <w:t>Залежно від характеру волевиявлення ініціаторів запит на інформацію може бути індивідуальним або колективним. Запити можуть подаватися в усній, письмовій чи іншій формі (поштою, факсом, телефоном, електронною поштою) на вибір запитувача.</w:t>
      </w:r>
    </w:p>
    <w:p w14:paraId="5B8CC590" w14:textId="77777777" w:rsidR="00DE575E" w:rsidRDefault="002E7560">
      <w:pPr>
        <w:pStyle w:val="BodyText"/>
        <w:spacing w:before="2" w:line="252" w:lineRule="auto"/>
        <w:ind w:left="533" w:right="125" w:firstLine="283"/>
        <w:jc w:val="both"/>
      </w:pPr>
      <w:r>
        <w:rPr>
          <w:color w:val="231F20"/>
        </w:rPr>
        <w:t>Якщо запит на інфо</w:t>
      </w:r>
      <w:r>
        <w:rPr>
          <w:color w:val="231F20"/>
        </w:rPr>
        <w:t>рмацію є письмовим, він може подаватися     в довільній</w:t>
      </w:r>
      <w:r>
        <w:rPr>
          <w:color w:val="231F20"/>
          <w:spacing w:val="7"/>
        </w:rPr>
        <w:t xml:space="preserve"> </w:t>
      </w:r>
      <w:r>
        <w:rPr>
          <w:color w:val="231F20"/>
        </w:rPr>
        <w:t>формі.</w:t>
      </w:r>
    </w:p>
    <w:p w14:paraId="42841BC6" w14:textId="77777777" w:rsidR="00DE575E" w:rsidRDefault="002E7560">
      <w:pPr>
        <w:pStyle w:val="BodyText"/>
        <w:spacing w:before="1" w:line="252" w:lineRule="auto"/>
        <w:ind w:left="533" w:right="128" w:firstLine="283"/>
        <w:jc w:val="both"/>
      </w:pPr>
      <w:r>
        <w:rPr>
          <w:color w:val="231F20"/>
        </w:rPr>
        <w:t>При цьому слід звернути увагу, що запит на інформацію обов’яз- ково має містити:</w:t>
      </w:r>
    </w:p>
    <w:p w14:paraId="612A5B70" w14:textId="77777777" w:rsidR="00DE575E" w:rsidRDefault="002E7560">
      <w:pPr>
        <w:pStyle w:val="ListParagraph"/>
        <w:numPr>
          <w:ilvl w:val="0"/>
          <w:numId w:val="233"/>
        </w:numPr>
        <w:tabs>
          <w:tab w:val="left" w:pos="1101"/>
        </w:tabs>
        <w:spacing w:line="252" w:lineRule="auto"/>
        <w:ind w:right="125" w:firstLine="284"/>
        <w:rPr>
          <w:sz w:val="21"/>
        </w:rPr>
      </w:pPr>
      <w:r>
        <w:rPr>
          <w:color w:val="231F20"/>
          <w:sz w:val="21"/>
        </w:rPr>
        <w:t>ім’я (найменування) запитувача, поштову адресу або адресу електронної</w:t>
      </w:r>
      <w:r>
        <w:rPr>
          <w:color w:val="231F20"/>
          <w:spacing w:val="7"/>
          <w:sz w:val="21"/>
        </w:rPr>
        <w:t xml:space="preserve"> </w:t>
      </w:r>
      <w:r>
        <w:rPr>
          <w:color w:val="231F20"/>
          <w:sz w:val="21"/>
        </w:rPr>
        <w:t>пошти,</w:t>
      </w:r>
      <w:r>
        <w:rPr>
          <w:color w:val="231F20"/>
          <w:spacing w:val="7"/>
          <w:sz w:val="21"/>
        </w:rPr>
        <w:t xml:space="preserve"> </w:t>
      </w:r>
      <w:r>
        <w:rPr>
          <w:color w:val="231F20"/>
          <w:sz w:val="21"/>
        </w:rPr>
        <w:t>а</w:t>
      </w:r>
      <w:r>
        <w:rPr>
          <w:color w:val="231F20"/>
          <w:spacing w:val="7"/>
          <w:sz w:val="21"/>
        </w:rPr>
        <w:t xml:space="preserve"> </w:t>
      </w:r>
      <w:r>
        <w:rPr>
          <w:color w:val="231F20"/>
          <w:sz w:val="21"/>
        </w:rPr>
        <w:t>також</w:t>
      </w:r>
      <w:r>
        <w:rPr>
          <w:color w:val="231F20"/>
          <w:spacing w:val="7"/>
          <w:sz w:val="21"/>
        </w:rPr>
        <w:t xml:space="preserve"> </w:t>
      </w:r>
      <w:r>
        <w:rPr>
          <w:color w:val="231F20"/>
          <w:sz w:val="21"/>
        </w:rPr>
        <w:t>номер</w:t>
      </w:r>
      <w:r>
        <w:rPr>
          <w:color w:val="231F20"/>
          <w:spacing w:val="7"/>
          <w:sz w:val="21"/>
        </w:rPr>
        <w:t xml:space="preserve"> </w:t>
      </w:r>
      <w:r>
        <w:rPr>
          <w:color w:val="231F20"/>
          <w:sz w:val="21"/>
        </w:rPr>
        <w:t>засобу</w:t>
      </w:r>
      <w:r>
        <w:rPr>
          <w:color w:val="231F20"/>
          <w:spacing w:val="7"/>
          <w:sz w:val="21"/>
        </w:rPr>
        <w:t xml:space="preserve"> </w:t>
      </w:r>
      <w:r>
        <w:rPr>
          <w:color w:val="231F20"/>
          <w:sz w:val="21"/>
        </w:rPr>
        <w:t>зв’язку,</w:t>
      </w:r>
      <w:r>
        <w:rPr>
          <w:color w:val="231F20"/>
          <w:spacing w:val="7"/>
          <w:sz w:val="21"/>
        </w:rPr>
        <w:t xml:space="preserve"> </w:t>
      </w:r>
      <w:r>
        <w:rPr>
          <w:color w:val="231F20"/>
          <w:sz w:val="21"/>
        </w:rPr>
        <w:t>якщо</w:t>
      </w:r>
      <w:r>
        <w:rPr>
          <w:color w:val="231F20"/>
          <w:spacing w:val="7"/>
          <w:sz w:val="21"/>
        </w:rPr>
        <w:t xml:space="preserve"> </w:t>
      </w:r>
      <w:r>
        <w:rPr>
          <w:color w:val="231F20"/>
          <w:sz w:val="21"/>
        </w:rPr>
        <w:t>такий</w:t>
      </w:r>
      <w:r>
        <w:rPr>
          <w:color w:val="231F20"/>
          <w:spacing w:val="7"/>
          <w:sz w:val="21"/>
        </w:rPr>
        <w:t xml:space="preserve"> </w:t>
      </w:r>
      <w:r>
        <w:rPr>
          <w:color w:val="231F20"/>
          <w:sz w:val="21"/>
        </w:rPr>
        <w:t>є;</w:t>
      </w:r>
    </w:p>
    <w:p w14:paraId="3102AFBB" w14:textId="77777777" w:rsidR="00DE575E" w:rsidRDefault="002E7560">
      <w:pPr>
        <w:pStyle w:val="ListParagraph"/>
        <w:numPr>
          <w:ilvl w:val="0"/>
          <w:numId w:val="233"/>
        </w:numPr>
        <w:tabs>
          <w:tab w:val="left" w:pos="1101"/>
        </w:tabs>
        <w:spacing w:line="252" w:lineRule="auto"/>
        <w:ind w:right="125" w:firstLine="284"/>
        <w:rPr>
          <w:sz w:val="21"/>
        </w:rPr>
      </w:pPr>
      <w:r>
        <w:rPr>
          <w:color w:val="231F20"/>
          <w:sz w:val="21"/>
        </w:rPr>
        <w:t xml:space="preserve">загальний опис інформації або вид, </w:t>
      </w:r>
      <w:r>
        <w:rPr>
          <w:color w:val="231F20"/>
          <w:spacing w:val="-2"/>
          <w:sz w:val="21"/>
        </w:rPr>
        <w:t xml:space="preserve">назву, </w:t>
      </w:r>
      <w:r>
        <w:rPr>
          <w:color w:val="231F20"/>
          <w:sz w:val="21"/>
        </w:rPr>
        <w:t>реквізити чи зміст документа, щодо якого зроблено запит, якщо запитувачу це</w:t>
      </w:r>
      <w:r>
        <w:rPr>
          <w:color w:val="231F20"/>
          <w:spacing w:val="16"/>
          <w:sz w:val="21"/>
        </w:rPr>
        <w:t xml:space="preserve"> </w:t>
      </w:r>
      <w:r>
        <w:rPr>
          <w:color w:val="231F20"/>
          <w:sz w:val="21"/>
        </w:rPr>
        <w:t>відомо;</w:t>
      </w:r>
    </w:p>
    <w:p w14:paraId="4F1C5CD1" w14:textId="77777777" w:rsidR="00DE575E" w:rsidRDefault="002E7560">
      <w:pPr>
        <w:pStyle w:val="ListParagraph"/>
        <w:numPr>
          <w:ilvl w:val="0"/>
          <w:numId w:val="233"/>
        </w:numPr>
        <w:tabs>
          <w:tab w:val="left" w:pos="1101"/>
        </w:tabs>
        <w:spacing w:before="0"/>
        <w:ind w:firstLine="284"/>
        <w:jc w:val="left"/>
        <w:rPr>
          <w:sz w:val="21"/>
        </w:rPr>
      </w:pPr>
      <w:r>
        <w:rPr>
          <w:color w:val="231F20"/>
          <w:sz w:val="21"/>
        </w:rPr>
        <w:t>підпис</w:t>
      </w:r>
      <w:r>
        <w:rPr>
          <w:color w:val="231F20"/>
          <w:spacing w:val="7"/>
          <w:sz w:val="21"/>
        </w:rPr>
        <w:t xml:space="preserve"> </w:t>
      </w:r>
      <w:r>
        <w:rPr>
          <w:color w:val="231F20"/>
          <w:sz w:val="21"/>
        </w:rPr>
        <w:t>і</w:t>
      </w:r>
      <w:r>
        <w:rPr>
          <w:color w:val="231F20"/>
          <w:spacing w:val="7"/>
          <w:sz w:val="21"/>
        </w:rPr>
        <w:t xml:space="preserve"> </w:t>
      </w:r>
      <w:r>
        <w:rPr>
          <w:color w:val="231F20"/>
          <w:sz w:val="21"/>
        </w:rPr>
        <w:t>дату</w:t>
      </w:r>
      <w:r>
        <w:rPr>
          <w:color w:val="231F20"/>
          <w:spacing w:val="7"/>
          <w:sz w:val="21"/>
        </w:rPr>
        <w:t xml:space="preserve"> </w:t>
      </w:r>
      <w:r>
        <w:rPr>
          <w:color w:val="231F20"/>
          <w:sz w:val="21"/>
        </w:rPr>
        <w:t>за</w:t>
      </w:r>
      <w:r>
        <w:rPr>
          <w:color w:val="231F20"/>
          <w:spacing w:val="7"/>
          <w:sz w:val="21"/>
        </w:rPr>
        <w:t xml:space="preserve"> </w:t>
      </w:r>
      <w:r>
        <w:rPr>
          <w:color w:val="231F20"/>
          <w:sz w:val="21"/>
        </w:rPr>
        <w:t>умови</w:t>
      </w:r>
      <w:r>
        <w:rPr>
          <w:color w:val="231F20"/>
          <w:spacing w:val="7"/>
          <w:sz w:val="21"/>
        </w:rPr>
        <w:t xml:space="preserve"> </w:t>
      </w:r>
      <w:r>
        <w:rPr>
          <w:color w:val="231F20"/>
          <w:sz w:val="21"/>
        </w:rPr>
        <w:t>подання</w:t>
      </w:r>
      <w:r>
        <w:rPr>
          <w:color w:val="231F20"/>
          <w:spacing w:val="7"/>
          <w:sz w:val="21"/>
        </w:rPr>
        <w:t xml:space="preserve"> </w:t>
      </w:r>
      <w:r>
        <w:rPr>
          <w:color w:val="231F20"/>
          <w:sz w:val="21"/>
        </w:rPr>
        <w:t>запиту</w:t>
      </w:r>
      <w:r>
        <w:rPr>
          <w:color w:val="231F20"/>
          <w:spacing w:val="7"/>
          <w:sz w:val="21"/>
        </w:rPr>
        <w:t xml:space="preserve"> </w:t>
      </w:r>
      <w:r>
        <w:rPr>
          <w:color w:val="231F20"/>
          <w:sz w:val="21"/>
        </w:rPr>
        <w:t>в</w:t>
      </w:r>
      <w:r>
        <w:rPr>
          <w:color w:val="231F20"/>
          <w:spacing w:val="7"/>
          <w:sz w:val="21"/>
        </w:rPr>
        <w:t xml:space="preserve"> </w:t>
      </w:r>
      <w:r>
        <w:rPr>
          <w:color w:val="231F20"/>
          <w:sz w:val="21"/>
        </w:rPr>
        <w:t>письмовій</w:t>
      </w:r>
      <w:r>
        <w:rPr>
          <w:color w:val="231F20"/>
          <w:spacing w:val="7"/>
          <w:sz w:val="21"/>
        </w:rPr>
        <w:t xml:space="preserve"> </w:t>
      </w:r>
      <w:r>
        <w:rPr>
          <w:color w:val="231F20"/>
          <w:sz w:val="21"/>
        </w:rPr>
        <w:t>формі.</w:t>
      </w:r>
    </w:p>
    <w:p w14:paraId="0E21AD7F" w14:textId="77777777" w:rsidR="00DE575E" w:rsidRDefault="002E7560">
      <w:pPr>
        <w:pStyle w:val="BodyText"/>
        <w:spacing w:before="13" w:line="252" w:lineRule="auto"/>
        <w:ind w:left="533" w:right="123" w:firstLine="283"/>
        <w:jc w:val="both"/>
      </w:pPr>
      <w:r>
        <w:rPr>
          <w:color w:val="231F20"/>
        </w:rPr>
        <w:t>З метою спрощення процедури оформлення письмових запитів на інформацію особа може подавати запит через заповнення відпо- відних форм запитів на інформацію, які можна отримати в розпо- рядника інформації та на офіційному веб-сайті відповідного розпо- рядник</w:t>
      </w:r>
      <w:r>
        <w:rPr>
          <w:color w:val="231F20"/>
        </w:rPr>
        <w:t>а. Зазначені форми мають містити стислу інструкцію щодо процедури подання запиту на інформацію, її отримання тощо.</w:t>
      </w:r>
    </w:p>
    <w:p w14:paraId="3D09A65F" w14:textId="77777777" w:rsidR="00DE575E" w:rsidRDefault="002E7560">
      <w:pPr>
        <w:pStyle w:val="BodyText"/>
        <w:spacing w:before="3" w:line="252" w:lineRule="auto"/>
        <w:ind w:left="533" w:right="124" w:firstLine="283"/>
        <w:jc w:val="both"/>
      </w:pPr>
      <w:r>
        <w:rPr>
          <w:color w:val="231F20"/>
        </w:rPr>
        <w:t>У разі якщо з поважних причин (інвалідність, обмежені фізичні можливості тощо) особа не може подати письмовий запит,  його має оформити відпо</w:t>
      </w:r>
      <w:r>
        <w:rPr>
          <w:color w:val="231F20"/>
        </w:rPr>
        <w:t>відальна особа з питань доступу до публічної інформації, обов’язково зазначивши в запиті своє ім’я, контактний телефон, та надати копію запиту особі, яка його</w:t>
      </w:r>
      <w:r>
        <w:rPr>
          <w:color w:val="231F20"/>
          <w:spacing w:val="5"/>
        </w:rPr>
        <w:t xml:space="preserve"> </w:t>
      </w:r>
      <w:r>
        <w:rPr>
          <w:color w:val="231F20"/>
        </w:rPr>
        <w:t>подала.</w:t>
      </w:r>
    </w:p>
    <w:p w14:paraId="36405E0F" w14:textId="77777777" w:rsidR="00DE575E" w:rsidRDefault="002E7560">
      <w:pPr>
        <w:pStyle w:val="BodyText"/>
        <w:spacing w:before="3" w:line="252" w:lineRule="auto"/>
        <w:ind w:left="533" w:right="126" w:firstLine="283"/>
        <w:jc w:val="both"/>
      </w:pPr>
      <w:r>
        <w:rPr>
          <w:color w:val="231F20"/>
        </w:rPr>
        <w:t>Запитувач має право звернутися до розпорядника інформації із запитом на інформацію незале</w:t>
      </w:r>
      <w:r>
        <w:rPr>
          <w:color w:val="231F20"/>
        </w:rPr>
        <w:t>жно від того, стосується ця інфор- мація його особисто чи ні, без пояснення причини подання запиту.</w:t>
      </w:r>
    </w:p>
    <w:p w14:paraId="5E652D3B" w14:textId="77777777" w:rsidR="00DE575E" w:rsidRDefault="00DE575E">
      <w:pPr>
        <w:pStyle w:val="BodyText"/>
        <w:spacing w:before="5"/>
        <w:rPr>
          <w:sz w:val="12"/>
        </w:rPr>
      </w:pPr>
    </w:p>
    <w:p w14:paraId="6A850AB8" w14:textId="77777777" w:rsidR="00DE575E" w:rsidRDefault="002E7560">
      <w:pPr>
        <w:spacing w:before="92"/>
        <w:ind w:left="533"/>
        <w:rPr>
          <w:rFonts w:ascii="Times New Roman"/>
          <w:sz w:val="20"/>
        </w:rPr>
      </w:pPr>
      <w:r>
        <w:rPr>
          <w:rFonts w:ascii="Times New Roman"/>
          <w:color w:val="231F20"/>
          <w:sz w:val="20"/>
        </w:rPr>
        <w:t>166</w:t>
      </w:r>
    </w:p>
    <w:p w14:paraId="0CF93054" w14:textId="77777777" w:rsidR="00DE575E" w:rsidRDefault="00DE575E">
      <w:pPr>
        <w:rPr>
          <w:rFonts w:ascii="Times New Roman"/>
          <w:sz w:val="20"/>
        </w:rPr>
        <w:sectPr w:rsidR="00DE575E">
          <w:pgSz w:w="8510" w:h="12760"/>
          <w:pgMar w:top="660" w:right="720" w:bottom="280" w:left="600" w:header="720" w:footer="720" w:gutter="0"/>
          <w:cols w:space="720"/>
        </w:sectPr>
      </w:pPr>
    </w:p>
    <w:p w14:paraId="4EBFC72E"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2E49002F" w14:textId="3596B8E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AEFDE3B" wp14:editId="2FB7B490">
                <wp:extent cx="4140200" cy="6350"/>
                <wp:effectExtent l="0" t="0" r="12700" b="6350"/>
                <wp:docPr id="1000"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01" name="Line 10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74B6B" id="Group_x0020_9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bKExl/AgAAmwUAAA4A&#10;AAAAAAAAAAAAAAAALAIAAGRycy9lMm9Eb2MueG1sUEsBAi0AFAAGAAgAAAAhAEynsJDZAAAAAwEA&#10;AA8AAAAAAAAAAAAAAAAA1wQAAGRycy9kb3ducmV2LnhtbFBLBQYAAAAABAAEAPMAAADdBQAAAAA=&#10;">
                <v:line id="Line_x0020_10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rrHMQAAADdAAAADwAAAGRycy9kb3ducmV2LnhtbERPzWoCMRC+C75DGKEXqYkVRLZGKYIg&#10;HrS6fYBxM91dmkzWTXS3ffqmUPA2H9/vLNe9s+JObag9a5hOFAjiwpuaSw0f+fZ5ASJEZIPWM2n4&#10;pgDr1XCwxMz4jk90P8dSpBAOGWqoYmwyKUNRkcMw8Q1x4j596zAm2JbStNilcGfli1Jz6bDm1FBh&#10;Q5uKiq/zzWnIr+No34972+XHy0xerofZz+2g9dOof3sFEamPD/G/e2fSfKWm8PdNOkG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yuscxAAAAN0AAAAPAAAAAAAAAAAA&#10;AAAAAKECAABkcnMvZG93bnJldi54bWxQSwUGAAAAAAQABAD5AAAAkgMAAAAA&#10;" strokecolor="#231f20" strokeweight=".5pt"/>
                <w10:anchorlock/>
              </v:group>
            </w:pict>
          </mc:Fallback>
        </mc:AlternateContent>
      </w:r>
    </w:p>
    <w:p w14:paraId="4198E80F" w14:textId="77777777" w:rsidR="00DE575E" w:rsidRDefault="00DE575E">
      <w:pPr>
        <w:pStyle w:val="BodyText"/>
        <w:spacing w:before="3"/>
        <w:rPr>
          <w:rFonts w:ascii="AdonisC"/>
          <w:i/>
          <w:sz w:val="12"/>
        </w:rPr>
      </w:pPr>
    </w:p>
    <w:p w14:paraId="220B7140" w14:textId="77777777" w:rsidR="00DE575E" w:rsidRDefault="002E7560">
      <w:pPr>
        <w:pStyle w:val="BodyText"/>
        <w:spacing w:before="100" w:line="252" w:lineRule="auto"/>
        <w:ind w:left="250" w:right="409" w:firstLine="283"/>
        <w:jc w:val="both"/>
      </w:pPr>
      <w:r>
        <w:rPr>
          <w:color w:val="231F20"/>
        </w:rPr>
        <w:t xml:space="preserve">Розпорядник інформації має надати відповідь на запит на інфор- мацію не пізніше п’яти робочих днів з дня  отримання  </w:t>
      </w:r>
      <w:r>
        <w:rPr>
          <w:color w:val="231F20"/>
          <w:spacing w:val="-3"/>
        </w:rPr>
        <w:t xml:space="preserve">запиту.  </w:t>
      </w:r>
      <w:r>
        <w:rPr>
          <w:color w:val="231F20"/>
        </w:rPr>
        <w:t>У разі якщо запит на інформацію стосується інформації, необхідної для захисту життя чи свобод</w:t>
      </w:r>
      <w:r>
        <w:rPr>
          <w:color w:val="231F20"/>
        </w:rPr>
        <w:t xml:space="preserve">и особи, щодо стану довкілля, якості харчових продуктів і предметів </w:t>
      </w:r>
      <w:r>
        <w:rPr>
          <w:color w:val="231F20"/>
          <w:spacing w:val="-3"/>
        </w:rPr>
        <w:t xml:space="preserve">побуту, </w:t>
      </w:r>
      <w:r>
        <w:rPr>
          <w:color w:val="231F20"/>
        </w:rPr>
        <w:t>аварій, катастроф, небезпеч- них природних явищ та інших надзвичайних подій, що сталися або можуть статись і загрожують безпеці громадян, відповідь має бути надана не пізніше 48 го</w:t>
      </w:r>
      <w:r>
        <w:rPr>
          <w:color w:val="231F20"/>
        </w:rPr>
        <w:t>дин з дня отримання</w:t>
      </w:r>
      <w:r>
        <w:rPr>
          <w:color w:val="231F20"/>
          <w:spacing w:val="-7"/>
        </w:rPr>
        <w:t xml:space="preserve"> </w:t>
      </w:r>
      <w:r>
        <w:rPr>
          <w:color w:val="231F20"/>
          <w:spacing w:val="-3"/>
        </w:rPr>
        <w:t>запиту.</w:t>
      </w:r>
    </w:p>
    <w:p w14:paraId="2C046A03" w14:textId="77777777" w:rsidR="00DE575E" w:rsidRDefault="002E7560">
      <w:pPr>
        <w:pStyle w:val="BodyText"/>
        <w:spacing w:before="4" w:line="252" w:lineRule="auto"/>
        <w:ind w:left="250" w:right="410" w:firstLine="283"/>
        <w:jc w:val="both"/>
      </w:pPr>
      <w:r>
        <w:rPr>
          <w:color w:val="231F20"/>
        </w:rPr>
        <w:t>Клопотання</w:t>
      </w:r>
      <w:r>
        <w:rPr>
          <w:color w:val="231F20"/>
          <w:spacing w:val="-11"/>
        </w:rPr>
        <w:t xml:space="preserve"> </w:t>
      </w:r>
      <w:r>
        <w:rPr>
          <w:color w:val="231F20"/>
        </w:rPr>
        <w:t>про</w:t>
      </w:r>
      <w:r>
        <w:rPr>
          <w:color w:val="231F20"/>
          <w:spacing w:val="-11"/>
        </w:rPr>
        <w:t xml:space="preserve"> </w:t>
      </w:r>
      <w:r>
        <w:rPr>
          <w:color w:val="231F20"/>
        </w:rPr>
        <w:t>термінове</w:t>
      </w:r>
      <w:r>
        <w:rPr>
          <w:color w:val="231F20"/>
          <w:spacing w:val="-11"/>
        </w:rPr>
        <w:t xml:space="preserve"> </w:t>
      </w:r>
      <w:r>
        <w:rPr>
          <w:color w:val="231F20"/>
        </w:rPr>
        <w:t>опрацювання</w:t>
      </w:r>
      <w:r>
        <w:rPr>
          <w:color w:val="231F20"/>
          <w:spacing w:val="-11"/>
        </w:rPr>
        <w:t xml:space="preserve"> </w:t>
      </w:r>
      <w:r>
        <w:rPr>
          <w:color w:val="231F20"/>
        </w:rPr>
        <w:t>запиту</w:t>
      </w:r>
      <w:r>
        <w:rPr>
          <w:color w:val="231F20"/>
          <w:spacing w:val="-11"/>
        </w:rPr>
        <w:t xml:space="preserve"> </w:t>
      </w:r>
      <w:r>
        <w:rPr>
          <w:color w:val="231F20"/>
        </w:rPr>
        <w:t>має</w:t>
      </w:r>
      <w:r>
        <w:rPr>
          <w:color w:val="231F20"/>
          <w:spacing w:val="-11"/>
        </w:rPr>
        <w:t xml:space="preserve"> </w:t>
      </w:r>
      <w:r>
        <w:rPr>
          <w:color w:val="231F20"/>
        </w:rPr>
        <w:t>бути</w:t>
      </w:r>
      <w:r>
        <w:rPr>
          <w:color w:val="231F20"/>
          <w:spacing w:val="-11"/>
        </w:rPr>
        <w:t xml:space="preserve"> </w:t>
      </w:r>
      <w:r>
        <w:rPr>
          <w:color w:val="231F20"/>
        </w:rPr>
        <w:t>обґрун- тованим. У разі якщо запит стосується надання великого обсягу інформації або потребує пошуку інформації серед значної кількості даних, розпорядник інформації може прод</w:t>
      </w:r>
      <w:r>
        <w:rPr>
          <w:color w:val="231F20"/>
        </w:rPr>
        <w:t xml:space="preserve">овжити строк </w:t>
      </w:r>
      <w:r>
        <w:rPr>
          <w:color w:val="231F20"/>
          <w:spacing w:val="-3"/>
        </w:rPr>
        <w:t xml:space="preserve">розгляду </w:t>
      </w:r>
      <w:r>
        <w:rPr>
          <w:color w:val="231F20"/>
        </w:rPr>
        <w:t>запиту до 20 робочих днів з обґрунтуванням такого</w:t>
      </w:r>
      <w:r>
        <w:rPr>
          <w:color w:val="231F20"/>
          <w:spacing w:val="-22"/>
        </w:rPr>
        <w:t xml:space="preserve"> </w:t>
      </w:r>
      <w:r>
        <w:rPr>
          <w:color w:val="231F20"/>
        </w:rPr>
        <w:t>продовження.</w:t>
      </w:r>
    </w:p>
    <w:p w14:paraId="4063ACB0" w14:textId="77777777" w:rsidR="00DE575E" w:rsidRDefault="002E7560">
      <w:pPr>
        <w:pStyle w:val="BodyText"/>
        <w:spacing w:before="2" w:line="252" w:lineRule="auto"/>
        <w:ind w:left="250" w:right="411" w:firstLine="283"/>
        <w:jc w:val="both"/>
      </w:pPr>
      <w:r>
        <w:rPr>
          <w:color w:val="231F20"/>
        </w:rPr>
        <w:t>Про продовження строку розпорядник інформації повідомляє запитувача в письмовій формі не пізніше п’яти робочих днів із дня отримання запиту.</w:t>
      </w:r>
    </w:p>
    <w:p w14:paraId="4AE4AD3C" w14:textId="77777777" w:rsidR="00DE575E" w:rsidRDefault="002E7560">
      <w:pPr>
        <w:pStyle w:val="BodyText"/>
        <w:spacing w:before="2" w:line="252" w:lineRule="auto"/>
        <w:ind w:left="250" w:right="411" w:firstLine="283"/>
        <w:jc w:val="both"/>
      </w:pPr>
      <w:r>
        <w:rPr>
          <w:color w:val="231F20"/>
        </w:rPr>
        <w:t>Запит на інформацію має направлятися до розпорядника публіч- ної інформації, визначеного законодавством України.</w:t>
      </w:r>
    </w:p>
    <w:p w14:paraId="41D6B3B5" w14:textId="77777777" w:rsidR="00DE575E" w:rsidRDefault="002E7560">
      <w:pPr>
        <w:pStyle w:val="BodyText"/>
        <w:spacing w:before="1" w:line="252" w:lineRule="auto"/>
        <w:ind w:left="250" w:right="410" w:firstLine="283"/>
        <w:jc w:val="both"/>
      </w:pPr>
      <w:r>
        <w:rPr>
          <w:color w:val="231F20"/>
        </w:rPr>
        <w:t xml:space="preserve">Згідно з приписами пункту 1 ч. 1 </w:t>
      </w:r>
      <w:r>
        <w:rPr>
          <w:color w:val="231F20"/>
          <w:spacing w:val="-6"/>
        </w:rPr>
        <w:t xml:space="preserve">ст. </w:t>
      </w:r>
      <w:r>
        <w:rPr>
          <w:color w:val="231F20"/>
        </w:rPr>
        <w:t xml:space="preserve">13 Закону </w:t>
      </w:r>
      <w:r>
        <w:rPr>
          <w:color w:val="231F20"/>
          <w:spacing w:val="-3"/>
        </w:rPr>
        <w:t xml:space="preserve">України </w:t>
      </w:r>
      <w:r>
        <w:rPr>
          <w:color w:val="231F20"/>
        </w:rPr>
        <w:t xml:space="preserve">«Про доступ до публічної інформації» розпорядниками публічної інфор- мації визнаються </w:t>
      </w:r>
      <w:r>
        <w:rPr>
          <w:color w:val="231F20"/>
          <w:spacing w:val="-3"/>
        </w:rPr>
        <w:t>су</w:t>
      </w:r>
      <w:r>
        <w:rPr>
          <w:color w:val="231F20"/>
          <w:spacing w:val="-3"/>
        </w:rPr>
        <w:t xml:space="preserve">б’єкти </w:t>
      </w:r>
      <w:r>
        <w:rPr>
          <w:color w:val="231F20"/>
        </w:rPr>
        <w:t xml:space="preserve">владних повноважень – органи держав- ної влади, інші державні органи, органи місцевого самоврядування, органи влади Автономної Республіки Крим, інші </w:t>
      </w:r>
      <w:r>
        <w:rPr>
          <w:color w:val="231F20"/>
          <w:spacing w:val="-3"/>
        </w:rPr>
        <w:t xml:space="preserve">суб’єкти, </w:t>
      </w:r>
      <w:r>
        <w:rPr>
          <w:color w:val="231F20"/>
        </w:rPr>
        <w:t>що здій- снюють</w:t>
      </w:r>
      <w:r>
        <w:rPr>
          <w:color w:val="231F20"/>
          <w:spacing w:val="-6"/>
        </w:rPr>
        <w:t xml:space="preserve"> </w:t>
      </w:r>
      <w:r>
        <w:rPr>
          <w:color w:val="231F20"/>
        </w:rPr>
        <w:t>владні</w:t>
      </w:r>
      <w:r>
        <w:rPr>
          <w:color w:val="231F20"/>
          <w:spacing w:val="-6"/>
        </w:rPr>
        <w:t xml:space="preserve"> </w:t>
      </w:r>
      <w:r>
        <w:rPr>
          <w:color w:val="231F20"/>
        </w:rPr>
        <w:t>управлінські</w:t>
      </w:r>
      <w:r>
        <w:rPr>
          <w:color w:val="231F20"/>
          <w:spacing w:val="-6"/>
        </w:rPr>
        <w:t xml:space="preserve"> </w:t>
      </w:r>
      <w:r>
        <w:rPr>
          <w:color w:val="231F20"/>
        </w:rPr>
        <w:t>функції</w:t>
      </w:r>
      <w:r>
        <w:rPr>
          <w:color w:val="231F20"/>
          <w:spacing w:val="-6"/>
        </w:rPr>
        <w:t xml:space="preserve"> </w:t>
      </w:r>
      <w:r>
        <w:rPr>
          <w:color w:val="231F20"/>
        </w:rPr>
        <w:t>відповідно</w:t>
      </w:r>
      <w:r>
        <w:rPr>
          <w:color w:val="231F20"/>
          <w:spacing w:val="-6"/>
        </w:rPr>
        <w:t xml:space="preserve"> </w:t>
      </w:r>
      <w:r>
        <w:rPr>
          <w:color w:val="231F20"/>
        </w:rPr>
        <w:t>до</w:t>
      </w:r>
      <w:r>
        <w:rPr>
          <w:color w:val="231F20"/>
          <w:spacing w:val="-6"/>
        </w:rPr>
        <w:t xml:space="preserve"> </w:t>
      </w:r>
      <w:r>
        <w:rPr>
          <w:color w:val="231F20"/>
        </w:rPr>
        <w:t>законодавства</w:t>
      </w:r>
      <w:r>
        <w:rPr>
          <w:color w:val="231F20"/>
          <w:spacing w:val="-6"/>
        </w:rPr>
        <w:t xml:space="preserve"> </w:t>
      </w:r>
      <w:r>
        <w:rPr>
          <w:color w:val="231F20"/>
        </w:rPr>
        <w:t xml:space="preserve">та рішення яких є </w:t>
      </w:r>
      <w:r>
        <w:rPr>
          <w:color w:val="231F20"/>
        </w:rPr>
        <w:t>обов’язковими для</w:t>
      </w:r>
      <w:r>
        <w:rPr>
          <w:color w:val="231F20"/>
          <w:spacing w:val="-4"/>
        </w:rPr>
        <w:t xml:space="preserve"> </w:t>
      </w:r>
      <w:r>
        <w:rPr>
          <w:color w:val="231F20"/>
        </w:rPr>
        <w:t>виконання</w:t>
      </w:r>
      <w:r>
        <w:rPr>
          <w:color w:val="231F20"/>
          <w:position w:val="7"/>
          <w:sz w:val="12"/>
        </w:rPr>
        <w:t>1</w:t>
      </w:r>
      <w:r>
        <w:rPr>
          <w:color w:val="231F20"/>
        </w:rPr>
        <w:t>.</w:t>
      </w:r>
    </w:p>
    <w:p w14:paraId="64B90995" w14:textId="77777777" w:rsidR="00DE575E" w:rsidRDefault="002E7560">
      <w:pPr>
        <w:spacing w:before="102" w:line="244" w:lineRule="auto"/>
        <w:ind w:left="533" w:right="411" w:firstLine="283"/>
        <w:jc w:val="both"/>
        <w:rPr>
          <w:i/>
          <w:sz w:val="18"/>
        </w:rPr>
      </w:pPr>
      <w:r>
        <w:rPr>
          <w:i/>
          <w:color w:val="231F20"/>
          <w:sz w:val="18"/>
          <w:u w:val="single" w:color="231F20"/>
        </w:rPr>
        <w:t>Приклад</w:t>
      </w:r>
      <w:r>
        <w:rPr>
          <w:i/>
          <w:color w:val="231F20"/>
          <w:sz w:val="18"/>
        </w:rPr>
        <w:t xml:space="preserve">: міністерство є розпорядником публічної інформації, якою воно володіє та/або яка </w:t>
      </w:r>
      <w:r>
        <w:rPr>
          <w:i/>
          <w:color w:val="231F20"/>
          <w:spacing w:val="-3"/>
          <w:sz w:val="18"/>
        </w:rPr>
        <w:t xml:space="preserve">була  </w:t>
      </w:r>
      <w:r>
        <w:rPr>
          <w:i/>
          <w:color w:val="231F20"/>
          <w:sz w:val="18"/>
        </w:rPr>
        <w:t>створена ним при виконанні покладених функцій       і</w:t>
      </w:r>
      <w:r>
        <w:rPr>
          <w:i/>
          <w:color w:val="231F20"/>
          <w:spacing w:val="-1"/>
          <w:sz w:val="18"/>
        </w:rPr>
        <w:t xml:space="preserve"> </w:t>
      </w:r>
      <w:r>
        <w:rPr>
          <w:i/>
          <w:color w:val="231F20"/>
          <w:sz w:val="18"/>
        </w:rPr>
        <w:t>завдань.</w:t>
      </w:r>
    </w:p>
    <w:p w14:paraId="29B18960" w14:textId="77777777" w:rsidR="00DE575E" w:rsidRDefault="002E7560">
      <w:pPr>
        <w:pStyle w:val="BodyText"/>
        <w:spacing w:before="130" w:line="252" w:lineRule="auto"/>
        <w:ind w:left="250" w:right="411" w:firstLine="283"/>
        <w:jc w:val="both"/>
      </w:pPr>
      <w:r>
        <w:rPr>
          <w:color w:val="231F20"/>
        </w:rPr>
        <w:t xml:space="preserve">У контексті визначення розпорядника публічної інформації важливе уточнення  зробив  Вищий  адміністративний  </w:t>
      </w:r>
      <w:r>
        <w:rPr>
          <w:color w:val="231F20"/>
          <w:spacing w:val="-4"/>
        </w:rPr>
        <w:t xml:space="preserve">суд  </w:t>
      </w:r>
      <w:r>
        <w:rPr>
          <w:color w:val="231F20"/>
          <w:spacing w:val="-3"/>
        </w:rPr>
        <w:t xml:space="preserve">Україні </w:t>
      </w:r>
      <w:r>
        <w:rPr>
          <w:color w:val="231F20"/>
        </w:rPr>
        <w:t xml:space="preserve">в пункті 2.1 Постанови Пленуму «Про практику застосування адмі- ністративними </w:t>
      </w:r>
      <w:r>
        <w:rPr>
          <w:color w:val="231F20"/>
          <w:spacing w:val="-3"/>
        </w:rPr>
        <w:t xml:space="preserve">судами </w:t>
      </w:r>
      <w:r>
        <w:rPr>
          <w:color w:val="231F20"/>
        </w:rPr>
        <w:t>законодавства про доступ до публічної інформації»</w:t>
      </w:r>
      <w:r>
        <w:rPr>
          <w:color w:val="231F20"/>
        </w:rPr>
        <w:t xml:space="preserve"> від 29.09.2016 року №</w:t>
      </w:r>
      <w:r>
        <w:rPr>
          <w:color w:val="231F20"/>
          <w:spacing w:val="-8"/>
        </w:rPr>
        <w:t xml:space="preserve"> </w:t>
      </w:r>
      <w:r>
        <w:rPr>
          <w:color w:val="231F20"/>
        </w:rPr>
        <w:t>10.</w:t>
      </w:r>
    </w:p>
    <w:p w14:paraId="1AEFDF1A" w14:textId="77777777" w:rsidR="00DE575E" w:rsidRDefault="002E7560">
      <w:pPr>
        <w:pStyle w:val="BodyText"/>
        <w:spacing w:before="3" w:line="252" w:lineRule="auto"/>
        <w:ind w:left="250" w:right="411" w:firstLine="283"/>
        <w:jc w:val="both"/>
      </w:pPr>
      <w:r>
        <w:rPr>
          <w:color w:val="231F20"/>
        </w:rPr>
        <w:t>Відповідно до правової позиції Вищого адміністративного суду України «Визначене поняття “суб’єкт владних повноважень” не охоплює посадових осіб і службових осіб органів державної влади,</w:t>
      </w:r>
    </w:p>
    <w:p w14:paraId="7F4E96E6" w14:textId="078B7033" w:rsidR="00DE575E" w:rsidRDefault="002E7560">
      <w:pPr>
        <w:pStyle w:val="BodyText"/>
        <w:spacing w:before="5"/>
        <w:rPr>
          <w:sz w:val="24"/>
        </w:rPr>
      </w:pPr>
      <w:r>
        <w:rPr>
          <w:noProof/>
        </w:rPr>
        <mc:AlternateContent>
          <mc:Choice Requires="wps">
            <w:drawing>
              <wp:anchor distT="0" distB="0" distL="0" distR="0" simplePos="0" relativeHeight="6832" behindDoc="0" locked="0" layoutInCell="1" allowOverlap="1" wp14:anchorId="5BE3EE72" wp14:editId="21EFCCAB">
                <wp:simplePos x="0" y="0"/>
                <wp:positionH relativeFrom="page">
                  <wp:posOffset>539750</wp:posOffset>
                </wp:positionH>
                <wp:positionV relativeFrom="paragraph">
                  <wp:posOffset>209550</wp:posOffset>
                </wp:positionV>
                <wp:extent cx="1080135" cy="0"/>
                <wp:effectExtent l="6350" t="19050" r="31115" b="19050"/>
                <wp:wrapTopAndBottom/>
                <wp:docPr id="999"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C7FFA" id="Line_x0020_998" o:spid="_x0000_s1026" style="position:absolute;z-index: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pt" to="127.5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" strokecolor="#231f20" strokeweight=".5pt">
                <w10:wrap type="topAndBottom" anchorx="page"/>
              </v:line>
            </w:pict>
          </mc:Fallback>
        </mc:AlternateContent>
      </w:r>
    </w:p>
    <w:p w14:paraId="04FFE713" w14:textId="77777777" w:rsidR="00DE575E" w:rsidRDefault="002E7560">
      <w:pPr>
        <w:spacing w:line="148" w:lineRule="exact"/>
        <w:ind w:left="250"/>
        <w:rPr>
          <w:sz w:val="16"/>
        </w:rPr>
      </w:pPr>
      <w:r>
        <w:rPr>
          <w:color w:val="231F20"/>
          <w:position w:val="5"/>
          <w:sz w:val="9"/>
        </w:rPr>
        <w:t xml:space="preserve">1 </w:t>
      </w:r>
      <w:r>
        <w:rPr>
          <w:color w:val="231F20"/>
          <w:sz w:val="16"/>
        </w:rPr>
        <w:t>Про доступ до публічної інформації : Закон України від 13.01.2011 № 2939-VI.</w:t>
      </w:r>
    </w:p>
    <w:p w14:paraId="68507E92" w14:textId="77777777" w:rsidR="00DE575E" w:rsidRDefault="002E7560">
      <w:pPr>
        <w:spacing w:line="174" w:lineRule="exact"/>
        <w:ind w:left="250"/>
        <w:rPr>
          <w:sz w:val="16"/>
        </w:rPr>
      </w:pPr>
      <w:r>
        <w:rPr>
          <w:i/>
          <w:color w:val="231F20"/>
          <w:sz w:val="16"/>
        </w:rPr>
        <w:t>Відомості Верховної Ради України</w:t>
      </w:r>
      <w:r>
        <w:rPr>
          <w:color w:val="231F20"/>
          <w:sz w:val="16"/>
        </w:rPr>
        <w:t>. 2011. № 32. Ст. 3114.</w:t>
      </w:r>
    </w:p>
    <w:p w14:paraId="7314897E" w14:textId="77777777" w:rsidR="00DE575E" w:rsidRDefault="00DE575E">
      <w:pPr>
        <w:pStyle w:val="BodyText"/>
        <w:spacing w:before="10"/>
        <w:rPr>
          <w:sz w:val="11"/>
        </w:rPr>
      </w:pPr>
    </w:p>
    <w:p w14:paraId="75EB9A89" w14:textId="77777777" w:rsidR="00DE575E" w:rsidRDefault="002E7560">
      <w:pPr>
        <w:spacing w:before="92"/>
        <w:ind w:right="411"/>
        <w:jc w:val="right"/>
        <w:rPr>
          <w:rFonts w:ascii="Times New Roman"/>
          <w:sz w:val="20"/>
        </w:rPr>
      </w:pPr>
      <w:r>
        <w:rPr>
          <w:rFonts w:ascii="Times New Roman"/>
          <w:color w:val="231F20"/>
          <w:w w:val="90"/>
          <w:sz w:val="20"/>
        </w:rPr>
        <w:t>167</w:t>
      </w:r>
    </w:p>
    <w:p w14:paraId="6A946C0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B016F4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1161695" w14:textId="3F65036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23F6F11" wp14:editId="68F2A306">
                <wp:extent cx="4140200" cy="6350"/>
                <wp:effectExtent l="0" t="0" r="12700" b="6350"/>
                <wp:docPr id="997"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98" name="Line 99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142F52" id="Group_x0020_99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uRrNigAIAAJgFAAAO&#10;AAAAAAAAAAAAAAAAACwCAABkcnMvZTJvRG9jLnhtbFBLAQItABQABgAIAAAAIQBMp7CQ2QAAAAMB&#10;AAAPAAAAAAAAAAAAAAAAANgEAABkcnMvZG93bnJldi54bWxQSwUGAAAAAAQABADzAAAA3gUAAAAA&#10;">
                <v:line id="Line_x0020_99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Jx8MAAADcAAAADwAAAGRycy9kb3ducmV2LnhtbERP3WrCMBS+F/YO4Qy8kTVVQbRrlCEM&#10;hhc67R7g2Jy1ZclJbaKte/rlYuDlx/efbwZrxI063zhWME1SEMSl0w1XCr6K95clCB+QNRrHpOBO&#10;Hjbrp1GOmXY9H+l2CpWIIewzVFCH0GZS+rImiz5xLXHkvl1nMUTYVVJ32Mdwa+QsTRfSYsOxocaW&#10;tjWVP6erVVBcJsF8HnamLw7nuTxf9vPf616p8fPw9goi0BAe4n/3h1awWsW1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micfDAAAA3AAAAA8AAAAAAAAAAAAA&#10;AAAAoQIAAGRycy9kb3ducmV2LnhtbFBLBQYAAAAABAAEAPkAAACRAwAAAAA=&#10;" strokecolor="#231f20" strokeweight=".5pt"/>
                <w10:anchorlock/>
              </v:group>
            </w:pict>
          </mc:Fallback>
        </mc:AlternateContent>
      </w:r>
    </w:p>
    <w:p w14:paraId="276D49A4" w14:textId="77777777" w:rsidR="00DE575E" w:rsidRDefault="00DE575E">
      <w:pPr>
        <w:pStyle w:val="BodyText"/>
        <w:spacing w:before="7"/>
        <w:rPr>
          <w:rFonts w:ascii="AdonisC"/>
          <w:i/>
          <w:sz w:val="11"/>
        </w:rPr>
      </w:pPr>
    </w:p>
    <w:p w14:paraId="26AEE78E" w14:textId="77777777" w:rsidR="00DE575E" w:rsidRDefault="002E7560">
      <w:pPr>
        <w:pStyle w:val="BodyText"/>
        <w:spacing w:before="101" w:line="252" w:lineRule="auto"/>
        <w:ind w:left="533" w:right="124"/>
        <w:jc w:val="both"/>
      </w:pPr>
      <w:r>
        <w:rPr>
          <w:color w:val="231F20"/>
        </w:rPr>
        <w:t>місцевого самоврядування, оскільки за своїм статусом та колом повноважень вони не підпадають під розуміння органу  держав-  ної влади та інших суб’єктів, зазначених у пункті 1 частини першої статті 13 Закону  України  «Про  доступ  до  публічної  інформаці</w:t>
      </w:r>
      <w:r>
        <w:rPr>
          <w:color w:val="231F20"/>
        </w:rPr>
        <w:t>ї».  У зв’язку з цим такі особи не можуть (не мають здатності) викону- вати обов’язки розпорядника інформації, зокрема обов’язки щодо обліку та оприлюднення публічної</w:t>
      </w:r>
      <w:r>
        <w:rPr>
          <w:color w:val="231F20"/>
          <w:spacing w:val="21"/>
        </w:rPr>
        <w:t xml:space="preserve"> </w:t>
      </w:r>
      <w:r>
        <w:rPr>
          <w:color w:val="231F20"/>
        </w:rPr>
        <w:t>інформації</w:t>
      </w:r>
      <w:r>
        <w:rPr>
          <w:color w:val="231F20"/>
          <w:position w:val="7"/>
          <w:sz w:val="12"/>
        </w:rPr>
        <w:t>1</w:t>
      </w:r>
      <w:r>
        <w:rPr>
          <w:color w:val="231F20"/>
        </w:rPr>
        <w:t>.</w:t>
      </w:r>
    </w:p>
    <w:p w14:paraId="1EF5F74C" w14:textId="77777777" w:rsidR="00DE575E" w:rsidRDefault="002E7560">
      <w:pPr>
        <w:spacing w:before="102" w:line="244" w:lineRule="auto"/>
        <w:ind w:left="817" w:right="126" w:firstLine="283"/>
        <w:jc w:val="both"/>
        <w:rPr>
          <w:i/>
          <w:sz w:val="18"/>
        </w:rPr>
      </w:pPr>
      <w:r>
        <w:rPr>
          <w:i/>
          <w:color w:val="231F20"/>
          <w:sz w:val="18"/>
          <w:u w:val="single" w:color="231F20"/>
        </w:rPr>
        <w:t>Приклад:</w:t>
      </w:r>
      <w:r>
        <w:rPr>
          <w:i/>
          <w:color w:val="231F20"/>
          <w:sz w:val="18"/>
        </w:rPr>
        <w:t xml:space="preserve"> Не є розпорядниками публічної інформації народні депутати </w:t>
      </w:r>
      <w:r>
        <w:rPr>
          <w:i/>
          <w:color w:val="231F20"/>
          <w:sz w:val="18"/>
        </w:rPr>
        <w:t>України, депутати місцевих рад та  Верховної  Ради  АРК,  голови  район-  них, обласних рад, сільський, селищний, міський голова, судді, прокурори, державні виконавці</w:t>
      </w:r>
      <w:r>
        <w:rPr>
          <w:i/>
          <w:color w:val="231F20"/>
          <w:spacing w:val="5"/>
          <w:sz w:val="18"/>
        </w:rPr>
        <w:t xml:space="preserve"> </w:t>
      </w:r>
      <w:r>
        <w:rPr>
          <w:i/>
          <w:color w:val="231F20"/>
          <w:sz w:val="18"/>
        </w:rPr>
        <w:t>тощо.</w:t>
      </w:r>
    </w:p>
    <w:p w14:paraId="5D1CE7BD" w14:textId="77777777" w:rsidR="00DE575E" w:rsidRDefault="002E7560">
      <w:pPr>
        <w:pStyle w:val="BodyText"/>
        <w:spacing w:before="131" w:line="252" w:lineRule="auto"/>
        <w:ind w:left="533" w:right="128" w:firstLine="283"/>
        <w:jc w:val="both"/>
      </w:pPr>
      <w:r>
        <w:rPr>
          <w:color w:val="231F20"/>
        </w:rPr>
        <w:t>Окрім суб’єктів владних повноважень, до категорії розпорядни- ків публічної інформа</w:t>
      </w:r>
      <w:r>
        <w:rPr>
          <w:color w:val="231F20"/>
        </w:rPr>
        <w:t>ції також належать:</w:t>
      </w:r>
    </w:p>
    <w:p w14:paraId="38F3224A" w14:textId="77777777" w:rsidR="00DE575E" w:rsidRDefault="002E7560">
      <w:pPr>
        <w:pStyle w:val="ListParagraph"/>
        <w:numPr>
          <w:ilvl w:val="0"/>
          <w:numId w:val="232"/>
        </w:numPr>
        <w:tabs>
          <w:tab w:val="left" w:pos="1101"/>
        </w:tabs>
        <w:spacing w:line="252" w:lineRule="auto"/>
        <w:ind w:right="125" w:firstLine="284"/>
        <w:rPr>
          <w:sz w:val="21"/>
        </w:rPr>
      </w:pPr>
      <w:r>
        <w:rPr>
          <w:color w:val="231F20"/>
          <w:sz w:val="21"/>
        </w:rPr>
        <w:t>юридичні особи, що фінансуються з державного, місцевих бюджетів, бюджету Автономної Республіки Крим, – стосовно інфор- мації щодо використання бюджетних</w:t>
      </w:r>
      <w:r>
        <w:rPr>
          <w:color w:val="231F20"/>
          <w:spacing w:val="20"/>
          <w:sz w:val="21"/>
        </w:rPr>
        <w:t xml:space="preserve"> </w:t>
      </w:r>
      <w:r>
        <w:rPr>
          <w:color w:val="231F20"/>
          <w:sz w:val="21"/>
        </w:rPr>
        <w:t>коштів;</w:t>
      </w:r>
    </w:p>
    <w:p w14:paraId="6277488C" w14:textId="77777777" w:rsidR="00DE575E" w:rsidRDefault="002E7560">
      <w:pPr>
        <w:pStyle w:val="ListParagraph"/>
        <w:numPr>
          <w:ilvl w:val="0"/>
          <w:numId w:val="232"/>
        </w:numPr>
        <w:tabs>
          <w:tab w:val="left" w:pos="1101"/>
        </w:tabs>
        <w:spacing w:line="252" w:lineRule="auto"/>
        <w:ind w:right="123" w:firstLine="284"/>
        <w:rPr>
          <w:sz w:val="21"/>
        </w:rPr>
      </w:pPr>
      <w:r>
        <w:rPr>
          <w:color w:val="231F20"/>
          <w:sz w:val="21"/>
        </w:rPr>
        <w:t>особи, якщо вони виконують делеговані повноваження суб’єктів владних повнов</w:t>
      </w:r>
      <w:r>
        <w:rPr>
          <w:color w:val="231F20"/>
          <w:sz w:val="21"/>
        </w:rPr>
        <w:t>ажень згідно із законом чи договором, включаючи надання освітніх, оздоровчих, соціальних або інших державних послуг, – стосовно інформації, пов’язаної з виконанням їхніх</w:t>
      </w:r>
      <w:r>
        <w:rPr>
          <w:color w:val="231F20"/>
          <w:spacing w:val="3"/>
          <w:sz w:val="21"/>
        </w:rPr>
        <w:t xml:space="preserve"> </w:t>
      </w:r>
      <w:r>
        <w:rPr>
          <w:color w:val="231F20"/>
          <w:sz w:val="21"/>
        </w:rPr>
        <w:t>обов’язків;</w:t>
      </w:r>
    </w:p>
    <w:p w14:paraId="152710A2" w14:textId="77777777" w:rsidR="00DE575E" w:rsidRDefault="002E7560">
      <w:pPr>
        <w:pStyle w:val="ListParagraph"/>
        <w:numPr>
          <w:ilvl w:val="0"/>
          <w:numId w:val="232"/>
        </w:numPr>
        <w:tabs>
          <w:tab w:val="left" w:pos="1101"/>
        </w:tabs>
        <w:spacing w:before="3" w:line="252" w:lineRule="auto"/>
        <w:ind w:right="124" w:firstLine="284"/>
        <w:rPr>
          <w:sz w:val="21"/>
        </w:rPr>
      </w:pPr>
      <w:r>
        <w:rPr>
          <w:color w:val="231F20"/>
          <w:sz w:val="21"/>
        </w:rPr>
        <w:t xml:space="preserve">суб’єкти господарювання, які займають домінантне стано- вище на ринку або </w:t>
      </w:r>
      <w:r>
        <w:rPr>
          <w:color w:val="231F20"/>
          <w:sz w:val="21"/>
        </w:rPr>
        <w:t>наділені спеціальними чи виключними правами, або є природними монополіями, – стосовно інформації щодо умов постачання товарів, послуг та цін на</w:t>
      </w:r>
      <w:r>
        <w:rPr>
          <w:color w:val="231F20"/>
          <w:spacing w:val="28"/>
          <w:sz w:val="21"/>
        </w:rPr>
        <w:t xml:space="preserve"> </w:t>
      </w:r>
      <w:r>
        <w:rPr>
          <w:color w:val="231F20"/>
          <w:sz w:val="21"/>
        </w:rPr>
        <w:t>них.</w:t>
      </w:r>
    </w:p>
    <w:p w14:paraId="16B5CE4D" w14:textId="77777777" w:rsidR="00DE575E" w:rsidRDefault="002E7560">
      <w:pPr>
        <w:pStyle w:val="BodyText"/>
        <w:spacing w:before="2" w:line="252" w:lineRule="auto"/>
        <w:ind w:left="533" w:right="124" w:firstLine="283"/>
        <w:jc w:val="both"/>
      </w:pPr>
      <w:r>
        <w:rPr>
          <w:color w:val="231F20"/>
        </w:rPr>
        <w:t>До розпорядників публічної інформації також дорівнюються інші суб’єкти господарювання, які не належать до ж</w:t>
      </w:r>
      <w:r>
        <w:rPr>
          <w:color w:val="231F20"/>
        </w:rPr>
        <w:t>одної з назва- них груп, проте володіють інформацією, що становить суспільний інтерес.</w:t>
      </w:r>
    </w:p>
    <w:p w14:paraId="57B82355" w14:textId="77777777" w:rsidR="00DE575E" w:rsidRDefault="002E7560">
      <w:pPr>
        <w:spacing w:before="101" w:line="244" w:lineRule="auto"/>
        <w:ind w:left="817" w:right="126" w:firstLine="283"/>
        <w:jc w:val="both"/>
        <w:rPr>
          <w:i/>
          <w:sz w:val="18"/>
        </w:rPr>
      </w:pPr>
      <w:r>
        <w:rPr>
          <w:i/>
          <w:color w:val="231F20"/>
          <w:sz w:val="18"/>
          <w:u w:val="single" w:color="231F20"/>
        </w:rPr>
        <w:t>Приклад:</w:t>
      </w:r>
      <w:r>
        <w:rPr>
          <w:i/>
          <w:color w:val="231F20"/>
          <w:sz w:val="18"/>
        </w:rPr>
        <w:t xml:space="preserve"> Суб’єкт ринку телекомунікацій, який не займає домінантного становища на ринку телекомунікаційних послуг, дорівнюється до розпоряд- ників публічної інформації в </w:t>
      </w:r>
      <w:r>
        <w:rPr>
          <w:i/>
          <w:color w:val="231F20"/>
          <w:sz w:val="18"/>
        </w:rPr>
        <w:t>частині оприлюднення інформації про тарифні плани на послуги зв’язку, домашнього Інтернету чи телебачення.</w:t>
      </w:r>
    </w:p>
    <w:p w14:paraId="4E305908" w14:textId="77777777" w:rsidR="00DE575E" w:rsidRDefault="002E7560">
      <w:pPr>
        <w:pStyle w:val="BodyText"/>
        <w:spacing w:before="131" w:line="252" w:lineRule="auto"/>
        <w:ind w:left="533" w:right="128" w:firstLine="283"/>
        <w:jc w:val="both"/>
      </w:pPr>
      <w:r>
        <w:rPr>
          <w:color w:val="231F20"/>
        </w:rPr>
        <w:t>Розпорядник публічної інформації має право відмовити в задо- воленні запиту в таких випадках:</w:t>
      </w:r>
    </w:p>
    <w:p w14:paraId="2FD469FD" w14:textId="77777777" w:rsidR="00DE575E" w:rsidRDefault="00DE575E">
      <w:pPr>
        <w:pStyle w:val="BodyText"/>
        <w:rPr>
          <w:sz w:val="20"/>
        </w:rPr>
      </w:pPr>
    </w:p>
    <w:p w14:paraId="02F2DFD6" w14:textId="26A6AB64" w:rsidR="00DE575E" w:rsidRDefault="002E7560">
      <w:pPr>
        <w:pStyle w:val="BodyText"/>
        <w:spacing w:before="9"/>
        <w:rPr>
          <w:sz w:val="11"/>
        </w:rPr>
      </w:pPr>
      <w:r>
        <w:rPr>
          <w:noProof/>
        </w:rPr>
        <mc:AlternateContent>
          <mc:Choice Requires="wps">
            <w:drawing>
              <wp:anchor distT="0" distB="0" distL="0" distR="0" simplePos="0" relativeHeight="6880" behindDoc="0" locked="0" layoutInCell="1" allowOverlap="1" wp14:anchorId="75E33995" wp14:editId="57C47418">
                <wp:simplePos x="0" y="0"/>
                <wp:positionH relativeFrom="page">
                  <wp:posOffset>719455</wp:posOffset>
                </wp:positionH>
                <wp:positionV relativeFrom="paragraph">
                  <wp:posOffset>115570</wp:posOffset>
                </wp:positionV>
                <wp:extent cx="1080135" cy="0"/>
                <wp:effectExtent l="8255" t="13970" r="29210" b="24130"/>
                <wp:wrapTopAndBottom/>
                <wp:docPr id="99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FBAE5" id="Line_x0020_995" o:spid="_x0000_s1026" style="position:absolute;z-index: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141.7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" strokecolor="#231f20" strokeweight=".5pt">
                <w10:wrap type="topAndBottom" anchorx="page"/>
              </v:line>
            </w:pict>
          </mc:Fallback>
        </mc:AlternateContent>
      </w:r>
    </w:p>
    <w:p w14:paraId="3A81CED0" w14:textId="77777777" w:rsidR="00DE575E" w:rsidRDefault="002E7560">
      <w:pPr>
        <w:spacing w:line="204" w:lineRule="auto"/>
        <w:ind w:left="533" w:right="130"/>
        <w:jc w:val="both"/>
        <w:rPr>
          <w:sz w:val="16"/>
        </w:rPr>
      </w:pPr>
      <w:r>
        <w:rPr>
          <w:color w:val="231F20"/>
          <w:position w:val="5"/>
          <w:sz w:val="9"/>
        </w:rPr>
        <w:t xml:space="preserve">1 </w:t>
      </w:r>
      <w:r>
        <w:rPr>
          <w:color w:val="231F20"/>
          <w:sz w:val="16"/>
        </w:rPr>
        <w:t>Про практику застосування адміністративними судами законодавства України про доступ до публічної інформації : Постанова Пленуму Вищого адміністративного суду України від 29.09.2016 № 10.</w:t>
      </w:r>
    </w:p>
    <w:p w14:paraId="20E7D2A4" w14:textId="77777777" w:rsidR="00DE575E" w:rsidRDefault="00DE575E">
      <w:pPr>
        <w:pStyle w:val="BodyText"/>
        <w:spacing w:before="2"/>
        <w:rPr>
          <w:sz w:val="12"/>
        </w:rPr>
      </w:pPr>
    </w:p>
    <w:p w14:paraId="78889639" w14:textId="77777777" w:rsidR="00DE575E" w:rsidRDefault="002E7560">
      <w:pPr>
        <w:spacing w:before="92"/>
        <w:ind w:left="533"/>
        <w:rPr>
          <w:rFonts w:ascii="Times New Roman"/>
          <w:sz w:val="20"/>
        </w:rPr>
      </w:pPr>
      <w:r>
        <w:rPr>
          <w:rFonts w:ascii="Times New Roman"/>
          <w:color w:val="231F20"/>
          <w:sz w:val="20"/>
        </w:rPr>
        <w:t>168</w:t>
      </w:r>
    </w:p>
    <w:p w14:paraId="2AF7EED6" w14:textId="77777777" w:rsidR="00DE575E" w:rsidRDefault="00DE575E">
      <w:pPr>
        <w:rPr>
          <w:rFonts w:ascii="Times New Roman"/>
          <w:sz w:val="20"/>
        </w:rPr>
        <w:sectPr w:rsidR="00DE575E">
          <w:pgSz w:w="8510" w:h="12760"/>
          <w:pgMar w:top="660" w:right="720" w:bottom="280" w:left="600" w:header="720" w:footer="720" w:gutter="0"/>
          <w:cols w:space="720"/>
        </w:sectPr>
      </w:pPr>
    </w:p>
    <w:p w14:paraId="04925167"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5. Приватна особа як суб’єкт адміністративного права</w:t>
      </w:r>
    </w:p>
    <w:p w14:paraId="7C497EBB" w14:textId="29E59D4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925086F" wp14:editId="216B3BE6">
                <wp:extent cx="4140200" cy="6350"/>
                <wp:effectExtent l="0" t="0" r="12700" b="6350"/>
                <wp:docPr id="994"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95" name="Line 9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535965" id="Group_x0020_9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iHycB/AgAAmAUAAA4A&#10;AAAAAAAAAAAAAAAALAIAAGRycy9lMm9Eb2MueG1sUEsBAi0AFAAGAAgAAAAhAEynsJDZAAAAAwEA&#10;AA8AAAAAAAAAAAAAAAAA1wQAAGRycy9kb3ducmV2LnhtbFBLBQYAAAAABAAEAPMAAADdBQAAAAA=&#10;">
                <v:line id="Line_x0020_9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cmWcYAAADcAAAADwAAAGRycy9kb3ducmV2LnhtbESP3WrCQBSE7wu+w3IEb0rdtNJSo6tI&#10;oSBe+Jc+wDF7TIK7Z2N2NdGndwuFXg4z8w0znXfWiCs1vnKs4HWYgCDOna64UPCTfb98gvABWaNx&#10;TApu5GE+6z1NMdWu5R1d96EQEcI+RQVlCHUqpc9LsuiHriaO3tE1FkOUTSF1g22EWyPfkuRDWqw4&#10;LpRY01dJ+Wl/sQqy83Mw283KtNnmMJKH83p0v6yVGvS7xQREoC78h//aS61gPH6H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nJlnGAAAA3AAAAA8AAAAAAAAA&#10;AAAAAAAAoQIAAGRycy9kb3ducmV2LnhtbFBLBQYAAAAABAAEAPkAAACUAwAAAAA=&#10;" strokecolor="#231f20" strokeweight=".5pt"/>
                <w10:anchorlock/>
              </v:group>
            </w:pict>
          </mc:Fallback>
        </mc:AlternateContent>
      </w:r>
    </w:p>
    <w:p w14:paraId="2A8FD37B" w14:textId="77777777" w:rsidR="00DE575E" w:rsidRDefault="00DE575E">
      <w:pPr>
        <w:pStyle w:val="BodyText"/>
        <w:spacing w:before="7"/>
        <w:rPr>
          <w:rFonts w:ascii="AdonisC"/>
          <w:i/>
          <w:sz w:val="19"/>
        </w:rPr>
      </w:pPr>
    </w:p>
    <w:p w14:paraId="6AB0DFC9" w14:textId="77777777" w:rsidR="00DE575E" w:rsidRDefault="002E7560">
      <w:pPr>
        <w:pStyle w:val="ListParagraph"/>
        <w:numPr>
          <w:ilvl w:val="0"/>
          <w:numId w:val="231"/>
        </w:numPr>
        <w:tabs>
          <w:tab w:val="left" w:pos="818"/>
        </w:tabs>
        <w:spacing w:line="252" w:lineRule="auto"/>
        <w:ind w:right="411" w:firstLine="283"/>
        <w:rPr>
          <w:sz w:val="21"/>
        </w:rPr>
      </w:pPr>
      <w:r>
        <w:rPr>
          <w:color w:val="231F20"/>
          <w:sz w:val="21"/>
        </w:rPr>
        <w:t>розпорядник інформації не володіє і не зобов’язаний відпо- відно до його компетенції, передбаченої законодавством, володіти інфор</w:t>
      </w:r>
      <w:r>
        <w:rPr>
          <w:color w:val="231F20"/>
          <w:sz w:val="21"/>
        </w:rPr>
        <w:t>мацією, щодо якої зроблено</w:t>
      </w:r>
      <w:r>
        <w:rPr>
          <w:color w:val="231F20"/>
          <w:spacing w:val="-4"/>
          <w:sz w:val="21"/>
        </w:rPr>
        <w:t xml:space="preserve"> </w:t>
      </w:r>
      <w:r>
        <w:rPr>
          <w:color w:val="231F20"/>
          <w:sz w:val="21"/>
        </w:rPr>
        <w:t>запит;</w:t>
      </w:r>
    </w:p>
    <w:p w14:paraId="1E861483" w14:textId="77777777" w:rsidR="00DE575E" w:rsidRDefault="002E7560">
      <w:pPr>
        <w:pStyle w:val="ListParagraph"/>
        <w:numPr>
          <w:ilvl w:val="0"/>
          <w:numId w:val="231"/>
        </w:numPr>
        <w:tabs>
          <w:tab w:val="left" w:pos="818"/>
        </w:tabs>
        <w:spacing w:line="252" w:lineRule="auto"/>
        <w:ind w:right="409" w:firstLine="283"/>
        <w:rPr>
          <w:sz w:val="21"/>
        </w:rPr>
      </w:pPr>
      <w:r>
        <w:rPr>
          <w:color w:val="231F20"/>
          <w:sz w:val="21"/>
        </w:rPr>
        <w:t>інформація, що запитується, належить до категорії</w:t>
      </w:r>
      <w:r>
        <w:rPr>
          <w:color w:val="231F20"/>
          <w:spacing w:val="-25"/>
          <w:sz w:val="21"/>
        </w:rPr>
        <w:t xml:space="preserve"> </w:t>
      </w:r>
      <w:r>
        <w:rPr>
          <w:color w:val="231F20"/>
          <w:sz w:val="21"/>
        </w:rPr>
        <w:t xml:space="preserve">інформації з обмеженим доступом відповідно до ч. 2 </w:t>
      </w:r>
      <w:r>
        <w:rPr>
          <w:color w:val="231F20"/>
          <w:spacing w:val="-6"/>
          <w:sz w:val="21"/>
        </w:rPr>
        <w:t xml:space="preserve">ст. </w:t>
      </w:r>
      <w:r>
        <w:rPr>
          <w:color w:val="231F20"/>
          <w:sz w:val="21"/>
        </w:rPr>
        <w:t xml:space="preserve">6 Закону </w:t>
      </w:r>
      <w:r>
        <w:rPr>
          <w:color w:val="231F20"/>
          <w:spacing w:val="-3"/>
          <w:sz w:val="21"/>
        </w:rPr>
        <w:t xml:space="preserve">України </w:t>
      </w:r>
      <w:r>
        <w:rPr>
          <w:color w:val="231F20"/>
          <w:sz w:val="21"/>
        </w:rPr>
        <w:t>«Про доступ до публічної</w:t>
      </w:r>
      <w:r>
        <w:rPr>
          <w:color w:val="231F20"/>
          <w:spacing w:val="-3"/>
          <w:sz w:val="21"/>
        </w:rPr>
        <w:t xml:space="preserve"> </w:t>
      </w:r>
      <w:r>
        <w:rPr>
          <w:color w:val="231F20"/>
          <w:sz w:val="21"/>
        </w:rPr>
        <w:t>інформації»;</w:t>
      </w:r>
    </w:p>
    <w:p w14:paraId="18CDAE0C" w14:textId="77777777" w:rsidR="00DE575E" w:rsidRDefault="002E7560">
      <w:pPr>
        <w:pStyle w:val="ListParagraph"/>
        <w:numPr>
          <w:ilvl w:val="0"/>
          <w:numId w:val="231"/>
        </w:numPr>
        <w:tabs>
          <w:tab w:val="left" w:pos="818"/>
        </w:tabs>
        <w:spacing w:before="2" w:line="252" w:lineRule="auto"/>
        <w:ind w:right="410" w:firstLine="283"/>
        <w:rPr>
          <w:sz w:val="21"/>
        </w:rPr>
      </w:pPr>
      <w:r>
        <w:rPr>
          <w:color w:val="231F20"/>
          <w:sz w:val="21"/>
        </w:rPr>
        <w:t>особа, яка подала запит на інформацію, не оплатила фактичні ви</w:t>
      </w:r>
      <w:r>
        <w:rPr>
          <w:color w:val="231F20"/>
          <w:sz w:val="21"/>
        </w:rPr>
        <w:t>трати, пов’язані з копіюванням або</w:t>
      </w:r>
      <w:r>
        <w:rPr>
          <w:color w:val="231F20"/>
          <w:spacing w:val="-5"/>
          <w:sz w:val="21"/>
        </w:rPr>
        <w:t xml:space="preserve"> </w:t>
      </w:r>
      <w:r>
        <w:rPr>
          <w:color w:val="231F20"/>
          <w:sz w:val="21"/>
        </w:rPr>
        <w:t>друком;</w:t>
      </w:r>
    </w:p>
    <w:p w14:paraId="259ACEA3" w14:textId="77777777" w:rsidR="00DE575E" w:rsidRDefault="002E7560">
      <w:pPr>
        <w:pStyle w:val="ListParagraph"/>
        <w:numPr>
          <w:ilvl w:val="0"/>
          <w:numId w:val="231"/>
        </w:numPr>
        <w:tabs>
          <w:tab w:val="left" w:pos="818"/>
        </w:tabs>
        <w:spacing w:line="252" w:lineRule="auto"/>
        <w:ind w:right="411" w:firstLine="283"/>
        <w:rPr>
          <w:sz w:val="21"/>
        </w:rPr>
      </w:pPr>
      <w:r>
        <w:rPr>
          <w:color w:val="231F20"/>
          <w:sz w:val="21"/>
        </w:rPr>
        <w:t xml:space="preserve">не дотримано вимог до запиту на інформацію, передбачених Законом </w:t>
      </w:r>
      <w:r>
        <w:rPr>
          <w:color w:val="231F20"/>
          <w:spacing w:val="-3"/>
          <w:sz w:val="21"/>
        </w:rPr>
        <w:t xml:space="preserve">України </w:t>
      </w:r>
      <w:r>
        <w:rPr>
          <w:color w:val="231F20"/>
          <w:sz w:val="21"/>
        </w:rPr>
        <w:t>«Про доступ до публічної інформації».</w:t>
      </w:r>
    </w:p>
    <w:p w14:paraId="3EF6199C" w14:textId="77777777" w:rsidR="00DE575E" w:rsidRDefault="002E7560">
      <w:pPr>
        <w:pStyle w:val="BodyText"/>
        <w:spacing w:before="1" w:line="252" w:lineRule="auto"/>
        <w:ind w:left="250" w:right="411" w:firstLine="283"/>
        <w:jc w:val="both"/>
      </w:pPr>
      <w:r>
        <w:rPr>
          <w:color w:val="231F20"/>
        </w:rPr>
        <w:t>Відповідь розпорядника інформації про те, що інформація може бути одержана запитувачем із загальнодоступних джерел, або відповідь не по суті запиту вважається неправомірною відмовою     в наданні</w:t>
      </w:r>
      <w:r>
        <w:rPr>
          <w:color w:val="231F20"/>
          <w:spacing w:val="-1"/>
        </w:rPr>
        <w:t xml:space="preserve"> </w:t>
      </w:r>
      <w:r>
        <w:rPr>
          <w:color w:val="231F20"/>
        </w:rPr>
        <w:t>інформації.</w:t>
      </w:r>
    </w:p>
    <w:p w14:paraId="024139B6" w14:textId="77777777" w:rsidR="00DE575E" w:rsidRDefault="002E7560">
      <w:pPr>
        <w:pStyle w:val="BodyText"/>
        <w:spacing w:before="2" w:line="252" w:lineRule="auto"/>
        <w:ind w:left="250" w:right="410" w:firstLine="283"/>
        <w:jc w:val="both"/>
      </w:pPr>
      <w:r>
        <w:rPr>
          <w:color w:val="231F20"/>
        </w:rPr>
        <w:t>Розпорядник інформації, який не володіє запитува</w:t>
      </w:r>
      <w:r>
        <w:rPr>
          <w:color w:val="231F20"/>
        </w:rPr>
        <w:t>ною інформа- цією, але якому за статусом або характером діяльності відомо або має</w:t>
      </w:r>
      <w:r>
        <w:rPr>
          <w:color w:val="231F20"/>
          <w:spacing w:val="-10"/>
        </w:rPr>
        <w:t xml:space="preserve"> </w:t>
      </w:r>
      <w:r>
        <w:rPr>
          <w:color w:val="231F20"/>
        </w:rPr>
        <w:t>бути</w:t>
      </w:r>
      <w:r>
        <w:rPr>
          <w:color w:val="231F20"/>
          <w:spacing w:val="-10"/>
        </w:rPr>
        <w:t xml:space="preserve"> </w:t>
      </w:r>
      <w:r>
        <w:rPr>
          <w:color w:val="231F20"/>
        </w:rPr>
        <w:t>відомо,</w:t>
      </w:r>
      <w:r>
        <w:rPr>
          <w:color w:val="231F20"/>
          <w:spacing w:val="-10"/>
        </w:rPr>
        <w:t xml:space="preserve"> </w:t>
      </w:r>
      <w:r>
        <w:rPr>
          <w:color w:val="231F20"/>
        </w:rPr>
        <w:t>хто</w:t>
      </w:r>
      <w:r>
        <w:rPr>
          <w:color w:val="231F20"/>
          <w:spacing w:val="-10"/>
        </w:rPr>
        <w:t xml:space="preserve"> </w:t>
      </w:r>
      <w:r>
        <w:rPr>
          <w:color w:val="231F20"/>
        </w:rPr>
        <w:t>нею</w:t>
      </w:r>
      <w:r>
        <w:rPr>
          <w:color w:val="231F20"/>
          <w:spacing w:val="-10"/>
        </w:rPr>
        <w:t xml:space="preserve"> </w:t>
      </w:r>
      <w:r>
        <w:rPr>
          <w:color w:val="231F20"/>
        </w:rPr>
        <w:t>володіє,</w:t>
      </w:r>
      <w:r>
        <w:rPr>
          <w:color w:val="231F20"/>
          <w:spacing w:val="-10"/>
        </w:rPr>
        <w:t xml:space="preserve"> </w:t>
      </w:r>
      <w:r>
        <w:rPr>
          <w:color w:val="231F20"/>
        </w:rPr>
        <w:t>зобов’язаний</w:t>
      </w:r>
      <w:r>
        <w:rPr>
          <w:color w:val="231F20"/>
          <w:spacing w:val="-10"/>
        </w:rPr>
        <w:t xml:space="preserve"> </w:t>
      </w:r>
      <w:r>
        <w:rPr>
          <w:color w:val="231F20"/>
        </w:rPr>
        <w:t>направити</w:t>
      </w:r>
      <w:r>
        <w:rPr>
          <w:color w:val="231F20"/>
          <w:spacing w:val="-10"/>
        </w:rPr>
        <w:t xml:space="preserve"> </w:t>
      </w:r>
      <w:r>
        <w:rPr>
          <w:color w:val="231F20"/>
        </w:rPr>
        <w:t>цей</w:t>
      </w:r>
      <w:r>
        <w:rPr>
          <w:color w:val="231F20"/>
          <w:spacing w:val="-10"/>
        </w:rPr>
        <w:t xml:space="preserve"> </w:t>
      </w:r>
      <w:r>
        <w:rPr>
          <w:color w:val="231F20"/>
        </w:rPr>
        <w:t>запит належному</w:t>
      </w:r>
      <w:r>
        <w:rPr>
          <w:color w:val="231F20"/>
          <w:spacing w:val="-14"/>
        </w:rPr>
        <w:t xml:space="preserve"> </w:t>
      </w:r>
      <w:r>
        <w:rPr>
          <w:color w:val="231F20"/>
        </w:rPr>
        <w:t>розпоряднику</w:t>
      </w:r>
      <w:r>
        <w:rPr>
          <w:color w:val="231F20"/>
          <w:spacing w:val="-15"/>
        </w:rPr>
        <w:t xml:space="preserve"> </w:t>
      </w:r>
      <w:r>
        <w:rPr>
          <w:color w:val="231F20"/>
        </w:rPr>
        <w:t>з</w:t>
      </w:r>
      <w:r>
        <w:rPr>
          <w:color w:val="231F20"/>
          <w:spacing w:val="-14"/>
        </w:rPr>
        <w:t xml:space="preserve"> </w:t>
      </w:r>
      <w:r>
        <w:rPr>
          <w:color w:val="231F20"/>
        </w:rPr>
        <w:t>одночасним</w:t>
      </w:r>
      <w:r>
        <w:rPr>
          <w:color w:val="231F20"/>
          <w:spacing w:val="-15"/>
        </w:rPr>
        <w:t xml:space="preserve"> </w:t>
      </w:r>
      <w:r>
        <w:rPr>
          <w:color w:val="231F20"/>
        </w:rPr>
        <w:t>повідомленням</w:t>
      </w:r>
      <w:r>
        <w:rPr>
          <w:color w:val="231F20"/>
          <w:spacing w:val="-14"/>
        </w:rPr>
        <w:t xml:space="preserve"> </w:t>
      </w:r>
      <w:r>
        <w:rPr>
          <w:color w:val="231F20"/>
        </w:rPr>
        <w:t>про</w:t>
      </w:r>
      <w:r>
        <w:rPr>
          <w:color w:val="231F20"/>
          <w:spacing w:val="-14"/>
        </w:rPr>
        <w:t xml:space="preserve"> </w:t>
      </w:r>
      <w:r>
        <w:rPr>
          <w:color w:val="231F20"/>
        </w:rPr>
        <w:t>це</w:t>
      </w:r>
      <w:r>
        <w:rPr>
          <w:color w:val="231F20"/>
          <w:spacing w:val="-14"/>
        </w:rPr>
        <w:t xml:space="preserve"> </w:t>
      </w:r>
      <w:r>
        <w:rPr>
          <w:color w:val="231F20"/>
        </w:rPr>
        <w:t xml:space="preserve">запи- тувача. У такому разі відлік строку </w:t>
      </w:r>
      <w:r>
        <w:rPr>
          <w:color w:val="231F20"/>
          <w:spacing w:val="-3"/>
        </w:rPr>
        <w:t xml:space="preserve">розгляду </w:t>
      </w:r>
      <w:r>
        <w:rPr>
          <w:color w:val="231F20"/>
        </w:rPr>
        <w:t>запиту на інформацію починається з дня отримання запиту належним</w:t>
      </w:r>
      <w:r>
        <w:rPr>
          <w:color w:val="231F20"/>
          <w:spacing w:val="-15"/>
        </w:rPr>
        <w:t xml:space="preserve"> </w:t>
      </w:r>
      <w:r>
        <w:rPr>
          <w:color w:val="231F20"/>
        </w:rPr>
        <w:t>розпорядником.</w:t>
      </w:r>
    </w:p>
    <w:p w14:paraId="1B4FABE6" w14:textId="77777777" w:rsidR="00DE575E" w:rsidRDefault="002E7560">
      <w:pPr>
        <w:pStyle w:val="BodyText"/>
        <w:spacing w:before="3" w:line="252" w:lineRule="auto"/>
        <w:ind w:left="250" w:right="411" w:firstLine="283"/>
        <w:jc w:val="both"/>
      </w:pPr>
      <w:r>
        <w:rPr>
          <w:color w:val="231F20"/>
        </w:rPr>
        <w:t>Відмова</w:t>
      </w:r>
      <w:r>
        <w:rPr>
          <w:color w:val="231F20"/>
          <w:spacing w:val="-9"/>
        </w:rPr>
        <w:t xml:space="preserve"> </w:t>
      </w:r>
      <w:r>
        <w:rPr>
          <w:color w:val="231F20"/>
        </w:rPr>
        <w:t>в</w:t>
      </w:r>
      <w:r>
        <w:rPr>
          <w:color w:val="231F20"/>
          <w:spacing w:val="-8"/>
        </w:rPr>
        <w:t xml:space="preserve"> </w:t>
      </w:r>
      <w:r>
        <w:rPr>
          <w:color w:val="231F20"/>
        </w:rPr>
        <w:t>задоволенні</w:t>
      </w:r>
      <w:r>
        <w:rPr>
          <w:color w:val="231F20"/>
          <w:spacing w:val="-9"/>
        </w:rPr>
        <w:t xml:space="preserve"> </w:t>
      </w:r>
      <w:r>
        <w:rPr>
          <w:color w:val="231F20"/>
        </w:rPr>
        <w:t>запиту</w:t>
      </w:r>
      <w:r>
        <w:rPr>
          <w:color w:val="231F20"/>
          <w:spacing w:val="-8"/>
        </w:rPr>
        <w:t xml:space="preserve"> </w:t>
      </w:r>
      <w:r>
        <w:rPr>
          <w:color w:val="231F20"/>
        </w:rPr>
        <w:t>на</w:t>
      </w:r>
      <w:r>
        <w:rPr>
          <w:color w:val="231F20"/>
          <w:spacing w:val="-8"/>
        </w:rPr>
        <w:t xml:space="preserve"> </w:t>
      </w:r>
      <w:r>
        <w:rPr>
          <w:color w:val="231F20"/>
        </w:rPr>
        <w:t>інформацію</w:t>
      </w:r>
      <w:r>
        <w:rPr>
          <w:color w:val="231F20"/>
          <w:spacing w:val="-8"/>
        </w:rPr>
        <w:t xml:space="preserve"> </w:t>
      </w:r>
      <w:r>
        <w:rPr>
          <w:color w:val="231F20"/>
        </w:rPr>
        <w:t>надається</w:t>
      </w:r>
      <w:r>
        <w:rPr>
          <w:color w:val="231F20"/>
          <w:spacing w:val="-8"/>
        </w:rPr>
        <w:t xml:space="preserve"> </w:t>
      </w:r>
      <w:r>
        <w:rPr>
          <w:color w:val="231F20"/>
        </w:rPr>
        <w:t>в</w:t>
      </w:r>
      <w:r>
        <w:rPr>
          <w:color w:val="231F20"/>
          <w:spacing w:val="-9"/>
        </w:rPr>
        <w:t xml:space="preserve"> </w:t>
      </w:r>
      <w:r>
        <w:rPr>
          <w:color w:val="231F20"/>
        </w:rPr>
        <w:t>письмо- вій</w:t>
      </w:r>
      <w:r>
        <w:rPr>
          <w:color w:val="231F20"/>
          <w:spacing w:val="-2"/>
        </w:rPr>
        <w:t xml:space="preserve"> </w:t>
      </w:r>
      <w:r>
        <w:rPr>
          <w:color w:val="231F20"/>
        </w:rPr>
        <w:t>формі.</w:t>
      </w:r>
    </w:p>
    <w:p w14:paraId="5A82538C" w14:textId="77777777" w:rsidR="00DE575E" w:rsidRDefault="002E7560">
      <w:pPr>
        <w:pStyle w:val="BodyText"/>
        <w:spacing w:before="1" w:line="252" w:lineRule="auto"/>
        <w:ind w:left="250" w:right="411" w:firstLine="283"/>
        <w:jc w:val="both"/>
      </w:pPr>
      <w:r>
        <w:rPr>
          <w:color w:val="231F20"/>
        </w:rPr>
        <w:t>За наявності ознак протиправності рішення, дії чи бездіяльність розпорядників інформації можуть бути о</w:t>
      </w:r>
      <w:r>
        <w:rPr>
          <w:color w:val="231F20"/>
        </w:rPr>
        <w:t>скаржені до керівника розпорядника, вищого органу або суду.</w:t>
      </w:r>
    </w:p>
    <w:p w14:paraId="54CC0D28" w14:textId="77777777" w:rsidR="00DE575E" w:rsidRDefault="00DE575E">
      <w:pPr>
        <w:pStyle w:val="BodyText"/>
        <w:spacing w:before="2"/>
        <w:rPr>
          <w:sz w:val="22"/>
        </w:rPr>
      </w:pPr>
    </w:p>
    <w:p w14:paraId="33219591" w14:textId="77777777" w:rsidR="00DE575E" w:rsidRDefault="002E7560">
      <w:pPr>
        <w:pStyle w:val="Heading6"/>
        <w:numPr>
          <w:ilvl w:val="3"/>
          <w:numId w:val="239"/>
        </w:numPr>
        <w:tabs>
          <w:tab w:val="left" w:pos="1252"/>
        </w:tabs>
        <w:spacing w:before="0"/>
      </w:pPr>
      <w:r>
        <w:rPr>
          <w:color w:val="231F20"/>
        </w:rPr>
        <w:t>Право на свободу мирних</w:t>
      </w:r>
      <w:r>
        <w:rPr>
          <w:color w:val="231F20"/>
          <w:spacing w:val="-5"/>
        </w:rPr>
        <w:t xml:space="preserve"> </w:t>
      </w:r>
      <w:r>
        <w:rPr>
          <w:color w:val="231F20"/>
        </w:rPr>
        <w:t>зібрань</w:t>
      </w:r>
    </w:p>
    <w:p w14:paraId="2A73B3F1" w14:textId="77777777" w:rsidR="00DE575E" w:rsidRDefault="002E7560">
      <w:pPr>
        <w:pStyle w:val="BodyText"/>
        <w:spacing w:before="13" w:line="252" w:lineRule="auto"/>
        <w:ind w:left="250" w:right="411" w:firstLine="283"/>
        <w:jc w:val="both"/>
      </w:pPr>
      <w:r>
        <w:rPr>
          <w:color w:val="231F20"/>
        </w:rPr>
        <w:t xml:space="preserve">Положення </w:t>
      </w:r>
      <w:r>
        <w:rPr>
          <w:color w:val="231F20"/>
          <w:spacing w:val="-6"/>
        </w:rPr>
        <w:t xml:space="preserve">ст. </w:t>
      </w:r>
      <w:r>
        <w:rPr>
          <w:color w:val="231F20"/>
        </w:rPr>
        <w:t xml:space="preserve">39 Конституції </w:t>
      </w:r>
      <w:r>
        <w:rPr>
          <w:color w:val="231F20"/>
          <w:spacing w:val="-3"/>
        </w:rPr>
        <w:t xml:space="preserve">України </w:t>
      </w:r>
      <w:r>
        <w:rPr>
          <w:color w:val="231F20"/>
        </w:rPr>
        <w:t xml:space="preserve">відповідають змісту Конвенції про захист прав людини і основоположних свобод. </w:t>
      </w:r>
      <w:r>
        <w:rPr>
          <w:color w:val="231F20"/>
          <w:spacing w:val="-3"/>
        </w:rPr>
        <w:t xml:space="preserve">Кожен </w:t>
      </w:r>
      <w:r>
        <w:rPr>
          <w:color w:val="231F20"/>
        </w:rPr>
        <w:t xml:space="preserve">має право на свободу мирних зібрань і свободу </w:t>
      </w:r>
      <w:r>
        <w:rPr>
          <w:color w:val="231F20"/>
          <w:spacing w:val="-3"/>
        </w:rPr>
        <w:t xml:space="preserve">об’єднання </w:t>
      </w:r>
      <w:r>
        <w:rPr>
          <w:color w:val="231F20"/>
        </w:rPr>
        <w:t>з іншими особами, включаючи право створювати профспілки  та  вступати  до них для захисту своїх інтересів. Здійснення цих прав не підля- гає жодним обмеженням, за винятком тих, що встановлені зако- н</w:t>
      </w:r>
      <w:r>
        <w:rPr>
          <w:color w:val="231F20"/>
        </w:rPr>
        <w:t>ом і є необхідними в демократичному суспільстві в інтересах наці- ональної або громадської безпеки, для запобігання заворушенням чи злочинам, для охорони здоров’я чи моралі або для захисту прав   і свобод інших</w:t>
      </w:r>
      <w:r>
        <w:rPr>
          <w:color w:val="231F20"/>
          <w:spacing w:val="-3"/>
        </w:rPr>
        <w:t xml:space="preserve"> </w:t>
      </w:r>
      <w:r>
        <w:rPr>
          <w:color w:val="231F20"/>
        </w:rPr>
        <w:t>осіб.</w:t>
      </w:r>
    </w:p>
    <w:p w14:paraId="33CAFD58" w14:textId="77777777" w:rsidR="00DE575E" w:rsidRDefault="002E7560">
      <w:pPr>
        <w:pStyle w:val="BodyText"/>
        <w:spacing w:before="5" w:line="252" w:lineRule="auto"/>
        <w:ind w:left="250" w:right="411" w:firstLine="283"/>
        <w:jc w:val="both"/>
      </w:pPr>
      <w:r>
        <w:rPr>
          <w:color w:val="231F20"/>
        </w:rPr>
        <w:t xml:space="preserve">Громадяни мають право збиратися мирно, </w:t>
      </w:r>
      <w:r>
        <w:rPr>
          <w:color w:val="231F20"/>
        </w:rPr>
        <w:t>без зброї і прово- дити</w:t>
      </w:r>
      <w:r>
        <w:rPr>
          <w:color w:val="231F20"/>
          <w:spacing w:val="15"/>
        </w:rPr>
        <w:t xml:space="preserve"> </w:t>
      </w:r>
      <w:r>
        <w:rPr>
          <w:color w:val="231F20"/>
        </w:rPr>
        <w:t>збори,</w:t>
      </w:r>
      <w:r>
        <w:rPr>
          <w:color w:val="231F20"/>
          <w:spacing w:val="15"/>
        </w:rPr>
        <w:t xml:space="preserve"> </w:t>
      </w:r>
      <w:r>
        <w:rPr>
          <w:color w:val="231F20"/>
        </w:rPr>
        <w:t>мітинги,</w:t>
      </w:r>
      <w:r>
        <w:rPr>
          <w:color w:val="231F20"/>
          <w:spacing w:val="15"/>
        </w:rPr>
        <w:t xml:space="preserve"> </w:t>
      </w:r>
      <w:r>
        <w:rPr>
          <w:color w:val="231F20"/>
          <w:spacing w:val="-3"/>
        </w:rPr>
        <w:t>походи</w:t>
      </w:r>
      <w:r>
        <w:rPr>
          <w:color w:val="231F20"/>
          <w:spacing w:val="15"/>
        </w:rPr>
        <w:t xml:space="preserve"> </w:t>
      </w:r>
      <w:r>
        <w:rPr>
          <w:color w:val="231F20"/>
        </w:rPr>
        <w:t>та</w:t>
      </w:r>
      <w:r>
        <w:rPr>
          <w:color w:val="231F20"/>
          <w:spacing w:val="15"/>
        </w:rPr>
        <w:t xml:space="preserve"> </w:t>
      </w:r>
      <w:r>
        <w:rPr>
          <w:color w:val="231F20"/>
        </w:rPr>
        <w:t>демонстрації,</w:t>
      </w:r>
      <w:r>
        <w:rPr>
          <w:color w:val="231F20"/>
          <w:spacing w:val="13"/>
        </w:rPr>
        <w:t xml:space="preserve"> </w:t>
      </w:r>
      <w:r>
        <w:rPr>
          <w:color w:val="231F20"/>
        </w:rPr>
        <w:t>про</w:t>
      </w:r>
      <w:r>
        <w:rPr>
          <w:color w:val="231F20"/>
          <w:spacing w:val="15"/>
        </w:rPr>
        <w:t xml:space="preserve"> </w:t>
      </w:r>
      <w:r>
        <w:rPr>
          <w:color w:val="231F20"/>
        </w:rPr>
        <w:t>проведення</w:t>
      </w:r>
      <w:r>
        <w:rPr>
          <w:color w:val="231F20"/>
          <w:spacing w:val="13"/>
        </w:rPr>
        <w:t xml:space="preserve"> </w:t>
      </w:r>
      <w:r>
        <w:rPr>
          <w:color w:val="231F20"/>
        </w:rPr>
        <w:t>яких</w:t>
      </w:r>
    </w:p>
    <w:p w14:paraId="0D65D5D0" w14:textId="77777777" w:rsidR="00DE575E" w:rsidRDefault="00DE575E">
      <w:pPr>
        <w:pStyle w:val="BodyText"/>
        <w:spacing w:before="5"/>
        <w:rPr>
          <w:sz w:val="12"/>
        </w:rPr>
      </w:pPr>
    </w:p>
    <w:p w14:paraId="16C852EC" w14:textId="77777777" w:rsidR="00DE575E" w:rsidRDefault="002E7560">
      <w:pPr>
        <w:spacing w:before="92"/>
        <w:ind w:right="411"/>
        <w:jc w:val="right"/>
        <w:rPr>
          <w:rFonts w:ascii="Times New Roman"/>
          <w:sz w:val="20"/>
        </w:rPr>
      </w:pPr>
      <w:r>
        <w:rPr>
          <w:rFonts w:ascii="Times New Roman"/>
          <w:color w:val="231F20"/>
          <w:w w:val="90"/>
          <w:sz w:val="20"/>
        </w:rPr>
        <w:t>169</w:t>
      </w:r>
    </w:p>
    <w:p w14:paraId="1E21F0B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71C732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97B3EE5" w14:textId="1279B2B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FED8ACB" wp14:editId="57D7F25D">
                <wp:extent cx="4140200" cy="6350"/>
                <wp:effectExtent l="0" t="0" r="12700" b="6350"/>
                <wp:docPr id="992"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93" name="Line 99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B6FDC" id="Group_x0020_99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flCGMfQIAAJgFAAAOAAAA&#10;AAAAAAAAAAAAACwCAABkcnMvZTJvRG9jLnhtbFBLAQItABQABgAIAAAAIQBMp7CQ2QAAAAMBAAAP&#10;AAAAAAAAAAAAAAAAANUEAABkcnMvZG93bnJldi54bWxQSwUGAAAAAAQABADzAAAA2wUAAAAA&#10;">
                <v:line id="Line_x0020_99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IbtsYAAADcAAAADwAAAGRycy9kb3ducmV2LnhtbESP3WrCQBSE7wt9h+UUvCl1YwOiqauI&#10;IBQv/IsPcMyeJqG7Z2N2NWmf3hUKvRxm5htmtuitETdqfe1YwWiYgCAunK65VHDK128TED4gazSO&#10;ScEPeVjMn59mmGnX8YFux1CKCGGfoYIqhCaT0hcVWfRD1xBH78u1FkOUbSl1i12EWyPfk2QsLdYc&#10;FypsaFVR8X28WgX55TWY/W5junx3TuX5sk1/r1ulBi/98gNEoD78h//an1rBdJrC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lCG7bGAAAA3AAAAA8AAAAAAAAA&#10;AAAAAAAAoQIAAGRycy9kb3ducmV2LnhtbFBLBQYAAAAABAAEAPkAAACUAwAAAAA=&#10;" strokecolor="#231f20" strokeweight=".5pt"/>
                <w10:anchorlock/>
              </v:group>
            </w:pict>
          </mc:Fallback>
        </mc:AlternateContent>
      </w:r>
    </w:p>
    <w:p w14:paraId="48289DD9" w14:textId="77777777" w:rsidR="00DE575E" w:rsidRDefault="00DE575E">
      <w:pPr>
        <w:pStyle w:val="BodyText"/>
        <w:spacing w:before="7"/>
        <w:rPr>
          <w:rFonts w:ascii="AdonisC"/>
          <w:i/>
          <w:sz w:val="11"/>
        </w:rPr>
      </w:pPr>
    </w:p>
    <w:p w14:paraId="593C72AF" w14:textId="77777777" w:rsidR="00DE575E" w:rsidRDefault="002E7560">
      <w:pPr>
        <w:pStyle w:val="BodyText"/>
        <w:spacing w:before="101" w:line="252" w:lineRule="auto"/>
        <w:ind w:left="533" w:right="128"/>
        <w:jc w:val="both"/>
      </w:pPr>
      <w:r>
        <w:rPr>
          <w:color w:val="231F20"/>
        </w:rPr>
        <w:t>завчасно сповіщаються органи виконавчої влади чи органи місце- вого самоврядування.</w:t>
      </w:r>
    </w:p>
    <w:p w14:paraId="7F089024" w14:textId="77777777" w:rsidR="00DE575E" w:rsidRDefault="002E7560">
      <w:pPr>
        <w:pStyle w:val="BodyText"/>
        <w:spacing w:before="1" w:line="252" w:lineRule="auto"/>
        <w:ind w:left="533" w:right="127" w:firstLine="283"/>
        <w:jc w:val="both"/>
      </w:pPr>
      <w:r>
        <w:rPr>
          <w:color w:val="231F20"/>
        </w:rPr>
        <w:t xml:space="preserve">Обмеження щодо реалізації цього права може встановлюватися </w:t>
      </w:r>
      <w:r>
        <w:rPr>
          <w:color w:val="231F20"/>
          <w:spacing w:val="-3"/>
        </w:rPr>
        <w:t xml:space="preserve">судом </w:t>
      </w:r>
      <w:r>
        <w:rPr>
          <w:color w:val="231F20"/>
        </w:rPr>
        <w:t>відповідно до закону і лише в інтересах національної безпеки та громад</w:t>
      </w:r>
      <w:r>
        <w:rPr>
          <w:color w:val="231F20"/>
        </w:rPr>
        <w:t>ського порядку – з метою запобігання заворушенням чи злочинам,</w:t>
      </w:r>
      <w:r>
        <w:rPr>
          <w:color w:val="231F20"/>
          <w:spacing w:val="-9"/>
        </w:rPr>
        <w:t xml:space="preserve"> </w:t>
      </w:r>
      <w:r>
        <w:rPr>
          <w:color w:val="231F20"/>
        </w:rPr>
        <w:t>для</w:t>
      </w:r>
      <w:r>
        <w:rPr>
          <w:color w:val="231F20"/>
          <w:spacing w:val="-9"/>
        </w:rPr>
        <w:t xml:space="preserve"> </w:t>
      </w:r>
      <w:r>
        <w:rPr>
          <w:color w:val="231F20"/>
        </w:rPr>
        <w:t>охорони</w:t>
      </w:r>
      <w:r>
        <w:rPr>
          <w:color w:val="231F20"/>
          <w:spacing w:val="-9"/>
        </w:rPr>
        <w:t xml:space="preserve"> </w:t>
      </w:r>
      <w:r>
        <w:rPr>
          <w:color w:val="231F20"/>
        </w:rPr>
        <w:t>здоров’я</w:t>
      </w:r>
      <w:r>
        <w:rPr>
          <w:color w:val="231F20"/>
          <w:spacing w:val="-9"/>
        </w:rPr>
        <w:t xml:space="preserve"> </w:t>
      </w:r>
      <w:r>
        <w:rPr>
          <w:color w:val="231F20"/>
        </w:rPr>
        <w:t>населення</w:t>
      </w:r>
      <w:r>
        <w:rPr>
          <w:color w:val="231F20"/>
          <w:spacing w:val="-9"/>
        </w:rPr>
        <w:t xml:space="preserve"> </w:t>
      </w:r>
      <w:r>
        <w:rPr>
          <w:color w:val="231F20"/>
        </w:rPr>
        <w:t>або</w:t>
      </w:r>
      <w:r>
        <w:rPr>
          <w:color w:val="231F20"/>
          <w:spacing w:val="-9"/>
        </w:rPr>
        <w:t xml:space="preserve"> </w:t>
      </w:r>
      <w:r>
        <w:rPr>
          <w:color w:val="231F20"/>
        </w:rPr>
        <w:t>захисту</w:t>
      </w:r>
      <w:r>
        <w:rPr>
          <w:color w:val="231F20"/>
          <w:spacing w:val="-9"/>
        </w:rPr>
        <w:t xml:space="preserve"> </w:t>
      </w:r>
      <w:r>
        <w:rPr>
          <w:color w:val="231F20"/>
        </w:rPr>
        <w:t>прав</w:t>
      </w:r>
      <w:r>
        <w:rPr>
          <w:color w:val="231F20"/>
          <w:spacing w:val="-9"/>
        </w:rPr>
        <w:t xml:space="preserve"> </w:t>
      </w:r>
      <w:r>
        <w:rPr>
          <w:color w:val="231F20"/>
        </w:rPr>
        <w:t>і</w:t>
      </w:r>
      <w:r>
        <w:rPr>
          <w:color w:val="231F20"/>
          <w:spacing w:val="-9"/>
        </w:rPr>
        <w:t xml:space="preserve"> </w:t>
      </w:r>
      <w:r>
        <w:rPr>
          <w:color w:val="231F20"/>
        </w:rPr>
        <w:t>свобод інших</w:t>
      </w:r>
      <w:r>
        <w:rPr>
          <w:color w:val="231F20"/>
          <w:spacing w:val="-1"/>
        </w:rPr>
        <w:t xml:space="preserve"> </w:t>
      </w:r>
      <w:r>
        <w:rPr>
          <w:color w:val="231F20"/>
        </w:rPr>
        <w:t>людей.</w:t>
      </w:r>
    </w:p>
    <w:p w14:paraId="068EBCDA" w14:textId="77777777" w:rsidR="00DE575E" w:rsidRDefault="002E7560">
      <w:pPr>
        <w:pStyle w:val="BodyText"/>
        <w:spacing w:before="2" w:line="252" w:lineRule="auto"/>
        <w:ind w:left="533" w:right="128" w:firstLine="283"/>
        <w:jc w:val="both"/>
      </w:pPr>
      <w:r>
        <w:rPr>
          <w:i/>
          <w:color w:val="231F20"/>
        </w:rPr>
        <w:t xml:space="preserve">Право на свободу мирних зібрань </w:t>
      </w:r>
      <w:r>
        <w:rPr>
          <w:color w:val="231F20"/>
        </w:rPr>
        <w:t>є одним з основоположних прав людини, оскільки з його допомогою людина реалізує суміжні права, зокрема</w:t>
      </w:r>
      <w:r>
        <w:rPr>
          <w:color w:val="231F20"/>
          <w:spacing w:val="-11"/>
        </w:rPr>
        <w:t xml:space="preserve"> </w:t>
      </w:r>
      <w:r>
        <w:rPr>
          <w:color w:val="231F20"/>
        </w:rPr>
        <w:t>право</w:t>
      </w:r>
      <w:r>
        <w:rPr>
          <w:color w:val="231F20"/>
          <w:spacing w:val="-11"/>
        </w:rPr>
        <w:t xml:space="preserve"> </w:t>
      </w:r>
      <w:r>
        <w:rPr>
          <w:color w:val="231F20"/>
        </w:rPr>
        <w:t>на</w:t>
      </w:r>
      <w:r>
        <w:rPr>
          <w:color w:val="231F20"/>
          <w:spacing w:val="-11"/>
        </w:rPr>
        <w:t xml:space="preserve"> </w:t>
      </w:r>
      <w:r>
        <w:rPr>
          <w:color w:val="231F20"/>
        </w:rPr>
        <w:t>свободу</w:t>
      </w:r>
      <w:r>
        <w:rPr>
          <w:color w:val="231F20"/>
          <w:spacing w:val="-11"/>
        </w:rPr>
        <w:t xml:space="preserve"> </w:t>
      </w:r>
      <w:r>
        <w:rPr>
          <w:color w:val="231F20"/>
        </w:rPr>
        <w:t>слова</w:t>
      </w:r>
      <w:r>
        <w:rPr>
          <w:color w:val="231F20"/>
          <w:spacing w:val="-11"/>
        </w:rPr>
        <w:t xml:space="preserve"> </w:t>
      </w:r>
      <w:r>
        <w:rPr>
          <w:color w:val="231F20"/>
        </w:rPr>
        <w:t>та</w:t>
      </w:r>
      <w:r>
        <w:rPr>
          <w:color w:val="231F20"/>
          <w:spacing w:val="-11"/>
        </w:rPr>
        <w:t xml:space="preserve"> </w:t>
      </w:r>
      <w:r>
        <w:rPr>
          <w:color w:val="231F20"/>
        </w:rPr>
        <w:t>думки,</w:t>
      </w:r>
      <w:r>
        <w:rPr>
          <w:color w:val="231F20"/>
          <w:spacing w:val="-11"/>
        </w:rPr>
        <w:t xml:space="preserve"> </w:t>
      </w:r>
      <w:r>
        <w:rPr>
          <w:color w:val="231F20"/>
        </w:rPr>
        <w:t>право</w:t>
      </w:r>
      <w:r>
        <w:rPr>
          <w:color w:val="231F20"/>
          <w:spacing w:val="-11"/>
        </w:rPr>
        <w:t xml:space="preserve"> </w:t>
      </w:r>
      <w:r>
        <w:rPr>
          <w:color w:val="231F20"/>
        </w:rPr>
        <w:t>на</w:t>
      </w:r>
      <w:r>
        <w:rPr>
          <w:color w:val="231F20"/>
          <w:spacing w:val="-11"/>
        </w:rPr>
        <w:t xml:space="preserve"> </w:t>
      </w:r>
      <w:r>
        <w:rPr>
          <w:color w:val="231F20"/>
        </w:rPr>
        <w:t>вільне</w:t>
      </w:r>
      <w:r>
        <w:rPr>
          <w:color w:val="231F20"/>
          <w:spacing w:val="-11"/>
        </w:rPr>
        <w:t xml:space="preserve"> </w:t>
      </w:r>
      <w:r>
        <w:rPr>
          <w:color w:val="231F20"/>
        </w:rPr>
        <w:t>висловлю- вання своїх поглядів, право на свободу світогляду і віросповідання, право на використання і по</w:t>
      </w:r>
      <w:r>
        <w:rPr>
          <w:color w:val="231F20"/>
        </w:rPr>
        <w:t>ширення інформації</w:t>
      </w:r>
      <w:r>
        <w:rPr>
          <w:color w:val="231F20"/>
          <w:spacing w:val="-4"/>
        </w:rPr>
        <w:t xml:space="preserve"> </w:t>
      </w:r>
      <w:r>
        <w:rPr>
          <w:color w:val="231F20"/>
        </w:rPr>
        <w:t>тощо.</w:t>
      </w:r>
    </w:p>
    <w:p w14:paraId="2CEFAFC5" w14:textId="77777777" w:rsidR="00DE575E" w:rsidRDefault="002E7560">
      <w:pPr>
        <w:pStyle w:val="BodyText"/>
        <w:spacing w:before="3" w:line="252" w:lineRule="auto"/>
        <w:ind w:left="533" w:right="126" w:firstLine="283"/>
        <w:jc w:val="both"/>
      </w:pPr>
      <w:r>
        <w:rPr>
          <w:i/>
          <w:color w:val="231F20"/>
        </w:rPr>
        <w:t xml:space="preserve">Поняття «мирне зібрання» </w:t>
      </w:r>
      <w:r>
        <w:rPr>
          <w:color w:val="231F20"/>
        </w:rPr>
        <w:t xml:space="preserve">охоплює </w:t>
      </w:r>
      <w:r>
        <w:rPr>
          <w:color w:val="231F20"/>
          <w:spacing w:val="-3"/>
        </w:rPr>
        <w:t xml:space="preserve">будь-які </w:t>
      </w:r>
      <w:r>
        <w:rPr>
          <w:color w:val="231F20"/>
        </w:rPr>
        <w:t xml:space="preserve">публічні заходи, що проводяться в публічному місці мирно, без зброї, у формі зборів, </w:t>
      </w:r>
      <w:r>
        <w:rPr>
          <w:color w:val="231F20"/>
          <w:spacing w:val="-3"/>
        </w:rPr>
        <w:t xml:space="preserve">мітингу, </w:t>
      </w:r>
      <w:r>
        <w:rPr>
          <w:color w:val="231F20"/>
        </w:rPr>
        <w:t xml:space="preserve">демонстрації, пікетування, </w:t>
      </w:r>
      <w:r>
        <w:rPr>
          <w:color w:val="231F20"/>
          <w:spacing w:val="-3"/>
        </w:rPr>
        <w:t xml:space="preserve">походу </w:t>
      </w:r>
      <w:r>
        <w:rPr>
          <w:color w:val="231F20"/>
        </w:rPr>
        <w:t>або в будь-якому поєд- нанні цих форм чи інших не заборонених</w:t>
      </w:r>
      <w:r>
        <w:rPr>
          <w:color w:val="231F20"/>
        </w:rPr>
        <w:t xml:space="preserve"> законом формах для вира- ження особистої, громадянської або політичної позиції з </w:t>
      </w:r>
      <w:r>
        <w:rPr>
          <w:color w:val="231F20"/>
          <w:spacing w:val="-4"/>
        </w:rPr>
        <w:t xml:space="preserve">будь </w:t>
      </w:r>
      <w:r>
        <w:rPr>
          <w:color w:val="231F20"/>
        </w:rPr>
        <w:t>яких питань. Зібрання вважається мирним, якщо його організатори мають мирні наміри. Поняття «мирні» включає також поведінку,</w:t>
      </w:r>
      <w:r>
        <w:rPr>
          <w:color w:val="231F20"/>
          <w:spacing w:val="-27"/>
        </w:rPr>
        <w:t xml:space="preserve"> </w:t>
      </w:r>
      <w:r>
        <w:rPr>
          <w:color w:val="231F20"/>
        </w:rPr>
        <w:t>що ображає</w:t>
      </w:r>
      <w:r>
        <w:rPr>
          <w:color w:val="231F20"/>
          <w:spacing w:val="-6"/>
        </w:rPr>
        <w:t xml:space="preserve"> </w:t>
      </w:r>
      <w:r>
        <w:rPr>
          <w:color w:val="231F20"/>
        </w:rPr>
        <w:t>чи</w:t>
      </w:r>
      <w:r>
        <w:rPr>
          <w:color w:val="231F20"/>
          <w:spacing w:val="-6"/>
        </w:rPr>
        <w:t xml:space="preserve"> </w:t>
      </w:r>
      <w:r>
        <w:rPr>
          <w:color w:val="231F20"/>
        </w:rPr>
        <w:t>дратує</w:t>
      </w:r>
      <w:r>
        <w:rPr>
          <w:color w:val="231F20"/>
          <w:spacing w:val="-6"/>
        </w:rPr>
        <w:t xml:space="preserve"> </w:t>
      </w:r>
      <w:r>
        <w:rPr>
          <w:color w:val="231F20"/>
        </w:rPr>
        <w:t>осіб,</w:t>
      </w:r>
      <w:r>
        <w:rPr>
          <w:color w:val="231F20"/>
          <w:spacing w:val="-6"/>
        </w:rPr>
        <w:t xml:space="preserve"> </w:t>
      </w:r>
      <w:r>
        <w:rPr>
          <w:color w:val="231F20"/>
        </w:rPr>
        <w:t>які</w:t>
      </w:r>
      <w:r>
        <w:rPr>
          <w:color w:val="231F20"/>
          <w:spacing w:val="-6"/>
        </w:rPr>
        <w:t xml:space="preserve"> </w:t>
      </w:r>
      <w:r>
        <w:rPr>
          <w:color w:val="231F20"/>
        </w:rPr>
        <w:t>не</w:t>
      </w:r>
      <w:r>
        <w:rPr>
          <w:color w:val="231F20"/>
          <w:spacing w:val="-6"/>
        </w:rPr>
        <w:t xml:space="preserve"> </w:t>
      </w:r>
      <w:r>
        <w:rPr>
          <w:color w:val="231F20"/>
        </w:rPr>
        <w:t>згодні</w:t>
      </w:r>
      <w:r>
        <w:rPr>
          <w:color w:val="231F20"/>
          <w:spacing w:val="-6"/>
        </w:rPr>
        <w:t xml:space="preserve"> </w:t>
      </w:r>
      <w:r>
        <w:rPr>
          <w:color w:val="231F20"/>
        </w:rPr>
        <w:t>з</w:t>
      </w:r>
      <w:r>
        <w:rPr>
          <w:color w:val="231F20"/>
          <w:spacing w:val="-6"/>
        </w:rPr>
        <w:t xml:space="preserve"> </w:t>
      </w:r>
      <w:r>
        <w:rPr>
          <w:color w:val="231F20"/>
        </w:rPr>
        <w:t>і</w:t>
      </w:r>
      <w:r>
        <w:rPr>
          <w:color w:val="231F20"/>
        </w:rPr>
        <w:t>деями</w:t>
      </w:r>
      <w:r>
        <w:rPr>
          <w:color w:val="231F20"/>
          <w:spacing w:val="-6"/>
        </w:rPr>
        <w:t xml:space="preserve"> </w:t>
      </w:r>
      <w:r>
        <w:rPr>
          <w:color w:val="231F20"/>
        </w:rPr>
        <w:t>чи</w:t>
      </w:r>
      <w:r>
        <w:rPr>
          <w:color w:val="231F20"/>
          <w:spacing w:val="-6"/>
        </w:rPr>
        <w:t xml:space="preserve"> </w:t>
      </w:r>
      <w:r>
        <w:rPr>
          <w:color w:val="231F20"/>
        </w:rPr>
        <w:t>заявами,</w:t>
      </w:r>
      <w:r>
        <w:rPr>
          <w:color w:val="231F20"/>
          <w:spacing w:val="-6"/>
        </w:rPr>
        <w:t xml:space="preserve"> </w:t>
      </w:r>
      <w:r>
        <w:rPr>
          <w:color w:val="231F20"/>
        </w:rPr>
        <w:t>що</w:t>
      </w:r>
      <w:r>
        <w:rPr>
          <w:color w:val="231F20"/>
          <w:spacing w:val="-6"/>
        </w:rPr>
        <w:t xml:space="preserve"> </w:t>
      </w:r>
      <w:r>
        <w:rPr>
          <w:color w:val="231F20"/>
        </w:rPr>
        <w:t>підтри- муються зібранням, або навіть поведінку, спрямовану на свідоме створення перешкод для третіх</w:t>
      </w:r>
      <w:r>
        <w:rPr>
          <w:color w:val="231F20"/>
          <w:spacing w:val="-5"/>
        </w:rPr>
        <w:t xml:space="preserve"> </w:t>
      </w:r>
      <w:r>
        <w:rPr>
          <w:color w:val="231F20"/>
        </w:rPr>
        <w:t>осіб.</w:t>
      </w:r>
    </w:p>
    <w:p w14:paraId="0236D15E" w14:textId="77777777" w:rsidR="00DE575E" w:rsidRDefault="002E7560">
      <w:pPr>
        <w:pStyle w:val="BodyText"/>
        <w:spacing w:before="5" w:line="252" w:lineRule="auto"/>
        <w:ind w:left="533" w:right="128" w:firstLine="283"/>
        <w:jc w:val="both"/>
      </w:pPr>
      <w:r>
        <w:rPr>
          <w:color w:val="231F20"/>
        </w:rPr>
        <w:t>Право на  свободу  мирних  зібрань  може  бути  обмежене  лише в ситуаціях, регламентованих законодавством, і за рішенням</w:t>
      </w:r>
      <w:r>
        <w:rPr>
          <w:color w:val="231F20"/>
          <w:spacing w:val="-33"/>
        </w:rPr>
        <w:t xml:space="preserve"> </w:t>
      </w:r>
      <w:r>
        <w:rPr>
          <w:color w:val="231F20"/>
          <w:spacing w:val="-3"/>
        </w:rPr>
        <w:t>суду</w:t>
      </w:r>
      <w:r>
        <w:rPr>
          <w:color w:val="231F20"/>
          <w:spacing w:val="-3"/>
          <w:position w:val="7"/>
          <w:sz w:val="12"/>
        </w:rPr>
        <w:t>1</w:t>
      </w:r>
      <w:r>
        <w:rPr>
          <w:color w:val="231F20"/>
          <w:spacing w:val="-3"/>
        </w:rPr>
        <w:t>.</w:t>
      </w:r>
    </w:p>
    <w:p w14:paraId="0C0AAA7D" w14:textId="77777777" w:rsidR="00DE575E" w:rsidRDefault="002E7560">
      <w:pPr>
        <w:pStyle w:val="BodyText"/>
        <w:spacing w:line="252" w:lineRule="auto"/>
        <w:ind w:left="533" w:right="126" w:firstLine="283"/>
        <w:jc w:val="both"/>
      </w:pPr>
      <w:r>
        <w:rPr>
          <w:color w:val="231F20"/>
        </w:rPr>
        <w:t>Обмеження реалізації права на свободу мирного зібрання має одночасно відповідати таким вимогам: затверджується законом; ухвалюється в інтересах національної та громадської безпеки, для запобігання заворушенням чи злочинам, для охорони здоров’я чи моралі</w:t>
      </w:r>
      <w:r>
        <w:rPr>
          <w:color w:val="231F20"/>
          <w:spacing w:val="-13"/>
        </w:rPr>
        <w:t xml:space="preserve"> </w:t>
      </w:r>
      <w:r>
        <w:rPr>
          <w:color w:val="231F20"/>
        </w:rPr>
        <w:t>а</w:t>
      </w:r>
      <w:r>
        <w:rPr>
          <w:color w:val="231F20"/>
        </w:rPr>
        <w:t>бо</w:t>
      </w:r>
      <w:r>
        <w:rPr>
          <w:color w:val="231F20"/>
          <w:spacing w:val="-13"/>
        </w:rPr>
        <w:t xml:space="preserve"> </w:t>
      </w:r>
      <w:r>
        <w:rPr>
          <w:color w:val="231F20"/>
        </w:rPr>
        <w:t>для</w:t>
      </w:r>
      <w:r>
        <w:rPr>
          <w:color w:val="231F20"/>
          <w:spacing w:val="-13"/>
        </w:rPr>
        <w:t xml:space="preserve"> </w:t>
      </w:r>
      <w:r>
        <w:rPr>
          <w:color w:val="231F20"/>
        </w:rPr>
        <w:t>захисту</w:t>
      </w:r>
      <w:r>
        <w:rPr>
          <w:color w:val="231F20"/>
          <w:spacing w:val="-13"/>
        </w:rPr>
        <w:t xml:space="preserve"> </w:t>
      </w:r>
      <w:r>
        <w:rPr>
          <w:color w:val="231F20"/>
        </w:rPr>
        <w:t>прав</w:t>
      </w:r>
      <w:r>
        <w:rPr>
          <w:color w:val="231F20"/>
          <w:spacing w:val="-13"/>
        </w:rPr>
        <w:t xml:space="preserve"> </w:t>
      </w:r>
      <w:r>
        <w:rPr>
          <w:color w:val="231F20"/>
        </w:rPr>
        <w:t>і</w:t>
      </w:r>
      <w:r>
        <w:rPr>
          <w:color w:val="231F20"/>
          <w:spacing w:val="-12"/>
        </w:rPr>
        <w:t xml:space="preserve"> </w:t>
      </w:r>
      <w:r>
        <w:rPr>
          <w:color w:val="231F20"/>
        </w:rPr>
        <w:t>свобод</w:t>
      </w:r>
      <w:r>
        <w:rPr>
          <w:color w:val="231F20"/>
          <w:spacing w:val="-13"/>
        </w:rPr>
        <w:t xml:space="preserve"> </w:t>
      </w:r>
      <w:r>
        <w:rPr>
          <w:color w:val="231F20"/>
        </w:rPr>
        <w:t>інших</w:t>
      </w:r>
      <w:r>
        <w:rPr>
          <w:color w:val="231F20"/>
          <w:spacing w:val="-13"/>
        </w:rPr>
        <w:t xml:space="preserve"> </w:t>
      </w:r>
      <w:r>
        <w:rPr>
          <w:color w:val="231F20"/>
        </w:rPr>
        <w:t>осіб;</w:t>
      </w:r>
      <w:r>
        <w:rPr>
          <w:color w:val="231F20"/>
          <w:spacing w:val="-13"/>
        </w:rPr>
        <w:t xml:space="preserve"> </w:t>
      </w:r>
      <w:r>
        <w:rPr>
          <w:color w:val="231F20"/>
        </w:rPr>
        <w:t>є</w:t>
      </w:r>
      <w:r>
        <w:rPr>
          <w:color w:val="231F20"/>
          <w:spacing w:val="-13"/>
        </w:rPr>
        <w:t xml:space="preserve"> </w:t>
      </w:r>
      <w:r>
        <w:rPr>
          <w:color w:val="231F20"/>
        </w:rPr>
        <w:t>необхідним</w:t>
      </w:r>
      <w:r>
        <w:rPr>
          <w:color w:val="231F20"/>
          <w:spacing w:val="-13"/>
        </w:rPr>
        <w:t xml:space="preserve"> </w:t>
      </w:r>
      <w:r>
        <w:rPr>
          <w:color w:val="231F20"/>
        </w:rPr>
        <w:t>у</w:t>
      </w:r>
      <w:r>
        <w:rPr>
          <w:color w:val="231F20"/>
          <w:spacing w:val="-12"/>
        </w:rPr>
        <w:t xml:space="preserve"> </w:t>
      </w:r>
      <w:r>
        <w:rPr>
          <w:color w:val="231F20"/>
        </w:rPr>
        <w:t>демо- кратичному</w:t>
      </w:r>
      <w:r>
        <w:rPr>
          <w:color w:val="231F20"/>
          <w:spacing w:val="-11"/>
        </w:rPr>
        <w:t xml:space="preserve"> </w:t>
      </w:r>
      <w:r>
        <w:rPr>
          <w:color w:val="231F20"/>
        </w:rPr>
        <w:t>суспільстві</w:t>
      </w:r>
      <w:r>
        <w:rPr>
          <w:color w:val="231F20"/>
          <w:spacing w:val="-11"/>
        </w:rPr>
        <w:t xml:space="preserve"> </w:t>
      </w:r>
      <w:r>
        <w:rPr>
          <w:color w:val="231F20"/>
        </w:rPr>
        <w:t>та</w:t>
      </w:r>
      <w:r>
        <w:rPr>
          <w:color w:val="231F20"/>
          <w:spacing w:val="-11"/>
        </w:rPr>
        <w:t xml:space="preserve"> </w:t>
      </w:r>
      <w:r>
        <w:rPr>
          <w:color w:val="231F20"/>
        </w:rPr>
        <w:t>сформульоване</w:t>
      </w:r>
      <w:r>
        <w:rPr>
          <w:color w:val="231F20"/>
          <w:spacing w:val="-11"/>
        </w:rPr>
        <w:t xml:space="preserve"> </w:t>
      </w:r>
      <w:r>
        <w:rPr>
          <w:color w:val="231F20"/>
        </w:rPr>
        <w:t>з</w:t>
      </w:r>
      <w:r>
        <w:rPr>
          <w:color w:val="231F20"/>
          <w:spacing w:val="-11"/>
        </w:rPr>
        <w:t xml:space="preserve"> </w:t>
      </w:r>
      <w:r>
        <w:rPr>
          <w:color w:val="231F20"/>
        </w:rPr>
        <w:t>дотриманням</w:t>
      </w:r>
      <w:r>
        <w:rPr>
          <w:color w:val="231F20"/>
          <w:spacing w:val="-11"/>
        </w:rPr>
        <w:t xml:space="preserve"> </w:t>
      </w:r>
      <w:r>
        <w:rPr>
          <w:color w:val="231F20"/>
        </w:rPr>
        <w:t>принципу пропорційності й достатнього рівня юридичної</w:t>
      </w:r>
      <w:r>
        <w:rPr>
          <w:color w:val="231F20"/>
          <w:spacing w:val="-12"/>
        </w:rPr>
        <w:t xml:space="preserve"> </w:t>
      </w:r>
      <w:r>
        <w:rPr>
          <w:color w:val="231F20"/>
        </w:rPr>
        <w:t>визначеності</w:t>
      </w:r>
      <w:r>
        <w:rPr>
          <w:color w:val="231F20"/>
          <w:position w:val="7"/>
          <w:sz w:val="12"/>
        </w:rPr>
        <w:t>2</w:t>
      </w:r>
      <w:r>
        <w:rPr>
          <w:color w:val="231F20"/>
        </w:rPr>
        <w:t>.</w:t>
      </w:r>
    </w:p>
    <w:p w14:paraId="103B3EC1" w14:textId="77777777" w:rsidR="00DE575E" w:rsidRDefault="002E7560">
      <w:pPr>
        <w:pStyle w:val="BodyText"/>
        <w:spacing w:before="4"/>
        <w:ind w:left="817"/>
      </w:pPr>
      <w:r>
        <w:rPr>
          <w:color w:val="231F20"/>
        </w:rPr>
        <w:t>Рішенням    Конституційного    суду     України     від    19.04.2001 р</w:t>
      </w:r>
      <w:r>
        <w:rPr>
          <w:color w:val="231F20"/>
        </w:rPr>
        <w:t>.</w:t>
      </w:r>
    </w:p>
    <w:p w14:paraId="4BE32534" w14:textId="77777777" w:rsidR="00DE575E" w:rsidRDefault="002E7560">
      <w:pPr>
        <w:pStyle w:val="BodyText"/>
        <w:spacing w:before="13" w:line="252" w:lineRule="auto"/>
        <w:ind w:left="533" w:right="126"/>
        <w:jc w:val="both"/>
      </w:pPr>
      <w:r>
        <w:rPr>
          <w:color w:val="231F20"/>
        </w:rPr>
        <w:t>№ 4-рп/2001 у справі за конституційним поданням Міністерства внутрішніх справ України щодо офіційного тлумачення положення частини першої ст. 39 Конституції України про завчасне сповіщення про проведення зборів, мітингів, походів і демонстрацій було вста-</w:t>
      </w:r>
    </w:p>
    <w:p w14:paraId="64172833" w14:textId="77777777" w:rsidR="00DE575E" w:rsidRDefault="00DE575E">
      <w:pPr>
        <w:pStyle w:val="BodyText"/>
        <w:rPr>
          <w:sz w:val="20"/>
        </w:rPr>
      </w:pPr>
    </w:p>
    <w:p w14:paraId="676E08B0" w14:textId="166D2F03" w:rsidR="00DE575E" w:rsidRDefault="002E7560">
      <w:pPr>
        <w:pStyle w:val="BodyText"/>
        <w:spacing w:before="4"/>
        <w:rPr>
          <w:sz w:val="10"/>
        </w:rPr>
      </w:pPr>
      <w:r>
        <w:rPr>
          <w:noProof/>
        </w:rPr>
        <mc:AlternateContent>
          <mc:Choice Requires="wps">
            <w:drawing>
              <wp:anchor distT="0" distB="0" distL="0" distR="0" simplePos="0" relativeHeight="6952" behindDoc="0" locked="0" layoutInCell="1" allowOverlap="1" wp14:anchorId="1F3457F2" wp14:editId="3951E93A">
                <wp:simplePos x="0" y="0"/>
                <wp:positionH relativeFrom="page">
                  <wp:posOffset>719455</wp:posOffset>
                </wp:positionH>
                <wp:positionV relativeFrom="paragraph">
                  <wp:posOffset>105410</wp:posOffset>
                </wp:positionV>
                <wp:extent cx="1080135" cy="0"/>
                <wp:effectExtent l="8255" t="16510" r="29210" b="21590"/>
                <wp:wrapTopAndBottom/>
                <wp:docPr id="991"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6D84" id="Line_x0020_990" o:spid="_x0000_s1026" style="position:absolute;z-index:6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3pt" to="141.7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" strokecolor="#231f20" strokeweight=".5pt">
                <w10:wrap type="topAndBottom" anchorx="page"/>
              </v:line>
            </w:pict>
          </mc:Fallback>
        </mc:AlternateContent>
      </w:r>
    </w:p>
    <w:p w14:paraId="035031D1" w14:textId="77777777" w:rsidR="00DE575E" w:rsidRDefault="002E7560">
      <w:pPr>
        <w:spacing w:line="162" w:lineRule="exact"/>
        <w:ind w:left="533"/>
        <w:rPr>
          <w:sz w:val="16"/>
        </w:rPr>
      </w:pPr>
      <w:r>
        <w:rPr>
          <w:color w:val="231F20"/>
          <w:position w:val="5"/>
          <w:sz w:val="9"/>
        </w:rPr>
        <w:t xml:space="preserve">1 </w:t>
      </w:r>
      <w:r>
        <w:rPr>
          <w:color w:val="231F20"/>
          <w:sz w:val="16"/>
        </w:rPr>
        <w:t>Ст. 280 Кодексу адміністративного судочинства України.</w:t>
      </w:r>
    </w:p>
    <w:p w14:paraId="3693C54A" w14:textId="77777777" w:rsidR="00DE575E" w:rsidRDefault="002E7560">
      <w:pPr>
        <w:ind w:left="533"/>
        <w:rPr>
          <w:sz w:val="16"/>
        </w:rPr>
      </w:pPr>
      <w:r>
        <w:rPr>
          <w:color w:val="231F20"/>
          <w:position w:val="5"/>
          <w:sz w:val="9"/>
        </w:rPr>
        <w:t xml:space="preserve">2 </w:t>
      </w:r>
      <w:r>
        <w:rPr>
          <w:color w:val="231F20"/>
          <w:sz w:val="16"/>
        </w:rPr>
        <w:t>Мельник Р. Право на свободу мирних зібрань: теорія і практика. Київ, 2015. 168 с.</w:t>
      </w:r>
    </w:p>
    <w:p w14:paraId="5E0481B9" w14:textId="77777777" w:rsidR="00DE575E" w:rsidRDefault="00DE575E">
      <w:pPr>
        <w:pStyle w:val="BodyText"/>
        <w:spacing w:before="11"/>
        <w:rPr>
          <w:sz w:val="11"/>
        </w:rPr>
      </w:pPr>
    </w:p>
    <w:p w14:paraId="6DF17EE1" w14:textId="77777777" w:rsidR="00DE575E" w:rsidRDefault="002E7560">
      <w:pPr>
        <w:spacing w:before="92"/>
        <w:ind w:left="533"/>
        <w:rPr>
          <w:rFonts w:ascii="Times New Roman"/>
          <w:sz w:val="20"/>
        </w:rPr>
      </w:pPr>
      <w:r>
        <w:rPr>
          <w:rFonts w:ascii="Times New Roman"/>
          <w:color w:val="231F20"/>
          <w:sz w:val="20"/>
        </w:rPr>
        <w:t>170</w:t>
      </w:r>
    </w:p>
    <w:p w14:paraId="649D746C" w14:textId="77777777" w:rsidR="00DE575E" w:rsidRDefault="00DE575E">
      <w:pPr>
        <w:rPr>
          <w:rFonts w:ascii="Times New Roman"/>
          <w:sz w:val="20"/>
        </w:rPr>
        <w:sectPr w:rsidR="00DE575E">
          <w:pgSz w:w="8510" w:h="12760"/>
          <w:pgMar w:top="660" w:right="720" w:bottom="280" w:left="600" w:header="720" w:footer="720" w:gutter="0"/>
          <w:cols w:space="720"/>
        </w:sectPr>
      </w:pPr>
    </w:p>
    <w:p w14:paraId="078848A7"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5. Приватна особа як суб’єкт адміністративного права</w:t>
      </w:r>
    </w:p>
    <w:p w14:paraId="1257D3FC" w14:textId="744E6B6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61E990F" wp14:editId="0E692F76">
                <wp:extent cx="4140200" cy="6350"/>
                <wp:effectExtent l="0" t="0" r="12700" b="6350"/>
                <wp:docPr id="989"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90" name="Line 9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9FB737" id="Group_x0020_9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fLU7EYECAACYBQAA&#10;DgAAAAAAAAAAAAAAAAAsAgAAZHJzL2Uyb0RvYy54bWxQSwECLQAUAAYACAAAACEATKewkNkAAAAD&#10;AQAADwAAAAAAAAAAAAAAAADZBAAAZHJzL2Rvd25yZXYueG1sUEsFBgAAAAAEAAQA8wAAAN8FAAAA&#10;AA==&#10;">
                <v:line id="Line_x0020_9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CFwcMAAADcAAAADwAAAGRycy9kb3ducmV2LnhtbERP3WrCMBS+F/YO4Qy8kTVVQbRrlCEM&#10;hhc67R7g2Jy1ZclJbaKte/rlYuDlx/efbwZrxI063zhWME1SEMSl0w1XCr6K95clCB+QNRrHpOBO&#10;Hjbrp1GOmXY9H+l2CpWIIewzVFCH0GZS+rImiz5xLXHkvl1nMUTYVVJ32Mdwa+QsTRfSYsOxocaW&#10;tjWVP6erVVBcJsF8HnamLw7nuTxf9vPf616p8fPw9goi0BAe4n/3h1awWsX5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QhcHDAAAA3AAAAA8AAAAAAAAAAAAA&#10;AAAAoQIAAGRycy9kb3ducmV2LnhtbFBLBQYAAAAABAAEAPkAAACRAwAAAAA=&#10;" strokecolor="#231f20" strokeweight=".5pt"/>
                <w10:anchorlock/>
              </v:group>
            </w:pict>
          </mc:Fallback>
        </mc:AlternateContent>
      </w:r>
    </w:p>
    <w:p w14:paraId="4E6C2F8E" w14:textId="77777777" w:rsidR="00DE575E" w:rsidRDefault="00DE575E">
      <w:pPr>
        <w:pStyle w:val="BodyText"/>
        <w:spacing w:before="7"/>
        <w:rPr>
          <w:rFonts w:ascii="AdonisC"/>
          <w:i/>
          <w:sz w:val="19"/>
        </w:rPr>
      </w:pPr>
    </w:p>
    <w:p w14:paraId="27693F97" w14:textId="77777777" w:rsidR="00DE575E" w:rsidRDefault="002E7560">
      <w:pPr>
        <w:pStyle w:val="BodyText"/>
        <w:spacing w:before="1" w:line="252" w:lineRule="auto"/>
        <w:ind w:left="250" w:right="411"/>
        <w:jc w:val="both"/>
      </w:pPr>
      <w:r>
        <w:rPr>
          <w:color w:val="231F20"/>
        </w:rPr>
        <w:t>новлено,</w:t>
      </w:r>
      <w:r>
        <w:rPr>
          <w:color w:val="231F20"/>
          <w:spacing w:val="-5"/>
        </w:rPr>
        <w:t xml:space="preserve"> </w:t>
      </w:r>
      <w:r>
        <w:rPr>
          <w:color w:val="231F20"/>
        </w:rPr>
        <w:t>що</w:t>
      </w:r>
      <w:r>
        <w:rPr>
          <w:color w:val="231F20"/>
          <w:spacing w:val="-5"/>
        </w:rPr>
        <w:t xml:space="preserve"> </w:t>
      </w:r>
      <w:r>
        <w:rPr>
          <w:color w:val="231F20"/>
        </w:rPr>
        <w:t>завчасне</w:t>
      </w:r>
      <w:r>
        <w:rPr>
          <w:color w:val="231F20"/>
          <w:spacing w:val="-5"/>
        </w:rPr>
        <w:t xml:space="preserve"> </w:t>
      </w:r>
      <w:r>
        <w:rPr>
          <w:color w:val="231F20"/>
        </w:rPr>
        <w:t>сповіщення</w:t>
      </w:r>
      <w:r>
        <w:rPr>
          <w:color w:val="231F20"/>
          <w:spacing w:val="-5"/>
        </w:rPr>
        <w:t xml:space="preserve"> </w:t>
      </w:r>
      <w:r>
        <w:rPr>
          <w:color w:val="231F20"/>
        </w:rPr>
        <w:t>органів</w:t>
      </w:r>
      <w:r>
        <w:rPr>
          <w:color w:val="231F20"/>
          <w:spacing w:val="-5"/>
        </w:rPr>
        <w:t xml:space="preserve"> </w:t>
      </w:r>
      <w:r>
        <w:rPr>
          <w:color w:val="231F20"/>
        </w:rPr>
        <w:t>виконавчої</w:t>
      </w:r>
      <w:r>
        <w:rPr>
          <w:color w:val="231F20"/>
          <w:spacing w:val="-5"/>
        </w:rPr>
        <w:t xml:space="preserve"> </w:t>
      </w:r>
      <w:r>
        <w:rPr>
          <w:color w:val="231F20"/>
        </w:rPr>
        <w:t>влади</w:t>
      </w:r>
      <w:r>
        <w:rPr>
          <w:color w:val="231F20"/>
          <w:spacing w:val="-5"/>
        </w:rPr>
        <w:t xml:space="preserve"> </w:t>
      </w:r>
      <w:r>
        <w:rPr>
          <w:color w:val="231F20"/>
        </w:rPr>
        <w:t>чи</w:t>
      </w:r>
      <w:r>
        <w:rPr>
          <w:color w:val="231F20"/>
          <w:spacing w:val="-5"/>
        </w:rPr>
        <w:t xml:space="preserve"> </w:t>
      </w:r>
      <w:r>
        <w:rPr>
          <w:color w:val="231F20"/>
        </w:rPr>
        <w:t>орга- нів місцевого самоврядування треба розуміти так, що організатор</w:t>
      </w:r>
      <w:r>
        <w:rPr>
          <w:color w:val="231F20"/>
        </w:rPr>
        <w:t>и таких</w:t>
      </w:r>
      <w:r>
        <w:rPr>
          <w:color w:val="231F20"/>
          <w:spacing w:val="-12"/>
        </w:rPr>
        <w:t xml:space="preserve"> </w:t>
      </w:r>
      <w:r>
        <w:rPr>
          <w:color w:val="231F20"/>
        </w:rPr>
        <w:t>мирних</w:t>
      </w:r>
      <w:r>
        <w:rPr>
          <w:color w:val="231F20"/>
          <w:spacing w:val="-12"/>
        </w:rPr>
        <w:t xml:space="preserve"> </w:t>
      </w:r>
      <w:r>
        <w:rPr>
          <w:color w:val="231F20"/>
        </w:rPr>
        <w:t>зібрань</w:t>
      </w:r>
      <w:r>
        <w:rPr>
          <w:color w:val="231F20"/>
          <w:spacing w:val="-12"/>
        </w:rPr>
        <w:t xml:space="preserve"> </w:t>
      </w:r>
      <w:r>
        <w:rPr>
          <w:color w:val="231F20"/>
        </w:rPr>
        <w:t>мають</w:t>
      </w:r>
      <w:r>
        <w:rPr>
          <w:color w:val="231F20"/>
          <w:spacing w:val="-12"/>
        </w:rPr>
        <w:t xml:space="preserve"> </w:t>
      </w:r>
      <w:r>
        <w:rPr>
          <w:color w:val="231F20"/>
        </w:rPr>
        <w:t>сповістити</w:t>
      </w:r>
      <w:r>
        <w:rPr>
          <w:color w:val="231F20"/>
          <w:spacing w:val="-12"/>
        </w:rPr>
        <w:t xml:space="preserve"> </w:t>
      </w:r>
      <w:r>
        <w:rPr>
          <w:color w:val="231F20"/>
        </w:rPr>
        <w:t>зазначені</w:t>
      </w:r>
      <w:r>
        <w:rPr>
          <w:color w:val="231F20"/>
          <w:spacing w:val="-12"/>
        </w:rPr>
        <w:t xml:space="preserve"> </w:t>
      </w:r>
      <w:r>
        <w:rPr>
          <w:color w:val="231F20"/>
        </w:rPr>
        <w:t>органи</w:t>
      </w:r>
      <w:r>
        <w:rPr>
          <w:color w:val="231F20"/>
          <w:spacing w:val="-12"/>
        </w:rPr>
        <w:t xml:space="preserve"> </w:t>
      </w:r>
      <w:r>
        <w:rPr>
          <w:color w:val="231F20"/>
        </w:rPr>
        <w:t>про</w:t>
      </w:r>
      <w:r>
        <w:rPr>
          <w:color w:val="231F20"/>
          <w:spacing w:val="-12"/>
        </w:rPr>
        <w:t xml:space="preserve"> </w:t>
      </w:r>
      <w:r>
        <w:rPr>
          <w:color w:val="231F20"/>
        </w:rPr>
        <w:t>прове- дення</w:t>
      </w:r>
      <w:r>
        <w:rPr>
          <w:color w:val="231F20"/>
          <w:spacing w:val="-10"/>
        </w:rPr>
        <w:t xml:space="preserve"> </w:t>
      </w:r>
      <w:r>
        <w:rPr>
          <w:color w:val="231F20"/>
        </w:rPr>
        <w:t>цих</w:t>
      </w:r>
      <w:r>
        <w:rPr>
          <w:color w:val="231F20"/>
          <w:spacing w:val="-10"/>
        </w:rPr>
        <w:t xml:space="preserve"> </w:t>
      </w:r>
      <w:r>
        <w:rPr>
          <w:color w:val="231F20"/>
        </w:rPr>
        <w:t>заходів</w:t>
      </w:r>
      <w:r>
        <w:rPr>
          <w:color w:val="231F20"/>
          <w:spacing w:val="-10"/>
        </w:rPr>
        <w:t xml:space="preserve"> </w:t>
      </w:r>
      <w:r>
        <w:rPr>
          <w:color w:val="231F20"/>
        </w:rPr>
        <w:t>заздалегідь,</w:t>
      </w:r>
      <w:r>
        <w:rPr>
          <w:color w:val="231F20"/>
          <w:spacing w:val="-10"/>
        </w:rPr>
        <w:t xml:space="preserve"> </w:t>
      </w:r>
      <w:r>
        <w:rPr>
          <w:color w:val="231F20"/>
        </w:rPr>
        <w:t>тобто</w:t>
      </w:r>
      <w:r>
        <w:rPr>
          <w:color w:val="231F20"/>
          <w:spacing w:val="-10"/>
        </w:rPr>
        <w:t xml:space="preserve"> </w:t>
      </w:r>
      <w:r>
        <w:rPr>
          <w:color w:val="231F20"/>
        </w:rPr>
        <w:t>у</w:t>
      </w:r>
      <w:r>
        <w:rPr>
          <w:color w:val="231F20"/>
          <w:spacing w:val="-10"/>
        </w:rPr>
        <w:t xml:space="preserve"> </w:t>
      </w:r>
      <w:r>
        <w:rPr>
          <w:color w:val="231F20"/>
        </w:rPr>
        <w:t>прийнятні</w:t>
      </w:r>
      <w:r>
        <w:rPr>
          <w:color w:val="231F20"/>
          <w:spacing w:val="-10"/>
        </w:rPr>
        <w:t xml:space="preserve"> </w:t>
      </w:r>
      <w:r>
        <w:rPr>
          <w:color w:val="231F20"/>
        </w:rPr>
        <w:t>строки,</w:t>
      </w:r>
      <w:r>
        <w:rPr>
          <w:color w:val="231F20"/>
          <w:spacing w:val="-10"/>
        </w:rPr>
        <w:t xml:space="preserve"> </w:t>
      </w:r>
      <w:r>
        <w:rPr>
          <w:color w:val="231F20"/>
        </w:rPr>
        <w:t>що</w:t>
      </w:r>
      <w:r>
        <w:rPr>
          <w:color w:val="231F20"/>
          <w:spacing w:val="-10"/>
        </w:rPr>
        <w:t xml:space="preserve"> </w:t>
      </w:r>
      <w:r>
        <w:rPr>
          <w:color w:val="231F20"/>
        </w:rPr>
        <w:t>переду- ють даті їх</w:t>
      </w:r>
      <w:r>
        <w:rPr>
          <w:color w:val="231F20"/>
          <w:spacing w:val="-3"/>
        </w:rPr>
        <w:t xml:space="preserve"> </w:t>
      </w:r>
      <w:r>
        <w:rPr>
          <w:color w:val="231F20"/>
        </w:rPr>
        <w:t>проведення.</w:t>
      </w:r>
    </w:p>
    <w:p w14:paraId="0BB95801" w14:textId="77777777" w:rsidR="00DE575E" w:rsidRDefault="002E7560">
      <w:pPr>
        <w:pStyle w:val="Heading5"/>
        <w:spacing w:before="2" w:line="252" w:lineRule="auto"/>
        <w:ind w:left="250" w:right="410" w:firstLine="283"/>
        <w:jc w:val="both"/>
      </w:pPr>
      <w:r>
        <w:rPr>
          <w:color w:val="231F20"/>
        </w:rPr>
        <w:t xml:space="preserve">Отже, право на свободу мирних зібрань є  основоположним    і непорушним правом громадян </w:t>
      </w:r>
      <w:r>
        <w:rPr>
          <w:color w:val="231F20"/>
          <w:spacing w:val="-4"/>
        </w:rPr>
        <w:t xml:space="preserve">України, </w:t>
      </w:r>
      <w:r>
        <w:rPr>
          <w:color w:val="231F20"/>
        </w:rPr>
        <w:t xml:space="preserve">за допомогою якого </w:t>
      </w:r>
      <w:r>
        <w:rPr>
          <w:color w:val="231F20"/>
          <w:spacing w:val="-3"/>
        </w:rPr>
        <w:t xml:space="preserve">кожен </w:t>
      </w:r>
      <w:r>
        <w:rPr>
          <w:color w:val="231F20"/>
        </w:rPr>
        <w:t xml:space="preserve">громадянин </w:t>
      </w:r>
      <w:r>
        <w:rPr>
          <w:color w:val="231F20"/>
          <w:spacing w:val="-3"/>
        </w:rPr>
        <w:t xml:space="preserve">може </w:t>
      </w:r>
      <w:r>
        <w:rPr>
          <w:color w:val="231F20"/>
        </w:rPr>
        <w:t>захистити свої права, свободи та інте- реси і яке не підлягає обмеженню, крім випадків, визначених законодавством.</w:t>
      </w:r>
    </w:p>
    <w:p w14:paraId="6071D12A" w14:textId="77777777" w:rsidR="00DE575E" w:rsidRDefault="00DE575E">
      <w:pPr>
        <w:pStyle w:val="BodyText"/>
        <w:spacing w:before="3"/>
        <w:rPr>
          <w:b/>
          <w:sz w:val="22"/>
        </w:rPr>
      </w:pPr>
    </w:p>
    <w:p w14:paraId="097217F2" w14:textId="77777777" w:rsidR="00DE575E" w:rsidRDefault="002E7560">
      <w:pPr>
        <w:pStyle w:val="Heading6"/>
        <w:ind w:firstLine="0"/>
      </w:pPr>
      <w:r>
        <w:rPr>
          <w:color w:val="231F20"/>
        </w:rPr>
        <w:t>5.3.2.5. Право на свободу об’єднань</w:t>
      </w:r>
    </w:p>
    <w:p w14:paraId="790D50AA" w14:textId="77777777" w:rsidR="00DE575E" w:rsidRDefault="002E7560">
      <w:pPr>
        <w:pStyle w:val="BodyText"/>
        <w:spacing w:before="12" w:line="252" w:lineRule="auto"/>
        <w:ind w:left="250" w:right="409" w:firstLine="283"/>
        <w:jc w:val="both"/>
      </w:pPr>
      <w:r>
        <w:rPr>
          <w:color w:val="231F20"/>
        </w:rPr>
        <w:t xml:space="preserve">Громадяни </w:t>
      </w:r>
      <w:r>
        <w:rPr>
          <w:color w:val="231F20"/>
          <w:spacing w:val="-3"/>
        </w:rPr>
        <w:t xml:space="preserve">України </w:t>
      </w:r>
      <w:r>
        <w:rPr>
          <w:color w:val="231F20"/>
        </w:rPr>
        <w:t xml:space="preserve">мають право на свободу </w:t>
      </w:r>
      <w:r>
        <w:rPr>
          <w:color w:val="231F20"/>
          <w:spacing w:val="-3"/>
        </w:rPr>
        <w:t xml:space="preserve">об’єднання </w:t>
      </w:r>
      <w:r>
        <w:rPr>
          <w:color w:val="231F20"/>
        </w:rPr>
        <w:t>в полі- тичні</w:t>
      </w:r>
      <w:r>
        <w:rPr>
          <w:color w:val="231F20"/>
          <w:spacing w:val="-8"/>
        </w:rPr>
        <w:t xml:space="preserve"> </w:t>
      </w:r>
      <w:r>
        <w:rPr>
          <w:color w:val="231F20"/>
        </w:rPr>
        <w:t>партії</w:t>
      </w:r>
      <w:r>
        <w:rPr>
          <w:color w:val="231F20"/>
          <w:spacing w:val="-8"/>
        </w:rPr>
        <w:t xml:space="preserve"> </w:t>
      </w:r>
      <w:r>
        <w:rPr>
          <w:color w:val="231F20"/>
        </w:rPr>
        <w:t>та</w:t>
      </w:r>
      <w:r>
        <w:rPr>
          <w:color w:val="231F20"/>
          <w:spacing w:val="-8"/>
        </w:rPr>
        <w:t xml:space="preserve"> </w:t>
      </w:r>
      <w:r>
        <w:rPr>
          <w:color w:val="231F20"/>
        </w:rPr>
        <w:t>громадські</w:t>
      </w:r>
      <w:r>
        <w:rPr>
          <w:color w:val="231F20"/>
          <w:spacing w:val="-8"/>
        </w:rPr>
        <w:t xml:space="preserve"> </w:t>
      </w:r>
      <w:r>
        <w:rPr>
          <w:color w:val="231F20"/>
        </w:rPr>
        <w:t>організації</w:t>
      </w:r>
      <w:r>
        <w:rPr>
          <w:color w:val="231F20"/>
          <w:spacing w:val="-8"/>
        </w:rPr>
        <w:t xml:space="preserve"> </w:t>
      </w:r>
      <w:r>
        <w:rPr>
          <w:color w:val="231F20"/>
        </w:rPr>
        <w:t>для</w:t>
      </w:r>
      <w:r>
        <w:rPr>
          <w:color w:val="231F20"/>
          <w:spacing w:val="-8"/>
        </w:rPr>
        <w:t xml:space="preserve"> </w:t>
      </w:r>
      <w:r>
        <w:rPr>
          <w:color w:val="231F20"/>
        </w:rPr>
        <w:t>здійснення</w:t>
      </w:r>
      <w:r>
        <w:rPr>
          <w:color w:val="231F20"/>
          <w:spacing w:val="-8"/>
        </w:rPr>
        <w:t xml:space="preserve"> </w:t>
      </w:r>
      <w:r>
        <w:rPr>
          <w:color w:val="231F20"/>
        </w:rPr>
        <w:t>й</w:t>
      </w:r>
      <w:r>
        <w:rPr>
          <w:color w:val="231F20"/>
          <w:spacing w:val="-7"/>
        </w:rPr>
        <w:t xml:space="preserve"> </w:t>
      </w:r>
      <w:r>
        <w:rPr>
          <w:color w:val="231F20"/>
        </w:rPr>
        <w:t>захисту</w:t>
      </w:r>
      <w:r>
        <w:rPr>
          <w:color w:val="231F20"/>
          <w:spacing w:val="-8"/>
        </w:rPr>
        <w:t xml:space="preserve"> </w:t>
      </w:r>
      <w:r>
        <w:rPr>
          <w:color w:val="231F20"/>
        </w:rPr>
        <w:t>своїх прав і свобод і задоволення політичних, економічних, соціальних, культурних</w:t>
      </w:r>
      <w:r>
        <w:rPr>
          <w:color w:val="231F20"/>
          <w:spacing w:val="-14"/>
        </w:rPr>
        <w:t xml:space="preserve"> </w:t>
      </w:r>
      <w:r>
        <w:rPr>
          <w:color w:val="231F20"/>
        </w:rPr>
        <w:t>та</w:t>
      </w:r>
      <w:r>
        <w:rPr>
          <w:color w:val="231F20"/>
          <w:spacing w:val="-14"/>
        </w:rPr>
        <w:t xml:space="preserve"> </w:t>
      </w:r>
      <w:r>
        <w:rPr>
          <w:color w:val="231F20"/>
        </w:rPr>
        <w:t>інших</w:t>
      </w:r>
      <w:r>
        <w:rPr>
          <w:color w:val="231F20"/>
          <w:spacing w:val="-14"/>
        </w:rPr>
        <w:t xml:space="preserve"> </w:t>
      </w:r>
      <w:r>
        <w:rPr>
          <w:color w:val="231F20"/>
        </w:rPr>
        <w:t>інтересів,</w:t>
      </w:r>
      <w:r>
        <w:rPr>
          <w:color w:val="231F20"/>
          <w:spacing w:val="-14"/>
        </w:rPr>
        <w:t xml:space="preserve"> </w:t>
      </w:r>
      <w:r>
        <w:rPr>
          <w:color w:val="231F20"/>
        </w:rPr>
        <w:t>за</w:t>
      </w:r>
      <w:r>
        <w:rPr>
          <w:color w:val="231F20"/>
          <w:spacing w:val="-14"/>
        </w:rPr>
        <w:t xml:space="preserve"> </w:t>
      </w:r>
      <w:r>
        <w:rPr>
          <w:color w:val="231F20"/>
        </w:rPr>
        <w:t>винятком</w:t>
      </w:r>
      <w:r>
        <w:rPr>
          <w:color w:val="231F20"/>
          <w:spacing w:val="-14"/>
        </w:rPr>
        <w:t xml:space="preserve"> </w:t>
      </w:r>
      <w:r>
        <w:rPr>
          <w:color w:val="231F20"/>
        </w:rPr>
        <w:t>обмежень,</w:t>
      </w:r>
      <w:r>
        <w:rPr>
          <w:color w:val="231F20"/>
          <w:spacing w:val="-14"/>
        </w:rPr>
        <w:t xml:space="preserve"> </w:t>
      </w:r>
      <w:r>
        <w:rPr>
          <w:color w:val="231F20"/>
        </w:rPr>
        <w:t xml:space="preserve">установлених законом в інтересах національної безпеки та громадського </w:t>
      </w:r>
      <w:r>
        <w:rPr>
          <w:color w:val="231F20"/>
          <w:spacing w:val="-3"/>
        </w:rPr>
        <w:t xml:space="preserve">порядку, </w:t>
      </w:r>
      <w:r>
        <w:rPr>
          <w:color w:val="231F20"/>
        </w:rPr>
        <w:t xml:space="preserve">охорони здоров’я населення або захисту прав і свобод інших людей. Ніхто не може бути примушений до вступу в </w:t>
      </w:r>
      <w:r>
        <w:rPr>
          <w:color w:val="231F20"/>
          <w:spacing w:val="-3"/>
        </w:rPr>
        <w:t xml:space="preserve">будь-яке об’єднання </w:t>
      </w:r>
      <w:r>
        <w:rPr>
          <w:color w:val="231F20"/>
        </w:rPr>
        <w:t>громадян чи обмежений у правах за належність чи н</w:t>
      </w:r>
      <w:r>
        <w:rPr>
          <w:color w:val="231F20"/>
        </w:rPr>
        <w:t xml:space="preserve">еналежність   до політичних партій або громадських організацій. </w:t>
      </w:r>
      <w:r>
        <w:rPr>
          <w:color w:val="231F20"/>
          <w:spacing w:val="-7"/>
        </w:rPr>
        <w:t xml:space="preserve">Усі </w:t>
      </w:r>
      <w:r>
        <w:rPr>
          <w:color w:val="231F20"/>
          <w:spacing w:val="-3"/>
        </w:rPr>
        <w:t xml:space="preserve">об’єднання </w:t>
      </w:r>
      <w:r>
        <w:rPr>
          <w:color w:val="231F20"/>
        </w:rPr>
        <w:t>громадян рівні перед</w:t>
      </w:r>
      <w:r>
        <w:rPr>
          <w:color w:val="231F20"/>
          <w:spacing w:val="-2"/>
        </w:rPr>
        <w:t xml:space="preserve"> </w:t>
      </w:r>
      <w:r>
        <w:rPr>
          <w:color w:val="231F20"/>
        </w:rPr>
        <w:t>законом.</w:t>
      </w:r>
    </w:p>
    <w:p w14:paraId="0EDC7AFA" w14:textId="77777777" w:rsidR="00DE575E" w:rsidRDefault="002E7560">
      <w:pPr>
        <w:pStyle w:val="BodyText"/>
        <w:spacing w:before="5" w:line="252" w:lineRule="auto"/>
        <w:ind w:left="250" w:right="411" w:firstLine="283"/>
        <w:jc w:val="both"/>
      </w:pPr>
      <w:r>
        <w:rPr>
          <w:b/>
          <w:i/>
          <w:color w:val="231F20"/>
          <w:spacing w:val="-3"/>
        </w:rPr>
        <w:t xml:space="preserve">Право </w:t>
      </w:r>
      <w:r>
        <w:rPr>
          <w:b/>
          <w:i/>
          <w:color w:val="231F20"/>
        </w:rPr>
        <w:t xml:space="preserve">на </w:t>
      </w:r>
      <w:r>
        <w:rPr>
          <w:b/>
          <w:i/>
          <w:color w:val="231F20"/>
          <w:spacing w:val="-5"/>
        </w:rPr>
        <w:t xml:space="preserve">об’єднання </w:t>
      </w:r>
      <w:r>
        <w:rPr>
          <w:color w:val="231F20"/>
        </w:rPr>
        <w:t xml:space="preserve">– це </w:t>
      </w:r>
      <w:r>
        <w:rPr>
          <w:color w:val="231F20"/>
          <w:spacing w:val="-4"/>
        </w:rPr>
        <w:t xml:space="preserve">одне </w:t>
      </w:r>
      <w:r>
        <w:rPr>
          <w:color w:val="231F20"/>
        </w:rPr>
        <w:t xml:space="preserve">з </w:t>
      </w:r>
      <w:r>
        <w:rPr>
          <w:color w:val="231F20"/>
          <w:spacing w:val="-3"/>
        </w:rPr>
        <w:t xml:space="preserve">політичних прав, мета якого </w:t>
      </w:r>
      <w:r>
        <w:rPr>
          <w:color w:val="231F20"/>
        </w:rPr>
        <w:t xml:space="preserve">– </w:t>
      </w:r>
      <w:r>
        <w:rPr>
          <w:color w:val="231F20"/>
          <w:spacing w:val="-3"/>
        </w:rPr>
        <w:t xml:space="preserve">забезпечити  можливість  кожного   брати   участь   </w:t>
      </w:r>
      <w:r>
        <w:rPr>
          <w:color w:val="231F20"/>
        </w:rPr>
        <w:t xml:space="preserve">у   </w:t>
      </w:r>
      <w:r>
        <w:rPr>
          <w:color w:val="231F20"/>
          <w:spacing w:val="-4"/>
        </w:rPr>
        <w:t xml:space="preserve">громадському  </w:t>
      </w:r>
      <w:r>
        <w:rPr>
          <w:color w:val="231F20"/>
        </w:rPr>
        <w:t xml:space="preserve">й </w:t>
      </w:r>
      <w:r>
        <w:rPr>
          <w:color w:val="231F20"/>
          <w:spacing w:val="-3"/>
        </w:rPr>
        <w:t>політичному ж</w:t>
      </w:r>
      <w:r>
        <w:rPr>
          <w:color w:val="231F20"/>
          <w:spacing w:val="-3"/>
        </w:rPr>
        <w:t xml:space="preserve">итті, </w:t>
      </w:r>
      <w:r>
        <w:rPr>
          <w:color w:val="231F20"/>
          <w:spacing w:val="-5"/>
        </w:rPr>
        <w:t xml:space="preserve">об’єднуватися </w:t>
      </w:r>
      <w:r>
        <w:rPr>
          <w:color w:val="231F20"/>
        </w:rPr>
        <w:t xml:space="preserve">за </w:t>
      </w:r>
      <w:r>
        <w:rPr>
          <w:color w:val="231F20"/>
          <w:spacing w:val="-3"/>
        </w:rPr>
        <w:t xml:space="preserve">інтересами </w:t>
      </w:r>
      <w:r>
        <w:rPr>
          <w:color w:val="231F20"/>
        </w:rPr>
        <w:t xml:space="preserve">й </w:t>
      </w:r>
      <w:r>
        <w:rPr>
          <w:color w:val="231F20"/>
          <w:spacing w:val="-3"/>
        </w:rPr>
        <w:t xml:space="preserve">цілями. </w:t>
      </w:r>
      <w:r>
        <w:rPr>
          <w:color w:val="231F20"/>
          <w:spacing w:val="-4"/>
        </w:rPr>
        <w:t xml:space="preserve">Консти- </w:t>
      </w:r>
      <w:r>
        <w:rPr>
          <w:color w:val="231F20"/>
          <w:spacing w:val="-3"/>
        </w:rPr>
        <w:t xml:space="preserve">туційні обмеження права </w:t>
      </w:r>
      <w:r>
        <w:rPr>
          <w:color w:val="231F20"/>
        </w:rPr>
        <w:t xml:space="preserve">на </w:t>
      </w:r>
      <w:r>
        <w:rPr>
          <w:color w:val="231F20"/>
          <w:spacing w:val="-4"/>
        </w:rPr>
        <w:t xml:space="preserve">свободу </w:t>
      </w:r>
      <w:r>
        <w:rPr>
          <w:color w:val="231F20"/>
          <w:spacing w:val="-5"/>
        </w:rPr>
        <w:t xml:space="preserve">об’єднання </w:t>
      </w:r>
      <w:r>
        <w:rPr>
          <w:color w:val="231F20"/>
        </w:rPr>
        <w:t xml:space="preserve">є </w:t>
      </w:r>
      <w:r>
        <w:rPr>
          <w:color w:val="231F20"/>
          <w:spacing w:val="-3"/>
        </w:rPr>
        <w:t xml:space="preserve">цілком логічними </w:t>
      </w:r>
      <w:r>
        <w:rPr>
          <w:color w:val="231F20"/>
        </w:rPr>
        <w:t xml:space="preserve">та </w:t>
      </w:r>
      <w:r>
        <w:rPr>
          <w:color w:val="231F20"/>
          <w:spacing w:val="-3"/>
        </w:rPr>
        <w:t xml:space="preserve">необхідними </w:t>
      </w:r>
      <w:r>
        <w:rPr>
          <w:color w:val="231F20"/>
        </w:rPr>
        <w:t xml:space="preserve">в </w:t>
      </w:r>
      <w:r>
        <w:rPr>
          <w:color w:val="231F20"/>
          <w:spacing w:val="-3"/>
        </w:rPr>
        <w:t xml:space="preserve">правовій державі, адже держава </w:t>
      </w:r>
      <w:r>
        <w:rPr>
          <w:color w:val="231F20"/>
          <w:spacing w:val="-4"/>
        </w:rPr>
        <w:t xml:space="preserve">мусить </w:t>
      </w:r>
      <w:r>
        <w:rPr>
          <w:color w:val="231F20"/>
          <w:spacing w:val="-3"/>
        </w:rPr>
        <w:t xml:space="preserve">забезпе- </w:t>
      </w:r>
      <w:r>
        <w:rPr>
          <w:color w:val="231F20"/>
        </w:rPr>
        <w:t>чити</w:t>
      </w:r>
      <w:r>
        <w:rPr>
          <w:color w:val="231F20"/>
          <w:spacing w:val="-11"/>
        </w:rPr>
        <w:t xml:space="preserve"> </w:t>
      </w:r>
      <w:r>
        <w:rPr>
          <w:color w:val="231F20"/>
          <w:spacing w:val="-3"/>
        </w:rPr>
        <w:t>рівновагу</w:t>
      </w:r>
      <w:r>
        <w:rPr>
          <w:color w:val="231F20"/>
          <w:spacing w:val="-11"/>
        </w:rPr>
        <w:t xml:space="preserve"> </w:t>
      </w:r>
      <w:r>
        <w:rPr>
          <w:color w:val="231F20"/>
        </w:rPr>
        <w:t>між</w:t>
      </w:r>
      <w:r>
        <w:rPr>
          <w:color w:val="231F20"/>
          <w:spacing w:val="-11"/>
        </w:rPr>
        <w:t xml:space="preserve"> </w:t>
      </w:r>
      <w:r>
        <w:rPr>
          <w:color w:val="231F20"/>
          <w:spacing w:val="-3"/>
        </w:rPr>
        <w:t>правом</w:t>
      </w:r>
      <w:r>
        <w:rPr>
          <w:color w:val="231F20"/>
          <w:spacing w:val="-11"/>
        </w:rPr>
        <w:t xml:space="preserve"> </w:t>
      </w:r>
      <w:r>
        <w:rPr>
          <w:color w:val="231F20"/>
        </w:rPr>
        <w:t>на</w:t>
      </w:r>
      <w:r>
        <w:rPr>
          <w:color w:val="231F20"/>
          <w:spacing w:val="-11"/>
        </w:rPr>
        <w:t xml:space="preserve"> </w:t>
      </w:r>
      <w:r>
        <w:rPr>
          <w:color w:val="231F20"/>
          <w:spacing w:val="-4"/>
        </w:rPr>
        <w:t>свободу</w:t>
      </w:r>
      <w:r>
        <w:rPr>
          <w:color w:val="231F20"/>
          <w:spacing w:val="-11"/>
        </w:rPr>
        <w:t xml:space="preserve"> </w:t>
      </w:r>
      <w:r>
        <w:rPr>
          <w:color w:val="231F20"/>
          <w:spacing w:val="-5"/>
        </w:rPr>
        <w:t>об’єднання</w:t>
      </w:r>
      <w:r>
        <w:rPr>
          <w:color w:val="231F20"/>
          <w:spacing w:val="-11"/>
        </w:rPr>
        <w:t xml:space="preserve"> </w:t>
      </w:r>
      <w:r>
        <w:rPr>
          <w:color w:val="231F20"/>
        </w:rPr>
        <w:t>та</w:t>
      </w:r>
      <w:r>
        <w:rPr>
          <w:color w:val="231F20"/>
          <w:spacing w:val="-11"/>
        </w:rPr>
        <w:t xml:space="preserve"> </w:t>
      </w:r>
      <w:r>
        <w:rPr>
          <w:color w:val="231F20"/>
          <w:spacing w:val="-3"/>
        </w:rPr>
        <w:t>правом</w:t>
      </w:r>
      <w:r>
        <w:rPr>
          <w:color w:val="231F20"/>
          <w:spacing w:val="-11"/>
        </w:rPr>
        <w:t xml:space="preserve"> </w:t>
      </w:r>
      <w:r>
        <w:rPr>
          <w:color w:val="231F20"/>
        </w:rPr>
        <w:t>на</w:t>
      </w:r>
      <w:r>
        <w:rPr>
          <w:color w:val="231F20"/>
          <w:spacing w:val="-11"/>
        </w:rPr>
        <w:t xml:space="preserve"> </w:t>
      </w:r>
      <w:r>
        <w:rPr>
          <w:color w:val="231F20"/>
          <w:spacing w:val="-3"/>
        </w:rPr>
        <w:t xml:space="preserve">захист життя </w:t>
      </w:r>
      <w:r>
        <w:rPr>
          <w:color w:val="231F20"/>
        </w:rPr>
        <w:t xml:space="preserve">і </w:t>
      </w:r>
      <w:r>
        <w:rPr>
          <w:color w:val="231F20"/>
          <w:spacing w:val="-3"/>
        </w:rPr>
        <w:t xml:space="preserve">здоров’я інших </w:t>
      </w:r>
      <w:r>
        <w:rPr>
          <w:color w:val="231F20"/>
          <w:spacing w:val="-4"/>
        </w:rPr>
        <w:t xml:space="preserve">людей </w:t>
      </w:r>
      <w:r>
        <w:rPr>
          <w:color w:val="231F20"/>
        </w:rPr>
        <w:t xml:space="preserve">від </w:t>
      </w:r>
      <w:r>
        <w:rPr>
          <w:color w:val="231F20"/>
          <w:spacing w:val="-4"/>
        </w:rPr>
        <w:t xml:space="preserve">будь-яких </w:t>
      </w:r>
      <w:r>
        <w:rPr>
          <w:color w:val="231F20"/>
          <w:spacing w:val="-3"/>
        </w:rPr>
        <w:t>злочинних</w:t>
      </w:r>
      <w:r>
        <w:rPr>
          <w:color w:val="231F20"/>
          <w:spacing w:val="-20"/>
        </w:rPr>
        <w:t xml:space="preserve"> </w:t>
      </w:r>
      <w:r>
        <w:rPr>
          <w:color w:val="231F20"/>
          <w:spacing w:val="-3"/>
        </w:rPr>
        <w:t>посягань.</w:t>
      </w:r>
    </w:p>
    <w:p w14:paraId="3B668DFB" w14:textId="77777777" w:rsidR="00DE575E" w:rsidRDefault="002E7560">
      <w:pPr>
        <w:pStyle w:val="BodyText"/>
        <w:spacing w:before="4" w:line="252" w:lineRule="auto"/>
        <w:ind w:left="250" w:right="410" w:firstLine="283"/>
        <w:jc w:val="both"/>
      </w:pPr>
      <w:r>
        <w:rPr>
          <w:color w:val="231F20"/>
        </w:rPr>
        <w:t xml:space="preserve">Зазначимо, що право на свободу </w:t>
      </w:r>
      <w:r>
        <w:rPr>
          <w:color w:val="231F20"/>
          <w:spacing w:val="-3"/>
        </w:rPr>
        <w:t xml:space="preserve">об’єднань </w:t>
      </w:r>
      <w:r>
        <w:rPr>
          <w:color w:val="231F20"/>
        </w:rPr>
        <w:t>– це гарантоване Конституцією</w:t>
      </w:r>
      <w:r>
        <w:rPr>
          <w:color w:val="231F20"/>
          <w:spacing w:val="-8"/>
        </w:rPr>
        <w:t xml:space="preserve"> </w:t>
      </w:r>
      <w:r>
        <w:rPr>
          <w:color w:val="231F20"/>
          <w:spacing w:val="-3"/>
        </w:rPr>
        <w:t>України</w:t>
      </w:r>
      <w:r>
        <w:rPr>
          <w:color w:val="231F20"/>
          <w:spacing w:val="-8"/>
        </w:rPr>
        <w:t xml:space="preserve"> </w:t>
      </w:r>
      <w:r>
        <w:rPr>
          <w:color w:val="231F20"/>
        </w:rPr>
        <w:t>та</w:t>
      </w:r>
      <w:r>
        <w:rPr>
          <w:color w:val="231F20"/>
          <w:spacing w:val="-8"/>
        </w:rPr>
        <w:t xml:space="preserve"> </w:t>
      </w:r>
      <w:r>
        <w:rPr>
          <w:color w:val="231F20"/>
        </w:rPr>
        <w:t>іншими</w:t>
      </w:r>
      <w:r>
        <w:rPr>
          <w:color w:val="231F20"/>
          <w:spacing w:val="-8"/>
        </w:rPr>
        <w:t xml:space="preserve"> </w:t>
      </w:r>
      <w:r>
        <w:rPr>
          <w:color w:val="231F20"/>
        </w:rPr>
        <w:t>законами</w:t>
      </w:r>
      <w:r>
        <w:rPr>
          <w:color w:val="231F20"/>
          <w:spacing w:val="-8"/>
        </w:rPr>
        <w:t xml:space="preserve"> </w:t>
      </w:r>
      <w:r>
        <w:rPr>
          <w:color w:val="231F20"/>
        </w:rPr>
        <w:t>право</w:t>
      </w:r>
      <w:r>
        <w:rPr>
          <w:color w:val="231F20"/>
          <w:spacing w:val="-8"/>
        </w:rPr>
        <w:t xml:space="preserve"> </w:t>
      </w:r>
      <w:r>
        <w:rPr>
          <w:color w:val="231F20"/>
        </w:rPr>
        <w:t>громадян</w:t>
      </w:r>
      <w:r>
        <w:rPr>
          <w:color w:val="231F20"/>
          <w:spacing w:val="-8"/>
        </w:rPr>
        <w:t xml:space="preserve"> </w:t>
      </w:r>
      <w:r>
        <w:rPr>
          <w:color w:val="231F20"/>
        </w:rPr>
        <w:t>на</w:t>
      </w:r>
      <w:r>
        <w:rPr>
          <w:color w:val="231F20"/>
          <w:spacing w:val="-7"/>
        </w:rPr>
        <w:t xml:space="preserve"> </w:t>
      </w:r>
      <w:r>
        <w:rPr>
          <w:color w:val="231F20"/>
          <w:spacing w:val="-4"/>
        </w:rPr>
        <w:t xml:space="preserve">об’єд- </w:t>
      </w:r>
      <w:r>
        <w:rPr>
          <w:color w:val="231F20"/>
        </w:rPr>
        <w:t>нання з іншими громадянами з метою висловлення своїх думок, задоволення влас</w:t>
      </w:r>
      <w:r>
        <w:rPr>
          <w:color w:val="231F20"/>
        </w:rPr>
        <w:t>них інтересів і захисту своїх</w:t>
      </w:r>
      <w:r>
        <w:rPr>
          <w:color w:val="231F20"/>
          <w:spacing w:val="-7"/>
        </w:rPr>
        <w:t xml:space="preserve"> </w:t>
      </w:r>
      <w:r>
        <w:rPr>
          <w:color w:val="231F20"/>
        </w:rPr>
        <w:t>прав.</w:t>
      </w:r>
    </w:p>
    <w:p w14:paraId="6861A2C2" w14:textId="77777777" w:rsidR="00DE575E" w:rsidRDefault="00DE575E">
      <w:pPr>
        <w:pStyle w:val="BodyText"/>
        <w:rPr>
          <w:sz w:val="24"/>
        </w:rPr>
      </w:pPr>
    </w:p>
    <w:p w14:paraId="04ADDEBF" w14:textId="77777777" w:rsidR="00DE575E" w:rsidRDefault="00DE575E">
      <w:pPr>
        <w:pStyle w:val="BodyText"/>
        <w:spacing w:before="4"/>
        <w:rPr>
          <w:sz w:val="20"/>
        </w:rPr>
      </w:pPr>
    </w:p>
    <w:p w14:paraId="1D46F8F1" w14:textId="77777777" w:rsidR="00DE575E" w:rsidRDefault="002E7560">
      <w:pPr>
        <w:pStyle w:val="Heading5"/>
        <w:ind w:left="2413"/>
      </w:pPr>
      <w:r>
        <w:rPr>
          <w:color w:val="231F20"/>
        </w:rPr>
        <w:t>Запитання і завдання</w:t>
      </w:r>
    </w:p>
    <w:p w14:paraId="46C8E7D4" w14:textId="77777777" w:rsidR="00DE575E" w:rsidRDefault="00DE575E">
      <w:pPr>
        <w:pStyle w:val="BodyText"/>
        <w:spacing w:before="2"/>
        <w:rPr>
          <w:b/>
          <w:sz w:val="23"/>
        </w:rPr>
      </w:pPr>
    </w:p>
    <w:p w14:paraId="24728549" w14:textId="77777777" w:rsidR="00DE575E" w:rsidRDefault="002E7560">
      <w:pPr>
        <w:pStyle w:val="BodyText"/>
        <w:spacing w:line="252" w:lineRule="auto"/>
        <w:ind w:left="250" w:right="410" w:firstLine="283"/>
        <w:jc w:val="both"/>
      </w:pPr>
      <w:r>
        <w:rPr>
          <w:color w:val="231F20"/>
        </w:rPr>
        <w:t>1. У чому полягають особливості приватних осіб як суб’єктів адміністративного права?</w:t>
      </w:r>
    </w:p>
    <w:p w14:paraId="5870101E" w14:textId="77777777" w:rsidR="00DE575E" w:rsidRDefault="00DE575E">
      <w:pPr>
        <w:pStyle w:val="BodyText"/>
        <w:spacing w:before="5"/>
        <w:rPr>
          <w:sz w:val="12"/>
        </w:rPr>
      </w:pPr>
    </w:p>
    <w:p w14:paraId="5E273D7E" w14:textId="77777777" w:rsidR="00DE575E" w:rsidRDefault="002E7560">
      <w:pPr>
        <w:spacing w:before="92"/>
        <w:ind w:right="411"/>
        <w:jc w:val="right"/>
        <w:rPr>
          <w:rFonts w:ascii="Times New Roman"/>
          <w:sz w:val="20"/>
        </w:rPr>
      </w:pPr>
      <w:r>
        <w:rPr>
          <w:rFonts w:ascii="Times New Roman"/>
          <w:color w:val="231F20"/>
          <w:w w:val="90"/>
          <w:sz w:val="20"/>
        </w:rPr>
        <w:t>171</w:t>
      </w:r>
    </w:p>
    <w:p w14:paraId="226EE88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3DAA5F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61E7775" w14:textId="7C768AA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90021A8" wp14:editId="25710917">
                <wp:extent cx="4140200" cy="6350"/>
                <wp:effectExtent l="0" t="0" r="12700" b="6350"/>
                <wp:docPr id="987"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88" name="Line 9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4B5841" id="Group_x0020_9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ywF+QgAIAAJgFAAAO&#10;AAAAAAAAAAAAAAAAACwCAABkcnMvZTJvRG9jLnhtbFBLAQItABQABgAIAAAAIQBMp7CQ2QAAAAMB&#10;AAAPAAAAAAAAAAAAAAAAANgEAABkcnMvZG93bnJldi54bWxQSwUGAAAAAAQABADzAAAA3gUAAAAA&#10;">
                <v:line id="Line_x0020_9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8fGsMAAADcAAAADwAAAGRycy9kb3ducmV2LnhtbERP3WrCMBS+F/YO4Qy8EU1VGK4aZQwE&#10;8UKn3QMcm7O2LDmpTbTVpzcXgpcf3/9i1VkjrtT4yrGC8SgBQZw7XXGh4DdbD2cgfEDWaByTght5&#10;WC3fegtMtWv5QNdjKEQMYZ+igjKEOpXS5yVZ9CNXE0fuzzUWQ4RNIXWDbQy3Rk6S5ENarDg2lFjT&#10;d0n5//FiFWTnQTA/+61ps/1pKk/n3fR+2SnVf+++5iACdeElfro3WsHnLK6N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HxrDAAAA3AAAAA8AAAAAAAAAAAAA&#10;AAAAoQIAAGRycy9kb3ducmV2LnhtbFBLBQYAAAAABAAEAPkAAACRAwAAAAA=&#10;" strokecolor="#231f20" strokeweight=".5pt"/>
                <w10:anchorlock/>
              </v:group>
            </w:pict>
          </mc:Fallback>
        </mc:AlternateContent>
      </w:r>
    </w:p>
    <w:p w14:paraId="19D9A537" w14:textId="77777777" w:rsidR="00DE575E" w:rsidRDefault="00DE575E">
      <w:pPr>
        <w:pStyle w:val="BodyText"/>
        <w:spacing w:before="7"/>
        <w:rPr>
          <w:rFonts w:ascii="AdonisC"/>
          <w:i/>
          <w:sz w:val="11"/>
        </w:rPr>
      </w:pPr>
    </w:p>
    <w:p w14:paraId="4DA3DD10" w14:textId="77777777" w:rsidR="00DE575E" w:rsidRDefault="002E7560">
      <w:pPr>
        <w:pStyle w:val="ListParagraph"/>
        <w:numPr>
          <w:ilvl w:val="0"/>
          <w:numId w:val="230"/>
        </w:numPr>
        <w:tabs>
          <w:tab w:val="left" w:pos="1101"/>
        </w:tabs>
        <w:spacing w:before="101"/>
        <w:ind w:firstLine="284"/>
        <w:rPr>
          <w:sz w:val="21"/>
        </w:rPr>
      </w:pPr>
      <w:r>
        <w:rPr>
          <w:color w:val="231F20"/>
          <w:spacing w:val="-3"/>
          <w:sz w:val="21"/>
        </w:rPr>
        <w:t>Розкрийте адміністративно-правовий статус громадян</w:t>
      </w:r>
      <w:r>
        <w:rPr>
          <w:color w:val="231F20"/>
          <w:spacing w:val="-29"/>
          <w:sz w:val="21"/>
        </w:rPr>
        <w:t xml:space="preserve"> </w:t>
      </w:r>
      <w:r>
        <w:rPr>
          <w:color w:val="231F20"/>
          <w:spacing w:val="-5"/>
          <w:sz w:val="21"/>
        </w:rPr>
        <w:t>України.</w:t>
      </w:r>
    </w:p>
    <w:p w14:paraId="22647D7D" w14:textId="77777777" w:rsidR="00DE575E" w:rsidRDefault="002E7560">
      <w:pPr>
        <w:pStyle w:val="ListParagraph"/>
        <w:numPr>
          <w:ilvl w:val="0"/>
          <w:numId w:val="230"/>
        </w:numPr>
        <w:tabs>
          <w:tab w:val="left" w:pos="1101"/>
        </w:tabs>
        <w:spacing w:before="12" w:line="252" w:lineRule="auto"/>
        <w:ind w:right="129" w:firstLine="284"/>
        <w:rPr>
          <w:sz w:val="21"/>
        </w:rPr>
      </w:pPr>
      <w:r>
        <w:rPr>
          <w:color w:val="231F20"/>
          <w:sz w:val="21"/>
        </w:rPr>
        <w:t>З’ясуйте адміністративно-правовий статус іноземців та осіб без</w:t>
      </w:r>
      <w:r>
        <w:rPr>
          <w:color w:val="231F20"/>
          <w:spacing w:val="-2"/>
          <w:sz w:val="21"/>
        </w:rPr>
        <w:t xml:space="preserve"> </w:t>
      </w:r>
      <w:r>
        <w:rPr>
          <w:color w:val="231F20"/>
          <w:sz w:val="21"/>
        </w:rPr>
        <w:t>громадянства.</w:t>
      </w:r>
    </w:p>
    <w:p w14:paraId="042EF39D" w14:textId="77777777" w:rsidR="00DE575E" w:rsidRDefault="002E7560">
      <w:pPr>
        <w:pStyle w:val="ListParagraph"/>
        <w:numPr>
          <w:ilvl w:val="0"/>
          <w:numId w:val="230"/>
        </w:numPr>
        <w:tabs>
          <w:tab w:val="left" w:pos="1101"/>
        </w:tabs>
        <w:spacing w:line="252" w:lineRule="auto"/>
        <w:ind w:right="130" w:firstLine="284"/>
        <w:rPr>
          <w:sz w:val="21"/>
        </w:rPr>
      </w:pPr>
      <w:r>
        <w:rPr>
          <w:color w:val="231F20"/>
          <w:sz w:val="21"/>
        </w:rPr>
        <w:t xml:space="preserve">У чому полягає адміністративно-правовий статус </w:t>
      </w:r>
      <w:r>
        <w:rPr>
          <w:color w:val="231F20"/>
          <w:spacing w:val="-3"/>
          <w:sz w:val="21"/>
        </w:rPr>
        <w:t xml:space="preserve">об’єднань </w:t>
      </w:r>
      <w:r>
        <w:rPr>
          <w:color w:val="231F20"/>
          <w:sz w:val="21"/>
        </w:rPr>
        <w:t>громадян?</w:t>
      </w:r>
    </w:p>
    <w:p w14:paraId="1844814A" w14:textId="77777777" w:rsidR="00DE575E" w:rsidRDefault="002E7560">
      <w:pPr>
        <w:pStyle w:val="ListParagraph"/>
        <w:numPr>
          <w:ilvl w:val="0"/>
          <w:numId w:val="230"/>
        </w:numPr>
        <w:tabs>
          <w:tab w:val="left" w:pos="1101"/>
        </w:tabs>
        <w:spacing w:line="252" w:lineRule="auto"/>
        <w:ind w:right="129" w:firstLine="284"/>
        <w:rPr>
          <w:sz w:val="21"/>
        </w:rPr>
      </w:pPr>
      <w:r>
        <w:rPr>
          <w:color w:val="231F20"/>
          <w:sz w:val="21"/>
        </w:rPr>
        <w:t>Підприємства, у</w:t>
      </w:r>
      <w:r>
        <w:rPr>
          <w:color w:val="231F20"/>
          <w:sz w:val="21"/>
        </w:rPr>
        <w:t xml:space="preserve">станови в системі </w:t>
      </w:r>
      <w:r>
        <w:rPr>
          <w:color w:val="231F20"/>
          <w:spacing w:val="-3"/>
          <w:sz w:val="21"/>
        </w:rPr>
        <w:t xml:space="preserve">суб’єктів </w:t>
      </w:r>
      <w:r>
        <w:rPr>
          <w:color w:val="231F20"/>
          <w:sz w:val="21"/>
        </w:rPr>
        <w:t>адміністративного права.</w:t>
      </w:r>
    </w:p>
    <w:p w14:paraId="1720B0A7" w14:textId="77777777" w:rsidR="00DE575E" w:rsidRDefault="002E7560">
      <w:pPr>
        <w:pStyle w:val="ListParagraph"/>
        <w:numPr>
          <w:ilvl w:val="0"/>
          <w:numId w:val="230"/>
        </w:numPr>
        <w:tabs>
          <w:tab w:val="left" w:pos="1101"/>
        </w:tabs>
        <w:spacing w:line="252" w:lineRule="auto"/>
        <w:ind w:right="130" w:firstLine="284"/>
        <w:rPr>
          <w:sz w:val="21"/>
        </w:rPr>
      </w:pPr>
      <w:r>
        <w:rPr>
          <w:color w:val="231F20"/>
          <w:sz w:val="21"/>
        </w:rPr>
        <w:t>Що включає адміністративна правосуб’єктність приватних осіб адміністративного</w:t>
      </w:r>
      <w:r>
        <w:rPr>
          <w:color w:val="231F20"/>
          <w:spacing w:val="-1"/>
          <w:sz w:val="21"/>
        </w:rPr>
        <w:t xml:space="preserve"> </w:t>
      </w:r>
      <w:r>
        <w:rPr>
          <w:color w:val="231F20"/>
          <w:sz w:val="21"/>
        </w:rPr>
        <w:t>права?</w:t>
      </w:r>
    </w:p>
    <w:p w14:paraId="5C25B60E" w14:textId="77777777" w:rsidR="00DE575E" w:rsidRDefault="002E7560">
      <w:pPr>
        <w:pStyle w:val="ListParagraph"/>
        <w:numPr>
          <w:ilvl w:val="0"/>
          <w:numId w:val="230"/>
        </w:numPr>
        <w:tabs>
          <w:tab w:val="left" w:pos="1101"/>
        </w:tabs>
        <w:ind w:firstLine="284"/>
        <w:rPr>
          <w:sz w:val="21"/>
        </w:rPr>
      </w:pPr>
      <w:r>
        <w:rPr>
          <w:color w:val="231F20"/>
          <w:sz w:val="21"/>
        </w:rPr>
        <w:t xml:space="preserve">Назвіть види </w:t>
      </w:r>
      <w:r>
        <w:rPr>
          <w:color w:val="231F20"/>
          <w:spacing w:val="-3"/>
          <w:sz w:val="21"/>
        </w:rPr>
        <w:t xml:space="preserve">суб’єктивних </w:t>
      </w:r>
      <w:r>
        <w:rPr>
          <w:color w:val="231F20"/>
          <w:sz w:val="21"/>
        </w:rPr>
        <w:t>публічних прав приватних</w:t>
      </w:r>
      <w:r>
        <w:rPr>
          <w:color w:val="231F20"/>
          <w:spacing w:val="-1"/>
          <w:sz w:val="21"/>
        </w:rPr>
        <w:t xml:space="preserve"> </w:t>
      </w:r>
      <w:r>
        <w:rPr>
          <w:color w:val="231F20"/>
          <w:sz w:val="21"/>
        </w:rPr>
        <w:t>осіб.</w:t>
      </w:r>
    </w:p>
    <w:p w14:paraId="2DC62A8D" w14:textId="77777777" w:rsidR="00DE575E" w:rsidRDefault="002E7560">
      <w:pPr>
        <w:pStyle w:val="ListParagraph"/>
        <w:numPr>
          <w:ilvl w:val="0"/>
          <w:numId w:val="230"/>
        </w:numPr>
        <w:tabs>
          <w:tab w:val="left" w:pos="1101"/>
        </w:tabs>
        <w:spacing w:before="13"/>
        <w:ind w:firstLine="284"/>
        <w:rPr>
          <w:sz w:val="21"/>
        </w:rPr>
      </w:pPr>
      <w:r>
        <w:rPr>
          <w:color w:val="231F20"/>
          <w:sz w:val="21"/>
        </w:rPr>
        <w:t>У</w:t>
      </w:r>
      <w:r>
        <w:rPr>
          <w:color w:val="231F20"/>
          <w:spacing w:val="-6"/>
          <w:sz w:val="21"/>
        </w:rPr>
        <w:t xml:space="preserve"> </w:t>
      </w:r>
      <w:r>
        <w:rPr>
          <w:color w:val="231F20"/>
          <w:sz w:val="21"/>
        </w:rPr>
        <w:t>чому</w:t>
      </w:r>
      <w:r>
        <w:rPr>
          <w:color w:val="231F20"/>
          <w:spacing w:val="-6"/>
          <w:sz w:val="21"/>
        </w:rPr>
        <w:t xml:space="preserve"> </w:t>
      </w:r>
      <w:r>
        <w:rPr>
          <w:color w:val="231F20"/>
          <w:sz w:val="21"/>
        </w:rPr>
        <w:t>полягає</w:t>
      </w:r>
      <w:r>
        <w:rPr>
          <w:color w:val="231F20"/>
          <w:spacing w:val="-6"/>
          <w:sz w:val="21"/>
        </w:rPr>
        <w:t xml:space="preserve"> </w:t>
      </w:r>
      <w:r>
        <w:rPr>
          <w:color w:val="231F20"/>
          <w:sz w:val="21"/>
        </w:rPr>
        <w:t>зміст</w:t>
      </w:r>
      <w:r>
        <w:rPr>
          <w:color w:val="231F20"/>
          <w:spacing w:val="-6"/>
          <w:sz w:val="21"/>
        </w:rPr>
        <w:t xml:space="preserve"> </w:t>
      </w:r>
      <w:r>
        <w:rPr>
          <w:color w:val="231F20"/>
          <w:sz w:val="21"/>
        </w:rPr>
        <w:t>поняття</w:t>
      </w:r>
      <w:r>
        <w:rPr>
          <w:color w:val="231F20"/>
          <w:spacing w:val="-6"/>
          <w:sz w:val="21"/>
        </w:rPr>
        <w:t xml:space="preserve"> </w:t>
      </w:r>
      <w:r>
        <w:rPr>
          <w:color w:val="231F20"/>
          <w:sz w:val="21"/>
        </w:rPr>
        <w:t>«консультації</w:t>
      </w:r>
      <w:r>
        <w:rPr>
          <w:color w:val="231F20"/>
          <w:spacing w:val="-6"/>
          <w:sz w:val="21"/>
        </w:rPr>
        <w:t xml:space="preserve"> </w:t>
      </w:r>
      <w:r>
        <w:rPr>
          <w:color w:val="231F20"/>
          <w:sz w:val="21"/>
        </w:rPr>
        <w:t>з</w:t>
      </w:r>
      <w:r>
        <w:rPr>
          <w:color w:val="231F20"/>
          <w:spacing w:val="-6"/>
          <w:sz w:val="21"/>
        </w:rPr>
        <w:t xml:space="preserve"> </w:t>
      </w:r>
      <w:r>
        <w:rPr>
          <w:color w:val="231F20"/>
          <w:sz w:val="21"/>
        </w:rPr>
        <w:t>громадськістю»?</w:t>
      </w:r>
    </w:p>
    <w:p w14:paraId="265B398B" w14:textId="77777777" w:rsidR="00DE575E" w:rsidRDefault="002E7560">
      <w:pPr>
        <w:pStyle w:val="ListParagraph"/>
        <w:numPr>
          <w:ilvl w:val="0"/>
          <w:numId w:val="230"/>
        </w:numPr>
        <w:tabs>
          <w:tab w:val="left" w:pos="1101"/>
        </w:tabs>
        <w:spacing w:before="13" w:line="252" w:lineRule="auto"/>
        <w:ind w:right="128" w:firstLine="284"/>
        <w:rPr>
          <w:sz w:val="21"/>
        </w:rPr>
      </w:pPr>
      <w:r>
        <w:rPr>
          <w:color w:val="231F20"/>
          <w:sz w:val="21"/>
        </w:rPr>
        <w:t>У чому полягає сутність права на звернення та які види звер- нень Вам</w:t>
      </w:r>
      <w:r>
        <w:rPr>
          <w:color w:val="231F20"/>
          <w:spacing w:val="-2"/>
          <w:sz w:val="21"/>
        </w:rPr>
        <w:t xml:space="preserve"> </w:t>
      </w:r>
      <w:r>
        <w:rPr>
          <w:color w:val="231F20"/>
          <w:sz w:val="21"/>
        </w:rPr>
        <w:t>відомі?</w:t>
      </w:r>
    </w:p>
    <w:p w14:paraId="14BB4691" w14:textId="77777777" w:rsidR="00DE575E" w:rsidRDefault="002E7560">
      <w:pPr>
        <w:pStyle w:val="BodyText"/>
        <w:spacing w:before="1" w:line="252" w:lineRule="auto"/>
        <w:ind w:left="533" w:right="123" w:firstLine="283"/>
      </w:pPr>
      <w:r>
        <w:rPr>
          <w:color w:val="231F20"/>
        </w:rPr>
        <w:t>10.Яким умовам має відповідати правомірне звернення громадя- нина?</w:t>
      </w:r>
    </w:p>
    <w:p w14:paraId="6F8EDD93" w14:textId="77777777" w:rsidR="00DE575E" w:rsidRDefault="002E7560">
      <w:pPr>
        <w:pStyle w:val="BodyText"/>
        <w:spacing w:before="1" w:line="252" w:lineRule="auto"/>
        <w:ind w:left="533" w:right="128" w:firstLine="283"/>
      </w:pPr>
      <w:r>
        <w:rPr>
          <w:color w:val="231F20"/>
        </w:rPr>
        <w:t>11.У чому полягає сутність електронних звернень громадян та які їх види передбачені в нормах законодавства України?</w:t>
      </w:r>
    </w:p>
    <w:p w14:paraId="56D73362" w14:textId="77777777" w:rsidR="00DE575E" w:rsidRDefault="002E7560">
      <w:pPr>
        <w:pStyle w:val="BodyText"/>
        <w:spacing w:before="1" w:line="252" w:lineRule="auto"/>
        <w:ind w:left="533" w:firstLine="283"/>
      </w:pPr>
      <w:r>
        <w:rPr>
          <w:color w:val="231F20"/>
        </w:rPr>
        <w:t>12.У якому порядку має розглядатися звернення громадян, яке одночасно є і запитом на публічну інформацію?</w:t>
      </w:r>
    </w:p>
    <w:p w14:paraId="18DB0E7F" w14:textId="77777777" w:rsidR="00DE575E" w:rsidRDefault="002E7560">
      <w:pPr>
        <w:pStyle w:val="BodyText"/>
        <w:spacing w:before="1" w:line="252" w:lineRule="auto"/>
        <w:ind w:left="533" w:firstLine="283"/>
      </w:pPr>
      <w:r>
        <w:rPr>
          <w:color w:val="231F20"/>
        </w:rPr>
        <w:t>13.У чому полягає юридична сутніст</w:t>
      </w:r>
      <w:r>
        <w:rPr>
          <w:color w:val="231F20"/>
        </w:rPr>
        <w:t>ь права фізичної особи на доступ до публічної інформації?</w:t>
      </w:r>
    </w:p>
    <w:p w14:paraId="26C7D416" w14:textId="77777777" w:rsidR="00DE575E" w:rsidRDefault="002E7560">
      <w:pPr>
        <w:pStyle w:val="BodyText"/>
        <w:spacing w:before="1" w:line="252" w:lineRule="auto"/>
        <w:ind w:left="533" w:right="128" w:firstLine="283"/>
      </w:pPr>
      <w:r>
        <w:rPr>
          <w:color w:val="231F20"/>
        </w:rPr>
        <w:t>14.На яких принципах ґрунтується здійснення громадянами свого права на доступ до публічної інформації?</w:t>
      </w:r>
    </w:p>
    <w:p w14:paraId="5B202170" w14:textId="77777777" w:rsidR="00DE575E" w:rsidRDefault="002E7560">
      <w:pPr>
        <w:pStyle w:val="BodyText"/>
        <w:spacing w:before="1" w:line="252" w:lineRule="auto"/>
        <w:ind w:left="533" w:firstLine="283"/>
      </w:pPr>
      <w:r>
        <w:rPr>
          <w:color w:val="231F20"/>
        </w:rPr>
        <w:t>15.У яких випадках правомірний доступ до публічної інформації може бути обмежений?</w:t>
      </w:r>
    </w:p>
    <w:p w14:paraId="7AAFB088" w14:textId="77777777" w:rsidR="00DE575E" w:rsidRDefault="002E7560">
      <w:pPr>
        <w:pStyle w:val="BodyText"/>
        <w:spacing w:before="1" w:line="252" w:lineRule="auto"/>
        <w:ind w:left="533" w:right="128" w:firstLine="283"/>
      </w:pPr>
      <w:r>
        <w:rPr>
          <w:color w:val="231F20"/>
        </w:rPr>
        <w:t>16.Якими спо</w:t>
      </w:r>
      <w:r>
        <w:rPr>
          <w:color w:val="231F20"/>
        </w:rPr>
        <w:t>собами громадяни можуть реалізувати своє право на доступ до публічної інформації?</w:t>
      </w:r>
    </w:p>
    <w:p w14:paraId="4114525C" w14:textId="77777777" w:rsidR="00DE575E" w:rsidRDefault="002E7560">
      <w:pPr>
        <w:pStyle w:val="BodyText"/>
        <w:spacing w:before="1" w:line="252" w:lineRule="auto"/>
        <w:ind w:left="533" w:firstLine="283"/>
      </w:pPr>
      <w:r>
        <w:rPr>
          <w:color w:val="231F20"/>
        </w:rPr>
        <w:t>17.У чому виявляється юридична сутність права приватних фізичних осіб на мирні зібрання?</w:t>
      </w:r>
    </w:p>
    <w:p w14:paraId="43A85E20" w14:textId="77777777" w:rsidR="00DE575E" w:rsidRDefault="00DE575E">
      <w:pPr>
        <w:pStyle w:val="BodyText"/>
        <w:spacing w:before="2"/>
        <w:rPr>
          <w:sz w:val="22"/>
        </w:rPr>
      </w:pPr>
    </w:p>
    <w:p w14:paraId="2D2FCF23" w14:textId="77777777" w:rsidR="00DE575E" w:rsidRDefault="002E7560">
      <w:pPr>
        <w:pStyle w:val="Heading5"/>
        <w:ind w:left="1778"/>
      </w:pPr>
      <w:r>
        <w:rPr>
          <w:color w:val="231F20"/>
        </w:rPr>
        <w:t>Література для поглибленого вивчення</w:t>
      </w:r>
    </w:p>
    <w:p w14:paraId="1E2A3F91" w14:textId="77777777" w:rsidR="00DE575E" w:rsidRDefault="00DE575E">
      <w:pPr>
        <w:pStyle w:val="BodyText"/>
        <w:spacing w:before="2"/>
        <w:rPr>
          <w:b/>
          <w:sz w:val="23"/>
        </w:rPr>
      </w:pPr>
    </w:p>
    <w:p w14:paraId="55D56CF3" w14:textId="77777777" w:rsidR="00DE575E" w:rsidRDefault="002E7560">
      <w:pPr>
        <w:pStyle w:val="ListParagraph"/>
        <w:numPr>
          <w:ilvl w:val="0"/>
          <w:numId w:val="229"/>
        </w:numPr>
        <w:tabs>
          <w:tab w:val="left" w:pos="1101"/>
        </w:tabs>
        <w:spacing w:before="0" w:line="252" w:lineRule="auto"/>
        <w:ind w:right="132" w:firstLine="284"/>
        <w:rPr>
          <w:sz w:val="21"/>
        </w:rPr>
      </w:pPr>
      <w:r>
        <w:rPr>
          <w:color w:val="231F20"/>
          <w:sz w:val="21"/>
        </w:rPr>
        <w:t xml:space="preserve">Гриценко І., Мельник </w:t>
      </w:r>
      <w:r>
        <w:rPr>
          <w:color w:val="231F20"/>
          <w:spacing w:val="-14"/>
          <w:sz w:val="21"/>
        </w:rPr>
        <w:t xml:space="preserve">Р. </w:t>
      </w:r>
      <w:r>
        <w:rPr>
          <w:color w:val="231F20"/>
          <w:sz w:val="21"/>
        </w:rPr>
        <w:t>та ін. Загальне адміні</w:t>
      </w:r>
      <w:r>
        <w:rPr>
          <w:color w:val="231F20"/>
          <w:sz w:val="21"/>
        </w:rPr>
        <w:t>стративне право: підручник. Київ: Юрінком Інтер, 2015. 568</w:t>
      </w:r>
      <w:r>
        <w:rPr>
          <w:color w:val="231F20"/>
          <w:spacing w:val="-2"/>
          <w:sz w:val="21"/>
        </w:rPr>
        <w:t xml:space="preserve"> </w:t>
      </w:r>
      <w:r>
        <w:rPr>
          <w:color w:val="231F20"/>
          <w:sz w:val="21"/>
        </w:rPr>
        <w:t>с.</w:t>
      </w:r>
    </w:p>
    <w:p w14:paraId="77C186DB" w14:textId="77777777" w:rsidR="00DE575E" w:rsidRDefault="002E7560">
      <w:pPr>
        <w:pStyle w:val="ListParagraph"/>
        <w:numPr>
          <w:ilvl w:val="0"/>
          <w:numId w:val="229"/>
        </w:numPr>
        <w:tabs>
          <w:tab w:val="left" w:pos="1101"/>
        </w:tabs>
        <w:spacing w:line="252" w:lineRule="auto"/>
        <w:ind w:right="130" w:firstLine="284"/>
        <w:rPr>
          <w:sz w:val="21"/>
        </w:rPr>
      </w:pPr>
      <w:r>
        <w:rPr>
          <w:color w:val="231F20"/>
          <w:sz w:val="21"/>
        </w:rPr>
        <w:t xml:space="preserve">Коломоєць </w:t>
      </w:r>
      <w:r>
        <w:rPr>
          <w:color w:val="231F20"/>
          <w:spacing w:val="-12"/>
          <w:sz w:val="21"/>
        </w:rPr>
        <w:t>Т.</w:t>
      </w:r>
      <w:r>
        <w:rPr>
          <w:color w:val="231F20"/>
          <w:spacing w:val="21"/>
          <w:sz w:val="21"/>
        </w:rPr>
        <w:t xml:space="preserve"> </w:t>
      </w:r>
      <w:r>
        <w:rPr>
          <w:color w:val="231F20"/>
          <w:sz w:val="21"/>
        </w:rPr>
        <w:t xml:space="preserve">Адміністративне право </w:t>
      </w:r>
      <w:r>
        <w:rPr>
          <w:color w:val="231F20"/>
          <w:spacing w:val="-3"/>
          <w:sz w:val="21"/>
        </w:rPr>
        <w:t xml:space="preserve">України. </w:t>
      </w:r>
      <w:r>
        <w:rPr>
          <w:color w:val="231F20"/>
          <w:sz w:val="21"/>
        </w:rPr>
        <w:t>Академічний курс: підручник. Київ: Юрінком Інтер, 2011. 576</w:t>
      </w:r>
      <w:r>
        <w:rPr>
          <w:color w:val="231F20"/>
          <w:spacing w:val="-4"/>
          <w:sz w:val="21"/>
        </w:rPr>
        <w:t xml:space="preserve"> </w:t>
      </w:r>
      <w:r>
        <w:rPr>
          <w:color w:val="231F20"/>
          <w:sz w:val="21"/>
        </w:rPr>
        <w:t>с.</w:t>
      </w:r>
    </w:p>
    <w:p w14:paraId="565F84EE" w14:textId="77777777" w:rsidR="00DE575E" w:rsidRDefault="002E7560">
      <w:pPr>
        <w:pStyle w:val="ListParagraph"/>
        <w:numPr>
          <w:ilvl w:val="0"/>
          <w:numId w:val="229"/>
        </w:numPr>
        <w:tabs>
          <w:tab w:val="left" w:pos="1101"/>
        </w:tabs>
        <w:spacing w:line="252" w:lineRule="auto"/>
        <w:ind w:right="130" w:firstLine="284"/>
        <w:jc w:val="both"/>
        <w:rPr>
          <w:sz w:val="21"/>
        </w:rPr>
      </w:pPr>
      <w:r>
        <w:rPr>
          <w:color w:val="231F20"/>
          <w:sz w:val="21"/>
        </w:rPr>
        <w:t xml:space="preserve">Галунько </w:t>
      </w:r>
      <w:r>
        <w:rPr>
          <w:color w:val="231F20"/>
          <w:spacing w:val="-3"/>
          <w:sz w:val="21"/>
        </w:rPr>
        <w:t xml:space="preserve">В., </w:t>
      </w:r>
      <w:r>
        <w:rPr>
          <w:color w:val="231F20"/>
          <w:sz w:val="21"/>
        </w:rPr>
        <w:t xml:space="preserve">Олефір </w:t>
      </w:r>
      <w:r>
        <w:rPr>
          <w:color w:val="231F20"/>
          <w:spacing w:val="-3"/>
          <w:sz w:val="21"/>
        </w:rPr>
        <w:t xml:space="preserve">В. </w:t>
      </w:r>
      <w:r>
        <w:rPr>
          <w:color w:val="231F20"/>
          <w:sz w:val="21"/>
        </w:rPr>
        <w:t xml:space="preserve">та ін. Адміністративне право </w:t>
      </w:r>
      <w:r>
        <w:rPr>
          <w:color w:val="231F20"/>
          <w:spacing w:val="-3"/>
          <w:sz w:val="21"/>
        </w:rPr>
        <w:t xml:space="preserve">України: </w:t>
      </w:r>
      <w:r>
        <w:rPr>
          <w:color w:val="231F20"/>
          <w:sz w:val="21"/>
        </w:rPr>
        <w:t xml:space="preserve">підручник </w:t>
      </w:r>
      <w:r>
        <w:rPr>
          <w:color w:val="231F20"/>
          <w:spacing w:val="-12"/>
          <w:sz w:val="21"/>
        </w:rPr>
        <w:t xml:space="preserve">Т. </w:t>
      </w:r>
      <w:r>
        <w:rPr>
          <w:color w:val="231F20"/>
          <w:sz w:val="21"/>
        </w:rPr>
        <w:t>1: Загальне а</w:t>
      </w:r>
      <w:r>
        <w:rPr>
          <w:color w:val="231F20"/>
          <w:sz w:val="21"/>
        </w:rPr>
        <w:t>дміністративне право. Академічний курс. Херсон: ХМД, 2013. 396</w:t>
      </w:r>
      <w:r>
        <w:rPr>
          <w:color w:val="231F20"/>
          <w:spacing w:val="-2"/>
          <w:sz w:val="21"/>
        </w:rPr>
        <w:t xml:space="preserve"> </w:t>
      </w:r>
      <w:r>
        <w:rPr>
          <w:color w:val="231F20"/>
          <w:sz w:val="21"/>
        </w:rPr>
        <w:t>с.</w:t>
      </w:r>
    </w:p>
    <w:p w14:paraId="297B8497" w14:textId="77777777" w:rsidR="00DE575E" w:rsidRDefault="00DE575E">
      <w:pPr>
        <w:pStyle w:val="BodyText"/>
        <w:spacing w:before="6"/>
        <w:rPr>
          <w:sz w:val="12"/>
        </w:rPr>
      </w:pPr>
    </w:p>
    <w:p w14:paraId="029A5E70" w14:textId="77777777" w:rsidR="00DE575E" w:rsidRDefault="002E7560">
      <w:pPr>
        <w:spacing w:before="92"/>
        <w:ind w:left="533"/>
        <w:rPr>
          <w:rFonts w:ascii="Times New Roman"/>
          <w:sz w:val="20"/>
        </w:rPr>
      </w:pPr>
      <w:r>
        <w:rPr>
          <w:rFonts w:ascii="Times New Roman"/>
          <w:color w:val="231F20"/>
          <w:sz w:val="20"/>
        </w:rPr>
        <w:t>172</w:t>
      </w:r>
    </w:p>
    <w:p w14:paraId="7725B066" w14:textId="77777777" w:rsidR="00DE575E" w:rsidRDefault="00DE575E">
      <w:pPr>
        <w:rPr>
          <w:rFonts w:ascii="Times New Roman"/>
          <w:sz w:val="20"/>
        </w:rPr>
        <w:sectPr w:rsidR="00DE575E">
          <w:pgSz w:w="8510" w:h="12760"/>
          <w:pgMar w:top="660" w:right="720" w:bottom="280" w:left="600" w:header="720" w:footer="720" w:gutter="0"/>
          <w:cols w:space="720"/>
        </w:sectPr>
      </w:pPr>
    </w:p>
    <w:p w14:paraId="7BED1E5B" w14:textId="77777777" w:rsidR="00DE575E" w:rsidRDefault="002E7560">
      <w:pPr>
        <w:spacing w:before="72" w:line="249" w:lineRule="auto"/>
        <w:ind w:left="1725" w:firstLine="1746"/>
        <w:rPr>
          <w:rFonts w:ascii="AdonisC" w:hAnsi="AdonisC"/>
          <w:i/>
          <w:sz w:val="18"/>
        </w:rPr>
      </w:pPr>
      <w:r>
        <w:rPr>
          <w:rFonts w:ascii="AdonisC" w:hAnsi="AdonisC"/>
          <w:i/>
          <w:color w:val="231F20"/>
          <w:sz w:val="18"/>
        </w:rPr>
        <w:t>Глава І. Загальне адміністративне право Розділ 5. Приватна особа як суб’єкт адміністративного права</w:t>
      </w:r>
    </w:p>
    <w:p w14:paraId="52B29027" w14:textId="2DD6F3A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89AEE2E" wp14:editId="0478EADE">
                <wp:extent cx="4140200" cy="6350"/>
                <wp:effectExtent l="0" t="0" r="12700" b="6350"/>
                <wp:docPr id="98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86" name="Line 9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872C30" id="Group_x0020_9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FlsN5/AgAAmAUAAA4A&#10;AAAAAAAAAAAAAAAALAIAAGRycy9lMm9Eb2MueG1sUEsBAi0AFAAGAAgAAAAhAEynsJDZAAAAAwEA&#10;AA8AAAAAAAAAAAAAAAAA1wQAAGRycy9kb3ducmV2LnhtbFBLBQYAAAAABAAEAPMAAADdBQAAAAA=&#10;">
                <v:line id="Line_x0020_9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wu88YAAADcAAAADwAAAGRycy9kb3ducmV2LnhtbESP3WrCQBSE7wt9h+UUvCl1o4LY1FVE&#10;EMQL/9IHOGZPk9DdszG7mujTdwuCl8PMfMNM55014kqNrxwrGPQTEMS50xUXCr6z1ccEhA/IGo1j&#10;UnAjD/PZ68sUU+1aPtD1GAoRIexTVFCGUKdS+rwki77vauLo/bjGYoiyKaRusI1wa+QwScbSYsVx&#10;ocSaliXlv8eLVZCd34PZ7zamzXankTydt6P7ZatU761bfIEI1IVn+NFeawWfkzH8n4lH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sLvPGAAAA3AAAAA8AAAAAAAAA&#10;AAAAAAAAoQIAAGRycy9kb3ducmV2LnhtbFBLBQYAAAAABAAEAPkAAACUAwAAAAA=&#10;" strokecolor="#231f20" strokeweight=".5pt"/>
                <w10:anchorlock/>
              </v:group>
            </w:pict>
          </mc:Fallback>
        </mc:AlternateContent>
      </w:r>
    </w:p>
    <w:p w14:paraId="27511531" w14:textId="77777777" w:rsidR="00DE575E" w:rsidRDefault="00DE575E">
      <w:pPr>
        <w:pStyle w:val="BodyText"/>
        <w:spacing w:before="7"/>
        <w:rPr>
          <w:rFonts w:ascii="AdonisC"/>
          <w:i/>
          <w:sz w:val="19"/>
        </w:rPr>
      </w:pPr>
    </w:p>
    <w:p w14:paraId="6CA6B74A" w14:textId="77777777" w:rsidR="00DE575E" w:rsidRDefault="002E7560">
      <w:pPr>
        <w:pStyle w:val="ListParagraph"/>
        <w:numPr>
          <w:ilvl w:val="0"/>
          <w:numId w:val="228"/>
        </w:numPr>
        <w:tabs>
          <w:tab w:val="left" w:pos="818"/>
        </w:tabs>
        <w:spacing w:line="252" w:lineRule="auto"/>
        <w:ind w:right="409" w:firstLine="283"/>
        <w:jc w:val="both"/>
        <w:rPr>
          <w:sz w:val="21"/>
        </w:rPr>
      </w:pPr>
      <w:r>
        <w:rPr>
          <w:color w:val="231F20"/>
          <w:sz w:val="21"/>
        </w:rPr>
        <w:t xml:space="preserve">Заярний О. </w:t>
      </w:r>
      <w:r>
        <w:rPr>
          <w:color w:val="231F20"/>
          <w:spacing w:val="1"/>
          <w:sz w:val="21"/>
        </w:rPr>
        <w:t xml:space="preserve">А. </w:t>
      </w:r>
      <w:r>
        <w:rPr>
          <w:color w:val="231F20"/>
          <w:sz w:val="21"/>
        </w:rPr>
        <w:t>Правове забезпечення розвитку інформаційної сфери України: адміністративно-деліктний аспект : монографія / О.А. Заярний. – Херсон: Видавничий дім «Гельветика», 2017. – 700</w:t>
      </w:r>
      <w:r>
        <w:rPr>
          <w:color w:val="231F20"/>
          <w:spacing w:val="45"/>
          <w:sz w:val="21"/>
        </w:rPr>
        <w:t xml:space="preserve"> </w:t>
      </w:r>
      <w:r>
        <w:rPr>
          <w:color w:val="231F20"/>
          <w:sz w:val="21"/>
        </w:rPr>
        <w:t>с.</w:t>
      </w:r>
    </w:p>
    <w:p w14:paraId="52D27E74" w14:textId="77777777" w:rsidR="00DE575E" w:rsidRDefault="002E7560">
      <w:pPr>
        <w:pStyle w:val="ListParagraph"/>
        <w:numPr>
          <w:ilvl w:val="0"/>
          <w:numId w:val="228"/>
        </w:numPr>
        <w:tabs>
          <w:tab w:val="left" w:pos="818"/>
        </w:tabs>
        <w:spacing w:line="252" w:lineRule="auto"/>
        <w:ind w:right="411" w:firstLine="283"/>
        <w:jc w:val="both"/>
        <w:rPr>
          <w:sz w:val="21"/>
        </w:rPr>
      </w:pPr>
      <w:r>
        <w:rPr>
          <w:color w:val="231F20"/>
          <w:sz w:val="21"/>
        </w:rPr>
        <w:t>Курс адміністративного права У</w:t>
      </w:r>
      <w:r>
        <w:rPr>
          <w:color w:val="231F20"/>
          <w:sz w:val="21"/>
        </w:rPr>
        <w:t>країни: підручник / за ред. О.В.</w:t>
      </w:r>
      <w:r>
        <w:rPr>
          <w:color w:val="231F20"/>
          <w:spacing w:val="8"/>
          <w:sz w:val="21"/>
        </w:rPr>
        <w:t xml:space="preserve"> </w:t>
      </w:r>
      <w:r>
        <w:rPr>
          <w:color w:val="231F20"/>
          <w:sz w:val="21"/>
        </w:rPr>
        <w:t>Кузьменко.</w:t>
      </w:r>
      <w:r>
        <w:rPr>
          <w:color w:val="231F20"/>
          <w:spacing w:val="8"/>
          <w:sz w:val="21"/>
        </w:rPr>
        <w:t xml:space="preserve"> </w:t>
      </w:r>
      <w:r>
        <w:rPr>
          <w:color w:val="231F20"/>
          <w:sz w:val="21"/>
        </w:rPr>
        <w:t>3-тє</w:t>
      </w:r>
      <w:r>
        <w:rPr>
          <w:color w:val="231F20"/>
          <w:spacing w:val="8"/>
          <w:sz w:val="21"/>
        </w:rPr>
        <w:t xml:space="preserve"> </w:t>
      </w:r>
      <w:r>
        <w:rPr>
          <w:color w:val="231F20"/>
          <w:sz w:val="21"/>
        </w:rPr>
        <w:t>вид.,</w:t>
      </w:r>
      <w:r>
        <w:rPr>
          <w:color w:val="231F20"/>
          <w:spacing w:val="8"/>
          <w:sz w:val="21"/>
        </w:rPr>
        <w:t xml:space="preserve"> </w:t>
      </w:r>
      <w:r>
        <w:rPr>
          <w:color w:val="231F20"/>
          <w:sz w:val="21"/>
        </w:rPr>
        <w:t>допов.</w:t>
      </w:r>
      <w:r>
        <w:rPr>
          <w:color w:val="231F20"/>
          <w:spacing w:val="8"/>
          <w:sz w:val="21"/>
        </w:rPr>
        <w:t xml:space="preserve"> </w:t>
      </w:r>
      <w:r>
        <w:rPr>
          <w:color w:val="231F20"/>
          <w:sz w:val="21"/>
        </w:rPr>
        <w:t>Київ</w:t>
      </w:r>
      <w:r>
        <w:rPr>
          <w:color w:val="231F20"/>
          <w:spacing w:val="8"/>
          <w:sz w:val="21"/>
        </w:rPr>
        <w:t xml:space="preserve"> </w:t>
      </w:r>
      <w:r>
        <w:rPr>
          <w:color w:val="231F20"/>
          <w:sz w:val="21"/>
        </w:rPr>
        <w:t>:</w:t>
      </w:r>
      <w:r>
        <w:rPr>
          <w:color w:val="231F20"/>
          <w:spacing w:val="8"/>
          <w:sz w:val="21"/>
        </w:rPr>
        <w:t xml:space="preserve"> </w:t>
      </w:r>
      <w:r>
        <w:rPr>
          <w:color w:val="231F20"/>
          <w:sz w:val="21"/>
        </w:rPr>
        <w:t>Юрінком</w:t>
      </w:r>
      <w:r>
        <w:rPr>
          <w:color w:val="231F20"/>
          <w:spacing w:val="8"/>
          <w:sz w:val="21"/>
        </w:rPr>
        <w:t xml:space="preserve"> </w:t>
      </w:r>
      <w:r>
        <w:rPr>
          <w:color w:val="231F20"/>
          <w:sz w:val="21"/>
        </w:rPr>
        <w:t>Інтер,</w:t>
      </w:r>
      <w:r>
        <w:rPr>
          <w:color w:val="231F20"/>
          <w:spacing w:val="8"/>
          <w:sz w:val="21"/>
        </w:rPr>
        <w:t xml:space="preserve"> </w:t>
      </w:r>
      <w:r>
        <w:rPr>
          <w:color w:val="231F20"/>
          <w:sz w:val="21"/>
        </w:rPr>
        <w:t>2018.</w:t>
      </w:r>
      <w:r>
        <w:rPr>
          <w:color w:val="231F20"/>
          <w:spacing w:val="8"/>
          <w:sz w:val="21"/>
        </w:rPr>
        <w:t xml:space="preserve"> </w:t>
      </w:r>
      <w:r>
        <w:rPr>
          <w:color w:val="231F20"/>
          <w:sz w:val="21"/>
        </w:rPr>
        <w:t>904</w:t>
      </w:r>
      <w:r>
        <w:rPr>
          <w:color w:val="231F20"/>
          <w:spacing w:val="8"/>
          <w:sz w:val="21"/>
        </w:rPr>
        <w:t xml:space="preserve"> </w:t>
      </w:r>
      <w:r>
        <w:rPr>
          <w:color w:val="231F20"/>
          <w:sz w:val="21"/>
        </w:rPr>
        <w:t>с.</w:t>
      </w:r>
    </w:p>
    <w:p w14:paraId="704A099F" w14:textId="77777777" w:rsidR="00DE575E" w:rsidRDefault="002E7560">
      <w:pPr>
        <w:pStyle w:val="ListParagraph"/>
        <w:numPr>
          <w:ilvl w:val="0"/>
          <w:numId w:val="228"/>
        </w:numPr>
        <w:tabs>
          <w:tab w:val="left" w:pos="818"/>
        </w:tabs>
        <w:spacing w:line="252" w:lineRule="auto"/>
        <w:ind w:right="411" w:firstLine="283"/>
        <w:jc w:val="both"/>
        <w:rPr>
          <w:sz w:val="21"/>
        </w:rPr>
      </w:pPr>
      <w:r>
        <w:rPr>
          <w:color w:val="231F20"/>
          <w:sz w:val="21"/>
        </w:rPr>
        <w:t xml:space="preserve">Куйбіда </w:t>
      </w:r>
      <w:r>
        <w:rPr>
          <w:color w:val="231F20"/>
          <w:spacing w:val="-10"/>
          <w:sz w:val="21"/>
        </w:rPr>
        <w:t xml:space="preserve">Р., </w:t>
      </w:r>
      <w:r>
        <w:rPr>
          <w:color w:val="231F20"/>
          <w:sz w:val="21"/>
        </w:rPr>
        <w:t xml:space="preserve">Шишкін </w:t>
      </w:r>
      <w:r>
        <w:rPr>
          <w:color w:val="231F20"/>
          <w:spacing w:val="-3"/>
          <w:sz w:val="21"/>
        </w:rPr>
        <w:t xml:space="preserve">В. </w:t>
      </w:r>
      <w:r>
        <w:rPr>
          <w:color w:val="231F20"/>
          <w:sz w:val="21"/>
        </w:rPr>
        <w:t xml:space="preserve">та ін. Основи адміністративного </w:t>
      </w:r>
      <w:r>
        <w:rPr>
          <w:color w:val="231F20"/>
          <w:spacing w:val="-3"/>
          <w:sz w:val="21"/>
        </w:rPr>
        <w:t xml:space="preserve">судо- </w:t>
      </w:r>
      <w:r>
        <w:rPr>
          <w:color w:val="231F20"/>
          <w:sz w:val="21"/>
        </w:rPr>
        <w:t xml:space="preserve">чинства та адміністративного права: навчальний посібник. Київ: Старий </w:t>
      </w:r>
      <w:r>
        <w:rPr>
          <w:color w:val="231F20"/>
          <w:spacing w:val="-4"/>
          <w:sz w:val="21"/>
        </w:rPr>
        <w:t xml:space="preserve">світ, </w:t>
      </w:r>
      <w:r>
        <w:rPr>
          <w:color w:val="231F20"/>
          <w:sz w:val="21"/>
        </w:rPr>
        <w:t>2006. 576</w:t>
      </w:r>
      <w:r>
        <w:rPr>
          <w:color w:val="231F20"/>
          <w:spacing w:val="2"/>
          <w:sz w:val="21"/>
        </w:rPr>
        <w:t xml:space="preserve"> </w:t>
      </w:r>
      <w:r>
        <w:rPr>
          <w:color w:val="231F20"/>
          <w:sz w:val="21"/>
        </w:rPr>
        <w:t>с.</w:t>
      </w:r>
    </w:p>
    <w:p w14:paraId="635FFEAA" w14:textId="77777777" w:rsidR="00DE575E" w:rsidRDefault="002E7560">
      <w:pPr>
        <w:pStyle w:val="ListParagraph"/>
        <w:numPr>
          <w:ilvl w:val="0"/>
          <w:numId w:val="228"/>
        </w:numPr>
        <w:tabs>
          <w:tab w:val="left" w:pos="818"/>
        </w:tabs>
        <w:spacing w:before="2" w:line="252" w:lineRule="auto"/>
        <w:ind w:right="408" w:firstLine="283"/>
        <w:jc w:val="both"/>
        <w:rPr>
          <w:sz w:val="21"/>
        </w:rPr>
      </w:pPr>
      <w:r>
        <w:rPr>
          <w:color w:val="231F20"/>
          <w:sz w:val="21"/>
        </w:rPr>
        <w:t xml:space="preserve">Авер’янов В. та ін. Адміністративне право України. Акаде- мічний курс: у 2-х т: підручник: </w:t>
      </w:r>
      <w:r>
        <w:rPr>
          <w:color w:val="231F20"/>
          <w:spacing w:val="-5"/>
          <w:sz w:val="21"/>
        </w:rPr>
        <w:t xml:space="preserve">Том </w:t>
      </w:r>
      <w:r>
        <w:rPr>
          <w:color w:val="231F20"/>
          <w:sz w:val="21"/>
        </w:rPr>
        <w:t>1. Загальна частина. Київ: Юридична думка, 2007. 592</w:t>
      </w:r>
      <w:r>
        <w:rPr>
          <w:color w:val="231F20"/>
          <w:spacing w:val="17"/>
          <w:sz w:val="21"/>
        </w:rPr>
        <w:t xml:space="preserve"> </w:t>
      </w:r>
      <w:r>
        <w:rPr>
          <w:color w:val="231F20"/>
          <w:sz w:val="21"/>
        </w:rPr>
        <w:t>с.</w:t>
      </w:r>
    </w:p>
    <w:p w14:paraId="74B99ACB" w14:textId="77777777" w:rsidR="00DE575E" w:rsidRDefault="002E7560">
      <w:pPr>
        <w:pStyle w:val="ListParagraph"/>
        <w:numPr>
          <w:ilvl w:val="0"/>
          <w:numId w:val="228"/>
        </w:numPr>
        <w:tabs>
          <w:tab w:val="left" w:pos="818"/>
        </w:tabs>
        <w:spacing w:line="252" w:lineRule="auto"/>
        <w:ind w:right="413" w:firstLine="283"/>
        <w:jc w:val="both"/>
        <w:rPr>
          <w:sz w:val="21"/>
        </w:rPr>
      </w:pPr>
      <w:r>
        <w:rPr>
          <w:color w:val="231F20"/>
          <w:sz w:val="21"/>
        </w:rPr>
        <w:t xml:space="preserve">Колпаков </w:t>
      </w:r>
      <w:r>
        <w:rPr>
          <w:color w:val="231F20"/>
          <w:spacing w:val="-3"/>
          <w:sz w:val="21"/>
        </w:rPr>
        <w:t xml:space="preserve">В., </w:t>
      </w:r>
      <w:r>
        <w:rPr>
          <w:color w:val="231F20"/>
          <w:sz w:val="21"/>
        </w:rPr>
        <w:t xml:space="preserve">Кузьменко </w:t>
      </w:r>
      <w:r>
        <w:rPr>
          <w:color w:val="231F20"/>
          <w:spacing w:val="-3"/>
          <w:sz w:val="21"/>
        </w:rPr>
        <w:t xml:space="preserve">О. </w:t>
      </w:r>
      <w:r>
        <w:rPr>
          <w:color w:val="231F20"/>
          <w:sz w:val="21"/>
        </w:rPr>
        <w:t xml:space="preserve">та ін. Курс адміністративного права </w:t>
      </w:r>
      <w:r>
        <w:rPr>
          <w:color w:val="231F20"/>
          <w:spacing w:val="-3"/>
          <w:sz w:val="21"/>
        </w:rPr>
        <w:t xml:space="preserve">України: </w:t>
      </w:r>
      <w:r>
        <w:rPr>
          <w:color w:val="231F20"/>
          <w:sz w:val="21"/>
        </w:rPr>
        <w:t>підручник. Київ: Юрінком Інтер, 20</w:t>
      </w:r>
      <w:r>
        <w:rPr>
          <w:color w:val="231F20"/>
          <w:sz w:val="21"/>
        </w:rPr>
        <w:t>12. 809</w:t>
      </w:r>
      <w:r>
        <w:rPr>
          <w:color w:val="231F20"/>
          <w:sz w:val="21"/>
        </w:rPr>
        <w:t xml:space="preserve"> </w:t>
      </w:r>
      <w:r>
        <w:rPr>
          <w:color w:val="231F20"/>
          <w:sz w:val="21"/>
        </w:rPr>
        <w:t>с.</w:t>
      </w:r>
    </w:p>
    <w:p w14:paraId="0F745230" w14:textId="77777777" w:rsidR="00DE575E" w:rsidRDefault="002E7560">
      <w:pPr>
        <w:pStyle w:val="ListParagraph"/>
        <w:numPr>
          <w:ilvl w:val="0"/>
          <w:numId w:val="228"/>
        </w:numPr>
        <w:tabs>
          <w:tab w:val="left" w:pos="818"/>
        </w:tabs>
        <w:spacing w:line="252" w:lineRule="auto"/>
        <w:ind w:right="415" w:firstLine="283"/>
        <w:jc w:val="both"/>
        <w:rPr>
          <w:sz w:val="21"/>
        </w:rPr>
      </w:pPr>
      <w:r>
        <w:rPr>
          <w:color w:val="231F20"/>
          <w:sz w:val="21"/>
        </w:rPr>
        <w:t>Пасічник А. Адміністративна правосуб’єктність юридичних осіб приватного права: монографія. Суми: Мрія-1,</w:t>
      </w:r>
      <w:r>
        <w:rPr>
          <w:color w:val="231F20"/>
          <w:spacing w:val="-6"/>
          <w:sz w:val="21"/>
        </w:rPr>
        <w:t xml:space="preserve"> </w:t>
      </w:r>
      <w:r>
        <w:rPr>
          <w:color w:val="231F20"/>
          <w:sz w:val="21"/>
        </w:rPr>
        <w:t>2014.</w:t>
      </w:r>
    </w:p>
    <w:p w14:paraId="7C81B966" w14:textId="77777777" w:rsidR="00DE575E" w:rsidRDefault="002E7560">
      <w:pPr>
        <w:spacing w:before="1" w:line="252" w:lineRule="auto"/>
        <w:ind w:left="250" w:right="411" w:firstLine="283"/>
        <w:jc w:val="both"/>
        <w:rPr>
          <w:sz w:val="21"/>
        </w:rPr>
      </w:pPr>
      <w:r>
        <w:rPr>
          <w:color w:val="231F20"/>
          <w:sz w:val="21"/>
        </w:rPr>
        <w:t xml:space="preserve">10.Мацелик </w:t>
      </w:r>
      <w:r>
        <w:rPr>
          <w:color w:val="231F20"/>
          <w:spacing w:val="-12"/>
          <w:sz w:val="21"/>
        </w:rPr>
        <w:t xml:space="preserve">Т. </w:t>
      </w:r>
      <w:r>
        <w:rPr>
          <w:color w:val="231F20"/>
          <w:sz w:val="21"/>
        </w:rPr>
        <w:t xml:space="preserve">Адміністративна правосуб’єктність як онтологічна здатність особи бути </w:t>
      </w:r>
      <w:r>
        <w:rPr>
          <w:color w:val="231F20"/>
          <w:spacing w:val="-3"/>
          <w:sz w:val="21"/>
        </w:rPr>
        <w:t xml:space="preserve">суб’єктом </w:t>
      </w:r>
      <w:r>
        <w:rPr>
          <w:color w:val="231F20"/>
          <w:sz w:val="21"/>
        </w:rPr>
        <w:t xml:space="preserve">адміністративного права. </w:t>
      </w:r>
      <w:r>
        <w:rPr>
          <w:i/>
          <w:color w:val="231F20"/>
          <w:sz w:val="21"/>
        </w:rPr>
        <w:t xml:space="preserve">Науковий </w:t>
      </w:r>
      <w:r>
        <w:rPr>
          <w:i/>
          <w:color w:val="231F20"/>
          <w:sz w:val="21"/>
        </w:rPr>
        <w:t>вісник Чернівецького університету</w:t>
      </w:r>
      <w:r>
        <w:rPr>
          <w:color w:val="231F20"/>
          <w:sz w:val="21"/>
        </w:rPr>
        <w:t>. 2011. Вип. 597.</w:t>
      </w:r>
    </w:p>
    <w:p w14:paraId="17B28694" w14:textId="77777777" w:rsidR="00DE575E" w:rsidRDefault="002E7560">
      <w:pPr>
        <w:pStyle w:val="BodyText"/>
        <w:spacing w:before="2" w:line="252" w:lineRule="auto"/>
        <w:ind w:left="250" w:right="410" w:firstLine="283"/>
        <w:jc w:val="both"/>
      </w:pPr>
      <w:r>
        <w:rPr>
          <w:color w:val="231F20"/>
        </w:rPr>
        <w:t>11.Головенко Р., Котляр Д., Слизьконіс Д. Доступ до публічної інформації: посібник. Київ: ЦПСА, 2014. С. 10.</w:t>
      </w:r>
    </w:p>
    <w:p w14:paraId="36E18D72" w14:textId="77777777" w:rsidR="00DE575E" w:rsidRDefault="002E7560">
      <w:pPr>
        <w:pStyle w:val="BodyText"/>
        <w:spacing w:before="1" w:line="252" w:lineRule="auto"/>
        <w:ind w:left="250" w:right="411" w:firstLine="283"/>
        <w:jc w:val="both"/>
      </w:pPr>
      <w:r>
        <w:rPr>
          <w:color w:val="231F20"/>
        </w:rPr>
        <w:t>12.Мельник Р. Право на свободу мирних зібрань: теорія і прак- тика. Київ, 2015. С. 116.</w:t>
      </w:r>
    </w:p>
    <w:p w14:paraId="05FC124E" w14:textId="77777777" w:rsidR="00DE575E" w:rsidRDefault="00DE575E">
      <w:pPr>
        <w:pStyle w:val="BodyText"/>
        <w:rPr>
          <w:sz w:val="20"/>
        </w:rPr>
      </w:pPr>
    </w:p>
    <w:p w14:paraId="3256DD2E" w14:textId="77777777" w:rsidR="00DE575E" w:rsidRDefault="00DE575E">
      <w:pPr>
        <w:pStyle w:val="BodyText"/>
        <w:rPr>
          <w:sz w:val="20"/>
        </w:rPr>
      </w:pPr>
    </w:p>
    <w:p w14:paraId="496FF2F2" w14:textId="77777777" w:rsidR="00DE575E" w:rsidRDefault="00DE575E">
      <w:pPr>
        <w:pStyle w:val="BodyText"/>
        <w:rPr>
          <w:sz w:val="20"/>
        </w:rPr>
      </w:pPr>
    </w:p>
    <w:p w14:paraId="66C80175" w14:textId="77777777" w:rsidR="00DE575E" w:rsidRDefault="00DE575E">
      <w:pPr>
        <w:pStyle w:val="BodyText"/>
        <w:rPr>
          <w:sz w:val="20"/>
        </w:rPr>
      </w:pPr>
    </w:p>
    <w:p w14:paraId="21ECD3A7" w14:textId="77777777" w:rsidR="00DE575E" w:rsidRDefault="00DE575E">
      <w:pPr>
        <w:pStyle w:val="BodyText"/>
        <w:rPr>
          <w:sz w:val="20"/>
        </w:rPr>
      </w:pPr>
    </w:p>
    <w:p w14:paraId="15806199" w14:textId="77777777" w:rsidR="00DE575E" w:rsidRDefault="00DE575E">
      <w:pPr>
        <w:pStyle w:val="BodyText"/>
        <w:rPr>
          <w:sz w:val="20"/>
        </w:rPr>
      </w:pPr>
    </w:p>
    <w:p w14:paraId="792CD956" w14:textId="77777777" w:rsidR="00DE575E" w:rsidRDefault="00DE575E">
      <w:pPr>
        <w:pStyle w:val="BodyText"/>
        <w:rPr>
          <w:sz w:val="20"/>
        </w:rPr>
      </w:pPr>
    </w:p>
    <w:p w14:paraId="489A9F45" w14:textId="77777777" w:rsidR="00DE575E" w:rsidRDefault="00DE575E">
      <w:pPr>
        <w:pStyle w:val="BodyText"/>
        <w:rPr>
          <w:sz w:val="20"/>
        </w:rPr>
      </w:pPr>
    </w:p>
    <w:p w14:paraId="6EDCEA9D" w14:textId="77777777" w:rsidR="00DE575E" w:rsidRDefault="00DE575E">
      <w:pPr>
        <w:pStyle w:val="BodyText"/>
        <w:rPr>
          <w:sz w:val="20"/>
        </w:rPr>
      </w:pPr>
    </w:p>
    <w:p w14:paraId="2C216CFE" w14:textId="77777777" w:rsidR="00DE575E" w:rsidRDefault="00DE575E">
      <w:pPr>
        <w:pStyle w:val="BodyText"/>
        <w:rPr>
          <w:sz w:val="20"/>
        </w:rPr>
      </w:pPr>
    </w:p>
    <w:p w14:paraId="195F0BBE" w14:textId="77777777" w:rsidR="00DE575E" w:rsidRDefault="00DE575E">
      <w:pPr>
        <w:pStyle w:val="BodyText"/>
        <w:rPr>
          <w:sz w:val="20"/>
        </w:rPr>
      </w:pPr>
    </w:p>
    <w:p w14:paraId="6E5225BA" w14:textId="77777777" w:rsidR="00DE575E" w:rsidRDefault="00DE575E">
      <w:pPr>
        <w:pStyle w:val="BodyText"/>
        <w:rPr>
          <w:sz w:val="20"/>
        </w:rPr>
      </w:pPr>
    </w:p>
    <w:p w14:paraId="607E4921" w14:textId="77777777" w:rsidR="00DE575E" w:rsidRDefault="00DE575E">
      <w:pPr>
        <w:pStyle w:val="BodyText"/>
        <w:rPr>
          <w:sz w:val="20"/>
        </w:rPr>
      </w:pPr>
    </w:p>
    <w:p w14:paraId="67C85ADE" w14:textId="77777777" w:rsidR="00DE575E" w:rsidRDefault="00DE575E">
      <w:pPr>
        <w:pStyle w:val="BodyText"/>
        <w:rPr>
          <w:sz w:val="20"/>
        </w:rPr>
      </w:pPr>
    </w:p>
    <w:p w14:paraId="0C52D55C" w14:textId="77777777" w:rsidR="00DE575E" w:rsidRDefault="00DE575E">
      <w:pPr>
        <w:pStyle w:val="BodyText"/>
        <w:rPr>
          <w:sz w:val="20"/>
        </w:rPr>
      </w:pPr>
    </w:p>
    <w:p w14:paraId="60CFF4AD" w14:textId="77777777" w:rsidR="00DE575E" w:rsidRDefault="00DE575E">
      <w:pPr>
        <w:pStyle w:val="BodyText"/>
        <w:rPr>
          <w:sz w:val="20"/>
        </w:rPr>
      </w:pPr>
    </w:p>
    <w:p w14:paraId="24EA6AEA" w14:textId="77777777" w:rsidR="00DE575E" w:rsidRDefault="00DE575E">
      <w:pPr>
        <w:pStyle w:val="BodyText"/>
        <w:rPr>
          <w:sz w:val="20"/>
        </w:rPr>
      </w:pPr>
    </w:p>
    <w:p w14:paraId="50145339" w14:textId="77777777" w:rsidR="00DE575E" w:rsidRDefault="00DE575E">
      <w:pPr>
        <w:pStyle w:val="BodyText"/>
        <w:rPr>
          <w:sz w:val="20"/>
        </w:rPr>
      </w:pPr>
    </w:p>
    <w:p w14:paraId="36C97EBC" w14:textId="77777777" w:rsidR="00DE575E" w:rsidRDefault="00DE575E">
      <w:pPr>
        <w:pStyle w:val="BodyText"/>
        <w:rPr>
          <w:sz w:val="28"/>
        </w:rPr>
      </w:pPr>
    </w:p>
    <w:p w14:paraId="6B0FC1A5" w14:textId="77777777" w:rsidR="00DE575E" w:rsidRDefault="002E7560">
      <w:pPr>
        <w:spacing w:before="91"/>
        <w:ind w:right="411"/>
        <w:jc w:val="right"/>
        <w:rPr>
          <w:rFonts w:ascii="Times New Roman"/>
          <w:sz w:val="20"/>
        </w:rPr>
      </w:pPr>
      <w:r>
        <w:rPr>
          <w:rFonts w:ascii="Times New Roman"/>
          <w:color w:val="231F20"/>
          <w:w w:val="90"/>
          <w:sz w:val="20"/>
        </w:rPr>
        <w:t>173</w:t>
      </w:r>
    </w:p>
    <w:p w14:paraId="5684BE7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D8CC2D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C1A73A3" w14:textId="03D4375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3EB61C2" wp14:editId="6EC7D8C7">
                <wp:extent cx="4140200" cy="6350"/>
                <wp:effectExtent l="0" t="0" r="12700" b="6350"/>
                <wp:docPr id="98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84" name="Line 9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916477" id="Group_x0020_9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V5NDd/AgAAmAUAAA4A&#10;AAAAAAAAAAAAAAAALAIAAGRycy9lMm9Eb2MueG1sUEsBAi0AFAAGAAgAAAAhAEynsJDZAAAAAwEA&#10;AA8AAAAAAAAAAAAAAAAA1wQAAGRycy9kb3ducmV2LnhtbFBLBQYAAAAABAAEAPMAAADdBQAAAAA=&#10;">
                <v:line id="Line_x0020_9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3IVH8YAAADcAAAADwAAAGRycy9kb3ducmV2LnhtbESP3WrCQBSE7wu+w3IEb0rdtJZio6tI&#10;oSBe+Jc+wDF7TIK7Z2N2NdGndwuFXg4z8w0znXfWiCs1vnKs4HWYgCDOna64UPCTfb+MQfiArNE4&#10;JgU38jCf9Z6mmGrX8o6u+1CICGGfooIyhDqV0uclWfRDVxNH7+gaiyHKppC6wTbCrZFvSfIhLVYc&#10;F0qs6auk/LS/WAXZ+TmY7WZl2mxzGMnDeT26X9ZKDfrdYgIiUBf+w3/tpVbwOX6H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yFR/GAAAA3AAAAA8AAAAAAAAA&#10;AAAAAAAAoQIAAGRycy9kb3ducmV2LnhtbFBLBQYAAAAABAAEAPkAAACUAwAAAAA=&#10;" strokecolor="#231f20" strokeweight=".5pt"/>
                <w10:anchorlock/>
              </v:group>
            </w:pict>
          </mc:Fallback>
        </mc:AlternateContent>
      </w:r>
    </w:p>
    <w:p w14:paraId="7DD31864" w14:textId="77777777" w:rsidR="00DE575E" w:rsidRDefault="00DE575E">
      <w:pPr>
        <w:pStyle w:val="BodyText"/>
        <w:rPr>
          <w:rFonts w:ascii="AdonisC"/>
          <w:i/>
          <w:sz w:val="18"/>
        </w:rPr>
      </w:pPr>
    </w:p>
    <w:p w14:paraId="265BAEEA" w14:textId="77777777" w:rsidR="00DE575E" w:rsidRDefault="002E7560">
      <w:pPr>
        <w:pStyle w:val="Heading2"/>
        <w:spacing w:before="1" w:line="300" w:lineRule="exact"/>
        <w:ind w:right="292"/>
        <w:jc w:val="center"/>
      </w:pPr>
      <w:r>
        <w:rPr>
          <w:color w:val="231F20"/>
        </w:rPr>
        <w:t>Розділ 6</w:t>
      </w:r>
    </w:p>
    <w:p w14:paraId="265200C8" w14:textId="77777777" w:rsidR="00DE575E" w:rsidRDefault="002E7560">
      <w:pPr>
        <w:ind w:left="1813"/>
        <w:rPr>
          <w:b/>
          <w:sz w:val="16"/>
        </w:rPr>
      </w:pPr>
      <w:r>
        <w:rPr>
          <w:b/>
          <w:color w:val="231F20"/>
          <w:sz w:val="28"/>
        </w:rPr>
        <w:t>АДМІНІСТРАТИВНІ ПОСЛУГИ</w:t>
      </w:r>
      <w:r>
        <w:rPr>
          <w:b/>
          <w:color w:val="231F20"/>
          <w:position w:val="9"/>
          <w:sz w:val="16"/>
        </w:rPr>
        <w:t>1</w:t>
      </w:r>
    </w:p>
    <w:p w14:paraId="32F4ADDB" w14:textId="77777777" w:rsidR="00DE575E" w:rsidRDefault="00DE575E">
      <w:pPr>
        <w:pStyle w:val="BodyText"/>
        <w:rPr>
          <w:b/>
          <w:sz w:val="43"/>
        </w:rPr>
      </w:pPr>
    </w:p>
    <w:p w14:paraId="6FBE830C" w14:textId="77777777" w:rsidR="00DE575E" w:rsidRDefault="002E7560">
      <w:pPr>
        <w:pStyle w:val="Heading4"/>
        <w:numPr>
          <w:ilvl w:val="1"/>
          <w:numId w:val="227"/>
        </w:numPr>
        <w:tabs>
          <w:tab w:val="left" w:pos="1333"/>
        </w:tabs>
        <w:jc w:val="left"/>
      </w:pPr>
      <w:r>
        <w:rPr>
          <w:color w:val="231F20"/>
        </w:rPr>
        <w:t>Поняття, ознаки та види адміністративних</w:t>
      </w:r>
      <w:r>
        <w:rPr>
          <w:color w:val="231F20"/>
          <w:spacing w:val="-13"/>
        </w:rPr>
        <w:t xml:space="preserve"> </w:t>
      </w:r>
      <w:r>
        <w:rPr>
          <w:color w:val="231F20"/>
        </w:rPr>
        <w:t>послуг</w:t>
      </w:r>
    </w:p>
    <w:p w14:paraId="7AB6510D" w14:textId="77777777" w:rsidR="00DE575E" w:rsidRDefault="00DE575E">
      <w:pPr>
        <w:pStyle w:val="BodyText"/>
        <w:rPr>
          <w:b/>
          <w:sz w:val="26"/>
        </w:rPr>
      </w:pPr>
    </w:p>
    <w:p w14:paraId="3F505CEE" w14:textId="77777777" w:rsidR="00DE575E" w:rsidRDefault="002E7560">
      <w:pPr>
        <w:pStyle w:val="BodyText"/>
        <w:spacing w:before="224" w:line="252" w:lineRule="auto"/>
        <w:ind w:left="533" w:right="126" w:firstLine="283"/>
        <w:jc w:val="both"/>
      </w:pPr>
      <w:r>
        <w:rPr>
          <w:color w:val="231F20"/>
        </w:rPr>
        <w:t>Служіння суспільству публічною владою полягає в утвердженні поваги до людини, ефективному виконанні законів та державних функцій у публ</w:t>
      </w:r>
      <w:r>
        <w:rPr>
          <w:color w:val="231F20"/>
        </w:rPr>
        <w:t>ічній сфері. Це означає, що адміністративна спро- можність публічної адміністрації зумовлюється політикою, яка визнає права і свободи людини найвищою цінністю, що визначає зміст і спрямованість діяльності органів державної влади. Вихо- дячи з таких позицій</w:t>
      </w:r>
      <w:r>
        <w:rPr>
          <w:color w:val="231F20"/>
        </w:rPr>
        <w:t>, надання адміністративних послуг є основним напрямком діяльності публічної адміністрації. Адже без адмініст- ративних послуг неможливо забезпечити права, слободи й законні інтереси приватних осіб.</w:t>
      </w:r>
    </w:p>
    <w:p w14:paraId="0909DE05" w14:textId="77777777" w:rsidR="00DE575E" w:rsidRDefault="002E7560">
      <w:pPr>
        <w:pStyle w:val="BodyText"/>
        <w:spacing w:before="5" w:line="252" w:lineRule="auto"/>
        <w:ind w:left="533" w:right="128" w:firstLine="283"/>
        <w:jc w:val="both"/>
      </w:pPr>
      <w:r>
        <w:rPr>
          <w:color w:val="231F20"/>
        </w:rPr>
        <w:t>Загалом</w:t>
      </w:r>
      <w:r>
        <w:rPr>
          <w:color w:val="231F20"/>
          <w:spacing w:val="-8"/>
        </w:rPr>
        <w:t xml:space="preserve"> </w:t>
      </w:r>
      <w:r>
        <w:rPr>
          <w:color w:val="231F20"/>
        </w:rPr>
        <w:t>треба</w:t>
      </w:r>
      <w:r>
        <w:rPr>
          <w:color w:val="231F20"/>
          <w:spacing w:val="-8"/>
        </w:rPr>
        <w:t xml:space="preserve"> </w:t>
      </w:r>
      <w:r>
        <w:rPr>
          <w:color w:val="231F20"/>
        </w:rPr>
        <w:t>зазначити,</w:t>
      </w:r>
      <w:r>
        <w:rPr>
          <w:color w:val="231F20"/>
          <w:spacing w:val="-8"/>
        </w:rPr>
        <w:t xml:space="preserve"> </w:t>
      </w:r>
      <w:r>
        <w:rPr>
          <w:color w:val="231F20"/>
        </w:rPr>
        <w:t>що</w:t>
      </w:r>
      <w:r>
        <w:rPr>
          <w:color w:val="231F20"/>
          <w:spacing w:val="-8"/>
        </w:rPr>
        <w:t xml:space="preserve"> </w:t>
      </w:r>
      <w:r>
        <w:rPr>
          <w:color w:val="231F20"/>
        </w:rPr>
        <w:t>«адміністративні</w:t>
      </w:r>
      <w:r>
        <w:rPr>
          <w:color w:val="231F20"/>
          <w:spacing w:val="-8"/>
        </w:rPr>
        <w:t xml:space="preserve"> </w:t>
      </w:r>
      <w:r>
        <w:rPr>
          <w:color w:val="231F20"/>
        </w:rPr>
        <w:t>послуги»</w:t>
      </w:r>
      <w:r>
        <w:rPr>
          <w:color w:val="231F20"/>
          <w:spacing w:val="-8"/>
        </w:rPr>
        <w:t xml:space="preserve"> </w:t>
      </w:r>
      <w:r>
        <w:rPr>
          <w:color w:val="231F20"/>
        </w:rPr>
        <w:t>як</w:t>
      </w:r>
      <w:r>
        <w:rPr>
          <w:color w:val="231F20"/>
          <w:spacing w:val="-8"/>
        </w:rPr>
        <w:t xml:space="preserve"> </w:t>
      </w:r>
      <w:r>
        <w:rPr>
          <w:color w:val="231F20"/>
        </w:rPr>
        <w:t>інсти- тут адміністративного права мають потрійну юридичну природу: по-перше,</w:t>
      </w:r>
      <w:r>
        <w:rPr>
          <w:color w:val="231F20"/>
          <w:spacing w:val="-17"/>
        </w:rPr>
        <w:t xml:space="preserve"> </w:t>
      </w:r>
      <w:r>
        <w:rPr>
          <w:color w:val="231F20"/>
        </w:rPr>
        <w:t>це</w:t>
      </w:r>
      <w:r>
        <w:rPr>
          <w:color w:val="231F20"/>
          <w:spacing w:val="-16"/>
        </w:rPr>
        <w:t xml:space="preserve"> </w:t>
      </w:r>
      <w:r>
        <w:rPr>
          <w:color w:val="231F20"/>
        </w:rPr>
        <w:t>основний</w:t>
      </w:r>
      <w:r>
        <w:rPr>
          <w:color w:val="231F20"/>
          <w:spacing w:val="-17"/>
        </w:rPr>
        <w:t xml:space="preserve"> </w:t>
      </w:r>
      <w:r>
        <w:rPr>
          <w:color w:val="231F20"/>
        </w:rPr>
        <w:t>складник</w:t>
      </w:r>
      <w:r>
        <w:rPr>
          <w:color w:val="231F20"/>
          <w:spacing w:val="-16"/>
        </w:rPr>
        <w:t xml:space="preserve"> </w:t>
      </w:r>
      <w:r>
        <w:rPr>
          <w:color w:val="231F20"/>
        </w:rPr>
        <w:t>предмета</w:t>
      </w:r>
      <w:r>
        <w:rPr>
          <w:color w:val="231F20"/>
          <w:spacing w:val="-16"/>
        </w:rPr>
        <w:t xml:space="preserve"> </w:t>
      </w:r>
      <w:r>
        <w:rPr>
          <w:color w:val="231F20"/>
        </w:rPr>
        <w:t>адміністративного</w:t>
      </w:r>
      <w:r>
        <w:rPr>
          <w:color w:val="231F20"/>
          <w:spacing w:val="-17"/>
        </w:rPr>
        <w:t xml:space="preserve"> </w:t>
      </w:r>
      <w:r>
        <w:rPr>
          <w:color w:val="231F20"/>
        </w:rPr>
        <w:t>права; по-друге – різновид публічних послуг; по-друге – головний інстру- мент у діяльності публічної</w:t>
      </w:r>
      <w:r>
        <w:rPr>
          <w:color w:val="231F20"/>
          <w:spacing w:val="-4"/>
        </w:rPr>
        <w:t xml:space="preserve"> </w:t>
      </w:r>
      <w:r>
        <w:rPr>
          <w:color w:val="231F20"/>
        </w:rPr>
        <w:t>адміністрації.</w:t>
      </w:r>
    </w:p>
    <w:p w14:paraId="5A972B33" w14:textId="77777777" w:rsidR="00DE575E" w:rsidRDefault="00DE575E">
      <w:pPr>
        <w:pStyle w:val="BodyText"/>
        <w:spacing w:before="2"/>
        <w:rPr>
          <w:sz w:val="22"/>
        </w:rPr>
      </w:pPr>
    </w:p>
    <w:p w14:paraId="74612502" w14:textId="77777777" w:rsidR="00DE575E" w:rsidRDefault="002E7560">
      <w:pPr>
        <w:pStyle w:val="Heading5"/>
        <w:numPr>
          <w:ilvl w:val="2"/>
          <w:numId w:val="227"/>
        </w:numPr>
        <w:tabs>
          <w:tab w:val="left" w:pos="1383"/>
        </w:tabs>
        <w:rPr>
          <w:color w:val="231F20"/>
        </w:rPr>
      </w:pPr>
      <w:r>
        <w:rPr>
          <w:color w:val="231F20"/>
        </w:rPr>
        <w:t>Поняття адмін</w:t>
      </w:r>
      <w:r>
        <w:rPr>
          <w:color w:val="231F20"/>
        </w:rPr>
        <w:t>істративної</w:t>
      </w:r>
      <w:r>
        <w:rPr>
          <w:color w:val="231F20"/>
          <w:spacing w:val="-3"/>
        </w:rPr>
        <w:t xml:space="preserve"> </w:t>
      </w:r>
      <w:r>
        <w:rPr>
          <w:color w:val="231F20"/>
        </w:rPr>
        <w:t>послуги</w:t>
      </w:r>
    </w:p>
    <w:p w14:paraId="4DD5A3A1" w14:textId="77777777" w:rsidR="00DE575E" w:rsidRDefault="00DE575E">
      <w:pPr>
        <w:pStyle w:val="BodyText"/>
        <w:spacing w:before="2"/>
        <w:rPr>
          <w:b/>
          <w:sz w:val="23"/>
        </w:rPr>
      </w:pPr>
    </w:p>
    <w:p w14:paraId="17F33287" w14:textId="77777777" w:rsidR="00DE575E" w:rsidRDefault="002E7560">
      <w:pPr>
        <w:pStyle w:val="BodyText"/>
        <w:spacing w:before="1" w:line="252" w:lineRule="auto"/>
        <w:ind w:left="533" w:right="126" w:firstLine="283"/>
        <w:jc w:val="both"/>
      </w:pPr>
      <w:r>
        <w:rPr>
          <w:color w:val="231F20"/>
        </w:rPr>
        <w:t>Адміністративні послуги – це основний елемент взаємовідносин держави</w:t>
      </w:r>
      <w:r>
        <w:rPr>
          <w:color w:val="231F20"/>
          <w:spacing w:val="-12"/>
        </w:rPr>
        <w:t xml:space="preserve"> </w:t>
      </w:r>
      <w:r>
        <w:rPr>
          <w:color w:val="231F20"/>
        </w:rPr>
        <w:t>з</w:t>
      </w:r>
      <w:r>
        <w:rPr>
          <w:color w:val="231F20"/>
          <w:spacing w:val="-12"/>
        </w:rPr>
        <w:t xml:space="preserve"> </w:t>
      </w:r>
      <w:r>
        <w:rPr>
          <w:color w:val="231F20"/>
        </w:rPr>
        <w:t>людиною.</w:t>
      </w:r>
      <w:r>
        <w:rPr>
          <w:color w:val="231F20"/>
          <w:spacing w:val="-12"/>
        </w:rPr>
        <w:t xml:space="preserve"> </w:t>
      </w:r>
      <w:r>
        <w:rPr>
          <w:color w:val="231F20"/>
        </w:rPr>
        <w:t>Ними</w:t>
      </w:r>
      <w:r>
        <w:rPr>
          <w:color w:val="231F20"/>
          <w:spacing w:val="-12"/>
        </w:rPr>
        <w:t xml:space="preserve"> </w:t>
      </w:r>
      <w:r>
        <w:rPr>
          <w:color w:val="231F20"/>
        </w:rPr>
        <w:t>слід</w:t>
      </w:r>
      <w:r>
        <w:rPr>
          <w:color w:val="231F20"/>
          <w:spacing w:val="-12"/>
        </w:rPr>
        <w:t xml:space="preserve"> </w:t>
      </w:r>
      <w:r>
        <w:rPr>
          <w:color w:val="231F20"/>
        </w:rPr>
        <w:t>розуміти</w:t>
      </w:r>
      <w:r>
        <w:rPr>
          <w:color w:val="231F20"/>
          <w:spacing w:val="-12"/>
        </w:rPr>
        <w:t xml:space="preserve"> </w:t>
      </w:r>
      <w:r>
        <w:rPr>
          <w:color w:val="231F20"/>
        </w:rPr>
        <w:t>численні</w:t>
      </w:r>
      <w:r>
        <w:rPr>
          <w:color w:val="231F20"/>
          <w:spacing w:val="-12"/>
        </w:rPr>
        <w:t xml:space="preserve"> </w:t>
      </w:r>
      <w:r>
        <w:rPr>
          <w:color w:val="231F20"/>
        </w:rPr>
        <w:t>обов’язки</w:t>
      </w:r>
      <w:r>
        <w:rPr>
          <w:color w:val="231F20"/>
          <w:spacing w:val="-12"/>
        </w:rPr>
        <w:t xml:space="preserve"> </w:t>
      </w:r>
      <w:r>
        <w:rPr>
          <w:color w:val="231F20"/>
        </w:rPr>
        <w:t>держав- них органів щодо виконання різного роду дозвільно-реєстраційних дій за відповідними зверненнями фізичних і юр</w:t>
      </w:r>
      <w:r>
        <w:rPr>
          <w:color w:val="231F20"/>
        </w:rPr>
        <w:t>идичних</w:t>
      </w:r>
      <w:r>
        <w:rPr>
          <w:color w:val="231F20"/>
          <w:spacing w:val="-16"/>
        </w:rPr>
        <w:t xml:space="preserve"> </w:t>
      </w:r>
      <w:r>
        <w:rPr>
          <w:color w:val="231F20"/>
        </w:rPr>
        <w:t>осіб</w:t>
      </w:r>
      <w:r>
        <w:rPr>
          <w:color w:val="231F20"/>
          <w:position w:val="7"/>
          <w:sz w:val="12"/>
        </w:rPr>
        <w:t>2</w:t>
      </w:r>
      <w:r>
        <w:rPr>
          <w:color w:val="231F20"/>
        </w:rPr>
        <w:t>.</w:t>
      </w:r>
    </w:p>
    <w:p w14:paraId="67E6331E" w14:textId="77777777" w:rsidR="00DE575E" w:rsidRDefault="002E7560">
      <w:pPr>
        <w:pStyle w:val="BodyText"/>
        <w:spacing w:before="2" w:line="252" w:lineRule="auto"/>
        <w:ind w:left="533" w:right="127" w:firstLine="283"/>
        <w:jc w:val="both"/>
      </w:pPr>
      <w:r>
        <w:rPr>
          <w:color w:val="231F20"/>
        </w:rPr>
        <w:t xml:space="preserve">Ключовим етапом у розвитку законодавства у сфері надання адміністративних послуг </w:t>
      </w:r>
      <w:r>
        <w:rPr>
          <w:color w:val="231F20"/>
          <w:spacing w:val="-3"/>
        </w:rPr>
        <w:t xml:space="preserve">було </w:t>
      </w:r>
      <w:r>
        <w:rPr>
          <w:color w:val="231F20"/>
        </w:rPr>
        <w:t xml:space="preserve">ухвалення Закону </w:t>
      </w:r>
      <w:r>
        <w:rPr>
          <w:color w:val="231F20"/>
          <w:spacing w:val="-3"/>
        </w:rPr>
        <w:t xml:space="preserve">України </w:t>
      </w:r>
      <w:r>
        <w:rPr>
          <w:color w:val="231F20"/>
        </w:rPr>
        <w:t>від 6.09.2012 р. № 5203-VI «Про адміністративні послуги». З</w:t>
      </w:r>
      <w:r>
        <w:rPr>
          <w:color w:val="231F20"/>
          <w:spacing w:val="18"/>
        </w:rPr>
        <w:t xml:space="preserve"> </w:t>
      </w:r>
      <w:r>
        <w:rPr>
          <w:color w:val="231F20"/>
        </w:rPr>
        <w:t xml:space="preserve">моменту набуття чинності цього нормативно-правового акта здійснюються </w:t>
      </w:r>
      <w:r>
        <w:rPr>
          <w:color w:val="231F20"/>
        </w:rPr>
        <w:t>різні</w:t>
      </w:r>
      <w:r>
        <w:rPr>
          <w:color w:val="231F20"/>
          <w:spacing w:val="-11"/>
        </w:rPr>
        <w:t xml:space="preserve"> </w:t>
      </w:r>
      <w:r>
        <w:rPr>
          <w:color w:val="231F20"/>
          <w:spacing w:val="-2"/>
        </w:rPr>
        <w:t>заходи</w:t>
      </w:r>
      <w:r>
        <w:rPr>
          <w:color w:val="231F20"/>
          <w:spacing w:val="-11"/>
        </w:rPr>
        <w:t xml:space="preserve"> </w:t>
      </w:r>
      <w:r>
        <w:rPr>
          <w:color w:val="231F20"/>
        </w:rPr>
        <w:t>щодо</w:t>
      </w:r>
      <w:r>
        <w:rPr>
          <w:color w:val="231F20"/>
          <w:spacing w:val="-11"/>
        </w:rPr>
        <w:t xml:space="preserve"> </w:t>
      </w:r>
      <w:r>
        <w:rPr>
          <w:color w:val="231F20"/>
        </w:rPr>
        <w:t>формування</w:t>
      </w:r>
      <w:r>
        <w:rPr>
          <w:color w:val="231F20"/>
          <w:spacing w:val="-11"/>
        </w:rPr>
        <w:t xml:space="preserve"> </w:t>
      </w:r>
      <w:r>
        <w:rPr>
          <w:color w:val="231F20"/>
        </w:rPr>
        <w:t>якісної</w:t>
      </w:r>
      <w:r>
        <w:rPr>
          <w:color w:val="231F20"/>
          <w:spacing w:val="-11"/>
        </w:rPr>
        <w:t xml:space="preserve"> </w:t>
      </w:r>
      <w:r>
        <w:rPr>
          <w:color w:val="231F20"/>
        </w:rPr>
        <w:t>та</w:t>
      </w:r>
      <w:r>
        <w:rPr>
          <w:color w:val="231F20"/>
          <w:spacing w:val="-11"/>
        </w:rPr>
        <w:t xml:space="preserve"> </w:t>
      </w:r>
      <w:r>
        <w:rPr>
          <w:color w:val="231F20"/>
        </w:rPr>
        <w:t>доступної</w:t>
      </w:r>
      <w:r>
        <w:rPr>
          <w:color w:val="231F20"/>
          <w:spacing w:val="-11"/>
        </w:rPr>
        <w:t xml:space="preserve"> </w:t>
      </w:r>
      <w:r>
        <w:rPr>
          <w:color w:val="231F20"/>
        </w:rPr>
        <w:t>системи</w:t>
      </w:r>
      <w:r>
        <w:rPr>
          <w:color w:val="231F20"/>
          <w:spacing w:val="-11"/>
        </w:rPr>
        <w:t xml:space="preserve"> </w:t>
      </w:r>
      <w:r>
        <w:rPr>
          <w:color w:val="231F20"/>
        </w:rPr>
        <w:t>надання адміністративних</w:t>
      </w:r>
      <w:r>
        <w:rPr>
          <w:color w:val="231F20"/>
          <w:spacing w:val="-2"/>
        </w:rPr>
        <w:t xml:space="preserve"> </w:t>
      </w:r>
      <w:r>
        <w:rPr>
          <w:color w:val="231F20"/>
          <w:spacing w:val="-3"/>
        </w:rPr>
        <w:t>послуг.</w:t>
      </w:r>
    </w:p>
    <w:p w14:paraId="0543EA15" w14:textId="77777777" w:rsidR="00DE575E" w:rsidRDefault="00DE575E">
      <w:pPr>
        <w:pStyle w:val="BodyText"/>
        <w:rPr>
          <w:sz w:val="20"/>
        </w:rPr>
      </w:pPr>
    </w:p>
    <w:p w14:paraId="1977D57D" w14:textId="0285F6D0" w:rsidR="00DE575E" w:rsidRDefault="002E7560">
      <w:pPr>
        <w:pStyle w:val="BodyText"/>
        <w:spacing w:before="11"/>
        <w:rPr>
          <w:sz w:val="10"/>
        </w:rPr>
      </w:pPr>
      <w:r>
        <w:rPr>
          <w:noProof/>
        </w:rPr>
        <mc:AlternateContent>
          <mc:Choice Requires="wps">
            <w:drawing>
              <wp:anchor distT="0" distB="0" distL="0" distR="0" simplePos="0" relativeHeight="7072" behindDoc="0" locked="0" layoutInCell="1" allowOverlap="1" wp14:anchorId="3BDED910" wp14:editId="756A1A75">
                <wp:simplePos x="0" y="0"/>
                <wp:positionH relativeFrom="page">
                  <wp:posOffset>719455</wp:posOffset>
                </wp:positionH>
                <wp:positionV relativeFrom="paragraph">
                  <wp:posOffset>109220</wp:posOffset>
                </wp:positionV>
                <wp:extent cx="1080135" cy="0"/>
                <wp:effectExtent l="8255" t="7620" r="29210" b="30480"/>
                <wp:wrapTopAndBottom/>
                <wp:docPr id="982"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2418" id="Line_x0020_981" o:spid="_x0000_s1026" style="position:absolute;z-index: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6pt" to="141.7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" strokecolor="#231f20" strokeweight=".5pt">
                <w10:wrap type="topAndBottom" anchorx="page"/>
              </v:line>
            </w:pict>
          </mc:Fallback>
        </mc:AlternateContent>
      </w:r>
    </w:p>
    <w:p w14:paraId="2545D62F" w14:textId="77777777" w:rsidR="00DE575E" w:rsidRDefault="002E7560">
      <w:pPr>
        <w:spacing w:line="162" w:lineRule="exact"/>
        <w:ind w:left="533"/>
        <w:rPr>
          <w:sz w:val="16"/>
        </w:rPr>
      </w:pPr>
      <w:r>
        <w:rPr>
          <w:color w:val="231F20"/>
          <w:position w:val="5"/>
          <w:sz w:val="9"/>
        </w:rPr>
        <w:t xml:space="preserve">1 </w:t>
      </w:r>
      <w:r>
        <w:rPr>
          <w:color w:val="231F20"/>
          <w:sz w:val="16"/>
        </w:rPr>
        <w:t xml:space="preserve">За загальною редакцією </w:t>
      </w:r>
      <w:r>
        <w:rPr>
          <w:b/>
          <w:color w:val="231F20"/>
          <w:sz w:val="16"/>
        </w:rPr>
        <w:t>Олександра Буханевича</w:t>
      </w:r>
      <w:r>
        <w:rPr>
          <w:color w:val="231F20"/>
          <w:sz w:val="16"/>
        </w:rPr>
        <w:t>.</w:t>
      </w:r>
    </w:p>
    <w:p w14:paraId="03367E47" w14:textId="77777777" w:rsidR="00DE575E" w:rsidRDefault="002E7560">
      <w:pPr>
        <w:spacing w:before="23" w:line="204" w:lineRule="auto"/>
        <w:ind w:left="533" w:right="128"/>
        <w:rPr>
          <w:sz w:val="16"/>
        </w:rPr>
      </w:pPr>
      <w:r>
        <w:rPr>
          <w:color w:val="231F20"/>
          <w:position w:val="5"/>
          <w:sz w:val="9"/>
        </w:rPr>
        <w:t xml:space="preserve">2 </w:t>
      </w:r>
      <w:r>
        <w:rPr>
          <w:color w:val="231F20"/>
          <w:sz w:val="16"/>
        </w:rPr>
        <w:t xml:space="preserve">Авер’янов В. Українське адміністративне право: черговий етап реформування. </w:t>
      </w:r>
      <w:r>
        <w:rPr>
          <w:i/>
          <w:color w:val="231F20"/>
          <w:sz w:val="16"/>
        </w:rPr>
        <w:t>Акту- альні проблеми реформування</w:t>
      </w:r>
      <w:r>
        <w:rPr>
          <w:color w:val="231F20"/>
          <w:sz w:val="16"/>
        </w:rPr>
        <w:t>. Суми, 2000. С. 16-20.</w:t>
      </w:r>
    </w:p>
    <w:p w14:paraId="5C971BEB" w14:textId="77777777" w:rsidR="00DE575E" w:rsidRDefault="00DE575E">
      <w:pPr>
        <w:pStyle w:val="BodyText"/>
        <w:spacing w:before="5"/>
        <w:rPr>
          <w:sz w:val="12"/>
        </w:rPr>
      </w:pPr>
    </w:p>
    <w:p w14:paraId="2C16F412" w14:textId="77777777" w:rsidR="00DE575E" w:rsidRDefault="002E7560">
      <w:pPr>
        <w:spacing w:before="92"/>
        <w:ind w:left="533"/>
        <w:rPr>
          <w:rFonts w:ascii="Times New Roman"/>
          <w:sz w:val="20"/>
        </w:rPr>
      </w:pPr>
      <w:r>
        <w:rPr>
          <w:rFonts w:ascii="Times New Roman"/>
          <w:color w:val="231F20"/>
          <w:sz w:val="20"/>
        </w:rPr>
        <w:t>174</w:t>
      </w:r>
    </w:p>
    <w:p w14:paraId="079E1E06" w14:textId="77777777" w:rsidR="00DE575E" w:rsidRDefault="00DE575E">
      <w:pPr>
        <w:rPr>
          <w:rFonts w:ascii="Times New Roman"/>
          <w:sz w:val="20"/>
        </w:rPr>
        <w:sectPr w:rsidR="00DE575E">
          <w:pgSz w:w="8510" w:h="12760"/>
          <w:pgMar w:top="660" w:right="720" w:bottom="280" w:left="600" w:header="720" w:footer="720" w:gutter="0"/>
          <w:cols w:space="720"/>
        </w:sectPr>
      </w:pPr>
    </w:p>
    <w:p w14:paraId="57F28A98" w14:textId="77777777" w:rsidR="00DE575E" w:rsidRDefault="002E7560">
      <w:pPr>
        <w:spacing w:before="72" w:line="249" w:lineRule="auto"/>
        <w:ind w:left="3946" w:right="411" w:hanging="517"/>
        <w:jc w:val="right"/>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0EBBCED3" w14:textId="33B10FE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F3A1998" wp14:editId="19B44468">
                <wp:extent cx="4140200" cy="6350"/>
                <wp:effectExtent l="0" t="0" r="12700" b="6350"/>
                <wp:docPr id="980"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81" name="Line 98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78EFB9" id="Group_x0020_97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rGh2h/AgAAmAUAAA4A&#10;AAAAAAAAAAAAAAAALAIAAGRycy9lMm9Eb2MueG1sUEsBAi0AFAAGAAgAAAAhAEynsJDZAAAAAwEA&#10;AA8AAAAAAAAAAAAAAAAA1wQAAGRycy9kb3ducmV2LnhtbFBLBQYAAAAABAAEAPMAAADdBQAAAAA=&#10;">
                <v:line id="Line_x0020_98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W2h8YAAADcAAAADwAAAGRycy9kb3ducmV2LnhtbESP0WrCQBRE3wX/YblCX0Q3VhAbXUUE&#10;Qfqg1vQDrtnbJHT3bsyuJu3XdwWhj8PMnGGW684acafGV44VTMYJCOLc6YoLBZ/ZbjQH4QOyRuOY&#10;FPyQh/Wq31tiql3LH3Q/h0JECPsUFZQh1KmUPi/Joh+7mjh6X66xGKJsCqkbbCPcGvmaJDNpseK4&#10;UGJN25Ly7/PNKsiuw2BOx3fTZsfLVF6uh+nv7aDUy6DbLEAE6sJ/+NneawVv8w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FtofGAAAA3AAAAA8AAAAAAAAA&#10;AAAAAAAAoQIAAGRycy9kb3ducmV2LnhtbFBLBQYAAAAABAAEAPkAAACUAwAAAAA=&#10;" strokecolor="#231f20" strokeweight=".5pt"/>
                <w10:anchorlock/>
              </v:group>
            </w:pict>
          </mc:Fallback>
        </mc:AlternateContent>
      </w:r>
    </w:p>
    <w:p w14:paraId="55FA33D1" w14:textId="77777777" w:rsidR="00DE575E" w:rsidRDefault="00DE575E">
      <w:pPr>
        <w:pStyle w:val="BodyText"/>
        <w:spacing w:before="7"/>
        <w:rPr>
          <w:rFonts w:ascii="AdonisC"/>
          <w:i/>
          <w:sz w:val="19"/>
        </w:rPr>
      </w:pPr>
    </w:p>
    <w:p w14:paraId="7AA2B77B" w14:textId="77777777" w:rsidR="00DE575E" w:rsidRDefault="002E7560">
      <w:pPr>
        <w:spacing w:before="1" w:line="252" w:lineRule="auto"/>
        <w:ind w:left="250" w:right="409" w:firstLine="283"/>
        <w:jc w:val="both"/>
        <w:rPr>
          <w:i/>
          <w:sz w:val="21"/>
        </w:rPr>
      </w:pPr>
      <w:r>
        <w:rPr>
          <w:color w:val="231F20"/>
          <w:spacing w:val="-5"/>
          <w:sz w:val="21"/>
        </w:rPr>
        <w:t xml:space="preserve">Ст. </w:t>
      </w:r>
      <w:r>
        <w:rPr>
          <w:color w:val="231F20"/>
          <w:sz w:val="21"/>
        </w:rPr>
        <w:t xml:space="preserve">1 Закону від 6.09.2012 р. № 5203-VI визначає, що </w:t>
      </w:r>
      <w:r>
        <w:rPr>
          <w:b/>
          <w:i/>
          <w:color w:val="231F20"/>
          <w:sz w:val="21"/>
        </w:rPr>
        <w:t xml:space="preserve">адмініст- ративна послуга </w:t>
      </w:r>
      <w:r>
        <w:rPr>
          <w:i/>
          <w:color w:val="231F20"/>
          <w:sz w:val="21"/>
        </w:rPr>
        <w:t xml:space="preserve">– це результат здійснення владних повноважень суб’єктом надання адміністративних послуг за заявою фізичної або юридичної особи, спрямований </w:t>
      </w:r>
      <w:r>
        <w:rPr>
          <w:i/>
          <w:color w:val="231F20"/>
          <w:sz w:val="21"/>
        </w:rPr>
        <w:t>на набуття, зміну чи припинення прав та/або обов’язків такої особи відповідно до</w:t>
      </w:r>
      <w:r>
        <w:rPr>
          <w:i/>
          <w:color w:val="231F20"/>
          <w:spacing w:val="42"/>
          <w:sz w:val="21"/>
        </w:rPr>
        <w:t xml:space="preserve"> </w:t>
      </w:r>
      <w:r>
        <w:rPr>
          <w:i/>
          <w:color w:val="231F20"/>
          <w:sz w:val="21"/>
        </w:rPr>
        <w:t>закону.</w:t>
      </w:r>
    </w:p>
    <w:p w14:paraId="4F65F2BA" w14:textId="77777777" w:rsidR="00DE575E" w:rsidRDefault="002E7560">
      <w:pPr>
        <w:spacing w:before="2" w:line="252" w:lineRule="auto"/>
        <w:ind w:left="250" w:right="409" w:firstLine="283"/>
        <w:jc w:val="both"/>
        <w:rPr>
          <w:i/>
          <w:sz w:val="21"/>
        </w:rPr>
      </w:pPr>
      <w:r>
        <w:rPr>
          <w:color w:val="231F20"/>
          <w:sz w:val="21"/>
        </w:rPr>
        <w:t xml:space="preserve">Відповідно до </w:t>
      </w:r>
      <w:r>
        <w:rPr>
          <w:color w:val="231F20"/>
          <w:spacing w:val="-5"/>
          <w:sz w:val="21"/>
        </w:rPr>
        <w:t xml:space="preserve">ст. </w:t>
      </w:r>
      <w:r>
        <w:rPr>
          <w:color w:val="231F20"/>
          <w:sz w:val="21"/>
        </w:rPr>
        <w:t xml:space="preserve">5 Закону «Про адміністративні послуги» </w:t>
      </w:r>
      <w:r>
        <w:rPr>
          <w:i/>
          <w:color w:val="231F20"/>
          <w:sz w:val="21"/>
        </w:rPr>
        <w:t>виключно законами, які регулюють суспільні відносини щодо надання адміністративних послуг,</w:t>
      </w:r>
      <w:r>
        <w:rPr>
          <w:i/>
          <w:color w:val="231F20"/>
          <w:spacing w:val="18"/>
          <w:sz w:val="21"/>
        </w:rPr>
        <w:t xml:space="preserve"> </w:t>
      </w:r>
      <w:r>
        <w:rPr>
          <w:i/>
          <w:color w:val="231F20"/>
          <w:sz w:val="21"/>
        </w:rPr>
        <w:t>установлюються:</w:t>
      </w:r>
    </w:p>
    <w:p w14:paraId="151DABF4" w14:textId="77777777" w:rsidR="00DE575E" w:rsidRDefault="002E7560">
      <w:pPr>
        <w:pStyle w:val="BodyText"/>
        <w:spacing w:before="2"/>
        <w:ind w:left="533"/>
      </w:pPr>
      <w:r>
        <w:rPr>
          <w:rFonts w:ascii="Wingdings" w:hAnsi="Wingdings"/>
          <w:color w:val="231F20"/>
        </w:rPr>
        <w:t></w:t>
      </w:r>
      <w:r>
        <w:rPr>
          <w:rFonts w:ascii="Times New Roman" w:hAnsi="Times New Roman"/>
          <w:color w:val="231F20"/>
        </w:rPr>
        <w:t xml:space="preserve"> </w:t>
      </w:r>
      <w:r>
        <w:rPr>
          <w:color w:val="231F20"/>
        </w:rPr>
        <w:t>п</w:t>
      </w:r>
      <w:r>
        <w:rPr>
          <w:color w:val="231F20"/>
        </w:rPr>
        <w:t>ідстави для одержання адміністративної послуги;</w:t>
      </w:r>
    </w:p>
    <w:p w14:paraId="2E5A7613" w14:textId="77777777" w:rsidR="00DE575E" w:rsidRDefault="002E7560">
      <w:pPr>
        <w:pStyle w:val="BodyText"/>
        <w:spacing w:before="1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суб’єкт надання адміністративної послуги та його повнова- ження щодо надання адміністративної послуги;</w:t>
      </w:r>
    </w:p>
    <w:p w14:paraId="5F7086D9"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перелік і вимоги до документів, потрібних для отримання адміністративної послуги;</w:t>
      </w:r>
    </w:p>
    <w:p w14:paraId="7AF22BC3" w14:textId="77777777" w:rsidR="00DE575E" w:rsidRDefault="002E7560">
      <w:pPr>
        <w:pStyle w:val="BodyText"/>
        <w:spacing w:before="1"/>
        <w:ind w:left="533"/>
      </w:pPr>
      <w:r>
        <w:rPr>
          <w:rFonts w:ascii="Wingdings" w:hAnsi="Wingdings"/>
          <w:color w:val="231F20"/>
        </w:rPr>
        <w:t></w:t>
      </w:r>
      <w:r>
        <w:rPr>
          <w:rFonts w:ascii="Times New Roman" w:hAnsi="Times New Roman"/>
          <w:color w:val="231F20"/>
        </w:rPr>
        <w:t xml:space="preserve"> </w:t>
      </w:r>
      <w:r>
        <w:rPr>
          <w:color w:val="231F20"/>
        </w:rPr>
        <w:t>платність або пос</w:t>
      </w:r>
      <w:r>
        <w:rPr>
          <w:color w:val="231F20"/>
        </w:rPr>
        <w:t>луги;</w:t>
      </w:r>
    </w:p>
    <w:p w14:paraId="3785DE7D"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граничний строк надання адміністративної послуги;</w:t>
      </w:r>
    </w:p>
    <w:p w14:paraId="25B5249F" w14:textId="77777777" w:rsidR="00DE575E" w:rsidRDefault="002E7560">
      <w:pPr>
        <w:pStyle w:val="BodyText"/>
        <w:spacing w:before="13" w:line="252" w:lineRule="auto"/>
        <w:ind w:left="250" w:right="410" w:firstLine="283"/>
        <w:jc w:val="both"/>
      </w:pPr>
      <w:r>
        <w:rPr>
          <w:rFonts w:ascii="Wingdings" w:hAnsi="Wingdings"/>
          <w:color w:val="231F20"/>
        </w:rPr>
        <w:t></w:t>
      </w:r>
      <w:r>
        <w:rPr>
          <w:rFonts w:ascii="Times New Roman" w:hAnsi="Times New Roman"/>
          <w:color w:val="231F20"/>
        </w:rPr>
        <w:t xml:space="preserve"> </w:t>
      </w:r>
      <w:r>
        <w:rPr>
          <w:color w:val="231F20"/>
        </w:rPr>
        <w:t>перелік підстав для відмови в наданні адміністративної послуги.</w:t>
      </w:r>
    </w:p>
    <w:p w14:paraId="314ABEFB" w14:textId="77777777" w:rsidR="00DE575E" w:rsidRDefault="002E7560">
      <w:pPr>
        <w:pStyle w:val="BodyText"/>
        <w:spacing w:before="1" w:line="252" w:lineRule="auto"/>
        <w:ind w:left="250" w:right="408" w:firstLine="283"/>
        <w:jc w:val="both"/>
      </w:pPr>
      <w:r>
        <w:rPr>
          <w:color w:val="231F20"/>
        </w:rPr>
        <w:t>Також до адміністративних послуг законом дорівнюється надання органом виконавчої влади, іншим державним органом, органом влади Автономної Республіки Крим, органом місцевого самоврядування, їх посадовими особами, державним реєстрато- ром, суб’єктом державно</w:t>
      </w:r>
      <w:r>
        <w:rPr>
          <w:color w:val="231F20"/>
        </w:rPr>
        <w:t>ї реєстрації витягів і виписок із реєстрів, довідок, копій, дублікатів документів та інші передбачені законом дії, у результаті яких суб’єкту звернення, а також об’єкту, що пере- буває в його власності, володінні чи користуванні, надається або підтверджуєт</w:t>
      </w:r>
      <w:r>
        <w:rPr>
          <w:color w:val="231F20"/>
        </w:rPr>
        <w:t>ься певний юридичний статус та/або факт.</w:t>
      </w:r>
    </w:p>
    <w:p w14:paraId="1B8D6725" w14:textId="77777777" w:rsidR="00DE575E" w:rsidRDefault="002E7560">
      <w:pPr>
        <w:pStyle w:val="BodyText"/>
        <w:spacing w:before="4" w:line="252" w:lineRule="auto"/>
        <w:ind w:left="250" w:right="408" w:firstLine="283"/>
        <w:jc w:val="right"/>
      </w:pPr>
      <w:r>
        <w:rPr>
          <w:color w:val="231F20"/>
        </w:rPr>
        <w:t xml:space="preserve">Варто відзначити, що в ч. 1 ст. 2 Закону України «Про адмініст- ративні послуги» зазначено, що дія цього акта поширюється на суспільні відносини, пов’язані з наданням адміністративних послуг. На жаль, згідно з ч. 2 </w:t>
      </w:r>
      <w:r>
        <w:rPr>
          <w:color w:val="231F20"/>
        </w:rPr>
        <w:t>ст. 2 дія цього Закону не поширюється на відносини  щодо:  1) здійснення  державного  нагляду  (контролю);</w:t>
      </w:r>
    </w:p>
    <w:p w14:paraId="1ABAC69E" w14:textId="77777777" w:rsidR="00DE575E" w:rsidRDefault="002E7560">
      <w:pPr>
        <w:pStyle w:val="BodyText"/>
        <w:spacing w:before="3" w:line="252" w:lineRule="auto"/>
        <w:ind w:left="250" w:right="407"/>
        <w:jc w:val="both"/>
      </w:pPr>
      <w:r>
        <w:rPr>
          <w:color w:val="231F20"/>
        </w:rPr>
        <w:t>2) метрологічного  контролю   і   нагляду;   3) акредитації   органів   з оцінки відповідності; 4) дізнання, досудового слідства; 5) опера- тивно-роз</w:t>
      </w:r>
      <w:r>
        <w:rPr>
          <w:color w:val="231F20"/>
        </w:rPr>
        <w:t>шукової діяльності; 6) судочинства, виконавчого провад- ження; 7) нотаріальних дій; 8) виконання покарань; 9) доступу до публічної інформації; 10) застосування законодавства про захист економічної конкуренції;  11) провадження  діяльності,  пов’язаної  з</w:t>
      </w:r>
      <w:r>
        <w:rPr>
          <w:color w:val="231F20"/>
          <w:spacing w:val="20"/>
        </w:rPr>
        <w:t xml:space="preserve"> </w:t>
      </w:r>
      <w:r>
        <w:rPr>
          <w:color w:val="231F20"/>
        </w:rPr>
        <w:t>державною</w:t>
      </w:r>
      <w:r>
        <w:rPr>
          <w:color w:val="231F20"/>
          <w:spacing w:val="20"/>
        </w:rPr>
        <w:t xml:space="preserve"> </w:t>
      </w:r>
      <w:r>
        <w:rPr>
          <w:color w:val="231F20"/>
        </w:rPr>
        <w:t>таємницею;</w:t>
      </w:r>
      <w:r>
        <w:rPr>
          <w:color w:val="231F20"/>
          <w:spacing w:val="20"/>
        </w:rPr>
        <w:t xml:space="preserve"> </w:t>
      </w:r>
      <w:r>
        <w:rPr>
          <w:color w:val="231F20"/>
        </w:rPr>
        <w:t>12)</w:t>
      </w:r>
      <w:r>
        <w:rPr>
          <w:color w:val="231F20"/>
          <w:spacing w:val="7"/>
        </w:rPr>
        <w:t xml:space="preserve"> </w:t>
      </w:r>
      <w:r>
        <w:rPr>
          <w:color w:val="231F20"/>
        </w:rPr>
        <w:t>набуття</w:t>
      </w:r>
      <w:r>
        <w:rPr>
          <w:color w:val="231F20"/>
          <w:spacing w:val="20"/>
        </w:rPr>
        <w:t xml:space="preserve"> </w:t>
      </w:r>
      <w:r>
        <w:rPr>
          <w:color w:val="231F20"/>
        </w:rPr>
        <w:t>прав</w:t>
      </w:r>
      <w:r>
        <w:rPr>
          <w:color w:val="231F20"/>
          <w:spacing w:val="20"/>
        </w:rPr>
        <w:t xml:space="preserve"> </w:t>
      </w:r>
      <w:r>
        <w:rPr>
          <w:color w:val="231F20"/>
        </w:rPr>
        <w:t>на</w:t>
      </w:r>
      <w:r>
        <w:rPr>
          <w:color w:val="231F20"/>
          <w:spacing w:val="20"/>
        </w:rPr>
        <w:t xml:space="preserve"> </w:t>
      </w:r>
      <w:r>
        <w:rPr>
          <w:color w:val="231F20"/>
        </w:rPr>
        <w:t>конкурсних</w:t>
      </w:r>
      <w:r>
        <w:rPr>
          <w:color w:val="231F20"/>
          <w:spacing w:val="20"/>
        </w:rPr>
        <w:t xml:space="preserve"> </w:t>
      </w:r>
      <w:r>
        <w:rPr>
          <w:color w:val="231F20"/>
        </w:rPr>
        <w:t>засадах;</w:t>
      </w:r>
    </w:p>
    <w:p w14:paraId="0A625C84" w14:textId="77777777" w:rsidR="00DE575E" w:rsidRDefault="002E7560">
      <w:pPr>
        <w:pStyle w:val="ListParagraph"/>
        <w:numPr>
          <w:ilvl w:val="0"/>
          <w:numId w:val="226"/>
        </w:numPr>
        <w:tabs>
          <w:tab w:val="left" w:pos="614"/>
        </w:tabs>
        <w:spacing w:before="3"/>
        <w:ind w:hanging="363"/>
        <w:jc w:val="both"/>
        <w:rPr>
          <w:sz w:val="21"/>
        </w:rPr>
      </w:pPr>
      <w:r>
        <w:rPr>
          <w:color w:val="231F20"/>
          <w:sz w:val="21"/>
        </w:rPr>
        <w:t>набуття</w:t>
      </w:r>
      <w:r>
        <w:rPr>
          <w:color w:val="231F20"/>
          <w:spacing w:val="12"/>
          <w:sz w:val="21"/>
        </w:rPr>
        <w:t xml:space="preserve"> </w:t>
      </w:r>
      <w:r>
        <w:rPr>
          <w:color w:val="231F20"/>
          <w:sz w:val="21"/>
        </w:rPr>
        <w:t>прав</w:t>
      </w:r>
      <w:r>
        <w:rPr>
          <w:color w:val="231F20"/>
          <w:spacing w:val="12"/>
          <w:sz w:val="21"/>
        </w:rPr>
        <w:t xml:space="preserve"> </w:t>
      </w:r>
      <w:r>
        <w:rPr>
          <w:color w:val="231F20"/>
          <w:sz w:val="21"/>
        </w:rPr>
        <w:t>стосовно</w:t>
      </w:r>
      <w:r>
        <w:rPr>
          <w:color w:val="231F20"/>
          <w:spacing w:val="12"/>
          <w:sz w:val="21"/>
        </w:rPr>
        <w:t xml:space="preserve"> </w:t>
      </w:r>
      <w:r>
        <w:rPr>
          <w:color w:val="231F20"/>
          <w:sz w:val="21"/>
        </w:rPr>
        <w:t>об’єктів,</w:t>
      </w:r>
      <w:r>
        <w:rPr>
          <w:color w:val="231F20"/>
          <w:spacing w:val="12"/>
          <w:sz w:val="21"/>
        </w:rPr>
        <w:t xml:space="preserve"> </w:t>
      </w:r>
      <w:r>
        <w:rPr>
          <w:color w:val="231F20"/>
          <w:sz w:val="21"/>
        </w:rPr>
        <w:t>обмежених</w:t>
      </w:r>
      <w:r>
        <w:rPr>
          <w:color w:val="231F20"/>
          <w:spacing w:val="12"/>
          <w:sz w:val="21"/>
        </w:rPr>
        <w:t xml:space="preserve"> </w:t>
      </w:r>
      <w:r>
        <w:rPr>
          <w:color w:val="231F20"/>
          <w:sz w:val="21"/>
        </w:rPr>
        <w:t>у</w:t>
      </w:r>
      <w:r>
        <w:rPr>
          <w:color w:val="231F20"/>
          <w:spacing w:val="11"/>
          <w:sz w:val="21"/>
        </w:rPr>
        <w:t xml:space="preserve"> </w:t>
      </w:r>
      <w:r>
        <w:rPr>
          <w:color w:val="231F20"/>
          <w:sz w:val="21"/>
        </w:rPr>
        <w:t>цивільному</w:t>
      </w:r>
      <w:r>
        <w:rPr>
          <w:color w:val="231F20"/>
          <w:spacing w:val="12"/>
          <w:sz w:val="21"/>
        </w:rPr>
        <w:t xml:space="preserve"> </w:t>
      </w:r>
      <w:r>
        <w:rPr>
          <w:color w:val="231F20"/>
          <w:spacing w:val="-2"/>
          <w:sz w:val="21"/>
        </w:rPr>
        <w:t>обігу.</w:t>
      </w:r>
    </w:p>
    <w:p w14:paraId="7A83E182" w14:textId="77777777" w:rsidR="00DE575E" w:rsidRDefault="00DE575E">
      <w:pPr>
        <w:pStyle w:val="BodyText"/>
        <w:spacing w:before="6"/>
        <w:rPr>
          <w:sz w:val="13"/>
        </w:rPr>
      </w:pPr>
    </w:p>
    <w:p w14:paraId="306F22DA" w14:textId="77777777" w:rsidR="00DE575E" w:rsidRDefault="002E7560">
      <w:pPr>
        <w:spacing w:before="91"/>
        <w:ind w:right="411"/>
        <w:jc w:val="right"/>
        <w:rPr>
          <w:rFonts w:ascii="Times New Roman"/>
          <w:sz w:val="20"/>
        </w:rPr>
      </w:pPr>
      <w:r>
        <w:rPr>
          <w:rFonts w:ascii="Times New Roman"/>
          <w:color w:val="231F20"/>
          <w:w w:val="90"/>
          <w:sz w:val="20"/>
        </w:rPr>
        <w:t>175</w:t>
      </w:r>
    </w:p>
    <w:p w14:paraId="3298CAF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AAED09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F85753F" w14:textId="7BE9DA5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56E5BC8" wp14:editId="1321348E">
                <wp:extent cx="4140200" cy="6350"/>
                <wp:effectExtent l="0" t="0" r="12700" b="6350"/>
                <wp:docPr id="978"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79" name="Line 9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B2BB2B" id="Group_x0020_9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ZNB4H4CAACYBQAADgAA&#10;AAAAAAAAAAAAAAAsAgAAZHJzL2Uyb0RvYy54bWxQSwECLQAUAAYACAAAACEATKewkNkAAAADAQAA&#10;DwAAAAAAAAAAAAAAAADWBAAAZHJzL2Rvd25yZXYueG1sUEsFBgAAAAAEAAQA8wAAANwFAAAAAA==&#10;">
                <v:line id="Line_x0020_9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bKpsYAAADcAAAADwAAAGRycy9kb3ducmV2LnhtbESP3WrCQBSE7wu+w3IEb0rdtEJbo6tI&#10;oSBe+Jc+wDF7TIK7Z2N2NdGndwuFXg4z8w0znXfWiCs1vnKs4HWYgCDOna64UPCTfb98gvABWaNx&#10;TApu5GE+6z1NMdWu5R1d96EQEcI+RQVlCHUqpc9LsuiHriaO3tE1FkOUTSF1g22EWyPfkuRdWqw4&#10;LpRY01dJ+Wl/sQqy83Mw283KtNnmMJKH83p0v6yVGvS7xQREoC78h//aS61g/DG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imyqbGAAAA3AAAAA8AAAAAAAAA&#10;AAAAAAAAoQIAAGRycy9kb3ducmV2LnhtbFBLBQYAAAAABAAEAPkAAACUAwAAAAA=&#10;" strokecolor="#231f20" strokeweight=".5pt"/>
                <w10:anchorlock/>
              </v:group>
            </w:pict>
          </mc:Fallback>
        </mc:AlternateContent>
      </w:r>
    </w:p>
    <w:p w14:paraId="0DEFA870" w14:textId="77777777" w:rsidR="00DE575E" w:rsidRDefault="00DE575E">
      <w:pPr>
        <w:pStyle w:val="BodyText"/>
        <w:spacing w:before="7"/>
        <w:rPr>
          <w:rFonts w:ascii="AdonisC"/>
          <w:i/>
          <w:sz w:val="11"/>
        </w:rPr>
      </w:pPr>
    </w:p>
    <w:p w14:paraId="3E1D8D28" w14:textId="77777777" w:rsidR="00DE575E" w:rsidRDefault="002E7560">
      <w:pPr>
        <w:pStyle w:val="BodyText"/>
        <w:spacing w:before="101" w:line="252" w:lineRule="auto"/>
        <w:ind w:left="533"/>
      </w:pPr>
      <w:r>
        <w:rPr>
          <w:color w:val="231F20"/>
        </w:rPr>
        <w:t>Адміністративні послуги у цих сферах надаються відповідно до спеціальних законів.</w:t>
      </w:r>
    </w:p>
    <w:p w14:paraId="0EBD016A" w14:textId="77777777" w:rsidR="00DE575E" w:rsidRDefault="002E7560">
      <w:pPr>
        <w:spacing w:before="100" w:line="244" w:lineRule="auto"/>
        <w:ind w:left="817" w:right="60" w:firstLine="283"/>
        <w:rPr>
          <w:i/>
          <w:sz w:val="18"/>
        </w:rPr>
      </w:pPr>
      <w:r>
        <w:rPr>
          <w:i/>
          <w:color w:val="231F20"/>
          <w:sz w:val="18"/>
          <w:u w:val="single" w:color="231F20"/>
        </w:rPr>
        <w:t>Приклад:</w:t>
      </w:r>
      <w:r>
        <w:rPr>
          <w:i/>
          <w:color w:val="231F20"/>
          <w:sz w:val="18"/>
        </w:rPr>
        <w:t xml:space="preserve"> адміністративні послуги у сфері здійснення державного нагляду (контролю) надаються відповідно до Закону України від 5 квітня 2007 р.</w:t>
      </w:r>
    </w:p>
    <w:p w14:paraId="03EBF6BC" w14:textId="77777777" w:rsidR="00DE575E" w:rsidRDefault="002E7560">
      <w:pPr>
        <w:spacing w:before="1" w:line="244" w:lineRule="auto"/>
        <w:ind w:left="817"/>
        <w:rPr>
          <w:i/>
          <w:sz w:val="18"/>
        </w:rPr>
      </w:pPr>
      <w:r>
        <w:rPr>
          <w:i/>
          <w:color w:val="231F20"/>
          <w:sz w:val="18"/>
        </w:rPr>
        <w:t>№ 877-V «Про основні засади держ</w:t>
      </w:r>
      <w:r>
        <w:rPr>
          <w:i/>
          <w:color w:val="231F20"/>
          <w:sz w:val="18"/>
        </w:rPr>
        <w:t>авного нагляду (контролю) у сфері госпо- дарської діяльності».</w:t>
      </w:r>
    </w:p>
    <w:p w14:paraId="0E6538C1" w14:textId="77777777" w:rsidR="00DE575E" w:rsidRDefault="00DE575E">
      <w:pPr>
        <w:pStyle w:val="BodyText"/>
        <w:rPr>
          <w:i/>
          <w:sz w:val="20"/>
        </w:rPr>
      </w:pPr>
    </w:p>
    <w:p w14:paraId="5C3F0F44" w14:textId="77777777" w:rsidR="00DE575E" w:rsidRDefault="002E7560">
      <w:pPr>
        <w:pStyle w:val="Heading5"/>
        <w:spacing w:before="153"/>
        <w:ind w:left="817"/>
      </w:pPr>
      <w:r>
        <w:rPr>
          <w:color w:val="231F20"/>
        </w:rPr>
        <w:t>6.1.2. Ознаки адміністративної послуги</w:t>
      </w:r>
    </w:p>
    <w:p w14:paraId="7A3984A8" w14:textId="77777777" w:rsidR="00DE575E" w:rsidRDefault="00DE575E">
      <w:pPr>
        <w:pStyle w:val="BodyText"/>
        <w:spacing w:before="2"/>
        <w:rPr>
          <w:b/>
          <w:sz w:val="23"/>
        </w:rPr>
      </w:pPr>
    </w:p>
    <w:p w14:paraId="0BA322E3" w14:textId="77777777" w:rsidR="00DE575E" w:rsidRDefault="002E7560">
      <w:pPr>
        <w:pStyle w:val="BodyText"/>
        <w:ind w:left="817"/>
      </w:pPr>
      <w:r>
        <w:rPr>
          <w:color w:val="231F20"/>
        </w:rPr>
        <w:t>Із законодавчого визначення можна виділити такі ключові</w:t>
      </w:r>
    </w:p>
    <w:p w14:paraId="0C7E09B4" w14:textId="77777777" w:rsidR="00DE575E" w:rsidRDefault="002E7560">
      <w:pPr>
        <w:pStyle w:val="Heading6"/>
        <w:spacing w:before="13"/>
        <w:ind w:firstLine="0"/>
      </w:pPr>
      <w:r>
        <w:rPr>
          <w:color w:val="231F20"/>
        </w:rPr>
        <w:t>ознаки адміністративної послуги:</w:t>
      </w:r>
    </w:p>
    <w:p w14:paraId="5A46EA72" w14:textId="77777777" w:rsidR="00DE575E" w:rsidRDefault="002E7560">
      <w:pPr>
        <w:pStyle w:val="ListParagraph"/>
        <w:numPr>
          <w:ilvl w:val="1"/>
          <w:numId w:val="226"/>
        </w:numPr>
        <w:tabs>
          <w:tab w:val="left" w:pos="1101"/>
        </w:tabs>
        <w:spacing w:before="13" w:line="252" w:lineRule="auto"/>
        <w:ind w:right="127" w:firstLine="284"/>
        <w:jc w:val="left"/>
        <w:rPr>
          <w:sz w:val="21"/>
        </w:rPr>
      </w:pPr>
      <w:r>
        <w:rPr>
          <w:color w:val="231F20"/>
          <w:sz w:val="21"/>
        </w:rPr>
        <w:t>адміністративна послуга надається лише за заявою фізичної чи юр</w:t>
      </w:r>
      <w:r>
        <w:rPr>
          <w:color w:val="231F20"/>
          <w:sz w:val="21"/>
        </w:rPr>
        <w:t>идичної</w:t>
      </w:r>
      <w:r>
        <w:rPr>
          <w:color w:val="231F20"/>
          <w:spacing w:val="7"/>
          <w:sz w:val="21"/>
        </w:rPr>
        <w:t xml:space="preserve"> </w:t>
      </w:r>
      <w:r>
        <w:rPr>
          <w:color w:val="231F20"/>
          <w:sz w:val="21"/>
        </w:rPr>
        <w:t>особи;</w:t>
      </w:r>
    </w:p>
    <w:p w14:paraId="6D9D101F" w14:textId="77777777" w:rsidR="00DE575E" w:rsidRDefault="002E7560">
      <w:pPr>
        <w:pStyle w:val="ListParagraph"/>
        <w:numPr>
          <w:ilvl w:val="1"/>
          <w:numId w:val="226"/>
        </w:numPr>
        <w:tabs>
          <w:tab w:val="left" w:pos="1101"/>
        </w:tabs>
        <w:spacing w:line="252" w:lineRule="auto"/>
        <w:ind w:right="126" w:firstLine="284"/>
        <w:jc w:val="left"/>
        <w:rPr>
          <w:sz w:val="21"/>
        </w:rPr>
      </w:pPr>
      <w:r>
        <w:rPr>
          <w:color w:val="231F20"/>
          <w:sz w:val="21"/>
        </w:rPr>
        <w:t>заява призводить до певного результату, спрямованого на набуття, зміну чи припинення прав та/або обов’язків</w:t>
      </w:r>
      <w:r>
        <w:rPr>
          <w:color w:val="231F20"/>
          <w:spacing w:val="10"/>
          <w:sz w:val="21"/>
        </w:rPr>
        <w:t xml:space="preserve"> </w:t>
      </w:r>
      <w:r>
        <w:rPr>
          <w:color w:val="231F20"/>
          <w:sz w:val="21"/>
        </w:rPr>
        <w:t>особи;</w:t>
      </w:r>
    </w:p>
    <w:p w14:paraId="3D806701" w14:textId="77777777" w:rsidR="00DE575E" w:rsidRDefault="002E7560">
      <w:pPr>
        <w:pStyle w:val="ListParagraph"/>
        <w:numPr>
          <w:ilvl w:val="1"/>
          <w:numId w:val="226"/>
        </w:numPr>
        <w:tabs>
          <w:tab w:val="left" w:pos="1101"/>
        </w:tabs>
        <w:spacing w:line="252" w:lineRule="auto"/>
        <w:ind w:right="126" w:firstLine="284"/>
        <w:jc w:val="left"/>
        <w:rPr>
          <w:sz w:val="21"/>
        </w:rPr>
      </w:pPr>
      <w:r>
        <w:rPr>
          <w:color w:val="231F20"/>
          <w:sz w:val="21"/>
        </w:rPr>
        <w:t>адміністративна послуга є результатом здійснення владних повноважень суб’єктом надання адміністративних</w:t>
      </w:r>
      <w:r>
        <w:rPr>
          <w:color w:val="231F20"/>
          <w:spacing w:val="26"/>
          <w:sz w:val="21"/>
        </w:rPr>
        <w:t xml:space="preserve"> </w:t>
      </w:r>
      <w:r>
        <w:rPr>
          <w:color w:val="231F20"/>
          <w:sz w:val="21"/>
        </w:rPr>
        <w:t>послуг;</w:t>
      </w:r>
    </w:p>
    <w:p w14:paraId="01FC6104" w14:textId="77777777" w:rsidR="00DE575E" w:rsidRDefault="002E7560">
      <w:pPr>
        <w:pStyle w:val="ListParagraph"/>
        <w:numPr>
          <w:ilvl w:val="1"/>
          <w:numId w:val="226"/>
        </w:numPr>
        <w:tabs>
          <w:tab w:val="left" w:pos="1101"/>
        </w:tabs>
        <w:ind w:firstLine="284"/>
        <w:jc w:val="left"/>
        <w:rPr>
          <w:sz w:val="21"/>
        </w:rPr>
      </w:pPr>
      <w:r>
        <w:rPr>
          <w:color w:val="231F20"/>
          <w:sz w:val="21"/>
        </w:rPr>
        <w:t>адміністративн</w:t>
      </w:r>
      <w:r>
        <w:rPr>
          <w:color w:val="231F20"/>
          <w:sz w:val="21"/>
        </w:rPr>
        <w:t>а послуга надається відповідно до</w:t>
      </w:r>
      <w:r>
        <w:rPr>
          <w:color w:val="231F20"/>
          <w:spacing w:val="40"/>
          <w:sz w:val="21"/>
        </w:rPr>
        <w:t xml:space="preserve"> </w:t>
      </w:r>
      <w:r>
        <w:rPr>
          <w:color w:val="231F20"/>
          <w:sz w:val="21"/>
        </w:rPr>
        <w:t>закону.</w:t>
      </w:r>
    </w:p>
    <w:p w14:paraId="4A228D27" w14:textId="77777777" w:rsidR="00DE575E" w:rsidRDefault="002E7560">
      <w:pPr>
        <w:pStyle w:val="ListParagraph"/>
        <w:numPr>
          <w:ilvl w:val="1"/>
          <w:numId w:val="226"/>
        </w:numPr>
        <w:tabs>
          <w:tab w:val="left" w:pos="1101"/>
        </w:tabs>
        <w:spacing w:before="12" w:line="252" w:lineRule="auto"/>
        <w:ind w:right="126" w:firstLine="284"/>
        <w:jc w:val="left"/>
        <w:rPr>
          <w:sz w:val="21"/>
        </w:rPr>
      </w:pPr>
      <w:r>
        <w:rPr>
          <w:color w:val="231F20"/>
          <w:sz w:val="21"/>
        </w:rPr>
        <w:t>адміністративна послуга надається суб’єктом надання таких послуг</w:t>
      </w:r>
      <w:r>
        <w:rPr>
          <w:color w:val="231F20"/>
          <w:spacing w:val="7"/>
          <w:sz w:val="21"/>
        </w:rPr>
        <w:t xml:space="preserve"> </w:t>
      </w:r>
      <w:r>
        <w:rPr>
          <w:color w:val="231F20"/>
          <w:sz w:val="21"/>
        </w:rPr>
        <w:t>лише</w:t>
      </w:r>
      <w:r>
        <w:rPr>
          <w:color w:val="231F20"/>
          <w:spacing w:val="7"/>
          <w:sz w:val="21"/>
        </w:rPr>
        <w:t xml:space="preserve"> </w:t>
      </w:r>
      <w:r>
        <w:rPr>
          <w:color w:val="231F20"/>
          <w:sz w:val="21"/>
        </w:rPr>
        <w:t>за</w:t>
      </w:r>
      <w:r>
        <w:rPr>
          <w:color w:val="231F20"/>
          <w:spacing w:val="7"/>
          <w:sz w:val="21"/>
        </w:rPr>
        <w:t xml:space="preserve"> </w:t>
      </w:r>
      <w:r>
        <w:rPr>
          <w:color w:val="231F20"/>
          <w:sz w:val="21"/>
        </w:rPr>
        <w:t>ініціативою</w:t>
      </w:r>
      <w:r>
        <w:rPr>
          <w:color w:val="231F20"/>
          <w:spacing w:val="7"/>
          <w:sz w:val="21"/>
        </w:rPr>
        <w:t xml:space="preserve"> </w:t>
      </w:r>
      <w:r>
        <w:rPr>
          <w:color w:val="231F20"/>
          <w:sz w:val="21"/>
        </w:rPr>
        <w:t>особи,</w:t>
      </w:r>
      <w:r>
        <w:rPr>
          <w:color w:val="231F20"/>
          <w:spacing w:val="7"/>
          <w:sz w:val="21"/>
        </w:rPr>
        <w:t xml:space="preserve"> </w:t>
      </w:r>
      <w:r>
        <w:rPr>
          <w:color w:val="231F20"/>
          <w:sz w:val="21"/>
        </w:rPr>
        <w:t>яка</w:t>
      </w:r>
      <w:r>
        <w:rPr>
          <w:color w:val="231F20"/>
          <w:spacing w:val="7"/>
          <w:sz w:val="21"/>
        </w:rPr>
        <w:t xml:space="preserve"> </w:t>
      </w:r>
      <w:r>
        <w:rPr>
          <w:color w:val="231F20"/>
          <w:sz w:val="21"/>
        </w:rPr>
        <w:t>потребує</w:t>
      </w:r>
      <w:r>
        <w:rPr>
          <w:color w:val="231F20"/>
          <w:spacing w:val="7"/>
          <w:sz w:val="21"/>
        </w:rPr>
        <w:t xml:space="preserve"> </w:t>
      </w:r>
      <w:r>
        <w:rPr>
          <w:color w:val="231F20"/>
          <w:sz w:val="21"/>
        </w:rPr>
        <w:t>такої</w:t>
      </w:r>
      <w:r>
        <w:rPr>
          <w:color w:val="231F20"/>
          <w:spacing w:val="7"/>
          <w:sz w:val="21"/>
        </w:rPr>
        <w:t xml:space="preserve"> </w:t>
      </w:r>
      <w:r>
        <w:rPr>
          <w:color w:val="231F20"/>
          <w:sz w:val="21"/>
        </w:rPr>
        <w:t>послуги;</w:t>
      </w:r>
    </w:p>
    <w:p w14:paraId="2A8DDB93" w14:textId="77777777" w:rsidR="00DE575E" w:rsidRDefault="002E7560">
      <w:pPr>
        <w:pStyle w:val="ListParagraph"/>
        <w:numPr>
          <w:ilvl w:val="1"/>
          <w:numId w:val="226"/>
        </w:numPr>
        <w:tabs>
          <w:tab w:val="left" w:pos="1101"/>
        </w:tabs>
        <w:ind w:firstLine="284"/>
        <w:jc w:val="left"/>
        <w:rPr>
          <w:sz w:val="21"/>
        </w:rPr>
      </w:pPr>
      <w:r>
        <w:rPr>
          <w:color w:val="231F20"/>
          <w:sz w:val="21"/>
        </w:rPr>
        <w:t>результатом розгляду заяви суб’єкта звернення</w:t>
      </w:r>
      <w:r>
        <w:rPr>
          <w:color w:val="231F20"/>
          <w:spacing w:val="23"/>
          <w:sz w:val="21"/>
        </w:rPr>
        <w:t xml:space="preserve"> </w:t>
      </w:r>
      <w:r>
        <w:rPr>
          <w:color w:val="231F20"/>
          <w:sz w:val="21"/>
        </w:rPr>
        <w:t>є:</w:t>
      </w:r>
    </w:p>
    <w:p w14:paraId="1F2D6F0B" w14:textId="77777777" w:rsidR="00DE575E" w:rsidRDefault="002E7560">
      <w:pPr>
        <w:pStyle w:val="ListParagraph"/>
        <w:numPr>
          <w:ilvl w:val="2"/>
          <w:numId w:val="226"/>
        </w:numPr>
        <w:tabs>
          <w:tab w:val="left" w:pos="1385"/>
        </w:tabs>
        <w:spacing w:before="13" w:line="252" w:lineRule="auto"/>
        <w:ind w:right="128"/>
        <w:rPr>
          <w:i/>
          <w:sz w:val="21"/>
        </w:rPr>
      </w:pPr>
      <w:r>
        <w:rPr>
          <w:i/>
          <w:color w:val="231F20"/>
          <w:sz w:val="21"/>
        </w:rPr>
        <w:t>рішення індивідуальної дії (адміністративний акт), що ухвалюється щодо конкретної особи і породжує, змінює або припиняє права та/або обов’язки особи (напр., свідоцтво про реєстрацію шлюбу, ліцензія на певний вид господарської діяльності,</w:t>
      </w:r>
      <w:r>
        <w:rPr>
          <w:i/>
          <w:color w:val="231F20"/>
          <w:spacing w:val="-14"/>
          <w:sz w:val="21"/>
        </w:rPr>
        <w:t xml:space="preserve"> </w:t>
      </w:r>
      <w:r>
        <w:rPr>
          <w:i/>
          <w:color w:val="231F20"/>
          <w:sz w:val="21"/>
        </w:rPr>
        <w:t>внесення</w:t>
      </w:r>
      <w:r>
        <w:rPr>
          <w:i/>
          <w:color w:val="231F20"/>
          <w:spacing w:val="-14"/>
          <w:sz w:val="21"/>
        </w:rPr>
        <w:t xml:space="preserve"> </w:t>
      </w:r>
      <w:r>
        <w:rPr>
          <w:i/>
          <w:color w:val="231F20"/>
          <w:sz w:val="21"/>
        </w:rPr>
        <w:t>відповідн</w:t>
      </w:r>
      <w:r>
        <w:rPr>
          <w:i/>
          <w:color w:val="231F20"/>
          <w:sz w:val="21"/>
        </w:rPr>
        <w:t>ого</w:t>
      </w:r>
      <w:r>
        <w:rPr>
          <w:i/>
          <w:color w:val="231F20"/>
          <w:spacing w:val="-13"/>
          <w:sz w:val="21"/>
        </w:rPr>
        <w:t xml:space="preserve"> </w:t>
      </w:r>
      <w:r>
        <w:rPr>
          <w:i/>
          <w:color w:val="231F20"/>
          <w:sz w:val="21"/>
        </w:rPr>
        <w:t>запису</w:t>
      </w:r>
      <w:r>
        <w:rPr>
          <w:i/>
          <w:color w:val="231F20"/>
          <w:spacing w:val="-14"/>
          <w:sz w:val="21"/>
        </w:rPr>
        <w:t xml:space="preserve"> </w:t>
      </w:r>
      <w:r>
        <w:rPr>
          <w:i/>
          <w:color w:val="231F20"/>
          <w:sz w:val="21"/>
        </w:rPr>
        <w:t>до</w:t>
      </w:r>
      <w:r>
        <w:rPr>
          <w:i/>
          <w:color w:val="231F20"/>
          <w:spacing w:val="-14"/>
          <w:sz w:val="21"/>
        </w:rPr>
        <w:t xml:space="preserve"> </w:t>
      </w:r>
      <w:r>
        <w:rPr>
          <w:i/>
          <w:color w:val="231F20"/>
          <w:sz w:val="21"/>
        </w:rPr>
        <w:t>Єдиного</w:t>
      </w:r>
      <w:r>
        <w:rPr>
          <w:i/>
          <w:color w:val="231F20"/>
          <w:spacing w:val="-14"/>
          <w:sz w:val="21"/>
        </w:rPr>
        <w:t xml:space="preserve"> </w:t>
      </w:r>
      <w:r>
        <w:rPr>
          <w:i/>
          <w:color w:val="231F20"/>
          <w:sz w:val="21"/>
        </w:rPr>
        <w:t>держав- ного реєстру юридичних осіб та фізичних</w:t>
      </w:r>
      <w:r>
        <w:rPr>
          <w:i/>
          <w:color w:val="231F20"/>
          <w:spacing w:val="-17"/>
          <w:sz w:val="21"/>
        </w:rPr>
        <w:t xml:space="preserve"> </w:t>
      </w:r>
      <w:r>
        <w:rPr>
          <w:i/>
          <w:color w:val="231F20"/>
          <w:sz w:val="21"/>
        </w:rPr>
        <w:t>осіб-підприємців);</w:t>
      </w:r>
    </w:p>
    <w:p w14:paraId="2D09CE44" w14:textId="77777777" w:rsidR="00DE575E" w:rsidRDefault="002E7560">
      <w:pPr>
        <w:pStyle w:val="ListParagraph"/>
        <w:numPr>
          <w:ilvl w:val="2"/>
          <w:numId w:val="226"/>
        </w:numPr>
        <w:tabs>
          <w:tab w:val="left" w:pos="1385"/>
        </w:tabs>
        <w:spacing w:before="3" w:line="252" w:lineRule="auto"/>
        <w:ind w:right="127"/>
        <w:rPr>
          <w:i/>
          <w:sz w:val="21"/>
        </w:rPr>
      </w:pPr>
      <w:r>
        <w:rPr>
          <w:i/>
          <w:color w:val="231F20"/>
          <w:sz w:val="21"/>
        </w:rPr>
        <w:t>адміністративний договір, за яким відбувається набуття, зміна чи припинення прав та/або обов’язків</w:t>
      </w:r>
      <w:r>
        <w:rPr>
          <w:i/>
          <w:color w:val="231F20"/>
          <w:spacing w:val="-10"/>
          <w:sz w:val="21"/>
        </w:rPr>
        <w:t xml:space="preserve"> </w:t>
      </w:r>
      <w:r>
        <w:rPr>
          <w:i/>
          <w:color w:val="231F20"/>
          <w:sz w:val="21"/>
        </w:rPr>
        <w:t>особи;</w:t>
      </w:r>
    </w:p>
    <w:p w14:paraId="6C3AD54D" w14:textId="77777777" w:rsidR="00DE575E" w:rsidRDefault="002E7560">
      <w:pPr>
        <w:pStyle w:val="ListParagraph"/>
        <w:numPr>
          <w:ilvl w:val="1"/>
          <w:numId w:val="226"/>
        </w:numPr>
        <w:tabs>
          <w:tab w:val="left" w:pos="1101"/>
        </w:tabs>
        <w:spacing w:line="252" w:lineRule="auto"/>
        <w:ind w:right="127" w:firstLine="284"/>
        <w:jc w:val="left"/>
        <w:rPr>
          <w:sz w:val="21"/>
        </w:rPr>
      </w:pPr>
      <w:r>
        <w:rPr>
          <w:color w:val="231F20"/>
          <w:sz w:val="21"/>
        </w:rPr>
        <w:t>адміністративна послуга надається лише суб’єктом надання таки</w:t>
      </w:r>
      <w:r>
        <w:rPr>
          <w:color w:val="231F20"/>
          <w:sz w:val="21"/>
        </w:rPr>
        <w:t>х</w:t>
      </w:r>
      <w:r>
        <w:rPr>
          <w:color w:val="231F20"/>
          <w:spacing w:val="3"/>
          <w:sz w:val="21"/>
        </w:rPr>
        <w:t xml:space="preserve"> </w:t>
      </w:r>
      <w:r>
        <w:rPr>
          <w:color w:val="231F20"/>
          <w:sz w:val="21"/>
        </w:rPr>
        <w:t>послуг;</w:t>
      </w:r>
    </w:p>
    <w:p w14:paraId="2815D992" w14:textId="77777777" w:rsidR="00DE575E" w:rsidRDefault="002E7560">
      <w:pPr>
        <w:pStyle w:val="ListParagraph"/>
        <w:numPr>
          <w:ilvl w:val="1"/>
          <w:numId w:val="226"/>
        </w:numPr>
        <w:tabs>
          <w:tab w:val="left" w:pos="1101"/>
        </w:tabs>
        <w:spacing w:line="252" w:lineRule="auto"/>
        <w:ind w:right="125" w:firstLine="284"/>
        <w:jc w:val="left"/>
        <w:rPr>
          <w:sz w:val="21"/>
        </w:rPr>
      </w:pPr>
      <w:r>
        <w:rPr>
          <w:color w:val="231F20"/>
          <w:sz w:val="21"/>
        </w:rPr>
        <w:t>надання адміністративної послуги є повноваженням органу державної або місцевої</w:t>
      </w:r>
      <w:r>
        <w:rPr>
          <w:color w:val="231F20"/>
          <w:spacing w:val="12"/>
          <w:sz w:val="21"/>
        </w:rPr>
        <w:t xml:space="preserve"> </w:t>
      </w:r>
      <w:r>
        <w:rPr>
          <w:color w:val="231F20"/>
          <w:sz w:val="21"/>
        </w:rPr>
        <w:t>влади;</w:t>
      </w:r>
    </w:p>
    <w:p w14:paraId="69486D69" w14:textId="77777777" w:rsidR="00DE575E" w:rsidRDefault="002E7560">
      <w:pPr>
        <w:pStyle w:val="ListParagraph"/>
        <w:numPr>
          <w:ilvl w:val="1"/>
          <w:numId w:val="226"/>
        </w:numPr>
        <w:tabs>
          <w:tab w:val="left" w:pos="1101"/>
        </w:tabs>
        <w:spacing w:line="252" w:lineRule="auto"/>
        <w:ind w:right="127" w:firstLine="284"/>
        <w:rPr>
          <w:sz w:val="21"/>
        </w:rPr>
      </w:pPr>
      <w:r>
        <w:rPr>
          <w:color w:val="231F20"/>
          <w:sz w:val="21"/>
        </w:rPr>
        <w:t>повноваження органів публічної адміністрації  та  проце-  дура з надання адміністративних послуг мають бути закріплені виключно</w:t>
      </w:r>
      <w:r>
        <w:rPr>
          <w:color w:val="231F20"/>
          <w:spacing w:val="3"/>
          <w:sz w:val="21"/>
        </w:rPr>
        <w:t xml:space="preserve"> </w:t>
      </w:r>
      <w:r>
        <w:rPr>
          <w:color w:val="231F20"/>
          <w:sz w:val="21"/>
        </w:rPr>
        <w:t>законом.</w:t>
      </w:r>
    </w:p>
    <w:p w14:paraId="1A9A37E7" w14:textId="77777777" w:rsidR="00DE575E" w:rsidRDefault="00DE575E">
      <w:pPr>
        <w:pStyle w:val="BodyText"/>
        <w:rPr>
          <w:sz w:val="20"/>
        </w:rPr>
      </w:pPr>
    </w:p>
    <w:p w14:paraId="295F5BD5" w14:textId="77777777" w:rsidR="00DE575E" w:rsidRDefault="00DE575E">
      <w:pPr>
        <w:pStyle w:val="BodyText"/>
        <w:rPr>
          <w:sz w:val="20"/>
        </w:rPr>
      </w:pPr>
    </w:p>
    <w:p w14:paraId="4A52B5B9" w14:textId="77777777" w:rsidR="00DE575E" w:rsidRDefault="00DE575E">
      <w:pPr>
        <w:pStyle w:val="BodyText"/>
        <w:rPr>
          <w:sz w:val="20"/>
        </w:rPr>
      </w:pPr>
    </w:p>
    <w:p w14:paraId="62124EA6" w14:textId="77777777" w:rsidR="00DE575E" w:rsidRDefault="00DE575E">
      <w:pPr>
        <w:pStyle w:val="BodyText"/>
        <w:rPr>
          <w:sz w:val="22"/>
        </w:rPr>
      </w:pPr>
    </w:p>
    <w:p w14:paraId="73602B57" w14:textId="77777777" w:rsidR="00DE575E" w:rsidRDefault="002E7560">
      <w:pPr>
        <w:ind w:left="533"/>
        <w:rPr>
          <w:rFonts w:ascii="Times New Roman"/>
          <w:sz w:val="20"/>
        </w:rPr>
      </w:pPr>
      <w:r>
        <w:rPr>
          <w:rFonts w:ascii="Times New Roman"/>
          <w:color w:val="231F20"/>
          <w:sz w:val="20"/>
        </w:rPr>
        <w:t>176</w:t>
      </w:r>
    </w:p>
    <w:p w14:paraId="4B6B9E2B" w14:textId="77777777" w:rsidR="00DE575E" w:rsidRDefault="00DE575E">
      <w:pPr>
        <w:rPr>
          <w:rFonts w:ascii="Times New Roman"/>
          <w:sz w:val="20"/>
        </w:rPr>
        <w:sectPr w:rsidR="00DE575E">
          <w:pgSz w:w="8510" w:h="12760"/>
          <w:pgMar w:top="660" w:right="720" w:bottom="280" w:left="600" w:header="720" w:footer="720" w:gutter="0"/>
          <w:cols w:space="720"/>
        </w:sectPr>
      </w:pPr>
    </w:p>
    <w:p w14:paraId="7A9FB14F"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5B620DCC" w14:textId="0EBDC31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2E5E265" wp14:editId="1631C776">
                <wp:extent cx="4140200" cy="6350"/>
                <wp:effectExtent l="0" t="0" r="12700" b="6350"/>
                <wp:docPr id="976"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77" name="Line 97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2D2006" id="Group_x0020_97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5PBigAIAAJgFAAAO&#10;AAAAAAAAAAAAAAAAACwCAABkcnMvZTJvRG9jLnhtbFBLAQItABQABgAIAAAAIQBMp7CQ2QAAAAMB&#10;AAAPAAAAAAAAAAAAAAAAANgEAABkcnMvZG93bnJldi54bWxQSwUGAAAAAAQABADzAAAA3gUAAAAA&#10;">
                <v:line id="Line_x0020_97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X7T8YAAADcAAAADwAAAGRycy9kb3ducmV2LnhtbESP0WrCQBRE3wv+w3IFX0rdqFBrdBUp&#10;FEoftDX9gGv2mgR378bsaqJf7wqFPg4zc4ZZrDprxIUaXzlWMBomIIhzpysuFPxmHy9vIHxA1mgc&#10;k4IreVgte08LTLVr+Ycuu1CICGGfooIyhDqV0uclWfRDVxNH7+AaiyHKppC6wTbCrZHjJHmVFiuO&#10;CyXW9F5SftydrYLs9BzM9/bLtNl2P5H702ZyO2+UGvS79RxEoC78h//an1rBbDq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1+0/GAAAA3AAAAA8AAAAAAAAA&#10;AAAAAAAAoQIAAGRycy9kb3ducmV2LnhtbFBLBQYAAAAABAAEAPkAAACUAwAAAAA=&#10;" strokecolor="#231f20" strokeweight=".5pt"/>
                <w10:anchorlock/>
              </v:group>
            </w:pict>
          </mc:Fallback>
        </mc:AlternateContent>
      </w:r>
    </w:p>
    <w:p w14:paraId="5BB82CBD" w14:textId="77777777" w:rsidR="00DE575E" w:rsidRDefault="00DE575E">
      <w:pPr>
        <w:pStyle w:val="BodyText"/>
        <w:spacing w:before="7"/>
        <w:rPr>
          <w:rFonts w:ascii="AdonisC"/>
          <w:i/>
          <w:sz w:val="19"/>
        </w:rPr>
      </w:pPr>
    </w:p>
    <w:p w14:paraId="43994280" w14:textId="77777777" w:rsidR="00DE575E" w:rsidRDefault="002E7560">
      <w:pPr>
        <w:pStyle w:val="Heading5"/>
        <w:spacing w:before="1" w:line="252" w:lineRule="auto"/>
        <w:ind w:right="2207"/>
      </w:pPr>
      <w:r>
        <w:rPr>
          <w:color w:val="231F20"/>
        </w:rPr>
        <w:t>6.1.3. Відмінність адміністративної послуги від інших видів послуг у публічній сфері</w:t>
      </w:r>
    </w:p>
    <w:p w14:paraId="6998FB4B" w14:textId="77777777" w:rsidR="00DE575E" w:rsidRDefault="00DE575E">
      <w:pPr>
        <w:pStyle w:val="BodyText"/>
        <w:spacing w:before="1"/>
        <w:rPr>
          <w:b/>
          <w:sz w:val="22"/>
        </w:rPr>
      </w:pPr>
    </w:p>
    <w:p w14:paraId="2CED616F" w14:textId="77777777" w:rsidR="00DE575E" w:rsidRDefault="002E7560">
      <w:pPr>
        <w:pStyle w:val="BodyText"/>
        <w:spacing w:line="252" w:lineRule="auto"/>
        <w:ind w:left="250" w:right="409" w:firstLine="283"/>
        <w:jc w:val="both"/>
      </w:pPr>
      <w:r>
        <w:rPr>
          <w:color w:val="231F20"/>
        </w:rPr>
        <w:t xml:space="preserve">У юридичній науці визначення </w:t>
      </w:r>
      <w:r>
        <w:rPr>
          <w:color w:val="231F20"/>
        </w:rPr>
        <w:t>категорії «послуга» має неод- нозначне тлумачення. Уживання цієї категорії у сфері приватного регулювання і поява в українському законодавстві терміна «адмі- ністративна послуга» зумовили  виникнення  такої  проблеми,  як  їх розмежування та ступінь  право</w:t>
      </w:r>
      <w:r>
        <w:rPr>
          <w:color w:val="231F20"/>
        </w:rPr>
        <w:t>мірності  використання  мето-  дів регулювання, що характерно одному правовому інституту за регламентації</w:t>
      </w:r>
      <w:r>
        <w:rPr>
          <w:color w:val="231F20"/>
          <w:spacing w:val="3"/>
        </w:rPr>
        <w:t xml:space="preserve"> </w:t>
      </w:r>
      <w:r>
        <w:rPr>
          <w:color w:val="231F20"/>
        </w:rPr>
        <w:t>іншого.</w:t>
      </w:r>
    </w:p>
    <w:p w14:paraId="29BFBC76" w14:textId="77777777" w:rsidR="00DE575E" w:rsidRDefault="002E7560">
      <w:pPr>
        <w:pStyle w:val="BodyText"/>
        <w:spacing w:before="3" w:line="252" w:lineRule="auto"/>
        <w:ind w:left="250" w:right="408" w:firstLine="283"/>
        <w:jc w:val="both"/>
      </w:pPr>
      <w:r>
        <w:rPr>
          <w:color w:val="231F20"/>
        </w:rPr>
        <w:t>Також у нормативно-правових актах термін «послуга» вико- ристовується у словосполученнях «публічна послуга», «державна послуга», «муніципальна</w:t>
      </w:r>
      <w:r>
        <w:rPr>
          <w:color w:val="231F20"/>
        </w:rPr>
        <w:t xml:space="preserve"> послуга», що у свою чергу призводить до неоднозначного його розуміння.</w:t>
      </w:r>
    </w:p>
    <w:p w14:paraId="3BADCC3D" w14:textId="77777777" w:rsidR="00DE575E" w:rsidRDefault="002E7560">
      <w:pPr>
        <w:pStyle w:val="BodyText"/>
        <w:spacing w:before="2" w:line="252" w:lineRule="auto"/>
        <w:ind w:left="250" w:right="406" w:firstLine="283"/>
        <w:jc w:val="both"/>
      </w:pPr>
      <w:r>
        <w:rPr>
          <w:color w:val="231F20"/>
        </w:rPr>
        <w:t>Адміністративні послуги та послуги, що надаються в межах цивільних правовідносин, є абсолютно різнопорядковими явищами. У першому випадку –  це  публічні  правовідносини,  що  за своєю</w:t>
      </w:r>
      <w:r>
        <w:rPr>
          <w:color w:val="231F20"/>
        </w:rPr>
        <w:t xml:space="preserve"> сутністю є реалізацією суб’єктами надання адміністра- тивних послуг функцій держави. У другому мова йде про типові цивільні (приватні) правовідносини. Складний характер цього питання пов’язаний із використанням терміна «послуги», який свідчить про належні</w:t>
      </w:r>
      <w:r>
        <w:rPr>
          <w:color w:val="231F20"/>
        </w:rPr>
        <w:t>сть цієї категорії до</w:t>
      </w:r>
      <w:r>
        <w:rPr>
          <w:color w:val="231F20"/>
          <w:spacing w:val="40"/>
        </w:rPr>
        <w:t xml:space="preserve"> </w:t>
      </w:r>
      <w:r>
        <w:rPr>
          <w:color w:val="231F20"/>
        </w:rPr>
        <w:t>цивілістики.</w:t>
      </w:r>
    </w:p>
    <w:p w14:paraId="1581240B" w14:textId="77777777" w:rsidR="00DE575E" w:rsidRDefault="002E7560">
      <w:pPr>
        <w:pStyle w:val="BodyText"/>
        <w:spacing w:before="4" w:line="252" w:lineRule="auto"/>
        <w:ind w:left="250" w:right="408" w:firstLine="283"/>
        <w:jc w:val="both"/>
      </w:pPr>
      <w:r>
        <w:rPr>
          <w:color w:val="231F20"/>
        </w:rPr>
        <w:t>Однак варто враховувати, що для поняття «адміністративна послуга» визначальною є ознака «адміністративна», яка характе- ризує суб’єктів, що надають адміністративні послуги, – державних владних суб’єктів, що суттєво змінює</w:t>
      </w:r>
      <w:r>
        <w:rPr>
          <w:color w:val="231F20"/>
        </w:rPr>
        <w:t xml:space="preserve"> природу таких послуг.</w:t>
      </w:r>
    </w:p>
    <w:p w14:paraId="16507258" w14:textId="77777777" w:rsidR="00DE575E" w:rsidRDefault="002E7560">
      <w:pPr>
        <w:pStyle w:val="BodyText"/>
        <w:spacing w:before="2" w:line="252" w:lineRule="auto"/>
        <w:ind w:left="250" w:right="409" w:firstLine="283"/>
        <w:jc w:val="both"/>
      </w:pPr>
      <w:r>
        <w:rPr>
          <w:color w:val="231F20"/>
        </w:rPr>
        <w:t>Адміністративні послуги надаються лише обмеженим колом суб’єктів, і на відміну від приватних послуг отримати адміністра- тивну послугу можна тільки в одного суб’єкта – в одному органі. Наявність публічного елемента, наділеного владни</w:t>
      </w:r>
      <w:r>
        <w:rPr>
          <w:color w:val="231F20"/>
        </w:rPr>
        <w:t>ми повнова- женнями, у відносинах у сфері надання адміністративних послуг,     а також сувора регламентація порядку реалізації таких повно- важень разом із законодавчим закріпленням обмеженого пере-  ліку результатів діяльності виключає таке утворення зі с</w:t>
      </w:r>
      <w:r>
        <w:rPr>
          <w:color w:val="231F20"/>
        </w:rPr>
        <w:t xml:space="preserve">фери цивільно-правового регулювання. </w:t>
      </w:r>
      <w:r>
        <w:rPr>
          <w:color w:val="231F20"/>
          <w:spacing w:val="-4"/>
        </w:rPr>
        <w:t xml:space="preserve">Тому </w:t>
      </w:r>
      <w:r>
        <w:rPr>
          <w:color w:val="231F20"/>
        </w:rPr>
        <w:t>вважаємо, що доцільно вживати поняття «послуга»  щодо  діяльності  органів  державної  та місцевої</w:t>
      </w:r>
      <w:r>
        <w:rPr>
          <w:color w:val="231F20"/>
          <w:spacing w:val="7"/>
        </w:rPr>
        <w:t xml:space="preserve"> </w:t>
      </w:r>
      <w:r>
        <w:rPr>
          <w:color w:val="231F20"/>
        </w:rPr>
        <w:t>влади.</w:t>
      </w:r>
    </w:p>
    <w:p w14:paraId="273F6439" w14:textId="77777777" w:rsidR="00DE575E" w:rsidRDefault="002E7560">
      <w:pPr>
        <w:pStyle w:val="BodyText"/>
        <w:spacing w:before="6"/>
        <w:ind w:left="533"/>
      </w:pPr>
      <w:r>
        <w:rPr>
          <w:color w:val="231F20"/>
        </w:rPr>
        <w:t>На   відміну   від   поняття   «адміністративна   послуга»,   термін</w:t>
      </w:r>
    </w:p>
    <w:p w14:paraId="45F4B8C5" w14:textId="77777777" w:rsidR="00DE575E" w:rsidRDefault="002E7560">
      <w:pPr>
        <w:pStyle w:val="BodyText"/>
        <w:spacing w:before="12"/>
        <w:ind w:left="250"/>
      </w:pPr>
      <w:r>
        <w:rPr>
          <w:color w:val="231F20"/>
        </w:rPr>
        <w:t>«публічна     послуга»     має     ширше     значення.     Це  пояснюється</w:t>
      </w:r>
    </w:p>
    <w:p w14:paraId="58614424" w14:textId="77777777" w:rsidR="00DE575E" w:rsidRDefault="00DE575E">
      <w:pPr>
        <w:pStyle w:val="BodyText"/>
        <w:spacing w:before="7"/>
        <w:rPr>
          <w:sz w:val="13"/>
        </w:rPr>
      </w:pPr>
    </w:p>
    <w:p w14:paraId="26800C78" w14:textId="77777777" w:rsidR="00DE575E" w:rsidRDefault="002E7560">
      <w:pPr>
        <w:spacing w:before="91"/>
        <w:ind w:right="411"/>
        <w:jc w:val="right"/>
        <w:rPr>
          <w:rFonts w:ascii="Times New Roman"/>
          <w:sz w:val="20"/>
        </w:rPr>
      </w:pPr>
      <w:r>
        <w:rPr>
          <w:rFonts w:ascii="Times New Roman"/>
          <w:color w:val="231F20"/>
          <w:w w:val="90"/>
          <w:sz w:val="20"/>
        </w:rPr>
        <w:t>177</w:t>
      </w:r>
    </w:p>
    <w:p w14:paraId="196B26F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EC1D31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CCC6756" w14:textId="215012F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36346C0" wp14:editId="1191CC1C">
                <wp:extent cx="4140200" cy="6350"/>
                <wp:effectExtent l="0" t="0" r="12700" b="6350"/>
                <wp:docPr id="974"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75" name="Line 97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7373C1" id="Group_x0020_97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e0kXl/AgAAmAUAAA4A&#10;AAAAAAAAAAAAAAAALAIAAGRycy9lMm9Eb2MueG1sUEsBAi0AFAAGAAgAAAAhAEynsJDZAAAAAwEA&#10;AA8AAAAAAAAAAAAAAAAA1wQAAGRycy9kb3ducmV2LnhtbFBLBQYAAAAABAAEAPMAAADdBQAAAAA=&#10;">
                <v:line id="Line_x0020_97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vAo8cAAADcAAAADwAAAGRycy9kb3ducmV2LnhtbESP0WrCQBRE3wv+w3KFvkjdqLS1qauI&#10;UCg+qDV+wDV7m4Tu3o3Z1aR+fVcQ+jjMzBlmtuisERdqfOVYwWiYgCDOna64UHDIPp6mIHxA1mgc&#10;k4Jf8rCY9x5mmGrX8hdd9qEQEcI+RQVlCHUqpc9LsuiHriaO3rdrLIYom0LqBtsIt0aOk+RFWqw4&#10;LpRY06qk/Gd/tgqy0yCY3XZt2mx7nMjjaTO5njdKPfa75TuIQF34D9/bn1rB2+sz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68CjxwAAANwAAAAPAAAAAAAA&#10;AAAAAAAAAKECAABkcnMvZG93bnJldi54bWxQSwUGAAAAAAQABAD5AAAAlQMAAAAA&#10;" strokecolor="#231f20" strokeweight=".5pt"/>
                <w10:anchorlock/>
              </v:group>
            </w:pict>
          </mc:Fallback>
        </mc:AlternateContent>
      </w:r>
    </w:p>
    <w:p w14:paraId="38A50E62" w14:textId="77777777" w:rsidR="00DE575E" w:rsidRDefault="00DE575E">
      <w:pPr>
        <w:pStyle w:val="BodyText"/>
        <w:spacing w:before="7"/>
        <w:rPr>
          <w:rFonts w:ascii="AdonisC"/>
          <w:i/>
          <w:sz w:val="11"/>
        </w:rPr>
      </w:pPr>
    </w:p>
    <w:p w14:paraId="2F258BA9" w14:textId="77777777" w:rsidR="00DE575E" w:rsidRDefault="002E7560">
      <w:pPr>
        <w:pStyle w:val="BodyText"/>
        <w:spacing w:before="101" w:line="252" w:lineRule="auto"/>
        <w:ind w:left="533" w:right="124"/>
        <w:jc w:val="both"/>
      </w:pPr>
      <w:r>
        <w:rPr>
          <w:color w:val="231F20"/>
        </w:rPr>
        <w:t xml:space="preserve">насамперед тим, що публічні  послуги  можуть  надавати  державні й недержавні установи. Їх подібність полягає в </w:t>
      </w:r>
      <w:r>
        <w:rPr>
          <w:color w:val="231F20"/>
          <w:spacing w:val="-3"/>
        </w:rPr>
        <w:t xml:space="preserve">тому, </w:t>
      </w:r>
      <w:r>
        <w:rPr>
          <w:color w:val="231F20"/>
        </w:rPr>
        <w:t>що в отри- манні таких послуг зацікавлене суспільство. Поняття «публічна послуга» по суті охоплює сфе</w:t>
      </w:r>
      <w:r>
        <w:rPr>
          <w:color w:val="231F20"/>
        </w:rPr>
        <w:t>ри суспільних відносин, які врегульо- вані й цивільним, й адміністративним</w:t>
      </w:r>
      <w:r>
        <w:rPr>
          <w:color w:val="231F20"/>
          <w:spacing w:val="25"/>
        </w:rPr>
        <w:t xml:space="preserve"> </w:t>
      </w:r>
      <w:r>
        <w:rPr>
          <w:color w:val="231F20"/>
        </w:rPr>
        <w:t>правом.</w:t>
      </w:r>
    </w:p>
    <w:p w14:paraId="4E6BA5DD" w14:textId="77777777" w:rsidR="00DE575E" w:rsidRDefault="002E7560">
      <w:pPr>
        <w:pStyle w:val="BodyText"/>
        <w:spacing w:before="2" w:line="252" w:lineRule="auto"/>
        <w:ind w:left="533" w:right="126" w:firstLine="283"/>
        <w:jc w:val="both"/>
      </w:pPr>
      <w:r>
        <w:rPr>
          <w:color w:val="231F20"/>
        </w:rPr>
        <w:t>Однак у цих сферах відбувається диференціація правового регу- лювання, зумовлена двома основними чинниками – суб’єктом надання послуги та змістом правовідносин, що при цьому</w:t>
      </w:r>
      <w:r>
        <w:rPr>
          <w:color w:val="231F20"/>
        </w:rPr>
        <w:t xml:space="preserve"> виника- ють. Інші категорії послуг потрібно виділяти за тією сферою, в якій вони надаються.</w:t>
      </w:r>
    </w:p>
    <w:p w14:paraId="12C6F677" w14:textId="77777777" w:rsidR="00DE575E" w:rsidRDefault="002E7560">
      <w:pPr>
        <w:spacing w:before="101" w:line="244" w:lineRule="auto"/>
        <w:ind w:left="817" w:right="128" w:firstLine="283"/>
        <w:jc w:val="both"/>
        <w:rPr>
          <w:i/>
          <w:sz w:val="18"/>
        </w:rPr>
      </w:pPr>
      <w:r>
        <w:rPr>
          <w:i/>
          <w:color w:val="231F20"/>
          <w:sz w:val="18"/>
          <w:u w:val="single" w:color="231F20"/>
        </w:rPr>
        <w:t>Приклад</w:t>
      </w:r>
      <w:r>
        <w:rPr>
          <w:i/>
          <w:color w:val="231F20"/>
          <w:sz w:val="18"/>
        </w:rPr>
        <w:t>: соціальні послуги за ознаками і природою є публічними, але критерієм виділення є саме сфера, в якій вони реалізуються, а не коло суб’єк- тів, які їх надаю</w:t>
      </w:r>
      <w:r>
        <w:rPr>
          <w:i/>
          <w:color w:val="231F20"/>
          <w:sz w:val="18"/>
        </w:rPr>
        <w:t>ть.</w:t>
      </w:r>
    </w:p>
    <w:p w14:paraId="75E9EB46" w14:textId="77777777" w:rsidR="00DE575E" w:rsidRDefault="002E7560">
      <w:pPr>
        <w:pStyle w:val="BodyText"/>
        <w:spacing w:before="131" w:line="252" w:lineRule="auto"/>
        <w:ind w:left="533" w:right="125" w:firstLine="283"/>
        <w:jc w:val="both"/>
      </w:pPr>
      <w:r>
        <w:rPr>
          <w:color w:val="231F20"/>
        </w:rPr>
        <w:t>Концепція розвитку системи надання адміністративних послуг органами виконавчої влади розглядає сферу публічних послуг як таких, що надаються органами виконавчої влади, місцевого само- врядування, підприємствами, установами, організаціями, що пере- бува</w:t>
      </w:r>
      <w:r>
        <w:rPr>
          <w:color w:val="231F20"/>
        </w:rPr>
        <w:t>ють у їх управлінні</w:t>
      </w:r>
      <w:r>
        <w:rPr>
          <w:color w:val="231F20"/>
          <w:position w:val="7"/>
          <w:sz w:val="12"/>
        </w:rPr>
        <w:t>1</w:t>
      </w:r>
      <w:r>
        <w:rPr>
          <w:color w:val="231F20"/>
        </w:rPr>
        <w:t>.</w:t>
      </w:r>
    </w:p>
    <w:p w14:paraId="29F3D78A" w14:textId="77777777" w:rsidR="00DE575E" w:rsidRDefault="002E7560">
      <w:pPr>
        <w:pStyle w:val="Heading5"/>
        <w:spacing w:before="2" w:line="252" w:lineRule="auto"/>
        <w:ind w:right="126" w:firstLine="283"/>
        <w:jc w:val="both"/>
      </w:pPr>
      <w:r>
        <w:rPr>
          <w:color w:val="231F20"/>
        </w:rPr>
        <w:t>Отже, публічні послуги – це послуги, які надаються органами державної та місцевої влади або іншими суб’єктами (підпри- ємствами, установами, організаціями) за рахунок публічних коштів і під відповідальність публічної влади.</w:t>
      </w:r>
    </w:p>
    <w:p w14:paraId="0AA08D65" w14:textId="77777777" w:rsidR="00DE575E" w:rsidRDefault="002E7560">
      <w:pPr>
        <w:pStyle w:val="BodyText"/>
        <w:spacing w:before="2" w:line="252" w:lineRule="auto"/>
        <w:ind w:left="533" w:right="125" w:firstLine="283"/>
        <w:jc w:val="both"/>
      </w:pPr>
      <w:r>
        <w:rPr>
          <w:color w:val="231F20"/>
        </w:rPr>
        <w:t xml:space="preserve">Залежно від суб’єкта, що надає публічні послуги, можна розріз- няти державні та муніципальні послуги. Важливою складовою як державних, так і муніципальних публічних послуг є адміністра- тивні. Зауважимо, що у п. 3 ст. 1 Закону від 6.09.2012 р. № 520 вста- </w:t>
      </w:r>
      <w:r>
        <w:rPr>
          <w:color w:val="231F20"/>
        </w:rPr>
        <w:t>новлено вичерпний перелік суб’єктів, які можуть надавати адмі- ністративні послуги</w:t>
      </w:r>
      <w:r>
        <w:rPr>
          <w:color w:val="231F20"/>
          <w:position w:val="7"/>
          <w:sz w:val="12"/>
        </w:rPr>
        <w:t>2</w:t>
      </w:r>
      <w:r>
        <w:rPr>
          <w:color w:val="231F20"/>
        </w:rPr>
        <w:t>, тобто підприємства, установи та організації незалежно від форм власності не можуть надавати адміністративні послуги.</w:t>
      </w:r>
    </w:p>
    <w:p w14:paraId="4C5D2160" w14:textId="77777777" w:rsidR="00DE575E" w:rsidRDefault="002E7560">
      <w:pPr>
        <w:pStyle w:val="BodyText"/>
        <w:spacing w:before="4" w:line="252" w:lineRule="auto"/>
        <w:ind w:left="533" w:right="126" w:firstLine="283"/>
        <w:jc w:val="both"/>
      </w:pPr>
      <w:r>
        <w:rPr>
          <w:color w:val="231F20"/>
        </w:rPr>
        <w:t>У зв’язку з цим адміністративна послуга буде державною</w:t>
      </w:r>
      <w:r>
        <w:rPr>
          <w:color w:val="231F20"/>
        </w:rPr>
        <w:t>, коли таку послугу надають органи державної влади за рахунок коштів державного бюджету, а муніципальною – у разі надання такої послуги органами місцевого самоврядування за рахунок коштів місцевого бюджету.</w:t>
      </w:r>
    </w:p>
    <w:p w14:paraId="2BD636DE" w14:textId="527D9ADF" w:rsidR="00DE575E" w:rsidRDefault="002E7560">
      <w:pPr>
        <w:pStyle w:val="BodyText"/>
        <w:spacing w:before="10"/>
        <w:rPr>
          <w:sz w:val="16"/>
        </w:rPr>
      </w:pPr>
      <w:r>
        <w:rPr>
          <w:noProof/>
        </w:rPr>
        <mc:AlternateContent>
          <mc:Choice Requires="wps">
            <w:drawing>
              <wp:anchor distT="0" distB="0" distL="0" distR="0" simplePos="0" relativeHeight="7192" behindDoc="0" locked="0" layoutInCell="1" allowOverlap="1" wp14:anchorId="1200E81D" wp14:editId="49BC28FF">
                <wp:simplePos x="0" y="0"/>
                <wp:positionH relativeFrom="page">
                  <wp:posOffset>719455</wp:posOffset>
                </wp:positionH>
                <wp:positionV relativeFrom="paragraph">
                  <wp:posOffset>153670</wp:posOffset>
                </wp:positionV>
                <wp:extent cx="1080135" cy="0"/>
                <wp:effectExtent l="8255" t="13970" r="29210" b="24130"/>
                <wp:wrapTopAndBottom/>
                <wp:docPr id="973"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31770" id="Line_x0020_972" o:spid="_x0000_s1026" style="position:absolute;z-index:7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1pt" to="141.7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" strokecolor="#231f20" strokeweight=".5pt">
                <w10:wrap type="topAndBottom" anchorx="page"/>
              </v:line>
            </w:pict>
          </mc:Fallback>
        </mc:AlternateContent>
      </w:r>
    </w:p>
    <w:p w14:paraId="5403B811" w14:textId="77777777" w:rsidR="00DE575E" w:rsidRDefault="002E7560">
      <w:pPr>
        <w:spacing w:line="204" w:lineRule="auto"/>
        <w:ind w:left="533" w:right="339"/>
        <w:rPr>
          <w:sz w:val="16"/>
        </w:rPr>
      </w:pPr>
      <w:r>
        <w:rPr>
          <w:color w:val="231F20"/>
          <w:position w:val="5"/>
          <w:sz w:val="9"/>
        </w:rPr>
        <w:t xml:space="preserve">1 </w:t>
      </w:r>
      <w:r>
        <w:rPr>
          <w:color w:val="231F20"/>
          <w:sz w:val="16"/>
        </w:rPr>
        <w:t>Про схвалення Концепції розвитку системи нада</w:t>
      </w:r>
      <w:r>
        <w:rPr>
          <w:color w:val="231F20"/>
          <w:sz w:val="16"/>
        </w:rPr>
        <w:t>ння адміністративних послуг орга- нами виконавчої влади. Розпорядження Кабінету Міністрів України від 15.02.2006</w:t>
      </w:r>
    </w:p>
    <w:p w14:paraId="2DB940B7" w14:textId="77777777" w:rsidR="00DE575E" w:rsidRDefault="002E7560">
      <w:pPr>
        <w:spacing w:line="166" w:lineRule="exact"/>
        <w:ind w:left="533"/>
        <w:rPr>
          <w:sz w:val="16"/>
        </w:rPr>
      </w:pPr>
      <w:r>
        <w:rPr>
          <w:color w:val="231F20"/>
          <w:sz w:val="16"/>
        </w:rPr>
        <w:t>№ 90-р.</w:t>
      </w:r>
    </w:p>
    <w:p w14:paraId="36F46C78" w14:textId="77777777" w:rsidR="00DE575E" w:rsidRDefault="002E7560">
      <w:pPr>
        <w:ind w:left="533"/>
        <w:rPr>
          <w:sz w:val="16"/>
        </w:rPr>
      </w:pPr>
      <w:r>
        <w:rPr>
          <w:color w:val="231F20"/>
          <w:position w:val="5"/>
          <w:sz w:val="9"/>
        </w:rPr>
        <w:t xml:space="preserve">2 </w:t>
      </w:r>
      <w:r>
        <w:rPr>
          <w:color w:val="231F20"/>
          <w:sz w:val="16"/>
        </w:rPr>
        <w:t>Закон від 6.09.2012 № 520.</w:t>
      </w:r>
    </w:p>
    <w:p w14:paraId="59F21614" w14:textId="77777777" w:rsidR="00DE575E" w:rsidRDefault="00DE575E">
      <w:pPr>
        <w:pStyle w:val="BodyText"/>
        <w:spacing w:before="8"/>
        <w:rPr>
          <w:sz w:val="11"/>
        </w:rPr>
      </w:pPr>
    </w:p>
    <w:p w14:paraId="3745D8FB" w14:textId="77777777" w:rsidR="00DE575E" w:rsidRDefault="002E7560">
      <w:pPr>
        <w:spacing w:before="92"/>
        <w:ind w:left="533"/>
        <w:rPr>
          <w:rFonts w:ascii="Times New Roman"/>
          <w:sz w:val="20"/>
        </w:rPr>
      </w:pPr>
      <w:r>
        <w:rPr>
          <w:rFonts w:ascii="Times New Roman"/>
          <w:color w:val="231F20"/>
          <w:sz w:val="20"/>
        </w:rPr>
        <w:t>178</w:t>
      </w:r>
    </w:p>
    <w:p w14:paraId="0DA1D540" w14:textId="77777777" w:rsidR="00DE575E" w:rsidRDefault="00DE575E">
      <w:pPr>
        <w:rPr>
          <w:rFonts w:ascii="Times New Roman"/>
          <w:sz w:val="20"/>
        </w:rPr>
        <w:sectPr w:rsidR="00DE575E">
          <w:pgSz w:w="8510" w:h="12760"/>
          <w:pgMar w:top="660" w:right="720" w:bottom="280" w:left="600" w:header="720" w:footer="720" w:gutter="0"/>
          <w:cols w:space="720"/>
        </w:sectPr>
      </w:pPr>
    </w:p>
    <w:p w14:paraId="147EB758"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5C4C5C32" w14:textId="75095C0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7D54999" wp14:editId="656F2C74">
                <wp:extent cx="4140200" cy="6350"/>
                <wp:effectExtent l="0" t="0" r="12700" b="6350"/>
                <wp:docPr id="971"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72" name="Line 9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852B7" id="Group_x0020_9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2TjcJ/AgAAmAUAAA4A&#10;AAAAAAAAAAAAAAAALAIAAGRycy9lMm9Eb2MueG1sUEsBAi0AFAAGAAgAAAAhAEynsJDZAAAAAwEA&#10;AA8AAAAAAAAAAAAAAAAA1wQAAGRycy9kb3ducmV2LnhtbFBLBQYAAAAABAAEAPMAAADdBQAAAAA=&#10;">
                <v:line id="Line_x0020_9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JY18YAAADcAAAADwAAAGRycy9kb3ducmV2LnhtbESP0WrCQBRE3wX/YblCX4puVKgaXUUK&#10;hdIHbY0fcM1ek+Du3ZhdTdqv7xYKPg4zc4ZZbTprxJ0aXzlWMB4lIIhzpysuFByzt+EchA/IGo1j&#10;UvBNHjbrfm+FqXYtf9H9EAoRIexTVFCGUKdS+rwki37kauLonV1jMUTZFFI32Ea4NXKSJC/SYsVx&#10;ocSaXkvKL4ebVZBdn4P53H+YNtufpvJ03U1/bjulngbddgkiUBce4f/2u1awmE3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YCWNfGAAAA3AAAAA8AAAAAAAAA&#10;AAAAAAAAoQIAAGRycy9kb3ducmV2LnhtbFBLBQYAAAAABAAEAPkAAACUAwAAAAA=&#10;" strokecolor="#231f20" strokeweight=".5pt"/>
                <w10:anchorlock/>
              </v:group>
            </w:pict>
          </mc:Fallback>
        </mc:AlternateContent>
      </w:r>
    </w:p>
    <w:p w14:paraId="7879D0F6" w14:textId="77777777" w:rsidR="00DE575E" w:rsidRDefault="00DE575E">
      <w:pPr>
        <w:pStyle w:val="BodyText"/>
        <w:spacing w:before="7"/>
        <w:rPr>
          <w:rFonts w:ascii="AdonisC"/>
          <w:i/>
          <w:sz w:val="19"/>
        </w:rPr>
      </w:pPr>
    </w:p>
    <w:p w14:paraId="745275A9" w14:textId="77777777" w:rsidR="00DE575E" w:rsidRDefault="002E7560">
      <w:pPr>
        <w:pStyle w:val="Heading5"/>
        <w:numPr>
          <w:ilvl w:val="2"/>
          <w:numId w:val="225"/>
        </w:numPr>
        <w:tabs>
          <w:tab w:val="left" w:pos="1099"/>
        </w:tabs>
        <w:spacing w:before="1"/>
        <w:jc w:val="left"/>
      </w:pPr>
      <w:r>
        <w:rPr>
          <w:color w:val="231F20"/>
        </w:rPr>
        <w:t>Види адміністративних</w:t>
      </w:r>
      <w:r>
        <w:rPr>
          <w:color w:val="231F20"/>
          <w:spacing w:val="-3"/>
        </w:rPr>
        <w:t xml:space="preserve"> </w:t>
      </w:r>
      <w:r>
        <w:rPr>
          <w:color w:val="231F20"/>
        </w:rPr>
        <w:t>послуг</w:t>
      </w:r>
    </w:p>
    <w:p w14:paraId="1A78BDD2" w14:textId="77777777" w:rsidR="00DE575E" w:rsidRDefault="00DE575E">
      <w:pPr>
        <w:pStyle w:val="BodyText"/>
        <w:spacing w:before="2"/>
        <w:rPr>
          <w:b/>
          <w:sz w:val="23"/>
        </w:rPr>
      </w:pPr>
    </w:p>
    <w:p w14:paraId="2516EAA5" w14:textId="77777777" w:rsidR="00DE575E" w:rsidRDefault="002E7560">
      <w:pPr>
        <w:pStyle w:val="BodyText"/>
        <w:spacing w:line="252" w:lineRule="auto"/>
        <w:ind w:left="250" w:right="411" w:firstLine="283"/>
        <w:jc w:val="both"/>
      </w:pPr>
      <w:r>
        <w:rPr>
          <w:color w:val="231F20"/>
        </w:rPr>
        <w:t xml:space="preserve">Закон </w:t>
      </w:r>
      <w:r>
        <w:rPr>
          <w:color w:val="231F20"/>
          <w:spacing w:val="-3"/>
        </w:rPr>
        <w:t xml:space="preserve">України </w:t>
      </w:r>
      <w:r>
        <w:rPr>
          <w:color w:val="231F20"/>
        </w:rPr>
        <w:t xml:space="preserve">«Про адміністративні послуги» не систематизує адміністративні послуги та не вирішує питання поділу останніх на види. Водночас упорядкування адміністративних послуг в єдину систему є </w:t>
      </w:r>
      <w:r>
        <w:rPr>
          <w:color w:val="231F20"/>
          <w:spacing w:val="-3"/>
        </w:rPr>
        <w:t xml:space="preserve">невід’ємною </w:t>
      </w:r>
      <w:r>
        <w:rPr>
          <w:color w:val="231F20"/>
        </w:rPr>
        <w:t>умовою, що впливає на покращення їх якості. У</w:t>
      </w:r>
      <w:r>
        <w:rPr>
          <w:color w:val="231F20"/>
          <w:spacing w:val="-12"/>
        </w:rPr>
        <w:t xml:space="preserve"> </w:t>
      </w:r>
      <w:r>
        <w:rPr>
          <w:color w:val="231F20"/>
        </w:rPr>
        <w:t>зв’язку</w:t>
      </w:r>
      <w:r>
        <w:rPr>
          <w:color w:val="231F20"/>
          <w:spacing w:val="-12"/>
        </w:rPr>
        <w:t xml:space="preserve"> </w:t>
      </w:r>
      <w:r>
        <w:rPr>
          <w:color w:val="231F20"/>
        </w:rPr>
        <w:t>з</w:t>
      </w:r>
      <w:r>
        <w:rPr>
          <w:color w:val="231F20"/>
          <w:spacing w:val="-12"/>
        </w:rPr>
        <w:t xml:space="preserve"> </w:t>
      </w:r>
      <w:r>
        <w:rPr>
          <w:color w:val="231F20"/>
        </w:rPr>
        <w:t>цим</w:t>
      </w:r>
      <w:r>
        <w:rPr>
          <w:color w:val="231F20"/>
          <w:spacing w:val="-12"/>
        </w:rPr>
        <w:t xml:space="preserve"> </w:t>
      </w:r>
      <w:r>
        <w:rPr>
          <w:color w:val="231F20"/>
        </w:rPr>
        <w:t>та</w:t>
      </w:r>
      <w:r>
        <w:rPr>
          <w:color w:val="231F20"/>
          <w:spacing w:val="-12"/>
        </w:rPr>
        <w:t xml:space="preserve"> </w:t>
      </w:r>
      <w:r>
        <w:rPr>
          <w:color w:val="231F20"/>
        </w:rPr>
        <w:t>для</w:t>
      </w:r>
      <w:r>
        <w:rPr>
          <w:color w:val="231F20"/>
          <w:spacing w:val="-12"/>
        </w:rPr>
        <w:t xml:space="preserve"> </w:t>
      </w:r>
      <w:r>
        <w:rPr>
          <w:color w:val="231F20"/>
        </w:rPr>
        <w:t>поліпшення</w:t>
      </w:r>
      <w:r>
        <w:rPr>
          <w:color w:val="231F20"/>
          <w:spacing w:val="-12"/>
        </w:rPr>
        <w:t xml:space="preserve"> </w:t>
      </w:r>
      <w:r>
        <w:rPr>
          <w:color w:val="231F20"/>
        </w:rPr>
        <w:t>стану</w:t>
      </w:r>
      <w:r>
        <w:rPr>
          <w:color w:val="231F20"/>
          <w:spacing w:val="-12"/>
        </w:rPr>
        <w:t xml:space="preserve"> </w:t>
      </w:r>
      <w:r>
        <w:rPr>
          <w:color w:val="231F20"/>
        </w:rPr>
        <w:t>(системи)</w:t>
      </w:r>
      <w:r>
        <w:rPr>
          <w:color w:val="231F20"/>
          <w:spacing w:val="-12"/>
        </w:rPr>
        <w:t xml:space="preserve"> </w:t>
      </w:r>
      <w:r>
        <w:rPr>
          <w:color w:val="231F20"/>
        </w:rPr>
        <w:t>надання</w:t>
      </w:r>
      <w:r>
        <w:rPr>
          <w:color w:val="231F20"/>
          <w:spacing w:val="-12"/>
        </w:rPr>
        <w:t xml:space="preserve"> </w:t>
      </w:r>
      <w:r>
        <w:rPr>
          <w:color w:val="231F20"/>
        </w:rPr>
        <w:t>адмініст- ративних послуг особливої уваги набуває проблема їх</w:t>
      </w:r>
      <w:r>
        <w:rPr>
          <w:color w:val="231F20"/>
          <w:spacing w:val="-14"/>
        </w:rPr>
        <w:t xml:space="preserve"> </w:t>
      </w:r>
      <w:r>
        <w:rPr>
          <w:color w:val="231F20"/>
        </w:rPr>
        <w:t>класифікації.</w:t>
      </w:r>
    </w:p>
    <w:p w14:paraId="7B348F1C" w14:textId="77777777" w:rsidR="00DE575E" w:rsidRDefault="002E7560">
      <w:pPr>
        <w:pStyle w:val="BodyText"/>
        <w:spacing w:before="3" w:line="252" w:lineRule="auto"/>
        <w:ind w:left="250" w:right="411" w:firstLine="283"/>
        <w:jc w:val="both"/>
      </w:pPr>
      <w:r>
        <w:rPr>
          <w:color w:val="231F20"/>
        </w:rPr>
        <w:t xml:space="preserve">Упорядкування системи адміністративних послуг – важливий крок наближення влади до пересічного громадянина, задоволення його потреб, захисту </w:t>
      </w:r>
      <w:r>
        <w:rPr>
          <w:color w:val="231F20"/>
        </w:rPr>
        <w:t>прав та свобод.</w:t>
      </w:r>
    </w:p>
    <w:p w14:paraId="2A6316D7" w14:textId="77777777" w:rsidR="00DE575E" w:rsidRDefault="002E7560">
      <w:pPr>
        <w:pStyle w:val="BodyText"/>
        <w:spacing w:before="1" w:line="252" w:lineRule="auto"/>
        <w:ind w:left="250" w:right="411" w:firstLine="283"/>
        <w:jc w:val="both"/>
      </w:pPr>
      <w:r>
        <w:rPr>
          <w:color w:val="231F20"/>
        </w:rPr>
        <w:t>Адміністративні послуги можна класифікувати за такими крите- ріями:</w:t>
      </w:r>
    </w:p>
    <w:p w14:paraId="366FFEB6" w14:textId="77777777" w:rsidR="00DE575E" w:rsidRDefault="002E7560">
      <w:pPr>
        <w:pStyle w:val="ListParagraph"/>
        <w:numPr>
          <w:ilvl w:val="0"/>
          <w:numId w:val="224"/>
        </w:numPr>
        <w:tabs>
          <w:tab w:val="left" w:pos="818"/>
        </w:tabs>
        <w:ind w:firstLine="283"/>
        <w:jc w:val="left"/>
        <w:rPr>
          <w:sz w:val="21"/>
        </w:rPr>
      </w:pPr>
      <w:r>
        <w:rPr>
          <w:i/>
          <w:color w:val="231F20"/>
          <w:sz w:val="21"/>
        </w:rPr>
        <w:t xml:space="preserve">за критерієм платності </w:t>
      </w:r>
      <w:r>
        <w:rPr>
          <w:color w:val="231F20"/>
          <w:sz w:val="21"/>
        </w:rPr>
        <w:t>– платні та</w:t>
      </w:r>
      <w:r>
        <w:rPr>
          <w:color w:val="231F20"/>
          <w:spacing w:val="-8"/>
          <w:sz w:val="21"/>
        </w:rPr>
        <w:t xml:space="preserve"> </w:t>
      </w:r>
      <w:r>
        <w:rPr>
          <w:color w:val="231F20"/>
          <w:sz w:val="21"/>
        </w:rPr>
        <w:t>безоплатні;</w:t>
      </w:r>
    </w:p>
    <w:p w14:paraId="018B6656" w14:textId="77777777" w:rsidR="00DE575E" w:rsidRDefault="002E7560">
      <w:pPr>
        <w:pStyle w:val="ListParagraph"/>
        <w:numPr>
          <w:ilvl w:val="0"/>
          <w:numId w:val="224"/>
        </w:numPr>
        <w:tabs>
          <w:tab w:val="left" w:pos="818"/>
        </w:tabs>
        <w:spacing w:before="13" w:line="252" w:lineRule="auto"/>
        <w:ind w:right="411" w:firstLine="283"/>
        <w:rPr>
          <w:sz w:val="21"/>
        </w:rPr>
      </w:pPr>
      <w:r>
        <w:rPr>
          <w:i/>
          <w:color w:val="231F20"/>
          <w:sz w:val="21"/>
        </w:rPr>
        <w:t xml:space="preserve">за джерелом фінансування </w:t>
      </w:r>
      <w:r>
        <w:rPr>
          <w:color w:val="231F20"/>
          <w:sz w:val="21"/>
        </w:rPr>
        <w:t xml:space="preserve">– послуги, що фінансуються за рахунок коштів державного </w:t>
      </w:r>
      <w:r>
        <w:rPr>
          <w:color w:val="231F20"/>
          <w:spacing w:val="-4"/>
          <w:sz w:val="21"/>
        </w:rPr>
        <w:t xml:space="preserve">бюджету, </w:t>
      </w:r>
      <w:r>
        <w:rPr>
          <w:color w:val="231F20"/>
          <w:sz w:val="21"/>
        </w:rPr>
        <w:t>та послуги, що фінансуються за раху</w:t>
      </w:r>
      <w:r>
        <w:rPr>
          <w:color w:val="231F20"/>
          <w:sz w:val="21"/>
        </w:rPr>
        <w:t>нок коштів місцевого</w:t>
      </w:r>
      <w:r>
        <w:rPr>
          <w:color w:val="231F20"/>
          <w:spacing w:val="-3"/>
          <w:sz w:val="21"/>
        </w:rPr>
        <w:t xml:space="preserve"> </w:t>
      </w:r>
      <w:r>
        <w:rPr>
          <w:color w:val="231F20"/>
          <w:sz w:val="21"/>
        </w:rPr>
        <w:t>бюджету;</w:t>
      </w:r>
    </w:p>
    <w:p w14:paraId="5BE19907" w14:textId="77777777" w:rsidR="00DE575E" w:rsidRDefault="002E7560">
      <w:pPr>
        <w:pStyle w:val="ListParagraph"/>
        <w:numPr>
          <w:ilvl w:val="0"/>
          <w:numId w:val="224"/>
        </w:numPr>
        <w:tabs>
          <w:tab w:val="left" w:pos="818"/>
        </w:tabs>
        <w:spacing w:before="2" w:line="252" w:lineRule="auto"/>
        <w:ind w:right="411" w:firstLine="283"/>
        <w:rPr>
          <w:sz w:val="21"/>
        </w:rPr>
      </w:pPr>
      <w:r>
        <w:rPr>
          <w:i/>
          <w:color w:val="231F20"/>
          <w:sz w:val="21"/>
        </w:rPr>
        <w:t xml:space="preserve">за порядком надання </w:t>
      </w:r>
      <w:r>
        <w:rPr>
          <w:color w:val="231F20"/>
          <w:sz w:val="21"/>
        </w:rPr>
        <w:t xml:space="preserve">– послуги, що надаються </w:t>
      </w:r>
      <w:r>
        <w:rPr>
          <w:color w:val="231F20"/>
          <w:spacing w:val="-3"/>
          <w:sz w:val="21"/>
        </w:rPr>
        <w:t xml:space="preserve">суб’єктами </w:t>
      </w:r>
      <w:r>
        <w:rPr>
          <w:color w:val="231F20"/>
          <w:sz w:val="21"/>
        </w:rPr>
        <w:t>надання адміністративних послуг безпосередньо; послуги, що нада- ються через центри надання адміністративних  послуг;  послуги,  що надаються через Єдиний державний портал</w:t>
      </w:r>
      <w:r>
        <w:rPr>
          <w:color w:val="231F20"/>
          <w:sz w:val="21"/>
        </w:rPr>
        <w:t xml:space="preserve"> адміністративних послуг;</w:t>
      </w:r>
    </w:p>
    <w:p w14:paraId="78B88CB0" w14:textId="77777777" w:rsidR="00DE575E" w:rsidRDefault="002E7560">
      <w:pPr>
        <w:pStyle w:val="ListParagraph"/>
        <w:numPr>
          <w:ilvl w:val="0"/>
          <w:numId w:val="224"/>
        </w:numPr>
        <w:tabs>
          <w:tab w:val="left" w:pos="818"/>
        </w:tabs>
        <w:spacing w:before="2" w:line="252" w:lineRule="auto"/>
        <w:ind w:right="409" w:firstLine="283"/>
        <w:rPr>
          <w:sz w:val="21"/>
        </w:rPr>
      </w:pPr>
      <w:r>
        <w:rPr>
          <w:i/>
          <w:color w:val="231F20"/>
          <w:sz w:val="21"/>
        </w:rPr>
        <w:t xml:space="preserve">залежно від </w:t>
      </w:r>
      <w:r>
        <w:rPr>
          <w:i/>
          <w:color w:val="231F20"/>
          <w:spacing w:val="-3"/>
          <w:sz w:val="21"/>
        </w:rPr>
        <w:t xml:space="preserve">суб’єктів </w:t>
      </w:r>
      <w:r>
        <w:rPr>
          <w:i/>
          <w:color w:val="231F20"/>
          <w:sz w:val="21"/>
        </w:rPr>
        <w:t xml:space="preserve">надання </w:t>
      </w:r>
      <w:r>
        <w:rPr>
          <w:color w:val="231F20"/>
          <w:sz w:val="21"/>
        </w:rPr>
        <w:t>– державні та муніципальні. Державні послуги – це послуги, що надаються органами державної влади (насамперед виконавчої) та державними підприємствами, установами, організаціями. Муніципальні послуги –</w:t>
      </w:r>
      <w:r>
        <w:rPr>
          <w:color w:val="231F20"/>
          <w:sz w:val="21"/>
        </w:rPr>
        <w:t xml:space="preserve"> послуги, що надаються органами місцевого самоврядування та комунальними підприємствами, установами,</w:t>
      </w:r>
      <w:r>
        <w:rPr>
          <w:color w:val="231F20"/>
          <w:spacing w:val="-2"/>
          <w:sz w:val="21"/>
        </w:rPr>
        <w:t xml:space="preserve"> </w:t>
      </w:r>
      <w:r>
        <w:rPr>
          <w:color w:val="231F20"/>
          <w:sz w:val="21"/>
        </w:rPr>
        <w:t>організаціями1</w:t>
      </w:r>
      <w:r>
        <w:rPr>
          <w:color w:val="231F20"/>
          <w:position w:val="7"/>
          <w:sz w:val="12"/>
        </w:rPr>
        <w:t>1</w:t>
      </w:r>
      <w:r>
        <w:rPr>
          <w:color w:val="231F20"/>
          <w:sz w:val="21"/>
        </w:rPr>
        <w:t>;</w:t>
      </w:r>
    </w:p>
    <w:p w14:paraId="5AFA3DDD" w14:textId="77777777" w:rsidR="00DE575E" w:rsidRDefault="002E7560">
      <w:pPr>
        <w:pStyle w:val="ListParagraph"/>
        <w:numPr>
          <w:ilvl w:val="0"/>
          <w:numId w:val="224"/>
        </w:numPr>
        <w:tabs>
          <w:tab w:val="left" w:pos="818"/>
        </w:tabs>
        <w:spacing w:before="3" w:line="252" w:lineRule="auto"/>
        <w:ind w:right="411" w:firstLine="283"/>
        <w:rPr>
          <w:sz w:val="21"/>
        </w:rPr>
      </w:pPr>
      <w:r>
        <w:rPr>
          <w:i/>
          <w:color w:val="231F20"/>
          <w:sz w:val="21"/>
        </w:rPr>
        <w:t xml:space="preserve">за змістом адміністративної діяльності </w:t>
      </w:r>
      <w:r>
        <w:rPr>
          <w:color w:val="231F20"/>
          <w:sz w:val="21"/>
        </w:rPr>
        <w:t>– видання дозволів; реєстрація</w:t>
      </w:r>
      <w:r>
        <w:rPr>
          <w:color w:val="231F20"/>
          <w:spacing w:val="-13"/>
          <w:sz w:val="21"/>
        </w:rPr>
        <w:t xml:space="preserve"> </w:t>
      </w:r>
      <w:r>
        <w:rPr>
          <w:color w:val="231F20"/>
          <w:sz w:val="21"/>
        </w:rPr>
        <w:t>з</w:t>
      </w:r>
      <w:r>
        <w:rPr>
          <w:color w:val="231F20"/>
          <w:spacing w:val="-12"/>
          <w:sz w:val="21"/>
        </w:rPr>
        <w:t xml:space="preserve"> </w:t>
      </w:r>
      <w:r>
        <w:rPr>
          <w:color w:val="231F20"/>
          <w:sz w:val="21"/>
        </w:rPr>
        <w:t>веденням</w:t>
      </w:r>
      <w:r>
        <w:rPr>
          <w:color w:val="231F20"/>
          <w:spacing w:val="-13"/>
          <w:sz w:val="21"/>
        </w:rPr>
        <w:t xml:space="preserve"> </w:t>
      </w:r>
      <w:r>
        <w:rPr>
          <w:color w:val="231F20"/>
          <w:sz w:val="21"/>
        </w:rPr>
        <w:t>реєстрів;</w:t>
      </w:r>
      <w:r>
        <w:rPr>
          <w:color w:val="231F20"/>
          <w:spacing w:val="-13"/>
          <w:sz w:val="21"/>
        </w:rPr>
        <w:t xml:space="preserve"> </w:t>
      </w:r>
      <w:r>
        <w:rPr>
          <w:color w:val="231F20"/>
          <w:sz w:val="21"/>
        </w:rPr>
        <w:t>легалізація</w:t>
      </w:r>
      <w:r>
        <w:rPr>
          <w:color w:val="231F20"/>
          <w:spacing w:val="-13"/>
          <w:sz w:val="21"/>
        </w:rPr>
        <w:t xml:space="preserve"> </w:t>
      </w:r>
      <w:r>
        <w:rPr>
          <w:color w:val="231F20"/>
          <w:sz w:val="21"/>
        </w:rPr>
        <w:t>актів;</w:t>
      </w:r>
      <w:r>
        <w:rPr>
          <w:color w:val="231F20"/>
          <w:spacing w:val="-13"/>
          <w:sz w:val="21"/>
        </w:rPr>
        <w:t xml:space="preserve"> </w:t>
      </w:r>
      <w:r>
        <w:rPr>
          <w:color w:val="231F20"/>
          <w:sz w:val="21"/>
        </w:rPr>
        <w:t>соціальні</w:t>
      </w:r>
      <w:r>
        <w:rPr>
          <w:color w:val="231F20"/>
          <w:spacing w:val="-13"/>
          <w:sz w:val="21"/>
        </w:rPr>
        <w:t xml:space="preserve"> </w:t>
      </w:r>
      <w:r>
        <w:rPr>
          <w:color w:val="231F20"/>
          <w:sz w:val="21"/>
        </w:rPr>
        <w:t>послуги; послуги, які визначаються іншими видами адміністративної діяль- ності;</w:t>
      </w:r>
    </w:p>
    <w:p w14:paraId="4D241FED" w14:textId="77777777" w:rsidR="00DE575E" w:rsidRDefault="002E7560">
      <w:pPr>
        <w:pStyle w:val="ListParagraph"/>
        <w:numPr>
          <w:ilvl w:val="0"/>
          <w:numId w:val="224"/>
        </w:numPr>
        <w:tabs>
          <w:tab w:val="left" w:pos="818"/>
        </w:tabs>
        <w:spacing w:before="2" w:line="252" w:lineRule="auto"/>
        <w:ind w:right="410" w:firstLine="283"/>
        <w:rPr>
          <w:sz w:val="21"/>
        </w:rPr>
      </w:pPr>
      <w:r>
        <w:rPr>
          <w:i/>
          <w:color w:val="231F20"/>
          <w:sz w:val="21"/>
        </w:rPr>
        <w:t>за</w:t>
      </w:r>
      <w:r>
        <w:rPr>
          <w:i/>
          <w:color w:val="231F20"/>
          <w:spacing w:val="-9"/>
          <w:sz w:val="21"/>
        </w:rPr>
        <w:t xml:space="preserve"> </w:t>
      </w:r>
      <w:r>
        <w:rPr>
          <w:i/>
          <w:color w:val="231F20"/>
          <w:spacing w:val="-3"/>
          <w:sz w:val="21"/>
        </w:rPr>
        <w:t>суб’єктом</w:t>
      </w:r>
      <w:r>
        <w:rPr>
          <w:i/>
          <w:color w:val="231F20"/>
          <w:spacing w:val="-9"/>
          <w:sz w:val="21"/>
        </w:rPr>
        <w:t xml:space="preserve"> </w:t>
      </w:r>
      <w:r>
        <w:rPr>
          <w:i/>
          <w:color w:val="231F20"/>
          <w:sz w:val="21"/>
        </w:rPr>
        <w:t>отримання</w:t>
      </w:r>
      <w:r>
        <w:rPr>
          <w:i/>
          <w:color w:val="231F20"/>
          <w:spacing w:val="-9"/>
          <w:sz w:val="21"/>
        </w:rPr>
        <w:t xml:space="preserve"> </w:t>
      </w:r>
      <w:r>
        <w:rPr>
          <w:color w:val="231F20"/>
          <w:sz w:val="21"/>
        </w:rPr>
        <w:t>–</w:t>
      </w:r>
      <w:r>
        <w:rPr>
          <w:color w:val="231F20"/>
          <w:spacing w:val="-9"/>
          <w:sz w:val="21"/>
        </w:rPr>
        <w:t xml:space="preserve"> </w:t>
      </w:r>
      <w:r>
        <w:rPr>
          <w:color w:val="231F20"/>
          <w:sz w:val="21"/>
        </w:rPr>
        <w:t>послуги,</w:t>
      </w:r>
      <w:r>
        <w:rPr>
          <w:color w:val="231F20"/>
          <w:spacing w:val="-9"/>
          <w:sz w:val="21"/>
        </w:rPr>
        <w:t xml:space="preserve"> </w:t>
      </w:r>
      <w:r>
        <w:rPr>
          <w:color w:val="231F20"/>
          <w:sz w:val="21"/>
        </w:rPr>
        <w:t>спрямовані</w:t>
      </w:r>
      <w:r>
        <w:rPr>
          <w:color w:val="231F20"/>
          <w:spacing w:val="-9"/>
          <w:sz w:val="21"/>
        </w:rPr>
        <w:t xml:space="preserve"> </w:t>
      </w:r>
      <w:r>
        <w:rPr>
          <w:color w:val="231F20"/>
          <w:sz w:val="21"/>
        </w:rPr>
        <w:t>на</w:t>
      </w:r>
      <w:r>
        <w:rPr>
          <w:color w:val="231F20"/>
          <w:spacing w:val="-9"/>
          <w:sz w:val="21"/>
        </w:rPr>
        <w:t xml:space="preserve"> </w:t>
      </w:r>
      <w:r>
        <w:rPr>
          <w:color w:val="231F20"/>
          <w:sz w:val="21"/>
        </w:rPr>
        <w:t>задоволення інтересів</w:t>
      </w:r>
      <w:r>
        <w:rPr>
          <w:color w:val="231F20"/>
          <w:spacing w:val="-6"/>
          <w:sz w:val="21"/>
        </w:rPr>
        <w:t xml:space="preserve"> </w:t>
      </w:r>
      <w:r>
        <w:rPr>
          <w:color w:val="231F20"/>
          <w:sz w:val="21"/>
        </w:rPr>
        <w:t>фізичних</w:t>
      </w:r>
      <w:r>
        <w:rPr>
          <w:color w:val="231F20"/>
          <w:spacing w:val="-6"/>
          <w:sz w:val="21"/>
        </w:rPr>
        <w:t xml:space="preserve"> </w:t>
      </w:r>
      <w:r>
        <w:rPr>
          <w:color w:val="231F20"/>
          <w:sz w:val="21"/>
        </w:rPr>
        <w:t>осіб;</w:t>
      </w:r>
      <w:r>
        <w:rPr>
          <w:color w:val="231F20"/>
          <w:spacing w:val="-6"/>
          <w:sz w:val="21"/>
        </w:rPr>
        <w:t xml:space="preserve"> </w:t>
      </w:r>
      <w:r>
        <w:rPr>
          <w:color w:val="231F20"/>
          <w:sz w:val="21"/>
        </w:rPr>
        <w:t>послуги,</w:t>
      </w:r>
      <w:r>
        <w:rPr>
          <w:color w:val="231F20"/>
          <w:spacing w:val="-6"/>
          <w:sz w:val="21"/>
        </w:rPr>
        <w:t xml:space="preserve"> </w:t>
      </w:r>
      <w:r>
        <w:rPr>
          <w:color w:val="231F20"/>
          <w:sz w:val="21"/>
        </w:rPr>
        <w:t>спрямовані</w:t>
      </w:r>
      <w:r>
        <w:rPr>
          <w:color w:val="231F20"/>
          <w:spacing w:val="-6"/>
          <w:sz w:val="21"/>
        </w:rPr>
        <w:t xml:space="preserve"> </w:t>
      </w:r>
      <w:r>
        <w:rPr>
          <w:color w:val="231F20"/>
          <w:sz w:val="21"/>
        </w:rPr>
        <w:t>на</w:t>
      </w:r>
      <w:r>
        <w:rPr>
          <w:color w:val="231F20"/>
          <w:spacing w:val="-6"/>
          <w:sz w:val="21"/>
        </w:rPr>
        <w:t xml:space="preserve"> </w:t>
      </w:r>
      <w:r>
        <w:rPr>
          <w:color w:val="231F20"/>
          <w:sz w:val="21"/>
        </w:rPr>
        <w:t>задоволення</w:t>
      </w:r>
      <w:r>
        <w:rPr>
          <w:color w:val="231F20"/>
          <w:spacing w:val="-6"/>
          <w:sz w:val="21"/>
        </w:rPr>
        <w:t xml:space="preserve"> </w:t>
      </w:r>
      <w:r>
        <w:rPr>
          <w:color w:val="231F20"/>
          <w:sz w:val="21"/>
        </w:rPr>
        <w:t>інтере- сів</w:t>
      </w:r>
      <w:r>
        <w:rPr>
          <w:color w:val="231F20"/>
          <w:spacing w:val="-11"/>
          <w:sz w:val="21"/>
        </w:rPr>
        <w:t xml:space="preserve"> </w:t>
      </w:r>
      <w:r>
        <w:rPr>
          <w:color w:val="231F20"/>
          <w:sz w:val="21"/>
        </w:rPr>
        <w:t>юридичних</w:t>
      </w:r>
      <w:r>
        <w:rPr>
          <w:color w:val="231F20"/>
          <w:spacing w:val="-12"/>
          <w:sz w:val="21"/>
        </w:rPr>
        <w:t xml:space="preserve"> </w:t>
      </w:r>
      <w:r>
        <w:rPr>
          <w:color w:val="231F20"/>
          <w:sz w:val="21"/>
        </w:rPr>
        <w:t>осіб</w:t>
      </w:r>
      <w:r>
        <w:rPr>
          <w:color w:val="231F20"/>
          <w:spacing w:val="-11"/>
          <w:sz w:val="21"/>
        </w:rPr>
        <w:t xml:space="preserve"> </w:t>
      </w:r>
      <w:r>
        <w:rPr>
          <w:color w:val="231F20"/>
          <w:sz w:val="21"/>
        </w:rPr>
        <w:t>і</w:t>
      </w:r>
      <w:r>
        <w:rPr>
          <w:color w:val="231F20"/>
          <w:spacing w:val="-12"/>
          <w:sz w:val="21"/>
        </w:rPr>
        <w:t xml:space="preserve"> </w:t>
      </w:r>
      <w:r>
        <w:rPr>
          <w:color w:val="231F20"/>
          <w:sz w:val="21"/>
        </w:rPr>
        <w:t>фізичних</w:t>
      </w:r>
      <w:r>
        <w:rPr>
          <w:color w:val="231F20"/>
          <w:spacing w:val="-12"/>
          <w:sz w:val="21"/>
        </w:rPr>
        <w:t xml:space="preserve"> </w:t>
      </w:r>
      <w:r>
        <w:rPr>
          <w:color w:val="231F20"/>
          <w:sz w:val="21"/>
        </w:rPr>
        <w:t>осіб-підприємців;</w:t>
      </w:r>
      <w:r>
        <w:rPr>
          <w:color w:val="231F20"/>
          <w:spacing w:val="-12"/>
          <w:sz w:val="21"/>
        </w:rPr>
        <w:t xml:space="preserve"> </w:t>
      </w:r>
      <w:r>
        <w:rPr>
          <w:color w:val="231F20"/>
          <w:sz w:val="21"/>
        </w:rPr>
        <w:t>послуги,</w:t>
      </w:r>
      <w:r>
        <w:rPr>
          <w:color w:val="231F20"/>
          <w:spacing w:val="-12"/>
          <w:sz w:val="21"/>
        </w:rPr>
        <w:t xml:space="preserve"> </w:t>
      </w:r>
      <w:r>
        <w:rPr>
          <w:color w:val="231F20"/>
          <w:sz w:val="21"/>
        </w:rPr>
        <w:t>спрямовані на задоволення як фізичних, так і юридичних</w:t>
      </w:r>
      <w:r>
        <w:rPr>
          <w:color w:val="231F20"/>
          <w:spacing w:val="-10"/>
          <w:sz w:val="21"/>
        </w:rPr>
        <w:t xml:space="preserve"> </w:t>
      </w:r>
      <w:r>
        <w:rPr>
          <w:color w:val="231F20"/>
          <w:sz w:val="21"/>
        </w:rPr>
        <w:t>осіб;</w:t>
      </w:r>
    </w:p>
    <w:p w14:paraId="7DE99C5D" w14:textId="77777777" w:rsidR="00DE575E" w:rsidRDefault="00DE575E">
      <w:pPr>
        <w:pStyle w:val="BodyText"/>
        <w:rPr>
          <w:sz w:val="20"/>
        </w:rPr>
      </w:pPr>
    </w:p>
    <w:p w14:paraId="062090C1" w14:textId="5AE2D38D" w:rsidR="00DE575E" w:rsidRDefault="002E7560">
      <w:pPr>
        <w:pStyle w:val="BodyText"/>
        <w:spacing w:before="9"/>
        <w:rPr>
          <w:sz w:val="12"/>
        </w:rPr>
      </w:pPr>
      <w:r>
        <w:rPr>
          <w:noProof/>
        </w:rPr>
        <mc:AlternateContent>
          <mc:Choice Requires="wps">
            <w:drawing>
              <wp:anchor distT="0" distB="0" distL="0" distR="0" simplePos="0" relativeHeight="7240" behindDoc="0" locked="0" layoutInCell="1" allowOverlap="1" wp14:anchorId="185B3B6E" wp14:editId="373DDA0C">
                <wp:simplePos x="0" y="0"/>
                <wp:positionH relativeFrom="page">
                  <wp:posOffset>539750</wp:posOffset>
                </wp:positionH>
                <wp:positionV relativeFrom="paragraph">
                  <wp:posOffset>123190</wp:posOffset>
                </wp:positionV>
                <wp:extent cx="1080135" cy="0"/>
                <wp:effectExtent l="6350" t="8890" r="31115" b="29210"/>
                <wp:wrapTopAndBottom/>
                <wp:docPr id="970"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4E56C" id="Line_x0020_969" o:spid="_x0000_s1026" style="position:absolute;z-index:7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QYNMmiMCAABF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2A5DDE0F" w14:textId="77777777" w:rsidR="00DE575E" w:rsidRDefault="002E7560">
      <w:pPr>
        <w:spacing w:line="204" w:lineRule="auto"/>
        <w:ind w:left="250" w:right="521"/>
        <w:rPr>
          <w:sz w:val="16"/>
        </w:rPr>
      </w:pPr>
      <w:r>
        <w:rPr>
          <w:color w:val="231F20"/>
          <w:position w:val="5"/>
          <w:sz w:val="9"/>
        </w:rPr>
        <w:t xml:space="preserve">1 </w:t>
      </w:r>
      <w:r>
        <w:rPr>
          <w:color w:val="231F20"/>
          <w:sz w:val="16"/>
        </w:rPr>
        <w:t>Колпаков В., Кузьменко О., Пастух І. та ін. Адміністративного права України: підруч-  ник. Київ: Юрінком Інтер, 2013. 872</w:t>
      </w:r>
      <w:r>
        <w:rPr>
          <w:color w:val="231F20"/>
          <w:spacing w:val="-2"/>
          <w:sz w:val="16"/>
        </w:rPr>
        <w:t xml:space="preserve"> </w:t>
      </w:r>
      <w:r>
        <w:rPr>
          <w:color w:val="231F20"/>
          <w:sz w:val="16"/>
        </w:rPr>
        <w:t>с.</w:t>
      </w:r>
    </w:p>
    <w:p w14:paraId="6E1CA3C9" w14:textId="77777777" w:rsidR="00DE575E" w:rsidRDefault="00DE575E">
      <w:pPr>
        <w:pStyle w:val="BodyText"/>
        <w:spacing w:before="1"/>
        <w:rPr>
          <w:sz w:val="12"/>
        </w:rPr>
      </w:pPr>
    </w:p>
    <w:p w14:paraId="5BC45B04" w14:textId="77777777" w:rsidR="00DE575E" w:rsidRDefault="002E7560">
      <w:pPr>
        <w:spacing w:before="92"/>
        <w:ind w:right="411"/>
        <w:jc w:val="right"/>
        <w:rPr>
          <w:rFonts w:ascii="Times New Roman"/>
          <w:sz w:val="20"/>
        </w:rPr>
      </w:pPr>
      <w:r>
        <w:rPr>
          <w:rFonts w:ascii="Times New Roman"/>
          <w:color w:val="231F20"/>
          <w:w w:val="90"/>
          <w:sz w:val="20"/>
        </w:rPr>
        <w:t>179</w:t>
      </w:r>
    </w:p>
    <w:p w14:paraId="16E4922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9C8AD80"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02B4E996" w14:textId="6494210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F03AB78" wp14:editId="5B86FC91">
                <wp:extent cx="4140200" cy="6350"/>
                <wp:effectExtent l="0" t="0" r="12700" b="6350"/>
                <wp:docPr id="96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69" name="Line 96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917DFB" id="Group_x0020_96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UVrRJ/AgAAmAUAAA4A&#10;AAAAAAAAAAAAAAAALAIAAGRycy9lMm9Eb2MueG1sUEsBAi0AFAAGAAgAAAAhAEynsJDZAAAAAwEA&#10;AA8AAAAAAAAAAAAAAAAA1wQAAGRycy9kb3ducmV2LnhtbFBLBQYAAAAABAAEAPMAAADdBQAAAAA=&#10;">
                <v:line id="Line_x0020_96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9ce8YAAADcAAAADwAAAGRycy9kb3ducmV2LnhtbESP3WrCQBSE7wXfYTmF3kjdtIJodBUp&#10;FEov/Esf4Jg9JqG7Z2N2NalP7wqCl8PMfMPMl5014kKNrxwreB8mIIhzpysuFPxmX28TED4gazSO&#10;ScE/eVgu+r05ptq1vKPLPhQiQtinqKAMoU6l9HlJFv3Q1cTRO7rGYoiyKaRusI1wa+RHkoylxYrj&#10;Qok1fZaU/+3PVkF2GgSz3fyYNtscRvJwWo+u57VSry/dagYiUBee4Uf7WyuYjq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1/XHvGAAAA3AAAAA8AAAAAAAAA&#10;AAAAAAAAoQIAAGRycy9kb3ducmV2LnhtbFBLBQYAAAAABAAEAPkAAACUAwAAAAA=&#10;" strokecolor="#231f20" strokeweight=".5pt"/>
                <w10:anchorlock/>
              </v:group>
            </w:pict>
          </mc:Fallback>
        </mc:AlternateContent>
      </w:r>
    </w:p>
    <w:p w14:paraId="7171CA0C" w14:textId="77777777" w:rsidR="00DE575E" w:rsidRDefault="00DE575E">
      <w:pPr>
        <w:pStyle w:val="BodyText"/>
        <w:spacing w:before="7"/>
        <w:rPr>
          <w:rFonts w:ascii="AdonisC"/>
          <w:i/>
          <w:sz w:val="11"/>
        </w:rPr>
      </w:pPr>
    </w:p>
    <w:p w14:paraId="35613529" w14:textId="77777777" w:rsidR="00DE575E" w:rsidRDefault="002E7560">
      <w:pPr>
        <w:pStyle w:val="ListParagraph"/>
        <w:numPr>
          <w:ilvl w:val="1"/>
          <w:numId w:val="228"/>
        </w:numPr>
        <w:tabs>
          <w:tab w:val="left" w:pos="1101"/>
        </w:tabs>
        <w:spacing w:before="101"/>
        <w:ind w:firstLine="284"/>
        <w:jc w:val="left"/>
        <w:rPr>
          <w:sz w:val="21"/>
        </w:rPr>
      </w:pPr>
      <w:r>
        <w:rPr>
          <w:i/>
          <w:color w:val="231F20"/>
          <w:sz w:val="21"/>
        </w:rPr>
        <w:t xml:space="preserve">за критерієм потреби </w:t>
      </w:r>
      <w:r>
        <w:rPr>
          <w:color w:val="231F20"/>
          <w:sz w:val="21"/>
        </w:rPr>
        <w:t>– основні та</w:t>
      </w:r>
      <w:r>
        <w:rPr>
          <w:color w:val="231F20"/>
          <w:spacing w:val="-8"/>
          <w:sz w:val="21"/>
        </w:rPr>
        <w:t xml:space="preserve"> </w:t>
      </w:r>
      <w:r>
        <w:rPr>
          <w:color w:val="231F20"/>
          <w:sz w:val="21"/>
        </w:rPr>
        <w:t>додаткові;</w:t>
      </w:r>
    </w:p>
    <w:p w14:paraId="6D41279B" w14:textId="77777777" w:rsidR="00DE575E" w:rsidRDefault="002E7560">
      <w:pPr>
        <w:pStyle w:val="ListParagraph"/>
        <w:numPr>
          <w:ilvl w:val="1"/>
          <w:numId w:val="228"/>
        </w:numPr>
        <w:tabs>
          <w:tab w:val="left" w:pos="1101"/>
        </w:tabs>
        <w:spacing w:before="12"/>
        <w:ind w:firstLine="284"/>
        <w:jc w:val="left"/>
        <w:rPr>
          <w:sz w:val="21"/>
        </w:rPr>
      </w:pPr>
      <w:r>
        <w:rPr>
          <w:i/>
          <w:color w:val="231F20"/>
          <w:sz w:val="21"/>
        </w:rPr>
        <w:t xml:space="preserve">за критерієм обов’язковості </w:t>
      </w:r>
      <w:r>
        <w:rPr>
          <w:color w:val="231F20"/>
          <w:sz w:val="21"/>
        </w:rPr>
        <w:t>– обов’язкові та</w:t>
      </w:r>
      <w:r>
        <w:rPr>
          <w:color w:val="231F20"/>
          <w:spacing w:val="-13"/>
          <w:sz w:val="21"/>
        </w:rPr>
        <w:t xml:space="preserve"> </w:t>
      </w:r>
      <w:r>
        <w:rPr>
          <w:color w:val="231F20"/>
          <w:sz w:val="21"/>
        </w:rPr>
        <w:t>добровільні;</w:t>
      </w:r>
    </w:p>
    <w:p w14:paraId="77994A9C" w14:textId="77777777" w:rsidR="00DE575E" w:rsidRDefault="002E7560">
      <w:pPr>
        <w:pStyle w:val="ListParagraph"/>
        <w:numPr>
          <w:ilvl w:val="1"/>
          <w:numId w:val="228"/>
        </w:numPr>
        <w:tabs>
          <w:tab w:val="left" w:pos="1101"/>
        </w:tabs>
        <w:spacing w:before="13" w:line="252" w:lineRule="auto"/>
        <w:ind w:right="128" w:firstLine="284"/>
        <w:rPr>
          <w:sz w:val="21"/>
        </w:rPr>
      </w:pPr>
      <w:r>
        <w:rPr>
          <w:i/>
          <w:color w:val="231F20"/>
          <w:sz w:val="21"/>
        </w:rPr>
        <w:t xml:space="preserve">за галузями законодавства </w:t>
      </w:r>
      <w:r>
        <w:rPr>
          <w:color w:val="231F20"/>
          <w:sz w:val="21"/>
        </w:rPr>
        <w:t>(за характером питань, за розв’я- занням яких звертаються особи до адміністративних органів) – послуги у сфері землекористування; послуги в галузі природоко- ристування; послуги в галузі підприємницької діяльності; послуги в галузі соціальних відносин та</w:t>
      </w:r>
      <w:r>
        <w:rPr>
          <w:color w:val="231F20"/>
          <w:spacing w:val="-6"/>
          <w:sz w:val="21"/>
        </w:rPr>
        <w:t xml:space="preserve"> </w:t>
      </w:r>
      <w:r>
        <w:rPr>
          <w:color w:val="231F20"/>
          <w:sz w:val="21"/>
        </w:rPr>
        <w:t>і</w:t>
      </w:r>
      <w:r>
        <w:rPr>
          <w:color w:val="231F20"/>
          <w:sz w:val="21"/>
        </w:rPr>
        <w:t>н.;</w:t>
      </w:r>
    </w:p>
    <w:p w14:paraId="4ED032B0" w14:textId="77777777" w:rsidR="00DE575E" w:rsidRDefault="002E7560">
      <w:pPr>
        <w:pStyle w:val="ListParagraph"/>
        <w:numPr>
          <w:ilvl w:val="1"/>
          <w:numId w:val="228"/>
        </w:numPr>
        <w:tabs>
          <w:tab w:val="left" w:pos="1101"/>
        </w:tabs>
        <w:spacing w:before="3" w:line="252" w:lineRule="auto"/>
        <w:ind w:right="128" w:firstLine="284"/>
        <w:jc w:val="left"/>
        <w:rPr>
          <w:sz w:val="21"/>
        </w:rPr>
      </w:pPr>
      <w:r>
        <w:rPr>
          <w:i/>
          <w:color w:val="231F20"/>
          <w:sz w:val="21"/>
        </w:rPr>
        <w:t>за</w:t>
      </w:r>
      <w:r>
        <w:rPr>
          <w:i/>
          <w:color w:val="231F20"/>
          <w:spacing w:val="-12"/>
          <w:sz w:val="21"/>
        </w:rPr>
        <w:t xml:space="preserve"> </w:t>
      </w:r>
      <w:r>
        <w:rPr>
          <w:i/>
          <w:color w:val="231F20"/>
          <w:sz w:val="21"/>
        </w:rPr>
        <w:t>кількістю</w:t>
      </w:r>
      <w:r>
        <w:rPr>
          <w:i/>
          <w:color w:val="231F20"/>
          <w:spacing w:val="-11"/>
          <w:sz w:val="21"/>
        </w:rPr>
        <w:t xml:space="preserve"> </w:t>
      </w:r>
      <w:r>
        <w:rPr>
          <w:i/>
          <w:color w:val="231F20"/>
          <w:spacing w:val="-3"/>
          <w:sz w:val="21"/>
        </w:rPr>
        <w:t>суб’єктів</w:t>
      </w:r>
      <w:r>
        <w:rPr>
          <w:color w:val="231F20"/>
          <w:spacing w:val="-3"/>
          <w:sz w:val="21"/>
        </w:rPr>
        <w:t>,</w:t>
      </w:r>
      <w:r>
        <w:rPr>
          <w:color w:val="231F20"/>
          <w:spacing w:val="-12"/>
          <w:sz w:val="21"/>
        </w:rPr>
        <w:t xml:space="preserve"> </w:t>
      </w:r>
      <w:r>
        <w:rPr>
          <w:color w:val="231F20"/>
          <w:sz w:val="21"/>
        </w:rPr>
        <w:t>задіяних</w:t>
      </w:r>
      <w:r>
        <w:rPr>
          <w:color w:val="231F20"/>
          <w:spacing w:val="-12"/>
          <w:sz w:val="21"/>
        </w:rPr>
        <w:t xml:space="preserve"> </w:t>
      </w:r>
      <w:r>
        <w:rPr>
          <w:color w:val="231F20"/>
          <w:sz w:val="21"/>
        </w:rPr>
        <w:t>у</w:t>
      </w:r>
      <w:r>
        <w:rPr>
          <w:color w:val="231F20"/>
          <w:spacing w:val="-12"/>
          <w:sz w:val="21"/>
        </w:rPr>
        <w:t xml:space="preserve"> </w:t>
      </w:r>
      <w:r>
        <w:rPr>
          <w:color w:val="231F20"/>
          <w:sz w:val="21"/>
        </w:rPr>
        <w:t>процедурі</w:t>
      </w:r>
      <w:r>
        <w:rPr>
          <w:color w:val="231F20"/>
          <w:spacing w:val="-12"/>
          <w:sz w:val="21"/>
        </w:rPr>
        <w:t xml:space="preserve"> </w:t>
      </w:r>
      <w:r>
        <w:rPr>
          <w:color w:val="231F20"/>
          <w:sz w:val="21"/>
        </w:rPr>
        <w:t>надання</w:t>
      </w:r>
      <w:r>
        <w:rPr>
          <w:color w:val="231F20"/>
          <w:spacing w:val="-12"/>
          <w:sz w:val="21"/>
        </w:rPr>
        <w:t xml:space="preserve"> </w:t>
      </w:r>
      <w:r>
        <w:rPr>
          <w:color w:val="231F20"/>
          <w:sz w:val="21"/>
        </w:rPr>
        <w:t>послуги,</w:t>
      </w:r>
      <w:r>
        <w:rPr>
          <w:color w:val="231F20"/>
          <w:spacing w:val="-12"/>
          <w:sz w:val="21"/>
        </w:rPr>
        <w:t xml:space="preserve"> </w:t>
      </w:r>
      <w:r>
        <w:rPr>
          <w:color w:val="231F20"/>
          <w:sz w:val="21"/>
        </w:rPr>
        <w:t>– елементарні та</w:t>
      </w:r>
      <w:r>
        <w:rPr>
          <w:color w:val="231F20"/>
          <w:spacing w:val="-2"/>
          <w:sz w:val="21"/>
        </w:rPr>
        <w:t xml:space="preserve"> </w:t>
      </w:r>
      <w:r>
        <w:rPr>
          <w:color w:val="231F20"/>
          <w:sz w:val="21"/>
        </w:rPr>
        <w:t>композитні;</w:t>
      </w:r>
    </w:p>
    <w:p w14:paraId="2435790F" w14:textId="77777777" w:rsidR="00DE575E" w:rsidRDefault="002E7560">
      <w:pPr>
        <w:pStyle w:val="ListParagraph"/>
        <w:numPr>
          <w:ilvl w:val="1"/>
          <w:numId w:val="228"/>
        </w:numPr>
        <w:tabs>
          <w:tab w:val="left" w:pos="1101"/>
        </w:tabs>
        <w:ind w:firstLine="284"/>
        <w:jc w:val="left"/>
        <w:rPr>
          <w:sz w:val="21"/>
        </w:rPr>
      </w:pPr>
      <w:r>
        <w:rPr>
          <w:i/>
          <w:color w:val="231F20"/>
          <w:sz w:val="21"/>
        </w:rPr>
        <w:t xml:space="preserve">за наявністю проміжного результату </w:t>
      </w:r>
      <w:r>
        <w:rPr>
          <w:color w:val="231F20"/>
          <w:sz w:val="21"/>
        </w:rPr>
        <w:t>– прості та</w:t>
      </w:r>
      <w:r>
        <w:rPr>
          <w:color w:val="231F20"/>
          <w:spacing w:val="-18"/>
          <w:sz w:val="21"/>
        </w:rPr>
        <w:t xml:space="preserve"> </w:t>
      </w:r>
      <w:r>
        <w:rPr>
          <w:color w:val="231F20"/>
          <w:sz w:val="21"/>
        </w:rPr>
        <w:t>складні;</w:t>
      </w:r>
    </w:p>
    <w:p w14:paraId="3271F63D" w14:textId="77777777" w:rsidR="00DE575E" w:rsidRDefault="002E7560">
      <w:pPr>
        <w:pStyle w:val="ListParagraph"/>
        <w:numPr>
          <w:ilvl w:val="1"/>
          <w:numId w:val="228"/>
        </w:numPr>
        <w:tabs>
          <w:tab w:val="left" w:pos="1101"/>
        </w:tabs>
        <w:spacing w:before="13" w:line="252" w:lineRule="auto"/>
        <w:ind w:right="127" w:firstLine="284"/>
        <w:rPr>
          <w:sz w:val="21"/>
        </w:rPr>
      </w:pPr>
      <w:r>
        <w:rPr>
          <w:i/>
          <w:color w:val="231F20"/>
          <w:sz w:val="21"/>
        </w:rPr>
        <w:t xml:space="preserve">залежно від форми реалізації </w:t>
      </w:r>
      <w:r>
        <w:rPr>
          <w:color w:val="231F20"/>
          <w:sz w:val="21"/>
        </w:rPr>
        <w:t>– послуги, пов’язані з реальним здійсненням конституційних прав і свобод гро</w:t>
      </w:r>
      <w:r>
        <w:rPr>
          <w:color w:val="231F20"/>
          <w:sz w:val="21"/>
        </w:rPr>
        <w:t>мадян; власне адмі- ністративні послуги, пов’язані з юридичним оформленням умов, необхідних для реалізації прав і</w:t>
      </w:r>
      <w:r>
        <w:rPr>
          <w:color w:val="231F20"/>
          <w:spacing w:val="-5"/>
          <w:sz w:val="21"/>
        </w:rPr>
        <w:t xml:space="preserve"> </w:t>
      </w:r>
      <w:r>
        <w:rPr>
          <w:color w:val="231F20"/>
          <w:sz w:val="21"/>
        </w:rPr>
        <w:t>свобод</w:t>
      </w:r>
      <w:r>
        <w:rPr>
          <w:color w:val="231F20"/>
          <w:position w:val="7"/>
          <w:sz w:val="12"/>
        </w:rPr>
        <w:t>1</w:t>
      </w:r>
      <w:r>
        <w:rPr>
          <w:color w:val="231F20"/>
          <w:sz w:val="21"/>
        </w:rPr>
        <w:t>.</w:t>
      </w:r>
    </w:p>
    <w:p w14:paraId="59004811" w14:textId="77777777" w:rsidR="00DE575E" w:rsidRDefault="00DE575E">
      <w:pPr>
        <w:pStyle w:val="BodyText"/>
        <w:spacing w:before="1"/>
        <w:rPr>
          <w:sz w:val="22"/>
        </w:rPr>
      </w:pPr>
    </w:p>
    <w:p w14:paraId="7AD9A012" w14:textId="77777777" w:rsidR="00DE575E" w:rsidRDefault="002E7560">
      <w:pPr>
        <w:pStyle w:val="Heading5"/>
        <w:numPr>
          <w:ilvl w:val="2"/>
          <w:numId w:val="225"/>
        </w:numPr>
        <w:tabs>
          <w:tab w:val="left" w:pos="1383"/>
        </w:tabs>
        <w:spacing w:before="1"/>
        <w:ind w:left="1382"/>
        <w:jc w:val="left"/>
      </w:pPr>
      <w:r>
        <w:rPr>
          <w:color w:val="231F20"/>
        </w:rPr>
        <w:t>Принципи надання адміністративних</w:t>
      </w:r>
      <w:r>
        <w:rPr>
          <w:color w:val="231F20"/>
          <w:spacing w:val="-7"/>
        </w:rPr>
        <w:t xml:space="preserve"> </w:t>
      </w:r>
      <w:r>
        <w:rPr>
          <w:color w:val="231F20"/>
        </w:rPr>
        <w:t>послуг</w:t>
      </w:r>
    </w:p>
    <w:p w14:paraId="09DEC1F6" w14:textId="77777777" w:rsidR="00DE575E" w:rsidRDefault="00DE575E">
      <w:pPr>
        <w:pStyle w:val="BodyText"/>
        <w:spacing w:before="2"/>
        <w:rPr>
          <w:b/>
          <w:sz w:val="23"/>
        </w:rPr>
      </w:pPr>
    </w:p>
    <w:p w14:paraId="41C3B1BD" w14:textId="77777777" w:rsidR="00DE575E" w:rsidRDefault="002E7560">
      <w:pPr>
        <w:pStyle w:val="BodyText"/>
        <w:spacing w:line="252" w:lineRule="auto"/>
        <w:ind w:left="533" w:firstLine="283"/>
      </w:pPr>
      <w:r>
        <w:rPr>
          <w:color w:val="231F20"/>
        </w:rPr>
        <w:t>Важливою умовою ефективного функціонування системи адмі- ністративних послуг є принципи надання таких послуг.</w:t>
      </w:r>
    </w:p>
    <w:p w14:paraId="0B86826B" w14:textId="77777777" w:rsidR="00DE575E" w:rsidRDefault="002E7560">
      <w:pPr>
        <w:pStyle w:val="BodyText"/>
        <w:spacing w:before="1" w:line="252" w:lineRule="auto"/>
        <w:ind w:left="533" w:right="128" w:firstLine="283"/>
        <w:jc w:val="both"/>
      </w:pPr>
      <w:r>
        <w:rPr>
          <w:color w:val="231F20"/>
        </w:rPr>
        <w:t>Під принципами надання адміністративних послуг слід розуміти основоположні засади, на яких ґрунтується процес діяльності орга- нів державної та мі</w:t>
      </w:r>
      <w:r>
        <w:rPr>
          <w:color w:val="231F20"/>
        </w:rPr>
        <w:t>сцевої влади щодо надання адміністративних послуг фізичним та юридичним особам.</w:t>
      </w:r>
    </w:p>
    <w:p w14:paraId="424605C8" w14:textId="77777777" w:rsidR="00DE575E" w:rsidRDefault="002E7560">
      <w:pPr>
        <w:pStyle w:val="BodyText"/>
        <w:spacing w:before="2" w:line="252" w:lineRule="auto"/>
        <w:ind w:left="533" w:right="127" w:firstLine="283"/>
        <w:jc w:val="both"/>
      </w:pPr>
      <w:r>
        <w:rPr>
          <w:color w:val="231F20"/>
        </w:rPr>
        <w:t>У ст. 4 Закону України «Про адміністративні послуги» закріплено десять найбільш важливих взаємопов’язаних принципів, на яких має ґрунтуватись функціонування всієї системи адміністративних послуг і яким мають відповідати організація та порядок надання таких</w:t>
      </w:r>
      <w:r>
        <w:rPr>
          <w:color w:val="231F20"/>
        </w:rPr>
        <w:t xml:space="preserve"> послуг, а саме:</w:t>
      </w:r>
    </w:p>
    <w:p w14:paraId="1358AB5E" w14:textId="77777777" w:rsidR="00DE575E" w:rsidRDefault="002E7560">
      <w:pPr>
        <w:pStyle w:val="ListParagraph"/>
        <w:numPr>
          <w:ilvl w:val="0"/>
          <w:numId w:val="223"/>
        </w:numPr>
        <w:tabs>
          <w:tab w:val="left" w:pos="1101"/>
        </w:tabs>
        <w:spacing w:before="2" w:line="252" w:lineRule="auto"/>
        <w:ind w:right="128" w:firstLine="284"/>
        <w:jc w:val="left"/>
        <w:rPr>
          <w:sz w:val="21"/>
        </w:rPr>
      </w:pPr>
      <w:r>
        <w:rPr>
          <w:color w:val="231F20"/>
          <w:sz w:val="21"/>
        </w:rPr>
        <w:t>верховенства права, зокрема законності та юридичної визна- ченості;</w:t>
      </w:r>
    </w:p>
    <w:p w14:paraId="4BB2E33B" w14:textId="77777777" w:rsidR="00DE575E" w:rsidRDefault="002E7560">
      <w:pPr>
        <w:pStyle w:val="ListParagraph"/>
        <w:numPr>
          <w:ilvl w:val="0"/>
          <w:numId w:val="223"/>
        </w:numPr>
        <w:tabs>
          <w:tab w:val="left" w:pos="1101"/>
        </w:tabs>
        <w:ind w:firstLine="284"/>
        <w:jc w:val="left"/>
        <w:rPr>
          <w:sz w:val="21"/>
        </w:rPr>
      </w:pPr>
      <w:r>
        <w:rPr>
          <w:color w:val="231F20"/>
          <w:sz w:val="21"/>
        </w:rPr>
        <w:t>стабільності;</w:t>
      </w:r>
    </w:p>
    <w:p w14:paraId="28C41D1C" w14:textId="77777777" w:rsidR="00DE575E" w:rsidRDefault="002E7560">
      <w:pPr>
        <w:pStyle w:val="ListParagraph"/>
        <w:numPr>
          <w:ilvl w:val="0"/>
          <w:numId w:val="223"/>
        </w:numPr>
        <w:tabs>
          <w:tab w:val="left" w:pos="1101"/>
        </w:tabs>
        <w:spacing w:before="13"/>
        <w:ind w:firstLine="284"/>
        <w:jc w:val="left"/>
        <w:rPr>
          <w:sz w:val="21"/>
        </w:rPr>
      </w:pPr>
      <w:r>
        <w:rPr>
          <w:color w:val="231F20"/>
          <w:sz w:val="21"/>
        </w:rPr>
        <w:t>рівності перед</w:t>
      </w:r>
      <w:r>
        <w:rPr>
          <w:color w:val="231F20"/>
          <w:spacing w:val="-3"/>
          <w:sz w:val="21"/>
        </w:rPr>
        <w:t xml:space="preserve"> </w:t>
      </w:r>
      <w:r>
        <w:rPr>
          <w:color w:val="231F20"/>
          <w:sz w:val="21"/>
        </w:rPr>
        <w:t>законом;</w:t>
      </w:r>
    </w:p>
    <w:p w14:paraId="069D8A60" w14:textId="77777777" w:rsidR="00DE575E" w:rsidRDefault="002E7560">
      <w:pPr>
        <w:pStyle w:val="ListParagraph"/>
        <w:numPr>
          <w:ilvl w:val="0"/>
          <w:numId w:val="223"/>
        </w:numPr>
        <w:tabs>
          <w:tab w:val="left" w:pos="1101"/>
        </w:tabs>
        <w:spacing w:before="13"/>
        <w:ind w:firstLine="284"/>
        <w:jc w:val="left"/>
        <w:rPr>
          <w:sz w:val="21"/>
        </w:rPr>
      </w:pPr>
      <w:r>
        <w:rPr>
          <w:color w:val="231F20"/>
          <w:sz w:val="21"/>
        </w:rPr>
        <w:t>відкритості та</w:t>
      </w:r>
      <w:r>
        <w:rPr>
          <w:color w:val="231F20"/>
          <w:spacing w:val="-2"/>
          <w:sz w:val="21"/>
        </w:rPr>
        <w:t xml:space="preserve"> </w:t>
      </w:r>
      <w:r>
        <w:rPr>
          <w:color w:val="231F20"/>
          <w:sz w:val="21"/>
        </w:rPr>
        <w:t>прозорості;</w:t>
      </w:r>
    </w:p>
    <w:p w14:paraId="64D23820" w14:textId="77777777" w:rsidR="00DE575E" w:rsidRDefault="002E7560">
      <w:pPr>
        <w:pStyle w:val="ListParagraph"/>
        <w:numPr>
          <w:ilvl w:val="0"/>
          <w:numId w:val="223"/>
        </w:numPr>
        <w:tabs>
          <w:tab w:val="left" w:pos="1101"/>
        </w:tabs>
        <w:spacing w:before="13"/>
        <w:ind w:firstLine="284"/>
        <w:jc w:val="left"/>
        <w:rPr>
          <w:sz w:val="21"/>
        </w:rPr>
      </w:pPr>
      <w:r>
        <w:rPr>
          <w:color w:val="231F20"/>
          <w:sz w:val="21"/>
        </w:rPr>
        <w:t>оперативності та</w:t>
      </w:r>
      <w:r>
        <w:rPr>
          <w:color w:val="231F20"/>
          <w:spacing w:val="-3"/>
          <w:sz w:val="21"/>
        </w:rPr>
        <w:t xml:space="preserve"> </w:t>
      </w:r>
      <w:r>
        <w:rPr>
          <w:color w:val="231F20"/>
          <w:sz w:val="21"/>
        </w:rPr>
        <w:t>своєчасності;</w:t>
      </w:r>
    </w:p>
    <w:p w14:paraId="6FC006C1" w14:textId="77777777" w:rsidR="00DE575E" w:rsidRDefault="002E7560">
      <w:pPr>
        <w:pStyle w:val="ListParagraph"/>
        <w:numPr>
          <w:ilvl w:val="0"/>
          <w:numId w:val="223"/>
        </w:numPr>
        <w:tabs>
          <w:tab w:val="left" w:pos="1101"/>
        </w:tabs>
        <w:spacing w:before="12"/>
        <w:ind w:firstLine="284"/>
        <w:jc w:val="left"/>
        <w:rPr>
          <w:sz w:val="21"/>
        </w:rPr>
      </w:pPr>
      <w:r>
        <w:rPr>
          <w:color w:val="231F20"/>
          <w:sz w:val="21"/>
        </w:rPr>
        <w:t>доступності інформації про надання адміністративних</w:t>
      </w:r>
      <w:r>
        <w:rPr>
          <w:color w:val="231F20"/>
          <w:spacing w:val="-34"/>
          <w:sz w:val="21"/>
        </w:rPr>
        <w:t xml:space="preserve"> </w:t>
      </w:r>
      <w:r>
        <w:rPr>
          <w:color w:val="231F20"/>
          <w:sz w:val="21"/>
        </w:rPr>
        <w:t>послуг;</w:t>
      </w:r>
    </w:p>
    <w:p w14:paraId="34CFFFDE" w14:textId="77777777" w:rsidR="00DE575E" w:rsidRDefault="002E7560">
      <w:pPr>
        <w:pStyle w:val="ListParagraph"/>
        <w:numPr>
          <w:ilvl w:val="0"/>
          <w:numId w:val="223"/>
        </w:numPr>
        <w:tabs>
          <w:tab w:val="left" w:pos="1101"/>
        </w:tabs>
        <w:spacing w:before="13"/>
        <w:ind w:firstLine="284"/>
        <w:jc w:val="left"/>
        <w:rPr>
          <w:sz w:val="21"/>
        </w:rPr>
      </w:pPr>
      <w:r>
        <w:rPr>
          <w:color w:val="231F20"/>
          <w:sz w:val="21"/>
        </w:rPr>
        <w:t>захищеності пер</w:t>
      </w:r>
      <w:r>
        <w:rPr>
          <w:color w:val="231F20"/>
          <w:sz w:val="21"/>
        </w:rPr>
        <w:t>сональних</w:t>
      </w:r>
      <w:r>
        <w:rPr>
          <w:color w:val="231F20"/>
          <w:spacing w:val="-2"/>
          <w:sz w:val="21"/>
        </w:rPr>
        <w:t xml:space="preserve"> </w:t>
      </w:r>
      <w:r>
        <w:rPr>
          <w:color w:val="231F20"/>
          <w:sz w:val="21"/>
        </w:rPr>
        <w:t>даних;</w:t>
      </w:r>
    </w:p>
    <w:p w14:paraId="2A97B4E7" w14:textId="77777777" w:rsidR="00DE575E" w:rsidRDefault="00DE575E">
      <w:pPr>
        <w:pStyle w:val="BodyText"/>
        <w:rPr>
          <w:sz w:val="20"/>
        </w:rPr>
      </w:pPr>
    </w:p>
    <w:p w14:paraId="1903BFD0" w14:textId="6C3624A8" w:rsidR="00DE575E" w:rsidRDefault="002E7560">
      <w:pPr>
        <w:pStyle w:val="BodyText"/>
        <w:spacing w:before="10"/>
        <w:rPr>
          <w:sz w:val="13"/>
        </w:rPr>
      </w:pPr>
      <w:r>
        <w:rPr>
          <w:noProof/>
        </w:rPr>
        <mc:AlternateContent>
          <mc:Choice Requires="wps">
            <w:drawing>
              <wp:anchor distT="0" distB="0" distL="0" distR="0" simplePos="0" relativeHeight="7288" behindDoc="0" locked="0" layoutInCell="1" allowOverlap="1" wp14:anchorId="15109BCA" wp14:editId="7F334049">
                <wp:simplePos x="0" y="0"/>
                <wp:positionH relativeFrom="page">
                  <wp:posOffset>719455</wp:posOffset>
                </wp:positionH>
                <wp:positionV relativeFrom="paragraph">
                  <wp:posOffset>130810</wp:posOffset>
                </wp:positionV>
                <wp:extent cx="1080135" cy="0"/>
                <wp:effectExtent l="8255" t="16510" r="29210" b="21590"/>
                <wp:wrapTopAndBottom/>
                <wp:docPr id="967"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A1B14" id="Line_x0020_966" o:spid="_x0000_s1026" style="position:absolute;z-index:7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pt" to="141.7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" strokecolor="#231f20" strokeweight=".5pt">
                <w10:wrap type="topAndBottom" anchorx="page"/>
              </v:line>
            </w:pict>
          </mc:Fallback>
        </mc:AlternateContent>
      </w:r>
    </w:p>
    <w:p w14:paraId="3FE24363" w14:textId="77777777" w:rsidR="00DE575E" w:rsidRDefault="002E7560">
      <w:pPr>
        <w:spacing w:line="204" w:lineRule="auto"/>
        <w:ind w:left="533"/>
        <w:rPr>
          <w:sz w:val="16"/>
        </w:rPr>
      </w:pPr>
      <w:r>
        <w:rPr>
          <w:color w:val="231F20"/>
          <w:position w:val="5"/>
          <w:sz w:val="9"/>
        </w:rPr>
        <w:t xml:space="preserve">1 </w:t>
      </w:r>
      <w:r>
        <w:rPr>
          <w:color w:val="231F20"/>
          <w:sz w:val="16"/>
        </w:rPr>
        <w:t xml:space="preserve">Буханевич О. Класифікація адміністративних послуг. </w:t>
      </w:r>
      <w:r>
        <w:rPr>
          <w:i/>
          <w:color w:val="231F20"/>
          <w:sz w:val="16"/>
        </w:rPr>
        <w:t>Науковий вісник Ужгородського національного університету. Серія Право</w:t>
      </w:r>
      <w:r>
        <w:rPr>
          <w:color w:val="231F20"/>
          <w:sz w:val="16"/>
        </w:rPr>
        <w:t>. 2015. № 33. Том. 2. С.10.</w:t>
      </w:r>
    </w:p>
    <w:p w14:paraId="664008FA" w14:textId="77777777" w:rsidR="00DE575E" w:rsidRDefault="00DE575E">
      <w:pPr>
        <w:pStyle w:val="BodyText"/>
        <w:spacing w:before="1"/>
        <w:rPr>
          <w:sz w:val="12"/>
        </w:rPr>
      </w:pPr>
    </w:p>
    <w:p w14:paraId="41A53AC2" w14:textId="77777777" w:rsidR="00DE575E" w:rsidRDefault="002E7560">
      <w:pPr>
        <w:spacing w:before="92"/>
        <w:ind w:left="533"/>
        <w:rPr>
          <w:rFonts w:ascii="Times New Roman"/>
          <w:sz w:val="20"/>
        </w:rPr>
      </w:pPr>
      <w:r>
        <w:rPr>
          <w:rFonts w:ascii="Times New Roman"/>
          <w:color w:val="231F20"/>
          <w:sz w:val="20"/>
        </w:rPr>
        <w:t>180</w:t>
      </w:r>
    </w:p>
    <w:p w14:paraId="7ACBF971" w14:textId="77777777" w:rsidR="00DE575E" w:rsidRDefault="00DE575E">
      <w:pPr>
        <w:rPr>
          <w:rFonts w:ascii="Times New Roman"/>
          <w:sz w:val="20"/>
        </w:rPr>
        <w:sectPr w:rsidR="00DE575E">
          <w:pgSz w:w="8510" w:h="12760"/>
          <w:pgMar w:top="660" w:right="720" w:bottom="280" w:left="600" w:header="720" w:footer="720" w:gutter="0"/>
          <w:cols w:space="720"/>
        </w:sectPr>
      </w:pPr>
    </w:p>
    <w:p w14:paraId="7E2D6380" w14:textId="77777777" w:rsidR="00DE575E" w:rsidRDefault="002E7560">
      <w:pPr>
        <w:spacing w:before="72" w:line="249" w:lineRule="auto"/>
        <w:ind w:left="3988" w:hanging="51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6. Адміністративні послуги</w:t>
      </w:r>
    </w:p>
    <w:p w14:paraId="2E4F24A8" w14:textId="0044140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9355712" wp14:editId="149A588F">
                <wp:extent cx="4140200" cy="6350"/>
                <wp:effectExtent l="0" t="0" r="12700" b="6350"/>
                <wp:docPr id="965"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66" name="Line 9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E1C9A0" id="Group_x0020_9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5W6Gd/AgAAmAUAAA4A&#10;AAAAAAAAAAAAAAAALAIAAGRycy9lMm9Eb2MueG1sUEsBAi0AFAAGAAgAAAAhAEynsJDZAAAAAwEA&#10;AA8AAAAAAAAAAAAAAAAA1wQAAGRycy9kb3ducmV2LnhtbFBLBQYAAAAABAAEAPMAAADdBQAAAAA=&#10;">
                <v:line id="Line_x0020_9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DICcYAAADcAAAADwAAAGRycy9kb3ducmV2LnhtbESP3WrCQBSE7wu+w3KE3pS6aYVgU1eR&#10;giBe+Bcf4Jg9TYK7Z2N2NbFP3xUKvRxm5htmOu+tETdqfe1YwdsoAUFcOF1zqeCYL18nIHxA1mgc&#10;k4I7eZjPBk9TzLTreE+3QyhFhLDPUEEVQpNJ6YuKLPqRa4ij9+1aiyHKtpS6xS7CrZHvSZJKizXH&#10;hQob+qqoOB+uVkF+eQlmt12bLt+exvJ02Yx/rhulnof94hNEoD78h//aK63gI03hcSYe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gyAnGAAAA3AAAAA8AAAAAAAAA&#10;AAAAAAAAoQIAAGRycy9kb3ducmV2LnhtbFBLBQYAAAAABAAEAPkAAACUAwAAAAA=&#10;" strokecolor="#231f20" strokeweight=".5pt"/>
                <w10:anchorlock/>
              </v:group>
            </w:pict>
          </mc:Fallback>
        </mc:AlternateContent>
      </w:r>
    </w:p>
    <w:p w14:paraId="2D3DFDF3" w14:textId="77777777" w:rsidR="00DE575E" w:rsidRDefault="00DE575E">
      <w:pPr>
        <w:pStyle w:val="BodyText"/>
        <w:spacing w:before="7"/>
        <w:rPr>
          <w:rFonts w:ascii="AdonisC"/>
          <w:i/>
          <w:sz w:val="19"/>
        </w:rPr>
      </w:pPr>
    </w:p>
    <w:p w14:paraId="3E44209B" w14:textId="77777777" w:rsidR="00DE575E" w:rsidRDefault="002E7560">
      <w:pPr>
        <w:pStyle w:val="ListParagraph"/>
        <w:numPr>
          <w:ilvl w:val="0"/>
          <w:numId w:val="254"/>
        </w:numPr>
        <w:tabs>
          <w:tab w:val="left" w:pos="818"/>
        </w:tabs>
        <w:spacing w:line="252" w:lineRule="auto"/>
        <w:ind w:right="413" w:firstLine="283"/>
        <w:rPr>
          <w:sz w:val="21"/>
        </w:rPr>
      </w:pPr>
      <w:r>
        <w:rPr>
          <w:color w:val="231F20"/>
          <w:sz w:val="21"/>
        </w:rPr>
        <w:t>раціональної мінімізації кількості документів та процедурних дій, що вимагаються для отримання адміністративних</w:t>
      </w:r>
      <w:r>
        <w:rPr>
          <w:color w:val="231F20"/>
          <w:spacing w:val="-14"/>
          <w:sz w:val="21"/>
        </w:rPr>
        <w:t xml:space="preserve"> </w:t>
      </w:r>
      <w:r>
        <w:rPr>
          <w:color w:val="231F20"/>
          <w:sz w:val="21"/>
        </w:rPr>
        <w:t>послуг;</w:t>
      </w:r>
    </w:p>
    <w:p w14:paraId="56A39F2B" w14:textId="77777777" w:rsidR="00DE575E" w:rsidRDefault="002E7560">
      <w:pPr>
        <w:pStyle w:val="ListParagraph"/>
        <w:numPr>
          <w:ilvl w:val="0"/>
          <w:numId w:val="254"/>
        </w:numPr>
        <w:tabs>
          <w:tab w:val="left" w:pos="818"/>
        </w:tabs>
        <w:ind w:firstLine="283"/>
        <w:jc w:val="left"/>
        <w:rPr>
          <w:sz w:val="21"/>
        </w:rPr>
      </w:pPr>
      <w:r>
        <w:rPr>
          <w:color w:val="231F20"/>
          <w:sz w:val="21"/>
        </w:rPr>
        <w:t>неупередженості та</w:t>
      </w:r>
      <w:r>
        <w:rPr>
          <w:color w:val="231F20"/>
          <w:spacing w:val="-2"/>
          <w:sz w:val="21"/>
        </w:rPr>
        <w:t xml:space="preserve"> </w:t>
      </w:r>
      <w:r>
        <w:rPr>
          <w:color w:val="231F20"/>
          <w:sz w:val="21"/>
        </w:rPr>
        <w:t>справедливості;</w:t>
      </w:r>
    </w:p>
    <w:p w14:paraId="5E1E0BB0" w14:textId="77777777" w:rsidR="00DE575E" w:rsidRDefault="002E7560">
      <w:pPr>
        <w:pStyle w:val="ListParagraph"/>
        <w:numPr>
          <w:ilvl w:val="0"/>
          <w:numId w:val="254"/>
        </w:numPr>
        <w:tabs>
          <w:tab w:val="left" w:pos="818"/>
        </w:tabs>
        <w:spacing w:before="12"/>
        <w:ind w:firstLine="283"/>
        <w:jc w:val="left"/>
        <w:rPr>
          <w:sz w:val="21"/>
        </w:rPr>
      </w:pPr>
      <w:r>
        <w:rPr>
          <w:color w:val="231F20"/>
          <w:sz w:val="21"/>
        </w:rPr>
        <w:t xml:space="preserve">доступності та зручності для </w:t>
      </w:r>
      <w:r>
        <w:rPr>
          <w:color w:val="231F20"/>
          <w:spacing w:val="-3"/>
          <w:sz w:val="21"/>
        </w:rPr>
        <w:t>суб’єктів</w:t>
      </w:r>
      <w:r>
        <w:rPr>
          <w:color w:val="231F20"/>
          <w:spacing w:val="-5"/>
          <w:sz w:val="21"/>
        </w:rPr>
        <w:t xml:space="preserve"> </w:t>
      </w:r>
      <w:r>
        <w:rPr>
          <w:color w:val="231F20"/>
          <w:sz w:val="21"/>
        </w:rPr>
        <w:t>звернень.</w:t>
      </w:r>
    </w:p>
    <w:p w14:paraId="41B33B53" w14:textId="77777777" w:rsidR="00DE575E" w:rsidRDefault="002E7560">
      <w:pPr>
        <w:pStyle w:val="BodyText"/>
        <w:spacing w:before="13" w:line="252" w:lineRule="auto"/>
        <w:ind w:left="250" w:right="410" w:firstLine="283"/>
        <w:jc w:val="both"/>
      </w:pPr>
      <w:r>
        <w:rPr>
          <w:color w:val="231F20"/>
        </w:rPr>
        <w:t>Ці</w:t>
      </w:r>
      <w:r>
        <w:rPr>
          <w:color w:val="231F20"/>
          <w:spacing w:val="-7"/>
        </w:rPr>
        <w:t xml:space="preserve"> </w:t>
      </w:r>
      <w:r>
        <w:rPr>
          <w:color w:val="231F20"/>
        </w:rPr>
        <w:t>принципи</w:t>
      </w:r>
      <w:r>
        <w:rPr>
          <w:color w:val="231F20"/>
          <w:spacing w:val="-7"/>
        </w:rPr>
        <w:t xml:space="preserve"> </w:t>
      </w:r>
      <w:r>
        <w:rPr>
          <w:color w:val="231F20"/>
        </w:rPr>
        <w:t>базуються</w:t>
      </w:r>
      <w:r>
        <w:rPr>
          <w:color w:val="231F20"/>
          <w:spacing w:val="-7"/>
        </w:rPr>
        <w:t xml:space="preserve"> </w:t>
      </w:r>
      <w:r>
        <w:rPr>
          <w:color w:val="231F20"/>
        </w:rPr>
        <w:t>на</w:t>
      </w:r>
      <w:r>
        <w:rPr>
          <w:color w:val="231F20"/>
          <w:spacing w:val="-7"/>
        </w:rPr>
        <w:t xml:space="preserve"> </w:t>
      </w:r>
      <w:r>
        <w:rPr>
          <w:color w:val="231F20"/>
        </w:rPr>
        <w:t>відповідних</w:t>
      </w:r>
      <w:r>
        <w:rPr>
          <w:color w:val="231F20"/>
          <w:spacing w:val="-7"/>
        </w:rPr>
        <w:t xml:space="preserve"> </w:t>
      </w:r>
      <w:r>
        <w:rPr>
          <w:color w:val="231F20"/>
        </w:rPr>
        <w:t>нормах</w:t>
      </w:r>
      <w:r>
        <w:rPr>
          <w:color w:val="231F20"/>
          <w:spacing w:val="-7"/>
        </w:rPr>
        <w:t xml:space="preserve"> </w:t>
      </w:r>
      <w:r>
        <w:rPr>
          <w:color w:val="231F20"/>
        </w:rPr>
        <w:t>Конституції</w:t>
      </w:r>
      <w:r>
        <w:rPr>
          <w:color w:val="231F20"/>
          <w:spacing w:val="-7"/>
        </w:rPr>
        <w:t xml:space="preserve"> </w:t>
      </w:r>
      <w:r>
        <w:rPr>
          <w:color w:val="231F20"/>
        </w:rPr>
        <w:t>та</w:t>
      </w:r>
      <w:r>
        <w:rPr>
          <w:color w:val="231F20"/>
          <w:spacing w:val="-7"/>
        </w:rPr>
        <w:t xml:space="preserve"> </w:t>
      </w:r>
      <w:r>
        <w:rPr>
          <w:color w:val="231F20"/>
        </w:rPr>
        <w:t>ч.</w:t>
      </w:r>
      <w:r>
        <w:rPr>
          <w:color w:val="231F20"/>
          <w:spacing w:val="-7"/>
        </w:rPr>
        <w:t xml:space="preserve"> </w:t>
      </w:r>
      <w:r>
        <w:rPr>
          <w:color w:val="231F20"/>
        </w:rPr>
        <w:t xml:space="preserve">3 </w:t>
      </w:r>
      <w:r>
        <w:rPr>
          <w:color w:val="231F20"/>
          <w:spacing w:val="-6"/>
        </w:rPr>
        <w:t xml:space="preserve">ст. </w:t>
      </w:r>
      <w:r>
        <w:rPr>
          <w:color w:val="231F20"/>
        </w:rPr>
        <w:t xml:space="preserve">2 </w:t>
      </w:r>
      <w:r>
        <w:rPr>
          <w:color w:val="231F20"/>
          <w:spacing w:val="-3"/>
        </w:rPr>
        <w:t xml:space="preserve">Кодексу </w:t>
      </w:r>
      <w:r>
        <w:rPr>
          <w:color w:val="231F20"/>
        </w:rPr>
        <w:t>адміністративного судочинства</w:t>
      </w:r>
      <w:r>
        <w:rPr>
          <w:color w:val="231F20"/>
          <w:spacing w:val="-2"/>
        </w:rPr>
        <w:t xml:space="preserve"> </w:t>
      </w:r>
      <w:r>
        <w:rPr>
          <w:color w:val="231F20"/>
          <w:spacing w:val="-3"/>
        </w:rPr>
        <w:t>України.</w:t>
      </w:r>
    </w:p>
    <w:p w14:paraId="13F7B792" w14:textId="77777777" w:rsidR="00DE575E" w:rsidRDefault="002E7560">
      <w:pPr>
        <w:pStyle w:val="Heading6"/>
        <w:spacing w:line="252" w:lineRule="auto"/>
        <w:ind w:left="250" w:right="412"/>
        <w:jc w:val="both"/>
      </w:pPr>
      <w:r>
        <w:rPr>
          <w:color w:val="231F20"/>
        </w:rPr>
        <w:t xml:space="preserve">Схарактеризуємо основні положення наведених вище </w:t>
      </w:r>
      <w:r>
        <w:rPr>
          <w:color w:val="231F20"/>
        </w:rPr>
        <w:t>спеціальних принципів надання адміністративних послуг:</w:t>
      </w:r>
    </w:p>
    <w:p w14:paraId="214A1C68" w14:textId="77777777" w:rsidR="00DE575E" w:rsidRDefault="002E7560">
      <w:pPr>
        <w:pStyle w:val="BodyText"/>
        <w:spacing w:before="1" w:line="252" w:lineRule="auto"/>
        <w:ind w:left="250" w:right="410" w:firstLine="283"/>
        <w:jc w:val="both"/>
      </w:pPr>
      <w:r>
        <w:rPr>
          <w:i/>
          <w:color w:val="231F20"/>
        </w:rPr>
        <w:t xml:space="preserve">Принцип юридичної визначеності </w:t>
      </w:r>
      <w:r>
        <w:rPr>
          <w:color w:val="231F20"/>
        </w:rPr>
        <w:t>також є одним із суттєвих елементів принципу верховенства права. Цей принцип має різні прояви. Він частково співпадає з принципом законності, і сутність полягає в чіткому</w:t>
      </w:r>
      <w:r>
        <w:rPr>
          <w:color w:val="231F20"/>
        </w:rPr>
        <w:t xml:space="preserve"> визначенні процедури й порядку її дотримання,  а також законодавчого встановлення повноважень органів влади    у відносинах із </w:t>
      </w:r>
      <w:r>
        <w:rPr>
          <w:color w:val="231F20"/>
          <w:spacing w:val="-3"/>
        </w:rPr>
        <w:t xml:space="preserve">суб’єктами </w:t>
      </w:r>
      <w:r>
        <w:rPr>
          <w:color w:val="231F20"/>
        </w:rPr>
        <w:t>звернення.</w:t>
      </w:r>
    </w:p>
    <w:p w14:paraId="33307662" w14:textId="77777777" w:rsidR="00DE575E" w:rsidRDefault="002E7560">
      <w:pPr>
        <w:pStyle w:val="BodyText"/>
        <w:spacing w:before="3" w:line="252" w:lineRule="auto"/>
        <w:ind w:left="250" w:right="411" w:firstLine="283"/>
        <w:jc w:val="both"/>
      </w:pPr>
      <w:r>
        <w:rPr>
          <w:i/>
          <w:color w:val="231F20"/>
          <w:spacing w:val="-3"/>
        </w:rPr>
        <w:t xml:space="preserve">Принцип стабільності </w:t>
      </w:r>
      <w:r>
        <w:rPr>
          <w:color w:val="231F20"/>
          <w:spacing w:val="-3"/>
        </w:rPr>
        <w:t xml:space="preserve">передбачає стійкість </w:t>
      </w:r>
      <w:r>
        <w:rPr>
          <w:color w:val="231F20"/>
          <w:spacing w:val="-4"/>
        </w:rPr>
        <w:t xml:space="preserve">законодавства </w:t>
      </w:r>
      <w:r>
        <w:rPr>
          <w:color w:val="231F20"/>
        </w:rPr>
        <w:t xml:space="preserve">і </w:t>
      </w:r>
      <w:r>
        <w:rPr>
          <w:color w:val="231F20"/>
          <w:spacing w:val="-3"/>
        </w:rPr>
        <w:t xml:space="preserve">врегу- </w:t>
      </w:r>
      <w:r>
        <w:rPr>
          <w:color w:val="231F20"/>
        </w:rPr>
        <w:t xml:space="preserve">льованих ним </w:t>
      </w:r>
      <w:r>
        <w:rPr>
          <w:color w:val="231F20"/>
          <w:spacing w:val="-3"/>
        </w:rPr>
        <w:t xml:space="preserve">правовідносин, </w:t>
      </w:r>
      <w:r>
        <w:rPr>
          <w:color w:val="231F20"/>
        </w:rPr>
        <w:t xml:space="preserve">а </w:t>
      </w:r>
      <w:r>
        <w:rPr>
          <w:color w:val="231F20"/>
          <w:spacing w:val="-3"/>
        </w:rPr>
        <w:t>також створ</w:t>
      </w:r>
      <w:r>
        <w:rPr>
          <w:color w:val="231F20"/>
          <w:spacing w:val="-3"/>
        </w:rPr>
        <w:t xml:space="preserve">ює умови </w:t>
      </w:r>
      <w:r>
        <w:rPr>
          <w:color w:val="231F20"/>
        </w:rPr>
        <w:t xml:space="preserve">для </w:t>
      </w:r>
      <w:r>
        <w:rPr>
          <w:color w:val="231F20"/>
          <w:spacing w:val="-4"/>
        </w:rPr>
        <w:t xml:space="preserve">усталеності </w:t>
      </w:r>
      <w:r>
        <w:rPr>
          <w:color w:val="231F20"/>
          <w:spacing w:val="-3"/>
        </w:rPr>
        <w:t xml:space="preserve">правозастосування, </w:t>
      </w:r>
      <w:r>
        <w:rPr>
          <w:color w:val="231F20"/>
        </w:rPr>
        <w:t xml:space="preserve">основу для </w:t>
      </w:r>
      <w:r>
        <w:rPr>
          <w:color w:val="231F20"/>
          <w:spacing w:val="-3"/>
        </w:rPr>
        <w:t>стійкості всієї системи права</w:t>
      </w:r>
      <w:r>
        <w:rPr>
          <w:color w:val="231F20"/>
          <w:spacing w:val="-3"/>
          <w:position w:val="7"/>
          <w:sz w:val="12"/>
        </w:rPr>
        <w:t>1</w:t>
      </w:r>
      <w:r>
        <w:rPr>
          <w:color w:val="231F20"/>
          <w:spacing w:val="-3"/>
        </w:rPr>
        <w:t>.</w:t>
      </w:r>
    </w:p>
    <w:p w14:paraId="653A54B5" w14:textId="77777777" w:rsidR="00DE575E" w:rsidRDefault="002E7560">
      <w:pPr>
        <w:pStyle w:val="BodyText"/>
        <w:spacing w:before="2" w:line="252" w:lineRule="auto"/>
        <w:ind w:left="250" w:right="409" w:firstLine="283"/>
        <w:jc w:val="both"/>
      </w:pPr>
      <w:r>
        <w:rPr>
          <w:i/>
          <w:color w:val="231F20"/>
        </w:rPr>
        <w:t>Принцип</w:t>
      </w:r>
      <w:r>
        <w:rPr>
          <w:i/>
          <w:color w:val="231F20"/>
          <w:spacing w:val="-18"/>
        </w:rPr>
        <w:t xml:space="preserve"> </w:t>
      </w:r>
      <w:r>
        <w:rPr>
          <w:i/>
          <w:color w:val="231F20"/>
        </w:rPr>
        <w:t>рівності</w:t>
      </w:r>
      <w:r>
        <w:rPr>
          <w:i/>
          <w:color w:val="231F20"/>
          <w:spacing w:val="-18"/>
        </w:rPr>
        <w:t xml:space="preserve"> </w:t>
      </w:r>
      <w:r>
        <w:rPr>
          <w:color w:val="231F20"/>
        </w:rPr>
        <w:t>передбачає</w:t>
      </w:r>
      <w:r>
        <w:rPr>
          <w:color w:val="231F20"/>
          <w:spacing w:val="-18"/>
        </w:rPr>
        <w:t xml:space="preserve"> </w:t>
      </w:r>
      <w:r>
        <w:rPr>
          <w:color w:val="231F20"/>
        </w:rPr>
        <w:t>заборону</w:t>
      </w:r>
      <w:r>
        <w:rPr>
          <w:color w:val="231F20"/>
          <w:spacing w:val="-18"/>
        </w:rPr>
        <w:t xml:space="preserve"> </w:t>
      </w:r>
      <w:r>
        <w:rPr>
          <w:color w:val="231F20"/>
        </w:rPr>
        <w:t>дискримінації,</w:t>
      </w:r>
      <w:r>
        <w:rPr>
          <w:color w:val="231F20"/>
          <w:spacing w:val="-18"/>
        </w:rPr>
        <w:t xml:space="preserve"> </w:t>
      </w:r>
      <w:r>
        <w:rPr>
          <w:color w:val="231F20"/>
        </w:rPr>
        <w:t xml:space="preserve">відсутність необґрунтованих, безпідставних переваг чи привілеїв для окремих </w:t>
      </w:r>
      <w:r>
        <w:rPr>
          <w:color w:val="231F20"/>
          <w:spacing w:val="-3"/>
        </w:rPr>
        <w:t xml:space="preserve">суб’єктів </w:t>
      </w:r>
      <w:r>
        <w:rPr>
          <w:color w:val="231F20"/>
        </w:rPr>
        <w:t xml:space="preserve">звернення. Це означає, що в процесі надання адміністра- тивних послуг мають дотримуватись умови щодо рівності стосовно переліку документів, оплати, строків надання послуг і </w:t>
      </w:r>
      <w:r>
        <w:rPr>
          <w:color w:val="231F20"/>
          <w:spacing w:val="-9"/>
        </w:rPr>
        <w:t xml:space="preserve">т. </w:t>
      </w:r>
      <w:r>
        <w:rPr>
          <w:color w:val="231F20"/>
        </w:rPr>
        <w:t>ін. Окрім того</w:t>
      </w:r>
      <w:r>
        <w:rPr>
          <w:color w:val="231F20"/>
          <w:spacing w:val="-8"/>
        </w:rPr>
        <w:t xml:space="preserve"> </w:t>
      </w:r>
      <w:r>
        <w:rPr>
          <w:color w:val="231F20"/>
        </w:rPr>
        <w:t>цей</w:t>
      </w:r>
      <w:r>
        <w:rPr>
          <w:color w:val="231F20"/>
          <w:spacing w:val="-8"/>
        </w:rPr>
        <w:t xml:space="preserve"> </w:t>
      </w:r>
      <w:r>
        <w:rPr>
          <w:color w:val="231F20"/>
        </w:rPr>
        <w:t>принцип</w:t>
      </w:r>
      <w:r>
        <w:rPr>
          <w:color w:val="231F20"/>
          <w:spacing w:val="-8"/>
        </w:rPr>
        <w:t xml:space="preserve"> </w:t>
      </w:r>
      <w:r>
        <w:rPr>
          <w:color w:val="231F20"/>
        </w:rPr>
        <w:t>передбачає</w:t>
      </w:r>
      <w:r>
        <w:rPr>
          <w:color w:val="231F20"/>
          <w:spacing w:val="-8"/>
        </w:rPr>
        <w:t xml:space="preserve"> </w:t>
      </w:r>
      <w:r>
        <w:rPr>
          <w:color w:val="231F20"/>
        </w:rPr>
        <w:t>рівність</w:t>
      </w:r>
      <w:r>
        <w:rPr>
          <w:color w:val="231F20"/>
          <w:spacing w:val="-8"/>
        </w:rPr>
        <w:t xml:space="preserve"> </w:t>
      </w:r>
      <w:r>
        <w:rPr>
          <w:color w:val="231F20"/>
          <w:spacing w:val="-3"/>
        </w:rPr>
        <w:t>суб’єктів</w:t>
      </w:r>
      <w:r>
        <w:rPr>
          <w:color w:val="231F20"/>
          <w:spacing w:val="-8"/>
        </w:rPr>
        <w:t xml:space="preserve"> </w:t>
      </w:r>
      <w:r>
        <w:rPr>
          <w:color w:val="231F20"/>
        </w:rPr>
        <w:t>звернення</w:t>
      </w:r>
      <w:r>
        <w:rPr>
          <w:color w:val="231F20"/>
          <w:spacing w:val="-8"/>
        </w:rPr>
        <w:t xml:space="preserve"> </w:t>
      </w:r>
      <w:r>
        <w:rPr>
          <w:color w:val="231F20"/>
        </w:rPr>
        <w:t>і</w:t>
      </w:r>
      <w:r>
        <w:rPr>
          <w:color w:val="231F20"/>
          <w:spacing w:val="-8"/>
        </w:rPr>
        <w:t xml:space="preserve"> </w:t>
      </w:r>
      <w:r>
        <w:rPr>
          <w:color w:val="231F20"/>
          <w:spacing w:val="-3"/>
        </w:rPr>
        <w:t xml:space="preserve">суб’єктів </w:t>
      </w:r>
      <w:r>
        <w:rPr>
          <w:color w:val="231F20"/>
        </w:rPr>
        <w:t>надання адміністративних послуг перед</w:t>
      </w:r>
      <w:r>
        <w:rPr>
          <w:color w:val="231F20"/>
          <w:spacing w:val="-3"/>
        </w:rPr>
        <w:t xml:space="preserve"> </w:t>
      </w:r>
      <w:r>
        <w:rPr>
          <w:color w:val="231F20"/>
        </w:rPr>
        <w:t>законом.</w:t>
      </w:r>
    </w:p>
    <w:p w14:paraId="09D08C0F" w14:textId="77777777" w:rsidR="00DE575E" w:rsidRDefault="002E7560">
      <w:pPr>
        <w:pStyle w:val="BodyText"/>
        <w:spacing w:before="3" w:line="252" w:lineRule="auto"/>
        <w:ind w:left="250" w:right="411" w:firstLine="283"/>
        <w:jc w:val="both"/>
      </w:pPr>
      <w:r>
        <w:rPr>
          <w:i/>
          <w:color w:val="231F20"/>
        </w:rPr>
        <w:t>Принцип</w:t>
      </w:r>
      <w:r>
        <w:rPr>
          <w:i/>
          <w:color w:val="231F20"/>
          <w:spacing w:val="-16"/>
        </w:rPr>
        <w:t xml:space="preserve"> </w:t>
      </w:r>
      <w:r>
        <w:rPr>
          <w:i/>
          <w:color w:val="231F20"/>
        </w:rPr>
        <w:t>відкритості</w:t>
      </w:r>
      <w:r>
        <w:rPr>
          <w:i/>
          <w:color w:val="231F20"/>
          <w:spacing w:val="-16"/>
        </w:rPr>
        <w:t xml:space="preserve"> </w:t>
      </w:r>
      <w:r>
        <w:rPr>
          <w:color w:val="231F20"/>
        </w:rPr>
        <w:t>й</w:t>
      </w:r>
      <w:r>
        <w:rPr>
          <w:color w:val="231F20"/>
          <w:spacing w:val="-16"/>
        </w:rPr>
        <w:t xml:space="preserve"> </w:t>
      </w:r>
      <w:r>
        <w:rPr>
          <w:color w:val="231F20"/>
        </w:rPr>
        <w:t>прозорості</w:t>
      </w:r>
      <w:r>
        <w:rPr>
          <w:color w:val="231F20"/>
          <w:spacing w:val="-16"/>
        </w:rPr>
        <w:t xml:space="preserve"> </w:t>
      </w:r>
      <w:r>
        <w:rPr>
          <w:color w:val="231F20"/>
        </w:rPr>
        <w:t>означає</w:t>
      </w:r>
      <w:r>
        <w:rPr>
          <w:color w:val="231F20"/>
          <w:spacing w:val="-16"/>
        </w:rPr>
        <w:t xml:space="preserve"> </w:t>
      </w:r>
      <w:r>
        <w:rPr>
          <w:color w:val="231F20"/>
        </w:rPr>
        <w:t>можливість</w:t>
      </w:r>
      <w:r>
        <w:rPr>
          <w:color w:val="231F20"/>
          <w:spacing w:val="-16"/>
        </w:rPr>
        <w:t xml:space="preserve"> </w:t>
      </w:r>
      <w:r>
        <w:rPr>
          <w:color w:val="231F20"/>
        </w:rPr>
        <w:t>для</w:t>
      </w:r>
      <w:r>
        <w:rPr>
          <w:color w:val="231F20"/>
          <w:spacing w:val="-16"/>
        </w:rPr>
        <w:t xml:space="preserve"> </w:t>
      </w:r>
      <w:r>
        <w:rPr>
          <w:color w:val="231F20"/>
          <w:spacing w:val="-4"/>
        </w:rPr>
        <w:t xml:space="preserve">суб’єк- </w:t>
      </w:r>
      <w:r>
        <w:rPr>
          <w:color w:val="231F20"/>
        </w:rPr>
        <w:t>тів звернення отримувати всі потрібні їм достовірні відомості про функціонування системи надання адміністративних</w:t>
      </w:r>
      <w:r>
        <w:rPr>
          <w:color w:val="231F20"/>
          <w:spacing w:val="-8"/>
        </w:rPr>
        <w:t xml:space="preserve"> </w:t>
      </w:r>
      <w:r>
        <w:rPr>
          <w:color w:val="231F20"/>
        </w:rPr>
        <w:t>послуг</w:t>
      </w:r>
      <w:r>
        <w:rPr>
          <w:color w:val="231F20"/>
          <w:position w:val="7"/>
          <w:sz w:val="12"/>
        </w:rPr>
        <w:t>2</w:t>
      </w:r>
      <w:r>
        <w:rPr>
          <w:color w:val="231F20"/>
        </w:rPr>
        <w:t>.</w:t>
      </w:r>
    </w:p>
    <w:p w14:paraId="2099C8EF" w14:textId="77777777" w:rsidR="00DE575E" w:rsidRDefault="002E7560">
      <w:pPr>
        <w:pStyle w:val="BodyText"/>
        <w:spacing w:before="2" w:line="252" w:lineRule="auto"/>
        <w:ind w:left="250" w:right="410" w:firstLine="283"/>
        <w:jc w:val="both"/>
      </w:pPr>
      <w:r>
        <w:rPr>
          <w:i/>
          <w:color w:val="231F20"/>
        </w:rPr>
        <w:t xml:space="preserve">Принцип оперативності </w:t>
      </w:r>
      <w:r>
        <w:rPr>
          <w:color w:val="231F20"/>
        </w:rPr>
        <w:t>й своєчасності є правовою вимогою, відповідно до якої забезпечується своєчасність надання адмініст- ративних послуг у часових межах за допомогою найбільш повного  й</w:t>
      </w:r>
      <w:r>
        <w:rPr>
          <w:color w:val="231F20"/>
          <w:spacing w:val="15"/>
        </w:rPr>
        <w:t xml:space="preserve"> </w:t>
      </w:r>
      <w:r>
        <w:rPr>
          <w:color w:val="231F20"/>
        </w:rPr>
        <w:t>раціонального</w:t>
      </w:r>
      <w:r>
        <w:rPr>
          <w:color w:val="231F20"/>
          <w:spacing w:val="15"/>
        </w:rPr>
        <w:t xml:space="preserve"> </w:t>
      </w:r>
      <w:r>
        <w:rPr>
          <w:color w:val="231F20"/>
        </w:rPr>
        <w:t>використання</w:t>
      </w:r>
      <w:r>
        <w:rPr>
          <w:color w:val="231F20"/>
          <w:spacing w:val="15"/>
        </w:rPr>
        <w:t xml:space="preserve"> </w:t>
      </w:r>
      <w:r>
        <w:rPr>
          <w:color w:val="231F20"/>
        </w:rPr>
        <w:t>всіх</w:t>
      </w:r>
      <w:r>
        <w:rPr>
          <w:color w:val="231F20"/>
          <w:spacing w:val="15"/>
        </w:rPr>
        <w:t xml:space="preserve"> </w:t>
      </w:r>
      <w:r>
        <w:rPr>
          <w:color w:val="231F20"/>
        </w:rPr>
        <w:t>правових</w:t>
      </w:r>
      <w:r>
        <w:rPr>
          <w:color w:val="231F20"/>
          <w:spacing w:val="15"/>
        </w:rPr>
        <w:t xml:space="preserve"> </w:t>
      </w:r>
      <w:r>
        <w:rPr>
          <w:color w:val="231F20"/>
        </w:rPr>
        <w:t>засобів,</w:t>
      </w:r>
      <w:r>
        <w:rPr>
          <w:color w:val="231F20"/>
          <w:spacing w:val="15"/>
        </w:rPr>
        <w:t xml:space="preserve"> </w:t>
      </w:r>
      <w:r>
        <w:rPr>
          <w:color w:val="231F20"/>
        </w:rPr>
        <w:t>спрямованих</w:t>
      </w:r>
    </w:p>
    <w:p w14:paraId="46BE361E" w14:textId="77777777" w:rsidR="00DE575E" w:rsidRDefault="00DE575E">
      <w:pPr>
        <w:pStyle w:val="BodyText"/>
        <w:rPr>
          <w:sz w:val="20"/>
        </w:rPr>
      </w:pPr>
    </w:p>
    <w:p w14:paraId="0A2EE6B5" w14:textId="2F6CDBE0" w:rsidR="00DE575E" w:rsidRDefault="002E7560">
      <w:pPr>
        <w:pStyle w:val="BodyText"/>
        <w:spacing w:before="7"/>
        <w:rPr>
          <w:sz w:val="11"/>
        </w:rPr>
      </w:pPr>
      <w:r>
        <w:rPr>
          <w:noProof/>
        </w:rPr>
        <mc:AlternateContent>
          <mc:Choice Requires="wps">
            <w:drawing>
              <wp:anchor distT="0" distB="0" distL="0" distR="0" simplePos="0" relativeHeight="7336" behindDoc="0" locked="0" layoutInCell="1" allowOverlap="1" wp14:anchorId="71B15C69" wp14:editId="151A5CF5">
                <wp:simplePos x="0" y="0"/>
                <wp:positionH relativeFrom="page">
                  <wp:posOffset>539750</wp:posOffset>
                </wp:positionH>
                <wp:positionV relativeFrom="paragraph">
                  <wp:posOffset>114300</wp:posOffset>
                </wp:positionV>
                <wp:extent cx="1080135" cy="0"/>
                <wp:effectExtent l="6350" t="12700" r="31115" b="25400"/>
                <wp:wrapTopAndBottom/>
                <wp:docPr id="964"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0C684" id="Line_x0020_963" o:spid="_x0000_s1026" style="position:absolute;z-index:7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pt" to="127.5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Ezl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" strokecolor="#231f20" strokeweight=".5pt">
                <w10:wrap type="topAndBottom" anchorx="page"/>
              </v:line>
            </w:pict>
          </mc:Fallback>
        </mc:AlternateContent>
      </w:r>
    </w:p>
    <w:p w14:paraId="44555E02"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У сфері надання адмініст</w:t>
      </w:r>
      <w:r>
        <w:rPr>
          <w:color w:val="231F20"/>
          <w:sz w:val="16"/>
        </w:rPr>
        <w:t xml:space="preserve">ративних послуг принцип стабільності забезпечується, зокрема, вимогами ст. 5 Закону України «Про адміністративні послуги», які регулюють суспільні відносини щодо надання адміністративних послуг, що регулюються виключно законом, вимогами до документів щодо </w:t>
      </w:r>
      <w:r>
        <w:rPr>
          <w:color w:val="231F20"/>
          <w:sz w:val="16"/>
        </w:rPr>
        <w:t>послуги (ст. 9), вимогами щодо строків надання адміністративних послуг (ст. 10), вимогами платності (ст. 11).</w:t>
      </w:r>
    </w:p>
    <w:p w14:paraId="1A044BAB" w14:textId="77777777" w:rsidR="00DE575E" w:rsidRDefault="002E7560">
      <w:pPr>
        <w:spacing w:before="28" w:line="204" w:lineRule="auto"/>
        <w:ind w:left="250" w:right="411"/>
        <w:jc w:val="both"/>
        <w:rPr>
          <w:sz w:val="16"/>
        </w:rPr>
      </w:pPr>
      <w:r>
        <w:rPr>
          <w:color w:val="231F20"/>
          <w:position w:val="5"/>
          <w:sz w:val="9"/>
        </w:rPr>
        <w:t xml:space="preserve">2 </w:t>
      </w:r>
      <w:r>
        <w:rPr>
          <w:color w:val="231F20"/>
          <w:sz w:val="16"/>
        </w:rPr>
        <w:t>Вимогам відкритості, прозорості відповідають норми переважної більшості статей Закону України «Про адміністративні послуги». Це стосується ст. 6</w:t>
      </w:r>
      <w:r>
        <w:rPr>
          <w:color w:val="231F20"/>
          <w:sz w:val="16"/>
        </w:rPr>
        <w:t xml:space="preserve"> щодо прав суб’єктів звернення на безоплатне отримання інформації про надання адміністративних послуг та обов’язків суб’єктів надання таких послуг щодо забезпечення реалізації суб’єктами звер- нення таких прав і ст. 8 щодо інформаційної картки адміністрати</w:t>
      </w:r>
      <w:r>
        <w:rPr>
          <w:color w:val="231F20"/>
          <w:sz w:val="16"/>
        </w:rPr>
        <w:t>вної послуги.</w:t>
      </w:r>
    </w:p>
    <w:p w14:paraId="31D7A9E7" w14:textId="77777777" w:rsidR="00DE575E" w:rsidRDefault="00DE575E">
      <w:pPr>
        <w:pStyle w:val="BodyText"/>
        <w:spacing w:before="6"/>
        <w:rPr>
          <w:sz w:val="12"/>
        </w:rPr>
      </w:pPr>
    </w:p>
    <w:p w14:paraId="399DC109" w14:textId="77777777" w:rsidR="00DE575E" w:rsidRDefault="002E7560">
      <w:pPr>
        <w:spacing w:before="92"/>
        <w:ind w:right="411"/>
        <w:jc w:val="right"/>
        <w:rPr>
          <w:rFonts w:ascii="Times New Roman"/>
          <w:sz w:val="20"/>
        </w:rPr>
      </w:pPr>
      <w:r>
        <w:rPr>
          <w:rFonts w:ascii="Times New Roman"/>
          <w:color w:val="231F20"/>
          <w:w w:val="90"/>
          <w:sz w:val="20"/>
        </w:rPr>
        <w:t>181</w:t>
      </w:r>
    </w:p>
    <w:p w14:paraId="74033FF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BBB0FA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2543072" w14:textId="31E4871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C331C0F" wp14:editId="01BFB08B">
                <wp:extent cx="4140200" cy="6350"/>
                <wp:effectExtent l="0" t="0" r="12700" b="6350"/>
                <wp:docPr id="962"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63" name="Line 96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AAC26C" id="Group_x0020_96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sIZXHfQIAAJgFAAAOAAAA&#10;AAAAAAAAAAAAACwCAABkcnMvZTJvRG9jLnhtbFBLAQItABQABgAIAAAAIQBMp7CQ2QAAAAMBAAAP&#10;AAAAAAAAAAAAAAAAANUEAABkcnMvZG93bnJldi54bWxQSwUGAAAAAAQABADzAAAA2wUAAAAA&#10;">
                <v:line id="Line_x0020_96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drkcYAAADcAAAADwAAAGRycy9kb3ducmV2LnhtbESP3WrCQBSE74W+w3IKvRHdtAHR6Cql&#10;UCi98C8+wDF7TEJ3z8bsatI+fVcQvBxm5htmseqtEVdqfe1Ywes4AUFcOF1zqeCQf46mIHxA1mgc&#10;k4Jf8rBaPg0WmGnX8Y6u+1CKCGGfoYIqhCaT0hcVWfRj1xBH7+RaiyHKtpS6xS7CrZFvSTKRFmuO&#10;CxU29FFR8bO/WAX5eRjMdvNtunxzTOXxvE7/LmulXp779zmIQH14hO/tL61gNkn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Xa5HGAAAA3AAAAA8AAAAAAAAA&#10;AAAAAAAAoQIAAGRycy9kb3ducmV2LnhtbFBLBQYAAAAABAAEAPkAAACUAwAAAAA=&#10;" strokecolor="#231f20" strokeweight=".5pt"/>
                <w10:anchorlock/>
              </v:group>
            </w:pict>
          </mc:Fallback>
        </mc:AlternateContent>
      </w:r>
    </w:p>
    <w:p w14:paraId="42D3306C" w14:textId="77777777" w:rsidR="00DE575E" w:rsidRDefault="00DE575E">
      <w:pPr>
        <w:pStyle w:val="BodyText"/>
        <w:spacing w:before="7"/>
        <w:rPr>
          <w:rFonts w:ascii="AdonisC"/>
          <w:i/>
          <w:sz w:val="11"/>
        </w:rPr>
      </w:pPr>
    </w:p>
    <w:p w14:paraId="3AF5831D" w14:textId="77777777" w:rsidR="00DE575E" w:rsidRDefault="002E7560">
      <w:pPr>
        <w:pStyle w:val="BodyText"/>
        <w:spacing w:before="101" w:line="252" w:lineRule="auto"/>
        <w:ind w:left="533"/>
      </w:pPr>
      <w:r>
        <w:rPr>
          <w:color w:val="231F20"/>
        </w:rPr>
        <w:t>на швидке та якісне отримання суб’єктом звернення відповідної послуги</w:t>
      </w:r>
      <w:r>
        <w:rPr>
          <w:color w:val="231F20"/>
          <w:position w:val="7"/>
          <w:sz w:val="12"/>
        </w:rPr>
        <w:t>1</w:t>
      </w:r>
      <w:r>
        <w:rPr>
          <w:color w:val="231F20"/>
        </w:rPr>
        <w:t>.</w:t>
      </w:r>
    </w:p>
    <w:p w14:paraId="77B3CE3E" w14:textId="77777777" w:rsidR="00DE575E" w:rsidRDefault="002E7560">
      <w:pPr>
        <w:pStyle w:val="BodyText"/>
        <w:spacing w:before="1" w:line="252" w:lineRule="auto"/>
        <w:ind w:left="533" w:right="127" w:firstLine="283"/>
        <w:jc w:val="both"/>
      </w:pPr>
      <w:r>
        <w:rPr>
          <w:i/>
          <w:color w:val="231F20"/>
        </w:rPr>
        <w:t xml:space="preserve">Принцип доступності </w:t>
      </w:r>
      <w:r>
        <w:rPr>
          <w:color w:val="231F20"/>
        </w:rPr>
        <w:t xml:space="preserve">інформації полягає в цілеспрямованому поширенні </w:t>
      </w:r>
      <w:r>
        <w:rPr>
          <w:color w:val="231F20"/>
          <w:spacing w:val="-3"/>
        </w:rPr>
        <w:t xml:space="preserve">суб’єктами </w:t>
      </w:r>
      <w:r>
        <w:rPr>
          <w:color w:val="231F20"/>
        </w:rPr>
        <w:t>надання адміністративних послуг інформа- ції</w:t>
      </w:r>
      <w:r>
        <w:rPr>
          <w:color w:val="231F20"/>
          <w:spacing w:val="-6"/>
        </w:rPr>
        <w:t xml:space="preserve"> </w:t>
      </w:r>
      <w:r>
        <w:rPr>
          <w:color w:val="231F20"/>
        </w:rPr>
        <w:t>стосовно</w:t>
      </w:r>
      <w:r>
        <w:rPr>
          <w:color w:val="231F20"/>
          <w:spacing w:val="-7"/>
        </w:rPr>
        <w:t xml:space="preserve"> </w:t>
      </w:r>
      <w:r>
        <w:rPr>
          <w:color w:val="231F20"/>
        </w:rPr>
        <w:t>переліку</w:t>
      </w:r>
      <w:r>
        <w:rPr>
          <w:color w:val="231F20"/>
          <w:spacing w:val="-7"/>
        </w:rPr>
        <w:t xml:space="preserve"> </w:t>
      </w:r>
      <w:r>
        <w:rPr>
          <w:color w:val="231F20"/>
        </w:rPr>
        <w:t>адміністративних</w:t>
      </w:r>
      <w:r>
        <w:rPr>
          <w:color w:val="231F20"/>
          <w:spacing w:val="-6"/>
        </w:rPr>
        <w:t xml:space="preserve"> </w:t>
      </w:r>
      <w:r>
        <w:rPr>
          <w:color w:val="231F20"/>
        </w:rPr>
        <w:t>послуг</w:t>
      </w:r>
      <w:r>
        <w:rPr>
          <w:color w:val="231F20"/>
          <w:spacing w:val="-7"/>
        </w:rPr>
        <w:t xml:space="preserve"> </w:t>
      </w:r>
      <w:r>
        <w:rPr>
          <w:color w:val="231F20"/>
        </w:rPr>
        <w:t>і</w:t>
      </w:r>
      <w:r>
        <w:rPr>
          <w:color w:val="231F20"/>
          <w:spacing w:val="-6"/>
        </w:rPr>
        <w:t xml:space="preserve"> </w:t>
      </w:r>
      <w:r>
        <w:rPr>
          <w:color w:val="231F20"/>
        </w:rPr>
        <w:t>порядку</w:t>
      </w:r>
      <w:r>
        <w:rPr>
          <w:color w:val="231F20"/>
          <w:spacing w:val="-6"/>
        </w:rPr>
        <w:t xml:space="preserve"> </w:t>
      </w:r>
      <w:r>
        <w:rPr>
          <w:color w:val="231F20"/>
        </w:rPr>
        <w:t xml:space="preserve">функціону- вання </w:t>
      </w:r>
      <w:r>
        <w:rPr>
          <w:color w:val="231F20"/>
          <w:spacing w:val="-3"/>
        </w:rPr>
        <w:t xml:space="preserve">суб’єктів </w:t>
      </w:r>
      <w:r>
        <w:rPr>
          <w:color w:val="231F20"/>
        </w:rPr>
        <w:t>надання таких</w:t>
      </w:r>
      <w:r>
        <w:rPr>
          <w:color w:val="231F20"/>
          <w:spacing w:val="-1"/>
        </w:rPr>
        <w:t xml:space="preserve"> </w:t>
      </w:r>
      <w:r>
        <w:rPr>
          <w:color w:val="231F20"/>
        </w:rPr>
        <w:t>послуг</w:t>
      </w:r>
      <w:r>
        <w:rPr>
          <w:color w:val="231F20"/>
          <w:position w:val="7"/>
          <w:sz w:val="12"/>
        </w:rPr>
        <w:t>2</w:t>
      </w:r>
      <w:r>
        <w:rPr>
          <w:color w:val="231F20"/>
        </w:rPr>
        <w:t>.</w:t>
      </w:r>
    </w:p>
    <w:p w14:paraId="47FC1124" w14:textId="77777777" w:rsidR="00DE575E" w:rsidRDefault="002E7560">
      <w:pPr>
        <w:pStyle w:val="BodyText"/>
        <w:spacing w:before="2" w:line="252" w:lineRule="auto"/>
        <w:ind w:left="533" w:right="127" w:firstLine="283"/>
        <w:jc w:val="both"/>
      </w:pPr>
      <w:r>
        <w:rPr>
          <w:i/>
          <w:color w:val="231F20"/>
        </w:rPr>
        <w:t xml:space="preserve">Принцип захищеності </w:t>
      </w:r>
      <w:r>
        <w:rPr>
          <w:color w:val="231F20"/>
        </w:rPr>
        <w:t>персональних даних означає, що суб’єкти надання послуг мають дотримуватися вимог Закону «Про захист персональних даних».</w:t>
      </w:r>
    </w:p>
    <w:p w14:paraId="2C2A6C38" w14:textId="77777777" w:rsidR="00DE575E" w:rsidRDefault="002E7560">
      <w:pPr>
        <w:pStyle w:val="BodyText"/>
        <w:spacing w:before="1" w:line="252" w:lineRule="auto"/>
        <w:ind w:left="461" w:right="127" w:firstLine="283"/>
        <w:jc w:val="right"/>
      </w:pPr>
      <w:r>
        <w:rPr>
          <w:i/>
          <w:color w:val="231F20"/>
        </w:rPr>
        <w:t xml:space="preserve">Принцип раціональної мінімізації кількості документів </w:t>
      </w:r>
      <w:r>
        <w:rPr>
          <w:color w:val="231F20"/>
        </w:rPr>
        <w:t xml:space="preserve">та проце- дурних дій, що вимагаються для отримання адміністративних послуг, передбачає чітко визначений перелік документів, потрібних для отримання адміністративної послуги, та зменшення їх кількості; </w:t>
      </w:r>
      <w:r>
        <w:rPr>
          <w:i/>
          <w:color w:val="231F20"/>
        </w:rPr>
        <w:t>П</w:t>
      </w:r>
      <w:r>
        <w:rPr>
          <w:i/>
          <w:color w:val="231F20"/>
        </w:rPr>
        <w:t xml:space="preserve">ринцип доступності та зручності </w:t>
      </w:r>
      <w:r>
        <w:rPr>
          <w:color w:val="231F20"/>
        </w:rPr>
        <w:t>адміністративних послуг передбачає наявність умов, які забезпечують можливість доступу до адміністративних послуг якомога більшій кількості суб’єктів звер- нень, а також максимально доступний та комфортний спосіб одер-</w:t>
      </w:r>
    </w:p>
    <w:p w14:paraId="72866786" w14:textId="77777777" w:rsidR="00DE575E" w:rsidRDefault="002E7560">
      <w:pPr>
        <w:pStyle w:val="BodyText"/>
        <w:spacing w:before="4"/>
        <w:ind w:left="533"/>
      </w:pPr>
      <w:r>
        <w:rPr>
          <w:color w:val="231F20"/>
        </w:rPr>
        <w:t>жання</w:t>
      </w:r>
      <w:r>
        <w:rPr>
          <w:color w:val="231F20"/>
        </w:rPr>
        <w:t xml:space="preserve"> адміністративної послуги</w:t>
      </w:r>
      <w:r>
        <w:rPr>
          <w:color w:val="231F20"/>
          <w:position w:val="7"/>
          <w:sz w:val="12"/>
        </w:rPr>
        <w:t>3</w:t>
      </w:r>
      <w:r>
        <w:rPr>
          <w:color w:val="231F20"/>
        </w:rPr>
        <w:t>.</w:t>
      </w:r>
    </w:p>
    <w:p w14:paraId="293E6EF3" w14:textId="77777777" w:rsidR="00DE575E" w:rsidRDefault="002E7560">
      <w:pPr>
        <w:pStyle w:val="BodyText"/>
        <w:spacing w:before="13" w:line="252" w:lineRule="auto"/>
        <w:ind w:left="533" w:right="127" w:firstLine="283"/>
        <w:jc w:val="both"/>
      </w:pPr>
      <w:r>
        <w:rPr>
          <w:color w:val="231F20"/>
        </w:rPr>
        <w:t xml:space="preserve">Зауважимо, що у ст. 4 Закону України «Про адміністративні послуги» не наведено такого принципу, як якість надання адмініст- ративних послуг. Уважаємо, що цей принцип випливає з принципів відкритості та прозорості, оперативності </w:t>
      </w:r>
      <w:r>
        <w:rPr>
          <w:color w:val="231F20"/>
        </w:rPr>
        <w:t>та своєчасності, доступно- сті інформації про надання адміністративних послуг, доступності та зручності для суб’єктів звернень.</w:t>
      </w:r>
    </w:p>
    <w:p w14:paraId="5B333013" w14:textId="77777777" w:rsidR="00DE575E" w:rsidRDefault="00DE575E">
      <w:pPr>
        <w:pStyle w:val="BodyText"/>
        <w:rPr>
          <w:sz w:val="20"/>
        </w:rPr>
      </w:pPr>
    </w:p>
    <w:p w14:paraId="55C833E6" w14:textId="35CB415D" w:rsidR="00DE575E" w:rsidRDefault="002E7560">
      <w:pPr>
        <w:pStyle w:val="BodyText"/>
        <w:spacing w:before="10"/>
        <w:rPr>
          <w:sz w:val="13"/>
        </w:rPr>
      </w:pPr>
      <w:r>
        <w:rPr>
          <w:noProof/>
        </w:rPr>
        <mc:AlternateContent>
          <mc:Choice Requires="wps">
            <w:drawing>
              <wp:anchor distT="0" distB="0" distL="0" distR="0" simplePos="0" relativeHeight="7384" behindDoc="0" locked="0" layoutInCell="1" allowOverlap="1" wp14:anchorId="1116F98F" wp14:editId="4773853D">
                <wp:simplePos x="0" y="0"/>
                <wp:positionH relativeFrom="page">
                  <wp:posOffset>719455</wp:posOffset>
                </wp:positionH>
                <wp:positionV relativeFrom="paragraph">
                  <wp:posOffset>130810</wp:posOffset>
                </wp:positionV>
                <wp:extent cx="1080135" cy="0"/>
                <wp:effectExtent l="8255" t="16510" r="29210" b="21590"/>
                <wp:wrapTopAndBottom/>
                <wp:docPr id="961"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FB3B4" id="Line_x0020_960" o:spid="_x0000_s1026" style="position:absolute;z-index:7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pt" to="141.7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" strokecolor="#231f20" strokeweight=".5pt">
                <w10:wrap type="topAndBottom" anchorx="page"/>
              </v:line>
            </w:pict>
          </mc:Fallback>
        </mc:AlternateContent>
      </w:r>
    </w:p>
    <w:p w14:paraId="7C7BE714" w14:textId="77777777" w:rsidR="00DE575E" w:rsidRDefault="002E7560">
      <w:pPr>
        <w:spacing w:line="204" w:lineRule="auto"/>
        <w:ind w:left="533" w:right="125"/>
        <w:jc w:val="both"/>
        <w:rPr>
          <w:sz w:val="16"/>
        </w:rPr>
      </w:pPr>
      <w:r>
        <w:rPr>
          <w:color w:val="231F20"/>
          <w:position w:val="5"/>
          <w:sz w:val="9"/>
        </w:rPr>
        <w:t xml:space="preserve">1 </w:t>
      </w:r>
      <w:r>
        <w:rPr>
          <w:color w:val="231F20"/>
          <w:sz w:val="16"/>
        </w:rPr>
        <w:t>Цей принцип втілено у нормах Закону України «Про адміністративні послуги», які стосуються строків виконання тих чи інших ді</w:t>
      </w:r>
      <w:r>
        <w:rPr>
          <w:color w:val="231F20"/>
          <w:sz w:val="16"/>
        </w:rPr>
        <w:t>й (строки виконання окремих етапів (дії, рішення)</w:t>
      </w:r>
      <w:r>
        <w:rPr>
          <w:color w:val="231F20"/>
          <w:spacing w:val="-4"/>
          <w:sz w:val="16"/>
        </w:rPr>
        <w:t xml:space="preserve"> </w:t>
      </w:r>
      <w:r>
        <w:rPr>
          <w:color w:val="231F20"/>
          <w:sz w:val="16"/>
        </w:rPr>
        <w:t>у</w:t>
      </w:r>
      <w:r>
        <w:rPr>
          <w:color w:val="231F20"/>
          <w:spacing w:val="-3"/>
          <w:sz w:val="16"/>
        </w:rPr>
        <w:t xml:space="preserve"> </w:t>
      </w:r>
      <w:r>
        <w:rPr>
          <w:color w:val="231F20"/>
          <w:sz w:val="16"/>
        </w:rPr>
        <w:t>межах</w:t>
      </w:r>
      <w:r>
        <w:rPr>
          <w:color w:val="231F20"/>
          <w:spacing w:val="-3"/>
          <w:sz w:val="16"/>
        </w:rPr>
        <w:t xml:space="preserve"> </w:t>
      </w:r>
      <w:r>
        <w:rPr>
          <w:color w:val="231F20"/>
          <w:sz w:val="16"/>
        </w:rPr>
        <w:t>процедури</w:t>
      </w:r>
      <w:r>
        <w:rPr>
          <w:color w:val="231F20"/>
          <w:spacing w:val="-3"/>
          <w:sz w:val="16"/>
        </w:rPr>
        <w:t xml:space="preserve"> </w:t>
      </w:r>
      <w:r>
        <w:rPr>
          <w:color w:val="231F20"/>
          <w:sz w:val="16"/>
        </w:rPr>
        <w:t>розгляду</w:t>
      </w:r>
      <w:r>
        <w:rPr>
          <w:color w:val="231F20"/>
          <w:spacing w:val="-3"/>
          <w:sz w:val="16"/>
        </w:rPr>
        <w:t xml:space="preserve"> </w:t>
      </w:r>
      <w:r>
        <w:rPr>
          <w:color w:val="231F20"/>
          <w:sz w:val="16"/>
        </w:rPr>
        <w:t>справи</w:t>
      </w:r>
      <w:r>
        <w:rPr>
          <w:color w:val="231F20"/>
          <w:spacing w:val="-3"/>
          <w:sz w:val="16"/>
        </w:rPr>
        <w:t xml:space="preserve"> </w:t>
      </w:r>
      <w:r>
        <w:rPr>
          <w:color w:val="231F20"/>
          <w:sz w:val="16"/>
        </w:rPr>
        <w:t>про</w:t>
      </w:r>
      <w:r>
        <w:rPr>
          <w:color w:val="231F20"/>
          <w:spacing w:val="-3"/>
          <w:sz w:val="16"/>
        </w:rPr>
        <w:t xml:space="preserve"> </w:t>
      </w:r>
      <w:r>
        <w:rPr>
          <w:color w:val="231F20"/>
          <w:sz w:val="16"/>
        </w:rPr>
        <w:t>надання</w:t>
      </w:r>
      <w:r>
        <w:rPr>
          <w:color w:val="231F20"/>
          <w:spacing w:val="-3"/>
          <w:sz w:val="16"/>
        </w:rPr>
        <w:t xml:space="preserve"> </w:t>
      </w:r>
      <w:r>
        <w:rPr>
          <w:color w:val="231F20"/>
          <w:sz w:val="16"/>
        </w:rPr>
        <w:t>послуги</w:t>
      </w:r>
      <w:r>
        <w:rPr>
          <w:color w:val="231F20"/>
          <w:spacing w:val="-3"/>
          <w:sz w:val="16"/>
        </w:rPr>
        <w:t xml:space="preserve"> </w:t>
      </w:r>
      <w:r>
        <w:rPr>
          <w:color w:val="231F20"/>
          <w:sz w:val="16"/>
        </w:rPr>
        <w:t>(п.</w:t>
      </w:r>
      <w:r>
        <w:rPr>
          <w:color w:val="231F20"/>
          <w:spacing w:val="-6"/>
          <w:sz w:val="16"/>
        </w:rPr>
        <w:t xml:space="preserve"> </w:t>
      </w:r>
      <w:r>
        <w:rPr>
          <w:color w:val="231F20"/>
          <w:sz w:val="16"/>
        </w:rPr>
        <w:t>4</w:t>
      </w:r>
      <w:r>
        <w:rPr>
          <w:color w:val="231F20"/>
          <w:spacing w:val="-3"/>
          <w:sz w:val="16"/>
        </w:rPr>
        <w:t xml:space="preserve"> </w:t>
      </w:r>
      <w:r>
        <w:rPr>
          <w:color w:val="231F20"/>
          <w:sz w:val="16"/>
        </w:rPr>
        <w:t>ч.</w:t>
      </w:r>
      <w:r>
        <w:rPr>
          <w:color w:val="231F20"/>
          <w:spacing w:val="-6"/>
          <w:sz w:val="16"/>
        </w:rPr>
        <w:t xml:space="preserve"> </w:t>
      </w:r>
      <w:r>
        <w:rPr>
          <w:color w:val="231F20"/>
          <w:sz w:val="16"/>
        </w:rPr>
        <w:t>3</w:t>
      </w:r>
      <w:r>
        <w:rPr>
          <w:color w:val="231F20"/>
          <w:spacing w:val="-3"/>
          <w:sz w:val="16"/>
        </w:rPr>
        <w:t xml:space="preserve"> </w:t>
      </w:r>
      <w:r>
        <w:rPr>
          <w:color w:val="231F20"/>
          <w:spacing w:val="-5"/>
          <w:sz w:val="16"/>
        </w:rPr>
        <w:t>ст.</w:t>
      </w:r>
      <w:r>
        <w:rPr>
          <w:color w:val="231F20"/>
          <w:spacing w:val="-6"/>
          <w:sz w:val="16"/>
        </w:rPr>
        <w:t xml:space="preserve"> </w:t>
      </w:r>
      <w:r>
        <w:rPr>
          <w:color w:val="231F20"/>
          <w:sz w:val="16"/>
        </w:rPr>
        <w:t>8);</w:t>
      </w:r>
      <w:r>
        <w:rPr>
          <w:color w:val="231F20"/>
          <w:spacing w:val="-3"/>
          <w:sz w:val="16"/>
        </w:rPr>
        <w:t xml:space="preserve"> </w:t>
      </w:r>
      <w:r>
        <w:rPr>
          <w:color w:val="231F20"/>
          <w:sz w:val="16"/>
        </w:rPr>
        <w:t>відомо- стей</w:t>
      </w:r>
      <w:r>
        <w:rPr>
          <w:color w:val="231F20"/>
          <w:spacing w:val="-8"/>
          <w:sz w:val="16"/>
        </w:rPr>
        <w:t xml:space="preserve"> </w:t>
      </w:r>
      <w:r>
        <w:rPr>
          <w:color w:val="231F20"/>
          <w:sz w:val="16"/>
        </w:rPr>
        <w:t>про</w:t>
      </w:r>
      <w:r>
        <w:rPr>
          <w:color w:val="231F20"/>
          <w:spacing w:val="-8"/>
          <w:sz w:val="16"/>
        </w:rPr>
        <w:t xml:space="preserve"> </w:t>
      </w:r>
      <w:r>
        <w:rPr>
          <w:color w:val="231F20"/>
          <w:sz w:val="16"/>
        </w:rPr>
        <w:t>строк</w:t>
      </w:r>
      <w:r>
        <w:rPr>
          <w:color w:val="231F20"/>
          <w:spacing w:val="-8"/>
          <w:sz w:val="16"/>
        </w:rPr>
        <w:t xml:space="preserve"> </w:t>
      </w:r>
      <w:r>
        <w:rPr>
          <w:color w:val="231F20"/>
          <w:sz w:val="16"/>
        </w:rPr>
        <w:t>надання</w:t>
      </w:r>
      <w:r>
        <w:rPr>
          <w:color w:val="231F20"/>
          <w:spacing w:val="-8"/>
          <w:sz w:val="16"/>
        </w:rPr>
        <w:t xml:space="preserve"> </w:t>
      </w:r>
      <w:r>
        <w:rPr>
          <w:color w:val="231F20"/>
          <w:sz w:val="16"/>
        </w:rPr>
        <w:t>послуги</w:t>
      </w:r>
      <w:r>
        <w:rPr>
          <w:color w:val="231F20"/>
          <w:spacing w:val="-9"/>
          <w:sz w:val="16"/>
        </w:rPr>
        <w:t xml:space="preserve"> </w:t>
      </w:r>
      <w:r>
        <w:rPr>
          <w:color w:val="231F20"/>
          <w:sz w:val="16"/>
        </w:rPr>
        <w:t>в</w:t>
      </w:r>
      <w:r>
        <w:rPr>
          <w:color w:val="231F20"/>
          <w:spacing w:val="-9"/>
          <w:sz w:val="16"/>
        </w:rPr>
        <w:t xml:space="preserve"> </w:t>
      </w:r>
      <w:r>
        <w:rPr>
          <w:color w:val="231F20"/>
          <w:sz w:val="16"/>
        </w:rPr>
        <w:t>інформаційній</w:t>
      </w:r>
      <w:r>
        <w:rPr>
          <w:color w:val="231F20"/>
          <w:spacing w:val="-9"/>
          <w:sz w:val="16"/>
        </w:rPr>
        <w:t xml:space="preserve"> </w:t>
      </w:r>
      <w:r>
        <w:rPr>
          <w:color w:val="231F20"/>
          <w:sz w:val="16"/>
        </w:rPr>
        <w:t>картці</w:t>
      </w:r>
      <w:r>
        <w:rPr>
          <w:color w:val="231F20"/>
          <w:spacing w:val="-9"/>
          <w:sz w:val="16"/>
        </w:rPr>
        <w:t xml:space="preserve"> </w:t>
      </w:r>
      <w:r>
        <w:rPr>
          <w:color w:val="231F20"/>
          <w:sz w:val="16"/>
        </w:rPr>
        <w:t>(п.</w:t>
      </w:r>
      <w:r>
        <w:rPr>
          <w:color w:val="231F20"/>
          <w:spacing w:val="-5"/>
          <w:sz w:val="16"/>
        </w:rPr>
        <w:t xml:space="preserve"> </w:t>
      </w:r>
      <w:r>
        <w:rPr>
          <w:color w:val="231F20"/>
          <w:sz w:val="16"/>
        </w:rPr>
        <w:t>4</w:t>
      </w:r>
      <w:r>
        <w:rPr>
          <w:color w:val="231F20"/>
          <w:spacing w:val="-8"/>
          <w:sz w:val="16"/>
        </w:rPr>
        <w:t xml:space="preserve"> </w:t>
      </w:r>
      <w:r>
        <w:rPr>
          <w:color w:val="231F20"/>
          <w:sz w:val="16"/>
        </w:rPr>
        <w:t>ч.</w:t>
      </w:r>
      <w:r>
        <w:rPr>
          <w:color w:val="231F20"/>
          <w:spacing w:val="-5"/>
          <w:sz w:val="16"/>
        </w:rPr>
        <w:t xml:space="preserve"> </w:t>
      </w:r>
      <w:r>
        <w:rPr>
          <w:color w:val="231F20"/>
          <w:sz w:val="16"/>
        </w:rPr>
        <w:t>2</w:t>
      </w:r>
      <w:r>
        <w:rPr>
          <w:color w:val="231F20"/>
          <w:spacing w:val="-8"/>
          <w:sz w:val="16"/>
        </w:rPr>
        <w:t xml:space="preserve"> </w:t>
      </w:r>
      <w:r>
        <w:rPr>
          <w:color w:val="231F20"/>
          <w:spacing w:val="-5"/>
          <w:sz w:val="16"/>
        </w:rPr>
        <w:t xml:space="preserve">ст. </w:t>
      </w:r>
      <w:r>
        <w:rPr>
          <w:color w:val="231F20"/>
          <w:sz w:val="16"/>
        </w:rPr>
        <w:t>8);</w:t>
      </w:r>
      <w:r>
        <w:rPr>
          <w:color w:val="231F20"/>
          <w:spacing w:val="-8"/>
          <w:sz w:val="16"/>
        </w:rPr>
        <w:t xml:space="preserve"> </w:t>
      </w:r>
      <w:r>
        <w:rPr>
          <w:color w:val="231F20"/>
          <w:sz w:val="16"/>
        </w:rPr>
        <w:t>вимог</w:t>
      </w:r>
      <w:r>
        <w:rPr>
          <w:color w:val="231F20"/>
          <w:spacing w:val="-9"/>
          <w:sz w:val="16"/>
        </w:rPr>
        <w:t xml:space="preserve"> </w:t>
      </w:r>
      <w:r>
        <w:rPr>
          <w:color w:val="231F20"/>
          <w:sz w:val="16"/>
        </w:rPr>
        <w:t>щодо</w:t>
      </w:r>
      <w:r>
        <w:rPr>
          <w:color w:val="231F20"/>
          <w:spacing w:val="-8"/>
          <w:sz w:val="16"/>
        </w:rPr>
        <w:t xml:space="preserve"> </w:t>
      </w:r>
      <w:r>
        <w:rPr>
          <w:color w:val="231F20"/>
          <w:sz w:val="16"/>
        </w:rPr>
        <w:t xml:space="preserve">гранич- ного строку надання послуги, які зорієнтовані насамперед на вимогу своєчасності (ч.ч. 1  і 2 </w:t>
      </w:r>
      <w:r>
        <w:rPr>
          <w:color w:val="231F20"/>
          <w:spacing w:val="-5"/>
          <w:sz w:val="16"/>
        </w:rPr>
        <w:t xml:space="preserve">ст. </w:t>
      </w:r>
      <w:r>
        <w:rPr>
          <w:color w:val="231F20"/>
          <w:sz w:val="16"/>
        </w:rPr>
        <w:t xml:space="preserve">10); необхідності надання послуги в найкоротший строк і за мінімальної кількості відвідувань суб’єктом звернення, що є вимогою оперативності (ч. 3 </w:t>
      </w:r>
      <w:r>
        <w:rPr>
          <w:color w:val="231F20"/>
          <w:spacing w:val="-5"/>
          <w:sz w:val="16"/>
        </w:rPr>
        <w:t>ст.</w:t>
      </w:r>
      <w:r>
        <w:rPr>
          <w:color w:val="231F20"/>
          <w:spacing w:val="-20"/>
          <w:sz w:val="16"/>
        </w:rPr>
        <w:t xml:space="preserve"> </w:t>
      </w:r>
      <w:r>
        <w:rPr>
          <w:color w:val="231F20"/>
          <w:sz w:val="16"/>
        </w:rPr>
        <w:t>10).</w:t>
      </w:r>
    </w:p>
    <w:p w14:paraId="385CD304" w14:textId="77777777" w:rsidR="00DE575E" w:rsidRDefault="002E7560">
      <w:pPr>
        <w:spacing w:before="29" w:line="204" w:lineRule="auto"/>
        <w:ind w:left="533" w:right="127"/>
        <w:jc w:val="both"/>
        <w:rPr>
          <w:sz w:val="16"/>
        </w:rPr>
      </w:pPr>
      <w:r>
        <w:rPr>
          <w:color w:val="231F20"/>
          <w:position w:val="5"/>
          <w:sz w:val="9"/>
        </w:rPr>
        <w:t xml:space="preserve">2 </w:t>
      </w:r>
      <w:r>
        <w:rPr>
          <w:color w:val="231F20"/>
          <w:sz w:val="16"/>
        </w:rPr>
        <w:t xml:space="preserve">У Законі «Про адміністративні послуги» цей принцип відбито в нормах, які визнача-  ють конкретний порядок врегулювання тих чи інших аспектів надання адміністратив- них послуг, зокрема порядок надання адміністративних послуг </w:t>
      </w:r>
      <w:r>
        <w:rPr>
          <w:color w:val="231F20"/>
          <w:spacing w:val="-4"/>
          <w:sz w:val="16"/>
        </w:rPr>
        <w:t xml:space="preserve">(ст. </w:t>
      </w:r>
      <w:r>
        <w:rPr>
          <w:color w:val="231F20"/>
          <w:sz w:val="16"/>
        </w:rPr>
        <w:t>9), строки їх наданн</w:t>
      </w:r>
      <w:r>
        <w:rPr>
          <w:color w:val="231F20"/>
          <w:sz w:val="16"/>
        </w:rPr>
        <w:t xml:space="preserve">я </w:t>
      </w:r>
      <w:r>
        <w:rPr>
          <w:color w:val="231F20"/>
          <w:spacing w:val="-4"/>
          <w:sz w:val="16"/>
        </w:rPr>
        <w:t xml:space="preserve">(ст. </w:t>
      </w:r>
      <w:r>
        <w:rPr>
          <w:color w:val="231F20"/>
          <w:sz w:val="16"/>
        </w:rPr>
        <w:t xml:space="preserve">10), питання платності та безоплатності адміністративних послуг </w:t>
      </w:r>
      <w:r>
        <w:rPr>
          <w:color w:val="231F20"/>
          <w:spacing w:val="-4"/>
          <w:sz w:val="16"/>
        </w:rPr>
        <w:t xml:space="preserve">(ст. </w:t>
      </w:r>
      <w:r>
        <w:rPr>
          <w:color w:val="231F20"/>
          <w:sz w:val="16"/>
        </w:rPr>
        <w:t xml:space="preserve">11), правові засади діяльності ЦНАП </w:t>
      </w:r>
      <w:r>
        <w:rPr>
          <w:color w:val="231F20"/>
          <w:spacing w:val="-4"/>
          <w:sz w:val="16"/>
        </w:rPr>
        <w:t xml:space="preserve">(ст.ст. </w:t>
      </w:r>
      <w:r>
        <w:rPr>
          <w:color w:val="231F20"/>
          <w:sz w:val="16"/>
        </w:rPr>
        <w:t>12, 13) та</w:t>
      </w:r>
      <w:r>
        <w:rPr>
          <w:color w:val="231F20"/>
          <w:spacing w:val="-4"/>
          <w:sz w:val="16"/>
        </w:rPr>
        <w:t xml:space="preserve"> </w:t>
      </w:r>
      <w:r>
        <w:rPr>
          <w:color w:val="231F20"/>
          <w:sz w:val="16"/>
        </w:rPr>
        <w:t>ін.</w:t>
      </w:r>
    </w:p>
    <w:p w14:paraId="5C1817E5" w14:textId="77777777" w:rsidR="00DE575E" w:rsidRDefault="002E7560">
      <w:pPr>
        <w:spacing w:before="31" w:line="204" w:lineRule="auto"/>
        <w:ind w:left="533" w:right="126"/>
        <w:jc w:val="both"/>
        <w:rPr>
          <w:sz w:val="16"/>
        </w:rPr>
      </w:pPr>
      <w:r>
        <w:rPr>
          <w:color w:val="231F20"/>
          <w:position w:val="5"/>
          <w:sz w:val="9"/>
        </w:rPr>
        <w:t xml:space="preserve">3 </w:t>
      </w:r>
      <w:r>
        <w:rPr>
          <w:color w:val="231F20"/>
          <w:sz w:val="16"/>
        </w:rPr>
        <w:t xml:space="preserve">Гарантії забезпечення принципу  доступності  та  зручності  надання  адміністратив- них послуг закладено у </w:t>
      </w:r>
      <w:r>
        <w:rPr>
          <w:color w:val="231F20"/>
          <w:spacing w:val="-5"/>
          <w:sz w:val="16"/>
        </w:rPr>
        <w:t xml:space="preserve">ст.  </w:t>
      </w:r>
      <w:r>
        <w:rPr>
          <w:color w:val="231F20"/>
          <w:sz w:val="16"/>
        </w:rPr>
        <w:t xml:space="preserve">9 Законі від 6.09.2012 р. № 520, де зокрема передбачено, що   ці послуги можуть надаватись органами безпосередньо, через ЦНАП та/або через Єди- ний державний портал адміністративних послуг, а також у </w:t>
      </w:r>
      <w:r>
        <w:rPr>
          <w:color w:val="231F20"/>
          <w:spacing w:val="-5"/>
          <w:sz w:val="16"/>
        </w:rPr>
        <w:t xml:space="preserve">ст. </w:t>
      </w:r>
      <w:r>
        <w:rPr>
          <w:color w:val="231F20"/>
          <w:sz w:val="16"/>
        </w:rPr>
        <w:t>12, яка регулює питання створення</w:t>
      </w:r>
      <w:r>
        <w:rPr>
          <w:color w:val="231F20"/>
          <w:spacing w:val="-6"/>
          <w:sz w:val="16"/>
        </w:rPr>
        <w:t xml:space="preserve"> </w:t>
      </w:r>
      <w:r>
        <w:rPr>
          <w:color w:val="231F20"/>
          <w:sz w:val="16"/>
        </w:rPr>
        <w:t>та</w:t>
      </w:r>
      <w:r>
        <w:rPr>
          <w:color w:val="231F20"/>
          <w:spacing w:val="-6"/>
          <w:sz w:val="16"/>
        </w:rPr>
        <w:t xml:space="preserve"> </w:t>
      </w:r>
      <w:r>
        <w:rPr>
          <w:color w:val="231F20"/>
          <w:sz w:val="16"/>
        </w:rPr>
        <w:t>діяльності</w:t>
      </w:r>
      <w:r>
        <w:rPr>
          <w:color w:val="231F20"/>
          <w:spacing w:val="-6"/>
          <w:sz w:val="16"/>
        </w:rPr>
        <w:t xml:space="preserve"> </w:t>
      </w:r>
      <w:r>
        <w:rPr>
          <w:color w:val="231F20"/>
          <w:sz w:val="16"/>
        </w:rPr>
        <w:t>ЦНАП</w:t>
      </w:r>
      <w:r>
        <w:rPr>
          <w:color w:val="231F20"/>
          <w:sz w:val="16"/>
        </w:rPr>
        <w:t>.</w:t>
      </w:r>
      <w:r>
        <w:rPr>
          <w:color w:val="231F20"/>
          <w:spacing w:val="-6"/>
          <w:sz w:val="16"/>
        </w:rPr>
        <w:t xml:space="preserve"> </w:t>
      </w:r>
      <w:r>
        <w:rPr>
          <w:color w:val="231F20"/>
          <w:sz w:val="16"/>
        </w:rPr>
        <w:t>Положення</w:t>
      </w:r>
      <w:r>
        <w:rPr>
          <w:color w:val="231F20"/>
          <w:spacing w:val="-6"/>
          <w:sz w:val="16"/>
        </w:rPr>
        <w:t xml:space="preserve"> </w:t>
      </w:r>
      <w:r>
        <w:rPr>
          <w:color w:val="231F20"/>
          <w:sz w:val="16"/>
        </w:rPr>
        <w:t>щодо</w:t>
      </w:r>
      <w:r>
        <w:rPr>
          <w:color w:val="231F20"/>
          <w:spacing w:val="-6"/>
          <w:sz w:val="16"/>
        </w:rPr>
        <w:t xml:space="preserve"> </w:t>
      </w:r>
      <w:r>
        <w:rPr>
          <w:color w:val="231F20"/>
          <w:sz w:val="16"/>
        </w:rPr>
        <w:t>зручності</w:t>
      </w:r>
      <w:r>
        <w:rPr>
          <w:color w:val="231F20"/>
          <w:spacing w:val="-6"/>
          <w:sz w:val="16"/>
        </w:rPr>
        <w:t xml:space="preserve"> </w:t>
      </w:r>
      <w:r>
        <w:rPr>
          <w:color w:val="231F20"/>
          <w:sz w:val="16"/>
        </w:rPr>
        <w:t>та</w:t>
      </w:r>
      <w:r>
        <w:rPr>
          <w:color w:val="231F20"/>
          <w:spacing w:val="-6"/>
          <w:sz w:val="16"/>
        </w:rPr>
        <w:t xml:space="preserve"> </w:t>
      </w:r>
      <w:r>
        <w:rPr>
          <w:color w:val="231F20"/>
          <w:sz w:val="16"/>
        </w:rPr>
        <w:t>доступності</w:t>
      </w:r>
      <w:r>
        <w:rPr>
          <w:color w:val="231F20"/>
          <w:spacing w:val="-6"/>
          <w:sz w:val="16"/>
        </w:rPr>
        <w:t xml:space="preserve"> </w:t>
      </w:r>
      <w:r>
        <w:rPr>
          <w:color w:val="231F20"/>
          <w:sz w:val="16"/>
        </w:rPr>
        <w:t>надання</w:t>
      </w:r>
      <w:r>
        <w:rPr>
          <w:color w:val="231F20"/>
          <w:spacing w:val="-6"/>
          <w:sz w:val="16"/>
        </w:rPr>
        <w:t xml:space="preserve"> </w:t>
      </w:r>
      <w:r>
        <w:rPr>
          <w:color w:val="231F20"/>
          <w:sz w:val="16"/>
        </w:rPr>
        <w:t>послуг у ЦНАП відбито й у підзаконних актах, насамперед у Примірному регламенті ЦНАП. Це стосується і місця розташування приміщення ЦНАП, і вимог до облаштування секторів інформування, очікування та обслуговування; і візуалізації та інформування; і порядку</w:t>
      </w:r>
      <w:r>
        <w:rPr>
          <w:color w:val="231F20"/>
          <w:sz w:val="16"/>
        </w:rPr>
        <w:t xml:space="preserve"> приймання заяви, інформування про </w:t>
      </w:r>
      <w:r>
        <w:rPr>
          <w:color w:val="231F20"/>
          <w:spacing w:val="-3"/>
          <w:sz w:val="16"/>
        </w:rPr>
        <w:t>результат</w:t>
      </w:r>
      <w:r>
        <w:rPr>
          <w:color w:val="231F20"/>
          <w:spacing w:val="-2"/>
          <w:sz w:val="16"/>
        </w:rPr>
        <w:t xml:space="preserve"> </w:t>
      </w:r>
      <w:r>
        <w:rPr>
          <w:color w:val="231F20"/>
          <w:sz w:val="16"/>
        </w:rPr>
        <w:t>тощо.</w:t>
      </w:r>
    </w:p>
    <w:p w14:paraId="2359850F" w14:textId="77777777" w:rsidR="00DE575E" w:rsidRDefault="00DE575E">
      <w:pPr>
        <w:pStyle w:val="BodyText"/>
        <w:spacing w:before="9"/>
        <w:rPr>
          <w:sz w:val="12"/>
        </w:rPr>
      </w:pPr>
    </w:p>
    <w:p w14:paraId="3C525443" w14:textId="77777777" w:rsidR="00DE575E" w:rsidRDefault="002E7560">
      <w:pPr>
        <w:spacing w:before="91"/>
        <w:ind w:left="533"/>
        <w:rPr>
          <w:rFonts w:ascii="Times New Roman"/>
          <w:sz w:val="20"/>
        </w:rPr>
      </w:pPr>
      <w:r>
        <w:rPr>
          <w:rFonts w:ascii="Times New Roman"/>
          <w:color w:val="231F20"/>
          <w:sz w:val="20"/>
        </w:rPr>
        <w:t>182</w:t>
      </w:r>
    </w:p>
    <w:p w14:paraId="3D775094" w14:textId="77777777" w:rsidR="00DE575E" w:rsidRDefault="00DE575E">
      <w:pPr>
        <w:rPr>
          <w:rFonts w:ascii="Times New Roman"/>
          <w:sz w:val="20"/>
        </w:rPr>
        <w:sectPr w:rsidR="00DE575E">
          <w:pgSz w:w="8510" w:h="12760"/>
          <w:pgMar w:top="660" w:right="720" w:bottom="280" w:left="600" w:header="720" w:footer="720" w:gutter="0"/>
          <w:cols w:space="720"/>
        </w:sectPr>
      </w:pPr>
    </w:p>
    <w:p w14:paraId="255B071F"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302D036F" w14:textId="505A9F6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97095FA" wp14:editId="74753AB8">
                <wp:extent cx="4140200" cy="6350"/>
                <wp:effectExtent l="0" t="0" r="12700" b="6350"/>
                <wp:docPr id="959"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60" name="Line 95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4C4B91" id="Group_x0020_95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3CSIA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DrcJIgAIAAJgFAAAO&#10;AAAAAAAAAAAAAAAAACwCAABkcnMvZTJvRG9jLnhtbFBLAQItABQABgAIAAAAIQBMp7CQ2QAAAAMB&#10;AAAPAAAAAAAAAAAAAAAAANgEAABkcnMvZG93bnJldi54bWxQSwUGAAAAAAQABADzAAAA3gUAAAAA&#10;">
                <v:line id="Line_x0020_95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X15sMAAADcAAAADwAAAGRycy9kb3ducmV2LnhtbERP3WrCMBS+F/YO4Qy8GZqqIK4aZQwE&#10;8UKn3QMcm7O2LDmpTbTVpzcXgpcf3/9i1VkjrtT4yrGC0TABQZw7XXGh4DdbD2YgfEDWaByTght5&#10;WC3fegtMtWv5QNdjKEQMYZ+igjKEOpXS5yVZ9ENXE0fuzzUWQ4RNIXWDbQy3Ro6TZCotVhwbSqzp&#10;u6T8/3ixCrLzRzA/+61ps/1pIk/n3eR+2SnVf+++5iACdeElfro3WsHnNM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F9ebDAAAA3AAAAA8AAAAAAAAAAAAA&#10;AAAAoQIAAGRycy9kb3ducmV2LnhtbFBLBQYAAAAABAAEAPkAAACRAwAAAAA=&#10;" strokecolor="#231f20" strokeweight=".5pt"/>
                <w10:anchorlock/>
              </v:group>
            </w:pict>
          </mc:Fallback>
        </mc:AlternateContent>
      </w:r>
    </w:p>
    <w:p w14:paraId="49E984A0" w14:textId="77777777" w:rsidR="00DE575E" w:rsidRDefault="00DE575E">
      <w:pPr>
        <w:pStyle w:val="BodyText"/>
        <w:spacing w:before="7"/>
        <w:rPr>
          <w:rFonts w:ascii="AdonisC"/>
          <w:i/>
          <w:sz w:val="19"/>
        </w:rPr>
      </w:pPr>
    </w:p>
    <w:p w14:paraId="1E91DD05" w14:textId="77777777" w:rsidR="00DE575E" w:rsidRDefault="002E7560">
      <w:pPr>
        <w:pStyle w:val="BodyText"/>
        <w:spacing w:before="1" w:line="252" w:lineRule="auto"/>
        <w:ind w:left="250" w:right="410" w:firstLine="283"/>
        <w:jc w:val="both"/>
      </w:pPr>
      <w:r>
        <w:rPr>
          <w:color w:val="231F20"/>
        </w:rPr>
        <w:t>Принципи надання адміністративних послуг є си</w:t>
      </w:r>
      <w:r>
        <w:rPr>
          <w:color w:val="231F20"/>
        </w:rPr>
        <w:t xml:space="preserve">стемою – вони взаємопов’язані та взаємозалежні. </w:t>
      </w:r>
      <w:r>
        <w:rPr>
          <w:color w:val="231F20"/>
          <w:spacing w:val="-5"/>
        </w:rPr>
        <w:t xml:space="preserve">Тому </w:t>
      </w:r>
      <w:r>
        <w:rPr>
          <w:color w:val="231F20"/>
        </w:rPr>
        <w:t>порушення одного з них може</w:t>
      </w:r>
      <w:r>
        <w:rPr>
          <w:color w:val="231F20"/>
          <w:spacing w:val="-14"/>
        </w:rPr>
        <w:t xml:space="preserve"> </w:t>
      </w:r>
      <w:r>
        <w:rPr>
          <w:color w:val="231F20"/>
        </w:rPr>
        <w:t>призвести</w:t>
      </w:r>
      <w:r>
        <w:rPr>
          <w:color w:val="231F20"/>
          <w:spacing w:val="-14"/>
        </w:rPr>
        <w:t xml:space="preserve"> </w:t>
      </w:r>
      <w:r>
        <w:rPr>
          <w:color w:val="231F20"/>
        </w:rPr>
        <w:t>до</w:t>
      </w:r>
      <w:r>
        <w:rPr>
          <w:color w:val="231F20"/>
          <w:spacing w:val="-14"/>
        </w:rPr>
        <w:t xml:space="preserve"> </w:t>
      </w:r>
      <w:r>
        <w:rPr>
          <w:color w:val="231F20"/>
        </w:rPr>
        <w:t>порушення</w:t>
      </w:r>
      <w:r>
        <w:rPr>
          <w:color w:val="231F20"/>
          <w:spacing w:val="-14"/>
        </w:rPr>
        <w:t xml:space="preserve"> </w:t>
      </w:r>
      <w:r>
        <w:rPr>
          <w:color w:val="231F20"/>
        </w:rPr>
        <w:t>інших.</w:t>
      </w:r>
      <w:r>
        <w:rPr>
          <w:color w:val="231F20"/>
          <w:spacing w:val="-14"/>
        </w:rPr>
        <w:t xml:space="preserve"> </w:t>
      </w:r>
      <w:r>
        <w:rPr>
          <w:color w:val="231F20"/>
        </w:rPr>
        <w:t>Якість</w:t>
      </w:r>
      <w:r>
        <w:rPr>
          <w:color w:val="231F20"/>
          <w:spacing w:val="-14"/>
        </w:rPr>
        <w:t xml:space="preserve"> </w:t>
      </w:r>
      <w:r>
        <w:rPr>
          <w:color w:val="231F20"/>
        </w:rPr>
        <w:t>надання</w:t>
      </w:r>
      <w:r>
        <w:rPr>
          <w:color w:val="231F20"/>
          <w:spacing w:val="-14"/>
        </w:rPr>
        <w:t xml:space="preserve"> </w:t>
      </w:r>
      <w:r>
        <w:rPr>
          <w:color w:val="231F20"/>
        </w:rPr>
        <w:t>адміністратив- них послуг досягається послідовним застосуванням усієї системи принципів і кожного з них</w:t>
      </w:r>
      <w:r>
        <w:rPr>
          <w:color w:val="231F20"/>
          <w:spacing w:val="-3"/>
        </w:rPr>
        <w:t xml:space="preserve"> </w:t>
      </w:r>
      <w:r>
        <w:rPr>
          <w:color w:val="231F20"/>
        </w:rPr>
        <w:t>окремо.</w:t>
      </w:r>
    </w:p>
    <w:p w14:paraId="5CD8DC0F" w14:textId="77777777" w:rsidR="00DE575E" w:rsidRDefault="00DE575E">
      <w:pPr>
        <w:pStyle w:val="BodyText"/>
        <w:rPr>
          <w:sz w:val="24"/>
        </w:rPr>
      </w:pPr>
    </w:p>
    <w:p w14:paraId="067F2416" w14:textId="77777777" w:rsidR="00DE575E" w:rsidRDefault="00DE575E">
      <w:pPr>
        <w:pStyle w:val="BodyText"/>
        <w:spacing w:before="5"/>
        <w:rPr>
          <w:sz w:val="19"/>
        </w:rPr>
      </w:pPr>
    </w:p>
    <w:p w14:paraId="56982467" w14:textId="77777777" w:rsidR="00DE575E" w:rsidRDefault="002E7560">
      <w:pPr>
        <w:pStyle w:val="Heading4"/>
        <w:numPr>
          <w:ilvl w:val="1"/>
          <w:numId w:val="227"/>
        </w:numPr>
        <w:tabs>
          <w:tab w:val="left" w:pos="2765"/>
        </w:tabs>
        <w:spacing w:before="1"/>
        <w:ind w:left="2764"/>
        <w:jc w:val="left"/>
      </w:pPr>
      <w:r>
        <w:rPr>
          <w:color w:val="231F20"/>
          <w:spacing w:val="-4"/>
        </w:rPr>
        <w:t>Суб’єкти</w:t>
      </w:r>
      <w:r>
        <w:rPr>
          <w:color w:val="231F20"/>
          <w:spacing w:val="-1"/>
        </w:rPr>
        <w:t xml:space="preserve"> </w:t>
      </w:r>
      <w:r>
        <w:rPr>
          <w:color w:val="231F20"/>
        </w:rPr>
        <w:t>відносин</w:t>
      </w:r>
    </w:p>
    <w:p w14:paraId="25B9570A" w14:textId="77777777" w:rsidR="00DE575E" w:rsidRDefault="002E7560">
      <w:pPr>
        <w:ind w:left="1390"/>
        <w:rPr>
          <w:b/>
        </w:rPr>
      </w:pPr>
      <w:r>
        <w:rPr>
          <w:b/>
          <w:color w:val="231F20"/>
        </w:rPr>
        <w:t>щодо надання адміністративних послуг</w:t>
      </w:r>
    </w:p>
    <w:p w14:paraId="524CE962" w14:textId="77777777" w:rsidR="00DE575E" w:rsidRDefault="00DE575E">
      <w:pPr>
        <w:pStyle w:val="BodyText"/>
        <w:rPr>
          <w:b/>
          <w:sz w:val="26"/>
        </w:rPr>
      </w:pPr>
    </w:p>
    <w:p w14:paraId="6BA22AC4" w14:textId="77777777" w:rsidR="00DE575E" w:rsidRDefault="002E7560">
      <w:pPr>
        <w:pStyle w:val="Heading5"/>
        <w:spacing w:before="222"/>
      </w:pPr>
      <w:r>
        <w:rPr>
          <w:color w:val="231F20"/>
        </w:rPr>
        <w:t>6.2.1. Суб’єкт звернення</w:t>
      </w:r>
    </w:p>
    <w:p w14:paraId="474F9D0F" w14:textId="77777777" w:rsidR="00DE575E" w:rsidRDefault="00DE575E">
      <w:pPr>
        <w:pStyle w:val="BodyText"/>
        <w:spacing w:before="2"/>
        <w:rPr>
          <w:b/>
          <w:sz w:val="23"/>
        </w:rPr>
      </w:pPr>
    </w:p>
    <w:p w14:paraId="54492C07" w14:textId="77777777" w:rsidR="00DE575E" w:rsidRDefault="002E7560">
      <w:pPr>
        <w:pStyle w:val="BodyText"/>
        <w:spacing w:before="1" w:line="252" w:lineRule="auto"/>
        <w:ind w:left="250" w:right="410" w:firstLine="283"/>
        <w:jc w:val="both"/>
      </w:pPr>
      <w:r>
        <w:rPr>
          <w:color w:val="231F20"/>
        </w:rPr>
        <w:t xml:space="preserve">Відповідно до Закону </w:t>
      </w:r>
      <w:r>
        <w:rPr>
          <w:color w:val="231F20"/>
          <w:spacing w:val="-3"/>
        </w:rPr>
        <w:t xml:space="preserve">України </w:t>
      </w:r>
      <w:r>
        <w:rPr>
          <w:color w:val="231F20"/>
        </w:rPr>
        <w:t xml:space="preserve">«Про адміністративні послуги» </w:t>
      </w:r>
      <w:r>
        <w:rPr>
          <w:color w:val="231F20"/>
          <w:spacing w:val="-4"/>
        </w:rPr>
        <w:t xml:space="preserve">суб’єкт </w:t>
      </w:r>
      <w:r>
        <w:rPr>
          <w:color w:val="231F20"/>
        </w:rPr>
        <w:t xml:space="preserve">звернення – це фізична або юридична особа, яка зверта- ється за отриманням адміністративних </w:t>
      </w:r>
      <w:r>
        <w:rPr>
          <w:color w:val="231F20"/>
          <w:spacing w:val="-3"/>
        </w:rPr>
        <w:t xml:space="preserve">послуг. </w:t>
      </w:r>
      <w:r>
        <w:rPr>
          <w:color w:val="231F20"/>
        </w:rPr>
        <w:t>Загалом особа може звернутись за адміністративною послугою таким чином: 1) прийти особисто</w:t>
      </w:r>
      <w:r>
        <w:rPr>
          <w:color w:val="231F20"/>
          <w:spacing w:val="-7"/>
        </w:rPr>
        <w:t xml:space="preserve"> </w:t>
      </w:r>
      <w:r>
        <w:rPr>
          <w:color w:val="231F20"/>
        </w:rPr>
        <w:t>до</w:t>
      </w:r>
      <w:r>
        <w:rPr>
          <w:color w:val="231F20"/>
          <w:spacing w:val="-7"/>
        </w:rPr>
        <w:t xml:space="preserve"> </w:t>
      </w:r>
      <w:r>
        <w:rPr>
          <w:color w:val="231F20"/>
        </w:rPr>
        <w:t>приміщення</w:t>
      </w:r>
      <w:r>
        <w:rPr>
          <w:color w:val="231F20"/>
          <w:spacing w:val="-7"/>
        </w:rPr>
        <w:t xml:space="preserve"> </w:t>
      </w:r>
      <w:r>
        <w:rPr>
          <w:color w:val="231F20"/>
        </w:rPr>
        <w:t>органу</w:t>
      </w:r>
      <w:r>
        <w:rPr>
          <w:color w:val="231F20"/>
          <w:spacing w:val="-7"/>
        </w:rPr>
        <w:t xml:space="preserve"> </w:t>
      </w:r>
      <w:r>
        <w:rPr>
          <w:color w:val="231F20"/>
        </w:rPr>
        <w:t>влади</w:t>
      </w:r>
      <w:r>
        <w:rPr>
          <w:color w:val="231F20"/>
          <w:spacing w:val="-7"/>
        </w:rPr>
        <w:t xml:space="preserve"> </w:t>
      </w:r>
      <w:r>
        <w:rPr>
          <w:color w:val="231F20"/>
        </w:rPr>
        <w:t>або</w:t>
      </w:r>
      <w:r>
        <w:rPr>
          <w:color w:val="231F20"/>
          <w:spacing w:val="-7"/>
        </w:rPr>
        <w:t xml:space="preserve"> </w:t>
      </w:r>
      <w:r>
        <w:rPr>
          <w:color w:val="231F20"/>
        </w:rPr>
        <w:t>центру</w:t>
      </w:r>
      <w:r>
        <w:rPr>
          <w:color w:val="231F20"/>
          <w:spacing w:val="-7"/>
        </w:rPr>
        <w:t xml:space="preserve"> </w:t>
      </w:r>
      <w:r>
        <w:rPr>
          <w:color w:val="231F20"/>
        </w:rPr>
        <w:t>надання</w:t>
      </w:r>
      <w:r>
        <w:rPr>
          <w:color w:val="231F20"/>
          <w:spacing w:val="-7"/>
        </w:rPr>
        <w:t xml:space="preserve"> </w:t>
      </w:r>
      <w:r>
        <w:rPr>
          <w:color w:val="231F20"/>
        </w:rPr>
        <w:t>адмініст- ративних послуг та подати заяву і необхідні документи; 2) замо- вити</w:t>
      </w:r>
      <w:r>
        <w:rPr>
          <w:color w:val="231F20"/>
          <w:spacing w:val="20"/>
        </w:rPr>
        <w:t xml:space="preserve"> </w:t>
      </w:r>
      <w:r>
        <w:rPr>
          <w:color w:val="231F20"/>
        </w:rPr>
        <w:t>послугу</w:t>
      </w:r>
      <w:r>
        <w:rPr>
          <w:color w:val="231F20"/>
          <w:spacing w:val="20"/>
        </w:rPr>
        <w:t xml:space="preserve"> </w:t>
      </w:r>
      <w:r>
        <w:rPr>
          <w:color w:val="231F20"/>
        </w:rPr>
        <w:t>телефоном</w:t>
      </w:r>
      <w:r>
        <w:rPr>
          <w:color w:val="231F20"/>
          <w:spacing w:val="20"/>
        </w:rPr>
        <w:t xml:space="preserve"> </w:t>
      </w:r>
      <w:r>
        <w:rPr>
          <w:color w:val="231F20"/>
        </w:rPr>
        <w:t>(напр.,</w:t>
      </w:r>
      <w:r>
        <w:rPr>
          <w:color w:val="231F20"/>
          <w:spacing w:val="20"/>
        </w:rPr>
        <w:t xml:space="preserve"> </w:t>
      </w:r>
      <w:r>
        <w:rPr>
          <w:color w:val="231F20"/>
        </w:rPr>
        <w:t>видання</w:t>
      </w:r>
      <w:r>
        <w:rPr>
          <w:color w:val="231F20"/>
          <w:spacing w:val="20"/>
        </w:rPr>
        <w:t xml:space="preserve"> </w:t>
      </w:r>
      <w:r>
        <w:rPr>
          <w:color w:val="231F20"/>
        </w:rPr>
        <w:t>довідк</w:t>
      </w:r>
      <w:r>
        <w:rPr>
          <w:color w:val="231F20"/>
        </w:rPr>
        <w:t>и</w:t>
      </w:r>
      <w:r>
        <w:rPr>
          <w:color w:val="231F20"/>
          <w:spacing w:val="20"/>
        </w:rPr>
        <w:t xml:space="preserve"> </w:t>
      </w:r>
      <w:r>
        <w:rPr>
          <w:color w:val="231F20"/>
        </w:rPr>
        <w:t>«дитина</w:t>
      </w:r>
      <w:r>
        <w:rPr>
          <w:color w:val="231F20"/>
          <w:spacing w:val="20"/>
        </w:rPr>
        <w:t xml:space="preserve"> </w:t>
      </w:r>
      <w:r>
        <w:rPr>
          <w:color w:val="231F20"/>
        </w:rPr>
        <w:t>війни»);</w:t>
      </w:r>
    </w:p>
    <w:p w14:paraId="162AF1BF" w14:textId="77777777" w:rsidR="00DE575E" w:rsidRDefault="002E7560">
      <w:pPr>
        <w:pStyle w:val="ListParagraph"/>
        <w:numPr>
          <w:ilvl w:val="0"/>
          <w:numId w:val="222"/>
        </w:numPr>
        <w:tabs>
          <w:tab w:val="left" w:pos="493"/>
        </w:tabs>
        <w:spacing w:before="3" w:line="252" w:lineRule="auto"/>
        <w:ind w:right="409" w:firstLine="0"/>
        <w:jc w:val="both"/>
        <w:rPr>
          <w:sz w:val="21"/>
        </w:rPr>
      </w:pPr>
      <w:r>
        <w:rPr>
          <w:color w:val="231F20"/>
          <w:sz w:val="21"/>
        </w:rPr>
        <w:t>надіслати заяву та пакет документів поштою – у випадках, перед- бачених законом, підпис особи на надісланих поштою документах потребує нотаріального посвідчення; 4) у випадках, передбачених законом, надіслати заяву за допомогою засобів телекомунікацій- ног</w:t>
      </w:r>
      <w:r>
        <w:rPr>
          <w:color w:val="231F20"/>
          <w:sz w:val="21"/>
        </w:rPr>
        <w:t>о зв’язку (електронною</w:t>
      </w:r>
      <w:r>
        <w:rPr>
          <w:color w:val="231F20"/>
          <w:spacing w:val="-2"/>
          <w:sz w:val="21"/>
        </w:rPr>
        <w:t xml:space="preserve"> </w:t>
      </w:r>
      <w:r>
        <w:rPr>
          <w:color w:val="231F20"/>
          <w:sz w:val="21"/>
        </w:rPr>
        <w:t>поштою).</w:t>
      </w:r>
    </w:p>
    <w:p w14:paraId="0888E0C4" w14:textId="77777777" w:rsidR="00DE575E" w:rsidRDefault="002E7560">
      <w:pPr>
        <w:pStyle w:val="BodyText"/>
        <w:spacing w:before="2" w:line="252" w:lineRule="auto"/>
        <w:ind w:left="250" w:right="409" w:firstLine="283"/>
        <w:jc w:val="both"/>
      </w:pPr>
      <w:r>
        <w:rPr>
          <w:color w:val="231F20"/>
        </w:rPr>
        <w:t>Уживання</w:t>
      </w:r>
      <w:r>
        <w:rPr>
          <w:color w:val="231F20"/>
          <w:spacing w:val="-6"/>
        </w:rPr>
        <w:t xml:space="preserve"> </w:t>
      </w:r>
      <w:r>
        <w:rPr>
          <w:color w:val="231F20"/>
        </w:rPr>
        <w:t>в</w:t>
      </w:r>
      <w:r>
        <w:rPr>
          <w:color w:val="231F20"/>
          <w:spacing w:val="-6"/>
        </w:rPr>
        <w:t xml:space="preserve"> </w:t>
      </w:r>
      <w:r>
        <w:rPr>
          <w:color w:val="231F20"/>
        </w:rPr>
        <w:t>Законі</w:t>
      </w:r>
      <w:r>
        <w:rPr>
          <w:color w:val="231F20"/>
          <w:spacing w:val="-6"/>
        </w:rPr>
        <w:t xml:space="preserve"> </w:t>
      </w:r>
      <w:r>
        <w:rPr>
          <w:color w:val="231F20"/>
        </w:rPr>
        <w:t>терміна</w:t>
      </w:r>
      <w:r>
        <w:rPr>
          <w:color w:val="231F20"/>
          <w:spacing w:val="-6"/>
        </w:rPr>
        <w:t xml:space="preserve"> </w:t>
      </w:r>
      <w:r>
        <w:rPr>
          <w:color w:val="231F20"/>
        </w:rPr>
        <w:t>«фізична</w:t>
      </w:r>
      <w:r>
        <w:rPr>
          <w:color w:val="231F20"/>
          <w:spacing w:val="-6"/>
        </w:rPr>
        <w:t xml:space="preserve"> </w:t>
      </w:r>
      <w:r>
        <w:rPr>
          <w:color w:val="231F20"/>
        </w:rPr>
        <w:t>особа»</w:t>
      </w:r>
      <w:r>
        <w:rPr>
          <w:color w:val="231F20"/>
          <w:spacing w:val="-6"/>
        </w:rPr>
        <w:t xml:space="preserve"> </w:t>
      </w:r>
      <w:r>
        <w:rPr>
          <w:color w:val="231F20"/>
        </w:rPr>
        <w:t>включає</w:t>
      </w:r>
      <w:r>
        <w:rPr>
          <w:color w:val="231F20"/>
          <w:spacing w:val="-6"/>
        </w:rPr>
        <w:t xml:space="preserve"> </w:t>
      </w:r>
      <w:r>
        <w:rPr>
          <w:color w:val="231F20"/>
        </w:rPr>
        <w:t>всі</w:t>
      </w:r>
      <w:r>
        <w:rPr>
          <w:color w:val="231F20"/>
          <w:spacing w:val="-6"/>
        </w:rPr>
        <w:t xml:space="preserve"> </w:t>
      </w:r>
      <w:r>
        <w:rPr>
          <w:color w:val="231F20"/>
        </w:rPr>
        <w:t xml:space="preserve">категорії фізичних осіб – громадян </w:t>
      </w:r>
      <w:r>
        <w:rPr>
          <w:color w:val="231F20"/>
          <w:spacing w:val="-3"/>
        </w:rPr>
        <w:t xml:space="preserve">України, </w:t>
      </w:r>
      <w:r>
        <w:rPr>
          <w:color w:val="231F20"/>
        </w:rPr>
        <w:t xml:space="preserve">іноземців та осіб без громадян- ства, тобто всі вони можуть бути </w:t>
      </w:r>
      <w:r>
        <w:rPr>
          <w:color w:val="231F20"/>
          <w:spacing w:val="-3"/>
        </w:rPr>
        <w:t xml:space="preserve">суб’єктами </w:t>
      </w:r>
      <w:r>
        <w:rPr>
          <w:color w:val="231F20"/>
        </w:rPr>
        <w:t>звернення за адмініст- ративними</w:t>
      </w:r>
      <w:r>
        <w:rPr>
          <w:color w:val="231F20"/>
          <w:spacing w:val="-2"/>
        </w:rPr>
        <w:t xml:space="preserve"> </w:t>
      </w:r>
      <w:r>
        <w:rPr>
          <w:color w:val="231F20"/>
        </w:rPr>
        <w:t>послугами.</w:t>
      </w:r>
    </w:p>
    <w:p w14:paraId="06237169" w14:textId="77777777" w:rsidR="00DE575E" w:rsidRDefault="002E7560">
      <w:pPr>
        <w:pStyle w:val="BodyText"/>
        <w:spacing w:before="2" w:line="252" w:lineRule="auto"/>
        <w:ind w:left="250" w:right="411" w:firstLine="283"/>
        <w:jc w:val="both"/>
      </w:pPr>
      <w:r>
        <w:rPr>
          <w:color w:val="231F20"/>
          <w:spacing w:val="-3"/>
        </w:rPr>
        <w:t>Юридич</w:t>
      </w:r>
      <w:r>
        <w:rPr>
          <w:color w:val="231F20"/>
          <w:spacing w:val="-3"/>
        </w:rPr>
        <w:t xml:space="preserve">ну </w:t>
      </w:r>
      <w:r>
        <w:rPr>
          <w:color w:val="231F20"/>
          <w:spacing w:val="-4"/>
        </w:rPr>
        <w:t xml:space="preserve">природу </w:t>
      </w:r>
      <w:r>
        <w:rPr>
          <w:color w:val="231F20"/>
          <w:spacing w:val="-3"/>
        </w:rPr>
        <w:t xml:space="preserve">фізичної </w:t>
      </w:r>
      <w:r>
        <w:rPr>
          <w:color w:val="231F20"/>
        </w:rPr>
        <w:t xml:space="preserve">особи </w:t>
      </w:r>
      <w:r>
        <w:rPr>
          <w:color w:val="231F20"/>
          <w:spacing w:val="-3"/>
        </w:rPr>
        <w:t xml:space="preserve">розкрито </w:t>
      </w:r>
      <w:r>
        <w:rPr>
          <w:color w:val="231F20"/>
        </w:rPr>
        <w:t xml:space="preserve">в </w:t>
      </w:r>
      <w:r>
        <w:rPr>
          <w:color w:val="231F20"/>
          <w:spacing w:val="-3"/>
        </w:rPr>
        <w:t xml:space="preserve">нормах цивільного права, зокрема згідно </w:t>
      </w:r>
      <w:r>
        <w:rPr>
          <w:color w:val="231F20"/>
        </w:rPr>
        <w:t xml:space="preserve">з </w:t>
      </w:r>
      <w:r>
        <w:rPr>
          <w:color w:val="231F20"/>
          <w:spacing w:val="-3"/>
        </w:rPr>
        <w:t xml:space="preserve">положеннями </w:t>
      </w:r>
      <w:r>
        <w:rPr>
          <w:color w:val="231F20"/>
        </w:rPr>
        <w:t xml:space="preserve">ЦКУ </w:t>
      </w:r>
      <w:r>
        <w:rPr>
          <w:color w:val="231F20"/>
          <w:spacing w:val="-3"/>
        </w:rPr>
        <w:t xml:space="preserve">фізичною </w:t>
      </w:r>
      <w:r>
        <w:rPr>
          <w:color w:val="231F20"/>
        </w:rPr>
        <w:t xml:space="preserve">особою </w:t>
      </w:r>
      <w:r>
        <w:rPr>
          <w:color w:val="231F20"/>
          <w:spacing w:val="-3"/>
        </w:rPr>
        <w:t xml:space="preserve">вважа- ється </w:t>
      </w:r>
      <w:r>
        <w:rPr>
          <w:color w:val="231F20"/>
          <w:spacing w:val="-4"/>
        </w:rPr>
        <w:t xml:space="preserve">людина </w:t>
      </w:r>
      <w:r>
        <w:rPr>
          <w:color w:val="231F20"/>
        </w:rPr>
        <w:t xml:space="preserve">як </w:t>
      </w:r>
      <w:r>
        <w:rPr>
          <w:color w:val="231F20"/>
          <w:spacing w:val="-3"/>
        </w:rPr>
        <w:t xml:space="preserve">учасник цивільних відносин, </w:t>
      </w:r>
      <w:r>
        <w:rPr>
          <w:color w:val="231F20"/>
        </w:rPr>
        <w:t xml:space="preserve">для того щоб </w:t>
      </w:r>
      <w:r>
        <w:rPr>
          <w:color w:val="231F20"/>
          <w:spacing w:val="-3"/>
        </w:rPr>
        <w:t xml:space="preserve">кори- стуватися своїми правами, </w:t>
      </w:r>
      <w:r>
        <w:rPr>
          <w:color w:val="231F20"/>
        </w:rPr>
        <w:t xml:space="preserve">особа </w:t>
      </w:r>
      <w:r>
        <w:rPr>
          <w:color w:val="231F20"/>
          <w:spacing w:val="-3"/>
        </w:rPr>
        <w:t xml:space="preserve">повинна мати: цивільну правоздат- ність </w:t>
      </w:r>
      <w:r>
        <w:rPr>
          <w:color w:val="231F20"/>
          <w:spacing w:val="-2"/>
        </w:rPr>
        <w:t>(то</w:t>
      </w:r>
      <w:r>
        <w:rPr>
          <w:color w:val="231F20"/>
          <w:spacing w:val="-2"/>
        </w:rPr>
        <w:t xml:space="preserve">бто </w:t>
      </w:r>
      <w:r>
        <w:rPr>
          <w:color w:val="231F20"/>
          <w:spacing w:val="-3"/>
        </w:rPr>
        <w:t xml:space="preserve">здатність мати цивільні права </w:t>
      </w:r>
      <w:r>
        <w:rPr>
          <w:color w:val="231F20"/>
        </w:rPr>
        <w:t xml:space="preserve">й обов’язки, яка </w:t>
      </w:r>
      <w:r>
        <w:rPr>
          <w:color w:val="231F20"/>
          <w:spacing w:val="-3"/>
        </w:rPr>
        <w:t xml:space="preserve">виникає  </w:t>
      </w:r>
      <w:r>
        <w:rPr>
          <w:color w:val="231F20"/>
        </w:rPr>
        <w:t xml:space="preserve">з </w:t>
      </w:r>
      <w:r>
        <w:rPr>
          <w:color w:val="231F20"/>
          <w:spacing w:val="-3"/>
        </w:rPr>
        <w:t xml:space="preserve">моменту </w:t>
      </w:r>
      <w:r>
        <w:rPr>
          <w:color w:val="231F20"/>
          <w:spacing w:val="-4"/>
        </w:rPr>
        <w:t xml:space="preserve">народження </w:t>
      </w:r>
      <w:r>
        <w:rPr>
          <w:color w:val="231F20"/>
        </w:rPr>
        <w:t xml:space="preserve">особи) </w:t>
      </w:r>
      <w:r>
        <w:rPr>
          <w:color w:val="231F20"/>
          <w:spacing w:val="-3"/>
        </w:rPr>
        <w:t xml:space="preserve">(ч.ч. </w:t>
      </w:r>
      <w:r>
        <w:rPr>
          <w:color w:val="231F20"/>
        </w:rPr>
        <w:t xml:space="preserve">1 та 2 </w:t>
      </w:r>
      <w:r>
        <w:rPr>
          <w:color w:val="231F20"/>
          <w:spacing w:val="-8"/>
        </w:rPr>
        <w:t xml:space="preserve">ст. </w:t>
      </w:r>
      <w:r>
        <w:rPr>
          <w:color w:val="231F20"/>
        </w:rPr>
        <w:t xml:space="preserve">25) та </w:t>
      </w:r>
      <w:r>
        <w:rPr>
          <w:color w:val="231F20"/>
          <w:spacing w:val="-3"/>
        </w:rPr>
        <w:t xml:space="preserve">цивільну дієздат- ність, </w:t>
      </w:r>
      <w:r>
        <w:rPr>
          <w:color w:val="231F20"/>
        </w:rPr>
        <w:t xml:space="preserve">тобто </w:t>
      </w:r>
      <w:r>
        <w:rPr>
          <w:color w:val="231F20"/>
          <w:spacing w:val="-3"/>
        </w:rPr>
        <w:t xml:space="preserve">здатність своїми діями набувати </w:t>
      </w:r>
      <w:r>
        <w:rPr>
          <w:color w:val="231F20"/>
        </w:rPr>
        <w:t xml:space="preserve">для </w:t>
      </w:r>
      <w:r>
        <w:rPr>
          <w:color w:val="231F20"/>
          <w:spacing w:val="-3"/>
        </w:rPr>
        <w:t xml:space="preserve">себе цивільні права </w:t>
      </w:r>
      <w:r>
        <w:rPr>
          <w:color w:val="231F20"/>
        </w:rPr>
        <w:t xml:space="preserve">і </w:t>
      </w:r>
      <w:r>
        <w:rPr>
          <w:color w:val="231F20"/>
          <w:spacing w:val="-3"/>
        </w:rPr>
        <w:t xml:space="preserve">самостійно </w:t>
      </w:r>
      <w:r>
        <w:rPr>
          <w:color w:val="231F20"/>
        </w:rPr>
        <w:t xml:space="preserve">їх </w:t>
      </w:r>
      <w:r>
        <w:rPr>
          <w:color w:val="231F20"/>
          <w:spacing w:val="-3"/>
        </w:rPr>
        <w:t xml:space="preserve">здійснювати, </w:t>
      </w:r>
      <w:r>
        <w:rPr>
          <w:color w:val="231F20"/>
        </w:rPr>
        <w:t xml:space="preserve">а </w:t>
      </w:r>
      <w:r>
        <w:rPr>
          <w:color w:val="231F20"/>
          <w:spacing w:val="-3"/>
        </w:rPr>
        <w:t>також здатність своїми дія</w:t>
      </w:r>
      <w:r>
        <w:rPr>
          <w:color w:val="231F20"/>
          <w:spacing w:val="-3"/>
        </w:rPr>
        <w:t xml:space="preserve">ми створю- вати </w:t>
      </w:r>
      <w:r>
        <w:rPr>
          <w:color w:val="231F20"/>
        </w:rPr>
        <w:t xml:space="preserve">для </w:t>
      </w:r>
      <w:r>
        <w:rPr>
          <w:color w:val="231F20"/>
          <w:spacing w:val="-3"/>
        </w:rPr>
        <w:t xml:space="preserve">себе цивільні </w:t>
      </w:r>
      <w:r>
        <w:rPr>
          <w:color w:val="231F20"/>
        </w:rPr>
        <w:t xml:space="preserve">обов’язки, </w:t>
      </w:r>
      <w:r>
        <w:rPr>
          <w:color w:val="231F20"/>
          <w:spacing w:val="-3"/>
        </w:rPr>
        <w:t xml:space="preserve">самостійно </w:t>
      </w:r>
      <w:r>
        <w:rPr>
          <w:color w:val="231F20"/>
        </w:rPr>
        <w:t xml:space="preserve">їх </w:t>
      </w:r>
      <w:r>
        <w:rPr>
          <w:color w:val="231F20"/>
          <w:spacing w:val="-3"/>
        </w:rPr>
        <w:t xml:space="preserve">виконувати </w:t>
      </w:r>
      <w:r>
        <w:rPr>
          <w:color w:val="231F20"/>
        </w:rPr>
        <w:t xml:space="preserve">та </w:t>
      </w:r>
      <w:r>
        <w:rPr>
          <w:color w:val="231F20"/>
          <w:spacing w:val="-3"/>
        </w:rPr>
        <w:t>нести відповідальність</w:t>
      </w:r>
      <w:r>
        <w:rPr>
          <w:color w:val="231F20"/>
          <w:spacing w:val="-5"/>
        </w:rPr>
        <w:t xml:space="preserve"> </w:t>
      </w:r>
      <w:r>
        <w:rPr>
          <w:color w:val="231F20"/>
        </w:rPr>
        <w:t>у</w:t>
      </w:r>
      <w:r>
        <w:rPr>
          <w:color w:val="231F20"/>
          <w:spacing w:val="-5"/>
        </w:rPr>
        <w:t xml:space="preserve"> </w:t>
      </w:r>
      <w:r>
        <w:rPr>
          <w:color w:val="231F20"/>
        </w:rPr>
        <w:t>разі</w:t>
      </w:r>
      <w:r>
        <w:rPr>
          <w:color w:val="231F20"/>
          <w:spacing w:val="-5"/>
        </w:rPr>
        <w:t xml:space="preserve"> </w:t>
      </w:r>
      <w:r>
        <w:rPr>
          <w:color w:val="231F20"/>
        </w:rPr>
        <w:t>їх</w:t>
      </w:r>
      <w:r>
        <w:rPr>
          <w:color w:val="231F20"/>
          <w:spacing w:val="-5"/>
        </w:rPr>
        <w:t xml:space="preserve"> </w:t>
      </w:r>
      <w:r>
        <w:rPr>
          <w:color w:val="231F20"/>
          <w:spacing w:val="-3"/>
        </w:rPr>
        <w:t>невиконання</w:t>
      </w:r>
      <w:r>
        <w:rPr>
          <w:color w:val="231F20"/>
          <w:spacing w:val="-5"/>
        </w:rPr>
        <w:t xml:space="preserve"> </w:t>
      </w:r>
      <w:r>
        <w:rPr>
          <w:color w:val="231F20"/>
          <w:spacing w:val="-3"/>
        </w:rPr>
        <w:t>(абзац</w:t>
      </w:r>
      <w:r>
        <w:rPr>
          <w:color w:val="231F20"/>
          <w:spacing w:val="-5"/>
        </w:rPr>
        <w:t xml:space="preserve"> </w:t>
      </w:r>
      <w:r>
        <w:rPr>
          <w:color w:val="231F20"/>
          <w:spacing w:val="-3"/>
        </w:rPr>
        <w:t>другий</w:t>
      </w:r>
      <w:r>
        <w:rPr>
          <w:color w:val="231F20"/>
          <w:spacing w:val="-5"/>
        </w:rPr>
        <w:t xml:space="preserve"> </w:t>
      </w:r>
      <w:r>
        <w:rPr>
          <w:color w:val="231F20"/>
        </w:rPr>
        <w:t>ч.</w:t>
      </w:r>
      <w:r>
        <w:rPr>
          <w:color w:val="231F20"/>
          <w:spacing w:val="-9"/>
        </w:rPr>
        <w:t xml:space="preserve"> </w:t>
      </w:r>
      <w:r>
        <w:rPr>
          <w:color w:val="231F20"/>
        </w:rPr>
        <w:t>1</w:t>
      </w:r>
      <w:r>
        <w:rPr>
          <w:color w:val="231F20"/>
          <w:spacing w:val="-5"/>
        </w:rPr>
        <w:t xml:space="preserve"> </w:t>
      </w:r>
      <w:r>
        <w:rPr>
          <w:color w:val="231F20"/>
          <w:spacing w:val="-8"/>
        </w:rPr>
        <w:t>ст.</w:t>
      </w:r>
      <w:r>
        <w:rPr>
          <w:color w:val="231F20"/>
          <w:spacing w:val="-9"/>
        </w:rPr>
        <w:t xml:space="preserve"> </w:t>
      </w:r>
      <w:r>
        <w:rPr>
          <w:color w:val="231F20"/>
          <w:spacing w:val="-3"/>
        </w:rPr>
        <w:t>30).</w:t>
      </w:r>
    </w:p>
    <w:p w14:paraId="18C27116" w14:textId="77777777" w:rsidR="00DE575E" w:rsidRDefault="00DE575E">
      <w:pPr>
        <w:pStyle w:val="BodyText"/>
        <w:spacing w:before="1"/>
        <w:rPr>
          <w:sz w:val="13"/>
        </w:rPr>
      </w:pPr>
    </w:p>
    <w:p w14:paraId="76790559" w14:textId="77777777" w:rsidR="00DE575E" w:rsidRDefault="002E7560">
      <w:pPr>
        <w:spacing w:before="92"/>
        <w:ind w:right="411"/>
        <w:jc w:val="right"/>
        <w:rPr>
          <w:rFonts w:ascii="Times New Roman"/>
          <w:sz w:val="20"/>
        </w:rPr>
      </w:pPr>
      <w:r>
        <w:rPr>
          <w:rFonts w:ascii="Times New Roman"/>
          <w:color w:val="231F20"/>
          <w:w w:val="90"/>
          <w:sz w:val="20"/>
        </w:rPr>
        <w:t>183</w:t>
      </w:r>
    </w:p>
    <w:p w14:paraId="1BCF158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27AA38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5E1568D" w14:textId="6F67EF2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4F5A61C" wp14:editId="30636008">
                <wp:extent cx="4140200" cy="6350"/>
                <wp:effectExtent l="0" t="0" r="12700" b="6350"/>
                <wp:docPr id="957"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58" name="Line 9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37580" id="Group_x0020_9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4fkPlgAIAAJgFAAAO&#10;AAAAAAAAAAAAAAAAACwCAABkcnMvZTJvRG9jLnhtbFBLAQItABQABgAIAAAAIQBMp7CQ2QAAAAMB&#10;AAAPAAAAAAAAAAAAAAAAANgEAABkcnMvZG93bnJldi54bWxQSwUGAAAAAAQABADzAAAA3gUAAAAA&#10;">
                <v:line id="Line_x0020_9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8zXcQAAADcAAAADwAAAGRycy9kb3ducmV2LnhtbERP3WrCMBS+H+wdwhnsZmjqZKK1UWQw&#10;EC90sz7AaXNsi8lJbaLt9vTLxWCXH99/th6sEXfqfONYwWScgCAunW64UnDKP0ZzED4gazSOScE3&#10;eVivHh8yTLXr+Yvux1CJGMI+RQV1CG0qpS9rsujHriWO3Nl1FkOEXSV1h30Mt0a+JslMWmw4NtTY&#10;0ntN5eV4swry60swn4ed6fNDMZXFdT/9ue2Ven4aNksQgYbwL/5zb7WCxVtcG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XzNdxAAAANwAAAAPAAAAAAAAAAAA&#10;AAAAAKECAABkcnMvZG93bnJldi54bWxQSwUGAAAAAAQABAD5AAAAkgMAAAAA&#10;" strokecolor="#231f20" strokeweight=".5pt"/>
                <w10:anchorlock/>
              </v:group>
            </w:pict>
          </mc:Fallback>
        </mc:AlternateContent>
      </w:r>
    </w:p>
    <w:p w14:paraId="10C242A8" w14:textId="77777777" w:rsidR="00DE575E" w:rsidRDefault="00DE575E">
      <w:pPr>
        <w:pStyle w:val="BodyText"/>
        <w:spacing w:before="7"/>
        <w:rPr>
          <w:rFonts w:ascii="AdonisC"/>
          <w:i/>
          <w:sz w:val="11"/>
        </w:rPr>
      </w:pPr>
    </w:p>
    <w:p w14:paraId="0783DBEF" w14:textId="77777777" w:rsidR="00DE575E" w:rsidRDefault="002E7560">
      <w:pPr>
        <w:pStyle w:val="BodyText"/>
        <w:spacing w:before="101" w:line="252" w:lineRule="auto"/>
        <w:ind w:left="533" w:right="125" w:firstLine="283"/>
        <w:jc w:val="both"/>
      </w:pPr>
      <w:r>
        <w:rPr>
          <w:color w:val="231F20"/>
          <w:spacing w:val="1"/>
        </w:rPr>
        <w:t>Увипадках,</w:t>
      </w:r>
      <w:r>
        <w:rPr>
          <w:color w:val="231F20"/>
          <w:spacing w:val="-24"/>
        </w:rPr>
        <w:t xml:space="preserve"> </w:t>
      </w:r>
      <w:r>
        <w:rPr>
          <w:color w:val="231F20"/>
        </w:rPr>
        <w:t>установлених</w:t>
      </w:r>
      <w:r>
        <w:rPr>
          <w:color w:val="231F20"/>
          <w:spacing w:val="-24"/>
        </w:rPr>
        <w:t xml:space="preserve"> </w:t>
      </w:r>
      <w:r>
        <w:rPr>
          <w:color w:val="231F20"/>
        </w:rPr>
        <w:t>законом,</w:t>
      </w:r>
      <w:r>
        <w:rPr>
          <w:color w:val="231F20"/>
          <w:spacing w:val="-24"/>
        </w:rPr>
        <w:t xml:space="preserve"> </w:t>
      </w:r>
      <w:r>
        <w:rPr>
          <w:color w:val="231F20"/>
        </w:rPr>
        <w:t>здатність</w:t>
      </w:r>
      <w:r>
        <w:rPr>
          <w:color w:val="231F20"/>
          <w:spacing w:val="-24"/>
        </w:rPr>
        <w:t xml:space="preserve"> </w:t>
      </w:r>
      <w:r>
        <w:rPr>
          <w:color w:val="231F20"/>
          <w:spacing w:val="1"/>
        </w:rPr>
        <w:t xml:space="preserve">матиокреміцивільні </w:t>
      </w:r>
      <w:r>
        <w:rPr>
          <w:color w:val="231F20"/>
        </w:rPr>
        <w:t>права</w:t>
      </w:r>
      <w:r>
        <w:rPr>
          <w:color w:val="231F20"/>
          <w:spacing w:val="-8"/>
        </w:rPr>
        <w:t xml:space="preserve"> </w:t>
      </w:r>
      <w:r>
        <w:rPr>
          <w:color w:val="231F20"/>
        </w:rPr>
        <w:t>та</w:t>
      </w:r>
      <w:r>
        <w:rPr>
          <w:color w:val="231F20"/>
          <w:spacing w:val="-8"/>
        </w:rPr>
        <w:t xml:space="preserve"> </w:t>
      </w:r>
      <w:r>
        <w:rPr>
          <w:color w:val="231F20"/>
        </w:rPr>
        <w:t>обов’язки</w:t>
      </w:r>
      <w:r>
        <w:rPr>
          <w:color w:val="231F20"/>
          <w:spacing w:val="-8"/>
        </w:rPr>
        <w:t xml:space="preserve"> </w:t>
      </w:r>
      <w:r>
        <w:rPr>
          <w:color w:val="231F20"/>
        </w:rPr>
        <w:t>може</w:t>
      </w:r>
      <w:r>
        <w:rPr>
          <w:color w:val="231F20"/>
          <w:spacing w:val="-8"/>
        </w:rPr>
        <w:t xml:space="preserve"> </w:t>
      </w:r>
      <w:r>
        <w:rPr>
          <w:color w:val="231F20"/>
        </w:rPr>
        <w:t>пов’язуватися</w:t>
      </w:r>
      <w:r>
        <w:rPr>
          <w:color w:val="231F20"/>
          <w:spacing w:val="-8"/>
        </w:rPr>
        <w:t xml:space="preserve"> </w:t>
      </w:r>
      <w:r>
        <w:rPr>
          <w:color w:val="231F20"/>
        </w:rPr>
        <w:t>з</w:t>
      </w:r>
      <w:r>
        <w:rPr>
          <w:color w:val="231F20"/>
          <w:spacing w:val="-8"/>
        </w:rPr>
        <w:t xml:space="preserve"> </w:t>
      </w:r>
      <w:r>
        <w:rPr>
          <w:color w:val="231F20"/>
        </w:rPr>
        <w:t>досягненням</w:t>
      </w:r>
      <w:r>
        <w:rPr>
          <w:color w:val="231F20"/>
          <w:spacing w:val="-8"/>
        </w:rPr>
        <w:t xml:space="preserve"> </w:t>
      </w:r>
      <w:r>
        <w:rPr>
          <w:color w:val="231F20"/>
        </w:rPr>
        <w:t>особою</w:t>
      </w:r>
      <w:r>
        <w:rPr>
          <w:color w:val="231F20"/>
          <w:spacing w:val="-8"/>
        </w:rPr>
        <w:t xml:space="preserve"> </w:t>
      </w:r>
      <w:r>
        <w:rPr>
          <w:color w:val="231F20"/>
        </w:rPr>
        <w:t xml:space="preserve">відпо- відного віку (ч. 3 </w:t>
      </w:r>
      <w:r>
        <w:rPr>
          <w:color w:val="231F20"/>
          <w:spacing w:val="-6"/>
        </w:rPr>
        <w:t xml:space="preserve">ст. </w:t>
      </w:r>
      <w:r>
        <w:rPr>
          <w:color w:val="231F20"/>
        </w:rPr>
        <w:t xml:space="preserve">25 Цивільного кодексу </w:t>
      </w:r>
      <w:r>
        <w:rPr>
          <w:color w:val="231F20"/>
          <w:spacing w:val="-3"/>
        </w:rPr>
        <w:t xml:space="preserve">України). </w:t>
      </w:r>
      <w:r>
        <w:rPr>
          <w:color w:val="231F20"/>
          <w:spacing w:val="-5"/>
        </w:rPr>
        <w:t xml:space="preserve">Тому </w:t>
      </w:r>
      <w:r>
        <w:rPr>
          <w:color w:val="231F20"/>
        </w:rPr>
        <w:t xml:space="preserve">і спожи- вачем окремих адміністративних послуг особа може бути по досяг- ненні певного </w:t>
      </w:r>
      <w:r>
        <w:rPr>
          <w:color w:val="231F20"/>
          <w:spacing w:val="-4"/>
        </w:rPr>
        <w:t>віку.</w:t>
      </w:r>
    </w:p>
    <w:p w14:paraId="68991C70" w14:textId="77777777" w:rsidR="00DE575E" w:rsidRDefault="002E7560">
      <w:pPr>
        <w:spacing w:before="101" w:line="244" w:lineRule="auto"/>
        <w:ind w:left="817" w:right="128" w:firstLine="283"/>
        <w:jc w:val="both"/>
        <w:rPr>
          <w:i/>
          <w:sz w:val="18"/>
        </w:rPr>
      </w:pPr>
      <w:r>
        <w:rPr>
          <w:i/>
          <w:color w:val="231F20"/>
          <w:sz w:val="18"/>
          <w:u w:val="single" w:color="231F20"/>
        </w:rPr>
        <w:t>Приклад:</w:t>
      </w:r>
      <w:r>
        <w:rPr>
          <w:i/>
          <w:color w:val="231F20"/>
          <w:sz w:val="18"/>
        </w:rPr>
        <w:t xml:space="preserve"> отримати паспорт  громадянина  України  можна  з  14  років, а посвідчення на право керування транспортними засобами категорії «А1» та «А» – з</w:t>
      </w:r>
      <w:r>
        <w:rPr>
          <w:i/>
          <w:color w:val="231F20"/>
          <w:spacing w:val="-4"/>
          <w:sz w:val="18"/>
        </w:rPr>
        <w:t xml:space="preserve"> </w:t>
      </w:r>
      <w:r>
        <w:rPr>
          <w:i/>
          <w:color w:val="231F20"/>
          <w:sz w:val="18"/>
        </w:rPr>
        <w:t>16.</w:t>
      </w:r>
    </w:p>
    <w:p w14:paraId="54E4F2DE" w14:textId="77777777" w:rsidR="00DE575E" w:rsidRDefault="002E7560">
      <w:pPr>
        <w:pStyle w:val="BodyText"/>
        <w:spacing w:before="130" w:line="252" w:lineRule="auto"/>
        <w:ind w:left="533" w:right="125" w:firstLine="283"/>
        <w:jc w:val="both"/>
      </w:pPr>
      <w:r>
        <w:rPr>
          <w:b/>
          <w:i/>
          <w:color w:val="231F20"/>
          <w:spacing w:val="-3"/>
        </w:rPr>
        <w:t>Суб’єкт</w:t>
      </w:r>
      <w:r>
        <w:rPr>
          <w:b/>
          <w:i/>
          <w:color w:val="231F20"/>
          <w:spacing w:val="-3"/>
        </w:rPr>
        <w:t xml:space="preserve">ами </w:t>
      </w:r>
      <w:r>
        <w:rPr>
          <w:b/>
          <w:i/>
          <w:color w:val="231F20"/>
        </w:rPr>
        <w:t xml:space="preserve">звернення </w:t>
      </w:r>
      <w:r>
        <w:rPr>
          <w:color w:val="231F20"/>
        </w:rPr>
        <w:t>з приводу надання адміністративних послуг є і фізичні особи-підприємці, оскільки частиною 2 статті 9 Закону</w:t>
      </w:r>
      <w:r>
        <w:rPr>
          <w:color w:val="231F20"/>
          <w:spacing w:val="-12"/>
        </w:rPr>
        <w:t xml:space="preserve"> </w:t>
      </w:r>
      <w:r>
        <w:rPr>
          <w:color w:val="231F20"/>
        </w:rPr>
        <w:t>«Про</w:t>
      </w:r>
      <w:r>
        <w:rPr>
          <w:color w:val="231F20"/>
          <w:spacing w:val="-12"/>
        </w:rPr>
        <w:t xml:space="preserve"> </w:t>
      </w:r>
      <w:r>
        <w:rPr>
          <w:color w:val="231F20"/>
        </w:rPr>
        <w:t>адміністративні</w:t>
      </w:r>
      <w:r>
        <w:rPr>
          <w:color w:val="231F20"/>
          <w:spacing w:val="-12"/>
        </w:rPr>
        <w:t xml:space="preserve"> </w:t>
      </w:r>
      <w:r>
        <w:rPr>
          <w:color w:val="231F20"/>
        </w:rPr>
        <w:t>послуги»</w:t>
      </w:r>
      <w:r>
        <w:rPr>
          <w:color w:val="231F20"/>
          <w:spacing w:val="-12"/>
        </w:rPr>
        <w:t xml:space="preserve"> </w:t>
      </w:r>
      <w:r>
        <w:rPr>
          <w:color w:val="231F20"/>
        </w:rPr>
        <w:t>прямо</w:t>
      </w:r>
      <w:r>
        <w:rPr>
          <w:color w:val="231F20"/>
          <w:spacing w:val="-12"/>
        </w:rPr>
        <w:t xml:space="preserve"> </w:t>
      </w:r>
      <w:r>
        <w:rPr>
          <w:color w:val="231F20"/>
        </w:rPr>
        <w:t>передбачено,</w:t>
      </w:r>
      <w:r>
        <w:rPr>
          <w:color w:val="231F20"/>
          <w:spacing w:val="-12"/>
        </w:rPr>
        <w:t xml:space="preserve"> </w:t>
      </w:r>
      <w:r>
        <w:rPr>
          <w:color w:val="231F20"/>
        </w:rPr>
        <w:t>що</w:t>
      </w:r>
      <w:r>
        <w:rPr>
          <w:color w:val="231F20"/>
          <w:spacing w:val="-12"/>
        </w:rPr>
        <w:t xml:space="preserve"> </w:t>
      </w:r>
      <w:r>
        <w:rPr>
          <w:color w:val="231F20"/>
        </w:rPr>
        <w:t>право на</w:t>
      </w:r>
      <w:r>
        <w:rPr>
          <w:color w:val="231F20"/>
          <w:spacing w:val="-15"/>
        </w:rPr>
        <w:t xml:space="preserve"> </w:t>
      </w:r>
      <w:r>
        <w:rPr>
          <w:color w:val="231F20"/>
        </w:rPr>
        <w:t>отримання</w:t>
      </w:r>
      <w:r>
        <w:rPr>
          <w:color w:val="231F20"/>
          <w:spacing w:val="-15"/>
        </w:rPr>
        <w:t xml:space="preserve"> </w:t>
      </w:r>
      <w:r>
        <w:rPr>
          <w:color w:val="231F20"/>
        </w:rPr>
        <w:t>адміністративної</w:t>
      </w:r>
      <w:r>
        <w:rPr>
          <w:color w:val="231F20"/>
          <w:spacing w:val="-15"/>
        </w:rPr>
        <w:t xml:space="preserve"> </w:t>
      </w:r>
      <w:r>
        <w:rPr>
          <w:color w:val="231F20"/>
        </w:rPr>
        <w:t>послуги</w:t>
      </w:r>
      <w:r>
        <w:rPr>
          <w:color w:val="231F20"/>
          <w:spacing w:val="-15"/>
        </w:rPr>
        <w:t xml:space="preserve"> </w:t>
      </w:r>
      <w:r>
        <w:rPr>
          <w:color w:val="231F20"/>
        </w:rPr>
        <w:t>має</w:t>
      </w:r>
      <w:r>
        <w:rPr>
          <w:color w:val="231F20"/>
          <w:spacing w:val="-15"/>
        </w:rPr>
        <w:t xml:space="preserve"> </w:t>
      </w:r>
      <w:r>
        <w:rPr>
          <w:color w:val="231F20"/>
        </w:rPr>
        <w:t>«фізична</w:t>
      </w:r>
      <w:r>
        <w:rPr>
          <w:color w:val="231F20"/>
          <w:spacing w:val="-15"/>
        </w:rPr>
        <w:t xml:space="preserve"> </w:t>
      </w:r>
      <w:r>
        <w:rPr>
          <w:color w:val="231F20"/>
        </w:rPr>
        <w:t>особа,</w:t>
      </w:r>
      <w:r>
        <w:rPr>
          <w:color w:val="231F20"/>
          <w:spacing w:val="-15"/>
        </w:rPr>
        <w:t xml:space="preserve"> </w:t>
      </w:r>
      <w:r>
        <w:rPr>
          <w:color w:val="231F20"/>
        </w:rPr>
        <w:t>зокрема фізична особа –</w:t>
      </w:r>
      <w:r>
        <w:rPr>
          <w:color w:val="231F20"/>
          <w:spacing w:val="-3"/>
        </w:rPr>
        <w:t xml:space="preserve"> </w:t>
      </w:r>
      <w:r>
        <w:rPr>
          <w:color w:val="231F20"/>
        </w:rPr>
        <w:t>підприємець».</w:t>
      </w:r>
    </w:p>
    <w:p w14:paraId="6E4603FD" w14:textId="77777777" w:rsidR="00DE575E" w:rsidRDefault="002E7560">
      <w:pPr>
        <w:pStyle w:val="BodyText"/>
        <w:spacing w:before="3" w:line="252" w:lineRule="auto"/>
        <w:ind w:left="533" w:right="127" w:firstLine="283"/>
        <w:jc w:val="both"/>
      </w:pPr>
      <w:r>
        <w:rPr>
          <w:color w:val="231F20"/>
        </w:rPr>
        <w:t xml:space="preserve">Відповідно до Цивільного кодексу України право на здійснення підприємницької діяльності, яку не заборонено законом, має фізична особа з повною цивільною дієздатністю, яке вона здійснює за умови її державної реєстрації </w:t>
      </w:r>
      <w:r>
        <w:rPr>
          <w:color w:val="231F20"/>
        </w:rPr>
        <w:t>в порядку, встановленому законом (ч. 1, ч. 2 ст. 50).</w:t>
      </w:r>
    </w:p>
    <w:p w14:paraId="0F13FCD8" w14:textId="77777777" w:rsidR="00DE575E" w:rsidRDefault="002E7560">
      <w:pPr>
        <w:pStyle w:val="BodyText"/>
        <w:spacing w:before="2" w:line="252" w:lineRule="auto"/>
        <w:ind w:left="533" w:right="127" w:firstLine="283"/>
        <w:jc w:val="both"/>
      </w:pPr>
      <w:r>
        <w:rPr>
          <w:b/>
          <w:i/>
          <w:color w:val="231F20"/>
        </w:rPr>
        <w:t xml:space="preserve">До споживачів адміністративних послуг </w:t>
      </w:r>
      <w:r>
        <w:rPr>
          <w:color w:val="231F20"/>
        </w:rPr>
        <w:t>належать юридичні особи. ЦКУ визначено, що юридичною особою є організація, ство- рена</w:t>
      </w:r>
      <w:r>
        <w:rPr>
          <w:color w:val="231F20"/>
          <w:spacing w:val="-11"/>
        </w:rPr>
        <w:t xml:space="preserve"> </w:t>
      </w:r>
      <w:r>
        <w:rPr>
          <w:color w:val="231F20"/>
        </w:rPr>
        <w:t>та</w:t>
      </w:r>
      <w:r>
        <w:rPr>
          <w:color w:val="231F20"/>
          <w:spacing w:val="-11"/>
        </w:rPr>
        <w:t xml:space="preserve"> </w:t>
      </w:r>
      <w:r>
        <w:rPr>
          <w:color w:val="231F20"/>
        </w:rPr>
        <w:t>зареєстрована</w:t>
      </w:r>
      <w:r>
        <w:rPr>
          <w:color w:val="231F20"/>
          <w:spacing w:val="-10"/>
        </w:rPr>
        <w:t xml:space="preserve"> </w:t>
      </w:r>
      <w:r>
        <w:rPr>
          <w:color w:val="231F20"/>
        </w:rPr>
        <w:t>у</w:t>
      </w:r>
      <w:r>
        <w:rPr>
          <w:color w:val="231F20"/>
          <w:spacing w:val="-10"/>
        </w:rPr>
        <w:t xml:space="preserve"> </w:t>
      </w:r>
      <w:r>
        <w:rPr>
          <w:color w:val="231F20"/>
        </w:rPr>
        <w:t>встановленому</w:t>
      </w:r>
      <w:r>
        <w:rPr>
          <w:color w:val="231F20"/>
          <w:spacing w:val="-11"/>
        </w:rPr>
        <w:t xml:space="preserve"> </w:t>
      </w:r>
      <w:r>
        <w:rPr>
          <w:color w:val="231F20"/>
        </w:rPr>
        <w:t>законом</w:t>
      </w:r>
      <w:r>
        <w:rPr>
          <w:color w:val="231F20"/>
          <w:spacing w:val="-11"/>
        </w:rPr>
        <w:t xml:space="preserve"> </w:t>
      </w:r>
      <w:r>
        <w:rPr>
          <w:color w:val="231F20"/>
        </w:rPr>
        <w:t>порядку</w:t>
      </w:r>
      <w:r>
        <w:rPr>
          <w:color w:val="231F20"/>
          <w:spacing w:val="-11"/>
        </w:rPr>
        <w:t xml:space="preserve"> </w:t>
      </w:r>
      <w:r>
        <w:rPr>
          <w:color w:val="231F20"/>
        </w:rPr>
        <w:t>(ч.</w:t>
      </w:r>
      <w:r>
        <w:rPr>
          <w:color w:val="231F20"/>
          <w:spacing w:val="-7"/>
        </w:rPr>
        <w:t xml:space="preserve"> </w:t>
      </w:r>
      <w:r>
        <w:rPr>
          <w:color w:val="231F20"/>
        </w:rPr>
        <w:t>1</w:t>
      </w:r>
      <w:r>
        <w:rPr>
          <w:color w:val="231F20"/>
          <w:spacing w:val="-11"/>
        </w:rPr>
        <w:t xml:space="preserve"> </w:t>
      </w:r>
      <w:r>
        <w:rPr>
          <w:color w:val="231F20"/>
          <w:spacing w:val="-6"/>
        </w:rPr>
        <w:t>ст.</w:t>
      </w:r>
      <w:r>
        <w:rPr>
          <w:color w:val="231F20"/>
          <w:spacing w:val="-7"/>
        </w:rPr>
        <w:t xml:space="preserve"> </w:t>
      </w:r>
      <w:r>
        <w:rPr>
          <w:color w:val="231F20"/>
        </w:rPr>
        <w:t>80). Залежно від по</w:t>
      </w:r>
      <w:r>
        <w:rPr>
          <w:color w:val="231F20"/>
        </w:rPr>
        <w:t>рядку створення юридичні особи поділяються на юридичних осіб приватного права та юридичних осіб публічного права.</w:t>
      </w:r>
    </w:p>
    <w:p w14:paraId="0CD7AEBB" w14:textId="77777777" w:rsidR="00DE575E" w:rsidRDefault="002E7560">
      <w:pPr>
        <w:spacing w:before="3" w:line="252" w:lineRule="auto"/>
        <w:ind w:left="533" w:right="128" w:firstLine="283"/>
        <w:jc w:val="both"/>
        <w:rPr>
          <w:sz w:val="21"/>
        </w:rPr>
      </w:pPr>
      <w:r>
        <w:rPr>
          <w:i/>
          <w:color w:val="231F20"/>
          <w:sz w:val="21"/>
        </w:rPr>
        <w:t xml:space="preserve">Юридична особа приватного права </w:t>
      </w:r>
      <w:r>
        <w:rPr>
          <w:color w:val="231F20"/>
          <w:sz w:val="21"/>
        </w:rPr>
        <w:t>створюється на підставі уста- новчих документів відповідно до ст. 87 Цивільного кодексу України учасниками (за</w:t>
      </w:r>
      <w:r>
        <w:rPr>
          <w:color w:val="231F20"/>
          <w:sz w:val="21"/>
        </w:rPr>
        <w:t>сновниками).</w:t>
      </w:r>
    </w:p>
    <w:p w14:paraId="4957019E" w14:textId="77777777" w:rsidR="00DE575E" w:rsidRDefault="002E7560">
      <w:pPr>
        <w:pStyle w:val="BodyText"/>
        <w:spacing w:before="2" w:line="252" w:lineRule="auto"/>
        <w:ind w:left="533" w:right="128" w:firstLine="283"/>
        <w:jc w:val="both"/>
      </w:pPr>
      <w:r>
        <w:rPr>
          <w:i/>
          <w:color w:val="231F20"/>
        </w:rPr>
        <w:t xml:space="preserve">Юридична особа публічного права </w:t>
      </w:r>
      <w:r>
        <w:rPr>
          <w:color w:val="231F20"/>
        </w:rPr>
        <w:t>створюється розпорядчим актом Президента України, органу державної влади, органу влади Автономної Республіки Крим або органу місцевого самовряду- вання» (ч. 2 ст. 81)</w:t>
      </w:r>
      <w:r>
        <w:rPr>
          <w:color w:val="231F20"/>
          <w:position w:val="7"/>
          <w:sz w:val="12"/>
        </w:rPr>
        <w:t>1</w:t>
      </w:r>
      <w:r>
        <w:rPr>
          <w:color w:val="231F20"/>
        </w:rPr>
        <w:t>.</w:t>
      </w:r>
    </w:p>
    <w:p w14:paraId="29E5E164" w14:textId="77777777" w:rsidR="00DE575E" w:rsidRDefault="002E7560">
      <w:pPr>
        <w:pStyle w:val="BodyText"/>
        <w:spacing w:before="2" w:line="252" w:lineRule="auto"/>
        <w:ind w:left="533" w:right="127" w:firstLine="283"/>
        <w:jc w:val="both"/>
      </w:pPr>
      <w:r>
        <w:rPr>
          <w:color w:val="231F20"/>
        </w:rPr>
        <w:t>Потрібно зазначити, що деякі види адмініст</w:t>
      </w:r>
      <w:r>
        <w:rPr>
          <w:color w:val="231F20"/>
        </w:rPr>
        <w:t>ративних послуг можуть</w:t>
      </w:r>
      <w:r>
        <w:rPr>
          <w:color w:val="231F20"/>
          <w:spacing w:val="-12"/>
        </w:rPr>
        <w:t xml:space="preserve"> </w:t>
      </w:r>
      <w:r>
        <w:rPr>
          <w:color w:val="231F20"/>
        </w:rPr>
        <w:t>отримувати</w:t>
      </w:r>
      <w:r>
        <w:rPr>
          <w:color w:val="231F20"/>
          <w:spacing w:val="-12"/>
        </w:rPr>
        <w:t xml:space="preserve"> </w:t>
      </w:r>
      <w:r>
        <w:rPr>
          <w:color w:val="231F20"/>
        </w:rPr>
        <w:t>лише</w:t>
      </w:r>
      <w:r>
        <w:rPr>
          <w:color w:val="231F20"/>
          <w:spacing w:val="-12"/>
        </w:rPr>
        <w:t xml:space="preserve"> </w:t>
      </w:r>
      <w:r>
        <w:rPr>
          <w:color w:val="231F20"/>
        </w:rPr>
        <w:t>окремі</w:t>
      </w:r>
      <w:r>
        <w:rPr>
          <w:color w:val="231F20"/>
          <w:spacing w:val="-12"/>
        </w:rPr>
        <w:t xml:space="preserve"> </w:t>
      </w:r>
      <w:r>
        <w:rPr>
          <w:color w:val="231F20"/>
        </w:rPr>
        <w:t>групи</w:t>
      </w:r>
      <w:r>
        <w:rPr>
          <w:color w:val="231F20"/>
          <w:spacing w:val="-12"/>
        </w:rPr>
        <w:t xml:space="preserve"> </w:t>
      </w:r>
      <w:r>
        <w:rPr>
          <w:color w:val="231F20"/>
          <w:spacing w:val="-3"/>
        </w:rPr>
        <w:t>суб’єктів.</w:t>
      </w:r>
      <w:r>
        <w:rPr>
          <w:color w:val="231F20"/>
          <w:spacing w:val="-12"/>
        </w:rPr>
        <w:t xml:space="preserve"> </w:t>
      </w:r>
      <w:r>
        <w:rPr>
          <w:color w:val="231F20"/>
          <w:spacing w:val="-4"/>
        </w:rPr>
        <w:t>Так,</w:t>
      </w:r>
      <w:r>
        <w:rPr>
          <w:color w:val="231F20"/>
          <w:spacing w:val="-12"/>
        </w:rPr>
        <w:t xml:space="preserve"> </w:t>
      </w:r>
      <w:r>
        <w:rPr>
          <w:color w:val="231F20"/>
        </w:rPr>
        <w:t>паспорт</w:t>
      </w:r>
      <w:r>
        <w:rPr>
          <w:color w:val="231F20"/>
          <w:spacing w:val="-12"/>
        </w:rPr>
        <w:t xml:space="preserve"> </w:t>
      </w:r>
      <w:r>
        <w:rPr>
          <w:color w:val="231F20"/>
        </w:rPr>
        <w:t xml:space="preserve">грома- дянина </w:t>
      </w:r>
      <w:r>
        <w:rPr>
          <w:color w:val="231F20"/>
          <w:spacing w:val="-3"/>
        </w:rPr>
        <w:t xml:space="preserve">України </w:t>
      </w:r>
      <w:r>
        <w:rPr>
          <w:color w:val="231F20"/>
        </w:rPr>
        <w:t xml:space="preserve">можуть та зобов’язані отримати лише громадяни </w:t>
      </w:r>
      <w:r>
        <w:rPr>
          <w:color w:val="231F20"/>
          <w:spacing w:val="-3"/>
        </w:rPr>
        <w:t xml:space="preserve">України, </w:t>
      </w:r>
      <w:r>
        <w:rPr>
          <w:color w:val="231F20"/>
        </w:rPr>
        <w:t>а певний вид ліценції – лише юридична особа. Окрім того переважну</w:t>
      </w:r>
      <w:r>
        <w:rPr>
          <w:color w:val="231F20"/>
          <w:spacing w:val="-17"/>
        </w:rPr>
        <w:t xml:space="preserve"> </w:t>
      </w:r>
      <w:r>
        <w:rPr>
          <w:color w:val="231F20"/>
        </w:rPr>
        <w:t>більшість</w:t>
      </w:r>
      <w:r>
        <w:rPr>
          <w:color w:val="231F20"/>
          <w:spacing w:val="-17"/>
        </w:rPr>
        <w:t xml:space="preserve"> </w:t>
      </w:r>
      <w:r>
        <w:rPr>
          <w:color w:val="231F20"/>
        </w:rPr>
        <w:t>адміністративних</w:t>
      </w:r>
      <w:r>
        <w:rPr>
          <w:color w:val="231F20"/>
          <w:spacing w:val="-17"/>
        </w:rPr>
        <w:t xml:space="preserve"> </w:t>
      </w:r>
      <w:r>
        <w:rPr>
          <w:color w:val="231F20"/>
        </w:rPr>
        <w:t>послуг</w:t>
      </w:r>
      <w:r>
        <w:rPr>
          <w:color w:val="231F20"/>
          <w:spacing w:val="-17"/>
        </w:rPr>
        <w:t xml:space="preserve"> </w:t>
      </w:r>
      <w:r>
        <w:rPr>
          <w:color w:val="231F20"/>
        </w:rPr>
        <w:t>законодавство</w:t>
      </w:r>
      <w:r>
        <w:rPr>
          <w:color w:val="231F20"/>
          <w:spacing w:val="-17"/>
        </w:rPr>
        <w:t xml:space="preserve"> </w:t>
      </w:r>
      <w:r>
        <w:rPr>
          <w:color w:val="231F20"/>
        </w:rPr>
        <w:t>дозво- ляє</w:t>
      </w:r>
      <w:r>
        <w:rPr>
          <w:color w:val="231F20"/>
          <w:spacing w:val="25"/>
        </w:rPr>
        <w:t xml:space="preserve"> </w:t>
      </w:r>
      <w:r>
        <w:rPr>
          <w:color w:val="231F20"/>
        </w:rPr>
        <w:t>отримувати</w:t>
      </w:r>
      <w:r>
        <w:rPr>
          <w:color w:val="231F20"/>
          <w:spacing w:val="25"/>
        </w:rPr>
        <w:t xml:space="preserve"> </w:t>
      </w:r>
      <w:r>
        <w:rPr>
          <w:color w:val="231F20"/>
        </w:rPr>
        <w:t>через</w:t>
      </w:r>
      <w:r>
        <w:rPr>
          <w:color w:val="231F20"/>
          <w:spacing w:val="25"/>
        </w:rPr>
        <w:t xml:space="preserve"> </w:t>
      </w:r>
      <w:r>
        <w:rPr>
          <w:color w:val="231F20"/>
        </w:rPr>
        <w:t>представника</w:t>
      </w:r>
      <w:r>
        <w:rPr>
          <w:color w:val="231F20"/>
          <w:spacing w:val="25"/>
        </w:rPr>
        <w:t xml:space="preserve"> </w:t>
      </w:r>
      <w:r>
        <w:rPr>
          <w:color w:val="231F20"/>
        </w:rPr>
        <w:t>за</w:t>
      </w:r>
      <w:r>
        <w:rPr>
          <w:color w:val="231F20"/>
          <w:spacing w:val="25"/>
        </w:rPr>
        <w:t xml:space="preserve"> </w:t>
      </w:r>
      <w:r>
        <w:rPr>
          <w:color w:val="231F20"/>
        </w:rPr>
        <w:t>дорученням,</w:t>
      </w:r>
      <w:r>
        <w:rPr>
          <w:color w:val="231F20"/>
          <w:spacing w:val="25"/>
        </w:rPr>
        <w:t xml:space="preserve"> </w:t>
      </w:r>
      <w:r>
        <w:rPr>
          <w:color w:val="231F20"/>
        </w:rPr>
        <w:t>однак</w:t>
      </w:r>
      <w:r>
        <w:rPr>
          <w:color w:val="231F20"/>
          <w:spacing w:val="25"/>
        </w:rPr>
        <w:t xml:space="preserve"> </w:t>
      </w:r>
      <w:r>
        <w:rPr>
          <w:color w:val="231F20"/>
        </w:rPr>
        <w:t>окремі,</w:t>
      </w:r>
    </w:p>
    <w:p w14:paraId="73048EBE" w14:textId="594B1E2E" w:rsidR="00DE575E" w:rsidRDefault="002E7560">
      <w:pPr>
        <w:pStyle w:val="BodyText"/>
        <w:spacing w:before="1"/>
        <w:rPr>
          <w:sz w:val="16"/>
        </w:rPr>
      </w:pPr>
      <w:r>
        <w:rPr>
          <w:noProof/>
        </w:rPr>
        <mc:AlternateContent>
          <mc:Choice Requires="wps">
            <w:drawing>
              <wp:anchor distT="0" distB="0" distL="0" distR="0" simplePos="0" relativeHeight="7456" behindDoc="0" locked="0" layoutInCell="1" allowOverlap="1" wp14:anchorId="661FEC78" wp14:editId="697F7226">
                <wp:simplePos x="0" y="0"/>
                <wp:positionH relativeFrom="page">
                  <wp:posOffset>719455</wp:posOffset>
                </wp:positionH>
                <wp:positionV relativeFrom="paragraph">
                  <wp:posOffset>147320</wp:posOffset>
                </wp:positionV>
                <wp:extent cx="1080135" cy="0"/>
                <wp:effectExtent l="8255" t="7620" r="29210" b="30480"/>
                <wp:wrapTopAndBottom/>
                <wp:docPr id="956"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E5FD6" id="Line_x0020_955" o:spid="_x0000_s1026" style="position:absolute;z-index: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6pt" to="141.7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f6fyMCAABF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" strokecolor="#231f20" strokeweight=".5pt">
                <w10:wrap type="topAndBottom" anchorx="page"/>
              </v:line>
            </w:pict>
          </mc:Fallback>
        </mc:AlternateContent>
      </w:r>
    </w:p>
    <w:p w14:paraId="10E511ED" w14:textId="77777777" w:rsidR="00DE575E" w:rsidRDefault="002E7560">
      <w:pPr>
        <w:spacing w:line="162" w:lineRule="exact"/>
        <w:ind w:left="533"/>
        <w:rPr>
          <w:sz w:val="16"/>
        </w:rPr>
      </w:pPr>
      <w:r>
        <w:rPr>
          <w:color w:val="231F20"/>
          <w:position w:val="5"/>
          <w:sz w:val="9"/>
        </w:rPr>
        <w:t xml:space="preserve">1 </w:t>
      </w:r>
      <w:r>
        <w:rPr>
          <w:color w:val="231F20"/>
          <w:sz w:val="16"/>
        </w:rPr>
        <w:t>Цивільний кодекс України від 16.01.2003. № 435-IV.</w:t>
      </w:r>
    </w:p>
    <w:p w14:paraId="3EED7129" w14:textId="77777777" w:rsidR="00DE575E" w:rsidRDefault="00DE575E">
      <w:pPr>
        <w:pStyle w:val="BodyText"/>
        <w:spacing w:before="10"/>
        <w:rPr>
          <w:sz w:val="11"/>
        </w:rPr>
      </w:pPr>
    </w:p>
    <w:p w14:paraId="361B1759" w14:textId="77777777" w:rsidR="00DE575E" w:rsidRDefault="002E7560">
      <w:pPr>
        <w:spacing w:before="92"/>
        <w:ind w:left="533"/>
        <w:rPr>
          <w:rFonts w:ascii="Times New Roman"/>
          <w:sz w:val="20"/>
        </w:rPr>
      </w:pPr>
      <w:r>
        <w:rPr>
          <w:rFonts w:ascii="Times New Roman"/>
          <w:color w:val="231F20"/>
          <w:sz w:val="20"/>
        </w:rPr>
        <w:t>184</w:t>
      </w:r>
    </w:p>
    <w:p w14:paraId="485B88EC" w14:textId="77777777" w:rsidR="00DE575E" w:rsidRDefault="00DE575E">
      <w:pPr>
        <w:rPr>
          <w:rFonts w:ascii="Times New Roman"/>
          <w:sz w:val="20"/>
        </w:rPr>
        <w:sectPr w:rsidR="00DE575E">
          <w:pgSz w:w="8510" w:h="12760"/>
          <w:pgMar w:top="660" w:right="720" w:bottom="280" w:left="600" w:header="720" w:footer="720" w:gutter="0"/>
          <w:cols w:space="720"/>
        </w:sectPr>
      </w:pPr>
    </w:p>
    <w:p w14:paraId="7AA0AC88"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0107E5B4" w14:textId="3941E02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1BFB28C" wp14:editId="26482861">
                <wp:extent cx="4140200" cy="6350"/>
                <wp:effectExtent l="0" t="0" r="12700" b="6350"/>
                <wp:docPr id="954"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55" name="Line 95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30A440" id="Group_x0020_95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6/OUd/AgAAmAUAAA4A&#10;AAAAAAAAAAAAAAAALAIAAGRycy9lMm9Eb2MueG1sUEsBAi0AFAAGAAgAAAAhAEynsJDZAAAAAwEA&#10;AA8AAAAAAAAAAAAAAAAA1wQAAGRycy9kb3ducmV2LnhtbFBLBQYAAAAABAAEAPMAAADdBQAAAAA=&#10;">
                <v:line id="Line_x0020_95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6cw8YAAADcAAAADwAAAGRycy9kb3ducmV2LnhtbESP0WrCQBRE3wX/YbmCL6VuVCw1uooU&#10;CqUP2pp+wDV7TYK7d2N2NWm/3hUKPg4zc4ZZrjtrxJUaXzlWMB4lIIhzpysuFPxk78+vIHxA1mgc&#10;k4Jf8rBe9XtLTLVr+Zuu+1CICGGfooIyhDqV0uclWfQjVxNH7+gaiyHKppC6wTbCrZGTJHmRFiuO&#10;CyXW9FZSftpfrILs/BTM1+7TtNnuMJWH83b6d9kqNRx0mwWIQF14hP/bH1rBfDaD+5l4BOTq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enMPGAAAA3AAAAA8AAAAAAAAA&#10;AAAAAAAAoQIAAGRycy9kb3ducmV2LnhtbFBLBQYAAAAABAAEAPkAAACUAwAAAAA=&#10;" strokecolor="#231f20" strokeweight=".5pt"/>
                <w10:anchorlock/>
              </v:group>
            </w:pict>
          </mc:Fallback>
        </mc:AlternateContent>
      </w:r>
    </w:p>
    <w:p w14:paraId="2703ED74" w14:textId="77777777" w:rsidR="00DE575E" w:rsidRDefault="00DE575E">
      <w:pPr>
        <w:pStyle w:val="BodyText"/>
        <w:spacing w:before="7"/>
        <w:rPr>
          <w:rFonts w:ascii="AdonisC"/>
          <w:i/>
          <w:sz w:val="19"/>
        </w:rPr>
      </w:pPr>
    </w:p>
    <w:p w14:paraId="5CB9446C" w14:textId="77777777" w:rsidR="00DE575E" w:rsidRDefault="002E7560">
      <w:pPr>
        <w:pStyle w:val="BodyText"/>
        <w:spacing w:before="1" w:line="252" w:lineRule="auto"/>
        <w:ind w:left="250" w:right="128"/>
      </w:pPr>
      <w:r>
        <w:rPr>
          <w:color w:val="231F20"/>
        </w:rPr>
        <w:t>як наприклад згаданий паспорт громадянина України, можна отри- мати лише особисто.</w:t>
      </w:r>
    </w:p>
    <w:p w14:paraId="4A82BAF0" w14:textId="77777777" w:rsidR="00DE575E" w:rsidRDefault="002E7560">
      <w:pPr>
        <w:pStyle w:val="Heading5"/>
        <w:spacing w:before="1" w:line="252" w:lineRule="auto"/>
        <w:ind w:left="250" w:right="411" w:firstLine="283"/>
        <w:jc w:val="both"/>
      </w:pPr>
      <w:r>
        <w:rPr>
          <w:color w:val="231F20"/>
        </w:rPr>
        <w:t xml:space="preserve">Отже, </w:t>
      </w:r>
      <w:r>
        <w:rPr>
          <w:color w:val="231F20"/>
          <w:spacing w:val="-3"/>
        </w:rPr>
        <w:t xml:space="preserve">суб’єктом </w:t>
      </w:r>
      <w:r>
        <w:rPr>
          <w:color w:val="231F20"/>
        </w:rPr>
        <w:t xml:space="preserve">звернення  </w:t>
      </w:r>
      <w:r>
        <w:rPr>
          <w:color w:val="231F20"/>
          <w:spacing w:val="-3"/>
        </w:rPr>
        <w:t xml:space="preserve">щодо  </w:t>
      </w:r>
      <w:r>
        <w:rPr>
          <w:color w:val="231F20"/>
        </w:rPr>
        <w:t xml:space="preserve">надання  адміністратив- ної послуги можуть бути: фізична особа (громадянин </w:t>
      </w:r>
      <w:r>
        <w:rPr>
          <w:color w:val="231F20"/>
          <w:spacing w:val="-4"/>
        </w:rPr>
        <w:t xml:space="preserve">України, </w:t>
      </w:r>
      <w:r>
        <w:rPr>
          <w:color w:val="231F20"/>
        </w:rPr>
        <w:t>іноземець, ос</w:t>
      </w:r>
      <w:r>
        <w:rPr>
          <w:color w:val="231F20"/>
        </w:rPr>
        <w:t>оба без громадянства); фізична особа-підприє- мець; юридична</w:t>
      </w:r>
      <w:r>
        <w:rPr>
          <w:color w:val="231F20"/>
          <w:spacing w:val="-2"/>
        </w:rPr>
        <w:t xml:space="preserve"> </w:t>
      </w:r>
      <w:r>
        <w:rPr>
          <w:color w:val="231F20"/>
        </w:rPr>
        <w:t>особа.</w:t>
      </w:r>
    </w:p>
    <w:p w14:paraId="144A674D" w14:textId="77777777" w:rsidR="00DE575E" w:rsidRDefault="00DE575E">
      <w:pPr>
        <w:pStyle w:val="BodyText"/>
        <w:spacing w:before="2"/>
        <w:rPr>
          <w:b/>
          <w:sz w:val="22"/>
        </w:rPr>
      </w:pPr>
    </w:p>
    <w:p w14:paraId="0569ADD9" w14:textId="77777777" w:rsidR="00DE575E" w:rsidRDefault="002E7560">
      <w:pPr>
        <w:ind w:left="533"/>
        <w:rPr>
          <w:b/>
          <w:sz w:val="21"/>
        </w:rPr>
      </w:pPr>
      <w:r>
        <w:rPr>
          <w:b/>
          <w:color w:val="231F20"/>
          <w:sz w:val="21"/>
        </w:rPr>
        <w:t>6.2.2. Суб’єкт надання адміністративних послуг</w:t>
      </w:r>
    </w:p>
    <w:p w14:paraId="423F0C23" w14:textId="77777777" w:rsidR="00DE575E" w:rsidRDefault="00DE575E">
      <w:pPr>
        <w:pStyle w:val="BodyText"/>
        <w:spacing w:before="2"/>
        <w:rPr>
          <w:b/>
          <w:sz w:val="23"/>
        </w:rPr>
      </w:pPr>
    </w:p>
    <w:p w14:paraId="07C17E4C" w14:textId="77777777" w:rsidR="00DE575E" w:rsidRDefault="002E7560">
      <w:pPr>
        <w:spacing w:line="252" w:lineRule="auto"/>
        <w:ind w:left="250" w:right="411" w:firstLine="283"/>
        <w:jc w:val="both"/>
        <w:rPr>
          <w:b/>
          <w:i/>
          <w:sz w:val="21"/>
        </w:rPr>
      </w:pPr>
      <w:r>
        <w:rPr>
          <w:color w:val="231F20"/>
          <w:sz w:val="21"/>
        </w:rPr>
        <w:t xml:space="preserve">У п. 3 ст. 1 Закону України «Про адміністративні послуги» визна- чено коло </w:t>
      </w:r>
      <w:r>
        <w:rPr>
          <w:b/>
          <w:i/>
          <w:color w:val="231F20"/>
          <w:sz w:val="21"/>
        </w:rPr>
        <w:t>суб’єктів, які можуть надавати адміністративні послуги:</w:t>
      </w:r>
    </w:p>
    <w:p w14:paraId="2516EC73" w14:textId="77777777" w:rsidR="00DE575E" w:rsidRDefault="002E7560">
      <w:pPr>
        <w:pStyle w:val="ListParagraph"/>
        <w:numPr>
          <w:ilvl w:val="1"/>
          <w:numId w:val="222"/>
        </w:numPr>
        <w:tabs>
          <w:tab w:val="left" w:pos="818"/>
        </w:tabs>
        <w:ind w:firstLine="283"/>
        <w:jc w:val="left"/>
        <w:rPr>
          <w:sz w:val="21"/>
        </w:rPr>
      </w:pPr>
      <w:r>
        <w:rPr>
          <w:color w:val="231F20"/>
          <w:sz w:val="21"/>
        </w:rPr>
        <w:t>органи в</w:t>
      </w:r>
      <w:r>
        <w:rPr>
          <w:color w:val="231F20"/>
          <w:sz w:val="21"/>
        </w:rPr>
        <w:t>иконавчої</w:t>
      </w:r>
      <w:r>
        <w:rPr>
          <w:color w:val="231F20"/>
          <w:spacing w:val="-2"/>
          <w:sz w:val="21"/>
        </w:rPr>
        <w:t xml:space="preserve"> </w:t>
      </w:r>
      <w:r>
        <w:rPr>
          <w:color w:val="231F20"/>
          <w:sz w:val="21"/>
        </w:rPr>
        <w:t>влади;</w:t>
      </w:r>
    </w:p>
    <w:p w14:paraId="7B79AC26" w14:textId="77777777" w:rsidR="00DE575E" w:rsidRDefault="002E7560">
      <w:pPr>
        <w:pStyle w:val="ListParagraph"/>
        <w:numPr>
          <w:ilvl w:val="1"/>
          <w:numId w:val="222"/>
        </w:numPr>
        <w:tabs>
          <w:tab w:val="left" w:pos="818"/>
        </w:tabs>
        <w:spacing w:before="13"/>
        <w:ind w:firstLine="283"/>
        <w:jc w:val="left"/>
        <w:rPr>
          <w:sz w:val="21"/>
        </w:rPr>
      </w:pPr>
      <w:r>
        <w:rPr>
          <w:color w:val="231F20"/>
          <w:sz w:val="21"/>
        </w:rPr>
        <w:t>інші державні</w:t>
      </w:r>
      <w:r>
        <w:rPr>
          <w:color w:val="231F20"/>
          <w:spacing w:val="-1"/>
          <w:sz w:val="21"/>
        </w:rPr>
        <w:t xml:space="preserve"> </w:t>
      </w:r>
      <w:r>
        <w:rPr>
          <w:color w:val="231F20"/>
          <w:sz w:val="21"/>
        </w:rPr>
        <w:t>органи;</w:t>
      </w:r>
    </w:p>
    <w:p w14:paraId="05CE2CBD" w14:textId="77777777" w:rsidR="00DE575E" w:rsidRDefault="002E7560">
      <w:pPr>
        <w:pStyle w:val="ListParagraph"/>
        <w:numPr>
          <w:ilvl w:val="1"/>
          <w:numId w:val="222"/>
        </w:numPr>
        <w:tabs>
          <w:tab w:val="left" w:pos="818"/>
        </w:tabs>
        <w:spacing w:before="13" w:line="252" w:lineRule="auto"/>
        <w:ind w:right="410" w:firstLine="283"/>
        <w:rPr>
          <w:sz w:val="21"/>
        </w:rPr>
      </w:pPr>
      <w:r>
        <w:rPr>
          <w:color w:val="231F20"/>
          <w:sz w:val="21"/>
        </w:rPr>
        <w:t xml:space="preserve">органи влади Автономної Республіки Крим – з урахуванням Закону </w:t>
      </w:r>
      <w:r>
        <w:rPr>
          <w:color w:val="231F20"/>
          <w:spacing w:val="-3"/>
          <w:sz w:val="21"/>
        </w:rPr>
        <w:t xml:space="preserve">України </w:t>
      </w:r>
      <w:r>
        <w:rPr>
          <w:color w:val="231F20"/>
          <w:sz w:val="21"/>
        </w:rPr>
        <w:t>від 15 квітня 2014 р. № 1207-VII «Про забезпечення прав</w:t>
      </w:r>
      <w:r>
        <w:rPr>
          <w:color w:val="231F20"/>
          <w:spacing w:val="-9"/>
          <w:sz w:val="21"/>
        </w:rPr>
        <w:t xml:space="preserve"> </w:t>
      </w:r>
      <w:r>
        <w:rPr>
          <w:color w:val="231F20"/>
          <w:sz w:val="21"/>
        </w:rPr>
        <w:t>і</w:t>
      </w:r>
      <w:r>
        <w:rPr>
          <w:color w:val="231F20"/>
          <w:spacing w:val="-9"/>
          <w:sz w:val="21"/>
        </w:rPr>
        <w:t xml:space="preserve"> </w:t>
      </w:r>
      <w:r>
        <w:rPr>
          <w:color w:val="231F20"/>
          <w:sz w:val="21"/>
        </w:rPr>
        <w:t>свобод</w:t>
      </w:r>
      <w:r>
        <w:rPr>
          <w:color w:val="231F20"/>
          <w:spacing w:val="-9"/>
          <w:sz w:val="21"/>
        </w:rPr>
        <w:t xml:space="preserve"> </w:t>
      </w:r>
      <w:r>
        <w:rPr>
          <w:color w:val="231F20"/>
          <w:sz w:val="21"/>
        </w:rPr>
        <w:t>громадян</w:t>
      </w:r>
      <w:r>
        <w:rPr>
          <w:color w:val="231F20"/>
          <w:spacing w:val="-9"/>
          <w:sz w:val="21"/>
        </w:rPr>
        <w:t xml:space="preserve"> </w:t>
      </w:r>
      <w:r>
        <w:rPr>
          <w:color w:val="231F20"/>
          <w:sz w:val="21"/>
        </w:rPr>
        <w:t>та</w:t>
      </w:r>
      <w:r>
        <w:rPr>
          <w:color w:val="231F20"/>
          <w:spacing w:val="-9"/>
          <w:sz w:val="21"/>
        </w:rPr>
        <w:t xml:space="preserve"> </w:t>
      </w:r>
      <w:r>
        <w:rPr>
          <w:color w:val="231F20"/>
          <w:sz w:val="21"/>
        </w:rPr>
        <w:t>правовий</w:t>
      </w:r>
      <w:r>
        <w:rPr>
          <w:color w:val="231F20"/>
          <w:spacing w:val="-9"/>
          <w:sz w:val="21"/>
        </w:rPr>
        <w:t xml:space="preserve"> </w:t>
      </w:r>
      <w:r>
        <w:rPr>
          <w:color w:val="231F20"/>
          <w:sz w:val="21"/>
        </w:rPr>
        <w:t>режим</w:t>
      </w:r>
      <w:r>
        <w:rPr>
          <w:color w:val="231F20"/>
          <w:spacing w:val="-9"/>
          <w:sz w:val="21"/>
        </w:rPr>
        <w:t xml:space="preserve"> </w:t>
      </w:r>
      <w:r>
        <w:rPr>
          <w:color w:val="231F20"/>
          <w:sz w:val="21"/>
        </w:rPr>
        <w:t>на</w:t>
      </w:r>
      <w:r>
        <w:rPr>
          <w:color w:val="231F20"/>
          <w:spacing w:val="-9"/>
          <w:sz w:val="21"/>
        </w:rPr>
        <w:t xml:space="preserve"> </w:t>
      </w:r>
      <w:r>
        <w:rPr>
          <w:color w:val="231F20"/>
          <w:sz w:val="21"/>
        </w:rPr>
        <w:t>тимчасово</w:t>
      </w:r>
      <w:r>
        <w:rPr>
          <w:color w:val="231F20"/>
          <w:spacing w:val="-9"/>
          <w:sz w:val="21"/>
        </w:rPr>
        <w:t xml:space="preserve"> </w:t>
      </w:r>
      <w:r>
        <w:rPr>
          <w:color w:val="231F20"/>
          <w:sz w:val="21"/>
        </w:rPr>
        <w:t xml:space="preserve">окупованій території </w:t>
      </w:r>
      <w:r>
        <w:rPr>
          <w:color w:val="231F20"/>
          <w:spacing w:val="-3"/>
          <w:sz w:val="21"/>
        </w:rPr>
        <w:t>України»;</w:t>
      </w:r>
    </w:p>
    <w:p w14:paraId="5196F6BF" w14:textId="77777777" w:rsidR="00DE575E" w:rsidRDefault="002E7560">
      <w:pPr>
        <w:pStyle w:val="ListParagraph"/>
        <w:numPr>
          <w:ilvl w:val="1"/>
          <w:numId w:val="222"/>
        </w:numPr>
        <w:tabs>
          <w:tab w:val="left" w:pos="818"/>
        </w:tabs>
        <w:spacing w:before="2"/>
        <w:ind w:firstLine="283"/>
        <w:jc w:val="left"/>
        <w:rPr>
          <w:sz w:val="21"/>
        </w:rPr>
      </w:pPr>
      <w:r>
        <w:rPr>
          <w:color w:val="231F20"/>
          <w:sz w:val="21"/>
        </w:rPr>
        <w:t>органи місцевого</w:t>
      </w:r>
      <w:r>
        <w:rPr>
          <w:color w:val="231F20"/>
          <w:spacing w:val="-2"/>
          <w:sz w:val="21"/>
        </w:rPr>
        <w:t xml:space="preserve"> </w:t>
      </w:r>
      <w:r>
        <w:rPr>
          <w:color w:val="231F20"/>
          <w:sz w:val="21"/>
        </w:rPr>
        <w:t>самоврядування;</w:t>
      </w:r>
    </w:p>
    <w:p w14:paraId="2784DE0C" w14:textId="77777777" w:rsidR="00DE575E" w:rsidRDefault="002E7560">
      <w:pPr>
        <w:pStyle w:val="ListParagraph"/>
        <w:numPr>
          <w:ilvl w:val="1"/>
          <w:numId w:val="222"/>
        </w:numPr>
        <w:tabs>
          <w:tab w:val="left" w:pos="818"/>
        </w:tabs>
        <w:spacing w:before="13" w:line="252" w:lineRule="auto"/>
        <w:ind w:right="410" w:firstLine="283"/>
        <w:rPr>
          <w:sz w:val="21"/>
        </w:rPr>
      </w:pPr>
      <w:r>
        <w:rPr>
          <w:color w:val="231F20"/>
          <w:sz w:val="21"/>
        </w:rPr>
        <w:t xml:space="preserve">посадові особи органу виконавчої влади, іншого державного </w:t>
      </w:r>
      <w:r>
        <w:rPr>
          <w:color w:val="231F20"/>
          <w:spacing w:val="-3"/>
          <w:sz w:val="21"/>
        </w:rPr>
        <w:t>органу,</w:t>
      </w:r>
      <w:r>
        <w:rPr>
          <w:color w:val="231F20"/>
          <w:spacing w:val="-11"/>
          <w:sz w:val="21"/>
        </w:rPr>
        <w:t xml:space="preserve"> </w:t>
      </w:r>
      <w:r>
        <w:rPr>
          <w:color w:val="231F20"/>
          <w:sz w:val="21"/>
        </w:rPr>
        <w:t>органу</w:t>
      </w:r>
      <w:r>
        <w:rPr>
          <w:color w:val="231F20"/>
          <w:spacing w:val="-11"/>
          <w:sz w:val="21"/>
        </w:rPr>
        <w:t xml:space="preserve"> </w:t>
      </w:r>
      <w:r>
        <w:rPr>
          <w:color w:val="231F20"/>
          <w:sz w:val="21"/>
        </w:rPr>
        <w:t>влади</w:t>
      </w:r>
      <w:r>
        <w:rPr>
          <w:color w:val="231F20"/>
          <w:spacing w:val="-11"/>
          <w:sz w:val="21"/>
        </w:rPr>
        <w:t xml:space="preserve"> </w:t>
      </w:r>
      <w:r>
        <w:rPr>
          <w:color w:val="231F20"/>
          <w:sz w:val="21"/>
        </w:rPr>
        <w:t>Автономної</w:t>
      </w:r>
      <w:r>
        <w:rPr>
          <w:color w:val="231F20"/>
          <w:spacing w:val="-11"/>
          <w:sz w:val="21"/>
        </w:rPr>
        <w:t xml:space="preserve"> </w:t>
      </w:r>
      <w:r>
        <w:rPr>
          <w:color w:val="231F20"/>
          <w:sz w:val="21"/>
        </w:rPr>
        <w:t>Республіки</w:t>
      </w:r>
      <w:r>
        <w:rPr>
          <w:color w:val="231F20"/>
          <w:spacing w:val="-11"/>
          <w:sz w:val="21"/>
        </w:rPr>
        <w:t xml:space="preserve"> </w:t>
      </w:r>
      <w:r>
        <w:rPr>
          <w:color w:val="231F20"/>
          <w:sz w:val="21"/>
        </w:rPr>
        <w:t>Крим,</w:t>
      </w:r>
      <w:r>
        <w:rPr>
          <w:color w:val="231F20"/>
          <w:spacing w:val="-11"/>
          <w:sz w:val="21"/>
        </w:rPr>
        <w:t xml:space="preserve"> </w:t>
      </w:r>
      <w:r>
        <w:rPr>
          <w:color w:val="231F20"/>
          <w:sz w:val="21"/>
        </w:rPr>
        <w:t>органу</w:t>
      </w:r>
      <w:r>
        <w:rPr>
          <w:color w:val="231F20"/>
          <w:spacing w:val="-11"/>
          <w:sz w:val="21"/>
        </w:rPr>
        <w:t xml:space="preserve"> </w:t>
      </w:r>
      <w:r>
        <w:rPr>
          <w:color w:val="231F20"/>
          <w:sz w:val="21"/>
        </w:rPr>
        <w:t>місцевого самоврядування.</w:t>
      </w:r>
    </w:p>
    <w:p w14:paraId="2F4731FA" w14:textId="77777777" w:rsidR="00DE575E" w:rsidRDefault="002E7560">
      <w:pPr>
        <w:pStyle w:val="BodyText"/>
        <w:spacing w:before="1" w:line="252" w:lineRule="auto"/>
        <w:ind w:left="250" w:right="411" w:firstLine="283"/>
        <w:jc w:val="both"/>
      </w:pPr>
      <w:r>
        <w:rPr>
          <w:i/>
          <w:color w:val="231F20"/>
        </w:rPr>
        <w:t>Цей перелік є вичерпним</w:t>
      </w:r>
      <w:r>
        <w:rPr>
          <w:color w:val="231F20"/>
        </w:rPr>
        <w:t xml:space="preserve">. Законодавець використав саме інсти- туційний критерій для </w:t>
      </w:r>
      <w:r>
        <w:rPr>
          <w:color w:val="231F20"/>
        </w:rPr>
        <w:t>формування переліку суб’єктів надання адміністративної послуги, а не функціональний. Це означає, що за чинним Законом жодні інші суб’єкти не можуть надавати адмініст- ративні послуги</w:t>
      </w:r>
      <w:r>
        <w:rPr>
          <w:color w:val="231F20"/>
          <w:position w:val="7"/>
          <w:sz w:val="12"/>
        </w:rPr>
        <w:t>1</w:t>
      </w:r>
      <w:r>
        <w:rPr>
          <w:color w:val="231F20"/>
        </w:rPr>
        <w:t>.</w:t>
      </w:r>
    </w:p>
    <w:p w14:paraId="5954FF76" w14:textId="77777777" w:rsidR="00DE575E" w:rsidRDefault="002E7560">
      <w:pPr>
        <w:pStyle w:val="BodyText"/>
        <w:spacing w:before="3" w:line="252" w:lineRule="auto"/>
        <w:ind w:left="250" w:right="410" w:firstLine="283"/>
        <w:jc w:val="both"/>
      </w:pPr>
      <w:r>
        <w:rPr>
          <w:b/>
          <w:i/>
          <w:color w:val="231F20"/>
        </w:rPr>
        <w:t xml:space="preserve">Органи виконавчої влади як </w:t>
      </w:r>
      <w:r>
        <w:rPr>
          <w:b/>
          <w:i/>
          <w:color w:val="231F20"/>
          <w:spacing w:val="-3"/>
        </w:rPr>
        <w:t xml:space="preserve">суб’єкти </w:t>
      </w:r>
      <w:r>
        <w:rPr>
          <w:b/>
          <w:i/>
          <w:color w:val="231F20"/>
        </w:rPr>
        <w:t xml:space="preserve">надання адміністра- тивних послуг. </w:t>
      </w:r>
      <w:r>
        <w:rPr>
          <w:color w:val="231F20"/>
        </w:rPr>
        <w:t xml:space="preserve">Виходячи зі змісту розділу 7 Конституції </w:t>
      </w:r>
      <w:r>
        <w:rPr>
          <w:color w:val="231F20"/>
          <w:spacing w:val="-3"/>
        </w:rPr>
        <w:t xml:space="preserve">України, </w:t>
      </w:r>
      <w:r>
        <w:rPr>
          <w:color w:val="231F20"/>
        </w:rPr>
        <w:t xml:space="preserve">до системи органів виконавчої влади  </w:t>
      </w:r>
      <w:r>
        <w:rPr>
          <w:color w:val="231F20"/>
          <w:spacing w:val="-3"/>
        </w:rPr>
        <w:t xml:space="preserve">України  </w:t>
      </w:r>
      <w:r>
        <w:rPr>
          <w:color w:val="231F20"/>
        </w:rPr>
        <w:t xml:space="preserve">входять:  1) Кабі-  нет Міністрів </w:t>
      </w:r>
      <w:r>
        <w:rPr>
          <w:color w:val="231F20"/>
          <w:spacing w:val="-3"/>
        </w:rPr>
        <w:t xml:space="preserve">України </w:t>
      </w:r>
      <w:r>
        <w:rPr>
          <w:color w:val="231F20"/>
        </w:rPr>
        <w:t>– вищий орган у системі органів виконавчої влади; 2) центральні органи виконавчої влади – міністерства та інші органи;</w:t>
      </w:r>
      <w:r>
        <w:rPr>
          <w:color w:val="231F20"/>
        </w:rPr>
        <w:t xml:space="preserve"> 3) місцеві органи виконавчої влади – обласні (Київська і Севастопольська міські), районні державні</w:t>
      </w:r>
      <w:r>
        <w:rPr>
          <w:color w:val="231F20"/>
          <w:spacing w:val="-8"/>
        </w:rPr>
        <w:t xml:space="preserve"> </w:t>
      </w:r>
      <w:r>
        <w:rPr>
          <w:color w:val="231F20"/>
        </w:rPr>
        <w:t>адміністрації.</w:t>
      </w:r>
    </w:p>
    <w:p w14:paraId="2CD94230" w14:textId="77777777" w:rsidR="00DE575E" w:rsidRDefault="002E7560">
      <w:pPr>
        <w:pStyle w:val="BodyText"/>
        <w:spacing w:before="3" w:line="252" w:lineRule="auto"/>
        <w:ind w:left="250" w:right="411" w:firstLine="283"/>
        <w:jc w:val="both"/>
      </w:pPr>
      <w:r>
        <w:rPr>
          <w:color w:val="231F20"/>
        </w:rPr>
        <w:t>Однак Конституція не містить вичерпного визначення всієї системи органів виконавчої влади, адже до системи виконавчої</w:t>
      </w:r>
    </w:p>
    <w:p w14:paraId="25CCE9A1" w14:textId="77777777" w:rsidR="00DE575E" w:rsidRDefault="00DE575E">
      <w:pPr>
        <w:pStyle w:val="BodyText"/>
        <w:rPr>
          <w:sz w:val="20"/>
        </w:rPr>
      </w:pPr>
    </w:p>
    <w:p w14:paraId="412B9630" w14:textId="0E2A78FE" w:rsidR="00DE575E" w:rsidRDefault="002E7560">
      <w:pPr>
        <w:pStyle w:val="BodyText"/>
        <w:spacing w:before="10"/>
        <w:rPr>
          <w:sz w:val="12"/>
        </w:rPr>
      </w:pPr>
      <w:r>
        <w:rPr>
          <w:noProof/>
        </w:rPr>
        <mc:AlternateContent>
          <mc:Choice Requires="wps">
            <w:drawing>
              <wp:anchor distT="0" distB="0" distL="0" distR="0" simplePos="0" relativeHeight="7504" behindDoc="0" locked="0" layoutInCell="1" allowOverlap="1" wp14:anchorId="260083B4" wp14:editId="48A21C74">
                <wp:simplePos x="0" y="0"/>
                <wp:positionH relativeFrom="page">
                  <wp:posOffset>539750</wp:posOffset>
                </wp:positionH>
                <wp:positionV relativeFrom="paragraph">
                  <wp:posOffset>123190</wp:posOffset>
                </wp:positionV>
                <wp:extent cx="1080135" cy="0"/>
                <wp:effectExtent l="6350" t="8890" r="31115" b="29210"/>
                <wp:wrapTopAndBottom/>
                <wp:docPr id="953"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B007" id="Line_x0020_952" o:spid="_x0000_s1026" style="position:absolute;z-index: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M/h/YSMCAABF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402D7AF7" w14:textId="77777777" w:rsidR="00DE575E" w:rsidRDefault="002E7560">
      <w:pPr>
        <w:spacing w:line="204" w:lineRule="auto"/>
        <w:ind w:left="250" w:right="521"/>
        <w:rPr>
          <w:sz w:val="16"/>
        </w:rPr>
      </w:pPr>
      <w:r>
        <w:rPr>
          <w:color w:val="231F20"/>
          <w:position w:val="5"/>
          <w:sz w:val="9"/>
        </w:rPr>
        <w:t xml:space="preserve">1 </w:t>
      </w:r>
      <w:r>
        <w:rPr>
          <w:color w:val="231F20"/>
          <w:sz w:val="16"/>
        </w:rPr>
        <w:t xml:space="preserve">Буханевич О. Правове забезпечення діяльності суб’єктів надання адміністративних послуг. </w:t>
      </w:r>
      <w:r>
        <w:rPr>
          <w:i/>
          <w:color w:val="231F20"/>
          <w:sz w:val="16"/>
        </w:rPr>
        <w:t>Митна справа</w:t>
      </w:r>
      <w:r>
        <w:rPr>
          <w:color w:val="231F20"/>
          <w:sz w:val="16"/>
        </w:rPr>
        <w:t>. 2014. Спеціальний випуск. С. 241.</w:t>
      </w:r>
    </w:p>
    <w:p w14:paraId="2BD3332B" w14:textId="77777777" w:rsidR="00DE575E" w:rsidRDefault="00DE575E">
      <w:pPr>
        <w:pStyle w:val="BodyText"/>
        <w:spacing w:before="1"/>
        <w:rPr>
          <w:sz w:val="12"/>
        </w:rPr>
      </w:pPr>
    </w:p>
    <w:p w14:paraId="605EBF80" w14:textId="77777777" w:rsidR="00DE575E" w:rsidRDefault="002E7560">
      <w:pPr>
        <w:spacing w:before="92"/>
        <w:ind w:right="411"/>
        <w:jc w:val="right"/>
        <w:rPr>
          <w:rFonts w:ascii="Times New Roman"/>
          <w:sz w:val="20"/>
        </w:rPr>
      </w:pPr>
      <w:r>
        <w:rPr>
          <w:rFonts w:ascii="Times New Roman"/>
          <w:color w:val="231F20"/>
          <w:w w:val="90"/>
          <w:sz w:val="20"/>
        </w:rPr>
        <w:t>185</w:t>
      </w:r>
    </w:p>
    <w:p w14:paraId="2DE58B4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A1C432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94A449C" w14:textId="1E121E4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CC94463" wp14:editId="4AB85E9A">
                <wp:extent cx="4140200" cy="6350"/>
                <wp:effectExtent l="0" t="0" r="12700" b="6350"/>
                <wp:docPr id="951"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52" name="Line 9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046D1" id="Group_x0020_9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SYJfx/AgAAmAUAAA4A&#10;AAAAAAAAAAAAAAAALAIAAGRycy9lMm9Eb2MueG1sUEsBAi0AFAAGAAgAAAAhAEynsJDZAAAAAwEA&#10;AA8AAAAAAAAAAAAAAAAA1wQAAGRycy9kb3ducmV2LnhtbFBLBQYAAAAABAAEAPMAAADdBQAAAAA=&#10;">
                <v:line id="Line_x0020_9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cEt8YAAADcAAAADwAAAGRycy9kb3ducmV2LnhtbESP0WrCQBRE3wX/YblCX4puVCoaXUUK&#10;hdIHbY0fcM1ek+Du3ZhdTdqv7xYKPg4zc4ZZbTprxJ0aXzlWMB4lIIhzpysuFByzt+EchA/IGo1j&#10;UvBNHjbrfm+FqXYtf9H9EAoRIexTVFCGUKdS+rwki37kauLonV1jMUTZFFI32Ea4NXKSJDNpseK4&#10;UGJNryXll8PNKsiuz8F87j9Mm+1PU3m67qY/t51ST4NuuwQRqAuP8H/7XStYvEz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23BLfGAAAA3AAAAA8AAAAAAAAA&#10;AAAAAAAAoQIAAGRycy9kb3ducmV2LnhtbFBLBQYAAAAABAAEAPkAAACUAwAAAAA=&#10;" strokecolor="#231f20" strokeweight=".5pt"/>
                <w10:anchorlock/>
              </v:group>
            </w:pict>
          </mc:Fallback>
        </mc:AlternateContent>
      </w:r>
    </w:p>
    <w:p w14:paraId="0136C2AF" w14:textId="77777777" w:rsidR="00DE575E" w:rsidRDefault="00DE575E">
      <w:pPr>
        <w:pStyle w:val="BodyText"/>
        <w:spacing w:before="7"/>
        <w:rPr>
          <w:rFonts w:ascii="AdonisC"/>
          <w:i/>
          <w:sz w:val="11"/>
        </w:rPr>
      </w:pPr>
    </w:p>
    <w:p w14:paraId="2CD754EB" w14:textId="77777777" w:rsidR="00DE575E" w:rsidRDefault="002E7560">
      <w:pPr>
        <w:pStyle w:val="BodyText"/>
        <w:spacing w:before="101" w:line="252" w:lineRule="auto"/>
        <w:ind w:left="533" w:right="128"/>
        <w:jc w:val="both"/>
      </w:pPr>
      <w:r>
        <w:rPr>
          <w:color w:val="231F20"/>
        </w:rPr>
        <w:t>влади належать такі органи державного управління, як служби, агентства, інспекції, центральні органи виконавчої влади зі спеці- альним статусом та інші центральні органи виконавчої влади.</w:t>
      </w:r>
    </w:p>
    <w:p w14:paraId="5BE18EB1" w14:textId="77777777" w:rsidR="00DE575E" w:rsidRDefault="002E7560">
      <w:pPr>
        <w:pStyle w:val="BodyText"/>
        <w:spacing w:before="1" w:line="252" w:lineRule="auto"/>
        <w:ind w:left="533" w:right="126" w:firstLine="283"/>
        <w:jc w:val="both"/>
      </w:pPr>
      <w:r>
        <w:rPr>
          <w:color w:val="231F20"/>
        </w:rPr>
        <w:t xml:space="preserve">Відповідно  до  </w:t>
      </w:r>
      <w:r>
        <w:rPr>
          <w:color w:val="231F20"/>
          <w:spacing w:val="-6"/>
        </w:rPr>
        <w:t xml:space="preserve">ст. </w:t>
      </w:r>
      <w:r>
        <w:rPr>
          <w:color w:val="231F20"/>
        </w:rPr>
        <w:t xml:space="preserve">113  Конституції  Кабінет  Міністрів  </w:t>
      </w:r>
      <w:r>
        <w:rPr>
          <w:color w:val="231F20"/>
          <w:spacing w:val="-3"/>
        </w:rPr>
        <w:t xml:space="preserve">України    </w:t>
      </w:r>
      <w:r>
        <w:rPr>
          <w:color w:val="231F20"/>
        </w:rPr>
        <w:t xml:space="preserve">є вищим органом у системі органів виконавчої влади. Згідно зі </w:t>
      </w:r>
      <w:r>
        <w:rPr>
          <w:color w:val="231F20"/>
          <w:spacing w:val="-6"/>
        </w:rPr>
        <w:t xml:space="preserve">ст. </w:t>
      </w:r>
      <w:r>
        <w:rPr>
          <w:color w:val="231F20"/>
        </w:rPr>
        <w:t>1 Закону</w:t>
      </w:r>
      <w:r>
        <w:rPr>
          <w:color w:val="231F20"/>
          <w:spacing w:val="-4"/>
        </w:rPr>
        <w:t xml:space="preserve"> </w:t>
      </w:r>
      <w:r>
        <w:rPr>
          <w:color w:val="231F20"/>
        </w:rPr>
        <w:t>від</w:t>
      </w:r>
      <w:r>
        <w:rPr>
          <w:color w:val="231F20"/>
          <w:spacing w:val="-4"/>
        </w:rPr>
        <w:t xml:space="preserve"> </w:t>
      </w:r>
      <w:r>
        <w:rPr>
          <w:color w:val="231F20"/>
        </w:rPr>
        <w:t>2</w:t>
      </w:r>
      <w:r>
        <w:rPr>
          <w:color w:val="231F20"/>
          <w:spacing w:val="-4"/>
        </w:rPr>
        <w:t xml:space="preserve"> </w:t>
      </w:r>
      <w:r>
        <w:rPr>
          <w:color w:val="231F20"/>
        </w:rPr>
        <w:t>лютого</w:t>
      </w:r>
      <w:r>
        <w:rPr>
          <w:color w:val="231F20"/>
          <w:spacing w:val="-4"/>
        </w:rPr>
        <w:t xml:space="preserve"> </w:t>
      </w:r>
      <w:r>
        <w:rPr>
          <w:color w:val="231F20"/>
        </w:rPr>
        <w:t>2014</w:t>
      </w:r>
      <w:r>
        <w:rPr>
          <w:color w:val="231F20"/>
          <w:spacing w:val="-4"/>
        </w:rPr>
        <w:t xml:space="preserve"> </w:t>
      </w:r>
      <w:r>
        <w:rPr>
          <w:color w:val="231F20"/>
        </w:rPr>
        <w:t>№</w:t>
      </w:r>
      <w:r>
        <w:rPr>
          <w:color w:val="231F20"/>
          <w:spacing w:val="-7"/>
        </w:rPr>
        <w:t xml:space="preserve"> </w:t>
      </w:r>
      <w:r>
        <w:rPr>
          <w:color w:val="231F20"/>
        </w:rPr>
        <w:t>798-VII</w:t>
      </w:r>
      <w:r>
        <w:rPr>
          <w:color w:val="231F20"/>
          <w:spacing w:val="-4"/>
        </w:rPr>
        <w:t xml:space="preserve"> </w:t>
      </w:r>
      <w:r>
        <w:rPr>
          <w:color w:val="231F20"/>
        </w:rPr>
        <w:t>Кабінет</w:t>
      </w:r>
      <w:r>
        <w:rPr>
          <w:color w:val="231F20"/>
          <w:spacing w:val="-4"/>
        </w:rPr>
        <w:t xml:space="preserve"> </w:t>
      </w:r>
      <w:r>
        <w:rPr>
          <w:color w:val="231F20"/>
        </w:rPr>
        <w:t>Міністрів</w:t>
      </w:r>
      <w:r>
        <w:rPr>
          <w:color w:val="231F20"/>
          <w:spacing w:val="-4"/>
        </w:rPr>
        <w:t xml:space="preserve"> </w:t>
      </w:r>
      <w:r>
        <w:rPr>
          <w:color w:val="231F20"/>
          <w:spacing w:val="-3"/>
        </w:rPr>
        <w:t>України</w:t>
      </w:r>
      <w:r>
        <w:rPr>
          <w:color w:val="231F20"/>
          <w:spacing w:val="-4"/>
        </w:rPr>
        <w:t xml:space="preserve"> </w:t>
      </w:r>
      <w:r>
        <w:rPr>
          <w:color w:val="231F20"/>
        </w:rPr>
        <w:t>здійс- нює виконавчу владу безпосередньо та через міністерства, інші центральн</w:t>
      </w:r>
      <w:r>
        <w:rPr>
          <w:color w:val="231F20"/>
        </w:rPr>
        <w:t>і органи виконавчої влади, Раду міністрів Автономної Республіки</w:t>
      </w:r>
      <w:r>
        <w:rPr>
          <w:color w:val="231F20"/>
          <w:spacing w:val="-8"/>
        </w:rPr>
        <w:t xml:space="preserve"> </w:t>
      </w:r>
      <w:r>
        <w:rPr>
          <w:color w:val="231F20"/>
        </w:rPr>
        <w:t>Крим</w:t>
      </w:r>
      <w:r>
        <w:rPr>
          <w:color w:val="231F20"/>
          <w:spacing w:val="-8"/>
        </w:rPr>
        <w:t xml:space="preserve"> </w:t>
      </w:r>
      <w:r>
        <w:rPr>
          <w:color w:val="231F20"/>
        </w:rPr>
        <w:t>та</w:t>
      </w:r>
      <w:r>
        <w:rPr>
          <w:color w:val="231F20"/>
          <w:spacing w:val="-8"/>
        </w:rPr>
        <w:t xml:space="preserve"> </w:t>
      </w:r>
      <w:r>
        <w:rPr>
          <w:color w:val="231F20"/>
        </w:rPr>
        <w:t>місцеві</w:t>
      </w:r>
      <w:r>
        <w:rPr>
          <w:color w:val="231F20"/>
          <w:spacing w:val="-8"/>
        </w:rPr>
        <w:t xml:space="preserve"> </w:t>
      </w:r>
      <w:r>
        <w:rPr>
          <w:color w:val="231F20"/>
        </w:rPr>
        <w:t>державні</w:t>
      </w:r>
      <w:r>
        <w:rPr>
          <w:color w:val="231F20"/>
          <w:spacing w:val="-8"/>
        </w:rPr>
        <w:t xml:space="preserve"> </w:t>
      </w:r>
      <w:r>
        <w:rPr>
          <w:color w:val="231F20"/>
        </w:rPr>
        <w:t>адміністрації,</w:t>
      </w:r>
      <w:r>
        <w:rPr>
          <w:color w:val="231F20"/>
          <w:spacing w:val="-8"/>
        </w:rPr>
        <w:t xml:space="preserve"> </w:t>
      </w:r>
      <w:r>
        <w:rPr>
          <w:color w:val="231F20"/>
        </w:rPr>
        <w:t>спрямовує,</w:t>
      </w:r>
      <w:r>
        <w:rPr>
          <w:color w:val="231F20"/>
          <w:spacing w:val="-8"/>
        </w:rPr>
        <w:t xml:space="preserve"> </w:t>
      </w:r>
      <w:r>
        <w:rPr>
          <w:color w:val="231F20"/>
        </w:rPr>
        <w:t>коор- динує та контролює діяльність цих</w:t>
      </w:r>
      <w:r>
        <w:rPr>
          <w:color w:val="231F20"/>
          <w:spacing w:val="-6"/>
        </w:rPr>
        <w:t xml:space="preserve"> </w:t>
      </w:r>
      <w:r>
        <w:rPr>
          <w:color w:val="231F20"/>
        </w:rPr>
        <w:t>органів</w:t>
      </w:r>
      <w:r>
        <w:rPr>
          <w:color w:val="231F20"/>
          <w:position w:val="7"/>
          <w:sz w:val="12"/>
        </w:rPr>
        <w:t>1</w:t>
      </w:r>
      <w:r>
        <w:rPr>
          <w:color w:val="231F20"/>
        </w:rPr>
        <w:t>.</w:t>
      </w:r>
    </w:p>
    <w:p w14:paraId="772C010A" w14:textId="77777777" w:rsidR="00DE575E" w:rsidRDefault="002E7560">
      <w:pPr>
        <w:pStyle w:val="BodyText"/>
        <w:spacing w:before="4" w:line="252" w:lineRule="auto"/>
        <w:ind w:left="533" w:right="131" w:firstLine="283"/>
        <w:jc w:val="both"/>
      </w:pPr>
      <w:r>
        <w:rPr>
          <w:i/>
          <w:color w:val="231F20"/>
          <w:spacing w:val="-6"/>
        </w:rPr>
        <w:t xml:space="preserve">Кабінет </w:t>
      </w:r>
      <w:r>
        <w:rPr>
          <w:i/>
          <w:color w:val="231F20"/>
          <w:spacing w:val="-5"/>
        </w:rPr>
        <w:t xml:space="preserve">Міністрів </w:t>
      </w:r>
      <w:r>
        <w:rPr>
          <w:i/>
          <w:color w:val="231F20"/>
          <w:spacing w:val="-6"/>
        </w:rPr>
        <w:t xml:space="preserve">України, </w:t>
      </w:r>
      <w:r>
        <w:rPr>
          <w:color w:val="231F20"/>
          <w:spacing w:val="-3"/>
        </w:rPr>
        <w:t xml:space="preserve">як </w:t>
      </w:r>
      <w:r>
        <w:rPr>
          <w:color w:val="231F20"/>
          <w:spacing w:val="-5"/>
        </w:rPr>
        <w:t>правило, адміністративні послуги безпосередньо</w:t>
      </w:r>
      <w:r>
        <w:rPr>
          <w:color w:val="231F20"/>
          <w:spacing w:val="-13"/>
        </w:rPr>
        <w:t xml:space="preserve"> </w:t>
      </w:r>
      <w:r>
        <w:rPr>
          <w:color w:val="231F20"/>
          <w:spacing w:val="-3"/>
        </w:rPr>
        <w:t>не</w:t>
      </w:r>
      <w:r>
        <w:rPr>
          <w:color w:val="231F20"/>
          <w:spacing w:val="-13"/>
        </w:rPr>
        <w:t xml:space="preserve"> </w:t>
      </w:r>
      <w:r>
        <w:rPr>
          <w:color w:val="231F20"/>
          <w:spacing w:val="-5"/>
        </w:rPr>
        <w:t>надає,</w:t>
      </w:r>
      <w:r>
        <w:rPr>
          <w:color w:val="231F20"/>
          <w:spacing w:val="-13"/>
        </w:rPr>
        <w:t xml:space="preserve"> </w:t>
      </w:r>
      <w:r>
        <w:rPr>
          <w:color w:val="231F20"/>
          <w:spacing w:val="-5"/>
        </w:rPr>
        <w:t>одна</w:t>
      </w:r>
      <w:r>
        <w:rPr>
          <w:color w:val="231F20"/>
          <w:spacing w:val="-5"/>
        </w:rPr>
        <w:t>к</w:t>
      </w:r>
      <w:r>
        <w:rPr>
          <w:color w:val="231F20"/>
          <w:spacing w:val="-13"/>
        </w:rPr>
        <w:t xml:space="preserve"> </w:t>
      </w:r>
      <w:r>
        <w:rPr>
          <w:color w:val="231F20"/>
        </w:rPr>
        <w:t>в</w:t>
      </w:r>
      <w:r>
        <w:rPr>
          <w:color w:val="231F20"/>
          <w:spacing w:val="-14"/>
        </w:rPr>
        <w:t xml:space="preserve"> </w:t>
      </w:r>
      <w:r>
        <w:rPr>
          <w:color w:val="231F20"/>
          <w:spacing w:val="-5"/>
        </w:rPr>
        <w:t>окремих</w:t>
      </w:r>
      <w:r>
        <w:rPr>
          <w:color w:val="231F20"/>
          <w:spacing w:val="-13"/>
        </w:rPr>
        <w:t xml:space="preserve"> </w:t>
      </w:r>
      <w:r>
        <w:rPr>
          <w:color w:val="231F20"/>
          <w:spacing w:val="-5"/>
        </w:rPr>
        <w:t>випадках</w:t>
      </w:r>
      <w:r>
        <w:rPr>
          <w:color w:val="231F20"/>
          <w:spacing w:val="-13"/>
        </w:rPr>
        <w:t xml:space="preserve"> </w:t>
      </w:r>
      <w:r>
        <w:rPr>
          <w:color w:val="231F20"/>
          <w:spacing w:val="-4"/>
        </w:rPr>
        <w:t>він</w:t>
      </w:r>
      <w:r>
        <w:rPr>
          <w:color w:val="231F20"/>
          <w:spacing w:val="-13"/>
        </w:rPr>
        <w:t xml:space="preserve"> </w:t>
      </w:r>
      <w:r>
        <w:rPr>
          <w:color w:val="231F20"/>
          <w:spacing w:val="-5"/>
        </w:rPr>
        <w:t>постає</w:t>
      </w:r>
      <w:r>
        <w:rPr>
          <w:color w:val="231F20"/>
          <w:spacing w:val="-13"/>
        </w:rPr>
        <w:t xml:space="preserve"> </w:t>
      </w:r>
      <w:r>
        <w:rPr>
          <w:color w:val="231F20"/>
          <w:spacing w:val="-3"/>
        </w:rPr>
        <w:t>як</w:t>
      </w:r>
      <w:r>
        <w:rPr>
          <w:color w:val="231F20"/>
          <w:spacing w:val="-13"/>
        </w:rPr>
        <w:t xml:space="preserve"> </w:t>
      </w:r>
      <w:r>
        <w:rPr>
          <w:color w:val="231F20"/>
          <w:spacing w:val="-8"/>
        </w:rPr>
        <w:t xml:space="preserve">суб’єкт </w:t>
      </w:r>
      <w:r>
        <w:rPr>
          <w:color w:val="231F20"/>
          <w:spacing w:val="-5"/>
        </w:rPr>
        <w:t xml:space="preserve">надання </w:t>
      </w:r>
      <w:r>
        <w:rPr>
          <w:color w:val="231F20"/>
          <w:spacing w:val="-4"/>
        </w:rPr>
        <w:t xml:space="preserve">таких </w:t>
      </w:r>
      <w:r>
        <w:rPr>
          <w:color w:val="231F20"/>
          <w:spacing w:val="-7"/>
        </w:rPr>
        <w:t xml:space="preserve">послуг, </w:t>
      </w:r>
      <w:r>
        <w:rPr>
          <w:color w:val="231F20"/>
          <w:spacing w:val="-5"/>
        </w:rPr>
        <w:t xml:space="preserve">ухвалюючи зокрема індивідуальні рішення, які стосуються вирішення </w:t>
      </w:r>
      <w:r>
        <w:rPr>
          <w:color w:val="231F20"/>
          <w:spacing w:val="-4"/>
        </w:rPr>
        <w:t xml:space="preserve">справ </w:t>
      </w:r>
      <w:r>
        <w:rPr>
          <w:color w:val="231F20"/>
          <w:spacing w:val="-5"/>
        </w:rPr>
        <w:t xml:space="preserve">фізичних </w:t>
      </w:r>
      <w:r>
        <w:rPr>
          <w:color w:val="231F20"/>
          <w:spacing w:val="-4"/>
        </w:rPr>
        <w:t xml:space="preserve">або </w:t>
      </w:r>
      <w:r>
        <w:rPr>
          <w:color w:val="231F20"/>
          <w:spacing w:val="-5"/>
        </w:rPr>
        <w:t xml:space="preserve">юридичних </w:t>
      </w:r>
      <w:r>
        <w:rPr>
          <w:color w:val="231F20"/>
          <w:spacing w:val="-4"/>
        </w:rPr>
        <w:t xml:space="preserve">осіб </w:t>
      </w:r>
      <w:r>
        <w:rPr>
          <w:color w:val="231F20"/>
          <w:spacing w:val="-5"/>
        </w:rPr>
        <w:t xml:space="preserve">(напр., розпорядження </w:t>
      </w:r>
      <w:r>
        <w:rPr>
          <w:color w:val="231F20"/>
          <w:spacing w:val="-4"/>
        </w:rPr>
        <w:t xml:space="preserve">про </w:t>
      </w:r>
      <w:r>
        <w:rPr>
          <w:color w:val="231F20"/>
          <w:spacing w:val="-6"/>
        </w:rPr>
        <w:t xml:space="preserve">погодження </w:t>
      </w:r>
      <w:r>
        <w:rPr>
          <w:color w:val="231F20"/>
          <w:spacing w:val="-5"/>
        </w:rPr>
        <w:t>продажу земельних</w:t>
      </w:r>
      <w:r>
        <w:rPr>
          <w:color w:val="231F20"/>
          <w:spacing w:val="-20"/>
        </w:rPr>
        <w:t xml:space="preserve"> </w:t>
      </w:r>
      <w:r>
        <w:rPr>
          <w:color w:val="231F20"/>
          <w:spacing w:val="-5"/>
        </w:rPr>
        <w:t>ділянок)</w:t>
      </w:r>
      <w:r>
        <w:rPr>
          <w:color w:val="231F20"/>
          <w:spacing w:val="-5"/>
          <w:position w:val="7"/>
          <w:sz w:val="12"/>
        </w:rPr>
        <w:t>2</w:t>
      </w:r>
      <w:r>
        <w:rPr>
          <w:color w:val="231F20"/>
          <w:spacing w:val="-5"/>
        </w:rPr>
        <w:t>.</w:t>
      </w:r>
    </w:p>
    <w:p w14:paraId="6E30D1F8" w14:textId="77777777" w:rsidR="00DE575E" w:rsidRDefault="002E7560">
      <w:pPr>
        <w:pStyle w:val="BodyText"/>
        <w:spacing w:before="2"/>
        <w:ind w:left="817"/>
      </w:pPr>
      <w:r>
        <w:rPr>
          <w:color w:val="231F20"/>
        </w:rPr>
        <w:t>Згідно зі ст. 1 Закону України від 17 березня 2011 року</w:t>
      </w:r>
    </w:p>
    <w:p w14:paraId="61F40250" w14:textId="77777777" w:rsidR="00DE575E" w:rsidRDefault="002E7560">
      <w:pPr>
        <w:pStyle w:val="BodyText"/>
        <w:spacing w:before="13" w:line="252" w:lineRule="auto"/>
        <w:ind w:left="533" w:right="127"/>
        <w:jc w:val="both"/>
      </w:pPr>
      <w:r>
        <w:rPr>
          <w:color w:val="231F20"/>
        </w:rPr>
        <w:t xml:space="preserve">№ 3166–VI «Про центральні органи виконавчої влади» систему центральних органів виконавчої влади складають міністерства </w:t>
      </w:r>
      <w:r>
        <w:rPr>
          <w:color w:val="231F20"/>
          <w:spacing w:val="-3"/>
        </w:rPr>
        <w:t xml:space="preserve">України </w:t>
      </w:r>
      <w:r>
        <w:rPr>
          <w:color w:val="231F20"/>
        </w:rPr>
        <w:t>та інші центральні органи виконавчої влади. Міністерства забезпечують</w:t>
      </w:r>
      <w:r>
        <w:rPr>
          <w:color w:val="231F20"/>
          <w:spacing w:val="-9"/>
        </w:rPr>
        <w:t xml:space="preserve"> </w:t>
      </w:r>
      <w:r>
        <w:rPr>
          <w:color w:val="231F20"/>
        </w:rPr>
        <w:t>фор</w:t>
      </w:r>
      <w:r>
        <w:rPr>
          <w:color w:val="231F20"/>
        </w:rPr>
        <w:t>мування</w:t>
      </w:r>
      <w:r>
        <w:rPr>
          <w:color w:val="231F20"/>
          <w:spacing w:val="-9"/>
        </w:rPr>
        <w:t xml:space="preserve"> </w:t>
      </w:r>
      <w:r>
        <w:rPr>
          <w:color w:val="231F20"/>
        </w:rPr>
        <w:t>та</w:t>
      </w:r>
      <w:r>
        <w:rPr>
          <w:color w:val="231F20"/>
          <w:spacing w:val="-9"/>
        </w:rPr>
        <w:t xml:space="preserve"> </w:t>
      </w:r>
      <w:r>
        <w:rPr>
          <w:color w:val="231F20"/>
        </w:rPr>
        <w:t>реалізують</w:t>
      </w:r>
      <w:r>
        <w:rPr>
          <w:color w:val="231F20"/>
          <w:spacing w:val="-9"/>
        </w:rPr>
        <w:t xml:space="preserve"> </w:t>
      </w:r>
      <w:r>
        <w:rPr>
          <w:color w:val="231F20"/>
        </w:rPr>
        <w:t>державну</w:t>
      </w:r>
      <w:r>
        <w:rPr>
          <w:color w:val="231F20"/>
          <w:spacing w:val="-9"/>
        </w:rPr>
        <w:t xml:space="preserve"> </w:t>
      </w:r>
      <w:r>
        <w:rPr>
          <w:color w:val="231F20"/>
        </w:rPr>
        <w:t>політику</w:t>
      </w:r>
      <w:r>
        <w:rPr>
          <w:color w:val="231F20"/>
          <w:spacing w:val="-9"/>
        </w:rPr>
        <w:t xml:space="preserve"> </w:t>
      </w:r>
      <w:r>
        <w:rPr>
          <w:color w:val="231F20"/>
        </w:rPr>
        <w:t>в</w:t>
      </w:r>
      <w:r>
        <w:rPr>
          <w:color w:val="231F20"/>
          <w:spacing w:val="-9"/>
        </w:rPr>
        <w:t xml:space="preserve"> </w:t>
      </w:r>
      <w:r>
        <w:rPr>
          <w:color w:val="231F20"/>
        </w:rPr>
        <w:t>одній чи декількох сферах, інші центральні органи виконавчої влади виконують окремі функції з реалізації державної політики. Повно- важення міністерств, інших центральних органів виконавчої влади поширюються на всю</w:t>
      </w:r>
      <w:r>
        <w:rPr>
          <w:color w:val="231F20"/>
        </w:rPr>
        <w:t xml:space="preserve"> територію</w:t>
      </w:r>
      <w:r>
        <w:rPr>
          <w:color w:val="231F20"/>
          <w:spacing w:val="-3"/>
        </w:rPr>
        <w:t xml:space="preserve"> </w:t>
      </w:r>
      <w:r>
        <w:rPr>
          <w:color w:val="231F20"/>
        </w:rPr>
        <w:t>держави.</w:t>
      </w:r>
    </w:p>
    <w:p w14:paraId="6909B491" w14:textId="77777777" w:rsidR="00DE575E" w:rsidRDefault="002E7560">
      <w:pPr>
        <w:spacing w:before="4" w:line="252" w:lineRule="auto"/>
        <w:ind w:left="533" w:right="128" w:firstLine="283"/>
        <w:jc w:val="both"/>
        <w:rPr>
          <w:sz w:val="21"/>
        </w:rPr>
      </w:pPr>
      <w:r>
        <w:rPr>
          <w:color w:val="231F20"/>
          <w:sz w:val="21"/>
        </w:rPr>
        <w:t xml:space="preserve">Відповідно до законодавства України </w:t>
      </w:r>
      <w:r>
        <w:rPr>
          <w:b/>
          <w:i/>
          <w:color w:val="231F20"/>
          <w:sz w:val="21"/>
        </w:rPr>
        <w:t>міністерства уповнова- жені надавати адміністративні послуги</w:t>
      </w:r>
      <w:r>
        <w:rPr>
          <w:color w:val="231F20"/>
          <w:sz w:val="21"/>
        </w:rPr>
        <w:t>.</w:t>
      </w:r>
    </w:p>
    <w:p w14:paraId="34610208" w14:textId="77777777" w:rsidR="00DE575E" w:rsidRDefault="002E7560">
      <w:pPr>
        <w:spacing w:before="100" w:line="244" w:lineRule="auto"/>
        <w:ind w:left="817" w:right="127" w:firstLine="283"/>
        <w:jc w:val="both"/>
        <w:rPr>
          <w:i/>
          <w:sz w:val="18"/>
        </w:rPr>
      </w:pPr>
      <w:r>
        <w:rPr>
          <w:i/>
          <w:color w:val="231F20"/>
          <w:sz w:val="18"/>
          <w:u w:val="single" w:color="231F20"/>
        </w:rPr>
        <w:t>Приклад:</w:t>
      </w:r>
      <w:r>
        <w:rPr>
          <w:i/>
          <w:color w:val="231F20"/>
          <w:spacing w:val="-8"/>
          <w:sz w:val="18"/>
        </w:rPr>
        <w:t xml:space="preserve"> </w:t>
      </w:r>
      <w:r>
        <w:rPr>
          <w:i/>
          <w:color w:val="231F20"/>
          <w:sz w:val="18"/>
        </w:rPr>
        <w:t>Міністерство</w:t>
      </w:r>
      <w:r>
        <w:rPr>
          <w:i/>
          <w:color w:val="231F20"/>
          <w:spacing w:val="-8"/>
          <w:sz w:val="18"/>
        </w:rPr>
        <w:t xml:space="preserve"> </w:t>
      </w:r>
      <w:r>
        <w:rPr>
          <w:i/>
          <w:color w:val="231F20"/>
          <w:sz w:val="18"/>
        </w:rPr>
        <w:t>культури</w:t>
      </w:r>
      <w:r>
        <w:rPr>
          <w:i/>
          <w:color w:val="231F20"/>
          <w:spacing w:val="-8"/>
          <w:sz w:val="18"/>
        </w:rPr>
        <w:t xml:space="preserve"> </w:t>
      </w:r>
      <w:r>
        <w:rPr>
          <w:i/>
          <w:color w:val="231F20"/>
          <w:sz w:val="18"/>
        </w:rPr>
        <w:t>України</w:t>
      </w:r>
      <w:r>
        <w:rPr>
          <w:i/>
          <w:color w:val="231F20"/>
          <w:spacing w:val="-8"/>
          <w:sz w:val="18"/>
        </w:rPr>
        <w:t xml:space="preserve"> </w:t>
      </w:r>
      <w:r>
        <w:rPr>
          <w:i/>
          <w:color w:val="231F20"/>
          <w:sz w:val="18"/>
        </w:rPr>
        <w:t>надає</w:t>
      </w:r>
      <w:r>
        <w:rPr>
          <w:i/>
          <w:color w:val="231F20"/>
          <w:spacing w:val="-8"/>
          <w:sz w:val="18"/>
        </w:rPr>
        <w:t xml:space="preserve"> </w:t>
      </w:r>
      <w:r>
        <w:rPr>
          <w:i/>
          <w:color w:val="231F20"/>
          <w:sz w:val="18"/>
        </w:rPr>
        <w:t>адміністративні</w:t>
      </w:r>
      <w:r>
        <w:rPr>
          <w:i/>
          <w:color w:val="231F20"/>
          <w:spacing w:val="-8"/>
          <w:sz w:val="18"/>
        </w:rPr>
        <w:t xml:space="preserve"> </w:t>
      </w:r>
      <w:r>
        <w:rPr>
          <w:i/>
          <w:color w:val="231F20"/>
          <w:sz w:val="18"/>
        </w:rPr>
        <w:t>послуги стосовно:</w:t>
      </w:r>
      <w:r>
        <w:rPr>
          <w:i/>
          <w:color w:val="231F20"/>
          <w:spacing w:val="-12"/>
          <w:sz w:val="18"/>
        </w:rPr>
        <w:t xml:space="preserve"> </w:t>
      </w:r>
      <w:r>
        <w:rPr>
          <w:i/>
          <w:color w:val="231F20"/>
          <w:sz w:val="18"/>
        </w:rPr>
        <w:t>реєстрації</w:t>
      </w:r>
      <w:r>
        <w:rPr>
          <w:i/>
          <w:color w:val="231F20"/>
          <w:spacing w:val="-12"/>
          <w:sz w:val="18"/>
        </w:rPr>
        <w:t xml:space="preserve"> </w:t>
      </w:r>
      <w:r>
        <w:rPr>
          <w:i/>
          <w:color w:val="231F20"/>
          <w:sz w:val="18"/>
        </w:rPr>
        <w:t>статуту</w:t>
      </w:r>
      <w:r>
        <w:rPr>
          <w:i/>
          <w:color w:val="231F20"/>
          <w:spacing w:val="-12"/>
          <w:sz w:val="18"/>
        </w:rPr>
        <w:t xml:space="preserve"> </w:t>
      </w:r>
      <w:r>
        <w:rPr>
          <w:i/>
          <w:color w:val="231F20"/>
          <w:sz w:val="18"/>
        </w:rPr>
        <w:t>(положення)</w:t>
      </w:r>
      <w:r>
        <w:rPr>
          <w:i/>
          <w:color w:val="231F20"/>
          <w:spacing w:val="-12"/>
          <w:sz w:val="18"/>
        </w:rPr>
        <w:t xml:space="preserve"> </w:t>
      </w:r>
      <w:r>
        <w:rPr>
          <w:i/>
          <w:color w:val="231F20"/>
          <w:sz w:val="18"/>
        </w:rPr>
        <w:t>релігійного</w:t>
      </w:r>
      <w:r>
        <w:rPr>
          <w:i/>
          <w:color w:val="231F20"/>
          <w:spacing w:val="-12"/>
          <w:sz w:val="18"/>
        </w:rPr>
        <w:t xml:space="preserve"> </w:t>
      </w:r>
      <w:r>
        <w:rPr>
          <w:i/>
          <w:color w:val="231F20"/>
          <w:sz w:val="18"/>
        </w:rPr>
        <w:t>центру</w:t>
      </w:r>
      <w:r>
        <w:rPr>
          <w:i/>
          <w:color w:val="231F20"/>
          <w:spacing w:val="-12"/>
          <w:sz w:val="18"/>
        </w:rPr>
        <w:t xml:space="preserve"> </w:t>
      </w:r>
      <w:r>
        <w:rPr>
          <w:i/>
          <w:color w:val="231F20"/>
          <w:sz w:val="18"/>
        </w:rPr>
        <w:t>(управління); реєстрація статуту (положення) монастиря; видання дозволу на перемі- щення (перенесення) пам’ятки місцевого</w:t>
      </w:r>
      <w:r>
        <w:rPr>
          <w:i/>
          <w:color w:val="231F20"/>
          <w:spacing w:val="-5"/>
          <w:sz w:val="18"/>
        </w:rPr>
        <w:t xml:space="preserve"> </w:t>
      </w:r>
      <w:r>
        <w:rPr>
          <w:i/>
          <w:color w:val="231F20"/>
          <w:sz w:val="18"/>
        </w:rPr>
        <w:t>значення</w:t>
      </w:r>
      <w:r>
        <w:rPr>
          <w:i/>
          <w:color w:val="231F20"/>
          <w:position w:val="6"/>
          <w:sz w:val="10"/>
        </w:rPr>
        <w:t>3</w:t>
      </w:r>
      <w:r>
        <w:rPr>
          <w:i/>
          <w:color w:val="231F20"/>
          <w:sz w:val="18"/>
        </w:rPr>
        <w:t>.</w:t>
      </w:r>
    </w:p>
    <w:p w14:paraId="0897C134" w14:textId="77777777" w:rsidR="00DE575E" w:rsidRDefault="002E7560">
      <w:pPr>
        <w:pStyle w:val="BodyText"/>
        <w:spacing w:before="131" w:line="252" w:lineRule="auto"/>
        <w:ind w:left="533" w:right="128" w:firstLine="283"/>
        <w:jc w:val="both"/>
      </w:pPr>
      <w:r>
        <w:rPr>
          <w:color w:val="231F20"/>
        </w:rPr>
        <w:t>Поряд із цим слід відзначити, що адміністративні послуги серед центральних органів виконавчої влади надають переважно терит</w:t>
      </w:r>
      <w:r>
        <w:rPr>
          <w:color w:val="231F20"/>
        </w:rPr>
        <w:t>о- ріальні органи міністерств та інші органи державної влади.</w:t>
      </w:r>
    </w:p>
    <w:p w14:paraId="40DBA8A1" w14:textId="03A52FCB" w:rsidR="00DE575E" w:rsidRDefault="002E7560">
      <w:pPr>
        <w:pStyle w:val="BodyText"/>
        <w:spacing w:before="3"/>
      </w:pPr>
      <w:r>
        <w:rPr>
          <w:noProof/>
        </w:rPr>
        <mc:AlternateContent>
          <mc:Choice Requires="wps">
            <w:drawing>
              <wp:anchor distT="0" distB="0" distL="0" distR="0" simplePos="0" relativeHeight="7552" behindDoc="0" locked="0" layoutInCell="1" allowOverlap="1" wp14:anchorId="6384A17C" wp14:editId="425CF80F">
                <wp:simplePos x="0" y="0"/>
                <wp:positionH relativeFrom="page">
                  <wp:posOffset>719455</wp:posOffset>
                </wp:positionH>
                <wp:positionV relativeFrom="paragraph">
                  <wp:posOffset>186055</wp:posOffset>
                </wp:positionV>
                <wp:extent cx="1080135" cy="0"/>
                <wp:effectExtent l="8255" t="8255" r="29210" b="29845"/>
                <wp:wrapTopAndBottom/>
                <wp:docPr id="950"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BD07A" id="Line_x0020_949" o:spid="_x0000_s1026" style="position:absolute;z-index: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65pt" to="141.7pt,1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EmWCE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" strokecolor="#231f20" strokeweight=".5pt">
                <w10:wrap type="topAndBottom" anchorx="page"/>
              </v:line>
            </w:pict>
          </mc:Fallback>
        </mc:AlternateContent>
      </w:r>
    </w:p>
    <w:p w14:paraId="45E0FFEE" w14:textId="77777777" w:rsidR="00DE575E" w:rsidRDefault="002E7560">
      <w:pPr>
        <w:spacing w:line="162" w:lineRule="exact"/>
        <w:ind w:left="533"/>
        <w:rPr>
          <w:sz w:val="16"/>
        </w:rPr>
      </w:pPr>
      <w:r>
        <w:rPr>
          <w:color w:val="231F20"/>
          <w:position w:val="5"/>
          <w:sz w:val="9"/>
        </w:rPr>
        <w:t xml:space="preserve">1 </w:t>
      </w:r>
      <w:r>
        <w:rPr>
          <w:color w:val="231F20"/>
          <w:sz w:val="16"/>
        </w:rPr>
        <w:t>Про Кабінет Міністрів України. Закон від 02.2014 № 798-VII.</w:t>
      </w:r>
    </w:p>
    <w:p w14:paraId="63C72653" w14:textId="77777777" w:rsidR="00DE575E" w:rsidRDefault="002E7560">
      <w:pPr>
        <w:spacing w:before="23" w:line="204" w:lineRule="auto"/>
        <w:ind w:left="533" w:right="128"/>
        <w:jc w:val="both"/>
        <w:rPr>
          <w:i/>
          <w:sz w:val="16"/>
        </w:rPr>
      </w:pPr>
      <w:r>
        <w:rPr>
          <w:color w:val="231F20"/>
          <w:position w:val="5"/>
          <w:sz w:val="9"/>
        </w:rPr>
        <w:t xml:space="preserve">2 </w:t>
      </w:r>
      <w:r>
        <w:rPr>
          <w:i/>
          <w:color w:val="231F20"/>
          <w:sz w:val="16"/>
          <w:u w:val="single" w:color="231F20"/>
        </w:rPr>
        <w:t>Приклад:</w:t>
      </w:r>
      <w:r>
        <w:rPr>
          <w:i/>
          <w:color w:val="231F20"/>
          <w:sz w:val="16"/>
        </w:rPr>
        <w:t xml:space="preserve"> Про погодження продажу земельних ділянок: Розпорядження Кабінету Міністрів України від 12.12.2002 р. № 693-р; Про погод</w:t>
      </w:r>
      <w:r>
        <w:rPr>
          <w:i/>
          <w:color w:val="231F20"/>
          <w:sz w:val="16"/>
        </w:rPr>
        <w:t>ження продажу земельної ділянки    у</w:t>
      </w:r>
      <w:r>
        <w:rPr>
          <w:i/>
          <w:color w:val="231F20"/>
          <w:spacing w:val="-6"/>
          <w:sz w:val="16"/>
        </w:rPr>
        <w:t xml:space="preserve"> </w:t>
      </w:r>
      <w:r>
        <w:rPr>
          <w:i/>
          <w:color w:val="231F20"/>
          <w:sz w:val="16"/>
        </w:rPr>
        <w:t>с.</w:t>
      </w:r>
      <w:r>
        <w:rPr>
          <w:i/>
          <w:color w:val="231F20"/>
          <w:spacing w:val="-6"/>
          <w:sz w:val="16"/>
        </w:rPr>
        <w:t xml:space="preserve"> </w:t>
      </w:r>
      <w:r>
        <w:rPr>
          <w:i/>
          <w:color w:val="231F20"/>
          <w:sz w:val="16"/>
        </w:rPr>
        <w:t>Рованці:</w:t>
      </w:r>
      <w:r>
        <w:rPr>
          <w:i/>
          <w:color w:val="231F20"/>
          <w:spacing w:val="-6"/>
          <w:sz w:val="16"/>
        </w:rPr>
        <w:t xml:space="preserve"> </w:t>
      </w:r>
      <w:r>
        <w:rPr>
          <w:i/>
          <w:color w:val="231F20"/>
          <w:sz w:val="16"/>
        </w:rPr>
        <w:t>розпорядження</w:t>
      </w:r>
      <w:r>
        <w:rPr>
          <w:i/>
          <w:color w:val="231F20"/>
          <w:spacing w:val="-6"/>
          <w:sz w:val="16"/>
        </w:rPr>
        <w:t xml:space="preserve"> </w:t>
      </w:r>
      <w:r>
        <w:rPr>
          <w:i/>
          <w:color w:val="231F20"/>
          <w:sz w:val="16"/>
        </w:rPr>
        <w:t>Кабінету</w:t>
      </w:r>
      <w:r>
        <w:rPr>
          <w:i/>
          <w:color w:val="231F20"/>
          <w:spacing w:val="-6"/>
          <w:sz w:val="16"/>
        </w:rPr>
        <w:t xml:space="preserve"> </w:t>
      </w:r>
      <w:r>
        <w:rPr>
          <w:i/>
          <w:color w:val="231F20"/>
          <w:sz w:val="16"/>
        </w:rPr>
        <w:t>Міністрів</w:t>
      </w:r>
      <w:r>
        <w:rPr>
          <w:i/>
          <w:color w:val="231F20"/>
          <w:spacing w:val="-6"/>
          <w:sz w:val="16"/>
        </w:rPr>
        <w:t xml:space="preserve"> </w:t>
      </w:r>
      <w:r>
        <w:rPr>
          <w:i/>
          <w:color w:val="231F20"/>
          <w:sz w:val="16"/>
        </w:rPr>
        <w:t>України</w:t>
      </w:r>
      <w:r>
        <w:rPr>
          <w:i/>
          <w:color w:val="231F20"/>
          <w:spacing w:val="-6"/>
          <w:sz w:val="16"/>
        </w:rPr>
        <w:t xml:space="preserve"> </w:t>
      </w:r>
      <w:r>
        <w:rPr>
          <w:i/>
          <w:color w:val="231F20"/>
          <w:sz w:val="16"/>
        </w:rPr>
        <w:t>від</w:t>
      </w:r>
      <w:r>
        <w:rPr>
          <w:i/>
          <w:color w:val="231F20"/>
          <w:spacing w:val="-6"/>
          <w:sz w:val="16"/>
        </w:rPr>
        <w:t xml:space="preserve"> </w:t>
      </w:r>
      <w:r>
        <w:rPr>
          <w:i/>
          <w:color w:val="231F20"/>
          <w:sz w:val="16"/>
        </w:rPr>
        <w:t>17.10.2012</w:t>
      </w:r>
      <w:r>
        <w:rPr>
          <w:i/>
          <w:color w:val="231F20"/>
          <w:spacing w:val="-6"/>
          <w:sz w:val="16"/>
        </w:rPr>
        <w:t xml:space="preserve"> </w:t>
      </w:r>
      <w:r>
        <w:rPr>
          <w:i/>
          <w:color w:val="231F20"/>
          <w:sz w:val="16"/>
        </w:rPr>
        <w:t>№</w:t>
      </w:r>
      <w:r>
        <w:rPr>
          <w:i/>
          <w:color w:val="231F20"/>
          <w:spacing w:val="-9"/>
          <w:sz w:val="16"/>
        </w:rPr>
        <w:t xml:space="preserve"> </w:t>
      </w:r>
      <w:r>
        <w:rPr>
          <w:i/>
          <w:color w:val="231F20"/>
          <w:sz w:val="16"/>
        </w:rPr>
        <w:t>773-р.</w:t>
      </w:r>
      <w:r>
        <w:rPr>
          <w:i/>
          <w:color w:val="231F20"/>
          <w:spacing w:val="-6"/>
          <w:sz w:val="16"/>
        </w:rPr>
        <w:t xml:space="preserve"> </w:t>
      </w:r>
      <w:r>
        <w:rPr>
          <w:i/>
          <w:color w:val="231F20"/>
          <w:sz w:val="16"/>
        </w:rPr>
        <w:t>URL:</w:t>
      </w:r>
      <w:r>
        <w:rPr>
          <w:i/>
          <w:color w:val="231F20"/>
          <w:spacing w:val="-6"/>
          <w:sz w:val="16"/>
        </w:rPr>
        <w:t xml:space="preserve"> </w:t>
      </w:r>
      <w:r>
        <w:rPr>
          <w:i/>
          <w:color w:val="231F20"/>
          <w:sz w:val="16"/>
        </w:rPr>
        <w:t>http:// zakon1.rada.gov.ua/laws/show/773-2012-р.</w:t>
      </w:r>
    </w:p>
    <w:p w14:paraId="6A162853" w14:textId="77777777" w:rsidR="00DE575E" w:rsidRDefault="002E7560">
      <w:pPr>
        <w:spacing w:before="31" w:line="204" w:lineRule="auto"/>
        <w:ind w:left="533" w:right="128"/>
        <w:jc w:val="both"/>
        <w:rPr>
          <w:sz w:val="16"/>
        </w:rPr>
      </w:pPr>
      <w:r>
        <w:rPr>
          <w:color w:val="231F20"/>
          <w:position w:val="5"/>
          <w:sz w:val="9"/>
        </w:rPr>
        <w:t xml:space="preserve">3 </w:t>
      </w:r>
      <w:r>
        <w:rPr>
          <w:color w:val="231F20"/>
          <w:sz w:val="16"/>
        </w:rPr>
        <w:t>Культура та релігія. Єдиний державний портал адміністративних послуг. 2020. https:// my.gov.ua/info/services/byservicescope/36</w:t>
      </w:r>
    </w:p>
    <w:p w14:paraId="6F15E0C0" w14:textId="77777777" w:rsidR="00DE575E" w:rsidRDefault="00DE575E">
      <w:pPr>
        <w:pStyle w:val="BodyText"/>
        <w:spacing w:before="5"/>
        <w:rPr>
          <w:sz w:val="12"/>
        </w:rPr>
      </w:pPr>
    </w:p>
    <w:p w14:paraId="355C1578" w14:textId="77777777" w:rsidR="00DE575E" w:rsidRDefault="002E7560">
      <w:pPr>
        <w:spacing w:before="91"/>
        <w:ind w:left="533"/>
        <w:rPr>
          <w:rFonts w:ascii="Times New Roman"/>
          <w:sz w:val="20"/>
        </w:rPr>
      </w:pPr>
      <w:r>
        <w:rPr>
          <w:rFonts w:ascii="Times New Roman"/>
          <w:color w:val="231F20"/>
          <w:sz w:val="20"/>
        </w:rPr>
        <w:t>186</w:t>
      </w:r>
    </w:p>
    <w:p w14:paraId="28B06FD7" w14:textId="77777777" w:rsidR="00DE575E" w:rsidRDefault="00DE575E">
      <w:pPr>
        <w:rPr>
          <w:rFonts w:ascii="Times New Roman"/>
          <w:sz w:val="20"/>
        </w:rPr>
        <w:sectPr w:rsidR="00DE575E">
          <w:pgSz w:w="8510" w:h="12760"/>
          <w:pgMar w:top="660" w:right="720" w:bottom="280" w:left="600" w:header="720" w:footer="720" w:gutter="0"/>
          <w:cols w:space="720"/>
        </w:sectPr>
      </w:pPr>
    </w:p>
    <w:p w14:paraId="13BF5D61"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2F6E16A6" w14:textId="2F2514F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2341039" wp14:editId="56F27952">
                <wp:extent cx="4140200" cy="6350"/>
                <wp:effectExtent l="0" t="0" r="12700" b="6350"/>
                <wp:docPr id="948"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49" name="Line 94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7CFEE" id="Group_x0020_94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weBSx/AgAAmAUAAA4A&#10;AAAAAAAAAAAAAAAALAIAAGRycy9lMm9Eb2MueG1sUEsBAi0AFAAGAAgAAAAhAEynsJDZAAAAAwEA&#10;AA8AAAAAAAAAAAAAAAAA1wQAAGRycy9kb3ducmV2LnhtbFBLBQYAAAAABAAEAPMAAADdBQAAAAA=&#10;">
                <v:line id="Line_x0020_94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oAG8YAAADcAAAADwAAAGRycy9kb3ducmV2LnhtbESP3WrCQBSE7wu+w3IEb0rdtJZSo6tI&#10;oSBe+Jc+wDF7TIK7Z2N2NdGndwuFXg4z8w0znXfWiCs1vnKs4HWYgCDOna64UPCTfb98gvABWaNx&#10;TApu5GE+6z1NMdWu5R1d96EQEcI+RQVlCHUqpc9LsuiHriaO3tE1FkOUTSF1g22EWyPfkuRDWqw4&#10;LpRY01dJ+Wl/sQqy83Mw283KtNnmMJKH83p0v6yVGvS7xQREoC78h//aS61g/D6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bKABvGAAAA3AAAAA8AAAAAAAAA&#10;AAAAAAAAoQIAAGRycy9kb3ducmV2LnhtbFBLBQYAAAAABAAEAPkAAACUAwAAAAA=&#10;" strokecolor="#231f20" strokeweight=".5pt"/>
                <w10:anchorlock/>
              </v:group>
            </w:pict>
          </mc:Fallback>
        </mc:AlternateContent>
      </w:r>
    </w:p>
    <w:p w14:paraId="2D67B1ED" w14:textId="77777777" w:rsidR="00DE575E" w:rsidRDefault="00DE575E">
      <w:pPr>
        <w:pStyle w:val="BodyText"/>
        <w:spacing w:before="7"/>
        <w:rPr>
          <w:rFonts w:ascii="AdonisC"/>
          <w:i/>
          <w:sz w:val="19"/>
        </w:rPr>
      </w:pPr>
    </w:p>
    <w:p w14:paraId="7E219FD8" w14:textId="77777777" w:rsidR="00DE575E" w:rsidRDefault="002E7560">
      <w:pPr>
        <w:pStyle w:val="BodyText"/>
        <w:spacing w:before="1" w:line="252" w:lineRule="auto"/>
        <w:ind w:left="250" w:right="411" w:firstLine="283"/>
        <w:jc w:val="both"/>
      </w:pPr>
      <w:r>
        <w:rPr>
          <w:color w:val="231F20"/>
        </w:rPr>
        <w:t>До інших центральних органів виконавчої влади належать: служби, агентства, інспекції, центральні органи виконавчої влади  зі спеціальним статусом, інші центральні органи виконавчої влади. Інші державні органи, які надають адміністративні послуги, – це наса</w:t>
      </w:r>
      <w:r>
        <w:rPr>
          <w:color w:val="231F20"/>
        </w:rPr>
        <w:t>мперед державні органи, які формально не віднесені до органів виконавчої влади, однак здійснюють публічне</w:t>
      </w:r>
      <w:r>
        <w:rPr>
          <w:color w:val="231F20"/>
          <w:spacing w:val="-16"/>
        </w:rPr>
        <w:t xml:space="preserve"> </w:t>
      </w:r>
      <w:r>
        <w:rPr>
          <w:color w:val="231F20"/>
        </w:rPr>
        <w:t>адміністрування1</w:t>
      </w:r>
      <w:r>
        <w:rPr>
          <w:color w:val="231F20"/>
          <w:position w:val="7"/>
          <w:sz w:val="12"/>
        </w:rPr>
        <w:t>1</w:t>
      </w:r>
      <w:r>
        <w:rPr>
          <w:color w:val="231F20"/>
        </w:rPr>
        <w:t>.</w:t>
      </w:r>
    </w:p>
    <w:p w14:paraId="6AFE1DFF" w14:textId="77777777" w:rsidR="00DE575E" w:rsidRDefault="002E7560">
      <w:pPr>
        <w:spacing w:before="3" w:line="252" w:lineRule="auto"/>
        <w:ind w:left="250" w:right="411" w:firstLine="283"/>
        <w:jc w:val="both"/>
        <w:rPr>
          <w:sz w:val="21"/>
        </w:rPr>
      </w:pPr>
      <w:r>
        <w:rPr>
          <w:b/>
          <w:i/>
          <w:color w:val="231F20"/>
          <w:sz w:val="21"/>
        </w:rPr>
        <w:t xml:space="preserve">Органи місцевого самоврядування </w:t>
      </w:r>
      <w:r>
        <w:rPr>
          <w:color w:val="231F20"/>
          <w:sz w:val="21"/>
        </w:rPr>
        <w:t>як суб’єкти надання адмі- ністративних послуг. Згідно зі ст. 5 Закону України від 21.05.1997 р.</w:t>
      </w:r>
    </w:p>
    <w:p w14:paraId="31D1BBA5" w14:textId="77777777" w:rsidR="00DE575E" w:rsidRDefault="002E7560">
      <w:pPr>
        <w:pStyle w:val="BodyText"/>
        <w:spacing w:before="1" w:line="252" w:lineRule="auto"/>
        <w:ind w:left="250" w:right="409"/>
        <w:jc w:val="both"/>
      </w:pPr>
      <w:r>
        <w:rPr>
          <w:color w:val="231F20"/>
        </w:rPr>
        <w:t>№ 2</w:t>
      </w:r>
      <w:r>
        <w:rPr>
          <w:color w:val="231F20"/>
        </w:rPr>
        <w:t xml:space="preserve">80 «Про місцеве самоврядування в </w:t>
      </w:r>
      <w:r>
        <w:rPr>
          <w:color w:val="231F20"/>
          <w:spacing w:val="-3"/>
        </w:rPr>
        <w:t xml:space="preserve">Україні»  </w:t>
      </w:r>
      <w:r>
        <w:rPr>
          <w:color w:val="231F20"/>
        </w:rPr>
        <w:t xml:space="preserve">система  місце-  вого самоврядування включає: територіальну громаду; сільську, </w:t>
      </w:r>
      <w:r>
        <w:rPr>
          <w:color w:val="231F20"/>
          <w:spacing w:val="-3"/>
        </w:rPr>
        <w:t xml:space="preserve">селищну, </w:t>
      </w:r>
      <w:r>
        <w:rPr>
          <w:color w:val="231F20"/>
        </w:rPr>
        <w:t xml:space="preserve">міську раду; сільського, селищного, міського голову; вико- навчі органи сільської, селищної, міської ради; старосту; районні </w:t>
      </w:r>
      <w:r>
        <w:rPr>
          <w:color w:val="231F20"/>
        </w:rPr>
        <w:t>та обласні ради, що представляють спільні інтереси територіальних громад сіл, селищ, міст; органи самоорганізації</w:t>
      </w:r>
      <w:r>
        <w:rPr>
          <w:color w:val="231F20"/>
          <w:spacing w:val="-5"/>
        </w:rPr>
        <w:t xml:space="preserve"> </w:t>
      </w:r>
      <w:r>
        <w:rPr>
          <w:color w:val="231F20"/>
        </w:rPr>
        <w:t>населення.</w:t>
      </w:r>
    </w:p>
    <w:p w14:paraId="56187418" w14:textId="77777777" w:rsidR="00DE575E" w:rsidRDefault="002E7560">
      <w:pPr>
        <w:pStyle w:val="BodyText"/>
        <w:spacing w:before="3" w:line="252" w:lineRule="auto"/>
        <w:ind w:left="250" w:right="410" w:firstLine="283"/>
        <w:jc w:val="both"/>
      </w:pPr>
      <w:r>
        <w:rPr>
          <w:color w:val="231F20"/>
        </w:rPr>
        <w:t xml:space="preserve">Закон </w:t>
      </w:r>
      <w:r>
        <w:rPr>
          <w:color w:val="231F20"/>
          <w:spacing w:val="-3"/>
        </w:rPr>
        <w:t xml:space="preserve">України </w:t>
      </w:r>
      <w:r>
        <w:rPr>
          <w:color w:val="231F20"/>
        </w:rPr>
        <w:t xml:space="preserve">«Про місцеве самоврядування в  </w:t>
      </w:r>
      <w:r>
        <w:rPr>
          <w:color w:val="231F20"/>
          <w:spacing w:val="-3"/>
        </w:rPr>
        <w:t xml:space="preserve">Україні»  </w:t>
      </w:r>
      <w:r>
        <w:rPr>
          <w:color w:val="231F20"/>
        </w:rPr>
        <w:t xml:space="preserve">виді-  ляє повноваження органів місцевого  самоврядування,  поділяючи їх на </w:t>
      </w:r>
      <w:r>
        <w:rPr>
          <w:color w:val="231F20"/>
        </w:rPr>
        <w:t>виключну компетенцію органів місцевого самоврядування та делеговані повноваження виконавчих органів сільських, селищних, міських рад. Виключну компетенцію органів місцевого самовряду- вання</w:t>
      </w:r>
      <w:r>
        <w:rPr>
          <w:color w:val="231F20"/>
          <w:spacing w:val="-6"/>
        </w:rPr>
        <w:t xml:space="preserve"> </w:t>
      </w:r>
      <w:r>
        <w:rPr>
          <w:color w:val="231F20"/>
        </w:rPr>
        <w:t>складають</w:t>
      </w:r>
      <w:r>
        <w:rPr>
          <w:color w:val="231F20"/>
          <w:spacing w:val="-6"/>
        </w:rPr>
        <w:t xml:space="preserve"> </w:t>
      </w:r>
      <w:r>
        <w:rPr>
          <w:color w:val="231F20"/>
        </w:rPr>
        <w:t>питання,</w:t>
      </w:r>
      <w:r>
        <w:rPr>
          <w:color w:val="231F20"/>
          <w:spacing w:val="-6"/>
        </w:rPr>
        <w:t xml:space="preserve"> </w:t>
      </w:r>
      <w:r>
        <w:rPr>
          <w:color w:val="231F20"/>
        </w:rPr>
        <w:t>що</w:t>
      </w:r>
      <w:r>
        <w:rPr>
          <w:color w:val="231F20"/>
          <w:spacing w:val="-6"/>
        </w:rPr>
        <w:t xml:space="preserve"> </w:t>
      </w:r>
      <w:r>
        <w:rPr>
          <w:color w:val="231F20"/>
        </w:rPr>
        <w:t>вирішуються</w:t>
      </w:r>
      <w:r>
        <w:rPr>
          <w:color w:val="231F20"/>
          <w:spacing w:val="-6"/>
        </w:rPr>
        <w:t xml:space="preserve"> </w:t>
      </w:r>
      <w:r>
        <w:rPr>
          <w:color w:val="231F20"/>
        </w:rPr>
        <w:t>виключно</w:t>
      </w:r>
      <w:r>
        <w:rPr>
          <w:color w:val="231F20"/>
          <w:spacing w:val="-6"/>
        </w:rPr>
        <w:t xml:space="preserve"> </w:t>
      </w:r>
      <w:r>
        <w:rPr>
          <w:color w:val="231F20"/>
        </w:rPr>
        <w:t>на</w:t>
      </w:r>
      <w:r>
        <w:rPr>
          <w:color w:val="231F20"/>
          <w:spacing w:val="-6"/>
        </w:rPr>
        <w:t xml:space="preserve"> </w:t>
      </w:r>
      <w:r>
        <w:rPr>
          <w:color w:val="231F20"/>
        </w:rPr>
        <w:t>пленарних засіданнях</w:t>
      </w:r>
      <w:r>
        <w:rPr>
          <w:color w:val="231F20"/>
        </w:rPr>
        <w:t xml:space="preserve"> сільської, селищної, міської ради та районної і обласної ради, а також власні повноваження виконавчих органів сільських, селищних,</w:t>
      </w:r>
      <w:r>
        <w:rPr>
          <w:color w:val="231F20"/>
          <w:spacing w:val="-7"/>
        </w:rPr>
        <w:t xml:space="preserve"> </w:t>
      </w:r>
      <w:r>
        <w:rPr>
          <w:color w:val="231F20"/>
        </w:rPr>
        <w:t>міських</w:t>
      </w:r>
      <w:r>
        <w:rPr>
          <w:color w:val="231F20"/>
          <w:spacing w:val="-7"/>
        </w:rPr>
        <w:t xml:space="preserve"> </w:t>
      </w:r>
      <w:r>
        <w:rPr>
          <w:color w:val="231F20"/>
        </w:rPr>
        <w:t>рад.</w:t>
      </w:r>
      <w:r>
        <w:rPr>
          <w:color w:val="231F20"/>
          <w:spacing w:val="-7"/>
        </w:rPr>
        <w:t xml:space="preserve"> </w:t>
      </w:r>
      <w:r>
        <w:rPr>
          <w:color w:val="231F20"/>
        </w:rPr>
        <w:t>Отже,</w:t>
      </w:r>
      <w:r>
        <w:rPr>
          <w:color w:val="231F20"/>
          <w:spacing w:val="-7"/>
        </w:rPr>
        <w:t xml:space="preserve"> </w:t>
      </w:r>
      <w:r>
        <w:rPr>
          <w:color w:val="231F20"/>
        </w:rPr>
        <w:t>повноваження</w:t>
      </w:r>
      <w:r>
        <w:rPr>
          <w:color w:val="231F20"/>
          <w:spacing w:val="-7"/>
        </w:rPr>
        <w:t xml:space="preserve"> </w:t>
      </w:r>
      <w:r>
        <w:rPr>
          <w:color w:val="231F20"/>
        </w:rPr>
        <w:t>органів</w:t>
      </w:r>
      <w:r>
        <w:rPr>
          <w:color w:val="231F20"/>
          <w:spacing w:val="-7"/>
        </w:rPr>
        <w:t xml:space="preserve"> </w:t>
      </w:r>
      <w:r>
        <w:rPr>
          <w:color w:val="231F20"/>
        </w:rPr>
        <w:t>місцевого</w:t>
      </w:r>
      <w:r>
        <w:rPr>
          <w:color w:val="231F20"/>
          <w:spacing w:val="-7"/>
        </w:rPr>
        <w:t xml:space="preserve"> </w:t>
      </w:r>
      <w:r>
        <w:rPr>
          <w:color w:val="231F20"/>
        </w:rPr>
        <w:t>само- врядування поділяються на власні, пов’язані з вирішенням питань місц</w:t>
      </w:r>
      <w:r>
        <w:rPr>
          <w:color w:val="231F20"/>
        </w:rPr>
        <w:t>евого значення, та делеговані, що стосуються програм загаль- нодержавного</w:t>
      </w:r>
      <w:r>
        <w:rPr>
          <w:color w:val="231F20"/>
          <w:spacing w:val="-1"/>
        </w:rPr>
        <w:t xml:space="preserve"> </w:t>
      </w:r>
      <w:r>
        <w:rPr>
          <w:color w:val="231F20"/>
        </w:rPr>
        <w:t>значення.</w:t>
      </w:r>
    </w:p>
    <w:p w14:paraId="032A9DAE" w14:textId="77777777" w:rsidR="00DE575E" w:rsidRDefault="002E7560">
      <w:pPr>
        <w:pStyle w:val="BodyText"/>
        <w:spacing w:before="6" w:line="252" w:lineRule="auto"/>
        <w:ind w:left="250" w:right="407" w:firstLine="283"/>
        <w:jc w:val="both"/>
      </w:pPr>
      <w:r>
        <w:rPr>
          <w:color w:val="231F20"/>
        </w:rPr>
        <w:t xml:space="preserve">Відповідно до ч. 2 </w:t>
      </w:r>
      <w:r>
        <w:rPr>
          <w:color w:val="231F20"/>
          <w:spacing w:val="-5"/>
        </w:rPr>
        <w:t xml:space="preserve">ст. </w:t>
      </w:r>
      <w:r>
        <w:rPr>
          <w:color w:val="231F20"/>
        </w:rPr>
        <w:t>16 Закону України «Про місцеве самовря- дування в Україні» органам місцевого самоврядування, крім влас- них повноважень, можуть надаватися окремі пов</w:t>
      </w:r>
      <w:r>
        <w:rPr>
          <w:color w:val="231F20"/>
        </w:rPr>
        <w:t xml:space="preserve">новаження орга- нів виконавчої влади, у здійсненні яких вони є підконтрольними відповідним органам виконавчої влади. </w:t>
      </w:r>
      <w:r>
        <w:rPr>
          <w:color w:val="231F20"/>
          <w:spacing w:val="-4"/>
        </w:rPr>
        <w:t xml:space="preserve">Глава </w:t>
      </w:r>
      <w:r>
        <w:rPr>
          <w:color w:val="231F20"/>
        </w:rPr>
        <w:t>ІІ цього Закону містить низку статей, що передбачають, якими саме делегова-  ними повноваженнями можуть наділятися органи місцевого с</w:t>
      </w:r>
      <w:r>
        <w:rPr>
          <w:color w:val="231F20"/>
        </w:rPr>
        <w:t xml:space="preserve">амо- врядування. </w:t>
      </w:r>
      <w:r>
        <w:rPr>
          <w:color w:val="231F20"/>
          <w:spacing w:val="-3"/>
        </w:rPr>
        <w:t xml:space="preserve">Так, </w:t>
      </w:r>
      <w:r>
        <w:rPr>
          <w:color w:val="231F20"/>
          <w:spacing w:val="-5"/>
        </w:rPr>
        <w:t xml:space="preserve">ст. </w:t>
      </w:r>
      <w:r>
        <w:rPr>
          <w:color w:val="231F20"/>
        </w:rPr>
        <w:t>27 Закону України «Про місцеве самовряду- вання в Україні» в частині делегованих повноважень передбачено, що</w:t>
      </w:r>
      <w:r>
        <w:rPr>
          <w:color w:val="231F20"/>
          <w:spacing w:val="16"/>
        </w:rPr>
        <w:t xml:space="preserve"> </w:t>
      </w:r>
      <w:r>
        <w:rPr>
          <w:color w:val="231F20"/>
        </w:rPr>
        <w:t>органи</w:t>
      </w:r>
      <w:r>
        <w:rPr>
          <w:color w:val="231F20"/>
          <w:spacing w:val="16"/>
        </w:rPr>
        <w:t xml:space="preserve"> </w:t>
      </w:r>
      <w:r>
        <w:rPr>
          <w:color w:val="231F20"/>
        </w:rPr>
        <w:t>місцевого</w:t>
      </w:r>
      <w:r>
        <w:rPr>
          <w:color w:val="231F20"/>
          <w:spacing w:val="16"/>
        </w:rPr>
        <w:t xml:space="preserve"> </w:t>
      </w:r>
      <w:r>
        <w:rPr>
          <w:color w:val="231F20"/>
        </w:rPr>
        <w:t>самоврядування</w:t>
      </w:r>
      <w:r>
        <w:rPr>
          <w:color w:val="231F20"/>
          <w:spacing w:val="16"/>
        </w:rPr>
        <w:t xml:space="preserve"> </w:t>
      </w:r>
      <w:r>
        <w:rPr>
          <w:color w:val="231F20"/>
        </w:rPr>
        <w:t>здійснюють</w:t>
      </w:r>
      <w:r>
        <w:rPr>
          <w:color w:val="231F20"/>
          <w:spacing w:val="16"/>
        </w:rPr>
        <w:t xml:space="preserve"> </w:t>
      </w:r>
      <w:r>
        <w:rPr>
          <w:color w:val="231F20"/>
        </w:rPr>
        <w:t>організаційне</w:t>
      </w:r>
    </w:p>
    <w:p w14:paraId="14EFD157" w14:textId="77777777" w:rsidR="00DE575E" w:rsidRDefault="00DE575E">
      <w:pPr>
        <w:pStyle w:val="BodyText"/>
        <w:rPr>
          <w:sz w:val="20"/>
        </w:rPr>
      </w:pPr>
    </w:p>
    <w:p w14:paraId="4F3EA1C4" w14:textId="42E45900" w:rsidR="00DE575E" w:rsidRDefault="002E7560">
      <w:pPr>
        <w:pStyle w:val="BodyText"/>
        <w:rPr>
          <w:sz w:val="13"/>
        </w:rPr>
      </w:pPr>
      <w:r>
        <w:rPr>
          <w:noProof/>
        </w:rPr>
        <mc:AlternateContent>
          <mc:Choice Requires="wps">
            <w:drawing>
              <wp:anchor distT="0" distB="0" distL="0" distR="0" simplePos="0" relativeHeight="7600" behindDoc="0" locked="0" layoutInCell="1" allowOverlap="1" wp14:anchorId="2E82F627" wp14:editId="515B9EB5">
                <wp:simplePos x="0" y="0"/>
                <wp:positionH relativeFrom="page">
                  <wp:posOffset>539750</wp:posOffset>
                </wp:positionH>
                <wp:positionV relativeFrom="paragraph">
                  <wp:posOffset>125095</wp:posOffset>
                </wp:positionV>
                <wp:extent cx="1080135" cy="0"/>
                <wp:effectExtent l="6350" t="10795" r="31115" b="27305"/>
                <wp:wrapTopAndBottom/>
                <wp:docPr id="947"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72B8" id="Line_x0020_946" o:spid="_x0000_s1026" style="position:absolute;z-index: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5pt" to="127.55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" strokecolor="#231f20" strokeweight=".5pt">
                <w10:wrap type="topAndBottom" anchorx="page"/>
              </v:line>
            </w:pict>
          </mc:Fallback>
        </mc:AlternateContent>
      </w:r>
    </w:p>
    <w:p w14:paraId="30D0BEA9" w14:textId="77777777" w:rsidR="00DE575E" w:rsidRDefault="002E7560">
      <w:pPr>
        <w:spacing w:line="204" w:lineRule="auto"/>
        <w:ind w:left="250" w:right="128"/>
        <w:rPr>
          <w:i/>
          <w:sz w:val="16"/>
        </w:rPr>
      </w:pPr>
      <w:r>
        <w:rPr>
          <w:color w:val="231F20"/>
          <w:position w:val="5"/>
          <w:sz w:val="9"/>
        </w:rPr>
        <w:t xml:space="preserve">1 </w:t>
      </w:r>
      <w:r>
        <w:rPr>
          <w:i/>
          <w:color w:val="231F20"/>
          <w:sz w:val="16"/>
          <w:u w:val="single" w:color="231F20"/>
        </w:rPr>
        <w:t>Приклад</w:t>
      </w:r>
      <w:r>
        <w:rPr>
          <w:i/>
          <w:color w:val="231F20"/>
          <w:sz w:val="16"/>
        </w:rPr>
        <w:t>, Національний банк України, Національна комісія, що здійснює державне регу- лювання у сферах енергетики та комунальних послуг, тощо.</w:t>
      </w:r>
    </w:p>
    <w:p w14:paraId="532F26CB" w14:textId="77777777" w:rsidR="00DE575E" w:rsidRDefault="00DE575E">
      <w:pPr>
        <w:pStyle w:val="BodyText"/>
        <w:spacing w:before="1"/>
        <w:rPr>
          <w:i/>
          <w:sz w:val="12"/>
        </w:rPr>
      </w:pPr>
    </w:p>
    <w:p w14:paraId="52F02BF0" w14:textId="77777777" w:rsidR="00DE575E" w:rsidRDefault="002E7560">
      <w:pPr>
        <w:spacing w:before="92"/>
        <w:ind w:right="411"/>
        <w:jc w:val="right"/>
        <w:rPr>
          <w:rFonts w:ascii="Times New Roman"/>
          <w:sz w:val="20"/>
        </w:rPr>
      </w:pPr>
      <w:r>
        <w:rPr>
          <w:rFonts w:ascii="Times New Roman"/>
          <w:color w:val="231F20"/>
          <w:w w:val="90"/>
          <w:sz w:val="20"/>
        </w:rPr>
        <w:t>187</w:t>
      </w:r>
    </w:p>
    <w:p w14:paraId="62D2692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D181A1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0AE9F6D" w14:textId="416E134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12A013E" wp14:editId="71721A76">
                <wp:extent cx="4140200" cy="6350"/>
                <wp:effectExtent l="0" t="0" r="12700" b="6350"/>
                <wp:docPr id="94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46" name="Line 9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D5CC0" id="Group_x0020_9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ddQFl/AgAAmAUAAA4A&#10;AAAAAAAAAAAAAAAALAIAAGRycy9lMm9Eb2MueG1sUEsBAi0AFAAGAAgAAAAhAEynsJDZAAAAAwEA&#10;AA8AAAAAAAAAAAAAAAAA1wQAAGRycy9kb3ducmV2LnhtbFBLBQYAAAAABAAEAPMAAADdBQAAAAA=&#10;">
                <v:line id="Line_x0020_9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WUacYAAADcAAAADwAAAGRycy9kb3ducmV2LnhtbESP0WrCQBRE3wv+w3IFX0rdqEVqdBUp&#10;FEoftDX9gGv2mgR378bsaqJf7wqFPg4zc4ZZrDprxIUaXzlWMBomIIhzpysuFPxmHy9vIHxA1mgc&#10;k4IreVgte08LTLVr+Ycuu1CICGGfooIyhDqV0uclWfRDVxNH7+AaiyHKppC6wTbCrZHjJJlKixXH&#10;hRJrei8pP+7OVkF2eg7me/tl2my7n8j9aTO5nTdKDfrdeg4iUBf+w3/tT61g9jq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VlGnGAAAA3AAAAA8AAAAAAAAA&#10;AAAAAAAAoQIAAGRycy9kb3ducmV2LnhtbFBLBQYAAAAABAAEAPkAAACUAwAAAAA=&#10;" strokecolor="#231f20" strokeweight=".5pt"/>
                <w10:anchorlock/>
              </v:group>
            </w:pict>
          </mc:Fallback>
        </mc:AlternateContent>
      </w:r>
    </w:p>
    <w:p w14:paraId="26271116" w14:textId="77777777" w:rsidR="00DE575E" w:rsidRDefault="00DE575E">
      <w:pPr>
        <w:pStyle w:val="BodyText"/>
        <w:spacing w:before="7"/>
        <w:rPr>
          <w:rFonts w:ascii="AdonisC"/>
          <w:i/>
          <w:sz w:val="11"/>
        </w:rPr>
      </w:pPr>
    </w:p>
    <w:p w14:paraId="43C72F77" w14:textId="77777777" w:rsidR="00DE575E" w:rsidRDefault="002E7560">
      <w:pPr>
        <w:pStyle w:val="BodyText"/>
        <w:spacing w:before="101" w:line="252" w:lineRule="auto"/>
        <w:ind w:left="533" w:right="128"/>
      </w:pPr>
      <w:r>
        <w:rPr>
          <w:color w:val="231F20"/>
        </w:rPr>
        <w:t>забезпечення надання адміністративних послуг органів виконав- чої влади через ЦНАП.</w:t>
      </w:r>
    </w:p>
    <w:p w14:paraId="4B74C418" w14:textId="77777777" w:rsidR="00DE575E" w:rsidRDefault="002E7560">
      <w:pPr>
        <w:pStyle w:val="BodyText"/>
        <w:spacing w:before="1" w:line="252" w:lineRule="auto"/>
        <w:ind w:left="533" w:right="125" w:firstLine="283"/>
        <w:jc w:val="both"/>
      </w:pPr>
      <w:r>
        <w:rPr>
          <w:color w:val="231F20"/>
        </w:rPr>
        <w:t xml:space="preserve">Обсяг надання муніципальних послуг районними та обласними радами обмежений повноваженнями цих органів, що є здебільшого організаційними та майже не передбачають виконання управлін- ських дій, спрямованих на забезпечення потреб конкретних грома- дян. </w:t>
      </w:r>
      <w:r>
        <w:rPr>
          <w:color w:val="231F20"/>
          <w:spacing w:val="-4"/>
        </w:rPr>
        <w:t xml:space="preserve">Тому </w:t>
      </w:r>
      <w:r>
        <w:rPr>
          <w:color w:val="231F20"/>
        </w:rPr>
        <w:t>т</w:t>
      </w:r>
      <w:r>
        <w:rPr>
          <w:color w:val="231F20"/>
        </w:rPr>
        <w:t>ака  особливість  є  обмеженням  діяльності  районних  та обласних рад як органів місцевого самоврядування регіональ- ного</w:t>
      </w:r>
      <w:r>
        <w:rPr>
          <w:color w:val="231F20"/>
          <w:spacing w:val="3"/>
        </w:rPr>
        <w:t xml:space="preserve"> </w:t>
      </w:r>
      <w:r>
        <w:rPr>
          <w:color w:val="231F20"/>
        </w:rPr>
        <w:t>рівня.</w:t>
      </w:r>
    </w:p>
    <w:p w14:paraId="59939AB8" w14:textId="77777777" w:rsidR="00DE575E" w:rsidRDefault="002E7560">
      <w:pPr>
        <w:pStyle w:val="BodyText"/>
        <w:spacing w:before="3" w:line="252" w:lineRule="auto"/>
        <w:ind w:left="533" w:right="127" w:firstLine="283"/>
        <w:jc w:val="both"/>
      </w:pPr>
      <w:r>
        <w:rPr>
          <w:color w:val="231F20"/>
        </w:rPr>
        <w:t>Виходячи з природи та сутності місцевого самоврядування, громади мають право і, головне, реальну здатність самостійно вирі- шу</w:t>
      </w:r>
      <w:r>
        <w:rPr>
          <w:color w:val="231F20"/>
        </w:rPr>
        <w:t xml:space="preserve">вати всі питання місцевого життя. Саме тому в рамках прове- дення державних реформ із децентралізації влади слід урахувати, що основним </w:t>
      </w:r>
      <w:r>
        <w:rPr>
          <w:color w:val="231F20"/>
          <w:spacing w:val="-3"/>
        </w:rPr>
        <w:t xml:space="preserve">суб’єктом </w:t>
      </w:r>
      <w:r>
        <w:rPr>
          <w:color w:val="231F20"/>
        </w:rPr>
        <w:t>надання адміністративних послуг мають бути саме органи місцевого самоврядування. Це наблизить проце- дури нада</w:t>
      </w:r>
      <w:r>
        <w:rPr>
          <w:color w:val="231F20"/>
        </w:rPr>
        <w:t>ння адміністративних послуг до споживачів, що зробить їх не лише зручними, але й сприятиме більш оперативному і профе- сійному задоволенню та виявленню потреб й очікувань споживачів, підвищить відповідальність органів</w:t>
      </w:r>
      <w:r>
        <w:rPr>
          <w:color w:val="231F20"/>
          <w:spacing w:val="-3"/>
        </w:rPr>
        <w:t xml:space="preserve"> </w:t>
      </w:r>
      <w:r>
        <w:rPr>
          <w:color w:val="231F20"/>
        </w:rPr>
        <w:t>влади.</w:t>
      </w:r>
    </w:p>
    <w:p w14:paraId="0EA3620F" w14:textId="77777777" w:rsidR="00DE575E" w:rsidRDefault="002E7560">
      <w:pPr>
        <w:pStyle w:val="BodyText"/>
        <w:spacing w:before="5" w:line="252" w:lineRule="auto"/>
        <w:ind w:left="533" w:right="126" w:firstLine="283"/>
        <w:jc w:val="both"/>
      </w:pPr>
      <w:r>
        <w:rPr>
          <w:b/>
          <w:color w:val="231F20"/>
          <w:spacing w:val="-3"/>
        </w:rPr>
        <w:t xml:space="preserve">Об’єднані </w:t>
      </w:r>
      <w:r>
        <w:rPr>
          <w:b/>
          <w:color w:val="231F20"/>
        </w:rPr>
        <w:t>територіальні громади</w:t>
      </w:r>
      <w:r>
        <w:rPr>
          <w:b/>
          <w:color w:val="231F20"/>
        </w:rPr>
        <w:t xml:space="preserve"> </w:t>
      </w:r>
      <w:r>
        <w:rPr>
          <w:color w:val="231F20"/>
        </w:rPr>
        <w:t xml:space="preserve">як </w:t>
      </w:r>
      <w:r>
        <w:rPr>
          <w:color w:val="231F20"/>
          <w:spacing w:val="-3"/>
        </w:rPr>
        <w:t xml:space="preserve">суб’єкти </w:t>
      </w:r>
      <w:r>
        <w:rPr>
          <w:color w:val="231F20"/>
        </w:rPr>
        <w:t xml:space="preserve">надання адмініст- ративних </w:t>
      </w:r>
      <w:r>
        <w:rPr>
          <w:color w:val="231F20"/>
          <w:spacing w:val="-3"/>
        </w:rPr>
        <w:t xml:space="preserve">послуг. </w:t>
      </w:r>
      <w:r>
        <w:rPr>
          <w:color w:val="231F20"/>
        </w:rPr>
        <w:t xml:space="preserve">Оптимальний перелік адміністративних послуг залежить від інституційної спроможності громади. У громадах на базі </w:t>
      </w:r>
      <w:r>
        <w:rPr>
          <w:color w:val="231F20"/>
          <w:spacing w:val="-4"/>
        </w:rPr>
        <w:t xml:space="preserve">міст, </w:t>
      </w:r>
      <w:r>
        <w:rPr>
          <w:color w:val="231F20"/>
        </w:rPr>
        <w:t xml:space="preserve">особливо середніх і великих, має надаватися максималь- ний спектр </w:t>
      </w:r>
      <w:r>
        <w:rPr>
          <w:color w:val="231F20"/>
          <w:spacing w:val="-3"/>
        </w:rPr>
        <w:t>послуг.</w:t>
      </w:r>
    </w:p>
    <w:p w14:paraId="2CF58B6E" w14:textId="77777777" w:rsidR="00DE575E" w:rsidRDefault="002E7560">
      <w:pPr>
        <w:spacing w:before="2" w:line="252" w:lineRule="auto"/>
        <w:ind w:left="533" w:right="127" w:firstLine="283"/>
        <w:jc w:val="both"/>
        <w:rPr>
          <w:i/>
          <w:sz w:val="21"/>
        </w:rPr>
      </w:pPr>
      <w:r>
        <w:rPr>
          <w:i/>
          <w:color w:val="231F20"/>
          <w:sz w:val="21"/>
        </w:rPr>
        <w:t xml:space="preserve">В </w:t>
      </w:r>
      <w:r>
        <w:rPr>
          <w:i/>
          <w:color w:val="231F20"/>
          <w:spacing w:val="-3"/>
          <w:sz w:val="21"/>
        </w:rPr>
        <w:t xml:space="preserve">об’єднаних </w:t>
      </w:r>
      <w:r>
        <w:rPr>
          <w:i/>
          <w:color w:val="231F20"/>
          <w:sz w:val="21"/>
        </w:rPr>
        <w:t>тер</w:t>
      </w:r>
      <w:r>
        <w:rPr>
          <w:i/>
          <w:color w:val="231F20"/>
          <w:sz w:val="21"/>
        </w:rPr>
        <w:t xml:space="preserve">иторіальних громадах сільського </w:t>
      </w:r>
      <w:r>
        <w:rPr>
          <w:i/>
          <w:color w:val="231F20"/>
          <w:spacing w:val="-3"/>
          <w:sz w:val="21"/>
        </w:rPr>
        <w:t xml:space="preserve">типу, </w:t>
      </w:r>
      <w:r>
        <w:rPr>
          <w:i/>
          <w:color w:val="231F20"/>
          <w:sz w:val="21"/>
        </w:rPr>
        <w:t>особ- ливо</w:t>
      </w:r>
      <w:r>
        <w:rPr>
          <w:i/>
          <w:color w:val="231F20"/>
          <w:spacing w:val="-8"/>
          <w:sz w:val="21"/>
        </w:rPr>
        <w:t xml:space="preserve"> </w:t>
      </w:r>
      <w:r>
        <w:rPr>
          <w:i/>
          <w:color w:val="231F20"/>
          <w:sz w:val="21"/>
        </w:rPr>
        <w:t>з</w:t>
      </w:r>
      <w:r>
        <w:rPr>
          <w:i/>
          <w:color w:val="231F20"/>
          <w:spacing w:val="-8"/>
          <w:sz w:val="21"/>
        </w:rPr>
        <w:t xml:space="preserve"> </w:t>
      </w:r>
      <w:r>
        <w:rPr>
          <w:i/>
          <w:color w:val="231F20"/>
          <w:sz w:val="21"/>
        </w:rPr>
        <w:t>обмеженою</w:t>
      </w:r>
      <w:r>
        <w:rPr>
          <w:i/>
          <w:color w:val="231F20"/>
          <w:spacing w:val="-8"/>
          <w:sz w:val="21"/>
        </w:rPr>
        <w:t xml:space="preserve"> </w:t>
      </w:r>
      <w:r>
        <w:rPr>
          <w:i/>
          <w:color w:val="231F20"/>
          <w:sz w:val="21"/>
        </w:rPr>
        <w:t>спроможністю,</w:t>
      </w:r>
      <w:r>
        <w:rPr>
          <w:i/>
          <w:color w:val="231F20"/>
          <w:spacing w:val="-8"/>
          <w:sz w:val="21"/>
        </w:rPr>
        <w:t xml:space="preserve"> </w:t>
      </w:r>
      <w:r>
        <w:rPr>
          <w:i/>
          <w:color w:val="231F20"/>
          <w:sz w:val="21"/>
        </w:rPr>
        <w:t>насамперед</w:t>
      </w:r>
      <w:r>
        <w:rPr>
          <w:i/>
          <w:color w:val="231F20"/>
          <w:spacing w:val="-8"/>
          <w:sz w:val="21"/>
        </w:rPr>
        <w:t xml:space="preserve"> </w:t>
      </w:r>
      <w:r>
        <w:rPr>
          <w:i/>
          <w:color w:val="231F20"/>
          <w:sz w:val="21"/>
        </w:rPr>
        <w:t>здійснюється</w:t>
      </w:r>
      <w:r>
        <w:rPr>
          <w:i/>
          <w:color w:val="231F20"/>
          <w:spacing w:val="-8"/>
          <w:sz w:val="21"/>
        </w:rPr>
        <w:t xml:space="preserve"> </w:t>
      </w:r>
      <w:r>
        <w:rPr>
          <w:i/>
          <w:color w:val="231F20"/>
          <w:sz w:val="21"/>
        </w:rPr>
        <w:t>надання найнагальніших адміністративних послуг, зокрема у таких</w:t>
      </w:r>
      <w:r>
        <w:rPr>
          <w:i/>
          <w:color w:val="231F20"/>
          <w:spacing w:val="-9"/>
          <w:sz w:val="21"/>
        </w:rPr>
        <w:t xml:space="preserve"> </w:t>
      </w:r>
      <w:r>
        <w:rPr>
          <w:i/>
          <w:color w:val="231F20"/>
          <w:sz w:val="21"/>
        </w:rPr>
        <w:t>сферах:</w:t>
      </w:r>
    </w:p>
    <w:p w14:paraId="62F2B45B" w14:textId="77777777" w:rsidR="00DE575E" w:rsidRDefault="002E7560">
      <w:pPr>
        <w:pStyle w:val="ListParagraph"/>
        <w:numPr>
          <w:ilvl w:val="1"/>
          <w:numId w:val="254"/>
        </w:numPr>
        <w:tabs>
          <w:tab w:val="left" w:pos="1101"/>
        </w:tabs>
        <w:spacing w:before="2" w:line="252" w:lineRule="auto"/>
        <w:ind w:right="128" w:firstLine="284"/>
        <w:rPr>
          <w:sz w:val="21"/>
        </w:rPr>
      </w:pPr>
      <w:r>
        <w:rPr>
          <w:color w:val="231F20"/>
          <w:sz w:val="21"/>
        </w:rPr>
        <w:t>реєстрація актів цивільного стану (1–ї черги): державна реєстрація народження; держав</w:t>
      </w:r>
      <w:r>
        <w:rPr>
          <w:color w:val="231F20"/>
          <w:sz w:val="21"/>
        </w:rPr>
        <w:t>на реєстрація смерті; державна реєстрація</w:t>
      </w:r>
      <w:r>
        <w:rPr>
          <w:color w:val="231F20"/>
          <w:spacing w:val="-2"/>
          <w:sz w:val="21"/>
        </w:rPr>
        <w:t xml:space="preserve"> </w:t>
      </w:r>
      <w:r>
        <w:rPr>
          <w:color w:val="231F20"/>
          <w:sz w:val="21"/>
        </w:rPr>
        <w:t>шлюбу;</w:t>
      </w:r>
    </w:p>
    <w:p w14:paraId="13FDE625" w14:textId="77777777" w:rsidR="00DE575E" w:rsidRDefault="002E7560">
      <w:pPr>
        <w:pStyle w:val="ListParagraph"/>
        <w:numPr>
          <w:ilvl w:val="1"/>
          <w:numId w:val="254"/>
        </w:numPr>
        <w:tabs>
          <w:tab w:val="left" w:pos="1101"/>
        </w:tabs>
        <w:spacing w:line="252" w:lineRule="auto"/>
        <w:ind w:right="127" w:firstLine="284"/>
        <w:rPr>
          <w:sz w:val="21"/>
        </w:rPr>
      </w:pPr>
      <w:r>
        <w:rPr>
          <w:color w:val="231F20"/>
          <w:sz w:val="21"/>
        </w:rPr>
        <w:t>реєстрація / зняття з реєстрації мешканців: реєстрація місця проживання особи; зняття з реєстрації місця проживання особи; надання довідки про реєстрацію місця проживання особи; реєстра- ція місця перебування особи; надання довідки про склад сім’ї (про зар</w:t>
      </w:r>
      <w:r>
        <w:rPr>
          <w:color w:val="231F20"/>
          <w:sz w:val="21"/>
        </w:rPr>
        <w:t>еєстрованих у житловому приміщенні</w:t>
      </w:r>
      <w:r>
        <w:rPr>
          <w:color w:val="231F20"/>
          <w:spacing w:val="-6"/>
          <w:sz w:val="21"/>
        </w:rPr>
        <w:t xml:space="preserve"> </w:t>
      </w:r>
      <w:r>
        <w:rPr>
          <w:color w:val="231F20"/>
          <w:sz w:val="21"/>
        </w:rPr>
        <w:t>осіб);</w:t>
      </w:r>
    </w:p>
    <w:p w14:paraId="0E72E02D" w14:textId="77777777" w:rsidR="00DE575E" w:rsidRDefault="002E7560">
      <w:pPr>
        <w:pStyle w:val="ListParagraph"/>
        <w:numPr>
          <w:ilvl w:val="1"/>
          <w:numId w:val="254"/>
        </w:numPr>
        <w:tabs>
          <w:tab w:val="left" w:pos="1101"/>
        </w:tabs>
        <w:spacing w:before="3"/>
        <w:ind w:firstLine="284"/>
        <w:jc w:val="left"/>
        <w:rPr>
          <w:sz w:val="21"/>
        </w:rPr>
      </w:pPr>
      <w:r>
        <w:rPr>
          <w:color w:val="231F20"/>
          <w:sz w:val="21"/>
        </w:rPr>
        <w:t>призначення житлових</w:t>
      </w:r>
      <w:r>
        <w:rPr>
          <w:color w:val="231F20"/>
          <w:spacing w:val="-2"/>
          <w:sz w:val="21"/>
        </w:rPr>
        <w:t xml:space="preserve"> </w:t>
      </w:r>
      <w:r>
        <w:rPr>
          <w:color w:val="231F20"/>
          <w:sz w:val="21"/>
        </w:rPr>
        <w:t>субсидій;</w:t>
      </w:r>
    </w:p>
    <w:p w14:paraId="680EE3CE" w14:textId="77777777" w:rsidR="00DE575E" w:rsidRDefault="002E7560">
      <w:pPr>
        <w:pStyle w:val="ListParagraph"/>
        <w:numPr>
          <w:ilvl w:val="1"/>
          <w:numId w:val="254"/>
        </w:numPr>
        <w:tabs>
          <w:tab w:val="left" w:pos="1101"/>
        </w:tabs>
        <w:spacing w:before="13" w:line="252" w:lineRule="auto"/>
        <w:ind w:right="127" w:firstLine="284"/>
        <w:rPr>
          <w:sz w:val="21"/>
        </w:rPr>
      </w:pPr>
      <w:r>
        <w:rPr>
          <w:color w:val="231F20"/>
          <w:sz w:val="21"/>
        </w:rPr>
        <w:t>призначення</w:t>
      </w:r>
      <w:r>
        <w:rPr>
          <w:color w:val="231F20"/>
          <w:spacing w:val="-12"/>
          <w:sz w:val="21"/>
        </w:rPr>
        <w:t xml:space="preserve"> </w:t>
      </w:r>
      <w:r>
        <w:rPr>
          <w:color w:val="231F20"/>
          <w:sz w:val="21"/>
        </w:rPr>
        <w:t>окремих</w:t>
      </w:r>
      <w:r>
        <w:rPr>
          <w:color w:val="231F20"/>
          <w:spacing w:val="-12"/>
          <w:sz w:val="21"/>
        </w:rPr>
        <w:t xml:space="preserve"> </w:t>
      </w:r>
      <w:r>
        <w:rPr>
          <w:color w:val="231F20"/>
          <w:sz w:val="21"/>
        </w:rPr>
        <w:t>видів</w:t>
      </w:r>
      <w:r>
        <w:rPr>
          <w:color w:val="231F20"/>
          <w:spacing w:val="-12"/>
          <w:sz w:val="21"/>
        </w:rPr>
        <w:t xml:space="preserve"> </w:t>
      </w:r>
      <w:r>
        <w:rPr>
          <w:color w:val="231F20"/>
          <w:sz w:val="21"/>
        </w:rPr>
        <w:t>державної</w:t>
      </w:r>
      <w:r>
        <w:rPr>
          <w:color w:val="231F20"/>
          <w:spacing w:val="-12"/>
          <w:sz w:val="21"/>
        </w:rPr>
        <w:t xml:space="preserve"> </w:t>
      </w:r>
      <w:r>
        <w:rPr>
          <w:color w:val="231F20"/>
          <w:sz w:val="21"/>
        </w:rPr>
        <w:t>допомоги</w:t>
      </w:r>
      <w:r>
        <w:rPr>
          <w:color w:val="231F20"/>
          <w:spacing w:val="-12"/>
          <w:sz w:val="21"/>
        </w:rPr>
        <w:t xml:space="preserve"> </w:t>
      </w:r>
      <w:r>
        <w:rPr>
          <w:color w:val="231F20"/>
          <w:sz w:val="21"/>
        </w:rPr>
        <w:t>(зокрема</w:t>
      </w:r>
      <w:r>
        <w:rPr>
          <w:color w:val="231F20"/>
          <w:spacing w:val="-12"/>
          <w:sz w:val="21"/>
        </w:rPr>
        <w:t xml:space="preserve"> </w:t>
      </w:r>
      <w:r>
        <w:rPr>
          <w:color w:val="231F20"/>
          <w:sz w:val="21"/>
        </w:rPr>
        <w:t>при народженні дитини</w:t>
      </w:r>
      <w:r>
        <w:rPr>
          <w:color w:val="231F20"/>
          <w:spacing w:val="-2"/>
          <w:sz w:val="21"/>
        </w:rPr>
        <w:t xml:space="preserve"> </w:t>
      </w:r>
      <w:r>
        <w:rPr>
          <w:color w:val="231F20"/>
          <w:sz w:val="21"/>
        </w:rPr>
        <w:t>тощо);</w:t>
      </w:r>
    </w:p>
    <w:p w14:paraId="1E463E4A" w14:textId="77777777" w:rsidR="00DE575E" w:rsidRDefault="002E7560">
      <w:pPr>
        <w:pStyle w:val="ListParagraph"/>
        <w:numPr>
          <w:ilvl w:val="1"/>
          <w:numId w:val="254"/>
        </w:numPr>
        <w:tabs>
          <w:tab w:val="left" w:pos="1101"/>
        </w:tabs>
        <w:ind w:firstLine="284"/>
        <w:jc w:val="left"/>
        <w:rPr>
          <w:sz w:val="21"/>
        </w:rPr>
      </w:pPr>
      <w:r>
        <w:rPr>
          <w:color w:val="231F20"/>
          <w:sz w:val="21"/>
        </w:rPr>
        <w:t>призначення та перерахунок</w:t>
      </w:r>
      <w:r>
        <w:rPr>
          <w:color w:val="231F20"/>
          <w:spacing w:val="-3"/>
          <w:sz w:val="21"/>
        </w:rPr>
        <w:t xml:space="preserve"> </w:t>
      </w:r>
      <w:r>
        <w:rPr>
          <w:color w:val="231F20"/>
          <w:sz w:val="21"/>
        </w:rPr>
        <w:t>пенсій.</w:t>
      </w:r>
    </w:p>
    <w:p w14:paraId="07D0584E" w14:textId="77777777" w:rsidR="00DE575E" w:rsidRDefault="00DE575E">
      <w:pPr>
        <w:pStyle w:val="BodyText"/>
        <w:spacing w:before="5"/>
        <w:rPr>
          <w:sz w:val="13"/>
        </w:rPr>
      </w:pPr>
    </w:p>
    <w:p w14:paraId="5ED85D62" w14:textId="77777777" w:rsidR="00DE575E" w:rsidRDefault="002E7560">
      <w:pPr>
        <w:spacing w:before="92"/>
        <w:ind w:left="533"/>
        <w:rPr>
          <w:rFonts w:ascii="Times New Roman"/>
          <w:sz w:val="20"/>
        </w:rPr>
      </w:pPr>
      <w:r>
        <w:rPr>
          <w:rFonts w:ascii="Times New Roman"/>
          <w:color w:val="231F20"/>
          <w:sz w:val="20"/>
        </w:rPr>
        <w:t>188</w:t>
      </w:r>
    </w:p>
    <w:p w14:paraId="2D836985" w14:textId="77777777" w:rsidR="00DE575E" w:rsidRDefault="00DE575E">
      <w:pPr>
        <w:rPr>
          <w:rFonts w:ascii="Times New Roman"/>
          <w:sz w:val="20"/>
        </w:rPr>
        <w:sectPr w:rsidR="00DE575E">
          <w:pgSz w:w="8510" w:h="12760"/>
          <w:pgMar w:top="660" w:right="720" w:bottom="280" w:left="600" w:header="720" w:footer="720" w:gutter="0"/>
          <w:cols w:space="720"/>
        </w:sectPr>
      </w:pPr>
    </w:p>
    <w:p w14:paraId="2573E2E4"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w:t>
      </w:r>
      <w:r>
        <w:rPr>
          <w:rFonts w:ascii="AdonisC" w:hAnsi="AdonisC"/>
          <w:i/>
          <w:color w:val="231F20"/>
          <w:sz w:val="18"/>
        </w:rPr>
        <w:t xml:space="preserve"> 6. Адміністративні послуги</w:t>
      </w:r>
    </w:p>
    <w:p w14:paraId="69D41AEB" w14:textId="279847B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CFB1C0F" wp14:editId="6F2989CC">
                <wp:extent cx="4140200" cy="6350"/>
                <wp:effectExtent l="0" t="0" r="12700" b="6350"/>
                <wp:docPr id="94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44" name="Line 9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A8AD1" id="Group_x0020_9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NBxLB/AgAAmAUAAA4A&#10;AAAAAAAAAAAAAAAALAIAAGRycy9lMm9Eb2MueG1sUEsBAi0AFAAGAAgAAAAhAEynsJDZAAAAAwEA&#10;AA8AAAAAAAAAAAAAAAAA1wQAAGRycy9kb3ducmV2LnhtbFBLBQYAAAAABAAEAPMAAADdBQAAAAA=&#10;">
                <v:line id="Line_x0020_9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uvhccAAADcAAAADwAAAGRycy9kb3ducmV2LnhtbESP3WrCQBSE7wXfYTmCN6Vu/KHU6CpS&#10;KJReaGv6AMfsMQnuno3Z1aR9elcoeDnMzDfMct1ZI67U+MqxgvEoAUGcO11xoeAne39+BeEDskbj&#10;mBT8kof1qt9bYqpdy9903YdCRAj7FBWUIdSplD4vyaIfuZo4ekfXWAxRNoXUDbYRbo2cJMmLtFhx&#10;XCixpreS8tP+YhVk56dgvnafps12h6k8nLfTv8tWqeGg2yxABOrCI/zf/tAK5rMZ3M/EIy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y6+FxwAAANwAAAAPAAAAAAAA&#10;AAAAAAAAAKECAABkcnMvZG93bnJldi54bWxQSwUGAAAAAAQABAD5AAAAlQMAAAAA&#10;" strokecolor="#231f20" strokeweight=".5pt"/>
                <w10:anchorlock/>
              </v:group>
            </w:pict>
          </mc:Fallback>
        </mc:AlternateContent>
      </w:r>
    </w:p>
    <w:p w14:paraId="09199E43" w14:textId="77777777" w:rsidR="00DE575E" w:rsidRDefault="00DE575E">
      <w:pPr>
        <w:pStyle w:val="BodyText"/>
        <w:spacing w:before="7"/>
        <w:rPr>
          <w:rFonts w:ascii="AdonisC"/>
          <w:i/>
          <w:sz w:val="19"/>
        </w:rPr>
      </w:pPr>
    </w:p>
    <w:p w14:paraId="36D9319A" w14:textId="77777777" w:rsidR="00DE575E" w:rsidRDefault="002E7560">
      <w:pPr>
        <w:pStyle w:val="BodyText"/>
        <w:spacing w:before="1" w:line="252" w:lineRule="auto"/>
        <w:ind w:left="250" w:right="410" w:firstLine="283"/>
        <w:jc w:val="both"/>
      </w:pPr>
      <w:r>
        <w:rPr>
          <w:color w:val="231F20"/>
        </w:rPr>
        <w:t>У зв’язку із запровадженням у державно-правову практику України інституту старости об’єднаної територіальної громади важлива роль у наданні та сприянні громадянам у наданні адмініст- ративних послуг належить саме цій посадовій особі місцевого само- врядува</w:t>
      </w:r>
      <w:r>
        <w:rPr>
          <w:color w:val="231F20"/>
        </w:rPr>
        <w:t>ння.</w:t>
      </w:r>
    </w:p>
    <w:p w14:paraId="4550C2CD" w14:textId="77777777" w:rsidR="00DE575E" w:rsidRDefault="002E7560">
      <w:pPr>
        <w:pStyle w:val="BodyText"/>
        <w:spacing w:before="2" w:line="252" w:lineRule="auto"/>
        <w:ind w:left="250" w:right="411" w:firstLine="283"/>
        <w:jc w:val="both"/>
      </w:pPr>
      <w:r>
        <w:rPr>
          <w:i/>
          <w:color w:val="231F20"/>
        </w:rPr>
        <w:t xml:space="preserve">Основними напрямками діяльності старости </w:t>
      </w:r>
      <w:r>
        <w:rPr>
          <w:color w:val="231F20"/>
        </w:rPr>
        <w:t xml:space="preserve">є створення відпо- відних умов для отримання адміністративних </w:t>
      </w:r>
      <w:r>
        <w:rPr>
          <w:color w:val="231F20"/>
          <w:spacing w:val="-3"/>
        </w:rPr>
        <w:t xml:space="preserve">послуг, </w:t>
      </w:r>
      <w:r>
        <w:rPr>
          <w:color w:val="231F20"/>
        </w:rPr>
        <w:t>надання дові- док для одержання адміністративних послуг в адміністративних центрах</w:t>
      </w:r>
      <w:r>
        <w:rPr>
          <w:color w:val="231F20"/>
          <w:spacing w:val="-6"/>
        </w:rPr>
        <w:t xml:space="preserve"> </w:t>
      </w:r>
      <w:r>
        <w:rPr>
          <w:color w:val="231F20"/>
        </w:rPr>
        <w:t>ОТГ</w:t>
      </w:r>
      <w:r>
        <w:rPr>
          <w:color w:val="231F20"/>
          <w:spacing w:val="-6"/>
        </w:rPr>
        <w:t xml:space="preserve"> </w:t>
      </w:r>
      <w:r>
        <w:rPr>
          <w:color w:val="231F20"/>
        </w:rPr>
        <w:t>і</w:t>
      </w:r>
      <w:r>
        <w:rPr>
          <w:color w:val="231F20"/>
          <w:spacing w:val="-7"/>
        </w:rPr>
        <w:t xml:space="preserve"> </w:t>
      </w:r>
      <w:r>
        <w:rPr>
          <w:color w:val="231F20"/>
        </w:rPr>
        <w:t>безпосереднє</w:t>
      </w:r>
      <w:r>
        <w:rPr>
          <w:color w:val="231F20"/>
          <w:spacing w:val="-7"/>
        </w:rPr>
        <w:t xml:space="preserve"> </w:t>
      </w:r>
      <w:r>
        <w:rPr>
          <w:color w:val="231F20"/>
        </w:rPr>
        <w:t>надання</w:t>
      </w:r>
      <w:r>
        <w:rPr>
          <w:color w:val="231F20"/>
          <w:spacing w:val="-6"/>
        </w:rPr>
        <w:t xml:space="preserve"> </w:t>
      </w:r>
      <w:r>
        <w:rPr>
          <w:color w:val="231F20"/>
        </w:rPr>
        <w:t>адміністративних</w:t>
      </w:r>
      <w:r>
        <w:rPr>
          <w:color w:val="231F20"/>
          <w:spacing w:val="-6"/>
        </w:rPr>
        <w:t xml:space="preserve"> </w:t>
      </w:r>
      <w:r>
        <w:rPr>
          <w:color w:val="231F20"/>
        </w:rPr>
        <w:t>послуг</w:t>
      </w:r>
      <w:r>
        <w:rPr>
          <w:color w:val="231F20"/>
          <w:spacing w:val="-6"/>
        </w:rPr>
        <w:t xml:space="preserve"> </w:t>
      </w:r>
      <w:r>
        <w:rPr>
          <w:color w:val="231F20"/>
        </w:rPr>
        <w:t>жите- лям сіл та селищ, які не є адміністративними центрами</w:t>
      </w:r>
      <w:r>
        <w:rPr>
          <w:color w:val="231F20"/>
          <w:spacing w:val="-14"/>
        </w:rPr>
        <w:t xml:space="preserve"> </w:t>
      </w:r>
      <w:r>
        <w:rPr>
          <w:color w:val="231F20"/>
          <w:spacing w:val="-7"/>
        </w:rPr>
        <w:t>ОТГ.</w:t>
      </w:r>
    </w:p>
    <w:p w14:paraId="464E14DA" w14:textId="77777777" w:rsidR="00DE575E" w:rsidRDefault="002E7560">
      <w:pPr>
        <w:pStyle w:val="BodyText"/>
        <w:spacing w:before="3" w:line="252" w:lineRule="auto"/>
        <w:ind w:left="250" w:right="410" w:firstLine="283"/>
        <w:jc w:val="both"/>
      </w:pPr>
      <w:r>
        <w:rPr>
          <w:color w:val="231F20"/>
        </w:rPr>
        <w:t>Для отримання жителями сіл та селищ адміністративних послуг від виконавчих органів місцевого самоврядування (відділів, депар- таментів ради ОТГ) староста в межах своїх повноважень має спри- я</w:t>
      </w:r>
      <w:r>
        <w:rPr>
          <w:color w:val="231F20"/>
        </w:rPr>
        <w:t>ти жителям у підготовці потрібних документів (надання бланків документів, роз’яснення порядку  їх  заповнення,  консультування  з питань переліку документів та їх форми, які потрібно додати до заяви).</w:t>
      </w:r>
    </w:p>
    <w:p w14:paraId="3C82DBFE" w14:textId="77777777" w:rsidR="00DE575E" w:rsidRDefault="002E7560">
      <w:pPr>
        <w:pStyle w:val="BodyText"/>
        <w:spacing w:before="3" w:line="252" w:lineRule="auto"/>
        <w:ind w:left="250" w:right="408" w:firstLine="283"/>
        <w:jc w:val="both"/>
      </w:pPr>
      <w:r>
        <w:rPr>
          <w:color w:val="231F20"/>
        </w:rPr>
        <w:t xml:space="preserve">Для одержання громадянами адміністративних послуг в </w:t>
      </w:r>
      <w:r>
        <w:rPr>
          <w:color w:val="231F20"/>
          <w:spacing w:val="-4"/>
        </w:rPr>
        <w:t>об’</w:t>
      </w:r>
      <w:r>
        <w:rPr>
          <w:color w:val="231F20"/>
          <w:spacing w:val="-4"/>
        </w:rPr>
        <w:t xml:space="preserve">єдна- </w:t>
      </w:r>
      <w:r>
        <w:rPr>
          <w:color w:val="231F20"/>
        </w:rPr>
        <w:t>них територіальних громадах староста має право надавати довідки про реєстрацію місця проживання (реєстрації) особи, довідки про склад</w:t>
      </w:r>
      <w:r>
        <w:rPr>
          <w:color w:val="231F20"/>
          <w:spacing w:val="-14"/>
        </w:rPr>
        <w:t xml:space="preserve"> </w:t>
      </w:r>
      <w:r>
        <w:rPr>
          <w:color w:val="231F20"/>
        </w:rPr>
        <w:t>сім’ї</w:t>
      </w:r>
      <w:r>
        <w:rPr>
          <w:color w:val="231F20"/>
          <w:spacing w:val="-14"/>
        </w:rPr>
        <w:t xml:space="preserve"> </w:t>
      </w:r>
      <w:r>
        <w:rPr>
          <w:color w:val="231F20"/>
        </w:rPr>
        <w:t>(про</w:t>
      </w:r>
      <w:r>
        <w:rPr>
          <w:color w:val="231F20"/>
          <w:spacing w:val="-14"/>
        </w:rPr>
        <w:t xml:space="preserve"> </w:t>
      </w:r>
      <w:r>
        <w:rPr>
          <w:color w:val="231F20"/>
        </w:rPr>
        <w:t>склад</w:t>
      </w:r>
      <w:r>
        <w:rPr>
          <w:color w:val="231F20"/>
          <w:spacing w:val="-14"/>
        </w:rPr>
        <w:t xml:space="preserve"> </w:t>
      </w:r>
      <w:r>
        <w:rPr>
          <w:color w:val="231F20"/>
        </w:rPr>
        <w:t>зареєстрованих</w:t>
      </w:r>
      <w:r>
        <w:rPr>
          <w:color w:val="231F20"/>
          <w:spacing w:val="-14"/>
        </w:rPr>
        <w:t xml:space="preserve"> </w:t>
      </w:r>
      <w:r>
        <w:rPr>
          <w:color w:val="231F20"/>
        </w:rPr>
        <w:t>у</w:t>
      </w:r>
      <w:r>
        <w:rPr>
          <w:color w:val="231F20"/>
          <w:spacing w:val="-14"/>
        </w:rPr>
        <w:t xml:space="preserve"> </w:t>
      </w:r>
      <w:r>
        <w:rPr>
          <w:color w:val="231F20"/>
        </w:rPr>
        <w:t>житловому</w:t>
      </w:r>
      <w:r>
        <w:rPr>
          <w:color w:val="231F20"/>
          <w:spacing w:val="-14"/>
        </w:rPr>
        <w:t xml:space="preserve"> </w:t>
      </w:r>
      <w:r>
        <w:rPr>
          <w:color w:val="231F20"/>
        </w:rPr>
        <w:t>приміщенні</w:t>
      </w:r>
      <w:r>
        <w:rPr>
          <w:color w:val="231F20"/>
          <w:spacing w:val="-14"/>
        </w:rPr>
        <w:t xml:space="preserve"> </w:t>
      </w:r>
      <w:r>
        <w:rPr>
          <w:color w:val="231F20"/>
        </w:rPr>
        <w:t xml:space="preserve">осіб). </w:t>
      </w:r>
      <w:r>
        <w:rPr>
          <w:color w:val="231F20"/>
          <w:spacing w:val="-5"/>
        </w:rPr>
        <w:t xml:space="preserve">Такі </w:t>
      </w:r>
      <w:r>
        <w:rPr>
          <w:color w:val="231F20"/>
        </w:rPr>
        <w:t>довідки надаються для призначення житлових субсид</w:t>
      </w:r>
      <w:r>
        <w:rPr>
          <w:color w:val="231F20"/>
        </w:rPr>
        <w:t>ій, окре- мих видів державної допомоги, призначення та перерахунку пенсій. Староста має печатку для</w:t>
      </w:r>
      <w:r>
        <w:rPr>
          <w:color w:val="231F20"/>
          <w:spacing w:val="-1"/>
        </w:rPr>
        <w:t xml:space="preserve"> </w:t>
      </w:r>
      <w:r>
        <w:rPr>
          <w:color w:val="231F20"/>
        </w:rPr>
        <w:t>довідок.</w:t>
      </w:r>
    </w:p>
    <w:p w14:paraId="033E6F3A" w14:textId="77777777" w:rsidR="00DE575E" w:rsidRDefault="002E7560">
      <w:pPr>
        <w:pStyle w:val="BodyText"/>
        <w:spacing w:before="4" w:line="252" w:lineRule="auto"/>
        <w:ind w:left="250" w:right="410" w:firstLine="283"/>
        <w:jc w:val="both"/>
      </w:pPr>
      <w:r>
        <w:rPr>
          <w:color w:val="231F20"/>
        </w:rPr>
        <w:t>Крім того, статтею 3 Закону України «Про свободу пересування та вільний вибір місця проживання в Україні» виконавчий орган сільської, селищної, міс</w:t>
      </w:r>
      <w:r>
        <w:rPr>
          <w:color w:val="231F20"/>
        </w:rPr>
        <w:t>ької ради визначено як орган, що здійснює реєстрацію, зняття з реєстрації місця проживання особи на тери- торії відповідної адміністративно-територіальної одиниці, на яку поширюються повноваження відповідної сільської, селищної, місь- кої ради.</w:t>
      </w:r>
    </w:p>
    <w:p w14:paraId="0D3DB048" w14:textId="77777777" w:rsidR="00DE575E" w:rsidRDefault="002E7560">
      <w:pPr>
        <w:pStyle w:val="BodyText"/>
        <w:spacing w:before="3" w:line="252" w:lineRule="auto"/>
        <w:ind w:left="250" w:right="412" w:firstLine="283"/>
        <w:jc w:val="both"/>
      </w:pPr>
      <w:r>
        <w:rPr>
          <w:b/>
          <w:color w:val="231F20"/>
        </w:rPr>
        <w:t>Державний р</w:t>
      </w:r>
      <w:r>
        <w:rPr>
          <w:b/>
          <w:color w:val="231F20"/>
        </w:rPr>
        <w:t xml:space="preserve">еєстратор </w:t>
      </w:r>
      <w:r>
        <w:rPr>
          <w:color w:val="231F20"/>
        </w:rPr>
        <w:t>як суб’єкт державної реєстрації також уповноважений відповідно до закону надавати адміністративні послуги.</w:t>
      </w:r>
    </w:p>
    <w:p w14:paraId="12A07415" w14:textId="77777777" w:rsidR="00DE575E" w:rsidRDefault="002E7560">
      <w:pPr>
        <w:pStyle w:val="BodyText"/>
        <w:spacing w:before="1" w:line="252" w:lineRule="auto"/>
        <w:ind w:left="250" w:right="411" w:firstLine="283"/>
        <w:jc w:val="both"/>
      </w:pPr>
      <w:r>
        <w:rPr>
          <w:color w:val="231F20"/>
        </w:rPr>
        <w:t xml:space="preserve">На сьогодні відносини, які наявні у  сфері  державної  реєстра-  ції юридичних осіб та фізичних осіб-підприємців, регулюються Конституцією </w:t>
      </w:r>
      <w:r>
        <w:rPr>
          <w:color w:val="231F20"/>
          <w:spacing w:val="-3"/>
        </w:rPr>
        <w:t xml:space="preserve">України, </w:t>
      </w:r>
      <w:r>
        <w:rPr>
          <w:color w:val="231F20"/>
        </w:rPr>
        <w:t xml:space="preserve">Законом </w:t>
      </w:r>
      <w:r>
        <w:rPr>
          <w:color w:val="231F20"/>
          <w:spacing w:val="-3"/>
        </w:rPr>
        <w:t xml:space="preserve">України </w:t>
      </w:r>
      <w:r>
        <w:rPr>
          <w:color w:val="231F20"/>
        </w:rPr>
        <w:t>«Про державну реєстрацію юридичних осіб, фізичних осіб-підприємців та громадських форму- вань» і підзаконними нормативно-правовими</w:t>
      </w:r>
      <w:r>
        <w:rPr>
          <w:color w:val="231F20"/>
          <w:spacing w:val="-4"/>
        </w:rPr>
        <w:t xml:space="preserve"> </w:t>
      </w:r>
      <w:r>
        <w:rPr>
          <w:color w:val="231F20"/>
        </w:rPr>
        <w:t>актами.</w:t>
      </w:r>
    </w:p>
    <w:p w14:paraId="3091FD65" w14:textId="77777777" w:rsidR="00DE575E" w:rsidRDefault="00DE575E">
      <w:pPr>
        <w:pStyle w:val="BodyText"/>
        <w:spacing w:before="7"/>
        <w:rPr>
          <w:sz w:val="12"/>
        </w:rPr>
      </w:pPr>
    </w:p>
    <w:p w14:paraId="6BB2E9FC" w14:textId="77777777" w:rsidR="00DE575E" w:rsidRDefault="002E7560">
      <w:pPr>
        <w:spacing w:before="92"/>
        <w:ind w:right="411"/>
        <w:jc w:val="right"/>
        <w:rPr>
          <w:rFonts w:ascii="Times New Roman"/>
          <w:sz w:val="20"/>
        </w:rPr>
      </w:pPr>
      <w:r>
        <w:rPr>
          <w:rFonts w:ascii="Times New Roman"/>
          <w:color w:val="231F20"/>
          <w:w w:val="90"/>
          <w:sz w:val="20"/>
        </w:rPr>
        <w:t>189</w:t>
      </w:r>
    </w:p>
    <w:p w14:paraId="49C76C6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295C93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7540B42" w14:textId="2FD7414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5DFBC66" wp14:editId="4C994ACC">
                <wp:extent cx="4140200" cy="6350"/>
                <wp:effectExtent l="0" t="0" r="12700" b="6350"/>
                <wp:docPr id="941"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42" name="Line 9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C8D8C" id="Group_x0020_9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CB7JDn4CAACYBQAADgAA&#10;AAAAAAAAAAAAAAAsAgAAZHJzL2Uyb0RvYy54bWxQSwECLQAUAAYACAAAACEATKewkNkAAAADAQAA&#10;DwAAAAAAAAAAAAAAAADWBAAAZHJzL2Rvd25yZXYueG1sUEsFBgAAAAAEAAQA8wAAANwFAAAAAA==&#10;">
                <v:line id="Line_x0020_9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SasYAAADcAAAADwAAAGRycy9kb3ducmV2LnhtbESP0WrCQBRE3wX/YblCX4pu1CIaXUUK&#10;hdIHbY0fcM1ek+Du3ZhdTdqv7xYKPg4zc4ZZbTprxJ0aXzlWMB4lIIhzpysuFByzt+EchA/IGo1j&#10;UvBNHjbrfm+FqXYtf9H9EAoRIexTVFCGUKdS+rwki37kauLonV1jMUTZFFI32Ea4NXKSJDNpseK4&#10;UGJNryXll8PNKsiuz8F87j9Mm+1PU3m67qY/t51ST4NuuwQRqAuP8H/7XStYvEz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ukmrGAAAA3AAAAA8AAAAAAAAA&#10;AAAAAAAAoQIAAGRycy9kb3ducmV2LnhtbFBLBQYAAAAABAAEAPkAAACUAwAAAAA=&#10;" strokecolor="#231f20" strokeweight=".5pt"/>
                <w10:anchorlock/>
              </v:group>
            </w:pict>
          </mc:Fallback>
        </mc:AlternateContent>
      </w:r>
    </w:p>
    <w:p w14:paraId="7E40AE21" w14:textId="77777777" w:rsidR="00DE575E" w:rsidRDefault="00DE575E">
      <w:pPr>
        <w:pStyle w:val="BodyText"/>
        <w:spacing w:before="7"/>
        <w:rPr>
          <w:rFonts w:ascii="AdonisC"/>
          <w:i/>
          <w:sz w:val="11"/>
        </w:rPr>
      </w:pPr>
    </w:p>
    <w:p w14:paraId="12651FF4" w14:textId="77777777" w:rsidR="00DE575E" w:rsidRDefault="002E7560">
      <w:pPr>
        <w:pStyle w:val="BodyText"/>
        <w:spacing w:before="101" w:line="252" w:lineRule="auto"/>
        <w:ind w:left="533" w:right="126" w:firstLine="283"/>
        <w:jc w:val="both"/>
      </w:pPr>
      <w:r>
        <w:rPr>
          <w:color w:val="231F20"/>
        </w:rPr>
        <w:t xml:space="preserve">Закон </w:t>
      </w:r>
      <w:r>
        <w:rPr>
          <w:color w:val="231F20"/>
          <w:spacing w:val="-3"/>
        </w:rPr>
        <w:t xml:space="preserve">України </w:t>
      </w:r>
      <w:r>
        <w:rPr>
          <w:color w:val="231F20"/>
        </w:rPr>
        <w:t>«Про державну реєстрацію юридичних осіб, фізич- них осіб-підприємців та громадських  формувань»</w:t>
      </w:r>
      <w:r>
        <w:rPr>
          <w:color w:val="231F20"/>
          <w:position w:val="7"/>
          <w:sz w:val="12"/>
        </w:rPr>
        <w:t xml:space="preserve">1  </w:t>
      </w:r>
      <w:r>
        <w:rPr>
          <w:color w:val="231F20"/>
        </w:rPr>
        <w:t>поширюється  на державну реєстрацію юридичних та фізичних осіб-підприємців, громадських формувань, що не ма</w:t>
      </w:r>
      <w:r>
        <w:rPr>
          <w:color w:val="231F20"/>
        </w:rPr>
        <w:t>ють статусу юридичних осіб. Цей закон спрямовано на реформування системи надання адміністра- тивних</w:t>
      </w:r>
      <w:r>
        <w:rPr>
          <w:color w:val="231F20"/>
          <w:spacing w:val="-8"/>
        </w:rPr>
        <w:t xml:space="preserve"> </w:t>
      </w:r>
      <w:r>
        <w:rPr>
          <w:color w:val="231F20"/>
        </w:rPr>
        <w:t>послуг</w:t>
      </w:r>
      <w:r>
        <w:rPr>
          <w:color w:val="231F20"/>
          <w:spacing w:val="-8"/>
        </w:rPr>
        <w:t xml:space="preserve"> </w:t>
      </w:r>
      <w:r>
        <w:rPr>
          <w:color w:val="231F20"/>
        </w:rPr>
        <w:t>у</w:t>
      </w:r>
      <w:r>
        <w:rPr>
          <w:color w:val="231F20"/>
          <w:spacing w:val="-7"/>
        </w:rPr>
        <w:t xml:space="preserve"> </w:t>
      </w:r>
      <w:r>
        <w:rPr>
          <w:color w:val="231F20"/>
        </w:rPr>
        <w:t>сфері</w:t>
      </w:r>
      <w:r>
        <w:rPr>
          <w:color w:val="231F20"/>
          <w:spacing w:val="-8"/>
        </w:rPr>
        <w:t xml:space="preserve"> </w:t>
      </w:r>
      <w:r>
        <w:rPr>
          <w:color w:val="231F20"/>
        </w:rPr>
        <w:t>державної</w:t>
      </w:r>
      <w:r>
        <w:rPr>
          <w:color w:val="231F20"/>
          <w:spacing w:val="-8"/>
        </w:rPr>
        <w:t xml:space="preserve"> </w:t>
      </w:r>
      <w:r>
        <w:rPr>
          <w:color w:val="231F20"/>
        </w:rPr>
        <w:t>реєстрації</w:t>
      </w:r>
      <w:r>
        <w:rPr>
          <w:color w:val="231F20"/>
          <w:spacing w:val="-8"/>
        </w:rPr>
        <w:t xml:space="preserve"> </w:t>
      </w:r>
      <w:r>
        <w:rPr>
          <w:color w:val="231F20"/>
        </w:rPr>
        <w:t>бізнесу</w:t>
      </w:r>
      <w:r>
        <w:rPr>
          <w:color w:val="231F20"/>
          <w:spacing w:val="-8"/>
        </w:rPr>
        <w:t xml:space="preserve"> </w:t>
      </w:r>
      <w:r>
        <w:rPr>
          <w:color w:val="231F20"/>
        </w:rPr>
        <w:t>–</w:t>
      </w:r>
      <w:r>
        <w:rPr>
          <w:color w:val="231F20"/>
          <w:spacing w:val="-8"/>
        </w:rPr>
        <w:t xml:space="preserve"> </w:t>
      </w:r>
      <w:r>
        <w:rPr>
          <w:color w:val="231F20"/>
        </w:rPr>
        <w:t>забезпечення</w:t>
      </w:r>
      <w:r>
        <w:rPr>
          <w:color w:val="231F20"/>
          <w:spacing w:val="-8"/>
        </w:rPr>
        <w:t xml:space="preserve"> </w:t>
      </w:r>
      <w:r>
        <w:rPr>
          <w:color w:val="231F20"/>
        </w:rPr>
        <w:t>її відкритості</w:t>
      </w:r>
      <w:r>
        <w:rPr>
          <w:color w:val="231F20"/>
          <w:spacing w:val="-11"/>
        </w:rPr>
        <w:t xml:space="preserve"> </w:t>
      </w:r>
      <w:r>
        <w:rPr>
          <w:color w:val="231F20"/>
        </w:rPr>
        <w:t>та</w:t>
      </w:r>
      <w:r>
        <w:rPr>
          <w:color w:val="231F20"/>
          <w:spacing w:val="-11"/>
        </w:rPr>
        <w:t xml:space="preserve"> </w:t>
      </w:r>
      <w:r>
        <w:rPr>
          <w:color w:val="231F20"/>
        </w:rPr>
        <w:t>прозорості,</w:t>
      </w:r>
      <w:r>
        <w:rPr>
          <w:color w:val="231F20"/>
          <w:spacing w:val="-11"/>
        </w:rPr>
        <w:t xml:space="preserve"> </w:t>
      </w:r>
      <w:r>
        <w:rPr>
          <w:color w:val="231F20"/>
        </w:rPr>
        <w:t>оперативності</w:t>
      </w:r>
      <w:r>
        <w:rPr>
          <w:color w:val="231F20"/>
          <w:spacing w:val="-11"/>
        </w:rPr>
        <w:t xml:space="preserve"> </w:t>
      </w:r>
      <w:r>
        <w:rPr>
          <w:color w:val="231F20"/>
        </w:rPr>
        <w:t>та</w:t>
      </w:r>
      <w:r>
        <w:rPr>
          <w:color w:val="231F20"/>
          <w:spacing w:val="-11"/>
        </w:rPr>
        <w:t xml:space="preserve"> </w:t>
      </w:r>
      <w:r>
        <w:rPr>
          <w:color w:val="231F20"/>
        </w:rPr>
        <w:t>своєчасності,</w:t>
      </w:r>
      <w:r>
        <w:rPr>
          <w:color w:val="231F20"/>
          <w:spacing w:val="-11"/>
        </w:rPr>
        <w:t xml:space="preserve"> </w:t>
      </w:r>
      <w:r>
        <w:rPr>
          <w:color w:val="231F20"/>
        </w:rPr>
        <w:t>раціональ- ної мінімізації кількості документів та процедурних</w:t>
      </w:r>
      <w:r>
        <w:rPr>
          <w:color w:val="231F20"/>
          <w:spacing w:val="-6"/>
        </w:rPr>
        <w:t xml:space="preserve"> </w:t>
      </w:r>
      <w:r>
        <w:rPr>
          <w:color w:val="231F20"/>
        </w:rPr>
        <w:t>дій.</w:t>
      </w:r>
    </w:p>
    <w:p w14:paraId="4C877FC6" w14:textId="77777777" w:rsidR="00DE575E" w:rsidRDefault="002E7560">
      <w:pPr>
        <w:pStyle w:val="BodyText"/>
        <w:spacing w:before="4" w:line="252" w:lineRule="auto"/>
        <w:ind w:left="533" w:right="128" w:firstLine="283"/>
        <w:jc w:val="both"/>
      </w:pPr>
      <w:r>
        <w:rPr>
          <w:color w:val="231F20"/>
        </w:rPr>
        <w:t>Відповідно</w:t>
      </w:r>
      <w:r>
        <w:rPr>
          <w:color w:val="231F20"/>
          <w:spacing w:val="-13"/>
        </w:rPr>
        <w:t xml:space="preserve"> </w:t>
      </w:r>
      <w:r>
        <w:rPr>
          <w:color w:val="231F20"/>
        </w:rPr>
        <w:t>до</w:t>
      </w:r>
      <w:r>
        <w:rPr>
          <w:color w:val="231F20"/>
          <w:spacing w:val="-12"/>
        </w:rPr>
        <w:t xml:space="preserve"> </w:t>
      </w:r>
      <w:r>
        <w:rPr>
          <w:color w:val="231F20"/>
        </w:rPr>
        <w:t>п.</w:t>
      </w:r>
      <w:r>
        <w:rPr>
          <w:color w:val="231F20"/>
          <w:spacing w:val="-8"/>
        </w:rPr>
        <w:t xml:space="preserve"> </w:t>
      </w:r>
      <w:r>
        <w:rPr>
          <w:color w:val="231F20"/>
        </w:rPr>
        <w:t>5</w:t>
      </w:r>
      <w:r>
        <w:rPr>
          <w:color w:val="231F20"/>
          <w:spacing w:val="-12"/>
        </w:rPr>
        <w:t xml:space="preserve"> </w:t>
      </w:r>
      <w:r>
        <w:rPr>
          <w:color w:val="231F20"/>
        </w:rPr>
        <w:t>ч.</w:t>
      </w:r>
      <w:r>
        <w:rPr>
          <w:color w:val="231F20"/>
          <w:spacing w:val="-8"/>
        </w:rPr>
        <w:t xml:space="preserve"> </w:t>
      </w:r>
      <w:r>
        <w:rPr>
          <w:color w:val="231F20"/>
        </w:rPr>
        <w:t>1</w:t>
      </w:r>
      <w:r>
        <w:rPr>
          <w:color w:val="231F20"/>
          <w:spacing w:val="-12"/>
        </w:rPr>
        <w:t xml:space="preserve"> </w:t>
      </w:r>
      <w:r>
        <w:rPr>
          <w:color w:val="231F20"/>
          <w:spacing w:val="-6"/>
        </w:rPr>
        <w:t>ст.</w:t>
      </w:r>
      <w:r>
        <w:rPr>
          <w:color w:val="231F20"/>
          <w:spacing w:val="-8"/>
        </w:rPr>
        <w:t xml:space="preserve"> </w:t>
      </w:r>
      <w:r>
        <w:rPr>
          <w:color w:val="231F20"/>
        </w:rPr>
        <w:t>1</w:t>
      </w:r>
      <w:r>
        <w:rPr>
          <w:color w:val="231F20"/>
          <w:spacing w:val="-12"/>
        </w:rPr>
        <w:t xml:space="preserve"> </w:t>
      </w:r>
      <w:r>
        <w:rPr>
          <w:color w:val="231F20"/>
        </w:rPr>
        <w:t>Закону</w:t>
      </w:r>
      <w:r>
        <w:rPr>
          <w:color w:val="231F20"/>
          <w:spacing w:val="-12"/>
        </w:rPr>
        <w:t xml:space="preserve"> </w:t>
      </w:r>
      <w:r>
        <w:rPr>
          <w:color w:val="231F20"/>
        </w:rPr>
        <w:t>державний</w:t>
      </w:r>
      <w:r>
        <w:rPr>
          <w:color w:val="231F20"/>
          <w:spacing w:val="-12"/>
        </w:rPr>
        <w:t xml:space="preserve"> </w:t>
      </w:r>
      <w:r>
        <w:rPr>
          <w:color w:val="231F20"/>
        </w:rPr>
        <w:t>реєстратор</w:t>
      </w:r>
      <w:r>
        <w:rPr>
          <w:color w:val="231F20"/>
          <w:spacing w:val="-12"/>
        </w:rPr>
        <w:t xml:space="preserve"> </w:t>
      </w:r>
      <w:r>
        <w:rPr>
          <w:color w:val="231F20"/>
        </w:rPr>
        <w:t xml:space="preserve">юридич- них осіб, фізичних осіб-підприємців та громадських формувань – це особа, яка перебуває у </w:t>
      </w:r>
      <w:r>
        <w:rPr>
          <w:color w:val="231F20"/>
          <w:spacing w:val="-3"/>
        </w:rPr>
        <w:t xml:space="preserve">трудових </w:t>
      </w:r>
      <w:r>
        <w:rPr>
          <w:color w:val="231F20"/>
        </w:rPr>
        <w:t xml:space="preserve">відносинах з </w:t>
      </w:r>
      <w:r>
        <w:rPr>
          <w:color w:val="231F20"/>
          <w:spacing w:val="-3"/>
        </w:rPr>
        <w:t xml:space="preserve">суб’єктом </w:t>
      </w:r>
      <w:r>
        <w:rPr>
          <w:color w:val="231F20"/>
        </w:rPr>
        <w:t>д</w:t>
      </w:r>
      <w:r>
        <w:rPr>
          <w:color w:val="231F20"/>
        </w:rPr>
        <w:t>ержавної реєстрації,</w:t>
      </w:r>
      <w:r>
        <w:rPr>
          <w:color w:val="231F20"/>
          <w:spacing w:val="-2"/>
        </w:rPr>
        <w:t xml:space="preserve"> </w:t>
      </w:r>
      <w:r>
        <w:rPr>
          <w:color w:val="231F20"/>
        </w:rPr>
        <w:t>нотаріус.</w:t>
      </w:r>
    </w:p>
    <w:p w14:paraId="053DA840" w14:textId="77777777" w:rsidR="00DE575E" w:rsidRDefault="002E7560">
      <w:pPr>
        <w:pStyle w:val="Heading6"/>
        <w:spacing w:before="2"/>
        <w:ind w:left="817" w:firstLine="0"/>
      </w:pPr>
      <w:r>
        <w:rPr>
          <w:color w:val="231F20"/>
        </w:rPr>
        <w:t>Суб’єктами державної реєстрації відповідно до Закону є:</w:t>
      </w:r>
    </w:p>
    <w:p w14:paraId="296C4025" w14:textId="77777777" w:rsidR="00DE575E" w:rsidRDefault="002E7560">
      <w:pPr>
        <w:pStyle w:val="ListParagraph"/>
        <w:numPr>
          <w:ilvl w:val="0"/>
          <w:numId w:val="221"/>
        </w:numPr>
        <w:tabs>
          <w:tab w:val="left" w:pos="1101"/>
        </w:tabs>
        <w:spacing w:before="12" w:line="252" w:lineRule="auto"/>
        <w:ind w:right="128" w:firstLine="284"/>
        <w:rPr>
          <w:sz w:val="21"/>
        </w:rPr>
      </w:pPr>
      <w:r>
        <w:rPr>
          <w:color w:val="231F20"/>
          <w:sz w:val="21"/>
        </w:rPr>
        <w:t>Міністерство</w:t>
      </w:r>
      <w:r>
        <w:rPr>
          <w:color w:val="231F20"/>
          <w:spacing w:val="-16"/>
          <w:sz w:val="21"/>
        </w:rPr>
        <w:t xml:space="preserve"> </w:t>
      </w:r>
      <w:r>
        <w:rPr>
          <w:color w:val="231F20"/>
          <w:sz w:val="21"/>
        </w:rPr>
        <w:t>юстиції</w:t>
      </w:r>
      <w:r>
        <w:rPr>
          <w:color w:val="231F20"/>
          <w:spacing w:val="-16"/>
          <w:sz w:val="21"/>
        </w:rPr>
        <w:t xml:space="preserve"> </w:t>
      </w:r>
      <w:r>
        <w:rPr>
          <w:color w:val="231F20"/>
          <w:spacing w:val="-3"/>
          <w:sz w:val="21"/>
        </w:rPr>
        <w:t>України</w:t>
      </w:r>
      <w:r>
        <w:rPr>
          <w:color w:val="231F20"/>
          <w:spacing w:val="-15"/>
          <w:sz w:val="21"/>
        </w:rPr>
        <w:t xml:space="preserve"> </w:t>
      </w:r>
      <w:r>
        <w:rPr>
          <w:color w:val="231F20"/>
          <w:sz w:val="21"/>
        </w:rPr>
        <w:t>–</w:t>
      </w:r>
      <w:r>
        <w:rPr>
          <w:color w:val="231F20"/>
          <w:spacing w:val="-16"/>
          <w:sz w:val="21"/>
        </w:rPr>
        <w:t xml:space="preserve"> </w:t>
      </w:r>
      <w:r>
        <w:rPr>
          <w:color w:val="231F20"/>
          <w:sz w:val="21"/>
        </w:rPr>
        <w:t>у</w:t>
      </w:r>
      <w:r>
        <w:rPr>
          <w:color w:val="231F20"/>
          <w:spacing w:val="-16"/>
          <w:sz w:val="21"/>
        </w:rPr>
        <w:t xml:space="preserve"> </w:t>
      </w:r>
      <w:r>
        <w:rPr>
          <w:color w:val="231F20"/>
          <w:sz w:val="21"/>
        </w:rPr>
        <w:t>виключних</w:t>
      </w:r>
      <w:r>
        <w:rPr>
          <w:color w:val="231F20"/>
          <w:spacing w:val="-16"/>
          <w:sz w:val="21"/>
        </w:rPr>
        <w:t xml:space="preserve"> </w:t>
      </w:r>
      <w:r>
        <w:rPr>
          <w:color w:val="231F20"/>
          <w:sz w:val="21"/>
        </w:rPr>
        <w:t>випадках</w:t>
      </w:r>
      <w:r>
        <w:rPr>
          <w:color w:val="231F20"/>
          <w:spacing w:val="-16"/>
          <w:sz w:val="21"/>
        </w:rPr>
        <w:t xml:space="preserve"> </w:t>
      </w:r>
      <w:r>
        <w:rPr>
          <w:color w:val="231F20"/>
          <w:sz w:val="21"/>
        </w:rPr>
        <w:t>реєстра- ції політичних та громадських</w:t>
      </w:r>
      <w:r>
        <w:rPr>
          <w:color w:val="231F20"/>
          <w:spacing w:val="-1"/>
          <w:sz w:val="21"/>
        </w:rPr>
        <w:t xml:space="preserve"> </w:t>
      </w:r>
      <w:r>
        <w:rPr>
          <w:color w:val="231F20"/>
          <w:spacing w:val="-3"/>
          <w:sz w:val="21"/>
        </w:rPr>
        <w:t>суб’єктів;</w:t>
      </w:r>
    </w:p>
    <w:p w14:paraId="38E59B51" w14:textId="77777777" w:rsidR="00DE575E" w:rsidRDefault="002E7560">
      <w:pPr>
        <w:pStyle w:val="ListParagraph"/>
        <w:numPr>
          <w:ilvl w:val="0"/>
          <w:numId w:val="221"/>
        </w:numPr>
        <w:tabs>
          <w:tab w:val="left" w:pos="1101"/>
        </w:tabs>
        <w:spacing w:line="252" w:lineRule="auto"/>
        <w:ind w:right="126" w:firstLine="284"/>
        <w:rPr>
          <w:sz w:val="21"/>
        </w:rPr>
      </w:pPr>
      <w:r>
        <w:rPr>
          <w:color w:val="231F20"/>
          <w:sz w:val="21"/>
        </w:rPr>
        <w:t xml:space="preserve">територіальні органи Міністерства юстиції </w:t>
      </w:r>
      <w:r>
        <w:rPr>
          <w:color w:val="231F20"/>
          <w:spacing w:val="-3"/>
          <w:sz w:val="21"/>
        </w:rPr>
        <w:t xml:space="preserve">України </w:t>
      </w:r>
      <w:r>
        <w:rPr>
          <w:color w:val="231F20"/>
          <w:sz w:val="21"/>
        </w:rPr>
        <w:t xml:space="preserve">– у разі державної реєстрації первинних, місцевих, обласних, регіональних  і республіканських професійних спілок, їх організацій та </w:t>
      </w:r>
      <w:r>
        <w:rPr>
          <w:color w:val="231F20"/>
          <w:spacing w:val="-3"/>
          <w:sz w:val="21"/>
        </w:rPr>
        <w:t xml:space="preserve">об’єднань, </w:t>
      </w:r>
      <w:r>
        <w:rPr>
          <w:color w:val="231F20"/>
          <w:sz w:val="21"/>
        </w:rPr>
        <w:t>структурних утворень політичних партій, регіональних (місцевих) творчих спілок, територіальних осередків всеукраї</w:t>
      </w:r>
      <w:r>
        <w:rPr>
          <w:color w:val="231F20"/>
          <w:sz w:val="21"/>
        </w:rPr>
        <w:t xml:space="preserve">нських  твор-  чих спілок, місцевих, обласних, республіканських АРК, Київської та Севастопольської міських організацій роботодавців та їх </w:t>
      </w:r>
      <w:r>
        <w:rPr>
          <w:color w:val="231F20"/>
          <w:spacing w:val="-3"/>
          <w:sz w:val="21"/>
        </w:rPr>
        <w:t xml:space="preserve">об’єднань, </w:t>
      </w:r>
      <w:r>
        <w:rPr>
          <w:color w:val="231F20"/>
          <w:sz w:val="21"/>
        </w:rPr>
        <w:t xml:space="preserve">чинних третейських </w:t>
      </w:r>
      <w:r>
        <w:rPr>
          <w:color w:val="231F20"/>
          <w:spacing w:val="-3"/>
          <w:sz w:val="21"/>
        </w:rPr>
        <w:t xml:space="preserve">судів, </w:t>
      </w:r>
      <w:r>
        <w:rPr>
          <w:color w:val="231F20"/>
          <w:sz w:val="21"/>
        </w:rPr>
        <w:t xml:space="preserve">громадських </w:t>
      </w:r>
      <w:r>
        <w:rPr>
          <w:color w:val="231F20"/>
          <w:spacing w:val="-3"/>
          <w:sz w:val="21"/>
        </w:rPr>
        <w:t xml:space="preserve">об’єднань, </w:t>
      </w:r>
      <w:r>
        <w:rPr>
          <w:color w:val="231F20"/>
          <w:sz w:val="21"/>
        </w:rPr>
        <w:t xml:space="preserve">їх відокремлених підрозділів, громадських </w:t>
      </w:r>
      <w:r>
        <w:rPr>
          <w:color w:val="231F20"/>
          <w:spacing w:val="-3"/>
          <w:sz w:val="21"/>
        </w:rPr>
        <w:t xml:space="preserve">об’єднань, </w:t>
      </w:r>
      <w:r>
        <w:rPr>
          <w:color w:val="231F20"/>
          <w:sz w:val="21"/>
        </w:rPr>
        <w:t>що не</w:t>
      </w:r>
      <w:r>
        <w:rPr>
          <w:color w:val="231F20"/>
          <w:sz w:val="21"/>
        </w:rPr>
        <w:t xml:space="preserve"> мають статусу юридичної особи;</w:t>
      </w:r>
    </w:p>
    <w:p w14:paraId="5B843E07" w14:textId="77777777" w:rsidR="00DE575E" w:rsidRDefault="002E7560">
      <w:pPr>
        <w:pStyle w:val="ListParagraph"/>
        <w:numPr>
          <w:ilvl w:val="0"/>
          <w:numId w:val="221"/>
        </w:numPr>
        <w:tabs>
          <w:tab w:val="left" w:pos="1101"/>
        </w:tabs>
        <w:spacing w:before="5" w:line="252" w:lineRule="auto"/>
        <w:ind w:right="127" w:firstLine="284"/>
        <w:rPr>
          <w:sz w:val="21"/>
        </w:rPr>
      </w:pPr>
      <w:r>
        <w:rPr>
          <w:color w:val="231F20"/>
          <w:sz w:val="21"/>
        </w:rPr>
        <w:t xml:space="preserve">виконавчі органи сільських, селищних і міських рад, Київська та Севастопольська міські, районні, районні у містах Києві та Севас- тополі державні адміністрації,  нотаріуси,  акредитовані  </w:t>
      </w:r>
      <w:r>
        <w:rPr>
          <w:color w:val="231F20"/>
          <w:spacing w:val="-3"/>
          <w:sz w:val="21"/>
        </w:rPr>
        <w:t xml:space="preserve">суб’єкти  </w:t>
      </w:r>
      <w:r>
        <w:rPr>
          <w:color w:val="231F20"/>
          <w:sz w:val="21"/>
        </w:rPr>
        <w:t>– у разі державної реєстра</w:t>
      </w:r>
      <w:r>
        <w:rPr>
          <w:color w:val="231F20"/>
          <w:sz w:val="21"/>
        </w:rPr>
        <w:t>ції інших юридичних осіб та фізичних осіб-підприємців.</w:t>
      </w:r>
    </w:p>
    <w:p w14:paraId="7B4C76F2" w14:textId="77777777" w:rsidR="00DE575E" w:rsidRDefault="002E7560">
      <w:pPr>
        <w:spacing w:before="3" w:line="252" w:lineRule="auto"/>
        <w:ind w:left="533" w:right="127" w:firstLine="283"/>
        <w:jc w:val="both"/>
        <w:rPr>
          <w:sz w:val="21"/>
        </w:rPr>
      </w:pPr>
      <w:r>
        <w:rPr>
          <w:b/>
          <w:color w:val="231F20"/>
          <w:sz w:val="21"/>
        </w:rPr>
        <w:t>Виконавчі</w:t>
      </w:r>
      <w:r>
        <w:rPr>
          <w:b/>
          <w:color w:val="231F20"/>
          <w:spacing w:val="-16"/>
          <w:sz w:val="21"/>
        </w:rPr>
        <w:t xml:space="preserve"> </w:t>
      </w:r>
      <w:r>
        <w:rPr>
          <w:b/>
          <w:color w:val="231F20"/>
          <w:sz w:val="21"/>
        </w:rPr>
        <w:t>органи</w:t>
      </w:r>
      <w:r>
        <w:rPr>
          <w:b/>
          <w:color w:val="231F20"/>
          <w:spacing w:val="-16"/>
          <w:sz w:val="21"/>
        </w:rPr>
        <w:t xml:space="preserve"> </w:t>
      </w:r>
      <w:r>
        <w:rPr>
          <w:b/>
          <w:color w:val="231F20"/>
          <w:sz w:val="21"/>
        </w:rPr>
        <w:t>сільських,</w:t>
      </w:r>
      <w:r>
        <w:rPr>
          <w:b/>
          <w:color w:val="231F20"/>
          <w:spacing w:val="-16"/>
          <w:sz w:val="21"/>
        </w:rPr>
        <w:t xml:space="preserve"> </w:t>
      </w:r>
      <w:r>
        <w:rPr>
          <w:b/>
          <w:color w:val="231F20"/>
          <w:sz w:val="21"/>
        </w:rPr>
        <w:t>селищних</w:t>
      </w:r>
      <w:r>
        <w:rPr>
          <w:b/>
          <w:color w:val="231F20"/>
          <w:spacing w:val="-16"/>
          <w:sz w:val="21"/>
        </w:rPr>
        <w:t xml:space="preserve"> </w:t>
      </w:r>
      <w:r>
        <w:rPr>
          <w:b/>
          <w:color w:val="231F20"/>
          <w:sz w:val="21"/>
        </w:rPr>
        <w:t>і</w:t>
      </w:r>
      <w:r>
        <w:rPr>
          <w:b/>
          <w:color w:val="231F20"/>
          <w:spacing w:val="-18"/>
          <w:sz w:val="21"/>
        </w:rPr>
        <w:t xml:space="preserve"> </w:t>
      </w:r>
      <w:r>
        <w:rPr>
          <w:b/>
          <w:color w:val="231F20"/>
          <w:sz w:val="21"/>
        </w:rPr>
        <w:t>міських</w:t>
      </w:r>
      <w:r>
        <w:rPr>
          <w:b/>
          <w:color w:val="231F20"/>
          <w:spacing w:val="-16"/>
          <w:sz w:val="21"/>
        </w:rPr>
        <w:t xml:space="preserve"> </w:t>
      </w:r>
      <w:r>
        <w:rPr>
          <w:b/>
          <w:color w:val="231F20"/>
          <w:sz w:val="21"/>
        </w:rPr>
        <w:t>рад</w:t>
      </w:r>
      <w:r>
        <w:rPr>
          <w:b/>
          <w:color w:val="231F20"/>
          <w:spacing w:val="-16"/>
          <w:sz w:val="21"/>
        </w:rPr>
        <w:t xml:space="preserve"> </w:t>
      </w:r>
      <w:r>
        <w:rPr>
          <w:color w:val="231F20"/>
          <w:sz w:val="21"/>
        </w:rPr>
        <w:t>(крім</w:t>
      </w:r>
      <w:r>
        <w:rPr>
          <w:color w:val="231F20"/>
          <w:spacing w:val="-16"/>
          <w:sz w:val="21"/>
        </w:rPr>
        <w:t xml:space="preserve"> </w:t>
      </w:r>
      <w:r>
        <w:rPr>
          <w:color w:val="231F20"/>
          <w:sz w:val="21"/>
        </w:rPr>
        <w:t>міст обласного та/або республіканського АРК, набувають повноважень  з державної реєстрації інших юридичних осіб та фізичних осіб-під- приємців у</w:t>
      </w:r>
      <w:r>
        <w:rPr>
          <w:color w:val="231F20"/>
          <w:sz w:val="21"/>
        </w:rPr>
        <w:t xml:space="preserve"> разі ухвалення відповідною радою такого</w:t>
      </w:r>
      <w:r>
        <w:rPr>
          <w:color w:val="231F20"/>
          <w:spacing w:val="-12"/>
          <w:sz w:val="21"/>
        </w:rPr>
        <w:t xml:space="preserve"> </w:t>
      </w:r>
      <w:r>
        <w:rPr>
          <w:color w:val="231F20"/>
          <w:sz w:val="21"/>
        </w:rPr>
        <w:t>рішення.</w:t>
      </w:r>
    </w:p>
    <w:p w14:paraId="3F7C0B0A" w14:textId="77777777" w:rsidR="00DE575E" w:rsidRDefault="002E7560">
      <w:pPr>
        <w:pStyle w:val="BodyText"/>
        <w:spacing w:before="2" w:line="252" w:lineRule="auto"/>
        <w:ind w:left="533" w:right="127" w:firstLine="283"/>
        <w:jc w:val="both"/>
      </w:pPr>
      <w:r>
        <w:rPr>
          <w:color w:val="231F20"/>
        </w:rPr>
        <w:t xml:space="preserve">Акредитованим </w:t>
      </w:r>
      <w:r>
        <w:rPr>
          <w:color w:val="231F20"/>
          <w:spacing w:val="-3"/>
        </w:rPr>
        <w:t xml:space="preserve">суб’єктом </w:t>
      </w:r>
      <w:r>
        <w:rPr>
          <w:color w:val="231F20"/>
        </w:rPr>
        <w:t xml:space="preserve">може бути юридична особа публічного права, у </w:t>
      </w:r>
      <w:r>
        <w:rPr>
          <w:color w:val="231F20"/>
          <w:spacing w:val="-3"/>
        </w:rPr>
        <w:t xml:space="preserve">трудових </w:t>
      </w:r>
      <w:r>
        <w:rPr>
          <w:color w:val="231F20"/>
        </w:rPr>
        <w:t>відносинах з якою перебуває не менше ніж три</w:t>
      </w:r>
    </w:p>
    <w:p w14:paraId="14C0527B" w14:textId="77777777" w:rsidR="00DE575E" w:rsidRDefault="00DE575E">
      <w:pPr>
        <w:pStyle w:val="BodyText"/>
        <w:rPr>
          <w:sz w:val="20"/>
        </w:rPr>
      </w:pPr>
    </w:p>
    <w:p w14:paraId="3128F5FA" w14:textId="7F215362" w:rsidR="00DE575E" w:rsidRDefault="002E7560">
      <w:pPr>
        <w:pStyle w:val="BodyText"/>
        <w:spacing w:before="8"/>
        <w:rPr>
          <w:sz w:val="12"/>
        </w:rPr>
      </w:pPr>
      <w:r>
        <w:rPr>
          <w:noProof/>
        </w:rPr>
        <mc:AlternateContent>
          <mc:Choice Requires="wps">
            <w:drawing>
              <wp:anchor distT="0" distB="0" distL="0" distR="0" simplePos="0" relativeHeight="7696" behindDoc="0" locked="0" layoutInCell="1" allowOverlap="1" wp14:anchorId="21EF81A9" wp14:editId="0BEF872C">
                <wp:simplePos x="0" y="0"/>
                <wp:positionH relativeFrom="page">
                  <wp:posOffset>719455</wp:posOffset>
                </wp:positionH>
                <wp:positionV relativeFrom="paragraph">
                  <wp:posOffset>122555</wp:posOffset>
                </wp:positionV>
                <wp:extent cx="1080135" cy="0"/>
                <wp:effectExtent l="8255" t="8255" r="29210" b="29845"/>
                <wp:wrapTopAndBottom/>
                <wp:docPr id="940"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B3EC" id="Line_x0020_939" o:spid="_x0000_s1026" style="position:absolute;z-index: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65pt" to="141.7pt,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Pm1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" strokecolor="#231f20" strokeweight=".5pt">
                <w10:wrap type="topAndBottom" anchorx="page"/>
              </v:line>
            </w:pict>
          </mc:Fallback>
        </mc:AlternateContent>
      </w:r>
    </w:p>
    <w:p w14:paraId="0B7141A1" w14:textId="77777777" w:rsidR="00DE575E" w:rsidRDefault="002E7560">
      <w:pPr>
        <w:spacing w:line="204" w:lineRule="auto"/>
        <w:ind w:left="533"/>
        <w:rPr>
          <w:sz w:val="16"/>
        </w:rPr>
      </w:pPr>
      <w:r>
        <w:rPr>
          <w:color w:val="231F20"/>
          <w:position w:val="5"/>
          <w:sz w:val="9"/>
        </w:rPr>
        <w:t xml:space="preserve">1 </w:t>
      </w:r>
      <w:r>
        <w:rPr>
          <w:color w:val="231F20"/>
          <w:sz w:val="16"/>
        </w:rPr>
        <w:t>Про державну реєстрацію юридичних осіб, фізичних осіб-підприємців та громадських формувань: Закон від 15.06.2003. № 755-IV.</w:t>
      </w:r>
    </w:p>
    <w:p w14:paraId="12EF6DBF" w14:textId="77777777" w:rsidR="00DE575E" w:rsidRDefault="00DE575E">
      <w:pPr>
        <w:pStyle w:val="BodyText"/>
        <w:spacing w:before="1"/>
        <w:rPr>
          <w:sz w:val="12"/>
        </w:rPr>
      </w:pPr>
    </w:p>
    <w:p w14:paraId="0651EAF8" w14:textId="77777777" w:rsidR="00DE575E" w:rsidRDefault="002E7560">
      <w:pPr>
        <w:spacing w:before="92"/>
        <w:ind w:left="533"/>
        <w:rPr>
          <w:rFonts w:ascii="Times New Roman"/>
          <w:sz w:val="20"/>
        </w:rPr>
      </w:pPr>
      <w:r>
        <w:rPr>
          <w:rFonts w:ascii="Times New Roman"/>
          <w:color w:val="231F20"/>
          <w:sz w:val="20"/>
        </w:rPr>
        <w:t>190</w:t>
      </w:r>
    </w:p>
    <w:p w14:paraId="0FAFD083" w14:textId="77777777" w:rsidR="00DE575E" w:rsidRDefault="00DE575E">
      <w:pPr>
        <w:rPr>
          <w:rFonts w:ascii="Times New Roman"/>
          <w:sz w:val="20"/>
        </w:rPr>
        <w:sectPr w:rsidR="00DE575E">
          <w:pgSz w:w="8510" w:h="12760"/>
          <w:pgMar w:top="660" w:right="720" w:bottom="280" w:left="600" w:header="720" w:footer="720" w:gutter="0"/>
          <w:cols w:space="720"/>
        </w:sectPr>
      </w:pPr>
    </w:p>
    <w:p w14:paraId="66DEEFB4" w14:textId="77777777" w:rsidR="00DE575E" w:rsidRDefault="002E7560">
      <w:pPr>
        <w:spacing w:before="72" w:line="249" w:lineRule="auto"/>
        <w:ind w:left="3946" w:right="411" w:hanging="517"/>
        <w:jc w:val="right"/>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119EBC7D" w14:textId="5F44B5C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C4E03DC" wp14:editId="091755D6">
                <wp:extent cx="4140200" cy="6350"/>
                <wp:effectExtent l="0" t="0" r="12700" b="6350"/>
                <wp:docPr id="938"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39" name="Line 93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FC0C4D" id="Group_x0020_93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uEEZ1/AgAAmAUAAA4A&#10;AAAAAAAAAAAAAAAALAIAAGRycy9lMm9Eb2MueG1sUEsBAi0AFAAGAAgAAAAhAEynsJDZAAAAAwEA&#10;AA8AAAAAAAAAAAAAAAAA1wQAAGRycy9kb3ducmV2LnhtbFBLBQYAAAAABAAEAPMAAADdBQAAAAA=&#10;">
                <v:line id="Line_x0020_93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xzZsYAAADcAAAADwAAAGRycy9kb3ducmV2LnhtbESP3WrCQBSE7wt9h+UUvCl1YwOiqauI&#10;IBQv/IsPcMyeJqG7Z2N2NWmf3hUKvRxm5htmtuitETdqfe1YwWiYgCAunK65VHDK128TED4gazSO&#10;ScEPeVjMn59mmGnX8YFux1CKCGGfoYIqhCaT0hcVWfRD1xBH78u1FkOUbSl1i12EWyPfk2QsLdYc&#10;FypsaFVR8X28WgX55TWY/W5junx3TuX5sk1/r1ulBi/98gNEoD78h//an1rBNJ3C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7Mc2bGAAAA3AAAAA8AAAAAAAAA&#10;AAAAAAAAoQIAAGRycy9kb3ducmV2LnhtbFBLBQYAAAAABAAEAPkAAACUAwAAAAA=&#10;" strokecolor="#231f20" strokeweight=".5pt"/>
                <w10:anchorlock/>
              </v:group>
            </w:pict>
          </mc:Fallback>
        </mc:AlternateContent>
      </w:r>
    </w:p>
    <w:p w14:paraId="11B1B0B3" w14:textId="77777777" w:rsidR="00DE575E" w:rsidRDefault="00DE575E">
      <w:pPr>
        <w:pStyle w:val="BodyText"/>
        <w:spacing w:before="7"/>
        <w:rPr>
          <w:rFonts w:ascii="AdonisC"/>
          <w:i/>
          <w:sz w:val="19"/>
        </w:rPr>
      </w:pPr>
    </w:p>
    <w:p w14:paraId="68D479B9" w14:textId="77777777" w:rsidR="00DE575E" w:rsidRDefault="002E7560">
      <w:pPr>
        <w:pStyle w:val="BodyText"/>
        <w:spacing w:before="1" w:line="252" w:lineRule="auto"/>
        <w:ind w:left="250" w:right="411"/>
        <w:jc w:val="both"/>
      </w:pPr>
      <w:r>
        <w:rPr>
          <w:color w:val="231F20"/>
        </w:rPr>
        <w:t>державні реєстратори та яка до початку здійснення повноважень    у сфері державної реєстрації уклала договір страхування цивіль- но-правової</w:t>
      </w:r>
      <w:r>
        <w:rPr>
          <w:color w:val="231F20"/>
          <w:spacing w:val="-2"/>
        </w:rPr>
        <w:t xml:space="preserve"> </w:t>
      </w:r>
      <w:r>
        <w:rPr>
          <w:color w:val="231F20"/>
        </w:rPr>
        <w:t>відповідальності.</w:t>
      </w:r>
    </w:p>
    <w:p w14:paraId="3A4E9EFA" w14:textId="77777777" w:rsidR="00DE575E" w:rsidRDefault="002E7560">
      <w:pPr>
        <w:pStyle w:val="BodyText"/>
        <w:spacing w:before="1" w:line="252" w:lineRule="auto"/>
        <w:ind w:left="250" w:right="411" w:firstLine="283"/>
        <w:jc w:val="both"/>
      </w:pPr>
      <w:r>
        <w:rPr>
          <w:color w:val="231F20"/>
        </w:rPr>
        <w:t xml:space="preserve">Акредитація </w:t>
      </w:r>
      <w:r>
        <w:rPr>
          <w:color w:val="231F20"/>
          <w:spacing w:val="-3"/>
        </w:rPr>
        <w:t xml:space="preserve">суб’єктів </w:t>
      </w:r>
      <w:r>
        <w:rPr>
          <w:color w:val="231F20"/>
        </w:rPr>
        <w:t xml:space="preserve">і моніторинг відповідності таких </w:t>
      </w:r>
      <w:r>
        <w:rPr>
          <w:color w:val="231F20"/>
          <w:spacing w:val="-3"/>
        </w:rPr>
        <w:t xml:space="preserve">суб’єктів </w:t>
      </w:r>
      <w:r>
        <w:rPr>
          <w:color w:val="231F20"/>
        </w:rPr>
        <w:t>вимог</w:t>
      </w:r>
      <w:r>
        <w:rPr>
          <w:color w:val="231F20"/>
        </w:rPr>
        <w:t xml:space="preserve">ам акредитації здійснюються Міністерством юстиції </w:t>
      </w:r>
      <w:r>
        <w:rPr>
          <w:color w:val="231F20"/>
          <w:spacing w:val="-3"/>
        </w:rPr>
        <w:t xml:space="preserve">України </w:t>
      </w:r>
      <w:r>
        <w:rPr>
          <w:color w:val="231F20"/>
        </w:rPr>
        <w:t xml:space="preserve">в </w:t>
      </w:r>
      <w:r>
        <w:rPr>
          <w:color w:val="231F20"/>
          <w:spacing w:val="-3"/>
        </w:rPr>
        <w:t xml:space="preserve">порядку, </w:t>
      </w:r>
      <w:r>
        <w:rPr>
          <w:color w:val="231F20"/>
        </w:rPr>
        <w:t xml:space="preserve">установленому Кабінетом Міністрів </w:t>
      </w:r>
      <w:r>
        <w:rPr>
          <w:color w:val="231F20"/>
          <w:spacing w:val="-3"/>
        </w:rPr>
        <w:t xml:space="preserve">України </w:t>
      </w:r>
      <w:r>
        <w:rPr>
          <w:color w:val="231F20"/>
        </w:rPr>
        <w:t xml:space="preserve">(п. 14 </w:t>
      </w:r>
      <w:r>
        <w:rPr>
          <w:color w:val="231F20"/>
          <w:spacing w:val="-6"/>
        </w:rPr>
        <w:t xml:space="preserve">ст. </w:t>
      </w:r>
      <w:r>
        <w:rPr>
          <w:color w:val="231F20"/>
        </w:rPr>
        <w:t>1 Закону 6.09.2012 №</w:t>
      </w:r>
      <w:r>
        <w:rPr>
          <w:color w:val="231F20"/>
          <w:spacing w:val="-6"/>
        </w:rPr>
        <w:t xml:space="preserve"> </w:t>
      </w:r>
      <w:r>
        <w:rPr>
          <w:color w:val="231F20"/>
        </w:rPr>
        <w:t>520).</w:t>
      </w:r>
    </w:p>
    <w:p w14:paraId="75359E74" w14:textId="77777777" w:rsidR="00DE575E" w:rsidRDefault="00DE575E">
      <w:pPr>
        <w:pStyle w:val="BodyText"/>
        <w:spacing w:before="2"/>
        <w:rPr>
          <w:sz w:val="22"/>
        </w:rPr>
      </w:pPr>
    </w:p>
    <w:p w14:paraId="250CCCD7" w14:textId="77777777" w:rsidR="00DE575E" w:rsidRDefault="002E7560">
      <w:pPr>
        <w:pStyle w:val="Heading5"/>
        <w:numPr>
          <w:ilvl w:val="2"/>
          <w:numId w:val="220"/>
        </w:numPr>
        <w:tabs>
          <w:tab w:val="left" w:pos="1099"/>
        </w:tabs>
      </w:pPr>
      <w:r>
        <w:rPr>
          <w:color w:val="231F20"/>
        </w:rPr>
        <w:t>Центри надання адміністративних</w:t>
      </w:r>
      <w:r>
        <w:rPr>
          <w:color w:val="231F20"/>
          <w:spacing w:val="-6"/>
        </w:rPr>
        <w:t xml:space="preserve"> </w:t>
      </w:r>
      <w:r>
        <w:rPr>
          <w:color w:val="231F20"/>
        </w:rPr>
        <w:t>послуг</w:t>
      </w:r>
    </w:p>
    <w:p w14:paraId="771B21F4" w14:textId="77777777" w:rsidR="00DE575E" w:rsidRDefault="00DE575E">
      <w:pPr>
        <w:pStyle w:val="BodyText"/>
        <w:spacing w:before="2"/>
        <w:rPr>
          <w:b/>
          <w:sz w:val="23"/>
        </w:rPr>
      </w:pPr>
    </w:p>
    <w:p w14:paraId="66F28347" w14:textId="77777777" w:rsidR="00DE575E" w:rsidRDefault="002E7560">
      <w:pPr>
        <w:pStyle w:val="BodyText"/>
        <w:spacing w:line="252" w:lineRule="auto"/>
        <w:ind w:left="250" w:right="411" w:firstLine="283"/>
        <w:jc w:val="both"/>
      </w:pPr>
      <w:r>
        <w:rPr>
          <w:color w:val="231F20"/>
          <w:spacing w:val="-3"/>
        </w:rPr>
        <w:t xml:space="preserve">Більшість адміністративних </w:t>
      </w:r>
      <w:r>
        <w:rPr>
          <w:color w:val="231F20"/>
          <w:spacing w:val="-5"/>
        </w:rPr>
        <w:t xml:space="preserve">послуг, </w:t>
      </w:r>
      <w:r>
        <w:rPr>
          <w:color w:val="231F20"/>
        </w:rPr>
        <w:t xml:space="preserve">які є </w:t>
      </w:r>
      <w:r>
        <w:rPr>
          <w:color w:val="231F20"/>
          <w:spacing w:val="-4"/>
        </w:rPr>
        <w:t xml:space="preserve">найпопулярнішими </w:t>
      </w:r>
      <w:r>
        <w:rPr>
          <w:color w:val="231F20"/>
          <w:spacing w:val="-3"/>
        </w:rPr>
        <w:t>серед громадян</w:t>
      </w:r>
      <w:r>
        <w:rPr>
          <w:color w:val="231F20"/>
          <w:spacing w:val="-12"/>
        </w:rPr>
        <w:t xml:space="preserve"> </w:t>
      </w:r>
      <w:r>
        <w:rPr>
          <w:color w:val="231F20"/>
        </w:rPr>
        <w:t>та</w:t>
      </w:r>
      <w:r>
        <w:rPr>
          <w:color w:val="231F20"/>
          <w:spacing w:val="-13"/>
        </w:rPr>
        <w:t xml:space="preserve"> </w:t>
      </w:r>
      <w:r>
        <w:rPr>
          <w:color w:val="231F20"/>
          <w:spacing w:val="-5"/>
        </w:rPr>
        <w:t>суб’єктів</w:t>
      </w:r>
      <w:r>
        <w:rPr>
          <w:color w:val="231F20"/>
          <w:spacing w:val="-13"/>
        </w:rPr>
        <w:t xml:space="preserve"> </w:t>
      </w:r>
      <w:r>
        <w:rPr>
          <w:color w:val="231F20"/>
          <w:spacing w:val="-3"/>
        </w:rPr>
        <w:t>підприємництва,</w:t>
      </w:r>
      <w:r>
        <w:rPr>
          <w:color w:val="231F20"/>
          <w:spacing w:val="-12"/>
        </w:rPr>
        <w:t xml:space="preserve"> </w:t>
      </w:r>
      <w:r>
        <w:rPr>
          <w:color w:val="231F20"/>
          <w:spacing w:val="-3"/>
        </w:rPr>
        <w:t>надаються</w:t>
      </w:r>
      <w:r>
        <w:rPr>
          <w:color w:val="231F20"/>
          <w:spacing w:val="-12"/>
        </w:rPr>
        <w:t xml:space="preserve"> </w:t>
      </w:r>
      <w:r>
        <w:rPr>
          <w:color w:val="231F20"/>
        </w:rPr>
        <w:t>в</w:t>
      </w:r>
      <w:r>
        <w:rPr>
          <w:color w:val="231F20"/>
          <w:spacing w:val="-14"/>
        </w:rPr>
        <w:t xml:space="preserve"> </w:t>
      </w:r>
      <w:r>
        <w:rPr>
          <w:color w:val="231F20"/>
          <w:spacing w:val="-3"/>
        </w:rPr>
        <w:t>єдиних</w:t>
      </w:r>
      <w:r>
        <w:rPr>
          <w:color w:val="231F20"/>
          <w:spacing w:val="-13"/>
        </w:rPr>
        <w:t xml:space="preserve"> </w:t>
      </w:r>
      <w:r>
        <w:rPr>
          <w:color w:val="231F20"/>
          <w:spacing w:val="-3"/>
        </w:rPr>
        <w:t xml:space="preserve">інтегрова- </w:t>
      </w:r>
      <w:r>
        <w:rPr>
          <w:color w:val="231F20"/>
        </w:rPr>
        <w:t xml:space="preserve">них </w:t>
      </w:r>
      <w:r>
        <w:rPr>
          <w:color w:val="231F20"/>
          <w:spacing w:val="-3"/>
        </w:rPr>
        <w:t xml:space="preserve">офісах </w:t>
      </w:r>
      <w:r>
        <w:rPr>
          <w:color w:val="231F20"/>
        </w:rPr>
        <w:t xml:space="preserve">– </w:t>
      </w:r>
      <w:r>
        <w:rPr>
          <w:color w:val="231F20"/>
          <w:spacing w:val="-3"/>
        </w:rPr>
        <w:t>центрах надання адміністративних послуг</w:t>
      </w:r>
      <w:r>
        <w:rPr>
          <w:color w:val="231F20"/>
          <w:spacing w:val="-20"/>
        </w:rPr>
        <w:t xml:space="preserve"> </w:t>
      </w:r>
      <w:r>
        <w:rPr>
          <w:color w:val="231F20"/>
          <w:spacing w:val="-3"/>
        </w:rPr>
        <w:t>(ЦНАП).</w:t>
      </w:r>
    </w:p>
    <w:p w14:paraId="00A31B88" w14:textId="77777777" w:rsidR="00DE575E" w:rsidRDefault="002E7560">
      <w:pPr>
        <w:spacing w:before="2" w:line="252" w:lineRule="auto"/>
        <w:ind w:left="250" w:right="411" w:firstLine="283"/>
        <w:jc w:val="both"/>
        <w:rPr>
          <w:i/>
          <w:sz w:val="21"/>
        </w:rPr>
      </w:pPr>
      <w:r>
        <w:rPr>
          <w:color w:val="231F20"/>
          <w:sz w:val="21"/>
        </w:rPr>
        <w:t xml:space="preserve">Відповідно до ч. 1 ст. 12 Закону України «Про адміністративні послуги» центр </w:t>
      </w:r>
      <w:r>
        <w:rPr>
          <w:b/>
          <w:i/>
          <w:color w:val="231F20"/>
          <w:sz w:val="21"/>
        </w:rPr>
        <w:t xml:space="preserve">надання адміністративних послуг </w:t>
      </w:r>
      <w:r>
        <w:rPr>
          <w:color w:val="231F20"/>
          <w:sz w:val="21"/>
        </w:rPr>
        <w:t xml:space="preserve">– </w:t>
      </w:r>
      <w:r>
        <w:rPr>
          <w:i/>
          <w:color w:val="231F20"/>
          <w:sz w:val="21"/>
        </w:rPr>
        <w:t>це постійн</w:t>
      </w:r>
      <w:r>
        <w:rPr>
          <w:i/>
          <w:color w:val="231F20"/>
          <w:sz w:val="21"/>
        </w:rPr>
        <w:t>ий чинний робочий орган або структурний підрозділ місцевої державної адміністрації або органу місцевого самоврядування, в якому нада- ються адміністративні послуги через адміністратора через його взаємодію із суб’єктами надання адміністративних послуг.</w:t>
      </w:r>
    </w:p>
    <w:p w14:paraId="0C63D0A1" w14:textId="77777777" w:rsidR="00DE575E" w:rsidRDefault="002E7560">
      <w:pPr>
        <w:pStyle w:val="BodyText"/>
        <w:spacing w:before="3" w:line="252" w:lineRule="auto"/>
        <w:ind w:left="250" w:right="410" w:firstLine="283"/>
        <w:jc w:val="right"/>
      </w:pPr>
      <w:r>
        <w:rPr>
          <w:color w:val="231F20"/>
        </w:rPr>
        <w:t>Із</w:t>
      </w:r>
      <w:r>
        <w:rPr>
          <w:color w:val="231F20"/>
          <w:spacing w:val="30"/>
        </w:rPr>
        <w:t xml:space="preserve"> </w:t>
      </w:r>
      <w:r>
        <w:rPr>
          <w:color w:val="231F20"/>
        </w:rPr>
        <w:t>законодавчого</w:t>
      </w:r>
      <w:r>
        <w:rPr>
          <w:color w:val="231F20"/>
          <w:spacing w:val="30"/>
        </w:rPr>
        <w:t xml:space="preserve"> </w:t>
      </w:r>
      <w:r>
        <w:rPr>
          <w:color w:val="231F20"/>
        </w:rPr>
        <w:t>визначення</w:t>
      </w:r>
      <w:r>
        <w:rPr>
          <w:color w:val="231F20"/>
          <w:spacing w:val="30"/>
        </w:rPr>
        <w:t xml:space="preserve"> </w:t>
      </w:r>
      <w:r>
        <w:rPr>
          <w:color w:val="231F20"/>
        </w:rPr>
        <w:t>слідує,</w:t>
      </w:r>
      <w:r>
        <w:rPr>
          <w:color w:val="231F20"/>
          <w:spacing w:val="30"/>
        </w:rPr>
        <w:t xml:space="preserve"> </w:t>
      </w:r>
      <w:r>
        <w:rPr>
          <w:color w:val="231F20"/>
        </w:rPr>
        <w:t>що</w:t>
      </w:r>
      <w:r>
        <w:rPr>
          <w:color w:val="231F20"/>
          <w:spacing w:val="30"/>
        </w:rPr>
        <w:t xml:space="preserve"> </w:t>
      </w:r>
      <w:r>
        <w:rPr>
          <w:color w:val="231F20"/>
        </w:rPr>
        <w:t>ЦНАП</w:t>
      </w:r>
      <w:r>
        <w:rPr>
          <w:color w:val="231F20"/>
          <w:spacing w:val="30"/>
        </w:rPr>
        <w:t xml:space="preserve"> </w:t>
      </w:r>
      <w:r>
        <w:rPr>
          <w:color w:val="231F20"/>
        </w:rPr>
        <w:t>юридично</w:t>
      </w:r>
      <w:r>
        <w:rPr>
          <w:color w:val="231F20"/>
          <w:spacing w:val="30"/>
        </w:rPr>
        <w:t xml:space="preserve"> </w:t>
      </w:r>
      <w:r>
        <w:rPr>
          <w:color w:val="231F20"/>
        </w:rPr>
        <w:t>може мати</w:t>
      </w:r>
      <w:r>
        <w:rPr>
          <w:color w:val="231F20"/>
          <w:spacing w:val="-13"/>
        </w:rPr>
        <w:t xml:space="preserve"> </w:t>
      </w:r>
      <w:r>
        <w:rPr>
          <w:color w:val="231F20"/>
        </w:rPr>
        <w:t>два</w:t>
      </w:r>
      <w:r>
        <w:rPr>
          <w:color w:val="231F20"/>
          <w:spacing w:val="-13"/>
        </w:rPr>
        <w:t xml:space="preserve"> </w:t>
      </w:r>
      <w:r>
        <w:rPr>
          <w:color w:val="231F20"/>
        </w:rPr>
        <w:t>статуси:</w:t>
      </w:r>
      <w:r>
        <w:rPr>
          <w:color w:val="231F20"/>
          <w:spacing w:val="-13"/>
        </w:rPr>
        <w:t xml:space="preserve"> </w:t>
      </w:r>
      <w:r>
        <w:rPr>
          <w:color w:val="231F20"/>
        </w:rPr>
        <w:t>постійний</w:t>
      </w:r>
      <w:r>
        <w:rPr>
          <w:color w:val="231F20"/>
          <w:spacing w:val="-13"/>
        </w:rPr>
        <w:t xml:space="preserve"> </w:t>
      </w:r>
      <w:r>
        <w:rPr>
          <w:color w:val="231F20"/>
        </w:rPr>
        <w:t>чинний</w:t>
      </w:r>
      <w:r>
        <w:rPr>
          <w:color w:val="231F20"/>
          <w:spacing w:val="-13"/>
        </w:rPr>
        <w:t xml:space="preserve"> </w:t>
      </w:r>
      <w:r>
        <w:rPr>
          <w:color w:val="231F20"/>
        </w:rPr>
        <w:t>робочий</w:t>
      </w:r>
      <w:r>
        <w:rPr>
          <w:color w:val="231F20"/>
          <w:spacing w:val="-13"/>
        </w:rPr>
        <w:t xml:space="preserve"> </w:t>
      </w:r>
      <w:r>
        <w:rPr>
          <w:color w:val="231F20"/>
        </w:rPr>
        <w:t>орган</w:t>
      </w:r>
      <w:r>
        <w:rPr>
          <w:color w:val="231F20"/>
          <w:spacing w:val="-13"/>
        </w:rPr>
        <w:t xml:space="preserve"> </w:t>
      </w:r>
      <w:r>
        <w:rPr>
          <w:color w:val="231F20"/>
        </w:rPr>
        <w:t>або</w:t>
      </w:r>
      <w:r>
        <w:rPr>
          <w:color w:val="231F20"/>
          <w:spacing w:val="-13"/>
        </w:rPr>
        <w:t xml:space="preserve"> </w:t>
      </w:r>
      <w:r>
        <w:rPr>
          <w:color w:val="231F20"/>
        </w:rPr>
        <w:t>структурний підрозділ.</w:t>
      </w:r>
      <w:r>
        <w:rPr>
          <w:color w:val="231F20"/>
          <w:spacing w:val="26"/>
        </w:rPr>
        <w:t xml:space="preserve"> </w:t>
      </w:r>
      <w:r>
        <w:rPr>
          <w:color w:val="231F20"/>
        </w:rPr>
        <w:t>Статус</w:t>
      </w:r>
      <w:r>
        <w:rPr>
          <w:color w:val="231F20"/>
          <w:spacing w:val="26"/>
        </w:rPr>
        <w:t xml:space="preserve"> </w:t>
      </w:r>
      <w:r>
        <w:rPr>
          <w:color w:val="231F20"/>
        </w:rPr>
        <w:t>постійного</w:t>
      </w:r>
      <w:r>
        <w:rPr>
          <w:color w:val="231F20"/>
          <w:spacing w:val="26"/>
        </w:rPr>
        <w:t xml:space="preserve"> </w:t>
      </w:r>
      <w:r>
        <w:rPr>
          <w:color w:val="231F20"/>
        </w:rPr>
        <w:t>чинного</w:t>
      </w:r>
      <w:r>
        <w:rPr>
          <w:color w:val="231F20"/>
          <w:spacing w:val="26"/>
        </w:rPr>
        <w:t xml:space="preserve"> </w:t>
      </w:r>
      <w:r>
        <w:rPr>
          <w:color w:val="231F20"/>
        </w:rPr>
        <w:t>робочого</w:t>
      </w:r>
      <w:r>
        <w:rPr>
          <w:color w:val="231F20"/>
          <w:spacing w:val="26"/>
        </w:rPr>
        <w:t xml:space="preserve"> </w:t>
      </w:r>
      <w:r>
        <w:rPr>
          <w:color w:val="231F20"/>
        </w:rPr>
        <w:t>органу</w:t>
      </w:r>
      <w:r>
        <w:rPr>
          <w:color w:val="231F20"/>
          <w:spacing w:val="26"/>
        </w:rPr>
        <w:t xml:space="preserve"> </w:t>
      </w:r>
      <w:r>
        <w:rPr>
          <w:color w:val="231F20"/>
        </w:rPr>
        <w:t>передбачає його</w:t>
      </w:r>
      <w:r>
        <w:rPr>
          <w:color w:val="231F20"/>
          <w:spacing w:val="-8"/>
        </w:rPr>
        <w:t xml:space="preserve"> </w:t>
      </w:r>
      <w:r>
        <w:rPr>
          <w:color w:val="231F20"/>
        </w:rPr>
        <w:t>формування</w:t>
      </w:r>
      <w:r>
        <w:rPr>
          <w:color w:val="231F20"/>
          <w:spacing w:val="-9"/>
        </w:rPr>
        <w:t xml:space="preserve"> </w:t>
      </w:r>
      <w:r>
        <w:rPr>
          <w:color w:val="231F20"/>
        </w:rPr>
        <w:t>з</w:t>
      </w:r>
      <w:r>
        <w:rPr>
          <w:color w:val="231F20"/>
          <w:spacing w:val="-8"/>
        </w:rPr>
        <w:t xml:space="preserve"> </w:t>
      </w:r>
      <w:r>
        <w:rPr>
          <w:color w:val="231F20"/>
        </w:rPr>
        <w:t>працівників</w:t>
      </w:r>
      <w:r>
        <w:rPr>
          <w:color w:val="231F20"/>
          <w:spacing w:val="-9"/>
        </w:rPr>
        <w:t xml:space="preserve"> </w:t>
      </w:r>
      <w:r>
        <w:rPr>
          <w:color w:val="231F20"/>
        </w:rPr>
        <w:t>різних</w:t>
      </w:r>
      <w:r>
        <w:rPr>
          <w:color w:val="231F20"/>
          <w:spacing w:val="-9"/>
        </w:rPr>
        <w:t xml:space="preserve"> </w:t>
      </w:r>
      <w:r>
        <w:rPr>
          <w:color w:val="231F20"/>
          <w:spacing w:val="-3"/>
        </w:rPr>
        <w:t>суб’єктів</w:t>
      </w:r>
      <w:r>
        <w:rPr>
          <w:color w:val="231F20"/>
          <w:spacing w:val="-9"/>
        </w:rPr>
        <w:t xml:space="preserve"> </w:t>
      </w:r>
      <w:r>
        <w:rPr>
          <w:color w:val="231F20"/>
        </w:rPr>
        <w:t>надання</w:t>
      </w:r>
      <w:r>
        <w:rPr>
          <w:color w:val="231F20"/>
          <w:spacing w:val="-8"/>
        </w:rPr>
        <w:t xml:space="preserve"> </w:t>
      </w:r>
      <w:r>
        <w:rPr>
          <w:color w:val="231F20"/>
        </w:rPr>
        <w:t>адміністра- тивних</w:t>
      </w:r>
      <w:r>
        <w:rPr>
          <w:color w:val="231F20"/>
          <w:spacing w:val="-17"/>
        </w:rPr>
        <w:t xml:space="preserve"> </w:t>
      </w:r>
      <w:r>
        <w:rPr>
          <w:color w:val="231F20"/>
          <w:spacing w:val="-3"/>
        </w:rPr>
        <w:t>послуг,</w:t>
      </w:r>
      <w:r>
        <w:rPr>
          <w:color w:val="231F20"/>
          <w:spacing w:val="-17"/>
        </w:rPr>
        <w:t xml:space="preserve"> </w:t>
      </w:r>
      <w:r>
        <w:rPr>
          <w:color w:val="231F20"/>
        </w:rPr>
        <w:t>зокрема</w:t>
      </w:r>
      <w:r>
        <w:rPr>
          <w:color w:val="231F20"/>
          <w:spacing w:val="-17"/>
        </w:rPr>
        <w:t xml:space="preserve"> </w:t>
      </w:r>
      <w:r>
        <w:rPr>
          <w:color w:val="231F20"/>
        </w:rPr>
        <w:t>залучення</w:t>
      </w:r>
      <w:r>
        <w:rPr>
          <w:color w:val="231F20"/>
          <w:spacing w:val="-18"/>
        </w:rPr>
        <w:t xml:space="preserve"> </w:t>
      </w:r>
      <w:r>
        <w:rPr>
          <w:color w:val="231F20"/>
        </w:rPr>
        <w:t>до</w:t>
      </w:r>
      <w:r>
        <w:rPr>
          <w:color w:val="231F20"/>
          <w:spacing w:val="-17"/>
        </w:rPr>
        <w:t xml:space="preserve"> </w:t>
      </w:r>
      <w:r>
        <w:rPr>
          <w:color w:val="231F20"/>
        </w:rPr>
        <w:t>складу</w:t>
      </w:r>
      <w:r>
        <w:rPr>
          <w:color w:val="231F20"/>
          <w:spacing w:val="-17"/>
        </w:rPr>
        <w:t xml:space="preserve"> </w:t>
      </w:r>
      <w:r>
        <w:rPr>
          <w:color w:val="231F20"/>
        </w:rPr>
        <w:t>такого</w:t>
      </w:r>
      <w:r>
        <w:rPr>
          <w:color w:val="231F20"/>
          <w:spacing w:val="-17"/>
        </w:rPr>
        <w:t xml:space="preserve"> </w:t>
      </w:r>
      <w:r>
        <w:rPr>
          <w:color w:val="231F20"/>
        </w:rPr>
        <w:t>органу</w:t>
      </w:r>
      <w:r>
        <w:rPr>
          <w:color w:val="231F20"/>
          <w:spacing w:val="-17"/>
        </w:rPr>
        <w:t xml:space="preserve"> </w:t>
      </w:r>
      <w:r>
        <w:rPr>
          <w:color w:val="231F20"/>
        </w:rPr>
        <w:t>працівни- ків</w:t>
      </w:r>
      <w:r>
        <w:rPr>
          <w:color w:val="231F20"/>
          <w:spacing w:val="-14"/>
        </w:rPr>
        <w:t xml:space="preserve"> </w:t>
      </w:r>
      <w:r>
        <w:rPr>
          <w:color w:val="231F20"/>
        </w:rPr>
        <w:t>різних</w:t>
      </w:r>
      <w:r>
        <w:rPr>
          <w:color w:val="231F20"/>
          <w:spacing w:val="-14"/>
        </w:rPr>
        <w:t xml:space="preserve"> </w:t>
      </w:r>
      <w:r>
        <w:rPr>
          <w:color w:val="231F20"/>
          <w:spacing w:val="-3"/>
        </w:rPr>
        <w:t>суб’єктів</w:t>
      </w:r>
      <w:r>
        <w:rPr>
          <w:color w:val="231F20"/>
          <w:spacing w:val="-14"/>
        </w:rPr>
        <w:t xml:space="preserve"> </w:t>
      </w:r>
      <w:r>
        <w:rPr>
          <w:color w:val="231F20"/>
        </w:rPr>
        <w:t>надання</w:t>
      </w:r>
      <w:r>
        <w:rPr>
          <w:color w:val="231F20"/>
          <w:spacing w:val="-14"/>
        </w:rPr>
        <w:t xml:space="preserve"> </w:t>
      </w:r>
      <w:r>
        <w:rPr>
          <w:color w:val="231F20"/>
        </w:rPr>
        <w:t>адміністративних</w:t>
      </w:r>
      <w:r>
        <w:rPr>
          <w:color w:val="231F20"/>
          <w:spacing w:val="-14"/>
        </w:rPr>
        <w:t xml:space="preserve"> </w:t>
      </w:r>
      <w:r>
        <w:rPr>
          <w:color w:val="231F20"/>
        </w:rPr>
        <w:t>послуг</w:t>
      </w:r>
      <w:r>
        <w:rPr>
          <w:color w:val="231F20"/>
          <w:spacing w:val="-14"/>
        </w:rPr>
        <w:t xml:space="preserve"> </w:t>
      </w:r>
      <w:r>
        <w:rPr>
          <w:color w:val="231F20"/>
        </w:rPr>
        <w:t>принаймні</w:t>
      </w:r>
      <w:r>
        <w:rPr>
          <w:color w:val="231F20"/>
          <w:spacing w:val="-14"/>
        </w:rPr>
        <w:t xml:space="preserve"> </w:t>
      </w:r>
      <w:r>
        <w:rPr>
          <w:color w:val="231F20"/>
        </w:rPr>
        <w:t>для</w:t>
      </w:r>
      <w:r>
        <w:rPr>
          <w:color w:val="231F20"/>
          <w:spacing w:val="-1"/>
        </w:rPr>
        <w:t xml:space="preserve"> </w:t>
      </w:r>
      <w:r>
        <w:rPr>
          <w:color w:val="231F20"/>
        </w:rPr>
        <w:t>консультування.</w:t>
      </w:r>
      <w:r>
        <w:rPr>
          <w:color w:val="231F20"/>
          <w:spacing w:val="-14"/>
        </w:rPr>
        <w:t xml:space="preserve"> </w:t>
      </w:r>
      <w:r>
        <w:rPr>
          <w:color w:val="231F20"/>
        </w:rPr>
        <w:t>Статус</w:t>
      </w:r>
      <w:r>
        <w:rPr>
          <w:color w:val="231F20"/>
          <w:spacing w:val="-14"/>
        </w:rPr>
        <w:t xml:space="preserve"> </w:t>
      </w:r>
      <w:r>
        <w:rPr>
          <w:color w:val="231F20"/>
        </w:rPr>
        <w:t>структурного</w:t>
      </w:r>
      <w:r>
        <w:rPr>
          <w:color w:val="231F20"/>
          <w:spacing w:val="-14"/>
        </w:rPr>
        <w:t xml:space="preserve"> </w:t>
      </w:r>
      <w:r>
        <w:rPr>
          <w:color w:val="231F20"/>
        </w:rPr>
        <w:t>підрозділу</w:t>
      </w:r>
      <w:r>
        <w:rPr>
          <w:color w:val="231F20"/>
          <w:spacing w:val="-14"/>
        </w:rPr>
        <w:t xml:space="preserve"> </w:t>
      </w:r>
      <w:r>
        <w:rPr>
          <w:color w:val="231F20"/>
        </w:rPr>
        <w:t>місцевої</w:t>
      </w:r>
      <w:r>
        <w:rPr>
          <w:color w:val="231F20"/>
          <w:spacing w:val="-14"/>
        </w:rPr>
        <w:t xml:space="preserve"> </w:t>
      </w:r>
      <w:r>
        <w:rPr>
          <w:color w:val="231F20"/>
        </w:rPr>
        <w:t>державної адміністрації або органу місцевого самоврядування</w:t>
      </w:r>
      <w:r>
        <w:rPr>
          <w:color w:val="231F20"/>
          <w:spacing w:val="43"/>
        </w:rPr>
        <w:t xml:space="preserve"> </w:t>
      </w:r>
      <w:r>
        <w:rPr>
          <w:color w:val="231F20"/>
        </w:rPr>
        <w:t>передбачає,</w:t>
      </w:r>
      <w:r>
        <w:rPr>
          <w:color w:val="231F20"/>
          <w:spacing w:val="7"/>
        </w:rPr>
        <w:t xml:space="preserve"> </w:t>
      </w:r>
      <w:r>
        <w:rPr>
          <w:color w:val="231F20"/>
        </w:rPr>
        <w:t>що така одиниця є окремим утворенням з власним</w:t>
      </w:r>
      <w:r>
        <w:rPr>
          <w:color w:val="231F20"/>
          <w:spacing w:val="12"/>
        </w:rPr>
        <w:t xml:space="preserve"> </w:t>
      </w:r>
      <w:r>
        <w:rPr>
          <w:color w:val="231F20"/>
        </w:rPr>
        <w:t>штатним</w:t>
      </w:r>
      <w:r>
        <w:rPr>
          <w:color w:val="231F20"/>
          <w:spacing w:val="7"/>
        </w:rPr>
        <w:t xml:space="preserve"> </w:t>
      </w:r>
      <w:r>
        <w:rPr>
          <w:color w:val="231F20"/>
        </w:rPr>
        <w:t>розписом</w:t>
      </w:r>
      <w:r>
        <w:rPr>
          <w:color w:val="231F20"/>
          <w:spacing w:val="-1"/>
        </w:rPr>
        <w:t xml:space="preserve"> </w:t>
      </w:r>
      <w:r>
        <w:rPr>
          <w:color w:val="231F20"/>
        </w:rPr>
        <w:t>і власним персоналом (насамперед адміністраторами).</w:t>
      </w:r>
      <w:r>
        <w:rPr>
          <w:color w:val="231F20"/>
          <w:spacing w:val="13"/>
        </w:rPr>
        <w:t xml:space="preserve"> </w:t>
      </w:r>
      <w:r>
        <w:rPr>
          <w:color w:val="231F20"/>
        </w:rPr>
        <w:t>Рішення</w:t>
      </w:r>
      <w:r>
        <w:rPr>
          <w:color w:val="231F20"/>
        </w:rPr>
        <w:t xml:space="preserve"> </w:t>
      </w:r>
      <w:r>
        <w:rPr>
          <w:color w:val="231F20"/>
        </w:rPr>
        <w:t>про вибір</w:t>
      </w:r>
      <w:r>
        <w:rPr>
          <w:color w:val="231F20"/>
          <w:spacing w:val="-7"/>
        </w:rPr>
        <w:t xml:space="preserve"> </w:t>
      </w:r>
      <w:r>
        <w:rPr>
          <w:color w:val="231F20"/>
        </w:rPr>
        <w:t>статусу</w:t>
      </w:r>
      <w:r>
        <w:rPr>
          <w:color w:val="231F20"/>
          <w:spacing w:val="-7"/>
        </w:rPr>
        <w:t xml:space="preserve"> </w:t>
      </w:r>
      <w:r>
        <w:rPr>
          <w:color w:val="231F20"/>
        </w:rPr>
        <w:t>належить</w:t>
      </w:r>
      <w:r>
        <w:rPr>
          <w:color w:val="231F20"/>
          <w:spacing w:val="-7"/>
        </w:rPr>
        <w:t xml:space="preserve"> </w:t>
      </w:r>
      <w:r>
        <w:rPr>
          <w:color w:val="231F20"/>
        </w:rPr>
        <w:t>до</w:t>
      </w:r>
      <w:r>
        <w:rPr>
          <w:color w:val="231F20"/>
          <w:spacing w:val="-7"/>
        </w:rPr>
        <w:t xml:space="preserve"> </w:t>
      </w:r>
      <w:r>
        <w:rPr>
          <w:color w:val="231F20"/>
        </w:rPr>
        <w:t>компетенції</w:t>
      </w:r>
      <w:r>
        <w:rPr>
          <w:color w:val="231F20"/>
          <w:spacing w:val="-7"/>
        </w:rPr>
        <w:t xml:space="preserve"> </w:t>
      </w:r>
      <w:r>
        <w:rPr>
          <w:color w:val="231F20"/>
          <w:spacing w:val="-3"/>
        </w:rPr>
        <w:t>органу,</w:t>
      </w:r>
      <w:r>
        <w:rPr>
          <w:color w:val="231F20"/>
          <w:spacing w:val="-7"/>
        </w:rPr>
        <w:t xml:space="preserve"> </w:t>
      </w:r>
      <w:r>
        <w:rPr>
          <w:color w:val="231F20"/>
        </w:rPr>
        <w:t>який</w:t>
      </w:r>
      <w:r>
        <w:rPr>
          <w:color w:val="231F20"/>
          <w:spacing w:val="-7"/>
        </w:rPr>
        <w:t xml:space="preserve"> </w:t>
      </w:r>
      <w:r>
        <w:rPr>
          <w:color w:val="231F20"/>
        </w:rPr>
        <w:t>утвор</w:t>
      </w:r>
      <w:r>
        <w:rPr>
          <w:color w:val="231F20"/>
        </w:rPr>
        <w:t>ює</w:t>
      </w:r>
      <w:r>
        <w:rPr>
          <w:color w:val="231F20"/>
          <w:spacing w:val="-7"/>
        </w:rPr>
        <w:t xml:space="preserve"> </w:t>
      </w:r>
      <w:r>
        <w:rPr>
          <w:color w:val="231F20"/>
        </w:rPr>
        <w:t>ЦНАП</w:t>
      </w:r>
      <w:r>
        <w:rPr>
          <w:color w:val="231F20"/>
          <w:position w:val="7"/>
          <w:sz w:val="12"/>
        </w:rPr>
        <w:t>1</w:t>
      </w:r>
      <w:r>
        <w:rPr>
          <w:color w:val="231F20"/>
        </w:rPr>
        <w:t>. ЦНАП утворюються при Київській міській</w:t>
      </w:r>
      <w:r>
        <w:rPr>
          <w:color w:val="231F20"/>
          <w:spacing w:val="7"/>
        </w:rPr>
        <w:t xml:space="preserve"> </w:t>
      </w:r>
      <w:r>
        <w:rPr>
          <w:color w:val="231F20"/>
        </w:rPr>
        <w:t>державній</w:t>
      </w:r>
      <w:r>
        <w:rPr>
          <w:color w:val="231F20"/>
          <w:spacing w:val="37"/>
        </w:rPr>
        <w:t xml:space="preserve"> </w:t>
      </w:r>
      <w:r>
        <w:rPr>
          <w:color w:val="231F20"/>
        </w:rPr>
        <w:t>адмініст- рації; Севастопольській міській державній</w:t>
      </w:r>
      <w:r>
        <w:rPr>
          <w:color w:val="231F20"/>
          <w:spacing w:val="-16"/>
        </w:rPr>
        <w:t xml:space="preserve"> </w:t>
      </w:r>
      <w:r>
        <w:rPr>
          <w:color w:val="231F20"/>
        </w:rPr>
        <w:t>адміністрації;</w:t>
      </w:r>
      <w:r>
        <w:rPr>
          <w:color w:val="231F20"/>
          <w:spacing w:val="30"/>
        </w:rPr>
        <w:t xml:space="preserve"> </w:t>
      </w:r>
      <w:r>
        <w:rPr>
          <w:color w:val="231F20"/>
        </w:rPr>
        <w:t>районній</w:t>
      </w:r>
      <w:r>
        <w:rPr>
          <w:color w:val="231F20"/>
          <w:spacing w:val="-1"/>
        </w:rPr>
        <w:t xml:space="preserve"> </w:t>
      </w:r>
      <w:r>
        <w:rPr>
          <w:color w:val="231F20"/>
        </w:rPr>
        <w:t>державній адміністрації; районній у місті Києві</w:t>
      </w:r>
      <w:r>
        <w:rPr>
          <w:color w:val="231F20"/>
          <w:spacing w:val="-4"/>
        </w:rPr>
        <w:t xml:space="preserve"> </w:t>
      </w:r>
      <w:r>
        <w:rPr>
          <w:color w:val="231F20"/>
        </w:rPr>
        <w:t>державній</w:t>
      </w:r>
      <w:r>
        <w:rPr>
          <w:color w:val="231F20"/>
          <w:spacing w:val="-1"/>
        </w:rPr>
        <w:t xml:space="preserve"> </w:t>
      </w:r>
      <w:r>
        <w:rPr>
          <w:color w:val="231F20"/>
        </w:rPr>
        <w:t>адмініст- рації;</w:t>
      </w:r>
      <w:r>
        <w:rPr>
          <w:color w:val="231F20"/>
          <w:spacing w:val="30"/>
        </w:rPr>
        <w:t xml:space="preserve"> </w:t>
      </w:r>
      <w:r>
        <w:rPr>
          <w:color w:val="231F20"/>
        </w:rPr>
        <w:t>районній</w:t>
      </w:r>
      <w:r>
        <w:rPr>
          <w:color w:val="231F20"/>
          <w:spacing w:val="30"/>
        </w:rPr>
        <w:t xml:space="preserve"> </w:t>
      </w:r>
      <w:r>
        <w:rPr>
          <w:color w:val="231F20"/>
        </w:rPr>
        <w:t>у</w:t>
      </w:r>
      <w:r>
        <w:rPr>
          <w:color w:val="231F20"/>
          <w:spacing w:val="31"/>
        </w:rPr>
        <w:t xml:space="preserve"> </w:t>
      </w:r>
      <w:r>
        <w:rPr>
          <w:color w:val="231F20"/>
        </w:rPr>
        <w:t>місті</w:t>
      </w:r>
      <w:r>
        <w:rPr>
          <w:color w:val="231F20"/>
          <w:spacing w:val="30"/>
        </w:rPr>
        <w:t xml:space="preserve"> </w:t>
      </w:r>
      <w:r>
        <w:rPr>
          <w:color w:val="231F20"/>
        </w:rPr>
        <w:t>Севастополі</w:t>
      </w:r>
      <w:r>
        <w:rPr>
          <w:color w:val="231F20"/>
          <w:spacing w:val="30"/>
        </w:rPr>
        <w:t xml:space="preserve"> </w:t>
      </w:r>
      <w:r>
        <w:rPr>
          <w:color w:val="231F20"/>
        </w:rPr>
        <w:t>державній</w:t>
      </w:r>
      <w:r>
        <w:rPr>
          <w:color w:val="231F20"/>
          <w:spacing w:val="30"/>
        </w:rPr>
        <w:t xml:space="preserve"> </w:t>
      </w:r>
      <w:r>
        <w:rPr>
          <w:color w:val="231F20"/>
        </w:rPr>
        <w:t>адміністрації;</w:t>
      </w:r>
      <w:r>
        <w:rPr>
          <w:color w:val="231F20"/>
          <w:spacing w:val="30"/>
        </w:rPr>
        <w:t xml:space="preserve"> </w:t>
      </w:r>
      <w:r>
        <w:rPr>
          <w:color w:val="231F20"/>
        </w:rPr>
        <w:t>вико- навчому органі міської ради міста</w:t>
      </w:r>
      <w:r>
        <w:rPr>
          <w:color w:val="231F20"/>
          <w:spacing w:val="10"/>
        </w:rPr>
        <w:t xml:space="preserve"> </w:t>
      </w:r>
      <w:r>
        <w:rPr>
          <w:color w:val="231F20"/>
        </w:rPr>
        <w:t>обласного,</w:t>
      </w:r>
      <w:r>
        <w:rPr>
          <w:color w:val="231F20"/>
          <w:spacing w:val="10"/>
        </w:rPr>
        <w:t xml:space="preserve"> </w:t>
      </w:r>
      <w:r>
        <w:rPr>
          <w:color w:val="231F20"/>
        </w:rPr>
        <w:t>республіканського Автономної</w:t>
      </w:r>
      <w:r>
        <w:rPr>
          <w:color w:val="231F20"/>
          <w:spacing w:val="-12"/>
        </w:rPr>
        <w:t xml:space="preserve"> </w:t>
      </w:r>
      <w:r>
        <w:rPr>
          <w:color w:val="231F20"/>
        </w:rPr>
        <w:t>Республіки</w:t>
      </w:r>
      <w:r>
        <w:rPr>
          <w:color w:val="231F20"/>
          <w:spacing w:val="-12"/>
        </w:rPr>
        <w:t xml:space="preserve"> </w:t>
      </w:r>
      <w:r>
        <w:rPr>
          <w:color w:val="231F20"/>
        </w:rPr>
        <w:t>Крим</w:t>
      </w:r>
      <w:r>
        <w:rPr>
          <w:color w:val="231F20"/>
          <w:spacing w:val="-12"/>
        </w:rPr>
        <w:t xml:space="preserve"> </w:t>
      </w:r>
      <w:r>
        <w:rPr>
          <w:color w:val="231F20"/>
        </w:rPr>
        <w:t>значення.</w:t>
      </w:r>
      <w:r>
        <w:rPr>
          <w:color w:val="231F20"/>
          <w:spacing w:val="-12"/>
        </w:rPr>
        <w:t xml:space="preserve"> </w:t>
      </w:r>
      <w:r>
        <w:rPr>
          <w:color w:val="231F20"/>
        </w:rPr>
        <w:t>ЦНАП</w:t>
      </w:r>
      <w:r>
        <w:rPr>
          <w:color w:val="231F20"/>
          <w:spacing w:val="-12"/>
        </w:rPr>
        <w:t xml:space="preserve"> </w:t>
      </w:r>
      <w:r>
        <w:rPr>
          <w:color w:val="231F20"/>
        </w:rPr>
        <w:t>можуть</w:t>
      </w:r>
      <w:r>
        <w:rPr>
          <w:color w:val="231F20"/>
          <w:spacing w:val="-12"/>
        </w:rPr>
        <w:t xml:space="preserve"> </w:t>
      </w:r>
      <w:r>
        <w:rPr>
          <w:color w:val="231F20"/>
        </w:rPr>
        <w:t>утворюватися</w:t>
      </w:r>
    </w:p>
    <w:p w14:paraId="6C476802" w14:textId="77777777" w:rsidR="00DE575E" w:rsidRDefault="00DE575E">
      <w:pPr>
        <w:pStyle w:val="BodyText"/>
        <w:rPr>
          <w:sz w:val="20"/>
        </w:rPr>
      </w:pPr>
    </w:p>
    <w:p w14:paraId="0A6E10EC" w14:textId="5FF73CBD" w:rsidR="00DE575E" w:rsidRDefault="002E7560">
      <w:pPr>
        <w:pStyle w:val="BodyText"/>
        <w:spacing w:before="5"/>
        <w:rPr>
          <w:sz w:val="13"/>
        </w:rPr>
      </w:pPr>
      <w:r>
        <w:rPr>
          <w:noProof/>
        </w:rPr>
        <mc:AlternateContent>
          <mc:Choice Requires="wps">
            <w:drawing>
              <wp:anchor distT="0" distB="0" distL="0" distR="0" simplePos="0" relativeHeight="7744" behindDoc="0" locked="0" layoutInCell="1" allowOverlap="1" wp14:anchorId="3E0BB95A" wp14:editId="0325E60D">
                <wp:simplePos x="0" y="0"/>
                <wp:positionH relativeFrom="page">
                  <wp:posOffset>539750</wp:posOffset>
                </wp:positionH>
                <wp:positionV relativeFrom="paragraph">
                  <wp:posOffset>127635</wp:posOffset>
                </wp:positionV>
                <wp:extent cx="1080135" cy="0"/>
                <wp:effectExtent l="6350" t="13335" r="31115" b="24765"/>
                <wp:wrapTopAndBottom/>
                <wp:docPr id="937"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AD134" id="Line_x0020_936" o:spid="_x0000_s1026" style="position:absolute;z-index: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05pt" to="127.55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" strokecolor="#231f20" strokeweight=".5pt">
                <w10:wrap type="topAndBottom" anchorx="page"/>
              </v:line>
            </w:pict>
          </mc:Fallback>
        </mc:AlternateContent>
      </w:r>
    </w:p>
    <w:p w14:paraId="3B8BF717" w14:textId="77777777" w:rsidR="00DE575E" w:rsidRDefault="002E7560">
      <w:pPr>
        <w:spacing w:line="204" w:lineRule="auto"/>
        <w:ind w:left="250" w:right="521"/>
        <w:rPr>
          <w:sz w:val="16"/>
        </w:rPr>
      </w:pPr>
      <w:r>
        <w:rPr>
          <w:color w:val="231F20"/>
          <w:position w:val="5"/>
          <w:sz w:val="9"/>
        </w:rPr>
        <w:t xml:space="preserve">1 </w:t>
      </w:r>
      <w:r>
        <w:rPr>
          <w:color w:val="231F20"/>
          <w:sz w:val="16"/>
        </w:rPr>
        <w:t>Буханевич О. Адміністративні послуги в Україні: засади надання та шляхи вдоскона- лення. Хмельницький. 20</w:t>
      </w:r>
      <w:r>
        <w:rPr>
          <w:color w:val="231F20"/>
          <w:sz w:val="16"/>
        </w:rPr>
        <w:t>17. 391 c.</w:t>
      </w:r>
    </w:p>
    <w:p w14:paraId="03930088" w14:textId="77777777" w:rsidR="00DE575E" w:rsidRDefault="00DE575E">
      <w:pPr>
        <w:pStyle w:val="BodyText"/>
        <w:spacing w:before="1"/>
        <w:rPr>
          <w:sz w:val="12"/>
        </w:rPr>
      </w:pPr>
    </w:p>
    <w:p w14:paraId="39880659" w14:textId="77777777" w:rsidR="00DE575E" w:rsidRDefault="002E7560">
      <w:pPr>
        <w:spacing w:before="92"/>
        <w:ind w:right="411"/>
        <w:jc w:val="right"/>
        <w:rPr>
          <w:rFonts w:ascii="Times New Roman"/>
          <w:sz w:val="20"/>
        </w:rPr>
      </w:pPr>
      <w:r>
        <w:rPr>
          <w:rFonts w:ascii="Times New Roman"/>
          <w:color w:val="231F20"/>
          <w:w w:val="90"/>
          <w:sz w:val="20"/>
        </w:rPr>
        <w:t>191</w:t>
      </w:r>
    </w:p>
    <w:p w14:paraId="32684CD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6598D8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4976CAE" w14:textId="635C760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2D28D68" wp14:editId="213AAF1B">
                <wp:extent cx="4140200" cy="6350"/>
                <wp:effectExtent l="0" t="0" r="12700" b="6350"/>
                <wp:docPr id="935"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36" name="Line 9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B5E6C8" id="Group_x0020_9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DHVOh/AgAAmAUAAA4A&#10;AAAAAAAAAAAAAAAALAIAAGRycy9lMm9Eb2MueG1sUEsBAi0AFAAGAAgAAAAhAEynsJDZAAAAAwEA&#10;AA8AAAAAAAAAAAAAAAAA1wQAAGRycy9kb3ducmV2LnhtbFBLBQYAAAAABAAEAPMAAADdBQAAAAA=&#10;">
                <v:line id="Line_x0020_9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1PnFMYAAADcAAAADwAAAGRycy9kb3ducmV2LnhtbESP3WrCQBSE74W+w3IKvRHdtAHR6Cql&#10;UCi98C8+wDF7TEJ3z8bsatI+fVcQvBxm5htmseqtEVdqfe1Ywes4AUFcOF1zqeCQf46mIHxA1mgc&#10;k4Jf8rBaPg0WmGnX8Y6u+1CKCGGfoYIqhCaT0hcVWfRj1xBH7+RaiyHKtpS6xS7CrZFvSTKRFmuO&#10;CxU29FFR8bO/WAX5eRjMdvNtunxzTOXxvE7/LmulXp779zmIQH14hO/tL61glk7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9T5xTGAAAA3AAAAA8AAAAAAAAA&#10;AAAAAAAAoQIAAGRycy9kb3ducmV2LnhtbFBLBQYAAAAABAAEAPkAAACUAwAAAAA=&#10;" strokecolor="#231f20" strokeweight=".5pt"/>
                <w10:anchorlock/>
              </v:group>
            </w:pict>
          </mc:Fallback>
        </mc:AlternateContent>
      </w:r>
    </w:p>
    <w:p w14:paraId="103113A0" w14:textId="77777777" w:rsidR="00DE575E" w:rsidRDefault="00DE575E">
      <w:pPr>
        <w:pStyle w:val="BodyText"/>
        <w:spacing w:before="7"/>
        <w:rPr>
          <w:rFonts w:ascii="AdonisC"/>
          <w:i/>
          <w:sz w:val="11"/>
        </w:rPr>
      </w:pPr>
    </w:p>
    <w:p w14:paraId="45CA8E62" w14:textId="77777777" w:rsidR="00DE575E" w:rsidRDefault="002E7560">
      <w:pPr>
        <w:pStyle w:val="BodyText"/>
        <w:spacing w:before="101" w:line="252" w:lineRule="auto"/>
        <w:ind w:left="533" w:right="127"/>
        <w:jc w:val="right"/>
      </w:pPr>
      <w:r>
        <w:rPr>
          <w:color w:val="231F20"/>
        </w:rPr>
        <w:t>при</w:t>
      </w:r>
      <w:r>
        <w:rPr>
          <w:color w:val="231F20"/>
          <w:spacing w:val="-19"/>
        </w:rPr>
        <w:t xml:space="preserve"> </w:t>
      </w:r>
      <w:r>
        <w:rPr>
          <w:color w:val="231F20"/>
        </w:rPr>
        <w:t>виконавчому</w:t>
      </w:r>
      <w:r>
        <w:rPr>
          <w:color w:val="231F20"/>
          <w:spacing w:val="-19"/>
        </w:rPr>
        <w:t xml:space="preserve"> </w:t>
      </w:r>
      <w:r>
        <w:rPr>
          <w:color w:val="231F20"/>
        </w:rPr>
        <w:t>органі</w:t>
      </w:r>
      <w:r>
        <w:rPr>
          <w:color w:val="231F20"/>
          <w:spacing w:val="-20"/>
        </w:rPr>
        <w:t xml:space="preserve"> </w:t>
      </w:r>
      <w:r>
        <w:rPr>
          <w:color w:val="231F20"/>
        </w:rPr>
        <w:t>міської</w:t>
      </w:r>
      <w:r>
        <w:rPr>
          <w:color w:val="231F20"/>
          <w:spacing w:val="-19"/>
        </w:rPr>
        <w:t xml:space="preserve"> </w:t>
      </w:r>
      <w:r>
        <w:rPr>
          <w:color w:val="231F20"/>
        </w:rPr>
        <w:t>міста</w:t>
      </w:r>
      <w:r>
        <w:rPr>
          <w:color w:val="231F20"/>
          <w:spacing w:val="-19"/>
        </w:rPr>
        <w:t xml:space="preserve"> </w:t>
      </w:r>
      <w:r>
        <w:rPr>
          <w:color w:val="231F20"/>
        </w:rPr>
        <w:t>районного</w:t>
      </w:r>
      <w:r>
        <w:rPr>
          <w:color w:val="231F20"/>
          <w:spacing w:val="-20"/>
        </w:rPr>
        <w:t xml:space="preserve"> </w:t>
      </w:r>
      <w:r>
        <w:rPr>
          <w:color w:val="231F20"/>
        </w:rPr>
        <w:t>значення,</w:t>
      </w:r>
      <w:r>
        <w:rPr>
          <w:color w:val="231F20"/>
          <w:spacing w:val="-20"/>
        </w:rPr>
        <w:t xml:space="preserve"> </w:t>
      </w:r>
      <w:r>
        <w:rPr>
          <w:color w:val="231F20"/>
        </w:rPr>
        <w:t>селищної, сільської ради у разі ухвалення відповідною радою</w:t>
      </w:r>
      <w:r>
        <w:rPr>
          <w:color w:val="231F20"/>
          <w:spacing w:val="-28"/>
        </w:rPr>
        <w:t xml:space="preserve"> </w:t>
      </w:r>
      <w:r>
        <w:rPr>
          <w:color w:val="231F20"/>
        </w:rPr>
        <w:t>такого</w:t>
      </w:r>
      <w:r>
        <w:rPr>
          <w:color w:val="231F20"/>
          <w:spacing w:val="-4"/>
        </w:rPr>
        <w:t xml:space="preserve"> </w:t>
      </w:r>
      <w:r>
        <w:rPr>
          <w:color w:val="231F20"/>
        </w:rPr>
        <w:t>рішення</w:t>
      </w:r>
      <w:r>
        <w:rPr>
          <w:color w:val="231F20"/>
          <w:position w:val="7"/>
          <w:sz w:val="12"/>
        </w:rPr>
        <w:t>1</w:t>
      </w:r>
      <w:r>
        <w:rPr>
          <w:color w:val="231F20"/>
        </w:rPr>
        <w:t>. У</w:t>
      </w:r>
      <w:r>
        <w:rPr>
          <w:color w:val="231F20"/>
          <w:spacing w:val="11"/>
        </w:rPr>
        <w:t xml:space="preserve"> </w:t>
      </w:r>
      <w:r>
        <w:rPr>
          <w:color w:val="231F20"/>
        </w:rPr>
        <w:t>містах</w:t>
      </w:r>
      <w:r>
        <w:rPr>
          <w:color w:val="231F20"/>
          <w:spacing w:val="11"/>
        </w:rPr>
        <w:t xml:space="preserve"> </w:t>
      </w:r>
      <w:r>
        <w:rPr>
          <w:color w:val="231F20"/>
        </w:rPr>
        <w:t>і</w:t>
      </w:r>
      <w:r>
        <w:rPr>
          <w:color w:val="231F20"/>
          <w:spacing w:val="11"/>
        </w:rPr>
        <w:t xml:space="preserve"> </w:t>
      </w:r>
      <w:r>
        <w:rPr>
          <w:color w:val="231F20"/>
        </w:rPr>
        <w:t>селищах,</w:t>
      </w:r>
      <w:r>
        <w:rPr>
          <w:color w:val="231F20"/>
          <w:spacing w:val="11"/>
        </w:rPr>
        <w:t xml:space="preserve"> </w:t>
      </w:r>
      <w:r>
        <w:rPr>
          <w:color w:val="231F20"/>
        </w:rPr>
        <w:t>які</w:t>
      </w:r>
      <w:r>
        <w:rPr>
          <w:color w:val="231F20"/>
          <w:spacing w:val="11"/>
        </w:rPr>
        <w:t xml:space="preserve"> </w:t>
      </w:r>
      <w:r>
        <w:rPr>
          <w:color w:val="231F20"/>
        </w:rPr>
        <w:t>є</w:t>
      </w:r>
      <w:r>
        <w:rPr>
          <w:color w:val="231F20"/>
          <w:spacing w:val="11"/>
        </w:rPr>
        <w:t xml:space="preserve"> </w:t>
      </w:r>
      <w:r>
        <w:rPr>
          <w:color w:val="231F20"/>
        </w:rPr>
        <w:t>адміністративними</w:t>
      </w:r>
      <w:r>
        <w:rPr>
          <w:color w:val="231F20"/>
          <w:spacing w:val="11"/>
        </w:rPr>
        <w:t xml:space="preserve"> </w:t>
      </w:r>
      <w:r>
        <w:rPr>
          <w:color w:val="231F20"/>
        </w:rPr>
        <w:t>центрами</w:t>
      </w:r>
      <w:r>
        <w:rPr>
          <w:color w:val="231F20"/>
          <w:spacing w:val="11"/>
        </w:rPr>
        <w:t xml:space="preserve"> </w:t>
      </w:r>
      <w:r>
        <w:rPr>
          <w:color w:val="231F20"/>
        </w:rPr>
        <w:t>Автоном- ної Республіки Крим, областей чи районів, а також у містах</w:t>
      </w:r>
      <w:r>
        <w:rPr>
          <w:color w:val="231F20"/>
          <w:spacing w:val="38"/>
        </w:rPr>
        <w:t xml:space="preserve"> </w:t>
      </w:r>
      <w:r>
        <w:rPr>
          <w:color w:val="231F20"/>
        </w:rPr>
        <w:t>Києві</w:t>
      </w:r>
      <w:r>
        <w:rPr>
          <w:color w:val="231F20"/>
          <w:spacing w:val="3"/>
        </w:rPr>
        <w:t xml:space="preserve"> </w:t>
      </w:r>
      <w:r>
        <w:rPr>
          <w:color w:val="231F20"/>
        </w:rPr>
        <w:t>та</w:t>
      </w:r>
      <w:r>
        <w:rPr>
          <w:color w:val="231F20"/>
          <w:spacing w:val="-1"/>
        </w:rPr>
        <w:t xml:space="preserve"> </w:t>
      </w:r>
      <w:r>
        <w:rPr>
          <w:color w:val="231F20"/>
        </w:rPr>
        <w:t>Севастополі</w:t>
      </w:r>
      <w:r>
        <w:rPr>
          <w:color w:val="231F20"/>
          <w:spacing w:val="-17"/>
        </w:rPr>
        <w:t xml:space="preserve"> </w:t>
      </w:r>
      <w:r>
        <w:rPr>
          <w:color w:val="231F20"/>
        </w:rPr>
        <w:t>ЦНАП</w:t>
      </w:r>
      <w:r>
        <w:rPr>
          <w:color w:val="231F20"/>
          <w:spacing w:val="-17"/>
        </w:rPr>
        <w:t xml:space="preserve"> </w:t>
      </w:r>
      <w:r>
        <w:rPr>
          <w:color w:val="231F20"/>
        </w:rPr>
        <w:t>можуть</w:t>
      </w:r>
      <w:r>
        <w:rPr>
          <w:color w:val="231F20"/>
          <w:spacing w:val="-17"/>
        </w:rPr>
        <w:t xml:space="preserve"> </w:t>
      </w:r>
      <w:r>
        <w:rPr>
          <w:color w:val="231F20"/>
        </w:rPr>
        <w:t>забезпечувати</w:t>
      </w:r>
      <w:r>
        <w:rPr>
          <w:color w:val="231F20"/>
          <w:spacing w:val="-17"/>
        </w:rPr>
        <w:t xml:space="preserve"> </w:t>
      </w:r>
      <w:r>
        <w:rPr>
          <w:color w:val="231F20"/>
        </w:rPr>
        <w:t>надання</w:t>
      </w:r>
      <w:r>
        <w:rPr>
          <w:color w:val="231F20"/>
          <w:spacing w:val="-17"/>
        </w:rPr>
        <w:t xml:space="preserve"> </w:t>
      </w:r>
      <w:r>
        <w:rPr>
          <w:color w:val="231F20"/>
        </w:rPr>
        <w:t>адміністративних</w:t>
      </w:r>
      <w:r>
        <w:rPr>
          <w:color w:val="231F20"/>
          <w:spacing w:val="-1"/>
        </w:rPr>
        <w:t xml:space="preserve"> </w:t>
      </w:r>
      <w:r>
        <w:rPr>
          <w:color w:val="231F20"/>
        </w:rPr>
        <w:t>послуг обласних, районних і відповідних міських державних</w:t>
      </w:r>
      <w:r>
        <w:rPr>
          <w:color w:val="231F20"/>
          <w:spacing w:val="11"/>
        </w:rPr>
        <w:t xml:space="preserve"> </w:t>
      </w:r>
      <w:r>
        <w:rPr>
          <w:color w:val="231F20"/>
        </w:rPr>
        <w:t>адміні-</w:t>
      </w:r>
    </w:p>
    <w:p w14:paraId="06C5145B" w14:textId="77777777" w:rsidR="00DE575E" w:rsidRDefault="002E7560">
      <w:pPr>
        <w:pStyle w:val="BodyText"/>
        <w:spacing w:before="3"/>
        <w:ind w:left="533"/>
      </w:pPr>
      <w:r>
        <w:rPr>
          <w:color w:val="231F20"/>
        </w:rPr>
        <w:t>страцій на основі їх узгоджених рішень.</w:t>
      </w:r>
    </w:p>
    <w:p w14:paraId="51AA96DD" w14:textId="77777777" w:rsidR="00DE575E" w:rsidRDefault="002E7560">
      <w:pPr>
        <w:pStyle w:val="BodyText"/>
        <w:spacing w:before="12" w:line="252" w:lineRule="auto"/>
        <w:ind w:left="533" w:right="127" w:firstLine="283"/>
        <w:jc w:val="both"/>
      </w:pPr>
      <w:r>
        <w:rPr>
          <w:color w:val="231F20"/>
        </w:rPr>
        <w:t>У разі утворення ЦНАП районними державними адміністраці- ями такі центри можуть забезпечувати надання  адміністратив-  них послуг обласних державних адміністрацій та органів місцевого самоврядування на основі їх узгоджених рішень. Для забезпечення належної</w:t>
      </w:r>
      <w:r>
        <w:rPr>
          <w:color w:val="231F20"/>
        </w:rPr>
        <w:t xml:space="preserve"> доступності адміністративних послуг можуть утворюва- тися територіальні підрозділи ЦНАП і віддалені місця для роботи адміністраторів</w:t>
      </w:r>
      <w:r>
        <w:rPr>
          <w:color w:val="231F20"/>
          <w:spacing w:val="-1"/>
        </w:rPr>
        <w:t xml:space="preserve"> </w:t>
      </w:r>
      <w:r>
        <w:rPr>
          <w:color w:val="231F20"/>
          <w:spacing w:val="-4"/>
        </w:rPr>
        <w:t>центру.</w:t>
      </w:r>
    </w:p>
    <w:p w14:paraId="186A71C8" w14:textId="77777777" w:rsidR="00DE575E" w:rsidRDefault="002E7560">
      <w:pPr>
        <w:pStyle w:val="BodyText"/>
        <w:spacing w:before="4" w:line="252" w:lineRule="auto"/>
        <w:ind w:left="533" w:right="127" w:firstLine="283"/>
        <w:jc w:val="right"/>
      </w:pPr>
      <w:r>
        <w:rPr>
          <w:color w:val="231F20"/>
        </w:rPr>
        <w:t>У</w:t>
      </w:r>
      <w:r>
        <w:rPr>
          <w:color w:val="231F20"/>
          <w:spacing w:val="20"/>
        </w:rPr>
        <w:t xml:space="preserve"> </w:t>
      </w:r>
      <w:r>
        <w:rPr>
          <w:color w:val="231F20"/>
        </w:rPr>
        <w:t>разі</w:t>
      </w:r>
      <w:r>
        <w:rPr>
          <w:color w:val="231F20"/>
          <w:spacing w:val="20"/>
        </w:rPr>
        <w:t xml:space="preserve"> </w:t>
      </w:r>
      <w:r>
        <w:rPr>
          <w:color w:val="231F20"/>
        </w:rPr>
        <w:t>утворення</w:t>
      </w:r>
      <w:r>
        <w:rPr>
          <w:color w:val="231F20"/>
          <w:spacing w:val="20"/>
        </w:rPr>
        <w:t xml:space="preserve"> </w:t>
      </w:r>
      <w:r>
        <w:rPr>
          <w:color w:val="231F20"/>
        </w:rPr>
        <w:t>ЦНАП</w:t>
      </w:r>
      <w:r>
        <w:rPr>
          <w:color w:val="231F20"/>
          <w:spacing w:val="20"/>
        </w:rPr>
        <w:t xml:space="preserve"> </w:t>
      </w:r>
      <w:r>
        <w:rPr>
          <w:color w:val="231F20"/>
        </w:rPr>
        <w:t>як</w:t>
      </w:r>
      <w:r>
        <w:rPr>
          <w:color w:val="231F20"/>
          <w:spacing w:val="20"/>
        </w:rPr>
        <w:t xml:space="preserve"> </w:t>
      </w:r>
      <w:r>
        <w:rPr>
          <w:color w:val="231F20"/>
        </w:rPr>
        <w:t>постійного</w:t>
      </w:r>
      <w:r>
        <w:rPr>
          <w:color w:val="231F20"/>
          <w:spacing w:val="20"/>
        </w:rPr>
        <w:t xml:space="preserve"> </w:t>
      </w:r>
      <w:r>
        <w:rPr>
          <w:color w:val="231F20"/>
        </w:rPr>
        <w:t>чинного</w:t>
      </w:r>
      <w:r>
        <w:rPr>
          <w:color w:val="231F20"/>
          <w:spacing w:val="20"/>
        </w:rPr>
        <w:t xml:space="preserve"> </w:t>
      </w:r>
      <w:r>
        <w:rPr>
          <w:color w:val="231F20"/>
        </w:rPr>
        <w:t>робочого</w:t>
      </w:r>
      <w:r>
        <w:rPr>
          <w:color w:val="231F20"/>
          <w:spacing w:val="20"/>
        </w:rPr>
        <w:t xml:space="preserve"> </w:t>
      </w:r>
      <w:r>
        <w:rPr>
          <w:color w:val="231F20"/>
        </w:rPr>
        <w:t>органу</w:t>
      </w:r>
      <w:r>
        <w:rPr>
          <w:color w:val="231F20"/>
          <w:spacing w:val="-1"/>
        </w:rPr>
        <w:t xml:space="preserve"> </w:t>
      </w:r>
      <w:r>
        <w:rPr>
          <w:color w:val="231F20"/>
        </w:rPr>
        <w:t>для здійснення матеріально-технічного та</w:t>
      </w:r>
      <w:r>
        <w:rPr>
          <w:color w:val="231F20"/>
          <w:spacing w:val="-23"/>
        </w:rPr>
        <w:t xml:space="preserve"> </w:t>
      </w:r>
      <w:r>
        <w:rPr>
          <w:color w:val="231F20"/>
        </w:rPr>
        <w:t>організаційно</w:t>
      </w:r>
      <w:r>
        <w:rPr>
          <w:color w:val="231F20"/>
        </w:rPr>
        <w:t>го</w:t>
      </w:r>
      <w:r>
        <w:rPr>
          <w:color w:val="231F20"/>
          <w:spacing w:val="-6"/>
        </w:rPr>
        <w:t xml:space="preserve"> </w:t>
      </w:r>
      <w:r>
        <w:rPr>
          <w:color w:val="231F20"/>
        </w:rPr>
        <w:t>забезпе- чення</w:t>
      </w:r>
      <w:r>
        <w:rPr>
          <w:color w:val="231F20"/>
          <w:spacing w:val="-6"/>
        </w:rPr>
        <w:t xml:space="preserve"> </w:t>
      </w:r>
      <w:r>
        <w:rPr>
          <w:color w:val="231F20"/>
        </w:rPr>
        <w:t>діяльності</w:t>
      </w:r>
      <w:r>
        <w:rPr>
          <w:color w:val="231F20"/>
          <w:spacing w:val="-6"/>
        </w:rPr>
        <w:t xml:space="preserve"> </w:t>
      </w:r>
      <w:r>
        <w:rPr>
          <w:color w:val="231F20"/>
        </w:rPr>
        <w:t>ЦНАП</w:t>
      </w:r>
      <w:r>
        <w:rPr>
          <w:color w:val="231F20"/>
          <w:spacing w:val="-6"/>
        </w:rPr>
        <w:t xml:space="preserve"> </w:t>
      </w:r>
      <w:r>
        <w:rPr>
          <w:color w:val="231F20"/>
        </w:rPr>
        <w:t>у</w:t>
      </w:r>
      <w:r>
        <w:rPr>
          <w:color w:val="231F20"/>
          <w:spacing w:val="-6"/>
        </w:rPr>
        <w:t xml:space="preserve"> </w:t>
      </w:r>
      <w:r>
        <w:rPr>
          <w:color w:val="231F20"/>
        </w:rPr>
        <w:t>структурі</w:t>
      </w:r>
      <w:r>
        <w:rPr>
          <w:color w:val="231F20"/>
          <w:spacing w:val="-6"/>
        </w:rPr>
        <w:t xml:space="preserve"> </w:t>
      </w:r>
      <w:r>
        <w:rPr>
          <w:color w:val="231F20"/>
        </w:rPr>
        <w:t>відповідної</w:t>
      </w:r>
      <w:r>
        <w:rPr>
          <w:color w:val="231F20"/>
          <w:spacing w:val="-6"/>
        </w:rPr>
        <w:t xml:space="preserve"> </w:t>
      </w:r>
      <w:r>
        <w:rPr>
          <w:color w:val="231F20"/>
        </w:rPr>
        <w:t>міської</w:t>
      </w:r>
      <w:r>
        <w:rPr>
          <w:color w:val="231F20"/>
          <w:spacing w:val="-6"/>
        </w:rPr>
        <w:t xml:space="preserve"> </w:t>
      </w:r>
      <w:r>
        <w:rPr>
          <w:color w:val="231F20"/>
        </w:rPr>
        <w:t>ради,</w:t>
      </w:r>
      <w:r>
        <w:rPr>
          <w:color w:val="231F20"/>
          <w:spacing w:val="-6"/>
        </w:rPr>
        <w:t xml:space="preserve"> </w:t>
      </w:r>
      <w:r>
        <w:rPr>
          <w:color w:val="231F20"/>
        </w:rPr>
        <w:t>міської, районної</w:t>
      </w:r>
      <w:r>
        <w:rPr>
          <w:color w:val="231F20"/>
          <w:spacing w:val="25"/>
        </w:rPr>
        <w:t xml:space="preserve"> </w:t>
      </w:r>
      <w:r>
        <w:rPr>
          <w:color w:val="231F20"/>
        </w:rPr>
        <w:t>державної</w:t>
      </w:r>
      <w:r>
        <w:rPr>
          <w:color w:val="231F20"/>
          <w:spacing w:val="25"/>
        </w:rPr>
        <w:t xml:space="preserve"> </w:t>
      </w:r>
      <w:r>
        <w:rPr>
          <w:color w:val="231F20"/>
        </w:rPr>
        <w:t>адміністрації</w:t>
      </w:r>
      <w:r>
        <w:rPr>
          <w:color w:val="231F20"/>
          <w:spacing w:val="25"/>
        </w:rPr>
        <w:t xml:space="preserve"> </w:t>
      </w:r>
      <w:r>
        <w:rPr>
          <w:color w:val="231F20"/>
        </w:rPr>
        <w:t>утворюється</w:t>
      </w:r>
      <w:r>
        <w:rPr>
          <w:color w:val="231F20"/>
          <w:spacing w:val="25"/>
        </w:rPr>
        <w:t xml:space="preserve"> </w:t>
      </w:r>
      <w:r>
        <w:rPr>
          <w:color w:val="231F20"/>
        </w:rPr>
        <w:t>відповідний</w:t>
      </w:r>
      <w:r>
        <w:rPr>
          <w:color w:val="231F20"/>
          <w:spacing w:val="25"/>
        </w:rPr>
        <w:t xml:space="preserve"> </w:t>
      </w:r>
      <w:r>
        <w:rPr>
          <w:color w:val="231F20"/>
        </w:rPr>
        <w:t>струк- турний підрозділ (виконавчий орган), на який</w:t>
      </w:r>
      <w:r>
        <w:rPr>
          <w:color w:val="231F20"/>
          <w:spacing w:val="25"/>
        </w:rPr>
        <w:t xml:space="preserve"> </w:t>
      </w:r>
      <w:r>
        <w:rPr>
          <w:color w:val="231F20"/>
        </w:rPr>
        <w:t>покладаються</w:t>
      </w:r>
      <w:r>
        <w:rPr>
          <w:color w:val="231F20"/>
          <w:spacing w:val="3"/>
        </w:rPr>
        <w:t xml:space="preserve"> </w:t>
      </w:r>
      <w:r>
        <w:rPr>
          <w:color w:val="231F20"/>
        </w:rPr>
        <w:t>керів- ництво та відповідальність за організацію діял</w:t>
      </w:r>
      <w:r>
        <w:rPr>
          <w:color w:val="231F20"/>
        </w:rPr>
        <w:t>ьності</w:t>
      </w:r>
      <w:r>
        <w:rPr>
          <w:color w:val="231F20"/>
          <w:spacing w:val="-32"/>
        </w:rPr>
        <w:t xml:space="preserve"> </w:t>
      </w:r>
      <w:r>
        <w:rPr>
          <w:color w:val="231F20"/>
        </w:rPr>
        <w:t>такого</w:t>
      </w:r>
      <w:r>
        <w:rPr>
          <w:color w:val="231F20"/>
          <w:spacing w:val="-6"/>
        </w:rPr>
        <w:t xml:space="preserve"> </w:t>
      </w:r>
      <w:r>
        <w:rPr>
          <w:color w:val="231F20"/>
          <w:spacing w:val="-4"/>
        </w:rPr>
        <w:t>центру.</w:t>
      </w:r>
      <w:r>
        <w:rPr>
          <w:color w:val="231F20"/>
        </w:rPr>
        <w:t xml:space="preserve"> В</w:t>
      </w:r>
      <w:r>
        <w:rPr>
          <w:color w:val="231F20"/>
          <w:spacing w:val="-8"/>
        </w:rPr>
        <w:t xml:space="preserve"> </w:t>
      </w:r>
      <w:r>
        <w:rPr>
          <w:color w:val="231F20"/>
        </w:rPr>
        <w:t>ідеалі</w:t>
      </w:r>
      <w:r>
        <w:rPr>
          <w:color w:val="231F20"/>
          <w:spacing w:val="-8"/>
        </w:rPr>
        <w:t xml:space="preserve"> </w:t>
      </w:r>
      <w:r>
        <w:rPr>
          <w:color w:val="231F20"/>
        </w:rPr>
        <w:t>у</w:t>
      </w:r>
      <w:r>
        <w:rPr>
          <w:color w:val="231F20"/>
          <w:spacing w:val="-8"/>
        </w:rPr>
        <w:t xml:space="preserve"> </w:t>
      </w:r>
      <w:r>
        <w:rPr>
          <w:color w:val="231F20"/>
        </w:rPr>
        <w:t>ЦНАП</w:t>
      </w:r>
      <w:r>
        <w:rPr>
          <w:color w:val="231F20"/>
          <w:spacing w:val="-8"/>
        </w:rPr>
        <w:t xml:space="preserve"> </w:t>
      </w:r>
      <w:r>
        <w:rPr>
          <w:color w:val="231F20"/>
        </w:rPr>
        <w:t>мають</w:t>
      </w:r>
      <w:r>
        <w:rPr>
          <w:color w:val="231F20"/>
          <w:spacing w:val="-8"/>
        </w:rPr>
        <w:t xml:space="preserve"> </w:t>
      </w:r>
      <w:r>
        <w:rPr>
          <w:color w:val="231F20"/>
        </w:rPr>
        <w:t>надаватися</w:t>
      </w:r>
      <w:r>
        <w:rPr>
          <w:color w:val="231F20"/>
          <w:spacing w:val="-8"/>
        </w:rPr>
        <w:t xml:space="preserve"> </w:t>
      </w:r>
      <w:r>
        <w:rPr>
          <w:color w:val="231F20"/>
        </w:rPr>
        <w:t>всі</w:t>
      </w:r>
      <w:r>
        <w:rPr>
          <w:color w:val="231F20"/>
          <w:spacing w:val="-8"/>
        </w:rPr>
        <w:t xml:space="preserve"> </w:t>
      </w:r>
      <w:r>
        <w:rPr>
          <w:color w:val="231F20"/>
        </w:rPr>
        <w:t>види</w:t>
      </w:r>
      <w:r>
        <w:rPr>
          <w:color w:val="231F20"/>
          <w:spacing w:val="-8"/>
        </w:rPr>
        <w:t xml:space="preserve"> </w:t>
      </w:r>
      <w:r>
        <w:rPr>
          <w:color w:val="231F20"/>
        </w:rPr>
        <w:t>базових</w:t>
      </w:r>
      <w:r>
        <w:rPr>
          <w:color w:val="231F20"/>
          <w:spacing w:val="-8"/>
        </w:rPr>
        <w:t xml:space="preserve"> </w:t>
      </w:r>
      <w:r>
        <w:rPr>
          <w:color w:val="231F20"/>
        </w:rPr>
        <w:t>(популярних)</w:t>
      </w:r>
      <w:r>
        <w:rPr>
          <w:color w:val="231F20"/>
          <w:spacing w:val="-1"/>
        </w:rPr>
        <w:t xml:space="preserve"> </w:t>
      </w:r>
      <w:r>
        <w:rPr>
          <w:color w:val="231F20"/>
        </w:rPr>
        <w:t>адміністративних</w:t>
      </w:r>
      <w:r>
        <w:rPr>
          <w:color w:val="231F20"/>
          <w:spacing w:val="-8"/>
        </w:rPr>
        <w:t xml:space="preserve"> </w:t>
      </w:r>
      <w:r>
        <w:rPr>
          <w:color w:val="231F20"/>
        </w:rPr>
        <w:t>послуг:</w:t>
      </w:r>
      <w:r>
        <w:rPr>
          <w:color w:val="231F20"/>
          <w:spacing w:val="-8"/>
        </w:rPr>
        <w:t xml:space="preserve"> </w:t>
      </w:r>
      <w:r>
        <w:rPr>
          <w:color w:val="231F20"/>
        </w:rPr>
        <w:t>реєстрація</w:t>
      </w:r>
      <w:r>
        <w:rPr>
          <w:color w:val="231F20"/>
          <w:spacing w:val="-8"/>
        </w:rPr>
        <w:t xml:space="preserve"> </w:t>
      </w:r>
      <w:r>
        <w:rPr>
          <w:color w:val="231F20"/>
        </w:rPr>
        <w:t>актів</w:t>
      </w:r>
      <w:r>
        <w:rPr>
          <w:color w:val="231F20"/>
          <w:spacing w:val="-8"/>
        </w:rPr>
        <w:t xml:space="preserve"> </w:t>
      </w:r>
      <w:r>
        <w:rPr>
          <w:color w:val="231F20"/>
        </w:rPr>
        <w:t>цивільного</w:t>
      </w:r>
      <w:r>
        <w:rPr>
          <w:color w:val="231F20"/>
          <w:spacing w:val="-8"/>
        </w:rPr>
        <w:t xml:space="preserve"> </w:t>
      </w:r>
      <w:r>
        <w:rPr>
          <w:color w:val="231F20"/>
        </w:rPr>
        <w:t>стану</w:t>
      </w:r>
      <w:r>
        <w:rPr>
          <w:color w:val="231F20"/>
          <w:spacing w:val="-8"/>
        </w:rPr>
        <w:t xml:space="preserve"> </w:t>
      </w:r>
      <w:r>
        <w:rPr>
          <w:color w:val="231F20"/>
        </w:rPr>
        <w:t>(народ- ження,  шлюбу);  реєстрація  місця  проживання;</w:t>
      </w:r>
      <w:r>
        <w:rPr>
          <w:color w:val="231F20"/>
          <w:spacing w:val="38"/>
        </w:rPr>
        <w:t xml:space="preserve"> </w:t>
      </w:r>
      <w:r>
        <w:rPr>
          <w:color w:val="231F20"/>
        </w:rPr>
        <w:t xml:space="preserve">реєстрація </w:t>
      </w:r>
      <w:r>
        <w:rPr>
          <w:color w:val="231F20"/>
          <w:spacing w:val="35"/>
        </w:rPr>
        <w:t xml:space="preserve"> </w:t>
      </w:r>
      <w:r>
        <w:rPr>
          <w:color w:val="231F20"/>
        </w:rPr>
        <w:t>прав</w:t>
      </w:r>
      <w:r>
        <w:rPr>
          <w:color w:val="231F20"/>
          <w:spacing w:val="-1"/>
        </w:rPr>
        <w:t xml:space="preserve"> </w:t>
      </w:r>
      <w:r>
        <w:rPr>
          <w:color w:val="231F20"/>
        </w:rPr>
        <w:t>на нерухоме майно; реєстрація транспортних</w:t>
      </w:r>
      <w:r>
        <w:rPr>
          <w:color w:val="231F20"/>
          <w:spacing w:val="25"/>
        </w:rPr>
        <w:t xml:space="preserve"> </w:t>
      </w:r>
      <w:r>
        <w:rPr>
          <w:color w:val="231F20"/>
        </w:rPr>
        <w:t>засобів,</w:t>
      </w:r>
      <w:r>
        <w:rPr>
          <w:color w:val="231F20"/>
          <w:spacing w:val="41"/>
        </w:rPr>
        <w:t xml:space="preserve"> </w:t>
      </w:r>
      <w:r>
        <w:rPr>
          <w:color w:val="231F20"/>
        </w:rPr>
        <w:t>отримання</w:t>
      </w:r>
      <w:r>
        <w:rPr>
          <w:color w:val="231F20"/>
          <w:spacing w:val="-1"/>
        </w:rPr>
        <w:t xml:space="preserve"> </w:t>
      </w:r>
      <w:r>
        <w:rPr>
          <w:color w:val="231F20"/>
        </w:rPr>
        <w:t>посвідчення водія; отримання паспортів</w:t>
      </w:r>
      <w:r>
        <w:rPr>
          <w:color w:val="231F20"/>
          <w:spacing w:val="-17"/>
        </w:rPr>
        <w:t xml:space="preserve"> </w:t>
      </w:r>
      <w:r>
        <w:rPr>
          <w:color w:val="231F20"/>
        </w:rPr>
        <w:t>(зокрема</w:t>
      </w:r>
      <w:r>
        <w:rPr>
          <w:color w:val="231F20"/>
          <w:spacing w:val="-5"/>
        </w:rPr>
        <w:t xml:space="preserve"> </w:t>
      </w:r>
      <w:r>
        <w:rPr>
          <w:color w:val="231F20"/>
        </w:rPr>
        <w:t>«закордонного»);</w:t>
      </w:r>
      <w:r>
        <w:rPr>
          <w:color w:val="231F20"/>
          <w:spacing w:val="-1"/>
        </w:rPr>
        <w:t xml:space="preserve"> </w:t>
      </w:r>
      <w:r>
        <w:rPr>
          <w:color w:val="231F20"/>
        </w:rPr>
        <w:t>реєстрація юридичних осіб, фізичних</w:t>
      </w:r>
      <w:r>
        <w:rPr>
          <w:color w:val="231F20"/>
          <w:spacing w:val="36"/>
        </w:rPr>
        <w:t xml:space="preserve"> </w:t>
      </w:r>
      <w:r>
        <w:rPr>
          <w:color w:val="231F20"/>
        </w:rPr>
        <w:t>осіб-підприємців;</w:t>
      </w:r>
      <w:r>
        <w:rPr>
          <w:color w:val="231F20"/>
          <w:spacing w:val="31"/>
        </w:rPr>
        <w:t xml:space="preserve"> </w:t>
      </w:r>
      <w:r>
        <w:rPr>
          <w:color w:val="231F20"/>
        </w:rPr>
        <w:t>призна- чення</w:t>
      </w:r>
      <w:r>
        <w:rPr>
          <w:color w:val="231F20"/>
          <w:spacing w:val="6"/>
        </w:rPr>
        <w:t xml:space="preserve"> </w:t>
      </w:r>
      <w:r>
        <w:rPr>
          <w:color w:val="231F20"/>
        </w:rPr>
        <w:t>соціальної</w:t>
      </w:r>
      <w:r>
        <w:rPr>
          <w:color w:val="231F20"/>
          <w:spacing w:val="6"/>
        </w:rPr>
        <w:t xml:space="preserve"> </w:t>
      </w:r>
      <w:r>
        <w:rPr>
          <w:color w:val="231F20"/>
        </w:rPr>
        <w:t>допомоги,</w:t>
      </w:r>
      <w:r>
        <w:rPr>
          <w:color w:val="231F20"/>
          <w:spacing w:val="6"/>
        </w:rPr>
        <w:t xml:space="preserve"> </w:t>
      </w:r>
      <w:r>
        <w:rPr>
          <w:color w:val="231F20"/>
        </w:rPr>
        <w:t>субсидії,</w:t>
      </w:r>
      <w:r>
        <w:rPr>
          <w:color w:val="231F20"/>
          <w:spacing w:val="6"/>
        </w:rPr>
        <w:t xml:space="preserve"> </w:t>
      </w:r>
      <w:r>
        <w:rPr>
          <w:color w:val="231F20"/>
        </w:rPr>
        <w:t>пенсії</w:t>
      </w:r>
      <w:r>
        <w:rPr>
          <w:color w:val="231F20"/>
          <w:spacing w:val="6"/>
        </w:rPr>
        <w:t xml:space="preserve"> </w:t>
      </w:r>
      <w:r>
        <w:rPr>
          <w:color w:val="231F20"/>
        </w:rPr>
        <w:t>тощо.</w:t>
      </w:r>
      <w:r>
        <w:rPr>
          <w:color w:val="231F20"/>
          <w:spacing w:val="6"/>
        </w:rPr>
        <w:t xml:space="preserve"> </w:t>
      </w:r>
      <w:r>
        <w:rPr>
          <w:color w:val="231F20"/>
        </w:rPr>
        <w:t>При</w:t>
      </w:r>
      <w:r>
        <w:rPr>
          <w:color w:val="231F20"/>
          <w:spacing w:val="6"/>
        </w:rPr>
        <w:t xml:space="preserve"> </w:t>
      </w:r>
      <w:r>
        <w:rPr>
          <w:color w:val="231F20"/>
        </w:rPr>
        <w:t>цьому</w:t>
      </w:r>
      <w:r>
        <w:rPr>
          <w:color w:val="231F20"/>
          <w:spacing w:val="6"/>
        </w:rPr>
        <w:t xml:space="preserve"> </w:t>
      </w:r>
      <w:r>
        <w:rPr>
          <w:color w:val="231F20"/>
        </w:rPr>
        <w:t>під</w:t>
      </w:r>
      <w:r>
        <w:rPr>
          <w:color w:val="231F20"/>
          <w:spacing w:val="6"/>
        </w:rPr>
        <w:t xml:space="preserve"> </w:t>
      </w:r>
      <w:r>
        <w:rPr>
          <w:color w:val="231F20"/>
        </w:rPr>
        <w:t>час надання послуг є реалізація принципу «єдиного вікна»,</w:t>
      </w:r>
      <w:r>
        <w:rPr>
          <w:color w:val="231F20"/>
          <w:spacing w:val="15"/>
        </w:rPr>
        <w:t xml:space="preserve"> </w:t>
      </w:r>
      <w:r>
        <w:rPr>
          <w:color w:val="231F20"/>
        </w:rPr>
        <w:t>який</w:t>
      </w:r>
      <w:r>
        <w:rPr>
          <w:color w:val="231F20"/>
          <w:spacing w:val="1"/>
        </w:rPr>
        <w:t xml:space="preserve"> </w:t>
      </w:r>
      <w:r>
        <w:rPr>
          <w:color w:val="231F20"/>
        </w:rPr>
        <w:t>перед- бачає оптимізацію внутрішньо адміністративних</w:t>
      </w:r>
      <w:r>
        <w:rPr>
          <w:color w:val="231F20"/>
          <w:spacing w:val="-17"/>
        </w:rPr>
        <w:t xml:space="preserve"> </w:t>
      </w:r>
      <w:r>
        <w:rPr>
          <w:color w:val="231F20"/>
        </w:rPr>
        <w:t>процедур</w:t>
      </w:r>
      <w:r>
        <w:rPr>
          <w:color w:val="231F20"/>
          <w:spacing w:val="-5"/>
        </w:rPr>
        <w:t xml:space="preserve"> </w:t>
      </w:r>
      <w:r>
        <w:rPr>
          <w:color w:val="231F20"/>
        </w:rPr>
        <w:t xml:space="preserve">надання адміністративних </w:t>
      </w:r>
      <w:r>
        <w:rPr>
          <w:color w:val="231F20"/>
          <w:spacing w:val="-3"/>
        </w:rPr>
        <w:t xml:space="preserve">послуг, </w:t>
      </w:r>
      <w:r>
        <w:rPr>
          <w:color w:val="231F20"/>
        </w:rPr>
        <w:t>за якою залучення громадянина</w:t>
      </w:r>
      <w:r>
        <w:rPr>
          <w:color w:val="231F20"/>
          <w:spacing w:val="-23"/>
        </w:rPr>
        <w:t xml:space="preserve"> </w:t>
      </w:r>
      <w:r>
        <w:rPr>
          <w:color w:val="231F20"/>
        </w:rPr>
        <w:t>до</w:t>
      </w:r>
      <w:r>
        <w:rPr>
          <w:color w:val="231F20"/>
          <w:spacing w:val="-6"/>
        </w:rPr>
        <w:t xml:space="preserve"> </w:t>
      </w:r>
      <w:r>
        <w:rPr>
          <w:color w:val="231F20"/>
        </w:rPr>
        <w:t>проце- сів</w:t>
      </w:r>
      <w:r>
        <w:rPr>
          <w:color w:val="231F20"/>
          <w:spacing w:val="32"/>
        </w:rPr>
        <w:t xml:space="preserve"> </w:t>
      </w:r>
      <w:r>
        <w:rPr>
          <w:color w:val="231F20"/>
        </w:rPr>
        <w:t>міжвідомчих</w:t>
      </w:r>
      <w:r>
        <w:rPr>
          <w:color w:val="231F20"/>
          <w:spacing w:val="32"/>
        </w:rPr>
        <w:t xml:space="preserve"> </w:t>
      </w:r>
      <w:r>
        <w:rPr>
          <w:color w:val="231F20"/>
        </w:rPr>
        <w:t>погоджень,</w:t>
      </w:r>
      <w:r>
        <w:rPr>
          <w:color w:val="231F20"/>
          <w:spacing w:val="32"/>
        </w:rPr>
        <w:t xml:space="preserve"> </w:t>
      </w:r>
      <w:r>
        <w:rPr>
          <w:color w:val="231F20"/>
        </w:rPr>
        <w:t>збирання</w:t>
      </w:r>
      <w:r>
        <w:rPr>
          <w:color w:val="231F20"/>
          <w:spacing w:val="31"/>
        </w:rPr>
        <w:t xml:space="preserve"> </w:t>
      </w:r>
      <w:r>
        <w:rPr>
          <w:color w:val="231F20"/>
        </w:rPr>
        <w:t>факультативних</w:t>
      </w:r>
      <w:r>
        <w:rPr>
          <w:color w:val="231F20"/>
          <w:spacing w:val="32"/>
        </w:rPr>
        <w:t xml:space="preserve"> </w:t>
      </w:r>
      <w:r>
        <w:rPr>
          <w:color w:val="231F20"/>
        </w:rPr>
        <w:t>довідок</w:t>
      </w:r>
      <w:r>
        <w:rPr>
          <w:color w:val="231F20"/>
          <w:spacing w:val="31"/>
        </w:rPr>
        <w:t xml:space="preserve"> </w:t>
      </w:r>
      <w:r>
        <w:rPr>
          <w:color w:val="231F20"/>
        </w:rPr>
        <w:t>та</w:t>
      </w:r>
    </w:p>
    <w:p w14:paraId="469BC2CC" w14:textId="77777777" w:rsidR="00DE575E" w:rsidRDefault="002E7560">
      <w:pPr>
        <w:pStyle w:val="BodyText"/>
        <w:spacing w:before="8"/>
        <w:ind w:left="533"/>
      </w:pPr>
      <w:r>
        <w:rPr>
          <w:color w:val="231F20"/>
        </w:rPr>
        <w:t>інших супровідних документів має бути мінімальним.</w:t>
      </w:r>
    </w:p>
    <w:p w14:paraId="608CEE57" w14:textId="77777777" w:rsidR="00DE575E" w:rsidRDefault="002E7560">
      <w:pPr>
        <w:pStyle w:val="BodyText"/>
        <w:spacing w:before="13" w:line="252" w:lineRule="auto"/>
        <w:ind w:left="533" w:right="127" w:firstLine="283"/>
        <w:jc w:val="both"/>
      </w:pPr>
      <w:r>
        <w:rPr>
          <w:i/>
          <w:color w:val="231F20"/>
        </w:rPr>
        <w:t>Важливо відзначити</w:t>
      </w:r>
      <w:r>
        <w:rPr>
          <w:color w:val="231F20"/>
        </w:rPr>
        <w:t>, що ЦНАП самостійно не може визначати перелік</w:t>
      </w:r>
      <w:r>
        <w:rPr>
          <w:color w:val="231F20"/>
          <w:spacing w:val="-21"/>
        </w:rPr>
        <w:t xml:space="preserve"> </w:t>
      </w:r>
      <w:r>
        <w:rPr>
          <w:color w:val="231F20"/>
        </w:rPr>
        <w:t>адміністративних</w:t>
      </w:r>
      <w:r>
        <w:rPr>
          <w:color w:val="231F20"/>
          <w:spacing w:val="-21"/>
        </w:rPr>
        <w:t xml:space="preserve"> </w:t>
      </w:r>
      <w:r>
        <w:rPr>
          <w:color w:val="231F20"/>
          <w:spacing w:val="-3"/>
        </w:rPr>
        <w:t>послуг,</w:t>
      </w:r>
      <w:r>
        <w:rPr>
          <w:color w:val="231F20"/>
          <w:spacing w:val="-21"/>
        </w:rPr>
        <w:t xml:space="preserve"> </w:t>
      </w:r>
      <w:r>
        <w:rPr>
          <w:color w:val="231F20"/>
        </w:rPr>
        <w:t>які</w:t>
      </w:r>
      <w:r>
        <w:rPr>
          <w:color w:val="231F20"/>
          <w:spacing w:val="-21"/>
        </w:rPr>
        <w:t xml:space="preserve"> </w:t>
      </w:r>
      <w:r>
        <w:rPr>
          <w:color w:val="231F20"/>
        </w:rPr>
        <w:t>можуть</w:t>
      </w:r>
      <w:r>
        <w:rPr>
          <w:color w:val="231F20"/>
          <w:spacing w:val="-21"/>
        </w:rPr>
        <w:t xml:space="preserve"> </w:t>
      </w:r>
      <w:r>
        <w:rPr>
          <w:color w:val="231F20"/>
        </w:rPr>
        <w:t>надаватись</w:t>
      </w:r>
      <w:r>
        <w:rPr>
          <w:color w:val="231F20"/>
          <w:spacing w:val="-21"/>
        </w:rPr>
        <w:t xml:space="preserve"> </w:t>
      </w:r>
      <w:r>
        <w:rPr>
          <w:color w:val="231F20"/>
        </w:rPr>
        <w:t>через</w:t>
      </w:r>
      <w:r>
        <w:rPr>
          <w:color w:val="231F20"/>
          <w:spacing w:val="-21"/>
        </w:rPr>
        <w:t xml:space="preserve"> </w:t>
      </w:r>
      <w:r>
        <w:rPr>
          <w:color w:val="231F20"/>
        </w:rPr>
        <w:t>нього. Це право надано органу (посадовій особі), за рішенням якого ство- рюється та</w:t>
      </w:r>
      <w:r>
        <w:rPr>
          <w:color w:val="231F20"/>
        </w:rPr>
        <w:t xml:space="preserve">кий центр. Перелік адміністративних </w:t>
      </w:r>
      <w:r>
        <w:rPr>
          <w:color w:val="231F20"/>
          <w:spacing w:val="-3"/>
        </w:rPr>
        <w:t xml:space="preserve">послуг, </w:t>
      </w:r>
      <w:r>
        <w:rPr>
          <w:color w:val="231F20"/>
        </w:rPr>
        <w:t>які нада- ються</w:t>
      </w:r>
      <w:r>
        <w:rPr>
          <w:color w:val="231F20"/>
          <w:spacing w:val="20"/>
        </w:rPr>
        <w:t xml:space="preserve"> </w:t>
      </w:r>
      <w:r>
        <w:rPr>
          <w:color w:val="231F20"/>
        </w:rPr>
        <w:t>через</w:t>
      </w:r>
      <w:r>
        <w:rPr>
          <w:color w:val="231F20"/>
          <w:spacing w:val="20"/>
        </w:rPr>
        <w:t xml:space="preserve"> </w:t>
      </w:r>
      <w:r>
        <w:rPr>
          <w:color w:val="231F20"/>
        </w:rPr>
        <w:t>ЦНАП,</w:t>
      </w:r>
      <w:r>
        <w:rPr>
          <w:color w:val="231F20"/>
          <w:spacing w:val="20"/>
        </w:rPr>
        <w:t xml:space="preserve"> </w:t>
      </w:r>
      <w:r>
        <w:rPr>
          <w:color w:val="231F20"/>
        </w:rPr>
        <w:t>має</w:t>
      </w:r>
      <w:r>
        <w:rPr>
          <w:color w:val="231F20"/>
          <w:spacing w:val="20"/>
        </w:rPr>
        <w:t xml:space="preserve"> </w:t>
      </w:r>
      <w:r>
        <w:rPr>
          <w:color w:val="231F20"/>
        </w:rPr>
        <w:t>включати</w:t>
      </w:r>
      <w:r>
        <w:rPr>
          <w:color w:val="231F20"/>
          <w:spacing w:val="20"/>
        </w:rPr>
        <w:t xml:space="preserve"> </w:t>
      </w:r>
      <w:r>
        <w:rPr>
          <w:color w:val="231F20"/>
        </w:rPr>
        <w:t>адміністративні</w:t>
      </w:r>
      <w:r>
        <w:rPr>
          <w:color w:val="231F20"/>
          <w:spacing w:val="20"/>
        </w:rPr>
        <w:t xml:space="preserve"> </w:t>
      </w:r>
      <w:r>
        <w:rPr>
          <w:color w:val="231F20"/>
        </w:rPr>
        <w:t>послуги</w:t>
      </w:r>
      <w:r>
        <w:rPr>
          <w:color w:val="231F20"/>
          <w:spacing w:val="20"/>
        </w:rPr>
        <w:t xml:space="preserve"> </w:t>
      </w:r>
      <w:r>
        <w:rPr>
          <w:color w:val="231F20"/>
        </w:rPr>
        <w:t>органів</w:t>
      </w:r>
    </w:p>
    <w:p w14:paraId="19A05E78" w14:textId="2F2F33CF" w:rsidR="00DE575E" w:rsidRDefault="002E7560">
      <w:pPr>
        <w:pStyle w:val="BodyText"/>
        <w:spacing w:before="5"/>
        <w:rPr>
          <w:sz w:val="24"/>
        </w:rPr>
      </w:pPr>
      <w:r>
        <w:rPr>
          <w:noProof/>
        </w:rPr>
        <mc:AlternateContent>
          <mc:Choice Requires="wps">
            <w:drawing>
              <wp:anchor distT="0" distB="0" distL="0" distR="0" simplePos="0" relativeHeight="7792" behindDoc="0" locked="0" layoutInCell="1" allowOverlap="1" wp14:anchorId="6B3F97B4" wp14:editId="3EBE8CE0">
                <wp:simplePos x="0" y="0"/>
                <wp:positionH relativeFrom="page">
                  <wp:posOffset>719455</wp:posOffset>
                </wp:positionH>
                <wp:positionV relativeFrom="paragraph">
                  <wp:posOffset>209550</wp:posOffset>
                </wp:positionV>
                <wp:extent cx="1080135" cy="0"/>
                <wp:effectExtent l="8255" t="19050" r="29210" b="19050"/>
                <wp:wrapTopAndBottom/>
                <wp:docPr id="934"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E7E9" id="Line_x0020_933" o:spid="_x0000_s1026" style="position:absolute;z-index: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5pt" to="141.7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" strokecolor="#231f20" strokeweight=".5pt">
                <w10:wrap type="topAndBottom" anchorx="page"/>
              </v:line>
            </w:pict>
          </mc:Fallback>
        </mc:AlternateContent>
      </w:r>
    </w:p>
    <w:p w14:paraId="3854D36C" w14:textId="77777777" w:rsidR="00DE575E" w:rsidRDefault="002E7560">
      <w:pPr>
        <w:spacing w:line="162" w:lineRule="exact"/>
        <w:ind w:left="533"/>
        <w:rPr>
          <w:sz w:val="16"/>
        </w:rPr>
      </w:pPr>
      <w:r>
        <w:rPr>
          <w:color w:val="231F20"/>
          <w:position w:val="5"/>
          <w:sz w:val="9"/>
        </w:rPr>
        <w:t xml:space="preserve">1 </w:t>
      </w:r>
      <w:r>
        <w:rPr>
          <w:color w:val="231F20"/>
          <w:sz w:val="16"/>
        </w:rPr>
        <w:t>Закон від 6.09.2012 р. № 520.</w:t>
      </w:r>
    </w:p>
    <w:p w14:paraId="293FA80F" w14:textId="77777777" w:rsidR="00DE575E" w:rsidRDefault="00DE575E">
      <w:pPr>
        <w:pStyle w:val="BodyText"/>
        <w:spacing w:before="10"/>
        <w:rPr>
          <w:sz w:val="11"/>
        </w:rPr>
      </w:pPr>
    </w:p>
    <w:p w14:paraId="0A1F086A" w14:textId="77777777" w:rsidR="00DE575E" w:rsidRDefault="002E7560">
      <w:pPr>
        <w:spacing w:before="92"/>
        <w:ind w:left="533"/>
        <w:rPr>
          <w:rFonts w:ascii="Times New Roman"/>
          <w:sz w:val="20"/>
        </w:rPr>
      </w:pPr>
      <w:r>
        <w:rPr>
          <w:rFonts w:ascii="Times New Roman"/>
          <w:color w:val="231F20"/>
          <w:sz w:val="20"/>
        </w:rPr>
        <w:t>192</w:t>
      </w:r>
    </w:p>
    <w:p w14:paraId="6392907D" w14:textId="77777777" w:rsidR="00DE575E" w:rsidRDefault="00DE575E">
      <w:pPr>
        <w:rPr>
          <w:rFonts w:ascii="Times New Roman"/>
          <w:sz w:val="20"/>
        </w:rPr>
        <w:sectPr w:rsidR="00DE575E">
          <w:pgSz w:w="8510" w:h="12760"/>
          <w:pgMar w:top="660" w:right="720" w:bottom="280" w:left="600" w:header="720" w:footer="720" w:gutter="0"/>
          <w:cols w:space="720"/>
        </w:sectPr>
      </w:pPr>
    </w:p>
    <w:p w14:paraId="08BDFE47"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7BD0AEB9" w14:textId="7A63A8E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1ABD259" wp14:editId="1FB83F5D">
                <wp:extent cx="4140200" cy="6350"/>
                <wp:effectExtent l="0" t="0" r="12700" b="6350"/>
                <wp:docPr id="93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33" name="Line 93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EBCDF" id="Group_x0020_93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CsClIfQIAAJgFAAAOAAAA&#10;AAAAAAAAAAAAACwCAABkcnMvZTJvRG9jLnhtbFBLAQItABQABgAIAAAAIQBMp7CQ2QAAAAMBAAAP&#10;AAAAAAAAAAAAAAAAANUEAABkcnMvZG93bnJldi54bWxQSwUGAAAAAAQABADzAAAA2wUAAAAA&#10;">
                <v:line id="Line_x0020_93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REjMYAAADcAAAADwAAAGRycy9kb3ducmV2LnhtbESP3WrCQBSE7wt9h+UUelN0owGx0VVE&#10;EKQX/qUPcMyeJqG7Z2N2NWmf3hUKvRxm5htmvuytETdqfe1YwWiYgCAunK65VPCZbwZTED4gazSO&#10;ScEPeVgunp/mmGnX8ZFup1CKCGGfoYIqhCaT0hcVWfRD1xBH78u1FkOUbSl1i12EWyPHSTKRFmuO&#10;CxU2tK6o+D5drYL88hbMYf9hunx/TuX5skt/rzulXl/61QxEoD78h//aW63gPU3hcS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kRIzGAAAA3AAAAA8AAAAAAAAA&#10;AAAAAAAAoQIAAGRycy9kb3ducmV2LnhtbFBLBQYAAAAABAAEAPkAAACUAwAAAAA=&#10;" strokecolor="#231f20" strokeweight=".5pt"/>
                <w10:anchorlock/>
              </v:group>
            </w:pict>
          </mc:Fallback>
        </mc:AlternateContent>
      </w:r>
    </w:p>
    <w:p w14:paraId="0FCBF39C" w14:textId="77777777" w:rsidR="00DE575E" w:rsidRDefault="00DE575E">
      <w:pPr>
        <w:pStyle w:val="BodyText"/>
        <w:spacing w:before="7"/>
        <w:rPr>
          <w:rFonts w:ascii="AdonisC"/>
          <w:i/>
          <w:sz w:val="19"/>
        </w:rPr>
      </w:pPr>
    </w:p>
    <w:p w14:paraId="1E4D59A7" w14:textId="77777777" w:rsidR="00DE575E" w:rsidRDefault="002E7560">
      <w:pPr>
        <w:pStyle w:val="BodyText"/>
        <w:spacing w:before="1" w:line="252" w:lineRule="auto"/>
        <w:ind w:left="250" w:right="411"/>
        <w:jc w:val="both"/>
      </w:pPr>
      <w:r>
        <w:rPr>
          <w:color w:val="231F20"/>
        </w:rPr>
        <w:t>виконавчої</w:t>
      </w:r>
      <w:r>
        <w:rPr>
          <w:color w:val="231F20"/>
          <w:spacing w:val="-11"/>
        </w:rPr>
        <w:t xml:space="preserve"> </w:t>
      </w:r>
      <w:r>
        <w:rPr>
          <w:color w:val="231F20"/>
        </w:rPr>
        <w:t>влади,</w:t>
      </w:r>
      <w:r>
        <w:rPr>
          <w:color w:val="231F20"/>
          <w:spacing w:val="-11"/>
        </w:rPr>
        <w:t xml:space="preserve"> </w:t>
      </w:r>
      <w:r>
        <w:rPr>
          <w:color w:val="231F20"/>
        </w:rPr>
        <w:t>перелік</w:t>
      </w:r>
      <w:r>
        <w:rPr>
          <w:color w:val="231F20"/>
          <w:spacing w:val="-11"/>
        </w:rPr>
        <w:t xml:space="preserve"> </w:t>
      </w:r>
      <w:r>
        <w:rPr>
          <w:color w:val="231F20"/>
        </w:rPr>
        <w:t>яких</w:t>
      </w:r>
      <w:r>
        <w:rPr>
          <w:color w:val="231F20"/>
          <w:spacing w:val="-11"/>
        </w:rPr>
        <w:t xml:space="preserve"> </w:t>
      </w:r>
      <w:r>
        <w:rPr>
          <w:color w:val="231F20"/>
        </w:rPr>
        <w:t>затверджується</w:t>
      </w:r>
      <w:r>
        <w:rPr>
          <w:color w:val="231F20"/>
          <w:spacing w:val="-11"/>
        </w:rPr>
        <w:t xml:space="preserve"> </w:t>
      </w:r>
      <w:r>
        <w:rPr>
          <w:color w:val="231F20"/>
        </w:rPr>
        <w:t>Кабінетом</w:t>
      </w:r>
      <w:r>
        <w:rPr>
          <w:color w:val="231F20"/>
          <w:spacing w:val="-11"/>
        </w:rPr>
        <w:t xml:space="preserve"> </w:t>
      </w:r>
      <w:r>
        <w:rPr>
          <w:color w:val="231F20"/>
        </w:rPr>
        <w:t xml:space="preserve">Міністрів </w:t>
      </w:r>
      <w:r>
        <w:rPr>
          <w:color w:val="231F20"/>
          <w:spacing w:val="-3"/>
        </w:rPr>
        <w:t xml:space="preserve">України. </w:t>
      </w:r>
      <w:r>
        <w:rPr>
          <w:color w:val="231F20"/>
        </w:rPr>
        <w:t xml:space="preserve">На основі узгоджених рішень із </w:t>
      </w:r>
      <w:r>
        <w:rPr>
          <w:color w:val="231F20"/>
          <w:spacing w:val="-3"/>
        </w:rPr>
        <w:t xml:space="preserve">суб’єктами </w:t>
      </w:r>
      <w:r>
        <w:rPr>
          <w:color w:val="231F20"/>
        </w:rPr>
        <w:t xml:space="preserve">надання адмі- ністративних послуг через ЦНАП також можуть надаватися інші адміністративні послуги </w:t>
      </w:r>
      <w:r>
        <w:rPr>
          <w:color w:val="231F20"/>
          <w:spacing w:val="-5"/>
        </w:rPr>
        <w:t xml:space="preserve">(ст. </w:t>
      </w:r>
      <w:r>
        <w:rPr>
          <w:color w:val="231F20"/>
        </w:rPr>
        <w:t>12</w:t>
      </w:r>
      <w:r>
        <w:rPr>
          <w:color w:val="231F20"/>
          <w:spacing w:val="-2"/>
        </w:rPr>
        <w:t xml:space="preserve"> </w:t>
      </w:r>
      <w:r>
        <w:rPr>
          <w:color w:val="231F20"/>
        </w:rPr>
        <w:t>Закону).</w:t>
      </w:r>
    </w:p>
    <w:p w14:paraId="18751511" w14:textId="77777777" w:rsidR="00DE575E" w:rsidRDefault="002E7560">
      <w:pPr>
        <w:pStyle w:val="Heading6"/>
        <w:spacing w:before="2" w:line="252" w:lineRule="auto"/>
        <w:ind w:left="250" w:right="412"/>
        <w:jc w:val="both"/>
      </w:pPr>
      <w:r>
        <w:rPr>
          <w:color w:val="231F20"/>
        </w:rPr>
        <w:t>Згідно</w:t>
      </w:r>
      <w:r>
        <w:rPr>
          <w:color w:val="231F20"/>
          <w:spacing w:val="-11"/>
        </w:rPr>
        <w:t xml:space="preserve"> </w:t>
      </w:r>
      <w:r>
        <w:rPr>
          <w:color w:val="231F20"/>
        </w:rPr>
        <w:t>з</w:t>
      </w:r>
      <w:r>
        <w:rPr>
          <w:color w:val="231F20"/>
          <w:spacing w:val="-11"/>
        </w:rPr>
        <w:t xml:space="preserve"> </w:t>
      </w:r>
      <w:r>
        <w:rPr>
          <w:color w:val="231F20"/>
        </w:rPr>
        <w:t>положеннями</w:t>
      </w:r>
      <w:r>
        <w:rPr>
          <w:color w:val="231F20"/>
          <w:spacing w:val="-10"/>
        </w:rPr>
        <w:t xml:space="preserve"> </w:t>
      </w:r>
      <w:r>
        <w:rPr>
          <w:color w:val="231F20"/>
        </w:rPr>
        <w:t>про</w:t>
      </w:r>
      <w:r>
        <w:rPr>
          <w:color w:val="231F20"/>
          <w:spacing w:val="-11"/>
        </w:rPr>
        <w:t xml:space="preserve"> </w:t>
      </w:r>
      <w:r>
        <w:rPr>
          <w:color w:val="231F20"/>
        </w:rPr>
        <w:t>центр</w:t>
      </w:r>
      <w:r>
        <w:rPr>
          <w:color w:val="231F20"/>
          <w:spacing w:val="-11"/>
        </w:rPr>
        <w:t xml:space="preserve"> </w:t>
      </w:r>
      <w:r>
        <w:rPr>
          <w:color w:val="231F20"/>
        </w:rPr>
        <w:t>надання</w:t>
      </w:r>
      <w:r>
        <w:rPr>
          <w:color w:val="231F20"/>
          <w:spacing w:val="-11"/>
        </w:rPr>
        <w:t xml:space="preserve"> </w:t>
      </w:r>
      <w:r>
        <w:rPr>
          <w:color w:val="231F20"/>
        </w:rPr>
        <w:t xml:space="preserve">адміністративних </w:t>
      </w:r>
      <w:r>
        <w:rPr>
          <w:color w:val="231F20"/>
        </w:rPr>
        <w:t>послуг метою створення ЦНАП</w:t>
      </w:r>
      <w:r>
        <w:rPr>
          <w:color w:val="231F20"/>
          <w:spacing w:val="-4"/>
        </w:rPr>
        <w:t xml:space="preserve"> </w:t>
      </w:r>
      <w:r>
        <w:rPr>
          <w:color w:val="231F20"/>
        </w:rPr>
        <w:t>є:</w:t>
      </w:r>
    </w:p>
    <w:p w14:paraId="5EB5E5E5" w14:textId="77777777" w:rsidR="00DE575E" w:rsidRDefault="002E7560">
      <w:pPr>
        <w:pStyle w:val="ListParagraph"/>
        <w:numPr>
          <w:ilvl w:val="0"/>
          <w:numId w:val="254"/>
        </w:numPr>
        <w:tabs>
          <w:tab w:val="left" w:pos="818"/>
        </w:tabs>
        <w:ind w:firstLine="283"/>
        <w:jc w:val="left"/>
        <w:rPr>
          <w:sz w:val="21"/>
        </w:rPr>
      </w:pPr>
      <w:r>
        <w:rPr>
          <w:color w:val="231F20"/>
          <w:sz w:val="21"/>
        </w:rPr>
        <w:t>забезпечення надання адміністративних</w:t>
      </w:r>
      <w:r>
        <w:rPr>
          <w:color w:val="231F20"/>
          <w:spacing w:val="-3"/>
          <w:sz w:val="21"/>
        </w:rPr>
        <w:t xml:space="preserve"> </w:t>
      </w:r>
      <w:r>
        <w:rPr>
          <w:color w:val="231F20"/>
          <w:sz w:val="21"/>
        </w:rPr>
        <w:t>послуг;</w:t>
      </w:r>
    </w:p>
    <w:p w14:paraId="03416F4B" w14:textId="77777777" w:rsidR="00DE575E" w:rsidRDefault="002E7560">
      <w:pPr>
        <w:pStyle w:val="ListParagraph"/>
        <w:numPr>
          <w:ilvl w:val="0"/>
          <w:numId w:val="254"/>
        </w:numPr>
        <w:tabs>
          <w:tab w:val="left" w:pos="818"/>
        </w:tabs>
        <w:spacing w:before="12" w:line="252" w:lineRule="auto"/>
        <w:ind w:right="412" w:firstLine="283"/>
        <w:rPr>
          <w:sz w:val="21"/>
        </w:rPr>
      </w:pPr>
      <w:r>
        <w:rPr>
          <w:color w:val="231F20"/>
          <w:sz w:val="21"/>
        </w:rPr>
        <w:t>організа</w:t>
      </w:r>
      <w:r>
        <w:rPr>
          <w:color w:val="231F20"/>
          <w:sz w:val="21"/>
        </w:rPr>
        <w:t xml:space="preserve">ція надання адміністративних послуг у найкоротший строк і за мінімальної кількості відвідувань </w:t>
      </w:r>
      <w:r>
        <w:rPr>
          <w:color w:val="231F20"/>
          <w:spacing w:val="-3"/>
          <w:sz w:val="21"/>
        </w:rPr>
        <w:t>суб’єктами</w:t>
      </w:r>
      <w:r>
        <w:rPr>
          <w:color w:val="231F20"/>
          <w:spacing w:val="-7"/>
          <w:sz w:val="21"/>
        </w:rPr>
        <w:t xml:space="preserve"> </w:t>
      </w:r>
      <w:r>
        <w:rPr>
          <w:color w:val="231F20"/>
          <w:sz w:val="21"/>
        </w:rPr>
        <w:t>звернень;</w:t>
      </w:r>
    </w:p>
    <w:p w14:paraId="00572F58" w14:textId="77777777" w:rsidR="00DE575E" w:rsidRDefault="002E7560">
      <w:pPr>
        <w:pStyle w:val="ListParagraph"/>
        <w:numPr>
          <w:ilvl w:val="0"/>
          <w:numId w:val="254"/>
        </w:numPr>
        <w:tabs>
          <w:tab w:val="left" w:pos="818"/>
        </w:tabs>
        <w:spacing w:line="252" w:lineRule="auto"/>
        <w:ind w:right="413" w:firstLine="283"/>
        <w:rPr>
          <w:sz w:val="21"/>
        </w:rPr>
      </w:pPr>
      <w:r>
        <w:rPr>
          <w:color w:val="231F20"/>
          <w:sz w:val="21"/>
        </w:rPr>
        <w:t>спрощення процедури  отримання  адміністративних  послуг  і поліпшення якості їх</w:t>
      </w:r>
      <w:r>
        <w:rPr>
          <w:color w:val="231F20"/>
          <w:spacing w:val="-2"/>
          <w:sz w:val="21"/>
        </w:rPr>
        <w:t xml:space="preserve"> </w:t>
      </w:r>
      <w:r>
        <w:rPr>
          <w:color w:val="231F20"/>
          <w:sz w:val="21"/>
        </w:rPr>
        <w:t>надання;</w:t>
      </w:r>
    </w:p>
    <w:p w14:paraId="2BC0050F"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 xml:space="preserve">забезпечення інформування </w:t>
      </w:r>
      <w:r>
        <w:rPr>
          <w:color w:val="231F20"/>
          <w:spacing w:val="-3"/>
          <w:sz w:val="21"/>
        </w:rPr>
        <w:t xml:space="preserve">суб’єктів </w:t>
      </w:r>
      <w:r>
        <w:rPr>
          <w:color w:val="231F20"/>
          <w:sz w:val="21"/>
        </w:rPr>
        <w:t xml:space="preserve">звернень  про </w:t>
      </w:r>
      <w:r>
        <w:rPr>
          <w:color w:val="231F20"/>
          <w:sz w:val="21"/>
        </w:rPr>
        <w:t xml:space="preserve"> вимоги та порядок надання адміністративних </w:t>
      </w:r>
      <w:r>
        <w:rPr>
          <w:color w:val="231F20"/>
          <w:spacing w:val="-3"/>
          <w:sz w:val="21"/>
        </w:rPr>
        <w:t xml:space="preserve">послуг, </w:t>
      </w:r>
      <w:r>
        <w:rPr>
          <w:color w:val="231F20"/>
          <w:sz w:val="21"/>
        </w:rPr>
        <w:t>що надаються через адміністратора</w:t>
      </w:r>
      <w:r>
        <w:rPr>
          <w:color w:val="231F20"/>
          <w:position w:val="7"/>
          <w:sz w:val="12"/>
        </w:rPr>
        <w:t>1</w:t>
      </w:r>
      <w:r>
        <w:rPr>
          <w:color w:val="231F20"/>
          <w:sz w:val="21"/>
        </w:rPr>
        <w:t>.</w:t>
      </w:r>
    </w:p>
    <w:p w14:paraId="008EE2DE" w14:textId="77777777" w:rsidR="00DE575E" w:rsidRDefault="00DE575E">
      <w:pPr>
        <w:pStyle w:val="BodyText"/>
        <w:spacing w:before="2"/>
        <w:rPr>
          <w:sz w:val="22"/>
        </w:rPr>
      </w:pPr>
    </w:p>
    <w:p w14:paraId="04A220BD" w14:textId="77777777" w:rsidR="00DE575E" w:rsidRDefault="002E7560">
      <w:pPr>
        <w:pStyle w:val="Heading5"/>
        <w:numPr>
          <w:ilvl w:val="2"/>
          <w:numId w:val="220"/>
        </w:numPr>
        <w:tabs>
          <w:tab w:val="left" w:pos="1099"/>
        </w:tabs>
      </w:pPr>
      <w:r>
        <w:rPr>
          <w:color w:val="231F20"/>
        </w:rPr>
        <w:t>Адміністратори</w:t>
      </w:r>
    </w:p>
    <w:p w14:paraId="5ACEAE14" w14:textId="77777777" w:rsidR="00DE575E" w:rsidRDefault="00DE575E">
      <w:pPr>
        <w:pStyle w:val="BodyText"/>
        <w:spacing w:before="2"/>
        <w:rPr>
          <w:b/>
          <w:sz w:val="23"/>
        </w:rPr>
      </w:pPr>
    </w:p>
    <w:p w14:paraId="45F91C2D" w14:textId="77777777" w:rsidR="00DE575E" w:rsidRDefault="002E7560">
      <w:pPr>
        <w:spacing w:line="252" w:lineRule="auto"/>
        <w:ind w:left="250" w:right="410" w:firstLine="283"/>
        <w:jc w:val="both"/>
        <w:rPr>
          <w:sz w:val="21"/>
        </w:rPr>
      </w:pPr>
      <w:r>
        <w:rPr>
          <w:color w:val="231F20"/>
          <w:sz w:val="21"/>
        </w:rPr>
        <w:t xml:space="preserve">Відповідно до </w:t>
      </w:r>
      <w:r>
        <w:rPr>
          <w:color w:val="231F20"/>
          <w:spacing w:val="-6"/>
          <w:sz w:val="21"/>
        </w:rPr>
        <w:t xml:space="preserve">ст. </w:t>
      </w:r>
      <w:r>
        <w:rPr>
          <w:color w:val="231F20"/>
          <w:sz w:val="21"/>
        </w:rPr>
        <w:t xml:space="preserve">13 Закону «Про адміністративні послуги» </w:t>
      </w:r>
      <w:r>
        <w:rPr>
          <w:color w:val="231F20"/>
          <w:spacing w:val="-4"/>
          <w:sz w:val="21"/>
        </w:rPr>
        <w:t>суб’єкт</w:t>
      </w:r>
      <w:r>
        <w:rPr>
          <w:color w:val="231F20"/>
          <w:spacing w:val="-9"/>
          <w:sz w:val="21"/>
        </w:rPr>
        <w:t xml:space="preserve"> </w:t>
      </w:r>
      <w:r>
        <w:rPr>
          <w:color w:val="231F20"/>
          <w:sz w:val="21"/>
        </w:rPr>
        <w:t>звернення</w:t>
      </w:r>
      <w:r>
        <w:rPr>
          <w:color w:val="231F20"/>
          <w:spacing w:val="-9"/>
          <w:sz w:val="21"/>
        </w:rPr>
        <w:t xml:space="preserve"> </w:t>
      </w:r>
      <w:r>
        <w:rPr>
          <w:color w:val="231F20"/>
          <w:sz w:val="21"/>
        </w:rPr>
        <w:t>для</w:t>
      </w:r>
      <w:r>
        <w:rPr>
          <w:color w:val="231F20"/>
          <w:spacing w:val="-9"/>
          <w:sz w:val="21"/>
        </w:rPr>
        <w:t xml:space="preserve"> </w:t>
      </w:r>
      <w:r>
        <w:rPr>
          <w:color w:val="231F20"/>
          <w:sz w:val="21"/>
        </w:rPr>
        <w:t>отримання</w:t>
      </w:r>
      <w:r>
        <w:rPr>
          <w:color w:val="231F20"/>
          <w:spacing w:val="-9"/>
          <w:sz w:val="21"/>
        </w:rPr>
        <w:t xml:space="preserve"> </w:t>
      </w:r>
      <w:r>
        <w:rPr>
          <w:color w:val="231F20"/>
          <w:sz w:val="21"/>
        </w:rPr>
        <w:t>адміністративної</w:t>
      </w:r>
      <w:r>
        <w:rPr>
          <w:color w:val="231F20"/>
          <w:spacing w:val="-9"/>
          <w:sz w:val="21"/>
        </w:rPr>
        <w:t xml:space="preserve"> </w:t>
      </w:r>
      <w:r>
        <w:rPr>
          <w:color w:val="231F20"/>
          <w:sz w:val="21"/>
        </w:rPr>
        <w:t>послуги</w:t>
      </w:r>
      <w:r>
        <w:rPr>
          <w:color w:val="231F20"/>
          <w:spacing w:val="-9"/>
          <w:sz w:val="21"/>
        </w:rPr>
        <w:t xml:space="preserve"> </w:t>
      </w:r>
      <w:r>
        <w:rPr>
          <w:color w:val="231F20"/>
          <w:sz w:val="21"/>
        </w:rPr>
        <w:t>в</w:t>
      </w:r>
      <w:r>
        <w:rPr>
          <w:color w:val="231F20"/>
          <w:spacing w:val="-7"/>
          <w:sz w:val="21"/>
        </w:rPr>
        <w:t xml:space="preserve"> </w:t>
      </w:r>
      <w:r>
        <w:rPr>
          <w:color w:val="231F20"/>
          <w:sz w:val="21"/>
        </w:rPr>
        <w:t xml:space="preserve">центрі надання адміністративних послуг звертається до </w:t>
      </w:r>
      <w:r>
        <w:rPr>
          <w:i/>
          <w:color w:val="231F20"/>
          <w:sz w:val="21"/>
        </w:rPr>
        <w:t xml:space="preserve">адміністратора – посадової особи органу, що утворив центр надання адміністратив- них послуг, яка організовує надання адміністративних послуг через узаємодію з </w:t>
      </w:r>
      <w:r>
        <w:rPr>
          <w:i/>
          <w:color w:val="231F20"/>
          <w:spacing w:val="-3"/>
          <w:sz w:val="21"/>
        </w:rPr>
        <w:t xml:space="preserve">суб’єктами </w:t>
      </w:r>
      <w:r>
        <w:rPr>
          <w:i/>
          <w:color w:val="231F20"/>
          <w:sz w:val="21"/>
        </w:rPr>
        <w:t>надання адміністративних послуг.</w:t>
      </w:r>
      <w:r>
        <w:rPr>
          <w:i/>
          <w:color w:val="231F20"/>
          <w:sz w:val="21"/>
        </w:rPr>
        <w:t xml:space="preserve"> </w:t>
      </w:r>
      <w:r>
        <w:rPr>
          <w:color w:val="231F20"/>
          <w:spacing w:val="-5"/>
          <w:sz w:val="21"/>
        </w:rPr>
        <w:t>Така</w:t>
      </w:r>
      <w:r>
        <w:rPr>
          <w:color w:val="231F20"/>
          <w:spacing w:val="-34"/>
          <w:sz w:val="21"/>
        </w:rPr>
        <w:t xml:space="preserve"> </w:t>
      </w:r>
      <w:r>
        <w:rPr>
          <w:color w:val="231F20"/>
          <w:sz w:val="21"/>
        </w:rPr>
        <w:t xml:space="preserve">поса- дова особа відповідає за організацію надання певної адміністратив- ної послуги </w:t>
      </w:r>
      <w:r>
        <w:rPr>
          <w:color w:val="231F20"/>
          <w:spacing w:val="-3"/>
          <w:sz w:val="21"/>
        </w:rPr>
        <w:t xml:space="preserve">суб’єкту </w:t>
      </w:r>
      <w:r>
        <w:rPr>
          <w:color w:val="231F20"/>
          <w:sz w:val="21"/>
        </w:rPr>
        <w:t>звернення, наділена публічними обов’язками та відповідними адміністративними правами при маючи при цьому відповідні</w:t>
      </w:r>
      <w:r>
        <w:rPr>
          <w:color w:val="231F20"/>
          <w:spacing w:val="-1"/>
          <w:sz w:val="21"/>
        </w:rPr>
        <w:t xml:space="preserve"> </w:t>
      </w:r>
      <w:r>
        <w:rPr>
          <w:color w:val="231F20"/>
          <w:sz w:val="21"/>
        </w:rPr>
        <w:t>завдання.</w:t>
      </w:r>
    </w:p>
    <w:p w14:paraId="00BABBF3" w14:textId="77777777" w:rsidR="00DE575E" w:rsidRDefault="002E7560">
      <w:pPr>
        <w:pStyle w:val="Heading6"/>
        <w:spacing w:before="5"/>
        <w:ind w:firstLine="0"/>
      </w:pPr>
      <w:r>
        <w:rPr>
          <w:color w:val="231F20"/>
        </w:rPr>
        <w:t>Основні завдання адміністратор</w:t>
      </w:r>
      <w:r>
        <w:rPr>
          <w:color w:val="231F20"/>
        </w:rPr>
        <w:t>а:</w:t>
      </w:r>
    </w:p>
    <w:p w14:paraId="16C90557" w14:textId="77777777" w:rsidR="00DE575E" w:rsidRDefault="002E7560">
      <w:pPr>
        <w:pStyle w:val="ListParagraph"/>
        <w:numPr>
          <w:ilvl w:val="0"/>
          <w:numId w:val="254"/>
        </w:numPr>
        <w:tabs>
          <w:tab w:val="left" w:pos="818"/>
        </w:tabs>
        <w:spacing w:before="13" w:line="252" w:lineRule="auto"/>
        <w:ind w:right="411" w:firstLine="283"/>
        <w:rPr>
          <w:sz w:val="21"/>
        </w:rPr>
      </w:pPr>
      <w:r>
        <w:rPr>
          <w:color w:val="231F20"/>
          <w:sz w:val="21"/>
        </w:rPr>
        <w:t xml:space="preserve">надання </w:t>
      </w:r>
      <w:r>
        <w:rPr>
          <w:color w:val="231F20"/>
          <w:spacing w:val="-3"/>
          <w:sz w:val="21"/>
        </w:rPr>
        <w:t xml:space="preserve">суб’єктам </w:t>
      </w:r>
      <w:r>
        <w:rPr>
          <w:color w:val="231F20"/>
          <w:sz w:val="21"/>
        </w:rPr>
        <w:t>звернень вичерпної інформації та консуль- тацій щодо вимог і порядку надання адміністративних</w:t>
      </w:r>
      <w:r>
        <w:rPr>
          <w:color w:val="231F20"/>
          <w:spacing w:val="-14"/>
          <w:sz w:val="21"/>
        </w:rPr>
        <w:t xml:space="preserve"> </w:t>
      </w:r>
      <w:r>
        <w:rPr>
          <w:color w:val="231F20"/>
          <w:sz w:val="21"/>
        </w:rPr>
        <w:t>послуг;</w:t>
      </w:r>
    </w:p>
    <w:p w14:paraId="38DE8697"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 xml:space="preserve">отримання від </w:t>
      </w:r>
      <w:r>
        <w:rPr>
          <w:color w:val="231F20"/>
          <w:spacing w:val="-3"/>
          <w:sz w:val="21"/>
        </w:rPr>
        <w:t xml:space="preserve">суб’єктів </w:t>
      </w:r>
      <w:r>
        <w:rPr>
          <w:color w:val="231F20"/>
          <w:sz w:val="21"/>
        </w:rPr>
        <w:t xml:space="preserve">звернень документів, потрібних для надання адміністративних </w:t>
      </w:r>
      <w:r>
        <w:rPr>
          <w:color w:val="231F20"/>
          <w:spacing w:val="-3"/>
          <w:sz w:val="21"/>
        </w:rPr>
        <w:t xml:space="preserve">послуг, </w:t>
      </w:r>
      <w:r>
        <w:rPr>
          <w:color w:val="231F20"/>
          <w:sz w:val="21"/>
        </w:rPr>
        <w:t xml:space="preserve">їх реєстрація та подання доку- ментів (їх копій) відповідним </w:t>
      </w:r>
      <w:r>
        <w:rPr>
          <w:color w:val="231F20"/>
          <w:spacing w:val="-3"/>
          <w:sz w:val="21"/>
        </w:rPr>
        <w:t xml:space="preserve">суб’єктам </w:t>
      </w:r>
      <w:r>
        <w:rPr>
          <w:color w:val="231F20"/>
          <w:sz w:val="21"/>
        </w:rPr>
        <w:t>надання адміністративних послуг не пізніше наступного робочого дня після їх</w:t>
      </w:r>
      <w:r>
        <w:rPr>
          <w:color w:val="231F20"/>
          <w:spacing w:val="-12"/>
          <w:sz w:val="21"/>
        </w:rPr>
        <w:t xml:space="preserve"> </w:t>
      </w:r>
      <w:r>
        <w:rPr>
          <w:color w:val="231F20"/>
          <w:sz w:val="21"/>
        </w:rPr>
        <w:t>отримання;</w:t>
      </w:r>
    </w:p>
    <w:p w14:paraId="4BDE25BC" w14:textId="77777777" w:rsidR="00DE575E" w:rsidRDefault="002E7560">
      <w:pPr>
        <w:pStyle w:val="ListParagraph"/>
        <w:numPr>
          <w:ilvl w:val="0"/>
          <w:numId w:val="254"/>
        </w:numPr>
        <w:tabs>
          <w:tab w:val="left" w:pos="818"/>
        </w:tabs>
        <w:spacing w:before="2" w:line="252" w:lineRule="auto"/>
        <w:ind w:right="411" w:firstLine="283"/>
        <w:rPr>
          <w:sz w:val="21"/>
        </w:rPr>
      </w:pPr>
      <w:r>
        <w:rPr>
          <w:color w:val="231F20"/>
          <w:spacing w:val="-3"/>
          <w:sz w:val="21"/>
        </w:rPr>
        <w:t xml:space="preserve">видання </w:t>
      </w:r>
      <w:r>
        <w:rPr>
          <w:color w:val="231F20"/>
          <w:sz w:val="21"/>
        </w:rPr>
        <w:t xml:space="preserve">або </w:t>
      </w:r>
      <w:r>
        <w:rPr>
          <w:color w:val="231F20"/>
          <w:spacing w:val="-3"/>
          <w:sz w:val="21"/>
        </w:rPr>
        <w:t xml:space="preserve">забезпечення направлення </w:t>
      </w:r>
      <w:r>
        <w:rPr>
          <w:color w:val="231F20"/>
          <w:sz w:val="21"/>
        </w:rPr>
        <w:t xml:space="preserve">через </w:t>
      </w:r>
      <w:r>
        <w:rPr>
          <w:color w:val="231F20"/>
          <w:spacing w:val="-3"/>
          <w:sz w:val="21"/>
        </w:rPr>
        <w:t xml:space="preserve">засоби пошто- </w:t>
      </w:r>
      <w:r>
        <w:rPr>
          <w:color w:val="231F20"/>
          <w:sz w:val="21"/>
        </w:rPr>
        <w:t xml:space="preserve">вого </w:t>
      </w:r>
      <w:r>
        <w:rPr>
          <w:color w:val="231F20"/>
          <w:spacing w:val="-3"/>
          <w:sz w:val="21"/>
        </w:rPr>
        <w:t xml:space="preserve">зв’язку </w:t>
      </w:r>
      <w:r>
        <w:rPr>
          <w:color w:val="231F20"/>
          <w:spacing w:val="-5"/>
          <w:sz w:val="21"/>
        </w:rPr>
        <w:t xml:space="preserve">суб’єктам </w:t>
      </w:r>
      <w:r>
        <w:rPr>
          <w:color w:val="231F20"/>
          <w:spacing w:val="-3"/>
          <w:sz w:val="21"/>
        </w:rPr>
        <w:t xml:space="preserve">звернень </w:t>
      </w:r>
      <w:r>
        <w:rPr>
          <w:color w:val="231F20"/>
          <w:spacing w:val="-5"/>
          <w:sz w:val="21"/>
        </w:rPr>
        <w:t>результат</w:t>
      </w:r>
      <w:r>
        <w:rPr>
          <w:color w:val="231F20"/>
          <w:spacing w:val="-5"/>
          <w:sz w:val="21"/>
        </w:rPr>
        <w:t xml:space="preserve">ів </w:t>
      </w:r>
      <w:r>
        <w:rPr>
          <w:color w:val="231F20"/>
          <w:spacing w:val="-3"/>
          <w:sz w:val="21"/>
        </w:rPr>
        <w:t>надання</w:t>
      </w:r>
      <w:r>
        <w:rPr>
          <w:color w:val="231F20"/>
          <w:spacing w:val="12"/>
          <w:sz w:val="21"/>
        </w:rPr>
        <w:t xml:space="preserve"> </w:t>
      </w:r>
      <w:r>
        <w:rPr>
          <w:color w:val="231F20"/>
          <w:spacing w:val="-3"/>
          <w:sz w:val="21"/>
        </w:rPr>
        <w:t>адміністратив-</w:t>
      </w:r>
    </w:p>
    <w:p w14:paraId="245A7B69" w14:textId="77777777" w:rsidR="00DE575E" w:rsidRDefault="00DE575E">
      <w:pPr>
        <w:pStyle w:val="BodyText"/>
        <w:rPr>
          <w:sz w:val="20"/>
        </w:rPr>
      </w:pPr>
    </w:p>
    <w:p w14:paraId="3E3D2404" w14:textId="04421F87" w:rsidR="00DE575E" w:rsidRDefault="002E7560">
      <w:pPr>
        <w:pStyle w:val="BodyText"/>
        <w:spacing w:before="9"/>
        <w:rPr>
          <w:sz w:val="12"/>
        </w:rPr>
      </w:pPr>
      <w:r>
        <w:rPr>
          <w:noProof/>
        </w:rPr>
        <mc:AlternateContent>
          <mc:Choice Requires="wps">
            <w:drawing>
              <wp:anchor distT="0" distB="0" distL="0" distR="0" simplePos="0" relativeHeight="7840" behindDoc="0" locked="0" layoutInCell="1" allowOverlap="1" wp14:anchorId="2ADD275F" wp14:editId="73865A46">
                <wp:simplePos x="0" y="0"/>
                <wp:positionH relativeFrom="page">
                  <wp:posOffset>539750</wp:posOffset>
                </wp:positionH>
                <wp:positionV relativeFrom="paragraph">
                  <wp:posOffset>123190</wp:posOffset>
                </wp:positionV>
                <wp:extent cx="1080135" cy="0"/>
                <wp:effectExtent l="6350" t="8890" r="31115" b="29210"/>
                <wp:wrapTopAndBottom/>
                <wp:docPr id="931"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C79A8" id="Line_x0020_930" o:spid="_x0000_s1026" style="position:absolute;z-index: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6bIdQSMCAABF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4A9B821F" w14:textId="77777777" w:rsidR="00DE575E" w:rsidRDefault="002E7560">
      <w:pPr>
        <w:spacing w:line="204" w:lineRule="auto"/>
        <w:ind w:left="250" w:right="521"/>
        <w:rPr>
          <w:sz w:val="16"/>
        </w:rPr>
      </w:pPr>
      <w:r>
        <w:rPr>
          <w:color w:val="231F20"/>
          <w:position w:val="5"/>
          <w:sz w:val="9"/>
        </w:rPr>
        <w:t xml:space="preserve">1 </w:t>
      </w:r>
      <w:r>
        <w:rPr>
          <w:color w:val="231F20"/>
          <w:sz w:val="16"/>
        </w:rPr>
        <w:t>Про затвердження вимог до підготовки технологічної картки  адміністративної послуги. Постанова Кабінету Міністрів України від 30.01.2013 р. №</w:t>
      </w:r>
      <w:r>
        <w:rPr>
          <w:color w:val="231F20"/>
          <w:spacing w:val="-20"/>
          <w:sz w:val="16"/>
        </w:rPr>
        <w:t xml:space="preserve"> </w:t>
      </w:r>
      <w:r>
        <w:rPr>
          <w:color w:val="231F20"/>
          <w:sz w:val="16"/>
        </w:rPr>
        <w:t>44.</w:t>
      </w:r>
    </w:p>
    <w:p w14:paraId="4ADBC2D7" w14:textId="77777777" w:rsidR="00DE575E" w:rsidRDefault="00DE575E">
      <w:pPr>
        <w:pStyle w:val="BodyText"/>
        <w:spacing w:before="1"/>
        <w:rPr>
          <w:sz w:val="12"/>
        </w:rPr>
      </w:pPr>
    </w:p>
    <w:p w14:paraId="6BCE9B4D" w14:textId="77777777" w:rsidR="00DE575E" w:rsidRDefault="002E7560">
      <w:pPr>
        <w:spacing w:before="92"/>
        <w:ind w:right="411"/>
        <w:jc w:val="right"/>
        <w:rPr>
          <w:rFonts w:ascii="Times New Roman"/>
          <w:sz w:val="20"/>
        </w:rPr>
      </w:pPr>
      <w:r>
        <w:rPr>
          <w:rFonts w:ascii="Times New Roman"/>
          <w:color w:val="231F20"/>
          <w:w w:val="90"/>
          <w:sz w:val="20"/>
        </w:rPr>
        <w:t>193</w:t>
      </w:r>
    </w:p>
    <w:p w14:paraId="7028DA1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A42E38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32020D7" w14:textId="028834C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13C3D62" wp14:editId="7A5DFB8C">
                <wp:extent cx="4140200" cy="6350"/>
                <wp:effectExtent l="0" t="0" r="12700" b="6350"/>
                <wp:docPr id="929"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30" name="Line 9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2B48F" id="Group_x0020_9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hkTPVgAIAAJgFAAAO&#10;AAAAAAAAAAAAAAAAACwCAABkcnMvZTJvRG9jLnhtbFBLAQItABQABgAIAAAAIQBMp7CQ2QAAAAMB&#10;AAAPAAAAAAAAAAAAAAAAANgEAABkcnMvZG93bnJldi54bWxQSwUGAAAAAAQABADzAAAA3gUAAAAA&#10;">
                <v:line id="Line_x0020_9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a+8MAAADcAAAADwAAAGRycy9kb3ducmV2LnhtbERP3WrCMBS+H/gO4Qi7GZpuhaHVKDIQ&#10;ZBf+1Qc4Nse2mJzUJtpuT79cCLv8+P7ny94a8aDW144VvI8TEMSF0zWXCk75ejQB4QOyRuOYFPyQ&#10;h+Vi8DLHTLuOD/Q4hlLEEPYZKqhCaDIpfVGRRT92DXHkLq61GCJsS6lb7GK4NfIjST6lxZpjQ4UN&#10;fVVUXI93qyC/vQWz332bLt+dU3m+bdPf+1ap12G/moEI1Id/8dO90QqmaZwfz8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22vvDAAAA3AAAAA8AAAAAAAAAAAAA&#10;AAAAoQIAAGRycy9kb3ducmV2LnhtbFBLBQYAAAAABAAEAPkAAACRAwAAAAA=&#10;" strokecolor="#231f20" strokeweight=".5pt"/>
                <w10:anchorlock/>
              </v:group>
            </w:pict>
          </mc:Fallback>
        </mc:AlternateContent>
      </w:r>
    </w:p>
    <w:p w14:paraId="2298ADAD" w14:textId="77777777" w:rsidR="00DE575E" w:rsidRDefault="00DE575E">
      <w:pPr>
        <w:pStyle w:val="BodyText"/>
        <w:spacing w:before="7"/>
        <w:rPr>
          <w:rFonts w:ascii="AdonisC"/>
          <w:i/>
          <w:sz w:val="11"/>
        </w:rPr>
      </w:pPr>
    </w:p>
    <w:p w14:paraId="564B89F5" w14:textId="77777777" w:rsidR="00DE575E" w:rsidRDefault="002E7560">
      <w:pPr>
        <w:pStyle w:val="BodyText"/>
        <w:spacing w:before="101" w:line="252" w:lineRule="auto"/>
        <w:ind w:left="533"/>
      </w:pPr>
      <w:r>
        <w:rPr>
          <w:color w:val="231F20"/>
        </w:rPr>
        <w:t xml:space="preserve">них </w:t>
      </w:r>
      <w:r>
        <w:rPr>
          <w:color w:val="231F20"/>
          <w:spacing w:val="-5"/>
        </w:rPr>
        <w:t xml:space="preserve">послуг, </w:t>
      </w:r>
      <w:r>
        <w:rPr>
          <w:color w:val="231F20"/>
          <w:spacing w:val="-3"/>
        </w:rPr>
        <w:t xml:space="preserve">повідомлення </w:t>
      </w:r>
      <w:r>
        <w:rPr>
          <w:color w:val="231F20"/>
        </w:rPr>
        <w:t xml:space="preserve">про </w:t>
      </w:r>
      <w:r>
        <w:rPr>
          <w:color w:val="231F20"/>
          <w:spacing w:val="-3"/>
        </w:rPr>
        <w:t xml:space="preserve">можливість отримання адміністратив- </w:t>
      </w:r>
      <w:r>
        <w:rPr>
          <w:color w:val="231F20"/>
        </w:rPr>
        <w:t xml:space="preserve">них </w:t>
      </w:r>
      <w:r>
        <w:rPr>
          <w:color w:val="231F20"/>
          <w:spacing w:val="-5"/>
        </w:rPr>
        <w:t xml:space="preserve">послуг, </w:t>
      </w:r>
      <w:r>
        <w:rPr>
          <w:color w:val="231F20"/>
        </w:rPr>
        <w:t xml:space="preserve">оформлених </w:t>
      </w:r>
      <w:r>
        <w:rPr>
          <w:color w:val="231F20"/>
          <w:spacing w:val="-5"/>
        </w:rPr>
        <w:t xml:space="preserve">суб’єктами </w:t>
      </w:r>
      <w:r>
        <w:rPr>
          <w:color w:val="231F20"/>
          <w:spacing w:val="-3"/>
        </w:rPr>
        <w:t>надання адміністративних послуг;</w:t>
      </w:r>
    </w:p>
    <w:p w14:paraId="2AF85A1E" w14:textId="77777777" w:rsidR="00DE575E" w:rsidRDefault="002E7560">
      <w:pPr>
        <w:pStyle w:val="ListParagraph"/>
        <w:numPr>
          <w:ilvl w:val="0"/>
          <w:numId w:val="219"/>
        </w:numPr>
        <w:tabs>
          <w:tab w:val="left" w:pos="1101"/>
        </w:tabs>
        <w:spacing w:line="252" w:lineRule="auto"/>
        <w:ind w:right="130" w:firstLine="284"/>
        <w:rPr>
          <w:sz w:val="21"/>
        </w:rPr>
      </w:pPr>
      <w:r>
        <w:rPr>
          <w:color w:val="231F20"/>
          <w:sz w:val="21"/>
        </w:rPr>
        <w:t>організаційне</w:t>
      </w:r>
      <w:r>
        <w:rPr>
          <w:color w:val="231F20"/>
          <w:spacing w:val="-12"/>
          <w:sz w:val="21"/>
        </w:rPr>
        <w:t xml:space="preserve"> </w:t>
      </w:r>
      <w:r>
        <w:rPr>
          <w:color w:val="231F20"/>
          <w:sz w:val="21"/>
        </w:rPr>
        <w:t>забезпечення</w:t>
      </w:r>
      <w:r>
        <w:rPr>
          <w:color w:val="231F20"/>
          <w:spacing w:val="-12"/>
          <w:sz w:val="21"/>
        </w:rPr>
        <w:t xml:space="preserve"> </w:t>
      </w:r>
      <w:r>
        <w:rPr>
          <w:color w:val="231F20"/>
          <w:sz w:val="21"/>
        </w:rPr>
        <w:t>надання</w:t>
      </w:r>
      <w:r>
        <w:rPr>
          <w:color w:val="231F20"/>
          <w:spacing w:val="-12"/>
          <w:sz w:val="21"/>
        </w:rPr>
        <w:t xml:space="preserve"> </w:t>
      </w:r>
      <w:r>
        <w:rPr>
          <w:color w:val="231F20"/>
          <w:sz w:val="21"/>
        </w:rPr>
        <w:t>адміністративних</w:t>
      </w:r>
      <w:r>
        <w:rPr>
          <w:color w:val="231F20"/>
          <w:spacing w:val="-12"/>
          <w:sz w:val="21"/>
        </w:rPr>
        <w:t xml:space="preserve"> </w:t>
      </w:r>
      <w:r>
        <w:rPr>
          <w:color w:val="231F20"/>
          <w:sz w:val="21"/>
        </w:rPr>
        <w:t xml:space="preserve">послуг </w:t>
      </w:r>
      <w:r>
        <w:rPr>
          <w:color w:val="231F20"/>
          <w:spacing w:val="-3"/>
          <w:sz w:val="21"/>
        </w:rPr>
        <w:t xml:space="preserve">суб’єктами </w:t>
      </w:r>
      <w:r>
        <w:rPr>
          <w:color w:val="231F20"/>
          <w:sz w:val="21"/>
        </w:rPr>
        <w:t>надання таких</w:t>
      </w:r>
      <w:r>
        <w:rPr>
          <w:color w:val="231F20"/>
          <w:sz w:val="21"/>
        </w:rPr>
        <w:t xml:space="preserve"> </w:t>
      </w:r>
      <w:r>
        <w:rPr>
          <w:color w:val="231F20"/>
          <w:sz w:val="21"/>
        </w:rPr>
        <w:t>послуг;</w:t>
      </w:r>
    </w:p>
    <w:p w14:paraId="14A5E9C6" w14:textId="77777777" w:rsidR="00DE575E" w:rsidRDefault="002E7560">
      <w:pPr>
        <w:pStyle w:val="ListParagraph"/>
        <w:numPr>
          <w:ilvl w:val="0"/>
          <w:numId w:val="219"/>
        </w:numPr>
        <w:tabs>
          <w:tab w:val="left" w:pos="1101"/>
        </w:tabs>
        <w:spacing w:line="252" w:lineRule="auto"/>
        <w:ind w:right="127" w:firstLine="284"/>
        <w:rPr>
          <w:sz w:val="21"/>
        </w:rPr>
      </w:pPr>
      <w:r>
        <w:rPr>
          <w:color w:val="231F20"/>
          <w:sz w:val="21"/>
        </w:rPr>
        <w:t xml:space="preserve">здійснення контролю за додержанням </w:t>
      </w:r>
      <w:r>
        <w:rPr>
          <w:color w:val="231F20"/>
          <w:spacing w:val="-3"/>
          <w:sz w:val="21"/>
        </w:rPr>
        <w:t xml:space="preserve">суб’єктами </w:t>
      </w:r>
      <w:r>
        <w:rPr>
          <w:color w:val="231F20"/>
          <w:sz w:val="21"/>
        </w:rPr>
        <w:t xml:space="preserve">надання адміністративних послуг термінів </w:t>
      </w:r>
      <w:r>
        <w:rPr>
          <w:color w:val="231F20"/>
          <w:spacing w:val="-3"/>
          <w:sz w:val="21"/>
        </w:rPr>
        <w:t xml:space="preserve">розгляду </w:t>
      </w:r>
      <w:r>
        <w:rPr>
          <w:color w:val="231F20"/>
          <w:sz w:val="21"/>
        </w:rPr>
        <w:t>справ та ухвалення рішень;</w:t>
      </w:r>
    </w:p>
    <w:p w14:paraId="3C05FF3C" w14:textId="77777777" w:rsidR="00DE575E" w:rsidRDefault="002E7560">
      <w:pPr>
        <w:pStyle w:val="ListParagraph"/>
        <w:numPr>
          <w:ilvl w:val="0"/>
          <w:numId w:val="219"/>
        </w:numPr>
        <w:tabs>
          <w:tab w:val="left" w:pos="1101"/>
        </w:tabs>
        <w:ind w:firstLine="284"/>
        <w:jc w:val="left"/>
        <w:rPr>
          <w:sz w:val="21"/>
        </w:rPr>
      </w:pPr>
      <w:r>
        <w:rPr>
          <w:color w:val="231F20"/>
          <w:sz w:val="21"/>
        </w:rPr>
        <w:t>безпосереднє надання адміністративних</w:t>
      </w:r>
      <w:r>
        <w:rPr>
          <w:color w:val="231F20"/>
          <w:spacing w:val="-3"/>
          <w:sz w:val="21"/>
        </w:rPr>
        <w:t xml:space="preserve"> </w:t>
      </w:r>
      <w:r>
        <w:rPr>
          <w:color w:val="231F20"/>
          <w:sz w:val="21"/>
        </w:rPr>
        <w:t>послуг;</w:t>
      </w:r>
    </w:p>
    <w:p w14:paraId="4D1D8460" w14:textId="77777777" w:rsidR="00DE575E" w:rsidRDefault="002E7560">
      <w:pPr>
        <w:pStyle w:val="Heading5"/>
        <w:spacing w:before="13"/>
        <w:ind w:left="817"/>
      </w:pPr>
      <w:r>
        <w:rPr>
          <w:color w:val="231F20"/>
        </w:rPr>
        <w:t>Адміністратор має право:</w:t>
      </w:r>
    </w:p>
    <w:p w14:paraId="006C4014" w14:textId="77777777" w:rsidR="00DE575E" w:rsidRDefault="002E7560">
      <w:pPr>
        <w:pStyle w:val="ListParagraph"/>
        <w:numPr>
          <w:ilvl w:val="0"/>
          <w:numId w:val="218"/>
        </w:numPr>
        <w:tabs>
          <w:tab w:val="left" w:pos="1101"/>
        </w:tabs>
        <w:spacing w:before="13" w:line="252" w:lineRule="auto"/>
        <w:ind w:right="127" w:firstLine="284"/>
        <w:jc w:val="both"/>
        <w:rPr>
          <w:sz w:val="21"/>
        </w:rPr>
      </w:pPr>
      <w:r>
        <w:rPr>
          <w:color w:val="231F20"/>
          <w:sz w:val="21"/>
        </w:rPr>
        <w:t xml:space="preserve">безоплатно одержувати від </w:t>
      </w:r>
      <w:r>
        <w:rPr>
          <w:color w:val="231F20"/>
          <w:spacing w:val="-3"/>
          <w:sz w:val="21"/>
        </w:rPr>
        <w:t>суб</w:t>
      </w:r>
      <w:r>
        <w:rPr>
          <w:color w:val="231F20"/>
          <w:spacing w:val="-3"/>
          <w:sz w:val="21"/>
        </w:rPr>
        <w:t xml:space="preserve">’єктів </w:t>
      </w:r>
      <w:r>
        <w:rPr>
          <w:color w:val="231F20"/>
          <w:sz w:val="21"/>
        </w:rPr>
        <w:t>надання адміністратив- них</w:t>
      </w:r>
      <w:r>
        <w:rPr>
          <w:color w:val="231F20"/>
          <w:spacing w:val="-10"/>
          <w:sz w:val="21"/>
        </w:rPr>
        <w:t xml:space="preserve"> </w:t>
      </w:r>
      <w:r>
        <w:rPr>
          <w:color w:val="231F20"/>
          <w:spacing w:val="-3"/>
          <w:sz w:val="21"/>
        </w:rPr>
        <w:t>послуг,</w:t>
      </w:r>
      <w:r>
        <w:rPr>
          <w:color w:val="231F20"/>
          <w:spacing w:val="-10"/>
          <w:sz w:val="21"/>
        </w:rPr>
        <w:t xml:space="preserve"> </w:t>
      </w:r>
      <w:r>
        <w:rPr>
          <w:color w:val="231F20"/>
          <w:sz w:val="21"/>
        </w:rPr>
        <w:t>підприємств,</w:t>
      </w:r>
      <w:r>
        <w:rPr>
          <w:color w:val="231F20"/>
          <w:spacing w:val="-10"/>
          <w:sz w:val="21"/>
        </w:rPr>
        <w:t xml:space="preserve"> </w:t>
      </w:r>
      <w:r>
        <w:rPr>
          <w:color w:val="231F20"/>
          <w:sz w:val="21"/>
        </w:rPr>
        <w:t>установ,</w:t>
      </w:r>
      <w:r>
        <w:rPr>
          <w:color w:val="231F20"/>
          <w:spacing w:val="-10"/>
          <w:sz w:val="21"/>
        </w:rPr>
        <w:t xml:space="preserve"> </w:t>
      </w:r>
      <w:r>
        <w:rPr>
          <w:color w:val="231F20"/>
          <w:sz w:val="21"/>
        </w:rPr>
        <w:t>організацій,</w:t>
      </w:r>
      <w:r>
        <w:rPr>
          <w:color w:val="231F20"/>
          <w:spacing w:val="-10"/>
          <w:sz w:val="21"/>
        </w:rPr>
        <w:t xml:space="preserve"> </w:t>
      </w:r>
      <w:r>
        <w:rPr>
          <w:color w:val="231F20"/>
          <w:sz w:val="21"/>
        </w:rPr>
        <w:t>які</w:t>
      </w:r>
      <w:r>
        <w:rPr>
          <w:color w:val="231F20"/>
          <w:spacing w:val="-10"/>
          <w:sz w:val="21"/>
        </w:rPr>
        <w:t xml:space="preserve"> </w:t>
      </w:r>
      <w:r>
        <w:rPr>
          <w:color w:val="231F20"/>
          <w:sz w:val="21"/>
        </w:rPr>
        <w:t>належать</w:t>
      </w:r>
      <w:r>
        <w:rPr>
          <w:color w:val="231F20"/>
          <w:spacing w:val="-10"/>
          <w:sz w:val="21"/>
        </w:rPr>
        <w:t xml:space="preserve"> </w:t>
      </w:r>
      <w:r>
        <w:rPr>
          <w:color w:val="231F20"/>
          <w:sz w:val="21"/>
        </w:rPr>
        <w:t>до</w:t>
      </w:r>
      <w:r>
        <w:rPr>
          <w:color w:val="231F20"/>
          <w:spacing w:val="-10"/>
          <w:sz w:val="21"/>
        </w:rPr>
        <w:t xml:space="preserve"> </w:t>
      </w:r>
      <w:r>
        <w:rPr>
          <w:color w:val="231F20"/>
          <w:sz w:val="21"/>
        </w:rPr>
        <w:t>сфери їх управління, документи та інформацію, пов’язані з наданням адмі- ністративних</w:t>
      </w:r>
      <w:r>
        <w:rPr>
          <w:color w:val="231F20"/>
          <w:spacing w:val="-2"/>
          <w:sz w:val="21"/>
        </w:rPr>
        <w:t xml:space="preserve"> </w:t>
      </w:r>
      <w:r>
        <w:rPr>
          <w:color w:val="231F20"/>
          <w:sz w:val="21"/>
        </w:rPr>
        <w:t>послуг;</w:t>
      </w:r>
    </w:p>
    <w:p w14:paraId="53E2F3A4" w14:textId="77777777" w:rsidR="00DE575E" w:rsidRDefault="002E7560">
      <w:pPr>
        <w:pStyle w:val="ListParagraph"/>
        <w:numPr>
          <w:ilvl w:val="0"/>
          <w:numId w:val="218"/>
        </w:numPr>
        <w:tabs>
          <w:tab w:val="left" w:pos="1101"/>
        </w:tabs>
        <w:spacing w:before="2" w:line="252" w:lineRule="auto"/>
        <w:ind w:right="128" w:firstLine="284"/>
        <w:jc w:val="both"/>
        <w:rPr>
          <w:sz w:val="21"/>
        </w:rPr>
      </w:pPr>
      <w:r>
        <w:rPr>
          <w:color w:val="231F20"/>
          <w:sz w:val="21"/>
        </w:rPr>
        <w:t xml:space="preserve">погоджувати документи (рішення) в інших органах держав- ної влади та органах місцевого самоврядування, отримувати їх висновки з метою надання адміністративної послуги без залучення </w:t>
      </w:r>
      <w:r>
        <w:rPr>
          <w:color w:val="231F20"/>
          <w:spacing w:val="-3"/>
          <w:sz w:val="21"/>
        </w:rPr>
        <w:t>суб’єкта</w:t>
      </w:r>
      <w:r>
        <w:rPr>
          <w:color w:val="231F20"/>
          <w:spacing w:val="-1"/>
          <w:sz w:val="21"/>
        </w:rPr>
        <w:t xml:space="preserve"> </w:t>
      </w:r>
      <w:r>
        <w:rPr>
          <w:color w:val="231F20"/>
          <w:sz w:val="21"/>
        </w:rPr>
        <w:t>звернення;</w:t>
      </w:r>
    </w:p>
    <w:p w14:paraId="44A9B325" w14:textId="77777777" w:rsidR="00DE575E" w:rsidRDefault="002E7560">
      <w:pPr>
        <w:pStyle w:val="ListParagraph"/>
        <w:numPr>
          <w:ilvl w:val="0"/>
          <w:numId w:val="218"/>
        </w:numPr>
        <w:tabs>
          <w:tab w:val="left" w:pos="1101"/>
        </w:tabs>
        <w:spacing w:before="2" w:line="252" w:lineRule="auto"/>
        <w:ind w:right="127" w:firstLine="284"/>
        <w:jc w:val="both"/>
        <w:rPr>
          <w:sz w:val="21"/>
        </w:rPr>
      </w:pPr>
      <w:r>
        <w:rPr>
          <w:color w:val="231F20"/>
          <w:sz w:val="21"/>
        </w:rPr>
        <w:t xml:space="preserve">інформувати керівника центру надання адміністративних послуг і керівників </w:t>
      </w:r>
      <w:r>
        <w:rPr>
          <w:color w:val="231F20"/>
          <w:spacing w:val="-3"/>
          <w:sz w:val="21"/>
        </w:rPr>
        <w:t xml:space="preserve">суб’єктів </w:t>
      </w:r>
      <w:r>
        <w:rPr>
          <w:color w:val="231F20"/>
          <w:sz w:val="21"/>
        </w:rPr>
        <w:t xml:space="preserve">надання адміністративних послуг про порушення термінів </w:t>
      </w:r>
      <w:r>
        <w:rPr>
          <w:color w:val="231F20"/>
          <w:spacing w:val="-3"/>
          <w:sz w:val="21"/>
        </w:rPr>
        <w:t xml:space="preserve">розгляду </w:t>
      </w:r>
      <w:r>
        <w:rPr>
          <w:color w:val="231F20"/>
          <w:sz w:val="21"/>
        </w:rPr>
        <w:t>заяв щодо надання адміністративної послуги, вимагати вжиття заходів щодо усунення виявлених пору- шень;</w:t>
      </w:r>
    </w:p>
    <w:p w14:paraId="3D4A6C35" w14:textId="77777777" w:rsidR="00DE575E" w:rsidRDefault="002E7560">
      <w:pPr>
        <w:pStyle w:val="ListParagraph"/>
        <w:numPr>
          <w:ilvl w:val="0"/>
          <w:numId w:val="218"/>
        </w:numPr>
        <w:tabs>
          <w:tab w:val="left" w:pos="1101"/>
        </w:tabs>
        <w:spacing w:before="2" w:line="252" w:lineRule="auto"/>
        <w:ind w:right="127" w:firstLine="284"/>
        <w:jc w:val="both"/>
        <w:rPr>
          <w:sz w:val="21"/>
        </w:rPr>
      </w:pPr>
      <w:r>
        <w:rPr>
          <w:color w:val="231F20"/>
          <w:sz w:val="21"/>
        </w:rPr>
        <w:t>посв</w:t>
      </w:r>
      <w:r>
        <w:rPr>
          <w:color w:val="231F20"/>
          <w:sz w:val="21"/>
        </w:rPr>
        <w:t>ідчувати власним підписом і печаткою (штампом) копії (фотокопії) документів і виписок з них, витягів з реєстрів та баз даних, які потрібні для надання адміністративної</w:t>
      </w:r>
      <w:r>
        <w:rPr>
          <w:color w:val="231F20"/>
          <w:spacing w:val="-10"/>
          <w:sz w:val="21"/>
        </w:rPr>
        <w:t xml:space="preserve"> </w:t>
      </w:r>
      <w:r>
        <w:rPr>
          <w:color w:val="231F20"/>
          <w:sz w:val="21"/>
        </w:rPr>
        <w:t>послуги</w:t>
      </w:r>
    </w:p>
    <w:p w14:paraId="6B25F7F5" w14:textId="77777777" w:rsidR="00DE575E" w:rsidRDefault="002E7560">
      <w:pPr>
        <w:pStyle w:val="ListParagraph"/>
        <w:numPr>
          <w:ilvl w:val="0"/>
          <w:numId w:val="218"/>
        </w:numPr>
        <w:tabs>
          <w:tab w:val="left" w:pos="1101"/>
        </w:tabs>
        <w:spacing w:before="2"/>
        <w:ind w:firstLine="284"/>
        <w:jc w:val="left"/>
        <w:rPr>
          <w:sz w:val="21"/>
        </w:rPr>
      </w:pPr>
      <w:r>
        <w:rPr>
          <w:color w:val="231F20"/>
          <w:sz w:val="21"/>
        </w:rPr>
        <w:t>складати протоколи про адміністративні</w:t>
      </w:r>
      <w:r>
        <w:rPr>
          <w:color w:val="231F20"/>
          <w:spacing w:val="-12"/>
          <w:sz w:val="21"/>
        </w:rPr>
        <w:t xml:space="preserve"> </w:t>
      </w:r>
      <w:r>
        <w:rPr>
          <w:color w:val="231F20"/>
          <w:sz w:val="21"/>
        </w:rPr>
        <w:t>правопорушення;</w:t>
      </w:r>
    </w:p>
    <w:p w14:paraId="2AA64F84" w14:textId="77777777" w:rsidR="00DE575E" w:rsidRDefault="002E7560">
      <w:pPr>
        <w:pStyle w:val="ListParagraph"/>
        <w:numPr>
          <w:ilvl w:val="0"/>
          <w:numId w:val="218"/>
        </w:numPr>
        <w:tabs>
          <w:tab w:val="left" w:pos="1101"/>
        </w:tabs>
        <w:spacing w:before="12" w:line="252" w:lineRule="auto"/>
        <w:ind w:right="130" w:firstLine="284"/>
        <w:jc w:val="both"/>
        <w:rPr>
          <w:sz w:val="21"/>
        </w:rPr>
      </w:pPr>
      <w:r>
        <w:rPr>
          <w:color w:val="231F20"/>
          <w:sz w:val="21"/>
        </w:rPr>
        <w:t xml:space="preserve">розглядати   справ   про </w:t>
      </w:r>
      <w:r>
        <w:rPr>
          <w:color w:val="231F20"/>
          <w:sz w:val="21"/>
        </w:rPr>
        <w:t xml:space="preserve">  адміністративні   правопорушення та накладати</w:t>
      </w:r>
      <w:r>
        <w:rPr>
          <w:color w:val="231F20"/>
          <w:spacing w:val="-3"/>
          <w:sz w:val="21"/>
        </w:rPr>
        <w:t xml:space="preserve"> </w:t>
      </w:r>
      <w:r>
        <w:rPr>
          <w:color w:val="231F20"/>
          <w:sz w:val="21"/>
        </w:rPr>
        <w:t>стягнення</w:t>
      </w:r>
      <w:r>
        <w:rPr>
          <w:color w:val="231F20"/>
          <w:position w:val="7"/>
          <w:sz w:val="12"/>
        </w:rPr>
        <w:t>1</w:t>
      </w:r>
      <w:r>
        <w:rPr>
          <w:color w:val="231F20"/>
          <w:sz w:val="21"/>
        </w:rPr>
        <w:t>.</w:t>
      </w:r>
    </w:p>
    <w:p w14:paraId="494548CE" w14:textId="77777777" w:rsidR="00DE575E" w:rsidRDefault="002E7560">
      <w:pPr>
        <w:pStyle w:val="BodyText"/>
        <w:spacing w:before="1" w:line="252" w:lineRule="auto"/>
        <w:ind w:left="533" w:right="126" w:firstLine="283"/>
        <w:jc w:val="both"/>
      </w:pPr>
      <w:r>
        <w:rPr>
          <w:i/>
          <w:color w:val="231F20"/>
        </w:rPr>
        <w:t xml:space="preserve">Адміністратор призначається на посаду та звільняється з посади </w:t>
      </w:r>
      <w:r>
        <w:rPr>
          <w:color w:val="231F20"/>
        </w:rPr>
        <w:t>особою, яка очолює орган (керівником органу), що ухвалив рішення про утворення відповідного центру надання адміністра- тивних</w:t>
      </w:r>
      <w:r>
        <w:rPr>
          <w:color w:val="231F20"/>
          <w:spacing w:val="-11"/>
        </w:rPr>
        <w:t xml:space="preserve"> </w:t>
      </w:r>
      <w:r>
        <w:rPr>
          <w:color w:val="231F20"/>
          <w:spacing w:val="-3"/>
        </w:rPr>
        <w:t>послуг.</w:t>
      </w:r>
      <w:r>
        <w:rPr>
          <w:color w:val="231F20"/>
          <w:spacing w:val="-11"/>
        </w:rPr>
        <w:t xml:space="preserve"> </w:t>
      </w:r>
      <w:r>
        <w:rPr>
          <w:color w:val="231F20"/>
        </w:rPr>
        <w:t>Кількість</w:t>
      </w:r>
      <w:r>
        <w:rPr>
          <w:color w:val="231F20"/>
          <w:spacing w:val="-11"/>
        </w:rPr>
        <w:t xml:space="preserve"> </w:t>
      </w:r>
      <w:r>
        <w:rPr>
          <w:color w:val="231F20"/>
        </w:rPr>
        <w:t>адміністраторів</w:t>
      </w:r>
      <w:r>
        <w:rPr>
          <w:color w:val="231F20"/>
          <w:spacing w:val="-11"/>
        </w:rPr>
        <w:t xml:space="preserve"> </w:t>
      </w:r>
      <w:r>
        <w:rPr>
          <w:color w:val="231F20"/>
        </w:rPr>
        <w:t>визначається</w:t>
      </w:r>
      <w:r>
        <w:rPr>
          <w:color w:val="231F20"/>
          <w:spacing w:val="-11"/>
        </w:rPr>
        <w:t xml:space="preserve"> </w:t>
      </w:r>
      <w:r>
        <w:rPr>
          <w:color w:val="231F20"/>
        </w:rPr>
        <w:t>тим</w:t>
      </w:r>
      <w:r>
        <w:rPr>
          <w:color w:val="231F20"/>
          <w:spacing w:val="-11"/>
        </w:rPr>
        <w:t xml:space="preserve"> </w:t>
      </w:r>
      <w:r>
        <w:rPr>
          <w:color w:val="231F20"/>
        </w:rPr>
        <w:t>органом, який ухвалив рішення про утворення відповідного центру надання адміністративних</w:t>
      </w:r>
      <w:r>
        <w:rPr>
          <w:color w:val="231F20"/>
          <w:spacing w:val="-2"/>
        </w:rPr>
        <w:t xml:space="preserve"> </w:t>
      </w:r>
      <w:r>
        <w:rPr>
          <w:color w:val="231F20"/>
        </w:rPr>
        <w:t>послуг</w:t>
      </w:r>
      <w:r>
        <w:rPr>
          <w:color w:val="231F20"/>
          <w:position w:val="7"/>
          <w:sz w:val="12"/>
        </w:rPr>
        <w:t>2</w:t>
      </w:r>
      <w:r>
        <w:rPr>
          <w:color w:val="231F20"/>
        </w:rPr>
        <w:t>.</w:t>
      </w:r>
    </w:p>
    <w:p w14:paraId="0206D61D" w14:textId="77777777" w:rsidR="00DE575E" w:rsidRDefault="00DE575E">
      <w:pPr>
        <w:pStyle w:val="BodyText"/>
        <w:rPr>
          <w:sz w:val="20"/>
        </w:rPr>
      </w:pPr>
    </w:p>
    <w:p w14:paraId="5B50D0C1" w14:textId="1A6D8165" w:rsidR="00DE575E" w:rsidRDefault="002E7560">
      <w:pPr>
        <w:pStyle w:val="BodyText"/>
        <w:spacing w:before="9"/>
        <w:rPr>
          <w:sz w:val="13"/>
        </w:rPr>
      </w:pPr>
      <w:r>
        <w:rPr>
          <w:noProof/>
        </w:rPr>
        <mc:AlternateContent>
          <mc:Choice Requires="wps">
            <w:drawing>
              <wp:anchor distT="0" distB="0" distL="0" distR="0" simplePos="0" relativeHeight="7888" behindDoc="0" locked="0" layoutInCell="1" allowOverlap="1" wp14:anchorId="79F56255" wp14:editId="574F5B46">
                <wp:simplePos x="0" y="0"/>
                <wp:positionH relativeFrom="page">
                  <wp:posOffset>719455</wp:posOffset>
                </wp:positionH>
                <wp:positionV relativeFrom="paragraph">
                  <wp:posOffset>130175</wp:posOffset>
                </wp:positionV>
                <wp:extent cx="1080135" cy="0"/>
                <wp:effectExtent l="8255" t="15875" r="29210" b="22225"/>
                <wp:wrapTopAndBottom/>
                <wp:docPr id="928"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057D1" id="Line_x0020_927" o:spid="_x0000_s1026" style="position:absolute;z-index: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25pt" to="141.7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" strokecolor="#231f20" strokeweight=".5pt">
                <w10:wrap type="topAndBottom" anchorx="page"/>
              </v:line>
            </w:pict>
          </mc:Fallback>
        </mc:AlternateContent>
      </w:r>
    </w:p>
    <w:p w14:paraId="46655B20" w14:textId="77777777" w:rsidR="00DE575E" w:rsidRDefault="002E7560">
      <w:pPr>
        <w:spacing w:line="162" w:lineRule="exact"/>
        <w:ind w:left="533"/>
        <w:rPr>
          <w:sz w:val="16"/>
        </w:rPr>
      </w:pPr>
      <w:r>
        <w:rPr>
          <w:color w:val="231F20"/>
          <w:position w:val="5"/>
          <w:sz w:val="9"/>
        </w:rPr>
        <w:t xml:space="preserve">1 </w:t>
      </w:r>
      <w:r>
        <w:rPr>
          <w:color w:val="231F20"/>
          <w:sz w:val="16"/>
        </w:rPr>
        <w:t>Закон від 6.09.2012 р. № 520.</w:t>
      </w:r>
    </w:p>
    <w:p w14:paraId="3965B165" w14:textId="77777777" w:rsidR="00DE575E" w:rsidRDefault="002E7560">
      <w:pPr>
        <w:spacing w:before="23" w:line="204" w:lineRule="auto"/>
        <w:ind w:left="533" w:right="127"/>
        <w:jc w:val="both"/>
        <w:rPr>
          <w:sz w:val="16"/>
        </w:rPr>
      </w:pPr>
      <w:r>
        <w:rPr>
          <w:color w:val="231F20"/>
          <w:position w:val="5"/>
          <w:sz w:val="9"/>
        </w:rPr>
        <w:t xml:space="preserve">2 </w:t>
      </w:r>
      <w:r>
        <w:rPr>
          <w:color w:val="231F20"/>
          <w:sz w:val="16"/>
        </w:rPr>
        <w:t>Можливе також уведення посад адміністраторів до різних структурних підрозділів одного органу влади, який утворив ЦНАП, якщо ЦНАП функціонує у статусі «постійного чинного робочого органу» (наприклад, адміністратора відділу обліку і розподілу житла міської р</w:t>
      </w:r>
      <w:r>
        <w:rPr>
          <w:color w:val="231F20"/>
          <w:sz w:val="16"/>
        </w:rPr>
        <w:t>ади тощо).</w:t>
      </w:r>
    </w:p>
    <w:p w14:paraId="0D533035" w14:textId="77777777" w:rsidR="00DE575E" w:rsidRDefault="00DE575E">
      <w:pPr>
        <w:pStyle w:val="BodyText"/>
        <w:spacing w:before="6"/>
        <w:rPr>
          <w:sz w:val="12"/>
        </w:rPr>
      </w:pPr>
    </w:p>
    <w:p w14:paraId="4B6D23CA" w14:textId="77777777" w:rsidR="00DE575E" w:rsidRDefault="002E7560">
      <w:pPr>
        <w:spacing w:before="92"/>
        <w:ind w:left="533"/>
        <w:rPr>
          <w:rFonts w:ascii="Times New Roman"/>
          <w:sz w:val="20"/>
        </w:rPr>
      </w:pPr>
      <w:r>
        <w:rPr>
          <w:rFonts w:ascii="Times New Roman"/>
          <w:color w:val="231F20"/>
          <w:sz w:val="20"/>
        </w:rPr>
        <w:t>194</w:t>
      </w:r>
    </w:p>
    <w:p w14:paraId="3502E19D" w14:textId="77777777" w:rsidR="00DE575E" w:rsidRDefault="00DE575E">
      <w:pPr>
        <w:rPr>
          <w:rFonts w:ascii="Times New Roman"/>
          <w:sz w:val="20"/>
        </w:rPr>
        <w:sectPr w:rsidR="00DE575E">
          <w:pgSz w:w="8510" w:h="12760"/>
          <w:pgMar w:top="660" w:right="720" w:bottom="280" w:left="600" w:header="720" w:footer="720" w:gutter="0"/>
          <w:cols w:space="720"/>
        </w:sectPr>
      </w:pPr>
    </w:p>
    <w:p w14:paraId="4A9606B9"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788CB401" w14:textId="0455F66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5CA4326" wp14:editId="7D1E0941">
                <wp:extent cx="4140200" cy="6350"/>
                <wp:effectExtent l="0" t="0" r="12700" b="6350"/>
                <wp:docPr id="926"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27" name="Line 92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9E6262" id="Group_x0020_92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RdUztgAIAAJgFAAAO&#10;AAAAAAAAAAAAAAAAACwCAABkcnMvZTJvRG9jLnhtbFBLAQItABQABgAIAAAAIQBMp7CQ2QAAAAMB&#10;AAAPAAAAAAAAAAAAAAAAANgEAABkcnMvZG93bnJldi54bWxQSwUGAAAAAAQABADzAAAA3gUAAAAA&#10;">
                <v:line id="Line_x0020_92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bUUsYAAADcAAAADwAAAGRycy9kb3ducmV2LnhtbESP0WrCQBRE3wX/YblCX4puVKgaXUUK&#10;hdIHbY0fcM1ek+Du3ZhdTdqv7xYKPg4zc4ZZbTprxJ0aXzlWMB4lIIhzpysuFByzt+EchA/IGo1j&#10;UvBNHjbrfm+FqXYtf9H9EAoRIexTVFCGUKdS+rwki37kauLonV1jMUTZFFI32Ea4NXKSJC/SYsVx&#10;ocSaXkvKL4ebVZBdn4P53H+YNtufpvJ03U1/bjulngbddgkiUBce4f/2u1awmMz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G1FLGAAAA3AAAAA8AAAAAAAAA&#10;AAAAAAAAoQIAAGRycy9kb3ducmV2LnhtbFBLBQYAAAAABAAEAPkAAACUAwAAAAA=&#10;" strokecolor="#231f20" strokeweight=".5pt"/>
                <w10:anchorlock/>
              </v:group>
            </w:pict>
          </mc:Fallback>
        </mc:AlternateContent>
      </w:r>
    </w:p>
    <w:p w14:paraId="48E29189" w14:textId="77777777" w:rsidR="00DE575E" w:rsidRDefault="00DE575E">
      <w:pPr>
        <w:pStyle w:val="BodyText"/>
        <w:spacing w:before="7"/>
        <w:rPr>
          <w:rFonts w:ascii="AdonisC"/>
          <w:i/>
          <w:sz w:val="19"/>
        </w:rPr>
      </w:pPr>
    </w:p>
    <w:p w14:paraId="36F60252" w14:textId="77777777" w:rsidR="00DE575E" w:rsidRDefault="002E7560">
      <w:pPr>
        <w:spacing w:before="1" w:line="252" w:lineRule="auto"/>
        <w:ind w:left="250" w:right="411" w:firstLine="283"/>
        <w:jc w:val="both"/>
        <w:rPr>
          <w:sz w:val="21"/>
        </w:rPr>
      </w:pPr>
      <w:r>
        <w:rPr>
          <w:color w:val="231F20"/>
          <w:sz w:val="21"/>
        </w:rPr>
        <w:t xml:space="preserve">У ч. 1 </w:t>
      </w:r>
      <w:r>
        <w:rPr>
          <w:color w:val="231F20"/>
          <w:spacing w:val="-6"/>
          <w:sz w:val="21"/>
        </w:rPr>
        <w:t xml:space="preserve">ст. </w:t>
      </w:r>
      <w:r>
        <w:rPr>
          <w:color w:val="231F20"/>
          <w:sz w:val="21"/>
        </w:rPr>
        <w:t xml:space="preserve">13 Закону </w:t>
      </w:r>
      <w:r>
        <w:rPr>
          <w:color w:val="231F20"/>
          <w:spacing w:val="-3"/>
          <w:sz w:val="21"/>
        </w:rPr>
        <w:t xml:space="preserve">України </w:t>
      </w:r>
      <w:r>
        <w:rPr>
          <w:color w:val="231F20"/>
          <w:sz w:val="21"/>
        </w:rPr>
        <w:t xml:space="preserve">«Про адміністративні послуги» визна- чено </w:t>
      </w:r>
      <w:r>
        <w:rPr>
          <w:b/>
          <w:i/>
          <w:color w:val="231F20"/>
          <w:sz w:val="21"/>
        </w:rPr>
        <w:t xml:space="preserve">правовий статус адміністратора – це посадова особа </w:t>
      </w:r>
      <w:r>
        <w:rPr>
          <w:b/>
          <w:i/>
          <w:color w:val="231F20"/>
          <w:sz w:val="21"/>
        </w:rPr>
        <w:t xml:space="preserve">органу, що утворив центр надання адміністративних послуг, яка організовує надання адміністративних послуг через узає- модію з </w:t>
      </w:r>
      <w:r>
        <w:rPr>
          <w:b/>
          <w:i/>
          <w:color w:val="231F20"/>
          <w:spacing w:val="-3"/>
          <w:sz w:val="21"/>
        </w:rPr>
        <w:t xml:space="preserve">суб’єктами </w:t>
      </w:r>
      <w:r>
        <w:rPr>
          <w:b/>
          <w:i/>
          <w:color w:val="231F20"/>
          <w:sz w:val="21"/>
        </w:rPr>
        <w:t xml:space="preserve">надання адміністративних послуг. </w:t>
      </w:r>
      <w:r>
        <w:rPr>
          <w:color w:val="231F20"/>
          <w:sz w:val="21"/>
        </w:rPr>
        <w:t>У п. 15 Примірного</w:t>
      </w:r>
      <w:r>
        <w:rPr>
          <w:color w:val="231F20"/>
          <w:spacing w:val="-11"/>
          <w:sz w:val="21"/>
        </w:rPr>
        <w:t xml:space="preserve"> </w:t>
      </w:r>
      <w:r>
        <w:rPr>
          <w:color w:val="231F20"/>
          <w:sz w:val="21"/>
        </w:rPr>
        <w:t>положення</w:t>
      </w:r>
      <w:r>
        <w:rPr>
          <w:color w:val="231F20"/>
          <w:spacing w:val="-11"/>
          <w:sz w:val="21"/>
        </w:rPr>
        <w:t xml:space="preserve"> </w:t>
      </w:r>
      <w:r>
        <w:rPr>
          <w:color w:val="231F20"/>
          <w:sz w:val="21"/>
        </w:rPr>
        <w:t>про</w:t>
      </w:r>
      <w:r>
        <w:rPr>
          <w:color w:val="231F20"/>
          <w:spacing w:val="-11"/>
          <w:sz w:val="21"/>
        </w:rPr>
        <w:t xml:space="preserve"> </w:t>
      </w:r>
      <w:r>
        <w:rPr>
          <w:color w:val="231F20"/>
          <w:sz w:val="21"/>
        </w:rPr>
        <w:t>центр</w:t>
      </w:r>
      <w:r>
        <w:rPr>
          <w:color w:val="231F20"/>
          <w:spacing w:val="-11"/>
          <w:sz w:val="21"/>
        </w:rPr>
        <w:t xml:space="preserve"> </w:t>
      </w:r>
      <w:r>
        <w:rPr>
          <w:color w:val="231F20"/>
          <w:sz w:val="21"/>
        </w:rPr>
        <w:t>надання</w:t>
      </w:r>
      <w:r>
        <w:rPr>
          <w:color w:val="231F20"/>
          <w:spacing w:val="-11"/>
          <w:sz w:val="21"/>
        </w:rPr>
        <w:t xml:space="preserve"> </w:t>
      </w:r>
      <w:r>
        <w:rPr>
          <w:color w:val="231F20"/>
          <w:sz w:val="21"/>
        </w:rPr>
        <w:t>адміністративних</w:t>
      </w:r>
      <w:r>
        <w:rPr>
          <w:color w:val="231F20"/>
          <w:spacing w:val="-11"/>
          <w:sz w:val="21"/>
        </w:rPr>
        <w:t xml:space="preserve"> </w:t>
      </w:r>
      <w:r>
        <w:rPr>
          <w:color w:val="231F20"/>
          <w:sz w:val="21"/>
        </w:rPr>
        <w:t>послуг визначено стату</w:t>
      </w:r>
      <w:r>
        <w:rPr>
          <w:color w:val="231F20"/>
          <w:sz w:val="21"/>
        </w:rPr>
        <w:t>с ще однієї посадової особи – керівника структур- ного підрозділу (центру). На нього покладається функція керівни- цтва та відповідальність за організацію діяльності</w:t>
      </w:r>
      <w:r>
        <w:rPr>
          <w:color w:val="231F20"/>
          <w:spacing w:val="-10"/>
          <w:sz w:val="21"/>
        </w:rPr>
        <w:t xml:space="preserve"> </w:t>
      </w:r>
      <w:r>
        <w:rPr>
          <w:color w:val="231F20"/>
          <w:sz w:val="21"/>
        </w:rPr>
        <w:t>центру</w:t>
      </w:r>
      <w:r>
        <w:rPr>
          <w:color w:val="231F20"/>
          <w:position w:val="7"/>
          <w:sz w:val="12"/>
        </w:rPr>
        <w:t>1</w:t>
      </w:r>
      <w:r>
        <w:rPr>
          <w:color w:val="231F20"/>
          <w:sz w:val="21"/>
        </w:rPr>
        <w:t>.</w:t>
      </w:r>
    </w:p>
    <w:p w14:paraId="16C3DD8E" w14:textId="77777777" w:rsidR="00DE575E" w:rsidRDefault="00DE575E">
      <w:pPr>
        <w:pStyle w:val="BodyText"/>
        <w:rPr>
          <w:sz w:val="24"/>
        </w:rPr>
      </w:pPr>
    </w:p>
    <w:p w14:paraId="73175B49" w14:textId="77777777" w:rsidR="00DE575E" w:rsidRDefault="00DE575E">
      <w:pPr>
        <w:pStyle w:val="BodyText"/>
        <w:spacing w:before="7"/>
        <w:rPr>
          <w:sz w:val="19"/>
        </w:rPr>
      </w:pPr>
    </w:p>
    <w:p w14:paraId="62160364" w14:textId="77777777" w:rsidR="00DE575E" w:rsidRDefault="002E7560">
      <w:pPr>
        <w:pStyle w:val="Heading4"/>
        <w:numPr>
          <w:ilvl w:val="1"/>
          <w:numId w:val="227"/>
        </w:numPr>
        <w:tabs>
          <w:tab w:val="left" w:pos="1416"/>
        </w:tabs>
        <w:ind w:left="1415" w:hanging="410"/>
        <w:jc w:val="left"/>
      </w:pPr>
      <w:r>
        <w:rPr>
          <w:color w:val="231F20"/>
        </w:rPr>
        <w:t>Порядок надання адміністративних</w:t>
      </w:r>
      <w:r>
        <w:rPr>
          <w:color w:val="231F20"/>
          <w:spacing w:val="-7"/>
        </w:rPr>
        <w:t xml:space="preserve"> </w:t>
      </w:r>
      <w:r>
        <w:rPr>
          <w:color w:val="231F20"/>
        </w:rPr>
        <w:t>послуг</w:t>
      </w:r>
    </w:p>
    <w:p w14:paraId="018D078C" w14:textId="77777777" w:rsidR="00DE575E" w:rsidRDefault="00DE575E">
      <w:pPr>
        <w:pStyle w:val="BodyText"/>
        <w:spacing w:before="11"/>
        <w:rPr>
          <w:b/>
          <w:sz w:val="22"/>
        </w:rPr>
      </w:pPr>
    </w:p>
    <w:p w14:paraId="1A672EC6" w14:textId="77777777" w:rsidR="00DE575E" w:rsidRDefault="002E7560">
      <w:pPr>
        <w:pStyle w:val="Heading5"/>
      </w:pPr>
      <w:r>
        <w:rPr>
          <w:color w:val="231F20"/>
        </w:rPr>
        <w:t>6.3.1. Стадії процедури надання адміні</w:t>
      </w:r>
      <w:r>
        <w:rPr>
          <w:color w:val="231F20"/>
        </w:rPr>
        <w:t>стративної послуги</w:t>
      </w:r>
    </w:p>
    <w:p w14:paraId="037A1C27" w14:textId="77777777" w:rsidR="00DE575E" w:rsidRDefault="00DE575E">
      <w:pPr>
        <w:pStyle w:val="BodyText"/>
        <w:spacing w:before="2"/>
        <w:rPr>
          <w:b/>
          <w:sz w:val="23"/>
        </w:rPr>
      </w:pPr>
    </w:p>
    <w:p w14:paraId="7E96C850" w14:textId="77777777" w:rsidR="00DE575E" w:rsidRDefault="002E7560">
      <w:pPr>
        <w:pStyle w:val="BodyText"/>
        <w:ind w:left="533"/>
      </w:pPr>
      <w:r>
        <w:rPr>
          <w:color w:val="231F20"/>
        </w:rPr>
        <w:t>Закон України «Про адміністративні послуги» не містить поняття</w:t>
      </w:r>
    </w:p>
    <w:p w14:paraId="798F99D6" w14:textId="77777777" w:rsidR="00DE575E" w:rsidRDefault="002E7560">
      <w:pPr>
        <w:pStyle w:val="BodyText"/>
        <w:spacing w:before="13" w:line="252" w:lineRule="auto"/>
        <w:ind w:left="250" w:right="411"/>
        <w:jc w:val="both"/>
      </w:pPr>
      <w:r>
        <w:rPr>
          <w:color w:val="231F20"/>
        </w:rPr>
        <w:t xml:space="preserve">«процедура надання адміністративної послуги» та чіткого порядку дій </w:t>
      </w:r>
      <w:r>
        <w:rPr>
          <w:color w:val="231F20"/>
          <w:spacing w:val="-3"/>
        </w:rPr>
        <w:t xml:space="preserve">суб’єктів </w:t>
      </w:r>
      <w:r>
        <w:rPr>
          <w:color w:val="231F20"/>
        </w:rPr>
        <w:t xml:space="preserve">правовідносин у сфері надання адміністративних </w:t>
      </w:r>
      <w:r>
        <w:rPr>
          <w:color w:val="231F20"/>
          <w:spacing w:val="-3"/>
        </w:rPr>
        <w:t xml:space="preserve">послуг. </w:t>
      </w:r>
      <w:r>
        <w:rPr>
          <w:color w:val="231F20"/>
        </w:rPr>
        <w:t>Однак, аналізуючи особливості нормативно</w:t>
      </w:r>
      <w:r>
        <w:rPr>
          <w:color w:val="231F20"/>
        </w:rPr>
        <w:t xml:space="preserve">го регулювання процедурного  забезпечення   надання   адміністративних   послуг   у Законі </w:t>
      </w:r>
      <w:r>
        <w:rPr>
          <w:color w:val="231F20"/>
          <w:spacing w:val="-3"/>
        </w:rPr>
        <w:t xml:space="preserve">України </w:t>
      </w:r>
      <w:r>
        <w:rPr>
          <w:color w:val="231F20"/>
        </w:rPr>
        <w:t xml:space="preserve">«Про адміністративні послуги», слід відзначити, що термін «процедура» згадується у п. 8 ч. 1 </w:t>
      </w:r>
      <w:r>
        <w:rPr>
          <w:color w:val="231F20"/>
          <w:spacing w:val="-6"/>
        </w:rPr>
        <w:t xml:space="preserve">ст. </w:t>
      </w:r>
      <w:r>
        <w:rPr>
          <w:color w:val="231F20"/>
        </w:rPr>
        <w:t xml:space="preserve">4 та у ч. 5 </w:t>
      </w:r>
      <w:r>
        <w:rPr>
          <w:color w:val="231F20"/>
          <w:spacing w:val="-6"/>
        </w:rPr>
        <w:t xml:space="preserve">ст. </w:t>
      </w:r>
      <w:r>
        <w:rPr>
          <w:color w:val="231F20"/>
        </w:rPr>
        <w:t xml:space="preserve">8. </w:t>
      </w:r>
      <w:r>
        <w:rPr>
          <w:color w:val="231F20"/>
          <w:spacing w:val="-4"/>
        </w:rPr>
        <w:t xml:space="preserve">Так, </w:t>
      </w:r>
      <w:r>
        <w:rPr>
          <w:color w:val="231F20"/>
        </w:rPr>
        <w:t>у п.</w:t>
      </w:r>
      <w:r>
        <w:rPr>
          <w:color w:val="231F20"/>
          <w:spacing w:val="-6"/>
        </w:rPr>
        <w:t xml:space="preserve"> </w:t>
      </w:r>
      <w:r>
        <w:rPr>
          <w:color w:val="231F20"/>
        </w:rPr>
        <w:t>8</w:t>
      </w:r>
      <w:r>
        <w:rPr>
          <w:color w:val="231F20"/>
          <w:spacing w:val="-7"/>
        </w:rPr>
        <w:t xml:space="preserve"> </w:t>
      </w:r>
      <w:r>
        <w:rPr>
          <w:color w:val="231F20"/>
        </w:rPr>
        <w:t>ч.</w:t>
      </w:r>
      <w:r>
        <w:rPr>
          <w:color w:val="231F20"/>
          <w:spacing w:val="-6"/>
        </w:rPr>
        <w:t xml:space="preserve"> </w:t>
      </w:r>
      <w:r>
        <w:rPr>
          <w:color w:val="231F20"/>
        </w:rPr>
        <w:t>1</w:t>
      </w:r>
      <w:r>
        <w:rPr>
          <w:color w:val="231F20"/>
          <w:spacing w:val="-7"/>
        </w:rPr>
        <w:t xml:space="preserve"> </w:t>
      </w:r>
      <w:r>
        <w:rPr>
          <w:color w:val="231F20"/>
          <w:spacing w:val="-6"/>
        </w:rPr>
        <w:t xml:space="preserve">ст. </w:t>
      </w:r>
      <w:r>
        <w:rPr>
          <w:color w:val="231F20"/>
        </w:rPr>
        <w:t>4</w:t>
      </w:r>
      <w:r>
        <w:rPr>
          <w:color w:val="231F20"/>
          <w:spacing w:val="-7"/>
        </w:rPr>
        <w:t xml:space="preserve"> </w:t>
      </w:r>
      <w:r>
        <w:rPr>
          <w:color w:val="231F20"/>
        </w:rPr>
        <w:t>мова</w:t>
      </w:r>
      <w:r>
        <w:rPr>
          <w:color w:val="231F20"/>
          <w:spacing w:val="-7"/>
        </w:rPr>
        <w:t xml:space="preserve"> </w:t>
      </w:r>
      <w:r>
        <w:rPr>
          <w:color w:val="231F20"/>
        </w:rPr>
        <w:t>йде</w:t>
      </w:r>
      <w:r>
        <w:rPr>
          <w:color w:val="231F20"/>
          <w:spacing w:val="-7"/>
        </w:rPr>
        <w:t xml:space="preserve"> </w:t>
      </w:r>
      <w:r>
        <w:rPr>
          <w:color w:val="231F20"/>
        </w:rPr>
        <w:t>про</w:t>
      </w:r>
      <w:r>
        <w:rPr>
          <w:color w:val="231F20"/>
          <w:spacing w:val="-7"/>
        </w:rPr>
        <w:t xml:space="preserve"> </w:t>
      </w:r>
      <w:r>
        <w:rPr>
          <w:color w:val="231F20"/>
        </w:rPr>
        <w:t>такий</w:t>
      </w:r>
      <w:r>
        <w:rPr>
          <w:color w:val="231F20"/>
          <w:spacing w:val="-7"/>
        </w:rPr>
        <w:t xml:space="preserve"> </w:t>
      </w:r>
      <w:r>
        <w:rPr>
          <w:color w:val="231F20"/>
        </w:rPr>
        <w:t>принцип</w:t>
      </w:r>
      <w:r>
        <w:rPr>
          <w:color w:val="231F20"/>
          <w:spacing w:val="-8"/>
        </w:rPr>
        <w:t xml:space="preserve"> </w:t>
      </w:r>
      <w:r>
        <w:rPr>
          <w:color w:val="231F20"/>
        </w:rPr>
        <w:t>державної</w:t>
      </w:r>
      <w:r>
        <w:rPr>
          <w:color w:val="231F20"/>
          <w:spacing w:val="-7"/>
        </w:rPr>
        <w:t xml:space="preserve"> </w:t>
      </w:r>
      <w:r>
        <w:rPr>
          <w:color w:val="231F20"/>
        </w:rPr>
        <w:t>політики</w:t>
      </w:r>
      <w:r>
        <w:rPr>
          <w:color w:val="231F20"/>
          <w:spacing w:val="-7"/>
        </w:rPr>
        <w:t xml:space="preserve"> </w:t>
      </w:r>
      <w:r>
        <w:rPr>
          <w:color w:val="231F20"/>
        </w:rPr>
        <w:t>у</w:t>
      </w:r>
      <w:r>
        <w:rPr>
          <w:color w:val="231F20"/>
          <w:spacing w:val="-9"/>
        </w:rPr>
        <w:t xml:space="preserve"> </w:t>
      </w:r>
      <w:r>
        <w:rPr>
          <w:color w:val="231F20"/>
        </w:rPr>
        <w:t xml:space="preserve">сфері надання адміністративних </w:t>
      </w:r>
      <w:r>
        <w:rPr>
          <w:color w:val="231F20"/>
          <w:spacing w:val="-3"/>
        </w:rPr>
        <w:t xml:space="preserve">послуг, </w:t>
      </w:r>
      <w:r>
        <w:rPr>
          <w:color w:val="231F20"/>
        </w:rPr>
        <w:t>як раціональна мінімізація кіль- кості</w:t>
      </w:r>
      <w:r>
        <w:rPr>
          <w:color w:val="231F20"/>
          <w:spacing w:val="-7"/>
        </w:rPr>
        <w:t xml:space="preserve"> </w:t>
      </w:r>
      <w:r>
        <w:rPr>
          <w:color w:val="231F20"/>
        </w:rPr>
        <w:t>документів</w:t>
      </w:r>
      <w:r>
        <w:rPr>
          <w:color w:val="231F20"/>
          <w:spacing w:val="-7"/>
        </w:rPr>
        <w:t xml:space="preserve"> </w:t>
      </w:r>
      <w:r>
        <w:rPr>
          <w:color w:val="231F20"/>
        </w:rPr>
        <w:t>і</w:t>
      </w:r>
      <w:r>
        <w:rPr>
          <w:color w:val="231F20"/>
          <w:spacing w:val="-7"/>
        </w:rPr>
        <w:t xml:space="preserve"> </w:t>
      </w:r>
      <w:r>
        <w:rPr>
          <w:color w:val="231F20"/>
        </w:rPr>
        <w:t>процедурних</w:t>
      </w:r>
      <w:r>
        <w:rPr>
          <w:color w:val="231F20"/>
          <w:spacing w:val="-7"/>
        </w:rPr>
        <w:t xml:space="preserve"> </w:t>
      </w:r>
      <w:r>
        <w:rPr>
          <w:color w:val="231F20"/>
        </w:rPr>
        <w:t>дій,</w:t>
      </w:r>
      <w:r>
        <w:rPr>
          <w:color w:val="231F20"/>
          <w:spacing w:val="-7"/>
        </w:rPr>
        <w:t xml:space="preserve"> </w:t>
      </w:r>
      <w:r>
        <w:rPr>
          <w:color w:val="231F20"/>
        </w:rPr>
        <w:t>що</w:t>
      </w:r>
      <w:r>
        <w:rPr>
          <w:color w:val="231F20"/>
          <w:spacing w:val="-7"/>
        </w:rPr>
        <w:t xml:space="preserve"> </w:t>
      </w:r>
      <w:r>
        <w:rPr>
          <w:color w:val="231F20"/>
        </w:rPr>
        <w:t>вимагаються</w:t>
      </w:r>
      <w:r>
        <w:rPr>
          <w:color w:val="231F20"/>
          <w:spacing w:val="-7"/>
        </w:rPr>
        <w:t xml:space="preserve"> </w:t>
      </w:r>
      <w:r>
        <w:rPr>
          <w:color w:val="231F20"/>
        </w:rPr>
        <w:t>для</w:t>
      </w:r>
      <w:r>
        <w:rPr>
          <w:color w:val="231F20"/>
          <w:spacing w:val="-7"/>
        </w:rPr>
        <w:t xml:space="preserve"> </w:t>
      </w:r>
      <w:r>
        <w:rPr>
          <w:color w:val="231F20"/>
        </w:rPr>
        <w:t>отримання адміністративних</w:t>
      </w:r>
      <w:r>
        <w:rPr>
          <w:color w:val="231F20"/>
          <w:spacing w:val="-2"/>
        </w:rPr>
        <w:t xml:space="preserve"> </w:t>
      </w:r>
      <w:r>
        <w:rPr>
          <w:color w:val="231F20"/>
          <w:spacing w:val="-3"/>
        </w:rPr>
        <w:t>послуг.</w:t>
      </w:r>
    </w:p>
    <w:p w14:paraId="150D9736" w14:textId="77777777" w:rsidR="00DE575E" w:rsidRDefault="002E7560">
      <w:pPr>
        <w:pStyle w:val="BodyText"/>
        <w:spacing w:before="5" w:line="252" w:lineRule="auto"/>
        <w:ind w:left="250" w:right="411" w:firstLine="283"/>
        <w:jc w:val="both"/>
      </w:pPr>
      <w:r>
        <w:rPr>
          <w:color w:val="231F20"/>
        </w:rPr>
        <w:t>Окрім</w:t>
      </w:r>
      <w:r>
        <w:rPr>
          <w:color w:val="231F20"/>
          <w:spacing w:val="-16"/>
        </w:rPr>
        <w:t xml:space="preserve"> </w:t>
      </w:r>
      <w:r>
        <w:rPr>
          <w:color w:val="231F20"/>
        </w:rPr>
        <w:t>того</w:t>
      </w:r>
      <w:r>
        <w:rPr>
          <w:color w:val="231F20"/>
          <w:spacing w:val="-16"/>
        </w:rPr>
        <w:t xml:space="preserve"> </w:t>
      </w:r>
      <w:r>
        <w:rPr>
          <w:color w:val="231F20"/>
        </w:rPr>
        <w:t>в</w:t>
      </w:r>
      <w:r>
        <w:rPr>
          <w:color w:val="231F20"/>
          <w:spacing w:val="-15"/>
        </w:rPr>
        <w:t xml:space="preserve"> </w:t>
      </w:r>
      <w:r>
        <w:rPr>
          <w:color w:val="231F20"/>
        </w:rPr>
        <w:t>ч.</w:t>
      </w:r>
      <w:r>
        <w:rPr>
          <w:color w:val="231F20"/>
          <w:spacing w:val="-16"/>
        </w:rPr>
        <w:t xml:space="preserve"> </w:t>
      </w:r>
      <w:r>
        <w:rPr>
          <w:color w:val="231F20"/>
        </w:rPr>
        <w:t>5</w:t>
      </w:r>
      <w:r>
        <w:rPr>
          <w:color w:val="231F20"/>
          <w:spacing w:val="-16"/>
        </w:rPr>
        <w:t xml:space="preserve"> </w:t>
      </w:r>
      <w:r>
        <w:rPr>
          <w:color w:val="231F20"/>
          <w:spacing w:val="-6"/>
        </w:rPr>
        <w:t>ст.</w:t>
      </w:r>
      <w:r>
        <w:rPr>
          <w:color w:val="231F20"/>
          <w:spacing w:val="-7"/>
        </w:rPr>
        <w:t xml:space="preserve"> </w:t>
      </w:r>
      <w:r>
        <w:rPr>
          <w:color w:val="231F20"/>
        </w:rPr>
        <w:t>8</w:t>
      </w:r>
      <w:r>
        <w:rPr>
          <w:color w:val="231F20"/>
          <w:spacing w:val="-16"/>
        </w:rPr>
        <w:t xml:space="preserve"> </w:t>
      </w:r>
      <w:r>
        <w:rPr>
          <w:color w:val="231F20"/>
        </w:rPr>
        <w:t>(положення</w:t>
      </w:r>
      <w:r>
        <w:rPr>
          <w:color w:val="231F20"/>
          <w:spacing w:val="-16"/>
        </w:rPr>
        <w:t xml:space="preserve"> </w:t>
      </w:r>
      <w:r>
        <w:rPr>
          <w:color w:val="231F20"/>
        </w:rPr>
        <w:t>цієї</w:t>
      </w:r>
      <w:r>
        <w:rPr>
          <w:color w:val="231F20"/>
          <w:spacing w:val="-16"/>
        </w:rPr>
        <w:t xml:space="preserve"> </w:t>
      </w:r>
      <w:r>
        <w:rPr>
          <w:color w:val="231F20"/>
        </w:rPr>
        <w:t>статті</w:t>
      </w:r>
      <w:r>
        <w:rPr>
          <w:color w:val="231F20"/>
          <w:spacing w:val="-16"/>
        </w:rPr>
        <w:t xml:space="preserve"> </w:t>
      </w:r>
      <w:r>
        <w:rPr>
          <w:color w:val="231F20"/>
        </w:rPr>
        <w:t>спрямовані</w:t>
      </w:r>
      <w:r>
        <w:rPr>
          <w:color w:val="231F20"/>
          <w:spacing w:val="-16"/>
        </w:rPr>
        <w:t xml:space="preserve"> </w:t>
      </w:r>
      <w:r>
        <w:rPr>
          <w:color w:val="231F20"/>
        </w:rPr>
        <w:t>на</w:t>
      </w:r>
      <w:r>
        <w:rPr>
          <w:color w:val="231F20"/>
          <w:spacing w:val="-16"/>
        </w:rPr>
        <w:t xml:space="preserve"> </w:t>
      </w:r>
      <w:r>
        <w:rPr>
          <w:color w:val="231F20"/>
        </w:rPr>
        <w:t>впоряд- кування процедури надання адміністративної послуги) зазначено, що технологічна картка адміністративної послуги містить інформа- цію про порядок надання адміністративної послуги, а</w:t>
      </w:r>
      <w:r>
        <w:rPr>
          <w:color w:val="231F20"/>
          <w:spacing w:val="-6"/>
        </w:rPr>
        <w:t xml:space="preserve"> </w:t>
      </w:r>
      <w:r>
        <w:rPr>
          <w:color w:val="231F20"/>
        </w:rPr>
        <w:t>саме:</w:t>
      </w:r>
    </w:p>
    <w:p w14:paraId="456EBED2" w14:textId="77777777" w:rsidR="00DE575E" w:rsidRDefault="002E7560">
      <w:pPr>
        <w:pStyle w:val="ListParagraph"/>
        <w:numPr>
          <w:ilvl w:val="0"/>
          <w:numId w:val="217"/>
        </w:numPr>
        <w:tabs>
          <w:tab w:val="left" w:pos="818"/>
        </w:tabs>
        <w:spacing w:before="2" w:line="252" w:lineRule="auto"/>
        <w:ind w:right="413" w:firstLine="283"/>
        <w:rPr>
          <w:sz w:val="21"/>
        </w:rPr>
      </w:pPr>
      <w:r>
        <w:rPr>
          <w:color w:val="231F20"/>
          <w:sz w:val="21"/>
        </w:rPr>
        <w:t>етапи опрацювання звернення про надання адміністративної послуги;</w:t>
      </w:r>
    </w:p>
    <w:p w14:paraId="449B4DB7" w14:textId="77777777" w:rsidR="00DE575E" w:rsidRDefault="002E7560">
      <w:pPr>
        <w:pStyle w:val="ListParagraph"/>
        <w:numPr>
          <w:ilvl w:val="0"/>
          <w:numId w:val="217"/>
        </w:numPr>
        <w:tabs>
          <w:tab w:val="left" w:pos="818"/>
        </w:tabs>
        <w:ind w:firstLine="283"/>
        <w:rPr>
          <w:sz w:val="21"/>
        </w:rPr>
      </w:pPr>
      <w:r>
        <w:rPr>
          <w:color w:val="231F20"/>
          <w:sz w:val="21"/>
        </w:rPr>
        <w:t>відповідальну посадову</w:t>
      </w:r>
      <w:r>
        <w:rPr>
          <w:color w:val="231F20"/>
          <w:spacing w:val="-1"/>
          <w:sz w:val="21"/>
        </w:rPr>
        <w:t xml:space="preserve"> </w:t>
      </w:r>
      <w:r>
        <w:rPr>
          <w:color w:val="231F20"/>
          <w:sz w:val="21"/>
        </w:rPr>
        <w:t>особу;</w:t>
      </w:r>
    </w:p>
    <w:p w14:paraId="15012DA4" w14:textId="77777777" w:rsidR="00DE575E" w:rsidRDefault="002E7560">
      <w:pPr>
        <w:pStyle w:val="ListParagraph"/>
        <w:numPr>
          <w:ilvl w:val="0"/>
          <w:numId w:val="217"/>
        </w:numPr>
        <w:tabs>
          <w:tab w:val="left" w:pos="818"/>
        </w:tabs>
        <w:spacing w:before="13"/>
        <w:ind w:firstLine="283"/>
        <w:rPr>
          <w:sz w:val="21"/>
        </w:rPr>
      </w:pPr>
      <w:r>
        <w:rPr>
          <w:color w:val="231F20"/>
          <w:sz w:val="21"/>
        </w:rPr>
        <w:t>структурні підрозділи, відповідальні за етапи (дію,</w:t>
      </w:r>
      <w:r>
        <w:rPr>
          <w:color w:val="231F20"/>
          <w:spacing w:val="-8"/>
          <w:sz w:val="21"/>
        </w:rPr>
        <w:t xml:space="preserve"> </w:t>
      </w:r>
      <w:r>
        <w:rPr>
          <w:color w:val="231F20"/>
          <w:sz w:val="21"/>
        </w:rPr>
        <w:t>рішення);</w:t>
      </w:r>
    </w:p>
    <w:p w14:paraId="69409CFB" w14:textId="77777777" w:rsidR="00DE575E" w:rsidRDefault="002E7560">
      <w:pPr>
        <w:pStyle w:val="ListParagraph"/>
        <w:numPr>
          <w:ilvl w:val="0"/>
          <w:numId w:val="217"/>
        </w:numPr>
        <w:tabs>
          <w:tab w:val="left" w:pos="818"/>
        </w:tabs>
        <w:spacing w:before="13"/>
        <w:ind w:firstLine="283"/>
        <w:rPr>
          <w:sz w:val="21"/>
        </w:rPr>
      </w:pPr>
      <w:r>
        <w:rPr>
          <w:color w:val="231F20"/>
          <w:sz w:val="21"/>
        </w:rPr>
        <w:t>строки виконання етапів (дії,</w:t>
      </w:r>
      <w:r>
        <w:rPr>
          <w:color w:val="231F20"/>
          <w:spacing w:val="-2"/>
          <w:sz w:val="21"/>
        </w:rPr>
        <w:t xml:space="preserve"> </w:t>
      </w:r>
      <w:r>
        <w:rPr>
          <w:color w:val="231F20"/>
          <w:sz w:val="21"/>
        </w:rPr>
        <w:t>рішення)</w:t>
      </w:r>
      <w:r>
        <w:rPr>
          <w:color w:val="231F20"/>
          <w:position w:val="7"/>
          <w:sz w:val="12"/>
        </w:rPr>
        <w:t>2</w:t>
      </w:r>
      <w:r>
        <w:rPr>
          <w:color w:val="231F20"/>
          <w:sz w:val="21"/>
        </w:rPr>
        <w:t>.</w:t>
      </w:r>
    </w:p>
    <w:p w14:paraId="6ED3300F" w14:textId="62DA93E2" w:rsidR="00DE575E" w:rsidRDefault="002E7560">
      <w:pPr>
        <w:pStyle w:val="BodyText"/>
        <w:spacing w:before="3"/>
        <w:rPr>
          <w:sz w:val="26"/>
        </w:rPr>
      </w:pPr>
      <w:r>
        <w:rPr>
          <w:noProof/>
        </w:rPr>
        <mc:AlternateContent>
          <mc:Choice Requires="wps">
            <w:drawing>
              <wp:anchor distT="0" distB="0" distL="0" distR="0" simplePos="0" relativeHeight="7936" behindDoc="0" locked="0" layoutInCell="1" allowOverlap="1" wp14:anchorId="60814651" wp14:editId="49DDF3B0">
                <wp:simplePos x="0" y="0"/>
                <wp:positionH relativeFrom="page">
                  <wp:posOffset>539750</wp:posOffset>
                </wp:positionH>
                <wp:positionV relativeFrom="paragraph">
                  <wp:posOffset>223520</wp:posOffset>
                </wp:positionV>
                <wp:extent cx="1080135" cy="0"/>
                <wp:effectExtent l="6350" t="7620" r="31115" b="30480"/>
                <wp:wrapTopAndBottom/>
                <wp:docPr id="925"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C0ADD" id="Line_x0020_924" o:spid="_x0000_s1026" style="position:absolute;z-index: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6pt" to="127.55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" strokecolor="#231f20" strokeweight=".5pt">
                <w10:wrap type="topAndBottom" anchorx="page"/>
              </v:line>
            </w:pict>
          </mc:Fallback>
        </mc:AlternateContent>
      </w:r>
    </w:p>
    <w:p w14:paraId="36E7985A" w14:textId="77777777" w:rsidR="00DE575E" w:rsidRDefault="002E7560">
      <w:pPr>
        <w:spacing w:line="204" w:lineRule="auto"/>
        <w:ind w:left="250" w:right="521"/>
        <w:rPr>
          <w:sz w:val="16"/>
        </w:rPr>
      </w:pPr>
      <w:r>
        <w:rPr>
          <w:color w:val="231F20"/>
          <w:position w:val="5"/>
          <w:sz w:val="9"/>
        </w:rPr>
        <w:t xml:space="preserve">1 </w:t>
      </w:r>
      <w:r>
        <w:rPr>
          <w:color w:val="231F20"/>
          <w:sz w:val="16"/>
        </w:rPr>
        <w:t>Про затвердження Примірного положення про центр надан</w:t>
      </w:r>
      <w:r>
        <w:rPr>
          <w:color w:val="231F20"/>
          <w:sz w:val="16"/>
        </w:rPr>
        <w:t>ня  адміністративних  послуг. Постанова Кабінету Міністрів України від 20.02.2013 р. №</w:t>
      </w:r>
      <w:r>
        <w:rPr>
          <w:color w:val="231F20"/>
          <w:spacing w:val="-23"/>
          <w:sz w:val="16"/>
        </w:rPr>
        <w:t xml:space="preserve"> </w:t>
      </w:r>
      <w:r>
        <w:rPr>
          <w:color w:val="231F20"/>
          <w:sz w:val="16"/>
        </w:rPr>
        <w:t>118.</w:t>
      </w:r>
    </w:p>
    <w:p w14:paraId="6DCC738F" w14:textId="77777777" w:rsidR="00DE575E" w:rsidRDefault="002E7560">
      <w:pPr>
        <w:spacing w:before="26" w:line="204" w:lineRule="auto"/>
        <w:ind w:left="250" w:right="521"/>
        <w:rPr>
          <w:sz w:val="16"/>
        </w:rPr>
      </w:pPr>
      <w:r>
        <w:rPr>
          <w:color w:val="231F20"/>
          <w:position w:val="5"/>
          <w:sz w:val="9"/>
        </w:rPr>
        <w:t xml:space="preserve">2 </w:t>
      </w:r>
      <w:r>
        <w:rPr>
          <w:color w:val="231F20"/>
          <w:sz w:val="16"/>
        </w:rPr>
        <w:t>Буханевич О. Адміністративні послуги в Україні: засади надання та шляхи вдоскона- лення. Хмельницький, 2017. С. 136.</w:t>
      </w:r>
    </w:p>
    <w:p w14:paraId="577A1DFF" w14:textId="77777777" w:rsidR="00DE575E" w:rsidRDefault="00DE575E">
      <w:pPr>
        <w:pStyle w:val="BodyText"/>
        <w:spacing w:before="5"/>
        <w:rPr>
          <w:sz w:val="12"/>
        </w:rPr>
      </w:pPr>
    </w:p>
    <w:p w14:paraId="02DDB2F5" w14:textId="77777777" w:rsidR="00DE575E" w:rsidRDefault="002E7560">
      <w:pPr>
        <w:spacing w:before="91"/>
        <w:ind w:right="411"/>
        <w:jc w:val="right"/>
        <w:rPr>
          <w:rFonts w:ascii="Times New Roman"/>
          <w:sz w:val="20"/>
        </w:rPr>
      </w:pPr>
      <w:r>
        <w:rPr>
          <w:rFonts w:ascii="Times New Roman"/>
          <w:color w:val="231F20"/>
          <w:w w:val="90"/>
          <w:sz w:val="20"/>
        </w:rPr>
        <w:t>195</w:t>
      </w:r>
    </w:p>
    <w:p w14:paraId="0E27030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9ABC27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w:t>
      </w:r>
      <w:r>
        <w:rPr>
          <w:rFonts w:ascii="AdonisC" w:hAnsi="AdonisC"/>
          <w:i/>
          <w:color w:val="231F20"/>
          <w:sz w:val="18"/>
        </w:rPr>
        <w:t>їни. Повний курс</w:t>
      </w:r>
    </w:p>
    <w:p w14:paraId="1D5126EE" w14:textId="6D86396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A736AF7" wp14:editId="62478A01">
                <wp:extent cx="4140200" cy="6350"/>
                <wp:effectExtent l="0" t="0" r="12700" b="6350"/>
                <wp:docPr id="923"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24" name="Line 92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F61F4E" id="Group_x0020_92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hdPPN/AgAAmAUAAA4A&#10;AAAAAAAAAAAAAAAALAIAAGRycy9lMm9Eb2MueG1sUEsBAi0AFAAGAAgAAAAhAEynsJDZAAAAAwEA&#10;AA8AAAAAAAAAAAAAAAAA1wQAAGRycy9kb3ducmV2LnhtbFBLBQYAAAAABAAEAPMAAADdBQAAAAA=&#10;">
                <v:line id="Line_x0020_92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RKJcYAAADcAAAADwAAAGRycy9kb3ducmV2LnhtbESP0WrCQBRE3wX/YblCX4pu1CIaXUUK&#10;hdIHbY0fcM1ek+Du3ZhdTdqv7xYKPg4zc4ZZbTprxJ0aXzlWMB4lIIhzpysuFByzt+EchA/IGo1j&#10;UvBNHjbrfm+FqXYtf9H9EAoRIexTVFCGUKdS+rwki37kauLonV1jMUTZFFI32Ea4NXKSJDNpseK4&#10;UGJNryXll8PNKsiuz8F87j9Mm+1PU3m67qY/t51ST4NuuwQRqAuP8H/7XStYTF7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USiXGAAAA3AAAAA8AAAAAAAAA&#10;AAAAAAAAoQIAAGRycy9kb3ducmV2LnhtbFBLBQYAAAAABAAEAPkAAACUAwAAAAA=&#10;" strokecolor="#231f20" strokeweight=".5pt"/>
                <w10:anchorlock/>
              </v:group>
            </w:pict>
          </mc:Fallback>
        </mc:AlternateContent>
      </w:r>
    </w:p>
    <w:p w14:paraId="4D4F330E" w14:textId="77777777" w:rsidR="00DE575E" w:rsidRDefault="00DE575E">
      <w:pPr>
        <w:pStyle w:val="BodyText"/>
        <w:spacing w:before="7"/>
        <w:rPr>
          <w:rFonts w:ascii="AdonisC"/>
          <w:i/>
          <w:sz w:val="11"/>
        </w:rPr>
      </w:pPr>
    </w:p>
    <w:p w14:paraId="72667B92" w14:textId="77777777" w:rsidR="00DE575E" w:rsidRDefault="002E7560">
      <w:pPr>
        <w:spacing w:before="101" w:line="252" w:lineRule="auto"/>
        <w:ind w:left="533" w:right="126" w:firstLine="283"/>
        <w:jc w:val="both"/>
        <w:rPr>
          <w:i/>
          <w:sz w:val="21"/>
        </w:rPr>
      </w:pPr>
      <w:r>
        <w:rPr>
          <w:b/>
          <w:i/>
          <w:color w:val="231F20"/>
          <w:sz w:val="21"/>
        </w:rPr>
        <w:t xml:space="preserve">Технологічна картка адміністративної послуги </w:t>
      </w:r>
      <w:r>
        <w:rPr>
          <w:i/>
          <w:color w:val="231F20"/>
          <w:sz w:val="21"/>
        </w:rPr>
        <w:t xml:space="preserve">– це доку- </w:t>
      </w:r>
      <w:r>
        <w:rPr>
          <w:i/>
          <w:color w:val="231F20"/>
          <w:sz w:val="21"/>
        </w:rPr>
        <w:t>мент, у якому детально описується процедура надання  конкрет- ної адміністративної послуги від моменту отримання суб’єктом надання адміністративних послуг заяви щодо адміністративної послуги до видання результату суб’єктові</w:t>
      </w:r>
      <w:r>
        <w:rPr>
          <w:i/>
          <w:color w:val="231F20"/>
          <w:spacing w:val="25"/>
          <w:sz w:val="21"/>
        </w:rPr>
        <w:t xml:space="preserve"> </w:t>
      </w:r>
      <w:r>
        <w:rPr>
          <w:i/>
          <w:color w:val="231F20"/>
          <w:sz w:val="21"/>
        </w:rPr>
        <w:t>звернення.</w:t>
      </w:r>
    </w:p>
    <w:p w14:paraId="609F87EC" w14:textId="77777777" w:rsidR="00DE575E" w:rsidRDefault="002E7560">
      <w:pPr>
        <w:pStyle w:val="BodyText"/>
        <w:spacing w:before="2" w:line="252" w:lineRule="auto"/>
        <w:ind w:left="533" w:right="125" w:firstLine="283"/>
        <w:jc w:val="both"/>
      </w:pPr>
      <w:r>
        <w:rPr>
          <w:color w:val="231F20"/>
        </w:rPr>
        <w:t>Технологічна картка з</w:t>
      </w:r>
      <w:r>
        <w:rPr>
          <w:color w:val="231F20"/>
        </w:rPr>
        <w:t>атверджуються суб’єктом надання адмі- ністративних послуг на кожну адміністративну послугу, яку він надає відповідно до закону, а в разі якщо суб’єктом надання є поса- дова особа, – органом, якому вона підпорядковується. Зауважимо, що в Законі України «Про</w:t>
      </w:r>
      <w:r>
        <w:rPr>
          <w:color w:val="231F20"/>
        </w:rPr>
        <w:t xml:space="preserve"> адміністративні послуги» не передба- чено тлумачення процедури такого затвердження. З ч. 1 ст. 8 цього Закону випливає, що суб’єкт надання самостійно розробляє та затверджує технологічну картку.</w:t>
      </w:r>
    </w:p>
    <w:p w14:paraId="632E5A8C" w14:textId="77777777" w:rsidR="00DE575E" w:rsidRDefault="002E7560">
      <w:pPr>
        <w:pStyle w:val="BodyText"/>
        <w:spacing w:before="4" w:line="252" w:lineRule="auto"/>
        <w:ind w:left="533" w:right="125" w:firstLine="283"/>
        <w:jc w:val="both"/>
      </w:pPr>
      <w:r>
        <w:rPr>
          <w:b/>
          <w:i/>
          <w:color w:val="231F20"/>
        </w:rPr>
        <w:t xml:space="preserve">Етапи   надання    адміністративної    послуги    </w:t>
      </w:r>
      <w:r>
        <w:rPr>
          <w:color w:val="231F20"/>
        </w:rPr>
        <w:t>передбачен</w:t>
      </w:r>
      <w:r>
        <w:rPr>
          <w:color w:val="231F20"/>
        </w:rPr>
        <w:t>і  в Постанові Кабінету Міністрів України від 30.01.2013 р. № 44 «Про затвердження вимог до підготовки технологічної картки адмініст- ративної послуги»</w:t>
      </w:r>
      <w:r>
        <w:rPr>
          <w:color w:val="231F20"/>
          <w:position w:val="7"/>
          <w:sz w:val="12"/>
        </w:rPr>
        <w:t>1</w:t>
      </w:r>
      <w:r>
        <w:rPr>
          <w:color w:val="231F20"/>
        </w:rPr>
        <w:t xml:space="preserve">. </w:t>
      </w:r>
      <w:r>
        <w:rPr>
          <w:color w:val="231F20"/>
          <w:spacing w:val="-3"/>
        </w:rPr>
        <w:t xml:space="preserve">Так, </w:t>
      </w:r>
      <w:r>
        <w:rPr>
          <w:color w:val="231F20"/>
        </w:rPr>
        <w:t>у п.6 зазначено, що етапи опрацювання звернення про надання адміністративної послуги</w:t>
      </w:r>
      <w:r>
        <w:rPr>
          <w:color w:val="231F20"/>
          <w:spacing w:val="3"/>
        </w:rPr>
        <w:t xml:space="preserve"> </w:t>
      </w:r>
      <w:r>
        <w:rPr>
          <w:color w:val="231F20"/>
        </w:rPr>
        <w:t>включають:</w:t>
      </w:r>
    </w:p>
    <w:p w14:paraId="0454A9B2" w14:textId="77777777" w:rsidR="00DE575E" w:rsidRDefault="002E7560">
      <w:pPr>
        <w:pStyle w:val="ListParagraph"/>
        <w:numPr>
          <w:ilvl w:val="0"/>
          <w:numId w:val="216"/>
        </w:numPr>
        <w:tabs>
          <w:tab w:val="left" w:pos="1101"/>
        </w:tabs>
        <w:spacing w:before="3"/>
        <w:ind w:firstLine="284"/>
        <w:rPr>
          <w:sz w:val="21"/>
        </w:rPr>
      </w:pPr>
      <w:r>
        <w:rPr>
          <w:color w:val="231F20"/>
          <w:sz w:val="21"/>
        </w:rPr>
        <w:t>р</w:t>
      </w:r>
      <w:r>
        <w:rPr>
          <w:color w:val="231F20"/>
          <w:sz w:val="21"/>
        </w:rPr>
        <w:t>еєстрацію (оформлення) звернення суб’єкта</w:t>
      </w:r>
      <w:r>
        <w:rPr>
          <w:color w:val="231F20"/>
          <w:spacing w:val="33"/>
          <w:sz w:val="21"/>
        </w:rPr>
        <w:t xml:space="preserve"> </w:t>
      </w:r>
      <w:r>
        <w:rPr>
          <w:color w:val="231F20"/>
          <w:sz w:val="21"/>
        </w:rPr>
        <w:t>звернення;</w:t>
      </w:r>
    </w:p>
    <w:p w14:paraId="3EFEB64E" w14:textId="77777777" w:rsidR="00DE575E" w:rsidRDefault="002E7560">
      <w:pPr>
        <w:pStyle w:val="ListParagraph"/>
        <w:numPr>
          <w:ilvl w:val="0"/>
          <w:numId w:val="216"/>
        </w:numPr>
        <w:tabs>
          <w:tab w:val="left" w:pos="1101"/>
        </w:tabs>
        <w:spacing w:before="12" w:line="252" w:lineRule="auto"/>
        <w:ind w:right="124" w:firstLine="284"/>
        <w:jc w:val="both"/>
        <w:rPr>
          <w:sz w:val="21"/>
        </w:rPr>
      </w:pPr>
      <w:r>
        <w:rPr>
          <w:color w:val="231F20"/>
          <w:sz w:val="21"/>
        </w:rPr>
        <w:t>опрацювання звернення й оформлення (погодження) результату надання адміністративної послуги. Ці функції здій- снюються структурними підрозділами та посадовими особами суб’єкта надання адміністративної по</w:t>
      </w:r>
      <w:r>
        <w:rPr>
          <w:color w:val="231F20"/>
          <w:sz w:val="21"/>
        </w:rPr>
        <w:t xml:space="preserve">слуги, зокрема через взає- модію структурних підрозділів суб’єкта надання такої послуги, суб’єкта надання такої послуги з іншими органами для отри-  мання документів, інформації, рішень, відповідей, потрібних </w:t>
      </w:r>
      <w:r>
        <w:rPr>
          <w:color w:val="231F20"/>
          <w:spacing w:val="1"/>
          <w:sz w:val="21"/>
        </w:rPr>
        <w:t xml:space="preserve">для </w:t>
      </w:r>
      <w:r>
        <w:rPr>
          <w:color w:val="231F20"/>
          <w:sz w:val="21"/>
        </w:rPr>
        <w:t>надання адміністративної послуги, а також з адміністраторами – під час надання такої послуги через центр надання адміністра- тивних послуг, із зазначенням граничних строків  проведення таких</w:t>
      </w:r>
      <w:r>
        <w:rPr>
          <w:color w:val="231F20"/>
          <w:spacing w:val="3"/>
          <w:sz w:val="21"/>
        </w:rPr>
        <w:t xml:space="preserve"> </w:t>
      </w:r>
      <w:r>
        <w:rPr>
          <w:color w:val="231F20"/>
          <w:sz w:val="21"/>
        </w:rPr>
        <w:t>дій;</w:t>
      </w:r>
    </w:p>
    <w:p w14:paraId="4CA4A15B" w14:textId="77777777" w:rsidR="00DE575E" w:rsidRDefault="002E7560">
      <w:pPr>
        <w:pStyle w:val="ListParagraph"/>
        <w:numPr>
          <w:ilvl w:val="0"/>
          <w:numId w:val="216"/>
        </w:numPr>
        <w:tabs>
          <w:tab w:val="left" w:pos="1101"/>
        </w:tabs>
        <w:spacing w:before="6" w:line="252" w:lineRule="auto"/>
        <w:ind w:right="125" w:firstLine="284"/>
        <w:jc w:val="both"/>
        <w:rPr>
          <w:sz w:val="21"/>
        </w:rPr>
      </w:pPr>
      <w:r>
        <w:rPr>
          <w:color w:val="231F20"/>
          <w:sz w:val="21"/>
        </w:rPr>
        <w:t xml:space="preserve">видання результату надання адміністративної послуги та його </w:t>
      </w:r>
      <w:r>
        <w:rPr>
          <w:color w:val="231F20"/>
          <w:sz w:val="21"/>
        </w:rPr>
        <w:t>реєстрацію. Власне етапи, які визначені в Постанові Кабінету Міністрів України від 30.01.2013 р. № 44 «Про затвердження вимог до підготовки технологічної картки адміністративної послуги», можна вважати стадіями процедури надання адміністративної послуги,</w:t>
      </w:r>
      <w:r>
        <w:rPr>
          <w:color w:val="231F20"/>
          <w:spacing w:val="26"/>
          <w:sz w:val="21"/>
        </w:rPr>
        <w:t xml:space="preserve"> </w:t>
      </w:r>
      <w:r>
        <w:rPr>
          <w:color w:val="231F20"/>
          <w:sz w:val="21"/>
        </w:rPr>
        <w:t>о</w:t>
      </w:r>
      <w:r>
        <w:rPr>
          <w:color w:val="231F20"/>
          <w:sz w:val="21"/>
        </w:rPr>
        <w:t>скільки</w:t>
      </w:r>
      <w:r>
        <w:rPr>
          <w:color w:val="231F20"/>
          <w:spacing w:val="26"/>
          <w:sz w:val="21"/>
        </w:rPr>
        <w:t xml:space="preserve"> </w:t>
      </w:r>
      <w:r>
        <w:rPr>
          <w:color w:val="231F20"/>
          <w:sz w:val="21"/>
        </w:rPr>
        <w:t>кожен</w:t>
      </w:r>
      <w:r>
        <w:rPr>
          <w:color w:val="231F20"/>
          <w:spacing w:val="26"/>
          <w:sz w:val="21"/>
        </w:rPr>
        <w:t xml:space="preserve"> </w:t>
      </w:r>
      <w:r>
        <w:rPr>
          <w:color w:val="231F20"/>
          <w:sz w:val="21"/>
        </w:rPr>
        <w:t>з</w:t>
      </w:r>
      <w:r>
        <w:rPr>
          <w:color w:val="231F20"/>
          <w:spacing w:val="26"/>
          <w:sz w:val="21"/>
        </w:rPr>
        <w:t xml:space="preserve"> </w:t>
      </w:r>
      <w:r>
        <w:rPr>
          <w:color w:val="231F20"/>
          <w:sz w:val="21"/>
        </w:rPr>
        <w:t>цих</w:t>
      </w:r>
      <w:r>
        <w:rPr>
          <w:color w:val="231F20"/>
          <w:spacing w:val="26"/>
          <w:sz w:val="21"/>
        </w:rPr>
        <w:t xml:space="preserve"> </w:t>
      </w:r>
      <w:r>
        <w:rPr>
          <w:color w:val="231F20"/>
          <w:sz w:val="21"/>
        </w:rPr>
        <w:t>етапів</w:t>
      </w:r>
      <w:r>
        <w:rPr>
          <w:color w:val="231F20"/>
          <w:spacing w:val="26"/>
          <w:sz w:val="21"/>
        </w:rPr>
        <w:t xml:space="preserve"> </w:t>
      </w:r>
      <w:r>
        <w:rPr>
          <w:color w:val="231F20"/>
          <w:sz w:val="21"/>
        </w:rPr>
        <w:t>містить</w:t>
      </w:r>
      <w:r>
        <w:rPr>
          <w:color w:val="231F20"/>
          <w:spacing w:val="26"/>
          <w:sz w:val="21"/>
        </w:rPr>
        <w:t xml:space="preserve"> </w:t>
      </w:r>
      <w:r>
        <w:rPr>
          <w:color w:val="231F20"/>
          <w:sz w:val="21"/>
        </w:rPr>
        <w:t>у</w:t>
      </w:r>
      <w:r>
        <w:rPr>
          <w:color w:val="231F20"/>
          <w:spacing w:val="23"/>
          <w:sz w:val="21"/>
        </w:rPr>
        <w:t xml:space="preserve"> </w:t>
      </w:r>
      <w:r>
        <w:rPr>
          <w:color w:val="231F20"/>
          <w:sz w:val="21"/>
        </w:rPr>
        <w:t>собі</w:t>
      </w:r>
      <w:r>
        <w:rPr>
          <w:color w:val="231F20"/>
          <w:spacing w:val="26"/>
          <w:sz w:val="21"/>
        </w:rPr>
        <w:t xml:space="preserve"> </w:t>
      </w:r>
      <w:r>
        <w:rPr>
          <w:color w:val="231F20"/>
          <w:sz w:val="21"/>
        </w:rPr>
        <w:t>низку</w:t>
      </w:r>
      <w:r>
        <w:rPr>
          <w:color w:val="231F20"/>
          <w:spacing w:val="26"/>
          <w:sz w:val="21"/>
        </w:rPr>
        <w:t xml:space="preserve"> </w:t>
      </w:r>
      <w:r>
        <w:rPr>
          <w:color w:val="231F20"/>
          <w:sz w:val="21"/>
        </w:rPr>
        <w:t>дій,</w:t>
      </w:r>
      <w:r>
        <w:rPr>
          <w:color w:val="231F20"/>
          <w:spacing w:val="26"/>
          <w:sz w:val="21"/>
        </w:rPr>
        <w:t xml:space="preserve"> </w:t>
      </w:r>
      <w:r>
        <w:rPr>
          <w:color w:val="231F20"/>
          <w:sz w:val="21"/>
        </w:rPr>
        <w:t>які</w:t>
      </w:r>
    </w:p>
    <w:p w14:paraId="62CF03C9" w14:textId="77777777" w:rsidR="00DE575E" w:rsidRDefault="00DE575E">
      <w:pPr>
        <w:pStyle w:val="BodyText"/>
        <w:rPr>
          <w:sz w:val="20"/>
        </w:rPr>
      </w:pPr>
    </w:p>
    <w:p w14:paraId="3AD12D28" w14:textId="61B6BCEC" w:rsidR="00DE575E" w:rsidRDefault="002E7560">
      <w:pPr>
        <w:pStyle w:val="BodyText"/>
        <w:spacing w:before="10"/>
        <w:rPr>
          <w:sz w:val="12"/>
        </w:rPr>
      </w:pPr>
      <w:r>
        <w:rPr>
          <w:noProof/>
        </w:rPr>
        <mc:AlternateContent>
          <mc:Choice Requires="wps">
            <w:drawing>
              <wp:anchor distT="0" distB="0" distL="0" distR="0" simplePos="0" relativeHeight="7984" behindDoc="0" locked="0" layoutInCell="1" allowOverlap="1" wp14:anchorId="334751B4" wp14:editId="14502561">
                <wp:simplePos x="0" y="0"/>
                <wp:positionH relativeFrom="page">
                  <wp:posOffset>719455</wp:posOffset>
                </wp:positionH>
                <wp:positionV relativeFrom="paragraph">
                  <wp:posOffset>123825</wp:posOffset>
                </wp:positionV>
                <wp:extent cx="1080135" cy="0"/>
                <wp:effectExtent l="8255" t="9525" r="29210" b="28575"/>
                <wp:wrapTopAndBottom/>
                <wp:docPr id="922"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D1F86" id="Line_x0020_921" o:spid="_x0000_s1026" style="position:absolute;z-index: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5pt" to="141.7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" strokecolor="#231f20" strokeweight=".5pt">
                <w10:wrap type="topAndBottom" anchorx="page"/>
              </v:line>
            </w:pict>
          </mc:Fallback>
        </mc:AlternateContent>
      </w:r>
    </w:p>
    <w:p w14:paraId="05BE2A08" w14:textId="77777777" w:rsidR="00DE575E" w:rsidRDefault="002E7560">
      <w:pPr>
        <w:spacing w:line="204" w:lineRule="auto"/>
        <w:ind w:left="533" w:right="521"/>
        <w:rPr>
          <w:sz w:val="16"/>
        </w:rPr>
      </w:pPr>
      <w:r>
        <w:rPr>
          <w:color w:val="231F20"/>
          <w:position w:val="5"/>
          <w:sz w:val="9"/>
        </w:rPr>
        <w:t xml:space="preserve">1 </w:t>
      </w:r>
      <w:r>
        <w:rPr>
          <w:color w:val="231F20"/>
          <w:sz w:val="16"/>
        </w:rPr>
        <w:t>Про затвердження вимог до підготовки технологічної картки  адміністративної послуги. Постанова Кабінету Міністрів України від 30.01.2013 р. №</w:t>
      </w:r>
      <w:r>
        <w:rPr>
          <w:color w:val="231F20"/>
          <w:spacing w:val="-20"/>
          <w:sz w:val="16"/>
        </w:rPr>
        <w:t xml:space="preserve"> </w:t>
      </w:r>
      <w:r>
        <w:rPr>
          <w:color w:val="231F20"/>
          <w:sz w:val="16"/>
        </w:rPr>
        <w:t>44.</w:t>
      </w:r>
    </w:p>
    <w:p w14:paraId="6B5F27DB" w14:textId="77777777" w:rsidR="00DE575E" w:rsidRDefault="00DE575E">
      <w:pPr>
        <w:pStyle w:val="BodyText"/>
        <w:spacing w:before="1"/>
        <w:rPr>
          <w:sz w:val="12"/>
        </w:rPr>
      </w:pPr>
    </w:p>
    <w:p w14:paraId="3C88EA2E" w14:textId="77777777" w:rsidR="00DE575E" w:rsidRDefault="002E7560">
      <w:pPr>
        <w:spacing w:before="92"/>
        <w:ind w:left="533"/>
        <w:rPr>
          <w:rFonts w:ascii="Times New Roman"/>
          <w:sz w:val="20"/>
        </w:rPr>
      </w:pPr>
      <w:r>
        <w:rPr>
          <w:rFonts w:ascii="Times New Roman"/>
          <w:color w:val="231F20"/>
          <w:sz w:val="20"/>
        </w:rPr>
        <w:t>196</w:t>
      </w:r>
    </w:p>
    <w:p w14:paraId="6B8CB6A8" w14:textId="77777777" w:rsidR="00DE575E" w:rsidRDefault="00DE575E">
      <w:pPr>
        <w:rPr>
          <w:rFonts w:ascii="Times New Roman"/>
          <w:sz w:val="20"/>
        </w:rPr>
        <w:sectPr w:rsidR="00DE575E">
          <w:pgSz w:w="8510" w:h="12760"/>
          <w:pgMar w:top="660" w:right="720" w:bottom="280" w:left="600" w:header="720" w:footer="720" w:gutter="0"/>
          <w:cols w:space="720"/>
        </w:sectPr>
      </w:pPr>
    </w:p>
    <w:p w14:paraId="104843F8"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3F643B2A" w14:textId="57371BD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216331E" wp14:editId="2E719A3F">
                <wp:extent cx="4140200" cy="6350"/>
                <wp:effectExtent l="0" t="0" r="12700" b="6350"/>
                <wp:docPr id="920"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21" name="Line 92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400EDB" id="Group_x0020_91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KxTb8gAIAAJgFAAAO&#10;AAAAAAAAAAAAAAAAACwCAABkcnMvZTJvRG9jLnhtbFBLAQItABQABgAIAAAAIQBMp7CQ2QAAAAMB&#10;AAAPAAAAAAAAAAAAAAAAANgEAABkcnMvZG93bnJldi54bWxQSwUGAAAAAAQABADzAAAA3gUAAAAA&#10;">
                <v:line id="Line_x0020_92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PpvccAAADcAAAADwAAAGRycy9kb3ducmV2LnhtbESP0WrCQBRE3wv9h+UWfJG6UaG0qZsg&#10;giA+aGv6AdfsbRK6ezdmVxP9+m5B6OMwM2eYRT5YIy7U+caxgukkAUFcOt1wpeCrWD+/gvABWaNx&#10;TAqu5CHPHh8WmGrX8yddDqESEcI+RQV1CG0qpS9rsugnriWO3rfrLIYou0rqDvsIt0bOkuRFWmw4&#10;LtTY0qqm8udwtgqK0ziYj/3W9MX+OJfH025+O++UGj0Ny3cQgYbwH763N1rB22wK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Y+m9xwAAANwAAAAPAAAAAAAA&#10;AAAAAAAAAKECAABkcnMvZG93bnJldi54bWxQSwUGAAAAAAQABAD5AAAAlQMAAAAA&#10;" strokecolor="#231f20" strokeweight=".5pt"/>
                <w10:anchorlock/>
              </v:group>
            </w:pict>
          </mc:Fallback>
        </mc:AlternateContent>
      </w:r>
    </w:p>
    <w:p w14:paraId="033E8B56" w14:textId="77777777" w:rsidR="00DE575E" w:rsidRDefault="00DE575E">
      <w:pPr>
        <w:pStyle w:val="BodyText"/>
        <w:spacing w:before="7"/>
        <w:rPr>
          <w:rFonts w:ascii="AdonisC"/>
          <w:i/>
          <w:sz w:val="19"/>
        </w:rPr>
      </w:pPr>
    </w:p>
    <w:p w14:paraId="117403E3" w14:textId="77777777" w:rsidR="00DE575E" w:rsidRDefault="002E7560">
      <w:pPr>
        <w:pStyle w:val="BodyText"/>
        <w:spacing w:before="1" w:line="252" w:lineRule="auto"/>
        <w:ind w:left="250" w:right="128"/>
      </w:pPr>
      <w:r>
        <w:rPr>
          <w:color w:val="231F20"/>
        </w:rPr>
        <w:t>можуть бути об’єднанні в певні етапи. Структуру процедури скла- дають стадії, а етапи є їх елементом.</w:t>
      </w:r>
    </w:p>
    <w:p w14:paraId="2AC5E44D" w14:textId="77777777" w:rsidR="00DE575E" w:rsidRDefault="002E7560">
      <w:pPr>
        <w:pStyle w:val="BodyText"/>
        <w:spacing w:before="1" w:line="252" w:lineRule="auto"/>
        <w:ind w:left="250" w:right="409" w:firstLine="283"/>
        <w:jc w:val="both"/>
      </w:pPr>
      <w:r>
        <w:rPr>
          <w:color w:val="231F20"/>
        </w:rPr>
        <w:t>Відповідно до ст. 9 Закону України «Про адміністративні послуги» такі послуги надаються суб’єктами надання послуг без</w:t>
      </w:r>
      <w:r>
        <w:rPr>
          <w:color w:val="231F20"/>
        </w:rPr>
        <w:t>по- середньо через центри надання адміністративних послуг та/або через Єдиний державний портал адміністративних послуг.</w:t>
      </w:r>
    </w:p>
    <w:p w14:paraId="04D4175F" w14:textId="77777777" w:rsidR="00DE575E" w:rsidRDefault="002E7560">
      <w:pPr>
        <w:pStyle w:val="BodyText"/>
        <w:spacing w:before="2" w:line="252" w:lineRule="auto"/>
        <w:ind w:left="250" w:right="408" w:firstLine="283"/>
        <w:jc w:val="both"/>
      </w:pPr>
      <w:r>
        <w:rPr>
          <w:i/>
          <w:color w:val="231F20"/>
        </w:rPr>
        <w:t xml:space="preserve">Фізична особа, </w:t>
      </w:r>
      <w:r>
        <w:rPr>
          <w:color w:val="231F20"/>
        </w:rPr>
        <w:t>зокрема фізична особа-підприємець, має  право  на отримання адміністративної послуги незалежно від реєстрації її місця пр</w:t>
      </w:r>
      <w:r>
        <w:rPr>
          <w:color w:val="231F20"/>
        </w:rPr>
        <w:t>оживання, крім випадків, установлених</w:t>
      </w:r>
      <w:r>
        <w:rPr>
          <w:color w:val="231F20"/>
          <w:spacing w:val="35"/>
        </w:rPr>
        <w:t xml:space="preserve"> </w:t>
      </w:r>
      <w:r>
        <w:rPr>
          <w:color w:val="231F20"/>
        </w:rPr>
        <w:t>законом.</w:t>
      </w:r>
    </w:p>
    <w:p w14:paraId="5791503B" w14:textId="77777777" w:rsidR="00DE575E" w:rsidRDefault="002E7560">
      <w:pPr>
        <w:pStyle w:val="BodyText"/>
        <w:spacing w:before="1" w:line="252" w:lineRule="auto"/>
        <w:ind w:left="250" w:right="409" w:firstLine="283"/>
        <w:jc w:val="both"/>
      </w:pPr>
      <w:r>
        <w:rPr>
          <w:i/>
          <w:color w:val="231F20"/>
        </w:rPr>
        <w:t xml:space="preserve">Юридична особа </w:t>
      </w:r>
      <w:r>
        <w:rPr>
          <w:color w:val="231F20"/>
        </w:rPr>
        <w:t>має право на отримання адміністративної послуги за місцем розташування такої особи або у випадках, перед- бачених законом, – за місцем провадження діяльності або місцем розташування відповідного</w:t>
      </w:r>
      <w:r>
        <w:rPr>
          <w:color w:val="231F20"/>
        </w:rPr>
        <w:t xml:space="preserve"> об’єкта.</w:t>
      </w:r>
    </w:p>
    <w:p w14:paraId="7CBFD487" w14:textId="77777777" w:rsidR="00DE575E" w:rsidRDefault="002E7560">
      <w:pPr>
        <w:pStyle w:val="BodyText"/>
        <w:spacing w:before="2" w:line="252" w:lineRule="auto"/>
        <w:ind w:left="250" w:right="408" w:firstLine="283"/>
        <w:jc w:val="both"/>
      </w:pPr>
      <w:r>
        <w:rPr>
          <w:b/>
          <w:i/>
          <w:color w:val="231F20"/>
        </w:rPr>
        <w:t xml:space="preserve">Заява  на  отримання  адміністративної  послуги  </w:t>
      </w:r>
      <w:r>
        <w:rPr>
          <w:color w:val="231F20"/>
        </w:rPr>
        <w:t>подається в письмовій, усній чи електронній формі. Письмова заява може  бути подана суб’єктові надання адміністративної послуги особи- сто суб’єктом звернення або його представником (законним предс</w:t>
      </w:r>
      <w:r>
        <w:rPr>
          <w:color w:val="231F20"/>
        </w:rPr>
        <w:t>тавником), надіслана поштою, а в разі надання адміністра- тивних послуг в електронній формі – через Єдиний державний портал адміністративних послуг, зокрема через інтегровані з ним інформаційні системи державних органів та органів місцевого самоврядування</w:t>
      </w:r>
      <w:r>
        <w:rPr>
          <w:color w:val="231F20"/>
          <w:position w:val="7"/>
          <w:sz w:val="12"/>
        </w:rPr>
        <w:t>1</w:t>
      </w:r>
      <w:r>
        <w:rPr>
          <w:color w:val="231F20"/>
        </w:rPr>
        <w:t>.</w:t>
      </w:r>
    </w:p>
    <w:p w14:paraId="66492ADD" w14:textId="77777777" w:rsidR="00DE575E" w:rsidRDefault="002E7560">
      <w:pPr>
        <w:pStyle w:val="BodyText"/>
        <w:spacing w:before="5" w:line="252" w:lineRule="auto"/>
        <w:ind w:left="250" w:right="409" w:firstLine="283"/>
        <w:jc w:val="both"/>
      </w:pPr>
      <w:r>
        <w:rPr>
          <w:b/>
          <w:color w:val="231F20"/>
        </w:rPr>
        <w:t xml:space="preserve">Перша стадія </w:t>
      </w:r>
      <w:r>
        <w:rPr>
          <w:color w:val="231F20"/>
        </w:rPr>
        <w:t>процедури надання адміністративної послуги  при зверненні за такою послугою до ЦНАП буде включати етапи, визначені у Примірному регламенті</w:t>
      </w:r>
      <w:r>
        <w:rPr>
          <w:color w:val="231F20"/>
          <w:spacing w:val="17"/>
        </w:rPr>
        <w:t xml:space="preserve"> </w:t>
      </w:r>
      <w:r>
        <w:rPr>
          <w:color w:val="231F20"/>
        </w:rPr>
        <w:t>ЦНАП.</w:t>
      </w:r>
    </w:p>
    <w:p w14:paraId="1FFE48D0" w14:textId="77777777" w:rsidR="00DE575E" w:rsidRDefault="002E7560">
      <w:pPr>
        <w:pStyle w:val="Heading6"/>
        <w:ind w:firstLine="0"/>
      </w:pPr>
      <w:r>
        <w:rPr>
          <w:color w:val="231F20"/>
        </w:rPr>
        <w:t>Реєструючи заяву, адміністратор:</w:t>
      </w:r>
    </w:p>
    <w:p w14:paraId="793C15F2" w14:textId="77777777" w:rsidR="00DE575E" w:rsidRDefault="002E7560">
      <w:pPr>
        <w:pStyle w:val="ListParagraph"/>
        <w:numPr>
          <w:ilvl w:val="0"/>
          <w:numId w:val="215"/>
        </w:numPr>
        <w:tabs>
          <w:tab w:val="left" w:pos="818"/>
        </w:tabs>
        <w:spacing w:before="13" w:line="252" w:lineRule="auto"/>
        <w:ind w:right="410" w:firstLine="283"/>
        <w:jc w:val="both"/>
        <w:rPr>
          <w:sz w:val="21"/>
        </w:rPr>
      </w:pPr>
      <w:r>
        <w:rPr>
          <w:color w:val="231F20"/>
          <w:sz w:val="21"/>
        </w:rPr>
        <w:t>перевіряє відповідність вхідного пакету документів інфор- маційній картці адміністративної послуги, у разі потреби надає допомогу суб’єктові звернення в заповненні бланка</w:t>
      </w:r>
      <w:r>
        <w:rPr>
          <w:color w:val="231F20"/>
          <w:spacing w:val="40"/>
          <w:sz w:val="21"/>
        </w:rPr>
        <w:t xml:space="preserve"> </w:t>
      </w:r>
      <w:r>
        <w:rPr>
          <w:color w:val="231F20"/>
          <w:sz w:val="21"/>
        </w:rPr>
        <w:t>заяви;</w:t>
      </w:r>
    </w:p>
    <w:p w14:paraId="1122E292" w14:textId="77777777" w:rsidR="00DE575E" w:rsidRDefault="002E7560">
      <w:pPr>
        <w:pStyle w:val="ListParagraph"/>
        <w:numPr>
          <w:ilvl w:val="0"/>
          <w:numId w:val="215"/>
        </w:numPr>
        <w:tabs>
          <w:tab w:val="left" w:pos="818"/>
        </w:tabs>
        <w:ind w:firstLine="283"/>
        <w:rPr>
          <w:sz w:val="21"/>
        </w:rPr>
      </w:pPr>
      <w:r>
        <w:rPr>
          <w:color w:val="231F20"/>
          <w:sz w:val="21"/>
        </w:rPr>
        <w:t>складає опис вхідного пакету</w:t>
      </w:r>
      <w:r>
        <w:rPr>
          <w:color w:val="231F20"/>
          <w:spacing w:val="20"/>
          <w:sz w:val="21"/>
        </w:rPr>
        <w:t xml:space="preserve"> </w:t>
      </w:r>
      <w:r>
        <w:rPr>
          <w:color w:val="231F20"/>
          <w:sz w:val="21"/>
        </w:rPr>
        <w:t>документів;</w:t>
      </w:r>
    </w:p>
    <w:p w14:paraId="025AC60C" w14:textId="77777777" w:rsidR="00DE575E" w:rsidRDefault="002E7560">
      <w:pPr>
        <w:pStyle w:val="ListParagraph"/>
        <w:numPr>
          <w:ilvl w:val="0"/>
          <w:numId w:val="215"/>
        </w:numPr>
        <w:tabs>
          <w:tab w:val="left" w:pos="818"/>
        </w:tabs>
        <w:spacing w:before="13" w:line="252" w:lineRule="auto"/>
        <w:ind w:right="410" w:firstLine="283"/>
        <w:jc w:val="both"/>
        <w:rPr>
          <w:sz w:val="21"/>
        </w:rPr>
      </w:pPr>
      <w:r>
        <w:rPr>
          <w:color w:val="231F20"/>
          <w:sz w:val="21"/>
        </w:rPr>
        <w:t>здійснює реєстрацію вхідного пакета д</w:t>
      </w:r>
      <w:r>
        <w:rPr>
          <w:color w:val="231F20"/>
          <w:sz w:val="21"/>
        </w:rPr>
        <w:t>окументів через внесення даних до журналу реєстрації (у паперовій та/або елек- тронній</w:t>
      </w:r>
      <w:r>
        <w:rPr>
          <w:color w:val="231F20"/>
          <w:spacing w:val="3"/>
          <w:sz w:val="21"/>
        </w:rPr>
        <w:t xml:space="preserve"> </w:t>
      </w:r>
      <w:r>
        <w:rPr>
          <w:color w:val="231F20"/>
          <w:sz w:val="21"/>
        </w:rPr>
        <w:t>формі);</w:t>
      </w:r>
    </w:p>
    <w:p w14:paraId="6F6C6704" w14:textId="77777777" w:rsidR="00DE575E" w:rsidRDefault="002E7560">
      <w:pPr>
        <w:pStyle w:val="ListParagraph"/>
        <w:numPr>
          <w:ilvl w:val="0"/>
          <w:numId w:val="215"/>
        </w:numPr>
        <w:tabs>
          <w:tab w:val="left" w:pos="818"/>
        </w:tabs>
        <w:spacing w:before="2" w:line="252" w:lineRule="auto"/>
        <w:ind w:right="409" w:firstLine="283"/>
        <w:jc w:val="both"/>
        <w:rPr>
          <w:sz w:val="21"/>
        </w:rPr>
      </w:pPr>
      <w:r>
        <w:rPr>
          <w:color w:val="231F20"/>
          <w:sz w:val="21"/>
        </w:rPr>
        <w:t>складає лист про проходження справи в паперовій та/або електронній</w:t>
      </w:r>
      <w:r>
        <w:rPr>
          <w:color w:val="231F20"/>
          <w:spacing w:val="3"/>
          <w:sz w:val="21"/>
        </w:rPr>
        <w:t xml:space="preserve"> </w:t>
      </w:r>
      <w:r>
        <w:rPr>
          <w:color w:val="231F20"/>
          <w:sz w:val="21"/>
        </w:rPr>
        <w:t>формі;</w:t>
      </w:r>
    </w:p>
    <w:p w14:paraId="2CB8E830" w14:textId="77777777" w:rsidR="00DE575E" w:rsidRDefault="002E7560">
      <w:pPr>
        <w:pStyle w:val="ListParagraph"/>
        <w:numPr>
          <w:ilvl w:val="0"/>
          <w:numId w:val="215"/>
        </w:numPr>
        <w:tabs>
          <w:tab w:val="left" w:pos="818"/>
        </w:tabs>
        <w:spacing w:line="252" w:lineRule="auto"/>
        <w:ind w:right="409" w:firstLine="283"/>
        <w:jc w:val="both"/>
        <w:rPr>
          <w:sz w:val="21"/>
        </w:rPr>
      </w:pPr>
      <w:r>
        <w:rPr>
          <w:color w:val="231F20"/>
          <w:sz w:val="21"/>
        </w:rPr>
        <w:t>з’ясовує суб’єкта надання адміністративної послуги, до компетенції</w:t>
      </w:r>
      <w:r>
        <w:rPr>
          <w:color w:val="231F20"/>
          <w:spacing w:val="25"/>
          <w:sz w:val="21"/>
        </w:rPr>
        <w:t xml:space="preserve"> </w:t>
      </w:r>
      <w:r>
        <w:rPr>
          <w:color w:val="231F20"/>
          <w:sz w:val="21"/>
        </w:rPr>
        <w:t>якого</w:t>
      </w:r>
      <w:r>
        <w:rPr>
          <w:color w:val="231F20"/>
          <w:spacing w:val="25"/>
          <w:sz w:val="21"/>
        </w:rPr>
        <w:t xml:space="preserve"> </w:t>
      </w:r>
      <w:r>
        <w:rPr>
          <w:color w:val="231F20"/>
          <w:sz w:val="21"/>
        </w:rPr>
        <w:t>належить</w:t>
      </w:r>
      <w:r>
        <w:rPr>
          <w:color w:val="231F20"/>
          <w:spacing w:val="25"/>
          <w:sz w:val="21"/>
        </w:rPr>
        <w:t xml:space="preserve"> </w:t>
      </w:r>
      <w:r>
        <w:rPr>
          <w:color w:val="231F20"/>
          <w:sz w:val="21"/>
        </w:rPr>
        <w:t>питання</w:t>
      </w:r>
      <w:r>
        <w:rPr>
          <w:color w:val="231F20"/>
          <w:spacing w:val="25"/>
          <w:sz w:val="21"/>
        </w:rPr>
        <w:t xml:space="preserve"> </w:t>
      </w:r>
      <w:r>
        <w:rPr>
          <w:color w:val="231F20"/>
          <w:sz w:val="21"/>
        </w:rPr>
        <w:t>ухвалення</w:t>
      </w:r>
      <w:r>
        <w:rPr>
          <w:color w:val="231F20"/>
          <w:spacing w:val="25"/>
          <w:sz w:val="21"/>
        </w:rPr>
        <w:t xml:space="preserve"> </w:t>
      </w:r>
      <w:r>
        <w:rPr>
          <w:color w:val="231F20"/>
          <w:sz w:val="21"/>
        </w:rPr>
        <w:t>рішення</w:t>
      </w:r>
      <w:r>
        <w:rPr>
          <w:color w:val="231F20"/>
          <w:spacing w:val="23"/>
          <w:sz w:val="21"/>
        </w:rPr>
        <w:t xml:space="preserve"> </w:t>
      </w:r>
      <w:r>
        <w:rPr>
          <w:color w:val="231F20"/>
          <w:sz w:val="21"/>
        </w:rPr>
        <w:t>у</w:t>
      </w:r>
      <w:r>
        <w:rPr>
          <w:color w:val="231F20"/>
          <w:spacing w:val="22"/>
          <w:sz w:val="21"/>
        </w:rPr>
        <w:t xml:space="preserve"> </w:t>
      </w:r>
      <w:r>
        <w:rPr>
          <w:color w:val="231F20"/>
          <w:sz w:val="21"/>
        </w:rPr>
        <w:t>справі;</w:t>
      </w:r>
    </w:p>
    <w:p w14:paraId="4CB03AD9" w14:textId="3FA61C85" w:rsidR="00DE575E" w:rsidRDefault="002E7560">
      <w:pPr>
        <w:pStyle w:val="BodyText"/>
        <w:spacing w:before="3"/>
        <w:rPr>
          <w:sz w:val="24"/>
        </w:rPr>
      </w:pPr>
      <w:r>
        <w:rPr>
          <w:noProof/>
        </w:rPr>
        <mc:AlternateContent>
          <mc:Choice Requires="wps">
            <w:drawing>
              <wp:anchor distT="0" distB="0" distL="0" distR="0" simplePos="0" relativeHeight="8032" behindDoc="0" locked="0" layoutInCell="1" allowOverlap="1" wp14:anchorId="679B2754" wp14:editId="26485308">
                <wp:simplePos x="0" y="0"/>
                <wp:positionH relativeFrom="page">
                  <wp:posOffset>539750</wp:posOffset>
                </wp:positionH>
                <wp:positionV relativeFrom="paragraph">
                  <wp:posOffset>208280</wp:posOffset>
                </wp:positionV>
                <wp:extent cx="1080135" cy="0"/>
                <wp:effectExtent l="6350" t="17780" r="31115" b="20320"/>
                <wp:wrapTopAndBottom/>
                <wp:docPr id="919"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5F13F" id="Line_x0020_918" o:spid="_x0000_s1026" style="position:absolute;z-index: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pt" to="127.5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SGCICAABF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" strokecolor="#231f20" strokeweight=".5pt">
                <w10:wrap type="topAndBottom" anchorx="page"/>
              </v:line>
            </w:pict>
          </mc:Fallback>
        </mc:AlternateContent>
      </w:r>
    </w:p>
    <w:p w14:paraId="1FCE86A1" w14:textId="77777777" w:rsidR="00DE575E" w:rsidRDefault="002E7560">
      <w:pPr>
        <w:spacing w:line="162" w:lineRule="exact"/>
        <w:ind w:left="250"/>
        <w:rPr>
          <w:sz w:val="16"/>
        </w:rPr>
      </w:pPr>
      <w:r>
        <w:rPr>
          <w:color w:val="231F20"/>
          <w:position w:val="5"/>
          <w:sz w:val="9"/>
        </w:rPr>
        <w:t xml:space="preserve">1 </w:t>
      </w:r>
      <w:r>
        <w:rPr>
          <w:color w:val="231F20"/>
          <w:sz w:val="16"/>
        </w:rPr>
        <w:t>Закон від 6.09.2012 р. № 520.</w:t>
      </w:r>
    </w:p>
    <w:p w14:paraId="510F8243" w14:textId="77777777" w:rsidR="00DE575E" w:rsidRDefault="00DE575E">
      <w:pPr>
        <w:pStyle w:val="BodyText"/>
        <w:spacing w:before="10"/>
        <w:rPr>
          <w:sz w:val="11"/>
        </w:rPr>
      </w:pPr>
    </w:p>
    <w:p w14:paraId="5B0531E2" w14:textId="77777777" w:rsidR="00DE575E" w:rsidRDefault="002E7560">
      <w:pPr>
        <w:spacing w:before="92"/>
        <w:ind w:right="411"/>
        <w:jc w:val="right"/>
        <w:rPr>
          <w:rFonts w:ascii="Times New Roman"/>
          <w:sz w:val="20"/>
        </w:rPr>
      </w:pPr>
      <w:r>
        <w:rPr>
          <w:rFonts w:ascii="Times New Roman"/>
          <w:color w:val="231F20"/>
          <w:w w:val="90"/>
          <w:sz w:val="20"/>
        </w:rPr>
        <w:t>197</w:t>
      </w:r>
    </w:p>
    <w:p w14:paraId="71579A5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8C9FE3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82B27D4" w14:textId="405369F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640C145" wp14:editId="45B8098E">
                <wp:extent cx="4140200" cy="6350"/>
                <wp:effectExtent l="0" t="0" r="12700" b="6350"/>
                <wp:docPr id="91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18" name="Line 9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040551" id="Group_x0020_9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KaROYgAIAAJgFAAAO&#10;AAAAAAAAAAAAAAAAACwCAABkcnMvZTJvRG9jLnhtbFBLAQItABQABgAIAAAAIQBMp7CQ2QAAAAMB&#10;AAAPAAAAAAAAAAAAAAAAANgEAABkcnMvZG93bnJldi54bWxQSwUGAAAAAAQABADzAAAA3gUAAAAA&#10;">
                <v:line id="Line_x0020_9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WKncMAAADcAAAADwAAAGRycy9kb3ducmV2LnhtbERP3WrCMBS+F/YO4Qy8kZmqIK4zyhgI&#10;4oXOdg9wbM7asuSkNtFWn95cDLz8+P6X694acaXW144VTMYJCOLC6ZpLBT/55m0BwgdkjcYxKbiR&#10;h/XqZbDEVLuOj3TNQiliCPsUFVQhNKmUvqjIoh+7hjhyv661GCJsS6lb7GK4NXKaJHNpsebYUGFD&#10;XxUVf9nFKsjPo2C+DzvT5YfTTJ7O+9n9sldq+Np/foAI1Ien+N+91QreJ3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1ip3DAAAA3AAAAA8AAAAAAAAAAAAA&#10;AAAAoQIAAGRycy9kb3ducmV2LnhtbFBLBQYAAAAABAAEAPkAAACRAwAAAAA=&#10;" strokecolor="#231f20" strokeweight=".5pt"/>
                <w10:anchorlock/>
              </v:group>
            </w:pict>
          </mc:Fallback>
        </mc:AlternateContent>
      </w:r>
    </w:p>
    <w:p w14:paraId="7AA3B64C" w14:textId="77777777" w:rsidR="00DE575E" w:rsidRDefault="00DE575E">
      <w:pPr>
        <w:pStyle w:val="BodyText"/>
        <w:spacing w:before="7"/>
        <w:rPr>
          <w:rFonts w:ascii="AdonisC"/>
          <w:i/>
          <w:sz w:val="11"/>
        </w:rPr>
      </w:pPr>
    </w:p>
    <w:p w14:paraId="759569FB" w14:textId="77777777" w:rsidR="00DE575E" w:rsidRDefault="002E7560">
      <w:pPr>
        <w:pStyle w:val="BodyText"/>
        <w:spacing w:before="101" w:line="252" w:lineRule="auto"/>
        <w:ind w:left="533"/>
      </w:pPr>
      <w:r>
        <w:rPr>
          <w:color w:val="231F20"/>
        </w:rPr>
        <w:t>надсилає вхідний пакет документів суб’єктові надання адміністра- тивної послуги</w:t>
      </w:r>
      <w:r>
        <w:rPr>
          <w:color w:val="231F20"/>
          <w:position w:val="7"/>
          <w:sz w:val="12"/>
        </w:rPr>
        <w:t>1</w:t>
      </w:r>
      <w:r>
        <w:rPr>
          <w:color w:val="231F20"/>
        </w:rPr>
        <w:t>.</w:t>
      </w:r>
    </w:p>
    <w:p w14:paraId="000FC370" w14:textId="77777777" w:rsidR="00DE575E" w:rsidRDefault="002E7560">
      <w:pPr>
        <w:pStyle w:val="BodyText"/>
        <w:spacing w:before="1" w:line="252" w:lineRule="auto"/>
        <w:ind w:left="533" w:right="126" w:firstLine="283"/>
        <w:jc w:val="both"/>
      </w:pPr>
      <w:r>
        <w:rPr>
          <w:b/>
          <w:color w:val="231F20"/>
        </w:rPr>
        <w:t xml:space="preserve">Друга стадія </w:t>
      </w:r>
      <w:r>
        <w:rPr>
          <w:color w:val="231F20"/>
        </w:rPr>
        <w:t xml:space="preserve">процедури надання адміністративної послуги через ЦНАП є найбільш </w:t>
      </w:r>
      <w:r>
        <w:rPr>
          <w:color w:val="231F20"/>
          <w:spacing w:val="-3"/>
        </w:rPr>
        <w:t xml:space="preserve">об’ємною, </w:t>
      </w:r>
      <w:r>
        <w:rPr>
          <w:color w:val="231F20"/>
        </w:rPr>
        <w:t>оскільки може охоплювати не один, а кілька етапів з різними виконавцями. У Постанові КМУ від 30.01.2013</w:t>
      </w:r>
      <w:r>
        <w:rPr>
          <w:color w:val="231F20"/>
          <w:spacing w:val="-8"/>
        </w:rPr>
        <w:t xml:space="preserve"> </w:t>
      </w:r>
      <w:r>
        <w:rPr>
          <w:color w:val="231F20"/>
        </w:rPr>
        <w:t>р.</w:t>
      </w:r>
      <w:r>
        <w:rPr>
          <w:color w:val="231F20"/>
          <w:spacing w:val="-12"/>
        </w:rPr>
        <w:t xml:space="preserve"> </w:t>
      </w:r>
      <w:r>
        <w:rPr>
          <w:color w:val="231F20"/>
        </w:rPr>
        <w:t>№</w:t>
      </w:r>
      <w:r>
        <w:rPr>
          <w:color w:val="231F20"/>
          <w:spacing w:val="-8"/>
        </w:rPr>
        <w:t xml:space="preserve"> </w:t>
      </w:r>
      <w:r>
        <w:rPr>
          <w:color w:val="231F20"/>
        </w:rPr>
        <w:t>44</w:t>
      </w:r>
      <w:r>
        <w:rPr>
          <w:color w:val="231F20"/>
          <w:spacing w:val="-12"/>
        </w:rPr>
        <w:t xml:space="preserve"> </w:t>
      </w:r>
      <w:r>
        <w:rPr>
          <w:color w:val="231F20"/>
        </w:rPr>
        <w:t>«Про</w:t>
      </w:r>
      <w:r>
        <w:rPr>
          <w:color w:val="231F20"/>
          <w:spacing w:val="-12"/>
        </w:rPr>
        <w:t xml:space="preserve"> </w:t>
      </w:r>
      <w:r>
        <w:rPr>
          <w:color w:val="231F20"/>
        </w:rPr>
        <w:t>затвердження</w:t>
      </w:r>
      <w:r>
        <w:rPr>
          <w:color w:val="231F20"/>
          <w:spacing w:val="-12"/>
        </w:rPr>
        <w:t xml:space="preserve"> </w:t>
      </w:r>
      <w:r>
        <w:rPr>
          <w:color w:val="231F20"/>
        </w:rPr>
        <w:t>вимог</w:t>
      </w:r>
      <w:r>
        <w:rPr>
          <w:color w:val="231F20"/>
          <w:spacing w:val="-12"/>
        </w:rPr>
        <w:t xml:space="preserve"> </w:t>
      </w:r>
      <w:r>
        <w:rPr>
          <w:color w:val="231F20"/>
        </w:rPr>
        <w:t>до</w:t>
      </w:r>
      <w:r>
        <w:rPr>
          <w:color w:val="231F20"/>
          <w:spacing w:val="-12"/>
        </w:rPr>
        <w:t xml:space="preserve"> </w:t>
      </w:r>
      <w:r>
        <w:rPr>
          <w:color w:val="231F20"/>
        </w:rPr>
        <w:t>підготовки</w:t>
      </w:r>
      <w:r>
        <w:rPr>
          <w:color w:val="231F20"/>
          <w:spacing w:val="-12"/>
        </w:rPr>
        <w:t xml:space="preserve"> </w:t>
      </w:r>
      <w:r>
        <w:rPr>
          <w:color w:val="231F20"/>
        </w:rPr>
        <w:t>техноло- гічної картки адміністративної послуги» зазначено, що етапи опра- цювання звернення про надання а</w:t>
      </w:r>
      <w:r>
        <w:rPr>
          <w:color w:val="231F20"/>
        </w:rPr>
        <w:t xml:space="preserve">дміністративної послуги визна- чаються відповідно до вимог нормативно-правових актів, якими встановлено порядок надання адміністративної послуги, якщо інше не визначено законодавством. </w:t>
      </w:r>
      <w:r>
        <w:rPr>
          <w:color w:val="231F20"/>
          <w:spacing w:val="-4"/>
        </w:rPr>
        <w:t xml:space="preserve">Тобто </w:t>
      </w:r>
      <w:r>
        <w:rPr>
          <w:color w:val="231F20"/>
        </w:rPr>
        <w:t>для окремих видів адміністра- тивних послуг може бути передбачено</w:t>
      </w:r>
      <w:r>
        <w:rPr>
          <w:color w:val="231F20"/>
        </w:rPr>
        <w:t xml:space="preserve"> різну кількість етапів на цій стадії, що визначається у відповідному</w:t>
      </w:r>
      <w:r>
        <w:rPr>
          <w:color w:val="231F20"/>
          <w:spacing w:val="-7"/>
        </w:rPr>
        <w:t xml:space="preserve"> </w:t>
      </w:r>
      <w:r>
        <w:rPr>
          <w:color w:val="231F20"/>
        </w:rPr>
        <w:t>законодавстві</w:t>
      </w:r>
      <w:r>
        <w:rPr>
          <w:color w:val="231F20"/>
          <w:position w:val="7"/>
          <w:sz w:val="12"/>
        </w:rPr>
        <w:t>2</w:t>
      </w:r>
      <w:r>
        <w:rPr>
          <w:color w:val="231F20"/>
        </w:rPr>
        <w:t>.</w:t>
      </w:r>
    </w:p>
    <w:p w14:paraId="77C95FE6" w14:textId="77777777" w:rsidR="00DE575E" w:rsidRDefault="002E7560">
      <w:pPr>
        <w:pStyle w:val="BodyText"/>
        <w:spacing w:before="5" w:line="252" w:lineRule="auto"/>
        <w:ind w:left="533" w:right="128" w:firstLine="283"/>
        <w:jc w:val="both"/>
      </w:pPr>
      <w:r>
        <w:rPr>
          <w:b/>
          <w:color w:val="231F20"/>
        </w:rPr>
        <w:t xml:space="preserve">Третя стадія </w:t>
      </w:r>
      <w:r>
        <w:rPr>
          <w:color w:val="231F20"/>
        </w:rPr>
        <w:t>процедури надання адміністративної послуги при зверненні за цією послугою до ЦНАП буде включати такі етапи:</w:t>
      </w:r>
    </w:p>
    <w:p w14:paraId="0370EDF3" w14:textId="77777777" w:rsidR="00DE575E" w:rsidRDefault="002E7560">
      <w:pPr>
        <w:pStyle w:val="ListParagraph"/>
        <w:numPr>
          <w:ilvl w:val="0"/>
          <w:numId w:val="214"/>
        </w:numPr>
        <w:tabs>
          <w:tab w:val="left" w:pos="1101"/>
        </w:tabs>
        <w:spacing w:line="252" w:lineRule="auto"/>
        <w:ind w:right="128" w:firstLine="284"/>
        <w:jc w:val="both"/>
        <w:rPr>
          <w:sz w:val="21"/>
        </w:rPr>
      </w:pPr>
      <w:r>
        <w:rPr>
          <w:color w:val="231F20"/>
          <w:spacing w:val="-4"/>
          <w:sz w:val="21"/>
        </w:rPr>
        <w:t xml:space="preserve">суб’єкт </w:t>
      </w:r>
      <w:r>
        <w:rPr>
          <w:color w:val="231F20"/>
          <w:sz w:val="21"/>
        </w:rPr>
        <w:t xml:space="preserve">надання адміністративної послуги: формує </w:t>
      </w:r>
      <w:r>
        <w:rPr>
          <w:color w:val="231F20"/>
          <w:sz w:val="21"/>
        </w:rPr>
        <w:t>вихідний пакет</w:t>
      </w:r>
      <w:r>
        <w:rPr>
          <w:color w:val="231F20"/>
          <w:spacing w:val="-7"/>
          <w:sz w:val="21"/>
        </w:rPr>
        <w:t xml:space="preserve"> </w:t>
      </w:r>
      <w:r>
        <w:rPr>
          <w:color w:val="231F20"/>
          <w:sz w:val="21"/>
        </w:rPr>
        <w:t>документів,</w:t>
      </w:r>
      <w:r>
        <w:rPr>
          <w:color w:val="231F20"/>
          <w:spacing w:val="-7"/>
          <w:sz w:val="21"/>
        </w:rPr>
        <w:t xml:space="preserve"> </w:t>
      </w:r>
      <w:r>
        <w:rPr>
          <w:color w:val="231F20"/>
          <w:sz w:val="21"/>
        </w:rPr>
        <w:t>передає</w:t>
      </w:r>
      <w:r>
        <w:rPr>
          <w:color w:val="231F20"/>
          <w:spacing w:val="-7"/>
          <w:sz w:val="21"/>
        </w:rPr>
        <w:t xml:space="preserve"> </w:t>
      </w:r>
      <w:r>
        <w:rPr>
          <w:color w:val="231F20"/>
          <w:sz w:val="21"/>
        </w:rPr>
        <w:t>його</w:t>
      </w:r>
      <w:r>
        <w:rPr>
          <w:color w:val="231F20"/>
          <w:spacing w:val="-7"/>
          <w:sz w:val="21"/>
        </w:rPr>
        <w:t xml:space="preserve"> </w:t>
      </w:r>
      <w:r>
        <w:rPr>
          <w:color w:val="231F20"/>
          <w:sz w:val="21"/>
        </w:rPr>
        <w:t>до</w:t>
      </w:r>
      <w:r>
        <w:rPr>
          <w:color w:val="231F20"/>
          <w:spacing w:val="-7"/>
          <w:sz w:val="21"/>
        </w:rPr>
        <w:t xml:space="preserve"> </w:t>
      </w:r>
      <w:r>
        <w:rPr>
          <w:color w:val="231F20"/>
          <w:sz w:val="21"/>
        </w:rPr>
        <w:t>ЦНАП,</w:t>
      </w:r>
      <w:r>
        <w:rPr>
          <w:color w:val="231F20"/>
          <w:spacing w:val="-7"/>
          <w:sz w:val="21"/>
        </w:rPr>
        <w:t xml:space="preserve"> </w:t>
      </w:r>
      <w:r>
        <w:rPr>
          <w:color w:val="231F20"/>
          <w:sz w:val="21"/>
        </w:rPr>
        <w:t>зазначає</w:t>
      </w:r>
      <w:r>
        <w:rPr>
          <w:color w:val="231F20"/>
          <w:spacing w:val="-7"/>
          <w:sz w:val="21"/>
        </w:rPr>
        <w:t xml:space="preserve"> </w:t>
      </w:r>
      <w:r>
        <w:rPr>
          <w:color w:val="231F20"/>
          <w:sz w:val="21"/>
        </w:rPr>
        <w:t>про</w:t>
      </w:r>
      <w:r>
        <w:rPr>
          <w:color w:val="231F20"/>
          <w:spacing w:val="-7"/>
          <w:sz w:val="21"/>
        </w:rPr>
        <w:t xml:space="preserve"> </w:t>
      </w:r>
      <w:r>
        <w:rPr>
          <w:color w:val="231F20"/>
          <w:sz w:val="21"/>
        </w:rPr>
        <w:t>це</w:t>
      </w:r>
      <w:r>
        <w:rPr>
          <w:color w:val="231F20"/>
          <w:spacing w:val="-7"/>
          <w:sz w:val="21"/>
        </w:rPr>
        <w:t xml:space="preserve"> </w:t>
      </w:r>
      <w:r>
        <w:rPr>
          <w:color w:val="231F20"/>
          <w:sz w:val="21"/>
        </w:rPr>
        <w:t>в</w:t>
      </w:r>
      <w:r>
        <w:rPr>
          <w:color w:val="231F20"/>
          <w:spacing w:val="-8"/>
          <w:sz w:val="21"/>
        </w:rPr>
        <w:t xml:space="preserve"> </w:t>
      </w:r>
      <w:r>
        <w:rPr>
          <w:color w:val="231F20"/>
          <w:sz w:val="21"/>
        </w:rPr>
        <w:t>листі</w:t>
      </w:r>
      <w:r>
        <w:rPr>
          <w:color w:val="231F20"/>
          <w:spacing w:val="-7"/>
          <w:sz w:val="21"/>
        </w:rPr>
        <w:t xml:space="preserve"> </w:t>
      </w:r>
      <w:r>
        <w:rPr>
          <w:color w:val="231F20"/>
          <w:sz w:val="21"/>
        </w:rPr>
        <w:t>про проходження</w:t>
      </w:r>
      <w:r>
        <w:rPr>
          <w:color w:val="231F20"/>
          <w:spacing w:val="-1"/>
          <w:sz w:val="21"/>
        </w:rPr>
        <w:t xml:space="preserve"> </w:t>
      </w:r>
      <w:r>
        <w:rPr>
          <w:color w:val="231F20"/>
          <w:sz w:val="21"/>
        </w:rPr>
        <w:t>справи;</w:t>
      </w:r>
    </w:p>
    <w:p w14:paraId="1E653A0D" w14:textId="77777777" w:rsidR="00DE575E" w:rsidRDefault="002E7560">
      <w:pPr>
        <w:pStyle w:val="ListParagraph"/>
        <w:numPr>
          <w:ilvl w:val="0"/>
          <w:numId w:val="214"/>
        </w:numPr>
        <w:tabs>
          <w:tab w:val="left" w:pos="1101"/>
        </w:tabs>
        <w:spacing w:before="2" w:line="252" w:lineRule="auto"/>
        <w:ind w:right="127" w:firstLine="284"/>
        <w:jc w:val="both"/>
        <w:rPr>
          <w:sz w:val="21"/>
        </w:rPr>
      </w:pPr>
      <w:r>
        <w:rPr>
          <w:color w:val="231F20"/>
          <w:sz w:val="21"/>
        </w:rPr>
        <w:t xml:space="preserve">адміністратор центру: повідомляє про </w:t>
      </w:r>
      <w:r>
        <w:rPr>
          <w:color w:val="231F20"/>
          <w:spacing w:val="-3"/>
          <w:sz w:val="21"/>
        </w:rPr>
        <w:t xml:space="preserve">результат </w:t>
      </w:r>
      <w:r>
        <w:rPr>
          <w:color w:val="231F20"/>
          <w:sz w:val="21"/>
        </w:rPr>
        <w:t xml:space="preserve">надання адміністративної послуги </w:t>
      </w:r>
      <w:r>
        <w:rPr>
          <w:color w:val="231F20"/>
          <w:spacing w:val="-3"/>
          <w:sz w:val="21"/>
        </w:rPr>
        <w:t xml:space="preserve">суб’єктові </w:t>
      </w:r>
      <w:r>
        <w:rPr>
          <w:color w:val="231F20"/>
          <w:sz w:val="21"/>
        </w:rPr>
        <w:t>звернення у спосіб, зазначений в описі вхідного пакету документів; здійснює реєстрацію вихідного пакету документів через внесення відповідних відомостей до листа про проходження справи, а також до відповідного реєстру в папе- ровій та /або електронній форм</w:t>
      </w:r>
      <w:r>
        <w:rPr>
          <w:color w:val="231F20"/>
          <w:sz w:val="21"/>
        </w:rPr>
        <w:t xml:space="preserve">і; передає вихідний пакет докумен- тів </w:t>
      </w:r>
      <w:r>
        <w:rPr>
          <w:color w:val="231F20"/>
          <w:spacing w:val="-3"/>
          <w:sz w:val="21"/>
        </w:rPr>
        <w:t xml:space="preserve">суб’єктові </w:t>
      </w:r>
      <w:r>
        <w:rPr>
          <w:color w:val="231F20"/>
          <w:sz w:val="21"/>
        </w:rPr>
        <w:t>звернення особисто під розписку в разі пред’явлення документа,</w:t>
      </w:r>
      <w:r>
        <w:rPr>
          <w:color w:val="231F20"/>
          <w:spacing w:val="-7"/>
          <w:sz w:val="21"/>
        </w:rPr>
        <w:t xml:space="preserve"> </w:t>
      </w:r>
      <w:r>
        <w:rPr>
          <w:color w:val="231F20"/>
          <w:sz w:val="21"/>
        </w:rPr>
        <w:t>що</w:t>
      </w:r>
      <w:r>
        <w:rPr>
          <w:color w:val="231F20"/>
          <w:spacing w:val="-7"/>
          <w:sz w:val="21"/>
        </w:rPr>
        <w:t xml:space="preserve"> </w:t>
      </w:r>
      <w:r>
        <w:rPr>
          <w:color w:val="231F20"/>
          <w:sz w:val="21"/>
        </w:rPr>
        <w:t>посвідчує</w:t>
      </w:r>
      <w:r>
        <w:rPr>
          <w:color w:val="231F20"/>
          <w:spacing w:val="-7"/>
          <w:sz w:val="21"/>
        </w:rPr>
        <w:t xml:space="preserve"> </w:t>
      </w:r>
      <w:r>
        <w:rPr>
          <w:color w:val="231F20"/>
          <w:sz w:val="21"/>
        </w:rPr>
        <w:t>особу</w:t>
      </w:r>
      <w:r>
        <w:rPr>
          <w:color w:val="231F20"/>
          <w:spacing w:val="-7"/>
          <w:sz w:val="21"/>
        </w:rPr>
        <w:t xml:space="preserve"> </w:t>
      </w:r>
      <w:r>
        <w:rPr>
          <w:color w:val="231F20"/>
          <w:sz w:val="21"/>
        </w:rPr>
        <w:t>та/або</w:t>
      </w:r>
      <w:r>
        <w:rPr>
          <w:color w:val="231F20"/>
          <w:spacing w:val="-7"/>
          <w:sz w:val="21"/>
        </w:rPr>
        <w:t xml:space="preserve"> </w:t>
      </w:r>
      <w:r>
        <w:rPr>
          <w:color w:val="231F20"/>
          <w:sz w:val="21"/>
        </w:rPr>
        <w:t>засвідчує</w:t>
      </w:r>
      <w:r>
        <w:rPr>
          <w:color w:val="231F20"/>
          <w:spacing w:val="-7"/>
          <w:sz w:val="21"/>
        </w:rPr>
        <w:t xml:space="preserve"> </w:t>
      </w:r>
      <w:r>
        <w:rPr>
          <w:color w:val="231F20"/>
          <w:sz w:val="21"/>
        </w:rPr>
        <w:t>його</w:t>
      </w:r>
      <w:r>
        <w:rPr>
          <w:color w:val="231F20"/>
          <w:spacing w:val="-7"/>
          <w:sz w:val="21"/>
        </w:rPr>
        <w:t xml:space="preserve"> </w:t>
      </w:r>
      <w:r>
        <w:rPr>
          <w:color w:val="231F20"/>
          <w:sz w:val="21"/>
        </w:rPr>
        <w:t xml:space="preserve">повноваження, або у випадках, передбачених законодавством, передається в інший прийнятний для </w:t>
      </w:r>
      <w:r>
        <w:rPr>
          <w:color w:val="231F20"/>
          <w:spacing w:val="-3"/>
          <w:sz w:val="21"/>
        </w:rPr>
        <w:t>суб’єкта</w:t>
      </w:r>
      <w:r>
        <w:rPr>
          <w:color w:val="231F20"/>
          <w:spacing w:val="-3"/>
          <w:sz w:val="21"/>
        </w:rPr>
        <w:t xml:space="preserve"> </w:t>
      </w:r>
      <w:r>
        <w:rPr>
          <w:color w:val="231F20"/>
          <w:sz w:val="21"/>
        </w:rPr>
        <w:t>звернення</w:t>
      </w:r>
      <w:r>
        <w:rPr>
          <w:color w:val="231F20"/>
          <w:spacing w:val="-1"/>
          <w:sz w:val="21"/>
        </w:rPr>
        <w:t xml:space="preserve"> </w:t>
      </w:r>
      <w:r>
        <w:rPr>
          <w:color w:val="231F20"/>
          <w:sz w:val="21"/>
        </w:rPr>
        <w:t>спосіб</w:t>
      </w:r>
      <w:r>
        <w:rPr>
          <w:color w:val="231F20"/>
          <w:position w:val="7"/>
          <w:sz w:val="12"/>
        </w:rPr>
        <w:t>3</w:t>
      </w:r>
      <w:r>
        <w:rPr>
          <w:color w:val="231F20"/>
          <w:sz w:val="21"/>
        </w:rPr>
        <w:t>.</w:t>
      </w:r>
    </w:p>
    <w:p w14:paraId="2C70D619" w14:textId="77777777" w:rsidR="00DE575E" w:rsidRDefault="002E7560">
      <w:pPr>
        <w:pStyle w:val="Heading5"/>
        <w:spacing w:before="4" w:line="252" w:lineRule="auto"/>
        <w:ind w:right="128" w:firstLine="283"/>
        <w:jc w:val="both"/>
      </w:pPr>
      <w:r>
        <w:rPr>
          <w:color w:val="231F20"/>
        </w:rPr>
        <w:t>Отже, процедура надання адміністративної послуги – це встановлений законодавством порядок надання адміністра- тивної послуги з метою реалізації прав, свобод і законних інте- ресів суб’єктів звернення. Процедура надання адміністратив- но</w:t>
      </w:r>
      <w:r>
        <w:rPr>
          <w:color w:val="231F20"/>
        </w:rPr>
        <w:t>ї послуги включає три стадії: 1) реєстрацію (оформлення) звернення суб’єкта звернення; 2) опрацювання звернення та</w:t>
      </w:r>
    </w:p>
    <w:p w14:paraId="7FD23A98" w14:textId="163C8FB6" w:rsidR="00DE575E" w:rsidRDefault="002E7560">
      <w:pPr>
        <w:pStyle w:val="BodyText"/>
        <w:spacing w:before="8"/>
        <w:rPr>
          <w:b/>
          <w:sz w:val="17"/>
        </w:rPr>
      </w:pPr>
      <w:r>
        <w:rPr>
          <w:noProof/>
        </w:rPr>
        <mc:AlternateContent>
          <mc:Choice Requires="wps">
            <w:drawing>
              <wp:anchor distT="0" distB="0" distL="0" distR="0" simplePos="0" relativeHeight="8080" behindDoc="0" locked="0" layoutInCell="1" allowOverlap="1" wp14:anchorId="585302FF" wp14:editId="2FD1948C">
                <wp:simplePos x="0" y="0"/>
                <wp:positionH relativeFrom="page">
                  <wp:posOffset>719455</wp:posOffset>
                </wp:positionH>
                <wp:positionV relativeFrom="paragraph">
                  <wp:posOffset>159385</wp:posOffset>
                </wp:positionV>
                <wp:extent cx="1080135" cy="0"/>
                <wp:effectExtent l="8255" t="6985" r="29210" b="31115"/>
                <wp:wrapTopAndBottom/>
                <wp:docPr id="916"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A9F64" id="Line_x0020_915" o:spid="_x0000_s1026" style="position:absolute;z-index: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55pt" to="141.7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fICICAABF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" strokecolor="#231f20" strokeweight=".5pt">
                <w10:wrap type="topAndBottom" anchorx="page"/>
              </v:line>
            </w:pict>
          </mc:Fallback>
        </mc:AlternateContent>
      </w:r>
    </w:p>
    <w:p w14:paraId="3F1EDE4B" w14:textId="77777777" w:rsidR="00DE575E" w:rsidRDefault="002E7560">
      <w:pPr>
        <w:spacing w:line="204" w:lineRule="auto"/>
        <w:ind w:left="533"/>
        <w:rPr>
          <w:sz w:val="16"/>
        </w:rPr>
      </w:pPr>
      <w:r>
        <w:rPr>
          <w:color w:val="231F20"/>
          <w:position w:val="5"/>
          <w:sz w:val="9"/>
        </w:rPr>
        <w:t xml:space="preserve">1 </w:t>
      </w:r>
      <w:r>
        <w:rPr>
          <w:color w:val="231F20"/>
          <w:sz w:val="16"/>
        </w:rPr>
        <w:t>Про затвердження Примірного регламенту центру надання адміністративних послуг. Постанова Кабінету Міністрів України від 01.01.2013. № 588</w:t>
      </w:r>
      <w:r>
        <w:rPr>
          <w:color w:val="231F20"/>
          <w:sz w:val="16"/>
        </w:rPr>
        <w:t>.</w:t>
      </w:r>
    </w:p>
    <w:p w14:paraId="1E42AD81" w14:textId="77777777" w:rsidR="00DE575E" w:rsidRDefault="002E7560">
      <w:pPr>
        <w:spacing w:before="3"/>
        <w:ind w:left="533"/>
        <w:rPr>
          <w:sz w:val="16"/>
        </w:rPr>
      </w:pPr>
      <w:r>
        <w:rPr>
          <w:color w:val="231F20"/>
          <w:position w:val="5"/>
          <w:sz w:val="9"/>
        </w:rPr>
        <w:t xml:space="preserve">2 </w:t>
      </w:r>
      <w:r>
        <w:rPr>
          <w:color w:val="231F20"/>
          <w:sz w:val="16"/>
        </w:rPr>
        <w:t>Закон від 6.09.2012 р. № 520.</w:t>
      </w:r>
    </w:p>
    <w:p w14:paraId="7F06E18F" w14:textId="77777777" w:rsidR="00DE575E" w:rsidRDefault="002E7560">
      <w:pPr>
        <w:spacing w:before="24" w:line="204" w:lineRule="auto"/>
        <w:ind w:left="533" w:right="139"/>
        <w:rPr>
          <w:sz w:val="16"/>
        </w:rPr>
      </w:pPr>
      <w:r>
        <w:rPr>
          <w:color w:val="231F20"/>
          <w:position w:val="5"/>
          <w:sz w:val="9"/>
        </w:rPr>
        <w:t xml:space="preserve">3 </w:t>
      </w:r>
      <w:r>
        <w:rPr>
          <w:color w:val="231F20"/>
          <w:sz w:val="16"/>
        </w:rPr>
        <w:t>Закон від 6.09.2012 р. № 520; Про затвердження Примірного регламенту центру надання</w:t>
      </w:r>
      <w:r>
        <w:rPr>
          <w:color w:val="231F20"/>
          <w:spacing w:val="16"/>
          <w:sz w:val="16"/>
        </w:rPr>
        <w:t xml:space="preserve"> </w:t>
      </w:r>
      <w:r>
        <w:rPr>
          <w:color w:val="231F20"/>
          <w:sz w:val="16"/>
        </w:rPr>
        <w:t>адміністративних</w:t>
      </w:r>
      <w:r>
        <w:rPr>
          <w:color w:val="231F20"/>
          <w:spacing w:val="16"/>
          <w:sz w:val="16"/>
        </w:rPr>
        <w:t xml:space="preserve"> </w:t>
      </w:r>
      <w:r>
        <w:rPr>
          <w:color w:val="231F20"/>
          <w:sz w:val="16"/>
        </w:rPr>
        <w:t>послуг:</w:t>
      </w:r>
      <w:r>
        <w:rPr>
          <w:color w:val="231F20"/>
          <w:spacing w:val="16"/>
          <w:sz w:val="16"/>
        </w:rPr>
        <w:t xml:space="preserve"> </w:t>
      </w:r>
      <w:r>
        <w:rPr>
          <w:color w:val="231F20"/>
          <w:sz w:val="16"/>
        </w:rPr>
        <w:t>Постанова</w:t>
      </w:r>
      <w:r>
        <w:rPr>
          <w:color w:val="231F20"/>
          <w:spacing w:val="16"/>
          <w:sz w:val="16"/>
        </w:rPr>
        <w:t xml:space="preserve"> </w:t>
      </w:r>
      <w:r>
        <w:rPr>
          <w:color w:val="231F20"/>
          <w:sz w:val="16"/>
        </w:rPr>
        <w:t>Кабінету</w:t>
      </w:r>
      <w:r>
        <w:rPr>
          <w:color w:val="231F20"/>
          <w:spacing w:val="16"/>
          <w:sz w:val="16"/>
        </w:rPr>
        <w:t xml:space="preserve"> </w:t>
      </w:r>
      <w:r>
        <w:rPr>
          <w:color w:val="231F20"/>
          <w:sz w:val="16"/>
        </w:rPr>
        <w:t>Міністрів</w:t>
      </w:r>
      <w:r>
        <w:rPr>
          <w:color w:val="231F20"/>
          <w:spacing w:val="16"/>
          <w:sz w:val="16"/>
        </w:rPr>
        <w:t xml:space="preserve"> </w:t>
      </w:r>
      <w:r>
        <w:rPr>
          <w:color w:val="231F20"/>
          <w:sz w:val="16"/>
        </w:rPr>
        <w:t>України</w:t>
      </w:r>
      <w:r>
        <w:rPr>
          <w:color w:val="231F20"/>
          <w:spacing w:val="16"/>
          <w:sz w:val="16"/>
        </w:rPr>
        <w:t xml:space="preserve"> </w:t>
      </w:r>
      <w:r>
        <w:rPr>
          <w:color w:val="231F20"/>
          <w:sz w:val="16"/>
        </w:rPr>
        <w:t>від</w:t>
      </w:r>
      <w:r>
        <w:rPr>
          <w:color w:val="231F20"/>
          <w:spacing w:val="16"/>
          <w:sz w:val="16"/>
        </w:rPr>
        <w:t xml:space="preserve"> </w:t>
      </w:r>
      <w:r>
        <w:rPr>
          <w:color w:val="231F20"/>
          <w:sz w:val="16"/>
        </w:rPr>
        <w:t>1.08.2013.</w:t>
      </w:r>
    </w:p>
    <w:p w14:paraId="460837E4" w14:textId="77777777" w:rsidR="00DE575E" w:rsidRDefault="002E7560">
      <w:pPr>
        <w:spacing w:line="166" w:lineRule="exact"/>
        <w:ind w:left="533"/>
        <w:rPr>
          <w:sz w:val="16"/>
        </w:rPr>
      </w:pPr>
      <w:r>
        <w:rPr>
          <w:color w:val="231F20"/>
          <w:sz w:val="16"/>
        </w:rPr>
        <w:t>№ 588.</w:t>
      </w:r>
    </w:p>
    <w:p w14:paraId="4454F2EE" w14:textId="77777777" w:rsidR="00DE575E" w:rsidRDefault="00DE575E">
      <w:pPr>
        <w:pStyle w:val="BodyText"/>
        <w:spacing w:before="10"/>
        <w:rPr>
          <w:sz w:val="11"/>
        </w:rPr>
      </w:pPr>
    </w:p>
    <w:p w14:paraId="09F86AC8" w14:textId="77777777" w:rsidR="00DE575E" w:rsidRDefault="002E7560">
      <w:pPr>
        <w:spacing w:before="92"/>
        <w:ind w:left="533"/>
        <w:rPr>
          <w:rFonts w:ascii="Times New Roman"/>
          <w:sz w:val="20"/>
        </w:rPr>
      </w:pPr>
      <w:r>
        <w:rPr>
          <w:rFonts w:ascii="Times New Roman"/>
          <w:color w:val="231F20"/>
          <w:sz w:val="20"/>
        </w:rPr>
        <w:t>198</w:t>
      </w:r>
    </w:p>
    <w:p w14:paraId="1A2537BA" w14:textId="77777777" w:rsidR="00DE575E" w:rsidRDefault="00DE575E">
      <w:pPr>
        <w:rPr>
          <w:rFonts w:ascii="Times New Roman"/>
          <w:sz w:val="20"/>
        </w:rPr>
        <w:sectPr w:rsidR="00DE575E">
          <w:pgSz w:w="8510" w:h="12760"/>
          <w:pgMar w:top="660" w:right="720" w:bottom="280" w:left="600" w:header="720" w:footer="720" w:gutter="0"/>
          <w:cols w:space="720"/>
        </w:sectPr>
      </w:pPr>
    </w:p>
    <w:p w14:paraId="20D78F79"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08A7D194" w14:textId="513FF35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3A6E2FB" wp14:editId="14DF2FF8">
                <wp:extent cx="4140200" cy="6350"/>
                <wp:effectExtent l="0" t="0" r="12700" b="6350"/>
                <wp:docPr id="914"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15" name="Line 9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8EE13B" id="Group_x0020_9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yoaTp/AgAAmAUAAA4A&#10;AAAAAAAAAAAAAAAALAIAAGRycy9lMm9Eb2MueG1sUEsBAi0AFAAGAAgAAAAhAEynsJDZAAAAAwEA&#10;AA8AAAAAAAAAAAAAAAAA1wQAAGRycy9kb3ducmV2LnhtbFBLBQYAAAAABAAEAPMAAADdBQAAAAA=&#10;">
                <v:line id="Line_x0020_9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QlA8YAAADcAAAADwAAAGRycy9kb3ducmV2LnhtbESP0WrCQBRE3wX/YblCX4purFQ0uooI&#10;hdIHbY0fcM1ek+Du3ZhdTdqv7xYKPg4zc4ZZrjtrxJ0aXzlWMB4lIIhzpysuFByzt+EMhA/IGo1j&#10;UvBNHtarfm+JqXYtf9H9EAoRIexTVFCGUKdS+rwki37kauLonV1jMUTZFFI32Ea4NfIlSabSYsVx&#10;ocSatiXll8PNKsiuz8F87j9Mm+1PE3m67iY/t51ST4NuswARqAuP8H/7XSuYj1/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0JQPGAAAA3AAAAA8AAAAAAAAA&#10;AAAAAAAAoQIAAGRycy9kb3ducmV2LnhtbFBLBQYAAAAABAAEAPkAAACUAwAAAAA=&#10;" strokecolor="#231f20" strokeweight=".5pt"/>
                <w10:anchorlock/>
              </v:group>
            </w:pict>
          </mc:Fallback>
        </mc:AlternateContent>
      </w:r>
    </w:p>
    <w:p w14:paraId="291FCC38" w14:textId="77777777" w:rsidR="00DE575E" w:rsidRDefault="00DE575E">
      <w:pPr>
        <w:pStyle w:val="BodyText"/>
        <w:spacing w:before="7"/>
        <w:rPr>
          <w:rFonts w:ascii="AdonisC"/>
          <w:i/>
          <w:sz w:val="19"/>
        </w:rPr>
      </w:pPr>
    </w:p>
    <w:p w14:paraId="43EA55B0" w14:textId="77777777" w:rsidR="00DE575E" w:rsidRDefault="002E7560">
      <w:pPr>
        <w:pStyle w:val="Heading5"/>
        <w:spacing w:before="1" w:line="252" w:lineRule="auto"/>
        <w:ind w:left="250" w:right="411"/>
        <w:jc w:val="both"/>
      </w:pPr>
      <w:r>
        <w:rPr>
          <w:color w:val="231F20"/>
        </w:rPr>
        <w:t>оформлення (погодження) результату надання адміністратив- ної послуги; 3) видання результату надання адміністративн</w:t>
      </w:r>
      <w:r>
        <w:rPr>
          <w:color w:val="231F20"/>
        </w:rPr>
        <w:t>ої послуги та його реєстрацію. Кожна стадія поділяється на відпо- відні етапи, які включають конкретні дії суб’єкта надання адмі- ністративних послуг та /або ЦНАП</w:t>
      </w:r>
      <w:r>
        <w:rPr>
          <w:color w:val="231F20"/>
          <w:position w:val="7"/>
          <w:sz w:val="12"/>
        </w:rPr>
        <w:t>1</w:t>
      </w:r>
      <w:r>
        <w:rPr>
          <w:color w:val="231F20"/>
        </w:rPr>
        <w:t>.</w:t>
      </w:r>
    </w:p>
    <w:p w14:paraId="0FE61682" w14:textId="77777777" w:rsidR="00DE575E" w:rsidRDefault="00DE575E">
      <w:pPr>
        <w:pStyle w:val="BodyText"/>
        <w:spacing w:before="2"/>
        <w:rPr>
          <w:b/>
          <w:sz w:val="22"/>
        </w:rPr>
      </w:pPr>
    </w:p>
    <w:p w14:paraId="08FA3D57" w14:textId="77777777" w:rsidR="00DE575E" w:rsidRDefault="002E7560">
      <w:pPr>
        <w:spacing w:line="252" w:lineRule="auto"/>
        <w:ind w:left="533" w:right="1244"/>
        <w:rPr>
          <w:b/>
          <w:sz w:val="21"/>
        </w:rPr>
      </w:pPr>
      <w:r>
        <w:rPr>
          <w:b/>
          <w:color w:val="231F20"/>
          <w:sz w:val="21"/>
        </w:rPr>
        <w:t>6.3.2. Юридичні документи та дії, що супроводжують процедуру надання адміністративних послуг</w:t>
      </w:r>
    </w:p>
    <w:p w14:paraId="030FEA5B" w14:textId="77777777" w:rsidR="00DE575E" w:rsidRDefault="00DE575E">
      <w:pPr>
        <w:pStyle w:val="BodyText"/>
        <w:spacing w:before="1"/>
        <w:rPr>
          <w:b/>
          <w:sz w:val="22"/>
        </w:rPr>
      </w:pPr>
    </w:p>
    <w:p w14:paraId="149E5DEF" w14:textId="77777777" w:rsidR="00DE575E" w:rsidRDefault="002E7560">
      <w:pPr>
        <w:pStyle w:val="BodyText"/>
        <w:spacing w:line="252" w:lineRule="auto"/>
        <w:ind w:left="250" w:right="409" w:firstLine="283"/>
        <w:jc w:val="both"/>
      </w:pPr>
      <w:r>
        <w:rPr>
          <w:color w:val="231F20"/>
        </w:rPr>
        <w:t xml:space="preserve">Перелік і вимоги до документів, потрібних для отримання адміністративної послуги, визначаються Законом України «Про адміністративні послуги», відповідно до </w:t>
      </w:r>
      <w:r>
        <w:rPr>
          <w:color w:val="231F20"/>
          <w:spacing w:val="-5"/>
        </w:rPr>
        <w:t xml:space="preserve">ст. </w:t>
      </w:r>
      <w:r>
        <w:rPr>
          <w:color w:val="231F20"/>
        </w:rPr>
        <w:t xml:space="preserve">9 </w:t>
      </w:r>
      <w:r>
        <w:rPr>
          <w:color w:val="231F20"/>
        </w:rPr>
        <w:t xml:space="preserve">якого  забороня-  ється вимагати від суб’єкта звернення документи або інформацію для надання адміністративної послуги, не передбачені законом. </w:t>
      </w:r>
      <w:r>
        <w:rPr>
          <w:color w:val="231F20"/>
          <w:spacing w:val="-3"/>
        </w:rPr>
        <w:t xml:space="preserve">Суб’єкт </w:t>
      </w:r>
      <w:r>
        <w:rPr>
          <w:color w:val="231F20"/>
        </w:rPr>
        <w:t>надання послуги не може вимагати від суб’єкта звернення документи або інформацію, що перебувають у володі</w:t>
      </w:r>
      <w:r>
        <w:rPr>
          <w:color w:val="231F20"/>
        </w:rPr>
        <w:t>нні суб’єкта надання послуг або у володінні державних органів та органів місце- вого</w:t>
      </w:r>
      <w:r>
        <w:rPr>
          <w:color w:val="231F20"/>
          <w:spacing w:val="3"/>
        </w:rPr>
        <w:t xml:space="preserve"> </w:t>
      </w:r>
      <w:r>
        <w:rPr>
          <w:color w:val="231F20"/>
        </w:rPr>
        <w:t>самоврядування.</w:t>
      </w:r>
    </w:p>
    <w:p w14:paraId="1A864823" w14:textId="77777777" w:rsidR="00DE575E" w:rsidRDefault="002E7560">
      <w:pPr>
        <w:spacing w:before="5" w:line="252" w:lineRule="auto"/>
        <w:ind w:left="250" w:right="411" w:firstLine="283"/>
        <w:jc w:val="both"/>
        <w:rPr>
          <w:sz w:val="21"/>
        </w:rPr>
      </w:pPr>
      <w:r>
        <w:rPr>
          <w:i/>
          <w:color w:val="231F20"/>
          <w:sz w:val="21"/>
        </w:rPr>
        <w:t xml:space="preserve">Для отримання адміністративної послуги </w:t>
      </w:r>
      <w:r>
        <w:rPr>
          <w:i/>
          <w:color w:val="231F20"/>
          <w:spacing w:val="-3"/>
          <w:sz w:val="21"/>
        </w:rPr>
        <w:t xml:space="preserve">суб’єкт </w:t>
      </w:r>
      <w:r>
        <w:rPr>
          <w:i/>
          <w:color w:val="231F20"/>
          <w:sz w:val="21"/>
        </w:rPr>
        <w:t xml:space="preserve">звернення </w:t>
      </w:r>
      <w:r>
        <w:rPr>
          <w:color w:val="231F20"/>
          <w:sz w:val="21"/>
        </w:rPr>
        <w:t>може подавати документи, якщо відомості, що містяться в них, не внесені</w:t>
      </w:r>
      <w:r>
        <w:rPr>
          <w:color w:val="231F20"/>
          <w:spacing w:val="-8"/>
          <w:sz w:val="21"/>
        </w:rPr>
        <w:t xml:space="preserve"> </w:t>
      </w:r>
      <w:r>
        <w:rPr>
          <w:color w:val="231F20"/>
          <w:sz w:val="21"/>
        </w:rPr>
        <w:t>до</w:t>
      </w:r>
      <w:r>
        <w:rPr>
          <w:color w:val="231F20"/>
          <w:spacing w:val="-7"/>
          <w:sz w:val="21"/>
        </w:rPr>
        <w:t xml:space="preserve"> </w:t>
      </w:r>
      <w:r>
        <w:rPr>
          <w:color w:val="231F20"/>
          <w:sz w:val="21"/>
        </w:rPr>
        <w:t>відповідних</w:t>
      </w:r>
      <w:r>
        <w:rPr>
          <w:color w:val="231F20"/>
          <w:spacing w:val="-7"/>
          <w:sz w:val="21"/>
        </w:rPr>
        <w:t xml:space="preserve"> </w:t>
      </w:r>
      <w:r>
        <w:rPr>
          <w:color w:val="231F20"/>
          <w:sz w:val="21"/>
        </w:rPr>
        <w:t>інформаційних</w:t>
      </w:r>
      <w:r>
        <w:rPr>
          <w:color w:val="231F20"/>
          <w:spacing w:val="-7"/>
          <w:sz w:val="21"/>
        </w:rPr>
        <w:t xml:space="preserve"> </w:t>
      </w:r>
      <w:r>
        <w:rPr>
          <w:color w:val="231F20"/>
          <w:sz w:val="21"/>
        </w:rPr>
        <w:t>баз</w:t>
      </w:r>
      <w:r>
        <w:rPr>
          <w:color w:val="231F20"/>
          <w:spacing w:val="-7"/>
          <w:sz w:val="21"/>
        </w:rPr>
        <w:t xml:space="preserve"> </w:t>
      </w:r>
      <w:r>
        <w:rPr>
          <w:color w:val="231F20"/>
          <w:sz w:val="21"/>
        </w:rPr>
        <w:t>в</w:t>
      </w:r>
      <w:r>
        <w:rPr>
          <w:color w:val="231F20"/>
          <w:spacing w:val="-8"/>
          <w:sz w:val="21"/>
        </w:rPr>
        <w:t xml:space="preserve"> </w:t>
      </w:r>
      <w:r>
        <w:rPr>
          <w:color w:val="231F20"/>
          <w:spacing w:val="-3"/>
          <w:sz w:val="21"/>
        </w:rPr>
        <w:t>обсягу,</w:t>
      </w:r>
      <w:r>
        <w:rPr>
          <w:color w:val="231F20"/>
          <w:spacing w:val="-7"/>
          <w:sz w:val="21"/>
        </w:rPr>
        <w:t xml:space="preserve"> </w:t>
      </w:r>
      <w:r>
        <w:rPr>
          <w:color w:val="231F20"/>
          <w:sz w:val="21"/>
        </w:rPr>
        <w:t>достатньому</w:t>
      </w:r>
      <w:r>
        <w:rPr>
          <w:color w:val="231F20"/>
          <w:spacing w:val="-7"/>
          <w:sz w:val="21"/>
        </w:rPr>
        <w:t xml:space="preserve"> </w:t>
      </w:r>
      <w:r>
        <w:rPr>
          <w:color w:val="231F20"/>
          <w:sz w:val="21"/>
        </w:rPr>
        <w:t>для надання адміністративної</w:t>
      </w:r>
      <w:r>
        <w:rPr>
          <w:color w:val="231F20"/>
          <w:spacing w:val="-2"/>
          <w:sz w:val="21"/>
        </w:rPr>
        <w:t xml:space="preserve"> </w:t>
      </w:r>
      <w:r>
        <w:rPr>
          <w:color w:val="231F20"/>
          <w:sz w:val="21"/>
        </w:rPr>
        <w:t>послуги</w:t>
      </w:r>
      <w:r>
        <w:rPr>
          <w:color w:val="231F20"/>
          <w:position w:val="7"/>
          <w:sz w:val="12"/>
        </w:rPr>
        <w:t>2</w:t>
      </w:r>
      <w:r>
        <w:rPr>
          <w:color w:val="231F20"/>
          <w:sz w:val="21"/>
        </w:rPr>
        <w:t>.</w:t>
      </w:r>
    </w:p>
    <w:p w14:paraId="2C8A1493" w14:textId="77777777" w:rsidR="00DE575E" w:rsidRDefault="002E7560">
      <w:pPr>
        <w:pStyle w:val="BodyText"/>
        <w:spacing w:before="2" w:line="252" w:lineRule="auto"/>
        <w:ind w:left="250" w:right="411" w:firstLine="283"/>
        <w:jc w:val="both"/>
      </w:pPr>
      <w:r>
        <w:rPr>
          <w:i/>
          <w:color w:val="231F20"/>
          <w:spacing w:val="-3"/>
        </w:rPr>
        <w:t xml:space="preserve">Суб’єкт </w:t>
      </w:r>
      <w:r>
        <w:rPr>
          <w:i/>
          <w:color w:val="231F20"/>
        </w:rPr>
        <w:t xml:space="preserve">надання адміністративної </w:t>
      </w:r>
      <w:r>
        <w:rPr>
          <w:color w:val="231F20"/>
        </w:rPr>
        <w:t xml:space="preserve">послуги отримує відповідні документи або інформацію без участі </w:t>
      </w:r>
      <w:r>
        <w:rPr>
          <w:color w:val="231F20"/>
          <w:spacing w:val="-3"/>
        </w:rPr>
        <w:t xml:space="preserve">суб’єкта </w:t>
      </w:r>
      <w:r>
        <w:rPr>
          <w:color w:val="231F20"/>
        </w:rPr>
        <w:t>звернення на підставі поданих відомостей у заяві, зокрема через доступ д</w:t>
      </w:r>
      <w:r>
        <w:rPr>
          <w:color w:val="231F20"/>
        </w:rPr>
        <w:t xml:space="preserve">о інформацій- них систем або баз даних інших </w:t>
      </w:r>
      <w:r>
        <w:rPr>
          <w:color w:val="231F20"/>
          <w:spacing w:val="-3"/>
        </w:rPr>
        <w:t xml:space="preserve">суб’єктів </w:t>
      </w:r>
      <w:r>
        <w:rPr>
          <w:color w:val="231F20"/>
        </w:rPr>
        <w:t xml:space="preserve">надання адміністративних </w:t>
      </w:r>
      <w:r>
        <w:rPr>
          <w:color w:val="231F20"/>
          <w:spacing w:val="-3"/>
        </w:rPr>
        <w:t xml:space="preserve">послуг, </w:t>
      </w:r>
      <w:r>
        <w:rPr>
          <w:color w:val="231F20"/>
        </w:rPr>
        <w:t>підприємств, установ або організацій, що належать до сфери їх управління, або через систему електронної взаємодії державних електронних інформаційних ресурсів.</w:t>
      </w:r>
    </w:p>
    <w:p w14:paraId="4844052C" w14:textId="77777777" w:rsidR="00DE575E" w:rsidRDefault="002E7560">
      <w:pPr>
        <w:pStyle w:val="BodyText"/>
        <w:spacing w:before="3" w:line="252" w:lineRule="auto"/>
        <w:ind w:left="250" w:right="411" w:firstLine="283"/>
        <w:jc w:val="both"/>
      </w:pPr>
      <w:r>
        <w:rPr>
          <w:b/>
          <w:color w:val="231F20"/>
        </w:rPr>
        <w:t xml:space="preserve">До юридичних документів, </w:t>
      </w:r>
      <w:r>
        <w:rPr>
          <w:color w:val="231F20"/>
        </w:rPr>
        <w:t>що супроводжують процедуру надання адміністративних послуг, слід також віднести інформа- ційну та технологічну картки адміністративної послуги. Відпо- відно до Закону «Про адміністративні послуги» суб’єктом надання адміністративних</w:t>
      </w:r>
      <w:r>
        <w:rPr>
          <w:color w:val="231F20"/>
        </w:rPr>
        <w:t xml:space="preserve"> послуг на кожну адміністративну послугу, яку він</w:t>
      </w:r>
    </w:p>
    <w:p w14:paraId="7487448B" w14:textId="78C43059" w:rsidR="00DE575E" w:rsidRDefault="002E7560">
      <w:pPr>
        <w:pStyle w:val="BodyText"/>
        <w:spacing w:before="2"/>
        <w:rPr>
          <w:sz w:val="20"/>
        </w:rPr>
      </w:pPr>
      <w:r>
        <w:rPr>
          <w:noProof/>
        </w:rPr>
        <mc:AlternateContent>
          <mc:Choice Requires="wps">
            <w:drawing>
              <wp:anchor distT="0" distB="0" distL="0" distR="0" simplePos="0" relativeHeight="8128" behindDoc="0" locked="0" layoutInCell="1" allowOverlap="1" wp14:anchorId="263CDAE9" wp14:editId="4C872C88">
                <wp:simplePos x="0" y="0"/>
                <wp:positionH relativeFrom="page">
                  <wp:posOffset>539750</wp:posOffset>
                </wp:positionH>
                <wp:positionV relativeFrom="paragraph">
                  <wp:posOffset>178435</wp:posOffset>
                </wp:positionV>
                <wp:extent cx="1080135" cy="0"/>
                <wp:effectExtent l="6350" t="13335" r="31115" b="24765"/>
                <wp:wrapTopAndBottom/>
                <wp:docPr id="913"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700B4" id="Line_x0020_912" o:spid="_x0000_s1026" style="position:absolute;z-index: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05pt" to="127.55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" strokecolor="#231f20" strokeweight=".5pt">
                <w10:wrap type="topAndBottom" anchorx="page"/>
              </v:line>
            </w:pict>
          </mc:Fallback>
        </mc:AlternateContent>
      </w:r>
    </w:p>
    <w:p w14:paraId="045D875B"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Буханевич О. Адміністративні послуги в Україні : засади надання та шляхи вдоскона- лення. Хмельницький, 2017. С. 141.</w:t>
      </w:r>
    </w:p>
    <w:p w14:paraId="131E4F1B" w14:textId="77777777" w:rsidR="00DE575E" w:rsidRDefault="002E7560">
      <w:pPr>
        <w:spacing w:before="26" w:line="204" w:lineRule="auto"/>
        <w:ind w:left="250" w:right="411"/>
        <w:jc w:val="both"/>
        <w:rPr>
          <w:i/>
          <w:sz w:val="16"/>
        </w:rPr>
      </w:pPr>
      <w:r>
        <w:rPr>
          <w:color w:val="231F20"/>
          <w:position w:val="5"/>
          <w:sz w:val="9"/>
        </w:rPr>
        <w:t xml:space="preserve">2 </w:t>
      </w:r>
      <w:r>
        <w:rPr>
          <w:i/>
          <w:color w:val="231F20"/>
          <w:sz w:val="16"/>
        </w:rPr>
        <w:t>До таких документів належать зокрема: документи, що посвідчують особу та під- твер</w:t>
      </w:r>
      <w:r>
        <w:rPr>
          <w:i/>
          <w:color w:val="231F20"/>
          <w:sz w:val="16"/>
        </w:rPr>
        <w:t>джують громадянство України, зокрема військовослужбовців; документи військо- вого</w:t>
      </w:r>
      <w:r>
        <w:rPr>
          <w:i/>
          <w:color w:val="231F20"/>
          <w:spacing w:val="-11"/>
          <w:sz w:val="16"/>
        </w:rPr>
        <w:t xml:space="preserve"> </w:t>
      </w:r>
      <w:r>
        <w:rPr>
          <w:i/>
          <w:color w:val="231F20"/>
          <w:sz w:val="16"/>
        </w:rPr>
        <w:t>обліку;</w:t>
      </w:r>
      <w:r>
        <w:rPr>
          <w:i/>
          <w:color w:val="231F20"/>
          <w:spacing w:val="-11"/>
          <w:sz w:val="16"/>
        </w:rPr>
        <w:t xml:space="preserve"> </w:t>
      </w:r>
      <w:r>
        <w:rPr>
          <w:i/>
          <w:color w:val="231F20"/>
          <w:sz w:val="16"/>
        </w:rPr>
        <w:t>документи,</w:t>
      </w:r>
      <w:r>
        <w:rPr>
          <w:i/>
          <w:color w:val="231F20"/>
          <w:spacing w:val="-11"/>
          <w:sz w:val="16"/>
        </w:rPr>
        <w:t xml:space="preserve"> </w:t>
      </w:r>
      <w:r>
        <w:rPr>
          <w:i/>
          <w:color w:val="231F20"/>
          <w:sz w:val="16"/>
        </w:rPr>
        <w:t>що</w:t>
      </w:r>
      <w:r>
        <w:rPr>
          <w:i/>
          <w:color w:val="231F20"/>
          <w:spacing w:val="-11"/>
          <w:sz w:val="16"/>
        </w:rPr>
        <w:t xml:space="preserve"> </w:t>
      </w:r>
      <w:r>
        <w:rPr>
          <w:i/>
          <w:color w:val="231F20"/>
          <w:sz w:val="16"/>
        </w:rPr>
        <w:t>підтверджують</w:t>
      </w:r>
      <w:r>
        <w:rPr>
          <w:i/>
          <w:color w:val="231F20"/>
          <w:spacing w:val="-10"/>
          <w:sz w:val="16"/>
        </w:rPr>
        <w:t xml:space="preserve"> </w:t>
      </w:r>
      <w:r>
        <w:rPr>
          <w:i/>
          <w:color w:val="231F20"/>
          <w:sz w:val="16"/>
        </w:rPr>
        <w:t>надання</w:t>
      </w:r>
      <w:r>
        <w:rPr>
          <w:i/>
          <w:color w:val="231F20"/>
          <w:spacing w:val="-11"/>
          <w:sz w:val="16"/>
        </w:rPr>
        <w:t xml:space="preserve"> </w:t>
      </w:r>
      <w:r>
        <w:rPr>
          <w:i/>
          <w:color w:val="231F20"/>
          <w:sz w:val="16"/>
        </w:rPr>
        <w:t>особі</w:t>
      </w:r>
      <w:r>
        <w:rPr>
          <w:i/>
          <w:color w:val="231F20"/>
          <w:spacing w:val="-11"/>
          <w:sz w:val="16"/>
        </w:rPr>
        <w:t xml:space="preserve"> </w:t>
      </w:r>
      <w:r>
        <w:rPr>
          <w:i/>
          <w:color w:val="231F20"/>
          <w:sz w:val="16"/>
        </w:rPr>
        <w:t>спеціального</w:t>
      </w:r>
      <w:r>
        <w:rPr>
          <w:i/>
          <w:color w:val="231F20"/>
          <w:spacing w:val="-10"/>
          <w:sz w:val="16"/>
        </w:rPr>
        <w:t xml:space="preserve"> </w:t>
      </w:r>
      <w:r>
        <w:rPr>
          <w:i/>
          <w:color w:val="231F20"/>
          <w:sz w:val="16"/>
        </w:rPr>
        <w:t>права</w:t>
      </w:r>
      <w:r>
        <w:rPr>
          <w:i/>
          <w:color w:val="231F20"/>
          <w:spacing w:val="-11"/>
          <w:sz w:val="16"/>
        </w:rPr>
        <w:t xml:space="preserve"> </w:t>
      </w:r>
      <w:r>
        <w:rPr>
          <w:i/>
          <w:color w:val="231F20"/>
          <w:sz w:val="16"/>
        </w:rPr>
        <w:t>на</w:t>
      </w:r>
      <w:r>
        <w:rPr>
          <w:i/>
          <w:color w:val="231F20"/>
          <w:spacing w:val="-11"/>
          <w:sz w:val="16"/>
        </w:rPr>
        <w:t xml:space="preserve"> </w:t>
      </w:r>
      <w:r>
        <w:rPr>
          <w:i/>
          <w:color w:val="231F20"/>
          <w:sz w:val="16"/>
        </w:rPr>
        <w:t>керування транспортним засобом відповідної</w:t>
      </w:r>
      <w:r>
        <w:rPr>
          <w:i/>
          <w:color w:val="231F20"/>
          <w:spacing w:val="-4"/>
          <w:sz w:val="16"/>
        </w:rPr>
        <w:t xml:space="preserve"> </w:t>
      </w:r>
      <w:r>
        <w:rPr>
          <w:i/>
          <w:color w:val="231F20"/>
          <w:sz w:val="16"/>
        </w:rPr>
        <w:t>категорії.</w:t>
      </w:r>
    </w:p>
    <w:p w14:paraId="0CCD7642" w14:textId="77777777" w:rsidR="00DE575E" w:rsidRDefault="00DE575E">
      <w:pPr>
        <w:pStyle w:val="BodyText"/>
        <w:spacing w:before="6"/>
        <w:rPr>
          <w:i/>
          <w:sz w:val="12"/>
        </w:rPr>
      </w:pPr>
    </w:p>
    <w:p w14:paraId="413E8556" w14:textId="77777777" w:rsidR="00DE575E" w:rsidRDefault="002E7560">
      <w:pPr>
        <w:spacing w:before="92"/>
        <w:ind w:right="411"/>
        <w:jc w:val="right"/>
        <w:rPr>
          <w:rFonts w:ascii="Times New Roman"/>
          <w:sz w:val="20"/>
        </w:rPr>
      </w:pPr>
      <w:r>
        <w:rPr>
          <w:rFonts w:ascii="Times New Roman"/>
          <w:color w:val="231F20"/>
          <w:w w:val="90"/>
          <w:sz w:val="20"/>
        </w:rPr>
        <w:t>199</w:t>
      </w:r>
    </w:p>
    <w:p w14:paraId="168E196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47119C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1F691DA" w14:textId="4EB7678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A6F24B" wp14:editId="1B2AA98E">
                <wp:extent cx="4140200" cy="6350"/>
                <wp:effectExtent l="0" t="0" r="12700" b="6350"/>
                <wp:docPr id="911"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12" name="Line 9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4E930E" id="Group_x0020_9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aPdYF/AgAAmAUAAA4A&#10;AAAAAAAAAAAAAAAALAIAAGRycy9lMm9Eb2MueG1sUEsBAi0AFAAGAAgAAAAhAEynsJDZAAAAAwEA&#10;AA8AAAAAAAAAAAAAAAAA1wQAAGRycy9kb3ducmV2LnhtbFBLBQYAAAAABAAEAPMAAADdBQAAAAA=&#10;">
                <v:line id="Line_x0020_9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929d8cAAADcAAAADwAAAGRycy9kb3ducmV2LnhtbESP0WrCQBRE3wv9h+UWfJG6UaG0qZsg&#10;giA+aGv6AdfsbRK6ezdmVxP9+m5B6OMwM2eYRT5YIy7U+caxgukkAUFcOt1wpeCrWD+/gvABWaNx&#10;TAqu5CHPHh8WmGrX8yddDqESEcI+RQV1CG0qpS9rsugnriWO3rfrLIYou0rqDvsIt0bOkuRFWmw4&#10;LtTY0qqm8udwtgqK0ziYj/3W9MX+OJfH025+O++UGj0Ny3cQgYbwH763N1rB23QG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3b13xwAAANwAAAAPAAAAAAAA&#10;AAAAAAAAAKECAABkcnMvZG93bnJldi54bWxQSwUGAAAAAAQABAD5AAAAlQMAAAAA&#10;" strokecolor="#231f20" strokeweight=".5pt"/>
                <w10:anchorlock/>
              </v:group>
            </w:pict>
          </mc:Fallback>
        </mc:AlternateContent>
      </w:r>
    </w:p>
    <w:p w14:paraId="4B4638A1" w14:textId="77777777" w:rsidR="00DE575E" w:rsidRDefault="00DE575E">
      <w:pPr>
        <w:pStyle w:val="BodyText"/>
        <w:spacing w:before="7"/>
        <w:rPr>
          <w:rFonts w:ascii="AdonisC"/>
          <w:i/>
          <w:sz w:val="11"/>
        </w:rPr>
      </w:pPr>
    </w:p>
    <w:p w14:paraId="5FF7498F" w14:textId="77777777" w:rsidR="00DE575E" w:rsidRDefault="002E7560">
      <w:pPr>
        <w:pStyle w:val="BodyText"/>
        <w:spacing w:before="101" w:line="252" w:lineRule="auto"/>
        <w:ind w:left="533" w:right="128"/>
        <w:jc w:val="both"/>
      </w:pPr>
      <w:r>
        <w:rPr>
          <w:color w:val="231F20"/>
        </w:rPr>
        <w:t>надає відповідно до закону, затверджуються інформаційна і техно- логічна картки, а в разі якщо суб’єктом надання є посадова особа, – органом, якому вона підпорядковується.</w:t>
      </w:r>
    </w:p>
    <w:p w14:paraId="2CCDE152" w14:textId="77777777" w:rsidR="00DE575E" w:rsidRDefault="002E7560">
      <w:pPr>
        <w:pStyle w:val="BodyText"/>
        <w:spacing w:before="1" w:line="252" w:lineRule="auto"/>
        <w:ind w:left="533" w:right="126" w:firstLine="283"/>
        <w:jc w:val="both"/>
      </w:pPr>
      <w:r>
        <w:rPr>
          <w:i/>
          <w:color w:val="231F20"/>
        </w:rPr>
        <w:t xml:space="preserve">Інформаційна картка адміністративної послуги </w:t>
      </w:r>
      <w:r>
        <w:rPr>
          <w:color w:val="231F20"/>
        </w:rPr>
        <w:t xml:space="preserve">– це документ, який містить відомості, </w:t>
      </w:r>
      <w:r>
        <w:rPr>
          <w:color w:val="231F20"/>
        </w:rPr>
        <w:t>що стосуються суб’єкта надання, підстав, умов, строків і порядку надання адміністративної послуги і є одним зі способів забезпечення доступу споживачів до інформації про адміністративні послуги та джерелом інформації як для споживачів послуг, так і для суб</w:t>
      </w:r>
      <w:r>
        <w:rPr>
          <w:color w:val="231F20"/>
        </w:rPr>
        <w:t>’єктів надання таких послуг.</w:t>
      </w:r>
    </w:p>
    <w:p w14:paraId="7149CF9E" w14:textId="77777777" w:rsidR="00DE575E" w:rsidRDefault="002E7560">
      <w:pPr>
        <w:pStyle w:val="BodyText"/>
        <w:spacing w:before="3" w:line="252" w:lineRule="auto"/>
        <w:ind w:left="533" w:right="127" w:firstLine="283"/>
        <w:jc w:val="both"/>
      </w:pPr>
      <w:r>
        <w:rPr>
          <w:i/>
          <w:color w:val="231F20"/>
        </w:rPr>
        <w:t xml:space="preserve">Інформаційна картка </w:t>
      </w:r>
      <w:r>
        <w:rPr>
          <w:color w:val="231F20"/>
        </w:rPr>
        <w:t>адміністративної послуги розміщується суб’єктом надання адміністративних послуг на його офіційному веб-сайті та в місці прийому суб’єктів звернень.</w:t>
      </w:r>
    </w:p>
    <w:p w14:paraId="37AECF85" w14:textId="77777777" w:rsidR="00DE575E" w:rsidRDefault="002E7560">
      <w:pPr>
        <w:pStyle w:val="BodyText"/>
        <w:spacing w:before="2" w:line="252" w:lineRule="auto"/>
        <w:ind w:left="533" w:right="128" w:firstLine="283"/>
        <w:jc w:val="both"/>
      </w:pPr>
      <w:r>
        <w:rPr>
          <w:b/>
          <w:color w:val="231F20"/>
        </w:rPr>
        <w:t>До юридичних дій</w:t>
      </w:r>
      <w:r>
        <w:rPr>
          <w:color w:val="231F20"/>
        </w:rPr>
        <w:t xml:space="preserve">, що супроводжують процедуру надання адмі- </w:t>
      </w:r>
      <w:r>
        <w:rPr>
          <w:color w:val="231F20"/>
        </w:rPr>
        <w:t>ністративних</w:t>
      </w:r>
      <w:r>
        <w:rPr>
          <w:color w:val="231F20"/>
          <w:spacing w:val="-11"/>
        </w:rPr>
        <w:t xml:space="preserve"> </w:t>
      </w:r>
      <w:r>
        <w:rPr>
          <w:color w:val="231F20"/>
          <w:spacing w:val="-3"/>
        </w:rPr>
        <w:t>послуг,</w:t>
      </w:r>
      <w:r>
        <w:rPr>
          <w:color w:val="231F20"/>
          <w:spacing w:val="-11"/>
        </w:rPr>
        <w:t xml:space="preserve"> </w:t>
      </w:r>
      <w:r>
        <w:rPr>
          <w:color w:val="231F20"/>
        </w:rPr>
        <w:t>слід</w:t>
      </w:r>
      <w:r>
        <w:rPr>
          <w:color w:val="231F20"/>
          <w:spacing w:val="-11"/>
        </w:rPr>
        <w:t xml:space="preserve"> </w:t>
      </w:r>
      <w:r>
        <w:rPr>
          <w:color w:val="231F20"/>
        </w:rPr>
        <w:t>віднести</w:t>
      </w:r>
      <w:r>
        <w:rPr>
          <w:color w:val="231F20"/>
          <w:spacing w:val="-11"/>
        </w:rPr>
        <w:t xml:space="preserve"> </w:t>
      </w:r>
      <w:r>
        <w:rPr>
          <w:color w:val="231F20"/>
        </w:rPr>
        <w:t>супутні</w:t>
      </w:r>
      <w:r>
        <w:rPr>
          <w:color w:val="231F20"/>
          <w:spacing w:val="-11"/>
        </w:rPr>
        <w:t xml:space="preserve"> </w:t>
      </w:r>
      <w:r>
        <w:rPr>
          <w:color w:val="231F20"/>
        </w:rPr>
        <w:t>послуги,</w:t>
      </w:r>
      <w:r>
        <w:rPr>
          <w:color w:val="231F20"/>
          <w:spacing w:val="-11"/>
        </w:rPr>
        <w:t xml:space="preserve"> </w:t>
      </w:r>
      <w:r>
        <w:rPr>
          <w:color w:val="231F20"/>
        </w:rPr>
        <w:t>які</w:t>
      </w:r>
      <w:r>
        <w:rPr>
          <w:color w:val="231F20"/>
          <w:spacing w:val="-11"/>
        </w:rPr>
        <w:t xml:space="preserve"> </w:t>
      </w:r>
      <w:r>
        <w:rPr>
          <w:color w:val="231F20"/>
        </w:rPr>
        <w:t>можуть</w:t>
      </w:r>
      <w:r>
        <w:rPr>
          <w:color w:val="231F20"/>
          <w:spacing w:val="-11"/>
        </w:rPr>
        <w:t xml:space="preserve"> </w:t>
      </w:r>
      <w:r>
        <w:rPr>
          <w:color w:val="231F20"/>
        </w:rPr>
        <w:t xml:space="preserve">нада- ватися у приміщеннях, де розміщуються центри надання адмініст- ративних </w:t>
      </w:r>
      <w:r>
        <w:rPr>
          <w:color w:val="231F20"/>
          <w:spacing w:val="-3"/>
        </w:rPr>
        <w:t xml:space="preserve">послуг, </w:t>
      </w:r>
      <w:r>
        <w:rPr>
          <w:color w:val="231F20"/>
        </w:rPr>
        <w:t>інших приміщеннях, де надаються такі послуги.</w:t>
      </w:r>
      <w:r>
        <w:rPr>
          <w:color w:val="231F20"/>
          <w:spacing w:val="-31"/>
        </w:rPr>
        <w:t xml:space="preserve"> </w:t>
      </w:r>
      <w:r>
        <w:rPr>
          <w:color w:val="231F20"/>
        </w:rPr>
        <w:t xml:space="preserve">До цих послуг можна віднести: виготовлення копій документів, </w:t>
      </w:r>
      <w:r>
        <w:rPr>
          <w:color w:val="231F20"/>
        </w:rPr>
        <w:t>ламі- нування, фотографування, доступ до Інтернету; надання послуг поштового зв’язку; продаж канцелярських товарів, надання банків- ських послуг</w:t>
      </w:r>
      <w:r>
        <w:rPr>
          <w:color w:val="231F20"/>
          <w:spacing w:val="-1"/>
        </w:rPr>
        <w:t xml:space="preserve"> </w:t>
      </w:r>
      <w:r>
        <w:rPr>
          <w:color w:val="231F20"/>
        </w:rPr>
        <w:t>тощо.</w:t>
      </w:r>
    </w:p>
    <w:p w14:paraId="485BE32E" w14:textId="77777777" w:rsidR="00DE575E" w:rsidRDefault="002E7560">
      <w:pPr>
        <w:pStyle w:val="BodyText"/>
        <w:spacing w:before="4" w:line="252" w:lineRule="auto"/>
        <w:ind w:left="533" w:right="125" w:firstLine="283"/>
        <w:jc w:val="both"/>
      </w:pPr>
      <w:r>
        <w:rPr>
          <w:b/>
          <w:i/>
          <w:color w:val="231F20"/>
        </w:rPr>
        <w:t xml:space="preserve">Супутні послуги </w:t>
      </w:r>
      <w:r>
        <w:rPr>
          <w:color w:val="231F20"/>
        </w:rPr>
        <w:t xml:space="preserve">надаються </w:t>
      </w:r>
      <w:r>
        <w:rPr>
          <w:color w:val="231F20"/>
          <w:spacing w:val="-3"/>
        </w:rPr>
        <w:t xml:space="preserve">суб’єктами </w:t>
      </w:r>
      <w:r>
        <w:rPr>
          <w:color w:val="231F20"/>
        </w:rPr>
        <w:t>підприємництва, що займаються</w:t>
      </w:r>
      <w:r>
        <w:rPr>
          <w:color w:val="231F20"/>
          <w:spacing w:val="-10"/>
        </w:rPr>
        <w:t xml:space="preserve"> </w:t>
      </w:r>
      <w:r>
        <w:rPr>
          <w:color w:val="231F20"/>
        </w:rPr>
        <w:t>наданням</w:t>
      </w:r>
      <w:r>
        <w:rPr>
          <w:color w:val="231F20"/>
          <w:spacing w:val="-9"/>
        </w:rPr>
        <w:t xml:space="preserve"> </w:t>
      </w:r>
      <w:r>
        <w:rPr>
          <w:color w:val="231F20"/>
        </w:rPr>
        <w:t>адміністративних</w:t>
      </w:r>
      <w:r>
        <w:rPr>
          <w:color w:val="231F20"/>
          <w:spacing w:val="-9"/>
        </w:rPr>
        <w:t xml:space="preserve"> </w:t>
      </w:r>
      <w:r>
        <w:rPr>
          <w:color w:val="231F20"/>
          <w:spacing w:val="-3"/>
        </w:rPr>
        <w:t>послуг,</w:t>
      </w:r>
      <w:r>
        <w:rPr>
          <w:color w:val="231F20"/>
          <w:spacing w:val="-9"/>
        </w:rPr>
        <w:t xml:space="preserve"> </w:t>
      </w:r>
      <w:r>
        <w:rPr>
          <w:color w:val="231F20"/>
        </w:rPr>
        <w:t>добір</w:t>
      </w:r>
      <w:r>
        <w:rPr>
          <w:color w:val="231F20"/>
          <w:spacing w:val="-10"/>
        </w:rPr>
        <w:t xml:space="preserve"> </w:t>
      </w:r>
      <w:r>
        <w:rPr>
          <w:color w:val="231F20"/>
        </w:rPr>
        <w:t>яких</w:t>
      </w:r>
      <w:r>
        <w:rPr>
          <w:color w:val="231F20"/>
          <w:spacing w:val="-9"/>
        </w:rPr>
        <w:t xml:space="preserve"> </w:t>
      </w:r>
      <w:r>
        <w:rPr>
          <w:color w:val="231F20"/>
        </w:rPr>
        <w:t xml:space="preserve">здійсню- ється </w:t>
      </w:r>
      <w:r>
        <w:rPr>
          <w:color w:val="231F20"/>
          <w:spacing w:val="-3"/>
        </w:rPr>
        <w:t xml:space="preserve">суб’єктом </w:t>
      </w:r>
      <w:r>
        <w:rPr>
          <w:color w:val="231F20"/>
        </w:rPr>
        <w:t xml:space="preserve">надання послуг на конкурсній основі за критеріями забезпечення кращих умов для </w:t>
      </w:r>
      <w:r>
        <w:rPr>
          <w:color w:val="231F20"/>
          <w:spacing w:val="-3"/>
        </w:rPr>
        <w:t xml:space="preserve">суб’єкта </w:t>
      </w:r>
      <w:r>
        <w:rPr>
          <w:color w:val="231F20"/>
        </w:rPr>
        <w:t xml:space="preserve">звернення (напр., мініміза- ції плати свої послуги, швидкості надання </w:t>
      </w:r>
      <w:r>
        <w:rPr>
          <w:color w:val="231F20"/>
          <w:spacing w:val="-3"/>
        </w:rPr>
        <w:t xml:space="preserve">послуг, </w:t>
      </w:r>
      <w:r>
        <w:rPr>
          <w:color w:val="231F20"/>
        </w:rPr>
        <w:t>зручного графіку роботи тощо). Забороняється відносити</w:t>
      </w:r>
      <w:r>
        <w:rPr>
          <w:color w:val="231F20"/>
        </w:rPr>
        <w:t xml:space="preserve"> до супутніх послуг надання </w:t>
      </w:r>
      <w:r>
        <w:rPr>
          <w:color w:val="231F20"/>
          <w:spacing w:val="-3"/>
        </w:rPr>
        <w:t xml:space="preserve">консультацій </w:t>
      </w:r>
      <w:r>
        <w:rPr>
          <w:color w:val="231F20"/>
        </w:rPr>
        <w:t>та інформації, пов’язаних із наданням адміністратив- них</w:t>
      </w:r>
      <w:r>
        <w:rPr>
          <w:color w:val="231F20"/>
          <w:spacing w:val="-7"/>
        </w:rPr>
        <w:t xml:space="preserve"> </w:t>
      </w:r>
      <w:r>
        <w:rPr>
          <w:color w:val="231F20"/>
          <w:spacing w:val="-3"/>
        </w:rPr>
        <w:t>послуг,</w:t>
      </w:r>
      <w:r>
        <w:rPr>
          <w:color w:val="231F20"/>
          <w:spacing w:val="-7"/>
        </w:rPr>
        <w:t xml:space="preserve"> </w:t>
      </w:r>
      <w:r>
        <w:rPr>
          <w:color w:val="231F20"/>
        </w:rPr>
        <w:t>продаж</w:t>
      </w:r>
      <w:r>
        <w:rPr>
          <w:color w:val="231F20"/>
          <w:spacing w:val="-7"/>
        </w:rPr>
        <w:t xml:space="preserve"> </w:t>
      </w:r>
      <w:r>
        <w:rPr>
          <w:color w:val="231F20"/>
        </w:rPr>
        <w:t>бланків</w:t>
      </w:r>
      <w:r>
        <w:rPr>
          <w:color w:val="231F20"/>
          <w:spacing w:val="-7"/>
        </w:rPr>
        <w:t xml:space="preserve"> </w:t>
      </w:r>
      <w:r>
        <w:rPr>
          <w:color w:val="231F20"/>
        </w:rPr>
        <w:t>заяв</w:t>
      </w:r>
      <w:r>
        <w:rPr>
          <w:color w:val="231F20"/>
          <w:spacing w:val="-7"/>
        </w:rPr>
        <w:t xml:space="preserve"> </w:t>
      </w:r>
      <w:r>
        <w:rPr>
          <w:color w:val="231F20"/>
        </w:rPr>
        <w:t>та</w:t>
      </w:r>
      <w:r>
        <w:rPr>
          <w:color w:val="231F20"/>
          <w:spacing w:val="-7"/>
        </w:rPr>
        <w:t xml:space="preserve"> </w:t>
      </w:r>
      <w:r>
        <w:rPr>
          <w:color w:val="231F20"/>
        </w:rPr>
        <w:t>інших</w:t>
      </w:r>
      <w:r>
        <w:rPr>
          <w:color w:val="231F20"/>
          <w:spacing w:val="-7"/>
        </w:rPr>
        <w:t xml:space="preserve"> </w:t>
      </w:r>
      <w:r>
        <w:rPr>
          <w:color w:val="231F20"/>
        </w:rPr>
        <w:t>документів,</w:t>
      </w:r>
      <w:r>
        <w:rPr>
          <w:color w:val="231F20"/>
          <w:spacing w:val="-7"/>
        </w:rPr>
        <w:t xml:space="preserve"> </w:t>
      </w:r>
      <w:r>
        <w:rPr>
          <w:color w:val="231F20"/>
        </w:rPr>
        <w:t>потрібних</w:t>
      </w:r>
      <w:r>
        <w:rPr>
          <w:color w:val="231F20"/>
          <w:spacing w:val="-7"/>
        </w:rPr>
        <w:t xml:space="preserve"> </w:t>
      </w:r>
      <w:r>
        <w:rPr>
          <w:color w:val="231F20"/>
        </w:rPr>
        <w:t xml:space="preserve">для звернення щодо надання адміністративних </w:t>
      </w:r>
      <w:r>
        <w:rPr>
          <w:color w:val="231F20"/>
          <w:spacing w:val="-3"/>
        </w:rPr>
        <w:t xml:space="preserve">послуг, </w:t>
      </w:r>
      <w:r>
        <w:rPr>
          <w:color w:val="231F20"/>
        </w:rPr>
        <w:t>а також надання допомоги в їх заповненні, форму</w:t>
      </w:r>
      <w:r>
        <w:rPr>
          <w:color w:val="231F20"/>
        </w:rPr>
        <w:t>ванні пакету</w:t>
      </w:r>
      <w:r>
        <w:rPr>
          <w:color w:val="231F20"/>
          <w:spacing w:val="-13"/>
        </w:rPr>
        <w:t xml:space="preserve"> </w:t>
      </w:r>
      <w:r>
        <w:rPr>
          <w:color w:val="231F20"/>
        </w:rPr>
        <w:t>документів.</w:t>
      </w:r>
    </w:p>
    <w:p w14:paraId="08272897" w14:textId="77777777" w:rsidR="00DE575E" w:rsidRDefault="00DE575E">
      <w:pPr>
        <w:pStyle w:val="BodyText"/>
        <w:spacing w:before="4"/>
        <w:rPr>
          <w:sz w:val="22"/>
        </w:rPr>
      </w:pPr>
    </w:p>
    <w:p w14:paraId="614CEA44" w14:textId="77777777" w:rsidR="00DE575E" w:rsidRDefault="002E7560">
      <w:pPr>
        <w:pStyle w:val="Heading5"/>
        <w:spacing w:before="1" w:line="252" w:lineRule="auto"/>
        <w:ind w:left="817" w:right="1410"/>
      </w:pPr>
      <w:r>
        <w:rPr>
          <w:color w:val="231F20"/>
        </w:rPr>
        <w:t>6.3.3. Плата за надання адміністративних послуг (адміністративний збір)</w:t>
      </w:r>
    </w:p>
    <w:p w14:paraId="5EC4227F" w14:textId="77777777" w:rsidR="00DE575E" w:rsidRDefault="00DE575E">
      <w:pPr>
        <w:pStyle w:val="BodyText"/>
        <w:rPr>
          <w:b/>
          <w:sz w:val="22"/>
        </w:rPr>
      </w:pPr>
    </w:p>
    <w:p w14:paraId="256C3C47" w14:textId="77777777" w:rsidR="00DE575E" w:rsidRDefault="002E7560">
      <w:pPr>
        <w:pStyle w:val="BodyText"/>
        <w:spacing w:before="1" w:line="252" w:lineRule="auto"/>
        <w:ind w:left="533" w:right="127" w:firstLine="283"/>
        <w:jc w:val="both"/>
      </w:pPr>
      <w:r>
        <w:rPr>
          <w:color w:val="231F20"/>
        </w:rPr>
        <w:t xml:space="preserve">Відповідно до чинного законодавства адміністративні послуги можуть надаватися на платній і безоплатній основі. У </w:t>
      </w:r>
      <w:r>
        <w:rPr>
          <w:color w:val="231F20"/>
          <w:spacing w:val="-6"/>
        </w:rPr>
        <w:t xml:space="preserve">ст. </w:t>
      </w:r>
      <w:r>
        <w:rPr>
          <w:color w:val="231F20"/>
        </w:rPr>
        <w:t xml:space="preserve">11 Закону </w:t>
      </w:r>
      <w:r>
        <w:rPr>
          <w:color w:val="231F20"/>
          <w:spacing w:val="-3"/>
        </w:rPr>
        <w:t>України</w:t>
      </w:r>
      <w:r>
        <w:rPr>
          <w:color w:val="231F20"/>
          <w:spacing w:val="-11"/>
        </w:rPr>
        <w:t xml:space="preserve"> </w:t>
      </w:r>
      <w:r>
        <w:rPr>
          <w:color w:val="231F20"/>
        </w:rPr>
        <w:t>«Про</w:t>
      </w:r>
      <w:r>
        <w:rPr>
          <w:color w:val="231F20"/>
          <w:spacing w:val="-11"/>
        </w:rPr>
        <w:t xml:space="preserve"> </w:t>
      </w:r>
      <w:r>
        <w:rPr>
          <w:color w:val="231F20"/>
        </w:rPr>
        <w:t>адміністративні</w:t>
      </w:r>
      <w:r>
        <w:rPr>
          <w:color w:val="231F20"/>
          <w:spacing w:val="-11"/>
        </w:rPr>
        <w:t xml:space="preserve"> </w:t>
      </w:r>
      <w:r>
        <w:rPr>
          <w:color w:val="231F20"/>
        </w:rPr>
        <w:t>п</w:t>
      </w:r>
      <w:r>
        <w:rPr>
          <w:color w:val="231F20"/>
        </w:rPr>
        <w:t>ослуги»</w:t>
      </w:r>
      <w:r>
        <w:rPr>
          <w:color w:val="231F20"/>
          <w:spacing w:val="-11"/>
        </w:rPr>
        <w:t xml:space="preserve"> </w:t>
      </w:r>
      <w:r>
        <w:rPr>
          <w:color w:val="231F20"/>
        </w:rPr>
        <w:t>встановлено</w:t>
      </w:r>
      <w:r>
        <w:rPr>
          <w:color w:val="231F20"/>
          <w:spacing w:val="-11"/>
        </w:rPr>
        <w:t xml:space="preserve"> </w:t>
      </w:r>
      <w:r>
        <w:rPr>
          <w:color w:val="231F20"/>
        </w:rPr>
        <w:t>загальні</w:t>
      </w:r>
      <w:r>
        <w:rPr>
          <w:color w:val="231F20"/>
          <w:spacing w:val="-11"/>
        </w:rPr>
        <w:t xml:space="preserve"> </w:t>
      </w:r>
      <w:r>
        <w:rPr>
          <w:color w:val="231F20"/>
        </w:rPr>
        <w:t xml:space="preserve">засади визначення </w:t>
      </w:r>
      <w:r>
        <w:rPr>
          <w:b/>
          <w:color w:val="231F20"/>
        </w:rPr>
        <w:t xml:space="preserve">платності / безоплатності </w:t>
      </w:r>
      <w:r>
        <w:rPr>
          <w:color w:val="231F20"/>
        </w:rPr>
        <w:t xml:space="preserve">адміністративних </w:t>
      </w:r>
      <w:r>
        <w:rPr>
          <w:color w:val="231F20"/>
          <w:spacing w:val="-3"/>
        </w:rPr>
        <w:t xml:space="preserve">послуг, </w:t>
      </w:r>
      <w:r>
        <w:rPr>
          <w:color w:val="231F20"/>
        </w:rPr>
        <w:t>порядку</w:t>
      </w:r>
      <w:r>
        <w:rPr>
          <w:color w:val="231F20"/>
          <w:spacing w:val="-18"/>
        </w:rPr>
        <w:t xml:space="preserve"> </w:t>
      </w:r>
      <w:r>
        <w:rPr>
          <w:color w:val="231F20"/>
        </w:rPr>
        <w:t>оплати</w:t>
      </w:r>
      <w:r>
        <w:rPr>
          <w:color w:val="231F20"/>
          <w:spacing w:val="-18"/>
        </w:rPr>
        <w:t xml:space="preserve"> </w:t>
      </w:r>
      <w:r>
        <w:rPr>
          <w:color w:val="231F20"/>
        </w:rPr>
        <w:t>платних</w:t>
      </w:r>
      <w:r>
        <w:rPr>
          <w:color w:val="231F20"/>
          <w:spacing w:val="-17"/>
        </w:rPr>
        <w:t xml:space="preserve"> </w:t>
      </w:r>
      <w:r>
        <w:rPr>
          <w:color w:val="231F20"/>
        </w:rPr>
        <w:t>адміністративних</w:t>
      </w:r>
      <w:r>
        <w:rPr>
          <w:color w:val="231F20"/>
          <w:spacing w:val="-18"/>
        </w:rPr>
        <w:t xml:space="preserve"> </w:t>
      </w:r>
      <w:r>
        <w:rPr>
          <w:color w:val="231F20"/>
        </w:rPr>
        <w:t>послуг</w:t>
      </w:r>
      <w:r>
        <w:rPr>
          <w:color w:val="231F20"/>
          <w:spacing w:val="-18"/>
        </w:rPr>
        <w:t xml:space="preserve"> </w:t>
      </w:r>
      <w:r>
        <w:rPr>
          <w:color w:val="231F20"/>
        </w:rPr>
        <w:t>та</w:t>
      </w:r>
      <w:r>
        <w:rPr>
          <w:color w:val="231F20"/>
          <w:spacing w:val="-18"/>
        </w:rPr>
        <w:t xml:space="preserve"> </w:t>
      </w:r>
      <w:r>
        <w:rPr>
          <w:color w:val="231F20"/>
        </w:rPr>
        <w:t>обмежень</w:t>
      </w:r>
      <w:r>
        <w:rPr>
          <w:color w:val="231F20"/>
          <w:spacing w:val="-18"/>
        </w:rPr>
        <w:t xml:space="preserve"> </w:t>
      </w:r>
      <w:r>
        <w:rPr>
          <w:color w:val="231F20"/>
        </w:rPr>
        <w:t>щодо</w:t>
      </w:r>
    </w:p>
    <w:p w14:paraId="445136FA" w14:textId="77777777" w:rsidR="00DE575E" w:rsidRDefault="00DE575E">
      <w:pPr>
        <w:pStyle w:val="BodyText"/>
        <w:spacing w:before="8"/>
        <w:rPr>
          <w:sz w:val="12"/>
        </w:rPr>
      </w:pPr>
    </w:p>
    <w:p w14:paraId="7AB6DDB9" w14:textId="77777777" w:rsidR="00DE575E" w:rsidRDefault="002E7560">
      <w:pPr>
        <w:spacing w:before="92"/>
        <w:ind w:left="533"/>
        <w:rPr>
          <w:rFonts w:ascii="Times New Roman"/>
          <w:sz w:val="20"/>
        </w:rPr>
      </w:pPr>
      <w:r>
        <w:rPr>
          <w:rFonts w:ascii="Times New Roman"/>
          <w:color w:val="231F20"/>
          <w:sz w:val="20"/>
        </w:rPr>
        <w:t>200</w:t>
      </w:r>
    </w:p>
    <w:p w14:paraId="5464F84B" w14:textId="77777777" w:rsidR="00DE575E" w:rsidRDefault="00DE575E">
      <w:pPr>
        <w:rPr>
          <w:rFonts w:ascii="Times New Roman"/>
          <w:sz w:val="20"/>
        </w:rPr>
        <w:sectPr w:rsidR="00DE575E">
          <w:pgSz w:w="8510" w:h="12760"/>
          <w:pgMar w:top="660" w:right="720" w:bottom="280" w:left="600" w:header="720" w:footer="720" w:gutter="0"/>
          <w:cols w:space="720"/>
        </w:sectPr>
      </w:pPr>
    </w:p>
    <w:p w14:paraId="40963947"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5E201F13" w14:textId="7BBA43D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F02765B" wp14:editId="6B88D758">
                <wp:extent cx="4140200" cy="6350"/>
                <wp:effectExtent l="0" t="0" r="12700" b="6350"/>
                <wp:docPr id="909"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10" name="Line 90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F8E56F" id="Group_x0020_90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iam+t/AgAAmAUAAA4A&#10;AAAAAAAAAAAAAAAALAIAAGRycy9lMm9Eb2MueG1sUEsBAi0AFAAGAAgAAAAhAEynsJDZAAAAAwEA&#10;AA8AAAAAAAAAAAAAAAAA1wQAAGRycy9kb3ducmV2LnhtbFBLBQYAAAAABAAEAPMAAADdBQAAAAA=&#10;">
                <v:line id="Line_x0020_90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OGm8MAAADcAAAADwAAAGRycy9kb3ducmV2LnhtbERP3WrCMBS+F/YO4Qy8kZmqIK4zyhgI&#10;4oXOdg9wbM7asuSkNtFWn95cDLz8+P6X694acaXW144VTMYJCOLC6ZpLBT/55m0BwgdkjcYxKbiR&#10;h/XqZbDEVLuOj3TNQiliCPsUFVQhNKmUvqjIoh+7hjhyv661GCJsS6lb7GK4NXKaJHNpsebYUGFD&#10;XxUVf9nFKsjPo2C+DzvT5YfTTJ7O+9n9sldq+Np/foAI1Ien+N+91QreJ3F+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DhpvDAAAA3AAAAA8AAAAAAAAAAAAA&#10;AAAAoQIAAGRycy9kb3ducmV2LnhtbFBLBQYAAAAABAAEAPkAAACRAwAAAAA=&#10;" strokecolor="#231f20" strokeweight=".5pt"/>
                <w10:anchorlock/>
              </v:group>
            </w:pict>
          </mc:Fallback>
        </mc:AlternateContent>
      </w:r>
    </w:p>
    <w:p w14:paraId="11550448" w14:textId="77777777" w:rsidR="00DE575E" w:rsidRDefault="00DE575E">
      <w:pPr>
        <w:pStyle w:val="BodyText"/>
        <w:spacing w:before="7"/>
        <w:rPr>
          <w:rFonts w:ascii="AdonisC"/>
          <w:i/>
          <w:sz w:val="19"/>
        </w:rPr>
      </w:pPr>
    </w:p>
    <w:p w14:paraId="0591F29C" w14:textId="77777777" w:rsidR="00DE575E" w:rsidRDefault="002E7560">
      <w:pPr>
        <w:pStyle w:val="BodyText"/>
        <w:spacing w:before="1" w:line="252" w:lineRule="auto"/>
        <w:ind w:left="250"/>
      </w:pPr>
      <w:r>
        <w:rPr>
          <w:color w:val="231F20"/>
        </w:rPr>
        <w:t>справляння і використання коштів за послуги суб’єктами надання адміністративних послуг.</w:t>
      </w:r>
    </w:p>
    <w:p w14:paraId="4B1503D8" w14:textId="77777777" w:rsidR="00DE575E" w:rsidRDefault="002E7560">
      <w:pPr>
        <w:pStyle w:val="BodyText"/>
        <w:spacing w:before="1" w:line="252" w:lineRule="auto"/>
        <w:ind w:left="250" w:right="410" w:firstLine="283"/>
        <w:jc w:val="both"/>
      </w:pPr>
      <w:r>
        <w:rPr>
          <w:color w:val="231F20"/>
        </w:rPr>
        <w:t>При цьому треба врахувати такі теоретичні положення: надання адміністративних послуг з боку публічної в</w:t>
      </w:r>
      <w:r>
        <w:rPr>
          <w:color w:val="231F20"/>
        </w:rPr>
        <w:t>лади має спрямовува- тися</w:t>
      </w:r>
      <w:r>
        <w:rPr>
          <w:color w:val="231F20"/>
          <w:spacing w:val="-14"/>
        </w:rPr>
        <w:t xml:space="preserve"> </w:t>
      </w:r>
      <w:r>
        <w:rPr>
          <w:color w:val="231F20"/>
        </w:rPr>
        <w:t>на</w:t>
      </w:r>
      <w:r>
        <w:rPr>
          <w:color w:val="231F20"/>
          <w:spacing w:val="-13"/>
        </w:rPr>
        <w:t xml:space="preserve"> </w:t>
      </w:r>
      <w:r>
        <w:rPr>
          <w:color w:val="231F20"/>
        </w:rPr>
        <w:t>задоволення</w:t>
      </w:r>
      <w:r>
        <w:rPr>
          <w:color w:val="231F20"/>
          <w:spacing w:val="-14"/>
        </w:rPr>
        <w:t xml:space="preserve"> </w:t>
      </w:r>
      <w:r>
        <w:rPr>
          <w:color w:val="231F20"/>
        </w:rPr>
        <w:t>потреб</w:t>
      </w:r>
      <w:r>
        <w:rPr>
          <w:color w:val="231F20"/>
          <w:spacing w:val="-13"/>
        </w:rPr>
        <w:t xml:space="preserve"> </w:t>
      </w:r>
      <w:r>
        <w:rPr>
          <w:color w:val="231F20"/>
        </w:rPr>
        <w:t>особи</w:t>
      </w:r>
      <w:r>
        <w:rPr>
          <w:color w:val="231F20"/>
          <w:spacing w:val="-13"/>
        </w:rPr>
        <w:t xml:space="preserve"> </w:t>
      </w:r>
      <w:r>
        <w:rPr>
          <w:color w:val="231F20"/>
        </w:rPr>
        <w:t>і</w:t>
      </w:r>
      <w:r>
        <w:rPr>
          <w:color w:val="231F20"/>
          <w:spacing w:val="-13"/>
        </w:rPr>
        <w:t xml:space="preserve"> </w:t>
      </w:r>
      <w:r>
        <w:rPr>
          <w:color w:val="231F20"/>
        </w:rPr>
        <w:t>суспільства.</w:t>
      </w:r>
      <w:r>
        <w:rPr>
          <w:color w:val="231F20"/>
          <w:spacing w:val="-13"/>
        </w:rPr>
        <w:t xml:space="preserve"> </w:t>
      </w:r>
      <w:r>
        <w:rPr>
          <w:color w:val="231F20"/>
        </w:rPr>
        <w:t>Потрібно</w:t>
      </w:r>
      <w:r>
        <w:rPr>
          <w:color w:val="231F20"/>
          <w:spacing w:val="-14"/>
        </w:rPr>
        <w:t xml:space="preserve"> </w:t>
      </w:r>
      <w:r>
        <w:rPr>
          <w:color w:val="231F20"/>
        </w:rPr>
        <w:t xml:space="preserve">визначити перелік відповідних </w:t>
      </w:r>
      <w:r>
        <w:rPr>
          <w:color w:val="231F20"/>
          <w:spacing w:val="-3"/>
        </w:rPr>
        <w:t xml:space="preserve">послуг, </w:t>
      </w:r>
      <w:r>
        <w:rPr>
          <w:color w:val="231F20"/>
        </w:rPr>
        <w:t xml:space="preserve">які потрібні </w:t>
      </w:r>
      <w:r>
        <w:rPr>
          <w:color w:val="231F20"/>
          <w:spacing w:val="-3"/>
        </w:rPr>
        <w:t xml:space="preserve">суб’єктам, </w:t>
      </w:r>
      <w:r>
        <w:rPr>
          <w:color w:val="231F20"/>
        </w:rPr>
        <w:t xml:space="preserve">а також критерії оцінювання якості та ефективності їхнього надання; адміністра- тивні послуги </w:t>
      </w:r>
      <w:r>
        <w:rPr>
          <w:i/>
          <w:color w:val="231F20"/>
        </w:rPr>
        <w:t>мають бути платними тільки в разі</w:t>
      </w:r>
      <w:r>
        <w:rPr>
          <w:color w:val="231F20"/>
        </w:rPr>
        <w:t>, коли громадя- нин має вибір – чи користуватися цією послугою, чи ні; адмініст- ративні послуги мають надаватися насамперед на низових рівнях структури виконавчої влади, що забезпечить їхнє наближення до споживачів</w:t>
      </w:r>
      <w:r>
        <w:rPr>
          <w:color w:val="231F20"/>
          <w:position w:val="7"/>
          <w:sz w:val="12"/>
        </w:rPr>
        <w:t>1</w:t>
      </w:r>
      <w:r>
        <w:rPr>
          <w:color w:val="231F20"/>
        </w:rPr>
        <w:t>.</w:t>
      </w:r>
    </w:p>
    <w:p w14:paraId="00413FA7" w14:textId="77777777" w:rsidR="00DE575E" w:rsidRDefault="002E7560">
      <w:pPr>
        <w:pStyle w:val="BodyText"/>
        <w:spacing w:before="5" w:line="252" w:lineRule="auto"/>
        <w:ind w:left="250" w:right="408" w:firstLine="283"/>
        <w:jc w:val="both"/>
      </w:pPr>
      <w:r>
        <w:rPr>
          <w:color w:val="231F20"/>
        </w:rPr>
        <w:t xml:space="preserve">Так, </w:t>
      </w:r>
      <w:r>
        <w:rPr>
          <w:color w:val="231F20"/>
        </w:rPr>
        <w:t xml:space="preserve">під час надання адміністративних послуг у випадках, передбачених законом, </w:t>
      </w:r>
      <w:r>
        <w:rPr>
          <w:b/>
          <w:i/>
          <w:color w:val="231F20"/>
        </w:rPr>
        <w:t xml:space="preserve">справляється плата (адміністратив- ний збір). </w:t>
      </w:r>
      <w:r>
        <w:rPr>
          <w:color w:val="231F20"/>
        </w:rPr>
        <w:t xml:space="preserve">При цьому надання адміністративних послуг у сфері соціального забезпечення громадян здійснюється на безоплатній основі. Розмір плати за </w:t>
      </w:r>
      <w:r>
        <w:rPr>
          <w:color w:val="231F20"/>
        </w:rPr>
        <w:t>надання адміністративної послуги (адмі- ністративного збору) і порядок її справляння визначаються зако- ном з урахуванням її соціального та економічного значення. Цей платіж зараховується до державного або відповідного місцевого бюджету. Плата за надання а</w:t>
      </w:r>
      <w:r>
        <w:rPr>
          <w:color w:val="231F20"/>
        </w:rPr>
        <w:t>дміністративної послуги (адмініст- ративний збір) вноситься суб’єктом звернення одноразово за весь комплекс дій та рішень суб’єкта надання таких послуг, необхідних для отримання послуги (включаючи вартість бланків, експертиз, здійснюваних суб’єктом надання</w:t>
      </w:r>
      <w:r>
        <w:rPr>
          <w:color w:val="231F20"/>
        </w:rPr>
        <w:t xml:space="preserve"> адміністративної послуги, отри- мання витягів із реєстрів тощо). Стягнення за надання адмініст- ративних послуг будь-яких додаткових, не передбачених законом, платежів або вимагання сплати будь-яких додаткових коштів забо- роняється. Суб’єкт надання адмін</w:t>
      </w:r>
      <w:r>
        <w:rPr>
          <w:color w:val="231F20"/>
        </w:rPr>
        <w:t>істративних послуг не може нада- вати інші платні послуги</w:t>
      </w:r>
      <w:r>
        <w:rPr>
          <w:color w:val="231F20"/>
          <w:position w:val="7"/>
          <w:sz w:val="12"/>
        </w:rPr>
        <w:t>2</w:t>
      </w:r>
      <w:r>
        <w:rPr>
          <w:color w:val="231F20"/>
        </w:rPr>
        <w:t>.</w:t>
      </w:r>
    </w:p>
    <w:p w14:paraId="62339666" w14:textId="77777777" w:rsidR="00DE575E" w:rsidRDefault="002E7560">
      <w:pPr>
        <w:pStyle w:val="BodyText"/>
        <w:spacing w:before="8" w:line="252" w:lineRule="auto"/>
        <w:ind w:left="250" w:right="409" w:firstLine="283"/>
        <w:jc w:val="both"/>
      </w:pPr>
      <w:r>
        <w:rPr>
          <w:color w:val="231F20"/>
        </w:rPr>
        <w:t xml:space="preserve">В </w:t>
      </w:r>
      <w:r>
        <w:rPr>
          <w:color w:val="231F20"/>
          <w:spacing w:val="-3"/>
        </w:rPr>
        <w:t xml:space="preserve">Україні </w:t>
      </w:r>
      <w:r>
        <w:rPr>
          <w:color w:val="231F20"/>
        </w:rPr>
        <w:t xml:space="preserve">відсутній системний нормативно-правовий </w:t>
      </w:r>
      <w:r>
        <w:rPr>
          <w:color w:val="231F20"/>
          <w:spacing w:val="-5"/>
        </w:rPr>
        <w:t xml:space="preserve">акт, </w:t>
      </w:r>
      <w:r>
        <w:rPr>
          <w:color w:val="231F20"/>
        </w:rPr>
        <w:t xml:space="preserve">який би   врегульовував   питання   оплати    адміністративних    послуг.  У зв’язку з цим суб’єктам звернення послуг важко орієнтуватися    </w:t>
      </w:r>
      <w:r>
        <w:rPr>
          <w:color w:val="231F20"/>
        </w:rPr>
        <w:t xml:space="preserve">  в порядку та розмірах оплати, що призводить до сплати необов’яз- кових платежів, а іноді – до</w:t>
      </w:r>
      <w:r>
        <w:rPr>
          <w:color w:val="231F20"/>
          <w:spacing w:val="26"/>
        </w:rPr>
        <w:t xml:space="preserve"> </w:t>
      </w:r>
      <w:r>
        <w:rPr>
          <w:color w:val="231F20"/>
        </w:rPr>
        <w:t>корупції.</w:t>
      </w:r>
    </w:p>
    <w:p w14:paraId="701DB1C0" w14:textId="23E8BE12" w:rsidR="00DE575E" w:rsidRDefault="002E7560">
      <w:pPr>
        <w:pStyle w:val="BodyText"/>
        <w:spacing w:before="3"/>
        <w:rPr>
          <w:sz w:val="25"/>
        </w:rPr>
      </w:pPr>
      <w:r>
        <w:rPr>
          <w:noProof/>
        </w:rPr>
        <mc:AlternateContent>
          <mc:Choice Requires="wps">
            <w:drawing>
              <wp:anchor distT="0" distB="0" distL="0" distR="0" simplePos="0" relativeHeight="8200" behindDoc="0" locked="0" layoutInCell="1" allowOverlap="1" wp14:anchorId="47205145" wp14:editId="4DBE9862">
                <wp:simplePos x="0" y="0"/>
                <wp:positionH relativeFrom="page">
                  <wp:posOffset>539750</wp:posOffset>
                </wp:positionH>
                <wp:positionV relativeFrom="paragraph">
                  <wp:posOffset>215900</wp:posOffset>
                </wp:positionV>
                <wp:extent cx="1080135" cy="0"/>
                <wp:effectExtent l="6350" t="12700" r="31115" b="25400"/>
                <wp:wrapTopAndBottom/>
                <wp:docPr id="908"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D0B97" id="Line_x0020_907" o:spid="_x0000_s1026" style="position:absolute;z-index: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pt" to="127.5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" strokecolor="#231f20" strokeweight=".5pt">
                <w10:wrap type="topAndBottom" anchorx="page"/>
              </v:line>
            </w:pict>
          </mc:Fallback>
        </mc:AlternateContent>
      </w:r>
    </w:p>
    <w:p w14:paraId="3E391427"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Дембіцька С. Правові засади діяльності з надання адміністративних послуг населенню України органами місцевого самоврядування: дис. канд. юрид. нау</w:t>
      </w:r>
      <w:r>
        <w:rPr>
          <w:color w:val="231F20"/>
          <w:sz w:val="16"/>
        </w:rPr>
        <w:t>к: 12.00.07. Львів, 2010. 214 с.</w:t>
      </w:r>
    </w:p>
    <w:p w14:paraId="2EC6EA52" w14:textId="77777777" w:rsidR="00DE575E" w:rsidRDefault="002E7560">
      <w:pPr>
        <w:spacing w:before="4"/>
        <w:ind w:left="250"/>
        <w:jc w:val="both"/>
        <w:rPr>
          <w:sz w:val="16"/>
        </w:rPr>
      </w:pPr>
      <w:r>
        <w:rPr>
          <w:color w:val="231F20"/>
          <w:position w:val="5"/>
          <w:sz w:val="9"/>
        </w:rPr>
        <w:t xml:space="preserve">2 </w:t>
      </w:r>
      <w:r>
        <w:rPr>
          <w:color w:val="231F20"/>
          <w:sz w:val="16"/>
        </w:rPr>
        <w:t>Закон від 6.09.2012 № 520.</w:t>
      </w:r>
    </w:p>
    <w:p w14:paraId="20181093" w14:textId="77777777" w:rsidR="00DE575E" w:rsidRDefault="00DE575E">
      <w:pPr>
        <w:pStyle w:val="BodyText"/>
        <w:spacing w:before="10"/>
        <w:rPr>
          <w:sz w:val="11"/>
        </w:rPr>
      </w:pPr>
    </w:p>
    <w:p w14:paraId="5640A780" w14:textId="77777777" w:rsidR="00DE575E" w:rsidRDefault="002E7560">
      <w:pPr>
        <w:spacing w:before="92"/>
        <w:ind w:right="411"/>
        <w:jc w:val="right"/>
        <w:rPr>
          <w:rFonts w:ascii="Times New Roman"/>
          <w:sz w:val="20"/>
        </w:rPr>
      </w:pPr>
      <w:r>
        <w:rPr>
          <w:rFonts w:ascii="Times New Roman"/>
          <w:color w:val="231F20"/>
          <w:w w:val="90"/>
          <w:sz w:val="20"/>
        </w:rPr>
        <w:t>201</w:t>
      </w:r>
    </w:p>
    <w:p w14:paraId="0966BA0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4FAB6C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1426773" w14:textId="34FC61B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DDA930B" wp14:editId="086C1208">
                <wp:extent cx="4140200" cy="6350"/>
                <wp:effectExtent l="0" t="0" r="12700" b="6350"/>
                <wp:docPr id="906"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07" name="Line 90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CD55E" id="Group_x0020_90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ofuTTgAIAAJgFAAAO&#10;AAAAAAAAAAAAAAAAACwCAABkcnMvZTJvRG9jLnhtbFBLAQItABQABgAIAAAAIQBMp7CQ2QAAAAMB&#10;AAAPAAAAAAAAAAAAAAAAANgEAABkcnMvZG93bnJldi54bWxQSwUGAAAAAAQABADzAAAA3gUAAAAA&#10;">
                <v:line id="Line_x0020_90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OIMscAAADcAAAADwAAAGRycy9kb3ducmV2LnhtbESP3WrCQBSE7wXfYTkFb0rdWKHW1FVE&#10;KEgv/El8gGP2NAndPRuzq0n79N1CwcthZr5hFqveGnGj1teOFUzGCQjiwumaSwWn/P3pFYQPyBqN&#10;Y1LwTR5Wy+Fggal2HR/ploVSRAj7FBVUITSplL6oyKIfu4Y4ep+utRiibEupW+wi3Br5nCQv0mLN&#10;caHChjYVFV/Z1SrIL4/BHPYfpsv356k8X3bTn+tOqdFDv34DEagP9/B/e6sVzJMZ/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4gyxwAAANwAAAAPAAAAAAAA&#10;AAAAAAAAAKECAABkcnMvZG93bnJldi54bWxQSwUGAAAAAAQABAD5AAAAlQMAAAAA&#10;" strokecolor="#231f20" strokeweight=".5pt"/>
                <w10:anchorlock/>
              </v:group>
            </w:pict>
          </mc:Fallback>
        </mc:AlternateContent>
      </w:r>
    </w:p>
    <w:p w14:paraId="4B879658" w14:textId="77777777" w:rsidR="00DE575E" w:rsidRDefault="00DE575E">
      <w:pPr>
        <w:pStyle w:val="BodyText"/>
        <w:spacing w:before="7"/>
        <w:rPr>
          <w:rFonts w:ascii="AdonisC"/>
          <w:i/>
          <w:sz w:val="11"/>
        </w:rPr>
      </w:pPr>
    </w:p>
    <w:p w14:paraId="2B9F9991" w14:textId="77777777" w:rsidR="00DE575E" w:rsidRDefault="002E7560">
      <w:pPr>
        <w:pStyle w:val="BodyText"/>
        <w:spacing w:before="101" w:line="252" w:lineRule="auto"/>
        <w:ind w:left="533" w:right="128" w:firstLine="283"/>
        <w:jc w:val="both"/>
      </w:pPr>
      <w:r>
        <w:rPr>
          <w:color w:val="231F20"/>
        </w:rPr>
        <w:t>В окремих випадках плата за адміністративні послуги визнача- ється в законах або актах аналогічного рівня (напр., Закон України</w:t>
      </w:r>
    </w:p>
    <w:p w14:paraId="24D32339" w14:textId="77777777" w:rsidR="00DE575E" w:rsidRDefault="002E7560">
      <w:pPr>
        <w:pStyle w:val="BodyText"/>
        <w:spacing w:before="1" w:line="252" w:lineRule="auto"/>
        <w:ind w:left="533" w:right="128"/>
        <w:jc w:val="both"/>
      </w:pPr>
      <w:r>
        <w:rPr>
          <w:color w:val="231F20"/>
        </w:rPr>
        <w:t>«Про державну реєстрацію юридичних осіб та фізичних осіб-під- приємців»</w:t>
      </w:r>
      <w:r>
        <w:rPr>
          <w:color w:val="231F20"/>
          <w:position w:val="7"/>
          <w:sz w:val="12"/>
        </w:rPr>
        <w:t xml:space="preserve">1 </w:t>
      </w:r>
      <w:r>
        <w:rPr>
          <w:color w:val="231F20"/>
        </w:rPr>
        <w:t>визначає розміри з</w:t>
      </w:r>
      <w:r>
        <w:rPr>
          <w:color w:val="231F20"/>
        </w:rPr>
        <w:t>борів за реєстрацію суб’єктів госпо- дарювання;  Декрет  Кабінету  Міністрів  України  від  21.01.1993 р.</w:t>
      </w:r>
    </w:p>
    <w:p w14:paraId="52FB097D" w14:textId="77777777" w:rsidR="00DE575E" w:rsidRDefault="002E7560">
      <w:pPr>
        <w:pStyle w:val="BodyText"/>
        <w:spacing w:before="1" w:line="252" w:lineRule="auto"/>
        <w:ind w:left="533" w:right="128"/>
        <w:jc w:val="both"/>
      </w:pPr>
      <w:r>
        <w:rPr>
          <w:color w:val="231F20"/>
        </w:rPr>
        <w:t>№ 7-93 «Про державне мито»</w:t>
      </w:r>
      <w:r>
        <w:rPr>
          <w:color w:val="231F20"/>
          <w:position w:val="7"/>
          <w:sz w:val="12"/>
        </w:rPr>
        <w:t xml:space="preserve">2 </w:t>
      </w:r>
      <w:r>
        <w:rPr>
          <w:color w:val="231F20"/>
        </w:rPr>
        <w:t>визначає розміри плати за видання паспортних документів та деякі інші адміністративні послуги). Такі нормативно-правові ак</w:t>
      </w:r>
      <w:r>
        <w:rPr>
          <w:color w:val="231F20"/>
        </w:rPr>
        <w:t>ти по-різному називають платежі, які мають характер плати за адміністративні послуги («державне мито»,</w:t>
      </w:r>
    </w:p>
    <w:p w14:paraId="03A7DAB4" w14:textId="77777777" w:rsidR="00DE575E" w:rsidRDefault="002E7560">
      <w:pPr>
        <w:pStyle w:val="BodyText"/>
        <w:spacing w:before="2" w:line="252" w:lineRule="auto"/>
        <w:ind w:left="533" w:right="127"/>
        <w:jc w:val="both"/>
      </w:pPr>
      <w:r>
        <w:rPr>
          <w:color w:val="231F20"/>
        </w:rPr>
        <w:t>«реєстраційний збір», «ліцензійний збір», «плата» тощо), а також визначають і самі розміри плати (у неоподатковуваних мінімумах;  у мінімальних заробітни</w:t>
      </w:r>
      <w:r>
        <w:rPr>
          <w:color w:val="231F20"/>
        </w:rPr>
        <w:t>х платах; в абсолютних одиницях; у відсо- тковому вимірі</w:t>
      </w:r>
      <w:r>
        <w:rPr>
          <w:color w:val="231F20"/>
          <w:spacing w:val="-2"/>
        </w:rPr>
        <w:t xml:space="preserve"> </w:t>
      </w:r>
      <w:r>
        <w:rPr>
          <w:color w:val="231F20"/>
        </w:rPr>
        <w:t>тощо).</w:t>
      </w:r>
    </w:p>
    <w:p w14:paraId="597DDA25" w14:textId="77777777" w:rsidR="00DE575E" w:rsidRDefault="002E7560">
      <w:pPr>
        <w:spacing w:before="2" w:line="252" w:lineRule="auto"/>
        <w:ind w:left="533" w:right="128" w:firstLine="283"/>
        <w:jc w:val="both"/>
        <w:rPr>
          <w:sz w:val="21"/>
        </w:rPr>
      </w:pPr>
      <w:r>
        <w:rPr>
          <w:i/>
          <w:color w:val="231F20"/>
          <w:sz w:val="21"/>
        </w:rPr>
        <w:t xml:space="preserve">Отже, плата за надання адміністративних послуг передбачена   в різних нормативно-правових актах, аналіз яких дозволив виокре- мити такі її ознаки: установлюється та справляється відповідно до </w:t>
      </w:r>
      <w:r>
        <w:rPr>
          <w:i/>
          <w:color w:val="231F20"/>
          <w:sz w:val="21"/>
        </w:rPr>
        <w:t xml:space="preserve">законодавства, що має різну галузеву належність; правовою підставою справляння є звернення до уповноважених органів відпо- відної особи; </w:t>
      </w:r>
      <w:r>
        <w:rPr>
          <w:i/>
          <w:color w:val="231F20"/>
          <w:spacing w:val="-3"/>
          <w:sz w:val="21"/>
        </w:rPr>
        <w:t xml:space="preserve">суб’єкт </w:t>
      </w:r>
      <w:r>
        <w:rPr>
          <w:i/>
          <w:color w:val="231F20"/>
          <w:sz w:val="21"/>
        </w:rPr>
        <w:t>звернення вступає в такі відносини добровільно, оскільки сам звертається за адміністративною послугою, що зумов</w:t>
      </w:r>
      <w:r>
        <w:rPr>
          <w:i/>
          <w:color w:val="231F20"/>
          <w:sz w:val="21"/>
        </w:rPr>
        <w:t>- лює її сплату та</w:t>
      </w:r>
      <w:r>
        <w:rPr>
          <w:i/>
          <w:color w:val="231F20"/>
          <w:spacing w:val="-5"/>
          <w:sz w:val="21"/>
        </w:rPr>
        <w:t xml:space="preserve"> </w:t>
      </w:r>
      <w:r>
        <w:rPr>
          <w:i/>
          <w:color w:val="231F20"/>
          <w:sz w:val="21"/>
        </w:rPr>
        <w:t>ін.</w:t>
      </w:r>
      <w:r>
        <w:rPr>
          <w:i/>
          <w:color w:val="231F20"/>
          <w:position w:val="7"/>
          <w:sz w:val="12"/>
        </w:rPr>
        <w:t>3</w:t>
      </w:r>
      <w:r>
        <w:rPr>
          <w:color w:val="231F20"/>
          <w:sz w:val="21"/>
        </w:rPr>
        <w:t>.</w:t>
      </w:r>
    </w:p>
    <w:p w14:paraId="4C26A478" w14:textId="77777777" w:rsidR="00DE575E" w:rsidRDefault="002E7560">
      <w:pPr>
        <w:pStyle w:val="BodyText"/>
        <w:spacing w:before="4" w:line="252" w:lineRule="auto"/>
        <w:ind w:left="533" w:right="128" w:firstLine="283"/>
        <w:jc w:val="both"/>
      </w:pPr>
      <w:r>
        <w:rPr>
          <w:color w:val="231F20"/>
        </w:rPr>
        <w:t>Існування плати за надання адміністративних послуг обґрун- товуються потребою компенсації державі та органам місцевого самоврядування витрат, які виникають у процесі надання відпо- відних послуг. Проте такий підхід є невиваженим, а</w:t>
      </w:r>
      <w:r>
        <w:rPr>
          <w:color w:val="231F20"/>
        </w:rPr>
        <w:t>дже адмініст- ративні послуги надаються суб’єктами публічної адміністрації, які утримуються за рахунок державного чи місцевого бюджетів. Тим самим споживачі адміністративних послуг платять за них два рази. Перший – сплачуючи державні та місцеві податки, др</w:t>
      </w:r>
      <w:r>
        <w:rPr>
          <w:color w:val="231F20"/>
        </w:rPr>
        <w:t>угий – отри- муючи відповідну адміністративну послугу</w:t>
      </w:r>
      <w:r>
        <w:rPr>
          <w:color w:val="231F20"/>
          <w:position w:val="7"/>
          <w:sz w:val="12"/>
        </w:rPr>
        <w:t>4</w:t>
      </w:r>
      <w:r>
        <w:rPr>
          <w:color w:val="231F20"/>
        </w:rPr>
        <w:t>. У теорії адміністра- тивного права щодо надання публічних послуг має діяти засада, що</w:t>
      </w:r>
    </w:p>
    <w:p w14:paraId="01806012" w14:textId="65D064D5" w:rsidR="00DE575E" w:rsidRDefault="002E7560">
      <w:pPr>
        <w:pStyle w:val="BodyText"/>
        <w:spacing w:before="1"/>
        <w:rPr>
          <w:sz w:val="27"/>
        </w:rPr>
      </w:pPr>
      <w:r>
        <w:rPr>
          <w:noProof/>
        </w:rPr>
        <mc:AlternateContent>
          <mc:Choice Requires="wps">
            <w:drawing>
              <wp:anchor distT="0" distB="0" distL="0" distR="0" simplePos="0" relativeHeight="8248" behindDoc="0" locked="0" layoutInCell="1" allowOverlap="1" wp14:anchorId="2F44D5E3" wp14:editId="53E3D0DC">
                <wp:simplePos x="0" y="0"/>
                <wp:positionH relativeFrom="page">
                  <wp:posOffset>719455</wp:posOffset>
                </wp:positionH>
                <wp:positionV relativeFrom="paragraph">
                  <wp:posOffset>229870</wp:posOffset>
                </wp:positionV>
                <wp:extent cx="1080135" cy="0"/>
                <wp:effectExtent l="8255" t="13970" r="29210" b="24130"/>
                <wp:wrapTopAndBottom/>
                <wp:docPr id="905"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34E9D" id="Line_x0020_904" o:spid="_x0000_s1026" style="position:absolute;z-index: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1pt" to="141.7pt,1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nQryE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" strokecolor="#231f20" strokeweight=".5pt">
                <w10:wrap type="topAndBottom" anchorx="page"/>
              </v:line>
            </w:pict>
          </mc:Fallback>
        </mc:AlternateContent>
      </w:r>
    </w:p>
    <w:p w14:paraId="34F2492A" w14:textId="77777777" w:rsidR="00DE575E" w:rsidRDefault="002E7560">
      <w:pPr>
        <w:spacing w:line="204" w:lineRule="auto"/>
        <w:ind w:left="533" w:right="129"/>
        <w:jc w:val="both"/>
        <w:rPr>
          <w:sz w:val="16"/>
        </w:rPr>
      </w:pPr>
      <w:r>
        <w:rPr>
          <w:color w:val="231F20"/>
          <w:position w:val="5"/>
          <w:sz w:val="9"/>
        </w:rPr>
        <w:t xml:space="preserve">1 </w:t>
      </w:r>
      <w:r>
        <w:rPr>
          <w:color w:val="231F20"/>
          <w:sz w:val="16"/>
        </w:rPr>
        <w:t>Про державну реєстрацію юридичних осіб та фізичних осіб-підприємців: Закон від 15.05.2003. № 755-IV.</w:t>
      </w:r>
    </w:p>
    <w:p w14:paraId="4DED93B2" w14:textId="77777777" w:rsidR="00DE575E" w:rsidRDefault="002E7560">
      <w:pPr>
        <w:spacing w:before="3"/>
        <w:ind w:left="533"/>
        <w:rPr>
          <w:sz w:val="16"/>
        </w:rPr>
      </w:pPr>
      <w:r>
        <w:rPr>
          <w:color w:val="231F20"/>
          <w:position w:val="5"/>
          <w:sz w:val="9"/>
        </w:rPr>
        <w:t xml:space="preserve">2 </w:t>
      </w:r>
      <w:r>
        <w:rPr>
          <w:color w:val="231F20"/>
          <w:sz w:val="16"/>
        </w:rPr>
        <w:t>Про державне мито: Декрет Кабінету Міністрів України від 21.01.1993 р. № 755-IV.</w:t>
      </w:r>
    </w:p>
    <w:p w14:paraId="2E47E4ED" w14:textId="77777777" w:rsidR="00DE575E" w:rsidRDefault="002E7560">
      <w:pPr>
        <w:spacing w:before="24" w:line="204" w:lineRule="auto"/>
        <w:ind w:left="533" w:right="128"/>
        <w:jc w:val="both"/>
        <w:rPr>
          <w:sz w:val="16"/>
        </w:rPr>
      </w:pPr>
      <w:r>
        <w:rPr>
          <w:color w:val="231F20"/>
          <w:position w:val="5"/>
          <w:sz w:val="9"/>
        </w:rPr>
        <w:t xml:space="preserve">3 </w:t>
      </w:r>
      <w:r>
        <w:rPr>
          <w:color w:val="231F20"/>
          <w:sz w:val="16"/>
        </w:rPr>
        <w:t xml:space="preserve">Оніщик Ю., Буханевич О. Правове регулювання плати за надання адміністративних послуг : проблеми теорії та практики. </w:t>
      </w:r>
      <w:r>
        <w:rPr>
          <w:i/>
          <w:color w:val="231F20"/>
          <w:sz w:val="16"/>
        </w:rPr>
        <w:t xml:space="preserve">Наукові записки Інституту законодавства Верхов- ної Ради </w:t>
      </w:r>
      <w:r>
        <w:rPr>
          <w:i/>
          <w:color w:val="231F20"/>
          <w:sz w:val="16"/>
        </w:rPr>
        <w:t>України</w:t>
      </w:r>
      <w:r>
        <w:rPr>
          <w:color w:val="231F20"/>
          <w:sz w:val="16"/>
        </w:rPr>
        <w:t>. 2015. № 3. С. 46.</w:t>
      </w:r>
    </w:p>
    <w:p w14:paraId="17261E62" w14:textId="77777777" w:rsidR="00DE575E" w:rsidRDefault="002E7560">
      <w:pPr>
        <w:spacing w:before="30" w:line="204" w:lineRule="auto"/>
        <w:ind w:left="533" w:right="127"/>
        <w:jc w:val="both"/>
        <w:rPr>
          <w:sz w:val="16"/>
        </w:rPr>
      </w:pPr>
      <w:r>
        <w:rPr>
          <w:color w:val="231F20"/>
          <w:position w:val="5"/>
          <w:sz w:val="9"/>
        </w:rPr>
        <w:t xml:space="preserve">4 </w:t>
      </w:r>
      <w:r>
        <w:rPr>
          <w:i/>
          <w:color w:val="231F20"/>
          <w:sz w:val="16"/>
          <w:u w:val="single" w:color="231F20"/>
        </w:rPr>
        <w:t>Приклад</w:t>
      </w:r>
      <w:r>
        <w:rPr>
          <w:i/>
          <w:color w:val="231F20"/>
          <w:sz w:val="16"/>
        </w:rPr>
        <w:t>, Національне агентство із забезпечення якості вищої освіти, фінансування якого</w:t>
      </w:r>
      <w:r>
        <w:rPr>
          <w:i/>
          <w:color w:val="231F20"/>
          <w:spacing w:val="-10"/>
          <w:sz w:val="16"/>
        </w:rPr>
        <w:t xml:space="preserve"> </w:t>
      </w:r>
      <w:r>
        <w:rPr>
          <w:i/>
          <w:color w:val="231F20"/>
          <w:sz w:val="16"/>
        </w:rPr>
        <w:t>здійснюється</w:t>
      </w:r>
      <w:r>
        <w:rPr>
          <w:i/>
          <w:color w:val="231F20"/>
          <w:spacing w:val="-10"/>
          <w:sz w:val="16"/>
        </w:rPr>
        <w:t xml:space="preserve"> </w:t>
      </w:r>
      <w:r>
        <w:rPr>
          <w:i/>
          <w:color w:val="231F20"/>
          <w:sz w:val="16"/>
        </w:rPr>
        <w:t>за</w:t>
      </w:r>
      <w:r>
        <w:rPr>
          <w:i/>
          <w:color w:val="231F20"/>
          <w:spacing w:val="-10"/>
          <w:sz w:val="16"/>
        </w:rPr>
        <w:t xml:space="preserve"> </w:t>
      </w:r>
      <w:r>
        <w:rPr>
          <w:i/>
          <w:color w:val="231F20"/>
          <w:sz w:val="16"/>
        </w:rPr>
        <w:t>рахунок</w:t>
      </w:r>
      <w:r>
        <w:rPr>
          <w:i/>
          <w:color w:val="231F20"/>
          <w:spacing w:val="-10"/>
          <w:sz w:val="16"/>
        </w:rPr>
        <w:t xml:space="preserve"> </w:t>
      </w:r>
      <w:r>
        <w:rPr>
          <w:i/>
          <w:color w:val="231F20"/>
          <w:sz w:val="16"/>
        </w:rPr>
        <w:t>коштів</w:t>
      </w:r>
      <w:r>
        <w:rPr>
          <w:i/>
          <w:color w:val="231F20"/>
          <w:spacing w:val="-10"/>
          <w:sz w:val="16"/>
        </w:rPr>
        <w:t xml:space="preserve"> </w:t>
      </w:r>
      <w:r>
        <w:rPr>
          <w:i/>
          <w:color w:val="231F20"/>
          <w:sz w:val="16"/>
        </w:rPr>
        <w:t>державного</w:t>
      </w:r>
      <w:r>
        <w:rPr>
          <w:i/>
          <w:color w:val="231F20"/>
          <w:spacing w:val="-10"/>
          <w:sz w:val="16"/>
        </w:rPr>
        <w:t xml:space="preserve"> </w:t>
      </w:r>
      <w:r>
        <w:rPr>
          <w:i/>
          <w:color w:val="231F20"/>
          <w:sz w:val="16"/>
        </w:rPr>
        <w:t>бюджету</w:t>
      </w:r>
      <w:r>
        <w:rPr>
          <w:i/>
          <w:color w:val="231F20"/>
          <w:spacing w:val="-10"/>
          <w:sz w:val="16"/>
        </w:rPr>
        <w:t xml:space="preserve"> </w:t>
      </w:r>
      <w:r>
        <w:rPr>
          <w:i/>
          <w:color w:val="231F20"/>
          <w:sz w:val="16"/>
        </w:rPr>
        <w:t>за</w:t>
      </w:r>
      <w:r>
        <w:rPr>
          <w:i/>
          <w:color w:val="231F20"/>
          <w:spacing w:val="-10"/>
          <w:sz w:val="16"/>
        </w:rPr>
        <w:t xml:space="preserve"> </w:t>
      </w:r>
      <w:r>
        <w:rPr>
          <w:i/>
          <w:color w:val="231F20"/>
          <w:sz w:val="16"/>
        </w:rPr>
        <w:t>надання</w:t>
      </w:r>
      <w:r>
        <w:rPr>
          <w:i/>
          <w:color w:val="231F20"/>
          <w:spacing w:val="-10"/>
          <w:sz w:val="16"/>
        </w:rPr>
        <w:t xml:space="preserve"> </w:t>
      </w:r>
      <w:r>
        <w:rPr>
          <w:i/>
          <w:color w:val="231F20"/>
          <w:sz w:val="16"/>
        </w:rPr>
        <w:t>адміністративних послуг, зокрема щодо акредитації освітніх програми вищих навча</w:t>
      </w:r>
      <w:r>
        <w:rPr>
          <w:i/>
          <w:color w:val="231F20"/>
          <w:sz w:val="16"/>
        </w:rPr>
        <w:t>льних закладів, встановили розмір плати у розмірі більше 40 тис.</w:t>
      </w:r>
      <w:r>
        <w:rPr>
          <w:i/>
          <w:color w:val="231F20"/>
          <w:spacing w:val="-9"/>
          <w:sz w:val="16"/>
        </w:rPr>
        <w:t xml:space="preserve"> </w:t>
      </w:r>
      <w:r>
        <w:rPr>
          <w:i/>
          <w:color w:val="231F20"/>
          <w:sz w:val="16"/>
        </w:rPr>
        <w:t>грн</w:t>
      </w:r>
      <w:r>
        <w:rPr>
          <w:color w:val="231F20"/>
          <w:sz w:val="16"/>
        </w:rPr>
        <w:t>.</w:t>
      </w:r>
    </w:p>
    <w:p w14:paraId="2C68579D" w14:textId="77777777" w:rsidR="00DE575E" w:rsidRDefault="00DE575E">
      <w:pPr>
        <w:pStyle w:val="BodyText"/>
        <w:spacing w:before="6"/>
        <w:rPr>
          <w:sz w:val="12"/>
        </w:rPr>
      </w:pPr>
    </w:p>
    <w:p w14:paraId="39F5FCD9" w14:textId="77777777" w:rsidR="00DE575E" w:rsidRDefault="002E7560">
      <w:pPr>
        <w:spacing w:before="91"/>
        <w:ind w:left="533"/>
        <w:rPr>
          <w:rFonts w:ascii="Times New Roman"/>
          <w:sz w:val="20"/>
        </w:rPr>
      </w:pPr>
      <w:r>
        <w:rPr>
          <w:rFonts w:ascii="Times New Roman"/>
          <w:color w:val="231F20"/>
          <w:sz w:val="20"/>
        </w:rPr>
        <w:t>202</w:t>
      </w:r>
    </w:p>
    <w:p w14:paraId="2CF1F05E" w14:textId="77777777" w:rsidR="00DE575E" w:rsidRDefault="00DE575E">
      <w:pPr>
        <w:rPr>
          <w:rFonts w:ascii="Times New Roman"/>
          <w:sz w:val="20"/>
        </w:rPr>
        <w:sectPr w:rsidR="00DE575E">
          <w:pgSz w:w="8510" w:h="12760"/>
          <w:pgMar w:top="660" w:right="720" w:bottom="280" w:left="600" w:header="720" w:footer="720" w:gutter="0"/>
          <w:cols w:space="720"/>
        </w:sectPr>
      </w:pPr>
    </w:p>
    <w:p w14:paraId="589F1054"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6942399C" w14:textId="794077D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ECE23BA" wp14:editId="5DDCC362">
                <wp:extent cx="4140200" cy="6350"/>
                <wp:effectExtent l="0" t="0" r="12700" b="6350"/>
                <wp:docPr id="903"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04" name="Line 9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A4C792" id="Group_x0020_9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GFWlM1/AgAAmAUAAA4A&#10;AAAAAAAAAAAAAAAALAIAAGRycy9lMm9Eb2MueG1sUEsBAi0AFAAGAAgAAAAhAEynsJDZAAAAAwEA&#10;AA8AAAAAAAAAAAAAAAAA1wQAAGRycy9kb3ducmV2LnhtbFBLBQYAAAAABAAEAPMAAADdBQAAAAA=&#10;">
                <v:line id="Line_x0020_9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EWRccAAADcAAAADwAAAGRycy9kb3ducmV2LnhtbESP3WrCQBSE7wXfYTkFb0rdWIvU1FVE&#10;KEgv/El8gGP2NAndPRuzq0n79N1CwcthZr5hFqveGnGj1teOFUzGCQjiwumaSwWn/P3pFYQPyBqN&#10;Y1LwTR5Wy+Fggal2HR/ploVSRAj7FBVUITSplL6oyKIfu4Y4ep+utRiibEupW+wi3Br5nCQzabHm&#10;uFBhQ5uKiq/sahXkl8dgDvsP0+X781SeL7vpz3Wn1OihX7+BCNSHe/i/vdUK5skL/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oRZFxwAAANwAAAAPAAAAAAAA&#10;AAAAAAAAAKECAABkcnMvZG93bnJldi54bWxQSwUGAAAAAAQABAD5AAAAlQMAAAAA&#10;" strokecolor="#231f20" strokeweight=".5pt"/>
                <w10:anchorlock/>
              </v:group>
            </w:pict>
          </mc:Fallback>
        </mc:AlternateContent>
      </w:r>
    </w:p>
    <w:p w14:paraId="2CA9005F" w14:textId="77777777" w:rsidR="00DE575E" w:rsidRDefault="00DE575E">
      <w:pPr>
        <w:pStyle w:val="BodyText"/>
        <w:spacing w:before="7"/>
        <w:rPr>
          <w:rFonts w:ascii="AdonisC"/>
          <w:i/>
          <w:sz w:val="19"/>
        </w:rPr>
      </w:pPr>
    </w:p>
    <w:p w14:paraId="6A800929" w14:textId="77777777" w:rsidR="00DE575E" w:rsidRDefault="002E7560">
      <w:pPr>
        <w:pStyle w:val="BodyText"/>
        <w:spacing w:before="1" w:line="252" w:lineRule="auto"/>
        <w:ind w:left="250" w:right="410"/>
        <w:jc w:val="both"/>
      </w:pPr>
      <w:r>
        <w:rPr>
          <w:color w:val="231F20"/>
        </w:rPr>
        <w:t>платність публічної послуги має за мету не компенсацію витрат за</w:t>
      </w:r>
      <w:r>
        <w:rPr>
          <w:color w:val="231F20"/>
          <w:spacing w:val="-24"/>
        </w:rPr>
        <w:t xml:space="preserve"> </w:t>
      </w:r>
      <w:r>
        <w:rPr>
          <w:color w:val="231F20"/>
        </w:rPr>
        <w:t>її надання,</w:t>
      </w:r>
      <w:r>
        <w:rPr>
          <w:color w:val="231F20"/>
          <w:spacing w:val="-8"/>
        </w:rPr>
        <w:t xml:space="preserve"> </w:t>
      </w:r>
      <w:r>
        <w:rPr>
          <w:color w:val="231F20"/>
        </w:rPr>
        <w:t>не</w:t>
      </w:r>
      <w:r>
        <w:rPr>
          <w:color w:val="231F20"/>
          <w:spacing w:val="-9"/>
        </w:rPr>
        <w:t xml:space="preserve"> </w:t>
      </w:r>
      <w:r>
        <w:rPr>
          <w:color w:val="231F20"/>
        </w:rPr>
        <w:t>поповнення</w:t>
      </w:r>
      <w:r>
        <w:rPr>
          <w:color w:val="231F20"/>
          <w:spacing w:val="-9"/>
        </w:rPr>
        <w:t xml:space="preserve"> </w:t>
      </w:r>
      <w:r>
        <w:rPr>
          <w:color w:val="231F20"/>
          <w:spacing w:val="-4"/>
        </w:rPr>
        <w:t>бюджету,</w:t>
      </w:r>
      <w:r>
        <w:rPr>
          <w:color w:val="231F20"/>
          <w:spacing w:val="-9"/>
        </w:rPr>
        <w:t xml:space="preserve"> </w:t>
      </w:r>
      <w:r>
        <w:rPr>
          <w:color w:val="231F20"/>
        </w:rPr>
        <w:t>а</w:t>
      </w:r>
      <w:r>
        <w:rPr>
          <w:color w:val="231F20"/>
          <w:spacing w:val="-9"/>
        </w:rPr>
        <w:t xml:space="preserve"> </w:t>
      </w:r>
      <w:r>
        <w:rPr>
          <w:color w:val="231F20"/>
        </w:rPr>
        <w:t>зменшення</w:t>
      </w:r>
      <w:r>
        <w:rPr>
          <w:color w:val="231F20"/>
          <w:spacing w:val="-9"/>
        </w:rPr>
        <w:t xml:space="preserve"> </w:t>
      </w:r>
      <w:r>
        <w:rPr>
          <w:color w:val="231F20"/>
        </w:rPr>
        <w:t>кількості</w:t>
      </w:r>
      <w:r>
        <w:rPr>
          <w:color w:val="231F20"/>
          <w:spacing w:val="-9"/>
        </w:rPr>
        <w:t xml:space="preserve"> </w:t>
      </w:r>
      <w:r>
        <w:rPr>
          <w:color w:val="231F20"/>
        </w:rPr>
        <w:t>отриманих не потрібних приватним особам адміністративних послуг – змен- шення СПАМУ у цій</w:t>
      </w:r>
      <w:r>
        <w:rPr>
          <w:color w:val="231F20"/>
          <w:spacing w:val="-1"/>
        </w:rPr>
        <w:t xml:space="preserve"> </w:t>
      </w:r>
      <w:r>
        <w:rPr>
          <w:color w:val="231F20"/>
        </w:rPr>
        <w:t>сфері.</w:t>
      </w:r>
    </w:p>
    <w:p w14:paraId="4CEC6321" w14:textId="77777777" w:rsidR="00DE575E" w:rsidRDefault="002E7560">
      <w:pPr>
        <w:pStyle w:val="Heading5"/>
        <w:spacing w:before="2" w:line="252" w:lineRule="auto"/>
        <w:ind w:left="250" w:right="411" w:firstLine="283"/>
        <w:jc w:val="both"/>
      </w:pPr>
      <w:r>
        <w:rPr>
          <w:color w:val="231F20"/>
        </w:rPr>
        <w:t xml:space="preserve">Отже, плата за надання адміністративних послуг – це вста- новлений законодавством обов’язковий платіж до державного та відповідного місцевого </w:t>
      </w:r>
      <w:r>
        <w:rPr>
          <w:color w:val="231F20"/>
          <w:spacing w:val="-5"/>
        </w:rPr>
        <w:t xml:space="preserve">бюджету, </w:t>
      </w:r>
      <w:r>
        <w:rPr>
          <w:color w:val="231F20"/>
        </w:rPr>
        <w:t>що справляється з</w:t>
      </w:r>
      <w:r>
        <w:rPr>
          <w:color w:val="231F20"/>
          <w:spacing w:val="-34"/>
        </w:rPr>
        <w:t xml:space="preserve"> </w:t>
      </w:r>
      <w:r>
        <w:rPr>
          <w:color w:val="231F20"/>
        </w:rPr>
        <w:t xml:space="preserve">фізичних і юридичних осіб </w:t>
      </w:r>
      <w:r>
        <w:rPr>
          <w:color w:val="231F20"/>
          <w:spacing w:val="-3"/>
        </w:rPr>
        <w:t xml:space="preserve">суб’єктами </w:t>
      </w:r>
      <w:r>
        <w:rPr>
          <w:color w:val="231F20"/>
        </w:rPr>
        <w:t>надання адміністративних послуг за вчинення юридич</w:t>
      </w:r>
      <w:r>
        <w:rPr>
          <w:color w:val="231F20"/>
        </w:rPr>
        <w:t>но значущих</w:t>
      </w:r>
      <w:r>
        <w:rPr>
          <w:color w:val="231F20"/>
          <w:spacing w:val="-2"/>
        </w:rPr>
        <w:t xml:space="preserve"> </w:t>
      </w:r>
      <w:r>
        <w:rPr>
          <w:color w:val="231F20"/>
        </w:rPr>
        <w:t>дій.</w:t>
      </w:r>
    </w:p>
    <w:p w14:paraId="23A3BEC9" w14:textId="77777777" w:rsidR="00DE575E" w:rsidRDefault="00DE575E">
      <w:pPr>
        <w:pStyle w:val="BodyText"/>
        <w:spacing w:before="2"/>
        <w:rPr>
          <w:b/>
          <w:sz w:val="22"/>
        </w:rPr>
      </w:pPr>
    </w:p>
    <w:p w14:paraId="5BDAD7AB" w14:textId="77777777" w:rsidR="00DE575E" w:rsidRDefault="002E7560">
      <w:pPr>
        <w:ind w:left="533"/>
        <w:rPr>
          <w:b/>
          <w:sz w:val="21"/>
        </w:rPr>
      </w:pPr>
      <w:r>
        <w:rPr>
          <w:b/>
          <w:color w:val="231F20"/>
          <w:sz w:val="21"/>
        </w:rPr>
        <w:t>6.3.4. Вимоги до якості надання адміністративних послуг</w:t>
      </w:r>
    </w:p>
    <w:p w14:paraId="7590B33A" w14:textId="77777777" w:rsidR="00DE575E" w:rsidRDefault="00DE575E">
      <w:pPr>
        <w:pStyle w:val="BodyText"/>
        <w:spacing w:before="2"/>
        <w:rPr>
          <w:b/>
          <w:sz w:val="23"/>
        </w:rPr>
      </w:pPr>
    </w:p>
    <w:p w14:paraId="4B38BECB" w14:textId="77777777" w:rsidR="00DE575E" w:rsidRDefault="002E7560">
      <w:pPr>
        <w:spacing w:line="252" w:lineRule="auto"/>
        <w:ind w:left="250" w:right="411" w:firstLine="283"/>
        <w:jc w:val="both"/>
        <w:rPr>
          <w:i/>
          <w:sz w:val="12"/>
        </w:rPr>
      </w:pPr>
      <w:r>
        <w:rPr>
          <w:color w:val="231F20"/>
          <w:sz w:val="21"/>
        </w:rPr>
        <w:t xml:space="preserve">Вимоги щодо якості надання адміністративних послуг визнача- ються </w:t>
      </w:r>
      <w:r>
        <w:rPr>
          <w:color w:val="231F20"/>
          <w:spacing w:val="-6"/>
          <w:sz w:val="21"/>
        </w:rPr>
        <w:t xml:space="preserve">ст. </w:t>
      </w:r>
      <w:r>
        <w:rPr>
          <w:color w:val="231F20"/>
          <w:sz w:val="21"/>
        </w:rPr>
        <w:t xml:space="preserve">7 Закону «Про адміністративні послуги», в якій зазнача- ється, що </w:t>
      </w:r>
      <w:r>
        <w:rPr>
          <w:color w:val="231F20"/>
          <w:spacing w:val="-4"/>
          <w:sz w:val="21"/>
        </w:rPr>
        <w:t xml:space="preserve">суб’єкт </w:t>
      </w:r>
      <w:r>
        <w:rPr>
          <w:color w:val="231F20"/>
          <w:sz w:val="21"/>
        </w:rPr>
        <w:t>надання адміністративних послуг може видавати щодо</w:t>
      </w:r>
      <w:r>
        <w:rPr>
          <w:color w:val="231F20"/>
          <w:spacing w:val="-13"/>
          <w:sz w:val="21"/>
        </w:rPr>
        <w:t xml:space="preserve"> </w:t>
      </w:r>
      <w:r>
        <w:rPr>
          <w:color w:val="231F20"/>
          <w:sz w:val="21"/>
        </w:rPr>
        <w:t>якості</w:t>
      </w:r>
      <w:r>
        <w:rPr>
          <w:color w:val="231F20"/>
          <w:spacing w:val="-12"/>
          <w:sz w:val="21"/>
        </w:rPr>
        <w:t xml:space="preserve"> </w:t>
      </w:r>
      <w:r>
        <w:rPr>
          <w:color w:val="231F20"/>
          <w:sz w:val="21"/>
        </w:rPr>
        <w:t>надання</w:t>
      </w:r>
      <w:r>
        <w:rPr>
          <w:color w:val="231F20"/>
          <w:spacing w:val="-12"/>
          <w:sz w:val="21"/>
        </w:rPr>
        <w:t xml:space="preserve"> </w:t>
      </w:r>
      <w:r>
        <w:rPr>
          <w:color w:val="231F20"/>
          <w:sz w:val="21"/>
        </w:rPr>
        <w:t>адміністративних</w:t>
      </w:r>
      <w:r>
        <w:rPr>
          <w:color w:val="231F20"/>
          <w:spacing w:val="-13"/>
          <w:sz w:val="21"/>
        </w:rPr>
        <w:t xml:space="preserve"> </w:t>
      </w:r>
      <w:r>
        <w:rPr>
          <w:color w:val="231F20"/>
          <w:sz w:val="21"/>
        </w:rPr>
        <w:t>послуг:</w:t>
      </w:r>
      <w:r>
        <w:rPr>
          <w:color w:val="231F20"/>
          <w:spacing w:val="-12"/>
          <w:sz w:val="21"/>
        </w:rPr>
        <w:t xml:space="preserve"> </w:t>
      </w:r>
      <w:r>
        <w:rPr>
          <w:i/>
          <w:color w:val="231F20"/>
          <w:sz w:val="21"/>
        </w:rPr>
        <w:t>визначення</w:t>
      </w:r>
      <w:r>
        <w:rPr>
          <w:i/>
          <w:color w:val="231F20"/>
          <w:spacing w:val="-12"/>
          <w:sz w:val="21"/>
        </w:rPr>
        <w:t xml:space="preserve"> </w:t>
      </w:r>
      <w:r>
        <w:rPr>
          <w:i/>
          <w:color w:val="231F20"/>
          <w:sz w:val="21"/>
        </w:rPr>
        <w:t>кількості годин</w:t>
      </w:r>
      <w:r>
        <w:rPr>
          <w:i/>
          <w:color w:val="231F20"/>
          <w:spacing w:val="-14"/>
          <w:sz w:val="21"/>
        </w:rPr>
        <w:t xml:space="preserve"> </w:t>
      </w:r>
      <w:r>
        <w:rPr>
          <w:i/>
          <w:color w:val="231F20"/>
          <w:sz w:val="21"/>
        </w:rPr>
        <w:t>прийому,</w:t>
      </w:r>
      <w:r>
        <w:rPr>
          <w:i/>
          <w:color w:val="231F20"/>
          <w:spacing w:val="-13"/>
          <w:sz w:val="21"/>
        </w:rPr>
        <w:t xml:space="preserve"> </w:t>
      </w:r>
      <w:r>
        <w:rPr>
          <w:i/>
          <w:color w:val="231F20"/>
          <w:sz w:val="21"/>
        </w:rPr>
        <w:t>максимального</w:t>
      </w:r>
      <w:r>
        <w:rPr>
          <w:i/>
          <w:color w:val="231F20"/>
          <w:spacing w:val="-13"/>
          <w:sz w:val="21"/>
        </w:rPr>
        <w:t xml:space="preserve"> </w:t>
      </w:r>
      <w:r>
        <w:rPr>
          <w:i/>
          <w:color w:val="231F20"/>
          <w:sz w:val="21"/>
        </w:rPr>
        <w:t>часу</w:t>
      </w:r>
      <w:r>
        <w:rPr>
          <w:i/>
          <w:color w:val="231F20"/>
          <w:spacing w:val="-14"/>
          <w:sz w:val="21"/>
        </w:rPr>
        <w:t xml:space="preserve"> </w:t>
      </w:r>
      <w:r>
        <w:rPr>
          <w:i/>
          <w:color w:val="231F20"/>
          <w:sz w:val="21"/>
        </w:rPr>
        <w:t>очікування</w:t>
      </w:r>
      <w:r>
        <w:rPr>
          <w:i/>
          <w:color w:val="231F20"/>
          <w:spacing w:val="-14"/>
          <w:sz w:val="21"/>
        </w:rPr>
        <w:t xml:space="preserve"> </w:t>
      </w:r>
      <w:r>
        <w:rPr>
          <w:i/>
          <w:color w:val="231F20"/>
          <w:sz w:val="21"/>
        </w:rPr>
        <w:t>в</w:t>
      </w:r>
      <w:r>
        <w:rPr>
          <w:i/>
          <w:color w:val="231F20"/>
          <w:spacing w:val="-14"/>
          <w:sz w:val="21"/>
        </w:rPr>
        <w:t xml:space="preserve"> </w:t>
      </w:r>
      <w:r>
        <w:rPr>
          <w:i/>
          <w:color w:val="231F20"/>
          <w:sz w:val="21"/>
        </w:rPr>
        <w:t>черзі</w:t>
      </w:r>
      <w:r>
        <w:rPr>
          <w:i/>
          <w:color w:val="231F20"/>
          <w:spacing w:val="-13"/>
          <w:sz w:val="21"/>
        </w:rPr>
        <w:t xml:space="preserve"> </w:t>
      </w:r>
      <w:r>
        <w:rPr>
          <w:i/>
          <w:color w:val="231F20"/>
          <w:sz w:val="21"/>
        </w:rPr>
        <w:t>та</w:t>
      </w:r>
      <w:r>
        <w:rPr>
          <w:i/>
          <w:color w:val="231F20"/>
          <w:spacing w:val="-14"/>
          <w:sz w:val="21"/>
        </w:rPr>
        <w:t xml:space="preserve"> </w:t>
      </w:r>
      <w:r>
        <w:rPr>
          <w:i/>
          <w:color w:val="231F20"/>
          <w:sz w:val="21"/>
        </w:rPr>
        <w:t>параметрів оцінювання якості надання адміністративних</w:t>
      </w:r>
      <w:r>
        <w:rPr>
          <w:i/>
          <w:color w:val="231F20"/>
          <w:spacing w:val="-5"/>
          <w:sz w:val="21"/>
        </w:rPr>
        <w:t xml:space="preserve"> </w:t>
      </w:r>
      <w:r>
        <w:rPr>
          <w:i/>
          <w:color w:val="231F20"/>
          <w:sz w:val="21"/>
        </w:rPr>
        <w:t>послуг.</w:t>
      </w:r>
      <w:r>
        <w:rPr>
          <w:i/>
          <w:color w:val="231F20"/>
          <w:position w:val="7"/>
          <w:sz w:val="12"/>
        </w:rPr>
        <w:t>1</w:t>
      </w:r>
    </w:p>
    <w:p w14:paraId="5AFC3C00" w14:textId="77777777" w:rsidR="00DE575E" w:rsidRDefault="002E7560">
      <w:pPr>
        <w:pStyle w:val="BodyText"/>
        <w:spacing w:before="3" w:line="252" w:lineRule="auto"/>
        <w:ind w:left="250" w:right="412" w:firstLine="283"/>
        <w:jc w:val="both"/>
      </w:pPr>
      <w:r>
        <w:rPr>
          <w:color w:val="231F20"/>
        </w:rPr>
        <w:t>Інші параметри оцінювання</w:t>
      </w:r>
      <w:r>
        <w:rPr>
          <w:color w:val="231F20"/>
        </w:rPr>
        <w:t xml:space="preserve"> якості надання адміністративних послуг можуть стосуватися:</w:t>
      </w:r>
    </w:p>
    <w:p w14:paraId="1996A611" w14:textId="77777777" w:rsidR="00DE575E" w:rsidRDefault="002E7560">
      <w:pPr>
        <w:pStyle w:val="BodyText"/>
        <w:spacing w:before="1" w:line="252" w:lineRule="auto"/>
        <w:ind w:left="250" w:right="410" w:firstLine="283"/>
        <w:jc w:val="both"/>
      </w:pPr>
      <w:r>
        <w:rPr>
          <w:rFonts w:ascii="Wingdings" w:hAnsi="Wingdings"/>
          <w:color w:val="231F20"/>
        </w:rPr>
        <w:t></w:t>
      </w:r>
      <w:r>
        <w:rPr>
          <w:rFonts w:ascii="Times New Roman" w:hAnsi="Times New Roman"/>
          <w:color w:val="231F20"/>
        </w:rPr>
        <w:t xml:space="preserve"> </w:t>
      </w:r>
      <w:r>
        <w:rPr>
          <w:i/>
          <w:color w:val="231F20"/>
        </w:rPr>
        <w:t xml:space="preserve">загального обслуговування </w:t>
      </w:r>
      <w:r>
        <w:rPr>
          <w:color w:val="231F20"/>
        </w:rPr>
        <w:t>(напр., щодо територіальної доступності до найближчого офісу з надання адміністративних послуг (у кілометрах тощо);</w:t>
      </w:r>
    </w:p>
    <w:p w14:paraId="436D9A64" w14:textId="77777777" w:rsidR="00DE575E" w:rsidRDefault="002E7560">
      <w:pPr>
        <w:spacing w:before="2"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щодо можливості </w:t>
      </w:r>
      <w:r>
        <w:rPr>
          <w:i/>
          <w:color w:val="231F20"/>
          <w:sz w:val="21"/>
        </w:rPr>
        <w:t>замовлення адміністративних послуг теле- фоном  чи  засобами  електронної  пошти</w:t>
      </w:r>
      <w:r>
        <w:rPr>
          <w:color w:val="231F20"/>
          <w:sz w:val="21"/>
        </w:rPr>
        <w:t>;  щодо  вирішення  справ  з надання адміністративних послуг у строк, що є значно коротшим за встановлений</w:t>
      </w:r>
      <w:r>
        <w:rPr>
          <w:color w:val="231F20"/>
          <w:spacing w:val="-3"/>
          <w:sz w:val="21"/>
        </w:rPr>
        <w:t xml:space="preserve"> </w:t>
      </w:r>
      <w:r>
        <w:rPr>
          <w:color w:val="231F20"/>
          <w:sz w:val="21"/>
        </w:rPr>
        <w:t>законодавством;</w:t>
      </w:r>
    </w:p>
    <w:p w14:paraId="5EC8BB5A" w14:textId="77777777" w:rsidR="00DE575E" w:rsidRDefault="002E7560">
      <w:pPr>
        <w:spacing w:before="2"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щодо можливості </w:t>
      </w:r>
      <w:r>
        <w:rPr>
          <w:i/>
          <w:color w:val="231F20"/>
          <w:sz w:val="21"/>
        </w:rPr>
        <w:t>отримання консультацій про адмініст</w:t>
      </w:r>
      <w:r>
        <w:rPr>
          <w:i/>
          <w:color w:val="231F20"/>
          <w:sz w:val="21"/>
        </w:rPr>
        <w:t xml:space="preserve">ра- тивні послуги телефоном або електронними  засобами  </w:t>
      </w:r>
      <w:r>
        <w:rPr>
          <w:color w:val="231F20"/>
          <w:sz w:val="21"/>
        </w:rPr>
        <w:t xml:space="preserve">комуніка- ції впродовж семи днів на тиждень і впродовж 24 годин на добу;   що скарги на дії персоналу </w:t>
      </w:r>
      <w:r>
        <w:rPr>
          <w:color w:val="231F20"/>
          <w:spacing w:val="-3"/>
          <w:sz w:val="21"/>
        </w:rPr>
        <w:t xml:space="preserve">будуть </w:t>
      </w:r>
      <w:r>
        <w:rPr>
          <w:color w:val="231F20"/>
          <w:sz w:val="21"/>
        </w:rPr>
        <w:t>розглядатися у термін не більше 48 годин</w:t>
      </w:r>
      <w:r>
        <w:rPr>
          <w:color w:val="231F20"/>
          <w:spacing w:val="-2"/>
          <w:sz w:val="21"/>
        </w:rPr>
        <w:t xml:space="preserve"> </w:t>
      </w:r>
      <w:r>
        <w:rPr>
          <w:color w:val="231F20"/>
          <w:sz w:val="21"/>
        </w:rPr>
        <w:t>тощо;</w:t>
      </w:r>
    </w:p>
    <w:p w14:paraId="55C86168"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 xml:space="preserve">надання адміністративної послуги </w:t>
      </w:r>
      <w:r>
        <w:rPr>
          <w:i/>
          <w:color w:val="231F20"/>
        </w:rPr>
        <w:t>коректног</w:t>
      </w:r>
      <w:r>
        <w:rPr>
          <w:i/>
          <w:color w:val="231F20"/>
        </w:rPr>
        <w:t xml:space="preserve">о виду </w:t>
      </w:r>
      <w:r>
        <w:rPr>
          <w:color w:val="231F20"/>
        </w:rPr>
        <w:t>(напри- клад, щодо строку, упродовж якого буде надаватися певна адмініст- ративна послуга; способів її замовлення тощо).</w:t>
      </w:r>
    </w:p>
    <w:p w14:paraId="034DBA56" w14:textId="77777777" w:rsidR="00DE575E" w:rsidRDefault="002E7560">
      <w:pPr>
        <w:pStyle w:val="BodyText"/>
        <w:spacing w:before="2" w:line="252" w:lineRule="auto"/>
        <w:ind w:left="250" w:right="411" w:firstLine="283"/>
        <w:jc w:val="both"/>
      </w:pPr>
      <w:r>
        <w:rPr>
          <w:color w:val="231F20"/>
        </w:rPr>
        <w:t>Очікується, що «власні вимоги щодо якості» лише покращують умови порівняно з параметрами, визначеними законом, і одно-</w:t>
      </w:r>
    </w:p>
    <w:p w14:paraId="57F229C4" w14:textId="3A11EB26" w:rsidR="00DE575E" w:rsidRDefault="002E7560">
      <w:pPr>
        <w:pStyle w:val="BodyText"/>
        <w:spacing w:before="4"/>
        <w:rPr>
          <w:sz w:val="24"/>
        </w:rPr>
      </w:pPr>
      <w:r>
        <w:rPr>
          <w:noProof/>
        </w:rPr>
        <mc:AlternateContent>
          <mc:Choice Requires="wps">
            <w:drawing>
              <wp:anchor distT="0" distB="0" distL="0" distR="0" simplePos="0" relativeHeight="8296" behindDoc="0" locked="0" layoutInCell="1" allowOverlap="1" wp14:anchorId="667A9F80" wp14:editId="5A8BA3A6">
                <wp:simplePos x="0" y="0"/>
                <wp:positionH relativeFrom="page">
                  <wp:posOffset>539750</wp:posOffset>
                </wp:positionH>
                <wp:positionV relativeFrom="paragraph">
                  <wp:posOffset>208915</wp:posOffset>
                </wp:positionV>
                <wp:extent cx="1080135" cy="0"/>
                <wp:effectExtent l="6350" t="18415" r="31115" b="19685"/>
                <wp:wrapTopAndBottom/>
                <wp:docPr id="902"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A6EE6" id="Line_x0020_901" o:spid="_x0000_s1026" style="position:absolute;z-index:8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5pt" to="127.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" strokecolor="#231f20" strokeweight=".5pt">
                <w10:wrap type="topAndBottom" anchorx="page"/>
              </v:line>
            </w:pict>
          </mc:Fallback>
        </mc:AlternateContent>
      </w:r>
    </w:p>
    <w:p w14:paraId="00392AB6" w14:textId="77777777" w:rsidR="00DE575E" w:rsidRDefault="002E7560">
      <w:pPr>
        <w:spacing w:line="162" w:lineRule="exact"/>
        <w:ind w:left="250"/>
        <w:rPr>
          <w:sz w:val="16"/>
        </w:rPr>
      </w:pPr>
      <w:r>
        <w:rPr>
          <w:color w:val="231F20"/>
          <w:position w:val="5"/>
          <w:sz w:val="9"/>
        </w:rPr>
        <w:t xml:space="preserve">1 </w:t>
      </w:r>
      <w:r>
        <w:rPr>
          <w:color w:val="231F20"/>
          <w:sz w:val="16"/>
        </w:rPr>
        <w:t>Закон від 6.09.2012 р. № 520.</w:t>
      </w:r>
    </w:p>
    <w:p w14:paraId="2C283ED1" w14:textId="77777777" w:rsidR="00DE575E" w:rsidRDefault="00DE575E">
      <w:pPr>
        <w:pStyle w:val="BodyText"/>
        <w:spacing w:before="10"/>
        <w:rPr>
          <w:sz w:val="11"/>
        </w:rPr>
      </w:pPr>
    </w:p>
    <w:p w14:paraId="1EFEA255" w14:textId="77777777" w:rsidR="00DE575E" w:rsidRDefault="002E7560">
      <w:pPr>
        <w:spacing w:before="92"/>
        <w:ind w:right="411"/>
        <w:jc w:val="right"/>
        <w:rPr>
          <w:rFonts w:ascii="Times New Roman"/>
          <w:sz w:val="20"/>
        </w:rPr>
      </w:pPr>
      <w:r>
        <w:rPr>
          <w:rFonts w:ascii="Times New Roman"/>
          <w:color w:val="231F20"/>
          <w:w w:val="90"/>
          <w:sz w:val="20"/>
        </w:rPr>
        <w:t>203</w:t>
      </w:r>
    </w:p>
    <w:p w14:paraId="29A666E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FC6857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DFAB5AB" w14:textId="190653A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945DD40" wp14:editId="2E87564B">
                <wp:extent cx="4140200" cy="6350"/>
                <wp:effectExtent l="0" t="0" r="12700" b="6350"/>
                <wp:docPr id="900"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01" name="Line 9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78A524" id="Group_x0020_8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Ao34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AzKAo34CAACYBQAADgAA&#10;AAAAAAAAAAAAAAAsAgAAZHJzL2Uyb0RvYy54bWxQSwECLQAUAAYACAAAACEATKewkNkAAAADAQAA&#10;DwAAAAAAAAAAAAAAAADWBAAAZHJzL2Rvd25yZXYueG1sUEsFBgAAAAAEAAQA8wAAANwFAAAAAA==&#10;">
                <v:line id="Line_x0020_9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a13cYAAADcAAAADwAAAGRycy9kb3ducmV2LnhtbESP3WrCQBSE7wu+w3IK3pS6sYLY6Coi&#10;CMUL/+IDHLPHJHT3bMyuJvr03UKhl8PMfMPMFp014k6NrxwrGA4SEMS50xUXCk7Z+n0CwgdkjcYx&#10;KXiQh8W89zLDVLuWD3Q/hkJECPsUFZQh1KmUPi/Joh+4mjh6F9dYDFE2hdQNthFujfxIkrG0WHFc&#10;KLGmVUn59/FmFWTXt2D2u41ps915JM/X7eh52yrVf+2WUxCBuvAf/mt/aQWfyRB+z8QjIO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Wtd3GAAAA3AAAAA8AAAAAAAAA&#10;AAAAAAAAoQIAAGRycy9kb3ducmV2LnhtbFBLBQYAAAAABAAEAPkAAACUAwAAAAA=&#10;" strokecolor="#231f20" strokeweight=".5pt"/>
                <w10:anchorlock/>
              </v:group>
            </w:pict>
          </mc:Fallback>
        </mc:AlternateContent>
      </w:r>
    </w:p>
    <w:p w14:paraId="061824C9" w14:textId="77777777" w:rsidR="00DE575E" w:rsidRDefault="00DE575E">
      <w:pPr>
        <w:pStyle w:val="BodyText"/>
        <w:spacing w:before="7"/>
        <w:rPr>
          <w:rFonts w:ascii="AdonisC"/>
          <w:i/>
          <w:sz w:val="11"/>
        </w:rPr>
      </w:pPr>
    </w:p>
    <w:p w14:paraId="6747E751" w14:textId="77777777" w:rsidR="00DE575E" w:rsidRDefault="002E7560">
      <w:pPr>
        <w:pStyle w:val="BodyText"/>
        <w:spacing w:before="101" w:line="252" w:lineRule="auto"/>
        <w:ind w:left="533" w:right="128"/>
      </w:pPr>
      <w:r>
        <w:rPr>
          <w:color w:val="231F20"/>
        </w:rPr>
        <w:t>значно не можуть їх погіршувати. Таке положення міститься у ч. 3 ст. 7 Закону від 6.09.2012 р. № 520.</w:t>
      </w:r>
    </w:p>
    <w:p w14:paraId="4C820663" w14:textId="77777777" w:rsidR="00DE575E" w:rsidRDefault="002E7560">
      <w:pPr>
        <w:pStyle w:val="BodyText"/>
        <w:spacing w:before="1" w:line="252" w:lineRule="auto"/>
        <w:ind w:left="533" w:right="127" w:firstLine="283"/>
        <w:jc w:val="both"/>
      </w:pPr>
      <w:r>
        <w:rPr>
          <w:color w:val="231F20"/>
        </w:rPr>
        <w:t xml:space="preserve">Обов’язковим інструментом контролю та покращення якості послуг є </w:t>
      </w:r>
      <w:r>
        <w:rPr>
          <w:i/>
          <w:color w:val="231F20"/>
        </w:rPr>
        <w:t xml:space="preserve">зворотний зв’язок зі споживачами послуг </w:t>
      </w:r>
      <w:r>
        <w:rPr>
          <w:color w:val="231F20"/>
          <w:spacing w:val="-3"/>
        </w:rPr>
        <w:t xml:space="preserve">(суб’єктами </w:t>
      </w:r>
      <w:r>
        <w:rPr>
          <w:color w:val="231F20"/>
        </w:rPr>
        <w:t xml:space="preserve">звер- нень), що передбачає з’ясування думки споживачів послуг про поточну якість послуг  і  про  можливі  шляхи  покращення  якості.  У зв’язку з цим законодавцем </w:t>
      </w:r>
      <w:r>
        <w:rPr>
          <w:color w:val="231F20"/>
          <w:spacing w:val="-3"/>
        </w:rPr>
        <w:t xml:space="preserve">було </w:t>
      </w:r>
      <w:r>
        <w:rPr>
          <w:color w:val="231F20"/>
        </w:rPr>
        <w:t xml:space="preserve">покладено на </w:t>
      </w:r>
      <w:r>
        <w:rPr>
          <w:color w:val="231F20"/>
          <w:spacing w:val="-3"/>
        </w:rPr>
        <w:t xml:space="preserve">суб’єктів </w:t>
      </w:r>
      <w:r>
        <w:rPr>
          <w:color w:val="231F20"/>
        </w:rPr>
        <w:t>надання адміністративних послуг обов’язок щодо забезпечення облаш</w:t>
      </w:r>
      <w:r>
        <w:rPr>
          <w:color w:val="231F20"/>
        </w:rPr>
        <w:t xml:space="preserve">ту- вання скриньки для  висловлення  </w:t>
      </w:r>
      <w:r>
        <w:rPr>
          <w:color w:val="231F20"/>
          <w:spacing w:val="-3"/>
        </w:rPr>
        <w:t xml:space="preserve">суб’єктами  </w:t>
      </w:r>
      <w:r>
        <w:rPr>
          <w:color w:val="231F20"/>
        </w:rPr>
        <w:t xml:space="preserve">звернень  зауважень і пропозицій щодо якості надання адміністративних </w:t>
      </w:r>
      <w:r>
        <w:rPr>
          <w:color w:val="231F20"/>
          <w:spacing w:val="-3"/>
        </w:rPr>
        <w:t xml:space="preserve">послуг, </w:t>
      </w:r>
      <w:r>
        <w:rPr>
          <w:color w:val="231F20"/>
        </w:rPr>
        <w:t>прове- дення щорічного аналізу таких зауважень і пропозицій, ужиття відповідних</w:t>
      </w:r>
      <w:r>
        <w:rPr>
          <w:color w:val="231F20"/>
          <w:spacing w:val="-2"/>
        </w:rPr>
        <w:t xml:space="preserve"> </w:t>
      </w:r>
      <w:r>
        <w:rPr>
          <w:color w:val="231F20"/>
        </w:rPr>
        <w:t>заходів.</w:t>
      </w:r>
    </w:p>
    <w:p w14:paraId="333BD663" w14:textId="77777777" w:rsidR="00DE575E" w:rsidRDefault="002E7560">
      <w:pPr>
        <w:pStyle w:val="BodyText"/>
        <w:spacing w:before="5" w:line="252" w:lineRule="auto"/>
        <w:ind w:left="533" w:right="126" w:firstLine="283"/>
        <w:jc w:val="both"/>
      </w:pPr>
      <w:r>
        <w:rPr>
          <w:color w:val="231F20"/>
        </w:rPr>
        <w:t>Одним із  засобів  покращення  якості  а</w:t>
      </w:r>
      <w:r>
        <w:rPr>
          <w:color w:val="231F20"/>
        </w:rPr>
        <w:t xml:space="preserve">дміністративних  послуг є створення належної системи доступу громадян до інформації щодо конкретних </w:t>
      </w:r>
      <w:r>
        <w:rPr>
          <w:color w:val="231F20"/>
          <w:spacing w:val="-3"/>
        </w:rPr>
        <w:t xml:space="preserve">послуг, </w:t>
      </w:r>
      <w:r>
        <w:rPr>
          <w:color w:val="231F20"/>
        </w:rPr>
        <w:t xml:space="preserve">законодавства та інших потрібних для громадян відомостей. Відповідно до ч. 1 </w:t>
      </w:r>
      <w:r>
        <w:rPr>
          <w:color w:val="231F20"/>
          <w:spacing w:val="-6"/>
        </w:rPr>
        <w:t xml:space="preserve">ст. </w:t>
      </w:r>
      <w:r>
        <w:rPr>
          <w:color w:val="231F20"/>
        </w:rPr>
        <w:t xml:space="preserve">6 Закону </w:t>
      </w:r>
      <w:r>
        <w:rPr>
          <w:color w:val="231F20"/>
          <w:spacing w:val="-3"/>
        </w:rPr>
        <w:t xml:space="preserve">України </w:t>
      </w:r>
      <w:r>
        <w:rPr>
          <w:color w:val="231F20"/>
        </w:rPr>
        <w:t xml:space="preserve">«Про адміністративні послуги» </w:t>
      </w:r>
      <w:r>
        <w:rPr>
          <w:color w:val="231F20"/>
          <w:spacing w:val="-3"/>
        </w:rPr>
        <w:t xml:space="preserve">суб’єкти </w:t>
      </w:r>
      <w:r>
        <w:rPr>
          <w:color w:val="231F20"/>
        </w:rPr>
        <w:t>звернення м</w:t>
      </w:r>
      <w:r>
        <w:rPr>
          <w:color w:val="231F20"/>
        </w:rPr>
        <w:t xml:space="preserve">ають право на безо- платне отримання інформації про адміністративні послуги та поря- док їх надання, що забезпечується через надання їм безоплатного доступу до Реєстру адміністративних </w:t>
      </w:r>
      <w:r>
        <w:rPr>
          <w:color w:val="231F20"/>
          <w:spacing w:val="-3"/>
        </w:rPr>
        <w:t xml:space="preserve">послуг, </w:t>
      </w:r>
      <w:r>
        <w:rPr>
          <w:color w:val="231F20"/>
        </w:rPr>
        <w:t xml:space="preserve">розміщеного на </w:t>
      </w:r>
      <w:r>
        <w:rPr>
          <w:color w:val="231F20"/>
          <w:spacing w:val="-3"/>
        </w:rPr>
        <w:t xml:space="preserve">Урядо- </w:t>
      </w:r>
      <w:r>
        <w:rPr>
          <w:color w:val="231F20"/>
        </w:rPr>
        <w:t>вому</w:t>
      </w:r>
      <w:r>
        <w:rPr>
          <w:color w:val="231F20"/>
          <w:spacing w:val="-7"/>
        </w:rPr>
        <w:t xml:space="preserve"> </w:t>
      </w:r>
      <w:r>
        <w:rPr>
          <w:color w:val="231F20"/>
        </w:rPr>
        <w:t>порталі,</w:t>
      </w:r>
      <w:r>
        <w:rPr>
          <w:color w:val="231F20"/>
          <w:spacing w:val="-7"/>
        </w:rPr>
        <w:t xml:space="preserve"> </w:t>
      </w:r>
      <w:r>
        <w:rPr>
          <w:color w:val="231F20"/>
        </w:rPr>
        <w:t>функціонування</w:t>
      </w:r>
      <w:r>
        <w:rPr>
          <w:color w:val="231F20"/>
          <w:spacing w:val="-7"/>
        </w:rPr>
        <w:t xml:space="preserve"> </w:t>
      </w:r>
      <w:r>
        <w:rPr>
          <w:color w:val="231F20"/>
        </w:rPr>
        <w:t>телефонної</w:t>
      </w:r>
      <w:r>
        <w:rPr>
          <w:color w:val="231F20"/>
          <w:spacing w:val="-7"/>
        </w:rPr>
        <w:t xml:space="preserve"> </w:t>
      </w:r>
      <w:r>
        <w:rPr>
          <w:color w:val="231F20"/>
        </w:rPr>
        <w:t>довідки</w:t>
      </w:r>
      <w:r>
        <w:rPr>
          <w:color w:val="231F20"/>
          <w:spacing w:val="-7"/>
        </w:rPr>
        <w:t xml:space="preserve"> </w:t>
      </w:r>
      <w:r>
        <w:rPr>
          <w:color w:val="231F20"/>
        </w:rPr>
        <w:t>та</w:t>
      </w:r>
      <w:r>
        <w:rPr>
          <w:color w:val="231F20"/>
          <w:spacing w:val="-6"/>
        </w:rPr>
        <w:t xml:space="preserve"> </w:t>
      </w:r>
      <w:r>
        <w:rPr>
          <w:color w:val="231F20"/>
        </w:rPr>
        <w:t xml:space="preserve">інформування таких </w:t>
      </w:r>
      <w:r>
        <w:rPr>
          <w:color w:val="231F20"/>
          <w:spacing w:val="-3"/>
        </w:rPr>
        <w:t xml:space="preserve">суб’єктів </w:t>
      </w:r>
      <w:r>
        <w:rPr>
          <w:color w:val="231F20"/>
        </w:rPr>
        <w:t>через засоби масової</w:t>
      </w:r>
      <w:r>
        <w:rPr>
          <w:color w:val="231F20"/>
          <w:spacing w:val="-1"/>
        </w:rPr>
        <w:t xml:space="preserve"> </w:t>
      </w:r>
      <w:r>
        <w:rPr>
          <w:color w:val="231F20"/>
        </w:rPr>
        <w:t>інформації</w:t>
      </w:r>
      <w:r>
        <w:rPr>
          <w:color w:val="231F20"/>
          <w:position w:val="7"/>
          <w:sz w:val="12"/>
        </w:rPr>
        <w:t>1</w:t>
      </w:r>
      <w:r>
        <w:rPr>
          <w:color w:val="231F20"/>
        </w:rPr>
        <w:t>.</w:t>
      </w:r>
    </w:p>
    <w:p w14:paraId="199C6650" w14:textId="77777777" w:rsidR="00DE575E" w:rsidRDefault="002E7560">
      <w:pPr>
        <w:pStyle w:val="BodyText"/>
        <w:spacing w:before="5" w:line="252" w:lineRule="auto"/>
        <w:ind w:left="533" w:right="127" w:firstLine="283"/>
        <w:jc w:val="both"/>
      </w:pPr>
      <w:r>
        <w:rPr>
          <w:b/>
          <w:color w:val="231F20"/>
        </w:rPr>
        <w:t xml:space="preserve">Реєстр адміністративних послуг </w:t>
      </w:r>
      <w:r>
        <w:rPr>
          <w:color w:val="231F20"/>
        </w:rPr>
        <w:t>– це єдина інформаційна комп’ютерна</w:t>
      </w:r>
      <w:r>
        <w:rPr>
          <w:color w:val="231F20"/>
          <w:spacing w:val="-9"/>
        </w:rPr>
        <w:t xml:space="preserve"> </w:t>
      </w:r>
      <w:r>
        <w:rPr>
          <w:color w:val="231F20"/>
        </w:rPr>
        <w:t>база</w:t>
      </w:r>
      <w:r>
        <w:rPr>
          <w:color w:val="231F20"/>
          <w:spacing w:val="-9"/>
        </w:rPr>
        <w:t xml:space="preserve"> </w:t>
      </w:r>
      <w:r>
        <w:rPr>
          <w:color w:val="231F20"/>
        </w:rPr>
        <w:t>даних</w:t>
      </w:r>
      <w:r>
        <w:rPr>
          <w:color w:val="231F20"/>
          <w:spacing w:val="-9"/>
        </w:rPr>
        <w:t xml:space="preserve"> </w:t>
      </w:r>
      <w:r>
        <w:rPr>
          <w:color w:val="231F20"/>
        </w:rPr>
        <w:t>про</w:t>
      </w:r>
      <w:r>
        <w:rPr>
          <w:color w:val="231F20"/>
          <w:spacing w:val="-9"/>
        </w:rPr>
        <w:t xml:space="preserve"> </w:t>
      </w:r>
      <w:r>
        <w:rPr>
          <w:color w:val="231F20"/>
        </w:rPr>
        <w:t>адміністративні</w:t>
      </w:r>
      <w:r>
        <w:rPr>
          <w:color w:val="231F20"/>
          <w:spacing w:val="-9"/>
        </w:rPr>
        <w:t xml:space="preserve"> </w:t>
      </w:r>
      <w:r>
        <w:rPr>
          <w:color w:val="231F20"/>
        </w:rPr>
        <w:t>послуги,</w:t>
      </w:r>
      <w:r>
        <w:rPr>
          <w:color w:val="231F20"/>
          <w:spacing w:val="-9"/>
        </w:rPr>
        <w:t xml:space="preserve"> </w:t>
      </w:r>
      <w:r>
        <w:rPr>
          <w:color w:val="231F20"/>
        </w:rPr>
        <w:t>що</w:t>
      </w:r>
      <w:r>
        <w:rPr>
          <w:color w:val="231F20"/>
          <w:spacing w:val="-9"/>
        </w:rPr>
        <w:t xml:space="preserve"> </w:t>
      </w:r>
      <w:r>
        <w:rPr>
          <w:color w:val="231F20"/>
        </w:rPr>
        <w:t xml:space="preserve">надаються відповідно до закону </w:t>
      </w:r>
      <w:r>
        <w:rPr>
          <w:color w:val="231F20"/>
          <w:spacing w:val="-3"/>
        </w:rPr>
        <w:t xml:space="preserve">суб’єктами </w:t>
      </w:r>
      <w:r>
        <w:rPr>
          <w:color w:val="231F20"/>
        </w:rPr>
        <w:t xml:space="preserve">надання адміністративних </w:t>
      </w:r>
      <w:r>
        <w:rPr>
          <w:color w:val="231F20"/>
          <w:spacing w:val="-3"/>
        </w:rPr>
        <w:t>послу</w:t>
      </w:r>
      <w:r>
        <w:rPr>
          <w:color w:val="231F20"/>
          <w:spacing w:val="-3"/>
        </w:rPr>
        <w:t xml:space="preserve">г. </w:t>
      </w:r>
      <w:r>
        <w:rPr>
          <w:color w:val="231F20"/>
        </w:rPr>
        <w:t>Він формується  і  ведеться  Міністерством  економічного  розвитку і торгівлі</w:t>
      </w:r>
      <w:r>
        <w:rPr>
          <w:color w:val="231F20"/>
          <w:spacing w:val="-1"/>
        </w:rPr>
        <w:t xml:space="preserve"> </w:t>
      </w:r>
      <w:r>
        <w:rPr>
          <w:color w:val="231F20"/>
          <w:spacing w:val="-3"/>
        </w:rPr>
        <w:t>України.</w:t>
      </w:r>
    </w:p>
    <w:p w14:paraId="200DD671" w14:textId="77777777" w:rsidR="00DE575E" w:rsidRDefault="002E7560">
      <w:pPr>
        <w:spacing w:before="2" w:line="252" w:lineRule="auto"/>
        <w:ind w:left="533" w:right="127" w:firstLine="283"/>
        <w:jc w:val="both"/>
        <w:rPr>
          <w:sz w:val="21"/>
        </w:rPr>
      </w:pPr>
      <w:r>
        <w:rPr>
          <w:i/>
          <w:color w:val="231F20"/>
          <w:sz w:val="21"/>
        </w:rPr>
        <w:t xml:space="preserve">Метою його створення та функціонування </w:t>
      </w:r>
      <w:r>
        <w:rPr>
          <w:color w:val="231F20"/>
          <w:sz w:val="21"/>
        </w:rPr>
        <w:t>є: ведення обліку адміністративних послуг, забезпечення відкритого й безоплатного доступу до інформації про адміністративні послуги.</w:t>
      </w:r>
    </w:p>
    <w:p w14:paraId="4DE87C8D" w14:textId="77777777" w:rsidR="00DE575E" w:rsidRDefault="002E7560">
      <w:pPr>
        <w:pStyle w:val="BodyText"/>
        <w:spacing w:before="1" w:line="252" w:lineRule="auto"/>
        <w:ind w:left="533" w:right="126" w:firstLine="283"/>
        <w:jc w:val="both"/>
      </w:pPr>
      <w:r>
        <w:rPr>
          <w:i/>
          <w:color w:val="231F20"/>
        </w:rPr>
        <w:t xml:space="preserve">До засобів забезпечення якості адміністративних послуг можна віднести </w:t>
      </w:r>
      <w:r>
        <w:rPr>
          <w:color w:val="231F20"/>
        </w:rPr>
        <w:t xml:space="preserve">й вимоги ч. ч. 10 та 11 </w:t>
      </w:r>
      <w:r>
        <w:rPr>
          <w:color w:val="231F20"/>
          <w:spacing w:val="-6"/>
        </w:rPr>
        <w:t xml:space="preserve">ст. </w:t>
      </w:r>
      <w:r>
        <w:rPr>
          <w:color w:val="231F20"/>
        </w:rPr>
        <w:t>9 Закону від 6.09.2012 р.</w:t>
      </w:r>
      <w:r>
        <w:rPr>
          <w:color w:val="231F20"/>
        </w:rPr>
        <w:t xml:space="preserve"> № 520, відповідно до яких </w:t>
      </w:r>
      <w:r>
        <w:rPr>
          <w:color w:val="231F20"/>
          <w:spacing w:val="-4"/>
        </w:rPr>
        <w:t xml:space="preserve">суб’єкт </w:t>
      </w:r>
      <w:r>
        <w:rPr>
          <w:color w:val="231F20"/>
        </w:rPr>
        <w:t xml:space="preserve">надання адміністративних послуг забез- печує можливість безоплатного  одержання  </w:t>
      </w:r>
      <w:r>
        <w:rPr>
          <w:color w:val="231F20"/>
          <w:spacing w:val="-3"/>
        </w:rPr>
        <w:t xml:space="preserve">суб’єктами  </w:t>
      </w:r>
      <w:r>
        <w:rPr>
          <w:color w:val="231F20"/>
        </w:rPr>
        <w:t>звернення в достатній кількості бланків заяв та інших документів, потрібних для звернення щодо надання адміністративної послуги,</w:t>
      </w:r>
      <w:r>
        <w:rPr>
          <w:color w:val="231F20"/>
          <w:spacing w:val="22"/>
        </w:rPr>
        <w:t xml:space="preserve"> </w:t>
      </w:r>
      <w:r>
        <w:rPr>
          <w:color w:val="231F20"/>
        </w:rPr>
        <w:t>зокрема</w:t>
      </w:r>
    </w:p>
    <w:p w14:paraId="6AFEFC58" w14:textId="77777777" w:rsidR="00DE575E" w:rsidRDefault="00DE575E">
      <w:pPr>
        <w:pStyle w:val="BodyText"/>
        <w:rPr>
          <w:sz w:val="20"/>
        </w:rPr>
      </w:pPr>
    </w:p>
    <w:p w14:paraId="5323B4FA" w14:textId="67479F6A" w:rsidR="00DE575E" w:rsidRDefault="002E7560">
      <w:pPr>
        <w:pStyle w:val="BodyText"/>
        <w:spacing w:before="11"/>
        <w:rPr>
          <w:sz w:val="12"/>
        </w:rPr>
      </w:pPr>
      <w:r>
        <w:rPr>
          <w:noProof/>
        </w:rPr>
        <mc:AlternateContent>
          <mc:Choice Requires="wps">
            <w:drawing>
              <wp:anchor distT="0" distB="0" distL="0" distR="0" simplePos="0" relativeHeight="8344" behindDoc="0" locked="0" layoutInCell="1" allowOverlap="1" wp14:anchorId="01664B0E" wp14:editId="5C63447F">
                <wp:simplePos x="0" y="0"/>
                <wp:positionH relativeFrom="page">
                  <wp:posOffset>719455</wp:posOffset>
                </wp:positionH>
                <wp:positionV relativeFrom="paragraph">
                  <wp:posOffset>124460</wp:posOffset>
                </wp:positionV>
                <wp:extent cx="1080135" cy="0"/>
                <wp:effectExtent l="8255" t="10160" r="29210" b="27940"/>
                <wp:wrapTopAndBottom/>
                <wp:docPr id="89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355D" id="Line_x0020_898" o:spid="_x0000_s1026" style="position:absolute;z-index:8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8pt" to="141.7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" strokecolor="#231f20" strokeweight=".5pt">
                <w10:wrap type="topAndBottom" anchorx="page"/>
              </v:line>
            </w:pict>
          </mc:Fallback>
        </mc:AlternateContent>
      </w:r>
    </w:p>
    <w:p w14:paraId="1BE2C226" w14:textId="77777777" w:rsidR="00DE575E" w:rsidRDefault="002E7560">
      <w:pPr>
        <w:spacing w:line="204" w:lineRule="auto"/>
        <w:ind w:left="533"/>
        <w:rPr>
          <w:sz w:val="16"/>
        </w:rPr>
      </w:pPr>
      <w:r>
        <w:rPr>
          <w:color w:val="231F20"/>
          <w:position w:val="5"/>
          <w:sz w:val="9"/>
        </w:rPr>
        <w:t xml:space="preserve">1 </w:t>
      </w:r>
      <w:r>
        <w:rPr>
          <w:color w:val="231F20"/>
          <w:sz w:val="16"/>
        </w:rPr>
        <w:t>Буханевич О. Адміністративні послуги в Україні: засади надання та шляхи вдоскона- лення. Хмельницький. 2017. С. 128.</w:t>
      </w:r>
    </w:p>
    <w:p w14:paraId="653EF1C9" w14:textId="77777777" w:rsidR="00DE575E" w:rsidRDefault="00DE575E">
      <w:pPr>
        <w:pStyle w:val="BodyText"/>
        <w:spacing w:before="1"/>
        <w:rPr>
          <w:sz w:val="12"/>
        </w:rPr>
      </w:pPr>
    </w:p>
    <w:p w14:paraId="3ACE9EE3" w14:textId="77777777" w:rsidR="00DE575E" w:rsidRDefault="002E7560">
      <w:pPr>
        <w:spacing w:before="92"/>
        <w:ind w:left="533"/>
        <w:rPr>
          <w:rFonts w:ascii="Times New Roman"/>
          <w:sz w:val="20"/>
        </w:rPr>
      </w:pPr>
      <w:r>
        <w:rPr>
          <w:rFonts w:ascii="Times New Roman"/>
          <w:color w:val="231F20"/>
          <w:sz w:val="20"/>
        </w:rPr>
        <w:t>204</w:t>
      </w:r>
    </w:p>
    <w:p w14:paraId="23B22F67" w14:textId="77777777" w:rsidR="00DE575E" w:rsidRDefault="00DE575E">
      <w:pPr>
        <w:rPr>
          <w:rFonts w:ascii="Times New Roman"/>
          <w:sz w:val="20"/>
        </w:rPr>
        <w:sectPr w:rsidR="00DE575E">
          <w:pgSz w:w="8510" w:h="12760"/>
          <w:pgMar w:top="660" w:right="720" w:bottom="280" w:left="600" w:header="720" w:footer="720" w:gutter="0"/>
          <w:cols w:space="720"/>
        </w:sectPr>
      </w:pPr>
    </w:p>
    <w:p w14:paraId="05D13A18" w14:textId="77777777" w:rsidR="00DE575E" w:rsidRDefault="002E7560">
      <w:pPr>
        <w:spacing w:before="72" w:line="249" w:lineRule="auto"/>
        <w:ind w:left="3988" w:hanging="517"/>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46AE5C9F" w14:textId="4DB5795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C5A0CC3" wp14:editId="6A9ABF9A">
                <wp:extent cx="4140200" cy="6350"/>
                <wp:effectExtent l="0" t="0" r="12700" b="6350"/>
                <wp:docPr id="89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98" name="Line 89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77EBAE" id="Group_x0020_89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XNCTtgAIAAJgFAAAO&#10;AAAAAAAAAAAAAAAAACwCAABkcnMvZTJvRG9jLnhtbFBLAQItABQABgAIAAAAIQBMp7CQ2QAAAAMB&#10;AAAPAAAAAAAAAAAAAAAAANgEAABkcnMvZG93bnJldi54bWxQSwUGAAAAAAQABADzAAAA3gUAAAAA&#10;">
                <v:line id="Line_x0020_89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eGWsMAAADcAAAADwAAAGRycy9kb3ducmV2LnhtbERP3WrCMBS+F/YO4Qy8EU1VGK4aZQwE&#10;8UKn3QMcm7O2LDmpTbTVpzcXgpcf3/9i1VkjrtT4yrGC8SgBQZw7XXGh4DdbD2cgfEDWaByTght5&#10;WC3fegtMtWv5QNdjKEQMYZ+igjKEOpXS5yVZ9CNXE0fuzzUWQ4RNIXWDbQy3Rk6S5ENarDg2lFjT&#10;d0n5//FiFWTnQTA/+61ps/1pKk/n3fR+2SnVf+++5iACdeElfro3WsHsM66N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HhlrDAAAA3AAAAA8AAAAAAAAAAAAA&#10;AAAAoQIAAGRycy9kb3ducmV2LnhtbFBLBQYAAAAABAAEAPkAAACRAwAAAAA=&#10;" strokecolor="#231f20" strokeweight=".5pt"/>
                <w10:anchorlock/>
              </v:group>
            </w:pict>
          </mc:Fallback>
        </mc:AlternateContent>
      </w:r>
    </w:p>
    <w:p w14:paraId="2A24188E" w14:textId="77777777" w:rsidR="00DE575E" w:rsidRDefault="00DE575E">
      <w:pPr>
        <w:pStyle w:val="BodyText"/>
        <w:spacing w:before="7"/>
        <w:rPr>
          <w:rFonts w:ascii="AdonisC"/>
          <w:i/>
          <w:sz w:val="19"/>
        </w:rPr>
      </w:pPr>
    </w:p>
    <w:p w14:paraId="45CEBC6D" w14:textId="77777777" w:rsidR="00DE575E" w:rsidRDefault="002E7560">
      <w:pPr>
        <w:pStyle w:val="BodyText"/>
        <w:spacing w:before="1" w:line="252" w:lineRule="auto"/>
        <w:ind w:left="250" w:right="411"/>
        <w:jc w:val="both"/>
      </w:pPr>
      <w:r>
        <w:rPr>
          <w:color w:val="231F20"/>
        </w:rPr>
        <w:t xml:space="preserve">одержання бланків з веб-сайтів </w:t>
      </w:r>
      <w:r>
        <w:rPr>
          <w:color w:val="231F20"/>
          <w:spacing w:val="-3"/>
        </w:rPr>
        <w:t xml:space="preserve">суб’єктів </w:t>
      </w:r>
      <w:r>
        <w:rPr>
          <w:color w:val="231F20"/>
        </w:rPr>
        <w:t>надання адміністратив- них</w:t>
      </w:r>
      <w:r>
        <w:rPr>
          <w:color w:val="231F20"/>
          <w:spacing w:val="-6"/>
        </w:rPr>
        <w:t xml:space="preserve"> </w:t>
      </w:r>
      <w:r>
        <w:rPr>
          <w:color w:val="231F20"/>
          <w:spacing w:val="-3"/>
        </w:rPr>
        <w:t>послуг,</w:t>
      </w:r>
      <w:r>
        <w:rPr>
          <w:color w:val="231F20"/>
          <w:spacing w:val="-6"/>
        </w:rPr>
        <w:t xml:space="preserve"> </w:t>
      </w:r>
      <w:r>
        <w:rPr>
          <w:color w:val="231F20"/>
        </w:rPr>
        <w:t>у</w:t>
      </w:r>
      <w:r>
        <w:rPr>
          <w:color w:val="231F20"/>
          <w:spacing w:val="-7"/>
        </w:rPr>
        <w:t xml:space="preserve"> </w:t>
      </w:r>
      <w:r>
        <w:rPr>
          <w:color w:val="231F20"/>
        </w:rPr>
        <w:t>центрах</w:t>
      </w:r>
      <w:r>
        <w:rPr>
          <w:color w:val="231F20"/>
          <w:spacing w:val="-6"/>
        </w:rPr>
        <w:t xml:space="preserve"> </w:t>
      </w:r>
      <w:r>
        <w:rPr>
          <w:color w:val="231F20"/>
        </w:rPr>
        <w:t>надання</w:t>
      </w:r>
      <w:r>
        <w:rPr>
          <w:color w:val="231F20"/>
          <w:spacing w:val="-6"/>
        </w:rPr>
        <w:t xml:space="preserve"> </w:t>
      </w:r>
      <w:r>
        <w:rPr>
          <w:color w:val="231F20"/>
        </w:rPr>
        <w:t>адміністративних</w:t>
      </w:r>
      <w:r>
        <w:rPr>
          <w:color w:val="231F20"/>
          <w:spacing w:val="-6"/>
        </w:rPr>
        <w:t xml:space="preserve"> </w:t>
      </w:r>
      <w:r>
        <w:rPr>
          <w:color w:val="231F20"/>
          <w:spacing w:val="-3"/>
        </w:rPr>
        <w:t>послуг,</w:t>
      </w:r>
      <w:r>
        <w:rPr>
          <w:color w:val="231F20"/>
          <w:spacing w:val="-6"/>
        </w:rPr>
        <w:t xml:space="preserve"> </w:t>
      </w:r>
      <w:r>
        <w:rPr>
          <w:color w:val="231F20"/>
        </w:rPr>
        <w:t>і</w:t>
      </w:r>
      <w:r>
        <w:rPr>
          <w:color w:val="231F20"/>
          <w:spacing w:val="-5"/>
        </w:rPr>
        <w:t xml:space="preserve"> </w:t>
      </w:r>
      <w:r>
        <w:rPr>
          <w:color w:val="231F20"/>
        </w:rPr>
        <w:t>забезпечує вільний доступ до своїх приміщень, в яких здійснюється</w:t>
      </w:r>
      <w:r>
        <w:rPr>
          <w:color w:val="231F20"/>
          <w:spacing w:val="-22"/>
        </w:rPr>
        <w:t xml:space="preserve"> </w:t>
      </w:r>
      <w:r>
        <w:rPr>
          <w:color w:val="231F20"/>
        </w:rPr>
        <w:t xml:space="preserve">приймання </w:t>
      </w:r>
      <w:r>
        <w:rPr>
          <w:color w:val="231F20"/>
          <w:spacing w:val="-3"/>
        </w:rPr>
        <w:t xml:space="preserve">суб’єктів </w:t>
      </w:r>
      <w:r>
        <w:rPr>
          <w:color w:val="231F20"/>
        </w:rPr>
        <w:t>звернень, зокрема належні умови для доступу осіб з обме- женими фізичними</w:t>
      </w:r>
      <w:r>
        <w:rPr>
          <w:color w:val="231F20"/>
          <w:spacing w:val="-2"/>
        </w:rPr>
        <w:t xml:space="preserve"> </w:t>
      </w:r>
      <w:r>
        <w:rPr>
          <w:color w:val="231F20"/>
        </w:rPr>
        <w:t>можливостями.</w:t>
      </w:r>
    </w:p>
    <w:p w14:paraId="271F8E52" w14:textId="77777777" w:rsidR="00DE575E" w:rsidRDefault="002E7560">
      <w:pPr>
        <w:pStyle w:val="BodyText"/>
        <w:spacing w:before="2" w:line="252" w:lineRule="auto"/>
        <w:ind w:left="250" w:right="411" w:firstLine="283"/>
        <w:jc w:val="both"/>
      </w:pPr>
      <w:r>
        <w:rPr>
          <w:i/>
          <w:color w:val="231F20"/>
        </w:rPr>
        <w:t xml:space="preserve">Побудова якісної системи адміністративних послуг </w:t>
      </w:r>
      <w:r>
        <w:rPr>
          <w:color w:val="231F20"/>
        </w:rPr>
        <w:t>не можлива без ефективного правового регулювання кадрового забезпечення суб’єктів, що надають такі послуги. Забезпеченн</w:t>
      </w:r>
      <w:r>
        <w:rPr>
          <w:color w:val="231F20"/>
        </w:rPr>
        <w:t>я органів публічної адміністрації фахівцями, що мають реалізовувати державну полі- тику у сфері надання адміністративних послуг з метою реалізації прав, свобод і законних інтересів суб’єктів звернення, безпосеред- ньо залежить від упровадження в практику р</w:t>
      </w:r>
      <w:r>
        <w:rPr>
          <w:color w:val="231F20"/>
        </w:rPr>
        <w:t>оботи з персоналом адміністративних органів сучасних підходів і моделей управління персоналом</w:t>
      </w:r>
      <w:r>
        <w:rPr>
          <w:color w:val="231F20"/>
          <w:position w:val="7"/>
          <w:sz w:val="12"/>
        </w:rPr>
        <w:t>1</w:t>
      </w:r>
      <w:r>
        <w:rPr>
          <w:color w:val="231F20"/>
        </w:rPr>
        <w:t>.</w:t>
      </w:r>
    </w:p>
    <w:p w14:paraId="00A3A8C6" w14:textId="77777777" w:rsidR="00DE575E" w:rsidRDefault="002E7560">
      <w:pPr>
        <w:pStyle w:val="BodyText"/>
        <w:spacing w:before="5" w:line="252" w:lineRule="auto"/>
        <w:ind w:left="250" w:right="410" w:firstLine="283"/>
        <w:jc w:val="both"/>
      </w:pPr>
      <w:r>
        <w:rPr>
          <w:color w:val="231F20"/>
        </w:rPr>
        <w:t>Важливим напрямком удосконалення кадрового забезпечення суб’єктів надання адміністративних послуг є підвищення кваліфіка- ції та подальше професійне навчання персоналу. У центрах надання адміністративних послуг можуть здійснюватися заходи з підви- щення кв</w:t>
      </w:r>
      <w:r>
        <w:rPr>
          <w:color w:val="231F20"/>
        </w:rPr>
        <w:t>аліфікації персоналу (навчальні тренінги з питань систем управління якістю та керування інформаційною безпекою, стажу- вання у структурних підрозділах відповідних органів місцевого самоврядування, підготовка адміністраторів та ін.). Проведення таких заході</w:t>
      </w:r>
      <w:r>
        <w:rPr>
          <w:color w:val="231F20"/>
        </w:rPr>
        <w:t>в із метою підвищення кваліфікації персоналу має бути впроваджено в усіх центрах надання адміністративних послуг.</w:t>
      </w:r>
    </w:p>
    <w:p w14:paraId="218E6443" w14:textId="77777777" w:rsidR="00DE575E" w:rsidRDefault="00DE575E">
      <w:pPr>
        <w:pStyle w:val="BodyText"/>
        <w:rPr>
          <w:sz w:val="24"/>
        </w:rPr>
      </w:pPr>
    </w:p>
    <w:p w14:paraId="6EA917E2" w14:textId="77777777" w:rsidR="00DE575E" w:rsidRDefault="00DE575E">
      <w:pPr>
        <w:pStyle w:val="BodyText"/>
        <w:spacing w:before="6"/>
        <w:rPr>
          <w:sz w:val="20"/>
        </w:rPr>
      </w:pPr>
    </w:p>
    <w:p w14:paraId="6806319F" w14:textId="77777777" w:rsidR="00DE575E" w:rsidRDefault="002E7560">
      <w:pPr>
        <w:pStyle w:val="Heading5"/>
        <w:spacing w:before="1"/>
        <w:ind w:left="2413"/>
      </w:pPr>
      <w:r>
        <w:rPr>
          <w:color w:val="231F20"/>
        </w:rPr>
        <w:t>Запитання і завдання</w:t>
      </w:r>
    </w:p>
    <w:p w14:paraId="50AA9460" w14:textId="77777777" w:rsidR="00DE575E" w:rsidRDefault="00DE575E">
      <w:pPr>
        <w:pStyle w:val="BodyText"/>
        <w:spacing w:before="2"/>
        <w:rPr>
          <w:b/>
          <w:sz w:val="23"/>
        </w:rPr>
      </w:pPr>
    </w:p>
    <w:p w14:paraId="3B0B0B21" w14:textId="77777777" w:rsidR="00DE575E" w:rsidRDefault="002E7560">
      <w:pPr>
        <w:pStyle w:val="ListParagraph"/>
        <w:numPr>
          <w:ilvl w:val="0"/>
          <w:numId w:val="213"/>
        </w:numPr>
        <w:tabs>
          <w:tab w:val="left" w:pos="818"/>
        </w:tabs>
        <w:spacing w:before="0"/>
        <w:ind w:firstLine="283"/>
        <w:rPr>
          <w:sz w:val="21"/>
        </w:rPr>
      </w:pPr>
      <w:r>
        <w:rPr>
          <w:color w:val="231F20"/>
          <w:sz w:val="21"/>
        </w:rPr>
        <w:t>Які характерні ознаки мають адміністративні</w:t>
      </w:r>
      <w:r>
        <w:rPr>
          <w:color w:val="231F20"/>
          <w:spacing w:val="-6"/>
          <w:sz w:val="21"/>
        </w:rPr>
        <w:t xml:space="preserve"> </w:t>
      </w:r>
      <w:r>
        <w:rPr>
          <w:color w:val="231F20"/>
          <w:sz w:val="21"/>
        </w:rPr>
        <w:t>послуги?</w:t>
      </w:r>
    </w:p>
    <w:p w14:paraId="31B6CC2D" w14:textId="77777777" w:rsidR="00DE575E" w:rsidRDefault="002E7560">
      <w:pPr>
        <w:pStyle w:val="ListParagraph"/>
        <w:numPr>
          <w:ilvl w:val="0"/>
          <w:numId w:val="213"/>
        </w:numPr>
        <w:tabs>
          <w:tab w:val="left" w:pos="818"/>
        </w:tabs>
        <w:spacing w:before="13" w:line="252" w:lineRule="auto"/>
        <w:ind w:right="411" w:firstLine="283"/>
        <w:jc w:val="both"/>
        <w:rPr>
          <w:sz w:val="21"/>
        </w:rPr>
      </w:pPr>
      <w:r>
        <w:rPr>
          <w:color w:val="231F20"/>
          <w:sz w:val="21"/>
        </w:rPr>
        <w:t>Дайте письмову характеристику основних критеріїв класи- фікації а</w:t>
      </w:r>
      <w:r>
        <w:rPr>
          <w:color w:val="231F20"/>
          <w:sz w:val="21"/>
        </w:rPr>
        <w:t xml:space="preserve">дміністративних </w:t>
      </w:r>
      <w:r>
        <w:rPr>
          <w:color w:val="231F20"/>
          <w:spacing w:val="-3"/>
          <w:sz w:val="21"/>
        </w:rPr>
        <w:t xml:space="preserve">послуг. Результати </w:t>
      </w:r>
      <w:r>
        <w:rPr>
          <w:color w:val="231F20"/>
          <w:sz w:val="21"/>
        </w:rPr>
        <w:t xml:space="preserve">оформіть у </w:t>
      </w:r>
      <w:r>
        <w:rPr>
          <w:color w:val="231F20"/>
          <w:spacing w:val="-3"/>
          <w:sz w:val="21"/>
        </w:rPr>
        <w:t xml:space="preserve">вигляді </w:t>
      </w:r>
      <w:r>
        <w:rPr>
          <w:color w:val="231F20"/>
          <w:sz w:val="21"/>
        </w:rPr>
        <w:t>таблиці.</w:t>
      </w:r>
    </w:p>
    <w:p w14:paraId="4CC3B65C" w14:textId="77777777" w:rsidR="00DE575E" w:rsidRDefault="002E7560">
      <w:pPr>
        <w:pStyle w:val="ListParagraph"/>
        <w:numPr>
          <w:ilvl w:val="0"/>
          <w:numId w:val="213"/>
        </w:numPr>
        <w:tabs>
          <w:tab w:val="left" w:pos="818"/>
        </w:tabs>
        <w:spacing w:line="252" w:lineRule="auto"/>
        <w:ind w:right="412" w:firstLine="283"/>
        <w:jc w:val="both"/>
        <w:rPr>
          <w:sz w:val="21"/>
        </w:rPr>
      </w:pPr>
      <w:r>
        <w:rPr>
          <w:color w:val="231F20"/>
          <w:sz w:val="21"/>
        </w:rPr>
        <w:t xml:space="preserve">Які органи належать до </w:t>
      </w:r>
      <w:r>
        <w:rPr>
          <w:color w:val="231F20"/>
          <w:spacing w:val="-3"/>
          <w:sz w:val="21"/>
        </w:rPr>
        <w:t xml:space="preserve">суб’єктів </w:t>
      </w:r>
      <w:r>
        <w:rPr>
          <w:color w:val="231F20"/>
          <w:sz w:val="21"/>
        </w:rPr>
        <w:t>надання адміністративних послуг?</w:t>
      </w:r>
    </w:p>
    <w:p w14:paraId="0B37C35D" w14:textId="77777777" w:rsidR="00DE575E" w:rsidRDefault="002E7560">
      <w:pPr>
        <w:pStyle w:val="ListParagraph"/>
        <w:numPr>
          <w:ilvl w:val="0"/>
          <w:numId w:val="213"/>
        </w:numPr>
        <w:tabs>
          <w:tab w:val="left" w:pos="818"/>
        </w:tabs>
        <w:spacing w:line="252" w:lineRule="auto"/>
        <w:ind w:right="411" w:firstLine="283"/>
        <w:jc w:val="both"/>
        <w:rPr>
          <w:sz w:val="21"/>
        </w:rPr>
      </w:pPr>
      <w:r>
        <w:rPr>
          <w:color w:val="231F20"/>
          <w:sz w:val="21"/>
        </w:rPr>
        <w:t>Які</w:t>
      </w:r>
      <w:r>
        <w:rPr>
          <w:color w:val="231F20"/>
          <w:spacing w:val="-14"/>
          <w:sz w:val="21"/>
        </w:rPr>
        <w:t xml:space="preserve"> </w:t>
      </w:r>
      <w:r>
        <w:rPr>
          <w:color w:val="231F20"/>
          <w:sz w:val="21"/>
        </w:rPr>
        <w:t>адміністративні</w:t>
      </w:r>
      <w:r>
        <w:rPr>
          <w:color w:val="231F20"/>
          <w:spacing w:val="-14"/>
          <w:sz w:val="21"/>
        </w:rPr>
        <w:t xml:space="preserve"> </w:t>
      </w:r>
      <w:r>
        <w:rPr>
          <w:color w:val="231F20"/>
          <w:sz w:val="21"/>
        </w:rPr>
        <w:t>послуги</w:t>
      </w:r>
      <w:r>
        <w:rPr>
          <w:color w:val="231F20"/>
          <w:spacing w:val="-14"/>
          <w:sz w:val="21"/>
        </w:rPr>
        <w:t xml:space="preserve"> </w:t>
      </w:r>
      <w:r>
        <w:rPr>
          <w:color w:val="231F20"/>
          <w:sz w:val="21"/>
        </w:rPr>
        <w:t>населенню</w:t>
      </w:r>
      <w:r>
        <w:rPr>
          <w:color w:val="231F20"/>
          <w:spacing w:val="-14"/>
          <w:sz w:val="21"/>
        </w:rPr>
        <w:t xml:space="preserve"> </w:t>
      </w:r>
      <w:r>
        <w:rPr>
          <w:color w:val="231F20"/>
          <w:sz w:val="21"/>
        </w:rPr>
        <w:t>надають</w:t>
      </w:r>
      <w:r>
        <w:rPr>
          <w:color w:val="231F20"/>
          <w:spacing w:val="-14"/>
          <w:sz w:val="21"/>
        </w:rPr>
        <w:t xml:space="preserve"> </w:t>
      </w:r>
      <w:r>
        <w:rPr>
          <w:color w:val="231F20"/>
          <w:sz w:val="21"/>
        </w:rPr>
        <w:t>органи</w:t>
      </w:r>
      <w:r>
        <w:rPr>
          <w:color w:val="231F20"/>
          <w:spacing w:val="-14"/>
          <w:sz w:val="21"/>
        </w:rPr>
        <w:t xml:space="preserve"> </w:t>
      </w:r>
      <w:r>
        <w:rPr>
          <w:color w:val="231F20"/>
          <w:sz w:val="21"/>
        </w:rPr>
        <w:t>місце- вого</w:t>
      </w:r>
      <w:r>
        <w:rPr>
          <w:color w:val="231F20"/>
          <w:spacing w:val="-1"/>
          <w:sz w:val="21"/>
        </w:rPr>
        <w:t xml:space="preserve"> </w:t>
      </w:r>
      <w:r>
        <w:rPr>
          <w:color w:val="231F20"/>
          <w:sz w:val="21"/>
        </w:rPr>
        <w:t>самоврядування?</w:t>
      </w:r>
    </w:p>
    <w:p w14:paraId="754E7563" w14:textId="6F596757" w:rsidR="00DE575E" w:rsidRDefault="002E7560">
      <w:pPr>
        <w:pStyle w:val="BodyText"/>
        <w:spacing w:before="1"/>
        <w:rPr>
          <w:sz w:val="19"/>
        </w:rPr>
      </w:pPr>
      <w:r>
        <w:rPr>
          <w:noProof/>
        </w:rPr>
        <mc:AlternateContent>
          <mc:Choice Requires="wps">
            <w:drawing>
              <wp:anchor distT="0" distB="0" distL="0" distR="0" simplePos="0" relativeHeight="8392" behindDoc="0" locked="0" layoutInCell="1" allowOverlap="1" wp14:anchorId="17E79AA7" wp14:editId="59A378AD">
                <wp:simplePos x="0" y="0"/>
                <wp:positionH relativeFrom="page">
                  <wp:posOffset>539750</wp:posOffset>
                </wp:positionH>
                <wp:positionV relativeFrom="paragraph">
                  <wp:posOffset>170180</wp:posOffset>
                </wp:positionV>
                <wp:extent cx="1080135" cy="0"/>
                <wp:effectExtent l="6350" t="17780" r="31115" b="20320"/>
                <wp:wrapTopAndBottom/>
                <wp:docPr id="89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397EC" id="Line_x0020_895" o:spid="_x0000_s1026" style="position:absolute;z-index:8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4pt" to="127.5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" strokecolor="#231f20" strokeweight=".5pt">
                <w10:wrap type="topAndBottom" anchorx="page"/>
              </v:line>
            </w:pict>
          </mc:Fallback>
        </mc:AlternateContent>
      </w:r>
    </w:p>
    <w:p w14:paraId="5DFA566B" w14:textId="77777777" w:rsidR="00DE575E" w:rsidRDefault="002E7560">
      <w:pPr>
        <w:spacing w:line="204" w:lineRule="auto"/>
        <w:ind w:left="250"/>
        <w:rPr>
          <w:sz w:val="16"/>
        </w:rPr>
      </w:pPr>
      <w:r>
        <w:rPr>
          <w:color w:val="231F20"/>
          <w:position w:val="5"/>
          <w:sz w:val="9"/>
        </w:rPr>
        <w:t xml:space="preserve">1 </w:t>
      </w:r>
      <w:r>
        <w:rPr>
          <w:color w:val="231F20"/>
          <w:sz w:val="16"/>
        </w:rPr>
        <w:t xml:space="preserve">Буханевич О. Якість і доступність адміністративних послуг як елемент їх правової характеристики. </w:t>
      </w:r>
      <w:r>
        <w:rPr>
          <w:i/>
          <w:color w:val="231F20"/>
          <w:sz w:val="16"/>
        </w:rPr>
        <w:t>Вісник Запорізького національного університету. Юридичні науки</w:t>
      </w:r>
      <w:r>
        <w:rPr>
          <w:color w:val="231F20"/>
          <w:sz w:val="16"/>
        </w:rPr>
        <w:t>. 2015.</w:t>
      </w:r>
    </w:p>
    <w:p w14:paraId="67D21FA9" w14:textId="77777777" w:rsidR="00DE575E" w:rsidRDefault="002E7560">
      <w:pPr>
        <w:spacing w:line="166" w:lineRule="exact"/>
        <w:ind w:left="250"/>
        <w:rPr>
          <w:sz w:val="16"/>
        </w:rPr>
      </w:pPr>
      <w:r>
        <w:rPr>
          <w:color w:val="231F20"/>
          <w:sz w:val="16"/>
        </w:rPr>
        <w:t>№ 2 (1). С. 92.</w:t>
      </w:r>
    </w:p>
    <w:p w14:paraId="0315799B" w14:textId="77777777" w:rsidR="00DE575E" w:rsidRDefault="00DE575E">
      <w:pPr>
        <w:pStyle w:val="BodyText"/>
        <w:spacing w:before="7"/>
        <w:rPr>
          <w:sz w:val="11"/>
        </w:rPr>
      </w:pPr>
    </w:p>
    <w:p w14:paraId="69E6CF4D" w14:textId="77777777" w:rsidR="00DE575E" w:rsidRDefault="002E7560">
      <w:pPr>
        <w:spacing w:before="92"/>
        <w:ind w:right="411"/>
        <w:jc w:val="right"/>
        <w:rPr>
          <w:rFonts w:ascii="Times New Roman"/>
          <w:sz w:val="20"/>
        </w:rPr>
      </w:pPr>
      <w:r>
        <w:rPr>
          <w:rFonts w:ascii="Times New Roman"/>
          <w:color w:val="231F20"/>
          <w:w w:val="90"/>
          <w:sz w:val="20"/>
        </w:rPr>
        <w:t>205</w:t>
      </w:r>
    </w:p>
    <w:p w14:paraId="56ABAC5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2FE8D2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A78B51A" w14:textId="4A2796A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B24C4DF" wp14:editId="2CD6DEA1">
                <wp:extent cx="4140200" cy="6350"/>
                <wp:effectExtent l="0" t="0" r="12700" b="6350"/>
                <wp:docPr id="894"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95" name="Line 8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5C1F99" id="Group_x0020_8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GH1Xk9/AgAAmAUAAA4A&#10;AAAAAAAAAAAAAAAALAIAAGRycy9lMm9Eb2MueG1sUEsBAi0AFAAGAAgAAAAhAEynsJDZAAAAAwEA&#10;AA8AAAAAAAAAAAAAAAAA1wQAAGRycy9kb3ducmV2LnhtbFBLBQYAAAAABAAEAPMAAADdBQAAAAA=&#10;">
                <v:line id="Line_x0020_8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YpxMYAAADcAAAADwAAAGRycy9kb3ducmV2LnhtbESP3WrCQBSE7wu+w3IEb0rdtNJio6tI&#10;oSBe+Jc+wDF7TIK7Z2N2NdGndwuFXg4z8w0znXfWiCs1vnKs4HWYgCDOna64UPCTfb+MQfiArNE4&#10;JgU38jCf9Z6mmGrX8o6u+1CICGGfooIyhDqV0uclWfRDVxNH7+gaiyHKppC6wTbCrZFvSfIhLVYc&#10;F0qs6auk/LS/WAXZ+TmY7WZl2mxzGMnDeT26X9ZKDfrdYgIiUBf+w3/tpVYw/nyH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8GKcTGAAAA3AAAAA8AAAAAAAAA&#10;AAAAAAAAoQIAAGRycy9kb3ducmV2LnhtbFBLBQYAAAAABAAEAPkAAACUAwAAAAA=&#10;" strokecolor="#231f20" strokeweight=".5pt"/>
                <w10:anchorlock/>
              </v:group>
            </w:pict>
          </mc:Fallback>
        </mc:AlternateContent>
      </w:r>
    </w:p>
    <w:p w14:paraId="13C8944B" w14:textId="77777777" w:rsidR="00DE575E" w:rsidRDefault="00DE575E">
      <w:pPr>
        <w:pStyle w:val="BodyText"/>
        <w:spacing w:before="7"/>
        <w:rPr>
          <w:rFonts w:ascii="AdonisC"/>
          <w:i/>
          <w:sz w:val="11"/>
        </w:rPr>
      </w:pPr>
    </w:p>
    <w:p w14:paraId="10EDBFAA" w14:textId="77777777" w:rsidR="00DE575E" w:rsidRDefault="002E7560">
      <w:pPr>
        <w:pStyle w:val="ListParagraph"/>
        <w:numPr>
          <w:ilvl w:val="0"/>
          <w:numId w:val="212"/>
        </w:numPr>
        <w:tabs>
          <w:tab w:val="left" w:pos="1101"/>
        </w:tabs>
        <w:spacing w:before="101"/>
        <w:ind w:firstLine="284"/>
        <w:rPr>
          <w:sz w:val="21"/>
        </w:rPr>
      </w:pPr>
      <w:r>
        <w:rPr>
          <w:color w:val="231F20"/>
          <w:sz w:val="21"/>
        </w:rPr>
        <w:t>Які бувають центри надання адміністративних</w:t>
      </w:r>
      <w:r>
        <w:rPr>
          <w:color w:val="231F20"/>
          <w:spacing w:val="-7"/>
          <w:sz w:val="21"/>
        </w:rPr>
        <w:t xml:space="preserve"> </w:t>
      </w:r>
      <w:r>
        <w:rPr>
          <w:color w:val="231F20"/>
          <w:sz w:val="21"/>
        </w:rPr>
        <w:t>послуг?</w:t>
      </w:r>
    </w:p>
    <w:p w14:paraId="0BDE9C00" w14:textId="77777777" w:rsidR="00DE575E" w:rsidRDefault="002E7560">
      <w:pPr>
        <w:pStyle w:val="ListParagraph"/>
        <w:numPr>
          <w:ilvl w:val="0"/>
          <w:numId w:val="212"/>
        </w:numPr>
        <w:tabs>
          <w:tab w:val="left" w:pos="1101"/>
        </w:tabs>
        <w:spacing w:before="12"/>
        <w:ind w:firstLine="284"/>
        <w:rPr>
          <w:sz w:val="21"/>
        </w:rPr>
      </w:pPr>
      <w:r>
        <w:rPr>
          <w:color w:val="231F20"/>
          <w:sz w:val="21"/>
        </w:rPr>
        <w:t>Схарактеризуйте способи надання адміністративних</w:t>
      </w:r>
      <w:r>
        <w:rPr>
          <w:color w:val="231F20"/>
          <w:spacing w:val="-7"/>
          <w:sz w:val="21"/>
        </w:rPr>
        <w:t xml:space="preserve"> </w:t>
      </w:r>
      <w:r>
        <w:rPr>
          <w:color w:val="231F20"/>
          <w:spacing w:val="-3"/>
          <w:sz w:val="21"/>
        </w:rPr>
        <w:t>послуг.</w:t>
      </w:r>
    </w:p>
    <w:p w14:paraId="76136B29" w14:textId="77777777" w:rsidR="00DE575E" w:rsidRDefault="002E7560">
      <w:pPr>
        <w:pStyle w:val="ListParagraph"/>
        <w:numPr>
          <w:ilvl w:val="0"/>
          <w:numId w:val="212"/>
        </w:numPr>
        <w:tabs>
          <w:tab w:val="left" w:pos="1101"/>
        </w:tabs>
        <w:spacing w:before="13"/>
        <w:ind w:firstLine="284"/>
        <w:rPr>
          <w:sz w:val="21"/>
        </w:rPr>
      </w:pPr>
      <w:r>
        <w:rPr>
          <w:color w:val="231F20"/>
          <w:sz w:val="21"/>
        </w:rPr>
        <w:t>Опишіть процедуру надання адміністративних</w:t>
      </w:r>
      <w:r>
        <w:rPr>
          <w:color w:val="231F20"/>
          <w:spacing w:val="-7"/>
          <w:sz w:val="21"/>
        </w:rPr>
        <w:t xml:space="preserve"> </w:t>
      </w:r>
      <w:r>
        <w:rPr>
          <w:color w:val="231F20"/>
          <w:spacing w:val="-3"/>
          <w:sz w:val="21"/>
        </w:rPr>
        <w:t>послуг.</w:t>
      </w:r>
    </w:p>
    <w:p w14:paraId="620308D1" w14:textId="77777777" w:rsidR="00DE575E" w:rsidRDefault="002E7560">
      <w:pPr>
        <w:pStyle w:val="ListParagraph"/>
        <w:numPr>
          <w:ilvl w:val="0"/>
          <w:numId w:val="212"/>
        </w:numPr>
        <w:tabs>
          <w:tab w:val="left" w:pos="1101"/>
        </w:tabs>
        <w:spacing w:before="13" w:line="252" w:lineRule="auto"/>
        <w:ind w:right="131" w:firstLine="284"/>
        <w:jc w:val="both"/>
        <w:rPr>
          <w:sz w:val="21"/>
        </w:rPr>
      </w:pPr>
      <w:r>
        <w:rPr>
          <w:color w:val="231F20"/>
          <w:sz w:val="21"/>
        </w:rPr>
        <w:t>Що таке технологічна картка адміністративної послуги, який її зміст?</w:t>
      </w:r>
    </w:p>
    <w:p w14:paraId="29761CC2" w14:textId="77777777" w:rsidR="00DE575E" w:rsidRDefault="002E7560">
      <w:pPr>
        <w:pStyle w:val="ListParagraph"/>
        <w:numPr>
          <w:ilvl w:val="0"/>
          <w:numId w:val="212"/>
        </w:numPr>
        <w:tabs>
          <w:tab w:val="left" w:pos="1101"/>
        </w:tabs>
        <w:ind w:firstLine="284"/>
        <w:rPr>
          <w:sz w:val="21"/>
        </w:rPr>
      </w:pPr>
      <w:r>
        <w:rPr>
          <w:color w:val="231F20"/>
          <w:sz w:val="21"/>
        </w:rPr>
        <w:t>Які вимоги до якості надання адміністративних</w:t>
      </w:r>
      <w:r>
        <w:rPr>
          <w:color w:val="231F20"/>
          <w:spacing w:val="-20"/>
          <w:sz w:val="21"/>
        </w:rPr>
        <w:t xml:space="preserve"> </w:t>
      </w:r>
      <w:r>
        <w:rPr>
          <w:color w:val="231F20"/>
          <w:sz w:val="21"/>
        </w:rPr>
        <w:t>послуг?</w:t>
      </w:r>
    </w:p>
    <w:p w14:paraId="333A085B" w14:textId="77777777" w:rsidR="00DE575E" w:rsidRDefault="00DE575E">
      <w:pPr>
        <w:pStyle w:val="BodyText"/>
        <w:spacing w:before="2"/>
        <w:rPr>
          <w:sz w:val="23"/>
        </w:rPr>
      </w:pPr>
    </w:p>
    <w:p w14:paraId="545F68A5" w14:textId="77777777" w:rsidR="00DE575E" w:rsidRDefault="002E7560">
      <w:pPr>
        <w:pStyle w:val="Heading5"/>
        <w:ind w:left="1778"/>
      </w:pPr>
      <w:r>
        <w:rPr>
          <w:color w:val="231F20"/>
        </w:rPr>
        <w:t>Література для поглибленого вивчення</w:t>
      </w:r>
    </w:p>
    <w:p w14:paraId="6B3E56C2" w14:textId="77777777" w:rsidR="00DE575E" w:rsidRDefault="00DE575E">
      <w:pPr>
        <w:pStyle w:val="BodyText"/>
        <w:spacing w:before="2"/>
        <w:rPr>
          <w:b/>
          <w:sz w:val="23"/>
        </w:rPr>
      </w:pPr>
    </w:p>
    <w:p w14:paraId="519341FE" w14:textId="77777777" w:rsidR="00DE575E" w:rsidRDefault="002E7560">
      <w:pPr>
        <w:pStyle w:val="ListParagraph"/>
        <w:numPr>
          <w:ilvl w:val="0"/>
          <w:numId w:val="211"/>
        </w:numPr>
        <w:tabs>
          <w:tab w:val="left" w:pos="1101"/>
        </w:tabs>
        <w:spacing w:before="0" w:line="252" w:lineRule="auto"/>
        <w:ind w:right="126" w:firstLine="284"/>
        <w:jc w:val="both"/>
        <w:rPr>
          <w:sz w:val="21"/>
        </w:rPr>
      </w:pPr>
      <w:r>
        <w:rPr>
          <w:color w:val="231F20"/>
          <w:sz w:val="21"/>
        </w:rPr>
        <w:t xml:space="preserve">Буханевич </w:t>
      </w:r>
      <w:r>
        <w:rPr>
          <w:color w:val="231F20"/>
          <w:spacing w:val="-3"/>
          <w:sz w:val="21"/>
        </w:rPr>
        <w:t xml:space="preserve">О. </w:t>
      </w:r>
      <w:r>
        <w:rPr>
          <w:color w:val="231F20"/>
          <w:sz w:val="21"/>
        </w:rPr>
        <w:t xml:space="preserve">Адміністративні послуги в </w:t>
      </w:r>
      <w:r>
        <w:rPr>
          <w:color w:val="231F20"/>
          <w:spacing w:val="-3"/>
          <w:sz w:val="21"/>
        </w:rPr>
        <w:t xml:space="preserve">Україні: </w:t>
      </w:r>
      <w:r>
        <w:rPr>
          <w:color w:val="231F20"/>
          <w:sz w:val="21"/>
        </w:rPr>
        <w:t xml:space="preserve">засади надання та шляхи вдосконалення: монографія. Ін-т законодавства Верховної Ради </w:t>
      </w:r>
      <w:r>
        <w:rPr>
          <w:color w:val="231F20"/>
          <w:spacing w:val="-3"/>
          <w:sz w:val="21"/>
        </w:rPr>
        <w:t xml:space="preserve">України, </w:t>
      </w:r>
      <w:r>
        <w:rPr>
          <w:color w:val="231F20"/>
          <w:sz w:val="21"/>
        </w:rPr>
        <w:t>Київ-Хмельницький: ТОВ «Поліграфіст», 2017. 391 c.</w:t>
      </w:r>
    </w:p>
    <w:p w14:paraId="19578E4F" w14:textId="77777777" w:rsidR="00DE575E" w:rsidRDefault="002E7560">
      <w:pPr>
        <w:pStyle w:val="ListParagraph"/>
        <w:numPr>
          <w:ilvl w:val="0"/>
          <w:numId w:val="211"/>
        </w:numPr>
        <w:tabs>
          <w:tab w:val="left" w:pos="1101"/>
        </w:tabs>
        <w:spacing w:before="2" w:line="252" w:lineRule="auto"/>
        <w:ind w:right="128" w:firstLine="284"/>
        <w:jc w:val="both"/>
        <w:rPr>
          <w:sz w:val="21"/>
        </w:rPr>
      </w:pPr>
      <w:r>
        <w:rPr>
          <w:color w:val="231F20"/>
          <w:sz w:val="21"/>
        </w:rPr>
        <w:t xml:space="preserve">Буханевич </w:t>
      </w:r>
      <w:r>
        <w:rPr>
          <w:color w:val="231F20"/>
          <w:spacing w:val="-3"/>
          <w:sz w:val="21"/>
        </w:rPr>
        <w:t xml:space="preserve">О. </w:t>
      </w:r>
      <w:r>
        <w:rPr>
          <w:color w:val="231F20"/>
          <w:sz w:val="21"/>
        </w:rPr>
        <w:t xml:space="preserve">Критерії встановлення платних та безоплатних адміністративних </w:t>
      </w:r>
      <w:r>
        <w:rPr>
          <w:color w:val="231F20"/>
          <w:spacing w:val="-3"/>
          <w:sz w:val="21"/>
        </w:rPr>
        <w:t xml:space="preserve">послуг. </w:t>
      </w:r>
      <w:r>
        <w:rPr>
          <w:i/>
          <w:color w:val="231F20"/>
          <w:sz w:val="21"/>
        </w:rPr>
        <w:t>Науковий вісник Ужгородськог</w:t>
      </w:r>
      <w:r>
        <w:rPr>
          <w:i/>
          <w:color w:val="231F20"/>
          <w:sz w:val="21"/>
        </w:rPr>
        <w:t>о національ- ного університету. Серія Право</w:t>
      </w:r>
      <w:r>
        <w:rPr>
          <w:color w:val="231F20"/>
          <w:sz w:val="21"/>
        </w:rPr>
        <w:t xml:space="preserve">. 2015. № 31. </w:t>
      </w:r>
      <w:r>
        <w:rPr>
          <w:color w:val="231F20"/>
          <w:spacing w:val="-5"/>
          <w:sz w:val="21"/>
        </w:rPr>
        <w:t xml:space="preserve">Том. </w:t>
      </w:r>
      <w:r>
        <w:rPr>
          <w:color w:val="231F20"/>
          <w:sz w:val="21"/>
        </w:rPr>
        <w:t>2. С.</w:t>
      </w:r>
      <w:r>
        <w:rPr>
          <w:color w:val="231F20"/>
          <w:spacing w:val="-12"/>
          <w:sz w:val="21"/>
        </w:rPr>
        <w:t xml:space="preserve"> </w:t>
      </w:r>
      <w:r>
        <w:rPr>
          <w:color w:val="231F20"/>
          <w:sz w:val="21"/>
        </w:rPr>
        <w:t>114-117.</w:t>
      </w:r>
    </w:p>
    <w:p w14:paraId="4EFB28CB" w14:textId="77777777" w:rsidR="00DE575E" w:rsidRDefault="002E7560">
      <w:pPr>
        <w:pStyle w:val="ListParagraph"/>
        <w:numPr>
          <w:ilvl w:val="0"/>
          <w:numId w:val="211"/>
        </w:numPr>
        <w:tabs>
          <w:tab w:val="left" w:pos="1101"/>
        </w:tabs>
        <w:spacing w:before="2" w:line="252" w:lineRule="auto"/>
        <w:ind w:right="128" w:firstLine="284"/>
        <w:jc w:val="both"/>
        <w:rPr>
          <w:sz w:val="21"/>
        </w:rPr>
      </w:pPr>
      <w:r>
        <w:rPr>
          <w:color w:val="231F20"/>
          <w:sz w:val="21"/>
        </w:rPr>
        <w:t xml:space="preserve">Буханевич </w:t>
      </w:r>
      <w:r>
        <w:rPr>
          <w:color w:val="231F20"/>
          <w:spacing w:val="-3"/>
          <w:sz w:val="21"/>
        </w:rPr>
        <w:t xml:space="preserve">О. </w:t>
      </w:r>
      <w:r>
        <w:rPr>
          <w:color w:val="231F20"/>
          <w:sz w:val="21"/>
        </w:rPr>
        <w:t xml:space="preserve">Якість і доступність адміністративних послуг як елемент їх правової характеристики. </w:t>
      </w:r>
      <w:r>
        <w:rPr>
          <w:i/>
          <w:color w:val="231F20"/>
          <w:sz w:val="21"/>
        </w:rPr>
        <w:t>Вісник Запорізького національ- ного університету. Юридичні науки</w:t>
      </w:r>
      <w:r>
        <w:rPr>
          <w:color w:val="231F20"/>
          <w:sz w:val="21"/>
        </w:rPr>
        <w:t>. 2015. № 2 (1). С</w:t>
      </w:r>
      <w:r>
        <w:rPr>
          <w:color w:val="231F20"/>
          <w:sz w:val="21"/>
        </w:rPr>
        <w:t>.</w:t>
      </w:r>
      <w:r>
        <w:rPr>
          <w:color w:val="231F20"/>
          <w:spacing w:val="-13"/>
          <w:sz w:val="21"/>
        </w:rPr>
        <w:t xml:space="preserve"> </w:t>
      </w:r>
      <w:r>
        <w:rPr>
          <w:color w:val="231F20"/>
          <w:sz w:val="21"/>
        </w:rPr>
        <w:t>89-95.</w:t>
      </w:r>
    </w:p>
    <w:p w14:paraId="1458C126" w14:textId="77777777" w:rsidR="00DE575E" w:rsidRDefault="002E7560">
      <w:pPr>
        <w:pStyle w:val="ListParagraph"/>
        <w:numPr>
          <w:ilvl w:val="0"/>
          <w:numId w:val="211"/>
        </w:numPr>
        <w:tabs>
          <w:tab w:val="left" w:pos="1101"/>
        </w:tabs>
        <w:spacing w:line="252" w:lineRule="auto"/>
        <w:ind w:right="128" w:firstLine="284"/>
        <w:jc w:val="both"/>
        <w:rPr>
          <w:sz w:val="21"/>
        </w:rPr>
      </w:pPr>
      <w:r>
        <w:rPr>
          <w:color w:val="231F20"/>
          <w:sz w:val="21"/>
        </w:rPr>
        <w:t>Голосніченко</w:t>
      </w:r>
      <w:r>
        <w:rPr>
          <w:color w:val="231F20"/>
          <w:spacing w:val="-10"/>
          <w:sz w:val="21"/>
        </w:rPr>
        <w:t xml:space="preserve"> </w:t>
      </w:r>
      <w:r>
        <w:rPr>
          <w:color w:val="231F20"/>
          <w:sz w:val="21"/>
        </w:rPr>
        <w:t>І.</w:t>
      </w:r>
      <w:r>
        <w:rPr>
          <w:color w:val="231F20"/>
          <w:spacing w:val="-10"/>
          <w:sz w:val="21"/>
        </w:rPr>
        <w:t xml:space="preserve"> </w:t>
      </w:r>
      <w:r>
        <w:rPr>
          <w:color w:val="231F20"/>
          <w:sz w:val="21"/>
        </w:rPr>
        <w:t>Доктринальні</w:t>
      </w:r>
      <w:r>
        <w:rPr>
          <w:color w:val="231F20"/>
          <w:spacing w:val="-10"/>
          <w:sz w:val="21"/>
        </w:rPr>
        <w:t xml:space="preserve"> </w:t>
      </w:r>
      <w:r>
        <w:rPr>
          <w:color w:val="231F20"/>
          <w:sz w:val="21"/>
        </w:rPr>
        <w:t>визначення</w:t>
      </w:r>
      <w:r>
        <w:rPr>
          <w:color w:val="231F20"/>
          <w:spacing w:val="-10"/>
          <w:sz w:val="21"/>
        </w:rPr>
        <w:t xml:space="preserve"> </w:t>
      </w:r>
      <w:r>
        <w:rPr>
          <w:color w:val="231F20"/>
          <w:sz w:val="21"/>
        </w:rPr>
        <w:t>поняття</w:t>
      </w:r>
      <w:r>
        <w:rPr>
          <w:color w:val="231F20"/>
          <w:spacing w:val="-10"/>
          <w:sz w:val="21"/>
        </w:rPr>
        <w:t xml:space="preserve"> </w:t>
      </w:r>
      <w:r>
        <w:rPr>
          <w:color w:val="231F20"/>
          <w:sz w:val="21"/>
        </w:rPr>
        <w:t xml:space="preserve">адміністра- тивних </w:t>
      </w:r>
      <w:r>
        <w:rPr>
          <w:color w:val="231F20"/>
          <w:spacing w:val="-3"/>
          <w:sz w:val="21"/>
        </w:rPr>
        <w:t xml:space="preserve">послуг. </w:t>
      </w:r>
      <w:r>
        <w:rPr>
          <w:i/>
          <w:color w:val="231F20"/>
          <w:sz w:val="21"/>
        </w:rPr>
        <w:t>Право України</w:t>
      </w:r>
      <w:r>
        <w:rPr>
          <w:color w:val="231F20"/>
          <w:sz w:val="21"/>
        </w:rPr>
        <w:t>. 2009. № 2. С.</w:t>
      </w:r>
      <w:r>
        <w:rPr>
          <w:color w:val="231F20"/>
          <w:spacing w:val="-9"/>
          <w:sz w:val="21"/>
        </w:rPr>
        <w:t xml:space="preserve"> </w:t>
      </w:r>
      <w:r>
        <w:rPr>
          <w:color w:val="231F20"/>
          <w:sz w:val="21"/>
        </w:rPr>
        <w:t>62–70.</w:t>
      </w:r>
    </w:p>
    <w:p w14:paraId="2BF69AA2" w14:textId="77777777" w:rsidR="00DE575E" w:rsidRDefault="002E7560">
      <w:pPr>
        <w:pStyle w:val="ListParagraph"/>
        <w:numPr>
          <w:ilvl w:val="0"/>
          <w:numId w:val="211"/>
        </w:numPr>
        <w:tabs>
          <w:tab w:val="left" w:pos="1101"/>
        </w:tabs>
        <w:spacing w:line="252" w:lineRule="auto"/>
        <w:ind w:right="127" w:firstLine="284"/>
        <w:jc w:val="both"/>
        <w:rPr>
          <w:sz w:val="21"/>
        </w:rPr>
      </w:pPr>
      <w:r>
        <w:rPr>
          <w:color w:val="231F20"/>
          <w:sz w:val="21"/>
        </w:rPr>
        <w:t>Грибко</w:t>
      </w:r>
      <w:r>
        <w:rPr>
          <w:color w:val="231F20"/>
          <w:spacing w:val="-14"/>
          <w:sz w:val="21"/>
        </w:rPr>
        <w:t xml:space="preserve"> </w:t>
      </w:r>
      <w:r>
        <w:rPr>
          <w:color w:val="231F20"/>
          <w:spacing w:val="-3"/>
          <w:sz w:val="21"/>
        </w:rPr>
        <w:t>О.,</w:t>
      </w:r>
      <w:r>
        <w:rPr>
          <w:color w:val="231F20"/>
          <w:spacing w:val="-14"/>
          <w:sz w:val="21"/>
        </w:rPr>
        <w:t xml:space="preserve"> </w:t>
      </w:r>
      <w:r>
        <w:rPr>
          <w:color w:val="231F20"/>
          <w:sz w:val="21"/>
        </w:rPr>
        <w:t>Грабар</w:t>
      </w:r>
      <w:r>
        <w:rPr>
          <w:color w:val="231F20"/>
          <w:spacing w:val="-14"/>
          <w:sz w:val="21"/>
        </w:rPr>
        <w:t xml:space="preserve"> </w:t>
      </w:r>
      <w:r>
        <w:rPr>
          <w:color w:val="231F20"/>
          <w:sz w:val="21"/>
        </w:rPr>
        <w:t>Н.</w:t>
      </w:r>
      <w:r>
        <w:rPr>
          <w:color w:val="231F20"/>
          <w:spacing w:val="-14"/>
          <w:sz w:val="21"/>
        </w:rPr>
        <w:t xml:space="preserve"> </w:t>
      </w:r>
      <w:r>
        <w:rPr>
          <w:color w:val="231F20"/>
          <w:sz w:val="21"/>
        </w:rPr>
        <w:t>Система</w:t>
      </w:r>
      <w:r>
        <w:rPr>
          <w:color w:val="231F20"/>
          <w:spacing w:val="-14"/>
          <w:sz w:val="21"/>
        </w:rPr>
        <w:t xml:space="preserve"> </w:t>
      </w:r>
      <w:r>
        <w:rPr>
          <w:color w:val="231F20"/>
          <w:sz w:val="21"/>
        </w:rPr>
        <w:t>надання</w:t>
      </w:r>
      <w:r>
        <w:rPr>
          <w:color w:val="231F20"/>
          <w:spacing w:val="-14"/>
          <w:sz w:val="21"/>
        </w:rPr>
        <w:t xml:space="preserve"> </w:t>
      </w:r>
      <w:r>
        <w:rPr>
          <w:color w:val="231F20"/>
          <w:sz w:val="21"/>
        </w:rPr>
        <w:t>адміністративних</w:t>
      </w:r>
      <w:r>
        <w:rPr>
          <w:color w:val="231F20"/>
          <w:spacing w:val="-14"/>
          <w:sz w:val="21"/>
        </w:rPr>
        <w:t xml:space="preserve"> </w:t>
      </w:r>
      <w:r>
        <w:rPr>
          <w:color w:val="231F20"/>
          <w:sz w:val="21"/>
        </w:rPr>
        <w:t xml:space="preserve">послуг населенню в </w:t>
      </w:r>
      <w:r>
        <w:rPr>
          <w:color w:val="231F20"/>
          <w:spacing w:val="-3"/>
          <w:sz w:val="21"/>
        </w:rPr>
        <w:t xml:space="preserve">Україні: </w:t>
      </w:r>
      <w:r>
        <w:rPr>
          <w:color w:val="231F20"/>
          <w:sz w:val="21"/>
        </w:rPr>
        <w:t xml:space="preserve">підвищення якості послуг в нових реаліях. </w:t>
      </w:r>
      <w:r>
        <w:rPr>
          <w:i/>
          <w:color w:val="231F20"/>
          <w:sz w:val="21"/>
        </w:rPr>
        <w:t>Державне управління та місцеве самоврядування</w:t>
      </w:r>
      <w:r>
        <w:rPr>
          <w:color w:val="231F20"/>
          <w:sz w:val="21"/>
        </w:rPr>
        <w:t>. 2016. Вип. 3 (30). С. 52-58.</w:t>
      </w:r>
    </w:p>
    <w:p w14:paraId="2E970BCC" w14:textId="77777777" w:rsidR="00DE575E" w:rsidRDefault="002E7560">
      <w:pPr>
        <w:pStyle w:val="ListParagraph"/>
        <w:numPr>
          <w:ilvl w:val="0"/>
          <w:numId w:val="211"/>
        </w:numPr>
        <w:tabs>
          <w:tab w:val="left" w:pos="1101"/>
        </w:tabs>
        <w:spacing w:before="2" w:line="252" w:lineRule="auto"/>
        <w:ind w:right="127" w:firstLine="284"/>
        <w:jc w:val="both"/>
        <w:rPr>
          <w:sz w:val="21"/>
        </w:rPr>
      </w:pPr>
      <w:r>
        <w:rPr>
          <w:color w:val="231F20"/>
          <w:sz w:val="21"/>
        </w:rPr>
        <w:t xml:space="preserve">Жук </w:t>
      </w:r>
      <w:r>
        <w:rPr>
          <w:color w:val="231F20"/>
          <w:spacing w:val="-3"/>
          <w:sz w:val="21"/>
        </w:rPr>
        <w:t xml:space="preserve">Ю. </w:t>
      </w:r>
      <w:r>
        <w:rPr>
          <w:color w:val="231F20"/>
          <w:sz w:val="21"/>
        </w:rPr>
        <w:t>Надання адміністративних послуг населенню : орієн- тація</w:t>
      </w:r>
      <w:r>
        <w:rPr>
          <w:color w:val="231F20"/>
          <w:spacing w:val="30"/>
          <w:sz w:val="21"/>
        </w:rPr>
        <w:t xml:space="preserve"> </w:t>
      </w:r>
      <w:r>
        <w:rPr>
          <w:color w:val="231F20"/>
          <w:sz w:val="21"/>
        </w:rPr>
        <w:t>на</w:t>
      </w:r>
      <w:r>
        <w:rPr>
          <w:color w:val="231F20"/>
          <w:spacing w:val="30"/>
          <w:sz w:val="21"/>
        </w:rPr>
        <w:t xml:space="preserve"> </w:t>
      </w:r>
      <w:r>
        <w:rPr>
          <w:color w:val="231F20"/>
          <w:sz w:val="21"/>
        </w:rPr>
        <w:t>якість.</w:t>
      </w:r>
      <w:r>
        <w:rPr>
          <w:color w:val="231F20"/>
          <w:spacing w:val="30"/>
          <w:sz w:val="21"/>
        </w:rPr>
        <w:t xml:space="preserve"> </w:t>
      </w:r>
      <w:r>
        <w:rPr>
          <w:i/>
          <w:color w:val="231F20"/>
          <w:spacing w:val="-4"/>
          <w:sz w:val="21"/>
        </w:rPr>
        <w:t>Теорія</w:t>
      </w:r>
      <w:r>
        <w:rPr>
          <w:i/>
          <w:color w:val="231F20"/>
          <w:spacing w:val="30"/>
          <w:sz w:val="21"/>
        </w:rPr>
        <w:t xml:space="preserve"> </w:t>
      </w:r>
      <w:r>
        <w:rPr>
          <w:i/>
          <w:color w:val="231F20"/>
          <w:sz w:val="21"/>
        </w:rPr>
        <w:t>та</w:t>
      </w:r>
      <w:r>
        <w:rPr>
          <w:i/>
          <w:color w:val="231F20"/>
          <w:spacing w:val="30"/>
          <w:sz w:val="21"/>
        </w:rPr>
        <w:t xml:space="preserve"> </w:t>
      </w:r>
      <w:r>
        <w:rPr>
          <w:i/>
          <w:color w:val="231F20"/>
          <w:sz w:val="21"/>
        </w:rPr>
        <w:t>практика</w:t>
      </w:r>
      <w:r>
        <w:rPr>
          <w:i/>
          <w:color w:val="231F20"/>
          <w:spacing w:val="31"/>
          <w:sz w:val="21"/>
        </w:rPr>
        <w:t xml:space="preserve"> </w:t>
      </w:r>
      <w:r>
        <w:rPr>
          <w:i/>
          <w:color w:val="231F20"/>
          <w:sz w:val="21"/>
        </w:rPr>
        <w:t>державного</w:t>
      </w:r>
      <w:r>
        <w:rPr>
          <w:i/>
          <w:color w:val="231F20"/>
          <w:spacing w:val="30"/>
          <w:sz w:val="21"/>
        </w:rPr>
        <w:t xml:space="preserve"> </w:t>
      </w:r>
      <w:r>
        <w:rPr>
          <w:i/>
          <w:color w:val="231F20"/>
          <w:sz w:val="21"/>
        </w:rPr>
        <w:t>управління</w:t>
      </w:r>
      <w:r>
        <w:rPr>
          <w:color w:val="231F20"/>
          <w:sz w:val="21"/>
        </w:rPr>
        <w:t>.</w:t>
      </w:r>
      <w:r>
        <w:rPr>
          <w:color w:val="231F20"/>
          <w:spacing w:val="30"/>
          <w:sz w:val="21"/>
        </w:rPr>
        <w:t xml:space="preserve"> </w:t>
      </w:r>
      <w:r>
        <w:rPr>
          <w:color w:val="231F20"/>
          <w:sz w:val="21"/>
        </w:rPr>
        <w:t>2017.</w:t>
      </w:r>
    </w:p>
    <w:p w14:paraId="73AC6DDE" w14:textId="77777777" w:rsidR="00DE575E" w:rsidRDefault="002E7560">
      <w:pPr>
        <w:pStyle w:val="BodyText"/>
        <w:spacing w:before="1"/>
        <w:ind w:left="533"/>
      </w:pPr>
      <w:r>
        <w:rPr>
          <w:color w:val="231F20"/>
        </w:rPr>
        <w:t>№ 1 (56).</w:t>
      </w:r>
    </w:p>
    <w:p w14:paraId="38FFD8E8" w14:textId="77777777" w:rsidR="00DE575E" w:rsidRDefault="002E7560">
      <w:pPr>
        <w:pStyle w:val="ListParagraph"/>
        <w:numPr>
          <w:ilvl w:val="0"/>
          <w:numId w:val="211"/>
        </w:numPr>
        <w:tabs>
          <w:tab w:val="left" w:pos="1101"/>
        </w:tabs>
        <w:spacing w:before="13" w:line="252" w:lineRule="auto"/>
        <w:ind w:right="128" w:firstLine="284"/>
        <w:jc w:val="both"/>
        <w:rPr>
          <w:sz w:val="21"/>
        </w:rPr>
      </w:pPr>
      <w:r>
        <w:rPr>
          <w:color w:val="231F20"/>
          <w:sz w:val="21"/>
        </w:rPr>
        <w:t xml:space="preserve">Ілюшик </w:t>
      </w:r>
      <w:r>
        <w:rPr>
          <w:color w:val="231F20"/>
          <w:spacing w:val="-3"/>
          <w:sz w:val="21"/>
        </w:rPr>
        <w:t xml:space="preserve">О. </w:t>
      </w:r>
      <w:r>
        <w:rPr>
          <w:color w:val="231F20"/>
          <w:sz w:val="21"/>
        </w:rPr>
        <w:t xml:space="preserve">Класифікація адміністративних послуг </w:t>
      </w:r>
      <w:r>
        <w:rPr>
          <w:color w:val="231F20"/>
          <w:sz w:val="21"/>
        </w:rPr>
        <w:t xml:space="preserve">та їх харак- теристика. </w:t>
      </w:r>
      <w:r>
        <w:rPr>
          <w:i/>
          <w:color w:val="231F20"/>
          <w:sz w:val="21"/>
        </w:rPr>
        <w:t>Науковий вісник Львівського державного університету внутрішніх справ</w:t>
      </w:r>
      <w:r>
        <w:rPr>
          <w:color w:val="231F20"/>
          <w:sz w:val="21"/>
        </w:rPr>
        <w:t>. 2016. № 1. С.</w:t>
      </w:r>
      <w:r>
        <w:rPr>
          <w:color w:val="231F20"/>
          <w:spacing w:val="-8"/>
          <w:sz w:val="21"/>
        </w:rPr>
        <w:t xml:space="preserve"> </w:t>
      </w:r>
      <w:r>
        <w:rPr>
          <w:color w:val="231F20"/>
          <w:sz w:val="21"/>
        </w:rPr>
        <w:t>178-188.</w:t>
      </w:r>
    </w:p>
    <w:p w14:paraId="4A310E7A" w14:textId="77777777" w:rsidR="00DE575E" w:rsidRDefault="002E7560">
      <w:pPr>
        <w:pStyle w:val="ListParagraph"/>
        <w:numPr>
          <w:ilvl w:val="0"/>
          <w:numId w:val="211"/>
        </w:numPr>
        <w:tabs>
          <w:tab w:val="left" w:pos="1101"/>
        </w:tabs>
        <w:spacing w:before="2" w:line="252" w:lineRule="auto"/>
        <w:ind w:right="127" w:firstLine="284"/>
        <w:jc w:val="both"/>
        <w:rPr>
          <w:sz w:val="21"/>
        </w:rPr>
      </w:pPr>
      <w:r>
        <w:rPr>
          <w:color w:val="231F20"/>
          <w:sz w:val="21"/>
        </w:rPr>
        <w:t xml:space="preserve">Надання адміністративних послуг у муніципальному секторі: навчальний посібник. Асоціація міст </w:t>
      </w:r>
      <w:r>
        <w:rPr>
          <w:color w:val="231F20"/>
          <w:spacing w:val="-3"/>
          <w:sz w:val="21"/>
        </w:rPr>
        <w:t xml:space="preserve">України </w:t>
      </w:r>
      <w:r>
        <w:rPr>
          <w:color w:val="231F20"/>
          <w:sz w:val="21"/>
        </w:rPr>
        <w:t>Київ: ВІЕНЕЙ», 2015. 124 с.</w:t>
      </w:r>
    </w:p>
    <w:p w14:paraId="57054220" w14:textId="77777777" w:rsidR="00DE575E" w:rsidRDefault="002E7560">
      <w:pPr>
        <w:pStyle w:val="ListParagraph"/>
        <w:numPr>
          <w:ilvl w:val="0"/>
          <w:numId w:val="211"/>
        </w:numPr>
        <w:tabs>
          <w:tab w:val="left" w:pos="1101"/>
        </w:tabs>
        <w:spacing w:line="252" w:lineRule="auto"/>
        <w:ind w:right="128" w:firstLine="284"/>
        <w:jc w:val="both"/>
        <w:rPr>
          <w:sz w:val="21"/>
        </w:rPr>
      </w:pPr>
      <w:r>
        <w:rPr>
          <w:color w:val="231F20"/>
          <w:sz w:val="21"/>
        </w:rPr>
        <w:t xml:space="preserve">Науково-практичний коментар до Закону </w:t>
      </w:r>
      <w:r>
        <w:rPr>
          <w:color w:val="231F20"/>
          <w:spacing w:val="-3"/>
          <w:sz w:val="21"/>
        </w:rPr>
        <w:t xml:space="preserve">України </w:t>
      </w:r>
      <w:r>
        <w:rPr>
          <w:color w:val="231F20"/>
          <w:sz w:val="21"/>
        </w:rPr>
        <w:t xml:space="preserve">«Про адмі- ністративні послуги» / за </w:t>
      </w:r>
      <w:r>
        <w:rPr>
          <w:color w:val="231F20"/>
          <w:spacing w:val="-5"/>
          <w:sz w:val="21"/>
        </w:rPr>
        <w:t xml:space="preserve">заг. </w:t>
      </w:r>
      <w:r>
        <w:rPr>
          <w:color w:val="231F20"/>
          <w:sz w:val="21"/>
        </w:rPr>
        <w:t xml:space="preserve">ред. В.П. Тимощука. Київ: ФОП Моска- ленко </w:t>
      </w:r>
      <w:r>
        <w:rPr>
          <w:color w:val="231F20"/>
          <w:spacing w:val="-3"/>
          <w:sz w:val="21"/>
        </w:rPr>
        <w:t xml:space="preserve">О. </w:t>
      </w:r>
      <w:r>
        <w:rPr>
          <w:color w:val="231F20"/>
          <w:sz w:val="21"/>
        </w:rPr>
        <w:t>М., 2013. 392 с.</w:t>
      </w:r>
    </w:p>
    <w:p w14:paraId="7FC69D5D" w14:textId="77777777" w:rsidR="00DE575E" w:rsidRDefault="002E7560">
      <w:pPr>
        <w:pStyle w:val="BodyText"/>
        <w:spacing w:before="2" w:line="252" w:lineRule="auto"/>
        <w:ind w:left="533" w:right="128" w:firstLine="283"/>
        <w:jc w:val="both"/>
      </w:pPr>
      <w:r>
        <w:rPr>
          <w:color w:val="231F20"/>
        </w:rPr>
        <w:t xml:space="preserve">10.Ніколаєнко К. Адміністративні послуги як різновид публічних послуг. </w:t>
      </w:r>
      <w:r>
        <w:rPr>
          <w:i/>
          <w:color w:val="231F20"/>
        </w:rPr>
        <w:t>Держава і право</w:t>
      </w:r>
      <w:r>
        <w:rPr>
          <w:color w:val="231F20"/>
        </w:rPr>
        <w:t>. 2010. No 47. С. 269-274.</w:t>
      </w:r>
    </w:p>
    <w:p w14:paraId="018FED87" w14:textId="77777777" w:rsidR="00DE575E" w:rsidRDefault="00DE575E">
      <w:pPr>
        <w:pStyle w:val="BodyText"/>
        <w:spacing w:before="5"/>
        <w:rPr>
          <w:sz w:val="12"/>
        </w:rPr>
      </w:pPr>
    </w:p>
    <w:p w14:paraId="09980786" w14:textId="77777777" w:rsidR="00DE575E" w:rsidRDefault="002E7560">
      <w:pPr>
        <w:spacing w:before="91"/>
        <w:ind w:left="533"/>
        <w:rPr>
          <w:rFonts w:ascii="Times New Roman"/>
          <w:sz w:val="20"/>
        </w:rPr>
      </w:pPr>
      <w:r>
        <w:rPr>
          <w:rFonts w:ascii="Times New Roman"/>
          <w:color w:val="231F20"/>
          <w:sz w:val="20"/>
        </w:rPr>
        <w:t>206</w:t>
      </w:r>
    </w:p>
    <w:p w14:paraId="28654AFE" w14:textId="77777777" w:rsidR="00DE575E" w:rsidRDefault="00DE575E">
      <w:pPr>
        <w:rPr>
          <w:rFonts w:ascii="Times New Roman"/>
          <w:sz w:val="20"/>
        </w:rPr>
        <w:sectPr w:rsidR="00DE575E">
          <w:pgSz w:w="8510" w:h="12760"/>
          <w:pgMar w:top="660" w:right="720" w:bottom="280" w:left="600" w:header="720" w:footer="720" w:gutter="0"/>
          <w:cols w:space="720"/>
        </w:sectPr>
      </w:pPr>
    </w:p>
    <w:p w14:paraId="50FAB0CD" w14:textId="77777777" w:rsidR="00DE575E" w:rsidRDefault="002E7560">
      <w:pPr>
        <w:spacing w:before="72" w:line="249" w:lineRule="auto"/>
        <w:ind w:left="3946" w:right="411" w:hanging="517"/>
        <w:jc w:val="right"/>
        <w:rPr>
          <w:rFonts w:ascii="AdonisC" w:hAnsi="AdonisC"/>
          <w:i/>
          <w:sz w:val="18"/>
        </w:rPr>
      </w:pPr>
      <w:r>
        <w:rPr>
          <w:rFonts w:ascii="AdonisC" w:hAnsi="AdonisC"/>
          <w:i/>
          <w:color w:val="231F20"/>
          <w:sz w:val="18"/>
        </w:rPr>
        <w:t>Глава І. Загальне адміністративне право Розділ 6. Адміністративні послуги</w:t>
      </w:r>
    </w:p>
    <w:p w14:paraId="3C5D8559" w14:textId="1080168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81686D9" wp14:editId="5E377493">
                <wp:extent cx="4140200" cy="6350"/>
                <wp:effectExtent l="0" t="0" r="12700" b="6350"/>
                <wp:docPr id="89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93" name="Line 89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AEFEFE" id="Group_x0020_89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m5rYDfQIAAJgFAAAOAAAA&#10;AAAAAAAAAAAAACwCAABkcnMvZTJvRG9jLnhtbFBLAQItABQABgAIAAAAIQBMp7CQ2QAAAAMBAAAP&#10;AAAAAAAAAAAAAAAAANUEAABkcnMvZG93bnJldi54bWxQSwUGAAAAAAQABADzAAAA2wUAAAAA&#10;">
                <v:line id="Line_x0020_89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6MUK8YAAADcAAAADwAAAGRycy9kb3ducmV2LnhtbESP3WrCQBSE74W+w3IKvRHdtAHR6Cql&#10;UCi98C8+wDF7TEJ3z8bsatI+fVcQvBxm5htmseqtEVdqfe1Ywes4AUFcOF1zqeCQf46mIHxA1mgc&#10;k4Jf8rBaPg0WmGnX8Y6u+1CKCGGfoYIqhCaT0hcVWfRj1xBH7+RaiyHKtpS6xS7CrZFvSTKRFmuO&#10;CxU29FFR8bO/WAX5eRjMdvNtunxzTOXxvE7/LmulXp779zmIQH14hO/tL61gOkv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jFCvGAAAA3AAAAA8AAAAAAAAA&#10;AAAAAAAAoQIAAGRycy9kb3ducmV2LnhtbFBLBQYAAAAABAAEAPkAAACUAwAAAAA=&#10;" strokecolor="#231f20" strokeweight=".5pt"/>
                <w10:anchorlock/>
              </v:group>
            </w:pict>
          </mc:Fallback>
        </mc:AlternateContent>
      </w:r>
    </w:p>
    <w:p w14:paraId="6AD17375" w14:textId="77777777" w:rsidR="00DE575E" w:rsidRDefault="00DE575E">
      <w:pPr>
        <w:pStyle w:val="BodyText"/>
        <w:spacing w:before="7"/>
        <w:rPr>
          <w:rFonts w:ascii="AdonisC"/>
          <w:i/>
          <w:sz w:val="19"/>
        </w:rPr>
      </w:pPr>
    </w:p>
    <w:p w14:paraId="00473E54" w14:textId="77777777" w:rsidR="00DE575E" w:rsidRDefault="002E7560">
      <w:pPr>
        <w:spacing w:before="1" w:line="252" w:lineRule="auto"/>
        <w:ind w:left="250" w:right="411" w:firstLine="283"/>
        <w:jc w:val="both"/>
        <w:rPr>
          <w:sz w:val="21"/>
        </w:rPr>
      </w:pPr>
      <w:r>
        <w:rPr>
          <w:color w:val="231F20"/>
          <w:sz w:val="21"/>
        </w:rPr>
        <w:t>11.Оніщик Ю., Буханевич О. Правове регулювання плати за надання адмін</w:t>
      </w:r>
      <w:r>
        <w:rPr>
          <w:color w:val="231F20"/>
          <w:sz w:val="21"/>
        </w:rPr>
        <w:t xml:space="preserve">істративних послуг : проблеми теорії та практики. </w:t>
      </w:r>
      <w:r>
        <w:rPr>
          <w:i/>
          <w:color w:val="231F20"/>
          <w:sz w:val="21"/>
        </w:rPr>
        <w:t>Наукові записки Інституту законодавства Верховної Ради України</w:t>
      </w:r>
      <w:r>
        <w:rPr>
          <w:color w:val="231F20"/>
          <w:sz w:val="21"/>
        </w:rPr>
        <w:t>. 2015. № 3. С. 43-48.</w:t>
      </w:r>
    </w:p>
    <w:p w14:paraId="482EC281" w14:textId="77777777" w:rsidR="00DE575E" w:rsidRDefault="002E7560">
      <w:pPr>
        <w:pStyle w:val="BodyText"/>
        <w:spacing w:before="2" w:line="252" w:lineRule="auto"/>
        <w:ind w:left="205" w:right="411" w:firstLine="283"/>
        <w:jc w:val="right"/>
      </w:pPr>
      <w:r>
        <w:rPr>
          <w:color w:val="231F20"/>
        </w:rPr>
        <w:t>12.Куц Ю. Якісні управлінські послуги – головна умова підви- щення довіри населення до органів влади. Харків: НАДУ, 2006.</w:t>
      </w:r>
      <w:r>
        <w:rPr>
          <w:color w:val="231F20"/>
        </w:rPr>
        <w:t xml:space="preserve"> 192 с. 13.Тимощук В. Адміністративні послуги: посібник. Швейцар- сько-український проєкт «Підтримка децентралізації в Україні» –</w:t>
      </w:r>
    </w:p>
    <w:p w14:paraId="44E8AC3A" w14:textId="77777777" w:rsidR="00DE575E" w:rsidRDefault="002E7560">
      <w:pPr>
        <w:pStyle w:val="BodyText"/>
        <w:spacing w:before="2"/>
        <w:ind w:left="250"/>
      </w:pPr>
      <w:r>
        <w:rPr>
          <w:color w:val="231F20"/>
        </w:rPr>
        <w:t>DESPRO. Київ: ТОВ „Софія-А”, 2012. 104 с.</w:t>
      </w:r>
    </w:p>
    <w:p w14:paraId="2D23FB5F" w14:textId="77777777" w:rsidR="00DE575E" w:rsidRDefault="002E7560">
      <w:pPr>
        <w:pStyle w:val="BodyText"/>
        <w:spacing w:before="12" w:line="252" w:lineRule="auto"/>
        <w:ind w:left="250" w:right="411" w:firstLine="283"/>
        <w:jc w:val="both"/>
      </w:pPr>
      <w:r>
        <w:rPr>
          <w:color w:val="231F20"/>
        </w:rPr>
        <w:t>14.Дембіцька С. Правові засади діяльності з надання адміністра- тивних послуг населенню України органами місцевого самовряду- вання: дис. канд. юрид. наук: 12.00.07. Львів, 2010. 214 с.</w:t>
      </w:r>
    </w:p>
    <w:p w14:paraId="586F3E3B" w14:textId="77777777" w:rsidR="00DE575E" w:rsidRDefault="00DE575E">
      <w:pPr>
        <w:pStyle w:val="BodyText"/>
        <w:rPr>
          <w:sz w:val="20"/>
        </w:rPr>
      </w:pPr>
    </w:p>
    <w:p w14:paraId="3EB34BA7" w14:textId="77777777" w:rsidR="00DE575E" w:rsidRDefault="00DE575E">
      <w:pPr>
        <w:pStyle w:val="BodyText"/>
        <w:rPr>
          <w:sz w:val="20"/>
        </w:rPr>
      </w:pPr>
    </w:p>
    <w:p w14:paraId="7F6A26EC" w14:textId="77777777" w:rsidR="00DE575E" w:rsidRDefault="00DE575E">
      <w:pPr>
        <w:pStyle w:val="BodyText"/>
        <w:rPr>
          <w:sz w:val="20"/>
        </w:rPr>
      </w:pPr>
    </w:p>
    <w:p w14:paraId="26642319" w14:textId="77777777" w:rsidR="00DE575E" w:rsidRDefault="00DE575E">
      <w:pPr>
        <w:pStyle w:val="BodyText"/>
        <w:rPr>
          <w:sz w:val="20"/>
        </w:rPr>
      </w:pPr>
    </w:p>
    <w:p w14:paraId="6AA33731" w14:textId="77777777" w:rsidR="00DE575E" w:rsidRDefault="00DE575E">
      <w:pPr>
        <w:pStyle w:val="BodyText"/>
        <w:rPr>
          <w:sz w:val="20"/>
        </w:rPr>
      </w:pPr>
    </w:p>
    <w:p w14:paraId="12894D16" w14:textId="77777777" w:rsidR="00DE575E" w:rsidRDefault="00DE575E">
      <w:pPr>
        <w:pStyle w:val="BodyText"/>
        <w:rPr>
          <w:sz w:val="20"/>
        </w:rPr>
      </w:pPr>
    </w:p>
    <w:p w14:paraId="385F0941" w14:textId="77777777" w:rsidR="00DE575E" w:rsidRDefault="00DE575E">
      <w:pPr>
        <w:pStyle w:val="BodyText"/>
        <w:rPr>
          <w:sz w:val="20"/>
        </w:rPr>
      </w:pPr>
    </w:p>
    <w:p w14:paraId="30F2C84C" w14:textId="77777777" w:rsidR="00DE575E" w:rsidRDefault="00DE575E">
      <w:pPr>
        <w:pStyle w:val="BodyText"/>
        <w:rPr>
          <w:sz w:val="20"/>
        </w:rPr>
      </w:pPr>
    </w:p>
    <w:p w14:paraId="6CFAE299" w14:textId="77777777" w:rsidR="00DE575E" w:rsidRDefault="00DE575E">
      <w:pPr>
        <w:pStyle w:val="BodyText"/>
        <w:rPr>
          <w:sz w:val="20"/>
        </w:rPr>
      </w:pPr>
    </w:p>
    <w:p w14:paraId="6FD4035C" w14:textId="77777777" w:rsidR="00DE575E" w:rsidRDefault="00DE575E">
      <w:pPr>
        <w:pStyle w:val="BodyText"/>
        <w:rPr>
          <w:sz w:val="20"/>
        </w:rPr>
      </w:pPr>
    </w:p>
    <w:p w14:paraId="3391E353" w14:textId="77777777" w:rsidR="00DE575E" w:rsidRDefault="00DE575E">
      <w:pPr>
        <w:pStyle w:val="BodyText"/>
        <w:rPr>
          <w:sz w:val="20"/>
        </w:rPr>
      </w:pPr>
    </w:p>
    <w:p w14:paraId="7ECAA736" w14:textId="77777777" w:rsidR="00DE575E" w:rsidRDefault="00DE575E">
      <w:pPr>
        <w:pStyle w:val="BodyText"/>
        <w:rPr>
          <w:sz w:val="20"/>
        </w:rPr>
      </w:pPr>
    </w:p>
    <w:p w14:paraId="3F7DCE6F" w14:textId="77777777" w:rsidR="00DE575E" w:rsidRDefault="00DE575E">
      <w:pPr>
        <w:pStyle w:val="BodyText"/>
        <w:rPr>
          <w:sz w:val="20"/>
        </w:rPr>
      </w:pPr>
    </w:p>
    <w:p w14:paraId="58655010" w14:textId="77777777" w:rsidR="00DE575E" w:rsidRDefault="00DE575E">
      <w:pPr>
        <w:pStyle w:val="BodyText"/>
        <w:rPr>
          <w:sz w:val="20"/>
        </w:rPr>
      </w:pPr>
    </w:p>
    <w:p w14:paraId="41BD6A8D" w14:textId="77777777" w:rsidR="00DE575E" w:rsidRDefault="00DE575E">
      <w:pPr>
        <w:pStyle w:val="BodyText"/>
        <w:rPr>
          <w:sz w:val="20"/>
        </w:rPr>
      </w:pPr>
    </w:p>
    <w:p w14:paraId="1AAD7CEA" w14:textId="77777777" w:rsidR="00DE575E" w:rsidRDefault="00DE575E">
      <w:pPr>
        <w:pStyle w:val="BodyText"/>
        <w:rPr>
          <w:sz w:val="20"/>
        </w:rPr>
      </w:pPr>
    </w:p>
    <w:p w14:paraId="0C9DE0BF" w14:textId="77777777" w:rsidR="00DE575E" w:rsidRDefault="00DE575E">
      <w:pPr>
        <w:pStyle w:val="BodyText"/>
        <w:rPr>
          <w:sz w:val="20"/>
        </w:rPr>
      </w:pPr>
    </w:p>
    <w:p w14:paraId="1FC3BAA8" w14:textId="77777777" w:rsidR="00DE575E" w:rsidRDefault="00DE575E">
      <w:pPr>
        <w:pStyle w:val="BodyText"/>
        <w:rPr>
          <w:sz w:val="20"/>
        </w:rPr>
      </w:pPr>
    </w:p>
    <w:p w14:paraId="32DC8C82" w14:textId="77777777" w:rsidR="00DE575E" w:rsidRDefault="00DE575E">
      <w:pPr>
        <w:pStyle w:val="BodyText"/>
        <w:rPr>
          <w:sz w:val="20"/>
        </w:rPr>
      </w:pPr>
    </w:p>
    <w:p w14:paraId="52072A06" w14:textId="77777777" w:rsidR="00DE575E" w:rsidRDefault="00DE575E">
      <w:pPr>
        <w:pStyle w:val="BodyText"/>
        <w:rPr>
          <w:sz w:val="20"/>
        </w:rPr>
      </w:pPr>
    </w:p>
    <w:p w14:paraId="77E3F700" w14:textId="77777777" w:rsidR="00DE575E" w:rsidRDefault="00DE575E">
      <w:pPr>
        <w:pStyle w:val="BodyText"/>
        <w:rPr>
          <w:sz w:val="20"/>
        </w:rPr>
      </w:pPr>
    </w:p>
    <w:p w14:paraId="7F87BE7F" w14:textId="77777777" w:rsidR="00DE575E" w:rsidRDefault="00DE575E">
      <w:pPr>
        <w:pStyle w:val="BodyText"/>
        <w:rPr>
          <w:sz w:val="20"/>
        </w:rPr>
      </w:pPr>
    </w:p>
    <w:p w14:paraId="15A405F3" w14:textId="77777777" w:rsidR="00DE575E" w:rsidRDefault="00DE575E">
      <w:pPr>
        <w:pStyle w:val="BodyText"/>
        <w:rPr>
          <w:sz w:val="20"/>
        </w:rPr>
      </w:pPr>
    </w:p>
    <w:p w14:paraId="5084FFD6" w14:textId="77777777" w:rsidR="00DE575E" w:rsidRDefault="00DE575E">
      <w:pPr>
        <w:pStyle w:val="BodyText"/>
        <w:rPr>
          <w:sz w:val="20"/>
        </w:rPr>
      </w:pPr>
    </w:p>
    <w:p w14:paraId="1957964D" w14:textId="77777777" w:rsidR="00DE575E" w:rsidRDefault="00DE575E">
      <w:pPr>
        <w:pStyle w:val="BodyText"/>
        <w:rPr>
          <w:sz w:val="20"/>
        </w:rPr>
      </w:pPr>
    </w:p>
    <w:p w14:paraId="502DCE7B" w14:textId="77777777" w:rsidR="00DE575E" w:rsidRDefault="00DE575E">
      <w:pPr>
        <w:pStyle w:val="BodyText"/>
        <w:rPr>
          <w:sz w:val="20"/>
        </w:rPr>
      </w:pPr>
    </w:p>
    <w:p w14:paraId="08571B9B" w14:textId="77777777" w:rsidR="00DE575E" w:rsidRDefault="00DE575E">
      <w:pPr>
        <w:pStyle w:val="BodyText"/>
        <w:rPr>
          <w:sz w:val="20"/>
        </w:rPr>
      </w:pPr>
    </w:p>
    <w:p w14:paraId="10CAB166" w14:textId="77777777" w:rsidR="00DE575E" w:rsidRDefault="00DE575E">
      <w:pPr>
        <w:pStyle w:val="BodyText"/>
        <w:rPr>
          <w:sz w:val="20"/>
        </w:rPr>
      </w:pPr>
    </w:p>
    <w:p w14:paraId="4B045059" w14:textId="77777777" w:rsidR="00DE575E" w:rsidRDefault="00DE575E">
      <w:pPr>
        <w:pStyle w:val="BodyText"/>
        <w:rPr>
          <w:sz w:val="20"/>
        </w:rPr>
      </w:pPr>
    </w:p>
    <w:p w14:paraId="7F8B4C4E" w14:textId="77777777" w:rsidR="00DE575E" w:rsidRDefault="00DE575E">
      <w:pPr>
        <w:pStyle w:val="BodyText"/>
        <w:rPr>
          <w:sz w:val="29"/>
        </w:rPr>
      </w:pPr>
    </w:p>
    <w:p w14:paraId="1DFB54B5" w14:textId="77777777" w:rsidR="00DE575E" w:rsidRDefault="002E7560">
      <w:pPr>
        <w:spacing w:before="92"/>
        <w:ind w:right="411"/>
        <w:jc w:val="right"/>
        <w:rPr>
          <w:rFonts w:ascii="Times New Roman"/>
          <w:sz w:val="20"/>
        </w:rPr>
      </w:pPr>
      <w:r>
        <w:rPr>
          <w:rFonts w:ascii="Times New Roman"/>
          <w:color w:val="231F20"/>
          <w:w w:val="90"/>
          <w:sz w:val="20"/>
        </w:rPr>
        <w:t>207</w:t>
      </w:r>
    </w:p>
    <w:p w14:paraId="4DED6DB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8969D4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51DB066" w14:textId="59E8D1D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4FD5BAD" wp14:editId="29C3DC57">
                <wp:extent cx="4140200" cy="6350"/>
                <wp:effectExtent l="0" t="0" r="12700" b="6350"/>
                <wp:docPr id="890"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91" name="Line 89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10DA65" id="Group_x0020_88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JsH4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3+fJsH4CAACYBQAADgAA&#10;AAAAAAAAAAAAAAAsAgAAZHJzL2Uyb0RvYy54bWxQSwECLQAUAAYACAAAACEATKewkNkAAAADAQAA&#10;DwAAAAAAAAAAAAAAAADWBAAAZHJzL2Rvd25yZXYueG1sUEsFBgAAAAAEAAQA8wAAANwFAAAAAA==&#10;">
                <v:line id="Line_x0020_89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0vx8YAAADcAAAADwAAAGRycy9kb3ducmV2LnhtbESP0WrCQBRE3wX/YblCX0Q3VhAbXUUE&#10;Qfqg1vQDrtnbJHT3bsyuJu3XdwWhj8PMnGGW684acafGV44VTMYJCOLc6YoLBZ/ZbjQH4QOyRuOY&#10;FPyQh/Wq31tiql3LH3Q/h0JECPsUFZQh1KmUPi/Joh+7mjh6X66xGKJsCqkbbCPcGvmaJDNpseK4&#10;UGJN25Ly7/PNKsiuw2BOx3fTZsfLVF6uh+nv7aDUy6DbLEAE6sJ/+NneawXztw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A9L8fGAAAA3AAAAA8AAAAAAAAA&#10;AAAAAAAAoQIAAGRycy9kb3ducmV2LnhtbFBLBQYAAAAABAAEAPkAAACUAwAAAAA=&#10;" strokecolor="#231f20" strokeweight=".5pt"/>
                <w10:anchorlock/>
              </v:group>
            </w:pict>
          </mc:Fallback>
        </mc:AlternateContent>
      </w:r>
    </w:p>
    <w:p w14:paraId="4F050495" w14:textId="77777777" w:rsidR="00DE575E" w:rsidRDefault="00DE575E">
      <w:pPr>
        <w:pStyle w:val="BodyText"/>
        <w:rPr>
          <w:rFonts w:ascii="AdonisC"/>
          <w:i/>
          <w:sz w:val="18"/>
        </w:rPr>
      </w:pPr>
    </w:p>
    <w:p w14:paraId="0E8DA591" w14:textId="77777777" w:rsidR="00DE575E" w:rsidRDefault="002E7560">
      <w:pPr>
        <w:pStyle w:val="Heading2"/>
        <w:spacing w:before="1" w:line="300" w:lineRule="exact"/>
        <w:ind w:right="292"/>
        <w:jc w:val="center"/>
      </w:pPr>
      <w:r>
        <w:rPr>
          <w:color w:val="231F20"/>
        </w:rPr>
        <w:t>Розділ 7</w:t>
      </w:r>
    </w:p>
    <w:p w14:paraId="6B15728E" w14:textId="77777777" w:rsidR="00DE575E" w:rsidRDefault="002E7560">
      <w:pPr>
        <w:spacing w:before="23" w:line="218" w:lineRule="auto"/>
        <w:ind w:left="695" w:right="290"/>
        <w:jc w:val="center"/>
        <w:rPr>
          <w:b/>
          <w:sz w:val="16"/>
        </w:rPr>
      </w:pPr>
      <w:r>
        <w:rPr>
          <w:b/>
          <w:color w:val="231F20"/>
          <w:sz w:val="28"/>
        </w:rPr>
        <w:t>ІНСТРУМЕНТИ ПУБЛІЧНОГО АДМІНІСТРУВАННЯ</w:t>
      </w:r>
      <w:r>
        <w:rPr>
          <w:b/>
          <w:color w:val="231F20"/>
          <w:position w:val="9"/>
          <w:sz w:val="16"/>
        </w:rPr>
        <w:t>1</w:t>
      </w:r>
    </w:p>
    <w:p w14:paraId="30D8AB58" w14:textId="77777777" w:rsidR="00DE575E" w:rsidRDefault="00DE575E">
      <w:pPr>
        <w:pStyle w:val="BodyText"/>
        <w:spacing w:before="8"/>
        <w:rPr>
          <w:b/>
          <w:sz w:val="43"/>
        </w:rPr>
      </w:pPr>
    </w:p>
    <w:p w14:paraId="03322F41" w14:textId="77777777" w:rsidR="00DE575E" w:rsidRDefault="002E7560">
      <w:pPr>
        <w:pStyle w:val="Heading4"/>
        <w:ind w:left="889"/>
        <w:rPr>
          <w:sz w:val="13"/>
        </w:rPr>
      </w:pPr>
      <w:r>
        <w:rPr>
          <w:color w:val="231F20"/>
        </w:rPr>
        <w:t>7.1. Поняття інструмента публічного адміністрування</w:t>
      </w:r>
      <w:r>
        <w:rPr>
          <w:color w:val="231F20"/>
          <w:position w:val="7"/>
          <w:sz w:val="13"/>
        </w:rPr>
        <w:t>2</w:t>
      </w:r>
    </w:p>
    <w:p w14:paraId="374B93C0" w14:textId="77777777" w:rsidR="00DE575E" w:rsidRDefault="00DE575E">
      <w:pPr>
        <w:pStyle w:val="BodyText"/>
        <w:rPr>
          <w:b/>
          <w:sz w:val="26"/>
        </w:rPr>
      </w:pPr>
    </w:p>
    <w:p w14:paraId="696FFD00" w14:textId="77777777" w:rsidR="00DE575E" w:rsidRDefault="002E7560">
      <w:pPr>
        <w:pStyle w:val="BodyText"/>
        <w:spacing w:before="197" w:line="244" w:lineRule="auto"/>
        <w:ind w:left="533" w:right="128" w:firstLine="283"/>
        <w:jc w:val="both"/>
      </w:pPr>
      <w:r>
        <w:rPr>
          <w:color w:val="231F20"/>
        </w:rPr>
        <w:t>Установлення</w:t>
      </w:r>
      <w:r>
        <w:rPr>
          <w:color w:val="231F20"/>
          <w:spacing w:val="-10"/>
        </w:rPr>
        <w:t xml:space="preserve"> </w:t>
      </w:r>
      <w:r>
        <w:rPr>
          <w:color w:val="231F20"/>
        </w:rPr>
        <w:t>норм</w:t>
      </w:r>
      <w:r>
        <w:rPr>
          <w:color w:val="231F20"/>
          <w:spacing w:val="-10"/>
        </w:rPr>
        <w:t xml:space="preserve"> </w:t>
      </w:r>
      <w:r>
        <w:rPr>
          <w:color w:val="231F20"/>
        </w:rPr>
        <w:t>права</w:t>
      </w:r>
      <w:r>
        <w:rPr>
          <w:color w:val="231F20"/>
          <w:spacing w:val="-10"/>
        </w:rPr>
        <w:t xml:space="preserve"> </w:t>
      </w:r>
      <w:r>
        <w:rPr>
          <w:color w:val="231F20"/>
        </w:rPr>
        <w:t>для</w:t>
      </w:r>
      <w:r>
        <w:rPr>
          <w:color w:val="231F20"/>
          <w:spacing w:val="-10"/>
        </w:rPr>
        <w:t xml:space="preserve"> </w:t>
      </w:r>
      <w:r>
        <w:rPr>
          <w:color w:val="231F20"/>
        </w:rPr>
        <w:t>публічного</w:t>
      </w:r>
      <w:r>
        <w:rPr>
          <w:color w:val="231F20"/>
          <w:spacing w:val="-10"/>
        </w:rPr>
        <w:t xml:space="preserve"> </w:t>
      </w:r>
      <w:r>
        <w:rPr>
          <w:color w:val="231F20"/>
        </w:rPr>
        <w:t>адміністрування</w:t>
      </w:r>
      <w:r>
        <w:rPr>
          <w:color w:val="231F20"/>
          <w:spacing w:val="-10"/>
        </w:rPr>
        <w:t xml:space="preserve"> </w:t>
      </w:r>
      <w:r>
        <w:rPr>
          <w:color w:val="231F20"/>
        </w:rPr>
        <w:t>так</w:t>
      </w:r>
      <w:r>
        <w:rPr>
          <w:color w:val="231F20"/>
          <w:spacing w:val="-10"/>
        </w:rPr>
        <w:t xml:space="preserve"> </w:t>
      </w:r>
      <w:r>
        <w:rPr>
          <w:color w:val="231F20"/>
        </w:rPr>
        <w:t xml:space="preserve">би і залишилися не реалізованими благими намірами, якби в арсеналі </w:t>
      </w:r>
      <w:r>
        <w:rPr>
          <w:color w:val="231F20"/>
          <w:spacing w:val="-3"/>
        </w:rPr>
        <w:t xml:space="preserve">суб’єктів </w:t>
      </w:r>
      <w:r>
        <w:rPr>
          <w:color w:val="231F20"/>
        </w:rPr>
        <w:t xml:space="preserve">публічної адміністрації не </w:t>
      </w:r>
      <w:r>
        <w:rPr>
          <w:color w:val="231F20"/>
          <w:spacing w:val="-3"/>
        </w:rPr>
        <w:t xml:space="preserve">було </w:t>
      </w:r>
      <w:r>
        <w:rPr>
          <w:color w:val="231F20"/>
        </w:rPr>
        <w:t>належних правових інстру- ментів.</w:t>
      </w:r>
    </w:p>
    <w:p w14:paraId="0849C816" w14:textId="77777777" w:rsidR="00DE575E" w:rsidRDefault="002E7560">
      <w:pPr>
        <w:pStyle w:val="BodyText"/>
        <w:spacing w:line="244" w:lineRule="auto"/>
        <w:ind w:left="533" w:right="128" w:firstLine="283"/>
        <w:jc w:val="both"/>
      </w:pPr>
      <w:r>
        <w:rPr>
          <w:color w:val="231F20"/>
        </w:rPr>
        <w:t>Практично можна говорити, що як для теслі рубанок (тесляр- ський інструмент), так для суб’єкт</w:t>
      </w:r>
      <w:r>
        <w:rPr>
          <w:color w:val="231F20"/>
        </w:rPr>
        <w:t>а публічної адміністрації норма- тивно-правовий акт є професійним знаряддям праці.</w:t>
      </w:r>
    </w:p>
    <w:p w14:paraId="118DBABA" w14:textId="77777777" w:rsidR="00DE575E" w:rsidRDefault="002E7560">
      <w:pPr>
        <w:pStyle w:val="BodyText"/>
        <w:spacing w:line="244" w:lineRule="auto"/>
        <w:ind w:left="533" w:right="127" w:firstLine="283"/>
        <w:jc w:val="both"/>
      </w:pPr>
      <w:r>
        <w:rPr>
          <w:color w:val="231F20"/>
        </w:rPr>
        <w:t xml:space="preserve">Інструменти публічного адміністрування – це комплекс заходів, які використовують </w:t>
      </w:r>
      <w:r>
        <w:rPr>
          <w:color w:val="231F20"/>
          <w:spacing w:val="-3"/>
        </w:rPr>
        <w:t xml:space="preserve">суб’єкти </w:t>
      </w:r>
      <w:r>
        <w:rPr>
          <w:color w:val="231F20"/>
        </w:rPr>
        <w:t>публічного адміністрування з метою забезпечення</w:t>
      </w:r>
      <w:r>
        <w:rPr>
          <w:color w:val="231F20"/>
          <w:spacing w:val="-13"/>
        </w:rPr>
        <w:t xml:space="preserve"> </w:t>
      </w:r>
      <w:r>
        <w:rPr>
          <w:color w:val="231F20"/>
        </w:rPr>
        <w:t>(охорони)</w:t>
      </w:r>
      <w:r>
        <w:rPr>
          <w:color w:val="231F20"/>
          <w:spacing w:val="-13"/>
        </w:rPr>
        <w:t xml:space="preserve"> </w:t>
      </w:r>
      <w:r>
        <w:rPr>
          <w:color w:val="231F20"/>
        </w:rPr>
        <w:t>прав,</w:t>
      </w:r>
      <w:r>
        <w:rPr>
          <w:color w:val="231F20"/>
          <w:spacing w:val="-13"/>
        </w:rPr>
        <w:t xml:space="preserve"> </w:t>
      </w:r>
      <w:r>
        <w:rPr>
          <w:color w:val="231F20"/>
        </w:rPr>
        <w:t>свобод</w:t>
      </w:r>
      <w:r>
        <w:rPr>
          <w:color w:val="231F20"/>
          <w:spacing w:val="-13"/>
        </w:rPr>
        <w:t xml:space="preserve"> </w:t>
      </w:r>
      <w:r>
        <w:rPr>
          <w:color w:val="231F20"/>
        </w:rPr>
        <w:t>і</w:t>
      </w:r>
      <w:r>
        <w:rPr>
          <w:color w:val="231F20"/>
          <w:spacing w:val="-13"/>
        </w:rPr>
        <w:t xml:space="preserve"> </w:t>
      </w:r>
      <w:r>
        <w:rPr>
          <w:color w:val="231F20"/>
        </w:rPr>
        <w:t>законних</w:t>
      </w:r>
      <w:r>
        <w:rPr>
          <w:color w:val="231F20"/>
          <w:spacing w:val="-13"/>
        </w:rPr>
        <w:t xml:space="preserve"> </w:t>
      </w:r>
      <w:r>
        <w:rPr>
          <w:color w:val="231F20"/>
        </w:rPr>
        <w:t>інтересів</w:t>
      </w:r>
      <w:r>
        <w:rPr>
          <w:color w:val="231F20"/>
          <w:spacing w:val="-13"/>
        </w:rPr>
        <w:t xml:space="preserve"> </w:t>
      </w:r>
      <w:r>
        <w:rPr>
          <w:color w:val="231F20"/>
        </w:rPr>
        <w:t>приватних осіб публічного інтересу держави й суспільства</w:t>
      </w:r>
      <w:r>
        <w:rPr>
          <w:color w:val="231F20"/>
          <w:spacing w:val="-5"/>
        </w:rPr>
        <w:t xml:space="preserve"> </w:t>
      </w:r>
      <w:r>
        <w:rPr>
          <w:color w:val="231F20"/>
        </w:rPr>
        <w:t>загалом.</w:t>
      </w:r>
    </w:p>
    <w:p w14:paraId="05413708" w14:textId="77777777" w:rsidR="00DE575E" w:rsidRDefault="002E7560">
      <w:pPr>
        <w:spacing w:line="244" w:lineRule="auto"/>
        <w:ind w:left="533" w:right="128" w:firstLine="283"/>
        <w:jc w:val="both"/>
        <w:rPr>
          <w:i/>
          <w:sz w:val="21"/>
        </w:rPr>
      </w:pPr>
      <w:r>
        <w:rPr>
          <w:i/>
          <w:color w:val="231F20"/>
          <w:sz w:val="21"/>
        </w:rPr>
        <w:t>Інструменти публічного адміністрування характеризуються такими ознаками:</w:t>
      </w:r>
    </w:p>
    <w:p w14:paraId="31E8EFFF" w14:textId="77777777" w:rsidR="00DE575E" w:rsidRDefault="002E7560">
      <w:pPr>
        <w:pStyle w:val="ListParagraph"/>
        <w:numPr>
          <w:ilvl w:val="1"/>
          <w:numId w:val="213"/>
        </w:numPr>
        <w:tabs>
          <w:tab w:val="left" w:pos="1101"/>
        </w:tabs>
        <w:spacing w:before="0" w:line="244" w:lineRule="auto"/>
        <w:ind w:right="131" w:firstLine="284"/>
        <w:rPr>
          <w:sz w:val="21"/>
        </w:rPr>
      </w:pPr>
      <w:r>
        <w:rPr>
          <w:color w:val="231F20"/>
          <w:sz w:val="21"/>
        </w:rPr>
        <w:t>є зовнішнім виразом форми адміністративної діяльності публічної</w:t>
      </w:r>
      <w:r>
        <w:rPr>
          <w:color w:val="231F20"/>
          <w:spacing w:val="-1"/>
          <w:sz w:val="21"/>
        </w:rPr>
        <w:t xml:space="preserve"> </w:t>
      </w:r>
      <w:r>
        <w:rPr>
          <w:color w:val="231F20"/>
          <w:sz w:val="21"/>
        </w:rPr>
        <w:t>адміністрації;</w:t>
      </w:r>
    </w:p>
    <w:p w14:paraId="504BC50E" w14:textId="77777777" w:rsidR="00DE575E" w:rsidRDefault="002E7560">
      <w:pPr>
        <w:pStyle w:val="ListParagraph"/>
        <w:numPr>
          <w:ilvl w:val="1"/>
          <w:numId w:val="213"/>
        </w:numPr>
        <w:tabs>
          <w:tab w:val="left" w:pos="1101"/>
        </w:tabs>
        <w:spacing w:before="0" w:line="244" w:lineRule="auto"/>
        <w:ind w:right="128" w:firstLine="284"/>
        <w:rPr>
          <w:sz w:val="21"/>
        </w:rPr>
      </w:pPr>
      <w:r>
        <w:rPr>
          <w:color w:val="231F20"/>
          <w:sz w:val="21"/>
        </w:rPr>
        <w:t>віддзеркалюють правову динам</w:t>
      </w:r>
      <w:r>
        <w:rPr>
          <w:color w:val="231F20"/>
          <w:sz w:val="21"/>
        </w:rPr>
        <w:t>іку (адміністративну діяль- ність) публічного</w:t>
      </w:r>
      <w:r>
        <w:rPr>
          <w:color w:val="231F20"/>
          <w:spacing w:val="-1"/>
          <w:sz w:val="21"/>
        </w:rPr>
        <w:t xml:space="preserve"> </w:t>
      </w:r>
      <w:r>
        <w:rPr>
          <w:color w:val="231F20"/>
          <w:sz w:val="21"/>
        </w:rPr>
        <w:t>адміністрування;</w:t>
      </w:r>
    </w:p>
    <w:p w14:paraId="05D38581" w14:textId="77777777" w:rsidR="00DE575E" w:rsidRDefault="002E7560">
      <w:pPr>
        <w:pStyle w:val="ListParagraph"/>
        <w:numPr>
          <w:ilvl w:val="1"/>
          <w:numId w:val="213"/>
        </w:numPr>
        <w:tabs>
          <w:tab w:val="left" w:pos="1101"/>
        </w:tabs>
        <w:spacing w:before="0" w:line="244" w:lineRule="auto"/>
        <w:ind w:right="128" w:firstLine="284"/>
        <w:rPr>
          <w:sz w:val="21"/>
        </w:rPr>
      </w:pPr>
      <w:r>
        <w:rPr>
          <w:color w:val="231F20"/>
          <w:sz w:val="21"/>
        </w:rPr>
        <w:t xml:space="preserve">залежать від змісту компетенцій </w:t>
      </w:r>
      <w:r>
        <w:rPr>
          <w:color w:val="231F20"/>
          <w:spacing w:val="-3"/>
          <w:sz w:val="21"/>
        </w:rPr>
        <w:t xml:space="preserve">суб’єктів </w:t>
      </w:r>
      <w:r>
        <w:rPr>
          <w:color w:val="231F20"/>
          <w:sz w:val="21"/>
        </w:rPr>
        <w:t>публічної адмініст- рації;</w:t>
      </w:r>
    </w:p>
    <w:p w14:paraId="1EB54A0E" w14:textId="77777777" w:rsidR="00DE575E" w:rsidRDefault="002E7560">
      <w:pPr>
        <w:pStyle w:val="ListParagraph"/>
        <w:numPr>
          <w:ilvl w:val="1"/>
          <w:numId w:val="213"/>
        </w:numPr>
        <w:tabs>
          <w:tab w:val="left" w:pos="1101"/>
        </w:tabs>
        <w:spacing w:before="0" w:line="244" w:lineRule="auto"/>
        <w:ind w:right="127" w:firstLine="284"/>
        <w:rPr>
          <w:sz w:val="21"/>
        </w:rPr>
      </w:pPr>
      <w:r>
        <w:rPr>
          <w:color w:val="231F20"/>
          <w:sz w:val="21"/>
        </w:rPr>
        <w:t>Шїх вибір зумовлюється специфікою поставленої мети щодо певного</w:t>
      </w:r>
      <w:r>
        <w:rPr>
          <w:color w:val="231F20"/>
          <w:spacing w:val="-11"/>
          <w:sz w:val="21"/>
        </w:rPr>
        <w:t xml:space="preserve"> </w:t>
      </w:r>
      <w:r>
        <w:rPr>
          <w:color w:val="231F20"/>
          <w:spacing w:val="-4"/>
          <w:sz w:val="21"/>
        </w:rPr>
        <w:t>об’єкта</w:t>
      </w:r>
      <w:r>
        <w:rPr>
          <w:color w:val="231F20"/>
          <w:spacing w:val="-11"/>
          <w:sz w:val="21"/>
        </w:rPr>
        <w:t xml:space="preserve"> </w:t>
      </w:r>
      <w:r>
        <w:rPr>
          <w:color w:val="231F20"/>
          <w:sz w:val="21"/>
        </w:rPr>
        <w:t>публічного</w:t>
      </w:r>
      <w:r>
        <w:rPr>
          <w:color w:val="231F20"/>
          <w:spacing w:val="-11"/>
          <w:sz w:val="21"/>
        </w:rPr>
        <w:t xml:space="preserve"> </w:t>
      </w:r>
      <w:r>
        <w:rPr>
          <w:color w:val="231F20"/>
          <w:spacing w:val="-3"/>
          <w:sz w:val="21"/>
        </w:rPr>
        <w:t>впливу,</w:t>
      </w:r>
      <w:r>
        <w:rPr>
          <w:color w:val="231F20"/>
          <w:spacing w:val="-11"/>
          <w:sz w:val="21"/>
        </w:rPr>
        <w:t xml:space="preserve"> </w:t>
      </w:r>
      <w:r>
        <w:rPr>
          <w:color w:val="231F20"/>
          <w:sz w:val="21"/>
        </w:rPr>
        <w:t>що</w:t>
      </w:r>
      <w:r>
        <w:rPr>
          <w:color w:val="231F20"/>
          <w:spacing w:val="-11"/>
          <w:sz w:val="21"/>
        </w:rPr>
        <w:t xml:space="preserve"> </w:t>
      </w:r>
      <w:r>
        <w:rPr>
          <w:color w:val="231F20"/>
          <w:sz w:val="21"/>
        </w:rPr>
        <w:t>встановлює</w:t>
      </w:r>
      <w:r>
        <w:rPr>
          <w:color w:val="231F20"/>
          <w:spacing w:val="-11"/>
          <w:sz w:val="21"/>
        </w:rPr>
        <w:t xml:space="preserve"> </w:t>
      </w:r>
      <w:r>
        <w:rPr>
          <w:color w:val="231F20"/>
          <w:sz w:val="21"/>
        </w:rPr>
        <w:t>найкращий</w:t>
      </w:r>
      <w:r>
        <w:rPr>
          <w:color w:val="231F20"/>
          <w:spacing w:val="-11"/>
          <w:sz w:val="21"/>
        </w:rPr>
        <w:t xml:space="preserve"> </w:t>
      </w:r>
      <w:r>
        <w:rPr>
          <w:color w:val="231F20"/>
          <w:sz w:val="21"/>
        </w:rPr>
        <w:t>ефек- тивний варіант</w:t>
      </w:r>
      <w:r>
        <w:rPr>
          <w:color w:val="231F20"/>
          <w:spacing w:val="-3"/>
          <w:sz w:val="21"/>
        </w:rPr>
        <w:t xml:space="preserve"> </w:t>
      </w:r>
      <w:r>
        <w:rPr>
          <w:color w:val="231F20"/>
          <w:sz w:val="21"/>
        </w:rPr>
        <w:t>діяльності.</w:t>
      </w:r>
    </w:p>
    <w:p w14:paraId="2BE6CAA9" w14:textId="77777777" w:rsidR="00DE575E" w:rsidRDefault="002E7560">
      <w:pPr>
        <w:pStyle w:val="Heading5"/>
        <w:spacing w:line="244" w:lineRule="auto"/>
        <w:ind w:right="127" w:firstLine="283"/>
        <w:jc w:val="both"/>
      </w:pPr>
      <w:r>
        <w:rPr>
          <w:color w:val="231F20"/>
        </w:rPr>
        <w:t>Отже, інструмент публічного адміністрування – це зовніш- ній</w:t>
      </w:r>
      <w:r>
        <w:rPr>
          <w:color w:val="231F20"/>
          <w:spacing w:val="-5"/>
        </w:rPr>
        <w:t xml:space="preserve"> </w:t>
      </w:r>
      <w:r>
        <w:rPr>
          <w:color w:val="231F20"/>
        </w:rPr>
        <w:t>вираз</w:t>
      </w:r>
      <w:r>
        <w:rPr>
          <w:color w:val="231F20"/>
          <w:spacing w:val="-5"/>
        </w:rPr>
        <w:t xml:space="preserve"> </w:t>
      </w:r>
      <w:r>
        <w:rPr>
          <w:color w:val="231F20"/>
        </w:rPr>
        <w:t>однорідних</w:t>
      </w:r>
      <w:r>
        <w:rPr>
          <w:color w:val="231F20"/>
          <w:spacing w:val="-5"/>
        </w:rPr>
        <w:t xml:space="preserve"> </w:t>
      </w:r>
      <w:r>
        <w:rPr>
          <w:color w:val="231F20"/>
        </w:rPr>
        <w:t>за</w:t>
      </w:r>
      <w:r>
        <w:rPr>
          <w:color w:val="231F20"/>
          <w:spacing w:val="-6"/>
        </w:rPr>
        <w:t xml:space="preserve"> </w:t>
      </w:r>
      <w:r>
        <w:rPr>
          <w:color w:val="231F20"/>
        </w:rPr>
        <w:t>своїм</w:t>
      </w:r>
      <w:r>
        <w:rPr>
          <w:color w:val="231F20"/>
          <w:spacing w:val="-5"/>
        </w:rPr>
        <w:t xml:space="preserve"> </w:t>
      </w:r>
      <w:r>
        <w:rPr>
          <w:color w:val="231F20"/>
        </w:rPr>
        <w:t>характером</w:t>
      </w:r>
      <w:r>
        <w:rPr>
          <w:color w:val="231F20"/>
          <w:spacing w:val="-5"/>
        </w:rPr>
        <w:t xml:space="preserve"> </w:t>
      </w:r>
      <w:r>
        <w:rPr>
          <w:color w:val="231F20"/>
        </w:rPr>
        <w:t>і</w:t>
      </w:r>
      <w:r>
        <w:rPr>
          <w:color w:val="231F20"/>
          <w:spacing w:val="-8"/>
        </w:rPr>
        <w:t xml:space="preserve"> </w:t>
      </w:r>
      <w:r>
        <w:rPr>
          <w:color w:val="231F20"/>
        </w:rPr>
        <w:t>правовою</w:t>
      </w:r>
      <w:r>
        <w:rPr>
          <w:color w:val="231F20"/>
          <w:spacing w:val="-6"/>
        </w:rPr>
        <w:t xml:space="preserve"> </w:t>
      </w:r>
      <w:r>
        <w:rPr>
          <w:color w:val="231F20"/>
        </w:rPr>
        <w:t xml:space="preserve">природою груп адміністративних дій </w:t>
      </w:r>
      <w:r>
        <w:rPr>
          <w:color w:val="231F20"/>
          <w:spacing w:val="-3"/>
        </w:rPr>
        <w:t xml:space="preserve">суб’єктів </w:t>
      </w:r>
      <w:r>
        <w:rPr>
          <w:color w:val="231F20"/>
        </w:rPr>
        <w:t>публічної адміністрації, реалізований у межах відповідності визначено</w:t>
      </w:r>
      <w:r>
        <w:rPr>
          <w:color w:val="231F20"/>
        </w:rPr>
        <w:t>ї законом компе- тенції з метою досягнення бажаного публічного</w:t>
      </w:r>
      <w:r>
        <w:rPr>
          <w:color w:val="231F20"/>
          <w:spacing w:val="-13"/>
        </w:rPr>
        <w:t xml:space="preserve"> </w:t>
      </w:r>
      <w:r>
        <w:rPr>
          <w:color w:val="231F20"/>
          <w:spacing w:val="-5"/>
        </w:rPr>
        <w:t>результату.</w:t>
      </w:r>
    </w:p>
    <w:p w14:paraId="4FF98B7D" w14:textId="77777777" w:rsidR="00DE575E" w:rsidRDefault="00DE575E">
      <w:pPr>
        <w:pStyle w:val="BodyText"/>
        <w:rPr>
          <w:b/>
          <w:sz w:val="20"/>
        </w:rPr>
      </w:pPr>
    </w:p>
    <w:p w14:paraId="336908F0" w14:textId="1AB6E8E2" w:rsidR="00DE575E" w:rsidRDefault="002E7560">
      <w:pPr>
        <w:pStyle w:val="BodyText"/>
        <w:spacing w:before="10"/>
        <w:rPr>
          <w:b/>
          <w:sz w:val="13"/>
        </w:rPr>
      </w:pPr>
      <w:r>
        <w:rPr>
          <w:noProof/>
        </w:rPr>
        <mc:AlternateContent>
          <mc:Choice Requires="wps">
            <w:drawing>
              <wp:anchor distT="0" distB="0" distL="0" distR="0" simplePos="0" relativeHeight="8488" behindDoc="0" locked="0" layoutInCell="1" allowOverlap="1" wp14:anchorId="423E9AD4" wp14:editId="2BEC138E">
                <wp:simplePos x="0" y="0"/>
                <wp:positionH relativeFrom="page">
                  <wp:posOffset>719455</wp:posOffset>
                </wp:positionH>
                <wp:positionV relativeFrom="paragraph">
                  <wp:posOffset>131445</wp:posOffset>
                </wp:positionV>
                <wp:extent cx="1080135" cy="0"/>
                <wp:effectExtent l="8255" t="17145" r="29210" b="20955"/>
                <wp:wrapTopAndBottom/>
                <wp:docPr id="889"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BA34A" id="Line_x0020_888" o:spid="_x0000_s1026" style="position:absolute;z-index:8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5pt" to="141.7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" strokecolor="#231f20" strokeweight=".5pt">
                <w10:wrap type="topAndBottom" anchorx="page"/>
              </v:line>
            </w:pict>
          </mc:Fallback>
        </mc:AlternateContent>
      </w:r>
    </w:p>
    <w:p w14:paraId="5F88A073"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За загальною редакцією </w:t>
      </w:r>
      <w:r>
        <w:rPr>
          <w:b/>
          <w:color w:val="231F20"/>
          <w:sz w:val="16"/>
        </w:rPr>
        <w:t>Тетяни Коломоєць.</w:t>
      </w:r>
    </w:p>
    <w:p w14:paraId="17803DA3" w14:textId="77777777" w:rsidR="00DE575E" w:rsidRDefault="002E7560">
      <w:pPr>
        <w:spacing w:before="23" w:line="204" w:lineRule="auto"/>
        <w:ind w:left="533" w:right="128"/>
        <w:jc w:val="both"/>
        <w:rPr>
          <w:sz w:val="16"/>
        </w:rPr>
      </w:pPr>
      <w:r>
        <w:rPr>
          <w:color w:val="231F20"/>
          <w:position w:val="5"/>
          <w:sz w:val="9"/>
        </w:rPr>
        <w:t xml:space="preserve">2 </w:t>
      </w:r>
      <w:r>
        <w:rPr>
          <w:color w:val="231F20"/>
          <w:sz w:val="16"/>
        </w:rPr>
        <w:t xml:space="preserve">Категорію «інструмент публічного </w:t>
      </w:r>
      <w:r>
        <w:rPr>
          <w:color w:val="231F20"/>
          <w:spacing w:val="-3"/>
          <w:sz w:val="16"/>
        </w:rPr>
        <w:t xml:space="preserve">адміністрування» </w:t>
      </w:r>
      <w:r>
        <w:rPr>
          <w:color w:val="231F20"/>
          <w:sz w:val="16"/>
        </w:rPr>
        <w:t>уведено у вітчизняну теорію адмі- ністративного</w:t>
      </w:r>
      <w:r>
        <w:rPr>
          <w:color w:val="231F20"/>
          <w:spacing w:val="-15"/>
          <w:sz w:val="16"/>
        </w:rPr>
        <w:t xml:space="preserve"> </w:t>
      </w:r>
      <w:r>
        <w:rPr>
          <w:color w:val="231F20"/>
          <w:sz w:val="16"/>
        </w:rPr>
        <w:t>права</w:t>
      </w:r>
      <w:r>
        <w:rPr>
          <w:color w:val="231F20"/>
          <w:spacing w:val="-15"/>
          <w:sz w:val="16"/>
        </w:rPr>
        <w:t xml:space="preserve"> </w:t>
      </w:r>
      <w:r>
        <w:rPr>
          <w:color w:val="231F20"/>
          <w:sz w:val="16"/>
        </w:rPr>
        <w:t>професором</w:t>
      </w:r>
      <w:r>
        <w:rPr>
          <w:color w:val="231F20"/>
          <w:spacing w:val="-15"/>
          <w:sz w:val="16"/>
        </w:rPr>
        <w:t xml:space="preserve"> </w:t>
      </w:r>
      <w:r>
        <w:rPr>
          <w:b/>
          <w:color w:val="231F20"/>
          <w:spacing w:val="-12"/>
          <w:sz w:val="16"/>
        </w:rPr>
        <w:t>Р.</w:t>
      </w:r>
      <w:r>
        <w:rPr>
          <w:b/>
          <w:color w:val="231F20"/>
          <w:spacing w:val="-15"/>
          <w:sz w:val="16"/>
        </w:rPr>
        <w:t xml:space="preserve"> </w:t>
      </w:r>
      <w:r>
        <w:rPr>
          <w:b/>
          <w:color w:val="231F20"/>
          <w:spacing w:val="-3"/>
          <w:sz w:val="16"/>
        </w:rPr>
        <w:t>Мельником</w:t>
      </w:r>
      <w:r>
        <w:rPr>
          <w:color w:val="231F20"/>
          <w:spacing w:val="-3"/>
          <w:sz w:val="16"/>
        </w:rPr>
        <w:t>,</w:t>
      </w:r>
      <w:r>
        <w:rPr>
          <w:color w:val="231F20"/>
          <w:spacing w:val="-15"/>
          <w:sz w:val="16"/>
        </w:rPr>
        <w:t xml:space="preserve"> </w:t>
      </w:r>
      <w:r>
        <w:rPr>
          <w:color w:val="231F20"/>
          <w:sz w:val="16"/>
        </w:rPr>
        <w:t>див:</w:t>
      </w:r>
      <w:r>
        <w:rPr>
          <w:color w:val="231F20"/>
          <w:spacing w:val="-15"/>
          <w:sz w:val="16"/>
        </w:rPr>
        <w:t xml:space="preserve"> </w:t>
      </w:r>
      <w:r>
        <w:rPr>
          <w:color w:val="231F20"/>
          <w:sz w:val="16"/>
        </w:rPr>
        <w:t>Мельник</w:t>
      </w:r>
      <w:r>
        <w:rPr>
          <w:color w:val="231F20"/>
          <w:spacing w:val="-15"/>
          <w:sz w:val="16"/>
        </w:rPr>
        <w:t xml:space="preserve"> </w:t>
      </w:r>
      <w:r>
        <w:rPr>
          <w:color w:val="231F20"/>
          <w:spacing w:val="-11"/>
          <w:sz w:val="16"/>
        </w:rPr>
        <w:t>Р.</w:t>
      </w:r>
      <w:r>
        <w:rPr>
          <w:color w:val="231F20"/>
          <w:spacing w:val="-15"/>
          <w:sz w:val="16"/>
        </w:rPr>
        <w:t xml:space="preserve"> </w:t>
      </w:r>
      <w:r>
        <w:rPr>
          <w:color w:val="231F20"/>
          <w:sz w:val="16"/>
        </w:rPr>
        <w:t>Загальне</w:t>
      </w:r>
      <w:r>
        <w:rPr>
          <w:color w:val="231F20"/>
          <w:spacing w:val="-15"/>
          <w:sz w:val="16"/>
        </w:rPr>
        <w:t xml:space="preserve"> </w:t>
      </w:r>
      <w:r>
        <w:rPr>
          <w:color w:val="231F20"/>
          <w:sz w:val="16"/>
        </w:rPr>
        <w:t>адміністративне право</w:t>
      </w:r>
      <w:r>
        <w:rPr>
          <w:color w:val="231F20"/>
          <w:spacing w:val="-9"/>
          <w:sz w:val="16"/>
        </w:rPr>
        <w:t xml:space="preserve"> </w:t>
      </w:r>
      <w:r>
        <w:rPr>
          <w:color w:val="231F20"/>
          <w:sz w:val="16"/>
        </w:rPr>
        <w:t>в</w:t>
      </w:r>
      <w:r>
        <w:rPr>
          <w:color w:val="231F20"/>
          <w:spacing w:val="-9"/>
          <w:sz w:val="16"/>
        </w:rPr>
        <w:t xml:space="preserve"> </w:t>
      </w:r>
      <w:r>
        <w:rPr>
          <w:color w:val="231F20"/>
          <w:sz w:val="16"/>
        </w:rPr>
        <w:t>питаннях</w:t>
      </w:r>
      <w:r>
        <w:rPr>
          <w:color w:val="231F20"/>
          <w:spacing w:val="-9"/>
          <w:sz w:val="16"/>
        </w:rPr>
        <w:t xml:space="preserve"> </w:t>
      </w:r>
      <w:r>
        <w:rPr>
          <w:color w:val="231F20"/>
          <w:sz w:val="16"/>
        </w:rPr>
        <w:t>і</w:t>
      </w:r>
      <w:r>
        <w:rPr>
          <w:color w:val="231F20"/>
          <w:spacing w:val="-9"/>
          <w:sz w:val="16"/>
        </w:rPr>
        <w:t xml:space="preserve"> </w:t>
      </w:r>
      <w:r>
        <w:rPr>
          <w:color w:val="231F20"/>
          <w:sz w:val="16"/>
        </w:rPr>
        <w:t>відповідях</w:t>
      </w:r>
      <w:r>
        <w:rPr>
          <w:color w:val="231F20"/>
          <w:spacing w:val="-9"/>
          <w:sz w:val="16"/>
        </w:rPr>
        <w:t xml:space="preserve"> </w:t>
      </w:r>
      <w:r>
        <w:rPr>
          <w:color w:val="231F20"/>
          <w:sz w:val="16"/>
        </w:rPr>
        <w:t>:</w:t>
      </w:r>
      <w:r>
        <w:rPr>
          <w:color w:val="231F20"/>
          <w:spacing w:val="-9"/>
          <w:sz w:val="16"/>
        </w:rPr>
        <w:t xml:space="preserve"> </w:t>
      </w:r>
      <w:r>
        <w:rPr>
          <w:color w:val="231F20"/>
          <w:sz w:val="16"/>
        </w:rPr>
        <w:t>навчальний</w:t>
      </w:r>
      <w:r>
        <w:rPr>
          <w:color w:val="231F20"/>
          <w:spacing w:val="-9"/>
          <w:sz w:val="16"/>
        </w:rPr>
        <w:t xml:space="preserve"> </w:t>
      </w:r>
      <w:r>
        <w:rPr>
          <w:color w:val="231F20"/>
          <w:sz w:val="16"/>
        </w:rPr>
        <w:t>посібник.</w:t>
      </w:r>
      <w:r>
        <w:rPr>
          <w:color w:val="231F20"/>
          <w:spacing w:val="-9"/>
          <w:sz w:val="16"/>
        </w:rPr>
        <w:t xml:space="preserve"> </w:t>
      </w:r>
      <w:r>
        <w:rPr>
          <w:color w:val="231F20"/>
          <w:sz w:val="16"/>
        </w:rPr>
        <w:t>Київ:</w:t>
      </w:r>
      <w:r>
        <w:rPr>
          <w:color w:val="231F20"/>
          <w:spacing w:val="-9"/>
          <w:sz w:val="16"/>
        </w:rPr>
        <w:t xml:space="preserve"> </w:t>
      </w:r>
      <w:r>
        <w:rPr>
          <w:color w:val="231F20"/>
          <w:sz w:val="16"/>
        </w:rPr>
        <w:t>Юрінком</w:t>
      </w:r>
      <w:r>
        <w:rPr>
          <w:color w:val="231F20"/>
          <w:spacing w:val="-9"/>
          <w:sz w:val="16"/>
        </w:rPr>
        <w:t xml:space="preserve"> </w:t>
      </w:r>
      <w:r>
        <w:rPr>
          <w:color w:val="231F20"/>
          <w:sz w:val="16"/>
        </w:rPr>
        <w:t>Інтер,</w:t>
      </w:r>
      <w:r>
        <w:rPr>
          <w:color w:val="231F20"/>
          <w:spacing w:val="-9"/>
          <w:sz w:val="16"/>
        </w:rPr>
        <w:t xml:space="preserve"> </w:t>
      </w:r>
      <w:r>
        <w:rPr>
          <w:color w:val="231F20"/>
          <w:sz w:val="16"/>
        </w:rPr>
        <w:t>2018.</w:t>
      </w:r>
      <w:r>
        <w:rPr>
          <w:color w:val="231F20"/>
          <w:spacing w:val="-9"/>
          <w:sz w:val="16"/>
        </w:rPr>
        <w:t xml:space="preserve"> </w:t>
      </w:r>
      <w:r>
        <w:rPr>
          <w:color w:val="231F20"/>
          <w:sz w:val="16"/>
        </w:rPr>
        <w:t>308</w:t>
      </w:r>
      <w:r>
        <w:rPr>
          <w:color w:val="231F20"/>
          <w:spacing w:val="-9"/>
          <w:sz w:val="16"/>
        </w:rPr>
        <w:t xml:space="preserve"> </w:t>
      </w:r>
      <w:r>
        <w:rPr>
          <w:color w:val="231F20"/>
          <w:sz w:val="16"/>
        </w:rPr>
        <w:t>с.</w:t>
      </w:r>
    </w:p>
    <w:p w14:paraId="2DC9523C" w14:textId="77777777" w:rsidR="00DE575E" w:rsidRDefault="00DE575E">
      <w:pPr>
        <w:pStyle w:val="BodyText"/>
        <w:spacing w:before="6"/>
        <w:rPr>
          <w:sz w:val="12"/>
        </w:rPr>
      </w:pPr>
    </w:p>
    <w:p w14:paraId="1F648E3B" w14:textId="77777777" w:rsidR="00DE575E" w:rsidRDefault="002E7560">
      <w:pPr>
        <w:spacing w:before="91"/>
        <w:ind w:left="533"/>
        <w:rPr>
          <w:rFonts w:ascii="Times New Roman"/>
          <w:sz w:val="20"/>
        </w:rPr>
      </w:pPr>
      <w:r>
        <w:rPr>
          <w:rFonts w:ascii="Times New Roman"/>
          <w:color w:val="231F20"/>
          <w:sz w:val="20"/>
        </w:rPr>
        <w:t>208</w:t>
      </w:r>
    </w:p>
    <w:p w14:paraId="6FB13D61" w14:textId="77777777" w:rsidR="00DE575E" w:rsidRDefault="00DE575E">
      <w:pPr>
        <w:rPr>
          <w:rFonts w:ascii="Times New Roman"/>
          <w:sz w:val="20"/>
        </w:rPr>
        <w:sectPr w:rsidR="00DE575E">
          <w:pgSz w:w="8510" w:h="12760"/>
          <w:pgMar w:top="660" w:right="720" w:bottom="280" w:left="600" w:header="720" w:footer="720" w:gutter="0"/>
          <w:cols w:space="720"/>
        </w:sectPr>
      </w:pPr>
    </w:p>
    <w:p w14:paraId="7D8CAB2B"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188F976B" w14:textId="606F717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6C6A023" wp14:editId="11C8D3BB">
                <wp:extent cx="4140200" cy="6350"/>
                <wp:effectExtent l="0" t="0" r="12700" b="6350"/>
                <wp:docPr id="887"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88" name="Line 8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D97DB" id="Group_x0020_8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LssgfgAIAAJgFAAAO&#10;AAAAAAAAAAAAAAAAACwCAABkcnMvZTJvRG9jLnhtbFBLAQItABQABgAIAAAAIQBMp7CQ2QAAAAMB&#10;AAAPAAAAAAAAAAAAAAAAANgEAABkcnMvZG93bnJldi54bWxQSwUGAAAAAAQABADzAAAA3gUAAAAA&#10;">
                <v:line id="Line_x0020_8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4Qh8IAAADcAAAADwAAAGRycy9kb3ducmV2LnhtbERP3WrCMBS+H/gO4QjeDE1VGKUaRQRB&#10;vNDN+gDH5tgWk5PaRNvt6ZeLwS4/vv/lurdGvKj1tWMF00kCgrhwuuZSwSXfjVMQPiBrNI5JwTd5&#10;WK8Gb0vMtOv4i17nUIoYwj5DBVUITSalLyqy6CeuIY7czbUWQ4RtKXWLXQy3Rs6S5ENarDk2VNjQ&#10;tqLifn5aBfnjPZjP08F0+ek6l9fHcf7zPCo1GvabBYhAffgX/7n3WkGaxrXxTDw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N4Qh8IAAADcAAAADwAAAAAAAAAAAAAA&#10;AAChAgAAZHJzL2Rvd25yZXYueG1sUEsFBgAAAAAEAAQA+QAAAJADAAAAAA==&#10;" strokecolor="#231f20" strokeweight=".5pt"/>
                <w10:anchorlock/>
              </v:group>
            </w:pict>
          </mc:Fallback>
        </mc:AlternateContent>
      </w:r>
    </w:p>
    <w:p w14:paraId="57B0B504" w14:textId="77777777" w:rsidR="00DE575E" w:rsidRDefault="00DE575E">
      <w:pPr>
        <w:pStyle w:val="BodyText"/>
        <w:spacing w:before="3"/>
        <w:rPr>
          <w:rFonts w:ascii="AdonisC"/>
          <w:i/>
          <w:sz w:val="12"/>
        </w:rPr>
      </w:pPr>
    </w:p>
    <w:p w14:paraId="311D4FCB" w14:textId="77777777" w:rsidR="00DE575E" w:rsidRDefault="002E7560">
      <w:pPr>
        <w:pStyle w:val="Heading5"/>
        <w:numPr>
          <w:ilvl w:val="2"/>
          <w:numId w:val="210"/>
        </w:numPr>
        <w:tabs>
          <w:tab w:val="left" w:pos="1099"/>
        </w:tabs>
        <w:spacing w:before="100"/>
      </w:pPr>
      <w:r>
        <w:rPr>
          <w:color w:val="231F20"/>
        </w:rPr>
        <w:t>Види інструментів публічного</w:t>
      </w:r>
      <w:r>
        <w:rPr>
          <w:color w:val="231F20"/>
          <w:spacing w:val="-5"/>
        </w:rPr>
        <w:t xml:space="preserve"> </w:t>
      </w:r>
      <w:r>
        <w:rPr>
          <w:color w:val="231F20"/>
        </w:rPr>
        <w:t>адміністрування</w:t>
      </w:r>
    </w:p>
    <w:p w14:paraId="4C8AE374" w14:textId="77777777" w:rsidR="00DE575E" w:rsidRDefault="00DE575E">
      <w:pPr>
        <w:pStyle w:val="BodyText"/>
        <w:spacing w:before="8"/>
        <w:rPr>
          <w:b/>
          <w:sz w:val="22"/>
        </w:rPr>
      </w:pPr>
    </w:p>
    <w:p w14:paraId="0744C8A3" w14:textId="77777777" w:rsidR="00DE575E" w:rsidRDefault="002E7560">
      <w:pPr>
        <w:pStyle w:val="BodyText"/>
        <w:spacing w:line="249" w:lineRule="auto"/>
        <w:ind w:left="250" w:right="411" w:firstLine="283"/>
        <w:jc w:val="both"/>
      </w:pPr>
      <w:r>
        <w:rPr>
          <w:color w:val="231F20"/>
        </w:rPr>
        <w:t>В юридичній літературі існують два основних підходи до розкриття видів інструментів публічного адміністрування.</w:t>
      </w:r>
    </w:p>
    <w:p w14:paraId="74D1D37A" w14:textId="77777777" w:rsidR="00DE575E" w:rsidRDefault="002E7560">
      <w:pPr>
        <w:pStyle w:val="BodyText"/>
        <w:spacing w:line="249" w:lineRule="auto"/>
        <w:ind w:left="250" w:right="411" w:firstLine="283"/>
        <w:jc w:val="both"/>
      </w:pPr>
      <w:r>
        <w:rPr>
          <w:b/>
          <w:color w:val="231F20"/>
        </w:rPr>
        <w:t xml:space="preserve">Перший </w:t>
      </w:r>
      <w:r>
        <w:rPr>
          <w:color w:val="231F20"/>
        </w:rPr>
        <w:t xml:space="preserve">– </w:t>
      </w:r>
      <w:r>
        <w:rPr>
          <w:b/>
          <w:color w:val="231F20"/>
        </w:rPr>
        <w:t xml:space="preserve">вузький, </w:t>
      </w:r>
      <w:r>
        <w:rPr>
          <w:color w:val="231F20"/>
        </w:rPr>
        <w:t>який відстоюють Р. Мельник, С. Мосьон</w:t>
      </w:r>
      <w:r>
        <w:rPr>
          <w:color w:val="231F20"/>
        </w:rPr>
        <w:t>дз та ін., до їх складу відносячи інструменти, використання яких суб’єк- тами владних повноважень може бути прямо оскаржено в системі адміністративних судів згідно із КАСУ.</w:t>
      </w:r>
    </w:p>
    <w:p w14:paraId="30AAED5A" w14:textId="77777777" w:rsidR="00DE575E" w:rsidRDefault="002E7560">
      <w:pPr>
        <w:pStyle w:val="Heading5"/>
        <w:spacing w:line="249" w:lineRule="auto"/>
        <w:ind w:left="250" w:right="411" w:firstLine="283"/>
        <w:jc w:val="both"/>
      </w:pPr>
      <w:r>
        <w:rPr>
          <w:b w:val="0"/>
          <w:color w:val="231F20"/>
        </w:rPr>
        <w:t xml:space="preserve">А саме: </w:t>
      </w:r>
      <w:r>
        <w:rPr>
          <w:color w:val="231F20"/>
        </w:rPr>
        <w:t>видання нормативно-правових актів, видання індиві- дуальних актів, укладенн</w:t>
      </w:r>
      <w:r>
        <w:rPr>
          <w:color w:val="231F20"/>
        </w:rPr>
        <w:t xml:space="preserve">я адміністративних договорів, вико- ристання актів-планів </w:t>
      </w:r>
      <w:r>
        <w:rPr>
          <w:b w:val="0"/>
          <w:color w:val="231F20"/>
        </w:rPr>
        <w:t xml:space="preserve">та </w:t>
      </w:r>
      <w:r>
        <w:rPr>
          <w:color w:val="231F20"/>
        </w:rPr>
        <w:t>актів-дій.</w:t>
      </w:r>
    </w:p>
    <w:p w14:paraId="28605D41" w14:textId="77777777" w:rsidR="00DE575E" w:rsidRDefault="002E7560">
      <w:pPr>
        <w:spacing w:line="249" w:lineRule="auto"/>
        <w:ind w:left="250" w:right="413" w:firstLine="283"/>
        <w:jc w:val="both"/>
        <w:rPr>
          <w:sz w:val="21"/>
        </w:rPr>
      </w:pPr>
      <w:r>
        <w:rPr>
          <w:b/>
          <w:i/>
          <w:color w:val="231F20"/>
          <w:sz w:val="21"/>
        </w:rPr>
        <w:t xml:space="preserve">Нормативно-правові акти </w:t>
      </w:r>
      <w:r>
        <w:rPr>
          <w:color w:val="231F20"/>
          <w:sz w:val="21"/>
        </w:rPr>
        <w:t>органів публічної адміністрації характеризуються такими ознаками:</w:t>
      </w:r>
    </w:p>
    <w:p w14:paraId="13E64C00" w14:textId="77777777" w:rsidR="00DE575E" w:rsidRDefault="002E7560">
      <w:pPr>
        <w:pStyle w:val="BodyText"/>
        <w:spacing w:line="249"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 xml:space="preserve">видаються в установленому законом порядку органами публічної адміністрації та їх посадовими </w:t>
      </w:r>
      <w:r>
        <w:rPr>
          <w:color w:val="231F20"/>
        </w:rPr>
        <w:t>особами;</w:t>
      </w:r>
    </w:p>
    <w:p w14:paraId="04FE571F" w14:textId="77777777" w:rsidR="00DE575E" w:rsidRDefault="002E7560">
      <w:pPr>
        <w:pStyle w:val="BodyText"/>
        <w:spacing w:line="249"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утверджують адміністративно-правові норми – загально- обов’язкові правила поведінки);</w:t>
      </w:r>
    </w:p>
    <w:p w14:paraId="2C60FFCD" w14:textId="77777777" w:rsidR="00DE575E" w:rsidRDefault="002E7560">
      <w:pPr>
        <w:pStyle w:val="BodyText"/>
        <w:spacing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є неперсоніфікованими, тобто обов’язковими до невизначе- ного кола осіб і розраховані на багаторазове застосування.</w:t>
      </w:r>
    </w:p>
    <w:p w14:paraId="20423683" w14:textId="77777777" w:rsidR="00DE575E" w:rsidRDefault="002E7560">
      <w:pPr>
        <w:spacing w:before="92" w:line="228" w:lineRule="auto"/>
        <w:ind w:left="533" w:right="411" w:firstLine="283"/>
        <w:jc w:val="both"/>
        <w:rPr>
          <w:i/>
          <w:sz w:val="18"/>
        </w:rPr>
      </w:pPr>
      <w:r>
        <w:rPr>
          <w:i/>
          <w:color w:val="231F20"/>
          <w:sz w:val="18"/>
          <w:u w:val="single" w:color="231F20"/>
        </w:rPr>
        <w:t>Приклади</w:t>
      </w:r>
      <w:r>
        <w:rPr>
          <w:i/>
          <w:color w:val="231F20"/>
          <w:sz w:val="18"/>
        </w:rPr>
        <w:t>: Постанова Кабінету Міністрів України «Про затвердження Положення про санаторну школу»; Рішення Херсонської міської ради «Про встановлення ставки щодо сплати земельного податку».</w:t>
      </w:r>
    </w:p>
    <w:p w14:paraId="27320DAB" w14:textId="77777777" w:rsidR="00DE575E" w:rsidRDefault="002E7560">
      <w:pPr>
        <w:pStyle w:val="BodyText"/>
        <w:spacing w:before="133" w:line="252" w:lineRule="auto"/>
        <w:ind w:left="250" w:right="411" w:firstLine="283"/>
        <w:jc w:val="both"/>
      </w:pPr>
      <w:r>
        <w:rPr>
          <w:b/>
          <w:i/>
          <w:color w:val="231F20"/>
        </w:rPr>
        <w:t xml:space="preserve">Індивідуальний акт </w:t>
      </w:r>
      <w:r>
        <w:rPr>
          <w:color w:val="231F20"/>
        </w:rPr>
        <w:t xml:space="preserve">– будь-яке рішення органу публічної адмі- ністрації, яке </w:t>
      </w:r>
      <w:r>
        <w:rPr>
          <w:color w:val="231F20"/>
        </w:rPr>
        <w:t>має зовнішню спрямованість і приймається з метою врегулювання конкретного публічного випадку.</w:t>
      </w:r>
    </w:p>
    <w:p w14:paraId="464316F0" w14:textId="77777777" w:rsidR="00DE575E" w:rsidRDefault="002E7560">
      <w:pPr>
        <w:spacing w:before="93" w:line="228" w:lineRule="auto"/>
        <w:ind w:left="533" w:right="411" w:firstLine="283"/>
        <w:jc w:val="both"/>
        <w:rPr>
          <w:i/>
          <w:sz w:val="18"/>
        </w:rPr>
      </w:pPr>
      <w:r>
        <w:rPr>
          <w:i/>
          <w:color w:val="231F20"/>
          <w:sz w:val="18"/>
          <w:u w:val="single" w:color="231F20"/>
        </w:rPr>
        <w:t>Приклади</w:t>
      </w:r>
      <w:r>
        <w:rPr>
          <w:i/>
          <w:color w:val="231F20"/>
          <w:sz w:val="18"/>
        </w:rPr>
        <w:t>: Рішення керівника державної установи про притягнення поса- дової особи до дисциплінарної відповідальності; Рішення Державного депар- таменту інтелектуал</w:t>
      </w:r>
      <w:r>
        <w:rPr>
          <w:i/>
          <w:color w:val="231F20"/>
          <w:sz w:val="18"/>
        </w:rPr>
        <w:t>ьної власності про видачу патенту на винахід.</w:t>
      </w:r>
    </w:p>
    <w:p w14:paraId="16D3C969" w14:textId="77777777" w:rsidR="00DE575E" w:rsidRDefault="002E7560">
      <w:pPr>
        <w:pStyle w:val="BodyText"/>
        <w:spacing w:before="134" w:line="249" w:lineRule="auto"/>
        <w:ind w:left="250" w:right="410" w:firstLine="283"/>
        <w:jc w:val="both"/>
      </w:pPr>
      <w:r>
        <w:rPr>
          <w:b/>
          <w:i/>
          <w:color w:val="231F20"/>
        </w:rPr>
        <w:t>Адміністративний догові</w:t>
      </w:r>
      <w:r>
        <w:rPr>
          <w:b/>
          <w:color w:val="231F20"/>
        </w:rPr>
        <w:t xml:space="preserve">р </w:t>
      </w:r>
      <w:r>
        <w:rPr>
          <w:color w:val="231F20"/>
        </w:rPr>
        <w:t xml:space="preserve">– спільний правовий акт </w:t>
      </w:r>
      <w:r>
        <w:rPr>
          <w:color w:val="231F20"/>
          <w:spacing w:val="-3"/>
        </w:rPr>
        <w:t xml:space="preserve">суб’єктів </w:t>
      </w:r>
      <w:r>
        <w:rPr>
          <w:color w:val="231F20"/>
        </w:rPr>
        <w:t xml:space="preserve">владних повноважень або правовий акт за участю </w:t>
      </w:r>
      <w:r>
        <w:rPr>
          <w:color w:val="231F20"/>
          <w:spacing w:val="-3"/>
        </w:rPr>
        <w:t xml:space="preserve">суб’єкта </w:t>
      </w:r>
      <w:r>
        <w:rPr>
          <w:color w:val="231F20"/>
        </w:rPr>
        <w:t xml:space="preserve">владних повноважень та іншої особи, що ґрунтується на їх волеузгодженні, має форму </w:t>
      </w:r>
      <w:r>
        <w:rPr>
          <w:color w:val="231F20"/>
          <w:spacing w:val="-3"/>
        </w:rPr>
        <w:t xml:space="preserve">договору, </w:t>
      </w:r>
      <w:r>
        <w:rPr>
          <w:color w:val="231F20"/>
        </w:rPr>
        <w:t>уг</w:t>
      </w:r>
      <w:r>
        <w:rPr>
          <w:color w:val="231F20"/>
        </w:rPr>
        <w:t xml:space="preserve">оди, </w:t>
      </w:r>
      <w:r>
        <w:rPr>
          <w:color w:val="231F20"/>
          <w:spacing w:val="-3"/>
        </w:rPr>
        <w:t xml:space="preserve">протоколу, </w:t>
      </w:r>
      <w:r>
        <w:rPr>
          <w:color w:val="231F20"/>
        </w:rPr>
        <w:t>меморандуму тощо, визначає взаємні</w:t>
      </w:r>
      <w:r>
        <w:rPr>
          <w:color w:val="231F20"/>
          <w:spacing w:val="-10"/>
        </w:rPr>
        <w:t xml:space="preserve"> </w:t>
      </w:r>
      <w:r>
        <w:rPr>
          <w:color w:val="231F20"/>
        </w:rPr>
        <w:t>права</w:t>
      </w:r>
      <w:r>
        <w:rPr>
          <w:color w:val="231F20"/>
          <w:spacing w:val="-11"/>
        </w:rPr>
        <w:t xml:space="preserve"> </w:t>
      </w:r>
      <w:r>
        <w:rPr>
          <w:color w:val="231F20"/>
        </w:rPr>
        <w:t>та</w:t>
      </w:r>
      <w:r>
        <w:rPr>
          <w:color w:val="231F20"/>
          <w:spacing w:val="-10"/>
        </w:rPr>
        <w:t xml:space="preserve"> </w:t>
      </w:r>
      <w:r>
        <w:rPr>
          <w:color w:val="231F20"/>
        </w:rPr>
        <w:t>обов’язки</w:t>
      </w:r>
      <w:r>
        <w:rPr>
          <w:color w:val="231F20"/>
          <w:spacing w:val="-11"/>
        </w:rPr>
        <w:t xml:space="preserve"> </w:t>
      </w:r>
      <w:r>
        <w:rPr>
          <w:color w:val="231F20"/>
        </w:rPr>
        <w:t>його</w:t>
      </w:r>
      <w:r>
        <w:rPr>
          <w:color w:val="231F20"/>
          <w:spacing w:val="-10"/>
        </w:rPr>
        <w:t xml:space="preserve"> </w:t>
      </w:r>
      <w:r>
        <w:rPr>
          <w:color w:val="231F20"/>
        </w:rPr>
        <w:t>учасників</w:t>
      </w:r>
      <w:r>
        <w:rPr>
          <w:color w:val="231F20"/>
          <w:spacing w:val="-11"/>
        </w:rPr>
        <w:t xml:space="preserve"> </w:t>
      </w:r>
      <w:r>
        <w:rPr>
          <w:color w:val="231F20"/>
        </w:rPr>
        <w:t>у</w:t>
      </w:r>
      <w:r>
        <w:rPr>
          <w:color w:val="231F20"/>
          <w:spacing w:val="-11"/>
        </w:rPr>
        <w:t xml:space="preserve"> </w:t>
      </w:r>
      <w:r>
        <w:rPr>
          <w:color w:val="231F20"/>
        </w:rPr>
        <w:t>публічно-правовій</w:t>
      </w:r>
      <w:r>
        <w:rPr>
          <w:color w:val="231F20"/>
          <w:spacing w:val="-11"/>
        </w:rPr>
        <w:t xml:space="preserve"> </w:t>
      </w:r>
      <w:r>
        <w:rPr>
          <w:color w:val="231F20"/>
        </w:rPr>
        <w:t>сфері й укладається на підставі</w:t>
      </w:r>
      <w:r>
        <w:rPr>
          <w:color w:val="231F20"/>
          <w:spacing w:val="-3"/>
        </w:rPr>
        <w:t xml:space="preserve"> </w:t>
      </w:r>
      <w:r>
        <w:rPr>
          <w:color w:val="231F20"/>
        </w:rPr>
        <w:t>закону</w:t>
      </w:r>
      <w:r>
        <w:rPr>
          <w:color w:val="231F20"/>
          <w:position w:val="7"/>
          <w:sz w:val="12"/>
        </w:rPr>
        <w:t>1</w:t>
      </w:r>
      <w:r>
        <w:rPr>
          <w:color w:val="231F20"/>
        </w:rPr>
        <w:t>.</w:t>
      </w:r>
    </w:p>
    <w:p w14:paraId="55E27AEA" w14:textId="77777777" w:rsidR="00DE575E" w:rsidRDefault="002E7560">
      <w:pPr>
        <w:spacing w:before="94" w:line="228" w:lineRule="auto"/>
        <w:ind w:left="533" w:right="411" w:firstLine="283"/>
        <w:jc w:val="both"/>
        <w:rPr>
          <w:i/>
          <w:sz w:val="18"/>
        </w:rPr>
      </w:pPr>
      <w:r>
        <w:rPr>
          <w:i/>
          <w:color w:val="231F20"/>
          <w:sz w:val="18"/>
          <w:u w:val="single" w:color="231F20"/>
        </w:rPr>
        <w:t>Приклад</w:t>
      </w:r>
      <w:r>
        <w:rPr>
          <w:i/>
          <w:color w:val="231F20"/>
          <w:sz w:val="18"/>
        </w:rPr>
        <w:t>: Договір між районної радою та районної державною адміні- страцією щодо виконання спільної програми со</w:t>
      </w:r>
      <w:r>
        <w:rPr>
          <w:i/>
          <w:color w:val="231F20"/>
          <w:sz w:val="18"/>
        </w:rPr>
        <w:t>ціального та економічного розвитку району.</w:t>
      </w:r>
    </w:p>
    <w:p w14:paraId="6C923E91" w14:textId="7B3D5BEF" w:rsidR="00DE575E" w:rsidRDefault="002E7560">
      <w:pPr>
        <w:pStyle w:val="BodyText"/>
        <w:spacing w:before="6"/>
        <w:rPr>
          <w:i/>
          <w:sz w:val="28"/>
        </w:rPr>
      </w:pPr>
      <w:r>
        <w:rPr>
          <w:noProof/>
        </w:rPr>
        <mc:AlternateContent>
          <mc:Choice Requires="wps">
            <w:drawing>
              <wp:anchor distT="0" distB="0" distL="0" distR="0" simplePos="0" relativeHeight="8536" behindDoc="0" locked="0" layoutInCell="1" allowOverlap="1" wp14:anchorId="6B2F59AA" wp14:editId="6BA6DB71">
                <wp:simplePos x="0" y="0"/>
                <wp:positionH relativeFrom="page">
                  <wp:posOffset>539750</wp:posOffset>
                </wp:positionH>
                <wp:positionV relativeFrom="paragraph">
                  <wp:posOffset>240665</wp:posOffset>
                </wp:positionV>
                <wp:extent cx="1080135" cy="0"/>
                <wp:effectExtent l="6350" t="12065" r="31115" b="26035"/>
                <wp:wrapTopAndBottom/>
                <wp:docPr id="886"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51BD4" id="Line_x0020_885" o:spid="_x0000_s1026" style="position:absolute;z-index:8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95pt" to="127.55pt,1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" strokecolor="#231f20" strokeweight=".5pt">
                <w10:wrap type="topAndBottom" anchorx="page"/>
              </v:line>
            </w:pict>
          </mc:Fallback>
        </mc:AlternateContent>
      </w:r>
    </w:p>
    <w:p w14:paraId="41773F88" w14:textId="77777777" w:rsidR="00DE575E" w:rsidRDefault="002E7560">
      <w:pPr>
        <w:spacing w:line="162" w:lineRule="exact"/>
        <w:ind w:left="250"/>
        <w:rPr>
          <w:sz w:val="16"/>
        </w:rPr>
      </w:pPr>
      <w:r>
        <w:rPr>
          <w:color w:val="231F20"/>
          <w:position w:val="5"/>
          <w:sz w:val="9"/>
        </w:rPr>
        <w:t xml:space="preserve">1 </w:t>
      </w:r>
      <w:r>
        <w:rPr>
          <w:color w:val="231F20"/>
          <w:sz w:val="16"/>
        </w:rPr>
        <w:t>Ст. 4 КАСУ.</w:t>
      </w:r>
    </w:p>
    <w:p w14:paraId="16CD0BD1" w14:textId="77777777" w:rsidR="00DE575E" w:rsidRDefault="00DE575E">
      <w:pPr>
        <w:pStyle w:val="BodyText"/>
        <w:spacing w:before="10"/>
        <w:rPr>
          <w:sz w:val="11"/>
        </w:rPr>
      </w:pPr>
    </w:p>
    <w:p w14:paraId="534B085F" w14:textId="77777777" w:rsidR="00DE575E" w:rsidRDefault="002E7560">
      <w:pPr>
        <w:spacing w:before="92"/>
        <w:ind w:right="411"/>
        <w:jc w:val="right"/>
        <w:rPr>
          <w:rFonts w:ascii="Times New Roman"/>
          <w:sz w:val="20"/>
        </w:rPr>
      </w:pPr>
      <w:r>
        <w:rPr>
          <w:rFonts w:ascii="Times New Roman"/>
          <w:color w:val="231F20"/>
          <w:w w:val="90"/>
          <w:sz w:val="20"/>
        </w:rPr>
        <w:t>209</w:t>
      </w:r>
    </w:p>
    <w:p w14:paraId="008D0E3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E67F8F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5C6645C" w14:textId="08C0FFD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28FD0FC" wp14:editId="3ABD3C59">
                <wp:extent cx="4140200" cy="6350"/>
                <wp:effectExtent l="0" t="0" r="12700" b="6350"/>
                <wp:docPr id="884"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85" name="Line 88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5AA5F" id="Group_x0020_88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1zsr1/AgAAmAUAAA4A&#10;AAAAAAAAAAAAAAAALAIAAGRycy9lMm9Eb2MueG1sUEsBAi0AFAAGAAgAAAAhAEynsJDZAAAAAwEA&#10;AA8AAAAAAAAAAAAAAAAA1wQAAGRycy9kb3ducmV2LnhtbFBLBQYAAAAABAAEAPMAAADdBQAAAAA=&#10;">
                <v:line id="Line_x0020_88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cYAAADcAAAADwAAAGRycy9kb3ducmV2LnhtbESP3WrCQBSE7wt9h+UUvJG6saKE1FVE&#10;EIoX/sUHOGZPk9DdszG7mrRP3y0IvRxm5htmvuytEXdqfe1YwXiUgCAunK65VHDON68pCB+QNRrH&#10;pOCbPCwXz09zzLTr+Ej3UyhFhLDPUEEVQpNJ6YuKLPqRa4ij9+laiyHKtpS6xS7CrZFvSTKTFmuO&#10;CxU2tK6o+DrdrIL8OgzmsN+aLt9fJvJy3U1+bjulBi/96h1EoD78hx/tD60gTaf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fvxnGAAAA3AAAAA8AAAAAAAAA&#10;AAAAAAAAoQIAAGRycy9kb3ducmV2LnhtbFBLBQYAAAAABAAEAPkAAACUAwAAAAA=&#10;" strokecolor="#231f20" strokeweight=".5pt"/>
                <w10:anchorlock/>
              </v:group>
            </w:pict>
          </mc:Fallback>
        </mc:AlternateContent>
      </w:r>
    </w:p>
    <w:p w14:paraId="1704F9D0" w14:textId="77777777" w:rsidR="00DE575E" w:rsidRDefault="00DE575E">
      <w:pPr>
        <w:pStyle w:val="BodyText"/>
        <w:spacing w:before="7"/>
        <w:rPr>
          <w:rFonts w:ascii="AdonisC"/>
          <w:i/>
          <w:sz w:val="11"/>
        </w:rPr>
      </w:pPr>
    </w:p>
    <w:p w14:paraId="34F0529E" w14:textId="77777777" w:rsidR="00DE575E" w:rsidRDefault="002E7560">
      <w:pPr>
        <w:pStyle w:val="BodyText"/>
        <w:spacing w:before="101" w:line="254" w:lineRule="auto"/>
        <w:ind w:left="533" w:right="125" w:firstLine="283"/>
        <w:jc w:val="both"/>
      </w:pPr>
      <w:r>
        <w:rPr>
          <w:b/>
          <w:i/>
          <w:color w:val="231F20"/>
        </w:rPr>
        <w:t xml:space="preserve">Акти-дії </w:t>
      </w:r>
      <w:r>
        <w:rPr>
          <w:color w:val="231F20"/>
        </w:rPr>
        <w:t>– це дії, які вчиняються органами публічної адмініст- рації у межах своєї компетенції на підставі адміністративно-право- вих норм для вирішення конкретної ситуації і не спрямовані на виникнення, зміну та припин</w:t>
      </w:r>
      <w:r>
        <w:rPr>
          <w:color w:val="231F20"/>
        </w:rPr>
        <w:t>ення адміністративно-правових відносин</w:t>
      </w:r>
      <w:r>
        <w:rPr>
          <w:color w:val="231F20"/>
          <w:position w:val="7"/>
          <w:sz w:val="12"/>
        </w:rPr>
        <w:t>1</w:t>
      </w:r>
      <w:r>
        <w:rPr>
          <w:color w:val="231F20"/>
        </w:rPr>
        <w:t>.</w:t>
      </w:r>
    </w:p>
    <w:p w14:paraId="029E37C4" w14:textId="77777777" w:rsidR="00DE575E" w:rsidRDefault="002E7560">
      <w:pPr>
        <w:spacing w:before="93" w:line="244" w:lineRule="auto"/>
        <w:ind w:left="817" w:firstLine="283"/>
        <w:rPr>
          <w:i/>
          <w:sz w:val="18"/>
        </w:rPr>
      </w:pPr>
      <w:r>
        <w:rPr>
          <w:i/>
          <w:color w:val="231F20"/>
          <w:sz w:val="18"/>
          <w:u w:val="single" w:color="231F20"/>
        </w:rPr>
        <w:t>Приклад</w:t>
      </w:r>
      <w:r>
        <w:rPr>
          <w:i/>
          <w:color w:val="231F20"/>
          <w:sz w:val="18"/>
        </w:rPr>
        <w:t>: Надання відповіді міським головою громадській організації про очищення вулиць на її запит</w:t>
      </w:r>
      <w:r>
        <w:rPr>
          <w:i/>
          <w:color w:val="231F20"/>
          <w:position w:val="6"/>
          <w:sz w:val="10"/>
        </w:rPr>
        <w:t>2</w:t>
      </w:r>
      <w:r>
        <w:rPr>
          <w:i/>
          <w:color w:val="231F20"/>
          <w:sz w:val="18"/>
        </w:rPr>
        <w:t>.</w:t>
      </w:r>
    </w:p>
    <w:p w14:paraId="0ACE0ECE" w14:textId="77777777" w:rsidR="00DE575E" w:rsidRDefault="002E7560">
      <w:pPr>
        <w:pStyle w:val="BodyText"/>
        <w:spacing w:before="130" w:line="254" w:lineRule="auto"/>
        <w:ind w:left="533" w:right="125" w:firstLine="283"/>
        <w:jc w:val="both"/>
      </w:pPr>
      <w:r>
        <w:rPr>
          <w:b/>
          <w:color w:val="231F20"/>
        </w:rPr>
        <w:t xml:space="preserve">Другий  </w:t>
      </w:r>
      <w:r>
        <w:rPr>
          <w:color w:val="231F20"/>
        </w:rPr>
        <w:t xml:space="preserve">–   </w:t>
      </w:r>
      <w:r>
        <w:rPr>
          <w:b/>
          <w:color w:val="231F20"/>
        </w:rPr>
        <w:t>широкий</w:t>
      </w:r>
      <w:r>
        <w:rPr>
          <w:color w:val="231F20"/>
        </w:rPr>
        <w:t>,   прихильниками   якого   є   В. Галунько,   О. Правоторова та ін., які до складу інструменті</w:t>
      </w:r>
      <w:r>
        <w:rPr>
          <w:color w:val="231F20"/>
        </w:rPr>
        <w:t>в публічного адмі- ністрування відносять широке коло елементарних і комплексних заходів (способів) адміністративної діяльності публічної адмініст- рації.</w:t>
      </w:r>
    </w:p>
    <w:p w14:paraId="1E1ABBF3" w14:textId="77777777" w:rsidR="00DE575E" w:rsidRDefault="002E7560">
      <w:pPr>
        <w:pStyle w:val="BodyText"/>
        <w:spacing w:line="254" w:lineRule="auto"/>
        <w:ind w:left="533" w:right="127" w:firstLine="283"/>
        <w:jc w:val="both"/>
      </w:pPr>
      <w:r>
        <w:rPr>
          <w:color w:val="231F20"/>
        </w:rPr>
        <w:t xml:space="preserve">На їх погляд, </w:t>
      </w:r>
      <w:r>
        <w:rPr>
          <w:color w:val="231F20"/>
          <w:spacing w:val="-3"/>
        </w:rPr>
        <w:t xml:space="preserve">суб’єкти </w:t>
      </w:r>
      <w:r>
        <w:rPr>
          <w:color w:val="231F20"/>
        </w:rPr>
        <w:t>публічної адміністрації в процесі надання адміністративних</w:t>
      </w:r>
      <w:r>
        <w:rPr>
          <w:color w:val="231F20"/>
          <w:spacing w:val="-14"/>
        </w:rPr>
        <w:t xml:space="preserve"> </w:t>
      </w:r>
      <w:r>
        <w:rPr>
          <w:color w:val="231F20"/>
        </w:rPr>
        <w:t>послуг</w:t>
      </w:r>
      <w:r>
        <w:rPr>
          <w:color w:val="231F20"/>
          <w:spacing w:val="-15"/>
        </w:rPr>
        <w:t xml:space="preserve"> </w:t>
      </w:r>
      <w:r>
        <w:rPr>
          <w:color w:val="231F20"/>
        </w:rPr>
        <w:t>і</w:t>
      </w:r>
      <w:r>
        <w:rPr>
          <w:color w:val="231F20"/>
          <w:spacing w:val="-14"/>
        </w:rPr>
        <w:t xml:space="preserve"> </w:t>
      </w:r>
      <w:r>
        <w:rPr>
          <w:color w:val="231F20"/>
        </w:rPr>
        <w:t>здійснення</w:t>
      </w:r>
      <w:r>
        <w:rPr>
          <w:color w:val="231F20"/>
          <w:spacing w:val="-15"/>
        </w:rPr>
        <w:t xml:space="preserve"> </w:t>
      </w:r>
      <w:r>
        <w:rPr>
          <w:color w:val="231F20"/>
        </w:rPr>
        <w:t>виконавчо-розпорядчої</w:t>
      </w:r>
      <w:r>
        <w:rPr>
          <w:color w:val="231F20"/>
          <w:spacing w:val="-14"/>
        </w:rPr>
        <w:t xml:space="preserve"> </w:t>
      </w:r>
      <w:r>
        <w:rPr>
          <w:color w:val="231F20"/>
        </w:rPr>
        <w:t>діяль- ності з метою забезпечення публічного інтересу відповідно до своєї компетенції можуть застосовувати такий арсенал інструментів публічного</w:t>
      </w:r>
      <w:r>
        <w:rPr>
          <w:color w:val="231F20"/>
          <w:spacing w:val="-1"/>
        </w:rPr>
        <w:t xml:space="preserve"> </w:t>
      </w:r>
      <w:r>
        <w:rPr>
          <w:color w:val="231F20"/>
        </w:rPr>
        <w:t>адміністрування:</w:t>
      </w:r>
    </w:p>
    <w:p w14:paraId="02A90BD9" w14:textId="77777777" w:rsidR="00DE575E" w:rsidRDefault="002E7560">
      <w:pPr>
        <w:pStyle w:val="Heading5"/>
        <w:numPr>
          <w:ilvl w:val="0"/>
          <w:numId w:val="209"/>
        </w:numPr>
        <w:tabs>
          <w:tab w:val="left" w:pos="1101"/>
        </w:tabs>
        <w:spacing w:line="241" w:lineRule="exact"/>
        <w:ind w:hanging="283"/>
      </w:pPr>
      <w:r>
        <w:rPr>
          <w:color w:val="231F20"/>
        </w:rPr>
        <w:t>Форми публічного</w:t>
      </w:r>
      <w:r>
        <w:rPr>
          <w:color w:val="231F20"/>
          <w:spacing w:val="-3"/>
        </w:rPr>
        <w:t xml:space="preserve"> </w:t>
      </w:r>
      <w:r>
        <w:rPr>
          <w:color w:val="231F20"/>
        </w:rPr>
        <w:t>адміністрування:</w:t>
      </w:r>
    </w:p>
    <w:p w14:paraId="2A383F5D" w14:textId="77777777" w:rsidR="00DE575E" w:rsidRDefault="002E7560">
      <w:pPr>
        <w:pStyle w:val="ListParagraph"/>
        <w:numPr>
          <w:ilvl w:val="1"/>
          <w:numId w:val="209"/>
        </w:numPr>
        <w:tabs>
          <w:tab w:val="left" w:pos="1385"/>
        </w:tabs>
        <w:spacing w:before="9"/>
        <w:jc w:val="left"/>
        <w:rPr>
          <w:sz w:val="21"/>
        </w:rPr>
      </w:pPr>
      <w:r>
        <w:rPr>
          <w:color w:val="231F20"/>
          <w:sz w:val="21"/>
        </w:rPr>
        <w:t>видання нормативно-правових</w:t>
      </w:r>
      <w:r>
        <w:rPr>
          <w:color w:val="231F20"/>
          <w:spacing w:val="-3"/>
          <w:sz w:val="21"/>
        </w:rPr>
        <w:t xml:space="preserve"> </w:t>
      </w:r>
      <w:r>
        <w:rPr>
          <w:color w:val="231F20"/>
          <w:sz w:val="21"/>
        </w:rPr>
        <w:t>актів;</w:t>
      </w:r>
    </w:p>
    <w:p w14:paraId="4AE3A578" w14:textId="77777777" w:rsidR="00DE575E" w:rsidRDefault="002E7560">
      <w:pPr>
        <w:pStyle w:val="ListParagraph"/>
        <w:numPr>
          <w:ilvl w:val="1"/>
          <w:numId w:val="209"/>
        </w:numPr>
        <w:tabs>
          <w:tab w:val="left" w:pos="1385"/>
        </w:tabs>
        <w:spacing w:before="14"/>
        <w:jc w:val="left"/>
        <w:rPr>
          <w:sz w:val="21"/>
        </w:rPr>
      </w:pPr>
      <w:r>
        <w:rPr>
          <w:color w:val="231F20"/>
          <w:sz w:val="21"/>
        </w:rPr>
        <w:t>вид</w:t>
      </w:r>
      <w:r>
        <w:rPr>
          <w:color w:val="231F20"/>
          <w:sz w:val="21"/>
        </w:rPr>
        <w:t>ання індивідуальних адміністративних</w:t>
      </w:r>
      <w:r>
        <w:rPr>
          <w:color w:val="231F20"/>
          <w:spacing w:val="-6"/>
          <w:sz w:val="21"/>
        </w:rPr>
        <w:t xml:space="preserve"> </w:t>
      </w:r>
      <w:r>
        <w:rPr>
          <w:color w:val="231F20"/>
          <w:sz w:val="21"/>
        </w:rPr>
        <w:t>актів;</w:t>
      </w:r>
    </w:p>
    <w:p w14:paraId="1A4FDB27" w14:textId="77777777" w:rsidR="00DE575E" w:rsidRDefault="002E7560">
      <w:pPr>
        <w:pStyle w:val="ListParagraph"/>
        <w:numPr>
          <w:ilvl w:val="1"/>
          <w:numId w:val="209"/>
        </w:numPr>
        <w:tabs>
          <w:tab w:val="left" w:pos="1385"/>
        </w:tabs>
        <w:spacing w:before="14"/>
        <w:jc w:val="left"/>
        <w:rPr>
          <w:sz w:val="21"/>
        </w:rPr>
      </w:pPr>
      <w:r>
        <w:rPr>
          <w:color w:val="231F20"/>
          <w:sz w:val="21"/>
        </w:rPr>
        <w:t>укладення адміністративних</w:t>
      </w:r>
      <w:r>
        <w:rPr>
          <w:color w:val="231F20"/>
          <w:spacing w:val="-3"/>
          <w:sz w:val="21"/>
        </w:rPr>
        <w:t xml:space="preserve"> </w:t>
      </w:r>
      <w:r>
        <w:rPr>
          <w:color w:val="231F20"/>
          <w:sz w:val="21"/>
        </w:rPr>
        <w:t>договорів;</w:t>
      </w:r>
    </w:p>
    <w:p w14:paraId="04972E34" w14:textId="77777777" w:rsidR="00DE575E" w:rsidRDefault="002E7560">
      <w:pPr>
        <w:pStyle w:val="ListParagraph"/>
        <w:numPr>
          <w:ilvl w:val="1"/>
          <w:numId w:val="209"/>
        </w:numPr>
        <w:tabs>
          <w:tab w:val="left" w:pos="1385"/>
        </w:tabs>
        <w:spacing w:before="13"/>
        <w:jc w:val="left"/>
        <w:rPr>
          <w:sz w:val="21"/>
        </w:rPr>
      </w:pPr>
      <w:r>
        <w:rPr>
          <w:color w:val="231F20"/>
          <w:sz w:val="21"/>
        </w:rPr>
        <w:t>учинення інших юридично значущих</w:t>
      </w:r>
      <w:r>
        <w:rPr>
          <w:color w:val="231F20"/>
          <w:spacing w:val="-4"/>
          <w:sz w:val="21"/>
        </w:rPr>
        <w:t xml:space="preserve"> </w:t>
      </w:r>
      <w:r>
        <w:rPr>
          <w:color w:val="231F20"/>
          <w:sz w:val="21"/>
        </w:rPr>
        <w:t>дій;</w:t>
      </w:r>
    </w:p>
    <w:p w14:paraId="36D43BDC" w14:textId="77777777" w:rsidR="00DE575E" w:rsidRDefault="002E7560">
      <w:pPr>
        <w:pStyle w:val="ListParagraph"/>
        <w:numPr>
          <w:ilvl w:val="1"/>
          <w:numId w:val="209"/>
        </w:numPr>
        <w:tabs>
          <w:tab w:val="left" w:pos="1385"/>
        </w:tabs>
        <w:spacing w:before="14"/>
        <w:jc w:val="left"/>
        <w:rPr>
          <w:sz w:val="21"/>
        </w:rPr>
      </w:pPr>
      <w:r>
        <w:rPr>
          <w:color w:val="231F20"/>
          <w:sz w:val="21"/>
        </w:rPr>
        <w:t>здійснення матеріально-технічних</w:t>
      </w:r>
      <w:r>
        <w:rPr>
          <w:color w:val="231F20"/>
          <w:spacing w:val="-3"/>
          <w:sz w:val="21"/>
        </w:rPr>
        <w:t xml:space="preserve"> </w:t>
      </w:r>
      <w:r>
        <w:rPr>
          <w:color w:val="231F20"/>
          <w:sz w:val="21"/>
        </w:rPr>
        <w:t>операцій.</w:t>
      </w:r>
    </w:p>
    <w:p w14:paraId="07093EE4" w14:textId="77777777" w:rsidR="00DE575E" w:rsidRDefault="002E7560">
      <w:pPr>
        <w:pStyle w:val="ListParagraph"/>
        <w:numPr>
          <w:ilvl w:val="0"/>
          <w:numId w:val="209"/>
        </w:numPr>
        <w:tabs>
          <w:tab w:val="left" w:pos="1101"/>
        </w:tabs>
        <w:spacing w:before="14"/>
        <w:ind w:hanging="283"/>
        <w:rPr>
          <w:sz w:val="21"/>
        </w:rPr>
      </w:pPr>
      <w:r>
        <w:rPr>
          <w:b/>
          <w:color w:val="231F20"/>
          <w:sz w:val="21"/>
        </w:rPr>
        <w:t xml:space="preserve">План </w:t>
      </w:r>
      <w:r>
        <w:rPr>
          <w:color w:val="231F20"/>
          <w:sz w:val="21"/>
        </w:rPr>
        <w:t>як інструмент публічного</w:t>
      </w:r>
      <w:r>
        <w:rPr>
          <w:color w:val="231F20"/>
          <w:spacing w:val="-4"/>
          <w:sz w:val="21"/>
        </w:rPr>
        <w:t xml:space="preserve"> </w:t>
      </w:r>
      <w:r>
        <w:rPr>
          <w:color w:val="231F20"/>
          <w:sz w:val="21"/>
        </w:rPr>
        <w:t>адміністрування;</w:t>
      </w:r>
    </w:p>
    <w:p w14:paraId="08BE6DC0" w14:textId="77777777" w:rsidR="00DE575E" w:rsidRDefault="002E7560">
      <w:pPr>
        <w:pStyle w:val="ListParagraph"/>
        <w:numPr>
          <w:ilvl w:val="0"/>
          <w:numId w:val="209"/>
        </w:numPr>
        <w:tabs>
          <w:tab w:val="left" w:pos="1101"/>
        </w:tabs>
        <w:spacing w:before="14"/>
        <w:ind w:hanging="283"/>
        <w:rPr>
          <w:sz w:val="21"/>
        </w:rPr>
      </w:pPr>
      <w:r>
        <w:rPr>
          <w:b/>
          <w:color w:val="231F20"/>
          <w:sz w:val="21"/>
        </w:rPr>
        <w:t xml:space="preserve">Фактична дія </w:t>
      </w:r>
      <w:r>
        <w:rPr>
          <w:color w:val="231F20"/>
          <w:sz w:val="21"/>
        </w:rPr>
        <w:t>як інструмент публічного</w:t>
      </w:r>
      <w:r>
        <w:rPr>
          <w:color w:val="231F20"/>
          <w:spacing w:val="-8"/>
          <w:sz w:val="21"/>
        </w:rPr>
        <w:t xml:space="preserve"> </w:t>
      </w:r>
      <w:r>
        <w:rPr>
          <w:color w:val="231F20"/>
          <w:sz w:val="21"/>
        </w:rPr>
        <w:t>адміністрування;</w:t>
      </w:r>
    </w:p>
    <w:p w14:paraId="0C8505B7" w14:textId="77777777" w:rsidR="00DE575E" w:rsidRDefault="002E7560">
      <w:pPr>
        <w:pStyle w:val="Heading5"/>
        <w:numPr>
          <w:ilvl w:val="0"/>
          <w:numId w:val="209"/>
        </w:numPr>
        <w:tabs>
          <w:tab w:val="left" w:pos="1101"/>
        </w:tabs>
        <w:spacing w:before="14"/>
        <w:ind w:hanging="283"/>
      </w:pPr>
      <w:r>
        <w:rPr>
          <w:color w:val="231F20"/>
          <w:spacing w:val="-3"/>
        </w:rPr>
        <w:t xml:space="preserve">Методи </w:t>
      </w:r>
      <w:r>
        <w:rPr>
          <w:color w:val="231F20"/>
        </w:rPr>
        <w:t>публічного</w:t>
      </w:r>
      <w:r>
        <w:rPr>
          <w:color w:val="231F20"/>
        </w:rPr>
        <w:t xml:space="preserve"> </w:t>
      </w:r>
      <w:r>
        <w:rPr>
          <w:color w:val="231F20"/>
        </w:rPr>
        <w:t>адміністрування:</w:t>
      </w:r>
    </w:p>
    <w:p w14:paraId="66390256" w14:textId="77777777" w:rsidR="00DE575E" w:rsidRDefault="002E7560">
      <w:pPr>
        <w:pStyle w:val="ListParagraph"/>
        <w:numPr>
          <w:ilvl w:val="1"/>
          <w:numId w:val="209"/>
        </w:numPr>
        <w:tabs>
          <w:tab w:val="left" w:pos="1385"/>
        </w:tabs>
        <w:spacing w:before="13"/>
        <w:jc w:val="left"/>
        <w:rPr>
          <w:i/>
          <w:sz w:val="21"/>
        </w:rPr>
      </w:pPr>
      <w:r>
        <w:rPr>
          <w:i/>
          <w:color w:val="231F20"/>
          <w:sz w:val="21"/>
        </w:rPr>
        <w:t>методи</w:t>
      </w:r>
      <w:r>
        <w:rPr>
          <w:i/>
          <w:color w:val="231F20"/>
          <w:spacing w:val="-2"/>
          <w:sz w:val="21"/>
        </w:rPr>
        <w:t xml:space="preserve"> </w:t>
      </w:r>
      <w:r>
        <w:rPr>
          <w:i/>
          <w:color w:val="231F20"/>
          <w:sz w:val="21"/>
        </w:rPr>
        <w:t>заохочення;</w:t>
      </w:r>
    </w:p>
    <w:p w14:paraId="341B9AAC" w14:textId="77777777" w:rsidR="00DE575E" w:rsidRDefault="002E7560">
      <w:pPr>
        <w:pStyle w:val="ListParagraph"/>
        <w:numPr>
          <w:ilvl w:val="1"/>
          <w:numId w:val="209"/>
        </w:numPr>
        <w:tabs>
          <w:tab w:val="left" w:pos="1385"/>
        </w:tabs>
        <w:spacing w:before="14"/>
        <w:jc w:val="left"/>
        <w:rPr>
          <w:i/>
          <w:sz w:val="21"/>
        </w:rPr>
      </w:pPr>
      <w:r>
        <w:rPr>
          <w:i/>
          <w:color w:val="231F20"/>
          <w:sz w:val="21"/>
        </w:rPr>
        <w:t>методи</w:t>
      </w:r>
      <w:r>
        <w:rPr>
          <w:i/>
          <w:color w:val="231F20"/>
          <w:spacing w:val="-2"/>
          <w:sz w:val="21"/>
        </w:rPr>
        <w:t xml:space="preserve"> </w:t>
      </w:r>
      <w:r>
        <w:rPr>
          <w:i/>
          <w:color w:val="231F20"/>
          <w:sz w:val="21"/>
        </w:rPr>
        <w:t>переконання;</w:t>
      </w:r>
    </w:p>
    <w:p w14:paraId="220994E0" w14:textId="77777777" w:rsidR="00DE575E" w:rsidRDefault="002E7560">
      <w:pPr>
        <w:pStyle w:val="ListParagraph"/>
        <w:numPr>
          <w:ilvl w:val="1"/>
          <w:numId w:val="209"/>
        </w:numPr>
        <w:tabs>
          <w:tab w:val="left" w:pos="1385"/>
        </w:tabs>
        <w:spacing w:before="14" w:line="254" w:lineRule="auto"/>
        <w:ind w:right="2226"/>
        <w:jc w:val="left"/>
        <w:rPr>
          <w:sz w:val="21"/>
        </w:rPr>
      </w:pPr>
      <w:r>
        <w:rPr>
          <w:i/>
          <w:color w:val="231F20"/>
          <w:sz w:val="21"/>
        </w:rPr>
        <w:t>методи адміністративного примусу</w:t>
      </w:r>
      <w:r>
        <w:rPr>
          <w:color w:val="231F20"/>
          <w:sz w:val="21"/>
        </w:rPr>
        <w:t>: а) адміністративно-запобіжні</w:t>
      </w:r>
      <w:r>
        <w:rPr>
          <w:color w:val="231F20"/>
          <w:spacing w:val="-23"/>
          <w:sz w:val="21"/>
        </w:rPr>
        <w:t xml:space="preserve"> </w:t>
      </w:r>
      <w:r>
        <w:rPr>
          <w:color w:val="231F20"/>
          <w:sz w:val="21"/>
        </w:rPr>
        <w:t>заходи;</w:t>
      </w:r>
    </w:p>
    <w:p w14:paraId="64A1076D" w14:textId="77777777" w:rsidR="00DE575E" w:rsidRDefault="002E7560">
      <w:pPr>
        <w:pStyle w:val="BodyText"/>
        <w:spacing w:line="254" w:lineRule="auto"/>
        <w:ind w:left="1384" w:right="1663"/>
      </w:pPr>
      <w:r>
        <w:rPr>
          <w:color w:val="231F20"/>
        </w:rPr>
        <w:t>б) заходи адміністративного припинення; в) адміністративні стягнення.</w:t>
      </w:r>
    </w:p>
    <w:p w14:paraId="10A6C754" w14:textId="77777777" w:rsidR="00DE575E" w:rsidRDefault="002E7560">
      <w:pPr>
        <w:pStyle w:val="Heading5"/>
        <w:numPr>
          <w:ilvl w:val="0"/>
          <w:numId w:val="209"/>
        </w:numPr>
        <w:tabs>
          <w:tab w:val="left" w:pos="1101"/>
        </w:tabs>
        <w:spacing w:line="244" w:lineRule="exact"/>
        <w:ind w:hanging="283"/>
        <w:rPr>
          <w:b w:val="0"/>
        </w:rPr>
      </w:pPr>
      <w:r>
        <w:rPr>
          <w:color w:val="231F20"/>
        </w:rPr>
        <w:t>Адміністративно-правові</w:t>
      </w:r>
      <w:r>
        <w:rPr>
          <w:color w:val="231F20"/>
          <w:spacing w:val="-2"/>
        </w:rPr>
        <w:t xml:space="preserve"> </w:t>
      </w:r>
      <w:r>
        <w:rPr>
          <w:color w:val="231F20"/>
        </w:rPr>
        <w:t>режими</w:t>
      </w:r>
      <w:r>
        <w:rPr>
          <w:b w:val="0"/>
          <w:color w:val="231F20"/>
        </w:rPr>
        <w:t>.</w:t>
      </w:r>
    </w:p>
    <w:p w14:paraId="6939961D" w14:textId="77777777" w:rsidR="00DE575E" w:rsidRDefault="002E7560">
      <w:pPr>
        <w:pStyle w:val="ListParagraph"/>
        <w:numPr>
          <w:ilvl w:val="0"/>
          <w:numId w:val="209"/>
        </w:numPr>
        <w:tabs>
          <w:tab w:val="left" w:pos="1101"/>
        </w:tabs>
        <w:spacing w:before="12"/>
        <w:ind w:hanging="283"/>
        <w:rPr>
          <w:b/>
          <w:sz w:val="21"/>
        </w:rPr>
      </w:pPr>
      <w:r>
        <w:rPr>
          <w:b/>
          <w:color w:val="231F20"/>
          <w:sz w:val="21"/>
        </w:rPr>
        <w:t>Контроль</w:t>
      </w:r>
      <w:r>
        <w:rPr>
          <w:b/>
          <w:color w:val="231F20"/>
          <w:spacing w:val="-2"/>
          <w:sz w:val="21"/>
        </w:rPr>
        <w:t xml:space="preserve"> </w:t>
      </w:r>
      <w:r>
        <w:rPr>
          <w:b/>
          <w:color w:val="231F20"/>
          <w:spacing w:val="-3"/>
          <w:sz w:val="21"/>
        </w:rPr>
        <w:t>(нагляд).</w:t>
      </w:r>
    </w:p>
    <w:p w14:paraId="6140C401" w14:textId="5DAF86E1" w:rsidR="00DE575E" w:rsidRDefault="002E7560">
      <w:pPr>
        <w:pStyle w:val="BodyText"/>
        <w:spacing w:before="6"/>
        <w:rPr>
          <w:b/>
          <w:sz w:val="16"/>
        </w:rPr>
      </w:pPr>
      <w:r>
        <w:rPr>
          <w:noProof/>
        </w:rPr>
        <mc:AlternateContent>
          <mc:Choice Requires="wps">
            <w:drawing>
              <wp:anchor distT="0" distB="0" distL="0" distR="0" simplePos="0" relativeHeight="8584" behindDoc="0" locked="0" layoutInCell="1" allowOverlap="1" wp14:anchorId="6D8694CF" wp14:editId="47F35924">
                <wp:simplePos x="0" y="0"/>
                <wp:positionH relativeFrom="page">
                  <wp:posOffset>719455</wp:posOffset>
                </wp:positionH>
                <wp:positionV relativeFrom="paragraph">
                  <wp:posOffset>150495</wp:posOffset>
                </wp:positionV>
                <wp:extent cx="1080135" cy="0"/>
                <wp:effectExtent l="8255" t="10795" r="29210" b="27305"/>
                <wp:wrapTopAndBottom/>
                <wp:docPr id="883"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5B74" id="Line_x0020_882" o:spid="_x0000_s1026" style="position:absolute;z-index:8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85pt" to="141.7pt,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" strokecolor="#231f20" strokeweight=".5pt">
                <w10:wrap type="topAndBottom" anchorx="page"/>
              </v:line>
            </w:pict>
          </mc:Fallback>
        </mc:AlternateContent>
      </w:r>
    </w:p>
    <w:p w14:paraId="0CAC42AB" w14:textId="77777777" w:rsidR="00DE575E" w:rsidRDefault="002E7560">
      <w:pPr>
        <w:spacing w:before="14"/>
        <w:ind w:left="533"/>
        <w:rPr>
          <w:sz w:val="16"/>
        </w:rPr>
      </w:pPr>
      <w:r>
        <w:rPr>
          <w:color w:val="231F20"/>
          <w:position w:val="5"/>
          <w:sz w:val="9"/>
        </w:rPr>
        <w:t xml:space="preserve">1 </w:t>
      </w:r>
      <w:r>
        <w:rPr>
          <w:color w:val="231F20"/>
          <w:sz w:val="16"/>
        </w:rPr>
        <w:t>Мельник Р. Зазнач. праця.</w:t>
      </w:r>
    </w:p>
    <w:p w14:paraId="4786479A" w14:textId="77777777" w:rsidR="00DE575E" w:rsidRDefault="002E7560">
      <w:pPr>
        <w:spacing w:before="23" w:line="204" w:lineRule="auto"/>
        <w:ind w:left="533" w:right="127"/>
        <w:jc w:val="both"/>
        <w:rPr>
          <w:sz w:val="16"/>
        </w:rPr>
      </w:pPr>
      <w:r>
        <w:rPr>
          <w:color w:val="231F20"/>
          <w:position w:val="5"/>
          <w:sz w:val="9"/>
        </w:rPr>
        <w:t xml:space="preserve">2   </w:t>
      </w:r>
      <w:r>
        <w:rPr>
          <w:color w:val="231F20"/>
          <w:sz w:val="16"/>
        </w:rPr>
        <w:t xml:space="preserve">Мосьондз   С.   Які   інструменти    публічного    адміністрування    використовуються для забезпечення (захисту) прав і свобод громадян. </w:t>
      </w:r>
      <w:r>
        <w:rPr>
          <w:i/>
          <w:color w:val="231F20"/>
          <w:sz w:val="16"/>
        </w:rPr>
        <w:t>Адміністративне право для громадян України</w:t>
      </w:r>
      <w:r>
        <w:rPr>
          <w:color w:val="231F20"/>
          <w:sz w:val="16"/>
        </w:rPr>
        <w:t>: науково-популярне видання / за ред. В. Галунька. Київ: НДІПП. 2019.  С. 58-60.</w:t>
      </w:r>
    </w:p>
    <w:p w14:paraId="0575C29B" w14:textId="77777777" w:rsidR="00DE575E" w:rsidRDefault="00DE575E">
      <w:pPr>
        <w:pStyle w:val="BodyText"/>
        <w:spacing w:before="6"/>
        <w:rPr>
          <w:sz w:val="12"/>
        </w:rPr>
      </w:pPr>
    </w:p>
    <w:p w14:paraId="11B757C1" w14:textId="77777777" w:rsidR="00DE575E" w:rsidRDefault="002E7560">
      <w:pPr>
        <w:spacing w:before="92"/>
        <w:ind w:left="533"/>
        <w:rPr>
          <w:rFonts w:ascii="Times New Roman"/>
          <w:sz w:val="20"/>
        </w:rPr>
      </w:pPr>
      <w:r>
        <w:rPr>
          <w:rFonts w:ascii="Times New Roman"/>
          <w:color w:val="231F20"/>
          <w:sz w:val="20"/>
        </w:rPr>
        <w:t>210</w:t>
      </w:r>
    </w:p>
    <w:p w14:paraId="41AE375E" w14:textId="77777777" w:rsidR="00DE575E" w:rsidRDefault="00DE575E">
      <w:pPr>
        <w:rPr>
          <w:rFonts w:ascii="Times New Roman"/>
          <w:sz w:val="20"/>
        </w:rPr>
        <w:sectPr w:rsidR="00DE575E">
          <w:pgSz w:w="8510" w:h="12760"/>
          <w:pgMar w:top="660" w:right="720" w:bottom="280" w:left="600" w:header="720" w:footer="720" w:gutter="0"/>
          <w:cols w:space="720"/>
        </w:sectPr>
      </w:pPr>
    </w:p>
    <w:p w14:paraId="538EEA16"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2CB73F23" w14:textId="219752E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F07BFA9" wp14:editId="246714D7">
                <wp:extent cx="4140200" cy="6350"/>
                <wp:effectExtent l="0" t="0" r="12700" b="6350"/>
                <wp:docPr id="881"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82" name="Line 8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E6B90A" id="Group_x0020_8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Z1SuBn4CAACYBQAADgAA&#10;AAAAAAAAAAAAAAAsAgAAZHJzL2Uyb0RvYy54bWxQSwECLQAUAAYACAAAACEATKewkNkAAAADAQAA&#10;DwAAAAAAAAAAAAAAAADWBAAAZHJzL2Rvd25yZXYueG1sUEsFBgAAAAAEAAQA8wAAANwFAAAAAA==&#10;">
                <v:line id="Line_x0020_8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YnbcYAAADcAAAADwAAAGRycy9kb3ducmV2LnhtbESP3WrCQBSE74W+w3IKvRHdVEFC6ipF&#10;EEov/IsPcMyeJqG7Z2N2NWmf3hUEL4eZ+YaZL3trxJVaXztW8D5OQBAXTtdcKjjm61EKwgdkjcYx&#10;KfgjD8vFy2COmXYd7+l6CKWIEPYZKqhCaDIpfVGRRT92DXH0flxrMUTZllK32EW4NXKSJDNpsea4&#10;UGFDq4qK38PFKsjPw2B222/T5dvTVJ7Om+n/ZaPU22v/+QEiUB+e4Uf7SytI0wncz8QjI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2J23GAAAA3AAAAA8AAAAAAAAA&#10;AAAAAAAAoQIAAGRycy9kb3ducmV2LnhtbFBLBQYAAAAABAAEAPkAAACUAwAAAAA=&#10;" strokecolor="#231f20" strokeweight=".5pt"/>
                <w10:anchorlock/>
              </v:group>
            </w:pict>
          </mc:Fallback>
        </mc:AlternateContent>
      </w:r>
    </w:p>
    <w:p w14:paraId="0CFDDFD5" w14:textId="77777777" w:rsidR="00DE575E" w:rsidRDefault="00DE575E">
      <w:pPr>
        <w:pStyle w:val="BodyText"/>
        <w:spacing w:before="7"/>
        <w:rPr>
          <w:rFonts w:ascii="AdonisC"/>
          <w:i/>
          <w:sz w:val="19"/>
        </w:rPr>
      </w:pPr>
    </w:p>
    <w:p w14:paraId="0280B81D" w14:textId="77777777" w:rsidR="00DE575E" w:rsidRDefault="002E7560">
      <w:pPr>
        <w:pStyle w:val="Heading5"/>
        <w:spacing w:before="1"/>
      </w:pPr>
      <w:r>
        <w:rPr>
          <w:b w:val="0"/>
          <w:color w:val="231F20"/>
        </w:rPr>
        <w:t xml:space="preserve">7. </w:t>
      </w:r>
      <w:r>
        <w:rPr>
          <w:color w:val="231F20"/>
        </w:rPr>
        <w:t>Електронне врядування.</w:t>
      </w:r>
    </w:p>
    <w:p w14:paraId="1F23D9D3" w14:textId="77777777" w:rsidR="00DE575E" w:rsidRDefault="002E7560">
      <w:pPr>
        <w:pStyle w:val="BodyText"/>
        <w:spacing w:before="12" w:line="252" w:lineRule="auto"/>
        <w:ind w:left="250" w:right="408" w:firstLine="283"/>
        <w:jc w:val="both"/>
      </w:pPr>
      <w:r>
        <w:rPr>
          <w:color w:val="231F20"/>
        </w:rPr>
        <w:t>При цьому завжди треба пам’ятати, що види інструментів публічного адміністрування не є сталою конструкцією. Спеціаль- ними законами та підзаконними нормативними актами можуть бути визначені й і</w:t>
      </w:r>
      <w:r>
        <w:rPr>
          <w:color w:val="231F20"/>
        </w:rPr>
        <w:t>нші види інструментів публічного адміністру- вання. У процесі розвитку публічного адміністрування можуть виникати нові й скасовуватися застарілі інструменти публічного адміністрування</w:t>
      </w:r>
      <w:r>
        <w:rPr>
          <w:color w:val="231F20"/>
          <w:position w:val="7"/>
          <w:sz w:val="12"/>
        </w:rPr>
        <w:t>1</w:t>
      </w:r>
      <w:r>
        <w:rPr>
          <w:color w:val="231F20"/>
        </w:rPr>
        <w:t>.</w:t>
      </w:r>
    </w:p>
    <w:p w14:paraId="3D682A5A" w14:textId="77777777" w:rsidR="00DE575E" w:rsidRDefault="00DE575E">
      <w:pPr>
        <w:pStyle w:val="BodyText"/>
        <w:spacing w:before="4"/>
        <w:rPr>
          <w:sz w:val="22"/>
        </w:rPr>
      </w:pPr>
    </w:p>
    <w:p w14:paraId="602DA01A" w14:textId="77777777" w:rsidR="00DE575E" w:rsidRDefault="002E7560">
      <w:pPr>
        <w:pStyle w:val="Heading5"/>
        <w:numPr>
          <w:ilvl w:val="2"/>
          <w:numId w:val="210"/>
        </w:numPr>
        <w:tabs>
          <w:tab w:val="left" w:pos="1099"/>
        </w:tabs>
      </w:pPr>
      <w:r>
        <w:rPr>
          <w:color w:val="231F20"/>
        </w:rPr>
        <w:t>Вибір інструмента публічного</w:t>
      </w:r>
      <w:r>
        <w:rPr>
          <w:color w:val="231F20"/>
          <w:spacing w:val="-6"/>
        </w:rPr>
        <w:t xml:space="preserve"> </w:t>
      </w:r>
      <w:r>
        <w:rPr>
          <w:color w:val="231F20"/>
        </w:rPr>
        <w:t>адміністрування</w:t>
      </w:r>
    </w:p>
    <w:p w14:paraId="5163E461" w14:textId="77777777" w:rsidR="00DE575E" w:rsidRDefault="00DE575E">
      <w:pPr>
        <w:pStyle w:val="BodyText"/>
        <w:spacing w:before="2"/>
        <w:rPr>
          <w:b/>
          <w:sz w:val="23"/>
        </w:rPr>
      </w:pPr>
    </w:p>
    <w:p w14:paraId="003D3C67" w14:textId="77777777" w:rsidR="00DE575E" w:rsidRDefault="002E7560">
      <w:pPr>
        <w:pStyle w:val="BodyText"/>
        <w:spacing w:line="252" w:lineRule="auto"/>
        <w:ind w:left="250" w:right="411" w:firstLine="283"/>
        <w:jc w:val="both"/>
      </w:pPr>
      <w:r>
        <w:rPr>
          <w:color w:val="231F20"/>
        </w:rPr>
        <w:t>Вибір   належного   інс</w:t>
      </w:r>
      <w:r>
        <w:rPr>
          <w:color w:val="231F20"/>
        </w:rPr>
        <w:t xml:space="preserve">трумента    публічного    адміністрування  в діяльності </w:t>
      </w:r>
      <w:r>
        <w:rPr>
          <w:color w:val="231F20"/>
          <w:spacing w:val="-3"/>
        </w:rPr>
        <w:t xml:space="preserve">суб’єкта </w:t>
      </w:r>
      <w:r>
        <w:rPr>
          <w:color w:val="231F20"/>
        </w:rPr>
        <w:t>публічної адміністрації базується на двох основних чинниках:</w:t>
      </w:r>
    </w:p>
    <w:p w14:paraId="4842E2C1" w14:textId="77777777" w:rsidR="00DE575E" w:rsidRDefault="002E7560">
      <w:pPr>
        <w:pStyle w:val="BodyText"/>
        <w:spacing w:before="2" w:line="252" w:lineRule="auto"/>
        <w:ind w:left="250" w:right="410" w:firstLine="283"/>
        <w:jc w:val="both"/>
      </w:pPr>
      <w:r>
        <w:rPr>
          <w:b/>
          <w:color w:val="231F20"/>
        </w:rPr>
        <w:t>По-перше</w:t>
      </w:r>
      <w:r>
        <w:rPr>
          <w:color w:val="231F20"/>
        </w:rPr>
        <w:t xml:space="preserve">, суворо дотримуватися принципу законності </w:t>
      </w:r>
      <w:r>
        <w:rPr>
          <w:color w:val="231F20"/>
          <w:spacing w:val="-3"/>
        </w:rPr>
        <w:t xml:space="preserve">(суб’єкт </w:t>
      </w:r>
      <w:r>
        <w:rPr>
          <w:color w:val="231F20"/>
        </w:rPr>
        <w:t xml:space="preserve">публічної адміністрації має діяти виключно в порядку й у спосіб, передбачений Конституцією та законами </w:t>
      </w:r>
      <w:r>
        <w:rPr>
          <w:color w:val="231F20"/>
          <w:spacing w:val="-3"/>
        </w:rPr>
        <w:t xml:space="preserve">України), </w:t>
      </w:r>
      <w:r>
        <w:rPr>
          <w:color w:val="231F20"/>
        </w:rPr>
        <w:t>іншими  словами – обирати серед інструментів публічного адміністрування виключно ті, використання яких дозволяє законодавчо прописана компетенція.</w:t>
      </w:r>
    </w:p>
    <w:p w14:paraId="4901EDD1" w14:textId="77777777" w:rsidR="00DE575E" w:rsidRDefault="002E7560">
      <w:pPr>
        <w:pStyle w:val="BodyText"/>
        <w:spacing w:before="3" w:line="252" w:lineRule="auto"/>
        <w:ind w:left="250" w:right="409" w:firstLine="283"/>
        <w:jc w:val="both"/>
      </w:pPr>
      <w:r>
        <w:rPr>
          <w:b/>
          <w:color w:val="231F20"/>
        </w:rPr>
        <w:t>По-друге</w:t>
      </w:r>
      <w:r>
        <w:rPr>
          <w:color w:val="231F20"/>
        </w:rPr>
        <w:t>, вибрати з них ті, що забезпечують найбільш ефек- тивне</w:t>
      </w:r>
      <w:r>
        <w:rPr>
          <w:color w:val="231F20"/>
          <w:spacing w:val="-8"/>
        </w:rPr>
        <w:t xml:space="preserve"> </w:t>
      </w:r>
      <w:r>
        <w:rPr>
          <w:color w:val="231F20"/>
        </w:rPr>
        <w:t>відновлення</w:t>
      </w:r>
      <w:r>
        <w:rPr>
          <w:color w:val="231F20"/>
          <w:spacing w:val="-8"/>
        </w:rPr>
        <w:t xml:space="preserve"> </w:t>
      </w:r>
      <w:r>
        <w:rPr>
          <w:color w:val="231F20"/>
        </w:rPr>
        <w:t>прав,</w:t>
      </w:r>
      <w:r>
        <w:rPr>
          <w:color w:val="231F20"/>
          <w:spacing w:val="-8"/>
        </w:rPr>
        <w:t xml:space="preserve"> </w:t>
      </w:r>
      <w:r>
        <w:rPr>
          <w:color w:val="231F20"/>
        </w:rPr>
        <w:t>свобод</w:t>
      </w:r>
      <w:r>
        <w:rPr>
          <w:color w:val="231F20"/>
          <w:spacing w:val="-8"/>
        </w:rPr>
        <w:t xml:space="preserve"> </w:t>
      </w:r>
      <w:r>
        <w:rPr>
          <w:color w:val="231F20"/>
        </w:rPr>
        <w:t>і</w:t>
      </w:r>
      <w:r>
        <w:rPr>
          <w:color w:val="231F20"/>
          <w:spacing w:val="-7"/>
        </w:rPr>
        <w:t xml:space="preserve"> </w:t>
      </w:r>
      <w:r>
        <w:rPr>
          <w:color w:val="231F20"/>
        </w:rPr>
        <w:t>законних</w:t>
      </w:r>
      <w:r>
        <w:rPr>
          <w:color w:val="231F20"/>
          <w:spacing w:val="-8"/>
        </w:rPr>
        <w:t xml:space="preserve"> </w:t>
      </w:r>
      <w:r>
        <w:rPr>
          <w:color w:val="231F20"/>
        </w:rPr>
        <w:t>інтересі</w:t>
      </w:r>
      <w:r>
        <w:rPr>
          <w:color w:val="231F20"/>
        </w:rPr>
        <w:t>в</w:t>
      </w:r>
      <w:r>
        <w:rPr>
          <w:color w:val="231F20"/>
          <w:spacing w:val="-8"/>
        </w:rPr>
        <w:t xml:space="preserve"> </w:t>
      </w:r>
      <w:r>
        <w:rPr>
          <w:color w:val="231F20"/>
        </w:rPr>
        <w:t>приватних</w:t>
      </w:r>
      <w:r>
        <w:rPr>
          <w:color w:val="231F20"/>
          <w:spacing w:val="-7"/>
        </w:rPr>
        <w:t xml:space="preserve"> </w:t>
      </w:r>
      <w:r>
        <w:rPr>
          <w:color w:val="231F20"/>
        </w:rPr>
        <w:t>осіб, публічного інтересу</w:t>
      </w:r>
      <w:r>
        <w:rPr>
          <w:color w:val="231F20"/>
          <w:spacing w:val="-1"/>
        </w:rPr>
        <w:t xml:space="preserve"> </w:t>
      </w:r>
      <w:r>
        <w:rPr>
          <w:color w:val="231F20"/>
        </w:rPr>
        <w:t>суспільства.</w:t>
      </w:r>
    </w:p>
    <w:p w14:paraId="6A0D3BC5" w14:textId="77777777" w:rsidR="00DE575E" w:rsidRDefault="002E7560">
      <w:pPr>
        <w:pStyle w:val="BodyText"/>
        <w:spacing w:before="1" w:line="252" w:lineRule="auto"/>
        <w:ind w:left="250" w:right="410" w:firstLine="283"/>
        <w:jc w:val="both"/>
      </w:pPr>
      <w:r>
        <w:rPr>
          <w:color w:val="231F20"/>
        </w:rPr>
        <w:t>При цьому в обранні інструмента публічного адміністрування суб’єкт публічної адміністрації має враховувати низку чинників із певними суперечностями.</w:t>
      </w:r>
    </w:p>
    <w:p w14:paraId="18BAF466" w14:textId="77777777" w:rsidR="00DE575E" w:rsidRDefault="002E7560">
      <w:pPr>
        <w:pStyle w:val="BodyText"/>
        <w:spacing w:before="2" w:line="252" w:lineRule="auto"/>
        <w:ind w:left="250" w:right="410" w:firstLine="283"/>
        <w:jc w:val="both"/>
      </w:pPr>
      <w:r>
        <w:rPr>
          <w:color w:val="231F20"/>
          <w:spacing w:val="-4"/>
        </w:rPr>
        <w:t xml:space="preserve">Суб’єкт </w:t>
      </w:r>
      <w:r>
        <w:rPr>
          <w:color w:val="231F20"/>
        </w:rPr>
        <w:t>публічної адміністрації в другому випадку має оп</w:t>
      </w:r>
      <w:r>
        <w:rPr>
          <w:color w:val="231F20"/>
        </w:rPr>
        <w:t>ти- мально поєднати найвищу ефективність щодо відновлення пору- шених цінностей особи, яка цього потребує, з мінімальними незруч- ностями  для  інших  осіб  і  мінімальним  витрачанням  людських     і матеріальних ресурсів та</w:t>
      </w:r>
      <w:r>
        <w:rPr>
          <w:color w:val="231F20"/>
          <w:spacing w:val="-4"/>
        </w:rPr>
        <w:t xml:space="preserve"> часу.</w:t>
      </w:r>
    </w:p>
    <w:p w14:paraId="573E9BE2" w14:textId="77777777" w:rsidR="00DE575E" w:rsidRDefault="00DE575E">
      <w:pPr>
        <w:pStyle w:val="BodyText"/>
        <w:rPr>
          <w:sz w:val="20"/>
        </w:rPr>
      </w:pPr>
    </w:p>
    <w:p w14:paraId="17EF1B19" w14:textId="77777777" w:rsidR="00DE575E" w:rsidRDefault="00DE575E">
      <w:pPr>
        <w:pStyle w:val="BodyText"/>
        <w:rPr>
          <w:sz w:val="20"/>
        </w:rPr>
      </w:pPr>
    </w:p>
    <w:p w14:paraId="4AEF5A6F" w14:textId="77777777" w:rsidR="00DE575E" w:rsidRDefault="00DE575E">
      <w:pPr>
        <w:pStyle w:val="BodyText"/>
        <w:rPr>
          <w:sz w:val="20"/>
        </w:rPr>
      </w:pPr>
    </w:p>
    <w:p w14:paraId="5B6D31AF" w14:textId="77777777" w:rsidR="00DE575E" w:rsidRDefault="00DE575E">
      <w:pPr>
        <w:pStyle w:val="BodyText"/>
        <w:rPr>
          <w:sz w:val="20"/>
        </w:rPr>
      </w:pPr>
    </w:p>
    <w:p w14:paraId="0717ECDB" w14:textId="36FE3FBA" w:rsidR="00DE575E" w:rsidRDefault="002E7560">
      <w:pPr>
        <w:pStyle w:val="BodyText"/>
        <w:spacing w:before="5"/>
        <w:rPr>
          <w:sz w:val="22"/>
        </w:rPr>
      </w:pPr>
      <w:r>
        <w:rPr>
          <w:noProof/>
        </w:rPr>
        <mc:AlternateContent>
          <mc:Choice Requires="wps">
            <w:drawing>
              <wp:anchor distT="0" distB="0" distL="0" distR="0" simplePos="0" relativeHeight="8632" behindDoc="0" locked="0" layoutInCell="1" allowOverlap="1" wp14:anchorId="79BCD3D4" wp14:editId="662510B1">
                <wp:simplePos x="0" y="0"/>
                <wp:positionH relativeFrom="page">
                  <wp:posOffset>539750</wp:posOffset>
                </wp:positionH>
                <wp:positionV relativeFrom="paragraph">
                  <wp:posOffset>194945</wp:posOffset>
                </wp:positionV>
                <wp:extent cx="1080135" cy="0"/>
                <wp:effectExtent l="6350" t="17145" r="31115" b="20955"/>
                <wp:wrapTopAndBottom/>
                <wp:docPr id="880"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F73D" id="Line_x0020_879" o:spid="_x0000_s1026" style="position:absolute;z-index:8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5.35pt" to="127.5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" strokecolor="#231f20" strokeweight=".5pt">
                <w10:wrap type="topAndBottom" anchorx="page"/>
              </v:line>
            </w:pict>
          </mc:Fallback>
        </mc:AlternateContent>
      </w:r>
    </w:p>
    <w:p w14:paraId="3BE63EB6"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Позитивні види і</w:t>
      </w:r>
      <w:r>
        <w:rPr>
          <w:color w:val="231F20"/>
          <w:sz w:val="16"/>
        </w:rPr>
        <w:t xml:space="preserve">нструментів публічного адміністрування, які розширюють можли- вості приватних осіб, можуть установлюватися як законами України, так і підзаконними нормативними актами. Негативні, що обмежують права, свободи і законні інтереси при- ватних осіб та/або мають </w:t>
      </w:r>
      <w:r>
        <w:rPr>
          <w:color w:val="231F20"/>
          <w:sz w:val="16"/>
        </w:rPr>
        <w:t>своїм наслідком накладення адміністративних стягнень, – виключно законами України.</w:t>
      </w:r>
    </w:p>
    <w:p w14:paraId="0B00ABF4" w14:textId="77777777" w:rsidR="00DE575E" w:rsidRDefault="00DE575E">
      <w:pPr>
        <w:pStyle w:val="BodyText"/>
        <w:spacing w:before="3"/>
        <w:rPr>
          <w:sz w:val="12"/>
        </w:rPr>
      </w:pPr>
    </w:p>
    <w:p w14:paraId="33D16F55" w14:textId="77777777" w:rsidR="00DE575E" w:rsidRDefault="002E7560">
      <w:pPr>
        <w:spacing w:before="92"/>
        <w:ind w:right="418"/>
        <w:jc w:val="right"/>
        <w:rPr>
          <w:rFonts w:ascii="Times New Roman"/>
          <w:sz w:val="20"/>
        </w:rPr>
      </w:pPr>
      <w:r>
        <w:rPr>
          <w:rFonts w:ascii="Times New Roman"/>
          <w:color w:val="231F20"/>
          <w:w w:val="90"/>
          <w:sz w:val="20"/>
        </w:rPr>
        <w:t>211</w:t>
      </w:r>
    </w:p>
    <w:p w14:paraId="04A8D27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B9FF19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204AC3D" w14:textId="6696881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C175224" wp14:editId="09C85CA3">
                <wp:extent cx="4140200" cy="6350"/>
                <wp:effectExtent l="0" t="0" r="12700" b="6350"/>
                <wp:docPr id="878"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79" name="Line 8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9E9649" id="Group_x0020_8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Dh1m9/AgAAmAUAAA4A&#10;AAAAAAAAAAAAAAAALAIAAGRycy9lMm9Eb2MueG1sUEsBAi0AFAAGAAgAAAAhAEynsJDZAAAAAwEA&#10;AA8AAAAAAAAAAAAAAAAA1wQAAGRycy9kb3ducmV2LnhtbFBLBQYAAAAABAAEAPMAAADdBQAAAAA=&#10;">
                <v:line id="Line_x0020_8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fFO8YAAADcAAAADwAAAGRycy9kb3ducmV2LnhtbESP3WrCQBSE7wu+w3IEb0rdtEJro6tI&#10;oSBe+Jc+wDF7TIK7Z2N2NdGndwuFXg4z8w0znXfWiCs1vnKs4HWYgCDOna64UPCTfb+MQfiArNE4&#10;JgU38jCf9Z6mmGrX8o6u+1CICGGfooIyhDqV0uclWfRDVxNH7+gaiyHKppC6wTbCrZFvSfIuLVYc&#10;F0qs6auk/LS/WAXZ+TmY7WZl2mxzGMnDeT26X9ZKDfrdYgIiUBf+w3/tpVYw/viE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5HxTvGAAAA3AAAAA8AAAAAAAAA&#10;AAAAAAAAoQIAAGRycy9kb3ducmV2LnhtbFBLBQYAAAAABAAEAPkAAACUAwAAAAA=&#10;" strokecolor="#231f20" strokeweight=".5pt"/>
                <w10:anchorlock/>
              </v:group>
            </w:pict>
          </mc:Fallback>
        </mc:AlternateContent>
      </w:r>
    </w:p>
    <w:p w14:paraId="28506D57" w14:textId="77777777" w:rsidR="00DE575E" w:rsidRDefault="00DE575E">
      <w:pPr>
        <w:pStyle w:val="BodyText"/>
        <w:spacing w:before="6"/>
        <w:rPr>
          <w:rFonts w:ascii="AdonisC"/>
          <w:i/>
          <w:sz w:val="11"/>
        </w:rPr>
      </w:pPr>
    </w:p>
    <w:p w14:paraId="307F5987" w14:textId="77777777" w:rsidR="00DE575E" w:rsidRDefault="002E7560">
      <w:pPr>
        <w:pStyle w:val="Heading4"/>
        <w:spacing w:before="100"/>
        <w:ind w:left="1652"/>
        <w:rPr>
          <w:sz w:val="13"/>
        </w:rPr>
      </w:pPr>
      <w:r>
        <w:rPr>
          <w:color w:val="231F20"/>
        </w:rPr>
        <w:t>7.2. Форми публічного адміністрування</w:t>
      </w:r>
      <w:r>
        <w:rPr>
          <w:color w:val="231F20"/>
          <w:position w:val="7"/>
          <w:sz w:val="13"/>
        </w:rPr>
        <w:t>1</w:t>
      </w:r>
    </w:p>
    <w:p w14:paraId="209A6F5B" w14:textId="77777777" w:rsidR="00DE575E" w:rsidRDefault="00DE575E">
      <w:pPr>
        <w:pStyle w:val="BodyText"/>
        <w:rPr>
          <w:b/>
          <w:sz w:val="26"/>
        </w:rPr>
      </w:pPr>
    </w:p>
    <w:p w14:paraId="5FAEAB55" w14:textId="77777777" w:rsidR="00DE575E" w:rsidRDefault="002E7560">
      <w:pPr>
        <w:pStyle w:val="Heading5"/>
        <w:numPr>
          <w:ilvl w:val="2"/>
          <w:numId w:val="208"/>
        </w:numPr>
        <w:tabs>
          <w:tab w:val="left" w:pos="1383"/>
        </w:tabs>
        <w:spacing w:before="223" w:line="252" w:lineRule="auto"/>
        <w:ind w:right="1614" w:firstLine="0"/>
        <w:jc w:val="left"/>
        <w:rPr>
          <w:sz w:val="12"/>
        </w:rPr>
      </w:pPr>
      <w:r>
        <w:rPr>
          <w:color w:val="231F20"/>
        </w:rPr>
        <w:t>Нормативно-правовий акт як інструмент публічного</w:t>
      </w:r>
      <w:r>
        <w:rPr>
          <w:color w:val="231F20"/>
          <w:spacing w:val="-2"/>
        </w:rPr>
        <w:t xml:space="preserve"> </w:t>
      </w:r>
      <w:r>
        <w:rPr>
          <w:color w:val="231F20"/>
        </w:rPr>
        <w:t>адміністрування</w:t>
      </w:r>
      <w:r>
        <w:rPr>
          <w:color w:val="231F20"/>
          <w:position w:val="7"/>
          <w:sz w:val="12"/>
        </w:rPr>
        <w:t>2</w:t>
      </w:r>
    </w:p>
    <w:p w14:paraId="4AEFBB56" w14:textId="77777777" w:rsidR="00DE575E" w:rsidRDefault="00DE575E">
      <w:pPr>
        <w:pStyle w:val="BodyText"/>
        <w:spacing w:before="1"/>
        <w:rPr>
          <w:b/>
          <w:sz w:val="22"/>
        </w:rPr>
      </w:pPr>
    </w:p>
    <w:p w14:paraId="69F2BBD0" w14:textId="77777777" w:rsidR="00DE575E" w:rsidRDefault="002E7560">
      <w:pPr>
        <w:pStyle w:val="BodyText"/>
        <w:spacing w:line="252" w:lineRule="auto"/>
        <w:ind w:left="533" w:right="128" w:firstLine="283"/>
        <w:jc w:val="both"/>
      </w:pPr>
      <w:r>
        <w:rPr>
          <w:color w:val="231F20"/>
          <w:spacing w:val="-3"/>
        </w:rPr>
        <w:t xml:space="preserve">Ухвалення </w:t>
      </w:r>
      <w:r>
        <w:rPr>
          <w:color w:val="231F20"/>
        </w:rPr>
        <w:t>норм права підзаконного характеру в процесі адмі- ністративної діяльності публічної адміністрації – це</w:t>
      </w:r>
      <w:r>
        <w:rPr>
          <w:color w:val="231F20"/>
        </w:rPr>
        <w:t xml:space="preserve"> адміністра- тивна правотворчість, яка здійснюється у формі видання органами та</w:t>
      </w:r>
      <w:r>
        <w:rPr>
          <w:color w:val="231F20"/>
          <w:spacing w:val="-9"/>
        </w:rPr>
        <w:t xml:space="preserve"> </w:t>
      </w:r>
      <w:r>
        <w:rPr>
          <w:color w:val="231F20"/>
        </w:rPr>
        <w:t>посадовими</w:t>
      </w:r>
      <w:r>
        <w:rPr>
          <w:color w:val="231F20"/>
          <w:spacing w:val="-9"/>
        </w:rPr>
        <w:t xml:space="preserve"> </w:t>
      </w:r>
      <w:r>
        <w:rPr>
          <w:color w:val="231F20"/>
        </w:rPr>
        <w:t>особами</w:t>
      </w:r>
      <w:r>
        <w:rPr>
          <w:color w:val="231F20"/>
          <w:spacing w:val="-9"/>
        </w:rPr>
        <w:t xml:space="preserve"> </w:t>
      </w:r>
      <w:r>
        <w:rPr>
          <w:color w:val="231F20"/>
        </w:rPr>
        <w:t>публічної</w:t>
      </w:r>
      <w:r>
        <w:rPr>
          <w:color w:val="231F20"/>
          <w:spacing w:val="-9"/>
        </w:rPr>
        <w:t xml:space="preserve"> </w:t>
      </w:r>
      <w:r>
        <w:rPr>
          <w:color w:val="231F20"/>
        </w:rPr>
        <w:t>адміністрації</w:t>
      </w:r>
      <w:r>
        <w:rPr>
          <w:color w:val="231F20"/>
          <w:spacing w:val="-9"/>
        </w:rPr>
        <w:t xml:space="preserve"> </w:t>
      </w:r>
      <w:r>
        <w:rPr>
          <w:color w:val="231F20"/>
        </w:rPr>
        <w:t>актів</w:t>
      </w:r>
      <w:r>
        <w:rPr>
          <w:color w:val="231F20"/>
          <w:spacing w:val="-9"/>
        </w:rPr>
        <w:t xml:space="preserve"> </w:t>
      </w:r>
      <w:r>
        <w:rPr>
          <w:color w:val="231F20"/>
        </w:rPr>
        <w:t>неперсоніфіко- ваного (загального) характеру –</w:t>
      </w:r>
      <w:r>
        <w:rPr>
          <w:color w:val="231F20"/>
          <w:spacing w:val="-4"/>
        </w:rPr>
        <w:t xml:space="preserve"> </w:t>
      </w:r>
      <w:r>
        <w:rPr>
          <w:color w:val="231F20"/>
        </w:rPr>
        <w:t>нормативних.</w:t>
      </w:r>
    </w:p>
    <w:p w14:paraId="201C1825" w14:textId="77777777" w:rsidR="00DE575E" w:rsidRDefault="002E7560">
      <w:pPr>
        <w:pStyle w:val="BodyText"/>
        <w:spacing w:before="2" w:line="252" w:lineRule="auto"/>
        <w:ind w:left="533" w:right="127" w:firstLine="283"/>
        <w:jc w:val="both"/>
      </w:pPr>
      <w:r>
        <w:rPr>
          <w:color w:val="231F20"/>
        </w:rPr>
        <w:t>Це викликано тим, що загальні норми і правила поведінки, сфор- муль</w:t>
      </w:r>
      <w:r>
        <w:rPr>
          <w:color w:val="231F20"/>
        </w:rPr>
        <w:t>овані</w:t>
      </w:r>
      <w:r>
        <w:rPr>
          <w:color w:val="231F20"/>
          <w:spacing w:val="-14"/>
        </w:rPr>
        <w:t xml:space="preserve"> </w:t>
      </w:r>
      <w:r>
        <w:rPr>
          <w:color w:val="231F20"/>
        </w:rPr>
        <w:t>в</w:t>
      </w:r>
      <w:r>
        <w:rPr>
          <w:color w:val="231F20"/>
          <w:spacing w:val="-15"/>
        </w:rPr>
        <w:t xml:space="preserve"> </w:t>
      </w:r>
      <w:r>
        <w:rPr>
          <w:color w:val="231F20"/>
        </w:rPr>
        <w:t>законах,</w:t>
      </w:r>
      <w:r>
        <w:rPr>
          <w:color w:val="231F20"/>
          <w:spacing w:val="-14"/>
        </w:rPr>
        <w:t xml:space="preserve"> </w:t>
      </w:r>
      <w:r>
        <w:rPr>
          <w:color w:val="231F20"/>
        </w:rPr>
        <w:t>не</w:t>
      </w:r>
      <w:r>
        <w:rPr>
          <w:color w:val="231F20"/>
          <w:spacing w:val="-14"/>
        </w:rPr>
        <w:t xml:space="preserve"> </w:t>
      </w:r>
      <w:r>
        <w:rPr>
          <w:color w:val="231F20"/>
        </w:rPr>
        <w:t>в</w:t>
      </w:r>
      <w:r>
        <w:rPr>
          <w:color w:val="231F20"/>
          <w:spacing w:val="-15"/>
        </w:rPr>
        <w:t xml:space="preserve"> </w:t>
      </w:r>
      <w:r>
        <w:rPr>
          <w:color w:val="231F20"/>
        </w:rPr>
        <w:t>змозі</w:t>
      </w:r>
      <w:r>
        <w:rPr>
          <w:color w:val="231F20"/>
          <w:spacing w:val="-14"/>
        </w:rPr>
        <w:t xml:space="preserve"> </w:t>
      </w:r>
      <w:r>
        <w:rPr>
          <w:color w:val="231F20"/>
        </w:rPr>
        <w:t>охопити</w:t>
      </w:r>
      <w:r>
        <w:rPr>
          <w:color w:val="231F20"/>
          <w:spacing w:val="-14"/>
        </w:rPr>
        <w:t xml:space="preserve"> </w:t>
      </w:r>
      <w:r>
        <w:rPr>
          <w:color w:val="231F20"/>
        </w:rPr>
        <w:t>всіх</w:t>
      </w:r>
      <w:r>
        <w:rPr>
          <w:color w:val="231F20"/>
          <w:spacing w:val="-14"/>
        </w:rPr>
        <w:t xml:space="preserve"> </w:t>
      </w:r>
      <w:r>
        <w:rPr>
          <w:color w:val="231F20"/>
        </w:rPr>
        <w:t>аспектів,</w:t>
      </w:r>
      <w:r>
        <w:rPr>
          <w:color w:val="231F20"/>
          <w:spacing w:val="-14"/>
        </w:rPr>
        <w:t xml:space="preserve"> </w:t>
      </w:r>
      <w:r>
        <w:rPr>
          <w:color w:val="231F20"/>
        </w:rPr>
        <w:t>які</w:t>
      </w:r>
      <w:r>
        <w:rPr>
          <w:color w:val="231F20"/>
          <w:spacing w:val="-14"/>
        </w:rPr>
        <w:t xml:space="preserve"> </w:t>
      </w:r>
      <w:r>
        <w:rPr>
          <w:color w:val="231F20"/>
        </w:rPr>
        <w:t>потребують додаткового</w:t>
      </w:r>
      <w:r>
        <w:rPr>
          <w:color w:val="231F20"/>
          <w:spacing w:val="-9"/>
        </w:rPr>
        <w:t xml:space="preserve"> </w:t>
      </w:r>
      <w:r>
        <w:rPr>
          <w:color w:val="231F20"/>
        </w:rPr>
        <w:t>врегулювання</w:t>
      </w:r>
      <w:r>
        <w:rPr>
          <w:color w:val="231F20"/>
          <w:spacing w:val="-9"/>
        </w:rPr>
        <w:t xml:space="preserve"> </w:t>
      </w:r>
      <w:r>
        <w:rPr>
          <w:color w:val="231F20"/>
        </w:rPr>
        <w:t>нормами</w:t>
      </w:r>
      <w:r>
        <w:rPr>
          <w:color w:val="231F20"/>
          <w:spacing w:val="-9"/>
        </w:rPr>
        <w:t xml:space="preserve"> </w:t>
      </w:r>
      <w:r>
        <w:rPr>
          <w:color w:val="231F20"/>
        </w:rPr>
        <w:t>адміністративного</w:t>
      </w:r>
      <w:r>
        <w:rPr>
          <w:color w:val="231F20"/>
          <w:spacing w:val="-9"/>
        </w:rPr>
        <w:t xml:space="preserve"> </w:t>
      </w:r>
      <w:r>
        <w:rPr>
          <w:color w:val="231F20"/>
        </w:rPr>
        <w:t>права.</w:t>
      </w:r>
      <w:r>
        <w:rPr>
          <w:color w:val="231F20"/>
          <w:spacing w:val="-9"/>
        </w:rPr>
        <w:t xml:space="preserve"> </w:t>
      </w:r>
      <w:r>
        <w:rPr>
          <w:color w:val="231F20"/>
          <w:spacing w:val="-5"/>
        </w:rPr>
        <w:t xml:space="preserve">Тому </w:t>
      </w:r>
      <w:r>
        <w:rPr>
          <w:color w:val="231F20"/>
        </w:rPr>
        <w:t>й</w:t>
      </w:r>
      <w:r>
        <w:rPr>
          <w:color w:val="231F20"/>
          <w:spacing w:val="-12"/>
        </w:rPr>
        <w:t xml:space="preserve"> </w:t>
      </w:r>
      <w:r>
        <w:rPr>
          <w:color w:val="231F20"/>
        </w:rPr>
        <w:t>виникає</w:t>
      </w:r>
      <w:r>
        <w:rPr>
          <w:color w:val="231F20"/>
          <w:spacing w:val="-12"/>
        </w:rPr>
        <w:t xml:space="preserve"> </w:t>
      </w:r>
      <w:r>
        <w:rPr>
          <w:color w:val="231F20"/>
        </w:rPr>
        <w:t>потреба</w:t>
      </w:r>
      <w:r>
        <w:rPr>
          <w:color w:val="231F20"/>
          <w:spacing w:val="-12"/>
        </w:rPr>
        <w:t xml:space="preserve"> </w:t>
      </w:r>
      <w:r>
        <w:rPr>
          <w:color w:val="231F20"/>
        </w:rPr>
        <w:t>в</w:t>
      </w:r>
      <w:r>
        <w:rPr>
          <w:color w:val="231F20"/>
          <w:spacing w:val="-11"/>
        </w:rPr>
        <w:t xml:space="preserve"> </w:t>
      </w:r>
      <w:r>
        <w:rPr>
          <w:color w:val="231F20"/>
        </w:rPr>
        <w:t>конкретизації</w:t>
      </w:r>
      <w:r>
        <w:rPr>
          <w:color w:val="231F20"/>
          <w:spacing w:val="-12"/>
        </w:rPr>
        <w:t xml:space="preserve"> </w:t>
      </w:r>
      <w:r>
        <w:rPr>
          <w:color w:val="231F20"/>
        </w:rPr>
        <w:t>та</w:t>
      </w:r>
      <w:r>
        <w:rPr>
          <w:color w:val="231F20"/>
          <w:spacing w:val="-12"/>
        </w:rPr>
        <w:t xml:space="preserve"> </w:t>
      </w:r>
      <w:r>
        <w:rPr>
          <w:color w:val="231F20"/>
        </w:rPr>
        <w:t>деталізації</w:t>
      </w:r>
      <w:r>
        <w:rPr>
          <w:color w:val="231F20"/>
          <w:spacing w:val="-12"/>
        </w:rPr>
        <w:t xml:space="preserve"> </w:t>
      </w:r>
      <w:r>
        <w:rPr>
          <w:color w:val="231F20"/>
        </w:rPr>
        <w:t>законодавчих</w:t>
      </w:r>
      <w:r>
        <w:rPr>
          <w:color w:val="231F20"/>
          <w:spacing w:val="-12"/>
        </w:rPr>
        <w:t xml:space="preserve"> </w:t>
      </w:r>
      <w:r>
        <w:rPr>
          <w:color w:val="231F20"/>
        </w:rPr>
        <w:t>норм до стадії їх</w:t>
      </w:r>
      <w:r>
        <w:rPr>
          <w:color w:val="231F20"/>
          <w:spacing w:val="-3"/>
        </w:rPr>
        <w:t xml:space="preserve"> </w:t>
      </w:r>
      <w:r>
        <w:rPr>
          <w:color w:val="231F20"/>
        </w:rPr>
        <w:t>правозастосування</w:t>
      </w:r>
      <w:r>
        <w:rPr>
          <w:color w:val="231F20"/>
          <w:position w:val="7"/>
          <w:sz w:val="12"/>
        </w:rPr>
        <w:t>3</w:t>
      </w:r>
      <w:r>
        <w:rPr>
          <w:color w:val="231F20"/>
        </w:rPr>
        <w:t>.</w:t>
      </w:r>
    </w:p>
    <w:p w14:paraId="70D70766" w14:textId="77777777" w:rsidR="00DE575E" w:rsidRDefault="002E7560">
      <w:pPr>
        <w:pStyle w:val="Heading6"/>
        <w:spacing w:before="3"/>
        <w:ind w:left="817" w:firstLine="0"/>
      </w:pPr>
      <w:r>
        <w:rPr>
          <w:color w:val="231F20"/>
        </w:rPr>
        <w:t>Нормативним актам властиві такі ознаки:</w:t>
      </w:r>
    </w:p>
    <w:p w14:paraId="0443CA98" w14:textId="77777777" w:rsidR="00DE575E" w:rsidRDefault="002E7560">
      <w:pPr>
        <w:pStyle w:val="ListParagraph"/>
        <w:numPr>
          <w:ilvl w:val="0"/>
          <w:numId w:val="207"/>
        </w:numPr>
        <w:tabs>
          <w:tab w:val="left" w:pos="1101"/>
        </w:tabs>
        <w:spacing w:before="12" w:line="252" w:lineRule="auto"/>
        <w:ind w:right="128" w:firstLine="284"/>
        <w:rPr>
          <w:sz w:val="21"/>
        </w:rPr>
      </w:pPr>
      <w:r>
        <w:rPr>
          <w:color w:val="231F20"/>
          <w:sz w:val="21"/>
        </w:rPr>
        <w:t>вони є інструментом публічного адміністрування, за допомо- гою якого публічна адміністрація здійснює адміністративну діяль- ність щодо виконання адміністративних</w:t>
      </w:r>
      <w:r>
        <w:rPr>
          <w:color w:val="231F20"/>
          <w:spacing w:val="-5"/>
          <w:sz w:val="21"/>
        </w:rPr>
        <w:t xml:space="preserve"> </w:t>
      </w:r>
      <w:r>
        <w:rPr>
          <w:color w:val="231F20"/>
          <w:sz w:val="21"/>
        </w:rPr>
        <w:t>зобов’язань;</w:t>
      </w:r>
    </w:p>
    <w:p w14:paraId="37BFEA7B" w14:textId="77777777" w:rsidR="00DE575E" w:rsidRDefault="002E7560">
      <w:pPr>
        <w:pStyle w:val="ListParagraph"/>
        <w:numPr>
          <w:ilvl w:val="0"/>
          <w:numId w:val="207"/>
        </w:numPr>
        <w:tabs>
          <w:tab w:val="left" w:pos="1101"/>
        </w:tabs>
        <w:spacing w:before="2" w:line="252" w:lineRule="auto"/>
        <w:ind w:right="127" w:firstLine="284"/>
        <w:rPr>
          <w:sz w:val="21"/>
        </w:rPr>
      </w:pPr>
      <w:r>
        <w:rPr>
          <w:color w:val="231F20"/>
          <w:sz w:val="21"/>
        </w:rPr>
        <w:t>без них не може існувати публічне адмініс</w:t>
      </w:r>
      <w:r>
        <w:rPr>
          <w:color w:val="231F20"/>
          <w:sz w:val="21"/>
        </w:rPr>
        <w:t xml:space="preserve">трування, </w:t>
      </w:r>
      <w:r>
        <w:rPr>
          <w:color w:val="231F20"/>
          <w:spacing w:val="-4"/>
          <w:sz w:val="21"/>
        </w:rPr>
        <w:t xml:space="preserve">суб’єкти </w:t>
      </w:r>
      <w:r>
        <w:rPr>
          <w:color w:val="231F20"/>
          <w:sz w:val="21"/>
        </w:rPr>
        <w:t xml:space="preserve">публічної адміністрації </w:t>
      </w:r>
      <w:r>
        <w:rPr>
          <w:color w:val="231F20"/>
          <w:spacing w:val="-3"/>
          <w:sz w:val="21"/>
        </w:rPr>
        <w:t xml:space="preserve">будуть </w:t>
      </w:r>
      <w:r>
        <w:rPr>
          <w:color w:val="231F20"/>
          <w:sz w:val="21"/>
        </w:rPr>
        <w:t>не в змозі забезпечувати права, свободи та законні інтереси приватних осіб, адже норми адмініст- ративного права сформульовані в законах, не в змозі охопити всіх аспектів,</w:t>
      </w:r>
      <w:r>
        <w:rPr>
          <w:color w:val="231F20"/>
          <w:spacing w:val="-14"/>
          <w:sz w:val="21"/>
        </w:rPr>
        <w:t xml:space="preserve"> </w:t>
      </w:r>
      <w:r>
        <w:rPr>
          <w:color w:val="231F20"/>
          <w:sz w:val="21"/>
        </w:rPr>
        <w:t>які</w:t>
      </w:r>
      <w:r>
        <w:rPr>
          <w:color w:val="231F20"/>
          <w:spacing w:val="-14"/>
          <w:sz w:val="21"/>
        </w:rPr>
        <w:t xml:space="preserve"> </w:t>
      </w:r>
      <w:r>
        <w:rPr>
          <w:color w:val="231F20"/>
          <w:sz w:val="21"/>
        </w:rPr>
        <w:t>потребують</w:t>
      </w:r>
      <w:r>
        <w:rPr>
          <w:color w:val="231F20"/>
          <w:spacing w:val="-14"/>
          <w:sz w:val="21"/>
        </w:rPr>
        <w:t xml:space="preserve"> </w:t>
      </w:r>
      <w:r>
        <w:rPr>
          <w:color w:val="231F20"/>
          <w:sz w:val="21"/>
        </w:rPr>
        <w:t>адміністративно-правового</w:t>
      </w:r>
      <w:r>
        <w:rPr>
          <w:color w:val="231F20"/>
          <w:spacing w:val="-14"/>
          <w:sz w:val="21"/>
        </w:rPr>
        <w:t xml:space="preserve"> </w:t>
      </w:r>
      <w:r>
        <w:rPr>
          <w:color w:val="231F20"/>
          <w:sz w:val="21"/>
        </w:rPr>
        <w:t>урегулювання, і тому виникає потреба в конкретизації та деталізації їх до стадії правозастосування;</w:t>
      </w:r>
    </w:p>
    <w:p w14:paraId="5893528A" w14:textId="77777777" w:rsidR="00DE575E" w:rsidRDefault="002E7560">
      <w:pPr>
        <w:pStyle w:val="ListParagraph"/>
        <w:numPr>
          <w:ilvl w:val="0"/>
          <w:numId w:val="207"/>
        </w:numPr>
        <w:tabs>
          <w:tab w:val="left" w:pos="1101"/>
        </w:tabs>
        <w:spacing w:before="3" w:line="252" w:lineRule="auto"/>
        <w:ind w:right="128" w:firstLine="284"/>
        <w:rPr>
          <w:sz w:val="21"/>
        </w:rPr>
      </w:pPr>
      <w:r>
        <w:rPr>
          <w:color w:val="231F20"/>
          <w:sz w:val="21"/>
        </w:rPr>
        <w:t xml:space="preserve">вони мають подвійну юридичну природу: по-перше, є інстру- ментом адміністративної діяльності </w:t>
      </w:r>
      <w:r>
        <w:rPr>
          <w:color w:val="231F20"/>
          <w:spacing w:val="-3"/>
          <w:sz w:val="21"/>
        </w:rPr>
        <w:t xml:space="preserve">суб’єктів </w:t>
      </w:r>
      <w:r>
        <w:rPr>
          <w:color w:val="231F20"/>
          <w:sz w:val="21"/>
        </w:rPr>
        <w:t>публічної адміністра- ції; по-друге, є нормами адміністративного</w:t>
      </w:r>
      <w:r>
        <w:rPr>
          <w:color w:val="231F20"/>
          <w:spacing w:val="-4"/>
          <w:sz w:val="21"/>
        </w:rPr>
        <w:t xml:space="preserve"> </w:t>
      </w:r>
      <w:r>
        <w:rPr>
          <w:color w:val="231F20"/>
          <w:sz w:val="21"/>
        </w:rPr>
        <w:t>права.</w:t>
      </w:r>
    </w:p>
    <w:p w14:paraId="26D25A84" w14:textId="77777777" w:rsidR="00DE575E" w:rsidRDefault="002E7560">
      <w:pPr>
        <w:pStyle w:val="BodyText"/>
        <w:spacing w:before="2" w:line="252" w:lineRule="auto"/>
        <w:ind w:left="533" w:right="128" w:firstLine="283"/>
        <w:jc w:val="both"/>
      </w:pPr>
      <w:r>
        <w:rPr>
          <w:color w:val="231F20"/>
        </w:rPr>
        <w:t>Це правотворчий підзаконний напрямок адміністративної діяль- ності публічної адміністрації (адміністративна правотворчість), що</w:t>
      </w:r>
    </w:p>
    <w:p w14:paraId="6EE74062" w14:textId="0EAB176A" w:rsidR="00DE575E" w:rsidRDefault="002E7560">
      <w:pPr>
        <w:pStyle w:val="BodyText"/>
        <w:spacing w:before="3"/>
        <w:rPr>
          <w:sz w:val="20"/>
        </w:rPr>
      </w:pPr>
      <w:r>
        <w:rPr>
          <w:noProof/>
        </w:rPr>
        <mc:AlternateContent>
          <mc:Choice Requires="wps">
            <w:drawing>
              <wp:anchor distT="0" distB="0" distL="0" distR="0" simplePos="0" relativeHeight="8680" behindDoc="0" locked="0" layoutInCell="1" allowOverlap="1" wp14:anchorId="5D30CAC3" wp14:editId="5DC5F73F">
                <wp:simplePos x="0" y="0"/>
                <wp:positionH relativeFrom="page">
                  <wp:posOffset>719455</wp:posOffset>
                </wp:positionH>
                <wp:positionV relativeFrom="paragraph">
                  <wp:posOffset>178435</wp:posOffset>
                </wp:positionV>
                <wp:extent cx="1080135" cy="0"/>
                <wp:effectExtent l="8255" t="13335" r="29210" b="24765"/>
                <wp:wrapTopAndBottom/>
                <wp:docPr id="877"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18B7B" id="Line_x0020_876" o:spid="_x0000_s1026" style="position:absolute;z-index:8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05pt" to="141.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" strokecolor="#231f20" strokeweight=".5pt">
                <w10:wrap type="topAndBottom" anchorx="page"/>
              </v:line>
            </w:pict>
          </mc:Fallback>
        </mc:AlternateContent>
      </w:r>
    </w:p>
    <w:p w14:paraId="389DE5EA" w14:textId="77777777" w:rsidR="00DE575E" w:rsidRDefault="002E7560">
      <w:pPr>
        <w:spacing w:line="204" w:lineRule="auto"/>
        <w:ind w:left="533" w:right="128"/>
        <w:jc w:val="both"/>
        <w:rPr>
          <w:b/>
          <w:sz w:val="16"/>
        </w:rPr>
      </w:pPr>
      <w:r>
        <w:rPr>
          <w:color w:val="231F20"/>
          <w:position w:val="5"/>
          <w:sz w:val="9"/>
        </w:rPr>
        <w:t xml:space="preserve">1  </w:t>
      </w:r>
      <w:r>
        <w:rPr>
          <w:color w:val="231F20"/>
          <w:sz w:val="16"/>
        </w:rPr>
        <w:t>Використано праці д.ю.н., професора, дійсного члена</w:t>
      </w:r>
      <w:r>
        <w:rPr>
          <w:color w:val="231F20"/>
          <w:sz w:val="16"/>
        </w:rPr>
        <w:t xml:space="preserve"> (академіка) Національної акаде- мії правових наук України </w:t>
      </w:r>
      <w:r>
        <w:rPr>
          <w:b/>
          <w:color w:val="231F20"/>
          <w:sz w:val="16"/>
        </w:rPr>
        <w:t>Юрія</w:t>
      </w:r>
      <w:r>
        <w:rPr>
          <w:b/>
          <w:color w:val="231F20"/>
          <w:spacing w:val="-4"/>
          <w:sz w:val="16"/>
        </w:rPr>
        <w:t xml:space="preserve"> </w:t>
      </w:r>
      <w:r>
        <w:rPr>
          <w:b/>
          <w:color w:val="231F20"/>
          <w:sz w:val="16"/>
        </w:rPr>
        <w:t>Битяка.</w:t>
      </w:r>
    </w:p>
    <w:p w14:paraId="1C8A14A8" w14:textId="77777777" w:rsidR="00DE575E" w:rsidRDefault="002E7560">
      <w:pPr>
        <w:spacing w:before="3"/>
        <w:ind w:left="533"/>
        <w:rPr>
          <w:b/>
          <w:sz w:val="16"/>
        </w:rPr>
      </w:pPr>
      <w:r>
        <w:rPr>
          <w:color w:val="231F20"/>
          <w:position w:val="5"/>
          <w:sz w:val="9"/>
        </w:rPr>
        <w:t xml:space="preserve">2 </w:t>
      </w:r>
      <w:r>
        <w:rPr>
          <w:color w:val="231F20"/>
          <w:sz w:val="16"/>
        </w:rPr>
        <w:t xml:space="preserve">Автор: д.ю.н., професор </w:t>
      </w:r>
      <w:r>
        <w:rPr>
          <w:b/>
          <w:color w:val="231F20"/>
          <w:sz w:val="16"/>
        </w:rPr>
        <w:t>Юрій Легеза.</w:t>
      </w:r>
    </w:p>
    <w:p w14:paraId="784731EB" w14:textId="77777777" w:rsidR="00DE575E" w:rsidRDefault="002E7560">
      <w:pPr>
        <w:spacing w:before="24" w:line="204" w:lineRule="auto"/>
        <w:ind w:left="533" w:right="127"/>
        <w:jc w:val="both"/>
        <w:rPr>
          <w:i/>
          <w:sz w:val="16"/>
        </w:rPr>
      </w:pPr>
      <w:r>
        <w:rPr>
          <w:color w:val="231F20"/>
          <w:position w:val="5"/>
          <w:sz w:val="9"/>
        </w:rPr>
        <w:t xml:space="preserve">3 </w:t>
      </w:r>
      <w:r>
        <w:rPr>
          <w:i/>
          <w:color w:val="231F20"/>
          <w:sz w:val="16"/>
          <w:u w:val="single" w:color="231F20"/>
        </w:rPr>
        <w:t>Наприклад</w:t>
      </w:r>
      <w:r>
        <w:rPr>
          <w:i/>
          <w:color w:val="231F20"/>
          <w:sz w:val="16"/>
        </w:rPr>
        <w:t>, Міністерство охорони здоров’я на основі ст. 35-1 Основ законодавства України про охорону здоров’я та ст. 9 Закону України «Про держа</w:t>
      </w:r>
      <w:r>
        <w:rPr>
          <w:i/>
          <w:color w:val="231F20"/>
          <w:sz w:val="16"/>
        </w:rPr>
        <w:t>вні фінансові гарантії медичного обслуговування населення», з метою врегулювання механізму вибору лікаря, який надає первинну медичну допомогу, видало Наказ від 19 березня 2018 р. № 503, згідно    з яким затверджено Порядок вибору лікаря, який надає первин</w:t>
      </w:r>
      <w:r>
        <w:rPr>
          <w:i/>
          <w:color w:val="231F20"/>
          <w:sz w:val="16"/>
        </w:rPr>
        <w:t>ну медичну допомогу, та форму декларації про вибір такого</w:t>
      </w:r>
      <w:r>
        <w:rPr>
          <w:i/>
          <w:color w:val="231F20"/>
          <w:spacing w:val="-6"/>
          <w:sz w:val="16"/>
        </w:rPr>
        <w:t xml:space="preserve"> </w:t>
      </w:r>
      <w:r>
        <w:rPr>
          <w:i/>
          <w:color w:val="231F20"/>
          <w:sz w:val="16"/>
        </w:rPr>
        <w:t>лікаря.</w:t>
      </w:r>
    </w:p>
    <w:p w14:paraId="5E52E9BF" w14:textId="77777777" w:rsidR="00DE575E" w:rsidRDefault="00DE575E">
      <w:pPr>
        <w:pStyle w:val="BodyText"/>
        <w:spacing w:before="7"/>
        <w:rPr>
          <w:i/>
          <w:sz w:val="12"/>
        </w:rPr>
      </w:pPr>
    </w:p>
    <w:p w14:paraId="2DDE3B73" w14:textId="77777777" w:rsidR="00DE575E" w:rsidRDefault="002E7560">
      <w:pPr>
        <w:spacing w:before="91"/>
        <w:ind w:left="533"/>
        <w:rPr>
          <w:rFonts w:ascii="Times New Roman"/>
          <w:sz w:val="20"/>
        </w:rPr>
      </w:pPr>
      <w:r>
        <w:rPr>
          <w:rFonts w:ascii="Times New Roman"/>
          <w:color w:val="231F20"/>
          <w:sz w:val="20"/>
        </w:rPr>
        <w:t>212</w:t>
      </w:r>
    </w:p>
    <w:p w14:paraId="419B764E" w14:textId="77777777" w:rsidR="00DE575E" w:rsidRDefault="00DE575E">
      <w:pPr>
        <w:rPr>
          <w:rFonts w:ascii="Times New Roman"/>
          <w:sz w:val="20"/>
        </w:rPr>
        <w:sectPr w:rsidR="00DE575E">
          <w:pgSz w:w="8510" w:h="12760"/>
          <w:pgMar w:top="660" w:right="720" w:bottom="280" w:left="600" w:header="720" w:footer="720" w:gutter="0"/>
          <w:cols w:space="720"/>
        </w:sectPr>
      </w:pPr>
    </w:p>
    <w:p w14:paraId="04166BC7"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B3151CF" w14:textId="2E0EC90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3DF7C06" wp14:editId="6EE3A3C6">
                <wp:extent cx="4140200" cy="6350"/>
                <wp:effectExtent l="0" t="0" r="12700" b="6350"/>
                <wp:docPr id="875"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76" name="Line 8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14B9B9" id="Group_x0020_8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bopMagAIAAJgFAAAO&#10;AAAAAAAAAAAAAAAAACwCAABkcnMvZTJvRG9jLnhtbFBLAQItABQABgAIAAAAIQBMp7CQ2QAAAAMB&#10;AAAPAAAAAAAAAAAAAAAAANgEAABkcnMvZG93bnJldi54bWxQSwUGAAAAAAQABADzAAAA3gUAAAAA&#10;">
                <v:line id="Line_x0020_8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hRScYAAADcAAAADwAAAGRycy9kb3ducmV2LnhtbESP3WrCQBSE7wXfYTmF3kjdtIJKdBUp&#10;FEov/Esf4Jg9JqG7Z2N2NalP7wqCl8PMfMPMl5014kKNrxwreB8mIIhzpysuFPxmX29TED4gazSO&#10;ScE/eVgu+r05ptq1vKPLPhQiQtinqKAMoU6l9HlJFv3Q1cTRO7rGYoiyKaRusI1wa+RHkoylxYrj&#10;Qok1fZaU/+3PVkF2GgSz3fyYNtscRvJwWo+u57VSry/dagYiUBee4Uf7WyuYTsZ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YUUnGAAAA3AAAAA8AAAAAAAAA&#10;AAAAAAAAoQIAAGRycy9kb3ducmV2LnhtbFBLBQYAAAAABAAEAPkAAACUAwAAAAA=&#10;" strokecolor="#231f20" strokeweight=".5pt"/>
                <w10:anchorlock/>
              </v:group>
            </w:pict>
          </mc:Fallback>
        </mc:AlternateContent>
      </w:r>
    </w:p>
    <w:p w14:paraId="5E1C6BF5" w14:textId="77777777" w:rsidR="00DE575E" w:rsidRDefault="00DE575E">
      <w:pPr>
        <w:pStyle w:val="BodyText"/>
        <w:spacing w:before="7"/>
        <w:rPr>
          <w:rFonts w:ascii="AdonisC"/>
          <w:i/>
          <w:sz w:val="19"/>
        </w:rPr>
      </w:pPr>
    </w:p>
    <w:p w14:paraId="0366764A" w14:textId="77777777" w:rsidR="00DE575E" w:rsidRDefault="002E7560">
      <w:pPr>
        <w:pStyle w:val="BodyText"/>
        <w:spacing w:before="1" w:line="244" w:lineRule="auto"/>
        <w:ind w:left="250" w:right="411"/>
        <w:jc w:val="both"/>
      </w:pPr>
      <w:r>
        <w:rPr>
          <w:color w:val="231F20"/>
        </w:rPr>
        <w:t>передбачає розпорядчу діяльність, спрямовану на розроблення та встановлення підзаконних правил загального характеру, які мають владний характер відповідно до вольової сутності адміністратив- ного права, спричиняють нормативні наслідки в ході реалізації зав</w:t>
      </w:r>
      <w:r>
        <w:rPr>
          <w:color w:val="231F20"/>
        </w:rPr>
        <w:t>дань публічної адміністрації;</w:t>
      </w:r>
    </w:p>
    <w:p w14:paraId="0CD4B806" w14:textId="77777777" w:rsidR="00DE575E" w:rsidRDefault="002E7560">
      <w:pPr>
        <w:pStyle w:val="BodyText"/>
        <w:spacing w:before="4" w:line="244"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здійснюються у формі видання суб’єктами публічної адмініст- рації актів неперсоніфікованого характеру – офіційних документів;</w:t>
      </w:r>
    </w:p>
    <w:p w14:paraId="57A46810" w14:textId="77777777" w:rsidR="00DE575E" w:rsidRDefault="002E7560">
      <w:pPr>
        <w:pStyle w:val="BodyText"/>
        <w:spacing w:before="2" w:line="244" w:lineRule="auto"/>
        <w:ind w:left="250" w:right="412" w:firstLine="283"/>
        <w:jc w:val="both"/>
      </w:pPr>
      <w:r>
        <w:rPr>
          <w:rFonts w:ascii="Wingdings" w:hAnsi="Wingdings"/>
          <w:color w:val="231F20"/>
        </w:rPr>
        <w:t></w:t>
      </w:r>
      <w:r>
        <w:rPr>
          <w:rFonts w:ascii="Times New Roman" w:hAnsi="Times New Roman"/>
          <w:color w:val="231F20"/>
        </w:rPr>
        <w:t xml:space="preserve"> </w:t>
      </w:r>
      <w:r>
        <w:rPr>
          <w:color w:val="231F20"/>
        </w:rPr>
        <w:t>ухвалюються виключно повноважним суб’єктом публічної адміністрації у встановленому порядку й згі</w:t>
      </w:r>
      <w:r>
        <w:rPr>
          <w:color w:val="231F20"/>
        </w:rPr>
        <w:t>дно з офіційно передба- ченою процедурою;</w:t>
      </w:r>
    </w:p>
    <w:p w14:paraId="59391C41" w14:textId="77777777" w:rsidR="00DE575E" w:rsidRDefault="002E7560">
      <w:pPr>
        <w:pStyle w:val="BodyText"/>
        <w:spacing w:before="2" w:line="244"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можуть бути опротестовані або оскаржені в установленому чинним законодавством порядку (напр., у порядку адміністратив- ного судочинства);</w:t>
      </w:r>
    </w:p>
    <w:p w14:paraId="7EFDDFC6" w14:textId="77777777" w:rsidR="00DE575E" w:rsidRDefault="002E7560">
      <w:pPr>
        <w:pStyle w:val="BodyText"/>
        <w:spacing w:before="3" w:line="244"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у разі недотримання вміщених у них юридичних владних приписів спричинюют</w:t>
      </w:r>
      <w:r>
        <w:rPr>
          <w:color w:val="231F20"/>
        </w:rPr>
        <w:t>ь особливі юридичні наслідки – відповідаль- ність винної сторони;</w:t>
      </w:r>
    </w:p>
    <w:p w14:paraId="6C7E99ED" w14:textId="77777777" w:rsidR="00DE575E" w:rsidRDefault="002E7560">
      <w:pPr>
        <w:pStyle w:val="BodyText"/>
        <w:spacing w:before="3" w:line="244"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 xml:space="preserve">з </w:t>
      </w:r>
      <w:r>
        <w:rPr>
          <w:color w:val="231F20"/>
          <w:spacing w:val="-3"/>
        </w:rPr>
        <w:t xml:space="preserve">ними пов’язане розв’язання публічною адміністрацією числен- </w:t>
      </w:r>
      <w:r>
        <w:rPr>
          <w:color w:val="231F20"/>
        </w:rPr>
        <w:t xml:space="preserve">них </w:t>
      </w:r>
      <w:r>
        <w:rPr>
          <w:color w:val="231F20"/>
          <w:spacing w:val="-3"/>
        </w:rPr>
        <w:t xml:space="preserve">проблем </w:t>
      </w:r>
      <w:r>
        <w:rPr>
          <w:color w:val="231F20"/>
        </w:rPr>
        <w:t xml:space="preserve">у </w:t>
      </w:r>
      <w:r>
        <w:rPr>
          <w:color w:val="231F20"/>
          <w:spacing w:val="-3"/>
        </w:rPr>
        <w:t xml:space="preserve">різних галузях, сферах </w:t>
      </w:r>
      <w:r>
        <w:rPr>
          <w:color w:val="231F20"/>
        </w:rPr>
        <w:t xml:space="preserve">і </w:t>
      </w:r>
      <w:r>
        <w:rPr>
          <w:color w:val="231F20"/>
          <w:spacing w:val="-3"/>
        </w:rPr>
        <w:t xml:space="preserve">секторах суспільного </w:t>
      </w:r>
      <w:r>
        <w:rPr>
          <w:color w:val="231F20"/>
          <w:spacing w:val="-4"/>
        </w:rPr>
        <w:t>життя.</w:t>
      </w:r>
    </w:p>
    <w:p w14:paraId="4FE4019F" w14:textId="77777777" w:rsidR="00DE575E" w:rsidRDefault="002E7560">
      <w:pPr>
        <w:pStyle w:val="Heading5"/>
        <w:spacing w:before="2" w:line="244" w:lineRule="auto"/>
        <w:ind w:left="250" w:right="409" w:firstLine="283"/>
        <w:jc w:val="both"/>
      </w:pPr>
      <w:r>
        <w:rPr>
          <w:color w:val="231F20"/>
          <w:spacing w:val="-4"/>
        </w:rPr>
        <w:t xml:space="preserve">Отже, </w:t>
      </w:r>
      <w:r>
        <w:rPr>
          <w:color w:val="231F20"/>
        </w:rPr>
        <w:t xml:space="preserve">видання </w:t>
      </w:r>
      <w:r>
        <w:rPr>
          <w:color w:val="231F20"/>
          <w:spacing w:val="-3"/>
        </w:rPr>
        <w:t xml:space="preserve">нормативних актів </w:t>
      </w:r>
      <w:r>
        <w:rPr>
          <w:color w:val="231F20"/>
        </w:rPr>
        <w:t xml:space="preserve">– це </w:t>
      </w:r>
      <w:r>
        <w:rPr>
          <w:color w:val="231F20"/>
          <w:spacing w:val="-3"/>
        </w:rPr>
        <w:t xml:space="preserve">правотворчий підза- </w:t>
      </w:r>
      <w:r>
        <w:rPr>
          <w:color w:val="231F20"/>
          <w:spacing w:val="-4"/>
        </w:rPr>
        <w:t xml:space="preserve">конний </w:t>
      </w:r>
      <w:r>
        <w:rPr>
          <w:color w:val="231F20"/>
          <w:spacing w:val="-3"/>
        </w:rPr>
        <w:t xml:space="preserve">напрямок </w:t>
      </w:r>
      <w:r>
        <w:rPr>
          <w:color w:val="231F20"/>
        </w:rPr>
        <w:t xml:space="preserve">діяльності </w:t>
      </w:r>
      <w:r>
        <w:rPr>
          <w:color w:val="231F20"/>
          <w:spacing w:val="-3"/>
        </w:rPr>
        <w:t xml:space="preserve">публічної адміністрації, </w:t>
      </w:r>
      <w:r>
        <w:rPr>
          <w:color w:val="231F20"/>
        </w:rPr>
        <w:t xml:space="preserve">що </w:t>
      </w:r>
      <w:r>
        <w:rPr>
          <w:color w:val="231F20"/>
          <w:spacing w:val="-3"/>
        </w:rPr>
        <w:t xml:space="preserve">перед- </w:t>
      </w:r>
      <w:r>
        <w:rPr>
          <w:color w:val="231F20"/>
          <w:spacing w:val="-4"/>
        </w:rPr>
        <w:t xml:space="preserve">бачає розпорядчу </w:t>
      </w:r>
      <w:r>
        <w:rPr>
          <w:color w:val="231F20"/>
          <w:spacing w:val="-3"/>
        </w:rPr>
        <w:t xml:space="preserve">діяльність </w:t>
      </w:r>
      <w:r>
        <w:rPr>
          <w:color w:val="231F20"/>
        </w:rPr>
        <w:t xml:space="preserve">через ухвалення </w:t>
      </w:r>
      <w:r>
        <w:rPr>
          <w:color w:val="231F20"/>
          <w:spacing w:val="-3"/>
        </w:rPr>
        <w:t xml:space="preserve">правил </w:t>
      </w:r>
      <w:r>
        <w:rPr>
          <w:color w:val="231F20"/>
          <w:spacing w:val="-4"/>
        </w:rPr>
        <w:t xml:space="preserve">загального </w:t>
      </w:r>
      <w:r>
        <w:rPr>
          <w:color w:val="231F20"/>
          <w:spacing w:val="-6"/>
        </w:rPr>
        <w:t xml:space="preserve">характеру, </w:t>
      </w:r>
      <w:r>
        <w:rPr>
          <w:color w:val="231F20"/>
        </w:rPr>
        <w:t xml:space="preserve">які </w:t>
      </w:r>
      <w:r>
        <w:rPr>
          <w:color w:val="231F20"/>
          <w:spacing w:val="-4"/>
        </w:rPr>
        <w:t xml:space="preserve">породжують </w:t>
      </w:r>
      <w:r>
        <w:rPr>
          <w:color w:val="231F20"/>
          <w:spacing w:val="-3"/>
        </w:rPr>
        <w:t xml:space="preserve">юридичні наслідки </w:t>
      </w:r>
      <w:r>
        <w:rPr>
          <w:color w:val="231F20"/>
          <w:spacing w:val="-4"/>
        </w:rPr>
        <w:t xml:space="preserve">стосовно </w:t>
      </w:r>
      <w:r>
        <w:rPr>
          <w:color w:val="231F20"/>
          <w:spacing w:val="-3"/>
        </w:rPr>
        <w:t xml:space="preserve">конкре- тизації </w:t>
      </w:r>
      <w:r>
        <w:rPr>
          <w:color w:val="231F20"/>
        </w:rPr>
        <w:t xml:space="preserve">та деталізації </w:t>
      </w:r>
      <w:r>
        <w:rPr>
          <w:color w:val="231F20"/>
          <w:spacing w:val="-4"/>
        </w:rPr>
        <w:t xml:space="preserve">законів </w:t>
      </w:r>
      <w:r>
        <w:rPr>
          <w:color w:val="231F20"/>
        </w:rPr>
        <w:t xml:space="preserve">до стадії їх </w:t>
      </w:r>
      <w:r>
        <w:rPr>
          <w:color w:val="231F20"/>
          <w:spacing w:val="-4"/>
        </w:rPr>
        <w:t>правозастосування.</w:t>
      </w:r>
    </w:p>
    <w:p w14:paraId="791F1995" w14:textId="77777777" w:rsidR="00DE575E" w:rsidRDefault="00DE575E">
      <w:pPr>
        <w:pStyle w:val="BodyText"/>
        <w:spacing w:before="10"/>
        <w:rPr>
          <w:b/>
        </w:rPr>
      </w:pPr>
    </w:p>
    <w:p w14:paraId="39256DC1" w14:textId="77777777" w:rsidR="00DE575E" w:rsidRDefault="002E7560">
      <w:pPr>
        <w:pStyle w:val="ListParagraph"/>
        <w:numPr>
          <w:ilvl w:val="2"/>
          <w:numId w:val="208"/>
        </w:numPr>
        <w:tabs>
          <w:tab w:val="left" w:pos="1099"/>
        </w:tabs>
        <w:spacing w:before="0"/>
        <w:ind w:left="1098"/>
        <w:jc w:val="left"/>
        <w:rPr>
          <w:b/>
          <w:sz w:val="21"/>
        </w:rPr>
      </w:pPr>
      <w:r>
        <w:rPr>
          <w:b/>
          <w:color w:val="231F20"/>
          <w:sz w:val="21"/>
        </w:rPr>
        <w:t>Види но</w:t>
      </w:r>
      <w:r>
        <w:rPr>
          <w:b/>
          <w:color w:val="231F20"/>
          <w:sz w:val="21"/>
        </w:rPr>
        <w:t>рмативно-правових</w:t>
      </w:r>
      <w:r>
        <w:rPr>
          <w:b/>
          <w:color w:val="231F20"/>
          <w:spacing w:val="-3"/>
          <w:sz w:val="21"/>
        </w:rPr>
        <w:t xml:space="preserve"> </w:t>
      </w:r>
      <w:r>
        <w:rPr>
          <w:b/>
          <w:color w:val="231F20"/>
          <w:sz w:val="21"/>
        </w:rPr>
        <w:t>актів</w:t>
      </w:r>
    </w:p>
    <w:p w14:paraId="6BF04C11" w14:textId="77777777" w:rsidR="00DE575E" w:rsidRDefault="00DE575E">
      <w:pPr>
        <w:pStyle w:val="BodyText"/>
        <w:spacing w:before="11"/>
        <w:rPr>
          <w:b/>
        </w:rPr>
      </w:pPr>
    </w:p>
    <w:p w14:paraId="7CA328E6" w14:textId="77777777" w:rsidR="00DE575E" w:rsidRDefault="002E7560">
      <w:pPr>
        <w:pStyle w:val="BodyText"/>
        <w:ind w:left="533"/>
      </w:pPr>
      <w:r>
        <w:rPr>
          <w:color w:val="231F20"/>
        </w:rPr>
        <w:t>Видами нормативних актів за суб’єктами видання є:</w:t>
      </w:r>
    </w:p>
    <w:p w14:paraId="1A650228" w14:textId="77777777" w:rsidR="00DE575E" w:rsidRDefault="002E7560">
      <w:pPr>
        <w:pStyle w:val="ListParagraph"/>
        <w:numPr>
          <w:ilvl w:val="0"/>
          <w:numId w:val="206"/>
        </w:numPr>
        <w:tabs>
          <w:tab w:val="left" w:pos="818"/>
        </w:tabs>
        <w:spacing w:before="6" w:line="244" w:lineRule="auto"/>
        <w:ind w:right="411" w:firstLine="283"/>
        <w:jc w:val="both"/>
        <w:rPr>
          <w:sz w:val="21"/>
        </w:rPr>
      </w:pPr>
      <w:r>
        <w:rPr>
          <w:b/>
          <w:i/>
          <w:color w:val="231F20"/>
          <w:sz w:val="21"/>
        </w:rPr>
        <w:t xml:space="preserve">укази Президента України </w:t>
      </w:r>
      <w:r>
        <w:rPr>
          <w:color w:val="231F20"/>
          <w:sz w:val="21"/>
        </w:rPr>
        <w:t xml:space="preserve">нормативного характеру – як нормативні акти </w:t>
      </w:r>
      <w:r>
        <w:rPr>
          <w:color w:val="231F20"/>
          <w:spacing w:val="-5"/>
          <w:sz w:val="21"/>
        </w:rPr>
        <w:t xml:space="preserve">Глави </w:t>
      </w:r>
      <w:r>
        <w:rPr>
          <w:color w:val="231F20"/>
          <w:sz w:val="21"/>
        </w:rPr>
        <w:t xml:space="preserve">держави, видані на основі й на виконання Конституції та законів </w:t>
      </w:r>
      <w:r>
        <w:rPr>
          <w:color w:val="231F20"/>
          <w:spacing w:val="-3"/>
          <w:sz w:val="21"/>
        </w:rPr>
        <w:t xml:space="preserve">України </w:t>
      </w:r>
      <w:r>
        <w:rPr>
          <w:color w:val="231F20"/>
          <w:sz w:val="21"/>
        </w:rPr>
        <w:t>та пов’язанні з питаннями публіч- ного</w:t>
      </w:r>
      <w:r>
        <w:rPr>
          <w:color w:val="231F20"/>
          <w:spacing w:val="-1"/>
          <w:sz w:val="21"/>
        </w:rPr>
        <w:t xml:space="preserve"> </w:t>
      </w:r>
      <w:r>
        <w:rPr>
          <w:color w:val="231F20"/>
          <w:sz w:val="21"/>
        </w:rPr>
        <w:t>адміністрування;</w:t>
      </w:r>
    </w:p>
    <w:p w14:paraId="30108316" w14:textId="77777777" w:rsidR="00DE575E" w:rsidRDefault="002E7560">
      <w:pPr>
        <w:pStyle w:val="ListParagraph"/>
        <w:numPr>
          <w:ilvl w:val="0"/>
          <w:numId w:val="206"/>
        </w:numPr>
        <w:tabs>
          <w:tab w:val="left" w:pos="818"/>
        </w:tabs>
        <w:spacing w:before="4" w:line="244" w:lineRule="auto"/>
        <w:ind w:right="410" w:firstLine="283"/>
        <w:jc w:val="both"/>
        <w:rPr>
          <w:sz w:val="21"/>
        </w:rPr>
      </w:pPr>
      <w:r>
        <w:rPr>
          <w:b/>
          <w:i/>
          <w:color w:val="231F20"/>
          <w:sz w:val="21"/>
        </w:rPr>
        <w:t>постанови Кабінету Міністрів України</w:t>
      </w:r>
      <w:r>
        <w:rPr>
          <w:color w:val="231F20"/>
          <w:sz w:val="21"/>
        </w:rPr>
        <w:t xml:space="preserve">. </w:t>
      </w:r>
      <w:r>
        <w:rPr>
          <w:color w:val="231F20"/>
          <w:spacing w:val="-4"/>
          <w:sz w:val="21"/>
        </w:rPr>
        <w:t xml:space="preserve">Уряд </w:t>
      </w:r>
      <w:r>
        <w:rPr>
          <w:color w:val="231F20"/>
          <w:spacing w:val="-3"/>
          <w:sz w:val="21"/>
        </w:rPr>
        <w:t xml:space="preserve">України </w:t>
      </w:r>
      <w:r>
        <w:rPr>
          <w:color w:val="231F20"/>
          <w:sz w:val="21"/>
        </w:rPr>
        <w:t xml:space="preserve">як вищий орган у системі органів виконавчої влади на основі й на виконання Конституції та законів </w:t>
      </w:r>
      <w:r>
        <w:rPr>
          <w:color w:val="231F20"/>
          <w:spacing w:val="-3"/>
          <w:sz w:val="21"/>
        </w:rPr>
        <w:t xml:space="preserve">України </w:t>
      </w:r>
      <w:r>
        <w:rPr>
          <w:color w:val="231F20"/>
          <w:sz w:val="21"/>
        </w:rPr>
        <w:t>видає постанови і розпо- рядження, обов’язк</w:t>
      </w:r>
      <w:r>
        <w:rPr>
          <w:color w:val="231F20"/>
          <w:sz w:val="21"/>
        </w:rPr>
        <w:t xml:space="preserve">ові до виконання </w:t>
      </w:r>
      <w:r>
        <w:rPr>
          <w:color w:val="231F20"/>
          <w:spacing w:val="-5"/>
          <w:sz w:val="21"/>
        </w:rPr>
        <w:t xml:space="preserve">(ст. </w:t>
      </w:r>
      <w:r>
        <w:rPr>
          <w:color w:val="231F20"/>
          <w:sz w:val="21"/>
        </w:rPr>
        <w:t xml:space="preserve">117 Конституції </w:t>
      </w:r>
      <w:r>
        <w:rPr>
          <w:color w:val="231F20"/>
          <w:spacing w:val="-3"/>
          <w:sz w:val="21"/>
        </w:rPr>
        <w:t xml:space="preserve">України). </w:t>
      </w:r>
      <w:r>
        <w:rPr>
          <w:color w:val="231F20"/>
          <w:sz w:val="21"/>
        </w:rPr>
        <w:t>Нормативно-правові акти КМУ видаються у формі</w:t>
      </w:r>
      <w:r>
        <w:rPr>
          <w:color w:val="231F20"/>
          <w:spacing w:val="-7"/>
          <w:sz w:val="21"/>
        </w:rPr>
        <w:t xml:space="preserve"> </w:t>
      </w:r>
      <w:r>
        <w:rPr>
          <w:color w:val="231F20"/>
          <w:sz w:val="21"/>
        </w:rPr>
        <w:t>постанов;</w:t>
      </w:r>
    </w:p>
    <w:p w14:paraId="0481B292" w14:textId="77777777" w:rsidR="00DE575E" w:rsidRDefault="002E7560">
      <w:pPr>
        <w:pStyle w:val="ListParagraph"/>
        <w:numPr>
          <w:ilvl w:val="0"/>
          <w:numId w:val="206"/>
        </w:numPr>
        <w:tabs>
          <w:tab w:val="left" w:pos="818"/>
        </w:tabs>
        <w:spacing w:before="4" w:line="247" w:lineRule="auto"/>
        <w:ind w:right="411" w:firstLine="283"/>
        <w:jc w:val="both"/>
        <w:rPr>
          <w:sz w:val="21"/>
        </w:rPr>
      </w:pPr>
      <w:r>
        <w:rPr>
          <w:b/>
          <w:i/>
          <w:color w:val="231F20"/>
          <w:sz w:val="21"/>
        </w:rPr>
        <w:t xml:space="preserve">накази </w:t>
      </w:r>
      <w:r>
        <w:rPr>
          <w:i/>
          <w:color w:val="231F20"/>
          <w:sz w:val="21"/>
        </w:rPr>
        <w:t>нормативного характеру міністерств та інших центральних органів виконавчої влади</w:t>
      </w:r>
      <w:r>
        <w:rPr>
          <w:color w:val="231F20"/>
          <w:sz w:val="21"/>
        </w:rPr>
        <w:t>. Міністри та керівники інших центральних органів виконавчої влади в межах компетенції вида- ють нормативні</w:t>
      </w:r>
      <w:r>
        <w:rPr>
          <w:color w:val="231F20"/>
          <w:spacing w:val="-2"/>
          <w:sz w:val="21"/>
        </w:rPr>
        <w:t xml:space="preserve"> </w:t>
      </w:r>
      <w:r>
        <w:rPr>
          <w:color w:val="231F20"/>
          <w:sz w:val="21"/>
        </w:rPr>
        <w:t>акти.</w:t>
      </w:r>
    </w:p>
    <w:p w14:paraId="7EAC3AC4" w14:textId="77777777" w:rsidR="00DE575E" w:rsidRDefault="00DE575E">
      <w:pPr>
        <w:pStyle w:val="BodyText"/>
        <w:spacing w:before="7"/>
        <w:rPr>
          <w:sz w:val="13"/>
        </w:rPr>
      </w:pPr>
    </w:p>
    <w:p w14:paraId="30576618" w14:textId="77777777" w:rsidR="00DE575E" w:rsidRDefault="002E7560">
      <w:pPr>
        <w:spacing w:before="92"/>
        <w:ind w:right="411"/>
        <w:jc w:val="right"/>
        <w:rPr>
          <w:rFonts w:ascii="Times New Roman"/>
          <w:sz w:val="20"/>
        </w:rPr>
      </w:pPr>
      <w:r>
        <w:rPr>
          <w:rFonts w:ascii="Times New Roman"/>
          <w:color w:val="231F20"/>
          <w:w w:val="90"/>
          <w:sz w:val="20"/>
        </w:rPr>
        <w:t>213</w:t>
      </w:r>
    </w:p>
    <w:p w14:paraId="23F467F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245EA0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F306403" w14:textId="42A8914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43228C7" wp14:editId="61DEFD4E">
                <wp:extent cx="4140200" cy="6350"/>
                <wp:effectExtent l="0" t="0" r="12700" b="6350"/>
                <wp:docPr id="873"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74" name="Line 87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CB3562" id="Group_x0020_87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F/N/AgAAmAUAAA4A&#10;AAAAAAAAAAAAAAAALAIAAGRycy9lMm9Eb2MueG1sUEsBAi0AFAAGAAgAAAAhAEynsJDZAAAAAwEA&#10;AA8AAAAAAAAAAAAAAAAA1wQAAGRycy9kb3ducmV2LnhtbFBLBQYAAAAABAAEAPMAAADdBQAAAAA=&#10;">
                <v:line id="Line_x0020_87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ZqpcYAAADcAAAADwAAAGRycy9kb3ducmV2LnhtbESP3WrCQBSE7wu+w3IEb0rdtJZWoqtI&#10;oSBe+Jc+wDF7TIK7Z2N2NdGndwuFXg4z8w0znXfWiCs1vnKs4HWYgCDOna64UPCTfb+MQfiArNE4&#10;JgU38jCf9Z6mmGrX8o6u+1CICGGfooIyhDqV0uclWfRDVxNH7+gaiyHKppC6wTbCrZFvSfIhLVYc&#10;F0qs6auk/LS/WAXZ+TmY7WZl2mxzGMnDeT26X9ZKDfrdYgIiUBf+w3/tpVYw/nyH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GaqXGAAAA3AAAAA8AAAAAAAAA&#10;AAAAAAAAoQIAAGRycy9kb3ducmV2LnhtbFBLBQYAAAAABAAEAPkAAACUAwAAAAA=&#10;" strokecolor="#231f20" strokeweight=".5pt"/>
                <w10:anchorlock/>
              </v:group>
            </w:pict>
          </mc:Fallback>
        </mc:AlternateContent>
      </w:r>
    </w:p>
    <w:p w14:paraId="7E79B3F5" w14:textId="77777777" w:rsidR="00DE575E" w:rsidRDefault="00DE575E">
      <w:pPr>
        <w:pStyle w:val="BodyText"/>
        <w:spacing w:before="7"/>
        <w:rPr>
          <w:rFonts w:ascii="AdonisC"/>
          <w:i/>
          <w:sz w:val="11"/>
        </w:rPr>
      </w:pPr>
    </w:p>
    <w:p w14:paraId="1DF9BB5D" w14:textId="77777777" w:rsidR="00DE575E" w:rsidRDefault="002E7560">
      <w:pPr>
        <w:pStyle w:val="BodyText"/>
        <w:spacing w:before="101" w:line="252" w:lineRule="auto"/>
        <w:ind w:left="533" w:right="127" w:firstLine="283"/>
        <w:jc w:val="both"/>
      </w:pPr>
      <w:r>
        <w:rPr>
          <w:color w:val="231F20"/>
        </w:rPr>
        <w:t>При цьому нак</w:t>
      </w:r>
      <w:r>
        <w:rPr>
          <w:color w:val="231F20"/>
        </w:rPr>
        <w:t>азами міністерств та інших центральних  орга-  нів виконавчої влади затверджуються документами нормативного характеру:</w:t>
      </w:r>
    </w:p>
    <w:p w14:paraId="10958DEB" w14:textId="77777777" w:rsidR="00DE575E" w:rsidRDefault="002E7560">
      <w:pPr>
        <w:pStyle w:val="ListParagraph"/>
        <w:numPr>
          <w:ilvl w:val="0"/>
          <w:numId w:val="205"/>
        </w:numPr>
        <w:tabs>
          <w:tab w:val="left" w:pos="1101"/>
        </w:tabs>
        <w:spacing w:line="252" w:lineRule="auto"/>
        <w:ind w:right="127" w:firstLine="284"/>
        <w:rPr>
          <w:sz w:val="21"/>
        </w:rPr>
      </w:pPr>
      <w:r>
        <w:rPr>
          <w:b/>
          <w:i/>
          <w:color w:val="231F20"/>
          <w:sz w:val="21"/>
        </w:rPr>
        <w:t xml:space="preserve">інструкції </w:t>
      </w:r>
      <w:r>
        <w:rPr>
          <w:color w:val="231F20"/>
          <w:sz w:val="21"/>
        </w:rPr>
        <w:t>– нормативні акти, що видаються з метою роз’яс- нення порядку застосування норм права або з метою встановлення методичних правил і способів виконання певних операцій (</w:t>
      </w:r>
      <w:r>
        <w:rPr>
          <w:i/>
          <w:color w:val="231F20"/>
          <w:sz w:val="21"/>
        </w:rPr>
        <w:t>напр., Наказом Міністерства фінансів України затверджено «Інструкцію  з оформлення органа</w:t>
      </w:r>
      <w:r>
        <w:rPr>
          <w:i/>
          <w:color w:val="231F20"/>
          <w:sz w:val="21"/>
        </w:rPr>
        <w:t>ми доходів і зборів матеріалів про адміністра- тивні</w:t>
      </w:r>
      <w:r>
        <w:rPr>
          <w:i/>
          <w:color w:val="231F20"/>
          <w:spacing w:val="-2"/>
          <w:sz w:val="21"/>
        </w:rPr>
        <w:t xml:space="preserve"> </w:t>
      </w:r>
      <w:r>
        <w:rPr>
          <w:i/>
          <w:color w:val="231F20"/>
          <w:sz w:val="21"/>
        </w:rPr>
        <w:t>правопорушення</w:t>
      </w:r>
      <w:r>
        <w:rPr>
          <w:color w:val="231F20"/>
          <w:sz w:val="21"/>
        </w:rPr>
        <w:t>»);</w:t>
      </w:r>
    </w:p>
    <w:p w14:paraId="54722D83" w14:textId="77777777" w:rsidR="00DE575E" w:rsidRDefault="002E7560">
      <w:pPr>
        <w:pStyle w:val="ListParagraph"/>
        <w:numPr>
          <w:ilvl w:val="0"/>
          <w:numId w:val="205"/>
        </w:numPr>
        <w:tabs>
          <w:tab w:val="left" w:pos="1101"/>
        </w:tabs>
        <w:spacing w:before="3" w:line="252" w:lineRule="auto"/>
        <w:ind w:right="126" w:firstLine="284"/>
        <w:rPr>
          <w:sz w:val="21"/>
        </w:rPr>
      </w:pPr>
      <w:r>
        <w:rPr>
          <w:b/>
          <w:i/>
          <w:color w:val="231F20"/>
          <w:sz w:val="21"/>
        </w:rPr>
        <w:t xml:space="preserve">положення </w:t>
      </w:r>
      <w:r>
        <w:rPr>
          <w:color w:val="231F20"/>
          <w:sz w:val="21"/>
        </w:rPr>
        <w:t xml:space="preserve">– систематизований (зведений) нормативний </w:t>
      </w:r>
      <w:r>
        <w:rPr>
          <w:color w:val="231F20"/>
          <w:spacing w:val="-5"/>
          <w:sz w:val="21"/>
        </w:rPr>
        <w:t xml:space="preserve">акт, </w:t>
      </w:r>
      <w:r>
        <w:rPr>
          <w:color w:val="231F20"/>
          <w:sz w:val="21"/>
        </w:rPr>
        <w:t xml:space="preserve">яким визначаються структура, завдання, компетенція або орга- нізація діяльності певних </w:t>
      </w:r>
      <w:r>
        <w:rPr>
          <w:color w:val="231F20"/>
          <w:spacing w:val="-3"/>
          <w:sz w:val="21"/>
        </w:rPr>
        <w:t xml:space="preserve">суб’єктів </w:t>
      </w:r>
      <w:r>
        <w:rPr>
          <w:color w:val="231F20"/>
          <w:sz w:val="21"/>
        </w:rPr>
        <w:t>права);</w:t>
      </w:r>
    </w:p>
    <w:p w14:paraId="3B48DCD2" w14:textId="77777777" w:rsidR="00DE575E" w:rsidRDefault="002E7560">
      <w:pPr>
        <w:pStyle w:val="ListParagraph"/>
        <w:numPr>
          <w:ilvl w:val="0"/>
          <w:numId w:val="205"/>
        </w:numPr>
        <w:tabs>
          <w:tab w:val="left" w:pos="1101"/>
        </w:tabs>
        <w:spacing w:before="2" w:line="252" w:lineRule="auto"/>
        <w:ind w:right="128" w:firstLine="284"/>
        <w:rPr>
          <w:sz w:val="21"/>
        </w:rPr>
      </w:pPr>
      <w:r>
        <w:rPr>
          <w:b/>
          <w:i/>
          <w:color w:val="231F20"/>
          <w:sz w:val="21"/>
        </w:rPr>
        <w:t xml:space="preserve">правила </w:t>
      </w:r>
      <w:r>
        <w:rPr>
          <w:color w:val="231F20"/>
          <w:sz w:val="21"/>
        </w:rPr>
        <w:t>– нормативні акти, що закріплюють порядок орга- нізації та здійснення певного виду діяльності (</w:t>
      </w:r>
      <w:r>
        <w:rPr>
          <w:i/>
          <w:color w:val="231F20"/>
          <w:sz w:val="21"/>
        </w:rPr>
        <w:t>напр., Міністер- ством</w:t>
      </w:r>
      <w:r>
        <w:rPr>
          <w:i/>
          <w:color w:val="231F20"/>
          <w:spacing w:val="-9"/>
          <w:sz w:val="21"/>
        </w:rPr>
        <w:t xml:space="preserve"> </w:t>
      </w:r>
      <w:r>
        <w:rPr>
          <w:i/>
          <w:color w:val="231F20"/>
          <w:sz w:val="21"/>
        </w:rPr>
        <w:t>фінансів</w:t>
      </w:r>
      <w:r>
        <w:rPr>
          <w:i/>
          <w:color w:val="231F20"/>
          <w:spacing w:val="-10"/>
          <w:sz w:val="21"/>
        </w:rPr>
        <w:t xml:space="preserve"> </w:t>
      </w:r>
      <w:r>
        <w:rPr>
          <w:i/>
          <w:color w:val="231F20"/>
          <w:sz w:val="21"/>
        </w:rPr>
        <w:t>України</w:t>
      </w:r>
      <w:r>
        <w:rPr>
          <w:i/>
          <w:color w:val="231F20"/>
          <w:spacing w:val="-10"/>
          <w:sz w:val="21"/>
        </w:rPr>
        <w:t xml:space="preserve"> </w:t>
      </w:r>
      <w:r>
        <w:rPr>
          <w:i/>
          <w:color w:val="231F20"/>
          <w:sz w:val="21"/>
        </w:rPr>
        <w:t>затверджено</w:t>
      </w:r>
      <w:r>
        <w:rPr>
          <w:i/>
          <w:color w:val="231F20"/>
          <w:spacing w:val="-10"/>
          <w:sz w:val="21"/>
        </w:rPr>
        <w:t xml:space="preserve"> </w:t>
      </w:r>
      <w:r>
        <w:rPr>
          <w:i/>
          <w:color w:val="231F20"/>
          <w:sz w:val="21"/>
        </w:rPr>
        <w:t>«Правила</w:t>
      </w:r>
      <w:r>
        <w:rPr>
          <w:i/>
          <w:color w:val="231F20"/>
          <w:spacing w:val="-10"/>
          <w:sz w:val="21"/>
        </w:rPr>
        <w:t xml:space="preserve"> </w:t>
      </w:r>
      <w:r>
        <w:rPr>
          <w:i/>
          <w:color w:val="231F20"/>
          <w:sz w:val="21"/>
        </w:rPr>
        <w:t>складання</w:t>
      </w:r>
      <w:r>
        <w:rPr>
          <w:i/>
          <w:color w:val="231F20"/>
          <w:spacing w:val="-10"/>
          <w:sz w:val="21"/>
        </w:rPr>
        <w:t xml:space="preserve"> </w:t>
      </w:r>
      <w:r>
        <w:rPr>
          <w:i/>
          <w:color w:val="231F20"/>
          <w:sz w:val="21"/>
        </w:rPr>
        <w:t>паспортів бюджетних</w:t>
      </w:r>
      <w:r>
        <w:rPr>
          <w:i/>
          <w:color w:val="231F20"/>
          <w:spacing w:val="-18"/>
          <w:sz w:val="21"/>
        </w:rPr>
        <w:t xml:space="preserve"> </w:t>
      </w:r>
      <w:r>
        <w:rPr>
          <w:i/>
          <w:color w:val="231F20"/>
          <w:sz w:val="21"/>
        </w:rPr>
        <w:t>програм</w:t>
      </w:r>
      <w:r>
        <w:rPr>
          <w:i/>
          <w:color w:val="231F20"/>
          <w:spacing w:val="-18"/>
          <w:sz w:val="21"/>
        </w:rPr>
        <w:t xml:space="preserve"> </w:t>
      </w:r>
      <w:r>
        <w:rPr>
          <w:i/>
          <w:color w:val="231F20"/>
          <w:sz w:val="21"/>
        </w:rPr>
        <w:t>місцевих</w:t>
      </w:r>
      <w:r>
        <w:rPr>
          <w:i/>
          <w:color w:val="231F20"/>
          <w:spacing w:val="-18"/>
          <w:sz w:val="21"/>
        </w:rPr>
        <w:t xml:space="preserve"> </w:t>
      </w:r>
      <w:r>
        <w:rPr>
          <w:i/>
          <w:color w:val="231F20"/>
          <w:sz w:val="21"/>
        </w:rPr>
        <w:t>бюджетів</w:t>
      </w:r>
      <w:r>
        <w:rPr>
          <w:i/>
          <w:color w:val="231F20"/>
          <w:spacing w:val="-18"/>
          <w:sz w:val="21"/>
        </w:rPr>
        <w:t xml:space="preserve"> </w:t>
      </w:r>
      <w:r>
        <w:rPr>
          <w:i/>
          <w:color w:val="231F20"/>
          <w:sz w:val="21"/>
        </w:rPr>
        <w:t>та</w:t>
      </w:r>
      <w:r>
        <w:rPr>
          <w:i/>
          <w:color w:val="231F20"/>
          <w:spacing w:val="-18"/>
          <w:sz w:val="21"/>
        </w:rPr>
        <w:t xml:space="preserve"> </w:t>
      </w:r>
      <w:r>
        <w:rPr>
          <w:i/>
          <w:color w:val="231F20"/>
          <w:sz w:val="21"/>
        </w:rPr>
        <w:t>звітів</w:t>
      </w:r>
      <w:r>
        <w:rPr>
          <w:i/>
          <w:color w:val="231F20"/>
          <w:spacing w:val="-18"/>
          <w:sz w:val="21"/>
        </w:rPr>
        <w:t xml:space="preserve"> </w:t>
      </w:r>
      <w:r>
        <w:rPr>
          <w:i/>
          <w:color w:val="231F20"/>
          <w:sz w:val="21"/>
        </w:rPr>
        <w:t>про</w:t>
      </w:r>
      <w:r>
        <w:rPr>
          <w:i/>
          <w:color w:val="231F20"/>
          <w:spacing w:val="-18"/>
          <w:sz w:val="21"/>
        </w:rPr>
        <w:t xml:space="preserve"> </w:t>
      </w:r>
      <w:r>
        <w:rPr>
          <w:i/>
          <w:color w:val="231F20"/>
          <w:sz w:val="21"/>
        </w:rPr>
        <w:t>їх</w:t>
      </w:r>
      <w:r>
        <w:rPr>
          <w:i/>
          <w:color w:val="231F20"/>
          <w:spacing w:val="-18"/>
          <w:sz w:val="21"/>
        </w:rPr>
        <w:t xml:space="preserve"> </w:t>
      </w:r>
      <w:r>
        <w:rPr>
          <w:i/>
          <w:color w:val="231F20"/>
          <w:sz w:val="21"/>
        </w:rPr>
        <w:t>виконання»)</w:t>
      </w:r>
      <w:r>
        <w:rPr>
          <w:color w:val="231F20"/>
          <w:sz w:val="21"/>
        </w:rPr>
        <w:t>;</w:t>
      </w:r>
    </w:p>
    <w:p w14:paraId="754C4325" w14:textId="77777777" w:rsidR="00DE575E" w:rsidRDefault="002E7560">
      <w:pPr>
        <w:pStyle w:val="ListParagraph"/>
        <w:numPr>
          <w:ilvl w:val="0"/>
          <w:numId w:val="205"/>
        </w:numPr>
        <w:tabs>
          <w:tab w:val="left" w:pos="1101"/>
        </w:tabs>
        <w:spacing w:before="2" w:line="252" w:lineRule="auto"/>
        <w:ind w:right="128" w:firstLine="284"/>
        <w:rPr>
          <w:sz w:val="21"/>
        </w:rPr>
      </w:pPr>
      <w:r>
        <w:rPr>
          <w:b/>
          <w:i/>
          <w:color w:val="231F20"/>
          <w:sz w:val="21"/>
        </w:rPr>
        <w:t xml:space="preserve">порядки </w:t>
      </w:r>
      <w:r>
        <w:rPr>
          <w:color w:val="231F20"/>
          <w:sz w:val="21"/>
        </w:rPr>
        <w:t>– норм</w:t>
      </w:r>
      <w:r>
        <w:rPr>
          <w:color w:val="231F20"/>
          <w:sz w:val="21"/>
        </w:rPr>
        <w:t>ативні акти, у яких закріплюється розташу- вання елементів у певній</w:t>
      </w:r>
      <w:r>
        <w:rPr>
          <w:color w:val="231F20"/>
          <w:spacing w:val="-2"/>
          <w:sz w:val="21"/>
        </w:rPr>
        <w:t xml:space="preserve"> </w:t>
      </w:r>
      <w:r>
        <w:rPr>
          <w:color w:val="231F20"/>
          <w:sz w:val="21"/>
        </w:rPr>
        <w:t>послідовності;</w:t>
      </w:r>
    </w:p>
    <w:p w14:paraId="09B8E100" w14:textId="77777777" w:rsidR="00DE575E" w:rsidRDefault="002E7560">
      <w:pPr>
        <w:pStyle w:val="ListParagraph"/>
        <w:numPr>
          <w:ilvl w:val="0"/>
          <w:numId w:val="205"/>
        </w:numPr>
        <w:tabs>
          <w:tab w:val="left" w:pos="1101"/>
        </w:tabs>
        <w:spacing w:line="252" w:lineRule="auto"/>
        <w:ind w:right="127" w:firstLine="284"/>
        <w:rPr>
          <w:sz w:val="21"/>
        </w:rPr>
      </w:pPr>
      <w:r>
        <w:rPr>
          <w:b/>
          <w:i/>
          <w:color w:val="231F20"/>
          <w:sz w:val="21"/>
        </w:rPr>
        <w:t xml:space="preserve">методичні рекомендації </w:t>
      </w:r>
      <w:r>
        <w:rPr>
          <w:color w:val="231F20"/>
          <w:sz w:val="21"/>
        </w:rPr>
        <w:t>– нормативні акти, що містять комплекс коротких і чітко сформульованих пропозицій і вказівок, які сприяють упровадженню в практику найбільш ефективних</w:t>
      </w:r>
      <w:r>
        <w:rPr>
          <w:color w:val="231F20"/>
          <w:sz w:val="21"/>
        </w:rPr>
        <w:t xml:space="preserve"> методів і форм управління. Методичні рекомендації розробляються на основі вивчення або узагальнення практичного</w:t>
      </w:r>
      <w:r>
        <w:rPr>
          <w:color w:val="231F20"/>
          <w:spacing w:val="-9"/>
          <w:sz w:val="21"/>
        </w:rPr>
        <w:t xml:space="preserve"> </w:t>
      </w:r>
      <w:r>
        <w:rPr>
          <w:color w:val="231F20"/>
          <w:sz w:val="21"/>
        </w:rPr>
        <w:t>досвіду;</w:t>
      </w:r>
    </w:p>
    <w:p w14:paraId="149C6889" w14:textId="77777777" w:rsidR="00DE575E" w:rsidRDefault="002E7560">
      <w:pPr>
        <w:pStyle w:val="ListParagraph"/>
        <w:numPr>
          <w:ilvl w:val="0"/>
          <w:numId w:val="205"/>
        </w:numPr>
        <w:tabs>
          <w:tab w:val="left" w:pos="1101"/>
        </w:tabs>
        <w:spacing w:before="2" w:line="252" w:lineRule="auto"/>
        <w:ind w:right="127" w:firstLine="284"/>
        <w:rPr>
          <w:sz w:val="21"/>
        </w:rPr>
      </w:pPr>
      <w:r>
        <w:rPr>
          <w:b/>
          <w:i/>
          <w:color w:val="231F20"/>
          <w:sz w:val="21"/>
        </w:rPr>
        <w:t xml:space="preserve">переліки </w:t>
      </w:r>
      <w:r>
        <w:rPr>
          <w:color w:val="231F20"/>
          <w:sz w:val="21"/>
        </w:rPr>
        <w:t>– нормативні акти, що містять певну послідовність однорідних</w:t>
      </w:r>
      <w:r>
        <w:rPr>
          <w:color w:val="231F20"/>
          <w:spacing w:val="-2"/>
          <w:sz w:val="21"/>
        </w:rPr>
        <w:t xml:space="preserve"> </w:t>
      </w:r>
      <w:r>
        <w:rPr>
          <w:color w:val="231F20"/>
          <w:spacing w:val="-3"/>
          <w:sz w:val="21"/>
        </w:rPr>
        <w:t>об’єктів.</w:t>
      </w:r>
    </w:p>
    <w:p w14:paraId="4F6317B3" w14:textId="77777777" w:rsidR="00DE575E" w:rsidRDefault="002E7560">
      <w:pPr>
        <w:pStyle w:val="BodyText"/>
        <w:spacing w:before="1" w:line="252" w:lineRule="auto"/>
        <w:ind w:left="533" w:right="127" w:firstLine="283"/>
        <w:jc w:val="both"/>
      </w:pPr>
      <w:r>
        <w:rPr>
          <w:color w:val="231F20"/>
        </w:rPr>
        <w:t>Накази центральних органів виконавчої влади, що зачіпа</w:t>
      </w:r>
      <w:r>
        <w:rPr>
          <w:color w:val="231F20"/>
        </w:rPr>
        <w:t>ють права, свободи й законні інтереси фізичних і юридичних осіб або мають міжвідомчий характер, реєструються в Міністерстві юстиції України. Інакше вони є нечинними;</w:t>
      </w:r>
    </w:p>
    <w:p w14:paraId="27911641" w14:textId="77777777" w:rsidR="00DE575E" w:rsidRDefault="002E7560">
      <w:pPr>
        <w:pStyle w:val="ListParagraph"/>
        <w:numPr>
          <w:ilvl w:val="0"/>
          <w:numId w:val="206"/>
        </w:numPr>
        <w:tabs>
          <w:tab w:val="left" w:pos="1101"/>
        </w:tabs>
        <w:spacing w:before="2" w:line="252" w:lineRule="auto"/>
        <w:ind w:left="533" w:right="128" w:firstLine="284"/>
        <w:jc w:val="both"/>
        <w:rPr>
          <w:sz w:val="21"/>
        </w:rPr>
      </w:pPr>
      <w:r>
        <w:rPr>
          <w:b/>
          <w:i/>
          <w:color w:val="231F20"/>
          <w:sz w:val="21"/>
        </w:rPr>
        <w:t xml:space="preserve">розпорядження </w:t>
      </w:r>
      <w:r>
        <w:rPr>
          <w:color w:val="231F20"/>
          <w:sz w:val="21"/>
        </w:rPr>
        <w:t xml:space="preserve">нормативного характеру місцевих держав- них адміністрацій. </w:t>
      </w:r>
      <w:r>
        <w:rPr>
          <w:color w:val="231F20"/>
          <w:spacing w:val="-3"/>
          <w:sz w:val="21"/>
        </w:rPr>
        <w:t xml:space="preserve">Голови </w:t>
      </w:r>
      <w:r>
        <w:rPr>
          <w:color w:val="231F20"/>
          <w:sz w:val="21"/>
        </w:rPr>
        <w:t xml:space="preserve">адміністрацій відповідно до </w:t>
      </w:r>
      <w:r>
        <w:rPr>
          <w:color w:val="231F20"/>
          <w:spacing w:val="-6"/>
          <w:sz w:val="21"/>
        </w:rPr>
        <w:t xml:space="preserve">ст. </w:t>
      </w:r>
      <w:r>
        <w:rPr>
          <w:color w:val="231F20"/>
          <w:sz w:val="21"/>
        </w:rPr>
        <w:t xml:space="preserve">6 Закону </w:t>
      </w:r>
      <w:r>
        <w:rPr>
          <w:color w:val="231F20"/>
          <w:spacing w:val="-3"/>
          <w:sz w:val="21"/>
        </w:rPr>
        <w:t>України</w:t>
      </w:r>
      <w:r>
        <w:rPr>
          <w:color w:val="231F20"/>
          <w:spacing w:val="-7"/>
          <w:sz w:val="21"/>
        </w:rPr>
        <w:t xml:space="preserve"> </w:t>
      </w:r>
      <w:r>
        <w:rPr>
          <w:color w:val="231F20"/>
          <w:sz w:val="21"/>
        </w:rPr>
        <w:t>«Про</w:t>
      </w:r>
      <w:r>
        <w:rPr>
          <w:color w:val="231F20"/>
          <w:spacing w:val="-7"/>
          <w:sz w:val="21"/>
        </w:rPr>
        <w:t xml:space="preserve"> </w:t>
      </w:r>
      <w:r>
        <w:rPr>
          <w:color w:val="231F20"/>
          <w:sz w:val="21"/>
        </w:rPr>
        <w:t>місцеві</w:t>
      </w:r>
      <w:r>
        <w:rPr>
          <w:color w:val="231F20"/>
          <w:spacing w:val="-7"/>
          <w:sz w:val="21"/>
        </w:rPr>
        <w:t xml:space="preserve"> </w:t>
      </w:r>
      <w:r>
        <w:rPr>
          <w:color w:val="231F20"/>
          <w:sz w:val="21"/>
        </w:rPr>
        <w:t>державні</w:t>
      </w:r>
      <w:r>
        <w:rPr>
          <w:color w:val="231F20"/>
          <w:spacing w:val="-7"/>
          <w:sz w:val="21"/>
        </w:rPr>
        <w:t xml:space="preserve"> </w:t>
      </w:r>
      <w:r>
        <w:rPr>
          <w:color w:val="231F20"/>
          <w:sz w:val="21"/>
        </w:rPr>
        <w:t>адміністрації»</w:t>
      </w:r>
      <w:r>
        <w:rPr>
          <w:color w:val="231F20"/>
          <w:spacing w:val="-7"/>
          <w:sz w:val="21"/>
        </w:rPr>
        <w:t xml:space="preserve"> </w:t>
      </w:r>
      <w:r>
        <w:rPr>
          <w:color w:val="231F20"/>
          <w:sz w:val="21"/>
        </w:rPr>
        <w:t>мають</w:t>
      </w:r>
      <w:r>
        <w:rPr>
          <w:color w:val="231F20"/>
          <w:spacing w:val="-7"/>
          <w:sz w:val="21"/>
        </w:rPr>
        <w:t xml:space="preserve"> </w:t>
      </w:r>
      <w:r>
        <w:rPr>
          <w:color w:val="231F20"/>
          <w:sz w:val="21"/>
        </w:rPr>
        <w:t>право</w:t>
      </w:r>
      <w:r>
        <w:rPr>
          <w:color w:val="231F20"/>
          <w:spacing w:val="-7"/>
          <w:sz w:val="21"/>
        </w:rPr>
        <w:t xml:space="preserve"> </w:t>
      </w:r>
      <w:r>
        <w:rPr>
          <w:color w:val="231F20"/>
          <w:sz w:val="21"/>
        </w:rPr>
        <w:t>видавати розпорядження;</w:t>
      </w:r>
    </w:p>
    <w:p w14:paraId="040F887E" w14:textId="77777777" w:rsidR="00DE575E" w:rsidRDefault="002E7560">
      <w:pPr>
        <w:pStyle w:val="ListParagraph"/>
        <w:numPr>
          <w:ilvl w:val="0"/>
          <w:numId w:val="206"/>
        </w:numPr>
        <w:tabs>
          <w:tab w:val="left" w:pos="1101"/>
        </w:tabs>
        <w:spacing w:before="2" w:line="252" w:lineRule="auto"/>
        <w:ind w:left="533" w:right="128" w:firstLine="284"/>
        <w:jc w:val="both"/>
        <w:rPr>
          <w:sz w:val="21"/>
        </w:rPr>
      </w:pPr>
      <w:r>
        <w:rPr>
          <w:b/>
          <w:i/>
          <w:color w:val="231F20"/>
          <w:sz w:val="21"/>
        </w:rPr>
        <w:t xml:space="preserve">нормативні акти </w:t>
      </w:r>
      <w:r>
        <w:rPr>
          <w:color w:val="231F20"/>
          <w:sz w:val="21"/>
        </w:rPr>
        <w:t xml:space="preserve">органів публічного управління, які не віднесено до органів виконавчої влади (НАЗК, Рахункова палата </w:t>
      </w:r>
      <w:r>
        <w:rPr>
          <w:color w:val="231F20"/>
          <w:spacing w:val="-3"/>
          <w:sz w:val="21"/>
        </w:rPr>
        <w:t xml:space="preserve">України, </w:t>
      </w:r>
      <w:r>
        <w:rPr>
          <w:color w:val="231F20"/>
          <w:sz w:val="21"/>
        </w:rPr>
        <w:t>Національ</w:t>
      </w:r>
      <w:r>
        <w:rPr>
          <w:color w:val="231F20"/>
          <w:sz w:val="21"/>
        </w:rPr>
        <w:t xml:space="preserve">ний банк </w:t>
      </w:r>
      <w:r>
        <w:rPr>
          <w:color w:val="231F20"/>
          <w:spacing w:val="-3"/>
          <w:sz w:val="21"/>
        </w:rPr>
        <w:t xml:space="preserve">України, </w:t>
      </w:r>
      <w:r>
        <w:rPr>
          <w:color w:val="231F20"/>
          <w:sz w:val="21"/>
        </w:rPr>
        <w:t xml:space="preserve">Фонд соціального страхування </w:t>
      </w:r>
      <w:r>
        <w:rPr>
          <w:color w:val="231F20"/>
          <w:spacing w:val="-3"/>
          <w:sz w:val="21"/>
        </w:rPr>
        <w:t xml:space="preserve">України </w:t>
      </w:r>
      <w:r>
        <w:rPr>
          <w:color w:val="231F20"/>
          <w:sz w:val="21"/>
        </w:rPr>
        <w:t>та</w:t>
      </w:r>
      <w:r>
        <w:rPr>
          <w:color w:val="231F20"/>
          <w:sz w:val="21"/>
        </w:rPr>
        <w:t xml:space="preserve"> </w:t>
      </w:r>
      <w:r>
        <w:rPr>
          <w:color w:val="231F20"/>
          <w:sz w:val="21"/>
        </w:rPr>
        <w:t>ін.);</w:t>
      </w:r>
    </w:p>
    <w:p w14:paraId="62F40B2F" w14:textId="77777777" w:rsidR="00DE575E" w:rsidRDefault="002E7560">
      <w:pPr>
        <w:pStyle w:val="ListParagraph"/>
        <w:numPr>
          <w:ilvl w:val="0"/>
          <w:numId w:val="206"/>
        </w:numPr>
        <w:tabs>
          <w:tab w:val="left" w:pos="1101"/>
        </w:tabs>
        <w:spacing w:before="2" w:line="252" w:lineRule="auto"/>
        <w:ind w:left="533" w:right="128" w:firstLine="284"/>
        <w:jc w:val="both"/>
        <w:rPr>
          <w:sz w:val="21"/>
        </w:rPr>
      </w:pPr>
      <w:r>
        <w:rPr>
          <w:b/>
          <w:i/>
          <w:color w:val="231F20"/>
          <w:sz w:val="21"/>
        </w:rPr>
        <w:t>нормативні акти органів і посадових осіб місцевого само- врядування</w:t>
      </w:r>
      <w:r>
        <w:rPr>
          <w:color w:val="231F20"/>
          <w:sz w:val="21"/>
        </w:rPr>
        <w:t>. Органи місцевого самоврядування в межах</w:t>
      </w:r>
      <w:r>
        <w:rPr>
          <w:color w:val="231F20"/>
          <w:spacing w:val="-16"/>
          <w:sz w:val="21"/>
        </w:rPr>
        <w:t xml:space="preserve"> </w:t>
      </w:r>
      <w:r>
        <w:rPr>
          <w:color w:val="231F20"/>
          <w:sz w:val="21"/>
        </w:rPr>
        <w:t>повнова-</w:t>
      </w:r>
    </w:p>
    <w:p w14:paraId="475DF9DE" w14:textId="77777777" w:rsidR="00DE575E" w:rsidRDefault="00DE575E">
      <w:pPr>
        <w:pStyle w:val="BodyText"/>
        <w:spacing w:before="5"/>
        <w:rPr>
          <w:sz w:val="12"/>
        </w:rPr>
      </w:pPr>
    </w:p>
    <w:p w14:paraId="7B4793C9" w14:textId="77777777" w:rsidR="00DE575E" w:rsidRDefault="002E7560">
      <w:pPr>
        <w:spacing w:before="92"/>
        <w:ind w:left="533"/>
        <w:rPr>
          <w:rFonts w:ascii="Times New Roman"/>
          <w:sz w:val="20"/>
        </w:rPr>
      </w:pPr>
      <w:r>
        <w:rPr>
          <w:rFonts w:ascii="Times New Roman"/>
          <w:color w:val="231F20"/>
          <w:sz w:val="20"/>
        </w:rPr>
        <w:t>214</w:t>
      </w:r>
    </w:p>
    <w:p w14:paraId="03FD7392" w14:textId="77777777" w:rsidR="00DE575E" w:rsidRDefault="00DE575E">
      <w:pPr>
        <w:rPr>
          <w:rFonts w:ascii="Times New Roman"/>
          <w:sz w:val="20"/>
        </w:rPr>
        <w:sectPr w:rsidR="00DE575E">
          <w:pgSz w:w="8510" w:h="12760"/>
          <w:pgMar w:top="660" w:right="720" w:bottom="280" w:left="600" w:header="720" w:footer="720" w:gutter="0"/>
          <w:cols w:space="720"/>
        </w:sectPr>
      </w:pPr>
    </w:p>
    <w:p w14:paraId="2D474ABB"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7. Інструменти публічного адміністрування</w:t>
      </w:r>
    </w:p>
    <w:p w14:paraId="230AC599" w14:textId="45E136C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80704EA" wp14:editId="57146E88">
                <wp:extent cx="4140200" cy="6350"/>
                <wp:effectExtent l="0" t="0" r="12700" b="6350"/>
                <wp:docPr id="871"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72" name="Line 8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E8409" id="Group_x0020_8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ThGk1/AgAAmAUAAA4A&#10;AAAAAAAAAAAAAAAALAIAAGRycy9lMm9Eb2MueG1sUEsBAi0AFAAGAAgAAAAhAEynsJDZAAAAAwEA&#10;AA8AAAAAAAAAAAAAAAAA1wQAAGRycy9kb3ducmV2LnhtbFBLBQYAAAAABAAEAPMAAADdBQAAAAA=&#10;">
                <v:line id="Line_x0020_8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NXSsYAAADcAAAADwAAAGRycy9kb3ducmV2LnhtbESP0WrCQBRE3wv+w3IFX0Q3VWgluooU&#10;CsUHbY0fcM1ek+Du3ZhdTdqvdwWhj8PMnGEWq84acaPGV44VvI4TEMS50xUXCg7Z52gGwgdkjcYx&#10;KfglD6tl72WBqXYt/9BtHwoRIexTVFCGUKdS+rwki37sauLonVxjMUTZFFI32Ea4NXKSJG/SYsVx&#10;ocSaPkrKz/urVZBdhsF87zamzXbHqTxettO/61apQb9bz0EE6sJ/+Nn+0gpm7xN4nIlHQC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jV0rGAAAA3AAAAA8AAAAAAAAA&#10;AAAAAAAAoQIAAGRycy9kb3ducmV2LnhtbFBLBQYAAAAABAAEAPkAAACUAwAAAAA=&#10;" strokecolor="#231f20" strokeweight=".5pt"/>
                <w10:anchorlock/>
              </v:group>
            </w:pict>
          </mc:Fallback>
        </mc:AlternateContent>
      </w:r>
    </w:p>
    <w:p w14:paraId="6F4B3401" w14:textId="77777777" w:rsidR="00DE575E" w:rsidRDefault="00DE575E">
      <w:pPr>
        <w:pStyle w:val="BodyText"/>
        <w:spacing w:before="7"/>
        <w:rPr>
          <w:rFonts w:ascii="AdonisC"/>
          <w:i/>
          <w:sz w:val="19"/>
        </w:rPr>
      </w:pPr>
    </w:p>
    <w:p w14:paraId="3316F7C2" w14:textId="77777777" w:rsidR="00DE575E" w:rsidRDefault="002E7560">
      <w:pPr>
        <w:pStyle w:val="BodyText"/>
        <w:spacing w:before="1" w:line="252" w:lineRule="auto"/>
        <w:ind w:left="250" w:right="339"/>
      </w:pPr>
      <w:r>
        <w:rPr>
          <w:color w:val="231F20"/>
        </w:rPr>
        <w:t>жень, визначених законом, ухвалюють рішення, які є обов’язковими до виконання на відповідній території;</w:t>
      </w:r>
    </w:p>
    <w:p w14:paraId="132BAED0" w14:textId="77777777" w:rsidR="00DE575E" w:rsidRDefault="002E7560">
      <w:pPr>
        <w:pStyle w:val="ListParagraph"/>
        <w:numPr>
          <w:ilvl w:val="0"/>
          <w:numId w:val="218"/>
        </w:numPr>
        <w:tabs>
          <w:tab w:val="left" w:pos="818"/>
        </w:tabs>
        <w:spacing w:line="252" w:lineRule="auto"/>
        <w:ind w:left="250" w:right="411" w:firstLine="283"/>
        <w:jc w:val="both"/>
        <w:rPr>
          <w:sz w:val="21"/>
        </w:rPr>
      </w:pPr>
      <w:r>
        <w:rPr>
          <w:b/>
          <w:i/>
          <w:color w:val="231F20"/>
          <w:sz w:val="21"/>
        </w:rPr>
        <w:t>локальні</w:t>
      </w:r>
      <w:r>
        <w:rPr>
          <w:b/>
          <w:i/>
          <w:color w:val="231F20"/>
          <w:spacing w:val="-9"/>
          <w:sz w:val="21"/>
        </w:rPr>
        <w:t xml:space="preserve"> </w:t>
      </w:r>
      <w:r>
        <w:rPr>
          <w:b/>
          <w:i/>
          <w:color w:val="231F20"/>
          <w:sz w:val="21"/>
        </w:rPr>
        <w:t>нормативні</w:t>
      </w:r>
      <w:r>
        <w:rPr>
          <w:b/>
          <w:i/>
          <w:color w:val="231F20"/>
          <w:spacing w:val="-9"/>
          <w:sz w:val="21"/>
        </w:rPr>
        <w:t xml:space="preserve"> </w:t>
      </w:r>
      <w:r>
        <w:rPr>
          <w:b/>
          <w:i/>
          <w:color w:val="231F20"/>
          <w:sz w:val="21"/>
        </w:rPr>
        <w:t>акти</w:t>
      </w:r>
      <w:r>
        <w:rPr>
          <w:b/>
          <w:i/>
          <w:color w:val="231F20"/>
          <w:spacing w:val="-8"/>
          <w:sz w:val="21"/>
        </w:rPr>
        <w:t xml:space="preserve"> </w:t>
      </w:r>
      <w:r>
        <w:rPr>
          <w:color w:val="231F20"/>
          <w:sz w:val="21"/>
        </w:rPr>
        <w:t>–</w:t>
      </w:r>
      <w:r>
        <w:rPr>
          <w:color w:val="231F20"/>
          <w:spacing w:val="-9"/>
          <w:sz w:val="21"/>
        </w:rPr>
        <w:t xml:space="preserve"> </w:t>
      </w:r>
      <w:r>
        <w:rPr>
          <w:color w:val="231F20"/>
          <w:sz w:val="21"/>
        </w:rPr>
        <w:t>акти,</w:t>
      </w:r>
      <w:r>
        <w:rPr>
          <w:color w:val="231F20"/>
          <w:spacing w:val="-9"/>
          <w:sz w:val="21"/>
        </w:rPr>
        <w:t xml:space="preserve"> </w:t>
      </w:r>
      <w:r>
        <w:rPr>
          <w:color w:val="231F20"/>
          <w:sz w:val="21"/>
        </w:rPr>
        <w:t>які</w:t>
      </w:r>
      <w:r>
        <w:rPr>
          <w:color w:val="231F20"/>
          <w:spacing w:val="-9"/>
          <w:sz w:val="21"/>
        </w:rPr>
        <w:t xml:space="preserve"> </w:t>
      </w:r>
      <w:r>
        <w:rPr>
          <w:color w:val="231F20"/>
          <w:sz w:val="21"/>
        </w:rPr>
        <w:t>ухвалюються</w:t>
      </w:r>
      <w:r>
        <w:rPr>
          <w:color w:val="231F20"/>
          <w:spacing w:val="-9"/>
          <w:sz w:val="21"/>
        </w:rPr>
        <w:t xml:space="preserve"> </w:t>
      </w:r>
      <w:r>
        <w:rPr>
          <w:color w:val="231F20"/>
          <w:sz w:val="21"/>
        </w:rPr>
        <w:t>керівни- ками</w:t>
      </w:r>
      <w:r>
        <w:rPr>
          <w:color w:val="231F20"/>
          <w:spacing w:val="-7"/>
          <w:sz w:val="21"/>
        </w:rPr>
        <w:t xml:space="preserve"> </w:t>
      </w:r>
      <w:r>
        <w:rPr>
          <w:color w:val="231F20"/>
          <w:sz w:val="21"/>
        </w:rPr>
        <w:t>підприємств,</w:t>
      </w:r>
      <w:r>
        <w:rPr>
          <w:color w:val="231F20"/>
          <w:spacing w:val="-7"/>
          <w:sz w:val="21"/>
        </w:rPr>
        <w:t xml:space="preserve"> </w:t>
      </w:r>
      <w:r>
        <w:rPr>
          <w:color w:val="231F20"/>
          <w:sz w:val="21"/>
        </w:rPr>
        <w:t>установ,</w:t>
      </w:r>
      <w:r>
        <w:rPr>
          <w:color w:val="231F20"/>
          <w:spacing w:val="-7"/>
          <w:sz w:val="21"/>
        </w:rPr>
        <w:t xml:space="preserve"> </w:t>
      </w:r>
      <w:r>
        <w:rPr>
          <w:color w:val="231F20"/>
          <w:sz w:val="21"/>
        </w:rPr>
        <w:t>організацій</w:t>
      </w:r>
      <w:r>
        <w:rPr>
          <w:color w:val="231F20"/>
          <w:spacing w:val="-7"/>
          <w:sz w:val="21"/>
        </w:rPr>
        <w:t xml:space="preserve"> </w:t>
      </w:r>
      <w:r>
        <w:rPr>
          <w:color w:val="231F20"/>
          <w:sz w:val="21"/>
        </w:rPr>
        <w:t>у</w:t>
      </w:r>
      <w:r>
        <w:rPr>
          <w:color w:val="231F20"/>
          <w:spacing w:val="-6"/>
          <w:sz w:val="21"/>
        </w:rPr>
        <w:t xml:space="preserve"> </w:t>
      </w:r>
      <w:r>
        <w:rPr>
          <w:color w:val="231F20"/>
          <w:sz w:val="21"/>
        </w:rPr>
        <w:t>межах</w:t>
      </w:r>
      <w:r>
        <w:rPr>
          <w:color w:val="231F20"/>
          <w:spacing w:val="-7"/>
          <w:sz w:val="21"/>
        </w:rPr>
        <w:t xml:space="preserve"> </w:t>
      </w:r>
      <w:r>
        <w:rPr>
          <w:color w:val="231F20"/>
          <w:sz w:val="21"/>
        </w:rPr>
        <w:t>наданих</w:t>
      </w:r>
      <w:r>
        <w:rPr>
          <w:color w:val="231F20"/>
          <w:spacing w:val="-7"/>
          <w:sz w:val="21"/>
        </w:rPr>
        <w:t xml:space="preserve"> </w:t>
      </w:r>
      <w:r>
        <w:rPr>
          <w:color w:val="231F20"/>
          <w:sz w:val="21"/>
        </w:rPr>
        <w:t>їм</w:t>
      </w:r>
      <w:r>
        <w:rPr>
          <w:color w:val="231F20"/>
          <w:spacing w:val="-7"/>
          <w:sz w:val="21"/>
        </w:rPr>
        <w:t xml:space="preserve"> </w:t>
      </w:r>
      <w:r>
        <w:rPr>
          <w:color w:val="231F20"/>
          <w:sz w:val="21"/>
        </w:rPr>
        <w:t xml:space="preserve">повнова- жень із метою регулювання службової та </w:t>
      </w:r>
      <w:r>
        <w:rPr>
          <w:color w:val="231F20"/>
          <w:spacing w:val="-3"/>
          <w:sz w:val="21"/>
        </w:rPr>
        <w:t>трудової</w:t>
      </w:r>
      <w:r>
        <w:rPr>
          <w:color w:val="231F20"/>
          <w:spacing w:val="-14"/>
          <w:sz w:val="21"/>
        </w:rPr>
        <w:t xml:space="preserve"> </w:t>
      </w:r>
      <w:r>
        <w:rPr>
          <w:color w:val="231F20"/>
          <w:sz w:val="21"/>
        </w:rPr>
        <w:t>діяльності.</w:t>
      </w:r>
    </w:p>
    <w:p w14:paraId="0DDE132B" w14:textId="77777777" w:rsidR="00DE575E" w:rsidRDefault="00DE575E">
      <w:pPr>
        <w:pStyle w:val="BodyText"/>
        <w:spacing w:before="1"/>
        <w:rPr>
          <w:sz w:val="22"/>
        </w:rPr>
      </w:pPr>
    </w:p>
    <w:p w14:paraId="1B92158A" w14:textId="77777777" w:rsidR="00DE575E" w:rsidRDefault="002E7560">
      <w:pPr>
        <w:pStyle w:val="Heading5"/>
        <w:numPr>
          <w:ilvl w:val="2"/>
          <w:numId w:val="208"/>
        </w:numPr>
        <w:tabs>
          <w:tab w:val="left" w:pos="1099"/>
        </w:tabs>
        <w:ind w:left="1098"/>
        <w:jc w:val="left"/>
      </w:pPr>
      <w:r>
        <w:rPr>
          <w:color w:val="231F20"/>
        </w:rPr>
        <w:t>Вимоги до нормативно-правового</w:t>
      </w:r>
      <w:r>
        <w:rPr>
          <w:color w:val="231F20"/>
          <w:spacing w:val="-4"/>
        </w:rPr>
        <w:t xml:space="preserve"> </w:t>
      </w:r>
      <w:r>
        <w:rPr>
          <w:color w:val="231F20"/>
        </w:rPr>
        <w:t>акта</w:t>
      </w:r>
    </w:p>
    <w:p w14:paraId="4E511C75" w14:textId="77777777" w:rsidR="00DE575E" w:rsidRDefault="00DE575E">
      <w:pPr>
        <w:pStyle w:val="BodyText"/>
        <w:spacing w:before="2"/>
        <w:rPr>
          <w:b/>
          <w:sz w:val="23"/>
        </w:rPr>
      </w:pPr>
    </w:p>
    <w:p w14:paraId="18BD9FBB" w14:textId="77777777" w:rsidR="00DE575E" w:rsidRDefault="002E7560">
      <w:pPr>
        <w:pStyle w:val="BodyText"/>
        <w:spacing w:line="252" w:lineRule="auto"/>
        <w:ind w:left="250" w:right="410" w:firstLine="283"/>
        <w:jc w:val="both"/>
      </w:pPr>
      <w:r>
        <w:rPr>
          <w:color w:val="231F20"/>
        </w:rPr>
        <w:t>Нормативні акти мають відповідати формальним і</w:t>
      </w:r>
      <w:r>
        <w:rPr>
          <w:color w:val="231F20"/>
          <w:spacing w:val="-34"/>
        </w:rPr>
        <w:t xml:space="preserve"> </w:t>
      </w:r>
      <w:r>
        <w:rPr>
          <w:color w:val="231F20"/>
        </w:rPr>
        <w:t xml:space="preserve">матеріальним вимогам. Серед формальних слід виділити компетенцію </w:t>
      </w:r>
      <w:r>
        <w:rPr>
          <w:color w:val="231F20"/>
          <w:spacing w:val="-4"/>
        </w:rPr>
        <w:t xml:space="preserve">суб’єкта </w:t>
      </w:r>
      <w:r>
        <w:rPr>
          <w:color w:val="231F20"/>
        </w:rPr>
        <w:t>публічної адміністрації (чітко відповідати юридичним вимогам щодо дотримання принципу законності та презумпції законності акта) та суворе дотримання процедури</w:t>
      </w:r>
      <w:r>
        <w:rPr>
          <w:color w:val="231F20"/>
          <w:spacing w:val="-6"/>
        </w:rPr>
        <w:t xml:space="preserve"> </w:t>
      </w:r>
      <w:r>
        <w:rPr>
          <w:color w:val="231F20"/>
        </w:rPr>
        <w:t>видання.</w:t>
      </w:r>
    </w:p>
    <w:p w14:paraId="3DA579A3" w14:textId="77777777" w:rsidR="00DE575E" w:rsidRDefault="002E7560">
      <w:pPr>
        <w:pStyle w:val="BodyText"/>
        <w:spacing w:before="3" w:line="252" w:lineRule="auto"/>
        <w:ind w:left="250" w:right="411" w:firstLine="283"/>
        <w:jc w:val="both"/>
      </w:pPr>
      <w:r>
        <w:rPr>
          <w:color w:val="231F20"/>
        </w:rPr>
        <w:t>Крім того нормативні акти мають відповідати таким матеріаль- ним критеріям:</w:t>
      </w:r>
    </w:p>
    <w:p w14:paraId="10383E9B" w14:textId="77777777" w:rsidR="00DE575E" w:rsidRDefault="002E7560">
      <w:pPr>
        <w:pStyle w:val="ListParagraph"/>
        <w:numPr>
          <w:ilvl w:val="0"/>
          <w:numId w:val="204"/>
        </w:numPr>
        <w:tabs>
          <w:tab w:val="left" w:pos="818"/>
        </w:tabs>
        <w:spacing w:line="252" w:lineRule="auto"/>
        <w:ind w:right="409" w:firstLine="283"/>
        <w:jc w:val="both"/>
        <w:rPr>
          <w:sz w:val="21"/>
        </w:rPr>
      </w:pPr>
      <w:r>
        <w:rPr>
          <w:color w:val="231F20"/>
          <w:sz w:val="21"/>
        </w:rPr>
        <w:t>відображати     оптимальність,     доцільність,     ефективність  і соціальну справедливість при становленні підзаконних норм адмі- ністративного</w:t>
      </w:r>
      <w:r>
        <w:rPr>
          <w:color w:val="231F20"/>
          <w:spacing w:val="-1"/>
          <w:sz w:val="21"/>
        </w:rPr>
        <w:t xml:space="preserve"> </w:t>
      </w:r>
      <w:r>
        <w:rPr>
          <w:color w:val="231F20"/>
          <w:sz w:val="21"/>
        </w:rPr>
        <w:t>права;</w:t>
      </w:r>
    </w:p>
    <w:p w14:paraId="58C6725C" w14:textId="77777777" w:rsidR="00DE575E" w:rsidRDefault="002E7560">
      <w:pPr>
        <w:pStyle w:val="ListParagraph"/>
        <w:numPr>
          <w:ilvl w:val="0"/>
          <w:numId w:val="204"/>
        </w:numPr>
        <w:tabs>
          <w:tab w:val="left" w:pos="818"/>
        </w:tabs>
        <w:spacing w:line="252" w:lineRule="auto"/>
        <w:ind w:right="410" w:firstLine="283"/>
        <w:jc w:val="both"/>
        <w:rPr>
          <w:sz w:val="21"/>
        </w:rPr>
      </w:pPr>
      <w:r>
        <w:rPr>
          <w:color w:val="231F20"/>
          <w:sz w:val="21"/>
        </w:rPr>
        <w:t xml:space="preserve">видаватися  на  основі  Конституції,  інших  законів  </w:t>
      </w:r>
      <w:r>
        <w:rPr>
          <w:color w:val="231F20"/>
          <w:spacing w:val="-3"/>
          <w:sz w:val="21"/>
        </w:rPr>
        <w:t xml:space="preserve">України     </w:t>
      </w:r>
      <w:r>
        <w:rPr>
          <w:color w:val="231F20"/>
          <w:sz w:val="21"/>
        </w:rPr>
        <w:t>і в будь-якому разі не звужувати визн</w:t>
      </w:r>
      <w:r>
        <w:rPr>
          <w:color w:val="231F20"/>
          <w:sz w:val="21"/>
        </w:rPr>
        <w:t>ачені ними права, свободи      й законні інтереси приватних</w:t>
      </w:r>
      <w:r>
        <w:rPr>
          <w:color w:val="231F20"/>
          <w:spacing w:val="-2"/>
          <w:sz w:val="21"/>
        </w:rPr>
        <w:t xml:space="preserve"> </w:t>
      </w:r>
      <w:r>
        <w:rPr>
          <w:color w:val="231F20"/>
          <w:sz w:val="21"/>
        </w:rPr>
        <w:t>осіб.</w:t>
      </w:r>
    </w:p>
    <w:p w14:paraId="501E1A26" w14:textId="77777777" w:rsidR="00DE575E" w:rsidRDefault="00DE575E">
      <w:pPr>
        <w:pStyle w:val="BodyText"/>
        <w:spacing w:before="2"/>
        <w:rPr>
          <w:sz w:val="22"/>
        </w:rPr>
      </w:pPr>
    </w:p>
    <w:p w14:paraId="2DDDFEC5" w14:textId="77777777" w:rsidR="00DE575E" w:rsidRDefault="002E7560">
      <w:pPr>
        <w:pStyle w:val="Heading5"/>
        <w:numPr>
          <w:ilvl w:val="2"/>
          <w:numId w:val="208"/>
        </w:numPr>
        <w:tabs>
          <w:tab w:val="left" w:pos="1099"/>
        </w:tabs>
        <w:spacing w:line="252" w:lineRule="auto"/>
        <w:ind w:left="533" w:right="2638" w:firstLine="0"/>
        <w:jc w:val="left"/>
      </w:pPr>
      <w:r>
        <w:rPr>
          <w:color w:val="231F20"/>
        </w:rPr>
        <w:t>Порядок підготовки та</w:t>
      </w:r>
      <w:r>
        <w:rPr>
          <w:color w:val="231F20"/>
          <w:spacing w:val="-22"/>
        </w:rPr>
        <w:t xml:space="preserve"> </w:t>
      </w:r>
      <w:r>
        <w:rPr>
          <w:color w:val="231F20"/>
        </w:rPr>
        <w:t>ухвалення нормативно-правового</w:t>
      </w:r>
      <w:r>
        <w:rPr>
          <w:color w:val="231F20"/>
          <w:spacing w:val="-2"/>
        </w:rPr>
        <w:t xml:space="preserve"> </w:t>
      </w:r>
      <w:r>
        <w:rPr>
          <w:color w:val="231F20"/>
        </w:rPr>
        <w:t>акта</w:t>
      </w:r>
    </w:p>
    <w:p w14:paraId="388392AD" w14:textId="77777777" w:rsidR="00DE575E" w:rsidRDefault="00DE575E">
      <w:pPr>
        <w:pStyle w:val="BodyText"/>
        <w:spacing w:before="1"/>
        <w:rPr>
          <w:b/>
          <w:sz w:val="22"/>
        </w:rPr>
      </w:pPr>
    </w:p>
    <w:p w14:paraId="2A9EB8C9" w14:textId="77777777" w:rsidR="00DE575E" w:rsidRDefault="002E7560">
      <w:pPr>
        <w:pStyle w:val="BodyText"/>
        <w:spacing w:line="252" w:lineRule="auto"/>
        <w:ind w:left="250" w:right="411" w:firstLine="283"/>
        <w:jc w:val="both"/>
      </w:pPr>
      <w:r>
        <w:rPr>
          <w:color w:val="231F20"/>
        </w:rPr>
        <w:t>Процедура ухвалення актів компетентними на це суб’єктами публічної адміністрації поділяється на такі стадії:</w:t>
      </w:r>
    </w:p>
    <w:p w14:paraId="2623CADE" w14:textId="77777777" w:rsidR="00DE575E" w:rsidRDefault="002E7560">
      <w:pPr>
        <w:pStyle w:val="BodyText"/>
        <w:spacing w:before="1"/>
        <w:ind w:left="533"/>
      </w:pPr>
      <w:r>
        <w:rPr>
          <w:rFonts w:ascii="Wingdings" w:hAnsi="Wingdings"/>
          <w:color w:val="231F20"/>
        </w:rPr>
        <w:t></w:t>
      </w:r>
      <w:r>
        <w:rPr>
          <w:rFonts w:ascii="Times New Roman" w:hAnsi="Times New Roman"/>
          <w:color w:val="231F20"/>
        </w:rPr>
        <w:t xml:space="preserve"> </w:t>
      </w:r>
      <w:r>
        <w:rPr>
          <w:color w:val="231F20"/>
        </w:rPr>
        <w:t>установлення потреб</w:t>
      </w:r>
      <w:r>
        <w:rPr>
          <w:color w:val="231F20"/>
        </w:rPr>
        <w:t>и ухвалення акта;</w:t>
      </w:r>
    </w:p>
    <w:p w14:paraId="462A63F1"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підготовка його проєкту;</w:t>
      </w:r>
    </w:p>
    <w:p w14:paraId="6348DE5A"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внесення проєкту акта на розгляд відповідного органу;</w:t>
      </w:r>
    </w:p>
    <w:p w14:paraId="7D871FAC" w14:textId="77777777" w:rsidR="00DE575E" w:rsidRDefault="002E7560">
      <w:pPr>
        <w:pStyle w:val="BodyText"/>
        <w:spacing w:before="12"/>
        <w:ind w:left="533"/>
      </w:pPr>
      <w:r>
        <w:rPr>
          <w:rFonts w:ascii="Wingdings" w:hAnsi="Wingdings"/>
          <w:color w:val="231F20"/>
        </w:rPr>
        <w:t></w:t>
      </w:r>
      <w:r>
        <w:rPr>
          <w:rFonts w:ascii="Times New Roman" w:hAnsi="Times New Roman"/>
          <w:color w:val="231F20"/>
        </w:rPr>
        <w:t xml:space="preserve"> </w:t>
      </w:r>
      <w:r>
        <w:rPr>
          <w:color w:val="231F20"/>
        </w:rPr>
        <w:t>обговорення та доопрацювання проєкту акта;</w:t>
      </w:r>
    </w:p>
    <w:p w14:paraId="43D708CA"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ухвалення та реєстрація акта;</w:t>
      </w:r>
    </w:p>
    <w:p w14:paraId="2B78F83D" w14:textId="77777777" w:rsidR="00DE575E" w:rsidRDefault="002E7560">
      <w:pPr>
        <w:pStyle w:val="BodyText"/>
        <w:spacing w:before="13" w:line="252" w:lineRule="auto"/>
        <w:ind w:left="250" w:right="410" w:firstLine="283"/>
        <w:jc w:val="both"/>
      </w:pPr>
      <w:r>
        <w:rPr>
          <w:rFonts w:ascii="Wingdings" w:hAnsi="Wingdings"/>
          <w:color w:val="231F20"/>
        </w:rPr>
        <w:t></w:t>
      </w:r>
      <w:r>
        <w:rPr>
          <w:rFonts w:ascii="Times New Roman" w:hAnsi="Times New Roman"/>
          <w:color w:val="231F20"/>
        </w:rPr>
        <w:t xml:space="preserve"> </w:t>
      </w:r>
      <w:r>
        <w:rPr>
          <w:color w:val="231F20"/>
        </w:rPr>
        <w:t>доведення акта до відома виконавців – опублікування, розсилка, ознайомлення під розписку тощо.</w:t>
      </w:r>
    </w:p>
    <w:p w14:paraId="5AD8013E" w14:textId="77777777" w:rsidR="00DE575E" w:rsidRDefault="002E7560">
      <w:pPr>
        <w:spacing w:before="1" w:line="252" w:lineRule="auto"/>
        <w:ind w:left="250" w:right="409" w:firstLine="283"/>
        <w:jc w:val="both"/>
        <w:rPr>
          <w:i/>
          <w:sz w:val="21"/>
        </w:rPr>
      </w:pPr>
      <w:r>
        <w:rPr>
          <w:color w:val="231F20"/>
          <w:sz w:val="21"/>
        </w:rPr>
        <w:t>При встановлені потреби ухвалення нормативного акта треба врахувати те, що він має бути об’єктивно потрібний для здійснення публічного адміністрування. Така об’єктивність зумовлюється правилом «</w:t>
      </w:r>
      <w:r>
        <w:rPr>
          <w:i/>
          <w:color w:val="231F20"/>
          <w:sz w:val="21"/>
        </w:rPr>
        <w:t>без конкретного підзаконного нормативно-правового акту здійсню</w:t>
      </w:r>
      <w:r>
        <w:rPr>
          <w:i/>
          <w:color w:val="231F20"/>
          <w:sz w:val="21"/>
        </w:rPr>
        <w:t>вати публічне адміністрування буде неможливо, а не</w:t>
      </w:r>
    </w:p>
    <w:p w14:paraId="2BB4937F" w14:textId="77777777" w:rsidR="00DE575E" w:rsidRDefault="00DE575E">
      <w:pPr>
        <w:pStyle w:val="BodyText"/>
        <w:spacing w:before="10"/>
        <w:rPr>
          <w:i/>
          <w:sz w:val="12"/>
        </w:rPr>
      </w:pPr>
    </w:p>
    <w:p w14:paraId="498B3F29" w14:textId="77777777" w:rsidR="00DE575E" w:rsidRDefault="002E7560">
      <w:pPr>
        <w:spacing w:before="91"/>
        <w:ind w:right="411"/>
        <w:jc w:val="right"/>
        <w:rPr>
          <w:rFonts w:ascii="Times New Roman"/>
          <w:sz w:val="20"/>
        </w:rPr>
      </w:pPr>
      <w:r>
        <w:rPr>
          <w:rFonts w:ascii="Times New Roman"/>
          <w:color w:val="231F20"/>
          <w:w w:val="90"/>
          <w:sz w:val="20"/>
        </w:rPr>
        <w:t>215</w:t>
      </w:r>
    </w:p>
    <w:p w14:paraId="7E02E16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F8F3B7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4E9EE12" w14:textId="3F5AAA5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FCA7361" wp14:editId="5D0C63B9">
                <wp:extent cx="4140200" cy="6350"/>
                <wp:effectExtent l="0" t="0" r="12700" b="6350"/>
                <wp:docPr id="869"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70" name="Line 8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6EEC53" id="Group_x0020_8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6vT0J4ECAACYBQAA&#10;DgAAAAAAAAAAAAAAAAAsAgAAZHJzL2Uyb0RvYy54bWxQSwECLQAUAAYACAAAACEATKewkNkAAAAD&#10;AQAADwAAAAAAAAAAAAAAAADZBAAAZHJzL2Rvd25yZXYueG1sUEsFBgAAAAAEAAQA8wAAAN8FAAAA&#10;AA==&#10;">
                <v:line id="Line_x0020_8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1spsMAAADcAAAADwAAAGRycy9kb3ducmV2LnhtbERP3WrCMBS+F/YO4Qy8kTVVQaVrlCEM&#10;hhc67R7g2Jy1ZclJbaKte/rlYuDlx/efbwZrxI063zhWME1SEMSl0w1XCr6K95cVCB+QNRrHpOBO&#10;Hjbrp1GOmXY9H+l2CpWIIewzVFCH0GZS+rImiz5xLXHkvl1nMUTYVVJ32Mdwa+QsTRfSYsOxocaW&#10;tjWVP6erVVBcJsF8HnamLw7nuTxf9vPf616p8fPw9goi0BAe4n/3h1awWsb5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99bKbDAAAA3AAAAA8AAAAAAAAAAAAA&#10;AAAAoQIAAGRycy9kb3ducmV2LnhtbFBLBQYAAAAABAAEAPkAAACRAwAAAAA=&#10;" strokecolor="#231f20" strokeweight=".5pt"/>
                <w10:anchorlock/>
              </v:group>
            </w:pict>
          </mc:Fallback>
        </mc:AlternateContent>
      </w:r>
    </w:p>
    <w:p w14:paraId="5D5F0333" w14:textId="77777777" w:rsidR="00DE575E" w:rsidRDefault="00DE575E">
      <w:pPr>
        <w:pStyle w:val="BodyText"/>
        <w:spacing w:before="7"/>
        <w:rPr>
          <w:rFonts w:ascii="AdonisC"/>
          <w:i/>
          <w:sz w:val="11"/>
        </w:rPr>
      </w:pPr>
    </w:p>
    <w:p w14:paraId="210AB37D" w14:textId="77777777" w:rsidR="00DE575E" w:rsidRDefault="002E7560">
      <w:pPr>
        <w:spacing w:before="101" w:line="252" w:lineRule="auto"/>
        <w:ind w:left="533" w:right="86"/>
        <w:rPr>
          <w:sz w:val="21"/>
        </w:rPr>
      </w:pPr>
      <w:r>
        <w:rPr>
          <w:i/>
          <w:color w:val="231F20"/>
          <w:sz w:val="21"/>
        </w:rPr>
        <w:t>тому що від нього буде якась “користь”</w:t>
      </w:r>
      <w:r>
        <w:rPr>
          <w:color w:val="231F20"/>
          <w:sz w:val="21"/>
        </w:rPr>
        <w:t>»</w:t>
      </w:r>
      <w:r>
        <w:rPr>
          <w:i/>
          <w:color w:val="231F20"/>
          <w:sz w:val="21"/>
        </w:rPr>
        <w:t xml:space="preserve">. </w:t>
      </w:r>
      <w:r>
        <w:rPr>
          <w:color w:val="231F20"/>
          <w:sz w:val="21"/>
        </w:rPr>
        <w:t>Або потреба певних норма- тивно-прав</w:t>
      </w:r>
      <w:r>
        <w:rPr>
          <w:color w:val="231F20"/>
          <w:sz w:val="21"/>
        </w:rPr>
        <w:t>ових актів має бути прямо передбачена в законі</w:t>
      </w:r>
      <w:r>
        <w:rPr>
          <w:color w:val="231F20"/>
          <w:position w:val="7"/>
          <w:sz w:val="12"/>
        </w:rPr>
        <w:t>1</w:t>
      </w:r>
      <w:r>
        <w:rPr>
          <w:color w:val="231F20"/>
          <w:sz w:val="21"/>
        </w:rPr>
        <w:t>.</w:t>
      </w:r>
    </w:p>
    <w:p w14:paraId="329494D5" w14:textId="77777777" w:rsidR="00DE575E" w:rsidRDefault="00DE575E">
      <w:pPr>
        <w:pStyle w:val="BodyText"/>
        <w:spacing w:before="1"/>
        <w:rPr>
          <w:sz w:val="22"/>
        </w:rPr>
      </w:pPr>
    </w:p>
    <w:p w14:paraId="091E81BB" w14:textId="77777777" w:rsidR="00DE575E" w:rsidRDefault="002E7560">
      <w:pPr>
        <w:pStyle w:val="Heading5"/>
        <w:ind w:left="817"/>
      </w:pPr>
      <w:r>
        <w:rPr>
          <w:color w:val="231F20"/>
        </w:rPr>
        <w:t>7.2.5. Підготовка проєкту нормативного акта</w:t>
      </w:r>
    </w:p>
    <w:p w14:paraId="726387F2" w14:textId="77777777" w:rsidR="00DE575E" w:rsidRDefault="00DE575E">
      <w:pPr>
        <w:pStyle w:val="BodyText"/>
        <w:spacing w:before="2"/>
        <w:rPr>
          <w:b/>
          <w:sz w:val="23"/>
        </w:rPr>
      </w:pPr>
    </w:p>
    <w:p w14:paraId="6F6344C6" w14:textId="77777777" w:rsidR="00DE575E" w:rsidRDefault="002E7560">
      <w:pPr>
        <w:pStyle w:val="BodyText"/>
        <w:ind w:left="817"/>
      </w:pPr>
      <w:r>
        <w:rPr>
          <w:color w:val="231F20"/>
        </w:rPr>
        <w:t>Здійснюється за правилами юридичної техніки</w:t>
      </w:r>
      <w:r>
        <w:rPr>
          <w:color w:val="231F20"/>
          <w:position w:val="7"/>
          <w:sz w:val="12"/>
        </w:rPr>
        <w:t>2</w:t>
      </w:r>
      <w:r>
        <w:rPr>
          <w:color w:val="231F20"/>
        </w:rPr>
        <w:t>.</w:t>
      </w:r>
    </w:p>
    <w:p w14:paraId="4E52557E" w14:textId="77777777" w:rsidR="00DE575E" w:rsidRDefault="002E7560">
      <w:pPr>
        <w:spacing w:before="13" w:line="252" w:lineRule="auto"/>
        <w:ind w:left="533" w:firstLine="283"/>
        <w:rPr>
          <w:sz w:val="21"/>
        </w:rPr>
      </w:pPr>
      <w:r>
        <w:rPr>
          <w:i/>
          <w:color w:val="231F20"/>
          <w:sz w:val="21"/>
        </w:rPr>
        <w:t>До</w:t>
      </w:r>
      <w:r>
        <w:rPr>
          <w:i/>
          <w:color w:val="231F20"/>
          <w:spacing w:val="-23"/>
          <w:sz w:val="21"/>
        </w:rPr>
        <w:t xml:space="preserve"> </w:t>
      </w:r>
      <w:r>
        <w:rPr>
          <w:i/>
          <w:color w:val="231F20"/>
          <w:sz w:val="21"/>
        </w:rPr>
        <w:t>змісту</w:t>
      </w:r>
      <w:r>
        <w:rPr>
          <w:i/>
          <w:color w:val="231F20"/>
          <w:spacing w:val="-23"/>
          <w:sz w:val="21"/>
        </w:rPr>
        <w:t xml:space="preserve"> </w:t>
      </w:r>
      <w:r>
        <w:rPr>
          <w:i/>
          <w:color w:val="231F20"/>
          <w:sz w:val="21"/>
        </w:rPr>
        <w:t>юридичної</w:t>
      </w:r>
      <w:r>
        <w:rPr>
          <w:i/>
          <w:color w:val="231F20"/>
          <w:spacing w:val="-23"/>
          <w:sz w:val="21"/>
        </w:rPr>
        <w:t xml:space="preserve"> </w:t>
      </w:r>
      <w:r>
        <w:rPr>
          <w:i/>
          <w:color w:val="231F20"/>
          <w:sz w:val="21"/>
        </w:rPr>
        <w:t>техніки</w:t>
      </w:r>
      <w:r>
        <w:rPr>
          <w:i/>
          <w:color w:val="231F20"/>
          <w:spacing w:val="-23"/>
          <w:sz w:val="21"/>
        </w:rPr>
        <w:t xml:space="preserve"> </w:t>
      </w:r>
      <w:r>
        <w:rPr>
          <w:color w:val="231F20"/>
          <w:sz w:val="21"/>
        </w:rPr>
        <w:t>входять</w:t>
      </w:r>
      <w:r>
        <w:rPr>
          <w:color w:val="231F20"/>
          <w:spacing w:val="-23"/>
          <w:sz w:val="21"/>
        </w:rPr>
        <w:t xml:space="preserve"> </w:t>
      </w:r>
      <w:r>
        <w:rPr>
          <w:color w:val="231F20"/>
          <w:sz w:val="21"/>
        </w:rPr>
        <w:t>різні</w:t>
      </w:r>
      <w:r>
        <w:rPr>
          <w:color w:val="231F20"/>
          <w:spacing w:val="-23"/>
          <w:sz w:val="21"/>
        </w:rPr>
        <w:t xml:space="preserve"> </w:t>
      </w:r>
      <w:r>
        <w:rPr>
          <w:color w:val="231F20"/>
          <w:sz w:val="21"/>
        </w:rPr>
        <w:t>за</w:t>
      </w:r>
      <w:r>
        <w:rPr>
          <w:color w:val="231F20"/>
          <w:spacing w:val="-23"/>
          <w:sz w:val="21"/>
        </w:rPr>
        <w:t xml:space="preserve"> </w:t>
      </w:r>
      <w:r>
        <w:rPr>
          <w:color w:val="231F20"/>
          <w:sz w:val="21"/>
        </w:rPr>
        <w:t>характером</w:t>
      </w:r>
      <w:r>
        <w:rPr>
          <w:color w:val="231F20"/>
          <w:spacing w:val="-23"/>
          <w:sz w:val="21"/>
        </w:rPr>
        <w:t xml:space="preserve"> </w:t>
      </w:r>
      <w:r>
        <w:rPr>
          <w:color w:val="231F20"/>
          <w:sz w:val="21"/>
        </w:rPr>
        <w:t>і</w:t>
      </w:r>
      <w:r>
        <w:rPr>
          <w:color w:val="231F20"/>
          <w:spacing w:val="-23"/>
          <w:sz w:val="21"/>
        </w:rPr>
        <w:t xml:space="preserve"> </w:t>
      </w:r>
      <w:r>
        <w:rPr>
          <w:color w:val="231F20"/>
          <w:sz w:val="21"/>
        </w:rPr>
        <w:t>формою правила, які поділяються на шість</w:t>
      </w:r>
      <w:r>
        <w:rPr>
          <w:color w:val="231F20"/>
          <w:spacing w:val="-4"/>
          <w:sz w:val="21"/>
        </w:rPr>
        <w:t xml:space="preserve"> </w:t>
      </w:r>
      <w:r>
        <w:rPr>
          <w:color w:val="231F20"/>
          <w:sz w:val="21"/>
        </w:rPr>
        <w:t>груп:</w:t>
      </w:r>
    </w:p>
    <w:p w14:paraId="47A69C76" w14:textId="77777777" w:rsidR="00DE575E" w:rsidRDefault="002E7560">
      <w:pPr>
        <w:pStyle w:val="ListParagraph"/>
        <w:numPr>
          <w:ilvl w:val="0"/>
          <w:numId w:val="203"/>
        </w:numPr>
        <w:tabs>
          <w:tab w:val="left" w:pos="1101"/>
        </w:tabs>
        <w:ind w:hanging="283"/>
        <w:rPr>
          <w:sz w:val="21"/>
        </w:rPr>
      </w:pPr>
      <w:r>
        <w:rPr>
          <w:color w:val="231F20"/>
          <w:sz w:val="21"/>
        </w:rPr>
        <w:t>конституційність;</w:t>
      </w:r>
    </w:p>
    <w:p w14:paraId="5DCD44F7" w14:textId="77777777" w:rsidR="00DE575E" w:rsidRDefault="002E7560">
      <w:pPr>
        <w:pStyle w:val="ListParagraph"/>
        <w:numPr>
          <w:ilvl w:val="0"/>
          <w:numId w:val="203"/>
        </w:numPr>
        <w:tabs>
          <w:tab w:val="left" w:pos="1101"/>
        </w:tabs>
        <w:spacing w:before="12"/>
        <w:ind w:hanging="283"/>
        <w:rPr>
          <w:sz w:val="21"/>
        </w:rPr>
      </w:pPr>
      <w:r>
        <w:rPr>
          <w:color w:val="231F20"/>
          <w:sz w:val="21"/>
        </w:rPr>
        <w:t>досягнення соціальної</w:t>
      </w:r>
      <w:r>
        <w:rPr>
          <w:color w:val="231F20"/>
          <w:spacing w:val="-2"/>
          <w:sz w:val="21"/>
        </w:rPr>
        <w:t xml:space="preserve"> </w:t>
      </w:r>
      <w:r>
        <w:rPr>
          <w:color w:val="231F20"/>
          <w:sz w:val="21"/>
        </w:rPr>
        <w:t>адекватності;</w:t>
      </w:r>
    </w:p>
    <w:p w14:paraId="26DB995D" w14:textId="77777777" w:rsidR="00DE575E" w:rsidRDefault="002E7560">
      <w:pPr>
        <w:pStyle w:val="ListParagraph"/>
        <w:numPr>
          <w:ilvl w:val="0"/>
          <w:numId w:val="203"/>
        </w:numPr>
        <w:tabs>
          <w:tab w:val="left" w:pos="1101"/>
        </w:tabs>
        <w:spacing w:before="13"/>
        <w:ind w:hanging="283"/>
        <w:rPr>
          <w:sz w:val="21"/>
        </w:rPr>
      </w:pPr>
      <w:r>
        <w:rPr>
          <w:color w:val="231F20"/>
          <w:sz w:val="21"/>
        </w:rPr>
        <w:t>забезпечення</w:t>
      </w:r>
      <w:r>
        <w:rPr>
          <w:color w:val="231F20"/>
          <w:spacing w:val="-1"/>
          <w:sz w:val="21"/>
        </w:rPr>
        <w:t xml:space="preserve"> </w:t>
      </w:r>
      <w:r>
        <w:rPr>
          <w:color w:val="231F20"/>
          <w:sz w:val="21"/>
        </w:rPr>
        <w:t>логіки;</w:t>
      </w:r>
    </w:p>
    <w:p w14:paraId="51975243" w14:textId="77777777" w:rsidR="00DE575E" w:rsidRDefault="002E7560">
      <w:pPr>
        <w:pStyle w:val="ListParagraph"/>
        <w:numPr>
          <w:ilvl w:val="0"/>
          <w:numId w:val="203"/>
        </w:numPr>
        <w:tabs>
          <w:tab w:val="left" w:pos="1101"/>
        </w:tabs>
        <w:spacing w:before="13"/>
        <w:ind w:hanging="283"/>
        <w:rPr>
          <w:sz w:val="21"/>
        </w:rPr>
      </w:pPr>
      <w:r>
        <w:rPr>
          <w:color w:val="231F20"/>
          <w:sz w:val="21"/>
        </w:rPr>
        <w:t>структурні</w:t>
      </w:r>
      <w:r>
        <w:rPr>
          <w:color w:val="231F20"/>
          <w:spacing w:val="-2"/>
          <w:sz w:val="21"/>
        </w:rPr>
        <w:t xml:space="preserve"> </w:t>
      </w:r>
      <w:r>
        <w:rPr>
          <w:color w:val="231F20"/>
          <w:sz w:val="21"/>
        </w:rPr>
        <w:t>вимоги;</w:t>
      </w:r>
    </w:p>
    <w:p w14:paraId="353BA723" w14:textId="77777777" w:rsidR="00DE575E" w:rsidRDefault="002E7560">
      <w:pPr>
        <w:pStyle w:val="ListParagraph"/>
        <w:numPr>
          <w:ilvl w:val="0"/>
          <w:numId w:val="203"/>
        </w:numPr>
        <w:tabs>
          <w:tab w:val="left" w:pos="1101"/>
        </w:tabs>
        <w:spacing w:before="13"/>
        <w:ind w:hanging="283"/>
        <w:rPr>
          <w:sz w:val="21"/>
        </w:rPr>
      </w:pPr>
      <w:r>
        <w:rPr>
          <w:color w:val="231F20"/>
          <w:sz w:val="21"/>
        </w:rPr>
        <w:t>мовні</w:t>
      </w:r>
      <w:r>
        <w:rPr>
          <w:color w:val="231F20"/>
          <w:spacing w:val="-1"/>
          <w:sz w:val="21"/>
        </w:rPr>
        <w:t xml:space="preserve"> </w:t>
      </w:r>
      <w:r>
        <w:rPr>
          <w:color w:val="231F20"/>
          <w:sz w:val="21"/>
        </w:rPr>
        <w:t>правила;</w:t>
      </w:r>
    </w:p>
    <w:p w14:paraId="4C87B88A" w14:textId="77777777" w:rsidR="00DE575E" w:rsidRDefault="002E7560">
      <w:pPr>
        <w:pStyle w:val="ListParagraph"/>
        <w:numPr>
          <w:ilvl w:val="0"/>
          <w:numId w:val="203"/>
        </w:numPr>
        <w:tabs>
          <w:tab w:val="left" w:pos="1101"/>
        </w:tabs>
        <w:spacing w:before="13"/>
        <w:ind w:hanging="283"/>
        <w:rPr>
          <w:sz w:val="21"/>
        </w:rPr>
      </w:pPr>
      <w:r>
        <w:rPr>
          <w:color w:val="231F20"/>
          <w:sz w:val="21"/>
        </w:rPr>
        <w:t>формальні</w:t>
      </w:r>
      <w:r>
        <w:rPr>
          <w:color w:val="231F20"/>
          <w:spacing w:val="-2"/>
          <w:sz w:val="21"/>
        </w:rPr>
        <w:t xml:space="preserve"> </w:t>
      </w:r>
      <w:r>
        <w:rPr>
          <w:color w:val="231F20"/>
          <w:sz w:val="21"/>
        </w:rPr>
        <w:t>правила.</w:t>
      </w:r>
    </w:p>
    <w:p w14:paraId="0DBF6346" w14:textId="77777777" w:rsidR="00DE575E" w:rsidRDefault="002E7560">
      <w:pPr>
        <w:pStyle w:val="BodyText"/>
        <w:spacing w:before="12" w:line="252" w:lineRule="auto"/>
        <w:ind w:left="533" w:right="124" w:firstLine="283"/>
        <w:jc w:val="both"/>
      </w:pPr>
      <w:r>
        <w:rPr>
          <w:color w:val="231F20"/>
        </w:rPr>
        <w:t xml:space="preserve">Зокрема, </w:t>
      </w:r>
      <w:r>
        <w:rPr>
          <w:b/>
          <w:i/>
          <w:color w:val="231F20"/>
        </w:rPr>
        <w:t xml:space="preserve">соціальна адекватність нормативно актів </w:t>
      </w:r>
      <w:r>
        <w:rPr>
          <w:color w:val="231F20"/>
        </w:rPr>
        <w:t xml:space="preserve">тісно пов’язана з причинами їх ухвалення та завданнями, які мають бути вирішені на їх основі. </w:t>
      </w:r>
      <w:r>
        <w:rPr>
          <w:b/>
          <w:i/>
          <w:color w:val="231F20"/>
        </w:rPr>
        <w:t xml:space="preserve">Забезпечення логіки </w:t>
      </w:r>
      <w:r>
        <w:rPr>
          <w:color w:val="231F20"/>
        </w:rPr>
        <w:t xml:space="preserve">пов’язане з потребою впорядкування текстового матеріалу, послідовного викладення, зумовленістю різних частин правового документа та його заверше- ністю. </w:t>
      </w:r>
      <w:r>
        <w:rPr>
          <w:b/>
          <w:i/>
          <w:color w:val="231F20"/>
        </w:rPr>
        <w:t xml:space="preserve">Структурні правила </w:t>
      </w:r>
      <w:r>
        <w:rPr>
          <w:color w:val="231F20"/>
        </w:rPr>
        <w:t xml:space="preserve">передбачають розміщення норматив- ного матеріалу за  конкретною  схемою.  </w:t>
      </w:r>
      <w:r>
        <w:rPr>
          <w:b/>
          <w:i/>
          <w:color w:val="231F20"/>
        </w:rPr>
        <w:t>Мовні  пра</w:t>
      </w:r>
      <w:r>
        <w:rPr>
          <w:b/>
          <w:i/>
          <w:color w:val="231F20"/>
        </w:rPr>
        <w:t xml:space="preserve">вила  </w:t>
      </w:r>
      <w:r>
        <w:rPr>
          <w:color w:val="231F20"/>
        </w:rPr>
        <w:t xml:space="preserve">пов’язані з тим, що зміст адміністративно-правових актів має відповідати таким вимогам, як ясність, точність, доступність, стислість, офіці- альність. </w:t>
      </w:r>
      <w:r>
        <w:rPr>
          <w:b/>
          <w:i/>
          <w:color w:val="231F20"/>
        </w:rPr>
        <w:t xml:space="preserve">Доступність правових актів </w:t>
      </w:r>
      <w:r>
        <w:rPr>
          <w:color w:val="231F20"/>
        </w:rPr>
        <w:t>пов’язана з тим, що в їх змісті мають бути використані прості фрази, тер</w:t>
      </w:r>
      <w:r>
        <w:rPr>
          <w:color w:val="231F20"/>
        </w:rPr>
        <w:t xml:space="preserve">міни, широко відомі населенню, і не має бути складних речових конструкцій. </w:t>
      </w:r>
      <w:r>
        <w:rPr>
          <w:b/>
          <w:i/>
          <w:color w:val="231F20"/>
        </w:rPr>
        <w:t xml:space="preserve">Формальні правила </w:t>
      </w:r>
      <w:r>
        <w:rPr>
          <w:color w:val="231F20"/>
        </w:rPr>
        <w:t xml:space="preserve">складаються з таких положень: місце, дата підписання, повне найменування посади особи, які підписала доку- </w:t>
      </w:r>
      <w:r>
        <w:rPr>
          <w:color w:val="231F20"/>
          <w:spacing w:val="-3"/>
        </w:rPr>
        <w:t xml:space="preserve">мент, </w:t>
      </w:r>
      <w:r>
        <w:rPr>
          <w:color w:val="231F20"/>
        </w:rPr>
        <w:t>її прізвище та</w:t>
      </w:r>
      <w:r>
        <w:rPr>
          <w:color w:val="231F20"/>
          <w:spacing w:val="20"/>
        </w:rPr>
        <w:t xml:space="preserve"> </w:t>
      </w:r>
      <w:r>
        <w:rPr>
          <w:color w:val="231F20"/>
        </w:rPr>
        <w:t>ініціали.</w:t>
      </w:r>
    </w:p>
    <w:p w14:paraId="02501F71" w14:textId="77777777" w:rsidR="00DE575E" w:rsidRDefault="002E7560">
      <w:pPr>
        <w:spacing w:before="8" w:line="252" w:lineRule="auto"/>
        <w:ind w:left="533" w:firstLine="283"/>
        <w:rPr>
          <w:sz w:val="21"/>
        </w:rPr>
      </w:pPr>
      <w:r>
        <w:rPr>
          <w:color w:val="231F20"/>
          <w:sz w:val="21"/>
        </w:rPr>
        <w:t>Складовою юридичної техні</w:t>
      </w:r>
      <w:r>
        <w:rPr>
          <w:color w:val="231F20"/>
          <w:sz w:val="21"/>
        </w:rPr>
        <w:t xml:space="preserve">ки є </w:t>
      </w:r>
      <w:r>
        <w:rPr>
          <w:i/>
          <w:color w:val="231F20"/>
          <w:sz w:val="21"/>
        </w:rPr>
        <w:t>нормопроєктувальна техніка</w:t>
      </w:r>
      <w:r>
        <w:rPr>
          <w:color w:val="231F20"/>
          <w:sz w:val="21"/>
        </w:rPr>
        <w:t>, згідно з якою нормативний акт має розроблятися з урахуванням</w:t>
      </w:r>
    </w:p>
    <w:p w14:paraId="56D2EF91" w14:textId="77777777" w:rsidR="00DE575E" w:rsidRDefault="00DE575E">
      <w:pPr>
        <w:pStyle w:val="BodyText"/>
        <w:rPr>
          <w:sz w:val="20"/>
        </w:rPr>
      </w:pPr>
    </w:p>
    <w:p w14:paraId="753D6C62" w14:textId="382CE9D5" w:rsidR="00DE575E" w:rsidRDefault="002E7560">
      <w:pPr>
        <w:pStyle w:val="BodyText"/>
        <w:spacing w:before="8"/>
        <w:rPr>
          <w:sz w:val="11"/>
        </w:rPr>
      </w:pPr>
      <w:r>
        <w:rPr>
          <w:noProof/>
        </w:rPr>
        <mc:AlternateContent>
          <mc:Choice Requires="wps">
            <w:drawing>
              <wp:anchor distT="0" distB="0" distL="0" distR="0" simplePos="0" relativeHeight="8800" behindDoc="0" locked="0" layoutInCell="1" allowOverlap="1" wp14:anchorId="4C84EA79" wp14:editId="29CCFDAF">
                <wp:simplePos x="0" y="0"/>
                <wp:positionH relativeFrom="page">
                  <wp:posOffset>719455</wp:posOffset>
                </wp:positionH>
                <wp:positionV relativeFrom="paragraph">
                  <wp:posOffset>114935</wp:posOffset>
                </wp:positionV>
                <wp:extent cx="1080135" cy="0"/>
                <wp:effectExtent l="8255" t="13335" r="29210" b="24765"/>
                <wp:wrapTopAndBottom/>
                <wp:docPr id="868"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52299" id="Line_x0020_867" o:spid="_x0000_s1026" style="position:absolute;z-index: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05pt" to="141.7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" strokecolor="#231f20" strokeweight=".5pt">
                <w10:wrap type="topAndBottom" anchorx="page"/>
              </v:line>
            </w:pict>
          </mc:Fallback>
        </mc:AlternateContent>
      </w:r>
    </w:p>
    <w:p w14:paraId="5073F339" w14:textId="77777777" w:rsidR="00DE575E" w:rsidRDefault="002E7560">
      <w:pPr>
        <w:spacing w:line="148" w:lineRule="exact"/>
        <w:ind w:left="533"/>
        <w:rPr>
          <w:i/>
          <w:sz w:val="16"/>
        </w:rPr>
      </w:pPr>
      <w:r>
        <w:rPr>
          <w:color w:val="231F20"/>
          <w:position w:val="5"/>
          <w:sz w:val="9"/>
        </w:rPr>
        <w:t xml:space="preserve">1 </w:t>
      </w:r>
      <w:r>
        <w:rPr>
          <w:i/>
          <w:color w:val="231F20"/>
          <w:sz w:val="16"/>
          <w:u w:val="single" w:color="231F20"/>
        </w:rPr>
        <w:t>Приклад</w:t>
      </w:r>
      <w:r>
        <w:rPr>
          <w:i/>
          <w:color w:val="231F20"/>
          <w:sz w:val="16"/>
        </w:rPr>
        <w:t>. У прикінцевих положеннях Закону України від 2 жовтня 2019 р. № 143-IX</w:t>
      </w:r>
    </w:p>
    <w:p w14:paraId="0B46A2DC" w14:textId="77777777" w:rsidR="00DE575E" w:rsidRDefault="002E7560">
      <w:pPr>
        <w:spacing w:before="9" w:line="204" w:lineRule="auto"/>
        <w:ind w:left="533" w:right="128"/>
        <w:jc w:val="both"/>
        <w:rPr>
          <w:i/>
          <w:sz w:val="16"/>
        </w:rPr>
      </w:pPr>
      <w:r>
        <w:rPr>
          <w:i/>
          <w:color w:val="231F20"/>
          <w:sz w:val="16"/>
        </w:rPr>
        <w:t>«Про внесення змін до деяких законів України щодо державного регулювання космі</w:t>
      </w:r>
      <w:r>
        <w:rPr>
          <w:i/>
          <w:color w:val="231F20"/>
          <w:sz w:val="16"/>
        </w:rPr>
        <w:t>чної діяльності» прямо покладено зобов’язання на Кабінет Міністрів України протягом трьох місяців з дня опублікування аналізованого Закону привести свої нормативно-правові акти відповідно до цього Закону; забезпечити приведення міністерствами, іншими центр</w:t>
      </w:r>
      <w:r>
        <w:rPr>
          <w:i/>
          <w:color w:val="231F20"/>
          <w:sz w:val="16"/>
        </w:rPr>
        <w:t>аль- ними</w:t>
      </w:r>
      <w:r>
        <w:rPr>
          <w:i/>
          <w:color w:val="231F20"/>
          <w:spacing w:val="-10"/>
          <w:sz w:val="16"/>
        </w:rPr>
        <w:t xml:space="preserve"> </w:t>
      </w:r>
      <w:r>
        <w:rPr>
          <w:i/>
          <w:color w:val="231F20"/>
          <w:sz w:val="16"/>
        </w:rPr>
        <w:t>органами</w:t>
      </w:r>
      <w:r>
        <w:rPr>
          <w:i/>
          <w:color w:val="231F20"/>
          <w:spacing w:val="-9"/>
          <w:sz w:val="16"/>
        </w:rPr>
        <w:t xml:space="preserve"> </w:t>
      </w:r>
      <w:r>
        <w:rPr>
          <w:i/>
          <w:color w:val="231F20"/>
          <w:sz w:val="16"/>
        </w:rPr>
        <w:t>виконавчої</w:t>
      </w:r>
      <w:r>
        <w:rPr>
          <w:i/>
          <w:color w:val="231F20"/>
          <w:spacing w:val="-9"/>
          <w:sz w:val="16"/>
        </w:rPr>
        <w:t xml:space="preserve"> </w:t>
      </w:r>
      <w:r>
        <w:rPr>
          <w:i/>
          <w:color w:val="231F20"/>
          <w:sz w:val="16"/>
        </w:rPr>
        <w:t>влади</w:t>
      </w:r>
      <w:r>
        <w:rPr>
          <w:i/>
          <w:color w:val="231F20"/>
          <w:spacing w:val="-9"/>
          <w:sz w:val="16"/>
        </w:rPr>
        <w:t xml:space="preserve"> </w:t>
      </w:r>
      <w:r>
        <w:rPr>
          <w:i/>
          <w:color w:val="231F20"/>
          <w:sz w:val="16"/>
        </w:rPr>
        <w:t>їх</w:t>
      </w:r>
      <w:r>
        <w:rPr>
          <w:i/>
          <w:color w:val="231F20"/>
          <w:spacing w:val="-9"/>
          <w:sz w:val="16"/>
        </w:rPr>
        <w:t xml:space="preserve"> </w:t>
      </w:r>
      <w:r>
        <w:rPr>
          <w:i/>
          <w:color w:val="231F20"/>
          <w:sz w:val="16"/>
        </w:rPr>
        <w:t>нормативно-правових</w:t>
      </w:r>
      <w:r>
        <w:rPr>
          <w:i/>
          <w:color w:val="231F20"/>
          <w:spacing w:val="-11"/>
          <w:sz w:val="16"/>
        </w:rPr>
        <w:t xml:space="preserve"> </w:t>
      </w:r>
      <w:r>
        <w:rPr>
          <w:i/>
          <w:color w:val="231F20"/>
          <w:sz w:val="16"/>
        </w:rPr>
        <w:t>актів</w:t>
      </w:r>
      <w:r>
        <w:rPr>
          <w:i/>
          <w:color w:val="231F20"/>
          <w:spacing w:val="-9"/>
          <w:sz w:val="16"/>
        </w:rPr>
        <w:t xml:space="preserve"> </w:t>
      </w:r>
      <w:r>
        <w:rPr>
          <w:i/>
          <w:color w:val="231F20"/>
          <w:sz w:val="16"/>
        </w:rPr>
        <w:t>відповідно</w:t>
      </w:r>
      <w:r>
        <w:rPr>
          <w:i/>
          <w:color w:val="231F20"/>
          <w:spacing w:val="-9"/>
          <w:sz w:val="16"/>
        </w:rPr>
        <w:t xml:space="preserve"> </w:t>
      </w:r>
      <w:r>
        <w:rPr>
          <w:i/>
          <w:color w:val="231F20"/>
          <w:sz w:val="16"/>
        </w:rPr>
        <w:t>до</w:t>
      </w:r>
      <w:r>
        <w:rPr>
          <w:i/>
          <w:color w:val="231F20"/>
          <w:spacing w:val="-9"/>
          <w:sz w:val="16"/>
        </w:rPr>
        <w:t xml:space="preserve"> </w:t>
      </w:r>
      <w:r>
        <w:rPr>
          <w:i/>
          <w:color w:val="231F20"/>
          <w:sz w:val="16"/>
        </w:rPr>
        <w:t>цього</w:t>
      </w:r>
      <w:r>
        <w:rPr>
          <w:i/>
          <w:color w:val="231F20"/>
          <w:spacing w:val="-9"/>
          <w:sz w:val="16"/>
        </w:rPr>
        <w:t xml:space="preserve"> </w:t>
      </w:r>
      <w:r>
        <w:rPr>
          <w:i/>
          <w:color w:val="231F20"/>
          <w:sz w:val="16"/>
        </w:rPr>
        <w:t>Закону; забезпечити ухвалення нормативно-правових актів щодо процедури видання (переоформ- лення, анулювання) дозволів на здійснення окремих видів космічної діяльності, переліку видів космічної діяльності, що потребують одержання</w:t>
      </w:r>
      <w:r>
        <w:rPr>
          <w:i/>
          <w:color w:val="231F20"/>
          <w:spacing w:val="-10"/>
          <w:sz w:val="16"/>
        </w:rPr>
        <w:t xml:space="preserve"> </w:t>
      </w:r>
      <w:r>
        <w:rPr>
          <w:i/>
          <w:color w:val="231F20"/>
          <w:sz w:val="16"/>
        </w:rPr>
        <w:t>дозволів.</w:t>
      </w:r>
    </w:p>
    <w:p w14:paraId="2FE27A89" w14:textId="77777777" w:rsidR="00DE575E" w:rsidRDefault="002E7560">
      <w:pPr>
        <w:spacing w:before="10"/>
        <w:ind w:left="533"/>
        <w:jc w:val="both"/>
        <w:rPr>
          <w:b/>
          <w:sz w:val="16"/>
        </w:rPr>
      </w:pPr>
      <w:r>
        <w:rPr>
          <w:color w:val="231F20"/>
          <w:position w:val="5"/>
          <w:sz w:val="9"/>
        </w:rPr>
        <w:t xml:space="preserve">2 </w:t>
      </w:r>
      <w:r>
        <w:rPr>
          <w:color w:val="231F20"/>
          <w:sz w:val="16"/>
        </w:rPr>
        <w:t xml:space="preserve">Автор: </w:t>
      </w:r>
      <w:r>
        <w:rPr>
          <w:b/>
          <w:color w:val="231F20"/>
          <w:sz w:val="16"/>
        </w:rPr>
        <w:t>Борис К</w:t>
      </w:r>
      <w:r>
        <w:rPr>
          <w:b/>
          <w:color w:val="231F20"/>
          <w:sz w:val="16"/>
        </w:rPr>
        <w:t>індюк.</w:t>
      </w:r>
    </w:p>
    <w:p w14:paraId="1E839E7B" w14:textId="77777777" w:rsidR="00DE575E" w:rsidRDefault="00DE575E">
      <w:pPr>
        <w:pStyle w:val="BodyText"/>
        <w:spacing w:before="10"/>
        <w:rPr>
          <w:b/>
          <w:sz w:val="11"/>
        </w:rPr>
      </w:pPr>
    </w:p>
    <w:p w14:paraId="3A639DD0" w14:textId="77777777" w:rsidR="00DE575E" w:rsidRDefault="002E7560">
      <w:pPr>
        <w:spacing w:before="92"/>
        <w:ind w:left="533"/>
        <w:rPr>
          <w:rFonts w:ascii="Times New Roman"/>
          <w:sz w:val="20"/>
        </w:rPr>
      </w:pPr>
      <w:r>
        <w:rPr>
          <w:rFonts w:ascii="Times New Roman"/>
          <w:color w:val="231F20"/>
          <w:sz w:val="20"/>
        </w:rPr>
        <w:t>216</w:t>
      </w:r>
    </w:p>
    <w:p w14:paraId="1AAA1932" w14:textId="77777777" w:rsidR="00DE575E" w:rsidRDefault="00DE575E">
      <w:pPr>
        <w:rPr>
          <w:rFonts w:ascii="Times New Roman"/>
          <w:sz w:val="20"/>
        </w:rPr>
        <w:sectPr w:rsidR="00DE575E">
          <w:pgSz w:w="8510" w:h="12760"/>
          <w:pgMar w:top="660" w:right="720" w:bottom="280" w:left="600" w:header="720" w:footer="720" w:gutter="0"/>
          <w:cols w:space="720"/>
        </w:sectPr>
      </w:pPr>
    </w:p>
    <w:p w14:paraId="0A954478"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1B707701" w14:textId="3856C57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224127A" wp14:editId="00E04F81">
                <wp:extent cx="4140200" cy="6350"/>
                <wp:effectExtent l="0" t="0" r="12700" b="6350"/>
                <wp:docPr id="86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67" name="Line 86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38470" id="Group_x0020_86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oQix9/AgAAmAUAAA4A&#10;AAAAAAAAAAAAAAAALAIAAGRycy9lMm9Eb2MueG1sUEsBAi0AFAAGAAgAAAAhAEynsJDZAAAAAwEA&#10;AA8AAAAAAAAAAAAAAAAA1wQAAGRycy9kb3ducmV2LnhtbFBLBQYAAAAABAAEAPMAAADdBQAAAAA=&#10;">
                <v:line id="Line_x0020_86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1iD8YAAADcAAAADwAAAGRycy9kb3ducmV2LnhtbESP3WrCQBSE7wXfYTmF3kjdtIJKdBUp&#10;FEov/Esf4Jg9JqG7Z2N2NalP7wqCl8PMfMPMl5014kKNrxwreB8mIIhzpysuFPxmX29TED4gazSO&#10;ScE/eVgu+r05ptq1vKPLPhQiQtinqKAMoU6l9HlJFv3Q1cTRO7rGYoiyKaRusI1wa+RHkoylxYrj&#10;Qok1fZaU/+3PVkF2GgSz3fyYNtscRvJwWo+u57VSry/dagYiUBee4Uf7WyuYji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NYg/GAAAA3AAAAA8AAAAAAAAA&#10;AAAAAAAAoQIAAGRycy9kb3ducmV2LnhtbFBLBQYAAAAABAAEAPkAAACUAwAAAAA=&#10;" strokecolor="#231f20" strokeweight=".5pt"/>
                <w10:anchorlock/>
              </v:group>
            </w:pict>
          </mc:Fallback>
        </mc:AlternateContent>
      </w:r>
    </w:p>
    <w:p w14:paraId="449218CF" w14:textId="77777777" w:rsidR="00DE575E" w:rsidRDefault="00DE575E">
      <w:pPr>
        <w:pStyle w:val="BodyText"/>
        <w:spacing w:before="7"/>
        <w:rPr>
          <w:rFonts w:ascii="AdonisC"/>
          <w:i/>
          <w:sz w:val="19"/>
        </w:rPr>
      </w:pPr>
    </w:p>
    <w:p w14:paraId="33CEA6ED" w14:textId="77777777" w:rsidR="00DE575E" w:rsidRDefault="002E7560">
      <w:pPr>
        <w:pStyle w:val="BodyText"/>
        <w:spacing w:before="1" w:line="252" w:lineRule="auto"/>
        <w:ind w:left="250" w:right="410"/>
        <w:jc w:val="both"/>
      </w:pPr>
      <w:r>
        <w:rPr>
          <w:color w:val="231F20"/>
        </w:rPr>
        <w:t>його галузевої належності,  відповідати  за  обсягом  регламента-  ції визначеному ньому предмету правового регулювання; не має містити повторів норм права, які містяться в інших нормативно- правових актах; не має дублю</w:t>
      </w:r>
      <w:r>
        <w:rPr>
          <w:color w:val="231F20"/>
        </w:rPr>
        <w:t>вати однакові за змістом положення, які містяться в тексті цього нормативно-правового акта; має бути ясним, чітким, зрозумілим, стислим і послідовним; не має містити суперечливі норми права; не має включати положень, що належать до одного й того ж предмета</w:t>
      </w:r>
      <w:r>
        <w:rPr>
          <w:color w:val="231F20"/>
        </w:rPr>
        <w:t xml:space="preserve"> правового регулювання; мусить бути внутрішньо узгодженим, мати логічно побудовану</w:t>
      </w:r>
      <w:r>
        <w:rPr>
          <w:color w:val="231F20"/>
          <w:spacing w:val="-10"/>
        </w:rPr>
        <w:t xml:space="preserve"> </w:t>
      </w:r>
      <w:r>
        <w:rPr>
          <w:color w:val="231F20"/>
          <w:spacing w:val="-3"/>
        </w:rPr>
        <w:t>структуру.</w:t>
      </w:r>
    </w:p>
    <w:p w14:paraId="19E690E4" w14:textId="77777777" w:rsidR="00DE575E" w:rsidRDefault="00DE575E">
      <w:pPr>
        <w:pStyle w:val="BodyText"/>
        <w:spacing w:before="4"/>
        <w:rPr>
          <w:sz w:val="22"/>
        </w:rPr>
      </w:pPr>
    </w:p>
    <w:p w14:paraId="3D51368C" w14:textId="77777777" w:rsidR="00DE575E" w:rsidRDefault="002E7560">
      <w:pPr>
        <w:pStyle w:val="Heading5"/>
        <w:spacing w:line="252" w:lineRule="auto"/>
        <w:ind w:right="1405"/>
      </w:pPr>
      <w:r>
        <w:rPr>
          <w:color w:val="231F20"/>
        </w:rPr>
        <w:t>7.2.6. Зміст і значення антикорупційної експертизи нормативно-правового акта</w:t>
      </w:r>
    </w:p>
    <w:p w14:paraId="6FA669C8" w14:textId="77777777" w:rsidR="00DE575E" w:rsidRDefault="00DE575E">
      <w:pPr>
        <w:pStyle w:val="BodyText"/>
        <w:spacing w:before="1"/>
        <w:rPr>
          <w:b/>
          <w:sz w:val="22"/>
        </w:rPr>
      </w:pPr>
    </w:p>
    <w:p w14:paraId="5E34FE16" w14:textId="77777777" w:rsidR="00DE575E" w:rsidRDefault="002E7560">
      <w:pPr>
        <w:pStyle w:val="BodyText"/>
        <w:spacing w:line="252" w:lineRule="auto"/>
        <w:ind w:left="250" w:right="412" w:firstLine="283"/>
        <w:jc w:val="both"/>
      </w:pPr>
      <w:r>
        <w:rPr>
          <w:color w:val="231F20"/>
        </w:rPr>
        <w:t xml:space="preserve">Згідно зі </w:t>
      </w:r>
      <w:r>
        <w:rPr>
          <w:color w:val="231F20"/>
          <w:spacing w:val="-6"/>
        </w:rPr>
        <w:t xml:space="preserve">ст. </w:t>
      </w:r>
      <w:r>
        <w:rPr>
          <w:color w:val="231F20"/>
        </w:rPr>
        <w:t xml:space="preserve">55 Закону «Про запобігання корупції» зміст анти- корупційної експертизи поділяється на обов’язкову (її  зобов’я-  зані здійснювати на постійній основі МЮ та Комітет </w:t>
      </w:r>
      <w:r>
        <w:rPr>
          <w:color w:val="231F20"/>
          <w:spacing w:val="-10"/>
        </w:rPr>
        <w:t xml:space="preserve">ВР, </w:t>
      </w:r>
      <w:r>
        <w:rPr>
          <w:color w:val="231F20"/>
        </w:rPr>
        <w:t>до пред- мета відання якого належить питання боротьби з корупцією) та необов’язкову, як</w:t>
      </w:r>
      <w:r>
        <w:rPr>
          <w:color w:val="231F20"/>
        </w:rPr>
        <w:t>у можуть здійснювати НАЗК і</w:t>
      </w:r>
      <w:r>
        <w:rPr>
          <w:color w:val="231F20"/>
          <w:spacing w:val="-15"/>
        </w:rPr>
        <w:t xml:space="preserve"> </w:t>
      </w:r>
      <w:r>
        <w:rPr>
          <w:color w:val="231F20"/>
        </w:rPr>
        <w:t>громадськість</w:t>
      </w:r>
      <w:r>
        <w:rPr>
          <w:color w:val="231F20"/>
          <w:position w:val="7"/>
          <w:sz w:val="12"/>
        </w:rPr>
        <w:t>1</w:t>
      </w:r>
      <w:r>
        <w:rPr>
          <w:color w:val="231F20"/>
        </w:rPr>
        <w:t>.</w:t>
      </w:r>
    </w:p>
    <w:p w14:paraId="32048981" w14:textId="77777777" w:rsidR="00DE575E" w:rsidRDefault="002E7560">
      <w:pPr>
        <w:pStyle w:val="BodyText"/>
        <w:spacing w:before="3" w:line="252" w:lineRule="auto"/>
        <w:ind w:left="250" w:right="411" w:firstLine="283"/>
        <w:jc w:val="both"/>
      </w:pPr>
      <w:r>
        <w:rPr>
          <w:color w:val="231F20"/>
        </w:rPr>
        <w:t xml:space="preserve">Антикорупційна експертиза, здійснювана кожним із зазначених </w:t>
      </w:r>
      <w:r>
        <w:rPr>
          <w:color w:val="231F20"/>
          <w:spacing w:val="-3"/>
        </w:rPr>
        <w:t>суб’єктів,</w:t>
      </w:r>
      <w:r>
        <w:rPr>
          <w:color w:val="231F20"/>
          <w:spacing w:val="-8"/>
        </w:rPr>
        <w:t xml:space="preserve"> </w:t>
      </w:r>
      <w:r>
        <w:rPr>
          <w:color w:val="231F20"/>
        </w:rPr>
        <w:t>має</w:t>
      </w:r>
      <w:r>
        <w:rPr>
          <w:color w:val="231F20"/>
          <w:spacing w:val="-8"/>
        </w:rPr>
        <w:t xml:space="preserve"> </w:t>
      </w:r>
      <w:r>
        <w:rPr>
          <w:color w:val="231F20"/>
        </w:rPr>
        <w:t>низку</w:t>
      </w:r>
      <w:r>
        <w:rPr>
          <w:color w:val="231F20"/>
          <w:spacing w:val="-8"/>
        </w:rPr>
        <w:t xml:space="preserve"> </w:t>
      </w:r>
      <w:r>
        <w:rPr>
          <w:color w:val="231F20"/>
        </w:rPr>
        <w:t>своїх</w:t>
      </w:r>
      <w:r>
        <w:rPr>
          <w:color w:val="231F20"/>
          <w:spacing w:val="-8"/>
        </w:rPr>
        <w:t xml:space="preserve"> </w:t>
      </w:r>
      <w:r>
        <w:rPr>
          <w:color w:val="231F20"/>
        </w:rPr>
        <w:t>особливостей</w:t>
      </w:r>
      <w:r>
        <w:rPr>
          <w:color w:val="231F20"/>
          <w:spacing w:val="-8"/>
        </w:rPr>
        <w:t xml:space="preserve"> </w:t>
      </w:r>
      <w:r>
        <w:rPr>
          <w:color w:val="231F20"/>
        </w:rPr>
        <w:t>як</w:t>
      </w:r>
      <w:r>
        <w:rPr>
          <w:color w:val="231F20"/>
          <w:spacing w:val="-8"/>
        </w:rPr>
        <w:t xml:space="preserve"> </w:t>
      </w:r>
      <w:r>
        <w:rPr>
          <w:color w:val="231F20"/>
        </w:rPr>
        <w:t>щодо</w:t>
      </w:r>
      <w:r>
        <w:rPr>
          <w:color w:val="231F20"/>
          <w:spacing w:val="-9"/>
        </w:rPr>
        <w:t xml:space="preserve"> </w:t>
      </w:r>
      <w:r>
        <w:rPr>
          <w:color w:val="231F20"/>
        </w:rPr>
        <w:t>законодавчого</w:t>
      </w:r>
      <w:r>
        <w:rPr>
          <w:color w:val="231F20"/>
          <w:spacing w:val="-8"/>
        </w:rPr>
        <w:t xml:space="preserve"> </w:t>
      </w:r>
      <w:r>
        <w:rPr>
          <w:color w:val="231F20"/>
        </w:rPr>
        <w:t>регу- лювання, так і щодо практики</w:t>
      </w:r>
      <w:r>
        <w:rPr>
          <w:color w:val="231F20"/>
          <w:spacing w:val="-7"/>
        </w:rPr>
        <w:t xml:space="preserve"> </w:t>
      </w:r>
      <w:r>
        <w:rPr>
          <w:color w:val="231F20"/>
        </w:rPr>
        <w:t>застосування.</w:t>
      </w:r>
    </w:p>
    <w:p w14:paraId="731BE8D6" w14:textId="77777777" w:rsidR="00DE575E" w:rsidRDefault="002E7560">
      <w:pPr>
        <w:pStyle w:val="BodyText"/>
        <w:spacing w:before="1" w:line="252" w:lineRule="auto"/>
        <w:ind w:left="250" w:right="411" w:firstLine="283"/>
        <w:jc w:val="both"/>
      </w:pPr>
      <w:r>
        <w:rPr>
          <w:color w:val="231F20"/>
        </w:rPr>
        <w:t>Значення антикорупційної експертизи залеж</w:t>
      </w:r>
      <w:r>
        <w:rPr>
          <w:color w:val="231F20"/>
        </w:rPr>
        <w:t>ить від суб’єкта її здійснення та позиції влади щодо використання її результатів.</w:t>
      </w:r>
    </w:p>
    <w:p w14:paraId="10C044D1" w14:textId="77777777" w:rsidR="00DE575E" w:rsidRDefault="002E7560">
      <w:pPr>
        <w:pStyle w:val="BodyText"/>
        <w:spacing w:before="1" w:line="252" w:lineRule="auto"/>
        <w:ind w:left="250" w:right="411" w:firstLine="283"/>
        <w:jc w:val="both"/>
      </w:pPr>
      <w:r>
        <w:rPr>
          <w:color w:val="231F20"/>
        </w:rPr>
        <w:t xml:space="preserve">На </w:t>
      </w:r>
      <w:r>
        <w:rPr>
          <w:color w:val="231F20"/>
          <w:spacing w:val="-3"/>
        </w:rPr>
        <w:t xml:space="preserve">сьогодні найбільш ефективною </w:t>
      </w:r>
      <w:r>
        <w:rPr>
          <w:color w:val="231F20"/>
        </w:rPr>
        <w:t xml:space="preserve">є </w:t>
      </w:r>
      <w:r>
        <w:rPr>
          <w:color w:val="231F20"/>
          <w:spacing w:val="-4"/>
        </w:rPr>
        <w:t xml:space="preserve">антикорупційна експертиза, </w:t>
      </w:r>
      <w:r>
        <w:rPr>
          <w:color w:val="231F20"/>
        </w:rPr>
        <w:t>що</w:t>
      </w:r>
      <w:r>
        <w:rPr>
          <w:color w:val="231F20"/>
          <w:spacing w:val="-14"/>
        </w:rPr>
        <w:t xml:space="preserve"> </w:t>
      </w:r>
      <w:r>
        <w:rPr>
          <w:color w:val="231F20"/>
          <w:spacing w:val="-3"/>
        </w:rPr>
        <w:t>здійснюється</w:t>
      </w:r>
      <w:r>
        <w:rPr>
          <w:color w:val="231F20"/>
          <w:spacing w:val="-14"/>
        </w:rPr>
        <w:t xml:space="preserve"> </w:t>
      </w:r>
      <w:r>
        <w:rPr>
          <w:color w:val="231F20"/>
          <w:spacing w:val="-3"/>
        </w:rPr>
        <w:t>Комітетом</w:t>
      </w:r>
      <w:r>
        <w:rPr>
          <w:color w:val="231F20"/>
          <w:spacing w:val="-14"/>
        </w:rPr>
        <w:t xml:space="preserve"> </w:t>
      </w:r>
      <w:r>
        <w:rPr>
          <w:color w:val="231F20"/>
        </w:rPr>
        <w:t>ВР</w:t>
      </w:r>
      <w:r>
        <w:rPr>
          <w:color w:val="231F20"/>
          <w:spacing w:val="-14"/>
        </w:rPr>
        <w:t xml:space="preserve"> </w:t>
      </w:r>
      <w:r>
        <w:rPr>
          <w:color w:val="231F20"/>
        </w:rPr>
        <w:t>із</w:t>
      </w:r>
      <w:r>
        <w:rPr>
          <w:color w:val="231F20"/>
          <w:spacing w:val="-14"/>
        </w:rPr>
        <w:t xml:space="preserve"> </w:t>
      </w:r>
      <w:r>
        <w:rPr>
          <w:color w:val="231F20"/>
          <w:spacing w:val="-3"/>
        </w:rPr>
        <w:t>питань</w:t>
      </w:r>
      <w:r>
        <w:rPr>
          <w:color w:val="231F20"/>
          <w:spacing w:val="-14"/>
        </w:rPr>
        <w:t xml:space="preserve"> </w:t>
      </w:r>
      <w:r>
        <w:rPr>
          <w:color w:val="231F20"/>
          <w:spacing w:val="-3"/>
        </w:rPr>
        <w:t>запобігання</w:t>
      </w:r>
      <w:r>
        <w:rPr>
          <w:color w:val="231F20"/>
          <w:spacing w:val="-14"/>
        </w:rPr>
        <w:t xml:space="preserve"> </w:t>
      </w:r>
      <w:r>
        <w:rPr>
          <w:color w:val="231F20"/>
        </w:rPr>
        <w:t>і</w:t>
      </w:r>
      <w:r>
        <w:rPr>
          <w:color w:val="231F20"/>
          <w:spacing w:val="-14"/>
        </w:rPr>
        <w:t xml:space="preserve"> </w:t>
      </w:r>
      <w:r>
        <w:rPr>
          <w:color w:val="231F20"/>
          <w:spacing w:val="-3"/>
        </w:rPr>
        <w:t>протидії</w:t>
      </w:r>
      <w:r>
        <w:rPr>
          <w:color w:val="231F20"/>
          <w:spacing w:val="-14"/>
        </w:rPr>
        <w:t xml:space="preserve"> </w:t>
      </w:r>
      <w:r>
        <w:rPr>
          <w:color w:val="231F20"/>
          <w:spacing w:val="-3"/>
        </w:rPr>
        <w:t xml:space="preserve">коруп- ції. Крім </w:t>
      </w:r>
      <w:r>
        <w:rPr>
          <w:color w:val="231F20"/>
        </w:rPr>
        <w:t xml:space="preserve">того </w:t>
      </w:r>
      <w:r>
        <w:rPr>
          <w:color w:val="231F20"/>
          <w:spacing w:val="-3"/>
        </w:rPr>
        <w:t xml:space="preserve">обов’язкову </w:t>
      </w:r>
      <w:r>
        <w:rPr>
          <w:color w:val="231F20"/>
          <w:spacing w:val="-4"/>
        </w:rPr>
        <w:t xml:space="preserve">антикорупційну експертизу </w:t>
      </w:r>
      <w:r>
        <w:rPr>
          <w:color w:val="231F20"/>
          <w:spacing w:val="-3"/>
        </w:rPr>
        <w:t>здійснює</w:t>
      </w:r>
      <w:r>
        <w:rPr>
          <w:color w:val="231F20"/>
          <w:spacing w:val="-1"/>
        </w:rPr>
        <w:t xml:space="preserve"> </w:t>
      </w:r>
      <w:r>
        <w:rPr>
          <w:color w:val="231F20"/>
          <w:spacing w:val="-4"/>
        </w:rPr>
        <w:t>МЮ.</w:t>
      </w:r>
    </w:p>
    <w:p w14:paraId="3B1CCF22" w14:textId="77777777" w:rsidR="00DE575E" w:rsidRDefault="002E7560">
      <w:pPr>
        <w:pStyle w:val="BodyText"/>
        <w:spacing w:before="2" w:line="252" w:lineRule="auto"/>
        <w:ind w:left="250" w:right="411" w:firstLine="283"/>
        <w:jc w:val="both"/>
      </w:pPr>
      <w:r>
        <w:rPr>
          <w:color w:val="231F20"/>
        </w:rPr>
        <w:t>Громадська антикорупційна експертиза відзначається, як правило,</w:t>
      </w:r>
      <w:r>
        <w:rPr>
          <w:color w:val="231F20"/>
          <w:spacing w:val="-9"/>
        </w:rPr>
        <w:t xml:space="preserve"> </w:t>
      </w:r>
      <w:r>
        <w:rPr>
          <w:color w:val="231F20"/>
        </w:rPr>
        <w:t>високою</w:t>
      </w:r>
      <w:r>
        <w:rPr>
          <w:color w:val="231F20"/>
          <w:spacing w:val="-9"/>
        </w:rPr>
        <w:t xml:space="preserve"> </w:t>
      </w:r>
      <w:r>
        <w:rPr>
          <w:color w:val="231F20"/>
        </w:rPr>
        <w:t>якістю</w:t>
      </w:r>
      <w:r>
        <w:rPr>
          <w:color w:val="231F20"/>
          <w:spacing w:val="-9"/>
        </w:rPr>
        <w:t xml:space="preserve"> </w:t>
      </w:r>
      <w:r>
        <w:rPr>
          <w:color w:val="231F20"/>
        </w:rPr>
        <w:t>та</w:t>
      </w:r>
      <w:r>
        <w:rPr>
          <w:color w:val="231F20"/>
          <w:spacing w:val="-9"/>
        </w:rPr>
        <w:t xml:space="preserve"> </w:t>
      </w:r>
      <w:r>
        <w:rPr>
          <w:color w:val="231F20"/>
          <w:spacing w:val="-3"/>
        </w:rPr>
        <w:t>глибиною</w:t>
      </w:r>
      <w:r>
        <w:rPr>
          <w:color w:val="231F20"/>
          <w:spacing w:val="-9"/>
        </w:rPr>
        <w:t xml:space="preserve"> </w:t>
      </w:r>
      <w:r>
        <w:rPr>
          <w:color w:val="231F20"/>
          <w:spacing w:val="-3"/>
        </w:rPr>
        <w:t>аналізу,</w:t>
      </w:r>
      <w:r>
        <w:rPr>
          <w:color w:val="231F20"/>
          <w:spacing w:val="-9"/>
        </w:rPr>
        <w:t xml:space="preserve"> </w:t>
      </w:r>
      <w:r>
        <w:rPr>
          <w:color w:val="231F20"/>
        </w:rPr>
        <w:t>але</w:t>
      </w:r>
      <w:r>
        <w:rPr>
          <w:color w:val="231F20"/>
          <w:spacing w:val="-9"/>
        </w:rPr>
        <w:t xml:space="preserve"> </w:t>
      </w:r>
      <w:r>
        <w:rPr>
          <w:color w:val="231F20"/>
        </w:rPr>
        <w:t>при</w:t>
      </w:r>
      <w:r>
        <w:rPr>
          <w:color w:val="231F20"/>
          <w:spacing w:val="-9"/>
        </w:rPr>
        <w:t xml:space="preserve"> </w:t>
      </w:r>
      <w:r>
        <w:rPr>
          <w:color w:val="231F20"/>
        </w:rPr>
        <w:t>цьому</w:t>
      </w:r>
      <w:r>
        <w:rPr>
          <w:color w:val="231F20"/>
          <w:spacing w:val="-9"/>
        </w:rPr>
        <w:t xml:space="preserve"> </w:t>
      </w:r>
      <w:r>
        <w:rPr>
          <w:color w:val="231F20"/>
        </w:rPr>
        <w:t>її</w:t>
      </w:r>
      <w:r>
        <w:rPr>
          <w:color w:val="231F20"/>
          <w:spacing w:val="-9"/>
        </w:rPr>
        <w:t xml:space="preserve"> </w:t>
      </w:r>
      <w:r>
        <w:rPr>
          <w:color w:val="231F20"/>
        </w:rPr>
        <w:t>ефек- тивність</w:t>
      </w:r>
      <w:r>
        <w:rPr>
          <w:color w:val="231F20"/>
          <w:spacing w:val="-16"/>
        </w:rPr>
        <w:t xml:space="preserve"> </w:t>
      </w:r>
      <w:r>
        <w:rPr>
          <w:color w:val="231F20"/>
        </w:rPr>
        <w:t>є</w:t>
      </w:r>
      <w:r>
        <w:rPr>
          <w:color w:val="231F20"/>
          <w:spacing w:val="-16"/>
        </w:rPr>
        <w:t xml:space="preserve"> </w:t>
      </w:r>
      <w:r>
        <w:rPr>
          <w:color w:val="231F20"/>
        </w:rPr>
        <w:t>низькою,</w:t>
      </w:r>
      <w:r>
        <w:rPr>
          <w:color w:val="231F20"/>
          <w:spacing w:val="-16"/>
        </w:rPr>
        <w:t xml:space="preserve"> </w:t>
      </w:r>
      <w:r>
        <w:rPr>
          <w:color w:val="231F20"/>
        </w:rPr>
        <w:t>адже</w:t>
      </w:r>
      <w:r>
        <w:rPr>
          <w:color w:val="231F20"/>
          <w:spacing w:val="-16"/>
        </w:rPr>
        <w:t xml:space="preserve"> </w:t>
      </w:r>
      <w:r>
        <w:rPr>
          <w:color w:val="231F20"/>
        </w:rPr>
        <w:t>більшість</w:t>
      </w:r>
      <w:r>
        <w:rPr>
          <w:color w:val="231F20"/>
          <w:spacing w:val="-16"/>
        </w:rPr>
        <w:t xml:space="preserve"> </w:t>
      </w:r>
      <w:r>
        <w:rPr>
          <w:color w:val="231F20"/>
          <w:spacing w:val="-3"/>
        </w:rPr>
        <w:t>суб’єктів</w:t>
      </w:r>
      <w:r>
        <w:rPr>
          <w:color w:val="231F20"/>
          <w:spacing w:val="-16"/>
        </w:rPr>
        <w:t xml:space="preserve"> </w:t>
      </w:r>
      <w:r>
        <w:rPr>
          <w:color w:val="231F20"/>
        </w:rPr>
        <w:t>нормотворчого</w:t>
      </w:r>
      <w:r>
        <w:rPr>
          <w:color w:val="231F20"/>
          <w:spacing w:val="-17"/>
        </w:rPr>
        <w:t xml:space="preserve"> </w:t>
      </w:r>
      <w:r>
        <w:rPr>
          <w:color w:val="231F20"/>
        </w:rPr>
        <w:t>процесу (за винятком Комітету ВР із</w:t>
      </w:r>
      <w:r>
        <w:rPr>
          <w:color w:val="231F20"/>
        </w:rPr>
        <w:t xml:space="preserve"> питань запобігання і протидії корупції) неохоче сприймають рекомендації громадських</w:t>
      </w:r>
      <w:r>
        <w:rPr>
          <w:color w:val="231F20"/>
          <w:spacing w:val="-6"/>
        </w:rPr>
        <w:t xml:space="preserve"> </w:t>
      </w:r>
      <w:r>
        <w:rPr>
          <w:color w:val="231F20"/>
        </w:rPr>
        <w:t>експертів</w:t>
      </w:r>
      <w:r>
        <w:rPr>
          <w:color w:val="231F20"/>
          <w:position w:val="7"/>
          <w:sz w:val="12"/>
        </w:rPr>
        <w:t>2</w:t>
      </w:r>
      <w:r>
        <w:rPr>
          <w:color w:val="231F20"/>
        </w:rPr>
        <w:t>.</w:t>
      </w:r>
    </w:p>
    <w:p w14:paraId="5B431095" w14:textId="371616FC" w:rsidR="00DE575E" w:rsidRDefault="002E7560">
      <w:pPr>
        <w:pStyle w:val="BodyText"/>
        <w:spacing w:before="2"/>
        <w:rPr>
          <w:sz w:val="18"/>
        </w:rPr>
      </w:pPr>
      <w:r>
        <w:rPr>
          <w:noProof/>
        </w:rPr>
        <mc:AlternateContent>
          <mc:Choice Requires="wps">
            <w:drawing>
              <wp:anchor distT="0" distB="0" distL="0" distR="0" simplePos="0" relativeHeight="8848" behindDoc="0" locked="0" layoutInCell="1" allowOverlap="1" wp14:anchorId="719497DE" wp14:editId="2BB0C22E">
                <wp:simplePos x="0" y="0"/>
                <wp:positionH relativeFrom="page">
                  <wp:posOffset>539750</wp:posOffset>
                </wp:positionH>
                <wp:positionV relativeFrom="paragraph">
                  <wp:posOffset>163195</wp:posOffset>
                </wp:positionV>
                <wp:extent cx="1080135" cy="0"/>
                <wp:effectExtent l="6350" t="10795" r="31115" b="27305"/>
                <wp:wrapTopAndBottom/>
                <wp:docPr id="865"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54335" id="Line_x0020_864" o:spid="_x0000_s1026" style="position:absolute;z-index: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85pt" to="127.55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" strokecolor="#231f20" strokeweight=".5pt">
                <w10:wrap type="topAndBottom" anchorx="page"/>
              </v:line>
            </w:pict>
          </mc:Fallback>
        </mc:AlternateContent>
      </w:r>
    </w:p>
    <w:p w14:paraId="36E01E0A"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 xml:space="preserve">Антикорупційна експертиза нормативно-правових актів та їх проєктів. Центр політико-правових реформ. </w:t>
      </w:r>
      <w:hyperlink r:id="rId34">
        <w:r>
          <w:rPr>
            <w:color w:val="231F20"/>
            <w:sz w:val="16"/>
          </w:rPr>
          <w:t>http://pravo.org.ua/ua/news/20872051-2.3.1.-antikoruptsiyna-</w:t>
        </w:r>
      </w:hyperlink>
      <w:r>
        <w:rPr>
          <w:color w:val="231F20"/>
          <w:sz w:val="16"/>
        </w:rPr>
        <w:t xml:space="preserve"> ekspertiza-normativno-pravovih-aktiv-ta-yih-proektiv</w:t>
      </w:r>
    </w:p>
    <w:p w14:paraId="4EED2D6A" w14:textId="77777777" w:rsidR="00DE575E" w:rsidRDefault="002E7560">
      <w:pPr>
        <w:spacing w:before="26" w:line="204" w:lineRule="auto"/>
        <w:ind w:left="250" w:right="411"/>
        <w:jc w:val="both"/>
        <w:rPr>
          <w:i/>
          <w:sz w:val="16"/>
        </w:rPr>
      </w:pPr>
      <w:r>
        <w:rPr>
          <w:color w:val="231F20"/>
          <w:position w:val="5"/>
          <w:sz w:val="9"/>
        </w:rPr>
        <w:t xml:space="preserve">2 </w:t>
      </w:r>
      <w:r>
        <w:rPr>
          <w:i/>
          <w:color w:val="231F20"/>
          <w:sz w:val="16"/>
          <w:u w:val="single" w:color="231F20"/>
        </w:rPr>
        <w:t>Приклад</w:t>
      </w:r>
      <w:r>
        <w:rPr>
          <w:i/>
          <w:color w:val="231F20"/>
          <w:sz w:val="16"/>
        </w:rPr>
        <w:t>: 2014 р. Комітет, до предмета відання якого належить питання боротьби з корупцією, знаходив корупційні ризики лише у 2,6% проаналізованих законопроєктів, у той час як громадськість – у 82%. У 2015-2016 р. ситуація покращилася, але відмінність усе рівно су</w:t>
      </w:r>
      <w:r>
        <w:rPr>
          <w:i/>
          <w:color w:val="231F20"/>
          <w:sz w:val="16"/>
        </w:rPr>
        <w:t>ттєва: комітет знаходив корупційні ризики у 8-10% проаналізованих законопро- єктів, а громадськість – так само у 82%. До того впродовж 2017-2019 рр. ефективність діяльності комітету суттєво знизилась, свідченням чого є функціонування системи органів публіч</w:t>
      </w:r>
      <w:r>
        <w:rPr>
          <w:i/>
          <w:color w:val="231F20"/>
          <w:sz w:val="16"/>
        </w:rPr>
        <w:t>ного адміністрування в умовах відсутності затвердженого проєкту закону України «Про Антикорупційну стратегію на 2018-2020 рр.».</w:t>
      </w:r>
    </w:p>
    <w:p w14:paraId="7BF415CB" w14:textId="77777777" w:rsidR="00DE575E" w:rsidRDefault="00DE575E">
      <w:pPr>
        <w:pStyle w:val="BodyText"/>
        <w:spacing w:before="9"/>
        <w:rPr>
          <w:i/>
          <w:sz w:val="12"/>
        </w:rPr>
      </w:pPr>
    </w:p>
    <w:p w14:paraId="5DF5083A" w14:textId="77777777" w:rsidR="00DE575E" w:rsidRDefault="002E7560">
      <w:pPr>
        <w:spacing w:before="91"/>
        <w:ind w:right="411"/>
        <w:jc w:val="right"/>
        <w:rPr>
          <w:rFonts w:ascii="Times New Roman"/>
          <w:sz w:val="20"/>
        </w:rPr>
      </w:pPr>
      <w:r>
        <w:rPr>
          <w:rFonts w:ascii="Times New Roman"/>
          <w:color w:val="231F20"/>
          <w:w w:val="90"/>
          <w:sz w:val="20"/>
        </w:rPr>
        <w:t>217</w:t>
      </w:r>
    </w:p>
    <w:p w14:paraId="1C49801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AC40F8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E959792" w14:textId="1F5BE2C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C93088C" wp14:editId="01E3E885">
                <wp:extent cx="4140200" cy="6350"/>
                <wp:effectExtent l="0" t="0" r="12700" b="6350"/>
                <wp:docPr id="863"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64" name="Line 8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DBF92" id="Group_x0020_8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M4+wF/AgAAmAUAAA4A&#10;AAAAAAAAAAAAAAAALAIAAGRycy9lMm9Eb2MueG1sUEsBAi0AFAAGAAgAAAAhAEynsJDZAAAAAwEA&#10;AA8AAAAAAAAAAAAAAAAA1wQAAGRycy9kb3ducmV2LnhtbFBLBQYAAAAABAAEAPMAAADdBQAAAAA=&#10;">
                <v:line id="Line_x0020_8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8eMYAAADcAAAADwAAAGRycy9kb3ducmV2LnhtbESP3WrCQBSE7wXfYTmF3kjdtIpIdBUp&#10;FEov/Esf4Jg9JqG7Z2N2NalP7wqCl8PMfMPMl5014kKNrxwreB8mIIhzpysuFPxmX29TED4gazSO&#10;ScE/eVgu+r05ptq1vKPLPhQiQtinqKAMoU6l9HlJFv3Q1cTRO7rGYoiyKaRusI1wa+RHkkykxYrj&#10;Qok1fZaU/+3PVkF2GgSz3fyYNtscRvJwWo+u57VSry/dagYiUBee4Uf7WyuYTsZ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f/HjGAAAA3AAAAA8AAAAAAAAA&#10;AAAAAAAAoQIAAGRycy9kb3ducmV2LnhtbFBLBQYAAAAABAAEAPkAAACUAwAAAAA=&#10;" strokecolor="#231f20" strokeweight=".5pt"/>
                <w10:anchorlock/>
              </v:group>
            </w:pict>
          </mc:Fallback>
        </mc:AlternateContent>
      </w:r>
    </w:p>
    <w:p w14:paraId="2BE4A5D7" w14:textId="77777777" w:rsidR="00DE575E" w:rsidRDefault="00DE575E">
      <w:pPr>
        <w:pStyle w:val="BodyText"/>
        <w:spacing w:before="7"/>
        <w:rPr>
          <w:rFonts w:ascii="AdonisC"/>
          <w:i/>
          <w:sz w:val="11"/>
        </w:rPr>
      </w:pPr>
    </w:p>
    <w:p w14:paraId="7DBAEEDC" w14:textId="77777777" w:rsidR="00DE575E" w:rsidRDefault="002E7560">
      <w:pPr>
        <w:pStyle w:val="Heading5"/>
        <w:spacing w:before="101" w:line="244" w:lineRule="auto"/>
        <w:ind w:right="126" w:firstLine="283"/>
        <w:jc w:val="both"/>
      </w:pPr>
      <w:r>
        <w:rPr>
          <w:color w:val="231F20"/>
        </w:rPr>
        <w:t xml:space="preserve">Отже, антикорупційна експертиза здійснюється Міністер- ством юстиції </w:t>
      </w:r>
      <w:r>
        <w:rPr>
          <w:color w:val="231F20"/>
          <w:spacing w:val="-4"/>
        </w:rPr>
        <w:t xml:space="preserve">України </w:t>
      </w:r>
      <w:r>
        <w:rPr>
          <w:color w:val="231F20"/>
        </w:rPr>
        <w:t xml:space="preserve">та </w:t>
      </w:r>
      <w:r>
        <w:rPr>
          <w:color w:val="231F20"/>
          <w:spacing w:val="-3"/>
        </w:rPr>
        <w:t xml:space="preserve">Комітетом </w:t>
      </w:r>
      <w:r>
        <w:rPr>
          <w:color w:val="231F20"/>
          <w:spacing w:val="-10"/>
        </w:rPr>
        <w:t xml:space="preserve">ВР, </w:t>
      </w:r>
      <w:r>
        <w:rPr>
          <w:color w:val="231F20"/>
        </w:rPr>
        <w:t xml:space="preserve">до предмета відання якого належить питання  боротьби з корупцією (обов’язкова),   і </w:t>
      </w:r>
      <w:r>
        <w:rPr>
          <w:color w:val="231F20"/>
          <w:spacing w:val="-3"/>
        </w:rPr>
        <w:t xml:space="preserve">може </w:t>
      </w:r>
      <w:r>
        <w:rPr>
          <w:color w:val="231F20"/>
        </w:rPr>
        <w:t>здійснюватися НАЗК.</w:t>
      </w:r>
    </w:p>
    <w:p w14:paraId="076A7240" w14:textId="77777777" w:rsidR="00DE575E" w:rsidRDefault="00DE575E">
      <w:pPr>
        <w:pStyle w:val="BodyText"/>
        <w:spacing w:before="9"/>
        <w:rPr>
          <w:b/>
        </w:rPr>
      </w:pPr>
    </w:p>
    <w:p w14:paraId="19ADAC56" w14:textId="77777777" w:rsidR="00DE575E" w:rsidRDefault="002E7560">
      <w:pPr>
        <w:pStyle w:val="ListParagraph"/>
        <w:numPr>
          <w:ilvl w:val="2"/>
          <w:numId w:val="202"/>
        </w:numPr>
        <w:tabs>
          <w:tab w:val="left" w:pos="1383"/>
        </w:tabs>
        <w:spacing w:before="0"/>
        <w:ind w:firstLine="284"/>
        <w:jc w:val="left"/>
        <w:rPr>
          <w:b/>
          <w:sz w:val="21"/>
        </w:rPr>
      </w:pPr>
      <w:r>
        <w:rPr>
          <w:b/>
          <w:color w:val="231F20"/>
          <w:sz w:val="21"/>
        </w:rPr>
        <w:t>Державна реєстрація нормативно-правового</w:t>
      </w:r>
      <w:r>
        <w:rPr>
          <w:b/>
          <w:color w:val="231F20"/>
          <w:spacing w:val="-8"/>
          <w:sz w:val="21"/>
        </w:rPr>
        <w:t xml:space="preserve"> </w:t>
      </w:r>
      <w:r>
        <w:rPr>
          <w:b/>
          <w:color w:val="231F20"/>
          <w:sz w:val="21"/>
        </w:rPr>
        <w:t>акта</w:t>
      </w:r>
    </w:p>
    <w:p w14:paraId="36B923BA" w14:textId="77777777" w:rsidR="00DE575E" w:rsidRDefault="00DE575E">
      <w:pPr>
        <w:pStyle w:val="BodyText"/>
        <w:rPr>
          <w:b/>
          <w:sz w:val="22"/>
        </w:rPr>
      </w:pPr>
    </w:p>
    <w:p w14:paraId="779C7128" w14:textId="77777777" w:rsidR="00DE575E" w:rsidRDefault="002E7560">
      <w:pPr>
        <w:spacing w:line="244" w:lineRule="auto"/>
        <w:ind w:left="533" w:right="128" w:firstLine="283"/>
        <w:jc w:val="both"/>
        <w:rPr>
          <w:i/>
          <w:sz w:val="21"/>
        </w:rPr>
      </w:pPr>
      <w:r>
        <w:rPr>
          <w:color w:val="231F20"/>
          <w:sz w:val="21"/>
        </w:rPr>
        <w:t xml:space="preserve">Державна реєстрація нормативно-правових актів міністерств, інших органів виконавчої влади, органів господарського управ- ління та контролю, які є суб’єктами нормотворення, здійснюється відповідно до </w:t>
      </w:r>
      <w:r>
        <w:rPr>
          <w:i/>
          <w:color w:val="231F20"/>
          <w:sz w:val="21"/>
        </w:rPr>
        <w:t>Указу Президента України від 3.10.1992 р. № 493 «Про держ</w:t>
      </w:r>
      <w:r>
        <w:rPr>
          <w:i/>
          <w:color w:val="231F20"/>
          <w:sz w:val="21"/>
        </w:rPr>
        <w:t>авну реєстрацію нормативно-правових актів міністерств та інших органів виконавчої влади».</w:t>
      </w:r>
    </w:p>
    <w:p w14:paraId="47ADFC86" w14:textId="77777777" w:rsidR="00DE575E" w:rsidRDefault="002E7560">
      <w:pPr>
        <w:pStyle w:val="Heading6"/>
        <w:spacing w:before="5"/>
        <w:ind w:left="817" w:firstLine="0"/>
        <w:rPr>
          <w:i w:val="0"/>
        </w:rPr>
      </w:pPr>
      <w:r>
        <w:rPr>
          <w:color w:val="231F20"/>
        </w:rPr>
        <w:t>Державну реєстрацію здійснюють</w:t>
      </w:r>
      <w:r>
        <w:rPr>
          <w:i w:val="0"/>
          <w:color w:val="231F20"/>
        </w:rPr>
        <w:t>:</w:t>
      </w:r>
    </w:p>
    <w:p w14:paraId="78BD7738" w14:textId="77777777" w:rsidR="00DE575E" w:rsidRDefault="002E7560">
      <w:pPr>
        <w:pStyle w:val="ListParagraph"/>
        <w:numPr>
          <w:ilvl w:val="0"/>
          <w:numId w:val="201"/>
        </w:numPr>
        <w:tabs>
          <w:tab w:val="left" w:pos="1101"/>
        </w:tabs>
        <w:spacing w:before="6" w:line="244" w:lineRule="auto"/>
        <w:ind w:right="128" w:firstLine="284"/>
        <w:rPr>
          <w:sz w:val="21"/>
        </w:rPr>
      </w:pPr>
      <w:r>
        <w:rPr>
          <w:i/>
          <w:color w:val="231F20"/>
          <w:sz w:val="21"/>
        </w:rPr>
        <w:t xml:space="preserve">Мін’юст </w:t>
      </w:r>
      <w:r>
        <w:rPr>
          <w:color w:val="231F20"/>
          <w:sz w:val="21"/>
        </w:rPr>
        <w:t xml:space="preserve">– щодо нормативно-правових актів міністерств, інших центральних органів виконавчої влади, органів господар- ського управління </w:t>
      </w:r>
      <w:r>
        <w:rPr>
          <w:color w:val="231F20"/>
          <w:sz w:val="21"/>
        </w:rPr>
        <w:t>та</w:t>
      </w:r>
      <w:r>
        <w:rPr>
          <w:color w:val="231F20"/>
          <w:spacing w:val="-3"/>
          <w:sz w:val="21"/>
        </w:rPr>
        <w:t xml:space="preserve"> </w:t>
      </w:r>
      <w:r>
        <w:rPr>
          <w:color w:val="231F20"/>
          <w:sz w:val="21"/>
        </w:rPr>
        <w:t>контролю;</w:t>
      </w:r>
    </w:p>
    <w:p w14:paraId="179397AE" w14:textId="77777777" w:rsidR="00DE575E" w:rsidRDefault="002E7560">
      <w:pPr>
        <w:pStyle w:val="ListParagraph"/>
        <w:numPr>
          <w:ilvl w:val="0"/>
          <w:numId w:val="201"/>
        </w:numPr>
        <w:tabs>
          <w:tab w:val="left" w:pos="1101"/>
        </w:tabs>
        <w:spacing w:before="3" w:line="244" w:lineRule="auto"/>
        <w:ind w:right="128" w:firstLine="284"/>
        <w:rPr>
          <w:sz w:val="21"/>
        </w:rPr>
      </w:pPr>
      <w:r>
        <w:rPr>
          <w:i/>
          <w:color w:val="231F20"/>
          <w:spacing w:val="-3"/>
          <w:sz w:val="21"/>
        </w:rPr>
        <w:t xml:space="preserve">Головне </w:t>
      </w:r>
      <w:r>
        <w:rPr>
          <w:i/>
          <w:color w:val="231F20"/>
          <w:sz w:val="21"/>
        </w:rPr>
        <w:t xml:space="preserve">управління юстиції Мін’юсту в Автономній Республіці Крим </w:t>
      </w:r>
      <w:r>
        <w:rPr>
          <w:color w:val="231F20"/>
          <w:sz w:val="21"/>
        </w:rPr>
        <w:t>– щодо нормативно-правових актів міністерств і республікан- ських комітетів Автономної Республіки</w:t>
      </w:r>
      <w:r>
        <w:rPr>
          <w:color w:val="231F20"/>
          <w:spacing w:val="-2"/>
          <w:sz w:val="21"/>
        </w:rPr>
        <w:t xml:space="preserve"> </w:t>
      </w:r>
      <w:r>
        <w:rPr>
          <w:color w:val="231F20"/>
          <w:sz w:val="21"/>
        </w:rPr>
        <w:t>Крим;</w:t>
      </w:r>
    </w:p>
    <w:p w14:paraId="142EBD43" w14:textId="77777777" w:rsidR="00DE575E" w:rsidRDefault="002E7560">
      <w:pPr>
        <w:pStyle w:val="ListParagraph"/>
        <w:numPr>
          <w:ilvl w:val="0"/>
          <w:numId w:val="201"/>
        </w:numPr>
        <w:tabs>
          <w:tab w:val="left" w:pos="1101"/>
        </w:tabs>
        <w:spacing w:before="2" w:line="244" w:lineRule="auto"/>
        <w:ind w:right="127" w:firstLine="284"/>
        <w:rPr>
          <w:sz w:val="21"/>
        </w:rPr>
      </w:pPr>
      <w:r>
        <w:rPr>
          <w:i/>
          <w:color w:val="231F20"/>
          <w:sz w:val="21"/>
        </w:rPr>
        <w:t xml:space="preserve">головні управління юстиції в областях, містах Києві та Севас- тополі </w:t>
      </w:r>
      <w:r>
        <w:rPr>
          <w:color w:val="231F20"/>
          <w:sz w:val="21"/>
        </w:rPr>
        <w:t>– щод</w:t>
      </w:r>
      <w:r>
        <w:rPr>
          <w:color w:val="231F20"/>
          <w:sz w:val="21"/>
        </w:rPr>
        <w:t xml:space="preserve">о нормативно-правових актів обласних, Київської та Севастопольської міських державних адміністрацій, їх управлінь, відділів, інших підрозділів, територіальних органів центральних органів виконавчої влади, а також місцевих органів господарського управління </w:t>
      </w:r>
      <w:r>
        <w:rPr>
          <w:color w:val="231F20"/>
          <w:sz w:val="21"/>
        </w:rPr>
        <w:t>та</w:t>
      </w:r>
      <w:r>
        <w:rPr>
          <w:color w:val="231F20"/>
          <w:spacing w:val="-3"/>
          <w:sz w:val="21"/>
        </w:rPr>
        <w:t xml:space="preserve"> </w:t>
      </w:r>
      <w:r>
        <w:rPr>
          <w:color w:val="231F20"/>
          <w:sz w:val="21"/>
        </w:rPr>
        <w:t>контролю;</w:t>
      </w:r>
    </w:p>
    <w:p w14:paraId="601F7F04" w14:textId="77777777" w:rsidR="00DE575E" w:rsidRDefault="002E7560">
      <w:pPr>
        <w:pStyle w:val="ListParagraph"/>
        <w:numPr>
          <w:ilvl w:val="0"/>
          <w:numId w:val="201"/>
        </w:numPr>
        <w:tabs>
          <w:tab w:val="left" w:pos="1101"/>
        </w:tabs>
        <w:spacing w:before="5" w:line="244" w:lineRule="auto"/>
        <w:ind w:right="126" w:firstLine="284"/>
        <w:rPr>
          <w:sz w:val="21"/>
        </w:rPr>
      </w:pPr>
      <w:r>
        <w:rPr>
          <w:i/>
          <w:color w:val="231F20"/>
          <w:sz w:val="21"/>
        </w:rPr>
        <w:t>районні, районні в містах Києві та Севастополі</w:t>
      </w:r>
      <w:r>
        <w:rPr>
          <w:color w:val="231F20"/>
          <w:sz w:val="21"/>
        </w:rPr>
        <w:t>, міськрайонні (у</w:t>
      </w:r>
      <w:r>
        <w:rPr>
          <w:color w:val="231F20"/>
          <w:spacing w:val="-12"/>
          <w:sz w:val="21"/>
        </w:rPr>
        <w:t xml:space="preserve"> </w:t>
      </w:r>
      <w:r>
        <w:rPr>
          <w:color w:val="231F20"/>
          <w:sz w:val="21"/>
        </w:rPr>
        <w:t>разі</w:t>
      </w:r>
      <w:r>
        <w:rPr>
          <w:color w:val="231F20"/>
          <w:spacing w:val="-12"/>
          <w:sz w:val="21"/>
        </w:rPr>
        <w:t xml:space="preserve"> </w:t>
      </w:r>
      <w:r>
        <w:rPr>
          <w:color w:val="231F20"/>
          <w:sz w:val="21"/>
        </w:rPr>
        <w:t>утворення)</w:t>
      </w:r>
      <w:r>
        <w:rPr>
          <w:color w:val="231F20"/>
          <w:spacing w:val="-12"/>
          <w:sz w:val="21"/>
        </w:rPr>
        <w:t xml:space="preserve"> </w:t>
      </w:r>
      <w:r>
        <w:rPr>
          <w:color w:val="231F20"/>
          <w:sz w:val="21"/>
        </w:rPr>
        <w:t>управління</w:t>
      </w:r>
      <w:r>
        <w:rPr>
          <w:color w:val="231F20"/>
          <w:spacing w:val="-12"/>
          <w:sz w:val="21"/>
        </w:rPr>
        <w:t xml:space="preserve"> </w:t>
      </w:r>
      <w:r>
        <w:rPr>
          <w:color w:val="231F20"/>
          <w:sz w:val="21"/>
        </w:rPr>
        <w:t>юстиції</w:t>
      </w:r>
      <w:r>
        <w:rPr>
          <w:color w:val="231F20"/>
          <w:spacing w:val="-10"/>
          <w:sz w:val="21"/>
        </w:rPr>
        <w:t xml:space="preserve"> </w:t>
      </w:r>
      <w:r>
        <w:rPr>
          <w:color w:val="231F20"/>
          <w:sz w:val="21"/>
        </w:rPr>
        <w:t>–</w:t>
      </w:r>
      <w:r>
        <w:rPr>
          <w:color w:val="231F20"/>
          <w:spacing w:val="-12"/>
          <w:sz w:val="21"/>
        </w:rPr>
        <w:t xml:space="preserve"> </w:t>
      </w:r>
      <w:r>
        <w:rPr>
          <w:color w:val="231F20"/>
          <w:sz w:val="21"/>
        </w:rPr>
        <w:t>щодо</w:t>
      </w:r>
      <w:r>
        <w:rPr>
          <w:color w:val="231F20"/>
          <w:spacing w:val="-12"/>
          <w:sz w:val="21"/>
        </w:rPr>
        <w:t xml:space="preserve"> </w:t>
      </w:r>
      <w:r>
        <w:rPr>
          <w:color w:val="231F20"/>
          <w:sz w:val="21"/>
        </w:rPr>
        <w:t>нормативно-</w:t>
      </w:r>
      <w:r>
        <w:rPr>
          <w:color w:val="231F20"/>
          <w:spacing w:val="-12"/>
          <w:sz w:val="21"/>
        </w:rPr>
        <w:t xml:space="preserve"> </w:t>
      </w:r>
      <w:r>
        <w:rPr>
          <w:color w:val="231F20"/>
          <w:sz w:val="21"/>
        </w:rPr>
        <w:t>правових актів районних, районних у містах Києві та Севастополі державних адміністрацій, їх управлінь, відділів, інших підроз</w:t>
      </w:r>
      <w:r>
        <w:rPr>
          <w:color w:val="231F20"/>
          <w:sz w:val="21"/>
        </w:rPr>
        <w:t xml:space="preserve">ділів. На державну реєстрацію подаються нормативно-правові акти, ухвалені уповно- важеними на це </w:t>
      </w:r>
      <w:r>
        <w:rPr>
          <w:color w:val="231F20"/>
          <w:spacing w:val="-3"/>
          <w:sz w:val="21"/>
        </w:rPr>
        <w:t xml:space="preserve">суб’єктами </w:t>
      </w:r>
      <w:r>
        <w:rPr>
          <w:color w:val="231F20"/>
          <w:sz w:val="21"/>
        </w:rPr>
        <w:t>нормотворення у визначеній законо- давством формі та за встановленою законодавством процедурою, що  містять   норми   права,   мають   неперсоніфіко</w:t>
      </w:r>
      <w:r>
        <w:rPr>
          <w:color w:val="231F20"/>
          <w:sz w:val="21"/>
        </w:rPr>
        <w:t>ваний   характер і розраховані на неодноразове застосування незалежно від строку</w:t>
      </w:r>
      <w:r>
        <w:rPr>
          <w:color w:val="231F20"/>
          <w:spacing w:val="-34"/>
          <w:sz w:val="21"/>
        </w:rPr>
        <w:t xml:space="preserve"> </w:t>
      </w:r>
      <w:r>
        <w:rPr>
          <w:color w:val="231F20"/>
          <w:sz w:val="21"/>
        </w:rPr>
        <w:t>їх дії (постійні чи обмежені певним часом) і характеру відомостей, що в них містяться, а також ухвалені в порядку</w:t>
      </w:r>
      <w:r>
        <w:rPr>
          <w:color w:val="231F20"/>
          <w:spacing w:val="-13"/>
          <w:sz w:val="21"/>
        </w:rPr>
        <w:t xml:space="preserve"> </w:t>
      </w:r>
      <w:r>
        <w:rPr>
          <w:color w:val="231F20"/>
          <w:sz w:val="21"/>
        </w:rPr>
        <w:t>експерименту.</w:t>
      </w:r>
    </w:p>
    <w:p w14:paraId="3358A7D4" w14:textId="77777777" w:rsidR="00DE575E" w:rsidRDefault="002E7560">
      <w:pPr>
        <w:spacing w:before="10" w:line="249" w:lineRule="auto"/>
        <w:ind w:left="533" w:right="128" w:firstLine="283"/>
        <w:jc w:val="both"/>
        <w:rPr>
          <w:sz w:val="21"/>
        </w:rPr>
      </w:pPr>
      <w:r>
        <w:rPr>
          <w:b/>
          <w:i/>
          <w:color w:val="231F20"/>
          <w:sz w:val="21"/>
        </w:rPr>
        <w:t xml:space="preserve">Державній реєстрації підлягають </w:t>
      </w:r>
      <w:r>
        <w:rPr>
          <w:color w:val="231F20"/>
          <w:sz w:val="21"/>
        </w:rPr>
        <w:t>нормативно-правові акти будь-якого виду (постанови, накази, інструкції тощо), якщо в них    є одна або більше норм,</w:t>
      </w:r>
      <w:r>
        <w:rPr>
          <w:color w:val="231F20"/>
          <w:spacing w:val="-5"/>
          <w:sz w:val="21"/>
        </w:rPr>
        <w:t xml:space="preserve"> </w:t>
      </w:r>
      <w:r>
        <w:rPr>
          <w:color w:val="231F20"/>
          <w:sz w:val="21"/>
        </w:rPr>
        <w:t>які:</w:t>
      </w:r>
    </w:p>
    <w:p w14:paraId="6B2B2EA7" w14:textId="77777777" w:rsidR="00DE575E" w:rsidRDefault="00DE575E">
      <w:pPr>
        <w:pStyle w:val="BodyText"/>
        <w:spacing w:before="2"/>
        <w:rPr>
          <w:sz w:val="13"/>
        </w:rPr>
      </w:pPr>
    </w:p>
    <w:p w14:paraId="72A9B72C" w14:textId="77777777" w:rsidR="00DE575E" w:rsidRDefault="002E7560">
      <w:pPr>
        <w:spacing w:before="91"/>
        <w:ind w:left="533"/>
        <w:rPr>
          <w:rFonts w:ascii="Times New Roman"/>
          <w:sz w:val="20"/>
        </w:rPr>
      </w:pPr>
      <w:r>
        <w:rPr>
          <w:rFonts w:ascii="Times New Roman"/>
          <w:color w:val="231F20"/>
          <w:sz w:val="20"/>
        </w:rPr>
        <w:t>218</w:t>
      </w:r>
    </w:p>
    <w:p w14:paraId="73E51296" w14:textId="77777777" w:rsidR="00DE575E" w:rsidRDefault="00DE575E">
      <w:pPr>
        <w:rPr>
          <w:rFonts w:ascii="Times New Roman"/>
          <w:sz w:val="20"/>
        </w:rPr>
        <w:sectPr w:rsidR="00DE575E">
          <w:pgSz w:w="8510" w:h="12760"/>
          <w:pgMar w:top="660" w:right="720" w:bottom="280" w:left="600" w:header="720" w:footer="720" w:gutter="0"/>
          <w:cols w:space="720"/>
        </w:sectPr>
      </w:pPr>
    </w:p>
    <w:p w14:paraId="3606EB38"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427A9E62" w14:textId="6D91399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1F7DD1E" wp14:editId="0FEF620D">
                <wp:extent cx="4140200" cy="6350"/>
                <wp:effectExtent l="0" t="0" r="12700" b="6350"/>
                <wp:docPr id="861"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62" name="Line 8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177EE" id="Group_x0020_8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iGf2v34CAACYBQAADgAA&#10;AAAAAAAAAAAAAAAsAgAAZHJzL2Uyb0RvYy54bWxQSwECLQAUAAYACAAAACEATKewkNkAAAADAQAA&#10;DwAAAAAAAAAAAAAAAADWBAAAZHJzL2Rvd25yZXYueG1sUEsFBgAAAAAEAAQA8wAAANwFAAAAAA==&#10;">
                <v:line id="Line_x0020_8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rBl8UAAADcAAAADwAAAGRycy9kb3ducmV2LnhtbESP0WrCQBRE3wv+w3KFvhTdVEEkuooI&#10;BfFBrekHXLPXJLh7N2ZXk/r1rlDo4zAzZ5j5srNG3KnxlWMFn8MEBHHudMWFgp/sazAF4QOyRuOY&#10;FPySh+Wi9zbHVLuWv+l+DIWIEPYpKihDqFMpfV6SRT90NXH0zq6xGKJsCqkbbCPcGjlKkom0WHFc&#10;KLGmdUn55XizCrLrRzCH/da02f40lqfrbvy47ZR673erGYhAXfgP/7U3WsF0MoLXmXgE5O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TrBl8UAAADcAAAADwAAAAAAAAAA&#10;AAAAAAChAgAAZHJzL2Rvd25yZXYueG1sUEsFBgAAAAAEAAQA+QAAAJMDAAAAAA==&#10;" strokecolor="#231f20" strokeweight=".5pt"/>
                <w10:anchorlock/>
              </v:group>
            </w:pict>
          </mc:Fallback>
        </mc:AlternateContent>
      </w:r>
    </w:p>
    <w:p w14:paraId="751AE3AD" w14:textId="77777777" w:rsidR="00DE575E" w:rsidRDefault="00DE575E">
      <w:pPr>
        <w:pStyle w:val="BodyText"/>
        <w:spacing w:before="7"/>
        <w:rPr>
          <w:rFonts w:ascii="AdonisC"/>
          <w:i/>
          <w:sz w:val="19"/>
        </w:rPr>
      </w:pPr>
    </w:p>
    <w:p w14:paraId="239D4807" w14:textId="77777777" w:rsidR="00DE575E" w:rsidRDefault="002E7560">
      <w:pPr>
        <w:pStyle w:val="BodyText"/>
        <w:spacing w:before="1" w:line="252" w:lineRule="auto"/>
        <w:ind w:left="250" w:right="409" w:firstLine="283"/>
        <w:jc w:val="both"/>
      </w:pPr>
      <w:r>
        <w:rPr>
          <w:rFonts w:ascii="Wingdings" w:hAnsi="Wingdings"/>
          <w:color w:val="231F20"/>
        </w:rPr>
        <w:t></w:t>
      </w:r>
      <w:r>
        <w:rPr>
          <w:rFonts w:ascii="Times New Roman" w:hAnsi="Times New Roman"/>
          <w:color w:val="231F20"/>
        </w:rPr>
        <w:t xml:space="preserve"> </w:t>
      </w:r>
      <w:r>
        <w:rPr>
          <w:color w:val="231F20"/>
        </w:rPr>
        <w:t xml:space="preserve">стосуються соціально-економічних, політичних, особистих та інших прав, свобод і законних інтересів громадян, проголошених      і гарантованих Конституцією та законами </w:t>
      </w:r>
      <w:r>
        <w:rPr>
          <w:color w:val="231F20"/>
          <w:spacing w:val="-3"/>
        </w:rPr>
        <w:t xml:space="preserve">України, </w:t>
      </w:r>
      <w:r>
        <w:rPr>
          <w:color w:val="231F20"/>
        </w:rPr>
        <w:t>Конвенцією про захист</w:t>
      </w:r>
      <w:r>
        <w:rPr>
          <w:color w:val="231F20"/>
          <w:spacing w:val="-14"/>
        </w:rPr>
        <w:t xml:space="preserve"> </w:t>
      </w:r>
      <w:r>
        <w:rPr>
          <w:color w:val="231F20"/>
        </w:rPr>
        <w:t>прав</w:t>
      </w:r>
      <w:r>
        <w:rPr>
          <w:color w:val="231F20"/>
          <w:spacing w:val="-14"/>
        </w:rPr>
        <w:t xml:space="preserve"> </w:t>
      </w:r>
      <w:r>
        <w:rPr>
          <w:color w:val="231F20"/>
        </w:rPr>
        <w:t>людини</w:t>
      </w:r>
      <w:r>
        <w:rPr>
          <w:color w:val="231F20"/>
          <w:spacing w:val="-14"/>
        </w:rPr>
        <w:t xml:space="preserve"> </w:t>
      </w:r>
      <w:r>
        <w:rPr>
          <w:color w:val="231F20"/>
        </w:rPr>
        <w:t>й</w:t>
      </w:r>
      <w:r>
        <w:rPr>
          <w:color w:val="231F20"/>
          <w:spacing w:val="-14"/>
        </w:rPr>
        <w:t xml:space="preserve"> </w:t>
      </w:r>
      <w:r>
        <w:rPr>
          <w:color w:val="231F20"/>
        </w:rPr>
        <w:t>основоположних</w:t>
      </w:r>
      <w:r>
        <w:rPr>
          <w:color w:val="231F20"/>
          <w:spacing w:val="-14"/>
        </w:rPr>
        <w:t xml:space="preserve"> </w:t>
      </w:r>
      <w:r>
        <w:rPr>
          <w:color w:val="231F20"/>
        </w:rPr>
        <w:t>свобод</w:t>
      </w:r>
      <w:r>
        <w:rPr>
          <w:color w:val="231F20"/>
          <w:spacing w:val="-14"/>
        </w:rPr>
        <w:t xml:space="preserve"> </w:t>
      </w:r>
      <w:r>
        <w:rPr>
          <w:color w:val="231F20"/>
        </w:rPr>
        <w:t>1950</w:t>
      </w:r>
      <w:r>
        <w:rPr>
          <w:color w:val="231F20"/>
          <w:spacing w:val="-9"/>
        </w:rPr>
        <w:t xml:space="preserve"> </w:t>
      </w:r>
      <w:r>
        <w:rPr>
          <w:color w:val="231F20"/>
        </w:rPr>
        <w:t>р.</w:t>
      </w:r>
      <w:r>
        <w:rPr>
          <w:color w:val="231F20"/>
          <w:spacing w:val="-14"/>
        </w:rPr>
        <w:t xml:space="preserve"> </w:t>
      </w:r>
      <w:r>
        <w:rPr>
          <w:color w:val="231F20"/>
        </w:rPr>
        <w:t>і</w:t>
      </w:r>
      <w:r>
        <w:rPr>
          <w:color w:val="231F20"/>
          <w:spacing w:val="-14"/>
        </w:rPr>
        <w:t xml:space="preserve"> </w:t>
      </w:r>
      <w:r>
        <w:rPr>
          <w:color w:val="231F20"/>
        </w:rPr>
        <w:t>протоколами до</w:t>
      </w:r>
      <w:r>
        <w:rPr>
          <w:color w:val="231F20"/>
          <w:spacing w:val="-6"/>
        </w:rPr>
        <w:t xml:space="preserve"> </w:t>
      </w:r>
      <w:r>
        <w:rPr>
          <w:color w:val="231F20"/>
        </w:rPr>
        <w:t>неї,</w:t>
      </w:r>
      <w:r>
        <w:rPr>
          <w:color w:val="231F20"/>
          <w:spacing w:val="-6"/>
        </w:rPr>
        <w:t xml:space="preserve"> </w:t>
      </w:r>
      <w:r>
        <w:rPr>
          <w:color w:val="231F20"/>
        </w:rPr>
        <w:t>міжнародними</w:t>
      </w:r>
      <w:r>
        <w:rPr>
          <w:color w:val="231F20"/>
          <w:spacing w:val="-6"/>
        </w:rPr>
        <w:t xml:space="preserve"> </w:t>
      </w:r>
      <w:r>
        <w:rPr>
          <w:color w:val="231F20"/>
        </w:rPr>
        <w:t>угодами</w:t>
      </w:r>
      <w:r>
        <w:rPr>
          <w:color w:val="231F20"/>
          <w:spacing w:val="-6"/>
        </w:rPr>
        <w:t xml:space="preserve"> </w:t>
      </w:r>
      <w:r>
        <w:rPr>
          <w:color w:val="231F20"/>
          <w:spacing w:val="-3"/>
        </w:rPr>
        <w:t>України,</w:t>
      </w:r>
      <w:r>
        <w:rPr>
          <w:color w:val="231F20"/>
          <w:spacing w:val="-6"/>
        </w:rPr>
        <w:t xml:space="preserve"> </w:t>
      </w:r>
      <w:r>
        <w:rPr>
          <w:color w:val="231F20"/>
        </w:rPr>
        <w:t>згоду</w:t>
      </w:r>
      <w:r>
        <w:rPr>
          <w:color w:val="231F20"/>
          <w:spacing w:val="-6"/>
        </w:rPr>
        <w:t xml:space="preserve"> </w:t>
      </w:r>
      <w:r>
        <w:rPr>
          <w:color w:val="231F20"/>
        </w:rPr>
        <w:t>на</w:t>
      </w:r>
      <w:r>
        <w:rPr>
          <w:color w:val="231F20"/>
          <w:spacing w:val="-6"/>
        </w:rPr>
        <w:t xml:space="preserve"> </w:t>
      </w:r>
      <w:r>
        <w:rPr>
          <w:color w:val="231F20"/>
        </w:rPr>
        <w:t>обов’язковість</w:t>
      </w:r>
      <w:r>
        <w:rPr>
          <w:color w:val="231F20"/>
          <w:spacing w:val="-6"/>
        </w:rPr>
        <w:t xml:space="preserve"> </w:t>
      </w:r>
      <w:r>
        <w:rPr>
          <w:color w:val="231F20"/>
        </w:rPr>
        <w:t xml:space="preserve">яких надано Верховною Радою </w:t>
      </w:r>
      <w:r>
        <w:rPr>
          <w:color w:val="231F20"/>
          <w:spacing w:val="-3"/>
        </w:rPr>
        <w:t xml:space="preserve">України, </w:t>
      </w:r>
      <w:r>
        <w:rPr>
          <w:color w:val="231F20"/>
        </w:rPr>
        <w:t xml:space="preserve">та acquis communautaire, а також з урахуванням практики Європейського </w:t>
      </w:r>
      <w:r>
        <w:rPr>
          <w:color w:val="231F20"/>
          <w:spacing w:val="-4"/>
        </w:rPr>
        <w:t xml:space="preserve">суду </w:t>
      </w:r>
      <w:r>
        <w:rPr>
          <w:color w:val="231F20"/>
        </w:rPr>
        <w:t>з прав людини вста- новлюють новий або</w:t>
      </w:r>
      <w:r>
        <w:rPr>
          <w:color w:val="231F20"/>
        </w:rPr>
        <w:t xml:space="preserve"> змінюють, доповнюють чи скасовують органі- заційно-правовий механізм їх</w:t>
      </w:r>
      <w:r>
        <w:rPr>
          <w:color w:val="231F20"/>
          <w:spacing w:val="-4"/>
        </w:rPr>
        <w:t xml:space="preserve"> </w:t>
      </w:r>
      <w:r>
        <w:rPr>
          <w:color w:val="231F20"/>
        </w:rPr>
        <w:t>реалізації;</w:t>
      </w:r>
    </w:p>
    <w:p w14:paraId="63E108D6" w14:textId="77777777" w:rsidR="00DE575E" w:rsidRDefault="002E7560">
      <w:pPr>
        <w:pStyle w:val="BodyText"/>
        <w:spacing w:before="4"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мають міжвідомчий характер, тобто є обов’язковими для інших</w:t>
      </w:r>
      <w:r>
        <w:rPr>
          <w:color w:val="231F20"/>
          <w:spacing w:val="-21"/>
        </w:rPr>
        <w:t xml:space="preserve"> </w:t>
      </w:r>
      <w:r>
        <w:rPr>
          <w:color w:val="231F20"/>
        </w:rPr>
        <w:t>міністерств,</w:t>
      </w:r>
      <w:r>
        <w:rPr>
          <w:color w:val="231F20"/>
          <w:spacing w:val="-21"/>
        </w:rPr>
        <w:t xml:space="preserve"> </w:t>
      </w:r>
      <w:r>
        <w:rPr>
          <w:color w:val="231F20"/>
        </w:rPr>
        <w:t>органів</w:t>
      </w:r>
      <w:r>
        <w:rPr>
          <w:color w:val="231F20"/>
          <w:spacing w:val="-21"/>
        </w:rPr>
        <w:t xml:space="preserve"> </w:t>
      </w:r>
      <w:r>
        <w:rPr>
          <w:color w:val="231F20"/>
        </w:rPr>
        <w:t>виконавчої</w:t>
      </w:r>
      <w:r>
        <w:rPr>
          <w:color w:val="231F20"/>
          <w:spacing w:val="-21"/>
        </w:rPr>
        <w:t xml:space="preserve"> </w:t>
      </w:r>
      <w:r>
        <w:rPr>
          <w:color w:val="231F20"/>
        </w:rPr>
        <w:t>влади,</w:t>
      </w:r>
      <w:r>
        <w:rPr>
          <w:color w:val="231F20"/>
          <w:spacing w:val="-21"/>
        </w:rPr>
        <w:t xml:space="preserve"> </w:t>
      </w:r>
      <w:r>
        <w:rPr>
          <w:color w:val="231F20"/>
        </w:rPr>
        <w:t>органів</w:t>
      </w:r>
      <w:r>
        <w:rPr>
          <w:color w:val="231F20"/>
          <w:spacing w:val="-21"/>
        </w:rPr>
        <w:t xml:space="preserve"> </w:t>
      </w:r>
      <w:r>
        <w:rPr>
          <w:color w:val="231F20"/>
        </w:rPr>
        <w:t>господарського управління</w:t>
      </w:r>
      <w:r>
        <w:rPr>
          <w:color w:val="231F20"/>
          <w:spacing w:val="-10"/>
        </w:rPr>
        <w:t xml:space="preserve"> </w:t>
      </w:r>
      <w:r>
        <w:rPr>
          <w:color w:val="231F20"/>
        </w:rPr>
        <w:t>та</w:t>
      </w:r>
      <w:r>
        <w:rPr>
          <w:color w:val="231F20"/>
          <w:spacing w:val="-10"/>
        </w:rPr>
        <w:t xml:space="preserve"> </w:t>
      </w:r>
      <w:r>
        <w:rPr>
          <w:color w:val="231F20"/>
        </w:rPr>
        <w:t>контролю,</w:t>
      </w:r>
      <w:r>
        <w:rPr>
          <w:color w:val="231F20"/>
          <w:spacing w:val="-10"/>
        </w:rPr>
        <w:t xml:space="preserve"> </w:t>
      </w:r>
      <w:r>
        <w:rPr>
          <w:color w:val="231F20"/>
        </w:rPr>
        <w:t>а</w:t>
      </w:r>
      <w:r>
        <w:rPr>
          <w:color w:val="231F20"/>
          <w:spacing w:val="-10"/>
        </w:rPr>
        <w:t xml:space="preserve"> </w:t>
      </w:r>
      <w:r>
        <w:rPr>
          <w:color w:val="231F20"/>
        </w:rPr>
        <w:t>також</w:t>
      </w:r>
      <w:r>
        <w:rPr>
          <w:color w:val="231F20"/>
          <w:spacing w:val="-10"/>
        </w:rPr>
        <w:t xml:space="preserve"> </w:t>
      </w:r>
      <w:r>
        <w:rPr>
          <w:color w:val="231F20"/>
        </w:rPr>
        <w:t>підприємств,</w:t>
      </w:r>
      <w:r>
        <w:rPr>
          <w:color w:val="231F20"/>
          <w:spacing w:val="-10"/>
        </w:rPr>
        <w:t xml:space="preserve"> </w:t>
      </w:r>
      <w:r>
        <w:rPr>
          <w:color w:val="231F20"/>
        </w:rPr>
        <w:t>ус</w:t>
      </w:r>
      <w:r>
        <w:rPr>
          <w:color w:val="231F20"/>
        </w:rPr>
        <w:t>танов</w:t>
      </w:r>
      <w:r>
        <w:rPr>
          <w:color w:val="231F20"/>
          <w:spacing w:val="-10"/>
        </w:rPr>
        <w:t xml:space="preserve"> </w:t>
      </w:r>
      <w:r>
        <w:rPr>
          <w:color w:val="231F20"/>
        </w:rPr>
        <w:t>і</w:t>
      </w:r>
      <w:r>
        <w:rPr>
          <w:color w:val="231F20"/>
          <w:spacing w:val="-10"/>
        </w:rPr>
        <w:t xml:space="preserve"> </w:t>
      </w:r>
      <w:r>
        <w:rPr>
          <w:color w:val="231F20"/>
        </w:rPr>
        <w:t xml:space="preserve">організацій, що не входять до сфери управління </w:t>
      </w:r>
      <w:r>
        <w:rPr>
          <w:color w:val="231F20"/>
          <w:spacing w:val="-3"/>
        </w:rPr>
        <w:t xml:space="preserve">органу, </w:t>
      </w:r>
      <w:r>
        <w:rPr>
          <w:color w:val="231F20"/>
        </w:rPr>
        <w:t>який видав</w:t>
      </w:r>
      <w:r>
        <w:rPr>
          <w:color w:val="231F20"/>
          <w:spacing w:val="-34"/>
        </w:rPr>
        <w:t xml:space="preserve"> </w:t>
      </w:r>
      <w:r>
        <w:rPr>
          <w:color w:val="231F20"/>
        </w:rPr>
        <w:t>нормативно- правовий</w:t>
      </w:r>
      <w:r>
        <w:rPr>
          <w:color w:val="231F20"/>
          <w:spacing w:val="-2"/>
        </w:rPr>
        <w:t xml:space="preserve"> </w:t>
      </w:r>
      <w:r>
        <w:rPr>
          <w:color w:val="231F20"/>
          <w:spacing w:val="-5"/>
        </w:rPr>
        <w:t>акт.</w:t>
      </w:r>
    </w:p>
    <w:p w14:paraId="4B1CE0D8" w14:textId="77777777" w:rsidR="00DE575E" w:rsidRDefault="002E7560">
      <w:pPr>
        <w:pStyle w:val="BodyText"/>
        <w:spacing w:before="3" w:line="252" w:lineRule="auto"/>
        <w:ind w:left="250" w:right="408" w:firstLine="283"/>
        <w:jc w:val="both"/>
      </w:pPr>
      <w:r>
        <w:rPr>
          <w:color w:val="231F20"/>
        </w:rPr>
        <w:t xml:space="preserve">Нормативно-правовий акт подається  на  державну  реєстрацію  в п’ятиденний строк після його ухвалення в разі наявності поло- жень, норм і доручень, що поширюються на інші органи, норма- тивно-правовий акт має бути погоджений з відповідними зацікав- леними </w:t>
      </w:r>
      <w:r>
        <w:rPr>
          <w:color w:val="231F20"/>
        </w:rPr>
        <w:t>органами у формі, установленій</w:t>
      </w:r>
      <w:r>
        <w:rPr>
          <w:color w:val="231F20"/>
          <w:spacing w:val="-10"/>
        </w:rPr>
        <w:t xml:space="preserve"> </w:t>
      </w:r>
      <w:r>
        <w:rPr>
          <w:color w:val="231F20"/>
        </w:rPr>
        <w:t>законодавством.</w:t>
      </w:r>
    </w:p>
    <w:p w14:paraId="2DEA95E9" w14:textId="77777777" w:rsidR="00DE575E" w:rsidRDefault="002E7560">
      <w:pPr>
        <w:pStyle w:val="BodyText"/>
        <w:spacing w:before="2" w:line="252" w:lineRule="auto"/>
        <w:ind w:left="250" w:right="410" w:firstLine="283"/>
        <w:jc w:val="both"/>
      </w:pPr>
      <w:r>
        <w:rPr>
          <w:color w:val="231F20"/>
        </w:rPr>
        <w:t>Нормативно-правовий акт, що подається на державну реєстра- цію, має відповідати вимогам законодавства про мови та інших актів законодавства, узгоджуватися з раніше ухваленими актами, викладатися згідно з право</w:t>
      </w:r>
      <w:r>
        <w:rPr>
          <w:color w:val="231F20"/>
        </w:rPr>
        <w:t>писом української мови та з дотриман- ням правил нормо проєктувальної техніки.</w:t>
      </w:r>
    </w:p>
    <w:p w14:paraId="1B85E483" w14:textId="77777777" w:rsidR="00DE575E" w:rsidRDefault="002E7560">
      <w:pPr>
        <w:pStyle w:val="BodyText"/>
        <w:spacing w:before="3" w:line="252" w:lineRule="auto"/>
        <w:ind w:left="250" w:right="406" w:firstLine="283"/>
        <w:jc w:val="both"/>
      </w:pPr>
      <w:r>
        <w:rPr>
          <w:color w:val="231F20"/>
          <w:spacing w:val="1"/>
        </w:rPr>
        <w:t xml:space="preserve">Державна реєстрація нормативно-правового акта здійсню- ється впродовж </w:t>
      </w:r>
      <w:r>
        <w:rPr>
          <w:color w:val="231F20"/>
        </w:rPr>
        <w:t xml:space="preserve">10, а </w:t>
      </w:r>
      <w:r>
        <w:rPr>
          <w:color w:val="231F20"/>
          <w:spacing w:val="1"/>
        </w:rPr>
        <w:t xml:space="preserve">якщо </w:t>
      </w:r>
      <w:r>
        <w:rPr>
          <w:color w:val="231F20"/>
        </w:rPr>
        <w:t xml:space="preserve">акт  має  </w:t>
      </w:r>
      <w:r>
        <w:rPr>
          <w:color w:val="231F20"/>
          <w:spacing w:val="1"/>
        </w:rPr>
        <w:t xml:space="preserve">великий  </w:t>
      </w:r>
      <w:r>
        <w:rPr>
          <w:color w:val="231F20"/>
        </w:rPr>
        <w:t xml:space="preserve">обсяг,  –  15  </w:t>
      </w:r>
      <w:r>
        <w:rPr>
          <w:color w:val="231F20"/>
          <w:spacing w:val="1"/>
        </w:rPr>
        <w:t xml:space="preserve">робо-  </w:t>
      </w:r>
      <w:r>
        <w:rPr>
          <w:color w:val="231F20"/>
        </w:rPr>
        <w:t xml:space="preserve">чих </w:t>
      </w:r>
      <w:r>
        <w:rPr>
          <w:color w:val="231F20"/>
          <w:spacing w:val="1"/>
        </w:rPr>
        <w:t xml:space="preserve">днів </w:t>
      </w:r>
      <w:r>
        <w:rPr>
          <w:color w:val="231F20"/>
        </w:rPr>
        <w:t xml:space="preserve">від </w:t>
      </w:r>
      <w:r>
        <w:rPr>
          <w:color w:val="231F20"/>
          <w:spacing w:val="1"/>
        </w:rPr>
        <w:t xml:space="preserve">дня, наступного після </w:t>
      </w:r>
      <w:r>
        <w:rPr>
          <w:color w:val="231F20"/>
        </w:rPr>
        <w:t xml:space="preserve">надходження </w:t>
      </w:r>
      <w:r>
        <w:rPr>
          <w:color w:val="231F20"/>
          <w:spacing w:val="1"/>
        </w:rPr>
        <w:t xml:space="preserve">його </w:t>
      </w:r>
      <w:r>
        <w:rPr>
          <w:color w:val="231F20"/>
        </w:rPr>
        <w:t xml:space="preserve">до </w:t>
      </w:r>
      <w:r>
        <w:rPr>
          <w:color w:val="231F20"/>
          <w:spacing w:val="2"/>
        </w:rPr>
        <w:t xml:space="preserve">органу </w:t>
      </w:r>
      <w:r>
        <w:rPr>
          <w:color w:val="231F20"/>
          <w:spacing w:val="1"/>
        </w:rPr>
        <w:t>державної</w:t>
      </w:r>
      <w:r>
        <w:rPr>
          <w:color w:val="231F20"/>
          <w:spacing w:val="7"/>
        </w:rPr>
        <w:t xml:space="preserve"> </w:t>
      </w:r>
      <w:r>
        <w:rPr>
          <w:color w:val="231F20"/>
          <w:spacing w:val="2"/>
        </w:rPr>
        <w:t>реєстрації.</w:t>
      </w:r>
    </w:p>
    <w:p w14:paraId="7A9C3966" w14:textId="77777777" w:rsidR="00DE575E" w:rsidRDefault="00DE575E">
      <w:pPr>
        <w:pStyle w:val="BodyText"/>
        <w:spacing w:before="1"/>
        <w:rPr>
          <w:sz w:val="22"/>
        </w:rPr>
      </w:pPr>
    </w:p>
    <w:p w14:paraId="5652E6A7" w14:textId="77777777" w:rsidR="00DE575E" w:rsidRDefault="002E7560">
      <w:pPr>
        <w:pStyle w:val="Heading5"/>
        <w:numPr>
          <w:ilvl w:val="2"/>
          <w:numId w:val="202"/>
        </w:numPr>
        <w:tabs>
          <w:tab w:val="left" w:pos="1099"/>
        </w:tabs>
        <w:spacing w:before="1" w:line="252" w:lineRule="auto"/>
        <w:ind w:right="1141" w:firstLine="0"/>
        <w:jc w:val="left"/>
      </w:pPr>
      <w:r>
        <w:rPr>
          <w:color w:val="231F20"/>
        </w:rPr>
        <w:t>Процедура оприлюднення та набрання</w:t>
      </w:r>
      <w:r>
        <w:rPr>
          <w:color w:val="231F20"/>
          <w:spacing w:val="-30"/>
        </w:rPr>
        <w:t xml:space="preserve"> </w:t>
      </w:r>
      <w:r>
        <w:rPr>
          <w:color w:val="231F20"/>
        </w:rPr>
        <w:t>чинності нормативним</w:t>
      </w:r>
      <w:r>
        <w:rPr>
          <w:color w:val="231F20"/>
          <w:spacing w:val="-2"/>
        </w:rPr>
        <w:t xml:space="preserve"> </w:t>
      </w:r>
      <w:r>
        <w:rPr>
          <w:color w:val="231F20"/>
        </w:rPr>
        <w:t>актом</w:t>
      </w:r>
    </w:p>
    <w:p w14:paraId="45678463" w14:textId="77777777" w:rsidR="00DE575E" w:rsidRDefault="00DE575E">
      <w:pPr>
        <w:pStyle w:val="BodyText"/>
        <w:rPr>
          <w:b/>
          <w:sz w:val="22"/>
        </w:rPr>
      </w:pPr>
    </w:p>
    <w:p w14:paraId="2F4E9D23" w14:textId="77777777" w:rsidR="00DE575E" w:rsidRDefault="002E7560">
      <w:pPr>
        <w:spacing w:before="1" w:line="252" w:lineRule="auto"/>
        <w:ind w:left="250" w:right="411" w:firstLine="283"/>
        <w:jc w:val="both"/>
        <w:rPr>
          <w:i/>
          <w:sz w:val="21"/>
        </w:rPr>
      </w:pPr>
      <w:r>
        <w:rPr>
          <w:color w:val="231F20"/>
          <w:sz w:val="21"/>
        </w:rPr>
        <w:t>Порядок</w:t>
      </w:r>
      <w:r>
        <w:rPr>
          <w:color w:val="231F20"/>
          <w:spacing w:val="-21"/>
          <w:sz w:val="21"/>
        </w:rPr>
        <w:t xml:space="preserve"> </w:t>
      </w:r>
      <w:r>
        <w:rPr>
          <w:color w:val="231F20"/>
          <w:sz w:val="21"/>
        </w:rPr>
        <w:t>офіційногооприлюднення</w:t>
      </w:r>
      <w:r>
        <w:rPr>
          <w:color w:val="231F20"/>
          <w:spacing w:val="-21"/>
          <w:sz w:val="21"/>
        </w:rPr>
        <w:t xml:space="preserve"> </w:t>
      </w:r>
      <w:r>
        <w:rPr>
          <w:color w:val="231F20"/>
          <w:sz w:val="21"/>
        </w:rPr>
        <w:t>нормативних</w:t>
      </w:r>
      <w:r>
        <w:rPr>
          <w:color w:val="231F20"/>
          <w:spacing w:val="-21"/>
          <w:sz w:val="21"/>
        </w:rPr>
        <w:t xml:space="preserve"> </w:t>
      </w:r>
      <w:r>
        <w:rPr>
          <w:color w:val="231F20"/>
          <w:sz w:val="21"/>
        </w:rPr>
        <w:t>актів</w:t>
      </w:r>
      <w:r>
        <w:rPr>
          <w:color w:val="231F20"/>
          <w:spacing w:val="-21"/>
          <w:sz w:val="21"/>
        </w:rPr>
        <w:t xml:space="preserve"> </w:t>
      </w:r>
      <w:r>
        <w:rPr>
          <w:color w:val="231F20"/>
          <w:sz w:val="21"/>
        </w:rPr>
        <w:t>і</w:t>
      </w:r>
      <w:r>
        <w:rPr>
          <w:color w:val="231F20"/>
          <w:spacing w:val="-20"/>
          <w:sz w:val="21"/>
        </w:rPr>
        <w:t xml:space="preserve"> </w:t>
      </w:r>
      <w:r>
        <w:rPr>
          <w:color w:val="231F20"/>
          <w:sz w:val="21"/>
        </w:rPr>
        <w:t xml:space="preserve">набрання ними чинності регламентується </w:t>
      </w:r>
      <w:r>
        <w:rPr>
          <w:i/>
          <w:color w:val="231F20"/>
          <w:sz w:val="21"/>
        </w:rPr>
        <w:t xml:space="preserve">Указом Президента України «Про </w:t>
      </w:r>
      <w:r>
        <w:rPr>
          <w:i/>
          <w:color w:val="231F20"/>
          <w:sz w:val="21"/>
        </w:rPr>
        <w:t>порядок офіційного оприлюднення нормативно-правових актів та набрання ними чинності» від 10.07.1997</w:t>
      </w:r>
      <w:r>
        <w:rPr>
          <w:i/>
          <w:color w:val="231F20"/>
          <w:spacing w:val="-9"/>
          <w:sz w:val="21"/>
        </w:rPr>
        <w:t xml:space="preserve"> </w:t>
      </w:r>
      <w:r>
        <w:rPr>
          <w:i/>
          <w:color w:val="231F20"/>
          <w:sz w:val="21"/>
        </w:rPr>
        <w:t>р.</w:t>
      </w:r>
    </w:p>
    <w:p w14:paraId="75EF1304" w14:textId="77777777" w:rsidR="00DE575E" w:rsidRDefault="002E7560">
      <w:pPr>
        <w:pStyle w:val="BodyText"/>
        <w:spacing w:before="2" w:line="252" w:lineRule="auto"/>
        <w:ind w:left="250" w:right="411" w:firstLine="283"/>
        <w:jc w:val="both"/>
      </w:pPr>
      <w:r>
        <w:rPr>
          <w:color w:val="231F20"/>
        </w:rPr>
        <w:t xml:space="preserve">Згідно з положеннями зазначеного Указу закони України, інші акти Верховної ради України, акти президента України та Кабінету Міністрів України не пізніш </w:t>
      </w:r>
      <w:r>
        <w:rPr>
          <w:color w:val="231F20"/>
        </w:rPr>
        <w:t>як у п’ятнадцятиденний строк після їх</w:t>
      </w:r>
    </w:p>
    <w:p w14:paraId="6FB96F58" w14:textId="77777777" w:rsidR="00DE575E" w:rsidRDefault="00DE575E">
      <w:pPr>
        <w:pStyle w:val="BodyText"/>
        <w:spacing w:before="7"/>
        <w:rPr>
          <w:sz w:val="12"/>
        </w:rPr>
      </w:pPr>
    </w:p>
    <w:p w14:paraId="37F17C94" w14:textId="77777777" w:rsidR="00DE575E" w:rsidRDefault="002E7560">
      <w:pPr>
        <w:spacing w:before="92"/>
        <w:ind w:right="411"/>
        <w:jc w:val="right"/>
        <w:rPr>
          <w:rFonts w:ascii="Times New Roman"/>
          <w:sz w:val="20"/>
        </w:rPr>
      </w:pPr>
      <w:r>
        <w:rPr>
          <w:rFonts w:ascii="Times New Roman"/>
          <w:color w:val="231F20"/>
          <w:w w:val="90"/>
          <w:sz w:val="20"/>
        </w:rPr>
        <w:t>219</w:t>
      </w:r>
    </w:p>
    <w:p w14:paraId="46450C1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1EE7FE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5AE0382" w14:textId="4488FA9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F62CBCF" wp14:editId="2B38FE85">
                <wp:extent cx="4140200" cy="6350"/>
                <wp:effectExtent l="0" t="0" r="12700" b="6350"/>
                <wp:docPr id="859"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60" name="Line 85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EA118E" id="Group_x0020_85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Vx4A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631XHgAIAAJgFAAAO&#10;AAAAAAAAAAAAAAAAACwCAABkcnMvZTJvRG9jLnhtbFBLAQItABQABgAIAAAAIQBMp7CQ2QAAAAMB&#10;AAAPAAAAAAAAAAAAAAAAANgEAABkcnMvZG93bnJldi54bWxQSwUGAAAAAAQABADzAAAA3gUAAAAA&#10;">
                <v:line id="Line_x0020_85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T6e8IAAADcAAAADwAAAGRycy9kb3ducmV2LnhtbERPy4rCMBTdC/5DuIIbGdNREOkYZRCE&#10;wYWvzgdcmzttmeSmNtFWv94sBJeH816sOmvEjRpfOVbwOU5AEOdOV1wo+M02H3MQPiBrNI5JwZ08&#10;rJb93gJT7Vo+0u0UChFD2KeooAyhTqX0eUkW/djVxJH7c43FEGFTSN1gG8OtkZMkmUmLFceGEmta&#10;l5T/n65WQXYZBXPYb02b7c9Teb7spo/rTqnhoPv+AhGoC2/xy/2jFcxncX48E4+A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qT6e8IAAADcAAAADwAAAAAAAAAAAAAA&#10;AAChAgAAZHJzL2Rvd25yZXYueG1sUEsFBgAAAAAEAAQA+QAAAJADAAAAAA==&#10;" strokecolor="#231f20" strokeweight=".5pt"/>
                <w10:anchorlock/>
              </v:group>
            </w:pict>
          </mc:Fallback>
        </mc:AlternateContent>
      </w:r>
    </w:p>
    <w:p w14:paraId="4FC9615A" w14:textId="77777777" w:rsidR="00DE575E" w:rsidRDefault="00DE575E">
      <w:pPr>
        <w:pStyle w:val="BodyText"/>
        <w:spacing w:before="7"/>
        <w:rPr>
          <w:rFonts w:ascii="AdonisC"/>
          <w:i/>
          <w:sz w:val="11"/>
        </w:rPr>
      </w:pPr>
    </w:p>
    <w:p w14:paraId="7BA88C57" w14:textId="77777777" w:rsidR="00DE575E" w:rsidRDefault="002E7560">
      <w:pPr>
        <w:pStyle w:val="BodyText"/>
        <w:spacing w:before="101" w:line="252" w:lineRule="auto"/>
        <w:ind w:left="533"/>
      </w:pPr>
      <w:r>
        <w:rPr>
          <w:color w:val="231F20"/>
        </w:rPr>
        <w:t>ухвалення й підписання підлягають оприлюдненню державною мовою в офіційних друкованих вид</w:t>
      </w:r>
      <w:r>
        <w:rPr>
          <w:color w:val="231F20"/>
        </w:rPr>
        <w:t>аннях.</w:t>
      </w:r>
    </w:p>
    <w:p w14:paraId="0C1CCCDC" w14:textId="77777777" w:rsidR="00DE575E" w:rsidRDefault="002E7560">
      <w:pPr>
        <w:spacing w:before="1" w:line="252" w:lineRule="auto"/>
        <w:ind w:left="533" w:right="128" w:firstLine="283"/>
        <w:jc w:val="both"/>
        <w:rPr>
          <w:i/>
          <w:sz w:val="21"/>
        </w:rPr>
      </w:pPr>
      <w:r>
        <w:rPr>
          <w:b/>
          <w:i/>
          <w:color w:val="231F20"/>
          <w:sz w:val="21"/>
        </w:rPr>
        <w:t>Офіційними друкованими виданнями</w:t>
      </w:r>
      <w:r>
        <w:rPr>
          <w:color w:val="231F20"/>
          <w:sz w:val="21"/>
        </w:rPr>
        <w:t xml:space="preserve">, в яких здійснюється офіційне оприлюднення нормативних актів, </w:t>
      </w:r>
      <w:r>
        <w:rPr>
          <w:i/>
          <w:color w:val="231F20"/>
          <w:sz w:val="21"/>
        </w:rPr>
        <w:t xml:space="preserve">є газети </w:t>
      </w:r>
      <w:r>
        <w:rPr>
          <w:i/>
          <w:color w:val="231F20"/>
          <w:spacing w:val="-4"/>
          <w:sz w:val="21"/>
        </w:rPr>
        <w:t xml:space="preserve">«Голос </w:t>
      </w:r>
      <w:r>
        <w:rPr>
          <w:i/>
          <w:color w:val="231F20"/>
          <w:sz w:val="21"/>
        </w:rPr>
        <w:t xml:space="preserve">України», «Урядовий </w:t>
      </w:r>
      <w:r>
        <w:rPr>
          <w:i/>
          <w:color w:val="231F20"/>
          <w:spacing w:val="-4"/>
          <w:sz w:val="21"/>
        </w:rPr>
        <w:t xml:space="preserve">кур’єр», </w:t>
      </w:r>
      <w:r>
        <w:rPr>
          <w:i/>
          <w:color w:val="231F20"/>
          <w:sz w:val="21"/>
        </w:rPr>
        <w:t>збірники «Відомості Верховної ради України»</w:t>
      </w:r>
      <w:r>
        <w:rPr>
          <w:i/>
          <w:color w:val="231F20"/>
          <w:spacing w:val="-7"/>
          <w:sz w:val="21"/>
        </w:rPr>
        <w:t xml:space="preserve"> </w:t>
      </w:r>
      <w:r>
        <w:rPr>
          <w:i/>
          <w:color w:val="231F20"/>
          <w:sz w:val="21"/>
        </w:rPr>
        <w:t>та</w:t>
      </w:r>
      <w:r>
        <w:rPr>
          <w:i/>
          <w:color w:val="231F20"/>
          <w:spacing w:val="-7"/>
          <w:sz w:val="21"/>
        </w:rPr>
        <w:t xml:space="preserve"> </w:t>
      </w:r>
      <w:r>
        <w:rPr>
          <w:i/>
          <w:color w:val="231F20"/>
          <w:sz w:val="21"/>
        </w:rPr>
        <w:t>«Офіційний</w:t>
      </w:r>
      <w:r>
        <w:rPr>
          <w:i/>
          <w:color w:val="231F20"/>
          <w:spacing w:val="-8"/>
          <w:sz w:val="21"/>
        </w:rPr>
        <w:t xml:space="preserve"> </w:t>
      </w:r>
      <w:r>
        <w:rPr>
          <w:i/>
          <w:color w:val="231F20"/>
          <w:sz w:val="21"/>
        </w:rPr>
        <w:t>вісник</w:t>
      </w:r>
      <w:r>
        <w:rPr>
          <w:i/>
          <w:color w:val="231F20"/>
          <w:spacing w:val="-7"/>
          <w:sz w:val="21"/>
        </w:rPr>
        <w:t xml:space="preserve"> </w:t>
      </w:r>
      <w:r>
        <w:rPr>
          <w:i/>
          <w:color w:val="231F20"/>
          <w:sz w:val="21"/>
        </w:rPr>
        <w:t>України»,</w:t>
      </w:r>
      <w:r>
        <w:rPr>
          <w:i/>
          <w:color w:val="231F20"/>
          <w:spacing w:val="-7"/>
          <w:sz w:val="21"/>
        </w:rPr>
        <w:t xml:space="preserve"> </w:t>
      </w:r>
      <w:r>
        <w:rPr>
          <w:i/>
          <w:color w:val="231F20"/>
          <w:sz w:val="21"/>
        </w:rPr>
        <w:t>а</w:t>
      </w:r>
      <w:r>
        <w:rPr>
          <w:i/>
          <w:color w:val="231F20"/>
          <w:spacing w:val="-7"/>
          <w:sz w:val="21"/>
        </w:rPr>
        <w:t xml:space="preserve"> </w:t>
      </w:r>
      <w:r>
        <w:rPr>
          <w:i/>
          <w:color w:val="231F20"/>
          <w:sz w:val="21"/>
        </w:rPr>
        <w:t>також</w:t>
      </w:r>
      <w:r>
        <w:rPr>
          <w:i/>
          <w:color w:val="231F20"/>
          <w:spacing w:val="-7"/>
          <w:sz w:val="21"/>
        </w:rPr>
        <w:t xml:space="preserve"> </w:t>
      </w:r>
      <w:r>
        <w:rPr>
          <w:i/>
          <w:color w:val="231F20"/>
          <w:sz w:val="21"/>
        </w:rPr>
        <w:t>журнал</w:t>
      </w:r>
      <w:r>
        <w:rPr>
          <w:i/>
          <w:color w:val="231F20"/>
          <w:spacing w:val="-7"/>
          <w:sz w:val="21"/>
        </w:rPr>
        <w:t xml:space="preserve"> </w:t>
      </w:r>
      <w:r>
        <w:rPr>
          <w:i/>
          <w:color w:val="231F20"/>
          <w:sz w:val="21"/>
        </w:rPr>
        <w:t>«Офіційний вісник президента</w:t>
      </w:r>
      <w:r>
        <w:rPr>
          <w:i/>
          <w:color w:val="231F20"/>
          <w:spacing w:val="-3"/>
          <w:sz w:val="21"/>
        </w:rPr>
        <w:t xml:space="preserve"> </w:t>
      </w:r>
      <w:r>
        <w:rPr>
          <w:i/>
          <w:color w:val="231F20"/>
          <w:sz w:val="21"/>
        </w:rPr>
        <w:t>України».</w:t>
      </w:r>
    </w:p>
    <w:p w14:paraId="47EBD316" w14:textId="77777777" w:rsidR="00DE575E" w:rsidRDefault="002E7560">
      <w:pPr>
        <w:spacing w:before="2" w:line="252" w:lineRule="auto"/>
        <w:ind w:left="533" w:right="128" w:firstLine="283"/>
        <w:jc w:val="both"/>
        <w:rPr>
          <w:sz w:val="21"/>
        </w:rPr>
      </w:pPr>
      <w:r>
        <w:rPr>
          <w:color w:val="231F20"/>
          <w:sz w:val="21"/>
        </w:rPr>
        <w:t>Офіційне оприлюднення нормативно-правових актів здійсню- ється</w:t>
      </w:r>
      <w:r>
        <w:rPr>
          <w:color w:val="231F20"/>
          <w:spacing w:val="-5"/>
          <w:sz w:val="21"/>
        </w:rPr>
        <w:t xml:space="preserve"> </w:t>
      </w:r>
      <w:r>
        <w:rPr>
          <w:color w:val="231F20"/>
          <w:sz w:val="21"/>
        </w:rPr>
        <w:t>після</w:t>
      </w:r>
      <w:r>
        <w:rPr>
          <w:color w:val="231F20"/>
          <w:spacing w:val="-5"/>
          <w:sz w:val="21"/>
        </w:rPr>
        <w:t xml:space="preserve"> </w:t>
      </w:r>
      <w:r>
        <w:rPr>
          <w:color w:val="231F20"/>
          <w:sz w:val="21"/>
        </w:rPr>
        <w:t>включення</w:t>
      </w:r>
      <w:r>
        <w:rPr>
          <w:color w:val="231F20"/>
          <w:spacing w:val="-5"/>
          <w:sz w:val="21"/>
        </w:rPr>
        <w:t xml:space="preserve"> </w:t>
      </w:r>
      <w:r>
        <w:rPr>
          <w:color w:val="231F20"/>
          <w:sz w:val="21"/>
        </w:rPr>
        <w:t>їх</w:t>
      </w:r>
      <w:r>
        <w:rPr>
          <w:color w:val="231F20"/>
          <w:spacing w:val="-4"/>
          <w:sz w:val="21"/>
        </w:rPr>
        <w:t xml:space="preserve"> </w:t>
      </w:r>
      <w:r>
        <w:rPr>
          <w:color w:val="231F20"/>
          <w:sz w:val="21"/>
        </w:rPr>
        <w:t>до</w:t>
      </w:r>
      <w:r>
        <w:rPr>
          <w:color w:val="231F20"/>
          <w:spacing w:val="-4"/>
          <w:sz w:val="21"/>
        </w:rPr>
        <w:t xml:space="preserve"> </w:t>
      </w:r>
      <w:r>
        <w:rPr>
          <w:i/>
          <w:color w:val="231F20"/>
          <w:sz w:val="21"/>
        </w:rPr>
        <w:t>Єдиного</w:t>
      </w:r>
      <w:r>
        <w:rPr>
          <w:i/>
          <w:color w:val="231F20"/>
          <w:spacing w:val="-5"/>
          <w:sz w:val="21"/>
        </w:rPr>
        <w:t xml:space="preserve"> </w:t>
      </w:r>
      <w:r>
        <w:rPr>
          <w:i/>
          <w:color w:val="231F20"/>
          <w:sz w:val="21"/>
        </w:rPr>
        <w:t>державного</w:t>
      </w:r>
      <w:r>
        <w:rPr>
          <w:i/>
          <w:color w:val="231F20"/>
          <w:spacing w:val="-5"/>
          <w:sz w:val="21"/>
        </w:rPr>
        <w:t xml:space="preserve"> </w:t>
      </w:r>
      <w:r>
        <w:rPr>
          <w:i/>
          <w:color w:val="231F20"/>
          <w:sz w:val="21"/>
        </w:rPr>
        <w:t>реєстру</w:t>
      </w:r>
      <w:r>
        <w:rPr>
          <w:i/>
          <w:color w:val="231F20"/>
          <w:spacing w:val="-5"/>
          <w:sz w:val="21"/>
        </w:rPr>
        <w:t xml:space="preserve"> </w:t>
      </w:r>
      <w:r>
        <w:rPr>
          <w:i/>
          <w:color w:val="231F20"/>
          <w:sz w:val="21"/>
        </w:rPr>
        <w:t xml:space="preserve">норматив- них актів </w:t>
      </w:r>
      <w:r>
        <w:rPr>
          <w:color w:val="231F20"/>
          <w:sz w:val="21"/>
        </w:rPr>
        <w:t>із зазначенням присвоєного їм реєстраційного</w:t>
      </w:r>
      <w:r>
        <w:rPr>
          <w:color w:val="231F20"/>
          <w:spacing w:val="-7"/>
          <w:sz w:val="21"/>
        </w:rPr>
        <w:t xml:space="preserve"> </w:t>
      </w:r>
      <w:r>
        <w:rPr>
          <w:color w:val="231F20"/>
          <w:spacing w:val="-6"/>
          <w:sz w:val="21"/>
        </w:rPr>
        <w:t>коду.</w:t>
      </w:r>
    </w:p>
    <w:p w14:paraId="3D0DD18D" w14:textId="77777777" w:rsidR="00DE575E" w:rsidRDefault="002E7560">
      <w:pPr>
        <w:pStyle w:val="BodyText"/>
        <w:spacing w:before="2" w:line="252" w:lineRule="auto"/>
        <w:ind w:left="533" w:right="126" w:firstLine="283"/>
        <w:jc w:val="both"/>
      </w:pPr>
      <w:r>
        <w:rPr>
          <w:b/>
          <w:i/>
          <w:color w:val="231F20"/>
        </w:rPr>
        <w:t xml:space="preserve">Нормативно-правові акти набирають чинності </w:t>
      </w:r>
      <w:r>
        <w:rPr>
          <w:color w:val="231F20"/>
        </w:rPr>
        <w:t>через десять днів з дня їх офіційного оприлюднення, якщо інше не передба-  чено самими актами, але не раніше дня їх опублікування в офіцій- ному друкованому виданні. Нормативно акти Кабінету Міністрів, які визнача</w:t>
      </w:r>
      <w:r>
        <w:rPr>
          <w:color w:val="231F20"/>
        </w:rPr>
        <w:t>ють права й обов’язки громадян, набирають чинності не раніше дня їх опублікування в офіційних друкованих</w:t>
      </w:r>
      <w:r>
        <w:rPr>
          <w:color w:val="231F20"/>
          <w:spacing w:val="-9"/>
        </w:rPr>
        <w:t xml:space="preserve"> </w:t>
      </w:r>
      <w:r>
        <w:rPr>
          <w:color w:val="231F20"/>
        </w:rPr>
        <w:t>виданнях.</w:t>
      </w:r>
    </w:p>
    <w:p w14:paraId="562CF0E7" w14:textId="77777777" w:rsidR="00DE575E" w:rsidRDefault="00DE575E">
      <w:pPr>
        <w:pStyle w:val="BodyText"/>
        <w:spacing w:before="2"/>
        <w:rPr>
          <w:sz w:val="22"/>
        </w:rPr>
      </w:pPr>
    </w:p>
    <w:p w14:paraId="1522B03A" w14:textId="77777777" w:rsidR="00DE575E" w:rsidRDefault="002E7560">
      <w:pPr>
        <w:pStyle w:val="Heading5"/>
        <w:spacing w:before="1" w:line="252" w:lineRule="auto"/>
        <w:ind w:left="817" w:right="1426"/>
      </w:pPr>
      <w:r>
        <w:rPr>
          <w:color w:val="231F20"/>
        </w:rPr>
        <w:t>7.2.9. Підстави для визнання нормативного акта протиправним</w:t>
      </w:r>
    </w:p>
    <w:p w14:paraId="6ECF6088" w14:textId="77777777" w:rsidR="00DE575E" w:rsidRDefault="00DE575E">
      <w:pPr>
        <w:pStyle w:val="BodyText"/>
        <w:rPr>
          <w:b/>
          <w:sz w:val="22"/>
        </w:rPr>
      </w:pPr>
    </w:p>
    <w:p w14:paraId="24B73BD7" w14:textId="77777777" w:rsidR="00DE575E" w:rsidRDefault="002E7560">
      <w:pPr>
        <w:pStyle w:val="BodyText"/>
        <w:spacing w:before="1"/>
        <w:ind w:left="817"/>
      </w:pPr>
      <w:r>
        <w:rPr>
          <w:color w:val="231F20"/>
        </w:rPr>
        <w:t>Нормативні акти можуть бути визнані неправовими, якщо вони:</w:t>
      </w:r>
    </w:p>
    <w:p w14:paraId="247F7974" w14:textId="77777777" w:rsidR="00DE575E" w:rsidRDefault="002E7560">
      <w:pPr>
        <w:pStyle w:val="BodyText"/>
        <w:spacing w:before="12"/>
        <w:ind w:left="817"/>
      </w:pPr>
      <w:r>
        <w:rPr>
          <w:rFonts w:ascii="Wingdings" w:hAnsi="Wingdings"/>
          <w:color w:val="231F20"/>
        </w:rPr>
        <w:t></w:t>
      </w:r>
      <w:r>
        <w:rPr>
          <w:rFonts w:ascii="Times New Roman" w:hAnsi="Times New Roman"/>
          <w:color w:val="231F20"/>
        </w:rPr>
        <w:t xml:space="preserve">  </w:t>
      </w:r>
      <w:r>
        <w:rPr>
          <w:color w:val="231F20"/>
        </w:rPr>
        <w:t>порушують права, свободи і законні інтереси приватних осіб;</w:t>
      </w:r>
    </w:p>
    <w:p w14:paraId="49632285"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видані некомпетентним органом;</w:t>
      </w:r>
    </w:p>
    <w:p w14:paraId="7B3017D0"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видані не відповідно до визначеної процедури;</w:t>
      </w:r>
    </w:p>
    <w:p w14:paraId="7F0E7C0C"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суперечать законам України та міжнародним актам ЄС.</w:t>
      </w:r>
    </w:p>
    <w:p w14:paraId="69B9D15E" w14:textId="77777777" w:rsidR="00DE575E" w:rsidRDefault="002E7560">
      <w:pPr>
        <w:pStyle w:val="BodyText"/>
        <w:spacing w:before="13" w:line="252" w:lineRule="auto"/>
        <w:ind w:left="533" w:right="128" w:firstLine="283"/>
        <w:jc w:val="both"/>
      </w:pPr>
      <w:r>
        <w:rPr>
          <w:color w:val="231F20"/>
        </w:rPr>
        <w:t>У теорії адміністративного права нормативні акти суб’єктів пу</w:t>
      </w:r>
      <w:r>
        <w:rPr>
          <w:color w:val="231F20"/>
        </w:rPr>
        <w:t>блічної адміністрації, ухвалені з порушенням вимог, уважаються дефектними та поділяються на нікчемні й оспорювані.</w:t>
      </w:r>
    </w:p>
    <w:p w14:paraId="18A1EA7A" w14:textId="77777777" w:rsidR="00DE575E" w:rsidRDefault="002E7560">
      <w:pPr>
        <w:pStyle w:val="BodyText"/>
        <w:spacing w:before="1" w:line="252" w:lineRule="auto"/>
        <w:ind w:left="533" w:right="126" w:firstLine="283"/>
        <w:jc w:val="both"/>
      </w:pPr>
      <w:r>
        <w:rPr>
          <w:i/>
          <w:color w:val="231F20"/>
        </w:rPr>
        <w:t>Нікчемні</w:t>
      </w:r>
      <w:r>
        <w:rPr>
          <w:i/>
          <w:color w:val="231F20"/>
          <w:spacing w:val="-18"/>
        </w:rPr>
        <w:t xml:space="preserve"> </w:t>
      </w:r>
      <w:r>
        <w:rPr>
          <w:i/>
          <w:color w:val="231F20"/>
        </w:rPr>
        <w:t>(недійсні)</w:t>
      </w:r>
      <w:r>
        <w:rPr>
          <w:i/>
          <w:color w:val="231F20"/>
          <w:spacing w:val="-19"/>
        </w:rPr>
        <w:t xml:space="preserve"> </w:t>
      </w:r>
      <w:r>
        <w:rPr>
          <w:i/>
          <w:color w:val="231F20"/>
        </w:rPr>
        <w:t>акти</w:t>
      </w:r>
      <w:r>
        <w:rPr>
          <w:i/>
          <w:color w:val="231F20"/>
          <w:spacing w:val="-18"/>
        </w:rPr>
        <w:t xml:space="preserve"> </w:t>
      </w:r>
      <w:r>
        <w:rPr>
          <w:color w:val="231F20"/>
        </w:rPr>
        <w:t>–</w:t>
      </w:r>
      <w:r>
        <w:rPr>
          <w:color w:val="231F20"/>
          <w:spacing w:val="-18"/>
        </w:rPr>
        <w:t xml:space="preserve"> </w:t>
      </w:r>
      <w:r>
        <w:rPr>
          <w:color w:val="231F20"/>
        </w:rPr>
        <w:t>нормативні</w:t>
      </w:r>
      <w:r>
        <w:rPr>
          <w:color w:val="231F20"/>
          <w:spacing w:val="-18"/>
        </w:rPr>
        <w:t xml:space="preserve"> </w:t>
      </w:r>
      <w:r>
        <w:rPr>
          <w:color w:val="231F20"/>
        </w:rPr>
        <w:t>акти,</w:t>
      </w:r>
      <w:r>
        <w:rPr>
          <w:color w:val="231F20"/>
          <w:spacing w:val="-18"/>
        </w:rPr>
        <w:t xml:space="preserve"> </w:t>
      </w:r>
      <w:r>
        <w:rPr>
          <w:color w:val="231F20"/>
        </w:rPr>
        <w:t>юридична</w:t>
      </w:r>
      <w:r>
        <w:rPr>
          <w:color w:val="231F20"/>
          <w:spacing w:val="-18"/>
        </w:rPr>
        <w:t xml:space="preserve"> </w:t>
      </w:r>
      <w:r>
        <w:rPr>
          <w:color w:val="231F20"/>
        </w:rPr>
        <w:t>недійсність яких очевидна, недоліки яких скасувати не можна, і які не поро- джують юриди</w:t>
      </w:r>
      <w:r>
        <w:rPr>
          <w:color w:val="231F20"/>
        </w:rPr>
        <w:t>чних наслідків. Вони недійсні з моменту ухвалення, за їх невиконання не настає юридична відповідальність (містять указівки щодо порушення законодавства, сприяють вчиненню злочинів</w:t>
      </w:r>
      <w:r>
        <w:rPr>
          <w:color w:val="231F20"/>
          <w:spacing w:val="-2"/>
        </w:rPr>
        <w:t xml:space="preserve"> </w:t>
      </w:r>
      <w:r>
        <w:rPr>
          <w:color w:val="231F20"/>
        </w:rPr>
        <w:t>тощо).</w:t>
      </w:r>
    </w:p>
    <w:p w14:paraId="16AD104E" w14:textId="77777777" w:rsidR="00DE575E" w:rsidRDefault="002E7560">
      <w:pPr>
        <w:pStyle w:val="BodyText"/>
        <w:spacing w:before="3" w:line="252" w:lineRule="auto"/>
        <w:ind w:left="533" w:right="128" w:firstLine="283"/>
        <w:jc w:val="both"/>
      </w:pPr>
      <w:r>
        <w:rPr>
          <w:i/>
          <w:color w:val="231F20"/>
        </w:rPr>
        <w:t xml:space="preserve">Оспорювані (заперечувані) акти </w:t>
      </w:r>
      <w:r>
        <w:rPr>
          <w:color w:val="231F20"/>
        </w:rPr>
        <w:t>– акти з помилками, дефектність яких н</w:t>
      </w:r>
      <w:r>
        <w:rPr>
          <w:color w:val="231F20"/>
        </w:rPr>
        <w:t>е є очевидною, і які можна скасувати. Недоліки не позбавля- ють їх юридичної сили, але вони можуть бути оскаржені зацікавле- ними суб’єктами права. Після оскарження або опротестування акт може бути визнано або правомірним, законним (після усунення</w:t>
      </w:r>
    </w:p>
    <w:p w14:paraId="08574CD7" w14:textId="77777777" w:rsidR="00DE575E" w:rsidRDefault="00DE575E">
      <w:pPr>
        <w:pStyle w:val="BodyText"/>
        <w:spacing w:before="9"/>
        <w:rPr>
          <w:sz w:val="12"/>
        </w:rPr>
      </w:pPr>
    </w:p>
    <w:p w14:paraId="182B990B" w14:textId="77777777" w:rsidR="00DE575E" w:rsidRDefault="002E7560">
      <w:pPr>
        <w:spacing w:before="92"/>
        <w:ind w:left="533"/>
        <w:rPr>
          <w:rFonts w:ascii="Times New Roman"/>
          <w:sz w:val="20"/>
        </w:rPr>
      </w:pPr>
      <w:r>
        <w:rPr>
          <w:rFonts w:ascii="Times New Roman"/>
          <w:color w:val="231F20"/>
          <w:sz w:val="20"/>
        </w:rPr>
        <w:t>220</w:t>
      </w:r>
    </w:p>
    <w:p w14:paraId="5B9AF2AB" w14:textId="77777777" w:rsidR="00DE575E" w:rsidRDefault="00DE575E">
      <w:pPr>
        <w:rPr>
          <w:rFonts w:ascii="Times New Roman"/>
          <w:sz w:val="20"/>
        </w:rPr>
        <w:sectPr w:rsidR="00DE575E">
          <w:pgSz w:w="8510" w:h="12760"/>
          <w:pgMar w:top="660" w:right="720" w:bottom="280" w:left="600" w:header="720" w:footer="720" w:gutter="0"/>
          <w:cols w:space="720"/>
        </w:sectPr>
      </w:pPr>
    </w:p>
    <w:p w14:paraId="625C6263"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0D3748C2" w14:textId="1CB69B2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BFABDF" wp14:editId="17F492F6">
                <wp:extent cx="4140200" cy="6350"/>
                <wp:effectExtent l="0" t="0" r="12700" b="6350"/>
                <wp:docPr id="857"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58" name="Line 8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A5F5B" id="Group_x0020_8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BDNRqgAIAAJgFAAAO&#10;AAAAAAAAAAAAAAAAACwCAABkcnMvZTJvRG9jLnhtbFBLAQItABQABgAIAAAAIQBMp7CQ2QAAAAMB&#10;AAAPAAAAAAAAAAAAAAAAANgEAABkcnMvZG93bnJldi54bWxQSwUGAAAAAAQABADzAAAA3gUAAAAA&#10;">
                <v:line id="Line_x0020_8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48wMMAAADcAAAADwAAAGRycy9kb3ducmV2LnhtbERP3WrCMBS+F/YO4Qy8kTVVUaRrlCEM&#10;hhc67R7g2Jy1ZclJbaKte/rlYuDlx/efbwZrxI063zhWME1SEMSl0w1XCr6K95cVCB+QNRrHpOBO&#10;Hjbrp1GOmXY9H+l2CpWIIewzVFCH0GZS+rImiz5xLXHkvl1nMUTYVVJ32Mdwa+QsTZfSYsOxocaW&#10;tjWVP6erVVBcJsF8HnamLw7nuTxf9vPf616p8fPw9goi0BAe4n/3h1awWsS1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PMDDAAAA3AAAAA8AAAAAAAAAAAAA&#10;AAAAoQIAAGRycy9kb3ducmV2LnhtbFBLBQYAAAAABAAEAPkAAACRAwAAAAA=&#10;" strokecolor="#231f20" strokeweight=".5pt"/>
                <w10:anchorlock/>
              </v:group>
            </w:pict>
          </mc:Fallback>
        </mc:AlternateContent>
      </w:r>
    </w:p>
    <w:p w14:paraId="1CEEF752" w14:textId="77777777" w:rsidR="00DE575E" w:rsidRDefault="00DE575E">
      <w:pPr>
        <w:pStyle w:val="BodyText"/>
        <w:spacing w:before="7"/>
        <w:rPr>
          <w:rFonts w:ascii="AdonisC"/>
          <w:i/>
          <w:sz w:val="19"/>
        </w:rPr>
      </w:pPr>
    </w:p>
    <w:p w14:paraId="1692CB26" w14:textId="77777777" w:rsidR="00DE575E" w:rsidRDefault="002E7560">
      <w:pPr>
        <w:pStyle w:val="BodyText"/>
        <w:spacing w:before="1" w:line="252" w:lineRule="auto"/>
        <w:ind w:left="250"/>
      </w:pPr>
      <w:r>
        <w:rPr>
          <w:color w:val="231F20"/>
        </w:rPr>
        <w:t>недоліків), або нікчемним. За такої ситуації оспорювані акти підля- гають виконанню на відміну від нікчемних актів.</w:t>
      </w:r>
    </w:p>
    <w:p w14:paraId="188839CA" w14:textId="77777777" w:rsidR="00DE575E" w:rsidRDefault="002E7560">
      <w:pPr>
        <w:pStyle w:val="Heading5"/>
        <w:spacing w:before="1" w:line="252" w:lineRule="auto"/>
        <w:ind w:left="250" w:right="411" w:firstLine="283"/>
        <w:jc w:val="both"/>
      </w:pPr>
      <w:r>
        <w:rPr>
          <w:color w:val="231F20"/>
        </w:rPr>
        <w:t>Підставами для скасування рішення про державну реєстра- цію нормативного акта є такі:</w:t>
      </w:r>
    </w:p>
    <w:p w14:paraId="3D1DAAB6"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набрання законн</w:t>
      </w:r>
      <w:r>
        <w:rPr>
          <w:color w:val="231F20"/>
        </w:rPr>
        <w:t>ої сили судовим рішенням адміністративного суду про визнання нормативного акта незаконним чи таким, що не відповідає законам, або нормативного акта вищої юридичної сили повністю чи в окремій його частині;</w:t>
      </w:r>
    </w:p>
    <w:p w14:paraId="362AE807"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одержання повідомлення від спеціально уповноважен</w:t>
      </w:r>
      <w:r>
        <w:rPr>
          <w:color w:val="231F20"/>
        </w:rPr>
        <w:t>ого органу виконавчої влади з питань реалізації державної регулятор- ної політики про виявлення будь-якої обставини у сфері державної регуляторної політики в галузі господарської діяльності;</w:t>
      </w:r>
    </w:p>
    <w:p w14:paraId="27141B34" w14:textId="77777777" w:rsidR="00DE575E" w:rsidRDefault="002E7560">
      <w:pPr>
        <w:spacing w:before="2"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одержання висновку регіонального відділення Секретаріату Урядов</w:t>
      </w:r>
      <w:r>
        <w:rPr>
          <w:color w:val="231F20"/>
          <w:sz w:val="21"/>
        </w:rPr>
        <w:t xml:space="preserve">ого уповноваженого у справах Європейського суду з прав людини Головного управління про невідповідність нормативного акта </w:t>
      </w:r>
      <w:r>
        <w:rPr>
          <w:i/>
          <w:color w:val="231F20"/>
          <w:sz w:val="21"/>
        </w:rPr>
        <w:t xml:space="preserve">Конвенції про захист прав людини і основоположних свобод 1950 р. </w:t>
      </w:r>
      <w:r>
        <w:rPr>
          <w:color w:val="231F20"/>
          <w:sz w:val="21"/>
        </w:rPr>
        <w:t>і протоколам до неї та практиці Європейського суду з прав людини;</w:t>
      </w:r>
    </w:p>
    <w:p w14:paraId="49645861" w14:textId="77777777" w:rsidR="00DE575E" w:rsidRDefault="002E7560">
      <w:pPr>
        <w:pStyle w:val="BodyText"/>
        <w:spacing w:before="3"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ви</w:t>
      </w:r>
      <w:r>
        <w:rPr>
          <w:color w:val="231F20"/>
        </w:rPr>
        <w:t>явлення порушень або недотримання органом, що видав нормативно-правовий акт, вимог про державну реєстрацію норма- тивно-правових актів міністерств та інших органів виконавчої влади.</w:t>
      </w:r>
    </w:p>
    <w:p w14:paraId="299F6DD0" w14:textId="77777777" w:rsidR="00DE575E" w:rsidRDefault="002E7560">
      <w:pPr>
        <w:pStyle w:val="BodyText"/>
        <w:spacing w:before="2" w:line="252" w:lineRule="auto"/>
        <w:ind w:left="250" w:right="411" w:firstLine="283"/>
        <w:jc w:val="both"/>
      </w:pPr>
      <w:r>
        <w:rPr>
          <w:color w:val="231F20"/>
        </w:rPr>
        <w:t>Перегляд зареєстрованого нормативно-правового акта з метою скасування рішення про його державну реєстрацію здійснюється органом державної реєстрації в разі надходження пропозицій від органів виконавчої влади, інших юридичних осіб, громадян і з влас- ної ін</w:t>
      </w:r>
      <w:r>
        <w:rPr>
          <w:color w:val="231F20"/>
        </w:rPr>
        <w:t>іціативи.</w:t>
      </w:r>
    </w:p>
    <w:p w14:paraId="64447F9B" w14:textId="77777777" w:rsidR="00DE575E" w:rsidRDefault="002E7560">
      <w:pPr>
        <w:pStyle w:val="BodyText"/>
        <w:spacing w:before="2" w:line="252" w:lineRule="auto"/>
        <w:ind w:left="250" w:right="410" w:firstLine="283"/>
        <w:jc w:val="both"/>
      </w:pPr>
      <w:r>
        <w:rPr>
          <w:color w:val="231F20"/>
        </w:rPr>
        <w:t>При</w:t>
      </w:r>
      <w:r>
        <w:rPr>
          <w:color w:val="231F20"/>
          <w:spacing w:val="-11"/>
        </w:rPr>
        <w:t xml:space="preserve"> </w:t>
      </w:r>
      <w:r>
        <w:rPr>
          <w:color w:val="231F20"/>
        </w:rPr>
        <w:t>надходженні</w:t>
      </w:r>
      <w:r>
        <w:rPr>
          <w:color w:val="231F20"/>
          <w:spacing w:val="-11"/>
        </w:rPr>
        <w:t xml:space="preserve"> </w:t>
      </w:r>
      <w:r>
        <w:rPr>
          <w:color w:val="231F20"/>
        </w:rPr>
        <w:t>пропозицій</w:t>
      </w:r>
      <w:r>
        <w:rPr>
          <w:color w:val="231F20"/>
          <w:spacing w:val="-11"/>
        </w:rPr>
        <w:t xml:space="preserve"> </w:t>
      </w:r>
      <w:r>
        <w:rPr>
          <w:color w:val="231F20"/>
        </w:rPr>
        <w:t>орган</w:t>
      </w:r>
      <w:r>
        <w:rPr>
          <w:color w:val="231F20"/>
          <w:spacing w:val="-11"/>
        </w:rPr>
        <w:t xml:space="preserve"> </w:t>
      </w:r>
      <w:r>
        <w:rPr>
          <w:color w:val="231F20"/>
        </w:rPr>
        <w:t>державної</w:t>
      </w:r>
      <w:r>
        <w:rPr>
          <w:color w:val="231F20"/>
          <w:spacing w:val="-11"/>
        </w:rPr>
        <w:t xml:space="preserve"> </w:t>
      </w:r>
      <w:r>
        <w:rPr>
          <w:color w:val="231F20"/>
        </w:rPr>
        <w:t>реєстрації</w:t>
      </w:r>
      <w:r>
        <w:rPr>
          <w:color w:val="231F20"/>
          <w:spacing w:val="-11"/>
        </w:rPr>
        <w:t xml:space="preserve"> </w:t>
      </w:r>
      <w:r>
        <w:rPr>
          <w:color w:val="231F20"/>
        </w:rPr>
        <w:t>їх</w:t>
      </w:r>
      <w:r>
        <w:rPr>
          <w:color w:val="231F20"/>
          <w:spacing w:val="-11"/>
        </w:rPr>
        <w:t xml:space="preserve"> </w:t>
      </w:r>
      <w:r>
        <w:rPr>
          <w:color w:val="231F20"/>
        </w:rPr>
        <w:t xml:space="preserve">аналі- зує, здійснює перегляд нормативного акта, щодо якого надійшла пропозиція, щодо відповідності чинному законодавству станом на дату перегляду та ухвалює відповідне рішення залежно від </w:t>
      </w:r>
      <w:r>
        <w:rPr>
          <w:color w:val="231F20"/>
        </w:rPr>
        <w:t>резуль- татів</w:t>
      </w:r>
      <w:r>
        <w:rPr>
          <w:color w:val="231F20"/>
          <w:spacing w:val="-1"/>
        </w:rPr>
        <w:t xml:space="preserve"> </w:t>
      </w:r>
      <w:r>
        <w:rPr>
          <w:color w:val="231F20"/>
          <w:spacing w:val="-4"/>
        </w:rPr>
        <w:t>перегляду.</w:t>
      </w:r>
    </w:p>
    <w:p w14:paraId="32E03C3E" w14:textId="77777777" w:rsidR="00DE575E" w:rsidRDefault="002E7560">
      <w:pPr>
        <w:pStyle w:val="BodyText"/>
        <w:spacing w:before="2" w:line="252" w:lineRule="auto"/>
        <w:ind w:left="250" w:right="408" w:firstLine="283"/>
        <w:jc w:val="both"/>
      </w:pPr>
      <w:r>
        <w:rPr>
          <w:color w:val="231F20"/>
        </w:rPr>
        <w:t xml:space="preserve">Нормативно-правовий </w:t>
      </w:r>
      <w:r>
        <w:rPr>
          <w:color w:val="231F20"/>
          <w:spacing w:val="-5"/>
        </w:rPr>
        <w:t xml:space="preserve">акт, </w:t>
      </w:r>
      <w:r>
        <w:rPr>
          <w:color w:val="231F20"/>
        </w:rPr>
        <w:t xml:space="preserve">виключений з державного </w:t>
      </w:r>
      <w:r>
        <w:rPr>
          <w:color w:val="231F20"/>
          <w:spacing w:val="-4"/>
        </w:rPr>
        <w:t xml:space="preserve">реєстру, </w:t>
      </w:r>
      <w:r>
        <w:rPr>
          <w:color w:val="231F20"/>
        </w:rPr>
        <w:t xml:space="preserve">підлягає скасуванню органом, що його ухвалив, упродовж 5 днів     із дня отримання повідомлення про виключення з державного </w:t>
      </w:r>
      <w:r>
        <w:rPr>
          <w:color w:val="231F20"/>
          <w:spacing w:val="-4"/>
        </w:rPr>
        <w:t>реєстру.</w:t>
      </w:r>
      <w:r>
        <w:rPr>
          <w:color w:val="231F20"/>
          <w:spacing w:val="-9"/>
        </w:rPr>
        <w:t xml:space="preserve"> </w:t>
      </w:r>
      <w:r>
        <w:rPr>
          <w:color w:val="231F20"/>
        </w:rPr>
        <w:t>Копія</w:t>
      </w:r>
      <w:r>
        <w:rPr>
          <w:color w:val="231F20"/>
          <w:spacing w:val="-9"/>
        </w:rPr>
        <w:t xml:space="preserve"> </w:t>
      </w:r>
      <w:r>
        <w:rPr>
          <w:color w:val="231F20"/>
        </w:rPr>
        <w:t>відповідного</w:t>
      </w:r>
      <w:r>
        <w:rPr>
          <w:color w:val="231F20"/>
          <w:spacing w:val="-9"/>
        </w:rPr>
        <w:t xml:space="preserve"> </w:t>
      </w:r>
      <w:r>
        <w:rPr>
          <w:color w:val="231F20"/>
        </w:rPr>
        <w:t>розпорядчого</w:t>
      </w:r>
      <w:r>
        <w:rPr>
          <w:color w:val="231F20"/>
          <w:spacing w:val="-9"/>
        </w:rPr>
        <w:t xml:space="preserve"> </w:t>
      </w:r>
      <w:r>
        <w:rPr>
          <w:color w:val="231F20"/>
        </w:rPr>
        <w:t>документа</w:t>
      </w:r>
      <w:r>
        <w:rPr>
          <w:color w:val="231F20"/>
          <w:spacing w:val="-9"/>
        </w:rPr>
        <w:t xml:space="preserve"> </w:t>
      </w:r>
      <w:r>
        <w:rPr>
          <w:color w:val="231F20"/>
        </w:rPr>
        <w:t>направляється до</w:t>
      </w:r>
      <w:r>
        <w:rPr>
          <w:color w:val="231F20"/>
          <w:spacing w:val="-10"/>
        </w:rPr>
        <w:t xml:space="preserve"> </w:t>
      </w:r>
      <w:r>
        <w:rPr>
          <w:color w:val="231F20"/>
        </w:rPr>
        <w:t>Головного</w:t>
      </w:r>
      <w:r>
        <w:rPr>
          <w:color w:val="231F20"/>
          <w:spacing w:val="-10"/>
        </w:rPr>
        <w:t xml:space="preserve"> </w:t>
      </w:r>
      <w:r>
        <w:rPr>
          <w:color w:val="231F20"/>
        </w:rPr>
        <w:t>управління</w:t>
      </w:r>
      <w:r>
        <w:rPr>
          <w:color w:val="231F20"/>
          <w:spacing w:val="-10"/>
        </w:rPr>
        <w:t xml:space="preserve"> </w:t>
      </w:r>
      <w:r>
        <w:rPr>
          <w:color w:val="231F20"/>
        </w:rPr>
        <w:t>впродовж</w:t>
      </w:r>
      <w:r>
        <w:rPr>
          <w:color w:val="231F20"/>
          <w:spacing w:val="-10"/>
        </w:rPr>
        <w:t xml:space="preserve"> </w:t>
      </w:r>
      <w:r>
        <w:rPr>
          <w:color w:val="231F20"/>
        </w:rPr>
        <w:t>2</w:t>
      </w:r>
      <w:r>
        <w:rPr>
          <w:color w:val="231F20"/>
          <w:spacing w:val="-10"/>
        </w:rPr>
        <w:t xml:space="preserve"> </w:t>
      </w:r>
      <w:r>
        <w:rPr>
          <w:color w:val="231F20"/>
        </w:rPr>
        <w:t>днів</w:t>
      </w:r>
      <w:r>
        <w:rPr>
          <w:color w:val="231F20"/>
          <w:spacing w:val="-10"/>
        </w:rPr>
        <w:t xml:space="preserve"> </w:t>
      </w:r>
      <w:r>
        <w:rPr>
          <w:color w:val="231F20"/>
        </w:rPr>
        <w:t>від</w:t>
      </w:r>
      <w:r>
        <w:rPr>
          <w:color w:val="231F20"/>
          <w:spacing w:val="-10"/>
        </w:rPr>
        <w:t xml:space="preserve"> </w:t>
      </w:r>
      <w:r>
        <w:rPr>
          <w:color w:val="231F20"/>
        </w:rPr>
        <w:t>дня</w:t>
      </w:r>
      <w:r>
        <w:rPr>
          <w:color w:val="231F20"/>
          <w:spacing w:val="-10"/>
        </w:rPr>
        <w:t xml:space="preserve"> </w:t>
      </w:r>
      <w:r>
        <w:rPr>
          <w:color w:val="231F20"/>
        </w:rPr>
        <w:t>скасування</w:t>
      </w:r>
      <w:r>
        <w:rPr>
          <w:color w:val="231F20"/>
          <w:spacing w:val="-10"/>
        </w:rPr>
        <w:t xml:space="preserve"> </w:t>
      </w:r>
      <w:r>
        <w:rPr>
          <w:color w:val="231F20"/>
        </w:rPr>
        <w:t>норма- тивно-правового</w:t>
      </w:r>
      <w:r>
        <w:rPr>
          <w:color w:val="231F20"/>
          <w:spacing w:val="-2"/>
        </w:rPr>
        <w:t xml:space="preserve"> </w:t>
      </w:r>
      <w:r>
        <w:rPr>
          <w:color w:val="231F20"/>
        </w:rPr>
        <w:t>акта.</w:t>
      </w:r>
    </w:p>
    <w:p w14:paraId="5F73F5AE" w14:textId="77777777" w:rsidR="00DE575E" w:rsidRDefault="00DE575E">
      <w:pPr>
        <w:pStyle w:val="BodyText"/>
        <w:rPr>
          <w:sz w:val="20"/>
        </w:rPr>
      </w:pPr>
    </w:p>
    <w:p w14:paraId="7EA50845" w14:textId="77777777" w:rsidR="00DE575E" w:rsidRDefault="00DE575E">
      <w:pPr>
        <w:pStyle w:val="BodyText"/>
        <w:spacing w:before="7"/>
        <w:rPr>
          <w:sz w:val="22"/>
        </w:rPr>
      </w:pPr>
    </w:p>
    <w:p w14:paraId="1C3B4D22" w14:textId="77777777" w:rsidR="00DE575E" w:rsidRDefault="002E7560">
      <w:pPr>
        <w:ind w:right="411"/>
        <w:jc w:val="right"/>
        <w:rPr>
          <w:rFonts w:ascii="Times New Roman"/>
          <w:sz w:val="20"/>
        </w:rPr>
      </w:pPr>
      <w:r>
        <w:rPr>
          <w:rFonts w:ascii="Times New Roman"/>
          <w:color w:val="231F20"/>
          <w:w w:val="90"/>
          <w:sz w:val="20"/>
        </w:rPr>
        <w:t>221</w:t>
      </w:r>
    </w:p>
    <w:p w14:paraId="2A0AD3D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C6CB0D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0C85575" w14:textId="2C881EA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478316D" wp14:editId="4E083939">
                <wp:extent cx="4140200" cy="6350"/>
                <wp:effectExtent l="0" t="0" r="12700" b="6350"/>
                <wp:docPr id="855"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56" name="Line 8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6B57A" id="Group_x0020_8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KpOyR/AgAAmAUAAA4A&#10;AAAAAAAAAAAAAAAALAIAAGRycy9lMm9Eb2MueG1sUEsBAi0AFAAGAAgAAAAhAEynsJDZAAAAAwEA&#10;AA8AAAAAAAAAAAAAAAAA1wQAAGRycy9kb3ducmV2LnhtbFBLBQYAAAAABAAEAPMAAADdBQAAAAA=&#10;">
                <v:line id="Line_x0020_8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0NKcYAAADcAAAADwAAAGRycy9kb3ducmV2LnhtbESP3WrCQBSE7wXfYTmF3kjdtKJIdBUp&#10;FEov/Esf4Jg9JqG7Z2N2NalP7wqCl8PMfMPMl5014kKNrxwreB8mIIhzpysuFPxmX29TED4gazSO&#10;ScE/eVgu+r05ptq1vKPLPhQiQtinqKAMoU6l9HlJFv3Q1cTRO7rGYoiyKaRusI1wa+RHkkykxYrj&#10;Qok1fZaU/+3PVkF2GgSz3fyYNtscRvJwWo+u57VSry/dagYiUBee4Uf7WyuYji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tDSnGAAAA3AAAAA8AAAAAAAAA&#10;AAAAAAAAoQIAAGRycy9kb3ducmV2LnhtbFBLBQYAAAAABAAEAPkAAACUAwAAAAA=&#10;" strokecolor="#231f20" strokeweight=".5pt"/>
                <w10:anchorlock/>
              </v:group>
            </w:pict>
          </mc:Fallback>
        </mc:AlternateContent>
      </w:r>
    </w:p>
    <w:p w14:paraId="50835C5E" w14:textId="77777777" w:rsidR="00DE575E" w:rsidRDefault="00DE575E">
      <w:pPr>
        <w:pStyle w:val="BodyText"/>
        <w:spacing w:before="7"/>
        <w:rPr>
          <w:rFonts w:ascii="AdonisC"/>
          <w:i/>
          <w:sz w:val="11"/>
        </w:rPr>
      </w:pPr>
    </w:p>
    <w:p w14:paraId="5A7B6D85" w14:textId="77777777" w:rsidR="00DE575E" w:rsidRDefault="002E7560">
      <w:pPr>
        <w:pStyle w:val="Heading5"/>
        <w:spacing w:before="101" w:line="252" w:lineRule="auto"/>
        <w:ind w:left="817" w:right="751"/>
      </w:pPr>
      <w:r>
        <w:rPr>
          <w:color w:val="231F20"/>
        </w:rPr>
        <w:t>7.2.10. Зв’язок протиправності з фактом недотримання формальних вимог під час підготовки та видання акта</w:t>
      </w:r>
    </w:p>
    <w:p w14:paraId="4C256C52" w14:textId="77777777" w:rsidR="00DE575E" w:rsidRDefault="00DE575E">
      <w:pPr>
        <w:pStyle w:val="BodyText"/>
        <w:spacing w:before="1"/>
        <w:rPr>
          <w:b/>
          <w:sz w:val="22"/>
        </w:rPr>
      </w:pPr>
    </w:p>
    <w:p w14:paraId="52B959EF" w14:textId="77777777" w:rsidR="00DE575E" w:rsidRDefault="002E7560">
      <w:pPr>
        <w:pStyle w:val="BodyText"/>
        <w:spacing w:line="252" w:lineRule="auto"/>
        <w:ind w:left="533" w:right="127" w:firstLine="283"/>
        <w:jc w:val="both"/>
      </w:pPr>
      <w:r>
        <w:rPr>
          <w:color w:val="231F20"/>
        </w:rPr>
        <w:t xml:space="preserve">Недотримання вимог правових норм, які </w:t>
      </w:r>
      <w:r>
        <w:rPr>
          <w:color w:val="231F20"/>
          <w:spacing w:val="-2"/>
        </w:rPr>
        <w:t xml:space="preserve">регулюють </w:t>
      </w:r>
      <w:r>
        <w:rPr>
          <w:color w:val="231F20"/>
        </w:rPr>
        <w:t>порядок ухвалення акта, зокрема щодо його форми, строків ухвалення тощо, може бути підставою для  визнання  такого  акта  недійсним  лише в тому разі, коли відповідне порушення спричинило ухвалення неправильного</w:t>
      </w:r>
      <w:r>
        <w:rPr>
          <w:color w:val="231F20"/>
          <w:spacing w:val="-1"/>
        </w:rPr>
        <w:t xml:space="preserve"> </w:t>
      </w:r>
      <w:r>
        <w:rPr>
          <w:color w:val="231F20"/>
        </w:rPr>
        <w:t>акта.</w:t>
      </w:r>
    </w:p>
    <w:p w14:paraId="2BBBFEFE" w14:textId="77777777" w:rsidR="00DE575E" w:rsidRDefault="002E7560">
      <w:pPr>
        <w:pStyle w:val="BodyText"/>
        <w:spacing w:before="2" w:line="252" w:lineRule="auto"/>
        <w:ind w:left="533" w:right="127" w:firstLine="283"/>
        <w:jc w:val="both"/>
      </w:pPr>
      <w:r>
        <w:rPr>
          <w:color w:val="231F20"/>
        </w:rPr>
        <w:t>Якщо ж акт загалом узгоджується з вимо</w:t>
      </w:r>
      <w:r>
        <w:rPr>
          <w:color w:val="231F20"/>
        </w:rPr>
        <w:t>гами чинного законо- давства й ухвалений  відповідно до  обставин,  що  склалися,  тобто є</w:t>
      </w:r>
      <w:r>
        <w:rPr>
          <w:color w:val="231F20"/>
          <w:spacing w:val="-5"/>
        </w:rPr>
        <w:t xml:space="preserve"> </w:t>
      </w:r>
      <w:r>
        <w:rPr>
          <w:color w:val="231F20"/>
        </w:rPr>
        <w:t>правильним</w:t>
      </w:r>
      <w:r>
        <w:rPr>
          <w:color w:val="231F20"/>
          <w:spacing w:val="-5"/>
        </w:rPr>
        <w:t xml:space="preserve"> </w:t>
      </w:r>
      <w:r>
        <w:rPr>
          <w:color w:val="231F20"/>
        </w:rPr>
        <w:t>по</w:t>
      </w:r>
      <w:r>
        <w:rPr>
          <w:color w:val="231F20"/>
          <w:spacing w:val="-5"/>
        </w:rPr>
        <w:t xml:space="preserve"> </w:t>
      </w:r>
      <w:r>
        <w:rPr>
          <w:color w:val="231F20"/>
        </w:rPr>
        <w:t>суті,</w:t>
      </w:r>
      <w:r>
        <w:rPr>
          <w:color w:val="231F20"/>
          <w:spacing w:val="-5"/>
        </w:rPr>
        <w:t xml:space="preserve"> </w:t>
      </w:r>
      <w:r>
        <w:rPr>
          <w:color w:val="231F20"/>
        </w:rPr>
        <w:t>то</w:t>
      </w:r>
      <w:r>
        <w:rPr>
          <w:color w:val="231F20"/>
          <w:spacing w:val="-5"/>
        </w:rPr>
        <w:t xml:space="preserve"> </w:t>
      </w:r>
      <w:r>
        <w:rPr>
          <w:color w:val="231F20"/>
        </w:rPr>
        <w:t>окремі</w:t>
      </w:r>
      <w:r>
        <w:rPr>
          <w:color w:val="231F20"/>
          <w:spacing w:val="-5"/>
        </w:rPr>
        <w:t xml:space="preserve"> </w:t>
      </w:r>
      <w:r>
        <w:rPr>
          <w:color w:val="231F20"/>
        </w:rPr>
        <w:t>порушення</w:t>
      </w:r>
      <w:r>
        <w:rPr>
          <w:color w:val="231F20"/>
          <w:spacing w:val="-5"/>
        </w:rPr>
        <w:t xml:space="preserve"> </w:t>
      </w:r>
      <w:r>
        <w:rPr>
          <w:color w:val="231F20"/>
        </w:rPr>
        <w:t>встановленої</w:t>
      </w:r>
      <w:r>
        <w:rPr>
          <w:color w:val="231F20"/>
          <w:spacing w:val="-5"/>
        </w:rPr>
        <w:t xml:space="preserve"> </w:t>
      </w:r>
      <w:r>
        <w:rPr>
          <w:color w:val="231F20"/>
        </w:rPr>
        <w:t>процедури ухвалення</w:t>
      </w:r>
      <w:r>
        <w:rPr>
          <w:color w:val="231F20"/>
          <w:spacing w:val="-7"/>
        </w:rPr>
        <w:t xml:space="preserve"> </w:t>
      </w:r>
      <w:r>
        <w:rPr>
          <w:color w:val="231F20"/>
        </w:rPr>
        <w:t>такого</w:t>
      </w:r>
      <w:r>
        <w:rPr>
          <w:color w:val="231F20"/>
          <w:spacing w:val="-7"/>
        </w:rPr>
        <w:t xml:space="preserve"> </w:t>
      </w:r>
      <w:r>
        <w:rPr>
          <w:color w:val="231F20"/>
        </w:rPr>
        <w:t>акта</w:t>
      </w:r>
      <w:r>
        <w:rPr>
          <w:color w:val="231F20"/>
          <w:spacing w:val="-7"/>
        </w:rPr>
        <w:t xml:space="preserve"> </w:t>
      </w:r>
      <w:r>
        <w:rPr>
          <w:color w:val="231F20"/>
        </w:rPr>
        <w:t>не</w:t>
      </w:r>
      <w:r>
        <w:rPr>
          <w:color w:val="231F20"/>
          <w:spacing w:val="-7"/>
        </w:rPr>
        <w:t xml:space="preserve"> </w:t>
      </w:r>
      <w:r>
        <w:rPr>
          <w:color w:val="231F20"/>
        </w:rPr>
        <w:t>можуть</w:t>
      </w:r>
      <w:r>
        <w:rPr>
          <w:color w:val="231F20"/>
          <w:spacing w:val="-7"/>
        </w:rPr>
        <w:t xml:space="preserve"> </w:t>
      </w:r>
      <w:r>
        <w:rPr>
          <w:color w:val="231F20"/>
        </w:rPr>
        <w:t>бути</w:t>
      </w:r>
      <w:r>
        <w:rPr>
          <w:color w:val="231F20"/>
          <w:spacing w:val="-7"/>
        </w:rPr>
        <w:t xml:space="preserve"> </w:t>
      </w:r>
      <w:r>
        <w:rPr>
          <w:color w:val="231F20"/>
        </w:rPr>
        <w:t>підставою</w:t>
      </w:r>
      <w:r>
        <w:rPr>
          <w:color w:val="231F20"/>
          <w:spacing w:val="-7"/>
        </w:rPr>
        <w:t xml:space="preserve"> </w:t>
      </w:r>
      <w:r>
        <w:rPr>
          <w:color w:val="231F20"/>
        </w:rPr>
        <w:t>для</w:t>
      </w:r>
      <w:r>
        <w:rPr>
          <w:color w:val="231F20"/>
          <w:spacing w:val="-7"/>
        </w:rPr>
        <w:t xml:space="preserve"> </w:t>
      </w:r>
      <w:r>
        <w:rPr>
          <w:color w:val="231F20"/>
        </w:rPr>
        <w:t>визнання</w:t>
      </w:r>
      <w:r>
        <w:rPr>
          <w:color w:val="231F20"/>
          <w:spacing w:val="-7"/>
        </w:rPr>
        <w:t xml:space="preserve"> </w:t>
      </w:r>
      <w:r>
        <w:rPr>
          <w:color w:val="231F20"/>
        </w:rPr>
        <w:t>його недійсним.</w:t>
      </w:r>
    </w:p>
    <w:p w14:paraId="66320F97" w14:textId="77777777" w:rsidR="00DE575E" w:rsidRDefault="00DE575E">
      <w:pPr>
        <w:pStyle w:val="BodyText"/>
        <w:rPr>
          <w:sz w:val="24"/>
        </w:rPr>
      </w:pPr>
    </w:p>
    <w:p w14:paraId="298D1256" w14:textId="77777777" w:rsidR="00DE575E" w:rsidRDefault="00DE575E">
      <w:pPr>
        <w:pStyle w:val="BodyText"/>
        <w:spacing w:before="6"/>
        <w:rPr>
          <w:sz w:val="19"/>
        </w:rPr>
      </w:pPr>
    </w:p>
    <w:p w14:paraId="24053819" w14:textId="77777777" w:rsidR="00DE575E" w:rsidRDefault="002E7560">
      <w:pPr>
        <w:pStyle w:val="Heading4"/>
        <w:ind w:left="1473" w:right="1029" w:hanging="24"/>
        <w:rPr>
          <w:sz w:val="13"/>
        </w:rPr>
      </w:pPr>
      <w:r>
        <w:rPr>
          <w:color w:val="231F20"/>
        </w:rPr>
        <w:t>7.3. Індивідуальний (адм</w:t>
      </w:r>
      <w:r>
        <w:rPr>
          <w:color w:val="231F20"/>
        </w:rPr>
        <w:t>іністративний) акт як інструмент публічного адміністрування</w:t>
      </w:r>
      <w:r>
        <w:rPr>
          <w:color w:val="231F20"/>
          <w:position w:val="7"/>
          <w:sz w:val="13"/>
        </w:rPr>
        <w:t>1</w:t>
      </w:r>
    </w:p>
    <w:p w14:paraId="7745DC2A" w14:textId="77777777" w:rsidR="00DE575E" w:rsidRDefault="00DE575E">
      <w:pPr>
        <w:pStyle w:val="BodyText"/>
        <w:rPr>
          <w:b/>
          <w:sz w:val="26"/>
        </w:rPr>
      </w:pPr>
    </w:p>
    <w:p w14:paraId="4E1C233B" w14:textId="77777777" w:rsidR="00DE575E" w:rsidRDefault="002E7560">
      <w:pPr>
        <w:pStyle w:val="BodyText"/>
        <w:spacing w:before="224" w:line="252" w:lineRule="auto"/>
        <w:ind w:left="533" w:right="128" w:firstLine="283"/>
        <w:jc w:val="both"/>
      </w:pPr>
      <w:r>
        <w:rPr>
          <w:color w:val="231F20"/>
        </w:rPr>
        <w:t>Індивідуальний акт</w:t>
      </w:r>
      <w:r>
        <w:rPr>
          <w:color w:val="231F20"/>
          <w:position w:val="7"/>
          <w:sz w:val="12"/>
        </w:rPr>
        <w:t xml:space="preserve">2 </w:t>
      </w:r>
      <w:r>
        <w:rPr>
          <w:color w:val="231F20"/>
        </w:rPr>
        <w:t>є основним інструментом діяльності публіч- ної адміністрації, коли вона спрямована на конкретних суб’єктів адміністративного права, оскільки саме на підставі адміністратив- них актів у переважній більшості випадків виникають, змінюються та припиняються адм</w:t>
      </w:r>
      <w:r>
        <w:rPr>
          <w:color w:val="231F20"/>
        </w:rPr>
        <w:t>іністративно-правові відносини.</w:t>
      </w:r>
    </w:p>
    <w:p w14:paraId="28805E89" w14:textId="77777777" w:rsidR="00DE575E" w:rsidRDefault="00DE575E">
      <w:pPr>
        <w:pStyle w:val="BodyText"/>
        <w:spacing w:before="3"/>
        <w:rPr>
          <w:sz w:val="22"/>
        </w:rPr>
      </w:pPr>
    </w:p>
    <w:p w14:paraId="5FB767EA" w14:textId="77777777" w:rsidR="00DE575E" w:rsidRDefault="002E7560">
      <w:pPr>
        <w:pStyle w:val="Heading5"/>
        <w:spacing w:line="252" w:lineRule="auto"/>
        <w:ind w:left="2433" w:right="1244" w:hanging="496"/>
      </w:pPr>
      <w:r>
        <w:rPr>
          <w:color w:val="231F20"/>
        </w:rPr>
        <w:t>Відмежування індивідуального акта від нормативно-правового</w:t>
      </w:r>
    </w:p>
    <w:p w14:paraId="1A1A540D" w14:textId="77777777" w:rsidR="00DE575E" w:rsidRDefault="002E7560">
      <w:pPr>
        <w:pStyle w:val="BodyText"/>
        <w:spacing w:before="1" w:line="252" w:lineRule="auto"/>
        <w:ind w:left="533" w:right="127" w:firstLine="283"/>
        <w:jc w:val="both"/>
      </w:pPr>
      <w:r>
        <w:rPr>
          <w:color w:val="231F20"/>
        </w:rPr>
        <w:t xml:space="preserve">Видання індивідуальних актів є близьким до нормативного, але не тотожне </w:t>
      </w:r>
      <w:r>
        <w:rPr>
          <w:color w:val="231F20"/>
          <w:spacing w:val="-4"/>
        </w:rPr>
        <w:t xml:space="preserve">йому. </w:t>
      </w:r>
      <w:r>
        <w:rPr>
          <w:color w:val="231F20"/>
        </w:rPr>
        <w:t xml:space="preserve">Відмінність між ними полягає в </w:t>
      </w:r>
      <w:r>
        <w:rPr>
          <w:color w:val="231F20"/>
          <w:spacing w:val="-4"/>
        </w:rPr>
        <w:t xml:space="preserve">тому, </w:t>
      </w:r>
      <w:r>
        <w:rPr>
          <w:color w:val="231F20"/>
        </w:rPr>
        <w:t xml:space="preserve">що адмініст- ративні акти встановлюють, змінюють </w:t>
      </w:r>
      <w:r>
        <w:rPr>
          <w:color w:val="231F20"/>
        </w:rPr>
        <w:t xml:space="preserve">або припиняють конкретні адміністративні правовідносини. Вони відрізняються від норма- тивних тим, що звернені до конкретних </w:t>
      </w:r>
      <w:r>
        <w:rPr>
          <w:color w:val="231F20"/>
          <w:spacing w:val="-3"/>
        </w:rPr>
        <w:t xml:space="preserve">суб’єктів </w:t>
      </w:r>
      <w:r>
        <w:rPr>
          <w:color w:val="231F20"/>
        </w:rPr>
        <w:t>адміністративно- правових</w:t>
      </w:r>
      <w:r>
        <w:rPr>
          <w:color w:val="231F20"/>
          <w:spacing w:val="-13"/>
        </w:rPr>
        <w:t xml:space="preserve"> </w:t>
      </w:r>
      <w:r>
        <w:rPr>
          <w:color w:val="231F20"/>
        </w:rPr>
        <w:t>відносин</w:t>
      </w:r>
      <w:r>
        <w:rPr>
          <w:color w:val="231F20"/>
          <w:spacing w:val="-13"/>
        </w:rPr>
        <w:t xml:space="preserve"> </w:t>
      </w:r>
      <w:r>
        <w:rPr>
          <w:color w:val="231F20"/>
        </w:rPr>
        <w:t>і</w:t>
      </w:r>
      <w:r>
        <w:rPr>
          <w:color w:val="231F20"/>
          <w:spacing w:val="-13"/>
        </w:rPr>
        <w:t xml:space="preserve"> </w:t>
      </w:r>
      <w:r>
        <w:rPr>
          <w:color w:val="231F20"/>
        </w:rPr>
        <w:t>їх</w:t>
      </w:r>
      <w:r>
        <w:rPr>
          <w:color w:val="231F20"/>
          <w:spacing w:val="-13"/>
        </w:rPr>
        <w:t xml:space="preserve"> </w:t>
      </w:r>
      <w:r>
        <w:rPr>
          <w:color w:val="231F20"/>
        </w:rPr>
        <w:t>дія</w:t>
      </w:r>
      <w:r>
        <w:rPr>
          <w:color w:val="231F20"/>
          <w:spacing w:val="-13"/>
        </w:rPr>
        <w:t xml:space="preserve"> </w:t>
      </w:r>
      <w:r>
        <w:rPr>
          <w:color w:val="231F20"/>
        </w:rPr>
        <w:t>припиняється</w:t>
      </w:r>
      <w:r>
        <w:rPr>
          <w:color w:val="231F20"/>
          <w:spacing w:val="-13"/>
        </w:rPr>
        <w:t xml:space="preserve"> </w:t>
      </w:r>
      <w:r>
        <w:rPr>
          <w:color w:val="231F20"/>
        </w:rPr>
        <w:t>після</w:t>
      </w:r>
      <w:r>
        <w:rPr>
          <w:color w:val="231F20"/>
          <w:spacing w:val="-13"/>
        </w:rPr>
        <w:t xml:space="preserve"> </w:t>
      </w:r>
      <w:r>
        <w:rPr>
          <w:color w:val="231F20"/>
        </w:rPr>
        <w:t>здійснення</w:t>
      </w:r>
      <w:r>
        <w:rPr>
          <w:color w:val="231F20"/>
          <w:spacing w:val="-13"/>
        </w:rPr>
        <w:t xml:space="preserve"> </w:t>
      </w:r>
      <w:r>
        <w:rPr>
          <w:color w:val="231F20"/>
        </w:rPr>
        <w:t>встановле- них</w:t>
      </w:r>
      <w:r>
        <w:rPr>
          <w:color w:val="231F20"/>
          <w:spacing w:val="-15"/>
        </w:rPr>
        <w:t xml:space="preserve"> </w:t>
      </w:r>
      <w:r>
        <w:rPr>
          <w:color w:val="231F20"/>
        </w:rPr>
        <w:t>у</w:t>
      </w:r>
      <w:r>
        <w:rPr>
          <w:color w:val="231F20"/>
          <w:spacing w:val="-15"/>
        </w:rPr>
        <w:t xml:space="preserve"> </w:t>
      </w:r>
      <w:r>
        <w:rPr>
          <w:color w:val="231F20"/>
        </w:rPr>
        <w:t>них</w:t>
      </w:r>
      <w:r>
        <w:rPr>
          <w:color w:val="231F20"/>
          <w:spacing w:val="-15"/>
        </w:rPr>
        <w:t xml:space="preserve"> </w:t>
      </w:r>
      <w:r>
        <w:rPr>
          <w:color w:val="231F20"/>
        </w:rPr>
        <w:t>прав</w:t>
      </w:r>
      <w:r>
        <w:rPr>
          <w:color w:val="231F20"/>
          <w:spacing w:val="-15"/>
        </w:rPr>
        <w:t xml:space="preserve"> </w:t>
      </w:r>
      <w:r>
        <w:rPr>
          <w:color w:val="231F20"/>
        </w:rPr>
        <w:t>і</w:t>
      </w:r>
      <w:r>
        <w:rPr>
          <w:color w:val="231F20"/>
          <w:spacing w:val="-15"/>
        </w:rPr>
        <w:t xml:space="preserve"> </w:t>
      </w:r>
      <w:r>
        <w:rPr>
          <w:color w:val="231F20"/>
        </w:rPr>
        <w:t>обов’язків,</w:t>
      </w:r>
      <w:r>
        <w:rPr>
          <w:color w:val="231F20"/>
          <w:spacing w:val="-15"/>
        </w:rPr>
        <w:t xml:space="preserve"> </w:t>
      </w:r>
      <w:r>
        <w:rPr>
          <w:color w:val="231F20"/>
        </w:rPr>
        <w:t>тобто</w:t>
      </w:r>
      <w:r>
        <w:rPr>
          <w:color w:val="231F20"/>
          <w:spacing w:val="-15"/>
        </w:rPr>
        <w:t xml:space="preserve"> </w:t>
      </w:r>
      <w:r>
        <w:rPr>
          <w:color w:val="231F20"/>
        </w:rPr>
        <w:t>п</w:t>
      </w:r>
      <w:r>
        <w:rPr>
          <w:color w:val="231F20"/>
        </w:rPr>
        <w:t>ісля</w:t>
      </w:r>
      <w:r>
        <w:rPr>
          <w:color w:val="231F20"/>
          <w:spacing w:val="-15"/>
        </w:rPr>
        <w:t xml:space="preserve"> </w:t>
      </w:r>
      <w:r>
        <w:rPr>
          <w:color w:val="231F20"/>
        </w:rPr>
        <w:t>одноразового</w:t>
      </w:r>
      <w:r>
        <w:rPr>
          <w:color w:val="231F20"/>
          <w:spacing w:val="-15"/>
        </w:rPr>
        <w:t xml:space="preserve"> </w:t>
      </w:r>
      <w:r>
        <w:rPr>
          <w:color w:val="231F20"/>
        </w:rPr>
        <w:t>їх</w:t>
      </w:r>
      <w:r>
        <w:rPr>
          <w:color w:val="231F20"/>
          <w:spacing w:val="-15"/>
        </w:rPr>
        <w:t xml:space="preserve"> </w:t>
      </w:r>
      <w:r>
        <w:rPr>
          <w:color w:val="231F20"/>
        </w:rPr>
        <w:t>застосування.</w:t>
      </w:r>
    </w:p>
    <w:p w14:paraId="7F173A9B" w14:textId="77777777" w:rsidR="00DE575E" w:rsidRDefault="00DE575E">
      <w:pPr>
        <w:pStyle w:val="BodyText"/>
        <w:rPr>
          <w:sz w:val="20"/>
        </w:rPr>
      </w:pPr>
    </w:p>
    <w:p w14:paraId="39303BE1" w14:textId="543569F3" w:rsidR="00DE575E" w:rsidRDefault="002E7560">
      <w:pPr>
        <w:pStyle w:val="BodyText"/>
        <w:spacing w:before="1"/>
        <w:rPr>
          <w:sz w:val="14"/>
        </w:rPr>
      </w:pPr>
      <w:r>
        <w:rPr>
          <w:noProof/>
        </w:rPr>
        <mc:AlternateContent>
          <mc:Choice Requires="wps">
            <w:drawing>
              <wp:anchor distT="0" distB="0" distL="0" distR="0" simplePos="0" relativeHeight="8992" behindDoc="0" locked="0" layoutInCell="1" allowOverlap="1" wp14:anchorId="47EF5E57" wp14:editId="2194600C">
                <wp:simplePos x="0" y="0"/>
                <wp:positionH relativeFrom="page">
                  <wp:posOffset>719455</wp:posOffset>
                </wp:positionH>
                <wp:positionV relativeFrom="paragraph">
                  <wp:posOffset>132715</wp:posOffset>
                </wp:positionV>
                <wp:extent cx="1080135" cy="0"/>
                <wp:effectExtent l="8255" t="18415" r="29210" b="19685"/>
                <wp:wrapTopAndBottom/>
                <wp:docPr id="854"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335B" id="Line_x0020_853" o:spid="_x0000_s1026" style="position:absolute;z-index: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5pt" to="141.7pt,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" strokecolor="#231f20" strokeweight=".5pt">
                <w10:wrap type="topAndBottom" anchorx="page"/>
              </v:line>
            </w:pict>
          </mc:Fallback>
        </mc:AlternateContent>
      </w:r>
    </w:p>
    <w:p w14:paraId="0A75EC0D" w14:textId="77777777" w:rsidR="00DE575E" w:rsidRDefault="002E7560">
      <w:pPr>
        <w:spacing w:line="162" w:lineRule="exact"/>
        <w:ind w:left="533"/>
        <w:rPr>
          <w:sz w:val="16"/>
        </w:rPr>
      </w:pPr>
      <w:r>
        <w:rPr>
          <w:color w:val="231F20"/>
          <w:position w:val="5"/>
          <w:sz w:val="9"/>
        </w:rPr>
        <w:t xml:space="preserve">1 </w:t>
      </w:r>
      <w:r>
        <w:rPr>
          <w:color w:val="231F20"/>
          <w:sz w:val="16"/>
        </w:rPr>
        <w:t xml:space="preserve">Авторки: </w:t>
      </w:r>
      <w:r>
        <w:rPr>
          <w:b/>
          <w:color w:val="231F20"/>
          <w:sz w:val="16"/>
        </w:rPr>
        <w:t>Тетяна Мацелик</w:t>
      </w:r>
      <w:r>
        <w:rPr>
          <w:color w:val="231F20"/>
          <w:sz w:val="16"/>
        </w:rPr>
        <w:t xml:space="preserve">, </w:t>
      </w:r>
      <w:r>
        <w:rPr>
          <w:b/>
          <w:color w:val="231F20"/>
          <w:sz w:val="16"/>
        </w:rPr>
        <w:t>Вікторія Біла</w:t>
      </w:r>
      <w:r>
        <w:rPr>
          <w:color w:val="231F20"/>
          <w:sz w:val="16"/>
        </w:rPr>
        <w:t>.</w:t>
      </w:r>
    </w:p>
    <w:p w14:paraId="68ED62DF" w14:textId="77777777" w:rsidR="00DE575E" w:rsidRDefault="002E7560">
      <w:pPr>
        <w:spacing w:before="23" w:line="204" w:lineRule="auto"/>
        <w:ind w:left="533" w:right="127"/>
        <w:jc w:val="both"/>
        <w:rPr>
          <w:sz w:val="16"/>
        </w:rPr>
      </w:pPr>
      <w:r>
        <w:rPr>
          <w:color w:val="231F20"/>
          <w:position w:val="5"/>
          <w:sz w:val="9"/>
        </w:rPr>
        <w:t xml:space="preserve">2 </w:t>
      </w:r>
      <w:r>
        <w:rPr>
          <w:color w:val="231F20"/>
          <w:sz w:val="16"/>
        </w:rPr>
        <w:t>Раніше в теорії адміністративного права і практиці державного управління використовувалась категорія «акт державного управління», однак імплементація до європейських підходів спонукала перейти на використання категорії «індивідуальний (адміністративний) ак</w:t>
      </w:r>
      <w:r>
        <w:rPr>
          <w:color w:val="231F20"/>
          <w:sz w:val="16"/>
        </w:rPr>
        <w:t>т».</w:t>
      </w:r>
    </w:p>
    <w:p w14:paraId="75F6EF08" w14:textId="77777777" w:rsidR="00DE575E" w:rsidRDefault="00DE575E">
      <w:pPr>
        <w:pStyle w:val="BodyText"/>
        <w:spacing w:before="6"/>
        <w:rPr>
          <w:sz w:val="12"/>
        </w:rPr>
      </w:pPr>
    </w:p>
    <w:p w14:paraId="1D3D06EF" w14:textId="77777777" w:rsidR="00DE575E" w:rsidRDefault="002E7560">
      <w:pPr>
        <w:spacing w:before="92"/>
        <w:ind w:left="533"/>
        <w:rPr>
          <w:rFonts w:ascii="Times New Roman"/>
          <w:sz w:val="20"/>
        </w:rPr>
      </w:pPr>
      <w:r>
        <w:rPr>
          <w:rFonts w:ascii="Times New Roman"/>
          <w:color w:val="231F20"/>
          <w:sz w:val="20"/>
        </w:rPr>
        <w:t>222</w:t>
      </w:r>
    </w:p>
    <w:p w14:paraId="493FD092" w14:textId="77777777" w:rsidR="00DE575E" w:rsidRDefault="00DE575E">
      <w:pPr>
        <w:rPr>
          <w:rFonts w:ascii="Times New Roman"/>
          <w:sz w:val="20"/>
        </w:rPr>
        <w:sectPr w:rsidR="00DE575E">
          <w:pgSz w:w="8510" w:h="12760"/>
          <w:pgMar w:top="660" w:right="720" w:bottom="280" w:left="600" w:header="720" w:footer="720" w:gutter="0"/>
          <w:cols w:space="720"/>
        </w:sectPr>
      </w:pPr>
    </w:p>
    <w:p w14:paraId="30315166" w14:textId="77777777" w:rsidR="00DE575E" w:rsidRDefault="002E7560">
      <w:pPr>
        <w:spacing w:before="72" w:line="249" w:lineRule="auto"/>
        <w:ind w:left="2592" w:right="411" w:firstLine="837"/>
        <w:jc w:val="right"/>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F0C8028" w14:textId="2F6A3C9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5031609" wp14:editId="46EA8E84">
                <wp:extent cx="4140200" cy="6350"/>
                <wp:effectExtent l="0" t="0" r="12700" b="6350"/>
                <wp:docPr id="852"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53" name="Line 85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E2B4AB" id="Group_x0020_85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w3kaEfQIAAJgFAAAOAAAA&#10;AAAAAAAAAAAAACwCAABkcnMvZTJvRG9jLnhtbFBLAQItABQABgAIAAAAIQBMp7CQ2QAAAAMBAAAP&#10;AAAAAAAAAAAAAAAAANUEAABkcnMvZG93bnJldi54bWxQSwUGAAAAAAQABADzAAAA2wUAAAAA&#10;">
                <v:line id="Line_x0020_85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quscYAAADcAAAADwAAAGRycy9kb3ducmV2LnhtbESP3WrCQBSE7wt9h+UUvCl1Y4MiqauI&#10;IBQv/IsPcMyeJqG7Z2N2NWmf3hUKvRxm5htmtuitETdqfe1YwWiYgCAunK65VHDK129TED4gazSO&#10;ScEPeVjMn59mmGnX8YFux1CKCGGfoYIqhCaT0hcVWfRD1xBH78u1FkOUbSl1i12EWyPfk2QiLdYc&#10;FypsaFVR8X28WgX55TWY/W5junx3TuX5sk1/r1ulBi/98gNEoD78h//an1rBdJzC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arrHGAAAA3AAAAA8AAAAAAAAA&#10;AAAAAAAAoQIAAGRycy9kb3ducmV2LnhtbFBLBQYAAAAABAAEAPkAAACUAwAAAAA=&#10;" strokecolor="#231f20" strokeweight=".5pt"/>
                <w10:anchorlock/>
              </v:group>
            </w:pict>
          </mc:Fallback>
        </mc:AlternateContent>
      </w:r>
    </w:p>
    <w:p w14:paraId="4D9D7105" w14:textId="77777777" w:rsidR="00DE575E" w:rsidRDefault="00DE575E">
      <w:pPr>
        <w:pStyle w:val="BodyText"/>
        <w:spacing w:before="7"/>
        <w:rPr>
          <w:rFonts w:ascii="AdonisC"/>
          <w:i/>
          <w:sz w:val="19"/>
        </w:rPr>
      </w:pPr>
    </w:p>
    <w:p w14:paraId="2C05BBA3" w14:textId="77777777" w:rsidR="00DE575E" w:rsidRDefault="002E7560">
      <w:pPr>
        <w:pStyle w:val="BodyText"/>
        <w:spacing w:before="1"/>
        <w:ind w:left="533"/>
      </w:pPr>
      <w:r>
        <w:rPr>
          <w:color w:val="231F20"/>
        </w:rPr>
        <w:t>Ознаками адміністративного акта є такі:</w:t>
      </w:r>
    </w:p>
    <w:p w14:paraId="72FC287D" w14:textId="77777777" w:rsidR="00DE575E" w:rsidRDefault="002E7560">
      <w:pPr>
        <w:pStyle w:val="BodyText"/>
        <w:spacing w:before="1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є</w:t>
      </w:r>
      <w:r>
        <w:rPr>
          <w:color w:val="231F20"/>
          <w:spacing w:val="-19"/>
        </w:rPr>
        <w:t xml:space="preserve"> </w:t>
      </w:r>
      <w:r>
        <w:rPr>
          <w:color w:val="231F20"/>
        </w:rPr>
        <w:t>юридичним</w:t>
      </w:r>
      <w:r>
        <w:rPr>
          <w:color w:val="231F20"/>
          <w:spacing w:val="-19"/>
        </w:rPr>
        <w:t xml:space="preserve"> </w:t>
      </w:r>
      <w:r>
        <w:rPr>
          <w:color w:val="231F20"/>
        </w:rPr>
        <w:t>актом</w:t>
      </w:r>
      <w:r>
        <w:rPr>
          <w:color w:val="231F20"/>
          <w:spacing w:val="-19"/>
        </w:rPr>
        <w:t xml:space="preserve"> </w:t>
      </w:r>
      <w:r>
        <w:rPr>
          <w:color w:val="231F20"/>
        </w:rPr>
        <w:t>індивідуальної</w:t>
      </w:r>
      <w:r>
        <w:rPr>
          <w:color w:val="231F20"/>
          <w:spacing w:val="-19"/>
        </w:rPr>
        <w:t xml:space="preserve"> </w:t>
      </w:r>
      <w:r>
        <w:rPr>
          <w:color w:val="231F20"/>
        </w:rPr>
        <w:t>дії,</w:t>
      </w:r>
      <w:r>
        <w:rPr>
          <w:color w:val="231F20"/>
          <w:spacing w:val="-19"/>
        </w:rPr>
        <w:t xml:space="preserve"> </w:t>
      </w:r>
      <w:r>
        <w:rPr>
          <w:color w:val="231F20"/>
        </w:rPr>
        <w:t>адже</w:t>
      </w:r>
      <w:r>
        <w:rPr>
          <w:color w:val="231F20"/>
          <w:spacing w:val="-19"/>
        </w:rPr>
        <w:t xml:space="preserve"> </w:t>
      </w:r>
      <w:r>
        <w:rPr>
          <w:color w:val="231F20"/>
        </w:rPr>
        <w:t>ці</w:t>
      </w:r>
      <w:r>
        <w:rPr>
          <w:color w:val="231F20"/>
          <w:spacing w:val="-19"/>
        </w:rPr>
        <w:t xml:space="preserve"> </w:t>
      </w:r>
      <w:r>
        <w:rPr>
          <w:color w:val="231F20"/>
        </w:rPr>
        <w:t>акти</w:t>
      </w:r>
      <w:r>
        <w:rPr>
          <w:color w:val="231F20"/>
          <w:spacing w:val="-19"/>
        </w:rPr>
        <w:t xml:space="preserve"> </w:t>
      </w:r>
      <w:r>
        <w:rPr>
          <w:color w:val="231F20"/>
        </w:rPr>
        <w:t>стосуються конкретних осіб та їхніх відносин, а їх головною рисою є конкрет- ність:</w:t>
      </w:r>
    </w:p>
    <w:p w14:paraId="4EAA402A"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чітке формулювання конкретних юридичних волевиявлень суб’єктами адміністративного права, які видають такі акти;</w:t>
      </w:r>
    </w:p>
    <w:p w14:paraId="746C75BA"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розв’язання за їх допомогою конкретних</w:t>
      </w:r>
      <w:r>
        <w:rPr>
          <w:color w:val="231F20"/>
        </w:rPr>
        <w:t>, а саме індивідуаль- них справ або питань, що виникають у сфері публічного адміністру- вання;</w:t>
      </w:r>
    </w:p>
    <w:p w14:paraId="7FED650A" w14:textId="77777777" w:rsidR="00DE575E" w:rsidRDefault="002E7560">
      <w:pPr>
        <w:pStyle w:val="BodyText"/>
        <w:spacing w:before="1"/>
        <w:ind w:left="533"/>
      </w:pPr>
      <w:r>
        <w:rPr>
          <w:rFonts w:ascii="Wingdings" w:hAnsi="Wingdings"/>
          <w:color w:val="231F20"/>
        </w:rPr>
        <w:t></w:t>
      </w:r>
      <w:r>
        <w:rPr>
          <w:rFonts w:ascii="Times New Roman" w:hAnsi="Times New Roman"/>
          <w:color w:val="231F20"/>
        </w:rPr>
        <w:t xml:space="preserve"> </w:t>
      </w:r>
      <w:r>
        <w:rPr>
          <w:color w:val="231F20"/>
        </w:rPr>
        <w:t>чітка визначеність адресата – конкретної особи або осіб;</w:t>
      </w:r>
    </w:p>
    <w:p w14:paraId="514A363B" w14:textId="77777777" w:rsidR="00DE575E" w:rsidRDefault="002E7560">
      <w:pPr>
        <w:pStyle w:val="BodyText"/>
        <w:spacing w:before="13" w:line="252" w:lineRule="auto"/>
        <w:ind w:left="250" w:right="412" w:firstLine="283"/>
        <w:jc w:val="both"/>
      </w:pPr>
      <w:r>
        <w:rPr>
          <w:rFonts w:ascii="Wingdings" w:hAnsi="Wingdings"/>
          <w:color w:val="231F20"/>
        </w:rPr>
        <w:t></w:t>
      </w:r>
      <w:r>
        <w:rPr>
          <w:rFonts w:ascii="Times New Roman" w:hAnsi="Times New Roman"/>
          <w:color w:val="231F20"/>
        </w:rPr>
        <w:t xml:space="preserve"> </w:t>
      </w:r>
      <w:r>
        <w:rPr>
          <w:color w:val="231F20"/>
        </w:rPr>
        <w:t>виникнення конкретних адміністративно-правових відносин, зумовлених цими актами</w:t>
      </w:r>
      <w:r>
        <w:rPr>
          <w:color w:val="231F20"/>
          <w:position w:val="7"/>
          <w:sz w:val="12"/>
        </w:rPr>
        <w:t>1</w:t>
      </w:r>
      <w:r>
        <w:rPr>
          <w:color w:val="231F20"/>
        </w:rPr>
        <w:t>;</w:t>
      </w:r>
    </w:p>
    <w:p w14:paraId="270F4A2E"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можуть бути оскаржені лише особами, безпосередні права, свободи</w:t>
      </w:r>
      <w:r>
        <w:rPr>
          <w:color w:val="231F20"/>
          <w:spacing w:val="-16"/>
        </w:rPr>
        <w:t xml:space="preserve"> </w:t>
      </w:r>
      <w:r>
        <w:rPr>
          <w:color w:val="231F20"/>
        </w:rPr>
        <w:t>чи</w:t>
      </w:r>
      <w:r>
        <w:rPr>
          <w:color w:val="231F20"/>
          <w:spacing w:val="-16"/>
        </w:rPr>
        <w:t xml:space="preserve"> </w:t>
      </w:r>
      <w:r>
        <w:rPr>
          <w:color w:val="231F20"/>
        </w:rPr>
        <w:t>охоронювані</w:t>
      </w:r>
      <w:r>
        <w:rPr>
          <w:color w:val="231F20"/>
          <w:spacing w:val="-16"/>
        </w:rPr>
        <w:t xml:space="preserve"> </w:t>
      </w:r>
      <w:r>
        <w:rPr>
          <w:color w:val="231F20"/>
        </w:rPr>
        <w:t>законом</w:t>
      </w:r>
      <w:r>
        <w:rPr>
          <w:color w:val="231F20"/>
          <w:spacing w:val="-16"/>
        </w:rPr>
        <w:t xml:space="preserve"> </w:t>
      </w:r>
      <w:r>
        <w:rPr>
          <w:color w:val="231F20"/>
        </w:rPr>
        <w:t>інтереси</w:t>
      </w:r>
      <w:r>
        <w:rPr>
          <w:color w:val="231F20"/>
          <w:spacing w:val="-16"/>
        </w:rPr>
        <w:t xml:space="preserve"> </w:t>
      </w:r>
      <w:r>
        <w:rPr>
          <w:color w:val="231F20"/>
        </w:rPr>
        <w:t>яких</w:t>
      </w:r>
      <w:r>
        <w:rPr>
          <w:color w:val="231F20"/>
          <w:spacing w:val="-15"/>
        </w:rPr>
        <w:t xml:space="preserve"> </w:t>
      </w:r>
      <w:r>
        <w:rPr>
          <w:color w:val="231F20"/>
        </w:rPr>
        <w:t>такими</w:t>
      </w:r>
      <w:r>
        <w:rPr>
          <w:color w:val="231F20"/>
          <w:spacing w:val="-16"/>
        </w:rPr>
        <w:t xml:space="preserve"> </w:t>
      </w:r>
      <w:r>
        <w:rPr>
          <w:color w:val="231F20"/>
        </w:rPr>
        <w:t>актами</w:t>
      </w:r>
      <w:r>
        <w:rPr>
          <w:color w:val="231F20"/>
          <w:spacing w:val="-16"/>
        </w:rPr>
        <w:t xml:space="preserve"> </w:t>
      </w:r>
      <w:r>
        <w:rPr>
          <w:color w:val="231F20"/>
        </w:rPr>
        <w:t>пору- шено;</w:t>
      </w:r>
    </w:p>
    <w:p w14:paraId="109D8AE6" w14:textId="77777777" w:rsidR="00DE575E" w:rsidRDefault="002E7560">
      <w:pPr>
        <w:pStyle w:val="BodyText"/>
        <w:spacing w:before="2" w:line="252" w:lineRule="auto"/>
        <w:ind w:left="250" w:right="410" w:firstLine="283"/>
        <w:jc w:val="both"/>
      </w:pPr>
      <w:r>
        <w:rPr>
          <w:rFonts w:ascii="Wingdings" w:hAnsi="Wingdings"/>
          <w:color w:val="231F20"/>
        </w:rPr>
        <w:t></w:t>
      </w:r>
      <w:r>
        <w:rPr>
          <w:rFonts w:ascii="Times New Roman" w:hAnsi="Times New Roman"/>
          <w:color w:val="231F20"/>
        </w:rPr>
        <w:t xml:space="preserve"> </w:t>
      </w:r>
      <w:r>
        <w:rPr>
          <w:color w:val="231F20"/>
        </w:rPr>
        <w:t xml:space="preserve">ухвалюється </w:t>
      </w:r>
      <w:r>
        <w:rPr>
          <w:color w:val="231F20"/>
          <w:spacing w:val="-3"/>
        </w:rPr>
        <w:t xml:space="preserve">суб’єктом </w:t>
      </w:r>
      <w:r>
        <w:rPr>
          <w:color w:val="231F20"/>
        </w:rPr>
        <w:t xml:space="preserve">публічної адміністрації в установле- ному (процедурному) </w:t>
      </w:r>
      <w:r>
        <w:rPr>
          <w:color w:val="231F20"/>
          <w:spacing w:val="-3"/>
        </w:rPr>
        <w:t xml:space="preserve">порядку, </w:t>
      </w:r>
      <w:r>
        <w:rPr>
          <w:color w:val="231F20"/>
        </w:rPr>
        <w:t>порушення якого може призвести до недій</w:t>
      </w:r>
      <w:r>
        <w:rPr>
          <w:color w:val="231F20"/>
        </w:rPr>
        <w:t xml:space="preserve">сності адміністративного акта – це має бути </w:t>
      </w:r>
      <w:r>
        <w:rPr>
          <w:color w:val="231F20"/>
          <w:spacing w:val="-5"/>
        </w:rPr>
        <w:t xml:space="preserve">суб’єкт, </w:t>
      </w:r>
      <w:r>
        <w:rPr>
          <w:color w:val="231F20"/>
        </w:rPr>
        <w:t xml:space="preserve">уповнова- жений на здійснення адміністративної влади (на відміну від влади політичної / представницької чи </w:t>
      </w:r>
      <w:r>
        <w:rPr>
          <w:color w:val="231F20"/>
          <w:spacing w:val="-3"/>
        </w:rPr>
        <w:t>судової);</w:t>
      </w:r>
    </w:p>
    <w:p w14:paraId="06E65846" w14:textId="77777777" w:rsidR="00DE575E" w:rsidRDefault="002E7560">
      <w:pPr>
        <w:pStyle w:val="BodyText"/>
        <w:spacing w:before="2" w:line="252" w:lineRule="auto"/>
        <w:ind w:left="191" w:right="411" w:firstLine="283"/>
        <w:jc w:val="right"/>
      </w:pPr>
      <w:r>
        <w:rPr>
          <w:rFonts w:ascii="Wingdings" w:hAnsi="Wingdings"/>
          <w:color w:val="231F20"/>
        </w:rPr>
        <w:t></w:t>
      </w:r>
      <w:r>
        <w:rPr>
          <w:rFonts w:ascii="Times New Roman" w:hAnsi="Times New Roman"/>
          <w:color w:val="231F20"/>
        </w:rPr>
        <w:t xml:space="preserve"> </w:t>
      </w:r>
      <w:r>
        <w:rPr>
          <w:color w:val="231F20"/>
        </w:rPr>
        <w:t>спрямований на створення, зміну чи припинення прав та обов’язків фізичної або юридич</w:t>
      </w:r>
      <w:r>
        <w:rPr>
          <w:color w:val="231F20"/>
        </w:rPr>
        <w:t>ної особи (осіб), тобто для адмініст- ративного акта характерна зовнішня спрямованість його дії. Акцент на зовнішні дії адміністративного акта дозволяє відмежовувати такі акти від внутрішньо спрямованих актів – наприклад, щодо вирі- шення організаційних пи</w:t>
      </w:r>
      <w:r>
        <w:rPr>
          <w:color w:val="231F20"/>
        </w:rPr>
        <w:t>тань усередині адміністративного органу</w:t>
      </w:r>
      <w:r>
        <w:rPr>
          <w:color w:val="231F20"/>
          <w:position w:val="7"/>
          <w:sz w:val="12"/>
        </w:rPr>
        <w:t>2</w:t>
      </w:r>
      <w:r>
        <w:rPr>
          <w:color w:val="231F20"/>
        </w:rPr>
        <w:t>.</w:t>
      </w:r>
    </w:p>
    <w:p w14:paraId="4DD52A2E" w14:textId="77777777" w:rsidR="00DE575E" w:rsidRDefault="002E7560">
      <w:pPr>
        <w:pStyle w:val="BodyText"/>
        <w:spacing w:before="3" w:line="252" w:lineRule="auto"/>
        <w:ind w:left="250" w:right="414" w:firstLine="283"/>
        <w:jc w:val="both"/>
      </w:pPr>
      <w:r>
        <w:rPr>
          <w:color w:val="231F20"/>
        </w:rPr>
        <w:t>Загалом  юридичне  значення  адміністративних  актів  полягає  в</w:t>
      </w:r>
      <w:r>
        <w:rPr>
          <w:color w:val="231F20"/>
          <w:spacing w:val="-2"/>
        </w:rPr>
        <w:t xml:space="preserve"> </w:t>
      </w:r>
      <w:r>
        <w:rPr>
          <w:color w:val="231F20"/>
        </w:rPr>
        <w:t>такому:</w:t>
      </w:r>
    </w:p>
    <w:p w14:paraId="05BFFBC2" w14:textId="77777777" w:rsidR="00DE575E" w:rsidRDefault="002E7560">
      <w:pPr>
        <w:pStyle w:val="ListParagraph"/>
        <w:numPr>
          <w:ilvl w:val="0"/>
          <w:numId w:val="200"/>
        </w:numPr>
        <w:tabs>
          <w:tab w:val="left" w:pos="818"/>
        </w:tabs>
        <w:spacing w:line="252" w:lineRule="auto"/>
        <w:ind w:right="411" w:firstLine="283"/>
        <w:jc w:val="both"/>
        <w:rPr>
          <w:sz w:val="21"/>
        </w:rPr>
      </w:pPr>
      <w:r>
        <w:rPr>
          <w:color w:val="231F20"/>
          <w:sz w:val="21"/>
        </w:rPr>
        <w:t>адміністративні</w:t>
      </w:r>
      <w:r>
        <w:rPr>
          <w:color w:val="231F20"/>
          <w:spacing w:val="-10"/>
          <w:sz w:val="21"/>
        </w:rPr>
        <w:t xml:space="preserve"> </w:t>
      </w:r>
      <w:r>
        <w:rPr>
          <w:color w:val="231F20"/>
          <w:sz w:val="21"/>
        </w:rPr>
        <w:t>акти</w:t>
      </w:r>
      <w:r>
        <w:rPr>
          <w:color w:val="231F20"/>
          <w:spacing w:val="-10"/>
          <w:sz w:val="21"/>
        </w:rPr>
        <w:t xml:space="preserve"> </w:t>
      </w:r>
      <w:r>
        <w:rPr>
          <w:color w:val="231F20"/>
          <w:sz w:val="21"/>
        </w:rPr>
        <w:t>є</w:t>
      </w:r>
      <w:r>
        <w:rPr>
          <w:color w:val="231F20"/>
          <w:spacing w:val="-8"/>
          <w:sz w:val="21"/>
        </w:rPr>
        <w:t xml:space="preserve"> </w:t>
      </w:r>
      <w:r>
        <w:rPr>
          <w:color w:val="231F20"/>
          <w:sz w:val="21"/>
        </w:rPr>
        <w:t>юридичним</w:t>
      </w:r>
      <w:r>
        <w:rPr>
          <w:color w:val="231F20"/>
          <w:spacing w:val="-10"/>
          <w:sz w:val="21"/>
        </w:rPr>
        <w:t xml:space="preserve"> </w:t>
      </w:r>
      <w:r>
        <w:rPr>
          <w:color w:val="231F20"/>
          <w:sz w:val="21"/>
        </w:rPr>
        <w:t>фактом,</w:t>
      </w:r>
      <w:r>
        <w:rPr>
          <w:color w:val="231F20"/>
          <w:spacing w:val="-9"/>
          <w:sz w:val="21"/>
        </w:rPr>
        <w:t xml:space="preserve"> </w:t>
      </w:r>
      <w:r>
        <w:rPr>
          <w:color w:val="231F20"/>
          <w:sz w:val="21"/>
        </w:rPr>
        <w:t>що</w:t>
      </w:r>
      <w:r>
        <w:rPr>
          <w:color w:val="231F20"/>
          <w:spacing w:val="-10"/>
          <w:sz w:val="21"/>
        </w:rPr>
        <w:t xml:space="preserve"> </w:t>
      </w:r>
      <w:r>
        <w:rPr>
          <w:color w:val="231F20"/>
          <w:sz w:val="21"/>
        </w:rPr>
        <w:t>безпосередньо впливає на створення, зміну чи припинення конкретних правовід- носин і відповідно – на створення, зміну або припинення прав, інте- ресів та обов’язків конкретних</w:t>
      </w:r>
      <w:r>
        <w:rPr>
          <w:color w:val="231F20"/>
          <w:spacing w:val="-3"/>
          <w:sz w:val="21"/>
        </w:rPr>
        <w:t xml:space="preserve"> </w:t>
      </w:r>
      <w:r>
        <w:rPr>
          <w:color w:val="231F20"/>
          <w:sz w:val="21"/>
        </w:rPr>
        <w:t>осіб;</w:t>
      </w:r>
    </w:p>
    <w:p w14:paraId="3129FB2C" w14:textId="77777777" w:rsidR="00DE575E" w:rsidRDefault="002E7560">
      <w:pPr>
        <w:pStyle w:val="ListParagraph"/>
        <w:numPr>
          <w:ilvl w:val="0"/>
          <w:numId w:val="200"/>
        </w:numPr>
        <w:tabs>
          <w:tab w:val="left" w:pos="818"/>
        </w:tabs>
        <w:spacing w:before="2" w:line="252" w:lineRule="auto"/>
        <w:ind w:right="410" w:firstLine="283"/>
        <w:jc w:val="both"/>
        <w:rPr>
          <w:sz w:val="21"/>
        </w:rPr>
      </w:pPr>
      <w:r>
        <w:rPr>
          <w:color w:val="231F20"/>
          <w:sz w:val="21"/>
        </w:rPr>
        <w:t>ухвалення адміністративного акта є завершальною та вирі- шальною стадією п</w:t>
      </w:r>
      <w:r>
        <w:rPr>
          <w:color w:val="231F20"/>
          <w:sz w:val="21"/>
        </w:rPr>
        <w:t xml:space="preserve">равозастосовного </w:t>
      </w:r>
      <w:r>
        <w:rPr>
          <w:color w:val="231F20"/>
          <w:spacing w:val="-3"/>
          <w:sz w:val="21"/>
        </w:rPr>
        <w:t xml:space="preserve">процесу, </w:t>
      </w:r>
      <w:r>
        <w:rPr>
          <w:color w:val="231F20"/>
          <w:sz w:val="21"/>
        </w:rPr>
        <w:t>що дозволяє</w:t>
      </w:r>
      <w:r>
        <w:rPr>
          <w:color w:val="231F20"/>
          <w:spacing w:val="25"/>
          <w:sz w:val="21"/>
        </w:rPr>
        <w:t xml:space="preserve"> </w:t>
      </w:r>
      <w:r>
        <w:rPr>
          <w:color w:val="231F20"/>
          <w:sz w:val="21"/>
        </w:rPr>
        <w:t>назвати</w:t>
      </w:r>
    </w:p>
    <w:p w14:paraId="32959B94" w14:textId="77777777" w:rsidR="00DE575E" w:rsidRDefault="00DE575E">
      <w:pPr>
        <w:pStyle w:val="BodyText"/>
        <w:rPr>
          <w:sz w:val="20"/>
        </w:rPr>
      </w:pPr>
    </w:p>
    <w:p w14:paraId="307E5961" w14:textId="066474FE" w:rsidR="00DE575E" w:rsidRDefault="002E7560">
      <w:pPr>
        <w:pStyle w:val="BodyText"/>
        <w:spacing w:before="6"/>
        <w:rPr>
          <w:sz w:val="13"/>
        </w:rPr>
      </w:pPr>
      <w:r>
        <w:rPr>
          <w:noProof/>
        </w:rPr>
        <mc:AlternateContent>
          <mc:Choice Requires="wps">
            <w:drawing>
              <wp:anchor distT="0" distB="0" distL="0" distR="0" simplePos="0" relativeHeight="9040" behindDoc="0" locked="0" layoutInCell="1" allowOverlap="1" wp14:anchorId="6AE6174F" wp14:editId="40DD5721">
                <wp:simplePos x="0" y="0"/>
                <wp:positionH relativeFrom="page">
                  <wp:posOffset>539750</wp:posOffset>
                </wp:positionH>
                <wp:positionV relativeFrom="paragraph">
                  <wp:posOffset>128905</wp:posOffset>
                </wp:positionV>
                <wp:extent cx="1080135" cy="0"/>
                <wp:effectExtent l="6350" t="14605" r="31115" b="23495"/>
                <wp:wrapTopAndBottom/>
                <wp:docPr id="85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9810C" id="Line_x0020_850" o:spid="_x0000_s1026" style="position:absolute;z-index: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15pt" to="127.55pt,1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" strokecolor="#231f20" strokeweight=".5pt">
                <w10:wrap type="topAndBottom" anchorx="page"/>
              </v:line>
            </w:pict>
          </mc:Fallback>
        </mc:AlternateContent>
      </w:r>
    </w:p>
    <w:p w14:paraId="7A37A531" w14:textId="77777777" w:rsidR="00DE575E" w:rsidRDefault="002E7560">
      <w:pPr>
        <w:spacing w:line="204" w:lineRule="auto"/>
        <w:ind w:left="250" w:right="413"/>
        <w:jc w:val="both"/>
        <w:rPr>
          <w:sz w:val="16"/>
        </w:rPr>
      </w:pPr>
      <w:r>
        <w:rPr>
          <w:color w:val="231F20"/>
          <w:position w:val="5"/>
          <w:sz w:val="9"/>
        </w:rPr>
        <w:t xml:space="preserve">1 </w:t>
      </w:r>
      <w:r>
        <w:rPr>
          <w:color w:val="231F20"/>
          <w:sz w:val="16"/>
        </w:rPr>
        <w:t xml:space="preserve">Александрова Н. Класифікація правових актів управління. Державне управління адміністративно-правової теорії та практики / за </w:t>
      </w:r>
      <w:r>
        <w:rPr>
          <w:color w:val="231F20"/>
          <w:spacing w:val="-4"/>
          <w:sz w:val="16"/>
        </w:rPr>
        <w:t xml:space="preserve">заг. </w:t>
      </w:r>
      <w:r>
        <w:rPr>
          <w:color w:val="231F20"/>
          <w:sz w:val="16"/>
        </w:rPr>
        <w:t xml:space="preserve">ред. В. Авер’янова.  Київ:  </w:t>
      </w:r>
      <w:r>
        <w:rPr>
          <w:color w:val="231F20"/>
          <w:spacing w:val="-4"/>
          <w:sz w:val="16"/>
        </w:rPr>
        <w:t xml:space="preserve">Факт, </w:t>
      </w:r>
      <w:r>
        <w:rPr>
          <w:color w:val="231F20"/>
          <w:sz w:val="16"/>
        </w:rPr>
        <w:t>2003. С. 151.</w:t>
      </w:r>
    </w:p>
    <w:p w14:paraId="43C94987" w14:textId="77777777" w:rsidR="00DE575E" w:rsidRDefault="002E7560">
      <w:pPr>
        <w:spacing w:before="26" w:line="204" w:lineRule="auto"/>
        <w:ind w:left="250" w:right="412"/>
        <w:jc w:val="both"/>
        <w:rPr>
          <w:sz w:val="16"/>
        </w:rPr>
      </w:pPr>
      <w:r>
        <w:rPr>
          <w:color w:val="231F20"/>
          <w:position w:val="5"/>
          <w:sz w:val="9"/>
        </w:rPr>
        <w:t xml:space="preserve">2 </w:t>
      </w:r>
      <w:r>
        <w:rPr>
          <w:color w:val="231F20"/>
          <w:sz w:val="16"/>
        </w:rPr>
        <w:t>Тимощук В. Адміністративні акти: процедура прийняття та припинення дії:  монографія. Київ: Конус-Ю, 2010. С.</w:t>
      </w:r>
      <w:r>
        <w:rPr>
          <w:color w:val="231F20"/>
          <w:spacing w:val="-2"/>
          <w:sz w:val="16"/>
        </w:rPr>
        <w:t xml:space="preserve"> </w:t>
      </w:r>
      <w:r>
        <w:rPr>
          <w:color w:val="231F20"/>
          <w:sz w:val="16"/>
        </w:rPr>
        <w:t>25.</w:t>
      </w:r>
    </w:p>
    <w:p w14:paraId="1C169C48" w14:textId="77777777" w:rsidR="00DE575E" w:rsidRDefault="00DE575E">
      <w:pPr>
        <w:pStyle w:val="BodyText"/>
        <w:spacing w:before="5"/>
        <w:rPr>
          <w:sz w:val="12"/>
        </w:rPr>
      </w:pPr>
    </w:p>
    <w:p w14:paraId="2A7640A3" w14:textId="77777777" w:rsidR="00DE575E" w:rsidRDefault="002E7560">
      <w:pPr>
        <w:spacing w:before="92"/>
        <w:ind w:right="411"/>
        <w:jc w:val="right"/>
        <w:rPr>
          <w:rFonts w:ascii="Times New Roman"/>
          <w:sz w:val="20"/>
        </w:rPr>
      </w:pPr>
      <w:r>
        <w:rPr>
          <w:rFonts w:ascii="Times New Roman"/>
          <w:color w:val="231F20"/>
          <w:w w:val="90"/>
          <w:sz w:val="20"/>
        </w:rPr>
        <w:t>223</w:t>
      </w:r>
    </w:p>
    <w:p w14:paraId="159A75D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1A6D38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80CCA03" w14:textId="20ECD75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8191954" wp14:editId="32A28C4B">
                <wp:extent cx="4140200" cy="6350"/>
                <wp:effectExtent l="0" t="0" r="12700" b="6350"/>
                <wp:docPr id="849"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50" name="Line 8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878CB1" id="Group_x0020_8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P/XBl/AgAAmAUAAA4A&#10;AAAAAAAAAAAAAAAALAIAAGRycy9lMm9Eb2MueG1sUEsBAi0AFAAGAAgAAAAhAEynsJDZAAAAAwEA&#10;AA8AAAAAAAAAAAAAAAAA1wQAAGRycy9kb3ducmV2LnhtbFBLBQYAAAAABAAEAPMAAADdBQAAAAA=&#10;">
                <v:line id="Line_x0020_8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gwxsMAAADcAAAADwAAAGRycy9kb3ducmV2LnhtbERP3WrCMBS+F/YO4Qy8kTVVUaRrlCEM&#10;hhc67R7g2Jy1ZclJbaKte/rlYuDlx/efbwZrxI063zhWME1SEMSl0w1XCr6K95cVCB+QNRrHpOBO&#10;Hjbrp1GOmXY9H+l2CpWIIewzVFCH0GZS+rImiz5xLXHkvl1nMUTYVVJ32Mdwa+QsTZfSYsOxocaW&#10;tjWVP6erVVBcJsF8HnamLw7nuTxf9vPf616p8fPw9goi0BAe4n/3h1awWsT5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TIMMbDAAAA3AAAAA8AAAAAAAAAAAAA&#10;AAAAoQIAAGRycy9kb3ducmV2LnhtbFBLBQYAAAAABAAEAPkAAACRAwAAAAA=&#10;" strokecolor="#231f20" strokeweight=".5pt"/>
                <w10:anchorlock/>
              </v:group>
            </w:pict>
          </mc:Fallback>
        </mc:AlternateContent>
      </w:r>
    </w:p>
    <w:p w14:paraId="7DAEC03C" w14:textId="77777777" w:rsidR="00DE575E" w:rsidRDefault="00DE575E">
      <w:pPr>
        <w:pStyle w:val="BodyText"/>
        <w:spacing w:before="7"/>
        <w:rPr>
          <w:rFonts w:ascii="AdonisC"/>
          <w:i/>
          <w:sz w:val="11"/>
        </w:rPr>
      </w:pPr>
    </w:p>
    <w:p w14:paraId="3411B442" w14:textId="77777777" w:rsidR="00DE575E" w:rsidRDefault="002E7560">
      <w:pPr>
        <w:pStyle w:val="BodyText"/>
        <w:spacing w:before="101" w:line="252" w:lineRule="auto"/>
        <w:ind w:left="533"/>
      </w:pPr>
      <w:r>
        <w:rPr>
          <w:color w:val="231F20"/>
        </w:rPr>
        <w:t>ці акти одним із визначальних елементів публічного адміністру- вання;</w:t>
      </w:r>
    </w:p>
    <w:p w14:paraId="263D2890" w14:textId="77777777" w:rsidR="00DE575E" w:rsidRDefault="002E7560">
      <w:pPr>
        <w:pStyle w:val="ListParagraph"/>
        <w:numPr>
          <w:ilvl w:val="0"/>
          <w:numId w:val="199"/>
        </w:numPr>
        <w:tabs>
          <w:tab w:val="left" w:pos="1101"/>
        </w:tabs>
        <w:spacing w:line="252" w:lineRule="auto"/>
        <w:ind w:right="128" w:firstLine="284"/>
        <w:rPr>
          <w:sz w:val="21"/>
        </w:rPr>
      </w:pPr>
      <w:r>
        <w:rPr>
          <w:color w:val="231F20"/>
          <w:sz w:val="21"/>
        </w:rPr>
        <w:t>адміністративні акти є найпоширенішою та найважливішою формою діяльності публічної</w:t>
      </w:r>
      <w:r>
        <w:rPr>
          <w:color w:val="231F20"/>
          <w:spacing w:val="-4"/>
          <w:sz w:val="21"/>
        </w:rPr>
        <w:t xml:space="preserve"> </w:t>
      </w:r>
      <w:r>
        <w:rPr>
          <w:color w:val="231F20"/>
          <w:sz w:val="21"/>
        </w:rPr>
        <w:t>адміністрації;</w:t>
      </w:r>
    </w:p>
    <w:p w14:paraId="1349D4F6" w14:textId="77777777" w:rsidR="00DE575E" w:rsidRDefault="002E7560">
      <w:pPr>
        <w:pStyle w:val="ListParagraph"/>
        <w:numPr>
          <w:ilvl w:val="0"/>
          <w:numId w:val="199"/>
        </w:numPr>
        <w:tabs>
          <w:tab w:val="left" w:pos="1101"/>
        </w:tabs>
        <w:spacing w:line="252" w:lineRule="auto"/>
        <w:ind w:right="129" w:firstLine="284"/>
        <w:rPr>
          <w:sz w:val="21"/>
        </w:rPr>
      </w:pPr>
      <w:r>
        <w:rPr>
          <w:color w:val="231F20"/>
          <w:sz w:val="21"/>
        </w:rPr>
        <w:t>адміністративні акти можуть бути підставою для підг</w:t>
      </w:r>
      <w:r>
        <w:rPr>
          <w:color w:val="231F20"/>
          <w:sz w:val="21"/>
        </w:rPr>
        <w:t>отовки та ухвалення інших адміністративних</w:t>
      </w:r>
      <w:r>
        <w:rPr>
          <w:color w:val="231F20"/>
          <w:spacing w:val="-5"/>
          <w:sz w:val="21"/>
        </w:rPr>
        <w:t xml:space="preserve"> </w:t>
      </w:r>
      <w:r>
        <w:rPr>
          <w:color w:val="231F20"/>
          <w:sz w:val="21"/>
        </w:rPr>
        <w:t>актів;</w:t>
      </w:r>
    </w:p>
    <w:p w14:paraId="127BA122" w14:textId="77777777" w:rsidR="00DE575E" w:rsidRDefault="002E7560">
      <w:pPr>
        <w:pStyle w:val="ListParagraph"/>
        <w:numPr>
          <w:ilvl w:val="0"/>
          <w:numId w:val="199"/>
        </w:numPr>
        <w:tabs>
          <w:tab w:val="left" w:pos="1101"/>
        </w:tabs>
        <w:spacing w:line="252" w:lineRule="auto"/>
        <w:ind w:right="130" w:firstLine="284"/>
        <w:rPr>
          <w:sz w:val="21"/>
        </w:rPr>
      </w:pPr>
      <w:r>
        <w:rPr>
          <w:color w:val="231F20"/>
          <w:sz w:val="21"/>
        </w:rPr>
        <w:t>адміністративні акти можуть бути підставою для укладання адміністративних</w:t>
      </w:r>
      <w:r>
        <w:rPr>
          <w:color w:val="231F20"/>
          <w:spacing w:val="-2"/>
          <w:sz w:val="21"/>
        </w:rPr>
        <w:t xml:space="preserve"> </w:t>
      </w:r>
      <w:r>
        <w:rPr>
          <w:color w:val="231F20"/>
          <w:sz w:val="21"/>
        </w:rPr>
        <w:t>договорів;</w:t>
      </w:r>
    </w:p>
    <w:p w14:paraId="2BE15EEF" w14:textId="77777777" w:rsidR="00DE575E" w:rsidRDefault="002E7560">
      <w:pPr>
        <w:pStyle w:val="ListParagraph"/>
        <w:numPr>
          <w:ilvl w:val="0"/>
          <w:numId w:val="199"/>
        </w:numPr>
        <w:tabs>
          <w:tab w:val="left" w:pos="1101"/>
        </w:tabs>
        <w:spacing w:line="252" w:lineRule="auto"/>
        <w:ind w:right="129" w:firstLine="284"/>
        <w:rPr>
          <w:sz w:val="21"/>
        </w:rPr>
      </w:pPr>
      <w:r>
        <w:rPr>
          <w:color w:val="231F20"/>
          <w:sz w:val="21"/>
        </w:rPr>
        <w:t>адміністративні акти можуть бути підставою для вчинення адміністративними органами певної адміністративної</w:t>
      </w:r>
      <w:r>
        <w:rPr>
          <w:color w:val="231F20"/>
          <w:spacing w:val="-19"/>
          <w:sz w:val="21"/>
        </w:rPr>
        <w:t xml:space="preserve"> </w:t>
      </w:r>
      <w:r>
        <w:rPr>
          <w:color w:val="231F20"/>
          <w:sz w:val="21"/>
        </w:rPr>
        <w:t>діяльності;</w:t>
      </w:r>
    </w:p>
    <w:p w14:paraId="0003B88A" w14:textId="77777777" w:rsidR="00DE575E" w:rsidRDefault="002E7560">
      <w:pPr>
        <w:pStyle w:val="ListParagraph"/>
        <w:numPr>
          <w:ilvl w:val="0"/>
          <w:numId w:val="199"/>
        </w:numPr>
        <w:tabs>
          <w:tab w:val="left" w:pos="1101"/>
        </w:tabs>
        <w:spacing w:line="252" w:lineRule="auto"/>
        <w:ind w:right="129" w:firstLine="284"/>
        <w:rPr>
          <w:sz w:val="21"/>
        </w:rPr>
      </w:pPr>
      <w:r>
        <w:rPr>
          <w:color w:val="231F20"/>
          <w:sz w:val="21"/>
        </w:rPr>
        <w:t>адміністративні акти можуть бути підставою для вчинення тих чи інших правочинів, зокрема цивільно-правових</w:t>
      </w:r>
      <w:r>
        <w:rPr>
          <w:color w:val="231F20"/>
          <w:spacing w:val="-11"/>
          <w:sz w:val="21"/>
        </w:rPr>
        <w:t xml:space="preserve"> </w:t>
      </w:r>
      <w:r>
        <w:rPr>
          <w:color w:val="231F20"/>
          <w:sz w:val="21"/>
        </w:rPr>
        <w:t>договорів;</w:t>
      </w:r>
    </w:p>
    <w:p w14:paraId="29CB4513" w14:textId="77777777" w:rsidR="00DE575E" w:rsidRDefault="002E7560">
      <w:pPr>
        <w:pStyle w:val="ListParagraph"/>
        <w:numPr>
          <w:ilvl w:val="0"/>
          <w:numId w:val="199"/>
        </w:numPr>
        <w:tabs>
          <w:tab w:val="left" w:pos="1101"/>
        </w:tabs>
        <w:spacing w:line="252" w:lineRule="auto"/>
        <w:ind w:right="128" w:firstLine="284"/>
        <w:jc w:val="both"/>
        <w:rPr>
          <w:sz w:val="21"/>
        </w:rPr>
      </w:pPr>
      <w:r>
        <w:rPr>
          <w:color w:val="231F20"/>
          <w:sz w:val="21"/>
        </w:rPr>
        <w:t xml:space="preserve">адміністративні акти мають вагоме юридичне значення під час вирішення публічних правових суперечок, адже крім </w:t>
      </w:r>
      <w:r>
        <w:rPr>
          <w:color w:val="231F20"/>
          <w:spacing w:val="-3"/>
          <w:sz w:val="21"/>
        </w:rPr>
        <w:t xml:space="preserve">судового </w:t>
      </w:r>
      <w:r>
        <w:rPr>
          <w:color w:val="231F20"/>
          <w:sz w:val="21"/>
        </w:rPr>
        <w:t>вирішення таких суп</w:t>
      </w:r>
      <w:r>
        <w:rPr>
          <w:color w:val="231F20"/>
          <w:sz w:val="21"/>
        </w:rPr>
        <w:t xml:space="preserve">еречок у законодавстві </w:t>
      </w:r>
      <w:r>
        <w:rPr>
          <w:color w:val="231F20"/>
          <w:spacing w:val="-3"/>
          <w:sz w:val="21"/>
        </w:rPr>
        <w:t xml:space="preserve">України </w:t>
      </w:r>
      <w:r>
        <w:rPr>
          <w:color w:val="231F20"/>
          <w:sz w:val="21"/>
        </w:rPr>
        <w:t xml:space="preserve">передбачено так званий адміністративний порядок їх вирішення, у </w:t>
      </w:r>
      <w:r>
        <w:rPr>
          <w:color w:val="231F20"/>
          <w:spacing w:val="-3"/>
          <w:sz w:val="21"/>
        </w:rPr>
        <w:t xml:space="preserve">результаті </w:t>
      </w:r>
      <w:r>
        <w:rPr>
          <w:color w:val="231F20"/>
          <w:sz w:val="21"/>
        </w:rPr>
        <w:t>якого й ухвалюється адміністративний</w:t>
      </w:r>
      <w:r>
        <w:rPr>
          <w:color w:val="231F20"/>
          <w:spacing w:val="-5"/>
          <w:sz w:val="21"/>
        </w:rPr>
        <w:t xml:space="preserve"> </w:t>
      </w:r>
      <w:r>
        <w:rPr>
          <w:color w:val="231F20"/>
          <w:sz w:val="21"/>
        </w:rPr>
        <w:t>акт</w:t>
      </w:r>
      <w:r>
        <w:rPr>
          <w:color w:val="231F20"/>
          <w:position w:val="7"/>
          <w:sz w:val="12"/>
        </w:rPr>
        <w:t>1</w:t>
      </w:r>
      <w:r>
        <w:rPr>
          <w:color w:val="231F20"/>
          <w:sz w:val="21"/>
        </w:rPr>
        <w:t>.</w:t>
      </w:r>
    </w:p>
    <w:p w14:paraId="7625B38E" w14:textId="77777777" w:rsidR="00DE575E" w:rsidRDefault="002E7560">
      <w:pPr>
        <w:pStyle w:val="Heading5"/>
        <w:spacing w:before="2" w:line="252" w:lineRule="auto"/>
        <w:ind w:right="128" w:firstLine="283"/>
        <w:jc w:val="both"/>
      </w:pPr>
      <w:r>
        <w:rPr>
          <w:color w:val="231F20"/>
        </w:rPr>
        <w:t xml:space="preserve">Отже, видання індивідуальних актів – це рішення </w:t>
      </w:r>
      <w:r>
        <w:rPr>
          <w:color w:val="231F20"/>
          <w:spacing w:val="-3"/>
        </w:rPr>
        <w:t xml:space="preserve">суб’єктів </w:t>
      </w:r>
      <w:r>
        <w:rPr>
          <w:color w:val="231F20"/>
        </w:rPr>
        <w:t xml:space="preserve">публічної адміністрації </w:t>
      </w:r>
      <w:r>
        <w:rPr>
          <w:color w:val="231F20"/>
          <w:spacing w:val="-3"/>
        </w:rPr>
        <w:t xml:space="preserve">щодо </w:t>
      </w:r>
      <w:r>
        <w:rPr>
          <w:color w:val="231F20"/>
        </w:rPr>
        <w:t xml:space="preserve">вирішення конкретних адмініст- ративних справ, що зумовлює юридичні наслідки для конкрет- них </w:t>
      </w:r>
      <w:r>
        <w:rPr>
          <w:color w:val="231F20"/>
          <w:spacing w:val="-3"/>
        </w:rPr>
        <w:t xml:space="preserve">суб’єктів </w:t>
      </w:r>
      <w:r>
        <w:rPr>
          <w:color w:val="231F20"/>
        </w:rPr>
        <w:t>адміністративного права, а їх дія припиняється після  одноразового  застосування   (здійснення   встановлених у них адміністративних обов’язків і</w:t>
      </w:r>
      <w:r>
        <w:rPr>
          <w:color w:val="231F20"/>
          <w:spacing w:val="-7"/>
        </w:rPr>
        <w:t xml:space="preserve"> </w:t>
      </w:r>
      <w:r>
        <w:rPr>
          <w:color w:val="231F20"/>
        </w:rPr>
        <w:t>прав).</w:t>
      </w:r>
    </w:p>
    <w:p w14:paraId="1F664B75" w14:textId="77777777" w:rsidR="00DE575E" w:rsidRDefault="00DE575E">
      <w:pPr>
        <w:pStyle w:val="BodyText"/>
        <w:spacing w:before="3"/>
        <w:rPr>
          <w:b/>
          <w:sz w:val="22"/>
        </w:rPr>
      </w:pPr>
    </w:p>
    <w:p w14:paraId="326982EC" w14:textId="77777777" w:rsidR="00DE575E" w:rsidRDefault="002E7560">
      <w:pPr>
        <w:pStyle w:val="ListParagraph"/>
        <w:numPr>
          <w:ilvl w:val="2"/>
          <w:numId w:val="198"/>
        </w:numPr>
        <w:tabs>
          <w:tab w:val="left" w:pos="1383"/>
        </w:tabs>
        <w:spacing w:before="0"/>
        <w:jc w:val="left"/>
        <w:rPr>
          <w:b/>
          <w:sz w:val="21"/>
        </w:rPr>
      </w:pPr>
      <w:r>
        <w:rPr>
          <w:b/>
          <w:color w:val="231F20"/>
          <w:sz w:val="21"/>
        </w:rPr>
        <w:t>Види індивідуальних</w:t>
      </w:r>
      <w:r>
        <w:rPr>
          <w:b/>
          <w:color w:val="231F20"/>
          <w:spacing w:val="-3"/>
          <w:sz w:val="21"/>
        </w:rPr>
        <w:t xml:space="preserve"> </w:t>
      </w:r>
      <w:r>
        <w:rPr>
          <w:b/>
          <w:color w:val="231F20"/>
          <w:sz w:val="21"/>
        </w:rPr>
        <w:t>актів</w:t>
      </w:r>
    </w:p>
    <w:p w14:paraId="14D07326" w14:textId="77777777" w:rsidR="00DE575E" w:rsidRDefault="00DE575E">
      <w:pPr>
        <w:pStyle w:val="BodyText"/>
        <w:spacing w:before="2"/>
        <w:rPr>
          <w:b/>
          <w:sz w:val="23"/>
        </w:rPr>
      </w:pPr>
    </w:p>
    <w:p w14:paraId="1BDE435C" w14:textId="77777777" w:rsidR="00DE575E" w:rsidRDefault="002E7560">
      <w:pPr>
        <w:pStyle w:val="Heading6"/>
        <w:spacing w:before="0" w:line="252" w:lineRule="auto"/>
      </w:pPr>
      <w:r>
        <w:rPr>
          <w:color w:val="231F20"/>
        </w:rPr>
        <w:t xml:space="preserve">Адміністративні акти можуть бути класифіковані за </w:t>
      </w:r>
      <w:r>
        <w:rPr>
          <w:color w:val="231F20"/>
        </w:rPr>
        <w:t>такими критеріями:</w:t>
      </w:r>
    </w:p>
    <w:p w14:paraId="38CAEFFF" w14:textId="77777777" w:rsidR="00DE575E" w:rsidRDefault="002E7560">
      <w:pPr>
        <w:pStyle w:val="ListParagraph"/>
        <w:numPr>
          <w:ilvl w:val="1"/>
          <w:numId w:val="200"/>
        </w:numPr>
        <w:tabs>
          <w:tab w:val="left" w:pos="1101"/>
        </w:tabs>
        <w:ind w:hanging="283"/>
        <w:jc w:val="left"/>
        <w:rPr>
          <w:sz w:val="21"/>
        </w:rPr>
      </w:pPr>
      <w:r>
        <w:rPr>
          <w:color w:val="231F20"/>
          <w:sz w:val="21"/>
        </w:rPr>
        <w:t>за формою виявлення (або способом</w:t>
      </w:r>
      <w:r>
        <w:rPr>
          <w:color w:val="231F20"/>
          <w:spacing w:val="-7"/>
          <w:sz w:val="21"/>
        </w:rPr>
        <w:t xml:space="preserve"> </w:t>
      </w:r>
      <w:r>
        <w:rPr>
          <w:color w:val="231F20"/>
          <w:sz w:val="21"/>
        </w:rPr>
        <w:t>оформлення);</w:t>
      </w:r>
    </w:p>
    <w:p w14:paraId="5C65DFBA" w14:textId="77777777" w:rsidR="00DE575E" w:rsidRDefault="002E7560">
      <w:pPr>
        <w:pStyle w:val="ListParagraph"/>
        <w:numPr>
          <w:ilvl w:val="1"/>
          <w:numId w:val="200"/>
        </w:numPr>
        <w:tabs>
          <w:tab w:val="left" w:pos="1101"/>
        </w:tabs>
        <w:spacing w:before="13"/>
        <w:ind w:hanging="283"/>
        <w:jc w:val="left"/>
        <w:rPr>
          <w:sz w:val="21"/>
        </w:rPr>
      </w:pPr>
      <w:r>
        <w:rPr>
          <w:color w:val="231F20"/>
          <w:sz w:val="21"/>
        </w:rPr>
        <w:t>за юридичними</w:t>
      </w:r>
      <w:r>
        <w:rPr>
          <w:color w:val="231F20"/>
          <w:spacing w:val="-3"/>
          <w:sz w:val="21"/>
        </w:rPr>
        <w:t xml:space="preserve"> </w:t>
      </w:r>
      <w:r>
        <w:rPr>
          <w:color w:val="231F20"/>
          <w:sz w:val="21"/>
        </w:rPr>
        <w:t>наслідками;</w:t>
      </w:r>
    </w:p>
    <w:p w14:paraId="4B44D775" w14:textId="77777777" w:rsidR="00DE575E" w:rsidRDefault="002E7560">
      <w:pPr>
        <w:pStyle w:val="ListParagraph"/>
        <w:numPr>
          <w:ilvl w:val="1"/>
          <w:numId w:val="200"/>
        </w:numPr>
        <w:tabs>
          <w:tab w:val="left" w:pos="1101"/>
        </w:tabs>
        <w:spacing w:before="13"/>
        <w:ind w:hanging="283"/>
        <w:jc w:val="left"/>
        <w:rPr>
          <w:sz w:val="21"/>
        </w:rPr>
      </w:pPr>
      <w:r>
        <w:rPr>
          <w:color w:val="231F20"/>
          <w:sz w:val="21"/>
        </w:rPr>
        <w:t>за дією в</w:t>
      </w:r>
      <w:r>
        <w:rPr>
          <w:color w:val="231F20"/>
          <w:spacing w:val="-4"/>
          <w:sz w:val="21"/>
        </w:rPr>
        <w:t xml:space="preserve"> </w:t>
      </w:r>
      <w:r>
        <w:rPr>
          <w:color w:val="231F20"/>
          <w:sz w:val="21"/>
        </w:rPr>
        <w:t>часі;</w:t>
      </w:r>
    </w:p>
    <w:p w14:paraId="2B0A8B22" w14:textId="77777777" w:rsidR="00DE575E" w:rsidRDefault="002E7560">
      <w:pPr>
        <w:pStyle w:val="ListParagraph"/>
        <w:numPr>
          <w:ilvl w:val="1"/>
          <w:numId w:val="200"/>
        </w:numPr>
        <w:tabs>
          <w:tab w:val="left" w:pos="1101"/>
        </w:tabs>
        <w:spacing w:before="13"/>
        <w:ind w:hanging="283"/>
        <w:jc w:val="left"/>
        <w:rPr>
          <w:sz w:val="21"/>
        </w:rPr>
      </w:pPr>
      <w:r>
        <w:rPr>
          <w:color w:val="231F20"/>
          <w:sz w:val="21"/>
        </w:rPr>
        <w:t>за характером дії щодо</w:t>
      </w:r>
      <w:r>
        <w:rPr>
          <w:color w:val="231F20"/>
          <w:spacing w:val="-4"/>
          <w:sz w:val="21"/>
        </w:rPr>
        <w:t xml:space="preserve"> </w:t>
      </w:r>
      <w:r>
        <w:rPr>
          <w:color w:val="231F20"/>
          <w:sz w:val="21"/>
        </w:rPr>
        <w:t>особи;</w:t>
      </w:r>
    </w:p>
    <w:p w14:paraId="4E8852D8" w14:textId="77777777" w:rsidR="00DE575E" w:rsidRDefault="002E7560">
      <w:pPr>
        <w:pStyle w:val="ListParagraph"/>
        <w:numPr>
          <w:ilvl w:val="1"/>
          <w:numId w:val="200"/>
        </w:numPr>
        <w:tabs>
          <w:tab w:val="left" w:pos="1101"/>
        </w:tabs>
        <w:spacing w:before="12"/>
        <w:ind w:hanging="283"/>
        <w:jc w:val="left"/>
        <w:rPr>
          <w:sz w:val="21"/>
        </w:rPr>
      </w:pPr>
      <w:r>
        <w:rPr>
          <w:color w:val="231F20"/>
          <w:sz w:val="21"/>
        </w:rPr>
        <w:t>за порядком</w:t>
      </w:r>
      <w:r>
        <w:rPr>
          <w:color w:val="231F20"/>
          <w:spacing w:val="-2"/>
          <w:sz w:val="21"/>
        </w:rPr>
        <w:t xml:space="preserve"> </w:t>
      </w:r>
      <w:r>
        <w:rPr>
          <w:color w:val="231F20"/>
          <w:sz w:val="21"/>
        </w:rPr>
        <w:t>ухвалення;</w:t>
      </w:r>
    </w:p>
    <w:p w14:paraId="5EDF0AD9" w14:textId="77777777" w:rsidR="00DE575E" w:rsidRDefault="002E7560">
      <w:pPr>
        <w:pStyle w:val="ListParagraph"/>
        <w:numPr>
          <w:ilvl w:val="1"/>
          <w:numId w:val="200"/>
        </w:numPr>
        <w:tabs>
          <w:tab w:val="left" w:pos="1101"/>
        </w:tabs>
        <w:spacing w:before="13"/>
        <w:ind w:hanging="283"/>
        <w:jc w:val="left"/>
        <w:rPr>
          <w:sz w:val="21"/>
        </w:rPr>
      </w:pPr>
      <w:r>
        <w:rPr>
          <w:color w:val="231F20"/>
          <w:sz w:val="21"/>
        </w:rPr>
        <w:t>за критерієм</w:t>
      </w:r>
      <w:r>
        <w:rPr>
          <w:color w:val="231F20"/>
          <w:spacing w:val="-1"/>
          <w:sz w:val="21"/>
        </w:rPr>
        <w:t xml:space="preserve"> </w:t>
      </w:r>
      <w:r>
        <w:rPr>
          <w:color w:val="231F20"/>
          <w:spacing w:val="-3"/>
          <w:sz w:val="21"/>
        </w:rPr>
        <w:t>результату;</w:t>
      </w:r>
    </w:p>
    <w:p w14:paraId="2DB013A1" w14:textId="77777777" w:rsidR="00DE575E" w:rsidRDefault="002E7560">
      <w:pPr>
        <w:pStyle w:val="ListParagraph"/>
        <w:numPr>
          <w:ilvl w:val="1"/>
          <w:numId w:val="200"/>
        </w:numPr>
        <w:tabs>
          <w:tab w:val="left" w:pos="1101"/>
        </w:tabs>
        <w:spacing w:before="13"/>
        <w:ind w:hanging="283"/>
        <w:jc w:val="left"/>
        <w:rPr>
          <w:sz w:val="21"/>
        </w:rPr>
      </w:pPr>
      <w:r>
        <w:rPr>
          <w:color w:val="231F20"/>
          <w:sz w:val="21"/>
        </w:rPr>
        <w:t>за функцією у правовому</w:t>
      </w:r>
      <w:r>
        <w:rPr>
          <w:color w:val="231F20"/>
          <w:spacing w:val="-7"/>
          <w:sz w:val="21"/>
        </w:rPr>
        <w:t xml:space="preserve"> </w:t>
      </w:r>
      <w:r>
        <w:rPr>
          <w:color w:val="231F20"/>
          <w:sz w:val="21"/>
        </w:rPr>
        <w:t>регулюванні;</w:t>
      </w:r>
    </w:p>
    <w:p w14:paraId="56EDD770" w14:textId="77777777" w:rsidR="00DE575E" w:rsidRDefault="002E7560">
      <w:pPr>
        <w:pStyle w:val="ListParagraph"/>
        <w:numPr>
          <w:ilvl w:val="1"/>
          <w:numId w:val="200"/>
        </w:numPr>
        <w:tabs>
          <w:tab w:val="left" w:pos="1101"/>
        </w:tabs>
        <w:spacing w:before="13"/>
        <w:ind w:hanging="283"/>
        <w:jc w:val="left"/>
        <w:rPr>
          <w:sz w:val="21"/>
        </w:rPr>
      </w:pPr>
      <w:r>
        <w:rPr>
          <w:color w:val="231F20"/>
          <w:sz w:val="21"/>
        </w:rPr>
        <w:t>за способом</w:t>
      </w:r>
      <w:r>
        <w:rPr>
          <w:color w:val="231F20"/>
          <w:spacing w:val="-2"/>
          <w:sz w:val="21"/>
        </w:rPr>
        <w:t xml:space="preserve"> </w:t>
      </w:r>
      <w:r>
        <w:rPr>
          <w:color w:val="231F20"/>
          <w:sz w:val="21"/>
        </w:rPr>
        <w:t>ухвалення;</w:t>
      </w:r>
    </w:p>
    <w:p w14:paraId="7D6EB641" w14:textId="77777777" w:rsidR="00DE575E" w:rsidRDefault="00DE575E">
      <w:pPr>
        <w:pStyle w:val="BodyText"/>
        <w:rPr>
          <w:sz w:val="20"/>
        </w:rPr>
      </w:pPr>
    </w:p>
    <w:p w14:paraId="1B52E243" w14:textId="2A612F42" w:rsidR="00DE575E" w:rsidRDefault="002E7560">
      <w:pPr>
        <w:pStyle w:val="BodyText"/>
        <w:spacing w:before="9"/>
        <w:rPr>
          <w:sz w:val="13"/>
        </w:rPr>
      </w:pPr>
      <w:r>
        <w:rPr>
          <w:noProof/>
        </w:rPr>
        <mc:AlternateContent>
          <mc:Choice Requires="wps">
            <w:drawing>
              <wp:anchor distT="0" distB="0" distL="0" distR="0" simplePos="0" relativeHeight="9088" behindDoc="0" locked="0" layoutInCell="1" allowOverlap="1" wp14:anchorId="4F9879FA" wp14:editId="514A4C62">
                <wp:simplePos x="0" y="0"/>
                <wp:positionH relativeFrom="page">
                  <wp:posOffset>719455</wp:posOffset>
                </wp:positionH>
                <wp:positionV relativeFrom="paragraph">
                  <wp:posOffset>130810</wp:posOffset>
                </wp:positionV>
                <wp:extent cx="1080135" cy="0"/>
                <wp:effectExtent l="8255" t="16510" r="29210" b="21590"/>
                <wp:wrapTopAndBottom/>
                <wp:docPr id="848"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B49FF" id="Line_x0020_847" o:spid="_x0000_s1026" style="position:absolute;z-index: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pt" to="141.7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" strokecolor="#231f20" strokeweight=".5pt">
                <w10:wrap type="topAndBottom" anchorx="page"/>
              </v:line>
            </w:pict>
          </mc:Fallback>
        </mc:AlternateContent>
      </w:r>
    </w:p>
    <w:p w14:paraId="55BEE78D" w14:textId="77777777" w:rsidR="00DE575E" w:rsidRDefault="002E7560">
      <w:pPr>
        <w:spacing w:line="204" w:lineRule="auto"/>
        <w:ind w:left="533"/>
        <w:rPr>
          <w:sz w:val="16"/>
        </w:rPr>
      </w:pPr>
      <w:r>
        <w:rPr>
          <w:color w:val="231F20"/>
          <w:position w:val="5"/>
          <w:sz w:val="9"/>
        </w:rPr>
        <w:t xml:space="preserve">1 </w:t>
      </w:r>
      <w:r>
        <w:rPr>
          <w:color w:val="231F20"/>
          <w:sz w:val="16"/>
        </w:rPr>
        <w:t>Мандюк О. Індивідуальні адміністративні акти: теорія і практика застосування : дис. ... канд. юрид. наук : 12.00.07. Львів, 2017. С. 93-94.</w:t>
      </w:r>
    </w:p>
    <w:p w14:paraId="17C5E371" w14:textId="77777777" w:rsidR="00DE575E" w:rsidRDefault="00DE575E">
      <w:pPr>
        <w:pStyle w:val="BodyText"/>
        <w:spacing w:before="1"/>
        <w:rPr>
          <w:sz w:val="12"/>
        </w:rPr>
      </w:pPr>
    </w:p>
    <w:p w14:paraId="1DB32A03" w14:textId="77777777" w:rsidR="00DE575E" w:rsidRDefault="002E7560">
      <w:pPr>
        <w:spacing w:before="92"/>
        <w:ind w:left="533"/>
        <w:rPr>
          <w:rFonts w:ascii="Times New Roman"/>
          <w:sz w:val="20"/>
        </w:rPr>
      </w:pPr>
      <w:r>
        <w:rPr>
          <w:rFonts w:ascii="Times New Roman"/>
          <w:color w:val="231F20"/>
          <w:sz w:val="20"/>
        </w:rPr>
        <w:t>224</w:t>
      </w:r>
    </w:p>
    <w:p w14:paraId="7D5F8542" w14:textId="77777777" w:rsidR="00DE575E" w:rsidRDefault="00DE575E">
      <w:pPr>
        <w:rPr>
          <w:rFonts w:ascii="Times New Roman"/>
          <w:sz w:val="20"/>
        </w:rPr>
        <w:sectPr w:rsidR="00DE575E">
          <w:pgSz w:w="8510" w:h="12760"/>
          <w:pgMar w:top="660" w:right="720" w:bottom="280" w:left="600" w:header="720" w:footer="720" w:gutter="0"/>
          <w:cols w:space="720"/>
        </w:sectPr>
      </w:pPr>
    </w:p>
    <w:p w14:paraId="548842D1"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w:t>
      </w:r>
      <w:r>
        <w:rPr>
          <w:rFonts w:ascii="AdonisC" w:hAnsi="AdonisC"/>
          <w:i/>
          <w:color w:val="231F20"/>
          <w:sz w:val="18"/>
        </w:rPr>
        <w:t>міністративне право Розділ 7. Інструменти публічного адміністрування</w:t>
      </w:r>
    </w:p>
    <w:p w14:paraId="0A781FED" w14:textId="4B06F99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78C547F" wp14:editId="57614E55">
                <wp:extent cx="4140200" cy="6350"/>
                <wp:effectExtent l="0" t="0" r="12700" b="6350"/>
                <wp:docPr id="846"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47" name="Line 84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0A571C" id="Group_x0020_84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MbIyF/AgAAmAUAAA4A&#10;AAAAAAAAAAAAAAAALAIAAGRycy9lMm9Eb2MueG1sUEsBAi0AFAAGAAgAAAAhAEynsJDZAAAAAwEA&#10;AA8AAAAAAAAAAAAAAAAA1wQAAGRycy9kb3ducmV2LnhtbFBLBQYAAAAABAAEAPMAAADdBQAAAAA=&#10;">
                <v:line id="Line_x0020_84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g+b8YAAADcAAAADwAAAGRycy9kb3ducmV2LnhtbESP3WrCQBSE7wu+w3IEb0rdtJZWoqtI&#10;oSBe+Jc+wDF7TIK7Z2N2NdGndwuFXg4z8w0znXfWiCs1vnKs4HWYgCDOna64UPCTfb+MQfiArNE4&#10;JgU38jCf9Z6mmGrX8o6u+1CICGGfooIyhDqV0uclWfRDVxNH7+gaiyHKppC6wTbCrZFvSfIhLVYc&#10;F0qs6auk/LS/WAXZ+TmY7WZl2mxzGMnDeT26X9ZKDfrdYgIiUBf+w3/tpVYwfv+E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4Pm/GAAAA3AAAAA8AAAAAAAAA&#10;AAAAAAAAoQIAAGRycy9kb3ducmV2LnhtbFBLBQYAAAAABAAEAPkAAACUAwAAAAA=&#10;" strokecolor="#231f20" strokeweight=".5pt"/>
                <w10:anchorlock/>
              </v:group>
            </w:pict>
          </mc:Fallback>
        </mc:AlternateContent>
      </w:r>
    </w:p>
    <w:p w14:paraId="3D6D6BF6" w14:textId="77777777" w:rsidR="00DE575E" w:rsidRDefault="00DE575E">
      <w:pPr>
        <w:pStyle w:val="BodyText"/>
        <w:spacing w:before="7"/>
        <w:rPr>
          <w:rFonts w:ascii="AdonisC"/>
          <w:i/>
          <w:sz w:val="19"/>
        </w:rPr>
      </w:pPr>
    </w:p>
    <w:p w14:paraId="29D3A44B" w14:textId="77777777" w:rsidR="00DE575E" w:rsidRDefault="002E7560">
      <w:pPr>
        <w:pStyle w:val="BodyText"/>
        <w:spacing w:before="1" w:line="249"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за критерієм суб’єктів, які мають право видавати чи ухвалю- вати адміністративні акти;</w:t>
      </w:r>
    </w:p>
    <w:p w14:paraId="3752A89D" w14:textId="77777777" w:rsidR="00DE575E" w:rsidRDefault="002E7560">
      <w:pPr>
        <w:pStyle w:val="BodyText"/>
        <w:ind w:left="533"/>
      </w:pPr>
      <w:r>
        <w:rPr>
          <w:rFonts w:ascii="Wingdings" w:hAnsi="Wingdings"/>
          <w:color w:val="231F20"/>
        </w:rPr>
        <w:t></w:t>
      </w:r>
      <w:r>
        <w:rPr>
          <w:rFonts w:ascii="Times New Roman" w:hAnsi="Times New Roman"/>
          <w:color w:val="231F20"/>
        </w:rPr>
        <w:t xml:space="preserve"> </w:t>
      </w:r>
      <w:r>
        <w:rPr>
          <w:color w:val="231F20"/>
        </w:rPr>
        <w:t>за критерієм відповідності праву;</w:t>
      </w:r>
    </w:p>
    <w:p w14:paraId="791B60EE" w14:textId="77777777" w:rsidR="00DE575E" w:rsidRDefault="002E7560">
      <w:pPr>
        <w:pStyle w:val="BodyText"/>
        <w:spacing w:before="9"/>
        <w:ind w:left="533"/>
      </w:pPr>
      <w:r>
        <w:rPr>
          <w:rFonts w:ascii="Wingdings" w:hAnsi="Wingdings"/>
          <w:color w:val="231F20"/>
        </w:rPr>
        <w:t></w:t>
      </w:r>
      <w:r>
        <w:rPr>
          <w:rFonts w:ascii="Times New Roman" w:hAnsi="Times New Roman"/>
          <w:color w:val="231F20"/>
        </w:rPr>
        <w:t xml:space="preserve"> </w:t>
      </w:r>
      <w:r>
        <w:rPr>
          <w:color w:val="231F20"/>
        </w:rPr>
        <w:t>за критерієм наявності очевидних вад та ін.</w:t>
      </w:r>
    </w:p>
    <w:p w14:paraId="2A6278C2" w14:textId="77777777" w:rsidR="00DE575E" w:rsidRDefault="002E7560">
      <w:pPr>
        <w:pStyle w:val="Heading6"/>
        <w:spacing w:before="10"/>
        <w:ind w:firstLine="0"/>
      </w:pPr>
      <w:r>
        <w:rPr>
          <w:color w:val="231F20"/>
        </w:rPr>
        <w:t>За формою виявлення:</w:t>
      </w:r>
    </w:p>
    <w:p w14:paraId="1EBF6C57" w14:textId="77777777" w:rsidR="00DE575E" w:rsidRDefault="002E7560">
      <w:pPr>
        <w:pStyle w:val="ListParagraph"/>
        <w:numPr>
          <w:ilvl w:val="0"/>
          <w:numId w:val="197"/>
        </w:numPr>
        <w:tabs>
          <w:tab w:val="left" w:pos="818"/>
        </w:tabs>
        <w:spacing w:before="10"/>
        <w:ind w:firstLine="283"/>
        <w:jc w:val="left"/>
        <w:rPr>
          <w:sz w:val="21"/>
        </w:rPr>
      </w:pPr>
      <w:r>
        <w:rPr>
          <w:color w:val="231F20"/>
          <w:sz w:val="21"/>
        </w:rPr>
        <w:t>письмові;</w:t>
      </w:r>
    </w:p>
    <w:p w14:paraId="30AC127C" w14:textId="77777777" w:rsidR="00DE575E" w:rsidRDefault="002E7560">
      <w:pPr>
        <w:pStyle w:val="ListParagraph"/>
        <w:numPr>
          <w:ilvl w:val="0"/>
          <w:numId w:val="197"/>
        </w:numPr>
        <w:tabs>
          <w:tab w:val="left" w:pos="818"/>
        </w:tabs>
        <w:spacing w:before="10" w:line="249" w:lineRule="auto"/>
        <w:ind w:right="411" w:firstLine="283"/>
        <w:rPr>
          <w:sz w:val="21"/>
        </w:rPr>
      </w:pPr>
      <w:r>
        <w:rPr>
          <w:color w:val="231F20"/>
          <w:sz w:val="21"/>
        </w:rPr>
        <w:t>усні</w:t>
      </w:r>
      <w:r>
        <w:rPr>
          <w:color w:val="231F20"/>
          <w:spacing w:val="-9"/>
          <w:sz w:val="21"/>
        </w:rPr>
        <w:t xml:space="preserve"> </w:t>
      </w:r>
      <w:r>
        <w:rPr>
          <w:color w:val="231F20"/>
          <w:sz w:val="21"/>
        </w:rPr>
        <w:t>(застосовуються</w:t>
      </w:r>
      <w:r>
        <w:rPr>
          <w:color w:val="231F20"/>
          <w:spacing w:val="-9"/>
          <w:sz w:val="21"/>
        </w:rPr>
        <w:t xml:space="preserve"> </w:t>
      </w:r>
      <w:r>
        <w:rPr>
          <w:color w:val="231F20"/>
          <w:sz w:val="21"/>
        </w:rPr>
        <w:t>в</w:t>
      </w:r>
      <w:r>
        <w:rPr>
          <w:color w:val="231F20"/>
          <w:spacing w:val="-10"/>
          <w:sz w:val="21"/>
        </w:rPr>
        <w:t xml:space="preserve"> </w:t>
      </w:r>
      <w:r>
        <w:rPr>
          <w:color w:val="231F20"/>
          <w:sz w:val="21"/>
        </w:rPr>
        <w:t>разі,</w:t>
      </w:r>
      <w:r>
        <w:rPr>
          <w:color w:val="231F20"/>
          <w:spacing w:val="-9"/>
          <w:sz w:val="21"/>
        </w:rPr>
        <w:t xml:space="preserve"> </w:t>
      </w:r>
      <w:r>
        <w:rPr>
          <w:color w:val="231F20"/>
          <w:sz w:val="21"/>
        </w:rPr>
        <w:t>коли</w:t>
      </w:r>
      <w:r>
        <w:rPr>
          <w:color w:val="231F20"/>
          <w:spacing w:val="-9"/>
          <w:sz w:val="21"/>
        </w:rPr>
        <w:t xml:space="preserve"> </w:t>
      </w:r>
      <w:r>
        <w:rPr>
          <w:color w:val="231F20"/>
          <w:sz w:val="21"/>
        </w:rPr>
        <w:t>з</w:t>
      </w:r>
      <w:r>
        <w:rPr>
          <w:color w:val="231F20"/>
          <w:spacing w:val="-9"/>
          <w:sz w:val="21"/>
        </w:rPr>
        <w:t xml:space="preserve"> </w:t>
      </w:r>
      <w:r>
        <w:rPr>
          <w:color w:val="231F20"/>
          <w:spacing w:val="-3"/>
          <w:sz w:val="21"/>
        </w:rPr>
        <w:t>огляду</w:t>
      </w:r>
      <w:r>
        <w:rPr>
          <w:color w:val="231F20"/>
          <w:spacing w:val="-9"/>
          <w:sz w:val="21"/>
        </w:rPr>
        <w:t xml:space="preserve"> </w:t>
      </w:r>
      <w:r>
        <w:rPr>
          <w:color w:val="231F20"/>
          <w:sz w:val="21"/>
        </w:rPr>
        <w:t>на</w:t>
      </w:r>
      <w:r>
        <w:rPr>
          <w:color w:val="231F20"/>
          <w:spacing w:val="-9"/>
          <w:sz w:val="21"/>
        </w:rPr>
        <w:t xml:space="preserve"> </w:t>
      </w:r>
      <w:r>
        <w:rPr>
          <w:color w:val="231F20"/>
          <w:sz w:val="21"/>
        </w:rPr>
        <w:t>обставини</w:t>
      </w:r>
      <w:r>
        <w:rPr>
          <w:color w:val="231F20"/>
          <w:spacing w:val="-9"/>
          <w:sz w:val="21"/>
        </w:rPr>
        <w:t xml:space="preserve"> </w:t>
      </w:r>
      <w:r>
        <w:rPr>
          <w:color w:val="231F20"/>
          <w:sz w:val="21"/>
        </w:rPr>
        <w:t>справи права/обов’язки приватної особи можуть бути встановлені лише таким</w:t>
      </w:r>
      <w:r>
        <w:rPr>
          <w:color w:val="231F20"/>
          <w:spacing w:val="-2"/>
          <w:sz w:val="21"/>
        </w:rPr>
        <w:t xml:space="preserve"> </w:t>
      </w:r>
      <w:r>
        <w:rPr>
          <w:color w:val="231F20"/>
          <w:sz w:val="21"/>
        </w:rPr>
        <w:t>чином);</w:t>
      </w:r>
    </w:p>
    <w:p w14:paraId="544DE075" w14:textId="77777777" w:rsidR="00DE575E" w:rsidRDefault="002E7560">
      <w:pPr>
        <w:pStyle w:val="ListParagraph"/>
        <w:numPr>
          <w:ilvl w:val="0"/>
          <w:numId w:val="197"/>
        </w:numPr>
        <w:tabs>
          <w:tab w:val="left" w:pos="818"/>
        </w:tabs>
        <w:spacing w:before="0" w:line="249" w:lineRule="auto"/>
        <w:ind w:right="411" w:firstLine="283"/>
        <w:rPr>
          <w:sz w:val="21"/>
        </w:rPr>
      </w:pPr>
      <w:r>
        <w:rPr>
          <w:color w:val="231F20"/>
          <w:sz w:val="21"/>
        </w:rPr>
        <w:t>учинені</w:t>
      </w:r>
      <w:r>
        <w:rPr>
          <w:color w:val="231F20"/>
          <w:sz w:val="21"/>
        </w:rPr>
        <w:t xml:space="preserve"> у формі дій (конклюдентні), зокрема через «мовчазну згоду»</w:t>
      </w:r>
      <w:r>
        <w:rPr>
          <w:color w:val="231F20"/>
          <w:position w:val="7"/>
          <w:sz w:val="12"/>
        </w:rPr>
        <w:t>1</w:t>
      </w:r>
      <w:r>
        <w:rPr>
          <w:color w:val="231F20"/>
          <w:sz w:val="21"/>
        </w:rPr>
        <w:t>.</w:t>
      </w:r>
    </w:p>
    <w:p w14:paraId="4AA8D84C" w14:textId="77777777" w:rsidR="00DE575E" w:rsidRDefault="002E7560">
      <w:pPr>
        <w:pStyle w:val="Heading6"/>
        <w:spacing w:before="0"/>
        <w:ind w:firstLine="0"/>
      </w:pPr>
      <w:r>
        <w:rPr>
          <w:color w:val="231F20"/>
        </w:rPr>
        <w:t>За юридичними наслідками:</w:t>
      </w:r>
    </w:p>
    <w:p w14:paraId="4A7EB5BF" w14:textId="77777777" w:rsidR="00DE575E" w:rsidRDefault="002E7560">
      <w:pPr>
        <w:pStyle w:val="BodyText"/>
        <w:spacing w:before="9"/>
        <w:ind w:left="533"/>
      </w:pPr>
      <w:r>
        <w:rPr>
          <w:rFonts w:ascii="Wingdings" w:hAnsi="Wingdings"/>
          <w:color w:val="231F20"/>
        </w:rPr>
        <w:t></w:t>
      </w:r>
      <w:r>
        <w:rPr>
          <w:rFonts w:ascii="Times New Roman" w:hAnsi="Times New Roman"/>
          <w:color w:val="231F20"/>
        </w:rPr>
        <w:t xml:space="preserve"> </w:t>
      </w:r>
      <w:r>
        <w:rPr>
          <w:color w:val="231F20"/>
        </w:rPr>
        <w:t>правоуповноважувальні;</w:t>
      </w:r>
    </w:p>
    <w:p w14:paraId="7A0F4DEE" w14:textId="77777777" w:rsidR="00DE575E" w:rsidRDefault="002E7560">
      <w:pPr>
        <w:pStyle w:val="BodyText"/>
        <w:spacing w:before="10"/>
        <w:ind w:left="533"/>
      </w:pPr>
      <w:r>
        <w:rPr>
          <w:rFonts w:ascii="Wingdings" w:hAnsi="Wingdings"/>
          <w:color w:val="231F20"/>
        </w:rPr>
        <w:t></w:t>
      </w:r>
      <w:r>
        <w:rPr>
          <w:rFonts w:ascii="Times New Roman" w:hAnsi="Times New Roman"/>
          <w:color w:val="231F20"/>
        </w:rPr>
        <w:t xml:space="preserve"> </w:t>
      </w:r>
      <w:r>
        <w:rPr>
          <w:color w:val="231F20"/>
        </w:rPr>
        <w:t>зобов’язальні;</w:t>
      </w:r>
    </w:p>
    <w:p w14:paraId="382D92BB" w14:textId="77777777" w:rsidR="00DE575E" w:rsidRDefault="002E7560">
      <w:pPr>
        <w:pStyle w:val="BodyText"/>
        <w:spacing w:before="10"/>
        <w:ind w:left="533"/>
      </w:pPr>
      <w:r>
        <w:rPr>
          <w:rFonts w:ascii="Wingdings" w:hAnsi="Wingdings"/>
          <w:color w:val="231F20"/>
        </w:rPr>
        <w:t></w:t>
      </w:r>
      <w:r>
        <w:rPr>
          <w:rFonts w:ascii="Times New Roman" w:hAnsi="Times New Roman"/>
          <w:color w:val="231F20"/>
        </w:rPr>
        <w:t xml:space="preserve"> </w:t>
      </w:r>
      <w:r>
        <w:rPr>
          <w:color w:val="231F20"/>
        </w:rPr>
        <w:t>заборонні;</w:t>
      </w:r>
    </w:p>
    <w:p w14:paraId="4762DFBB" w14:textId="77777777" w:rsidR="00DE575E" w:rsidRDefault="002E7560">
      <w:pPr>
        <w:pStyle w:val="BodyText"/>
        <w:spacing w:before="10"/>
        <w:ind w:left="533"/>
      </w:pPr>
      <w:r>
        <w:rPr>
          <w:rFonts w:ascii="Wingdings" w:hAnsi="Wingdings"/>
          <w:color w:val="231F20"/>
        </w:rPr>
        <w:t></w:t>
      </w:r>
      <w:r>
        <w:rPr>
          <w:rFonts w:ascii="Times New Roman" w:hAnsi="Times New Roman"/>
          <w:color w:val="231F20"/>
        </w:rPr>
        <w:t xml:space="preserve"> </w:t>
      </w:r>
      <w:r>
        <w:rPr>
          <w:color w:val="231F20"/>
        </w:rPr>
        <w:t>такі, що містять відмову.</w:t>
      </w:r>
    </w:p>
    <w:p w14:paraId="372DF3EF" w14:textId="77777777" w:rsidR="00DE575E" w:rsidRDefault="002E7560">
      <w:pPr>
        <w:pStyle w:val="Heading6"/>
        <w:spacing w:before="10"/>
        <w:ind w:firstLine="0"/>
      </w:pPr>
      <w:r>
        <w:rPr>
          <w:color w:val="231F20"/>
        </w:rPr>
        <w:t>За дією в часі:</w:t>
      </w:r>
    </w:p>
    <w:p w14:paraId="78F3D9FC" w14:textId="77777777" w:rsidR="00DE575E" w:rsidRDefault="002E7560">
      <w:pPr>
        <w:pStyle w:val="ListParagraph"/>
        <w:numPr>
          <w:ilvl w:val="0"/>
          <w:numId w:val="196"/>
        </w:numPr>
        <w:tabs>
          <w:tab w:val="left" w:pos="818"/>
        </w:tabs>
        <w:spacing w:before="9"/>
        <w:ind w:firstLine="283"/>
        <w:rPr>
          <w:sz w:val="21"/>
        </w:rPr>
      </w:pPr>
      <w:r>
        <w:rPr>
          <w:color w:val="231F20"/>
          <w:sz w:val="21"/>
        </w:rPr>
        <w:t>разові (напр., рішення про виплату разової</w:t>
      </w:r>
      <w:r>
        <w:rPr>
          <w:color w:val="231F20"/>
          <w:spacing w:val="-8"/>
          <w:sz w:val="21"/>
        </w:rPr>
        <w:t xml:space="preserve"> </w:t>
      </w:r>
      <w:r>
        <w:rPr>
          <w:color w:val="231F20"/>
          <w:sz w:val="21"/>
        </w:rPr>
        <w:t>компенсації);</w:t>
      </w:r>
    </w:p>
    <w:p w14:paraId="3DFE814C" w14:textId="77777777" w:rsidR="00DE575E" w:rsidRDefault="002E7560">
      <w:pPr>
        <w:pStyle w:val="ListParagraph"/>
        <w:numPr>
          <w:ilvl w:val="0"/>
          <w:numId w:val="196"/>
        </w:numPr>
        <w:tabs>
          <w:tab w:val="left" w:pos="818"/>
        </w:tabs>
        <w:spacing w:before="10" w:line="249" w:lineRule="auto"/>
        <w:ind w:right="411" w:firstLine="283"/>
        <w:jc w:val="both"/>
        <w:rPr>
          <w:sz w:val="21"/>
        </w:rPr>
      </w:pPr>
      <w:r>
        <w:rPr>
          <w:color w:val="231F20"/>
          <w:sz w:val="21"/>
        </w:rPr>
        <w:t>строкові – акти, строк дії яких установлений законодавством або в самому акті (напр., ліцензія на заняття певним видом госпо- дарської</w:t>
      </w:r>
      <w:r>
        <w:rPr>
          <w:color w:val="231F20"/>
          <w:spacing w:val="-1"/>
          <w:sz w:val="21"/>
        </w:rPr>
        <w:t xml:space="preserve"> </w:t>
      </w:r>
      <w:r>
        <w:rPr>
          <w:color w:val="231F20"/>
          <w:sz w:val="21"/>
        </w:rPr>
        <w:t>діяльності);</w:t>
      </w:r>
    </w:p>
    <w:p w14:paraId="67B3180C" w14:textId="77777777" w:rsidR="00DE575E" w:rsidRDefault="002E7560">
      <w:pPr>
        <w:pStyle w:val="ListParagraph"/>
        <w:numPr>
          <w:ilvl w:val="0"/>
          <w:numId w:val="196"/>
        </w:numPr>
        <w:tabs>
          <w:tab w:val="left" w:pos="818"/>
        </w:tabs>
        <w:spacing w:before="0" w:line="249" w:lineRule="auto"/>
        <w:ind w:right="411" w:firstLine="283"/>
        <w:jc w:val="both"/>
        <w:rPr>
          <w:sz w:val="21"/>
        </w:rPr>
      </w:pPr>
      <w:r>
        <w:rPr>
          <w:color w:val="231F20"/>
          <w:sz w:val="21"/>
        </w:rPr>
        <w:t xml:space="preserve">безстрокові – акти, строк дії яких не встановлений, їх можна застосовувати впродовж необмеженого </w:t>
      </w:r>
      <w:r>
        <w:rPr>
          <w:color w:val="231F20"/>
          <w:spacing w:val="-3"/>
          <w:sz w:val="21"/>
        </w:rPr>
        <w:t xml:space="preserve">строку, </w:t>
      </w:r>
      <w:r>
        <w:rPr>
          <w:color w:val="231F20"/>
          <w:sz w:val="21"/>
        </w:rPr>
        <w:t>вон</w:t>
      </w:r>
      <w:r>
        <w:rPr>
          <w:color w:val="231F20"/>
          <w:sz w:val="21"/>
        </w:rPr>
        <w:t xml:space="preserve">и діють до того </w:t>
      </w:r>
      <w:r>
        <w:rPr>
          <w:color w:val="231F20"/>
          <w:spacing w:val="-3"/>
          <w:sz w:val="21"/>
        </w:rPr>
        <w:t xml:space="preserve">моменту, </w:t>
      </w:r>
      <w:r>
        <w:rPr>
          <w:color w:val="231F20"/>
          <w:sz w:val="21"/>
        </w:rPr>
        <w:t xml:space="preserve">поки не </w:t>
      </w:r>
      <w:r>
        <w:rPr>
          <w:color w:val="231F20"/>
          <w:spacing w:val="-3"/>
          <w:sz w:val="21"/>
        </w:rPr>
        <w:t xml:space="preserve">будуть </w:t>
      </w:r>
      <w:r>
        <w:rPr>
          <w:color w:val="231F20"/>
          <w:sz w:val="21"/>
        </w:rPr>
        <w:t>скасовані в законному</w:t>
      </w:r>
      <w:r>
        <w:rPr>
          <w:color w:val="231F20"/>
          <w:spacing w:val="5"/>
          <w:sz w:val="21"/>
        </w:rPr>
        <w:t xml:space="preserve"> </w:t>
      </w:r>
      <w:r>
        <w:rPr>
          <w:color w:val="231F20"/>
          <w:spacing w:val="-3"/>
          <w:sz w:val="21"/>
        </w:rPr>
        <w:t>порядку.</w:t>
      </w:r>
    </w:p>
    <w:p w14:paraId="5CAE8396" w14:textId="77777777" w:rsidR="00DE575E" w:rsidRDefault="002E7560">
      <w:pPr>
        <w:pStyle w:val="Heading5"/>
        <w:spacing w:before="3"/>
      </w:pPr>
      <w:r>
        <w:rPr>
          <w:color w:val="231F20"/>
        </w:rPr>
        <w:t>За характером дії виділяють:</w:t>
      </w:r>
    </w:p>
    <w:p w14:paraId="2DFAFBAB" w14:textId="77777777" w:rsidR="00DE575E" w:rsidRDefault="002E7560">
      <w:pPr>
        <w:pStyle w:val="ListParagraph"/>
        <w:numPr>
          <w:ilvl w:val="0"/>
          <w:numId w:val="197"/>
        </w:numPr>
        <w:tabs>
          <w:tab w:val="left" w:pos="818"/>
        </w:tabs>
        <w:spacing w:before="10" w:line="249" w:lineRule="auto"/>
        <w:ind w:right="410" w:firstLine="283"/>
        <w:rPr>
          <w:sz w:val="21"/>
        </w:rPr>
      </w:pPr>
      <w:r>
        <w:rPr>
          <w:color w:val="231F20"/>
          <w:sz w:val="21"/>
        </w:rPr>
        <w:t>обтяжувальні акти (несприятливі, негативні), що не вигідні для</w:t>
      </w:r>
      <w:r>
        <w:rPr>
          <w:color w:val="231F20"/>
          <w:spacing w:val="-11"/>
          <w:sz w:val="21"/>
        </w:rPr>
        <w:t xml:space="preserve"> </w:t>
      </w:r>
      <w:r>
        <w:rPr>
          <w:color w:val="231F20"/>
          <w:sz w:val="21"/>
        </w:rPr>
        <w:t>особи</w:t>
      </w:r>
      <w:r>
        <w:rPr>
          <w:color w:val="231F20"/>
          <w:spacing w:val="-11"/>
          <w:sz w:val="21"/>
        </w:rPr>
        <w:t xml:space="preserve"> </w:t>
      </w:r>
      <w:r>
        <w:rPr>
          <w:color w:val="231F20"/>
          <w:sz w:val="21"/>
        </w:rPr>
        <w:t>й</w:t>
      </w:r>
      <w:r>
        <w:rPr>
          <w:color w:val="231F20"/>
          <w:spacing w:val="-11"/>
          <w:sz w:val="21"/>
        </w:rPr>
        <w:t xml:space="preserve"> </w:t>
      </w:r>
      <w:r>
        <w:rPr>
          <w:color w:val="231F20"/>
          <w:sz w:val="21"/>
        </w:rPr>
        <w:t>означають</w:t>
      </w:r>
      <w:r>
        <w:rPr>
          <w:color w:val="231F20"/>
          <w:spacing w:val="-11"/>
          <w:sz w:val="21"/>
        </w:rPr>
        <w:t xml:space="preserve"> </w:t>
      </w:r>
      <w:r>
        <w:rPr>
          <w:color w:val="231F20"/>
          <w:sz w:val="21"/>
        </w:rPr>
        <w:t>втручання</w:t>
      </w:r>
      <w:r>
        <w:rPr>
          <w:color w:val="231F20"/>
          <w:spacing w:val="-11"/>
          <w:sz w:val="21"/>
        </w:rPr>
        <w:t xml:space="preserve"> </w:t>
      </w:r>
      <w:r>
        <w:rPr>
          <w:color w:val="231F20"/>
          <w:sz w:val="21"/>
        </w:rPr>
        <w:t>в</w:t>
      </w:r>
      <w:r>
        <w:rPr>
          <w:color w:val="231F20"/>
          <w:spacing w:val="-11"/>
          <w:sz w:val="21"/>
        </w:rPr>
        <w:t xml:space="preserve"> </w:t>
      </w:r>
      <w:r>
        <w:rPr>
          <w:color w:val="231F20"/>
          <w:sz w:val="21"/>
        </w:rPr>
        <w:t>її</w:t>
      </w:r>
      <w:r>
        <w:rPr>
          <w:color w:val="231F20"/>
          <w:spacing w:val="-11"/>
          <w:sz w:val="21"/>
        </w:rPr>
        <w:t xml:space="preserve"> </w:t>
      </w:r>
      <w:r>
        <w:rPr>
          <w:color w:val="231F20"/>
          <w:sz w:val="21"/>
        </w:rPr>
        <w:t>права</w:t>
      </w:r>
      <w:r>
        <w:rPr>
          <w:color w:val="231F20"/>
          <w:spacing w:val="-11"/>
          <w:sz w:val="21"/>
        </w:rPr>
        <w:t xml:space="preserve"> </w:t>
      </w:r>
      <w:r>
        <w:rPr>
          <w:color w:val="231F20"/>
          <w:sz w:val="21"/>
        </w:rPr>
        <w:t>чи</w:t>
      </w:r>
      <w:r>
        <w:rPr>
          <w:color w:val="231F20"/>
          <w:spacing w:val="-11"/>
          <w:sz w:val="21"/>
        </w:rPr>
        <w:t xml:space="preserve"> </w:t>
      </w:r>
      <w:r>
        <w:rPr>
          <w:color w:val="231F20"/>
          <w:sz w:val="21"/>
        </w:rPr>
        <w:t>відмову</w:t>
      </w:r>
      <w:r>
        <w:rPr>
          <w:color w:val="231F20"/>
          <w:spacing w:val="-11"/>
          <w:sz w:val="21"/>
        </w:rPr>
        <w:t xml:space="preserve"> </w:t>
      </w:r>
      <w:r>
        <w:rPr>
          <w:color w:val="231F20"/>
          <w:sz w:val="21"/>
        </w:rPr>
        <w:t>в</w:t>
      </w:r>
      <w:r>
        <w:rPr>
          <w:color w:val="231F20"/>
          <w:spacing w:val="-11"/>
          <w:sz w:val="21"/>
        </w:rPr>
        <w:t xml:space="preserve"> </w:t>
      </w:r>
      <w:r>
        <w:rPr>
          <w:color w:val="231F20"/>
          <w:sz w:val="21"/>
        </w:rPr>
        <w:t>задоволенні прохання про надання певних п</w:t>
      </w:r>
      <w:r>
        <w:rPr>
          <w:color w:val="231F20"/>
          <w:sz w:val="21"/>
        </w:rPr>
        <w:t>ривілеїв (напр., відмову у наданні дозволу на будівництво чи</w:t>
      </w:r>
      <w:r>
        <w:rPr>
          <w:color w:val="231F20"/>
          <w:spacing w:val="-5"/>
          <w:sz w:val="21"/>
        </w:rPr>
        <w:t xml:space="preserve"> </w:t>
      </w:r>
      <w:r>
        <w:rPr>
          <w:color w:val="231F20"/>
          <w:sz w:val="21"/>
        </w:rPr>
        <w:t>реконструкцію);</w:t>
      </w:r>
    </w:p>
    <w:p w14:paraId="1095915C" w14:textId="77777777" w:rsidR="00DE575E" w:rsidRDefault="002E7560">
      <w:pPr>
        <w:pStyle w:val="ListParagraph"/>
        <w:numPr>
          <w:ilvl w:val="0"/>
          <w:numId w:val="197"/>
        </w:numPr>
        <w:tabs>
          <w:tab w:val="left" w:pos="818"/>
        </w:tabs>
        <w:spacing w:before="0" w:line="249" w:lineRule="auto"/>
        <w:ind w:right="411" w:firstLine="283"/>
        <w:rPr>
          <w:sz w:val="21"/>
        </w:rPr>
      </w:pPr>
      <w:r>
        <w:rPr>
          <w:color w:val="231F20"/>
          <w:sz w:val="21"/>
        </w:rPr>
        <w:t>сприяльні (позитивні) – акти, що надають чи підтверджують право чи юридично значущу перевагу (дозвіл на будівництво чи реконструкцію, ліцензія на надання освітніх</w:t>
      </w:r>
      <w:r>
        <w:rPr>
          <w:color w:val="231F20"/>
          <w:spacing w:val="-4"/>
          <w:sz w:val="21"/>
        </w:rPr>
        <w:t xml:space="preserve"> </w:t>
      </w:r>
      <w:r>
        <w:rPr>
          <w:color w:val="231F20"/>
          <w:sz w:val="21"/>
        </w:rPr>
        <w:t>послуг;</w:t>
      </w:r>
    </w:p>
    <w:p w14:paraId="54F63FC7" w14:textId="77777777" w:rsidR="00DE575E" w:rsidRDefault="002E7560">
      <w:pPr>
        <w:pStyle w:val="ListParagraph"/>
        <w:numPr>
          <w:ilvl w:val="0"/>
          <w:numId w:val="197"/>
        </w:numPr>
        <w:tabs>
          <w:tab w:val="left" w:pos="818"/>
        </w:tabs>
        <w:spacing w:before="0" w:line="249" w:lineRule="auto"/>
        <w:ind w:right="411" w:firstLine="283"/>
        <w:rPr>
          <w:sz w:val="21"/>
        </w:rPr>
      </w:pPr>
      <w:r>
        <w:rPr>
          <w:color w:val="231F20"/>
          <w:sz w:val="21"/>
        </w:rPr>
        <w:t>змішані – акти, які для особи є частково сприяльними, а част- ково –</w:t>
      </w:r>
      <w:r>
        <w:rPr>
          <w:color w:val="231F20"/>
          <w:spacing w:val="-2"/>
          <w:sz w:val="21"/>
        </w:rPr>
        <w:t xml:space="preserve"> </w:t>
      </w:r>
      <w:r>
        <w:rPr>
          <w:color w:val="231F20"/>
          <w:sz w:val="21"/>
        </w:rPr>
        <w:t>обтяжувальними;</w:t>
      </w:r>
    </w:p>
    <w:p w14:paraId="05F98878" w14:textId="77777777" w:rsidR="00DE575E" w:rsidRDefault="002E7560">
      <w:pPr>
        <w:pStyle w:val="ListParagraph"/>
        <w:numPr>
          <w:ilvl w:val="0"/>
          <w:numId w:val="197"/>
        </w:numPr>
        <w:tabs>
          <w:tab w:val="left" w:pos="818"/>
        </w:tabs>
        <w:spacing w:before="0" w:line="252" w:lineRule="auto"/>
        <w:ind w:right="412" w:firstLine="283"/>
        <w:rPr>
          <w:sz w:val="21"/>
        </w:rPr>
      </w:pPr>
      <w:r>
        <w:rPr>
          <w:color w:val="231F20"/>
          <w:sz w:val="21"/>
        </w:rPr>
        <w:t>акти з подвійною дією, які стосуються третіх осіб, тобто для однієї особи є сприятливими, а для іншої –</w:t>
      </w:r>
      <w:r>
        <w:rPr>
          <w:color w:val="231F20"/>
          <w:spacing w:val="-18"/>
          <w:sz w:val="21"/>
        </w:rPr>
        <w:t xml:space="preserve"> </w:t>
      </w:r>
      <w:r>
        <w:rPr>
          <w:color w:val="231F20"/>
          <w:sz w:val="21"/>
        </w:rPr>
        <w:t>обтяжувальними</w:t>
      </w:r>
      <w:r>
        <w:rPr>
          <w:color w:val="231F20"/>
          <w:position w:val="7"/>
          <w:sz w:val="12"/>
        </w:rPr>
        <w:t>2</w:t>
      </w:r>
      <w:r>
        <w:rPr>
          <w:color w:val="231F20"/>
          <w:sz w:val="21"/>
        </w:rPr>
        <w:t>.</w:t>
      </w:r>
    </w:p>
    <w:p w14:paraId="50F50888" w14:textId="167A001F" w:rsidR="00DE575E" w:rsidRDefault="002E7560">
      <w:pPr>
        <w:pStyle w:val="BodyText"/>
        <w:spacing w:before="3"/>
        <w:rPr>
          <w:sz w:val="18"/>
        </w:rPr>
      </w:pPr>
      <w:r>
        <w:rPr>
          <w:noProof/>
        </w:rPr>
        <mc:AlternateContent>
          <mc:Choice Requires="wps">
            <w:drawing>
              <wp:anchor distT="0" distB="0" distL="0" distR="0" simplePos="0" relativeHeight="9136" behindDoc="0" locked="0" layoutInCell="1" allowOverlap="1" wp14:anchorId="02F1E9EC" wp14:editId="59C5DB46">
                <wp:simplePos x="0" y="0"/>
                <wp:positionH relativeFrom="page">
                  <wp:posOffset>539750</wp:posOffset>
                </wp:positionH>
                <wp:positionV relativeFrom="paragraph">
                  <wp:posOffset>163830</wp:posOffset>
                </wp:positionV>
                <wp:extent cx="1080135" cy="0"/>
                <wp:effectExtent l="6350" t="11430" r="31115" b="26670"/>
                <wp:wrapTopAndBottom/>
                <wp:docPr id="845"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E37F4" id="Line_x0020_844" o:spid="_x0000_s1026" style="position:absolute;z-index: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9pt" to="127.5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" strokecolor="#231f20" strokeweight=".5pt">
                <w10:wrap type="topAndBottom" anchorx="page"/>
              </v:line>
            </w:pict>
          </mc:Fallback>
        </mc:AlternateContent>
      </w:r>
    </w:p>
    <w:p w14:paraId="6355384C" w14:textId="77777777" w:rsidR="00DE575E" w:rsidRDefault="002E7560">
      <w:pPr>
        <w:spacing w:line="118" w:lineRule="exact"/>
        <w:ind w:left="250"/>
        <w:rPr>
          <w:sz w:val="16"/>
        </w:rPr>
      </w:pPr>
      <w:r>
        <w:rPr>
          <w:color w:val="231F20"/>
          <w:position w:val="5"/>
          <w:sz w:val="9"/>
        </w:rPr>
        <w:t xml:space="preserve">1 </w:t>
      </w:r>
      <w:r>
        <w:rPr>
          <w:color w:val="231F20"/>
          <w:sz w:val="16"/>
        </w:rPr>
        <w:t>Гриценко І., Мельник Р., Пухтецька А. та ін. З</w:t>
      </w:r>
      <w:r>
        <w:rPr>
          <w:color w:val="231F20"/>
          <w:sz w:val="16"/>
        </w:rPr>
        <w:t>агальне адміністративне право: підручник.</w:t>
      </w:r>
    </w:p>
    <w:p w14:paraId="575DB538" w14:textId="77777777" w:rsidR="00DE575E" w:rsidRDefault="002E7560">
      <w:pPr>
        <w:spacing w:line="154" w:lineRule="exact"/>
        <w:ind w:left="250"/>
        <w:rPr>
          <w:sz w:val="16"/>
        </w:rPr>
      </w:pPr>
      <w:r>
        <w:rPr>
          <w:color w:val="231F20"/>
          <w:sz w:val="16"/>
        </w:rPr>
        <w:t>Київ: Юрінком Інтер, 2015. С. 247.</w:t>
      </w:r>
    </w:p>
    <w:p w14:paraId="40FDF79E" w14:textId="77777777" w:rsidR="00DE575E" w:rsidRDefault="002E7560">
      <w:pPr>
        <w:spacing w:before="28" w:line="180" w:lineRule="auto"/>
        <w:ind w:left="250" w:right="521"/>
        <w:rPr>
          <w:sz w:val="16"/>
        </w:rPr>
      </w:pPr>
      <w:r>
        <w:rPr>
          <w:color w:val="231F20"/>
          <w:position w:val="5"/>
          <w:sz w:val="9"/>
        </w:rPr>
        <w:t xml:space="preserve">2 </w:t>
      </w:r>
      <w:r>
        <w:rPr>
          <w:color w:val="231F20"/>
          <w:sz w:val="16"/>
        </w:rPr>
        <w:t>Мельник Р. Загальне адміністративне право в питаннях і відповідях: навчальний посібник. Київ: Юрінком Інтер, 2018. 308 с.</w:t>
      </w:r>
    </w:p>
    <w:p w14:paraId="6A112CCE" w14:textId="77777777" w:rsidR="00DE575E" w:rsidRDefault="00DE575E">
      <w:pPr>
        <w:pStyle w:val="BodyText"/>
        <w:spacing w:before="7"/>
        <w:rPr>
          <w:sz w:val="12"/>
        </w:rPr>
      </w:pPr>
    </w:p>
    <w:p w14:paraId="2FF0D4D2" w14:textId="77777777" w:rsidR="00DE575E" w:rsidRDefault="002E7560">
      <w:pPr>
        <w:spacing w:before="92"/>
        <w:ind w:right="411"/>
        <w:jc w:val="right"/>
        <w:rPr>
          <w:rFonts w:ascii="Times New Roman"/>
          <w:sz w:val="20"/>
        </w:rPr>
      </w:pPr>
      <w:r>
        <w:rPr>
          <w:rFonts w:ascii="Times New Roman"/>
          <w:color w:val="231F20"/>
          <w:w w:val="90"/>
          <w:sz w:val="20"/>
        </w:rPr>
        <w:t>225</w:t>
      </w:r>
    </w:p>
    <w:p w14:paraId="45214B0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94894CD"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608151F7" w14:textId="46FBDA2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5A7A80D" wp14:editId="331BA7A9">
                <wp:extent cx="4140200" cy="6350"/>
                <wp:effectExtent l="0" t="0" r="12700" b="6350"/>
                <wp:docPr id="843"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44" name="Line 8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5B666D" id="Group_x0020_8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ozUz9/AgAAmAUAAA4A&#10;AAAAAAAAAAAAAAAALAIAAGRycy9lMm9Eb2MueG1sUEsBAi0AFAAGAAgAAAAhAEynsJDZAAAAAwEA&#10;AA8AAAAAAAAAAAAAAAAA1wQAAGRycy9kb3ducmV2LnhtbFBLBQYAAAAABAAEAPMAAADdBQAAAAA=&#10;">
                <v:line id="Line_x0020_8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qgGMYAAADcAAAADwAAAGRycy9kb3ducmV2LnhtbESP3WrCQBSE7wXfYTmF3kjdtIpIdBUp&#10;FEov/Esf4Jg9JqG7Z2N2NalP7wqCl8PMfMPMl5014kKNrxwreB8mIIhzpysuFPxmX29TED4gazSO&#10;ScE/eVgu+r05ptq1vKPLPhQiQtinqKAMoU6l9HlJFv3Q1cTRO7rGYoiyKaRusI1wa+RHkkykxYrj&#10;Qok1fZaU/+3PVkF2GgSz3fyYNtscRvJwWo+u57VSry/dagYiUBee4Uf7WyuYjs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4qoBjGAAAA3AAAAA8AAAAAAAAA&#10;AAAAAAAAoQIAAGRycy9kb3ducmV2LnhtbFBLBQYAAAAABAAEAPkAAACUAwAAAAA=&#10;" strokecolor="#231f20" strokeweight=".5pt"/>
                <w10:anchorlock/>
              </v:group>
            </w:pict>
          </mc:Fallback>
        </mc:AlternateContent>
      </w:r>
    </w:p>
    <w:p w14:paraId="5C32543C" w14:textId="77777777" w:rsidR="00DE575E" w:rsidRDefault="00DE575E">
      <w:pPr>
        <w:pStyle w:val="BodyText"/>
        <w:spacing w:before="7"/>
        <w:rPr>
          <w:rFonts w:ascii="AdonisC"/>
          <w:i/>
          <w:sz w:val="11"/>
        </w:rPr>
      </w:pPr>
    </w:p>
    <w:p w14:paraId="11D66408" w14:textId="77777777" w:rsidR="00DE575E" w:rsidRDefault="002E7560">
      <w:pPr>
        <w:pStyle w:val="Heading5"/>
        <w:spacing w:before="101"/>
        <w:ind w:left="817"/>
      </w:pPr>
      <w:r>
        <w:rPr>
          <w:color w:val="231F20"/>
        </w:rPr>
        <w:t>За порядком ухвалення:</w:t>
      </w:r>
    </w:p>
    <w:p w14:paraId="68C83F66" w14:textId="77777777" w:rsidR="00DE575E" w:rsidRDefault="002E7560">
      <w:pPr>
        <w:pStyle w:val="BodyText"/>
        <w:spacing w:before="12"/>
        <w:ind w:left="817"/>
      </w:pPr>
      <w:r>
        <w:rPr>
          <w:rFonts w:ascii="Wingdings" w:hAnsi="Wingdings"/>
          <w:color w:val="231F20"/>
        </w:rPr>
        <w:t></w:t>
      </w:r>
      <w:r>
        <w:rPr>
          <w:rFonts w:ascii="Times New Roman" w:hAnsi="Times New Roman"/>
          <w:color w:val="231F20"/>
        </w:rPr>
        <w:t xml:space="preserve">  </w:t>
      </w:r>
      <w:r>
        <w:rPr>
          <w:color w:val="231F20"/>
        </w:rPr>
        <w:t>ухвалені за звичайними правилами;</w:t>
      </w:r>
    </w:p>
    <w:p w14:paraId="65352A9B"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ухвалені за спрощеною процедурою.</w:t>
      </w:r>
    </w:p>
    <w:p w14:paraId="43B0747E" w14:textId="77777777" w:rsidR="00DE575E" w:rsidRDefault="002E7560">
      <w:pPr>
        <w:pStyle w:val="BodyText"/>
        <w:spacing w:before="13" w:line="252" w:lineRule="auto"/>
        <w:ind w:left="533" w:right="128" w:firstLine="283"/>
        <w:jc w:val="both"/>
      </w:pPr>
      <w:r>
        <w:rPr>
          <w:color w:val="231F20"/>
        </w:rPr>
        <w:t xml:space="preserve">Вагоме практичне значення має класифікація адміністративних актів </w:t>
      </w:r>
      <w:r>
        <w:rPr>
          <w:i/>
          <w:color w:val="231F20"/>
        </w:rPr>
        <w:t>за критерієм результату</w:t>
      </w:r>
      <w:r>
        <w:rPr>
          <w:color w:val="231F20"/>
        </w:rPr>
        <w:t>, який досягається внаслідок вико- ристання акта:</w:t>
      </w:r>
    </w:p>
    <w:p w14:paraId="6371ED19" w14:textId="77777777" w:rsidR="00DE575E" w:rsidRDefault="002E7560">
      <w:pPr>
        <w:pStyle w:val="ListParagraph"/>
        <w:numPr>
          <w:ilvl w:val="1"/>
          <w:numId w:val="196"/>
        </w:numPr>
        <w:tabs>
          <w:tab w:val="left" w:pos="1101"/>
        </w:tabs>
        <w:spacing w:before="2" w:line="252" w:lineRule="auto"/>
        <w:ind w:right="128" w:firstLine="284"/>
        <w:jc w:val="both"/>
        <w:rPr>
          <w:sz w:val="21"/>
        </w:rPr>
      </w:pPr>
      <w:r>
        <w:rPr>
          <w:color w:val="231F20"/>
          <w:sz w:val="21"/>
        </w:rPr>
        <w:t>підтверджувальні (</w:t>
      </w:r>
      <w:r>
        <w:rPr>
          <w:i/>
          <w:color w:val="231F20"/>
          <w:sz w:val="21"/>
        </w:rPr>
        <w:t>засвідчення статусу особи, що дає їй змогу вступати у відносини з отримання  соціального  захисту,  зокрема як такої, що постраждала внаслідок Чорнобильської катастр</w:t>
      </w:r>
      <w:r>
        <w:rPr>
          <w:i/>
          <w:color w:val="231F20"/>
          <w:sz w:val="21"/>
        </w:rPr>
        <w:t>офи; підтвердження</w:t>
      </w:r>
      <w:r>
        <w:rPr>
          <w:i/>
          <w:color w:val="231F20"/>
          <w:spacing w:val="-11"/>
          <w:sz w:val="21"/>
        </w:rPr>
        <w:t xml:space="preserve"> </w:t>
      </w:r>
      <w:r>
        <w:rPr>
          <w:i/>
          <w:color w:val="231F20"/>
          <w:sz w:val="21"/>
        </w:rPr>
        <w:t>права</w:t>
      </w:r>
      <w:r>
        <w:rPr>
          <w:i/>
          <w:color w:val="231F20"/>
          <w:spacing w:val="-11"/>
          <w:sz w:val="21"/>
        </w:rPr>
        <w:t xml:space="preserve"> </w:t>
      </w:r>
      <w:r>
        <w:rPr>
          <w:i/>
          <w:color w:val="231F20"/>
          <w:sz w:val="21"/>
        </w:rPr>
        <w:t>на</w:t>
      </w:r>
      <w:r>
        <w:rPr>
          <w:i/>
          <w:color w:val="231F20"/>
          <w:spacing w:val="-11"/>
          <w:sz w:val="21"/>
        </w:rPr>
        <w:t xml:space="preserve"> </w:t>
      </w:r>
      <w:r>
        <w:rPr>
          <w:i/>
          <w:color w:val="231F20"/>
          <w:sz w:val="21"/>
        </w:rPr>
        <w:t>отримання</w:t>
      </w:r>
      <w:r>
        <w:rPr>
          <w:i/>
          <w:color w:val="231F20"/>
          <w:spacing w:val="-11"/>
          <w:sz w:val="21"/>
        </w:rPr>
        <w:t xml:space="preserve"> </w:t>
      </w:r>
      <w:r>
        <w:rPr>
          <w:i/>
          <w:color w:val="231F20"/>
          <w:sz w:val="21"/>
        </w:rPr>
        <w:t>соціального</w:t>
      </w:r>
      <w:r>
        <w:rPr>
          <w:i/>
          <w:color w:val="231F20"/>
          <w:spacing w:val="-11"/>
          <w:sz w:val="21"/>
        </w:rPr>
        <w:t xml:space="preserve"> </w:t>
      </w:r>
      <w:r>
        <w:rPr>
          <w:i/>
          <w:color w:val="231F20"/>
          <w:sz w:val="21"/>
        </w:rPr>
        <w:t>захисту,</w:t>
      </w:r>
      <w:r>
        <w:rPr>
          <w:i/>
          <w:color w:val="231F20"/>
          <w:spacing w:val="-11"/>
          <w:sz w:val="21"/>
        </w:rPr>
        <w:t xml:space="preserve"> </w:t>
      </w:r>
      <w:r>
        <w:rPr>
          <w:i/>
          <w:color w:val="231F20"/>
          <w:sz w:val="21"/>
        </w:rPr>
        <w:t>зокрема</w:t>
      </w:r>
      <w:r>
        <w:rPr>
          <w:i/>
          <w:color w:val="231F20"/>
          <w:spacing w:val="-11"/>
          <w:sz w:val="21"/>
        </w:rPr>
        <w:t xml:space="preserve"> </w:t>
      </w:r>
      <w:r>
        <w:rPr>
          <w:i/>
          <w:color w:val="231F20"/>
          <w:sz w:val="21"/>
        </w:rPr>
        <w:t>на отримання</w:t>
      </w:r>
      <w:r>
        <w:rPr>
          <w:i/>
          <w:color w:val="231F20"/>
          <w:spacing w:val="-2"/>
          <w:sz w:val="21"/>
        </w:rPr>
        <w:t xml:space="preserve"> </w:t>
      </w:r>
      <w:r>
        <w:rPr>
          <w:i/>
          <w:color w:val="231F20"/>
          <w:sz w:val="21"/>
        </w:rPr>
        <w:t>субсидій</w:t>
      </w:r>
      <w:r>
        <w:rPr>
          <w:color w:val="231F20"/>
          <w:sz w:val="21"/>
        </w:rPr>
        <w:t>);</w:t>
      </w:r>
    </w:p>
    <w:p w14:paraId="24A1C46E" w14:textId="77777777" w:rsidR="00DE575E" w:rsidRDefault="002E7560">
      <w:pPr>
        <w:pStyle w:val="ListParagraph"/>
        <w:numPr>
          <w:ilvl w:val="1"/>
          <w:numId w:val="196"/>
        </w:numPr>
        <w:tabs>
          <w:tab w:val="left" w:pos="1101"/>
        </w:tabs>
        <w:spacing w:before="2" w:line="252" w:lineRule="auto"/>
        <w:ind w:right="127" w:firstLine="284"/>
        <w:jc w:val="both"/>
        <w:rPr>
          <w:sz w:val="21"/>
        </w:rPr>
      </w:pPr>
      <w:r>
        <w:rPr>
          <w:color w:val="231F20"/>
          <w:sz w:val="21"/>
        </w:rPr>
        <w:t xml:space="preserve">обтяжувальні (обмеження прав, свобод і законних інтересів, покладення обтяжень і обмежень на осіб – </w:t>
      </w:r>
      <w:r>
        <w:rPr>
          <w:i/>
          <w:color w:val="231F20"/>
          <w:sz w:val="21"/>
        </w:rPr>
        <w:t>напр., під час зменшення розміру</w:t>
      </w:r>
      <w:r>
        <w:rPr>
          <w:i/>
          <w:color w:val="231F20"/>
          <w:spacing w:val="-2"/>
          <w:sz w:val="21"/>
        </w:rPr>
        <w:t xml:space="preserve"> </w:t>
      </w:r>
      <w:r>
        <w:rPr>
          <w:i/>
          <w:color w:val="231F20"/>
          <w:sz w:val="21"/>
        </w:rPr>
        <w:t>субсидій</w:t>
      </w:r>
      <w:r>
        <w:rPr>
          <w:color w:val="231F20"/>
          <w:sz w:val="21"/>
        </w:rPr>
        <w:t>);</w:t>
      </w:r>
    </w:p>
    <w:p w14:paraId="6CF97C76" w14:textId="77777777" w:rsidR="00DE575E" w:rsidRDefault="002E7560">
      <w:pPr>
        <w:pStyle w:val="ListParagraph"/>
        <w:numPr>
          <w:ilvl w:val="1"/>
          <w:numId w:val="196"/>
        </w:numPr>
        <w:tabs>
          <w:tab w:val="left" w:pos="1101"/>
        </w:tabs>
        <w:spacing w:line="252" w:lineRule="auto"/>
        <w:ind w:right="127" w:firstLine="284"/>
        <w:jc w:val="both"/>
        <w:rPr>
          <w:sz w:val="21"/>
        </w:rPr>
      </w:pPr>
      <w:r>
        <w:rPr>
          <w:color w:val="231F20"/>
          <w:sz w:val="21"/>
        </w:rPr>
        <w:t>сприяльні акти (</w:t>
      </w:r>
      <w:r>
        <w:rPr>
          <w:i/>
          <w:color w:val="231F20"/>
          <w:sz w:val="21"/>
        </w:rPr>
        <w:t>підтвердження права, створення позитивних наслідків для особи, зокрема рішення про надання субсидії фізичній особі, фінансової допомоги юридичній</w:t>
      </w:r>
      <w:r>
        <w:rPr>
          <w:i/>
          <w:color w:val="231F20"/>
          <w:spacing w:val="-6"/>
          <w:sz w:val="21"/>
        </w:rPr>
        <w:t xml:space="preserve"> </w:t>
      </w:r>
      <w:r>
        <w:rPr>
          <w:i/>
          <w:color w:val="231F20"/>
          <w:sz w:val="21"/>
        </w:rPr>
        <w:t>особі</w:t>
      </w:r>
      <w:r>
        <w:rPr>
          <w:color w:val="231F20"/>
          <w:sz w:val="21"/>
        </w:rPr>
        <w:t>).</w:t>
      </w:r>
    </w:p>
    <w:p w14:paraId="3A28A62A" w14:textId="77777777" w:rsidR="00DE575E" w:rsidRDefault="002E7560">
      <w:pPr>
        <w:spacing w:before="2" w:line="252" w:lineRule="auto"/>
        <w:ind w:left="533" w:right="128" w:firstLine="283"/>
        <w:jc w:val="both"/>
        <w:rPr>
          <w:sz w:val="21"/>
        </w:rPr>
      </w:pPr>
      <w:r>
        <w:rPr>
          <w:color w:val="231F20"/>
          <w:sz w:val="21"/>
        </w:rPr>
        <w:t>Адміністративні</w:t>
      </w:r>
      <w:r>
        <w:rPr>
          <w:color w:val="231F20"/>
          <w:spacing w:val="-13"/>
          <w:sz w:val="21"/>
        </w:rPr>
        <w:t xml:space="preserve"> </w:t>
      </w:r>
      <w:r>
        <w:rPr>
          <w:color w:val="231F20"/>
          <w:sz w:val="21"/>
        </w:rPr>
        <w:t>акти</w:t>
      </w:r>
      <w:r>
        <w:rPr>
          <w:color w:val="231F20"/>
          <w:spacing w:val="-12"/>
          <w:sz w:val="21"/>
        </w:rPr>
        <w:t xml:space="preserve"> </w:t>
      </w:r>
      <w:r>
        <w:rPr>
          <w:color w:val="231F20"/>
          <w:sz w:val="21"/>
        </w:rPr>
        <w:t>можуть</w:t>
      </w:r>
      <w:r>
        <w:rPr>
          <w:color w:val="231F20"/>
          <w:spacing w:val="-12"/>
          <w:sz w:val="21"/>
        </w:rPr>
        <w:t xml:space="preserve"> </w:t>
      </w:r>
      <w:r>
        <w:rPr>
          <w:color w:val="231F20"/>
          <w:sz w:val="21"/>
        </w:rPr>
        <w:t>також</w:t>
      </w:r>
      <w:r>
        <w:rPr>
          <w:color w:val="231F20"/>
          <w:spacing w:val="-12"/>
          <w:sz w:val="21"/>
        </w:rPr>
        <w:t xml:space="preserve"> </w:t>
      </w:r>
      <w:r>
        <w:rPr>
          <w:color w:val="231F20"/>
          <w:sz w:val="21"/>
        </w:rPr>
        <w:t>бути</w:t>
      </w:r>
      <w:r>
        <w:rPr>
          <w:color w:val="231F20"/>
          <w:spacing w:val="-12"/>
          <w:sz w:val="21"/>
        </w:rPr>
        <w:t xml:space="preserve"> </w:t>
      </w:r>
      <w:r>
        <w:rPr>
          <w:color w:val="231F20"/>
          <w:sz w:val="21"/>
        </w:rPr>
        <w:t>класифіковані</w:t>
      </w:r>
      <w:r>
        <w:rPr>
          <w:color w:val="231F20"/>
          <w:spacing w:val="-11"/>
          <w:sz w:val="21"/>
        </w:rPr>
        <w:t xml:space="preserve"> </w:t>
      </w:r>
      <w:r>
        <w:rPr>
          <w:b/>
          <w:i/>
          <w:color w:val="231F20"/>
          <w:sz w:val="21"/>
        </w:rPr>
        <w:t>за</w:t>
      </w:r>
      <w:r>
        <w:rPr>
          <w:b/>
          <w:i/>
          <w:color w:val="231F20"/>
          <w:spacing w:val="-12"/>
          <w:sz w:val="21"/>
        </w:rPr>
        <w:t xml:space="preserve"> </w:t>
      </w:r>
      <w:r>
        <w:rPr>
          <w:b/>
          <w:i/>
          <w:color w:val="231F20"/>
          <w:sz w:val="21"/>
        </w:rPr>
        <w:t>функ- ціями у правовому регулюванні</w:t>
      </w:r>
      <w:r>
        <w:rPr>
          <w:b/>
          <w:i/>
          <w:color w:val="231F20"/>
          <w:spacing w:val="-4"/>
          <w:sz w:val="21"/>
        </w:rPr>
        <w:t xml:space="preserve"> </w:t>
      </w:r>
      <w:r>
        <w:rPr>
          <w:color w:val="231F20"/>
          <w:sz w:val="21"/>
        </w:rPr>
        <w:t>на:</w:t>
      </w:r>
    </w:p>
    <w:p w14:paraId="447B774B" w14:textId="77777777" w:rsidR="00DE575E" w:rsidRDefault="002E7560">
      <w:pPr>
        <w:pStyle w:val="ListParagraph"/>
        <w:numPr>
          <w:ilvl w:val="1"/>
          <w:numId w:val="197"/>
        </w:numPr>
        <w:tabs>
          <w:tab w:val="left" w:pos="1101"/>
        </w:tabs>
        <w:spacing w:line="252" w:lineRule="auto"/>
        <w:ind w:right="128" w:firstLine="284"/>
        <w:rPr>
          <w:sz w:val="21"/>
        </w:rPr>
      </w:pPr>
      <w:r>
        <w:rPr>
          <w:color w:val="231F20"/>
          <w:sz w:val="21"/>
        </w:rPr>
        <w:t>регулятивні – офіційно підтверджують або визначають права та обов’язки сторін, викладені в диспозиції регулятивних норм (</w:t>
      </w:r>
      <w:r>
        <w:rPr>
          <w:i/>
          <w:color w:val="231F20"/>
          <w:sz w:val="21"/>
        </w:rPr>
        <w:t>напр., свідоцтво про реєстрацію</w:t>
      </w:r>
      <w:r>
        <w:rPr>
          <w:i/>
          <w:color w:val="231F20"/>
          <w:spacing w:val="-5"/>
          <w:sz w:val="21"/>
        </w:rPr>
        <w:t xml:space="preserve"> </w:t>
      </w:r>
      <w:r>
        <w:rPr>
          <w:i/>
          <w:color w:val="231F20"/>
          <w:sz w:val="21"/>
        </w:rPr>
        <w:t>шлюбу</w:t>
      </w:r>
      <w:r>
        <w:rPr>
          <w:color w:val="231F20"/>
          <w:sz w:val="21"/>
        </w:rPr>
        <w:t>);</w:t>
      </w:r>
    </w:p>
    <w:p w14:paraId="4F9C5083" w14:textId="77777777" w:rsidR="00DE575E" w:rsidRDefault="002E7560">
      <w:pPr>
        <w:pStyle w:val="ListParagraph"/>
        <w:numPr>
          <w:ilvl w:val="1"/>
          <w:numId w:val="197"/>
        </w:numPr>
        <w:tabs>
          <w:tab w:val="left" w:pos="1101"/>
        </w:tabs>
        <w:spacing w:line="252" w:lineRule="auto"/>
        <w:ind w:right="128" w:firstLine="284"/>
        <w:rPr>
          <w:sz w:val="21"/>
        </w:rPr>
      </w:pPr>
      <w:r>
        <w:rPr>
          <w:color w:val="231F20"/>
          <w:sz w:val="21"/>
        </w:rPr>
        <w:t>охоронні – установлюють міру юридичної відповідальності відповідно</w:t>
      </w:r>
      <w:r>
        <w:rPr>
          <w:color w:val="231F20"/>
          <w:spacing w:val="-7"/>
          <w:sz w:val="21"/>
        </w:rPr>
        <w:t xml:space="preserve"> </w:t>
      </w:r>
      <w:r>
        <w:rPr>
          <w:color w:val="231F20"/>
          <w:sz w:val="21"/>
        </w:rPr>
        <w:t>до</w:t>
      </w:r>
      <w:r>
        <w:rPr>
          <w:color w:val="231F20"/>
          <w:spacing w:val="-7"/>
          <w:sz w:val="21"/>
        </w:rPr>
        <w:t xml:space="preserve"> </w:t>
      </w:r>
      <w:r>
        <w:rPr>
          <w:color w:val="231F20"/>
          <w:sz w:val="21"/>
        </w:rPr>
        <w:t>санкції</w:t>
      </w:r>
      <w:r>
        <w:rPr>
          <w:color w:val="231F20"/>
          <w:spacing w:val="-7"/>
          <w:sz w:val="21"/>
        </w:rPr>
        <w:t xml:space="preserve"> </w:t>
      </w:r>
      <w:r>
        <w:rPr>
          <w:color w:val="231F20"/>
          <w:sz w:val="21"/>
        </w:rPr>
        <w:t>охоронних</w:t>
      </w:r>
      <w:r>
        <w:rPr>
          <w:color w:val="231F20"/>
          <w:spacing w:val="-7"/>
          <w:sz w:val="21"/>
        </w:rPr>
        <w:t xml:space="preserve"> </w:t>
      </w:r>
      <w:r>
        <w:rPr>
          <w:color w:val="231F20"/>
          <w:sz w:val="21"/>
        </w:rPr>
        <w:t>норм</w:t>
      </w:r>
      <w:r>
        <w:rPr>
          <w:color w:val="231F20"/>
          <w:spacing w:val="-7"/>
          <w:sz w:val="21"/>
        </w:rPr>
        <w:t xml:space="preserve"> </w:t>
      </w:r>
      <w:r>
        <w:rPr>
          <w:color w:val="231F20"/>
          <w:sz w:val="21"/>
        </w:rPr>
        <w:t>(</w:t>
      </w:r>
      <w:r>
        <w:rPr>
          <w:i/>
          <w:color w:val="231F20"/>
          <w:sz w:val="21"/>
        </w:rPr>
        <w:t>н</w:t>
      </w:r>
      <w:r>
        <w:rPr>
          <w:i/>
          <w:color w:val="231F20"/>
          <w:sz w:val="21"/>
        </w:rPr>
        <w:t>апр.,</w:t>
      </w:r>
      <w:r>
        <w:rPr>
          <w:i/>
          <w:color w:val="231F20"/>
          <w:spacing w:val="-7"/>
          <w:sz w:val="21"/>
        </w:rPr>
        <w:t xml:space="preserve"> </w:t>
      </w:r>
      <w:r>
        <w:rPr>
          <w:i/>
          <w:color w:val="231F20"/>
          <w:sz w:val="21"/>
        </w:rPr>
        <w:t>постанова</w:t>
      </w:r>
      <w:r>
        <w:rPr>
          <w:i/>
          <w:color w:val="231F20"/>
          <w:spacing w:val="-7"/>
          <w:sz w:val="21"/>
        </w:rPr>
        <w:t xml:space="preserve"> </w:t>
      </w:r>
      <w:r>
        <w:rPr>
          <w:i/>
          <w:color w:val="231F20"/>
          <w:sz w:val="21"/>
        </w:rPr>
        <w:t>про</w:t>
      </w:r>
      <w:r>
        <w:rPr>
          <w:i/>
          <w:color w:val="231F20"/>
          <w:spacing w:val="-7"/>
          <w:sz w:val="21"/>
        </w:rPr>
        <w:t xml:space="preserve"> </w:t>
      </w:r>
      <w:r>
        <w:rPr>
          <w:i/>
          <w:color w:val="231F20"/>
          <w:sz w:val="21"/>
        </w:rPr>
        <w:t>притяг- нення до адміністративної</w:t>
      </w:r>
      <w:r>
        <w:rPr>
          <w:i/>
          <w:color w:val="231F20"/>
          <w:spacing w:val="-3"/>
          <w:sz w:val="21"/>
        </w:rPr>
        <w:t xml:space="preserve"> </w:t>
      </w:r>
      <w:r>
        <w:rPr>
          <w:i/>
          <w:color w:val="231F20"/>
          <w:sz w:val="21"/>
        </w:rPr>
        <w:t>відповідальності</w:t>
      </w:r>
      <w:r>
        <w:rPr>
          <w:color w:val="231F20"/>
          <w:sz w:val="21"/>
        </w:rPr>
        <w:t>)</w:t>
      </w:r>
      <w:r>
        <w:rPr>
          <w:color w:val="231F20"/>
          <w:position w:val="7"/>
          <w:sz w:val="12"/>
        </w:rPr>
        <w:t>1</w:t>
      </w:r>
      <w:r>
        <w:rPr>
          <w:color w:val="231F20"/>
          <w:sz w:val="21"/>
        </w:rPr>
        <w:t>.</w:t>
      </w:r>
    </w:p>
    <w:p w14:paraId="3AC98A61" w14:textId="77777777" w:rsidR="00DE575E" w:rsidRDefault="002E7560">
      <w:pPr>
        <w:spacing w:before="2"/>
        <w:ind w:left="817"/>
        <w:rPr>
          <w:sz w:val="21"/>
        </w:rPr>
      </w:pPr>
      <w:r>
        <w:rPr>
          <w:b/>
          <w:i/>
          <w:color w:val="231F20"/>
          <w:sz w:val="21"/>
        </w:rPr>
        <w:t xml:space="preserve">За порядком ухвалення </w:t>
      </w:r>
      <w:r>
        <w:rPr>
          <w:color w:val="231F20"/>
          <w:sz w:val="21"/>
        </w:rPr>
        <w:t>виділяють акти, які ухвалюються:</w:t>
      </w:r>
    </w:p>
    <w:p w14:paraId="60CE8E71"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одноособово;</w:t>
      </w:r>
    </w:p>
    <w:p w14:paraId="6F3B71C5"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колегіально;</w:t>
      </w:r>
    </w:p>
    <w:p w14:paraId="568881E9" w14:textId="77777777" w:rsidR="00DE575E" w:rsidRDefault="002E7560">
      <w:pPr>
        <w:pStyle w:val="BodyText"/>
        <w:spacing w:before="12"/>
        <w:ind w:left="817"/>
      </w:pPr>
      <w:r>
        <w:rPr>
          <w:rFonts w:ascii="Wingdings" w:hAnsi="Wingdings"/>
          <w:color w:val="231F20"/>
        </w:rPr>
        <w:t></w:t>
      </w:r>
      <w:r>
        <w:rPr>
          <w:rFonts w:ascii="Times New Roman" w:hAnsi="Times New Roman"/>
          <w:color w:val="231F20"/>
        </w:rPr>
        <w:t xml:space="preserve"> </w:t>
      </w:r>
      <w:r>
        <w:rPr>
          <w:color w:val="231F20"/>
        </w:rPr>
        <w:t>спільно двома чи більше суб’єктами;</w:t>
      </w:r>
    </w:p>
    <w:p w14:paraId="4DEC9E7C"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за узгодженням.</w:t>
      </w:r>
    </w:p>
    <w:p w14:paraId="0988E8E5" w14:textId="77777777" w:rsidR="00DE575E" w:rsidRDefault="002E7560">
      <w:pPr>
        <w:spacing w:before="13" w:line="252" w:lineRule="auto"/>
        <w:ind w:left="533" w:right="128" w:firstLine="283"/>
        <w:jc w:val="both"/>
        <w:rPr>
          <w:sz w:val="21"/>
        </w:rPr>
      </w:pPr>
      <w:r>
        <w:rPr>
          <w:b/>
          <w:i/>
          <w:color w:val="231F20"/>
          <w:sz w:val="21"/>
        </w:rPr>
        <w:t xml:space="preserve">За компетенцією </w:t>
      </w:r>
      <w:r>
        <w:rPr>
          <w:b/>
          <w:i/>
          <w:color w:val="231F20"/>
          <w:spacing w:val="-3"/>
          <w:sz w:val="21"/>
        </w:rPr>
        <w:t xml:space="preserve">суб’єктів </w:t>
      </w:r>
      <w:r>
        <w:rPr>
          <w:b/>
          <w:i/>
          <w:color w:val="231F20"/>
          <w:sz w:val="21"/>
        </w:rPr>
        <w:t>публічної адміністрації</w:t>
      </w:r>
      <w:r>
        <w:rPr>
          <w:color w:val="231F20"/>
          <w:sz w:val="21"/>
        </w:rPr>
        <w:t>, які мають право видавати чи ухвалювати індивідуальні акти, виокремлюють:</w:t>
      </w:r>
    </w:p>
    <w:p w14:paraId="645B579B" w14:textId="77777777" w:rsidR="00DE575E" w:rsidRDefault="002E7560">
      <w:pPr>
        <w:pStyle w:val="ListParagraph"/>
        <w:numPr>
          <w:ilvl w:val="0"/>
          <w:numId w:val="195"/>
        </w:numPr>
        <w:tabs>
          <w:tab w:val="left" w:pos="1101"/>
        </w:tabs>
        <w:ind w:firstLine="284"/>
        <w:rPr>
          <w:sz w:val="21"/>
        </w:rPr>
      </w:pPr>
      <w:r>
        <w:rPr>
          <w:color w:val="231F20"/>
          <w:sz w:val="21"/>
        </w:rPr>
        <w:t>розпорядження Кабінету Міністрів</w:t>
      </w:r>
      <w:r>
        <w:rPr>
          <w:color w:val="231F20"/>
          <w:spacing w:val="-3"/>
          <w:sz w:val="21"/>
        </w:rPr>
        <w:t xml:space="preserve"> України;</w:t>
      </w:r>
    </w:p>
    <w:p w14:paraId="1F3CBAEA" w14:textId="77777777" w:rsidR="00DE575E" w:rsidRDefault="002E7560">
      <w:pPr>
        <w:pStyle w:val="ListParagraph"/>
        <w:numPr>
          <w:ilvl w:val="0"/>
          <w:numId w:val="195"/>
        </w:numPr>
        <w:tabs>
          <w:tab w:val="left" w:pos="1101"/>
        </w:tabs>
        <w:spacing w:before="13" w:line="252" w:lineRule="auto"/>
        <w:ind w:right="128" w:firstLine="284"/>
        <w:jc w:val="both"/>
        <w:rPr>
          <w:sz w:val="21"/>
        </w:rPr>
      </w:pPr>
      <w:r>
        <w:rPr>
          <w:color w:val="231F20"/>
          <w:sz w:val="21"/>
        </w:rPr>
        <w:t>акти центральних органів виконавчої влади – у формі наказів, що мають індивідуальний</w:t>
      </w:r>
      <w:r>
        <w:rPr>
          <w:color w:val="231F20"/>
          <w:spacing w:val="-3"/>
          <w:sz w:val="21"/>
        </w:rPr>
        <w:t xml:space="preserve"> </w:t>
      </w:r>
      <w:r>
        <w:rPr>
          <w:color w:val="231F20"/>
          <w:sz w:val="21"/>
        </w:rPr>
        <w:t>характер;</w:t>
      </w:r>
    </w:p>
    <w:p w14:paraId="77DB622B" w14:textId="77777777" w:rsidR="00DE575E" w:rsidRDefault="002E7560">
      <w:pPr>
        <w:pStyle w:val="ListParagraph"/>
        <w:numPr>
          <w:ilvl w:val="0"/>
          <w:numId w:val="195"/>
        </w:numPr>
        <w:tabs>
          <w:tab w:val="left" w:pos="1101"/>
        </w:tabs>
        <w:spacing w:line="252" w:lineRule="auto"/>
        <w:ind w:right="128" w:firstLine="284"/>
        <w:jc w:val="both"/>
        <w:rPr>
          <w:sz w:val="21"/>
        </w:rPr>
      </w:pPr>
      <w:r>
        <w:rPr>
          <w:color w:val="231F20"/>
          <w:sz w:val="21"/>
        </w:rPr>
        <w:t>акти місцевих органів виконавчої влади – розпорядження, що мають індивідуальний</w:t>
      </w:r>
      <w:r>
        <w:rPr>
          <w:color w:val="231F20"/>
          <w:spacing w:val="-3"/>
          <w:sz w:val="21"/>
        </w:rPr>
        <w:t xml:space="preserve"> </w:t>
      </w:r>
      <w:r>
        <w:rPr>
          <w:color w:val="231F20"/>
          <w:sz w:val="21"/>
        </w:rPr>
        <w:t>характер;</w:t>
      </w:r>
    </w:p>
    <w:p w14:paraId="3652108B" w14:textId="1A1ABB0C" w:rsidR="00DE575E" w:rsidRDefault="002E7560">
      <w:pPr>
        <w:pStyle w:val="BodyText"/>
        <w:spacing w:before="3"/>
        <w:rPr>
          <w:sz w:val="24"/>
        </w:rPr>
      </w:pPr>
      <w:r>
        <w:rPr>
          <w:noProof/>
        </w:rPr>
        <mc:AlternateContent>
          <mc:Choice Requires="wps">
            <w:drawing>
              <wp:anchor distT="0" distB="0" distL="0" distR="0" simplePos="0" relativeHeight="9184" behindDoc="0" locked="0" layoutInCell="1" allowOverlap="1" wp14:anchorId="3E5664F1" wp14:editId="7E65953A">
                <wp:simplePos x="0" y="0"/>
                <wp:positionH relativeFrom="page">
                  <wp:posOffset>719455</wp:posOffset>
                </wp:positionH>
                <wp:positionV relativeFrom="paragraph">
                  <wp:posOffset>208280</wp:posOffset>
                </wp:positionV>
                <wp:extent cx="1080135" cy="0"/>
                <wp:effectExtent l="8255" t="17780" r="29210" b="20320"/>
                <wp:wrapTopAndBottom/>
                <wp:docPr id="842"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AE636" id="Line_x0020_841" o:spid="_x0000_s1026" style="position:absolute;z-index: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4pt" to="141.7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" strokecolor="#231f20" strokeweight=".5pt">
                <w10:wrap type="topAndBottom" anchorx="page"/>
              </v:line>
            </w:pict>
          </mc:Fallback>
        </mc:AlternateContent>
      </w:r>
    </w:p>
    <w:p w14:paraId="05518755" w14:textId="77777777" w:rsidR="00DE575E" w:rsidRDefault="002E7560">
      <w:pPr>
        <w:spacing w:line="162" w:lineRule="exact"/>
        <w:ind w:left="533"/>
        <w:rPr>
          <w:sz w:val="16"/>
        </w:rPr>
      </w:pPr>
      <w:r>
        <w:rPr>
          <w:color w:val="231F20"/>
          <w:position w:val="5"/>
          <w:sz w:val="9"/>
        </w:rPr>
        <w:t xml:space="preserve">1 </w:t>
      </w:r>
      <w:r>
        <w:rPr>
          <w:color w:val="231F20"/>
          <w:sz w:val="16"/>
        </w:rPr>
        <w:t>Мандюк О. Зазнач. праця. С. 63.</w:t>
      </w:r>
    </w:p>
    <w:p w14:paraId="23C16B66" w14:textId="77777777" w:rsidR="00DE575E" w:rsidRDefault="00DE575E">
      <w:pPr>
        <w:pStyle w:val="BodyText"/>
        <w:spacing w:before="10"/>
        <w:rPr>
          <w:sz w:val="11"/>
        </w:rPr>
      </w:pPr>
    </w:p>
    <w:p w14:paraId="4E41DF47" w14:textId="77777777" w:rsidR="00DE575E" w:rsidRDefault="002E7560">
      <w:pPr>
        <w:spacing w:before="92"/>
        <w:ind w:left="533"/>
        <w:rPr>
          <w:rFonts w:ascii="Times New Roman"/>
          <w:sz w:val="20"/>
        </w:rPr>
      </w:pPr>
      <w:r>
        <w:rPr>
          <w:rFonts w:ascii="Times New Roman"/>
          <w:color w:val="231F20"/>
          <w:sz w:val="20"/>
        </w:rPr>
        <w:t>226</w:t>
      </w:r>
    </w:p>
    <w:p w14:paraId="501F7B9C" w14:textId="77777777" w:rsidR="00DE575E" w:rsidRDefault="00DE575E">
      <w:pPr>
        <w:rPr>
          <w:rFonts w:ascii="Times New Roman"/>
          <w:sz w:val="20"/>
        </w:rPr>
        <w:sectPr w:rsidR="00DE575E">
          <w:pgSz w:w="8510" w:h="12760"/>
          <w:pgMar w:top="660" w:right="720" w:bottom="280" w:left="600" w:header="720" w:footer="720" w:gutter="0"/>
          <w:cols w:space="720"/>
        </w:sectPr>
      </w:pPr>
    </w:p>
    <w:p w14:paraId="62D60130"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46F86F65" w14:textId="597838B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36B3CA2" wp14:editId="6BA9503E">
                <wp:extent cx="4140200" cy="6350"/>
                <wp:effectExtent l="0" t="0" r="12700" b="6350"/>
                <wp:docPr id="840"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41" name="Line 84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6308CC" id="Group_x0020_83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40kxAH4CAACYBQAADgAA&#10;AAAAAAAAAAAAAAAsAgAAZHJzL2Uyb0RvYy54bWxQSwECLQAUAAYACAAAACEATKewkNkAAAADAQAA&#10;DwAAAAAAAAAAAAAAAADWBAAAZHJzL2Rvd25yZXYueG1sUEsFBgAAAAAEAAQA8wAAANwFAAAAAA==&#10;">
                <v:line id="Line_x0020_84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0DgMYAAADcAAAADwAAAGRycy9kb3ducmV2LnhtbESP0WrCQBRE3wv+w3IFX4purKVIdBUp&#10;FIoP2ho/4Jq9JsHduzG7mujXu0Khj8PMnGHmy84acaXGV44VjEcJCOLc6YoLBfvsazgF4QOyRuOY&#10;FNzIw3LRe5ljql3Lv3TdhUJECPsUFZQh1KmUPi/Joh+5mjh6R9dYDFE2hdQNthFujXxLkg9pseK4&#10;UGJNnyXlp93FKsjOr8H8bNemzbaHiTycN5P7ZaPUoN+tZiACdeE//Nf+1gqm72N4nolHQC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5dA4DGAAAA3AAAAA8AAAAAAAAA&#10;AAAAAAAAoQIAAGRycy9kb3ducmV2LnhtbFBLBQYAAAAABAAEAPkAAACUAwAAAAA=&#10;" strokecolor="#231f20" strokeweight=".5pt"/>
                <w10:anchorlock/>
              </v:group>
            </w:pict>
          </mc:Fallback>
        </mc:AlternateContent>
      </w:r>
    </w:p>
    <w:p w14:paraId="43D6512E" w14:textId="77777777" w:rsidR="00DE575E" w:rsidRDefault="00DE575E">
      <w:pPr>
        <w:pStyle w:val="BodyText"/>
        <w:spacing w:before="7"/>
        <w:rPr>
          <w:rFonts w:ascii="AdonisC"/>
          <w:i/>
          <w:sz w:val="19"/>
        </w:rPr>
      </w:pPr>
    </w:p>
    <w:p w14:paraId="0FF5233C" w14:textId="77777777" w:rsidR="00DE575E" w:rsidRDefault="002E7560">
      <w:pPr>
        <w:pStyle w:val="ListParagraph"/>
        <w:numPr>
          <w:ilvl w:val="0"/>
          <w:numId w:val="194"/>
        </w:numPr>
        <w:tabs>
          <w:tab w:val="left" w:pos="818"/>
        </w:tabs>
        <w:spacing w:line="252" w:lineRule="auto"/>
        <w:ind w:right="411" w:firstLine="283"/>
        <w:rPr>
          <w:sz w:val="21"/>
        </w:rPr>
      </w:pPr>
      <w:r>
        <w:rPr>
          <w:color w:val="231F20"/>
          <w:sz w:val="21"/>
        </w:rPr>
        <w:t>акти органів місцевого самоврядування – накази, що мають індивідуальний</w:t>
      </w:r>
      <w:r>
        <w:rPr>
          <w:color w:val="231F20"/>
          <w:spacing w:val="-2"/>
          <w:sz w:val="21"/>
        </w:rPr>
        <w:t xml:space="preserve"> </w:t>
      </w:r>
      <w:r>
        <w:rPr>
          <w:color w:val="231F20"/>
          <w:sz w:val="21"/>
        </w:rPr>
        <w:t>характер;</w:t>
      </w:r>
    </w:p>
    <w:p w14:paraId="4A558040" w14:textId="77777777" w:rsidR="00DE575E" w:rsidRDefault="002E7560">
      <w:pPr>
        <w:pStyle w:val="ListParagraph"/>
        <w:numPr>
          <w:ilvl w:val="0"/>
          <w:numId w:val="194"/>
        </w:numPr>
        <w:tabs>
          <w:tab w:val="left" w:pos="818"/>
        </w:tabs>
        <w:spacing w:line="252" w:lineRule="auto"/>
        <w:ind w:right="411" w:firstLine="283"/>
        <w:rPr>
          <w:sz w:val="21"/>
        </w:rPr>
      </w:pPr>
      <w:r>
        <w:rPr>
          <w:color w:val="231F20"/>
          <w:sz w:val="21"/>
        </w:rPr>
        <w:t>акти підприємств, установ, організацій, які мають адміністра- тивні повноваження, – накази, що мають індивіду</w:t>
      </w:r>
      <w:r>
        <w:rPr>
          <w:color w:val="231F20"/>
          <w:sz w:val="21"/>
        </w:rPr>
        <w:t>альний</w:t>
      </w:r>
      <w:r>
        <w:rPr>
          <w:color w:val="231F20"/>
          <w:spacing w:val="-23"/>
          <w:sz w:val="21"/>
        </w:rPr>
        <w:t xml:space="preserve"> </w:t>
      </w:r>
      <w:r>
        <w:rPr>
          <w:color w:val="231F20"/>
          <w:sz w:val="21"/>
        </w:rPr>
        <w:t>характер.</w:t>
      </w:r>
    </w:p>
    <w:p w14:paraId="4D25EDB7" w14:textId="77777777" w:rsidR="00DE575E" w:rsidRDefault="002E7560">
      <w:pPr>
        <w:spacing w:before="1" w:line="252" w:lineRule="auto"/>
        <w:ind w:left="250" w:right="346" w:firstLine="283"/>
        <w:rPr>
          <w:sz w:val="21"/>
        </w:rPr>
      </w:pPr>
      <w:r>
        <w:rPr>
          <w:b/>
          <w:i/>
          <w:color w:val="231F20"/>
          <w:sz w:val="21"/>
        </w:rPr>
        <w:t xml:space="preserve">За критерієм відповідності праву </w:t>
      </w:r>
      <w:r>
        <w:rPr>
          <w:color w:val="231F20"/>
          <w:sz w:val="21"/>
        </w:rPr>
        <w:t>адміністративні акти поділя- ються на:</w:t>
      </w:r>
    </w:p>
    <w:p w14:paraId="431D76D9" w14:textId="77777777" w:rsidR="00DE575E" w:rsidRDefault="002E7560">
      <w:pPr>
        <w:pStyle w:val="ListParagraph"/>
        <w:numPr>
          <w:ilvl w:val="0"/>
          <w:numId w:val="197"/>
        </w:numPr>
        <w:tabs>
          <w:tab w:val="left" w:pos="818"/>
        </w:tabs>
        <w:ind w:firstLine="283"/>
        <w:jc w:val="left"/>
        <w:rPr>
          <w:sz w:val="21"/>
        </w:rPr>
      </w:pPr>
      <w:r>
        <w:rPr>
          <w:color w:val="231F20"/>
          <w:sz w:val="21"/>
        </w:rPr>
        <w:t>правомірні;</w:t>
      </w:r>
    </w:p>
    <w:p w14:paraId="5C6535DA" w14:textId="77777777" w:rsidR="00DE575E" w:rsidRDefault="002E7560">
      <w:pPr>
        <w:pStyle w:val="ListParagraph"/>
        <w:numPr>
          <w:ilvl w:val="0"/>
          <w:numId w:val="197"/>
        </w:numPr>
        <w:tabs>
          <w:tab w:val="left" w:pos="818"/>
        </w:tabs>
        <w:spacing w:before="12"/>
        <w:ind w:firstLine="283"/>
        <w:jc w:val="left"/>
        <w:rPr>
          <w:sz w:val="21"/>
        </w:rPr>
      </w:pPr>
      <w:r>
        <w:rPr>
          <w:color w:val="231F20"/>
          <w:sz w:val="21"/>
        </w:rPr>
        <w:t>неправомірні.</w:t>
      </w:r>
    </w:p>
    <w:p w14:paraId="31CFCFED" w14:textId="77777777" w:rsidR="00DE575E" w:rsidRDefault="002E7560">
      <w:pPr>
        <w:spacing w:before="13" w:line="252" w:lineRule="auto"/>
        <w:ind w:left="250" w:firstLine="283"/>
        <w:rPr>
          <w:sz w:val="21"/>
        </w:rPr>
      </w:pPr>
      <w:r>
        <w:rPr>
          <w:b/>
          <w:i/>
          <w:color w:val="231F20"/>
          <w:sz w:val="21"/>
        </w:rPr>
        <w:t xml:space="preserve">Залежно від наявності очевидних особливо значних недоліків (вад) </w:t>
      </w:r>
      <w:r>
        <w:rPr>
          <w:color w:val="231F20"/>
          <w:sz w:val="21"/>
        </w:rPr>
        <w:t>– нікчемні (недійсні) та оспорювані (заперечувані) акти.</w:t>
      </w:r>
    </w:p>
    <w:p w14:paraId="0C6887E0" w14:textId="77777777" w:rsidR="00DE575E" w:rsidRDefault="00DE575E">
      <w:pPr>
        <w:pStyle w:val="BodyText"/>
        <w:spacing w:before="1"/>
        <w:rPr>
          <w:sz w:val="22"/>
        </w:rPr>
      </w:pPr>
    </w:p>
    <w:p w14:paraId="21314883" w14:textId="77777777" w:rsidR="00DE575E" w:rsidRDefault="002E7560">
      <w:pPr>
        <w:pStyle w:val="Heading5"/>
        <w:numPr>
          <w:ilvl w:val="2"/>
          <w:numId w:val="198"/>
        </w:numPr>
        <w:tabs>
          <w:tab w:val="left" w:pos="1099"/>
        </w:tabs>
        <w:ind w:left="1098"/>
        <w:jc w:val="left"/>
      </w:pPr>
      <w:r>
        <w:rPr>
          <w:color w:val="231F20"/>
        </w:rPr>
        <w:t>Процедура ухвалення (видання) індивідуальних</w:t>
      </w:r>
      <w:r>
        <w:rPr>
          <w:color w:val="231F20"/>
          <w:spacing w:val="-12"/>
        </w:rPr>
        <w:t xml:space="preserve"> </w:t>
      </w:r>
      <w:r>
        <w:rPr>
          <w:color w:val="231F20"/>
        </w:rPr>
        <w:t>актів</w:t>
      </w:r>
    </w:p>
    <w:p w14:paraId="7AB77C8A" w14:textId="77777777" w:rsidR="00DE575E" w:rsidRDefault="00DE575E">
      <w:pPr>
        <w:pStyle w:val="BodyText"/>
        <w:spacing w:before="2"/>
        <w:rPr>
          <w:b/>
          <w:sz w:val="23"/>
        </w:rPr>
      </w:pPr>
    </w:p>
    <w:p w14:paraId="6C31A7C0" w14:textId="77777777" w:rsidR="00DE575E" w:rsidRDefault="002E7560">
      <w:pPr>
        <w:pStyle w:val="BodyText"/>
        <w:spacing w:line="252" w:lineRule="auto"/>
        <w:ind w:left="250" w:right="410" w:firstLine="283"/>
        <w:jc w:val="both"/>
      </w:pPr>
      <w:r>
        <w:rPr>
          <w:color w:val="231F20"/>
        </w:rPr>
        <w:t>Процедура ухвалення адміністративних актів складається з певних</w:t>
      </w:r>
      <w:r>
        <w:rPr>
          <w:color w:val="231F20"/>
          <w:spacing w:val="-6"/>
        </w:rPr>
        <w:t xml:space="preserve"> </w:t>
      </w:r>
      <w:r>
        <w:rPr>
          <w:color w:val="231F20"/>
        </w:rPr>
        <w:t>стадій,</w:t>
      </w:r>
      <w:r>
        <w:rPr>
          <w:color w:val="231F20"/>
          <w:spacing w:val="-5"/>
        </w:rPr>
        <w:t xml:space="preserve"> </w:t>
      </w:r>
      <w:r>
        <w:rPr>
          <w:color w:val="231F20"/>
        </w:rPr>
        <w:t>які</w:t>
      </w:r>
      <w:r>
        <w:rPr>
          <w:color w:val="231F20"/>
          <w:spacing w:val="-6"/>
        </w:rPr>
        <w:t xml:space="preserve"> </w:t>
      </w:r>
      <w:r>
        <w:rPr>
          <w:color w:val="231F20"/>
        </w:rPr>
        <w:t>розглядаються</w:t>
      </w:r>
      <w:r>
        <w:rPr>
          <w:color w:val="231F20"/>
          <w:spacing w:val="-6"/>
        </w:rPr>
        <w:t xml:space="preserve"> </w:t>
      </w:r>
      <w:r>
        <w:rPr>
          <w:color w:val="231F20"/>
        </w:rPr>
        <w:t>переважно</w:t>
      </w:r>
      <w:r>
        <w:rPr>
          <w:color w:val="231F20"/>
          <w:spacing w:val="-6"/>
        </w:rPr>
        <w:t xml:space="preserve"> </w:t>
      </w:r>
      <w:r>
        <w:rPr>
          <w:color w:val="231F20"/>
        </w:rPr>
        <w:t>як</w:t>
      </w:r>
      <w:r>
        <w:rPr>
          <w:color w:val="231F20"/>
          <w:spacing w:val="-5"/>
        </w:rPr>
        <w:t xml:space="preserve"> </w:t>
      </w:r>
      <w:r>
        <w:rPr>
          <w:color w:val="231F20"/>
        </w:rPr>
        <w:t>відносно</w:t>
      </w:r>
      <w:r>
        <w:rPr>
          <w:color w:val="231F20"/>
          <w:spacing w:val="-6"/>
        </w:rPr>
        <w:t xml:space="preserve"> </w:t>
      </w:r>
      <w:r>
        <w:rPr>
          <w:color w:val="231F20"/>
        </w:rPr>
        <w:t>самостійна сукупність послідовно здійснюваних, узаємопов’язаних</w:t>
      </w:r>
      <w:r>
        <w:rPr>
          <w:color w:val="231F20"/>
          <w:spacing w:val="-26"/>
        </w:rPr>
        <w:t xml:space="preserve"> </w:t>
      </w:r>
      <w:r>
        <w:rPr>
          <w:color w:val="231F20"/>
        </w:rPr>
        <w:t xml:space="preserve">процесуаль- них дій, </w:t>
      </w:r>
      <w:r>
        <w:rPr>
          <w:color w:val="231F20"/>
          <w:spacing w:val="-3"/>
        </w:rPr>
        <w:t xml:space="preserve">об’єднаних </w:t>
      </w:r>
      <w:r>
        <w:rPr>
          <w:color w:val="231F20"/>
        </w:rPr>
        <w:t>однією</w:t>
      </w:r>
      <w:r>
        <w:rPr>
          <w:color w:val="231F20"/>
          <w:spacing w:val="-1"/>
        </w:rPr>
        <w:t xml:space="preserve"> </w:t>
      </w:r>
      <w:r>
        <w:rPr>
          <w:color w:val="231F20"/>
        </w:rPr>
        <w:t>метою.</w:t>
      </w:r>
    </w:p>
    <w:p w14:paraId="47FD6710" w14:textId="77777777" w:rsidR="00DE575E" w:rsidRDefault="002E7560">
      <w:pPr>
        <w:spacing w:before="2" w:line="252" w:lineRule="auto"/>
        <w:ind w:left="250" w:right="128" w:firstLine="283"/>
        <w:rPr>
          <w:sz w:val="21"/>
        </w:rPr>
      </w:pPr>
      <w:r>
        <w:rPr>
          <w:color w:val="231F20"/>
          <w:sz w:val="21"/>
        </w:rPr>
        <w:t xml:space="preserve">Узагальнено </w:t>
      </w:r>
      <w:r>
        <w:rPr>
          <w:b/>
          <w:i/>
          <w:color w:val="231F20"/>
          <w:sz w:val="21"/>
        </w:rPr>
        <w:t xml:space="preserve">процедура ухвалення (видання) індивідуальних актів </w:t>
      </w:r>
      <w:r>
        <w:rPr>
          <w:color w:val="231F20"/>
          <w:sz w:val="21"/>
        </w:rPr>
        <w:t>виглядає таким чином:</w:t>
      </w:r>
    </w:p>
    <w:p w14:paraId="5F67A375" w14:textId="77777777" w:rsidR="00DE575E" w:rsidRDefault="002E7560">
      <w:pPr>
        <w:pStyle w:val="ListParagraph"/>
        <w:numPr>
          <w:ilvl w:val="0"/>
          <w:numId w:val="193"/>
        </w:numPr>
        <w:tabs>
          <w:tab w:val="left" w:pos="818"/>
        </w:tabs>
        <w:ind w:firstLine="283"/>
        <w:rPr>
          <w:sz w:val="21"/>
        </w:rPr>
      </w:pPr>
      <w:r>
        <w:rPr>
          <w:color w:val="231F20"/>
          <w:sz w:val="21"/>
        </w:rPr>
        <w:t>порушення адміністративної</w:t>
      </w:r>
      <w:r>
        <w:rPr>
          <w:color w:val="231F20"/>
          <w:spacing w:val="-3"/>
          <w:sz w:val="21"/>
        </w:rPr>
        <w:t xml:space="preserve"> </w:t>
      </w:r>
      <w:r>
        <w:rPr>
          <w:color w:val="231F20"/>
          <w:sz w:val="21"/>
        </w:rPr>
        <w:t>справи;</w:t>
      </w:r>
    </w:p>
    <w:p w14:paraId="25F6A6C2" w14:textId="77777777" w:rsidR="00DE575E" w:rsidRDefault="002E7560">
      <w:pPr>
        <w:pStyle w:val="ListParagraph"/>
        <w:numPr>
          <w:ilvl w:val="0"/>
          <w:numId w:val="193"/>
        </w:numPr>
        <w:tabs>
          <w:tab w:val="left" w:pos="818"/>
        </w:tabs>
        <w:spacing w:before="13"/>
        <w:ind w:firstLine="283"/>
        <w:rPr>
          <w:sz w:val="21"/>
        </w:rPr>
      </w:pPr>
      <w:r>
        <w:rPr>
          <w:color w:val="231F20"/>
          <w:sz w:val="21"/>
        </w:rPr>
        <w:t>підготовка адміністративної справи до</w:t>
      </w:r>
      <w:r>
        <w:rPr>
          <w:color w:val="231F20"/>
          <w:spacing w:val="-5"/>
          <w:sz w:val="21"/>
        </w:rPr>
        <w:t xml:space="preserve"> </w:t>
      </w:r>
      <w:r>
        <w:rPr>
          <w:color w:val="231F20"/>
          <w:spacing w:val="-3"/>
          <w:sz w:val="21"/>
        </w:rPr>
        <w:t>розгляду;</w:t>
      </w:r>
    </w:p>
    <w:p w14:paraId="02681F7F" w14:textId="77777777" w:rsidR="00DE575E" w:rsidRDefault="002E7560">
      <w:pPr>
        <w:pStyle w:val="ListParagraph"/>
        <w:numPr>
          <w:ilvl w:val="0"/>
          <w:numId w:val="193"/>
        </w:numPr>
        <w:tabs>
          <w:tab w:val="left" w:pos="818"/>
        </w:tabs>
        <w:spacing w:before="13" w:line="252" w:lineRule="auto"/>
        <w:ind w:right="411" w:firstLine="283"/>
        <w:rPr>
          <w:sz w:val="21"/>
        </w:rPr>
      </w:pPr>
      <w:r>
        <w:rPr>
          <w:color w:val="231F20"/>
          <w:spacing w:val="-3"/>
          <w:sz w:val="21"/>
        </w:rPr>
        <w:t xml:space="preserve">розгляд </w:t>
      </w:r>
      <w:r>
        <w:rPr>
          <w:color w:val="231F20"/>
          <w:sz w:val="21"/>
        </w:rPr>
        <w:t>адміністративної справи та ухвалення індивідуаль- ного</w:t>
      </w:r>
      <w:r>
        <w:rPr>
          <w:color w:val="231F20"/>
          <w:spacing w:val="-1"/>
          <w:sz w:val="21"/>
        </w:rPr>
        <w:t xml:space="preserve"> </w:t>
      </w:r>
      <w:r>
        <w:rPr>
          <w:color w:val="231F20"/>
          <w:sz w:val="21"/>
        </w:rPr>
        <w:t>акта;</w:t>
      </w:r>
    </w:p>
    <w:p w14:paraId="6F8CF565" w14:textId="77777777" w:rsidR="00DE575E" w:rsidRDefault="002E7560">
      <w:pPr>
        <w:pStyle w:val="ListParagraph"/>
        <w:numPr>
          <w:ilvl w:val="0"/>
          <w:numId w:val="193"/>
        </w:numPr>
        <w:tabs>
          <w:tab w:val="left" w:pos="818"/>
        </w:tabs>
        <w:ind w:firstLine="283"/>
        <w:rPr>
          <w:sz w:val="21"/>
        </w:rPr>
      </w:pPr>
      <w:r>
        <w:rPr>
          <w:color w:val="231F20"/>
          <w:sz w:val="21"/>
        </w:rPr>
        <w:t>оскарження індивідуального</w:t>
      </w:r>
      <w:r>
        <w:rPr>
          <w:color w:val="231F20"/>
          <w:spacing w:val="-2"/>
          <w:sz w:val="21"/>
        </w:rPr>
        <w:t xml:space="preserve"> </w:t>
      </w:r>
      <w:r>
        <w:rPr>
          <w:color w:val="231F20"/>
          <w:sz w:val="21"/>
        </w:rPr>
        <w:t>акта.</w:t>
      </w:r>
    </w:p>
    <w:p w14:paraId="0DAF0E9F" w14:textId="77777777" w:rsidR="00DE575E" w:rsidRDefault="002E7560">
      <w:pPr>
        <w:pStyle w:val="BodyText"/>
        <w:spacing w:before="13"/>
        <w:ind w:left="533"/>
      </w:pPr>
      <w:r>
        <w:rPr>
          <w:color w:val="231F20"/>
        </w:rPr>
        <w:t>Перші три стадії є основними, четверта – факультативною.</w:t>
      </w:r>
    </w:p>
    <w:p w14:paraId="0FD09599" w14:textId="77777777" w:rsidR="00DE575E" w:rsidRDefault="002E7560">
      <w:pPr>
        <w:pStyle w:val="BodyText"/>
        <w:spacing w:before="13" w:line="252" w:lineRule="auto"/>
        <w:ind w:left="250" w:right="410" w:firstLine="283"/>
        <w:jc w:val="both"/>
      </w:pPr>
      <w:r>
        <w:rPr>
          <w:i/>
          <w:color w:val="231F20"/>
        </w:rPr>
        <w:t xml:space="preserve">Стадія порушення адміністративної справи </w:t>
      </w:r>
      <w:r>
        <w:rPr>
          <w:color w:val="231F20"/>
        </w:rPr>
        <w:t>має певні особли- вості</w:t>
      </w:r>
      <w:r>
        <w:rPr>
          <w:color w:val="231F20"/>
          <w:spacing w:val="-6"/>
        </w:rPr>
        <w:t xml:space="preserve"> </w:t>
      </w:r>
      <w:r>
        <w:rPr>
          <w:color w:val="231F20"/>
        </w:rPr>
        <w:t>залежно</w:t>
      </w:r>
      <w:r>
        <w:rPr>
          <w:color w:val="231F20"/>
          <w:spacing w:val="-6"/>
        </w:rPr>
        <w:t xml:space="preserve"> </w:t>
      </w:r>
      <w:r>
        <w:rPr>
          <w:color w:val="231F20"/>
        </w:rPr>
        <w:t>від</w:t>
      </w:r>
      <w:r>
        <w:rPr>
          <w:color w:val="231F20"/>
          <w:spacing w:val="-5"/>
        </w:rPr>
        <w:t xml:space="preserve"> </w:t>
      </w:r>
      <w:r>
        <w:rPr>
          <w:color w:val="231F20"/>
        </w:rPr>
        <w:t>того,</w:t>
      </w:r>
      <w:r>
        <w:rPr>
          <w:color w:val="231F20"/>
          <w:spacing w:val="-5"/>
        </w:rPr>
        <w:t xml:space="preserve"> </w:t>
      </w:r>
      <w:r>
        <w:rPr>
          <w:color w:val="231F20"/>
        </w:rPr>
        <w:t>процедура</w:t>
      </w:r>
      <w:r>
        <w:rPr>
          <w:color w:val="231F20"/>
          <w:spacing w:val="-6"/>
        </w:rPr>
        <w:t xml:space="preserve"> </w:t>
      </w:r>
      <w:r>
        <w:rPr>
          <w:color w:val="231F20"/>
        </w:rPr>
        <w:t>ця</w:t>
      </w:r>
      <w:r>
        <w:rPr>
          <w:color w:val="231F20"/>
          <w:spacing w:val="-5"/>
        </w:rPr>
        <w:t xml:space="preserve"> </w:t>
      </w:r>
      <w:r>
        <w:rPr>
          <w:color w:val="231F20"/>
        </w:rPr>
        <w:t>є</w:t>
      </w:r>
      <w:r>
        <w:rPr>
          <w:color w:val="231F20"/>
          <w:spacing w:val="-6"/>
        </w:rPr>
        <w:t xml:space="preserve"> </w:t>
      </w:r>
      <w:r>
        <w:rPr>
          <w:i/>
          <w:color w:val="231F20"/>
        </w:rPr>
        <w:t>заявною</w:t>
      </w:r>
      <w:r>
        <w:rPr>
          <w:i/>
          <w:color w:val="231F20"/>
          <w:spacing w:val="-6"/>
        </w:rPr>
        <w:t xml:space="preserve"> </w:t>
      </w:r>
      <w:r>
        <w:rPr>
          <w:color w:val="231F20"/>
        </w:rPr>
        <w:t>чи</w:t>
      </w:r>
      <w:r>
        <w:rPr>
          <w:color w:val="231F20"/>
          <w:spacing w:val="-6"/>
        </w:rPr>
        <w:t xml:space="preserve"> </w:t>
      </w:r>
      <w:r>
        <w:rPr>
          <w:i/>
          <w:color w:val="231F20"/>
        </w:rPr>
        <w:t>втручальною</w:t>
      </w:r>
      <w:r>
        <w:rPr>
          <w:color w:val="231F20"/>
        </w:rPr>
        <w:t>.</w:t>
      </w:r>
      <w:r>
        <w:rPr>
          <w:color w:val="231F20"/>
          <w:spacing w:val="-5"/>
        </w:rPr>
        <w:t xml:space="preserve"> </w:t>
      </w:r>
      <w:r>
        <w:rPr>
          <w:color w:val="231F20"/>
          <w:spacing w:val="-4"/>
        </w:rPr>
        <w:t xml:space="preserve">Так, </w:t>
      </w:r>
      <w:r>
        <w:rPr>
          <w:color w:val="231F20"/>
        </w:rPr>
        <w:t xml:space="preserve">порушення адміністративної справи може здійснюватися за ініці- ативою приватної особи, яка звертається до відповідного органу    із заявою, або за ініціативою адміністративного </w:t>
      </w:r>
      <w:r>
        <w:rPr>
          <w:color w:val="231F20"/>
          <w:spacing w:val="-3"/>
        </w:rPr>
        <w:t xml:space="preserve">органу, </w:t>
      </w:r>
      <w:r>
        <w:rPr>
          <w:color w:val="231F20"/>
        </w:rPr>
        <w:t>який це робить у зв’язку з виконанням своїх повноважень. Коли порушення</w:t>
      </w:r>
      <w:r>
        <w:rPr>
          <w:color w:val="231F20"/>
        </w:rPr>
        <w:t xml:space="preserve"> адміністративної справи здійснюється за заявою приватної особи, адміністративний орган має перевірити правильність визначення компетентного </w:t>
      </w:r>
      <w:r>
        <w:rPr>
          <w:color w:val="231F20"/>
          <w:spacing w:val="-3"/>
        </w:rPr>
        <w:t xml:space="preserve">органу, </w:t>
      </w:r>
      <w:r>
        <w:rPr>
          <w:color w:val="231F20"/>
        </w:rPr>
        <w:t>правосуб’єктність особи в цих правовідноси- нах, повноту поданих (наявних) документів</w:t>
      </w:r>
      <w:r>
        <w:rPr>
          <w:color w:val="231F20"/>
          <w:spacing w:val="-6"/>
        </w:rPr>
        <w:t xml:space="preserve"> </w:t>
      </w:r>
      <w:r>
        <w:rPr>
          <w:color w:val="231F20"/>
        </w:rPr>
        <w:t>тощо</w:t>
      </w:r>
      <w:r>
        <w:rPr>
          <w:color w:val="231F20"/>
          <w:position w:val="7"/>
          <w:sz w:val="12"/>
        </w:rPr>
        <w:t>1</w:t>
      </w:r>
      <w:r>
        <w:rPr>
          <w:color w:val="231F20"/>
        </w:rPr>
        <w:t>.</w:t>
      </w:r>
    </w:p>
    <w:p w14:paraId="5007CC06" w14:textId="77777777" w:rsidR="00DE575E" w:rsidRDefault="002E7560">
      <w:pPr>
        <w:spacing w:before="5" w:line="252" w:lineRule="auto"/>
        <w:ind w:left="250" w:firstLine="283"/>
        <w:rPr>
          <w:sz w:val="21"/>
        </w:rPr>
      </w:pPr>
      <w:r>
        <w:rPr>
          <w:color w:val="231F20"/>
          <w:sz w:val="21"/>
        </w:rPr>
        <w:t>У свою чергу д</w:t>
      </w:r>
      <w:r>
        <w:rPr>
          <w:color w:val="231F20"/>
          <w:sz w:val="21"/>
        </w:rPr>
        <w:t xml:space="preserve">ля </w:t>
      </w:r>
      <w:r>
        <w:rPr>
          <w:i/>
          <w:color w:val="231F20"/>
          <w:sz w:val="21"/>
        </w:rPr>
        <w:t xml:space="preserve">порушення справи за ініціативною адміністра- тивного органу </w:t>
      </w:r>
      <w:r>
        <w:rPr>
          <w:color w:val="231F20"/>
          <w:sz w:val="21"/>
        </w:rPr>
        <w:t>мають бути певні юридичні та фактичні підстави.</w:t>
      </w:r>
    </w:p>
    <w:p w14:paraId="562AD9EB" w14:textId="71DDD7FA" w:rsidR="00DE575E" w:rsidRDefault="002E7560">
      <w:pPr>
        <w:pStyle w:val="BodyText"/>
        <w:spacing w:before="4"/>
        <w:rPr>
          <w:sz w:val="24"/>
        </w:rPr>
      </w:pPr>
      <w:r>
        <w:rPr>
          <w:noProof/>
        </w:rPr>
        <mc:AlternateContent>
          <mc:Choice Requires="wps">
            <w:drawing>
              <wp:anchor distT="0" distB="0" distL="0" distR="0" simplePos="0" relativeHeight="9232" behindDoc="0" locked="0" layoutInCell="1" allowOverlap="1" wp14:anchorId="232815EE" wp14:editId="4E7B7900">
                <wp:simplePos x="0" y="0"/>
                <wp:positionH relativeFrom="page">
                  <wp:posOffset>539750</wp:posOffset>
                </wp:positionH>
                <wp:positionV relativeFrom="paragraph">
                  <wp:posOffset>208915</wp:posOffset>
                </wp:positionV>
                <wp:extent cx="1080135" cy="0"/>
                <wp:effectExtent l="6350" t="18415" r="31115" b="19685"/>
                <wp:wrapTopAndBottom/>
                <wp:docPr id="839"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8DDA3" id="Line_x0020_838" o:spid="_x0000_s1026" style="position:absolute;z-index: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5pt" to="127.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" strokecolor="#231f20" strokeweight=".5pt">
                <w10:wrap type="topAndBottom" anchorx="page"/>
              </v:line>
            </w:pict>
          </mc:Fallback>
        </mc:AlternateContent>
      </w:r>
    </w:p>
    <w:p w14:paraId="44F7011C" w14:textId="77777777" w:rsidR="00DE575E" w:rsidRDefault="002E7560">
      <w:pPr>
        <w:spacing w:line="162" w:lineRule="exact"/>
        <w:ind w:left="250"/>
        <w:rPr>
          <w:sz w:val="16"/>
        </w:rPr>
      </w:pPr>
      <w:r>
        <w:rPr>
          <w:color w:val="231F20"/>
          <w:position w:val="5"/>
          <w:sz w:val="9"/>
        </w:rPr>
        <w:t xml:space="preserve">1 </w:t>
      </w:r>
      <w:r>
        <w:rPr>
          <w:color w:val="231F20"/>
          <w:sz w:val="16"/>
        </w:rPr>
        <w:t>Тимощук В. Зазнач. праця. С. 69.</w:t>
      </w:r>
    </w:p>
    <w:p w14:paraId="52F268DC" w14:textId="77777777" w:rsidR="00DE575E" w:rsidRDefault="00DE575E">
      <w:pPr>
        <w:pStyle w:val="BodyText"/>
        <w:spacing w:before="10"/>
        <w:rPr>
          <w:sz w:val="11"/>
        </w:rPr>
      </w:pPr>
    </w:p>
    <w:p w14:paraId="38ADAA05" w14:textId="77777777" w:rsidR="00DE575E" w:rsidRDefault="002E7560">
      <w:pPr>
        <w:spacing w:before="92"/>
        <w:ind w:right="411"/>
        <w:jc w:val="right"/>
        <w:rPr>
          <w:rFonts w:ascii="Times New Roman"/>
          <w:sz w:val="20"/>
        </w:rPr>
      </w:pPr>
      <w:r>
        <w:rPr>
          <w:rFonts w:ascii="Times New Roman"/>
          <w:color w:val="231F20"/>
          <w:w w:val="90"/>
          <w:sz w:val="20"/>
        </w:rPr>
        <w:t>227</w:t>
      </w:r>
    </w:p>
    <w:p w14:paraId="7960637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1D4004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D1A908F" w14:textId="3975506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3DE1C9B" wp14:editId="77C41C0F">
                <wp:extent cx="4140200" cy="6350"/>
                <wp:effectExtent l="0" t="0" r="12700" b="6350"/>
                <wp:docPr id="837"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38" name="Line 8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8C8152" id="Group_x0020_8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KECwpgAIAAJgFAAAO&#10;AAAAAAAAAAAAAAAAACwCAABkcnMvZTJvRG9jLnhtbFBLAQItABQABgAIAAAAIQBMp7CQ2QAAAAMB&#10;AAAPAAAAAAAAAAAAAAAAANgEAABkcnMvZG93bnJldi54bWxQSwUGAAAAAAQABADzAAAA3gUAAAAA&#10;">
                <v:line id="Line_x0020_8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HZYMIAAADcAAAADwAAAGRycy9kb3ducmV2LnhtbERP3WrCMBS+H/gO4Qi7GZpuhSHVKCIM&#10;xAt11gc4Nse2mJzUJtpuT28uBC8/vv/ZordG3Kn1tWMFn+MEBHHhdM2lgmP+M5qA8AFZo3FMCv7I&#10;w2I+eJthpl3Hv3Q/hFLEEPYZKqhCaDIpfVGRRT92DXHkzq61GCJsS6lb7GK4NfIrSb6lxZpjQ4UN&#10;rSoqLoebVZBfP4LZ7zamy3enVJ6u2/T/tlXqfdgvpyAC9eElfrrXWsEkjWvjmXgE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2HZYMIAAADcAAAADwAAAAAAAAAAAAAA&#10;AAChAgAAZHJzL2Rvd25yZXYueG1sUEsFBgAAAAAEAAQA+QAAAJADAAAAAA==&#10;" strokecolor="#231f20" strokeweight=".5pt"/>
                <w10:anchorlock/>
              </v:group>
            </w:pict>
          </mc:Fallback>
        </mc:AlternateContent>
      </w:r>
    </w:p>
    <w:p w14:paraId="3F289AB7" w14:textId="77777777" w:rsidR="00DE575E" w:rsidRDefault="00DE575E">
      <w:pPr>
        <w:pStyle w:val="BodyText"/>
        <w:spacing w:before="7"/>
        <w:rPr>
          <w:rFonts w:ascii="AdonisC"/>
          <w:i/>
          <w:sz w:val="11"/>
        </w:rPr>
      </w:pPr>
    </w:p>
    <w:p w14:paraId="13C42404" w14:textId="77777777" w:rsidR="00DE575E" w:rsidRDefault="002E7560">
      <w:pPr>
        <w:pStyle w:val="BodyText"/>
        <w:spacing w:before="101" w:line="252" w:lineRule="auto"/>
        <w:ind w:left="533" w:right="125"/>
        <w:jc w:val="both"/>
      </w:pPr>
      <w:r>
        <w:rPr>
          <w:color w:val="231F20"/>
        </w:rPr>
        <w:t xml:space="preserve">Юридичною підставою є наявність правової норми, яка надає такі повноваження відповідному адміністративному органу. Натомість </w:t>
      </w:r>
      <w:r>
        <w:rPr>
          <w:i/>
          <w:color w:val="231F20"/>
        </w:rPr>
        <w:t xml:space="preserve">фактичною підставою </w:t>
      </w:r>
      <w:r>
        <w:rPr>
          <w:color w:val="231F20"/>
        </w:rPr>
        <w:t>є конкретні обставини, за наявності яких орган може порушити справу. Ця ст</w:t>
      </w:r>
      <w:r>
        <w:rPr>
          <w:color w:val="231F20"/>
        </w:rPr>
        <w:t>адія, як правило, завершується складанням протоколу або акта, на підставі якого в майбутньому може бути ухвалено адміністративний акт.</w:t>
      </w:r>
    </w:p>
    <w:p w14:paraId="66A67682" w14:textId="77777777" w:rsidR="00DE575E" w:rsidRDefault="002E7560">
      <w:pPr>
        <w:spacing w:before="3" w:line="252" w:lineRule="auto"/>
        <w:ind w:left="533" w:right="128" w:firstLine="283"/>
        <w:jc w:val="both"/>
        <w:rPr>
          <w:sz w:val="21"/>
        </w:rPr>
      </w:pPr>
      <w:r>
        <w:rPr>
          <w:i/>
          <w:color w:val="231F20"/>
          <w:spacing w:val="-3"/>
          <w:sz w:val="21"/>
        </w:rPr>
        <w:t xml:space="preserve">Другою стадією процедури ухвалення індивідуальних актів </w:t>
      </w:r>
      <w:r>
        <w:rPr>
          <w:i/>
          <w:color w:val="231F20"/>
          <w:sz w:val="21"/>
        </w:rPr>
        <w:t xml:space="preserve">є </w:t>
      </w:r>
      <w:r>
        <w:rPr>
          <w:i/>
          <w:color w:val="231F20"/>
          <w:spacing w:val="-3"/>
          <w:sz w:val="21"/>
        </w:rPr>
        <w:t xml:space="preserve">підго- товка справи </w:t>
      </w:r>
      <w:r>
        <w:rPr>
          <w:i/>
          <w:color w:val="231F20"/>
          <w:sz w:val="21"/>
        </w:rPr>
        <w:t xml:space="preserve">до </w:t>
      </w:r>
      <w:r>
        <w:rPr>
          <w:i/>
          <w:color w:val="231F20"/>
          <w:spacing w:val="-3"/>
          <w:sz w:val="21"/>
        </w:rPr>
        <w:t>розгляду</w:t>
      </w:r>
      <w:r>
        <w:rPr>
          <w:color w:val="231F20"/>
          <w:spacing w:val="-3"/>
          <w:sz w:val="21"/>
        </w:rPr>
        <w:t xml:space="preserve">, завдання якої </w:t>
      </w:r>
      <w:r>
        <w:rPr>
          <w:color w:val="231F20"/>
          <w:sz w:val="21"/>
        </w:rPr>
        <w:t xml:space="preserve">– </w:t>
      </w:r>
      <w:r>
        <w:rPr>
          <w:color w:val="231F20"/>
          <w:spacing w:val="-3"/>
          <w:sz w:val="21"/>
        </w:rPr>
        <w:t xml:space="preserve">створення відповідних передумов </w:t>
      </w:r>
      <w:r>
        <w:rPr>
          <w:color w:val="231F20"/>
          <w:sz w:val="21"/>
        </w:rPr>
        <w:t xml:space="preserve">для </w:t>
      </w:r>
      <w:r>
        <w:rPr>
          <w:color w:val="231F20"/>
          <w:spacing w:val="-3"/>
          <w:sz w:val="21"/>
        </w:rPr>
        <w:t xml:space="preserve">належного </w:t>
      </w:r>
      <w:r>
        <w:rPr>
          <w:color w:val="231F20"/>
          <w:spacing w:val="-4"/>
          <w:sz w:val="21"/>
        </w:rPr>
        <w:t xml:space="preserve">розгляду </w:t>
      </w:r>
      <w:r>
        <w:rPr>
          <w:color w:val="231F20"/>
          <w:spacing w:val="-3"/>
          <w:sz w:val="21"/>
        </w:rPr>
        <w:t>справи</w:t>
      </w:r>
      <w:r>
        <w:rPr>
          <w:color w:val="231F20"/>
          <w:spacing w:val="-3"/>
          <w:position w:val="7"/>
          <w:sz w:val="12"/>
        </w:rPr>
        <w:t>1</w:t>
      </w:r>
      <w:r>
        <w:rPr>
          <w:color w:val="231F20"/>
          <w:spacing w:val="-3"/>
          <w:sz w:val="21"/>
        </w:rPr>
        <w:t xml:space="preserve">. </w:t>
      </w:r>
      <w:r>
        <w:rPr>
          <w:color w:val="231F20"/>
          <w:spacing w:val="-4"/>
          <w:sz w:val="21"/>
        </w:rPr>
        <w:t xml:space="preserve">Щодо </w:t>
      </w:r>
      <w:r>
        <w:rPr>
          <w:color w:val="231F20"/>
          <w:spacing w:val="-3"/>
          <w:sz w:val="21"/>
        </w:rPr>
        <w:t xml:space="preserve">актів </w:t>
      </w:r>
      <w:r>
        <w:rPr>
          <w:color w:val="231F20"/>
          <w:spacing w:val="-4"/>
          <w:sz w:val="21"/>
        </w:rPr>
        <w:t xml:space="preserve">колегіальних </w:t>
      </w:r>
      <w:r>
        <w:rPr>
          <w:color w:val="231F20"/>
          <w:spacing w:val="-3"/>
          <w:sz w:val="21"/>
        </w:rPr>
        <w:t xml:space="preserve">органів </w:t>
      </w:r>
      <w:r>
        <w:rPr>
          <w:color w:val="231F20"/>
          <w:sz w:val="21"/>
        </w:rPr>
        <w:t xml:space="preserve">на цій </w:t>
      </w:r>
      <w:r>
        <w:rPr>
          <w:color w:val="231F20"/>
          <w:spacing w:val="-3"/>
          <w:sz w:val="21"/>
        </w:rPr>
        <w:t>стадії передбачено також підготовку проєкту акта</w:t>
      </w:r>
      <w:r>
        <w:rPr>
          <w:color w:val="231F20"/>
          <w:spacing w:val="-3"/>
          <w:position w:val="7"/>
          <w:sz w:val="12"/>
        </w:rPr>
        <w:t>2</w:t>
      </w:r>
      <w:r>
        <w:rPr>
          <w:color w:val="231F20"/>
          <w:spacing w:val="-3"/>
          <w:sz w:val="21"/>
        </w:rPr>
        <w:t>.</w:t>
      </w:r>
    </w:p>
    <w:p w14:paraId="1B1D36E4" w14:textId="77777777" w:rsidR="00DE575E" w:rsidRDefault="002E7560">
      <w:pPr>
        <w:pStyle w:val="BodyText"/>
        <w:spacing w:before="2" w:line="252" w:lineRule="auto"/>
        <w:ind w:left="533" w:right="127" w:firstLine="283"/>
        <w:jc w:val="both"/>
      </w:pPr>
      <w:r>
        <w:rPr>
          <w:i/>
          <w:color w:val="231F20"/>
        </w:rPr>
        <w:t xml:space="preserve">Центральною стадією аналізованої процедури </w:t>
      </w:r>
      <w:r>
        <w:rPr>
          <w:color w:val="231F20"/>
        </w:rPr>
        <w:t xml:space="preserve">є </w:t>
      </w:r>
      <w:r>
        <w:rPr>
          <w:i/>
          <w:color w:val="231F20"/>
        </w:rPr>
        <w:t>стадія розгляду адміністративної справи та  ухвалення  ад</w:t>
      </w:r>
      <w:r>
        <w:rPr>
          <w:i/>
          <w:color w:val="231F20"/>
        </w:rPr>
        <w:t>міністративного  акта</w:t>
      </w:r>
      <w:r>
        <w:rPr>
          <w:color w:val="231F20"/>
        </w:rPr>
        <w:t xml:space="preserve">, у </w:t>
      </w:r>
      <w:r>
        <w:rPr>
          <w:color w:val="231F20"/>
          <w:spacing w:val="-3"/>
        </w:rPr>
        <w:t xml:space="preserve">ході </w:t>
      </w:r>
      <w:r>
        <w:rPr>
          <w:color w:val="231F20"/>
        </w:rPr>
        <w:t xml:space="preserve">якої адміністративним органом досліджуються всі обставини справи, що мають значення для правильного її вирішення. </w:t>
      </w:r>
      <w:r>
        <w:rPr>
          <w:color w:val="231F20"/>
          <w:spacing w:val="-3"/>
        </w:rPr>
        <w:t xml:space="preserve">Розгляд </w:t>
      </w:r>
      <w:r>
        <w:rPr>
          <w:color w:val="231F20"/>
        </w:rPr>
        <w:t xml:space="preserve">справи може відбуватися в повному (формальному) та спрощеному (неформальному) </w:t>
      </w:r>
      <w:r>
        <w:rPr>
          <w:color w:val="231F20"/>
          <w:spacing w:val="-3"/>
        </w:rPr>
        <w:t xml:space="preserve">порядку. </w:t>
      </w:r>
      <w:r>
        <w:rPr>
          <w:color w:val="231F20"/>
        </w:rPr>
        <w:t>За загальним правилом, органи публіч- ної адміністрації мають максимально спрощувати порядок</w:t>
      </w:r>
      <w:r>
        <w:rPr>
          <w:color w:val="231F20"/>
          <w:spacing w:val="-34"/>
        </w:rPr>
        <w:t xml:space="preserve"> </w:t>
      </w:r>
      <w:r>
        <w:rPr>
          <w:color w:val="231F20"/>
          <w:spacing w:val="-3"/>
        </w:rPr>
        <w:t xml:space="preserve">розгляду </w:t>
      </w:r>
      <w:r>
        <w:rPr>
          <w:color w:val="231F20"/>
        </w:rPr>
        <w:t xml:space="preserve">адміністративних справ, щоб полегшити приватним особам реалі- зацію їх прав, свобод і законних інтересів. У свою чергу у випадках, передбачених правовими </w:t>
      </w:r>
      <w:r>
        <w:rPr>
          <w:color w:val="231F20"/>
        </w:rPr>
        <w:t>нормами, застосовується вже формальна процедура, основною рисою якої є проведення усних</w:t>
      </w:r>
      <w:r>
        <w:rPr>
          <w:color w:val="231F20"/>
          <w:spacing w:val="-11"/>
        </w:rPr>
        <w:t xml:space="preserve"> </w:t>
      </w:r>
      <w:r>
        <w:rPr>
          <w:color w:val="231F20"/>
        </w:rPr>
        <w:t>слухань.</w:t>
      </w:r>
    </w:p>
    <w:p w14:paraId="4ACF7E40" w14:textId="77777777" w:rsidR="00DE575E" w:rsidRDefault="002E7560">
      <w:pPr>
        <w:spacing w:before="5" w:line="252" w:lineRule="auto"/>
        <w:ind w:left="533" w:right="127" w:firstLine="283"/>
        <w:jc w:val="both"/>
        <w:rPr>
          <w:sz w:val="21"/>
        </w:rPr>
      </w:pPr>
      <w:r>
        <w:rPr>
          <w:i/>
          <w:color w:val="231F20"/>
          <w:sz w:val="21"/>
        </w:rPr>
        <w:t>Розгляд адміністративних справ за формальною процедурою подібний до судового процесу</w:t>
      </w:r>
      <w:r>
        <w:rPr>
          <w:color w:val="231F20"/>
          <w:sz w:val="21"/>
        </w:rPr>
        <w:t xml:space="preserve">, адже під час такого </w:t>
      </w:r>
      <w:r>
        <w:rPr>
          <w:color w:val="231F20"/>
          <w:spacing w:val="-3"/>
          <w:sz w:val="21"/>
        </w:rPr>
        <w:t xml:space="preserve">розгляду </w:t>
      </w:r>
      <w:r>
        <w:rPr>
          <w:color w:val="231F20"/>
          <w:sz w:val="21"/>
        </w:rPr>
        <w:t xml:space="preserve">особи, які беруть участь у </w:t>
      </w:r>
      <w:r>
        <w:rPr>
          <w:color w:val="231F20"/>
          <w:spacing w:val="-3"/>
          <w:sz w:val="21"/>
        </w:rPr>
        <w:t xml:space="preserve">розгляді </w:t>
      </w:r>
      <w:r>
        <w:rPr>
          <w:color w:val="231F20"/>
          <w:sz w:val="21"/>
        </w:rPr>
        <w:t xml:space="preserve">справи, </w:t>
      </w:r>
      <w:r>
        <w:rPr>
          <w:color w:val="231F20"/>
          <w:sz w:val="21"/>
        </w:rPr>
        <w:t xml:space="preserve">надають пояснення, залучаються також експерти, спеціалісти, досліджуються докази та ін. За резуль- татами </w:t>
      </w:r>
      <w:r>
        <w:rPr>
          <w:color w:val="231F20"/>
          <w:spacing w:val="-3"/>
          <w:sz w:val="21"/>
        </w:rPr>
        <w:t xml:space="preserve">розгляду </w:t>
      </w:r>
      <w:r>
        <w:rPr>
          <w:color w:val="231F20"/>
          <w:sz w:val="21"/>
        </w:rPr>
        <w:t>справи ухвалюється адміністративний</w:t>
      </w:r>
      <w:r>
        <w:rPr>
          <w:color w:val="231F20"/>
          <w:spacing w:val="-5"/>
          <w:sz w:val="21"/>
        </w:rPr>
        <w:t xml:space="preserve"> акт.</w:t>
      </w:r>
    </w:p>
    <w:p w14:paraId="152B4AA6" w14:textId="77777777" w:rsidR="00DE575E" w:rsidRDefault="002E7560">
      <w:pPr>
        <w:pStyle w:val="BodyText"/>
        <w:spacing w:before="2" w:line="252" w:lineRule="auto"/>
        <w:ind w:left="533" w:right="126" w:firstLine="283"/>
        <w:jc w:val="both"/>
      </w:pPr>
      <w:r>
        <w:rPr>
          <w:color w:val="231F20"/>
        </w:rPr>
        <w:t>У колегіальних органах адміністративні акти, як правило, ухва- люються через обговорення та подальше</w:t>
      </w:r>
      <w:r>
        <w:rPr>
          <w:color w:val="231F20"/>
        </w:rPr>
        <w:t xml:space="preserve"> голосування й підпи- сання. Підписання акта може здійснюватися або всіма членами колегіального органу, або лише головою засідання (слухання) та секретарем. Якщо ж акт ухвалюється одноособово, він підпису-</w:t>
      </w:r>
    </w:p>
    <w:p w14:paraId="38DB7D46" w14:textId="77777777" w:rsidR="00DE575E" w:rsidRDefault="00DE575E">
      <w:pPr>
        <w:pStyle w:val="BodyText"/>
        <w:rPr>
          <w:sz w:val="20"/>
        </w:rPr>
      </w:pPr>
    </w:p>
    <w:p w14:paraId="5761BE65" w14:textId="78165E8D" w:rsidR="00DE575E" w:rsidRDefault="002E7560">
      <w:pPr>
        <w:pStyle w:val="BodyText"/>
        <w:spacing w:before="9"/>
        <w:rPr>
          <w:sz w:val="11"/>
        </w:rPr>
      </w:pPr>
      <w:r>
        <w:rPr>
          <w:noProof/>
        </w:rPr>
        <mc:AlternateContent>
          <mc:Choice Requires="wps">
            <w:drawing>
              <wp:anchor distT="0" distB="0" distL="0" distR="0" simplePos="0" relativeHeight="9280" behindDoc="0" locked="0" layoutInCell="1" allowOverlap="1" wp14:anchorId="0E54B404" wp14:editId="52072B56">
                <wp:simplePos x="0" y="0"/>
                <wp:positionH relativeFrom="page">
                  <wp:posOffset>719455</wp:posOffset>
                </wp:positionH>
                <wp:positionV relativeFrom="paragraph">
                  <wp:posOffset>115570</wp:posOffset>
                </wp:positionV>
                <wp:extent cx="1080135" cy="0"/>
                <wp:effectExtent l="8255" t="13970" r="29210" b="24130"/>
                <wp:wrapTopAndBottom/>
                <wp:docPr id="83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2ABA" id="Line_x0020_835" o:spid="_x0000_s1026" style="position:absolute;z-index: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141.7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" strokecolor="#231f20" strokeweight=".5pt">
                <w10:wrap type="topAndBottom" anchorx="page"/>
              </v:line>
            </w:pict>
          </mc:Fallback>
        </mc:AlternateContent>
      </w:r>
    </w:p>
    <w:p w14:paraId="5BD20BF8" w14:textId="77777777" w:rsidR="00DE575E" w:rsidRDefault="002E7560">
      <w:pPr>
        <w:spacing w:line="204" w:lineRule="auto"/>
        <w:ind w:left="533" w:right="126"/>
        <w:jc w:val="both"/>
        <w:rPr>
          <w:sz w:val="16"/>
        </w:rPr>
      </w:pPr>
      <w:r>
        <w:rPr>
          <w:color w:val="231F20"/>
          <w:position w:val="5"/>
          <w:sz w:val="9"/>
        </w:rPr>
        <w:t xml:space="preserve">1     </w:t>
      </w:r>
      <w:r>
        <w:rPr>
          <w:color w:val="231F20"/>
          <w:sz w:val="16"/>
        </w:rPr>
        <w:t>У законодавстві України найбільш детально</w:t>
      </w:r>
      <w:r>
        <w:rPr>
          <w:color w:val="231F20"/>
          <w:sz w:val="16"/>
        </w:rPr>
        <w:t xml:space="preserve"> ця стадія описана в КУпАП, де згідно зі    </w:t>
      </w:r>
      <w:r>
        <w:rPr>
          <w:color w:val="231F20"/>
          <w:spacing w:val="-4"/>
          <w:sz w:val="16"/>
        </w:rPr>
        <w:t xml:space="preserve">ст. </w:t>
      </w:r>
      <w:r>
        <w:rPr>
          <w:color w:val="231F20"/>
          <w:sz w:val="16"/>
        </w:rPr>
        <w:t xml:space="preserve">278-40 адміністративний орган при підготовці до розгляду справи про адміністра- тивне правопорушення зокрема вирішує такі питання: чи належить до його компетен- ції розгляд цієї справи; чи правильно складено </w:t>
      </w:r>
      <w:r>
        <w:rPr>
          <w:color w:val="231F20"/>
          <w:sz w:val="16"/>
        </w:rPr>
        <w:t>протокол та інші матеріали справи про адміністративне правопорушення; чи підлягають задоволенню клопотання особи, яка притягається до адміністративної відповідальності, потерпілого, їх законних представ- ників і</w:t>
      </w:r>
      <w:r>
        <w:rPr>
          <w:color w:val="231F20"/>
          <w:spacing w:val="5"/>
          <w:sz w:val="16"/>
        </w:rPr>
        <w:t xml:space="preserve"> </w:t>
      </w:r>
      <w:r>
        <w:rPr>
          <w:color w:val="231F20"/>
          <w:sz w:val="16"/>
        </w:rPr>
        <w:t>адвоката.</w:t>
      </w:r>
    </w:p>
    <w:p w14:paraId="24221CC9" w14:textId="77777777" w:rsidR="00DE575E" w:rsidRDefault="002E7560">
      <w:pPr>
        <w:spacing w:before="29" w:line="204" w:lineRule="auto"/>
        <w:ind w:left="533" w:right="128"/>
        <w:jc w:val="both"/>
        <w:rPr>
          <w:i/>
          <w:sz w:val="16"/>
        </w:rPr>
      </w:pPr>
      <w:r>
        <w:rPr>
          <w:color w:val="231F20"/>
          <w:position w:val="5"/>
          <w:sz w:val="9"/>
        </w:rPr>
        <w:t xml:space="preserve">2 </w:t>
      </w:r>
      <w:r>
        <w:rPr>
          <w:i/>
          <w:color w:val="231F20"/>
          <w:sz w:val="16"/>
          <w:u w:val="single" w:color="231F20"/>
        </w:rPr>
        <w:t>Приклад</w:t>
      </w:r>
      <w:r>
        <w:rPr>
          <w:i/>
          <w:color w:val="231F20"/>
          <w:sz w:val="16"/>
        </w:rPr>
        <w:t xml:space="preserve">: проєкти індивідуальних </w:t>
      </w:r>
      <w:r>
        <w:rPr>
          <w:i/>
          <w:color w:val="231F20"/>
          <w:sz w:val="16"/>
        </w:rPr>
        <w:t>актів Кабінету Міністрів України готуються мініс- терствами, іншими центральними органами виконавчої влади, державними колегіаль- ними органами і вносяться ними на розгляд КМУ.</w:t>
      </w:r>
    </w:p>
    <w:p w14:paraId="4BB70FE1" w14:textId="77777777" w:rsidR="00DE575E" w:rsidRDefault="00DE575E">
      <w:pPr>
        <w:pStyle w:val="BodyText"/>
        <w:spacing w:before="5"/>
        <w:rPr>
          <w:i/>
          <w:sz w:val="12"/>
        </w:rPr>
      </w:pPr>
    </w:p>
    <w:p w14:paraId="48E901CE" w14:textId="77777777" w:rsidR="00DE575E" w:rsidRDefault="002E7560">
      <w:pPr>
        <w:spacing w:before="92"/>
        <w:ind w:left="533"/>
        <w:rPr>
          <w:rFonts w:ascii="Times New Roman"/>
          <w:sz w:val="20"/>
        </w:rPr>
      </w:pPr>
      <w:r>
        <w:rPr>
          <w:rFonts w:ascii="Times New Roman"/>
          <w:color w:val="231F20"/>
          <w:sz w:val="20"/>
        </w:rPr>
        <w:t>228</w:t>
      </w:r>
    </w:p>
    <w:p w14:paraId="2DF71839" w14:textId="77777777" w:rsidR="00DE575E" w:rsidRDefault="00DE575E">
      <w:pPr>
        <w:rPr>
          <w:rFonts w:ascii="Times New Roman"/>
          <w:sz w:val="20"/>
        </w:rPr>
        <w:sectPr w:rsidR="00DE575E">
          <w:pgSz w:w="8510" w:h="12760"/>
          <w:pgMar w:top="660" w:right="720" w:bottom="280" w:left="600" w:header="720" w:footer="720" w:gutter="0"/>
          <w:cols w:space="720"/>
        </w:sectPr>
      </w:pPr>
    </w:p>
    <w:p w14:paraId="7B691B1E"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7. Інструменти публічного адміністрування</w:t>
      </w:r>
    </w:p>
    <w:p w14:paraId="0A425AFE" w14:textId="3B7516E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28AC695" wp14:editId="7FA015E6">
                <wp:extent cx="4140200" cy="6350"/>
                <wp:effectExtent l="0" t="0" r="12700" b="6350"/>
                <wp:docPr id="834"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35" name="Line 83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96F4AB" id="Group_x0020_83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zRVot/AgAAmAUAAA4A&#10;AAAAAAAAAAAAAAAALAIAAGRycy9lMm9Eb2MueG1sUEsBAi0AFAAGAAgAAAAhAEynsJDZAAAAAwEA&#10;AA8AAAAAAAAAAAAAAAAA1wQAAGRycy9kb3ducmV2LnhtbFBLBQYAAAAABAAEAPMAAADdBQAAAAA=&#10;">
                <v:line id="Line_x0020_83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B2/sYAAADcAAAADwAAAGRycy9kb3ducmV2LnhtbESP3WrCQBSE7wt9h+UUvCl1Y4MiqauI&#10;IBQv/IsPcMyeJqG7Z2N2NWmf3hUKvRxm5htmtuitETdqfe1YwWiYgCAunK65VHDK129TED4gazSO&#10;ScEPeVjMn59mmGnX8YFux1CKCGGfoYIqhCaT0hcVWfRD1xBH78u1FkOUbSl1i12EWyPfk2QiLdYc&#10;FypsaFVR8X28WgX55TWY/W5junx3TuX5sk1/r1ulBi/98gNEoD78h//an1rBNB3D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lgdv7GAAAA3AAAAA8AAAAAAAAA&#10;AAAAAAAAoQIAAGRycy9kb3ducmV2LnhtbFBLBQYAAAAABAAEAPkAAACUAwAAAAA=&#10;" strokecolor="#231f20" strokeweight=".5pt"/>
                <w10:anchorlock/>
              </v:group>
            </w:pict>
          </mc:Fallback>
        </mc:AlternateContent>
      </w:r>
    </w:p>
    <w:p w14:paraId="2EA976F3" w14:textId="77777777" w:rsidR="00DE575E" w:rsidRDefault="00DE575E">
      <w:pPr>
        <w:pStyle w:val="BodyText"/>
        <w:spacing w:before="7"/>
        <w:rPr>
          <w:rFonts w:ascii="AdonisC"/>
          <w:i/>
          <w:sz w:val="19"/>
        </w:rPr>
      </w:pPr>
    </w:p>
    <w:p w14:paraId="3645165B" w14:textId="77777777" w:rsidR="00DE575E" w:rsidRDefault="002E7560">
      <w:pPr>
        <w:pStyle w:val="BodyText"/>
        <w:spacing w:before="1" w:line="252" w:lineRule="auto"/>
        <w:ind w:left="250" w:right="411"/>
        <w:jc w:val="both"/>
      </w:pPr>
      <w:r>
        <w:rPr>
          <w:color w:val="231F20"/>
        </w:rPr>
        <w:t>ється уповноваженою на це особою. Останньою дією, що вчиня- ється на цій стадії, є оформлення акта через присвоєння реєстра- ційного (порядко</w:t>
      </w:r>
      <w:r>
        <w:rPr>
          <w:color w:val="231F20"/>
        </w:rPr>
        <w:t>вого) номеру.</w:t>
      </w:r>
    </w:p>
    <w:p w14:paraId="13775EE1" w14:textId="77777777" w:rsidR="00DE575E" w:rsidRDefault="002E7560">
      <w:pPr>
        <w:pStyle w:val="BodyText"/>
        <w:spacing w:before="1" w:line="252" w:lineRule="auto"/>
        <w:ind w:left="250" w:right="411" w:firstLine="283"/>
        <w:jc w:val="both"/>
      </w:pPr>
      <w:r>
        <w:rPr>
          <w:i/>
          <w:color w:val="231F20"/>
        </w:rPr>
        <w:t xml:space="preserve">Стадія оскарження адміністративного акта </w:t>
      </w:r>
      <w:r>
        <w:rPr>
          <w:color w:val="231F20"/>
        </w:rPr>
        <w:t>є, як уже зазнача- лося,</w:t>
      </w:r>
      <w:r>
        <w:rPr>
          <w:color w:val="231F20"/>
          <w:spacing w:val="-7"/>
        </w:rPr>
        <w:t xml:space="preserve"> </w:t>
      </w:r>
      <w:r>
        <w:rPr>
          <w:color w:val="231F20"/>
        </w:rPr>
        <w:t>факультативною,</w:t>
      </w:r>
      <w:r>
        <w:rPr>
          <w:color w:val="231F20"/>
          <w:spacing w:val="-7"/>
        </w:rPr>
        <w:t xml:space="preserve"> </w:t>
      </w:r>
      <w:r>
        <w:rPr>
          <w:color w:val="231F20"/>
        </w:rPr>
        <w:t>і</w:t>
      </w:r>
      <w:r>
        <w:rPr>
          <w:color w:val="231F20"/>
          <w:spacing w:val="-5"/>
        </w:rPr>
        <w:t xml:space="preserve"> </w:t>
      </w:r>
      <w:r>
        <w:rPr>
          <w:color w:val="231F20"/>
        </w:rPr>
        <w:t>пов’язана</w:t>
      </w:r>
      <w:r>
        <w:rPr>
          <w:color w:val="231F20"/>
          <w:spacing w:val="-7"/>
        </w:rPr>
        <w:t xml:space="preserve"> </w:t>
      </w:r>
      <w:r>
        <w:rPr>
          <w:color w:val="231F20"/>
        </w:rPr>
        <w:t>вона</w:t>
      </w:r>
      <w:r>
        <w:rPr>
          <w:color w:val="231F20"/>
          <w:spacing w:val="-7"/>
        </w:rPr>
        <w:t xml:space="preserve"> </w:t>
      </w:r>
      <w:r>
        <w:rPr>
          <w:color w:val="231F20"/>
        </w:rPr>
        <w:t>з</w:t>
      </w:r>
      <w:r>
        <w:rPr>
          <w:color w:val="231F20"/>
          <w:spacing w:val="-7"/>
        </w:rPr>
        <w:t xml:space="preserve"> </w:t>
      </w:r>
      <w:r>
        <w:rPr>
          <w:color w:val="231F20"/>
        </w:rPr>
        <w:t>бажанням</w:t>
      </w:r>
      <w:r>
        <w:rPr>
          <w:color w:val="231F20"/>
          <w:spacing w:val="-7"/>
        </w:rPr>
        <w:t xml:space="preserve"> </w:t>
      </w:r>
      <w:r>
        <w:rPr>
          <w:color w:val="231F20"/>
        </w:rPr>
        <w:t>певного</w:t>
      </w:r>
      <w:r>
        <w:rPr>
          <w:color w:val="231F20"/>
          <w:spacing w:val="-7"/>
        </w:rPr>
        <w:t xml:space="preserve"> </w:t>
      </w:r>
      <w:r>
        <w:rPr>
          <w:color w:val="231F20"/>
          <w:spacing w:val="-4"/>
        </w:rPr>
        <w:t xml:space="preserve">суб’єкта </w:t>
      </w:r>
      <w:r>
        <w:rPr>
          <w:color w:val="231F20"/>
        </w:rPr>
        <w:t>припинити</w:t>
      </w:r>
      <w:r>
        <w:rPr>
          <w:color w:val="231F20"/>
          <w:spacing w:val="-9"/>
        </w:rPr>
        <w:t xml:space="preserve"> </w:t>
      </w:r>
      <w:r>
        <w:rPr>
          <w:color w:val="231F20"/>
        </w:rPr>
        <w:t>дію</w:t>
      </w:r>
      <w:r>
        <w:rPr>
          <w:color w:val="231F20"/>
          <w:spacing w:val="-9"/>
        </w:rPr>
        <w:t xml:space="preserve"> </w:t>
      </w:r>
      <w:r>
        <w:rPr>
          <w:color w:val="231F20"/>
        </w:rPr>
        <w:t>адміністративного</w:t>
      </w:r>
      <w:r>
        <w:rPr>
          <w:color w:val="231F20"/>
          <w:spacing w:val="-9"/>
        </w:rPr>
        <w:t xml:space="preserve"> </w:t>
      </w:r>
      <w:r>
        <w:rPr>
          <w:color w:val="231F20"/>
        </w:rPr>
        <w:t>акта,</w:t>
      </w:r>
      <w:r>
        <w:rPr>
          <w:color w:val="231F20"/>
          <w:spacing w:val="-9"/>
        </w:rPr>
        <w:t xml:space="preserve"> </w:t>
      </w:r>
      <w:r>
        <w:rPr>
          <w:color w:val="231F20"/>
        </w:rPr>
        <w:t>скасувати</w:t>
      </w:r>
      <w:r>
        <w:rPr>
          <w:color w:val="231F20"/>
          <w:spacing w:val="-9"/>
        </w:rPr>
        <w:t xml:space="preserve"> </w:t>
      </w:r>
      <w:r>
        <w:rPr>
          <w:color w:val="231F20"/>
        </w:rPr>
        <w:t>чи</w:t>
      </w:r>
      <w:r>
        <w:rPr>
          <w:color w:val="231F20"/>
          <w:spacing w:val="-9"/>
        </w:rPr>
        <w:t xml:space="preserve"> </w:t>
      </w:r>
      <w:r>
        <w:rPr>
          <w:color w:val="231F20"/>
        </w:rPr>
        <w:t>внести</w:t>
      </w:r>
      <w:r>
        <w:rPr>
          <w:color w:val="231F20"/>
          <w:spacing w:val="-9"/>
        </w:rPr>
        <w:t xml:space="preserve"> </w:t>
      </w:r>
      <w:r>
        <w:rPr>
          <w:color w:val="231F20"/>
        </w:rPr>
        <w:t>в</w:t>
      </w:r>
      <w:r>
        <w:rPr>
          <w:color w:val="231F20"/>
          <w:spacing w:val="-8"/>
        </w:rPr>
        <w:t xml:space="preserve"> </w:t>
      </w:r>
      <w:r>
        <w:rPr>
          <w:color w:val="231F20"/>
        </w:rPr>
        <w:t xml:space="preserve">нього зміни. Оскарження може бути здійснено в адміністративному чи </w:t>
      </w:r>
      <w:r>
        <w:rPr>
          <w:color w:val="231F20"/>
          <w:spacing w:val="-3"/>
        </w:rPr>
        <w:t>судовому</w:t>
      </w:r>
      <w:r>
        <w:rPr>
          <w:color w:val="231F20"/>
          <w:spacing w:val="-1"/>
        </w:rPr>
        <w:t xml:space="preserve"> </w:t>
      </w:r>
      <w:r>
        <w:rPr>
          <w:color w:val="231F20"/>
          <w:spacing w:val="-3"/>
        </w:rPr>
        <w:t>порядку.</w:t>
      </w:r>
    </w:p>
    <w:p w14:paraId="657F8B98" w14:textId="77777777" w:rsidR="00DE575E" w:rsidRDefault="002E7560">
      <w:pPr>
        <w:pStyle w:val="Heading5"/>
        <w:spacing w:before="3" w:line="252" w:lineRule="auto"/>
        <w:ind w:left="250" w:right="410" w:firstLine="283"/>
        <w:jc w:val="both"/>
      </w:pPr>
      <w:r>
        <w:rPr>
          <w:color w:val="231F20"/>
        </w:rPr>
        <w:t>Отже,</w:t>
      </w:r>
      <w:r>
        <w:rPr>
          <w:color w:val="231F20"/>
          <w:spacing w:val="-14"/>
        </w:rPr>
        <w:t xml:space="preserve"> </w:t>
      </w:r>
      <w:r>
        <w:rPr>
          <w:color w:val="231F20"/>
        </w:rPr>
        <w:t>процедура</w:t>
      </w:r>
      <w:r>
        <w:rPr>
          <w:color w:val="231F20"/>
          <w:spacing w:val="-14"/>
        </w:rPr>
        <w:t xml:space="preserve"> </w:t>
      </w:r>
      <w:r>
        <w:rPr>
          <w:color w:val="231F20"/>
        </w:rPr>
        <w:t>ухвалення</w:t>
      </w:r>
      <w:r>
        <w:rPr>
          <w:color w:val="231F20"/>
          <w:spacing w:val="-14"/>
        </w:rPr>
        <w:t xml:space="preserve"> </w:t>
      </w:r>
      <w:r>
        <w:rPr>
          <w:color w:val="231F20"/>
        </w:rPr>
        <w:t>(видання)</w:t>
      </w:r>
      <w:r>
        <w:rPr>
          <w:color w:val="231F20"/>
          <w:spacing w:val="-14"/>
        </w:rPr>
        <w:t xml:space="preserve"> </w:t>
      </w:r>
      <w:r>
        <w:rPr>
          <w:color w:val="231F20"/>
        </w:rPr>
        <w:t>індивідуальних</w:t>
      </w:r>
      <w:r>
        <w:rPr>
          <w:color w:val="231F20"/>
          <w:spacing w:val="-14"/>
        </w:rPr>
        <w:t xml:space="preserve"> </w:t>
      </w:r>
      <w:r>
        <w:rPr>
          <w:color w:val="231F20"/>
        </w:rPr>
        <w:t>актів</w:t>
      </w:r>
      <w:r>
        <w:rPr>
          <w:color w:val="231F20"/>
          <w:spacing w:val="-13"/>
        </w:rPr>
        <w:t xml:space="preserve"> </w:t>
      </w:r>
      <w:r>
        <w:rPr>
          <w:color w:val="231F20"/>
        </w:rPr>
        <w:t xml:space="preserve">– це </w:t>
      </w:r>
      <w:r>
        <w:rPr>
          <w:color w:val="231F20"/>
          <w:spacing w:val="-3"/>
        </w:rPr>
        <w:t xml:space="preserve">регламентовані </w:t>
      </w:r>
      <w:r>
        <w:rPr>
          <w:color w:val="231F20"/>
        </w:rPr>
        <w:t xml:space="preserve">адміністративним правом адміністративні дії, що вчиняються </w:t>
      </w:r>
      <w:r>
        <w:rPr>
          <w:color w:val="231F20"/>
          <w:spacing w:val="-3"/>
        </w:rPr>
        <w:t xml:space="preserve">суб’єктом </w:t>
      </w:r>
      <w:r>
        <w:rPr>
          <w:color w:val="231F20"/>
        </w:rPr>
        <w:t xml:space="preserve">владних повноважень </w:t>
      </w:r>
      <w:r>
        <w:rPr>
          <w:color w:val="231F20"/>
          <w:spacing w:val="-3"/>
        </w:rPr>
        <w:t xml:space="preserve">щодо </w:t>
      </w:r>
      <w:r>
        <w:rPr>
          <w:color w:val="231F20"/>
        </w:rPr>
        <w:t xml:space="preserve">їх </w:t>
      </w:r>
      <w:r>
        <w:rPr>
          <w:color w:val="231F20"/>
          <w:spacing w:val="-5"/>
        </w:rPr>
        <w:t>розгляду.</w:t>
      </w:r>
    </w:p>
    <w:p w14:paraId="691B2659" w14:textId="77777777" w:rsidR="00DE575E" w:rsidRDefault="00DE575E">
      <w:pPr>
        <w:pStyle w:val="BodyText"/>
        <w:spacing w:before="1"/>
        <w:rPr>
          <w:b/>
          <w:sz w:val="22"/>
        </w:rPr>
      </w:pPr>
    </w:p>
    <w:p w14:paraId="519B2642" w14:textId="77777777" w:rsidR="00DE575E" w:rsidRDefault="002E7560">
      <w:pPr>
        <w:pStyle w:val="ListParagraph"/>
        <w:numPr>
          <w:ilvl w:val="2"/>
          <w:numId w:val="192"/>
        </w:numPr>
        <w:tabs>
          <w:tab w:val="left" w:pos="1099"/>
        </w:tabs>
        <w:jc w:val="left"/>
        <w:rPr>
          <w:b/>
          <w:sz w:val="21"/>
        </w:rPr>
      </w:pPr>
      <w:r>
        <w:rPr>
          <w:b/>
          <w:color w:val="231F20"/>
          <w:sz w:val="21"/>
        </w:rPr>
        <w:t>Чинність індивідуального</w:t>
      </w:r>
      <w:r>
        <w:rPr>
          <w:b/>
          <w:color w:val="231F20"/>
          <w:spacing w:val="-2"/>
          <w:sz w:val="21"/>
        </w:rPr>
        <w:t xml:space="preserve"> </w:t>
      </w:r>
      <w:r>
        <w:rPr>
          <w:b/>
          <w:color w:val="231F20"/>
          <w:sz w:val="21"/>
        </w:rPr>
        <w:t>акта</w:t>
      </w:r>
    </w:p>
    <w:p w14:paraId="48178A77" w14:textId="77777777" w:rsidR="00DE575E" w:rsidRDefault="00DE575E">
      <w:pPr>
        <w:pStyle w:val="BodyText"/>
        <w:spacing w:before="2"/>
        <w:rPr>
          <w:b/>
          <w:sz w:val="23"/>
        </w:rPr>
      </w:pPr>
    </w:p>
    <w:p w14:paraId="4A27E4ED" w14:textId="77777777" w:rsidR="00DE575E" w:rsidRDefault="002E7560">
      <w:pPr>
        <w:pStyle w:val="BodyText"/>
        <w:spacing w:line="252" w:lineRule="auto"/>
        <w:ind w:left="250" w:right="408" w:firstLine="283"/>
        <w:jc w:val="both"/>
      </w:pPr>
      <w:r>
        <w:rPr>
          <w:color w:val="231F20"/>
        </w:rPr>
        <w:t xml:space="preserve">Процедура ухвалення індивідуальних актів тісно пов’язана з проблематикою їх чинності. Адже саме з набуттям чинності адміні- стративним актом стає можливою реалізація передбачених у ньому прав, свобод і законних </w:t>
      </w:r>
      <w:r>
        <w:rPr>
          <w:color w:val="231F20"/>
        </w:rPr>
        <w:t>інтересів особи, виконання обов’язків. Саме тому є важливим чітке визначення моменту й порядку набрання чинності адміністративним актом, моменту припинення його дії, умов та порядку перегляду адміністративного акта.</w:t>
      </w:r>
    </w:p>
    <w:p w14:paraId="77862EF0" w14:textId="77777777" w:rsidR="00DE575E" w:rsidRDefault="002E7560">
      <w:pPr>
        <w:spacing w:before="3" w:line="252" w:lineRule="auto"/>
        <w:ind w:left="250" w:right="411" w:firstLine="283"/>
        <w:jc w:val="both"/>
        <w:rPr>
          <w:sz w:val="21"/>
        </w:rPr>
      </w:pPr>
      <w:r>
        <w:rPr>
          <w:b/>
          <w:i/>
          <w:color w:val="231F20"/>
          <w:sz w:val="21"/>
        </w:rPr>
        <w:t>Загальне правило набуття чинності адміні</w:t>
      </w:r>
      <w:r>
        <w:rPr>
          <w:b/>
          <w:i/>
          <w:color w:val="231F20"/>
          <w:sz w:val="21"/>
        </w:rPr>
        <w:t xml:space="preserve">стративних актів </w:t>
      </w:r>
      <w:r>
        <w:rPr>
          <w:color w:val="231F20"/>
          <w:sz w:val="21"/>
        </w:rPr>
        <w:t>– «з моменту їх ухвалення», але в окремих законах закріплю- ються спеціальні процедури набуття чинності адміністративними актами з моменту їх оприлюднення.</w:t>
      </w:r>
    </w:p>
    <w:p w14:paraId="71C39B08" w14:textId="77777777" w:rsidR="00DE575E" w:rsidRDefault="002E7560">
      <w:pPr>
        <w:spacing w:before="2" w:line="252" w:lineRule="auto"/>
        <w:ind w:left="250" w:right="412" w:firstLine="283"/>
        <w:jc w:val="both"/>
        <w:rPr>
          <w:sz w:val="21"/>
        </w:rPr>
      </w:pPr>
      <w:r>
        <w:rPr>
          <w:i/>
          <w:color w:val="231F20"/>
          <w:sz w:val="21"/>
        </w:rPr>
        <w:t xml:space="preserve">Умови чинності індивідуального акта </w:t>
      </w:r>
      <w:r>
        <w:rPr>
          <w:color w:val="231F20"/>
          <w:sz w:val="21"/>
        </w:rPr>
        <w:t>передбачають дотримання матеріальних і формальних умов щодо нього.</w:t>
      </w:r>
    </w:p>
    <w:p w14:paraId="781F66D5" w14:textId="77777777" w:rsidR="00DE575E" w:rsidRDefault="002E7560">
      <w:pPr>
        <w:pStyle w:val="BodyText"/>
        <w:spacing w:before="1" w:line="252" w:lineRule="auto"/>
        <w:ind w:left="250" w:right="410" w:firstLine="283"/>
        <w:jc w:val="both"/>
      </w:pPr>
      <w:r>
        <w:rPr>
          <w:color w:val="231F20"/>
        </w:rPr>
        <w:t xml:space="preserve">Формальні умови передбачають дотримання процедури його ухвалення (видання) і </w:t>
      </w:r>
      <w:r>
        <w:rPr>
          <w:color w:val="231F20"/>
          <w:spacing w:val="-3"/>
        </w:rPr>
        <w:t xml:space="preserve">були </w:t>
      </w:r>
      <w:r>
        <w:rPr>
          <w:color w:val="231F20"/>
        </w:rPr>
        <w:t xml:space="preserve">розглянуті в попередньому параграфі. Матеріальні умови, що висуваються до індивідуального акта, стосу- ються його </w:t>
      </w:r>
      <w:r>
        <w:rPr>
          <w:color w:val="231F20"/>
          <w:spacing w:val="-3"/>
        </w:rPr>
        <w:t xml:space="preserve">змісту, </w:t>
      </w:r>
      <w:r>
        <w:rPr>
          <w:color w:val="231F20"/>
        </w:rPr>
        <w:t>забезпечуючи зрештою узгодження сформульо- ваних</w:t>
      </w:r>
      <w:r>
        <w:rPr>
          <w:color w:val="231F20"/>
          <w:spacing w:val="-9"/>
        </w:rPr>
        <w:t xml:space="preserve"> </w:t>
      </w:r>
      <w:r>
        <w:rPr>
          <w:color w:val="231F20"/>
        </w:rPr>
        <w:t>у</w:t>
      </w:r>
      <w:r>
        <w:rPr>
          <w:color w:val="231F20"/>
          <w:spacing w:val="-9"/>
        </w:rPr>
        <w:t xml:space="preserve"> </w:t>
      </w:r>
      <w:r>
        <w:rPr>
          <w:color w:val="231F20"/>
        </w:rPr>
        <w:t>ньому</w:t>
      </w:r>
      <w:r>
        <w:rPr>
          <w:color w:val="231F20"/>
          <w:spacing w:val="-9"/>
        </w:rPr>
        <w:t xml:space="preserve"> </w:t>
      </w:r>
      <w:r>
        <w:rPr>
          <w:color w:val="231F20"/>
        </w:rPr>
        <w:t>положень</w:t>
      </w:r>
      <w:r>
        <w:rPr>
          <w:color w:val="231F20"/>
          <w:spacing w:val="-9"/>
        </w:rPr>
        <w:t xml:space="preserve"> </w:t>
      </w:r>
      <w:r>
        <w:rPr>
          <w:color w:val="231F20"/>
        </w:rPr>
        <w:t>зі</w:t>
      </w:r>
      <w:r>
        <w:rPr>
          <w:color w:val="231F20"/>
          <w:spacing w:val="-9"/>
        </w:rPr>
        <w:t xml:space="preserve"> </w:t>
      </w:r>
      <w:r>
        <w:rPr>
          <w:color w:val="231F20"/>
        </w:rPr>
        <w:t>змістом</w:t>
      </w:r>
      <w:r>
        <w:rPr>
          <w:color w:val="231F20"/>
          <w:spacing w:val="-9"/>
        </w:rPr>
        <w:t xml:space="preserve"> </w:t>
      </w:r>
      <w:r>
        <w:rPr>
          <w:color w:val="231F20"/>
        </w:rPr>
        <w:t>чинних</w:t>
      </w:r>
      <w:r>
        <w:rPr>
          <w:color w:val="231F20"/>
          <w:spacing w:val="-9"/>
        </w:rPr>
        <w:t xml:space="preserve"> </w:t>
      </w:r>
      <w:r>
        <w:rPr>
          <w:color w:val="231F20"/>
        </w:rPr>
        <w:t>нормативних</w:t>
      </w:r>
      <w:r>
        <w:rPr>
          <w:color w:val="231F20"/>
          <w:spacing w:val="-9"/>
        </w:rPr>
        <w:t xml:space="preserve"> </w:t>
      </w:r>
      <w:r>
        <w:rPr>
          <w:color w:val="231F20"/>
        </w:rPr>
        <w:t>актів.</w:t>
      </w:r>
      <w:r>
        <w:rPr>
          <w:color w:val="231F20"/>
          <w:spacing w:val="-9"/>
        </w:rPr>
        <w:t xml:space="preserve"> </w:t>
      </w:r>
      <w:r>
        <w:rPr>
          <w:color w:val="231F20"/>
        </w:rPr>
        <w:t>Цими умовами є</w:t>
      </w:r>
      <w:r>
        <w:rPr>
          <w:color w:val="231F20"/>
          <w:spacing w:val="-3"/>
        </w:rPr>
        <w:t xml:space="preserve"> </w:t>
      </w:r>
      <w:r>
        <w:rPr>
          <w:color w:val="231F20"/>
        </w:rPr>
        <w:t>такі:</w:t>
      </w:r>
    </w:p>
    <w:p w14:paraId="67B8ECFE" w14:textId="77777777" w:rsidR="00DE575E" w:rsidRDefault="002E7560">
      <w:pPr>
        <w:pStyle w:val="BodyText"/>
        <w:spacing w:before="3" w:line="252" w:lineRule="auto"/>
        <w:ind w:left="250" w:right="409" w:firstLine="283"/>
        <w:jc w:val="both"/>
      </w:pPr>
      <w:r>
        <w:rPr>
          <w:i/>
          <w:color w:val="231F20"/>
        </w:rPr>
        <w:t>Припинення</w:t>
      </w:r>
      <w:r>
        <w:rPr>
          <w:i/>
          <w:color w:val="231F20"/>
        </w:rPr>
        <w:t xml:space="preserve"> дії індивідуального акта </w:t>
      </w:r>
      <w:r>
        <w:rPr>
          <w:color w:val="231F20"/>
        </w:rPr>
        <w:t xml:space="preserve">– </w:t>
      </w:r>
      <w:r>
        <w:rPr>
          <w:color w:val="231F20"/>
          <w:spacing w:val="-3"/>
        </w:rPr>
        <w:t xml:space="preserve">момент, </w:t>
      </w:r>
      <w:r>
        <w:rPr>
          <w:color w:val="231F20"/>
        </w:rPr>
        <w:t>з якого він пере- стає впливати на права, обов’язки чи законні інтереси осіб, тобто стає</w:t>
      </w:r>
      <w:r>
        <w:rPr>
          <w:color w:val="231F20"/>
          <w:spacing w:val="-8"/>
        </w:rPr>
        <w:t xml:space="preserve"> </w:t>
      </w:r>
      <w:r>
        <w:rPr>
          <w:color w:val="231F20"/>
        </w:rPr>
        <w:t>неможливою</w:t>
      </w:r>
      <w:r>
        <w:rPr>
          <w:color w:val="231F20"/>
          <w:spacing w:val="-9"/>
        </w:rPr>
        <w:t xml:space="preserve"> </w:t>
      </w:r>
      <w:r>
        <w:rPr>
          <w:color w:val="231F20"/>
        </w:rPr>
        <w:t>реалізація</w:t>
      </w:r>
      <w:r>
        <w:rPr>
          <w:color w:val="231F20"/>
          <w:spacing w:val="-9"/>
        </w:rPr>
        <w:t xml:space="preserve"> </w:t>
      </w:r>
      <w:r>
        <w:rPr>
          <w:color w:val="231F20"/>
        </w:rPr>
        <w:t>приписів,</w:t>
      </w:r>
      <w:r>
        <w:rPr>
          <w:color w:val="231F20"/>
          <w:spacing w:val="-9"/>
        </w:rPr>
        <w:t xml:space="preserve"> </w:t>
      </w:r>
      <w:r>
        <w:rPr>
          <w:color w:val="231F20"/>
        </w:rPr>
        <w:t>що</w:t>
      </w:r>
      <w:r>
        <w:rPr>
          <w:color w:val="231F20"/>
          <w:spacing w:val="-9"/>
        </w:rPr>
        <w:t xml:space="preserve"> </w:t>
      </w:r>
      <w:r>
        <w:rPr>
          <w:color w:val="231F20"/>
        </w:rPr>
        <w:t>в</w:t>
      </w:r>
      <w:r>
        <w:rPr>
          <w:color w:val="231F20"/>
          <w:spacing w:val="-8"/>
        </w:rPr>
        <w:t xml:space="preserve"> </w:t>
      </w:r>
      <w:r>
        <w:rPr>
          <w:color w:val="231F20"/>
        </w:rPr>
        <w:t>ньому</w:t>
      </w:r>
      <w:r>
        <w:rPr>
          <w:color w:val="231F20"/>
          <w:spacing w:val="-9"/>
        </w:rPr>
        <w:t xml:space="preserve"> </w:t>
      </w:r>
      <w:r>
        <w:rPr>
          <w:color w:val="231F20"/>
        </w:rPr>
        <w:t>містяться.</w:t>
      </w:r>
      <w:r>
        <w:rPr>
          <w:color w:val="231F20"/>
          <w:spacing w:val="-9"/>
        </w:rPr>
        <w:t xml:space="preserve"> </w:t>
      </w:r>
      <w:r>
        <w:rPr>
          <w:color w:val="231F20"/>
        </w:rPr>
        <w:t>Припи- нення дії адміністративних актів відбувається на основі певних підстав</w:t>
      </w:r>
      <w:r>
        <w:rPr>
          <w:color w:val="231F20"/>
        </w:rPr>
        <w:t>, які можуть бути розділені на фактичні та</w:t>
      </w:r>
      <w:r>
        <w:rPr>
          <w:color w:val="231F20"/>
          <w:spacing w:val="-14"/>
        </w:rPr>
        <w:t xml:space="preserve"> </w:t>
      </w:r>
      <w:r>
        <w:rPr>
          <w:color w:val="231F20"/>
        </w:rPr>
        <w:t>юридичні.</w:t>
      </w:r>
    </w:p>
    <w:p w14:paraId="3C68B09A" w14:textId="77777777" w:rsidR="00DE575E" w:rsidRDefault="00DE575E">
      <w:pPr>
        <w:pStyle w:val="BodyText"/>
        <w:spacing w:before="8"/>
        <w:rPr>
          <w:sz w:val="12"/>
        </w:rPr>
      </w:pPr>
    </w:p>
    <w:p w14:paraId="174BE61B" w14:textId="77777777" w:rsidR="00DE575E" w:rsidRDefault="002E7560">
      <w:pPr>
        <w:spacing w:before="92"/>
        <w:ind w:right="411"/>
        <w:jc w:val="right"/>
        <w:rPr>
          <w:rFonts w:ascii="Times New Roman"/>
          <w:sz w:val="20"/>
        </w:rPr>
      </w:pPr>
      <w:r>
        <w:rPr>
          <w:rFonts w:ascii="Times New Roman"/>
          <w:color w:val="231F20"/>
          <w:w w:val="90"/>
          <w:sz w:val="20"/>
        </w:rPr>
        <w:t>229</w:t>
      </w:r>
    </w:p>
    <w:p w14:paraId="55C74B5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9A1FE8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6AF5F09" w14:textId="13877D7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E68B825" wp14:editId="36952A60">
                <wp:extent cx="4140200" cy="6350"/>
                <wp:effectExtent l="0" t="0" r="12700" b="6350"/>
                <wp:docPr id="832"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33" name="Line 83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FB24B6" id="Group_x0020_83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7wr7HfQIAAJgFAAAOAAAA&#10;AAAAAAAAAAAAACwCAABkcnMvZTJvRG9jLnhtbFBLAQItABQABgAIAAAAIQBMp7CQ2QAAAAMBAAAP&#10;AAAAAAAAAAAAAAAAANUEAABkcnMvZG93bnJldi54bWxQSwUGAAAAAAQABADzAAAA2wUAAAAA&#10;">
                <v:line id="Line_x0020_83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VLEcUAAADcAAAADwAAAGRycy9kb3ducmV2LnhtbESP0WrCQBRE3wv+w3KFvhTd2ECR6Coi&#10;COKDtqYfcM1ek+Du3ZhdTdqv7wpCH4eZOcPMl7014k6trx0rmIwTEMSF0zWXCr7zzWgKwgdkjcYx&#10;KfghD8vF4GWOmXYdf9H9GEoRIewzVFCF0GRS+qIii37sGuLonV1rMUTZllK32EW4NfI9ST6kxZrj&#10;QoUNrSsqLsebVZBf34L5POxMlx9OqTxd9+nvba/U67BfzUAE6sN/+NneagXTNIXHmXg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cVLEcUAAADcAAAADwAAAAAAAAAA&#10;AAAAAAChAgAAZHJzL2Rvd25yZXYueG1sUEsFBgAAAAAEAAQA+QAAAJMDAAAAAA==&#10;" strokecolor="#231f20" strokeweight=".5pt"/>
                <w10:anchorlock/>
              </v:group>
            </w:pict>
          </mc:Fallback>
        </mc:AlternateContent>
      </w:r>
    </w:p>
    <w:p w14:paraId="00DDA0C2" w14:textId="77777777" w:rsidR="00DE575E" w:rsidRDefault="00DE575E">
      <w:pPr>
        <w:pStyle w:val="BodyText"/>
        <w:spacing w:before="7"/>
        <w:rPr>
          <w:rFonts w:ascii="AdonisC"/>
          <w:i/>
          <w:sz w:val="11"/>
        </w:rPr>
      </w:pPr>
    </w:p>
    <w:p w14:paraId="516CE6B3" w14:textId="77777777" w:rsidR="00DE575E" w:rsidRDefault="002E7560">
      <w:pPr>
        <w:spacing w:before="101" w:line="252" w:lineRule="auto"/>
        <w:ind w:left="533" w:right="127" w:firstLine="283"/>
        <w:jc w:val="both"/>
        <w:rPr>
          <w:sz w:val="21"/>
        </w:rPr>
      </w:pPr>
      <w:r>
        <w:rPr>
          <w:i/>
          <w:color w:val="231F20"/>
          <w:sz w:val="21"/>
        </w:rPr>
        <w:t xml:space="preserve">Фактичне припинення дії індивідуальних актів </w:t>
      </w:r>
      <w:r>
        <w:rPr>
          <w:color w:val="231F20"/>
          <w:sz w:val="21"/>
        </w:rPr>
        <w:t xml:space="preserve">відбувається саме собою, автоматично, у зв’язку з настанням певного </w:t>
      </w:r>
      <w:r>
        <w:rPr>
          <w:color w:val="231F20"/>
          <w:spacing w:val="-4"/>
          <w:sz w:val="21"/>
        </w:rPr>
        <w:t xml:space="preserve">факту, </w:t>
      </w:r>
      <w:r>
        <w:rPr>
          <w:color w:val="231F20"/>
          <w:sz w:val="21"/>
        </w:rPr>
        <w:t>і тому немає</w:t>
      </w:r>
      <w:r>
        <w:rPr>
          <w:color w:val="231F20"/>
          <w:spacing w:val="-7"/>
          <w:sz w:val="21"/>
        </w:rPr>
        <w:t xml:space="preserve"> </w:t>
      </w:r>
      <w:r>
        <w:rPr>
          <w:color w:val="231F20"/>
          <w:sz w:val="21"/>
        </w:rPr>
        <w:t>потреби</w:t>
      </w:r>
      <w:r>
        <w:rPr>
          <w:color w:val="231F20"/>
          <w:spacing w:val="-7"/>
          <w:sz w:val="21"/>
        </w:rPr>
        <w:t xml:space="preserve"> </w:t>
      </w:r>
      <w:r>
        <w:rPr>
          <w:color w:val="231F20"/>
          <w:sz w:val="21"/>
        </w:rPr>
        <w:t>в</w:t>
      </w:r>
      <w:r>
        <w:rPr>
          <w:color w:val="231F20"/>
          <w:spacing w:val="-7"/>
          <w:sz w:val="21"/>
        </w:rPr>
        <w:t xml:space="preserve"> </w:t>
      </w:r>
      <w:r>
        <w:rPr>
          <w:color w:val="231F20"/>
          <w:sz w:val="21"/>
        </w:rPr>
        <w:t>спеціальному</w:t>
      </w:r>
      <w:r>
        <w:rPr>
          <w:color w:val="231F20"/>
          <w:spacing w:val="-7"/>
          <w:sz w:val="21"/>
        </w:rPr>
        <w:t xml:space="preserve"> </w:t>
      </w:r>
      <w:r>
        <w:rPr>
          <w:color w:val="231F20"/>
          <w:sz w:val="21"/>
        </w:rPr>
        <w:t>волевиявленні,</w:t>
      </w:r>
      <w:r>
        <w:rPr>
          <w:color w:val="231F20"/>
          <w:spacing w:val="-7"/>
          <w:sz w:val="21"/>
        </w:rPr>
        <w:t xml:space="preserve"> </w:t>
      </w:r>
      <w:r>
        <w:rPr>
          <w:color w:val="231F20"/>
          <w:sz w:val="21"/>
        </w:rPr>
        <w:t>виданні</w:t>
      </w:r>
      <w:r>
        <w:rPr>
          <w:color w:val="231F20"/>
          <w:spacing w:val="-7"/>
          <w:sz w:val="21"/>
        </w:rPr>
        <w:t xml:space="preserve"> </w:t>
      </w:r>
      <w:r>
        <w:rPr>
          <w:color w:val="231F20"/>
          <w:sz w:val="21"/>
        </w:rPr>
        <w:t>акта,</w:t>
      </w:r>
      <w:r>
        <w:rPr>
          <w:color w:val="231F20"/>
          <w:spacing w:val="-7"/>
          <w:sz w:val="21"/>
        </w:rPr>
        <w:t xml:space="preserve"> </w:t>
      </w:r>
      <w:r>
        <w:rPr>
          <w:color w:val="231F20"/>
          <w:sz w:val="21"/>
        </w:rPr>
        <w:t>спрямо- ваного на їх припинення.</w:t>
      </w:r>
    </w:p>
    <w:p w14:paraId="59DB5205" w14:textId="77777777" w:rsidR="00DE575E" w:rsidRDefault="002E7560">
      <w:pPr>
        <w:pStyle w:val="Heading6"/>
        <w:spacing w:before="2" w:line="252" w:lineRule="auto"/>
        <w:ind w:right="127"/>
        <w:jc w:val="both"/>
      </w:pPr>
      <w:r>
        <w:rPr>
          <w:color w:val="231F20"/>
        </w:rPr>
        <w:t>Н</w:t>
      </w:r>
      <w:r>
        <w:rPr>
          <w:color w:val="231F20"/>
        </w:rPr>
        <w:t xml:space="preserve">айпоширенішими підставами фактичного припинення дії </w:t>
      </w:r>
      <w:r>
        <w:rPr>
          <w:color w:val="231F20"/>
        </w:rPr>
        <w:t>адміністративних актів є:</w:t>
      </w:r>
    </w:p>
    <w:p w14:paraId="4DE66BD2" w14:textId="77777777" w:rsidR="00DE575E" w:rsidRDefault="002E7560">
      <w:pPr>
        <w:pStyle w:val="BodyText"/>
        <w:spacing w:before="1"/>
        <w:ind w:left="817"/>
      </w:pPr>
      <w:r>
        <w:rPr>
          <w:rFonts w:ascii="Wingdings" w:hAnsi="Wingdings"/>
          <w:color w:val="231F20"/>
        </w:rPr>
        <w:t></w:t>
      </w:r>
      <w:r>
        <w:rPr>
          <w:rFonts w:ascii="Times New Roman" w:hAnsi="Times New Roman"/>
          <w:color w:val="231F20"/>
        </w:rPr>
        <w:t xml:space="preserve"> </w:t>
      </w:r>
      <w:r>
        <w:rPr>
          <w:color w:val="231F20"/>
        </w:rPr>
        <w:t>закінчення строку дії акта, виданого на певний строк;</w:t>
      </w:r>
    </w:p>
    <w:p w14:paraId="1BC3479C" w14:textId="77777777" w:rsidR="00DE575E" w:rsidRDefault="002E7560">
      <w:pPr>
        <w:pStyle w:val="BodyText"/>
        <w:spacing w:before="12" w:line="252" w:lineRule="auto"/>
        <w:ind w:left="533" w:right="128" w:firstLine="283"/>
        <w:jc w:val="both"/>
      </w:pPr>
      <w:r>
        <w:rPr>
          <w:rFonts w:ascii="Wingdings" w:hAnsi="Wingdings"/>
          <w:color w:val="231F20"/>
        </w:rPr>
        <w:t></w:t>
      </w:r>
      <w:r>
        <w:rPr>
          <w:rFonts w:ascii="Times New Roman" w:hAnsi="Times New Roman"/>
          <w:color w:val="231F20"/>
        </w:rPr>
        <w:t xml:space="preserve"> </w:t>
      </w:r>
      <w:r>
        <w:rPr>
          <w:color w:val="231F20"/>
        </w:rPr>
        <w:t>виконання вимоги, якщо зміст акта зводився лише до вико- нання цієї вимоги;</w:t>
      </w:r>
    </w:p>
    <w:p w14:paraId="2D9EE9DD" w14:textId="77777777" w:rsidR="00DE575E" w:rsidRDefault="002E7560">
      <w:pPr>
        <w:pStyle w:val="BodyText"/>
        <w:spacing w:before="1"/>
        <w:ind w:left="817"/>
      </w:pPr>
      <w:r>
        <w:rPr>
          <w:rFonts w:ascii="Wingdings" w:hAnsi="Wingdings"/>
          <w:color w:val="231F20"/>
        </w:rPr>
        <w:t></w:t>
      </w:r>
      <w:r>
        <w:rPr>
          <w:rFonts w:ascii="Times New Roman" w:hAnsi="Times New Roman"/>
          <w:color w:val="231F20"/>
        </w:rPr>
        <w:t xml:space="preserve"> </w:t>
      </w:r>
      <w:r>
        <w:rPr>
          <w:color w:val="231F20"/>
        </w:rPr>
        <w:t>настання певної юридичної події.</w:t>
      </w:r>
    </w:p>
    <w:p w14:paraId="447E93FC" w14:textId="77777777" w:rsidR="00DE575E" w:rsidRDefault="002E7560">
      <w:pPr>
        <w:pStyle w:val="BodyText"/>
        <w:spacing w:before="13" w:line="252" w:lineRule="auto"/>
        <w:ind w:left="533" w:right="127" w:firstLine="283"/>
        <w:jc w:val="both"/>
      </w:pPr>
      <w:r>
        <w:rPr>
          <w:color w:val="231F20"/>
          <w:spacing w:val="-5"/>
        </w:rPr>
        <w:t>Індивідуальний</w:t>
      </w:r>
      <w:r>
        <w:rPr>
          <w:color w:val="231F20"/>
          <w:spacing w:val="-15"/>
        </w:rPr>
        <w:t xml:space="preserve"> </w:t>
      </w:r>
      <w:r>
        <w:rPr>
          <w:color w:val="231F20"/>
          <w:spacing w:val="-8"/>
        </w:rPr>
        <w:t>акт,</w:t>
      </w:r>
      <w:r>
        <w:rPr>
          <w:color w:val="231F20"/>
          <w:spacing w:val="-15"/>
        </w:rPr>
        <w:t xml:space="preserve"> </w:t>
      </w:r>
      <w:r>
        <w:rPr>
          <w:color w:val="231F20"/>
          <w:spacing w:val="-5"/>
        </w:rPr>
        <w:t>виданий</w:t>
      </w:r>
      <w:r>
        <w:rPr>
          <w:color w:val="231F20"/>
          <w:spacing w:val="-15"/>
        </w:rPr>
        <w:t xml:space="preserve"> </w:t>
      </w:r>
      <w:r>
        <w:rPr>
          <w:color w:val="231F20"/>
          <w:spacing w:val="-3"/>
        </w:rPr>
        <w:t>на</w:t>
      </w:r>
      <w:r>
        <w:rPr>
          <w:color w:val="231F20"/>
          <w:spacing w:val="-15"/>
        </w:rPr>
        <w:t xml:space="preserve"> </w:t>
      </w:r>
      <w:r>
        <w:rPr>
          <w:color w:val="231F20"/>
          <w:spacing w:val="-5"/>
        </w:rPr>
        <w:t>певний</w:t>
      </w:r>
      <w:r>
        <w:rPr>
          <w:color w:val="231F20"/>
          <w:spacing w:val="-15"/>
        </w:rPr>
        <w:t xml:space="preserve"> </w:t>
      </w:r>
      <w:r>
        <w:rPr>
          <w:color w:val="231F20"/>
          <w:spacing w:val="-4"/>
        </w:rPr>
        <w:t>строк,</w:t>
      </w:r>
      <w:r>
        <w:rPr>
          <w:color w:val="231F20"/>
          <w:spacing w:val="-15"/>
        </w:rPr>
        <w:t xml:space="preserve"> </w:t>
      </w:r>
      <w:r>
        <w:rPr>
          <w:color w:val="231F20"/>
          <w:spacing w:val="-3"/>
        </w:rPr>
        <w:t>зі</w:t>
      </w:r>
      <w:r>
        <w:rPr>
          <w:color w:val="231F20"/>
          <w:spacing w:val="-15"/>
        </w:rPr>
        <w:t xml:space="preserve"> </w:t>
      </w:r>
      <w:r>
        <w:rPr>
          <w:color w:val="231F20"/>
          <w:spacing w:val="-5"/>
        </w:rPr>
        <w:t>збігом</w:t>
      </w:r>
      <w:r>
        <w:rPr>
          <w:color w:val="231F20"/>
          <w:spacing w:val="-15"/>
        </w:rPr>
        <w:t xml:space="preserve"> </w:t>
      </w:r>
      <w:r>
        <w:rPr>
          <w:color w:val="231F20"/>
          <w:spacing w:val="-4"/>
        </w:rPr>
        <w:t>цього</w:t>
      </w:r>
      <w:r>
        <w:rPr>
          <w:color w:val="231F20"/>
          <w:spacing w:val="-15"/>
        </w:rPr>
        <w:t xml:space="preserve"> </w:t>
      </w:r>
      <w:r>
        <w:rPr>
          <w:color w:val="231F20"/>
          <w:spacing w:val="-5"/>
        </w:rPr>
        <w:t xml:space="preserve">строку перестає діяти, </w:t>
      </w:r>
      <w:r>
        <w:rPr>
          <w:color w:val="231F20"/>
        </w:rPr>
        <w:t xml:space="preserve">а </w:t>
      </w:r>
      <w:r>
        <w:rPr>
          <w:color w:val="231F20"/>
          <w:spacing w:val="-4"/>
        </w:rPr>
        <w:t xml:space="preserve">тому немає </w:t>
      </w:r>
      <w:r>
        <w:rPr>
          <w:color w:val="231F20"/>
          <w:spacing w:val="-5"/>
        </w:rPr>
        <w:t xml:space="preserve">потреби спеціально </w:t>
      </w:r>
      <w:r>
        <w:rPr>
          <w:color w:val="231F20"/>
          <w:spacing w:val="-4"/>
        </w:rPr>
        <w:t xml:space="preserve">його </w:t>
      </w:r>
      <w:r>
        <w:rPr>
          <w:color w:val="231F20"/>
          <w:spacing w:val="-5"/>
        </w:rPr>
        <w:t xml:space="preserve">скасовувати. </w:t>
      </w:r>
      <w:r>
        <w:rPr>
          <w:color w:val="231F20"/>
          <w:spacing w:val="-7"/>
        </w:rPr>
        <w:t xml:space="preserve">Так, </w:t>
      </w:r>
      <w:r>
        <w:rPr>
          <w:color w:val="231F20"/>
          <w:spacing w:val="-5"/>
        </w:rPr>
        <w:t xml:space="preserve">дозвіл, виданий </w:t>
      </w:r>
      <w:r>
        <w:rPr>
          <w:color w:val="231F20"/>
          <w:spacing w:val="-3"/>
        </w:rPr>
        <w:t xml:space="preserve">на </w:t>
      </w:r>
      <w:r>
        <w:rPr>
          <w:color w:val="231F20"/>
          <w:spacing w:val="-5"/>
        </w:rPr>
        <w:t xml:space="preserve">певний </w:t>
      </w:r>
      <w:r>
        <w:rPr>
          <w:color w:val="231F20"/>
          <w:spacing w:val="-4"/>
        </w:rPr>
        <w:t xml:space="preserve">строк, </w:t>
      </w:r>
      <w:r>
        <w:rPr>
          <w:color w:val="231F20"/>
          <w:spacing w:val="-3"/>
        </w:rPr>
        <w:t xml:space="preserve">не </w:t>
      </w:r>
      <w:r>
        <w:rPr>
          <w:color w:val="231F20"/>
          <w:spacing w:val="-5"/>
        </w:rPr>
        <w:t xml:space="preserve">дозволяє здійснювати передба- </w:t>
      </w:r>
      <w:r>
        <w:rPr>
          <w:color w:val="231F20"/>
          <w:spacing w:val="-4"/>
        </w:rPr>
        <w:t xml:space="preserve">чену ним </w:t>
      </w:r>
      <w:r>
        <w:rPr>
          <w:color w:val="231F20"/>
          <w:spacing w:val="-5"/>
        </w:rPr>
        <w:t xml:space="preserve">діяльність </w:t>
      </w:r>
      <w:r>
        <w:rPr>
          <w:color w:val="231F20"/>
          <w:spacing w:val="-4"/>
        </w:rPr>
        <w:t xml:space="preserve">після </w:t>
      </w:r>
      <w:r>
        <w:rPr>
          <w:color w:val="231F20"/>
          <w:spacing w:val="-5"/>
        </w:rPr>
        <w:t xml:space="preserve">закінчення </w:t>
      </w:r>
      <w:r>
        <w:rPr>
          <w:color w:val="231F20"/>
          <w:spacing w:val="-7"/>
        </w:rPr>
        <w:t xml:space="preserve">строку, </w:t>
      </w:r>
      <w:r>
        <w:rPr>
          <w:color w:val="231F20"/>
          <w:spacing w:val="-5"/>
        </w:rPr>
        <w:t xml:space="preserve">вказаного </w:t>
      </w:r>
      <w:r>
        <w:rPr>
          <w:color w:val="231F20"/>
        </w:rPr>
        <w:t>в</w:t>
      </w:r>
      <w:r>
        <w:rPr>
          <w:color w:val="231F20"/>
          <w:spacing w:val="-32"/>
        </w:rPr>
        <w:t xml:space="preserve"> </w:t>
      </w:r>
      <w:r>
        <w:rPr>
          <w:color w:val="231F20"/>
          <w:spacing w:val="-7"/>
        </w:rPr>
        <w:t>ньому.</w:t>
      </w:r>
    </w:p>
    <w:p w14:paraId="46FFF613" w14:textId="77777777" w:rsidR="00DE575E" w:rsidRDefault="002E7560">
      <w:pPr>
        <w:pStyle w:val="Heading5"/>
        <w:spacing w:before="2" w:line="252" w:lineRule="auto"/>
        <w:ind w:right="128" w:firstLine="283"/>
        <w:jc w:val="both"/>
      </w:pPr>
      <w:r>
        <w:rPr>
          <w:color w:val="231F20"/>
        </w:rPr>
        <w:t>Отже, під поняттям «виконання адміністративного акта» розуміється реалізація права або дотримання вимоги виконати певні</w:t>
      </w:r>
      <w:r>
        <w:rPr>
          <w:color w:val="231F20"/>
          <w:spacing w:val="-8"/>
        </w:rPr>
        <w:t xml:space="preserve"> </w:t>
      </w:r>
      <w:r>
        <w:rPr>
          <w:color w:val="231F20"/>
        </w:rPr>
        <w:t>дії,</w:t>
      </w:r>
      <w:r>
        <w:rPr>
          <w:color w:val="231F20"/>
          <w:spacing w:val="-8"/>
        </w:rPr>
        <w:t xml:space="preserve"> </w:t>
      </w:r>
      <w:r>
        <w:rPr>
          <w:color w:val="231F20"/>
        </w:rPr>
        <w:t>яка</w:t>
      </w:r>
      <w:r>
        <w:rPr>
          <w:color w:val="231F20"/>
          <w:spacing w:val="-8"/>
        </w:rPr>
        <w:t xml:space="preserve"> </w:t>
      </w:r>
      <w:r>
        <w:rPr>
          <w:color w:val="231F20"/>
        </w:rPr>
        <w:t>міститься</w:t>
      </w:r>
      <w:r>
        <w:rPr>
          <w:color w:val="231F20"/>
          <w:spacing w:val="-8"/>
        </w:rPr>
        <w:t xml:space="preserve"> </w:t>
      </w:r>
      <w:r>
        <w:rPr>
          <w:color w:val="231F20"/>
        </w:rPr>
        <w:t>в</w:t>
      </w:r>
      <w:r>
        <w:rPr>
          <w:color w:val="231F20"/>
          <w:spacing w:val="-8"/>
        </w:rPr>
        <w:t xml:space="preserve"> </w:t>
      </w:r>
      <w:r>
        <w:rPr>
          <w:color w:val="231F20"/>
        </w:rPr>
        <w:t>акті,</w:t>
      </w:r>
      <w:r>
        <w:rPr>
          <w:color w:val="231F20"/>
          <w:spacing w:val="-8"/>
        </w:rPr>
        <w:t xml:space="preserve"> </w:t>
      </w:r>
      <w:r>
        <w:rPr>
          <w:color w:val="231F20"/>
        </w:rPr>
        <w:t>якщо</w:t>
      </w:r>
      <w:r>
        <w:rPr>
          <w:color w:val="231F20"/>
          <w:spacing w:val="-8"/>
        </w:rPr>
        <w:t xml:space="preserve"> </w:t>
      </w:r>
      <w:r>
        <w:rPr>
          <w:color w:val="231F20"/>
        </w:rPr>
        <w:t>його</w:t>
      </w:r>
      <w:r>
        <w:rPr>
          <w:color w:val="231F20"/>
          <w:spacing w:val="-8"/>
        </w:rPr>
        <w:t xml:space="preserve"> </w:t>
      </w:r>
      <w:r>
        <w:rPr>
          <w:color w:val="231F20"/>
        </w:rPr>
        <w:t>зміст</w:t>
      </w:r>
      <w:r>
        <w:rPr>
          <w:color w:val="231F20"/>
          <w:spacing w:val="-8"/>
        </w:rPr>
        <w:t xml:space="preserve"> </w:t>
      </w:r>
      <w:r>
        <w:rPr>
          <w:color w:val="231F20"/>
        </w:rPr>
        <w:t>зводився</w:t>
      </w:r>
      <w:r>
        <w:rPr>
          <w:color w:val="231F20"/>
          <w:spacing w:val="-8"/>
        </w:rPr>
        <w:t xml:space="preserve"> </w:t>
      </w:r>
      <w:r>
        <w:rPr>
          <w:color w:val="231F20"/>
        </w:rPr>
        <w:t>лише</w:t>
      </w:r>
      <w:r>
        <w:rPr>
          <w:color w:val="231F20"/>
          <w:spacing w:val="-8"/>
        </w:rPr>
        <w:t xml:space="preserve"> </w:t>
      </w:r>
      <w:r>
        <w:rPr>
          <w:color w:val="231F20"/>
        </w:rPr>
        <w:t>до реалізації цього права / виконання цієї</w:t>
      </w:r>
      <w:r>
        <w:rPr>
          <w:color w:val="231F20"/>
          <w:spacing w:val="-9"/>
        </w:rPr>
        <w:t xml:space="preserve"> </w:t>
      </w:r>
      <w:r>
        <w:rPr>
          <w:color w:val="231F20"/>
        </w:rPr>
        <w:t>вимоги.</w:t>
      </w:r>
    </w:p>
    <w:p w14:paraId="64901456" w14:textId="77777777" w:rsidR="00DE575E" w:rsidRDefault="00DE575E">
      <w:pPr>
        <w:pStyle w:val="BodyText"/>
        <w:spacing w:before="2"/>
        <w:rPr>
          <w:b/>
          <w:sz w:val="22"/>
        </w:rPr>
      </w:pPr>
    </w:p>
    <w:p w14:paraId="0669147E" w14:textId="77777777" w:rsidR="00DE575E" w:rsidRDefault="002E7560">
      <w:pPr>
        <w:pStyle w:val="ListParagraph"/>
        <w:numPr>
          <w:ilvl w:val="2"/>
          <w:numId w:val="192"/>
        </w:numPr>
        <w:tabs>
          <w:tab w:val="left" w:pos="1383"/>
        </w:tabs>
        <w:spacing w:before="0"/>
        <w:ind w:left="1382"/>
        <w:jc w:val="left"/>
        <w:rPr>
          <w:b/>
          <w:sz w:val="21"/>
        </w:rPr>
      </w:pPr>
      <w:r>
        <w:rPr>
          <w:b/>
          <w:color w:val="231F20"/>
          <w:sz w:val="21"/>
        </w:rPr>
        <w:t>Нікчемні</w:t>
      </w:r>
      <w:r>
        <w:rPr>
          <w:b/>
          <w:color w:val="231F20"/>
          <w:sz w:val="21"/>
        </w:rPr>
        <w:t>сть адміністративного</w:t>
      </w:r>
      <w:r>
        <w:rPr>
          <w:b/>
          <w:color w:val="231F20"/>
          <w:spacing w:val="-3"/>
          <w:sz w:val="21"/>
        </w:rPr>
        <w:t xml:space="preserve"> </w:t>
      </w:r>
      <w:r>
        <w:rPr>
          <w:b/>
          <w:color w:val="231F20"/>
          <w:sz w:val="21"/>
        </w:rPr>
        <w:t>акта</w:t>
      </w:r>
    </w:p>
    <w:p w14:paraId="0843D2CF" w14:textId="77777777" w:rsidR="00DE575E" w:rsidRDefault="00DE575E">
      <w:pPr>
        <w:pStyle w:val="BodyText"/>
        <w:spacing w:before="2"/>
        <w:rPr>
          <w:b/>
          <w:sz w:val="23"/>
        </w:rPr>
      </w:pPr>
    </w:p>
    <w:p w14:paraId="2CFB090C" w14:textId="77777777" w:rsidR="00DE575E" w:rsidRDefault="002E7560">
      <w:pPr>
        <w:pStyle w:val="BodyText"/>
        <w:spacing w:line="252" w:lineRule="auto"/>
        <w:ind w:left="533" w:right="127" w:firstLine="283"/>
        <w:jc w:val="both"/>
      </w:pPr>
      <w:r>
        <w:rPr>
          <w:color w:val="231F20"/>
        </w:rPr>
        <w:t xml:space="preserve">Нікчемність адміністративного акта – це недійсність адмініст- ративного акта із самого моменту його ухвалення (видання), тобто відсутність </w:t>
      </w:r>
      <w:r>
        <w:rPr>
          <w:color w:val="231F20"/>
          <w:spacing w:val="-3"/>
        </w:rPr>
        <w:t xml:space="preserve">будь-яких </w:t>
      </w:r>
      <w:r>
        <w:rPr>
          <w:color w:val="231F20"/>
        </w:rPr>
        <w:t>правових наслідків адміністративного акта до відносин, щодо яких його ухвалено. Нікчемний адміністратив- ний акт не має юридичної сили з моменту свого ухвалення. Презю- мується, що такого акта не існує. З такого акта ні для кого не вини- кає жодних прав чи</w:t>
      </w:r>
      <w:r>
        <w:rPr>
          <w:color w:val="231F20"/>
        </w:rPr>
        <w:t xml:space="preserve"> обов’язків, він також не може бути основою для жодної подальшої</w:t>
      </w:r>
      <w:r>
        <w:rPr>
          <w:color w:val="231F20"/>
          <w:spacing w:val="-3"/>
        </w:rPr>
        <w:t xml:space="preserve"> </w:t>
      </w:r>
      <w:r>
        <w:rPr>
          <w:color w:val="231F20"/>
        </w:rPr>
        <w:t>дії.</w:t>
      </w:r>
    </w:p>
    <w:p w14:paraId="3596CD87" w14:textId="77777777" w:rsidR="00DE575E" w:rsidRDefault="002E7560">
      <w:pPr>
        <w:pStyle w:val="Heading6"/>
        <w:spacing w:before="4"/>
        <w:ind w:left="817" w:firstLine="0"/>
      </w:pPr>
      <w:r>
        <w:rPr>
          <w:color w:val="231F20"/>
        </w:rPr>
        <w:t>Адміністративний акт є нікчемним, якщо:</w:t>
      </w:r>
    </w:p>
    <w:p w14:paraId="75578869" w14:textId="77777777" w:rsidR="00DE575E" w:rsidRDefault="002E7560">
      <w:pPr>
        <w:pStyle w:val="ListParagraph"/>
        <w:numPr>
          <w:ilvl w:val="0"/>
          <w:numId w:val="191"/>
        </w:numPr>
        <w:tabs>
          <w:tab w:val="left" w:pos="1101"/>
        </w:tabs>
        <w:spacing w:before="13" w:line="252" w:lineRule="auto"/>
        <w:ind w:right="129" w:firstLine="284"/>
        <w:rPr>
          <w:sz w:val="21"/>
        </w:rPr>
      </w:pPr>
      <w:r>
        <w:rPr>
          <w:color w:val="231F20"/>
          <w:sz w:val="21"/>
        </w:rPr>
        <w:t>його видано в письмовій формі, але відсутні відомості про адміністративний орган, який його</w:t>
      </w:r>
      <w:r>
        <w:rPr>
          <w:color w:val="231F20"/>
          <w:spacing w:val="-4"/>
          <w:sz w:val="21"/>
        </w:rPr>
        <w:t xml:space="preserve"> </w:t>
      </w:r>
      <w:r>
        <w:rPr>
          <w:color w:val="231F20"/>
          <w:sz w:val="21"/>
        </w:rPr>
        <w:t>видав;</w:t>
      </w:r>
    </w:p>
    <w:p w14:paraId="3A191237" w14:textId="77777777" w:rsidR="00DE575E" w:rsidRDefault="002E7560">
      <w:pPr>
        <w:pStyle w:val="ListParagraph"/>
        <w:numPr>
          <w:ilvl w:val="0"/>
          <w:numId w:val="191"/>
        </w:numPr>
        <w:tabs>
          <w:tab w:val="left" w:pos="1101"/>
        </w:tabs>
        <w:spacing w:line="252" w:lineRule="auto"/>
        <w:ind w:right="128" w:firstLine="284"/>
        <w:rPr>
          <w:sz w:val="21"/>
        </w:rPr>
      </w:pPr>
      <w:r>
        <w:rPr>
          <w:color w:val="231F20"/>
          <w:sz w:val="21"/>
        </w:rPr>
        <w:t xml:space="preserve">відповідно до закону він може бути виданий лише у формі документа, але ця вимога не </w:t>
      </w:r>
      <w:r>
        <w:rPr>
          <w:color w:val="231F20"/>
          <w:spacing w:val="-3"/>
          <w:sz w:val="21"/>
        </w:rPr>
        <w:t>була</w:t>
      </w:r>
      <w:r>
        <w:rPr>
          <w:color w:val="231F20"/>
          <w:spacing w:val="-7"/>
          <w:sz w:val="21"/>
        </w:rPr>
        <w:t xml:space="preserve"> </w:t>
      </w:r>
      <w:r>
        <w:rPr>
          <w:color w:val="231F20"/>
          <w:sz w:val="21"/>
        </w:rPr>
        <w:t>дотримана;</w:t>
      </w:r>
    </w:p>
    <w:p w14:paraId="6EDC9B60" w14:textId="77777777" w:rsidR="00DE575E" w:rsidRDefault="002E7560">
      <w:pPr>
        <w:pStyle w:val="ListParagraph"/>
        <w:numPr>
          <w:ilvl w:val="0"/>
          <w:numId w:val="191"/>
        </w:numPr>
        <w:tabs>
          <w:tab w:val="left" w:pos="1101"/>
        </w:tabs>
        <w:spacing w:line="252" w:lineRule="auto"/>
        <w:ind w:right="131" w:firstLine="284"/>
        <w:rPr>
          <w:sz w:val="21"/>
        </w:rPr>
      </w:pPr>
      <w:r>
        <w:rPr>
          <w:color w:val="231F20"/>
          <w:sz w:val="21"/>
        </w:rPr>
        <w:t>адміністративний</w:t>
      </w:r>
      <w:r>
        <w:rPr>
          <w:color w:val="231F20"/>
          <w:spacing w:val="-14"/>
          <w:sz w:val="21"/>
        </w:rPr>
        <w:t xml:space="preserve"> </w:t>
      </w:r>
      <w:r>
        <w:rPr>
          <w:color w:val="231F20"/>
          <w:sz w:val="21"/>
        </w:rPr>
        <w:t>акт</w:t>
      </w:r>
      <w:r>
        <w:rPr>
          <w:color w:val="231F20"/>
          <w:spacing w:val="-13"/>
          <w:sz w:val="21"/>
        </w:rPr>
        <w:t xml:space="preserve"> </w:t>
      </w:r>
      <w:r>
        <w:rPr>
          <w:color w:val="231F20"/>
          <w:sz w:val="21"/>
        </w:rPr>
        <w:t>виданий</w:t>
      </w:r>
      <w:r>
        <w:rPr>
          <w:color w:val="231F20"/>
          <w:spacing w:val="-13"/>
          <w:sz w:val="21"/>
        </w:rPr>
        <w:t xml:space="preserve"> </w:t>
      </w:r>
      <w:r>
        <w:rPr>
          <w:color w:val="231F20"/>
          <w:sz w:val="21"/>
        </w:rPr>
        <w:t>адміністративним</w:t>
      </w:r>
      <w:r>
        <w:rPr>
          <w:color w:val="231F20"/>
          <w:spacing w:val="-14"/>
          <w:sz w:val="21"/>
        </w:rPr>
        <w:t xml:space="preserve"> </w:t>
      </w:r>
      <w:r>
        <w:rPr>
          <w:color w:val="231F20"/>
          <w:sz w:val="21"/>
        </w:rPr>
        <w:t>органом,</w:t>
      </w:r>
      <w:r>
        <w:rPr>
          <w:color w:val="231F20"/>
          <w:spacing w:val="-14"/>
          <w:sz w:val="21"/>
        </w:rPr>
        <w:t xml:space="preserve"> </w:t>
      </w:r>
      <w:r>
        <w:rPr>
          <w:color w:val="231F20"/>
          <w:sz w:val="21"/>
        </w:rPr>
        <w:t>що не має на це відповідних</w:t>
      </w:r>
      <w:r>
        <w:rPr>
          <w:color w:val="231F20"/>
          <w:spacing w:val="-2"/>
          <w:sz w:val="21"/>
        </w:rPr>
        <w:t xml:space="preserve"> </w:t>
      </w:r>
      <w:r>
        <w:rPr>
          <w:color w:val="231F20"/>
          <w:sz w:val="21"/>
        </w:rPr>
        <w:t>повноважень;</w:t>
      </w:r>
    </w:p>
    <w:p w14:paraId="20419216" w14:textId="77777777" w:rsidR="00DE575E" w:rsidRDefault="002E7560">
      <w:pPr>
        <w:pStyle w:val="ListParagraph"/>
        <w:numPr>
          <w:ilvl w:val="0"/>
          <w:numId w:val="191"/>
        </w:numPr>
        <w:tabs>
          <w:tab w:val="left" w:pos="1101"/>
        </w:tabs>
        <w:spacing w:line="252" w:lineRule="auto"/>
        <w:ind w:right="128" w:firstLine="284"/>
        <w:rPr>
          <w:sz w:val="21"/>
        </w:rPr>
      </w:pPr>
      <w:r>
        <w:rPr>
          <w:color w:val="231F20"/>
          <w:sz w:val="21"/>
        </w:rPr>
        <w:t>виконання такого адміністративного акта призведе до вчинення</w:t>
      </w:r>
      <w:r>
        <w:rPr>
          <w:color w:val="231F20"/>
          <w:sz w:val="21"/>
        </w:rPr>
        <w:t xml:space="preserve"> кримінального та (або) адміністративного правопору- шення, а також істотного порушення прав і свобод</w:t>
      </w:r>
      <w:r>
        <w:rPr>
          <w:color w:val="231F20"/>
          <w:spacing w:val="-14"/>
          <w:sz w:val="21"/>
        </w:rPr>
        <w:t xml:space="preserve"> </w:t>
      </w:r>
      <w:r>
        <w:rPr>
          <w:color w:val="231F20"/>
          <w:sz w:val="21"/>
        </w:rPr>
        <w:t>людини;</w:t>
      </w:r>
    </w:p>
    <w:p w14:paraId="0E8E122A" w14:textId="77777777" w:rsidR="00DE575E" w:rsidRDefault="00DE575E">
      <w:pPr>
        <w:pStyle w:val="BodyText"/>
        <w:spacing w:before="7"/>
        <w:rPr>
          <w:sz w:val="12"/>
        </w:rPr>
      </w:pPr>
    </w:p>
    <w:p w14:paraId="7B5B8343" w14:textId="77777777" w:rsidR="00DE575E" w:rsidRDefault="002E7560">
      <w:pPr>
        <w:spacing w:before="92"/>
        <w:ind w:left="533"/>
        <w:rPr>
          <w:rFonts w:ascii="Times New Roman"/>
          <w:sz w:val="20"/>
        </w:rPr>
      </w:pPr>
      <w:r>
        <w:rPr>
          <w:rFonts w:ascii="Times New Roman"/>
          <w:color w:val="231F20"/>
          <w:sz w:val="20"/>
        </w:rPr>
        <w:t>230</w:t>
      </w:r>
    </w:p>
    <w:p w14:paraId="00C78F6A" w14:textId="77777777" w:rsidR="00DE575E" w:rsidRDefault="00DE575E">
      <w:pPr>
        <w:rPr>
          <w:rFonts w:ascii="Times New Roman"/>
          <w:sz w:val="20"/>
        </w:rPr>
        <w:sectPr w:rsidR="00DE575E">
          <w:pgSz w:w="8510" w:h="12760"/>
          <w:pgMar w:top="660" w:right="720" w:bottom="280" w:left="600" w:header="720" w:footer="720" w:gutter="0"/>
          <w:cols w:space="720"/>
        </w:sectPr>
      </w:pPr>
    </w:p>
    <w:p w14:paraId="02D5828B"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53FDC857" w14:textId="3C47DFC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111B01B" wp14:editId="50CF5049">
                <wp:extent cx="4140200" cy="6350"/>
                <wp:effectExtent l="0" t="0" r="12700" b="6350"/>
                <wp:docPr id="830"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31" name="Line 83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9D0D5E" id="Group_x0020_82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wsPBdH4CAACYBQAADgAA&#10;AAAAAAAAAAAAAAAsAgAAZHJzL2Uyb0RvYy54bWxQSwECLQAUAAYACAAAACEATKewkNkAAAADAQAA&#10;DwAAAAAAAAAAAAAAAADWBAAAZHJzL2Rvd25yZXYueG1sUEsFBgAAAAAEAAQA8wAAANwFAAAAAA==&#10;">
                <v:line id="Line_x0020_83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tw/cYAAADcAAAADwAAAGRycy9kb3ducmV2LnhtbESP0WrCQBRE3wv+w3IFX4puNCCSukoR&#10;hNIHrcYPuGZvk9DduzG7mrRf3xUEH4eZOcMs17014katrx0rmE4SEMSF0zWXCk75drwA4QOyRuOY&#10;FPySh/Vq8LLETLuOD3Q7hlJECPsMFVQhNJmUvqjIop+4hjh63661GKJsS6lb7CLcGjlLkrm0WHNc&#10;qLChTUXFz/FqFeSX12C+9p+my/fnVJ4vu/TvulNqNOzf30AE6sMz/Gh/aAWLdAr3M/EIyN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bcP3GAAAA3AAAAA8AAAAAAAAA&#10;AAAAAAAAoQIAAGRycy9kb3ducmV2LnhtbFBLBQYAAAAABAAEAPkAAACUAwAAAAA=&#10;" strokecolor="#231f20" strokeweight=".5pt"/>
                <w10:anchorlock/>
              </v:group>
            </w:pict>
          </mc:Fallback>
        </mc:AlternateContent>
      </w:r>
    </w:p>
    <w:p w14:paraId="49FB9FA3" w14:textId="77777777" w:rsidR="00DE575E" w:rsidRDefault="00DE575E">
      <w:pPr>
        <w:pStyle w:val="BodyText"/>
        <w:spacing w:before="7"/>
        <w:rPr>
          <w:rFonts w:ascii="AdonisC"/>
          <w:i/>
          <w:sz w:val="19"/>
        </w:rPr>
      </w:pPr>
    </w:p>
    <w:p w14:paraId="5527FC44" w14:textId="77777777" w:rsidR="00DE575E" w:rsidRDefault="002E7560">
      <w:pPr>
        <w:pStyle w:val="ListParagraph"/>
        <w:numPr>
          <w:ilvl w:val="0"/>
          <w:numId w:val="254"/>
        </w:numPr>
        <w:tabs>
          <w:tab w:val="left" w:pos="818"/>
        </w:tabs>
        <w:ind w:firstLine="283"/>
        <w:jc w:val="left"/>
        <w:rPr>
          <w:sz w:val="21"/>
        </w:rPr>
      </w:pPr>
      <w:r>
        <w:rPr>
          <w:color w:val="231F20"/>
          <w:sz w:val="21"/>
        </w:rPr>
        <w:t xml:space="preserve">виконання адміністративного акта </w:t>
      </w:r>
      <w:r>
        <w:rPr>
          <w:color w:val="231F20"/>
          <w:spacing w:val="-3"/>
          <w:sz w:val="21"/>
        </w:rPr>
        <w:t xml:space="preserve">об’єктивно </w:t>
      </w:r>
      <w:r>
        <w:rPr>
          <w:color w:val="231F20"/>
          <w:sz w:val="21"/>
        </w:rPr>
        <w:t>не</w:t>
      </w:r>
      <w:r>
        <w:rPr>
          <w:color w:val="231F20"/>
          <w:spacing w:val="-6"/>
          <w:sz w:val="21"/>
        </w:rPr>
        <w:t xml:space="preserve"> </w:t>
      </w:r>
      <w:r>
        <w:rPr>
          <w:color w:val="231F20"/>
          <w:sz w:val="21"/>
        </w:rPr>
        <w:t>можливе</w:t>
      </w:r>
      <w:r>
        <w:rPr>
          <w:color w:val="231F20"/>
          <w:position w:val="7"/>
          <w:sz w:val="12"/>
        </w:rPr>
        <w:t>1</w:t>
      </w:r>
      <w:r>
        <w:rPr>
          <w:color w:val="231F20"/>
          <w:sz w:val="21"/>
        </w:rPr>
        <w:t>.</w:t>
      </w:r>
    </w:p>
    <w:p w14:paraId="7A05A48D" w14:textId="77777777" w:rsidR="00DE575E" w:rsidRDefault="002E7560">
      <w:pPr>
        <w:pStyle w:val="BodyText"/>
        <w:spacing w:before="12" w:line="252" w:lineRule="auto"/>
        <w:ind w:left="250" w:right="413" w:firstLine="283"/>
        <w:jc w:val="both"/>
      </w:pPr>
      <w:r>
        <w:rPr>
          <w:color w:val="231F20"/>
        </w:rPr>
        <w:t>Існують такі підстави визнання адміністративного акта нікчемним:</w:t>
      </w:r>
    </w:p>
    <w:p w14:paraId="4586ABFC" w14:textId="77777777" w:rsidR="00DE575E" w:rsidRDefault="002E7560">
      <w:pPr>
        <w:pStyle w:val="ListParagraph"/>
        <w:numPr>
          <w:ilvl w:val="0"/>
          <w:numId w:val="190"/>
        </w:numPr>
        <w:tabs>
          <w:tab w:val="left" w:pos="818"/>
        </w:tabs>
        <w:spacing w:line="252" w:lineRule="auto"/>
        <w:ind w:right="412" w:firstLine="283"/>
        <w:jc w:val="both"/>
        <w:rPr>
          <w:sz w:val="21"/>
        </w:rPr>
      </w:pPr>
      <w:r>
        <w:rPr>
          <w:color w:val="231F20"/>
          <w:sz w:val="21"/>
        </w:rPr>
        <w:t>визнання його нікчемним адміністративним органом, яким він був</w:t>
      </w:r>
      <w:r>
        <w:rPr>
          <w:color w:val="231F20"/>
          <w:spacing w:val="-3"/>
          <w:sz w:val="21"/>
        </w:rPr>
        <w:t xml:space="preserve"> </w:t>
      </w:r>
      <w:r>
        <w:rPr>
          <w:color w:val="231F20"/>
          <w:sz w:val="21"/>
        </w:rPr>
        <w:t>виданий;</w:t>
      </w:r>
    </w:p>
    <w:p w14:paraId="5A80B8A3" w14:textId="77777777" w:rsidR="00DE575E" w:rsidRDefault="002E7560">
      <w:pPr>
        <w:pStyle w:val="ListParagraph"/>
        <w:numPr>
          <w:ilvl w:val="0"/>
          <w:numId w:val="190"/>
        </w:numPr>
        <w:tabs>
          <w:tab w:val="left" w:pos="818"/>
        </w:tabs>
        <w:spacing w:line="252" w:lineRule="auto"/>
        <w:ind w:right="409" w:firstLine="283"/>
        <w:jc w:val="both"/>
        <w:rPr>
          <w:sz w:val="21"/>
        </w:rPr>
      </w:pPr>
      <w:r>
        <w:rPr>
          <w:color w:val="231F20"/>
          <w:sz w:val="21"/>
        </w:rPr>
        <w:t xml:space="preserve">визнання особою, що має законний інтерес, акта нікчемним   в адміністративному чи </w:t>
      </w:r>
      <w:r>
        <w:rPr>
          <w:color w:val="231F20"/>
          <w:spacing w:val="-3"/>
          <w:sz w:val="21"/>
        </w:rPr>
        <w:t xml:space="preserve">судовому порядку, </w:t>
      </w:r>
      <w:r>
        <w:rPr>
          <w:color w:val="231F20"/>
          <w:sz w:val="21"/>
        </w:rPr>
        <w:t>що охоплюється понят- тям «скасування адміністративного</w:t>
      </w:r>
      <w:r>
        <w:rPr>
          <w:color w:val="231F20"/>
          <w:spacing w:val="-2"/>
          <w:sz w:val="21"/>
        </w:rPr>
        <w:t xml:space="preserve"> </w:t>
      </w:r>
      <w:r>
        <w:rPr>
          <w:color w:val="231F20"/>
          <w:sz w:val="21"/>
        </w:rPr>
        <w:t>акта».</w:t>
      </w:r>
    </w:p>
    <w:p w14:paraId="17383A1B" w14:textId="77777777" w:rsidR="00DE575E" w:rsidRDefault="002E7560">
      <w:pPr>
        <w:pStyle w:val="BodyText"/>
        <w:spacing w:before="2" w:line="252" w:lineRule="auto"/>
        <w:ind w:left="250" w:right="411" w:firstLine="283"/>
        <w:jc w:val="both"/>
      </w:pPr>
      <w:r>
        <w:rPr>
          <w:i/>
          <w:color w:val="231F20"/>
          <w:spacing w:val="-4"/>
        </w:rPr>
        <w:t xml:space="preserve">Скасування </w:t>
      </w:r>
      <w:r>
        <w:rPr>
          <w:i/>
          <w:color w:val="231F20"/>
          <w:spacing w:val="-3"/>
        </w:rPr>
        <w:t xml:space="preserve">адміністративних актів </w:t>
      </w:r>
      <w:r>
        <w:rPr>
          <w:color w:val="231F20"/>
          <w:spacing w:val="-3"/>
        </w:rPr>
        <w:t xml:space="preserve">відрізняється </w:t>
      </w:r>
      <w:r>
        <w:rPr>
          <w:color w:val="231F20"/>
        </w:rPr>
        <w:t xml:space="preserve">від </w:t>
      </w:r>
      <w:r>
        <w:rPr>
          <w:i/>
          <w:color w:val="231F20"/>
          <w:spacing w:val="-3"/>
        </w:rPr>
        <w:t xml:space="preserve">відкликання </w:t>
      </w:r>
      <w:r>
        <w:rPr>
          <w:color w:val="231F20"/>
          <w:spacing w:val="-4"/>
        </w:rPr>
        <w:t xml:space="preserve">передусім </w:t>
      </w:r>
      <w:r>
        <w:rPr>
          <w:color w:val="231F20"/>
          <w:spacing w:val="-3"/>
        </w:rPr>
        <w:t xml:space="preserve">тим, </w:t>
      </w:r>
      <w:r>
        <w:rPr>
          <w:color w:val="231F20"/>
        </w:rPr>
        <w:t xml:space="preserve">що </w:t>
      </w:r>
      <w:r>
        <w:rPr>
          <w:color w:val="231F20"/>
          <w:spacing w:val="-3"/>
        </w:rPr>
        <w:t xml:space="preserve">воно застосовується виключно </w:t>
      </w:r>
      <w:r>
        <w:rPr>
          <w:color w:val="231F20"/>
        </w:rPr>
        <w:t xml:space="preserve">до </w:t>
      </w:r>
      <w:r>
        <w:rPr>
          <w:color w:val="231F20"/>
          <w:spacing w:val="-3"/>
        </w:rPr>
        <w:t xml:space="preserve">неправомірних </w:t>
      </w:r>
      <w:r>
        <w:rPr>
          <w:color w:val="231F20"/>
        </w:rPr>
        <w:t xml:space="preserve">(нікчемних) </w:t>
      </w:r>
      <w:r>
        <w:rPr>
          <w:color w:val="231F20"/>
          <w:spacing w:val="-3"/>
        </w:rPr>
        <w:t xml:space="preserve">актів </w:t>
      </w:r>
      <w:r>
        <w:rPr>
          <w:color w:val="231F20"/>
        </w:rPr>
        <w:t xml:space="preserve">і, </w:t>
      </w:r>
      <w:r>
        <w:rPr>
          <w:color w:val="231F20"/>
          <w:spacing w:val="-3"/>
        </w:rPr>
        <w:t xml:space="preserve">по-друге, </w:t>
      </w:r>
      <w:r>
        <w:rPr>
          <w:color w:val="231F20"/>
          <w:spacing w:val="-5"/>
        </w:rPr>
        <w:t xml:space="preserve">суб’єктом </w:t>
      </w:r>
      <w:r>
        <w:rPr>
          <w:color w:val="231F20"/>
          <w:spacing w:val="-3"/>
        </w:rPr>
        <w:t xml:space="preserve">такого способу може </w:t>
      </w:r>
      <w:r>
        <w:rPr>
          <w:color w:val="231F20"/>
        </w:rPr>
        <w:t xml:space="preserve">бути </w:t>
      </w:r>
      <w:r>
        <w:rPr>
          <w:color w:val="231F20"/>
          <w:spacing w:val="-3"/>
        </w:rPr>
        <w:t xml:space="preserve">не лише адміністративний орган, </w:t>
      </w:r>
      <w:r>
        <w:rPr>
          <w:color w:val="231F20"/>
        </w:rPr>
        <w:t xml:space="preserve">який </w:t>
      </w:r>
      <w:r>
        <w:rPr>
          <w:color w:val="231F20"/>
          <w:spacing w:val="-3"/>
        </w:rPr>
        <w:t xml:space="preserve">ухвалив </w:t>
      </w:r>
      <w:r>
        <w:rPr>
          <w:color w:val="231F20"/>
          <w:spacing w:val="-7"/>
        </w:rPr>
        <w:t xml:space="preserve">акт, </w:t>
      </w:r>
      <w:r>
        <w:rPr>
          <w:color w:val="231F20"/>
        </w:rPr>
        <w:t xml:space="preserve">а й </w:t>
      </w:r>
      <w:r>
        <w:rPr>
          <w:color w:val="231F20"/>
          <w:spacing w:val="-3"/>
        </w:rPr>
        <w:t xml:space="preserve">адміністратив- </w:t>
      </w:r>
      <w:r>
        <w:rPr>
          <w:color w:val="231F20"/>
        </w:rPr>
        <w:t xml:space="preserve">ний </w:t>
      </w:r>
      <w:r>
        <w:rPr>
          <w:color w:val="231F20"/>
          <w:spacing w:val="-3"/>
        </w:rPr>
        <w:t xml:space="preserve">орган вищого рівня, </w:t>
      </w:r>
      <w:r>
        <w:rPr>
          <w:color w:val="231F20"/>
        </w:rPr>
        <w:t xml:space="preserve">що </w:t>
      </w:r>
      <w:r>
        <w:rPr>
          <w:color w:val="231F20"/>
          <w:spacing w:val="-4"/>
        </w:rPr>
        <w:t xml:space="preserve">володіє </w:t>
      </w:r>
      <w:r>
        <w:rPr>
          <w:color w:val="231F20"/>
          <w:spacing w:val="-3"/>
        </w:rPr>
        <w:t xml:space="preserve">такою компетенцією, </w:t>
      </w:r>
      <w:r>
        <w:rPr>
          <w:color w:val="231F20"/>
        </w:rPr>
        <w:t xml:space="preserve">чи </w:t>
      </w:r>
      <w:r>
        <w:rPr>
          <w:color w:val="231F20"/>
          <w:spacing w:val="-6"/>
        </w:rPr>
        <w:t>суд.</w:t>
      </w:r>
    </w:p>
    <w:p w14:paraId="6319DF12" w14:textId="77777777" w:rsidR="00DE575E" w:rsidRDefault="002E7560">
      <w:pPr>
        <w:pStyle w:val="BodyText"/>
        <w:spacing w:before="2" w:line="252" w:lineRule="auto"/>
        <w:ind w:left="250" w:right="410" w:firstLine="283"/>
        <w:jc w:val="both"/>
      </w:pPr>
      <w:r>
        <w:rPr>
          <w:color w:val="231F20"/>
        </w:rPr>
        <w:t>Скасування н</w:t>
      </w:r>
      <w:r>
        <w:rPr>
          <w:color w:val="231F20"/>
        </w:rPr>
        <w:t>еправомірних адміністративних актів може здійс- нюватися</w:t>
      </w:r>
      <w:r>
        <w:rPr>
          <w:color w:val="231F20"/>
          <w:spacing w:val="-10"/>
        </w:rPr>
        <w:t xml:space="preserve"> </w:t>
      </w:r>
      <w:r>
        <w:rPr>
          <w:color w:val="231F20"/>
        </w:rPr>
        <w:t>у</w:t>
      </w:r>
      <w:r>
        <w:rPr>
          <w:color w:val="231F20"/>
          <w:spacing w:val="-10"/>
        </w:rPr>
        <w:t xml:space="preserve"> </w:t>
      </w:r>
      <w:r>
        <w:rPr>
          <w:color w:val="231F20"/>
        </w:rPr>
        <w:t>двох</w:t>
      </w:r>
      <w:r>
        <w:rPr>
          <w:color w:val="231F20"/>
          <w:spacing w:val="-10"/>
        </w:rPr>
        <w:t xml:space="preserve"> </w:t>
      </w:r>
      <w:r>
        <w:rPr>
          <w:color w:val="231F20"/>
        </w:rPr>
        <w:t>порядках</w:t>
      </w:r>
      <w:r>
        <w:rPr>
          <w:color w:val="231F20"/>
          <w:spacing w:val="-10"/>
        </w:rPr>
        <w:t xml:space="preserve"> </w:t>
      </w:r>
      <w:r>
        <w:rPr>
          <w:color w:val="231F20"/>
        </w:rPr>
        <w:t>–</w:t>
      </w:r>
      <w:r>
        <w:rPr>
          <w:color w:val="231F20"/>
          <w:spacing w:val="-10"/>
        </w:rPr>
        <w:t xml:space="preserve"> </w:t>
      </w:r>
      <w:r>
        <w:rPr>
          <w:i/>
          <w:color w:val="231F20"/>
        </w:rPr>
        <w:t>адміністративному</w:t>
      </w:r>
      <w:r>
        <w:rPr>
          <w:i/>
          <w:color w:val="231F20"/>
          <w:spacing w:val="-10"/>
        </w:rPr>
        <w:t xml:space="preserve"> </w:t>
      </w:r>
      <w:r>
        <w:rPr>
          <w:color w:val="231F20"/>
        </w:rPr>
        <w:t>та</w:t>
      </w:r>
      <w:r>
        <w:rPr>
          <w:color w:val="231F20"/>
          <w:spacing w:val="-10"/>
        </w:rPr>
        <w:t xml:space="preserve"> </w:t>
      </w:r>
      <w:r>
        <w:rPr>
          <w:i/>
          <w:color w:val="231F20"/>
        </w:rPr>
        <w:t>судовому</w:t>
      </w:r>
      <w:r>
        <w:rPr>
          <w:color w:val="231F20"/>
        </w:rPr>
        <w:t>.</w:t>
      </w:r>
      <w:r>
        <w:rPr>
          <w:color w:val="231F20"/>
          <w:spacing w:val="-10"/>
        </w:rPr>
        <w:t xml:space="preserve"> </w:t>
      </w:r>
      <w:r>
        <w:rPr>
          <w:color w:val="231F20"/>
        </w:rPr>
        <w:t>Відмін- ність цих порядків полягає в процедурі їх здійснення та суб’єктах. Зрозуміло, що суб’єктами адміністративного способу припинення дії адміністр</w:t>
      </w:r>
      <w:r>
        <w:rPr>
          <w:color w:val="231F20"/>
        </w:rPr>
        <w:t>ативних актів є сам адміністративний орган, який ухва- лив рішення (за наявності таких повноважень), або орган вищого рівня, який розглядає скаргу на рішення підпорядкованого йому органу або здійснював внутрішній адміністративний контроль за цим органом. В</w:t>
      </w:r>
      <w:r>
        <w:rPr>
          <w:color w:val="231F20"/>
        </w:rPr>
        <w:t xml:space="preserve">ідповідно </w:t>
      </w:r>
      <w:r>
        <w:rPr>
          <w:color w:val="231F20"/>
          <w:spacing w:val="-3"/>
        </w:rPr>
        <w:t xml:space="preserve">суб’єктом </w:t>
      </w:r>
      <w:r>
        <w:rPr>
          <w:color w:val="231F20"/>
        </w:rPr>
        <w:t xml:space="preserve">судового порядку скасування адміністративних актів є </w:t>
      </w:r>
      <w:r>
        <w:rPr>
          <w:color w:val="231F20"/>
          <w:spacing w:val="-3"/>
        </w:rPr>
        <w:t xml:space="preserve">суд, </w:t>
      </w:r>
      <w:r>
        <w:rPr>
          <w:color w:val="231F20"/>
        </w:rPr>
        <w:t>наділений повноваженнями скасову- вати такі</w:t>
      </w:r>
      <w:r>
        <w:rPr>
          <w:color w:val="231F20"/>
          <w:spacing w:val="2"/>
        </w:rPr>
        <w:t xml:space="preserve"> </w:t>
      </w:r>
      <w:r>
        <w:rPr>
          <w:color w:val="231F20"/>
        </w:rPr>
        <w:t>акти.</w:t>
      </w:r>
    </w:p>
    <w:p w14:paraId="728F9765" w14:textId="77777777" w:rsidR="00DE575E" w:rsidRDefault="00DE575E">
      <w:pPr>
        <w:pStyle w:val="BodyText"/>
        <w:rPr>
          <w:sz w:val="24"/>
        </w:rPr>
      </w:pPr>
    </w:p>
    <w:p w14:paraId="09AFE013" w14:textId="77777777" w:rsidR="00DE575E" w:rsidRDefault="00DE575E">
      <w:pPr>
        <w:pStyle w:val="BodyText"/>
        <w:spacing w:before="9"/>
        <w:rPr>
          <w:sz w:val="19"/>
        </w:rPr>
      </w:pPr>
    </w:p>
    <w:p w14:paraId="3B33FF69" w14:textId="77777777" w:rsidR="00DE575E" w:rsidRDefault="002E7560">
      <w:pPr>
        <w:pStyle w:val="Heading4"/>
        <w:ind w:left="1897"/>
      </w:pPr>
      <w:r>
        <w:rPr>
          <w:color w:val="231F20"/>
        </w:rPr>
        <w:t>7.4. Адміністративний договір</w:t>
      </w:r>
    </w:p>
    <w:p w14:paraId="54DA360F" w14:textId="77777777" w:rsidR="00DE575E" w:rsidRDefault="00DE575E">
      <w:pPr>
        <w:pStyle w:val="BodyText"/>
        <w:rPr>
          <w:b/>
          <w:sz w:val="26"/>
        </w:rPr>
      </w:pPr>
    </w:p>
    <w:p w14:paraId="5258D243" w14:textId="77777777" w:rsidR="00DE575E" w:rsidRDefault="002E7560">
      <w:pPr>
        <w:pStyle w:val="Heading5"/>
        <w:numPr>
          <w:ilvl w:val="2"/>
          <w:numId w:val="189"/>
        </w:numPr>
        <w:tabs>
          <w:tab w:val="left" w:pos="1099"/>
        </w:tabs>
        <w:spacing w:before="223"/>
      </w:pPr>
      <w:r>
        <w:rPr>
          <w:color w:val="231F20"/>
        </w:rPr>
        <w:t>Поняття, юридичне</w:t>
      </w:r>
      <w:r>
        <w:rPr>
          <w:color w:val="231F20"/>
          <w:spacing w:val="-1"/>
        </w:rPr>
        <w:t xml:space="preserve"> </w:t>
      </w:r>
      <w:r>
        <w:rPr>
          <w:color w:val="231F20"/>
        </w:rPr>
        <w:t>значення</w:t>
      </w:r>
    </w:p>
    <w:p w14:paraId="34873500" w14:textId="77777777" w:rsidR="00DE575E" w:rsidRDefault="002E7560">
      <w:pPr>
        <w:spacing w:before="12"/>
        <w:ind w:left="533"/>
        <w:rPr>
          <w:b/>
          <w:sz w:val="21"/>
        </w:rPr>
      </w:pPr>
      <w:r>
        <w:rPr>
          <w:b/>
          <w:color w:val="231F20"/>
          <w:sz w:val="21"/>
        </w:rPr>
        <w:t>та ознаки адміністративного договору</w:t>
      </w:r>
    </w:p>
    <w:p w14:paraId="4209009D" w14:textId="77777777" w:rsidR="00DE575E" w:rsidRDefault="00DE575E">
      <w:pPr>
        <w:pStyle w:val="BodyText"/>
        <w:spacing w:before="2"/>
        <w:rPr>
          <w:b/>
          <w:sz w:val="23"/>
        </w:rPr>
      </w:pPr>
    </w:p>
    <w:p w14:paraId="6E69690A" w14:textId="77777777" w:rsidR="00DE575E" w:rsidRDefault="002E7560">
      <w:pPr>
        <w:pStyle w:val="BodyText"/>
        <w:spacing w:line="252" w:lineRule="auto"/>
        <w:ind w:left="250" w:right="411" w:firstLine="283"/>
        <w:jc w:val="both"/>
      </w:pPr>
      <w:r>
        <w:rPr>
          <w:color w:val="231F20"/>
        </w:rPr>
        <w:t>Адміністративні договори є зовнішньою формою вираження публічного адміністрування, за допомогою якого впроваджуються диспозитивний метод правового регулювання адміністративно- правових відносин між органами публічної адміністрації, а також між суб’єктами п</w:t>
      </w:r>
      <w:r>
        <w:rPr>
          <w:color w:val="231F20"/>
        </w:rPr>
        <w:t>ублічної адміністрації та приватними особами.</w:t>
      </w:r>
    </w:p>
    <w:p w14:paraId="5CEF94F3" w14:textId="3ACFEDF7" w:rsidR="00DE575E" w:rsidRDefault="002E7560">
      <w:pPr>
        <w:pStyle w:val="BodyText"/>
        <w:spacing w:before="8"/>
        <w:rPr>
          <w:sz w:val="24"/>
        </w:rPr>
      </w:pPr>
      <w:r>
        <w:rPr>
          <w:noProof/>
        </w:rPr>
        <mc:AlternateContent>
          <mc:Choice Requires="wps">
            <w:drawing>
              <wp:anchor distT="0" distB="0" distL="0" distR="0" simplePos="0" relativeHeight="9376" behindDoc="0" locked="0" layoutInCell="1" allowOverlap="1" wp14:anchorId="6947E565" wp14:editId="760F0F6E">
                <wp:simplePos x="0" y="0"/>
                <wp:positionH relativeFrom="page">
                  <wp:posOffset>539750</wp:posOffset>
                </wp:positionH>
                <wp:positionV relativeFrom="paragraph">
                  <wp:posOffset>211455</wp:posOffset>
                </wp:positionV>
                <wp:extent cx="1080135" cy="0"/>
                <wp:effectExtent l="6350" t="8255" r="31115" b="29845"/>
                <wp:wrapTopAndBottom/>
                <wp:docPr id="829"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A923C" id="Line_x0020_828" o:spid="_x0000_s1026" style="position:absolute;z-index: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65pt" to="127.55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" strokecolor="#231f20" strokeweight=".5pt">
                <w10:wrap type="topAndBottom" anchorx="page"/>
              </v:line>
            </w:pict>
          </mc:Fallback>
        </mc:AlternateContent>
      </w:r>
    </w:p>
    <w:p w14:paraId="6E3212E7" w14:textId="77777777" w:rsidR="00DE575E" w:rsidRDefault="002E7560">
      <w:pPr>
        <w:spacing w:line="162" w:lineRule="exact"/>
        <w:ind w:left="250"/>
        <w:rPr>
          <w:sz w:val="16"/>
        </w:rPr>
      </w:pPr>
      <w:r>
        <w:rPr>
          <w:color w:val="231F20"/>
          <w:position w:val="5"/>
          <w:sz w:val="9"/>
        </w:rPr>
        <w:t xml:space="preserve">1 </w:t>
      </w:r>
      <w:r>
        <w:rPr>
          <w:color w:val="231F20"/>
          <w:sz w:val="16"/>
        </w:rPr>
        <w:t>Мельник Р. Зазнач. праця.</w:t>
      </w:r>
    </w:p>
    <w:p w14:paraId="120C25F3" w14:textId="77777777" w:rsidR="00DE575E" w:rsidRDefault="00DE575E">
      <w:pPr>
        <w:pStyle w:val="BodyText"/>
        <w:spacing w:before="10"/>
        <w:rPr>
          <w:sz w:val="11"/>
        </w:rPr>
      </w:pPr>
    </w:p>
    <w:p w14:paraId="7718A2D5" w14:textId="77777777" w:rsidR="00DE575E" w:rsidRDefault="002E7560">
      <w:pPr>
        <w:spacing w:before="92"/>
        <w:ind w:right="411"/>
        <w:jc w:val="right"/>
        <w:rPr>
          <w:rFonts w:ascii="Times New Roman"/>
          <w:sz w:val="20"/>
        </w:rPr>
      </w:pPr>
      <w:r>
        <w:rPr>
          <w:rFonts w:ascii="Times New Roman"/>
          <w:color w:val="231F20"/>
          <w:w w:val="90"/>
          <w:sz w:val="20"/>
        </w:rPr>
        <w:t>231</w:t>
      </w:r>
    </w:p>
    <w:p w14:paraId="072BB12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236FA4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22B8375" w14:textId="1EC3F84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63848BC" wp14:editId="6B5E6134">
                <wp:extent cx="4140200" cy="6350"/>
                <wp:effectExtent l="0" t="0" r="12700" b="6350"/>
                <wp:docPr id="827"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28" name="Line 8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E056F" id="Group_x0020_8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WlsDbgAIAAJgFAAAO&#10;AAAAAAAAAAAAAAAAACwCAABkcnMvZTJvRG9jLnhtbFBLAQItABQABgAIAAAAIQBMp7CQ2QAAAAMB&#10;AAAPAAAAAAAAAAAAAAAAANgEAABkcnMvZG93bnJldi54bWxQSwUGAAAAAAQABADzAAAA3gUAAAAA&#10;">
                <v:line id="Line_x0020_8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hPvcIAAADcAAAADwAAAGRycy9kb3ducmV2LnhtbERPy4rCMBTdC/MP4Q7MRjRVQaQaRQYG&#10;ZBa+6gdcm2tbTG5qE231681iYJaH816sOmvEgxpfOVYwGiYgiHOnKy4UnLKfwQyED8gajWNS8CQP&#10;q+VHb4Gpdi0f6HEMhYgh7FNUUIZQp1L6vCSLfuhq4shdXGMxRNgUUjfYxnBr5DhJptJixbGhxJq+&#10;S8qvx7tVkN36wex3v6bNdueJPN+2k9d9q9TXZ7eegwjUhX/xn3ujFczGcW08E4+AXL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rhPvcIAAADcAAAADwAAAAAAAAAAAAAA&#10;AAChAgAAZHJzL2Rvd25yZXYueG1sUEsFBgAAAAAEAAQA+QAAAJADAAAAAA==&#10;" strokecolor="#231f20" strokeweight=".5pt"/>
                <w10:anchorlock/>
              </v:group>
            </w:pict>
          </mc:Fallback>
        </mc:AlternateContent>
      </w:r>
    </w:p>
    <w:p w14:paraId="5A5ECBEF" w14:textId="77777777" w:rsidR="00DE575E" w:rsidRDefault="00DE575E">
      <w:pPr>
        <w:pStyle w:val="BodyText"/>
        <w:spacing w:before="7"/>
        <w:rPr>
          <w:rFonts w:ascii="AdonisC"/>
          <w:i/>
          <w:sz w:val="11"/>
        </w:rPr>
      </w:pPr>
    </w:p>
    <w:p w14:paraId="01C28505" w14:textId="77777777" w:rsidR="00DE575E" w:rsidRDefault="002E7560">
      <w:pPr>
        <w:pStyle w:val="BodyText"/>
        <w:spacing w:before="101" w:line="252" w:lineRule="auto"/>
        <w:ind w:left="533" w:right="128" w:firstLine="283"/>
        <w:jc w:val="both"/>
      </w:pPr>
      <w:r>
        <w:rPr>
          <w:color w:val="231F20"/>
        </w:rPr>
        <w:t xml:space="preserve">Адміністративний договір (угода) застосовується </w:t>
      </w:r>
      <w:r>
        <w:rPr>
          <w:color w:val="231F20"/>
          <w:spacing w:val="-3"/>
        </w:rPr>
        <w:t xml:space="preserve">суб’єктами </w:t>
      </w:r>
      <w:r>
        <w:rPr>
          <w:color w:val="231F20"/>
        </w:rPr>
        <w:t xml:space="preserve">публічної адміністрації в тих випадках, коли застосування адмі- ністративних актів є недоречним / неможливим або  недоціль-  ним, зокрема при регулюванні відносин надання адміністративних </w:t>
      </w:r>
      <w:r>
        <w:rPr>
          <w:color w:val="231F20"/>
          <w:spacing w:val="-3"/>
        </w:rPr>
        <w:t>послуг.</w:t>
      </w:r>
    </w:p>
    <w:p w14:paraId="1E75B83B" w14:textId="77777777" w:rsidR="00DE575E" w:rsidRDefault="002E7560">
      <w:pPr>
        <w:spacing w:before="2" w:line="252" w:lineRule="auto"/>
        <w:ind w:left="533" w:right="127" w:firstLine="283"/>
        <w:jc w:val="both"/>
        <w:rPr>
          <w:i/>
          <w:sz w:val="21"/>
        </w:rPr>
      </w:pPr>
      <w:r>
        <w:rPr>
          <w:i/>
          <w:color w:val="231F20"/>
          <w:sz w:val="21"/>
        </w:rPr>
        <w:t>Поняття</w:t>
      </w:r>
      <w:r>
        <w:rPr>
          <w:i/>
          <w:color w:val="231F20"/>
          <w:spacing w:val="-12"/>
          <w:sz w:val="21"/>
        </w:rPr>
        <w:t xml:space="preserve"> </w:t>
      </w:r>
      <w:r>
        <w:rPr>
          <w:i/>
          <w:color w:val="231F20"/>
          <w:sz w:val="21"/>
        </w:rPr>
        <w:t>«адміністративний</w:t>
      </w:r>
      <w:r>
        <w:rPr>
          <w:i/>
          <w:color w:val="231F20"/>
          <w:spacing w:val="-13"/>
          <w:sz w:val="21"/>
        </w:rPr>
        <w:t xml:space="preserve"> </w:t>
      </w:r>
      <w:r>
        <w:rPr>
          <w:i/>
          <w:color w:val="231F20"/>
          <w:sz w:val="21"/>
        </w:rPr>
        <w:t>договір»</w:t>
      </w:r>
      <w:r>
        <w:rPr>
          <w:i/>
          <w:color w:val="231F20"/>
          <w:spacing w:val="-12"/>
          <w:sz w:val="21"/>
        </w:rPr>
        <w:t xml:space="preserve"> </w:t>
      </w:r>
      <w:r>
        <w:rPr>
          <w:i/>
          <w:color w:val="231F20"/>
          <w:sz w:val="21"/>
        </w:rPr>
        <w:t>сформульовано</w:t>
      </w:r>
      <w:r>
        <w:rPr>
          <w:i/>
          <w:color w:val="231F20"/>
          <w:spacing w:val="-13"/>
          <w:sz w:val="21"/>
        </w:rPr>
        <w:t xml:space="preserve"> </w:t>
      </w:r>
      <w:r>
        <w:rPr>
          <w:i/>
          <w:color w:val="231F20"/>
          <w:sz w:val="21"/>
        </w:rPr>
        <w:t>у</w:t>
      </w:r>
      <w:r>
        <w:rPr>
          <w:i/>
          <w:color w:val="231F20"/>
          <w:spacing w:val="-12"/>
          <w:sz w:val="21"/>
        </w:rPr>
        <w:t xml:space="preserve"> </w:t>
      </w:r>
      <w:r>
        <w:rPr>
          <w:i/>
          <w:color w:val="231F20"/>
          <w:sz w:val="21"/>
        </w:rPr>
        <w:t>п.</w:t>
      </w:r>
      <w:r>
        <w:rPr>
          <w:i/>
          <w:color w:val="231F20"/>
          <w:spacing w:val="-10"/>
          <w:sz w:val="21"/>
        </w:rPr>
        <w:t xml:space="preserve"> </w:t>
      </w:r>
      <w:r>
        <w:rPr>
          <w:i/>
          <w:color w:val="231F20"/>
          <w:sz w:val="21"/>
        </w:rPr>
        <w:t>16</w:t>
      </w:r>
      <w:r>
        <w:rPr>
          <w:i/>
          <w:color w:val="231F20"/>
          <w:spacing w:val="-12"/>
          <w:sz w:val="21"/>
        </w:rPr>
        <w:t xml:space="preserve"> </w:t>
      </w:r>
      <w:r>
        <w:rPr>
          <w:i/>
          <w:color w:val="231F20"/>
          <w:sz w:val="21"/>
        </w:rPr>
        <w:t>ст.</w:t>
      </w:r>
      <w:r>
        <w:rPr>
          <w:i/>
          <w:color w:val="231F20"/>
          <w:spacing w:val="-10"/>
          <w:sz w:val="21"/>
        </w:rPr>
        <w:t xml:space="preserve"> </w:t>
      </w:r>
      <w:r>
        <w:rPr>
          <w:i/>
          <w:color w:val="231F20"/>
          <w:sz w:val="21"/>
        </w:rPr>
        <w:t xml:space="preserve">4 КАСУ: це спільний правовий акт </w:t>
      </w:r>
      <w:r>
        <w:rPr>
          <w:i/>
          <w:color w:val="231F20"/>
          <w:spacing w:val="-3"/>
          <w:sz w:val="21"/>
        </w:rPr>
        <w:t xml:space="preserve">суб’єктів </w:t>
      </w:r>
      <w:r>
        <w:rPr>
          <w:i/>
          <w:color w:val="231F20"/>
          <w:sz w:val="21"/>
        </w:rPr>
        <w:t xml:space="preserve">владних повноважень або правовий акт за участю </w:t>
      </w:r>
      <w:r>
        <w:rPr>
          <w:i/>
          <w:color w:val="231F20"/>
          <w:spacing w:val="-3"/>
          <w:sz w:val="21"/>
        </w:rPr>
        <w:t xml:space="preserve">суб’єкта </w:t>
      </w:r>
      <w:r>
        <w:rPr>
          <w:i/>
          <w:color w:val="231F20"/>
          <w:sz w:val="21"/>
        </w:rPr>
        <w:t xml:space="preserve">владних повноважень та іншої особи, що ґрунтується на їх волеузгодженні, має форму </w:t>
      </w:r>
      <w:r>
        <w:rPr>
          <w:i/>
          <w:color w:val="231F20"/>
          <w:spacing w:val="-2"/>
          <w:sz w:val="21"/>
        </w:rPr>
        <w:t xml:space="preserve">договору, </w:t>
      </w:r>
      <w:r>
        <w:rPr>
          <w:i/>
          <w:color w:val="231F20"/>
          <w:sz w:val="21"/>
        </w:rPr>
        <w:t>угоди, протоколу, меморандуму тощо, визначає взаємні права та о</w:t>
      </w:r>
      <w:r>
        <w:rPr>
          <w:i/>
          <w:color w:val="231F20"/>
          <w:sz w:val="21"/>
        </w:rPr>
        <w:t>бов’язки його учасників у публічно-правовій сфері і укладається на підставі</w:t>
      </w:r>
      <w:r>
        <w:rPr>
          <w:i/>
          <w:color w:val="231F20"/>
          <w:spacing w:val="-2"/>
          <w:sz w:val="21"/>
        </w:rPr>
        <w:t xml:space="preserve"> </w:t>
      </w:r>
      <w:r>
        <w:rPr>
          <w:i/>
          <w:color w:val="231F20"/>
          <w:sz w:val="21"/>
        </w:rPr>
        <w:t>закону.</w:t>
      </w:r>
    </w:p>
    <w:p w14:paraId="252977BE" w14:textId="77777777" w:rsidR="00DE575E" w:rsidRDefault="002E7560">
      <w:pPr>
        <w:pStyle w:val="Heading6"/>
        <w:spacing w:before="4" w:line="252" w:lineRule="auto"/>
        <w:ind w:right="128"/>
        <w:jc w:val="both"/>
      </w:pPr>
      <w:r>
        <w:rPr>
          <w:color w:val="231F20"/>
        </w:rPr>
        <w:t>Юридичним</w:t>
      </w:r>
      <w:r>
        <w:rPr>
          <w:color w:val="231F20"/>
          <w:spacing w:val="-8"/>
        </w:rPr>
        <w:t xml:space="preserve"> </w:t>
      </w:r>
      <w:r>
        <w:rPr>
          <w:color w:val="231F20"/>
        </w:rPr>
        <w:t>значенням</w:t>
      </w:r>
      <w:r>
        <w:rPr>
          <w:color w:val="231F20"/>
          <w:spacing w:val="-9"/>
        </w:rPr>
        <w:t xml:space="preserve"> </w:t>
      </w:r>
      <w:r>
        <w:rPr>
          <w:color w:val="231F20"/>
        </w:rPr>
        <w:t>адміністративного</w:t>
      </w:r>
      <w:r>
        <w:rPr>
          <w:color w:val="231F20"/>
          <w:spacing w:val="-8"/>
        </w:rPr>
        <w:t xml:space="preserve"> </w:t>
      </w:r>
      <w:r>
        <w:rPr>
          <w:color w:val="231F20"/>
        </w:rPr>
        <w:t>договору</w:t>
      </w:r>
      <w:r>
        <w:rPr>
          <w:color w:val="231F20"/>
          <w:spacing w:val="-9"/>
        </w:rPr>
        <w:t xml:space="preserve"> </w:t>
      </w:r>
      <w:r>
        <w:rPr>
          <w:color w:val="231F20"/>
        </w:rPr>
        <w:t>є</w:t>
      </w:r>
      <w:r>
        <w:rPr>
          <w:color w:val="231F20"/>
          <w:spacing w:val="-11"/>
        </w:rPr>
        <w:t xml:space="preserve"> </w:t>
      </w:r>
      <w:r>
        <w:rPr>
          <w:color w:val="231F20"/>
        </w:rPr>
        <w:t>те,</w:t>
      </w:r>
      <w:r>
        <w:rPr>
          <w:color w:val="231F20"/>
          <w:spacing w:val="-9"/>
        </w:rPr>
        <w:t xml:space="preserve"> </w:t>
      </w:r>
      <w:r>
        <w:rPr>
          <w:color w:val="231F20"/>
        </w:rPr>
        <w:t xml:space="preserve">що </w:t>
      </w:r>
      <w:r>
        <w:rPr>
          <w:color w:val="231F20"/>
        </w:rPr>
        <w:t>він</w:t>
      </w:r>
      <w:r>
        <w:rPr>
          <w:color w:val="231F20"/>
          <w:spacing w:val="-2"/>
        </w:rPr>
        <w:t xml:space="preserve"> </w:t>
      </w:r>
      <w:r>
        <w:rPr>
          <w:color w:val="231F20"/>
        </w:rPr>
        <w:t>приймається:</w:t>
      </w:r>
    </w:p>
    <w:p w14:paraId="42E3895E" w14:textId="77777777" w:rsidR="00DE575E" w:rsidRDefault="002E7560">
      <w:pPr>
        <w:pStyle w:val="BodyText"/>
        <w:spacing w:before="1" w:line="252" w:lineRule="auto"/>
        <w:ind w:left="533" w:right="128" w:firstLine="283"/>
        <w:jc w:val="both"/>
      </w:pPr>
      <w:r>
        <w:rPr>
          <w:rFonts w:ascii="Wingdings" w:hAnsi="Wingdings"/>
          <w:color w:val="231F20"/>
        </w:rPr>
        <w:t></w:t>
      </w:r>
      <w:r>
        <w:rPr>
          <w:rFonts w:ascii="Times New Roman" w:hAnsi="Times New Roman"/>
          <w:color w:val="231F20"/>
        </w:rPr>
        <w:t xml:space="preserve"> </w:t>
      </w:r>
      <w:r>
        <w:rPr>
          <w:color w:val="231F20"/>
        </w:rPr>
        <w:t>для розмежування компетенції чи визначення порядку взає- модії між суб’єктами владних повноважень;</w:t>
      </w:r>
    </w:p>
    <w:p w14:paraId="2E19B0B8" w14:textId="77777777" w:rsidR="00DE575E" w:rsidRDefault="002E7560">
      <w:pPr>
        <w:pStyle w:val="BodyText"/>
        <w:spacing w:before="1"/>
        <w:ind w:left="817"/>
      </w:pPr>
      <w:r>
        <w:rPr>
          <w:rFonts w:ascii="Wingdings" w:hAnsi="Wingdings"/>
          <w:color w:val="231F20"/>
        </w:rPr>
        <w:t></w:t>
      </w:r>
      <w:r>
        <w:rPr>
          <w:rFonts w:ascii="Times New Roman" w:hAnsi="Times New Roman"/>
          <w:color w:val="231F20"/>
        </w:rPr>
        <w:t xml:space="preserve"> </w:t>
      </w:r>
      <w:r>
        <w:rPr>
          <w:color w:val="231F20"/>
        </w:rPr>
        <w:t>для делегування публічно-владних управлінських функцій;</w:t>
      </w:r>
    </w:p>
    <w:p w14:paraId="2A9D46F5" w14:textId="77777777" w:rsidR="00DE575E" w:rsidRDefault="002E7560">
      <w:pPr>
        <w:pStyle w:val="BodyText"/>
        <w:spacing w:before="12" w:line="252" w:lineRule="auto"/>
        <w:ind w:left="533" w:right="128" w:firstLine="283"/>
        <w:jc w:val="both"/>
      </w:pPr>
      <w:r>
        <w:rPr>
          <w:rFonts w:ascii="Wingdings" w:hAnsi="Wingdings"/>
          <w:color w:val="231F20"/>
        </w:rPr>
        <w:t></w:t>
      </w:r>
      <w:r>
        <w:rPr>
          <w:rFonts w:ascii="Times New Roman" w:hAnsi="Times New Roman"/>
          <w:color w:val="231F20"/>
        </w:rPr>
        <w:t xml:space="preserve"> </w:t>
      </w:r>
      <w:r>
        <w:rPr>
          <w:color w:val="231F20"/>
        </w:rPr>
        <w:t>для перерозподілу або об’єднання бюджетних коштів у випад- ках, визначених законом;</w:t>
      </w:r>
    </w:p>
    <w:p w14:paraId="6EB7DCBF" w14:textId="77777777" w:rsidR="00DE575E" w:rsidRDefault="002E7560">
      <w:pPr>
        <w:pStyle w:val="BodyText"/>
        <w:spacing w:before="1"/>
        <w:ind w:left="817"/>
      </w:pPr>
      <w:r>
        <w:rPr>
          <w:rFonts w:ascii="Wingdings" w:hAnsi="Wingdings"/>
          <w:color w:val="231F20"/>
        </w:rPr>
        <w:t></w:t>
      </w:r>
      <w:r>
        <w:rPr>
          <w:rFonts w:ascii="Times New Roman" w:hAnsi="Times New Roman"/>
          <w:color w:val="231F20"/>
        </w:rPr>
        <w:t xml:space="preserve"> </w:t>
      </w:r>
      <w:r>
        <w:rPr>
          <w:color w:val="231F20"/>
        </w:rPr>
        <w:t>замість видання індивідуального акта;</w:t>
      </w:r>
    </w:p>
    <w:p w14:paraId="1E9C90FC" w14:textId="77777777" w:rsidR="00DE575E" w:rsidRDefault="002E7560">
      <w:pPr>
        <w:pStyle w:val="BodyText"/>
        <w:spacing w:before="13"/>
        <w:ind w:left="817"/>
      </w:pPr>
      <w:r>
        <w:rPr>
          <w:rFonts w:ascii="Wingdings" w:hAnsi="Wingdings"/>
          <w:color w:val="231F20"/>
        </w:rPr>
        <w:t></w:t>
      </w:r>
      <w:r>
        <w:rPr>
          <w:rFonts w:ascii="Times New Roman" w:hAnsi="Times New Roman"/>
          <w:color w:val="231F20"/>
        </w:rPr>
        <w:t xml:space="preserve"> </w:t>
      </w:r>
      <w:r>
        <w:rPr>
          <w:color w:val="231F20"/>
        </w:rPr>
        <w:t>для врегулювання питань надання адміністративних послуг.</w:t>
      </w:r>
    </w:p>
    <w:p w14:paraId="7772E84A" w14:textId="77777777" w:rsidR="00DE575E" w:rsidRDefault="002E7560">
      <w:pPr>
        <w:pStyle w:val="Heading6"/>
        <w:spacing w:before="13" w:line="252" w:lineRule="auto"/>
        <w:ind w:right="128"/>
        <w:jc w:val="both"/>
        <w:rPr>
          <w:i w:val="0"/>
        </w:rPr>
      </w:pPr>
      <w:r>
        <w:rPr>
          <w:color w:val="231F20"/>
        </w:rPr>
        <w:t xml:space="preserve">Легальне визначення адміністративного договору (угоди) </w:t>
      </w:r>
      <w:r>
        <w:rPr>
          <w:color w:val="231F20"/>
        </w:rPr>
        <w:t>дає підстави сформулювати такі його ознаки</w:t>
      </w:r>
      <w:r>
        <w:rPr>
          <w:i w:val="0"/>
          <w:color w:val="231F20"/>
        </w:rPr>
        <w:t>:</w:t>
      </w:r>
    </w:p>
    <w:p w14:paraId="0E46496F" w14:textId="77777777" w:rsidR="00DE575E" w:rsidRDefault="002E7560">
      <w:pPr>
        <w:pStyle w:val="ListParagraph"/>
        <w:numPr>
          <w:ilvl w:val="0"/>
          <w:numId w:val="188"/>
        </w:numPr>
        <w:tabs>
          <w:tab w:val="left" w:pos="1101"/>
        </w:tabs>
        <w:spacing w:line="252" w:lineRule="auto"/>
        <w:ind w:right="128" w:firstLine="284"/>
        <w:jc w:val="both"/>
        <w:rPr>
          <w:sz w:val="21"/>
        </w:rPr>
      </w:pPr>
      <w:r>
        <w:rPr>
          <w:color w:val="231F20"/>
          <w:sz w:val="21"/>
        </w:rPr>
        <w:t xml:space="preserve">одним з учасників  адміністративного  договору  обов’язково </w:t>
      </w:r>
      <w:r>
        <w:rPr>
          <w:color w:val="231F20"/>
          <w:sz w:val="21"/>
        </w:rPr>
        <w:t xml:space="preserve">є </w:t>
      </w:r>
      <w:r>
        <w:rPr>
          <w:color w:val="231F20"/>
          <w:spacing w:val="-4"/>
          <w:sz w:val="21"/>
        </w:rPr>
        <w:t xml:space="preserve">суб’єкт </w:t>
      </w:r>
      <w:r>
        <w:rPr>
          <w:color w:val="231F20"/>
          <w:sz w:val="21"/>
        </w:rPr>
        <w:t>владних</w:t>
      </w:r>
      <w:r>
        <w:rPr>
          <w:color w:val="231F20"/>
          <w:sz w:val="21"/>
        </w:rPr>
        <w:t xml:space="preserve"> </w:t>
      </w:r>
      <w:r>
        <w:rPr>
          <w:color w:val="231F20"/>
          <w:sz w:val="21"/>
        </w:rPr>
        <w:t>повноважень;</w:t>
      </w:r>
    </w:p>
    <w:p w14:paraId="397BE631" w14:textId="77777777" w:rsidR="00DE575E" w:rsidRDefault="002E7560">
      <w:pPr>
        <w:pStyle w:val="ListParagraph"/>
        <w:numPr>
          <w:ilvl w:val="0"/>
          <w:numId w:val="188"/>
        </w:numPr>
        <w:tabs>
          <w:tab w:val="left" w:pos="1101"/>
        </w:tabs>
        <w:spacing w:line="252" w:lineRule="auto"/>
        <w:ind w:right="127" w:firstLine="284"/>
        <w:jc w:val="both"/>
        <w:rPr>
          <w:sz w:val="21"/>
        </w:rPr>
      </w:pPr>
      <w:r>
        <w:rPr>
          <w:color w:val="231F20"/>
          <w:sz w:val="21"/>
        </w:rPr>
        <w:t>змістом</w:t>
      </w:r>
      <w:r>
        <w:rPr>
          <w:color w:val="231F20"/>
          <w:spacing w:val="-9"/>
          <w:sz w:val="21"/>
        </w:rPr>
        <w:t xml:space="preserve"> </w:t>
      </w:r>
      <w:r>
        <w:rPr>
          <w:color w:val="231F20"/>
          <w:sz w:val="21"/>
        </w:rPr>
        <w:t>адміністративного</w:t>
      </w:r>
      <w:r>
        <w:rPr>
          <w:color w:val="231F20"/>
          <w:spacing w:val="-9"/>
          <w:sz w:val="21"/>
        </w:rPr>
        <w:t xml:space="preserve"> </w:t>
      </w:r>
      <w:r>
        <w:rPr>
          <w:color w:val="231F20"/>
          <w:sz w:val="21"/>
        </w:rPr>
        <w:t>договору</w:t>
      </w:r>
      <w:r>
        <w:rPr>
          <w:color w:val="231F20"/>
          <w:spacing w:val="-9"/>
          <w:sz w:val="21"/>
        </w:rPr>
        <w:t xml:space="preserve"> </w:t>
      </w:r>
      <w:r>
        <w:rPr>
          <w:color w:val="231F20"/>
          <w:sz w:val="21"/>
        </w:rPr>
        <w:t>є</w:t>
      </w:r>
      <w:r>
        <w:rPr>
          <w:color w:val="231F20"/>
          <w:spacing w:val="-8"/>
          <w:sz w:val="21"/>
        </w:rPr>
        <w:t xml:space="preserve"> </w:t>
      </w:r>
      <w:r>
        <w:rPr>
          <w:color w:val="231F20"/>
          <w:sz w:val="21"/>
        </w:rPr>
        <w:t>права</w:t>
      </w:r>
      <w:r>
        <w:rPr>
          <w:color w:val="231F20"/>
          <w:spacing w:val="-9"/>
          <w:sz w:val="21"/>
        </w:rPr>
        <w:t xml:space="preserve"> </w:t>
      </w:r>
      <w:r>
        <w:rPr>
          <w:color w:val="231F20"/>
          <w:sz w:val="21"/>
        </w:rPr>
        <w:t>та</w:t>
      </w:r>
      <w:r>
        <w:rPr>
          <w:color w:val="231F20"/>
          <w:spacing w:val="-9"/>
          <w:sz w:val="21"/>
        </w:rPr>
        <w:t xml:space="preserve"> </w:t>
      </w:r>
      <w:r>
        <w:rPr>
          <w:color w:val="231F20"/>
          <w:sz w:val="21"/>
        </w:rPr>
        <w:t>обов’язки</w:t>
      </w:r>
      <w:r>
        <w:rPr>
          <w:color w:val="231F20"/>
          <w:spacing w:val="-9"/>
          <w:sz w:val="21"/>
        </w:rPr>
        <w:t xml:space="preserve"> </w:t>
      </w:r>
      <w:r>
        <w:rPr>
          <w:color w:val="231F20"/>
          <w:sz w:val="21"/>
        </w:rPr>
        <w:t>його учасників у публічній правовій</w:t>
      </w:r>
      <w:r>
        <w:rPr>
          <w:color w:val="231F20"/>
          <w:spacing w:val="-2"/>
          <w:sz w:val="21"/>
        </w:rPr>
        <w:t xml:space="preserve"> </w:t>
      </w:r>
      <w:r>
        <w:rPr>
          <w:color w:val="231F20"/>
          <w:sz w:val="21"/>
        </w:rPr>
        <w:t>сфері;</w:t>
      </w:r>
    </w:p>
    <w:p w14:paraId="613AA87C" w14:textId="77777777" w:rsidR="00DE575E" w:rsidRDefault="002E7560">
      <w:pPr>
        <w:pStyle w:val="ListParagraph"/>
        <w:numPr>
          <w:ilvl w:val="0"/>
          <w:numId w:val="188"/>
        </w:numPr>
        <w:tabs>
          <w:tab w:val="left" w:pos="1101"/>
        </w:tabs>
        <w:spacing w:line="252" w:lineRule="auto"/>
        <w:ind w:right="127" w:firstLine="284"/>
        <w:jc w:val="both"/>
        <w:rPr>
          <w:sz w:val="21"/>
        </w:rPr>
      </w:pPr>
      <w:r>
        <w:rPr>
          <w:color w:val="231F20"/>
          <w:sz w:val="21"/>
        </w:rPr>
        <w:t xml:space="preserve">укладається на підставі </w:t>
      </w:r>
      <w:r>
        <w:rPr>
          <w:color w:val="231F20"/>
          <w:spacing w:val="-3"/>
          <w:sz w:val="21"/>
        </w:rPr>
        <w:t xml:space="preserve">закону, </w:t>
      </w:r>
      <w:r>
        <w:rPr>
          <w:color w:val="231F20"/>
          <w:sz w:val="21"/>
        </w:rPr>
        <w:t xml:space="preserve">тобто право </w:t>
      </w:r>
      <w:r>
        <w:rPr>
          <w:color w:val="231F20"/>
          <w:spacing w:val="-3"/>
          <w:sz w:val="21"/>
        </w:rPr>
        <w:t xml:space="preserve">суб’єкта </w:t>
      </w:r>
      <w:r>
        <w:rPr>
          <w:color w:val="231F20"/>
          <w:sz w:val="21"/>
        </w:rPr>
        <w:t>владних повноважень укласти адміністративний договір має бути передба- че</w:t>
      </w:r>
      <w:r>
        <w:rPr>
          <w:color w:val="231F20"/>
          <w:sz w:val="21"/>
        </w:rPr>
        <w:t>не саме законом, а не підзаконними</w:t>
      </w:r>
      <w:r>
        <w:rPr>
          <w:color w:val="231F20"/>
          <w:spacing w:val="-4"/>
          <w:sz w:val="21"/>
        </w:rPr>
        <w:t xml:space="preserve"> </w:t>
      </w:r>
      <w:r>
        <w:rPr>
          <w:color w:val="231F20"/>
          <w:sz w:val="21"/>
        </w:rPr>
        <w:t>актами;</w:t>
      </w:r>
    </w:p>
    <w:p w14:paraId="225E9037" w14:textId="77777777" w:rsidR="00DE575E" w:rsidRDefault="002E7560">
      <w:pPr>
        <w:pStyle w:val="ListParagraph"/>
        <w:numPr>
          <w:ilvl w:val="0"/>
          <w:numId w:val="188"/>
        </w:numPr>
        <w:tabs>
          <w:tab w:val="left" w:pos="1101"/>
        </w:tabs>
        <w:ind w:firstLine="284"/>
        <w:rPr>
          <w:sz w:val="21"/>
        </w:rPr>
      </w:pPr>
      <w:r>
        <w:rPr>
          <w:color w:val="231F20"/>
          <w:sz w:val="21"/>
        </w:rPr>
        <w:t>реалізується на нормах адміністративного</w:t>
      </w:r>
      <w:r>
        <w:rPr>
          <w:color w:val="231F20"/>
          <w:spacing w:val="-5"/>
          <w:sz w:val="21"/>
        </w:rPr>
        <w:t xml:space="preserve"> </w:t>
      </w:r>
      <w:r>
        <w:rPr>
          <w:color w:val="231F20"/>
          <w:sz w:val="21"/>
        </w:rPr>
        <w:t>права;</w:t>
      </w:r>
    </w:p>
    <w:p w14:paraId="20CF486D" w14:textId="77777777" w:rsidR="00DE575E" w:rsidRDefault="002E7560">
      <w:pPr>
        <w:pStyle w:val="ListParagraph"/>
        <w:numPr>
          <w:ilvl w:val="0"/>
          <w:numId w:val="188"/>
        </w:numPr>
        <w:tabs>
          <w:tab w:val="left" w:pos="1101"/>
        </w:tabs>
        <w:spacing w:before="13" w:line="252" w:lineRule="auto"/>
        <w:ind w:right="128" w:firstLine="284"/>
        <w:jc w:val="both"/>
        <w:rPr>
          <w:sz w:val="21"/>
        </w:rPr>
      </w:pPr>
      <w:r>
        <w:rPr>
          <w:color w:val="231F20"/>
          <w:sz w:val="21"/>
        </w:rPr>
        <w:t>викликає   безпосереднє   настання    юридичних    наслідків   у вигляді виникнення, зміни й припинення правовідносин (мемо- рандум   про   співпрацю),   виникнення   зміни,   припинення   прав  і обов’язків його учасників (договори про розстрочення та від</w:t>
      </w:r>
      <w:r>
        <w:rPr>
          <w:color w:val="231F20"/>
          <w:sz w:val="21"/>
        </w:rPr>
        <w:t>стро- чення</w:t>
      </w:r>
      <w:r>
        <w:rPr>
          <w:color w:val="231F20"/>
          <w:spacing w:val="-12"/>
          <w:sz w:val="21"/>
        </w:rPr>
        <w:t xml:space="preserve"> </w:t>
      </w:r>
      <w:r>
        <w:rPr>
          <w:color w:val="231F20"/>
          <w:sz w:val="21"/>
        </w:rPr>
        <w:t>грошових</w:t>
      </w:r>
      <w:r>
        <w:rPr>
          <w:color w:val="231F20"/>
          <w:spacing w:val="-12"/>
          <w:sz w:val="21"/>
        </w:rPr>
        <w:t xml:space="preserve"> </w:t>
      </w:r>
      <w:r>
        <w:rPr>
          <w:color w:val="231F20"/>
          <w:sz w:val="21"/>
        </w:rPr>
        <w:t>зобов’язань</w:t>
      </w:r>
      <w:r>
        <w:rPr>
          <w:color w:val="231F20"/>
          <w:spacing w:val="-12"/>
          <w:sz w:val="21"/>
        </w:rPr>
        <w:t xml:space="preserve"> </w:t>
      </w:r>
      <w:r>
        <w:rPr>
          <w:color w:val="231F20"/>
          <w:sz w:val="21"/>
        </w:rPr>
        <w:t>або</w:t>
      </w:r>
      <w:r>
        <w:rPr>
          <w:color w:val="231F20"/>
          <w:spacing w:val="-12"/>
          <w:sz w:val="21"/>
        </w:rPr>
        <w:t xml:space="preserve"> </w:t>
      </w:r>
      <w:r>
        <w:rPr>
          <w:color w:val="231F20"/>
          <w:sz w:val="21"/>
        </w:rPr>
        <w:t>податкового</w:t>
      </w:r>
      <w:r>
        <w:rPr>
          <w:color w:val="231F20"/>
          <w:spacing w:val="-12"/>
          <w:sz w:val="21"/>
        </w:rPr>
        <w:t xml:space="preserve"> </w:t>
      </w:r>
      <w:r>
        <w:rPr>
          <w:color w:val="231F20"/>
          <w:sz w:val="21"/>
        </w:rPr>
        <w:t>боргу</w:t>
      </w:r>
      <w:r>
        <w:rPr>
          <w:color w:val="231F20"/>
          <w:spacing w:val="-12"/>
          <w:sz w:val="21"/>
        </w:rPr>
        <w:t xml:space="preserve"> </w:t>
      </w:r>
      <w:r>
        <w:rPr>
          <w:color w:val="231F20"/>
          <w:sz w:val="21"/>
        </w:rPr>
        <w:t>платника</w:t>
      </w:r>
      <w:r>
        <w:rPr>
          <w:color w:val="231F20"/>
          <w:spacing w:val="-12"/>
          <w:sz w:val="21"/>
        </w:rPr>
        <w:t xml:space="preserve"> </w:t>
      </w:r>
      <w:r>
        <w:rPr>
          <w:color w:val="231F20"/>
          <w:sz w:val="21"/>
        </w:rPr>
        <w:t>подат- ків) у публічній</w:t>
      </w:r>
      <w:r>
        <w:rPr>
          <w:color w:val="231F20"/>
          <w:spacing w:val="-3"/>
          <w:sz w:val="21"/>
        </w:rPr>
        <w:t xml:space="preserve"> </w:t>
      </w:r>
      <w:r>
        <w:rPr>
          <w:color w:val="231F20"/>
          <w:sz w:val="21"/>
        </w:rPr>
        <w:t>сфері;</w:t>
      </w:r>
    </w:p>
    <w:p w14:paraId="4B1A4B26" w14:textId="77777777" w:rsidR="00DE575E" w:rsidRDefault="002E7560">
      <w:pPr>
        <w:pStyle w:val="ListParagraph"/>
        <w:numPr>
          <w:ilvl w:val="0"/>
          <w:numId w:val="188"/>
        </w:numPr>
        <w:tabs>
          <w:tab w:val="left" w:pos="1101"/>
        </w:tabs>
        <w:spacing w:before="3" w:line="252" w:lineRule="auto"/>
        <w:ind w:right="128" w:firstLine="284"/>
        <w:jc w:val="both"/>
        <w:rPr>
          <w:sz w:val="21"/>
        </w:rPr>
      </w:pPr>
      <w:r>
        <w:rPr>
          <w:color w:val="231F20"/>
          <w:sz w:val="21"/>
        </w:rPr>
        <w:t>метою адміністративного договору є задоволення публічних інтересів;</w:t>
      </w:r>
    </w:p>
    <w:p w14:paraId="4AC1CA92" w14:textId="77777777" w:rsidR="00DE575E" w:rsidRDefault="00DE575E">
      <w:pPr>
        <w:pStyle w:val="BodyText"/>
        <w:spacing w:before="5"/>
        <w:rPr>
          <w:sz w:val="12"/>
        </w:rPr>
      </w:pPr>
    </w:p>
    <w:p w14:paraId="07850DBF" w14:textId="77777777" w:rsidR="00DE575E" w:rsidRDefault="002E7560">
      <w:pPr>
        <w:spacing w:before="92"/>
        <w:ind w:left="533"/>
        <w:rPr>
          <w:rFonts w:ascii="Times New Roman"/>
          <w:sz w:val="20"/>
        </w:rPr>
      </w:pPr>
      <w:r>
        <w:rPr>
          <w:rFonts w:ascii="Times New Roman"/>
          <w:color w:val="231F20"/>
          <w:sz w:val="20"/>
        </w:rPr>
        <w:t>232</w:t>
      </w:r>
    </w:p>
    <w:p w14:paraId="166D0F89" w14:textId="77777777" w:rsidR="00DE575E" w:rsidRDefault="00DE575E">
      <w:pPr>
        <w:rPr>
          <w:rFonts w:ascii="Times New Roman"/>
          <w:sz w:val="20"/>
        </w:rPr>
        <w:sectPr w:rsidR="00DE575E">
          <w:pgSz w:w="8510" w:h="12760"/>
          <w:pgMar w:top="660" w:right="720" w:bottom="280" w:left="600" w:header="720" w:footer="720" w:gutter="0"/>
          <w:cols w:space="720"/>
        </w:sectPr>
      </w:pPr>
    </w:p>
    <w:p w14:paraId="70F9C89E"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7. Інструменти публічного адміністрування</w:t>
      </w:r>
    </w:p>
    <w:p w14:paraId="39924B09" w14:textId="414181C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FDDDAF8" wp14:editId="48D2277B">
                <wp:extent cx="4140200" cy="6350"/>
                <wp:effectExtent l="0" t="0" r="12700" b="6350"/>
                <wp:docPr id="825"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26" name="Line 8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A869F1" id="Group_x0020_8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UzL5V/AgAAmAUAAA4A&#10;AAAAAAAAAAAAAAAALAIAAGRycy9lMm9Eb2MueG1sUEsBAi0AFAAGAAgAAAAhAEynsJDZAAAAAwEA&#10;AA8AAAAAAAAAAAAAAAAA1wQAAGRycy9kb3ducmV2LnhtbFBLBQYAAAAABAAEAPMAAADdBQAAAAA=&#10;">
                <v:line id="Line_x0020_8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t+VMUAAADcAAAADwAAAGRycy9kb3ducmV2LnhtbESP0WrCQBRE3wv+w3KFvhTdVEEkuooI&#10;BfFBrekHXLPXJLh7N2ZXk/r1rlDo4zAzZ5j5srNG3KnxlWMFn8MEBHHudMWFgp/sazAF4QOyRuOY&#10;FPySh+Wi9zbHVLuWv+l+DIWIEPYpKihDqFMpfV6SRT90NXH0zq6xGKJsCqkbbCPcGjlKkom0WHFc&#10;KLGmdUn55XizCrLrRzCH/da02f40lqfrbvy47ZR673erGYhAXfgP/7U3WsF0NIHXmXgE5O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Gt+VMUAAADcAAAADwAAAAAAAAAA&#10;AAAAAAChAgAAZHJzL2Rvd25yZXYueG1sUEsFBgAAAAAEAAQA+QAAAJMDAAAAAA==&#10;" strokecolor="#231f20" strokeweight=".5pt"/>
                <w10:anchorlock/>
              </v:group>
            </w:pict>
          </mc:Fallback>
        </mc:AlternateContent>
      </w:r>
    </w:p>
    <w:p w14:paraId="3C557901" w14:textId="77777777" w:rsidR="00DE575E" w:rsidRDefault="00DE575E">
      <w:pPr>
        <w:pStyle w:val="BodyText"/>
        <w:spacing w:before="7"/>
        <w:rPr>
          <w:rFonts w:ascii="AdonisC"/>
          <w:i/>
          <w:sz w:val="19"/>
        </w:rPr>
      </w:pPr>
    </w:p>
    <w:p w14:paraId="360FE1F2" w14:textId="77777777" w:rsidR="00DE575E" w:rsidRDefault="002E7560">
      <w:pPr>
        <w:pStyle w:val="BodyText"/>
        <w:spacing w:before="1" w:line="252" w:lineRule="auto"/>
        <w:ind w:left="250" w:right="412" w:firstLine="283"/>
        <w:jc w:val="both"/>
      </w:pPr>
      <w:r>
        <w:rPr>
          <w:color w:val="231F20"/>
        </w:rPr>
        <w:t>7) адміністративний договір оформлює ті суспільні відносини, які входять до предмета адміністративного права</w:t>
      </w:r>
      <w:r>
        <w:rPr>
          <w:color w:val="231F20"/>
          <w:position w:val="7"/>
          <w:sz w:val="12"/>
        </w:rPr>
        <w:t>1</w:t>
      </w:r>
      <w:r>
        <w:rPr>
          <w:color w:val="231F20"/>
        </w:rPr>
        <w:t>.</w:t>
      </w:r>
    </w:p>
    <w:p w14:paraId="1A5BDECD" w14:textId="77777777" w:rsidR="00DE575E" w:rsidRDefault="002E7560">
      <w:pPr>
        <w:pStyle w:val="BodyText"/>
        <w:spacing w:before="1" w:line="252" w:lineRule="auto"/>
        <w:ind w:left="250" w:right="412" w:firstLine="283"/>
        <w:jc w:val="both"/>
      </w:pPr>
      <w:r>
        <w:rPr>
          <w:color w:val="231F20"/>
        </w:rPr>
        <w:t>Ураховуючи те, що органи публічної адміністрації можуть діяти як у публічно-правовій, так і у приватно-правовій сферах,</w:t>
      </w:r>
      <w:r>
        <w:rPr>
          <w:color w:val="231F20"/>
          <w:spacing w:val="-30"/>
        </w:rPr>
        <w:t xml:space="preserve"> </w:t>
      </w:r>
      <w:r>
        <w:rPr>
          <w:color w:val="231F20"/>
        </w:rPr>
        <w:t>важливим та необхідним є відмежування адміністративних договорів (угод) від приватноправового (цивільного, господарського)</w:t>
      </w:r>
      <w:r>
        <w:rPr>
          <w:color w:val="231F20"/>
          <w:spacing w:val="-5"/>
        </w:rPr>
        <w:t xml:space="preserve"> </w:t>
      </w:r>
      <w:r>
        <w:rPr>
          <w:color w:val="231F20"/>
          <w:spacing w:val="-4"/>
        </w:rPr>
        <w:t>договору.</w:t>
      </w:r>
    </w:p>
    <w:p w14:paraId="517F28CD" w14:textId="77777777" w:rsidR="00DE575E" w:rsidRDefault="002E7560">
      <w:pPr>
        <w:pStyle w:val="BodyText"/>
        <w:spacing w:before="2" w:line="252" w:lineRule="auto"/>
        <w:ind w:left="250" w:right="411" w:firstLine="283"/>
        <w:jc w:val="both"/>
      </w:pPr>
      <w:r>
        <w:rPr>
          <w:b/>
          <w:i/>
          <w:color w:val="231F20"/>
        </w:rPr>
        <w:t>Нег</w:t>
      </w:r>
      <w:r>
        <w:rPr>
          <w:b/>
          <w:i/>
          <w:color w:val="231F20"/>
        </w:rPr>
        <w:t xml:space="preserve">ативно </w:t>
      </w:r>
      <w:r>
        <w:rPr>
          <w:color w:val="231F20"/>
        </w:rPr>
        <w:t>відмежовує адміністративний від приватноправо- вого договору професор Р. Мельник:</w:t>
      </w:r>
    </w:p>
    <w:p w14:paraId="164D2182" w14:textId="77777777" w:rsidR="00DE575E" w:rsidRDefault="002E7560">
      <w:pPr>
        <w:pStyle w:val="BodyText"/>
        <w:spacing w:before="1" w:line="252" w:lineRule="auto"/>
        <w:ind w:left="250" w:right="411" w:firstLine="283"/>
        <w:jc w:val="both"/>
      </w:pPr>
      <w:r>
        <w:rPr>
          <w:color w:val="231F20"/>
        </w:rPr>
        <w:t>а)</w:t>
      </w:r>
      <w:r>
        <w:rPr>
          <w:color w:val="231F20"/>
          <w:spacing w:val="6"/>
        </w:rPr>
        <w:t xml:space="preserve"> </w:t>
      </w:r>
      <w:r>
        <w:rPr>
          <w:color w:val="231F20"/>
          <w:spacing w:val="-3"/>
        </w:rPr>
        <w:t>суб’єктний</w:t>
      </w:r>
      <w:r>
        <w:rPr>
          <w:color w:val="231F20"/>
          <w:spacing w:val="-16"/>
        </w:rPr>
        <w:t xml:space="preserve"> </w:t>
      </w:r>
      <w:r>
        <w:rPr>
          <w:color w:val="231F20"/>
        </w:rPr>
        <w:t>склад</w:t>
      </w:r>
      <w:r>
        <w:rPr>
          <w:color w:val="231F20"/>
          <w:spacing w:val="-16"/>
        </w:rPr>
        <w:t xml:space="preserve"> </w:t>
      </w:r>
      <w:r>
        <w:rPr>
          <w:color w:val="231F20"/>
        </w:rPr>
        <w:t>учасників</w:t>
      </w:r>
      <w:r>
        <w:rPr>
          <w:color w:val="231F20"/>
          <w:spacing w:val="-16"/>
        </w:rPr>
        <w:t xml:space="preserve"> </w:t>
      </w:r>
      <w:r>
        <w:rPr>
          <w:color w:val="231F20"/>
        </w:rPr>
        <w:t>договірних</w:t>
      </w:r>
      <w:r>
        <w:rPr>
          <w:color w:val="231F20"/>
          <w:spacing w:val="-16"/>
        </w:rPr>
        <w:t xml:space="preserve"> </w:t>
      </w:r>
      <w:r>
        <w:rPr>
          <w:color w:val="231F20"/>
        </w:rPr>
        <w:t>відносин</w:t>
      </w:r>
      <w:r>
        <w:rPr>
          <w:color w:val="231F20"/>
          <w:spacing w:val="-16"/>
        </w:rPr>
        <w:t xml:space="preserve"> </w:t>
      </w:r>
      <w:r>
        <w:rPr>
          <w:color w:val="231F20"/>
        </w:rPr>
        <w:t>не</w:t>
      </w:r>
      <w:r>
        <w:rPr>
          <w:color w:val="231F20"/>
          <w:spacing w:val="-16"/>
        </w:rPr>
        <w:t xml:space="preserve"> </w:t>
      </w:r>
      <w:r>
        <w:rPr>
          <w:color w:val="231F20"/>
        </w:rPr>
        <w:t>є</w:t>
      </w:r>
      <w:r>
        <w:rPr>
          <w:color w:val="231F20"/>
          <w:spacing w:val="-17"/>
        </w:rPr>
        <w:t xml:space="preserve"> </w:t>
      </w:r>
      <w:r>
        <w:rPr>
          <w:color w:val="231F20"/>
        </w:rPr>
        <w:t>тією</w:t>
      </w:r>
      <w:r>
        <w:rPr>
          <w:color w:val="231F20"/>
          <w:spacing w:val="-16"/>
        </w:rPr>
        <w:t xml:space="preserve"> </w:t>
      </w:r>
      <w:r>
        <w:rPr>
          <w:color w:val="231F20"/>
        </w:rPr>
        <w:t>озна- кою, за допомогою якої можна однозначно визначитися з правовою природою договору («наявність відносин</w:t>
      </w:r>
      <w:r>
        <w:rPr>
          <w:color w:val="231F20"/>
        </w:rPr>
        <w:t xml:space="preserve"> влади і підпорядкування між учасниками</w:t>
      </w:r>
      <w:r>
        <w:rPr>
          <w:color w:val="231F20"/>
          <w:spacing w:val="-2"/>
        </w:rPr>
        <w:t xml:space="preserve"> </w:t>
      </w:r>
      <w:r>
        <w:rPr>
          <w:color w:val="231F20"/>
        </w:rPr>
        <w:t>договору»);</w:t>
      </w:r>
    </w:p>
    <w:p w14:paraId="280B3452" w14:textId="77777777" w:rsidR="00DE575E" w:rsidRDefault="002E7560">
      <w:pPr>
        <w:pStyle w:val="BodyText"/>
        <w:spacing w:before="2" w:line="252" w:lineRule="auto"/>
        <w:ind w:left="250" w:right="414" w:firstLine="283"/>
        <w:jc w:val="both"/>
      </w:pPr>
      <w:r>
        <w:rPr>
          <w:color w:val="231F20"/>
          <w:spacing w:val="-3"/>
        </w:rPr>
        <w:t xml:space="preserve">б) не </w:t>
      </w:r>
      <w:r>
        <w:rPr>
          <w:color w:val="231F20"/>
        </w:rPr>
        <w:t xml:space="preserve">є </w:t>
      </w:r>
      <w:r>
        <w:rPr>
          <w:color w:val="231F20"/>
          <w:spacing w:val="-5"/>
        </w:rPr>
        <w:t xml:space="preserve">визначальним </w:t>
      </w:r>
      <w:r>
        <w:rPr>
          <w:color w:val="231F20"/>
        </w:rPr>
        <w:t xml:space="preserve">для </w:t>
      </w:r>
      <w:r>
        <w:rPr>
          <w:color w:val="231F20"/>
          <w:spacing w:val="-5"/>
        </w:rPr>
        <w:t xml:space="preserve">встановлення юридичної природи </w:t>
      </w:r>
      <w:r>
        <w:rPr>
          <w:color w:val="231F20"/>
        </w:rPr>
        <w:t xml:space="preserve">і </w:t>
      </w:r>
      <w:r>
        <w:rPr>
          <w:color w:val="231F20"/>
          <w:spacing w:val="-5"/>
        </w:rPr>
        <w:t xml:space="preserve">те, </w:t>
      </w:r>
      <w:r>
        <w:rPr>
          <w:color w:val="231F20"/>
          <w:spacing w:val="-3"/>
        </w:rPr>
        <w:t xml:space="preserve">що </w:t>
      </w:r>
      <w:r>
        <w:rPr>
          <w:color w:val="231F20"/>
          <w:spacing w:val="-4"/>
        </w:rPr>
        <w:t xml:space="preserve">через </w:t>
      </w:r>
      <w:r>
        <w:rPr>
          <w:color w:val="231F20"/>
          <w:spacing w:val="-5"/>
        </w:rPr>
        <w:t xml:space="preserve">договір </w:t>
      </w:r>
      <w:r>
        <w:rPr>
          <w:color w:val="231F20"/>
          <w:spacing w:val="-6"/>
        </w:rPr>
        <w:t xml:space="preserve">виконується </w:t>
      </w:r>
      <w:r>
        <w:rPr>
          <w:color w:val="231F20"/>
          <w:spacing w:val="-5"/>
        </w:rPr>
        <w:t xml:space="preserve">публічне завдання (задовольняється публічний інтерес), адже </w:t>
      </w:r>
      <w:r>
        <w:rPr>
          <w:color w:val="231F20"/>
          <w:spacing w:val="-8"/>
        </w:rPr>
        <w:t xml:space="preserve">суб’єкт </w:t>
      </w:r>
      <w:r>
        <w:rPr>
          <w:color w:val="231F20"/>
          <w:spacing w:val="-5"/>
        </w:rPr>
        <w:t>публічної адміністрації може досягати публічн</w:t>
      </w:r>
      <w:r>
        <w:rPr>
          <w:color w:val="231F20"/>
          <w:spacing w:val="-5"/>
        </w:rPr>
        <w:t xml:space="preserve">их </w:t>
      </w:r>
      <w:r>
        <w:rPr>
          <w:color w:val="231F20"/>
          <w:spacing w:val="-4"/>
        </w:rPr>
        <w:t xml:space="preserve">цілей </w:t>
      </w:r>
      <w:r>
        <w:rPr>
          <w:color w:val="231F20"/>
          <w:spacing w:val="-5"/>
        </w:rPr>
        <w:t xml:space="preserve">також </w:t>
      </w:r>
      <w:r>
        <w:rPr>
          <w:color w:val="231F20"/>
          <w:spacing w:val="-4"/>
        </w:rPr>
        <w:t xml:space="preserve">через укладання </w:t>
      </w:r>
      <w:r>
        <w:rPr>
          <w:color w:val="231F20"/>
          <w:spacing w:val="-5"/>
        </w:rPr>
        <w:t>приватноправового</w:t>
      </w:r>
      <w:r>
        <w:rPr>
          <w:color w:val="231F20"/>
          <w:spacing w:val="-23"/>
        </w:rPr>
        <w:t xml:space="preserve"> </w:t>
      </w:r>
      <w:r>
        <w:rPr>
          <w:color w:val="231F20"/>
          <w:spacing w:val="-7"/>
        </w:rPr>
        <w:t>договору.</w:t>
      </w:r>
    </w:p>
    <w:p w14:paraId="50E2FB30" w14:textId="77777777" w:rsidR="00DE575E" w:rsidRDefault="002E7560">
      <w:pPr>
        <w:pStyle w:val="BodyText"/>
        <w:spacing w:before="2" w:line="252" w:lineRule="auto"/>
        <w:ind w:left="250" w:right="411" w:firstLine="283"/>
        <w:jc w:val="both"/>
      </w:pPr>
      <w:r>
        <w:rPr>
          <w:b/>
          <w:i/>
          <w:color w:val="231F20"/>
        </w:rPr>
        <w:t xml:space="preserve">Позитивно </w:t>
      </w:r>
      <w:r>
        <w:rPr>
          <w:color w:val="231F20"/>
        </w:rPr>
        <w:t xml:space="preserve">про адміністративний договір потрібно вести мову  в тих випадках, коли він спрямований на реалізацію норм адмініст- ративного права та відповідно виникнення </w:t>
      </w:r>
      <w:r>
        <w:rPr>
          <w:color w:val="231F20"/>
          <w:spacing w:val="-3"/>
        </w:rPr>
        <w:t xml:space="preserve">(зміну, </w:t>
      </w:r>
      <w:r>
        <w:rPr>
          <w:color w:val="231F20"/>
        </w:rPr>
        <w:t>припинення) адміністративно-правових відносин; закріплені в ньому зобов’я- зання чи розпорядження, які реалізуються в його межах, мають адміністративно-правовий</w:t>
      </w:r>
      <w:r>
        <w:rPr>
          <w:color w:val="231F20"/>
          <w:spacing w:val="-2"/>
        </w:rPr>
        <w:t xml:space="preserve"> </w:t>
      </w:r>
      <w:r>
        <w:rPr>
          <w:color w:val="231F20"/>
        </w:rPr>
        <w:t>характер.</w:t>
      </w:r>
    </w:p>
    <w:p w14:paraId="2ECB52A1" w14:textId="77777777" w:rsidR="00DE575E" w:rsidRDefault="002E7560">
      <w:pPr>
        <w:pStyle w:val="BodyText"/>
        <w:spacing w:before="3" w:line="252" w:lineRule="auto"/>
        <w:ind w:left="250" w:right="411" w:firstLine="283"/>
        <w:jc w:val="both"/>
      </w:pPr>
      <w:r>
        <w:rPr>
          <w:color w:val="231F20"/>
        </w:rPr>
        <w:t>Він спрямовується на реалізацію адміністративно-правової норми, що містить зобов’язання видати адміністративний акт або вчинити іншу адміністративну дію; має своєю основою закріплені нормами адміністративного права обов’язки або права приватної особи. Його</w:t>
      </w:r>
      <w:r>
        <w:rPr>
          <w:color w:val="231F20"/>
        </w:rPr>
        <w:t xml:space="preserve"> укладення є не тільки (а інколи й не стільки) правом, скільки обов’язком відповідних суб’єктів адміністративного права</w:t>
      </w:r>
      <w:r>
        <w:rPr>
          <w:color w:val="231F20"/>
          <w:position w:val="7"/>
          <w:sz w:val="12"/>
        </w:rPr>
        <w:t>2</w:t>
      </w:r>
      <w:r>
        <w:rPr>
          <w:color w:val="231F20"/>
        </w:rPr>
        <w:t>; суб’єкт владних повноважень у договорі реалізує повноваження, надані для здійснення публічної управлінської діяльності.</w:t>
      </w:r>
    </w:p>
    <w:p w14:paraId="492DBD6F" w14:textId="77777777" w:rsidR="00DE575E" w:rsidRDefault="00DE575E">
      <w:pPr>
        <w:pStyle w:val="BodyText"/>
        <w:spacing w:before="3"/>
        <w:rPr>
          <w:sz w:val="22"/>
        </w:rPr>
      </w:pPr>
    </w:p>
    <w:p w14:paraId="7AC92815" w14:textId="77777777" w:rsidR="00DE575E" w:rsidRDefault="002E7560">
      <w:pPr>
        <w:pStyle w:val="Heading5"/>
        <w:numPr>
          <w:ilvl w:val="2"/>
          <w:numId w:val="189"/>
        </w:numPr>
        <w:tabs>
          <w:tab w:val="left" w:pos="1099"/>
        </w:tabs>
        <w:spacing w:before="1"/>
      </w:pPr>
      <w:r>
        <w:rPr>
          <w:color w:val="231F20"/>
        </w:rPr>
        <w:t>Види адмініст</w:t>
      </w:r>
      <w:r>
        <w:rPr>
          <w:color w:val="231F20"/>
        </w:rPr>
        <w:t>ративних</w:t>
      </w:r>
      <w:r>
        <w:rPr>
          <w:color w:val="231F20"/>
          <w:spacing w:val="-3"/>
        </w:rPr>
        <w:t xml:space="preserve"> </w:t>
      </w:r>
      <w:r>
        <w:rPr>
          <w:color w:val="231F20"/>
        </w:rPr>
        <w:t>договорів</w:t>
      </w:r>
    </w:p>
    <w:p w14:paraId="1213A8E4" w14:textId="77777777" w:rsidR="00DE575E" w:rsidRDefault="00DE575E">
      <w:pPr>
        <w:pStyle w:val="BodyText"/>
        <w:spacing w:before="2"/>
        <w:rPr>
          <w:b/>
          <w:sz w:val="23"/>
        </w:rPr>
      </w:pPr>
    </w:p>
    <w:p w14:paraId="1742DEAA" w14:textId="77777777" w:rsidR="00DE575E" w:rsidRDefault="002E7560">
      <w:pPr>
        <w:pStyle w:val="BodyText"/>
        <w:spacing w:line="252" w:lineRule="auto"/>
        <w:ind w:left="250" w:right="412" w:firstLine="283"/>
        <w:jc w:val="both"/>
      </w:pPr>
      <w:r>
        <w:rPr>
          <w:color w:val="231F20"/>
        </w:rPr>
        <w:t>Суб’єкти публічної адміністрації у процесі свого функціонування укладають різноманітні адміністративні договори, які можуть зво- дитись до кількох груп. Класифікація адміністративних договорів</w:t>
      </w:r>
    </w:p>
    <w:p w14:paraId="7B64DD32" w14:textId="67C33296" w:rsidR="00DE575E" w:rsidRDefault="002E7560">
      <w:pPr>
        <w:pStyle w:val="BodyText"/>
        <w:spacing w:before="9"/>
        <w:rPr>
          <w:sz w:val="16"/>
        </w:rPr>
      </w:pPr>
      <w:r>
        <w:rPr>
          <w:noProof/>
        </w:rPr>
        <mc:AlternateContent>
          <mc:Choice Requires="wps">
            <w:drawing>
              <wp:anchor distT="0" distB="0" distL="0" distR="0" simplePos="0" relativeHeight="9448" behindDoc="0" locked="0" layoutInCell="1" allowOverlap="1" wp14:anchorId="699495AC" wp14:editId="0682ECCD">
                <wp:simplePos x="0" y="0"/>
                <wp:positionH relativeFrom="page">
                  <wp:posOffset>539750</wp:posOffset>
                </wp:positionH>
                <wp:positionV relativeFrom="paragraph">
                  <wp:posOffset>152400</wp:posOffset>
                </wp:positionV>
                <wp:extent cx="1080135" cy="0"/>
                <wp:effectExtent l="6350" t="12700" r="31115" b="25400"/>
                <wp:wrapTopAndBottom/>
                <wp:docPr id="824"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DAB29" id="Line_x0020_823" o:spid="_x0000_s1026" style="position:absolute;z-index:9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pt" to="127.55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" strokecolor="#231f20" strokeweight=".5pt">
                <w10:wrap type="topAndBottom" anchorx="page"/>
              </v:line>
            </w:pict>
          </mc:Fallback>
        </mc:AlternateContent>
      </w:r>
    </w:p>
    <w:p w14:paraId="6786C544" w14:textId="77777777" w:rsidR="00DE575E" w:rsidRDefault="002E7560">
      <w:pPr>
        <w:spacing w:line="204" w:lineRule="auto"/>
        <w:ind w:left="250" w:right="521"/>
        <w:rPr>
          <w:sz w:val="16"/>
        </w:rPr>
      </w:pPr>
      <w:r>
        <w:rPr>
          <w:color w:val="231F20"/>
          <w:position w:val="5"/>
          <w:sz w:val="9"/>
        </w:rPr>
        <w:t xml:space="preserve">1 </w:t>
      </w:r>
      <w:r>
        <w:rPr>
          <w:color w:val="231F20"/>
          <w:sz w:val="16"/>
        </w:rPr>
        <w:t>Завальна Ж. Порівняльний аналіз адмініс</w:t>
      </w:r>
      <w:r>
        <w:rPr>
          <w:color w:val="231F20"/>
          <w:sz w:val="16"/>
        </w:rPr>
        <w:t xml:space="preserve">тративного та цивільного договорів. </w:t>
      </w:r>
      <w:r>
        <w:rPr>
          <w:i/>
          <w:color w:val="231F20"/>
          <w:sz w:val="16"/>
        </w:rPr>
        <w:t>Право України</w:t>
      </w:r>
      <w:r>
        <w:rPr>
          <w:color w:val="231F20"/>
          <w:sz w:val="16"/>
        </w:rPr>
        <w:t>. 2007. № 3. С. 135-139.</w:t>
      </w:r>
    </w:p>
    <w:p w14:paraId="384AB684" w14:textId="77777777" w:rsidR="00DE575E" w:rsidRDefault="002E7560">
      <w:pPr>
        <w:spacing w:before="3"/>
        <w:ind w:left="250"/>
        <w:rPr>
          <w:sz w:val="16"/>
        </w:rPr>
      </w:pPr>
      <w:r>
        <w:rPr>
          <w:color w:val="231F20"/>
          <w:position w:val="5"/>
          <w:sz w:val="9"/>
        </w:rPr>
        <w:t xml:space="preserve">2 </w:t>
      </w:r>
      <w:r>
        <w:rPr>
          <w:color w:val="231F20"/>
          <w:sz w:val="16"/>
        </w:rPr>
        <w:t>Завальна Ж. Зазнач. праця. С. 135-139.</w:t>
      </w:r>
    </w:p>
    <w:p w14:paraId="2548C69D" w14:textId="77777777" w:rsidR="00DE575E" w:rsidRDefault="00DE575E">
      <w:pPr>
        <w:pStyle w:val="BodyText"/>
        <w:spacing w:before="11"/>
        <w:rPr>
          <w:sz w:val="11"/>
        </w:rPr>
      </w:pPr>
    </w:p>
    <w:p w14:paraId="73F834A5" w14:textId="77777777" w:rsidR="00DE575E" w:rsidRDefault="002E7560">
      <w:pPr>
        <w:spacing w:before="91"/>
        <w:ind w:right="411"/>
        <w:jc w:val="right"/>
        <w:rPr>
          <w:rFonts w:ascii="Times New Roman"/>
          <w:sz w:val="20"/>
        </w:rPr>
      </w:pPr>
      <w:r>
        <w:rPr>
          <w:rFonts w:ascii="Times New Roman"/>
          <w:color w:val="231F20"/>
          <w:w w:val="90"/>
          <w:sz w:val="20"/>
        </w:rPr>
        <w:t>233</w:t>
      </w:r>
    </w:p>
    <w:p w14:paraId="1408A65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AE1150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7F01F02" w14:textId="5A62CA2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43EDB1A" wp14:editId="0C2AA0AD">
                <wp:extent cx="4140200" cy="6350"/>
                <wp:effectExtent l="0" t="0" r="12700" b="6350"/>
                <wp:docPr id="822"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23" name="Line 82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0D6BC" id="Group_x0020_82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nRFI1fQIAAJgFAAAOAAAA&#10;AAAAAAAAAAAAACwCAABkcnMvZTJvRG9jLnhtbFBLAQItABQABgAIAAAAIQBMp7CQ2QAAAAMBAAAP&#10;AAAAAAAAAAAAAAAAANUEAABkcnMvZG93bnJldi54bWxQSwUGAAAAAAQABADzAAAA2wUAAAAA&#10;">
                <v:line id="Line_x0020_82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zdzMYAAADcAAAADwAAAGRycy9kb3ducmV2LnhtbESP0WrCQBRE34X+w3ILfRHdaKBIdJUi&#10;CNIHtcYPuGavSeju3ZhdTdqvdwsFH4eZOcMsVr014k6trx0rmIwTEMSF0zWXCk75ZjQD4QOyRuOY&#10;FPyQh9XyZbDATLuOv+h+DKWIEPYZKqhCaDIpfVGRRT92DXH0Lq61GKJsS6lb7CLcGjlNkndpsea4&#10;UGFD64qK7+PNKsivw2AO+0/T5ftzKs/XXfp72yn19tp/zEEE6sMz/N/eagWzaQp/Z+IRkM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wc3czGAAAA3AAAAA8AAAAAAAAA&#10;AAAAAAAAoQIAAGRycy9kb3ducmV2LnhtbFBLBQYAAAAABAAEAPkAAACUAwAAAAA=&#10;" strokecolor="#231f20" strokeweight=".5pt"/>
                <w10:anchorlock/>
              </v:group>
            </w:pict>
          </mc:Fallback>
        </mc:AlternateContent>
      </w:r>
    </w:p>
    <w:p w14:paraId="71E2606C" w14:textId="77777777" w:rsidR="00DE575E" w:rsidRDefault="00DE575E">
      <w:pPr>
        <w:pStyle w:val="BodyText"/>
        <w:spacing w:before="7"/>
        <w:rPr>
          <w:rFonts w:ascii="AdonisC"/>
          <w:i/>
          <w:sz w:val="11"/>
        </w:rPr>
      </w:pPr>
    </w:p>
    <w:p w14:paraId="149A0121" w14:textId="77777777" w:rsidR="00DE575E" w:rsidRDefault="002E7560">
      <w:pPr>
        <w:pStyle w:val="BodyText"/>
        <w:spacing w:before="101" w:line="252" w:lineRule="auto"/>
        <w:ind w:left="533"/>
      </w:pPr>
      <w:r>
        <w:rPr>
          <w:color w:val="231F20"/>
        </w:rPr>
        <w:t>допомагає краще зрозуміти їх сутність, а також має значення для практики оскарження договорів у судовому порядку.</w:t>
      </w:r>
    </w:p>
    <w:p w14:paraId="732A060F" w14:textId="77777777" w:rsidR="00DE575E" w:rsidRDefault="002E7560">
      <w:pPr>
        <w:pStyle w:val="BodyText"/>
        <w:spacing w:before="1" w:line="252" w:lineRule="auto"/>
        <w:ind w:left="533" w:right="128" w:firstLine="283"/>
        <w:jc w:val="right"/>
      </w:pPr>
      <w:r>
        <w:rPr>
          <w:color w:val="231F20"/>
          <w:spacing w:val="-3"/>
        </w:rPr>
        <w:t>Залежно</w:t>
      </w:r>
      <w:r>
        <w:rPr>
          <w:color w:val="231F20"/>
          <w:spacing w:val="-21"/>
        </w:rPr>
        <w:t xml:space="preserve"> </w:t>
      </w:r>
      <w:r>
        <w:rPr>
          <w:color w:val="231F20"/>
        </w:rPr>
        <w:t>від</w:t>
      </w:r>
      <w:r>
        <w:rPr>
          <w:color w:val="231F20"/>
          <w:spacing w:val="-21"/>
        </w:rPr>
        <w:t xml:space="preserve"> </w:t>
      </w:r>
      <w:r>
        <w:rPr>
          <w:color w:val="231F20"/>
          <w:spacing w:val="-5"/>
        </w:rPr>
        <w:t>суб’єктного</w:t>
      </w:r>
      <w:r>
        <w:rPr>
          <w:color w:val="231F20"/>
          <w:spacing w:val="-21"/>
        </w:rPr>
        <w:t xml:space="preserve"> </w:t>
      </w:r>
      <w:r>
        <w:rPr>
          <w:color w:val="231F20"/>
        </w:rPr>
        <w:t>складу</w:t>
      </w:r>
      <w:r>
        <w:rPr>
          <w:color w:val="231F20"/>
          <w:spacing w:val="-21"/>
        </w:rPr>
        <w:t xml:space="preserve"> </w:t>
      </w:r>
      <w:r>
        <w:rPr>
          <w:color w:val="231F20"/>
          <w:spacing w:val="-3"/>
        </w:rPr>
        <w:t>адміністративні</w:t>
      </w:r>
      <w:r>
        <w:rPr>
          <w:color w:val="231F20"/>
          <w:spacing w:val="-21"/>
        </w:rPr>
        <w:t xml:space="preserve"> </w:t>
      </w:r>
      <w:r>
        <w:rPr>
          <w:color w:val="231F20"/>
        </w:rPr>
        <w:t>договори</w:t>
      </w:r>
      <w:r>
        <w:rPr>
          <w:color w:val="231F20"/>
          <w:spacing w:val="-21"/>
        </w:rPr>
        <w:t xml:space="preserve"> </w:t>
      </w:r>
      <w:r>
        <w:rPr>
          <w:color w:val="231F20"/>
          <w:spacing w:val="-3"/>
        </w:rPr>
        <w:t xml:space="preserve">доцільно </w:t>
      </w:r>
      <w:r>
        <w:rPr>
          <w:color w:val="231F20"/>
          <w:spacing w:val="-4"/>
        </w:rPr>
        <w:t xml:space="preserve">поділяти </w:t>
      </w:r>
      <w:r>
        <w:rPr>
          <w:color w:val="231F20"/>
        </w:rPr>
        <w:t xml:space="preserve">на </w:t>
      </w:r>
      <w:r>
        <w:rPr>
          <w:i/>
          <w:color w:val="231F20"/>
          <w:spacing w:val="-3"/>
        </w:rPr>
        <w:t xml:space="preserve">горизонтальні </w:t>
      </w:r>
      <w:r>
        <w:rPr>
          <w:color w:val="231F20"/>
          <w:spacing w:val="-3"/>
        </w:rPr>
        <w:t xml:space="preserve">(укладаються </w:t>
      </w:r>
      <w:r>
        <w:rPr>
          <w:color w:val="231F20"/>
        </w:rPr>
        <w:t>між</w:t>
      </w:r>
      <w:r>
        <w:rPr>
          <w:color w:val="231F20"/>
          <w:spacing w:val="8"/>
        </w:rPr>
        <w:t xml:space="preserve"> </w:t>
      </w:r>
      <w:r>
        <w:rPr>
          <w:color w:val="231F20"/>
          <w:spacing w:val="-3"/>
        </w:rPr>
        <w:t>органами</w:t>
      </w:r>
      <w:r>
        <w:rPr>
          <w:color w:val="231F20"/>
          <w:spacing w:val="33"/>
        </w:rPr>
        <w:t xml:space="preserve"> </w:t>
      </w:r>
      <w:r>
        <w:rPr>
          <w:color w:val="231F20"/>
          <w:spacing w:val="-3"/>
        </w:rPr>
        <w:t xml:space="preserve">виконавчої влади </w:t>
      </w:r>
      <w:r>
        <w:rPr>
          <w:color w:val="231F20"/>
          <w:spacing w:val="-4"/>
        </w:rPr>
        <w:t xml:space="preserve">одного </w:t>
      </w:r>
      <w:r>
        <w:rPr>
          <w:color w:val="231F20"/>
          <w:spacing w:val="-3"/>
        </w:rPr>
        <w:t xml:space="preserve">рівня </w:t>
      </w:r>
      <w:r>
        <w:rPr>
          <w:color w:val="231F20"/>
        </w:rPr>
        <w:t xml:space="preserve">або між </w:t>
      </w:r>
      <w:r>
        <w:rPr>
          <w:color w:val="231F20"/>
          <w:spacing w:val="-3"/>
        </w:rPr>
        <w:t>органом виконавчої влади</w:t>
      </w:r>
      <w:r>
        <w:rPr>
          <w:color w:val="231F20"/>
          <w:spacing w:val="-18"/>
        </w:rPr>
        <w:t xml:space="preserve"> </w:t>
      </w:r>
      <w:r>
        <w:rPr>
          <w:color w:val="231F20"/>
        </w:rPr>
        <w:t>та</w:t>
      </w:r>
      <w:r>
        <w:rPr>
          <w:color w:val="231F20"/>
          <w:spacing w:val="33"/>
        </w:rPr>
        <w:t xml:space="preserve"> </w:t>
      </w:r>
      <w:r>
        <w:rPr>
          <w:color w:val="231F20"/>
          <w:spacing w:val="-3"/>
        </w:rPr>
        <w:t xml:space="preserve">органом місцевого самоврядування) </w:t>
      </w:r>
      <w:r>
        <w:rPr>
          <w:color w:val="231F20"/>
        </w:rPr>
        <w:t xml:space="preserve">та </w:t>
      </w:r>
      <w:r>
        <w:rPr>
          <w:i/>
          <w:color w:val="231F20"/>
          <w:spacing w:val="-3"/>
        </w:rPr>
        <w:t xml:space="preserve">вертикальні </w:t>
      </w:r>
      <w:r>
        <w:rPr>
          <w:color w:val="231F20"/>
          <w:spacing w:val="-3"/>
        </w:rPr>
        <w:t>(укладаються</w:t>
      </w:r>
      <w:r>
        <w:rPr>
          <w:color w:val="231F20"/>
          <w:spacing w:val="-15"/>
        </w:rPr>
        <w:t xml:space="preserve"> </w:t>
      </w:r>
      <w:r>
        <w:rPr>
          <w:color w:val="231F20"/>
        </w:rPr>
        <w:t>між</w:t>
      </w:r>
      <w:r>
        <w:rPr>
          <w:color w:val="231F20"/>
          <w:spacing w:val="30"/>
        </w:rPr>
        <w:t xml:space="preserve"> </w:t>
      </w:r>
      <w:r>
        <w:rPr>
          <w:color w:val="231F20"/>
          <w:spacing w:val="-3"/>
        </w:rPr>
        <w:t>орга-</w:t>
      </w:r>
      <w:r>
        <w:rPr>
          <w:color w:val="231F20"/>
        </w:rPr>
        <w:t xml:space="preserve"> </w:t>
      </w:r>
      <w:r>
        <w:rPr>
          <w:color w:val="231F20"/>
          <w:spacing w:val="-3"/>
        </w:rPr>
        <w:t xml:space="preserve">нами публічної адміністрації </w:t>
      </w:r>
      <w:r>
        <w:rPr>
          <w:color w:val="231F20"/>
        </w:rPr>
        <w:t xml:space="preserve">та </w:t>
      </w:r>
      <w:r>
        <w:rPr>
          <w:color w:val="231F20"/>
          <w:spacing w:val="-3"/>
        </w:rPr>
        <w:t xml:space="preserve">фізичними </w:t>
      </w:r>
      <w:r>
        <w:rPr>
          <w:color w:val="231F20"/>
        </w:rPr>
        <w:t>чи</w:t>
      </w:r>
      <w:r>
        <w:rPr>
          <w:color w:val="231F20"/>
          <w:spacing w:val="-21"/>
        </w:rPr>
        <w:t xml:space="preserve"> </w:t>
      </w:r>
      <w:r>
        <w:rPr>
          <w:color w:val="231F20"/>
          <w:spacing w:val="-3"/>
        </w:rPr>
        <w:t>юридичними</w:t>
      </w:r>
      <w:r>
        <w:rPr>
          <w:color w:val="231F20"/>
          <w:spacing w:val="-6"/>
        </w:rPr>
        <w:t xml:space="preserve"> </w:t>
      </w:r>
      <w:r>
        <w:rPr>
          <w:color w:val="231F20"/>
          <w:spacing w:val="-3"/>
        </w:rPr>
        <w:t xml:space="preserve">особами). </w:t>
      </w:r>
      <w:r>
        <w:rPr>
          <w:color w:val="231F20"/>
        </w:rPr>
        <w:t xml:space="preserve">За </w:t>
      </w:r>
      <w:r>
        <w:rPr>
          <w:color w:val="231F20"/>
          <w:spacing w:val="-3"/>
        </w:rPr>
        <w:t xml:space="preserve">характером взаємовідносин </w:t>
      </w:r>
      <w:r>
        <w:rPr>
          <w:color w:val="231F20"/>
        </w:rPr>
        <w:t>між сторонами</w:t>
      </w:r>
      <w:r>
        <w:rPr>
          <w:color w:val="231F20"/>
          <w:spacing w:val="-33"/>
        </w:rPr>
        <w:t xml:space="preserve"> </w:t>
      </w:r>
      <w:r>
        <w:rPr>
          <w:color w:val="231F20"/>
          <w:spacing w:val="-3"/>
        </w:rPr>
        <w:t>договору</w:t>
      </w:r>
      <w:r>
        <w:rPr>
          <w:color w:val="231F20"/>
          <w:spacing w:val="-8"/>
        </w:rPr>
        <w:t xml:space="preserve"> </w:t>
      </w:r>
      <w:r>
        <w:rPr>
          <w:color w:val="231F20"/>
          <w:spacing w:val="-4"/>
        </w:rPr>
        <w:t>координа-</w:t>
      </w:r>
      <w:r>
        <w:rPr>
          <w:color w:val="231F20"/>
        </w:rPr>
        <w:t xml:space="preserve"> </w:t>
      </w:r>
      <w:r>
        <w:rPr>
          <w:color w:val="231F20"/>
          <w:spacing w:val="-3"/>
        </w:rPr>
        <w:t xml:space="preserve">ційні </w:t>
      </w:r>
      <w:r>
        <w:rPr>
          <w:color w:val="231F20"/>
        </w:rPr>
        <w:t xml:space="preserve">договори </w:t>
      </w:r>
      <w:r>
        <w:rPr>
          <w:color w:val="231F20"/>
          <w:spacing w:val="-3"/>
        </w:rPr>
        <w:t xml:space="preserve">укладаються </w:t>
      </w:r>
      <w:r>
        <w:rPr>
          <w:color w:val="231F20"/>
        </w:rPr>
        <w:t xml:space="preserve">між </w:t>
      </w:r>
      <w:r>
        <w:rPr>
          <w:color w:val="231F20"/>
          <w:spacing w:val="-5"/>
        </w:rPr>
        <w:t xml:space="preserve">суб’єктами </w:t>
      </w:r>
      <w:r>
        <w:rPr>
          <w:color w:val="231F20"/>
          <w:spacing w:val="-3"/>
        </w:rPr>
        <w:t>права,</w:t>
      </w:r>
      <w:r>
        <w:rPr>
          <w:color w:val="231F20"/>
          <w:spacing w:val="31"/>
        </w:rPr>
        <w:t xml:space="preserve"> </w:t>
      </w:r>
      <w:r>
        <w:rPr>
          <w:color w:val="231F20"/>
        </w:rPr>
        <w:t>які</w:t>
      </w:r>
      <w:r>
        <w:rPr>
          <w:color w:val="231F20"/>
          <w:spacing w:val="23"/>
        </w:rPr>
        <w:t xml:space="preserve"> </w:t>
      </w:r>
      <w:r>
        <w:rPr>
          <w:color w:val="231F20"/>
          <w:spacing w:val="-4"/>
        </w:rPr>
        <w:t>перебувають</w:t>
      </w:r>
      <w:r>
        <w:rPr>
          <w:color w:val="231F20"/>
          <w:spacing w:val="-3"/>
        </w:rPr>
        <w:t xml:space="preserve"> </w:t>
      </w:r>
      <w:r>
        <w:rPr>
          <w:color w:val="231F20"/>
        </w:rPr>
        <w:t xml:space="preserve">на </w:t>
      </w:r>
      <w:r>
        <w:rPr>
          <w:color w:val="231F20"/>
          <w:spacing w:val="-3"/>
        </w:rPr>
        <w:t xml:space="preserve">однаковому юридичному рівні </w:t>
      </w:r>
      <w:r>
        <w:rPr>
          <w:color w:val="231F20"/>
        </w:rPr>
        <w:t xml:space="preserve">в </w:t>
      </w:r>
      <w:r>
        <w:rPr>
          <w:color w:val="231F20"/>
          <w:spacing w:val="-3"/>
        </w:rPr>
        <w:t>ієрархії</w:t>
      </w:r>
      <w:r>
        <w:rPr>
          <w:color w:val="231F20"/>
          <w:spacing w:val="20"/>
        </w:rPr>
        <w:t xml:space="preserve"> </w:t>
      </w:r>
      <w:r>
        <w:rPr>
          <w:color w:val="231F20"/>
          <w:spacing w:val="-3"/>
        </w:rPr>
        <w:t>публічного</w:t>
      </w:r>
      <w:r>
        <w:rPr>
          <w:color w:val="231F20"/>
          <w:spacing w:val="37"/>
        </w:rPr>
        <w:t xml:space="preserve"> </w:t>
      </w:r>
      <w:r>
        <w:rPr>
          <w:color w:val="231F20"/>
          <w:spacing w:val="-4"/>
        </w:rPr>
        <w:t>адміністру-</w:t>
      </w:r>
      <w:r>
        <w:rPr>
          <w:color w:val="231F20"/>
        </w:rPr>
        <w:t xml:space="preserve"> </w:t>
      </w:r>
      <w:r>
        <w:rPr>
          <w:color w:val="231F20"/>
          <w:spacing w:val="-3"/>
        </w:rPr>
        <w:t xml:space="preserve">вання, </w:t>
      </w:r>
      <w:r>
        <w:rPr>
          <w:color w:val="231F20"/>
        </w:rPr>
        <w:t xml:space="preserve">або </w:t>
      </w:r>
      <w:r>
        <w:rPr>
          <w:color w:val="231F20"/>
          <w:spacing w:val="-3"/>
        </w:rPr>
        <w:t xml:space="preserve">тими, </w:t>
      </w:r>
      <w:r>
        <w:rPr>
          <w:color w:val="231F20"/>
        </w:rPr>
        <w:t xml:space="preserve">що </w:t>
      </w:r>
      <w:r>
        <w:rPr>
          <w:color w:val="231F20"/>
          <w:spacing w:val="-3"/>
        </w:rPr>
        <w:t xml:space="preserve">перебувають </w:t>
      </w:r>
      <w:r>
        <w:rPr>
          <w:color w:val="231F20"/>
        </w:rPr>
        <w:t xml:space="preserve">у </w:t>
      </w:r>
      <w:r>
        <w:rPr>
          <w:color w:val="231F20"/>
          <w:spacing w:val="-3"/>
        </w:rPr>
        <w:t>рівному становищі,</w:t>
      </w:r>
      <w:r>
        <w:rPr>
          <w:color w:val="231F20"/>
          <w:spacing w:val="38"/>
        </w:rPr>
        <w:t xml:space="preserve"> </w:t>
      </w:r>
      <w:r>
        <w:rPr>
          <w:color w:val="231F20"/>
        </w:rPr>
        <w:t>та</w:t>
      </w:r>
      <w:r>
        <w:rPr>
          <w:color w:val="231F20"/>
          <w:spacing w:val="25"/>
        </w:rPr>
        <w:t xml:space="preserve"> </w:t>
      </w:r>
      <w:r>
        <w:rPr>
          <w:color w:val="231F20"/>
          <w:spacing w:val="-4"/>
        </w:rPr>
        <w:t>суборди-</w:t>
      </w:r>
      <w:r>
        <w:rPr>
          <w:color w:val="231F20"/>
        </w:rPr>
        <w:t xml:space="preserve"> </w:t>
      </w:r>
      <w:r>
        <w:rPr>
          <w:color w:val="231F20"/>
          <w:spacing w:val="-3"/>
        </w:rPr>
        <w:t xml:space="preserve">наційні договори </w:t>
      </w:r>
      <w:r>
        <w:rPr>
          <w:color w:val="231F20"/>
        </w:rPr>
        <w:t xml:space="preserve">– </w:t>
      </w:r>
      <w:r>
        <w:rPr>
          <w:color w:val="231F20"/>
          <w:spacing w:val="-3"/>
        </w:rPr>
        <w:t>укладають</w:t>
      </w:r>
      <w:r>
        <w:rPr>
          <w:color w:val="231F20"/>
          <w:spacing w:val="-3"/>
        </w:rPr>
        <w:t xml:space="preserve">ся </w:t>
      </w:r>
      <w:r>
        <w:rPr>
          <w:color w:val="231F20"/>
        </w:rPr>
        <w:t xml:space="preserve">між </w:t>
      </w:r>
      <w:r>
        <w:rPr>
          <w:color w:val="231F20"/>
          <w:spacing w:val="-5"/>
        </w:rPr>
        <w:t xml:space="preserve">суб’єктами </w:t>
      </w:r>
      <w:r>
        <w:rPr>
          <w:color w:val="231F20"/>
          <w:spacing w:val="-3"/>
        </w:rPr>
        <w:t>права,</w:t>
      </w:r>
      <w:r>
        <w:rPr>
          <w:color w:val="231F20"/>
          <w:spacing w:val="30"/>
        </w:rPr>
        <w:t xml:space="preserve"> </w:t>
      </w:r>
      <w:r>
        <w:rPr>
          <w:color w:val="231F20"/>
        </w:rPr>
        <w:t>які</w:t>
      </w:r>
      <w:r>
        <w:rPr>
          <w:color w:val="231F20"/>
          <w:spacing w:val="13"/>
        </w:rPr>
        <w:t xml:space="preserve"> </w:t>
      </w:r>
      <w:r>
        <w:rPr>
          <w:color w:val="231F20"/>
          <w:spacing w:val="-3"/>
        </w:rPr>
        <w:t>перебува-</w:t>
      </w:r>
      <w:r>
        <w:rPr>
          <w:color w:val="231F20"/>
        </w:rPr>
        <w:t xml:space="preserve"> </w:t>
      </w:r>
      <w:r>
        <w:rPr>
          <w:color w:val="231F20"/>
          <w:spacing w:val="-3"/>
        </w:rPr>
        <w:t xml:space="preserve">ють </w:t>
      </w:r>
      <w:r>
        <w:rPr>
          <w:color w:val="231F20"/>
        </w:rPr>
        <w:t xml:space="preserve">у </w:t>
      </w:r>
      <w:r>
        <w:rPr>
          <w:color w:val="231F20"/>
          <w:spacing w:val="-3"/>
        </w:rPr>
        <w:t xml:space="preserve">відносинах влади-підпорядкування, </w:t>
      </w:r>
      <w:r>
        <w:rPr>
          <w:color w:val="231F20"/>
        </w:rPr>
        <w:t xml:space="preserve">– </w:t>
      </w:r>
      <w:r>
        <w:rPr>
          <w:color w:val="231F20"/>
          <w:spacing w:val="-3"/>
        </w:rPr>
        <w:t>наприклад</w:t>
      </w:r>
      <w:r>
        <w:rPr>
          <w:color w:val="231F20"/>
          <w:spacing w:val="-20"/>
        </w:rPr>
        <w:t xml:space="preserve"> </w:t>
      </w:r>
      <w:r>
        <w:rPr>
          <w:color w:val="231F20"/>
        </w:rPr>
        <w:t>між</w:t>
      </w:r>
      <w:r>
        <w:rPr>
          <w:color w:val="231F20"/>
          <w:spacing w:val="16"/>
        </w:rPr>
        <w:t xml:space="preserve"> </w:t>
      </w:r>
      <w:r>
        <w:rPr>
          <w:color w:val="231F20"/>
          <w:spacing w:val="-3"/>
        </w:rPr>
        <w:t xml:space="preserve">органом місцевого самоврядування </w:t>
      </w:r>
      <w:r>
        <w:rPr>
          <w:color w:val="231F20"/>
        </w:rPr>
        <w:t xml:space="preserve">та </w:t>
      </w:r>
      <w:r>
        <w:rPr>
          <w:color w:val="231F20"/>
          <w:spacing w:val="-3"/>
        </w:rPr>
        <w:t>приватною</w:t>
      </w:r>
      <w:r>
        <w:rPr>
          <w:color w:val="231F20"/>
          <w:spacing w:val="-26"/>
        </w:rPr>
        <w:t xml:space="preserve"> </w:t>
      </w:r>
      <w:r>
        <w:rPr>
          <w:color w:val="231F20"/>
        </w:rPr>
        <w:t>особою</w:t>
      </w:r>
      <w:r>
        <w:rPr>
          <w:color w:val="231F20"/>
          <w:spacing w:val="12"/>
        </w:rPr>
        <w:t xml:space="preserve"> </w:t>
      </w:r>
      <w:r>
        <w:rPr>
          <w:color w:val="231F20"/>
          <w:spacing w:val="-3"/>
        </w:rPr>
        <w:t xml:space="preserve">(адміністративний </w:t>
      </w:r>
      <w:r>
        <w:rPr>
          <w:color w:val="231F20"/>
        </w:rPr>
        <w:t xml:space="preserve">договір між </w:t>
      </w:r>
      <w:r>
        <w:rPr>
          <w:color w:val="231F20"/>
          <w:spacing w:val="-3"/>
        </w:rPr>
        <w:t xml:space="preserve">органом місцевого самоврядування </w:t>
      </w:r>
      <w:r>
        <w:rPr>
          <w:color w:val="231F20"/>
        </w:rPr>
        <w:t>та</w:t>
      </w:r>
      <w:r>
        <w:rPr>
          <w:color w:val="231F20"/>
          <w:spacing w:val="11"/>
        </w:rPr>
        <w:t xml:space="preserve"> </w:t>
      </w:r>
      <w:r>
        <w:rPr>
          <w:color w:val="231F20"/>
          <w:spacing w:val="-3"/>
        </w:rPr>
        <w:t>адвокатом,</w:t>
      </w:r>
      <w:r>
        <w:rPr>
          <w:color w:val="231F20"/>
          <w:spacing w:val="21"/>
        </w:rPr>
        <w:t xml:space="preserve"> </w:t>
      </w:r>
      <w:r>
        <w:rPr>
          <w:color w:val="231F20"/>
          <w:spacing w:val="-3"/>
        </w:rPr>
        <w:t>який бере</w:t>
      </w:r>
      <w:r>
        <w:rPr>
          <w:color w:val="231F20"/>
          <w:spacing w:val="11"/>
        </w:rPr>
        <w:t xml:space="preserve"> </w:t>
      </w:r>
      <w:r>
        <w:rPr>
          <w:color w:val="231F20"/>
        </w:rPr>
        <w:t>на</w:t>
      </w:r>
      <w:r>
        <w:rPr>
          <w:color w:val="231F20"/>
          <w:spacing w:val="11"/>
        </w:rPr>
        <w:t xml:space="preserve"> </w:t>
      </w:r>
      <w:r>
        <w:rPr>
          <w:color w:val="231F20"/>
          <w:spacing w:val="-3"/>
        </w:rPr>
        <w:t>себе</w:t>
      </w:r>
      <w:r>
        <w:rPr>
          <w:color w:val="231F20"/>
          <w:spacing w:val="11"/>
        </w:rPr>
        <w:t xml:space="preserve"> </w:t>
      </w:r>
      <w:r>
        <w:rPr>
          <w:color w:val="231F20"/>
          <w:spacing w:val="-3"/>
        </w:rPr>
        <w:t>зобов’язання</w:t>
      </w:r>
      <w:r>
        <w:rPr>
          <w:color w:val="231F20"/>
          <w:spacing w:val="11"/>
        </w:rPr>
        <w:t xml:space="preserve"> </w:t>
      </w:r>
      <w:r>
        <w:rPr>
          <w:color w:val="231F20"/>
          <w:spacing w:val="-3"/>
        </w:rPr>
        <w:t>надавати</w:t>
      </w:r>
      <w:r>
        <w:rPr>
          <w:color w:val="231F20"/>
          <w:spacing w:val="11"/>
        </w:rPr>
        <w:t xml:space="preserve"> </w:t>
      </w:r>
      <w:r>
        <w:rPr>
          <w:color w:val="231F20"/>
        </w:rPr>
        <w:t>від</w:t>
      </w:r>
      <w:r>
        <w:rPr>
          <w:color w:val="231F20"/>
          <w:spacing w:val="11"/>
        </w:rPr>
        <w:t xml:space="preserve"> </w:t>
      </w:r>
      <w:r>
        <w:rPr>
          <w:color w:val="231F20"/>
          <w:spacing w:val="-3"/>
        </w:rPr>
        <w:t>імені</w:t>
      </w:r>
      <w:r>
        <w:rPr>
          <w:color w:val="231F20"/>
          <w:spacing w:val="11"/>
        </w:rPr>
        <w:t xml:space="preserve"> </w:t>
      </w:r>
      <w:r>
        <w:rPr>
          <w:color w:val="231F20"/>
          <w:spacing w:val="-3"/>
        </w:rPr>
        <w:t>органу</w:t>
      </w:r>
      <w:r>
        <w:rPr>
          <w:color w:val="231F20"/>
          <w:spacing w:val="11"/>
        </w:rPr>
        <w:t xml:space="preserve"> </w:t>
      </w:r>
      <w:r>
        <w:rPr>
          <w:color w:val="231F20"/>
          <w:spacing w:val="-3"/>
        </w:rPr>
        <w:t>місцевого</w:t>
      </w:r>
      <w:r>
        <w:rPr>
          <w:color w:val="231F20"/>
          <w:spacing w:val="11"/>
        </w:rPr>
        <w:t xml:space="preserve"> </w:t>
      </w:r>
      <w:r>
        <w:rPr>
          <w:color w:val="231F20"/>
          <w:spacing w:val="-3"/>
        </w:rPr>
        <w:t>само-</w:t>
      </w:r>
    </w:p>
    <w:p w14:paraId="2E375AB2" w14:textId="77777777" w:rsidR="00DE575E" w:rsidRDefault="002E7560">
      <w:pPr>
        <w:pStyle w:val="BodyText"/>
        <w:spacing w:before="7"/>
        <w:ind w:left="533"/>
      </w:pPr>
      <w:r>
        <w:rPr>
          <w:color w:val="231F20"/>
        </w:rPr>
        <w:t>врядування приватним особам безоплатну правову допомогу)</w:t>
      </w:r>
      <w:r>
        <w:rPr>
          <w:color w:val="231F20"/>
          <w:position w:val="7"/>
          <w:sz w:val="12"/>
        </w:rPr>
        <w:t>1</w:t>
      </w:r>
      <w:r>
        <w:rPr>
          <w:color w:val="231F20"/>
        </w:rPr>
        <w:t>.</w:t>
      </w:r>
    </w:p>
    <w:p w14:paraId="1C9F3236" w14:textId="77777777" w:rsidR="00DE575E" w:rsidRDefault="002E7560">
      <w:pPr>
        <w:pStyle w:val="Heading6"/>
        <w:spacing w:before="12"/>
        <w:ind w:left="817" w:firstLine="0"/>
      </w:pPr>
      <w:r>
        <w:rPr>
          <w:color w:val="231F20"/>
        </w:rPr>
        <w:t>За юридичними властивостями:</w:t>
      </w:r>
    </w:p>
    <w:p w14:paraId="22560967" w14:textId="77777777" w:rsidR="00DE575E" w:rsidRDefault="002E7560">
      <w:pPr>
        <w:pStyle w:val="ListParagraph"/>
        <w:numPr>
          <w:ilvl w:val="0"/>
          <w:numId w:val="187"/>
        </w:numPr>
        <w:tabs>
          <w:tab w:val="left" w:pos="1101"/>
        </w:tabs>
        <w:spacing w:before="13" w:line="252" w:lineRule="auto"/>
        <w:ind w:right="128" w:firstLine="284"/>
        <w:jc w:val="both"/>
        <w:rPr>
          <w:sz w:val="21"/>
        </w:rPr>
      </w:pPr>
      <w:r>
        <w:rPr>
          <w:color w:val="231F20"/>
          <w:sz w:val="21"/>
        </w:rPr>
        <w:t>нормативні (правовстановлювальні). Як правило, нормативні договори є горизонтальними. Це договори для їх сторін і водночас нор</w:t>
      </w:r>
      <w:r>
        <w:rPr>
          <w:color w:val="231F20"/>
          <w:sz w:val="21"/>
        </w:rPr>
        <w:t>ми права для невизначеного кола осіб; розраховані на багатора- зове застосування; є нормативними джерелами адміністративного права; мають правовстановлювальний характер. Вони укладаються в публічних інтересах, а їхня цільова спрямованість – це досягнення з</w:t>
      </w:r>
      <w:r>
        <w:rPr>
          <w:color w:val="231F20"/>
          <w:sz w:val="21"/>
        </w:rPr>
        <w:t>агального</w:t>
      </w:r>
      <w:r>
        <w:rPr>
          <w:color w:val="231F20"/>
          <w:spacing w:val="-1"/>
          <w:sz w:val="21"/>
        </w:rPr>
        <w:t xml:space="preserve"> </w:t>
      </w:r>
      <w:r>
        <w:rPr>
          <w:color w:val="231F20"/>
          <w:sz w:val="21"/>
        </w:rPr>
        <w:t>блага</w:t>
      </w:r>
      <w:r>
        <w:rPr>
          <w:color w:val="231F20"/>
          <w:position w:val="7"/>
          <w:sz w:val="12"/>
        </w:rPr>
        <w:t>2</w:t>
      </w:r>
      <w:r>
        <w:rPr>
          <w:color w:val="231F20"/>
          <w:sz w:val="21"/>
        </w:rPr>
        <w:t>;</w:t>
      </w:r>
    </w:p>
    <w:p w14:paraId="59B36858" w14:textId="77777777" w:rsidR="00DE575E" w:rsidRDefault="002E7560">
      <w:pPr>
        <w:pStyle w:val="ListParagraph"/>
        <w:numPr>
          <w:ilvl w:val="0"/>
          <w:numId w:val="187"/>
        </w:numPr>
        <w:tabs>
          <w:tab w:val="left" w:pos="1101"/>
        </w:tabs>
        <w:spacing w:before="4" w:line="252" w:lineRule="auto"/>
        <w:ind w:right="127" w:firstLine="284"/>
        <w:jc w:val="both"/>
        <w:rPr>
          <w:sz w:val="21"/>
        </w:rPr>
      </w:pPr>
      <w:r>
        <w:rPr>
          <w:color w:val="231F20"/>
          <w:sz w:val="21"/>
        </w:rPr>
        <w:t xml:space="preserve">індивідуальні (правозастосовні) – як правило, вертикальні адміністративні договори, що мають вирішити індивідуальну конкретну </w:t>
      </w:r>
      <w:r>
        <w:rPr>
          <w:color w:val="231F20"/>
          <w:spacing w:val="-3"/>
          <w:sz w:val="21"/>
        </w:rPr>
        <w:t xml:space="preserve">справу, </w:t>
      </w:r>
      <w:r>
        <w:rPr>
          <w:color w:val="231F20"/>
          <w:sz w:val="21"/>
        </w:rPr>
        <w:t xml:space="preserve">мають визначеного </w:t>
      </w:r>
      <w:r>
        <w:rPr>
          <w:color w:val="231F20"/>
          <w:spacing w:val="-3"/>
          <w:sz w:val="21"/>
        </w:rPr>
        <w:t xml:space="preserve">суб’єкта </w:t>
      </w:r>
      <w:r>
        <w:rPr>
          <w:color w:val="231F20"/>
          <w:sz w:val="21"/>
        </w:rPr>
        <w:t>дії, розраховані на одноразове</w:t>
      </w:r>
      <w:r>
        <w:rPr>
          <w:color w:val="231F20"/>
          <w:spacing w:val="-13"/>
          <w:sz w:val="21"/>
        </w:rPr>
        <w:t xml:space="preserve"> </w:t>
      </w:r>
      <w:r>
        <w:rPr>
          <w:color w:val="231F20"/>
          <w:sz w:val="21"/>
        </w:rPr>
        <w:t>застосування,</w:t>
      </w:r>
      <w:r>
        <w:rPr>
          <w:color w:val="231F20"/>
          <w:spacing w:val="-13"/>
          <w:sz w:val="21"/>
        </w:rPr>
        <w:t xml:space="preserve"> </w:t>
      </w:r>
      <w:r>
        <w:rPr>
          <w:color w:val="231F20"/>
          <w:sz w:val="21"/>
        </w:rPr>
        <w:t>мають</w:t>
      </w:r>
      <w:r>
        <w:rPr>
          <w:color w:val="231F20"/>
          <w:spacing w:val="-13"/>
          <w:sz w:val="21"/>
        </w:rPr>
        <w:t xml:space="preserve"> </w:t>
      </w:r>
      <w:r>
        <w:rPr>
          <w:color w:val="231F20"/>
          <w:sz w:val="21"/>
        </w:rPr>
        <w:t>правовстановлювальний</w:t>
      </w:r>
      <w:r>
        <w:rPr>
          <w:color w:val="231F20"/>
          <w:spacing w:val="-13"/>
          <w:sz w:val="21"/>
        </w:rPr>
        <w:t xml:space="preserve"> </w:t>
      </w:r>
      <w:r>
        <w:rPr>
          <w:color w:val="231F20"/>
          <w:sz w:val="21"/>
        </w:rPr>
        <w:t>характер.</w:t>
      </w:r>
    </w:p>
    <w:p w14:paraId="52B6CD16" w14:textId="77777777" w:rsidR="00DE575E" w:rsidRDefault="002E7560">
      <w:pPr>
        <w:pStyle w:val="Heading6"/>
        <w:spacing w:before="2"/>
        <w:ind w:left="817" w:firstLine="0"/>
      </w:pPr>
      <w:r>
        <w:rPr>
          <w:color w:val="231F20"/>
        </w:rPr>
        <w:t>За змістом виділяють такі адміністративні договори:</w:t>
      </w:r>
    </w:p>
    <w:p w14:paraId="49E6AC05" w14:textId="77777777" w:rsidR="00DE575E" w:rsidRDefault="002E7560">
      <w:pPr>
        <w:pStyle w:val="BodyText"/>
        <w:spacing w:before="12" w:line="252" w:lineRule="auto"/>
        <w:ind w:left="533" w:right="127" w:firstLine="283"/>
        <w:jc w:val="both"/>
      </w:pPr>
      <w:r>
        <w:rPr>
          <w:color w:val="231F20"/>
        </w:rPr>
        <w:t xml:space="preserve">1) мирові, що укладаються між </w:t>
      </w:r>
      <w:r>
        <w:rPr>
          <w:color w:val="231F20"/>
          <w:spacing w:val="-3"/>
        </w:rPr>
        <w:t xml:space="preserve">суб’єктами </w:t>
      </w:r>
      <w:r>
        <w:rPr>
          <w:color w:val="231F20"/>
        </w:rPr>
        <w:t>права з метою врегу- лювання суперечки на основі взаємних поступок і стосуються прав та</w:t>
      </w:r>
      <w:r>
        <w:rPr>
          <w:color w:val="231F20"/>
          <w:spacing w:val="-10"/>
        </w:rPr>
        <w:t xml:space="preserve"> </w:t>
      </w:r>
      <w:r>
        <w:rPr>
          <w:color w:val="231F20"/>
        </w:rPr>
        <w:t>обов’язків</w:t>
      </w:r>
      <w:r>
        <w:rPr>
          <w:color w:val="231F20"/>
          <w:spacing w:val="-10"/>
        </w:rPr>
        <w:t xml:space="preserve"> </w:t>
      </w:r>
      <w:r>
        <w:rPr>
          <w:color w:val="231F20"/>
        </w:rPr>
        <w:t>сторін</w:t>
      </w:r>
      <w:r>
        <w:rPr>
          <w:color w:val="231F20"/>
          <w:spacing w:val="-10"/>
        </w:rPr>
        <w:t xml:space="preserve"> </w:t>
      </w:r>
      <w:r>
        <w:rPr>
          <w:color w:val="231F20"/>
        </w:rPr>
        <w:t>(адміністративний</w:t>
      </w:r>
      <w:r>
        <w:rPr>
          <w:color w:val="231F20"/>
          <w:spacing w:val="-10"/>
        </w:rPr>
        <w:t xml:space="preserve"> </w:t>
      </w:r>
      <w:r>
        <w:rPr>
          <w:color w:val="231F20"/>
        </w:rPr>
        <w:t>договір</w:t>
      </w:r>
      <w:r>
        <w:rPr>
          <w:color w:val="231F20"/>
          <w:spacing w:val="-10"/>
        </w:rPr>
        <w:t xml:space="preserve"> </w:t>
      </w:r>
      <w:r>
        <w:rPr>
          <w:color w:val="231F20"/>
        </w:rPr>
        <w:t>між</w:t>
      </w:r>
      <w:r>
        <w:rPr>
          <w:color w:val="231F20"/>
          <w:spacing w:val="-10"/>
        </w:rPr>
        <w:t xml:space="preserve"> </w:t>
      </w:r>
      <w:r>
        <w:rPr>
          <w:color w:val="231F20"/>
        </w:rPr>
        <w:t>митним</w:t>
      </w:r>
      <w:r>
        <w:rPr>
          <w:color w:val="231F20"/>
          <w:spacing w:val="-10"/>
        </w:rPr>
        <w:t xml:space="preserve"> </w:t>
      </w:r>
      <w:r>
        <w:rPr>
          <w:color w:val="231F20"/>
        </w:rPr>
        <w:t>органом та</w:t>
      </w:r>
      <w:r>
        <w:rPr>
          <w:color w:val="231F20"/>
        </w:rPr>
        <w:t xml:space="preserve"> порушником митних правил (</w:t>
      </w:r>
      <w:r>
        <w:rPr>
          <w:i/>
          <w:color w:val="231F20"/>
        </w:rPr>
        <w:t>ст. 521 Митного кодексу України</w:t>
      </w:r>
      <w:r>
        <w:rPr>
          <w:color w:val="231F20"/>
        </w:rPr>
        <w:t>), договір про розстрочення (відстрочення) грошових зобов’язань або податкового боргу платника</w:t>
      </w:r>
      <w:r>
        <w:rPr>
          <w:color w:val="231F20"/>
          <w:spacing w:val="-3"/>
        </w:rPr>
        <w:t xml:space="preserve"> </w:t>
      </w:r>
      <w:r>
        <w:rPr>
          <w:color w:val="231F20"/>
        </w:rPr>
        <w:t>податків);</w:t>
      </w:r>
    </w:p>
    <w:p w14:paraId="31620C4A" w14:textId="518085C5" w:rsidR="00DE575E" w:rsidRDefault="002E7560">
      <w:pPr>
        <w:pStyle w:val="BodyText"/>
        <w:spacing w:before="10"/>
        <w:rPr>
          <w:sz w:val="16"/>
        </w:rPr>
      </w:pPr>
      <w:r>
        <w:rPr>
          <w:noProof/>
        </w:rPr>
        <mc:AlternateContent>
          <mc:Choice Requires="wps">
            <w:drawing>
              <wp:anchor distT="0" distB="0" distL="0" distR="0" simplePos="0" relativeHeight="9496" behindDoc="0" locked="0" layoutInCell="1" allowOverlap="1" wp14:anchorId="0A5FE86F" wp14:editId="469EB487">
                <wp:simplePos x="0" y="0"/>
                <wp:positionH relativeFrom="page">
                  <wp:posOffset>719455</wp:posOffset>
                </wp:positionH>
                <wp:positionV relativeFrom="paragraph">
                  <wp:posOffset>153670</wp:posOffset>
                </wp:positionV>
                <wp:extent cx="1080135" cy="0"/>
                <wp:effectExtent l="8255" t="13970" r="29210" b="24130"/>
                <wp:wrapTopAndBottom/>
                <wp:docPr id="821"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2A6F" id="Line_x0020_820" o:spid="_x0000_s1026" style="position:absolute;z-index:9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1pt" to="141.7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" strokecolor="#231f20" strokeweight=".5pt">
                <w10:wrap type="topAndBottom" anchorx="page"/>
              </v:line>
            </w:pict>
          </mc:Fallback>
        </mc:AlternateContent>
      </w:r>
    </w:p>
    <w:p w14:paraId="197E4FDF" w14:textId="77777777" w:rsidR="00DE575E" w:rsidRDefault="002E7560">
      <w:pPr>
        <w:spacing w:line="162" w:lineRule="exact"/>
        <w:ind w:left="533"/>
        <w:rPr>
          <w:sz w:val="16"/>
        </w:rPr>
      </w:pPr>
      <w:r>
        <w:rPr>
          <w:color w:val="231F20"/>
          <w:position w:val="5"/>
          <w:sz w:val="9"/>
        </w:rPr>
        <w:t xml:space="preserve">1 </w:t>
      </w:r>
      <w:r>
        <w:rPr>
          <w:color w:val="231F20"/>
          <w:sz w:val="16"/>
        </w:rPr>
        <w:t>Мельник Р. Зазнач. праця.</w:t>
      </w:r>
    </w:p>
    <w:p w14:paraId="1DCAE173" w14:textId="77777777" w:rsidR="00DE575E" w:rsidRDefault="002E7560">
      <w:pPr>
        <w:spacing w:before="23" w:line="204" w:lineRule="auto"/>
        <w:ind w:left="533"/>
        <w:rPr>
          <w:sz w:val="16"/>
        </w:rPr>
      </w:pPr>
      <w:r>
        <w:rPr>
          <w:color w:val="231F20"/>
          <w:position w:val="5"/>
          <w:sz w:val="9"/>
        </w:rPr>
        <w:t xml:space="preserve">2 </w:t>
      </w:r>
      <w:r>
        <w:rPr>
          <w:color w:val="231F20"/>
          <w:sz w:val="16"/>
        </w:rPr>
        <w:t xml:space="preserve">Стефанюк В. Адміністративний договір: необхідність впровадження </w:t>
      </w:r>
      <w:hyperlink r:id="rId35">
        <w:r>
          <w:rPr>
            <w:color w:val="231F20"/>
            <w:sz w:val="16"/>
          </w:rPr>
          <w:t>http://www.</w:t>
        </w:r>
      </w:hyperlink>
      <w:r>
        <w:rPr>
          <w:color w:val="231F20"/>
          <w:sz w:val="16"/>
        </w:rPr>
        <w:t xml:space="preserve"> scourt.gov.ua/clients/vs.nsf/0/F7E34709A45B0513C3256FBA00345</w:t>
      </w:r>
    </w:p>
    <w:p w14:paraId="0B37BE8A" w14:textId="77777777" w:rsidR="00DE575E" w:rsidRDefault="00DE575E">
      <w:pPr>
        <w:pStyle w:val="BodyText"/>
        <w:spacing w:before="5"/>
        <w:rPr>
          <w:sz w:val="12"/>
        </w:rPr>
      </w:pPr>
    </w:p>
    <w:p w14:paraId="74956BBA" w14:textId="77777777" w:rsidR="00DE575E" w:rsidRDefault="002E7560">
      <w:pPr>
        <w:spacing w:before="92"/>
        <w:ind w:left="533"/>
        <w:rPr>
          <w:rFonts w:ascii="Times New Roman"/>
          <w:sz w:val="20"/>
        </w:rPr>
      </w:pPr>
      <w:r>
        <w:rPr>
          <w:rFonts w:ascii="Times New Roman"/>
          <w:color w:val="231F20"/>
          <w:sz w:val="20"/>
        </w:rPr>
        <w:t>234</w:t>
      </w:r>
    </w:p>
    <w:p w14:paraId="2352B63C" w14:textId="77777777" w:rsidR="00DE575E" w:rsidRDefault="00DE575E">
      <w:pPr>
        <w:rPr>
          <w:rFonts w:ascii="Times New Roman"/>
          <w:sz w:val="20"/>
        </w:rPr>
        <w:sectPr w:rsidR="00DE575E">
          <w:pgSz w:w="8510" w:h="12760"/>
          <w:pgMar w:top="660" w:right="720" w:bottom="280" w:left="600" w:header="720" w:footer="720" w:gutter="0"/>
          <w:cols w:space="720"/>
        </w:sectPr>
      </w:pPr>
    </w:p>
    <w:p w14:paraId="3725D26C"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w:t>
      </w:r>
      <w:r>
        <w:rPr>
          <w:rFonts w:ascii="AdonisC" w:hAnsi="AdonisC"/>
          <w:i/>
          <w:color w:val="231F20"/>
          <w:sz w:val="18"/>
        </w:rPr>
        <w:t>ого адміністрування</w:t>
      </w:r>
    </w:p>
    <w:p w14:paraId="41063CAC" w14:textId="332661B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C64A00D" wp14:editId="324C4601">
                <wp:extent cx="4140200" cy="6350"/>
                <wp:effectExtent l="0" t="0" r="12700" b="6350"/>
                <wp:docPr id="819"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20" name="Line 81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B126EF" id="Group_x0020_81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gFun8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jIBbp/AgAAmAUAAA4A&#10;AAAAAAAAAAAAAAAALAIAAGRycy9lMm9Eb2MueG1sUEsBAi0AFAAGAAgAAAAhAEynsJDZAAAAAwEA&#10;AA8AAAAAAAAAAAAAAAAA1wQAAGRycy9kb3ducmV2LnhtbFBLBQYAAAAABAAEAPMAAADdBQAAAAA=&#10;">
                <v:line id="Line_x0020_81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5Du8IAAADcAAAADwAAAGRycy9kb3ducmV2LnhtbERPy4rCMBTdC/MP4Q7MRjRVQaQaRQYG&#10;ZBa+6gdcm2tbTG5qE231681iYJaH816sOmvEgxpfOVYwGiYgiHOnKy4UnLKfwQyED8gajWNS8CQP&#10;q+VHb4Gpdi0f6HEMhYgh7FNUUIZQp1L6vCSLfuhq4shdXGMxRNgUUjfYxnBr5DhJptJixbGhxJq+&#10;S8qvx7tVkN36wex3v6bNdueJPN+2k9d9q9TXZ7eegwjUhX/xn3ujFczGcX48E4+AXL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M5Du8IAAADcAAAADwAAAAAAAAAAAAAA&#10;AAChAgAAZHJzL2Rvd25yZXYueG1sUEsFBgAAAAAEAAQA+QAAAJADAAAAAA==&#10;" strokecolor="#231f20" strokeweight=".5pt"/>
                <w10:anchorlock/>
              </v:group>
            </w:pict>
          </mc:Fallback>
        </mc:AlternateContent>
      </w:r>
    </w:p>
    <w:p w14:paraId="2752583F" w14:textId="77777777" w:rsidR="00DE575E" w:rsidRDefault="00DE575E">
      <w:pPr>
        <w:pStyle w:val="BodyText"/>
        <w:spacing w:before="3"/>
        <w:rPr>
          <w:rFonts w:ascii="AdonisC"/>
          <w:i/>
          <w:sz w:val="12"/>
        </w:rPr>
      </w:pPr>
    </w:p>
    <w:p w14:paraId="1D10207C" w14:textId="77777777" w:rsidR="00DE575E" w:rsidRDefault="002E7560">
      <w:pPr>
        <w:pStyle w:val="ListParagraph"/>
        <w:numPr>
          <w:ilvl w:val="0"/>
          <w:numId w:val="186"/>
        </w:numPr>
        <w:tabs>
          <w:tab w:val="left" w:pos="818"/>
        </w:tabs>
        <w:spacing w:before="100" w:line="259" w:lineRule="auto"/>
        <w:ind w:right="408" w:firstLine="283"/>
        <w:jc w:val="both"/>
        <w:rPr>
          <w:sz w:val="21"/>
        </w:rPr>
      </w:pPr>
      <w:r>
        <w:rPr>
          <w:color w:val="231F20"/>
          <w:sz w:val="21"/>
        </w:rPr>
        <w:t>договори обміну зобов’язаннями, відповідно до  яких  суб’єкти права беруть на себе зустрічні зобов’язання, які об’єдну- ються в таких договорах із певною метою та слугують реалізації функцій суб’єкта публічної адміністр</w:t>
      </w:r>
      <w:r>
        <w:rPr>
          <w:color w:val="231F20"/>
          <w:sz w:val="21"/>
        </w:rPr>
        <w:t>ації щодо вирішення публіч- них завдань (</w:t>
      </w:r>
      <w:r>
        <w:rPr>
          <w:i/>
          <w:color w:val="231F20"/>
          <w:sz w:val="21"/>
        </w:rPr>
        <w:t>Меморандум порозуміння між Кабінетом Міністрів України та суб’єктами господарювання, які здійснюють виробни- цтво лікарських засобів, оптову та роздрібну торгівлю такими засобами, від 6.06.2012</w:t>
      </w:r>
      <w:r>
        <w:rPr>
          <w:i/>
          <w:color w:val="231F20"/>
          <w:spacing w:val="7"/>
          <w:sz w:val="21"/>
        </w:rPr>
        <w:t xml:space="preserve"> </w:t>
      </w:r>
      <w:r>
        <w:rPr>
          <w:i/>
          <w:color w:val="231F20"/>
          <w:sz w:val="21"/>
        </w:rPr>
        <w:t>р.</w:t>
      </w:r>
      <w:r>
        <w:rPr>
          <w:color w:val="231F20"/>
          <w:sz w:val="21"/>
        </w:rPr>
        <w:t>);</w:t>
      </w:r>
    </w:p>
    <w:p w14:paraId="0EBB0659" w14:textId="77777777" w:rsidR="00DE575E" w:rsidRDefault="002E7560">
      <w:pPr>
        <w:pStyle w:val="ListParagraph"/>
        <w:numPr>
          <w:ilvl w:val="0"/>
          <w:numId w:val="186"/>
        </w:numPr>
        <w:tabs>
          <w:tab w:val="left" w:pos="818"/>
        </w:tabs>
        <w:spacing w:before="0" w:line="259" w:lineRule="auto"/>
        <w:ind w:right="412" w:firstLine="283"/>
        <w:jc w:val="both"/>
        <w:rPr>
          <w:sz w:val="21"/>
        </w:rPr>
      </w:pPr>
      <w:r>
        <w:rPr>
          <w:color w:val="231F20"/>
          <w:sz w:val="21"/>
        </w:rPr>
        <w:t>договори про спі</w:t>
      </w:r>
      <w:r>
        <w:rPr>
          <w:color w:val="231F20"/>
          <w:sz w:val="21"/>
        </w:rPr>
        <w:t xml:space="preserve">впрацю, що укладаються між </w:t>
      </w:r>
      <w:r>
        <w:rPr>
          <w:color w:val="231F20"/>
          <w:spacing w:val="-3"/>
          <w:sz w:val="21"/>
        </w:rPr>
        <w:t xml:space="preserve">суб’єктами </w:t>
      </w:r>
      <w:r>
        <w:rPr>
          <w:color w:val="231F20"/>
          <w:sz w:val="21"/>
        </w:rPr>
        <w:t>права з метою участі приватних осіб у реалізації публічних функцій (завдань)</w:t>
      </w:r>
      <w:r>
        <w:rPr>
          <w:color w:val="231F20"/>
          <w:position w:val="7"/>
          <w:sz w:val="12"/>
        </w:rPr>
        <w:t>1</w:t>
      </w:r>
      <w:r>
        <w:rPr>
          <w:color w:val="231F20"/>
          <w:sz w:val="21"/>
        </w:rPr>
        <w:t>.</w:t>
      </w:r>
    </w:p>
    <w:p w14:paraId="37EF3AE1" w14:textId="77777777" w:rsidR="00DE575E" w:rsidRDefault="002E7560">
      <w:pPr>
        <w:spacing w:before="88" w:line="252" w:lineRule="auto"/>
        <w:ind w:left="533" w:right="409" w:firstLine="283"/>
        <w:jc w:val="both"/>
        <w:rPr>
          <w:i/>
          <w:sz w:val="18"/>
        </w:rPr>
      </w:pPr>
      <w:r>
        <w:rPr>
          <w:i/>
          <w:color w:val="231F20"/>
          <w:sz w:val="18"/>
          <w:u w:val="single" w:color="231F20"/>
        </w:rPr>
        <w:t>Приклад</w:t>
      </w:r>
      <w:r>
        <w:rPr>
          <w:i/>
          <w:color w:val="231F20"/>
          <w:sz w:val="18"/>
        </w:rPr>
        <w:t>: договори про співробітництво територіальних громад, проце- дуру укладання яких визначено Законом України «Про співробітництво тери</w:t>
      </w:r>
      <w:r>
        <w:rPr>
          <w:i/>
          <w:color w:val="231F20"/>
          <w:sz w:val="18"/>
        </w:rPr>
        <w:t>торіальних громад» від 17.06.2014 № 1508-VII, окремі договори у сфері державно-приватного партнерства, процедура укладання яких визначена Законом України «Про державно-приватне партнерство» від 01.07.2010</w:t>
      </w:r>
    </w:p>
    <w:p w14:paraId="6FB2AC91" w14:textId="77777777" w:rsidR="00DE575E" w:rsidRDefault="002E7560">
      <w:pPr>
        <w:spacing w:before="2"/>
        <w:ind w:left="533"/>
        <w:rPr>
          <w:i/>
          <w:sz w:val="18"/>
        </w:rPr>
      </w:pPr>
      <w:r>
        <w:rPr>
          <w:i/>
          <w:color w:val="231F20"/>
          <w:sz w:val="18"/>
        </w:rPr>
        <w:t>№ 2404-VI.</w:t>
      </w:r>
    </w:p>
    <w:p w14:paraId="349326EB" w14:textId="77777777" w:rsidR="00DE575E" w:rsidRDefault="00DE575E">
      <w:pPr>
        <w:pStyle w:val="BodyText"/>
        <w:rPr>
          <w:i/>
          <w:sz w:val="20"/>
        </w:rPr>
      </w:pPr>
    </w:p>
    <w:p w14:paraId="0C48E31C" w14:textId="77777777" w:rsidR="00DE575E" w:rsidRDefault="002E7560">
      <w:pPr>
        <w:pStyle w:val="Heading5"/>
        <w:numPr>
          <w:ilvl w:val="2"/>
          <w:numId w:val="189"/>
        </w:numPr>
        <w:tabs>
          <w:tab w:val="left" w:pos="1099"/>
        </w:tabs>
        <w:spacing w:before="168"/>
        <w:rPr>
          <w:b w:val="0"/>
          <w:i/>
          <w:sz w:val="12"/>
        </w:rPr>
      </w:pPr>
      <w:r>
        <w:rPr>
          <w:color w:val="231F20"/>
          <w:spacing w:val="-4"/>
        </w:rPr>
        <w:t xml:space="preserve">Укладання </w:t>
      </w:r>
      <w:r>
        <w:rPr>
          <w:color w:val="231F20"/>
        </w:rPr>
        <w:t>адміністративних</w:t>
      </w:r>
      <w:r>
        <w:rPr>
          <w:color w:val="231F20"/>
        </w:rPr>
        <w:t xml:space="preserve"> </w:t>
      </w:r>
      <w:r>
        <w:rPr>
          <w:color w:val="231F20"/>
        </w:rPr>
        <w:t>договорів</w:t>
      </w:r>
      <w:r>
        <w:rPr>
          <w:b w:val="0"/>
          <w:i/>
          <w:color w:val="231F20"/>
          <w:position w:val="7"/>
          <w:sz w:val="12"/>
        </w:rPr>
        <w:t>2</w:t>
      </w:r>
    </w:p>
    <w:p w14:paraId="633D6590" w14:textId="77777777" w:rsidR="00DE575E" w:rsidRDefault="00DE575E">
      <w:pPr>
        <w:pStyle w:val="BodyText"/>
        <w:spacing w:before="2"/>
        <w:rPr>
          <w:i/>
          <w:sz w:val="24"/>
        </w:rPr>
      </w:pPr>
    </w:p>
    <w:p w14:paraId="456E2E96" w14:textId="77777777" w:rsidR="00DE575E" w:rsidRDefault="002E7560">
      <w:pPr>
        <w:pStyle w:val="BodyText"/>
        <w:spacing w:line="259" w:lineRule="auto"/>
        <w:ind w:left="250" w:right="410" w:firstLine="283"/>
        <w:jc w:val="both"/>
      </w:pPr>
      <w:r>
        <w:rPr>
          <w:color w:val="231F20"/>
        </w:rPr>
        <w:t>Сучасний</w:t>
      </w:r>
      <w:r>
        <w:rPr>
          <w:color w:val="231F20"/>
          <w:spacing w:val="-16"/>
        </w:rPr>
        <w:t xml:space="preserve"> </w:t>
      </w:r>
      <w:r>
        <w:rPr>
          <w:color w:val="231F20"/>
        </w:rPr>
        <w:t>розвиток</w:t>
      </w:r>
      <w:r>
        <w:rPr>
          <w:color w:val="231F20"/>
          <w:spacing w:val="-16"/>
        </w:rPr>
        <w:t xml:space="preserve"> </w:t>
      </w:r>
      <w:r>
        <w:rPr>
          <w:color w:val="231F20"/>
        </w:rPr>
        <w:t>суспільних</w:t>
      </w:r>
      <w:r>
        <w:rPr>
          <w:color w:val="231F20"/>
          <w:spacing w:val="-16"/>
        </w:rPr>
        <w:t xml:space="preserve"> </w:t>
      </w:r>
      <w:r>
        <w:rPr>
          <w:color w:val="231F20"/>
        </w:rPr>
        <w:t>відносин</w:t>
      </w:r>
      <w:r>
        <w:rPr>
          <w:color w:val="231F20"/>
          <w:spacing w:val="-16"/>
        </w:rPr>
        <w:t xml:space="preserve"> </w:t>
      </w:r>
      <w:r>
        <w:rPr>
          <w:color w:val="231F20"/>
        </w:rPr>
        <w:t>передбачає</w:t>
      </w:r>
      <w:r>
        <w:rPr>
          <w:color w:val="231F20"/>
          <w:spacing w:val="-16"/>
        </w:rPr>
        <w:t xml:space="preserve"> </w:t>
      </w:r>
      <w:r>
        <w:rPr>
          <w:color w:val="231F20"/>
        </w:rPr>
        <w:t>суттєву</w:t>
      </w:r>
      <w:r>
        <w:rPr>
          <w:color w:val="231F20"/>
          <w:spacing w:val="-16"/>
        </w:rPr>
        <w:t xml:space="preserve"> </w:t>
      </w:r>
      <w:r>
        <w:rPr>
          <w:color w:val="231F20"/>
        </w:rPr>
        <w:t>зміну правовідносин між публічною адміністрацією – органами вико- навчої влади і місцевого самоврядування (органами і посадовими особами) – та громадянами, що покладає як забезпечення балансу публічн</w:t>
      </w:r>
      <w:r>
        <w:rPr>
          <w:color w:val="231F20"/>
        </w:rPr>
        <w:t xml:space="preserve">их та приватних інтересів, так і гармонійних взаємозв’яз- ків між вказаними </w:t>
      </w:r>
      <w:r>
        <w:rPr>
          <w:color w:val="231F20"/>
          <w:spacing w:val="-3"/>
        </w:rPr>
        <w:t xml:space="preserve">суб’єктами. </w:t>
      </w:r>
      <w:r>
        <w:rPr>
          <w:color w:val="231F20"/>
        </w:rPr>
        <w:t>Цей практичний процес реалізації завдань і функцій діяльності публічної адміністрації знаходить свій юридичний вияв у відповідних</w:t>
      </w:r>
      <w:r>
        <w:rPr>
          <w:color w:val="231F20"/>
          <w:spacing w:val="-5"/>
        </w:rPr>
        <w:t xml:space="preserve"> </w:t>
      </w:r>
      <w:r>
        <w:rPr>
          <w:color w:val="231F20"/>
        </w:rPr>
        <w:t>формах.</w:t>
      </w:r>
    </w:p>
    <w:p w14:paraId="2EFE1233" w14:textId="77777777" w:rsidR="00DE575E" w:rsidRDefault="002E7560">
      <w:pPr>
        <w:pStyle w:val="BodyText"/>
        <w:spacing w:line="259" w:lineRule="auto"/>
        <w:ind w:left="250" w:right="410" w:firstLine="283"/>
        <w:jc w:val="both"/>
      </w:pPr>
      <w:r>
        <w:rPr>
          <w:color w:val="231F20"/>
        </w:rPr>
        <w:t>Однією  із  правових  форм  ді</w:t>
      </w:r>
      <w:r>
        <w:rPr>
          <w:color w:val="231F20"/>
        </w:rPr>
        <w:t xml:space="preserve">яльності  публічної  адміністрації    є </w:t>
      </w:r>
      <w:r>
        <w:rPr>
          <w:i/>
          <w:color w:val="231F20"/>
        </w:rPr>
        <w:t>укладання адміністративних договорів</w:t>
      </w:r>
      <w:r>
        <w:rPr>
          <w:color w:val="231F20"/>
        </w:rPr>
        <w:t xml:space="preserve">, зміст яких складають права та обов’язки сторін, що випливають із владних управлінських функцій </w:t>
      </w:r>
      <w:r>
        <w:rPr>
          <w:color w:val="231F20"/>
          <w:spacing w:val="-3"/>
        </w:rPr>
        <w:t xml:space="preserve">суб’єкта </w:t>
      </w:r>
      <w:r>
        <w:rPr>
          <w:color w:val="231F20"/>
        </w:rPr>
        <w:t>публічної адміністрації. особливістю адміністра- тивного договору є те, що</w:t>
      </w:r>
      <w:r>
        <w:rPr>
          <w:color w:val="231F20"/>
        </w:rPr>
        <w:t xml:space="preserve"> йому не властиві повною мірою засади вільного волевиявлення, свободи </w:t>
      </w:r>
      <w:r>
        <w:rPr>
          <w:color w:val="231F20"/>
          <w:spacing w:val="-3"/>
        </w:rPr>
        <w:t xml:space="preserve">договору, </w:t>
      </w:r>
      <w:r>
        <w:rPr>
          <w:color w:val="231F20"/>
        </w:rPr>
        <w:t xml:space="preserve">звичаїв ділового </w:t>
      </w:r>
      <w:r>
        <w:rPr>
          <w:color w:val="231F20"/>
          <w:spacing w:val="-3"/>
        </w:rPr>
        <w:t xml:space="preserve">обігу, </w:t>
      </w:r>
      <w:r>
        <w:rPr>
          <w:color w:val="231F20"/>
        </w:rPr>
        <w:t xml:space="preserve">юридичної рівності сторін </w:t>
      </w:r>
      <w:r>
        <w:rPr>
          <w:color w:val="231F20"/>
          <w:spacing w:val="-3"/>
        </w:rPr>
        <w:t xml:space="preserve">договору, </w:t>
      </w:r>
      <w:r>
        <w:rPr>
          <w:color w:val="231F20"/>
        </w:rPr>
        <w:t>що є характерними рисами для регулювання цивільних</w:t>
      </w:r>
      <w:r>
        <w:rPr>
          <w:color w:val="231F20"/>
          <w:spacing w:val="-2"/>
        </w:rPr>
        <w:t xml:space="preserve"> </w:t>
      </w:r>
      <w:r>
        <w:rPr>
          <w:color w:val="231F20"/>
        </w:rPr>
        <w:t>договорів.</w:t>
      </w:r>
    </w:p>
    <w:p w14:paraId="640D02F8" w14:textId="6C334243" w:rsidR="00DE575E" w:rsidRDefault="002E7560">
      <w:pPr>
        <w:pStyle w:val="BodyText"/>
        <w:spacing w:before="6"/>
        <w:rPr>
          <w:sz w:val="13"/>
        </w:rPr>
      </w:pPr>
      <w:r>
        <w:rPr>
          <w:noProof/>
        </w:rPr>
        <mc:AlternateContent>
          <mc:Choice Requires="wps">
            <w:drawing>
              <wp:anchor distT="0" distB="0" distL="0" distR="0" simplePos="0" relativeHeight="9544" behindDoc="0" locked="0" layoutInCell="1" allowOverlap="1" wp14:anchorId="1288348E" wp14:editId="0354EDCB">
                <wp:simplePos x="0" y="0"/>
                <wp:positionH relativeFrom="page">
                  <wp:posOffset>539750</wp:posOffset>
                </wp:positionH>
                <wp:positionV relativeFrom="paragraph">
                  <wp:posOffset>128270</wp:posOffset>
                </wp:positionV>
                <wp:extent cx="1080135" cy="0"/>
                <wp:effectExtent l="6350" t="13970" r="31115" b="24130"/>
                <wp:wrapTopAndBottom/>
                <wp:docPr id="818"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604B" id="Line_x0020_817" o:spid="_x0000_s1026" style="position:absolute;z-index:9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1pt" to="127.5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" strokecolor="#231f20" strokeweight=".5pt">
                <w10:wrap type="topAndBottom" anchorx="page"/>
              </v:line>
            </w:pict>
          </mc:Fallback>
        </mc:AlternateContent>
      </w:r>
    </w:p>
    <w:p w14:paraId="6237D921" w14:textId="77777777" w:rsidR="00DE575E" w:rsidRDefault="002E7560">
      <w:pPr>
        <w:spacing w:line="162" w:lineRule="exact"/>
        <w:ind w:left="250"/>
        <w:rPr>
          <w:sz w:val="16"/>
        </w:rPr>
      </w:pPr>
      <w:r>
        <w:rPr>
          <w:color w:val="231F20"/>
          <w:position w:val="5"/>
          <w:sz w:val="9"/>
        </w:rPr>
        <w:t xml:space="preserve">1 </w:t>
      </w:r>
      <w:r>
        <w:rPr>
          <w:color w:val="231F20"/>
          <w:sz w:val="16"/>
        </w:rPr>
        <w:t>Мельник Р. Зазнач. праця.</w:t>
      </w:r>
    </w:p>
    <w:p w14:paraId="1391BC8E" w14:textId="77777777" w:rsidR="00DE575E" w:rsidRDefault="002E7560">
      <w:pPr>
        <w:ind w:left="250"/>
        <w:rPr>
          <w:b/>
          <w:sz w:val="16"/>
        </w:rPr>
      </w:pPr>
      <w:r>
        <w:rPr>
          <w:color w:val="231F20"/>
          <w:position w:val="5"/>
          <w:sz w:val="9"/>
        </w:rPr>
        <w:t xml:space="preserve">2 </w:t>
      </w:r>
      <w:r>
        <w:rPr>
          <w:color w:val="231F20"/>
          <w:sz w:val="16"/>
        </w:rPr>
        <w:t xml:space="preserve">Автор: </w:t>
      </w:r>
      <w:r>
        <w:rPr>
          <w:b/>
          <w:color w:val="231F20"/>
          <w:sz w:val="16"/>
        </w:rPr>
        <w:t>Олександр Світл</w:t>
      </w:r>
      <w:r>
        <w:rPr>
          <w:b/>
          <w:color w:val="231F20"/>
          <w:sz w:val="16"/>
        </w:rPr>
        <w:t>ичний.</w:t>
      </w:r>
    </w:p>
    <w:p w14:paraId="58FB46D6" w14:textId="77777777" w:rsidR="00DE575E" w:rsidRDefault="00DE575E">
      <w:pPr>
        <w:pStyle w:val="BodyText"/>
        <w:spacing w:before="11"/>
        <w:rPr>
          <w:b/>
          <w:sz w:val="11"/>
        </w:rPr>
      </w:pPr>
    </w:p>
    <w:p w14:paraId="3AD962DF" w14:textId="77777777" w:rsidR="00DE575E" w:rsidRDefault="002E7560">
      <w:pPr>
        <w:spacing w:before="92"/>
        <w:ind w:right="411"/>
        <w:jc w:val="right"/>
        <w:rPr>
          <w:rFonts w:ascii="Times New Roman"/>
          <w:sz w:val="20"/>
        </w:rPr>
      </w:pPr>
      <w:r>
        <w:rPr>
          <w:rFonts w:ascii="Times New Roman"/>
          <w:color w:val="231F20"/>
          <w:w w:val="90"/>
          <w:sz w:val="20"/>
        </w:rPr>
        <w:t>235</w:t>
      </w:r>
    </w:p>
    <w:p w14:paraId="40B2EAC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AE52E4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52E3CA8" w14:textId="4DDB4B7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E54DEB1" wp14:editId="1C0A2FDF">
                <wp:extent cx="4140200" cy="6350"/>
                <wp:effectExtent l="0" t="0" r="12700" b="6350"/>
                <wp:docPr id="816"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17" name="Line 81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C44A5" id="Group_x0020_81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2Kn65/AgAAmAUAAA4A&#10;AAAAAAAAAAAAAAAALAIAAGRycy9lMm9Eb2MueG1sUEsBAi0AFAAGAAgAAAAhAEynsJDZAAAAAwEA&#10;AA8AAAAAAAAAAAAAAAAA1wQAAGRycy9kb3ducmV2LnhtbFBLBQYAAAAABAAEAPMAAADdBQAAAAA=&#10;">
                <v:line id="Line_x0020_81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sRcsYAAADcAAAADwAAAGRycy9kb3ducmV2LnhtbESP0WrCQBRE3wv+w3IFX4purNBKdBUp&#10;FIoP2ho/4Jq9JsHduzG7mujXu0Khj8PMnGHmy84acaXGV44VjEcJCOLc6YoLBfvsazgF4QOyRuOY&#10;FNzIw3LRe5ljql3Lv3TdhUJECPsUFZQh1KmUPi/Joh+5mjh6R9dYDFE2hdQNthFujXxLkndpseK4&#10;UGJNnyXlp93FKsjOr8H8bNemzbaHiTycN5P7ZaPUoN+tZiACdeE//Nf+1gqm4w94nolHQC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1LEXLGAAAA3AAAAA8AAAAAAAAA&#10;AAAAAAAAoQIAAGRycy9kb3ducmV2LnhtbFBLBQYAAAAABAAEAPkAAACUAwAAAAA=&#10;" strokecolor="#231f20" strokeweight=".5pt"/>
                <w10:anchorlock/>
              </v:group>
            </w:pict>
          </mc:Fallback>
        </mc:AlternateContent>
      </w:r>
    </w:p>
    <w:p w14:paraId="49D9B619" w14:textId="77777777" w:rsidR="00DE575E" w:rsidRDefault="00DE575E">
      <w:pPr>
        <w:pStyle w:val="BodyText"/>
        <w:spacing w:before="7"/>
        <w:rPr>
          <w:rFonts w:ascii="AdonisC"/>
          <w:i/>
          <w:sz w:val="11"/>
        </w:rPr>
      </w:pPr>
    </w:p>
    <w:p w14:paraId="402BB858" w14:textId="77777777" w:rsidR="00DE575E" w:rsidRDefault="002E7560">
      <w:pPr>
        <w:pStyle w:val="BodyText"/>
        <w:spacing w:before="101" w:line="254" w:lineRule="auto"/>
        <w:ind w:left="533" w:right="126" w:firstLine="283"/>
        <w:jc w:val="both"/>
      </w:pPr>
      <w:r>
        <w:rPr>
          <w:color w:val="231F20"/>
        </w:rPr>
        <w:t>Варто пам’ятати, що при укладанні адміністративного договору громадянин (юридична особа) обмежений самостійно обирати певний варіант договірних прав і обов’язків, ніж при укладанні цивільних договорів, що зумовлено як ю</w:t>
      </w:r>
      <w:r>
        <w:rPr>
          <w:color w:val="231F20"/>
        </w:rPr>
        <w:t xml:space="preserve">ридичною природою адмі- ністративного договору, який є правовим актом застосування норм права, унаслідок чого реалізується компетенція публічної адмі- ністрації, так й імперативним характером адміністративно-право- вих норм, проте й публічна адміністрація </w:t>
      </w:r>
      <w:r>
        <w:rPr>
          <w:color w:val="231F20"/>
        </w:rPr>
        <w:t>теж обмежена свободою укладання договору, однак на відміну від громадянина, вона зале- жить від визначених нормативно-правовими актами повноважень суб’єкта публічної адміністрації.</w:t>
      </w:r>
    </w:p>
    <w:p w14:paraId="684BEAF2" w14:textId="77777777" w:rsidR="00DE575E" w:rsidRDefault="002E7560">
      <w:pPr>
        <w:pStyle w:val="BodyText"/>
        <w:spacing w:line="254" w:lineRule="auto"/>
        <w:ind w:left="533" w:right="127" w:firstLine="283"/>
        <w:jc w:val="both"/>
      </w:pPr>
      <w:r>
        <w:rPr>
          <w:color w:val="231F20"/>
        </w:rPr>
        <w:t>Адміністративний договір є основною правовою формою, що опосередковує виникнення прав  і  обов’язків  його  учасників,  він  є домовленістю двох або більше його учасників</w:t>
      </w:r>
      <w:r>
        <w:rPr>
          <w:color w:val="231F20"/>
          <w:spacing w:val="-12"/>
        </w:rPr>
        <w:t xml:space="preserve"> </w:t>
      </w:r>
      <w:r>
        <w:rPr>
          <w:color w:val="231F20"/>
        </w:rPr>
        <w:t>(сторін).</w:t>
      </w:r>
    </w:p>
    <w:p w14:paraId="43814418" w14:textId="77777777" w:rsidR="00DE575E" w:rsidRDefault="002E7560">
      <w:pPr>
        <w:pStyle w:val="BodyText"/>
        <w:spacing w:line="254" w:lineRule="auto"/>
        <w:ind w:left="533" w:right="128" w:firstLine="283"/>
        <w:jc w:val="both"/>
      </w:pPr>
      <w:r>
        <w:rPr>
          <w:color w:val="231F20"/>
        </w:rPr>
        <w:t xml:space="preserve">Правове регламентування укладення адміністративного дого- вору передбачено </w:t>
      </w:r>
      <w:r>
        <w:rPr>
          <w:color w:val="231F20"/>
        </w:rPr>
        <w:t>адміністративно-правовими нормами, якими визначено повноваження суб’єкта публічної адміністрації, який має право реалізувати надані йому управлінські повноваження у формі адміністративного договору.</w:t>
      </w:r>
    </w:p>
    <w:p w14:paraId="511E2210" w14:textId="77777777" w:rsidR="00DE575E" w:rsidRDefault="002E7560">
      <w:pPr>
        <w:spacing w:before="90" w:line="230" w:lineRule="auto"/>
        <w:ind w:left="817" w:right="128" w:firstLine="283"/>
        <w:jc w:val="both"/>
        <w:rPr>
          <w:i/>
          <w:sz w:val="18"/>
        </w:rPr>
      </w:pPr>
      <w:r>
        <w:rPr>
          <w:i/>
          <w:color w:val="231F20"/>
          <w:sz w:val="18"/>
          <w:u w:val="single" w:color="231F20"/>
        </w:rPr>
        <w:t>Приклад</w:t>
      </w:r>
      <w:r>
        <w:rPr>
          <w:i/>
          <w:color w:val="231F20"/>
          <w:sz w:val="18"/>
        </w:rPr>
        <w:t>:</w:t>
      </w:r>
      <w:r>
        <w:rPr>
          <w:i/>
          <w:color w:val="231F20"/>
          <w:spacing w:val="-10"/>
          <w:sz w:val="18"/>
        </w:rPr>
        <w:t xml:space="preserve"> </w:t>
      </w:r>
      <w:r>
        <w:rPr>
          <w:i/>
          <w:color w:val="231F20"/>
          <w:sz w:val="18"/>
        </w:rPr>
        <w:t>відповідно</w:t>
      </w:r>
      <w:r>
        <w:rPr>
          <w:i/>
          <w:color w:val="231F20"/>
          <w:spacing w:val="-9"/>
          <w:sz w:val="18"/>
        </w:rPr>
        <w:t xml:space="preserve"> </w:t>
      </w:r>
      <w:r>
        <w:rPr>
          <w:i/>
          <w:color w:val="231F20"/>
          <w:sz w:val="18"/>
        </w:rPr>
        <w:t>до</w:t>
      </w:r>
      <w:r>
        <w:rPr>
          <w:i/>
          <w:color w:val="231F20"/>
          <w:spacing w:val="-10"/>
          <w:sz w:val="18"/>
        </w:rPr>
        <w:t xml:space="preserve"> </w:t>
      </w:r>
      <w:r>
        <w:rPr>
          <w:i/>
          <w:color w:val="231F20"/>
          <w:sz w:val="18"/>
        </w:rPr>
        <w:t>Положення</w:t>
      </w:r>
      <w:r>
        <w:rPr>
          <w:i/>
          <w:color w:val="231F20"/>
          <w:spacing w:val="-9"/>
          <w:sz w:val="18"/>
        </w:rPr>
        <w:t xml:space="preserve"> </w:t>
      </w:r>
      <w:r>
        <w:rPr>
          <w:i/>
          <w:color w:val="231F20"/>
          <w:sz w:val="18"/>
        </w:rPr>
        <w:t>про</w:t>
      </w:r>
      <w:r>
        <w:rPr>
          <w:i/>
          <w:color w:val="231F20"/>
          <w:spacing w:val="-9"/>
          <w:sz w:val="18"/>
        </w:rPr>
        <w:t xml:space="preserve"> </w:t>
      </w:r>
      <w:r>
        <w:rPr>
          <w:i/>
          <w:color w:val="231F20"/>
          <w:sz w:val="18"/>
        </w:rPr>
        <w:t>Міністерство</w:t>
      </w:r>
      <w:r>
        <w:rPr>
          <w:i/>
          <w:color w:val="231F20"/>
          <w:spacing w:val="-9"/>
          <w:sz w:val="18"/>
        </w:rPr>
        <w:t xml:space="preserve"> </w:t>
      </w:r>
      <w:r>
        <w:rPr>
          <w:i/>
          <w:color w:val="231F20"/>
          <w:sz w:val="18"/>
        </w:rPr>
        <w:t>розвитк</w:t>
      </w:r>
      <w:r>
        <w:rPr>
          <w:i/>
          <w:color w:val="231F20"/>
          <w:sz w:val="18"/>
        </w:rPr>
        <w:t>у</w:t>
      </w:r>
      <w:r>
        <w:rPr>
          <w:i/>
          <w:color w:val="231F20"/>
          <w:spacing w:val="-10"/>
          <w:sz w:val="18"/>
        </w:rPr>
        <w:t xml:space="preserve"> </w:t>
      </w:r>
      <w:r>
        <w:rPr>
          <w:i/>
          <w:color w:val="231F20"/>
          <w:sz w:val="18"/>
        </w:rPr>
        <w:t>економіки, торгівлі та сільського господарства, затвердженого постановою Кабінету Міністрів</w:t>
      </w:r>
      <w:r>
        <w:rPr>
          <w:i/>
          <w:color w:val="231F20"/>
          <w:spacing w:val="-5"/>
          <w:sz w:val="18"/>
        </w:rPr>
        <w:t xml:space="preserve"> </w:t>
      </w:r>
      <w:r>
        <w:rPr>
          <w:i/>
          <w:color w:val="231F20"/>
          <w:sz w:val="18"/>
        </w:rPr>
        <w:t>України</w:t>
      </w:r>
      <w:r>
        <w:rPr>
          <w:i/>
          <w:color w:val="231F20"/>
          <w:spacing w:val="-5"/>
          <w:sz w:val="18"/>
        </w:rPr>
        <w:t xml:space="preserve"> </w:t>
      </w:r>
      <w:r>
        <w:rPr>
          <w:i/>
          <w:color w:val="231F20"/>
          <w:sz w:val="18"/>
        </w:rPr>
        <w:t>від</w:t>
      </w:r>
      <w:r>
        <w:rPr>
          <w:i/>
          <w:color w:val="231F20"/>
          <w:spacing w:val="-5"/>
          <w:sz w:val="18"/>
        </w:rPr>
        <w:t xml:space="preserve"> </w:t>
      </w:r>
      <w:r>
        <w:rPr>
          <w:i/>
          <w:color w:val="231F20"/>
          <w:sz w:val="18"/>
        </w:rPr>
        <w:t>20</w:t>
      </w:r>
      <w:r>
        <w:rPr>
          <w:i/>
          <w:color w:val="231F20"/>
          <w:spacing w:val="-5"/>
          <w:sz w:val="18"/>
        </w:rPr>
        <w:t xml:space="preserve"> </w:t>
      </w:r>
      <w:r>
        <w:rPr>
          <w:i/>
          <w:color w:val="231F20"/>
          <w:sz w:val="18"/>
        </w:rPr>
        <w:t>серпня</w:t>
      </w:r>
      <w:r>
        <w:rPr>
          <w:i/>
          <w:color w:val="231F20"/>
          <w:spacing w:val="-5"/>
          <w:sz w:val="18"/>
        </w:rPr>
        <w:t xml:space="preserve"> </w:t>
      </w:r>
      <w:r>
        <w:rPr>
          <w:i/>
          <w:color w:val="231F20"/>
          <w:sz w:val="18"/>
        </w:rPr>
        <w:t>2014</w:t>
      </w:r>
      <w:r>
        <w:rPr>
          <w:i/>
          <w:color w:val="231F20"/>
          <w:spacing w:val="-8"/>
          <w:sz w:val="18"/>
        </w:rPr>
        <w:t xml:space="preserve"> </w:t>
      </w:r>
      <w:r>
        <w:rPr>
          <w:i/>
          <w:color w:val="231F20"/>
          <w:sz w:val="18"/>
        </w:rPr>
        <w:t>р.</w:t>
      </w:r>
      <w:r>
        <w:rPr>
          <w:i/>
          <w:color w:val="231F20"/>
          <w:spacing w:val="-5"/>
          <w:sz w:val="18"/>
        </w:rPr>
        <w:t xml:space="preserve"> </w:t>
      </w:r>
      <w:r>
        <w:rPr>
          <w:i/>
          <w:color w:val="231F20"/>
          <w:sz w:val="18"/>
        </w:rPr>
        <w:t>№</w:t>
      </w:r>
      <w:r>
        <w:rPr>
          <w:i/>
          <w:color w:val="231F20"/>
          <w:spacing w:val="-8"/>
          <w:sz w:val="18"/>
        </w:rPr>
        <w:t xml:space="preserve"> </w:t>
      </w:r>
      <w:r>
        <w:rPr>
          <w:i/>
          <w:color w:val="231F20"/>
          <w:sz w:val="18"/>
        </w:rPr>
        <w:t>459</w:t>
      </w:r>
      <w:r>
        <w:rPr>
          <w:i/>
          <w:color w:val="231F20"/>
          <w:spacing w:val="-5"/>
          <w:sz w:val="18"/>
        </w:rPr>
        <w:t xml:space="preserve"> </w:t>
      </w:r>
      <w:r>
        <w:rPr>
          <w:i/>
          <w:color w:val="231F20"/>
          <w:sz w:val="18"/>
        </w:rPr>
        <w:t>(в</w:t>
      </w:r>
      <w:r>
        <w:rPr>
          <w:i/>
          <w:color w:val="231F20"/>
          <w:spacing w:val="-5"/>
          <w:sz w:val="18"/>
        </w:rPr>
        <w:t xml:space="preserve"> </w:t>
      </w:r>
      <w:r>
        <w:rPr>
          <w:i/>
          <w:color w:val="231F20"/>
          <w:sz w:val="18"/>
        </w:rPr>
        <w:t>редакції</w:t>
      </w:r>
      <w:r>
        <w:rPr>
          <w:i/>
          <w:color w:val="231F20"/>
          <w:spacing w:val="-5"/>
          <w:sz w:val="18"/>
        </w:rPr>
        <w:t xml:space="preserve"> </w:t>
      </w:r>
      <w:r>
        <w:rPr>
          <w:i/>
          <w:color w:val="231F20"/>
          <w:sz w:val="18"/>
        </w:rPr>
        <w:t>постанови</w:t>
      </w:r>
      <w:r>
        <w:rPr>
          <w:i/>
          <w:color w:val="231F20"/>
          <w:spacing w:val="-5"/>
          <w:sz w:val="18"/>
        </w:rPr>
        <w:t xml:space="preserve"> </w:t>
      </w:r>
      <w:r>
        <w:rPr>
          <w:i/>
          <w:color w:val="231F20"/>
          <w:sz w:val="18"/>
        </w:rPr>
        <w:t>Кабінету Міністрів України від 11 вересня 2019 р. № 838), основними завданнями Міне- кономіки є: участь у формуванні та реалізації державної політики у сфері надання адміністративних послуг, зокрема воно надає адміністративні послуги у сфері інтелектуально</w:t>
      </w:r>
      <w:r>
        <w:rPr>
          <w:i/>
          <w:color w:val="231F20"/>
          <w:sz w:val="18"/>
        </w:rPr>
        <w:t>ї</w:t>
      </w:r>
      <w:r>
        <w:rPr>
          <w:i/>
          <w:color w:val="231F20"/>
          <w:spacing w:val="-5"/>
          <w:sz w:val="18"/>
        </w:rPr>
        <w:t xml:space="preserve"> </w:t>
      </w:r>
      <w:r>
        <w:rPr>
          <w:i/>
          <w:color w:val="231F20"/>
          <w:sz w:val="18"/>
        </w:rPr>
        <w:t>власності.</w:t>
      </w:r>
    </w:p>
    <w:p w14:paraId="0C0D9562" w14:textId="77777777" w:rsidR="00DE575E" w:rsidRDefault="002E7560">
      <w:pPr>
        <w:pStyle w:val="BodyText"/>
        <w:spacing w:before="133" w:line="254" w:lineRule="auto"/>
        <w:ind w:left="533" w:right="127" w:firstLine="283"/>
        <w:jc w:val="both"/>
      </w:pPr>
      <w:r>
        <w:rPr>
          <w:color w:val="231F20"/>
        </w:rPr>
        <w:t xml:space="preserve">Для укладання та виконання адміністративних договорів існує класичний порядок його укладення, визначений його межами, які встановлені Цивільним кодексом </w:t>
      </w:r>
      <w:r>
        <w:rPr>
          <w:color w:val="231F20"/>
          <w:spacing w:val="-3"/>
        </w:rPr>
        <w:t xml:space="preserve">України, </w:t>
      </w:r>
      <w:r>
        <w:rPr>
          <w:color w:val="231F20"/>
        </w:rPr>
        <w:t xml:space="preserve">а саме: загальні поло- ження про договір (зміст </w:t>
      </w:r>
      <w:r>
        <w:rPr>
          <w:color w:val="231F20"/>
          <w:spacing w:val="-3"/>
        </w:rPr>
        <w:t xml:space="preserve">договору, </w:t>
      </w:r>
      <w:r>
        <w:rPr>
          <w:color w:val="231F20"/>
        </w:rPr>
        <w:t xml:space="preserve">строк </w:t>
      </w:r>
      <w:r>
        <w:rPr>
          <w:color w:val="231F20"/>
          <w:spacing w:val="-3"/>
        </w:rPr>
        <w:t xml:space="preserve">договору, </w:t>
      </w:r>
      <w:r>
        <w:rPr>
          <w:color w:val="231F20"/>
        </w:rPr>
        <w:t xml:space="preserve">форма </w:t>
      </w:r>
      <w:r>
        <w:rPr>
          <w:color w:val="231F20"/>
          <w:spacing w:val="-3"/>
        </w:rPr>
        <w:t>д</w:t>
      </w:r>
      <w:r>
        <w:rPr>
          <w:color w:val="231F20"/>
          <w:spacing w:val="-3"/>
        </w:rPr>
        <w:t xml:space="preserve">оговору, </w:t>
      </w:r>
      <w:r>
        <w:rPr>
          <w:color w:val="231F20"/>
        </w:rPr>
        <w:t xml:space="preserve">момент укладання </w:t>
      </w:r>
      <w:r>
        <w:rPr>
          <w:color w:val="231F20"/>
          <w:spacing w:val="-3"/>
        </w:rPr>
        <w:t xml:space="preserve">договору, </w:t>
      </w:r>
      <w:r>
        <w:rPr>
          <w:color w:val="231F20"/>
        </w:rPr>
        <w:t xml:space="preserve">місце укладання </w:t>
      </w:r>
      <w:r>
        <w:rPr>
          <w:color w:val="231F20"/>
          <w:spacing w:val="-3"/>
        </w:rPr>
        <w:t xml:space="preserve">договору, </w:t>
      </w:r>
      <w:r>
        <w:rPr>
          <w:color w:val="231F20"/>
        </w:rPr>
        <w:t>правові наслідки невиконання умов договору).</w:t>
      </w:r>
    </w:p>
    <w:p w14:paraId="002894B7" w14:textId="77777777" w:rsidR="00DE575E" w:rsidRDefault="002E7560">
      <w:pPr>
        <w:pStyle w:val="BodyText"/>
        <w:spacing w:line="254" w:lineRule="auto"/>
        <w:ind w:left="533" w:right="128" w:firstLine="283"/>
        <w:jc w:val="both"/>
      </w:pPr>
      <w:r>
        <w:rPr>
          <w:color w:val="231F20"/>
        </w:rPr>
        <w:t>Перелік адміністративних договорів, якими надаються адмініст- ративні послуги, визначені суб’єктом публічної адміністрації відпо- відно до його повно</w:t>
      </w:r>
      <w:r>
        <w:rPr>
          <w:color w:val="231F20"/>
        </w:rPr>
        <w:t>важень та специфіки діяльності</w:t>
      </w:r>
      <w:r>
        <w:rPr>
          <w:color w:val="231F20"/>
          <w:position w:val="7"/>
          <w:sz w:val="12"/>
        </w:rPr>
        <w:t>1</w:t>
      </w:r>
      <w:r>
        <w:rPr>
          <w:color w:val="231F20"/>
        </w:rPr>
        <w:t>.</w:t>
      </w:r>
    </w:p>
    <w:p w14:paraId="2FDDE83A" w14:textId="039D2699" w:rsidR="00DE575E" w:rsidRDefault="002E7560">
      <w:pPr>
        <w:pStyle w:val="BodyText"/>
        <w:spacing w:before="2"/>
        <w:rPr>
          <w:sz w:val="15"/>
        </w:rPr>
      </w:pPr>
      <w:r>
        <w:rPr>
          <w:noProof/>
        </w:rPr>
        <mc:AlternateContent>
          <mc:Choice Requires="wps">
            <w:drawing>
              <wp:anchor distT="0" distB="0" distL="0" distR="0" simplePos="0" relativeHeight="9592" behindDoc="0" locked="0" layoutInCell="1" allowOverlap="1" wp14:anchorId="54B66EFB" wp14:editId="21C7A8A3">
                <wp:simplePos x="0" y="0"/>
                <wp:positionH relativeFrom="page">
                  <wp:posOffset>719455</wp:posOffset>
                </wp:positionH>
                <wp:positionV relativeFrom="paragraph">
                  <wp:posOffset>140970</wp:posOffset>
                </wp:positionV>
                <wp:extent cx="1080135" cy="0"/>
                <wp:effectExtent l="8255" t="13970" r="29210" b="24130"/>
                <wp:wrapTopAndBottom/>
                <wp:docPr id="815"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077E" id="Line_x0020_814" o:spid="_x0000_s1026" style="position:absolute;z-index:9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1pt" to="141.7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" strokecolor="#231f20" strokeweight=".5pt">
                <w10:wrap type="topAndBottom" anchorx="page"/>
              </v:line>
            </w:pict>
          </mc:Fallback>
        </mc:AlternateContent>
      </w:r>
    </w:p>
    <w:p w14:paraId="6F22D84E" w14:textId="77777777" w:rsidR="00DE575E" w:rsidRDefault="002E7560">
      <w:pPr>
        <w:spacing w:line="192" w:lineRule="auto"/>
        <w:ind w:left="533" w:right="128"/>
        <w:jc w:val="both"/>
        <w:rPr>
          <w:i/>
          <w:sz w:val="16"/>
        </w:rPr>
      </w:pPr>
      <w:r>
        <w:rPr>
          <w:color w:val="231F20"/>
          <w:position w:val="5"/>
          <w:sz w:val="9"/>
        </w:rPr>
        <w:t xml:space="preserve">1 </w:t>
      </w:r>
      <w:r>
        <w:rPr>
          <w:i/>
          <w:color w:val="231F20"/>
          <w:sz w:val="16"/>
          <w:u w:val="single" w:color="231F20"/>
        </w:rPr>
        <w:t>Приклад</w:t>
      </w:r>
      <w:r>
        <w:rPr>
          <w:i/>
          <w:color w:val="231F20"/>
          <w:sz w:val="16"/>
        </w:rPr>
        <w:t>: згідно зі ст. 8 Закону України «Про адміністративні послуги</w:t>
      </w:r>
      <w:r>
        <w:rPr>
          <w:b/>
          <w:i/>
          <w:color w:val="231F20"/>
          <w:sz w:val="16"/>
        </w:rPr>
        <w:t>»</w:t>
      </w:r>
      <w:r>
        <w:rPr>
          <w:i/>
          <w:color w:val="231F20"/>
          <w:sz w:val="16"/>
        </w:rPr>
        <w:t xml:space="preserve">, пункту 8 Поло- </w:t>
      </w:r>
      <w:r>
        <w:rPr>
          <w:i/>
          <w:color w:val="231F20"/>
          <w:sz w:val="16"/>
        </w:rPr>
        <w:t xml:space="preserve">ження про Міністерство соціальної політики України, затвердженого Постановою Кабі- нету Міністрів України від 17.06.2015 № 423 (зі змінами), Міністерство наказом № 723 від 11.05.2019 р. затвердило типові інформаційні картки адміністративних послуг у сфері </w:t>
      </w:r>
      <w:r>
        <w:rPr>
          <w:i/>
          <w:color w:val="231F20"/>
          <w:sz w:val="16"/>
        </w:rPr>
        <w:t>соціального захисту населення. Інформаційні та інші реєстраційні картки є юридичною формою діяльності публічної адміністрації.</w:t>
      </w:r>
    </w:p>
    <w:p w14:paraId="26D10B65" w14:textId="77777777" w:rsidR="00DE575E" w:rsidRDefault="00DE575E">
      <w:pPr>
        <w:pStyle w:val="BodyText"/>
        <w:rPr>
          <w:i/>
          <w:sz w:val="12"/>
        </w:rPr>
      </w:pPr>
    </w:p>
    <w:p w14:paraId="3CAEDA43" w14:textId="77777777" w:rsidR="00DE575E" w:rsidRDefault="002E7560">
      <w:pPr>
        <w:spacing w:before="91"/>
        <w:ind w:left="533"/>
        <w:rPr>
          <w:rFonts w:ascii="Times New Roman"/>
          <w:sz w:val="20"/>
        </w:rPr>
      </w:pPr>
      <w:r>
        <w:rPr>
          <w:rFonts w:ascii="Times New Roman"/>
          <w:color w:val="231F20"/>
          <w:sz w:val="20"/>
        </w:rPr>
        <w:t>236</w:t>
      </w:r>
    </w:p>
    <w:p w14:paraId="1AF81B80" w14:textId="77777777" w:rsidR="00DE575E" w:rsidRDefault="00DE575E">
      <w:pPr>
        <w:rPr>
          <w:rFonts w:ascii="Times New Roman"/>
          <w:sz w:val="20"/>
        </w:rPr>
        <w:sectPr w:rsidR="00DE575E">
          <w:pgSz w:w="8510" w:h="12760"/>
          <w:pgMar w:top="660" w:right="720" w:bottom="280" w:left="600" w:header="720" w:footer="720" w:gutter="0"/>
          <w:cols w:space="720"/>
        </w:sectPr>
      </w:pPr>
    </w:p>
    <w:p w14:paraId="3B43CB34"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32D74B3B" w14:textId="4E255A2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5CC85E5" wp14:editId="74A08BF0">
                <wp:extent cx="4140200" cy="6350"/>
                <wp:effectExtent l="0" t="0" r="12700" b="6350"/>
                <wp:docPr id="813"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14" name="Line 8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3877F9" id="Group_x0020_8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Si77B/AgAAmAUAAA4A&#10;AAAAAAAAAAAAAAAALAIAAGRycy9lMm9Eb2MueG1sUEsBAi0AFAAGAAgAAAAhAEynsJDZAAAAAwEA&#10;AA8AAAAAAAAAAAAAAAAA1wQAAGRycy9kb3ducmV2LnhtbFBLBQYAAAAABAAEAPMAAADdBQAAAAA=&#10;">
                <v:line id="Line_x0020_8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mPBcYAAADcAAAADwAAAGRycy9kb3ducmV2LnhtbESP0WrCQBRE3wv+w3IFX4purKVIdBUp&#10;FIoP2ho/4Jq9JsHduzG7mujXu0Khj8PMnGHmy84acaXGV44VjEcJCOLc6YoLBfvsazgF4QOyRuOY&#10;FNzIw3LRe5ljql3Lv3TdhUJECPsUFZQh1KmUPi/Joh+5mjh6R9dYDFE2hdQNthFujXxLkg9pseK4&#10;UGJNnyXlp93FKsjOr8H8bNemzbaHiTycN5P7ZaPUoN+tZiACdeE//Nf+1gqm43d4nolHQC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2ZjwXGAAAA3AAAAA8AAAAAAAAA&#10;AAAAAAAAoQIAAGRycy9kb3ducmV2LnhtbFBLBQYAAAAABAAEAPkAAACUAwAAAAA=&#10;" strokecolor="#231f20" strokeweight=".5pt"/>
                <w10:anchorlock/>
              </v:group>
            </w:pict>
          </mc:Fallback>
        </mc:AlternateContent>
      </w:r>
    </w:p>
    <w:p w14:paraId="086DD8E6" w14:textId="77777777" w:rsidR="00DE575E" w:rsidRDefault="00DE575E">
      <w:pPr>
        <w:pStyle w:val="BodyText"/>
        <w:spacing w:before="7"/>
        <w:rPr>
          <w:rFonts w:ascii="AdonisC"/>
          <w:i/>
          <w:sz w:val="19"/>
        </w:rPr>
      </w:pPr>
    </w:p>
    <w:p w14:paraId="7926A773" w14:textId="77777777" w:rsidR="00DE575E" w:rsidRDefault="002E7560">
      <w:pPr>
        <w:pStyle w:val="Heading5"/>
        <w:spacing w:before="1"/>
      </w:pPr>
      <w:r>
        <w:rPr>
          <w:color w:val="231F20"/>
        </w:rPr>
        <w:t>7.4.4. Чинність адміністративного договору</w:t>
      </w:r>
    </w:p>
    <w:p w14:paraId="5AF2D3F2" w14:textId="77777777" w:rsidR="00DE575E" w:rsidRDefault="00DE575E">
      <w:pPr>
        <w:pStyle w:val="BodyText"/>
        <w:spacing w:before="2"/>
        <w:rPr>
          <w:b/>
          <w:sz w:val="23"/>
        </w:rPr>
      </w:pPr>
    </w:p>
    <w:p w14:paraId="30B9DDC8" w14:textId="77777777" w:rsidR="00DE575E" w:rsidRDefault="002E7560">
      <w:pPr>
        <w:pStyle w:val="BodyText"/>
        <w:spacing w:line="252" w:lineRule="auto"/>
        <w:ind w:left="250" w:right="409" w:firstLine="283"/>
        <w:jc w:val="both"/>
      </w:pPr>
      <w:r>
        <w:rPr>
          <w:color w:val="231F20"/>
        </w:rPr>
        <w:t xml:space="preserve">Чинність адміністративного договору безпосередньо пов’язана  з вимогами до процедури його укладання, змісту, правосуб’єктно- сті його учасників. </w:t>
      </w:r>
      <w:r>
        <w:rPr>
          <w:color w:val="231F20"/>
          <w:spacing w:val="-3"/>
        </w:rPr>
        <w:t xml:space="preserve">Так, </w:t>
      </w:r>
      <w:r>
        <w:rPr>
          <w:color w:val="231F20"/>
        </w:rPr>
        <w:t>загальними умовами чинності адмініст- ративних договорів варто визнати такі: його укладено в межах компетенції відповідного суб’єкта публічної адміністрації; норма- тивний акт не вимагає від суб’єкта публічної адміністрації діяти      в іншій формі – напри</w:t>
      </w:r>
      <w:r>
        <w:rPr>
          <w:color w:val="231F20"/>
        </w:rPr>
        <w:t>клад, через видання індивідуального адмі- ністративного</w:t>
      </w:r>
      <w:r>
        <w:rPr>
          <w:color w:val="231F20"/>
          <w:spacing w:val="3"/>
        </w:rPr>
        <w:t xml:space="preserve"> </w:t>
      </w:r>
      <w:r>
        <w:rPr>
          <w:color w:val="231F20"/>
        </w:rPr>
        <w:t>акта.</w:t>
      </w:r>
    </w:p>
    <w:p w14:paraId="657E0697" w14:textId="77777777" w:rsidR="00DE575E" w:rsidRDefault="002E7560">
      <w:pPr>
        <w:pStyle w:val="Heading5"/>
        <w:spacing w:before="4"/>
      </w:pPr>
      <w:r>
        <w:rPr>
          <w:color w:val="231F20"/>
        </w:rPr>
        <w:t>Підставами укладання адміністративних договорів є:</w:t>
      </w:r>
    </w:p>
    <w:p w14:paraId="2ECFACE4" w14:textId="77777777" w:rsidR="00DE575E" w:rsidRDefault="002E7560">
      <w:pPr>
        <w:pStyle w:val="ListParagraph"/>
        <w:numPr>
          <w:ilvl w:val="0"/>
          <w:numId w:val="185"/>
        </w:numPr>
        <w:tabs>
          <w:tab w:val="left" w:pos="818"/>
        </w:tabs>
        <w:spacing w:before="13" w:line="252" w:lineRule="auto"/>
        <w:ind w:right="411" w:firstLine="283"/>
        <w:jc w:val="both"/>
        <w:rPr>
          <w:sz w:val="21"/>
        </w:rPr>
      </w:pPr>
      <w:r>
        <w:rPr>
          <w:b/>
          <w:i/>
          <w:color w:val="231F20"/>
          <w:sz w:val="21"/>
        </w:rPr>
        <w:t>Наявність управлінської ситуації</w:t>
      </w:r>
      <w:r>
        <w:rPr>
          <w:color w:val="231F20"/>
          <w:sz w:val="21"/>
        </w:rPr>
        <w:t>, що має бути (вказівка нормативного</w:t>
      </w:r>
      <w:r>
        <w:rPr>
          <w:color w:val="231F20"/>
          <w:spacing w:val="-14"/>
          <w:sz w:val="21"/>
        </w:rPr>
        <w:t xml:space="preserve"> </w:t>
      </w:r>
      <w:r>
        <w:rPr>
          <w:color w:val="231F20"/>
          <w:sz w:val="21"/>
        </w:rPr>
        <w:t>акта)</w:t>
      </w:r>
      <w:r>
        <w:rPr>
          <w:color w:val="231F20"/>
          <w:spacing w:val="-14"/>
          <w:sz w:val="21"/>
        </w:rPr>
        <w:t xml:space="preserve"> </w:t>
      </w:r>
      <w:r>
        <w:rPr>
          <w:color w:val="231F20"/>
          <w:sz w:val="21"/>
        </w:rPr>
        <w:t>або</w:t>
      </w:r>
      <w:r>
        <w:rPr>
          <w:color w:val="231F20"/>
          <w:spacing w:val="-14"/>
          <w:sz w:val="21"/>
        </w:rPr>
        <w:t xml:space="preserve"> </w:t>
      </w:r>
      <w:r>
        <w:rPr>
          <w:color w:val="231F20"/>
          <w:sz w:val="21"/>
        </w:rPr>
        <w:t>може</w:t>
      </w:r>
      <w:r>
        <w:rPr>
          <w:color w:val="231F20"/>
          <w:spacing w:val="-14"/>
          <w:sz w:val="21"/>
        </w:rPr>
        <w:t xml:space="preserve"> </w:t>
      </w:r>
      <w:r>
        <w:rPr>
          <w:color w:val="231F20"/>
          <w:sz w:val="21"/>
        </w:rPr>
        <w:t>бути</w:t>
      </w:r>
      <w:r>
        <w:rPr>
          <w:color w:val="231F20"/>
          <w:spacing w:val="-14"/>
          <w:sz w:val="21"/>
        </w:rPr>
        <w:t xml:space="preserve"> </w:t>
      </w:r>
      <w:r>
        <w:rPr>
          <w:color w:val="231F20"/>
          <w:sz w:val="21"/>
        </w:rPr>
        <w:t>(адміністративний</w:t>
      </w:r>
      <w:r>
        <w:rPr>
          <w:color w:val="231F20"/>
          <w:spacing w:val="-14"/>
          <w:sz w:val="21"/>
        </w:rPr>
        <w:t xml:space="preserve"> </w:t>
      </w:r>
      <w:r>
        <w:rPr>
          <w:color w:val="231F20"/>
          <w:spacing w:val="-3"/>
          <w:sz w:val="21"/>
        </w:rPr>
        <w:t>розсуд)</w:t>
      </w:r>
      <w:r>
        <w:rPr>
          <w:color w:val="231F20"/>
          <w:spacing w:val="-14"/>
          <w:sz w:val="21"/>
        </w:rPr>
        <w:t xml:space="preserve"> </w:t>
      </w:r>
      <w:r>
        <w:rPr>
          <w:color w:val="231F20"/>
          <w:sz w:val="21"/>
        </w:rPr>
        <w:t>урегу- льована за допомогою</w:t>
      </w:r>
      <w:r>
        <w:rPr>
          <w:color w:val="231F20"/>
          <w:spacing w:val="-2"/>
          <w:sz w:val="21"/>
        </w:rPr>
        <w:t xml:space="preserve"> </w:t>
      </w:r>
      <w:r>
        <w:rPr>
          <w:color w:val="231F20"/>
          <w:spacing w:val="-3"/>
          <w:sz w:val="21"/>
        </w:rPr>
        <w:t>договору.</w:t>
      </w:r>
    </w:p>
    <w:p w14:paraId="70287F17" w14:textId="77777777" w:rsidR="00DE575E" w:rsidRDefault="002E7560">
      <w:pPr>
        <w:pStyle w:val="BodyText"/>
        <w:spacing w:before="1" w:line="252" w:lineRule="auto"/>
        <w:ind w:left="250" w:right="412" w:firstLine="283"/>
        <w:jc w:val="both"/>
      </w:pPr>
      <w:r>
        <w:rPr>
          <w:color w:val="231F20"/>
        </w:rPr>
        <w:t>Горизонтальний</w:t>
      </w:r>
      <w:r>
        <w:rPr>
          <w:color w:val="231F20"/>
          <w:spacing w:val="-12"/>
        </w:rPr>
        <w:t xml:space="preserve"> </w:t>
      </w:r>
      <w:r>
        <w:rPr>
          <w:color w:val="231F20"/>
        </w:rPr>
        <w:t>адміністративний</w:t>
      </w:r>
      <w:r>
        <w:rPr>
          <w:color w:val="231F20"/>
          <w:spacing w:val="-13"/>
        </w:rPr>
        <w:t xml:space="preserve"> </w:t>
      </w:r>
      <w:r>
        <w:rPr>
          <w:color w:val="231F20"/>
        </w:rPr>
        <w:t>договір</w:t>
      </w:r>
      <w:r>
        <w:rPr>
          <w:color w:val="231F20"/>
          <w:spacing w:val="-12"/>
        </w:rPr>
        <w:t xml:space="preserve"> </w:t>
      </w:r>
      <w:r>
        <w:rPr>
          <w:color w:val="231F20"/>
        </w:rPr>
        <w:t>може</w:t>
      </w:r>
      <w:r>
        <w:rPr>
          <w:color w:val="231F20"/>
          <w:spacing w:val="-12"/>
        </w:rPr>
        <w:t xml:space="preserve"> </w:t>
      </w:r>
      <w:r>
        <w:rPr>
          <w:color w:val="231F20"/>
        </w:rPr>
        <w:t>бути</w:t>
      </w:r>
      <w:r>
        <w:rPr>
          <w:color w:val="231F20"/>
          <w:spacing w:val="-13"/>
        </w:rPr>
        <w:t xml:space="preserve"> </w:t>
      </w:r>
      <w:r>
        <w:rPr>
          <w:color w:val="231F20"/>
        </w:rPr>
        <w:t>укладений органом публічної адміністрації у двох</w:t>
      </w:r>
      <w:r>
        <w:rPr>
          <w:color w:val="231F20"/>
          <w:spacing w:val="-7"/>
        </w:rPr>
        <w:t xml:space="preserve"> </w:t>
      </w:r>
      <w:r>
        <w:rPr>
          <w:color w:val="231F20"/>
        </w:rPr>
        <w:t>випадках:</w:t>
      </w:r>
    </w:p>
    <w:p w14:paraId="5CA09482" w14:textId="77777777" w:rsidR="00DE575E" w:rsidRDefault="002E7560">
      <w:pPr>
        <w:pStyle w:val="ListParagraph"/>
        <w:numPr>
          <w:ilvl w:val="0"/>
          <w:numId w:val="184"/>
        </w:numPr>
        <w:tabs>
          <w:tab w:val="left" w:pos="818"/>
        </w:tabs>
        <w:spacing w:line="252" w:lineRule="auto"/>
        <w:ind w:right="411" w:firstLine="283"/>
        <w:jc w:val="both"/>
        <w:rPr>
          <w:sz w:val="21"/>
        </w:rPr>
      </w:pPr>
      <w:r>
        <w:rPr>
          <w:color w:val="231F20"/>
          <w:sz w:val="21"/>
        </w:rPr>
        <w:t>відповідно до вказівки в законі про можливість укладання адміністративного</w:t>
      </w:r>
      <w:r>
        <w:rPr>
          <w:color w:val="231F20"/>
          <w:spacing w:val="-1"/>
          <w:sz w:val="21"/>
        </w:rPr>
        <w:t xml:space="preserve"> </w:t>
      </w:r>
      <w:r>
        <w:rPr>
          <w:color w:val="231F20"/>
          <w:sz w:val="21"/>
        </w:rPr>
        <w:t>договору;</w:t>
      </w:r>
    </w:p>
    <w:p w14:paraId="176E2282" w14:textId="77777777" w:rsidR="00DE575E" w:rsidRDefault="002E7560">
      <w:pPr>
        <w:pStyle w:val="ListParagraph"/>
        <w:numPr>
          <w:ilvl w:val="0"/>
          <w:numId w:val="184"/>
        </w:numPr>
        <w:tabs>
          <w:tab w:val="left" w:pos="818"/>
        </w:tabs>
        <w:spacing w:line="252" w:lineRule="auto"/>
        <w:ind w:right="412" w:firstLine="283"/>
        <w:jc w:val="both"/>
        <w:rPr>
          <w:sz w:val="21"/>
        </w:rPr>
      </w:pPr>
      <w:r>
        <w:rPr>
          <w:color w:val="231F20"/>
          <w:sz w:val="21"/>
        </w:rPr>
        <w:t xml:space="preserve">відповідно до виникнення управлінської ситуації, що </w:t>
      </w:r>
      <w:r>
        <w:rPr>
          <w:color w:val="231F20"/>
          <w:sz w:val="21"/>
        </w:rPr>
        <w:t>не може бути врегульована за допомогою іншої форми діяльності публічної адміністрації.</w:t>
      </w:r>
    </w:p>
    <w:p w14:paraId="772EA28D" w14:textId="77777777" w:rsidR="00DE575E" w:rsidRDefault="002E7560">
      <w:pPr>
        <w:pStyle w:val="BodyText"/>
        <w:spacing w:before="2" w:line="252" w:lineRule="auto"/>
        <w:ind w:left="250" w:right="409" w:firstLine="283"/>
        <w:jc w:val="both"/>
      </w:pPr>
      <w:r>
        <w:rPr>
          <w:color w:val="231F20"/>
        </w:rPr>
        <w:t xml:space="preserve">У першому разі укладення договору є правовим обов’язком </w:t>
      </w:r>
      <w:r>
        <w:rPr>
          <w:color w:val="231F20"/>
          <w:spacing w:val="-3"/>
        </w:rPr>
        <w:t xml:space="preserve">органу, </w:t>
      </w:r>
      <w:r>
        <w:rPr>
          <w:color w:val="231F20"/>
        </w:rPr>
        <w:t xml:space="preserve">у другому – виноситься на </w:t>
      </w:r>
      <w:r>
        <w:rPr>
          <w:color w:val="231F20"/>
          <w:spacing w:val="-3"/>
        </w:rPr>
        <w:t xml:space="preserve">розсуд </w:t>
      </w:r>
      <w:r>
        <w:rPr>
          <w:color w:val="231F20"/>
        </w:rPr>
        <w:t xml:space="preserve">його учасників. </w:t>
      </w:r>
      <w:r>
        <w:rPr>
          <w:color w:val="231F20"/>
          <w:spacing w:val="-2"/>
        </w:rPr>
        <w:t xml:space="preserve">Укладення </w:t>
      </w:r>
      <w:r>
        <w:rPr>
          <w:color w:val="231F20"/>
        </w:rPr>
        <w:t>ж вертикальних адміністративних договорів завж</w:t>
      </w:r>
      <w:r>
        <w:rPr>
          <w:color w:val="231F20"/>
        </w:rPr>
        <w:t>ди вимагає зако- нодавчо встановленої підстави (нормативний припис про обов’язок укласти договір за умови настання певних юридичних фактів);</w:t>
      </w:r>
    </w:p>
    <w:p w14:paraId="531EE672" w14:textId="77777777" w:rsidR="00DE575E" w:rsidRDefault="002E7560">
      <w:pPr>
        <w:pStyle w:val="ListParagraph"/>
        <w:numPr>
          <w:ilvl w:val="0"/>
          <w:numId w:val="185"/>
        </w:numPr>
        <w:tabs>
          <w:tab w:val="left" w:pos="818"/>
        </w:tabs>
        <w:spacing w:before="2" w:line="252" w:lineRule="auto"/>
        <w:ind w:right="409" w:firstLine="283"/>
        <w:jc w:val="both"/>
        <w:rPr>
          <w:sz w:val="21"/>
        </w:rPr>
      </w:pPr>
      <w:r>
        <w:rPr>
          <w:b/>
          <w:i/>
          <w:color w:val="231F20"/>
          <w:sz w:val="21"/>
        </w:rPr>
        <w:t>Наявність нормативно закріплених юридичних фактів</w:t>
      </w:r>
      <w:r>
        <w:rPr>
          <w:color w:val="231F20"/>
          <w:sz w:val="21"/>
        </w:rPr>
        <w:t xml:space="preserve">, з настанням яких пов’язується виникнення зобов’язання. Наявність волевиявлення сторін, їх бажання вступити в договірні відносини   з мотивів здійснення правомірних дій. Адміністративний договір може з’явитися лише в добровільному </w:t>
      </w:r>
      <w:r>
        <w:rPr>
          <w:color w:val="231F20"/>
          <w:spacing w:val="-3"/>
          <w:sz w:val="21"/>
        </w:rPr>
        <w:t xml:space="preserve">порядку, </w:t>
      </w:r>
      <w:r>
        <w:rPr>
          <w:color w:val="231F20"/>
          <w:sz w:val="21"/>
        </w:rPr>
        <w:t>тобто через пог</w:t>
      </w:r>
      <w:r>
        <w:rPr>
          <w:color w:val="231F20"/>
          <w:sz w:val="21"/>
        </w:rPr>
        <w:t>о- дження волі його</w:t>
      </w:r>
      <w:r>
        <w:rPr>
          <w:color w:val="231F20"/>
          <w:spacing w:val="-2"/>
          <w:sz w:val="21"/>
        </w:rPr>
        <w:t xml:space="preserve"> </w:t>
      </w:r>
      <w:r>
        <w:rPr>
          <w:color w:val="231F20"/>
          <w:sz w:val="21"/>
        </w:rPr>
        <w:t>сторін.</w:t>
      </w:r>
    </w:p>
    <w:p w14:paraId="637B7A8E" w14:textId="77777777" w:rsidR="00DE575E" w:rsidRDefault="002E7560">
      <w:pPr>
        <w:pStyle w:val="Heading6"/>
        <w:numPr>
          <w:ilvl w:val="0"/>
          <w:numId w:val="185"/>
        </w:numPr>
        <w:tabs>
          <w:tab w:val="left" w:pos="740"/>
        </w:tabs>
        <w:spacing w:before="3"/>
        <w:ind w:left="739" w:hanging="206"/>
      </w:pPr>
      <w:r>
        <w:rPr>
          <w:color w:val="231F20"/>
        </w:rPr>
        <w:t>Наявність взаємної згоди з усіх істотних умов</w:t>
      </w:r>
      <w:r>
        <w:rPr>
          <w:color w:val="231F20"/>
          <w:spacing w:val="-17"/>
        </w:rPr>
        <w:t xml:space="preserve"> </w:t>
      </w:r>
      <w:r>
        <w:rPr>
          <w:color w:val="231F20"/>
        </w:rPr>
        <w:t>договору.</w:t>
      </w:r>
    </w:p>
    <w:p w14:paraId="13197CF2" w14:textId="77777777" w:rsidR="00DE575E" w:rsidRDefault="002E7560">
      <w:pPr>
        <w:spacing w:before="13"/>
        <w:ind w:left="533"/>
        <w:rPr>
          <w:i/>
          <w:sz w:val="21"/>
        </w:rPr>
      </w:pPr>
      <w:r>
        <w:rPr>
          <w:i/>
          <w:color w:val="231F20"/>
          <w:sz w:val="21"/>
        </w:rPr>
        <w:t>Вимоги до адміністративного договору поділяються на:</w:t>
      </w:r>
    </w:p>
    <w:p w14:paraId="53DAFDD8"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вимоги законності (зокрема процедурні</w:t>
      </w:r>
      <w:r>
        <w:rPr>
          <w:color w:val="231F20"/>
          <w:spacing w:val="-2"/>
          <w:sz w:val="21"/>
        </w:rPr>
        <w:t xml:space="preserve"> </w:t>
      </w:r>
      <w:r>
        <w:rPr>
          <w:color w:val="231F20"/>
          <w:sz w:val="21"/>
        </w:rPr>
        <w:t>вимоги);</w:t>
      </w:r>
    </w:p>
    <w:p w14:paraId="13492E93" w14:textId="77777777" w:rsidR="00DE575E" w:rsidRDefault="002E7560">
      <w:pPr>
        <w:pStyle w:val="ListParagraph"/>
        <w:numPr>
          <w:ilvl w:val="0"/>
          <w:numId w:val="254"/>
        </w:numPr>
        <w:tabs>
          <w:tab w:val="left" w:pos="818"/>
        </w:tabs>
        <w:spacing w:before="12"/>
        <w:ind w:firstLine="283"/>
        <w:jc w:val="left"/>
        <w:rPr>
          <w:sz w:val="21"/>
        </w:rPr>
      </w:pPr>
      <w:r>
        <w:rPr>
          <w:color w:val="231F20"/>
          <w:sz w:val="21"/>
        </w:rPr>
        <w:t>вимоги</w:t>
      </w:r>
      <w:r>
        <w:rPr>
          <w:color w:val="231F20"/>
          <w:spacing w:val="-2"/>
          <w:sz w:val="21"/>
        </w:rPr>
        <w:t xml:space="preserve"> </w:t>
      </w:r>
      <w:r>
        <w:rPr>
          <w:color w:val="231F20"/>
          <w:sz w:val="21"/>
        </w:rPr>
        <w:t>доцільності.</w:t>
      </w:r>
    </w:p>
    <w:p w14:paraId="798C6E7A" w14:textId="77777777" w:rsidR="00DE575E" w:rsidRDefault="002E7560">
      <w:pPr>
        <w:pStyle w:val="BodyText"/>
        <w:spacing w:before="13" w:line="252" w:lineRule="auto"/>
        <w:ind w:left="250" w:right="411" w:firstLine="283"/>
        <w:jc w:val="both"/>
      </w:pPr>
      <w:r>
        <w:rPr>
          <w:color w:val="231F20"/>
        </w:rPr>
        <w:t>Недотримання</w:t>
      </w:r>
      <w:r>
        <w:rPr>
          <w:color w:val="231F20"/>
          <w:spacing w:val="-10"/>
        </w:rPr>
        <w:t xml:space="preserve"> </w:t>
      </w:r>
      <w:r>
        <w:rPr>
          <w:color w:val="231F20"/>
        </w:rPr>
        <w:t>цих</w:t>
      </w:r>
      <w:r>
        <w:rPr>
          <w:color w:val="231F20"/>
          <w:spacing w:val="-9"/>
        </w:rPr>
        <w:t xml:space="preserve"> </w:t>
      </w:r>
      <w:r>
        <w:rPr>
          <w:color w:val="231F20"/>
        </w:rPr>
        <w:t>вимог</w:t>
      </w:r>
      <w:r>
        <w:rPr>
          <w:color w:val="231F20"/>
          <w:spacing w:val="-10"/>
        </w:rPr>
        <w:t xml:space="preserve"> </w:t>
      </w:r>
      <w:r>
        <w:rPr>
          <w:color w:val="231F20"/>
        </w:rPr>
        <w:t>має</w:t>
      </w:r>
      <w:r>
        <w:rPr>
          <w:color w:val="231F20"/>
          <w:spacing w:val="-9"/>
        </w:rPr>
        <w:t xml:space="preserve"> </w:t>
      </w:r>
      <w:r>
        <w:rPr>
          <w:color w:val="231F20"/>
        </w:rPr>
        <w:t>зумовлювати</w:t>
      </w:r>
      <w:r>
        <w:rPr>
          <w:color w:val="231F20"/>
          <w:spacing w:val="-10"/>
        </w:rPr>
        <w:t xml:space="preserve"> </w:t>
      </w:r>
      <w:r>
        <w:rPr>
          <w:color w:val="231F20"/>
        </w:rPr>
        <w:t>визнання</w:t>
      </w:r>
      <w:r>
        <w:rPr>
          <w:color w:val="231F20"/>
          <w:spacing w:val="-10"/>
        </w:rPr>
        <w:t xml:space="preserve"> </w:t>
      </w:r>
      <w:r>
        <w:rPr>
          <w:color w:val="231F20"/>
        </w:rPr>
        <w:t>адміністра- тивних договорів нікчемними (у разі порушення вимог законності та істотного порушення процедурних вимог) або</w:t>
      </w:r>
      <w:r>
        <w:rPr>
          <w:color w:val="231F20"/>
          <w:spacing w:val="-9"/>
        </w:rPr>
        <w:t xml:space="preserve"> </w:t>
      </w:r>
      <w:r>
        <w:rPr>
          <w:color w:val="231F20"/>
        </w:rPr>
        <w:t>заперечними.</w:t>
      </w:r>
    </w:p>
    <w:p w14:paraId="1B773D8D" w14:textId="77777777" w:rsidR="00DE575E" w:rsidRDefault="00DE575E">
      <w:pPr>
        <w:pStyle w:val="BodyText"/>
        <w:spacing w:before="6"/>
        <w:rPr>
          <w:sz w:val="12"/>
        </w:rPr>
      </w:pPr>
    </w:p>
    <w:p w14:paraId="48810E2F" w14:textId="77777777" w:rsidR="00DE575E" w:rsidRDefault="002E7560">
      <w:pPr>
        <w:spacing w:before="92"/>
        <w:ind w:right="411"/>
        <w:jc w:val="right"/>
        <w:rPr>
          <w:rFonts w:ascii="Times New Roman"/>
          <w:sz w:val="20"/>
        </w:rPr>
      </w:pPr>
      <w:r>
        <w:rPr>
          <w:rFonts w:ascii="Times New Roman"/>
          <w:color w:val="231F20"/>
          <w:w w:val="90"/>
          <w:sz w:val="20"/>
        </w:rPr>
        <w:t>237</w:t>
      </w:r>
    </w:p>
    <w:p w14:paraId="1A09F14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A78E55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B03F4B4" w14:textId="289BDC9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89EE870" wp14:editId="7C501E00">
                <wp:extent cx="4140200" cy="6350"/>
                <wp:effectExtent l="0" t="0" r="12700" b="6350"/>
                <wp:docPr id="811"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12" name="Line 8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D61ED" id="Group_x0020_8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94g5/AgAAmAUAAA4A&#10;AAAAAAAAAAAAAAAALAIAAGRycy9lMm9Eb2MueG1sUEsBAi0AFAAGAAgAAAAhAEynsJDZAAAAAwEA&#10;AA8AAAAAAAAAAAAAAAAA1wQAAGRycy9kb3ducmV2LnhtbFBLBQYAAAAABAAEAPMAAADdBQAAAAA=&#10;">
                <v:line id="Line_x0020_8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yy6sUAAADcAAAADwAAAGRycy9kb3ducmV2LnhtbESP0WrCQBRE3wv+w3IFX4puVCgSXUWE&#10;QvFBW9MPuGavSXD3bsyuJvr1XUHo4zAzZ5jFqrNG3KjxlWMF41ECgjh3uuJCwW/2OZyB8AFZo3FM&#10;Cu7kYbXsvS0w1a7lH7odQiEihH2KCsoQ6lRKn5dk0Y9cTRy9k2sshiibQuoG2wi3Rk6S5ENarDgu&#10;lFjTpqT8fLhaBdnlPZjv/da02f44lcfLbvq47pQa9Lv1HESgLvyHX+0vrWA2nsDzTDwCcv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Tyy6sUAAADcAAAADwAAAAAAAAAA&#10;AAAAAAChAgAAZHJzL2Rvd25yZXYueG1sUEsFBgAAAAAEAAQA+QAAAJMDAAAAAA==&#10;" strokecolor="#231f20" strokeweight=".5pt"/>
                <w10:anchorlock/>
              </v:group>
            </w:pict>
          </mc:Fallback>
        </mc:AlternateContent>
      </w:r>
    </w:p>
    <w:p w14:paraId="41CF8804" w14:textId="77777777" w:rsidR="00DE575E" w:rsidRDefault="00DE575E">
      <w:pPr>
        <w:pStyle w:val="BodyText"/>
        <w:spacing w:before="7"/>
        <w:rPr>
          <w:rFonts w:ascii="AdonisC"/>
          <w:i/>
          <w:sz w:val="11"/>
        </w:rPr>
      </w:pPr>
    </w:p>
    <w:p w14:paraId="51A1C723" w14:textId="77777777" w:rsidR="00DE575E" w:rsidRDefault="002E7560">
      <w:pPr>
        <w:pStyle w:val="BodyText"/>
        <w:spacing w:before="101" w:line="252" w:lineRule="auto"/>
        <w:ind w:left="533" w:right="128" w:firstLine="283"/>
        <w:jc w:val="both"/>
      </w:pPr>
      <w:r>
        <w:rPr>
          <w:i/>
          <w:color w:val="231F20"/>
        </w:rPr>
        <w:t>Вимоги законності включають в себе</w:t>
      </w:r>
      <w:r>
        <w:rPr>
          <w:color w:val="231F20"/>
        </w:rPr>
        <w:t>: відповідність адміністра- тивного договору Конституції України, законам України та норма- тивно-правовим актам вищих органів публічної адміністрації; можливість укладання адміністративного договору має бути перед- бачена в нормах про компетенцію органу п</w:t>
      </w:r>
      <w:r>
        <w:rPr>
          <w:color w:val="231F20"/>
        </w:rPr>
        <w:t>ублічної адміністрації відповідного рівня; підстави укладання адміністративного дого- вору органами публічної адміністрації мають бути також передба- чені в законодавчих чи інших правових актах; умови адміністратив- ного договору не мають бути спрямовані н</w:t>
      </w:r>
      <w:r>
        <w:rPr>
          <w:color w:val="231F20"/>
        </w:rPr>
        <w:t>а протизаконні дії.</w:t>
      </w:r>
    </w:p>
    <w:p w14:paraId="466160B5" w14:textId="77777777" w:rsidR="00DE575E" w:rsidRDefault="002E7560">
      <w:pPr>
        <w:pStyle w:val="BodyText"/>
        <w:spacing w:before="4" w:line="252" w:lineRule="auto"/>
        <w:ind w:left="533" w:right="128" w:firstLine="283"/>
        <w:jc w:val="both"/>
      </w:pPr>
      <w:r>
        <w:rPr>
          <w:i/>
          <w:color w:val="231F20"/>
        </w:rPr>
        <w:t xml:space="preserve">Процедурні вимоги </w:t>
      </w:r>
      <w:r>
        <w:rPr>
          <w:color w:val="231F20"/>
        </w:rPr>
        <w:t>до адміністративних договорів зумовлені потребою</w:t>
      </w:r>
      <w:r>
        <w:rPr>
          <w:color w:val="231F20"/>
          <w:spacing w:val="-8"/>
        </w:rPr>
        <w:t xml:space="preserve"> </w:t>
      </w:r>
      <w:r>
        <w:rPr>
          <w:color w:val="231F20"/>
        </w:rPr>
        <w:t>чіткого</w:t>
      </w:r>
      <w:r>
        <w:rPr>
          <w:color w:val="231F20"/>
          <w:spacing w:val="-8"/>
        </w:rPr>
        <w:t xml:space="preserve"> </w:t>
      </w:r>
      <w:r>
        <w:rPr>
          <w:color w:val="231F20"/>
        </w:rPr>
        <w:t>визначення</w:t>
      </w:r>
      <w:r>
        <w:rPr>
          <w:color w:val="231F20"/>
          <w:spacing w:val="-8"/>
        </w:rPr>
        <w:t xml:space="preserve"> </w:t>
      </w:r>
      <w:r>
        <w:rPr>
          <w:color w:val="231F20"/>
        </w:rPr>
        <w:t>порядку</w:t>
      </w:r>
      <w:r>
        <w:rPr>
          <w:color w:val="231F20"/>
          <w:spacing w:val="-8"/>
        </w:rPr>
        <w:t xml:space="preserve"> </w:t>
      </w:r>
      <w:r>
        <w:rPr>
          <w:color w:val="231F20"/>
        </w:rPr>
        <w:t>укладання</w:t>
      </w:r>
      <w:r>
        <w:rPr>
          <w:color w:val="231F20"/>
          <w:spacing w:val="-8"/>
        </w:rPr>
        <w:t xml:space="preserve"> </w:t>
      </w:r>
      <w:r>
        <w:rPr>
          <w:color w:val="231F20"/>
        </w:rPr>
        <w:t>адміністративних договорів. До них належить обов’язково письмова форма, а також залежно</w:t>
      </w:r>
      <w:r>
        <w:rPr>
          <w:color w:val="231F20"/>
          <w:spacing w:val="-10"/>
        </w:rPr>
        <w:t xml:space="preserve"> </w:t>
      </w:r>
      <w:r>
        <w:rPr>
          <w:color w:val="231F20"/>
        </w:rPr>
        <w:t>від</w:t>
      </w:r>
      <w:r>
        <w:rPr>
          <w:color w:val="231F20"/>
          <w:spacing w:val="-10"/>
        </w:rPr>
        <w:t xml:space="preserve"> </w:t>
      </w:r>
      <w:r>
        <w:rPr>
          <w:color w:val="231F20"/>
        </w:rPr>
        <w:t>виду</w:t>
      </w:r>
      <w:r>
        <w:rPr>
          <w:color w:val="231F20"/>
          <w:spacing w:val="-10"/>
        </w:rPr>
        <w:t xml:space="preserve"> </w:t>
      </w:r>
      <w:r>
        <w:rPr>
          <w:color w:val="231F20"/>
        </w:rPr>
        <w:t>адміністративного</w:t>
      </w:r>
      <w:r>
        <w:rPr>
          <w:color w:val="231F20"/>
          <w:spacing w:val="-10"/>
        </w:rPr>
        <w:t xml:space="preserve"> </w:t>
      </w:r>
      <w:r>
        <w:rPr>
          <w:color w:val="231F20"/>
        </w:rPr>
        <w:t>договору</w:t>
      </w:r>
      <w:r>
        <w:rPr>
          <w:color w:val="231F20"/>
          <w:spacing w:val="-10"/>
        </w:rPr>
        <w:t xml:space="preserve"> </w:t>
      </w:r>
      <w:r>
        <w:rPr>
          <w:color w:val="231F20"/>
        </w:rPr>
        <w:t>–</w:t>
      </w:r>
      <w:r>
        <w:rPr>
          <w:color w:val="231F20"/>
          <w:spacing w:val="-10"/>
        </w:rPr>
        <w:t xml:space="preserve"> </w:t>
      </w:r>
      <w:r>
        <w:rPr>
          <w:color w:val="231F20"/>
        </w:rPr>
        <w:t>реєстр</w:t>
      </w:r>
      <w:r>
        <w:rPr>
          <w:color w:val="231F20"/>
        </w:rPr>
        <w:t>ація</w:t>
      </w:r>
      <w:r>
        <w:rPr>
          <w:color w:val="231F20"/>
          <w:spacing w:val="-10"/>
        </w:rPr>
        <w:t xml:space="preserve"> </w:t>
      </w:r>
      <w:r>
        <w:rPr>
          <w:color w:val="231F20"/>
        </w:rPr>
        <w:t>адмініст- ративного</w:t>
      </w:r>
      <w:r>
        <w:rPr>
          <w:color w:val="231F20"/>
          <w:spacing w:val="-14"/>
        </w:rPr>
        <w:t xml:space="preserve"> </w:t>
      </w:r>
      <w:r>
        <w:rPr>
          <w:color w:val="231F20"/>
          <w:spacing w:val="-3"/>
        </w:rPr>
        <w:t>договору,</w:t>
      </w:r>
      <w:r>
        <w:rPr>
          <w:color w:val="231F20"/>
          <w:spacing w:val="-15"/>
        </w:rPr>
        <w:t xml:space="preserve"> </w:t>
      </w:r>
      <w:r>
        <w:rPr>
          <w:color w:val="231F20"/>
        </w:rPr>
        <w:t>затвердження</w:t>
      </w:r>
      <w:r>
        <w:rPr>
          <w:color w:val="231F20"/>
          <w:spacing w:val="-15"/>
        </w:rPr>
        <w:t xml:space="preserve"> </w:t>
      </w:r>
      <w:r>
        <w:rPr>
          <w:color w:val="231F20"/>
        </w:rPr>
        <w:t>рішення</w:t>
      </w:r>
      <w:r>
        <w:rPr>
          <w:color w:val="231F20"/>
          <w:spacing w:val="-15"/>
        </w:rPr>
        <w:t xml:space="preserve"> </w:t>
      </w:r>
      <w:r>
        <w:rPr>
          <w:color w:val="231F20"/>
        </w:rPr>
        <w:t>про</w:t>
      </w:r>
      <w:r>
        <w:rPr>
          <w:color w:val="231F20"/>
          <w:spacing w:val="-14"/>
        </w:rPr>
        <w:t xml:space="preserve"> </w:t>
      </w:r>
      <w:r>
        <w:rPr>
          <w:color w:val="231F20"/>
        </w:rPr>
        <w:t>укладання</w:t>
      </w:r>
      <w:r>
        <w:rPr>
          <w:color w:val="231F20"/>
          <w:spacing w:val="-15"/>
        </w:rPr>
        <w:t xml:space="preserve"> </w:t>
      </w:r>
      <w:r>
        <w:rPr>
          <w:color w:val="231F20"/>
        </w:rPr>
        <w:t>адмініст- ративного договору уповноваженою особою або органом, дотри- мання строків укладання адміністративних</w:t>
      </w:r>
      <w:r>
        <w:rPr>
          <w:color w:val="231F20"/>
          <w:spacing w:val="-6"/>
        </w:rPr>
        <w:t xml:space="preserve"> </w:t>
      </w:r>
      <w:r>
        <w:rPr>
          <w:color w:val="231F20"/>
        </w:rPr>
        <w:t>договорів.</w:t>
      </w:r>
    </w:p>
    <w:p w14:paraId="20C7D52D" w14:textId="77777777" w:rsidR="00DE575E" w:rsidRDefault="002E7560">
      <w:pPr>
        <w:pStyle w:val="BodyText"/>
        <w:spacing w:before="4" w:line="252" w:lineRule="auto"/>
        <w:ind w:left="533" w:right="127" w:firstLine="283"/>
        <w:jc w:val="both"/>
      </w:pPr>
      <w:r>
        <w:rPr>
          <w:i/>
          <w:color w:val="231F20"/>
        </w:rPr>
        <w:t xml:space="preserve">Вимоги доцільності </w:t>
      </w:r>
      <w:r>
        <w:rPr>
          <w:color w:val="231F20"/>
        </w:rPr>
        <w:t>передбачають обов’язок органу публічної адмін</w:t>
      </w:r>
      <w:r>
        <w:rPr>
          <w:color w:val="231F20"/>
        </w:rPr>
        <w:t>істрації при укладенні адміністративного договору переслі- дувати передусім публічні інтереси, а не відомчі, у разі якщо адмі- ністративний договір зачіпає інтереси третіх осіб, такі особи мають погоджувати його зміст</w:t>
      </w:r>
      <w:r>
        <w:rPr>
          <w:color w:val="231F20"/>
          <w:position w:val="7"/>
          <w:sz w:val="12"/>
        </w:rPr>
        <w:t>1</w:t>
      </w:r>
      <w:r>
        <w:rPr>
          <w:color w:val="231F20"/>
        </w:rPr>
        <w:t>.</w:t>
      </w:r>
    </w:p>
    <w:p w14:paraId="2D49D586" w14:textId="77777777" w:rsidR="00DE575E" w:rsidRDefault="00DE575E">
      <w:pPr>
        <w:pStyle w:val="BodyText"/>
        <w:spacing w:before="2"/>
        <w:rPr>
          <w:sz w:val="22"/>
        </w:rPr>
      </w:pPr>
    </w:p>
    <w:p w14:paraId="049135AC" w14:textId="77777777" w:rsidR="00DE575E" w:rsidRDefault="002E7560">
      <w:pPr>
        <w:pStyle w:val="Heading5"/>
        <w:ind w:left="817"/>
      </w:pPr>
      <w:r>
        <w:rPr>
          <w:color w:val="231F20"/>
        </w:rPr>
        <w:t>7.4.5. Нікчемність адміністративног</w:t>
      </w:r>
      <w:r>
        <w:rPr>
          <w:color w:val="231F20"/>
        </w:rPr>
        <w:t>о договору</w:t>
      </w:r>
    </w:p>
    <w:p w14:paraId="51C4BF9B" w14:textId="77777777" w:rsidR="00DE575E" w:rsidRDefault="00DE575E">
      <w:pPr>
        <w:pStyle w:val="BodyText"/>
        <w:spacing w:before="2"/>
        <w:rPr>
          <w:b/>
          <w:sz w:val="23"/>
        </w:rPr>
      </w:pPr>
    </w:p>
    <w:p w14:paraId="03F77906" w14:textId="77777777" w:rsidR="00DE575E" w:rsidRDefault="002E7560">
      <w:pPr>
        <w:pStyle w:val="BodyText"/>
        <w:spacing w:line="252" w:lineRule="auto"/>
        <w:ind w:left="533" w:right="128" w:firstLine="283"/>
        <w:jc w:val="both"/>
      </w:pPr>
      <w:r>
        <w:rPr>
          <w:color w:val="231F20"/>
        </w:rPr>
        <w:t>Наслідком невиконання вимог, установлених для адміністратив- ного договору, є визнання його судом недійсним.</w:t>
      </w:r>
    </w:p>
    <w:p w14:paraId="47EA9B3E" w14:textId="77777777" w:rsidR="00DE575E" w:rsidRDefault="002E7560">
      <w:pPr>
        <w:pStyle w:val="BodyText"/>
        <w:spacing w:before="1" w:line="252" w:lineRule="auto"/>
        <w:ind w:left="533" w:right="128" w:firstLine="283"/>
        <w:jc w:val="both"/>
      </w:pPr>
      <w:r>
        <w:rPr>
          <w:color w:val="231F20"/>
          <w:spacing w:val="-8"/>
        </w:rPr>
        <w:t xml:space="preserve">Такі </w:t>
      </w:r>
      <w:r>
        <w:rPr>
          <w:color w:val="231F20"/>
          <w:spacing w:val="-5"/>
        </w:rPr>
        <w:t xml:space="preserve">недійсні (нікчемні) адміністративні договори </w:t>
      </w:r>
      <w:r>
        <w:rPr>
          <w:color w:val="231F20"/>
          <w:spacing w:val="-6"/>
        </w:rPr>
        <w:t xml:space="preserve">характеризу- </w:t>
      </w:r>
      <w:r>
        <w:rPr>
          <w:color w:val="231F20"/>
          <w:spacing w:val="-5"/>
        </w:rPr>
        <w:t xml:space="preserve">ються такими  ознаками:  незаконність,  невідповідність  вимогам,  що </w:t>
      </w:r>
      <w:r>
        <w:rPr>
          <w:color w:val="231F20"/>
        </w:rPr>
        <w:t xml:space="preserve">є </w:t>
      </w:r>
      <w:r>
        <w:rPr>
          <w:color w:val="231F20"/>
          <w:spacing w:val="-5"/>
        </w:rPr>
        <w:t xml:space="preserve">очевидними </w:t>
      </w:r>
      <w:r>
        <w:rPr>
          <w:color w:val="231F20"/>
          <w:spacing w:val="-3"/>
        </w:rPr>
        <w:t xml:space="preserve">та не </w:t>
      </w:r>
      <w:r>
        <w:rPr>
          <w:color w:val="231F20"/>
          <w:spacing w:val="-6"/>
        </w:rPr>
        <w:t xml:space="preserve">потребують </w:t>
      </w:r>
      <w:r>
        <w:rPr>
          <w:color w:val="231F20"/>
          <w:spacing w:val="-5"/>
        </w:rPr>
        <w:t xml:space="preserve">спеціального доказування; недійсність </w:t>
      </w:r>
      <w:r>
        <w:rPr>
          <w:color w:val="231F20"/>
        </w:rPr>
        <w:t xml:space="preserve">з </w:t>
      </w:r>
      <w:r>
        <w:rPr>
          <w:color w:val="231F20"/>
          <w:spacing w:val="-4"/>
        </w:rPr>
        <w:t xml:space="preserve">моменту </w:t>
      </w:r>
      <w:r>
        <w:rPr>
          <w:color w:val="231F20"/>
          <w:spacing w:val="-5"/>
        </w:rPr>
        <w:t xml:space="preserve">укладання; презумпція законності </w:t>
      </w:r>
      <w:r>
        <w:rPr>
          <w:color w:val="231F20"/>
          <w:spacing w:val="-3"/>
        </w:rPr>
        <w:t xml:space="preserve">на </w:t>
      </w:r>
      <w:r>
        <w:rPr>
          <w:color w:val="231F20"/>
          <w:spacing w:val="-4"/>
        </w:rPr>
        <w:t xml:space="preserve">них </w:t>
      </w:r>
      <w:r>
        <w:rPr>
          <w:color w:val="231F20"/>
          <w:spacing w:val="-3"/>
        </w:rPr>
        <w:t xml:space="preserve">не </w:t>
      </w:r>
      <w:r>
        <w:rPr>
          <w:color w:val="231F20"/>
          <w:spacing w:val="-6"/>
        </w:rPr>
        <w:t xml:space="preserve">розповсюджу- </w:t>
      </w:r>
      <w:r>
        <w:rPr>
          <w:color w:val="231F20"/>
          <w:spacing w:val="-5"/>
        </w:rPr>
        <w:t>ється,</w:t>
      </w:r>
      <w:r>
        <w:rPr>
          <w:color w:val="231F20"/>
          <w:spacing w:val="-9"/>
        </w:rPr>
        <w:t xml:space="preserve"> </w:t>
      </w:r>
      <w:r>
        <w:rPr>
          <w:color w:val="231F20"/>
        </w:rPr>
        <w:t>а</w:t>
      </w:r>
      <w:r>
        <w:rPr>
          <w:color w:val="231F20"/>
          <w:spacing w:val="-9"/>
        </w:rPr>
        <w:t xml:space="preserve"> </w:t>
      </w:r>
      <w:r>
        <w:rPr>
          <w:color w:val="231F20"/>
          <w:spacing w:val="-5"/>
        </w:rPr>
        <w:t>посадові</w:t>
      </w:r>
      <w:r>
        <w:rPr>
          <w:color w:val="231F20"/>
          <w:spacing w:val="-9"/>
        </w:rPr>
        <w:t xml:space="preserve"> </w:t>
      </w:r>
      <w:r>
        <w:rPr>
          <w:color w:val="231F20"/>
          <w:spacing w:val="-4"/>
        </w:rPr>
        <w:t>особи</w:t>
      </w:r>
      <w:r>
        <w:rPr>
          <w:color w:val="231F20"/>
          <w:spacing w:val="-9"/>
        </w:rPr>
        <w:t xml:space="preserve"> </w:t>
      </w:r>
      <w:r>
        <w:rPr>
          <w:color w:val="231F20"/>
          <w:spacing w:val="-4"/>
        </w:rPr>
        <w:t>несуть</w:t>
      </w:r>
      <w:r>
        <w:rPr>
          <w:color w:val="231F20"/>
          <w:spacing w:val="-9"/>
        </w:rPr>
        <w:t xml:space="preserve"> </w:t>
      </w:r>
      <w:r>
        <w:rPr>
          <w:color w:val="231F20"/>
          <w:spacing w:val="-5"/>
        </w:rPr>
        <w:t>відповідальність</w:t>
      </w:r>
      <w:r>
        <w:rPr>
          <w:color w:val="231F20"/>
          <w:spacing w:val="-9"/>
        </w:rPr>
        <w:t xml:space="preserve"> </w:t>
      </w:r>
      <w:r>
        <w:rPr>
          <w:color w:val="231F20"/>
          <w:spacing w:val="-3"/>
        </w:rPr>
        <w:t>за</w:t>
      </w:r>
      <w:r>
        <w:rPr>
          <w:color w:val="231F20"/>
          <w:spacing w:val="-9"/>
        </w:rPr>
        <w:t xml:space="preserve"> </w:t>
      </w:r>
      <w:r>
        <w:rPr>
          <w:color w:val="231F20"/>
          <w:spacing w:val="-3"/>
        </w:rPr>
        <w:t>їх</w:t>
      </w:r>
      <w:r>
        <w:rPr>
          <w:color w:val="231F20"/>
          <w:spacing w:val="-9"/>
        </w:rPr>
        <w:t xml:space="preserve"> </w:t>
      </w:r>
      <w:r>
        <w:rPr>
          <w:color w:val="231F20"/>
          <w:spacing w:val="-6"/>
        </w:rPr>
        <w:t>виконання.</w:t>
      </w:r>
    </w:p>
    <w:p w14:paraId="0E527EFB" w14:textId="77777777" w:rsidR="00DE575E" w:rsidRDefault="002E7560">
      <w:pPr>
        <w:pStyle w:val="BodyText"/>
        <w:spacing w:before="3" w:line="252" w:lineRule="auto"/>
        <w:ind w:left="533" w:right="125" w:firstLine="283"/>
        <w:jc w:val="both"/>
      </w:pPr>
      <w:r>
        <w:rPr>
          <w:color w:val="231F20"/>
        </w:rPr>
        <w:t xml:space="preserve">Нікчемний адміністративний договір </w:t>
      </w:r>
      <w:r>
        <w:rPr>
          <w:i/>
          <w:color w:val="231F20"/>
        </w:rPr>
        <w:t>не існує як правова форм</w:t>
      </w:r>
      <w:r>
        <w:rPr>
          <w:i/>
          <w:color w:val="231F20"/>
        </w:rPr>
        <w:t xml:space="preserve">а </w:t>
      </w:r>
      <w:r>
        <w:rPr>
          <w:color w:val="231F20"/>
        </w:rPr>
        <w:t>управління</w:t>
      </w:r>
      <w:r>
        <w:rPr>
          <w:color w:val="231F20"/>
          <w:spacing w:val="-18"/>
        </w:rPr>
        <w:t xml:space="preserve"> </w:t>
      </w:r>
      <w:r>
        <w:rPr>
          <w:color w:val="231F20"/>
        </w:rPr>
        <w:t>з</w:t>
      </w:r>
      <w:r>
        <w:rPr>
          <w:color w:val="231F20"/>
          <w:spacing w:val="-18"/>
        </w:rPr>
        <w:t xml:space="preserve"> </w:t>
      </w:r>
      <w:r>
        <w:rPr>
          <w:color w:val="231F20"/>
        </w:rPr>
        <w:t>моменту</w:t>
      </w:r>
      <w:r>
        <w:rPr>
          <w:color w:val="231F20"/>
          <w:spacing w:val="-18"/>
        </w:rPr>
        <w:t xml:space="preserve"> </w:t>
      </w:r>
      <w:r>
        <w:rPr>
          <w:color w:val="231F20"/>
        </w:rPr>
        <w:t>його</w:t>
      </w:r>
      <w:r>
        <w:rPr>
          <w:color w:val="231F20"/>
          <w:spacing w:val="-18"/>
        </w:rPr>
        <w:t xml:space="preserve"> </w:t>
      </w:r>
      <w:r>
        <w:rPr>
          <w:color w:val="231F20"/>
        </w:rPr>
        <w:t>укладення,</w:t>
      </w:r>
      <w:r>
        <w:rPr>
          <w:color w:val="231F20"/>
          <w:spacing w:val="-18"/>
        </w:rPr>
        <w:t xml:space="preserve"> </w:t>
      </w:r>
      <w:r>
        <w:rPr>
          <w:color w:val="231F20"/>
        </w:rPr>
        <w:t>а</w:t>
      </w:r>
      <w:r>
        <w:rPr>
          <w:color w:val="231F20"/>
          <w:spacing w:val="-17"/>
        </w:rPr>
        <w:t xml:space="preserve"> </w:t>
      </w:r>
      <w:r>
        <w:rPr>
          <w:color w:val="231F20"/>
        </w:rPr>
        <w:t>саме:</w:t>
      </w:r>
      <w:r>
        <w:rPr>
          <w:color w:val="231F20"/>
          <w:spacing w:val="-18"/>
        </w:rPr>
        <w:t xml:space="preserve"> </w:t>
      </w:r>
      <w:r>
        <w:rPr>
          <w:color w:val="231F20"/>
        </w:rPr>
        <w:t>не</w:t>
      </w:r>
      <w:r>
        <w:rPr>
          <w:color w:val="231F20"/>
          <w:spacing w:val="-18"/>
        </w:rPr>
        <w:t xml:space="preserve"> </w:t>
      </w:r>
      <w:r>
        <w:rPr>
          <w:color w:val="231F20"/>
        </w:rPr>
        <w:t>спричинює</w:t>
      </w:r>
      <w:r>
        <w:rPr>
          <w:color w:val="231F20"/>
          <w:spacing w:val="-18"/>
        </w:rPr>
        <w:t xml:space="preserve"> </w:t>
      </w:r>
      <w:r>
        <w:rPr>
          <w:color w:val="231F20"/>
        </w:rPr>
        <w:t>юридич- них наслідків, може передбачати негайне застосування примусових заходів, на відвернення яких розраховувала одна зі сторін (напр., застосування адміністративного арешту активів). Звісно,</w:t>
      </w:r>
      <w:r>
        <w:rPr>
          <w:color w:val="231F20"/>
          <w:spacing w:val="13"/>
        </w:rPr>
        <w:t xml:space="preserve"> </w:t>
      </w:r>
      <w:r>
        <w:rPr>
          <w:color w:val="231F20"/>
        </w:rPr>
        <w:t>ви</w:t>
      </w:r>
      <w:r>
        <w:rPr>
          <w:color w:val="231F20"/>
        </w:rPr>
        <w:t>криття</w:t>
      </w:r>
    </w:p>
    <w:p w14:paraId="0DDE146A" w14:textId="77777777" w:rsidR="00DE575E" w:rsidRDefault="00DE575E">
      <w:pPr>
        <w:pStyle w:val="BodyText"/>
        <w:rPr>
          <w:sz w:val="20"/>
        </w:rPr>
      </w:pPr>
    </w:p>
    <w:p w14:paraId="1BC1E6F3" w14:textId="2C513A78" w:rsidR="00DE575E" w:rsidRDefault="002E7560">
      <w:pPr>
        <w:pStyle w:val="BodyText"/>
        <w:spacing w:before="11"/>
        <w:rPr>
          <w:sz w:val="12"/>
        </w:rPr>
      </w:pPr>
      <w:r>
        <w:rPr>
          <w:noProof/>
        </w:rPr>
        <mc:AlternateContent>
          <mc:Choice Requires="wps">
            <w:drawing>
              <wp:anchor distT="0" distB="0" distL="0" distR="0" simplePos="0" relativeHeight="9664" behindDoc="0" locked="0" layoutInCell="1" allowOverlap="1" wp14:anchorId="34FADCE3" wp14:editId="0597D19D">
                <wp:simplePos x="0" y="0"/>
                <wp:positionH relativeFrom="page">
                  <wp:posOffset>719455</wp:posOffset>
                </wp:positionH>
                <wp:positionV relativeFrom="paragraph">
                  <wp:posOffset>123825</wp:posOffset>
                </wp:positionV>
                <wp:extent cx="1080135" cy="0"/>
                <wp:effectExtent l="8255" t="9525" r="29210" b="28575"/>
                <wp:wrapTopAndBottom/>
                <wp:docPr id="810"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62E9B" id="Line_x0020_809" o:spid="_x0000_s1026" style="position:absolute;z-index: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5pt" to="141.7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" strokecolor="#231f20" strokeweight=".5pt">
                <w10:wrap type="topAndBottom" anchorx="page"/>
              </v:line>
            </w:pict>
          </mc:Fallback>
        </mc:AlternateContent>
      </w:r>
    </w:p>
    <w:p w14:paraId="78C5B3D8" w14:textId="77777777" w:rsidR="00DE575E" w:rsidRDefault="002E7560">
      <w:pPr>
        <w:spacing w:line="204" w:lineRule="auto"/>
        <w:ind w:left="533"/>
        <w:rPr>
          <w:sz w:val="16"/>
        </w:rPr>
      </w:pPr>
      <w:r>
        <w:rPr>
          <w:color w:val="231F20"/>
          <w:position w:val="5"/>
          <w:sz w:val="9"/>
        </w:rPr>
        <w:t xml:space="preserve">1 </w:t>
      </w:r>
      <w:r>
        <w:rPr>
          <w:color w:val="231F20"/>
          <w:sz w:val="16"/>
        </w:rPr>
        <w:t>Біла В. Адміністративний договір в діяльності органів державної податкової служби України : дис. … канд. юрид. наук : 12.00.0. Ірпінь, 2011. 20 с.</w:t>
      </w:r>
    </w:p>
    <w:p w14:paraId="53914ED1" w14:textId="77777777" w:rsidR="00DE575E" w:rsidRDefault="00DE575E">
      <w:pPr>
        <w:pStyle w:val="BodyText"/>
        <w:spacing w:before="1"/>
        <w:rPr>
          <w:sz w:val="12"/>
        </w:rPr>
      </w:pPr>
    </w:p>
    <w:p w14:paraId="088990C1" w14:textId="77777777" w:rsidR="00DE575E" w:rsidRDefault="002E7560">
      <w:pPr>
        <w:spacing w:before="92"/>
        <w:ind w:left="533"/>
        <w:rPr>
          <w:rFonts w:ascii="Times New Roman"/>
          <w:sz w:val="20"/>
        </w:rPr>
      </w:pPr>
      <w:r>
        <w:rPr>
          <w:rFonts w:ascii="Times New Roman"/>
          <w:color w:val="231F20"/>
          <w:sz w:val="20"/>
        </w:rPr>
        <w:t>238</w:t>
      </w:r>
    </w:p>
    <w:p w14:paraId="2082F403" w14:textId="77777777" w:rsidR="00DE575E" w:rsidRDefault="00DE575E">
      <w:pPr>
        <w:rPr>
          <w:rFonts w:ascii="Times New Roman"/>
          <w:sz w:val="20"/>
        </w:rPr>
        <w:sectPr w:rsidR="00DE575E">
          <w:pgSz w:w="8510" w:h="12760"/>
          <w:pgMar w:top="660" w:right="720" w:bottom="280" w:left="600" w:header="720" w:footer="720" w:gutter="0"/>
          <w:cols w:space="720"/>
        </w:sectPr>
      </w:pPr>
    </w:p>
    <w:p w14:paraId="5AD7DDE5"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7. Інструменти публічного адміністрування</w:t>
      </w:r>
    </w:p>
    <w:p w14:paraId="26688CFC" w14:textId="56027D2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6F8B0E8" wp14:editId="2A533AC6">
                <wp:extent cx="4140200" cy="6350"/>
                <wp:effectExtent l="0" t="0" r="12700" b="6350"/>
                <wp:docPr id="808"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09" name="Line 80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3827D7" id="Group_x0020_80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V3vC3n4CAACYBQAADgAA&#10;AAAAAAAAAAAAAAAsAgAAZHJzL2Uyb0RvYy54bWxQSwECLQAUAAYACAAAACEATKewkNkAAAADAQAA&#10;DwAAAAAAAAAAAAAAAADWBAAAZHJzL2Rvd25yZXYueG1sUEsFBgAAAAAEAAQA8wAAANwFAAAAAA==&#10;">
                <v:line id="Line_x0020_80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G2RsYAAADcAAAADwAAAGRycy9kb3ducmV2LnhtbESP0WrCQBRE3wX/YbkFX6RuqiA2uooU&#10;CsUHtaYfcM1ek9DduzG7mtiv7wqCj8PMnGEWq84acaXGV44VvI0SEMS50xUXCn6yz9cZCB+QNRrH&#10;pOBGHlbLfm+BqXYtf9P1EAoRIexTVFCGUKdS+rwki37kauLonVxjMUTZFFI32Ea4NXKcJFNpseK4&#10;UGJNHyXlv4eLVZCdh8HsdxvTZrvjRB7P28nfZavU4KVbz0EE6sIz/Gh/aQWz5B3uZ+IR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BtkbGAAAA3AAAAA8AAAAAAAAA&#10;AAAAAAAAoQIAAGRycy9kb3ducmV2LnhtbFBLBQYAAAAABAAEAPkAAACUAwAAAAA=&#10;" strokecolor="#231f20" strokeweight=".5pt"/>
                <w10:anchorlock/>
              </v:group>
            </w:pict>
          </mc:Fallback>
        </mc:AlternateContent>
      </w:r>
    </w:p>
    <w:p w14:paraId="13F55D84" w14:textId="77777777" w:rsidR="00DE575E" w:rsidRDefault="00DE575E">
      <w:pPr>
        <w:pStyle w:val="BodyText"/>
        <w:spacing w:before="7"/>
        <w:rPr>
          <w:rFonts w:ascii="AdonisC"/>
          <w:i/>
          <w:sz w:val="19"/>
        </w:rPr>
      </w:pPr>
    </w:p>
    <w:p w14:paraId="47114CBF" w14:textId="77777777" w:rsidR="00DE575E" w:rsidRDefault="002E7560">
      <w:pPr>
        <w:pStyle w:val="BodyText"/>
        <w:spacing w:before="1" w:line="252" w:lineRule="auto"/>
        <w:ind w:left="250" w:right="410"/>
        <w:jc w:val="both"/>
      </w:pPr>
      <w:r>
        <w:rPr>
          <w:color w:val="231F20"/>
        </w:rPr>
        <w:t xml:space="preserve">мотивів, що порушують норми права, може супроводжуватись неправомірними діями </w:t>
      </w:r>
      <w:r>
        <w:rPr>
          <w:color w:val="231F20"/>
          <w:spacing w:val="-3"/>
        </w:rPr>
        <w:t xml:space="preserve">суб’єкта </w:t>
      </w:r>
      <w:r>
        <w:rPr>
          <w:color w:val="231F20"/>
        </w:rPr>
        <w:t>(як активними, так і пасивними) та вимагати певних док</w:t>
      </w:r>
      <w:r>
        <w:rPr>
          <w:color w:val="231F20"/>
        </w:rPr>
        <w:t xml:space="preserve">азів. </w:t>
      </w:r>
      <w:r>
        <w:rPr>
          <w:color w:val="231F20"/>
          <w:spacing w:val="-4"/>
        </w:rPr>
        <w:t xml:space="preserve">Так, </w:t>
      </w:r>
      <w:r>
        <w:rPr>
          <w:color w:val="231F20"/>
        </w:rPr>
        <w:t>до активних дій може бути віднесено спробу</w:t>
      </w:r>
      <w:r>
        <w:rPr>
          <w:color w:val="231F20"/>
          <w:spacing w:val="-12"/>
        </w:rPr>
        <w:t xml:space="preserve"> </w:t>
      </w:r>
      <w:r>
        <w:rPr>
          <w:color w:val="231F20"/>
        </w:rPr>
        <w:t>виїхати</w:t>
      </w:r>
      <w:r>
        <w:rPr>
          <w:color w:val="231F20"/>
          <w:spacing w:val="-12"/>
        </w:rPr>
        <w:t xml:space="preserve"> </w:t>
      </w:r>
      <w:r>
        <w:rPr>
          <w:color w:val="231F20"/>
        </w:rPr>
        <w:t>за</w:t>
      </w:r>
      <w:r>
        <w:rPr>
          <w:color w:val="231F20"/>
          <w:spacing w:val="-12"/>
        </w:rPr>
        <w:t xml:space="preserve"> </w:t>
      </w:r>
      <w:r>
        <w:rPr>
          <w:color w:val="231F20"/>
        </w:rPr>
        <w:t>кордон,</w:t>
      </w:r>
      <w:r>
        <w:rPr>
          <w:color w:val="231F20"/>
          <w:spacing w:val="-12"/>
        </w:rPr>
        <w:t xml:space="preserve"> </w:t>
      </w:r>
      <w:r>
        <w:rPr>
          <w:color w:val="231F20"/>
        </w:rPr>
        <w:t>до</w:t>
      </w:r>
      <w:r>
        <w:rPr>
          <w:color w:val="231F20"/>
          <w:spacing w:val="-12"/>
        </w:rPr>
        <w:t xml:space="preserve"> </w:t>
      </w:r>
      <w:r>
        <w:rPr>
          <w:color w:val="231F20"/>
        </w:rPr>
        <w:t>пасивних</w:t>
      </w:r>
      <w:r>
        <w:rPr>
          <w:color w:val="231F20"/>
          <w:spacing w:val="-12"/>
        </w:rPr>
        <w:t xml:space="preserve"> </w:t>
      </w:r>
      <w:r>
        <w:rPr>
          <w:color w:val="231F20"/>
        </w:rPr>
        <w:t>–</w:t>
      </w:r>
      <w:r>
        <w:rPr>
          <w:color w:val="231F20"/>
          <w:spacing w:val="-12"/>
        </w:rPr>
        <w:t xml:space="preserve"> </w:t>
      </w:r>
      <w:r>
        <w:rPr>
          <w:color w:val="231F20"/>
        </w:rPr>
        <w:t>несплату</w:t>
      </w:r>
      <w:r>
        <w:rPr>
          <w:color w:val="231F20"/>
          <w:spacing w:val="-12"/>
        </w:rPr>
        <w:t xml:space="preserve"> </w:t>
      </w:r>
      <w:r>
        <w:rPr>
          <w:color w:val="231F20"/>
        </w:rPr>
        <w:t>поточних</w:t>
      </w:r>
      <w:r>
        <w:rPr>
          <w:color w:val="231F20"/>
          <w:spacing w:val="-12"/>
        </w:rPr>
        <w:t xml:space="preserve"> </w:t>
      </w:r>
      <w:r>
        <w:rPr>
          <w:color w:val="231F20"/>
        </w:rPr>
        <w:t>платежів до бюджету після укладення договору про розстрочення (відстро- чення) податкових</w:t>
      </w:r>
      <w:r>
        <w:rPr>
          <w:color w:val="231F20"/>
          <w:spacing w:val="-1"/>
        </w:rPr>
        <w:t xml:space="preserve"> </w:t>
      </w:r>
      <w:r>
        <w:rPr>
          <w:color w:val="231F20"/>
        </w:rPr>
        <w:t>зобов’язань.</w:t>
      </w:r>
    </w:p>
    <w:p w14:paraId="7DBA1346" w14:textId="77777777" w:rsidR="00DE575E" w:rsidRDefault="002E7560">
      <w:pPr>
        <w:pStyle w:val="BodyText"/>
        <w:spacing w:before="3" w:line="252" w:lineRule="auto"/>
        <w:ind w:left="250" w:right="411" w:firstLine="283"/>
        <w:jc w:val="both"/>
      </w:pPr>
      <w:r>
        <w:rPr>
          <w:color w:val="231F20"/>
        </w:rPr>
        <w:t>Нікчемний</w:t>
      </w:r>
      <w:r>
        <w:rPr>
          <w:color w:val="231F20"/>
          <w:spacing w:val="-9"/>
        </w:rPr>
        <w:t xml:space="preserve"> </w:t>
      </w:r>
      <w:r>
        <w:rPr>
          <w:color w:val="231F20"/>
          <w:spacing w:val="-3"/>
        </w:rPr>
        <w:t>адміністративний</w:t>
      </w:r>
      <w:r>
        <w:rPr>
          <w:color w:val="231F20"/>
          <w:spacing w:val="-10"/>
        </w:rPr>
        <w:t xml:space="preserve"> </w:t>
      </w:r>
      <w:r>
        <w:rPr>
          <w:color w:val="231F20"/>
        </w:rPr>
        <w:t>договір</w:t>
      </w:r>
      <w:r>
        <w:rPr>
          <w:color w:val="231F20"/>
          <w:spacing w:val="-9"/>
        </w:rPr>
        <w:t xml:space="preserve"> </w:t>
      </w:r>
      <w:r>
        <w:rPr>
          <w:i/>
          <w:color w:val="231F20"/>
        </w:rPr>
        <w:t>не</w:t>
      </w:r>
      <w:r>
        <w:rPr>
          <w:i/>
          <w:color w:val="231F20"/>
          <w:spacing w:val="-9"/>
        </w:rPr>
        <w:t xml:space="preserve"> </w:t>
      </w:r>
      <w:r>
        <w:rPr>
          <w:i/>
          <w:color w:val="231F20"/>
          <w:spacing w:val="-3"/>
        </w:rPr>
        <w:t>зумовлює</w:t>
      </w:r>
      <w:r>
        <w:rPr>
          <w:i/>
          <w:color w:val="231F20"/>
          <w:spacing w:val="-10"/>
        </w:rPr>
        <w:t xml:space="preserve"> </w:t>
      </w:r>
      <w:r>
        <w:rPr>
          <w:i/>
          <w:color w:val="231F20"/>
          <w:spacing w:val="-4"/>
        </w:rPr>
        <w:t>жодних</w:t>
      </w:r>
      <w:r>
        <w:rPr>
          <w:i/>
          <w:color w:val="231F20"/>
          <w:spacing w:val="-9"/>
        </w:rPr>
        <w:t xml:space="preserve"> </w:t>
      </w:r>
      <w:r>
        <w:rPr>
          <w:i/>
          <w:color w:val="231F20"/>
          <w:spacing w:val="-3"/>
        </w:rPr>
        <w:t xml:space="preserve">юридич- </w:t>
      </w:r>
      <w:r>
        <w:rPr>
          <w:i/>
          <w:color w:val="231F20"/>
        </w:rPr>
        <w:t xml:space="preserve">них </w:t>
      </w:r>
      <w:r>
        <w:rPr>
          <w:i/>
          <w:color w:val="231F20"/>
          <w:spacing w:val="-3"/>
        </w:rPr>
        <w:t>наслідків</w:t>
      </w:r>
      <w:r>
        <w:rPr>
          <w:color w:val="231F20"/>
          <w:spacing w:val="-3"/>
        </w:rPr>
        <w:t xml:space="preserve">. </w:t>
      </w:r>
      <w:r>
        <w:rPr>
          <w:color w:val="231F20"/>
        </w:rPr>
        <w:t xml:space="preserve">У разі якщо </w:t>
      </w:r>
      <w:r>
        <w:rPr>
          <w:color w:val="231F20"/>
          <w:spacing w:val="-3"/>
        </w:rPr>
        <w:t xml:space="preserve">адміністративний </w:t>
      </w:r>
      <w:r>
        <w:rPr>
          <w:color w:val="231F20"/>
        </w:rPr>
        <w:t xml:space="preserve">договір </w:t>
      </w:r>
      <w:r>
        <w:rPr>
          <w:color w:val="231F20"/>
          <w:spacing w:val="-3"/>
        </w:rPr>
        <w:t xml:space="preserve">містить лише деякі </w:t>
      </w:r>
      <w:r>
        <w:rPr>
          <w:color w:val="231F20"/>
        </w:rPr>
        <w:t xml:space="preserve">нікчемні </w:t>
      </w:r>
      <w:r>
        <w:rPr>
          <w:color w:val="231F20"/>
          <w:spacing w:val="-3"/>
        </w:rPr>
        <w:t xml:space="preserve">положення, весь адміністративний </w:t>
      </w:r>
      <w:r>
        <w:rPr>
          <w:color w:val="231F20"/>
        </w:rPr>
        <w:t xml:space="preserve">договір </w:t>
      </w:r>
      <w:r>
        <w:rPr>
          <w:color w:val="231F20"/>
          <w:spacing w:val="-3"/>
        </w:rPr>
        <w:t xml:space="preserve">слід визна- вати </w:t>
      </w:r>
      <w:r>
        <w:rPr>
          <w:color w:val="231F20"/>
        </w:rPr>
        <w:t xml:space="preserve">нікчемним </w:t>
      </w:r>
      <w:r>
        <w:rPr>
          <w:color w:val="231F20"/>
          <w:spacing w:val="-3"/>
        </w:rPr>
        <w:t xml:space="preserve">лише </w:t>
      </w:r>
      <w:r>
        <w:rPr>
          <w:color w:val="231F20"/>
        </w:rPr>
        <w:t xml:space="preserve">в тому </w:t>
      </w:r>
      <w:r>
        <w:rPr>
          <w:color w:val="231F20"/>
          <w:spacing w:val="-3"/>
        </w:rPr>
        <w:t xml:space="preserve">разі, </w:t>
      </w:r>
      <w:r>
        <w:rPr>
          <w:color w:val="231F20"/>
        </w:rPr>
        <w:t xml:space="preserve">якщо без цих </w:t>
      </w:r>
      <w:r>
        <w:rPr>
          <w:color w:val="231F20"/>
          <w:spacing w:val="-3"/>
        </w:rPr>
        <w:t xml:space="preserve">«дефектних» поло- жень </w:t>
      </w:r>
      <w:r>
        <w:rPr>
          <w:color w:val="231F20"/>
        </w:rPr>
        <w:t xml:space="preserve">його </w:t>
      </w:r>
      <w:r>
        <w:rPr>
          <w:color w:val="231F20"/>
          <w:spacing w:val="-3"/>
        </w:rPr>
        <w:t xml:space="preserve">виконання </w:t>
      </w:r>
      <w:r>
        <w:rPr>
          <w:color w:val="231F20"/>
        </w:rPr>
        <w:t xml:space="preserve">є </w:t>
      </w:r>
      <w:r>
        <w:rPr>
          <w:color w:val="231F20"/>
          <w:spacing w:val="-3"/>
        </w:rPr>
        <w:t xml:space="preserve">неможливим. </w:t>
      </w:r>
      <w:r>
        <w:rPr>
          <w:color w:val="231F20"/>
        </w:rPr>
        <w:t xml:space="preserve">В </w:t>
      </w:r>
      <w:r>
        <w:rPr>
          <w:color w:val="231F20"/>
          <w:spacing w:val="-3"/>
        </w:rPr>
        <w:t xml:space="preserve">іншому </w:t>
      </w:r>
      <w:r>
        <w:rPr>
          <w:color w:val="231F20"/>
        </w:rPr>
        <w:t>р</w:t>
      </w:r>
      <w:r>
        <w:rPr>
          <w:color w:val="231F20"/>
        </w:rPr>
        <w:t xml:space="preserve">азі </w:t>
      </w:r>
      <w:r>
        <w:rPr>
          <w:color w:val="231F20"/>
          <w:spacing w:val="-3"/>
        </w:rPr>
        <w:t xml:space="preserve">адміністративний </w:t>
      </w:r>
      <w:r>
        <w:rPr>
          <w:color w:val="231F20"/>
        </w:rPr>
        <w:t>договір</w:t>
      </w:r>
      <w:r>
        <w:rPr>
          <w:color w:val="231F20"/>
          <w:spacing w:val="-7"/>
        </w:rPr>
        <w:t xml:space="preserve"> </w:t>
      </w:r>
      <w:r>
        <w:rPr>
          <w:color w:val="231F20"/>
          <w:spacing w:val="-5"/>
        </w:rPr>
        <w:t>буде</w:t>
      </w:r>
      <w:r>
        <w:rPr>
          <w:color w:val="231F20"/>
          <w:spacing w:val="-7"/>
        </w:rPr>
        <w:t xml:space="preserve"> </w:t>
      </w:r>
      <w:r>
        <w:rPr>
          <w:color w:val="231F20"/>
        </w:rPr>
        <w:t>чинним</w:t>
      </w:r>
      <w:r>
        <w:rPr>
          <w:color w:val="231F20"/>
          <w:spacing w:val="-7"/>
        </w:rPr>
        <w:t xml:space="preserve"> </w:t>
      </w:r>
      <w:r>
        <w:rPr>
          <w:color w:val="231F20"/>
          <w:spacing w:val="-3"/>
        </w:rPr>
        <w:t>лише</w:t>
      </w:r>
      <w:r>
        <w:rPr>
          <w:color w:val="231F20"/>
          <w:spacing w:val="-7"/>
        </w:rPr>
        <w:t xml:space="preserve"> </w:t>
      </w:r>
      <w:r>
        <w:rPr>
          <w:color w:val="231F20"/>
        </w:rPr>
        <w:t>в</w:t>
      </w:r>
      <w:r>
        <w:rPr>
          <w:color w:val="231F20"/>
          <w:spacing w:val="-7"/>
        </w:rPr>
        <w:t xml:space="preserve"> </w:t>
      </w:r>
      <w:r>
        <w:rPr>
          <w:color w:val="231F20"/>
          <w:spacing w:val="-3"/>
        </w:rPr>
        <w:t>межах</w:t>
      </w:r>
      <w:r>
        <w:rPr>
          <w:color w:val="231F20"/>
          <w:spacing w:val="-7"/>
        </w:rPr>
        <w:t xml:space="preserve"> </w:t>
      </w:r>
      <w:r>
        <w:rPr>
          <w:color w:val="231F20"/>
        </w:rPr>
        <w:t>його</w:t>
      </w:r>
      <w:r>
        <w:rPr>
          <w:color w:val="231F20"/>
          <w:spacing w:val="-7"/>
        </w:rPr>
        <w:t xml:space="preserve"> </w:t>
      </w:r>
      <w:r>
        <w:rPr>
          <w:color w:val="231F20"/>
          <w:spacing w:val="-3"/>
        </w:rPr>
        <w:t>«недефектних»</w:t>
      </w:r>
      <w:r>
        <w:rPr>
          <w:color w:val="231F20"/>
          <w:spacing w:val="-7"/>
        </w:rPr>
        <w:t xml:space="preserve"> </w:t>
      </w:r>
      <w:r>
        <w:rPr>
          <w:color w:val="231F20"/>
          <w:spacing w:val="-3"/>
        </w:rPr>
        <w:t>положень</w:t>
      </w:r>
      <w:r>
        <w:rPr>
          <w:color w:val="231F20"/>
          <w:spacing w:val="-3"/>
          <w:position w:val="7"/>
          <w:sz w:val="12"/>
        </w:rPr>
        <w:t>1</w:t>
      </w:r>
      <w:r>
        <w:rPr>
          <w:color w:val="231F20"/>
          <w:spacing w:val="-3"/>
        </w:rPr>
        <w:t>.</w:t>
      </w:r>
    </w:p>
    <w:p w14:paraId="6682671A" w14:textId="77777777" w:rsidR="00DE575E" w:rsidRDefault="002E7560">
      <w:pPr>
        <w:pStyle w:val="BodyText"/>
        <w:spacing w:before="3" w:line="252" w:lineRule="auto"/>
        <w:ind w:left="250" w:right="410" w:firstLine="283"/>
        <w:jc w:val="both"/>
      </w:pPr>
      <w:r>
        <w:rPr>
          <w:color w:val="231F20"/>
        </w:rPr>
        <w:t xml:space="preserve">Поряд із нікчемними визначаються </w:t>
      </w:r>
      <w:r>
        <w:rPr>
          <w:i/>
          <w:color w:val="231F20"/>
        </w:rPr>
        <w:t>заперечні адміністративні договори</w:t>
      </w:r>
      <w:r>
        <w:rPr>
          <w:color w:val="231F20"/>
        </w:rPr>
        <w:t xml:space="preserve">,  що  мають  такі  ознаки:  невідповідність  їх  вимогам  не  є очевидною, а відтак може бути оскаржена в </w:t>
      </w:r>
      <w:r>
        <w:rPr>
          <w:color w:val="231F20"/>
          <w:spacing w:val="-3"/>
        </w:rPr>
        <w:t xml:space="preserve">судовому </w:t>
      </w:r>
      <w:r>
        <w:rPr>
          <w:color w:val="231F20"/>
        </w:rPr>
        <w:t xml:space="preserve">порядку; діє до моменту визнання його </w:t>
      </w:r>
      <w:r>
        <w:rPr>
          <w:color w:val="231F20"/>
          <w:spacing w:val="-3"/>
        </w:rPr>
        <w:t xml:space="preserve">судом </w:t>
      </w:r>
      <w:r>
        <w:rPr>
          <w:color w:val="231F20"/>
        </w:rPr>
        <w:t>недійсним; заперечний адмініст- ративний договір підлягає виконанню до моменту визнання його нед</w:t>
      </w:r>
      <w:r>
        <w:rPr>
          <w:color w:val="231F20"/>
        </w:rPr>
        <w:t>ійсним.</w:t>
      </w:r>
    </w:p>
    <w:p w14:paraId="33BA4842" w14:textId="77777777" w:rsidR="00DE575E" w:rsidRDefault="002E7560">
      <w:pPr>
        <w:pStyle w:val="BodyText"/>
        <w:spacing w:before="3" w:line="252" w:lineRule="auto"/>
        <w:ind w:left="250" w:right="411" w:firstLine="283"/>
        <w:jc w:val="both"/>
      </w:pPr>
      <w:r>
        <w:rPr>
          <w:color w:val="231F20"/>
        </w:rPr>
        <w:t>Нікчемність і заперечність адміністративних договорів установ- люється в судовому порядку.</w:t>
      </w:r>
    </w:p>
    <w:p w14:paraId="0C72D077" w14:textId="77777777" w:rsidR="00DE575E" w:rsidRDefault="00DE575E">
      <w:pPr>
        <w:pStyle w:val="BodyText"/>
        <w:rPr>
          <w:sz w:val="22"/>
        </w:rPr>
      </w:pPr>
    </w:p>
    <w:p w14:paraId="2BB41975" w14:textId="77777777" w:rsidR="00DE575E" w:rsidRDefault="002E7560">
      <w:pPr>
        <w:pStyle w:val="Heading5"/>
        <w:spacing w:before="1" w:line="252" w:lineRule="auto"/>
        <w:ind w:right="2262"/>
      </w:pPr>
      <w:r>
        <w:rPr>
          <w:color w:val="231F20"/>
        </w:rPr>
        <w:t>7.4.6. Підстави визнання адміністративного договору нікчемним</w:t>
      </w:r>
    </w:p>
    <w:p w14:paraId="37416822" w14:textId="77777777" w:rsidR="00DE575E" w:rsidRDefault="00DE575E">
      <w:pPr>
        <w:pStyle w:val="BodyText"/>
        <w:rPr>
          <w:b/>
          <w:sz w:val="22"/>
        </w:rPr>
      </w:pPr>
    </w:p>
    <w:p w14:paraId="6344B6E4" w14:textId="77777777" w:rsidR="00DE575E" w:rsidRDefault="002E7560">
      <w:pPr>
        <w:pStyle w:val="BodyText"/>
        <w:spacing w:before="1"/>
        <w:ind w:left="533"/>
      </w:pPr>
      <w:r>
        <w:rPr>
          <w:color w:val="231F20"/>
        </w:rPr>
        <w:t>Адміністративний договір має визнаватись нікчемним, якщо:</w:t>
      </w:r>
    </w:p>
    <w:p w14:paraId="5E294129" w14:textId="77777777" w:rsidR="00DE575E" w:rsidRDefault="002E7560">
      <w:pPr>
        <w:pStyle w:val="ListParagraph"/>
        <w:numPr>
          <w:ilvl w:val="0"/>
          <w:numId w:val="183"/>
        </w:numPr>
        <w:tabs>
          <w:tab w:val="left" w:pos="818"/>
        </w:tabs>
        <w:spacing w:before="12" w:line="252" w:lineRule="auto"/>
        <w:ind w:right="410" w:firstLine="283"/>
        <w:jc w:val="both"/>
        <w:rPr>
          <w:sz w:val="21"/>
        </w:rPr>
      </w:pPr>
      <w:r>
        <w:rPr>
          <w:color w:val="231F20"/>
          <w:sz w:val="21"/>
        </w:rPr>
        <w:t xml:space="preserve">зміст  адміністративного  договору  суперечить  Конститу-   ції </w:t>
      </w:r>
      <w:r>
        <w:rPr>
          <w:color w:val="231F20"/>
          <w:spacing w:val="-3"/>
          <w:sz w:val="21"/>
        </w:rPr>
        <w:t xml:space="preserve">України, </w:t>
      </w:r>
      <w:r>
        <w:rPr>
          <w:color w:val="231F20"/>
          <w:sz w:val="21"/>
        </w:rPr>
        <w:t>законам й ухваленим на їх основі нормативним актам вищих органів виконавчої</w:t>
      </w:r>
      <w:r>
        <w:rPr>
          <w:color w:val="231F20"/>
          <w:spacing w:val="-3"/>
          <w:sz w:val="21"/>
        </w:rPr>
        <w:t xml:space="preserve"> </w:t>
      </w:r>
      <w:r>
        <w:rPr>
          <w:color w:val="231F20"/>
          <w:sz w:val="21"/>
        </w:rPr>
        <w:t>влади;</w:t>
      </w:r>
    </w:p>
    <w:p w14:paraId="6FB5B728" w14:textId="77777777" w:rsidR="00DE575E" w:rsidRDefault="002E7560">
      <w:pPr>
        <w:pStyle w:val="ListParagraph"/>
        <w:numPr>
          <w:ilvl w:val="0"/>
          <w:numId w:val="183"/>
        </w:numPr>
        <w:tabs>
          <w:tab w:val="left" w:pos="818"/>
        </w:tabs>
        <w:spacing w:before="2" w:line="252" w:lineRule="auto"/>
        <w:ind w:right="411" w:firstLine="283"/>
        <w:jc w:val="both"/>
        <w:rPr>
          <w:sz w:val="21"/>
        </w:rPr>
      </w:pPr>
      <w:r>
        <w:rPr>
          <w:color w:val="231F20"/>
          <w:sz w:val="21"/>
        </w:rPr>
        <w:t>не дотримано вимогу щодо письмової форми адміністратив- ного</w:t>
      </w:r>
      <w:r>
        <w:rPr>
          <w:color w:val="231F20"/>
          <w:spacing w:val="-1"/>
          <w:sz w:val="21"/>
        </w:rPr>
        <w:t xml:space="preserve"> </w:t>
      </w:r>
      <w:r>
        <w:rPr>
          <w:color w:val="231F20"/>
          <w:sz w:val="21"/>
        </w:rPr>
        <w:t>договору;</w:t>
      </w:r>
    </w:p>
    <w:p w14:paraId="29405DA3" w14:textId="77777777" w:rsidR="00DE575E" w:rsidRDefault="002E7560">
      <w:pPr>
        <w:pStyle w:val="ListParagraph"/>
        <w:numPr>
          <w:ilvl w:val="0"/>
          <w:numId w:val="183"/>
        </w:numPr>
        <w:tabs>
          <w:tab w:val="left" w:pos="818"/>
        </w:tabs>
        <w:spacing w:line="252" w:lineRule="auto"/>
        <w:ind w:right="411" w:firstLine="283"/>
        <w:jc w:val="both"/>
        <w:rPr>
          <w:sz w:val="21"/>
        </w:rPr>
      </w:pPr>
      <w:r>
        <w:rPr>
          <w:color w:val="231F20"/>
          <w:sz w:val="21"/>
        </w:rPr>
        <w:t>адміністративний договір спря</w:t>
      </w:r>
      <w:r>
        <w:rPr>
          <w:color w:val="231F20"/>
          <w:sz w:val="21"/>
        </w:rPr>
        <w:t>мовано на порушення консти- туційних прав і свобод людини і</w:t>
      </w:r>
      <w:r>
        <w:rPr>
          <w:color w:val="231F20"/>
          <w:spacing w:val="-8"/>
          <w:sz w:val="21"/>
        </w:rPr>
        <w:t xml:space="preserve"> </w:t>
      </w:r>
      <w:r>
        <w:rPr>
          <w:color w:val="231F20"/>
          <w:sz w:val="21"/>
        </w:rPr>
        <w:t>громадянина;</w:t>
      </w:r>
    </w:p>
    <w:p w14:paraId="25550378" w14:textId="77777777" w:rsidR="00DE575E" w:rsidRDefault="002E7560">
      <w:pPr>
        <w:pStyle w:val="ListParagraph"/>
        <w:numPr>
          <w:ilvl w:val="0"/>
          <w:numId w:val="183"/>
        </w:numPr>
        <w:tabs>
          <w:tab w:val="left" w:pos="818"/>
        </w:tabs>
        <w:spacing w:line="252" w:lineRule="auto"/>
        <w:ind w:right="411" w:firstLine="283"/>
        <w:jc w:val="both"/>
        <w:rPr>
          <w:sz w:val="21"/>
        </w:rPr>
      </w:pPr>
      <w:r>
        <w:rPr>
          <w:color w:val="231F20"/>
          <w:sz w:val="21"/>
        </w:rPr>
        <w:t>виконання цього адміністративного договору вимагає здійс- нення протиправного</w:t>
      </w:r>
      <w:r>
        <w:rPr>
          <w:color w:val="231F20"/>
          <w:spacing w:val="-1"/>
          <w:sz w:val="21"/>
        </w:rPr>
        <w:t xml:space="preserve"> </w:t>
      </w:r>
      <w:r>
        <w:rPr>
          <w:color w:val="231F20"/>
          <w:sz w:val="21"/>
        </w:rPr>
        <w:t>діяння;</w:t>
      </w:r>
    </w:p>
    <w:p w14:paraId="4972D07C" w14:textId="77777777" w:rsidR="00DE575E" w:rsidRDefault="002E7560">
      <w:pPr>
        <w:pStyle w:val="ListParagraph"/>
        <w:numPr>
          <w:ilvl w:val="0"/>
          <w:numId w:val="183"/>
        </w:numPr>
        <w:tabs>
          <w:tab w:val="left" w:pos="818"/>
        </w:tabs>
        <w:spacing w:line="252" w:lineRule="auto"/>
        <w:ind w:right="411" w:firstLine="283"/>
        <w:jc w:val="both"/>
        <w:rPr>
          <w:sz w:val="21"/>
        </w:rPr>
      </w:pPr>
      <w:r>
        <w:rPr>
          <w:color w:val="231F20"/>
          <w:sz w:val="21"/>
        </w:rPr>
        <w:t>укладено адміністративний договір особою (фізичною чи юридичною), яка не володіє адміністративно-</w:t>
      </w:r>
      <w:r>
        <w:rPr>
          <w:color w:val="231F20"/>
          <w:sz w:val="21"/>
        </w:rPr>
        <w:t>договірною правоз- датністю;</w:t>
      </w:r>
    </w:p>
    <w:p w14:paraId="54B5003C" w14:textId="5E71F7CB" w:rsidR="00DE575E" w:rsidRDefault="002E7560">
      <w:pPr>
        <w:pStyle w:val="BodyText"/>
        <w:spacing w:before="6"/>
        <w:rPr>
          <w:sz w:val="24"/>
        </w:rPr>
      </w:pPr>
      <w:r>
        <w:rPr>
          <w:noProof/>
        </w:rPr>
        <mc:AlternateContent>
          <mc:Choice Requires="wps">
            <w:drawing>
              <wp:anchor distT="0" distB="0" distL="0" distR="0" simplePos="0" relativeHeight="9712" behindDoc="0" locked="0" layoutInCell="1" allowOverlap="1" wp14:anchorId="7B7AC12E" wp14:editId="70C55C47">
                <wp:simplePos x="0" y="0"/>
                <wp:positionH relativeFrom="page">
                  <wp:posOffset>539750</wp:posOffset>
                </wp:positionH>
                <wp:positionV relativeFrom="paragraph">
                  <wp:posOffset>210185</wp:posOffset>
                </wp:positionV>
                <wp:extent cx="1080135" cy="0"/>
                <wp:effectExtent l="6350" t="6985" r="31115" b="31115"/>
                <wp:wrapTopAndBottom/>
                <wp:docPr id="807"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C75A" id="Line_x0020_806" o:spid="_x0000_s1026" style="position:absolute;z-index: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5pt" to="127.55pt,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" strokecolor="#231f20" strokeweight=".5pt">
                <w10:wrap type="topAndBottom" anchorx="page"/>
              </v:line>
            </w:pict>
          </mc:Fallback>
        </mc:AlternateContent>
      </w:r>
    </w:p>
    <w:p w14:paraId="3ED6D9CF" w14:textId="77777777" w:rsidR="00DE575E" w:rsidRDefault="002E7560">
      <w:pPr>
        <w:spacing w:line="162" w:lineRule="exact"/>
        <w:ind w:left="250"/>
        <w:rPr>
          <w:sz w:val="16"/>
        </w:rPr>
      </w:pPr>
      <w:r>
        <w:rPr>
          <w:color w:val="231F20"/>
          <w:position w:val="5"/>
          <w:sz w:val="9"/>
        </w:rPr>
        <w:t xml:space="preserve">1 </w:t>
      </w:r>
      <w:r>
        <w:rPr>
          <w:color w:val="231F20"/>
          <w:sz w:val="16"/>
        </w:rPr>
        <w:t>Мельник Р. Зазнач. праця.</w:t>
      </w:r>
    </w:p>
    <w:p w14:paraId="536EB623" w14:textId="77777777" w:rsidR="00DE575E" w:rsidRDefault="00DE575E">
      <w:pPr>
        <w:pStyle w:val="BodyText"/>
        <w:spacing w:before="10"/>
        <w:rPr>
          <w:sz w:val="11"/>
        </w:rPr>
      </w:pPr>
    </w:p>
    <w:p w14:paraId="594E31AF" w14:textId="77777777" w:rsidR="00DE575E" w:rsidRDefault="002E7560">
      <w:pPr>
        <w:spacing w:before="92"/>
        <w:ind w:right="411"/>
        <w:jc w:val="right"/>
        <w:rPr>
          <w:rFonts w:ascii="Times New Roman"/>
          <w:sz w:val="20"/>
        </w:rPr>
      </w:pPr>
      <w:r>
        <w:rPr>
          <w:rFonts w:ascii="Times New Roman"/>
          <w:color w:val="231F20"/>
          <w:w w:val="90"/>
          <w:sz w:val="20"/>
        </w:rPr>
        <w:t>239</w:t>
      </w:r>
    </w:p>
    <w:p w14:paraId="27D4DFA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C95557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7FCDF31" w14:textId="55172B4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F51EA63" wp14:editId="505E84BD">
                <wp:extent cx="4140200" cy="6350"/>
                <wp:effectExtent l="0" t="0" r="12700" b="6350"/>
                <wp:docPr id="80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06" name="Line 80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87C3C1" id="Group_x0020_80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w4h6t/AgAAmAUAAA4A&#10;AAAAAAAAAAAAAAAALAIAAGRycy9lMm9Eb2MueG1sUEsBAi0AFAAGAAgAAAAhAEynsJDZAAAAAwEA&#10;AA8AAAAAAAAAAAAAAAAA1wQAAGRycy9kb3ducmV2LnhtbFBLBQYAAAAABAAEAPMAAADdBQAAAAA=&#10;">
                <v:line id="Line_x0020_80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4iNMUAAADcAAAADwAAAGRycy9kb3ducmV2LnhtbESP0WrCQBRE3wv+w3IFX4puqiASXUUK&#10;heKDWuMHXLPXJLh7N2ZXE/v1XaHg4zAzZ5jFqrNG3KnxlWMFH6MEBHHudMWFgmP2NZyB8AFZo3FM&#10;Ch7kYbXsvS0w1a7lH7ofQiEihH2KCsoQ6lRKn5dk0Y9cTRy9s2sshiibQuoG2wi3Ro6TZCotVhwX&#10;Sqzps6T8crhZBdn1PZj9bmPabHeayNN1O/m9bZUa9Lv1HESgLrzC/+1vrWCWTOF5Jh4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94iNMUAAADcAAAADwAAAAAAAAAA&#10;AAAAAAChAgAAZHJzL2Rvd25yZXYueG1sUEsFBgAAAAAEAAQA+QAAAJMDAAAAAA==&#10;" strokecolor="#231f20" strokeweight=".5pt"/>
                <w10:anchorlock/>
              </v:group>
            </w:pict>
          </mc:Fallback>
        </mc:AlternateContent>
      </w:r>
    </w:p>
    <w:p w14:paraId="3B0B4BA5" w14:textId="77777777" w:rsidR="00DE575E" w:rsidRDefault="00DE575E">
      <w:pPr>
        <w:pStyle w:val="BodyText"/>
        <w:spacing w:before="7"/>
        <w:rPr>
          <w:rFonts w:ascii="AdonisC"/>
          <w:i/>
          <w:sz w:val="11"/>
        </w:rPr>
      </w:pPr>
    </w:p>
    <w:p w14:paraId="3B61C1B3" w14:textId="77777777" w:rsidR="00DE575E" w:rsidRDefault="002E7560">
      <w:pPr>
        <w:pStyle w:val="ListParagraph"/>
        <w:numPr>
          <w:ilvl w:val="0"/>
          <w:numId w:val="182"/>
        </w:numPr>
        <w:tabs>
          <w:tab w:val="left" w:pos="1101"/>
        </w:tabs>
        <w:spacing w:before="101" w:line="252" w:lineRule="auto"/>
        <w:ind w:right="130" w:firstLine="284"/>
        <w:jc w:val="both"/>
        <w:rPr>
          <w:sz w:val="21"/>
        </w:rPr>
      </w:pPr>
      <w:r>
        <w:rPr>
          <w:color w:val="231F20"/>
          <w:sz w:val="21"/>
        </w:rPr>
        <w:t>істотно порушено процедуру укладання адміністративних договорів;</w:t>
      </w:r>
    </w:p>
    <w:p w14:paraId="3050B1D1" w14:textId="77777777" w:rsidR="00DE575E" w:rsidRDefault="002E7560">
      <w:pPr>
        <w:pStyle w:val="ListParagraph"/>
        <w:numPr>
          <w:ilvl w:val="0"/>
          <w:numId w:val="182"/>
        </w:numPr>
        <w:tabs>
          <w:tab w:val="left" w:pos="1101"/>
        </w:tabs>
        <w:spacing w:line="252" w:lineRule="auto"/>
        <w:ind w:right="128" w:firstLine="284"/>
        <w:jc w:val="both"/>
        <w:rPr>
          <w:sz w:val="21"/>
        </w:rPr>
      </w:pPr>
      <w:r>
        <w:rPr>
          <w:color w:val="231F20"/>
          <w:sz w:val="21"/>
        </w:rPr>
        <w:t>укладено фіктивний адміністративний договір, тобто такий, що</w:t>
      </w:r>
      <w:r>
        <w:rPr>
          <w:color w:val="231F20"/>
          <w:spacing w:val="-5"/>
          <w:sz w:val="21"/>
        </w:rPr>
        <w:t xml:space="preserve"> </w:t>
      </w:r>
      <w:r>
        <w:rPr>
          <w:color w:val="231F20"/>
          <w:sz w:val="21"/>
        </w:rPr>
        <w:t>укладається</w:t>
      </w:r>
      <w:r>
        <w:rPr>
          <w:color w:val="231F20"/>
          <w:spacing w:val="-5"/>
          <w:sz w:val="21"/>
        </w:rPr>
        <w:t xml:space="preserve"> </w:t>
      </w:r>
      <w:r>
        <w:rPr>
          <w:color w:val="231F20"/>
          <w:sz w:val="21"/>
        </w:rPr>
        <w:t>без</w:t>
      </w:r>
      <w:r>
        <w:rPr>
          <w:color w:val="231F20"/>
          <w:spacing w:val="-5"/>
          <w:sz w:val="21"/>
        </w:rPr>
        <w:t xml:space="preserve"> </w:t>
      </w:r>
      <w:r>
        <w:rPr>
          <w:color w:val="231F20"/>
          <w:sz w:val="21"/>
        </w:rPr>
        <w:t>наміру</w:t>
      </w:r>
      <w:r>
        <w:rPr>
          <w:color w:val="231F20"/>
          <w:spacing w:val="-5"/>
          <w:sz w:val="21"/>
        </w:rPr>
        <w:t xml:space="preserve"> </w:t>
      </w:r>
      <w:r>
        <w:rPr>
          <w:color w:val="231F20"/>
          <w:sz w:val="21"/>
        </w:rPr>
        <w:t>створення</w:t>
      </w:r>
      <w:r>
        <w:rPr>
          <w:color w:val="231F20"/>
          <w:spacing w:val="-5"/>
          <w:sz w:val="21"/>
        </w:rPr>
        <w:t xml:space="preserve"> </w:t>
      </w:r>
      <w:r>
        <w:rPr>
          <w:color w:val="231F20"/>
          <w:sz w:val="21"/>
        </w:rPr>
        <w:t>правових</w:t>
      </w:r>
      <w:r>
        <w:rPr>
          <w:color w:val="231F20"/>
          <w:spacing w:val="-5"/>
          <w:sz w:val="21"/>
        </w:rPr>
        <w:t xml:space="preserve"> </w:t>
      </w:r>
      <w:r>
        <w:rPr>
          <w:color w:val="231F20"/>
          <w:sz w:val="21"/>
        </w:rPr>
        <w:t>наслідків,</w:t>
      </w:r>
      <w:r>
        <w:rPr>
          <w:color w:val="231F20"/>
          <w:spacing w:val="-4"/>
          <w:sz w:val="21"/>
        </w:rPr>
        <w:t xml:space="preserve"> </w:t>
      </w:r>
      <w:r>
        <w:rPr>
          <w:color w:val="231F20"/>
          <w:sz w:val="21"/>
        </w:rPr>
        <w:t>які</w:t>
      </w:r>
      <w:r>
        <w:rPr>
          <w:color w:val="231F20"/>
          <w:spacing w:val="-5"/>
          <w:sz w:val="21"/>
        </w:rPr>
        <w:t xml:space="preserve"> </w:t>
      </w:r>
      <w:r>
        <w:rPr>
          <w:color w:val="231F20"/>
          <w:sz w:val="21"/>
        </w:rPr>
        <w:t>зумов- лювались цим</w:t>
      </w:r>
      <w:r>
        <w:rPr>
          <w:color w:val="231F20"/>
          <w:spacing w:val="-2"/>
          <w:sz w:val="21"/>
        </w:rPr>
        <w:t xml:space="preserve"> </w:t>
      </w:r>
      <w:r>
        <w:rPr>
          <w:color w:val="231F20"/>
          <w:sz w:val="21"/>
        </w:rPr>
        <w:t>договором;</w:t>
      </w:r>
    </w:p>
    <w:p w14:paraId="22C264D6" w14:textId="77777777" w:rsidR="00DE575E" w:rsidRDefault="002E7560">
      <w:pPr>
        <w:pStyle w:val="ListParagraph"/>
        <w:numPr>
          <w:ilvl w:val="0"/>
          <w:numId w:val="182"/>
        </w:numPr>
        <w:tabs>
          <w:tab w:val="left" w:pos="1101"/>
        </w:tabs>
        <w:spacing w:line="252" w:lineRule="auto"/>
        <w:ind w:right="128" w:firstLine="284"/>
        <w:jc w:val="both"/>
        <w:rPr>
          <w:sz w:val="21"/>
        </w:rPr>
      </w:pPr>
      <w:r>
        <w:rPr>
          <w:color w:val="231F20"/>
          <w:sz w:val="21"/>
        </w:rPr>
        <w:t>адміністративний договір видано не уповноваженим на це органом публічної адміністрації (посадовою особою) поза його компетенцією.</w:t>
      </w:r>
    </w:p>
    <w:p w14:paraId="16A32B47" w14:textId="77777777" w:rsidR="00DE575E" w:rsidRDefault="002E7560">
      <w:pPr>
        <w:pStyle w:val="Heading6"/>
        <w:spacing w:before="2" w:line="252" w:lineRule="auto"/>
        <w:ind w:right="124"/>
        <w:jc w:val="both"/>
      </w:pPr>
      <w:r>
        <w:rPr>
          <w:color w:val="231F20"/>
        </w:rPr>
        <w:t xml:space="preserve">Адміністративний договір може бути визнаний судом </w:t>
      </w:r>
      <w:r>
        <w:rPr>
          <w:color w:val="231F20"/>
        </w:rPr>
        <w:t>недійсним у разі:</w:t>
      </w:r>
    </w:p>
    <w:p w14:paraId="0CC00BDA" w14:textId="77777777" w:rsidR="00DE575E" w:rsidRDefault="002E7560">
      <w:pPr>
        <w:pStyle w:val="ListParagraph"/>
        <w:numPr>
          <w:ilvl w:val="1"/>
          <w:numId w:val="183"/>
        </w:numPr>
        <w:tabs>
          <w:tab w:val="left" w:pos="1101"/>
        </w:tabs>
        <w:ind w:firstLine="284"/>
        <w:jc w:val="left"/>
        <w:rPr>
          <w:sz w:val="21"/>
        </w:rPr>
      </w:pPr>
      <w:r>
        <w:rPr>
          <w:color w:val="231F20"/>
          <w:sz w:val="21"/>
        </w:rPr>
        <w:t>установлення помилок у процедурі його</w:t>
      </w:r>
      <w:r>
        <w:rPr>
          <w:color w:val="231F20"/>
          <w:spacing w:val="-4"/>
          <w:sz w:val="21"/>
        </w:rPr>
        <w:t xml:space="preserve"> </w:t>
      </w:r>
      <w:r>
        <w:rPr>
          <w:color w:val="231F20"/>
          <w:sz w:val="21"/>
        </w:rPr>
        <w:t>укладення;</w:t>
      </w:r>
    </w:p>
    <w:p w14:paraId="3E93617E" w14:textId="77777777" w:rsidR="00DE575E" w:rsidRDefault="002E7560">
      <w:pPr>
        <w:pStyle w:val="ListParagraph"/>
        <w:numPr>
          <w:ilvl w:val="1"/>
          <w:numId w:val="183"/>
        </w:numPr>
        <w:tabs>
          <w:tab w:val="left" w:pos="1101"/>
        </w:tabs>
        <w:spacing w:before="12" w:line="252" w:lineRule="auto"/>
        <w:ind w:right="130" w:firstLine="284"/>
        <w:rPr>
          <w:sz w:val="21"/>
        </w:rPr>
      </w:pPr>
      <w:r>
        <w:rPr>
          <w:color w:val="231F20"/>
          <w:spacing w:val="-3"/>
          <w:sz w:val="21"/>
        </w:rPr>
        <w:t xml:space="preserve">порушення спеціального порядку укладання адміністративних </w:t>
      </w:r>
      <w:r>
        <w:rPr>
          <w:color w:val="231F20"/>
          <w:spacing w:val="-2"/>
          <w:sz w:val="21"/>
        </w:rPr>
        <w:t>договорів</w:t>
      </w:r>
      <w:r>
        <w:rPr>
          <w:color w:val="231F20"/>
          <w:spacing w:val="-7"/>
          <w:sz w:val="21"/>
        </w:rPr>
        <w:t xml:space="preserve"> </w:t>
      </w:r>
      <w:r>
        <w:rPr>
          <w:color w:val="231F20"/>
          <w:spacing w:val="-3"/>
          <w:sz w:val="21"/>
        </w:rPr>
        <w:t>(напр.,</w:t>
      </w:r>
      <w:r>
        <w:rPr>
          <w:color w:val="231F20"/>
          <w:spacing w:val="-7"/>
          <w:sz w:val="21"/>
        </w:rPr>
        <w:t xml:space="preserve"> </w:t>
      </w:r>
      <w:r>
        <w:rPr>
          <w:color w:val="231F20"/>
          <w:sz w:val="21"/>
        </w:rPr>
        <w:t>невчасне</w:t>
      </w:r>
      <w:r>
        <w:rPr>
          <w:color w:val="231F20"/>
          <w:spacing w:val="-7"/>
          <w:sz w:val="21"/>
        </w:rPr>
        <w:t xml:space="preserve"> </w:t>
      </w:r>
      <w:r>
        <w:rPr>
          <w:color w:val="231F20"/>
          <w:spacing w:val="-3"/>
          <w:sz w:val="21"/>
        </w:rPr>
        <w:t>доведення</w:t>
      </w:r>
      <w:r>
        <w:rPr>
          <w:color w:val="231F20"/>
          <w:spacing w:val="-7"/>
          <w:sz w:val="21"/>
        </w:rPr>
        <w:t xml:space="preserve"> </w:t>
      </w:r>
      <w:r>
        <w:rPr>
          <w:color w:val="231F20"/>
          <w:sz w:val="21"/>
        </w:rPr>
        <w:t>його</w:t>
      </w:r>
      <w:r>
        <w:rPr>
          <w:color w:val="231F20"/>
          <w:spacing w:val="-7"/>
          <w:sz w:val="21"/>
        </w:rPr>
        <w:t xml:space="preserve"> </w:t>
      </w:r>
      <w:r>
        <w:rPr>
          <w:color w:val="231F20"/>
          <w:sz w:val="21"/>
        </w:rPr>
        <w:t>змісту</w:t>
      </w:r>
      <w:r>
        <w:rPr>
          <w:color w:val="231F20"/>
          <w:spacing w:val="-7"/>
          <w:sz w:val="21"/>
        </w:rPr>
        <w:t xml:space="preserve"> </w:t>
      </w:r>
      <w:r>
        <w:rPr>
          <w:color w:val="231F20"/>
          <w:sz w:val="21"/>
        </w:rPr>
        <w:t>до</w:t>
      </w:r>
      <w:r>
        <w:rPr>
          <w:color w:val="231F20"/>
          <w:spacing w:val="-7"/>
          <w:sz w:val="21"/>
        </w:rPr>
        <w:t xml:space="preserve"> </w:t>
      </w:r>
      <w:r>
        <w:rPr>
          <w:color w:val="231F20"/>
          <w:spacing w:val="-4"/>
          <w:sz w:val="21"/>
        </w:rPr>
        <w:t>виконавців);</w:t>
      </w:r>
    </w:p>
    <w:p w14:paraId="370FFA90" w14:textId="77777777" w:rsidR="00DE575E" w:rsidRDefault="002E7560">
      <w:pPr>
        <w:pStyle w:val="ListParagraph"/>
        <w:numPr>
          <w:ilvl w:val="1"/>
          <w:numId w:val="183"/>
        </w:numPr>
        <w:tabs>
          <w:tab w:val="left" w:pos="1101"/>
        </w:tabs>
        <w:spacing w:line="252" w:lineRule="auto"/>
        <w:ind w:right="129" w:firstLine="284"/>
        <w:rPr>
          <w:sz w:val="21"/>
        </w:rPr>
      </w:pPr>
      <w:r>
        <w:rPr>
          <w:color w:val="231F20"/>
          <w:sz w:val="21"/>
        </w:rPr>
        <w:t>мета укладання адміністративного договору не відповідає встановленій у законі, проте не суперечить нормам</w:t>
      </w:r>
      <w:r>
        <w:rPr>
          <w:color w:val="231F20"/>
          <w:spacing w:val="-5"/>
          <w:sz w:val="21"/>
        </w:rPr>
        <w:t xml:space="preserve"> </w:t>
      </w:r>
      <w:r>
        <w:rPr>
          <w:color w:val="231F20"/>
          <w:sz w:val="21"/>
        </w:rPr>
        <w:t>права;</w:t>
      </w:r>
    </w:p>
    <w:p w14:paraId="7B0C2D57" w14:textId="77777777" w:rsidR="00DE575E" w:rsidRDefault="002E7560">
      <w:pPr>
        <w:pStyle w:val="ListParagraph"/>
        <w:numPr>
          <w:ilvl w:val="1"/>
          <w:numId w:val="183"/>
        </w:numPr>
        <w:tabs>
          <w:tab w:val="left" w:pos="1101"/>
        </w:tabs>
        <w:spacing w:line="252" w:lineRule="auto"/>
        <w:ind w:right="128" w:firstLine="284"/>
        <w:rPr>
          <w:sz w:val="21"/>
        </w:rPr>
      </w:pPr>
      <w:r>
        <w:rPr>
          <w:color w:val="231F20"/>
          <w:sz w:val="21"/>
        </w:rPr>
        <w:t xml:space="preserve">визнання його </w:t>
      </w:r>
      <w:r>
        <w:rPr>
          <w:color w:val="231F20"/>
          <w:spacing w:val="-3"/>
          <w:sz w:val="21"/>
        </w:rPr>
        <w:t xml:space="preserve">судом </w:t>
      </w:r>
      <w:r>
        <w:rPr>
          <w:color w:val="231F20"/>
          <w:sz w:val="21"/>
        </w:rPr>
        <w:t xml:space="preserve">недійсним і таким, що порушує права громадян, правовим актом управління з того ж питання, з якого </w:t>
      </w:r>
      <w:r>
        <w:rPr>
          <w:color w:val="231F20"/>
          <w:spacing w:val="-3"/>
          <w:sz w:val="21"/>
        </w:rPr>
        <w:t xml:space="preserve">було </w:t>
      </w:r>
      <w:r>
        <w:rPr>
          <w:color w:val="231F20"/>
          <w:sz w:val="21"/>
        </w:rPr>
        <w:t>видано адміністративний</w:t>
      </w:r>
      <w:r>
        <w:rPr>
          <w:color w:val="231F20"/>
          <w:spacing w:val="-1"/>
          <w:sz w:val="21"/>
        </w:rPr>
        <w:t xml:space="preserve"> </w:t>
      </w:r>
      <w:r>
        <w:rPr>
          <w:color w:val="231F20"/>
          <w:sz w:val="21"/>
        </w:rPr>
        <w:t>договір;</w:t>
      </w:r>
    </w:p>
    <w:p w14:paraId="1D346A4E" w14:textId="77777777" w:rsidR="00DE575E" w:rsidRDefault="002E7560">
      <w:pPr>
        <w:pStyle w:val="ListParagraph"/>
        <w:numPr>
          <w:ilvl w:val="1"/>
          <w:numId w:val="183"/>
        </w:numPr>
        <w:tabs>
          <w:tab w:val="left" w:pos="1101"/>
        </w:tabs>
        <w:spacing w:before="2" w:line="252" w:lineRule="auto"/>
        <w:ind w:right="128" w:firstLine="284"/>
        <w:rPr>
          <w:sz w:val="21"/>
        </w:rPr>
      </w:pPr>
      <w:r>
        <w:rPr>
          <w:color w:val="231F20"/>
          <w:sz w:val="21"/>
        </w:rPr>
        <w:t xml:space="preserve">скасовано законодавчий або інший правовий </w:t>
      </w:r>
      <w:r>
        <w:rPr>
          <w:color w:val="231F20"/>
          <w:spacing w:val="-5"/>
          <w:sz w:val="21"/>
        </w:rPr>
        <w:t xml:space="preserve">акт, </w:t>
      </w:r>
      <w:r>
        <w:rPr>
          <w:color w:val="231F20"/>
          <w:sz w:val="21"/>
        </w:rPr>
        <w:t>що передба- чав можливість укладання такого адміністративного</w:t>
      </w:r>
      <w:r>
        <w:rPr>
          <w:color w:val="231F20"/>
          <w:spacing w:val="-13"/>
          <w:sz w:val="21"/>
        </w:rPr>
        <w:t xml:space="preserve"> </w:t>
      </w:r>
      <w:r>
        <w:rPr>
          <w:color w:val="231F20"/>
          <w:sz w:val="21"/>
        </w:rPr>
        <w:t>договору;</w:t>
      </w:r>
    </w:p>
    <w:p w14:paraId="7EDEE403" w14:textId="77777777" w:rsidR="00DE575E" w:rsidRDefault="002E7560">
      <w:pPr>
        <w:pStyle w:val="ListParagraph"/>
        <w:numPr>
          <w:ilvl w:val="1"/>
          <w:numId w:val="183"/>
        </w:numPr>
        <w:tabs>
          <w:tab w:val="left" w:pos="1101"/>
        </w:tabs>
        <w:spacing w:line="252" w:lineRule="auto"/>
        <w:ind w:right="128" w:firstLine="284"/>
        <w:rPr>
          <w:sz w:val="21"/>
        </w:rPr>
      </w:pPr>
      <w:r>
        <w:rPr>
          <w:color w:val="231F20"/>
          <w:sz w:val="21"/>
        </w:rPr>
        <w:t>відсутність відповідних повноважень у представника невлад- ної сторони, який уклав адміністративний</w:t>
      </w:r>
      <w:r>
        <w:rPr>
          <w:color w:val="231F20"/>
          <w:spacing w:val="-4"/>
          <w:sz w:val="21"/>
        </w:rPr>
        <w:t xml:space="preserve"> </w:t>
      </w:r>
      <w:r>
        <w:rPr>
          <w:color w:val="231F20"/>
          <w:sz w:val="21"/>
        </w:rPr>
        <w:t>договір;</w:t>
      </w:r>
    </w:p>
    <w:p w14:paraId="47DE3157" w14:textId="77777777" w:rsidR="00DE575E" w:rsidRDefault="002E7560">
      <w:pPr>
        <w:pStyle w:val="ListParagraph"/>
        <w:numPr>
          <w:ilvl w:val="1"/>
          <w:numId w:val="183"/>
        </w:numPr>
        <w:tabs>
          <w:tab w:val="left" w:pos="1101"/>
        </w:tabs>
        <w:spacing w:line="252" w:lineRule="auto"/>
        <w:ind w:right="127" w:firstLine="284"/>
        <w:rPr>
          <w:sz w:val="21"/>
        </w:rPr>
      </w:pPr>
      <w:r>
        <w:rPr>
          <w:color w:val="231F20"/>
          <w:sz w:val="21"/>
        </w:rPr>
        <w:t xml:space="preserve">зобов’язання органу публічної адміністрації не відповідають предмету та меті договору та не пов’язані з виконанням органом публічної адміністрації </w:t>
      </w:r>
      <w:r>
        <w:rPr>
          <w:color w:val="231F20"/>
          <w:sz w:val="21"/>
        </w:rPr>
        <w:t>покладених на нього</w:t>
      </w:r>
      <w:r>
        <w:rPr>
          <w:color w:val="231F20"/>
          <w:spacing w:val="-5"/>
          <w:sz w:val="21"/>
        </w:rPr>
        <w:t xml:space="preserve"> </w:t>
      </w:r>
      <w:r>
        <w:rPr>
          <w:color w:val="231F20"/>
          <w:sz w:val="21"/>
        </w:rPr>
        <w:t>завдань;</w:t>
      </w:r>
    </w:p>
    <w:p w14:paraId="32179FF6" w14:textId="77777777" w:rsidR="00DE575E" w:rsidRDefault="002E7560">
      <w:pPr>
        <w:pStyle w:val="ListParagraph"/>
        <w:numPr>
          <w:ilvl w:val="1"/>
          <w:numId w:val="183"/>
        </w:numPr>
        <w:tabs>
          <w:tab w:val="left" w:pos="1101"/>
        </w:tabs>
        <w:spacing w:line="252" w:lineRule="auto"/>
        <w:ind w:right="128" w:firstLine="284"/>
        <w:rPr>
          <w:sz w:val="21"/>
        </w:rPr>
      </w:pPr>
      <w:r>
        <w:rPr>
          <w:color w:val="231F20"/>
          <w:sz w:val="21"/>
        </w:rPr>
        <w:t>відсутня законна підстава (заяви, подання) для укладання адміністративного</w:t>
      </w:r>
      <w:r>
        <w:rPr>
          <w:color w:val="231F20"/>
          <w:spacing w:val="-1"/>
          <w:sz w:val="21"/>
        </w:rPr>
        <w:t xml:space="preserve"> </w:t>
      </w:r>
      <w:r>
        <w:rPr>
          <w:color w:val="231F20"/>
          <w:spacing w:val="-3"/>
          <w:sz w:val="21"/>
        </w:rPr>
        <w:t>договору.</w:t>
      </w:r>
    </w:p>
    <w:p w14:paraId="4F607389" w14:textId="77777777" w:rsidR="00DE575E" w:rsidRDefault="00DE575E">
      <w:pPr>
        <w:pStyle w:val="BodyText"/>
        <w:rPr>
          <w:sz w:val="24"/>
        </w:rPr>
      </w:pPr>
    </w:p>
    <w:p w14:paraId="423D4070" w14:textId="77777777" w:rsidR="00DE575E" w:rsidRDefault="00DE575E">
      <w:pPr>
        <w:pStyle w:val="BodyText"/>
        <w:spacing w:before="4"/>
        <w:rPr>
          <w:sz w:val="19"/>
        </w:rPr>
      </w:pPr>
    </w:p>
    <w:p w14:paraId="42DDD138" w14:textId="77777777" w:rsidR="00DE575E" w:rsidRDefault="002E7560">
      <w:pPr>
        <w:pStyle w:val="Heading4"/>
        <w:spacing w:before="1"/>
        <w:ind w:left="2644" w:right="1157" w:hanging="1062"/>
      </w:pPr>
      <w:r>
        <w:rPr>
          <w:color w:val="231F20"/>
        </w:rPr>
        <w:t>7.5. Учинення інших юридично значущих адміністративних дій</w:t>
      </w:r>
    </w:p>
    <w:p w14:paraId="52B02497" w14:textId="77777777" w:rsidR="00DE575E" w:rsidRDefault="00DE575E">
      <w:pPr>
        <w:pStyle w:val="BodyText"/>
        <w:rPr>
          <w:b/>
          <w:sz w:val="26"/>
        </w:rPr>
      </w:pPr>
    </w:p>
    <w:p w14:paraId="4A788720" w14:textId="77777777" w:rsidR="00DE575E" w:rsidRDefault="002E7560">
      <w:pPr>
        <w:pStyle w:val="BodyText"/>
        <w:spacing w:before="224" w:line="252" w:lineRule="auto"/>
        <w:ind w:left="533" w:right="127" w:firstLine="283"/>
        <w:jc w:val="both"/>
      </w:pPr>
      <w:r>
        <w:rPr>
          <w:color w:val="231F20"/>
        </w:rPr>
        <w:t>Правовою</w:t>
      </w:r>
      <w:r>
        <w:rPr>
          <w:color w:val="231F20"/>
          <w:spacing w:val="-14"/>
        </w:rPr>
        <w:t xml:space="preserve"> </w:t>
      </w:r>
      <w:r>
        <w:rPr>
          <w:color w:val="231F20"/>
        </w:rPr>
        <w:t>формою</w:t>
      </w:r>
      <w:r>
        <w:rPr>
          <w:color w:val="231F20"/>
          <w:spacing w:val="-14"/>
        </w:rPr>
        <w:t xml:space="preserve"> </w:t>
      </w:r>
      <w:r>
        <w:rPr>
          <w:color w:val="231F20"/>
        </w:rPr>
        <w:t>публічного</w:t>
      </w:r>
      <w:r>
        <w:rPr>
          <w:color w:val="231F20"/>
          <w:spacing w:val="-14"/>
        </w:rPr>
        <w:t xml:space="preserve"> </w:t>
      </w:r>
      <w:r>
        <w:rPr>
          <w:color w:val="231F20"/>
        </w:rPr>
        <w:t>адміністрування</w:t>
      </w:r>
      <w:r>
        <w:rPr>
          <w:color w:val="231F20"/>
          <w:spacing w:val="-14"/>
        </w:rPr>
        <w:t xml:space="preserve"> </w:t>
      </w:r>
      <w:r>
        <w:rPr>
          <w:color w:val="231F20"/>
        </w:rPr>
        <w:t>є</w:t>
      </w:r>
      <w:r>
        <w:rPr>
          <w:color w:val="231F20"/>
          <w:spacing w:val="-12"/>
        </w:rPr>
        <w:t xml:space="preserve"> </w:t>
      </w:r>
      <w:r>
        <w:rPr>
          <w:color w:val="231F20"/>
        </w:rPr>
        <w:t>вчинення</w:t>
      </w:r>
      <w:r>
        <w:rPr>
          <w:color w:val="231F20"/>
          <w:spacing w:val="-14"/>
        </w:rPr>
        <w:t xml:space="preserve"> </w:t>
      </w:r>
      <w:r>
        <w:rPr>
          <w:color w:val="231F20"/>
        </w:rPr>
        <w:t xml:space="preserve">інших юридично значущих адміністративних дій. До них належать такі дії, які безпосередньо створюють нове юридичне положення, зміню- ють наявні правовідносини або стають необхідною умовою для настання зазначених правових наслідків – незалежно від того, </w:t>
      </w:r>
      <w:r>
        <w:rPr>
          <w:color w:val="231F20"/>
          <w:spacing w:val="-3"/>
        </w:rPr>
        <w:t>були</w:t>
      </w:r>
      <w:r>
        <w:rPr>
          <w:color w:val="231F20"/>
          <w:spacing w:val="-3"/>
        </w:rPr>
        <w:t xml:space="preserve"> </w:t>
      </w:r>
      <w:r>
        <w:rPr>
          <w:color w:val="231F20"/>
        </w:rPr>
        <w:t>вони спрямовані на ці наслідки чи</w:t>
      </w:r>
      <w:r>
        <w:rPr>
          <w:color w:val="231F20"/>
          <w:spacing w:val="-2"/>
        </w:rPr>
        <w:t xml:space="preserve"> </w:t>
      </w:r>
      <w:r>
        <w:rPr>
          <w:color w:val="231F20"/>
        </w:rPr>
        <w:t>ні.</w:t>
      </w:r>
    </w:p>
    <w:p w14:paraId="0CE4C167" w14:textId="77777777" w:rsidR="00DE575E" w:rsidRDefault="00DE575E">
      <w:pPr>
        <w:pStyle w:val="BodyText"/>
        <w:spacing w:before="9"/>
        <w:rPr>
          <w:sz w:val="12"/>
        </w:rPr>
      </w:pPr>
    </w:p>
    <w:p w14:paraId="3EDC39AD" w14:textId="77777777" w:rsidR="00DE575E" w:rsidRDefault="002E7560">
      <w:pPr>
        <w:spacing w:before="91"/>
        <w:ind w:left="533"/>
        <w:rPr>
          <w:rFonts w:ascii="Times New Roman"/>
          <w:sz w:val="20"/>
        </w:rPr>
      </w:pPr>
      <w:r>
        <w:rPr>
          <w:rFonts w:ascii="Times New Roman"/>
          <w:color w:val="231F20"/>
          <w:sz w:val="20"/>
        </w:rPr>
        <w:t>240</w:t>
      </w:r>
    </w:p>
    <w:p w14:paraId="219D7099" w14:textId="77777777" w:rsidR="00DE575E" w:rsidRDefault="00DE575E">
      <w:pPr>
        <w:rPr>
          <w:rFonts w:ascii="Times New Roman"/>
          <w:sz w:val="20"/>
        </w:rPr>
        <w:sectPr w:rsidR="00DE575E">
          <w:pgSz w:w="8510" w:h="12760"/>
          <w:pgMar w:top="660" w:right="720" w:bottom="280" w:left="600" w:header="720" w:footer="720" w:gutter="0"/>
          <w:cols w:space="720"/>
        </w:sectPr>
      </w:pPr>
    </w:p>
    <w:p w14:paraId="2FF573C0"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7666623D" w14:textId="7AA7B0F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5DCCDCE" wp14:editId="64C5284B">
                <wp:extent cx="4140200" cy="6350"/>
                <wp:effectExtent l="0" t="0" r="12700" b="6350"/>
                <wp:docPr id="803"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04" name="Line 8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5C6C4" id="Group_x0020_8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GCQDQn4CAACYBQAADgAA&#10;AAAAAAAAAAAAAAAsAgAAZHJzL2Uyb0RvYy54bWxQSwECLQAUAAYACAAAACEATKewkNkAAAADAQAA&#10;DwAAAAAAAAAAAAAAAADWBAAAZHJzL2Rvd25yZXYueG1sUEsFBgAAAAAEAAQA8wAAANwFAAAAAA==&#10;">
                <v:line id="Line_x0020_8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Z2MYAAADcAAAADwAAAGRycy9kb3ducmV2LnhtbESP0WrCQBRE3wv+w3KFvhTdVItIdBUR&#10;CtIHrcYPuGavSXD3bsyuJvr13UKhj8PMnGHmy84acafGV44VvA8TEMS50xUXCo7Z52AKwgdkjcYx&#10;KXiQh+Wi9zLHVLuW93Q/hEJECPsUFZQh1KmUPi/Joh+6mjh6Z9dYDFE2hdQNthFujRwlyURarDgu&#10;lFjTuqT8crhZBdn1LZjv3Zdps91pLE/X7fh52yr12u9WMxCBuvAf/mtvtIJp8gG/Z+IRkI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AGdjGAAAA3AAAAA8AAAAAAAAA&#10;AAAAAAAAoQIAAGRycy9kb3ducmV2LnhtbFBLBQYAAAAABAAEAPkAAACUAwAAAAA=&#10;" strokecolor="#231f20" strokeweight=".5pt"/>
                <w10:anchorlock/>
              </v:group>
            </w:pict>
          </mc:Fallback>
        </mc:AlternateContent>
      </w:r>
    </w:p>
    <w:p w14:paraId="50D3C807" w14:textId="77777777" w:rsidR="00DE575E" w:rsidRDefault="00DE575E">
      <w:pPr>
        <w:pStyle w:val="BodyText"/>
        <w:spacing w:before="7"/>
        <w:rPr>
          <w:rFonts w:ascii="AdonisC"/>
          <w:i/>
          <w:sz w:val="19"/>
        </w:rPr>
      </w:pPr>
    </w:p>
    <w:p w14:paraId="67AD96C6" w14:textId="77777777" w:rsidR="00DE575E" w:rsidRDefault="002E7560">
      <w:pPr>
        <w:pStyle w:val="BodyText"/>
        <w:spacing w:before="1" w:line="252" w:lineRule="auto"/>
        <w:ind w:left="250" w:right="411" w:firstLine="283"/>
        <w:jc w:val="both"/>
      </w:pPr>
      <w:r>
        <w:rPr>
          <w:color w:val="231F20"/>
        </w:rPr>
        <w:t>Такими діями є реєстрація, документування, складання присяги, примусове виконання адміністративних стягнень, застосування примусових заходів без попереднього видання таких актів.</w:t>
      </w:r>
    </w:p>
    <w:p w14:paraId="097E08CB" w14:textId="77777777" w:rsidR="00DE575E" w:rsidRDefault="002E7560">
      <w:pPr>
        <w:pStyle w:val="BodyText"/>
        <w:spacing w:before="1" w:line="252" w:lineRule="auto"/>
        <w:ind w:left="250" w:right="411" w:firstLine="283"/>
        <w:jc w:val="both"/>
      </w:pPr>
      <w:r>
        <w:rPr>
          <w:i/>
          <w:color w:val="231F20"/>
        </w:rPr>
        <w:t xml:space="preserve">Реєстрація </w:t>
      </w:r>
      <w:r>
        <w:rPr>
          <w:color w:val="231F20"/>
        </w:rPr>
        <w:t>– це офіційне констатування у відповідних записах органів</w:t>
      </w:r>
      <w:r>
        <w:rPr>
          <w:color w:val="231F20"/>
          <w:spacing w:val="-7"/>
        </w:rPr>
        <w:t xml:space="preserve"> </w:t>
      </w:r>
      <w:r>
        <w:rPr>
          <w:color w:val="231F20"/>
        </w:rPr>
        <w:t>публічної</w:t>
      </w:r>
      <w:r>
        <w:rPr>
          <w:color w:val="231F20"/>
          <w:spacing w:val="-6"/>
        </w:rPr>
        <w:t xml:space="preserve"> </w:t>
      </w:r>
      <w:r>
        <w:rPr>
          <w:color w:val="231F20"/>
        </w:rPr>
        <w:t>адміністрації,</w:t>
      </w:r>
      <w:r>
        <w:rPr>
          <w:color w:val="231F20"/>
          <w:spacing w:val="-7"/>
        </w:rPr>
        <w:t xml:space="preserve"> </w:t>
      </w:r>
      <w:r>
        <w:rPr>
          <w:color w:val="231F20"/>
        </w:rPr>
        <w:t>що</w:t>
      </w:r>
      <w:r>
        <w:rPr>
          <w:color w:val="231F20"/>
          <w:spacing w:val="-6"/>
        </w:rPr>
        <w:t xml:space="preserve"> </w:t>
      </w:r>
      <w:r>
        <w:rPr>
          <w:color w:val="231F20"/>
        </w:rPr>
        <w:t>безпосередньо</w:t>
      </w:r>
      <w:r>
        <w:rPr>
          <w:color w:val="231F20"/>
          <w:spacing w:val="-6"/>
        </w:rPr>
        <w:t xml:space="preserve"> </w:t>
      </w:r>
      <w:r>
        <w:rPr>
          <w:color w:val="231F20"/>
        </w:rPr>
        <w:t>стосуються</w:t>
      </w:r>
      <w:r>
        <w:rPr>
          <w:color w:val="231F20"/>
          <w:spacing w:val="-6"/>
        </w:rPr>
        <w:t xml:space="preserve"> </w:t>
      </w:r>
      <w:r>
        <w:rPr>
          <w:color w:val="231F20"/>
        </w:rPr>
        <w:t>вико- нання</w:t>
      </w:r>
      <w:r>
        <w:rPr>
          <w:color w:val="231F20"/>
          <w:spacing w:val="-15"/>
        </w:rPr>
        <w:t xml:space="preserve"> </w:t>
      </w:r>
      <w:r>
        <w:rPr>
          <w:color w:val="231F20"/>
        </w:rPr>
        <w:t>завдань</w:t>
      </w:r>
      <w:r>
        <w:rPr>
          <w:color w:val="231F20"/>
          <w:spacing w:val="-15"/>
        </w:rPr>
        <w:t xml:space="preserve"> </w:t>
      </w:r>
      <w:r>
        <w:rPr>
          <w:color w:val="231F20"/>
        </w:rPr>
        <w:t>адміністративного</w:t>
      </w:r>
      <w:r>
        <w:rPr>
          <w:color w:val="231F20"/>
          <w:spacing w:val="-15"/>
        </w:rPr>
        <w:t xml:space="preserve"> </w:t>
      </w:r>
      <w:r>
        <w:rPr>
          <w:color w:val="231F20"/>
        </w:rPr>
        <w:t>права.</w:t>
      </w:r>
      <w:r>
        <w:rPr>
          <w:color w:val="231F20"/>
          <w:spacing w:val="-15"/>
        </w:rPr>
        <w:t xml:space="preserve"> </w:t>
      </w:r>
      <w:r>
        <w:rPr>
          <w:color w:val="231F20"/>
        </w:rPr>
        <w:t>За</w:t>
      </w:r>
      <w:r>
        <w:rPr>
          <w:color w:val="231F20"/>
          <w:spacing w:val="-15"/>
        </w:rPr>
        <w:t xml:space="preserve"> </w:t>
      </w:r>
      <w:r>
        <w:rPr>
          <w:color w:val="231F20"/>
        </w:rPr>
        <w:t>фактом</w:t>
      </w:r>
      <w:r>
        <w:rPr>
          <w:color w:val="231F20"/>
          <w:spacing w:val="-15"/>
        </w:rPr>
        <w:t xml:space="preserve"> </w:t>
      </w:r>
      <w:r>
        <w:rPr>
          <w:color w:val="231F20"/>
        </w:rPr>
        <w:t>реєстрації</w:t>
      </w:r>
      <w:r>
        <w:rPr>
          <w:color w:val="231F20"/>
          <w:spacing w:val="-15"/>
        </w:rPr>
        <w:t xml:space="preserve"> </w:t>
      </w:r>
      <w:r>
        <w:rPr>
          <w:color w:val="231F20"/>
        </w:rPr>
        <w:t>норми адміністративного права пов’язують настання певних юридичних наслідків – наприклад, право на експлуатацію транспортних засобів на д</w:t>
      </w:r>
      <w:r>
        <w:rPr>
          <w:color w:val="231F20"/>
        </w:rPr>
        <w:t>орогах загального</w:t>
      </w:r>
      <w:r>
        <w:rPr>
          <w:color w:val="231F20"/>
          <w:spacing w:val="-2"/>
        </w:rPr>
        <w:t xml:space="preserve"> </w:t>
      </w:r>
      <w:r>
        <w:rPr>
          <w:color w:val="231F20"/>
        </w:rPr>
        <w:t>користування.</w:t>
      </w:r>
    </w:p>
    <w:p w14:paraId="43240593" w14:textId="77777777" w:rsidR="00DE575E" w:rsidRDefault="002E7560">
      <w:pPr>
        <w:pStyle w:val="BodyText"/>
        <w:spacing w:before="3" w:line="252" w:lineRule="auto"/>
        <w:ind w:left="250" w:right="410" w:firstLine="283"/>
        <w:jc w:val="both"/>
      </w:pPr>
      <w:r>
        <w:rPr>
          <w:i/>
          <w:color w:val="231F20"/>
        </w:rPr>
        <w:t xml:space="preserve">Документування </w:t>
      </w:r>
      <w:r>
        <w:rPr>
          <w:color w:val="231F20"/>
        </w:rPr>
        <w:t>– це офіційне посвідчення належним чином оформлених</w:t>
      </w:r>
      <w:r>
        <w:rPr>
          <w:color w:val="231F20"/>
          <w:spacing w:val="-5"/>
        </w:rPr>
        <w:t xml:space="preserve"> </w:t>
      </w:r>
      <w:r>
        <w:rPr>
          <w:color w:val="231F20"/>
        </w:rPr>
        <w:t>документів</w:t>
      </w:r>
      <w:r>
        <w:rPr>
          <w:color w:val="231F20"/>
          <w:spacing w:val="-5"/>
        </w:rPr>
        <w:t xml:space="preserve"> </w:t>
      </w:r>
      <w:r>
        <w:rPr>
          <w:color w:val="231F20"/>
        </w:rPr>
        <w:t>щодо</w:t>
      </w:r>
      <w:r>
        <w:rPr>
          <w:color w:val="231F20"/>
          <w:spacing w:val="-5"/>
        </w:rPr>
        <w:t xml:space="preserve"> </w:t>
      </w:r>
      <w:r>
        <w:rPr>
          <w:color w:val="231F20"/>
        </w:rPr>
        <w:t>певних</w:t>
      </w:r>
      <w:r>
        <w:rPr>
          <w:color w:val="231F20"/>
          <w:spacing w:val="-5"/>
        </w:rPr>
        <w:t xml:space="preserve"> </w:t>
      </w:r>
      <w:r>
        <w:rPr>
          <w:color w:val="231F20"/>
        </w:rPr>
        <w:t>фактів,</w:t>
      </w:r>
      <w:r>
        <w:rPr>
          <w:color w:val="231F20"/>
          <w:spacing w:val="-5"/>
        </w:rPr>
        <w:t xml:space="preserve"> </w:t>
      </w:r>
      <w:r>
        <w:rPr>
          <w:color w:val="231F20"/>
        </w:rPr>
        <w:t>подій,</w:t>
      </w:r>
      <w:r>
        <w:rPr>
          <w:color w:val="231F20"/>
          <w:spacing w:val="-5"/>
        </w:rPr>
        <w:t xml:space="preserve"> </w:t>
      </w:r>
      <w:r>
        <w:rPr>
          <w:color w:val="231F20"/>
        </w:rPr>
        <w:t>явищ</w:t>
      </w:r>
      <w:r>
        <w:rPr>
          <w:color w:val="231F20"/>
          <w:spacing w:val="-5"/>
        </w:rPr>
        <w:t xml:space="preserve"> </w:t>
      </w:r>
      <w:r>
        <w:rPr>
          <w:color w:val="231F20"/>
        </w:rPr>
        <w:t>з</w:t>
      </w:r>
      <w:r>
        <w:rPr>
          <w:color w:val="231F20"/>
          <w:spacing w:val="-5"/>
        </w:rPr>
        <w:t xml:space="preserve"> </w:t>
      </w:r>
      <w:r>
        <w:rPr>
          <w:color w:val="231F20"/>
        </w:rPr>
        <w:t>метою</w:t>
      </w:r>
      <w:r>
        <w:rPr>
          <w:color w:val="231F20"/>
          <w:spacing w:val="-5"/>
        </w:rPr>
        <w:t xml:space="preserve"> </w:t>
      </w:r>
      <w:r>
        <w:rPr>
          <w:color w:val="231F20"/>
        </w:rPr>
        <w:t>їх доказування, що мають юридичне</w:t>
      </w:r>
      <w:r>
        <w:rPr>
          <w:color w:val="231F20"/>
          <w:spacing w:val="-5"/>
        </w:rPr>
        <w:t xml:space="preserve"> </w:t>
      </w:r>
      <w:r>
        <w:rPr>
          <w:color w:val="231F20"/>
        </w:rPr>
        <w:t>значення</w:t>
      </w:r>
      <w:r>
        <w:rPr>
          <w:color w:val="231F20"/>
          <w:position w:val="7"/>
          <w:sz w:val="12"/>
        </w:rPr>
        <w:t>1</w:t>
      </w:r>
      <w:r>
        <w:rPr>
          <w:color w:val="231F20"/>
        </w:rPr>
        <w:t>.</w:t>
      </w:r>
    </w:p>
    <w:p w14:paraId="57F6AA39" w14:textId="77777777" w:rsidR="00DE575E" w:rsidRDefault="002E7560">
      <w:pPr>
        <w:pStyle w:val="Heading5"/>
        <w:spacing w:before="2" w:line="252" w:lineRule="auto"/>
        <w:ind w:left="250" w:right="410" w:firstLine="283"/>
        <w:jc w:val="both"/>
      </w:pPr>
      <w:r>
        <w:rPr>
          <w:color w:val="231F20"/>
        </w:rPr>
        <w:t>Отже, учинення інших юридично значущих адміністратив- них дій</w:t>
      </w:r>
      <w:r>
        <w:rPr>
          <w:color w:val="231F20"/>
        </w:rPr>
        <w:t xml:space="preserve"> характеризується такими особливостями: не містить владних приписів, не вирішує питання за змістом. Аналогічні особливості притаманні і для таких юридично значущих адмі- ністративних дій, як «складання присяги» та «примусове вико- нання адміністративних ак</w:t>
      </w:r>
      <w:r>
        <w:rPr>
          <w:color w:val="231F20"/>
        </w:rPr>
        <w:t>тів».</w:t>
      </w:r>
    </w:p>
    <w:p w14:paraId="2CED3409" w14:textId="77777777" w:rsidR="00DE575E" w:rsidRDefault="00DE575E">
      <w:pPr>
        <w:pStyle w:val="BodyText"/>
        <w:rPr>
          <w:b/>
          <w:sz w:val="24"/>
        </w:rPr>
      </w:pPr>
    </w:p>
    <w:p w14:paraId="22F20341" w14:textId="77777777" w:rsidR="00DE575E" w:rsidRDefault="00DE575E">
      <w:pPr>
        <w:pStyle w:val="BodyText"/>
        <w:spacing w:before="6"/>
        <w:rPr>
          <w:b/>
          <w:sz w:val="19"/>
        </w:rPr>
      </w:pPr>
    </w:p>
    <w:p w14:paraId="3973A11E" w14:textId="77777777" w:rsidR="00DE575E" w:rsidRDefault="002E7560">
      <w:pPr>
        <w:pStyle w:val="ListParagraph"/>
        <w:numPr>
          <w:ilvl w:val="1"/>
          <w:numId w:val="181"/>
        </w:numPr>
        <w:tabs>
          <w:tab w:val="left" w:pos="1342"/>
        </w:tabs>
        <w:spacing w:before="0"/>
        <w:ind w:hanging="410"/>
        <w:jc w:val="left"/>
        <w:rPr>
          <w:b/>
        </w:rPr>
      </w:pPr>
      <w:r>
        <w:rPr>
          <w:b/>
          <w:color w:val="231F20"/>
        </w:rPr>
        <w:t>Здійснення матеріально-технічних</w:t>
      </w:r>
      <w:r>
        <w:rPr>
          <w:b/>
          <w:color w:val="231F20"/>
          <w:spacing w:val="-6"/>
        </w:rPr>
        <w:t xml:space="preserve"> </w:t>
      </w:r>
      <w:r>
        <w:rPr>
          <w:b/>
          <w:color w:val="231F20"/>
        </w:rPr>
        <w:t>операцій</w:t>
      </w:r>
    </w:p>
    <w:p w14:paraId="23F8C0D6" w14:textId="77777777" w:rsidR="00DE575E" w:rsidRDefault="00DE575E">
      <w:pPr>
        <w:pStyle w:val="BodyText"/>
        <w:rPr>
          <w:b/>
          <w:sz w:val="26"/>
        </w:rPr>
      </w:pPr>
    </w:p>
    <w:p w14:paraId="190A896B" w14:textId="77777777" w:rsidR="00DE575E" w:rsidRDefault="002E7560">
      <w:pPr>
        <w:pStyle w:val="BodyText"/>
        <w:spacing w:before="224" w:line="252" w:lineRule="auto"/>
        <w:ind w:left="250" w:right="411" w:firstLine="283"/>
        <w:jc w:val="both"/>
      </w:pPr>
      <w:r>
        <w:rPr>
          <w:color w:val="231F20"/>
        </w:rPr>
        <w:t>Під здійсненням матеріально-технічних операцій мається на увазі забезпечення публічною адміністрацією збирання, зберігання й оброблення інформації, використання технічних засобів, ство- рення матеріально-технічних умов праці тощо. Вони в системі форм адмін</w:t>
      </w:r>
      <w:r>
        <w:rPr>
          <w:color w:val="231F20"/>
        </w:rPr>
        <w:t>істративного</w:t>
      </w:r>
      <w:r>
        <w:rPr>
          <w:color w:val="231F20"/>
          <w:spacing w:val="-15"/>
        </w:rPr>
        <w:t xml:space="preserve"> </w:t>
      </w:r>
      <w:r>
        <w:rPr>
          <w:color w:val="231F20"/>
        </w:rPr>
        <w:t>діяльності</w:t>
      </w:r>
      <w:r>
        <w:rPr>
          <w:color w:val="231F20"/>
          <w:spacing w:val="-15"/>
        </w:rPr>
        <w:t xml:space="preserve"> </w:t>
      </w:r>
      <w:r>
        <w:rPr>
          <w:color w:val="231F20"/>
          <w:spacing w:val="-3"/>
        </w:rPr>
        <w:t>суб’єктів</w:t>
      </w:r>
      <w:r>
        <w:rPr>
          <w:color w:val="231F20"/>
          <w:spacing w:val="-15"/>
        </w:rPr>
        <w:t xml:space="preserve"> </w:t>
      </w:r>
      <w:r>
        <w:rPr>
          <w:color w:val="231F20"/>
        </w:rPr>
        <w:t>публічної</w:t>
      </w:r>
      <w:r>
        <w:rPr>
          <w:color w:val="231F20"/>
          <w:spacing w:val="-15"/>
        </w:rPr>
        <w:t xml:space="preserve"> </w:t>
      </w:r>
      <w:r>
        <w:rPr>
          <w:color w:val="231F20"/>
        </w:rPr>
        <w:t>адміністрації</w:t>
      </w:r>
      <w:r>
        <w:rPr>
          <w:color w:val="231F20"/>
          <w:spacing w:val="-15"/>
        </w:rPr>
        <w:t xml:space="preserve"> </w:t>
      </w:r>
      <w:r>
        <w:rPr>
          <w:color w:val="231F20"/>
        </w:rPr>
        <w:t>вико- нують допоміжну</w:t>
      </w:r>
      <w:r>
        <w:rPr>
          <w:color w:val="231F20"/>
          <w:spacing w:val="-3"/>
        </w:rPr>
        <w:t xml:space="preserve"> </w:t>
      </w:r>
      <w:r>
        <w:rPr>
          <w:color w:val="231F20"/>
        </w:rPr>
        <w:t>роль.</w:t>
      </w:r>
    </w:p>
    <w:p w14:paraId="44467FC6" w14:textId="77777777" w:rsidR="00DE575E" w:rsidRDefault="002E7560">
      <w:pPr>
        <w:pStyle w:val="Heading6"/>
        <w:spacing w:before="3" w:line="252" w:lineRule="auto"/>
        <w:ind w:left="250" w:right="417"/>
        <w:jc w:val="both"/>
      </w:pPr>
      <w:r>
        <w:rPr>
          <w:color w:val="231F20"/>
        </w:rPr>
        <w:t xml:space="preserve">У </w:t>
      </w:r>
      <w:r>
        <w:rPr>
          <w:color w:val="231F20"/>
          <w:spacing w:val="-3"/>
        </w:rPr>
        <w:t xml:space="preserve">спеціальній літературі залежно </w:t>
      </w:r>
      <w:r>
        <w:rPr>
          <w:color w:val="231F20"/>
        </w:rPr>
        <w:t xml:space="preserve">від </w:t>
      </w:r>
      <w:r>
        <w:rPr>
          <w:color w:val="231F20"/>
          <w:spacing w:val="-3"/>
        </w:rPr>
        <w:t xml:space="preserve">призначення </w:t>
      </w:r>
      <w:r>
        <w:rPr>
          <w:color w:val="231F20"/>
        </w:rPr>
        <w:t xml:space="preserve">та </w:t>
      </w:r>
      <w:r>
        <w:rPr>
          <w:color w:val="231F20"/>
          <w:spacing w:val="-4"/>
        </w:rPr>
        <w:t xml:space="preserve">засобів </w:t>
      </w:r>
      <w:r>
        <w:rPr>
          <w:color w:val="231F20"/>
          <w:spacing w:val="-3"/>
        </w:rPr>
        <w:t>виконання виокремлюють такі матеріально-технічні операції:</w:t>
      </w:r>
    </w:p>
    <w:p w14:paraId="5FA0A7B8"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діловодські (операції, пов’язані з виготовленням до</w:t>
      </w:r>
      <w:r>
        <w:rPr>
          <w:color w:val="231F20"/>
          <w:sz w:val="21"/>
        </w:rPr>
        <w:t>кумен-  тів органами управління, яким притаманний технічний характер, – листування, передрук, розмноження</w:t>
      </w:r>
      <w:r>
        <w:rPr>
          <w:color w:val="231F20"/>
          <w:spacing w:val="-3"/>
          <w:sz w:val="21"/>
        </w:rPr>
        <w:t xml:space="preserve"> </w:t>
      </w:r>
      <w:r>
        <w:rPr>
          <w:color w:val="231F20"/>
          <w:sz w:val="21"/>
        </w:rPr>
        <w:t>тощо);</w:t>
      </w:r>
    </w:p>
    <w:p w14:paraId="314F210D"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безпосереднє виконання приписів правових актів, якщо воно має матеріальний (технічний) характер (операції про</w:t>
      </w:r>
      <w:r>
        <w:rPr>
          <w:color w:val="231F20"/>
          <w:spacing w:val="43"/>
          <w:sz w:val="21"/>
        </w:rPr>
        <w:t xml:space="preserve"> </w:t>
      </w:r>
      <w:r>
        <w:rPr>
          <w:color w:val="231F20"/>
          <w:sz w:val="21"/>
        </w:rPr>
        <w:t>передання</w:t>
      </w:r>
    </w:p>
    <w:p w14:paraId="43B3B615" w14:textId="77777777" w:rsidR="00DE575E" w:rsidRDefault="00DE575E">
      <w:pPr>
        <w:pStyle w:val="BodyText"/>
        <w:rPr>
          <w:sz w:val="20"/>
        </w:rPr>
      </w:pPr>
    </w:p>
    <w:p w14:paraId="605D0C9B" w14:textId="23800DD4" w:rsidR="00DE575E" w:rsidRDefault="002E7560">
      <w:pPr>
        <w:pStyle w:val="BodyText"/>
        <w:spacing w:before="10"/>
        <w:rPr>
          <w:sz w:val="12"/>
        </w:rPr>
      </w:pPr>
      <w:r>
        <w:rPr>
          <w:noProof/>
        </w:rPr>
        <mc:AlternateContent>
          <mc:Choice Requires="wps">
            <w:drawing>
              <wp:anchor distT="0" distB="0" distL="0" distR="0" simplePos="0" relativeHeight="9784" behindDoc="0" locked="0" layoutInCell="1" allowOverlap="1" wp14:anchorId="45512B13" wp14:editId="38D376C4">
                <wp:simplePos x="0" y="0"/>
                <wp:positionH relativeFrom="page">
                  <wp:posOffset>539750</wp:posOffset>
                </wp:positionH>
                <wp:positionV relativeFrom="paragraph">
                  <wp:posOffset>123190</wp:posOffset>
                </wp:positionV>
                <wp:extent cx="1080135" cy="0"/>
                <wp:effectExtent l="6350" t="8890" r="31115" b="29210"/>
                <wp:wrapTopAndBottom/>
                <wp:docPr id="802"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69CD" id="Line_x0020_801" o:spid="_x0000_s1026" style="position:absolute;z-index:9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HPyi0CMCAABF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6CB9935D" w14:textId="77777777" w:rsidR="00DE575E" w:rsidRDefault="002E7560">
      <w:pPr>
        <w:spacing w:line="204" w:lineRule="auto"/>
        <w:ind w:left="250" w:right="521"/>
        <w:rPr>
          <w:i/>
          <w:sz w:val="16"/>
        </w:rPr>
      </w:pPr>
      <w:r>
        <w:rPr>
          <w:color w:val="231F20"/>
          <w:position w:val="5"/>
          <w:sz w:val="9"/>
        </w:rPr>
        <w:t xml:space="preserve">1 </w:t>
      </w:r>
      <w:r>
        <w:rPr>
          <w:i/>
          <w:color w:val="231F20"/>
          <w:sz w:val="16"/>
          <w:u w:val="single" w:color="231F20"/>
        </w:rPr>
        <w:t>Приклад:</w:t>
      </w:r>
      <w:r>
        <w:rPr>
          <w:i/>
          <w:color w:val="231F20"/>
          <w:sz w:val="16"/>
        </w:rPr>
        <w:t xml:space="preserve"> сервісні центри МВС видають громадянам посвідчення водіїв, різноманітні довідки, квитанції тощо.</w:t>
      </w:r>
    </w:p>
    <w:p w14:paraId="265736B2" w14:textId="77777777" w:rsidR="00DE575E" w:rsidRDefault="00DE575E">
      <w:pPr>
        <w:pStyle w:val="BodyText"/>
        <w:spacing w:before="1"/>
        <w:rPr>
          <w:i/>
          <w:sz w:val="12"/>
        </w:rPr>
      </w:pPr>
    </w:p>
    <w:p w14:paraId="7ADA1151" w14:textId="77777777" w:rsidR="00DE575E" w:rsidRDefault="002E7560">
      <w:pPr>
        <w:spacing w:before="92"/>
        <w:ind w:right="411"/>
        <w:jc w:val="right"/>
        <w:rPr>
          <w:rFonts w:ascii="Times New Roman"/>
          <w:sz w:val="20"/>
        </w:rPr>
      </w:pPr>
      <w:r>
        <w:rPr>
          <w:rFonts w:ascii="Times New Roman"/>
          <w:color w:val="231F20"/>
          <w:w w:val="90"/>
          <w:sz w:val="20"/>
        </w:rPr>
        <w:t>241</w:t>
      </w:r>
    </w:p>
    <w:p w14:paraId="1AD75BA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2E38F4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EFD45F3" w14:textId="7602913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5EE5962" wp14:editId="25C0F1A2">
                <wp:extent cx="4140200" cy="6350"/>
                <wp:effectExtent l="0" t="0" r="12700" b="6350"/>
                <wp:docPr id="800"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01" name="Line 8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18C2C6" id="Group_x0020_7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31rd/AgAAmAUAAA4A&#10;AAAAAAAAAAAAAAAALAIAAGRycy9lMm9Eb2MueG1sUEsBAi0AFAAGAAgAAAAhAEynsJDZAAAAAwEA&#10;AA8AAAAAAAAAAAAAAAAA1wQAAGRycy9kb3ducmV2LnhtbFBLBQYAAAAABAAEAPMAAADdBQAAAAA=&#10;">
                <v:line id="Line_x0020_8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e6QMUAAADcAAAADwAAAGRycy9kb3ducmV2LnhtbESP0WrCQBRE3wv+w3IFX4puVCgSXUUE&#10;ofRBW+MHXLPXJLh7N2ZXk/bru4Lg4zAzZ5jFqrNG3KnxlWMF41ECgjh3uuJCwTHbDmcgfEDWaByT&#10;gl/ysFr23haYatfyD90PoRARwj5FBWUIdSqlz0uy6EeuJo7e2TUWQ5RNIXWDbYRbIydJ8iEtVhwX&#10;SqxpU1J+Odysguz6Hsz3/su02f40lafrbvp32yk16HfrOYhAXXiFn+1PrWCWjOFxJh4Buf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De6QMUAAADcAAAADwAAAAAAAAAA&#10;AAAAAAChAgAAZHJzL2Rvd25yZXYueG1sUEsFBgAAAAAEAAQA+QAAAJMDAAAAAA==&#10;" strokecolor="#231f20" strokeweight=".5pt"/>
                <w10:anchorlock/>
              </v:group>
            </w:pict>
          </mc:Fallback>
        </mc:AlternateContent>
      </w:r>
    </w:p>
    <w:p w14:paraId="55717855" w14:textId="77777777" w:rsidR="00DE575E" w:rsidRDefault="00DE575E">
      <w:pPr>
        <w:pStyle w:val="BodyText"/>
        <w:spacing w:before="7"/>
        <w:rPr>
          <w:rFonts w:ascii="AdonisC"/>
          <w:i/>
          <w:sz w:val="11"/>
        </w:rPr>
      </w:pPr>
    </w:p>
    <w:p w14:paraId="7D2234DC" w14:textId="77777777" w:rsidR="00DE575E" w:rsidRDefault="002E7560">
      <w:pPr>
        <w:pStyle w:val="BodyText"/>
        <w:spacing w:before="101" w:line="252" w:lineRule="auto"/>
        <w:ind w:left="533"/>
      </w:pPr>
      <w:r>
        <w:rPr>
          <w:color w:val="231F20"/>
        </w:rPr>
        <w:t>засобів або майна, видання виконавчих документів, проведення конфіскації, оплатного вилучення і т. ін.);</w:t>
      </w:r>
    </w:p>
    <w:p w14:paraId="2452CFEA" w14:textId="77777777" w:rsidR="00DE575E" w:rsidRDefault="002E7560">
      <w:pPr>
        <w:pStyle w:val="ListParagraph"/>
        <w:numPr>
          <w:ilvl w:val="0"/>
          <w:numId w:val="219"/>
        </w:numPr>
        <w:tabs>
          <w:tab w:val="left" w:pos="1101"/>
        </w:tabs>
        <w:spacing w:line="252" w:lineRule="auto"/>
        <w:ind w:right="128" w:firstLine="284"/>
        <w:rPr>
          <w:sz w:val="21"/>
        </w:rPr>
      </w:pPr>
      <w:r>
        <w:rPr>
          <w:color w:val="231F20"/>
          <w:sz w:val="21"/>
        </w:rPr>
        <w:t>реєстраційні, що мають самостійне значення (реєстрація фактів і подій у сфері</w:t>
      </w:r>
      <w:r>
        <w:rPr>
          <w:color w:val="231F20"/>
          <w:spacing w:val="-7"/>
          <w:sz w:val="21"/>
        </w:rPr>
        <w:t xml:space="preserve"> </w:t>
      </w:r>
      <w:r>
        <w:rPr>
          <w:color w:val="231F20"/>
          <w:sz w:val="21"/>
        </w:rPr>
        <w:t>управління);</w:t>
      </w:r>
    </w:p>
    <w:p w14:paraId="17FEFE61" w14:textId="77777777" w:rsidR="00DE575E" w:rsidRDefault="002E7560">
      <w:pPr>
        <w:pStyle w:val="ListParagraph"/>
        <w:numPr>
          <w:ilvl w:val="0"/>
          <w:numId w:val="219"/>
        </w:numPr>
        <w:tabs>
          <w:tab w:val="left" w:pos="1101"/>
        </w:tabs>
        <w:spacing w:line="252" w:lineRule="auto"/>
        <w:ind w:right="128" w:firstLine="284"/>
        <w:rPr>
          <w:sz w:val="21"/>
        </w:rPr>
      </w:pPr>
      <w:r>
        <w:rPr>
          <w:color w:val="231F20"/>
          <w:sz w:val="21"/>
        </w:rPr>
        <w:t>статистичні (збирання т</w:t>
      </w:r>
      <w:r>
        <w:rPr>
          <w:color w:val="231F20"/>
          <w:sz w:val="21"/>
        </w:rPr>
        <w:t>а оброблення статистичної інформа- ції відповідно до встановлених</w:t>
      </w:r>
      <w:r>
        <w:rPr>
          <w:color w:val="231F20"/>
          <w:spacing w:val="-4"/>
          <w:sz w:val="21"/>
        </w:rPr>
        <w:t xml:space="preserve"> </w:t>
      </w:r>
      <w:r>
        <w:rPr>
          <w:color w:val="231F20"/>
          <w:sz w:val="21"/>
        </w:rPr>
        <w:t>правил);</w:t>
      </w:r>
    </w:p>
    <w:p w14:paraId="2C7195D2" w14:textId="77777777" w:rsidR="00DE575E" w:rsidRDefault="002E7560">
      <w:pPr>
        <w:pStyle w:val="ListParagraph"/>
        <w:numPr>
          <w:ilvl w:val="0"/>
          <w:numId w:val="219"/>
        </w:numPr>
        <w:tabs>
          <w:tab w:val="left" w:pos="1101"/>
        </w:tabs>
        <w:spacing w:line="252" w:lineRule="auto"/>
        <w:ind w:right="128" w:firstLine="284"/>
        <w:rPr>
          <w:sz w:val="21"/>
        </w:rPr>
      </w:pPr>
      <w:r>
        <w:rPr>
          <w:color w:val="231F20"/>
          <w:sz w:val="21"/>
        </w:rPr>
        <w:t xml:space="preserve">інформаційно-довідкові (складання та опрацювання доповід- них записок, довідок за </w:t>
      </w:r>
      <w:r>
        <w:rPr>
          <w:color w:val="231F20"/>
          <w:spacing w:val="-3"/>
          <w:sz w:val="21"/>
        </w:rPr>
        <w:t xml:space="preserve">результатами </w:t>
      </w:r>
      <w:r>
        <w:rPr>
          <w:color w:val="231F20"/>
          <w:sz w:val="21"/>
        </w:rPr>
        <w:t>перевірок, підготовка довід- ників і довідок про роботу органів управління, надання ві</w:t>
      </w:r>
      <w:r>
        <w:rPr>
          <w:color w:val="231F20"/>
          <w:sz w:val="21"/>
        </w:rPr>
        <w:t xml:space="preserve">дповідних роз’яснень і </w:t>
      </w:r>
      <w:r>
        <w:rPr>
          <w:color w:val="231F20"/>
          <w:spacing w:val="-3"/>
          <w:sz w:val="21"/>
        </w:rPr>
        <w:t xml:space="preserve">консультацій </w:t>
      </w:r>
      <w:r>
        <w:rPr>
          <w:color w:val="231F20"/>
          <w:sz w:val="21"/>
        </w:rPr>
        <w:t>на підставі інформаційних матеріалів);</w:t>
      </w:r>
    </w:p>
    <w:p w14:paraId="1C8D772D" w14:textId="77777777" w:rsidR="00DE575E" w:rsidRDefault="002E7560">
      <w:pPr>
        <w:pStyle w:val="ListParagraph"/>
        <w:numPr>
          <w:ilvl w:val="0"/>
          <w:numId w:val="219"/>
        </w:numPr>
        <w:tabs>
          <w:tab w:val="left" w:pos="1101"/>
        </w:tabs>
        <w:spacing w:before="2" w:line="252" w:lineRule="auto"/>
        <w:ind w:right="128" w:firstLine="284"/>
        <w:rPr>
          <w:sz w:val="21"/>
        </w:rPr>
      </w:pPr>
      <w:r>
        <w:rPr>
          <w:color w:val="231F20"/>
          <w:sz w:val="21"/>
        </w:rPr>
        <w:t>щодо</w:t>
      </w:r>
      <w:r>
        <w:rPr>
          <w:color w:val="231F20"/>
          <w:spacing w:val="-14"/>
          <w:sz w:val="21"/>
        </w:rPr>
        <w:t xml:space="preserve"> </w:t>
      </w:r>
      <w:r>
        <w:rPr>
          <w:color w:val="231F20"/>
          <w:sz w:val="21"/>
        </w:rPr>
        <w:t>систематизації</w:t>
      </w:r>
      <w:r>
        <w:rPr>
          <w:color w:val="231F20"/>
          <w:spacing w:val="-14"/>
          <w:sz w:val="21"/>
        </w:rPr>
        <w:t xml:space="preserve"> </w:t>
      </w:r>
      <w:r>
        <w:rPr>
          <w:color w:val="231F20"/>
          <w:sz w:val="21"/>
        </w:rPr>
        <w:t>матеріалів,</w:t>
      </w:r>
      <w:r>
        <w:rPr>
          <w:color w:val="231F20"/>
          <w:spacing w:val="-14"/>
          <w:sz w:val="21"/>
        </w:rPr>
        <w:t xml:space="preserve"> </w:t>
      </w:r>
      <w:r>
        <w:rPr>
          <w:color w:val="231F20"/>
          <w:sz w:val="21"/>
        </w:rPr>
        <w:t>зокрема</w:t>
      </w:r>
      <w:r>
        <w:rPr>
          <w:color w:val="231F20"/>
          <w:spacing w:val="-14"/>
          <w:sz w:val="21"/>
        </w:rPr>
        <w:t xml:space="preserve"> </w:t>
      </w:r>
      <w:r>
        <w:rPr>
          <w:color w:val="231F20"/>
          <w:sz w:val="21"/>
        </w:rPr>
        <w:t>правових</w:t>
      </w:r>
      <w:r>
        <w:rPr>
          <w:color w:val="231F20"/>
          <w:spacing w:val="-14"/>
          <w:sz w:val="21"/>
        </w:rPr>
        <w:t xml:space="preserve"> </w:t>
      </w:r>
      <w:r>
        <w:rPr>
          <w:color w:val="231F20"/>
          <w:sz w:val="21"/>
        </w:rPr>
        <w:t>актів</w:t>
      </w:r>
      <w:r>
        <w:rPr>
          <w:color w:val="231F20"/>
          <w:spacing w:val="-14"/>
          <w:sz w:val="21"/>
        </w:rPr>
        <w:t xml:space="preserve"> </w:t>
      </w:r>
      <w:r>
        <w:rPr>
          <w:color w:val="231F20"/>
          <w:sz w:val="21"/>
        </w:rPr>
        <w:t>(ство- рення комплексних інформаційно-аналітичних систем для держав- них</w:t>
      </w:r>
      <w:r>
        <w:rPr>
          <w:color w:val="231F20"/>
          <w:spacing w:val="-1"/>
          <w:sz w:val="21"/>
        </w:rPr>
        <w:t xml:space="preserve"> </w:t>
      </w:r>
      <w:r>
        <w:rPr>
          <w:color w:val="231F20"/>
          <w:sz w:val="21"/>
        </w:rPr>
        <w:t>потреб);</w:t>
      </w:r>
    </w:p>
    <w:p w14:paraId="7A21C3AC" w14:textId="77777777" w:rsidR="00DE575E" w:rsidRDefault="002E7560">
      <w:pPr>
        <w:pStyle w:val="ListParagraph"/>
        <w:numPr>
          <w:ilvl w:val="0"/>
          <w:numId w:val="219"/>
        </w:numPr>
        <w:tabs>
          <w:tab w:val="left" w:pos="1101"/>
        </w:tabs>
        <w:spacing w:line="252" w:lineRule="auto"/>
        <w:ind w:right="127" w:firstLine="284"/>
        <w:rPr>
          <w:sz w:val="21"/>
        </w:rPr>
      </w:pPr>
      <w:r>
        <w:rPr>
          <w:color w:val="231F20"/>
          <w:sz w:val="21"/>
        </w:rPr>
        <w:t>інформаційно-технологічні (упровадження інформаційних технологій у різних ланках державного</w:t>
      </w:r>
      <w:r>
        <w:rPr>
          <w:color w:val="231F20"/>
          <w:spacing w:val="-8"/>
          <w:sz w:val="21"/>
        </w:rPr>
        <w:t xml:space="preserve"> </w:t>
      </w:r>
      <w:r>
        <w:rPr>
          <w:color w:val="231F20"/>
          <w:sz w:val="21"/>
        </w:rPr>
        <w:t>управління)</w:t>
      </w:r>
      <w:r>
        <w:rPr>
          <w:color w:val="231F20"/>
          <w:position w:val="7"/>
          <w:sz w:val="12"/>
        </w:rPr>
        <w:t>1</w:t>
      </w:r>
      <w:r>
        <w:rPr>
          <w:color w:val="231F20"/>
          <w:sz w:val="21"/>
        </w:rPr>
        <w:t>.</w:t>
      </w:r>
    </w:p>
    <w:p w14:paraId="7C5CA4E0" w14:textId="77777777" w:rsidR="00DE575E" w:rsidRDefault="00DE575E">
      <w:pPr>
        <w:pStyle w:val="BodyText"/>
        <w:rPr>
          <w:sz w:val="24"/>
        </w:rPr>
      </w:pPr>
    </w:p>
    <w:p w14:paraId="092E2E46" w14:textId="77777777" w:rsidR="00DE575E" w:rsidRDefault="00DE575E">
      <w:pPr>
        <w:pStyle w:val="BodyText"/>
        <w:spacing w:before="4"/>
        <w:rPr>
          <w:sz w:val="19"/>
        </w:rPr>
      </w:pPr>
    </w:p>
    <w:p w14:paraId="4BB1E183" w14:textId="77777777" w:rsidR="00DE575E" w:rsidRDefault="002E7560">
      <w:pPr>
        <w:pStyle w:val="Heading4"/>
        <w:numPr>
          <w:ilvl w:val="1"/>
          <w:numId w:val="181"/>
        </w:numPr>
        <w:tabs>
          <w:tab w:val="left" w:pos="1383"/>
        </w:tabs>
        <w:ind w:left="1382" w:hanging="410"/>
        <w:jc w:val="left"/>
        <w:rPr>
          <w:sz w:val="13"/>
        </w:rPr>
      </w:pPr>
      <w:r>
        <w:rPr>
          <w:color w:val="231F20"/>
        </w:rPr>
        <w:t>План як інструмент публічного</w:t>
      </w:r>
      <w:r>
        <w:rPr>
          <w:color w:val="231F20"/>
          <w:spacing w:val="-12"/>
        </w:rPr>
        <w:t xml:space="preserve"> </w:t>
      </w:r>
      <w:r>
        <w:rPr>
          <w:color w:val="231F20"/>
        </w:rPr>
        <w:t>адміністрування</w:t>
      </w:r>
      <w:r>
        <w:rPr>
          <w:color w:val="231F20"/>
          <w:position w:val="7"/>
          <w:sz w:val="13"/>
        </w:rPr>
        <w:t>2</w:t>
      </w:r>
    </w:p>
    <w:p w14:paraId="02252D45" w14:textId="77777777" w:rsidR="00DE575E" w:rsidRDefault="00DE575E">
      <w:pPr>
        <w:pStyle w:val="BodyText"/>
        <w:rPr>
          <w:b/>
          <w:sz w:val="26"/>
        </w:rPr>
      </w:pPr>
    </w:p>
    <w:p w14:paraId="674658E6" w14:textId="77777777" w:rsidR="00DE575E" w:rsidRDefault="002E7560">
      <w:pPr>
        <w:pStyle w:val="Heading5"/>
        <w:numPr>
          <w:ilvl w:val="2"/>
          <w:numId w:val="181"/>
        </w:numPr>
        <w:tabs>
          <w:tab w:val="left" w:pos="1383"/>
        </w:tabs>
        <w:spacing w:before="223"/>
        <w:ind w:left="1382"/>
        <w:jc w:val="left"/>
        <w:rPr>
          <w:color w:val="231F20"/>
        </w:rPr>
      </w:pPr>
      <w:r>
        <w:rPr>
          <w:color w:val="231F20"/>
        </w:rPr>
        <w:t>Поняття, юридичне значення та ознаки</w:t>
      </w:r>
      <w:r>
        <w:rPr>
          <w:color w:val="231F20"/>
          <w:spacing w:val="-7"/>
        </w:rPr>
        <w:t xml:space="preserve"> </w:t>
      </w:r>
      <w:r>
        <w:rPr>
          <w:color w:val="231F20"/>
        </w:rPr>
        <w:t>плану</w:t>
      </w:r>
    </w:p>
    <w:p w14:paraId="10CD6F8A" w14:textId="77777777" w:rsidR="00DE575E" w:rsidRDefault="00DE575E">
      <w:pPr>
        <w:pStyle w:val="BodyText"/>
        <w:spacing w:before="2"/>
        <w:rPr>
          <w:b/>
          <w:sz w:val="23"/>
        </w:rPr>
      </w:pPr>
    </w:p>
    <w:p w14:paraId="343CAE8A" w14:textId="77777777" w:rsidR="00DE575E" w:rsidRDefault="002E7560">
      <w:pPr>
        <w:pStyle w:val="BodyText"/>
        <w:spacing w:line="252" w:lineRule="auto"/>
        <w:ind w:left="533" w:right="127" w:firstLine="283"/>
        <w:jc w:val="both"/>
      </w:pPr>
      <w:r>
        <w:rPr>
          <w:color w:val="231F20"/>
        </w:rPr>
        <w:t>Україна є країною з ринковою економікою, де відсутнє цен</w:t>
      </w:r>
      <w:r>
        <w:rPr>
          <w:color w:val="231F20"/>
        </w:rPr>
        <w:t>тралі- зоване планування економіки. Однак Україна є соціальною держа- вою, в якій Уряд здійснює довгострокове й середньострокове планування соціально-економічного розвитку країни, інші суб’єкти публічної адміністрації – середньострокове та поточне плануван</w:t>
      </w:r>
      <w:r>
        <w:rPr>
          <w:color w:val="231F20"/>
        </w:rPr>
        <w:t>ня своєї адміністративної діяльності.</w:t>
      </w:r>
    </w:p>
    <w:p w14:paraId="1700C0D2" w14:textId="77777777" w:rsidR="00DE575E" w:rsidRDefault="002E7560">
      <w:pPr>
        <w:pStyle w:val="BodyText"/>
        <w:spacing w:before="3" w:line="252" w:lineRule="auto"/>
        <w:ind w:left="533" w:right="127" w:firstLine="283"/>
        <w:jc w:val="both"/>
      </w:pPr>
      <w:r>
        <w:rPr>
          <w:color w:val="231F20"/>
        </w:rPr>
        <w:t>За</w:t>
      </w:r>
      <w:r>
        <w:rPr>
          <w:color w:val="231F20"/>
          <w:spacing w:val="-5"/>
        </w:rPr>
        <w:t xml:space="preserve"> </w:t>
      </w:r>
      <w:r>
        <w:rPr>
          <w:color w:val="231F20"/>
        </w:rPr>
        <w:t>даними</w:t>
      </w:r>
      <w:r>
        <w:rPr>
          <w:color w:val="231F20"/>
          <w:spacing w:val="-6"/>
        </w:rPr>
        <w:t xml:space="preserve"> </w:t>
      </w:r>
      <w:r>
        <w:rPr>
          <w:color w:val="231F20"/>
        </w:rPr>
        <w:t>пошукової</w:t>
      </w:r>
      <w:r>
        <w:rPr>
          <w:color w:val="231F20"/>
          <w:spacing w:val="-6"/>
        </w:rPr>
        <w:t xml:space="preserve"> </w:t>
      </w:r>
      <w:r>
        <w:rPr>
          <w:color w:val="231F20"/>
        </w:rPr>
        <w:t>системи</w:t>
      </w:r>
      <w:r>
        <w:rPr>
          <w:color w:val="231F20"/>
          <w:spacing w:val="-5"/>
        </w:rPr>
        <w:t xml:space="preserve"> </w:t>
      </w:r>
      <w:r>
        <w:rPr>
          <w:color w:val="231F20"/>
        </w:rPr>
        <w:t>Верховної</w:t>
      </w:r>
      <w:r>
        <w:rPr>
          <w:color w:val="231F20"/>
          <w:spacing w:val="-6"/>
        </w:rPr>
        <w:t xml:space="preserve"> </w:t>
      </w:r>
      <w:r>
        <w:rPr>
          <w:color w:val="231F20"/>
        </w:rPr>
        <w:t>Ради</w:t>
      </w:r>
      <w:r>
        <w:rPr>
          <w:color w:val="231F20"/>
          <w:spacing w:val="-6"/>
        </w:rPr>
        <w:t xml:space="preserve"> </w:t>
      </w:r>
      <w:r>
        <w:rPr>
          <w:color w:val="231F20"/>
          <w:spacing w:val="-3"/>
        </w:rPr>
        <w:t>України,</w:t>
      </w:r>
      <w:r>
        <w:rPr>
          <w:color w:val="231F20"/>
          <w:spacing w:val="-6"/>
        </w:rPr>
        <w:t xml:space="preserve"> </w:t>
      </w:r>
      <w:r>
        <w:rPr>
          <w:color w:val="231F20"/>
        </w:rPr>
        <w:t>з</w:t>
      </w:r>
      <w:r>
        <w:rPr>
          <w:color w:val="231F20"/>
          <w:spacing w:val="-6"/>
        </w:rPr>
        <w:t xml:space="preserve"> </w:t>
      </w:r>
      <w:r>
        <w:rPr>
          <w:color w:val="231F20"/>
        </w:rPr>
        <w:t xml:space="preserve">моменту проголошення незалежності </w:t>
      </w:r>
      <w:r>
        <w:rPr>
          <w:color w:val="231F20"/>
          <w:spacing w:val="-3"/>
        </w:rPr>
        <w:t xml:space="preserve">України суб’єктами </w:t>
      </w:r>
      <w:r>
        <w:rPr>
          <w:color w:val="231F20"/>
        </w:rPr>
        <w:t xml:space="preserve">публічної адмініст- рації </w:t>
      </w:r>
      <w:r>
        <w:rPr>
          <w:color w:val="231F20"/>
          <w:spacing w:val="-3"/>
        </w:rPr>
        <w:t xml:space="preserve">було </w:t>
      </w:r>
      <w:r>
        <w:rPr>
          <w:color w:val="231F20"/>
        </w:rPr>
        <w:t>розроблено, ухвалено й офіційно оприлюднено понад дві тисячі різноманітних планів,  які  за  своєю  юридичною  природою є своєрідними інструментами публічного</w:t>
      </w:r>
      <w:r>
        <w:rPr>
          <w:color w:val="231F20"/>
          <w:spacing w:val="-6"/>
        </w:rPr>
        <w:t xml:space="preserve"> </w:t>
      </w:r>
      <w:r>
        <w:rPr>
          <w:color w:val="231F20"/>
        </w:rPr>
        <w:t>адміністрування</w:t>
      </w:r>
      <w:r>
        <w:rPr>
          <w:color w:val="231F20"/>
          <w:position w:val="7"/>
          <w:sz w:val="12"/>
        </w:rPr>
        <w:t>3</w:t>
      </w:r>
      <w:r>
        <w:rPr>
          <w:color w:val="231F20"/>
        </w:rPr>
        <w:t>.</w:t>
      </w:r>
    </w:p>
    <w:p w14:paraId="12F20638" w14:textId="42420801" w:rsidR="00DE575E" w:rsidRDefault="002E7560">
      <w:pPr>
        <w:pStyle w:val="BodyText"/>
        <w:spacing w:before="3"/>
        <w:rPr>
          <w:sz w:val="26"/>
        </w:rPr>
      </w:pPr>
      <w:r>
        <w:rPr>
          <w:noProof/>
        </w:rPr>
        <mc:AlternateContent>
          <mc:Choice Requires="wps">
            <w:drawing>
              <wp:anchor distT="0" distB="0" distL="0" distR="0" simplePos="0" relativeHeight="9832" behindDoc="0" locked="0" layoutInCell="1" allowOverlap="1" wp14:anchorId="631C31E6" wp14:editId="16E3F531">
                <wp:simplePos x="0" y="0"/>
                <wp:positionH relativeFrom="page">
                  <wp:posOffset>719455</wp:posOffset>
                </wp:positionH>
                <wp:positionV relativeFrom="paragraph">
                  <wp:posOffset>223520</wp:posOffset>
                </wp:positionV>
                <wp:extent cx="1080135" cy="0"/>
                <wp:effectExtent l="8255" t="7620" r="29210" b="30480"/>
                <wp:wrapTopAndBottom/>
                <wp:docPr id="799"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67C7C" id="Line_x0020_798" o:spid="_x0000_s1026" style="position:absolute;z-index:9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6pt" to="141.7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" strokecolor="#231f20" strokeweight=".5pt">
                <w10:wrap type="topAndBottom" anchorx="page"/>
              </v:line>
            </w:pict>
          </mc:Fallback>
        </mc:AlternateContent>
      </w:r>
    </w:p>
    <w:p w14:paraId="69E54238" w14:textId="77777777" w:rsidR="00DE575E" w:rsidRDefault="002E7560">
      <w:pPr>
        <w:spacing w:line="204" w:lineRule="auto"/>
        <w:ind w:left="533" w:right="129"/>
        <w:jc w:val="both"/>
        <w:rPr>
          <w:sz w:val="16"/>
        </w:rPr>
      </w:pPr>
      <w:r>
        <w:rPr>
          <w:color w:val="231F20"/>
          <w:position w:val="5"/>
          <w:sz w:val="9"/>
        </w:rPr>
        <w:t xml:space="preserve">1 </w:t>
      </w:r>
      <w:r>
        <w:rPr>
          <w:color w:val="231F20"/>
          <w:sz w:val="16"/>
        </w:rPr>
        <w:t xml:space="preserve">Адміністративне право України: підручник /за ред. Ю. Битяка. Київ: Юрінком </w:t>
      </w:r>
      <w:r>
        <w:rPr>
          <w:color w:val="231F20"/>
          <w:sz w:val="16"/>
        </w:rPr>
        <w:t xml:space="preserve">Інтер, </w:t>
      </w:r>
      <w:hyperlink r:id="rId36">
        <w:r>
          <w:rPr>
            <w:color w:val="231F20"/>
            <w:sz w:val="16"/>
          </w:rPr>
          <w:t>2015. http://www.ebk.net.ua/Book/law/bityak_admpu/part3/304.h;.</w:t>
        </w:r>
      </w:hyperlink>
    </w:p>
    <w:p w14:paraId="1B2A612C" w14:textId="77777777" w:rsidR="00DE575E" w:rsidRDefault="002E7560">
      <w:pPr>
        <w:spacing w:before="3"/>
        <w:ind w:left="533"/>
        <w:rPr>
          <w:b/>
          <w:sz w:val="16"/>
        </w:rPr>
      </w:pPr>
      <w:r>
        <w:rPr>
          <w:color w:val="231F20"/>
          <w:position w:val="5"/>
          <w:sz w:val="9"/>
        </w:rPr>
        <w:t xml:space="preserve">2 </w:t>
      </w:r>
      <w:r>
        <w:rPr>
          <w:color w:val="231F20"/>
          <w:sz w:val="16"/>
        </w:rPr>
        <w:t xml:space="preserve">Авторка: </w:t>
      </w:r>
      <w:r>
        <w:rPr>
          <w:b/>
          <w:color w:val="231F20"/>
          <w:sz w:val="16"/>
        </w:rPr>
        <w:t>Тетяна Карабін.</w:t>
      </w:r>
    </w:p>
    <w:p w14:paraId="43DE8E01" w14:textId="77777777" w:rsidR="00DE575E" w:rsidRDefault="002E7560">
      <w:pPr>
        <w:spacing w:before="24" w:line="204" w:lineRule="auto"/>
        <w:ind w:left="533" w:right="128"/>
        <w:jc w:val="both"/>
        <w:rPr>
          <w:i/>
          <w:sz w:val="16"/>
        </w:rPr>
      </w:pPr>
      <w:r>
        <w:rPr>
          <w:color w:val="231F20"/>
          <w:position w:val="5"/>
          <w:sz w:val="9"/>
        </w:rPr>
        <w:t xml:space="preserve">3 </w:t>
      </w:r>
      <w:r>
        <w:rPr>
          <w:i/>
          <w:color w:val="231F20"/>
          <w:sz w:val="16"/>
          <w:u w:val="single" w:color="231F20"/>
        </w:rPr>
        <w:t>Приклад</w:t>
      </w:r>
      <w:r>
        <w:rPr>
          <w:i/>
          <w:color w:val="231F20"/>
          <w:sz w:val="16"/>
        </w:rPr>
        <w:t xml:space="preserve">: Постановою Кабінету Міністрів України від 25 жовтня 2017 р. № 1106 </w:t>
      </w:r>
      <w:r>
        <w:rPr>
          <w:i/>
          <w:color w:val="231F20"/>
          <w:sz w:val="16"/>
        </w:rPr>
        <w:t>затверджено План з виконання Угоди про асоціацію між Україною, з однієї сторони, та Європейським Союзом, Європейським співтовариством з атомної енергії і їхніми держа- вами-членами, з іншої сторони.</w:t>
      </w:r>
    </w:p>
    <w:p w14:paraId="4BFA9EF8" w14:textId="77777777" w:rsidR="00DE575E" w:rsidRDefault="00DE575E">
      <w:pPr>
        <w:pStyle w:val="BodyText"/>
        <w:spacing w:before="6"/>
        <w:rPr>
          <w:i/>
          <w:sz w:val="12"/>
        </w:rPr>
      </w:pPr>
    </w:p>
    <w:p w14:paraId="68B16B6E" w14:textId="77777777" w:rsidR="00DE575E" w:rsidRDefault="002E7560">
      <w:pPr>
        <w:spacing w:before="91"/>
        <w:ind w:left="533"/>
        <w:rPr>
          <w:rFonts w:ascii="Times New Roman"/>
          <w:sz w:val="20"/>
        </w:rPr>
      </w:pPr>
      <w:r>
        <w:rPr>
          <w:rFonts w:ascii="Times New Roman"/>
          <w:color w:val="231F20"/>
          <w:sz w:val="20"/>
        </w:rPr>
        <w:t>242</w:t>
      </w:r>
    </w:p>
    <w:p w14:paraId="797344E8" w14:textId="77777777" w:rsidR="00DE575E" w:rsidRDefault="00DE575E">
      <w:pPr>
        <w:rPr>
          <w:rFonts w:ascii="Times New Roman"/>
          <w:sz w:val="20"/>
        </w:rPr>
        <w:sectPr w:rsidR="00DE575E">
          <w:pgSz w:w="8510" w:h="12760"/>
          <w:pgMar w:top="660" w:right="720" w:bottom="280" w:left="600" w:header="720" w:footer="720" w:gutter="0"/>
          <w:cols w:space="720"/>
        </w:sectPr>
      </w:pPr>
    </w:p>
    <w:p w14:paraId="56277257"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w:t>
      </w:r>
      <w:r>
        <w:rPr>
          <w:rFonts w:ascii="AdonisC" w:hAnsi="AdonisC"/>
          <w:i/>
          <w:color w:val="231F20"/>
          <w:sz w:val="18"/>
        </w:rPr>
        <w:t>о Розділ 7. Інструменти публічного адміністрування</w:t>
      </w:r>
    </w:p>
    <w:p w14:paraId="425A4966" w14:textId="55E43F3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BB338FE" wp14:editId="38C41847">
                <wp:extent cx="4140200" cy="6350"/>
                <wp:effectExtent l="0" t="0" r="12700" b="6350"/>
                <wp:docPr id="797"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98" name="Line 79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AF7B0C" id="Group_x0020_79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04b9SgAIAAJgFAAAO&#10;AAAAAAAAAAAAAAAAACwCAABkcnMvZTJvRG9jLnhtbFBLAQItABQABgAIAAAAIQBMp7CQ2QAAAAMB&#10;AAAPAAAAAAAAAAAAAAAAANgEAABkcnMvZG93bnJldi54bWxQSwUGAAAAAAQABADzAAAA3gUAAAAA&#10;">
                <v:line id="Line_x0020_79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MSDMQAAADcAAAADwAAAGRycy9kb3ducmV2LnhtbERP3WrCMBS+H+wdwhnsZmjqhKm1UWQw&#10;EC90sz7AaXNsi8lJbaLt9vTLxWCXH99/th6sEXfqfONYwWScgCAunW64UnDKP0ZzED4gazSOScE3&#10;eVivHh8yTLXr+Yvux1CJGMI+RQV1CG0qpS9rsujHriWO3Nl1FkOEXSV1h30Mt0a+JsmbtNhwbKix&#10;pfeaysvxZhXk15dgPg870+eHYiqL6376c9sr9fw0bJYgAg3hX/zn3moFs0VcG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sxIMxAAAANwAAAAPAAAAAAAAAAAA&#10;AAAAAKECAABkcnMvZG93bnJldi54bWxQSwUGAAAAAAQABAD5AAAAkgMAAAAA&#10;" strokecolor="#231f20" strokeweight=".5pt"/>
                <w10:anchorlock/>
              </v:group>
            </w:pict>
          </mc:Fallback>
        </mc:AlternateContent>
      </w:r>
    </w:p>
    <w:p w14:paraId="1CBEA712" w14:textId="77777777" w:rsidR="00DE575E" w:rsidRDefault="00DE575E">
      <w:pPr>
        <w:pStyle w:val="BodyText"/>
        <w:spacing w:before="7"/>
        <w:rPr>
          <w:rFonts w:ascii="AdonisC"/>
          <w:i/>
          <w:sz w:val="19"/>
        </w:rPr>
      </w:pPr>
    </w:p>
    <w:p w14:paraId="591C2F49" w14:textId="77777777" w:rsidR="00DE575E" w:rsidRDefault="002E7560">
      <w:pPr>
        <w:pStyle w:val="BodyText"/>
        <w:spacing w:before="1" w:line="252" w:lineRule="auto"/>
        <w:ind w:left="250" w:right="411" w:firstLine="283"/>
        <w:jc w:val="both"/>
      </w:pPr>
      <w:r>
        <w:rPr>
          <w:b/>
          <w:i/>
          <w:color w:val="231F20"/>
        </w:rPr>
        <w:t xml:space="preserve">План </w:t>
      </w:r>
      <w:r>
        <w:rPr>
          <w:color w:val="231F20"/>
        </w:rPr>
        <w:t>у юридичній літературі (від лат. рlanum – «рівне місце, площина»), як правило, трактується як попередньо визначений порядок, послідовність здійснення певної програми, виконання роботи, проведення заходів тощо</w:t>
      </w:r>
      <w:r>
        <w:rPr>
          <w:color w:val="231F20"/>
          <w:position w:val="7"/>
          <w:sz w:val="12"/>
        </w:rPr>
        <w:t>1</w:t>
      </w:r>
      <w:r>
        <w:rPr>
          <w:color w:val="231F20"/>
        </w:rPr>
        <w:t>.</w:t>
      </w:r>
    </w:p>
    <w:p w14:paraId="294EE3E1" w14:textId="77777777" w:rsidR="00DE575E" w:rsidRDefault="002E7560">
      <w:pPr>
        <w:pStyle w:val="BodyText"/>
        <w:spacing w:before="2" w:line="252" w:lineRule="auto"/>
        <w:ind w:left="250" w:right="410" w:firstLine="283"/>
        <w:jc w:val="both"/>
      </w:pPr>
      <w:r>
        <w:rPr>
          <w:color w:val="231F20"/>
        </w:rPr>
        <w:t>Від</w:t>
      </w:r>
      <w:r>
        <w:rPr>
          <w:color w:val="231F20"/>
        </w:rPr>
        <w:t xml:space="preserve">повідно </w:t>
      </w:r>
      <w:r>
        <w:rPr>
          <w:b/>
          <w:i/>
          <w:color w:val="231F20"/>
        </w:rPr>
        <w:t xml:space="preserve">акт планування </w:t>
      </w:r>
      <w:r>
        <w:rPr>
          <w:color w:val="231F20"/>
        </w:rPr>
        <w:t>можна визначити як рішення влад- ного</w:t>
      </w:r>
      <w:r>
        <w:rPr>
          <w:color w:val="231F20"/>
          <w:spacing w:val="-11"/>
        </w:rPr>
        <w:t xml:space="preserve"> </w:t>
      </w:r>
      <w:r>
        <w:rPr>
          <w:color w:val="231F20"/>
          <w:spacing w:val="-3"/>
        </w:rPr>
        <w:t>суб’єкта,</w:t>
      </w:r>
      <w:r>
        <w:rPr>
          <w:color w:val="231F20"/>
          <w:spacing w:val="-11"/>
        </w:rPr>
        <w:t xml:space="preserve"> </w:t>
      </w:r>
      <w:r>
        <w:rPr>
          <w:color w:val="231F20"/>
        </w:rPr>
        <w:t>що</w:t>
      </w:r>
      <w:r>
        <w:rPr>
          <w:color w:val="231F20"/>
          <w:spacing w:val="-11"/>
        </w:rPr>
        <w:t xml:space="preserve"> </w:t>
      </w:r>
      <w:r>
        <w:rPr>
          <w:color w:val="231F20"/>
        </w:rPr>
        <w:t>визначає</w:t>
      </w:r>
      <w:r>
        <w:rPr>
          <w:color w:val="231F20"/>
          <w:spacing w:val="-10"/>
        </w:rPr>
        <w:t xml:space="preserve"> </w:t>
      </w:r>
      <w:r>
        <w:rPr>
          <w:color w:val="231F20"/>
        </w:rPr>
        <w:t>порядок,</w:t>
      </w:r>
      <w:r>
        <w:rPr>
          <w:color w:val="231F20"/>
          <w:spacing w:val="-11"/>
        </w:rPr>
        <w:t xml:space="preserve"> </w:t>
      </w:r>
      <w:r>
        <w:rPr>
          <w:color w:val="231F20"/>
        </w:rPr>
        <w:t>послідовність</w:t>
      </w:r>
      <w:r>
        <w:rPr>
          <w:color w:val="231F20"/>
          <w:spacing w:val="-11"/>
        </w:rPr>
        <w:t xml:space="preserve"> </w:t>
      </w:r>
      <w:r>
        <w:rPr>
          <w:color w:val="231F20"/>
        </w:rPr>
        <w:t>чи</w:t>
      </w:r>
      <w:r>
        <w:rPr>
          <w:color w:val="231F20"/>
          <w:spacing w:val="-11"/>
        </w:rPr>
        <w:t xml:space="preserve"> </w:t>
      </w:r>
      <w:r>
        <w:rPr>
          <w:color w:val="231F20"/>
        </w:rPr>
        <w:t>містить</w:t>
      </w:r>
      <w:r>
        <w:rPr>
          <w:color w:val="231F20"/>
          <w:spacing w:val="-10"/>
        </w:rPr>
        <w:t xml:space="preserve"> </w:t>
      </w:r>
      <w:r>
        <w:rPr>
          <w:color w:val="231F20"/>
        </w:rPr>
        <w:t>зв’язок подальших дій і проведення</w:t>
      </w:r>
      <w:r>
        <w:rPr>
          <w:color w:val="231F20"/>
          <w:spacing w:val="-5"/>
        </w:rPr>
        <w:t xml:space="preserve"> </w:t>
      </w:r>
      <w:r>
        <w:rPr>
          <w:color w:val="231F20"/>
        </w:rPr>
        <w:t>заходів.</w:t>
      </w:r>
    </w:p>
    <w:p w14:paraId="5288F8D7" w14:textId="77777777" w:rsidR="00DE575E" w:rsidRDefault="002E7560">
      <w:pPr>
        <w:pStyle w:val="BodyText"/>
        <w:spacing w:before="1" w:line="252" w:lineRule="auto"/>
        <w:ind w:left="250" w:right="409" w:firstLine="283"/>
        <w:jc w:val="both"/>
      </w:pPr>
      <w:r>
        <w:rPr>
          <w:color w:val="231F20"/>
        </w:rPr>
        <w:t>Слід відмежовувати план (як акт планування) від затвердження плану (як інструменту публічного а</w:t>
      </w:r>
      <w:r>
        <w:rPr>
          <w:color w:val="231F20"/>
        </w:rPr>
        <w:t>дміністрування). Акт плану- вання (наприклад, план зонування території) є текстово графічним матеріалом,</w:t>
      </w:r>
      <w:r>
        <w:rPr>
          <w:color w:val="231F20"/>
          <w:spacing w:val="-6"/>
        </w:rPr>
        <w:t xml:space="preserve"> </w:t>
      </w:r>
      <w:r>
        <w:rPr>
          <w:color w:val="231F20"/>
        </w:rPr>
        <w:t>що</w:t>
      </w:r>
      <w:r>
        <w:rPr>
          <w:color w:val="231F20"/>
          <w:spacing w:val="-6"/>
        </w:rPr>
        <w:t xml:space="preserve"> </w:t>
      </w:r>
      <w:r>
        <w:rPr>
          <w:color w:val="231F20"/>
        </w:rPr>
        <w:t>набирає</w:t>
      </w:r>
      <w:r>
        <w:rPr>
          <w:color w:val="231F20"/>
          <w:spacing w:val="-6"/>
        </w:rPr>
        <w:t xml:space="preserve"> </w:t>
      </w:r>
      <w:r>
        <w:rPr>
          <w:color w:val="231F20"/>
        </w:rPr>
        <w:t>юридичної</w:t>
      </w:r>
      <w:r>
        <w:rPr>
          <w:color w:val="231F20"/>
          <w:spacing w:val="-6"/>
        </w:rPr>
        <w:t xml:space="preserve"> </w:t>
      </w:r>
      <w:r>
        <w:rPr>
          <w:color w:val="231F20"/>
        </w:rPr>
        <w:t>сили,</w:t>
      </w:r>
      <w:r>
        <w:rPr>
          <w:color w:val="231F20"/>
          <w:spacing w:val="-6"/>
        </w:rPr>
        <w:t xml:space="preserve"> </w:t>
      </w:r>
      <w:r>
        <w:rPr>
          <w:color w:val="231F20"/>
        </w:rPr>
        <w:t>а</w:t>
      </w:r>
      <w:r>
        <w:rPr>
          <w:color w:val="231F20"/>
          <w:spacing w:val="-7"/>
        </w:rPr>
        <w:t xml:space="preserve"> </w:t>
      </w:r>
      <w:r>
        <w:rPr>
          <w:color w:val="231F20"/>
        </w:rPr>
        <w:t>відтак</w:t>
      </w:r>
      <w:r>
        <w:rPr>
          <w:color w:val="231F20"/>
          <w:spacing w:val="-6"/>
        </w:rPr>
        <w:t xml:space="preserve"> </w:t>
      </w:r>
      <w:r>
        <w:rPr>
          <w:color w:val="231F20"/>
        </w:rPr>
        <w:t>може</w:t>
      </w:r>
      <w:r>
        <w:rPr>
          <w:color w:val="231F20"/>
          <w:spacing w:val="-6"/>
        </w:rPr>
        <w:t xml:space="preserve"> </w:t>
      </w:r>
      <w:r>
        <w:rPr>
          <w:color w:val="231F20"/>
        </w:rPr>
        <w:t>застосовува- тись на відповідній території лише після його затвердження орга- ном місцевого</w:t>
      </w:r>
      <w:r>
        <w:rPr>
          <w:color w:val="231F20"/>
          <w:spacing w:val="-1"/>
        </w:rPr>
        <w:t xml:space="preserve"> </w:t>
      </w:r>
      <w:r>
        <w:rPr>
          <w:color w:val="231F20"/>
        </w:rPr>
        <w:t>самоврядування.</w:t>
      </w:r>
    </w:p>
    <w:p w14:paraId="6BBF4298" w14:textId="77777777" w:rsidR="00DE575E" w:rsidRDefault="002E7560">
      <w:pPr>
        <w:pStyle w:val="BodyText"/>
        <w:spacing w:before="3" w:line="252" w:lineRule="auto"/>
        <w:ind w:left="250" w:right="409" w:firstLine="283"/>
        <w:jc w:val="both"/>
      </w:pPr>
      <w:r>
        <w:rPr>
          <w:color w:val="231F20"/>
          <w:spacing w:val="-4"/>
        </w:rPr>
        <w:t>Тобто</w:t>
      </w:r>
      <w:r>
        <w:rPr>
          <w:color w:val="231F20"/>
          <w:spacing w:val="-14"/>
        </w:rPr>
        <w:t xml:space="preserve"> </w:t>
      </w:r>
      <w:r>
        <w:rPr>
          <w:color w:val="231F20"/>
        </w:rPr>
        <w:t>інструментом</w:t>
      </w:r>
      <w:r>
        <w:rPr>
          <w:color w:val="231F20"/>
          <w:spacing w:val="-14"/>
        </w:rPr>
        <w:t xml:space="preserve"> </w:t>
      </w:r>
      <w:r>
        <w:rPr>
          <w:color w:val="231F20"/>
        </w:rPr>
        <w:t>є</w:t>
      </w:r>
      <w:r>
        <w:rPr>
          <w:color w:val="231F20"/>
          <w:spacing w:val="-14"/>
        </w:rPr>
        <w:t xml:space="preserve"> </w:t>
      </w:r>
      <w:r>
        <w:rPr>
          <w:b/>
          <w:i/>
          <w:color w:val="231F20"/>
        </w:rPr>
        <w:t>затвердження</w:t>
      </w:r>
      <w:r>
        <w:rPr>
          <w:b/>
          <w:i/>
          <w:color w:val="231F20"/>
          <w:spacing w:val="-14"/>
        </w:rPr>
        <w:t xml:space="preserve"> </w:t>
      </w:r>
      <w:r>
        <w:rPr>
          <w:b/>
          <w:i/>
          <w:color w:val="231F20"/>
        </w:rPr>
        <w:t>плану</w:t>
      </w:r>
      <w:r>
        <w:rPr>
          <w:color w:val="231F20"/>
        </w:rPr>
        <w:t>,</w:t>
      </w:r>
      <w:r>
        <w:rPr>
          <w:color w:val="231F20"/>
          <w:spacing w:val="-14"/>
        </w:rPr>
        <w:t xml:space="preserve"> </w:t>
      </w:r>
      <w:r>
        <w:rPr>
          <w:color w:val="231F20"/>
        </w:rPr>
        <w:t>що</w:t>
      </w:r>
      <w:r>
        <w:rPr>
          <w:color w:val="231F20"/>
          <w:spacing w:val="-14"/>
        </w:rPr>
        <w:t xml:space="preserve"> </w:t>
      </w:r>
      <w:r>
        <w:rPr>
          <w:color w:val="231F20"/>
        </w:rPr>
        <w:t>створює</w:t>
      </w:r>
      <w:r>
        <w:rPr>
          <w:color w:val="231F20"/>
          <w:spacing w:val="-14"/>
        </w:rPr>
        <w:t xml:space="preserve"> </w:t>
      </w:r>
      <w:r>
        <w:rPr>
          <w:color w:val="231F20"/>
        </w:rPr>
        <w:t>правові наслідки у вигляді виникнення, зміни або припинення прав і поро- джує</w:t>
      </w:r>
      <w:r>
        <w:rPr>
          <w:color w:val="231F20"/>
          <w:spacing w:val="-9"/>
        </w:rPr>
        <w:t xml:space="preserve"> </w:t>
      </w:r>
      <w:r>
        <w:rPr>
          <w:color w:val="231F20"/>
        </w:rPr>
        <w:t>обов’язки</w:t>
      </w:r>
      <w:r>
        <w:rPr>
          <w:color w:val="231F20"/>
          <w:spacing w:val="-9"/>
        </w:rPr>
        <w:t xml:space="preserve"> </w:t>
      </w:r>
      <w:r>
        <w:rPr>
          <w:color w:val="231F20"/>
        </w:rPr>
        <w:t>для</w:t>
      </w:r>
      <w:r>
        <w:rPr>
          <w:color w:val="231F20"/>
          <w:spacing w:val="-9"/>
        </w:rPr>
        <w:t xml:space="preserve"> </w:t>
      </w:r>
      <w:r>
        <w:rPr>
          <w:color w:val="231F20"/>
        </w:rPr>
        <w:t>приватних</w:t>
      </w:r>
      <w:r>
        <w:rPr>
          <w:color w:val="231F20"/>
          <w:spacing w:val="-9"/>
        </w:rPr>
        <w:t xml:space="preserve"> </w:t>
      </w:r>
      <w:r>
        <w:rPr>
          <w:color w:val="231F20"/>
        </w:rPr>
        <w:t>осіб.</w:t>
      </w:r>
      <w:r>
        <w:rPr>
          <w:color w:val="231F20"/>
          <w:spacing w:val="-9"/>
        </w:rPr>
        <w:t xml:space="preserve"> </w:t>
      </w:r>
      <w:r>
        <w:rPr>
          <w:color w:val="231F20"/>
          <w:spacing w:val="-4"/>
        </w:rPr>
        <w:t>Такий</w:t>
      </w:r>
      <w:r>
        <w:rPr>
          <w:color w:val="231F20"/>
          <w:spacing w:val="-9"/>
        </w:rPr>
        <w:t xml:space="preserve"> </w:t>
      </w:r>
      <w:r>
        <w:rPr>
          <w:color w:val="231F20"/>
        </w:rPr>
        <w:t>підхід</w:t>
      </w:r>
      <w:r>
        <w:rPr>
          <w:color w:val="231F20"/>
          <w:spacing w:val="-9"/>
        </w:rPr>
        <w:t xml:space="preserve"> </w:t>
      </w:r>
      <w:r>
        <w:rPr>
          <w:color w:val="231F20"/>
        </w:rPr>
        <w:t>також</w:t>
      </w:r>
      <w:r>
        <w:rPr>
          <w:color w:val="231F20"/>
          <w:spacing w:val="-9"/>
        </w:rPr>
        <w:t xml:space="preserve"> </w:t>
      </w:r>
      <w:r>
        <w:rPr>
          <w:color w:val="231F20"/>
        </w:rPr>
        <w:t>має</w:t>
      </w:r>
      <w:r>
        <w:rPr>
          <w:color w:val="231F20"/>
          <w:spacing w:val="-9"/>
        </w:rPr>
        <w:t xml:space="preserve"> </w:t>
      </w:r>
      <w:r>
        <w:rPr>
          <w:color w:val="231F20"/>
        </w:rPr>
        <w:t xml:space="preserve">значення для </w:t>
      </w:r>
      <w:r>
        <w:rPr>
          <w:color w:val="231F20"/>
          <w:spacing w:val="-3"/>
        </w:rPr>
        <w:t xml:space="preserve">судової </w:t>
      </w:r>
      <w:r>
        <w:rPr>
          <w:color w:val="231F20"/>
        </w:rPr>
        <w:t xml:space="preserve">практики, оскільки </w:t>
      </w:r>
      <w:r>
        <w:rPr>
          <w:color w:val="231F20"/>
          <w:spacing w:val="-3"/>
        </w:rPr>
        <w:t xml:space="preserve">судовий </w:t>
      </w:r>
      <w:r>
        <w:rPr>
          <w:color w:val="231F20"/>
        </w:rPr>
        <w:t>захист має лише та особа,</w:t>
      </w:r>
      <w:r>
        <w:rPr>
          <w:color w:val="231F20"/>
        </w:rPr>
        <w:t xml:space="preserve"> яка є </w:t>
      </w:r>
      <w:r>
        <w:rPr>
          <w:color w:val="231F20"/>
          <w:spacing w:val="-3"/>
        </w:rPr>
        <w:t xml:space="preserve">суб’єктом </w:t>
      </w:r>
      <w:r>
        <w:rPr>
          <w:color w:val="231F20"/>
        </w:rPr>
        <w:t>(носієм) порушених прав, свобод чи</w:t>
      </w:r>
      <w:r>
        <w:rPr>
          <w:color w:val="231F20"/>
          <w:spacing w:val="-4"/>
        </w:rPr>
        <w:t xml:space="preserve"> </w:t>
      </w:r>
      <w:r>
        <w:rPr>
          <w:color w:val="231F20"/>
        </w:rPr>
        <w:t>інтересів.</w:t>
      </w:r>
    </w:p>
    <w:p w14:paraId="236AB00A" w14:textId="77777777" w:rsidR="00DE575E" w:rsidRDefault="002E7560">
      <w:pPr>
        <w:pStyle w:val="BodyText"/>
        <w:spacing w:before="3" w:line="252" w:lineRule="auto"/>
        <w:ind w:left="250" w:right="411" w:firstLine="283"/>
        <w:jc w:val="both"/>
      </w:pPr>
      <w:r>
        <w:rPr>
          <w:color w:val="231F20"/>
        </w:rPr>
        <w:t>Та незважаючи на очевидну відмінність таких актів, постає питання про відмежування ухвалення актів планування від здійс- нення інших форм діяльності владних суб’єктів.</w:t>
      </w:r>
    </w:p>
    <w:p w14:paraId="4EF03BFC" w14:textId="77777777" w:rsidR="00DE575E" w:rsidRDefault="002E7560">
      <w:pPr>
        <w:spacing w:before="1" w:line="252" w:lineRule="auto"/>
        <w:ind w:left="250" w:right="409" w:firstLine="283"/>
        <w:jc w:val="both"/>
        <w:rPr>
          <w:sz w:val="21"/>
        </w:rPr>
      </w:pPr>
      <w:r>
        <w:rPr>
          <w:color w:val="231F20"/>
          <w:sz w:val="21"/>
        </w:rPr>
        <w:t xml:space="preserve">Основними ознаками планів, що відрізняють їх від адміністра- тивних актів та адміністративних договорів, є те, що саме </w:t>
      </w:r>
      <w:r>
        <w:rPr>
          <w:i/>
          <w:color w:val="231F20"/>
          <w:sz w:val="21"/>
        </w:rPr>
        <w:t>через них найбільш</w:t>
      </w:r>
      <w:r>
        <w:rPr>
          <w:i/>
          <w:color w:val="231F20"/>
          <w:spacing w:val="-19"/>
          <w:sz w:val="21"/>
        </w:rPr>
        <w:t xml:space="preserve"> </w:t>
      </w:r>
      <w:r>
        <w:rPr>
          <w:i/>
          <w:color w:val="231F20"/>
          <w:sz w:val="21"/>
        </w:rPr>
        <w:t>яскраво</w:t>
      </w:r>
      <w:r>
        <w:rPr>
          <w:i/>
          <w:color w:val="231F20"/>
          <w:spacing w:val="-19"/>
          <w:sz w:val="21"/>
        </w:rPr>
        <w:t xml:space="preserve"> </w:t>
      </w:r>
      <w:r>
        <w:rPr>
          <w:i/>
          <w:color w:val="231F20"/>
          <w:sz w:val="21"/>
        </w:rPr>
        <w:t>виражається</w:t>
      </w:r>
      <w:r>
        <w:rPr>
          <w:i/>
          <w:color w:val="231F20"/>
          <w:spacing w:val="-19"/>
          <w:sz w:val="21"/>
        </w:rPr>
        <w:t xml:space="preserve"> </w:t>
      </w:r>
      <w:r>
        <w:rPr>
          <w:i/>
          <w:color w:val="231F20"/>
          <w:sz w:val="21"/>
        </w:rPr>
        <w:t>цілевстановлення</w:t>
      </w:r>
      <w:r>
        <w:rPr>
          <w:i/>
          <w:color w:val="231F20"/>
          <w:spacing w:val="-19"/>
          <w:sz w:val="21"/>
        </w:rPr>
        <w:t xml:space="preserve"> </w:t>
      </w:r>
      <w:r>
        <w:rPr>
          <w:i/>
          <w:color w:val="231F20"/>
          <w:sz w:val="21"/>
        </w:rPr>
        <w:t>як</w:t>
      </w:r>
      <w:r>
        <w:rPr>
          <w:i/>
          <w:color w:val="231F20"/>
          <w:spacing w:val="-19"/>
          <w:sz w:val="21"/>
        </w:rPr>
        <w:t xml:space="preserve"> </w:t>
      </w:r>
      <w:r>
        <w:rPr>
          <w:i/>
          <w:color w:val="231F20"/>
          <w:sz w:val="21"/>
        </w:rPr>
        <w:t>елемент</w:t>
      </w:r>
      <w:r>
        <w:rPr>
          <w:i/>
          <w:color w:val="231F20"/>
          <w:spacing w:val="-19"/>
          <w:sz w:val="21"/>
        </w:rPr>
        <w:t xml:space="preserve"> </w:t>
      </w:r>
      <w:r>
        <w:rPr>
          <w:i/>
          <w:color w:val="231F20"/>
          <w:sz w:val="21"/>
        </w:rPr>
        <w:t>публіч- ного адміністрування, що передбачає визначення напрямків спільної діяльності, її проміжних і кінцевих результатів, заради досягнення яких і здійснюється управлінський вплив</w:t>
      </w:r>
      <w:r>
        <w:rPr>
          <w:color w:val="231F20"/>
          <w:sz w:val="21"/>
        </w:rPr>
        <w:t>. Неправильна постановка цілей (неможливих для реалізації або занадто витрат</w:t>
      </w:r>
      <w:r>
        <w:rPr>
          <w:color w:val="231F20"/>
          <w:sz w:val="21"/>
        </w:rPr>
        <w:t>них) є однією з перешкод ефективного</w:t>
      </w:r>
      <w:r>
        <w:rPr>
          <w:color w:val="231F20"/>
          <w:spacing w:val="-3"/>
          <w:sz w:val="21"/>
        </w:rPr>
        <w:t xml:space="preserve"> </w:t>
      </w:r>
      <w:r>
        <w:rPr>
          <w:color w:val="231F20"/>
          <w:sz w:val="21"/>
        </w:rPr>
        <w:t>планування.</w:t>
      </w:r>
    </w:p>
    <w:p w14:paraId="713A0FE8" w14:textId="77777777" w:rsidR="00DE575E" w:rsidRDefault="002E7560">
      <w:pPr>
        <w:pStyle w:val="BodyText"/>
        <w:spacing w:before="4" w:line="252" w:lineRule="auto"/>
        <w:ind w:left="250" w:right="411" w:firstLine="283"/>
        <w:jc w:val="both"/>
      </w:pPr>
      <w:r>
        <w:rPr>
          <w:color w:val="231F20"/>
        </w:rPr>
        <w:t>Планування завжди виходить з узагальнення сучасного стану та спрямовано</w:t>
      </w:r>
      <w:r>
        <w:rPr>
          <w:color w:val="231F20"/>
          <w:spacing w:val="-18"/>
        </w:rPr>
        <w:t xml:space="preserve"> </w:t>
      </w:r>
      <w:r>
        <w:rPr>
          <w:color w:val="231F20"/>
        </w:rPr>
        <w:t>на</w:t>
      </w:r>
      <w:r>
        <w:rPr>
          <w:color w:val="231F20"/>
          <w:spacing w:val="-18"/>
        </w:rPr>
        <w:t xml:space="preserve"> </w:t>
      </w:r>
      <w:r>
        <w:rPr>
          <w:color w:val="231F20"/>
        </w:rPr>
        <w:t>майбутній</w:t>
      </w:r>
      <w:r>
        <w:rPr>
          <w:color w:val="231F20"/>
          <w:spacing w:val="-18"/>
        </w:rPr>
        <w:t xml:space="preserve"> </w:t>
      </w:r>
      <w:r>
        <w:rPr>
          <w:color w:val="231F20"/>
        </w:rPr>
        <w:t>розвиток.</w:t>
      </w:r>
      <w:r>
        <w:rPr>
          <w:color w:val="231F20"/>
          <w:spacing w:val="-18"/>
        </w:rPr>
        <w:t xml:space="preserve"> </w:t>
      </w:r>
      <w:r>
        <w:rPr>
          <w:color w:val="231F20"/>
          <w:spacing w:val="-5"/>
        </w:rPr>
        <w:t>Тому</w:t>
      </w:r>
      <w:r>
        <w:rPr>
          <w:color w:val="231F20"/>
          <w:spacing w:val="-18"/>
        </w:rPr>
        <w:t xml:space="preserve"> </w:t>
      </w:r>
      <w:r>
        <w:rPr>
          <w:color w:val="231F20"/>
        </w:rPr>
        <w:t>спрямованість</w:t>
      </w:r>
      <w:r>
        <w:rPr>
          <w:color w:val="231F20"/>
          <w:spacing w:val="-18"/>
        </w:rPr>
        <w:t xml:space="preserve"> </w:t>
      </w:r>
      <w:r>
        <w:rPr>
          <w:color w:val="231F20"/>
        </w:rPr>
        <w:t>на</w:t>
      </w:r>
      <w:r>
        <w:rPr>
          <w:color w:val="231F20"/>
          <w:spacing w:val="-18"/>
        </w:rPr>
        <w:t xml:space="preserve"> </w:t>
      </w:r>
      <w:r>
        <w:rPr>
          <w:color w:val="231F20"/>
        </w:rPr>
        <w:t>майбутнє вирішення питання через установлення загальних цілей та рамок, надання  рис визна</w:t>
      </w:r>
      <w:r>
        <w:rPr>
          <w:color w:val="231F20"/>
        </w:rPr>
        <w:t>ченості майбутній адміністративній діяльності  є ключовою ознакою</w:t>
      </w:r>
      <w:r>
        <w:rPr>
          <w:color w:val="231F20"/>
          <w:spacing w:val="-3"/>
        </w:rPr>
        <w:t xml:space="preserve"> </w:t>
      </w:r>
      <w:r>
        <w:rPr>
          <w:color w:val="231F20"/>
        </w:rPr>
        <w:t>планування.</w:t>
      </w:r>
    </w:p>
    <w:p w14:paraId="5B811D8F" w14:textId="77777777" w:rsidR="00DE575E" w:rsidRDefault="002E7560">
      <w:pPr>
        <w:pStyle w:val="BodyText"/>
        <w:spacing w:before="2" w:line="252" w:lineRule="auto"/>
        <w:ind w:left="250" w:right="409" w:firstLine="283"/>
        <w:jc w:val="both"/>
      </w:pPr>
      <w:r>
        <w:rPr>
          <w:color w:val="231F20"/>
        </w:rPr>
        <w:t>Наступною характерною рисою та такою, що відрізняє акти планування від інших інструментів діяльності публічної адмініст-</w:t>
      </w:r>
    </w:p>
    <w:p w14:paraId="0357CE8B" w14:textId="77777777" w:rsidR="00DE575E" w:rsidRDefault="00DE575E">
      <w:pPr>
        <w:pStyle w:val="BodyText"/>
        <w:rPr>
          <w:sz w:val="20"/>
        </w:rPr>
      </w:pPr>
    </w:p>
    <w:p w14:paraId="5A9B6AEF" w14:textId="2607F077" w:rsidR="00DE575E" w:rsidRDefault="002E7560">
      <w:pPr>
        <w:pStyle w:val="BodyText"/>
        <w:spacing w:before="9"/>
        <w:rPr>
          <w:sz w:val="12"/>
        </w:rPr>
      </w:pPr>
      <w:r>
        <w:rPr>
          <w:noProof/>
        </w:rPr>
        <mc:AlternateContent>
          <mc:Choice Requires="wps">
            <w:drawing>
              <wp:anchor distT="0" distB="0" distL="0" distR="0" simplePos="0" relativeHeight="9880" behindDoc="0" locked="0" layoutInCell="1" allowOverlap="1" wp14:anchorId="14E7D25D" wp14:editId="34BF32AD">
                <wp:simplePos x="0" y="0"/>
                <wp:positionH relativeFrom="page">
                  <wp:posOffset>539750</wp:posOffset>
                </wp:positionH>
                <wp:positionV relativeFrom="paragraph">
                  <wp:posOffset>123190</wp:posOffset>
                </wp:positionV>
                <wp:extent cx="1080135" cy="0"/>
                <wp:effectExtent l="6350" t="8890" r="31115" b="29210"/>
                <wp:wrapTopAndBottom/>
                <wp:docPr id="79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14550" id="Line_x0020_795" o:spid="_x0000_s1026" style="position:absolute;z-index:9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aPY5byMCAABF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176234C2" w14:textId="77777777" w:rsidR="00DE575E" w:rsidRDefault="002E7560">
      <w:pPr>
        <w:spacing w:line="204" w:lineRule="auto"/>
        <w:ind w:left="250" w:right="521"/>
        <w:rPr>
          <w:sz w:val="16"/>
        </w:rPr>
      </w:pPr>
      <w:r>
        <w:rPr>
          <w:color w:val="231F20"/>
          <w:position w:val="5"/>
          <w:sz w:val="9"/>
        </w:rPr>
        <w:t xml:space="preserve">1 </w:t>
      </w:r>
      <w:r>
        <w:rPr>
          <w:color w:val="231F20"/>
          <w:sz w:val="16"/>
        </w:rPr>
        <w:t>Юридична енциклопедія: в 6 т. / редкол.: Ю. Шемшучен</w:t>
      </w:r>
      <w:r>
        <w:rPr>
          <w:color w:val="231F20"/>
          <w:sz w:val="16"/>
        </w:rPr>
        <w:t>ко (голова редкол.) та ін. Київ: Укр. енцикл., 1998. Т. 4: Н–П. 2003. С. 566.</w:t>
      </w:r>
    </w:p>
    <w:p w14:paraId="2D8EB977" w14:textId="77777777" w:rsidR="00DE575E" w:rsidRDefault="00DE575E">
      <w:pPr>
        <w:pStyle w:val="BodyText"/>
        <w:spacing w:before="1"/>
        <w:rPr>
          <w:sz w:val="12"/>
        </w:rPr>
      </w:pPr>
    </w:p>
    <w:p w14:paraId="576DCC8A" w14:textId="77777777" w:rsidR="00DE575E" w:rsidRDefault="002E7560">
      <w:pPr>
        <w:spacing w:before="92"/>
        <w:ind w:right="411"/>
        <w:jc w:val="right"/>
        <w:rPr>
          <w:rFonts w:ascii="Times New Roman"/>
          <w:sz w:val="20"/>
        </w:rPr>
      </w:pPr>
      <w:r>
        <w:rPr>
          <w:rFonts w:ascii="Times New Roman"/>
          <w:color w:val="231F20"/>
          <w:w w:val="90"/>
          <w:sz w:val="20"/>
        </w:rPr>
        <w:t>243</w:t>
      </w:r>
    </w:p>
    <w:p w14:paraId="2A4CC0D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D8E075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CBC6049" w14:textId="03E1EAB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C7DF38F" wp14:editId="49881030">
                <wp:extent cx="4140200" cy="6350"/>
                <wp:effectExtent l="0" t="0" r="12700" b="6350"/>
                <wp:docPr id="794"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95" name="Line 7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D962EE" id="Group_x0020_7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IgxfB/AgAAmAUAAA4A&#10;AAAAAAAAAAAAAAAALAIAAGRycy9lMm9Eb2MueG1sUEsBAi0AFAAGAAgAAAAhAEynsJDZAAAAAwEA&#10;AA8AAAAAAAAAAAAAAAAA1wQAAGRycy9kb3ducmV2LnhtbFBLBQYAAAAABAAEAPMAAADdBQAAAAA=&#10;">
                <v:line id="Line_x0020_7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K9kscAAADcAAAADwAAAGRycy9kb3ducmV2LnhtbESP0WrCQBRE3wv+w3KFvkjdqLS1qauI&#10;UCg+qDV+wDV7m4Tu3o3Z1aR+fVcQ+jjMzBlmtuisERdqfOVYwWiYgCDOna64UHDIPp6mIHxA1mgc&#10;k4Jf8rCY9x5mmGrX8hdd9qEQEcI+RQVlCHUqpc9LsuiHriaO3rdrLIYom0LqBtsIt0aOk+RFWqw4&#10;LpRY06qk/Gd/tgqy0yCY3XZt2mx7nMjjaTO5njdKPfa75TuIQF34D9/bn1rB69sz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sr2SxwAAANwAAAAPAAAAAAAA&#10;AAAAAAAAAKECAABkcnMvZG93bnJldi54bWxQSwUGAAAAAAQABAD5AAAAlQMAAAAA&#10;" strokecolor="#231f20" strokeweight=".5pt"/>
                <w10:anchorlock/>
              </v:group>
            </w:pict>
          </mc:Fallback>
        </mc:AlternateContent>
      </w:r>
    </w:p>
    <w:p w14:paraId="51C69587" w14:textId="77777777" w:rsidR="00DE575E" w:rsidRDefault="00DE575E">
      <w:pPr>
        <w:pStyle w:val="BodyText"/>
        <w:spacing w:before="7"/>
        <w:rPr>
          <w:rFonts w:ascii="AdonisC"/>
          <w:i/>
          <w:sz w:val="11"/>
        </w:rPr>
      </w:pPr>
    </w:p>
    <w:p w14:paraId="4A63410C" w14:textId="77777777" w:rsidR="00DE575E" w:rsidRDefault="002E7560">
      <w:pPr>
        <w:pStyle w:val="BodyText"/>
        <w:spacing w:before="101" w:line="252" w:lineRule="auto"/>
        <w:ind w:left="533" w:right="126"/>
        <w:jc w:val="both"/>
      </w:pPr>
      <w:r>
        <w:rPr>
          <w:color w:val="231F20"/>
        </w:rPr>
        <w:t xml:space="preserve">рації, є те, що вони </w:t>
      </w:r>
      <w:r>
        <w:rPr>
          <w:i/>
          <w:color w:val="231F20"/>
        </w:rPr>
        <w:t>забезпечують прозорість діяльності владних суб’єктів</w:t>
      </w:r>
      <w:r>
        <w:rPr>
          <w:color w:val="231F20"/>
        </w:rPr>
        <w:t>. Плани містять майбутні заходи та окреслюють резуль- тат цих заходів, деколи навіть містять виконавців і строки. Акт планування не є незмінним – він час від часу оновлюється, до нього вносяться зміни та уточнення у зв’язку зі зміною потреб і суспіль- них</w:t>
      </w:r>
      <w:r>
        <w:rPr>
          <w:color w:val="231F20"/>
          <w:spacing w:val="2"/>
        </w:rPr>
        <w:t xml:space="preserve"> </w:t>
      </w:r>
      <w:r>
        <w:rPr>
          <w:color w:val="231F20"/>
        </w:rPr>
        <w:t>вимог.</w:t>
      </w:r>
    </w:p>
    <w:p w14:paraId="5CC33D81" w14:textId="77777777" w:rsidR="00DE575E" w:rsidRDefault="002E7560">
      <w:pPr>
        <w:pStyle w:val="BodyText"/>
        <w:spacing w:before="3" w:line="252" w:lineRule="auto"/>
        <w:ind w:left="533" w:right="127" w:firstLine="283"/>
        <w:jc w:val="both"/>
      </w:pPr>
      <w:r>
        <w:rPr>
          <w:b/>
          <w:i/>
          <w:color w:val="231F20"/>
        </w:rPr>
        <w:t xml:space="preserve">Юридичне значення плану </w:t>
      </w:r>
      <w:r>
        <w:rPr>
          <w:color w:val="231F20"/>
        </w:rPr>
        <w:t>як інструмента публічного адміні- стрування полягає в тому, що він є додатковим спеціальним засо- бом досягнення бажаного в майбутньому позитивного публічного результату через затвердження відповідними адміністративними актам</w:t>
      </w:r>
      <w:r>
        <w:rPr>
          <w:color w:val="231F20"/>
        </w:rPr>
        <w:t>и цілеспрямованих напрямків адміністративної діяльності суб’єктів публічної адміністрації.</w:t>
      </w:r>
    </w:p>
    <w:p w14:paraId="491B5707" w14:textId="77777777" w:rsidR="00DE575E" w:rsidRDefault="002E7560">
      <w:pPr>
        <w:pStyle w:val="Heading6"/>
        <w:spacing w:before="3" w:line="252" w:lineRule="auto"/>
        <w:ind w:right="128"/>
        <w:jc w:val="both"/>
      </w:pPr>
      <w:r>
        <w:rPr>
          <w:color w:val="231F20"/>
        </w:rPr>
        <w:t xml:space="preserve">План як інструмент публічного адміністрування характе- </w:t>
      </w:r>
      <w:r>
        <w:rPr>
          <w:color w:val="231F20"/>
        </w:rPr>
        <w:t>ризується такими ознаками:</w:t>
      </w:r>
    </w:p>
    <w:p w14:paraId="38E6873A" w14:textId="77777777" w:rsidR="00DE575E" w:rsidRDefault="002E7560">
      <w:pPr>
        <w:pStyle w:val="ListParagraph"/>
        <w:numPr>
          <w:ilvl w:val="0"/>
          <w:numId w:val="180"/>
        </w:numPr>
        <w:tabs>
          <w:tab w:val="left" w:pos="1101"/>
        </w:tabs>
        <w:spacing w:line="252" w:lineRule="auto"/>
        <w:ind w:right="130" w:firstLine="284"/>
        <w:jc w:val="both"/>
        <w:rPr>
          <w:sz w:val="21"/>
        </w:rPr>
      </w:pPr>
      <w:r>
        <w:rPr>
          <w:color w:val="231F20"/>
          <w:sz w:val="21"/>
        </w:rPr>
        <w:t xml:space="preserve">це різновид адміністративної діяльності </w:t>
      </w:r>
      <w:r>
        <w:rPr>
          <w:color w:val="231F20"/>
          <w:spacing w:val="-3"/>
          <w:sz w:val="21"/>
        </w:rPr>
        <w:t xml:space="preserve">суб’єктів </w:t>
      </w:r>
      <w:r>
        <w:rPr>
          <w:color w:val="231F20"/>
          <w:sz w:val="21"/>
        </w:rPr>
        <w:t>публічної адміністрації;</w:t>
      </w:r>
    </w:p>
    <w:p w14:paraId="7EDE942F" w14:textId="77777777" w:rsidR="00DE575E" w:rsidRDefault="002E7560">
      <w:pPr>
        <w:pStyle w:val="ListParagraph"/>
        <w:numPr>
          <w:ilvl w:val="0"/>
          <w:numId w:val="180"/>
        </w:numPr>
        <w:tabs>
          <w:tab w:val="left" w:pos="1101"/>
        </w:tabs>
        <w:spacing w:line="252" w:lineRule="auto"/>
        <w:ind w:right="128" w:firstLine="284"/>
        <w:jc w:val="both"/>
        <w:rPr>
          <w:sz w:val="21"/>
        </w:rPr>
      </w:pPr>
      <w:r>
        <w:rPr>
          <w:color w:val="231F20"/>
          <w:sz w:val="21"/>
        </w:rPr>
        <w:t>реалізує</w:t>
      </w:r>
      <w:r>
        <w:rPr>
          <w:color w:val="231F20"/>
          <w:sz w:val="21"/>
        </w:rPr>
        <w:t xml:space="preserve">ться через затвердження </w:t>
      </w:r>
      <w:r>
        <w:rPr>
          <w:color w:val="231F20"/>
          <w:spacing w:val="-3"/>
          <w:sz w:val="21"/>
        </w:rPr>
        <w:t xml:space="preserve">суб’єктом </w:t>
      </w:r>
      <w:r>
        <w:rPr>
          <w:color w:val="231F20"/>
          <w:sz w:val="21"/>
        </w:rPr>
        <w:t>публічної адмі- ністрації офіційного документа, в якому сформовано уявний бажа- ний у майбутньому публічний</w:t>
      </w:r>
      <w:r>
        <w:rPr>
          <w:color w:val="231F20"/>
          <w:spacing w:val="-1"/>
          <w:sz w:val="21"/>
        </w:rPr>
        <w:t xml:space="preserve"> </w:t>
      </w:r>
      <w:r>
        <w:rPr>
          <w:color w:val="231F20"/>
          <w:spacing w:val="-3"/>
          <w:sz w:val="21"/>
        </w:rPr>
        <w:t>результат;</w:t>
      </w:r>
    </w:p>
    <w:p w14:paraId="3BE7C04B" w14:textId="77777777" w:rsidR="00DE575E" w:rsidRDefault="002E7560">
      <w:pPr>
        <w:pStyle w:val="ListParagraph"/>
        <w:numPr>
          <w:ilvl w:val="0"/>
          <w:numId w:val="180"/>
        </w:numPr>
        <w:tabs>
          <w:tab w:val="left" w:pos="1101"/>
        </w:tabs>
        <w:spacing w:line="252" w:lineRule="auto"/>
        <w:ind w:right="128" w:firstLine="284"/>
        <w:jc w:val="both"/>
        <w:rPr>
          <w:sz w:val="21"/>
        </w:rPr>
      </w:pPr>
      <w:r>
        <w:rPr>
          <w:color w:val="231F20"/>
          <w:sz w:val="21"/>
        </w:rPr>
        <w:t>затвердження плану здійснюється через ухвалення відповід- ного адміністративного</w:t>
      </w:r>
      <w:r>
        <w:rPr>
          <w:color w:val="231F20"/>
          <w:spacing w:val="-1"/>
          <w:sz w:val="21"/>
        </w:rPr>
        <w:t xml:space="preserve"> </w:t>
      </w:r>
      <w:r>
        <w:rPr>
          <w:color w:val="231F20"/>
          <w:sz w:val="21"/>
        </w:rPr>
        <w:t>акта;</w:t>
      </w:r>
    </w:p>
    <w:p w14:paraId="44C8C268" w14:textId="77777777" w:rsidR="00DE575E" w:rsidRDefault="002E7560">
      <w:pPr>
        <w:pStyle w:val="ListParagraph"/>
        <w:numPr>
          <w:ilvl w:val="0"/>
          <w:numId w:val="180"/>
        </w:numPr>
        <w:tabs>
          <w:tab w:val="left" w:pos="1101"/>
        </w:tabs>
        <w:spacing w:line="252" w:lineRule="auto"/>
        <w:ind w:right="128" w:firstLine="284"/>
        <w:jc w:val="both"/>
        <w:rPr>
          <w:sz w:val="21"/>
        </w:rPr>
      </w:pPr>
      <w:r>
        <w:rPr>
          <w:color w:val="231F20"/>
          <w:sz w:val="21"/>
        </w:rPr>
        <w:t>матеріальною   о</w:t>
      </w:r>
      <w:r>
        <w:rPr>
          <w:color w:val="231F20"/>
          <w:sz w:val="21"/>
        </w:rPr>
        <w:t>сновою   плану   є    документи    планування в певних сферах адміністративно-правових відносин, виходячи з узагальнення сучасного стану та його спрямованості на майбутній розвиток;</w:t>
      </w:r>
    </w:p>
    <w:p w14:paraId="64D6DC5B" w14:textId="77777777" w:rsidR="00DE575E" w:rsidRDefault="002E7560">
      <w:pPr>
        <w:pStyle w:val="ListParagraph"/>
        <w:numPr>
          <w:ilvl w:val="0"/>
          <w:numId w:val="180"/>
        </w:numPr>
        <w:tabs>
          <w:tab w:val="left" w:pos="1101"/>
        </w:tabs>
        <w:spacing w:before="2" w:line="252" w:lineRule="auto"/>
        <w:ind w:right="126" w:firstLine="284"/>
        <w:jc w:val="both"/>
        <w:rPr>
          <w:sz w:val="21"/>
        </w:rPr>
      </w:pPr>
      <w:r>
        <w:rPr>
          <w:color w:val="231F20"/>
          <w:sz w:val="21"/>
        </w:rPr>
        <w:t>у ньому найбільш яскраво відбивається цілевстановлення публічного</w:t>
      </w:r>
      <w:r>
        <w:rPr>
          <w:color w:val="231F20"/>
          <w:spacing w:val="-1"/>
          <w:sz w:val="21"/>
        </w:rPr>
        <w:t xml:space="preserve"> </w:t>
      </w:r>
      <w:r>
        <w:rPr>
          <w:color w:val="231F20"/>
          <w:sz w:val="21"/>
        </w:rPr>
        <w:t>адмініст</w:t>
      </w:r>
      <w:r>
        <w:rPr>
          <w:color w:val="231F20"/>
          <w:sz w:val="21"/>
        </w:rPr>
        <w:t>рування;</w:t>
      </w:r>
    </w:p>
    <w:p w14:paraId="21D08154" w14:textId="77777777" w:rsidR="00DE575E" w:rsidRDefault="002E7560">
      <w:pPr>
        <w:pStyle w:val="ListParagraph"/>
        <w:numPr>
          <w:ilvl w:val="0"/>
          <w:numId w:val="180"/>
        </w:numPr>
        <w:tabs>
          <w:tab w:val="left" w:pos="1101"/>
        </w:tabs>
        <w:spacing w:line="252" w:lineRule="auto"/>
        <w:ind w:right="128" w:firstLine="284"/>
        <w:jc w:val="both"/>
        <w:rPr>
          <w:sz w:val="21"/>
        </w:rPr>
      </w:pPr>
      <w:r>
        <w:rPr>
          <w:color w:val="231F20"/>
          <w:sz w:val="21"/>
        </w:rPr>
        <w:t>він забезпечує прозорість адміністративної діяльності</w:t>
      </w:r>
      <w:r>
        <w:rPr>
          <w:color w:val="231F20"/>
          <w:spacing w:val="-35"/>
          <w:sz w:val="21"/>
        </w:rPr>
        <w:t xml:space="preserve"> </w:t>
      </w:r>
      <w:r>
        <w:rPr>
          <w:color w:val="231F20"/>
          <w:sz w:val="21"/>
        </w:rPr>
        <w:t>публіч- ної</w:t>
      </w:r>
      <w:r>
        <w:rPr>
          <w:color w:val="231F20"/>
          <w:spacing w:val="-1"/>
          <w:sz w:val="21"/>
        </w:rPr>
        <w:t xml:space="preserve"> </w:t>
      </w:r>
      <w:r>
        <w:rPr>
          <w:color w:val="231F20"/>
          <w:sz w:val="21"/>
        </w:rPr>
        <w:t>адміністрації;</w:t>
      </w:r>
    </w:p>
    <w:p w14:paraId="56FE2711" w14:textId="77777777" w:rsidR="00DE575E" w:rsidRDefault="002E7560">
      <w:pPr>
        <w:pStyle w:val="ListParagraph"/>
        <w:numPr>
          <w:ilvl w:val="0"/>
          <w:numId w:val="180"/>
        </w:numPr>
        <w:tabs>
          <w:tab w:val="left" w:pos="1101"/>
        </w:tabs>
        <w:spacing w:line="252" w:lineRule="auto"/>
        <w:ind w:right="128" w:firstLine="284"/>
        <w:jc w:val="both"/>
        <w:rPr>
          <w:sz w:val="21"/>
        </w:rPr>
      </w:pPr>
      <w:r>
        <w:rPr>
          <w:color w:val="231F20"/>
          <w:sz w:val="21"/>
        </w:rPr>
        <w:t xml:space="preserve">у планах </w:t>
      </w:r>
      <w:r>
        <w:rPr>
          <w:color w:val="231F20"/>
          <w:spacing w:val="-3"/>
          <w:sz w:val="21"/>
        </w:rPr>
        <w:t xml:space="preserve">суб’єкти </w:t>
      </w:r>
      <w:r>
        <w:rPr>
          <w:color w:val="231F20"/>
          <w:sz w:val="21"/>
        </w:rPr>
        <w:t>публічної адміністрації беруть на себе адмі- ністративні зобов’язання здійснити щось користе для приватних осіб та публічного інтересу</w:t>
      </w:r>
      <w:r>
        <w:rPr>
          <w:color w:val="231F20"/>
          <w:spacing w:val="-2"/>
          <w:sz w:val="21"/>
        </w:rPr>
        <w:t xml:space="preserve"> </w:t>
      </w:r>
      <w:r>
        <w:rPr>
          <w:color w:val="231F20"/>
          <w:sz w:val="21"/>
        </w:rPr>
        <w:t>держави.</w:t>
      </w:r>
    </w:p>
    <w:p w14:paraId="6F2D8FD0" w14:textId="77777777" w:rsidR="00DE575E" w:rsidRDefault="002E7560">
      <w:pPr>
        <w:pStyle w:val="Heading5"/>
        <w:spacing w:before="1" w:line="252" w:lineRule="auto"/>
        <w:ind w:right="127" w:firstLine="283"/>
        <w:jc w:val="both"/>
      </w:pPr>
      <w:r>
        <w:rPr>
          <w:color w:val="231F20"/>
        </w:rPr>
        <w:t>Отже, план як інструмент адміністративного права – це похідна (від адміністративного  акта)  форма  адміністратив- ної діяльності публічної адміністрації на основі узагальнення сучасного стану суспільних відносин, що спрямовані на розви- ток, через затверд</w:t>
      </w:r>
      <w:r>
        <w:rPr>
          <w:color w:val="231F20"/>
        </w:rPr>
        <w:t>ження відповідними адміністративними актами цілеспрямованих напрямків публічного адміністру- вання на</w:t>
      </w:r>
      <w:r>
        <w:rPr>
          <w:color w:val="231F20"/>
          <w:spacing w:val="-2"/>
        </w:rPr>
        <w:t xml:space="preserve"> </w:t>
      </w:r>
      <w:r>
        <w:rPr>
          <w:color w:val="231F20"/>
        </w:rPr>
        <w:t>майбутнє.</w:t>
      </w:r>
    </w:p>
    <w:p w14:paraId="41F31A32" w14:textId="77777777" w:rsidR="00DE575E" w:rsidRDefault="00DE575E">
      <w:pPr>
        <w:pStyle w:val="BodyText"/>
        <w:spacing w:before="8"/>
        <w:rPr>
          <w:b/>
          <w:sz w:val="12"/>
        </w:rPr>
      </w:pPr>
    </w:p>
    <w:p w14:paraId="2640BEEA" w14:textId="77777777" w:rsidR="00DE575E" w:rsidRDefault="002E7560">
      <w:pPr>
        <w:spacing w:before="92"/>
        <w:ind w:left="533"/>
        <w:rPr>
          <w:rFonts w:ascii="Times New Roman"/>
          <w:sz w:val="20"/>
        </w:rPr>
      </w:pPr>
      <w:r>
        <w:rPr>
          <w:rFonts w:ascii="Times New Roman"/>
          <w:color w:val="231F20"/>
          <w:sz w:val="20"/>
        </w:rPr>
        <w:t>244</w:t>
      </w:r>
    </w:p>
    <w:p w14:paraId="1CE8ED2E" w14:textId="77777777" w:rsidR="00DE575E" w:rsidRDefault="00DE575E">
      <w:pPr>
        <w:rPr>
          <w:rFonts w:ascii="Times New Roman"/>
          <w:sz w:val="20"/>
        </w:rPr>
        <w:sectPr w:rsidR="00DE575E">
          <w:pgSz w:w="8510" w:h="12760"/>
          <w:pgMar w:top="660" w:right="720" w:bottom="280" w:left="600" w:header="720" w:footer="720" w:gutter="0"/>
          <w:cols w:space="720"/>
        </w:sectPr>
      </w:pPr>
    </w:p>
    <w:p w14:paraId="2EDFACD8"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55F6979C" w14:textId="3CDD9E6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FF60C4C" wp14:editId="3281E93D">
                <wp:extent cx="4140200" cy="6350"/>
                <wp:effectExtent l="0" t="0" r="12700" b="6350"/>
                <wp:docPr id="792"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93" name="Line 79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ECC2AB" id="Group_x0020_79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FMy28fQIAAJgFAAAOAAAA&#10;AAAAAAAAAAAAACwCAABkcnMvZTJvRG9jLnhtbFBLAQItABQABgAIAAAAIQBMp7CQ2QAAAAMBAAAP&#10;AAAAAAAAAAAAAAAAANUEAABkcnMvZG93bnJldi54bWxQSwUGAAAAAAQABADzAAAA2wUAAAAA&#10;">
                <v:line id="Line_x0020_79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eAfccAAADcAAAADwAAAGRycy9kb3ducmV2LnhtbESP3WrCQBSE7wXfYTkFb0rdtIFao6tI&#10;oSC98C8+wDF7TEJ3z8bsatI+fbdQ8HKYmW+Y+bK3Rtyo9bVjBc/jBARx4XTNpYJj/vH0BsIHZI3G&#10;MSn4Jg/LxXAwx0y7jvd0O4RSRAj7DBVUITSZlL6oyKIfu4Y4emfXWgxRtqXULXYRbo18SZJXabHm&#10;uFBhQ+8VFV+Hq1WQXx6D2W0/TZdvT6k8XTbpz3Wj1OihX81ABOrDPfzfXmsFk2k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F4B9xwAAANwAAAAPAAAAAAAA&#10;AAAAAAAAAKECAABkcnMvZG93bnJldi54bWxQSwUGAAAAAAQABAD5AAAAlQMAAAAA&#10;" strokecolor="#231f20" strokeweight=".5pt"/>
                <w10:anchorlock/>
              </v:group>
            </w:pict>
          </mc:Fallback>
        </mc:AlternateContent>
      </w:r>
    </w:p>
    <w:p w14:paraId="70231DE6" w14:textId="77777777" w:rsidR="00DE575E" w:rsidRDefault="00DE575E">
      <w:pPr>
        <w:pStyle w:val="BodyText"/>
        <w:spacing w:before="7"/>
        <w:rPr>
          <w:rFonts w:ascii="AdonisC"/>
          <w:i/>
          <w:sz w:val="19"/>
        </w:rPr>
      </w:pPr>
    </w:p>
    <w:p w14:paraId="0E3F05C8" w14:textId="77777777" w:rsidR="00DE575E" w:rsidRDefault="002E7560">
      <w:pPr>
        <w:pStyle w:val="Heading5"/>
        <w:numPr>
          <w:ilvl w:val="2"/>
          <w:numId w:val="179"/>
        </w:numPr>
        <w:tabs>
          <w:tab w:val="left" w:pos="1099"/>
        </w:tabs>
        <w:spacing w:before="1"/>
      </w:pPr>
      <w:r>
        <w:rPr>
          <w:color w:val="231F20"/>
        </w:rPr>
        <w:t>Сфера застосування</w:t>
      </w:r>
      <w:r>
        <w:rPr>
          <w:color w:val="231F20"/>
          <w:spacing w:val="-3"/>
        </w:rPr>
        <w:t xml:space="preserve"> </w:t>
      </w:r>
      <w:r>
        <w:rPr>
          <w:color w:val="231F20"/>
        </w:rPr>
        <w:t>планів</w:t>
      </w:r>
    </w:p>
    <w:p w14:paraId="22CD7BA3" w14:textId="77777777" w:rsidR="00DE575E" w:rsidRDefault="00DE575E">
      <w:pPr>
        <w:pStyle w:val="BodyText"/>
        <w:spacing w:before="2"/>
        <w:rPr>
          <w:b/>
          <w:sz w:val="23"/>
        </w:rPr>
      </w:pPr>
    </w:p>
    <w:p w14:paraId="400CD59C" w14:textId="77777777" w:rsidR="00DE575E" w:rsidRDefault="002E7560">
      <w:pPr>
        <w:pStyle w:val="BodyText"/>
        <w:spacing w:line="252" w:lineRule="auto"/>
        <w:ind w:left="250" w:right="411" w:firstLine="283"/>
        <w:jc w:val="both"/>
      </w:pPr>
      <w:r>
        <w:rPr>
          <w:color w:val="231F20"/>
          <w:spacing w:val="-4"/>
        </w:rPr>
        <w:t xml:space="preserve">Плани </w:t>
      </w:r>
      <w:r>
        <w:rPr>
          <w:color w:val="231F20"/>
        </w:rPr>
        <w:t xml:space="preserve">в </w:t>
      </w:r>
      <w:r>
        <w:rPr>
          <w:color w:val="231F20"/>
          <w:spacing w:val="-5"/>
        </w:rPr>
        <w:t xml:space="preserve">діяльності публічної адміністрації </w:t>
      </w:r>
      <w:r>
        <w:rPr>
          <w:color w:val="231F20"/>
        </w:rPr>
        <w:t xml:space="preserve">– </w:t>
      </w:r>
      <w:r>
        <w:rPr>
          <w:color w:val="231F20"/>
          <w:spacing w:val="-3"/>
        </w:rPr>
        <w:t xml:space="preserve">це </w:t>
      </w:r>
      <w:r>
        <w:rPr>
          <w:color w:val="231F20"/>
          <w:spacing w:val="-5"/>
        </w:rPr>
        <w:t xml:space="preserve">спеціальний </w:t>
      </w:r>
      <w:r>
        <w:rPr>
          <w:color w:val="231F20"/>
          <w:spacing w:val="-6"/>
        </w:rPr>
        <w:t xml:space="preserve">інстру- </w:t>
      </w:r>
      <w:r>
        <w:rPr>
          <w:color w:val="231F20"/>
          <w:spacing w:val="-4"/>
        </w:rPr>
        <w:t xml:space="preserve">мент </w:t>
      </w:r>
      <w:r>
        <w:rPr>
          <w:color w:val="231F20"/>
          <w:spacing w:val="-3"/>
        </w:rPr>
        <w:t xml:space="preserve">її </w:t>
      </w:r>
      <w:r>
        <w:rPr>
          <w:color w:val="231F20"/>
          <w:spacing w:val="-5"/>
        </w:rPr>
        <w:t xml:space="preserve">адміністративної діяльності, </w:t>
      </w:r>
      <w:r>
        <w:rPr>
          <w:color w:val="231F20"/>
          <w:spacing w:val="-4"/>
        </w:rPr>
        <w:t xml:space="preserve">вони </w:t>
      </w:r>
      <w:r>
        <w:rPr>
          <w:color w:val="231F20"/>
          <w:spacing w:val="-5"/>
        </w:rPr>
        <w:t xml:space="preserve">застосовуються майже </w:t>
      </w:r>
      <w:r>
        <w:rPr>
          <w:color w:val="231F20"/>
        </w:rPr>
        <w:t xml:space="preserve">у </w:t>
      </w:r>
      <w:r>
        <w:rPr>
          <w:color w:val="231F20"/>
          <w:spacing w:val="-5"/>
        </w:rPr>
        <w:t xml:space="preserve">всіх </w:t>
      </w:r>
      <w:r>
        <w:rPr>
          <w:color w:val="231F20"/>
          <w:spacing w:val="-4"/>
        </w:rPr>
        <w:t xml:space="preserve">сферах </w:t>
      </w:r>
      <w:r>
        <w:rPr>
          <w:color w:val="231F20"/>
          <w:spacing w:val="-5"/>
        </w:rPr>
        <w:t xml:space="preserve">публічного адміністрування. </w:t>
      </w:r>
      <w:r>
        <w:rPr>
          <w:color w:val="231F20"/>
          <w:spacing w:val="-4"/>
        </w:rPr>
        <w:t xml:space="preserve">Їхнє </w:t>
      </w:r>
      <w:r>
        <w:rPr>
          <w:color w:val="231F20"/>
          <w:spacing w:val="-5"/>
        </w:rPr>
        <w:t xml:space="preserve">значення постійно зростає надалі </w:t>
      </w:r>
      <w:r>
        <w:rPr>
          <w:color w:val="231F20"/>
          <w:spacing w:val="-4"/>
        </w:rPr>
        <w:t xml:space="preserve">під </w:t>
      </w:r>
      <w:r>
        <w:rPr>
          <w:color w:val="231F20"/>
          <w:spacing w:val="-5"/>
        </w:rPr>
        <w:t xml:space="preserve">європейським впливом. Сьогодні важко уявити співробіт- ництво  </w:t>
      </w:r>
      <w:r>
        <w:rPr>
          <w:color w:val="231F20"/>
          <w:spacing w:val="-6"/>
        </w:rPr>
        <w:t xml:space="preserve">України  </w:t>
      </w:r>
      <w:r>
        <w:rPr>
          <w:color w:val="231F20"/>
        </w:rPr>
        <w:t xml:space="preserve">з  </w:t>
      </w:r>
      <w:r>
        <w:rPr>
          <w:color w:val="231F20"/>
          <w:spacing w:val="-5"/>
        </w:rPr>
        <w:t xml:space="preserve">європейськими  країнами  </w:t>
      </w:r>
      <w:r>
        <w:rPr>
          <w:color w:val="231F20"/>
          <w:spacing w:val="-4"/>
        </w:rPr>
        <w:t xml:space="preserve">без  </w:t>
      </w:r>
      <w:r>
        <w:rPr>
          <w:color w:val="231F20"/>
          <w:spacing w:val="-6"/>
        </w:rPr>
        <w:t xml:space="preserve">узгоджених  </w:t>
      </w:r>
      <w:r>
        <w:rPr>
          <w:color w:val="231F20"/>
          <w:spacing w:val="-5"/>
        </w:rPr>
        <w:t xml:space="preserve">програм </w:t>
      </w:r>
      <w:r>
        <w:rPr>
          <w:color w:val="231F20"/>
        </w:rPr>
        <w:t xml:space="preserve">і </w:t>
      </w:r>
      <w:r>
        <w:rPr>
          <w:color w:val="231F20"/>
          <w:spacing w:val="-5"/>
        </w:rPr>
        <w:t xml:space="preserve">планів. </w:t>
      </w:r>
      <w:r>
        <w:rPr>
          <w:color w:val="231F20"/>
        </w:rPr>
        <w:t xml:space="preserve">У </w:t>
      </w:r>
      <w:r>
        <w:rPr>
          <w:color w:val="231F20"/>
          <w:spacing w:val="-5"/>
        </w:rPr>
        <w:t xml:space="preserve">Європейському </w:t>
      </w:r>
      <w:r>
        <w:rPr>
          <w:color w:val="231F20"/>
          <w:spacing w:val="-4"/>
        </w:rPr>
        <w:t xml:space="preserve">Союзі </w:t>
      </w:r>
      <w:r>
        <w:rPr>
          <w:color w:val="231F20"/>
          <w:spacing w:val="-6"/>
        </w:rPr>
        <w:t xml:space="preserve">відзначаються </w:t>
      </w:r>
      <w:r>
        <w:rPr>
          <w:color w:val="231F20"/>
          <w:spacing w:val="-5"/>
        </w:rPr>
        <w:t xml:space="preserve">чотири </w:t>
      </w:r>
      <w:r>
        <w:rPr>
          <w:color w:val="231F20"/>
          <w:spacing w:val="-4"/>
        </w:rPr>
        <w:t xml:space="preserve">рівні </w:t>
      </w:r>
      <w:r>
        <w:rPr>
          <w:color w:val="231F20"/>
          <w:spacing w:val="-5"/>
        </w:rPr>
        <w:t>плану- вання: політико-стратегічний</w:t>
      </w:r>
      <w:r>
        <w:rPr>
          <w:color w:val="231F20"/>
          <w:spacing w:val="-5"/>
        </w:rPr>
        <w:t>, стратегічний, операційний,</w:t>
      </w:r>
      <w:r>
        <w:rPr>
          <w:color w:val="231F20"/>
          <w:spacing w:val="-10"/>
        </w:rPr>
        <w:t xml:space="preserve"> </w:t>
      </w:r>
      <w:r>
        <w:rPr>
          <w:color w:val="231F20"/>
          <w:spacing w:val="-5"/>
        </w:rPr>
        <w:t>тактичний.</w:t>
      </w:r>
    </w:p>
    <w:p w14:paraId="476BA0C1" w14:textId="77777777" w:rsidR="00DE575E" w:rsidRDefault="002E7560">
      <w:pPr>
        <w:pStyle w:val="Heading5"/>
        <w:spacing w:before="3" w:line="252" w:lineRule="auto"/>
        <w:ind w:left="250" w:right="411" w:firstLine="283"/>
        <w:jc w:val="both"/>
      </w:pPr>
      <w:r>
        <w:rPr>
          <w:color w:val="231F20"/>
        </w:rPr>
        <w:t xml:space="preserve">Отже, сферою застосування планів є весь спектр публіч-  ного адміністрування, коли компетентний </w:t>
      </w:r>
      <w:r>
        <w:rPr>
          <w:color w:val="231F20"/>
          <w:spacing w:val="-3"/>
        </w:rPr>
        <w:t xml:space="preserve">суб’єкт </w:t>
      </w:r>
      <w:r>
        <w:rPr>
          <w:color w:val="231F20"/>
        </w:rPr>
        <w:t xml:space="preserve">публічної адміністрації </w:t>
      </w:r>
      <w:r>
        <w:rPr>
          <w:color w:val="231F20"/>
          <w:spacing w:val="-3"/>
        </w:rPr>
        <w:t xml:space="preserve">затверджує </w:t>
      </w:r>
      <w:r>
        <w:rPr>
          <w:color w:val="231F20"/>
        </w:rPr>
        <w:t xml:space="preserve">для себе та підпорядкованих </w:t>
      </w:r>
      <w:r>
        <w:rPr>
          <w:color w:val="231F20"/>
          <w:spacing w:val="-3"/>
        </w:rPr>
        <w:t xml:space="preserve">суб’єк- </w:t>
      </w:r>
      <w:r>
        <w:rPr>
          <w:color w:val="231F20"/>
        </w:rPr>
        <w:t>тів завдання, які їм потрібно виконати дл</w:t>
      </w:r>
      <w:r>
        <w:rPr>
          <w:color w:val="231F20"/>
        </w:rPr>
        <w:t>я забезпечення прав, свобод і законних інтересів приватних осіб та публічного інте- ресу</w:t>
      </w:r>
      <w:r>
        <w:rPr>
          <w:color w:val="231F20"/>
          <w:spacing w:val="-2"/>
        </w:rPr>
        <w:t xml:space="preserve"> </w:t>
      </w:r>
      <w:r>
        <w:rPr>
          <w:color w:val="231F20"/>
        </w:rPr>
        <w:t>держави.</w:t>
      </w:r>
    </w:p>
    <w:p w14:paraId="0702F936" w14:textId="77777777" w:rsidR="00DE575E" w:rsidRDefault="00DE575E">
      <w:pPr>
        <w:pStyle w:val="BodyText"/>
        <w:spacing w:before="3"/>
        <w:rPr>
          <w:b/>
          <w:sz w:val="22"/>
        </w:rPr>
      </w:pPr>
    </w:p>
    <w:p w14:paraId="181F5214" w14:textId="77777777" w:rsidR="00DE575E" w:rsidRDefault="002E7560">
      <w:pPr>
        <w:pStyle w:val="ListParagraph"/>
        <w:numPr>
          <w:ilvl w:val="2"/>
          <w:numId w:val="179"/>
        </w:numPr>
        <w:tabs>
          <w:tab w:val="left" w:pos="1099"/>
        </w:tabs>
        <w:spacing w:before="0"/>
        <w:rPr>
          <w:b/>
          <w:sz w:val="21"/>
        </w:rPr>
      </w:pPr>
      <w:r>
        <w:rPr>
          <w:b/>
          <w:color w:val="231F20"/>
          <w:sz w:val="21"/>
        </w:rPr>
        <w:t>Види</w:t>
      </w:r>
      <w:r>
        <w:rPr>
          <w:b/>
          <w:color w:val="231F20"/>
          <w:spacing w:val="-2"/>
          <w:sz w:val="21"/>
        </w:rPr>
        <w:t xml:space="preserve"> </w:t>
      </w:r>
      <w:r>
        <w:rPr>
          <w:b/>
          <w:color w:val="231F20"/>
          <w:sz w:val="21"/>
        </w:rPr>
        <w:t>планів</w:t>
      </w:r>
    </w:p>
    <w:p w14:paraId="049C8B5B" w14:textId="77777777" w:rsidR="00DE575E" w:rsidRDefault="00DE575E">
      <w:pPr>
        <w:pStyle w:val="BodyText"/>
        <w:spacing w:before="2"/>
        <w:rPr>
          <w:b/>
          <w:sz w:val="23"/>
        </w:rPr>
      </w:pPr>
    </w:p>
    <w:p w14:paraId="049ADD7B" w14:textId="77777777" w:rsidR="00DE575E" w:rsidRDefault="002E7560">
      <w:pPr>
        <w:pStyle w:val="BodyText"/>
        <w:spacing w:line="252" w:lineRule="auto"/>
        <w:ind w:left="250" w:firstLine="283"/>
      </w:pPr>
      <w:r>
        <w:rPr>
          <w:color w:val="231F20"/>
        </w:rPr>
        <w:t>Плани як інструменти адміністративного права можна класифі- кувати на види за різними критеріями:</w:t>
      </w:r>
    </w:p>
    <w:p w14:paraId="442F6CBC" w14:textId="77777777" w:rsidR="00DE575E" w:rsidRDefault="002E7560">
      <w:pPr>
        <w:pStyle w:val="Heading6"/>
        <w:ind w:firstLine="0"/>
      </w:pPr>
      <w:r>
        <w:rPr>
          <w:color w:val="231F20"/>
        </w:rPr>
        <w:t>1. За рівнями планування:</w:t>
      </w:r>
    </w:p>
    <w:p w14:paraId="6A6B32D9"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стратегічне</w:t>
      </w:r>
      <w:r>
        <w:rPr>
          <w:color w:val="231F20"/>
          <w:spacing w:val="-1"/>
          <w:sz w:val="21"/>
        </w:rPr>
        <w:t xml:space="preserve"> </w:t>
      </w:r>
      <w:r>
        <w:rPr>
          <w:color w:val="231F20"/>
          <w:sz w:val="21"/>
        </w:rPr>
        <w:t>планування</w:t>
      </w:r>
      <w:r>
        <w:rPr>
          <w:color w:val="231F20"/>
          <w:position w:val="7"/>
          <w:sz w:val="12"/>
        </w:rPr>
        <w:t>1</w:t>
      </w:r>
      <w:r>
        <w:rPr>
          <w:color w:val="231F20"/>
          <w:sz w:val="21"/>
        </w:rPr>
        <w:t>;</w:t>
      </w:r>
    </w:p>
    <w:p w14:paraId="2D8AA4C5"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довгострокове</w:t>
      </w:r>
      <w:r>
        <w:rPr>
          <w:color w:val="231F20"/>
          <w:spacing w:val="-1"/>
          <w:sz w:val="21"/>
        </w:rPr>
        <w:t xml:space="preserve"> </w:t>
      </w:r>
      <w:r>
        <w:rPr>
          <w:color w:val="231F20"/>
          <w:sz w:val="21"/>
        </w:rPr>
        <w:t>планування;</w:t>
      </w:r>
    </w:p>
    <w:p w14:paraId="3ADFEFA9"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середньострокове</w:t>
      </w:r>
      <w:r>
        <w:rPr>
          <w:color w:val="231F20"/>
          <w:spacing w:val="-1"/>
          <w:sz w:val="21"/>
        </w:rPr>
        <w:t xml:space="preserve"> </w:t>
      </w:r>
      <w:r>
        <w:rPr>
          <w:color w:val="231F20"/>
          <w:sz w:val="21"/>
        </w:rPr>
        <w:t>планування</w:t>
      </w:r>
      <w:r>
        <w:rPr>
          <w:color w:val="231F20"/>
          <w:position w:val="7"/>
          <w:sz w:val="12"/>
        </w:rPr>
        <w:t>2</w:t>
      </w:r>
      <w:r>
        <w:rPr>
          <w:color w:val="231F20"/>
          <w:sz w:val="21"/>
        </w:rPr>
        <w:t>;</w:t>
      </w:r>
    </w:p>
    <w:p w14:paraId="3BF9F4EC"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поточне</w:t>
      </w:r>
      <w:r>
        <w:rPr>
          <w:color w:val="231F20"/>
          <w:spacing w:val="-1"/>
          <w:sz w:val="21"/>
        </w:rPr>
        <w:t xml:space="preserve"> </w:t>
      </w:r>
      <w:r>
        <w:rPr>
          <w:color w:val="231F20"/>
          <w:sz w:val="21"/>
        </w:rPr>
        <w:t>планування.</w:t>
      </w:r>
    </w:p>
    <w:p w14:paraId="7F35C2FE" w14:textId="77777777" w:rsidR="00DE575E" w:rsidRDefault="002E7560">
      <w:pPr>
        <w:pStyle w:val="BodyText"/>
        <w:spacing w:before="12" w:line="252" w:lineRule="auto"/>
        <w:ind w:left="250" w:right="411" w:firstLine="283"/>
        <w:jc w:val="both"/>
      </w:pPr>
      <w:r>
        <w:rPr>
          <w:color w:val="231F20"/>
        </w:rPr>
        <w:t xml:space="preserve">В останньому випадку варто навести такий приклад: відпо- відно до положень Закону </w:t>
      </w:r>
      <w:r>
        <w:rPr>
          <w:color w:val="231F20"/>
          <w:spacing w:val="-3"/>
        </w:rPr>
        <w:t xml:space="preserve">України </w:t>
      </w:r>
      <w:r>
        <w:rPr>
          <w:color w:val="231F20"/>
        </w:rPr>
        <w:t>«Про публічні закупівлі» заку- півля здійснюється згідно з річним планом. Річ</w:t>
      </w:r>
      <w:r>
        <w:rPr>
          <w:color w:val="231F20"/>
        </w:rPr>
        <w:t>ний план, додаток до річного плану та зміни до них безоплатно оприлюднюються на веб-порталі Уповноваженого органу з питань закупівель упродовж п’яти днів з дня їх</w:t>
      </w:r>
      <w:r>
        <w:rPr>
          <w:color w:val="231F20"/>
          <w:spacing w:val="-4"/>
        </w:rPr>
        <w:t xml:space="preserve"> </w:t>
      </w:r>
      <w:r>
        <w:rPr>
          <w:color w:val="231F20"/>
        </w:rPr>
        <w:t>затвердження</w:t>
      </w:r>
      <w:r>
        <w:rPr>
          <w:color w:val="231F20"/>
          <w:position w:val="7"/>
          <w:sz w:val="12"/>
        </w:rPr>
        <w:t>3</w:t>
      </w:r>
      <w:r>
        <w:rPr>
          <w:color w:val="231F20"/>
        </w:rPr>
        <w:t>.</w:t>
      </w:r>
    </w:p>
    <w:p w14:paraId="4C86927E" w14:textId="507D0C13" w:rsidR="00DE575E" w:rsidRDefault="002E7560">
      <w:pPr>
        <w:pStyle w:val="BodyText"/>
        <w:spacing w:before="10"/>
        <w:rPr>
          <w:sz w:val="15"/>
        </w:rPr>
      </w:pPr>
      <w:r>
        <w:rPr>
          <w:noProof/>
        </w:rPr>
        <mc:AlternateContent>
          <mc:Choice Requires="wps">
            <w:drawing>
              <wp:anchor distT="0" distB="0" distL="0" distR="0" simplePos="0" relativeHeight="9952" behindDoc="0" locked="0" layoutInCell="1" allowOverlap="1" wp14:anchorId="4C3FA264" wp14:editId="1737BDE7">
                <wp:simplePos x="0" y="0"/>
                <wp:positionH relativeFrom="page">
                  <wp:posOffset>539750</wp:posOffset>
                </wp:positionH>
                <wp:positionV relativeFrom="paragraph">
                  <wp:posOffset>145415</wp:posOffset>
                </wp:positionV>
                <wp:extent cx="1080135" cy="0"/>
                <wp:effectExtent l="6350" t="18415" r="31115" b="19685"/>
                <wp:wrapTopAndBottom/>
                <wp:docPr id="791"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56B7C" id="Line_x0020_790" o:spid="_x0000_s1026" style="position:absolute;z-index: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45pt" to="127.55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" strokecolor="#231f20" strokeweight=".5pt">
                <w10:wrap type="topAndBottom" anchorx="page"/>
              </v:line>
            </w:pict>
          </mc:Fallback>
        </mc:AlternateContent>
      </w:r>
    </w:p>
    <w:p w14:paraId="61AECE4D" w14:textId="77777777" w:rsidR="00DE575E" w:rsidRDefault="002E7560">
      <w:pPr>
        <w:spacing w:line="204" w:lineRule="auto"/>
        <w:ind w:left="250" w:right="411"/>
        <w:jc w:val="both"/>
        <w:rPr>
          <w:i/>
          <w:sz w:val="16"/>
        </w:rPr>
      </w:pPr>
      <w:r>
        <w:rPr>
          <w:color w:val="231F20"/>
          <w:position w:val="5"/>
          <w:sz w:val="9"/>
        </w:rPr>
        <w:t xml:space="preserve">1 </w:t>
      </w:r>
      <w:r>
        <w:rPr>
          <w:i/>
          <w:color w:val="231F20"/>
          <w:sz w:val="16"/>
          <w:u w:val="single" w:color="231F20"/>
        </w:rPr>
        <w:t>Наприклад</w:t>
      </w:r>
      <w:r>
        <w:rPr>
          <w:i/>
          <w:color w:val="231F20"/>
          <w:sz w:val="16"/>
        </w:rPr>
        <w:t xml:space="preserve">, Кабінетом Міністрів України від 16.08.1999 </w:t>
      </w:r>
      <w:r>
        <w:rPr>
          <w:i/>
          <w:color w:val="231F20"/>
          <w:spacing w:val="-3"/>
          <w:sz w:val="16"/>
        </w:rPr>
        <w:t xml:space="preserve">було </w:t>
      </w:r>
      <w:r>
        <w:rPr>
          <w:i/>
          <w:color w:val="231F20"/>
          <w:sz w:val="16"/>
        </w:rPr>
        <w:t>затверджено «Ко</w:t>
      </w:r>
      <w:r>
        <w:rPr>
          <w:i/>
          <w:color w:val="231F20"/>
          <w:sz w:val="16"/>
        </w:rPr>
        <w:t>нцепцію адаптації законодавства України до законодавства Європейського Союзу», положення якої покладаються в основу щорічних планів роботи з адаптації законодавства України до законодавства ЄС, і забезпечено їх урахування під час здійснення заходів, спрямо</w:t>
      </w:r>
      <w:r>
        <w:rPr>
          <w:i/>
          <w:color w:val="231F20"/>
          <w:sz w:val="16"/>
        </w:rPr>
        <w:t>ваних на реалізацію Стратегії інтеграції України до ЄС, що затверджена Указом Президента України від 11.05.1998 №</w:t>
      </w:r>
      <w:r>
        <w:rPr>
          <w:i/>
          <w:color w:val="231F20"/>
          <w:spacing w:val="-8"/>
          <w:sz w:val="16"/>
        </w:rPr>
        <w:t xml:space="preserve"> </w:t>
      </w:r>
      <w:r>
        <w:rPr>
          <w:i/>
          <w:color w:val="231F20"/>
          <w:sz w:val="16"/>
        </w:rPr>
        <w:t>615.</w:t>
      </w:r>
    </w:p>
    <w:p w14:paraId="0A2D5AB5" w14:textId="77777777" w:rsidR="00DE575E" w:rsidRDefault="002E7560">
      <w:pPr>
        <w:spacing w:before="28" w:line="204" w:lineRule="auto"/>
        <w:ind w:left="250" w:right="411"/>
        <w:jc w:val="both"/>
        <w:rPr>
          <w:i/>
          <w:sz w:val="16"/>
        </w:rPr>
      </w:pPr>
      <w:r>
        <w:rPr>
          <w:color w:val="231F20"/>
          <w:position w:val="5"/>
          <w:sz w:val="9"/>
        </w:rPr>
        <w:t xml:space="preserve">2 </w:t>
      </w:r>
      <w:r>
        <w:rPr>
          <w:i/>
          <w:color w:val="231F20"/>
          <w:sz w:val="16"/>
          <w:u w:val="single" w:color="231F20"/>
        </w:rPr>
        <w:t>Наприклад</w:t>
      </w:r>
      <w:r>
        <w:rPr>
          <w:i/>
          <w:color w:val="231F20"/>
          <w:sz w:val="16"/>
        </w:rPr>
        <w:t xml:space="preserve">, Розпорядженням Кабінету Міністрів України від 17.09.2014 № 847-р </w:t>
      </w:r>
      <w:r>
        <w:rPr>
          <w:i/>
          <w:color w:val="231F20"/>
          <w:spacing w:val="-3"/>
          <w:sz w:val="16"/>
        </w:rPr>
        <w:t xml:space="preserve">було </w:t>
      </w:r>
      <w:r>
        <w:rPr>
          <w:i/>
          <w:color w:val="231F20"/>
          <w:sz w:val="16"/>
        </w:rPr>
        <w:t>затверджено «План заходів з імплементації Угоди про ас</w:t>
      </w:r>
      <w:r>
        <w:rPr>
          <w:i/>
          <w:color w:val="231F20"/>
          <w:sz w:val="16"/>
        </w:rPr>
        <w:t>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на 2014-2017</w:t>
      </w:r>
      <w:r>
        <w:rPr>
          <w:i/>
          <w:color w:val="231F20"/>
          <w:spacing w:val="-11"/>
          <w:sz w:val="16"/>
        </w:rPr>
        <w:t xml:space="preserve"> </w:t>
      </w:r>
      <w:r>
        <w:rPr>
          <w:i/>
          <w:color w:val="231F20"/>
          <w:sz w:val="16"/>
        </w:rPr>
        <w:t>роки».</w:t>
      </w:r>
    </w:p>
    <w:p w14:paraId="08FD9977" w14:textId="77777777" w:rsidR="00DE575E" w:rsidRDefault="002E7560">
      <w:pPr>
        <w:spacing w:before="8"/>
        <w:ind w:left="250"/>
        <w:jc w:val="both"/>
        <w:rPr>
          <w:sz w:val="16"/>
        </w:rPr>
      </w:pPr>
      <w:r>
        <w:rPr>
          <w:color w:val="231F20"/>
          <w:position w:val="5"/>
          <w:sz w:val="9"/>
        </w:rPr>
        <w:t xml:space="preserve">3 </w:t>
      </w:r>
      <w:r>
        <w:rPr>
          <w:color w:val="231F20"/>
          <w:sz w:val="16"/>
        </w:rPr>
        <w:t>Про публічні закупівлі: Закон від 25.12.2015. № 922-VIII.</w:t>
      </w:r>
    </w:p>
    <w:p w14:paraId="03F51731" w14:textId="77777777" w:rsidR="00DE575E" w:rsidRDefault="00DE575E">
      <w:pPr>
        <w:pStyle w:val="BodyText"/>
        <w:spacing w:before="11"/>
        <w:rPr>
          <w:sz w:val="11"/>
        </w:rPr>
      </w:pPr>
    </w:p>
    <w:p w14:paraId="6C8765AD" w14:textId="77777777" w:rsidR="00DE575E" w:rsidRDefault="002E7560">
      <w:pPr>
        <w:spacing w:before="91"/>
        <w:ind w:right="411"/>
        <w:jc w:val="right"/>
        <w:rPr>
          <w:rFonts w:ascii="Times New Roman"/>
          <w:sz w:val="20"/>
        </w:rPr>
      </w:pPr>
      <w:r>
        <w:rPr>
          <w:rFonts w:ascii="Times New Roman"/>
          <w:color w:val="231F20"/>
          <w:w w:val="90"/>
          <w:sz w:val="20"/>
        </w:rPr>
        <w:t>245</w:t>
      </w:r>
    </w:p>
    <w:p w14:paraId="2154848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26BF6A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2E1F11B" w14:textId="6C1827A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045C42C" wp14:editId="5FF599BF">
                <wp:extent cx="4140200" cy="6350"/>
                <wp:effectExtent l="0" t="0" r="12700" b="6350"/>
                <wp:docPr id="789"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90" name="Line 7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A331D" id="Group_x0020_7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phI3IYECAACYBQAA&#10;DgAAAAAAAAAAAAAAAAAsAgAAZHJzL2Uyb0RvYy54bWxQSwECLQAUAAYACAAAACEATKewkNkAAAAD&#10;AQAADwAAAAAAAAAAAAAAAADZBAAAZHJzL2Rvd25yZXYueG1sUEsFBgAAAAAEAAQA8wAAAN8FAAAA&#10;AA==&#10;">
                <v:line id="Line_x0020_7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UeCsQAAADcAAAADwAAAGRycy9kb3ducmV2LnhtbERP3WrCMBS+H+wdwhnsZmjqhKm1UWQw&#10;EC90sz7AaXNsi8lJbaLt9vTLxWCXH99/th6sEXfqfONYwWScgCAunW64UnDKP0ZzED4gazSOScE3&#10;eVivHh8yTLXr+Yvux1CJGMI+RQV1CG0qpS9rsujHriWO3Nl1FkOEXSV1h30Mt0a+JsmbtNhwbKix&#10;pfeaysvxZhXk15dgPg870+eHYiqL6376c9sr9fw0bJYgAg3hX/zn3moFs0W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xR4KxAAAANwAAAAPAAAAAAAAAAAA&#10;AAAAAKECAABkcnMvZG93bnJldi54bWxQSwUGAAAAAAQABAD5AAAAkgMAAAAA&#10;" strokecolor="#231f20" strokeweight=".5pt"/>
                <w10:anchorlock/>
              </v:group>
            </w:pict>
          </mc:Fallback>
        </mc:AlternateContent>
      </w:r>
    </w:p>
    <w:p w14:paraId="70EB787D" w14:textId="77777777" w:rsidR="00DE575E" w:rsidRDefault="00DE575E">
      <w:pPr>
        <w:pStyle w:val="BodyText"/>
        <w:spacing w:before="7"/>
        <w:rPr>
          <w:rFonts w:ascii="AdonisC"/>
          <w:i/>
          <w:sz w:val="11"/>
        </w:rPr>
      </w:pPr>
    </w:p>
    <w:p w14:paraId="147A51E4" w14:textId="77777777" w:rsidR="00DE575E" w:rsidRDefault="002E7560">
      <w:pPr>
        <w:pStyle w:val="BodyText"/>
        <w:spacing w:before="101" w:line="252" w:lineRule="auto"/>
        <w:ind w:left="533" w:right="128" w:firstLine="283"/>
        <w:jc w:val="both"/>
      </w:pPr>
      <w:r>
        <w:rPr>
          <w:color w:val="231F20"/>
        </w:rPr>
        <w:t>Цей акт-план є обов’язковим при здійсненні державних закупі- вель, оскільки органи Державної казначейської служби перевіря- ють наявність річного плану закупівель ще до здійснення оплати за відповідним договором.</w:t>
      </w:r>
    </w:p>
    <w:p w14:paraId="33A462AF" w14:textId="77777777" w:rsidR="00DE575E" w:rsidRDefault="002E7560">
      <w:pPr>
        <w:pStyle w:val="ListParagraph"/>
        <w:numPr>
          <w:ilvl w:val="1"/>
          <w:numId w:val="185"/>
        </w:numPr>
        <w:tabs>
          <w:tab w:val="left" w:pos="1101"/>
        </w:tabs>
        <w:spacing w:before="2" w:line="252" w:lineRule="auto"/>
        <w:ind w:right="128" w:firstLine="284"/>
        <w:jc w:val="both"/>
        <w:rPr>
          <w:sz w:val="21"/>
        </w:rPr>
      </w:pPr>
      <w:r>
        <w:rPr>
          <w:b/>
          <w:i/>
          <w:color w:val="231F20"/>
          <w:sz w:val="21"/>
        </w:rPr>
        <w:t>За рів</w:t>
      </w:r>
      <w:r>
        <w:rPr>
          <w:b/>
          <w:i/>
          <w:color w:val="231F20"/>
          <w:sz w:val="21"/>
        </w:rPr>
        <w:t xml:space="preserve">нем юридичної обов’язковості </w:t>
      </w:r>
      <w:r>
        <w:rPr>
          <w:color w:val="231F20"/>
          <w:sz w:val="21"/>
        </w:rPr>
        <w:t>акти планування поді- ляються</w:t>
      </w:r>
      <w:r>
        <w:rPr>
          <w:color w:val="231F20"/>
          <w:spacing w:val="-2"/>
          <w:sz w:val="21"/>
        </w:rPr>
        <w:t xml:space="preserve"> </w:t>
      </w:r>
      <w:r>
        <w:rPr>
          <w:color w:val="231F20"/>
          <w:sz w:val="21"/>
        </w:rPr>
        <w:t>на:</w:t>
      </w:r>
    </w:p>
    <w:p w14:paraId="446A98A8" w14:textId="77777777" w:rsidR="00DE575E" w:rsidRDefault="002E7560">
      <w:pPr>
        <w:pStyle w:val="ListParagraph"/>
        <w:numPr>
          <w:ilvl w:val="1"/>
          <w:numId w:val="254"/>
        </w:numPr>
        <w:tabs>
          <w:tab w:val="left" w:pos="1101"/>
        </w:tabs>
        <w:ind w:firstLine="284"/>
        <w:jc w:val="left"/>
        <w:rPr>
          <w:sz w:val="21"/>
        </w:rPr>
      </w:pPr>
      <w:r>
        <w:rPr>
          <w:color w:val="231F20"/>
          <w:sz w:val="21"/>
        </w:rPr>
        <w:t>обов’язкові до</w:t>
      </w:r>
      <w:r>
        <w:rPr>
          <w:color w:val="231F20"/>
          <w:spacing w:val="-2"/>
          <w:sz w:val="21"/>
        </w:rPr>
        <w:t xml:space="preserve"> </w:t>
      </w:r>
      <w:r>
        <w:rPr>
          <w:color w:val="231F20"/>
          <w:sz w:val="21"/>
        </w:rPr>
        <w:t>ухвалення;</w:t>
      </w:r>
    </w:p>
    <w:p w14:paraId="486F5101" w14:textId="77777777" w:rsidR="00DE575E" w:rsidRDefault="002E7560">
      <w:pPr>
        <w:pStyle w:val="ListParagraph"/>
        <w:numPr>
          <w:ilvl w:val="1"/>
          <w:numId w:val="254"/>
        </w:numPr>
        <w:tabs>
          <w:tab w:val="left" w:pos="1101"/>
        </w:tabs>
        <w:spacing w:before="12"/>
        <w:ind w:firstLine="284"/>
        <w:jc w:val="left"/>
        <w:rPr>
          <w:sz w:val="21"/>
        </w:rPr>
      </w:pPr>
      <w:r>
        <w:rPr>
          <w:color w:val="231F20"/>
          <w:sz w:val="21"/>
        </w:rPr>
        <w:t>факультативні.</w:t>
      </w:r>
    </w:p>
    <w:p w14:paraId="71836362" w14:textId="77777777" w:rsidR="00DE575E" w:rsidRDefault="002E7560">
      <w:pPr>
        <w:pStyle w:val="BodyText"/>
        <w:spacing w:before="13" w:line="252" w:lineRule="auto"/>
        <w:ind w:left="533" w:right="127" w:firstLine="283"/>
        <w:jc w:val="both"/>
      </w:pPr>
      <w:r>
        <w:rPr>
          <w:color w:val="231F20"/>
        </w:rPr>
        <w:t xml:space="preserve">Затвердження окремих видів планів є обов’язковим у діяльності </w:t>
      </w:r>
      <w:r>
        <w:rPr>
          <w:color w:val="231F20"/>
          <w:spacing w:val="-3"/>
        </w:rPr>
        <w:t xml:space="preserve">суб’єктів   </w:t>
      </w:r>
      <w:r>
        <w:rPr>
          <w:color w:val="231F20"/>
        </w:rPr>
        <w:t>публічного  адміністрування,  про  що  існують  вказівки   у статусних законах або в підзаконних нормативно-правових актах, які</w:t>
      </w:r>
      <w:r>
        <w:rPr>
          <w:color w:val="231F20"/>
          <w:spacing w:val="-10"/>
        </w:rPr>
        <w:t xml:space="preserve"> </w:t>
      </w:r>
      <w:r>
        <w:rPr>
          <w:color w:val="231F20"/>
        </w:rPr>
        <w:t>визначають</w:t>
      </w:r>
      <w:r>
        <w:rPr>
          <w:color w:val="231F20"/>
          <w:spacing w:val="-10"/>
        </w:rPr>
        <w:t xml:space="preserve"> </w:t>
      </w:r>
      <w:r>
        <w:rPr>
          <w:color w:val="231F20"/>
        </w:rPr>
        <w:t>компетенцію</w:t>
      </w:r>
      <w:r>
        <w:rPr>
          <w:color w:val="231F20"/>
          <w:spacing w:val="-10"/>
        </w:rPr>
        <w:t xml:space="preserve"> </w:t>
      </w:r>
      <w:r>
        <w:rPr>
          <w:color w:val="231F20"/>
        </w:rPr>
        <w:t>відповідних</w:t>
      </w:r>
      <w:r>
        <w:rPr>
          <w:color w:val="231F20"/>
          <w:spacing w:val="-10"/>
        </w:rPr>
        <w:t xml:space="preserve"> </w:t>
      </w:r>
      <w:r>
        <w:rPr>
          <w:color w:val="231F20"/>
          <w:spacing w:val="-3"/>
        </w:rPr>
        <w:t>суб’єктів.</w:t>
      </w:r>
      <w:r>
        <w:rPr>
          <w:color w:val="231F20"/>
          <w:spacing w:val="-10"/>
        </w:rPr>
        <w:t xml:space="preserve"> </w:t>
      </w:r>
      <w:r>
        <w:rPr>
          <w:color w:val="231F20"/>
          <w:spacing w:val="-5"/>
        </w:rPr>
        <w:t>Такі</w:t>
      </w:r>
      <w:r>
        <w:rPr>
          <w:color w:val="231F20"/>
          <w:spacing w:val="-10"/>
        </w:rPr>
        <w:t xml:space="preserve"> </w:t>
      </w:r>
      <w:r>
        <w:rPr>
          <w:color w:val="231F20"/>
        </w:rPr>
        <w:t>плани</w:t>
      </w:r>
      <w:r>
        <w:rPr>
          <w:color w:val="231F20"/>
          <w:spacing w:val="-10"/>
        </w:rPr>
        <w:t xml:space="preserve"> </w:t>
      </w:r>
      <w:r>
        <w:rPr>
          <w:color w:val="231F20"/>
        </w:rPr>
        <w:t xml:space="preserve">відпо- відний </w:t>
      </w:r>
      <w:r>
        <w:rPr>
          <w:color w:val="231F20"/>
          <w:spacing w:val="-4"/>
        </w:rPr>
        <w:t xml:space="preserve">суб’єкт </w:t>
      </w:r>
      <w:r>
        <w:rPr>
          <w:color w:val="231F20"/>
        </w:rPr>
        <w:t>зобов’язаний ухвалювати. Це стосується і планів п</w:t>
      </w:r>
      <w:r>
        <w:rPr>
          <w:color w:val="231F20"/>
        </w:rPr>
        <w:t xml:space="preserve">роведення документальних планових перевірок платників подат- ків органами Державної фіскальної служби </w:t>
      </w:r>
      <w:r>
        <w:rPr>
          <w:color w:val="231F20"/>
          <w:spacing w:val="-3"/>
        </w:rPr>
        <w:t xml:space="preserve">України. Факультатив- </w:t>
      </w:r>
      <w:r>
        <w:rPr>
          <w:color w:val="231F20"/>
        </w:rPr>
        <w:t xml:space="preserve">ними планами можна вважати більшість із тих, які затверджуються </w:t>
      </w:r>
      <w:r>
        <w:rPr>
          <w:color w:val="231F20"/>
          <w:spacing w:val="-3"/>
        </w:rPr>
        <w:t xml:space="preserve">суб’єктом </w:t>
      </w:r>
      <w:r>
        <w:rPr>
          <w:color w:val="231F20"/>
        </w:rPr>
        <w:t>публічної адміністрації та мають внутрішньоорганізацій- ни</w:t>
      </w:r>
      <w:r>
        <w:rPr>
          <w:color w:val="231F20"/>
        </w:rPr>
        <w:t xml:space="preserve">й </w:t>
      </w:r>
      <w:r>
        <w:rPr>
          <w:color w:val="231F20"/>
          <w:spacing w:val="-3"/>
        </w:rPr>
        <w:t xml:space="preserve">зміст, </w:t>
      </w:r>
      <w:r>
        <w:rPr>
          <w:color w:val="231F20"/>
        </w:rPr>
        <w:t>– наприклад, план заходів щодо реалізації муніципаль- ного проєкту</w:t>
      </w:r>
      <w:r>
        <w:rPr>
          <w:color w:val="231F20"/>
          <w:spacing w:val="-1"/>
        </w:rPr>
        <w:t xml:space="preserve"> </w:t>
      </w:r>
      <w:r>
        <w:rPr>
          <w:color w:val="231F20"/>
        </w:rPr>
        <w:t>тощо.</w:t>
      </w:r>
    </w:p>
    <w:p w14:paraId="5888A681" w14:textId="77777777" w:rsidR="00DE575E" w:rsidRDefault="002E7560">
      <w:pPr>
        <w:pStyle w:val="ListParagraph"/>
        <w:numPr>
          <w:ilvl w:val="1"/>
          <w:numId w:val="185"/>
        </w:numPr>
        <w:tabs>
          <w:tab w:val="left" w:pos="1101"/>
        </w:tabs>
        <w:spacing w:before="6" w:line="252" w:lineRule="auto"/>
        <w:ind w:right="128" w:firstLine="284"/>
        <w:jc w:val="both"/>
        <w:rPr>
          <w:sz w:val="21"/>
        </w:rPr>
      </w:pPr>
      <w:r>
        <w:rPr>
          <w:b/>
          <w:i/>
          <w:color w:val="231F20"/>
          <w:sz w:val="21"/>
        </w:rPr>
        <w:t xml:space="preserve">За </w:t>
      </w:r>
      <w:r>
        <w:rPr>
          <w:b/>
          <w:i/>
          <w:color w:val="231F20"/>
          <w:spacing w:val="-3"/>
          <w:sz w:val="21"/>
        </w:rPr>
        <w:t xml:space="preserve">суб’єктами </w:t>
      </w:r>
      <w:r>
        <w:rPr>
          <w:b/>
          <w:i/>
          <w:color w:val="231F20"/>
          <w:sz w:val="21"/>
        </w:rPr>
        <w:t xml:space="preserve">публічної адміністрації, </w:t>
      </w:r>
      <w:r>
        <w:rPr>
          <w:color w:val="231F20"/>
          <w:sz w:val="21"/>
        </w:rPr>
        <w:t>які здійснюють затвердження планів, виділяють плани, затверджені</w:t>
      </w:r>
      <w:r>
        <w:rPr>
          <w:color w:val="231F20"/>
          <w:spacing w:val="-24"/>
          <w:sz w:val="21"/>
        </w:rPr>
        <w:t xml:space="preserve"> </w:t>
      </w:r>
      <w:r>
        <w:rPr>
          <w:color w:val="231F20"/>
          <w:sz w:val="21"/>
        </w:rPr>
        <w:t>адміністратив- ними</w:t>
      </w:r>
      <w:r>
        <w:rPr>
          <w:color w:val="231F20"/>
          <w:spacing w:val="-1"/>
          <w:sz w:val="21"/>
        </w:rPr>
        <w:t xml:space="preserve"> </w:t>
      </w:r>
      <w:r>
        <w:rPr>
          <w:color w:val="231F20"/>
          <w:sz w:val="21"/>
        </w:rPr>
        <w:t>актами:</w:t>
      </w:r>
    </w:p>
    <w:p w14:paraId="0D687F1A" w14:textId="77777777" w:rsidR="00DE575E" w:rsidRDefault="002E7560">
      <w:pPr>
        <w:pStyle w:val="ListParagraph"/>
        <w:numPr>
          <w:ilvl w:val="1"/>
          <w:numId w:val="254"/>
        </w:numPr>
        <w:tabs>
          <w:tab w:val="left" w:pos="1101"/>
        </w:tabs>
        <w:ind w:firstLine="284"/>
        <w:jc w:val="left"/>
        <w:rPr>
          <w:sz w:val="21"/>
        </w:rPr>
      </w:pPr>
      <w:r>
        <w:rPr>
          <w:color w:val="231F20"/>
          <w:sz w:val="21"/>
        </w:rPr>
        <w:t>Президента</w:t>
      </w:r>
      <w:r>
        <w:rPr>
          <w:color w:val="231F20"/>
          <w:spacing w:val="-2"/>
          <w:sz w:val="21"/>
        </w:rPr>
        <w:t xml:space="preserve"> </w:t>
      </w:r>
      <w:r>
        <w:rPr>
          <w:color w:val="231F20"/>
          <w:spacing w:val="-3"/>
          <w:sz w:val="21"/>
        </w:rPr>
        <w:t>України;</w:t>
      </w:r>
    </w:p>
    <w:p w14:paraId="7CE0D2EC" w14:textId="77777777" w:rsidR="00DE575E" w:rsidRDefault="002E7560">
      <w:pPr>
        <w:pStyle w:val="ListParagraph"/>
        <w:numPr>
          <w:ilvl w:val="1"/>
          <w:numId w:val="254"/>
        </w:numPr>
        <w:tabs>
          <w:tab w:val="left" w:pos="1101"/>
        </w:tabs>
        <w:spacing w:before="13"/>
        <w:ind w:firstLine="284"/>
        <w:jc w:val="left"/>
        <w:rPr>
          <w:sz w:val="21"/>
        </w:rPr>
      </w:pPr>
      <w:r>
        <w:rPr>
          <w:color w:val="231F20"/>
          <w:sz w:val="21"/>
        </w:rPr>
        <w:t>Кабінету Міністрів</w:t>
      </w:r>
      <w:r>
        <w:rPr>
          <w:color w:val="231F20"/>
          <w:spacing w:val="-1"/>
          <w:sz w:val="21"/>
        </w:rPr>
        <w:t xml:space="preserve"> </w:t>
      </w:r>
      <w:r>
        <w:rPr>
          <w:color w:val="231F20"/>
          <w:spacing w:val="-3"/>
          <w:sz w:val="21"/>
        </w:rPr>
        <w:t>Укр</w:t>
      </w:r>
      <w:r>
        <w:rPr>
          <w:color w:val="231F20"/>
          <w:spacing w:val="-3"/>
          <w:sz w:val="21"/>
        </w:rPr>
        <w:t>аїни;</w:t>
      </w:r>
    </w:p>
    <w:p w14:paraId="580896B4" w14:textId="77777777" w:rsidR="00DE575E" w:rsidRDefault="002E7560">
      <w:pPr>
        <w:pStyle w:val="ListParagraph"/>
        <w:numPr>
          <w:ilvl w:val="1"/>
          <w:numId w:val="254"/>
        </w:numPr>
        <w:tabs>
          <w:tab w:val="left" w:pos="1101"/>
        </w:tabs>
        <w:spacing w:before="13"/>
        <w:ind w:firstLine="284"/>
        <w:jc w:val="left"/>
        <w:rPr>
          <w:sz w:val="21"/>
        </w:rPr>
      </w:pPr>
      <w:r>
        <w:rPr>
          <w:color w:val="231F20"/>
          <w:sz w:val="21"/>
        </w:rPr>
        <w:t>міністерств та інших центральних органів виконавчої</w:t>
      </w:r>
      <w:r>
        <w:rPr>
          <w:color w:val="231F20"/>
          <w:spacing w:val="-9"/>
          <w:sz w:val="21"/>
        </w:rPr>
        <w:t xml:space="preserve"> </w:t>
      </w:r>
      <w:r>
        <w:rPr>
          <w:color w:val="231F20"/>
          <w:sz w:val="21"/>
        </w:rPr>
        <w:t>влади;</w:t>
      </w:r>
    </w:p>
    <w:p w14:paraId="5C8A51AE" w14:textId="77777777" w:rsidR="00DE575E" w:rsidRDefault="002E7560">
      <w:pPr>
        <w:pStyle w:val="ListParagraph"/>
        <w:numPr>
          <w:ilvl w:val="1"/>
          <w:numId w:val="254"/>
        </w:numPr>
        <w:tabs>
          <w:tab w:val="left" w:pos="1101"/>
        </w:tabs>
        <w:spacing w:before="13"/>
        <w:ind w:firstLine="284"/>
        <w:jc w:val="left"/>
        <w:rPr>
          <w:sz w:val="21"/>
        </w:rPr>
      </w:pPr>
      <w:r>
        <w:rPr>
          <w:color w:val="231F20"/>
          <w:sz w:val="21"/>
        </w:rPr>
        <w:t>місцевих державних</w:t>
      </w:r>
      <w:r>
        <w:rPr>
          <w:color w:val="231F20"/>
          <w:spacing w:val="-1"/>
          <w:sz w:val="21"/>
        </w:rPr>
        <w:t xml:space="preserve"> </w:t>
      </w:r>
      <w:r>
        <w:rPr>
          <w:color w:val="231F20"/>
          <w:sz w:val="21"/>
        </w:rPr>
        <w:t>адміністрацій;</w:t>
      </w:r>
    </w:p>
    <w:p w14:paraId="416C5554" w14:textId="77777777" w:rsidR="00DE575E" w:rsidRDefault="002E7560">
      <w:pPr>
        <w:pStyle w:val="ListParagraph"/>
        <w:numPr>
          <w:ilvl w:val="1"/>
          <w:numId w:val="254"/>
        </w:numPr>
        <w:tabs>
          <w:tab w:val="left" w:pos="1101"/>
        </w:tabs>
        <w:spacing w:before="12"/>
        <w:ind w:firstLine="284"/>
        <w:jc w:val="left"/>
        <w:rPr>
          <w:sz w:val="21"/>
        </w:rPr>
      </w:pPr>
      <w:r>
        <w:rPr>
          <w:color w:val="231F20"/>
          <w:sz w:val="21"/>
        </w:rPr>
        <w:t>органів місцевого</w:t>
      </w:r>
      <w:r>
        <w:rPr>
          <w:color w:val="231F20"/>
          <w:spacing w:val="-2"/>
          <w:sz w:val="21"/>
        </w:rPr>
        <w:t xml:space="preserve"> </w:t>
      </w:r>
      <w:r>
        <w:rPr>
          <w:color w:val="231F20"/>
          <w:sz w:val="21"/>
        </w:rPr>
        <w:t>самоврядування</w:t>
      </w:r>
      <w:r>
        <w:rPr>
          <w:color w:val="231F20"/>
          <w:position w:val="7"/>
          <w:sz w:val="12"/>
        </w:rPr>
        <w:t>1</w:t>
      </w:r>
      <w:r>
        <w:rPr>
          <w:color w:val="231F20"/>
          <w:sz w:val="21"/>
        </w:rPr>
        <w:t>;</w:t>
      </w:r>
    </w:p>
    <w:p w14:paraId="74125E8A" w14:textId="77777777" w:rsidR="00DE575E" w:rsidRDefault="002E7560">
      <w:pPr>
        <w:pStyle w:val="ListParagraph"/>
        <w:numPr>
          <w:ilvl w:val="1"/>
          <w:numId w:val="254"/>
        </w:numPr>
        <w:tabs>
          <w:tab w:val="left" w:pos="1101"/>
        </w:tabs>
        <w:spacing w:before="13" w:line="252" w:lineRule="auto"/>
        <w:ind w:right="128" w:firstLine="284"/>
        <w:rPr>
          <w:sz w:val="21"/>
        </w:rPr>
      </w:pPr>
      <w:r>
        <w:rPr>
          <w:color w:val="231F20"/>
          <w:sz w:val="21"/>
        </w:rPr>
        <w:t xml:space="preserve">інших </w:t>
      </w:r>
      <w:r>
        <w:rPr>
          <w:color w:val="231F20"/>
          <w:spacing w:val="-3"/>
          <w:sz w:val="21"/>
        </w:rPr>
        <w:t xml:space="preserve">суб’єктів </w:t>
      </w:r>
      <w:r>
        <w:rPr>
          <w:color w:val="231F20"/>
          <w:sz w:val="21"/>
        </w:rPr>
        <w:t>публічної адміністрації, що здійснюють деле- говані виконавчі</w:t>
      </w:r>
      <w:r>
        <w:rPr>
          <w:color w:val="231F20"/>
          <w:spacing w:val="-1"/>
          <w:sz w:val="21"/>
        </w:rPr>
        <w:t xml:space="preserve"> </w:t>
      </w:r>
      <w:r>
        <w:rPr>
          <w:color w:val="231F20"/>
          <w:sz w:val="21"/>
        </w:rPr>
        <w:t>повноваження.</w:t>
      </w:r>
    </w:p>
    <w:p w14:paraId="7FC1CAF7" w14:textId="77777777" w:rsidR="00DE575E" w:rsidRDefault="002E7560">
      <w:pPr>
        <w:pStyle w:val="ListParagraph"/>
        <w:numPr>
          <w:ilvl w:val="1"/>
          <w:numId w:val="185"/>
        </w:numPr>
        <w:tabs>
          <w:tab w:val="left" w:pos="1101"/>
        </w:tabs>
        <w:spacing w:line="252" w:lineRule="auto"/>
        <w:ind w:right="127" w:firstLine="284"/>
        <w:jc w:val="both"/>
        <w:rPr>
          <w:sz w:val="21"/>
        </w:rPr>
      </w:pPr>
      <w:r>
        <w:rPr>
          <w:b/>
          <w:i/>
          <w:color w:val="231F20"/>
          <w:sz w:val="21"/>
        </w:rPr>
        <w:t xml:space="preserve">За спрямуванням управлінського впливу </w:t>
      </w:r>
      <w:r>
        <w:rPr>
          <w:color w:val="231F20"/>
          <w:sz w:val="21"/>
        </w:rPr>
        <w:t xml:space="preserve">визначаються внутрішньо орієнтовані плани, якими </w:t>
      </w:r>
      <w:r>
        <w:rPr>
          <w:color w:val="231F20"/>
          <w:spacing w:val="-4"/>
          <w:sz w:val="21"/>
        </w:rPr>
        <w:t xml:space="preserve">суб’єкт </w:t>
      </w:r>
      <w:r>
        <w:rPr>
          <w:color w:val="231F20"/>
          <w:sz w:val="21"/>
        </w:rPr>
        <w:t xml:space="preserve">адміністрування впорядковує свою внутрішню діяльність, і зовнішньо орієнтовані плани. Предметом адміністративного права насамперед є зовнішні плани </w:t>
      </w:r>
      <w:r>
        <w:rPr>
          <w:color w:val="231F20"/>
          <w:spacing w:val="-3"/>
          <w:sz w:val="21"/>
        </w:rPr>
        <w:t xml:space="preserve">суб’єктів </w:t>
      </w:r>
      <w:r>
        <w:rPr>
          <w:color w:val="231F20"/>
          <w:sz w:val="21"/>
        </w:rPr>
        <w:t>пуб</w:t>
      </w:r>
      <w:r>
        <w:rPr>
          <w:color w:val="231F20"/>
          <w:sz w:val="21"/>
        </w:rPr>
        <w:t>лічної адміністрації, які спрямовані за межі певного публічного органу та зачіпають інтереси приватних</w:t>
      </w:r>
      <w:r>
        <w:rPr>
          <w:color w:val="231F20"/>
          <w:spacing w:val="-9"/>
          <w:sz w:val="21"/>
        </w:rPr>
        <w:t xml:space="preserve"> </w:t>
      </w:r>
      <w:r>
        <w:rPr>
          <w:color w:val="231F20"/>
          <w:sz w:val="21"/>
        </w:rPr>
        <w:t>осіб.</w:t>
      </w:r>
    </w:p>
    <w:p w14:paraId="4894693B" w14:textId="6C55AEDE" w:rsidR="00DE575E" w:rsidRDefault="002E7560">
      <w:pPr>
        <w:pStyle w:val="BodyText"/>
        <w:spacing w:before="8"/>
        <w:rPr>
          <w:sz w:val="27"/>
        </w:rPr>
      </w:pPr>
      <w:r>
        <w:rPr>
          <w:noProof/>
        </w:rPr>
        <mc:AlternateContent>
          <mc:Choice Requires="wps">
            <w:drawing>
              <wp:anchor distT="0" distB="0" distL="0" distR="0" simplePos="0" relativeHeight="10000" behindDoc="0" locked="0" layoutInCell="1" allowOverlap="1" wp14:anchorId="0A210E72" wp14:editId="02FAD8A4">
                <wp:simplePos x="0" y="0"/>
                <wp:positionH relativeFrom="page">
                  <wp:posOffset>719455</wp:posOffset>
                </wp:positionH>
                <wp:positionV relativeFrom="paragraph">
                  <wp:posOffset>234315</wp:posOffset>
                </wp:positionV>
                <wp:extent cx="1080135" cy="0"/>
                <wp:effectExtent l="8255" t="18415" r="29210" b="19685"/>
                <wp:wrapTopAndBottom/>
                <wp:docPr id="788"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BABBE" id="Line_x0020_787" o:spid="_x0000_s1026" style="position:absolute;z-index:1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45pt" to="141.7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" strokecolor="#231f20" strokeweight=".5pt">
                <w10:wrap type="topAndBottom" anchorx="page"/>
              </v:line>
            </w:pict>
          </mc:Fallback>
        </mc:AlternateContent>
      </w:r>
    </w:p>
    <w:p w14:paraId="0095CDE3" w14:textId="77777777" w:rsidR="00DE575E" w:rsidRDefault="002E7560">
      <w:pPr>
        <w:spacing w:line="204" w:lineRule="auto"/>
        <w:ind w:left="533" w:right="128"/>
        <w:jc w:val="both"/>
        <w:rPr>
          <w:i/>
          <w:sz w:val="16"/>
        </w:rPr>
      </w:pPr>
      <w:r>
        <w:rPr>
          <w:color w:val="231F20"/>
          <w:position w:val="5"/>
          <w:sz w:val="9"/>
        </w:rPr>
        <w:t xml:space="preserve">1 </w:t>
      </w:r>
      <w:r>
        <w:rPr>
          <w:i/>
          <w:color w:val="231F20"/>
          <w:sz w:val="16"/>
          <w:u w:val="single" w:color="231F20"/>
        </w:rPr>
        <w:t>Приклад:</w:t>
      </w:r>
      <w:r>
        <w:rPr>
          <w:i/>
          <w:color w:val="231F20"/>
          <w:sz w:val="16"/>
        </w:rPr>
        <w:t xml:space="preserve"> Рішенням сесії селищної ради була затверджена «Програма економічно-соці- ального розвитку Гончарівської селищної ради Чернігівського р</w:t>
      </w:r>
      <w:r>
        <w:rPr>
          <w:i/>
          <w:color w:val="231F20"/>
          <w:sz w:val="16"/>
        </w:rPr>
        <w:t xml:space="preserve">айону Чернігівської області на 2017 рік». </w:t>
      </w:r>
      <w:hyperlink r:id="rId37">
        <w:r>
          <w:rPr>
            <w:i/>
            <w:color w:val="231F20"/>
            <w:sz w:val="16"/>
          </w:rPr>
          <w:t>http://goncharivska.gromada.org.ua/programa-ekonomichnosocialnogo-rozvitku-</w:t>
        </w:r>
      </w:hyperlink>
      <w:r>
        <w:rPr>
          <w:i/>
          <w:color w:val="231F20"/>
          <w:sz w:val="16"/>
        </w:rPr>
        <w:t xml:space="preserve"> 2017-rik-10-04-13-05-12-2017/</w:t>
      </w:r>
    </w:p>
    <w:p w14:paraId="0E081B97" w14:textId="77777777" w:rsidR="00DE575E" w:rsidRDefault="00DE575E">
      <w:pPr>
        <w:pStyle w:val="BodyText"/>
        <w:spacing w:before="2"/>
        <w:rPr>
          <w:i/>
          <w:sz w:val="12"/>
        </w:rPr>
      </w:pPr>
    </w:p>
    <w:p w14:paraId="68172414" w14:textId="77777777" w:rsidR="00DE575E" w:rsidRDefault="002E7560">
      <w:pPr>
        <w:spacing w:before="92"/>
        <w:ind w:left="533"/>
        <w:rPr>
          <w:rFonts w:ascii="Times New Roman"/>
          <w:sz w:val="20"/>
        </w:rPr>
      </w:pPr>
      <w:r>
        <w:rPr>
          <w:rFonts w:ascii="Times New Roman"/>
          <w:color w:val="231F20"/>
          <w:sz w:val="20"/>
        </w:rPr>
        <w:t>246</w:t>
      </w:r>
    </w:p>
    <w:p w14:paraId="5AD00FC2" w14:textId="77777777" w:rsidR="00DE575E" w:rsidRDefault="00DE575E">
      <w:pPr>
        <w:rPr>
          <w:rFonts w:ascii="Times New Roman"/>
          <w:sz w:val="20"/>
        </w:rPr>
        <w:sectPr w:rsidR="00DE575E">
          <w:pgSz w:w="8510" w:h="12760"/>
          <w:pgMar w:top="660" w:right="720" w:bottom="280" w:left="600" w:header="720" w:footer="720" w:gutter="0"/>
          <w:cols w:space="720"/>
        </w:sectPr>
      </w:pPr>
    </w:p>
    <w:p w14:paraId="7AF96AA0"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4D7C8492" w14:textId="6562160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133EA94" wp14:editId="2EAE077D">
                <wp:extent cx="4140200" cy="6350"/>
                <wp:effectExtent l="0" t="0" r="12700" b="6350"/>
                <wp:docPr id="786"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87" name="Line 78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5E432F" id="Group_x0020_78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W9kgZgAIAAJgFAAAO&#10;AAAAAAAAAAAAAAAAACwCAABkcnMvZTJvRG9jLnhtbFBLAQItABQABgAIAAAAIQBMp7CQ2QAAAAMB&#10;AAAPAAAAAAAAAAAAAAAAANgEAABkcnMvZG93bnJldi54bWxQSwUGAAAAAAQABADzAAAA3gUAAAAA&#10;">
                <v:line id="Line_x0020_78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Qo8YAAADcAAAADwAAAGRycy9kb3ducmV2LnhtbESP3WrCQBSE7wXfYTmF3kjdtIJKdBUp&#10;FEov/Esf4Jg9JqG7Z2N2NalP7wqCl8PMfMPMl5014kKNrxwreB8mIIhzpysuFPxmX29TED4gazSO&#10;ScE/eVgu+r05ptq1vKPLPhQiQtinqKAMoU6l9HlJFv3Q1cTRO7rGYoiyKaRusI1wa+RHkoylxYrj&#10;Qok1fZaU/+3PVkF2GgSz3fyYNtscRvJwWo+u57VSry/dagYiUBee4Uf7WyuYTC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1EKPGAAAA3AAAAA8AAAAAAAAA&#10;AAAAAAAAoQIAAGRycy9kb3ducmV2LnhtbFBLBQYAAAAABAAEAPkAAACUAwAAAAA=&#10;" strokecolor="#231f20" strokeweight=".5pt"/>
                <w10:anchorlock/>
              </v:group>
            </w:pict>
          </mc:Fallback>
        </mc:AlternateContent>
      </w:r>
    </w:p>
    <w:p w14:paraId="3CF6A609" w14:textId="77777777" w:rsidR="00DE575E" w:rsidRDefault="00DE575E">
      <w:pPr>
        <w:pStyle w:val="BodyText"/>
        <w:spacing w:before="3"/>
        <w:rPr>
          <w:rFonts w:ascii="AdonisC"/>
          <w:i/>
          <w:sz w:val="12"/>
        </w:rPr>
      </w:pPr>
    </w:p>
    <w:p w14:paraId="5D4C8EAB" w14:textId="77777777" w:rsidR="00DE575E" w:rsidRDefault="002E7560">
      <w:pPr>
        <w:pStyle w:val="ListParagraph"/>
        <w:numPr>
          <w:ilvl w:val="0"/>
          <w:numId w:val="178"/>
        </w:numPr>
        <w:tabs>
          <w:tab w:val="left" w:pos="822"/>
        </w:tabs>
        <w:spacing w:before="100" w:line="252" w:lineRule="auto"/>
        <w:ind w:right="411" w:firstLine="283"/>
        <w:jc w:val="both"/>
        <w:rPr>
          <w:sz w:val="21"/>
        </w:rPr>
      </w:pPr>
      <w:r>
        <w:rPr>
          <w:b/>
          <w:i/>
          <w:color w:val="231F20"/>
          <w:sz w:val="21"/>
        </w:rPr>
        <w:t xml:space="preserve">За формою вираження (назвою) </w:t>
      </w:r>
      <w:r>
        <w:rPr>
          <w:color w:val="231F20"/>
          <w:sz w:val="21"/>
        </w:rPr>
        <w:t>плани поділяються на концепції, програми, плани, плани-графіки та</w:t>
      </w:r>
      <w:r>
        <w:rPr>
          <w:color w:val="231F20"/>
          <w:spacing w:val="-3"/>
          <w:sz w:val="21"/>
        </w:rPr>
        <w:t xml:space="preserve"> </w:t>
      </w:r>
      <w:r>
        <w:rPr>
          <w:color w:val="231F20"/>
          <w:sz w:val="21"/>
        </w:rPr>
        <w:t>ін.</w:t>
      </w:r>
    </w:p>
    <w:p w14:paraId="5D0A296F" w14:textId="77777777" w:rsidR="00DE575E" w:rsidRDefault="002E7560">
      <w:pPr>
        <w:spacing w:before="92" w:line="228" w:lineRule="auto"/>
        <w:ind w:left="533" w:right="411" w:firstLine="283"/>
        <w:jc w:val="both"/>
        <w:rPr>
          <w:i/>
          <w:sz w:val="18"/>
        </w:rPr>
      </w:pPr>
      <w:r>
        <w:rPr>
          <w:i/>
          <w:color w:val="231F20"/>
          <w:sz w:val="18"/>
          <w:u w:val="single" w:color="231F20"/>
        </w:rPr>
        <w:t>Приклад:</w:t>
      </w:r>
      <w:r>
        <w:rPr>
          <w:i/>
          <w:color w:val="231F20"/>
          <w:sz w:val="18"/>
        </w:rPr>
        <w:t xml:space="preserve"> Державною податковою службою України здійснюються </w:t>
      </w:r>
      <w:r>
        <w:rPr>
          <w:i/>
          <w:color w:val="231F20"/>
          <w:sz w:val="18"/>
        </w:rPr>
        <w:t>документальні планові перевірки. Порядок формування та коригування планів-графіків, критеріїв та порядку добору до плану-графіка платників здійснюється</w:t>
      </w:r>
      <w:r>
        <w:rPr>
          <w:i/>
          <w:color w:val="231F20"/>
          <w:spacing w:val="-10"/>
          <w:sz w:val="18"/>
        </w:rPr>
        <w:t xml:space="preserve"> </w:t>
      </w:r>
      <w:r>
        <w:rPr>
          <w:i/>
          <w:color w:val="231F20"/>
          <w:sz w:val="18"/>
        </w:rPr>
        <w:t>в</w:t>
      </w:r>
      <w:r>
        <w:rPr>
          <w:i/>
          <w:color w:val="231F20"/>
          <w:spacing w:val="-10"/>
          <w:sz w:val="18"/>
        </w:rPr>
        <w:t xml:space="preserve"> </w:t>
      </w:r>
      <w:r>
        <w:rPr>
          <w:i/>
          <w:color w:val="231F20"/>
          <w:sz w:val="18"/>
        </w:rPr>
        <w:t>порядку,</w:t>
      </w:r>
      <w:r>
        <w:rPr>
          <w:i/>
          <w:color w:val="231F20"/>
          <w:spacing w:val="-10"/>
          <w:sz w:val="18"/>
        </w:rPr>
        <w:t xml:space="preserve"> </w:t>
      </w:r>
      <w:r>
        <w:rPr>
          <w:i/>
          <w:color w:val="231F20"/>
          <w:sz w:val="18"/>
        </w:rPr>
        <w:t>передбаченому</w:t>
      </w:r>
      <w:r>
        <w:rPr>
          <w:i/>
          <w:color w:val="231F20"/>
          <w:spacing w:val="-9"/>
          <w:sz w:val="18"/>
        </w:rPr>
        <w:t xml:space="preserve"> </w:t>
      </w:r>
      <w:r>
        <w:rPr>
          <w:i/>
          <w:color w:val="231F20"/>
          <w:sz w:val="18"/>
        </w:rPr>
        <w:t>Порядком</w:t>
      </w:r>
      <w:r>
        <w:rPr>
          <w:i/>
          <w:color w:val="231F20"/>
          <w:spacing w:val="-9"/>
          <w:sz w:val="18"/>
        </w:rPr>
        <w:t xml:space="preserve"> </w:t>
      </w:r>
      <w:r>
        <w:rPr>
          <w:i/>
          <w:color w:val="231F20"/>
          <w:sz w:val="18"/>
        </w:rPr>
        <w:t>формування</w:t>
      </w:r>
      <w:r>
        <w:rPr>
          <w:i/>
          <w:color w:val="231F20"/>
          <w:spacing w:val="-10"/>
          <w:sz w:val="18"/>
        </w:rPr>
        <w:t xml:space="preserve"> </w:t>
      </w:r>
      <w:r>
        <w:rPr>
          <w:i/>
          <w:color w:val="231F20"/>
          <w:sz w:val="18"/>
        </w:rPr>
        <w:t>плану-графіка проведення документальних планових перевірок платників</w:t>
      </w:r>
      <w:r>
        <w:rPr>
          <w:i/>
          <w:color w:val="231F20"/>
          <w:spacing w:val="-17"/>
          <w:sz w:val="18"/>
        </w:rPr>
        <w:t xml:space="preserve"> </w:t>
      </w:r>
      <w:r>
        <w:rPr>
          <w:i/>
          <w:color w:val="231F20"/>
          <w:sz w:val="18"/>
        </w:rPr>
        <w:t>податків</w:t>
      </w:r>
      <w:r>
        <w:rPr>
          <w:i/>
          <w:color w:val="231F20"/>
          <w:position w:val="6"/>
          <w:sz w:val="10"/>
        </w:rPr>
        <w:t>1</w:t>
      </w:r>
      <w:r>
        <w:rPr>
          <w:i/>
          <w:color w:val="231F20"/>
          <w:sz w:val="18"/>
        </w:rPr>
        <w:t>.</w:t>
      </w:r>
    </w:p>
    <w:p w14:paraId="69E47611" w14:textId="77777777" w:rsidR="00DE575E" w:rsidRDefault="00DE575E">
      <w:pPr>
        <w:pStyle w:val="BodyText"/>
        <w:rPr>
          <w:i/>
          <w:sz w:val="20"/>
        </w:rPr>
      </w:pPr>
    </w:p>
    <w:p w14:paraId="7C9255D8" w14:textId="77777777" w:rsidR="00DE575E" w:rsidRDefault="00DE575E">
      <w:pPr>
        <w:pStyle w:val="BodyText"/>
        <w:rPr>
          <w:i/>
          <w:sz w:val="20"/>
        </w:rPr>
      </w:pPr>
    </w:p>
    <w:p w14:paraId="14F44059" w14:textId="77777777" w:rsidR="00DE575E" w:rsidRDefault="002E7560">
      <w:pPr>
        <w:pStyle w:val="Heading4"/>
        <w:numPr>
          <w:ilvl w:val="1"/>
          <w:numId w:val="181"/>
        </w:numPr>
        <w:tabs>
          <w:tab w:val="left" w:pos="659"/>
        </w:tabs>
        <w:spacing w:before="146"/>
        <w:ind w:left="658" w:hanging="408"/>
        <w:jc w:val="left"/>
        <w:rPr>
          <w:sz w:val="13"/>
        </w:rPr>
      </w:pPr>
      <w:r>
        <w:rPr>
          <w:color w:val="231F20"/>
        </w:rPr>
        <w:t>Фактична</w:t>
      </w:r>
      <w:r>
        <w:rPr>
          <w:color w:val="231F20"/>
          <w:spacing w:val="-11"/>
        </w:rPr>
        <w:t xml:space="preserve"> </w:t>
      </w:r>
      <w:r>
        <w:rPr>
          <w:color w:val="231F20"/>
        </w:rPr>
        <w:t>дія</w:t>
      </w:r>
      <w:r>
        <w:rPr>
          <w:color w:val="231F20"/>
          <w:spacing w:val="-11"/>
        </w:rPr>
        <w:t xml:space="preserve"> </w:t>
      </w:r>
      <w:r>
        <w:rPr>
          <w:color w:val="231F20"/>
        </w:rPr>
        <w:t>як</w:t>
      </w:r>
      <w:r>
        <w:rPr>
          <w:color w:val="231F20"/>
          <w:spacing w:val="-11"/>
        </w:rPr>
        <w:t xml:space="preserve"> </w:t>
      </w:r>
      <w:r>
        <w:rPr>
          <w:color w:val="231F20"/>
        </w:rPr>
        <w:t>інструмент</w:t>
      </w:r>
      <w:r>
        <w:rPr>
          <w:color w:val="231F20"/>
          <w:spacing w:val="-11"/>
        </w:rPr>
        <w:t xml:space="preserve"> </w:t>
      </w:r>
      <w:r>
        <w:rPr>
          <w:color w:val="231F20"/>
        </w:rPr>
        <w:t>публічного</w:t>
      </w:r>
      <w:r>
        <w:rPr>
          <w:color w:val="231F20"/>
          <w:spacing w:val="-11"/>
        </w:rPr>
        <w:t xml:space="preserve"> </w:t>
      </w:r>
      <w:r>
        <w:rPr>
          <w:color w:val="231F20"/>
        </w:rPr>
        <w:t>адміністрування</w:t>
      </w:r>
      <w:r>
        <w:rPr>
          <w:color w:val="231F20"/>
          <w:position w:val="7"/>
          <w:sz w:val="13"/>
        </w:rPr>
        <w:t>2</w:t>
      </w:r>
    </w:p>
    <w:p w14:paraId="795559FD" w14:textId="77777777" w:rsidR="00DE575E" w:rsidRDefault="00DE575E">
      <w:pPr>
        <w:pStyle w:val="BodyText"/>
        <w:rPr>
          <w:b/>
          <w:sz w:val="26"/>
        </w:rPr>
      </w:pPr>
    </w:p>
    <w:p w14:paraId="5A6A3FEF" w14:textId="77777777" w:rsidR="00DE575E" w:rsidRDefault="002E7560">
      <w:pPr>
        <w:pStyle w:val="Heading5"/>
        <w:numPr>
          <w:ilvl w:val="2"/>
          <w:numId w:val="181"/>
        </w:numPr>
        <w:tabs>
          <w:tab w:val="left" w:pos="1099"/>
        </w:tabs>
        <w:spacing w:before="197"/>
        <w:jc w:val="left"/>
        <w:rPr>
          <w:color w:val="231F20"/>
        </w:rPr>
      </w:pPr>
      <w:r>
        <w:rPr>
          <w:color w:val="231F20"/>
        </w:rPr>
        <w:t>Поняття, юридичне значення та ознаки фактичної</w:t>
      </w:r>
      <w:r>
        <w:rPr>
          <w:color w:val="231F20"/>
          <w:spacing w:val="-33"/>
        </w:rPr>
        <w:t xml:space="preserve"> </w:t>
      </w:r>
      <w:r>
        <w:rPr>
          <w:color w:val="231F20"/>
        </w:rPr>
        <w:t>дії</w:t>
      </w:r>
    </w:p>
    <w:p w14:paraId="3923ABEF" w14:textId="77777777" w:rsidR="00DE575E" w:rsidRDefault="00DE575E">
      <w:pPr>
        <w:pStyle w:val="BodyText"/>
        <w:spacing w:before="7"/>
        <w:rPr>
          <w:b/>
        </w:rPr>
      </w:pPr>
    </w:p>
    <w:p w14:paraId="2887D02F" w14:textId="77777777" w:rsidR="00DE575E" w:rsidRDefault="002E7560">
      <w:pPr>
        <w:pStyle w:val="BodyText"/>
        <w:spacing w:line="244" w:lineRule="auto"/>
        <w:ind w:left="250" w:right="410" w:firstLine="283"/>
        <w:jc w:val="both"/>
      </w:pPr>
      <w:r>
        <w:rPr>
          <w:color w:val="231F20"/>
        </w:rPr>
        <w:t>Безпосередніми</w:t>
      </w:r>
      <w:r>
        <w:rPr>
          <w:color w:val="231F20"/>
          <w:spacing w:val="-23"/>
        </w:rPr>
        <w:t xml:space="preserve"> </w:t>
      </w:r>
      <w:r>
        <w:rPr>
          <w:color w:val="231F20"/>
        </w:rPr>
        <w:t>формами</w:t>
      </w:r>
      <w:r>
        <w:rPr>
          <w:color w:val="231F20"/>
          <w:spacing w:val="-23"/>
        </w:rPr>
        <w:t xml:space="preserve"> </w:t>
      </w:r>
      <w:r>
        <w:rPr>
          <w:color w:val="231F20"/>
        </w:rPr>
        <w:t>публічного</w:t>
      </w:r>
      <w:r>
        <w:rPr>
          <w:color w:val="231F20"/>
          <w:spacing w:val="-23"/>
        </w:rPr>
        <w:t xml:space="preserve"> </w:t>
      </w:r>
      <w:r>
        <w:rPr>
          <w:color w:val="231F20"/>
        </w:rPr>
        <w:t>адміністрування</w:t>
      </w:r>
      <w:r>
        <w:rPr>
          <w:color w:val="231F20"/>
          <w:spacing w:val="-23"/>
        </w:rPr>
        <w:t xml:space="preserve"> </w:t>
      </w:r>
      <w:r>
        <w:rPr>
          <w:color w:val="231F20"/>
        </w:rPr>
        <w:t>суспільних відно</w:t>
      </w:r>
      <w:r>
        <w:rPr>
          <w:color w:val="231F20"/>
        </w:rPr>
        <w:t>син</w:t>
      </w:r>
      <w:r>
        <w:rPr>
          <w:color w:val="231F20"/>
          <w:spacing w:val="-12"/>
        </w:rPr>
        <w:t xml:space="preserve"> </w:t>
      </w:r>
      <w:r>
        <w:rPr>
          <w:color w:val="231F20"/>
        </w:rPr>
        <w:t>є</w:t>
      </w:r>
      <w:r>
        <w:rPr>
          <w:color w:val="231F20"/>
          <w:spacing w:val="-12"/>
        </w:rPr>
        <w:t xml:space="preserve"> </w:t>
      </w:r>
      <w:r>
        <w:rPr>
          <w:color w:val="231F20"/>
        </w:rPr>
        <w:t>здійснення</w:t>
      </w:r>
      <w:r>
        <w:rPr>
          <w:color w:val="231F20"/>
          <w:spacing w:val="-12"/>
        </w:rPr>
        <w:t xml:space="preserve"> </w:t>
      </w:r>
      <w:r>
        <w:rPr>
          <w:color w:val="231F20"/>
          <w:spacing w:val="-3"/>
        </w:rPr>
        <w:t>суб’єктами</w:t>
      </w:r>
      <w:r>
        <w:rPr>
          <w:color w:val="231F20"/>
          <w:spacing w:val="-12"/>
        </w:rPr>
        <w:t xml:space="preserve"> </w:t>
      </w:r>
      <w:r>
        <w:rPr>
          <w:color w:val="231F20"/>
        </w:rPr>
        <w:t>публічної</w:t>
      </w:r>
      <w:r>
        <w:rPr>
          <w:color w:val="231F20"/>
          <w:spacing w:val="-12"/>
        </w:rPr>
        <w:t xml:space="preserve"> </w:t>
      </w:r>
      <w:r>
        <w:rPr>
          <w:color w:val="231F20"/>
        </w:rPr>
        <w:t>адміністрації</w:t>
      </w:r>
      <w:r>
        <w:rPr>
          <w:color w:val="231F20"/>
          <w:spacing w:val="-12"/>
        </w:rPr>
        <w:t xml:space="preserve"> </w:t>
      </w:r>
      <w:r>
        <w:rPr>
          <w:color w:val="231F20"/>
        </w:rPr>
        <w:t xml:space="preserve">фактичних дій як інструментів публічного адміністрування. </w:t>
      </w:r>
      <w:r>
        <w:rPr>
          <w:color w:val="231F20"/>
          <w:spacing w:val="-5"/>
        </w:rPr>
        <w:t xml:space="preserve">Такі </w:t>
      </w:r>
      <w:r>
        <w:rPr>
          <w:color w:val="231F20"/>
        </w:rPr>
        <w:t>дії не створю- ють</w:t>
      </w:r>
      <w:r>
        <w:rPr>
          <w:color w:val="231F20"/>
          <w:spacing w:val="-10"/>
        </w:rPr>
        <w:t xml:space="preserve"> </w:t>
      </w:r>
      <w:r>
        <w:rPr>
          <w:color w:val="231F20"/>
        </w:rPr>
        <w:t>нового</w:t>
      </w:r>
      <w:r>
        <w:rPr>
          <w:color w:val="231F20"/>
          <w:spacing w:val="-10"/>
        </w:rPr>
        <w:t xml:space="preserve"> </w:t>
      </w:r>
      <w:r>
        <w:rPr>
          <w:color w:val="231F20"/>
        </w:rPr>
        <w:t>юридичного</w:t>
      </w:r>
      <w:r>
        <w:rPr>
          <w:color w:val="231F20"/>
          <w:spacing w:val="-10"/>
        </w:rPr>
        <w:t xml:space="preserve"> </w:t>
      </w:r>
      <w:r>
        <w:rPr>
          <w:color w:val="231F20"/>
        </w:rPr>
        <w:t>положення,</w:t>
      </w:r>
      <w:r>
        <w:rPr>
          <w:color w:val="231F20"/>
          <w:spacing w:val="-10"/>
        </w:rPr>
        <w:t xml:space="preserve"> </w:t>
      </w:r>
      <w:r>
        <w:rPr>
          <w:color w:val="231F20"/>
        </w:rPr>
        <w:t>не</w:t>
      </w:r>
      <w:r>
        <w:rPr>
          <w:color w:val="231F20"/>
          <w:spacing w:val="-10"/>
        </w:rPr>
        <w:t xml:space="preserve"> </w:t>
      </w:r>
      <w:r>
        <w:rPr>
          <w:color w:val="231F20"/>
        </w:rPr>
        <w:t>змінюють</w:t>
      </w:r>
      <w:r>
        <w:rPr>
          <w:color w:val="231F20"/>
          <w:spacing w:val="-10"/>
        </w:rPr>
        <w:t xml:space="preserve"> </w:t>
      </w:r>
      <w:r>
        <w:rPr>
          <w:color w:val="231F20"/>
        </w:rPr>
        <w:t>наявних</w:t>
      </w:r>
      <w:r>
        <w:rPr>
          <w:color w:val="231F20"/>
          <w:spacing w:val="-10"/>
        </w:rPr>
        <w:t xml:space="preserve"> </w:t>
      </w:r>
      <w:r>
        <w:rPr>
          <w:color w:val="231F20"/>
        </w:rPr>
        <w:t xml:space="preserve">правовід- носин, однак стають вагомими умовами для настання зазначених правових наслідків незалежно від того, </w:t>
      </w:r>
      <w:r>
        <w:rPr>
          <w:color w:val="231F20"/>
          <w:spacing w:val="-3"/>
        </w:rPr>
        <w:t xml:space="preserve">були </w:t>
      </w:r>
      <w:r>
        <w:rPr>
          <w:color w:val="231F20"/>
        </w:rPr>
        <w:t>вони спрямовані на ці наслідки чи ні.</w:t>
      </w:r>
    </w:p>
    <w:p w14:paraId="7D4A652D" w14:textId="77777777" w:rsidR="00DE575E" w:rsidRDefault="002E7560">
      <w:pPr>
        <w:spacing w:before="102" w:line="228" w:lineRule="auto"/>
        <w:ind w:left="533" w:right="411" w:firstLine="283"/>
        <w:jc w:val="both"/>
        <w:rPr>
          <w:i/>
          <w:sz w:val="18"/>
        </w:rPr>
      </w:pPr>
      <w:r>
        <w:rPr>
          <w:i/>
          <w:color w:val="231F20"/>
          <w:sz w:val="18"/>
          <w:u w:val="single" w:color="231F20"/>
        </w:rPr>
        <w:t>Приклад</w:t>
      </w:r>
      <w:r>
        <w:rPr>
          <w:i/>
          <w:color w:val="231F20"/>
          <w:sz w:val="18"/>
        </w:rPr>
        <w:t>: у результаті надання адміністративної послуги особа отри- мує довідку «про відсутність судимос</w:t>
      </w:r>
      <w:r>
        <w:rPr>
          <w:i/>
          <w:color w:val="231F20"/>
          <w:sz w:val="18"/>
        </w:rPr>
        <w:t>ті», яка сама по собі не породжує зміни правового статусу чи правовідносин цієї особи з іншими суб’єктами права, проте є необхідним документом, що дає право претендувати на вступ на державну службу.</w:t>
      </w:r>
    </w:p>
    <w:p w14:paraId="2A1861D7" w14:textId="77777777" w:rsidR="00DE575E" w:rsidRDefault="002E7560">
      <w:pPr>
        <w:pStyle w:val="Heading6"/>
        <w:spacing w:before="133" w:line="244" w:lineRule="auto"/>
        <w:ind w:left="250" w:right="411"/>
        <w:jc w:val="both"/>
      </w:pPr>
      <w:r>
        <w:rPr>
          <w:color w:val="231F20"/>
        </w:rPr>
        <w:t xml:space="preserve">Фактична дія як інструмент публічного адміністрування </w:t>
      </w:r>
      <w:r>
        <w:rPr>
          <w:color w:val="231F20"/>
        </w:rPr>
        <w:t>хар</w:t>
      </w:r>
      <w:r>
        <w:rPr>
          <w:color w:val="231F20"/>
        </w:rPr>
        <w:t>актеризується такими рисами:</w:t>
      </w:r>
    </w:p>
    <w:p w14:paraId="046E3D91" w14:textId="77777777" w:rsidR="00DE575E" w:rsidRDefault="002E7560">
      <w:pPr>
        <w:pStyle w:val="ListParagraph"/>
        <w:numPr>
          <w:ilvl w:val="0"/>
          <w:numId w:val="177"/>
        </w:numPr>
        <w:tabs>
          <w:tab w:val="left" w:pos="818"/>
        </w:tabs>
        <w:spacing w:before="0" w:line="244" w:lineRule="auto"/>
        <w:ind w:right="411" w:firstLine="283"/>
        <w:jc w:val="both"/>
        <w:rPr>
          <w:sz w:val="21"/>
        </w:rPr>
      </w:pPr>
      <w:r>
        <w:rPr>
          <w:color w:val="231F20"/>
          <w:sz w:val="21"/>
        </w:rPr>
        <w:t xml:space="preserve">виникає </w:t>
      </w:r>
      <w:r>
        <w:rPr>
          <w:color w:val="231F20"/>
          <w:spacing w:val="-3"/>
          <w:sz w:val="21"/>
        </w:rPr>
        <w:t xml:space="preserve">об’єктивно </w:t>
      </w:r>
      <w:r>
        <w:rPr>
          <w:color w:val="231F20"/>
          <w:sz w:val="21"/>
        </w:rPr>
        <w:t>в тих сферах, де приватні особи забезпе- чити свої потреби не в змозі чи в цій сфері встановлена державна монополія;</w:t>
      </w:r>
    </w:p>
    <w:p w14:paraId="143C8998" w14:textId="77777777" w:rsidR="00DE575E" w:rsidRDefault="002E7560">
      <w:pPr>
        <w:pStyle w:val="ListParagraph"/>
        <w:numPr>
          <w:ilvl w:val="0"/>
          <w:numId w:val="177"/>
        </w:numPr>
        <w:tabs>
          <w:tab w:val="left" w:pos="818"/>
        </w:tabs>
        <w:spacing w:before="0" w:line="244" w:lineRule="auto"/>
        <w:ind w:right="414" w:firstLine="283"/>
        <w:jc w:val="both"/>
        <w:rPr>
          <w:sz w:val="21"/>
        </w:rPr>
      </w:pPr>
      <w:r>
        <w:rPr>
          <w:color w:val="231F20"/>
          <w:sz w:val="21"/>
        </w:rPr>
        <w:t>є різновидом активної адміністративної діяльності публічної адміністрації;</w:t>
      </w:r>
    </w:p>
    <w:p w14:paraId="71773C3F" w14:textId="77777777" w:rsidR="00DE575E" w:rsidRDefault="002E7560">
      <w:pPr>
        <w:pStyle w:val="ListParagraph"/>
        <w:numPr>
          <w:ilvl w:val="0"/>
          <w:numId w:val="177"/>
        </w:numPr>
        <w:tabs>
          <w:tab w:val="left" w:pos="818"/>
        </w:tabs>
        <w:spacing w:before="0" w:line="252" w:lineRule="auto"/>
        <w:ind w:right="411" w:firstLine="283"/>
        <w:jc w:val="both"/>
        <w:rPr>
          <w:sz w:val="21"/>
        </w:rPr>
      </w:pPr>
      <w:r>
        <w:rPr>
          <w:color w:val="231F20"/>
          <w:sz w:val="21"/>
        </w:rPr>
        <w:t xml:space="preserve">з боку </w:t>
      </w:r>
      <w:r>
        <w:rPr>
          <w:color w:val="231F20"/>
          <w:spacing w:val="-3"/>
          <w:sz w:val="21"/>
        </w:rPr>
        <w:t xml:space="preserve">суб’єктів </w:t>
      </w:r>
      <w:r>
        <w:rPr>
          <w:color w:val="231F20"/>
          <w:sz w:val="21"/>
        </w:rPr>
        <w:t>публічної адміністрації відзначається публіч- ний свідомий вольовий</w:t>
      </w:r>
      <w:r>
        <w:rPr>
          <w:color w:val="231F20"/>
          <w:spacing w:val="-1"/>
          <w:sz w:val="21"/>
        </w:rPr>
        <w:t xml:space="preserve"> </w:t>
      </w:r>
      <w:r>
        <w:rPr>
          <w:color w:val="231F20"/>
          <w:sz w:val="21"/>
        </w:rPr>
        <w:t>характер;</w:t>
      </w:r>
    </w:p>
    <w:p w14:paraId="064F274A" w14:textId="5B9B19EF" w:rsidR="00DE575E" w:rsidRDefault="002E7560">
      <w:pPr>
        <w:pStyle w:val="BodyText"/>
        <w:spacing w:before="1"/>
        <w:rPr>
          <w:sz w:val="24"/>
        </w:rPr>
      </w:pPr>
      <w:r>
        <w:rPr>
          <w:noProof/>
        </w:rPr>
        <mc:AlternateContent>
          <mc:Choice Requires="wps">
            <w:drawing>
              <wp:anchor distT="0" distB="0" distL="0" distR="0" simplePos="0" relativeHeight="10048" behindDoc="0" locked="0" layoutInCell="1" allowOverlap="1" wp14:anchorId="362168D5" wp14:editId="6FCE6239">
                <wp:simplePos x="0" y="0"/>
                <wp:positionH relativeFrom="page">
                  <wp:posOffset>539750</wp:posOffset>
                </wp:positionH>
                <wp:positionV relativeFrom="paragraph">
                  <wp:posOffset>207645</wp:posOffset>
                </wp:positionV>
                <wp:extent cx="1080135" cy="0"/>
                <wp:effectExtent l="6350" t="17145" r="31115" b="20955"/>
                <wp:wrapTopAndBottom/>
                <wp:docPr id="785"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15F90" id="Line_x0020_784" o:spid="_x0000_s1026" style="position:absolute;z-index:1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35pt" to="127.55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" strokecolor="#231f20" strokeweight=".5pt">
                <w10:wrap type="topAndBottom" anchorx="page"/>
              </v:line>
            </w:pict>
          </mc:Fallback>
        </mc:AlternateContent>
      </w:r>
    </w:p>
    <w:p w14:paraId="25A2F2AA" w14:textId="77777777" w:rsidR="00DE575E" w:rsidRDefault="002E7560">
      <w:pPr>
        <w:spacing w:line="204" w:lineRule="auto"/>
        <w:ind w:left="250" w:right="413"/>
        <w:jc w:val="both"/>
        <w:rPr>
          <w:sz w:val="16"/>
        </w:rPr>
      </w:pPr>
      <w:r>
        <w:rPr>
          <w:color w:val="231F20"/>
          <w:position w:val="5"/>
          <w:sz w:val="9"/>
        </w:rPr>
        <w:t xml:space="preserve">1 </w:t>
      </w:r>
      <w:r>
        <w:rPr>
          <w:color w:val="231F20"/>
          <w:sz w:val="16"/>
        </w:rPr>
        <w:t>Про затвердження Порядку формування плану-графіка проведення документальних планових перевірок платників податків: Наказ Мінфіну України від 02.06.2015, № 524.</w:t>
      </w:r>
    </w:p>
    <w:p w14:paraId="774420BF" w14:textId="77777777" w:rsidR="00DE575E" w:rsidRDefault="002E7560">
      <w:pPr>
        <w:spacing w:before="26" w:line="204" w:lineRule="auto"/>
        <w:ind w:left="250" w:right="410"/>
        <w:jc w:val="both"/>
        <w:rPr>
          <w:sz w:val="16"/>
        </w:rPr>
      </w:pPr>
      <w:r>
        <w:rPr>
          <w:color w:val="231F20"/>
          <w:position w:val="5"/>
          <w:sz w:val="9"/>
        </w:rPr>
        <w:t xml:space="preserve">2 </w:t>
      </w:r>
      <w:r>
        <w:rPr>
          <w:color w:val="231F20"/>
          <w:sz w:val="16"/>
        </w:rPr>
        <w:t xml:space="preserve">Категорію «Фактична дія як інструмент публічного адміністрування», уведено у тео- рію адміністративного права України професором </w:t>
      </w:r>
      <w:r>
        <w:rPr>
          <w:color w:val="231F20"/>
          <w:spacing w:val="-11"/>
          <w:sz w:val="16"/>
        </w:rPr>
        <w:t xml:space="preserve">Р. </w:t>
      </w:r>
      <w:r>
        <w:rPr>
          <w:color w:val="231F20"/>
          <w:sz w:val="16"/>
        </w:rPr>
        <w:t xml:space="preserve">Мельник (див. докладніше: Мельник </w:t>
      </w:r>
      <w:r>
        <w:rPr>
          <w:color w:val="231F20"/>
          <w:spacing w:val="-11"/>
          <w:sz w:val="16"/>
        </w:rPr>
        <w:t xml:space="preserve">Р. </w:t>
      </w:r>
      <w:r>
        <w:rPr>
          <w:color w:val="231F20"/>
          <w:sz w:val="16"/>
        </w:rPr>
        <w:t>Загальне адміністративне право в питаннях і відповідях : навчальний посібник. Київ: Юрі</w:t>
      </w:r>
      <w:r>
        <w:rPr>
          <w:color w:val="231F20"/>
          <w:sz w:val="16"/>
        </w:rPr>
        <w:t>нком Інтер, 2018. 308</w:t>
      </w:r>
      <w:r>
        <w:rPr>
          <w:color w:val="231F20"/>
          <w:spacing w:val="-1"/>
          <w:sz w:val="16"/>
        </w:rPr>
        <w:t xml:space="preserve"> </w:t>
      </w:r>
      <w:r>
        <w:rPr>
          <w:color w:val="231F20"/>
          <w:sz w:val="16"/>
        </w:rPr>
        <w:t>с.).</w:t>
      </w:r>
    </w:p>
    <w:p w14:paraId="0BA93A0C" w14:textId="77777777" w:rsidR="00DE575E" w:rsidRDefault="00DE575E">
      <w:pPr>
        <w:pStyle w:val="BodyText"/>
        <w:spacing w:before="6"/>
        <w:rPr>
          <w:sz w:val="12"/>
        </w:rPr>
      </w:pPr>
    </w:p>
    <w:p w14:paraId="76249F2B" w14:textId="77777777" w:rsidR="00DE575E" w:rsidRDefault="002E7560">
      <w:pPr>
        <w:spacing w:before="92"/>
        <w:ind w:right="411"/>
        <w:jc w:val="right"/>
        <w:rPr>
          <w:rFonts w:ascii="Times New Roman"/>
          <w:sz w:val="20"/>
        </w:rPr>
      </w:pPr>
      <w:r>
        <w:rPr>
          <w:rFonts w:ascii="Times New Roman"/>
          <w:color w:val="231F20"/>
          <w:w w:val="90"/>
          <w:sz w:val="20"/>
        </w:rPr>
        <w:t>247</w:t>
      </w:r>
    </w:p>
    <w:p w14:paraId="75FB396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1D5AC6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D4508F3" w14:textId="672B3BF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ABF95AF" wp14:editId="784416CA">
                <wp:extent cx="4140200" cy="6350"/>
                <wp:effectExtent l="0" t="0" r="12700" b="6350"/>
                <wp:docPr id="783"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84" name="Line 7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9B0EE" id="Group_x0020_7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eOAd/AgAAmAUAAA4A&#10;AAAAAAAAAAAAAAAALAIAAGRycy9lMm9Eb2MueG1sUEsBAi0AFAAGAAgAAAAhAEynsJDZAAAAAwEA&#10;AA8AAAAAAAAAAAAAAAAA1wQAAGRycy9kb3ducmV2LnhtbFBLBQYAAAAABAAEAPMAAADdBQAAAAA=&#10;">
                <v:line id="Line_x0020_7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eO1MYAAADcAAAADwAAAGRycy9kb3ducmV2LnhtbESP3WrCQBSE7wu+w3IEb0rdtJZWoqtI&#10;oSBe+Jc+wDF7TIK7Z2N2NdGndwuFXg4z8w0znXfWiCs1vnKs4HWYgCDOna64UPCTfb+MQfiArNE4&#10;JgU38jCf9Z6mmGrX8o6u+1CICGGfooIyhDqV0uclWfRDVxNH7+gaiyHKppC6wTbCrZFvSfIhLVYc&#10;F0qs6auk/LS/WAXZ+TmY7WZl2mxzGMnDeT26X9ZKDfrdYgIiUBf+w3/tpVbwOX6H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njtTGAAAA3AAAAA8AAAAAAAAA&#10;AAAAAAAAoQIAAGRycy9kb3ducmV2LnhtbFBLBQYAAAAABAAEAPkAAACUAwAAAAA=&#10;" strokecolor="#231f20" strokeweight=".5pt"/>
                <w10:anchorlock/>
              </v:group>
            </w:pict>
          </mc:Fallback>
        </mc:AlternateContent>
      </w:r>
    </w:p>
    <w:p w14:paraId="1C7517F7" w14:textId="77777777" w:rsidR="00DE575E" w:rsidRDefault="00DE575E">
      <w:pPr>
        <w:pStyle w:val="BodyText"/>
        <w:spacing w:before="7"/>
        <w:rPr>
          <w:rFonts w:ascii="AdonisC"/>
          <w:i/>
          <w:sz w:val="11"/>
        </w:rPr>
      </w:pPr>
    </w:p>
    <w:p w14:paraId="53250F5C" w14:textId="77777777" w:rsidR="00DE575E" w:rsidRDefault="002E7560">
      <w:pPr>
        <w:pStyle w:val="ListParagraph"/>
        <w:numPr>
          <w:ilvl w:val="0"/>
          <w:numId w:val="176"/>
        </w:numPr>
        <w:tabs>
          <w:tab w:val="left" w:pos="1101"/>
        </w:tabs>
        <w:spacing w:before="101" w:line="244" w:lineRule="auto"/>
        <w:ind w:right="128" w:firstLine="284"/>
        <w:jc w:val="both"/>
        <w:rPr>
          <w:sz w:val="21"/>
        </w:rPr>
      </w:pPr>
      <w:r>
        <w:rPr>
          <w:color w:val="231F20"/>
          <w:sz w:val="21"/>
        </w:rPr>
        <w:t xml:space="preserve">здійснюється з метою отримання фактичного </w:t>
      </w:r>
      <w:r>
        <w:rPr>
          <w:color w:val="231F20"/>
          <w:spacing w:val="-3"/>
          <w:sz w:val="21"/>
        </w:rPr>
        <w:t xml:space="preserve">результату </w:t>
      </w:r>
      <w:r>
        <w:rPr>
          <w:color w:val="231F20"/>
          <w:sz w:val="21"/>
        </w:rPr>
        <w:t>для приватних осіб у процесі надання адміністративних послуг і при проведенні перевірок;</w:t>
      </w:r>
    </w:p>
    <w:p w14:paraId="4FCB11D7" w14:textId="77777777" w:rsidR="00DE575E" w:rsidRDefault="002E7560">
      <w:pPr>
        <w:pStyle w:val="ListParagraph"/>
        <w:numPr>
          <w:ilvl w:val="0"/>
          <w:numId w:val="176"/>
        </w:numPr>
        <w:tabs>
          <w:tab w:val="left" w:pos="1101"/>
        </w:tabs>
        <w:spacing w:before="2" w:line="244" w:lineRule="auto"/>
        <w:ind w:right="128" w:firstLine="284"/>
        <w:jc w:val="both"/>
        <w:rPr>
          <w:sz w:val="21"/>
        </w:rPr>
      </w:pPr>
      <w:r>
        <w:rPr>
          <w:color w:val="231F20"/>
          <w:sz w:val="21"/>
        </w:rPr>
        <w:t>не призводить до виникнення, зміни або припинення адмі- ністративно-правових</w:t>
      </w:r>
      <w:r>
        <w:rPr>
          <w:color w:val="231F20"/>
          <w:spacing w:val="-2"/>
          <w:sz w:val="21"/>
        </w:rPr>
        <w:t xml:space="preserve"> </w:t>
      </w:r>
      <w:r>
        <w:rPr>
          <w:color w:val="231F20"/>
          <w:sz w:val="21"/>
        </w:rPr>
        <w:t>відносин.</w:t>
      </w:r>
    </w:p>
    <w:p w14:paraId="3C7841A4" w14:textId="77777777" w:rsidR="00DE575E" w:rsidRDefault="002E7560">
      <w:pPr>
        <w:pStyle w:val="Heading5"/>
        <w:spacing w:before="2" w:line="244" w:lineRule="auto"/>
        <w:ind w:right="126" w:firstLine="283"/>
        <w:jc w:val="both"/>
      </w:pPr>
      <w:r>
        <w:rPr>
          <w:color w:val="231F20"/>
        </w:rPr>
        <w:t>Отже, фактична дія як інструмент публічного адміністру- вання – це різновид активної адміністративної діяльності публічної адміністрації, що має свідомий вольовий характер, з метою отримання фактичного результату для приватних осіб під час надання адмініст</w:t>
      </w:r>
      <w:r>
        <w:rPr>
          <w:color w:val="231F20"/>
        </w:rPr>
        <w:t>ративних послуг і проведення переві- рок, що не зумовлює виникнення, зміни або припинення адмі- ністративно-правових відносин.</w:t>
      </w:r>
    </w:p>
    <w:p w14:paraId="6C7B16EE" w14:textId="77777777" w:rsidR="00DE575E" w:rsidRDefault="00DE575E">
      <w:pPr>
        <w:pStyle w:val="BodyText"/>
        <w:rPr>
          <w:b/>
          <w:sz w:val="22"/>
        </w:rPr>
      </w:pPr>
    </w:p>
    <w:p w14:paraId="492B86F2" w14:textId="77777777" w:rsidR="00DE575E" w:rsidRDefault="002E7560">
      <w:pPr>
        <w:pStyle w:val="ListParagraph"/>
        <w:numPr>
          <w:ilvl w:val="2"/>
          <w:numId w:val="181"/>
        </w:numPr>
        <w:tabs>
          <w:tab w:val="left" w:pos="1383"/>
        </w:tabs>
        <w:spacing w:before="0"/>
        <w:ind w:left="1382"/>
        <w:jc w:val="left"/>
        <w:rPr>
          <w:b/>
          <w:color w:val="231F20"/>
          <w:sz w:val="21"/>
        </w:rPr>
      </w:pPr>
      <w:r>
        <w:rPr>
          <w:b/>
          <w:color w:val="231F20"/>
          <w:sz w:val="21"/>
        </w:rPr>
        <w:t>Сфера застосування фактичних</w:t>
      </w:r>
      <w:r>
        <w:rPr>
          <w:b/>
          <w:color w:val="231F20"/>
          <w:spacing w:val="-5"/>
          <w:sz w:val="21"/>
        </w:rPr>
        <w:t xml:space="preserve"> </w:t>
      </w:r>
      <w:r>
        <w:rPr>
          <w:b/>
          <w:color w:val="231F20"/>
          <w:sz w:val="21"/>
        </w:rPr>
        <w:t>дій</w:t>
      </w:r>
    </w:p>
    <w:p w14:paraId="25E4CDB4" w14:textId="77777777" w:rsidR="00DE575E" w:rsidRDefault="00DE575E">
      <w:pPr>
        <w:pStyle w:val="BodyText"/>
        <w:rPr>
          <w:b/>
          <w:sz w:val="22"/>
        </w:rPr>
      </w:pPr>
    </w:p>
    <w:p w14:paraId="55B4396C" w14:textId="77777777" w:rsidR="00DE575E" w:rsidRDefault="002E7560">
      <w:pPr>
        <w:pStyle w:val="BodyText"/>
        <w:spacing w:line="244" w:lineRule="auto"/>
        <w:ind w:left="533" w:right="128" w:firstLine="283"/>
        <w:jc w:val="both"/>
      </w:pPr>
      <w:r>
        <w:rPr>
          <w:color w:val="231F20"/>
        </w:rPr>
        <w:t>Сфера  застосування  фактичних  дій  відзначається  фактичним  і формальним (юридичним)</w:t>
      </w:r>
      <w:r>
        <w:rPr>
          <w:color w:val="231F20"/>
          <w:spacing w:val="-3"/>
        </w:rPr>
        <w:t xml:space="preserve"> </w:t>
      </w:r>
      <w:r>
        <w:rPr>
          <w:color w:val="231F20"/>
        </w:rPr>
        <w:t>змісто</w:t>
      </w:r>
      <w:r>
        <w:rPr>
          <w:color w:val="231F20"/>
        </w:rPr>
        <w:t>м.</w:t>
      </w:r>
    </w:p>
    <w:p w14:paraId="7E0BC590" w14:textId="77777777" w:rsidR="00DE575E" w:rsidRDefault="002E7560">
      <w:pPr>
        <w:pStyle w:val="BodyText"/>
        <w:spacing w:before="2" w:line="244" w:lineRule="auto"/>
        <w:ind w:left="533" w:right="126" w:firstLine="283"/>
        <w:jc w:val="both"/>
      </w:pPr>
      <w:r>
        <w:rPr>
          <w:b/>
          <w:i/>
          <w:color w:val="231F20"/>
        </w:rPr>
        <w:t xml:space="preserve">Фактичний зміст </w:t>
      </w:r>
      <w:r>
        <w:rPr>
          <w:color w:val="231F20"/>
        </w:rPr>
        <w:t>потреби використання фактичних дій поля- гає в тому, що цього об’єктивно потребує врегулювання публічних суспільних відносини з метою забезпечення прав, свобод і закон- них інтересів приватних осіб чи публічного інтересу суспільства, кол</w:t>
      </w:r>
      <w:r>
        <w:rPr>
          <w:color w:val="231F20"/>
        </w:rPr>
        <w:t>и це здійснити за рахунок приватної ініціативи неможливо чи недоцільно. У цьому аспекті наскільки широкі проблеми вимагають урегулювання публічною адміністрацією за допомогою фактичних дій, настільки й широкою є сфера їх застування.</w:t>
      </w:r>
    </w:p>
    <w:p w14:paraId="24A723A5" w14:textId="77777777" w:rsidR="00DE575E" w:rsidRDefault="002E7560">
      <w:pPr>
        <w:pStyle w:val="BodyText"/>
        <w:spacing w:before="7" w:line="244" w:lineRule="auto"/>
        <w:ind w:left="533" w:right="128" w:firstLine="283"/>
        <w:jc w:val="both"/>
      </w:pPr>
      <w:r>
        <w:rPr>
          <w:b/>
          <w:i/>
          <w:color w:val="231F20"/>
        </w:rPr>
        <w:t xml:space="preserve">Формальний (юридичний) </w:t>
      </w:r>
      <w:r>
        <w:rPr>
          <w:b/>
          <w:i/>
          <w:color w:val="231F20"/>
        </w:rPr>
        <w:t xml:space="preserve">зміст </w:t>
      </w:r>
      <w:r>
        <w:rPr>
          <w:color w:val="231F20"/>
        </w:rPr>
        <w:t xml:space="preserve">сфери застосування фактич- них дій як інструментів публічного адміністрування полягає в </w:t>
      </w:r>
      <w:r>
        <w:rPr>
          <w:color w:val="231F20"/>
          <w:spacing w:val="-4"/>
        </w:rPr>
        <w:t xml:space="preserve">тому, </w:t>
      </w:r>
      <w:r>
        <w:rPr>
          <w:color w:val="231F20"/>
        </w:rPr>
        <w:t>що</w:t>
      </w:r>
      <w:r>
        <w:rPr>
          <w:color w:val="231F20"/>
          <w:spacing w:val="-6"/>
        </w:rPr>
        <w:t xml:space="preserve"> </w:t>
      </w:r>
      <w:r>
        <w:rPr>
          <w:color w:val="231F20"/>
        </w:rPr>
        <w:t>зазначені</w:t>
      </w:r>
      <w:r>
        <w:rPr>
          <w:color w:val="231F20"/>
          <w:spacing w:val="-6"/>
        </w:rPr>
        <w:t xml:space="preserve"> </w:t>
      </w:r>
      <w:r>
        <w:rPr>
          <w:color w:val="231F20"/>
        </w:rPr>
        <w:t>дії</w:t>
      </w:r>
      <w:r>
        <w:rPr>
          <w:color w:val="231F20"/>
          <w:spacing w:val="-6"/>
        </w:rPr>
        <w:t xml:space="preserve"> </w:t>
      </w:r>
      <w:r>
        <w:rPr>
          <w:color w:val="231F20"/>
        </w:rPr>
        <w:t>зобов’язані</w:t>
      </w:r>
      <w:r>
        <w:rPr>
          <w:color w:val="231F20"/>
          <w:spacing w:val="-6"/>
        </w:rPr>
        <w:t xml:space="preserve"> </w:t>
      </w:r>
      <w:r>
        <w:rPr>
          <w:color w:val="231F20"/>
        </w:rPr>
        <w:t>виконувати</w:t>
      </w:r>
      <w:r>
        <w:rPr>
          <w:color w:val="231F20"/>
          <w:spacing w:val="-6"/>
        </w:rPr>
        <w:t xml:space="preserve"> </w:t>
      </w:r>
      <w:r>
        <w:rPr>
          <w:color w:val="231F20"/>
          <w:spacing w:val="-3"/>
        </w:rPr>
        <w:t>суб’єкти</w:t>
      </w:r>
      <w:r>
        <w:rPr>
          <w:color w:val="231F20"/>
          <w:spacing w:val="-6"/>
        </w:rPr>
        <w:t xml:space="preserve"> </w:t>
      </w:r>
      <w:r>
        <w:rPr>
          <w:color w:val="231F20"/>
        </w:rPr>
        <w:t>публічної</w:t>
      </w:r>
      <w:r>
        <w:rPr>
          <w:color w:val="231F20"/>
          <w:spacing w:val="-6"/>
        </w:rPr>
        <w:t xml:space="preserve"> </w:t>
      </w:r>
      <w:r>
        <w:rPr>
          <w:color w:val="231F20"/>
        </w:rPr>
        <w:t>адмініст- рації відповідно до законодавчо прописаної</w:t>
      </w:r>
      <w:r>
        <w:rPr>
          <w:color w:val="231F20"/>
          <w:spacing w:val="-6"/>
        </w:rPr>
        <w:t xml:space="preserve"> </w:t>
      </w:r>
      <w:r>
        <w:rPr>
          <w:color w:val="231F20"/>
        </w:rPr>
        <w:t>компетенції.</w:t>
      </w:r>
    </w:p>
    <w:p w14:paraId="3B0F2E02" w14:textId="77777777" w:rsidR="00DE575E" w:rsidRDefault="002E7560">
      <w:pPr>
        <w:pStyle w:val="BodyText"/>
        <w:spacing w:before="3" w:line="244" w:lineRule="auto"/>
        <w:ind w:left="533" w:right="129" w:firstLine="283"/>
        <w:jc w:val="both"/>
      </w:pPr>
      <w:r>
        <w:rPr>
          <w:color w:val="231F20"/>
          <w:spacing w:val="-3"/>
        </w:rPr>
        <w:t xml:space="preserve">Однак </w:t>
      </w:r>
      <w:r>
        <w:rPr>
          <w:color w:val="231F20"/>
        </w:rPr>
        <w:t xml:space="preserve">це не </w:t>
      </w:r>
      <w:r>
        <w:rPr>
          <w:color w:val="231F20"/>
          <w:spacing w:val="-3"/>
        </w:rPr>
        <w:t xml:space="preserve">означає, </w:t>
      </w:r>
      <w:r>
        <w:rPr>
          <w:color w:val="231F20"/>
        </w:rPr>
        <w:t xml:space="preserve">що в </w:t>
      </w:r>
      <w:r>
        <w:rPr>
          <w:color w:val="231F20"/>
          <w:spacing w:val="-3"/>
        </w:rPr>
        <w:t xml:space="preserve">законах </w:t>
      </w:r>
      <w:r>
        <w:rPr>
          <w:color w:val="231F20"/>
        </w:rPr>
        <w:t xml:space="preserve">і </w:t>
      </w:r>
      <w:r>
        <w:rPr>
          <w:color w:val="231F20"/>
          <w:spacing w:val="-3"/>
        </w:rPr>
        <w:t xml:space="preserve">підзаконних нормативно- правових актах </w:t>
      </w:r>
      <w:r>
        <w:rPr>
          <w:color w:val="231F20"/>
        </w:rPr>
        <w:t xml:space="preserve">на </w:t>
      </w:r>
      <w:r>
        <w:rPr>
          <w:color w:val="231F20"/>
          <w:spacing w:val="-5"/>
        </w:rPr>
        <w:t xml:space="preserve">суб’єктів </w:t>
      </w:r>
      <w:r>
        <w:rPr>
          <w:color w:val="231F20"/>
          <w:spacing w:val="-3"/>
        </w:rPr>
        <w:t xml:space="preserve">публічної адміністрації </w:t>
      </w:r>
      <w:r>
        <w:rPr>
          <w:color w:val="231F20"/>
        </w:rPr>
        <w:t xml:space="preserve">без </w:t>
      </w:r>
      <w:r>
        <w:rPr>
          <w:color w:val="231F20"/>
          <w:spacing w:val="-3"/>
        </w:rPr>
        <w:t xml:space="preserve">урахування </w:t>
      </w:r>
      <w:r>
        <w:rPr>
          <w:color w:val="231F20"/>
          <w:spacing w:val="-5"/>
        </w:rPr>
        <w:t xml:space="preserve">об’єктивно </w:t>
      </w:r>
      <w:r>
        <w:rPr>
          <w:color w:val="231F20"/>
          <w:spacing w:val="-3"/>
        </w:rPr>
        <w:t xml:space="preserve">наявного фактичного </w:t>
      </w:r>
      <w:r>
        <w:rPr>
          <w:color w:val="231F20"/>
        </w:rPr>
        <w:t xml:space="preserve">змісту </w:t>
      </w:r>
      <w:r>
        <w:rPr>
          <w:color w:val="231F20"/>
          <w:spacing w:val="-3"/>
        </w:rPr>
        <w:t xml:space="preserve">покладаються обов’язки застосовувати фактичні дії. </w:t>
      </w:r>
      <w:r>
        <w:rPr>
          <w:color w:val="231F20"/>
        </w:rPr>
        <w:t xml:space="preserve">В </w:t>
      </w:r>
      <w:r>
        <w:rPr>
          <w:color w:val="231F20"/>
          <w:spacing w:val="-3"/>
        </w:rPr>
        <w:t xml:space="preserve">ідеальному вимірі сфери фактичного та юридичного </w:t>
      </w:r>
      <w:r>
        <w:rPr>
          <w:color w:val="231F20"/>
        </w:rPr>
        <w:t xml:space="preserve">змісту </w:t>
      </w:r>
      <w:r>
        <w:rPr>
          <w:color w:val="231F20"/>
          <w:spacing w:val="-3"/>
        </w:rPr>
        <w:t>застосув</w:t>
      </w:r>
      <w:r>
        <w:rPr>
          <w:color w:val="231F20"/>
          <w:spacing w:val="-3"/>
        </w:rPr>
        <w:t xml:space="preserve">ання фактичних </w:t>
      </w:r>
      <w:r>
        <w:rPr>
          <w:color w:val="231F20"/>
        </w:rPr>
        <w:t xml:space="preserve">дій </w:t>
      </w:r>
      <w:r>
        <w:rPr>
          <w:color w:val="231F20"/>
          <w:spacing w:val="-3"/>
        </w:rPr>
        <w:t>мають співпадати.</w:t>
      </w:r>
    </w:p>
    <w:p w14:paraId="5064DDFD" w14:textId="77777777" w:rsidR="00DE575E" w:rsidRDefault="00DE575E">
      <w:pPr>
        <w:pStyle w:val="BodyText"/>
        <w:spacing w:before="10"/>
      </w:pPr>
    </w:p>
    <w:p w14:paraId="48A515E4" w14:textId="77777777" w:rsidR="00DE575E" w:rsidRDefault="002E7560">
      <w:pPr>
        <w:pStyle w:val="Heading5"/>
        <w:numPr>
          <w:ilvl w:val="2"/>
          <w:numId w:val="181"/>
        </w:numPr>
        <w:tabs>
          <w:tab w:val="left" w:pos="1383"/>
        </w:tabs>
        <w:spacing w:before="1"/>
        <w:ind w:left="1382"/>
        <w:jc w:val="left"/>
        <w:rPr>
          <w:color w:val="231F20"/>
        </w:rPr>
      </w:pPr>
      <w:r>
        <w:rPr>
          <w:color w:val="231F20"/>
        </w:rPr>
        <w:t>Основні види фактичних</w:t>
      </w:r>
      <w:r>
        <w:rPr>
          <w:color w:val="231F20"/>
          <w:spacing w:val="-3"/>
        </w:rPr>
        <w:t xml:space="preserve"> </w:t>
      </w:r>
      <w:r>
        <w:rPr>
          <w:color w:val="231F20"/>
        </w:rPr>
        <w:t>дій</w:t>
      </w:r>
    </w:p>
    <w:p w14:paraId="0045A3A6" w14:textId="77777777" w:rsidR="00DE575E" w:rsidRDefault="00DE575E">
      <w:pPr>
        <w:pStyle w:val="BodyText"/>
        <w:spacing w:before="11"/>
        <w:rPr>
          <w:b/>
        </w:rPr>
      </w:pPr>
    </w:p>
    <w:p w14:paraId="0AA3C64A" w14:textId="77777777" w:rsidR="00DE575E" w:rsidRDefault="002E7560">
      <w:pPr>
        <w:pStyle w:val="BodyText"/>
        <w:spacing w:line="249" w:lineRule="auto"/>
        <w:ind w:left="533" w:right="128" w:firstLine="283"/>
        <w:jc w:val="both"/>
      </w:pPr>
      <w:r>
        <w:rPr>
          <w:color w:val="231F20"/>
        </w:rPr>
        <w:t>Основними видами фактичних дій є такі: інформування насе- лення, проведення перевірки, здійснення моніторингу, надання довідок, виплата грошових коштів, адміністрування реєстрів.</w:t>
      </w:r>
    </w:p>
    <w:p w14:paraId="47FAB417" w14:textId="77777777" w:rsidR="00DE575E" w:rsidRDefault="00DE575E">
      <w:pPr>
        <w:pStyle w:val="BodyText"/>
        <w:spacing w:before="2"/>
        <w:rPr>
          <w:sz w:val="13"/>
        </w:rPr>
      </w:pPr>
    </w:p>
    <w:p w14:paraId="77DBA8D7" w14:textId="77777777" w:rsidR="00DE575E" w:rsidRDefault="002E7560">
      <w:pPr>
        <w:spacing w:before="91"/>
        <w:ind w:left="533"/>
        <w:rPr>
          <w:rFonts w:ascii="Times New Roman"/>
          <w:sz w:val="20"/>
        </w:rPr>
      </w:pPr>
      <w:r>
        <w:rPr>
          <w:rFonts w:ascii="Times New Roman"/>
          <w:color w:val="231F20"/>
          <w:sz w:val="20"/>
        </w:rPr>
        <w:t>248</w:t>
      </w:r>
    </w:p>
    <w:p w14:paraId="40E93080" w14:textId="77777777" w:rsidR="00DE575E" w:rsidRDefault="00DE575E">
      <w:pPr>
        <w:rPr>
          <w:rFonts w:ascii="Times New Roman"/>
          <w:sz w:val="20"/>
        </w:rPr>
        <w:sectPr w:rsidR="00DE575E">
          <w:pgSz w:w="8510" w:h="12760"/>
          <w:pgMar w:top="660" w:right="720" w:bottom="280" w:left="600" w:header="720" w:footer="720" w:gutter="0"/>
          <w:cols w:space="720"/>
        </w:sectPr>
      </w:pPr>
    </w:p>
    <w:p w14:paraId="4CF663A9"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235A16F9" w14:textId="5126EE4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359837E" wp14:editId="47EFAF5A">
                <wp:extent cx="4140200" cy="6350"/>
                <wp:effectExtent l="0" t="0" r="12700" b="6350"/>
                <wp:docPr id="781"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82" name="Line 7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FB208" id="Group_x0020_7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SBNbl/AgAAmAUAAA4A&#10;AAAAAAAAAAAAAAAALAIAAGRycy9lMm9Eb2MueG1sUEsBAi0AFAAGAAgAAAAhAEynsJDZAAAAAwEA&#10;AA8AAAAAAAAAAAAAAAAA1wQAAGRycy9kb3ducmV2LnhtbFBLBQYAAAAABAAEAPMAAADdBQAAAAA=&#10;">
                <v:line id="Line_x0020_7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KzO8YAAADcAAAADwAAAGRycy9kb3ducmV2LnhtbESP0WrCQBRE3wv+w3IFX0Q3VWgluooU&#10;CsUHbY0fcM1ek+Du3ZhdTdqvdwWhj8PMnGEWq84acaPGV44VvI4TEMS50xUXCg7Z52gGwgdkjcYx&#10;KfglD6tl72WBqXYt/9BtHwoRIexTVFCGUKdS+rwki37sauLonVxjMUTZFFI32Ea4NXKSJG/SYsVx&#10;ocSaPkrKz/urVZBdhsF87zamzXbHqTxettO/61apQb9bz0EE6sJ/+Nn+0greZxN4nIlHQC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CszvGAAAA3AAAAA8AAAAAAAAA&#10;AAAAAAAAoQIAAGRycy9kb3ducmV2LnhtbFBLBQYAAAAABAAEAPkAAACUAwAAAAA=&#10;" strokecolor="#231f20" strokeweight=".5pt"/>
                <w10:anchorlock/>
              </v:group>
            </w:pict>
          </mc:Fallback>
        </mc:AlternateContent>
      </w:r>
    </w:p>
    <w:p w14:paraId="52301A5C" w14:textId="77777777" w:rsidR="00DE575E" w:rsidRDefault="00DE575E">
      <w:pPr>
        <w:pStyle w:val="BodyText"/>
        <w:spacing w:before="7"/>
        <w:rPr>
          <w:rFonts w:ascii="AdonisC"/>
          <w:i/>
          <w:sz w:val="19"/>
        </w:rPr>
      </w:pPr>
    </w:p>
    <w:p w14:paraId="1A701557" w14:textId="77777777" w:rsidR="00DE575E" w:rsidRDefault="002E7560">
      <w:pPr>
        <w:pStyle w:val="Heading6"/>
        <w:numPr>
          <w:ilvl w:val="3"/>
          <w:numId w:val="175"/>
        </w:numPr>
        <w:tabs>
          <w:tab w:val="left" w:pos="1252"/>
        </w:tabs>
      </w:pPr>
      <w:r>
        <w:rPr>
          <w:color w:val="231F20"/>
        </w:rPr>
        <w:t>Інформування</w:t>
      </w:r>
      <w:r>
        <w:rPr>
          <w:color w:val="231F20"/>
          <w:spacing w:val="-2"/>
        </w:rPr>
        <w:t xml:space="preserve"> </w:t>
      </w:r>
      <w:r>
        <w:rPr>
          <w:color w:val="231F20"/>
        </w:rPr>
        <w:t>населення</w:t>
      </w:r>
    </w:p>
    <w:p w14:paraId="58EF5CE2" w14:textId="77777777" w:rsidR="00DE575E" w:rsidRDefault="002E7560">
      <w:pPr>
        <w:pStyle w:val="ListParagraph"/>
        <w:numPr>
          <w:ilvl w:val="0"/>
          <w:numId w:val="197"/>
        </w:numPr>
        <w:tabs>
          <w:tab w:val="left" w:pos="818"/>
        </w:tabs>
        <w:spacing w:before="12" w:line="252" w:lineRule="auto"/>
        <w:ind w:right="411" w:firstLine="283"/>
        <w:rPr>
          <w:sz w:val="21"/>
        </w:rPr>
      </w:pPr>
      <w:r>
        <w:rPr>
          <w:color w:val="231F20"/>
          <w:sz w:val="21"/>
        </w:rPr>
        <w:t>вагомий чинник реалізації такого принципу адміністратив- ного</w:t>
      </w:r>
      <w:r>
        <w:rPr>
          <w:color w:val="231F20"/>
          <w:spacing w:val="-8"/>
          <w:sz w:val="21"/>
        </w:rPr>
        <w:t xml:space="preserve"> </w:t>
      </w:r>
      <w:r>
        <w:rPr>
          <w:color w:val="231F20"/>
          <w:sz w:val="21"/>
        </w:rPr>
        <w:t>права,</w:t>
      </w:r>
      <w:r>
        <w:rPr>
          <w:color w:val="231F20"/>
          <w:spacing w:val="-8"/>
          <w:sz w:val="21"/>
        </w:rPr>
        <w:t xml:space="preserve"> </w:t>
      </w:r>
      <w:r>
        <w:rPr>
          <w:color w:val="231F20"/>
          <w:sz w:val="21"/>
        </w:rPr>
        <w:t>як</w:t>
      </w:r>
      <w:r>
        <w:rPr>
          <w:color w:val="231F20"/>
          <w:spacing w:val="-8"/>
          <w:sz w:val="21"/>
        </w:rPr>
        <w:t xml:space="preserve"> </w:t>
      </w:r>
      <w:r>
        <w:rPr>
          <w:color w:val="231F20"/>
          <w:sz w:val="21"/>
        </w:rPr>
        <w:t>забезпечення</w:t>
      </w:r>
      <w:r>
        <w:rPr>
          <w:color w:val="231F20"/>
          <w:spacing w:val="-8"/>
          <w:sz w:val="21"/>
        </w:rPr>
        <w:t xml:space="preserve"> </w:t>
      </w:r>
      <w:r>
        <w:rPr>
          <w:color w:val="231F20"/>
          <w:sz w:val="21"/>
        </w:rPr>
        <w:t>соціальної</w:t>
      </w:r>
      <w:r>
        <w:rPr>
          <w:color w:val="231F20"/>
          <w:spacing w:val="-8"/>
          <w:sz w:val="21"/>
        </w:rPr>
        <w:t xml:space="preserve"> </w:t>
      </w:r>
      <w:r>
        <w:rPr>
          <w:color w:val="231F20"/>
          <w:sz w:val="21"/>
        </w:rPr>
        <w:t>згуртованості</w:t>
      </w:r>
      <w:r>
        <w:rPr>
          <w:color w:val="231F20"/>
          <w:spacing w:val="-8"/>
          <w:sz w:val="21"/>
        </w:rPr>
        <w:t xml:space="preserve"> </w:t>
      </w:r>
      <w:r>
        <w:rPr>
          <w:color w:val="231F20"/>
          <w:sz w:val="21"/>
        </w:rPr>
        <w:t>й</w:t>
      </w:r>
      <w:r>
        <w:rPr>
          <w:color w:val="231F20"/>
          <w:spacing w:val="-9"/>
          <w:sz w:val="21"/>
        </w:rPr>
        <w:t xml:space="preserve"> </w:t>
      </w:r>
      <w:r>
        <w:rPr>
          <w:color w:val="231F20"/>
          <w:sz w:val="21"/>
        </w:rPr>
        <w:t xml:space="preserve">підзвітності. Згідно з ним через ЗМІ й Інтернет </w:t>
      </w:r>
      <w:r>
        <w:rPr>
          <w:color w:val="231F20"/>
          <w:spacing w:val="-3"/>
          <w:sz w:val="21"/>
        </w:rPr>
        <w:t xml:space="preserve">суб’єкти </w:t>
      </w:r>
      <w:r>
        <w:rPr>
          <w:color w:val="231F20"/>
          <w:sz w:val="21"/>
        </w:rPr>
        <w:t xml:space="preserve">публічної адміністрації мають висвітлювати свою адміністративну діяльність, доводити до населення необхідну їм інформацію нормативного і правореалізаці- йного </w:t>
      </w:r>
      <w:r>
        <w:rPr>
          <w:color w:val="231F20"/>
          <w:spacing w:val="-3"/>
          <w:sz w:val="21"/>
        </w:rPr>
        <w:t xml:space="preserve">характеру, </w:t>
      </w:r>
      <w:r>
        <w:rPr>
          <w:color w:val="231F20"/>
          <w:sz w:val="21"/>
        </w:rPr>
        <w:t xml:space="preserve">а посадові особи </w:t>
      </w:r>
      <w:r>
        <w:rPr>
          <w:color w:val="231F20"/>
          <w:spacing w:val="-3"/>
          <w:sz w:val="21"/>
        </w:rPr>
        <w:t xml:space="preserve">суб’єктів </w:t>
      </w:r>
      <w:r>
        <w:rPr>
          <w:color w:val="231F20"/>
          <w:sz w:val="21"/>
        </w:rPr>
        <w:t>публічної адміністрації зобов’язані звітувати перед</w:t>
      </w:r>
      <w:r>
        <w:rPr>
          <w:color w:val="231F20"/>
          <w:spacing w:val="-3"/>
          <w:sz w:val="21"/>
        </w:rPr>
        <w:t xml:space="preserve"> </w:t>
      </w:r>
      <w:r>
        <w:rPr>
          <w:color w:val="231F20"/>
          <w:sz w:val="21"/>
        </w:rPr>
        <w:t>громадя</w:t>
      </w:r>
      <w:r>
        <w:rPr>
          <w:color w:val="231F20"/>
          <w:sz w:val="21"/>
        </w:rPr>
        <w:t>нами</w:t>
      </w:r>
      <w:r>
        <w:rPr>
          <w:color w:val="231F20"/>
          <w:position w:val="7"/>
          <w:sz w:val="12"/>
        </w:rPr>
        <w:t>1</w:t>
      </w:r>
      <w:r>
        <w:rPr>
          <w:color w:val="231F20"/>
          <w:sz w:val="21"/>
        </w:rPr>
        <w:t>.</w:t>
      </w:r>
    </w:p>
    <w:p w14:paraId="71CB1F5E" w14:textId="77777777" w:rsidR="00DE575E" w:rsidRDefault="00DE575E">
      <w:pPr>
        <w:pStyle w:val="BodyText"/>
        <w:spacing w:before="5"/>
        <w:rPr>
          <w:sz w:val="22"/>
        </w:rPr>
      </w:pPr>
    </w:p>
    <w:p w14:paraId="187F4E1D" w14:textId="77777777" w:rsidR="00DE575E" w:rsidRDefault="002E7560">
      <w:pPr>
        <w:pStyle w:val="Heading6"/>
        <w:numPr>
          <w:ilvl w:val="3"/>
          <w:numId w:val="175"/>
        </w:numPr>
        <w:tabs>
          <w:tab w:val="left" w:pos="1252"/>
        </w:tabs>
        <w:spacing w:before="0"/>
      </w:pPr>
      <w:r>
        <w:rPr>
          <w:color w:val="231F20"/>
        </w:rPr>
        <w:t>Проведення</w:t>
      </w:r>
      <w:r>
        <w:rPr>
          <w:color w:val="231F20"/>
          <w:spacing w:val="-2"/>
        </w:rPr>
        <w:t xml:space="preserve"> </w:t>
      </w:r>
      <w:r>
        <w:rPr>
          <w:color w:val="231F20"/>
        </w:rPr>
        <w:t>перевірки</w:t>
      </w:r>
    </w:p>
    <w:p w14:paraId="66E476D7" w14:textId="77777777" w:rsidR="00DE575E" w:rsidRDefault="002E7560">
      <w:pPr>
        <w:pStyle w:val="BodyText"/>
        <w:spacing w:before="13" w:line="252" w:lineRule="auto"/>
        <w:ind w:left="250" w:right="411" w:firstLine="283"/>
        <w:jc w:val="both"/>
      </w:pPr>
      <w:r>
        <w:rPr>
          <w:color w:val="231F20"/>
        </w:rPr>
        <w:t>Різноманітні перевірки, що здійснюються суб’єктами публічної адміністрації, є одним із найбільш уживаних фактичних інструмен- тів публічного адміністрування.</w:t>
      </w:r>
    </w:p>
    <w:p w14:paraId="65AFFACF" w14:textId="77777777" w:rsidR="00DE575E" w:rsidRDefault="002E7560">
      <w:pPr>
        <w:pStyle w:val="BodyText"/>
        <w:spacing w:before="1" w:line="252" w:lineRule="auto"/>
        <w:ind w:left="250" w:right="412" w:firstLine="283"/>
        <w:jc w:val="both"/>
      </w:pPr>
      <w:r>
        <w:rPr>
          <w:color w:val="231F20"/>
        </w:rPr>
        <w:t>У процесі перевірки суб’єкти публічної адміністрації обстежують певний об’єкт з метою контролю, при цьому вони:</w:t>
      </w:r>
    </w:p>
    <w:p w14:paraId="2B35B5D6" w14:textId="77777777" w:rsidR="00DE575E" w:rsidRDefault="002E7560">
      <w:pPr>
        <w:pStyle w:val="ListParagraph"/>
        <w:numPr>
          <w:ilvl w:val="0"/>
          <w:numId w:val="197"/>
        </w:numPr>
        <w:tabs>
          <w:tab w:val="left" w:pos="818"/>
        </w:tabs>
        <w:spacing w:line="252" w:lineRule="auto"/>
        <w:ind w:right="412" w:firstLine="283"/>
        <w:rPr>
          <w:sz w:val="21"/>
        </w:rPr>
      </w:pPr>
      <w:r>
        <w:rPr>
          <w:color w:val="231F20"/>
          <w:sz w:val="21"/>
        </w:rPr>
        <w:t>з’ясовують правильність виконання законодавства особами, які</w:t>
      </w:r>
      <w:r>
        <w:rPr>
          <w:color w:val="231F20"/>
          <w:spacing w:val="-1"/>
          <w:sz w:val="21"/>
        </w:rPr>
        <w:t xml:space="preserve"> </w:t>
      </w:r>
      <w:r>
        <w:rPr>
          <w:color w:val="231F20"/>
          <w:sz w:val="21"/>
        </w:rPr>
        <w:t>перевіряються;</w:t>
      </w:r>
    </w:p>
    <w:p w14:paraId="468D9607" w14:textId="77777777" w:rsidR="00DE575E" w:rsidRDefault="002E7560">
      <w:pPr>
        <w:pStyle w:val="ListParagraph"/>
        <w:numPr>
          <w:ilvl w:val="0"/>
          <w:numId w:val="197"/>
        </w:numPr>
        <w:tabs>
          <w:tab w:val="left" w:pos="818"/>
        </w:tabs>
        <w:spacing w:line="252" w:lineRule="auto"/>
        <w:ind w:right="412" w:firstLine="283"/>
        <w:rPr>
          <w:sz w:val="21"/>
        </w:rPr>
      </w:pPr>
      <w:r>
        <w:rPr>
          <w:color w:val="231F20"/>
          <w:sz w:val="21"/>
        </w:rPr>
        <w:t xml:space="preserve">переконуються у правильності ведення публічних обліків та наявності </w:t>
      </w:r>
      <w:r>
        <w:rPr>
          <w:color w:val="231F20"/>
          <w:sz w:val="21"/>
        </w:rPr>
        <w:t>матеріальних цінностей;</w:t>
      </w:r>
    </w:p>
    <w:p w14:paraId="40C168BA" w14:textId="77777777" w:rsidR="00DE575E" w:rsidRDefault="002E7560">
      <w:pPr>
        <w:pStyle w:val="ListParagraph"/>
        <w:numPr>
          <w:ilvl w:val="0"/>
          <w:numId w:val="197"/>
        </w:numPr>
        <w:tabs>
          <w:tab w:val="left" w:pos="818"/>
        </w:tabs>
        <w:spacing w:line="252" w:lineRule="auto"/>
        <w:ind w:right="411" w:firstLine="283"/>
        <w:rPr>
          <w:sz w:val="21"/>
        </w:rPr>
      </w:pPr>
      <w:r>
        <w:rPr>
          <w:color w:val="231F20"/>
          <w:sz w:val="21"/>
        </w:rPr>
        <w:t xml:space="preserve">здійснюють аналіз </w:t>
      </w:r>
      <w:r>
        <w:rPr>
          <w:color w:val="231F20"/>
          <w:spacing w:val="-3"/>
          <w:sz w:val="21"/>
        </w:rPr>
        <w:t xml:space="preserve">результатів </w:t>
      </w:r>
      <w:r>
        <w:rPr>
          <w:color w:val="231F20"/>
          <w:sz w:val="21"/>
        </w:rPr>
        <w:t xml:space="preserve">перевірки і складають про це </w:t>
      </w:r>
      <w:r>
        <w:rPr>
          <w:color w:val="231F20"/>
          <w:spacing w:val="-4"/>
          <w:sz w:val="21"/>
        </w:rPr>
        <w:t>звіт.</w:t>
      </w:r>
    </w:p>
    <w:p w14:paraId="56DB8DC5" w14:textId="77777777" w:rsidR="00DE575E" w:rsidRDefault="002E7560">
      <w:pPr>
        <w:pStyle w:val="BodyText"/>
        <w:spacing w:before="1" w:line="252" w:lineRule="auto"/>
        <w:ind w:left="250" w:right="407" w:firstLine="283"/>
        <w:jc w:val="both"/>
      </w:pPr>
      <w:r>
        <w:rPr>
          <w:color w:val="231F20"/>
        </w:rPr>
        <w:t xml:space="preserve">На сьогодні понад 600 чинних нормативних актів прямо присвя- чено проблематиці проведення перевірки в різноманітних сферах суспільного життя. Аналізувати їх усі немає </w:t>
      </w:r>
      <w:r>
        <w:rPr>
          <w:color w:val="231F20"/>
        </w:rPr>
        <w:t>потреби, тому зверне- мося до найбільш актуального з них – Постанови Кабінет Мініст- рів України від 24.05.2017 р. № 361 «Деякі питання проведення перевірок органів державного нагляду (контролю)», що визначає процедуру проведення Державною регуляторною слу</w:t>
      </w:r>
      <w:r>
        <w:rPr>
          <w:color w:val="231F20"/>
        </w:rPr>
        <w:t>жбою переві- рок у сфері господарської діяльності. При цьому ретельно пропису- ються підстави, предмет і процедурні питання здійснення плано- вих</w:t>
      </w:r>
      <w:r>
        <w:rPr>
          <w:color w:val="231F20"/>
          <w:spacing w:val="10"/>
        </w:rPr>
        <w:t xml:space="preserve"> </w:t>
      </w:r>
      <w:r>
        <w:rPr>
          <w:color w:val="231F20"/>
        </w:rPr>
        <w:t>і</w:t>
      </w:r>
      <w:r>
        <w:rPr>
          <w:color w:val="231F20"/>
          <w:spacing w:val="10"/>
        </w:rPr>
        <w:t xml:space="preserve"> </w:t>
      </w:r>
      <w:r>
        <w:rPr>
          <w:color w:val="231F20"/>
        </w:rPr>
        <w:t>у</w:t>
      </w:r>
      <w:r>
        <w:rPr>
          <w:color w:val="231F20"/>
          <w:spacing w:val="10"/>
        </w:rPr>
        <w:t xml:space="preserve"> </w:t>
      </w:r>
      <w:r>
        <w:rPr>
          <w:color w:val="231F20"/>
        </w:rPr>
        <w:t>виняткових</w:t>
      </w:r>
      <w:r>
        <w:rPr>
          <w:color w:val="231F20"/>
          <w:spacing w:val="10"/>
        </w:rPr>
        <w:t xml:space="preserve"> </w:t>
      </w:r>
      <w:r>
        <w:rPr>
          <w:color w:val="231F20"/>
        </w:rPr>
        <w:t>випадках</w:t>
      </w:r>
      <w:r>
        <w:rPr>
          <w:color w:val="231F20"/>
          <w:spacing w:val="10"/>
        </w:rPr>
        <w:t xml:space="preserve"> </w:t>
      </w:r>
      <w:r>
        <w:rPr>
          <w:color w:val="231F20"/>
        </w:rPr>
        <w:t>–</w:t>
      </w:r>
      <w:r>
        <w:rPr>
          <w:color w:val="231F20"/>
          <w:spacing w:val="10"/>
        </w:rPr>
        <w:t xml:space="preserve"> </w:t>
      </w:r>
      <w:r>
        <w:rPr>
          <w:color w:val="231F20"/>
        </w:rPr>
        <w:t>позапланових</w:t>
      </w:r>
      <w:r>
        <w:rPr>
          <w:color w:val="231F20"/>
          <w:spacing w:val="10"/>
        </w:rPr>
        <w:t xml:space="preserve"> </w:t>
      </w:r>
      <w:r>
        <w:rPr>
          <w:color w:val="231F20"/>
        </w:rPr>
        <w:t>перевірок,</w:t>
      </w:r>
      <w:r>
        <w:rPr>
          <w:color w:val="231F20"/>
          <w:spacing w:val="10"/>
        </w:rPr>
        <w:t xml:space="preserve"> </w:t>
      </w:r>
      <w:r>
        <w:rPr>
          <w:color w:val="231F20"/>
        </w:rPr>
        <w:t>щоб</w:t>
      </w:r>
      <w:r>
        <w:rPr>
          <w:color w:val="231F20"/>
          <w:spacing w:val="10"/>
        </w:rPr>
        <w:t xml:space="preserve"> </w:t>
      </w:r>
      <w:r>
        <w:rPr>
          <w:color w:val="231F20"/>
        </w:rPr>
        <w:t>не</w:t>
      </w:r>
    </w:p>
    <w:p w14:paraId="3FDAB57A" w14:textId="77777777" w:rsidR="00DE575E" w:rsidRDefault="00DE575E">
      <w:pPr>
        <w:pStyle w:val="BodyText"/>
        <w:rPr>
          <w:sz w:val="20"/>
        </w:rPr>
      </w:pPr>
    </w:p>
    <w:p w14:paraId="4470ED46" w14:textId="23C4F24B" w:rsidR="00DE575E" w:rsidRDefault="002E7560">
      <w:pPr>
        <w:pStyle w:val="BodyText"/>
        <w:spacing w:before="4"/>
        <w:rPr>
          <w:sz w:val="14"/>
        </w:rPr>
      </w:pPr>
      <w:r>
        <w:rPr>
          <w:noProof/>
        </w:rPr>
        <mc:AlternateContent>
          <mc:Choice Requires="wps">
            <w:drawing>
              <wp:anchor distT="0" distB="0" distL="0" distR="0" simplePos="0" relativeHeight="10120" behindDoc="0" locked="0" layoutInCell="1" allowOverlap="1" wp14:anchorId="1887321E" wp14:editId="30F78C0F">
                <wp:simplePos x="0" y="0"/>
                <wp:positionH relativeFrom="page">
                  <wp:posOffset>539750</wp:posOffset>
                </wp:positionH>
                <wp:positionV relativeFrom="paragraph">
                  <wp:posOffset>134620</wp:posOffset>
                </wp:positionV>
                <wp:extent cx="1080135" cy="0"/>
                <wp:effectExtent l="6350" t="7620" r="31115" b="30480"/>
                <wp:wrapTopAndBottom/>
                <wp:docPr id="780"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083D8" id="Line_x0020_779" o:spid="_x0000_s1026" style="position:absolute;z-index:10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6pt" to="127.55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" strokecolor="#231f20" strokeweight=".5pt">
                <w10:wrap type="topAndBottom" anchorx="page"/>
              </v:line>
            </w:pict>
          </mc:Fallback>
        </mc:AlternateContent>
      </w:r>
    </w:p>
    <w:p w14:paraId="3B4B7C1C" w14:textId="77777777" w:rsidR="00DE575E" w:rsidRDefault="002E7560">
      <w:pPr>
        <w:spacing w:line="204" w:lineRule="auto"/>
        <w:ind w:left="250" w:right="411"/>
        <w:jc w:val="both"/>
        <w:rPr>
          <w:i/>
          <w:sz w:val="16"/>
        </w:rPr>
      </w:pPr>
      <w:r>
        <w:rPr>
          <w:color w:val="231F20"/>
          <w:position w:val="5"/>
          <w:sz w:val="9"/>
        </w:rPr>
        <w:t xml:space="preserve">1 </w:t>
      </w:r>
      <w:r>
        <w:rPr>
          <w:i/>
          <w:color w:val="231F20"/>
          <w:sz w:val="16"/>
          <w:u w:val="single" w:color="231F20"/>
        </w:rPr>
        <w:t>Приклади:</w:t>
      </w:r>
      <w:r>
        <w:rPr>
          <w:i/>
          <w:color w:val="231F20"/>
          <w:sz w:val="16"/>
        </w:rPr>
        <w:t xml:space="preserve"> 1. Міністерство охорони здоров’я України інформувало населення про поши- рення коронавірусної інфекції </w:t>
      </w:r>
      <w:r>
        <w:rPr>
          <w:i/>
          <w:color w:val="231F20"/>
          <w:spacing w:val="-3"/>
          <w:sz w:val="16"/>
        </w:rPr>
        <w:t xml:space="preserve">2019-nCoV.  </w:t>
      </w:r>
      <w:r>
        <w:rPr>
          <w:i/>
          <w:color w:val="231F20"/>
          <w:sz w:val="16"/>
        </w:rPr>
        <w:t xml:space="preserve">Зокрема  8  лютого  2020 р.  </w:t>
      </w:r>
      <w:r>
        <w:rPr>
          <w:i/>
          <w:color w:val="231F20"/>
          <w:spacing w:val="-3"/>
          <w:sz w:val="16"/>
        </w:rPr>
        <w:t xml:space="preserve">було  </w:t>
      </w:r>
      <w:r>
        <w:rPr>
          <w:i/>
          <w:color w:val="231F20"/>
          <w:sz w:val="16"/>
        </w:rPr>
        <w:t>опубліковано, що станом на 8 лютого 2020 року у світі лабораторно підтверджено 34 909 випадків гострої</w:t>
      </w:r>
      <w:r>
        <w:rPr>
          <w:i/>
          <w:color w:val="231F20"/>
          <w:spacing w:val="-7"/>
          <w:sz w:val="16"/>
        </w:rPr>
        <w:t xml:space="preserve"> </w:t>
      </w:r>
      <w:r>
        <w:rPr>
          <w:i/>
          <w:color w:val="231F20"/>
          <w:sz w:val="16"/>
        </w:rPr>
        <w:t>ре</w:t>
      </w:r>
      <w:r>
        <w:rPr>
          <w:i/>
          <w:color w:val="231F20"/>
          <w:sz w:val="16"/>
        </w:rPr>
        <w:t>спіраторної</w:t>
      </w:r>
      <w:r>
        <w:rPr>
          <w:i/>
          <w:color w:val="231F20"/>
          <w:spacing w:val="-7"/>
          <w:sz w:val="16"/>
        </w:rPr>
        <w:t xml:space="preserve"> </w:t>
      </w:r>
      <w:r>
        <w:rPr>
          <w:i/>
          <w:color w:val="231F20"/>
          <w:sz w:val="16"/>
        </w:rPr>
        <w:t>хвороби,</w:t>
      </w:r>
      <w:r>
        <w:rPr>
          <w:i/>
          <w:color w:val="231F20"/>
          <w:spacing w:val="-7"/>
          <w:sz w:val="16"/>
        </w:rPr>
        <w:t xml:space="preserve"> </w:t>
      </w:r>
      <w:r>
        <w:rPr>
          <w:i/>
          <w:color w:val="231F20"/>
          <w:sz w:val="16"/>
        </w:rPr>
        <w:t>спричиненої</w:t>
      </w:r>
      <w:r>
        <w:rPr>
          <w:i/>
          <w:color w:val="231F20"/>
          <w:spacing w:val="-7"/>
          <w:sz w:val="16"/>
        </w:rPr>
        <w:t xml:space="preserve"> </w:t>
      </w:r>
      <w:r>
        <w:rPr>
          <w:i/>
          <w:color w:val="231F20"/>
          <w:sz w:val="16"/>
        </w:rPr>
        <w:t>коронавірусом</w:t>
      </w:r>
      <w:r>
        <w:rPr>
          <w:i/>
          <w:color w:val="231F20"/>
          <w:spacing w:val="-7"/>
          <w:sz w:val="16"/>
        </w:rPr>
        <w:t xml:space="preserve"> </w:t>
      </w:r>
      <w:r>
        <w:rPr>
          <w:i/>
          <w:color w:val="231F20"/>
          <w:spacing w:val="-3"/>
          <w:sz w:val="16"/>
        </w:rPr>
        <w:t>2019-nCoV,</w:t>
      </w:r>
      <w:r>
        <w:rPr>
          <w:i/>
          <w:color w:val="231F20"/>
          <w:spacing w:val="-7"/>
          <w:sz w:val="16"/>
        </w:rPr>
        <w:t xml:space="preserve"> </w:t>
      </w:r>
      <w:r>
        <w:rPr>
          <w:i/>
          <w:color w:val="231F20"/>
          <w:sz w:val="16"/>
        </w:rPr>
        <w:t>з</w:t>
      </w:r>
      <w:r>
        <w:rPr>
          <w:i/>
          <w:color w:val="231F20"/>
          <w:spacing w:val="-7"/>
          <w:sz w:val="16"/>
        </w:rPr>
        <w:t xml:space="preserve"> </w:t>
      </w:r>
      <w:r>
        <w:rPr>
          <w:i/>
          <w:color w:val="231F20"/>
          <w:sz w:val="16"/>
        </w:rPr>
        <w:t>них</w:t>
      </w:r>
      <w:r>
        <w:rPr>
          <w:i/>
          <w:color w:val="231F20"/>
          <w:spacing w:val="-7"/>
          <w:sz w:val="16"/>
        </w:rPr>
        <w:t xml:space="preserve"> </w:t>
      </w:r>
      <w:r>
        <w:rPr>
          <w:i/>
          <w:color w:val="231F20"/>
          <w:sz w:val="16"/>
        </w:rPr>
        <w:t>724</w:t>
      </w:r>
      <w:r>
        <w:rPr>
          <w:i/>
          <w:color w:val="231F20"/>
          <w:spacing w:val="-7"/>
          <w:sz w:val="16"/>
        </w:rPr>
        <w:t xml:space="preserve"> </w:t>
      </w:r>
      <w:r>
        <w:rPr>
          <w:i/>
          <w:color w:val="231F20"/>
          <w:sz w:val="16"/>
        </w:rPr>
        <w:t xml:space="preserve">закінчились смертю та розкрито заходи щодо попередження захворювань серед громадян України. Урядовий портал. </w:t>
      </w:r>
      <w:hyperlink r:id="rId38">
        <w:r>
          <w:rPr>
            <w:i/>
            <w:color w:val="231F20"/>
            <w:sz w:val="16"/>
          </w:rPr>
          <w:t>https://www</w:t>
        </w:r>
      </w:hyperlink>
      <w:r>
        <w:rPr>
          <w:i/>
          <w:color w:val="231F20"/>
          <w:sz w:val="16"/>
        </w:rPr>
        <w:t>.kmu.gov</w:t>
      </w:r>
      <w:hyperlink r:id="rId39">
        <w:r>
          <w:rPr>
            <w:i/>
            <w:color w:val="231F20"/>
            <w:sz w:val="16"/>
          </w:rPr>
          <w:t>.ua/news/moz-nadaye-operativnu-informaciyu-pro-</w:t>
        </w:r>
      </w:hyperlink>
      <w:r>
        <w:rPr>
          <w:i/>
          <w:color w:val="231F20"/>
          <w:sz w:val="16"/>
        </w:rPr>
        <w:t xml:space="preserve"> poshirennya-koronavirusnoyi-infekciyi-2019-ncov; 2. Звернення Президента Володимира Зеленського</w:t>
      </w:r>
      <w:r>
        <w:rPr>
          <w:i/>
          <w:color w:val="231F20"/>
          <w:spacing w:val="-6"/>
          <w:sz w:val="16"/>
        </w:rPr>
        <w:t xml:space="preserve"> </w:t>
      </w:r>
      <w:r>
        <w:rPr>
          <w:i/>
          <w:color w:val="231F20"/>
          <w:sz w:val="16"/>
        </w:rPr>
        <w:t>що</w:t>
      </w:r>
      <w:r>
        <w:rPr>
          <w:i/>
          <w:color w:val="231F20"/>
          <w:sz w:val="16"/>
        </w:rPr>
        <w:t>до</w:t>
      </w:r>
      <w:r>
        <w:rPr>
          <w:i/>
          <w:color w:val="231F20"/>
          <w:spacing w:val="-6"/>
          <w:sz w:val="16"/>
        </w:rPr>
        <w:t xml:space="preserve"> </w:t>
      </w:r>
      <w:r>
        <w:rPr>
          <w:i/>
          <w:color w:val="231F20"/>
          <w:sz w:val="16"/>
        </w:rPr>
        <w:t>заходів</w:t>
      </w:r>
      <w:r>
        <w:rPr>
          <w:i/>
          <w:color w:val="231F20"/>
          <w:spacing w:val="-7"/>
          <w:sz w:val="16"/>
        </w:rPr>
        <w:t xml:space="preserve"> </w:t>
      </w:r>
      <w:r>
        <w:rPr>
          <w:i/>
          <w:color w:val="231F20"/>
          <w:sz w:val="16"/>
        </w:rPr>
        <w:t>з</w:t>
      </w:r>
      <w:r>
        <w:rPr>
          <w:i/>
          <w:color w:val="231F20"/>
          <w:spacing w:val="-6"/>
          <w:sz w:val="16"/>
        </w:rPr>
        <w:t xml:space="preserve"> </w:t>
      </w:r>
      <w:r>
        <w:rPr>
          <w:i/>
          <w:color w:val="231F20"/>
          <w:sz w:val="16"/>
        </w:rPr>
        <w:t>протидії</w:t>
      </w:r>
      <w:r>
        <w:rPr>
          <w:i/>
          <w:color w:val="231F20"/>
          <w:spacing w:val="-6"/>
          <w:sz w:val="16"/>
        </w:rPr>
        <w:t xml:space="preserve"> </w:t>
      </w:r>
      <w:r>
        <w:rPr>
          <w:i/>
          <w:color w:val="231F20"/>
          <w:sz w:val="16"/>
        </w:rPr>
        <w:t>поширенню</w:t>
      </w:r>
      <w:r>
        <w:rPr>
          <w:i/>
          <w:color w:val="231F20"/>
          <w:spacing w:val="-7"/>
          <w:sz w:val="16"/>
        </w:rPr>
        <w:t xml:space="preserve"> </w:t>
      </w:r>
      <w:r>
        <w:rPr>
          <w:i/>
          <w:color w:val="231F20"/>
          <w:sz w:val="16"/>
        </w:rPr>
        <w:t>коронавірусу</w:t>
      </w:r>
      <w:r>
        <w:rPr>
          <w:i/>
          <w:color w:val="231F20"/>
          <w:spacing w:val="-6"/>
          <w:sz w:val="16"/>
        </w:rPr>
        <w:t xml:space="preserve"> </w:t>
      </w:r>
      <w:r>
        <w:rPr>
          <w:i/>
          <w:color w:val="231F20"/>
          <w:sz w:val="16"/>
        </w:rPr>
        <w:t>в</w:t>
      </w:r>
      <w:r>
        <w:rPr>
          <w:i/>
          <w:color w:val="231F20"/>
          <w:spacing w:val="-6"/>
          <w:sz w:val="16"/>
        </w:rPr>
        <w:t xml:space="preserve"> </w:t>
      </w:r>
      <w:r>
        <w:rPr>
          <w:i/>
          <w:color w:val="231F20"/>
          <w:sz w:val="16"/>
        </w:rPr>
        <w:t>Україні:</w:t>
      </w:r>
      <w:r>
        <w:rPr>
          <w:i/>
          <w:color w:val="231F20"/>
          <w:spacing w:val="-7"/>
          <w:sz w:val="16"/>
        </w:rPr>
        <w:t xml:space="preserve"> </w:t>
      </w:r>
      <w:r>
        <w:rPr>
          <w:i/>
          <w:color w:val="231F20"/>
          <w:sz w:val="16"/>
        </w:rPr>
        <w:t>Президент</w:t>
      </w:r>
      <w:r>
        <w:rPr>
          <w:i/>
          <w:color w:val="231F20"/>
          <w:spacing w:val="-6"/>
          <w:sz w:val="16"/>
        </w:rPr>
        <w:t xml:space="preserve"> </w:t>
      </w:r>
      <w:r>
        <w:rPr>
          <w:i/>
          <w:color w:val="231F20"/>
          <w:sz w:val="16"/>
        </w:rPr>
        <w:t xml:space="preserve">України. </w:t>
      </w:r>
      <w:r>
        <w:rPr>
          <w:i/>
          <w:color w:val="231F20"/>
          <w:spacing w:val="3"/>
          <w:sz w:val="16"/>
        </w:rPr>
        <w:t>https://</w:t>
      </w:r>
      <w:hyperlink r:id="rId40">
        <w:r>
          <w:rPr>
            <w:i/>
            <w:color w:val="231F20"/>
            <w:spacing w:val="3"/>
            <w:sz w:val="16"/>
          </w:rPr>
          <w:t>www.president.gov.ua/news/zvernennya-prezidenta-volodimira-zelenskogo-shodo-</w:t>
        </w:r>
      </w:hyperlink>
      <w:r>
        <w:rPr>
          <w:i/>
          <w:color w:val="231F20"/>
          <w:spacing w:val="3"/>
          <w:sz w:val="16"/>
        </w:rPr>
        <w:t xml:space="preserve"> </w:t>
      </w:r>
      <w:r>
        <w:rPr>
          <w:i/>
          <w:color w:val="231F20"/>
          <w:sz w:val="16"/>
        </w:rPr>
        <w:t>zahodiv-z-60161</w:t>
      </w:r>
    </w:p>
    <w:p w14:paraId="59E5044E" w14:textId="77777777" w:rsidR="00DE575E" w:rsidRDefault="00DE575E">
      <w:pPr>
        <w:pStyle w:val="BodyText"/>
        <w:spacing w:before="6"/>
        <w:rPr>
          <w:i/>
          <w:sz w:val="12"/>
        </w:rPr>
      </w:pPr>
    </w:p>
    <w:p w14:paraId="41E2FEC6" w14:textId="77777777" w:rsidR="00DE575E" w:rsidRDefault="002E7560">
      <w:pPr>
        <w:spacing w:before="91"/>
        <w:ind w:right="411"/>
        <w:jc w:val="right"/>
        <w:rPr>
          <w:rFonts w:ascii="Times New Roman"/>
          <w:sz w:val="20"/>
        </w:rPr>
      </w:pPr>
      <w:r>
        <w:rPr>
          <w:rFonts w:ascii="Times New Roman"/>
          <w:color w:val="231F20"/>
          <w:w w:val="90"/>
          <w:sz w:val="20"/>
        </w:rPr>
        <w:t>249</w:t>
      </w:r>
    </w:p>
    <w:p w14:paraId="3C54D4F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D7BA65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BA8DC1A" w14:textId="5E864B1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59A5A47" wp14:editId="3181E04A">
                <wp:extent cx="4140200" cy="6350"/>
                <wp:effectExtent l="0" t="0" r="12700" b="6350"/>
                <wp:docPr id="778"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79" name="Line 7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27A6A9" id="Group_x0020_7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M0TdB/AgAAmAUAAA4A&#10;AAAAAAAAAAAAAAAALAIAAGRycy9lMm9Eb2MueG1sUEsBAi0AFAAGAAgAAAAhAEynsJDZAAAAAwEA&#10;AA8AAAAAAAAAAAAAAAAA1wQAAGRycy9kb3ducmV2LnhtbFBLBQYAAAAABAAEAPMAAADdBQAAAAA=&#10;">
                <v:line id="Line_x0020_7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NRbcYAAADcAAAADwAAAGRycy9kb3ducmV2LnhtbESP0WrCQBRE3wv+w3IFX0rdqFBrdBUp&#10;FEoftDX9gGv2mgR378bsaqJf7wqFPg4zc4ZZrDprxIUaXzlWMBomIIhzpysuFPxmHy9vIHxA1mgc&#10;k4IreVgte08LTLVr+Ycuu1CICGGfooIyhDqV0uclWfRDVxNH7+AaiyHKppC6wTbCrZHjJHmVFiuO&#10;CyXW9F5SftydrYLs9BzM9/bLtNl2P5H702ZyO2+UGvS79RxEoC78h//an1rBdDqD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zUW3GAAAA3AAAAA8AAAAAAAAA&#10;AAAAAAAAoQIAAGRycy9kb3ducmV2LnhtbFBLBQYAAAAABAAEAPkAAACUAwAAAAA=&#10;" strokecolor="#231f20" strokeweight=".5pt"/>
                <w10:anchorlock/>
              </v:group>
            </w:pict>
          </mc:Fallback>
        </mc:AlternateContent>
      </w:r>
    </w:p>
    <w:p w14:paraId="0810A764" w14:textId="77777777" w:rsidR="00DE575E" w:rsidRDefault="00DE575E">
      <w:pPr>
        <w:pStyle w:val="BodyText"/>
        <w:spacing w:before="7"/>
        <w:rPr>
          <w:rFonts w:ascii="AdonisC"/>
          <w:i/>
          <w:sz w:val="11"/>
        </w:rPr>
      </w:pPr>
    </w:p>
    <w:p w14:paraId="01F267EC" w14:textId="77777777" w:rsidR="00DE575E" w:rsidRDefault="002E7560">
      <w:pPr>
        <w:pStyle w:val="BodyText"/>
        <w:spacing w:before="101" w:line="252" w:lineRule="auto"/>
        <w:ind w:left="533"/>
      </w:pPr>
      <w:r>
        <w:rPr>
          <w:color w:val="231F20"/>
        </w:rPr>
        <w:t>припустити з боку органів-перевірювачів корупційних чи інших протиправних дій</w:t>
      </w:r>
      <w:r>
        <w:rPr>
          <w:color w:val="231F20"/>
          <w:position w:val="7"/>
          <w:sz w:val="12"/>
        </w:rPr>
        <w:t>1</w:t>
      </w:r>
      <w:r>
        <w:rPr>
          <w:color w:val="231F20"/>
        </w:rPr>
        <w:t>.</w:t>
      </w:r>
    </w:p>
    <w:p w14:paraId="4B896BE0" w14:textId="77777777" w:rsidR="00DE575E" w:rsidRDefault="002E7560">
      <w:pPr>
        <w:pStyle w:val="Heading5"/>
        <w:spacing w:before="1" w:line="252" w:lineRule="auto"/>
        <w:ind w:right="126" w:firstLine="283"/>
        <w:jc w:val="both"/>
      </w:pPr>
      <w:r>
        <w:rPr>
          <w:color w:val="231F20"/>
        </w:rPr>
        <w:t>Отже, проведення перевірки як інструмент публічного адмі- ністрування –  це  засіб  адміністративної  діяльності  публіч- ної адміністрації</w:t>
      </w:r>
      <w:r>
        <w:rPr>
          <w:color w:val="231F20"/>
        </w:rPr>
        <w:t xml:space="preserve"> щодо обстеження підконтрольного об’єкта з метою з’ясовування дотримання приватними особами диспози- цій заборонних норм, правильності ведення публічних обліків та наявності матеріальних цінностей, що здійснюються відпо- відно до наданої компетенції, ретел</w:t>
      </w:r>
      <w:r>
        <w:rPr>
          <w:color w:val="231F20"/>
        </w:rPr>
        <w:t>ьно прописаних підстав, предмета і процедурних дій, за допомогою планових і у винят- кових випадках – позапланових перевірок, щоб не припустити  з боку органів-перевірювачів корупційних чи інших проти- правних</w:t>
      </w:r>
      <w:r>
        <w:rPr>
          <w:color w:val="231F20"/>
          <w:spacing w:val="3"/>
        </w:rPr>
        <w:t xml:space="preserve"> </w:t>
      </w:r>
      <w:r>
        <w:rPr>
          <w:color w:val="231F20"/>
        </w:rPr>
        <w:t>дій.</w:t>
      </w:r>
    </w:p>
    <w:p w14:paraId="71FC517B" w14:textId="77777777" w:rsidR="00DE575E" w:rsidRDefault="00DE575E">
      <w:pPr>
        <w:pStyle w:val="BodyText"/>
        <w:spacing w:before="6"/>
        <w:rPr>
          <w:b/>
          <w:sz w:val="22"/>
        </w:rPr>
      </w:pPr>
    </w:p>
    <w:p w14:paraId="77CEDC1C" w14:textId="77777777" w:rsidR="00DE575E" w:rsidRDefault="002E7560">
      <w:pPr>
        <w:pStyle w:val="Heading6"/>
        <w:numPr>
          <w:ilvl w:val="3"/>
          <w:numId w:val="174"/>
        </w:numPr>
        <w:tabs>
          <w:tab w:val="left" w:pos="1592"/>
        </w:tabs>
        <w:spacing w:before="0" w:line="252" w:lineRule="auto"/>
        <w:ind w:right="126" w:firstLine="284"/>
        <w:jc w:val="both"/>
      </w:pPr>
      <w:r>
        <w:rPr>
          <w:color w:val="231F20"/>
        </w:rPr>
        <w:t>Здійснення моніторингу як інструмент пуб</w:t>
      </w:r>
      <w:r>
        <w:rPr>
          <w:color w:val="231F20"/>
        </w:rPr>
        <w:t xml:space="preserve">лічного </w:t>
      </w:r>
      <w:r>
        <w:rPr>
          <w:color w:val="231F20"/>
        </w:rPr>
        <w:t>адміністрування</w:t>
      </w:r>
    </w:p>
    <w:p w14:paraId="55DF04E6" w14:textId="77777777" w:rsidR="00DE575E" w:rsidRDefault="002E7560">
      <w:pPr>
        <w:pStyle w:val="ListParagraph"/>
        <w:numPr>
          <w:ilvl w:val="1"/>
          <w:numId w:val="197"/>
        </w:numPr>
        <w:tabs>
          <w:tab w:val="left" w:pos="1101"/>
        </w:tabs>
        <w:spacing w:line="252" w:lineRule="auto"/>
        <w:ind w:right="128" w:firstLine="284"/>
        <w:rPr>
          <w:sz w:val="21"/>
        </w:rPr>
      </w:pPr>
      <w:r>
        <w:rPr>
          <w:color w:val="231F20"/>
          <w:sz w:val="21"/>
        </w:rPr>
        <w:t xml:space="preserve">це комплекс взаємопов’язаних заходів технічного, організа- ційного та правового </w:t>
      </w:r>
      <w:r>
        <w:rPr>
          <w:color w:val="231F20"/>
          <w:spacing w:val="-3"/>
          <w:sz w:val="21"/>
        </w:rPr>
        <w:t xml:space="preserve">характеру, </w:t>
      </w:r>
      <w:r>
        <w:rPr>
          <w:color w:val="231F20"/>
          <w:sz w:val="21"/>
        </w:rPr>
        <w:t xml:space="preserve">що здійснюється уповноваженими на це </w:t>
      </w:r>
      <w:r>
        <w:rPr>
          <w:color w:val="231F20"/>
          <w:spacing w:val="-3"/>
          <w:sz w:val="21"/>
        </w:rPr>
        <w:t xml:space="preserve">суб’єктами </w:t>
      </w:r>
      <w:r>
        <w:rPr>
          <w:color w:val="231F20"/>
          <w:sz w:val="21"/>
        </w:rPr>
        <w:t xml:space="preserve">публічної адміністрації для отримання, </w:t>
      </w:r>
      <w:r>
        <w:rPr>
          <w:color w:val="231F20"/>
          <w:spacing w:val="-3"/>
          <w:sz w:val="21"/>
        </w:rPr>
        <w:t xml:space="preserve">аналізу, </w:t>
      </w:r>
      <w:r>
        <w:rPr>
          <w:color w:val="231F20"/>
          <w:sz w:val="21"/>
        </w:rPr>
        <w:t xml:space="preserve">зберігання та використання інформації про визначені </w:t>
      </w:r>
      <w:r>
        <w:rPr>
          <w:color w:val="231F20"/>
          <w:spacing w:val="-4"/>
          <w:sz w:val="21"/>
        </w:rPr>
        <w:t xml:space="preserve">об’єкти </w:t>
      </w:r>
      <w:r>
        <w:rPr>
          <w:color w:val="231F20"/>
          <w:sz w:val="21"/>
        </w:rPr>
        <w:t xml:space="preserve">моні- </w:t>
      </w:r>
      <w:r>
        <w:rPr>
          <w:color w:val="231F20"/>
          <w:spacing w:val="-3"/>
          <w:sz w:val="21"/>
        </w:rPr>
        <w:t>торингу.</w:t>
      </w:r>
    </w:p>
    <w:p w14:paraId="67CBC697" w14:textId="77777777" w:rsidR="00DE575E" w:rsidRDefault="002E7560">
      <w:pPr>
        <w:pStyle w:val="BodyText"/>
        <w:spacing w:before="3" w:line="252" w:lineRule="auto"/>
        <w:ind w:left="533" w:right="127" w:firstLine="283"/>
        <w:jc w:val="both"/>
      </w:pPr>
      <w:r>
        <w:rPr>
          <w:color w:val="231F20"/>
        </w:rPr>
        <w:t>В</w:t>
      </w:r>
      <w:r>
        <w:rPr>
          <w:color w:val="231F20"/>
          <w:spacing w:val="-15"/>
        </w:rPr>
        <w:t xml:space="preserve"> </w:t>
      </w:r>
      <w:r>
        <w:rPr>
          <w:color w:val="231F20"/>
        </w:rPr>
        <w:t>умовах</w:t>
      </w:r>
      <w:r>
        <w:rPr>
          <w:color w:val="231F20"/>
          <w:spacing w:val="-15"/>
        </w:rPr>
        <w:t xml:space="preserve"> </w:t>
      </w:r>
      <w:r>
        <w:rPr>
          <w:color w:val="231F20"/>
        </w:rPr>
        <w:t>сьогодення</w:t>
      </w:r>
      <w:r>
        <w:rPr>
          <w:color w:val="231F20"/>
          <w:spacing w:val="-15"/>
        </w:rPr>
        <w:t xml:space="preserve"> </w:t>
      </w:r>
      <w:r>
        <w:rPr>
          <w:color w:val="231F20"/>
          <w:spacing w:val="-3"/>
        </w:rPr>
        <w:t>об’єктами</w:t>
      </w:r>
      <w:r>
        <w:rPr>
          <w:color w:val="231F20"/>
          <w:spacing w:val="-15"/>
        </w:rPr>
        <w:t xml:space="preserve"> </w:t>
      </w:r>
      <w:r>
        <w:rPr>
          <w:color w:val="231F20"/>
        </w:rPr>
        <w:t>моніторингу</w:t>
      </w:r>
      <w:r>
        <w:rPr>
          <w:color w:val="231F20"/>
          <w:spacing w:val="-15"/>
        </w:rPr>
        <w:t xml:space="preserve"> </w:t>
      </w:r>
      <w:r>
        <w:rPr>
          <w:color w:val="231F20"/>
        </w:rPr>
        <w:t>зокрема</w:t>
      </w:r>
      <w:r>
        <w:rPr>
          <w:color w:val="231F20"/>
          <w:spacing w:val="-15"/>
        </w:rPr>
        <w:t xml:space="preserve"> </w:t>
      </w:r>
      <w:r>
        <w:rPr>
          <w:color w:val="231F20"/>
        </w:rPr>
        <w:t>є</w:t>
      </w:r>
      <w:r>
        <w:rPr>
          <w:color w:val="231F20"/>
          <w:spacing w:val="-15"/>
        </w:rPr>
        <w:t xml:space="preserve"> </w:t>
      </w:r>
      <w:r>
        <w:rPr>
          <w:color w:val="231F20"/>
        </w:rPr>
        <w:t>такі:</w:t>
      </w:r>
      <w:r>
        <w:rPr>
          <w:color w:val="231F20"/>
          <w:spacing w:val="-15"/>
        </w:rPr>
        <w:t xml:space="preserve"> </w:t>
      </w:r>
      <w:r>
        <w:rPr>
          <w:color w:val="231F20"/>
        </w:rPr>
        <w:t>якість освіти; якість повітря; продукти харчування; ефективність програм соціальної підтримки населення; реєстраційні дії в</w:t>
      </w:r>
      <w:r>
        <w:rPr>
          <w:color w:val="231F20"/>
        </w:rPr>
        <w:t xml:space="preserve"> Державному реєстрі речових прав на нерухоме майно; результативність реаліза- ції державної регіональної політики; риболовецькі </w:t>
      </w:r>
      <w:r>
        <w:rPr>
          <w:color w:val="231F20"/>
          <w:spacing w:val="-3"/>
        </w:rPr>
        <w:t xml:space="preserve">судна </w:t>
      </w:r>
      <w:r>
        <w:rPr>
          <w:color w:val="231F20"/>
        </w:rPr>
        <w:t>та</w:t>
      </w:r>
      <w:r>
        <w:rPr>
          <w:color w:val="231F20"/>
          <w:spacing w:val="-11"/>
        </w:rPr>
        <w:t xml:space="preserve"> </w:t>
      </w:r>
      <w:r>
        <w:rPr>
          <w:color w:val="231F20"/>
        </w:rPr>
        <w:t>ін.</w:t>
      </w:r>
    </w:p>
    <w:p w14:paraId="0F8E834C" w14:textId="77777777" w:rsidR="00DE575E" w:rsidRDefault="002E7560">
      <w:pPr>
        <w:pStyle w:val="BodyText"/>
        <w:spacing w:before="2" w:line="252" w:lineRule="auto"/>
        <w:ind w:left="533" w:right="127" w:firstLine="283"/>
        <w:jc w:val="both"/>
      </w:pPr>
      <w:r>
        <w:rPr>
          <w:color w:val="231F20"/>
        </w:rPr>
        <w:t xml:space="preserve">Однак переважний обсяг усіх моніторингових заходів складає фінансовий моніторинг. В </w:t>
      </w:r>
      <w:r>
        <w:rPr>
          <w:color w:val="231F20"/>
          <w:spacing w:val="-3"/>
        </w:rPr>
        <w:t xml:space="preserve">Україні </w:t>
      </w:r>
      <w:r>
        <w:rPr>
          <w:color w:val="231F20"/>
        </w:rPr>
        <w:t>функціонує Державна служба фінансового моніторингу, що є центральним органом виконавчої влади, діяльність якого спрямовується та координується Кабіне- том</w:t>
      </w:r>
      <w:r>
        <w:rPr>
          <w:color w:val="231F20"/>
          <w:spacing w:val="-10"/>
        </w:rPr>
        <w:t xml:space="preserve"> </w:t>
      </w:r>
      <w:r>
        <w:rPr>
          <w:color w:val="231F20"/>
        </w:rPr>
        <w:t>Міністрів</w:t>
      </w:r>
      <w:r>
        <w:rPr>
          <w:color w:val="231F20"/>
          <w:spacing w:val="-11"/>
        </w:rPr>
        <w:t xml:space="preserve"> </w:t>
      </w:r>
      <w:r>
        <w:rPr>
          <w:color w:val="231F20"/>
        </w:rPr>
        <w:t>через</w:t>
      </w:r>
      <w:r>
        <w:rPr>
          <w:color w:val="231F20"/>
          <w:spacing w:val="-10"/>
        </w:rPr>
        <w:t xml:space="preserve"> </w:t>
      </w:r>
      <w:r>
        <w:rPr>
          <w:color w:val="231F20"/>
        </w:rPr>
        <w:t>Міністра</w:t>
      </w:r>
      <w:r>
        <w:rPr>
          <w:color w:val="231F20"/>
          <w:spacing w:val="-11"/>
        </w:rPr>
        <w:t xml:space="preserve"> </w:t>
      </w:r>
      <w:r>
        <w:rPr>
          <w:color w:val="231F20"/>
        </w:rPr>
        <w:t>фінансів</w:t>
      </w:r>
      <w:r>
        <w:rPr>
          <w:color w:val="231F20"/>
          <w:spacing w:val="-11"/>
        </w:rPr>
        <w:t xml:space="preserve"> </w:t>
      </w:r>
      <w:r>
        <w:rPr>
          <w:color w:val="231F20"/>
        </w:rPr>
        <w:t>і</w:t>
      </w:r>
      <w:r>
        <w:rPr>
          <w:color w:val="231F20"/>
          <w:spacing w:val="-8"/>
        </w:rPr>
        <w:t xml:space="preserve"> </w:t>
      </w:r>
      <w:r>
        <w:rPr>
          <w:color w:val="231F20"/>
        </w:rPr>
        <w:t>який</w:t>
      </w:r>
      <w:r>
        <w:rPr>
          <w:color w:val="231F20"/>
          <w:spacing w:val="-10"/>
        </w:rPr>
        <w:t xml:space="preserve"> </w:t>
      </w:r>
      <w:r>
        <w:rPr>
          <w:color w:val="231F20"/>
        </w:rPr>
        <w:t>реалізує</w:t>
      </w:r>
      <w:r>
        <w:rPr>
          <w:color w:val="231F20"/>
          <w:spacing w:val="-11"/>
        </w:rPr>
        <w:t xml:space="preserve"> </w:t>
      </w:r>
      <w:r>
        <w:rPr>
          <w:color w:val="231F20"/>
        </w:rPr>
        <w:t>державну</w:t>
      </w:r>
      <w:r>
        <w:rPr>
          <w:color w:val="231F20"/>
          <w:spacing w:val="-10"/>
        </w:rPr>
        <w:t xml:space="preserve"> </w:t>
      </w:r>
      <w:r>
        <w:rPr>
          <w:color w:val="231F20"/>
        </w:rPr>
        <w:t>полі- тику у сфері запобігання та протидії</w:t>
      </w:r>
      <w:r>
        <w:rPr>
          <w:color w:val="231F20"/>
        </w:rPr>
        <w:t xml:space="preserve"> легалізації </w:t>
      </w:r>
      <w:r>
        <w:rPr>
          <w:color w:val="231F20"/>
          <w:spacing w:val="-3"/>
        </w:rPr>
        <w:t xml:space="preserve">доходів, </w:t>
      </w:r>
      <w:r>
        <w:rPr>
          <w:color w:val="231F20"/>
        </w:rPr>
        <w:t>одержа- них злочинним шляхом, фінансуванню тероризму та фінансуванню розповсюдження зброї масового</w:t>
      </w:r>
      <w:r>
        <w:rPr>
          <w:color w:val="231F20"/>
          <w:spacing w:val="-3"/>
        </w:rPr>
        <w:t xml:space="preserve"> </w:t>
      </w:r>
      <w:r>
        <w:rPr>
          <w:color w:val="231F20"/>
        </w:rPr>
        <w:t>знищення.</w:t>
      </w:r>
    </w:p>
    <w:p w14:paraId="694FB86C" w14:textId="77777777" w:rsidR="00DE575E" w:rsidRDefault="00DE575E">
      <w:pPr>
        <w:pStyle w:val="BodyText"/>
        <w:rPr>
          <w:sz w:val="20"/>
        </w:rPr>
      </w:pPr>
    </w:p>
    <w:p w14:paraId="326301D1" w14:textId="7C9C6A68" w:rsidR="00DE575E" w:rsidRDefault="002E7560">
      <w:pPr>
        <w:pStyle w:val="BodyText"/>
        <w:spacing w:before="3"/>
        <w:rPr>
          <w:sz w:val="16"/>
        </w:rPr>
      </w:pPr>
      <w:r>
        <w:rPr>
          <w:noProof/>
        </w:rPr>
        <mc:AlternateContent>
          <mc:Choice Requires="wps">
            <w:drawing>
              <wp:anchor distT="0" distB="0" distL="0" distR="0" simplePos="0" relativeHeight="10168" behindDoc="0" locked="0" layoutInCell="1" allowOverlap="1" wp14:anchorId="7E265F4F" wp14:editId="4D8EDC0B">
                <wp:simplePos x="0" y="0"/>
                <wp:positionH relativeFrom="page">
                  <wp:posOffset>719455</wp:posOffset>
                </wp:positionH>
                <wp:positionV relativeFrom="paragraph">
                  <wp:posOffset>148590</wp:posOffset>
                </wp:positionV>
                <wp:extent cx="1080135" cy="0"/>
                <wp:effectExtent l="8255" t="8890" r="29210" b="29210"/>
                <wp:wrapTopAndBottom/>
                <wp:docPr id="777"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F2BA3" id="Line_x0020_776" o:spid="_x0000_s1026" style="position:absolute;z-index:10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7pt" to="141.7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4S8y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" strokecolor="#231f20" strokeweight=".5pt">
                <w10:wrap type="topAndBottom" anchorx="page"/>
              </v:line>
            </w:pict>
          </mc:Fallback>
        </mc:AlternateContent>
      </w:r>
    </w:p>
    <w:p w14:paraId="1B498F10"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Порядок проведення перевірок додержання органами державного нагляду  (конт- ролю)  вимог  Закону  України  «Про  основні  засади  державного  нагляду  (контролю)    у сфері господарської діяльності» в частині здійснення державного нагляду (контролю) у сфер</w:t>
      </w:r>
      <w:r>
        <w:rPr>
          <w:color w:val="231F20"/>
          <w:sz w:val="16"/>
        </w:rPr>
        <w:t>і господарської діяльності. Затверджена Постановою Кабінет Міністрів України від 24.05.2017 р. №</w:t>
      </w:r>
      <w:r>
        <w:rPr>
          <w:color w:val="231F20"/>
          <w:spacing w:val="-9"/>
          <w:sz w:val="16"/>
        </w:rPr>
        <w:t xml:space="preserve"> </w:t>
      </w:r>
      <w:r>
        <w:rPr>
          <w:color w:val="231F20"/>
          <w:sz w:val="16"/>
        </w:rPr>
        <w:t>361.</w:t>
      </w:r>
    </w:p>
    <w:p w14:paraId="70020E02" w14:textId="77777777" w:rsidR="00DE575E" w:rsidRDefault="00DE575E">
      <w:pPr>
        <w:pStyle w:val="BodyText"/>
        <w:spacing w:before="3"/>
        <w:rPr>
          <w:sz w:val="12"/>
        </w:rPr>
      </w:pPr>
    </w:p>
    <w:p w14:paraId="19E06195" w14:textId="77777777" w:rsidR="00DE575E" w:rsidRDefault="002E7560">
      <w:pPr>
        <w:spacing w:before="92"/>
        <w:ind w:left="533"/>
        <w:rPr>
          <w:rFonts w:ascii="Times New Roman"/>
          <w:sz w:val="20"/>
        </w:rPr>
      </w:pPr>
      <w:r>
        <w:rPr>
          <w:rFonts w:ascii="Times New Roman"/>
          <w:color w:val="231F20"/>
          <w:sz w:val="20"/>
        </w:rPr>
        <w:t>250</w:t>
      </w:r>
    </w:p>
    <w:p w14:paraId="500C5889" w14:textId="77777777" w:rsidR="00DE575E" w:rsidRDefault="00DE575E">
      <w:pPr>
        <w:rPr>
          <w:rFonts w:ascii="Times New Roman"/>
          <w:sz w:val="20"/>
        </w:rPr>
        <w:sectPr w:rsidR="00DE575E">
          <w:pgSz w:w="8510" w:h="12760"/>
          <w:pgMar w:top="660" w:right="720" w:bottom="280" w:left="600" w:header="720" w:footer="720" w:gutter="0"/>
          <w:cols w:space="720"/>
        </w:sectPr>
      </w:pPr>
    </w:p>
    <w:p w14:paraId="04AD5D95"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09EBE07E" w14:textId="0A49F92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12343CD" wp14:editId="06DDE940">
                <wp:extent cx="4140200" cy="6350"/>
                <wp:effectExtent l="0" t="0" r="12700" b="6350"/>
                <wp:docPr id="775"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76" name="Line 7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257955" id="Group_x0020_7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4dwilgAIAAJgFAAAO&#10;AAAAAAAAAAAAAAAAACwCAABkcnMvZTJvRG9jLnhtbFBLAQItABQABgAIAAAAIQBMp7CQ2QAAAAMB&#10;AAAPAAAAAAAAAAAAAAAAANgEAABkcnMvZG93bnJldi54bWxQSwUGAAAAAAQABADzAAAA3gUAAAAA&#10;">
                <v:line id="Line_x0020_7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zFH8YAAADcAAAADwAAAGRycy9kb3ducmV2LnhtbESP3WrCQBSE7wt9h+UUvCl1o4KW1FVE&#10;EMQL/9IHOGZPk9DdszG7mujTdwuCl8PMfMNM55014kqNrxwrGPQTEMS50xUXCr6z1ccnCB+QNRrH&#10;pOBGHuaz15cpptq1fKDrMRQiQtinqKAMoU6l9HlJFn3f1cTR+3GNxRBlU0jdYBvh1shhkoylxYrj&#10;Qok1LUvKf48XqyA7vwez321Mm+1OI3k6b0f3y1ap3lu3+AIRqAvP8KO91gomkzH8n4lH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sxR/GAAAA3AAAAA8AAAAAAAAA&#10;AAAAAAAAoQIAAGRycy9kb3ducmV2LnhtbFBLBQYAAAAABAAEAPkAAACUAwAAAAA=&#10;" strokecolor="#231f20" strokeweight=".5pt"/>
                <w10:anchorlock/>
              </v:group>
            </w:pict>
          </mc:Fallback>
        </mc:AlternateContent>
      </w:r>
    </w:p>
    <w:p w14:paraId="39100090" w14:textId="77777777" w:rsidR="00DE575E" w:rsidRDefault="00DE575E">
      <w:pPr>
        <w:pStyle w:val="BodyText"/>
        <w:spacing w:before="7"/>
        <w:rPr>
          <w:rFonts w:ascii="AdonisC"/>
          <w:i/>
          <w:sz w:val="19"/>
        </w:rPr>
      </w:pPr>
    </w:p>
    <w:p w14:paraId="35F27665" w14:textId="77777777" w:rsidR="00DE575E" w:rsidRDefault="002E7560">
      <w:pPr>
        <w:spacing w:before="1"/>
        <w:ind w:left="533"/>
        <w:rPr>
          <w:i/>
          <w:sz w:val="21"/>
        </w:rPr>
      </w:pPr>
      <w:r>
        <w:rPr>
          <w:i/>
          <w:color w:val="231F20"/>
          <w:sz w:val="21"/>
        </w:rPr>
        <w:t>Основними завданнями Держфінмоніторингу є:</w:t>
      </w:r>
    </w:p>
    <w:p w14:paraId="31B4D19D" w14:textId="77777777" w:rsidR="00DE575E" w:rsidRDefault="002E7560">
      <w:pPr>
        <w:pStyle w:val="ListParagraph"/>
        <w:numPr>
          <w:ilvl w:val="0"/>
          <w:numId w:val="254"/>
        </w:numPr>
        <w:tabs>
          <w:tab w:val="left" w:pos="818"/>
        </w:tabs>
        <w:spacing w:before="5" w:line="244" w:lineRule="auto"/>
        <w:ind w:right="411" w:firstLine="283"/>
        <w:rPr>
          <w:sz w:val="21"/>
        </w:rPr>
      </w:pPr>
      <w:r>
        <w:rPr>
          <w:color w:val="231F20"/>
          <w:sz w:val="21"/>
        </w:rPr>
        <w:t>реалізація державної політики у сфері запобігання та проти- дії</w:t>
      </w:r>
      <w:r>
        <w:rPr>
          <w:color w:val="231F20"/>
          <w:spacing w:val="-7"/>
          <w:sz w:val="21"/>
        </w:rPr>
        <w:t xml:space="preserve"> </w:t>
      </w:r>
      <w:r>
        <w:rPr>
          <w:color w:val="231F20"/>
          <w:sz w:val="21"/>
        </w:rPr>
        <w:t>легалізації</w:t>
      </w:r>
      <w:r>
        <w:rPr>
          <w:color w:val="231F20"/>
          <w:spacing w:val="-7"/>
          <w:sz w:val="21"/>
        </w:rPr>
        <w:t xml:space="preserve"> </w:t>
      </w:r>
      <w:r>
        <w:rPr>
          <w:color w:val="231F20"/>
          <w:sz w:val="21"/>
        </w:rPr>
        <w:t>(відмиванню)</w:t>
      </w:r>
      <w:r>
        <w:rPr>
          <w:color w:val="231F20"/>
          <w:spacing w:val="-7"/>
          <w:sz w:val="21"/>
        </w:rPr>
        <w:t xml:space="preserve"> </w:t>
      </w:r>
      <w:r>
        <w:rPr>
          <w:color w:val="231F20"/>
          <w:spacing w:val="-3"/>
          <w:sz w:val="21"/>
        </w:rPr>
        <w:t>доходів,</w:t>
      </w:r>
      <w:r>
        <w:rPr>
          <w:color w:val="231F20"/>
          <w:spacing w:val="-7"/>
          <w:sz w:val="21"/>
        </w:rPr>
        <w:t xml:space="preserve"> </w:t>
      </w:r>
      <w:r>
        <w:rPr>
          <w:color w:val="231F20"/>
          <w:sz w:val="21"/>
        </w:rPr>
        <w:t>одержаних</w:t>
      </w:r>
      <w:r>
        <w:rPr>
          <w:color w:val="231F20"/>
          <w:spacing w:val="-7"/>
          <w:sz w:val="21"/>
        </w:rPr>
        <w:t xml:space="preserve"> </w:t>
      </w:r>
      <w:r>
        <w:rPr>
          <w:color w:val="231F20"/>
          <w:sz w:val="21"/>
        </w:rPr>
        <w:t>злочинним</w:t>
      </w:r>
      <w:r>
        <w:rPr>
          <w:color w:val="231F20"/>
          <w:spacing w:val="-7"/>
          <w:sz w:val="21"/>
        </w:rPr>
        <w:t xml:space="preserve"> </w:t>
      </w:r>
      <w:r>
        <w:rPr>
          <w:color w:val="231F20"/>
          <w:sz w:val="21"/>
        </w:rPr>
        <w:t>шляхом, фінансуванню тероризму та фінансуванню розповсюдження зброї масового знищення;</w:t>
      </w:r>
    </w:p>
    <w:p w14:paraId="00DA5479" w14:textId="77777777" w:rsidR="00DE575E" w:rsidRDefault="002E7560">
      <w:pPr>
        <w:pStyle w:val="ListParagraph"/>
        <w:numPr>
          <w:ilvl w:val="0"/>
          <w:numId w:val="254"/>
        </w:numPr>
        <w:tabs>
          <w:tab w:val="left" w:pos="818"/>
        </w:tabs>
        <w:spacing w:before="4" w:line="244" w:lineRule="auto"/>
        <w:ind w:right="411" w:firstLine="283"/>
        <w:rPr>
          <w:sz w:val="21"/>
        </w:rPr>
      </w:pPr>
      <w:r>
        <w:rPr>
          <w:color w:val="231F20"/>
          <w:sz w:val="21"/>
        </w:rPr>
        <w:t>збирання, оброблення та проведення аналізу (операційного    і стратегічного) інформації про фінансові операції, що підлягають фінансовому моніторингу, інші фінансові опе</w:t>
      </w:r>
      <w:r>
        <w:rPr>
          <w:color w:val="231F20"/>
          <w:sz w:val="21"/>
        </w:rPr>
        <w:t>рації або інформації, що може бути пов’язана з підозрою в легалізації (відмиванні) дохо- дів, одержаних злочинним шляхом, або фінансуванні тероризму чи фінансуванні розповсюдження зброї масового</w:t>
      </w:r>
      <w:r>
        <w:rPr>
          <w:color w:val="231F20"/>
          <w:spacing w:val="-7"/>
          <w:sz w:val="21"/>
        </w:rPr>
        <w:t xml:space="preserve"> </w:t>
      </w:r>
      <w:r>
        <w:rPr>
          <w:color w:val="231F20"/>
          <w:sz w:val="21"/>
        </w:rPr>
        <w:t>знищення;</w:t>
      </w:r>
    </w:p>
    <w:p w14:paraId="52E750AA" w14:textId="77777777" w:rsidR="00DE575E" w:rsidRDefault="002E7560">
      <w:pPr>
        <w:pStyle w:val="ListParagraph"/>
        <w:numPr>
          <w:ilvl w:val="0"/>
          <w:numId w:val="254"/>
        </w:numPr>
        <w:tabs>
          <w:tab w:val="left" w:pos="818"/>
        </w:tabs>
        <w:spacing w:before="5" w:line="244" w:lineRule="auto"/>
        <w:ind w:right="411" w:firstLine="283"/>
        <w:rPr>
          <w:sz w:val="21"/>
        </w:rPr>
      </w:pPr>
      <w:r>
        <w:rPr>
          <w:color w:val="231F20"/>
          <w:sz w:val="21"/>
        </w:rPr>
        <w:t>забезпечення функціонування та розвитку єдиної інфо</w:t>
      </w:r>
      <w:r>
        <w:rPr>
          <w:color w:val="231F20"/>
          <w:sz w:val="21"/>
        </w:rPr>
        <w:t xml:space="preserve">рма- ційної системи у сфері запобігання та протидії легалізації (відми- ванню) </w:t>
      </w:r>
      <w:r>
        <w:rPr>
          <w:color w:val="231F20"/>
          <w:spacing w:val="-3"/>
          <w:sz w:val="21"/>
        </w:rPr>
        <w:t xml:space="preserve">доходів, </w:t>
      </w:r>
      <w:r>
        <w:rPr>
          <w:color w:val="231F20"/>
          <w:sz w:val="21"/>
        </w:rPr>
        <w:t>одержаних злочинним шляхом, фінансуванню теро- ризму</w:t>
      </w:r>
      <w:r>
        <w:rPr>
          <w:color w:val="231F20"/>
          <w:spacing w:val="-9"/>
          <w:sz w:val="21"/>
        </w:rPr>
        <w:t xml:space="preserve"> </w:t>
      </w:r>
      <w:r>
        <w:rPr>
          <w:color w:val="231F20"/>
          <w:sz w:val="21"/>
        </w:rPr>
        <w:t>та</w:t>
      </w:r>
      <w:r>
        <w:rPr>
          <w:color w:val="231F20"/>
          <w:spacing w:val="-9"/>
          <w:sz w:val="21"/>
        </w:rPr>
        <w:t xml:space="preserve"> </w:t>
      </w:r>
      <w:r>
        <w:rPr>
          <w:color w:val="231F20"/>
          <w:sz w:val="21"/>
        </w:rPr>
        <w:t>фінансуванню</w:t>
      </w:r>
      <w:r>
        <w:rPr>
          <w:color w:val="231F20"/>
          <w:spacing w:val="-9"/>
          <w:sz w:val="21"/>
        </w:rPr>
        <w:t xml:space="preserve"> </w:t>
      </w:r>
      <w:r>
        <w:rPr>
          <w:color w:val="231F20"/>
          <w:sz w:val="21"/>
        </w:rPr>
        <w:t>розповсюдження</w:t>
      </w:r>
      <w:r>
        <w:rPr>
          <w:color w:val="231F20"/>
          <w:spacing w:val="-9"/>
          <w:sz w:val="21"/>
        </w:rPr>
        <w:t xml:space="preserve"> </w:t>
      </w:r>
      <w:r>
        <w:rPr>
          <w:color w:val="231F20"/>
          <w:sz w:val="21"/>
        </w:rPr>
        <w:t>зброї</w:t>
      </w:r>
      <w:r>
        <w:rPr>
          <w:color w:val="231F20"/>
          <w:spacing w:val="-9"/>
          <w:sz w:val="21"/>
        </w:rPr>
        <w:t xml:space="preserve"> </w:t>
      </w:r>
      <w:r>
        <w:rPr>
          <w:color w:val="231F20"/>
          <w:sz w:val="21"/>
        </w:rPr>
        <w:t>масового</w:t>
      </w:r>
      <w:r>
        <w:rPr>
          <w:color w:val="231F20"/>
          <w:spacing w:val="-8"/>
          <w:sz w:val="21"/>
        </w:rPr>
        <w:t xml:space="preserve"> </w:t>
      </w:r>
      <w:r>
        <w:rPr>
          <w:color w:val="231F20"/>
          <w:sz w:val="21"/>
        </w:rPr>
        <w:t>знищення</w:t>
      </w:r>
      <w:r>
        <w:rPr>
          <w:color w:val="231F20"/>
          <w:position w:val="7"/>
          <w:sz w:val="12"/>
        </w:rPr>
        <w:t>1</w:t>
      </w:r>
      <w:r>
        <w:rPr>
          <w:color w:val="231F20"/>
          <w:sz w:val="21"/>
        </w:rPr>
        <w:t>.</w:t>
      </w:r>
    </w:p>
    <w:p w14:paraId="0F0E7822" w14:textId="77777777" w:rsidR="00DE575E" w:rsidRDefault="00DE575E">
      <w:pPr>
        <w:pStyle w:val="BodyText"/>
        <w:spacing w:before="9"/>
      </w:pPr>
    </w:p>
    <w:p w14:paraId="39235E49" w14:textId="77777777" w:rsidR="00DE575E" w:rsidRDefault="002E7560">
      <w:pPr>
        <w:pStyle w:val="Heading6"/>
        <w:numPr>
          <w:ilvl w:val="3"/>
          <w:numId w:val="174"/>
        </w:numPr>
        <w:tabs>
          <w:tab w:val="left" w:pos="1252"/>
        </w:tabs>
        <w:ind w:left="1251" w:hanging="718"/>
        <w:jc w:val="left"/>
      </w:pPr>
      <w:r>
        <w:rPr>
          <w:color w:val="231F20"/>
        </w:rPr>
        <w:t>Надання</w:t>
      </w:r>
      <w:r>
        <w:rPr>
          <w:color w:val="231F20"/>
          <w:spacing w:val="-1"/>
        </w:rPr>
        <w:t xml:space="preserve"> </w:t>
      </w:r>
      <w:r>
        <w:rPr>
          <w:color w:val="231F20"/>
        </w:rPr>
        <w:t>довідок</w:t>
      </w:r>
    </w:p>
    <w:p w14:paraId="1CE4D743" w14:textId="77777777" w:rsidR="00DE575E" w:rsidRDefault="002E7560">
      <w:pPr>
        <w:pStyle w:val="BodyText"/>
        <w:spacing w:before="5" w:line="244" w:lineRule="auto"/>
        <w:ind w:left="250" w:right="411" w:firstLine="283"/>
        <w:jc w:val="both"/>
      </w:pPr>
      <w:r>
        <w:rPr>
          <w:color w:val="231F20"/>
        </w:rPr>
        <w:t>В епоху доінформаційного суспільства та відсутності елект- ронного врядування довідка була основним джерелом передання інформації про приватних осіб від одних суб’єктів публічної адмі- ністрації до інших. В умовах сьогодення існують десятки електрон- них р</w:t>
      </w:r>
      <w:r>
        <w:rPr>
          <w:color w:val="231F20"/>
        </w:rPr>
        <w:t>еєстрів, завдяки яким використання довідок зменшується.</w:t>
      </w:r>
    </w:p>
    <w:p w14:paraId="1222D66C" w14:textId="77777777" w:rsidR="00DE575E" w:rsidRDefault="002E7560">
      <w:pPr>
        <w:pStyle w:val="BodyText"/>
        <w:spacing w:before="5" w:line="244" w:lineRule="auto"/>
        <w:ind w:left="250" w:right="411" w:firstLine="283"/>
        <w:jc w:val="both"/>
      </w:pPr>
      <w:r>
        <w:rPr>
          <w:color w:val="231F20"/>
        </w:rPr>
        <w:t>Проте</w:t>
      </w:r>
      <w:r>
        <w:rPr>
          <w:color w:val="231F20"/>
          <w:spacing w:val="-9"/>
        </w:rPr>
        <w:t xml:space="preserve"> </w:t>
      </w:r>
      <w:r>
        <w:rPr>
          <w:color w:val="231F20"/>
        </w:rPr>
        <w:t>в</w:t>
      </w:r>
      <w:r>
        <w:rPr>
          <w:color w:val="231F20"/>
          <w:spacing w:val="-8"/>
        </w:rPr>
        <w:t xml:space="preserve"> </w:t>
      </w:r>
      <w:r>
        <w:rPr>
          <w:color w:val="231F20"/>
        </w:rPr>
        <w:t>силу</w:t>
      </w:r>
      <w:r>
        <w:rPr>
          <w:color w:val="231F20"/>
          <w:spacing w:val="-9"/>
        </w:rPr>
        <w:t xml:space="preserve"> </w:t>
      </w:r>
      <w:r>
        <w:rPr>
          <w:color w:val="231F20"/>
        </w:rPr>
        <w:t>того,</w:t>
      </w:r>
      <w:r>
        <w:rPr>
          <w:color w:val="231F20"/>
          <w:spacing w:val="-9"/>
        </w:rPr>
        <w:t xml:space="preserve"> </w:t>
      </w:r>
      <w:r>
        <w:rPr>
          <w:color w:val="231F20"/>
        </w:rPr>
        <w:t>що</w:t>
      </w:r>
      <w:r>
        <w:rPr>
          <w:color w:val="231F20"/>
          <w:spacing w:val="-9"/>
        </w:rPr>
        <w:t xml:space="preserve"> </w:t>
      </w:r>
      <w:r>
        <w:rPr>
          <w:color w:val="231F20"/>
        </w:rPr>
        <w:t>наша</w:t>
      </w:r>
      <w:r>
        <w:rPr>
          <w:color w:val="231F20"/>
          <w:spacing w:val="-9"/>
        </w:rPr>
        <w:t xml:space="preserve"> </w:t>
      </w:r>
      <w:r>
        <w:rPr>
          <w:color w:val="231F20"/>
        </w:rPr>
        <w:t>держава</w:t>
      </w:r>
      <w:r>
        <w:rPr>
          <w:color w:val="231F20"/>
          <w:spacing w:val="-9"/>
        </w:rPr>
        <w:t xml:space="preserve"> </w:t>
      </w:r>
      <w:r>
        <w:rPr>
          <w:color w:val="231F20"/>
        </w:rPr>
        <w:t>перебуває</w:t>
      </w:r>
      <w:r>
        <w:rPr>
          <w:color w:val="231F20"/>
          <w:spacing w:val="-9"/>
        </w:rPr>
        <w:t xml:space="preserve"> </w:t>
      </w:r>
      <w:r>
        <w:rPr>
          <w:color w:val="231F20"/>
        </w:rPr>
        <w:t>ще</w:t>
      </w:r>
      <w:r>
        <w:rPr>
          <w:color w:val="231F20"/>
          <w:spacing w:val="-9"/>
        </w:rPr>
        <w:t xml:space="preserve"> </w:t>
      </w:r>
      <w:r>
        <w:rPr>
          <w:color w:val="231F20"/>
        </w:rPr>
        <w:t>на</w:t>
      </w:r>
      <w:r>
        <w:rPr>
          <w:color w:val="231F20"/>
          <w:spacing w:val="-9"/>
        </w:rPr>
        <w:t xml:space="preserve"> </w:t>
      </w:r>
      <w:r>
        <w:rPr>
          <w:color w:val="231F20"/>
        </w:rPr>
        <w:t xml:space="preserve">перехідному етапі, довідки продовжують видаватися </w:t>
      </w:r>
      <w:r>
        <w:rPr>
          <w:color w:val="231F20"/>
          <w:spacing w:val="-3"/>
        </w:rPr>
        <w:t xml:space="preserve">суб’єктами </w:t>
      </w:r>
      <w:r>
        <w:rPr>
          <w:color w:val="231F20"/>
        </w:rPr>
        <w:t xml:space="preserve">публічної адмі- ністрації. </w:t>
      </w:r>
      <w:r>
        <w:rPr>
          <w:color w:val="231F20"/>
          <w:spacing w:val="-4"/>
        </w:rPr>
        <w:t xml:space="preserve">Так, </w:t>
      </w:r>
      <w:r>
        <w:rPr>
          <w:color w:val="231F20"/>
        </w:rPr>
        <w:t>різноманітні довідки є кінцевою адміністративною дією при наданні адміністративних послуг щодо видання довідки про перебування на обліку; довідки про отримання (неотримання) допомоги;</w:t>
      </w:r>
      <w:r>
        <w:rPr>
          <w:color w:val="231F20"/>
          <w:spacing w:val="-14"/>
        </w:rPr>
        <w:t xml:space="preserve"> </w:t>
      </w:r>
      <w:r>
        <w:rPr>
          <w:color w:val="231F20"/>
        </w:rPr>
        <w:t>видання</w:t>
      </w:r>
      <w:r>
        <w:rPr>
          <w:color w:val="231F20"/>
          <w:spacing w:val="-14"/>
        </w:rPr>
        <w:t xml:space="preserve"> </w:t>
      </w:r>
      <w:r>
        <w:rPr>
          <w:color w:val="231F20"/>
        </w:rPr>
        <w:t>довідки</w:t>
      </w:r>
      <w:r>
        <w:rPr>
          <w:color w:val="231F20"/>
          <w:spacing w:val="-14"/>
        </w:rPr>
        <w:t xml:space="preserve"> </w:t>
      </w:r>
      <w:r>
        <w:rPr>
          <w:color w:val="231F20"/>
        </w:rPr>
        <w:t>про</w:t>
      </w:r>
      <w:r>
        <w:rPr>
          <w:color w:val="231F20"/>
          <w:spacing w:val="-14"/>
        </w:rPr>
        <w:t xml:space="preserve"> </w:t>
      </w:r>
      <w:r>
        <w:rPr>
          <w:color w:val="231F20"/>
          <w:spacing w:val="-3"/>
        </w:rPr>
        <w:t>доходи;</w:t>
      </w:r>
      <w:r>
        <w:rPr>
          <w:color w:val="231F20"/>
          <w:spacing w:val="-14"/>
        </w:rPr>
        <w:t xml:space="preserve"> </w:t>
      </w:r>
      <w:r>
        <w:rPr>
          <w:color w:val="231F20"/>
        </w:rPr>
        <w:t>довідки,</w:t>
      </w:r>
      <w:r>
        <w:rPr>
          <w:color w:val="231F20"/>
          <w:spacing w:val="-14"/>
        </w:rPr>
        <w:t xml:space="preserve"> </w:t>
      </w:r>
      <w:r>
        <w:rPr>
          <w:color w:val="231F20"/>
        </w:rPr>
        <w:t>що</w:t>
      </w:r>
      <w:r>
        <w:rPr>
          <w:color w:val="231F20"/>
          <w:spacing w:val="-14"/>
        </w:rPr>
        <w:t xml:space="preserve"> </w:t>
      </w:r>
      <w:r>
        <w:rPr>
          <w:color w:val="231F20"/>
        </w:rPr>
        <w:t>містить</w:t>
      </w:r>
      <w:r>
        <w:rPr>
          <w:color w:val="231F20"/>
          <w:spacing w:val="-13"/>
        </w:rPr>
        <w:t xml:space="preserve"> </w:t>
      </w:r>
      <w:r>
        <w:rPr>
          <w:color w:val="231F20"/>
        </w:rPr>
        <w:t>узагаль- нену інформацію</w:t>
      </w:r>
      <w:r>
        <w:rPr>
          <w:color w:val="231F20"/>
        </w:rPr>
        <w:t xml:space="preserve"> про землі; довідки про відсутність</w:t>
      </w:r>
      <w:r>
        <w:rPr>
          <w:color w:val="231F20"/>
          <w:spacing w:val="-17"/>
        </w:rPr>
        <w:t xml:space="preserve"> </w:t>
      </w:r>
      <w:r>
        <w:rPr>
          <w:color w:val="231F20"/>
        </w:rPr>
        <w:t>судимості.</w:t>
      </w:r>
    </w:p>
    <w:p w14:paraId="5D889FBC" w14:textId="77777777" w:rsidR="00DE575E" w:rsidRDefault="002E7560">
      <w:pPr>
        <w:spacing w:before="6" w:line="244" w:lineRule="auto"/>
        <w:ind w:left="250" w:right="411" w:firstLine="283"/>
        <w:jc w:val="both"/>
        <w:rPr>
          <w:i/>
          <w:sz w:val="21"/>
        </w:rPr>
      </w:pPr>
      <w:r>
        <w:rPr>
          <w:color w:val="231F20"/>
          <w:spacing w:val="-5"/>
          <w:sz w:val="21"/>
        </w:rPr>
        <w:t xml:space="preserve">Видання довідок </w:t>
      </w:r>
      <w:r>
        <w:rPr>
          <w:color w:val="231F20"/>
          <w:spacing w:val="-6"/>
          <w:sz w:val="21"/>
        </w:rPr>
        <w:t xml:space="preserve">регламентується </w:t>
      </w:r>
      <w:r>
        <w:rPr>
          <w:color w:val="231F20"/>
          <w:spacing w:val="-5"/>
          <w:sz w:val="21"/>
        </w:rPr>
        <w:t xml:space="preserve">нормативними документами </w:t>
      </w:r>
      <w:r>
        <w:rPr>
          <w:color w:val="231F20"/>
          <w:spacing w:val="-7"/>
          <w:sz w:val="21"/>
        </w:rPr>
        <w:t xml:space="preserve">суб’єктів </w:t>
      </w:r>
      <w:r>
        <w:rPr>
          <w:color w:val="231F20"/>
          <w:spacing w:val="-5"/>
          <w:sz w:val="21"/>
        </w:rPr>
        <w:t xml:space="preserve">публічної адміністрації. </w:t>
      </w:r>
      <w:r>
        <w:rPr>
          <w:color w:val="231F20"/>
          <w:spacing w:val="-7"/>
          <w:sz w:val="21"/>
        </w:rPr>
        <w:t xml:space="preserve">Так, </w:t>
      </w:r>
      <w:r>
        <w:rPr>
          <w:color w:val="231F20"/>
          <w:spacing w:val="-5"/>
          <w:sz w:val="21"/>
        </w:rPr>
        <w:t xml:space="preserve">згідно </w:t>
      </w:r>
      <w:r>
        <w:rPr>
          <w:color w:val="231F20"/>
          <w:sz w:val="21"/>
        </w:rPr>
        <w:t xml:space="preserve">з </w:t>
      </w:r>
      <w:r>
        <w:rPr>
          <w:color w:val="231F20"/>
          <w:spacing w:val="-5"/>
          <w:sz w:val="21"/>
        </w:rPr>
        <w:t xml:space="preserve">Порядком </w:t>
      </w:r>
      <w:r>
        <w:rPr>
          <w:color w:val="231F20"/>
          <w:spacing w:val="-4"/>
          <w:sz w:val="21"/>
        </w:rPr>
        <w:t xml:space="preserve">доступу </w:t>
      </w:r>
      <w:r>
        <w:rPr>
          <w:color w:val="231F20"/>
          <w:spacing w:val="-5"/>
          <w:sz w:val="21"/>
        </w:rPr>
        <w:t>до відомостей персонально-довідкового обліку єдиної інформаційної системи Міністерства</w:t>
      </w:r>
      <w:r>
        <w:rPr>
          <w:color w:val="231F20"/>
          <w:spacing w:val="-5"/>
          <w:sz w:val="21"/>
        </w:rPr>
        <w:t xml:space="preserve"> внутрішніх </w:t>
      </w:r>
      <w:r>
        <w:rPr>
          <w:color w:val="231F20"/>
          <w:spacing w:val="-4"/>
          <w:sz w:val="21"/>
        </w:rPr>
        <w:t xml:space="preserve">справ </w:t>
      </w:r>
      <w:r>
        <w:rPr>
          <w:color w:val="231F20"/>
          <w:spacing w:val="-6"/>
          <w:sz w:val="21"/>
        </w:rPr>
        <w:t xml:space="preserve">України, </w:t>
      </w:r>
      <w:r>
        <w:rPr>
          <w:color w:val="231F20"/>
          <w:spacing w:val="-3"/>
          <w:sz w:val="21"/>
        </w:rPr>
        <w:t xml:space="preserve">що </w:t>
      </w:r>
      <w:r>
        <w:rPr>
          <w:color w:val="231F20"/>
          <w:spacing w:val="-6"/>
          <w:sz w:val="21"/>
        </w:rPr>
        <w:t xml:space="preserve">затверджений </w:t>
      </w:r>
      <w:r>
        <w:rPr>
          <w:color w:val="231F20"/>
          <w:spacing w:val="-5"/>
          <w:sz w:val="21"/>
        </w:rPr>
        <w:t xml:space="preserve">Наказом </w:t>
      </w:r>
      <w:r>
        <w:rPr>
          <w:color w:val="231F20"/>
          <w:spacing w:val="-4"/>
          <w:sz w:val="21"/>
        </w:rPr>
        <w:t xml:space="preserve">МВС </w:t>
      </w:r>
      <w:r>
        <w:rPr>
          <w:color w:val="231F20"/>
          <w:spacing w:val="-6"/>
          <w:sz w:val="21"/>
        </w:rPr>
        <w:t xml:space="preserve">України </w:t>
      </w:r>
      <w:r>
        <w:rPr>
          <w:color w:val="231F20"/>
          <w:spacing w:val="-5"/>
          <w:sz w:val="21"/>
        </w:rPr>
        <w:t xml:space="preserve">29.11.2016 </w:t>
      </w:r>
      <w:r>
        <w:rPr>
          <w:color w:val="231F20"/>
          <w:sz w:val="21"/>
        </w:rPr>
        <w:t xml:space="preserve">№ </w:t>
      </w:r>
      <w:r>
        <w:rPr>
          <w:color w:val="231F20"/>
          <w:spacing w:val="-4"/>
          <w:sz w:val="21"/>
        </w:rPr>
        <w:t xml:space="preserve">1256, </w:t>
      </w:r>
      <w:r>
        <w:rPr>
          <w:color w:val="231F20"/>
          <w:spacing w:val="-5"/>
          <w:sz w:val="21"/>
        </w:rPr>
        <w:t>«</w:t>
      </w:r>
      <w:r>
        <w:rPr>
          <w:i/>
          <w:color w:val="231F20"/>
          <w:spacing w:val="-5"/>
          <w:sz w:val="21"/>
        </w:rPr>
        <w:t xml:space="preserve">довідка </w:t>
      </w:r>
      <w:r>
        <w:rPr>
          <w:i/>
          <w:color w:val="231F20"/>
          <w:sz w:val="21"/>
        </w:rPr>
        <w:t xml:space="preserve">– </w:t>
      </w:r>
      <w:r>
        <w:rPr>
          <w:i/>
          <w:color w:val="231F20"/>
          <w:spacing w:val="-5"/>
          <w:sz w:val="21"/>
        </w:rPr>
        <w:t xml:space="preserve">документ, який містить відомості </w:t>
      </w:r>
      <w:r>
        <w:rPr>
          <w:i/>
          <w:color w:val="231F20"/>
          <w:spacing w:val="-4"/>
          <w:sz w:val="21"/>
        </w:rPr>
        <w:t xml:space="preserve">про </w:t>
      </w:r>
      <w:r>
        <w:rPr>
          <w:i/>
          <w:color w:val="231F20"/>
          <w:spacing w:val="-5"/>
          <w:sz w:val="21"/>
        </w:rPr>
        <w:t xml:space="preserve">притягнення </w:t>
      </w:r>
      <w:r>
        <w:rPr>
          <w:i/>
          <w:color w:val="231F20"/>
          <w:spacing w:val="-3"/>
          <w:sz w:val="21"/>
        </w:rPr>
        <w:t xml:space="preserve">до </w:t>
      </w:r>
      <w:r>
        <w:rPr>
          <w:i/>
          <w:color w:val="231F20"/>
          <w:spacing w:val="-5"/>
          <w:sz w:val="21"/>
        </w:rPr>
        <w:t xml:space="preserve">кримінальної відповідальності, відсутність (наявність) судимості </w:t>
      </w:r>
      <w:r>
        <w:rPr>
          <w:i/>
          <w:color w:val="231F20"/>
          <w:spacing w:val="-4"/>
          <w:sz w:val="21"/>
        </w:rPr>
        <w:t xml:space="preserve">або </w:t>
      </w:r>
      <w:r>
        <w:rPr>
          <w:i/>
          <w:color w:val="231F20"/>
          <w:spacing w:val="-5"/>
          <w:sz w:val="21"/>
        </w:rPr>
        <w:t xml:space="preserve">обмежень, передбачених кримі- нально-процесуальним законодавством </w:t>
      </w:r>
      <w:r>
        <w:rPr>
          <w:i/>
          <w:color w:val="231F20"/>
          <w:spacing w:val="-6"/>
          <w:sz w:val="21"/>
        </w:rPr>
        <w:t xml:space="preserve">України, </w:t>
      </w:r>
      <w:r>
        <w:rPr>
          <w:i/>
          <w:color w:val="231F20"/>
          <w:spacing w:val="-3"/>
          <w:sz w:val="21"/>
        </w:rPr>
        <w:t xml:space="preserve">та </w:t>
      </w:r>
      <w:r>
        <w:rPr>
          <w:i/>
          <w:color w:val="231F20"/>
          <w:spacing w:val="-5"/>
          <w:sz w:val="21"/>
        </w:rPr>
        <w:t>надається фізич-</w:t>
      </w:r>
    </w:p>
    <w:p w14:paraId="5D64D978" w14:textId="77777777" w:rsidR="00DE575E" w:rsidRDefault="00DE575E">
      <w:pPr>
        <w:pStyle w:val="BodyText"/>
        <w:rPr>
          <w:i/>
          <w:sz w:val="20"/>
        </w:rPr>
      </w:pPr>
    </w:p>
    <w:p w14:paraId="00F7B933" w14:textId="55FE649D" w:rsidR="00DE575E" w:rsidRDefault="002E7560">
      <w:pPr>
        <w:pStyle w:val="BodyText"/>
        <w:spacing w:before="3"/>
        <w:rPr>
          <w:i/>
          <w:sz w:val="13"/>
        </w:rPr>
      </w:pPr>
      <w:r>
        <w:rPr>
          <w:noProof/>
        </w:rPr>
        <mc:AlternateContent>
          <mc:Choice Requires="wps">
            <w:drawing>
              <wp:anchor distT="0" distB="0" distL="0" distR="0" simplePos="0" relativeHeight="10216" behindDoc="0" locked="0" layoutInCell="1" allowOverlap="1" wp14:anchorId="772AA87F" wp14:editId="7FF0DA94">
                <wp:simplePos x="0" y="0"/>
                <wp:positionH relativeFrom="page">
                  <wp:posOffset>539750</wp:posOffset>
                </wp:positionH>
                <wp:positionV relativeFrom="paragraph">
                  <wp:posOffset>126365</wp:posOffset>
                </wp:positionV>
                <wp:extent cx="1080135" cy="0"/>
                <wp:effectExtent l="6350" t="12065" r="31115" b="26035"/>
                <wp:wrapTopAndBottom/>
                <wp:docPr id="774"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89EC" id="Line_x0020_773" o:spid="_x0000_s1026" style="position:absolute;z-index:10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95pt" to="127.55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" strokecolor="#231f20" strokeweight=".5pt">
                <w10:wrap type="topAndBottom" anchorx="page"/>
              </v:line>
            </w:pict>
          </mc:Fallback>
        </mc:AlternateContent>
      </w:r>
    </w:p>
    <w:p w14:paraId="3A887C85" w14:textId="77777777" w:rsidR="00DE575E" w:rsidRDefault="002E7560">
      <w:pPr>
        <w:spacing w:line="204" w:lineRule="auto"/>
        <w:ind w:left="250" w:right="128"/>
        <w:rPr>
          <w:sz w:val="16"/>
        </w:rPr>
      </w:pPr>
      <w:r>
        <w:rPr>
          <w:color w:val="231F20"/>
          <w:position w:val="5"/>
          <w:sz w:val="9"/>
        </w:rPr>
        <w:t xml:space="preserve">1 </w:t>
      </w:r>
      <w:r>
        <w:rPr>
          <w:color w:val="231F20"/>
          <w:sz w:val="16"/>
        </w:rPr>
        <w:t>Положення про Державну службу фінансового моніторингу України. Затверджено Постановою Кабінету Міністрів України від 29.07.2015 р. № 537.</w:t>
      </w:r>
    </w:p>
    <w:p w14:paraId="211DCD7D" w14:textId="77777777" w:rsidR="00DE575E" w:rsidRDefault="00DE575E">
      <w:pPr>
        <w:pStyle w:val="BodyText"/>
        <w:spacing w:before="1"/>
        <w:rPr>
          <w:sz w:val="12"/>
        </w:rPr>
      </w:pPr>
    </w:p>
    <w:p w14:paraId="0F610B2E" w14:textId="77777777" w:rsidR="00DE575E" w:rsidRDefault="002E7560">
      <w:pPr>
        <w:spacing w:before="92"/>
        <w:ind w:right="411"/>
        <w:jc w:val="right"/>
        <w:rPr>
          <w:rFonts w:ascii="Times New Roman"/>
          <w:sz w:val="20"/>
        </w:rPr>
      </w:pPr>
      <w:r>
        <w:rPr>
          <w:rFonts w:ascii="Times New Roman"/>
          <w:color w:val="231F20"/>
          <w:w w:val="90"/>
          <w:sz w:val="20"/>
        </w:rPr>
        <w:t>251</w:t>
      </w:r>
    </w:p>
    <w:p w14:paraId="18F6A43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907079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DBBAA8A" w14:textId="7B31EF5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A8F094C" wp14:editId="7722555E">
                <wp:extent cx="4140200" cy="6350"/>
                <wp:effectExtent l="0" t="0" r="12700" b="6350"/>
                <wp:docPr id="772"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73" name="Line 77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BF128E" id="Group_x0020_77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qAHUFfQIAAJgFAAAOAAAA&#10;AAAAAAAAAAAAACwCAABkcnMvZTJvRG9jLnhtbFBLAQItABQABgAIAAAAIQBMp7CQ2QAAAAMBAAAP&#10;AAAAAAAAAAAAAAAAANUEAABkcnMvZG93bnJldi54bWxQSwUGAAAAAAQABADzAAAA2wUAAAAA&#10;">
                <v:line id="Line_x0020_77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Rtmh8YAAADcAAAADwAAAGRycy9kb3ducmV2LnhtbESP3WrCQBSE74W+w3IKvRHdtAGV6Cql&#10;UCi98C8+wDF7TEJ3z8bsatI+fVcQvBxm5htmseqtEVdqfe1Ywes4AUFcOF1zqeCQf45mIHxA1mgc&#10;k4Jf8rBaPg0WmGnX8Y6u+1CKCGGfoYIqhCaT0hcVWfRj1xBH7+RaiyHKtpS6xS7CrZFvSTKRFmuO&#10;CxU29FFR8bO/WAX5eRjMdvNtunxzTOXxvE7/LmulXp779zmIQH14hO/tL61gOk3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kbZofGAAAA3AAAAA8AAAAAAAAA&#10;AAAAAAAAoQIAAGRycy9kb3ducmV2LnhtbFBLBQYAAAAABAAEAPkAAACUAwAAAAA=&#10;" strokecolor="#231f20" strokeweight=".5pt"/>
                <w10:anchorlock/>
              </v:group>
            </w:pict>
          </mc:Fallback>
        </mc:AlternateContent>
      </w:r>
    </w:p>
    <w:p w14:paraId="138A32D2" w14:textId="77777777" w:rsidR="00DE575E" w:rsidRDefault="00DE575E">
      <w:pPr>
        <w:pStyle w:val="BodyText"/>
        <w:spacing w:before="7"/>
        <w:rPr>
          <w:rFonts w:ascii="AdonisC"/>
          <w:i/>
          <w:sz w:val="11"/>
        </w:rPr>
      </w:pPr>
    </w:p>
    <w:p w14:paraId="37CC6F17" w14:textId="77777777" w:rsidR="00DE575E" w:rsidRDefault="002E7560">
      <w:pPr>
        <w:pStyle w:val="BodyText"/>
        <w:spacing w:before="101" w:line="244" w:lineRule="auto"/>
        <w:ind w:left="533" w:right="127"/>
        <w:jc w:val="both"/>
      </w:pPr>
      <w:r>
        <w:rPr>
          <w:i/>
          <w:color w:val="231F20"/>
          <w:spacing w:val="-4"/>
        </w:rPr>
        <w:t xml:space="preserve">ній </w:t>
      </w:r>
      <w:r>
        <w:rPr>
          <w:i/>
          <w:color w:val="231F20"/>
          <w:spacing w:val="-5"/>
        </w:rPr>
        <w:t xml:space="preserve">особі </w:t>
      </w:r>
      <w:r>
        <w:rPr>
          <w:i/>
          <w:color w:val="231F20"/>
        </w:rPr>
        <w:t xml:space="preserve">у </w:t>
      </w:r>
      <w:r>
        <w:rPr>
          <w:i/>
          <w:color w:val="231F20"/>
          <w:spacing w:val="-5"/>
        </w:rPr>
        <w:t xml:space="preserve">відповідь </w:t>
      </w:r>
      <w:r>
        <w:rPr>
          <w:i/>
          <w:color w:val="231F20"/>
          <w:spacing w:val="-3"/>
        </w:rPr>
        <w:t xml:space="preserve">на її </w:t>
      </w:r>
      <w:r>
        <w:rPr>
          <w:i/>
          <w:color w:val="231F20"/>
          <w:spacing w:val="-5"/>
        </w:rPr>
        <w:t>запит</w:t>
      </w:r>
      <w:r>
        <w:rPr>
          <w:color w:val="231F20"/>
          <w:spacing w:val="-5"/>
        </w:rPr>
        <w:t xml:space="preserve">». </w:t>
      </w:r>
      <w:r>
        <w:rPr>
          <w:color w:val="231F20"/>
          <w:spacing w:val="-4"/>
        </w:rPr>
        <w:t xml:space="preserve">Для того щоб </w:t>
      </w:r>
      <w:r>
        <w:rPr>
          <w:color w:val="231F20"/>
          <w:spacing w:val="-5"/>
        </w:rPr>
        <w:t xml:space="preserve">отримати </w:t>
      </w:r>
      <w:r>
        <w:rPr>
          <w:color w:val="231F20"/>
          <w:spacing w:val="-4"/>
        </w:rPr>
        <w:t xml:space="preserve">таку </w:t>
      </w:r>
      <w:r>
        <w:rPr>
          <w:color w:val="231F20"/>
          <w:spacing w:val="-7"/>
        </w:rPr>
        <w:t xml:space="preserve">довідку, </w:t>
      </w:r>
      <w:r>
        <w:rPr>
          <w:color w:val="231F20"/>
          <w:spacing w:val="-5"/>
        </w:rPr>
        <w:t xml:space="preserve">заявник </w:t>
      </w:r>
      <w:r>
        <w:rPr>
          <w:color w:val="231F20"/>
          <w:spacing w:val="-4"/>
        </w:rPr>
        <w:t xml:space="preserve">або </w:t>
      </w:r>
      <w:r>
        <w:rPr>
          <w:color w:val="231F20"/>
          <w:spacing w:val="-5"/>
        </w:rPr>
        <w:t xml:space="preserve">уповноважена </w:t>
      </w:r>
      <w:r>
        <w:rPr>
          <w:color w:val="231F20"/>
          <w:spacing w:val="-4"/>
        </w:rPr>
        <w:t xml:space="preserve">ним особа має </w:t>
      </w:r>
      <w:r>
        <w:rPr>
          <w:color w:val="231F20"/>
          <w:spacing w:val="-5"/>
        </w:rPr>
        <w:t xml:space="preserve">з’явитися </w:t>
      </w:r>
      <w:r>
        <w:rPr>
          <w:color w:val="231F20"/>
          <w:spacing w:val="-3"/>
        </w:rPr>
        <w:t xml:space="preserve">до </w:t>
      </w:r>
      <w:r>
        <w:rPr>
          <w:color w:val="231F20"/>
          <w:spacing w:val="-5"/>
        </w:rPr>
        <w:t xml:space="preserve">Департаменту інформаційних технологій </w:t>
      </w:r>
      <w:r>
        <w:rPr>
          <w:color w:val="231F20"/>
          <w:spacing w:val="-4"/>
        </w:rPr>
        <w:t xml:space="preserve">МВС або </w:t>
      </w:r>
      <w:r>
        <w:rPr>
          <w:color w:val="231F20"/>
          <w:spacing w:val="-5"/>
        </w:rPr>
        <w:t xml:space="preserve">територіального сервісного центру </w:t>
      </w:r>
      <w:r>
        <w:rPr>
          <w:color w:val="231F20"/>
          <w:spacing w:val="-4"/>
        </w:rPr>
        <w:t xml:space="preserve">МВС </w:t>
      </w:r>
      <w:r>
        <w:rPr>
          <w:color w:val="231F20"/>
        </w:rPr>
        <w:t xml:space="preserve">і </w:t>
      </w:r>
      <w:r>
        <w:rPr>
          <w:color w:val="231F20"/>
          <w:spacing w:val="-5"/>
        </w:rPr>
        <w:t xml:space="preserve">заповнити </w:t>
      </w:r>
      <w:r>
        <w:rPr>
          <w:color w:val="231F20"/>
          <w:spacing w:val="-7"/>
        </w:rPr>
        <w:t xml:space="preserve">запит. </w:t>
      </w:r>
      <w:r>
        <w:rPr>
          <w:color w:val="231F20"/>
          <w:spacing w:val="-5"/>
        </w:rPr>
        <w:t xml:space="preserve">Надання такої довідки здійснюється </w:t>
      </w:r>
      <w:r>
        <w:rPr>
          <w:color w:val="231F20"/>
          <w:spacing w:val="-4"/>
        </w:rPr>
        <w:t xml:space="preserve">безоп- латно </w:t>
      </w:r>
      <w:r>
        <w:rPr>
          <w:color w:val="231F20"/>
        </w:rPr>
        <w:t xml:space="preserve">в </w:t>
      </w:r>
      <w:r>
        <w:rPr>
          <w:color w:val="231F20"/>
          <w:spacing w:val="-4"/>
        </w:rPr>
        <w:t xml:space="preserve">строк </w:t>
      </w:r>
      <w:r>
        <w:rPr>
          <w:color w:val="231F20"/>
          <w:spacing w:val="-3"/>
        </w:rPr>
        <w:t xml:space="preserve">до 30 </w:t>
      </w:r>
      <w:r>
        <w:rPr>
          <w:color w:val="231F20"/>
          <w:spacing w:val="-5"/>
        </w:rPr>
        <w:t xml:space="preserve">календарних </w:t>
      </w:r>
      <w:r>
        <w:rPr>
          <w:color w:val="231F20"/>
          <w:spacing w:val="-4"/>
        </w:rPr>
        <w:t xml:space="preserve">днів </w:t>
      </w:r>
      <w:r>
        <w:rPr>
          <w:color w:val="231F20"/>
        </w:rPr>
        <w:t xml:space="preserve">з </w:t>
      </w:r>
      <w:r>
        <w:rPr>
          <w:color w:val="231F20"/>
          <w:spacing w:val="-4"/>
        </w:rPr>
        <w:t xml:space="preserve">дня </w:t>
      </w:r>
      <w:r>
        <w:rPr>
          <w:color w:val="231F20"/>
          <w:spacing w:val="-6"/>
        </w:rPr>
        <w:t xml:space="preserve">надходження </w:t>
      </w:r>
      <w:r>
        <w:rPr>
          <w:color w:val="231F20"/>
          <w:spacing w:val="-7"/>
        </w:rPr>
        <w:t>запиту.</w:t>
      </w:r>
    </w:p>
    <w:p w14:paraId="38CEA62A" w14:textId="77777777" w:rsidR="00DE575E" w:rsidRDefault="002E7560">
      <w:pPr>
        <w:pStyle w:val="Heading5"/>
        <w:spacing w:before="4" w:line="244" w:lineRule="auto"/>
        <w:ind w:right="128" w:firstLine="283"/>
        <w:jc w:val="both"/>
      </w:pPr>
      <w:r>
        <w:rPr>
          <w:color w:val="231F20"/>
        </w:rPr>
        <w:t xml:space="preserve">Отже, надання довідок – це архаїчний інструмент </w:t>
      </w:r>
      <w:r>
        <w:rPr>
          <w:color w:val="231F20"/>
        </w:rPr>
        <w:t>публічного адміністрування, що дістався нам від минулої епохи й усе рідше використовується в публічному адмініструванні з розвитком електронного врядування.</w:t>
      </w:r>
    </w:p>
    <w:p w14:paraId="6AC966CE" w14:textId="77777777" w:rsidR="00DE575E" w:rsidRDefault="00DE575E">
      <w:pPr>
        <w:pStyle w:val="BodyText"/>
        <w:spacing w:before="9"/>
        <w:rPr>
          <w:b/>
        </w:rPr>
      </w:pPr>
    </w:p>
    <w:p w14:paraId="4B79ECF7" w14:textId="77777777" w:rsidR="00DE575E" w:rsidRDefault="002E7560">
      <w:pPr>
        <w:pStyle w:val="Heading6"/>
        <w:numPr>
          <w:ilvl w:val="3"/>
          <w:numId w:val="173"/>
        </w:numPr>
        <w:tabs>
          <w:tab w:val="left" w:pos="1535"/>
        </w:tabs>
        <w:spacing w:before="0"/>
        <w:ind w:hanging="717"/>
      </w:pPr>
      <w:r>
        <w:rPr>
          <w:color w:val="231F20"/>
        </w:rPr>
        <w:t>Виплата грошових</w:t>
      </w:r>
      <w:r>
        <w:rPr>
          <w:color w:val="231F20"/>
          <w:spacing w:val="-3"/>
        </w:rPr>
        <w:t xml:space="preserve"> </w:t>
      </w:r>
      <w:r>
        <w:rPr>
          <w:color w:val="231F20"/>
        </w:rPr>
        <w:t>коштів</w:t>
      </w:r>
    </w:p>
    <w:p w14:paraId="1F848A96" w14:textId="77777777" w:rsidR="00DE575E" w:rsidRDefault="002E7560">
      <w:pPr>
        <w:pStyle w:val="BodyText"/>
        <w:spacing w:before="6" w:line="244" w:lineRule="auto"/>
        <w:ind w:left="533" w:right="127" w:firstLine="283"/>
        <w:jc w:val="both"/>
      </w:pPr>
      <w:r>
        <w:rPr>
          <w:color w:val="231F20"/>
        </w:rPr>
        <w:t>Україна є соціальною країною, в якій держава турбується про соціально неза</w:t>
      </w:r>
      <w:r>
        <w:rPr>
          <w:color w:val="231F20"/>
        </w:rPr>
        <w:t>хищених громадян, коли вони отримати допомогу за рахунок приватної ініціативи не мають змоги.</w:t>
      </w:r>
    </w:p>
    <w:p w14:paraId="3AC56194" w14:textId="77777777" w:rsidR="00DE575E" w:rsidRDefault="002E7560">
      <w:pPr>
        <w:pStyle w:val="BodyText"/>
        <w:spacing w:before="3" w:line="244" w:lineRule="auto"/>
        <w:ind w:left="533" w:right="126" w:firstLine="283"/>
        <w:jc w:val="both"/>
      </w:pPr>
      <w:r>
        <w:rPr>
          <w:color w:val="231F20"/>
        </w:rPr>
        <w:t>До такої категорії осіб належать пенсіонери, інваліди, безробітні, внутрішні переселенці, сім’ї, які не можуть оплатити комунальні послуги, особи, які постраждали</w:t>
      </w:r>
      <w:r>
        <w:rPr>
          <w:color w:val="231F20"/>
        </w:rPr>
        <w:t xml:space="preserve"> від зловживань </w:t>
      </w:r>
      <w:r>
        <w:rPr>
          <w:color w:val="231F20"/>
          <w:spacing w:val="-3"/>
        </w:rPr>
        <w:t xml:space="preserve">суб’єктів </w:t>
      </w:r>
      <w:r>
        <w:rPr>
          <w:color w:val="231F20"/>
        </w:rPr>
        <w:t xml:space="preserve">публічної адміністрації тощо. </w:t>
      </w:r>
      <w:r>
        <w:rPr>
          <w:color w:val="231F20"/>
          <w:spacing w:val="-5"/>
        </w:rPr>
        <w:t xml:space="preserve">Такі </w:t>
      </w:r>
      <w:r>
        <w:rPr>
          <w:color w:val="231F20"/>
        </w:rPr>
        <w:t xml:space="preserve">особи на основі законів, які деталізуються  в нормативно-правових актах, на основі адміністративного акта компетентного </w:t>
      </w:r>
      <w:r>
        <w:rPr>
          <w:color w:val="231F20"/>
          <w:spacing w:val="-3"/>
        </w:rPr>
        <w:t xml:space="preserve">суб’єкта </w:t>
      </w:r>
      <w:r>
        <w:rPr>
          <w:color w:val="231F20"/>
        </w:rPr>
        <w:t>публічної адміністрації отримують виплати за рахунок державного чи</w:t>
      </w:r>
      <w:r>
        <w:rPr>
          <w:color w:val="231F20"/>
        </w:rPr>
        <w:t xml:space="preserve"> місцевого</w:t>
      </w:r>
      <w:r>
        <w:rPr>
          <w:color w:val="231F20"/>
          <w:spacing w:val="-4"/>
        </w:rPr>
        <w:t xml:space="preserve"> </w:t>
      </w:r>
      <w:r>
        <w:rPr>
          <w:color w:val="231F20"/>
        </w:rPr>
        <w:t>бюджетів.</w:t>
      </w:r>
    </w:p>
    <w:p w14:paraId="413D3060" w14:textId="77777777" w:rsidR="00DE575E" w:rsidRDefault="002E7560">
      <w:pPr>
        <w:pStyle w:val="BodyText"/>
        <w:spacing w:before="6" w:line="244" w:lineRule="auto"/>
        <w:ind w:left="533" w:right="127" w:firstLine="283"/>
        <w:jc w:val="both"/>
      </w:pPr>
      <w:r>
        <w:rPr>
          <w:color w:val="231F20"/>
        </w:rPr>
        <w:t>Крім</w:t>
      </w:r>
      <w:r>
        <w:rPr>
          <w:color w:val="231F20"/>
          <w:spacing w:val="-14"/>
        </w:rPr>
        <w:t xml:space="preserve"> </w:t>
      </w:r>
      <w:r>
        <w:rPr>
          <w:color w:val="231F20"/>
        </w:rPr>
        <w:t>того</w:t>
      </w:r>
      <w:r>
        <w:rPr>
          <w:color w:val="231F20"/>
          <w:spacing w:val="-14"/>
        </w:rPr>
        <w:t xml:space="preserve"> </w:t>
      </w:r>
      <w:r>
        <w:rPr>
          <w:color w:val="231F20"/>
          <w:spacing w:val="-3"/>
        </w:rPr>
        <w:t>Урядом</w:t>
      </w:r>
      <w:r>
        <w:rPr>
          <w:color w:val="231F20"/>
          <w:spacing w:val="-15"/>
        </w:rPr>
        <w:t xml:space="preserve"> </w:t>
      </w:r>
      <w:r>
        <w:rPr>
          <w:color w:val="231F20"/>
          <w:spacing w:val="-3"/>
        </w:rPr>
        <w:t>України</w:t>
      </w:r>
      <w:r>
        <w:rPr>
          <w:color w:val="231F20"/>
          <w:spacing w:val="-15"/>
        </w:rPr>
        <w:t xml:space="preserve"> </w:t>
      </w:r>
      <w:r>
        <w:rPr>
          <w:color w:val="231F20"/>
        </w:rPr>
        <w:t>можуть</w:t>
      </w:r>
      <w:r>
        <w:rPr>
          <w:color w:val="231F20"/>
          <w:spacing w:val="-14"/>
        </w:rPr>
        <w:t xml:space="preserve"> </w:t>
      </w:r>
      <w:r>
        <w:rPr>
          <w:color w:val="231F20"/>
        </w:rPr>
        <w:t>виділяються</w:t>
      </w:r>
      <w:r>
        <w:rPr>
          <w:color w:val="231F20"/>
          <w:spacing w:val="-14"/>
        </w:rPr>
        <w:t xml:space="preserve"> </w:t>
      </w:r>
      <w:r>
        <w:rPr>
          <w:color w:val="231F20"/>
        </w:rPr>
        <w:t>кошти</w:t>
      </w:r>
      <w:r>
        <w:rPr>
          <w:color w:val="231F20"/>
          <w:spacing w:val="-14"/>
        </w:rPr>
        <w:t xml:space="preserve"> </w:t>
      </w:r>
      <w:r>
        <w:rPr>
          <w:color w:val="231F20"/>
        </w:rPr>
        <w:t>на</w:t>
      </w:r>
      <w:r>
        <w:rPr>
          <w:color w:val="231F20"/>
          <w:spacing w:val="-14"/>
        </w:rPr>
        <w:t xml:space="preserve"> </w:t>
      </w:r>
      <w:r>
        <w:rPr>
          <w:color w:val="231F20"/>
        </w:rPr>
        <w:t>доступні кредити для мікро- та малого бізнесу за зниженою ставкою. Це здійснюється з метою створення належних умов на відкриття громадянами власної бізнес-справи, реалізації програми державної підтримки малого бізнесу розвитку підприємництва, збільшення об</w:t>
      </w:r>
      <w:r>
        <w:rPr>
          <w:color w:val="231F20"/>
        </w:rPr>
        <w:t xml:space="preserve">сягів виробництва, </w:t>
      </w:r>
      <w:r>
        <w:rPr>
          <w:color w:val="231F20"/>
          <w:spacing w:val="-3"/>
        </w:rPr>
        <w:t xml:space="preserve">експорту, </w:t>
      </w:r>
      <w:r>
        <w:rPr>
          <w:color w:val="231F20"/>
        </w:rPr>
        <w:t>імпортозаміщення, високотехноло- гічного виробництва, енергоефективності, впровадження іннова- цій.</w:t>
      </w:r>
      <w:r>
        <w:rPr>
          <w:color w:val="231F20"/>
          <w:spacing w:val="-9"/>
        </w:rPr>
        <w:t xml:space="preserve"> </w:t>
      </w:r>
      <w:r>
        <w:rPr>
          <w:color w:val="231F20"/>
        </w:rPr>
        <w:t>Це</w:t>
      </w:r>
      <w:r>
        <w:rPr>
          <w:color w:val="231F20"/>
          <w:spacing w:val="-9"/>
        </w:rPr>
        <w:t xml:space="preserve"> </w:t>
      </w:r>
      <w:r>
        <w:rPr>
          <w:color w:val="231F20"/>
        </w:rPr>
        <w:t>загалом</w:t>
      </w:r>
      <w:r>
        <w:rPr>
          <w:color w:val="231F20"/>
          <w:spacing w:val="-9"/>
        </w:rPr>
        <w:t xml:space="preserve"> </w:t>
      </w:r>
      <w:r>
        <w:rPr>
          <w:color w:val="231F20"/>
        </w:rPr>
        <w:t>дасть</w:t>
      </w:r>
      <w:r>
        <w:rPr>
          <w:color w:val="231F20"/>
          <w:spacing w:val="-9"/>
        </w:rPr>
        <w:t xml:space="preserve"> </w:t>
      </w:r>
      <w:r>
        <w:rPr>
          <w:color w:val="231F20"/>
        </w:rPr>
        <w:t>шанс</w:t>
      </w:r>
      <w:r>
        <w:rPr>
          <w:color w:val="231F20"/>
          <w:spacing w:val="-9"/>
        </w:rPr>
        <w:t xml:space="preserve"> </w:t>
      </w:r>
      <w:r>
        <w:rPr>
          <w:color w:val="231F20"/>
        </w:rPr>
        <w:t>громадянам</w:t>
      </w:r>
      <w:r>
        <w:rPr>
          <w:color w:val="231F20"/>
          <w:spacing w:val="-9"/>
        </w:rPr>
        <w:t xml:space="preserve"> </w:t>
      </w:r>
      <w:r>
        <w:rPr>
          <w:color w:val="231F20"/>
          <w:spacing w:val="-3"/>
        </w:rPr>
        <w:t>України</w:t>
      </w:r>
      <w:r>
        <w:rPr>
          <w:color w:val="231F20"/>
          <w:spacing w:val="-9"/>
        </w:rPr>
        <w:t xml:space="preserve"> </w:t>
      </w:r>
      <w:r>
        <w:rPr>
          <w:color w:val="231F20"/>
        </w:rPr>
        <w:t>втілити</w:t>
      </w:r>
      <w:r>
        <w:rPr>
          <w:color w:val="231F20"/>
          <w:spacing w:val="-9"/>
        </w:rPr>
        <w:t xml:space="preserve"> </w:t>
      </w:r>
      <w:r>
        <w:rPr>
          <w:color w:val="231F20"/>
        </w:rPr>
        <w:t>свою</w:t>
      </w:r>
      <w:r>
        <w:rPr>
          <w:color w:val="231F20"/>
          <w:spacing w:val="-9"/>
        </w:rPr>
        <w:t xml:space="preserve"> </w:t>
      </w:r>
      <w:r>
        <w:rPr>
          <w:color w:val="231F20"/>
        </w:rPr>
        <w:t>бізнес- мрію вдома і не шукати кращої долі за</w:t>
      </w:r>
      <w:r>
        <w:rPr>
          <w:color w:val="231F20"/>
          <w:spacing w:val="-9"/>
        </w:rPr>
        <w:t xml:space="preserve"> </w:t>
      </w:r>
      <w:r>
        <w:rPr>
          <w:color w:val="231F20"/>
        </w:rPr>
        <w:t>кордоном</w:t>
      </w:r>
      <w:r>
        <w:rPr>
          <w:color w:val="231F20"/>
          <w:position w:val="7"/>
          <w:sz w:val="12"/>
        </w:rPr>
        <w:t>1</w:t>
      </w:r>
      <w:r>
        <w:rPr>
          <w:color w:val="231F20"/>
        </w:rPr>
        <w:t>.</w:t>
      </w:r>
    </w:p>
    <w:p w14:paraId="6375A2E6" w14:textId="77777777" w:rsidR="00DE575E" w:rsidRDefault="00DE575E">
      <w:pPr>
        <w:pStyle w:val="BodyText"/>
        <w:spacing w:before="2"/>
        <w:rPr>
          <w:sz w:val="22"/>
        </w:rPr>
      </w:pPr>
    </w:p>
    <w:p w14:paraId="32F72B18" w14:textId="77777777" w:rsidR="00DE575E" w:rsidRDefault="002E7560">
      <w:pPr>
        <w:pStyle w:val="Heading6"/>
        <w:numPr>
          <w:ilvl w:val="3"/>
          <w:numId w:val="173"/>
        </w:numPr>
        <w:tabs>
          <w:tab w:val="left" w:pos="1535"/>
        </w:tabs>
        <w:spacing w:before="0"/>
        <w:ind w:hanging="717"/>
      </w:pPr>
      <w:r>
        <w:rPr>
          <w:color w:val="231F20"/>
        </w:rPr>
        <w:t>Адміністрування</w:t>
      </w:r>
      <w:r>
        <w:rPr>
          <w:color w:val="231F20"/>
          <w:spacing w:val="-2"/>
        </w:rPr>
        <w:t xml:space="preserve"> </w:t>
      </w:r>
      <w:r>
        <w:rPr>
          <w:color w:val="231F20"/>
        </w:rPr>
        <w:t>реєстрів</w:t>
      </w:r>
    </w:p>
    <w:p w14:paraId="4F3D13E1" w14:textId="77777777" w:rsidR="00DE575E" w:rsidRDefault="002E7560">
      <w:pPr>
        <w:pStyle w:val="BodyText"/>
        <w:spacing w:before="6" w:line="247" w:lineRule="auto"/>
        <w:ind w:left="533" w:right="127" w:firstLine="283"/>
        <w:jc w:val="both"/>
      </w:pPr>
      <w:r>
        <w:rPr>
          <w:color w:val="231F20"/>
        </w:rPr>
        <w:t xml:space="preserve">Розвиток електронного врядування </w:t>
      </w:r>
      <w:r>
        <w:rPr>
          <w:color w:val="231F20"/>
          <w:spacing w:val="-3"/>
        </w:rPr>
        <w:t xml:space="preserve">об’єктивно </w:t>
      </w:r>
      <w:r>
        <w:rPr>
          <w:color w:val="231F20"/>
        </w:rPr>
        <w:t xml:space="preserve">потребує від </w:t>
      </w:r>
      <w:r>
        <w:rPr>
          <w:color w:val="231F20"/>
          <w:spacing w:val="-3"/>
        </w:rPr>
        <w:t xml:space="preserve">суб’єктів </w:t>
      </w:r>
      <w:r>
        <w:rPr>
          <w:color w:val="231F20"/>
        </w:rPr>
        <w:t>публічної адміністрації здійснювати адміністрування десятків</w:t>
      </w:r>
      <w:r>
        <w:rPr>
          <w:color w:val="231F20"/>
          <w:spacing w:val="-11"/>
        </w:rPr>
        <w:t xml:space="preserve"> </w:t>
      </w:r>
      <w:r>
        <w:rPr>
          <w:color w:val="231F20"/>
        </w:rPr>
        <w:t>різноманітних</w:t>
      </w:r>
      <w:r>
        <w:rPr>
          <w:color w:val="231F20"/>
          <w:spacing w:val="-11"/>
        </w:rPr>
        <w:t xml:space="preserve"> </w:t>
      </w:r>
      <w:r>
        <w:rPr>
          <w:color w:val="231F20"/>
        </w:rPr>
        <w:t>реєстрів.</w:t>
      </w:r>
      <w:r>
        <w:rPr>
          <w:color w:val="231F20"/>
          <w:spacing w:val="-11"/>
        </w:rPr>
        <w:t xml:space="preserve"> </w:t>
      </w:r>
      <w:r>
        <w:rPr>
          <w:color w:val="231F20"/>
        </w:rPr>
        <w:t>Наприклад,</w:t>
      </w:r>
      <w:r>
        <w:rPr>
          <w:color w:val="231F20"/>
          <w:spacing w:val="-11"/>
        </w:rPr>
        <w:t xml:space="preserve"> </w:t>
      </w:r>
      <w:r>
        <w:rPr>
          <w:color w:val="231F20"/>
        </w:rPr>
        <w:t>згідно</w:t>
      </w:r>
      <w:r>
        <w:rPr>
          <w:color w:val="231F20"/>
          <w:spacing w:val="-11"/>
        </w:rPr>
        <w:t xml:space="preserve"> </w:t>
      </w:r>
      <w:r>
        <w:rPr>
          <w:color w:val="231F20"/>
        </w:rPr>
        <w:t>з</w:t>
      </w:r>
      <w:r>
        <w:rPr>
          <w:color w:val="231F20"/>
          <w:spacing w:val="-11"/>
        </w:rPr>
        <w:t xml:space="preserve"> </w:t>
      </w:r>
      <w:r>
        <w:rPr>
          <w:color w:val="231F20"/>
        </w:rPr>
        <w:t>Наказом</w:t>
      </w:r>
      <w:r>
        <w:rPr>
          <w:color w:val="231F20"/>
          <w:spacing w:val="-11"/>
        </w:rPr>
        <w:t xml:space="preserve"> </w:t>
      </w:r>
      <w:r>
        <w:rPr>
          <w:color w:val="231F20"/>
        </w:rPr>
        <w:t xml:space="preserve">Мініс- терство юстиції </w:t>
      </w:r>
      <w:r>
        <w:rPr>
          <w:color w:val="231F20"/>
          <w:spacing w:val="-3"/>
        </w:rPr>
        <w:t xml:space="preserve">України </w:t>
      </w:r>
      <w:r>
        <w:rPr>
          <w:color w:val="231F20"/>
        </w:rPr>
        <w:t>від 13.10.2010 № 2501 «Єдиний реєст</w:t>
      </w:r>
      <w:r>
        <w:rPr>
          <w:color w:val="231F20"/>
        </w:rPr>
        <w:t>р нотаріусів</w:t>
      </w:r>
      <w:r>
        <w:rPr>
          <w:color w:val="231F20"/>
          <w:spacing w:val="15"/>
        </w:rPr>
        <w:t xml:space="preserve"> </w:t>
      </w:r>
      <w:r>
        <w:rPr>
          <w:color w:val="231F20"/>
        </w:rPr>
        <w:t>–</w:t>
      </w:r>
      <w:r>
        <w:rPr>
          <w:color w:val="231F20"/>
          <w:spacing w:val="15"/>
        </w:rPr>
        <w:t xml:space="preserve"> </w:t>
      </w:r>
      <w:r>
        <w:rPr>
          <w:color w:val="231F20"/>
        </w:rPr>
        <w:t>це</w:t>
      </w:r>
      <w:r>
        <w:rPr>
          <w:color w:val="231F20"/>
          <w:spacing w:val="15"/>
        </w:rPr>
        <w:t xml:space="preserve"> </w:t>
      </w:r>
      <w:r>
        <w:rPr>
          <w:color w:val="231F20"/>
        </w:rPr>
        <w:t>комп’ютерна</w:t>
      </w:r>
      <w:r>
        <w:rPr>
          <w:color w:val="231F20"/>
          <w:spacing w:val="15"/>
        </w:rPr>
        <w:t xml:space="preserve"> </w:t>
      </w:r>
      <w:r>
        <w:rPr>
          <w:color w:val="231F20"/>
        </w:rPr>
        <w:t>база</w:t>
      </w:r>
      <w:r>
        <w:rPr>
          <w:color w:val="231F20"/>
          <w:spacing w:val="15"/>
        </w:rPr>
        <w:t xml:space="preserve"> </w:t>
      </w:r>
      <w:r>
        <w:rPr>
          <w:color w:val="231F20"/>
        </w:rPr>
        <w:t>даних,</w:t>
      </w:r>
      <w:r>
        <w:rPr>
          <w:color w:val="231F20"/>
          <w:spacing w:val="15"/>
        </w:rPr>
        <w:t xml:space="preserve"> </w:t>
      </w:r>
      <w:r>
        <w:rPr>
          <w:color w:val="231F20"/>
        </w:rPr>
        <w:t>у</w:t>
      </w:r>
      <w:r>
        <w:rPr>
          <w:color w:val="231F20"/>
          <w:spacing w:val="15"/>
        </w:rPr>
        <w:t xml:space="preserve"> </w:t>
      </w:r>
      <w:r>
        <w:rPr>
          <w:color w:val="231F20"/>
        </w:rPr>
        <w:t>якій</w:t>
      </w:r>
      <w:r>
        <w:rPr>
          <w:color w:val="231F20"/>
          <w:spacing w:val="15"/>
        </w:rPr>
        <w:t xml:space="preserve"> </w:t>
      </w:r>
      <w:r>
        <w:rPr>
          <w:color w:val="231F20"/>
        </w:rPr>
        <w:t>містяться</w:t>
      </w:r>
      <w:r>
        <w:rPr>
          <w:color w:val="231F20"/>
          <w:spacing w:val="15"/>
        </w:rPr>
        <w:t xml:space="preserve"> </w:t>
      </w:r>
      <w:r>
        <w:rPr>
          <w:color w:val="231F20"/>
        </w:rPr>
        <w:t>відомості</w:t>
      </w:r>
    </w:p>
    <w:p w14:paraId="7530889C" w14:textId="77777777" w:rsidR="00DE575E" w:rsidRDefault="00DE575E">
      <w:pPr>
        <w:pStyle w:val="BodyText"/>
        <w:rPr>
          <w:sz w:val="20"/>
        </w:rPr>
      </w:pPr>
    </w:p>
    <w:p w14:paraId="61F5BBC3" w14:textId="1EC91368" w:rsidR="00DE575E" w:rsidRDefault="002E7560">
      <w:pPr>
        <w:pStyle w:val="BodyText"/>
        <w:spacing w:before="11"/>
        <w:rPr>
          <w:sz w:val="11"/>
        </w:rPr>
      </w:pPr>
      <w:r>
        <w:rPr>
          <w:noProof/>
        </w:rPr>
        <mc:AlternateContent>
          <mc:Choice Requires="wps">
            <w:drawing>
              <wp:anchor distT="0" distB="0" distL="0" distR="0" simplePos="0" relativeHeight="10264" behindDoc="0" locked="0" layoutInCell="1" allowOverlap="1" wp14:anchorId="55499A54" wp14:editId="6E5A71B5">
                <wp:simplePos x="0" y="0"/>
                <wp:positionH relativeFrom="page">
                  <wp:posOffset>719455</wp:posOffset>
                </wp:positionH>
                <wp:positionV relativeFrom="paragraph">
                  <wp:posOffset>116840</wp:posOffset>
                </wp:positionV>
                <wp:extent cx="1080135" cy="0"/>
                <wp:effectExtent l="8255" t="15240" r="29210" b="22860"/>
                <wp:wrapTopAndBottom/>
                <wp:docPr id="771"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B81CC" id="Line_x0020_770" o:spid="_x0000_s1026" style="position:absolute;z-index:10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141.7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" strokecolor="#231f20" strokeweight=".5pt">
                <w10:wrap type="topAndBottom" anchorx="page"/>
              </v:line>
            </w:pict>
          </mc:Fallback>
        </mc:AlternateContent>
      </w:r>
    </w:p>
    <w:p w14:paraId="2B3101AE" w14:textId="77777777" w:rsidR="00DE575E" w:rsidRDefault="002E7560">
      <w:pPr>
        <w:spacing w:line="204" w:lineRule="auto"/>
        <w:ind w:left="533" w:right="128"/>
        <w:rPr>
          <w:sz w:val="16"/>
        </w:rPr>
      </w:pPr>
      <w:r>
        <w:rPr>
          <w:color w:val="231F20"/>
          <w:position w:val="5"/>
          <w:sz w:val="9"/>
        </w:rPr>
        <w:t xml:space="preserve">1 </w:t>
      </w:r>
      <w:r>
        <w:rPr>
          <w:color w:val="231F20"/>
          <w:sz w:val="16"/>
        </w:rPr>
        <w:t>Прем’єр повідомив про старт програми кредитування малого бізнесу. 2020. https://ua.news/ua/premer-soobshhyl-o-starte-programmy-kredytovanyya-malogo-byznesa/</w:t>
      </w:r>
    </w:p>
    <w:p w14:paraId="121A41E3" w14:textId="77777777" w:rsidR="00DE575E" w:rsidRDefault="00DE575E">
      <w:pPr>
        <w:pStyle w:val="BodyText"/>
        <w:spacing w:before="1"/>
        <w:rPr>
          <w:sz w:val="12"/>
        </w:rPr>
      </w:pPr>
    </w:p>
    <w:p w14:paraId="145E547E" w14:textId="77777777" w:rsidR="00DE575E" w:rsidRDefault="002E7560">
      <w:pPr>
        <w:spacing w:before="92"/>
        <w:ind w:left="533"/>
        <w:rPr>
          <w:rFonts w:ascii="Times New Roman"/>
          <w:sz w:val="20"/>
        </w:rPr>
      </w:pPr>
      <w:r>
        <w:rPr>
          <w:rFonts w:ascii="Times New Roman"/>
          <w:color w:val="231F20"/>
          <w:sz w:val="20"/>
        </w:rPr>
        <w:t>252</w:t>
      </w:r>
    </w:p>
    <w:p w14:paraId="01DC3401" w14:textId="77777777" w:rsidR="00DE575E" w:rsidRDefault="00DE575E">
      <w:pPr>
        <w:rPr>
          <w:rFonts w:ascii="Times New Roman"/>
          <w:sz w:val="20"/>
        </w:rPr>
        <w:sectPr w:rsidR="00DE575E">
          <w:pgSz w:w="8510" w:h="12760"/>
          <w:pgMar w:top="660" w:right="720" w:bottom="280" w:left="600" w:header="720" w:footer="720" w:gutter="0"/>
          <w:cols w:space="720"/>
        </w:sectPr>
      </w:pPr>
    </w:p>
    <w:p w14:paraId="77C3AFC0"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293A4B18" w14:textId="2DFAA3D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3B27C22" wp14:editId="0CF855A7">
                <wp:extent cx="4140200" cy="6350"/>
                <wp:effectExtent l="0" t="0" r="12700" b="6350"/>
                <wp:docPr id="76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70" name="Line 7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BAF06" id="Group_x0020_7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SSFvmIECAACYBQAA&#10;DgAAAAAAAAAAAAAAAAAsAgAAZHJzL2Uyb0RvYy54bWxQSwECLQAUAAYACAAAACEATKewkNkAAAAD&#10;AQAADwAAAAAAAAAAAAAAAADZBAAAZHJzL2Rvd25yZXYueG1sUEsFBgAAAAAEAAQA8wAAAN8FAAAA&#10;AA==&#10;">
                <v:line id="Line_x0020_7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n48MMAAADcAAAADwAAAGRycy9kb3ducmV2LnhtbERP3WrCMBS+F/YO4Qy8EU1VmKMaZQwE&#10;8UKn3QMcm7O2LDmpTbTVpzcXgpcf3/9i1VkjrtT4yrGC8SgBQZw7XXGh4DdbDz9B+ICs0TgmBTfy&#10;sFq+9RaYatfyga7HUIgYwj5FBWUIdSqlz0uy6EeuJo7cn2sshgibQuoG2xhujZwkyYe0WHFsKLGm&#10;75Ly/+PFKsjOg2B+9lvTZvvTVJ7Ou+n9slOq/959zUEE6sJL/HRvtILZLM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nJ+PDDAAAA3AAAAA8AAAAAAAAAAAAA&#10;AAAAoQIAAGRycy9kb3ducmV2LnhtbFBLBQYAAAAABAAEAPkAAACRAwAAAAA=&#10;" strokecolor="#231f20" strokeweight=".5pt"/>
                <w10:anchorlock/>
              </v:group>
            </w:pict>
          </mc:Fallback>
        </mc:AlternateContent>
      </w:r>
    </w:p>
    <w:p w14:paraId="3C5FA951" w14:textId="77777777" w:rsidR="00DE575E" w:rsidRDefault="00DE575E">
      <w:pPr>
        <w:pStyle w:val="BodyText"/>
        <w:spacing w:before="7"/>
        <w:rPr>
          <w:rFonts w:ascii="AdonisC"/>
          <w:i/>
          <w:sz w:val="19"/>
        </w:rPr>
      </w:pPr>
    </w:p>
    <w:p w14:paraId="3CEF5AD9" w14:textId="77777777" w:rsidR="00DE575E" w:rsidRDefault="002E7560">
      <w:pPr>
        <w:pStyle w:val="BodyText"/>
        <w:spacing w:before="1" w:line="252" w:lineRule="auto"/>
        <w:ind w:left="250"/>
      </w:pPr>
      <w:r>
        <w:rPr>
          <w:color w:val="231F20"/>
        </w:rPr>
        <w:t>про державні нотаріальні контори, державні нотаріальні архіви та нотаріусів України».</w:t>
      </w:r>
    </w:p>
    <w:p w14:paraId="457D092E" w14:textId="77777777" w:rsidR="00DE575E" w:rsidRDefault="002E7560">
      <w:pPr>
        <w:pStyle w:val="BodyText"/>
        <w:spacing w:before="1" w:line="252" w:lineRule="auto"/>
        <w:ind w:left="250" w:right="411" w:firstLine="283"/>
        <w:jc w:val="both"/>
      </w:pPr>
      <w:r>
        <w:rPr>
          <w:color w:val="231F20"/>
          <w:spacing w:val="-3"/>
        </w:rPr>
        <w:t xml:space="preserve">Держателем  Єдиного  реєстру  </w:t>
      </w:r>
      <w:r>
        <w:rPr>
          <w:color w:val="231F20"/>
          <w:spacing w:val="-4"/>
        </w:rPr>
        <w:t xml:space="preserve">нотаріусів  </w:t>
      </w:r>
      <w:r>
        <w:rPr>
          <w:color w:val="231F20"/>
        </w:rPr>
        <w:t xml:space="preserve">є  </w:t>
      </w:r>
      <w:r>
        <w:rPr>
          <w:color w:val="231F20"/>
          <w:spacing w:val="-3"/>
        </w:rPr>
        <w:t xml:space="preserve">Міністерство  юсти- </w:t>
      </w:r>
      <w:r>
        <w:rPr>
          <w:color w:val="231F20"/>
        </w:rPr>
        <w:t xml:space="preserve">ції </w:t>
      </w:r>
      <w:r>
        <w:rPr>
          <w:color w:val="231F20"/>
          <w:spacing w:val="-4"/>
        </w:rPr>
        <w:t xml:space="preserve">України, </w:t>
      </w:r>
      <w:r>
        <w:rPr>
          <w:color w:val="231F20"/>
        </w:rPr>
        <w:t xml:space="preserve">що </w:t>
      </w:r>
      <w:r>
        <w:rPr>
          <w:color w:val="231F20"/>
          <w:spacing w:val="-3"/>
        </w:rPr>
        <w:t xml:space="preserve">розробляє організаційні, </w:t>
      </w:r>
      <w:r>
        <w:rPr>
          <w:color w:val="231F20"/>
          <w:spacing w:val="-4"/>
        </w:rPr>
        <w:t xml:space="preserve">методологічні </w:t>
      </w:r>
      <w:r>
        <w:rPr>
          <w:color w:val="231F20"/>
          <w:spacing w:val="-3"/>
        </w:rPr>
        <w:t xml:space="preserve">принципи ведення Єдиного реєстру </w:t>
      </w:r>
      <w:r>
        <w:rPr>
          <w:color w:val="231F20"/>
          <w:spacing w:val="-4"/>
        </w:rPr>
        <w:t xml:space="preserve">нотаріусів </w:t>
      </w:r>
      <w:r>
        <w:rPr>
          <w:color w:val="231F20"/>
        </w:rPr>
        <w:t xml:space="preserve">і </w:t>
      </w:r>
      <w:r>
        <w:rPr>
          <w:color w:val="231F20"/>
          <w:spacing w:val="-4"/>
        </w:rPr>
        <w:t xml:space="preserve">забезпечує </w:t>
      </w:r>
      <w:r>
        <w:rPr>
          <w:color w:val="231F20"/>
        </w:rPr>
        <w:t xml:space="preserve">його </w:t>
      </w:r>
      <w:r>
        <w:rPr>
          <w:color w:val="231F20"/>
          <w:spacing w:val="-3"/>
        </w:rPr>
        <w:t xml:space="preserve">функціону- вання. </w:t>
      </w:r>
      <w:r>
        <w:rPr>
          <w:color w:val="231F20"/>
        </w:rPr>
        <w:t xml:space="preserve">Адміністратор </w:t>
      </w:r>
      <w:r>
        <w:rPr>
          <w:color w:val="231F20"/>
          <w:spacing w:val="-3"/>
        </w:rPr>
        <w:t xml:space="preserve">Єдиного реєстру </w:t>
      </w:r>
      <w:r>
        <w:rPr>
          <w:color w:val="231F20"/>
          <w:spacing w:val="-4"/>
        </w:rPr>
        <w:t xml:space="preserve">нотаріусів </w:t>
      </w:r>
      <w:r>
        <w:rPr>
          <w:color w:val="231F20"/>
        </w:rPr>
        <w:t xml:space="preserve">– </w:t>
      </w:r>
      <w:r>
        <w:rPr>
          <w:color w:val="231F20"/>
          <w:spacing w:val="-3"/>
        </w:rPr>
        <w:t>державне підп</w:t>
      </w:r>
      <w:r>
        <w:rPr>
          <w:color w:val="231F20"/>
          <w:spacing w:val="-3"/>
        </w:rPr>
        <w:t xml:space="preserve">ри- ємство «Національні інформаційні системи», </w:t>
      </w:r>
      <w:r>
        <w:rPr>
          <w:color w:val="231F20"/>
        </w:rPr>
        <w:t xml:space="preserve">що </w:t>
      </w:r>
      <w:r>
        <w:rPr>
          <w:color w:val="231F20"/>
          <w:spacing w:val="-3"/>
        </w:rPr>
        <w:t xml:space="preserve">здійснює </w:t>
      </w:r>
      <w:r>
        <w:rPr>
          <w:color w:val="231F20"/>
          <w:spacing w:val="-4"/>
        </w:rPr>
        <w:t xml:space="preserve">заходи </w:t>
      </w:r>
      <w:r>
        <w:rPr>
          <w:color w:val="231F20"/>
          <w:spacing w:val="-3"/>
        </w:rPr>
        <w:t xml:space="preserve">зі створення </w:t>
      </w:r>
      <w:r>
        <w:rPr>
          <w:color w:val="231F20"/>
        </w:rPr>
        <w:t xml:space="preserve">та </w:t>
      </w:r>
      <w:r>
        <w:rPr>
          <w:color w:val="231F20"/>
          <w:spacing w:val="-4"/>
        </w:rPr>
        <w:t xml:space="preserve">супроводження </w:t>
      </w:r>
      <w:r>
        <w:rPr>
          <w:color w:val="231F20"/>
          <w:spacing w:val="-3"/>
        </w:rPr>
        <w:t xml:space="preserve">програмного забезпечення Єдиного реєстру </w:t>
      </w:r>
      <w:r>
        <w:rPr>
          <w:color w:val="231F20"/>
          <w:spacing w:val="-4"/>
        </w:rPr>
        <w:t xml:space="preserve">нотаріусів, </w:t>
      </w:r>
      <w:r>
        <w:rPr>
          <w:color w:val="231F20"/>
          <w:spacing w:val="-3"/>
        </w:rPr>
        <w:t xml:space="preserve">зокрема </w:t>
      </w:r>
      <w:r>
        <w:rPr>
          <w:color w:val="231F20"/>
        </w:rPr>
        <w:t xml:space="preserve">з </w:t>
      </w:r>
      <w:r>
        <w:rPr>
          <w:color w:val="231F20"/>
          <w:spacing w:val="-3"/>
        </w:rPr>
        <w:t xml:space="preserve">упровадження </w:t>
      </w:r>
      <w:r>
        <w:rPr>
          <w:color w:val="231F20"/>
        </w:rPr>
        <w:t xml:space="preserve">та </w:t>
      </w:r>
      <w:r>
        <w:rPr>
          <w:color w:val="231F20"/>
          <w:spacing w:val="-3"/>
        </w:rPr>
        <w:t xml:space="preserve">підтримки веб-сайту </w:t>
      </w:r>
      <w:r>
        <w:rPr>
          <w:color w:val="231F20"/>
        </w:rPr>
        <w:t xml:space="preserve">для </w:t>
      </w:r>
      <w:r>
        <w:rPr>
          <w:color w:val="231F20"/>
          <w:spacing w:val="-3"/>
        </w:rPr>
        <w:t xml:space="preserve">доступу </w:t>
      </w:r>
      <w:r>
        <w:rPr>
          <w:color w:val="231F20"/>
        </w:rPr>
        <w:t xml:space="preserve">до </w:t>
      </w:r>
      <w:r>
        <w:rPr>
          <w:color w:val="231F20"/>
          <w:spacing w:val="-3"/>
        </w:rPr>
        <w:t xml:space="preserve">відомостей </w:t>
      </w:r>
      <w:r>
        <w:rPr>
          <w:color w:val="231F20"/>
          <w:spacing w:val="-6"/>
        </w:rPr>
        <w:t xml:space="preserve">реєстру, </w:t>
      </w:r>
      <w:r>
        <w:rPr>
          <w:color w:val="231F20"/>
          <w:spacing w:val="-3"/>
        </w:rPr>
        <w:t xml:space="preserve">організацію доступу </w:t>
      </w:r>
      <w:r>
        <w:rPr>
          <w:color w:val="231F20"/>
        </w:rPr>
        <w:t xml:space="preserve">до </w:t>
      </w:r>
      <w:r>
        <w:rPr>
          <w:color w:val="231F20"/>
          <w:spacing w:val="-6"/>
        </w:rPr>
        <w:t>реє</w:t>
      </w:r>
      <w:r>
        <w:rPr>
          <w:color w:val="231F20"/>
          <w:spacing w:val="-6"/>
        </w:rPr>
        <w:t xml:space="preserve">стру, </w:t>
      </w:r>
      <w:r>
        <w:rPr>
          <w:color w:val="231F20"/>
          <w:spacing w:val="-4"/>
        </w:rPr>
        <w:t>забезпечує</w:t>
      </w:r>
      <w:r>
        <w:rPr>
          <w:color w:val="231F20"/>
          <w:spacing w:val="-14"/>
        </w:rPr>
        <w:t xml:space="preserve"> </w:t>
      </w:r>
      <w:r>
        <w:rPr>
          <w:color w:val="231F20"/>
          <w:spacing w:val="-3"/>
        </w:rPr>
        <w:t>збереження</w:t>
      </w:r>
      <w:r>
        <w:rPr>
          <w:color w:val="231F20"/>
          <w:spacing w:val="-14"/>
        </w:rPr>
        <w:t xml:space="preserve"> </w:t>
      </w:r>
      <w:r>
        <w:rPr>
          <w:color w:val="231F20"/>
        </w:rPr>
        <w:t>та</w:t>
      </w:r>
      <w:r>
        <w:rPr>
          <w:color w:val="231F20"/>
          <w:spacing w:val="-14"/>
        </w:rPr>
        <w:t xml:space="preserve"> </w:t>
      </w:r>
      <w:r>
        <w:rPr>
          <w:color w:val="231F20"/>
          <w:spacing w:val="-3"/>
        </w:rPr>
        <w:t>захист</w:t>
      </w:r>
      <w:r>
        <w:rPr>
          <w:color w:val="231F20"/>
          <w:spacing w:val="-14"/>
        </w:rPr>
        <w:t xml:space="preserve"> </w:t>
      </w:r>
      <w:r>
        <w:rPr>
          <w:color w:val="231F20"/>
          <w:spacing w:val="-3"/>
        </w:rPr>
        <w:t>даних,</w:t>
      </w:r>
      <w:r>
        <w:rPr>
          <w:color w:val="231F20"/>
          <w:spacing w:val="-14"/>
        </w:rPr>
        <w:t xml:space="preserve"> </w:t>
      </w:r>
      <w:r>
        <w:rPr>
          <w:color w:val="231F20"/>
        </w:rPr>
        <w:t>що</w:t>
      </w:r>
      <w:r>
        <w:rPr>
          <w:color w:val="231F20"/>
          <w:spacing w:val="-14"/>
        </w:rPr>
        <w:t xml:space="preserve"> </w:t>
      </w:r>
      <w:r>
        <w:rPr>
          <w:color w:val="231F20"/>
          <w:spacing w:val="-3"/>
        </w:rPr>
        <w:t>містяться</w:t>
      </w:r>
      <w:r>
        <w:rPr>
          <w:color w:val="231F20"/>
          <w:spacing w:val="-14"/>
        </w:rPr>
        <w:t xml:space="preserve"> </w:t>
      </w:r>
      <w:r>
        <w:rPr>
          <w:color w:val="231F20"/>
        </w:rPr>
        <w:t>в</w:t>
      </w:r>
      <w:r>
        <w:rPr>
          <w:color w:val="231F20"/>
          <w:spacing w:val="-14"/>
        </w:rPr>
        <w:t xml:space="preserve"> </w:t>
      </w:r>
      <w:r>
        <w:rPr>
          <w:color w:val="231F20"/>
          <w:spacing w:val="-6"/>
        </w:rPr>
        <w:t>ньому,</w:t>
      </w:r>
      <w:r>
        <w:rPr>
          <w:color w:val="231F20"/>
          <w:spacing w:val="-14"/>
        </w:rPr>
        <w:t xml:space="preserve"> </w:t>
      </w:r>
      <w:r>
        <w:rPr>
          <w:color w:val="231F20"/>
          <w:spacing w:val="-3"/>
        </w:rPr>
        <w:t xml:space="preserve">уносить </w:t>
      </w:r>
      <w:r>
        <w:rPr>
          <w:color w:val="231F20"/>
        </w:rPr>
        <w:t xml:space="preserve">до нього </w:t>
      </w:r>
      <w:r>
        <w:rPr>
          <w:color w:val="231F20"/>
          <w:spacing w:val="-3"/>
        </w:rPr>
        <w:t xml:space="preserve">отримані відомості, надає інформацію </w:t>
      </w:r>
      <w:r>
        <w:rPr>
          <w:color w:val="231F20"/>
        </w:rPr>
        <w:t xml:space="preserve">з </w:t>
      </w:r>
      <w:r>
        <w:rPr>
          <w:color w:val="231F20"/>
          <w:spacing w:val="-3"/>
        </w:rPr>
        <w:t>Єдиного</w:t>
      </w:r>
      <w:r>
        <w:rPr>
          <w:color w:val="231F20"/>
          <w:spacing w:val="-26"/>
        </w:rPr>
        <w:t xml:space="preserve"> </w:t>
      </w:r>
      <w:r>
        <w:rPr>
          <w:color w:val="231F20"/>
          <w:spacing w:val="-3"/>
        </w:rPr>
        <w:t>реєстру</w:t>
      </w:r>
      <w:r>
        <w:rPr>
          <w:color w:val="231F20"/>
          <w:spacing w:val="-3"/>
          <w:position w:val="7"/>
          <w:sz w:val="12"/>
        </w:rPr>
        <w:t>1</w:t>
      </w:r>
      <w:r>
        <w:rPr>
          <w:color w:val="231F20"/>
          <w:spacing w:val="-3"/>
        </w:rPr>
        <w:t>.</w:t>
      </w:r>
    </w:p>
    <w:p w14:paraId="68D5F516" w14:textId="77777777" w:rsidR="00DE575E" w:rsidRDefault="00DE575E">
      <w:pPr>
        <w:pStyle w:val="BodyText"/>
        <w:rPr>
          <w:sz w:val="24"/>
        </w:rPr>
      </w:pPr>
    </w:p>
    <w:p w14:paraId="732842DA" w14:textId="77777777" w:rsidR="00DE575E" w:rsidRDefault="00DE575E">
      <w:pPr>
        <w:pStyle w:val="BodyText"/>
        <w:spacing w:before="8"/>
        <w:rPr>
          <w:sz w:val="19"/>
        </w:rPr>
      </w:pPr>
    </w:p>
    <w:p w14:paraId="6A999AAE" w14:textId="77777777" w:rsidR="00DE575E" w:rsidRDefault="002E7560">
      <w:pPr>
        <w:pStyle w:val="Heading4"/>
        <w:numPr>
          <w:ilvl w:val="1"/>
          <w:numId w:val="181"/>
        </w:numPr>
        <w:tabs>
          <w:tab w:val="left" w:pos="750"/>
        </w:tabs>
        <w:ind w:left="749" w:hanging="410"/>
        <w:jc w:val="left"/>
      </w:pPr>
      <w:r>
        <w:rPr>
          <w:color w:val="231F20"/>
        </w:rPr>
        <w:t xml:space="preserve">Адміністративний </w:t>
      </w:r>
      <w:r>
        <w:rPr>
          <w:color w:val="231F20"/>
          <w:spacing w:val="-4"/>
        </w:rPr>
        <w:t xml:space="preserve">розсуд </w:t>
      </w:r>
      <w:r>
        <w:rPr>
          <w:color w:val="231F20"/>
        </w:rPr>
        <w:t>у публічному</w:t>
      </w:r>
      <w:r>
        <w:rPr>
          <w:color w:val="231F20"/>
          <w:spacing w:val="-2"/>
        </w:rPr>
        <w:t xml:space="preserve"> </w:t>
      </w:r>
      <w:r>
        <w:rPr>
          <w:color w:val="231F20"/>
        </w:rPr>
        <w:t>адмініструванні</w:t>
      </w:r>
    </w:p>
    <w:p w14:paraId="21CFFE39" w14:textId="77777777" w:rsidR="00DE575E" w:rsidRDefault="00DE575E">
      <w:pPr>
        <w:pStyle w:val="BodyText"/>
        <w:rPr>
          <w:b/>
          <w:sz w:val="26"/>
        </w:rPr>
      </w:pPr>
    </w:p>
    <w:p w14:paraId="43589198" w14:textId="77777777" w:rsidR="00DE575E" w:rsidRDefault="002E7560">
      <w:pPr>
        <w:pStyle w:val="BodyText"/>
        <w:spacing w:before="224" w:line="252" w:lineRule="auto"/>
        <w:ind w:left="250" w:right="410" w:firstLine="283"/>
        <w:jc w:val="both"/>
      </w:pPr>
      <w:r>
        <w:rPr>
          <w:color w:val="231F20"/>
        </w:rPr>
        <w:t xml:space="preserve">Надане </w:t>
      </w:r>
      <w:r>
        <w:rPr>
          <w:color w:val="231F20"/>
          <w:spacing w:val="-3"/>
        </w:rPr>
        <w:t xml:space="preserve">суб’єкту </w:t>
      </w:r>
      <w:r>
        <w:rPr>
          <w:color w:val="231F20"/>
        </w:rPr>
        <w:t>публічного адміністрування право самостійного вибору варіанта поведінки, рішення чи передбачуваного наслідку застосування</w:t>
      </w:r>
      <w:r>
        <w:rPr>
          <w:color w:val="231F20"/>
          <w:spacing w:val="-14"/>
        </w:rPr>
        <w:t xml:space="preserve"> </w:t>
      </w:r>
      <w:r>
        <w:rPr>
          <w:color w:val="231F20"/>
        </w:rPr>
        <w:t>правової</w:t>
      </w:r>
      <w:r>
        <w:rPr>
          <w:color w:val="231F20"/>
          <w:spacing w:val="-14"/>
        </w:rPr>
        <w:t xml:space="preserve"> </w:t>
      </w:r>
      <w:r>
        <w:rPr>
          <w:color w:val="231F20"/>
        </w:rPr>
        <w:t>норми</w:t>
      </w:r>
      <w:r>
        <w:rPr>
          <w:color w:val="231F20"/>
          <w:spacing w:val="-14"/>
        </w:rPr>
        <w:t xml:space="preserve"> </w:t>
      </w:r>
      <w:r>
        <w:rPr>
          <w:color w:val="231F20"/>
        </w:rPr>
        <w:t>найбільш</w:t>
      </w:r>
      <w:r>
        <w:rPr>
          <w:color w:val="231F20"/>
          <w:spacing w:val="-14"/>
        </w:rPr>
        <w:t xml:space="preserve"> </w:t>
      </w:r>
      <w:r>
        <w:rPr>
          <w:color w:val="231F20"/>
        </w:rPr>
        <w:t>рельєфно</w:t>
      </w:r>
      <w:r>
        <w:rPr>
          <w:color w:val="231F20"/>
          <w:spacing w:val="-14"/>
        </w:rPr>
        <w:t xml:space="preserve"> </w:t>
      </w:r>
      <w:r>
        <w:rPr>
          <w:color w:val="231F20"/>
        </w:rPr>
        <w:t>виявляється</w:t>
      </w:r>
      <w:r>
        <w:rPr>
          <w:color w:val="231F20"/>
          <w:spacing w:val="-14"/>
        </w:rPr>
        <w:t xml:space="preserve"> </w:t>
      </w:r>
      <w:r>
        <w:rPr>
          <w:color w:val="231F20"/>
        </w:rPr>
        <w:t>через інститут адміністративного (або «вільного»)</w:t>
      </w:r>
      <w:r>
        <w:rPr>
          <w:color w:val="231F20"/>
          <w:spacing w:val="-2"/>
        </w:rPr>
        <w:t xml:space="preserve"> </w:t>
      </w:r>
      <w:r>
        <w:rPr>
          <w:color w:val="231F20"/>
          <w:spacing w:val="-5"/>
        </w:rPr>
        <w:t>розсуду.</w:t>
      </w:r>
    </w:p>
    <w:p w14:paraId="37D65999" w14:textId="77777777" w:rsidR="00DE575E" w:rsidRDefault="002E7560">
      <w:pPr>
        <w:pStyle w:val="BodyText"/>
        <w:spacing w:before="2" w:line="252" w:lineRule="auto"/>
        <w:ind w:left="250" w:right="410" w:firstLine="283"/>
        <w:jc w:val="both"/>
      </w:pPr>
      <w:r>
        <w:rPr>
          <w:color w:val="231F20"/>
        </w:rPr>
        <w:t xml:space="preserve">Адміністративний  </w:t>
      </w:r>
      <w:r>
        <w:rPr>
          <w:color w:val="231F20"/>
          <w:spacing w:val="-3"/>
        </w:rPr>
        <w:t xml:space="preserve">розсуд  </w:t>
      </w:r>
      <w:r>
        <w:rPr>
          <w:color w:val="231F20"/>
        </w:rPr>
        <w:t>заст</w:t>
      </w:r>
      <w:r>
        <w:rPr>
          <w:color w:val="231F20"/>
        </w:rPr>
        <w:t xml:space="preserve">осовується  тоді,  коли  право-  вий припис, не встановлюючи конкретного варіанта дій, наділяє </w:t>
      </w:r>
      <w:r>
        <w:rPr>
          <w:color w:val="231F20"/>
          <w:spacing w:val="-3"/>
        </w:rPr>
        <w:t xml:space="preserve">суб’єкта </w:t>
      </w:r>
      <w:r>
        <w:rPr>
          <w:color w:val="231F20"/>
        </w:rPr>
        <w:t>публічного адміністрування  певним  ступенем  «свободи» у вирішенні конкретної адміністративної справи й ухваленні відпо- відного рішення, тобто це озна</w:t>
      </w:r>
      <w:r>
        <w:rPr>
          <w:color w:val="231F20"/>
        </w:rPr>
        <w:t>чає передбачену можливість вибору меж, установлених адміністративно-правовими</w:t>
      </w:r>
      <w:r>
        <w:rPr>
          <w:color w:val="231F20"/>
          <w:spacing w:val="-6"/>
        </w:rPr>
        <w:t xml:space="preserve"> </w:t>
      </w:r>
      <w:r>
        <w:rPr>
          <w:color w:val="231F20"/>
        </w:rPr>
        <w:t>нормами.</w:t>
      </w:r>
    </w:p>
    <w:p w14:paraId="35381335" w14:textId="77777777" w:rsidR="00DE575E" w:rsidRDefault="002E7560">
      <w:pPr>
        <w:pStyle w:val="BodyText"/>
        <w:spacing w:before="3" w:line="252" w:lineRule="auto"/>
        <w:ind w:left="250" w:right="409" w:firstLine="283"/>
        <w:jc w:val="both"/>
      </w:pPr>
      <w:r>
        <w:rPr>
          <w:color w:val="231F20"/>
        </w:rPr>
        <w:t>Адміністративно-правові</w:t>
      </w:r>
      <w:r>
        <w:rPr>
          <w:color w:val="231F20"/>
          <w:spacing w:val="-23"/>
        </w:rPr>
        <w:t xml:space="preserve"> </w:t>
      </w:r>
      <w:r>
        <w:rPr>
          <w:color w:val="231F20"/>
        </w:rPr>
        <w:t>норми</w:t>
      </w:r>
      <w:r>
        <w:rPr>
          <w:color w:val="231F20"/>
          <w:spacing w:val="-23"/>
        </w:rPr>
        <w:t xml:space="preserve"> </w:t>
      </w:r>
      <w:r>
        <w:rPr>
          <w:color w:val="231F20"/>
        </w:rPr>
        <w:t>можуть</w:t>
      </w:r>
      <w:r>
        <w:rPr>
          <w:color w:val="231F20"/>
          <w:spacing w:val="-23"/>
        </w:rPr>
        <w:t xml:space="preserve"> </w:t>
      </w:r>
      <w:r>
        <w:rPr>
          <w:color w:val="231F20"/>
        </w:rPr>
        <w:t>визначати</w:t>
      </w:r>
      <w:r>
        <w:rPr>
          <w:color w:val="231F20"/>
          <w:spacing w:val="-23"/>
        </w:rPr>
        <w:t xml:space="preserve"> </w:t>
      </w:r>
      <w:r>
        <w:rPr>
          <w:color w:val="231F20"/>
        </w:rPr>
        <w:t>цілі,</w:t>
      </w:r>
      <w:r>
        <w:rPr>
          <w:color w:val="231F20"/>
          <w:spacing w:val="-23"/>
        </w:rPr>
        <w:t xml:space="preserve"> </w:t>
      </w:r>
      <w:r>
        <w:rPr>
          <w:color w:val="231F20"/>
        </w:rPr>
        <w:t xml:space="preserve">завдання, компетенцію </w:t>
      </w:r>
      <w:r>
        <w:rPr>
          <w:color w:val="231F20"/>
          <w:spacing w:val="-3"/>
        </w:rPr>
        <w:t xml:space="preserve">суб’єктів </w:t>
      </w:r>
      <w:r>
        <w:rPr>
          <w:color w:val="231F20"/>
        </w:rPr>
        <w:t>публічного адміністрування, які вирішують те чи інше питання, але не регламентують с</w:t>
      </w:r>
      <w:r>
        <w:rPr>
          <w:color w:val="231F20"/>
        </w:rPr>
        <w:t xml:space="preserve">амого змісту рішення чи роблять це в дуже абстрактній формі, надаючи </w:t>
      </w:r>
      <w:r>
        <w:rPr>
          <w:color w:val="231F20"/>
          <w:spacing w:val="-3"/>
        </w:rPr>
        <w:t xml:space="preserve">органу, </w:t>
      </w:r>
      <w:r>
        <w:rPr>
          <w:color w:val="231F20"/>
        </w:rPr>
        <w:t>посадо- вій, службовий особі можливість самим вирішувати, чи є в тому чи іншому конкретному випадку обставини, за наявності яких можна вчиняти передбачені правовою нормою</w:t>
      </w:r>
      <w:r>
        <w:rPr>
          <w:color w:val="231F20"/>
          <w:spacing w:val="-1"/>
        </w:rPr>
        <w:t xml:space="preserve"> </w:t>
      </w:r>
      <w:r>
        <w:rPr>
          <w:color w:val="231F20"/>
        </w:rPr>
        <w:t>дії.</w:t>
      </w:r>
    </w:p>
    <w:p w14:paraId="43459CD0" w14:textId="77777777" w:rsidR="00DE575E" w:rsidRDefault="002E7560">
      <w:pPr>
        <w:pStyle w:val="BodyText"/>
        <w:spacing w:before="3" w:line="252" w:lineRule="auto"/>
        <w:ind w:left="250" w:right="411" w:firstLine="283"/>
        <w:jc w:val="both"/>
      </w:pPr>
      <w:r>
        <w:rPr>
          <w:color w:val="231F20"/>
          <w:spacing w:val="-3"/>
        </w:rPr>
        <w:t>Дин</w:t>
      </w:r>
      <w:r>
        <w:rPr>
          <w:color w:val="231F20"/>
          <w:spacing w:val="-3"/>
        </w:rPr>
        <w:t xml:space="preserve">амічний характер виконавчо-розпорядчої діяльності, </w:t>
      </w:r>
      <w:r>
        <w:rPr>
          <w:color w:val="231F20"/>
        </w:rPr>
        <w:t xml:space="preserve">її </w:t>
      </w:r>
      <w:r>
        <w:rPr>
          <w:color w:val="231F20"/>
          <w:spacing w:val="-6"/>
        </w:rPr>
        <w:t xml:space="preserve">об’єм- </w:t>
      </w:r>
      <w:r>
        <w:rPr>
          <w:color w:val="231F20"/>
          <w:spacing w:val="-3"/>
        </w:rPr>
        <w:t xml:space="preserve">ність вимагає розширеного простору </w:t>
      </w:r>
      <w:r>
        <w:rPr>
          <w:color w:val="231F20"/>
        </w:rPr>
        <w:t xml:space="preserve">в </w:t>
      </w:r>
      <w:r>
        <w:rPr>
          <w:color w:val="231F20"/>
          <w:spacing w:val="-3"/>
        </w:rPr>
        <w:t xml:space="preserve">правовому </w:t>
      </w:r>
      <w:r>
        <w:rPr>
          <w:color w:val="231F20"/>
          <w:spacing w:val="-4"/>
        </w:rPr>
        <w:t>регулюванні</w:t>
      </w:r>
    </w:p>
    <w:p w14:paraId="609DB91E" w14:textId="77777777" w:rsidR="00DE575E" w:rsidRDefault="00DE575E">
      <w:pPr>
        <w:pStyle w:val="BodyText"/>
        <w:rPr>
          <w:sz w:val="20"/>
        </w:rPr>
      </w:pPr>
    </w:p>
    <w:p w14:paraId="1DD3A0C6" w14:textId="4C89AABE" w:rsidR="00DE575E" w:rsidRDefault="002E7560">
      <w:pPr>
        <w:pStyle w:val="BodyText"/>
        <w:spacing w:before="10"/>
        <w:rPr>
          <w:sz w:val="12"/>
        </w:rPr>
      </w:pPr>
      <w:r>
        <w:rPr>
          <w:noProof/>
        </w:rPr>
        <mc:AlternateContent>
          <mc:Choice Requires="wps">
            <w:drawing>
              <wp:anchor distT="0" distB="0" distL="0" distR="0" simplePos="0" relativeHeight="10312" behindDoc="0" locked="0" layoutInCell="1" allowOverlap="1" wp14:anchorId="47043FB6" wp14:editId="2D8B1AA3">
                <wp:simplePos x="0" y="0"/>
                <wp:positionH relativeFrom="page">
                  <wp:posOffset>539750</wp:posOffset>
                </wp:positionH>
                <wp:positionV relativeFrom="paragraph">
                  <wp:posOffset>123190</wp:posOffset>
                </wp:positionV>
                <wp:extent cx="1080135" cy="0"/>
                <wp:effectExtent l="6350" t="8890" r="31115" b="29210"/>
                <wp:wrapTopAndBottom/>
                <wp:docPr id="768"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B54A8" id="Line_x0020_767" o:spid="_x0000_s1026" style="position:absolute;z-index:10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wWay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5DFalSANL&#10;2gnF0Xw2D9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" strokecolor="#231f20" strokeweight=".5pt">
                <w10:wrap type="topAndBottom" anchorx="page"/>
              </v:line>
            </w:pict>
          </mc:Fallback>
        </mc:AlternateContent>
      </w:r>
    </w:p>
    <w:p w14:paraId="5ACB7C7B" w14:textId="77777777" w:rsidR="00DE575E" w:rsidRDefault="002E7560">
      <w:pPr>
        <w:spacing w:line="204" w:lineRule="auto"/>
        <w:ind w:left="250" w:right="521"/>
        <w:rPr>
          <w:sz w:val="16"/>
        </w:rPr>
      </w:pPr>
      <w:r>
        <w:rPr>
          <w:color w:val="231F20"/>
          <w:position w:val="5"/>
          <w:sz w:val="9"/>
        </w:rPr>
        <w:t xml:space="preserve">1 </w:t>
      </w:r>
      <w:r>
        <w:rPr>
          <w:color w:val="231F20"/>
          <w:sz w:val="16"/>
        </w:rPr>
        <w:t>Порядок ведення Єдиного реєстру нотаріусів. Затверджено Наказом Міністерства юстиції України від 13.10.2010 № 2501.</w:t>
      </w:r>
    </w:p>
    <w:p w14:paraId="4B736F7F" w14:textId="77777777" w:rsidR="00DE575E" w:rsidRDefault="00DE575E">
      <w:pPr>
        <w:pStyle w:val="BodyText"/>
        <w:spacing w:before="1"/>
        <w:rPr>
          <w:sz w:val="12"/>
        </w:rPr>
      </w:pPr>
    </w:p>
    <w:p w14:paraId="26893BCC" w14:textId="77777777" w:rsidR="00DE575E" w:rsidRDefault="002E7560">
      <w:pPr>
        <w:spacing w:before="92"/>
        <w:ind w:right="411"/>
        <w:jc w:val="right"/>
        <w:rPr>
          <w:rFonts w:ascii="Times New Roman"/>
          <w:sz w:val="20"/>
        </w:rPr>
      </w:pPr>
      <w:r>
        <w:rPr>
          <w:rFonts w:ascii="Times New Roman"/>
          <w:color w:val="231F20"/>
          <w:w w:val="90"/>
          <w:sz w:val="20"/>
        </w:rPr>
        <w:t>253</w:t>
      </w:r>
    </w:p>
    <w:p w14:paraId="79C7C0B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F395B3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66D16EF" w14:textId="26D0EEF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90D0535" wp14:editId="0F2558EB">
                <wp:extent cx="4140200" cy="6350"/>
                <wp:effectExtent l="0" t="0" r="12700" b="6350"/>
                <wp:docPr id="766"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67" name="Line 76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8F8B7A" id="Group_x0020_76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5xRCggAIAAJgFAAAO&#10;AAAAAAAAAAAAAAAAACwCAABkcnMvZTJvRG9jLnhtbFBLAQItABQABgAIAAAAIQBMp7CQ2QAAAAMB&#10;AAAPAAAAAAAAAAAAAAAAANgEAABkcnMvZG93bnJldi54bWxQSwUGAAAAAAQABADzAAAA3gUAAAAA&#10;">
                <v:line id="Line_x0020_76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2WcYAAADcAAAADwAAAGRycy9kb3ducmV2LnhtbESP3WrCQBSE7wt9h+UUvCl1o4KW1FVE&#10;EMQL/9IHOGZPk9DdszG7mujTdwuCl8PMfMNM55014kqNrxwrGPQTEMS50xUXCr6z1ccnCB+QNRrH&#10;pOBGHuaz15cpptq1fKDrMRQiQtinqKAMoU6l9HlJFn3f1cTR+3GNxRBlU0jdYBvh1shhkoylxYrj&#10;Qok1LUvKf48XqyA7vwez321Mm+1OI3k6b0f3y1ap3lu3+AIRqAvP8KO91gom4wn8n4lH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59lnGAAAA3AAAAA8AAAAAAAAA&#10;AAAAAAAAoQIAAGRycy9kb3ducmV2LnhtbFBLBQYAAAAABAAEAPkAAACUAwAAAAA=&#10;" strokecolor="#231f20" strokeweight=".5pt"/>
                <w10:anchorlock/>
              </v:group>
            </w:pict>
          </mc:Fallback>
        </mc:AlternateContent>
      </w:r>
    </w:p>
    <w:p w14:paraId="3215B374" w14:textId="77777777" w:rsidR="00DE575E" w:rsidRDefault="00DE575E">
      <w:pPr>
        <w:pStyle w:val="BodyText"/>
        <w:spacing w:before="7"/>
        <w:rPr>
          <w:rFonts w:ascii="AdonisC"/>
          <w:i/>
          <w:sz w:val="11"/>
        </w:rPr>
      </w:pPr>
    </w:p>
    <w:p w14:paraId="059240D0" w14:textId="77777777" w:rsidR="00DE575E" w:rsidRDefault="002E7560">
      <w:pPr>
        <w:pStyle w:val="BodyText"/>
        <w:spacing w:before="101" w:line="252" w:lineRule="auto"/>
        <w:ind w:left="533" w:right="128"/>
        <w:jc w:val="both"/>
      </w:pPr>
      <w:r>
        <w:rPr>
          <w:color w:val="231F20"/>
          <w:spacing w:val="-3"/>
        </w:rPr>
        <w:t xml:space="preserve">дозволеної поведінки </w:t>
      </w:r>
      <w:r>
        <w:rPr>
          <w:color w:val="231F20"/>
        </w:rPr>
        <w:t xml:space="preserve">й </w:t>
      </w:r>
      <w:r>
        <w:rPr>
          <w:color w:val="231F20"/>
          <w:spacing w:val="-3"/>
        </w:rPr>
        <w:t xml:space="preserve">можливих варіантів </w:t>
      </w:r>
      <w:r>
        <w:rPr>
          <w:color w:val="231F20"/>
        </w:rPr>
        <w:t xml:space="preserve">її </w:t>
      </w:r>
      <w:r>
        <w:rPr>
          <w:color w:val="231F20"/>
          <w:spacing w:val="-3"/>
        </w:rPr>
        <w:t xml:space="preserve">наслідків. </w:t>
      </w:r>
      <w:r>
        <w:rPr>
          <w:color w:val="231F20"/>
        </w:rPr>
        <w:t xml:space="preserve">У </w:t>
      </w:r>
      <w:r>
        <w:rPr>
          <w:color w:val="231F20"/>
          <w:spacing w:val="-3"/>
        </w:rPr>
        <w:t xml:space="preserve">процесі реалізації такого положення </w:t>
      </w:r>
      <w:r>
        <w:rPr>
          <w:color w:val="231F20"/>
        </w:rPr>
        <w:t xml:space="preserve">та з </w:t>
      </w:r>
      <w:r>
        <w:rPr>
          <w:color w:val="231F20"/>
          <w:spacing w:val="-5"/>
        </w:rPr>
        <w:t xml:space="preserve">огляду </w:t>
      </w:r>
      <w:r>
        <w:rPr>
          <w:color w:val="231F20"/>
        </w:rPr>
        <w:t xml:space="preserve">на </w:t>
      </w:r>
      <w:r>
        <w:rPr>
          <w:color w:val="231F20"/>
          <w:spacing w:val="-2"/>
        </w:rPr>
        <w:t xml:space="preserve">нього, </w:t>
      </w:r>
      <w:r>
        <w:rPr>
          <w:color w:val="231F20"/>
        </w:rPr>
        <w:t xml:space="preserve">у </w:t>
      </w:r>
      <w:r>
        <w:rPr>
          <w:color w:val="231F20"/>
          <w:spacing w:val="-3"/>
        </w:rPr>
        <w:t xml:space="preserve">правозастосов- </w:t>
      </w:r>
      <w:r>
        <w:rPr>
          <w:color w:val="231F20"/>
        </w:rPr>
        <w:t xml:space="preserve">ній </w:t>
      </w:r>
      <w:r>
        <w:rPr>
          <w:color w:val="231F20"/>
          <w:spacing w:val="-3"/>
        </w:rPr>
        <w:t xml:space="preserve">діяльності </w:t>
      </w:r>
      <w:r>
        <w:rPr>
          <w:color w:val="231F20"/>
          <w:spacing w:val="-5"/>
        </w:rPr>
        <w:t xml:space="preserve">суб’єктів </w:t>
      </w:r>
      <w:r>
        <w:rPr>
          <w:color w:val="231F20"/>
          <w:spacing w:val="-3"/>
        </w:rPr>
        <w:t>публічного адміністрування дедалі предмет- ніше</w:t>
      </w:r>
      <w:r>
        <w:rPr>
          <w:color w:val="231F20"/>
          <w:spacing w:val="-11"/>
        </w:rPr>
        <w:t xml:space="preserve"> </w:t>
      </w:r>
      <w:r>
        <w:rPr>
          <w:color w:val="231F20"/>
          <w:spacing w:val="-3"/>
        </w:rPr>
        <w:t>використовуються</w:t>
      </w:r>
      <w:r>
        <w:rPr>
          <w:color w:val="231F20"/>
          <w:spacing w:val="-11"/>
        </w:rPr>
        <w:t xml:space="preserve"> </w:t>
      </w:r>
      <w:r>
        <w:rPr>
          <w:color w:val="231F20"/>
          <w:spacing w:val="-3"/>
        </w:rPr>
        <w:t>норми-принципи</w:t>
      </w:r>
      <w:r>
        <w:rPr>
          <w:color w:val="231F20"/>
          <w:spacing w:val="-11"/>
        </w:rPr>
        <w:t xml:space="preserve"> </w:t>
      </w:r>
      <w:r>
        <w:rPr>
          <w:color w:val="231F20"/>
        </w:rPr>
        <w:t>та</w:t>
      </w:r>
      <w:r>
        <w:rPr>
          <w:color w:val="231F20"/>
          <w:spacing w:val="-11"/>
        </w:rPr>
        <w:t xml:space="preserve"> </w:t>
      </w:r>
      <w:r>
        <w:rPr>
          <w:color w:val="231F20"/>
          <w:spacing w:val="-3"/>
        </w:rPr>
        <w:t>норми-цілі.</w:t>
      </w:r>
      <w:r>
        <w:rPr>
          <w:color w:val="231F20"/>
          <w:spacing w:val="-11"/>
        </w:rPr>
        <w:t xml:space="preserve"> </w:t>
      </w:r>
      <w:r>
        <w:rPr>
          <w:color w:val="231F20"/>
        </w:rPr>
        <w:t>У</w:t>
      </w:r>
      <w:r>
        <w:rPr>
          <w:color w:val="231F20"/>
          <w:spacing w:val="-11"/>
        </w:rPr>
        <w:t xml:space="preserve"> </w:t>
      </w:r>
      <w:r>
        <w:rPr>
          <w:color w:val="231F20"/>
        </w:rPr>
        <w:t>цих</w:t>
      </w:r>
      <w:r>
        <w:rPr>
          <w:color w:val="231F20"/>
          <w:spacing w:val="-11"/>
        </w:rPr>
        <w:t xml:space="preserve"> </w:t>
      </w:r>
      <w:r>
        <w:rPr>
          <w:color w:val="231F20"/>
          <w:spacing w:val="-3"/>
        </w:rPr>
        <w:t>нормах приписи</w:t>
      </w:r>
      <w:r>
        <w:rPr>
          <w:color w:val="231F20"/>
          <w:spacing w:val="-8"/>
        </w:rPr>
        <w:t xml:space="preserve"> </w:t>
      </w:r>
      <w:r>
        <w:rPr>
          <w:color w:val="231F20"/>
          <w:spacing w:val="-3"/>
        </w:rPr>
        <w:t>держави</w:t>
      </w:r>
      <w:r>
        <w:rPr>
          <w:color w:val="231F20"/>
          <w:spacing w:val="-8"/>
        </w:rPr>
        <w:t xml:space="preserve"> </w:t>
      </w:r>
      <w:r>
        <w:rPr>
          <w:color w:val="231F20"/>
        </w:rPr>
        <w:t>не</w:t>
      </w:r>
      <w:r>
        <w:rPr>
          <w:color w:val="231F20"/>
          <w:spacing w:val="-8"/>
        </w:rPr>
        <w:t xml:space="preserve"> </w:t>
      </w:r>
      <w:r>
        <w:rPr>
          <w:color w:val="231F20"/>
        </w:rPr>
        <w:t>конкретизовані,</w:t>
      </w:r>
      <w:r>
        <w:rPr>
          <w:color w:val="231F20"/>
          <w:spacing w:val="-8"/>
        </w:rPr>
        <w:t xml:space="preserve"> </w:t>
      </w:r>
      <w:r>
        <w:rPr>
          <w:color w:val="231F20"/>
        </w:rPr>
        <w:t>а</w:t>
      </w:r>
      <w:r>
        <w:rPr>
          <w:color w:val="231F20"/>
          <w:spacing w:val="-8"/>
        </w:rPr>
        <w:t xml:space="preserve"> </w:t>
      </w:r>
      <w:r>
        <w:rPr>
          <w:color w:val="231F20"/>
          <w:spacing w:val="-3"/>
        </w:rPr>
        <w:t>мають</w:t>
      </w:r>
      <w:r>
        <w:rPr>
          <w:color w:val="231F20"/>
          <w:spacing w:val="-8"/>
        </w:rPr>
        <w:t xml:space="preserve"> </w:t>
      </w:r>
      <w:r>
        <w:rPr>
          <w:color w:val="231F20"/>
        </w:rPr>
        <w:t>оціночний</w:t>
      </w:r>
      <w:r>
        <w:rPr>
          <w:color w:val="231F20"/>
          <w:spacing w:val="-8"/>
        </w:rPr>
        <w:t xml:space="preserve"> </w:t>
      </w:r>
      <w:r>
        <w:rPr>
          <w:color w:val="231F20"/>
          <w:spacing w:val="-4"/>
        </w:rPr>
        <w:t>характер.</w:t>
      </w:r>
    </w:p>
    <w:p w14:paraId="56CD0C9B" w14:textId="77777777" w:rsidR="00DE575E" w:rsidRDefault="002E7560">
      <w:pPr>
        <w:spacing w:before="2" w:line="252" w:lineRule="auto"/>
        <w:ind w:left="533" w:right="129" w:firstLine="283"/>
        <w:jc w:val="both"/>
        <w:rPr>
          <w:b/>
          <w:i/>
          <w:sz w:val="21"/>
        </w:rPr>
      </w:pPr>
      <w:r>
        <w:rPr>
          <w:color w:val="231F20"/>
          <w:sz w:val="21"/>
        </w:rPr>
        <w:t xml:space="preserve">Ступінь визначеності адміністративно-правової норми дає змогу виділити такі </w:t>
      </w:r>
      <w:r>
        <w:rPr>
          <w:b/>
          <w:i/>
          <w:color w:val="231F20"/>
          <w:sz w:val="21"/>
        </w:rPr>
        <w:t>види адміністративного розсуду:</w:t>
      </w:r>
    </w:p>
    <w:p w14:paraId="1369741F" w14:textId="77777777" w:rsidR="00DE575E" w:rsidRDefault="002E7560">
      <w:pPr>
        <w:pStyle w:val="ListParagraph"/>
        <w:numPr>
          <w:ilvl w:val="0"/>
          <w:numId w:val="172"/>
        </w:numPr>
        <w:tabs>
          <w:tab w:val="left" w:pos="1101"/>
        </w:tabs>
        <w:spacing w:line="252" w:lineRule="auto"/>
        <w:ind w:right="127" w:firstLine="284"/>
        <w:jc w:val="both"/>
        <w:rPr>
          <w:sz w:val="21"/>
        </w:rPr>
      </w:pPr>
      <w:r>
        <w:rPr>
          <w:i/>
          <w:color w:val="231F20"/>
          <w:sz w:val="21"/>
        </w:rPr>
        <w:t xml:space="preserve">адміністративний   розсуд   першого   </w:t>
      </w:r>
      <w:r>
        <w:rPr>
          <w:color w:val="231F20"/>
          <w:sz w:val="21"/>
        </w:rPr>
        <w:t>виду    може    полягати в наданні органу публічного адміністрування, посадовій, службовій особі</w:t>
      </w:r>
      <w:r>
        <w:rPr>
          <w:color w:val="231F20"/>
          <w:spacing w:val="-12"/>
          <w:sz w:val="21"/>
        </w:rPr>
        <w:t xml:space="preserve"> </w:t>
      </w:r>
      <w:r>
        <w:rPr>
          <w:color w:val="231F20"/>
          <w:sz w:val="21"/>
        </w:rPr>
        <w:t>права</w:t>
      </w:r>
      <w:r>
        <w:rPr>
          <w:color w:val="231F20"/>
          <w:spacing w:val="-12"/>
          <w:sz w:val="21"/>
        </w:rPr>
        <w:t xml:space="preserve"> </w:t>
      </w:r>
      <w:r>
        <w:rPr>
          <w:color w:val="231F20"/>
          <w:sz w:val="21"/>
        </w:rPr>
        <w:t>на</w:t>
      </w:r>
      <w:r>
        <w:rPr>
          <w:color w:val="231F20"/>
          <w:spacing w:val="-12"/>
          <w:sz w:val="21"/>
        </w:rPr>
        <w:t xml:space="preserve"> </w:t>
      </w:r>
      <w:r>
        <w:rPr>
          <w:color w:val="231F20"/>
          <w:sz w:val="21"/>
        </w:rPr>
        <w:t>його</w:t>
      </w:r>
      <w:r>
        <w:rPr>
          <w:color w:val="231F20"/>
          <w:spacing w:val="-12"/>
          <w:sz w:val="21"/>
        </w:rPr>
        <w:t xml:space="preserve"> </w:t>
      </w:r>
      <w:r>
        <w:rPr>
          <w:color w:val="231F20"/>
          <w:spacing w:val="-3"/>
          <w:sz w:val="21"/>
        </w:rPr>
        <w:t>розсуд</w:t>
      </w:r>
      <w:r>
        <w:rPr>
          <w:color w:val="231F20"/>
          <w:spacing w:val="-12"/>
          <w:sz w:val="21"/>
        </w:rPr>
        <w:t xml:space="preserve"> </w:t>
      </w:r>
      <w:r>
        <w:rPr>
          <w:color w:val="231F20"/>
          <w:sz w:val="21"/>
        </w:rPr>
        <w:t>оцінювати</w:t>
      </w:r>
      <w:r>
        <w:rPr>
          <w:color w:val="231F20"/>
          <w:spacing w:val="-12"/>
          <w:sz w:val="21"/>
        </w:rPr>
        <w:t xml:space="preserve"> </w:t>
      </w:r>
      <w:r>
        <w:rPr>
          <w:color w:val="231F20"/>
          <w:sz w:val="21"/>
        </w:rPr>
        <w:t>не</w:t>
      </w:r>
      <w:r>
        <w:rPr>
          <w:color w:val="231F20"/>
          <w:spacing w:val="-12"/>
          <w:sz w:val="21"/>
        </w:rPr>
        <w:t xml:space="preserve"> </w:t>
      </w:r>
      <w:r>
        <w:rPr>
          <w:color w:val="231F20"/>
          <w:sz w:val="21"/>
        </w:rPr>
        <w:t>тільки</w:t>
      </w:r>
      <w:r>
        <w:rPr>
          <w:color w:val="231F20"/>
          <w:spacing w:val="-12"/>
          <w:sz w:val="21"/>
        </w:rPr>
        <w:t xml:space="preserve"> </w:t>
      </w:r>
      <w:r>
        <w:rPr>
          <w:color w:val="231F20"/>
          <w:sz w:val="21"/>
        </w:rPr>
        <w:t>юридичний</w:t>
      </w:r>
      <w:r>
        <w:rPr>
          <w:color w:val="231F20"/>
          <w:spacing w:val="-12"/>
          <w:sz w:val="21"/>
        </w:rPr>
        <w:t xml:space="preserve"> </w:t>
      </w:r>
      <w:r>
        <w:rPr>
          <w:color w:val="231F20"/>
          <w:spacing w:val="-4"/>
          <w:sz w:val="21"/>
        </w:rPr>
        <w:t>факт,</w:t>
      </w:r>
      <w:r>
        <w:rPr>
          <w:color w:val="231F20"/>
          <w:spacing w:val="-12"/>
          <w:sz w:val="21"/>
        </w:rPr>
        <w:t xml:space="preserve"> </w:t>
      </w:r>
      <w:r>
        <w:rPr>
          <w:color w:val="231F20"/>
          <w:sz w:val="21"/>
        </w:rPr>
        <w:t xml:space="preserve">але видати правозастосовний акт на підставі вільного вибору одного    з рівноцінних із погляду законності варіантів вирішення справи, передбаченого адміністративно-правовою нормою. У такому разі адміністративний </w:t>
      </w:r>
      <w:r>
        <w:rPr>
          <w:color w:val="231F20"/>
          <w:spacing w:val="-3"/>
          <w:sz w:val="21"/>
        </w:rPr>
        <w:t xml:space="preserve">розсуд </w:t>
      </w:r>
      <w:r>
        <w:rPr>
          <w:color w:val="231F20"/>
          <w:sz w:val="21"/>
        </w:rPr>
        <w:t xml:space="preserve">започаткований як двоєдине дійство, що стосується як оцінки юридичного </w:t>
      </w:r>
      <w:r>
        <w:rPr>
          <w:color w:val="231F20"/>
          <w:spacing w:val="-4"/>
          <w:sz w:val="21"/>
        </w:rPr>
        <w:t xml:space="preserve">факту, </w:t>
      </w:r>
      <w:r>
        <w:rPr>
          <w:color w:val="231F20"/>
          <w:sz w:val="21"/>
        </w:rPr>
        <w:t>так і вибору одного з видів адміністративного</w:t>
      </w:r>
      <w:r>
        <w:rPr>
          <w:color w:val="231F20"/>
          <w:spacing w:val="-1"/>
          <w:sz w:val="21"/>
        </w:rPr>
        <w:t xml:space="preserve"> </w:t>
      </w:r>
      <w:r>
        <w:rPr>
          <w:color w:val="231F20"/>
          <w:sz w:val="21"/>
        </w:rPr>
        <w:t>стягнення</w:t>
      </w:r>
      <w:r>
        <w:rPr>
          <w:b/>
          <w:i/>
          <w:color w:val="231F20"/>
          <w:position w:val="7"/>
          <w:sz w:val="12"/>
        </w:rPr>
        <w:t>1</w:t>
      </w:r>
      <w:r>
        <w:rPr>
          <w:color w:val="231F20"/>
          <w:sz w:val="21"/>
        </w:rPr>
        <w:t>;</w:t>
      </w:r>
    </w:p>
    <w:p w14:paraId="4F988C9F" w14:textId="77777777" w:rsidR="00DE575E" w:rsidRDefault="002E7560">
      <w:pPr>
        <w:pStyle w:val="ListParagraph"/>
        <w:numPr>
          <w:ilvl w:val="0"/>
          <w:numId w:val="172"/>
        </w:numPr>
        <w:tabs>
          <w:tab w:val="left" w:pos="1101"/>
        </w:tabs>
        <w:spacing w:before="5" w:line="252" w:lineRule="auto"/>
        <w:ind w:right="127" w:firstLine="284"/>
        <w:jc w:val="both"/>
        <w:rPr>
          <w:sz w:val="21"/>
        </w:rPr>
      </w:pPr>
      <w:r>
        <w:rPr>
          <w:i/>
          <w:color w:val="231F20"/>
          <w:sz w:val="21"/>
        </w:rPr>
        <w:t xml:space="preserve">адміністративний розсуд другого </w:t>
      </w:r>
      <w:r>
        <w:rPr>
          <w:color w:val="231F20"/>
          <w:sz w:val="21"/>
        </w:rPr>
        <w:t xml:space="preserve">виду наявний тоді, коли норма права уповноважує орган публічного адміністрування або посадову чи службову особу діяти на власний </w:t>
      </w:r>
      <w:r>
        <w:rPr>
          <w:color w:val="231F20"/>
          <w:spacing w:val="-3"/>
          <w:sz w:val="21"/>
        </w:rPr>
        <w:t xml:space="preserve">розсуд </w:t>
      </w:r>
      <w:r>
        <w:rPr>
          <w:color w:val="231F20"/>
          <w:sz w:val="21"/>
        </w:rPr>
        <w:t xml:space="preserve">під час реалі- зації наданих їм повноважень. Йдеться про повноваження органів із надання громадянам певних </w:t>
      </w:r>
      <w:r>
        <w:rPr>
          <w:color w:val="231F20"/>
          <w:spacing w:val="-3"/>
          <w:sz w:val="21"/>
        </w:rPr>
        <w:t>суб’єктивних</w:t>
      </w:r>
      <w:r>
        <w:rPr>
          <w:color w:val="231F20"/>
          <w:spacing w:val="-1"/>
          <w:sz w:val="21"/>
        </w:rPr>
        <w:t xml:space="preserve"> </w:t>
      </w:r>
      <w:r>
        <w:rPr>
          <w:color w:val="231F20"/>
          <w:sz w:val="21"/>
        </w:rPr>
        <w:t>прав;</w:t>
      </w:r>
    </w:p>
    <w:p w14:paraId="2A5794EB" w14:textId="77777777" w:rsidR="00DE575E" w:rsidRDefault="002E7560">
      <w:pPr>
        <w:pStyle w:val="ListParagraph"/>
        <w:numPr>
          <w:ilvl w:val="0"/>
          <w:numId w:val="172"/>
        </w:numPr>
        <w:tabs>
          <w:tab w:val="left" w:pos="1101"/>
        </w:tabs>
        <w:spacing w:before="2" w:line="252" w:lineRule="auto"/>
        <w:ind w:right="126" w:firstLine="284"/>
        <w:jc w:val="both"/>
        <w:rPr>
          <w:sz w:val="21"/>
        </w:rPr>
      </w:pPr>
      <w:r>
        <w:rPr>
          <w:i/>
          <w:color w:val="231F20"/>
          <w:sz w:val="21"/>
        </w:rPr>
        <w:t xml:space="preserve">до адміністративного розсуду третього </w:t>
      </w:r>
      <w:r>
        <w:rPr>
          <w:color w:val="231F20"/>
          <w:sz w:val="21"/>
        </w:rPr>
        <w:t>виду можна відне- сти ухвалення органом  публічного  адміністрування,  посадовою  чи службовою особою рішення на підставі норм, які містять гнучкі неконкретні (оціночні) поняття, такі як «доцільність»,</w:t>
      </w:r>
      <w:r>
        <w:rPr>
          <w:color w:val="231F20"/>
          <w:spacing w:val="-13"/>
          <w:sz w:val="21"/>
        </w:rPr>
        <w:t xml:space="preserve"> </w:t>
      </w:r>
      <w:r>
        <w:rPr>
          <w:color w:val="231F20"/>
          <w:sz w:val="21"/>
        </w:rPr>
        <w:t>«потреба»,</w:t>
      </w:r>
    </w:p>
    <w:p w14:paraId="7CF8B716" w14:textId="77777777" w:rsidR="00DE575E" w:rsidRDefault="002E7560">
      <w:pPr>
        <w:pStyle w:val="BodyText"/>
        <w:spacing w:before="2" w:line="252" w:lineRule="auto"/>
        <w:ind w:left="533" w:right="128"/>
        <w:jc w:val="both"/>
      </w:pPr>
      <w:r>
        <w:rPr>
          <w:color w:val="231F20"/>
        </w:rPr>
        <w:t xml:space="preserve">«з важливих підстав». </w:t>
      </w:r>
      <w:r>
        <w:rPr>
          <w:color w:val="231F20"/>
          <w:spacing w:val="-4"/>
        </w:rPr>
        <w:t xml:space="preserve">Таким </w:t>
      </w:r>
      <w:r>
        <w:rPr>
          <w:color w:val="231F20"/>
        </w:rPr>
        <w:t>чином, потреба застосовувати адмі- ністративний</w:t>
      </w:r>
      <w:r>
        <w:rPr>
          <w:color w:val="231F20"/>
          <w:spacing w:val="-9"/>
        </w:rPr>
        <w:t xml:space="preserve"> </w:t>
      </w:r>
      <w:r>
        <w:rPr>
          <w:color w:val="231F20"/>
          <w:spacing w:val="-3"/>
        </w:rPr>
        <w:t>розсуд</w:t>
      </w:r>
      <w:r>
        <w:rPr>
          <w:color w:val="231F20"/>
          <w:spacing w:val="-9"/>
        </w:rPr>
        <w:t xml:space="preserve"> </w:t>
      </w:r>
      <w:r>
        <w:rPr>
          <w:color w:val="231F20"/>
        </w:rPr>
        <w:t>зумовлюється</w:t>
      </w:r>
      <w:r>
        <w:rPr>
          <w:color w:val="231F20"/>
          <w:spacing w:val="-9"/>
        </w:rPr>
        <w:t xml:space="preserve"> </w:t>
      </w:r>
      <w:r>
        <w:rPr>
          <w:color w:val="231F20"/>
        </w:rPr>
        <w:t>самим</w:t>
      </w:r>
      <w:r>
        <w:rPr>
          <w:color w:val="231F20"/>
          <w:spacing w:val="-9"/>
        </w:rPr>
        <w:t xml:space="preserve"> </w:t>
      </w:r>
      <w:r>
        <w:rPr>
          <w:color w:val="231F20"/>
        </w:rPr>
        <w:t>формулюванням</w:t>
      </w:r>
      <w:r>
        <w:rPr>
          <w:color w:val="231F20"/>
          <w:spacing w:val="-9"/>
        </w:rPr>
        <w:t xml:space="preserve"> </w:t>
      </w:r>
      <w:r>
        <w:rPr>
          <w:color w:val="231F20"/>
        </w:rPr>
        <w:t>правила норми</w:t>
      </w:r>
      <w:r>
        <w:rPr>
          <w:color w:val="231F20"/>
          <w:position w:val="7"/>
          <w:sz w:val="12"/>
        </w:rPr>
        <w:t>2</w:t>
      </w:r>
      <w:r>
        <w:rPr>
          <w:color w:val="231F20"/>
        </w:rPr>
        <w:t>.</w:t>
      </w:r>
    </w:p>
    <w:p w14:paraId="6C94BE47" w14:textId="77777777" w:rsidR="00DE575E" w:rsidRDefault="002E7560">
      <w:pPr>
        <w:spacing w:before="1" w:line="252" w:lineRule="auto"/>
        <w:ind w:left="533" w:right="129" w:firstLine="283"/>
        <w:jc w:val="both"/>
        <w:rPr>
          <w:sz w:val="21"/>
        </w:rPr>
      </w:pPr>
      <w:r>
        <w:rPr>
          <w:color w:val="231F20"/>
          <w:sz w:val="21"/>
        </w:rPr>
        <w:t xml:space="preserve">Крім того в юридичній літературі виділяють й </w:t>
      </w:r>
      <w:r>
        <w:rPr>
          <w:b/>
          <w:i/>
          <w:color w:val="231F20"/>
          <w:sz w:val="21"/>
        </w:rPr>
        <w:t>інші варіанти адміністративного розсуду</w:t>
      </w:r>
      <w:r>
        <w:rPr>
          <w:color w:val="231F20"/>
          <w:sz w:val="21"/>
        </w:rPr>
        <w:t>:</w:t>
      </w:r>
    </w:p>
    <w:p w14:paraId="21548A3A" w14:textId="77777777" w:rsidR="00DE575E" w:rsidRDefault="002E7560">
      <w:pPr>
        <w:pStyle w:val="ListParagraph"/>
        <w:numPr>
          <w:ilvl w:val="1"/>
          <w:numId w:val="254"/>
        </w:numPr>
        <w:tabs>
          <w:tab w:val="left" w:pos="1101"/>
        </w:tabs>
        <w:spacing w:line="252" w:lineRule="auto"/>
        <w:ind w:right="126" w:firstLine="284"/>
        <w:rPr>
          <w:sz w:val="21"/>
        </w:rPr>
      </w:pPr>
      <w:r>
        <w:rPr>
          <w:color w:val="231F20"/>
          <w:sz w:val="21"/>
        </w:rPr>
        <w:t xml:space="preserve">адміністративний розсуд імперативного </w:t>
      </w:r>
      <w:r>
        <w:rPr>
          <w:color w:val="231F20"/>
          <w:spacing w:val="-3"/>
          <w:sz w:val="21"/>
        </w:rPr>
        <w:t xml:space="preserve">типу. </w:t>
      </w:r>
      <w:r>
        <w:rPr>
          <w:color w:val="231F20"/>
          <w:sz w:val="21"/>
        </w:rPr>
        <w:t>Він наявний, коли адміністративно-правова норма, установлюючи</w:t>
      </w:r>
      <w:r>
        <w:rPr>
          <w:color w:val="231F20"/>
          <w:spacing w:val="25"/>
          <w:sz w:val="21"/>
        </w:rPr>
        <w:t xml:space="preserve"> </w:t>
      </w:r>
      <w:r>
        <w:rPr>
          <w:color w:val="231F20"/>
          <w:sz w:val="21"/>
        </w:rPr>
        <w:t>можливі</w:t>
      </w:r>
    </w:p>
    <w:p w14:paraId="4347A438" w14:textId="02B07644" w:rsidR="00DE575E" w:rsidRDefault="002E7560">
      <w:pPr>
        <w:pStyle w:val="BodyText"/>
        <w:spacing w:before="2"/>
        <w:rPr>
          <w:sz w:val="23"/>
        </w:rPr>
      </w:pPr>
      <w:r>
        <w:rPr>
          <w:noProof/>
        </w:rPr>
        <mc:AlternateContent>
          <mc:Choice Requires="wps">
            <w:drawing>
              <wp:anchor distT="0" distB="0" distL="0" distR="0" simplePos="0" relativeHeight="10360" behindDoc="0" locked="0" layoutInCell="1" allowOverlap="1" wp14:anchorId="764628F4" wp14:editId="69A53A0A">
                <wp:simplePos x="0" y="0"/>
                <wp:positionH relativeFrom="page">
                  <wp:posOffset>719455</wp:posOffset>
                </wp:positionH>
                <wp:positionV relativeFrom="paragraph">
                  <wp:posOffset>200660</wp:posOffset>
                </wp:positionV>
                <wp:extent cx="1080135" cy="0"/>
                <wp:effectExtent l="8255" t="10160" r="29210" b="27940"/>
                <wp:wrapTopAndBottom/>
                <wp:docPr id="765"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E6AF0" id="Line_x0020_764" o:spid="_x0000_s1026" style="position:absolute;z-index:10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8pt" to="141.7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" strokecolor="#231f20" strokeweight=".5pt">
                <w10:wrap type="topAndBottom" anchorx="page"/>
              </v:line>
            </w:pict>
          </mc:Fallback>
        </mc:AlternateContent>
      </w:r>
    </w:p>
    <w:p w14:paraId="2E73C752" w14:textId="77777777" w:rsidR="00DE575E" w:rsidRDefault="002E7560">
      <w:pPr>
        <w:spacing w:line="204" w:lineRule="auto"/>
        <w:ind w:left="533" w:right="128"/>
        <w:jc w:val="both"/>
        <w:rPr>
          <w:i/>
          <w:sz w:val="16"/>
        </w:rPr>
      </w:pPr>
      <w:r>
        <w:rPr>
          <w:color w:val="231F20"/>
          <w:position w:val="5"/>
          <w:sz w:val="9"/>
        </w:rPr>
        <w:t xml:space="preserve">1 </w:t>
      </w:r>
      <w:r>
        <w:rPr>
          <w:i/>
          <w:color w:val="231F20"/>
          <w:sz w:val="16"/>
          <w:u w:val="single" w:color="231F20"/>
        </w:rPr>
        <w:t>Приклад:</w:t>
      </w:r>
      <w:r>
        <w:rPr>
          <w:i/>
          <w:color w:val="231F20"/>
          <w:sz w:val="16"/>
        </w:rPr>
        <w:t xml:space="preserve"> згідно зі ст. 20 Податкового кодексу України, зокрема п. 20.1.29., орган конт- </w:t>
      </w:r>
      <w:r>
        <w:rPr>
          <w:i/>
          <w:color w:val="231F20"/>
          <w:sz w:val="16"/>
        </w:rPr>
        <w:t>ролю має право ухвалити рішення про розстрочення та відстрочення грошових зобов’я- зань і податкового боргу, а також списання безнадійного податкового боргу в порядку, передбаченому законодавством.</w:t>
      </w:r>
    </w:p>
    <w:p w14:paraId="2AB25980" w14:textId="77777777" w:rsidR="00DE575E" w:rsidRDefault="002E7560">
      <w:pPr>
        <w:spacing w:before="27" w:line="204" w:lineRule="auto"/>
        <w:ind w:left="533" w:right="128"/>
        <w:jc w:val="both"/>
        <w:rPr>
          <w:sz w:val="16"/>
        </w:rPr>
      </w:pPr>
      <w:r>
        <w:rPr>
          <w:color w:val="231F20"/>
          <w:position w:val="5"/>
          <w:sz w:val="9"/>
        </w:rPr>
        <w:t xml:space="preserve">2 </w:t>
      </w:r>
      <w:r>
        <w:rPr>
          <w:color w:val="231F20"/>
          <w:sz w:val="16"/>
          <w:u w:val="single" w:color="231F20"/>
        </w:rPr>
        <w:t>Приклад:</w:t>
      </w:r>
      <w:r>
        <w:rPr>
          <w:color w:val="231F20"/>
          <w:sz w:val="16"/>
        </w:rPr>
        <w:t xml:space="preserve"> згідно з ч. 1 ст. 21 КУпАП особа, яка вчинила а</w:t>
      </w:r>
      <w:r>
        <w:rPr>
          <w:color w:val="231F20"/>
          <w:sz w:val="16"/>
        </w:rPr>
        <w:t>дміністративне правопору- шення, звільняється від адміністративної відповідальності з переданням матеріалів на розгляд громадської організації або трудового колективу, якщо з урахуванням характеру вчиненого й особи правопорушника до нього «доцільно» застос</w:t>
      </w:r>
      <w:r>
        <w:rPr>
          <w:color w:val="231F20"/>
          <w:sz w:val="16"/>
        </w:rPr>
        <w:t>увати заходи громад- ського впливу.</w:t>
      </w:r>
    </w:p>
    <w:p w14:paraId="17204CA2" w14:textId="77777777" w:rsidR="00DE575E" w:rsidRDefault="00DE575E">
      <w:pPr>
        <w:pStyle w:val="BodyText"/>
        <w:spacing w:before="7"/>
        <w:rPr>
          <w:sz w:val="12"/>
        </w:rPr>
      </w:pPr>
    </w:p>
    <w:p w14:paraId="4D28A11E" w14:textId="77777777" w:rsidR="00DE575E" w:rsidRDefault="002E7560">
      <w:pPr>
        <w:spacing w:before="91"/>
        <w:ind w:left="533"/>
        <w:rPr>
          <w:rFonts w:ascii="Times New Roman"/>
          <w:sz w:val="20"/>
        </w:rPr>
      </w:pPr>
      <w:r>
        <w:rPr>
          <w:rFonts w:ascii="Times New Roman"/>
          <w:color w:val="231F20"/>
          <w:sz w:val="20"/>
        </w:rPr>
        <w:t>254</w:t>
      </w:r>
    </w:p>
    <w:p w14:paraId="2AB9D391" w14:textId="77777777" w:rsidR="00DE575E" w:rsidRDefault="00DE575E">
      <w:pPr>
        <w:rPr>
          <w:rFonts w:ascii="Times New Roman"/>
          <w:sz w:val="20"/>
        </w:rPr>
        <w:sectPr w:rsidR="00DE575E">
          <w:pgSz w:w="8510" w:h="12760"/>
          <w:pgMar w:top="660" w:right="720" w:bottom="280" w:left="600" w:header="720" w:footer="720" w:gutter="0"/>
          <w:cols w:space="720"/>
        </w:sectPr>
      </w:pPr>
    </w:p>
    <w:p w14:paraId="35F62915"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3F92E871" w14:textId="409EB2A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C9E1877" wp14:editId="4FF9E3A3">
                <wp:extent cx="4140200" cy="6350"/>
                <wp:effectExtent l="0" t="0" r="12700" b="6350"/>
                <wp:docPr id="76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64" name="Line 7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04AFD3" id="Group_x0020_7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DtYL5/AgAAmAUAAA4A&#10;AAAAAAAAAAAAAAAALAIAAGRycy9lMm9Eb2MueG1sUEsBAi0AFAAGAAgAAAAhAEynsJDZAAAAAwEA&#10;AA8AAAAAAAAAAAAAAAAA1wQAAGRycy9kb3ducmV2LnhtbFBLBQYAAAAABAAEAPMAAADdBQAAAAA=&#10;">
                <v:line id="Line_x0020_7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toLsYAAADcAAAADwAAAGRycy9kb3ducmV2LnhtbESP0WrCQBRE3wv+w3IFX0rdqMVKdBUp&#10;FEoftDX9gGv2mgR378bsaqJf7wqFPg4zc4ZZrDprxIUaXzlWMBomIIhzpysuFPxmHy8zED4gazSO&#10;ScGVPKyWvacFptq1/EOXXShEhLBPUUEZQp1K6fOSLPqhq4mjd3CNxRBlU0jdYBvh1shxkkylxYrj&#10;Qok1vZeUH3dnqyA7PQfzvf0ybbbdT+T+tJnczhulBv1uPQcRqAv/4b/2p1bwNn2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raC7GAAAA3AAAAA8AAAAAAAAA&#10;AAAAAAAAoQIAAGRycy9kb3ducmV2LnhtbFBLBQYAAAAABAAEAPkAAACUAwAAAAA=&#10;" strokecolor="#231f20" strokeweight=".5pt"/>
                <w10:anchorlock/>
              </v:group>
            </w:pict>
          </mc:Fallback>
        </mc:AlternateContent>
      </w:r>
    </w:p>
    <w:p w14:paraId="01EBFA6A" w14:textId="77777777" w:rsidR="00DE575E" w:rsidRDefault="00DE575E">
      <w:pPr>
        <w:pStyle w:val="BodyText"/>
        <w:spacing w:before="7"/>
        <w:rPr>
          <w:rFonts w:ascii="AdonisC"/>
          <w:i/>
          <w:sz w:val="19"/>
        </w:rPr>
      </w:pPr>
    </w:p>
    <w:p w14:paraId="54F2734C" w14:textId="77777777" w:rsidR="00DE575E" w:rsidRDefault="002E7560">
      <w:pPr>
        <w:pStyle w:val="BodyText"/>
        <w:spacing w:before="1" w:line="252" w:lineRule="auto"/>
        <w:ind w:left="250" w:right="411"/>
        <w:jc w:val="both"/>
      </w:pPr>
      <w:r>
        <w:rPr>
          <w:color w:val="231F20"/>
        </w:rPr>
        <w:t xml:space="preserve">варіанти рішень, залишає на розсуд суб’єктів </w:t>
      </w:r>
      <w:r>
        <w:rPr>
          <w:color w:val="231F20"/>
        </w:rPr>
        <w:t>адміністрації вибір одного з цих варіантів;</w:t>
      </w:r>
    </w:p>
    <w:p w14:paraId="743E0CB1" w14:textId="77777777" w:rsidR="00DE575E" w:rsidRDefault="002E7560">
      <w:pPr>
        <w:pStyle w:val="BodyText"/>
        <w:spacing w:before="1" w:line="252" w:lineRule="auto"/>
        <w:ind w:left="250" w:right="410" w:firstLine="283"/>
        <w:jc w:val="both"/>
      </w:pPr>
      <w:r>
        <w:rPr>
          <w:rFonts w:ascii="Wingdings" w:hAnsi="Wingdings"/>
          <w:color w:val="231F20"/>
        </w:rPr>
        <w:t></w:t>
      </w:r>
      <w:r>
        <w:rPr>
          <w:rFonts w:ascii="Times New Roman" w:hAnsi="Times New Roman"/>
          <w:color w:val="231F20"/>
        </w:rPr>
        <w:t xml:space="preserve"> </w:t>
      </w:r>
      <w:r>
        <w:rPr>
          <w:color w:val="231F20"/>
        </w:rPr>
        <w:t>адміністративний розсуд диспозитивного типу – такий стан, коли адміністративно-правова норма вповноважує суб’єктів адмі- ністрації діяти на власний розсуд під час реалізації наданих їм повноважень;</w:t>
      </w:r>
    </w:p>
    <w:p w14:paraId="0B79CA3B" w14:textId="77777777" w:rsidR="00DE575E" w:rsidRDefault="002E7560">
      <w:pPr>
        <w:pStyle w:val="BodyText"/>
        <w:spacing w:before="2" w:line="252" w:lineRule="auto"/>
        <w:ind w:left="250" w:right="407" w:firstLine="283"/>
        <w:jc w:val="both"/>
      </w:pPr>
      <w:r>
        <w:rPr>
          <w:rFonts w:ascii="Wingdings" w:hAnsi="Wingdings"/>
          <w:color w:val="231F20"/>
        </w:rPr>
        <w:t></w:t>
      </w:r>
      <w:r>
        <w:rPr>
          <w:rFonts w:ascii="Times New Roman" w:hAnsi="Times New Roman"/>
          <w:color w:val="231F20"/>
        </w:rPr>
        <w:t xml:space="preserve"> </w:t>
      </w:r>
      <w:r>
        <w:rPr>
          <w:color w:val="231F20"/>
        </w:rPr>
        <w:t>адміністративний розсуд інтерпретаційного типу – пов’я- заний з оцінюванням публічного інтересу та суб’єктивною інтер- претацією оціночних понять, таких як «доцільність», «потреба», «з важливих підстав» тощо.</w:t>
      </w:r>
    </w:p>
    <w:p w14:paraId="5A4FEA83" w14:textId="77777777" w:rsidR="00DE575E" w:rsidRDefault="002E7560">
      <w:pPr>
        <w:spacing w:before="2" w:line="252" w:lineRule="auto"/>
        <w:ind w:left="250" w:right="411" w:firstLine="283"/>
        <w:jc w:val="both"/>
        <w:rPr>
          <w:i/>
          <w:sz w:val="21"/>
        </w:rPr>
      </w:pPr>
      <w:r>
        <w:rPr>
          <w:color w:val="231F20"/>
          <w:sz w:val="21"/>
        </w:rPr>
        <w:t xml:space="preserve">Адміністративний розсуд у діяльності суб’єктів </w:t>
      </w:r>
      <w:r>
        <w:rPr>
          <w:color w:val="231F20"/>
          <w:sz w:val="21"/>
        </w:rPr>
        <w:t xml:space="preserve">публічної адмі- ністрації пов’язаний із </w:t>
      </w:r>
      <w:r>
        <w:rPr>
          <w:i/>
          <w:color w:val="231F20"/>
          <w:sz w:val="21"/>
        </w:rPr>
        <w:t>дискреційними повноваженнями.</w:t>
      </w:r>
    </w:p>
    <w:p w14:paraId="46E47C74" w14:textId="77777777" w:rsidR="00DE575E" w:rsidRDefault="002E7560">
      <w:pPr>
        <w:pStyle w:val="BodyText"/>
        <w:spacing w:before="1" w:line="252" w:lineRule="auto"/>
        <w:ind w:left="250" w:right="411" w:firstLine="283"/>
        <w:jc w:val="both"/>
      </w:pPr>
      <w:r>
        <w:rPr>
          <w:color w:val="231F20"/>
        </w:rPr>
        <w:t xml:space="preserve">Повноваження щодо реалізації адміністративного </w:t>
      </w:r>
      <w:r>
        <w:rPr>
          <w:color w:val="231F20"/>
          <w:spacing w:val="-5"/>
        </w:rPr>
        <w:t xml:space="preserve">розсуду, </w:t>
      </w:r>
      <w:r>
        <w:rPr>
          <w:color w:val="231F20"/>
        </w:rPr>
        <w:t>коли вони не передбачають обов’язків органу публічного адміністру- вання,</w:t>
      </w:r>
      <w:r>
        <w:rPr>
          <w:color w:val="231F20"/>
          <w:spacing w:val="-10"/>
        </w:rPr>
        <w:t xml:space="preserve"> </w:t>
      </w:r>
      <w:r>
        <w:rPr>
          <w:color w:val="231F20"/>
        </w:rPr>
        <w:t>посадової</w:t>
      </w:r>
      <w:r>
        <w:rPr>
          <w:color w:val="231F20"/>
          <w:spacing w:val="-10"/>
        </w:rPr>
        <w:t xml:space="preserve"> </w:t>
      </w:r>
      <w:r>
        <w:rPr>
          <w:color w:val="231F20"/>
        </w:rPr>
        <w:t>або</w:t>
      </w:r>
      <w:r>
        <w:rPr>
          <w:color w:val="231F20"/>
          <w:spacing w:val="-10"/>
        </w:rPr>
        <w:t xml:space="preserve"> </w:t>
      </w:r>
      <w:r>
        <w:rPr>
          <w:color w:val="231F20"/>
        </w:rPr>
        <w:t>службової</w:t>
      </w:r>
      <w:r>
        <w:rPr>
          <w:color w:val="231F20"/>
          <w:spacing w:val="-10"/>
        </w:rPr>
        <w:t xml:space="preserve"> </w:t>
      </w:r>
      <w:r>
        <w:rPr>
          <w:color w:val="231F20"/>
        </w:rPr>
        <w:t>особи</w:t>
      </w:r>
      <w:r>
        <w:rPr>
          <w:color w:val="231F20"/>
          <w:spacing w:val="-10"/>
        </w:rPr>
        <w:t xml:space="preserve"> </w:t>
      </w:r>
      <w:r>
        <w:rPr>
          <w:color w:val="231F20"/>
        </w:rPr>
        <w:t>узгоджувати</w:t>
      </w:r>
      <w:r>
        <w:rPr>
          <w:color w:val="231F20"/>
          <w:spacing w:val="-10"/>
        </w:rPr>
        <w:t xml:space="preserve"> </w:t>
      </w:r>
      <w:r>
        <w:rPr>
          <w:color w:val="231F20"/>
        </w:rPr>
        <w:t>в</w:t>
      </w:r>
      <w:r>
        <w:rPr>
          <w:color w:val="231F20"/>
          <w:spacing w:val="-10"/>
        </w:rPr>
        <w:t xml:space="preserve"> </w:t>
      </w:r>
      <w:r>
        <w:rPr>
          <w:color w:val="231F20"/>
          <w:spacing w:val="-3"/>
        </w:rPr>
        <w:t>будь-якій</w:t>
      </w:r>
      <w:r>
        <w:rPr>
          <w:color w:val="231F20"/>
          <w:spacing w:val="-10"/>
        </w:rPr>
        <w:t xml:space="preserve"> </w:t>
      </w:r>
      <w:r>
        <w:rPr>
          <w:color w:val="231F20"/>
        </w:rPr>
        <w:t>фо</w:t>
      </w:r>
      <w:r>
        <w:rPr>
          <w:color w:val="231F20"/>
        </w:rPr>
        <w:t xml:space="preserve">рмі свої рішення з </w:t>
      </w:r>
      <w:r>
        <w:rPr>
          <w:color w:val="231F20"/>
          <w:spacing w:val="-3"/>
        </w:rPr>
        <w:t xml:space="preserve">будь-яким </w:t>
      </w:r>
      <w:r>
        <w:rPr>
          <w:color w:val="231F20"/>
        </w:rPr>
        <w:t xml:space="preserve">іншим </w:t>
      </w:r>
      <w:r>
        <w:rPr>
          <w:color w:val="231F20"/>
          <w:spacing w:val="-3"/>
        </w:rPr>
        <w:t xml:space="preserve">суб’єктом, </w:t>
      </w:r>
      <w:r>
        <w:rPr>
          <w:color w:val="231F20"/>
        </w:rPr>
        <w:t>мають назву «дискреці- йні повноваження», які найчастіше виявляються як</w:t>
      </w:r>
      <w:r>
        <w:rPr>
          <w:color w:val="231F20"/>
          <w:spacing w:val="-5"/>
        </w:rPr>
        <w:t xml:space="preserve"> </w:t>
      </w:r>
      <w:r>
        <w:rPr>
          <w:color w:val="231F20"/>
        </w:rPr>
        <w:t>«права».</w:t>
      </w:r>
    </w:p>
    <w:p w14:paraId="46875850" w14:textId="77777777" w:rsidR="00DE575E" w:rsidRDefault="002E7560">
      <w:pPr>
        <w:pStyle w:val="BodyText"/>
        <w:spacing w:before="2" w:line="252" w:lineRule="auto"/>
        <w:ind w:left="250" w:right="408" w:firstLine="283"/>
        <w:jc w:val="both"/>
      </w:pPr>
      <w:r>
        <w:rPr>
          <w:color w:val="231F20"/>
        </w:rPr>
        <w:t>Наділяючи орган публічного адміністрування, посадову або службову особу такими повноваженнями, законодавець уживає дієслово «може</w:t>
      </w:r>
      <w:r>
        <w:rPr>
          <w:color w:val="231F20"/>
        </w:rPr>
        <w:t>». Отже, коли в правовій нормі говориться, що особа може отримати якесь благо, а суб’єкти публічного адміністрування мають право це вирішити, то таке положення вказує на можливість застосування адміністративного розсуду.</w:t>
      </w:r>
    </w:p>
    <w:p w14:paraId="5153DDA9" w14:textId="77777777" w:rsidR="00DE575E" w:rsidRDefault="002E7560">
      <w:pPr>
        <w:pStyle w:val="Heading5"/>
        <w:spacing w:before="3" w:line="252" w:lineRule="auto"/>
        <w:ind w:left="250" w:right="408" w:firstLine="283"/>
        <w:jc w:val="both"/>
      </w:pPr>
      <w:r>
        <w:rPr>
          <w:color w:val="231F20"/>
        </w:rPr>
        <w:t xml:space="preserve">Отже, адміністративний розсуд – це </w:t>
      </w:r>
      <w:r>
        <w:rPr>
          <w:color w:val="231F20"/>
        </w:rPr>
        <w:t>визначені нормами адміністративного права межі щодо можливої адміністратив- ної діяльності суб’єкта публічної адміністрації під час забез- печення прав, свобод і законних інтересів приватних осіб та публічного інтересу суспільства.</w:t>
      </w:r>
    </w:p>
    <w:p w14:paraId="196B8C1E" w14:textId="77777777" w:rsidR="00DE575E" w:rsidRDefault="00DE575E">
      <w:pPr>
        <w:pStyle w:val="BodyText"/>
        <w:spacing w:before="2"/>
        <w:rPr>
          <w:b/>
          <w:sz w:val="22"/>
        </w:rPr>
      </w:pPr>
    </w:p>
    <w:p w14:paraId="4DEB07B4" w14:textId="77777777" w:rsidR="00DE575E" w:rsidRDefault="002E7560">
      <w:pPr>
        <w:spacing w:before="1"/>
        <w:ind w:left="533"/>
        <w:rPr>
          <w:b/>
          <w:sz w:val="21"/>
        </w:rPr>
      </w:pPr>
      <w:r>
        <w:rPr>
          <w:b/>
          <w:color w:val="231F20"/>
          <w:sz w:val="21"/>
        </w:rPr>
        <w:t>7.9.1. Умови застосуван</w:t>
      </w:r>
      <w:r>
        <w:rPr>
          <w:b/>
          <w:color w:val="231F20"/>
          <w:sz w:val="21"/>
        </w:rPr>
        <w:t>ня адміністративного розсуду</w:t>
      </w:r>
    </w:p>
    <w:p w14:paraId="4C93760E" w14:textId="77777777" w:rsidR="00DE575E" w:rsidRDefault="00DE575E">
      <w:pPr>
        <w:pStyle w:val="BodyText"/>
        <w:spacing w:before="2"/>
        <w:rPr>
          <w:b/>
          <w:sz w:val="23"/>
        </w:rPr>
      </w:pPr>
    </w:p>
    <w:p w14:paraId="5024E5FB" w14:textId="77777777" w:rsidR="00DE575E" w:rsidRDefault="002E7560">
      <w:pPr>
        <w:pStyle w:val="BodyText"/>
        <w:spacing w:line="252" w:lineRule="auto"/>
        <w:ind w:left="250" w:right="411" w:firstLine="283"/>
        <w:jc w:val="both"/>
      </w:pPr>
      <w:r>
        <w:rPr>
          <w:color w:val="231F20"/>
        </w:rPr>
        <w:t>Право суб’єктів публічної адміністрації діяти на власний розсуд визначається не тільки у вітчизняному законодавстві про адмі- ністративні процедури – воно властиве європейській спільноті.</w:t>
      </w:r>
    </w:p>
    <w:p w14:paraId="3297A16E" w14:textId="77777777" w:rsidR="00DE575E" w:rsidRDefault="002E7560">
      <w:pPr>
        <w:spacing w:before="1" w:line="252" w:lineRule="auto"/>
        <w:ind w:left="250" w:right="411" w:firstLine="283"/>
        <w:jc w:val="both"/>
        <w:rPr>
          <w:i/>
          <w:sz w:val="21"/>
        </w:rPr>
      </w:pPr>
      <w:r>
        <w:rPr>
          <w:color w:val="231F20"/>
          <w:sz w:val="21"/>
        </w:rPr>
        <w:t>У зв’язку з надзвичайною важливістю ць</w:t>
      </w:r>
      <w:r>
        <w:rPr>
          <w:color w:val="231F20"/>
          <w:sz w:val="21"/>
        </w:rPr>
        <w:t xml:space="preserve">ого питання </w:t>
      </w:r>
      <w:r>
        <w:rPr>
          <w:i/>
          <w:color w:val="231F20"/>
          <w:sz w:val="21"/>
        </w:rPr>
        <w:t>Комітет Міністрів Ради Європи ухвалив спеціальну Рекомендацію R (80) 2</w:t>
      </w:r>
    </w:p>
    <w:p w14:paraId="7E18CB3B" w14:textId="77777777" w:rsidR="00DE575E" w:rsidRDefault="002E7560">
      <w:pPr>
        <w:spacing w:before="1" w:line="252" w:lineRule="auto"/>
        <w:ind w:left="250" w:right="411"/>
        <w:jc w:val="both"/>
        <w:rPr>
          <w:sz w:val="21"/>
        </w:rPr>
      </w:pPr>
      <w:r>
        <w:rPr>
          <w:i/>
          <w:color w:val="231F20"/>
          <w:sz w:val="21"/>
        </w:rPr>
        <w:t xml:space="preserve">«Щодо здійснення дискреційних повноважень адміністративними органами». </w:t>
      </w:r>
      <w:r>
        <w:rPr>
          <w:color w:val="231F20"/>
          <w:sz w:val="21"/>
        </w:rPr>
        <w:t>У цьому документі «дискреційне повноваження» визна- чається</w:t>
      </w:r>
      <w:r>
        <w:rPr>
          <w:color w:val="231F20"/>
          <w:spacing w:val="-6"/>
          <w:sz w:val="21"/>
        </w:rPr>
        <w:t xml:space="preserve"> </w:t>
      </w:r>
      <w:r>
        <w:rPr>
          <w:color w:val="231F20"/>
          <w:sz w:val="21"/>
        </w:rPr>
        <w:t>як</w:t>
      </w:r>
      <w:r>
        <w:rPr>
          <w:color w:val="231F20"/>
          <w:spacing w:val="-6"/>
          <w:sz w:val="21"/>
        </w:rPr>
        <w:t xml:space="preserve"> </w:t>
      </w:r>
      <w:r>
        <w:rPr>
          <w:color w:val="231F20"/>
          <w:sz w:val="21"/>
        </w:rPr>
        <w:t>таке,</w:t>
      </w:r>
      <w:r>
        <w:rPr>
          <w:color w:val="231F20"/>
          <w:spacing w:val="-6"/>
          <w:sz w:val="21"/>
        </w:rPr>
        <w:t xml:space="preserve"> </w:t>
      </w:r>
      <w:r>
        <w:rPr>
          <w:color w:val="231F20"/>
          <w:sz w:val="21"/>
        </w:rPr>
        <w:t>що</w:t>
      </w:r>
      <w:r>
        <w:rPr>
          <w:color w:val="231F20"/>
          <w:spacing w:val="-6"/>
          <w:sz w:val="21"/>
        </w:rPr>
        <w:t xml:space="preserve"> </w:t>
      </w:r>
      <w:r>
        <w:rPr>
          <w:color w:val="231F20"/>
          <w:sz w:val="21"/>
        </w:rPr>
        <w:t>надає</w:t>
      </w:r>
      <w:r>
        <w:rPr>
          <w:color w:val="231F20"/>
          <w:spacing w:val="-5"/>
          <w:sz w:val="21"/>
        </w:rPr>
        <w:t xml:space="preserve"> </w:t>
      </w:r>
      <w:r>
        <w:rPr>
          <w:color w:val="231F20"/>
          <w:sz w:val="21"/>
        </w:rPr>
        <w:t>адміністративному</w:t>
      </w:r>
      <w:r>
        <w:rPr>
          <w:color w:val="231F20"/>
          <w:spacing w:val="-6"/>
          <w:sz w:val="21"/>
        </w:rPr>
        <w:t xml:space="preserve"> </w:t>
      </w:r>
      <w:r>
        <w:rPr>
          <w:color w:val="231F20"/>
          <w:sz w:val="21"/>
        </w:rPr>
        <w:t>органу</w:t>
      </w:r>
      <w:r>
        <w:rPr>
          <w:color w:val="231F20"/>
          <w:spacing w:val="-6"/>
          <w:sz w:val="21"/>
        </w:rPr>
        <w:t xml:space="preserve"> </w:t>
      </w:r>
      <w:r>
        <w:rPr>
          <w:color w:val="231F20"/>
          <w:sz w:val="21"/>
        </w:rPr>
        <w:t>певний</w:t>
      </w:r>
      <w:r>
        <w:rPr>
          <w:color w:val="231F20"/>
          <w:spacing w:val="-6"/>
          <w:sz w:val="21"/>
        </w:rPr>
        <w:t xml:space="preserve"> </w:t>
      </w:r>
      <w:r>
        <w:rPr>
          <w:color w:val="231F20"/>
          <w:sz w:val="21"/>
        </w:rPr>
        <w:t>ступінь</w:t>
      </w:r>
    </w:p>
    <w:p w14:paraId="18398136" w14:textId="77777777" w:rsidR="00DE575E" w:rsidRDefault="00DE575E">
      <w:pPr>
        <w:pStyle w:val="BodyText"/>
        <w:spacing w:before="7"/>
        <w:rPr>
          <w:sz w:val="12"/>
        </w:rPr>
      </w:pPr>
    </w:p>
    <w:p w14:paraId="711EA1F2" w14:textId="77777777" w:rsidR="00DE575E" w:rsidRDefault="002E7560">
      <w:pPr>
        <w:spacing w:before="92"/>
        <w:ind w:right="411"/>
        <w:jc w:val="right"/>
        <w:rPr>
          <w:rFonts w:ascii="Times New Roman"/>
          <w:sz w:val="20"/>
        </w:rPr>
      </w:pPr>
      <w:r>
        <w:rPr>
          <w:rFonts w:ascii="Times New Roman"/>
          <w:color w:val="231F20"/>
          <w:w w:val="90"/>
          <w:sz w:val="20"/>
        </w:rPr>
        <w:t>255</w:t>
      </w:r>
    </w:p>
    <w:p w14:paraId="3F37BCF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85A54A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C6F9372" w14:textId="024F023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01B34D6" wp14:editId="72DC239C">
                <wp:extent cx="4140200" cy="6350"/>
                <wp:effectExtent l="0" t="0" r="12700" b="6350"/>
                <wp:docPr id="76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62" name="Line 7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B261AF" id="Group_x0020_7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uybQB/AgAAmAUAAA4A&#10;AAAAAAAAAAAAAAAALAIAAGRycy9lMm9Eb2MueG1sUEsBAi0AFAAGAAgAAAAhAEynsJDZAAAAAwEA&#10;AA8AAAAAAAAAAAAAAAAA1wQAAGRycy9kb3ducmV2LnhtbFBLBQYAAAAABAAEAPMAAADdBQAAAAA=&#10;">
                <v:line id="Line_x0020_7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5VwcYAAADcAAAADwAAAGRycy9kb3ducmV2LnhtbESP3WrCQBSE7wu+w3KE3hTdVEFLdBUR&#10;CsUL/9IHOGZPk9DdszG7mujTu0Khl8PMfMPMl5014kqNrxwreB8mIIhzpysuFHxnn4MPED4gazSO&#10;ScGNPCwXvZc5ptq1fKDrMRQiQtinqKAMoU6l9HlJFv3Q1cTR+3GNxRBlU0jdYBvh1shRkkykxYrj&#10;Qok1rUvKf48XqyA7vwWz321Mm+1OY3k6b8f3y1ap1363moEI1IX/8F/7SyuYTkb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OVcHGAAAA3AAAAA8AAAAAAAAA&#10;AAAAAAAAoQIAAGRycy9kb3ducmV2LnhtbFBLBQYAAAAABAAEAPkAAACUAwAAAAA=&#10;" strokecolor="#231f20" strokeweight=".5pt"/>
                <w10:anchorlock/>
              </v:group>
            </w:pict>
          </mc:Fallback>
        </mc:AlternateContent>
      </w:r>
    </w:p>
    <w:p w14:paraId="7F783608" w14:textId="77777777" w:rsidR="00DE575E" w:rsidRDefault="00DE575E">
      <w:pPr>
        <w:pStyle w:val="BodyText"/>
        <w:spacing w:before="7"/>
        <w:rPr>
          <w:rFonts w:ascii="AdonisC"/>
          <w:i/>
          <w:sz w:val="11"/>
        </w:rPr>
      </w:pPr>
    </w:p>
    <w:p w14:paraId="41BDC4E5" w14:textId="77777777" w:rsidR="00DE575E" w:rsidRDefault="002E7560">
      <w:pPr>
        <w:pStyle w:val="BodyText"/>
        <w:spacing w:before="101" w:line="252" w:lineRule="auto"/>
        <w:ind w:left="533" w:right="128"/>
        <w:jc w:val="both"/>
      </w:pPr>
      <w:r>
        <w:rPr>
          <w:color w:val="231F20"/>
        </w:rPr>
        <w:t>«свободи» під час ухвалення рішення, таким чином даючи йому змогу обрати з кількох юридично передбачених рішень</w:t>
      </w:r>
      <w:r>
        <w:rPr>
          <w:color w:val="231F20"/>
        </w:rPr>
        <w:t xml:space="preserve"> те, яке буде найбільш прийнятним для вирішення по суті практичної справи.</w:t>
      </w:r>
    </w:p>
    <w:p w14:paraId="283765ED" w14:textId="77777777" w:rsidR="00DE575E" w:rsidRDefault="002E7560">
      <w:pPr>
        <w:pStyle w:val="BodyText"/>
        <w:spacing w:before="1" w:line="252" w:lineRule="auto"/>
        <w:ind w:left="533" w:right="125" w:firstLine="283"/>
        <w:jc w:val="both"/>
      </w:pPr>
      <w:r>
        <w:rPr>
          <w:color w:val="231F20"/>
        </w:rPr>
        <w:t>Термін «дискреційне повноваження» означає повноваження, яке адміністративний орган, ухвалюючи рішення, може здійснювати з певною свободою розсуду – тобто коли такий орган може обира</w:t>
      </w:r>
      <w:r>
        <w:rPr>
          <w:color w:val="231F20"/>
        </w:rPr>
        <w:t>ти з кількох юридично припустимих рішень те, яке він уважає найбільш відповідним таким обставинам.</w:t>
      </w:r>
    </w:p>
    <w:p w14:paraId="704DFBAD" w14:textId="77777777" w:rsidR="00DE575E" w:rsidRDefault="002E7560">
      <w:pPr>
        <w:pStyle w:val="BodyText"/>
        <w:spacing w:before="3" w:line="252" w:lineRule="auto"/>
        <w:ind w:left="533" w:right="125" w:firstLine="283"/>
        <w:jc w:val="both"/>
      </w:pPr>
      <w:r>
        <w:rPr>
          <w:color w:val="231F20"/>
        </w:rPr>
        <w:t>Рекомендація містить низку принципів, якими мають керува- тись адміністративні органи держав-членів Ради Європи під час ухвалення дискреційних рішень, а тако</w:t>
      </w:r>
      <w:r>
        <w:rPr>
          <w:color w:val="231F20"/>
        </w:rPr>
        <w:t>ж їх мають ураховувати контрольні структури. Чимало таких принципів відповідають принципам адміністративного права.</w:t>
      </w:r>
    </w:p>
    <w:p w14:paraId="7ABD2018" w14:textId="77777777" w:rsidR="00DE575E" w:rsidRDefault="002E7560">
      <w:pPr>
        <w:spacing w:before="2" w:line="252" w:lineRule="auto"/>
        <w:ind w:left="533" w:right="126" w:firstLine="283"/>
        <w:jc w:val="both"/>
        <w:rPr>
          <w:sz w:val="21"/>
        </w:rPr>
      </w:pPr>
      <w:r>
        <w:rPr>
          <w:color w:val="231F20"/>
          <w:sz w:val="21"/>
        </w:rPr>
        <w:t xml:space="preserve">Так, документ передбачає, що </w:t>
      </w:r>
      <w:r>
        <w:rPr>
          <w:i/>
          <w:color w:val="231F20"/>
          <w:sz w:val="21"/>
        </w:rPr>
        <w:t>адміністративний орган під час здійснення дискреційних повноважень</w:t>
      </w:r>
      <w:r>
        <w:rPr>
          <w:color w:val="231F20"/>
          <w:sz w:val="21"/>
        </w:rPr>
        <w:t>:</w:t>
      </w:r>
    </w:p>
    <w:p w14:paraId="4485297C" w14:textId="77777777" w:rsidR="00DE575E" w:rsidRDefault="002E7560">
      <w:pPr>
        <w:pStyle w:val="ListParagraph"/>
        <w:numPr>
          <w:ilvl w:val="0"/>
          <w:numId w:val="171"/>
        </w:numPr>
        <w:tabs>
          <w:tab w:val="left" w:pos="1101"/>
        </w:tabs>
        <w:ind w:firstLine="284"/>
        <w:jc w:val="left"/>
        <w:rPr>
          <w:sz w:val="21"/>
        </w:rPr>
      </w:pPr>
      <w:r>
        <w:rPr>
          <w:color w:val="231F20"/>
          <w:sz w:val="21"/>
        </w:rPr>
        <w:t>не</w:t>
      </w:r>
      <w:r>
        <w:rPr>
          <w:color w:val="231F20"/>
          <w:spacing w:val="7"/>
          <w:sz w:val="21"/>
        </w:rPr>
        <w:t xml:space="preserve"> </w:t>
      </w:r>
      <w:r>
        <w:rPr>
          <w:color w:val="231F20"/>
          <w:sz w:val="21"/>
        </w:rPr>
        <w:t>має</w:t>
      </w:r>
      <w:r>
        <w:rPr>
          <w:color w:val="231F20"/>
          <w:spacing w:val="7"/>
          <w:sz w:val="21"/>
        </w:rPr>
        <w:t xml:space="preserve"> </w:t>
      </w:r>
      <w:r>
        <w:rPr>
          <w:color w:val="231F20"/>
          <w:sz w:val="21"/>
        </w:rPr>
        <w:t>інших</w:t>
      </w:r>
      <w:r>
        <w:rPr>
          <w:color w:val="231F20"/>
          <w:spacing w:val="7"/>
          <w:sz w:val="21"/>
        </w:rPr>
        <w:t xml:space="preserve"> </w:t>
      </w:r>
      <w:r>
        <w:rPr>
          <w:color w:val="231F20"/>
          <w:sz w:val="21"/>
        </w:rPr>
        <w:t>цілей</w:t>
      </w:r>
      <w:r>
        <w:rPr>
          <w:color w:val="231F20"/>
          <w:spacing w:val="7"/>
          <w:sz w:val="21"/>
        </w:rPr>
        <w:t xml:space="preserve"> </w:t>
      </w:r>
      <w:r>
        <w:rPr>
          <w:color w:val="231F20"/>
          <w:sz w:val="21"/>
        </w:rPr>
        <w:t>ніж</w:t>
      </w:r>
      <w:r>
        <w:rPr>
          <w:color w:val="231F20"/>
          <w:spacing w:val="7"/>
          <w:sz w:val="21"/>
        </w:rPr>
        <w:t xml:space="preserve"> </w:t>
      </w:r>
      <w:r>
        <w:rPr>
          <w:color w:val="231F20"/>
          <w:sz w:val="21"/>
        </w:rPr>
        <w:t>ті,</w:t>
      </w:r>
      <w:r>
        <w:rPr>
          <w:color w:val="231F20"/>
          <w:spacing w:val="7"/>
          <w:sz w:val="21"/>
        </w:rPr>
        <w:t xml:space="preserve"> </w:t>
      </w:r>
      <w:r>
        <w:rPr>
          <w:color w:val="231F20"/>
          <w:sz w:val="21"/>
        </w:rPr>
        <w:t>з</w:t>
      </w:r>
      <w:r>
        <w:rPr>
          <w:color w:val="231F20"/>
          <w:spacing w:val="7"/>
          <w:sz w:val="21"/>
        </w:rPr>
        <w:t xml:space="preserve"> </w:t>
      </w:r>
      <w:r>
        <w:rPr>
          <w:color w:val="231F20"/>
          <w:sz w:val="21"/>
        </w:rPr>
        <w:t>яких</w:t>
      </w:r>
      <w:r>
        <w:rPr>
          <w:color w:val="231F20"/>
          <w:spacing w:val="7"/>
          <w:sz w:val="21"/>
        </w:rPr>
        <w:t xml:space="preserve"> </w:t>
      </w:r>
      <w:r>
        <w:rPr>
          <w:color w:val="231F20"/>
          <w:sz w:val="21"/>
        </w:rPr>
        <w:t>повноваження</w:t>
      </w:r>
      <w:r>
        <w:rPr>
          <w:color w:val="231F20"/>
          <w:spacing w:val="7"/>
          <w:sz w:val="21"/>
        </w:rPr>
        <w:t xml:space="preserve"> </w:t>
      </w:r>
      <w:r>
        <w:rPr>
          <w:color w:val="231F20"/>
          <w:sz w:val="21"/>
        </w:rPr>
        <w:t>було</w:t>
      </w:r>
      <w:r>
        <w:rPr>
          <w:color w:val="231F20"/>
          <w:spacing w:val="7"/>
          <w:sz w:val="21"/>
        </w:rPr>
        <w:t xml:space="preserve"> </w:t>
      </w:r>
      <w:r>
        <w:rPr>
          <w:color w:val="231F20"/>
          <w:sz w:val="21"/>
        </w:rPr>
        <w:t>надано;</w:t>
      </w:r>
    </w:p>
    <w:p w14:paraId="4395621F" w14:textId="77777777" w:rsidR="00DE575E" w:rsidRDefault="002E7560">
      <w:pPr>
        <w:pStyle w:val="ListParagraph"/>
        <w:numPr>
          <w:ilvl w:val="0"/>
          <w:numId w:val="171"/>
        </w:numPr>
        <w:tabs>
          <w:tab w:val="left" w:pos="1101"/>
        </w:tabs>
        <w:spacing w:before="13" w:line="252" w:lineRule="auto"/>
        <w:ind w:right="126" w:firstLine="284"/>
        <w:rPr>
          <w:sz w:val="21"/>
        </w:rPr>
      </w:pPr>
      <w:r>
        <w:rPr>
          <w:color w:val="231F20"/>
          <w:sz w:val="21"/>
        </w:rPr>
        <w:t>дотримується об’єктивності та неупередженості, беручи до уваги тільки ті чинники, які стосуються певної</w:t>
      </w:r>
      <w:r>
        <w:rPr>
          <w:color w:val="231F20"/>
          <w:spacing w:val="45"/>
          <w:sz w:val="21"/>
        </w:rPr>
        <w:t xml:space="preserve"> </w:t>
      </w:r>
      <w:r>
        <w:rPr>
          <w:color w:val="231F20"/>
          <w:sz w:val="21"/>
        </w:rPr>
        <w:t>справи;</w:t>
      </w:r>
    </w:p>
    <w:p w14:paraId="54E22490" w14:textId="77777777" w:rsidR="00DE575E" w:rsidRDefault="002E7560">
      <w:pPr>
        <w:pStyle w:val="ListParagraph"/>
        <w:numPr>
          <w:ilvl w:val="0"/>
          <w:numId w:val="171"/>
        </w:numPr>
        <w:tabs>
          <w:tab w:val="left" w:pos="1101"/>
        </w:tabs>
        <w:spacing w:line="252" w:lineRule="auto"/>
        <w:ind w:right="128" w:firstLine="284"/>
        <w:rPr>
          <w:sz w:val="21"/>
        </w:rPr>
      </w:pPr>
      <w:r>
        <w:rPr>
          <w:color w:val="231F20"/>
          <w:sz w:val="21"/>
        </w:rPr>
        <w:t>дотримується принципу рівності перед законом через запо- бігання несправедливій дискримінації, потребу однакового став</w:t>
      </w:r>
      <w:r>
        <w:rPr>
          <w:color w:val="231F20"/>
          <w:sz w:val="21"/>
        </w:rPr>
        <w:t>- лення</w:t>
      </w:r>
      <w:r>
        <w:rPr>
          <w:color w:val="231F20"/>
          <w:spacing w:val="5"/>
          <w:sz w:val="21"/>
        </w:rPr>
        <w:t xml:space="preserve"> </w:t>
      </w:r>
      <w:r>
        <w:rPr>
          <w:color w:val="231F20"/>
          <w:sz w:val="21"/>
        </w:rPr>
        <w:t>до</w:t>
      </w:r>
      <w:r>
        <w:rPr>
          <w:color w:val="231F20"/>
          <w:spacing w:val="5"/>
          <w:sz w:val="21"/>
        </w:rPr>
        <w:t xml:space="preserve"> </w:t>
      </w:r>
      <w:r>
        <w:rPr>
          <w:color w:val="231F20"/>
          <w:sz w:val="21"/>
        </w:rPr>
        <w:t>особи</w:t>
      </w:r>
      <w:r>
        <w:rPr>
          <w:color w:val="231F20"/>
          <w:spacing w:val="5"/>
          <w:sz w:val="21"/>
        </w:rPr>
        <w:t xml:space="preserve"> </w:t>
      </w:r>
      <w:r>
        <w:rPr>
          <w:color w:val="231F20"/>
          <w:sz w:val="21"/>
        </w:rPr>
        <w:t>при</w:t>
      </w:r>
      <w:r>
        <w:rPr>
          <w:color w:val="231F20"/>
          <w:spacing w:val="5"/>
          <w:sz w:val="21"/>
        </w:rPr>
        <w:t xml:space="preserve"> </w:t>
      </w:r>
      <w:r>
        <w:rPr>
          <w:color w:val="231F20"/>
          <w:sz w:val="21"/>
        </w:rPr>
        <w:t>дослідженні</w:t>
      </w:r>
      <w:r>
        <w:rPr>
          <w:color w:val="231F20"/>
          <w:spacing w:val="5"/>
          <w:sz w:val="21"/>
        </w:rPr>
        <w:t xml:space="preserve"> </w:t>
      </w:r>
      <w:r>
        <w:rPr>
          <w:color w:val="231F20"/>
          <w:sz w:val="21"/>
        </w:rPr>
        <w:t>як</w:t>
      </w:r>
      <w:r>
        <w:rPr>
          <w:color w:val="231F20"/>
          <w:spacing w:val="5"/>
          <w:sz w:val="21"/>
        </w:rPr>
        <w:t xml:space="preserve"> </w:t>
      </w:r>
      <w:r>
        <w:rPr>
          <w:color w:val="231F20"/>
          <w:sz w:val="21"/>
        </w:rPr>
        <w:t>де-факто,</w:t>
      </w:r>
      <w:r>
        <w:rPr>
          <w:color w:val="231F20"/>
          <w:spacing w:val="5"/>
          <w:sz w:val="21"/>
        </w:rPr>
        <w:t xml:space="preserve"> </w:t>
      </w:r>
      <w:r>
        <w:rPr>
          <w:color w:val="231F20"/>
          <w:sz w:val="21"/>
        </w:rPr>
        <w:t>так</w:t>
      </w:r>
      <w:r>
        <w:rPr>
          <w:color w:val="231F20"/>
          <w:spacing w:val="5"/>
          <w:sz w:val="21"/>
        </w:rPr>
        <w:t xml:space="preserve"> </w:t>
      </w:r>
      <w:r>
        <w:rPr>
          <w:color w:val="231F20"/>
          <w:sz w:val="21"/>
        </w:rPr>
        <w:t>і</w:t>
      </w:r>
      <w:r>
        <w:rPr>
          <w:color w:val="231F20"/>
          <w:spacing w:val="5"/>
          <w:sz w:val="21"/>
        </w:rPr>
        <w:t xml:space="preserve"> </w:t>
      </w:r>
      <w:r>
        <w:rPr>
          <w:color w:val="231F20"/>
          <w:sz w:val="21"/>
        </w:rPr>
        <w:t>де-юре;</w:t>
      </w:r>
    </w:p>
    <w:p w14:paraId="02A19856" w14:textId="77777777" w:rsidR="00DE575E" w:rsidRDefault="002E7560">
      <w:pPr>
        <w:pStyle w:val="ListParagraph"/>
        <w:numPr>
          <w:ilvl w:val="0"/>
          <w:numId w:val="171"/>
        </w:numPr>
        <w:tabs>
          <w:tab w:val="left" w:pos="1101"/>
        </w:tabs>
        <w:spacing w:line="252" w:lineRule="auto"/>
        <w:ind w:right="125" w:firstLine="284"/>
        <w:rPr>
          <w:sz w:val="21"/>
        </w:rPr>
      </w:pPr>
      <w:r>
        <w:rPr>
          <w:color w:val="231F20"/>
          <w:sz w:val="21"/>
        </w:rPr>
        <w:t xml:space="preserve">підтримує відповідний баланс між будь-якими несприятли- вими наслідками, які можуть бути від ухваленого ним рішення </w:t>
      </w:r>
      <w:r>
        <w:rPr>
          <w:color w:val="231F20"/>
          <w:spacing w:val="1"/>
          <w:sz w:val="21"/>
        </w:rPr>
        <w:t xml:space="preserve">для </w:t>
      </w:r>
      <w:r>
        <w:rPr>
          <w:color w:val="231F20"/>
          <w:sz w:val="21"/>
        </w:rPr>
        <w:t>прав, свобод або інтересів осіб, і цілями, які він переслідує (прин- цип</w:t>
      </w:r>
      <w:r>
        <w:rPr>
          <w:color w:val="231F20"/>
          <w:spacing w:val="3"/>
          <w:sz w:val="21"/>
        </w:rPr>
        <w:t xml:space="preserve"> </w:t>
      </w:r>
      <w:r>
        <w:rPr>
          <w:color w:val="231F20"/>
          <w:sz w:val="21"/>
        </w:rPr>
        <w:t>про</w:t>
      </w:r>
      <w:r>
        <w:rPr>
          <w:color w:val="231F20"/>
          <w:sz w:val="21"/>
        </w:rPr>
        <w:t>порційності);</w:t>
      </w:r>
    </w:p>
    <w:p w14:paraId="0C5DBD90" w14:textId="77777777" w:rsidR="00DE575E" w:rsidRDefault="002E7560">
      <w:pPr>
        <w:pStyle w:val="ListParagraph"/>
        <w:numPr>
          <w:ilvl w:val="0"/>
          <w:numId w:val="171"/>
        </w:numPr>
        <w:tabs>
          <w:tab w:val="left" w:pos="1101"/>
        </w:tabs>
        <w:spacing w:before="2" w:line="252" w:lineRule="auto"/>
        <w:ind w:right="126" w:firstLine="284"/>
        <w:rPr>
          <w:sz w:val="21"/>
        </w:rPr>
      </w:pPr>
      <w:r>
        <w:rPr>
          <w:color w:val="231F20"/>
          <w:sz w:val="21"/>
        </w:rPr>
        <w:t>ухвалює рішення впродовж строку, який є розумним з огляду на питання, про яке йдеться під час вирішення</w:t>
      </w:r>
      <w:r>
        <w:rPr>
          <w:color w:val="231F20"/>
          <w:spacing w:val="2"/>
          <w:sz w:val="21"/>
        </w:rPr>
        <w:t xml:space="preserve"> </w:t>
      </w:r>
      <w:r>
        <w:rPr>
          <w:color w:val="231F20"/>
          <w:sz w:val="21"/>
        </w:rPr>
        <w:t>справи;</w:t>
      </w:r>
    </w:p>
    <w:p w14:paraId="033DF823" w14:textId="77777777" w:rsidR="00DE575E" w:rsidRDefault="002E7560">
      <w:pPr>
        <w:pStyle w:val="ListParagraph"/>
        <w:numPr>
          <w:ilvl w:val="0"/>
          <w:numId w:val="171"/>
        </w:numPr>
        <w:tabs>
          <w:tab w:val="left" w:pos="1101"/>
        </w:tabs>
        <w:spacing w:line="252" w:lineRule="auto"/>
        <w:ind w:right="124" w:firstLine="284"/>
        <w:rPr>
          <w:sz w:val="21"/>
        </w:rPr>
      </w:pPr>
      <w:r>
        <w:rPr>
          <w:color w:val="231F20"/>
          <w:sz w:val="21"/>
        </w:rPr>
        <w:t>послідовно застосовує будь-які загальні адміністративні вказівки, беручи до уваги водночас конкретні обставини кожної справи;</w:t>
      </w:r>
    </w:p>
    <w:p w14:paraId="7B65115F" w14:textId="77777777" w:rsidR="00DE575E" w:rsidRDefault="002E7560">
      <w:pPr>
        <w:pStyle w:val="ListParagraph"/>
        <w:numPr>
          <w:ilvl w:val="0"/>
          <w:numId w:val="171"/>
        </w:numPr>
        <w:tabs>
          <w:tab w:val="left" w:pos="1101"/>
        </w:tabs>
        <w:spacing w:before="2" w:line="252" w:lineRule="auto"/>
        <w:ind w:right="125" w:firstLine="284"/>
        <w:rPr>
          <w:sz w:val="21"/>
        </w:rPr>
      </w:pPr>
      <w:r>
        <w:rPr>
          <w:color w:val="231F20"/>
          <w:sz w:val="21"/>
        </w:rPr>
        <w:t>нада</w:t>
      </w:r>
      <w:r>
        <w:rPr>
          <w:color w:val="231F20"/>
          <w:sz w:val="21"/>
        </w:rPr>
        <w:t>є доступ до адміністративних указівок приватним особам. Передбачається, що недостатньо, щоб загальні адмініст- ративні вказівки були доступні тільки органу, якого це стосується. Потрібно, щоб особа, якої це стосується, мала доступ до адміністра- тивних вка</w:t>
      </w:r>
      <w:r>
        <w:rPr>
          <w:color w:val="231F20"/>
          <w:sz w:val="21"/>
        </w:rPr>
        <w:t>зівок і таким чином могла діяти обізнано відповідно до тих критеріїв, які стосуються</w:t>
      </w:r>
      <w:r>
        <w:rPr>
          <w:color w:val="231F20"/>
          <w:spacing w:val="18"/>
          <w:sz w:val="21"/>
        </w:rPr>
        <w:t xml:space="preserve"> </w:t>
      </w:r>
      <w:r>
        <w:rPr>
          <w:color w:val="231F20"/>
          <w:sz w:val="21"/>
        </w:rPr>
        <w:t>справи;</w:t>
      </w:r>
    </w:p>
    <w:p w14:paraId="6F586313" w14:textId="77777777" w:rsidR="00DE575E" w:rsidRDefault="002E7560">
      <w:pPr>
        <w:pStyle w:val="ListParagraph"/>
        <w:numPr>
          <w:ilvl w:val="0"/>
          <w:numId w:val="171"/>
        </w:numPr>
        <w:tabs>
          <w:tab w:val="left" w:pos="1101"/>
        </w:tabs>
        <w:spacing w:before="3" w:line="252" w:lineRule="auto"/>
        <w:ind w:right="126" w:firstLine="284"/>
        <w:rPr>
          <w:sz w:val="21"/>
        </w:rPr>
      </w:pPr>
      <w:r>
        <w:rPr>
          <w:color w:val="231F20"/>
          <w:sz w:val="21"/>
        </w:rPr>
        <w:t>надає пояснення свого відступу від загальних адміністра- тивних вказівок, який несприятливо впливає на права, свободи чи інтереси приватних осіб (тобто мотивує</w:t>
      </w:r>
      <w:r>
        <w:rPr>
          <w:color w:val="231F20"/>
          <w:spacing w:val="25"/>
          <w:sz w:val="21"/>
        </w:rPr>
        <w:t xml:space="preserve"> </w:t>
      </w:r>
      <w:r>
        <w:rPr>
          <w:color w:val="231F20"/>
          <w:sz w:val="21"/>
        </w:rPr>
        <w:t>йог</w:t>
      </w:r>
      <w:r>
        <w:rPr>
          <w:color w:val="231F20"/>
          <w:sz w:val="21"/>
        </w:rPr>
        <w:t>о);</w:t>
      </w:r>
    </w:p>
    <w:p w14:paraId="2CDDB9A1" w14:textId="77777777" w:rsidR="00DE575E" w:rsidRDefault="00DE575E">
      <w:pPr>
        <w:pStyle w:val="BodyText"/>
        <w:spacing w:before="5"/>
        <w:rPr>
          <w:sz w:val="12"/>
        </w:rPr>
      </w:pPr>
    </w:p>
    <w:p w14:paraId="5127145A" w14:textId="77777777" w:rsidR="00DE575E" w:rsidRDefault="002E7560">
      <w:pPr>
        <w:spacing w:before="92"/>
        <w:ind w:left="533"/>
        <w:rPr>
          <w:rFonts w:ascii="Times New Roman"/>
          <w:sz w:val="20"/>
        </w:rPr>
      </w:pPr>
      <w:r>
        <w:rPr>
          <w:rFonts w:ascii="Times New Roman"/>
          <w:color w:val="231F20"/>
          <w:sz w:val="20"/>
        </w:rPr>
        <w:t>256</w:t>
      </w:r>
    </w:p>
    <w:p w14:paraId="6344A9BE" w14:textId="77777777" w:rsidR="00DE575E" w:rsidRDefault="00DE575E">
      <w:pPr>
        <w:rPr>
          <w:rFonts w:ascii="Times New Roman"/>
          <w:sz w:val="20"/>
        </w:rPr>
        <w:sectPr w:rsidR="00DE575E">
          <w:pgSz w:w="8510" w:h="12760"/>
          <w:pgMar w:top="660" w:right="720" w:bottom="280" w:left="600" w:header="720" w:footer="720" w:gutter="0"/>
          <w:cols w:space="720"/>
        </w:sectPr>
      </w:pPr>
    </w:p>
    <w:p w14:paraId="5C30D130"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57D5FF3E" w14:textId="77BD2D5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20547F" wp14:editId="73329CFB">
                <wp:extent cx="4140200" cy="6350"/>
                <wp:effectExtent l="0" t="0" r="12700" b="6350"/>
                <wp:docPr id="759"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60" name="Line 75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2EA800" id="Group_x0020_75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WQrOeIECAACYBQAA&#10;DgAAAAAAAAAAAAAAAAAsAgAAZHJzL2Uyb0RvYy54bWxQSwECLQAUAAYACAAAACEATKewkNkAAAAD&#10;AQAADwAAAAAAAAAAAAAAAADZBAAAZHJzL2Rvd25yZXYueG1sUEsFBgAAAAAEAAQA8wAAAN8FAAAA&#10;AA==&#10;">
                <v:line id="Line_x0020_75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BuLcMAAADcAAAADwAAAGRycy9kb3ducmV2LnhtbERP3WrCMBS+F/YO4Qy8GZqqoKMaZQwE&#10;8UKn3QMcm7O2LDmpTbTVpzcXgpcf3/9i1VkjrtT4yrGC0TABQZw7XXGh4DdbDz5B+ICs0TgmBTfy&#10;sFq+9RaYatfyga7HUIgYwj5FBWUIdSqlz0uy6IeuJo7cn2sshgibQuoG2xhujRwnyVRarDg2lFjT&#10;d0n5//FiFWTnj2B+9lvTZvvTRJ7Ou8n9slOq/959zUEE6sJL/HRvtILZNM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wQbi3DAAAA3AAAAA8AAAAAAAAAAAAA&#10;AAAAoQIAAGRycy9kb3ducmV2LnhtbFBLBQYAAAAABAAEAPkAAACRAwAAAAA=&#10;" strokecolor="#231f20" strokeweight=".5pt"/>
                <w10:anchorlock/>
              </v:group>
            </w:pict>
          </mc:Fallback>
        </mc:AlternateContent>
      </w:r>
    </w:p>
    <w:p w14:paraId="47ADE170" w14:textId="77777777" w:rsidR="00DE575E" w:rsidRDefault="00DE575E">
      <w:pPr>
        <w:pStyle w:val="BodyText"/>
        <w:spacing w:before="7"/>
        <w:rPr>
          <w:rFonts w:ascii="AdonisC"/>
          <w:i/>
          <w:sz w:val="19"/>
        </w:rPr>
      </w:pPr>
    </w:p>
    <w:p w14:paraId="74AE5F73" w14:textId="77777777" w:rsidR="00DE575E" w:rsidRDefault="002E7560">
      <w:pPr>
        <w:pStyle w:val="BodyText"/>
        <w:spacing w:before="1" w:line="252" w:lineRule="auto"/>
        <w:ind w:left="250" w:right="408" w:firstLine="283"/>
        <w:jc w:val="both"/>
      </w:pPr>
      <w:r>
        <w:rPr>
          <w:rFonts w:ascii="Wingdings" w:hAnsi="Wingdings"/>
          <w:color w:val="231F20"/>
        </w:rPr>
        <w:t></w:t>
      </w:r>
      <w:r>
        <w:rPr>
          <w:rFonts w:ascii="Times New Roman" w:hAnsi="Times New Roman"/>
          <w:color w:val="231F20"/>
        </w:rPr>
        <w:t xml:space="preserve"> </w:t>
      </w:r>
      <w:r>
        <w:rPr>
          <w:color w:val="231F20"/>
        </w:rPr>
        <w:t>акти, ухвалені під час здійснення дискреційних повноважень, підлягають контролю щодо їх відповідності законності з боку суду або іншого незалежного органу (наприклад, омбудсману);</w:t>
      </w:r>
    </w:p>
    <w:p w14:paraId="6090AFD8"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бездіяльність адміністративного орг</w:t>
      </w:r>
      <w:r>
        <w:rPr>
          <w:color w:val="231F20"/>
        </w:rPr>
        <w:t>ану впродовж розум- ного строку також підлягає контролю з боку незалежних контроль- них органів</w:t>
      </w:r>
      <w:r>
        <w:rPr>
          <w:color w:val="231F20"/>
          <w:spacing w:val="7"/>
        </w:rPr>
        <w:t xml:space="preserve"> </w:t>
      </w:r>
      <w:r>
        <w:rPr>
          <w:color w:val="231F20"/>
        </w:rPr>
        <w:t>держави;</w:t>
      </w:r>
    </w:p>
    <w:p w14:paraId="29B6CF0E" w14:textId="77777777" w:rsidR="00DE575E" w:rsidRDefault="002E7560">
      <w:pPr>
        <w:pStyle w:val="BodyText"/>
        <w:spacing w:before="2" w:line="252" w:lineRule="auto"/>
        <w:ind w:left="250" w:right="407" w:firstLine="283"/>
        <w:jc w:val="both"/>
      </w:pPr>
      <w:r>
        <w:rPr>
          <w:rFonts w:ascii="Wingdings" w:hAnsi="Wingdings"/>
          <w:color w:val="231F20"/>
        </w:rPr>
        <w:t></w:t>
      </w:r>
      <w:r>
        <w:rPr>
          <w:rFonts w:ascii="Times New Roman" w:hAnsi="Times New Roman"/>
          <w:color w:val="231F20"/>
        </w:rPr>
        <w:t xml:space="preserve"> </w:t>
      </w:r>
      <w:r>
        <w:rPr>
          <w:color w:val="231F20"/>
          <w:spacing w:val="-3"/>
        </w:rPr>
        <w:t xml:space="preserve">суд </w:t>
      </w:r>
      <w:r>
        <w:rPr>
          <w:color w:val="231F20"/>
        </w:rPr>
        <w:t>або інший незалежний орган, який контролює здійс- нення дискреційних повноважень адміністративними органами, має необхідні засоби, зокрема на дос</w:t>
      </w:r>
      <w:r>
        <w:rPr>
          <w:color w:val="231F20"/>
        </w:rPr>
        <w:t>туп до інформації, на основі якої ухвалено</w:t>
      </w:r>
      <w:r>
        <w:rPr>
          <w:color w:val="231F20"/>
          <w:spacing w:val="7"/>
        </w:rPr>
        <w:t xml:space="preserve"> </w:t>
      </w:r>
      <w:r>
        <w:rPr>
          <w:color w:val="231F20"/>
        </w:rPr>
        <w:t>рішення.</w:t>
      </w:r>
    </w:p>
    <w:p w14:paraId="653220E7" w14:textId="77777777" w:rsidR="00DE575E" w:rsidRDefault="002E7560">
      <w:pPr>
        <w:spacing w:before="2" w:line="252" w:lineRule="auto"/>
        <w:ind w:left="250" w:right="409" w:firstLine="283"/>
        <w:jc w:val="both"/>
        <w:rPr>
          <w:i/>
          <w:sz w:val="21"/>
        </w:rPr>
      </w:pPr>
      <w:r>
        <w:rPr>
          <w:i/>
          <w:color w:val="231F20"/>
          <w:sz w:val="21"/>
        </w:rPr>
        <w:t>Отже, суб’єкти публічної адміністрації під час ухвалення рішень із застосуванням адміністративного розсуду згідно зі спеціальною Рекомендацією R (80) 2 «Щодо здійснення дискреційних повноважень адміністра</w:t>
      </w:r>
      <w:r>
        <w:rPr>
          <w:i/>
          <w:color w:val="231F20"/>
          <w:sz w:val="21"/>
        </w:rPr>
        <w:t xml:space="preserve">тивними органами», ухваленою Комітетом Міністрів Ради Європи, не мають діяти довільно, а мають обирати </w:t>
      </w:r>
      <w:r>
        <w:rPr>
          <w:b/>
          <w:i/>
          <w:color w:val="231F20"/>
          <w:sz w:val="21"/>
        </w:rPr>
        <w:t>найопти- мальніший варіант рішення з погляду досягнення публічних інтересів</w:t>
      </w:r>
      <w:r>
        <w:rPr>
          <w:i/>
          <w:color w:val="231F20"/>
          <w:sz w:val="21"/>
        </w:rPr>
        <w:t>, керуючись вищенаведеними принципами</w:t>
      </w:r>
      <w:r>
        <w:rPr>
          <w:i/>
          <w:color w:val="231F20"/>
          <w:position w:val="7"/>
          <w:sz w:val="12"/>
        </w:rPr>
        <w:t>1</w:t>
      </w:r>
      <w:r>
        <w:rPr>
          <w:i/>
          <w:color w:val="231F20"/>
          <w:sz w:val="21"/>
        </w:rPr>
        <w:t>.</w:t>
      </w:r>
    </w:p>
    <w:p w14:paraId="4F252F6F" w14:textId="77777777" w:rsidR="00DE575E" w:rsidRDefault="002E7560">
      <w:pPr>
        <w:pStyle w:val="BodyText"/>
        <w:spacing w:before="3" w:line="252" w:lineRule="auto"/>
        <w:ind w:left="250" w:right="407" w:firstLine="283"/>
        <w:jc w:val="both"/>
      </w:pPr>
      <w:r>
        <w:rPr>
          <w:color w:val="231F20"/>
        </w:rPr>
        <w:t xml:space="preserve">Виходячи з таких вивідних положень, під час застосування адмі- ністративного розсуду </w:t>
      </w:r>
      <w:r>
        <w:rPr>
          <w:b/>
          <w:i/>
          <w:color w:val="231F20"/>
        </w:rPr>
        <w:t xml:space="preserve">суб’єкт публічної адміністрації зобов’я- заний: </w:t>
      </w:r>
      <w:r>
        <w:rPr>
          <w:color w:val="231F20"/>
        </w:rPr>
        <w:t>використовувати виключно прямі чітко визначені межами закону уповноваження, і тільки після їх офіційного оприлюднення; дотр</w:t>
      </w:r>
      <w:r>
        <w:rPr>
          <w:color w:val="231F20"/>
        </w:rPr>
        <w:t>имуватися мети уповноваження; ретельно з’ясовувати обста- вини у справі; дотримуватися принципу пропорційності; дотриму- ватися принципу рівності; дотримуватися критеріїв розсудливо- сті; мотивувати свої</w:t>
      </w:r>
      <w:r>
        <w:rPr>
          <w:color w:val="231F20"/>
          <w:spacing w:val="12"/>
        </w:rPr>
        <w:t xml:space="preserve"> </w:t>
      </w:r>
      <w:r>
        <w:rPr>
          <w:color w:val="231F20"/>
        </w:rPr>
        <w:t>рішення.</w:t>
      </w:r>
    </w:p>
    <w:p w14:paraId="60999648" w14:textId="77777777" w:rsidR="00DE575E" w:rsidRDefault="00DE575E">
      <w:pPr>
        <w:pStyle w:val="BodyText"/>
        <w:rPr>
          <w:sz w:val="24"/>
        </w:rPr>
      </w:pPr>
    </w:p>
    <w:p w14:paraId="7F2723A4" w14:textId="77777777" w:rsidR="00DE575E" w:rsidRDefault="00DE575E">
      <w:pPr>
        <w:pStyle w:val="BodyText"/>
        <w:spacing w:before="7"/>
        <w:rPr>
          <w:sz w:val="19"/>
        </w:rPr>
      </w:pPr>
    </w:p>
    <w:p w14:paraId="1B8F4277" w14:textId="77777777" w:rsidR="00DE575E" w:rsidRDefault="002E7560">
      <w:pPr>
        <w:pStyle w:val="Heading4"/>
        <w:ind w:left="1338"/>
        <w:rPr>
          <w:sz w:val="13"/>
        </w:rPr>
      </w:pPr>
      <w:r>
        <w:rPr>
          <w:color w:val="231F20"/>
        </w:rPr>
        <w:t>7.10. Заходи адміністративного примусу</w:t>
      </w:r>
      <w:r>
        <w:rPr>
          <w:color w:val="231F20"/>
          <w:position w:val="7"/>
          <w:sz w:val="13"/>
        </w:rPr>
        <w:t>2</w:t>
      </w:r>
    </w:p>
    <w:p w14:paraId="61F59AAE" w14:textId="77777777" w:rsidR="00DE575E" w:rsidRDefault="00DE575E">
      <w:pPr>
        <w:pStyle w:val="BodyText"/>
        <w:rPr>
          <w:b/>
          <w:sz w:val="26"/>
        </w:rPr>
      </w:pPr>
    </w:p>
    <w:p w14:paraId="263C020B" w14:textId="77777777" w:rsidR="00DE575E" w:rsidRDefault="002E7560">
      <w:pPr>
        <w:pStyle w:val="Heading5"/>
        <w:numPr>
          <w:ilvl w:val="2"/>
          <w:numId w:val="170"/>
        </w:numPr>
        <w:tabs>
          <w:tab w:val="left" w:pos="1223"/>
        </w:tabs>
        <w:spacing w:before="223"/>
        <w:ind w:hanging="284"/>
        <w:jc w:val="left"/>
      </w:pPr>
      <w:r>
        <w:rPr>
          <w:color w:val="231F20"/>
        </w:rPr>
        <w:t>Поняття адміністративного</w:t>
      </w:r>
      <w:r>
        <w:rPr>
          <w:color w:val="231F20"/>
          <w:spacing w:val="-3"/>
        </w:rPr>
        <w:t xml:space="preserve"> </w:t>
      </w:r>
      <w:r>
        <w:rPr>
          <w:color w:val="231F20"/>
        </w:rPr>
        <w:t>примусу</w:t>
      </w:r>
    </w:p>
    <w:p w14:paraId="67272AFF" w14:textId="77777777" w:rsidR="00DE575E" w:rsidRDefault="00DE575E">
      <w:pPr>
        <w:pStyle w:val="BodyText"/>
        <w:spacing w:before="2"/>
        <w:rPr>
          <w:b/>
          <w:sz w:val="23"/>
        </w:rPr>
      </w:pPr>
    </w:p>
    <w:p w14:paraId="64A97205" w14:textId="77777777" w:rsidR="00DE575E" w:rsidRDefault="002E7560">
      <w:pPr>
        <w:pStyle w:val="BodyText"/>
        <w:spacing w:line="252" w:lineRule="auto"/>
        <w:ind w:left="250" w:right="410" w:firstLine="283"/>
        <w:jc w:val="both"/>
      </w:pPr>
      <w:r>
        <w:rPr>
          <w:color w:val="231F20"/>
        </w:rPr>
        <w:t>Останніми роками в теорії адміністративного права адміністра- тивному примусу приділялось невиправдано небагато уваги, хоча застосування</w:t>
      </w:r>
      <w:r>
        <w:rPr>
          <w:color w:val="231F20"/>
          <w:spacing w:val="-10"/>
        </w:rPr>
        <w:t xml:space="preserve"> </w:t>
      </w:r>
      <w:r>
        <w:rPr>
          <w:color w:val="231F20"/>
          <w:spacing w:val="-3"/>
        </w:rPr>
        <w:t>суб’єктами</w:t>
      </w:r>
      <w:r>
        <w:rPr>
          <w:color w:val="231F20"/>
          <w:spacing w:val="-10"/>
        </w:rPr>
        <w:t xml:space="preserve"> </w:t>
      </w:r>
      <w:r>
        <w:rPr>
          <w:color w:val="231F20"/>
        </w:rPr>
        <w:t>публічної</w:t>
      </w:r>
      <w:r>
        <w:rPr>
          <w:color w:val="231F20"/>
          <w:spacing w:val="-10"/>
        </w:rPr>
        <w:t xml:space="preserve"> </w:t>
      </w:r>
      <w:r>
        <w:rPr>
          <w:color w:val="231F20"/>
        </w:rPr>
        <w:t>адміністрації</w:t>
      </w:r>
      <w:r>
        <w:rPr>
          <w:color w:val="231F20"/>
          <w:spacing w:val="-10"/>
        </w:rPr>
        <w:t xml:space="preserve"> </w:t>
      </w:r>
      <w:r>
        <w:rPr>
          <w:color w:val="231F20"/>
        </w:rPr>
        <w:t>його</w:t>
      </w:r>
      <w:r>
        <w:rPr>
          <w:color w:val="231F20"/>
          <w:spacing w:val="-10"/>
        </w:rPr>
        <w:t xml:space="preserve"> </w:t>
      </w:r>
      <w:r>
        <w:rPr>
          <w:color w:val="231F20"/>
        </w:rPr>
        <w:t>заходів</w:t>
      </w:r>
      <w:r>
        <w:rPr>
          <w:color w:val="231F20"/>
          <w:spacing w:val="-10"/>
        </w:rPr>
        <w:t xml:space="preserve"> </w:t>
      </w:r>
      <w:r>
        <w:rPr>
          <w:color w:val="231F20"/>
        </w:rPr>
        <w:t>є</w:t>
      </w:r>
      <w:r>
        <w:rPr>
          <w:color w:val="231F20"/>
          <w:spacing w:val="-10"/>
        </w:rPr>
        <w:t xml:space="preserve"> </w:t>
      </w:r>
      <w:r>
        <w:rPr>
          <w:color w:val="231F20"/>
          <w:spacing w:val="-4"/>
        </w:rPr>
        <w:t>об’єк-</w:t>
      </w:r>
    </w:p>
    <w:p w14:paraId="53880D8C" w14:textId="4C4D5B80" w:rsidR="00DE575E" w:rsidRDefault="002E7560">
      <w:pPr>
        <w:pStyle w:val="BodyText"/>
        <w:spacing w:before="4"/>
        <w:rPr>
          <w:sz w:val="25"/>
        </w:rPr>
      </w:pPr>
      <w:r>
        <w:rPr>
          <w:noProof/>
        </w:rPr>
        <mc:AlternateContent>
          <mc:Choice Requires="wps">
            <w:drawing>
              <wp:anchor distT="0" distB="0" distL="0" distR="0" simplePos="0" relativeHeight="10456" behindDoc="0" locked="0" layoutInCell="1" allowOverlap="1" wp14:anchorId="05D878EC" wp14:editId="0EC590B6">
                <wp:simplePos x="0" y="0"/>
                <wp:positionH relativeFrom="page">
                  <wp:posOffset>539750</wp:posOffset>
                </wp:positionH>
                <wp:positionV relativeFrom="paragraph">
                  <wp:posOffset>216535</wp:posOffset>
                </wp:positionV>
                <wp:extent cx="1080135" cy="0"/>
                <wp:effectExtent l="6350" t="13335" r="31115" b="24765"/>
                <wp:wrapTopAndBottom/>
                <wp:docPr id="75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51418" id="Line_x0020_757" o:spid="_x0000_s1026" style="position:absolute;z-index:10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05pt" to="127.55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xJS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5FFalSANL&#10;2gnF0Xw6D9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" strokecolor="#231f20" strokeweight=".5pt">
                <w10:wrap type="topAndBottom" anchorx="page"/>
              </v:line>
            </w:pict>
          </mc:Fallback>
        </mc:AlternateContent>
      </w:r>
    </w:p>
    <w:p w14:paraId="257C84A2" w14:textId="77777777" w:rsidR="00DE575E" w:rsidRDefault="002E7560">
      <w:pPr>
        <w:spacing w:line="204" w:lineRule="auto"/>
        <w:ind w:left="250" w:right="412"/>
        <w:jc w:val="both"/>
        <w:rPr>
          <w:sz w:val="16"/>
        </w:rPr>
      </w:pPr>
      <w:r>
        <w:rPr>
          <w:color w:val="231F20"/>
          <w:position w:val="5"/>
          <w:sz w:val="9"/>
        </w:rPr>
        <w:t xml:space="preserve">1 </w:t>
      </w:r>
      <w:r>
        <w:rPr>
          <w:color w:val="231F20"/>
          <w:sz w:val="16"/>
        </w:rPr>
        <w:t>Рекомендація № R (80) 2</w:t>
      </w:r>
      <w:r>
        <w:rPr>
          <w:color w:val="231F20"/>
          <w:sz w:val="16"/>
        </w:rPr>
        <w:t xml:space="preserve"> Комітету Міністрів державам-членам «Стосовно реалізації адміністративними органами влади дискреційних повноважень», ухвалена Комітетом Міністрів Ради Європи 11 березня 1980 року на 316-й нараді заступників міністрів.</w:t>
      </w:r>
    </w:p>
    <w:p w14:paraId="34F90D59" w14:textId="77777777" w:rsidR="00DE575E" w:rsidRDefault="002E7560">
      <w:pPr>
        <w:spacing w:before="4"/>
        <w:ind w:left="250"/>
        <w:jc w:val="both"/>
        <w:rPr>
          <w:sz w:val="16"/>
        </w:rPr>
      </w:pPr>
      <w:r>
        <w:rPr>
          <w:color w:val="231F20"/>
          <w:position w:val="5"/>
          <w:sz w:val="9"/>
        </w:rPr>
        <w:t xml:space="preserve">2 </w:t>
      </w:r>
      <w:r>
        <w:rPr>
          <w:color w:val="231F20"/>
          <w:sz w:val="16"/>
        </w:rPr>
        <w:t xml:space="preserve">Автор: </w:t>
      </w:r>
      <w:r>
        <w:rPr>
          <w:b/>
          <w:color w:val="231F20"/>
          <w:sz w:val="16"/>
        </w:rPr>
        <w:t>Анатолій Комзюк</w:t>
      </w:r>
      <w:r>
        <w:rPr>
          <w:color w:val="231F20"/>
          <w:sz w:val="16"/>
        </w:rPr>
        <w:t xml:space="preserve">; авторка: </w:t>
      </w:r>
      <w:r>
        <w:rPr>
          <w:b/>
          <w:color w:val="231F20"/>
          <w:sz w:val="16"/>
        </w:rPr>
        <w:t>Олена Салманова</w:t>
      </w:r>
      <w:r>
        <w:rPr>
          <w:color w:val="231F20"/>
          <w:sz w:val="16"/>
        </w:rPr>
        <w:t>.</w:t>
      </w:r>
    </w:p>
    <w:p w14:paraId="5181E8A5" w14:textId="77777777" w:rsidR="00DE575E" w:rsidRDefault="00DE575E">
      <w:pPr>
        <w:pStyle w:val="BodyText"/>
        <w:spacing w:before="10"/>
        <w:rPr>
          <w:sz w:val="11"/>
        </w:rPr>
      </w:pPr>
    </w:p>
    <w:p w14:paraId="7FC6EF8F" w14:textId="77777777" w:rsidR="00DE575E" w:rsidRDefault="002E7560">
      <w:pPr>
        <w:spacing w:before="92"/>
        <w:ind w:right="411"/>
        <w:jc w:val="right"/>
        <w:rPr>
          <w:rFonts w:ascii="Times New Roman"/>
          <w:sz w:val="20"/>
        </w:rPr>
      </w:pPr>
      <w:r>
        <w:rPr>
          <w:rFonts w:ascii="Times New Roman"/>
          <w:color w:val="231F20"/>
          <w:w w:val="90"/>
          <w:sz w:val="20"/>
        </w:rPr>
        <w:t>257</w:t>
      </w:r>
    </w:p>
    <w:p w14:paraId="0DE1373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40EF83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D543BC8" w14:textId="47B7C7C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CA3ACBB" wp14:editId="74219757">
                <wp:extent cx="4140200" cy="6350"/>
                <wp:effectExtent l="0" t="0" r="12700" b="6350"/>
                <wp:docPr id="756"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57" name="Line 75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106AC" id="Group_x0020_75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cSFRsgAIAAJgFAAAO&#10;AAAAAAAAAAAAAAAAACwCAABkcnMvZTJvRG9jLnhtbFBLAQItABQABgAIAAAAIQBMp7CQ2QAAAAMB&#10;AAAPAAAAAAAAAAAAAAAAANgEAABkcnMvZG93bnJldi54bWxQSwUGAAAAAAQABADzAAAA3gUAAAAA&#10;">
                <v:line id="Line_x0020_75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U85MYAAADcAAAADwAAAGRycy9kb3ducmV2LnhtbESP3WrCQBSE7wu+w3IEb0rdtNJaoqtI&#10;oSBe+Jc+wDF7TIK7Z2N2NdGndwuFXg4z8w0znXfWiCs1vnKs4HWYgCDOna64UPCTfb98gvABWaNx&#10;TApu5GE+6z1NMdWu5R1d96EQEcI+RQVlCHUqpc9LsuiHriaO3tE1FkOUTSF1g22EWyPfkuRDWqw4&#10;LpRY01dJ+Wl/sQqy83Mw283KtNnmMJKH83p0v6yVGvS7xQREoC78h//aS61g/D6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2VPOTGAAAA3AAAAA8AAAAAAAAA&#10;AAAAAAAAoQIAAGRycy9kb3ducmV2LnhtbFBLBQYAAAAABAAEAPkAAACUAwAAAAA=&#10;" strokecolor="#231f20" strokeweight=".5pt"/>
                <w10:anchorlock/>
              </v:group>
            </w:pict>
          </mc:Fallback>
        </mc:AlternateContent>
      </w:r>
    </w:p>
    <w:p w14:paraId="4386222D" w14:textId="77777777" w:rsidR="00DE575E" w:rsidRDefault="00DE575E">
      <w:pPr>
        <w:pStyle w:val="BodyText"/>
        <w:spacing w:before="7"/>
        <w:rPr>
          <w:rFonts w:ascii="AdonisC"/>
          <w:i/>
          <w:sz w:val="11"/>
        </w:rPr>
      </w:pPr>
    </w:p>
    <w:p w14:paraId="0BD9ECDF" w14:textId="77777777" w:rsidR="00DE575E" w:rsidRDefault="002E7560">
      <w:pPr>
        <w:pStyle w:val="BodyText"/>
        <w:spacing w:before="101" w:line="252" w:lineRule="auto"/>
        <w:ind w:left="533" w:right="126"/>
        <w:jc w:val="both"/>
      </w:pPr>
      <w:r>
        <w:rPr>
          <w:color w:val="231F20"/>
        </w:rPr>
        <w:t>тивною реальністю, що пов’язано із потребою здійснення охорони та захисту прав і свобод людини та громадянина, тобто реалізацією основного завдання сучасної держави, а відтак і її органів. Засто- сування цих заходів зумовлено потребою забезпечення публічни</w:t>
      </w:r>
      <w:r>
        <w:rPr>
          <w:color w:val="231F20"/>
        </w:rPr>
        <w:t>х інтересів, якими, безумовно, є підтримання належного публічного порядку і безпеки, посягання на які є досить поширеними і завда- ють суттєвої шкоди зазначеним інтересам. Тому, визнаючи люди- ноцентризм визначальною засадою здійснення державної влади, під</w:t>
      </w:r>
      <w:r>
        <w:rPr>
          <w:color w:val="231F20"/>
        </w:rPr>
        <w:t xml:space="preserve">креслюючи її публічно-сервісний характер, водночас не можна захоплюватися лише цим аспектом реалізації владних функцій. Не менш важливою є також потреба протидії різним проявам неправо- мірної поведінки, здійснювати яку без використання примусових заходів </w:t>
      </w:r>
      <w:r>
        <w:rPr>
          <w:color w:val="231F20"/>
        </w:rPr>
        <w:t>неможливо.</w:t>
      </w:r>
    </w:p>
    <w:p w14:paraId="4260D64B" w14:textId="77777777" w:rsidR="00DE575E" w:rsidRDefault="002E7560">
      <w:pPr>
        <w:pStyle w:val="BodyText"/>
        <w:spacing w:before="6" w:line="252" w:lineRule="auto"/>
        <w:ind w:left="533" w:right="124" w:firstLine="283"/>
        <w:jc w:val="both"/>
      </w:pPr>
      <w:r>
        <w:rPr>
          <w:color w:val="231F20"/>
        </w:rPr>
        <w:t xml:space="preserve">З іншого </w:t>
      </w:r>
      <w:r>
        <w:rPr>
          <w:color w:val="231F20"/>
          <w:spacing w:val="-3"/>
        </w:rPr>
        <w:t xml:space="preserve">боку, </w:t>
      </w:r>
      <w:r>
        <w:rPr>
          <w:color w:val="231F20"/>
        </w:rPr>
        <w:t>при застосуванні заходів адміністративного примусу має бути забезпечено права осіб, до  яких  застосову-  ються ці заходи, адже  вони  здатні  досить  суттєво  обмежити права та свободи громадян, права та законні інтереси юридични</w:t>
      </w:r>
      <w:r>
        <w:rPr>
          <w:color w:val="231F20"/>
        </w:rPr>
        <w:t>х осіб, покласти на них додаткові обов’язки. Саме цим зумовлена потреба в чіткому законодавчому визначенні підстав та порядку застосування суб’єктами владних повноважень зазначених захо- дів, а також у розробленні та вивченні в юридичних навчальних заклада</w:t>
      </w:r>
      <w:r>
        <w:rPr>
          <w:color w:val="231F20"/>
        </w:rPr>
        <w:t>х відповідних теоретичних положень щодо адміністратив- ного</w:t>
      </w:r>
      <w:r>
        <w:rPr>
          <w:color w:val="231F20"/>
          <w:spacing w:val="2"/>
        </w:rPr>
        <w:t xml:space="preserve"> </w:t>
      </w:r>
      <w:r>
        <w:rPr>
          <w:color w:val="231F20"/>
        </w:rPr>
        <w:t>примусу.</w:t>
      </w:r>
    </w:p>
    <w:p w14:paraId="1809C654" w14:textId="77777777" w:rsidR="00DE575E" w:rsidRDefault="002E7560">
      <w:pPr>
        <w:pStyle w:val="BodyText"/>
        <w:spacing w:before="5" w:line="252" w:lineRule="auto"/>
        <w:ind w:left="533" w:right="125" w:firstLine="283"/>
        <w:jc w:val="both"/>
      </w:pPr>
      <w:r>
        <w:rPr>
          <w:color w:val="231F20"/>
        </w:rPr>
        <w:t xml:space="preserve">Найпершим вихідним положенням у розумінні адміністратив- ного примусу є те, що це різновид </w:t>
      </w:r>
      <w:r>
        <w:rPr>
          <w:i/>
          <w:color w:val="231F20"/>
        </w:rPr>
        <w:t>державного примусу</w:t>
      </w:r>
      <w:r>
        <w:rPr>
          <w:color w:val="231F20"/>
        </w:rPr>
        <w:t>. Державний примус застосовується переважно до осіб, які вчинили правопору- ше</w:t>
      </w:r>
      <w:r>
        <w:rPr>
          <w:color w:val="231F20"/>
        </w:rPr>
        <w:t xml:space="preserve">ння. З точки зору філософії він виявлений у </w:t>
      </w:r>
      <w:r>
        <w:rPr>
          <w:color w:val="231F20"/>
          <w:spacing w:val="-3"/>
        </w:rPr>
        <w:t xml:space="preserve">тому, </w:t>
      </w:r>
      <w:r>
        <w:rPr>
          <w:color w:val="231F20"/>
        </w:rPr>
        <w:t xml:space="preserve">що цим </w:t>
      </w:r>
      <w:r>
        <w:rPr>
          <w:i/>
          <w:color w:val="231F20"/>
        </w:rPr>
        <w:t xml:space="preserve">приму- сом знімається інший примус </w:t>
      </w:r>
      <w:r>
        <w:rPr>
          <w:color w:val="231F20"/>
        </w:rPr>
        <w:t xml:space="preserve">(тобто правопорушення);  тому  він  не тільки зумовлений правом, а й є необхідним, а саме – як </w:t>
      </w:r>
      <w:r>
        <w:rPr>
          <w:i/>
          <w:color w:val="231F20"/>
        </w:rPr>
        <w:t xml:space="preserve">другий </w:t>
      </w:r>
      <w:r>
        <w:rPr>
          <w:color w:val="231F20"/>
        </w:rPr>
        <w:t xml:space="preserve">примус, який є зняттям </w:t>
      </w:r>
      <w:r>
        <w:rPr>
          <w:i/>
          <w:color w:val="231F20"/>
        </w:rPr>
        <w:t>першого примусу</w:t>
      </w:r>
      <w:r>
        <w:rPr>
          <w:color w:val="231F20"/>
        </w:rPr>
        <w:t xml:space="preserve">, примус або насильство, взяте абстрактно, </w:t>
      </w:r>
      <w:r>
        <w:rPr>
          <w:i/>
          <w:color w:val="231F20"/>
        </w:rPr>
        <w:t>неправомірне</w:t>
      </w:r>
      <w:r>
        <w:rPr>
          <w:i/>
          <w:color w:val="231F20"/>
          <w:position w:val="7"/>
          <w:sz w:val="12"/>
        </w:rPr>
        <w:t>1</w:t>
      </w:r>
      <w:r>
        <w:rPr>
          <w:i/>
          <w:color w:val="231F20"/>
        </w:rPr>
        <w:t xml:space="preserve">. </w:t>
      </w:r>
      <w:r>
        <w:rPr>
          <w:color w:val="231F20"/>
        </w:rPr>
        <w:t>Існують також випадки, коли загроза суспільним відносинам виникає об’єктивно – наприклад, унаслідок дії сил природи, тобто за відсутності протиправної пове- дінки, проте потреба її усунення є не мен</w:t>
      </w:r>
      <w:r>
        <w:rPr>
          <w:color w:val="231F20"/>
        </w:rPr>
        <w:t>ш</w:t>
      </w:r>
      <w:r>
        <w:rPr>
          <w:color w:val="231F20"/>
          <w:spacing w:val="1"/>
        </w:rPr>
        <w:t xml:space="preserve"> </w:t>
      </w:r>
      <w:r>
        <w:rPr>
          <w:color w:val="231F20"/>
        </w:rPr>
        <w:t>актуальною.</w:t>
      </w:r>
    </w:p>
    <w:p w14:paraId="4A0A3824" w14:textId="77777777" w:rsidR="00DE575E" w:rsidRDefault="002E7560">
      <w:pPr>
        <w:spacing w:before="5" w:line="252" w:lineRule="auto"/>
        <w:ind w:left="533" w:right="128" w:firstLine="283"/>
        <w:jc w:val="both"/>
        <w:rPr>
          <w:sz w:val="21"/>
        </w:rPr>
      </w:pPr>
      <w:r>
        <w:rPr>
          <w:color w:val="231F20"/>
          <w:sz w:val="21"/>
        </w:rPr>
        <w:t xml:space="preserve">Державний примус і його складову </w:t>
      </w:r>
      <w:r>
        <w:rPr>
          <w:i/>
          <w:color w:val="231F20"/>
          <w:sz w:val="21"/>
        </w:rPr>
        <w:t xml:space="preserve">– примус адміністративний </w:t>
      </w:r>
      <w:r>
        <w:rPr>
          <w:color w:val="231F20"/>
          <w:sz w:val="21"/>
        </w:rPr>
        <w:t>– слід</w:t>
      </w:r>
      <w:r>
        <w:rPr>
          <w:color w:val="231F20"/>
          <w:spacing w:val="-15"/>
          <w:sz w:val="21"/>
        </w:rPr>
        <w:t xml:space="preserve"> </w:t>
      </w:r>
      <w:r>
        <w:rPr>
          <w:color w:val="231F20"/>
          <w:sz w:val="21"/>
        </w:rPr>
        <w:t>розглядати</w:t>
      </w:r>
      <w:r>
        <w:rPr>
          <w:color w:val="231F20"/>
          <w:spacing w:val="-15"/>
          <w:sz w:val="21"/>
        </w:rPr>
        <w:t xml:space="preserve"> </w:t>
      </w:r>
      <w:r>
        <w:rPr>
          <w:color w:val="231F20"/>
          <w:sz w:val="21"/>
        </w:rPr>
        <w:t>як</w:t>
      </w:r>
      <w:r>
        <w:rPr>
          <w:color w:val="231F20"/>
          <w:spacing w:val="-15"/>
          <w:sz w:val="21"/>
        </w:rPr>
        <w:t xml:space="preserve"> </w:t>
      </w:r>
      <w:r>
        <w:rPr>
          <w:color w:val="231F20"/>
          <w:sz w:val="21"/>
        </w:rPr>
        <w:t>один</w:t>
      </w:r>
      <w:r>
        <w:rPr>
          <w:color w:val="231F20"/>
          <w:spacing w:val="-15"/>
          <w:sz w:val="21"/>
        </w:rPr>
        <w:t xml:space="preserve"> </w:t>
      </w:r>
      <w:r>
        <w:rPr>
          <w:color w:val="231F20"/>
          <w:sz w:val="21"/>
        </w:rPr>
        <w:t>із</w:t>
      </w:r>
      <w:r>
        <w:rPr>
          <w:color w:val="231F20"/>
          <w:spacing w:val="-15"/>
          <w:sz w:val="21"/>
        </w:rPr>
        <w:t xml:space="preserve"> </w:t>
      </w:r>
      <w:r>
        <w:rPr>
          <w:color w:val="231F20"/>
          <w:spacing w:val="-3"/>
          <w:sz w:val="21"/>
        </w:rPr>
        <w:t>невід’ємних</w:t>
      </w:r>
      <w:r>
        <w:rPr>
          <w:color w:val="231F20"/>
          <w:spacing w:val="-15"/>
          <w:sz w:val="21"/>
        </w:rPr>
        <w:t xml:space="preserve"> </w:t>
      </w:r>
      <w:r>
        <w:rPr>
          <w:color w:val="231F20"/>
          <w:sz w:val="21"/>
        </w:rPr>
        <w:t>атрибутів</w:t>
      </w:r>
      <w:r>
        <w:rPr>
          <w:color w:val="231F20"/>
          <w:spacing w:val="-15"/>
          <w:sz w:val="21"/>
        </w:rPr>
        <w:t xml:space="preserve"> </w:t>
      </w:r>
      <w:r>
        <w:rPr>
          <w:color w:val="231F20"/>
          <w:sz w:val="21"/>
        </w:rPr>
        <w:t>здійснення</w:t>
      </w:r>
      <w:r>
        <w:rPr>
          <w:color w:val="231F20"/>
          <w:spacing w:val="-16"/>
          <w:sz w:val="21"/>
        </w:rPr>
        <w:t xml:space="preserve"> </w:t>
      </w:r>
      <w:r>
        <w:rPr>
          <w:color w:val="231F20"/>
          <w:sz w:val="21"/>
        </w:rPr>
        <w:t>держав-</w:t>
      </w:r>
    </w:p>
    <w:p w14:paraId="05189CB1" w14:textId="5B3E5E0B" w:rsidR="00DE575E" w:rsidRDefault="002E7560">
      <w:pPr>
        <w:pStyle w:val="BodyText"/>
        <w:spacing w:before="1"/>
        <w:rPr>
          <w:sz w:val="19"/>
        </w:rPr>
      </w:pPr>
      <w:r>
        <w:rPr>
          <w:noProof/>
        </w:rPr>
        <mc:AlternateContent>
          <mc:Choice Requires="wps">
            <w:drawing>
              <wp:anchor distT="0" distB="0" distL="0" distR="0" simplePos="0" relativeHeight="10504" behindDoc="0" locked="0" layoutInCell="1" allowOverlap="1" wp14:anchorId="7278B721" wp14:editId="57F7DF4C">
                <wp:simplePos x="0" y="0"/>
                <wp:positionH relativeFrom="page">
                  <wp:posOffset>719455</wp:posOffset>
                </wp:positionH>
                <wp:positionV relativeFrom="paragraph">
                  <wp:posOffset>170180</wp:posOffset>
                </wp:positionV>
                <wp:extent cx="1080135" cy="0"/>
                <wp:effectExtent l="8255" t="17780" r="29210" b="20320"/>
                <wp:wrapTopAndBottom/>
                <wp:docPr id="755"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13B34" id="Line_x0020_754" o:spid="_x0000_s1026" style="position:absolute;z-index:10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4pt" to="141.7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" strokecolor="#231f20" strokeweight=".5pt">
                <w10:wrap type="topAndBottom" anchorx="page"/>
              </v:line>
            </w:pict>
          </mc:Fallback>
        </mc:AlternateContent>
      </w:r>
    </w:p>
    <w:p w14:paraId="1C3FDD16"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Адміністративне право України. Академічний курс: підручник: у двох томах: Том 1. Загальна частина / Рсд. коле</w:t>
      </w:r>
      <w:r>
        <w:rPr>
          <w:color w:val="231F20"/>
          <w:sz w:val="16"/>
        </w:rPr>
        <w:t>гія: В. Б. Авер’янов (голова). Київ: Видавництво «Юридична думка», 2004. С. 411.</w:t>
      </w:r>
    </w:p>
    <w:p w14:paraId="591163F7" w14:textId="77777777" w:rsidR="00DE575E" w:rsidRDefault="00DE575E">
      <w:pPr>
        <w:pStyle w:val="BodyText"/>
        <w:spacing w:before="2"/>
        <w:rPr>
          <w:sz w:val="12"/>
        </w:rPr>
      </w:pPr>
    </w:p>
    <w:p w14:paraId="0B34E5CE" w14:textId="77777777" w:rsidR="00DE575E" w:rsidRDefault="002E7560">
      <w:pPr>
        <w:spacing w:before="92"/>
        <w:ind w:left="533"/>
        <w:rPr>
          <w:rFonts w:ascii="Times New Roman"/>
          <w:sz w:val="20"/>
        </w:rPr>
      </w:pPr>
      <w:r>
        <w:rPr>
          <w:rFonts w:ascii="Times New Roman"/>
          <w:color w:val="231F20"/>
          <w:sz w:val="20"/>
        </w:rPr>
        <w:t>258</w:t>
      </w:r>
    </w:p>
    <w:p w14:paraId="0760D8F8" w14:textId="77777777" w:rsidR="00DE575E" w:rsidRDefault="00DE575E">
      <w:pPr>
        <w:rPr>
          <w:rFonts w:ascii="Times New Roman"/>
          <w:sz w:val="20"/>
        </w:rPr>
        <w:sectPr w:rsidR="00DE575E">
          <w:pgSz w:w="8510" w:h="12760"/>
          <w:pgMar w:top="660" w:right="720" w:bottom="280" w:left="600" w:header="720" w:footer="720" w:gutter="0"/>
          <w:cols w:space="720"/>
        </w:sectPr>
      </w:pPr>
    </w:p>
    <w:p w14:paraId="2970605C"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572D8116" w14:textId="04FFD84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C167330" wp14:editId="2ED38E1E">
                <wp:extent cx="4140200" cy="6350"/>
                <wp:effectExtent l="0" t="0" r="12700" b="6350"/>
                <wp:docPr id="753"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54" name="Line 75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268D3B" id="Group_x0020_75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VgJHJ/AgAAmAUAAA4A&#10;AAAAAAAAAAAAAAAALAIAAGRycy9lMm9Eb2MueG1sUEsBAi0AFAAGAAgAAAAhAEynsJDZAAAAAwEA&#10;AA8AAAAAAAAAAAAAAAAA1wQAAGRycy9kb3ducmV2LnhtbFBLBQYAAAAABAAEAPMAAADdBQAAAAA=&#10;">
                <v:line id="Line_x0020_75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eik8cAAADcAAAADwAAAGRycy9kb3ducmV2LnhtbESP0WrCQBRE3wv+w3KFvkjdqG0tqauI&#10;UCg+qDV+wDV7m4Tu3o3Z1aR+fVcQ+jjMzBlmtuisERdqfOVYwWiYgCDOna64UHDIPp7eQPiArNE4&#10;JgW/5GEx7z3MMNWu5S+67EMhIoR9igrKEOpUSp+XZNEPXU0cvW/XWAxRNoXUDbYRbo0cJ8mrtFhx&#10;XCixplVJ+c/+bBVkp0Ewu+3atNn2OJHH02ZyPW+Ueux3y3cQgbrwH763P7WC6csz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R6KTxwAAANwAAAAPAAAAAAAA&#10;AAAAAAAAAKECAABkcnMvZG93bnJldi54bWxQSwUGAAAAAAQABAD5AAAAlQMAAAAA&#10;" strokecolor="#231f20" strokeweight=".5pt"/>
                <w10:anchorlock/>
              </v:group>
            </w:pict>
          </mc:Fallback>
        </mc:AlternateContent>
      </w:r>
    </w:p>
    <w:p w14:paraId="07BE16C4" w14:textId="77777777" w:rsidR="00DE575E" w:rsidRDefault="00DE575E">
      <w:pPr>
        <w:pStyle w:val="BodyText"/>
        <w:spacing w:before="7"/>
        <w:rPr>
          <w:rFonts w:ascii="AdonisC"/>
          <w:i/>
          <w:sz w:val="19"/>
        </w:rPr>
      </w:pPr>
    </w:p>
    <w:p w14:paraId="227C14A7" w14:textId="77777777" w:rsidR="00DE575E" w:rsidRDefault="002E7560">
      <w:pPr>
        <w:pStyle w:val="BodyText"/>
        <w:spacing w:before="1" w:line="252" w:lineRule="auto"/>
        <w:ind w:left="250" w:right="411"/>
        <w:jc w:val="both"/>
      </w:pPr>
      <w:r>
        <w:rPr>
          <w:color w:val="231F20"/>
        </w:rPr>
        <w:t xml:space="preserve">ної влади, як її метод. З іншого </w:t>
      </w:r>
      <w:r>
        <w:rPr>
          <w:color w:val="231F20"/>
          <w:spacing w:val="-5"/>
        </w:rPr>
        <w:t xml:space="preserve">боку,  </w:t>
      </w:r>
      <w:r>
        <w:rPr>
          <w:color w:val="231F20"/>
        </w:rPr>
        <w:t>цей примус – не самоціль, він   є</w:t>
      </w:r>
      <w:r>
        <w:rPr>
          <w:color w:val="231F20"/>
          <w:spacing w:val="-9"/>
        </w:rPr>
        <w:t xml:space="preserve"> </w:t>
      </w:r>
      <w:r>
        <w:rPr>
          <w:color w:val="231F20"/>
        </w:rPr>
        <w:t>наслідком</w:t>
      </w:r>
      <w:r>
        <w:rPr>
          <w:color w:val="231F20"/>
          <w:spacing w:val="-9"/>
        </w:rPr>
        <w:t xml:space="preserve"> </w:t>
      </w:r>
      <w:r>
        <w:rPr>
          <w:color w:val="231F20"/>
        </w:rPr>
        <w:t>певної</w:t>
      </w:r>
      <w:r>
        <w:rPr>
          <w:color w:val="231F20"/>
          <w:spacing w:val="-9"/>
        </w:rPr>
        <w:t xml:space="preserve"> </w:t>
      </w:r>
      <w:r>
        <w:rPr>
          <w:color w:val="231F20"/>
        </w:rPr>
        <w:t>поведінки</w:t>
      </w:r>
      <w:r>
        <w:rPr>
          <w:color w:val="231F20"/>
          <w:spacing w:val="-9"/>
        </w:rPr>
        <w:t xml:space="preserve"> </w:t>
      </w:r>
      <w:r>
        <w:rPr>
          <w:color w:val="231F20"/>
        </w:rPr>
        <w:t>різних</w:t>
      </w:r>
      <w:r>
        <w:rPr>
          <w:color w:val="231F20"/>
          <w:spacing w:val="-9"/>
        </w:rPr>
        <w:t xml:space="preserve"> </w:t>
      </w:r>
      <w:r>
        <w:rPr>
          <w:color w:val="231F20"/>
        </w:rPr>
        <w:t>соціальних</w:t>
      </w:r>
      <w:r>
        <w:rPr>
          <w:color w:val="231F20"/>
          <w:spacing w:val="-9"/>
        </w:rPr>
        <w:t xml:space="preserve"> </w:t>
      </w:r>
      <w:r>
        <w:rPr>
          <w:color w:val="231F20"/>
          <w:spacing w:val="-3"/>
        </w:rPr>
        <w:t>суб’єктів,</w:t>
      </w:r>
      <w:r>
        <w:rPr>
          <w:color w:val="231F20"/>
          <w:spacing w:val="-9"/>
        </w:rPr>
        <w:t xml:space="preserve"> </w:t>
      </w:r>
      <w:r>
        <w:rPr>
          <w:color w:val="231F20"/>
        </w:rPr>
        <w:t>поведінки, яка</w:t>
      </w:r>
      <w:r>
        <w:rPr>
          <w:color w:val="231F20"/>
          <w:spacing w:val="-6"/>
        </w:rPr>
        <w:t xml:space="preserve"> </w:t>
      </w:r>
      <w:r>
        <w:rPr>
          <w:color w:val="231F20"/>
        </w:rPr>
        <w:t>відхиляється</w:t>
      </w:r>
      <w:r>
        <w:rPr>
          <w:color w:val="231F20"/>
          <w:spacing w:val="-7"/>
        </w:rPr>
        <w:t xml:space="preserve"> </w:t>
      </w:r>
      <w:r>
        <w:rPr>
          <w:color w:val="231F20"/>
        </w:rPr>
        <w:t>від</w:t>
      </w:r>
      <w:r>
        <w:rPr>
          <w:color w:val="231F20"/>
          <w:spacing w:val="-7"/>
        </w:rPr>
        <w:t xml:space="preserve"> </w:t>
      </w:r>
      <w:r>
        <w:rPr>
          <w:color w:val="231F20"/>
        </w:rPr>
        <w:t>вимог</w:t>
      </w:r>
      <w:r>
        <w:rPr>
          <w:color w:val="231F20"/>
          <w:spacing w:val="-7"/>
        </w:rPr>
        <w:t xml:space="preserve"> </w:t>
      </w:r>
      <w:r>
        <w:rPr>
          <w:color w:val="231F20"/>
        </w:rPr>
        <w:t>правових</w:t>
      </w:r>
      <w:r>
        <w:rPr>
          <w:color w:val="231F20"/>
          <w:spacing w:val="-7"/>
        </w:rPr>
        <w:t xml:space="preserve"> </w:t>
      </w:r>
      <w:r>
        <w:rPr>
          <w:color w:val="231F20"/>
        </w:rPr>
        <w:t>норм,</w:t>
      </w:r>
      <w:r>
        <w:rPr>
          <w:color w:val="231F20"/>
          <w:spacing w:val="-7"/>
        </w:rPr>
        <w:t xml:space="preserve"> </w:t>
      </w:r>
      <w:r>
        <w:rPr>
          <w:color w:val="231F20"/>
        </w:rPr>
        <w:t>становить</w:t>
      </w:r>
      <w:r>
        <w:rPr>
          <w:color w:val="231F20"/>
          <w:spacing w:val="-6"/>
        </w:rPr>
        <w:t xml:space="preserve"> </w:t>
      </w:r>
      <w:r>
        <w:rPr>
          <w:color w:val="231F20"/>
        </w:rPr>
        <w:t>загрозу</w:t>
      </w:r>
      <w:r>
        <w:rPr>
          <w:color w:val="231F20"/>
          <w:spacing w:val="-7"/>
        </w:rPr>
        <w:t xml:space="preserve"> </w:t>
      </w:r>
      <w:r>
        <w:rPr>
          <w:color w:val="231F20"/>
        </w:rPr>
        <w:t>відно- синам, що цими нормами регулюються і охороняються, і застосову- ється з метою усунення («зняття») такої</w:t>
      </w:r>
      <w:r>
        <w:rPr>
          <w:color w:val="231F20"/>
          <w:spacing w:val="-6"/>
        </w:rPr>
        <w:t xml:space="preserve"> </w:t>
      </w:r>
      <w:r>
        <w:rPr>
          <w:color w:val="231F20"/>
        </w:rPr>
        <w:t>поведінки.</w:t>
      </w:r>
    </w:p>
    <w:p w14:paraId="0D310E08" w14:textId="77777777" w:rsidR="00DE575E" w:rsidRDefault="002E7560">
      <w:pPr>
        <w:spacing w:before="2" w:line="252" w:lineRule="auto"/>
        <w:ind w:left="250" w:right="411" w:firstLine="283"/>
        <w:jc w:val="both"/>
        <w:rPr>
          <w:sz w:val="21"/>
        </w:rPr>
      </w:pPr>
      <w:r>
        <w:rPr>
          <w:color w:val="231F20"/>
          <w:sz w:val="21"/>
        </w:rPr>
        <w:t xml:space="preserve">Державний примус – єдиний, який </w:t>
      </w:r>
      <w:r>
        <w:rPr>
          <w:i/>
          <w:color w:val="231F20"/>
          <w:sz w:val="21"/>
        </w:rPr>
        <w:t xml:space="preserve">може застосовуватися від імені всього суспільства до будь-яких осіб, </w:t>
      </w:r>
      <w:r>
        <w:rPr>
          <w:color w:val="231F20"/>
          <w:sz w:val="21"/>
        </w:rPr>
        <w:t>що перебувають на тери- торії дер</w:t>
      </w:r>
      <w:r>
        <w:rPr>
          <w:color w:val="231F20"/>
          <w:sz w:val="21"/>
        </w:rPr>
        <w:t xml:space="preserve">жави, а також включає заходи, які не можуть використо- вувати інші соціальні суб’єкти (напр., громадські об’єднання). Такі заходи є саме </w:t>
      </w:r>
      <w:r>
        <w:rPr>
          <w:i/>
          <w:color w:val="231F20"/>
          <w:sz w:val="21"/>
        </w:rPr>
        <w:t>примусовими</w:t>
      </w:r>
      <w:r>
        <w:rPr>
          <w:color w:val="231F20"/>
          <w:sz w:val="21"/>
        </w:rPr>
        <w:t>, тобто реалізуються незалежно від волі та бажання відповідних осіб.</w:t>
      </w:r>
    </w:p>
    <w:p w14:paraId="2DF407B3" w14:textId="77777777" w:rsidR="00DE575E" w:rsidRDefault="002E7560">
      <w:pPr>
        <w:pStyle w:val="BodyText"/>
        <w:spacing w:before="3" w:line="252" w:lineRule="auto"/>
        <w:ind w:left="250" w:right="410" w:firstLine="283"/>
        <w:jc w:val="both"/>
      </w:pPr>
      <w:r>
        <w:rPr>
          <w:color w:val="231F20"/>
        </w:rPr>
        <w:t xml:space="preserve">Державний примус постає </w:t>
      </w:r>
      <w:r>
        <w:rPr>
          <w:i/>
          <w:color w:val="231F20"/>
        </w:rPr>
        <w:t>у двох формах –</w:t>
      </w:r>
      <w:r>
        <w:rPr>
          <w:i/>
          <w:color w:val="231F20"/>
        </w:rPr>
        <w:t xml:space="preserve"> </w:t>
      </w:r>
      <w:r>
        <w:rPr>
          <w:color w:val="231F20"/>
        </w:rPr>
        <w:t xml:space="preserve">як </w:t>
      </w:r>
      <w:r>
        <w:rPr>
          <w:i/>
          <w:color w:val="231F20"/>
        </w:rPr>
        <w:t xml:space="preserve">судовий та поза- судовий (адміністративний) примус. </w:t>
      </w:r>
      <w:r>
        <w:rPr>
          <w:color w:val="231F20"/>
        </w:rPr>
        <w:t xml:space="preserve">Крім того, державний примус врегульовано нормами різних галузей права, тому він одночасно     є правовим примусом (цивільно-правовим, дисциплінарним, адмі- ністративним, кримінально-правовим). </w:t>
      </w:r>
      <w:r>
        <w:rPr>
          <w:color w:val="231F20"/>
          <w:spacing w:val="-3"/>
        </w:rPr>
        <w:t xml:space="preserve">Кожен </w:t>
      </w:r>
      <w:r>
        <w:rPr>
          <w:color w:val="231F20"/>
        </w:rPr>
        <w:t>і</w:t>
      </w:r>
      <w:r>
        <w:rPr>
          <w:color w:val="231F20"/>
        </w:rPr>
        <w:t>з них має специфічні властивості, що визначають його сутність і особливості, відносну самостійність у системі державного</w:t>
      </w:r>
      <w:r>
        <w:rPr>
          <w:color w:val="231F20"/>
          <w:spacing w:val="-3"/>
        </w:rPr>
        <w:t xml:space="preserve"> примусу.</w:t>
      </w:r>
    </w:p>
    <w:p w14:paraId="05D819C0" w14:textId="77777777" w:rsidR="00DE575E" w:rsidRDefault="002E7560">
      <w:pPr>
        <w:spacing w:before="4"/>
        <w:ind w:left="533"/>
        <w:rPr>
          <w:sz w:val="21"/>
        </w:rPr>
      </w:pPr>
      <w:r>
        <w:rPr>
          <w:i/>
          <w:color w:val="231F20"/>
          <w:sz w:val="21"/>
        </w:rPr>
        <w:t xml:space="preserve">Адміністративний примус </w:t>
      </w:r>
      <w:r>
        <w:rPr>
          <w:color w:val="231F20"/>
          <w:sz w:val="21"/>
        </w:rPr>
        <w:t>характеризується такими рисами:</w:t>
      </w:r>
    </w:p>
    <w:p w14:paraId="4E60854F" w14:textId="77777777" w:rsidR="00DE575E" w:rsidRDefault="002E7560">
      <w:pPr>
        <w:spacing w:before="12"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застосовується, як правило, </w:t>
      </w:r>
      <w:r>
        <w:rPr>
          <w:i/>
          <w:color w:val="231F20"/>
          <w:sz w:val="21"/>
        </w:rPr>
        <w:t xml:space="preserve">суб’єктами публічної адміністра- ції </w:t>
      </w:r>
      <w:r>
        <w:rPr>
          <w:color w:val="231F20"/>
          <w:sz w:val="21"/>
        </w:rPr>
        <w:t>без</w:t>
      </w:r>
      <w:r>
        <w:rPr>
          <w:color w:val="231F20"/>
          <w:sz w:val="21"/>
        </w:rPr>
        <w:t xml:space="preserve"> звертання до суду;</w:t>
      </w:r>
    </w:p>
    <w:p w14:paraId="67E70821" w14:textId="77777777" w:rsidR="00DE575E" w:rsidRDefault="002E7560">
      <w:pPr>
        <w:spacing w:before="1"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застосовується </w:t>
      </w:r>
      <w:r>
        <w:rPr>
          <w:i/>
          <w:color w:val="231F20"/>
          <w:sz w:val="21"/>
        </w:rPr>
        <w:t xml:space="preserve">лише спеціально уповноваженими на те суб’єк- тами </w:t>
      </w:r>
      <w:r>
        <w:rPr>
          <w:color w:val="231F20"/>
          <w:sz w:val="21"/>
        </w:rPr>
        <w:t>публічної адміністрації;</w:t>
      </w:r>
    </w:p>
    <w:p w14:paraId="252FD16D" w14:textId="77777777" w:rsidR="00DE575E" w:rsidRDefault="002E7560">
      <w:pPr>
        <w:spacing w:before="1"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може застосовуватися </w:t>
      </w:r>
      <w:r>
        <w:rPr>
          <w:i/>
          <w:color w:val="231F20"/>
          <w:sz w:val="21"/>
        </w:rPr>
        <w:t>не тільки у зв’язку з учиненням правопо- рушень</w:t>
      </w:r>
      <w:r>
        <w:rPr>
          <w:color w:val="231F20"/>
          <w:sz w:val="21"/>
        </w:rPr>
        <w:t>, але і за їх відсутності;</w:t>
      </w:r>
    </w:p>
    <w:p w14:paraId="36820A9B" w14:textId="77777777" w:rsidR="00DE575E" w:rsidRDefault="002E7560">
      <w:pPr>
        <w:spacing w:before="1" w:line="252" w:lineRule="auto"/>
        <w:ind w:left="250" w:right="410"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за змістом </w:t>
      </w:r>
      <w:r>
        <w:rPr>
          <w:i/>
          <w:color w:val="231F20"/>
          <w:sz w:val="21"/>
        </w:rPr>
        <w:t>значно ширший від адміністративної</w:t>
      </w:r>
      <w:r>
        <w:rPr>
          <w:i/>
          <w:color w:val="231F20"/>
          <w:sz w:val="21"/>
        </w:rPr>
        <w:t xml:space="preserve"> відповідаль- ності</w:t>
      </w:r>
      <w:r>
        <w:rPr>
          <w:color w:val="231F20"/>
          <w:sz w:val="21"/>
        </w:rPr>
        <w:t>, на відміну від інших видів державного примусу, які за своєю сутністю, як правило, рівнозначні відповідному виду юридичної відповідальності;</w:t>
      </w:r>
    </w:p>
    <w:p w14:paraId="35DDA524" w14:textId="77777777" w:rsidR="00DE575E" w:rsidRDefault="002E7560">
      <w:pPr>
        <w:spacing w:before="2"/>
        <w:ind w:left="533"/>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застосовується </w:t>
      </w:r>
      <w:r>
        <w:rPr>
          <w:i/>
          <w:color w:val="231F20"/>
          <w:sz w:val="21"/>
        </w:rPr>
        <w:t>як до фізичних, так і до юридичних осіб</w:t>
      </w:r>
      <w:r>
        <w:rPr>
          <w:color w:val="231F20"/>
          <w:sz w:val="21"/>
        </w:rPr>
        <w:t>;</w:t>
      </w:r>
    </w:p>
    <w:p w14:paraId="13151ED6" w14:textId="77777777" w:rsidR="00DE575E" w:rsidRDefault="002E7560">
      <w:pPr>
        <w:spacing w:before="13"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застосовується  до  </w:t>
      </w:r>
      <w:r>
        <w:rPr>
          <w:color w:val="231F20"/>
          <w:spacing w:val="-3"/>
          <w:sz w:val="21"/>
        </w:rPr>
        <w:t xml:space="preserve">суб’єктів,  </w:t>
      </w:r>
      <w:r>
        <w:rPr>
          <w:color w:val="231F20"/>
          <w:sz w:val="21"/>
        </w:rPr>
        <w:t>як</w:t>
      </w:r>
      <w:r>
        <w:rPr>
          <w:color w:val="231F20"/>
          <w:sz w:val="21"/>
        </w:rPr>
        <w:t xml:space="preserve">і   </w:t>
      </w:r>
      <w:r>
        <w:rPr>
          <w:i/>
          <w:color w:val="231F20"/>
          <w:sz w:val="21"/>
        </w:rPr>
        <w:t>не  підпорядковані  органам  і посадовим особам</w:t>
      </w:r>
      <w:r>
        <w:rPr>
          <w:color w:val="231F20"/>
          <w:sz w:val="21"/>
        </w:rPr>
        <w:t xml:space="preserve">, які застосовують </w:t>
      </w:r>
      <w:r>
        <w:rPr>
          <w:color w:val="231F20"/>
          <w:spacing w:val="-2"/>
          <w:sz w:val="21"/>
        </w:rPr>
        <w:t>заходи</w:t>
      </w:r>
      <w:r>
        <w:rPr>
          <w:color w:val="231F20"/>
          <w:spacing w:val="-7"/>
          <w:sz w:val="21"/>
        </w:rPr>
        <w:t xml:space="preserve"> </w:t>
      </w:r>
      <w:r>
        <w:rPr>
          <w:color w:val="231F20"/>
          <w:sz w:val="21"/>
        </w:rPr>
        <w:t>впливу;</w:t>
      </w:r>
    </w:p>
    <w:p w14:paraId="2C4CB988" w14:textId="77777777" w:rsidR="00DE575E" w:rsidRDefault="002E7560">
      <w:pPr>
        <w:spacing w:before="1"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регулюється нормами </w:t>
      </w:r>
      <w:r>
        <w:rPr>
          <w:i/>
          <w:color w:val="231F20"/>
          <w:sz w:val="21"/>
        </w:rPr>
        <w:t>адміністративного права – як законо- давчими, так і підзаконними</w:t>
      </w:r>
      <w:r>
        <w:rPr>
          <w:color w:val="231F20"/>
          <w:sz w:val="21"/>
        </w:rPr>
        <w:t>;</w:t>
      </w:r>
    </w:p>
    <w:p w14:paraId="16765C51" w14:textId="77777777" w:rsidR="00DE575E" w:rsidRDefault="002E7560">
      <w:pPr>
        <w:spacing w:before="1"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його </w:t>
      </w:r>
      <w:r>
        <w:rPr>
          <w:i/>
          <w:color w:val="231F20"/>
          <w:sz w:val="21"/>
        </w:rPr>
        <w:t xml:space="preserve">заходи мають різноманітний характер </w:t>
      </w:r>
      <w:r>
        <w:rPr>
          <w:color w:val="231F20"/>
          <w:sz w:val="21"/>
        </w:rPr>
        <w:t>– моральні, майнові, особистісні та ін., допускається застосування безпосеред- нього впливу – фізичної сили і вогнепальної зброї;</w:t>
      </w:r>
    </w:p>
    <w:p w14:paraId="55C054F5" w14:textId="77777777" w:rsidR="00DE575E" w:rsidRDefault="002E7560">
      <w:pPr>
        <w:spacing w:before="2" w:line="252" w:lineRule="auto"/>
        <w:ind w:left="250" w:right="410" w:firstLine="283"/>
        <w:jc w:val="both"/>
        <w:rPr>
          <w:sz w:val="21"/>
        </w:rPr>
      </w:pPr>
      <w:r>
        <w:rPr>
          <w:rFonts w:ascii="Wingdings" w:hAnsi="Wingdings"/>
          <w:color w:val="231F20"/>
          <w:sz w:val="21"/>
        </w:rPr>
        <w:t></w:t>
      </w:r>
      <w:r>
        <w:rPr>
          <w:rFonts w:ascii="Times New Roman" w:hAnsi="Times New Roman"/>
          <w:color w:val="231F20"/>
          <w:sz w:val="21"/>
        </w:rPr>
        <w:t xml:space="preserve"> </w:t>
      </w:r>
      <w:r>
        <w:rPr>
          <w:color w:val="231F20"/>
          <w:sz w:val="21"/>
        </w:rPr>
        <w:t xml:space="preserve">його </w:t>
      </w:r>
      <w:r>
        <w:rPr>
          <w:color w:val="231F20"/>
          <w:spacing w:val="-2"/>
          <w:sz w:val="21"/>
        </w:rPr>
        <w:t xml:space="preserve">заходи </w:t>
      </w:r>
      <w:r>
        <w:rPr>
          <w:color w:val="231F20"/>
          <w:sz w:val="21"/>
        </w:rPr>
        <w:t xml:space="preserve">реалізуються саме примусово, тобто </w:t>
      </w:r>
      <w:r>
        <w:rPr>
          <w:i/>
          <w:color w:val="231F20"/>
          <w:sz w:val="21"/>
        </w:rPr>
        <w:t xml:space="preserve">незалежно від волі та бажання </w:t>
      </w:r>
      <w:r>
        <w:rPr>
          <w:color w:val="231F20"/>
          <w:sz w:val="21"/>
        </w:rPr>
        <w:t>відповідних</w:t>
      </w:r>
      <w:r>
        <w:rPr>
          <w:color w:val="231F20"/>
          <w:spacing w:val="-6"/>
          <w:sz w:val="21"/>
        </w:rPr>
        <w:t xml:space="preserve"> </w:t>
      </w:r>
      <w:r>
        <w:rPr>
          <w:color w:val="231F20"/>
          <w:sz w:val="21"/>
        </w:rPr>
        <w:t>осіб;</w:t>
      </w:r>
    </w:p>
    <w:p w14:paraId="4E882A6C" w14:textId="77777777" w:rsidR="00DE575E" w:rsidRDefault="00DE575E">
      <w:pPr>
        <w:pStyle w:val="BodyText"/>
        <w:spacing w:before="5"/>
        <w:rPr>
          <w:sz w:val="12"/>
        </w:rPr>
      </w:pPr>
    </w:p>
    <w:p w14:paraId="58D04EE5" w14:textId="77777777" w:rsidR="00DE575E" w:rsidRDefault="002E7560">
      <w:pPr>
        <w:spacing w:before="92"/>
        <w:ind w:right="411"/>
        <w:jc w:val="right"/>
        <w:rPr>
          <w:rFonts w:ascii="Times New Roman"/>
          <w:sz w:val="20"/>
        </w:rPr>
      </w:pPr>
      <w:r>
        <w:rPr>
          <w:rFonts w:ascii="Times New Roman"/>
          <w:color w:val="231F20"/>
          <w:w w:val="90"/>
          <w:sz w:val="20"/>
        </w:rPr>
        <w:t>259</w:t>
      </w:r>
    </w:p>
    <w:p w14:paraId="4A6F82F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3009E3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w:t>
      </w:r>
      <w:r>
        <w:rPr>
          <w:rFonts w:ascii="AdonisC" w:hAnsi="AdonisC"/>
          <w:i/>
          <w:color w:val="231F20"/>
          <w:sz w:val="18"/>
        </w:rPr>
        <w:t>тивне право України. Повний курс</w:t>
      </w:r>
    </w:p>
    <w:p w14:paraId="39C28550" w14:textId="5C8F324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4A06C78" wp14:editId="38096C5E">
                <wp:extent cx="4140200" cy="6350"/>
                <wp:effectExtent l="0" t="0" r="12700" b="6350"/>
                <wp:docPr id="75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52" name="Line 7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2BB76" id="Group_x0020_7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4/Kcx/AgAAmAUAAA4A&#10;AAAAAAAAAAAAAAAALAIAAGRycy9lMm9Eb2MueG1sUEsBAi0AFAAGAAgAAAAhAEynsJDZAAAAAwEA&#10;AA8AAAAAAAAAAAAAAAAA1wQAAGRycy9kb3ducmV2LnhtbFBLBQYAAAAABAAEAPMAAADdBQAAAAA=&#10;">
                <v:line id="Line_x0020_7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ffMYAAADcAAAADwAAAGRycy9kb3ducmV2LnhtbESP0WrCQBRE3wX/YblCX4puVKoSXUUK&#10;hdIHbY0fcM1ek+Du3ZhdTdqv7xYKPg4zc4ZZbTprxJ0aXzlWMB4lIIhzpysuFByzt+EChA/IGo1j&#10;UvBNHjbrfm+FqXYtf9H9EAoRIexTVFCGUKdS+rwki37kauLonV1jMUTZFFI32Ea4NXKSJDNpseK4&#10;UGJNryXll8PNKsiuz8F87j9Mm+1PU3m67qY/t51ST4NuuwQRqAuP8H/7XSuYv0z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3in3zGAAAA3AAAAA8AAAAAAAAA&#10;AAAAAAAAoQIAAGRycy9kb3ducmV2LnhtbFBLBQYAAAAABAAEAPkAAACUAwAAAAA=&#10;" strokecolor="#231f20" strokeweight=".5pt"/>
                <w10:anchorlock/>
              </v:group>
            </w:pict>
          </mc:Fallback>
        </mc:AlternateContent>
      </w:r>
    </w:p>
    <w:p w14:paraId="76812606" w14:textId="77777777" w:rsidR="00DE575E" w:rsidRDefault="00DE575E">
      <w:pPr>
        <w:pStyle w:val="BodyText"/>
        <w:spacing w:before="7"/>
        <w:rPr>
          <w:rFonts w:ascii="AdonisC"/>
          <w:i/>
          <w:sz w:val="11"/>
        </w:rPr>
      </w:pPr>
    </w:p>
    <w:p w14:paraId="539CBDD2" w14:textId="77777777" w:rsidR="00DE575E" w:rsidRDefault="002E7560">
      <w:pPr>
        <w:pStyle w:val="ListParagraph"/>
        <w:numPr>
          <w:ilvl w:val="0"/>
          <w:numId w:val="169"/>
        </w:numPr>
        <w:tabs>
          <w:tab w:val="left" w:pos="1101"/>
        </w:tabs>
        <w:spacing w:before="101" w:line="252" w:lineRule="auto"/>
        <w:ind w:right="128" w:firstLine="284"/>
        <w:rPr>
          <w:sz w:val="21"/>
        </w:rPr>
      </w:pPr>
      <w:r>
        <w:rPr>
          <w:color w:val="231F20"/>
          <w:sz w:val="21"/>
        </w:rPr>
        <w:t xml:space="preserve">застосовується </w:t>
      </w:r>
      <w:r>
        <w:rPr>
          <w:i/>
          <w:color w:val="231F20"/>
          <w:sz w:val="21"/>
        </w:rPr>
        <w:t xml:space="preserve">з метою </w:t>
      </w:r>
      <w:r>
        <w:rPr>
          <w:color w:val="231F20"/>
          <w:sz w:val="21"/>
        </w:rPr>
        <w:t>запобігання правопорушенням та їх припинення, покарання винних у їх</w:t>
      </w:r>
      <w:r>
        <w:rPr>
          <w:color w:val="231F20"/>
          <w:spacing w:val="-2"/>
          <w:sz w:val="21"/>
        </w:rPr>
        <w:t xml:space="preserve"> </w:t>
      </w:r>
      <w:r>
        <w:rPr>
          <w:color w:val="231F20"/>
          <w:sz w:val="21"/>
        </w:rPr>
        <w:t>вчиненні.</w:t>
      </w:r>
    </w:p>
    <w:p w14:paraId="3F2B150E" w14:textId="77777777" w:rsidR="00DE575E" w:rsidRDefault="002E7560">
      <w:pPr>
        <w:pStyle w:val="Heading5"/>
        <w:spacing w:before="1" w:line="252" w:lineRule="auto"/>
        <w:ind w:right="125" w:firstLine="283"/>
        <w:jc w:val="both"/>
      </w:pPr>
      <w:r>
        <w:rPr>
          <w:color w:val="231F20"/>
        </w:rPr>
        <w:t xml:space="preserve">Отже, адміністративний примус – це застосування </w:t>
      </w:r>
      <w:r>
        <w:rPr>
          <w:color w:val="231F20"/>
          <w:spacing w:val="-3"/>
        </w:rPr>
        <w:t xml:space="preserve">суб’єк- </w:t>
      </w:r>
      <w:r>
        <w:rPr>
          <w:color w:val="231F20"/>
        </w:rPr>
        <w:t>тами публічної адміністрації, а у випадках, прямо визначених   у</w:t>
      </w:r>
      <w:r>
        <w:rPr>
          <w:color w:val="231F20"/>
          <w:spacing w:val="-14"/>
        </w:rPr>
        <w:t xml:space="preserve"> </w:t>
      </w:r>
      <w:r>
        <w:rPr>
          <w:color w:val="231F20"/>
        </w:rPr>
        <w:t>законі,</w:t>
      </w:r>
      <w:r>
        <w:rPr>
          <w:color w:val="231F20"/>
          <w:spacing w:val="-14"/>
        </w:rPr>
        <w:t xml:space="preserve"> </w:t>
      </w:r>
      <w:r>
        <w:rPr>
          <w:color w:val="231F20"/>
        </w:rPr>
        <w:t>–</w:t>
      </w:r>
      <w:r>
        <w:rPr>
          <w:color w:val="231F20"/>
          <w:spacing w:val="-14"/>
        </w:rPr>
        <w:t xml:space="preserve"> </w:t>
      </w:r>
      <w:r>
        <w:rPr>
          <w:color w:val="231F20"/>
        </w:rPr>
        <w:t>також</w:t>
      </w:r>
      <w:r>
        <w:rPr>
          <w:color w:val="231F20"/>
          <w:spacing w:val="-14"/>
        </w:rPr>
        <w:t xml:space="preserve"> </w:t>
      </w:r>
      <w:r>
        <w:rPr>
          <w:color w:val="231F20"/>
        </w:rPr>
        <w:t>іншими</w:t>
      </w:r>
      <w:r>
        <w:rPr>
          <w:color w:val="231F20"/>
          <w:spacing w:val="-14"/>
        </w:rPr>
        <w:t xml:space="preserve"> </w:t>
      </w:r>
      <w:r>
        <w:rPr>
          <w:color w:val="231F20"/>
        </w:rPr>
        <w:t>особами,</w:t>
      </w:r>
      <w:r>
        <w:rPr>
          <w:color w:val="231F20"/>
          <w:spacing w:val="-14"/>
        </w:rPr>
        <w:t xml:space="preserve"> </w:t>
      </w:r>
      <w:r>
        <w:rPr>
          <w:color w:val="231F20"/>
        </w:rPr>
        <w:t>до</w:t>
      </w:r>
      <w:r>
        <w:rPr>
          <w:color w:val="231F20"/>
          <w:spacing w:val="-14"/>
        </w:rPr>
        <w:t xml:space="preserve"> </w:t>
      </w:r>
      <w:r>
        <w:rPr>
          <w:color w:val="231F20"/>
        </w:rPr>
        <w:t>осіб,</w:t>
      </w:r>
      <w:r>
        <w:rPr>
          <w:color w:val="231F20"/>
          <w:spacing w:val="-14"/>
        </w:rPr>
        <w:t xml:space="preserve"> </w:t>
      </w:r>
      <w:r>
        <w:rPr>
          <w:color w:val="231F20"/>
        </w:rPr>
        <w:t>які</w:t>
      </w:r>
      <w:r>
        <w:rPr>
          <w:color w:val="231F20"/>
          <w:spacing w:val="-14"/>
        </w:rPr>
        <w:t xml:space="preserve"> </w:t>
      </w:r>
      <w:r>
        <w:rPr>
          <w:color w:val="231F20"/>
        </w:rPr>
        <w:t>не</w:t>
      </w:r>
      <w:r>
        <w:rPr>
          <w:color w:val="231F20"/>
          <w:spacing w:val="-14"/>
        </w:rPr>
        <w:t xml:space="preserve"> </w:t>
      </w:r>
      <w:r>
        <w:rPr>
          <w:color w:val="231F20"/>
        </w:rPr>
        <w:t>перебувають</w:t>
      </w:r>
      <w:r>
        <w:rPr>
          <w:color w:val="231F20"/>
          <w:spacing w:val="-14"/>
        </w:rPr>
        <w:t xml:space="preserve"> </w:t>
      </w:r>
      <w:r>
        <w:rPr>
          <w:color w:val="231F20"/>
        </w:rPr>
        <w:t>у</w:t>
      </w:r>
      <w:r>
        <w:rPr>
          <w:color w:val="231F20"/>
          <w:spacing w:val="-12"/>
        </w:rPr>
        <w:t xml:space="preserve"> </w:t>
      </w:r>
      <w:r>
        <w:rPr>
          <w:color w:val="231F20"/>
        </w:rPr>
        <w:t xml:space="preserve">їх підпорядкуванні, незалежно від волі і бажання останніх перед- бачених адміністративно-правовими нормами </w:t>
      </w:r>
      <w:r>
        <w:rPr>
          <w:color w:val="231F20"/>
          <w:spacing w:val="-3"/>
        </w:rPr>
        <w:t xml:space="preserve">заходів </w:t>
      </w:r>
      <w:r>
        <w:rPr>
          <w:color w:val="231F20"/>
        </w:rPr>
        <w:t>впливу моральн</w:t>
      </w:r>
      <w:r>
        <w:rPr>
          <w:color w:val="231F20"/>
        </w:rPr>
        <w:t>ого, майнового, особистісного (фізичного) та іншого характеру з метою запобігання правопорушенням та їх припи- нення, притягнення винних до</w:t>
      </w:r>
      <w:r>
        <w:rPr>
          <w:color w:val="231F20"/>
          <w:spacing w:val="-3"/>
        </w:rPr>
        <w:t xml:space="preserve"> </w:t>
      </w:r>
      <w:r>
        <w:rPr>
          <w:color w:val="231F20"/>
        </w:rPr>
        <w:t>відповідальності.</w:t>
      </w:r>
    </w:p>
    <w:p w14:paraId="72D385E9" w14:textId="77777777" w:rsidR="00DE575E" w:rsidRDefault="002E7560">
      <w:pPr>
        <w:spacing w:before="4" w:line="252" w:lineRule="auto"/>
        <w:ind w:left="533" w:right="126" w:firstLine="283"/>
        <w:jc w:val="both"/>
        <w:rPr>
          <w:sz w:val="21"/>
        </w:rPr>
      </w:pPr>
      <w:r>
        <w:rPr>
          <w:i/>
          <w:color w:val="231F20"/>
          <w:sz w:val="21"/>
        </w:rPr>
        <w:t xml:space="preserve">Правові засади застосування заходів адміністративного примусу </w:t>
      </w:r>
      <w:r>
        <w:rPr>
          <w:color w:val="231F20"/>
          <w:sz w:val="21"/>
        </w:rPr>
        <w:t>встановлено</w:t>
      </w:r>
      <w:r>
        <w:rPr>
          <w:color w:val="231F20"/>
          <w:spacing w:val="-11"/>
          <w:sz w:val="21"/>
        </w:rPr>
        <w:t xml:space="preserve"> </w:t>
      </w:r>
      <w:r>
        <w:rPr>
          <w:color w:val="231F20"/>
          <w:sz w:val="21"/>
        </w:rPr>
        <w:t>багатьма</w:t>
      </w:r>
      <w:r>
        <w:rPr>
          <w:color w:val="231F20"/>
          <w:spacing w:val="-11"/>
          <w:sz w:val="21"/>
        </w:rPr>
        <w:t xml:space="preserve"> </w:t>
      </w:r>
      <w:r>
        <w:rPr>
          <w:i/>
          <w:color w:val="231F20"/>
          <w:sz w:val="21"/>
        </w:rPr>
        <w:t>законодавчими</w:t>
      </w:r>
      <w:r>
        <w:rPr>
          <w:i/>
          <w:color w:val="231F20"/>
          <w:spacing w:val="-11"/>
          <w:sz w:val="21"/>
        </w:rPr>
        <w:t xml:space="preserve"> </w:t>
      </w:r>
      <w:r>
        <w:rPr>
          <w:i/>
          <w:color w:val="231F20"/>
          <w:sz w:val="21"/>
        </w:rPr>
        <w:t>актами</w:t>
      </w:r>
      <w:r>
        <w:rPr>
          <w:i/>
          <w:color w:val="231F20"/>
          <w:spacing w:val="-11"/>
          <w:sz w:val="21"/>
        </w:rPr>
        <w:t xml:space="preserve"> </w:t>
      </w:r>
      <w:r>
        <w:rPr>
          <w:color w:val="231F20"/>
          <w:sz w:val="21"/>
        </w:rPr>
        <w:t>–</w:t>
      </w:r>
      <w:r>
        <w:rPr>
          <w:color w:val="231F20"/>
          <w:spacing w:val="-11"/>
          <w:sz w:val="21"/>
        </w:rPr>
        <w:t xml:space="preserve"> </w:t>
      </w:r>
      <w:r>
        <w:rPr>
          <w:color w:val="231F20"/>
          <w:sz w:val="21"/>
        </w:rPr>
        <w:t>законами</w:t>
      </w:r>
      <w:r>
        <w:rPr>
          <w:color w:val="231F20"/>
          <w:spacing w:val="-11"/>
          <w:sz w:val="21"/>
        </w:rPr>
        <w:t xml:space="preserve"> </w:t>
      </w:r>
      <w:r>
        <w:rPr>
          <w:color w:val="231F20"/>
          <w:sz w:val="21"/>
        </w:rPr>
        <w:t>«Про</w:t>
      </w:r>
      <w:r>
        <w:rPr>
          <w:color w:val="231F20"/>
          <w:spacing w:val="-11"/>
          <w:sz w:val="21"/>
        </w:rPr>
        <w:t xml:space="preserve"> </w:t>
      </w:r>
      <w:r>
        <w:rPr>
          <w:color w:val="231F20"/>
          <w:sz w:val="21"/>
        </w:rPr>
        <w:t xml:space="preserve">Наці- ональну поліцію», «Про Службу безпеки </w:t>
      </w:r>
      <w:r>
        <w:rPr>
          <w:color w:val="231F20"/>
          <w:spacing w:val="-3"/>
          <w:sz w:val="21"/>
        </w:rPr>
        <w:t xml:space="preserve">України», </w:t>
      </w:r>
      <w:r>
        <w:rPr>
          <w:color w:val="231F20"/>
          <w:sz w:val="21"/>
        </w:rPr>
        <w:t xml:space="preserve">«Про Державну прикордонну службу </w:t>
      </w:r>
      <w:r>
        <w:rPr>
          <w:color w:val="231F20"/>
          <w:spacing w:val="-3"/>
          <w:sz w:val="21"/>
        </w:rPr>
        <w:t xml:space="preserve">України», </w:t>
      </w:r>
      <w:r>
        <w:rPr>
          <w:color w:val="231F20"/>
          <w:sz w:val="21"/>
        </w:rPr>
        <w:t>«Про Національну гвардію</w:t>
      </w:r>
      <w:r>
        <w:rPr>
          <w:color w:val="231F20"/>
          <w:spacing w:val="35"/>
          <w:sz w:val="21"/>
        </w:rPr>
        <w:t xml:space="preserve"> </w:t>
      </w:r>
      <w:r>
        <w:rPr>
          <w:color w:val="231F20"/>
          <w:spacing w:val="-3"/>
          <w:sz w:val="21"/>
        </w:rPr>
        <w:t>України»,</w:t>
      </w:r>
    </w:p>
    <w:p w14:paraId="37C534F4" w14:textId="77777777" w:rsidR="00DE575E" w:rsidRDefault="002E7560">
      <w:pPr>
        <w:pStyle w:val="BodyText"/>
        <w:spacing w:before="2" w:line="252" w:lineRule="auto"/>
        <w:ind w:left="533" w:right="127"/>
        <w:jc w:val="both"/>
      </w:pPr>
      <w:r>
        <w:rPr>
          <w:color w:val="231F20"/>
        </w:rPr>
        <w:t>«Про Державну кримінально-виконавчу службу України», «Про державну охорону органів державної влади України та посадових осіб», «Основи законодавства України про охорону здоров’я», «Про запобігання та протидію домашньому насильству», «Про адмініст- ративний</w:t>
      </w:r>
      <w:r>
        <w:rPr>
          <w:color w:val="231F20"/>
        </w:rPr>
        <w:t xml:space="preserve"> нагляд за особами, звільненими з місць позбавлення волі», КпАП України, Митним кодексом України та ін.</w:t>
      </w:r>
    </w:p>
    <w:p w14:paraId="238D517B" w14:textId="77777777" w:rsidR="00DE575E" w:rsidRDefault="002E7560">
      <w:pPr>
        <w:spacing w:before="3" w:line="252" w:lineRule="auto"/>
        <w:ind w:left="533" w:right="128" w:firstLine="283"/>
        <w:jc w:val="both"/>
        <w:rPr>
          <w:i/>
          <w:sz w:val="21"/>
        </w:rPr>
      </w:pPr>
      <w:r>
        <w:rPr>
          <w:color w:val="231F20"/>
          <w:sz w:val="21"/>
        </w:rPr>
        <w:t>У чинному законодавстві термін «</w:t>
      </w:r>
      <w:r>
        <w:rPr>
          <w:i/>
          <w:color w:val="231F20"/>
          <w:sz w:val="21"/>
        </w:rPr>
        <w:t>адміністративний примус</w:t>
      </w:r>
      <w:r>
        <w:rPr>
          <w:color w:val="231F20"/>
          <w:sz w:val="21"/>
        </w:rPr>
        <w:t>» не використовується,</w:t>
      </w:r>
      <w:r>
        <w:rPr>
          <w:color w:val="231F20"/>
          <w:spacing w:val="-9"/>
          <w:sz w:val="21"/>
        </w:rPr>
        <w:t xml:space="preserve"> </w:t>
      </w:r>
      <w:r>
        <w:rPr>
          <w:color w:val="231F20"/>
          <w:sz w:val="21"/>
        </w:rPr>
        <w:t>водночас</w:t>
      </w:r>
      <w:r>
        <w:rPr>
          <w:color w:val="231F20"/>
          <w:spacing w:val="-9"/>
          <w:sz w:val="21"/>
        </w:rPr>
        <w:t xml:space="preserve"> </w:t>
      </w:r>
      <w:r>
        <w:rPr>
          <w:color w:val="231F20"/>
          <w:sz w:val="21"/>
        </w:rPr>
        <w:t>зустрічаються</w:t>
      </w:r>
      <w:r>
        <w:rPr>
          <w:color w:val="231F20"/>
          <w:spacing w:val="-9"/>
          <w:sz w:val="21"/>
        </w:rPr>
        <w:t xml:space="preserve"> </w:t>
      </w:r>
      <w:r>
        <w:rPr>
          <w:color w:val="231F20"/>
          <w:sz w:val="21"/>
        </w:rPr>
        <w:t>терміни</w:t>
      </w:r>
      <w:r>
        <w:rPr>
          <w:color w:val="231F20"/>
          <w:spacing w:val="-10"/>
          <w:sz w:val="21"/>
        </w:rPr>
        <w:t xml:space="preserve"> </w:t>
      </w:r>
      <w:r>
        <w:rPr>
          <w:i/>
          <w:color w:val="231F20"/>
          <w:sz w:val="21"/>
        </w:rPr>
        <w:t>«заходи</w:t>
      </w:r>
      <w:r>
        <w:rPr>
          <w:i/>
          <w:color w:val="231F20"/>
          <w:spacing w:val="-10"/>
          <w:sz w:val="21"/>
        </w:rPr>
        <w:t xml:space="preserve"> </w:t>
      </w:r>
      <w:r>
        <w:rPr>
          <w:i/>
          <w:color w:val="231F20"/>
          <w:sz w:val="21"/>
        </w:rPr>
        <w:t>впливу»,</w:t>
      </w:r>
    </w:p>
    <w:p w14:paraId="7F7B912E" w14:textId="77777777" w:rsidR="00DE575E" w:rsidRDefault="002E7560">
      <w:pPr>
        <w:spacing w:before="1" w:line="252" w:lineRule="auto"/>
        <w:ind w:left="533" w:right="128"/>
        <w:jc w:val="both"/>
        <w:rPr>
          <w:i/>
          <w:sz w:val="21"/>
        </w:rPr>
      </w:pPr>
      <w:r>
        <w:rPr>
          <w:color w:val="231F20"/>
          <w:sz w:val="21"/>
        </w:rPr>
        <w:t>«</w:t>
      </w:r>
      <w:r>
        <w:rPr>
          <w:i/>
          <w:color w:val="231F20"/>
          <w:sz w:val="21"/>
        </w:rPr>
        <w:t>поліцейські заходи</w:t>
      </w:r>
      <w:r>
        <w:rPr>
          <w:color w:val="231F20"/>
          <w:sz w:val="21"/>
        </w:rPr>
        <w:t>», «</w:t>
      </w:r>
      <w:r>
        <w:rPr>
          <w:i/>
          <w:color w:val="231F20"/>
          <w:sz w:val="21"/>
        </w:rPr>
        <w:t>пре</w:t>
      </w:r>
      <w:r>
        <w:rPr>
          <w:i/>
          <w:color w:val="231F20"/>
          <w:sz w:val="21"/>
        </w:rPr>
        <w:t>вентивні поліцейські заходи</w:t>
      </w:r>
      <w:r>
        <w:rPr>
          <w:color w:val="231F20"/>
          <w:sz w:val="21"/>
        </w:rPr>
        <w:t>», «</w:t>
      </w:r>
      <w:r>
        <w:rPr>
          <w:i/>
          <w:color w:val="231F20"/>
          <w:sz w:val="21"/>
        </w:rPr>
        <w:t>поліцейські заходи примусу</w:t>
      </w:r>
      <w:r>
        <w:rPr>
          <w:color w:val="231F20"/>
          <w:sz w:val="21"/>
        </w:rPr>
        <w:t xml:space="preserve">» тощо. </w:t>
      </w:r>
      <w:r>
        <w:rPr>
          <w:color w:val="231F20"/>
          <w:spacing w:val="-5"/>
          <w:sz w:val="21"/>
        </w:rPr>
        <w:t xml:space="preserve">Такі </w:t>
      </w:r>
      <w:r>
        <w:rPr>
          <w:color w:val="231F20"/>
          <w:sz w:val="21"/>
        </w:rPr>
        <w:t xml:space="preserve">назви дають уявлення лише про </w:t>
      </w:r>
      <w:r>
        <w:rPr>
          <w:color w:val="231F20"/>
          <w:spacing w:val="-4"/>
          <w:sz w:val="21"/>
        </w:rPr>
        <w:t xml:space="preserve">суб’єк- </w:t>
      </w:r>
      <w:r>
        <w:rPr>
          <w:color w:val="231F20"/>
          <w:sz w:val="21"/>
        </w:rPr>
        <w:t xml:space="preserve">тів застосування цих заходів, не розкриваючи їх сутності та </w:t>
      </w:r>
      <w:r>
        <w:rPr>
          <w:color w:val="231F20"/>
          <w:spacing w:val="-3"/>
          <w:sz w:val="21"/>
        </w:rPr>
        <w:t xml:space="preserve">змісту. </w:t>
      </w:r>
      <w:r>
        <w:rPr>
          <w:color w:val="231F20"/>
          <w:sz w:val="21"/>
        </w:rPr>
        <w:t>У теорії адміністративного права напрацьовано класифікацію захо- дів адміністрат</w:t>
      </w:r>
      <w:r>
        <w:rPr>
          <w:color w:val="231F20"/>
          <w:sz w:val="21"/>
        </w:rPr>
        <w:t xml:space="preserve">ивного примусу залежно від мети їх застосування. </w:t>
      </w:r>
      <w:r>
        <w:rPr>
          <w:color w:val="231F20"/>
          <w:spacing w:val="-2"/>
          <w:sz w:val="21"/>
        </w:rPr>
        <w:t xml:space="preserve">Заходи </w:t>
      </w:r>
      <w:r>
        <w:rPr>
          <w:color w:val="231F20"/>
          <w:sz w:val="21"/>
        </w:rPr>
        <w:t xml:space="preserve">адміністративного примусу застосовується з </w:t>
      </w:r>
      <w:r>
        <w:rPr>
          <w:i/>
          <w:color w:val="231F20"/>
          <w:sz w:val="21"/>
        </w:rPr>
        <w:t xml:space="preserve">потрійною метою. </w:t>
      </w:r>
      <w:r>
        <w:rPr>
          <w:color w:val="231F20"/>
          <w:sz w:val="21"/>
        </w:rPr>
        <w:t xml:space="preserve">Відповідно до цього вони </w:t>
      </w:r>
      <w:r>
        <w:rPr>
          <w:i/>
          <w:color w:val="231F20"/>
          <w:sz w:val="21"/>
        </w:rPr>
        <w:t>поділяються на три</w:t>
      </w:r>
      <w:r>
        <w:rPr>
          <w:i/>
          <w:color w:val="231F20"/>
          <w:spacing w:val="-13"/>
          <w:sz w:val="21"/>
        </w:rPr>
        <w:t xml:space="preserve"> </w:t>
      </w:r>
      <w:r>
        <w:rPr>
          <w:i/>
          <w:color w:val="231F20"/>
          <w:sz w:val="21"/>
        </w:rPr>
        <w:t>види:</w:t>
      </w:r>
    </w:p>
    <w:p w14:paraId="427D8613" w14:textId="77777777" w:rsidR="00DE575E" w:rsidRDefault="002E7560">
      <w:pPr>
        <w:pStyle w:val="ListParagraph"/>
        <w:numPr>
          <w:ilvl w:val="3"/>
          <w:numId w:val="170"/>
        </w:numPr>
        <w:tabs>
          <w:tab w:val="left" w:pos="1101"/>
        </w:tabs>
        <w:spacing w:before="3"/>
        <w:ind w:hanging="283"/>
        <w:rPr>
          <w:sz w:val="21"/>
        </w:rPr>
      </w:pPr>
      <w:r>
        <w:rPr>
          <w:color w:val="231F20"/>
          <w:sz w:val="21"/>
        </w:rPr>
        <w:t>адміністративно-запобіжні;</w:t>
      </w:r>
    </w:p>
    <w:p w14:paraId="648D6430" w14:textId="77777777" w:rsidR="00DE575E" w:rsidRDefault="002E7560">
      <w:pPr>
        <w:pStyle w:val="ListParagraph"/>
        <w:numPr>
          <w:ilvl w:val="3"/>
          <w:numId w:val="170"/>
        </w:numPr>
        <w:tabs>
          <w:tab w:val="left" w:pos="1101"/>
        </w:tabs>
        <w:spacing w:before="13"/>
        <w:ind w:hanging="283"/>
        <w:rPr>
          <w:sz w:val="21"/>
        </w:rPr>
      </w:pPr>
      <w:r>
        <w:rPr>
          <w:color w:val="231F20"/>
          <w:spacing w:val="-2"/>
          <w:sz w:val="21"/>
        </w:rPr>
        <w:t xml:space="preserve">заходи </w:t>
      </w:r>
      <w:r>
        <w:rPr>
          <w:color w:val="231F20"/>
          <w:sz w:val="21"/>
        </w:rPr>
        <w:t>адміністративного припинення;</w:t>
      </w:r>
    </w:p>
    <w:p w14:paraId="1F4964C0" w14:textId="77777777" w:rsidR="00DE575E" w:rsidRDefault="002E7560">
      <w:pPr>
        <w:pStyle w:val="ListParagraph"/>
        <w:numPr>
          <w:ilvl w:val="3"/>
          <w:numId w:val="170"/>
        </w:numPr>
        <w:tabs>
          <w:tab w:val="left" w:pos="1101"/>
        </w:tabs>
        <w:spacing w:before="13"/>
        <w:ind w:hanging="283"/>
        <w:rPr>
          <w:sz w:val="21"/>
        </w:rPr>
      </w:pPr>
      <w:r>
        <w:rPr>
          <w:color w:val="231F20"/>
          <w:sz w:val="21"/>
        </w:rPr>
        <w:t>адміністративні</w:t>
      </w:r>
      <w:r>
        <w:rPr>
          <w:color w:val="231F20"/>
          <w:spacing w:val="-2"/>
          <w:sz w:val="21"/>
        </w:rPr>
        <w:t xml:space="preserve"> </w:t>
      </w:r>
      <w:r>
        <w:rPr>
          <w:color w:val="231F20"/>
          <w:sz w:val="21"/>
        </w:rPr>
        <w:t>стягнення.</w:t>
      </w:r>
    </w:p>
    <w:p w14:paraId="5DAACF06" w14:textId="77777777" w:rsidR="00DE575E" w:rsidRDefault="00DE575E">
      <w:pPr>
        <w:pStyle w:val="BodyText"/>
        <w:spacing w:before="1"/>
        <w:rPr>
          <w:sz w:val="23"/>
        </w:rPr>
      </w:pPr>
    </w:p>
    <w:p w14:paraId="7CD4F8A3" w14:textId="77777777" w:rsidR="00DE575E" w:rsidRDefault="002E7560">
      <w:pPr>
        <w:pStyle w:val="Heading5"/>
        <w:numPr>
          <w:ilvl w:val="2"/>
          <w:numId w:val="170"/>
        </w:numPr>
        <w:tabs>
          <w:tab w:val="left" w:pos="1507"/>
        </w:tabs>
        <w:spacing w:line="252" w:lineRule="auto"/>
        <w:ind w:right="2140" w:firstLine="0"/>
        <w:jc w:val="left"/>
      </w:pPr>
      <w:r>
        <w:rPr>
          <w:color w:val="231F20"/>
        </w:rPr>
        <w:t xml:space="preserve">Адміністративно-запобіжні </w:t>
      </w:r>
      <w:r>
        <w:rPr>
          <w:color w:val="231F20"/>
          <w:spacing w:val="-3"/>
        </w:rPr>
        <w:t xml:space="preserve">заходи </w:t>
      </w:r>
      <w:r>
        <w:rPr>
          <w:color w:val="231F20"/>
        </w:rPr>
        <w:t>в діяльності публічної</w:t>
      </w:r>
      <w:r>
        <w:rPr>
          <w:color w:val="231F20"/>
          <w:spacing w:val="-6"/>
        </w:rPr>
        <w:t xml:space="preserve"> </w:t>
      </w:r>
      <w:r>
        <w:rPr>
          <w:color w:val="231F20"/>
        </w:rPr>
        <w:t>адміністрації</w:t>
      </w:r>
    </w:p>
    <w:p w14:paraId="11536ECB" w14:textId="77777777" w:rsidR="00DE575E" w:rsidRDefault="00DE575E">
      <w:pPr>
        <w:pStyle w:val="BodyText"/>
        <w:spacing w:before="1"/>
        <w:rPr>
          <w:b/>
          <w:sz w:val="22"/>
        </w:rPr>
      </w:pPr>
    </w:p>
    <w:p w14:paraId="48CE12AD" w14:textId="77777777" w:rsidR="00DE575E" w:rsidRDefault="002E7560">
      <w:pPr>
        <w:pStyle w:val="BodyText"/>
        <w:spacing w:line="252" w:lineRule="auto"/>
        <w:ind w:left="533" w:right="127" w:firstLine="283"/>
        <w:jc w:val="both"/>
      </w:pPr>
      <w:r>
        <w:rPr>
          <w:color w:val="231F20"/>
        </w:rPr>
        <w:t xml:space="preserve">Назва цих заходів зумовлена їх </w:t>
      </w:r>
      <w:r>
        <w:rPr>
          <w:i/>
          <w:color w:val="231F20"/>
        </w:rPr>
        <w:t>профілактичною спрямованістю</w:t>
      </w:r>
      <w:r>
        <w:rPr>
          <w:color w:val="231F20"/>
        </w:rPr>
        <w:t xml:space="preserve">. Ці </w:t>
      </w:r>
      <w:r>
        <w:rPr>
          <w:color w:val="231F20"/>
          <w:spacing w:val="-2"/>
        </w:rPr>
        <w:t xml:space="preserve">заходи </w:t>
      </w:r>
      <w:r>
        <w:rPr>
          <w:color w:val="231F20"/>
        </w:rPr>
        <w:t>конкретної фактичної підстави застосування не мають, вони</w:t>
      </w:r>
      <w:r>
        <w:rPr>
          <w:color w:val="231F20"/>
          <w:spacing w:val="-12"/>
        </w:rPr>
        <w:t xml:space="preserve"> </w:t>
      </w:r>
      <w:r>
        <w:rPr>
          <w:color w:val="231F20"/>
        </w:rPr>
        <w:t>використовуються</w:t>
      </w:r>
      <w:r>
        <w:rPr>
          <w:color w:val="231F20"/>
          <w:spacing w:val="-12"/>
        </w:rPr>
        <w:t xml:space="preserve"> </w:t>
      </w:r>
      <w:r>
        <w:rPr>
          <w:color w:val="231F20"/>
        </w:rPr>
        <w:t>для</w:t>
      </w:r>
      <w:r>
        <w:rPr>
          <w:color w:val="231F20"/>
          <w:spacing w:val="-12"/>
        </w:rPr>
        <w:t xml:space="preserve"> </w:t>
      </w:r>
      <w:r>
        <w:rPr>
          <w:color w:val="231F20"/>
        </w:rPr>
        <w:t>запобігання</w:t>
      </w:r>
      <w:r>
        <w:rPr>
          <w:color w:val="231F20"/>
          <w:spacing w:val="-12"/>
        </w:rPr>
        <w:t xml:space="preserve"> </w:t>
      </w:r>
      <w:r>
        <w:rPr>
          <w:color w:val="231F20"/>
        </w:rPr>
        <w:t>правопорушенням,</w:t>
      </w:r>
      <w:r>
        <w:rPr>
          <w:color w:val="231F20"/>
          <w:spacing w:val="-12"/>
        </w:rPr>
        <w:t xml:space="preserve"> </w:t>
      </w:r>
      <w:r>
        <w:rPr>
          <w:color w:val="231F20"/>
        </w:rPr>
        <w:t>їх</w:t>
      </w:r>
      <w:r>
        <w:rPr>
          <w:color w:val="231F20"/>
          <w:spacing w:val="-12"/>
        </w:rPr>
        <w:t xml:space="preserve"> </w:t>
      </w:r>
      <w:r>
        <w:rPr>
          <w:color w:val="231F20"/>
        </w:rPr>
        <w:t>вияв-</w:t>
      </w:r>
    </w:p>
    <w:p w14:paraId="24AF41C7" w14:textId="77777777" w:rsidR="00DE575E" w:rsidRDefault="00DE575E">
      <w:pPr>
        <w:pStyle w:val="BodyText"/>
        <w:spacing w:before="8"/>
        <w:rPr>
          <w:sz w:val="12"/>
        </w:rPr>
      </w:pPr>
    </w:p>
    <w:p w14:paraId="727B3B58" w14:textId="77777777" w:rsidR="00DE575E" w:rsidRDefault="002E7560">
      <w:pPr>
        <w:spacing w:before="91"/>
        <w:ind w:left="533"/>
        <w:rPr>
          <w:rFonts w:ascii="Times New Roman"/>
          <w:sz w:val="20"/>
        </w:rPr>
      </w:pPr>
      <w:r>
        <w:rPr>
          <w:rFonts w:ascii="Times New Roman"/>
          <w:color w:val="231F20"/>
          <w:sz w:val="20"/>
        </w:rPr>
        <w:t>260</w:t>
      </w:r>
    </w:p>
    <w:p w14:paraId="7CA086D1" w14:textId="77777777" w:rsidR="00DE575E" w:rsidRDefault="00DE575E">
      <w:pPr>
        <w:rPr>
          <w:rFonts w:ascii="Times New Roman"/>
          <w:sz w:val="20"/>
        </w:rPr>
        <w:sectPr w:rsidR="00DE575E">
          <w:pgSz w:w="8510" w:h="12760"/>
          <w:pgMar w:top="660" w:right="720" w:bottom="280" w:left="600" w:header="720" w:footer="720" w:gutter="0"/>
          <w:cols w:space="720"/>
        </w:sectPr>
      </w:pPr>
    </w:p>
    <w:p w14:paraId="3560F6D7"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3EA53C5" w14:textId="46B3796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0C1C86E" wp14:editId="0FB8FC4B">
                <wp:extent cx="4140200" cy="6350"/>
                <wp:effectExtent l="0" t="0" r="12700" b="6350"/>
                <wp:docPr id="749"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50" name="Line 7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E86C0" id="Group_x0020_7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wKsemgAIAAJgFAAAO&#10;AAAAAAAAAAAAAAAAACwCAABkcnMvZTJvRG9jLnhtbFBLAQItABQABgAIAAAAIQBMp7CQ2QAAAAMB&#10;AAAPAAAAAAAAAAAAAAAAANgEAABkcnMvZG93bnJldi54bWxQSwUGAAAAAAQABADzAAAA3gUAAAAA&#10;">
                <v:line id="Line_x0020_7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ykkMQAAADcAAAADwAAAGRycy9kb3ducmV2LnhtbERP3WrCMBS+H+wdwhnsZmjqZCq1UWQw&#10;EC90sz7AaXNsi8lJbaLt9vTLxWCXH99/th6sEXfqfONYwWScgCAunW64UnDKP0YLED4gazSOScE3&#10;eVivHh8yTLXr+Yvux1CJGMI+RQV1CG0qpS9rsujHriWO3Nl1FkOEXSV1h30Mt0a+JslMWmw4NtTY&#10;0ntN5eV4swry60swn4ed6fNDMZXFdT/9ue2Ven4aNksQgYbwL/5zb7WC+Vu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fKSQxAAAANwAAAAPAAAAAAAAAAAA&#10;AAAAAKECAABkcnMvZG93bnJldi54bWxQSwUGAAAAAAQABAD5AAAAkgMAAAAA&#10;" strokecolor="#231f20" strokeweight=".5pt"/>
                <w10:anchorlock/>
              </v:group>
            </w:pict>
          </mc:Fallback>
        </mc:AlternateContent>
      </w:r>
    </w:p>
    <w:p w14:paraId="2F9C9937" w14:textId="77777777" w:rsidR="00DE575E" w:rsidRDefault="00DE575E">
      <w:pPr>
        <w:pStyle w:val="BodyText"/>
        <w:spacing w:before="7"/>
        <w:rPr>
          <w:rFonts w:ascii="AdonisC"/>
          <w:i/>
          <w:sz w:val="19"/>
        </w:rPr>
      </w:pPr>
    </w:p>
    <w:p w14:paraId="25AE94FF" w14:textId="77777777" w:rsidR="00DE575E" w:rsidRDefault="002E7560">
      <w:pPr>
        <w:pStyle w:val="BodyText"/>
        <w:spacing w:before="1" w:line="252" w:lineRule="auto"/>
        <w:ind w:left="250" w:right="410"/>
        <w:jc w:val="both"/>
      </w:pPr>
      <w:r>
        <w:rPr>
          <w:color w:val="231F20"/>
        </w:rPr>
        <w:t xml:space="preserve">лення, а також для підтримання правопорядку за надзвичайних обставин, оскільки загроза суспільним і особистим інтересам, запо- діяння їм шкоди можуть виникнути не тільки внаслідок вчинення правопорушення, а й у </w:t>
      </w:r>
      <w:r>
        <w:rPr>
          <w:color w:val="231F20"/>
          <w:spacing w:val="-3"/>
        </w:rPr>
        <w:t xml:space="preserve">результаті </w:t>
      </w:r>
      <w:r>
        <w:rPr>
          <w:color w:val="231F20"/>
        </w:rPr>
        <w:t xml:space="preserve">стихійного лиха, дій душевнохво- рих чи малолітніх тощо. Держава змушена тоді вдаватися до обме- ження прав, застосування примусових заходів до осіб, невинуватих у порушенні норм права. </w:t>
      </w:r>
      <w:r>
        <w:rPr>
          <w:color w:val="231F20"/>
          <w:spacing w:val="-4"/>
        </w:rPr>
        <w:t xml:space="preserve">Такими </w:t>
      </w:r>
      <w:r>
        <w:rPr>
          <w:color w:val="231F20"/>
        </w:rPr>
        <w:t>є дії органів охорони здоров’я, які примусово</w:t>
      </w:r>
      <w:r>
        <w:rPr>
          <w:color w:val="231F20"/>
          <w:spacing w:val="-12"/>
        </w:rPr>
        <w:t xml:space="preserve"> </w:t>
      </w:r>
      <w:r>
        <w:rPr>
          <w:color w:val="231F20"/>
        </w:rPr>
        <w:t>лікуют</w:t>
      </w:r>
      <w:r>
        <w:rPr>
          <w:color w:val="231F20"/>
        </w:rPr>
        <w:t>ь</w:t>
      </w:r>
      <w:r>
        <w:rPr>
          <w:color w:val="231F20"/>
          <w:spacing w:val="-12"/>
        </w:rPr>
        <w:t xml:space="preserve"> </w:t>
      </w:r>
      <w:r>
        <w:rPr>
          <w:color w:val="231F20"/>
        </w:rPr>
        <w:t>інфекційних</w:t>
      </w:r>
      <w:r>
        <w:rPr>
          <w:color w:val="231F20"/>
          <w:spacing w:val="-12"/>
        </w:rPr>
        <w:t xml:space="preserve"> </w:t>
      </w:r>
      <w:r>
        <w:rPr>
          <w:color w:val="231F20"/>
        </w:rPr>
        <w:t>хворих,</w:t>
      </w:r>
      <w:r>
        <w:rPr>
          <w:color w:val="231F20"/>
          <w:spacing w:val="-12"/>
        </w:rPr>
        <w:t xml:space="preserve"> </w:t>
      </w:r>
      <w:r>
        <w:rPr>
          <w:color w:val="231F20"/>
        </w:rPr>
        <w:t>ветеринарної</w:t>
      </w:r>
      <w:r>
        <w:rPr>
          <w:color w:val="231F20"/>
          <w:spacing w:val="-12"/>
        </w:rPr>
        <w:t xml:space="preserve"> </w:t>
      </w:r>
      <w:r>
        <w:rPr>
          <w:color w:val="231F20"/>
        </w:rPr>
        <w:t>медицини,</w:t>
      </w:r>
      <w:r>
        <w:rPr>
          <w:color w:val="231F20"/>
          <w:spacing w:val="-12"/>
        </w:rPr>
        <w:t xml:space="preserve"> </w:t>
      </w:r>
      <w:r>
        <w:rPr>
          <w:color w:val="231F20"/>
        </w:rPr>
        <w:t>що здійснюють карантинні заходи,</w:t>
      </w:r>
      <w:r>
        <w:rPr>
          <w:color w:val="231F20"/>
          <w:spacing w:val="-5"/>
        </w:rPr>
        <w:t xml:space="preserve"> </w:t>
      </w:r>
      <w:r>
        <w:rPr>
          <w:color w:val="231F20"/>
        </w:rPr>
        <w:t>тощо.</w:t>
      </w:r>
    </w:p>
    <w:p w14:paraId="3596AF16" w14:textId="77777777" w:rsidR="00DE575E" w:rsidRDefault="002E7560">
      <w:pPr>
        <w:spacing w:before="4" w:line="252" w:lineRule="auto"/>
        <w:ind w:left="250" w:right="411" w:firstLine="283"/>
        <w:jc w:val="both"/>
        <w:rPr>
          <w:i/>
          <w:sz w:val="21"/>
        </w:rPr>
      </w:pPr>
      <w:r>
        <w:rPr>
          <w:i/>
          <w:color w:val="231F20"/>
          <w:sz w:val="21"/>
        </w:rPr>
        <w:t>Основною метою застосування адміністративно-запобіжних заходів є:</w:t>
      </w:r>
    </w:p>
    <w:p w14:paraId="70C7BE86" w14:textId="77777777" w:rsidR="00DE575E" w:rsidRDefault="002E7560">
      <w:pPr>
        <w:pStyle w:val="BodyText"/>
        <w:spacing w:before="1"/>
        <w:ind w:left="533"/>
      </w:pPr>
      <w:r>
        <w:rPr>
          <w:color w:val="231F20"/>
        </w:rPr>
        <w:t>а) недопущення, відвернення правопорушень;</w:t>
      </w:r>
    </w:p>
    <w:p w14:paraId="39E50B39" w14:textId="77777777" w:rsidR="00DE575E" w:rsidRDefault="002E7560">
      <w:pPr>
        <w:pStyle w:val="BodyText"/>
        <w:spacing w:before="13" w:line="252" w:lineRule="auto"/>
        <w:ind w:left="250" w:right="411" w:firstLine="283"/>
        <w:jc w:val="both"/>
      </w:pPr>
      <w:r>
        <w:rPr>
          <w:color w:val="231F20"/>
        </w:rPr>
        <w:t xml:space="preserve">б) забезпечення громадського  порядку  і  громадської  безпеки </w:t>
      </w:r>
      <w:r>
        <w:rPr>
          <w:color w:val="231F20"/>
        </w:rPr>
        <w:t xml:space="preserve"> в різних надзвичайних</w:t>
      </w:r>
      <w:r>
        <w:rPr>
          <w:color w:val="231F20"/>
          <w:spacing w:val="-3"/>
        </w:rPr>
        <w:t xml:space="preserve"> </w:t>
      </w:r>
      <w:r>
        <w:rPr>
          <w:color w:val="231F20"/>
        </w:rPr>
        <w:t>ситуаціях;</w:t>
      </w:r>
    </w:p>
    <w:p w14:paraId="22EC5CF4" w14:textId="77777777" w:rsidR="00DE575E" w:rsidRDefault="002E7560">
      <w:pPr>
        <w:pStyle w:val="BodyText"/>
        <w:spacing w:before="1" w:line="252" w:lineRule="auto"/>
        <w:ind w:left="250" w:right="411" w:firstLine="283"/>
        <w:jc w:val="both"/>
      </w:pPr>
      <w:r>
        <w:rPr>
          <w:color w:val="231F20"/>
        </w:rPr>
        <w:t>в) запобігання настанню шкідливих наслідків у зазначених ситу- аціях.</w:t>
      </w:r>
    </w:p>
    <w:p w14:paraId="60B6CEE9" w14:textId="77777777" w:rsidR="00DE575E" w:rsidRDefault="002E7560">
      <w:pPr>
        <w:pStyle w:val="Heading6"/>
        <w:spacing w:line="252" w:lineRule="auto"/>
        <w:ind w:left="250" w:right="408"/>
        <w:jc w:val="both"/>
        <w:rPr>
          <w:b w:val="0"/>
        </w:rPr>
      </w:pPr>
      <w:r>
        <w:rPr>
          <w:i w:val="0"/>
          <w:color w:val="231F20"/>
        </w:rPr>
        <w:t xml:space="preserve">Отже, адміністративно-запобіжні заходи </w:t>
      </w:r>
      <w:r>
        <w:rPr>
          <w:color w:val="231F20"/>
        </w:rPr>
        <w:t xml:space="preserve">становлять комп- </w:t>
      </w:r>
      <w:r>
        <w:rPr>
          <w:color w:val="231F20"/>
        </w:rPr>
        <w:t>лекс заходів впливу морального, фізичного, організаційного та іншого характеру, які дозволяють в</w:t>
      </w:r>
      <w:r>
        <w:rPr>
          <w:color w:val="231F20"/>
        </w:rPr>
        <w:t>иявляти й не допускати правопорушення, забезпечувати публічний порядок і безпеку за різних надзвичайних обставин</w:t>
      </w:r>
      <w:r>
        <w:rPr>
          <w:b w:val="0"/>
          <w:color w:val="231F20"/>
        </w:rPr>
        <w:t>.</w:t>
      </w:r>
    </w:p>
    <w:p w14:paraId="602CAB6A" w14:textId="77777777" w:rsidR="00DE575E" w:rsidRDefault="002E7560">
      <w:pPr>
        <w:pStyle w:val="BodyText"/>
        <w:spacing w:before="2" w:line="252" w:lineRule="auto"/>
        <w:ind w:left="250" w:right="411" w:firstLine="283"/>
        <w:jc w:val="both"/>
      </w:pPr>
      <w:r>
        <w:rPr>
          <w:color w:val="231F20"/>
        </w:rPr>
        <w:t>Ці заходи застосовуються багатьма органами та їх посадовими особами – Національною поліцією, органами і закладами охорони здоров’я, митними органами, іншими контрольно-наглядовими органами (напр., державними інспекціями) тощо.</w:t>
      </w:r>
    </w:p>
    <w:p w14:paraId="2CB8FB7E" w14:textId="77777777" w:rsidR="00DE575E" w:rsidRDefault="002E7560">
      <w:pPr>
        <w:pStyle w:val="BodyText"/>
        <w:spacing w:before="2" w:line="252" w:lineRule="auto"/>
        <w:ind w:left="250" w:right="409" w:firstLine="283"/>
        <w:jc w:val="both"/>
      </w:pPr>
      <w:r>
        <w:rPr>
          <w:i/>
          <w:color w:val="231F20"/>
        </w:rPr>
        <w:t>Перелік адміністративно-запоб</w:t>
      </w:r>
      <w:r>
        <w:rPr>
          <w:i/>
          <w:color w:val="231F20"/>
        </w:rPr>
        <w:t xml:space="preserve">іжних заходів </w:t>
      </w:r>
      <w:r>
        <w:rPr>
          <w:color w:val="231F20"/>
        </w:rPr>
        <w:t xml:space="preserve">ні в законодавстві, ні в спеціальній літературі </w:t>
      </w:r>
      <w:r>
        <w:rPr>
          <w:i/>
          <w:color w:val="231F20"/>
        </w:rPr>
        <w:t xml:space="preserve">не визначено. </w:t>
      </w:r>
      <w:r>
        <w:rPr>
          <w:color w:val="231F20"/>
        </w:rPr>
        <w:t xml:space="preserve">У зв’язку з цим у норматив- них актах досить  часто  зустрічається  термінологічна  плутанина, а в літературі як запобіжні необґрунтовано аналізуються деякі </w:t>
      </w:r>
      <w:r>
        <w:rPr>
          <w:color w:val="231F20"/>
          <w:spacing w:val="-2"/>
        </w:rPr>
        <w:t xml:space="preserve">заходи </w:t>
      </w:r>
      <w:r>
        <w:rPr>
          <w:color w:val="231F20"/>
        </w:rPr>
        <w:t>припинення. Зокр</w:t>
      </w:r>
      <w:r>
        <w:rPr>
          <w:color w:val="231F20"/>
        </w:rPr>
        <w:t xml:space="preserve">ема в Законі </w:t>
      </w:r>
      <w:r>
        <w:rPr>
          <w:color w:val="231F20"/>
          <w:spacing w:val="-3"/>
        </w:rPr>
        <w:t xml:space="preserve">України </w:t>
      </w:r>
      <w:r>
        <w:rPr>
          <w:color w:val="231F20"/>
        </w:rPr>
        <w:t>«Про Національну поліцію» вживається термін «превентивні поліцейські заходи»,</w:t>
      </w:r>
      <w:r>
        <w:rPr>
          <w:color w:val="231F20"/>
          <w:spacing w:val="-27"/>
        </w:rPr>
        <w:t xml:space="preserve"> </w:t>
      </w:r>
      <w:r>
        <w:rPr>
          <w:color w:val="231F20"/>
        </w:rPr>
        <w:t xml:space="preserve">хоча до них включено не тільки профілактичні заходи, але й заходи, що застосовуються як реакція на вже вчинене правопорушення, тобто </w:t>
      </w:r>
      <w:r>
        <w:rPr>
          <w:color w:val="231F20"/>
          <w:spacing w:val="-2"/>
        </w:rPr>
        <w:t>заходи</w:t>
      </w:r>
      <w:r>
        <w:rPr>
          <w:color w:val="231F20"/>
          <w:spacing w:val="-1"/>
        </w:rPr>
        <w:t xml:space="preserve"> </w:t>
      </w:r>
      <w:r>
        <w:rPr>
          <w:color w:val="231F20"/>
        </w:rPr>
        <w:t>припинення.</w:t>
      </w:r>
    </w:p>
    <w:p w14:paraId="4F94DF86" w14:textId="77777777" w:rsidR="00DE575E" w:rsidRDefault="002E7560">
      <w:pPr>
        <w:pStyle w:val="BodyText"/>
        <w:spacing w:before="5"/>
        <w:ind w:left="533"/>
      </w:pPr>
      <w:r>
        <w:rPr>
          <w:color w:val="231F20"/>
        </w:rPr>
        <w:t>Адмін</w:t>
      </w:r>
      <w:r>
        <w:rPr>
          <w:color w:val="231F20"/>
        </w:rPr>
        <w:t>істративно-запобіжними можна назвати такі заходи:</w:t>
      </w:r>
    </w:p>
    <w:p w14:paraId="1D4FEDDA" w14:textId="77777777" w:rsidR="00DE575E" w:rsidRDefault="002E7560">
      <w:pPr>
        <w:pStyle w:val="BodyText"/>
        <w:spacing w:before="13" w:line="252" w:lineRule="auto"/>
        <w:ind w:left="250" w:right="408" w:firstLine="283"/>
        <w:jc w:val="both"/>
      </w:pPr>
      <w:r>
        <w:rPr>
          <w:color w:val="231F20"/>
        </w:rPr>
        <w:t xml:space="preserve">– </w:t>
      </w:r>
      <w:r>
        <w:rPr>
          <w:i/>
          <w:color w:val="231F20"/>
        </w:rPr>
        <w:t xml:space="preserve">перевірка документів. </w:t>
      </w:r>
      <w:r>
        <w:rPr>
          <w:color w:val="231F20"/>
        </w:rPr>
        <w:t xml:space="preserve">Наприклад, поліцейський має право вимагати в особи документи, що посвідчують </w:t>
      </w:r>
      <w:r>
        <w:rPr>
          <w:color w:val="231F20"/>
          <w:spacing w:val="-3"/>
        </w:rPr>
        <w:t xml:space="preserve">особу, </w:t>
      </w:r>
      <w:r>
        <w:rPr>
          <w:color w:val="231F20"/>
        </w:rPr>
        <w:t>та/або доку- менти,</w:t>
      </w:r>
      <w:r>
        <w:rPr>
          <w:color w:val="231F20"/>
          <w:spacing w:val="-16"/>
        </w:rPr>
        <w:t xml:space="preserve"> </w:t>
      </w:r>
      <w:r>
        <w:rPr>
          <w:color w:val="231F20"/>
        </w:rPr>
        <w:t>що</w:t>
      </w:r>
      <w:r>
        <w:rPr>
          <w:color w:val="231F20"/>
          <w:spacing w:val="-16"/>
        </w:rPr>
        <w:t xml:space="preserve"> </w:t>
      </w:r>
      <w:r>
        <w:rPr>
          <w:color w:val="231F20"/>
        </w:rPr>
        <w:t>підтверджують</w:t>
      </w:r>
      <w:r>
        <w:rPr>
          <w:color w:val="231F20"/>
          <w:spacing w:val="-16"/>
        </w:rPr>
        <w:t xml:space="preserve"> </w:t>
      </w:r>
      <w:r>
        <w:rPr>
          <w:color w:val="231F20"/>
        </w:rPr>
        <w:t>відповідне</w:t>
      </w:r>
      <w:r>
        <w:rPr>
          <w:color w:val="231F20"/>
          <w:spacing w:val="-16"/>
        </w:rPr>
        <w:t xml:space="preserve"> </w:t>
      </w:r>
      <w:r>
        <w:rPr>
          <w:color w:val="231F20"/>
        </w:rPr>
        <w:t>право</w:t>
      </w:r>
      <w:r>
        <w:rPr>
          <w:color w:val="231F20"/>
          <w:spacing w:val="-16"/>
        </w:rPr>
        <w:t xml:space="preserve"> </w:t>
      </w:r>
      <w:r>
        <w:rPr>
          <w:color w:val="231F20"/>
        </w:rPr>
        <w:t>особи</w:t>
      </w:r>
      <w:r>
        <w:rPr>
          <w:color w:val="231F20"/>
          <w:spacing w:val="-16"/>
        </w:rPr>
        <w:t xml:space="preserve"> </w:t>
      </w:r>
      <w:r>
        <w:rPr>
          <w:color w:val="231F20"/>
        </w:rPr>
        <w:t>у</w:t>
      </w:r>
      <w:r>
        <w:rPr>
          <w:color w:val="231F20"/>
          <w:spacing w:val="-16"/>
        </w:rPr>
        <w:t xml:space="preserve"> </w:t>
      </w:r>
      <w:r>
        <w:rPr>
          <w:color w:val="231F20"/>
        </w:rPr>
        <w:t>визначених</w:t>
      </w:r>
      <w:r>
        <w:rPr>
          <w:color w:val="231F20"/>
          <w:spacing w:val="-16"/>
        </w:rPr>
        <w:t xml:space="preserve"> </w:t>
      </w:r>
      <w:r>
        <w:rPr>
          <w:color w:val="231F20"/>
          <w:spacing w:val="-6"/>
        </w:rPr>
        <w:t>ст.</w:t>
      </w:r>
      <w:r>
        <w:rPr>
          <w:color w:val="231F20"/>
          <w:spacing w:val="-8"/>
        </w:rPr>
        <w:t xml:space="preserve"> </w:t>
      </w:r>
      <w:r>
        <w:rPr>
          <w:color w:val="231F20"/>
        </w:rPr>
        <w:t xml:space="preserve">32 Закону </w:t>
      </w:r>
      <w:r>
        <w:rPr>
          <w:color w:val="231F20"/>
          <w:spacing w:val="-3"/>
        </w:rPr>
        <w:t xml:space="preserve">України </w:t>
      </w:r>
      <w:r>
        <w:rPr>
          <w:color w:val="231F20"/>
        </w:rPr>
        <w:t>«Про Національну поліцію» випадках, зокрема</w:t>
      </w:r>
      <w:r>
        <w:rPr>
          <w:color w:val="231F20"/>
          <w:spacing w:val="12"/>
        </w:rPr>
        <w:t xml:space="preserve"> </w:t>
      </w:r>
      <w:r>
        <w:rPr>
          <w:color w:val="231F20"/>
        </w:rPr>
        <w:t>якщо</w:t>
      </w:r>
    </w:p>
    <w:p w14:paraId="1E647354" w14:textId="77777777" w:rsidR="00DE575E" w:rsidRDefault="00DE575E">
      <w:pPr>
        <w:pStyle w:val="BodyText"/>
        <w:spacing w:before="6"/>
        <w:rPr>
          <w:sz w:val="12"/>
        </w:rPr>
      </w:pPr>
    </w:p>
    <w:p w14:paraId="0EA91AA9" w14:textId="77777777" w:rsidR="00DE575E" w:rsidRDefault="002E7560">
      <w:pPr>
        <w:spacing w:before="92"/>
        <w:ind w:right="411"/>
        <w:jc w:val="right"/>
        <w:rPr>
          <w:rFonts w:ascii="Times New Roman"/>
          <w:sz w:val="20"/>
        </w:rPr>
      </w:pPr>
      <w:r>
        <w:rPr>
          <w:rFonts w:ascii="Times New Roman"/>
          <w:color w:val="231F20"/>
          <w:w w:val="90"/>
          <w:sz w:val="20"/>
        </w:rPr>
        <w:t>261</w:t>
      </w:r>
    </w:p>
    <w:p w14:paraId="0870814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F1BC63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78F6AB8" w14:textId="0FBE6AC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812D14C" wp14:editId="71F99B0E">
                <wp:extent cx="4140200" cy="6350"/>
                <wp:effectExtent l="0" t="0" r="12700" b="6350"/>
                <wp:docPr id="747"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48" name="Line 7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D275D3" id="Group_x0020_7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X6MngAIAAJgFAAAO&#10;AAAAAAAAAAAAAAAAACwCAABkcnMvZTJvRG9jLnhtbFBLAQItABQABgAIAAAAIQBMp7CQ2QAAAAMB&#10;AAAPAAAAAAAAAAAAAAAAANgEAABkcnMvZG93bnJldi54bWxQSwUGAAAAAAQABADzAAAA3gUAAAAA&#10;">
                <v:line id="Line_x0020_7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M+S8QAAADcAAAADwAAAGRycy9kb3ducmV2LnhtbERP3WrCMBS+H+wdwhnsZmjqHCq1UWQw&#10;EC90sz7AaXNsi8lJbaLt9vTLxWCXH99/th6sEXfqfONYwWScgCAunW64UnDKP0YLED4gazSOScE3&#10;eVivHh8yTLXr+Yvux1CJGMI+RQV1CG0qpS9rsujHriWO3Nl1FkOEXSV1h30Mt0a+JslMWmw4NtTY&#10;0ntN5eV4swry60swn4ed6fNDMZXFdT/9ue2Ven4aNksQgYbwL/5zb7WC+VtcG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0z5LxAAAANwAAAAPAAAAAAAAAAAA&#10;AAAAAKECAABkcnMvZG93bnJldi54bWxQSwUGAAAAAAQABAD5AAAAkgMAAAAA&#10;" strokecolor="#231f20" strokeweight=".5pt"/>
                <w10:anchorlock/>
              </v:group>
            </w:pict>
          </mc:Fallback>
        </mc:AlternateContent>
      </w:r>
    </w:p>
    <w:p w14:paraId="63FDE6AA" w14:textId="77777777" w:rsidR="00DE575E" w:rsidRDefault="00DE575E">
      <w:pPr>
        <w:pStyle w:val="BodyText"/>
        <w:spacing w:before="7"/>
        <w:rPr>
          <w:rFonts w:ascii="AdonisC"/>
          <w:i/>
          <w:sz w:val="11"/>
        </w:rPr>
      </w:pPr>
    </w:p>
    <w:p w14:paraId="1E86EF16" w14:textId="77777777" w:rsidR="00DE575E" w:rsidRDefault="002E7560">
      <w:pPr>
        <w:pStyle w:val="BodyText"/>
        <w:spacing w:before="101" w:line="252" w:lineRule="auto"/>
        <w:ind w:left="533" w:right="126"/>
        <w:jc w:val="both"/>
      </w:pPr>
      <w:r>
        <w:rPr>
          <w:color w:val="231F20"/>
        </w:rPr>
        <w:t xml:space="preserve">особа схожа на </w:t>
      </w:r>
      <w:r>
        <w:rPr>
          <w:color w:val="231F20"/>
          <w:spacing w:val="-4"/>
        </w:rPr>
        <w:t xml:space="preserve">іншу, </w:t>
      </w:r>
      <w:r>
        <w:rPr>
          <w:color w:val="231F20"/>
        </w:rPr>
        <w:t xml:space="preserve">яка перебуває в </w:t>
      </w:r>
      <w:r>
        <w:rPr>
          <w:color w:val="231F20"/>
          <w:spacing w:val="-3"/>
        </w:rPr>
        <w:t xml:space="preserve">розшуку, </w:t>
      </w:r>
      <w:r>
        <w:rPr>
          <w:color w:val="231F20"/>
        </w:rPr>
        <w:t>або безвісно зниклу особу; якщо існує достатньо підстав вважати, що особа вчинила або має намір вчинити правопорушення та ін. З подібною метою</w:t>
      </w:r>
      <w:r>
        <w:rPr>
          <w:color w:val="231F20"/>
          <w:spacing w:val="-30"/>
        </w:rPr>
        <w:t xml:space="preserve"> </w:t>
      </w:r>
      <w:r>
        <w:rPr>
          <w:color w:val="231F20"/>
        </w:rPr>
        <w:t xml:space="preserve">переві- ряти документи мають право також посадові особи інших держав- них органів, які здійснюють контроль і </w:t>
      </w:r>
      <w:r>
        <w:rPr>
          <w:color w:val="231F20"/>
          <w:spacing w:val="-3"/>
        </w:rPr>
        <w:t>нагл</w:t>
      </w:r>
      <w:r>
        <w:rPr>
          <w:color w:val="231F20"/>
          <w:spacing w:val="-3"/>
        </w:rPr>
        <w:t xml:space="preserve">яд </w:t>
      </w:r>
      <w:r>
        <w:rPr>
          <w:color w:val="231F20"/>
        </w:rPr>
        <w:t>за додержанням відповідних загальнообов’язкових</w:t>
      </w:r>
      <w:r>
        <w:rPr>
          <w:color w:val="231F20"/>
          <w:spacing w:val="-2"/>
        </w:rPr>
        <w:t xml:space="preserve"> </w:t>
      </w:r>
      <w:r>
        <w:rPr>
          <w:color w:val="231F20"/>
        </w:rPr>
        <w:t>правил;</w:t>
      </w:r>
    </w:p>
    <w:p w14:paraId="398EE4FA" w14:textId="77777777" w:rsidR="00DE575E" w:rsidRDefault="002E7560">
      <w:pPr>
        <w:pStyle w:val="ListParagraph"/>
        <w:numPr>
          <w:ilvl w:val="0"/>
          <w:numId w:val="168"/>
        </w:numPr>
        <w:tabs>
          <w:tab w:val="left" w:pos="1101"/>
        </w:tabs>
        <w:spacing w:before="3" w:line="252" w:lineRule="auto"/>
        <w:ind w:right="127" w:firstLine="284"/>
        <w:rPr>
          <w:sz w:val="21"/>
        </w:rPr>
      </w:pPr>
      <w:r>
        <w:rPr>
          <w:i/>
          <w:color w:val="231F20"/>
          <w:sz w:val="21"/>
        </w:rPr>
        <w:t>огляд (обстеження, поверхнева перевірка)</w:t>
      </w:r>
      <w:r>
        <w:rPr>
          <w:color w:val="231F20"/>
          <w:sz w:val="21"/>
        </w:rPr>
        <w:t>, що з урахуванням цільового призначення і способу правоохоронного впливу найчас- тіше</w:t>
      </w:r>
      <w:r>
        <w:rPr>
          <w:color w:val="231F20"/>
          <w:spacing w:val="-9"/>
          <w:sz w:val="21"/>
        </w:rPr>
        <w:t xml:space="preserve"> </w:t>
      </w:r>
      <w:r>
        <w:rPr>
          <w:color w:val="231F20"/>
          <w:sz w:val="21"/>
        </w:rPr>
        <w:t>застосовується</w:t>
      </w:r>
      <w:r>
        <w:rPr>
          <w:color w:val="231F20"/>
          <w:spacing w:val="-8"/>
          <w:sz w:val="21"/>
        </w:rPr>
        <w:t xml:space="preserve"> </w:t>
      </w:r>
      <w:r>
        <w:rPr>
          <w:color w:val="231F20"/>
          <w:sz w:val="21"/>
        </w:rPr>
        <w:t>як</w:t>
      </w:r>
      <w:r>
        <w:rPr>
          <w:color w:val="231F20"/>
          <w:spacing w:val="-8"/>
          <w:sz w:val="21"/>
        </w:rPr>
        <w:t xml:space="preserve"> </w:t>
      </w:r>
      <w:r>
        <w:rPr>
          <w:color w:val="231F20"/>
          <w:sz w:val="21"/>
        </w:rPr>
        <w:t>захід</w:t>
      </w:r>
      <w:r>
        <w:rPr>
          <w:color w:val="231F20"/>
          <w:spacing w:val="-8"/>
          <w:sz w:val="21"/>
        </w:rPr>
        <w:t xml:space="preserve"> </w:t>
      </w:r>
      <w:r>
        <w:rPr>
          <w:color w:val="231F20"/>
          <w:sz w:val="21"/>
        </w:rPr>
        <w:t>адміністративного</w:t>
      </w:r>
      <w:r>
        <w:rPr>
          <w:color w:val="231F20"/>
          <w:spacing w:val="-8"/>
          <w:sz w:val="21"/>
        </w:rPr>
        <w:t xml:space="preserve"> </w:t>
      </w:r>
      <w:r>
        <w:rPr>
          <w:color w:val="231F20"/>
          <w:sz w:val="21"/>
        </w:rPr>
        <w:t>запобігання.</w:t>
      </w:r>
      <w:r>
        <w:rPr>
          <w:color w:val="231F20"/>
          <w:spacing w:val="-9"/>
          <w:sz w:val="21"/>
        </w:rPr>
        <w:t xml:space="preserve"> </w:t>
      </w:r>
      <w:r>
        <w:rPr>
          <w:color w:val="231F20"/>
          <w:sz w:val="21"/>
        </w:rPr>
        <w:t>Напри- клад, поліцейським надано право здійснювати поверхневу пере- вірку</w:t>
      </w:r>
      <w:r>
        <w:rPr>
          <w:color w:val="231F20"/>
          <w:spacing w:val="-7"/>
          <w:sz w:val="21"/>
        </w:rPr>
        <w:t xml:space="preserve"> </w:t>
      </w:r>
      <w:r>
        <w:rPr>
          <w:color w:val="231F20"/>
          <w:sz w:val="21"/>
        </w:rPr>
        <w:t>як</w:t>
      </w:r>
      <w:r>
        <w:rPr>
          <w:color w:val="231F20"/>
          <w:spacing w:val="-7"/>
          <w:sz w:val="21"/>
        </w:rPr>
        <w:t xml:space="preserve"> </w:t>
      </w:r>
      <w:r>
        <w:rPr>
          <w:color w:val="231F20"/>
          <w:sz w:val="21"/>
        </w:rPr>
        <w:t>превентивний</w:t>
      </w:r>
      <w:r>
        <w:rPr>
          <w:color w:val="231F20"/>
          <w:spacing w:val="-7"/>
          <w:sz w:val="21"/>
        </w:rPr>
        <w:t xml:space="preserve"> </w:t>
      </w:r>
      <w:r>
        <w:rPr>
          <w:color w:val="231F20"/>
          <w:sz w:val="21"/>
        </w:rPr>
        <w:t>поліцейський</w:t>
      </w:r>
      <w:r>
        <w:rPr>
          <w:color w:val="231F20"/>
          <w:spacing w:val="-7"/>
          <w:sz w:val="21"/>
        </w:rPr>
        <w:t xml:space="preserve"> </w:t>
      </w:r>
      <w:r>
        <w:rPr>
          <w:color w:val="231F20"/>
          <w:sz w:val="21"/>
        </w:rPr>
        <w:t>захід</w:t>
      </w:r>
      <w:r>
        <w:rPr>
          <w:color w:val="231F20"/>
          <w:spacing w:val="-7"/>
          <w:sz w:val="21"/>
        </w:rPr>
        <w:t xml:space="preserve"> </w:t>
      </w:r>
      <w:r>
        <w:rPr>
          <w:color w:val="231F20"/>
          <w:sz w:val="21"/>
        </w:rPr>
        <w:t>–</w:t>
      </w:r>
      <w:r>
        <w:rPr>
          <w:color w:val="231F20"/>
          <w:spacing w:val="-7"/>
          <w:sz w:val="21"/>
        </w:rPr>
        <w:t xml:space="preserve"> </w:t>
      </w:r>
      <w:r>
        <w:rPr>
          <w:color w:val="231F20"/>
          <w:sz w:val="21"/>
        </w:rPr>
        <w:t>здійснення</w:t>
      </w:r>
      <w:r>
        <w:rPr>
          <w:color w:val="231F20"/>
          <w:spacing w:val="-7"/>
          <w:sz w:val="21"/>
        </w:rPr>
        <w:t xml:space="preserve"> </w:t>
      </w:r>
      <w:r>
        <w:rPr>
          <w:color w:val="231F20"/>
          <w:sz w:val="21"/>
        </w:rPr>
        <w:t xml:space="preserve">візуального </w:t>
      </w:r>
      <w:r>
        <w:rPr>
          <w:color w:val="231F20"/>
          <w:spacing w:val="-3"/>
          <w:sz w:val="21"/>
        </w:rPr>
        <w:t xml:space="preserve">огляду </w:t>
      </w:r>
      <w:r>
        <w:rPr>
          <w:color w:val="231F20"/>
          <w:sz w:val="21"/>
        </w:rPr>
        <w:t xml:space="preserve">особи проведенням по поверхні вбрання особи рукою, спеці- альним приладом або засобом, візуальним </w:t>
      </w:r>
      <w:r>
        <w:rPr>
          <w:color w:val="231F20"/>
          <w:spacing w:val="-3"/>
          <w:sz w:val="21"/>
        </w:rPr>
        <w:t xml:space="preserve">оглядом </w:t>
      </w:r>
      <w:r>
        <w:rPr>
          <w:color w:val="231F20"/>
          <w:sz w:val="21"/>
        </w:rPr>
        <w:t xml:space="preserve">речі або </w:t>
      </w:r>
      <w:r>
        <w:rPr>
          <w:color w:val="231F20"/>
          <w:sz w:val="21"/>
        </w:rPr>
        <w:t xml:space="preserve">тран- спортного засобу </w:t>
      </w:r>
      <w:r>
        <w:rPr>
          <w:color w:val="231F20"/>
          <w:spacing w:val="-5"/>
          <w:sz w:val="21"/>
        </w:rPr>
        <w:t xml:space="preserve">(ст. </w:t>
      </w:r>
      <w:r>
        <w:rPr>
          <w:color w:val="231F20"/>
          <w:sz w:val="21"/>
        </w:rPr>
        <w:t xml:space="preserve">34 Закону </w:t>
      </w:r>
      <w:r>
        <w:rPr>
          <w:color w:val="231F20"/>
          <w:spacing w:val="-3"/>
          <w:sz w:val="21"/>
        </w:rPr>
        <w:t xml:space="preserve">України </w:t>
      </w:r>
      <w:r>
        <w:rPr>
          <w:color w:val="231F20"/>
          <w:sz w:val="21"/>
        </w:rPr>
        <w:t xml:space="preserve">«Про Національну полі- цію»), митними органами здійснюється митний </w:t>
      </w:r>
      <w:r>
        <w:rPr>
          <w:color w:val="231F20"/>
          <w:spacing w:val="-3"/>
          <w:sz w:val="21"/>
        </w:rPr>
        <w:t xml:space="preserve">огляд </w:t>
      </w:r>
      <w:r>
        <w:rPr>
          <w:color w:val="231F20"/>
          <w:sz w:val="21"/>
        </w:rPr>
        <w:t xml:space="preserve">і переогляд, органами Державної прикордонної служби – </w:t>
      </w:r>
      <w:r>
        <w:rPr>
          <w:color w:val="231F20"/>
          <w:spacing w:val="-3"/>
          <w:sz w:val="21"/>
        </w:rPr>
        <w:t xml:space="preserve">огляд </w:t>
      </w:r>
      <w:r>
        <w:rPr>
          <w:color w:val="231F20"/>
          <w:sz w:val="21"/>
        </w:rPr>
        <w:t>морських і</w:t>
      </w:r>
      <w:r>
        <w:rPr>
          <w:color w:val="231F20"/>
          <w:spacing w:val="-34"/>
          <w:sz w:val="21"/>
        </w:rPr>
        <w:t xml:space="preserve"> </w:t>
      </w:r>
      <w:r>
        <w:rPr>
          <w:color w:val="231F20"/>
          <w:sz w:val="21"/>
        </w:rPr>
        <w:t xml:space="preserve">річко- вих </w:t>
      </w:r>
      <w:r>
        <w:rPr>
          <w:color w:val="231F20"/>
          <w:spacing w:val="-3"/>
          <w:sz w:val="21"/>
        </w:rPr>
        <w:t xml:space="preserve">суден </w:t>
      </w:r>
      <w:r>
        <w:rPr>
          <w:color w:val="231F20"/>
          <w:sz w:val="21"/>
        </w:rPr>
        <w:t xml:space="preserve">та документів тощо. В усіх цих випадках головною </w:t>
      </w:r>
      <w:r>
        <w:rPr>
          <w:color w:val="231F20"/>
          <w:sz w:val="21"/>
        </w:rPr>
        <w:t xml:space="preserve">метою застосування зазначеного </w:t>
      </w:r>
      <w:r>
        <w:rPr>
          <w:color w:val="231F20"/>
          <w:spacing w:val="-2"/>
          <w:sz w:val="21"/>
        </w:rPr>
        <w:t xml:space="preserve">заходу </w:t>
      </w:r>
      <w:r>
        <w:rPr>
          <w:color w:val="231F20"/>
          <w:sz w:val="21"/>
        </w:rPr>
        <w:t>є запобігання правопорушенням та їх виявлення, забезпечення громадської безпеки, тобто він має чітко виражений профілактичний</w:t>
      </w:r>
      <w:r>
        <w:rPr>
          <w:color w:val="231F20"/>
          <w:spacing w:val="-1"/>
          <w:sz w:val="21"/>
        </w:rPr>
        <w:t xml:space="preserve"> </w:t>
      </w:r>
      <w:r>
        <w:rPr>
          <w:color w:val="231F20"/>
          <w:sz w:val="21"/>
        </w:rPr>
        <w:t>характер;</w:t>
      </w:r>
    </w:p>
    <w:p w14:paraId="39F31753" w14:textId="77777777" w:rsidR="00DE575E" w:rsidRDefault="002E7560">
      <w:pPr>
        <w:pStyle w:val="ListParagraph"/>
        <w:numPr>
          <w:ilvl w:val="0"/>
          <w:numId w:val="168"/>
        </w:numPr>
        <w:tabs>
          <w:tab w:val="left" w:pos="1101"/>
        </w:tabs>
        <w:spacing w:before="7" w:line="252" w:lineRule="auto"/>
        <w:ind w:right="126" w:firstLine="284"/>
        <w:rPr>
          <w:sz w:val="21"/>
        </w:rPr>
      </w:pPr>
      <w:r>
        <w:rPr>
          <w:i/>
          <w:color w:val="231F20"/>
          <w:sz w:val="21"/>
        </w:rPr>
        <w:t xml:space="preserve">проникнення до житла чи іншого володіння особи, входження </w:t>
      </w:r>
      <w:r>
        <w:rPr>
          <w:i/>
          <w:color w:val="231F20"/>
          <w:sz w:val="21"/>
        </w:rPr>
        <w:t>до приміщень підприємств, установ та організацій</w:t>
      </w:r>
      <w:r>
        <w:rPr>
          <w:color w:val="231F20"/>
          <w:sz w:val="21"/>
        </w:rPr>
        <w:t xml:space="preserve">, що можливе тільки в чітко визначених випадках. </w:t>
      </w:r>
      <w:r>
        <w:rPr>
          <w:color w:val="231F20"/>
          <w:spacing w:val="-4"/>
          <w:sz w:val="21"/>
        </w:rPr>
        <w:t xml:space="preserve">Так, </w:t>
      </w:r>
      <w:r>
        <w:rPr>
          <w:color w:val="231F20"/>
          <w:sz w:val="21"/>
        </w:rPr>
        <w:t xml:space="preserve">відповідно до </w:t>
      </w:r>
      <w:r>
        <w:rPr>
          <w:color w:val="231F20"/>
          <w:spacing w:val="-6"/>
          <w:sz w:val="21"/>
        </w:rPr>
        <w:t xml:space="preserve">ст. </w:t>
      </w:r>
      <w:r>
        <w:rPr>
          <w:color w:val="231F20"/>
          <w:sz w:val="21"/>
        </w:rPr>
        <w:t xml:space="preserve">38 Закону </w:t>
      </w:r>
      <w:r>
        <w:rPr>
          <w:color w:val="231F20"/>
          <w:spacing w:val="-3"/>
          <w:sz w:val="21"/>
        </w:rPr>
        <w:t xml:space="preserve">України </w:t>
      </w:r>
      <w:r>
        <w:rPr>
          <w:color w:val="231F20"/>
          <w:sz w:val="21"/>
        </w:rPr>
        <w:t xml:space="preserve">«Про Національну поліцію» поліція може проникнути до </w:t>
      </w:r>
      <w:r>
        <w:rPr>
          <w:color w:val="231F20"/>
          <w:spacing w:val="-3"/>
          <w:sz w:val="21"/>
        </w:rPr>
        <w:t xml:space="preserve">житла </w:t>
      </w:r>
      <w:r>
        <w:rPr>
          <w:color w:val="231F20"/>
          <w:sz w:val="21"/>
        </w:rPr>
        <w:t xml:space="preserve">чи іншого володіння особи без вмотивованого рішення </w:t>
      </w:r>
      <w:r>
        <w:rPr>
          <w:color w:val="231F20"/>
          <w:spacing w:val="-4"/>
          <w:sz w:val="21"/>
        </w:rPr>
        <w:t xml:space="preserve">суду </w:t>
      </w:r>
      <w:r>
        <w:rPr>
          <w:color w:val="231F20"/>
          <w:sz w:val="21"/>
        </w:rPr>
        <w:t>ли</w:t>
      </w:r>
      <w:r>
        <w:rPr>
          <w:color w:val="231F20"/>
          <w:sz w:val="21"/>
        </w:rPr>
        <w:t>ше в невідкладних випадках, пов’язаних із: 1) рятуванням життя людей та цінного майна під час надзвичайних ситуацій; 2) безпо- середнім</w:t>
      </w:r>
      <w:r>
        <w:rPr>
          <w:color w:val="231F20"/>
          <w:spacing w:val="22"/>
          <w:sz w:val="21"/>
        </w:rPr>
        <w:t xml:space="preserve"> </w:t>
      </w:r>
      <w:r>
        <w:rPr>
          <w:color w:val="231F20"/>
          <w:sz w:val="21"/>
        </w:rPr>
        <w:t>переслідуванням</w:t>
      </w:r>
      <w:r>
        <w:rPr>
          <w:color w:val="231F20"/>
          <w:spacing w:val="22"/>
          <w:sz w:val="21"/>
        </w:rPr>
        <w:t xml:space="preserve"> </w:t>
      </w:r>
      <w:r>
        <w:rPr>
          <w:color w:val="231F20"/>
          <w:sz w:val="21"/>
        </w:rPr>
        <w:t>осіб,</w:t>
      </w:r>
      <w:r>
        <w:rPr>
          <w:color w:val="231F20"/>
          <w:spacing w:val="22"/>
          <w:sz w:val="21"/>
        </w:rPr>
        <w:t xml:space="preserve"> </w:t>
      </w:r>
      <w:r>
        <w:rPr>
          <w:color w:val="231F20"/>
          <w:sz w:val="21"/>
        </w:rPr>
        <w:t>підозрюваних</w:t>
      </w:r>
      <w:r>
        <w:rPr>
          <w:color w:val="231F20"/>
          <w:spacing w:val="22"/>
          <w:sz w:val="21"/>
        </w:rPr>
        <w:t xml:space="preserve"> </w:t>
      </w:r>
      <w:r>
        <w:rPr>
          <w:color w:val="231F20"/>
          <w:sz w:val="21"/>
        </w:rPr>
        <w:t>у</w:t>
      </w:r>
      <w:r>
        <w:rPr>
          <w:color w:val="231F20"/>
          <w:spacing w:val="21"/>
          <w:sz w:val="21"/>
        </w:rPr>
        <w:t xml:space="preserve"> </w:t>
      </w:r>
      <w:r>
        <w:rPr>
          <w:color w:val="231F20"/>
          <w:sz w:val="21"/>
        </w:rPr>
        <w:t>вчиненні</w:t>
      </w:r>
      <w:r>
        <w:rPr>
          <w:color w:val="231F20"/>
          <w:spacing w:val="22"/>
          <w:sz w:val="21"/>
        </w:rPr>
        <w:t xml:space="preserve"> </w:t>
      </w:r>
      <w:r>
        <w:rPr>
          <w:color w:val="231F20"/>
          <w:sz w:val="21"/>
        </w:rPr>
        <w:t>злочину;</w:t>
      </w:r>
    </w:p>
    <w:p w14:paraId="3DD29016" w14:textId="77777777" w:rsidR="00DE575E" w:rsidRDefault="002E7560">
      <w:pPr>
        <w:pStyle w:val="BodyText"/>
        <w:spacing w:before="3" w:line="252" w:lineRule="auto"/>
        <w:ind w:left="533" w:right="127"/>
        <w:jc w:val="both"/>
      </w:pPr>
      <w:r>
        <w:rPr>
          <w:color w:val="231F20"/>
        </w:rPr>
        <w:t xml:space="preserve">3) припиненням </w:t>
      </w:r>
      <w:r>
        <w:rPr>
          <w:color w:val="231F20"/>
          <w:spacing w:val="-3"/>
        </w:rPr>
        <w:t xml:space="preserve">злочину, </w:t>
      </w:r>
      <w:r>
        <w:rPr>
          <w:color w:val="231F20"/>
        </w:rPr>
        <w:t>що загрожує життю осіб, які перебува- ють</w:t>
      </w:r>
      <w:r>
        <w:rPr>
          <w:color w:val="231F20"/>
        </w:rPr>
        <w:t xml:space="preserve"> у </w:t>
      </w:r>
      <w:r>
        <w:rPr>
          <w:color w:val="231F20"/>
          <w:spacing w:val="-3"/>
        </w:rPr>
        <w:t xml:space="preserve">житлі </w:t>
      </w:r>
      <w:r>
        <w:rPr>
          <w:color w:val="231F20"/>
        </w:rPr>
        <w:t xml:space="preserve">або іншому володінні. Стаття 25 Закону </w:t>
      </w:r>
      <w:r>
        <w:rPr>
          <w:color w:val="231F20"/>
          <w:spacing w:val="-3"/>
        </w:rPr>
        <w:t xml:space="preserve">України </w:t>
      </w:r>
      <w:r>
        <w:rPr>
          <w:color w:val="231F20"/>
        </w:rPr>
        <w:t xml:space="preserve">«Про Службу безпеки </w:t>
      </w:r>
      <w:r>
        <w:rPr>
          <w:color w:val="231F20"/>
          <w:spacing w:val="-3"/>
        </w:rPr>
        <w:t xml:space="preserve">України» </w:t>
      </w:r>
      <w:r>
        <w:rPr>
          <w:color w:val="231F20"/>
        </w:rPr>
        <w:t>надає працівникам СБУ право: при безпо- середньому припиненні злочинів, переслідуванні осіб, що підозрю- ються у їх вчиненні, заходити до житлових, службових, виробничих т</w:t>
      </w:r>
      <w:r>
        <w:rPr>
          <w:color w:val="231F20"/>
        </w:rPr>
        <w:t>а інших приміщень, на території й земельні ділянки; у разі прове- дення заходів щодо боротьби з тероризмом входити за письмовим розпорядженням</w:t>
      </w:r>
      <w:r>
        <w:rPr>
          <w:color w:val="231F20"/>
          <w:spacing w:val="-17"/>
        </w:rPr>
        <w:t xml:space="preserve"> </w:t>
      </w:r>
      <w:r>
        <w:rPr>
          <w:color w:val="231F20"/>
        </w:rPr>
        <w:t>керівника</w:t>
      </w:r>
      <w:r>
        <w:rPr>
          <w:color w:val="231F20"/>
          <w:spacing w:val="-17"/>
        </w:rPr>
        <w:t xml:space="preserve"> </w:t>
      </w:r>
      <w:r>
        <w:rPr>
          <w:color w:val="231F20"/>
        </w:rPr>
        <w:t>органу</w:t>
      </w:r>
      <w:r>
        <w:rPr>
          <w:color w:val="231F20"/>
          <w:spacing w:val="-17"/>
        </w:rPr>
        <w:t xml:space="preserve"> </w:t>
      </w:r>
      <w:r>
        <w:rPr>
          <w:color w:val="231F20"/>
        </w:rPr>
        <w:t>або</w:t>
      </w:r>
      <w:r>
        <w:rPr>
          <w:color w:val="231F20"/>
          <w:spacing w:val="-17"/>
        </w:rPr>
        <w:t xml:space="preserve"> </w:t>
      </w:r>
      <w:r>
        <w:rPr>
          <w:color w:val="231F20"/>
        </w:rPr>
        <w:t>оперативного</w:t>
      </w:r>
      <w:r>
        <w:rPr>
          <w:color w:val="231F20"/>
          <w:spacing w:val="-17"/>
        </w:rPr>
        <w:t xml:space="preserve"> </w:t>
      </w:r>
      <w:r>
        <w:rPr>
          <w:color w:val="231F20"/>
        </w:rPr>
        <w:t>підрозділу</w:t>
      </w:r>
      <w:r>
        <w:rPr>
          <w:color w:val="231F20"/>
          <w:spacing w:val="-17"/>
        </w:rPr>
        <w:t xml:space="preserve"> </w:t>
      </w:r>
      <w:r>
        <w:rPr>
          <w:color w:val="231F20"/>
        </w:rPr>
        <w:t xml:space="preserve">СБУ за службовими посвідченнями на територію, до приміщень, складів </w:t>
      </w:r>
      <w:r>
        <w:rPr>
          <w:color w:val="231F20"/>
        </w:rPr>
        <w:t>і сховищ підприємств, організацій і установ (крім іноземних дипло- матичних</w:t>
      </w:r>
      <w:r>
        <w:rPr>
          <w:color w:val="231F20"/>
          <w:spacing w:val="12"/>
        </w:rPr>
        <w:t xml:space="preserve"> </w:t>
      </w:r>
      <w:r>
        <w:rPr>
          <w:color w:val="231F20"/>
        </w:rPr>
        <w:t>представництв)</w:t>
      </w:r>
      <w:r>
        <w:rPr>
          <w:color w:val="231F20"/>
          <w:spacing w:val="12"/>
        </w:rPr>
        <w:t xml:space="preserve"> </w:t>
      </w:r>
      <w:r>
        <w:rPr>
          <w:color w:val="231F20"/>
        </w:rPr>
        <w:t>незалежно</w:t>
      </w:r>
      <w:r>
        <w:rPr>
          <w:color w:val="231F20"/>
          <w:spacing w:val="12"/>
        </w:rPr>
        <w:t xml:space="preserve"> </w:t>
      </w:r>
      <w:r>
        <w:rPr>
          <w:color w:val="231F20"/>
        </w:rPr>
        <w:t>від</w:t>
      </w:r>
      <w:r>
        <w:rPr>
          <w:color w:val="231F20"/>
          <w:spacing w:val="12"/>
        </w:rPr>
        <w:t xml:space="preserve"> </w:t>
      </w:r>
      <w:r>
        <w:rPr>
          <w:color w:val="231F20"/>
        </w:rPr>
        <w:t>форми</w:t>
      </w:r>
      <w:r>
        <w:rPr>
          <w:color w:val="231F20"/>
          <w:spacing w:val="12"/>
        </w:rPr>
        <w:t xml:space="preserve"> </w:t>
      </w:r>
      <w:r>
        <w:rPr>
          <w:color w:val="231F20"/>
        </w:rPr>
        <w:t>власності.</w:t>
      </w:r>
      <w:r>
        <w:rPr>
          <w:color w:val="231F20"/>
          <w:spacing w:val="12"/>
        </w:rPr>
        <w:t xml:space="preserve"> </w:t>
      </w:r>
      <w:r>
        <w:rPr>
          <w:color w:val="231F20"/>
        </w:rPr>
        <w:t>Відвіду-</w:t>
      </w:r>
    </w:p>
    <w:p w14:paraId="51EE7A07" w14:textId="77777777" w:rsidR="00DE575E" w:rsidRDefault="00DE575E">
      <w:pPr>
        <w:pStyle w:val="BodyText"/>
        <w:spacing w:before="10"/>
        <w:rPr>
          <w:sz w:val="12"/>
        </w:rPr>
      </w:pPr>
    </w:p>
    <w:p w14:paraId="44CC36CF" w14:textId="77777777" w:rsidR="00DE575E" w:rsidRDefault="002E7560">
      <w:pPr>
        <w:spacing w:before="92"/>
        <w:ind w:left="533"/>
        <w:rPr>
          <w:rFonts w:ascii="Times New Roman"/>
          <w:sz w:val="20"/>
        </w:rPr>
      </w:pPr>
      <w:r>
        <w:rPr>
          <w:rFonts w:ascii="Times New Roman"/>
          <w:color w:val="231F20"/>
          <w:sz w:val="20"/>
        </w:rPr>
        <w:t>262</w:t>
      </w:r>
    </w:p>
    <w:p w14:paraId="695F7BFD" w14:textId="77777777" w:rsidR="00DE575E" w:rsidRDefault="00DE575E">
      <w:pPr>
        <w:rPr>
          <w:rFonts w:ascii="Times New Roman"/>
          <w:sz w:val="20"/>
        </w:rPr>
        <w:sectPr w:rsidR="00DE575E">
          <w:pgSz w:w="8510" w:h="12760"/>
          <w:pgMar w:top="660" w:right="720" w:bottom="280" w:left="600" w:header="720" w:footer="720" w:gutter="0"/>
          <w:cols w:space="720"/>
        </w:sectPr>
      </w:pPr>
    </w:p>
    <w:p w14:paraId="0F247C1E"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05BA5143" w14:textId="144F232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3208123" wp14:editId="52BF69EA">
                <wp:extent cx="4140200" cy="6350"/>
                <wp:effectExtent l="0" t="0" r="12700" b="6350"/>
                <wp:docPr id="745"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46" name="Line 7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8B68C2" id="Group_x0020_7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36TGl/AgAAmAUAAA4A&#10;AAAAAAAAAAAAAAAALAIAAGRycy9lMm9Eb2MueG1sUEsBAi0AFAAGAAgAAAAhAEynsJDZAAAAAwEA&#10;AA8AAAAAAAAAAAAAAAAA1wQAAGRycy9kb3ducmV2LnhtbFBLBQYAAAAABAAEAPMAAADdBQAAAAA=&#10;">
                <v:line id="Line_x0020_7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APosYAAADcAAAADwAAAGRycy9kb3ducmV2LnhtbESP0WrCQBRE3wv+w3IFX0rdqMVKdBUp&#10;FEoftDX9gGv2mgR378bsaqJf7wqFPg4zc4ZZrDprxIUaXzlWMBomIIhzpysuFPxmHy8zED4gazSO&#10;ScGVPKyWvacFptq1/EOXXShEhLBPUUEZQp1K6fOSLPqhq4mjd3CNxRBlU0jdYBvh1shxkkylxYrj&#10;Qok1vZeUH3dnqyA7PQfzvf0ybbbdT+T+tJnczhulBv1uPQcRqAv/4b/2p1bw9jq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cAD6LGAAAA3AAAAA8AAAAAAAAA&#10;AAAAAAAAoQIAAGRycy9kb3ducmV2LnhtbFBLBQYAAAAABAAEAPkAAACUAwAAAAA=&#10;" strokecolor="#231f20" strokeweight=".5pt"/>
                <w10:anchorlock/>
              </v:group>
            </w:pict>
          </mc:Fallback>
        </mc:AlternateContent>
      </w:r>
    </w:p>
    <w:p w14:paraId="57CC19F5" w14:textId="77777777" w:rsidR="00DE575E" w:rsidRDefault="00DE575E">
      <w:pPr>
        <w:pStyle w:val="BodyText"/>
        <w:spacing w:before="7"/>
        <w:rPr>
          <w:rFonts w:ascii="AdonisC"/>
          <w:i/>
          <w:sz w:val="19"/>
        </w:rPr>
      </w:pPr>
    </w:p>
    <w:p w14:paraId="4C0CA2B2" w14:textId="77777777" w:rsidR="00DE575E" w:rsidRDefault="002E7560">
      <w:pPr>
        <w:pStyle w:val="BodyText"/>
        <w:spacing w:before="1" w:line="252" w:lineRule="auto"/>
        <w:ind w:left="250" w:right="411"/>
        <w:jc w:val="both"/>
      </w:pPr>
      <w:r>
        <w:rPr>
          <w:color w:val="231F20"/>
        </w:rPr>
        <w:t>вати підприємства, установи, організації для виконання контроль- них</w:t>
      </w:r>
      <w:r>
        <w:rPr>
          <w:color w:val="231F20"/>
          <w:spacing w:val="-8"/>
        </w:rPr>
        <w:t xml:space="preserve"> </w:t>
      </w:r>
      <w:r>
        <w:rPr>
          <w:color w:val="231F20"/>
        </w:rPr>
        <w:t>і</w:t>
      </w:r>
      <w:r>
        <w:rPr>
          <w:color w:val="231F20"/>
          <w:spacing w:val="-8"/>
        </w:rPr>
        <w:t xml:space="preserve"> </w:t>
      </w:r>
      <w:r>
        <w:rPr>
          <w:color w:val="231F20"/>
        </w:rPr>
        <w:t>профілактичних</w:t>
      </w:r>
      <w:r>
        <w:rPr>
          <w:color w:val="231F20"/>
          <w:spacing w:val="-8"/>
        </w:rPr>
        <w:t xml:space="preserve"> </w:t>
      </w:r>
      <w:r>
        <w:rPr>
          <w:color w:val="231F20"/>
        </w:rPr>
        <w:t>функцій</w:t>
      </w:r>
      <w:r>
        <w:rPr>
          <w:color w:val="231F20"/>
          <w:spacing w:val="-8"/>
        </w:rPr>
        <w:t xml:space="preserve"> </w:t>
      </w:r>
      <w:r>
        <w:rPr>
          <w:color w:val="231F20"/>
        </w:rPr>
        <w:t>можуть</w:t>
      </w:r>
      <w:r>
        <w:rPr>
          <w:color w:val="231F20"/>
          <w:spacing w:val="-8"/>
        </w:rPr>
        <w:t xml:space="preserve"> </w:t>
      </w:r>
      <w:r>
        <w:rPr>
          <w:color w:val="231F20"/>
        </w:rPr>
        <w:t>також</w:t>
      </w:r>
      <w:r>
        <w:rPr>
          <w:color w:val="231F20"/>
          <w:spacing w:val="-8"/>
        </w:rPr>
        <w:t xml:space="preserve"> </w:t>
      </w:r>
      <w:r>
        <w:rPr>
          <w:color w:val="231F20"/>
        </w:rPr>
        <w:t>посадові</w:t>
      </w:r>
      <w:r>
        <w:rPr>
          <w:color w:val="231F20"/>
          <w:spacing w:val="-8"/>
        </w:rPr>
        <w:t xml:space="preserve"> </w:t>
      </w:r>
      <w:r>
        <w:rPr>
          <w:color w:val="231F20"/>
        </w:rPr>
        <w:t>особи</w:t>
      </w:r>
      <w:r>
        <w:rPr>
          <w:color w:val="231F20"/>
          <w:spacing w:val="-8"/>
        </w:rPr>
        <w:t xml:space="preserve"> </w:t>
      </w:r>
      <w:r>
        <w:rPr>
          <w:color w:val="231F20"/>
        </w:rPr>
        <w:t>й</w:t>
      </w:r>
      <w:r>
        <w:rPr>
          <w:color w:val="231F20"/>
          <w:spacing w:val="-8"/>
        </w:rPr>
        <w:t xml:space="preserve"> </w:t>
      </w:r>
      <w:r>
        <w:rPr>
          <w:color w:val="231F20"/>
        </w:rPr>
        <w:t>інших органів</w:t>
      </w:r>
      <w:r>
        <w:rPr>
          <w:color w:val="231F20"/>
          <w:spacing w:val="-2"/>
        </w:rPr>
        <w:t xml:space="preserve"> </w:t>
      </w:r>
      <w:r>
        <w:rPr>
          <w:color w:val="231F20"/>
        </w:rPr>
        <w:t>контролю;</w:t>
      </w:r>
    </w:p>
    <w:p w14:paraId="1BCA6693" w14:textId="77777777" w:rsidR="00DE575E" w:rsidRDefault="002E7560">
      <w:pPr>
        <w:pStyle w:val="BodyText"/>
        <w:spacing w:before="1" w:line="252" w:lineRule="auto"/>
        <w:ind w:left="250" w:right="410" w:firstLine="283"/>
        <w:jc w:val="both"/>
      </w:pPr>
      <w:r>
        <w:rPr>
          <w:color w:val="231F20"/>
        </w:rPr>
        <w:t xml:space="preserve">– </w:t>
      </w:r>
      <w:r>
        <w:rPr>
          <w:i/>
          <w:color w:val="231F20"/>
        </w:rPr>
        <w:t xml:space="preserve">вимогу залишити місце іобмеження доступу </w:t>
      </w:r>
      <w:r>
        <w:rPr>
          <w:i/>
          <w:color w:val="231F20"/>
        </w:rPr>
        <w:t xml:space="preserve">на визначену тери- торію </w:t>
      </w:r>
      <w:r>
        <w:rPr>
          <w:color w:val="231F20"/>
        </w:rPr>
        <w:t xml:space="preserve">(блокування районів місцевості, окремих </w:t>
      </w:r>
      <w:r>
        <w:rPr>
          <w:color w:val="231F20"/>
          <w:spacing w:val="-3"/>
        </w:rPr>
        <w:t xml:space="preserve">споруд </w:t>
      </w:r>
      <w:r>
        <w:rPr>
          <w:color w:val="231F20"/>
        </w:rPr>
        <w:t xml:space="preserve">та </w:t>
      </w:r>
      <w:r>
        <w:rPr>
          <w:color w:val="231F20"/>
          <w:spacing w:val="-3"/>
        </w:rPr>
        <w:t xml:space="preserve">об’єктів), </w:t>
      </w:r>
      <w:r>
        <w:rPr>
          <w:color w:val="231F20"/>
        </w:rPr>
        <w:t xml:space="preserve">яку можуть застосовувати поліцейські та військовослужбовці Наці- ональної гвардії. </w:t>
      </w:r>
      <w:r>
        <w:rPr>
          <w:color w:val="231F20"/>
          <w:spacing w:val="-4"/>
        </w:rPr>
        <w:t xml:space="preserve">Так, </w:t>
      </w:r>
      <w:r>
        <w:rPr>
          <w:color w:val="231F20"/>
        </w:rPr>
        <w:t xml:space="preserve">відповідно до </w:t>
      </w:r>
      <w:r>
        <w:rPr>
          <w:color w:val="231F20"/>
          <w:spacing w:val="-6"/>
        </w:rPr>
        <w:t xml:space="preserve">ст. </w:t>
      </w:r>
      <w:r>
        <w:rPr>
          <w:color w:val="231F20"/>
        </w:rPr>
        <w:t xml:space="preserve">36 Закону </w:t>
      </w:r>
      <w:r>
        <w:rPr>
          <w:color w:val="231F20"/>
          <w:spacing w:val="-3"/>
        </w:rPr>
        <w:t xml:space="preserve">України </w:t>
      </w:r>
      <w:r>
        <w:rPr>
          <w:color w:val="231F20"/>
        </w:rPr>
        <w:t xml:space="preserve">«Про Наці- ональну поліцію» поліцейський уповноважений вимагати від особи (осіб) залишити визначене місце на певний строк або заборонити чи обмежити особам доступ до визначеної території або </w:t>
      </w:r>
      <w:r>
        <w:rPr>
          <w:color w:val="231F20"/>
          <w:spacing w:val="-3"/>
        </w:rPr>
        <w:t xml:space="preserve">об’єктів, </w:t>
      </w:r>
      <w:r>
        <w:rPr>
          <w:color w:val="231F20"/>
        </w:rPr>
        <w:t xml:space="preserve">якщо це необхідно для забезпечення публічної безпеки й </w:t>
      </w:r>
      <w:r>
        <w:rPr>
          <w:color w:val="231F20"/>
          <w:spacing w:val="-3"/>
        </w:rPr>
        <w:t xml:space="preserve">порядку, </w:t>
      </w:r>
      <w:r>
        <w:rPr>
          <w:color w:val="231F20"/>
        </w:rPr>
        <w:t>охорони життя і здоров’я людей, для збереження та фіксації слідів правопорушення;</w:t>
      </w:r>
    </w:p>
    <w:p w14:paraId="3ECDDC0F" w14:textId="77777777" w:rsidR="00DE575E" w:rsidRDefault="002E7560">
      <w:pPr>
        <w:spacing w:before="5" w:line="252" w:lineRule="auto"/>
        <w:ind w:left="250" w:right="411" w:firstLine="283"/>
        <w:jc w:val="both"/>
        <w:rPr>
          <w:sz w:val="21"/>
        </w:rPr>
      </w:pPr>
      <w:r>
        <w:rPr>
          <w:color w:val="231F20"/>
          <w:sz w:val="21"/>
        </w:rPr>
        <w:t xml:space="preserve">– з метою забезпечення публічної безпеки і </w:t>
      </w:r>
      <w:r>
        <w:rPr>
          <w:color w:val="231F20"/>
          <w:spacing w:val="-3"/>
          <w:sz w:val="21"/>
        </w:rPr>
        <w:t xml:space="preserve">порядку, </w:t>
      </w:r>
      <w:r>
        <w:rPr>
          <w:color w:val="231F20"/>
          <w:sz w:val="21"/>
        </w:rPr>
        <w:t xml:space="preserve">охорони життя і здоров’я людей поліцейський може також </w:t>
      </w:r>
      <w:r>
        <w:rPr>
          <w:i/>
          <w:color w:val="231F20"/>
          <w:sz w:val="21"/>
        </w:rPr>
        <w:t xml:space="preserve">обмежувати або </w:t>
      </w:r>
      <w:r>
        <w:rPr>
          <w:i/>
          <w:color w:val="231F20"/>
          <w:sz w:val="21"/>
        </w:rPr>
        <w:t xml:space="preserve">забороняти рух транспорту і пішоходів на окремих ділянках </w:t>
      </w:r>
      <w:r>
        <w:rPr>
          <w:i/>
          <w:color w:val="231F20"/>
          <w:spacing w:val="-3"/>
          <w:sz w:val="21"/>
        </w:rPr>
        <w:t xml:space="preserve">вулиць  </w:t>
      </w:r>
      <w:r>
        <w:rPr>
          <w:i/>
          <w:color w:val="231F20"/>
          <w:sz w:val="21"/>
        </w:rPr>
        <w:t xml:space="preserve">і автомобільних доріг </w:t>
      </w:r>
      <w:r>
        <w:rPr>
          <w:color w:val="231F20"/>
          <w:sz w:val="21"/>
        </w:rPr>
        <w:t xml:space="preserve">у разі затримання осіб відповідно до </w:t>
      </w:r>
      <w:r>
        <w:rPr>
          <w:color w:val="231F20"/>
          <w:spacing w:val="-3"/>
          <w:sz w:val="21"/>
        </w:rPr>
        <w:t xml:space="preserve">закону, </w:t>
      </w:r>
      <w:r>
        <w:rPr>
          <w:color w:val="231F20"/>
          <w:sz w:val="21"/>
        </w:rPr>
        <w:t>під</w:t>
      </w:r>
      <w:r>
        <w:rPr>
          <w:color w:val="231F20"/>
          <w:spacing w:val="13"/>
          <w:sz w:val="21"/>
        </w:rPr>
        <w:t xml:space="preserve"> </w:t>
      </w:r>
      <w:r>
        <w:rPr>
          <w:color w:val="231F20"/>
          <w:sz w:val="21"/>
        </w:rPr>
        <w:t>час</w:t>
      </w:r>
      <w:r>
        <w:rPr>
          <w:color w:val="231F20"/>
          <w:spacing w:val="13"/>
          <w:sz w:val="21"/>
        </w:rPr>
        <w:t xml:space="preserve"> </w:t>
      </w:r>
      <w:r>
        <w:rPr>
          <w:color w:val="231F20"/>
          <w:sz w:val="21"/>
        </w:rPr>
        <w:t>аварій,</w:t>
      </w:r>
      <w:r>
        <w:rPr>
          <w:color w:val="231F20"/>
          <w:spacing w:val="13"/>
          <w:sz w:val="21"/>
        </w:rPr>
        <w:t xml:space="preserve"> </w:t>
      </w:r>
      <w:r>
        <w:rPr>
          <w:color w:val="231F20"/>
          <w:sz w:val="21"/>
        </w:rPr>
        <w:t>інших</w:t>
      </w:r>
      <w:r>
        <w:rPr>
          <w:color w:val="231F20"/>
          <w:spacing w:val="13"/>
          <w:sz w:val="21"/>
        </w:rPr>
        <w:t xml:space="preserve"> </w:t>
      </w:r>
      <w:r>
        <w:rPr>
          <w:color w:val="231F20"/>
          <w:sz w:val="21"/>
        </w:rPr>
        <w:t>надзвичайних</w:t>
      </w:r>
      <w:r>
        <w:rPr>
          <w:color w:val="231F20"/>
          <w:spacing w:val="13"/>
          <w:sz w:val="21"/>
        </w:rPr>
        <w:t xml:space="preserve"> </w:t>
      </w:r>
      <w:r>
        <w:rPr>
          <w:color w:val="231F20"/>
          <w:sz w:val="21"/>
        </w:rPr>
        <w:t>ситуацій</w:t>
      </w:r>
      <w:r>
        <w:rPr>
          <w:color w:val="231F20"/>
          <w:spacing w:val="13"/>
          <w:sz w:val="21"/>
        </w:rPr>
        <w:t xml:space="preserve"> </w:t>
      </w:r>
      <w:r>
        <w:rPr>
          <w:color w:val="231F20"/>
          <w:spacing w:val="-5"/>
          <w:sz w:val="21"/>
        </w:rPr>
        <w:t>(ст.</w:t>
      </w:r>
      <w:r>
        <w:rPr>
          <w:color w:val="231F20"/>
          <w:spacing w:val="-6"/>
          <w:sz w:val="21"/>
        </w:rPr>
        <w:t xml:space="preserve"> </w:t>
      </w:r>
      <w:r>
        <w:rPr>
          <w:color w:val="231F20"/>
          <w:sz w:val="21"/>
        </w:rPr>
        <w:t>36</w:t>
      </w:r>
      <w:r>
        <w:rPr>
          <w:color w:val="231F20"/>
          <w:spacing w:val="13"/>
          <w:sz w:val="21"/>
        </w:rPr>
        <w:t xml:space="preserve"> </w:t>
      </w:r>
      <w:r>
        <w:rPr>
          <w:color w:val="231F20"/>
          <w:sz w:val="21"/>
        </w:rPr>
        <w:t>Закону</w:t>
      </w:r>
      <w:r>
        <w:rPr>
          <w:color w:val="231F20"/>
          <w:spacing w:val="13"/>
          <w:sz w:val="21"/>
        </w:rPr>
        <w:t xml:space="preserve"> </w:t>
      </w:r>
      <w:r>
        <w:rPr>
          <w:color w:val="231F20"/>
          <w:spacing w:val="-3"/>
          <w:sz w:val="21"/>
        </w:rPr>
        <w:t>України</w:t>
      </w:r>
    </w:p>
    <w:p w14:paraId="7A80104D" w14:textId="77777777" w:rsidR="00DE575E" w:rsidRDefault="002E7560">
      <w:pPr>
        <w:pStyle w:val="BodyText"/>
        <w:spacing w:before="3"/>
        <w:ind w:left="250"/>
      </w:pPr>
      <w:r>
        <w:rPr>
          <w:color w:val="231F20"/>
        </w:rPr>
        <w:t>«Про Національну поліцію»);</w:t>
      </w:r>
    </w:p>
    <w:p w14:paraId="1DFE468C" w14:textId="77777777" w:rsidR="00DE575E" w:rsidRDefault="002E7560">
      <w:pPr>
        <w:spacing w:before="12" w:line="252" w:lineRule="auto"/>
        <w:ind w:left="250" w:right="410" w:firstLine="283"/>
        <w:jc w:val="both"/>
        <w:rPr>
          <w:sz w:val="21"/>
        </w:rPr>
      </w:pPr>
      <w:r>
        <w:rPr>
          <w:color w:val="231F20"/>
          <w:sz w:val="21"/>
        </w:rPr>
        <w:t xml:space="preserve">– </w:t>
      </w:r>
      <w:r>
        <w:rPr>
          <w:i/>
          <w:color w:val="231F20"/>
          <w:sz w:val="21"/>
        </w:rPr>
        <w:t>адміністративний нагляд за</w:t>
      </w:r>
      <w:r>
        <w:rPr>
          <w:i/>
          <w:color w:val="231F20"/>
          <w:sz w:val="21"/>
        </w:rPr>
        <w:t xml:space="preserve"> особами, звільненими з місць позбавлення волі, </w:t>
      </w:r>
      <w:r>
        <w:rPr>
          <w:color w:val="231F20"/>
          <w:sz w:val="21"/>
        </w:rPr>
        <w:t>що становить систему тимчасових примусових профілактичних заходів спостереження і контролю за поведінкою окремих осіб, звільнених з місць позбавлення волі, що здійсню- ються органами Національної поліції відп</w:t>
      </w:r>
      <w:r>
        <w:rPr>
          <w:color w:val="231F20"/>
          <w:sz w:val="21"/>
        </w:rPr>
        <w:t>овідно до Закону України</w:t>
      </w:r>
    </w:p>
    <w:p w14:paraId="3EE523FA" w14:textId="77777777" w:rsidR="00DE575E" w:rsidRDefault="002E7560">
      <w:pPr>
        <w:pStyle w:val="BodyText"/>
        <w:spacing w:before="3" w:line="252" w:lineRule="auto"/>
        <w:ind w:left="250" w:right="410"/>
        <w:jc w:val="both"/>
      </w:pPr>
      <w:r>
        <w:rPr>
          <w:color w:val="231F20"/>
        </w:rPr>
        <w:t xml:space="preserve">«Про адміністративний </w:t>
      </w:r>
      <w:r>
        <w:rPr>
          <w:color w:val="231F20"/>
          <w:spacing w:val="-3"/>
        </w:rPr>
        <w:t xml:space="preserve">нагляд </w:t>
      </w:r>
      <w:r>
        <w:rPr>
          <w:color w:val="231F20"/>
        </w:rPr>
        <w:t xml:space="preserve">за особами, звільненими з місць позбавлення волі». Рішення про його застосування ухвалюється одноосібно </w:t>
      </w:r>
      <w:r>
        <w:rPr>
          <w:color w:val="231F20"/>
          <w:spacing w:val="-3"/>
        </w:rPr>
        <w:t xml:space="preserve">суддею </w:t>
      </w:r>
      <w:r>
        <w:rPr>
          <w:color w:val="231F20"/>
        </w:rPr>
        <w:t xml:space="preserve">районного (міського) </w:t>
      </w:r>
      <w:r>
        <w:rPr>
          <w:color w:val="231F20"/>
          <w:spacing w:val="-4"/>
        </w:rPr>
        <w:t xml:space="preserve">суду </w:t>
      </w:r>
      <w:r>
        <w:rPr>
          <w:color w:val="231F20"/>
        </w:rPr>
        <w:t>за поданням началь- ника установи виконання покарань або органу Н</w:t>
      </w:r>
      <w:r>
        <w:rPr>
          <w:color w:val="231F20"/>
        </w:rPr>
        <w:t>аціональної полі- ції на строк від одного до двох років і не може перевищувати термі- нів, передбачених законом для погашення або зняття судимості. Осіб, щодо яких встановлено адміністративний нагляд, беруть на облік,</w:t>
      </w:r>
      <w:r>
        <w:rPr>
          <w:color w:val="231F20"/>
          <w:spacing w:val="-12"/>
        </w:rPr>
        <w:t xml:space="preserve"> </w:t>
      </w:r>
      <w:r>
        <w:rPr>
          <w:color w:val="231F20"/>
        </w:rPr>
        <w:t>фотографують,</w:t>
      </w:r>
      <w:r>
        <w:rPr>
          <w:color w:val="231F20"/>
          <w:spacing w:val="-12"/>
        </w:rPr>
        <w:t xml:space="preserve"> </w:t>
      </w:r>
      <w:r>
        <w:rPr>
          <w:color w:val="231F20"/>
        </w:rPr>
        <w:t>а</w:t>
      </w:r>
      <w:r>
        <w:rPr>
          <w:color w:val="231F20"/>
          <w:spacing w:val="-12"/>
        </w:rPr>
        <w:t xml:space="preserve"> </w:t>
      </w:r>
      <w:r>
        <w:rPr>
          <w:color w:val="231F20"/>
        </w:rPr>
        <w:t>в</w:t>
      </w:r>
      <w:r>
        <w:rPr>
          <w:color w:val="231F20"/>
          <w:spacing w:val="-12"/>
        </w:rPr>
        <w:t xml:space="preserve"> </w:t>
      </w:r>
      <w:r>
        <w:rPr>
          <w:color w:val="231F20"/>
        </w:rPr>
        <w:t>разі</w:t>
      </w:r>
      <w:r>
        <w:rPr>
          <w:color w:val="231F20"/>
          <w:spacing w:val="-13"/>
        </w:rPr>
        <w:t xml:space="preserve"> </w:t>
      </w:r>
      <w:r>
        <w:rPr>
          <w:color w:val="231F20"/>
        </w:rPr>
        <w:t>потреби</w:t>
      </w:r>
      <w:r>
        <w:rPr>
          <w:color w:val="231F20"/>
          <w:spacing w:val="-13"/>
        </w:rPr>
        <w:t xml:space="preserve"> </w:t>
      </w:r>
      <w:r>
        <w:rPr>
          <w:color w:val="231F20"/>
        </w:rPr>
        <w:t>в</w:t>
      </w:r>
      <w:r>
        <w:rPr>
          <w:color w:val="231F20"/>
          <w:spacing w:val="-12"/>
        </w:rPr>
        <w:t xml:space="preserve"> </w:t>
      </w:r>
      <w:r>
        <w:rPr>
          <w:color w:val="231F20"/>
        </w:rPr>
        <w:t>них</w:t>
      </w:r>
      <w:r>
        <w:rPr>
          <w:color w:val="231F20"/>
          <w:spacing w:val="-12"/>
        </w:rPr>
        <w:t xml:space="preserve"> </w:t>
      </w:r>
      <w:r>
        <w:rPr>
          <w:color w:val="231F20"/>
        </w:rPr>
        <w:t>беруть</w:t>
      </w:r>
      <w:r>
        <w:rPr>
          <w:color w:val="231F20"/>
          <w:spacing w:val="-12"/>
        </w:rPr>
        <w:t xml:space="preserve"> </w:t>
      </w:r>
      <w:r>
        <w:rPr>
          <w:color w:val="231F20"/>
        </w:rPr>
        <w:t>відбитки</w:t>
      </w:r>
      <w:r>
        <w:rPr>
          <w:color w:val="231F20"/>
          <w:spacing w:val="-12"/>
        </w:rPr>
        <w:t xml:space="preserve"> </w:t>
      </w:r>
      <w:r>
        <w:rPr>
          <w:color w:val="231F20"/>
        </w:rPr>
        <w:t xml:space="preserve">пальців. Працівники поліції зобов’язані систематично контролювати пове- дінку цих осіб, запобігати порушенням ними громадського порядку та прав інших громадян і припиняти їх, проводити розшук осіб, які уникають адміністративного </w:t>
      </w:r>
      <w:r>
        <w:rPr>
          <w:color w:val="231F20"/>
          <w:spacing w:val="-4"/>
        </w:rPr>
        <w:t xml:space="preserve">нагляду. </w:t>
      </w:r>
      <w:r>
        <w:rPr>
          <w:color w:val="231F20"/>
        </w:rPr>
        <w:t>До</w:t>
      </w:r>
      <w:r>
        <w:rPr>
          <w:color w:val="231F20"/>
        </w:rPr>
        <w:t xml:space="preserve"> обмежень, яких</w:t>
      </w:r>
      <w:r>
        <w:rPr>
          <w:color w:val="231F20"/>
          <w:spacing w:val="-32"/>
        </w:rPr>
        <w:t xml:space="preserve"> </w:t>
      </w:r>
      <w:r>
        <w:rPr>
          <w:color w:val="231F20"/>
        </w:rPr>
        <w:t xml:space="preserve">піднагляд- ний мусить дотримуватися, віднесено: заборону </w:t>
      </w:r>
      <w:r>
        <w:rPr>
          <w:color w:val="231F20"/>
          <w:spacing w:val="-2"/>
        </w:rPr>
        <w:t xml:space="preserve">виходу </w:t>
      </w:r>
      <w:r>
        <w:rPr>
          <w:color w:val="231F20"/>
        </w:rPr>
        <w:t xml:space="preserve">з </w:t>
      </w:r>
      <w:r>
        <w:rPr>
          <w:color w:val="231F20"/>
          <w:spacing w:val="-5"/>
        </w:rPr>
        <w:t xml:space="preserve">будинку, </w:t>
      </w:r>
      <w:r>
        <w:rPr>
          <w:color w:val="231F20"/>
        </w:rPr>
        <w:t>квартири в установлений час, яка не може перевищувати 8 годин на добу; заборону перебування у визначених місцях району</w:t>
      </w:r>
      <w:r>
        <w:rPr>
          <w:color w:val="231F20"/>
          <w:spacing w:val="37"/>
        </w:rPr>
        <w:t xml:space="preserve"> </w:t>
      </w:r>
      <w:r>
        <w:rPr>
          <w:color w:val="231F20"/>
        </w:rPr>
        <w:t>(міста);</w:t>
      </w:r>
    </w:p>
    <w:p w14:paraId="77A213B8" w14:textId="77777777" w:rsidR="00DE575E" w:rsidRDefault="00DE575E">
      <w:pPr>
        <w:pStyle w:val="BodyText"/>
        <w:rPr>
          <w:sz w:val="13"/>
        </w:rPr>
      </w:pPr>
    </w:p>
    <w:p w14:paraId="1FDB7B3F" w14:textId="77777777" w:rsidR="00DE575E" w:rsidRDefault="002E7560">
      <w:pPr>
        <w:spacing w:before="91"/>
        <w:ind w:right="411"/>
        <w:jc w:val="right"/>
        <w:rPr>
          <w:rFonts w:ascii="Times New Roman"/>
          <w:sz w:val="20"/>
        </w:rPr>
      </w:pPr>
      <w:r>
        <w:rPr>
          <w:rFonts w:ascii="Times New Roman"/>
          <w:color w:val="231F20"/>
          <w:w w:val="90"/>
          <w:sz w:val="20"/>
        </w:rPr>
        <w:t>263</w:t>
      </w:r>
    </w:p>
    <w:p w14:paraId="4213EE0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19FBA6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w:t>
      </w:r>
      <w:r>
        <w:rPr>
          <w:rFonts w:ascii="AdonisC" w:hAnsi="AdonisC"/>
          <w:i/>
          <w:color w:val="231F20"/>
          <w:sz w:val="18"/>
        </w:rPr>
        <w:t>аво України. Повний курс</w:t>
      </w:r>
    </w:p>
    <w:p w14:paraId="37BF6AF8" w14:textId="11727F3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5BEBAF6" wp14:editId="0287090A">
                <wp:extent cx="4140200" cy="6350"/>
                <wp:effectExtent l="0" t="0" r="12700" b="6350"/>
                <wp:docPr id="743"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44" name="Line 7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11E0A0" id="Group_x0020_7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nmyIB/AgAAmAUAAA4A&#10;AAAAAAAAAAAAAAAALAIAAGRycy9lMm9Eb2MueG1sUEsBAi0AFAAGAAgAAAAhAEynsJDZAAAAAwEA&#10;AA8AAAAAAAAAAAAAAAAA1wQAAGRycy9kb3ducmV2LnhtbFBLBQYAAAAABAAEAPMAAADdBQAAAAA=&#10;">
                <v:line id="Line_x0020_7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40TscAAADcAAAADwAAAGRycy9kb3ducmV2LnhtbESP3WrCQBSE7wXfYTmCN6Vu/KGV6CpS&#10;KJReaGv6AMfsMQnuno3Z1aR9elcoeDnMzDfMct1ZI67U+MqxgvEoAUGcO11xoeAne3+eg/ABWaNx&#10;TAp+ycN61e8tMdWu5W+67kMhIoR9igrKEOpUSp+XZNGPXE0cvaNrLIYom0LqBtsIt0ZOkuRFWqw4&#10;LpRY01tJ+Wl/sQqy81MwX7tP02a7w1Qeztvp32Wr1HDQbRYgAnXhEf5vf2gFr7MZ3M/EIy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njROxwAAANwAAAAPAAAAAAAA&#10;AAAAAAAAAKECAABkcnMvZG93bnJldi54bWxQSwUGAAAAAAQABAD5AAAAlQMAAAAA&#10;" strokecolor="#231f20" strokeweight=".5pt"/>
                <w10:anchorlock/>
              </v:group>
            </w:pict>
          </mc:Fallback>
        </mc:AlternateContent>
      </w:r>
    </w:p>
    <w:p w14:paraId="45778C9A" w14:textId="77777777" w:rsidR="00DE575E" w:rsidRDefault="00DE575E">
      <w:pPr>
        <w:pStyle w:val="BodyText"/>
        <w:spacing w:before="7"/>
        <w:rPr>
          <w:rFonts w:ascii="AdonisC"/>
          <w:i/>
          <w:sz w:val="11"/>
        </w:rPr>
      </w:pPr>
    </w:p>
    <w:p w14:paraId="1659C7FD" w14:textId="77777777" w:rsidR="00DE575E" w:rsidRDefault="002E7560">
      <w:pPr>
        <w:pStyle w:val="BodyText"/>
        <w:spacing w:before="101" w:line="252" w:lineRule="auto"/>
        <w:ind w:left="533" w:right="128"/>
        <w:jc w:val="both"/>
      </w:pPr>
      <w:r>
        <w:rPr>
          <w:color w:val="231F20"/>
        </w:rPr>
        <w:t>заборону виїзду чи обмеження часу виїзду в особистих справах за межі району (міста); обов’язок з’являтися до поліції від одного до чотирьох разів на місяць для реєстрації. Особа, яка порушує зазна- чені обмеження, підлягає адміністративній відповідальності</w:t>
      </w:r>
      <w:r>
        <w:rPr>
          <w:color w:val="231F20"/>
        </w:rPr>
        <w:t xml:space="preserve"> відпо- відно до ст. 187 КпАП України;</w:t>
      </w:r>
    </w:p>
    <w:p w14:paraId="0D59F8CC" w14:textId="77777777" w:rsidR="00DE575E" w:rsidRDefault="002E7560">
      <w:pPr>
        <w:pStyle w:val="ListParagraph"/>
        <w:numPr>
          <w:ilvl w:val="0"/>
          <w:numId w:val="167"/>
        </w:numPr>
        <w:tabs>
          <w:tab w:val="left" w:pos="1101"/>
        </w:tabs>
        <w:spacing w:before="2" w:line="252" w:lineRule="auto"/>
        <w:ind w:right="125" w:firstLine="284"/>
        <w:rPr>
          <w:sz w:val="21"/>
        </w:rPr>
      </w:pPr>
      <w:r>
        <w:rPr>
          <w:i/>
          <w:color w:val="231F20"/>
          <w:sz w:val="21"/>
        </w:rPr>
        <w:t xml:space="preserve">обмеження прав громадян, пов’язаних зі станом їх здоров’я. </w:t>
      </w:r>
      <w:r>
        <w:rPr>
          <w:color w:val="231F20"/>
          <w:sz w:val="21"/>
        </w:rPr>
        <w:t xml:space="preserve">Відповідно до </w:t>
      </w:r>
      <w:r>
        <w:rPr>
          <w:color w:val="231F20"/>
          <w:spacing w:val="-5"/>
          <w:sz w:val="21"/>
        </w:rPr>
        <w:t xml:space="preserve">ст. </w:t>
      </w:r>
      <w:r>
        <w:rPr>
          <w:color w:val="231F20"/>
          <w:sz w:val="21"/>
        </w:rPr>
        <w:t>53 Закону України «Основи законодавства  України про охорону здоров’я» з метою охорони здоров’я насе- лення органи і заклади охорони здоров’я зобов’язані здійснювати спеціальні заходи профілактики та лікування соціально небезпеч- них захворювань (туберкуль</w:t>
      </w:r>
      <w:r>
        <w:rPr>
          <w:color w:val="231F20"/>
          <w:sz w:val="21"/>
        </w:rPr>
        <w:t>оз, психічні, венеричні захворювання, СНІД, лепра, хронічний алкоголізм, наркоманія), а також карантин- них захворювань. Порядок здійснення госпіталізації та лікування таких хворих, зокрема й у примусовому порядку, встановлюється законами</w:t>
      </w:r>
      <w:r>
        <w:rPr>
          <w:color w:val="231F20"/>
          <w:spacing w:val="3"/>
          <w:sz w:val="21"/>
        </w:rPr>
        <w:t xml:space="preserve"> </w:t>
      </w:r>
      <w:r>
        <w:rPr>
          <w:color w:val="231F20"/>
          <w:sz w:val="21"/>
        </w:rPr>
        <w:t>України;</w:t>
      </w:r>
    </w:p>
    <w:p w14:paraId="4FAA7350" w14:textId="77777777" w:rsidR="00DE575E" w:rsidRDefault="002E7560">
      <w:pPr>
        <w:pStyle w:val="ListParagraph"/>
        <w:numPr>
          <w:ilvl w:val="0"/>
          <w:numId w:val="167"/>
        </w:numPr>
        <w:tabs>
          <w:tab w:val="left" w:pos="1101"/>
        </w:tabs>
        <w:spacing w:before="5" w:line="252" w:lineRule="auto"/>
        <w:ind w:right="127" w:firstLine="284"/>
        <w:rPr>
          <w:sz w:val="21"/>
        </w:rPr>
      </w:pPr>
      <w:r>
        <w:rPr>
          <w:i/>
          <w:color w:val="231F20"/>
          <w:sz w:val="21"/>
        </w:rPr>
        <w:t>заходи щ</w:t>
      </w:r>
      <w:r>
        <w:rPr>
          <w:i/>
          <w:color w:val="231F20"/>
          <w:sz w:val="21"/>
        </w:rPr>
        <w:t>одо запобігання домашньому насильству</w:t>
      </w:r>
      <w:r>
        <w:rPr>
          <w:color w:val="231F20"/>
          <w:sz w:val="21"/>
        </w:rPr>
        <w:t xml:space="preserve">. Стаття 27 Закону </w:t>
      </w:r>
      <w:r>
        <w:rPr>
          <w:color w:val="231F20"/>
          <w:spacing w:val="-3"/>
          <w:sz w:val="21"/>
        </w:rPr>
        <w:t xml:space="preserve">України </w:t>
      </w:r>
      <w:r>
        <w:rPr>
          <w:color w:val="231F20"/>
          <w:sz w:val="21"/>
        </w:rPr>
        <w:t xml:space="preserve">«Про запобігання та протидію домашньому насиль- ству» з метою запобігання домашньому насильству передбачає право Національної поліції </w:t>
      </w:r>
      <w:r>
        <w:rPr>
          <w:color w:val="231F20"/>
          <w:spacing w:val="-3"/>
          <w:sz w:val="21"/>
        </w:rPr>
        <w:t xml:space="preserve">України </w:t>
      </w:r>
      <w:r>
        <w:rPr>
          <w:color w:val="231F20"/>
          <w:sz w:val="21"/>
        </w:rPr>
        <w:t xml:space="preserve">брати на профілактичний облік кривдника </w:t>
      </w:r>
      <w:r>
        <w:rPr>
          <w:color w:val="231F20"/>
          <w:spacing w:val="-3"/>
          <w:sz w:val="21"/>
        </w:rPr>
        <w:t xml:space="preserve">(особу, </w:t>
      </w:r>
      <w:r>
        <w:rPr>
          <w:color w:val="231F20"/>
          <w:sz w:val="21"/>
        </w:rPr>
        <w:t>як</w:t>
      </w:r>
      <w:r>
        <w:rPr>
          <w:color w:val="231F20"/>
          <w:sz w:val="21"/>
        </w:rPr>
        <w:t xml:space="preserve">а вчинила домашнє насильство у </w:t>
      </w:r>
      <w:r>
        <w:rPr>
          <w:color w:val="231F20"/>
          <w:spacing w:val="-3"/>
          <w:sz w:val="21"/>
        </w:rPr>
        <w:t xml:space="preserve">будь-якій </w:t>
      </w:r>
      <w:r>
        <w:rPr>
          <w:color w:val="231F20"/>
          <w:sz w:val="21"/>
        </w:rPr>
        <w:t xml:space="preserve">формі) та проводити з ним профілактичну </w:t>
      </w:r>
      <w:r>
        <w:rPr>
          <w:color w:val="231F20"/>
          <w:spacing w:val="-4"/>
          <w:sz w:val="21"/>
        </w:rPr>
        <w:t xml:space="preserve">роботу, </w:t>
      </w:r>
      <w:r>
        <w:rPr>
          <w:color w:val="231F20"/>
          <w:sz w:val="21"/>
        </w:rPr>
        <w:t xml:space="preserve">а </w:t>
      </w:r>
      <w:r>
        <w:rPr>
          <w:color w:val="231F20"/>
          <w:spacing w:val="-6"/>
          <w:sz w:val="21"/>
        </w:rPr>
        <w:t xml:space="preserve">ст. </w:t>
      </w:r>
      <w:r>
        <w:rPr>
          <w:color w:val="231F20"/>
          <w:sz w:val="21"/>
        </w:rPr>
        <w:t xml:space="preserve">28 – направ- ляти кривдника за рішенням </w:t>
      </w:r>
      <w:r>
        <w:rPr>
          <w:color w:val="231F20"/>
          <w:spacing w:val="-4"/>
          <w:sz w:val="21"/>
        </w:rPr>
        <w:t xml:space="preserve">суду </w:t>
      </w:r>
      <w:r>
        <w:rPr>
          <w:color w:val="231F20"/>
          <w:sz w:val="21"/>
        </w:rPr>
        <w:t>на проходження програми для кривдників (від трьох місяців до одного року). Відповідальними за виконання</w:t>
      </w:r>
      <w:r>
        <w:rPr>
          <w:color w:val="231F20"/>
          <w:spacing w:val="-8"/>
          <w:sz w:val="21"/>
        </w:rPr>
        <w:t xml:space="preserve"> </w:t>
      </w:r>
      <w:r>
        <w:rPr>
          <w:color w:val="231F20"/>
          <w:sz w:val="21"/>
        </w:rPr>
        <w:t>програм</w:t>
      </w:r>
      <w:r>
        <w:rPr>
          <w:color w:val="231F20"/>
          <w:spacing w:val="-8"/>
          <w:sz w:val="21"/>
        </w:rPr>
        <w:t xml:space="preserve"> </w:t>
      </w:r>
      <w:r>
        <w:rPr>
          <w:color w:val="231F20"/>
          <w:sz w:val="21"/>
        </w:rPr>
        <w:t>для</w:t>
      </w:r>
      <w:r>
        <w:rPr>
          <w:color w:val="231F20"/>
          <w:spacing w:val="-8"/>
          <w:sz w:val="21"/>
        </w:rPr>
        <w:t xml:space="preserve"> </w:t>
      </w:r>
      <w:r>
        <w:rPr>
          <w:color w:val="231F20"/>
          <w:sz w:val="21"/>
        </w:rPr>
        <w:t>кривдників</w:t>
      </w:r>
      <w:r>
        <w:rPr>
          <w:color w:val="231F20"/>
          <w:spacing w:val="-8"/>
          <w:sz w:val="21"/>
        </w:rPr>
        <w:t xml:space="preserve"> </w:t>
      </w:r>
      <w:r>
        <w:rPr>
          <w:color w:val="231F20"/>
          <w:sz w:val="21"/>
        </w:rPr>
        <w:t>є</w:t>
      </w:r>
      <w:r>
        <w:rPr>
          <w:color w:val="231F20"/>
          <w:spacing w:val="-8"/>
          <w:sz w:val="21"/>
        </w:rPr>
        <w:t xml:space="preserve"> </w:t>
      </w:r>
      <w:r>
        <w:rPr>
          <w:color w:val="231F20"/>
          <w:sz w:val="21"/>
        </w:rPr>
        <w:t>місцеві</w:t>
      </w:r>
      <w:r>
        <w:rPr>
          <w:color w:val="231F20"/>
          <w:spacing w:val="-8"/>
          <w:sz w:val="21"/>
        </w:rPr>
        <w:t xml:space="preserve"> </w:t>
      </w:r>
      <w:r>
        <w:rPr>
          <w:color w:val="231F20"/>
          <w:sz w:val="21"/>
        </w:rPr>
        <w:t>державні</w:t>
      </w:r>
      <w:r>
        <w:rPr>
          <w:color w:val="231F20"/>
          <w:spacing w:val="-8"/>
          <w:sz w:val="21"/>
        </w:rPr>
        <w:t xml:space="preserve"> </w:t>
      </w:r>
      <w:r>
        <w:rPr>
          <w:color w:val="231F20"/>
          <w:sz w:val="21"/>
        </w:rPr>
        <w:t>адміністрації та органи місцевого</w:t>
      </w:r>
      <w:r>
        <w:rPr>
          <w:color w:val="231F20"/>
          <w:spacing w:val="-3"/>
          <w:sz w:val="21"/>
        </w:rPr>
        <w:t xml:space="preserve"> </w:t>
      </w:r>
      <w:r>
        <w:rPr>
          <w:color w:val="231F20"/>
          <w:sz w:val="21"/>
        </w:rPr>
        <w:t>самоврядування.</w:t>
      </w:r>
    </w:p>
    <w:p w14:paraId="5916AFA9" w14:textId="77777777" w:rsidR="00DE575E" w:rsidRDefault="002E7560">
      <w:pPr>
        <w:pStyle w:val="BodyText"/>
        <w:spacing w:before="5" w:line="252" w:lineRule="auto"/>
        <w:ind w:left="533" w:right="127" w:firstLine="283"/>
        <w:jc w:val="both"/>
      </w:pPr>
      <w:r>
        <w:rPr>
          <w:color w:val="231F20"/>
        </w:rPr>
        <w:t>На завершення варто підкреслити, що розглянуте коло адмі- ністративних запобіжних заходів не можна  назвати  вичерпним.  Це – найпоширеніші заходи, запобіжний характер яких сум</w:t>
      </w:r>
      <w:r>
        <w:rPr>
          <w:color w:val="231F20"/>
        </w:rPr>
        <w:t>нівів практично не викликає. Законодавство передбачає можливість застосування і багатьох інших заходів, які також можна вважати адміністративними</w:t>
      </w:r>
      <w:r>
        <w:rPr>
          <w:color w:val="231F20"/>
          <w:spacing w:val="-2"/>
        </w:rPr>
        <w:t xml:space="preserve"> </w:t>
      </w:r>
      <w:r>
        <w:rPr>
          <w:color w:val="231F20"/>
        </w:rPr>
        <w:t>запобіжними.</w:t>
      </w:r>
    </w:p>
    <w:p w14:paraId="565DB9F0" w14:textId="77777777" w:rsidR="00DE575E" w:rsidRDefault="00DE575E">
      <w:pPr>
        <w:pStyle w:val="BodyText"/>
        <w:spacing w:before="3"/>
        <w:rPr>
          <w:sz w:val="22"/>
        </w:rPr>
      </w:pPr>
    </w:p>
    <w:p w14:paraId="64B31A55" w14:textId="77777777" w:rsidR="00DE575E" w:rsidRDefault="002E7560">
      <w:pPr>
        <w:pStyle w:val="Heading5"/>
        <w:numPr>
          <w:ilvl w:val="2"/>
          <w:numId w:val="170"/>
        </w:numPr>
        <w:tabs>
          <w:tab w:val="left" w:pos="1507"/>
        </w:tabs>
        <w:ind w:left="1506"/>
        <w:jc w:val="left"/>
      </w:pPr>
      <w:r>
        <w:rPr>
          <w:color w:val="231F20"/>
          <w:spacing w:val="-4"/>
        </w:rPr>
        <w:t xml:space="preserve">Заходи </w:t>
      </w:r>
      <w:r>
        <w:rPr>
          <w:color w:val="231F20"/>
        </w:rPr>
        <w:t>адміністративного</w:t>
      </w:r>
      <w:r>
        <w:rPr>
          <w:color w:val="231F20"/>
        </w:rPr>
        <w:t xml:space="preserve"> </w:t>
      </w:r>
      <w:r>
        <w:rPr>
          <w:color w:val="231F20"/>
        </w:rPr>
        <w:t>припинення</w:t>
      </w:r>
    </w:p>
    <w:p w14:paraId="4606092B" w14:textId="77777777" w:rsidR="00DE575E" w:rsidRDefault="00DE575E">
      <w:pPr>
        <w:pStyle w:val="BodyText"/>
        <w:spacing w:before="2"/>
        <w:rPr>
          <w:b/>
          <w:sz w:val="23"/>
        </w:rPr>
      </w:pPr>
    </w:p>
    <w:p w14:paraId="709A8BBD" w14:textId="77777777" w:rsidR="00DE575E" w:rsidRDefault="002E7560">
      <w:pPr>
        <w:spacing w:line="252" w:lineRule="auto"/>
        <w:ind w:left="533" w:right="128" w:firstLine="283"/>
        <w:jc w:val="both"/>
        <w:rPr>
          <w:sz w:val="21"/>
        </w:rPr>
      </w:pPr>
      <w:r>
        <w:rPr>
          <w:color w:val="231F20"/>
          <w:spacing w:val="-2"/>
          <w:sz w:val="21"/>
        </w:rPr>
        <w:t xml:space="preserve">Заходи </w:t>
      </w:r>
      <w:r>
        <w:rPr>
          <w:color w:val="231F20"/>
          <w:sz w:val="21"/>
        </w:rPr>
        <w:t xml:space="preserve">адміністративного припинення є найчисленнішими та найрізноманітнішими з усіх  адміністративно-примусових  захо-  дів і характеризуються насамперед тим, що </w:t>
      </w:r>
      <w:r>
        <w:rPr>
          <w:i/>
          <w:color w:val="231F20"/>
          <w:sz w:val="21"/>
        </w:rPr>
        <w:t xml:space="preserve">їх застосування спри- чиняється реальною протиправною (зокрема </w:t>
      </w:r>
      <w:r>
        <w:rPr>
          <w:i/>
          <w:color w:val="231F20"/>
          <w:spacing w:val="-3"/>
          <w:sz w:val="21"/>
        </w:rPr>
        <w:t xml:space="preserve">об’єктивно </w:t>
      </w:r>
      <w:r>
        <w:rPr>
          <w:i/>
          <w:color w:val="231F20"/>
          <w:sz w:val="21"/>
        </w:rPr>
        <w:t>проти- правною)</w:t>
      </w:r>
      <w:r>
        <w:rPr>
          <w:i/>
          <w:color w:val="231F20"/>
          <w:spacing w:val="13"/>
          <w:sz w:val="21"/>
        </w:rPr>
        <w:t xml:space="preserve"> </w:t>
      </w:r>
      <w:r>
        <w:rPr>
          <w:i/>
          <w:color w:val="231F20"/>
          <w:sz w:val="21"/>
        </w:rPr>
        <w:t>ситуацією</w:t>
      </w:r>
      <w:r>
        <w:rPr>
          <w:i/>
          <w:color w:val="231F20"/>
          <w:spacing w:val="13"/>
          <w:sz w:val="21"/>
        </w:rPr>
        <w:t xml:space="preserve"> </w:t>
      </w:r>
      <w:r>
        <w:rPr>
          <w:color w:val="231F20"/>
          <w:sz w:val="21"/>
        </w:rPr>
        <w:t>і</w:t>
      </w:r>
      <w:r>
        <w:rPr>
          <w:color w:val="231F20"/>
          <w:spacing w:val="13"/>
          <w:sz w:val="21"/>
        </w:rPr>
        <w:t xml:space="preserve"> </w:t>
      </w:r>
      <w:r>
        <w:rPr>
          <w:color w:val="231F20"/>
          <w:sz w:val="21"/>
        </w:rPr>
        <w:t>починається</w:t>
      </w:r>
      <w:r>
        <w:rPr>
          <w:color w:val="231F20"/>
          <w:spacing w:val="13"/>
          <w:sz w:val="21"/>
        </w:rPr>
        <w:t xml:space="preserve"> </w:t>
      </w:r>
      <w:r>
        <w:rPr>
          <w:color w:val="231F20"/>
          <w:sz w:val="21"/>
        </w:rPr>
        <w:t>в</w:t>
      </w:r>
      <w:r>
        <w:rPr>
          <w:color w:val="231F20"/>
          <w:spacing w:val="12"/>
          <w:sz w:val="21"/>
        </w:rPr>
        <w:t xml:space="preserve"> </w:t>
      </w:r>
      <w:r>
        <w:rPr>
          <w:color w:val="231F20"/>
          <w:spacing w:val="-3"/>
          <w:sz w:val="21"/>
        </w:rPr>
        <w:t>момент,</w:t>
      </w:r>
      <w:r>
        <w:rPr>
          <w:color w:val="231F20"/>
          <w:spacing w:val="16"/>
          <w:sz w:val="21"/>
        </w:rPr>
        <w:t xml:space="preserve"> </w:t>
      </w:r>
      <w:r>
        <w:rPr>
          <w:color w:val="231F20"/>
          <w:sz w:val="21"/>
        </w:rPr>
        <w:t>коли</w:t>
      </w:r>
      <w:r>
        <w:rPr>
          <w:color w:val="231F20"/>
          <w:spacing w:val="13"/>
          <w:sz w:val="21"/>
        </w:rPr>
        <w:t xml:space="preserve"> </w:t>
      </w:r>
      <w:r>
        <w:rPr>
          <w:color w:val="231F20"/>
          <w:sz w:val="21"/>
        </w:rPr>
        <w:t>вона</w:t>
      </w:r>
      <w:r>
        <w:rPr>
          <w:color w:val="231F20"/>
          <w:spacing w:val="13"/>
          <w:sz w:val="21"/>
        </w:rPr>
        <w:t xml:space="preserve"> </w:t>
      </w:r>
      <w:r>
        <w:rPr>
          <w:color w:val="231F20"/>
          <w:spacing w:val="-3"/>
          <w:sz w:val="21"/>
        </w:rPr>
        <w:t>досягла</w:t>
      </w:r>
    </w:p>
    <w:p w14:paraId="73EFB8AF" w14:textId="77777777" w:rsidR="00DE575E" w:rsidRDefault="00DE575E">
      <w:pPr>
        <w:pStyle w:val="BodyText"/>
        <w:spacing w:before="8"/>
        <w:rPr>
          <w:sz w:val="12"/>
        </w:rPr>
      </w:pPr>
    </w:p>
    <w:p w14:paraId="4E8D087C" w14:textId="77777777" w:rsidR="00DE575E" w:rsidRDefault="002E7560">
      <w:pPr>
        <w:spacing w:before="92"/>
        <w:ind w:left="533"/>
        <w:rPr>
          <w:rFonts w:ascii="Times New Roman"/>
          <w:sz w:val="20"/>
        </w:rPr>
      </w:pPr>
      <w:r>
        <w:rPr>
          <w:rFonts w:ascii="Times New Roman"/>
          <w:color w:val="231F20"/>
          <w:sz w:val="20"/>
        </w:rPr>
        <w:t>264</w:t>
      </w:r>
    </w:p>
    <w:p w14:paraId="138B6114" w14:textId="77777777" w:rsidR="00DE575E" w:rsidRDefault="00DE575E">
      <w:pPr>
        <w:rPr>
          <w:rFonts w:ascii="Times New Roman"/>
          <w:sz w:val="20"/>
        </w:rPr>
        <w:sectPr w:rsidR="00DE575E">
          <w:pgSz w:w="8510" w:h="12760"/>
          <w:pgMar w:top="660" w:right="720" w:bottom="280" w:left="600" w:header="720" w:footer="720" w:gutter="0"/>
          <w:cols w:space="720"/>
        </w:sectPr>
      </w:pPr>
    </w:p>
    <w:p w14:paraId="6518028C"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5269D3C" w14:textId="0A3AB0D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54C872" wp14:editId="1EBB15A9">
                <wp:extent cx="4140200" cy="6350"/>
                <wp:effectExtent l="0" t="0" r="12700" b="6350"/>
                <wp:docPr id="741"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42" name="Line 7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BC6238" id="Group_x0020_7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0rnFPn4CAACYBQAADgAA&#10;AAAAAAAAAAAAAAAsAgAAZHJzL2Uyb0RvYy54bWxQSwECLQAUAAYACAAAACEATKewkNkAAAADAQAA&#10;DwAAAAAAAAAAAAAAAADWBAAAZHJzL2Rvd25yZXYueG1sUEsFBgAAAAAEAAQA8wAAANwFAAAAAA==&#10;">
                <v:line id="Line_x0020_7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sJocYAAADcAAAADwAAAGRycy9kb3ducmV2LnhtbESP0WrCQBRE3wX/YblCX4pu1KISXUUK&#10;hdIHbY0fcM1ek+Du3ZhdTdqv7xYKPg4zc4ZZbTprxJ0aXzlWMB4lIIhzpysuFByzt+EChA/IGo1j&#10;UvBNHjbrfm+FqXYtf9H9EAoRIexTVFCGUKdS+rwki37kauLonV1jMUTZFFI32Ea4NXKSJDNpseK4&#10;UGJNryXll8PNKsiuz8F87j9Mm+1PU3m67qY/t51ST4NuuwQRqAuP8H/7XSuYv0z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g7CaHGAAAA3AAAAA8AAAAAAAAA&#10;AAAAAAAAoQIAAGRycy9kb3ducmV2LnhtbFBLBQYAAAAABAAEAPkAAACUAwAAAAA=&#10;" strokecolor="#231f20" strokeweight=".5pt"/>
                <w10:anchorlock/>
              </v:group>
            </w:pict>
          </mc:Fallback>
        </mc:AlternateContent>
      </w:r>
    </w:p>
    <w:p w14:paraId="156AE19D" w14:textId="77777777" w:rsidR="00DE575E" w:rsidRDefault="00DE575E">
      <w:pPr>
        <w:pStyle w:val="BodyText"/>
        <w:spacing w:before="7"/>
        <w:rPr>
          <w:rFonts w:ascii="AdonisC"/>
          <w:i/>
          <w:sz w:val="19"/>
        </w:rPr>
      </w:pPr>
    </w:p>
    <w:p w14:paraId="405DFD35" w14:textId="77777777" w:rsidR="00DE575E" w:rsidRDefault="002E7560">
      <w:pPr>
        <w:spacing w:before="1" w:line="252" w:lineRule="auto"/>
        <w:ind w:left="250" w:right="410"/>
        <w:jc w:val="both"/>
        <w:rPr>
          <w:sz w:val="21"/>
        </w:rPr>
      </w:pPr>
      <w:r>
        <w:rPr>
          <w:color w:val="231F20"/>
          <w:sz w:val="21"/>
        </w:rPr>
        <w:t xml:space="preserve">певного </w:t>
      </w:r>
      <w:r>
        <w:rPr>
          <w:color w:val="231F20"/>
          <w:spacing w:val="-3"/>
          <w:sz w:val="21"/>
        </w:rPr>
        <w:t xml:space="preserve">розвитку, </w:t>
      </w:r>
      <w:r>
        <w:rPr>
          <w:color w:val="231F20"/>
          <w:sz w:val="21"/>
        </w:rPr>
        <w:t xml:space="preserve">тобто коли використання запобіжних заходів стає вже неефективним або й зовсім марним. </w:t>
      </w:r>
      <w:r>
        <w:rPr>
          <w:color w:val="231F20"/>
          <w:spacing w:val="-2"/>
          <w:sz w:val="21"/>
        </w:rPr>
        <w:t xml:space="preserve">Заходи </w:t>
      </w:r>
      <w:r>
        <w:rPr>
          <w:color w:val="231F20"/>
          <w:sz w:val="21"/>
        </w:rPr>
        <w:t xml:space="preserve">адміністра- тивного припинення </w:t>
      </w:r>
      <w:r>
        <w:rPr>
          <w:i/>
          <w:color w:val="231F20"/>
          <w:sz w:val="21"/>
        </w:rPr>
        <w:t xml:space="preserve">не відвертають, а безпосередньо припиняють наявні правопорушення або </w:t>
      </w:r>
      <w:r>
        <w:rPr>
          <w:i/>
          <w:color w:val="231F20"/>
          <w:spacing w:val="-3"/>
          <w:sz w:val="21"/>
        </w:rPr>
        <w:t xml:space="preserve">об’єктивно </w:t>
      </w:r>
      <w:r>
        <w:rPr>
          <w:i/>
          <w:color w:val="231F20"/>
          <w:sz w:val="21"/>
        </w:rPr>
        <w:t xml:space="preserve">протиправні діяння, </w:t>
      </w:r>
      <w:r>
        <w:rPr>
          <w:color w:val="231F20"/>
          <w:sz w:val="21"/>
        </w:rPr>
        <w:t>створю- ють умови для встановлення особи порушника, з’ясування обста- вин справи й реальної можливості для подальшого застосування до порушника заходів адміністративного або іншого</w:t>
      </w:r>
      <w:r>
        <w:rPr>
          <w:color w:val="231F20"/>
          <w:spacing w:val="-9"/>
          <w:sz w:val="21"/>
        </w:rPr>
        <w:t xml:space="preserve"> </w:t>
      </w:r>
      <w:r>
        <w:rPr>
          <w:color w:val="231F20"/>
          <w:spacing w:val="-3"/>
          <w:sz w:val="21"/>
        </w:rPr>
        <w:t>впливу.</w:t>
      </w:r>
    </w:p>
    <w:p w14:paraId="70C7A46E" w14:textId="77777777" w:rsidR="00DE575E" w:rsidRDefault="002E7560">
      <w:pPr>
        <w:spacing w:before="3" w:line="252" w:lineRule="auto"/>
        <w:ind w:left="250" w:right="410" w:firstLine="283"/>
        <w:jc w:val="both"/>
        <w:rPr>
          <w:sz w:val="21"/>
        </w:rPr>
      </w:pPr>
      <w:r>
        <w:rPr>
          <w:color w:val="231F20"/>
          <w:sz w:val="21"/>
        </w:rPr>
        <w:t>На відміну від адміністративних стяг</w:t>
      </w:r>
      <w:r>
        <w:rPr>
          <w:color w:val="231F20"/>
          <w:sz w:val="21"/>
        </w:rPr>
        <w:t xml:space="preserve">нень, </w:t>
      </w:r>
      <w:r>
        <w:rPr>
          <w:color w:val="231F20"/>
          <w:spacing w:val="-2"/>
          <w:sz w:val="21"/>
        </w:rPr>
        <w:t xml:space="preserve">заходи </w:t>
      </w:r>
      <w:r>
        <w:rPr>
          <w:color w:val="231F20"/>
          <w:sz w:val="21"/>
        </w:rPr>
        <w:t>адміністратив- ного</w:t>
      </w:r>
      <w:r>
        <w:rPr>
          <w:color w:val="231F20"/>
          <w:spacing w:val="-21"/>
          <w:sz w:val="21"/>
        </w:rPr>
        <w:t xml:space="preserve"> </w:t>
      </w:r>
      <w:r>
        <w:rPr>
          <w:color w:val="231F20"/>
          <w:sz w:val="21"/>
        </w:rPr>
        <w:t>припинення</w:t>
      </w:r>
      <w:r>
        <w:rPr>
          <w:color w:val="231F20"/>
          <w:spacing w:val="-21"/>
          <w:sz w:val="21"/>
        </w:rPr>
        <w:t xml:space="preserve"> </w:t>
      </w:r>
      <w:r>
        <w:rPr>
          <w:i/>
          <w:color w:val="231F20"/>
          <w:sz w:val="21"/>
        </w:rPr>
        <w:t>не</w:t>
      </w:r>
      <w:r>
        <w:rPr>
          <w:i/>
          <w:color w:val="231F20"/>
          <w:spacing w:val="-21"/>
          <w:sz w:val="21"/>
        </w:rPr>
        <w:t xml:space="preserve"> </w:t>
      </w:r>
      <w:r>
        <w:rPr>
          <w:i/>
          <w:color w:val="231F20"/>
          <w:sz w:val="21"/>
        </w:rPr>
        <w:t>містять</w:t>
      </w:r>
      <w:r>
        <w:rPr>
          <w:i/>
          <w:color w:val="231F20"/>
          <w:spacing w:val="-21"/>
          <w:sz w:val="21"/>
        </w:rPr>
        <w:t xml:space="preserve"> </w:t>
      </w:r>
      <w:r>
        <w:rPr>
          <w:i/>
          <w:color w:val="231F20"/>
          <w:sz w:val="21"/>
        </w:rPr>
        <w:t>елемента</w:t>
      </w:r>
      <w:r>
        <w:rPr>
          <w:i/>
          <w:color w:val="231F20"/>
          <w:spacing w:val="-21"/>
          <w:sz w:val="21"/>
        </w:rPr>
        <w:t xml:space="preserve"> </w:t>
      </w:r>
      <w:r>
        <w:rPr>
          <w:i/>
          <w:color w:val="231F20"/>
          <w:sz w:val="21"/>
        </w:rPr>
        <w:t>покарання</w:t>
      </w:r>
      <w:r>
        <w:rPr>
          <w:i/>
          <w:color w:val="231F20"/>
          <w:spacing w:val="-21"/>
          <w:sz w:val="21"/>
        </w:rPr>
        <w:t xml:space="preserve"> </w:t>
      </w:r>
      <w:r>
        <w:rPr>
          <w:i/>
          <w:color w:val="231F20"/>
          <w:sz w:val="21"/>
        </w:rPr>
        <w:t>особи,</w:t>
      </w:r>
      <w:r>
        <w:rPr>
          <w:i/>
          <w:color w:val="231F20"/>
          <w:spacing w:val="-21"/>
          <w:sz w:val="21"/>
        </w:rPr>
        <w:t xml:space="preserve"> </w:t>
      </w:r>
      <w:r>
        <w:rPr>
          <w:color w:val="231F20"/>
          <w:sz w:val="21"/>
        </w:rPr>
        <w:t>до</w:t>
      </w:r>
      <w:r>
        <w:rPr>
          <w:color w:val="231F20"/>
          <w:spacing w:val="-21"/>
          <w:sz w:val="21"/>
        </w:rPr>
        <w:t xml:space="preserve"> </w:t>
      </w:r>
      <w:r>
        <w:rPr>
          <w:color w:val="231F20"/>
          <w:sz w:val="21"/>
        </w:rPr>
        <w:t>якої</w:t>
      </w:r>
      <w:r>
        <w:rPr>
          <w:color w:val="231F20"/>
          <w:spacing w:val="-21"/>
          <w:sz w:val="21"/>
        </w:rPr>
        <w:t xml:space="preserve"> </w:t>
      </w:r>
      <w:r>
        <w:rPr>
          <w:color w:val="231F20"/>
          <w:sz w:val="21"/>
        </w:rPr>
        <w:t xml:space="preserve">вони застосовуються. Виконуючи поряд із виховною каральну функцію, адміністративне стягнення за своєю дією в часі звернене в минуле, є ретроспективним. </w:t>
      </w:r>
      <w:r>
        <w:rPr>
          <w:color w:val="231F20"/>
          <w:spacing w:val="-2"/>
          <w:sz w:val="21"/>
        </w:rPr>
        <w:t xml:space="preserve">Заходи </w:t>
      </w:r>
      <w:r>
        <w:rPr>
          <w:color w:val="231F20"/>
          <w:sz w:val="21"/>
        </w:rPr>
        <w:t>ж адміні</w:t>
      </w:r>
      <w:r>
        <w:rPr>
          <w:color w:val="231F20"/>
          <w:sz w:val="21"/>
        </w:rPr>
        <w:t xml:space="preserve">стративного припинення, як правило, </w:t>
      </w:r>
      <w:r>
        <w:rPr>
          <w:i/>
          <w:color w:val="231F20"/>
          <w:sz w:val="21"/>
        </w:rPr>
        <w:t>спрямовані в сьогодення і тому здатні самостійно й опера- тивно вирішувати конфліктну ситуацію, зокрема примусово припи- няти</w:t>
      </w:r>
      <w:r>
        <w:rPr>
          <w:i/>
          <w:color w:val="231F20"/>
          <w:spacing w:val="-9"/>
          <w:sz w:val="21"/>
        </w:rPr>
        <w:t xml:space="preserve"> </w:t>
      </w:r>
      <w:r>
        <w:rPr>
          <w:i/>
          <w:color w:val="231F20"/>
          <w:sz w:val="21"/>
        </w:rPr>
        <w:t>правопорушення.</w:t>
      </w:r>
      <w:r>
        <w:rPr>
          <w:i/>
          <w:color w:val="231F20"/>
          <w:spacing w:val="-8"/>
          <w:sz w:val="21"/>
        </w:rPr>
        <w:t xml:space="preserve"> </w:t>
      </w:r>
      <w:r>
        <w:rPr>
          <w:color w:val="231F20"/>
          <w:sz w:val="21"/>
        </w:rPr>
        <w:t>Вони</w:t>
      </w:r>
      <w:r>
        <w:rPr>
          <w:color w:val="231F20"/>
          <w:spacing w:val="-9"/>
          <w:sz w:val="21"/>
        </w:rPr>
        <w:t xml:space="preserve"> </w:t>
      </w:r>
      <w:r>
        <w:rPr>
          <w:color w:val="231F20"/>
          <w:sz w:val="21"/>
        </w:rPr>
        <w:t>можуть</w:t>
      </w:r>
      <w:r>
        <w:rPr>
          <w:color w:val="231F20"/>
          <w:spacing w:val="-9"/>
          <w:sz w:val="21"/>
        </w:rPr>
        <w:t xml:space="preserve"> </w:t>
      </w:r>
      <w:r>
        <w:rPr>
          <w:color w:val="231F20"/>
          <w:sz w:val="21"/>
        </w:rPr>
        <w:t>також</w:t>
      </w:r>
      <w:r>
        <w:rPr>
          <w:color w:val="231F20"/>
          <w:spacing w:val="-8"/>
          <w:sz w:val="21"/>
        </w:rPr>
        <w:t xml:space="preserve"> </w:t>
      </w:r>
      <w:r>
        <w:rPr>
          <w:color w:val="231F20"/>
          <w:sz w:val="21"/>
        </w:rPr>
        <w:t>забезпечувати</w:t>
      </w:r>
      <w:r>
        <w:rPr>
          <w:color w:val="231F20"/>
          <w:spacing w:val="-9"/>
          <w:sz w:val="21"/>
        </w:rPr>
        <w:t xml:space="preserve"> </w:t>
      </w:r>
      <w:r>
        <w:rPr>
          <w:color w:val="231F20"/>
          <w:sz w:val="21"/>
        </w:rPr>
        <w:t>умови</w:t>
      </w:r>
      <w:r>
        <w:rPr>
          <w:color w:val="231F20"/>
          <w:spacing w:val="-9"/>
          <w:sz w:val="21"/>
        </w:rPr>
        <w:t xml:space="preserve"> </w:t>
      </w:r>
      <w:r>
        <w:rPr>
          <w:color w:val="231F20"/>
          <w:sz w:val="21"/>
        </w:rPr>
        <w:t>для подальшого</w:t>
      </w:r>
      <w:r>
        <w:rPr>
          <w:color w:val="231F20"/>
          <w:spacing w:val="-9"/>
          <w:sz w:val="21"/>
        </w:rPr>
        <w:t xml:space="preserve"> </w:t>
      </w:r>
      <w:r>
        <w:rPr>
          <w:color w:val="231F20"/>
          <w:sz w:val="21"/>
        </w:rPr>
        <w:t>застосування</w:t>
      </w:r>
      <w:r>
        <w:rPr>
          <w:color w:val="231F20"/>
          <w:spacing w:val="-9"/>
          <w:sz w:val="21"/>
        </w:rPr>
        <w:t xml:space="preserve"> </w:t>
      </w:r>
      <w:r>
        <w:rPr>
          <w:color w:val="231F20"/>
          <w:sz w:val="21"/>
        </w:rPr>
        <w:t>заходів</w:t>
      </w:r>
      <w:r>
        <w:rPr>
          <w:color w:val="231F20"/>
          <w:spacing w:val="-9"/>
          <w:sz w:val="21"/>
        </w:rPr>
        <w:t xml:space="preserve"> </w:t>
      </w:r>
      <w:r>
        <w:rPr>
          <w:color w:val="231F20"/>
          <w:sz w:val="21"/>
        </w:rPr>
        <w:t>відповідальності</w:t>
      </w:r>
      <w:r>
        <w:rPr>
          <w:color w:val="231F20"/>
          <w:spacing w:val="-9"/>
          <w:sz w:val="21"/>
        </w:rPr>
        <w:t xml:space="preserve"> </w:t>
      </w:r>
      <w:r>
        <w:rPr>
          <w:color w:val="231F20"/>
          <w:sz w:val="21"/>
        </w:rPr>
        <w:t>до</w:t>
      </w:r>
      <w:r>
        <w:rPr>
          <w:color w:val="231F20"/>
          <w:spacing w:val="-9"/>
          <w:sz w:val="21"/>
        </w:rPr>
        <w:t xml:space="preserve"> </w:t>
      </w:r>
      <w:r>
        <w:rPr>
          <w:color w:val="231F20"/>
          <w:sz w:val="21"/>
        </w:rPr>
        <w:t>винних.</w:t>
      </w:r>
      <w:r>
        <w:rPr>
          <w:color w:val="231F20"/>
          <w:spacing w:val="-9"/>
          <w:sz w:val="21"/>
        </w:rPr>
        <w:t xml:space="preserve"> </w:t>
      </w:r>
      <w:r>
        <w:rPr>
          <w:color w:val="231F20"/>
          <w:sz w:val="21"/>
        </w:rPr>
        <w:t xml:space="preserve">Часто </w:t>
      </w:r>
      <w:r>
        <w:rPr>
          <w:color w:val="231F20"/>
          <w:spacing w:val="-2"/>
          <w:sz w:val="21"/>
        </w:rPr>
        <w:t xml:space="preserve">заходи </w:t>
      </w:r>
      <w:r>
        <w:rPr>
          <w:color w:val="231F20"/>
          <w:sz w:val="21"/>
        </w:rPr>
        <w:t xml:space="preserve">припинення використовуються і для протидії </w:t>
      </w:r>
      <w:r>
        <w:rPr>
          <w:color w:val="231F20"/>
          <w:spacing w:val="-3"/>
          <w:sz w:val="21"/>
        </w:rPr>
        <w:t xml:space="preserve">об’єктивно </w:t>
      </w:r>
      <w:r>
        <w:rPr>
          <w:color w:val="231F20"/>
          <w:sz w:val="21"/>
        </w:rPr>
        <w:t xml:space="preserve">протиправним діянням душевнохворих і малолітніх, тобто осіб, які не підлягають юридичній відповідальності. </w:t>
      </w:r>
      <w:r>
        <w:rPr>
          <w:color w:val="231F20"/>
          <w:spacing w:val="-2"/>
          <w:sz w:val="21"/>
        </w:rPr>
        <w:t xml:space="preserve">Заходи </w:t>
      </w:r>
      <w:r>
        <w:rPr>
          <w:color w:val="231F20"/>
          <w:sz w:val="21"/>
        </w:rPr>
        <w:t xml:space="preserve">адміністратив- ного припинення </w:t>
      </w:r>
      <w:r>
        <w:rPr>
          <w:i/>
          <w:color w:val="231F20"/>
          <w:sz w:val="21"/>
        </w:rPr>
        <w:t>не потребують ус</w:t>
      </w:r>
      <w:r>
        <w:rPr>
          <w:i/>
          <w:color w:val="231F20"/>
          <w:sz w:val="21"/>
        </w:rPr>
        <w:t xml:space="preserve">тановлення вини порушника </w:t>
      </w:r>
      <w:r>
        <w:rPr>
          <w:color w:val="231F20"/>
          <w:sz w:val="21"/>
        </w:rPr>
        <w:t>як обов’язкової умови</w:t>
      </w:r>
      <w:r>
        <w:rPr>
          <w:color w:val="231F20"/>
          <w:spacing w:val="-2"/>
          <w:sz w:val="21"/>
        </w:rPr>
        <w:t xml:space="preserve"> </w:t>
      </w:r>
      <w:r>
        <w:rPr>
          <w:color w:val="231F20"/>
          <w:sz w:val="21"/>
        </w:rPr>
        <w:t>застосування.</w:t>
      </w:r>
    </w:p>
    <w:p w14:paraId="35FC096C" w14:textId="77777777" w:rsidR="00DE575E" w:rsidRDefault="002E7560">
      <w:pPr>
        <w:pStyle w:val="Heading6"/>
        <w:spacing w:before="7" w:line="252" w:lineRule="auto"/>
        <w:ind w:left="250" w:right="409"/>
        <w:jc w:val="both"/>
      </w:pPr>
      <w:r>
        <w:rPr>
          <w:i w:val="0"/>
          <w:color w:val="231F20"/>
        </w:rPr>
        <w:t>Отже,</w:t>
      </w:r>
      <w:r>
        <w:rPr>
          <w:i w:val="0"/>
          <w:color w:val="231F20"/>
          <w:spacing w:val="-18"/>
        </w:rPr>
        <w:t xml:space="preserve"> </w:t>
      </w:r>
      <w:r>
        <w:rPr>
          <w:i w:val="0"/>
          <w:color w:val="231F20"/>
          <w:spacing w:val="-4"/>
        </w:rPr>
        <w:t>заходи</w:t>
      </w:r>
      <w:r>
        <w:rPr>
          <w:i w:val="0"/>
          <w:color w:val="231F20"/>
          <w:spacing w:val="-18"/>
        </w:rPr>
        <w:t xml:space="preserve"> </w:t>
      </w:r>
      <w:r>
        <w:rPr>
          <w:i w:val="0"/>
          <w:color w:val="231F20"/>
        </w:rPr>
        <w:t>адміністративного</w:t>
      </w:r>
      <w:r>
        <w:rPr>
          <w:i w:val="0"/>
          <w:color w:val="231F20"/>
          <w:spacing w:val="-18"/>
        </w:rPr>
        <w:t xml:space="preserve"> </w:t>
      </w:r>
      <w:r>
        <w:rPr>
          <w:i w:val="0"/>
          <w:color w:val="231F20"/>
        </w:rPr>
        <w:t>припинення</w:t>
      </w:r>
      <w:r>
        <w:rPr>
          <w:i w:val="0"/>
          <w:color w:val="231F20"/>
          <w:spacing w:val="-18"/>
        </w:rPr>
        <w:t xml:space="preserve"> </w:t>
      </w:r>
      <w:r>
        <w:rPr>
          <w:i w:val="0"/>
          <w:color w:val="231F20"/>
        </w:rPr>
        <w:t>–</w:t>
      </w:r>
      <w:r>
        <w:rPr>
          <w:i w:val="0"/>
          <w:color w:val="231F20"/>
          <w:spacing w:val="-18"/>
        </w:rPr>
        <w:t xml:space="preserve"> </w:t>
      </w:r>
      <w:r>
        <w:rPr>
          <w:color w:val="231F20"/>
        </w:rPr>
        <w:t>це</w:t>
      </w:r>
      <w:r>
        <w:rPr>
          <w:color w:val="231F20"/>
          <w:spacing w:val="-18"/>
        </w:rPr>
        <w:t xml:space="preserve"> </w:t>
      </w:r>
      <w:r>
        <w:rPr>
          <w:color w:val="231F20"/>
        </w:rPr>
        <w:t>засновані</w:t>
      </w:r>
      <w:r>
        <w:rPr>
          <w:color w:val="231F20"/>
          <w:spacing w:val="-18"/>
        </w:rPr>
        <w:t xml:space="preserve"> </w:t>
      </w:r>
      <w:r>
        <w:rPr>
          <w:color w:val="231F20"/>
        </w:rPr>
        <w:t xml:space="preserve">на </w:t>
      </w:r>
      <w:r>
        <w:rPr>
          <w:color w:val="231F20"/>
        </w:rPr>
        <w:t xml:space="preserve">законі засоби примусового переривання (припинення) діянь, які мають ознаки адміністративного правопорушення, а в окре- мих випадках – </w:t>
      </w:r>
      <w:r>
        <w:rPr>
          <w:color w:val="231F20"/>
        </w:rPr>
        <w:t>кримінально-правовий характер, спрямовані  на недопущення шкідливих наслідків протиправної поведінки, забезпечення провадження в справах про адміністративні правопорушення і притягнення  винних  до  адміністративної, а у виняткових випадках – до кримінальн</w:t>
      </w:r>
      <w:r>
        <w:rPr>
          <w:color w:val="231F20"/>
        </w:rPr>
        <w:t>ої</w:t>
      </w:r>
      <w:r>
        <w:rPr>
          <w:color w:val="231F20"/>
          <w:spacing w:val="-28"/>
        </w:rPr>
        <w:t xml:space="preserve"> </w:t>
      </w:r>
      <w:r>
        <w:rPr>
          <w:color w:val="231F20"/>
        </w:rPr>
        <w:t>відповідальності.</w:t>
      </w:r>
    </w:p>
    <w:p w14:paraId="210238A5" w14:textId="77777777" w:rsidR="00DE575E" w:rsidRDefault="002E7560">
      <w:pPr>
        <w:spacing w:before="4"/>
        <w:ind w:left="533"/>
        <w:rPr>
          <w:b/>
          <w:sz w:val="21"/>
        </w:rPr>
      </w:pPr>
      <w:r>
        <w:rPr>
          <w:color w:val="231F20"/>
          <w:sz w:val="21"/>
        </w:rPr>
        <w:t xml:space="preserve">Заходи адміністративного припинення </w:t>
      </w:r>
      <w:r>
        <w:rPr>
          <w:i/>
          <w:color w:val="231F20"/>
          <w:sz w:val="21"/>
        </w:rPr>
        <w:t>застосовуються з метою</w:t>
      </w:r>
      <w:r>
        <w:rPr>
          <w:b/>
          <w:color w:val="231F20"/>
          <w:sz w:val="21"/>
        </w:rPr>
        <w:t>:</w:t>
      </w:r>
    </w:p>
    <w:p w14:paraId="6D43E58F" w14:textId="77777777" w:rsidR="00DE575E" w:rsidRDefault="002E7560">
      <w:pPr>
        <w:pStyle w:val="BodyText"/>
        <w:spacing w:before="13" w:line="252" w:lineRule="auto"/>
        <w:ind w:left="250" w:right="412" w:firstLine="283"/>
        <w:jc w:val="both"/>
      </w:pPr>
      <w:r>
        <w:rPr>
          <w:color w:val="231F20"/>
        </w:rPr>
        <w:t>а) припинення порушень правових норм (адміністративних проступків, злочинів і об’єктивно протиправних діянь);</w:t>
      </w:r>
    </w:p>
    <w:p w14:paraId="60CA940F" w14:textId="77777777" w:rsidR="00DE575E" w:rsidRDefault="002E7560">
      <w:pPr>
        <w:pStyle w:val="BodyText"/>
        <w:spacing w:before="1"/>
        <w:ind w:left="533"/>
      </w:pPr>
      <w:r>
        <w:rPr>
          <w:color w:val="231F20"/>
        </w:rPr>
        <w:t>б) запобігання вчиненню нових правопорушень;</w:t>
      </w:r>
    </w:p>
    <w:p w14:paraId="569F000E" w14:textId="77777777" w:rsidR="00DE575E" w:rsidRDefault="002E7560">
      <w:pPr>
        <w:pStyle w:val="BodyText"/>
        <w:spacing w:before="13" w:line="252" w:lineRule="auto"/>
        <w:ind w:left="250" w:right="411" w:firstLine="283"/>
        <w:jc w:val="both"/>
      </w:pPr>
      <w:r>
        <w:rPr>
          <w:color w:val="231F20"/>
        </w:rPr>
        <w:t>в) створення умов для подальшого притягнення винних до відповідальності;</w:t>
      </w:r>
    </w:p>
    <w:p w14:paraId="2CD1F58D" w14:textId="77777777" w:rsidR="00DE575E" w:rsidRDefault="002E7560">
      <w:pPr>
        <w:pStyle w:val="BodyText"/>
        <w:spacing w:before="1" w:line="252" w:lineRule="auto"/>
        <w:ind w:left="533" w:right="1663"/>
      </w:pPr>
      <w:r>
        <w:rPr>
          <w:color w:val="231F20"/>
        </w:rPr>
        <w:t>г) усунення шкідливих наслідків правопорушення; д) відновлення попереднього, правомірного стану.</w:t>
      </w:r>
    </w:p>
    <w:p w14:paraId="0DC5DB3F" w14:textId="77777777" w:rsidR="00DE575E" w:rsidRDefault="002E7560">
      <w:pPr>
        <w:pStyle w:val="BodyText"/>
        <w:spacing w:before="1" w:line="252" w:lineRule="auto"/>
        <w:ind w:left="250" w:right="411" w:firstLine="283"/>
        <w:jc w:val="both"/>
      </w:pPr>
      <w:r>
        <w:rPr>
          <w:color w:val="231F20"/>
        </w:rPr>
        <w:t>Заходи адміністративного припинення дуже неоднорідні, відріз- няються  один  від  одно</w:t>
      </w:r>
      <w:r>
        <w:rPr>
          <w:color w:val="231F20"/>
        </w:rPr>
        <w:t>го  за  багатьма  ознаками.  Проте  основну</w:t>
      </w:r>
    </w:p>
    <w:p w14:paraId="7A78BC20" w14:textId="77777777" w:rsidR="00DE575E" w:rsidRDefault="00DE575E">
      <w:pPr>
        <w:pStyle w:val="BodyText"/>
        <w:spacing w:before="5"/>
        <w:rPr>
          <w:sz w:val="12"/>
        </w:rPr>
      </w:pPr>
    </w:p>
    <w:p w14:paraId="04D61954" w14:textId="77777777" w:rsidR="00DE575E" w:rsidRDefault="002E7560">
      <w:pPr>
        <w:spacing w:before="92"/>
        <w:ind w:right="411"/>
        <w:jc w:val="right"/>
        <w:rPr>
          <w:rFonts w:ascii="Times New Roman"/>
          <w:sz w:val="20"/>
        </w:rPr>
      </w:pPr>
      <w:r>
        <w:rPr>
          <w:rFonts w:ascii="Times New Roman"/>
          <w:color w:val="231F20"/>
          <w:w w:val="90"/>
          <w:sz w:val="20"/>
        </w:rPr>
        <w:t>265</w:t>
      </w:r>
    </w:p>
    <w:p w14:paraId="24966F2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A33EC0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4F200AF" w14:textId="543482F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250D0D2" wp14:editId="2C91108C">
                <wp:extent cx="4140200" cy="6350"/>
                <wp:effectExtent l="0" t="0" r="12700" b="6350"/>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40" name="Line 7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06BCA1" id="Group_x0020_7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OFr9YoECAACYBQAA&#10;DgAAAAAAAAAAAAAAAAAsAgAAZHJzL2Uyb0RvYy54bWxQSwECLQAUAAYACAAAACEATKewkNkAAAAD&#10;AQAADwAAAAAAAAAAAAAAAADZBAAAZHJzL2Rvd25yZXYueG1sUEsFBgAAAAAEAAQA8wAAAN8FAAAA&#10;AA==&#10;">
                <v:line id="Line_x0020_7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UyTcQAAADcAAAADwAAAGRycy9kb3ducmV2LnhtbERP3WrCMBS+H+wdwhnsZmjqHCq1UWQw&#10;EC90sz7AaXNsi8lJbaLt9vTLxWCXH99/th6sEXfqfONYwWScgCAunW64UnDKP0YLED4gazSOScE3&#10;eVivHh8yTLXr+Yvux1CJGMI+RQV1CG0qpS9rsujHriWO3Nl1FkOEXSV1h30Mt0a+JslMWmw4NtTY&#10;0ntN5eV4swry60swn4ed6fNDMZXFdT/9ue2Ven4aNksQgYbwL/5zb7WC+Vu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pTJNxAAAANwAAAAPAAAAAAAAAAAA&#10;AAAAAKECAABkcnMvZG93bnJldi54bWxQSwUGAAAAAAQABAD5AAAAkgMAAAAA&#10;" strokecolor="#231f20" strokeweight=".5pt"/>
                <w10:anchorlock/>
              </v:group>
            </w:pict>
          </mc:Fallback>
        </mc:AlternateContent>
      </w:r>
    </w:p>
    <w:p w14:paraId="0311325D" w14:textId="77777777" w:rsidR="00DE575E" w:rsidRDefault="00DE575E">
      <w:pPr>
        <w:pStyle w:val="BodyText"/>
        <w:spacing w:before="7"/>
        <w:rPr>
          <w:rFonts w:ascii="AdonisC"/>
          <w:i/>
          <w:sz w:val="11"/>
        </w:rPr>
      </w:pPr>
    </w:p>
    <w:p w14:paraId="45C5C5C5" w14:textId="77777777" w:rsidR="00DE575E" w:rsidRDefault="002E7560">
      <w:pPr>
        <w:spacing w:before="101" w:line="252" w:lineRule="auto"/>
        <w:ind w:left="533" w:right="128"/>
        <w:jc w:val="both"/>
        <w:rPr>
          <w:i/>
          <w:sz w:val="21"/>
        </w:rPr>
      </w:pPr>
      <w:r>
        <w:rPr>
          <w:color w:val="231F20"/>
          <w:sz w:val="21"/>
        </w:rPr>
        <w:t xml:space="preserve">їх </w:t>
      </w:r>
      <w:r>
        <w:rPr>
          <w:i/>
          <w:color w:val="231F20"/>
          <w:sz w:val="21"/>
        </w:rPr>
        <w:t xml:space="preserve">класифікацію </w:t>
      </w:r>
      <w:r>
        <w:rPr>
          <w:color w:val="231F20"/>
          <w:sz w:val="21"/>
        </w:rPr>
        <w:t xml:space="preserve">доцільно провести відповідно до </w:t>
      </w:r>
      <w:r>
        <w:rPr>
          <w:i/>
          <w:color w:val="231F20"/>
          <w:sz w:val="21"/>
        </w:rPr>
        <w:t xml:space="preserve">призначення </w:t>
      </w:r>
      <w:r>
        <w:rPr>
          <w:color w:val="231F20"/>
          <w:sz w:val="21"/>
        </w:rPr>
        <w:t>цих заходів</w:t>
      </w:r>
      <w:r>
        <w:rPr>
          <w:i/>
          <w:color w:val="231F20"/>
          <w:sz w:val="21"/>
        </w:rPr>
        <w:t xml:space="preserve">. </w:t>
      </w:r>
      <w:r>
        <w:rPr>
          <w:color w:val="231F20"/>
          <w:sz w:val="21"/>
        </w:rPr>
        <w:t xml:space="preserve">За цим критерієм заходи адміністративного припинення поділяються на дві групи </w:t>
      </w:r>
      <w:r>
        <w:rPr>
          <w:i/>
          <w:color w:val="231F20"/>
          <w:sz w:val="21"/>
        </w:rPr>
        <w:t>– заходи загального і спеціального призна- чення.</w:t>
      </w:r>
    </w:p>
    <w:p w14:paraId="4F40E1F2" w14:textId="77777777" w:rsidR="00DE575E" w:rsidRDefault="002E7560">
      <w:pPr>
        <w:spacing w:before="2" w:line="252" w:lineRule="auto"/>
        <w:ind w:left="533" w:right="124" w:firstLine="283"/>
        <w:jc w:val="both"/>
        <w:rPr>
          <w:sz w:val="21"/>
        </w:rPr>
      </w:pPr>
      <w:r>
        <w:rPr>
          <w:b/>
          <w:i/>
          <w:color w:val="231F20"/>
          <w:sz w:val="21"/>
        </w:rPr>
        <w:t>Заходи адміністративного припинення загального призна- чення</w:t>
      </w:r>
      <w:r>
        <w:rPr>
          <w:i/>
          <w:color w:val="231F20"/>
          <w:sz w:val="21"/>
        </w:rPr>
        <w:t xml:space="preserve">, </w:t>
      </w:r>
      <w:r>
        <w:rPr>
          <w:color w:val="231F20"/>
          <w:sz w:val="21"/>
        </w:rPr>
        <w:t xml:space="preserve">які застосовуються в повсякденній практиці багатьма </w:t>
      </w:r>
      <w:r>
        <w:rPr>
          <w:color w:val="231F20"/>
          <w:spacing w:val="-3"/>
          <w:sz w:val="21"/>
        </w:rPr>
        <w:t xml:space="preserve">суб’єк- </w:t>
      </w:r>
      <w:r>
        <w:rPr>
          <w:color w:val="231F20"/>
          <w:sz w:val="21"/>
        </w:rPr>
        <w:t xml:space="preserve">тами владних повноважень, насамперед Національною поліцією, виходячи з </w:t>
      </w:r>
      <w:r>
        <w:rPr>
          <w:i/>
          <w:color w:val="231F20"/>
          <w:sz w:val="21"/>
        </w:rPr>
        <w:t xml:space="preserve">мети їх застосування, </w:t>
      </w:r>
      <w:r>
        <w:rPr>
          <w:color w:val="231F20"/>
          <w:sz w:val="21"/>
        </w:rPr>
        <w:t xml:space="preserve">поділяються своєю чергою </w:t>
      </w:r>
      <w:r>
        <w:rPr>
          <w:i/>
          <w:color w:val="231F20"/>
          <w:sz w:val="21"/>
        </w:rPr>
        <w:t>на самостійні (а</w:t>
      </w:r>
      <w:r>
        <w:rPr>
          <w:i/>
          <w:color w:val="231F20"/>
          <w:sz w:val="21"/>
        </w:rPr>
        <w:t xml:space="preserve">бо оперативні) </w:t>
      </w:r>
      <w:r>
        <w:rPr>
          <w:color w:val="231F20"/>
          <w:sz w:val="21"/>
        </w:rPr>
        <w:t xml:space="preserve">і </w:t>
      </w:r>
      <w:r>
        <w:rPr>
          <w:i/>
          <w:color w:val="231F20"/>
          <w:sz w:val="21"/>
        </w:rPr>
        <w:t>допоміжні (забезпечувальні)</w:t>
      </w:r>
      <w:r>
        <w:rPr>
          <w:color w:val="231F20"/>
          <w:sz w:val="21"/>
        </w:rPr>
        <w:t>.</w:t>
      </w:r>
    </w:p>
    <w:p w14:paraId="0728E76B" w14:textId="77777777" w:rsidR="00DE575E" w:rsidRDefault="002E7560">
      <w:pPr>
        <w:spacing w:before="2" w:line="252" w:lineRule="auto"/>
        <w:ind w:left="533" w:right="126" w:firstLine="283"/>
        <w:jc w:val="both"/>
        <w:rPr>
          <w:sz w:val="21"/>
        </w:rPr>
      </w:pPr>
      <w:r>
        <w:rPr>
          <w:color w:val="231F20"/>
          <w:sz w:val="21"/>
        </w:rPr>
        <w:t xml:space="preserve">1. </w:t>
      </w:r>
      <w:r>
        <w:rPr>
          <w:i/>
          <w:color w:val="231F20"/>
          <w:sz w:val="21"/>
          <w:u w:val="single" w:color="231F20"/>
        </w:rPr>
        <w:t>Самостійні (оперативні) заходи адміністративного припи- нення</w:t>
      </w:r>
      <w:r>
        <w:rPr>
          <w:i/>
          <w:color w:val="231F20"/>
          <w:sz w:val="21"/>
        </w:rPr>
        <w:t xml:space="preserve"> </w:t>
      </w:r>
      <w:r>
        <w:rPr>
          <w:color w:val="231F20"/>
          <w:sz w:val="21"/>
        </w:rPr>
        <w:t xml:space="preserve">характеризуються тим, що </w:t>
      </w:r>
      <w:r>
        <w:rPr>
          <w:i/>
          <w:color w:val="231F20"/>
          <w:sz w:val="21"/>
        </w:rPr>
        <w:t xml:space="preserve">оперативно вирішують конфлік- тну ситуацію, </w:t>
      </w:r>
      <w:r>
        <w:rPr>
          <w:color w:val="231F20"/>
          <w:sz w:val="21"/>
        </w:rPr>
        <w:t>тобто конфлікт найчастіше вичерпується остаточно. Певною мірою можна ствердж</w:t>
      </w:r>
      <w:r>
        <w:rPr>
          <w:color w:val="231F20"/>
          <w:sz w:val="21"/>
        </w:rPr>
        <w:t xml:space="preserve">увати, що ці </w:t>
      </w:r>
      <w:r>
        <w:rPr>
          <w:color w:val="231F20"/>
          <w:spacing w:val="-2"/>
          <w:sz w:val="21"/>
        </w:rPr>
        <w:t xml:space="preserve">заходи </w:t>
      </w:r>
      <w:r>
        <w:rPr>
          <w:color w:val="231F20"/>
          <w:sz w:val="21"/>
        </w:rPr>
        <w:t>(принаймні біль- шість з них) стоять на межі власне заходів припинення і адміністра- тивних</w:t>
      </w:r>
      <w:r>
        <w:rPr>
          <w:color w:val="231F20"/>
          <w:spacing w:val="-21"/>
          <w:sz w:val="21"/>
        </w:rPr>
        <w:t xml:space="preserve"> </w:t>
      </w:r>
      <w:r>
        <w:rPr>
          <w:color w:val="231F20"/>
          <w:sz w:val="21"/>
        </w:rPr>
        <w:t>стягнень.</w:t>
      </w:r>
      <w:r>
        <w:rPr>
          <w:color w:val="231F20"/>
          <w:spacing w:val="-21"/>
          <w:sz w:val="21"/>
        </w:rPr>
        <w:t xml:space="preserve"> </w:t>
      </w:r>
      <w:r>
        <w:rPr>
          <w:color w:val="231F20"/>
          <w:sz w:val="21"/>
        </w:rPr>
        <w:t>Наприклад,</w:t>
      </w:r>
      <w:r>
        <w:rPr>
          <w:color w:val="231F20"/>
          <w:spacing w:val="-21"/>
          <w:sz w:val="21"/>
        </w:rPr>
        <w:t xml:space="preserve"> </w:t>
      </w:r>
      <w:r>
        <w:rPr>
          <w:color w:val="231F20"/>
          <w:sz w:val="21"/>
        </w:rPr>
        <w:t>заборона</w:t>
      </w:r>
      <w:r>
        <w:rPr>
          <w:color w:val="231F20"/>
          <w:spacing w:val="-21"/>
          <w:sz w:val="21"/>
        </w:rPr>
        <w:t xml:space="preserve"> </w:t>
      </w:r>
      <w:r>
        <w:rPr>
          <w:color w:val="231F20"/>
          <w:sz w:val="21"/>
        </w:rPr>
        <w:t>певних</w:t>
      </w:r>
      <w:r>
        <w:rPr>
          <w:color w:val="231F20"/>
          <w:spacing w:val="-21"/>
          <w:sz w:val="21"/>
        </w:rPr>
        <w:t xml:space="preserve"> </w:t>
      </w:r>
      <w:r>
        <w:rPr>
          <w:color w:val="231F20"/>
          <w:sz w:val="21"/>
        </w:rPr>
        <w:t>робіт</w:t>
      </w:r>
      <w:r>
        <w:rPr>
          <w:color w:val="231F20"/>
          <w:spacing w:val="-21"/>
          <w:sz w:val="21"/>
        </w:rPr>
        <w:t xml:space="preserve"> </w:t>
      </w:r>
      <w:r>
        <w:rPr>
          <w:color w:val="231F20"/>
          <w:sz w:val="21"/>
        </w:rPr>
        <w:t>за</w:t>
      </w:r>
      <w:r>
        <w:rPr>
          <w:color w:val="231F20"/>
          <w:spacing w:val="-21"/>
          <w:sz w:val="21"/>
        </w:rPr>
        <w:t xml:space="preserve"> </w:t>
      </w:r>
      <w:r>
        <w:rPr>
          <w:color w:val="231F20"/>
          <w:sz w:val="21"/>
        </w:rPr>
        <w:t>своїм</w:t>
      </w:r>
      <w:r>
        <w:rPr>
          <w:color w:val="231F20"/>
          <w:spacing w:val="-21"/>
          <w:sz w:val="21"/>
        </w:rPr>
        <w:t xml:space="preserve"> </w:t>
      </w:r>
      <w:r>
        <w:rPr>
          <w:color w:val="231F20"/>
          <w:sz w:val="21"/>
        </w:rPr>
        <w:t>характе- ром дуже схожа на таке адміністративне стягнення, як позбавлення спеціального</w:t>
      </w:r>
      <w:r>
        <w:rPr>
          <w:color w:val="231F20"/>
          <w:spacing w:val="-2"/>
          <w:sz w:val="21"/>
        </w:rPr>
        <w:t xml:space="preserve"> </w:t>
      </w:r>
      <w:r>
        <w:rPr>
          <w:color w:val="231F20"/>
          <w:sz w:val="21"/>
        </w:rPr>
        <w:t>права</w:t>
      </w:r>
      <w:r>
        <w:rPr>
          <w:color w:val="231F20"/>
          <w:sz w:val="21"/>
        </w:rPr>
        <w:t>.</w:t>
      </w:r>
    </w:p>
    <w:p w14:paraId="4742B9EE" w14:textId="77777777" w:rsidR="00DE575E" w:rsidRDefault="002E7560">
      <w:pPr>
        <w:pStyle w:val="ListParagraph"/>
        <w:numPr>
          <w:ilvl w:val="0"/>
          <w:numId w:val="166"/>
        </w:numPr>
        <w:tabs>
          <w:tab w:val="left" w:pos="1101"/>
        </w:tabs>
        <w:spacing w:before="4" w:line="252" w:lineRule="auto"/>
        <w:ind w:right="125" w:firstLine="284"/>
        <w:rPr>
          <w:sz w:val="21"/>
        </w:rPr>
      </w:pPr>
      <w:r>
        <w:rPr>
          <w:i/>
          <w:color w:val="231F20"/>
          <w:sz w:val="21"/>
        </w:rPr>
        <w:t xml:space="preserve">Вимога припинити протиправну поведінку. </w:t>
      </w:r>
      <w:r>
        <w:rPr>
          <w:color w:val="231F20"/>
          <w:spacing w:val="-4"/>
          <w:sz w:val="21"/>
        </w:rPr>
        <w:t xml:space="preserve">Таку </w:t>
      </w:r>
      <w:r>
        <w:rPr>
          <w:color w:val="231F20"/>
          <w:sz w:val="21"/>
        </w:rPr>
        <w:t>вимогу</w:t>
      </w:r>
      <w:r>
        <w:rPr>
          <w:color w:val="231F20"/>
          <w:spacing w:val="-33"/>
          <w:sz w:val="21"/>
        </w:rPr>
        <w:t xml:space="preserve"> </w:t>
      </w:r>
      <w:r>
        <w:rPr>
          <w:color w:val="231F20"/>
          <w:sz w:val="21"/>
        </w:rPr>
        <w:t xml:space="preserve">мають право (і зобов’язані) ставити працівники правоохоронних  орга-  нів, різні державні інспектори в разі виявлення такої поведінки. Наприклад, </w:t>
      </w:r>
      <w:r>
        <w:rPr>
          <w:color w:val="231F20"/>
          <w:spacing w:val="-5"/>
          <w:sz w:val="21"/>
        </w:rPr>
        <w:t xml:space="preserve">ст. </w:t>
      </w:r>
      <w:r>
        <w:rPr>
          <w:color w:val="231F20"/>
          <w:sz w:val="21"/>
        </w:rPr>
        <w:t>25 Закону України «Про Службу безпеки України» надає</w:t>
      </w:r>
      <w:r>
        <w:rPr>
          <w:color w:val="231F20"/>
          <w:sz w:val="21"/>
        </w:rPr>
        <w:t xml:space="preserve"> її працівникам право вимагати від громадян та посадових осіб припинення правопорушень і дій, що перешкоджають здійс- ненню повноважень </w:t>
      </w:r>
      <w:r>
        <w:rPr>
          <w:color w:val="231F20"/>
          <w:spacing w:val="-8"/>
          <w:sz w:val="21"/>
        </w:rPr>
        <w:t xml:space="preserve">СБУ. </w:t>
      </w:r>
      <w:r>
        <w:rPr>
          <w:color w:val="231F20"/>
          <w:sz w:val="21"/>
        </w:rPr>
        <w:t xml:space="preserve">Підставу застосування зазначеного заходу припинення може становити будь-яке правопорушення, зокрема злочин. Вимога </w:t>
      </w:r>
      <w:r>
        <w:rPr>
          <w:color w:val="231F20"/>
          <w:sz w:val="21"/>
        </w:rPr>
        <w:t xml:space="preserve"> може  бути  висловлена  усно,  а  також  оформлена у вигляді письмового припису (розпорядження). Вона юридично обов’язкова, непокора цій вимозі є підставою для застосування інших заходів</w:t>
      </w:r>
      <w:r>
        <w:rPr>
          <w:color w:val="231F20"/>
          <w:spacing w:val="6"/>
          <w:sz w:val="21"/>
        </w:rPr>
        <w:t xml:space="preserve"> </w:t>
      </w:r>
      <w:r>
        <w:rPr>
          <w:color w:val="231F20"/>
          <w:sz w:val="21"/>
        </w:rPr>
        <w:t>примусу.</w:t>
      </w:r>
    </w:p>
    <w:p w14:paraId="65E3B2EE" w14:textId="77777777" w:rsidR="00DE575E" w:rsidRDefault="002E7560">
      <w:pPr>
        <w:pStyle w:val="ListParagraph"/>
        <w:numPr>
          <w:ilvl w:val="0"/>
          <w:numId w:val="166"/>
        </w:numPr>
        <w:tabs>
          <w:tab w:val="left" w:pos="1101"/>
        </w:tabs>
        <w:spacing w:before="6" w:line="252" w:lineRule="auto"/>
        <w:ind w:right="126" w:firstLine="284"/>
        <w:rPr>
          <w:sz w:val="21"/>
        </w:rPr>
      </w:pPr>
      <w:r>
        <w:rPr>
          <w:i/>
          <w:color w:val="231F20"/>
          <w:sz w:val="21"/>
        </w:rPr>
        <w:t xml:space="preserve">Привід </w:t>
      </w:r>
      <w:r>
        <w:rPr>
          <w:color w:val="231F20"/>
          <w:sz w:val="21"/>
        </w:rPr>
        <w:t>осіб, які ухиляються від явки на виклик у певні держ</w:t>
      </w:r>
      <w:r>
        <w:rPr>
          <w:color w:val="231F20"/>
          <w:sz w:val="21"/>
        </w:rPr>
        <w:t xml:space="preserve">авні органи. </w:t>
      </w:r>
      <w:r>
        <w:rPr>
          <w:color w:val="231F20"/>
          <w:spacing w:val="-4"/>
          <w:sz w:val="21"/>
        </w:rPr>
        <w:t xml:space="preserve">Так, </w:t>
      </w:r>
      <w:r>
        <w:rPr>
          <w:color w:val="231F20"/>
          <w:sz w:val="21"/>
        </w:rPr>
        <w:t xml:space="preserve">відповідно до ч. 2 </w:t>
      </w:r>
      <w:r>
        <w:rPr>
          <w:color w:val="231F20"/>
          <w:spacing w:val="-6"/>
          <w:sz w:val="21"/>
        </w:rPr>
        <w:t xml:space="preserve">ст. </w:t>
      </w:r>
      <w:r>
        <w:rPr>
          <w:color w:val="231F20"/>
          <w:sz w:val="21"/>
        </w:rPr>
        <w:t xml:space="preserve">268 КпАП </w:t>
      </w:r>
      <w:r>
        <w:rPr>
          <w:color w:val="231F20"/>
          <w:spacing w:val="-3"/>
          <w:sz w:val="21"/>
        </w:rPr>
        <w:t xml:space="preserve">України </w:t>
      </w:r>
      <w:r>
        <w:rPr>
          <w:color w:val="231F20"/>
          <w:sz w:val="21"/>
        </w:rPr>
        <w:t xml:space="preserve">у разі ухилення особи, яка притягається до адміністративної відповідаль- ності, від явки на виклик органу внутрішніх справ або </w:t>
      </w:r>
      <w:r>
        <w:rPr>
          <w:color w:val="231F20"/>
          <w:spacing w:val="-3"/>
          <w:sz w:val="21"/>
        </w:rPr>
        <w:t xml:space="preserve">судді </w:t>
      </w:r>
      <w:r>
        <w:rPr>
          <w:color w:val="231F20"/>
          <w:sz w:val="21"/>
        </w:rPr>
        <w:t>район- ного,</w:t>
      </w:r>
      <w:r>
        <w:rPr>
          <w:color w:val="231F20"/>
          <w:spacing w:val="-8"/>
          <w:sz w:val="21"/>
        </w:rPr>
        <w:t xml:space="preserve"> </w:t>
      </w:r>
      <w:r>
        <w:rPr>
          <w:color w:val="231F20"/>
          <w:sz w:val="21"/>
        </w:rPr>
        <w:t>районного</w:t>
      </w:r>
      <w:r>
        <w:rPr>
          <w:color w:val="231F20"/>
          <w:spacing w:val="-8"/>
          <w:sz w:val="21"/>
        </w:rPr>
        <w:t xml:space="preserve"> </w:t>
      </w:r>
      <w:r>
        <w:rPr>
          <w:color w:val="231F20"/>
          <w:sz w:val="21"/>
        </w:rPr>
        <w:t>у</w:t>
      </w:r>
      <w:r>
        <w:rPr>
          <w:color w:val="231F20"/>
          <w:spacing w:val="-8"/>
          <w:sz w:val="21"/>
        </w:rPr>
        <w:t xml:space="preserve"> </w:t>
      </w:r>
      <w:r>
        <w:rPr>
          <w:color w:val="231F20"/>
          <w:sz w:val="21"/>
        </w:rPr>
        <w:t>місті,</w:t>
      </w:r>
      <w:r>
        <w:rPr>
          <w:color w:val="231F20"/>
          <w:spacing w:val="-8"/>
          <w:sz w:val="21"/>
        </w:rPr>
        <w:t xml:space="preserve"> </w:t>
      </w:r>
      <w:r>
        <w:rPr>
          <w:color w:val="231F20"/>
          <w:sz w:val="21"/>
        </w:rPr>
        <w:t>міського</w:t>
      </w:r>
      <w:r>
        <w:rPr>
          <w:color w:val="231F20"/>
          <w:spacing w:val="-8"/>
          <w:sz w:val="21"/>
        </w:rPr>
        <w:t xml:space="preserve"> </w:t>
      </w:r>
      <w:r>
        <w:rPr>
          <w:color w:val="231F20"/>
          <w:sz w:val="21"/>
        </w:rPr>
        <w:t>чи</w:t>
      </w:r>
      <w:r>
        <w:rPr>
          <w:color w:val="231F20"/>
          <w:spacing w:val="-8"/>
          <w:sz w:val="21"/>
        </w:rPr>
        <w:t xml:space="preserve"> </w:t>
      </w:r>
      <w:r>
        <w:rPr>
          <w:color w:val="231F20"/>
          <w:sz w:val="21"/>
        </w:rPr>
        <w:t>міськрайонного</w:t>
      </w:r>
      <w:r>
        <w:rPr>
          <w:color w:val="231F20"/>
          <w:spacing w:val="-8"/>
          <w:sz w:val="21"/>
        </w:rPr>
        <w:t xml:space="preserve"> </w:t>
      </w:r>
      <w:r>
        <w:rPr>
          <w:color w:val="231F20"/>
          <w:spacing w:val="-4"/>
          <w:sz w:val="21"/>
        </w:rPr>
        <w:t>суду</w:t>
      </w:r>
      <w:r>
        <w:rPr>
          <w:color w:val="231F20"/>
          <w:spacing w:val="-8"/>
          <w:sz w:val="21"/>
        </w:rPr>
        <w:t xml:space="preserve"> </w:t>
      </w:r>
      <w:r>
        <w:rPr>
          <w:color w:val="231F20"/>
          <w:sz w:val="21"/>
        </w:rPr>
        <w:t>у</w:t>
      </w:r>
      <w:r>
        <w:rPr>
          <w:color w:val="231F20"/>
          <w:spacing w:val="-8"/>
          <w:sz w:val="21"/>
        </w:rPr>
        <w:t xml:space="preserve"> </w:t>
      </w:r>
      <w:r>
        <w:rPr>
          <w:color w:val="231F20"/>
          <w:sz w:val="21"/>
        </w:rPr>
        <w:t xml:space="preserve">випадках, коли її присутність при </w:t>
      </w:r>
      <w:r>
        <w:rPr>
          <w:color w:val="231F20"/>
          <w:spacing w:val="-3"/>
          <w:sz w:val="21"/>
        </w:rPr>
        <w:t xml:space="preserve">розгляді </w:t>
      </w:r>
      <w:r>
        <w:rPr>
          <w:color w:val="231F20"/>
          <w:sz w:val="21"/>
        </w:rPr>
        <w:t xml:space="preserve">справи є обов’язковою, цю особу може бути Національною поліцією піддано </w:t>
      </w:r>
      <w:r>
        <w:rPr>
          <w:color w:val="231F20"/>
          <w:spacing w:val="-4"/>
          <w:sz w:val="21"/>
        </w:rPr>
        <w:t xml:space="preserve">приводу. </w:t>
      </w:r>
      <w:r>
        <w:rPr>
          <w:color w:val="231F20"/>
          <w:sz w:val="21"/>
        </w:rPr>
        <w:t xml:space="preserve">Привід полягає у примусовій доставці особи до відповідного </w:t>
      </w:r>
      <w:r>
        <w:rPr>
          <w:color w:val="231F20"/>
          <w:spacing w:val="-3"/>
          <w:sz w:val="21"/>
        </w:rPr>
        <w:t xml:space="preserve">органу. </w:t>
      </w:r>
      <w:r>
        <w:rPr>
          <w:color w:val="231F20"/>
          <w:spacing w:val="-4"/>
          <w:sz w:val="21"/>
        </w:rPr>
        <w:t xml:space="preserve">Тобто </w:t>
      </w:r>
      <w:r>
        <w:rPr>
          <w:color w:val="231F20"/>
          <w:sz w:val="21"/>
        </w:rPr>
        <w:t>це вилу- чення</w:t>
      </w:r>
      <w:r>
        <w:rPr>
          <w:color w:val="231F20"/>
          <w:spacing w:val="-6"/>
          <w:sz w:val="21"/>
        </w:rPr>
        <w:t xml:space="preserve"> </w:t>
      </w:r>
      <w:r>
        <w:rPr>
          <w:color w:val="231F20"/>
          <w:sz w:val="21"/>
        </w:rPr>
        <w:t>її</w:t>
      </w:r>
      <w:r>
        <w:rPr>
          <w:color w:val="231F20"/>
          <w:spacing w:val="-6"/>
          <w:sz w:val="21"/>
        </w:rPr>
        <w:t xml:space="preserve"> </w:t>
      </w:r>
      <w:r>
        <w:rPr>
          <w:color w:val="231F20"/>
          <w:sz w:val="21"/>
        </w:rPr>
        <w:t>з</w:t>
      </w:r>
      <w:r>
        <w:rPr>
          <w:color w:val="231F20"/>
          <w:spacing w:val="-6"/>
          <w:sz w:val="21"/>
        </w:rPr>
        <w:t xml:space="preserve"> </w:t>
      </w:r>
      <w:r>
        <w:rPr>
          <w:color w:val="231F20"/>
          <w:sz w:val="21"/>
        </w:rPr>
        <w:t>місця</w:t>
      </w:r>
      <w:r>
        <w:rPr>
          <w:color w:val="231F20"/>
          <w:spacing w:val="-6"/>
          <w:sz w:val="21"/>
        </w:rPr>
        <w:t xml:space="preserve"> </w:t>
      </w:r>
      <w:r>
        <w:rPr>
          <w:color w:val="231F20"/>
          <w:sz w:val="21"/>
        </w:rPr>
        <w:t>перебування</w:t>
      </w:r>
      <w:r>
        <w:rPr>
          <w:color w:val="231F20"/>
          <w:spacing w:val="-6"/>
          <w:sz w:val="21"/>
        </w:rPr>
        <w:t xml:space="preserve"> </w:t>
      </w:r>
      <w:r>
        <w:rPr>
          <w:color w:val="231F20"/>
          <w:sz w:val="21"/>
        </w:rPr>
        <w:t>і</w:t>
      </w:r>
      <w:r>
        <w:rPr>
          <w:color w:val="231F20"/>
          <w:spacing w:val="-7"/>
          <w:sz w:val="21"/>
        </w:rPr>
        <w:t xml:space="preserve"> </w:t>
      </w:r>
      <w:r>
        <w:rPr>
          <w:color w:val="231F20"/>
          <w:sz w:val="21"/>
        </w:rPr>
        <w:t>супроводження</w:t>
      </w:r>
      <w:r>
        <w:rPr>
          <w:color w:val="231F20"/>
          <w:spacing w:val="-6"/>
          <w:sz w:val="21"/>
        </w:rPr>
        <w:t xml:space="preserve"> </w:t>
      </w:r>
      <w:r>
        <w:rPr>
          <w:color w:val="231F20"/>
          <w:sz w:val="21"/>
        </w:rPr>
        <w:t>до</w:t>
      </w:r>
      <w:r>
        <w:rPr>
          <w:color w:val="231F20"/>
          <w:spacing w:val="-6"/>
          <w:sz w:val="21"/>
        </w:rPr>
        <w:t xml:space="preserve"> </w:t>
      </w:r>
      <w:r>
        <w:rPr>
          <w:color w:val="231F20"/>
          <w:sz w:val="21"/>
        </w:rPr>
        <w:t>м</w:t>
      </w:r>
      <w:r>
        <w:rPr>
          <w:color w:val="231F20"/>
          <w:sz w:val="21"/>
        </w:rPr>
        <w:t>ісця</w:t>
      </w:r>
      <w:r>
        <w:rPr>
          <w:color w:val="231F20"/>
          <w:spacing w:val="-6"/>
          <w:sz w:val="21"/>
        </w:rPr>
        <w:t xml:space="preserve"> </w:t>
      </w:r>
      <w:r>
        <w:rPr>
          <w:color w:val="231F20"/>
          <w:sz w:val="21"/>
        </w:rPr>
        <w:t>призначення, поєднані із застосуванням психічного чи фізичного</w:t>
      </w:r>
      <w:r>
        <w:rPr>
          <w:color w:val="231F20"/>
          <w:spacing w:val="-5"/>
          <w:sz w:val="21"/>
        </w:rPr>
        <w:t xml:space="preserve"> </w:t>
      </w:r>
      <w:r>
        <w:rPr>
          <w:color w:val="231F20"/>
          <w:sz w:val="21"/>
        </w:rPr>
        <w:t>спонукання.</w:t>
      </w:r>
    </w:p>
    <w:p w14:paraId="6B543BA3" w14:textId="77777777" w:rsidR="00DE575E" w:rsidRDefault="00DE575E">
      <w:pPr>
        <w:pStyle w:val="BodyText"/>
        <w:spacing w:before="9"/>
        <w:rPr>
          <w:sz w:val="12"/>
        </w:rPr>
      </w:pPr>
    </w:p>
    <w:p w14:paraId="1980BAA1" w14:textId="77777777" w:rsidR="00DE575E" w:rsidRDefault="002E7560">
      <w:pPr>
        <w:spacing w:before="92"/>
        <w:ind w:left="533"/>
        <w:rPr>
          <w:rFonts w:ascii="Times New Roman"/>
          <w:sz w:val="20"/>
        </w:rPr>
      </w:pPr>
      <w:r>
        <w:rPr>
          <w:rFonts w:ascii="Times New Roman"/>
          <w:color w:val="231F20"/>
          <w:sz w:val="20"/>
        </w:rPr>
        <w:t>266</w:t>
      </w:r>
    </w:p>
    <w:p w14:paraId="7A8460DE" w14:textId="77777777" w:rsidR="00DE575E" w:rsidRDefault="00DE575E">
      <w:pPr>
        <w:rPr>
          <w:rFonts w:ascii="Times New Roman"/>
          <w:sz w:val="20"/>
        </w:rPr>
        <w:sectPr w:rsidR="00DE575E">
          <w:pgSz w:w="8510" w:h="12760"/>
          <w:pgMar w:top="660" w:right="720" w:bottom="280" w:left="600" w:header="720" w:footer="720" w:gutter="0"/>
          <w:cols w:space="720"/>
        </w:sectPr>
      </w:pPr>
    </w:p>
    <w:p w14:paraId="43850F32"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2A4D664" w14:textId="2DB4711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F1A9B86" wp14:editId="73DE2EC0">
                <wp:extent cx="4140200" cy="6350"/>
                <wp:effectExtent l="0" t="0" r="12700" b="6350"/>
                <wp:docPr id="73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38" name="Line 7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1A15EF" id="Group_x0020_7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pxbeWgAIAAJgFAAAO&#10;AAAAAAAAAAAAAAAAACwCAABkcnMvZTJvRG9jLnhtbFBLAQItABQABgAIAAAAIQBMp7CQ2QAAAAMB&#10;AAAPAAAAAAAAAAAAAAAAANgEAABkcnMvZG93bnJldi54bWxQSwUGAAAAAAQABADzAAAA3gUAAAAA&#10;">
                <v:line id="Line_x0020_7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VNNsMAAADcAAAADwAAAGRycy9kb3ducmV2LnhtbERP3WrCMBS+H/gO4Qi7GZpuhSnVKDIQ&#10;ZBf+1Qc4Nse2mJzUJtpuT79cCLv8+P7ny94a8aDW144VvI8TEMSF0zWXCk75ejQF4QOyRuOYFPyQ&#10;h+Vi8DLHTLuOD/Q4hlLEEPYZKqhCaDIpfVGRRT92DXHkLq61GCJsS6lb7GK4NfIjST6lxZpjQ4UN&#10;fVVUXI93qyC/vQWz332bLt+dU3m+bdPf+1ap12G/moEI1Id/8dO90QomaVwbz8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VTTbDAAAA3AAAAA8AAAAAAAAAAAAA&#10;AAAAoQIAAGRycy9kb3ducmV2LnhtbFBLBQYAAAAABAAEAPkAAACRAwAAAAA=&#10;" strokecolor="#231f20" strokeweight=".5pt"/>
                <w10:anchorlock/>
              </v:group>
            </w:pict>
          </mc:Fallback>
        </mc:AlternateContent>
      </w:r>
    </w:p>
    <w:p w14:paraId="68C1A360" w14:textId="77777777" w:rsidR="00DE575E" w:rsidRDefault="00DE575E">
      <w:pPr>
        <w:pStyle w:val="BodyText"/>
        <w:spacing w:before="7"/>
        <w:rPr>
          <w:rFonts w:ascii="AdonisC"/>
          <w:i/>
          <w:sz w:val="19"/>
        </w:rPr>
      </w:pPr>
    </w:p>
    <w:p w14:paraId="67A58D0A" w14:textId="77777777" w:rsidR="00DE575E" w:rsidRDefault="002E7560">
      <w:pPr>
        <w:pStyle w:val="BodyText"/>
        <w:spacing w:before="1" w:line="252" w:lineRule="auto"/>
        <w:ind w:left="250" w:right="410" w:firstLine="283"/>
        <w:jc w:val="both"/>
      </w:pPr>
      <w:r>
        <w:rPr>
          <w:color w:val="231F20"/>
        </w:rPr>
        <w:t xml:space="preserve">– </w:t>
      </w:r>
      <w:r>
        <w:rPr>
          <w:i/>
          <w:color w:val="231F20"/>
        </w:rPr>
        <w:t>Заборонний припис</w:t>
      </w:r>
      <w:r>
        <w:rPr>
          <w:color w:val="231F20"/>
        </w:rPr>
        <w:t xml:space="preserve">. Відповідно до </w:t>
      </w:r>
      <w:r>
        <w:rPr>
          <w:color w:val="231F20"/>
          <w:spacing w:val="-6"/>
        </w:rPr>
        <w:t xml:space="preserve">ст. </w:t>
      </w:r>
      <w:r>
        <w:rPr>
          <w:color w:val="231F20"/>
        </w:rPr>
        <w:t xml:space="preserve">1 Закону </w:t>
      </w:r>
      <w:r>
        <w:rPr>
          <w:color w:val="231F20"/>
          <w:spacing w:val="-3"/>
        </w:rPr>
        <w:t xml:space="preserve">України </w:t>
      </w:r>
      <w:r>
        <w:rPr>
          <w:color w:val="231F20"/>
        </w:rPr>
        <w:t>«Про запобігання</w:t>
      </w:r>
      <w:r>
        <w:rPr>
          <w:color w:val="231F20"/>
          <w:spacing w:val="-15"/>
        </w:rPr>
        <w:t xml:space="preserve"> </w:t>
      </w:r>
      <w:r>
        <w:rPr>
          <w:color w:val="231F20"/>
        </w:rPr>
        <w:t>та</w:t>
      </w:r>
      <w:r>
        <w:rPr>
          <w:color w:val="231F20"/>
          <w:spacing w:val="-15"/>
        </w:rPr>
        <w:t xml:space="preserve"> </w:t>
      </w:r>
      <w:r>
        <w:rPr>
          <w:color w:val="231F20"/>
        </w:rPr>
        <w:t>протидію</w:t>
      </w:r>
      <w:r>
        <w:rPr>
          <w:color w:val="231F20"/>
          <w:spacing w:val="-15"/>
        </w:rPr>
        <w:t xml:space="preserve"> </w:t>
      </w:r>
      <w:r>
        <w:rPr>
          <w:color w:val="231F20"/>
        </w:rPr>
        <w:t>домашньому</w:t>
      </w:r>
      <w:r>
        <w:rPr>
          <w:color w:val="231F20"/>
          <w:spacing w:val="-15"/>
        </w:rPr>
        <w:t xml:space="preserve"> </w:t>
      </w:r>
      <w:r>
        <w:rPr>
          <w:color w:val="231F20"/>
        </w:rPr>
        <w:t>насильству»</w:t>
      </w:r>
      <w:r>
        <w:rPr>
          <w:color w:val="231F20"/>
          <w:spacing w:val="-15"/>
        </w:rPr>
        <w:t xml:space="preserve"> </w:t>
      </w:r>
      <w:r>
        <w:rPr>
          <w:color w:val="231F20"/>
        </w:rPr>
        <w:t>терміновий</w:t>
      </w:r>
      <w:r>
        <w:rPr>
          <w:color w:val="231F20"/>
          <w:spacing w:val="-15"/>
        </w:rPr>
        <w:t xml:space="preserve"> </w:t>
      </w:r>
      <w:r>
        <w:rPr>
          <w:color w:val="231F20"/>
        </w:rPr>
        <w:t>забо- ронний припис стосовно кривдника – це спеціальний захід протидії домашньому насильству, що вжи</w:t>
      </w:r>
      <w:r>
        <w:rPr>
          <w:color w:val="231F20"/>
        </w:rPr>
        <w:t xml:space="preserve">вається уповноваженими підроз- ділами органів Національної поліції </w:t>
      </w:r>
      <w:r>
        <w:rPr>
          <w:color w:val="231F20"/>
          <w:spacing w:val="-3"/>
        </w:rPr>
        <w:t xml:space="preserve">України </w:t>
      </w:r>
      <w:r>
        <w:rPr>
          <w:color w:val="231F20"/>
        </w:rPr>
        <w:t>як реагування на факт домашнього насильства та спрямований на негайне припинення домашнього насильства, усунення небезпеки для життя і здоров’я постраждалих осіб та недопущення прод</w:t>
      </w:r>
      <w:r>
        <w:rPr>
          <w:color w:val="231F20"/>
        </w:rPr>
        <w:t>овження чи повторного вчинення такого</w:t>
      </w:r>
      <w:r>
        <w:rPr>
          <w:color w:val="231F20"/>
          <w:spacing w:val="-1"/>
        </w:rPr>
        <w:t xml:space="preserve"> </w:t>
      </w:r>
      <w:r>
        <w:rPr>
          <w:color w:val="231F20"/>
        </w:rPr>
        <w:t>насильства.</w:t>
      </w:r>
    </w:p>
    <w:p w14:paraId="55209970" w14:textId="77777777" w:rsidR="00DE575E" w:rsidRDefault="002E7560">
      <w:pPr>
        <w:pStyle w:val="BodyText"/>
        <w:spacing w:before="4" w:line="252" w:lineRule="auto"/>
        <w:ind w:left="250" w:right="410" w:firstLine="283"/>
        <w:jc w:val="both"/>
      </w:pPr>
      <w:r>
        <w:rPr>
          <w:color w:val="231F20"/>
        </w:rPr>
        <w:t xml:space="preserve">– </w:t>
      </w:r>
      <w:r>
        <w:rPr>
          <w:i/>
          <w:color w:val="231F20"/>
        </w:rPr>
        <w:t xml:space="preserve">Зупинка транспортних засобів. </w:t>
      </w:r>
      <w:r>
        <w:rPr>
          <w:color w:val="231F20"/>
        </w:rPr>
        <w:t xml:space="preserve">Відповідно до </w:t>
      </w:r>
      <w:r>
        <w:rPr>
          <w:color w:val="231F20"/>
          <w:spacing w:val="-6"/>
        </w:rPr>
        <w:t xml:space="preserve">ст. </w:t>
      </w:r>
      <w:r>
        <w:rPr>
          <w:color w:val="231F20"/>
        </w:rPr>
        <w:t xml:space="preserve">35 Закону </w:t>
      </w:r>
      <w:r>
        <w:rPr>
          <w:color w:val="231F20"/>
          <w:spacing w:val="-3"/>
        </w:rPr>
        <w:t xml:space="preserve">України </w:t>
      </w:r>
      <w:r>
        <w:rPr>
          <w:color w:val="231F20"/>
        </w:rPr>
        <w:t>«Про Національну поліцію» поліцейський може зупиняти транспортні</w:t>
      </w:r>
      <w:r>
        <w:rPr>
          <w:color w:val="231F20"/>
          <w:spacing w:val="-9"/>
        </w:rPr>
        <w:t xml:space="preserve"> </w:t>
      </w:r>
      <w:r>
        <w:rPr>
          <w:color w:val="231F20"/>
        </w:rPr>
        <w:t>засоби</w:t>
      </w:r>
      <w:r>
        <w:rPr>
          <w:color w:val="231F20"/>
          <w:spacing w:val="-9"/>
        </w:rPr>
        <w:t xml:space="preserve"> </w:t>
      </w:r>
      <w:r>
        <w:rPr>
          <w:color w:val="231F20"/>
        </w:rPr>
        <w:t>у</w:t>
      </w:r>
      <w:r>
        <w:rPr>
          <w:color w:val="231F20"/>
          <w:spacing w:val="-9"/>
        </w:rPr>
        <w:t xml:space="preserve"> </w:t>
      </w:r>
      <w:r>
        <w:rPr>
          <w:color w:val="231F20"/>
        </w:rPr>
        <w:t>разі,</w:t>
      </w:r>
      <w:r>
        <w:rPr>
          <w:color w:val="231F20"/>
          <w:spacing w:val="-9"/>
        </w:rPr>
        <w:t xml:space="preserve"> </w:t>
      </w:r>
      <w:r>
        <w:rPr>
          <w:color w:val="231F20"/>
        </w:rPr>
        <w:t>якщо</w:t>
      </w:r>
      <w:r>
        <w:rPr>
          <w:color w:val="231F20"/>
          <w:spacing w:val="-9"/>
        </w:rPr>
        <w:t xml:space="preserve"> </w:t>
      </w:r>
      <w:r>
        <w:rPr>
          <w:color w:val="231F20"/>
        </w:rPr>
        <w:t>водій</w:t>
      </w:r>
      <w:r>
        <w:rPr>
          <w:color w:val="231F20"/>
          <w:spacing w:val="-9"/>
        </w:rPr>
        <w:t xml:space="preserve"> </w:t>
      </w:r>
      <w:r>
        <w:rPr>
          <w:color w:val="231F20"/>
        </w:rPr>
        <w:t>порушив</w:t>
      </w:r>
      <w:r>
        <w:rPr>
          <w:color w:val="231F20"/>
          <w:spacing w:val="-9"/>
        </w:rPr>
        <w:t xml:space="preserve"> </w:t>
      </w:r>
      <w:r>
        <w:rPr>
          <w:color w:val="231F20"/>
        </w:rPr>
        <w:t>Правила</w:t>
      </w:r>
      <w:r>
        <w:rPr>
          <w:color w:val="231F20"/>
          <w:spacing w:val="-9"/>
        </w:rPr>
        <w:t xml:space="preserve"> </w:t>
      </w:r>
      <w:r>
        <w:rPr>
          <w:color w:val="231F20"/>
        </w:rPr>
        <w:t xml:space="preserve">дорожнього </w:t>
      </w:r>
      <w:r>
        <w:rPr>
          <w:color w:val="231F20"/>
          <w:spacing w:val="-5"/>
        </w:rPr>
        <w:t xml:space="preserve">руху, </w:t>
      </w:r>
      <w:r>
        <w:rPr>
          <w:color w:val="231F20"/>
        </w:rPr>
        <w:t>а також у інших випадках, установлених законом. Крім того, поліцейський</w:t>
      </w:r>
      <w:r>
        <w:rPr>
          <w:color w:val="231F20"/>
          <w:spacing w:val="-25"/>
        </w:rPr>
        <w:t xml:space="preserve"> </w:t>
      </w:r>
      <w:r>
        <w:rPr>
          <w:color w:val="231F20"/>
        </w:rPr>
        <w:t>зобов’язаний</w:t>
      </w:r>
      <w:r>
        <w:rPr>
          <w:color w:val="231F20"/>
          <w:spacing w:val="-25"/>
        </w:rPr>
        <w:t xml:space="preserve"> </w:t>
      </w:r>
      <w:r>
        <w:rPr>
          <w:color w:val="231F20"/>
        </w:rPr>
        <w:t>зупиняти</w:t>
      </w:r>
      <w:r>
        <w:rPr>
          <w:color w:val="231F20"/>
          <w:spacing w:val="-25"/>
        </w:rPr>
        <w:t xml:space="preserve"> </w:t>
      </w:r>
      <w:r>
        <w:rPr>
          <w:color w:val="231F20"/>
        </w:rPr>
        <w:t>транспортні</w:t>
      </w:r>
      <w:r>
        <w:rPr>
          <w:color w:val="231F20"/>
          <w:spacing w:val="-25"/>
        </w:rPr>
        <w:t xml:space="preserve"> </w:t>
      </w:r>
      <w:r>
        <w:rPr>
          <w:color w:val="231F20"/>
        </w:rPr>
        <w:t>засоби</w:t>
      </w:r>
      <w:r>
        <w:rPr>
          <w:color w:val="231F20"/>
          <w:spacing w:val="-25"/>
        </w:rPr>
        <w:t xml:space="preserve"> </w:t>
      </w:r>
      <w:r>
        <w:rPr>
          <w:color w:val="231F20"/>
          <w:spacing w:val="2"/>
        </w:rPr>
        <w:t>вразі,</w:t>
      </w:r>
      <w:r>
        <w:rPr>
          <w:color w:val="231F20"/>
          <w:spacing w:val="-25"/>
        </w:rPr>
        <w:t xml:space="preserve"> </w:t>
      </w:r>
      <w:r>
        <w:rPr>
          <w:color w:val="231F20"/>
        </w:rPr>
        <w:t>якщо є</w:t>
      </w:r>
      <w:r>
        <w:rPr>
          <w:color w:val="231F20"/>
          <w:spacing w:val="-9"/>
        </w:rPr>
        <w:t xml:space="preserve"> </w:t>
      </w:r>
      <w:r>
        <w:rPr>
          <w:color w:val="231F20"/>
        </w:rPr>
        <w:t>інформація,</w:t>
      </w:r>
      <w:r>
        <w:rPr>
          <w:color w:val="231F20"/>
          <w:spacing w:val="-9"/>
        </w:rPr>
        <w:t xml:space="preserve"> </w:t>
      </w:r>
      <w:r>
        <w:rPr>
          <w:color w:val="231F20"/>
        </w:rPr>
        <w:t>що</w:t>
      </w:r>
      <w:r>
        <w:rPr>
          <w:color w:val="231F20"/>
          <w:spacing w:val="-9"/>
        </w:rPr>
        <w:t xml:space="preserve"> </w:t>
      </w:r>
      <w:r>
        <w:rPr>
          <w:color w:val="231F20"/>
        </w:rPr>
        <w:t>свідчить</w:t>
      </w:r>
      <w:r>
        <w:rPr>
          <w:color w:val="231F20"/>
          <w:spacing w:val="-9"/>
        </w:rPr>
        <w:t xml:space="preserve"> </w:t>
      </w:r>
      <w:r>
        <w:rPr>
          <w:color w:val="231F20"/>
        </w:rPr>
        <w:t>про</w:t>
      </w:r>
      <w:r>
        <w:rPr>
          <w:color w:val="231F20"/>
          <w:spacing w:val="-9"/>
        </w:rPr>
        <w:t xml:space="preserve"> </w:t>
      </w:r>
      <w:r>
        <w:rPr>
          <w:color w:val="231F20"/>
        </w:rPr>
        <w:t>порушення</w:t>
      </w:r>
      <w:r>
        <w:rPr>
          <w:color w:val="231F20"/>
          <w:spacing w:val="-9"/>
        </w:rPr>
        <w:t xml:space="preserve"> </w:t>
      </w:r>
      <w:r>
        <w:rPr>
          <w:color w:val="231F20"/>
        </w:rPr>
        <w:t>власником</w:t>
      </w:r>
      <w:r>
        <w:rPr>
          <w:color w:val="231F20"/>
          <w:spacing w:val="-9"/>
        </w:rPr>
        <w:t xml:space="preserve"> </w:t>
      </w:r>
      <w:r>
        <w:rPr>
          <w:color w:val="231F20"/>
        </w:rPr>
        <w:t>транспортного засобу митних правил. Поліцейський зобов’язаний поінформувати водія</w:t>
      </w:r>
      <w:r>
        <w:rPr>
          <w:color w:val="231F20"/>
        </w:rPr>
        <w:t xml:space="preserve"> про конкретну причину зупинення ним транспортного засобу з детальним описом підстави зупинки. Невиконання водієм вимоги поліцейського про зупинку транспортного засобу становить склад адміністративного проступку, передбаченого  частиною  першою  </w:t>
      </w:r>
      <w:r>
        <w:rPr>
          <w:color w:val="231F20"/>
          <w:spacing w:val="-6"/>
        </w:rPr>
        <w:t xml:space="preserve">ст. </w:t>
      </w:r>
      <w:r>
        <w:rPr>
          <w:color w:val="231F20"/>
        </w:rPr>
        <w:t xml:space="preserve">122-2 </w:t>
      </w:r>
      <w:r>
        <w:rPr>
          <w:color w:val="231F20"/>
        </w:rPr>
        <w:t>КпАП</w:t>
      </w:r>
      <w:r>
        <w:rPr>
          <w:color w:val="231F20"/>
        </w:rPr>
        <w:t xml:space="preserve"> </w:t>
      </w:r>
      <w:r>
        <w:rPr>
          <w:color w:val="231F20"/>
          <w:spacing w:val="-3"/>
        </w:rPr>
        <w:t>України.</w:t>
      </w:r>
    </w:p>
    <w:p w14:paraId="5EAB519A" w14:textId="77777777" w:rsidR="00DE575E" w:rsidRDefault="002E7560">
      <w:pPr>
        <w:pStyle w:val="BodyText"/>
        <w:spacing w:before="6" w:line="252" w:lineRule="auto"/>
        <w:ind w:left="250" w:right="409" w:firstLine="283"/>
        <w:jc w:val="both"/>
      </w:pPr>
      <w:r>
        <w:rPr>
          <w:color w:val="231F20"/>
        </w:rPr>
        <w:t xml:space="preserve">– </w:t>
      </w:r>
      <w:r>
        <w:rPr>
          <w:i/>
          <w:color w:val="231F20"/>
        </w:rPr>
        <w:t xml:space="preserve">Заборона чи зупинення певних робіт або експлуатації різних </w:t>
      </w:r>
      <w:r>
        <w:rPr>
          <w:i/>
          <w:color w:val="231F20"/>
          <w:spacing w:val="-3"/>
        </w:rPr>
        <w:t xml:space="preserve">об’єктів </w:t>
      </w:r>
      <w:r>
        <w:rPr>
          <w:color w:val="231F20"/>
        </w:rPr>
        <w:t xml:space="preserve">(зокрема експлуатації різних машин і механізмів – самохід- них сільськогосподарських машин, річкових або маломірних </w:t>
      </w:r>
      <w:r>
        <w:rPr>
          <w:color w:val="231F20"/>
          <w:spacing w:val="-3"/>
        </w:rPr>
        <w:t xml:space="preserve">суден </w:t>
      </w:r>
      <w:r>
        <w:rPr>
          <w:color w:val="231F20"/>
        </w:rPr>
        <w:t>тощо). Цей захід належить до компетенції низки пра</w:t>
      </w:r>
      <w:r>
        <w:rPr>
          <w:color w:val="231F20"/>
        </w:rPr>
        <w:t xml:space="preserve">воохоронних та контрольно-наглядових органів. Зокрема поліції надано право опечатувати й закривати </w:t>
      </w:r>
      <w:r>
        <w:rPr>
          <w:color w:val="231F20"/>
          <w:spacing w:val="-4"/>
        </w:rPr>
        <w:t xml:space="preserve">об’єкти, </w:t>
      </w:r>
      <w:r>
        <w:rPr>
          <w:color w:val="231F20"/>
        </w:rPr>
        <w:t>де зберігаються чи використову- ються зброя, інші предмети, на які поширюється дозвільна система органів</w:t>
      </w:r>
      <w:r>
        <w:rPr>
          <w:color w:val="231F20"/>
          <w:spacing w:val="-7"/>
        </w:rPr>
        <w:t xml:space="preserve"> </w:t>
      </w:r>
      <w:r>
        <w:rPr>
          <w:color w:val="231F20"/>
        </w:rPr>
        <w:t>внутрішніх</w:t>
      </w:r>
      <w:r>
        <w:rPr>
          <w:color w:val="231F20"/>
          <w:spacing w:val="-7"/>
        </w:rPr>
        <w:t xml:space="preserve"> </w:t>
      </w:r>
      <w:r>
        <w:rPr>
          <w:color w:val="231F20"/>
        </w:rPr>
        <w:t>справ,</w:t>
      </w:r>
      <w:r>
        <w:rPr>
          <w:color w:val="231F20"/>
          <w:spacing w:val="-7"/>
        </w:rPr>
        <w:t xml:space="preserve"> </w:t>
      </w:r>
      <w:r>
        <w:rPr>
          <w:color w:val="231F20"/>
        </w:rPr>
        <w:t>у</w:t>
      </w:r>
      <w:r>
        <w:rPr>
          <w:color w:val="231F20"/>
          <w:spacing w:val="-6"/>
        </w:rPr>
        <w:t xml:space="preserve"> </w:t>
      </w:r>
      <w:r>
        <w:rPr>
          <w:color w:val="231F20"/>
        </w:rPr>
        <w:t>разі</w:t>
      </w:r>
      <w:r>
        <w:rPr>
          <w:color w:val="231F20"/>
          <w:spacing w:val="-7"/>
        </w:rPr>
        <w:t xml:space="preserve"> </w:t>
      </w:r>
      <w:r>
        <w:rPr>
          <w:color w:val="231F20"/>
        </w:rPr>
        <w:t>виявлення</w:t>
      </w:r>
      <w:r>
        <w:rPr>
          <w:color w:val="231F20"/>
          <w:spacing w:val="-7"/>
        </w:rPr>
        <w:t xml:space="preserve"> </w:t>
      </w:r>
      <w:r>
        <w:rPr>
          <w:color w:val="231F20"/>
        </w:rPr>
        <w:t>порушенн</w:t>
      </w:r>
      <w:r>
        <w:rPr>
          <w:color w:val="231F20"/>
        </w:rPr>
        <w:t>я</w:t>
      </w:r>
      <w:r>
        <w:rPr>
          <w:color w:val="231F20"/>
          <w:spacing w:val="-7"/>
        </w:rPr>
        <w:t xml:space="preserve"> </w:t>
      </w:r>
      <w:r>
        <w:rPr>
          <w:color w:val="231F20"/>
        </w:rPr>
        <w:t>правил</w:t>
      </w:r>
      <w:r>
        <w:rPr>
          <w:color w:val="231F20"/>
          <w:spacing w:val="-7"/>
        </w:rPr>
        <w:t xml:space="preserve"> </w:t>
      </w:r>
      <w:r>
        <w:rPr>
          <w:color w:val="231F20"/>
        </w:rPr>
        <w:t>пово- дження з ними та правил їх використання, що загрожують громад- ській</w:t>
      </w:r>
      <w:r>
        <w:rPr>
          <w:color w:val="231F20"/>
          <w:spacing w:val="31"/>
        </w:rPr>
        <w:t xml:space="preserve"> </w:t>
      </w:r>
      <w:r>
        <w:rPr>
          <w:color w:val="231F20"/>
        </w:rPr>
        <w:t>безпеці,</w:t>
      </w:r>
      <w:r>
        <w:rPr>
          <w:color w:val="231F20"/>
          <w:spacing w:val="31"/>
        </w:rPr>
        <w:t xml:space="preserve"> </w:t>
      </w:r>
      <w:r>
        <w:rPr>
          <w:color w:val="231F20"/>
        </w:rPr>
        <w:t>до</w:t>
      </w:r>
      <w:r>
        <w:rPr>
          <w:color w:val="231F20"/>
          <w:spacing w:val="31"/>
        </w:rPr>
        <w:t xml:space="preserve"> </w:t>
      </w:r>
      <w:r>
        <w:rPr>
          <w:color w:val="231F20"/>
        </w:rPr>
        <w:t>усунення</w:t>
      </w:r>
      <w:r>
        <w:rPr>
          <w:color w:val="231F20"/>
          <w:spacing w:val="31"/>
        </w:rPr>
        <w:t xml:space="preserve"> </w:t>
      </w:r>
      <w:r>
        <w:rPr>
          <w:color w:val="231F20"/>
        </w:rPr>
        <w:t>таких</w:t>
      </w:r>
      <w:r>
        <w:rPr>
          <w:color w:val="231F20"/>
          <w:spacing w:val="32"/>
        </w:rPr>
        <w:t xml:space="preserve"> </w:t>
      </w:r>
      <w:r>
        <w:rPr>
          <w:color w:val="231F20"/>
        </w:rPr>
        <w:t>порушень</w:t>
      </w:r>
      <w:r>
        <w:rPr>
          <w:color w:val="231F20"/>
          <w:spacing w:val="31"/>
        </w:rPr>
        <w:t xml:space="preserve"> </w:t>
      </w:r>
      <w:r>
        <w:rPr>
          <w:color w:val="231F20"/>
          <w:spacing w:val="-5"/>
        </w:rPr>
        <w:t>(ст.</w:t>
      </w:r>
      <w:r>
        <w:rPr>
          <w:color w:val="231F20"/>
          <w:spacing w:val="-6"/>
        </w:rPr>
        <w:t xml:space="preserve"> </w:t>
      </w:r>
      <w:r>
        <w:rPr>
          <w:color w:val="231F20"/>
        </w:rPr>
        <w:t>39</w:t>
      </w:r>
      <w:r>
        <w:rPr>
          <w:color w:val="231F20"/>
          <w:spacing w:val="32"/>
        </w:rPr>
        <w:t xml:space="preserve"> </w:t>
      </w:r>
      <w:r>
        <w:rPr>
          <w:color w:val="231F20"/>
        </w:rPr>
        <w:t>Закону</w:t>
      </w:r>
      <w:r>
        <w:rPr>
          <w:color w:val="231F20"/>
          <w:spacing w:val="31"/>
        </w:rPr>
        <w:t xml:space="preserve"> </w:t>
      </w:r>
      <w:r>
        <w:rPr>
          <w:color w:val="231F20"/>
          <w:spacing w:val="-3"/>
        </w:rPr>
        <w:t>України</w:t>
      </w:r>
    </w:p>
    <w:p w14:paraId="6D665AB5" w14:textId="77777777" w:rsidR="00DE575E" w:rsidRDefault="002E7560">
      <w:pPr>
        <w:pStyle w:val="BodyText"/>
        <w:spacing w:before="5"/>
        <w:ind w:left="250"/>
      </w:pPr>
      <w:r>
        <w:rPr>
          <w:color w:val="231F20"/>
        </w:rPr>
        <w:t>«Про Національну поліцію»).</w:t>
      </w:r>
    </w:p>
    <w:p w14:paraId="0AB2C2D3" w14:textId="77777777" w:rsidR="00DE575E" w:rsidRDefault="002E7560">
      <w:pPr>
        <w:pStyle w:val="BodyText"/>
        <w:spacing w:before="13" w:line="252" w:lineRule="auto"/>
        <w:ind w:left="250" w:right="410" w:firstLine="283"/>
        <w:jc w:val="both"/>
      </w:pPr>
      <w:r>
        <w:rPr>
          <w:color w:val="231F20"/>
        </w:rPr>
        <w:t xml:space="preserve">Посадові особи Державної прикордонної служби </w:t>
      </w:r>
      <w:r>
        <w:rPr>
          <w:color w:val="231F20"/>
          <w:spacing w:val="-3"/>
        </w:rPr>
        <w:t xml:space="preserve">України </w:t>
      </w:r>
      <w:r>
        <w:rPr>
          <w:color w:val="231F20"/>
        </w:rPr>
        <w:t>мають право зупиняти або припиняти рибний промисел, морські наукові дослідження, інші роботи в територіальному морі, прилеглій зоні, виключній</w:t>
      </w:r>
      <w:r>
        <w:rPr>
          <w:color w:val="231F20"/>
          <w:spacing w:val="-6"/>
        </w:rPr>
        <w:t xml:space="preserve"> </w:t>
      </w:r>
      <w:r>
        <w:rPr>
          <w:color w:val="231F20"/>
        </w:rPr>
        <w:t>(морській)</w:t>
      </w:r>
      <w:r>
        <w:rPr>
          <w:color w:val="231F20"/>
          <w:spacing w:val="-6"/>
        </w:rPr>
        <w:t xml:space="preserve"> </w:t>
      </w:r>
      <w:r>
        <w:rPr>
          <w:color w:val="231F20"/>
        </w:rPr>
        <w:t>економічній</w:t>
      </w:r>
      <w:r>
        <w:rPr>
          <w:color w:val="231F20"/>
          <w:spacing w:val="-6"/>
        </w:rPr>
        <w:t xml:space="preserve"> </w:t>
      </w:r>
      <w:r>
        <w:rPr>
          <w:color w:val="231F20"/>
        </w:rPr>
        <w:t>зоні</w:t>
      </w:r>
      <w:r>
        <w:rPr>
          <w:color w:val="231F20"/>
          <w:spacing w:val="-6"/>
        </w:rPr>
        <w:t xml:space="preserve"> </w:t>
      </w:r>
      <w:r>
        <w:rPr>
          <w:color w:val="231F20"/>
        </w:rPr>
        <w:t>та</w:t>
      </w:r>
      <w:r>
        <w:rPr>
          <w:color w:val="231F20"/>
          <w:spacing w:val="-6"/>
        </w:rPr>
        <w:t xml:space="preserve"> </w:t>
      </w:r>
      <w:r>
        <w:rPr>
          <w:color w:val="231F20"/>
        </w:rPr>
        <w:t>внутрішніх</w:t>
      </w:r>
      <w:r>
        <w:rPr>
          <w:color w:val="231F20"/>
          <w:spacing w:val="-6"/>
        </w:rPr>
        <w:t xml:space="preserve"> </w:t>
      </w:r>
      <w:r>
        <w:rPr>
          <w:color w:val="231F20"/>
        </w:rPr>
        <w:t>водах</w:t>
      </w:r>
      <w:r>
        <w:rPr>
          <w:color w:val="231F20"/>
          <w:spacing w:val="-6"/>
        </w:rPr>
        <w:t xml:space="preserve"> </w:t>
      </w:r>
      <w:r>
        <w:rPr>
          <w:color w:val="231F20"/>
          <w:spacing w:val="-3"/>
        </w:rPr>
        <w:t xml:space="preserve">України </w:t>
      </w:r>
      <w:r>
        <w:rPr>
          <w:color w:val="231F20"/>
        </w:rPr>
        <w:t xml:space="preserve">в разі відсутності відповідного дозволу (погодження) або </w:t>
      </w:r>
      <w:r>
        <w:rPr>
          <w:color w:val="231F20"/>
        </w:rPr>
        <w:t>пору- шення</w:t>
      </w:r>
      <w:r>
        <w:rPr>
          <w:color w:val="231F20"/>
          <w:spacing w:val="35"/>
        </w:rPr>
        <w:t xml:space="preserve"> </w:t>
      </w:r>
      <w:r>
        <w:rPr>
          <w:color w:val="231F20"/>
        </w:rPr>
        <w:t>встановлених</w:t>
      </w:r>
      <w:r>
        <w:rPr>
          <w:color w:val="231F20"/>
          <w:spacing w:val="35"/>
        </w:rPr>
        <w:t xml:space="preserve"> </w:t>
      </w:r>
      <w:r>
        <w:rPr>
          <w:color w:val="231F20"/>
        </w:rPr>
        <w:t>правил</w:t>
      </w:r>
      <w:r>
        <w:rPr>
          <w:color w:val="231F20"/>
          <w:spacing w:val="35"/>
        </w:rPr>
        <w:t xml:space="preserve"> </w:t>
      </w:r>
      <w:r>
        <w:rPr>
          <w:color w:val="231F20"/>
        </w:rPr>
        <w:t>їх</w:t>
      </w:r>
      <w:r>
        <w:rPr>
          <w:color w:val="231F20"/>
          <w:spacing w:val="35"/>
        </w:rPr>
        <w:t xml:space="preserve"> </w:t>
      </w:r>
      <w:r>
        <w:rPr>
          <w:color w:val="231F20"/>
        </w:rPr>
        <w:t>проведення</w:t>
      </w:r>
      <w:r>
        <w:rPr>
          <w:color w:val="231F20"/>
          <w:spacing w:val="35"/>
        </w:rPr>
        <w:t xml:space="preserve"> </w:t>
      </w:r>
      <w:r>
        <w:rPr>
          <w:color w:val="231F20"/>
          <w:spacing w:val="-5"/>
        </w:rPr>
        <w:t xml:space="preserve">(ст. </w:t>
      </w:r>
      <w:r>
        <w:rPr>
          <w:color w:val="231F20"/>
        </w:rPr>
        <w:t>20</w:t>
      </w:r>
      <w:r>
        <w:rPr>
          <w:color w:val="231F20"/>
          <w:spacing w:val="35"/>
        </w:rPr>
        <w:t xml:space="preserve"> </w:t>
      </w:r>
      <w:r>
        <w:rPr>
          <w:color w:val="231F20"/>
        </w:rPr>
        <w:t>Закону</w:t>
      </w:r>
      <w:r>
        <w:rPr>
          <w:color w:val="231F20"/>
          <w:spacing w:val="35"/>
        </w:rPr>
        <w:t xml:space="preserve"> </w:t>
      </w:r>
      <w:r>
        <w:rPr>
          <w:color w:val="231F20"/>
          <w:spacing w:val="-3"/>
        </w:rPr>
        <w:t>України</w:t>
      </w:r>
    </w:p>
    <w:p w14:paraId="06E8CFE1" w14:textId="77777777" w:rsidR="00DE575E" w:rsidRDefault="002E7560">
      <w:pPr>
        <w:pStyle w:val="BodyText"/>
        <w:spacing w:before="3"/>
        <w:ind w:left="250"/>
      </w:pPr>
      <w:r>
        <w:rPr>
          <w:color w:val="231F20"/>
        </w:rPr>
        <w:t>«Про Державну прикордонну службу України»).</w:t>
      </w:r>
    </w:p>
    <w:p w14:paraId="2C7B9932" w14:textId="77777777" w:rsidR="00DE575E" w:rsidRDefault="00DE575E">
      <w:pPr>
        <w:pStyle w:val="BodyText"/>
        <w:spacing w:before="5"/>
        <w:rPr>
          <w:sz w:val="13"/>
        </w:rPr>
      </w:pPr>
    </w:p>
    <w:p w14:paraId="1CB0DE52" w14:textId="77777777" w:rsidR="00DE575E" w:rsidRDefault="002E7560">
      <w:pPr>
        <w:spacing w:before="92"/>
        <w:ind w:right="411"/>
        <w:jc w:val="right"/>
        <w:rPr>
          <w:rFonts w:ascii="Times New Roman"/>
          <w:sz w:val="20"/>
        </w:rPr>
      </w:pPr>
      <w:r>
        <w:rPr>
          <w:rFonts w:ascii="Times New Roman"/>
          <w:color w:val="231F20"/>
          <w:w w:val="90"/>
          <w:sz w:val="20"/>
        </w:rPr>
        <w:t>267</w:t>
      </w:r>
    </w:p>
    <w:p w14:paraId="484DAA6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68E4D1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C303CE0" w14:textId="3F86930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9F83FF4" wp14:editId="663FFAD4">
                <wp:extent cx="4140200" cy="6350"/>
                <wp:effectExtent l="0" t="0" r="12700" b="6350"/>
                <wp:docPr id="735"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36" name="Line 7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1E4418" id="Group_x0020_7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KYFjYgAIAAJgFAAAO&#10;AAAAAAAAAAAAAAAAACwCAABkcnMvZTJvRG9jLnhtbFBLAQItABQABgAIAAAAIQBMp7CQ2QAAAAMB&#10;AAAPAAAAAAAAAAAAAAAAANgEAABkcnMvZG93bnJldi54bWxQSwUGAAAAAAQABADzAAAA3gUAAAAA&#10;">
                <v:line id="Line_x0020_7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Z838YAAADcAAAADwAAAGRycy9kb3ducmV2LnhtbESP3WrCQBSE74W+w3IKvRHdtAGV6Cql&#10;UCi98C8+wDF7TEJ3z8bsatI+fVcQvBxm5htmseqtEVdqfe1Ywes4AUFcOF1zqeCQf45mIHxA1mgc&#10;k4Jf8rBaPg0WmGnX8Y6u+1CKCGGfoYIqhCaT0hcVWfRj1xBH7+RaiyHKtpS6xS7CrZFvSTKRFmuO&#10;CxU29FFR8bO/WAX5eRjMdvNtunxzTOXxvE7/LmulXp779zmIQH14hO/tL61gmk7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8GfN/GAAAA3AAAAA8AAAAAAAAA&#10;AAAAAAAAoQIAAGRycy9kb3ducmV2LnhtbFBLBQYAAAAABAAEAPkAAACUAwAAAAA=&#10;" strokecolor="#231f20" strokeweight=".5pt"/>
                <w10:anchorlock/>
              </v:group>
            </w:pict>
          </mc:Fallback>
        </mc:AlternateContent>
      </w:r>
    </w:p>
    <w:p w14:paraId="619C4F30" w14:textId="77777777" w:rsidR="00DE575E" w:rsidRDefault="00DE575E">
      <w:pPr>
        <w:pStyle w:val="BodyText"/>
        <w:spacing w:before="7"/>
        <w:rPr>
          <w:rFonts w:ascii="AdonisC"/>
          <w:i/>
          <w:sz w:val="11"/>
        </w:rPr>
      </w:pPr>
    </w:p>
    <w:p w14:paraId="4496E158" w14:textId="77777777" w:rsidR="00DE575E" w:rsidRDefault="002E7560">
      <w:pPr>
        <w:pStyle w:val="BodyText"/>
        <w:spacing w:before="101" w:line="252" w:lineRule="auto"/>
        <w:ind w:left="533" w:right="128" w:firstLine="283"/>
        <w:jc w:val="both"/>
      </w:pPr>
      <w:r>
        <w:rPr>
          <w:color w:val="231F20"/>
        </w:rPr>
        <w:t xml:space="preserve">Відповідно до п. 4 </w:t>
      </w:r>
      <w:r>
        <w:rPr>
          <w:color w:val="231F20"/>
          <w:spacing w:val="-6"/>
        </w:rPr>
        <w:t xml:space="preserve">ст. </w:t>
      </w:r>
      <w:r>
        <w:rPr>
          <w:color w:val="231F20"/>
        </w:rPr>
        <w:t xml:space="preserve">10 Закону </w:t>
      </w:r>
      <w:r>
        <w:rPr>
          <w:color w:val="231F20"/>
          <w:spacing w:val="-3"/>
        </w:rPr>
        <w:t xml:space="preserve">України </w:t>
      </w:r>
      <w:r>
        <w:rPr>
          <w:color w:val="231F20"/>
        </w:rPr>
        <w:t xml:space="preserve">«Про основні засади здійснення державного фінансового контролю в </w:t>
      </w:r>
      <w:r>
        <w:rPr>
          <w:color w:val="231F20"/>
          <w:spacing w:val="-3"/>
        </w:rPr>
        <w:t xml:space="preserve">Україні» </w:t>
      </w:r>
      <w:r>
        <w:rPr>
          <w:color w:val="231F20"/>
        </w:rPr>
        <w:t>органи державного</w:t>
      </w:r>
      <w:r>
        <w:rPr>
          <w:color w:val="231F20"/>
          <w:spacing w:val="-8"/>
        </w:rPr>
        <w:t xml:space="preserve"> </w:t>
      </w:r>
      <w:r>
        <w:rPr>
          <w:color w:val="231F20"/>
        </w:rPr>
        <w:t>фінансового</w:t>
      </w:r>
      <w:r>
        <w:rPr>
          <w:color w:val="231F20"/>
          <w:spacing w:val="-8"/>
        </w:rPr>
        <w:t xml:space="preserve"> </w:t>
      </w:r>
      <w:r>
        <w:rPr>
          <w:color w:val="231F20"/>
        </w:rPr>
        <w:t>контролю</w:t>
      </w:r>
      <w:r>
        <w:rPr>
          <w:color w:val="231F20"/>
          <w:spacing w:val="-7"/>
        </w:rPr>
        <w:t xml:space="preserve"> </w:t>
      </w:r>
      <w:r>
        <w:rPr>
          <w:color w:val="231F20"/>
        </w:rPr>
        <w:t>мають</w:t>
      </w:r>
      <w:r>
        <w:rPr>
          <w:color w:val="231F20"/>
          <w:spacing w:val="-8"/>
        </w:rPr>
        <w:t xml:space="preserve"> </w:t>
      </w:r>
      <w:r>
        <w:rPr>
          <w:color w:val="231F20"/>
        </w:rPr>
        <w:t>право</w:t>
      </w:r>
      <w:r>
        <w:rPr>
          <w:color w:val="231F20"/>
          <w:spacing w:val="-8"/>
        </w:rPr>
        <w:t xml:space="preserve"> </w:t>
      </w:r>
      <w:r>
        <w:rPr>
          <w:color w:val="231F20"/>
        </w:rPr>
        <w:t>вимагати</w:t>
      </w:r>
      <w:r>
        <w:rPr>
          <w:color w:val="231F20"/>
          <w:spacing w:val="-8"/>
        </w:rPr>
        <w:t xml:space="preserve"> </w:t>
      </w:r>
      <w:r>
        <w:rPr>
          <w:color w:val="231F20"/>
        </w:rPr>
        <w:t>від</w:t>
      </w:r>
      <w:r>
        <w:rPr>
          <w:color w:val="231F20"/>
          <w:spacing w:val="-8"/>
        </w:rPr>
        <w:t xml:space="preserve"> </w:t>
      </w:r>
      <w:r>
        <w:rPr>
          <w:color w:val="231F20"/>
        </w:rPr>
        <w:t>керів- ників підконтрольних установ пров</w:t>
      </w:r>
      <w:r>
        <w:rPr>
          <w:color w:val="231F20"/>
        </w:rPr>
        <w:t xml:space="preserve">едення інвентаризацій, у разі відмови – звернутися до </w:t>
      </w:r>
      <w:r>
        <w:rPr>
          <w:color w:val="231F20"/>
          <w:spacing w:val="-4"/>
        </w:rPr>
        <w:t xml:space="preserve">суду </w:t>
      </w:r>
      <w:r>
        <w:rPr>
          <w:color w:val="231F20"/>
        </w:rPr>
        <w:t xml:space="preserve">щодо спонукання до проведення таких інвентаризацій, а до ухвалення відповідного рішення </w:t>
      </w:r>
      <w:r>
        <w:rPr>
          <w:color w:val="231F20"/>
          <w:spacing w:val="-3"/>
        </w:rPr>
        <w:t xml:space="preserve">судом </w:t>
      </w:r>
      <w:r>
        <w:rPr>
          <w:color w:val="231F20"/>
        </w:rPr>
        <w:t>– опечатувати каси, касові приміщення, склади та архіви на термін не більше 24 годин з моменту такого</w:t>
      </w:r>
      <w:r>
        <w:rPr>
          <w:color w:val="231F20"/>
          <w:spacing w:val="-6"/>
        </w:rPr>
        <w:t xml:space="preserve"> </w:t>
      </w:r>
      <w:r>
        <w:rPr>
          <w:color w:val="231F20"/>
        </w:rPr>
        <w:t>о</w:t>
      </w:r>
      <w:r>
        <w:rPr>
          <w:color w:val="231F20"/>
        </w:rPr>
        <w:t>печатування.</w:t>
      </w:r>
    </w:p>
    <w:p w14:paraId="6B4FBEF0" w14:textId="77777777" w:rsidR="00DE575E" w:rsidRDefault="002E7560">
      <w:pPr>
        <w:pStyle w:val="BodyText"/>
        <w:spacing w:before="4" w:line="252" w:lineRule="auto"/>
        <w:ind w:left="533" w:right="127" w:firstLine="283"/>
        <w:jc w:val="both"/>
      </w:pPr>
      <w:r>
        <w:rPr>
          <w:color w:val="231F20"/>
        </w:rPr>
        <w:t>Органи виконавчої влади та органи місцевого самоврядування можуть обмежувати, тимчасово забороняти (зупиняти) або припи- няти відповідно до законодавства господарську чи інші види діяль- ності, пов’язані з порушенням умов і вимог до викидів за</w:t>
      </w:r>
      <w:r>
        <w:rPr>
          <w:color w:val="231F20"/>
        </w:rPr>
        <w:t>брудню- вальних речовин в атмосферне повітря і рівнів впливу фізичних та біологічних факторів на його стан, передбачених дозволами (ст. 12 Закону України «Про охорону атмосферного повітря»).</w:t>
      </w:r>
    </w:p>
    <w:p w14:paraId="6D5CF273" w14:textId="77777777" w:rsidR="00DE575E" w:rsidRDefault="002E7560">
      <w:pPr>
        <w:pStyle w:val="BodyText"/>
        <w:spacing w:before="3" w:line="252" w:lineRule="auto"/>
        <w:ind w:left="533" w:right="126" w:firstLine="283"/>
        <w:jc w:val="both"/>
      </w:pPr>
      <w:r>
        <w:rPr>
          <w:color w:val="231F20"/>
        </w:rPr>
        <w:t>Подібні повноваження має також багато інших державних орга- нів –</w:t>
      </w:r>
      <w:r>
        <w:rPr>
          <w:color w:val="231F20"/>
        </w:rPr>
        <w:t xml:space="preserve"> державної санітарно-епідеміологічної служби, ветеринарної медицини, природоохорони тощо.</w:t>
      </w:r>
    </w:p>
    <w:p w14:paraId="21CE09F5" w14:textId="77777777" w:rsidR="00DE575E" w:rsidRDefault="002E7560">
      <w:pPr>
        <w:spacing w:before="2" w:line="252" w:lineRule="auto"/>
        <w:ind w:left="533" w:right="128" w:firstLine="283"/>
        <w:jc w:val="both"/>
        <w:rPr>
          <w:sz w:val="21"/>
        </w:rPr>
      </w:pPr>
      <w:r>
        <w:rPr>
          <w:color w:val="231F20"/>
          <w:sz w:val="21"/>
        </w:rPr>
        <w:t xml:space="preserve">2. </w:t>
      </w:r>
      <w:r>
        <w:rPr>
          <w:i/>
          <w:color w:val="231F20"/>
          <w:sz w:val="21"/>
          <w:u w:val="single" w:color="231F20"/>
        </w:rPr>
        <w:t>Заходи забезпечення провадження у справах про адміністра- тивні правопорушення</w:t>
      </w:r>
      <w:r>
        <w:rPr>
          <w:i/>
          <w:color w:val="231F20"/>
          <w:sz w:val="21"/>
        </w:rPr>
        <w:t xml:space="preserve"> </w:t>
      </w:r>
      <w:r>
        <w:rPr>
          <w:color w:val="231F20"/>
          <w:sz w:val="21"/>
        </w:rPr>
        <w:t xml:space="preserve">становлять особливу групу заходів адмініст- ративного припинення, </w:t>
      </w:r>
      <w:r>
        <w:rPr>
          <w:i/>
          <w:color w:val="231F20"/>
          <w:sz w:val="21"/>
        </w:rPr>
        <w:t xml:space="preserve">специфіка </w:t>
      </w:r>
      <w:r>
        <w:rPr>
          <w:color w:val="231F20"/>
          <w:sz w:val="21"/>
        </w:rPr>
        <w:t>яких пол</w:t>
      </w:r>
      <w:r>
        <w:rPr>
          <w:color w:val="231F20"/>
          <w:sz w:val="21"/>
        </w:rPr>
        <w:t>ягає в тому, що:</w:t>
      </w:r>
    </w:p>
    <w:p w14:paraId="7860D04C" w14:textId="77777777" w:rsidR="00DE575E" w:rsidRDefault="002E7560">
      <w:pPr>
        <w:pStyle w:val="ListParagraph"/>
        <w:numPr>
          <w:ilvl w:val="0"/>
          <w:numId w:val="165"/>
        </w:numPr>
        <w:tabs>
          <w:tab w:val="left" w:pos="1101"/>
        </w:tabs>
        <w:spacing w:line="252" w:lineRule="auto"/>
        <w:ind w:right="127" w:firstLine="284"/>
        <w:jc w:val="both"/>
        <w:rPr>
          <w:sz w:val="21"/>
        </w:rPr>
      </w:pPr>
      <w:r>
        <w:rPr>
          <w:color w:val="231F20"/>
          <w:sz w:val="21"/>
        </w:rPr>
        <w:t xml:space="preserve">вони застосовуються з метою припинення адміністратив-  них проступків, коли вичерпано інші </w:t>
      </w:r>
      <w:r>
        <w:rPr>
          <w:color w:val="231F20"/>
          <w:spacing w:val="-2"/>
          <w:sz w:val="21"/>
        </w:rPr>
        <w:t xml:space="preserve">заходи </w:t>
      </w:r>
      <w:r>
        <w:rPr>
          <w:color w:val="231F20"/>
          <w:spacing w:val="-3"/>
          <w:sz w:val="21"/>
        </w:rPr>
        <w:t xml:space="preserve">впливу, </w:t>
      </w:r>
      <w:r>
        <w:rPr>
          <w:color w:val="231F20"/>
          <w:sz w:val="21"/>
        </w:rPr>
        <w:t xml:space="preserve">встановлення особи, складення протоколу про адміністративне правопорушення, забезпечення </w:t>
      </w:r>
      <w:r>
        <w:rPr>
          <w:color w:val="231F20"/>
          <w:spacing w:val="-3"/>
          <w:sz w:val="21"/>
        </w:rPr>
        <w:t xml:space="preserve">розгляду </w:t>
      </w:r>
      <w:r>
        <w:rPr>
          <w:color w:val="231F20"/>
          <w:sz w:val="21"/>
        </w:rPr>
        <w:t>справи;</w:t>
      </w:r>
    </w:p>
    <w:p w14:paraId="3523DAB6" w14:textId="77777777" w:rsidR="00DE575E" w:rsidRDefault="002E7560">
      <w:pPr>
        <w:pStyle w:val="ListParagraph"/>
        <w:numPr>
          <w:ilvl w:val="0"/>
          <w:numId w:val="165"/>
        </w:numPr>
        <w:tabs>
          <w:tab w:val="left" w:pos="1101"/>
        </w:tabs>
        <w:spacing w:before="2" w:line="252" w:lineRule="auto"/>
        <w:ind w:right="128" w:firstLine="284"/>
        <w:jc w:val="both"/>
        <w:rPr>
          <w:sz w:val="21"/>
        </w:rPr>
      </w:pPr>
      <w:r>
        <w:rPr>
          <w:color w:val="231F20"/>
          <w:sz w:val="21"/>
        </w:rPr>
        <w:t>вони застосовуються тільки в рамках провадження, що ведеться у зв’язку з правопорушенням, тобто лише з моменту пору- шення</w:t>
      </w:r>
      <w:r>
        <w:rPr>
          <w:color w:val="231F20"/>
          <w:spacing w:val="-9"/>
          <w:sz w:val="21"/>
        </w:rPr>
        <w:t xml:space="preserve"> </w:t>
      </w:r>
      <w:r>
        <w:rPr>
          <w:color w:val="231F20"/>
          <w:sz w:val="21"/>
        </w:rPr>
        <w:t>справи</w:t>
      </w:r>
      <w:r>
        <w:rPr>
          <w:color w:val="231F20"/>
          <w:spacing w:val="-9"/>
          <w:sz w:val="21"/>
        </w:rPr>
        <w:t xml:space="preserve"> </w:t>
      </w:r>
      <w:r>
        <w:rPr>
          <w:color w:val="231F20"/>
          <w:sz w:val="21"/>
        </w:rPr>
        <w:t>і</w:t>
      </w:r>
      <w:r>
        <w:rPr>
          <w:color w:val="231F20"/>
          <w:spacing w:val="-9"/>
          <w:sz w:val="21"/>
        </w:rPr>
        <w:t xml:space="preserve"> </w:t>
      </w:r>
      <w:r>
        <w:rPr>
          <w:color w:val="231F20"/>
          <w:sz w:val="21"/>
        </w:rPr>
        <w:t>до</w:t>
      </w:r>
      <w:r>
        <w:rPr>
          <w:color w:val="231F20"/>
          <w:spacing w:val="-9"/>
          <w:sz w:val="21"/>
        </w:rPr>
        <w:t xml:space="preserve"> </w:t>
      </w:r>
      <w:r>
        <w:rPr>
          <w:color w:val="231F20"/>
          <w:sz w:val="21"/>
        </w:rPr>
        <w:t>її</w:t>
      </w:r>
      <w:r>
        <w:rPr>
          <w:color w:val="231F20"/>
          <w:spacing w:val="-9"/>
          <w:sz w:val="21"/>
        </w:rPr>
        <w:t xml:space="preserve"> </w:t>
      </w:r>
      <w:r>
        <w:rPr>
          <w:color w:val="231F20"/>
          <w:sz w:val="21"/>
        </w:rPr>
        <w:t>припинення</w:t>
      </w:r>
      <w:r>
        <w:rPr>
          <w:color w:val="231F20"/>
          <w:spacing w:val="-9"/>
          <w:sz w:val="21"/>
        </w:rPr>
        <w:t xml:space="preserve"> </w:t>
      </w:r>
      <w:r>
        <w:rPr>
          <w:color w:val="231F20"/>
          <w:sz w:val="21"/>
        </w:rPr>
        <w:t>і</w:t>
      </w:r>
      <w:r>
        <w:rPr>
          <w:color w:val="231F20"/>
          <w:spacing w:val="-9"/>
          <w:sz w:val="21"/>
        </w:rPr>
        <w:t xml:space="preserve"> </w:t>
      </w:r>
      <w:r>
        <w:rPr>
          <w:color w:val="231F20"/>
          <w:sz w:val="21"/>
        </w:rPr>
        <w:t>лише</w:t>
      </w:r>
      <w:r>
        <w:rPr>
          <w:color w:val="231F20"/>
          <w:spacing w:val="-9"/>
          <w:sz w:val="21"/>
        </w:rPr>
        <w:t xml:space="preserve"> </w:t>
      </w:r>
      <w:r>
        <w:rPr>
          <w:color w:val="231F20"/>
          <w:sz w:val="21"/>
        </w:rPr>
        <w:t>до</w:t>
      </w:r>
      <w:r>
        <w:rPr>
          <w:color w:val="231F20"/>
          <w:spacing w:val="-9"/>
          <w:sz w:val="21"/>
        </w:rPr>
        <w:t xml:space="preserve"> </w:t>
      </w:r>
      <w:r>
        <w:rPr>
          <w:color w:val="231F20"/>
          <w:sz w:val="21"/>
        </w:rPr>
        <w:t>особи,</w:t>
      </w:r>
      <w:r>
        <w:rPr>
          <w:color w:val="231F20"/>
          <w:spacing w:val="-9"/>
          <w:sz w:val="21"/>
        </w:rPr>
        <w:t xml:space="preserve"> </w:t>
      </w:r>
      <w:r>
        <w:rPr>
          <w:color w:val="231F20"/>
          <w:sz w:val="21"/>
        </w:rPr>
        <w:t>яка</w:t>
      </w:r>
      <w:r>
        <w:rPr>
          <w:color w:val="231F20"/>
          <w:spacing w:val="-8"/>
          <w:sz w:val="21"/>
        </w:rPr>
        <w:t xml:space="preserve"> </w:t>
      </w:r>
      <w:r>
        <w:rPr>
          <w:color w:val="231F20"/>
          <w:sz w:val="21"/>
        </w:rPr>
        <w:t>вчинила</w:t>
      </w:r>
      <w:r>
        <w:rPr>
          <w:color w:val="231F20"/>
          <w:spacing w:val="-9"/>
          <w:sz w:val="21"/>
        </w:rPr>
        <w:t xml:space="preserve"> </w:t>
      </w:r>
      <w:r>
        <w:rPr>
          <w:color w:val="231F20"/>
          <w:sz w:val="21"/>
        </w:rPr>
        <w:t>право- порушення;</w:t>
      </w:r>
    </w:p>
    <w:p w14:paraId="3B8A4F8F" w14:textId="77777777" w:rsidR="00DE575E" w:rsidRDefault="002E7560">
      <w:pPr>
        <w:pStyle w:val="ListParagraph"/>
        <w:numPr>
          <w:ilvl w:val="0"/>
          <w:numId w:val="165"/>
        </w:numPr>
        <w:tabs>
          <w:tab w:val="left" w:pos="1101"/>
        </w:tabs>
        <w:spacing w:before="2" w:line="252" w:lineRule="auto"/>
        <w:ind w:right="127" w:firstLine="284"/>
        <w:jc w:val="both"/>
        <w:rPr>
          <w:sz w:val="21"/>
        </w:rPr>
      </w:pPr>
      <w:r>
        <w:rPr>
          <w:color w:val="231F20"/>
          <w:sz w:val="21"/>
        </w:rPr>
        <w:t>є</w:t>
      </w:r>
      <w:r>
        <w:rPr>
          <w:color w:val="231F20"/>
          <w:spacing w:val="-6"/>
          <w:sz w:val="21"/>
        </w:rPr>
        <w:t xml:space="preserve"> </w:t>
      </w:r>
      <w:r>
        <w:rPr>
          <w:color w:val="231F20"/>
          <w:sz w:val="21"/>
        </w:rPr>
        <w:t>додаткові</w:t>
      </w:r>
      <w:r>
        <w:rPr>
          <w:color w:val="231F20"/>
          <w:spacing w:val="-6"/>
          <w:sz w:val="21"/>
        </w:rPr>
        <w:t xml:space="preserve"> </w:t>
      </w:r>
      <w:r>
        <w:rPr>
          <w:color w:val="231F20"/>
          <w:sz w:val="21"/>
        </w:rPr>
        <w:t>підстави</w:t>
      </w:r>
      <w:r>
        <w:rPr>
          <w:color w:val="231F20"/>
          <w:spacing w:val="-6"/>
          <w:sz w:val="21"/>
        </w:rPr>
        <w:t xml:space="preserve"> </w:t>
      </w:r>
      <w:r>
        <w:rPr>
          <w:color w:val="231F20"/>
          <w:sz w:val="21"/>
        </w:rPr>
        <w:t>застосування</w:t>
      </w:r>
      <w:r>
        <w:rPr>
          <w:color w:val="231F20"/>
          <w:spacing w:val="-6"/>
          <w:sz w:val="21"/>
        </w:rPr>
        <w:t xml:space="preserve"> </w:t>
      </w:r>
      <w:r>
        <w:rPr>
          <w:color w:val="231F20"/>
          <w:sz w:val="21"/>
        </w:rPr>
        <w:t>цих</w:t>
      </w:r>
      <w:r>
        <w:rPr>
          <w:color w:val="231F20"/>
          <w:spacing w:val="-6"/>
          <w:sz w:val="21"/>
        </w:rPr>
        <w:t xml:space="preserve"> </w:t>
      </w:r>
      <w:r>
        <w:rPr>
          <w:color w:val="231F20"/>
          <w:sz w:val="21"/>
        </w:rPr>
        <w:t>заходів</w:t>
      </w:r>
      <w:r>
        <w:rPr>
          <w:color w:val="231F20"/>
          <w:spacing w:val="-8"/>
          <w:sz w:val="21"/>
        </w:rPr>
        <w:t xml:space="preserve"> </w:t>
      </w:r>
      <w:r>
        <w:rPr>
          <w:color w:val="231F20"/>
          <w:sz w:val="21"/>
        </w:rPr>
        <w:t>–</w:t>
      </w:r>
      <w:r>
        <w:rPr>
          <w:color w:val="231F20"/>
          <w:spacing w:val="-6"/>
          <w:sz w:val="21"/>
        </w:rPr>
        <w:t xml:space="preserve"> </w:t>
      </w:r>
      <w:r>
        <w:rPr>
          <w:color w:val="231F20"/>
          <w:sz w:val="21"/>
        </w:rPr>
        <w:t>неможливість</w:t>
      </w:r>
      <w:r>
        <w:rPr>
          <w:color w:val="231F20"/>
          <w:sz w:val="21"/>
        </w:rPr>
        <w:t xml:space="preserve"> припинення правопорушення іншими засобами, виконання інших процедурних дій (складення </w:t>
      </w:r>
      <w:r>
        <w:rPr>
          <w:color w:val="231F20"/>
          <w:spacing w:val="-3"/>
          <w:sz w:val="21"/>
        </w:rPr>
        <w:t xml:space="preserve">протоколу, </w:t>
      </w:r>
      <w:r>
        <w:rPr>
          <w:color w:val="231F20"/>
          <w:sz w:val="21"/>
        </w:rPr>
        <w:t>встановлення особи тощо), можливе вчинення особою нових</w:t>
      </w:r>
      <w:r>
        <w:rPr>
          <w:color w:val="231F20"/>
          <w:spacing w:val="-2"/>
          <w:sz w:val="21"/>
        </w:rPr>
        <w:t xml:space="preserve"> </w:t>
      </w:r>
      <w:r>
        <w:rPr>
          <w:color w:val="231F20"/>
          <w:sz w:val="21"/>
        </w:rPr>
        <w:t>проступків;</w:t>
      </w:r>
    </w:p>
    <w:p w14:paraId="441AF9D0" w14:textId="77777777" w:rsidR="00DE575E" w:rsidRDefault="002E7560">
      <w:pPr>
        <w:pStyle w:val="ListParagraph"/>
        <w:numPr>
          <w:ilvl w:val="0"/>
          <w:numId w:val="165"/>
        </w:numPr>
        <w:tabs>
          <w:tab w:val="left" w:pos="1101"/>
        </w:tabs>
        <w:spacing w:before="2" w:line="252" w:lineRule="auto"/>
        <w:ind w:right="129" w:firstLine="284"/>
        <w:jc w:val="both"/>
        <w:rPr>
          <w:sz w:val="21"/>
        </w:rPr>
      </w:pPr>
      <w:r>
        <w:rPr>
          <w:color w:val="231F20"/>
          <w:sz w:val="21"/>
        </w:rPr>
        <w:t>це</w:t>
      </w:r>
      <w:r>
        <w:rPr>
          <w:color w:val="231F20"/>
          <w:spacing w:val="-12"/>
          <w:sz w:val="21"/>
        </w:rPr>
        <w:t xml:space="preserve"> </w:t>
      </w:r>
      <w:r>
        <w:rPr>
          <w:color w:val="231F20"/>
          <w:sz w:val="21"/>
        </w:rPr>
        <w:t>несамостійні,</w:t>
      </w:r>
      <w:r>
        <w:rPr>
          <w:color w:val="231F20"/>
          <w:spacing w:val="-12"/>
          <w:sz w:val="21"/>
        </w:rPr>
        <w:t xml:space="preserve"> </w:t>
      </w:r>
      <w:r>
        <w:rPr>
          <w:color w:val="231F20"/>
          <w:sz w:val="21"/>
        </w:rPr>
        <w:t>допоміжні</w:t>
      </w:r>
      <w:r>
        <w:rPr>
          <w:color w:val="231F20"/>
          <w:spacing w:val="-12"/>
          <w:sz w:val="21"/>
        </w:rPr>
        <w:t xml:space="preserve"> </w:t>
      </w:r>
      <w:r>
        <w:rPr>
          <w:color w:val="231F20"/>
          <w:spacing w:val="-2"/>
          <w:sz w:val="21"/>
        </w:rPr>
        <w:t>заходи</w:t>
      </w:r>
      <w:r>
        <w:rPr>
          <w:color w:val="231F20"/>
          <w:spacing w:val="-12"/>
          <w:sz w:val="21"/>
        </w:rPr>
        <w:t xml:space="preserve"> </w:t>
      </w:r>
      <w:r>
        <w:rPr>
          <w:color w:val="231F20"/>
          <w:spacing w:val="-3"/>
          <w:sz w:val="21"/>
        </w:rPr>
        <w:t>впливу,</w:t>
      </w:r>
      <w:r>
        <w:rPr>
          <w:color w:val="231F20"/>
          <w:spacing w:val="-12"/>
          <w:sz w:val="21"/>
        </w:rPr>
        <w:t xml:space="preserve"> </w:t>
      </w:r>
      <w:r>
        <w:rPr>
          <w:color w:val="231F20"/>
          <w:sz w:val="21"/>
        </w:rPr>
        <w:t>вони</w:t>
      </w:r>
      <w:r>
        <w:rPr>
          <w:color w:val="231F20"/>
          <w:spacing w:val="-12"/>
          <w:sz w:val="21"/>
        </w:rPr>
        <w:t xml:space="preserve"> </w:t>
      </w:r>
      <w:r>
        <w:rPr>
          <w:color w:val="231F20"/>
          <w:sz w:val="21"/>
        </w:rPr>
        <w:t>не</w:t>
      </w:r>
      <w:r>
        <w:rPr>
          <w:color w:val="231F20"/>
          <w:spacing w:val="-12"/>
          <w:sz w:val="21"/>
        </w:rPr>
        <w:t xml:space="preserve"> </w:t>
      </w:r>
      <w:r>
        <w:rPr>
          <w:color w:val="231F20"/>
          <w:sz w:val="21"/>
        </w:rPr>
        <w:t>вважаються санкціями, не тягнуть додатко</w:t>
      </w:r>
      <w:r>
        <w:rPr>
          <w:color w:val="231F20"/>
          <w:sz w:val="21"/>
        </w:rPr>
        <w:t>вих обмежень для</w:t>
      </w:r>
      <w:r>
        <w:rPr>
          <w:color w:val="231F20"/>
          <w:spacing w:val="-9"/>
          <w:sz w:val="21"/>
        </w:rPr>
        <w:t xml:space="preserve"> </w:t>
      </w:r>
      <w:r>
        <w:rPr>
          <w:color w:val="231F20"/>
          <w:sz w:val="21"/>
        </w:rPr>
        <w:t>порушника;</w:t>
      </w:r>
    </w:p>
    <w:p w14:paraId="59EE8ABC" w14:textId="77777777" w:rsidR="00DE575E" w:rsidRDefault="002E7560">
      <w:pPr>
        <w:pStyle w:val="ListParagraph"/>
        <w:numPr>
          <w:ilvl w:val="0"/>
          <w:numId w:val="165"/>
        </w:numPr>
        <w:tabs>
          <w:tab w:val="left" w:pos="1101"/>
        </w:tabs>
        <w:spacing w:line="252" w:lineRule="auto"/>
        <w:ind w:right="126" w:firstLine="284"/>
        <w:jc w:val="both"/>
        <w:rPr>
          <w:sz w:val="21"/>
        </w:rPr>
      </w:pPr>
      <w:r>
        <w:rPr>
          <w:color w:val="231F20"/>
          <w:sz w:val="21"/>
        </w:rPr>
        <w:t>установлено спеціальний порядок їх застосування: перелік уповноважених органів і посадових осіб, які мають право їх засто- совувати, строки (в необхідних випадках), документальне оформ- лення (складення протоколу), порядок</w:t>
      </w:r>
      <w:r>
        <w:rPr>
          <w:color w:val="231F20"/>
          <w:spacing w:val="-4"/>
          <w:sz w:val="21"/>
        </w:rPr>
        <w:t xml:space="preserve"> </w:t>
      </w:r>
      <w:r>
        <w:rPr>
          <w:color w:val="231F20"/>
          <w:sz w:val="21"/>
        </w:rPr>
        <w:t>оскарження.</w:t>
      </w:r>
    </w:p>
    <w:p w14:paraId="2F4D36E6" w14:textId="77777777" w:rsidR="00DE575E" w:rsidRDefault="00DE575E">
      <w:pPr>
        <w:pStyle w:val="BodyText"/>
        <w:spacing w:before="6"/>
        <w:rPr>
          <w:sz w:val="12"/>
        </w:rPr>
      </w:pPr>
    </w:p>
    <w:p w14:paraId="403FDEE9" w14:textId="77777777" w:rsidR="00DE575E" w:rsidRDefault="002E7560">
      <w:pPr>
        <w:spacing w:before="92"/>
        <w:ind w:left="533"/>
        <w:rPr>
          <w:rFonts w:ascii="Times New Roman"/>
          <w:sz w:val="20"/>
        </w:rPr>
      </w:pPr>
      <w:r>
        <w:rPr>
          <w:rFonts w:ascii="Times New Roman"/>
          <w:color w:val="231F20"/>
          <w:sz w:val="20"/>
        </w:rPr>
        <w:t>268</w:t>
      </w:r>
    </w:p>
    <w:p w14:paraId="6D5763D0" w14:textId="77777777" w:rsidR="00DE575E" w:rsidRDefault="00DE575E">
      <w:pPr>
        <w:rPr>
          <w:rFonts w:ascii="Times New Roman"/>
          <w:sz w:val="20"/>
        </w:rPr>
        <w:sectPr w:rsidR="00DE575E">
          <w:pgSz w:w="8510" w:h="12760"/>
          <w:pgMar w:top="660" w:right="720" w:bottom="280" w:left="600" w:header="720" w:footer="720" w:gutter="0"/>
          <w:cols w:space="720"/>
        </w:sectPr>
      </w:pPr>
    </w:p>
    <w:p w14:paraId="4C9D143A"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411DE40A" w14:textId="46BA0A7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B2D3105" wp14:editId="12684F61">
                <wp:extent cx="4140200" cy="6350"/>
                <wp:effectExtent l="0" t="0" r="12700" b="6350"/>
                <wp:docPr id="733"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34" name="Line 7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D1757F" id="Group_x0020_7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583DF/AgAAmAUAAA4A&#10;AAAAAAAAAAAAAAAALAIAAGRycy9lMm9Eb2MueG1sUEsBAi0AFAAGAAgAAAAhAEynsJDZAAAAAwEA&#10;AA8AAAAAAAAAAAAAAAAA1wQAAGRycy9kb3ducmV2LnhtbFBLBQYAAAAABAAEAPMAAADdBQAAAAA=&#10;">
                <v:line id="Line_x0020_7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hHM8cAAADcAAAADwAAAGRycy9kb3ducmV2LnhtbESP3WrCQBSE7wXfYTkFb0rdtClWoqtI&#10;oSC98C8+wDF7TEJ3z8bsatI+fbdQ8HKYmW+Y+bK3Rtyo9bVjBc/jBARx4XTNpYJj/vE0BeEDskbj&#10;mBR8k4flYjiYY6Zdx3u6HUIpIoR9hgqqEJpMSl9UZNGPXUMcvbNrLYYo21LqFrsIt0a+JMlEWqw5&#10;LlTY0HtFxdfhahXkl8dgdttP0+XbUypPl036c90oNXroVzMQgfpwD/+311rBW/o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mEczxwAAANwAAAAPAAAAAAAA&#10;AAAAAAAAAKECAABkcnMvZG93bnJldi54bWxQSwUGAAAAAAQABAD5AAAAlQMAAAAA&#10;" strokecolor="#231f20" strokeweight=".5pt"/>
                <w10:anchorlock/>
              </v:group>
            </w:pict>
          </mc:Fallback>
        </mc:AlternateContent>
      </w:r>
    </w:p>
    <w:p w14:paraId="32C22DD9" w14:textId="77777777" w:rsidR="00DE575E" w:rsidRDefault="00DE575E">
      <w:pPr>
        <w:pStyle w:val="BodyText"/>
        <w:spacing w:before="7"/>
        <w:rPr>
          <w:rFonts w:ascii="AdonisC"/>
          <w:i/>
          <w:sz w:val="19"/>
        </w:rPr>
      </w:pPr>
    </w:p>
    <w:p w14:paraId="5E65ABFB" w14:textId="77777777" w:rsidR="00DE575E" w:rsidRDefault="002E7560">
      <w:pPr>
        <w:pStyle w:val="BodyText"/>
        <w:spacing w:before="1"/>
        <w:ind w:left="533"/>
      </w:pPr>
      <w:r>
        <w:rPr>
          <w:color w:val="231F20"/>
        </w:rPr>
        <w:t>До цих заходів відповідно до КпАП України належать:</w:t>
      </w:r>
    </w:p>
    <w:p w14:paraId="7D83A754" w14:textId="77777777" w:rsidR="00DE575E" w:rsidRDefault="002E7560">
      <w:pPr>
        <w:pStyle w:val="ListParagraph"/>
        <w:numPr>
          <w:ilvl w:val="0"/>
          <w:numId w:val="164"/>
        </w:numPr>
        <w:tabs>
          <w:tab w:val="left" w:pos="818"/>
        </w:tabs>
        <w:spacing w:before="12"/>
        <w:ind w:firstLine="283"/>
        <w:rPr>
          <w:sz w:val="21"/>
        </w:rPr>
      </w:pPr>
      <w:r>
        <w:rPr>
          <w:color w:val="231F20"/>
          <w:sz w:val="21"/>
        </w:rPr>
        <w:t xml:space="preserve">доставлення порушника </w:t>
      </w:r>
      <w:r>
        <w:rPr>
          <w:color w:val="231F20"/>
          <w:spacing w:val="-5"/>
          <w:sz w:val="21"/>
        </w:rPr>
        <w:t>(ст.</w:t>
      </w:r>
      <w:r>
        <w:rPr>
          <w:color w:val="231F20"/>
          <w:spacing w:val="-8"/>
          <w:sz w:val="21"/>
        </w:rPr>
        <w:t xml:space="preserve"> </w:t>
      </w:r>
      <w:r>
        <w:rPr>
          <w:color w:val="231F20"/>
          <w:sz w:val="21"/>
        </w:rPr>
        <w:t>259);</w:t>
      </w:r>
    </w:p>
    <w:p w14:paraId="3EB737FA" w14:textId="77777777" w:rsidR="00DE575E" w:rsidRDefault="002E7560">
      <w:pPr>
        <w:pStyle w:val="ListParagraph"/>
        <w:numPr>
          <w:ilvl w:val="0"/>
          <w:numId w:val="164"/>
        </w:numPr>
        <w:tabs>
          <w:tab w:val="left" w:pos="818"/>
        </w:tabs>
        <w:spacing w:before="13"/>
        <w:ind w:firstLine="283"/>
        <w:rPr>
          <w:sz w:val="21"/>
        </w:rPr>
      </w:pPr>
      <w:r>
        <w:rPr>
          <w:color w:val="231F20"/>
          <w:sz w:val="21"/>
        </w:rPr>
        <w:t xml:space="preserve">адміністративне затримання </w:t>
      </w:r>
      <w:r>
        <w:rPr>
          <w:color w:val="231F20"/>
          <w:spacing w:val="-5"/>
          <w:sz w:val="21"/>
        </w:rPr>
        <w:t xml:space="preserve">(ст. </w:t>
      </w:r>
      <w:r>
        <w:rPr>
          <w:color w:val="231F20"/>
          <w:spacing w:val="-6"/>
          <w:sz w:val="21"/>
        </w:rPr>
        <w:t>ст.</w:t>
      </w:r>
      <w:r>
        <w:rPr>
          <w:color w:val="231F20"/>
          <w:spacing w:val="-9"/>
          <w:sz w:val="21"/>
        </w:rPr>
        <w:t xml:space="preserve"> </w:t>
      </w:r>
      <w:r>
        <w:rPr>
          <w:color w:val="231F20"/>
          <w:sz w:val="21"/>
        </w:rPr>
        <w:t>261-263);</w:t>
      </w:r>
    </w:p>
    <w:p w14:paraId="15EB5268" w14:textId="77777777" w:rsidR="00DE575E" w:rsidRDefault="002E7560">
      <w:pPr>
        <w:pStyle w:val="ListParagraph"/>
        <w:numPr>
          <w:ilvl w:val="0"/>
          <w:numId w:val="164"/>
        </w:numPr>
        <w:tabs>
          <w:tab w:val="left" w:pos="818"/>
        </w:tabs>
        <w:spacing w:before="13"/>
        <w:ind w:firstLine="283"/>
        <w:rPr>
          <w:sz w:val="21"/>
        </w:rPr>
      </w:pPr>
      <w:r>
        <w:rPr>
          <w:color w:val="231F20"/>
          <w:sz w:val="21"/>
        </w:rPr>
        <w:t xml:space="preserve">особистий </w:t>
      </w:r>
      <w:r>
        <w:rPr>
          <w:color w:val="231F20"/>
          <w:spacing w:val="-3"/>
          <w:sz w:val="21"/>
        </w:rPr>
        <w:t xml:space="preserve">огляд </w:t>
      </w:r>
      <w:r>
        <w:rPr>
          <w:color w:val="231F20"/>
          <w:sz w:val="21"/>
        </w:rPr>
        <w:t xml:space="preserve">і </w:t>
      </w:r>
      <w:r>
        <w:rPr>
          <w:color w:val="231F20"/>
          <w:spacing w:val="-3"/>
          <w:sz w:val="21"/>
        </w:rPr>
        <w:t xml:space="preserve">огляд </w:t>
      </w:r>
      <w:r>
        <w:rPr>
          <w:color w:val="231F20"/>
          <w:sz w:val="21"/>
        </w:rPr>
        <w:t xml:space="preserve">речей </w:t>
      </w:r>
      <w:r>
        <w:rPr>
          <w:color w:val="231F20"/>
          <w:spacing w:val="-5"/>
          <w:sz w:val="21"/>
        </w:rPr>
        <w:t>(ст.</w:t>
      </w:r>
      <w:r>
        <w:rPr>
          <w:color w:val="231F20"/>
          <w:spacing w:val="-4"/>
          <w:sz w:val="21"/>
        </w:rPr>
        <w:t xml:space="preserve"> </w:t>
      </w:r>
      <w:r>
        <w:rPr>
          <w:color w:val="231F20"/>
          <w:sz w:val="21"/>
        </w:rPr>
        <w:t>264);</w:t>
      </w:r>
    </w:p>
    <w:p w14:paraId="7FC5186C" w14:textId="77777777" w:rsidR="00DE575E" w:rsidRDefault="002E7560">
      <w:pPr>
        <w:pStyle w:val="ListParagraph"/>
        <w:numPr>
          <w:ilvl w:val="0"/>
          <w:numId w:val="164"/>
        </w:numPr>
        <w:tabs>
          <w:tab w:val="left" w:pos="818"/>
        </w:tabs>
        <w:spacing w:before="13" w:line="252" w:lineRule="auto"/>
        <w:ind w:right="411" w:firstLine="283"/>
        <w:jc w:val="both"/>
        <w:rPr>
          <w:sz w:val="21"/>
        </w:rPr>
      </w:pPr>
      <w:r>
        <w:rPr>
          <w:color w:val="231F20"/>
          <w:sz w:val="21"/>
        </w:rPr>
        <w:t xml:space="preserve">вилучення речей і документів, що є знаряддям або безпо- середнім </w:t>
      </w:r>
      <w:r>
        <w:rPr>
          <w:color w:val="231F20"/>
          <w:spacing w:val="-3"/>
          <w:sz w:val="21"/>
        </w:rPr>
        <w:t xml:space="preserve">об’єктом </w:t>
      </w:r>
      <w:r>
        <w:rPr>
          <w:color w:val="231F20"/>
          <w:sz w:val="21"/>
        </w:rPr>
        <w:t xml:space="preserve">правопорушення, зокрема посвідчення водія, тимчасове затримання транспортних засобів </w:t>
      </w:r>
      <w:r>
        <w:rPr>
          <w:color w:val="231F20"/>
          <w:spacing w:val="-5"/>
          <w:sz w:val="21"/>
        </w:rPr>
        <w:t xml:space="preserve">(ст. </w:t>
      </w:r>
      <w:r>
        <w:rPr>
          <w:color w:val="231F20"/>
          <w:sz w:val="21"/>
        </w:rPr>
        <w:t>265-265-2,</w:t>
      </w:r>
      <w:r>
        <w:rPr>
          <w:color w:val="231F20"/>
          <w:spacing w:val="-26"/>
          <w:sz w:val="21"/>
        </w:rPr>
        <w:t xml:space="preserve"> </w:t>
      </w:r>
      <w:r>
        <w:rPr>
          <w:color w:val="231F20"/>
          <w:sz w:val="21"/>
        </w:rPr>
        <w:t>265-4);</w:t>
      </w:r>
    </w:p>
    <w:p w14:paraId="4746F3BA" w14:textId="77777777" w:rsidR="00DE575E" w:rsidRDefault="002E7560">
      <w:pPr>
        <w:pStyle w:val="ListParagraph"/>
        <w:numPr>
          <w:ilvl w:val="0"/>
          <w:numId w:val="164"/>
        </w:numPr>
        <w:tabs>
          <w:tab w:val="left" w:pos="818"/>
        </w:tabs>
        <w:spacing w:line="252" w:lineRule="auto"/>
        <w:ind w:right="410" w:firstLine="283"/>
        <w:jc w:val="both"/>
        <w:rPr>
          <w:sz w:val="21"/>
        </w:rPr>
      </w:pPr>
      <w:r>
        <w:rPr>
          <w:color w:val="231F20"/>
          <w:sz w:val="21"/>
        </w:rPr>
        <w:t xml:space="preserve">відсторонення осіб від керування транспортними засобами, річковими і маломірними </w:t>
      </w:r>
      <w:r>
        <w:rPr>
          <w:color w:val="231F20"/>
          <w:spacing w:val="-3"/>
          <w:sz w:val="21"/>
        </w:rPr>
        <w:t xml:space="preserve">суднами </w:t>
      </w:r>
      <w:r>
        <w:rPr>
          <w:color w:val="231F20"/>
          <w:sz w:val="21"/>
        </w:rPr>
        <w:t xml:space="preserve">та </w:t>
      </w:r>
      <w:r>
        <w:rPr>
          <w:color w:val="231F20"/>
          <w:spacing w:val="-3"/>
          <w:sz w:val="21"/>
        </w:rPr>
        <w:t xml:space="preserve">огляд </w:t>
      </w:r>
      <w:r>
        <w:rPr>
          <w:color w:val="231F20"/>
          <w:sz w:val="21"/>
        </w:rPr>
        <w:t>на стан алкогольного, наркотичного чи іншого сп’я</w:t>
      </w:r>
      <w:r>
        <w:rPr>
          <w:color w:val="231F20"/>
          <w:sz w:val="21"/>
        </w:rPr>
        <w:t>ніння або щодо перебування під впли- вом</w:t>
      </w:r>
      <w:r>
        <w:rPr>
          <w:color w:val="231F20"/>
          <w:spacing w:val="-9"/>
          <w:sz w:val="21"/>
        </w:rPr>
        <w:t xml:space="preserve"> </w:t>
      </w:r>
      <w:r>
        <w:rPr>
          <w:color w:val="231F20"/>
          <w:sz w:val="21"/>
        </w:rPr>
        <w:t>лікарських</w:t>
      </w:r>
      <w:r>
        <w:rPr>
          <w:color w:val="231F20"/>
          <w:spacing w:val="-9"/>
          <w:sz w:val="21"/>
        </w:rPr>
        <w:t xml:space="preserve"> </w:t>
      </w:r>
      <w:r>
        <w:rPr>
          <w:color w:val="231F20"/>
          <w:sz w:val="21"/>
        </w:rPr>
        <w:t>препаратів,</w:t>
      </w:r>
      <w:r>
        <w:rPr>
          <w:color w:val="231F20"/>
          <w:spacing w:val="-9"/>
          <w:sz w:val="21"/>
        </w:rPr>
        <w:t xml:space="preserve"> </w:t>
      </w:r>
      <w:r>
        <w:rPr>
          <w:color w:val="231F20"/>
          <w:sz w:val="21"/>
        </w:rPr>
        <w:t>що</w:t>
      </w:r>
      <w:r>
        <w:rPr>
          <w:color w:val="231F20"/>
          <w:spacing w:val="-9"/>
          <w:sz w:val="21"/>
        </w:rPr>
        <w:t xml:space="preserve"> </w:t>
      </w:r>
      <w:r>
        <w:rPr>
          <w:color w:val="231F20"/>
          <w:sz w:val="21"/>
        </w:rPr>
        <w:t>знижують</w:t>
      </w:r>
      <w:r>
        <w:rPr>
          <w:color w:val="231F20"/>
          <w:spacing w:val="-9"/>
          <w:sz w:val="21"/>
        </w:rPr>
        <w:t xml:space="preserve"> </w:t>
      </w:r>
      <w:r>
        <w:rPr>
          <w:color w:val="231F20"/>
          <w:sz w:val="21"/>
        </w:rPr>
        <w:t>їх</w:t>
      </w:r>
      <w:r>
        <w:rPr>
          <w:color w:val="231F20"/>
          <w:spacing w:val="-9"/>
          <w:sz w:val="21"/>
        </w:rPr>
        <w:t xml:space="preserve"> </w:t>
      </w:r>
      <w:r>
        <w:rPr>
          <w:color w:val="231F20"/>
          <w:sz w:val="21"/>
        </w:rPr>
        <w:t>увагу</w:t>
      </w:r>
      <w:r>
        <w:rPr>
          <w:color w:val="231F20"/>
          <w:spacing w:val="-9"/>
          <w:sz w:val="21"/>
        </w:rPr>
        <w:t xml:space="preserve"> </w:t>
      </w:r>
      <w:r>
        <w:rPr>
          <w:color w:val="231F20"/>
          <w:sz w:val="21"/>
        </w:rPr>
        <w:t>та</w:t>
      </w:r>
      <w:r>
        <w:rPr>
          <w:color w:val="231F20"/>
          <w:spacing w:val="-9"/>
          <w:sz w:val="21"/>
        </w:rPr>
        <w:t xml:space="preserve"> </w:t>
      </w:r>
      <w:r>
        <w:rPr>
          <w:color w:val="231F20"/>
          <w:sz w:val="21"/>
        </w:rPr>
        <w:t>швидкість</w:t>
      </w:r>
      <w:r>
        <w:rPr>
          <w:color w:val="231F20"/>
          <w:spacing w:val="-9"/>
          <w:sz w:val="21"/>
        </w:rPr>
        <w:t xml:space="preserve"> </w:t>
      </w:r>
      <w:r>
        <w:rPr>
          <w:color w:val="231F20"/>
          <w:sz w:val="21"/>
        </w:rPr>
        <w:t xml:space="preserve">реак- ції </w:t>
      </w:r>
      <w:r>
        <w:rPr>
          <w:color w:val="231F20"/>
          <w:spacing w:val="-5"/>
          <w:sz w:val="21"/>
        </w:rPr>
        <w:t xml:space="preserve">(ст. </w:t>
      </w:r>
      <w:r>
        <w:rPr>
          <w:color w:val="231F20"/>
          <w:sz w:val="21"/>
        </w:rPr>
        <w:t>266).</w:t>
      </w:r>
    </w:p>
    <w:p w14:paraId="0800F03B" w14:textId="77777777" w:rsidR="00DE575E" w:rsidRDefault="002E7560">
      <w:pPr>
        <w:pStyle w:val="BodyText"/>
        <w:spacing w:before="3" w:line="252" w:lineRule="auto"/>
        <w:ind w:left="250" w:right="410" w:firstLine="283"/>
        <w:jc w:val="both"/>
      </w:pPr>
      <w:r>
        <w:rPr>
          <w:b/>
          <w:i/>
          <w:color w:val="231F20"/>
        </w:rPr>
        <w:t xml:space="preserve">Заходи адміністративного припинення спеціального призна- чення </w:t>
      </w:r>
      <w:r>
        <w:rPr>
          <w:color w:val="231F20"/>
        </w:rPr>
        <w:t xml:space="preserve">є </w:t>
      </w:r>
      <w:r>
        <w:rPr>
          <w:i/>
          <w:color w:val="231F20"/>
        </w:rPr>
        <w:t>комплексом виняткових екстраординарних засобів адмі- ністративного вплив</w:t>
      </w:r>
      <w:r>
        <w:rPr>
          <w:i/>
          <w:color w:val="231F20"/>
        </w:rPr>
        <w:t xml:space="preserve">у. </w:t>
      </w:r>
      <w:r>
        <w:rPr>
          <w:color w:val="231F20"/>
        </w:rPr>
        <w:t>Спеціальний характер таких заходів визна- чає специфіку підстав їх застосування. Це, як правило, невідкладні випадки, коли потрібно припинити протиправні дії, небезпечні для життя</w:t>
      </w:r>
      <w:r>
        <w:rPr>
          <w:color w:val="231F20"/>
          <w:spacing w:val="-6"/>
        </w:rPr>
        <w:t xml:space="preserve"> </w:t>
      </w:r>
      <w:r>
        <w:rPr>
          <w:color w:val="231F20"/>
        </w:rPr>
        <w:t>і</w:t>
      </w:r>
      <w:r>
        <w:rPr>
          <w:color w:val="231F20"/>
          <w:spacing w:val="-6"/>
        </w:rPr>
        <w:t xml:space="preserve"> </w:t>
      </w:r>
      <w:r>
        <w:rPr>
          <w:color w:val="231F20"/>
        </w:rPr>
        <w:t>здоров’я</w:t>
      </w:r>
      <w:r>
        <w:rPr>
          <w:color w:val="231F20"/>
          <w:spacing w:val="-6"/>
        </w:rPr>
        <w:t xml:space="preserve"> </w:t>
      </w:r>
      <w:r>
        <w:rPr>
          <w:color w:val="231F20"/>
        </w:rPr>
        <w:t>людей.</w:t>
      </w:r>
      <w:r>
        <w:rPr>
          <w:color w:val="231F20"/>
          <w:spacing w:val="-6"/>
        </w:rPr>
        <w:t xml:space="preserve"> </w:t>
      </w:r>
      <w:r>
        <w:rPr>
          <w:color w:val="231F20"/>
        </w:rPr>
        <w:t>Крім</w:t>
      </w:r>
      <w:r>
        <w:rPr>
          <w:color w:val="231F20"/>
          <w:spacing w:val="-6"/>
        </w:rPr>
        <w:t xml:space="preserve"> </w:t>
      </w:r>
      <w:r>
        <w:rPr>
          <w:color w:val="231F20"/>
        </w:rPr>
        <w:t>того</w:t>
      </w:r>
      <w:r>
        <w:rPr>
          <w:color w:val="231F20"/>
          <w:spacing w:val="-6"/>
        </w:rPr>
        <w:t xml:space="preserve"> </w:t>
      </w:r>
      <w:r>
        <w:rPr>
          <w:color w:val="231F20"/>
          <w:spacing w:val="-2"/>
        </w:rPr>
        <w:t>заходи</w:t>
      </w:r>
      <w:r>
        <w:rPr>
          <w:color w:val="231F20"/>
          <w:spacing w:val="-6"/>
        </w:rPr>
        <w:t xml:space="preserve"> </w:t>
      </w:r>
      <w:r>
        <w:rPr>
          <w:color w:val="231F20"/>
        </w:rPr>
        <w:t>спеціального</w:t>
      </w:r>
      <w:r>
        <w:rPr>
          <w:color w:val="231F20"/>
          <w:spacing w:val="-6"/>
        </w:rPr>
        <w:t xml:space="preserve"> </w:t>
      </w:r>
      <w:r>
        <w:rPr>
          <w:color w:val="231F20"/>
        </w:rPr>
        <w:t>призначення застосовуютьс</w:t>
      </w:r>
      <w:r>
        <w:rPr>
          <w:color w:val="231F20"/>
        </w:rPr>
        <w:t xml:space="preserve">я тоді, коли </w:t>
      </w:r>
      <w:r>
        <w:rPr>
          <w:color w:val="231F20"/>
          <w:spacing w:val="-3"/>
        </w:rPr>
        <w:t xml:space="preserve">були </w:t>
      </w:r>
      <w:r>
        <w:rPr>
          <w:color w:val="231F20"/>
        </w:rPr>
        <w:t xml:space="preserve">використані й не дали бажаних </w:t>
      </w:r>
      <w:r>
        <w:rPr>
          <w:color w:val="231F20"/>
          <w:spacing w:val="-3"/>
        </w:rPr>
        <w:t xml:space="preserve">результатів </w:t>
      </w:r>
      <w:r>
        <w:rPr>
          <w:color w:val="231F20"/>
        </w:rPr>
        <w:t xml:space="preserve">усі інші форми попереднього впливу на правопорушни- ків. </w:t>
      </w:r>
      <w:r>
        <w:rPr>
          <w:color w:val="231F20"/>
          <w:spacing w:val="-5"/>
        </w:rPr>
        <w:t xml:space="preserve">Тому </w:t>
      </w:r>
      <w:r>
        <w:rPr>
          <w:color w:val="231F20"/>
        </w:rPr>
        <w:t>застосуванню сили, спеціальних засобів і зброї має пере- дувати попередження про намір їх застосувати. Зокрема поліцейсь- кий зобов’язаний заздалегідь попередити особу про застосування фізичної сили, спеціальних засобів і вогнепальної зброї і надати їй дос</w:t>
      </w:r>
      <w:r>
        <w:rPr>
          <w:color w:val="231F20"/>
        </w:rPr>
        <w:t xml:space="preserve">татньо часу для виконання законної вимоги поліцейського, крім </w:t>
      </w:r>
      <w:r>
        <w:rPr>
          <w:color w:val="231F20"/>
          <w:spacing w:val="-3"/>
        </w:rPr>
        <w:t xml:space="preserve">випадку, </w:t>
      </w:r>
      <w:r>
        <w:rPr>
          <w:color w:val="231F20"/>
        </w:rPr>
        <w:t>коли  зволікання  може  спричинити  посягання  на  життя і здоров’я особи чи та/або поліцейського або інші тяжкі наслідки, або в ситуації, що склалася, таке попередження є невиправданим</w:t>
      </w:r>
      <w:r>
        <w:rPr>
          <w:color w:val="231F20"/>
        </w:rPr>
        <w:t xml:space="preserve"> або</w:t>
      </w:r>
      <w:r>
        <w:rPr>
          <w:color w:val="231F20"/>
          <w:spacing w:val="-2"/>
        </w:rPr>
        <w:t xml:space="preserve"> </w:t>
      </w:r>
      <w:r>
        <w:rPr>
          <w:color w:val="231F20"/>
        </w:rPr>
        <w:t>неможливим.</w:t>
      </w:r>
    </w:p>
    <w:p w14:paraId="270CA9C1" w14:textId="77777777" w:rsidR="00DE575E" w:rsidRDefault="002E7560">
      <w:pPr>
        <w:spacing w:before="8" w:line="252" w:lineRule="auto"/>
        <w:ind w:left="250" w:right="411" w:firstLine="283"/>
        <w:jc w:val="both"/>
        <w:rPr>
          <w:sz w:val="21"/>
        </w:rPr>
      </w:pPr>
      <w:r>
        <w:rPr>
          <w:color w:val="231F20"/>
          <w:sz w:val="21"/>
        </w:rPr>
        <w:t xml:space="preserve">Спеціальними ці </w:t>
      </w:r>
      <w:r>
        <w:rPr>
          <w:color w:val="231F20"/>
          <w:spacing w:val="-2"/>
          <w:sz w:val="21"/>
        </w:rPr>
        <w:t xml:space="preserve">заходи </w:t>
      </w:r>
      <w:r>
        <w:rPr>
          <w:color w:val="231F20"/>
          <w:sz w:val="21"/>
        </w:rPr>
        <w:t xml:space="preserve">називаються ще й </w:t>
      </w:r>
      <w:r>
        <w:rPr>
          <w:color w:val="231F20"/>
          <w:spacing w:val="-4"/>
          <w:sz w:val="21"/>
        </w:rPr>
        <w:t xml:space="preserve">тому, </w:t>
      </w:r>
      <w:r>
        <w:rPr>
          <w:color w:val="231F20"/>
          <w:sz w:val="21"/>
        </w:rPr>
        <w:t xml:space="preserve">що вони спрямо- вані </w:t>
      </w:r>
      <w:r>
        <w:rPr>
          <w:i/>
          <w:color w:val="231F20"/>
          <w:sz w:val="21"/>
        </w:rPr>
        <w:t xml:space="preserve">безпосередньо на особу порушника, здатні завдати йому певної фізичної шкоди і навіть позбавити його життя. </w:t>
      </w:r>
      <w:r>
        <w:rPr>
          <w:color w:val="231F20"/>
          <w:sz w:val="21"/>
        </w:rPr>
        <w:t>У зв’язку з цим закон вимагає від працівників правоохоронних орга</w:t>
      </w:r>
      <w:r>
        <w:rPr>
          <w:color w:val="231F20"/>
          <w:sz w:val="21"/>
        </w:rPr>
        <w:t>нів застосову- вати силу в межах потреби й тільки тоді, коли уникнути її засто- сування неможливо. При цьому можливість заподіяння шкоди здоров’ю порушника має бути мінімальною.</w:t>
      </w:r>
    </w:p>
    <w:p w14:paraId="2BD90BEF" w14:textId="77777777" w:rsidR="00DE575E" w:rsidRDefault="002E7560">
      <w:pPr>
        <w:pStyle w:val="BodyText"/>
        <w:spacing w:before="4" w:line="252" w:lineRule="auto"/>
        <w:ind w:left="250" w:right="409" w:firstLine="283"/>
        <w:jc w:val="both"/>
      </w:pPr>
      <w:r>
        <w:rPr>
          <w:color w:val="231F20"/>
        </w:rPr>
        <w:t>Застосування фізичної сили, спеціальних засобів і вогнепаль-  ної зброї до жін</w:t>
      </w:r>
      <w:r>
        <w:rPr>
          <w:color w:val="231F20"/>
        </w:rPr>
        <w:t>ок з явними ознаками вагітності, малолітніх осіб, осіб з явними ознаками обмежених можливостей або</w:t>
      </w:r>
      <w:r>
        <w:rPr>
          <w:color w:val="231F20"/>
          <w:spacing w:val="26"/>
        </w:rPr>
        <w:t xml:space="preserve"> </w:t>
      </w:r>
      <w:r>
        <w:rPr>
          <w:color w:val="231F20"/>
        </w:rPr>
        <w:t>старості</w:t>
      </w:r>
    </w:p>
    <w:p w14:paraId="40AB99DB" w14:textId="77777777" w:rsidR="00DE575E" w:rsidRDefault="00DE575E">
      <w:pPr>
        <w:pStyle w:val="BodyText"/>
        <w:spacing w:before="5"/>
        <w:rPr>
          <w:sz w:val="12"/>
        </w:rPr>
      </w:pPr>
    </w:p>
    <w:p w14:paraId="123A2BB8" w14:textId="77777777" w:rsidR="00DE575E" w:rsidRDefault="002E7560">
      <w:pPr>
        <w:spacing w:before="92"/>
        <w:ind w:right="411"/>
        <w:jc w:val="right"/>
        <w:rPr>
          <w:rFonts w:ascii="Times New Roman"/>
          <w:sz w:val="20"/>
        </w:rPr>
      </w:pPr>
      <w:r>
        <w:rPr>
          <w:rFonts w:ascii="Times New Roman"/>
          <w:color w:val="231F20"/>
          <w:w w:val="90"/>
          <w:sz w:val="20"/>
        </w:rPr>
        <w:t>269</w:t>
      </w:r>
    </w:p>
    <w:p w14:paraId="5CABFE6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D4C412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16BB5A2" w14:textId="1124611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A2C820C" wp14:editId="178980F1">
                <wp:extent cx="4140200" cy="6350"/>
                <wp:effectExtent l="0" t="0" r="12700" b="6350"/>
                <wp:docPr id="731"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32" name="Line 73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8FB200" id="Group_x0020_73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Uj0Y9/AgAAmAUAAA4A&#10;AAAAAAAAAAAAAAAALAIAAGRycy9lMm9Eb2MueG1sUEsBAi0AFAAGAAgAAAAhAEynsJDZAAAAAwEA&#10;AA8AAAAAAAAAAAAAAAAA1wQAAGRycy9kb3ducmV2LnhtbFBLBQYAAAAABAAEAPMAAADdBQAAAAA=&#10;">
                <v:line id="Line_x0020_73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163MYAAADcAAAADwAAAGRycy9kb3ducmV2LnhtbESP0WrCQBRE3wv9h+UWfCm60UCV6CpF&#10;EMQHrcYPuGavSeju3ZhdTdqv7xYKfRxm5gyzWPXWiAe1vnasYDxKQBAXTtdcKjjnm+EMhA/IGo1j&#10;UvBFHlbL56cFZtp1fKTHKZQiQthnqKAKocmk9EVFFv3INcTRu7rWYoiyLaVusYtwa+QkSd6kxZrj&#10;QoUNrSsqPk93qyC/vQbzcdiZLj9cUnm57dPv+16pwUv/PgcRqA//4b/2ViuYph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A9etzGAAAA3AAAAA8AAAAAAAAA&#10;AAAAAAAAoQIAAGRycy9kb3ducmV2LnhtbFBLBQYAAAAABAAEAPkAAACUAwAAAAA=&#10;" strokecolor="#231f20" strokeweight=".5pt"/>
                <w10:anchorlock/>
              </v:group>
            </w:pict>
          </mc:Fallback>
        </mc:AlternateContent>
      </w:r>
    </w:p>
    <w:p w14:paraId="1C23BA22" w14:textId="77777777" w:rsidR="00DE575E" w:rsidRDefault="00DE575E">
      <w:pPr>
        <w:pStyle w:val="BodyText"/>
        <w:spacing w:before="7"/>
        <w:rPr>
          <w:rFonts w:ascii="AdonisC"/>
          <w:i/>
          <w:sz w:val="11"/>
        </w:rPr>
      </w:pPr>
    </w:p>
    <w:p w14:paraId="21A85943" w14:textId="77777777" w:rsidR="00DE575E" w:rsidRDefault="002E7560">
      <w:pPr>
        <w:pStyle w:val="BodyText"/>
        <w:spacing w:before="101" w:line="252" w:lineRule="auto"/>
        <w:ind w:left="533" w:right="126"/>
        <w:jc w:val="both"/>
      </w:pPr>
      <w:r>
        <w:rPr>
          <w:color w:val="231F20"/>
        </w:rPr>
        <w:t xml:space="preserve">заборонено, крім випадків учинення ними збройного чи групового </w:t>
      </w:r>
      <w:r>
        <w:rPr>
          <w:color w:val="231F20"/>
          <w:spacing w:val="-3"/>
        </w:rPr>
        <w:t xml:space="preserve">нападу, </w:t>
      </w:r>
      <w:r>
        <w:rPr>
          <w:color w:val="231F20"/>
        </w:rPr>
        <w:t xml:space="preserve">учинення збройного </w:t>
      </w:r>
      <w:r>
        <w:rPr>
          <w:color w:val="231F20"/>
          <w:spacing w:val="-4"/>
        </w:rPr>
        <w:t xml:space="preserve">опору, </w:t>
      </w:r>
      <w:r>
        <w:rPr>
          <w:color w:val="231F20"/>
        </w:rPr>
        <w:t>що загрожує життю і здоров’ю інших осіб, якщо відбити такий напад або опір іншими способами     і засобами</w:t>
      </w:r>
      <w:r>
        <w:rPr>
          <w:color w:val="231F20"/>
          <w:spacing w:val="-3"/>
        </w:rPr>
        <w:t xml:space="preserve"> </w:t>
      </w:r>
      <w:r>
        <w:rPr>
          <w:color w:val="231F20"/>
        </w:rPr>
        <w:t>неможливо.</w:t>
      </w:r>
    </w:p>
    <w:p w14:paraId="52751314" w14:textId="77777777" w:rsidR="00DE575E" w:rsidRDefault="002E7560">
      <w:pPr>
        <w:pStyle w:val="BodyText"/>
        <w:spacing w:before="2" w:line="252" w:lineRule="auto"/>
        <w:ind w:left="533" w:right="126" w:firstLine="283"/>
        <w:jc w:val="both"/>
      </w:pPr>
      <w:r>
        <w:rPr>
          <w:color w:val="231F20"/>
        </w:rPr>
        <w:t xml:space="preserve">Поліцейські та працівники інших правоохоронних органів можуть </w:t>
      </w:r>
      <w:r>
        <w:rPr>
          <w:i/>
          <w:color w:val="231F20"/>
        </w:rPr>
        <w:t>застосовувати фізичну силу</w:t>
      </w:r>
      <w:r>
        <w:rPr>
          <w:color w:val="231F20"/>
        </w:rPr>
        <w:t>, зокрема спеціальні прийоми боротьби (рукопашного бою), для забезпечення особистої безпеки або/та безпеки інших осіб, припинення правопорушення, затри- мання особи, як</w:t>
      </w:r>
      <w:r>
        <w:rPr>
          <w:color w:val="231F20"/>
        </w:rPr>
        <w:t>а вчинила правопорушення, якщо застосування інших заходів не забезпечує виконання повноважень, покладених на них законом.</w:t>
      </w:r>
    </w:p>
    <w:p w14:paraId="7069BD24" w14:textId="77777777" w:rsidR="00DE575E" w:rsidRDefault="002E7560">
      <w:pPr>
        <w:pStyle w:val="BodyText"/>
        <w:spacing w:before="3" w:line="252" w:lineRule="auto"/>
        <w:ind w:left="533" w:right="123" w:firstLine="283"/>
        <w:jc w:val="both"/>
      </w:pPr>
      <w:r>
        <w:rPr>
          <w:i/>
          <w:color w:val="231F20"/>
        </w:rPr>
        <w:t xml:space="preserve">Застосування спеціальних засобів </w:t>
      </w:r>
      <w:r>
        <w:rPr>
          <w:color w:val="231F20"/>
        </w:rPr>
        <w:t xml:space="preserve">(пристроїв, приладів і пред- метів,   спеціально    виготовлених,    конструктивно    призначених  і </w:t>
      </w:r>
      <w:r>
        <w:rPr>
          <w:color w:val="231F20"/>
        </w:rPr>
        <w:t>технічно придатних для захисту людей від ураження різними предметами, тимчасового (відворотного) ураження людини (правопорушника, супротивника), пригнічення чи обмеження волі людини (психологічної чи  фізичної)  шляхом  здійснення  впливу на неї чи предмет</w:t>
      </w:r>
      <w:r>
        <w:rPr>
          <w:color w:val="231F20"/>
        </w:rPr>
        <w:t xml:space="preserve">и, що її оточують (гумові та пластикові кийки, електрошокові пристрої, засоби обмеження рухомості (кайданки, сітки для зв’язування тощо), засоби примусової зупинки тран- спорту, засоби акустичного та мікрохвильового впливу, пристрої, гранати та боєприпаси </w:t>
      </w:r>
      <w:r>
        <w:rPr>
          <w:color w:val="231F20"/>
        </w:rPr>
        <w:t xml:space="preserve">світлозвукової дії, засоби, споряджені гумовими або аналогічними снарядами несмертельної дії, засоби, споряджені речовинами сльозогінної та дратівної дії та ін.) </w:t>
      </w:r>
      <w:r>
        <w:rPr>
          <w:color w:val="231F20"/>
          <w:spacing w:val="-4"/>
        </w:rPr>
        <w:t xml:space="preserve">(ст. </w:t>
      </w:r>
      <w:r>
        <w:rPr>
          <w:color w:val="231F20"/>
        </w:rPr>
        <w:t>42 Закону України «Про Національну поліцію»). Підстави, порядок застосування, а також вид</w:t>
      </w:r>
      <w:r>
        <w:rPr>
          <w:color w:val="231F20"/>
        </w:rPr>
        <w:t>и спеціальних засобів встановлено, крім Закону України «Про Національну поліцію», постановою КМУ від  20 грудня 2017 р. № 1024 «Про затвердження переліку та Правил застосування спеціальних засобів військовослужбовцями Націо- нальної гвардії під час виконан</w:t>
      </w:r>
      <w:r>
        <w:rPr>
          <w:color w:val="231F20"/>
        </w:rPr>
        <w:t>ня службових завдань» та поста- новою КМУ від 18 січня 2003 р. № 83 «Про затвердження Правил застосування спеціальних засобів військовослужбовцями Військо- вої служби правопорядку у Збройних Силах України під час здійс- нення службових</w:t>
      </w:r>
      <w:r>
        <w:rPr>
          <w:color w:val="231F20"/>
          <w:spacing w:val="8"/>
        </w:rPr>
        <w:t xml:space="preserve"> </w:t>
      </w:r>
      <w:r>
        <w:rPr>
          <w:color w:val="231F20"/>
        </w:rPr>
        <w:t>обов’язків».</w:t>
      </w:r>
    </w:p>
    <w:p w14:paraId="238A128E" w14:textId="77777777" w:rsidR="00DE575E" w:rsidRDefault="002E7560">
      <w:pPr>
        <w:pStyle w:val="BodyText"/>
        <w:spacing w:before="11" w:line="252" w:lineRule="auto"/>
        <w:ind w:left="533" w:right="127" w:firstLine="283"/>
        <w:jc w:val="both"/>
      </w:pPr>
      <w:r>
        <w:rPr>
          <w:i/>
          <w:color w:val="231F20"/>
        </w:rPr>
        <w:t>Застосу</w:t>
      </w:r>
      <w:r>
        <w:rPr>
          <w:i/>
          <w:color w:val="231F20"/>
        </w:rPr>
        <w:t xml:space="preserve">вання    вогнепальної    зброї    </w:t>
      </w:r>
      <w:r>
        <w:rPr>
          <w:color w:val="231F20"/>
        </w:rPr>
        <w:t xml:space="preserve">здійснюють    поліцейські та  працівники  інших  правоохоронних  органів  як  крайній  захід   у чітко визначених законом випадках. </w:t>
      </w:r>
      <w:r>
        <w:rPr>
          <w:color w:val="231F20"/>
          <w:spacing w:val="-4"/>
        </w:rPr>
        <w:t xml:space="preserve">Так, </w:t>
      </w:r>
      <w:r>
        <w:rPr>
          <w:color w:val="231F20"/>
        </w:rPr>
        <w:t xml:space="preserve">Закон </w:t>
      </w:r>
      <w:r>
        <w:rPr>
          <w:color w:val="231F20"/>
          <w:spacing w:val="-3"/>
        </w:rPr>
        <w:t xml:space="preserve">України </w:t>
      </w:r>
      <w:r>
        <w:rPr>
          <w:color w:val="231F20"/>
        </w:rPr>
        <w:t xml:space="preserve">«Про Національну поліцію» </w:t>
      </w:r>
      <w:r>
        <w:rPr>
          <w:color w:val="231F20"/>
          <w:spacing w:val="-5"/>
        </w:rPr>
        <w:t xml:space="preserve">(ст. </w:t>
      </w:r>
      <w:r>
        <w:rPr>
          <w:color w:val="231F20"/>
        </w:rPr>
        <w:t xml:space="preserve">46) встановив сім таких </w:t>
      </w:r>
      <w:r>
        <w:rPr>
          <w:i/>
          <w:color w:val="231F20"/>
        </w:rPr>
        <w:t>підстав</w:t>
      </w:r>
      <w:r>
        <w:rPr>
          <w:color w:val="231F20"/>
        </w:rPr>
        <w:t xml:space="preserve">: 1) для </w:t>
      </w:r>
      <w:r>
        <w:rPr>
          <w:color w:val="231F20"/>
        </w:rPr>
        <w:t>відбиття</w:t>
      </w:r>
      <w:r>
        <w:rPr>
          <w:color w:val="231F20"/>
          <w:spacing w:val="25"/>
        </w:rPr>
        <w:t xml:space="preserve"> </w:t>
      </w:r>
      <w:r>
        <w:rPr>
          <w:color w:val="231F20"/>
        </w:rPr>
        <w:t>нападу</w:t>
      </w:r>
      <w:r>
        <w:rPr>
          <w:color w:val="231F20"/>
          <w:spacing w:val="25"/>
        </w:rPr>
        <w:t xml:space="preserve"> </w:t>
      </w:r>
      <w:r>
        <w:rPr>
          <w:color w:val="231F20"/>
        </w:rPr>
        <w:t>на</w:t>
      </w:r>
      <w:r>
        <w:rPr>
          <w:color w:val="231F20"/>
          <w:spacing w:val="25"/>
        </w:rPr>
        <w:t xml:space="preserve"> </w:t>
      </w:r>
      <w:r>
        <w:rPr>
          <w:color w:val="231F20"/>
        </w:rPr>
        <w:t>поліцейського</w:t>
      </w:r>
      <w:r>
        <w:rPr>
          <w:color w:val="231F20"/>
          <w:spacing w:val="25"/>
        </w:rPr>
        <w:t xml:space="preserve"> </w:t>
      </w:r>
      <w:r>
        <w:rPr>
          <w:color w:val="231F20"/>
        </w:rPr>
        <w:t>або</w:t>
      </w:r>
      <w:r>
        <w:rPr>
          <w:color w:val="231F20"/>
          <w:spacing w:val="25"/>
        </w:rPr>
        <w:t xml:space="preserve"> </w:t>
      </w:r>
      <w:r>
        <w:rPr>
          <w:color w:val="231F20"/>
        </w:rPr>
        <w:t>членів</w:t>
      </w:r>
      <w:r>
        <w:rPr>
          <w:color w:val="231F20"/>
          <w:spacing w:val="25"/>
        </w:rPr>
        <w:t xml:space="preserve"> </w:t>
      </w:r>
      <w:r>
        <w:rPr>
          <w:color w:val="231F20"/>
        </w:rPr>
        <w:t>його</w:t>
      </w:r>
      <w:r>
        <w:rPr>
          <w:color w:val="231F20"/>
          <w:spacing w:val="25"/>
        </w:rPr>
        <w:t xml:space="preserve"> </w:t>
      </w:r>
      <w:r>
        <w:rPr>
          <w:color w:val="231F20"/>
        </w:rPr>
        <w:t>сім’ї,</w:t>
      </w:r>
      <w:r>
        <w:rPr>
          <w:color w:val="231F20"/>
          <w:spacing w:val="25"/>
        </w:rPr>
        <w:t xml:space="preserve"> </w:t>
      </w:r>
      <w:r>
        <w:rPr>
          <w:color w:val="231F20"/>
        </w:rPr>
        <w:t>у</w:t>
      </w:r>
      <w:r>
        <w:rPr>
          <w:color w:val="231F20"/>
          <w:spacing w:val="25"/>
        </w:rPr>
        <w:t xml:space="preserve"> </w:t>
      </w:r>
      <w:r>
        <w:rPr>
          <w:color w:val="231F20"/>
        </w:rPr>
        <w:t>випадку</w:t>
      </w:r>
    </w:p>
    <w:p w14:paraId="02F68A76" w14:textId="77777777" w:rsidR="00DE575E" w:rsidRDefault="00DE575E">
      <w:pPr>
        <w:pStyle w:val="BodyText"/>
        <w:spacing w:before="7"/>
        <w:rPr>
          <w:sz w:val="12"/>
        </w:rPr>
      </w:pPr>
    </w:p>
    <w:p w14:paraId="472A7F2C" w14:textId="77777777" w:rsidR="00DE575E" w:rsidRDefault="002E7560">
      <w:pPr>
        <w:spacing w:before="92"/>
        <w:ind w:left="533"/>
        <w:rPr>
          <w:rFonts w:ascii="Times New Roman"/>
          <w:sz w:val="20"/>
        </w:rPr>
      </w:pPr>
      <w:r>
        <w:rPr>
          <w:rFonts w:ascii="Times New Roman"/>
          <w:color w:val="231F20"/>
          <w:sz w:val="20"/>
        </w:rPr>
        <w:t>270</w:t>
      </w:r>
    </w:p>
    <w:p w14:paraId="445D9E91" w14:textId="77777777" w:rsidR="00DE575E" w:rsidRDefault="00DE575E">
      <w:pPr>
        <w:rPr>
          <w:rFonts w:ascii="Times New Roman"/>
          <w:sz w:val="20"/>
        </w:rPr>
        <w:sectPr w:rsidR="00DE575E">
          <w:pgSz w:w="8510" w:h="12760"/>
          <w:pgMar w:top="660" w:right="720" w:bottom="280" w:left="600" w:header="720" w:footer="720" w:gutter="0"/>
          <w:cols w:space="720"/>
        </w:sectPr>
      </w:pPr>
    </w:p>
    <w:p w14:paraId="5698FA84"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45CF6BA0" w14:textId="29947EC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1C903C8" wp14:editId="1552EE81">
                <wp:extent cx="4140200" cy="6350"/>
                <wp:effectExtent l="0" t="0" r="12700" b="6350"/>
                <wp:docPr id="729"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30" name="Line 7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7422A4" id="Group_x0020_7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uzY/5YECAACYBQAA&#10;DgAAAAAAAAAAAAAAAAAsAgAAZHJzL2Uyb0RvYy54bWxQSwECLQAUAAYACAAAACEATKewkNkAAAAD&#10;AQAADwAAAAAAAAAAAAAAAADZBAAAZHJzL2Rvd25yZXYueG1sUEsFBgAAAAAEAAQA8wAAAN8FAAAA&#10;AA==&#10;">
                <v:line id="Line_x0020_7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NBMMMAAADcAAAADwAAAGRycy9kb3ducmV2LnhtbERP3WrCMBS+H/gO4Qi7GZpuhSnVKDIQ&#10;ZBf+1Qc4Nse2mJzUJtpuT79cCLv8+P7ny94a8aDW144VvI8TEMSF0zWXCk75ejQF4QOyRuOYFPyQ&#10;h+Vi8DLHTLuOD/Q4hlLEEPYZKqhCaDIpfVGRRT92DXHkLq61GCJsS6lb7GK4NfIjST6lxZpjQ4UN&#10;fVVUXI93qyC/vQWz332bLt+dU3m+bdPf+1ap12G/moEI1Id/8dO90QomaZwfz8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jQTDDAAAA3AAAAA8AAAAAAAAAAAAA&#10;AAAAoQIAAGRycy9kb3ducmV2LnhtbFBLBQYAAAAABAAEAPkAAACRAwAAAAA=&#10;" strokecolor="#231f20" strokeweight=".5pt"/>
                <w10:anchorlock/>
              </v:group>
            </w:pict>
          </mc:Fallback>
        </mc:AlternateContent>
      </w:r>
    </w:p>
    <w:p w14:paraId="4160B284" w14:textId="77777777" w:rsidR="00DE575E" w:rsidRDefault="00DE575E">
      <w:pPr>
        <w:pStyle w:val="BodyText"/>
        <w:spacing w:before="7"/>
        <w:rPr>
          <w:rFonts w:ascii="AdonisC"/>
          <w:i/>
          <w:sz w:val="19"/>
        </w:rPr>
      </w:pPr>
    </w:p>
    <w:p w14:paraId="35AD402E" w14:textId="77777777" w:rsidR="00DE575E" w:rsidRDefault="002E7560">
      <w:pPr>
        <w:pStyle w:val="BodyText"/>
        <w:spacing w:before="1" w:line="252" w:lineRule="auto"/>
        <w:ind w:left="250" w:right="409"/>
        <w:jc w:val="both"/>
      </w:pPr>
      <w:r>
        <w:rPr>
          <w:color w:val="231F20"/>
        </w:rPr>
        <w:t xml:space="preserve">загрози їхньому життю чи здоров’ю; 2) для захисту осіб від </w:t>
      </w:r>
      <w:r>
        <w:rPr>
          <w:color w:val="231F20"/>
          <w:spacing w:val="-3"/>
        </w:rPr>
        <w:t xml:space="preserve">нападу, </w:t>
      </w:r>
      <w:r>
        <w:rPr>
          <w:color w:val="231F20"/>
        </w:rPr>
        <w:t xml:space="preserve">що загрожує їхньому життю чи здоров’ю; 3) для звільнення заруч- ників або осіб, яких незаконно позбавлено волі; 4) для відбиття нападу на </w:t>
      </w:r>
      <w:r>
        <w:rPr>
          <w:color w:val="231F20"/>
          <w:spacing w:val="-4"/>
        </w:rPr>
        <w:t xml:space="preserve">об’єкти, </w:t>
      </w:r>
      <w:r>
        <w:rPr>
          <w:color w:val="231F20"/>
        </w:rPr>
        <w:t>що пе</w:t>
      </w:r>
      <w:r>
        <w:rPr>
          <w:color w:val="231F20"/>
        </w:rPr>
        <w:t xml:space="preserve">ребувають під охороною, конвої, житлові та нежитлові приміщення, а також звільнення таких </w:t>
      </w:r>
      <w:r>
        <w:rPr>
          <w:color w:val="231F20"/>
          <w:spacing w:val="-4"/>
        </w:rPr>
        <w:t xml:space="preserve">об’єктів </w:t>
      </w:r>
      <w:r>
        <w:rPr>
          <w:color w:val="231F20"/>
        </w:rPr>
        <w:t>у разі їх захоплення; 5) для затримання особи, яку застали під час вчинення тяжкого або особливо тяжкого злочину і яка намагається втекти;</w:t>
      </w:r>
    </w:p>
    <w:p w14:paraId="5283F076" w14:textId="77777777" w:rsidR="00DE575E" w:rsidRDefault="002E7560">
      <w:pPr>
        <w:pStyle w:val="ListParagraph"/>
        <w:numPr>
          <w:ilvl w:val="0"/>
          <w:numId w:val="176"/>
        </w:numPr>
        <w:tabs>
          <w:tab w:val="left" w:pos="490"/>
        </w:tabs>
        <w:spacing w:before="3" w:line="252" w:lineRule="auto"/>
        <w:ind w:left="250" w:right="410" w:firstLine="0"/>
        <w:jc w:val="both"/>
        <w:rPr>
          <w:sz w:val="21"/>
        </w:rPr>
      </w:pPr>
      <w:r>
        <w:rPr>
          <w:color w:val="231F20"/>
          <w:sz w:val="21"/>
        </w:rPr>
        <w:t>для затримання осо</w:t>
      </w:r>
      <w:r>
        <w:rPr>
          <w:color w:val="231F20"/>
          <w:sz w:val="21"/>
        </w:rPr>
        <w:t>би, яка чинить збройний опір, намагається втекти з-під варти, а також озброєної особи, яка погрожує застосу- ванням зброї та інших предметів, що загрожують життю і здоров’ю людей та/або поліцейського; 7) для зупинки транспортного засобу через його пошкодже</w:t>
      </w:r>
      <w:r>
        <w:rPr>
          <w:color w:val="231F20"/>
          <w:sz w:val="21"/>
        </w:rPr>
        <w:t>ння, якщо водій своїми діями створює загрозу життю чи здоров’ю людей та/або поліцейського. На цих же підста- вах можуть застосовувати вогнепальну зброю і працівники інших правоохоронних</w:t>
      </w:r>
      <w:r>
        <w:rPr>
          <w:color w:val="231F20"/>
          <w:spacing w:val="-1"/>
          <w:sz w:val="21"/>
        </w:rPr>
        <w:t xml:space="preserve"> </w:t>
      </w:r>
      <w:r>
        <w:rPr>
          <w:color w:val="231F20"/>
          <w:sz w:val="21"/>
        </w:rPr>
        <w:t>органів.</w:t>
      </w:r>
    </w:p>
    <w:p w14:paraId="2AACD136" w14:textId="77777777" w:rsidR="00DE575E" w:rsidRDefault="002E7560">
      <w:pPr>
        <w:pStyle w:val="BodyText"/>
        <w:spacing w:before="4" w:line="252" w:lineRule="auto"/>
        <w:ind w:left="250" w:right="411" w:firstLine="283"/>
        <w:jc w:val="both"/>
      </w:pPr>
      <w:r>
        <w:rPr>
          <w:color w:val="231F20"/>
        </w:rPr>
        <w:t>Розглянуті заходи адміністративного припинення повністю їх пе</w:t>
      </w:r>
      <w:r>
        <w:rPr>
          <w:color w:val="231F20"/>
        </w:rPr>
        <w:t>релік не вичерпують, оскільки ні на законодавчому, ні на доктри- нальному рівні цей перелік не визначено.</w:t>
      </w:r>
    </w:p>
    <w:p w14:paraId="42E2BF23" w14:textId="77777777" w:rsidR="00DE575E" w:rsidRDefault="00DE575E">
      <w:pPr>
        <w:pStyle w:val="BodyText"/>
        <w:spacing w:before="1"/>
        <w:rPr>
          <w:sz w:val="22"/>
        </w:rPr>
      </w:pPr>
    </w:p>
    <w:p w14:paraId="0FCB763D" w14:textId="77777777" w:rsidR="00DE575E" w:rsidRDefault="002E7560">
      <w:pPr>
        <w:pStyle w:val="Heading5"/>
        <w:numPr>
          <w:ilvl w:val="2"/>
          <w:numId w:val="170"/>
        </w:numPr>
        <w:tabs>
          <w:tab w:val="left" w:pos="1223"/>
        </w:tabs>
        <w:spacing w:before="1"/>
        <w:ind w:hanging="284"/>
        <w:jc w:val="left"/>
      </w:pPr>
      <w:r>
        <w:rPr>
          <w:color w:val="231F20"/>
        </w:rPr>
        <w:t>Адміністративні</w:t>
      </w:r>
      <w:r>
        <w:rPr>
          <w:color w:val="231F20"/>
          <w:spacing w:val="-1"/>
        </w:rPr>
        <w:t xml:space="preserve"> </w:t>
      </w:r>
      <w:r>
        <w:rPr>
          <w:color w:val="231F20"/>
        </w:rPr>
        <w:t>стягнення</w:t>
      </w:r>
    </w:p>
    <w:p w14:paraId="0B83B172" w14:textId="77777777" w:rsidR="00DE575E" w:rsidRDefault="00DE575E">
      <w:pPr>
        <w:pStyle w:val="BodyText"/>
        <w:spacing w:before="2"/>
        <w:rPr>
          <w:b/>
          <w:sz w:val="23"/>
        </w:rPr>
      </w:pPr>
    </w:p>
    <w:p w14:paraId="563B0721" w14:textId="77777777" w:rsidR="00DE575E" w:rsidRDefault="002E7560">
      <w:pPr>
        <w:spacing w:line="252" w:lineRule="auto"/>
        <w:ind w:left="250" w:right="410" w:firstLine="283"/>
        <w:jc w:val="both"/>
        <w:rPr>
          <w:sz w:val="21"/>
        </w:rPr>
      </w:pPr>
      <w:r>
        <w:rPr>
          <w:color w:val="231F20"/>
          <w:sz w:val="21"/>
        </w:rPr>
        <w:t xml:space="preserve">Відповідно до </w:t>
      </w:r>
      <w:r>
        <w:rPr>
          <w:color w:val="231F20"/>
          <w:spacing w:val="-6"/>
          <w:sz w:val="21"/>
        </w:rPr>
        <w:t xml:space="preserve">ст. </w:t>
      </w:r>
      <w:r>
        <w:rPr>
          <w:color w:val="231F20"/>
          <w:sz w:val="21"/>
        </w:rPr>
        <w:t xml:space="preserve">23 КпАП </w:t>
      </w:r>
      <w:r>
        <w:rPr>
          <w:color w:val="231F20"/>
          <w:spacing w:val="-3"/>
          <w:sz w:val="21"/>
        </w:rPr>
        <w:t xml:space="preserve">України </w:t>
      </w:r>
      <w:r>
        <w:rPr>
          <w:b/>
          <w:i/>
          <w:color w:val="231F20"/>
          <w:sz w:val="21"/>
        </w:rPr>
        <w:t xml:space="preserve">адміністративне стягнення </w:t>
      </w:r>
      <w:r>
        <w:rPr>
          <w:i/>
          <w:color w:val="231F20"/>
          <w:sz w:val="21"/>
        </w:rPr>
        <w:t>є</w:t>
      </w:r>
      <w:r>
        <w:rPr>
          <w:i/>
          <w:color w:val="231F20"/>
          <w:spacing w:val="-5"/>
          <w:sz w:val="21"/>
        </w:rPr>
        <w:t xml:space="preserve"> </w:t>
      </w:r>
      <w:r>
        <w:rPr>
          <w:i/>
          <w:color w:val="231F20"/>
          <w:sz w:val="21"/>
        </w:rPr>
        <w:t>мірою</w:t>
      </w:r>
      <w:r>
        <w:rPr>
          <w:i/>
          <w:color w:val="231F20"/>
          <w:spacing w:val="-5"/>
          <w:sz w:val="21"/>
        </w:rPr>
        <w:t xml:space="preserve"> </w:t>
      </w:r>
      <w:r>
        <w:rPr>
          <w:i/>
          <w:color w:val="231F20"/>
          <w:sz w:val="21"/>
        </w:rPr>
        <w:t>відповідальності</w:t>
      </w:r>
      <w:r>
        <w:rPr>
          <w:i/>
          <w:color w:val="231F20"/>
          <w:spacing w:val="-5"/>
          <w:sz w:val="21"/>
        </w:rPr>
        <w:t xml:space="preserve"> </w:t>
      </w:r>
      <w:r>
        <w:rPr>
          <w:i/>
          <w:color w:val="231F20"/>
          <w:sz w:val="21"/>
        </w:rPr>
        <w:t>і</w:t>
      </w:r>
      <w:r>
        <w:rPr>
          <w:i/>
          <w:color w:val="231F20"/>
          <w:spacing w:val="-5"/>
          <w:sz w:val="21"/>
        </w:rPr>
        <w:t xml:space="preserve"> </w:t>
      </w:r>
      <w:r>
        <w:rPr>
          <w:i/>
          <w:color w:val="231F20"/>
          <w:sz w:val="21"/>
        </w:rPr>
        <w:t>застосовується</w:t>
      </w:r>
      <w:r>
        <w:rPr>
          <w:i/>
          <w:color w:val="231F20"/>
          <w:spacing w:val="-5"/>
          <w:sz w:val="21"/>
        </w:rPr>
        <w:t xml:space="preserve"> </w:t>
      </w:r>
      <w:r>
        <w:rPr>
          <w:i/>
          <w:color w:val="231F20"/>
          <w:sz w:val="21"/>
        </w:rPr>
        <w:t>з</w:t>
      </w:r>
      <w:r>
        <w:rPr>
          <w:i/>
          <w:color w:val="231F20"/>
          <w:spacing w:val="-5"/>
          <w:sz w:val="21"/>
        </w:rPr>
        <w:t xml:space="preserve"> </w:t>
      </w:r>
      <w:r>
        <w:rPr>
          <w:i/>
          <w:color w:val="231F20"/>
          <w:sz w:val="21"/>
        </w:rPr>
        <w:t>метою</w:t>
      </w:r>
      <w:r>
        <w:rPr>
          <w:i/>
          <w:color w:val="231F20"/>
          <w:spacing w:val="-5"/>
          <w:sz w:val="21"/>
        </w:rPr>
        <w:t xml:space="preserve"> </w:t>
      </w:r>
      <w:r>
        <w:rPr>
          <w:i/>
          <w:color w:val="231F20"/>
          <w:sz w:val="21"/>
        </w:rPr>
        <w:t>виховання</w:t>
      </w:r>
      <w:r>
        <w:rPr>
          <w:i/>
          <w:color w:val="231F20"/>
          <w:spacing w:val="-5"/>
          <w:sz w:val="21"/>
        </w:rPr>
        <w:t xml:space="preserve"> </w:t>
      </w:r>
      <w:r>
        <w:rPr>
          <w:i/>
          <w:color w:val="231F20"/>
          <w:sz w:val="21"/>
        </w:rPr>
        <w:t>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w:t>
      </w:r>
      <w:r>
        <w:rPr>
          <w:i/>
          <w:color w:val="231F20"/>
          <w:spacing w:val="-3"/>
          <w:sz w:val="21"/>
        </w:rPr>
        <w:t xml:space="preserve"> </w:t>
      </w:r>
      <w:r>
        <w:rPr>
          <w:i/>
          <w:color w:val="231F20"/>
          <w:sz w:val="21"/>
        </w:rPr>
        <w:t>особами</w:t>
      </w:r>
      <w:r>
        <w:rPr>
          <w:color w:val="231F20"/>
          <w:sz w:val="21"/>
        </w:rPr>
        <w:t>.</w:t>
      </w:r>
    </w:p>
    <w:p w14:paraId="318D56FA" w14:textId="77777777" w:rsidR="00DE575E" w:rsidRDefault="002E7560">
      <w:pPr>
        <w:spacing w:before="3" w:line="252" w:lineRule="auto"/>
        <w:ind w:left="250" w:right="410" w:firstLine="283"/>
        <w:jc w:val="both"/>
        <w:rPr>
          <w:sz w:val="21"/>
        </w:rPr>
      </w:pPr>
      <w:r>
        <w:rPr>
          <w:color w:val="231F20"/>
          <w:spacing w:val="-4"/>
          <w:sz w:val="21"/>
        </w:rPr>
        <w:t xml:space="preserve">Тобто </w:t>
      </w:r>
      <w:r>
        <w:rPr>
          <w:color w:val="231F20"/>
          <w:sz w:val="21"/>
        </w:rPr>
        <w:t>завдяки застосуванню адміністрат</w:t>
      </w:r>
      <w:r>
        <w:rPr>
          <w:color w:val="231F20"/>
          <w:sz w:val="21"/>
        </w:rPr>
        <w:t xml:space="preserve">ивних стягнень </w:t>
      </w:r>
      <w:r>
        <w:rPr>
          <w:color w:val="231F20"/>
          <w:spacing w:val="-4"/>
          <w:sz w:val="21"/>
        </w:rPr>
        <w:t xml:space="preserve">суб’єкти </w:t>
      </w:r>
      <w:r>
        <w:rPr>
          <w:color w:val="231F20"/>
          <w:sz w:val="21"/>
        </w:rPr>
        <w:t xml:space="preserve">публічної адміністрації досягають потрійної мети – 1) </w:t>
      </w:r>
      <w:r>
        <w:rPr>
          <w:i/>
          <w:color w:val="231F20"/>
          <w:sz w:val="21"/>
        </w:rPr>
        <w:t xml:space="preserve">покарання особи </w:t>
      </w:r>
      <w:r>
        <w:rPr>
          <w:color w:val="231F20"/>
          <w:sz w:val="21"/>
        </w:rPr>
        <w:t>(це «</w:t>
      </w:r>
      <w:r>
        <w:rPr>
          <w:i/>
          <w:color w:val="231F20"/>
          <w:sz w:val="21"/>
        </w:rPr>
        <w:t>міра відповідальності»</w:t>
      </w:r>
      <w:r>
        <w:rPr>
          <w:color w:val="231F20"/>
          <w:sz w:val="21"/>
        </w:rPr>
        <w:t xml:space="preserve">), яка вчинила адміністративне правопорушення, 2) </w:t>
      </w:r>
      <w:r>
        <w:rPr>
          <w:i/>
          <w:color w:val="231F20"/>
          <w:sz w:val="21"/>
        </w:rPr>
        <w:t xml:space="preserve">виховання </w:t>
      </w:r>
      <w:r>
        <w:rPr>
          <w:color w:val="231F20"/>
          <w:sz w:val="21"/>
        </w:rPr>
        <w:t xml:space="preserve">її в дусі додержання законів </w:t>
      </w:r>
      <w:r>
        <w:rPr>
          <w:color w:val="231F20"/>
          <w:spacing w:val="-3"/>
          <w:sz w:val="21"/>
        </w:rPr>
        <w:t xml:space="preserve">України, </w:t>
      </w:r>
      <w:r>
        <w:rPr>
          <w:color w:val="231F20"/>
          <w:sz w:val="21"/>
        </w:rPr>
        <w:t>поваги до правил співжиття, а також 3</w:t>
      </w:r>
      <w:r>
        <w:rPr>
          <w:color w:val="231F20"/>
          <w:sz w:val="21"/>
        </w:rPr>
        <w:t xml:space="preserve">) </w:t>
      </w:r>
      <w:r>
        <w:rPr>
          <w:i/>
          <w:color w:val="231F20"/>
          <w:sz w:val="21"/>
        </w:rPr>
        <w:t xml:space="preserve">запобігання вчиненню нових правопорушень </w:t>
      </w:r>
      <w:r>
        <w:rPr>
          <w:color w:val="231F20"/>
          <w:sz w:val="21"/>
        </w:rPr>
        <w:t>як самим правопорушником (приватна превенція), так і іншими особами (загальна превенція).</w:t>
      </w:r>
    </w:p>
    <w:p w14:paraId="164E946F" w14:textId="77777777" w:rsidR="00DE575E" w:rsidRDefault="002E7560">
      <w:pPr>
        <w:pStyle w:val="BodyText"/>
        <w:spacing w:before="3" w:line="252" w:lineRule="auto"/>
        <w:ind w:left="250" w:right="411" w:firstLine="283"/>
        <w:jc w:val="both"/>
      </w:pPr>
      <w:r>
        <w:rPr>
          <w:color w:val="231F20"/>
        </w:rPr>
        <w:t>Види цих стягнень, підстави та порядок їх застосування в основ- ному визначено Кодексом України про адміністративні правопору- шення.</w:t>
      </w:r>
    </w:p>
    <w:p w14:paraId="5FA1111B" w14:textId="77777777" w:rsidR="00DE575E" w:rsidRDefault="002E7560">
      <w:pPr>
        <w:spacing w:before="2"/>
        <w:ind w:left="533"/>
        <w:rPr>
          <w:i/>
          <w:sz w:val="21"/>
        </w:rPr>
      </w:pPr>
      <w:r>
        <w:rPr>
          <w:color w:val="231F20"/>
          <w:sz w:val="21"/>
        </w:rPr>
        <w:t xml:space="preserve">КпАП України встановив такі </w:t>
      </w:r>
      <w:r>
        <w:rPr>
          <w:i/>
          <w:color w:val="231F20"/>
          <w:sz w:val="21"/>
        </w:rPr>
        <w:t>види адміністративних стягнень:</w:t>
      </w:r>
    </w:p>
    <w:p w14:paraId="411A2E26" w14:textId="77777777" w:rsidR="00DE575E" w:rsidRDefault="002E7560">
      <w:pPr>
        <w:pStyle w:val="BodyText"/>
        <w:spacing w:before="13"/>
        <w:ind w:left="533"/>
      </w:pPr>
      <w:r>
        <w:rPr>
          <w:color w:val="231F20"/>
        </w:rPr>
        <w:t>1) попередження;</w:t>
      </w:r>
    </w:p>
    <w:p w14:paraId="24692C84" w14:textId="77777777" w:rsidR="00DE575E" w:rsidRDefault="00DE575E">
      <w:pPr>
        <w:pStyle w:val="BodyText"/>
        <w:spacing w:before="6"/>
        <w:rPr>
          <w:sz w:val="13"/>
        </w:rPr>
      </w:pPr>
    </w:p>
    <w:p w14:paraId="71DD8D15" w14:textId="77777777" w:rsidR="00DE575E" w:rsidRDefault="002E7560">
      <w:pPr>
        <w:spacing w:before="92"/>
        <w:ind w:right="411"/>
        <w:jc w:val="right"/>
        <w:rPr>
          <w:rFonts w:ascii="Times New Roman"/>
          <w:sz w:val="20"/>
        </w:rPr>
      </w:pPr>
      <w:r>
        <w:rPr>
          <w:rFonts w:ascii="Times New Roman"/>
          <w:color w:val="231F20"/>
          <w:w w:val="90"/>
          <w:sz w:val="20"/>
        </w:rPr>
        <w:t>271</w:t>
      </w:r>
    </w:p>
    <w:p w14:paraId="5B7A434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C7312B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w:t>
      </w:r>
      <w:r>
        <w:rPr>
          <w:rFonts w:ascii="AdonisC" w:hAnsi="AdonisC"/>
          <w:i/>
          <w:color w:val="231F20"/>
          <w:sz w:val="18"/>
        </w:rPr>
        <w:t>їни. Повний курс</w:t>
      </w:r>
    </w:p>
    <w:p w14:paraId="65A1EB37" w14:textId="1594300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BAE8F4F" wp14:editId="63999273">
                <wp:extent cx="4140200" cy="6350"/>
                <wp:effectExtent l="0" t="0" r="12700" b="6350"/>
                <wp:docPr id="727"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28" name="Line 7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117A2" id="Group_x0020_7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1Q1tkgAIAAJgFAAAO&#10;AAAAAAAAAAAAAAAAACwCAABkcnMvZTJvRG9jLnhtbFBLAQItABQABgAIAAAAIQBMp7CQ2QAAAAMB&#10;AAAPAAAAAAAAAAAAAAAAANgEAABkcnMvZG93bnJldi54bWxQSwUGAAAAAAQABADzAAAA3gUAAAAA&#10;">
                <v:line id="Line_x0020_7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zb68MAAADcAAAADwAAAGRycy9kb3ducmV2LnhtbERP3WrCMBS+F/YO4Qy8EU2n4EY1iggD&#10;8UK3dg9wbM7asuSkNtFWn95cDLz8+P6X694acaXW144VvE0SEMSF0zWXCn7yz/EHCB+QNRrHpOBG&#10;Htarl8ESU+06/qZrFkoRQ9inqKAKoUml9EVFFv3ENcSR+3WtxRBhW0rdYhfDrZHTJJlLizXHhgob&#10;2lZU/GUXqyA/j4L5Ou5Nlx9PM3k6H2b3y0Gp4Wu/WYAI1Ien+N+90wrep3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QM2+vDAAAA3AAAAA8AAAAAAAAAAAAA&#10;AAAAoQIAAGRycy9kb3ducmV2LnhtbFBLBQYAAAAABAAEAPkAAACRAwAAAAA=&#10;" strokecolor="#231f20" strokeweight=".5pt"/>
                <w10:anchorlock/>
              </v:group>
            </w:pict>
          </mc:Fallback>
        </mc:AlternateContent>
      </w:r>
    </w:p>
    <w:p w14:paraId="0FC99D30" w14:textId="77777777" w:rsidR="00DE575E" w:rsidRDefault="00DE575E">
      <w:pPr>
        <w:pStyle w:val="BodyText"/>
        <w:spacing w:before="7"/>
        <w:rPr>
          <w:rFonts w:ascii="AdonisC"/>
          <w:i/>
          <w:sz w:val="11"/>
        </w:rPr>
      </w:pPr>
    </w:p>
    <w:p w14:paraId="449FE5BF" w14:textId="77777777" w:rsidR="00DE575E" w:rsidRDefault="002E7560">
      <w:pPr>
        <w:pStyle w:val="ListParagraph"/>
        <w:numPr>
          <w:ilvl w:val="0"/>
          <w:numId w:val="163"/>
        </w:numPr>
        <w:tabs>
          <w:tab w:val="left" w:pos="1101"/>
        </w:tabs>
        <w:spacing w:before="101"/>
        <w:ind w:firstLine="284"/>
        <w:rPr>
          <w:sz w:val="21"/>
        </w:rPr>
      </w:pPr>
      <w:r>
        <w:rPr>
          <w:color w:val="231F20"/>
          <w:sz w:val="21"/>
        </w:rPr>
        <w:t>штраф;</w:t>
      </w:r>
    </w:p>
    <w:p w14:paraId="453DA9C7" w14:textId="77777777" w:rsidR="00DE575E" w:rsidRDefault="002E7560">
      <w:pPr>
        <w:pStyle w:val="ListParagraph"/>
        <w:numPr>
          <w:ilvl w:val="0"/>
          <w:numId w:val="163"/>
        </w:numPr>
        <w:tabs>
          <w:tab w:val="left" w:pos="1101"/>
        </w:tabs>
        <w:spacing w:before="12"/>
        <w:ind w:firstLine="284"/>
        <w:rPr>
          <w:sz w:val="21"/>
        </w:rPr>
      </w:pPr>
      <w:r>
        <w:rPr>
          <w:color w:val="231F20"/>
          <w:sz w:val="21"/>
        </w:rPr>
        <w:t>штрафні</w:t>
      </w:r>
      <w:r>
        <w:rPr>
          <w:color w:val="231F20"/>
          <w:spacing w:val="-2"/>
          <w:sz w:val="21"/>
        </w:rPr>
        <w:t xml:space="preserve"> </w:t>
      </w:r>
      <w:r>
        <w:rPr>
          <w:color w:val="231F20"/>
          <w:sz w:val="21"/>
        </w:rPr>
        <w:t>бали;</w:t>
      </w:r>
    </w:p>
    <w:p w14:paraId="69A70584" w14:textId="77777777" w:rsidR="00DE575E" w:rsidRDefault="002E7560">
      <w:pPr>
        <w:pStyle w:val="ListParagraph"/>
        <w:numPr>
          <w:ilvl w:val="0"/>
          <w:numId w:val="163"/>
        </w:numPr>
        <w:tabs>
          <w:tab w:val="left" w:pos="1101"/>
        </w:tabs>
        <w:spacing w:before="13" w:line="252" w:lineRule="auto"/>
        <w:ind w:right="126" w:firstLine="284"/>
        <w:jc w:val="both"/>
        <w:rPr>
          <w:sz w:val="21"/>
        </w:rPr>
      </w:pPr>
      <w:r>
        <w:rPr>
          <w:color w:val="231F20"/>
          <w:sz w:val="21"/>
        </w:rPr>
        <w:t xml:space="preserve">оплатне вилучення предмета, який став знаряддям учинення або безпосереднім </w:t>
      </w:r>
      <w:r>
        <w:rPr>
          <w:color w:val="231F20"/>
          <w:spacing w:val="-3"/>
          <w:sz w:val="21"/>
        </w:rPr>
        <w:t xml:space="preserve">об’єктом </w:t>
      </w:r>
      <w:r>
        <w:rPr>
          <w:color w:val="231F20"/>
          <w:sz w:val="21"/>
        </w:rPr>
        <w:t>адміністративного</w:t>
      </w:r>
      <w:r>
        <w:rPr>
          <w:color w:val="231F20"/>
          <w:spacing w:val="-12"/>
          <w:sz w:val="21"/>
        </w:rPr>
        <w:t xml:space="preserve"> </w:t>
      </w:r>
      <w:r>
        <w:rPr>
          <w:color w:val="231F20"/>
          <w:sz w:val="21"/>
        </w:rPr>
        <w:t>правопорушення;</w:t>
      </w:r>
    </w:p>
    <w:p w14:paraId="478B8B12" w14:textId="77777777" w:rsidR="00DE575E" w:rsidRDefault="002E7560">
      <w:pPr>
        <w:pStyle w:val="ListParagraph"/>
        <w:numPr>
          <w:ilvl w:val="0"/>
          <w:numId w:val="163"/>
        </w:numPr>
        <w:tabs>
          <w:tab w:val="left" w:pos="1101"/>
        </w:tabs>
        <w:spacing w:line="252" w:lineRule="auto"/>
        <w:ind w:right="127" w:firstLine="284"/>
        <w:jc w:val="both"/>
        <w:rPr>
          <w:sz w:val="21"/>
        </w:rPr>
      </w:pPr>
      <w:r>
        <w:rPr>
          <w:color w:val="231F20"/>
          <w:sz w:val="21"/>
        </w:rPr>
        <w:t xml:space="preserve">конфіскація предмета, який став знаряддям учинення або безпосереднім </w:t>
      </w:r>
      <w:r>
        <w:rPr>
          <w:color w:val="231F20"/>
          <w:spacing w:val="-3"/>
          <w:sz w:val="21"/>
        </w:rPr>
        <w:t xml:space="preserve">об’єктом </w:t>
      </w:r>
      <w:r>
        <w:rPr>
          <w:color w:val="231F20"/>
          <w:sz w:val="21"/>
        </w:rPr>
        <w:t xml:space="preserve">адміністративного правопорушення, або грошей, одержаних в </w:t>
      </w:r>
      <w:r>
        <w:rPr>
          <w:color w:val="231F20"/>
          <w:spacing w:val="-3"/>
          <w:sz w:val="21"/>
        </w:rPr>
        <w:t xml:space="preserve">результаті </w:t>
      </w:r>
      <w:r>
        <w:rPr>
          <w:color w:val="231F20"/>
          <w:sz w:val="21"/>
        </w:rPr>
        <w:t>вчинення такого</w:t>
      </w:r>
      <w:r>
        <w:rPr>
          <w:color w:val="231F20"/>
          <w:spacing w:val="-13"/>
          <w:sz w:val="21"/>
        </w:rPr>
        <w:t xml:space="preserve"> </w:t>
      </w:r>
      <w:r>
        <w:rPr>
          <w:color w:val="231F20"/>
          <w:sz w:val="21"/>
        </w:rPr>
        <w:t>правопорушення;</w:t>
      </w:r>
    </w:p>
    <w:p w14:paraId="4F62FD84" w14:textId="77777777" w:rsidR="00DE575E" w:rsidRDefault="002E7560">
      <w:pPr>
        <w:pStyle w:val="ListParagraph"/>
        <w:numPr>
          <w:ilvl w:val="0"/>
          <w:numId w:val="163"/>
        </w:numPr>
        <w:tabs>
          <w:tab w:val="left" w:pos="1101"/>
        </w:tabs>
        <w:spacing w:before="2" w:line="252" w:lineRule="auto"/>
        <w:ind w:right="126" w:firstLine="284"/>
        <w:jc w:val="both"/>
        <w:rPr>
          <w:sz w:val="21"/>
        </w:rPr>
      </w:pPr>
      <w:r>
        <w:rPr>
          <w:color w:val="231F20"/>
          <w:sz w:val="21"/>
        </w:rPr>
        <w:t>позбавлення спеціального права, наданого громадянинові, позбавлення права обіймати певні посади або займатися певною діяльністю;</w:t>
      </w:r>
    </w:p>
    <w:p w14:paraId="23A491D6" w14:textId="77777777" w:rsidR="00DE575E" w:rsidRDefault="002E7560">
      <w:pPr>
        <w:pStyle w:val="ListParagraph"/>
        <w:numPr>
          <w:ilvl w:val="0"/>
          <w:numId w:val="163"/>
        </w:numPr>
        <w:tabs>
          <w:tab w:val="left" w:pos="1101"/>
        </w:tabs>
        <w:ind w:firstLine="284"/>
        <w:rPr>
          <w:sz w:val="21"/>
        </w:rPr>
      </w:pPr>
      <w:r>
        <w:rPr>
          <w:color w:val="231F20"/>
          <w:sz w:val="21"/>
        </w:rPr>
        <w:t>громадські</w:t>
      </w:r>
      <w:r>
        <w:rPr>
          <w:color w:val="231F20"/>
          <w:spacing w:val="-1"/>
          <w:sz w:val="21"/>
        </w:rPr>
        <w:t xml:space="preserve"> </w:t>
      </w:r>
      <w:r>
        <w:rPr>
          <w:color w:val="231F20"/>
          <w:sz w:val="21"/>
        </w:rPr>
        <w:t>роботи;</w:t>
      </w:r>
    </w:p>
    <w:p w14:paraId="7B7B9342" w14:textId="77777777" w:rsidR="00DE575E" w:rsidRDefault="002E7560">
      <w:pPr>
        <w:pStyle w:val="ListParagraph"/>
        <w:numPr>
          <w:ilvl w:val="0"/>
          <w:numId w:val="163"/>
        </w:numPr>
        <w:tabs>
          <w:tab w:val="left" w:pos="1101"/>
        </w:tabs>
        <w:spacing w:before="13"/>
        <w:ind w:firstLine="284"/>
        <w:rPr>
          <w:sz w:val="21"/>
        </w:rPr>
      </w:pPr>
      <w:r>
        <w:rPr>
          <w:color w:val="231F20"/>
          <w:sz w:val="21"/>
        </w:rPr>
        <w:t>виправн</w:t>
      </w:r>
      <w:r>
        <w:rPr>
          <w:color w:val="231F20"/>
          <w:sz w:val="21"/>
        </w:rPr>
        <w:t>і</w:t>
      </w:r>
      <w:r>
        <w:rPr>
          <w:color w:val="231F20"/>
          <w:spacing w:val="-2"/>
          <w:sz w:val="21"/>
        </w:rPr>
        <w:t xml:space="preserve"> </w:t>
      </w:r>
      <w:r>
        <w:rPr>
          <w:color w:val="231F20"/>
          <w:sz w:val="21"/>
        </w:rPr>
        <w:t>роботи;</w:t>
      </w:r>
    </w:p>
    <w:p w14:paraId="4ECD46FB" w14:textId="77777777" w:rsidR="00DE575E" w:rsidRDefault="002E7560">
      <w:pPr>
        <w:pStyle w:val="ListParagraph"/>
        <w:numPr>
          <w:ilvl w:val="0"/>
          <w:numId w:val="163"/>
        </w:numPr>
        <w:tabs>
          <w:tab w:val="left" w:pos="1101"/>
        </w:tabs>
        <w:spacing w:before="13"/>
        <w:ind w:firstLine="284"/>
        <w:rPr>
          <w:sz w:val="21"/>
        </w:rPr>
      </w:pPr>
      <w:r>
        <w:rPr>
          <w:color w:val="231F20"/>
          <w:sz w:val="21"/>
        </w:rPr>
        <w:t>суспільно корисні</w:t>
      </w:r>
      <w:r>
        <w:rPr>
          <w:color w:val="231F20"/>
          <w:spacing w:val="-2"/>
          <w:sz w:val="21"/>
        </w:rPr>
        <w:t xml:space="preserve"> </w:t>
      </w:r>
      <w:r>
        <w:rPr>
          <w:color w:val="231F20"/>
          <w:sz w:val="21"/>
        </w:rPr>
        <w:t>роботи;</w:t>
      </w:r>
    </w:p>
    <w:p w14:paraId="3428FCB3" w14:textId="77777777" w:rsidR="00DE575E" w:rsidRDefault="002E7560">
      <w:pPr>
        <w:pStyle w:val="ListParagraph"/>
        <w:numPr>
          <w:ilvl w:val="0"/>
          <w:numId w:val="163"/>
        </w:numPr>
        <w:tabs>
          <w:tab w:val="left" w:pos="1254"/>
        </w:tabs>
        <w:spacing w:before="13"/>
        <w:ind w:left="1253" w:hanging="436"/>
        <w:rPr>
          <w:sz w:val="21"/>
        </w:rPr>
      </w:pPr>
      <w:r>
        <w:rPr>
          <w:color w:val="231F20"/>
          <w:sz w:val="21"/>
        </w:rPr>
        <w:t>адміністративний</w:t>
      </w:r>
      <w:r>
        <w:rPr>
          <w:color w:val="231F20"/>
          <w:spacing w:val="-2"/>
          <w:sz w:val="21"/>
        </w:rPr>
        <w:t xml:space="preserve"> </w:t>
      </w:r>
      <w:r>
        <w:rPr>
          <w:color w:val="231F20"/>
          <w:sz w:val="21"/>
        </w:rPr>
        <w:t>арешт;</w:t>
      </w:r>
    </w:p>
    <w:p w14:paraId="23733FFD" w14:textId="77777777" w:rsidR="00DE575E" w:rsidRDefault="002E7560">
      <w:pPr>
        <w:pStyle w:val="ListParagraph"/>
        <w:numPr>
          <w:ilvl w:val="0"/>
          <w:numId w:val="163"/>
        </w:numPr>
        <w:tabs>
          <w:tab w:val="left" w:pos="1254"/>
        </w:tabs>
        <w:spacing w:before="12"/>
        <w:ind w:left="1253" w:hanging="436"/>
        <w:rPr>
          <w:sz w:val="21"/>
        </w:rPr>
      </w:pPr>
      <w:r>
        <w:rPr>
          <w:color w:val="231F20"/>
          <w:sz w:val="21"/>
        </w:rPr>
        <w:t>арешт з утриманням на</w:t>
      </w:r>
      <w:r>
        <w:rPr>
          <w:color w:val="231F20"/>
          <w:spacing w:val="-5"/>
          <w:sz w:val="21"/>
        </w:rPr>
        <w:t xml:space="preserve"> </w:t>
      </w:r>
      <w:r>
        <w:rPr>
          <w:color w:val="231F20"/>
          <w:sz w:val="21"/>
        </w:rPr>
        <w:t>гауптвахті.</w:t>
      </w:r>
    </w:p>
    <w:p w14:paraId="176A820A" w14:textId="77777777" w:rsidR="00DE575E" w:rsidRDefault="002E7560">
      <w:pPr>
        <w:pStyle w:val="BodyText"/>
        <w:spacing w:before="13" w:line="252" w:lineRule="auto"/>
        <w:ind w:left="533" w:right="128" w:firstLine="283"/>
        <w:jc w:val="both"/>
      </w:pPr>
      <w:r>
        <w:rPr>
          <w:color w:val="231F20"/>
        </w:rPr>
        <w:t>Наведений перелік не є вичерпним, законами України може бути встановлено й інші види адміністративних стягнень (напр., ст. 24 Закону України «Про правовий статус іноземців та осіб без грома- дянства» передбачає можливість адміністративного видворення за ме</w:t>
      </w:r>
      <w:r>
        <w:rPr>
          <w:color w:val="231F20"/>
        </w:rPr>
        <w:t>жі України іноземців і осіб без громадянства за вчинення адмі- ністративних правопорушень, які грубо порушують правопорядок).</w:t>
      </w:r>
    </w:p>
    <w:p w14:paraId="6C0B64CA" w14:textId="77777777" w:rsidR="00DE575E" w:rsidRDefault="00DE575E">
      <w:pPr>
        <w:pStyle w:val="BodyText"/>
        <w:rPr>
          <w:sz w:val="24"/>
        </w:rPr>
      </w:pPr>
    </w:p>
    <w:p w14:paraId="0C268B34" w14:textId="77777777" w:rsidR="00DE575E" w:rsidRDefault="00DE575E">
      <w:pPr>
        <w:pStyle w:val="BodyText"/>
        <w:spacing w:before="6"/>
        <w:rPr>
          <w:sz w:val="19"/>
        </w:rPr>
      </w:pPr>
    </w:p>
    <w:p w14:paraId="3DB6FA12" w14:textId="77777777" w:rsidR="00DE575E" w:rsidRDefault="002E7560">
      <w:pPr>
        <w:pStyle w:val="Heading4"/>
        <w:spacing w:before="1"/>
        <w:ind w:left="1682"/>
        <w:rPr>
          <w:sz w:val="13"/>
        </w:rPr>
      </w:pPr>
      <w:r>
        <w:rPr>
          <w:color w:val="231F20"/>
        </w:rPr>
        <w:t>7.11. Адміністративно-правові режими</w:t>
      </w:r>
      <w:r>
        <w:rPr>
          <w:color w:val="231F20"/>
          <w:position w:val="7"/>
          <w:sz w:val="13"/>
        </w:rPr>
        <w:t>1</w:t>
      </w:r>
    </w:p>
    <w:p w14:paraId="2FA45683" w14:textId="77777777" w:rsidR="00DE575E" w:rsidRDefault="00DE575E">
      <w:pPr>
        <w:pStyle w:val="BodyText"/>
        <w:rPr>
          <w:b/>
          <w:sz w:val="26"/>
        </w:rPr>
      </w:pPr>
    </w:p>
    <w:p w14:paraId="4E97AE7D" w14:textId="77777777" w:rsidR="00DE575E" w:rsidRDefault="002E7560">
      <w:pPr>
        <w:pStyle w:val="BodyText"/>
        <w:spacing w:before="223" w:line="252" w:lineRule="auto"/>
        <w:ind w:left="533" w:right="127" w:firstLine="283"/>
        <w:jc w:val="both"/>
      </w:pPr>
      <w:r>
        <w:rPr>
          <w:color w:val="231F20"/>
        </w:rPr>
        <w:t>Публічне адміністрування в сучасний період широкомасштабних змін у політичному, соціально-економічному, культурному житті суспільства простежується в сукупності спеціальних управлінських регламентів, які передбачають створення певних форм адмініст- ративно</w:t>
      </w:r>
      <w:r>
        <w:rPr>
          <w:color w:val="231F20"/>
        </w:rPr>
        <w:t>-правових режимів, що мають закріплюватись комплек- сом різноманітних норм адміністративного права та забезпечувати здійснення</w:t>
      </w:r>
      <w:r>
        <w:rPr>
          <w:color w:val="231F20"/>
          <w:spacing w:val="-21"/>
        </w:rPr>
        <w:t xml:space="preserve"> </w:t>
      </w:r>
      <w:r>
        <w:rPr>
          <w:color w:val="231F20"/>
        </w:rPr>
        <w:t>спеціальних</w:t>
      </w:r>
      <w:r>
        <w:rPr>
          <w:color w:val="231F20"/>
          <w:spacing w:val="-21"/>
        </w:rPr>
        <w:t xml:space="preserve"> </w:t>
      </w:r>
      <w:r>
        <w:rPr>
          <w:color w:val="231F20"/>
        </w:rPr>
        <w:t>адміністративних</w:t>
      </w:r>
      <w:r>
        <w:rPr>
          <w:color w:val="231F20"/>
          <w:spacing w:val="-21"/>
        </w:rPr>
        <w:t xml:space="preserve"> </w:t>
      </w:r>
      <w:r>
        <w:rPr>
          <w:color w:val="231F20"/>
        </w:rPr>
        <w:t>процедурпублічно-управ- лінської</w:t>
      </w:r>
      <w:r>
        <w:rPr>
          <w:color w:val="231F20"/>
          <w:spacing w:val="-1"/>
        </w:rPr>
        <w:t xml:space="preserve"> </w:t>
      </w:r>
      <w:r>
        <w:rPr>
          <w:color w:val="231F20"/>
        </w:rPr>
        <w:t>організації.</w:t>
      </w:r>
    </w:p>
    <w:p w14:paraId="2C0DD584" w14:textId="77777777" w:rsidR="00DE575E" w:rsidRDefault="002E7560">
      <w:pPr>
        <w:spacing w:before="103" w:line="244" w:lineRule="auto"/>
        <w:ind w:left="817" w:right="128" w:firstLine="283"/>
        <w:jc w:val="both"/>
        <w:rPr>
          <w:i/>
          <w:sz w:val="18"/>
        </w:rPr>
      </w:pPr>
      <w:r>
        <w:rPr>
          <w:i/>
          <w:color w:val="231F20"/>
          <w:sz w:val="18"/>
          <w:u w:val="single" w:color="231F20"/>
        </w:rPr>
        <w:t>Приклад:</w:t>
      </w:r>
      <w:r>
        <w:rPr>
          <w:i/>
          <w:color w:val="231F20"/>
          <w:sz w:val="18"/>
        </w:rPr>
        <w:t xml:space="preserve"> дії публічного апарату при загрозах пожежній </w:t>
      </w:r>
      <w:r>
        <w:rPr>
          <w:i/>
          <w:color w:val="231F20"/>
          <w:sz w:val="18"/>
        </w:rPr>
        <w:t>безпеці, організа- ції евакуації громадян, установлення (відповідно від обставин) спеціального внутрішнього розпорядку, створення окремих умов ліцензування.</w:t>
      </w:r>
    </w:p>
    <w:p w14:paraId="29C4F635" w14:textId="12D034EF" w:rsidR="00DE575E" w:rsidRDefault="002E7560">
      <w:pPr>
        <w:pStyle w:val="BodyText"/>
        <w:spacing w:before="1"/>
        <w:rPr>
          <w:i/>
          <w:sz w:val="27"/>
        </w:rPr>
      </w:pPr>
      <w:r>
        <w:rPr>
          <w:noProof/>
        </w:rPr>
        <mc:AlternateContent>
          <mc:Choice Requires="wps">
            <w:drawing>
              <wp:anchor distT="0" distB="0" distL="0" distR="0" simplePos="0" relativeHeight="10864" behindDoc="0" locked="0" layoutInCell="1" allowOverlap="1" wp14:anchorId="291CFF58" wp14:editId="52EE1609">
                <wp:simplePos x="0" y="0"/>
                <wp:positionH relativeFrom="page">
                  <wp:posOffset>719455</wp:posOffset>
                </wp:positionH>
                <wp:positionV relativeFrom="paragraph">
                  <wp:posOffset>229235</wp:posOffset>
                </wp:positionV>
                <wp:extent cx="1080135" cy="0"/>
                <wp:effectExtent l="8255" t="13335" r="29210" b="24765"/>
                <wp:wrapTopAndBottom/>
                <wp:docPr id="726"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8C2C4" id="Line_x0020_725" o:spid="_x0000_s1026" style="position:absolute;z-index:1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05pt" to="141.7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" strokecolor="#231f20" strokeweight=".5pt">
                <w10:wrap type="topAndBottom" anchorx="page"/>
              </v:line>
            </w:pict>
          </mc:Fallback>
        </mc:AlternateContent>
      </w:r>
    </w:p>
    <w:p w14:paraId="04260D26"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Автор: </w:t>
      </w:r>
      <w:r>
        <w:rPr>
          <w:b/>
          <w:color w:val="231F20"/>
          <w:sz w:val="16"/>
        </w:rPr>
        <w:t>Сергій Кузьніченко.</w:t>
      </w:r>
    </w:p>
    <w:p w14:paraId="42D31FA1" w14:textId="77777777" w:rsidR="00DE575E" w:rsidRDefault="00DE575E">
      <w:pPr>
        <w:pStyle w:val="BodyText"/>
        <w:spacing w:before="10"/>
        <w:rPr>
          <w:b/>
          <w:sz w:val="11"/>
        </w:rPr>
      </w:pPr>
    </w:p>
    <w:p w14:paraId="38713F80" w14:textId="77777777" w:rsidR="00DE575E" w:rsidRDefault="002E7560">
      <w:pPr>
        <w:spacing w:before="92"/>
        <w:ind w:left="533"/>
        <w:rPr>
          <w:rFonts w:ascii="Times New Roman"/>
          <w:sz w:val="20"/>
        </w:rPr>
      </w:pPr>
      <w:r>
        <w:rPr>
          <w:rFonts w:ascii="Times New Roman"/>
          <w:color w:val="231F20"/>
          <w:sz w:val="20"/>
        </w:rPr>
        <w:t>272</w:t>
      </w:r>
    </w:p>
    <w:p w14:paraId="6B9DED6F" w14:textId="77777777" w:rsidR="00DE575E" w:rsidRDefault="00DE575E">
      <w:pPr>
        <w:rPr>
          <w:rFonts w:ascii="Times New Roman"/>
          <w:sz w:val="20"/>
        </w:rPr>
        <w:sectPr w:rsidR="00DE575E">
          <w:pgSz w:w="8510" w:h="12760"/>
          <w:pgMar w:top="660" w:right="720" w:bottom="280" w:left="600" w:header="720" w:footer="720" w:gutter="0"/>
          <w:cols w:space="720"/>
        </w:sectPr>
      </w:pPr>
    </w:p>
    <w:p w14:paraId="24AAB6A8"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w:t>
      </w:r>
      <w:r>
        <w:rPr>
          <w:rFonts w:ascii="AdonisC" w:hAnsi="AdonisC"/>
          <w:i/>
          <w:color w:val="231F20"/>
          <w:sz w:val="18"/>
        </w:rPr>
        <w:t xml:space="preserve"> Інструменти публічного адміністрування</w:t>
      </w:r>
    </w:p>
    <w:p w14:paraId="442E2445" w14:textId="0C0CC40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87C8971" wp14:editId="37A9E6EC">
                <wp:extent cx="4140200" cy="6350"/>
                <wp:effectExtent l="0" t="0" r="12700" b="6350"/>
                <wp:docPr id="72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25" name="Line 72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9C605F" id="Group_x0020_72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OCIcZ/AgAAmAUAAA4A&#10;AAAAAAAAAAAAAAAALAIAAGRycy9lMm9Eb2MueG1sUEsBAi0AFAAGAAgAAAAhAEynsJDZAAAAAwEA&#10;AA8AAAAAAAAAAAAAAAAA1wQAAGRycy9kb3ducmV2LnhtbFBLBQYAAAAABAAEAPMAAADdBQAAAAA=&#10;">
                <v:line id="Line_x0020_72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10dcYAAADcAAAADwAAAGRycy9kb3ducmV2LnhtbESP0WrCQBRE3wX/YblCX4puVKoSXUUK&#10;hdIHbY0fcM1ek+Du3ZhdTdqv7xYKPg4zc4ZZbTprxJ0aXzlWMB4lIIhzpysuFByzt+EChA/IGo1j&#10;UvBNHjbrfm+FqXYtf9H9EAoRIexTVFCGUKdS+rwki37kauLonV1jMUTZFFI32Ea4NXKSJDNpseK4&#10;UGJNryXll8PNKsiuz8F87j9Mm+1PU3m67qY/t51ST4NuuwQRqAuP8H/7XSuYT17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NdHXGAAAA3AAAAA8AAAAAAAAA&#10;AAAAAAAAoQIAAGRycy9kb3ducmV2LnhtbFBLBQYAAAAABAAEAPkAAACUAwAAAAA=&#10;" strokecolor="#231f20" strokeweight=".5pt"/>
                <w10:anchorlock/>
              </v:group>
            </w:pict>
          </mc:Fallback>
        </mc:AlternateContent>
      </w:r>
    </w:p>
    <w:p w14:paraId="393251B8" w14:textId="77777777" w:rsidR="00DE575E" w:rsidRDefault="00DE575E">
      <w:pPr>
        <w:pStyle w:val="BodyText"/>
        <w:spacing w:before="3"/>
        <w:rPr>
          <w:rFonts w:ascii="AdonisC"/>
          <w:i/>
          <w:sz w:val="12"/>
        </w:rPr>
      </w:pPr>
    </w:p>
    <w:p w14:paraId="5A75D3D6" w14:textId="77777777" w:rsidR="00DE575E" w:rsidRDefault="002E7560">
      <w:pPr>
        <w:pStyle w:val="BodyText"/>
        <w:spacing w:before="100" w:line="259" w:lineRule="auto"/>
        <w:ind w:left="250" w:right="411" w:firstLine="283"/>
        <w:jc w:val="both"/>
      </w:pPr>
      <w:r>
        <w:rPr>
          <w:color w:val="231F20"/>
        </w:rPr>
        <w:t>Таким чином, адміністративно-правові режими стають необхід- ним елементом публічно-управлінської організації та ефективним інструментом публічного адміністрування.</w:t>
      </w:r>
    </w:p>
    <w:p w14:paraId="754CAA55" w14:textId="77777777" w:rsidR="00DE575E" w:rsidRDefault="00DE575E">
      <w:pPr>
        <w:pStyle w:val="BodyText"/>
        <w:spacing w:before="5"/>
        <w:rPr>
          <w:sz w:val="22"/>
        </w:rPr>
      </w:pPr>
    </w:p>
    <w:p w14:paraId="192F66CF" w14:textId="77777777" w:rsidR="00DE575E" w:rsidRDefault="002E7560">
      <w:pPr>
        <w:pStyle w:val="Heading5"/>
        <w:numPr>
          <w:ilvl w:val="2"/>
          <w:numId w:val="162"/>
        </w:numPr>
        <w:tabs>
          <w:tab w:val="left" w:pos="1223"/>
        </w:tabs>
        <w:spacing w:line="256" w:lineRule="auto"/>
        <w:ind w:right="3006" w:firstLine="0"/>
      </w:pPr>
      <w:r>
        <w:rPr>
          <w:color w:val="231F20"/>
        </w:rPr>
        <w:t>Поняття та класифікація адміністративно-правових</w:t>
      </w:r>
      <w:r>
        <w:rPr>
          <w:color w:val="231F20"/>
          <w:spacing w:val="-18"/>
        </w:rPr>
        <w:t xml:space="preserve"> </w:t>
      </w:r>
      <w:r>
        <w:rPr>
          <w:color w:val="231F20"/>
        </w:rPr>
        <w:t>режимів</w:t>
      </w:r>
    </w:p>
    <w:p w14:paraId="4A87C447" w14:textId="77777777" w:rsidR="00DE575E" w:rsidRDefault="00DE575E">
      <w:pPr>
        <w:pStyle w:val="BodyText"/>
        <w:spacing w:before="10"/>
        <w:rPr>
          <w:b/>
          <w:sz w:val="22"/>
        </w:rPr>
      </w:pPr>
    </w:p>
    <w:p w14:paraId="5581B0A8" w14:textId="77777777" w:rsidR="00DE575E" w:rsidRDefault="002E7560">
      <w:pPr>
        <w:pStyle w:val="BodyText"/>
        <w:spacing w:line="259" w:lineRule="auto"/>
        <w:ind w:left="250" w:right="411" w:firstLine="283"/>
        <w:jc w:val="both"/>
      </w:pPr>
      <w:r>
        <w:rPr>
          <w:color w:val="231F20"/>
          <w:spacing w:val="-3"/>
        </w:rPr>
        <w:t xml:space="preserve">Термін </w:t>
      </w:r>
      <w:r>
        <w:rPr>
          <w:color w:val="231F20"/>
        </w:rPr>
        <w:t>«</w:t>
      </w:r>
      <w:r>
        <w:rPr>
          <w:i/>
          <w:color w:val="231F20"/>
        </w:rPr>
        <w:t>режим</w:t>
      </w:r>
      <w:r>
        <w:rPr>
          <w:color w:val="231F20"/>
        </w:rPr>
        <w:t xml:space="preserve">» </w:t>
      </w:r>
      <w:r>
        <w:rPr>
          <w:color w:val="231F20"/>
          <w:spacing w:val="-3"/>
        </w:rPr>
        <w:t xml:space="preserve">походить </w:t>
      </w:r>
      <w:r>
        <w:rPr>
          <w:color w:val="231F20"/>
        </w:rPr>
        <w:t xml:space="preserve">від французького «régime» – «поря- док, упорядкувати» та латинського «regimem» – «держава, уряд».    У </w:t>
      </w:r>
      <w:r>
        <w:rPr>
          <w:color w:val="231F20"/>
          <w:spacing w:val="-2"/>
        </w:rPr>
        <w:t xml:space="preserve">тлумачних </w:t>
      </w:r>
      <w:r>
        <w:rPr>
          <w:color w:val="231F20"/>
        </w:rPr>
        <w:t>словниках термін «</w:t>
      </w:r>
      <w:r>
        <w:rPr>
          <w:i/>
          <w:color w:val="231F20"/>
        </w:rPr>
        <w:t>режим</w:t>
      </w:r>
      <w:r>
        <w:rPr>
          <w:color w:val="231F20"/>
        </w:rPr>
        <w:t>» має декілька основних значень: державний устрій, спосіб правління, точно встановлений</w:t>
      </w:r>
      <w:r>
        <w:rPr>
          <w:color w:val="231F20"/>
        </w:rPr>
        <w:t xml:space="preserve"> розпорядок життя, праці, відпочинку тощо, певні умови, необхідні для забезпечення роботи, функціонування, існування чого-небудь, система правил, заходів, методів для досягнення </w:t>
      </w:r>
      <w:r>
        <w:rPr>
          <w:color w:val="231F20"/>
          <w:spacing w:val="-3"/>
        </w:rPr>
        <w:t>будь-якої</w:t>
      </w:r>
      <w:r>
        <w:rPr>
          <w:color w:val="231F20"/>
          <w:spacing w:val="-16"/>
        </w:rPr>
        <w:t xml:space="preserve"> </w:t>
      </w:r>
      <w:r>
        <w:rPr>
          <w:color w:val="231F20"/>
        </w:rPr>
        <w:t>мети.</w:t>
      </w:r>
    </w:p>
    <w:p w14:paraId="6B630734" w14:textId="77777777" w:rsidR="00DE575E" w:rsidRDefault="002E7560">
      <w:pPr>
        <w:pStyle w:val="BodyText"/>
        <w:spacing w:line="259" w:lineRule="auto"/>
        <w:ind w:left="250" w:right="411" w:firstLine="283"/>
        <w:jc w:val="both"/>
      </w:pPr>
      <w:r>
        <w:rPr>
          <w:color w:val="231F20"/>
        </w:rPr>
        <w:t>У теорії наукового пізнання термін «</w:t>
      </w:r>
      <w:r>
        <w:rPr>
          <w:i/>
          <w:color w:val="231F20"/>
        </w:rPr>
        <w:t>правовий режим</w:t>
      </w:r>
      <w:r>
        <w:rPr>
          <w:color w:val="231F20"/>
        </w:rPr>
        <w:t xml:space="preserve">» розгляда- </w:t>
      </w:r>
      <w:r>
        <w:rPr>
          <w:color w:val="231F20"/>
        </w:rPr>
        <w:t>ється за такими аспектами:</w:t>
      </w:r>
    </w:p>
    <w:p w14:paraId="51183E7D" w14:textId="77777777" w:rsidR="00DE575E" w:rsidRDefault="002E7560">
      <w:pPr>
        <w:pStyle w:val="ListParagraph"/>
        <w:numPr>
          <w:ilvl w:val="0"/>
          <w:numId w:val="161"/>
        </w:numPr>
        <w:tabs>
          <w:tab w:val="left" w:pos="818"/>
        </w:tabs>
        <w:spacing w:before="0" w:line="259" w:lineRule="auto"/>
        <w:ind w:right="411" w:firstLine="283"/>
        <w:jc w:val="both"/>
        <w:rPr>
          <w:sz w:val="21"/>
        </w:rPr>
      </w:pPr>
      <w:r>
        <w:rPr>
          <w:color w:val="231F20"/>
          <w:sz w:val="21"/>
        </w:rPr>
        <w:t>за загальною функціональною ознакою, що зумовлюється поділом права на «приватне» та «публічне», режим правового регу- лювання може визначатись як загальнодозвільний або загальноза- боронений;</w:t>
      </w:r>
    </w:p>
    <w:p w14:paraId="2A223121" w14:textId="77777777" w:rsidR="00DE575E" w:rsidRDefault="002E7560">
      <w:pPr>
        <w:pStyle w:val="ListParagraph"/>
        <w:numPr>
          <w:ilvl w:val="0"/>
          <w:numId w:val="161"/>
        </w:numPr>
        <w:tabs>
          <w:tab w:val="left" w:pos="818"/>
        </w:tabs>
        <w:spacing w:before="0" w:line="244" w:lineRule="exact"/>
        <w:ind w:firstLine="283"/>
        <w:rPr>
          <w:sz w:val="21"/>
        </w:rPr>
      </w:pPr>
      <w:r>
        <w:rPr>
          <w:color w:val="231F20"/>
          <w:sz w:val="21"/>
        </w:rPr>
        <w:t>з позиції універсальності</w:t>
      </w:r>
      <w:r>
        <w:rPr>
          <w:color w:val="231F20"/>
          <w:spacing w:val="-2"/>
          <w:sz w:val="21"/>
        </w:rPr>
        <w:t xml:space="preserve"> </w:t>
      </w:r>
      <w:r>
        <w:rPr>
          <w:color w:val="231F20"/>
          <w:sz w:val="21"/>
        </w:rPr>
        <w:t>застосуванн</w:t>
      </w:r>
      <w:r>
        <w:rPr>
          <w:color w:val="231F20"/>
          <w:sz w:val="21"/>
        </w:rPr>
        <w:t>я</w:t>
      </w:r>
    </w:p>
    <w:p w14:paraId="7CC39228" w14:textId="77777777" w:rsidR="00DE575E" w:rsidRDefault="002E7560">
      <w:pPr>
        <w:spacing w:before="113" w:line="252" w:lineRule="auto"/>
        <w:ind w:left="533" w:right="411" w:firstLine="283"/>
        <w:jc w:val="both"/>
        <w:rPr>
          <w:i/>
          <w:sz w:val="18"/>
        </w:rPr>
      </w:pPr>
      <w:r>
        <w:rPr>
          <w:i/>
          <w:color w:val="231F20"/>
          <w:sz w:val="18"/>
          <w:u w:val="single" w:color="231F20"/>
        </w:rPr>
        <w:t>Приклад:</w:t>
      </w:r>
      <w:r>
        <w:rPr>
          <w:i/>
          <w:color w:val="231F20"/>
          <w:sz w:val="18"/>
        </w:rPr>
        <w:t xml:space="preserve">  правоохоронна  діяльність  за  галузевою  ознакою  передба-  чає спорідніть правових приписів для процесуальної діяльності державних структур</w:t>
      </w:r>
      <w:r>
        <w:rPr>
          <w:i/>
          <w:color w:val="231F20"/>
          <w:spacing w:val="7"/>
          <w:sz w:val="18"/>
        </w:rPr>
        <w:t xml:space="preserve"> </w:t>
      </w:r>
      <w:r>
        <w:rPr>
          <w:i/>
          <w:color w:val="231F20"/>
          <w:sz w:val="18"/>
        </w:rPr>
        <w:t>системи</w:t>
      </w:r>
      <w:r>
        <w:rPr>
          <w:i/>
          <w:color w:val="231F20"/>
          <w:spacing w:val="7"/>
          <w:sz w:val="18"/>
        </w:rPr>
        <w:t xml:space="preserve"> </w:t>
      </w:r>
      <w:r>
        <w:rPr>
          <w:i/>
          <w:color w:val="231F20"/>
          <w:sz w:val="18"/>
        </w:rPr>
        <w:t>МВС</w:t>
      </w:r>
      <w:r>
        <w:rPr>
          <w:i/>
          <w:color w:val="231F20"/>
          <w:spacing w:val="7"/>
          <w:sz w:val="18"/>
        </w:rPr>
        <w:t xml:space="preserve"> </w:t>
      </w:r>
      <w:r>
        <w:rPr>
          <w:i/>
          <w:color w:val="231F20"/>
          <w:sz w:val="18"/>
        </w:rPr>
        <w:t>України:</w:t>
      </w:r>
      <w:r>
        <w:rPr>
          <w:i/>
          <w:color w:val="231F20"/>
          <w:spacing w:val="7"/>
          <w:sz w:val="18"/>
        </w:rPr>
        <w:t xml:space="preserve"> </w:t>
      </w:r>
      <w:r>
        <w:rPr>
          <w:i/>
          <w:color w:val="231F20"/>
          <w:sz w:val="18"/>
        </w:rPr>
        <w:t>«режим</w:t>
      </w:r>
      <w:r>
        <w:rPr>
          <w:i/>
          <w:color w:val="231F20"/>
          <w:spacing w:val="6"/>
          <w:sz w:val="18"/>
        </w:rPr>
        <w:t xml:space="preserve"> </w:t>
      </w:r>
      <w:r>
        <w:rPr>
          <w:i/>
          <w:color w:val="231F20"/>
          <w:sz w:val="18"/>
        </w:rPr>
        <w:t>таємності»,</w:t>
      </w:r>
      <w:r>
        <w:rPr>
          <w:i/>
          <w:color w:val="231F20"/>
          <w:spacing w:val="6"/>
          <w:sz w:val="18"/>
        </w:rPr>
        <w:t xml:space="preserve"> </w:t>
      </w:r>
      <w:r>
        <w:rPr>
          <w:i/>
          <w:color w:val="231F20"/>
          <w:sz w:val="18"/>
        </w:rPr>
        <w:t>«митний</w:t>
      </w:r>
      <w:r>
        <w:rPr>
          <w:i/>
          <w:color w:val="231F20"/>
          <w:spacing w:val="6"/>
          <w:sz w:val="18"/>
        </w:rPr>
        <w:t xml:space="preserve"> </w:t>
      </w:r>
      <w:r>
        <w:rPr>
          <w:i/>
          <w:color w:val="231F20"/>
          <w:sz w:val="18"/>
        </w:rPr>
        <w:t>режим»,</w:t>
      </w:r>
    </w:p>
    <w:p w14:paraId="75CAFA32" w14:textId="77777777" w:rsidR="00DE575E" w:rsidRDefault="002E7560">
      <w:pPr>
        <w:spacing w:before="3"/>
        <w:ind w:left="533"/>
        <w:rPr>
          <w:i/>
          <w:sz w:val="18"/>
        </w:rPr>
      </w:pPr>
      <w:r>
        <w:rPr>
          <w:i/>
          <w:color w:val="231F20"/>
          <w:sz w:val="18"/>
        </w:rPr>
        <w:t>«режим охорони державного кордону» тощо;</w:t>
      </w:r>
    </w:p>
    <w:p w14:paraId="06ED3F23" w14:textId="77777777" w:rsidR="00DE575E" w:rsidRDefault="002E7560">
      <w:pPr>
        <w:pStyle w:val="ListParagraph"/>
        <w:numPr>
          <w:ilvl w:val="0"/>
          <w:numId w:val="161"/>
        </w:numPr>
        <w:tabs>
          <w:tab w:val="left" w:pos="818"/>
        </w:tabs>
        <w:spacing w:before="139" w:line="259" w:lineRule="auto"/>
        <w:ind w:right="414" w:firstLine="283"/>
        <w:jc w:val="both"/>
        <w:rPr>
          <w:sz w:val="21"/>
        </w:rPr>
      </w:pPr>
      <w:r>
        <w:rPr>
          <w:color w:val="231F20"/>
          <w:sz w:val="21"/>
        </w:rPr>
        <w:t xml:space="preserve">з </w:t>
      </w:r>
      <w:r>
        <w:rPr>
          <w:color w:val="231F20"/>
          <w:spacing w:val="-3"/>
          <w:sz w:val="21"/>
        </w:rPr>
        <w:t xml:space="preserve">огляду </w:t>
      </w:r>
      <w:r>
        <w:rPr>
          <w:color w:val="231F20"/>
          <w:sz w:val="21"/>
        </w:rPr>
        <w:t>можливості утворення похідних вторинних режимів на основі галузевих правових</w:t>
      </w:r>
      <w:r>
        <w:rPr>
          <w:color w:val="231F20"/>
          <w:spacing w:val="-2"/>
          <w:sz w:val="21"/>
        </w:rPr>
        <w:t xml:space="preserve"> </w:t>
      </w:r>
      <w:r>
        <w:rPr>
          <w:color w:val="231F20"/>
          <w:sz w:val="21"/>
        </w:rPr>
        <w:t>режимів.</w:t>
      </w:r>
    </w:p>
    <w:p w14:paraId="569BD5A4" w14:textId="77777777" w:rsidR="00DE575E" w:rsidRDefault="002E7560">
      <w:pPr>
        <w:spacing w:line="259" w:lineRule="auto"/>
        <w:ind w:left="250" w:right="411" w:firstLine="283"/>
        <w:jc w:val="both"/>
        <w:rPr>
          <w:i/>
          <w:sz w:val="21"/>
        </w:rPr>
      </w:pPr>
      <w:r>
        <w:rPr>
          <w:i/>
          <w:color w:val="231F20"/>
          <w:sz w:val="21"/>
          <w:u w:val="single" w:color="231F20"/>
        </w:rPr>
        <w:t>Приклад:</w:t>
      </w:r>
      <w:r>
        <w:rPr>
          <w:i/>
          <w:color w:val="231F20"/>
          <w:spacing w:val="-17"/>
          <w:sz w:val="21"/>
        </w:rPr>
        <w:t xml:space="preserve"> </w:t>
      </w:r>
      <w:r>
        <w:rPr>
          <w:i/>
          <w:color w:val="231F20"/>
          <w:sz w:val="21"/>
        </w:rPr>
        <w:t>створення</w:t>
      </w:r>
      <w:r>
        <w:rPr>
          <w:i/>
          <w:color w:val="231F20"/>
          <w:spacing w:val="-17"/>
          <w:sz w:val="21"/>
        </w:rPr>
        <w:t xml:space="preserve"> </w:t>
      </w:r>
      <w:r>
        <w:rPr>
          <w:i/>
          <w:color w:val="231F20"/>
          <w:sz w:val="21"/>
        </w:rPr>
        <w:t>режиму</w:t>
      </w:r>
      <w:r>
        <w:rPr>
          <w:i/>
          <w:color w:val="231F20"/>
          <w:spacing w:val="-17"/>
          <w:sz w:val="21"/>
        </w:rPr>
        <w:t xml:space="preserve"> </w:t>
      </w:r>
      <w:r>
        <w:rPr>
          <w:i/>
          <w:color w:val="231F20"/>
          <w:sz w:val="21"/>
        </w:rPr>
        <w:t>соціальних</w:t>
      </w:r>
      <w:r>
        <w:rPr>
          <w:i/>
          <w:color w:val="231F20"/>
          <w:spacing w:val="-17"/>
          <w:sz w:val="21"/>
        </w:rPr>
        <w:t xml:space="preserve"> </w:t>
      </w:r>
      <w:r>
        <w:rPr>
          <w:i/>
          <w:color w:val="231F20"/>
          <w:sz w:val="21"/>
        </w:rPr>
        <w:t>процесів;</w:t>
      </w:r>
      <w:r>
        <w:rPr>
          <w:i/>
          <w:color w:val="231F20"/>
          <w:spacing w:val="-17"/>
          <w:sz w:val="21"/>
        </w:rPr>
        <w:t xml:space="preserve"> </w:t>
      </w:r>
      <w:r>
        <w:rPr>
          <w:i/>
          <w:color w:val="231F20"/>
          <w:sz w:val="21"/>
        </w:rPr>
        <w:t>утворення</w:t>
      </w:r>
      <w:r>
        <w:rPr>
          <w:i/>
          <w:color w:val="231F20"/>
          <w:spacing w:val="-17"/>
          <w:sz w:val="21"/>
        </w:rPr>
        <w:t xml:space="preserve"> </w:t>
      </w:r>
      <w:r>
        <w:rPr>
          <w:i/>
          <w:color w:val="231F20"/>
          <w:sz w:val="21"/>
        </w:rPr>
        <w:t xml:space="preserve">спеці- ального режиму роботи для окремих видів діяльності; визначення правового адміністративного статусу </w:t>
      </w:r>
      <w:r>
        <w:rPr>
          <w:i/>
          <w:color w:val="231F20"/>
          <w:sz w:val="21"/>
        </w:rPr>
        <w:t>певних територій (введення надзвичайного</w:t>
      </w:r>
      <w:r>
        <w:rPr>
          <w:i/>
          <w:color w:val="231F20"/>
          <w:spacing w:val="-1"/>
          <w:sz w:val="21"/>
        </w:rPr>
        <w:t xml:space="preserve"> </w:t>
      </w:r>
      <w:r>
        <w:rPr>
          <w:i/>
          <w:color w:val="231F20"/>
          <w:sz w:val="21"/>
        </w:rPr>
        <w:t>режиму).</w:t>
      </w:r>
    </w:p>
    <w:p w14:paraId="335FC9B3" w14:textId="77777777" w:rsidR="00DE575E" w:rsidRDefault="002E7560">
      <w:pPr>
        <w:pStyle w:val="BodyText"/>
        <w:spacing w:line="259" w:lineRule="auto"/>
        <w:ind w:left="250" w:right="411" w:firstLine="283"/>
        <w:jc w:val="both"/>
      </w:pPr>
      <w:r>
        <w:rPr>
          <w:color w:val="231F20"/>
        </w:rPr>
        <w:t xml:space="preserve">Слід наголосити, що поняття </w:t>
      </w:r>
      <w:r>
        <w:rPr>
          <w:color w:val="231F20"/>
          <w:spacing w:val="-3"/>
        </w:rPr>
        <w:t>«</w:t>
      </w:r>
      <w:r>
        <w:rPr>
          <w:i/>
          <w:color w:val="231F20"/>
          <w:spacing w:val="-3"/>
        </w:rPr>
        <w:t xml:space="preserve">об’єкт </w:t>
      </w:r>
      <w:r>
        <w:rPr>
          <w:i/>
          <w:color w:val="231F20"/>
        </w:rPr>
        <w:t>адміністративно-право- вого режиму</w:t>
      </w:r>
      <w:r>
        <w:rPr>
          <w:color w:val="231F20"/>
        </w:rPr>
        <w:t>» не збігається з поняттям «</w:t>
      </w:r>
      <w:r>
        <w:rPr>
          <w:i/>
          <w:color w:val="231F20"/>
        </w:rPr>
        <w:t>предмет адміністративно- правового регулювання</w:t>
      </w:r>
      <w:r>
        <w:rPr>
          <w:color w:val="231F20"/>
        </w:rPr>
        <w:t xml:space="preserve">». До останнього належать суспільні відно- сини, піддані галузевій правовій регламентації, що </w:t>
      </w:r>
      <w:r>
        <w:rPr>
          <w:color w:val="231F20"/>
          <w:spacing w:val="-3"/>
        </w:rPr>
        <w:t xml:space="preserve">об’єктивно </w:t>
      </w:r>
      <w:r>
        <w:rPr>
          <w:color w:val="231F20"/>
        </w:rPr>
        <w:t>припускає</w:t>
      </w:r>
      <w:r>
        <w:rPr>
          <w:color w:val="231F20"/>
          <w:spacing w:val="-8"/>
        </w:rPr>
        <w:t xml:space="preserve"> </w:t>
      </w:r>
      <w:r>
        <w:rPr>
          <w:color w:val="231F20"/>
        </w:rPr>
        <w:t>використання</w:t>
      </w:r>
      <w:r>
        <w:rPr>
          <w:color w:val="231F20"/>
          <w:spacing w:val="-8"/>
        </w:rPr>
        <w:t xml:space="preserve"> </w:t>
      </w:r>
      <w:r>
        <w:rPr>
          <w:color w:val="231F20"/>
        </w:rPr>
        <w:t>галузевих</w:t>
      </w:r>
      <w:r>
        <w:rPr>
          <w:color w:val="231F20"/>
          <w:spacing w:val="-8"/>
        </w:rPr>
        <w:t xml:space="preserve"> </w:t>
      </w:r>
      <w:r>
        <w:rPr>
          <w:color w:val="231F20"/>
        </w:rPr>
        <w:t>норм,</w:t>
      </w:r>
      <w:r>
        <w:rPr>
          <w:color w:val="231F20"/>
          <w:spacing w:val="-8"/>
        </w:rPr>
        <w:t xml:space="preserve"> </w:t>
      </w:r>
      <w:r>
        <w:rPr>
          <w:color w:val="231F20"/>
        </w:rPr>
        <w:t>але</w:t>
      </w:r>
      <w:r>
        <w:rPr>
          <w:color w:val="231F20"/>
          <w:spacing w:val="-8"/>
        </w:rPr>
        <w:t xml:space="preserve"> </w:t>
      </w:r>
      <w:r>
        <w:rPr>
          <w:color w:val="231F20"/>
        </w:rPr>
        <w:t>не</w:t>
      </w:r>
      <w:r>
        <w:rPr>
          <w:color w:val="231F20"/>
          <w:spacing w:val="-8"/>
        </w:rPr>
        <w:t xml:space="preserve"> </w:t>
      </w:r>
      <w:r>
        <w:rPr>
          <w:color w:val="231F20"/>
        </w:rPr>
        <w:t>урегульовані</w:t>
      </w:r>
      <w:r>
        <w:rPr>
          <w:color w:val="231F20"/>
          <w:spacing w:val="-8"/>
        </w:rPr>
        <w:t xml:space="preserve"> </w:t>
      </w:r>
      <w:r>
        <w:rPr>
          <w:color w:val="231F20"/>
        </w:rPr>
        <w:t>в</w:t>
      </w:r>
      <w:r>
        <w:rPr>
          <w:color w:val="231F20"/>
          <w:spacing w:val="-8"/>
        </w:rPr>
        <w:t xml:space="preserve"> </w:t>
      </w:r>
      <w:r>
        <w:rPr>
          <w:color w:val="231F20"/>
        </w:rPr>
        <w:t>силу визначених</w:t>
      </w:r>
      <w:r>
        <w:rPr>
          <w:color w:val="231F20"/>
          <w:spacing w:val="-11"/>
        </w:rPr>
        <w:t xml:space="preserve"> </w:t>
      </w:r>
      <w:r>
        <w:rPr>
          <w:color w:val="231F20"/>
        </w:rPr>
        <w:t>причин.</w:t>
      </w:r>
      <w:r>
        <w:rPr>
          <w:color w:val="231F20"/>
          <w:spacing w:val="-11"/>
        </w:rPr>
        <w:t xml:space="preserve"> </w:t>
      </w:r>
      <w:r>
        <w:rPr>
          <w:color w:val="231F20"/>
        </w:rPr>
        <w:t>До</w:t>
      </w:r>
      <w:r>
        <w:rPr>
          <w:color w:val="231F20"/>
          <w:spacing w:val="-11"/>
        </w:rPr>
        <w:t xml:space="preserve"> </w:t>
      </w:r>
      <w:r>
        <w:rPr>
          <w:color w:val="231F20"/>
          <w:spacing w:val="-4"/>
        </w:rPr>
        <w:t>об’єкта</w:t>
      </w:r>
      <w:r>
        <w:rPr>
          <w:color w:val="231F20"/>
          <w:spacing w:val="-11"/>
        </w:rPr>
        <w:t xml:space="preserve"> </w:t>
      </w:r>
      <w:r>
        <w:rPr>
          <w:color w:val="231F20"/>
        </w:rPr>
        <w:t>режиму</w:t>
      </w:r>
      <w:r>
        <w:rPr>
          <w:color w:val="231F20"/>
          <w:spacing w:val="-11"/>
        </w:rPr>
        <w:t xml:space="preserve"> </w:t>
      </w:r>
      <w:r>
        <w:rPr>
          <w:color w:val="231F20"/>
        </w:rPr>
        <w:t>включаються</w:t>
      </w:r>
      <w:r>
        <w:rPr>
          <w:color w:val="231F20"/>
          <w:spacing w:val="-11"/>
        </w:rPr>
        <w:t xml:space="preserve"> </w:t>
      </w:r>
      <w:r>
        <w:rPr>
          <w:color w:val="231F20"/>
        </w:rPr>
        <w:t>тільки</w:t>
      </w:r>
      <w:r>
        <w:rPr>
          <w:color w:val="231F20"/>
          <w:spacing w:val="-11"/>
        </w:rPr>
        <w:t xml:space="preserve"> </w:t>
      </w:r>
      <w:r>
        <w:rPr>
          <w:color w:val="231F20"/>
        </w:rPr>
        <w:t>ті</w:t>
      </w:r>
      <w:r>
        <w:rPr>
          <w:color w:val="231F20"/>
          <w:spacing w:val="-11"/>
        </w:rPr>
        <w:t xml:space="preserve"> </w:t>
      </w:r>
      <w:r>
        <w:rPr>
          <w:color w:val="231F20"/>
        </w:rPr>
        <w:t>відно- сини, що фактично п</w:t>
      </w:r>
      <w:r>
        <w:rPr>
          <w:color w:val="231F20"/>
        </w:rPr>
        <w:t>отрапили під дію</w:t>
      </w:r>
      <w:r>
        <w:rPr>
          <w:color w:val="231F20"/>
          <w:spacing w:val="15"/>
        </w:rPr>
        <w:t xml:space="preserve"> </w:t>
      </w:r>
      <w:r>
        <w:rPr>
          <w:color w:val="231F20"/>
        </w:rPr>
        <w:t>адміністративно-правових</w:t>
      </w:r>
    </w:p>
    <w:p w14:paraId="7CC998B0" w14:textId="77777777" w:rsidR="00DE575E" w:rsidRDefault="00DE575E">
      <w:pPr>
        <w:pStyle w:val="BodyText"/>
        <w:spacing w:before="9"/>
        <w:rPr>
          <w:sz w:val="8"/>
        </w:rPr>
      </w:pPr>
    </w:p>
    <w:p w14:paraId="5CF38EC6" w14:textId="77777777" w:rsidR="00DE575E" w:rsidRDefault="002E7560">
      <w:pPr>
        <w:spacing w:before="91"/>
        <w:ind w:right="411"/>
        <w:jc w:val="right"/>
        <w:rPr>
          <w:rFonts w:ascii="Times New Roman"/>
          <w:sz w:val="20"/>
        </w:rPr>
      </w:pPr>
      <w:r>
        <w:rPr>
          <w:rFonts w:ascii="Times New Roman"/>
          <w:color w:val="231F20"/>
          <w:w w:val="90"/>
          <w:sz w:val="20"/>
        </w:rPr>
        <w:t>273</w:t>
      </w:r>
    </w:p>
    <w:p w14:paraId="06B91F1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6E9A08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BC0FEBD" w14:textId="6D604AF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2EAD203" wp14:editId="584BC20D">
                <wp:extent cx="4140200" cy="6350"/>
                <wp:effectExtent l="0" t="0" r="12700" b="6350"/>
                <wp:docPr id="722"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23" name="Line 72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8E7B55" id="Group_x0020_72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EkcmKfQIAAJgFAAAOAAAA&#10;AAAAAAAAAAAAACwCAABkcnMvZTJvRG9jLnhtbFBLAQItABQABgAIAAAAIQBMp7CQ2QAAAAMBAAAP&#10;AAAAAAAAAAAAAAAAANUEAABkcnMvZG93bnJldi54bWxQSwUGAAAAAAQABADzAAAA2wUAAAAA&#10;">
                <v:line id="Line_x0020_72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hJmsYAAADcAAAADwAAAGRycy9kb3ducmV2LnhtbESP0WrCQBRE3wv9h+UWfCm60UCV6CpF&#10;EMQHrcYPuGavSeju3ZhdTdqv7xYKfRxm5gyzWPXWiAe1vnasYDxKQBAXTtdcKjjnm+EMhA/IGo1j&#10;UvBFHlbL56cFZtp1fKTHKZQiQthnqKAKocmk9EVFFv3INcTRu7rWYoiyLaVusYtwa+QkSd6kxZrj&#10;QoUNrSsqPk93qyC/vQbzcdiZLj9cUnm57dPv+16pwUv/PgcRqA//4b/2ViuYTlL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qoSZrGAAAA3AAAAA8AAAAAAAAA&#10;AAAAAAAAoQIAAGRycy9kb3ducmV2LnhtbFBLBQYAAAAABAAEAPkAAACUAwAAAAA=&#10;" strokecolor="#231f20" strokeweight=".5pt"/>
                <w10:anchorlock/>
              </v:group>
            </w:pict>
          </mc:Fallback>
        </mc:AlternateContent>
      </w:r>
    </w:p>
    <w:p w14:paraId="45F9775F" w14:textId="77777777" w:rsidR="00DE575E" w:rsidRDefault="00DE575E">
      <w:pPr>
        <w:pStyle w:val="BodyText"/>
        <w:spacing w:before="7"/>
        <w:rPr>
          <w:rFonts w:ascii="AdonisC"/>
          <w:i/>
          <w:sz w:val="11"/>
        </w:rPr>
      </w:pPr>
    </w:p>
    <w:p w14:paraId="0E6541C5" w14:textId="77777777" w:rsidR="00DE575E" w:rsidRDefault="002E7560">
      <w:pPr>
        <w:pStyle w:val="BodyText"/>
        <w:spacing w:before="101" w:line="254" w:lineRule="auto"/>
        <w:ind w:left="533" w:right="128"/>
        <w:jc w:val="both"/>
      </w:pPr>
      <w:r>
        <w:rPr>
          <w:color w:val="231F20"/>
        </w:rPr>
        <w:t>норм, тому що режим – не завжди результат впливу, стан упорядко- ваності соціальних зв’язків.</w:t>
      </w:r>
    </w:p>
    <w:p w14:paraId="5D98D644" w14:textId="77777777" w:rsidR="00DE575E" w:rsidRDefault="002E7560">
      <w:pPr>
        <w:pStyle w:val="BodyText"/>
        <w:spacing w:line="254" w:lineRule="auto"/>
        <w:ind w:left="533" w:right="122" w:firstLine="283"/>
        <w:jc w:val="both"/>
      </w:pPr>
      <w:r>
        <w:rPr>
          <w:color w:val="231F20"/>
          <w:spacing w:val="1"/>
        </w:rPr>
        <w:t xml:space="preserve">Спеціальні адміністративно-правові  режими  встановлюються </w:t>
      </w:r>
      <w:r>
        <w:rPr>
          <w:color w:val="231F20"/>
        </w:rPr>
        <w:t xml:space="preserve">у </w:t>
      </w:r>
      <w:r>
        <w:rPr>
          <w:color w:val="231F20"/>
          <w:spacing w:val="1"/>
        </w:rPr>
        <w:t xml:space="preserve">сфері державного управління, постаючи </w:t>
      </w:r>
      <w:r>
        <w:rPr>
          <w:color w:val="231F20"/>
        </w:rPr>
        <w:t xml:space="preserve">в </w:t>
      </w:r>
      <w:r>
        <w:rPr>
          <w:color w:val="231F20"/>
          <w:spacing w:val="1"/>
        </w:rPr>
        <w:t xml:space="preserve">ролі особливої право- </w:t>
      </w:r>
      <w:r>
        <w:rPr>
          <w:color w:val="231F20"/>
        </w:rPr>
        <w:t>во</w:t>
      </w:r>
      <w:r>
        <w:rPr>
          <w:color w:val="231F20"/>
        </w:rPr>
        <w:t xml:space="preserve">ї </w:t>
      </w:r>
      <w:r>
        <w:rPr>
          <w:color w:val="231F20"/>
          <w:spacing w:val="1"/>
        </w:rPr>
        <w:t xml:space="preserve">форми виконавчо-розпорядницької діяльності. </w:t>
      </w:r>
      <w:r>
        <w:rPr>
          <w:color w:val="231F20"/>
        </w:rPr>
        <w:t xml:space="preserve">Її </w:t>
      </w:r>
      <w:r>
        <w:rPr>
          <w:color w:val="231F20"/>
          <w:spacing w:val="1"/>
        </w:rPr>
        <w:t xml:space="preserve">потреба виникає </w:t>
      </w:r>
      <w:r>
        <w:rPr>
          <w:color w:val="231F20"/>
        </w:rPr>
        <w:t xml:space="preserve">в </w:t>
      </w:r>
      <w:r>
        <w:rPr>
          <w:color w:val="231F20"/>
          <w:spacing w:val="1"/>
        </w:rPr>
        <w:t xml:space="preserve">тому разі, </w:t>
      </w:r>
      <w:r>
        <w:rPr>
          <w:color w:val="231F20"/>
        </w:rPr>
        <w:t xml:space="preserve">коли </w:t>
      </w:r>
      <w:r>
        <w:rPr>
          <w:color w:val="231F20"/>
          <w:spacing w:val="1"/>
        </w:rPr>
        <w:t xml:space="preserve">інші </w:t>
      </w:r>
      <w:r>
        <w:rPr>
          <w:color w:val="231F20"/>
          <w:spacing w:val="2"/>
        </w:rPr>
        <w:t>організаційно-управлінські</w:t>
      </w:r>
      <w:r>
        <w:rPr>
          <w:color w:val="231F20"/>
          <w:spacing w:val="51"/>
        </w:rPr>
        <w:t xml:space="preserve"> </w:t>
      </w:r>
      <w:r>
        <w:rPr>
          <w:color w:val="231F20"/>
          <w:spacing w:val="1"/>
        </w:rPr>
        <w:t xml:space="preserve">способи </w:t>
      </w:r>
      <w:r>
        <w:rPr>
          <w:color w:val="231F20"/>
        </w:rPr>
        <w:t xml:space="preserve">й </w:t>
      </w:r>
      <w:r>
        <w:rPr>
          <w:color w:val="231F20"/>
          <w:spacing w:val="1"/>
        </w:rPr>
        <w:t xml:space="preserve">форми </w:t>
      </w:r>
      <w:r>
        <w:rPr>
          <w:color w:val="231F20"/>
        </w:rPr>
        <w:t xml:space="preserve">впливу, </w:t>
      </w:r>
      <w:r>
        <w:rPr>
          <w:color w:val="231F20"/>
          <w:spacing w:val="1"/>
        </w:rPr>
        <w:t xml:space="preserve">окремі </w:t>
      </w:r>
      <w:r>
        <w:rPr>
          <w:color w:val="231F20"/>
        </w:rPr>
        <w:t xml:space="preserve">або </w:t>
      </w:r>
      <w:r>
        <w:rPr>
          <w:color w:val="231F20"/>
          <w:spacing w:val="1"/>
        </w:rPr>
        <w:t xml:space="preserve">розрізнені міри </w:t>
      </w:r>
      <w:r>
        <w:rPr>
          <w:color w:val="231F20"/>
        </w:rPr>
        <w:t xml:space="preserve">не </w:t>
      </w:r>
      <w:r>
        <w:rPr>
          <w:color w:val="231F20"/>
          <w:spacing w:val="2"/>
        </w:rPr>
        <w:t xml:space="preserve">можуть </w:t>
      </w:r>
      <w:r>
        <w:rPr>
          <w:color w:val="231F20"/>
          <w:spacing w:val="1"/>
        </w:rPr>
        <w:t xml:space="preserve">підтримати упорядкований характер цієї </w:t>
      </w:r>
      <w:r>
        <w:rPr>
          <w:color w:val="231F20"/>
        </w:rPr>
        <w:t xml:space="preserve">групи </w:t>
      </w:r>
      <w:r>
        <w:rPr>
          <w:color w:val="231F20"/>
          <w:spacing w:val="1"/>
        </w:rPr>
        <w:t xml:space="preserve">суспільних відно- син. Спеціальний </w:t>
      </w:r>
      <w:r>
        <w:rPr>
          <w:color w:val="231F20"/>
          <w:spacing w:val="1"/>
        </w:rPr>
        <w:t xml:space="preserve">режим установлюється там, </w:t>
      </w:r>
      <w:r>
        <w:rPr>
          <w:color w:val="231F20"/>
        </w:rPr>
        <w:t xml:space="preserve">де не </w:t>
      </w:r>
      <w:r>
        <w:rPr>
          <w:color w:val="231F20"/>
          <w:spacing w:val="2"/>
        </w:rPr>
        <w:t xml:space="preserve">ефективний </w:t>
      </w:r>
      <w:r>
        <w:rPr>
          <w:color w:val="231F20"/>
          <w:spacing w:val="1"/>
        </w:rPr>
        <w:t xml:space="preserve">звичайний порядок реалізації юридичних форм, </w:t>
      </w:r>
      <w:r>
        <w:rPr>
          <w:color w:val="231F20"/>
        </w:rPr>
        <w:t xml:space="preserve">де </w:t>
      </w:r>
      <w:r>
        <w:rPr>
          <w:color w:val="231F20"/>
          <w:spacing w:val="1"/>
        </w:rPr>
        <w:t xml:space="preserve">потрібно зібрати правовий інструментарій </w:t>
      </w:r>
      <w:r>
        <w:rPr>
          <w:color w:val="231F20"/>
        </w:rPr>
        <w:t xml:space="preserve">у </w:t>
      </w:r>
      <w:r>
        <w:rPr>
          <w:color w:val="231F20"/>
          <w:spacing w:val="1"/>
        </w:rPr>
        <w:t xml:space="preserve">єдиний комплекс </w:t>
      </w:r>
      <w:r>
        <w:rPr>
          <w:color w:val="231F20"/>
          <w:spacing w:val="2"/>
        </w:rPr>
        <w:t xml:space="preserve">процедурно- </w:t>
      </w:r>
      <w:r>
        <w:rPr>
          <w:color w:val="231F20"/>
          <w:spacing w:val="1"/>
        </w:rPr>
        <w:t xml:space="preserve">процесуальних форм, контрольно-наглядових функцій, </w:t>
      </w:r>
      <w:r>
        <w:rPr>
          <w:color w:val="231F20"/>
        </w:rPr>
        <w:t xml:space="preserve">приму- </w:t>
      </w:r>
      <w:r>
        <w:rPr>
          <w:color w:val="231F20"/>
          <w:spacing w:val="1"/>
        </w:rPr>
        <w:t xml:space="preserve">сових </w:t>
      </w:r>
      <w:r>
        <w:rPr>
          <w:color w:val="231F20"/>
        </w:rPr>
        <w:t xml:space="preserve">заходів, що діють у </w:t>
      </w:r>
      <w:r>
        <w:rPr>
          <w:color w:val="231F20"/>
          <w:spacing w:val="1"/>
        </w:rPr>
        <w:t>визначеном</w:t>
      </w:r>
      <w:r>
        <w:rPr>
          <w:color w:val="231F20"/>
          <w:spacing w:val="1"/>
        </w:rPr>
        <w:t xml:space="preserve">у напрямку попередження, </w:t>
      </w:r>
      <w:r>
        <w:rPr>
          <w:color w:val="231F20"/>
        </w:rPr>
        <w:t>охорони й</w:t>
      </w:r>
      <w:r>
        <w:rPr>
          <w:color w:val="231F20"/>
          <w:spacing w:val="15"/>
        </w:rPr>
        <w:t xml:space="preserve"> </w:t>
      </w:r>
      <w:r>
        <w:rPr>
          <w:color w:val="231F20"/>
        </w:rPr>
        <w:t>захисту.</w:t>
      </w:r>
    </w:p>
    <w:p w14:paraId="4B60D548" w14:textId="77777777" w:rsidR="00DE575E" w:rsidRDefault="002E7560">
      <w:pPr>
        <w:pStyle w:val="BodyText"/>
        <w:spacing w:line="232" w:lineRule="exact"/>
        <w:ind w:left="817"/>
      </w:pPr>
      <w:r>
        <w:rPr>
          <w:color w:val="231F20"/>
        </w:rPr>
        <w:t>Адміністративно-правові відносини, що стають об’єктом спеці-</w:t>
      </w:r>
    </w:p>
    <w:p w14:paraId="5CE2F82E" w14:textId="77777777" w:rsidR="00DE575E" w:rsidRDefault="002E7560">
      <w:pPr>
        <w:pStyle w:val="BodyText"/>
        <w:spacing w:before="11" w:line="254" w:lineRule="auto"/>
        <w:ind w:left="533" w:right="124"/>
        <w:jc w:val="both"/>
      </w:pPr>
      <w:r>
        <w:rPr>
          <w:color w:val="231F20"/>
        </w:rPr>
        <w:t>ального адміністративно-правового режиму, мають відрізнятися соціальною однорідністю, відособленістю, конкретною цільовою настановою та детермінувати н</w:t>
      </w:r>
      <w:r>
        <w:rPr>
          <w:color w:val="231F20"/>
        </w:rPr>
        <w:t>аявність в учасників правовідносин спеціальної сукупності прав і обов’язків. Говорити про спеціаль- ний адміністративно-правовий режим можна лише тоді, коли він одержав своє законодавче закріплення. Як правило, у законі (або іншому  нормативно-правовому  а</w:t>
      </w:r>
      <w:r>
        <w:rPr>
          <w:color w:val="231F20"/>
        </w:rPr>
        <w:t xml:space="preserve">кті)  визначаються  вид  рішення  і його носій, умови введення, </w:t>
      </w:r>
      <w:r>
        <w:rPr>
          <w:color w:val="231F20"/>
          <w:spacing w:val="-4"/>
        </w:rPr>
        <w:t xml:space="preserve">суб’єкт, </w:t>
      </w:r>
      <w:r>
        <w:rPr>
          <w:color w:val="231F20"/>
        </w:rPr>
        <w:t>що здійснює режимне керу- вання, запроваджує спеціальні заходи. Оскільки спеціальні адмі- ністративно-правові режими, як правило, пов’язані з обмеженням, примусом, відповідальністю, т</w:t>
      </w:r>
      <w:r>
        <w:rPr>
          <w:color w:val="231F20"/>
        </w:rPr>
        <w:t>о в ідеалі вони мають одержувати юридичне оформлення у вигляді закону, а не урядового чи відом- чого нормативно-правового</w:t>
      </w:r>
      <w:r>
        <w:rPr>
          <w:color w:val="231F20"/>
          <w:spacing w:val="8"/>
        </w:rPr>
        <w:t xml:space="preserve"> </w:t>
      </w:r>
      <w:r>
        <w:rPr>
          <w:color w:val="231F20"/>
        </w:rPr>
        <w:t>акта.</w:t>
      </w:r>
    </w:p>
    <w:p w14:paraId="0A57F26D" w14:textId="77777777" w:rsidR="00DE575E" w:rsidRDefault="002E7560">
      <w:pPr>
        <w:spacing w:line="231" w:lineRule="exact"/>
        <w:ind w:left="817"/>
        <w:rPr>
          <w:sz w:val="21"/>
        </w:rPr>
      </w:pPr>
      <w:r>
        <w:rPr>
          <w:i/>
          <w:color w:val="231F20"/>
          <w:sz w:val="21"/>
        </w:rPr>
        <w:t>Спеціальні адміністративно-правові режими класифікуються за</w:t>
      </w:r>
      <w:r>
        <w:rPr>
          <w:color w:val="231F20"/>
          <w:sz w:val="21"/>
        </w:rPr>
        <w:t>:</w:t>
      </w:r>
    </w:p>
    <w:p w14:paraId="6AFC00C8" w14:textId="77777777" w:rsidR="00DE575E" w:rsidRDefault="002E7560">
      <w:pPr>
        <w:pStyle w:val="ListParagraph"/>
        <w:numPr>
          <w:ilvl w:val="0"/>
          <w:numId w:val="160"/>
        </w:numPr>
        <w:tabs>
          <w:tab w:val="left" w:pos="1101"/>
        </w:tabs>
        <w:spacing w:before="13" w:line="254" w:lineRule="auto"/>
        <w:ind w:right="129" w:firstLine="284"/>
        <w:rPr>
          <w:sz w:val="21"/>
        </w:rPr>
      </w:pPr>
      <w:r>
        <w:rPr>
          <w:color w:val="231F20"/>
          <w:sz w:val="21"/>
        </w:rPr>
        <w:t xml:space="preserve">юридичною силою акта, що закріплює режим (установлені законами </w:t>
      </w:r>
      <w:r>
        <w:rPr>
          <w:color w:val="231F20"/>
          <w:spacing w:val="-3"/>
          <w:sz w:val="21"/>
        </w:rPr>
        <w:t xml:space="preserve">України </w:t>
      </w:r>
      <w:r>
        <w:rPr>
          <w:color w:val="231F20"/>
          <w:sz w:val="21"/>
        </w:rPr>
        <w:t>і підзаконними нормативно-правовими</w:t>
      </w:r>
      <w:r>
        <w:rPr>
          <w:color w:val="231F20"/>
          <w:spacing w:val="-5"/>
          <w:sz w:val="21"/>
        </w:rPr>
        <w:t xml:space="preserve"> </w:t>
      </w:r>
      <w:r>
        <w:rPr>
          <w:color w:val="231F20"/>
          <w:sz w:val="21"/>
        </w:rPr>
        <w:t>актами);</w:t>
      </w:r>
    </w:p>
    <w:p w14:paraId="60B6F9E8" w14:textId="77777777" w:rsidR="00DE575E" w:rsidRDefault="002E7560">
      <w:pPr>
        <w:pStyle w:val="ListParagraph"/>
        <w:numPr>
          <w:ilvl w:val="0"/>
          <w:numId w:val="160"/>
        </w:numPr>
        <w:tabs>
          <w:tab w:val="left" w:pos="1101"/>
        </w:tabs>
        <w:spacing w:before="0" w:line="254" w:lineRule="auto"/>
        <w:ind w:right="127" w:firstLine="284"/>
        <w:rPr>
          <w:sz w:val="21"/>
        </w:rPr>
      </w:pPr>
      <w:r>
        <w:rPr>
          <w:color w:val="231F20"/>
          <w:sz w:val="21"/>
        </w:rPr>
        <w:t>територією дії режиму (що діє на території всієї держави, її окремої частини);</w:t>
      </w:r>
    </w:p>
    <w:p w14:paraId="669E1FDB" w14:textId="77777777" w:rsidR="00DE575E" w:rsidRDefault="002E7560">
      <w:pPr>
        <w:pStyle w:val="ListParagraph"/>
        <w:numPr>
          <w:ilvl w:val="0"/>
          <w:numId w:val="160"/>
        </w:numPr>
        <w:tabs>
          <w:tab w:val="left" w:pos="1101"/>
        </w:tabs>
        <w:spacing w:before="0" w:line="244" w:lineRule="exact"/>
        <w:ind w:firstLine="284"/>
        <w:jc w:val="left"/>
        <w:rPr>
          <w:sz w:val="21"/>
        </w:rPr>
      </w:pPr>
      <w:r>
        <w:rPr>
          <w:color w:val="231F20"/>
          <w:sz w:val="21"/>
        </w:rPr>
        <w:t>часом дії (постійні та</w:t>
      </w:r>
      <w:r>
        <w:rPr>
          <w:color w:val="231F20"/>
          <w:spacing w:val="-3"/>
          <w:sz w:val="21"/>
        </w:rPr>
        <w:t xml:space="preserve"> </w:t>
      </w:r>
      <w:r>
        <w:rPr>
          <w:color w:val="231F20"/>
          <w:sz w:val="21"/>
        </w:rPr>
        <w:t>тимчасові);</w:t>
      </w:r>
    </w:p>
    <w:p w14:paraId="5B3907F2" w14:textId="77777777" w:rsidR="00DE575E" w:rsidRDefault="002E7560">
      <w:pPr>
        <w:pStyle w:val="ListParagraph"/>
        <w:numPr>
          <w:ilvl w:val="0"/>
          <w:numId w:val="160"/>
        </w:numPr>
        <w:tabs>
          <w:tab w:val="left" w:pos="1101"/>
        </w:tabs>
        <w:spacing w:before="12" w:line="254" w:lineRule="auto"/>
        <w:ind w:right="128" w:firstLine="284"/>
        <w:rPr>
          <w:sz w:val="21"/>
        </w:rPr>
      </w:pPr>
      <w:r>
        <w:rPr>
          <w:color w:val="231F20"/>
          <w:sz w:val="21"/>
        </w:rPr>
        <w:t xml:space="preserve">об’єктом-носієм (територій, окремих </w:t>
      </w:r>
      <w:r>
        <w:rPr>
          <w:color w:val="231F20"/>
          <w:spacing w:val="-4"/>
          <w:sz w:val="21"/>
        </w:rPr>
        <w:t xml:space="preserve">об’єктів </w:t>
      </w:r>
      <w:r>
        <w:rPr>
          <w:color w:val="231F20"/>
          <w:sz w:val="21"/>
        </w:rPr>
        <w:t>і документів, режими видів</w:t>
      </w:r>
      <w:r>
        <w:rPr>
          <w:color w:val="231F20"/>
          <w:spacing w:val="-3"/>
          <w:sz w:val="21"/>
        </w:rPr>
        <w:t xml:space="preserve"> </w:t>
      </w:r>
      <w:r>
        <w:rPr>
          <w:color w:val="231F20"/>
          <w:sz w:val="21"/>
        </w:rPr>
        <w:t>діяльності);</w:t>
      </w:r>
    </w:p>
    <w:p w14:paraId="35F2C4A1" w14:textId="77777777" w:rsidR="00DE575E" w:rsidRDefault="002E7560">
      <w:pPr>
        <w:pStyle w:val="ListParagraph"/>
        <w:numPr>
          <w:ilvl w:val="0"/>
          <w:numId w:val="160"/>
        </w:numPr>
        <w:tabs>
          <w:tab w:val="left" w:pos="1101"/>
        </w:tabs>
        <w:spacing w:before="0" w:line="254" w:lineRule="auto"/>
        <w:ind w:right="128" w:firstLine="284"/>
        <w:rPr>
          <w:sz w:val="21"/>
        </w:rPr>
      </w:pPr>
      <w:r>
        <w:rPr>
          <w:color w:val="231F20"/>
          <w:sz w:val="21"/>
        </w:rPr>
        <w:t>масш</w:t>
      </w:r>
      <w:r>
        <w:rPr>
          <w:color w:val="231F20"/>
          <w:sz w:val="21"/>
        </w:rPr>
        <w:t xml:space="preserve">табом свободи громадян та організацій  у  викорис- танні своїх можливостей для реалізації </w:t>
      </w:r>
      <w:r>
        <w:rPr>
          <w:color w:val="231F20"/>
          <w:spacing w:val="-3"/>
          <w:sz w:val="21"/>
        </w:rPr>
        <w:t xml:space="preserve">суб’єктивних </w:t>
      </w:r>
      <w:r>
        <w:rPr>
          <w:color w:val="231F20"/>
          <w:sz w:val="21"/>
        </w:rPr>
        <w:t>прав (пільгові й</w:t>
      </w:r>
      <w:r>
        <w:rPr>
          <w:color w:val="231F20"/>
          <w:spacing w:val="-1"/>
          <w:sz w:val="21"/>
        </w:rPr>
        <w:t xml:space="preserve"> </w:t>
      </w:r>
      <w:r>
        <w:rPr>
          <w:color w:val="231F20"/>
          <w:sz w:val="21"/>
        </w:rPr>
        <w:t>обмежувальні);</w:t>
      </w:r>
    </w:p>
    <w:p w14:paraId="3D6E15AD" w14:textId="77777777" w:rsidR="00DE575E" w:rsidRDefault="00DE575E">
      <w:pPr>
        <w:pStyle w:val="BodyText"/>
        <w:spacing w:before="3"/>
        <w:rPr>
          <w:sz w:val="9"/>
        </w:rPr>
      </w:pPr>
    </w:p>
    <w:p w14:paraId="434268BC" w14:textId="77777777" w:rsidR="00DE575E" w:rsidRDefault="002E7560">
      <w:pPr>
        <w:spacing w:before="92"/>
        <w:ind w:left="533"/>
        <w:rPr>
          <w:rFonts w:ascii="Times New Roman"/>
          <w:sz w:val="20"/>
        </w:rPr>
      </w:pPr>
      <w:r>
        <w:rPr>
          <w:rFonts w:ascii="Times New Roman"/>
          <w:color w:val="231F20"/>
          <w:sz w:val="20"/>
        </w:rPr>
        <w:t>274</w:t>
      </w:r>
    </w:p>
    <w:p w14:paraId="65B8DACC" w14:textId="77777777" w:rsidR="00DE575E" w:rsidRDefault="00DE575E">
      <w:pPr>
        <w:rPr>
          <w:rFonts w:ascii="Times New Roman"/>
          <w:sz w:val="20"/>
        </w:rPr>
        <w:sectPr w:rsidR="00DE575E">
          <w:pgSz w:w="8510" w:h="12760"/>
          <w:pgMar w:top="660" w:right="720" w:bottom="280" w:left="600" w:header="720" w:footer="720" w:gutter="0"/>
          <w:cols w:space="720"/>
        </w:sectPr>
      </w:pPr>
    </w:p>
    <w:p w14:paraId="7FAEB087"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BB724E0" w14:textId="7D3C31F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8779688" wp14:editId="0A370EB7">
                <wp:extent cx="4140200" cy="6350"/>
                <wp:effectExtent l="0" t="0" r="12700" b="6350"/>
                <wp:docPr id="720"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21" name="Line 72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F5321A" id="Group_x0020_71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QYjrMgAIAAJgFAAAO&#10;AAAAAAAAAAAAAAAAACwCAABkcnMvZTJvRG9jLnhtbFBLAQItABQABgAIAAAAIQBMp7CQ2QAAAAMB&#10;AAAPAAAAAAAAAAAAAAAAANgEAABkcnMvZG93bnJldi54bWxQSwUGAAAAAAQABADzAAAA3gUAAAAA&#10;">
                <v:line id="Line_x0020_72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ZydscAAADcAAAADwAAAGRycy9kb3ducmV2LnhtbESP0WrCQBRE3wv9h+UWfJG6UaEtqZsg&#10;giA+aGv6AdfsbRK6ezdmVxP9+m5B6OMwM2eYRT5YIy7U+caxgukkAUFcOt1wpeCrWD+/gfABWaNx&#10;TAqu5CHPHh8WmGrX8yddDqESEcI+RQV1CG0qpS9rsugnriWO3rfrLIYou0rqDvsIt0bOkuRFWmw4&#10;LtTY0qqm8udwtgqK0ziYj/3W9MX+OJfH025+O++UGj0Ny3cQgYbwH763N1rB62wK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NnJ2xwAAANwAAAAPAAAAAAAA&#10;AAAAAAAAAKECAABkcnMvZG93bnJldi54bWxQSwUGAAAAAAQABAD5AAAAlQMAAAAA&#10;" strokecolor="#231f20" strokeweight=".5pt"/>
                <w10:anchorlock/>
              </v:group>
            </w:pict>
          </mc:Fallback>
        </mc:AlternateContent>
      </w:r>
    </w:p>
    <w:p w14:paraId="6C0E8CB3" w14:textId="77777777" w:rsidR="00DE575E" w:rsidRDefault="00DE575E">
      <w:pPr>
        <w:pStyle w:val="BodyText"/>
        <w:spacing w:before="7"/>
        <w:rPr>
          <w:rFonts w:ascii="AdonisC"/>
          <w:i/>
          <w:sz w:val="19"/>
        </w:rPr>
      </w:pPr>
    </w:p>
    <w:p w14:paraId="05389B74"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глибиною змін у конституційному статусі громадян і організа- цій (звичайні та надзвичайні)</w:t>
      </w:r>
      <w:r>
        <w:rPr>
          <w:color w:val="231F20"/>
          <w:position w:val="7"/>
          <w:sz w:val="12"/>
        </w:rPr>
        <w:t>1</w:t>
      </w:r>
      <w:r>
        <w:rPr>
          <w:color w:val="231F20"/>
        </w:rPr>
        <w:t>.</w:t>
      </w:r>
    </w:p>
    <w:p w14:paraId="67B05E52" w14:textId="77777777" w:rsidR="00DE575E" w:rsidRDefault="002E7560">
      <w:pPr>
        <w:pStyle w:val="BodyText"/>
        <w:spacing w:before="1" w:line="252" w:lineRule="auto"/>
        <w:ind w:left="250" w:right="410" w:firstLine="283"/>
        <w:jc w:val="both"/>
      </w:pPr>
      <w:r>
        <w:rPr>
          <w:color w:val="231F20"/>
        </w:rPr>
        <w:t>В адміністративному праві держав закріплено розгляд спеціаль- них адміністративно-правових режимів на двох рівнях: інституціо- нальному, як особливе сполучення юридичних засобів та прийомів регулювання, і державно-управлінському, як особливий порядок діяль</w:t>
      </w:r>
      <w:r>
        <w:rPr>
          <w:color w:val="231F20"/>
        </w:rPr>
        <w:t>ності державних органів, що має забезпечити дотримання встановлених правил.</w:t>
      </w:r>
    </w:p>
    <w:p w14:paraId="741F5DEE" w14:textId="77777777" w:rsidR="00DE575E" w:rsidRDefault="002E7560">
      <w:pPr>
        <w:pStyle w:val="BodyText"/>
        <w:spacing w:before="3" w:line="252" w:lineRule="auto"/>
        <w:ind w:left="250" w:right="411" w:firstLine="283"/>
        <w:jc w:val="both"/>
      </w:pPr>
      <w:r>
        <w:rPr>
          <w:i/>
          <w:color w:val="231F20"/>
          <w:spacing w:val="-5"/>
        </w:rPr>
        <w:t xml:space="preserve">Елементами    спеціального    адміністративно-правового    режиму </w:t>
      </w:r>
      <w:r>
        <w:rPr>
          <w:color w:val="231F20"/>
        </w:rPr>
        <w:t xml:space="preserve">є </w:t>
      </w:r>
      <w:r>
        <w:rPr>
          <w:color w:val="231F20"/>
          <w:spacing w:val="-5"/>
        </w:rPr>
        <w:t xml:space="preserve">також організаційна </w:t>
      </w:r>
      <w:r>
        <w:rPr>
          <w:color w:val="231F20"/>
        </w:rPr>
        <w:t xml:space="preserve">і </w:t>
      </w:r>
      <w:r>
        <w:rPr>
          <w:color w:val="231F20"/>
          <w:spacing w:val="-5"/>
        </w:rPr>
        <w:t xml:space="preserve">матеріально-технічна підсистеми. Організа- </w:t>
      </w:r>
      <w:r>
        <w:rPr>
          <w:color w:val="231F20"/>
          <w:spacing w:val="-4"/>
        </w:rPr>
        <w:t xml:space="preserve">ційна </w:t>
      </w:r>
      <w:r>
        <w:rPr>
          <w:color w:val="231F20"/>
          <w:spacing w:val="-5"/>
        </w:rPr>
        <w:t>забезпечує діяльність  органів  виконавчо</w:t>
      </w:r>
      <w:r>
        <w:rPr>
          <w:color w:val="231F20"/>
          <w:spacing w:val="-5"/>
        </w:rPr>
        <w:t xml:space="preserve">ї  </w:t>
      </w:r>
      <w:r>
        <w:rPr>
          <w:color w:val="231F20"/>
          <w:spacing w:val="-4"/>
        </w:rPr>
        <w:t xml:space="preserve">влади  </w:t>
      </w:r>
      <w:r>
        <w:rPr>
          <w:color w:val="231F20"/>
        </w:rPr>
        <w:t xml:space="preserve">і </w:t>
      </w:r>
      <w:r>
        <w:rPr>
          <w:color w:val="231F20"/>
          <w:spacing w:val="-5"/>
        </w:rPr>
        <w:t xml:space="preserve">виражається </w:t>
      </w:r>
      <w:r>
        <w:rPr>
          <w:color w:val="231F20"/>
        </w:rPr>
        <w:t xml:space="preserve">у </w:t>
      </w:r>
      <w:r>
        <w:rPr>
          <w:color w:val="231F20"/>
          <w:spacing w:val="-5"/>
        </w:rPr>
        <w:t xml:space="preserve">створенні особливих правозастосовних структур </w:t>
      </w:r>
      <w:r>
        <w:rPr>
          <w:color w:val="231F20"/>
        </w:rPr>
        <w:t xml:space="preserve">і </w:t>
      </w:r>
      <w:r>
        <w:rPr>
          <w:color w:val="231F20"/>
          <w:spacing w:val="-5"/>
        </w:rPr>
        <w:t xml:space="preserve">механізмів їхньої </w:t>
      </w:r>
      <w:r>
        <w:rPr>
          <w:color w:val="231F20"/>
          <w:spacing w:val="-6"/>
        </w:rPr>
        <w:t xml:space="preserve">координації, </w:t>
      </w:r>
      <w:r>
        <w:rPr>
          <w:color w:val="231F20"/>
        </w:rPr>
        <w:t xml:space="preserve">у </w:t>
      </w:r>
      <w:r>
        <w:rPr>
          <w:color w:val="231F20"/>
          <w:spacing w:val="-5"/>
        </w:rPr>
        <w:t xml:space="preserve">збиранні </w:t>
      </w:r>
      <w:r>
        <w:rPr>
          <w:color w:val="231F20"/>
        </w:rPr>
        <w:t xml:space="preserve">й </w:t>
      </w:r>
      <w:r>
        <w:rPr>
          <w:color w:val="231F20"/>
          <w:spacing w:val="-5"/>
        </w:rPr>
        <w:t xml:space="preserve">обробленні інформаційних </w:t>
      </w:r>
      <w:r>
        <w:rPr>
          <w:color w:val="231F20"/>
          <w:spacing w:val="-4"/>
        </w:rPr>
        <w:t xml:space="preserve">даних про функ- </w:t>
      </w:r>
      <w:r>
        <w:rPr>
          <w:color w:val="231F20"/>
          <w:spacing w:val="-5"/>
        </w:rPr>
        <w:t xml:space="preserve">ціонування </w:t>
      </w:r>
      <w:r>
        <w:rPr>
          <w:color w:val="231F20"/>
          <w:spacing w:val="-7"/>
        </w:rPr>
        <w:t xml:space="preserve">об’єкта, </w:t>
      </w:r>
      <w:r>
        <w:rPr>
          <w:color w:val="231F20"/>
          <w:spacing w:val="-5"/>
        </w:rPr>
        <w:t xml:space="preserve">розробленні комплексних програм взаємодії всіх </w:t>
      </w:r>
      <w:r>
        <w:rPr>
          <w:color w:val="231F20"/>
          <w:spacing w:val="-7"/>
        </w:rPr>
        <w:t xml:space="preserve">суб’єктів, </w:t>
      </w:r>
      <w:r>
        <w:rPr>
          <w:color w:val="231F20"/>
          <w:spacing w:val="-3"/>
        </w:rPr>
        <w:t xml:space="preserve">що </w:t>
      </w:r>
      <w:r>
        <w:rPr>
          <w:color w:val="231F20"/>
          <w:spacing w:val="-5"/>
        </w:rPr>
        <w:t>забезпечують під</w:t>
      </w:r>
      <w:r>
        <w:rPr>
          <w:color w:val="231F20"/>
          <w:spacing w:val="-5"/>
        </w:rPr>
        <w:t xml:space="preserve">тримку </w:t>
      </w:r>
      <w:r>
        <w:rPr>
          <w:color w:val="231F20"/>
          <w:spacing w:val="-7"/>
        </w:rPr>
        <w:t xml:space="preserve">режиму. </w:t>
      </w:r>
      <w:r>
        <w:rPr>
          <w:color w:val="231F20"/>
          <w:spacing w:val="-4"/>
        </w:rPr>
        <w:t xml:space="preserve">Дія </w:t>
      </w:r>
      <w:r>
        <w:rPr>
          <w:color w:val="231F20"/>
          <w:spacing w:val="-5"/>
        </w:rPr>
        <w:t xml:space="preserve">спеціального </w:t>
      </w:r>
      <w:r>
        <w:rPr>
          <w:color w:val="231F20"/>
          <w:spacing w:val="-4"/>
        </w:rPr>
        <w:t xml:space="preserve">адмі- </w:t>
      </w:r>
      <w:r>
        <w:rPr>
          <w:color w:val="231F20"/>
          <w:spacing w:val="-5"/>
        </w:rPr>
        <w:t xml:space="preserve">ністративно-правового режиму пов’язана також </w:t>
      </w:r>
      <w:r>
        <w:rPr>
          <w:color w:val="231F20"/>
          <w:spacing w:val="-3"/>
        </w:rPr>
        <w:t xml:space="preserve">із </w:t>
      </w:r>
      <w:r>
        <w:rPr>
          <w:color w:val="231F20"/>
          <w:spacing w:val="-5"/>
        </w:rPr>
        <w:t xml:space="preserve">вирішенням еконо- мічних, матеріально-технічних питань </w:t>
      </w:r>
      <w:r>
        <w:rPr>
          <w:color w:val="231F20"/>
        </w:rPr>
        <w:t xml:space="preserve">– </w:t>
      </w:r>
      <w:r>
        <w:rPr>
          <w:color w:val="231F20"/>
          <w:spacing w:val="-5"/>
        </w:rPr>
        <w:t xml:space="preserve">підготовкою </w:t>
      </w:r>
      <w:r>
        <w:rPr>
          <w:color w:val="231F20"/>
          <w:spacing w:val="-4"/>
        </w:rPr>
        <w:t xml:space="preserve">сил </w:t>
      </w:r>
      <w:r>
        <w:rPr>
          <w:color w:val="231F20"/>
        </w:rPr>
        <w:t xml:space="preserve">і </w:t>
      </w:r>
      <w:r>
        <w:rPr>
          <w:color w:val="231F20"/>
          <w:spacing w:val="-5"/>
        </w:rPr>
        <w:t xml:space="preserve">засобів, створенням спеціальних фондів </w:t>
      </w:r>
      <w:r>
        <w:rPr>
          <w:color w:val="231F20"/>
        </w:rPr>
        <w:t xml:space="preserve">і </w:t>
      </w:r>
      <w:r>
        <w:rPr>
          <w:color w:val="231F20"/>
          <w:spacing w:val="-5"/>
        </w:rPr>
        <w:t>джерел фінансування, наданням допомоги потерпілим, про</w:t>
      </w:r>
      <w:r>
        <w:rPr>
          <w:color w:val="231F20"/>
          <w:spacing w:val="-5"/>
        </w:rPr>
        <w:t>веденням аварійно-відновлювальних</w:t>
      </w:r>
      <w:r>
        <w:rPr>
          <w:color w:val="231F20"/>
          <w:spacing w:val="-12"/>
        </w:rPr>
        <w:t xml:space="preserve"> </w:t>
      </w:r>
      <w:r>
        <w:rPr>
          <w:color w:val="231F20"/>
          <w:spacing w:val="-7"/>
        </w:rPr>
        <w:t>робіт.</w:t>
      </w:r>
    </w:p>
    <w:p w14:paraId="7263741C" w14:textId="77777777" w:rsidR="00DE575E" w:rsidRDefault="002E7560">
      <w:pPr>
        <w:pStyle w:val="Heading5"/>
        <w:spacing w:before="5" w:line="252" w:lineRule="auto"/>
        <w:ind w:left="250" w:right="409" w:firstLine="283"/>
        <w:jc w:val="both"/>
      </w:pPr>
      <w:r>
        <w:rPr>
          <w:color w:val="231F20"/>
        </w:rPr>
        <w:t>Отже,</w:t>
      </w:r>
      <w:r>
        <w:rPr>
          <w:color w:val="231F20"/>
          <w:spacing w:val="-16"/>
        </w:rPr>
        <w:t xml:space="preserve"> </w:t>
      </w:r>
      <w:r>
        <w:rPr>
          <w:color w:val="231F20"/>
        </w:rPr>
        <w:t>адміністративно-правовий</w:t>
      </w:r>
      <w:r>
        <w:rPr>
          <w:color w:val="231F20"/>
          <w:spacing w:val="-15"/>
        </w:rPr>
        <w:t xml:space="preserve"> </w:t>
      </w:r>
      <w:r>
        <w:rPr>
          <w:color w:val="231F20"/>
        </w:rPr>
        <w:t>режим</w:t>
      </w:r>
      <w:r>
        <w:rPr>
          <w:color w:val="231F20"/>
          <w:spacing w:val="-16"/>
        </w:rPr>
        <w:t xml:space="preserve"> </w:t>
      </w:r>
      <w:r>
        <w:rPr>
          <w:color w:val="231F20"/>
        </w:rPr>
        <w:t>це</w:t>
      </w:r>
      <w:r>
        <w:rPr>
          <w:color w:val="231F20"/>
          <w:spacing w:val="-15"/>
        </w:rPr>
        <w:t xml:space="preserve"> </w:t>
      </w:r>
      <w:r>
        <w:rPr>
          <w:color w:val="231F20"/>
        </w:rPr>
        <w:t>–</w:t>
      </w:r>
      <w:r>
        <w:rPr>
          <w:color w:val="231F20"/>
          <w:spacing w:val="-16"/>
        </w:rPr>
        <w:t xml:space="preserve"> </w:t>
      </w:r>
      <w:r>
        <w:rPr>
          <w:color w:val="231F20"/>
        </w:rPr>
        <w:t>правовий</w:t>
      </w:r>
      <w:r>
        <w:rPr>
          <w:color w:val="231F20"/>
          <w:spacing w:val="-16"/>
        </w:rPr>
        <w:t xml:space="preserve"> </w:t>
      </w:r>
      <w:r>
        <w:rPr>
          <w:color w:val="231F20"/>
        </w:rPr>
        <w:t xml:space="preserve">режим зі спеціальною метою, зумовлений імперативним </w:t>
      </w:r>
      <w:r>
        <w:rPr>
          <w:color w:val="231F20"/>
          <w:spacing w:val="-3"/>
        </w:rPr>
        <w:t xml:space="preserve">методом </w:t>
      </w:r>
      <w:r>
        <w:rPr>
          <w:color w:val="231F20"/>
        </w:rPr>
        <w:t>правового регулювання, з особливими засобами встановлення  і формами виникнення прав та обов’язків, способами юридич- ного впливу та захисту прав і свобод, який має чітко визначені просторово-часові рамки та спеціальні органи</w:t>
      </w:r>
      <w:r>
        <w:rPr>
          <w:color w:val="231F20"/>
          <w:spacing w:val="-14"/>
        </w:rPr>
        <w:t xml:space="preserve"> </w:t>
      </w:r>
      <w:r>
        <w:rPr>
          <w:color w:val="231F20"/>
        </w:rPr>
        <w:t>управління.</w:t>
      </w:r>
    </w:p>
    <w:p w14:paraId="6C6A51BA" w14:textId="77777777" w:rsidR="00DE575E" w:rsidRDefault="00DE575E">
      <w:pPr>
        <w:pStyle w:val="BodyText"/>
        <w:spacing w:before="3"/>
        <w:rPr>
          <w:b/>
          <w:sz w:val="22"/>
        </w:rPr>
      </w:pPr>
    </w:p>
    <w:p w14:paraId="45CE3AA4" w14:textId="77777777" w:rsidR="00DE575E" w:rsidRDefault="002E7560">
      <w:pPr>
        <w:pStyle w:val="ListParagraph"/>
        <w:numPr>
          <w:ilvl w:val="2"/>
          <w:numId w:val="162"/>
        </w:numPr>
        <w:tabs>
          <w:tab w:val="left" w:pos="1223"/>
        </w:tabs>
        <w:spacing w:before="0"/>
        <w:ind w:firstLine="0"/>
        <w:rPr>
          <w:b/>
          <w:sz w:val="21"/>
        </w:rPr>
      </w:pPr>
      <w:r>
        <w:rPr>
          <w:b/>
          <w:color w:val="231F20"/>
          <w:sz w:val="21"/>
        </w:rPr>
        <w:t>Надзвичайні адмін</w:t>
      </w:r>
      <w:r>
        <w:rPr>
          <w:b/>
          <w:color w:val="231F20"/>
          <w:sz w:val="21"/>
        </w:rPr>
        <w:t>істративно-правові</w:t>
      </w:r>
      <w:r>
        <w:rPr>
          <w:b/>
          <w:color w:val="231F20"/>
          <w:spacing w:val="-3"/>
          <w:sz w:val="21"/>
        </w:rPr>
        <w:t xml:space="preserve"> </w:t>
      </w:r>
      <w:r>
        <w:rPr>
          <w:b/>
          <w:color w:val="231F20"/>
          <w:sz w:val="21"/>
        </w:rPr>
        <w:t>режими</w:t>
      </w:r>
    </w:p>
    <w:p w14:paraId="13AC78FA" w14:textId="77777777" w:rsidR="00DE575E" w:rsidRDefault="00DE575E">
      <w:pPr>
        <w:pStyle w:val="BodyText"/>
        <w:spacing w:before="2"/>
        <w:rPr>
          <w:b/>
          <w:sz w:val="23"/>
        </w:rPr>
      </w:pPr>
    </w:p>
    <w:p w14:paraId="5AA9C8AA" w14:textId="77777777" w:rsidR="00DE575E" w:rsidRDefault="002E7560">
      <w:pPr>
        <w:pStyle w:val="BodyText"/>
        <w:spacing w:line="252" w:lineRule="auto"/>
        <w:ind w:left="250" w:right="410" w:firstLine="283"/>
        <w:jc w:val="both"/>
      </w:pPr>
      <w:r>
        <w:rPr>
          <w:color w:val="231F20"/>
        </w:rPr>
        <w:t>Різноманітні небезпечні явища вимагають нормативного</w:t>
      </w:r>
      <w:r>
        <w:rPr>
          <w:color w:val="231F20"/>
          <w:spacing w:val="-29"/>
        </w:rPr>
        <w:t xml:space="preserve"> </w:t>
      </w:r>
      <w:r>
        <w:rPr>
          <w:color w:val="231F20"/>
          <w:spacing w:val="-3"/>
        </w:rPr>
        <w:t xml:space="preserve">впливу, </w:t>
      </w:r>
      <w:r>
        <w:rPr>
          <w:color w:val="231F20"/>
        </w:rPr>
        <w:t>що відрізняється від чинного в нормальних умовах. З усієї сукуп- ності спеціальних адміністративно-правових режимів виділяються як окремий клас надзвичайні адміністрати</w:t>
      </w:r>
      <w:r>
        <w:rPr>
          <w:color w:val="231F20"/>
        </w:rPr>
        <w:t>вно-правові</w:t>
      </w:r>
      <w:r>
        <w:rPr>
          <w:color w:val="231F20"/>
          <w:spacing w:val="-11"/>
        </w:rPr>
        <w:t xml:space="preserve"> </w:t>
      </w:r>
      <w:r>
        <w:rPr>
          <w:color w:val="231F20"/>
        </w:rPr>
        <w:t>режими.</w:t>
      </w:r>
    </w:p>
    <w:p w14:paraId="3E84044A" w14:textId="77777777" w:rsidR="00DE575E" w:rsidRDefault="002E7560">
      <w:pPr>
        <w:spacing w:before="2" w:line="252" w:lineRule="auto"/>
        <w:ind w:left="250" w:right="410" w:firstLine="283"/>
        <w:jc w:val="both"/>
        <w:rPr>
          <w:i/>
          <w:sz w:val="21"/>
        </w:rPr>
      </w:pPr>
      <w:r>
        <w:rPr>
          <w:b/>
          <w:i/>
          <w:color w:val="231F20"/>
          <w:sz w:val="21"/>
        </w:rPr>
        <w:t xml:space="preserve">Надзвичайні правові режими </w:t>
      </w:r>
      <w:r>
        <w:rPr>
          <w:color w:val="231F20"/>
          <w:sz w:val="21"/>
        </w:rPr>
        <w:t xml:space="preserve">– </w:t>
      </w:r>
      <w:r>
        <w:rPr>
          <w:i/>
          <w:color w:val="231F20"/>
          <w:sz w:val="21"/>
        </w:rPr>
        <w:t>це спеціальні правові режими життєдіяльності населення, здійснення господарчої діяльності та функціонування органів влади на території, де виникла надзвичайна ситуація.</w:t>
      </w:r>
    </w:p>
    <w:p w14:paraId="69A55F40" w14:textId="38738E82" w:rsidR="00DE575E" w:rsidRDefault="002E7560">
      <w:pPr>
        <w:pStyle w:val="BodyText"/>
        <w:spacing w:before="3"/>
        <w:rPr>
          <w:i/>
          <w:sz w:val="19"/>
        </w:rPr>
      </w:pPr>
      <w:r>
        <w:rPr>
          <w:noProof/>
        </w:rPr>
        <mc:AlternateContent>
          <mc:Choice Requires="wps">
            <w:drawing>
              <wp:anchor distT="0" distB="0" distL="0" distR="0" simplePos="0" relativeHeight="10960" behindDoc="0" locked="0" layoutInCell="1" allowOverlap="1" wp14:anchorId="6D22EBD7" wp14:editId="35C09727">
                <wp:simplePos x="0" y="0"/>
                <wp:positionH relativeFrom="page">
                  <wp:posOffset>539750</wp:posOffset>
                </wp:positionH>
                <wp:positionV relativeFrom="paragraph">
                  <wp:posOffset>171450</wp:posOffset>
                </wp:positionV>
                <wp:extent cx="1080135" cy="0"/>
                <wp:effectExtent l="6350" t="19050" r="31115" b="19050"/>
                <wp:wrapTopAndBottom/>
                <wp:docPr id="719"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D409F" id="Line_x0020_718" o:spid="_x0000_s1026" style="position:absolute;z-index:1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5pt" to="127.5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" strokecolor="#231f20" strokeweight=".5pt">
                <w10:wrap type="topAndBottom" anchorx="page"/>
              </v:line>
            </w:pict>
          </mc:Fallback>
        </mc:AlternateContent>
      </w:r>
    </w:p>
    <w:p w14:paraId="08440853"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Адміністративне право України. Академічний курс.: підручник у двох томах: Том 1. Загальна частина / Ред. колегія: В. Авер’янов (голова). Київ: Видавництво «Юридична думка», 2004. С. 134-137.</w:t>
      </w:r>
    </w:p>
    <w:p w14:paraId="3500051C" w14:textId="77777777" w:rsidR="00DE575E" w:rsidRDefault="00DE575E">
      <w:pPr>
        <w:pStyle w:val="BodyText"/>
        <w:spacing w:before="2"/>
        <w:rPr>
          <w:sz w:val="12"/>
        </w:rPr>
      </w:pPr>
    </w:p>
    <w:p w14:paraId="5CD0DC69" w14:textId="77777777" w:rsidR="00DE575E" w:rsidRDefault="002E7560">
      <w:pPr>
        <w:spacing w:before="92"/>
        <w:ind w:right="411"/>
        <w:jc w:val="right"/>
        <w:rPr>
          <w:rFonts w:ascii="Times New Roman"/>
          <w:sz w:val="20"/>
        </w:rPr>
      </w:pPr>
      <w:r>
        <w:rPr>
          <w:rFonts w:ascii="Times New Roman"/>
          <w:color w:val="231F20"/>
          <w:w w:val="90"/>
          <w:sz w:val="20"/>
        </w:rPr>
        <w:t>275</w:t>
      </w:r>
    </w:p>
    <w:p w14:paraId="53A48EC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B06FC1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602630A" w14:textId="33E962E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FBE82ED" wp14:editId="74747CEC">
                <wp:extent cx="4140200" cy="6350"/>
                <wp:effectExtent l="0" t="0" r="12700" b="6350"/>
                <wp:docPr id="717"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18" name="Line 7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DDD45E" id="Group_x0020_7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Qzh+ogAIAAJgFAAAO&#10;AAAAAAAAAAAAAAAAACwCAABkcnMvZTJvRG9jLnhtbFBLAQItABQABgAIAAAAIQBMp7CQ2QAAAAMB&#10;AAAPAAAAAAAAAAAAAAAAANgEAABkcnMvZG93bnJldi54bWxQSwUGAAAAAAQABADzAAAA3gUAAAAA&#10;">
                <v:line id="Line_x0020_7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ARVsMAAADcAAAADwAAAGRycy9kb3ducmV2LnhtbERP3WrCMBS+F/YO4Qy8kZmqoKMzyhgI&#10;4oXOdg9wbM7asuSkNtFWn95cDLz8+P6X694acaXW144VTMYJCOLC6ZpLBT/55u0dhA/IGo1jUnAj&#10;D+vVy2CJqXYdH+mahVLEEPYpKqhCaFIpfVGRRT92DXHkfl1rMUTYllK32MVwa+Q0SebSYs2xocKG&#10;vioq/rKLVZCfR8F8H3amyw+nmTyd97P7Za/U8LX//AARqA9P8b97qxUsJn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pgEVbDAAAA3AAAAA8AAAAAAAAAAAAA&#10;AAAAoQIAAGRycy9kb3ducmV2LnhtbFBLBQYAAAAABAAEAPkAAACRAwAAAAA=&#10;" strokecolor="#231f20" strokeweight=".5pt"/>
                <w10:anchorlock/>
              </v:group>
            </w:pict>
          </mc:Fallback>
        </mc:AlternateContent>
      </w:r>
    </w:p>
    <w:p w14:paraId="249E3832" w14:textId="77777777" w:rsidR="00DE575E" w:rsidRDefault="00DE575E">
      <w:pPr>
        <w:pStyle w:val="BodyText"/>
        <w:spacing w:before="7"/>
        <w:rPr>
          <w:rFonts w:ascii="AdonisC"/>
          <w:i/>
          <w:sz w:val="11"/>
        </w:rPr>
      </w:pPr>
    </w:p>
    <w:p w14:paraId="64DEAD87" w14:textId="77777777" w:rsidR="00DE575E" w:rsidRDefault="002E7560">
      <w:pPr>
        <w:pStyle w:val="BodyText"/>
        <w:spacing w:before="101" w:line="252" w:lineRule="auto"/>
        <w:ind w:left="533" w:right="127" w:firstLine="283"/>
        <w:jc w:val="both"/>
      </w:pPr>
      <w:r>
        <w:rPr>
          <w:color w:val="231F20"/>
        </w:rPr>
        <w:t xml:space="preserve">У разі виникнення надзвичайної ситуації як різновиду небез- печного соціального явища соціальне середовище виходить і з-під впливу права. Багато правових механізмів перестають працювати,   і </w:t>
      </w:r>
      <w:r>
        <w:rPr>
          <w:color w:val="231F20"/>
        </w:rPr>
        <w:t xml:space="preserve">тому звичайне законодавство не може регулювати відносини, які складаються в таких умовах. Слід сказати, що </w:t>
      </w:r>
      <w:r>
        <w:rPr>
          <w:i/>
          <w:color w:val="231F20"/>
        </w:rPr>
        <w:t xml:space="preserve">екстремальні адмі- ністративно-правові режими </w:t>
      </w:r>
      <w:r>
        <w:rPr>
          <w:color w:val="231F20"/>
        </w:rPr>
        <w:t>– це спеціальні правові режими діяль- ності органів влади й управління, що передбачають обмеження право</w:t>
      </w:r>
      <w:r>
        <w:rPr>
          <w:color w:val="231F20"/>
        </w:rPr>
        <w:t xml:space="preserve">суб’єктності фізичних і юридичних осіб, запроваджувані як тимчасовий соціально </w:t>
      </w:r>
      <w:r>
        <w:rPr>
          <w:color w:val="231F20"/>
          <w:spacing w:val="-3"/>
        </w:rPr>
        <w:t xml:space="preserve">об’єктивний </w:t>
      </w:r>
      <w:r>
        <w:rPr>
          <w:color w:val="231F20"/>
        </w:rPr>
        <w:t>і правовий захід для забезпе- чення безпеки особи, суспільства і держави, який визначається конкретними</w:t>
      </w:r>
      <w:r>
        <w:rPr>
          <w:color w:val="231F20"/>
          <w:spacing w:val="-1"/>
        </w:rPr>
        <w:t xml:space="preserve"> </w:t>
      </w:r>
      <w:r>
        <w:rPr>
          <w:color w:val="231F20"/>
        </w:rPr>
        <w:t>обставинами.</w:t>
      </w:r>
    </w:p>
    <w:p w14:paraId="4DB40C4D" w14:textId="77777777" w:rsidR="00DE575E" w:rsidRDefault="002E7560">
      <w:pPr>
        <w:pStyle w:val="BodyText"/>
        <w:spacing w:before="5" w:line="252" w:lineRule="auto"/>
        <w:ind w:left="533" w:right="127" w:firstLine="283"/>
        <w:jc w:val="both"/>
      </w:pPr>
      <w:r>
        <w:rPr>
          <w:color w:val="231F20"/>
        </w:rPr>
        <w:t xml:space="preserve">Використовувані правові засоби містять </w:t>
      </w:r>
      <w:r>
        <w:rPr>
          <w:i/>
          <w:color w:val="231F20"/>
        </w:rPr>
        <w:t>додаткові</w:t>
      </w:r>
      <w:r>
        <w:rPr>
          <w:i/>
          <w:color w:val="231F20"/>
        </w:rPr>
        <w:t xml:space="preserve"> адміністра- тивно-правові заборони</w:t>
      </w:r>
      <w:r>
        <w:rPr>
          <w:color w:val="231F20"/>
        </w:rPr>
        <w:t>, обмеження та зобов’язання для громадян, організацій і нижчих державних органів, додаткові владні повно- важення, зокрема дискреційного характеру, для органів державної влади, що здійснюють «режимне регулювання».</w:t>
      </w:r>
    </w:p>
    <w:p w14:paraId="0F48D445" w14:textId="77777777" w:rsidR="00DE575E" w:rsidRDefault="002E7560">
      <w:pPr>
        <w:pStyle w:val="BodyText"/>
        <w:spacing w:before="3" w:line="252" w:lineRule="auto"/>
        <w:ind w:left="533" w:right="127" w:firstLine="283"/>
        <w:jc w:val="both"/>
      </w:pPr>
      <w:r>
        <w:rPr>
          <w:color w:val="231F20"/>
        </w:rPr>
        <w:t>Оскільк</w:t>
      </w:r>
      <w:r>
        <w:rPr>
          <w:color w:val="231F20"/>
        </w:rPr>
        <w:t xml:space="preserve">и екстремальні умови диктують безперешкодне вико- нання індивідуальних і нормативних розпоряджень, максимальне підпорядкування волі </w:t>
      </w:r>
      <w:r>
        <w:rPr>
          <w:color w:val="231F20"/>
          <w:spacing w:val="-3"/>
        </w:rPr>
        <w:t xml:space="preserve">суб’єктів </w:t>
      </w:r>
      <w:r>
        <w:rPr>
          <w:color w:val="231F20"/>
        </w:rPr>
        <w:t>загальній меті, режими «вижима- ють» з галузевого режиму все, що стосується обмежувально-за- боронного впливу:  зм</w:t>
      </w:r>
      <w:r>
        <w:rPr>
          <w:color w:val="231F20"/>
        </w:rPr>
        <w:t xml:space="preserve">еншується  кількість  прийомів  узгодження  й горизонтальної координації, скорочується загальнодозвільна реалізація конституційних прав громадян у сфері управління та збільшуються дозвільні розпорядження й координаційні зобов’я- зання. Екстремальний режим </w:t>
      </w:r>
      <w:r>
        <w:rPr>
          <w:color w:val="231F20"/>
        </w:rPr>
        <w:t>є завжди тимчасовим заходом і має працювати тільки в період існування надзвичайних</w:t>
      </w:r>
      <w:r>
        <w:rPr>
          <w:color w:val="231F20"/>
          <w:spacing w:val="-11"/>
        </w:rPr>
        <w:t xml:space="preserve"> </w:t>
      </w:r>
      <w:r>
        <w:rPr>
          <w:color w:val="231F20"/>
        </w:rPr>
        <w:t>ситуацій</w:t>
      </w:r>
      <w:r>
        <w:rPr>
          <w:color w:val="231F20"/>
          <w:position w:val="7"/>
          <w:sz w:val="12"/>
        </w:rPr>
        <w:t>1</w:t>
      </w:r>
      <w:r>
        <w:rPr>
          <w:color w:val="231F20"/>
        </w:rPr>
        <w:t>.</w:t>
      </w:r>
    </w:p>
    <w:p w14:paraId="78041CED" w14:textId="77777777" w:rsidR="00DE575E" w:rsidRDefault="002E7560">
      <w:pPr>
        <w:spacing w:before="4" w:line="252" w:lineRule="auto"/>
        <w:ind w:left="533" w:right="127" w:firstLine="283"/>
        <w:jc w:val="both"/>
        <w:rPr>
          <w:sz w:val="21"/>
        </w:rPr>
      </w:pPr>
      <w:r>
        <w:rPr>
          <w:color w:val="231F20"/>
          <w:sz w:val="21"/>
        </w:rPr>
        <w:t xml:space="preserve">Нині дійсно існує потреба в розподілі </w:t>
      </w:r>
      <w:r>
        <w:rPr>
          <w:i/>
          <w:color w:val="231F20"/>
          <w:sz w:val="21"/>
        </w:rPr>
        <w:t xml:space="preserve">надзвичайних </w:t>
      </w:r>
      <w:r>
        <w:rPr>
          <w:color w:val="231F20"/>
          <w:sz w:val="21"/>
        </w:rPr>
        <w:t xml:space="preserve">та </w:t>
      </w:r>
      <w:r>
        <w:rPr>
          <w:i/>
          <w:color w:val="231F20"/>
          <w:sz w:val="21"/>
        </w:rPr>
        <w:t>екстре- мальних режимів</w:t>
      </w:r>
      <w:r>
        <w:rPr>
          <w:color w:val="231F20"/>
          <w:sz w:val="21"/>
        </w:rPr>
        <w:t>. Уважаємо, що «екстремальні режими» – ширше</w:t>
      </w:r>
    </w:p>
    <w:p w14:paraId="50D6A356" w14:textId="34B6A77D" w:rsidR="00DE575E" w:rsidRDefault="002E7560">
      <w:pPr>
        <w:pStyle w:val="BodyText"/>
        <w:spacing w:before="5"/>
        <w:rPr>
          <w:sz w:val="18"/>
        </w:rPr>
      </w:pPr>
      <w:r>
        <w:rPr>
          <w:noProof/>
        </w:rPr>
        <mc:AlternateContent>
          <mc:Choice Requires="wps">
            <w:drawing>
              <wp:anchor distT="0" distB="0" distL="0" distR="0" simplePos="0" relativeHeight="11008" behindDoc="0" locked="0" layoutInCell="1" allowOverlap="1" wp14:anchorId="0C520A97" wp14:editId="2FCBB39F">
                <wp:simplePos x="0" y="0"/>
                <wp:positionH relativeFrom="page">
                  <wp:posOffset>719455</wp:posOffset>
                </wp:positionH>
                <wp:positionV relativeFrom="paragraph">
                  <wp:posOffset>165100</wp:posOffset>
                </wp:positionV>
                <wp:extent cx="1080135" cy="0"/>
                <wp:effectExtent l="8255" t="12700" r="29210" b="25400"/>
                <wp:wrapTopAndBottom/>
                <wp:docPr id="716"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F94C1" id="Line_x0020_715" o:spid="_x0000_s1026" style="position:absolute;z-index:1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pt" to="141.7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Jy0C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B5NsNIkQaW&#10;tBOKo3k2Dd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" strokecolor="#231f20" strokeweight=".5pt">
                <w10:wrap type="topAndBottom" anchorx="page"/>
              </v:line>
            </w:pict>
          </mc:Fallback>
        </mc:AlternateContent>
      </w:r>
    </w:p>
    <w:p w14:paraId="5545022B" w14:textId="77777777" w:rsidR="00DE575E" w:rsidRDefault="002E7560">
      <w:pPr>
        <w:spacing w:line="204" w:lineRule="auto"/>
        <w:ind w:left="533" w:right="128"/>
        <w:jc w:val="both"/>
        <w:rPr>
          <w:i/>
          <w:sz w:val="16"/>
        </w:rPr>
      </w:pPr>
      <w:r>
        <w:rPr>
          <w:color w:val="231F20"/>
          <w:position w:val="5"/>
          <w:sz w:val="9"/>
        </w:rPr>
        <w:t xml:space="preserve">1 </w:t>
      </w:r>
      <w:r>
        <w:rPr>
          <w:i/>
          <w:color w:val="231F20"/>
          <w:spacing w:val="-3"/>
          <w:sz w:val="16"/>
          <w:u w:val="single" w:color="231F20"/>
        </w:rPr>
        <w:t>Приклад</w:t>
      </w:r>
      <w:r>
        <w:rPr>
          <w:i/>
          <w:color w:val="231F20"/>
          <w:spacing w:val="-3"/>
          <w:sz w:val="16"/>
        </w:rPr>
        <w:t xml:space="preserve"> </w:t>
      </w:r>
      <w:r>
        <w:rPr>
          <w:i/>
          <w:color w:val="231F20"/>
          <w:spacing w:val="-4"/>
          <w:sz w:val="16"/>
        </w:rPr>
        <w:t xml:space="preserve">Постановою </w:t>
      </w:r>
      <w:r>
        <w:rPr>
          <w:i/>
          <w:color w:val="231F20"/>
          <w:spacing w:val="-5"/>
          <w:sz w:val="16"/>
        </w:rPr>
        <w:t xml:space="preserve">Кабінету </w:t>
      </w:r>
      <w:r>
        <w:rPr>
          <w:i/>
          <w:color w:val="231F20"/>
          <w:spacing w:val="-4"/>
          <w:sz w:val="16"/>
        </w:rPr>
        <w:t xml:space="preserve">Міністрів </w:t>
      </w:r>
      <w:r>
        <w:rPr>
          <w:i/>
          <w:color w:val="231F20"/>
          <w:spacing w:val="-5"/>
          <w:sz w:val="16"/>
        </w:rPr>
        <w:t xml:space="preserve">України </w:t>
      </w:r>
      <w:r>
        <w:rPr>
          <w:i/>
          <w:color w:val="231F20"/>
          <w:spacing w:val="-3"/>
          <w:sz w:val="16"/>
        </w:rPr>
        <w:t xml:space="preserve">від </w:t>
      </w:r>
      <w:r>
        <w:rPr>
          <w:i/>
          <w:color w:val="231F20"/>
          <w:sz w:val="16"/>
        </w:rPr>
        <w:t xml:space="preserve">11 </w:t>
      </w:r>
      <w:r>
        <w:rPr>
          <w:i/>
          <w:color w:val="231F20"/>
          <w:spacing w:val="-4"/>
          <w:sz w:val="16"/>
        </w:rPr>
        <w:t xml:space="preserve">березня </w:t>
      </w:r>
      <w:r>
        <w:rPr>
          <w:i/>
          <w:color w:val="231F20"/>
          <w:spacing w:val="-3"/>
          <w:sz w:val="16"/>
        </w:rPr>
        <w:t xml:space="preserve">2020 </w:t>
      </w:r>
      <w:r>
        <w:rPr>
          <w:i/>
          <w:color w:val="231F20"/>
          <w:sz w:val="16"/>
        </w:rPr>
        <w:t xml:space="preserve">р. № </w:t>
      </w:r>
      <w:r>
        <w:rPr>
          <w:i/>
          <w:color w:val="231F20"/>
          <w:spacing w:val="-3"/>
          <w:sz w:val="16"/>
        </w:rPr>
        <w:t xml:space="preserve">211 “Про </w:t>
      </w:r>
      <w:r>
        <w:rPr>
          <w:i/>
          <w:color w:val="231F20"/>
          <w:spacing w:val="-4"/>
          <w:sz w:val="16"/>
        </w:rPr>
        <w:t xml:space="preserve">запо- бігання поширенню </w:t>
      </w:r>
      <w:r>
        <w:rPr>
          <w:i/>
          <w:color w:val="231F20"/>
          <w:sz w:val="16"/>
        </w:rPr>
        <w:t xml:space="preserve">на </w:t>
      </w:r>
      <w:r>
        <w:rPr>
          <w:i/>
          <w:color w:val="231F20"/>
          <w:spacing w:val="-4"/>
          <w:sz w:val="16"/>
        </w:rPr>
        <w:t xml:space="preserve">території </w:t>
      </w:r>
      <w:r>
        <w:rPr>
          <w:i/>
          <w:color w:val="231F20"/>
          <w:spacing w:val="-5"/>
          <w:sz w:val="16"/>
        </w:rPr>
        <w:t xml:space="preserve">України </w:t>
      </w:r>
      <w:r>
        <w:rPr>
          <w:i/>
          <w:color w:val="231F20"/>
          <w:spacing w:val="-4"/>
          <w:sz w:val="16"/>
        </w:rPr>
        <w:t xml:space="preserve">коронавірусу </w:t>
      </w:r>
      <w:r>
        <w:rPr>
          <w:i/>
          <w:color w:val="231F20"/>
          <w:spacing w:val="-6"/>
          <w:sz w:val="16"/>
        </w:rPr>
        <w:t xml:space="preserve">COVID-19”, </w:t>
      </w:r>
      <w:r>
        <w:rPr>
          <w:i/>
          <w:color w:val="231F20"/>
          <w:spacing w:val="-4"/>
          <w:sz w:val="16"/>
        </w:rPr>
        <w:t xml:space="preserve">відповідно </w:t>
      </w:r>
      <w:r>
        <w:rPr>
          <w:i/>
          <w:color w:val="231F20"/>
          <w:sz w:val="16"/>
        </w:rPr>
        <w:t xml:space="preserve">до </w:t>
      </w:r>
      <w:r>
        <w:rPr>
          <w:i/>
          <w:color w:val="231F20"/>
          <w:spacing w:val="-3"/>
          <w:sz w:val="16"/>
        </w:rPr>
        <w:t xml:space="preserve">ст. </w:t>
      </w:r>
      <w:r>
        <w:rPr>
          <w:i/>
          <w:color w:val="231F20"/>
          <w:sz w:val="16"/>
        </w:rPr>
        <w:t xml:space="preserve">29 </w:t>
      </w:r>
      <w:r>
        <w:rPr>
          <w:i/>
          <w:color w:val="231F20"/>
          <w:spacing w:val="-4"/>
          <w:sz w:val="16"/>
        </w:rPr>
        <w:t xml:space="preserve">Закону </w:t>
      </w:r>
      <w:r>
        <w:rPr>
          <w:i/>
          <w:color w:val="231F20"/>
          <w:spacing w:val="-5"/>
          <w:sz w:val="16"/>
        </w:rPr>
        <w:t xml:space="preserve">України  </w:t>
      </w:r>
      <w:r>
        <w:rPr>
          <w:i/>
          <w:color w:val="231F20"/>
          <w:spacing w:val="-3"/>
          <w:sz w:val="16"/>
        </w:rPr>
        <w:t xml:space="preserve">“Про  </w:t>
      </w:r>
      <w:r>
        <w:rPr>
          <w:i/>
          <w:color w:val="231F20"/>
          <w:spacing w:val="-4"/>
          <w:sz w:val="16"/>
        </w:rPr>
        <w:t xml:space="preserve">захист  населення  </w:t>
      </w:r>
      <w:r>
        <w:rPr>
          <w:i/>
          <w:color w:val="231F20"/>
          <w:spacing w:val="-3"/>
          <w:sz w:val="16"/>
        </w:rPr>
        <w:t xml:space="preserve">від  </w:t>
      </w:r>
      <w:r>
        <w:rPr>
          <w:i/>
          <w:color w:val="231F20"/>
          <w:spacing w:val="-4"/>
          <w:sz w:val="16"/>
        </w:rPr>
        <w:t xml:space="preserve">інфекційних  хвороб”  </w:t>
      </w:r>
      <w:r>
        <w:rPr>
          <w:i/>
          <w:color w:val="231F20"/>
          <w:sz w:val="16"/>
        </w:rPr>
        <w:t xml:space="preserve">з  </w:t>
      </w:r>
      <w:r>
        <w:rPr>
          <w:i/>
          <w:color w:val="231F20"/>
          <w:spacing w:val="-4"/>
          <w:sz w:val="16"/>
        </w:rPr>
        <w:t xml:space="preserve">метою  запобігання  поширенню  </w:t>
      </w:r>
      <w:r>
        <w:rPr>
          <w:i/>
          <w:color w:val="231F20"/>
          <w:sz w:val="16"/>
        </w:rPr>
        <w:t xml:space="preserve">на </w:t>
      </w:r>
      <w:r>
        <w:rPr>
          <w:i/>
          <w:color w:val="231F20"/>
          <w:spacing w:val="-4"/>
          <w:sz w:val="16"/>
        </w:rPr>
        <w:t>території</w:t>
      </w:r>
      <w:r>
        <w:rPr>
          <w:i/>
          <w:color w:val="231F20"/>
          <w:spacing w:val="-4"/>
          <w:sz w:val="16"/>
        </w:rPr>
        <w:t xml:space="preserve"> </w:t>
      </w:r>
      <w:r>
        <w:rPr>
          <w:i/>
          <w:color w:val="231F20"/>
          <w:spacing w:val="-5"/>
          <w:sz w:val="16"/>
        </w:rPr>
        <w:t xml:space="preserve">України </w:t>
      </w:r>
      <w:r>
        <w:rPr>
          <w:i/>
          <w:color w:val="231F20"/>
          <w:spacing w:val="-4"/>
          <w:sz w:val="16"/>
        </w:rPr>
        <w:t xml:space="preserve">коронавірусу </w:t>
      </w:r>
      <w:r>
        <w:rPr>
          <w:i/>
          <w:color w:val="231F20"/>
          <w:spacing w:val="-5"/>
          <w:sz w:val="16"/>
        </w:rPr>
        <w:t xml:space="preserve">COVID-19 </w:t>
      </w:r>
      <w:r>
        <w:rPr>
          <w:i/>
          <w:color w:val="231F20"/>
          <w:sz w:val="16"/>
        </w:rPr>
        <w:t xml:space="preserve">та з </w:t>
      </w:r>
      <w:r>
        <w:rPr>
          <w:i/>
          <w:color w:val="231F20"/>
          <w:spacing w:val="-4"/>
          <w:sz w:val="16"/>
        </w:rPr>
        <w:t xml:space="preserve">урахуванням рішення </w:t>
      </w:r>
      <w:r>
        <w:rPr>
          <w:i/>
          <w:color w:val="231F20"/>
          <w:spacing w:val="-5"/>
          <w:sz w:val="16"/>
        </w:rPr>
        <w:t xml:space="preserve">Державної </w:t>
      </w:r>
      <w:r>
        <w:rPr>
          <w:i/>
          <w:color w:val="231F20"/>
          <w:spacing w:val="-4"/>
          <w:sz w:val="16"/>
        </w:rPr>
        <w:t xml:space="preserve">комісії </w:t>
      </w:r>
      <w:r>
        <w:rPr>
          <w:i/>
          <w:color w:val="231F20"/>
          <w:sz w:val="16"/>
        </w:rPr>
        <w:t xml:space="preserve">з </w:t>
      </w:r>
      <w:r>
        <w:rPr>
          <w:i/>
          <w:color w:val="231F20"/>
          <w:spacing w:val="-4"/>
          <w:sz w:val="16"/>
        </w:rPr>
        <w:t xml:space="preserve">питань техногенно-екологічної безпеки </w:t>
      </w:r>
      <w:r>
        <w:rPr>
          <w:i/>
          <w:color w:val="231F20"/>
          <w:sz w:val="16"/>
        </w:rPr>
        <w:t xml:space="preserve">та </w:t>
      </w:r>
      <w:r>
        <w:rPr>
          <w:i/>
          <w:color w:val="231F20"/>
          <w:spacing w:val="-4"/>
          <w:sz w:val="16"/>
        </w:rPr>
        <w:t xml:space="preserve">надзвичайних ситуацій </w:t>
      </w:r>
      <w:r>
        <w:rPr>
          <w:i/>
          <w:color w:val="231F20"/>
          <w:spacing w:val="-3"/>
          <w:sz w:val="16"/>
        </w:rPr>
        <w:t xml:space="preserve">від </w:t>
      </w:r>
      <w:r>
        <w:rPr>
          <w:i/>
          <w:color w:val="231F20"/>
          <w:sz w:val="16"/>
        </w:rPr>
        <w:t xml:space="preserve">10 </w:t>
      </w:r>
      <w:r>
        <w:rPr>
          <w:i/>
          <w:color w:val="231F20"/>
          <w:spacing w:val="-4"/>
          <w:sz w:val="16"/>
        </w:rPr>
        <w:t xml:space="preserve">березня </w:t>
      </w:r>
      <w:r>
        <w:rPr>
          <w:i/>
          <w:color w:val="231F20"/>
          <w:spacing w:val="-3"/>
          <w:sz w:val="16"/>
        </w:rPr>
        <w:t xml:space="preserve">2020 </w:t>
      </w:r>
      <w:r>
        <w:rPr>
          <w:i/>
          <w:color w:val="231F20"/>
          <w:sz w:val="16"/>
        </w:rPr>
        <w:t xml:space="preserve">р. </w:t>
      </w:r>
      <w:r>
        <w:rPr>
          <w:i/>
          <w:color w:val="231F20"/>
          <w:spacing w:val="-5"/>
          <w:sz w:val="16"/>
        </w:rPr>
        <w:t xml:space="preserve">Кабі- </w:t>
      </w:r>
      <w:r>
        <w:rPr>
          <w:i/>
          <w:color w:val="231F20"/>
          <w:spacing w:val="-3"/>
          <w:sz w:val="16"/>
        </w:rPr>
        <w:t>нет</w:t>
      </w:r>
      <w:r>
        <w:rPr>
          <w:i/>
          <w:color w:val="231F20"/>
          <w:spacing w:val="-10"/>
          <w:sz w:val="16"/>
        </w:rPr>
        <w:t xml:space="preserve"> </w:t>
      </w:r>
      <w:r>
        <w:rPr>
          <w:i/>
          <w:color w:val="231F20"/>
          <w:spacing w:val="-4"/>
          <w:sz w:val="16"/>
        </w:rPr>
        <w:t>Міністрів</w:t>
      </w:r>
      <w:r>
        <w:rPr>
          <w:i/>
          <w:color w:val="231F20"/>
          <w:spacing w:val="-10"/>
          <w:sz w:val="16"/>
        </w:rPr>
        <w:t xml:space="preserve"> </w:t>
      </w:r>
      <w:r>
        <w:rPr>
          <w:i/>
          <w:color w:val="231F20"/>
          <w:spacing w:val="-5"/>
          <w:sz w:val="16"/>
        </w:rPr>
        <w:t>України</w:t>
      </w:r>
      <w:r>
        <w:rPr>
          <w:i/>
          <w:color w:val="231F20"/>
          <w:spacing w:val="-10"/>
          <w:sz w:val="16"/>
        </w:rPr>
        <w:t xml:space="preserve"> </w:t>
      </w:r>
      <w:r>
        <w:rPr>
          <w:i/>
          <w:color w:val="231F20"/>
          <w:spacing w:val="-4"/>
          <w:sz w:val="16"/>
        </w:rPr>
        <w:t>постановив:</w:t>
      </w:r>
      <w:r>
        <w:rPr>
          <w:i/>
          <w:color w:val="231F20"/>
          <w:spacing w:val="-10"/>
          <w:sz w:val="16"/>
        </w:rPr>
        <w:t xml:space="preserve"> </w:t>
      </w:r>
      <w:r>
        <w:rPr>
          <w:i/>
          <w:color w:val="231F20"/>
          <w:sz w:val="16"/>
        </w:rPr>
        <w:t>1.</w:t>
      </w:r>
      <w:r>
        <w:rPr>
          <w:i/>
          <w:color w:val="231F20"/>
          <w:spacing w:val="-10"/>
          <w:sz w:val="16"/>
        </w:rPr>
        <w:t xml:space="preserve"> </w:t>
      </w:r>
      <w:r>
        <w:rPr>
          <w:i/>
          <w:color w:val="231F20"/>
          <w:spacing w:val="-5"/>
          <w:sz w:val="16"/>
        </w:rPr>
        <w:t>Установити</w:t>
      </w:r>
      <w:r>
        <w:rPr>
          <w:i/>
          <w:color w:val="231F20"/>
          <w:spacing w:val="-10"/>
          <w:sz w:val="16"/>
        </w:rPr>
        <w:t xml:space="preserve"> </w:t>
      </w:r>
      <w:r>
        <w:rPr>
          <w:i/>
          <w:color w:val="231F20"/>
          <w:sz w:val="16"/>
        </w:rPr>
        <w:t>з</w:t>
      </w:r>
      <w:r>
        <w:rPr>
          <w:i/>
          <w:color w:val="231F20"/>
          <w:spacing w:val="-10"/>
          <w:sz w:val="16"/>
        </w:rPr>
        <w:t xml:space="preserve"> </w:t>
      </w:r>
      <w:r>
        <w:rPr>
          <w:i/>
          <w:color w:val="231F20"/>
          <w:sz w:val="16"/>
        </w:rPr>
        <w:t>12</w:t>
      </w:r>
      <w:r>
        <w:rPr>
          <w:i/>
          <w:color w:val="231F20"/>
          <w:spacing w:val="-10"/>
          <w:sz w:val="16"/>
        </w:rPr>
        <w:t xml:space="preserve"> </w:t>
      </w:r>
      <w:r>
        <w:rPr>
          <w:i/>
          <w:color w:val="231F20"/>
          <w:spacing w:val="-4"/>
          <w:sz w:val="16"/>
        </w:rPr>
        <w:t>березня</w:t>
      </w:r>
      <w:r>
        <w:rPr>
          <w:i/>
          <w:color w:val="231F20"/>
          <w:spacing w:val="-11"/>
          <w:sz w:val="16"/>
        </w:rPr>
        <w:t xml:space="preserve"> </w:t>
      </w:r>
      <w:r>
        <w:rPr>
          <w:i/>
          <w:color w:val="231F20"/>
          <w:sz w:val="16"/>
        </w:rPr>
        <w:t>до</w:t>
      </w:r>
      <w:r>
        <w:rPr>
          <w:i/>
          <w:color w:val="231F20"/>
          <w:spacing w:val="-10"/>
          <w:sz w:val="16"/>
        </w:rPr>
        <w:t xml:space="preserve"> </w:t>
      </w:r>
      <w:r>
        <w:rPr>
          <w:i/>
          <w:color w:val="231F20"/>
          <w:sz w:val="16"/>
        </w:rPr>
        <w:t>3</w:t>
      </w:r>
      <w:r>
        <w:rPr>
          <w:i/>
          <w:color w:val="231F20"/>
          <w:spacing w:val="-10"/>
          <w:sz w:val="16"/>
        </w:rPr>
        <w:t xml:space="preserve"> </w:t>
      </w:r>
      <w:r>
        <w:rPr>
          <w:i/>
          <w:color w:val="231F20"/>
          <w:spacing w:val="-4"/>
          <w:sz w:val="16"/>
        </w:rPr>
        <w:t>квітня</w:t>
      </w:r>
      <w:r>
        <w:rPr>
          <w:i/>
          <w:color w:val="231F20"/>
          <w:spacing w:val="-10"/>
          <w:sz w:val="16"/>
        </w:rPr>
        <w:t xml:space="preserve"> </w:t>
      </w:r>
      <w:r>
        <w:rPr>
          <w:i/>
          <w:color w:val="231F20"/>
          <w:spacing w:val="-3"/>
          <w:sz w:val="16"/>
        </w:rPr>
        <w:t>2020</w:t>
      </w:r>
      <w:r>
        <w:rPr>
          <w:i/>
          <w:color w:val="231F20"/>
          <w:spacing w:val="-10"/>
          <w:sz w:val="16"/>
        </w:rPr>
        <w:t xml:space="preserve"> </w:t>
      </w:r>
      <w:r>
        <w:rPr>
          <w:i/>
          <w:color w:val="231F20"/>
          <w:sz w:val="16"/>
        </w:rPr>
        <w:t>р.</w:t>
      </w:r>
      <w:r>
        <w:rPr>
          <w:i/>
          <w:color w:val="231F20"/>
          <w:spacing w:val="-10"/>
          <w:sz w:val="16"/>
        </w:rPr>
        <w:t xml:space="preserve"> </w:t>
      </w:r>
      <w:r>
        <w:rPr>
          <w:i/>
          <w:color w:val="231F20"/>
          <w:sz w:val="16"/>
        </w:rPr>
        <w:t>на</w:t>
      </w:r>
      <w:r>
        <w:rPr>
          <w:i/>
          <w:color w:val="231F20"/>
          <w:spacing w:val="-10"/>
          <w:sz w:val="16"/>
        </w:rPr>
        <w:t xml:space="preserve"> </w:t>
      </w:r>
      <w:r>
        <w:rPr>
          <w:i/>
          <w:color w:val="231F20"/>
          <w:spacing w:val="-3"/>
          <w:sz w:val="16"/>
        </w:rPr>
        <w:t>усій</w:t>
      </w:r>
      <w:r>
        <w:rPr>
          <w:i/>
          <w:color w:val="231F20"/>
          <w:spacing w:val="-10"/>
          <w:sz w:val="16"/>
        </w:rPr>
        <w:t xml:space="preserve"> </w:t>
      </w:r>
      <w:r>
        <w:rPr>
          <w:i/>
          <w:color w:val="231F20"/>
          <w:spacing w:val="-4"/>
          <w:sz w:val="16"/>
        </w:rPr>
        <w:t xml:space="preserve">тери- торії </w:t>
      </w:r>
      <w:r>
        <w:rPr>
          <w:i/>
          <w:color w:val="231F20"/>
          <w:spacing w:val="-5"/>
          <w:sz w:val="16"/>
        </w:rPr>
        <w:t xml:space="preserve">України </w:t>
      </w:r>
      <w:r>
        <w:rPr>
          <w:i/>
          <w:color w:val="231F20"/>
          <w:spacing w:val="-4"/>
          <w:sz w:val="16"/>
        </w:rPr>
        <w:t xml:space="preserve">карантин, заборонивши: відвідування закладів освіти </w:t>
      </w:r>
      <w:r>
        <w:rPr>
          <w:i/>
          <w:color w:val="231F20"/>
          <w:sz w:val="16"/>
        </w:rPr>
        <w:t xml:space="preserve">її </w:t>
      </w:r>
      <w:r>
        <w:rPr>
          <w:i/>
          <w:color w:val="231F20"/>
          <w:spacing w:val="-4"/>
          <w:sz w:val="16"/>
        </w:rPr>
        <w:t xml:space="preserve">здобувачами; проведення </w:t>
      </w:r>
      <w:r>
        <w:rPr>
          <w:i/>
          <w:color w:val="231F20"/>
          <w:spacing w:val="-3"/>
          <w:sz w:val="16"/>
        </w:rPr>
        <w:t>всіх</w:t>
      </w:r>
      <w:r>
        <w:rPr>
          <w:i/>
          <w:color w:val="231F20"/>
          <w:spacing w:val="-10"/>
          <w:sz w:val="16"/>
        </w:rPr>
        <w:t xml:space="preserve"> </w:t>
      </w:r>
      <w:r>
        <w:rPr>
          <w:i/>
          <w:color w:val="231F20"/>
          <w:spacing w:val="-4"/>
          <w:sz w:val="16"/>
        </w:rPr>
        <w:t>масових</w:t>
      </w:r>
      <w:r>
        <w:rPr>
          <w:i/>
          <w:color w:val="231F20"/>
          <w:spacing w:val="-10"/>
          <w:sz w:val="16"/>
        </w:rPr>
        <w:t xml:space="preserve"> </w:t>
      </w:r>
      <w:r>
        <w:rPr>
          <w:i/>
          <w:color w:val="231F20"/>
          <w:spacing w:val="-4"/>
          <w:sz w:val="16"/>
        </w:rPr>
        <w:t>заходів,</w:t>
      </w:r>
      <w:r>
        <w:rPr>
          <w:i/>
          <w:color w:val="231F20"/>
          <w:spacing w:val="-11"/>
          <w:sz w:val="16"/>
        </w:rPr>
        <w:t xml:space="preserve"> </w:t>
      </w:r>
      <w:r>
        <w:rPr>
          <w:i/>
          <w:color w:val="231F20"/>
          <w:sz w:val="16"/>
        </w:rPr>
        <w:t>у</w:t>
      </w:r>
      <w:r>
        <w:rPr>
          <w:i/>
          <w:color w:val="231F20"/>
          <w:spacing w:val="-10"/>
          <w:sz w:val="16"/>
        </w:rPr>
        <w:t xml:space="preserve"> </w:t>
      </w:r>
      <w:r>
        <w:rPr>
          <w:i/>
          <w:color w:val="231F20"/>
          <w:spacing w:val="-3"/>
          <w:sz w:val="16"/>
        </w:rPr>
        <w:t>яких</w:t>
      </w:r>
      <w:r>
        <w:rPr>
          <w:i/>
          <w:color w:val="231F20"/>
          <w:spacing w:val="-10"/>
          <w:sz w:val="16"/>
        </w:rPr>
        <w:t xml:space="preserve"> </w:t>
      </w:r>
      <w:r>
        <w:rPr>
          <w:i/>
          <w:color w:val="231F20"/>
          <w:spacing w:val="-3"/>
          <w:sz w:val="16"/>
        </w:rPr>
        <w:t>бере</w:t>
      </w:r>
      <w:r>
        <w:rPr>
          <w:i/>
          <w:color w:val="231F20"/>
          <w:spacing w:val="-11"/>
          <w:sz w:val="16"/>
        </w:rPr>
        <w:t xml:space="preserve"> </w:t>
      </w:r>
      <w:r>
        <w:rPr>
          <w:i/>
          <w:color w:val="231F20"/>
          <w:spacing w:val="-4"/>
          <w:sz w:val="16"/>
        </w:rPr>
        <w:t>участь</w:t>
      </w:r>
      <w:r>
        <w:rPr>
          <w:i/>
          <w:color w:val="231F20"/>
          <w:spacing w:val="-10"/>
          <w:sz w:val="16"/>
        </w:rPr>
        <w:t xml:space="preserve"> </w:t>
      </w:r>
      <w:r>
        <w:rPr>
          <w:i/>
          <w:color w:val="231F20"/>
          <w:spacing w:val="-4"/>
          <w:sz w:val="16"/>
        </w:rPr>
        <w:t>понад</w:t>
      </w:r>
      <w:r>
        <w:rPr>
          <w:i/>
          <w:color w:val="231F20"/>
          <w:spacing w:val="-10"/>
          <w:sz w:val="16"/>
        </w:rPr>
        <w:t xml:space="preserve"> </w:t>
      </w:r>
      <w:r>
        <w:rPr>
          <w:i/>
          <w:color w:val="231F20"/>
          <w:spacing w:val="-3"/>
          <w:sz w:val="16"/>
        </w:rPr>
        <w:t>200</w:t>
      </w:r>
      <w:r>
        <w:rPr>
          <w:i/>
          <w:color w:val="231F20"/>
          <w:spacing w:val="-10"/>
          <w:sz w:val="16"/>
        </w:rPr>
        <w:t xml:space="preserve"> </w:t>
      </w:r>
      <w:r>
        <w:rPr>
          <w:i/>
          <w:color w:val="231F20"/>
          <w:spacing w:val="-4"/>
          <w:sz w:val="16"/>
        </w:rPr>
        <w:t>осіб,</w:t>
      </w:r>
      <w:r>
        <w:rPr>
          <w:i/>
          <w:color w:val="231F20"/>
          <w:spacing w:val="-10"/>
          <w:sz w:val="16"/>
        </w:rPr>
        <w:t xml:space="preserve"> </w:t>
      </w:r>
      <w:r>
        <w:rPr>
          <w:i/>
          <w:color w:val="231F20"/>
          <w:spacing w:val="-3"/>
          <w:sz w:val="16"/>
        </w:rPr>
        <w:t>крім</w:t>
      </w:r>
      <w:r>
        <w:rPr>
          <w:i/>
          <w:color w:val="231F20"/>
          <w:spacing w:val="-10"/>
          <w:sz w:val="16"/>
        </w:rPr>
        <w:t xml:space="preserve"> </w:t>
      </w:r>
      <w:r>
        <w:rPr>
          <w:i/>
          <w:color w:val="231F20"/>
          <w:spacing w:val="-4"/>
          <w:sz w:val="16"/>
        </w:rPr>
        <w:t>заходів,</w:t>
      </w:r>
      <w:r>
        <w:rPr>
          <w:i/>
          <w:color w:val="231F20"/>
          <w:spacing w:val="-11"/>
          <w:sz w:val="16"/>
        </w:rPr>
        <w:t xml:space="preserve"> </w:t>
      </w:r>
      <w:r>
        <w:rPr>
          <w:i/>
          <w:color w:val="231F20"/>
          <w:spacing w:val="-4"/>
          <w:sz w:val="16"/>
        </w:rPr>
        <w:t>необхідних</w:t>
      </w:r>
      <w:r>
        <w:rPr>
          <w:i/>
          <w:color w:val="231F20"/>
          <w:spacing w:val="-10"/>
          <w:sz w:val="16"/>
        </w:rPr>
        <w:t xml:space="preserve"> </w:t>
      </w:r>
      <w:r>
        <w:rPr>
          <w:i/>
          <w:color w:val="231F20"/>
          <w:spacing w:val="-3"/>
          <w:sz w:val="16"/>
        </w:rPr>
        <w:t>для</w:t>
      </w:r>
      <w:r>
        <w:rPr>
          <w:i/>
          <w:color w:val="231F20"/>
          <w:spacing w:val="-10"/>
          <w:sz w:val="16"/>
        </w:rPr>
        <w:t xml:space="preserve"> </w:t>
      </w:r>
      <w:r>
        <w:rPr>
          <w:i/>
          <w:color w:val="231F20"/>
          <w:spacing w:val="-4"/>
          <w:sz w:val="16"/>
        </w:rPr>
        <w:t xml:space="preserve">забезпечення роботи органів </w:t>
      </w:r>
      <w:r>
        <w:rPr>
          <w:i/>
          <w:color w:val="231F20"/>
          <w:spacing w:val="-5"/>
          <w:sz w:val="16"/>
        </w:rPr>
        <w:t xml:space="preserve">державної </w:t>
      </w:r>
      <w:r>
        <w:rPr>
          <w:i/>
          <w:color w:val="231F20"/>
          <w:spacing w:val="-4"/>
          <w:sz w:val="16"/>
        </w:rPr>
        <w:t xml:space="preserve">влади </w:t>
      </w:r>
      <w:r>
        <w:rPr>
          <w:i/>
          <w:color w:val="231F20"/>
          <w:sz w:val="16"/>
        </w:rPr>
        <w:t xml:space="preserve">та </w:t>
      </w:r>
      <w:r>
        <w:rPr>
          <w:i/>
          <w:color w:val="231F20"/>
          <w:spacing w:val="-4"/>
          <w:sz w:val="16"/>
        </w:rPr>
        <w:t xml:space="preserve">органів місцевого самоврядування. Спортивні заходи </w:t>
      </w:r>
      <w:r>
        <w:rPr>
          <w:i/>
          <w:color w:val="231F20"/>
          <w:spacing w:val="-3"/>
          <w:sz w:val="16"/>
        </w:rPr>
        <w:t xml:space="preserve">доз- </w:t>
      </w:r>
      <w:r>
        <w:rPr>
          <w:i/>
          <w:color w:val="231F20"/>
          <w:spacing w:val="-4"/>
          <w:sz w:val="16"/>
        </w:rPr>
        <w:t xml:space="preserve">воляється проводити </w:t>
      </w:r>
      <w:r>
        <w:rPr>
          <w:i/>
          <w:color w:val="231F20"/>
          <w:spacing w:val="-3"/>
          <w:sz w:val="16"/>
        </w:rPr>
        <w:t xml:space="preserve">без </w:t>
      </w:r>
      <w:r>
        <w:rPr>
          <w:i/>
          <w:color w:val="231F20"/>
          <w:spacing w:val="-4"/>
          <w:sz w:val="16"/>
        </w:rPr>
        <w:t xml:space="preserve">участі глядачів (уболівальників). Поставив завдання міністерствам, іншим центральним органам виконавчої влади, обласним, Київській міській </w:t>
      </w:r>
      <w:r>
        <w:rPr>
          <w:i/>
          <w:color w:val="231F20"/>
          <w:spacing w:val="-5"/>
          <w:sz w:val="16"/>
        </w:rPr>
        <w:t xml:space="preserve">державним </w:t>
      </w:r>
      <w:r>
        <w:rPr>
          <w:i/>
          <w:color w:val="231F20"/>
          <w:spacing w:val="-4"/>
          <w:sz w:val="16"/>
        </w:rPr>
        <w:t xml:space="preserve">адміні- страціям разом </w:t>
      </w:r>
      <w:r>
        <w:rPr>
          <w:i/>
          <w:color w:val="231F20"/>
          <w:sz w:val="16"/>
        </w:rPr>
        <w:t xml:space="preserve">з </w:t>
      </w:r>
      <w:r>
        <w:rPr>
          <w:i/>
          <w:color w:val="231F20"/>
          <w:spacing w:val="-4"/>
          <w:sz w:val="16"/>
        </w:rPr>
        <w:t>ор</w:t>
      </w:r>
      <w:r>
        <w:rPr>
          <w:i/>
          <w:color w:val="231F20"/>
          <w:spacing w:val="-4"/>
          <w:sz w:val="16"/>
        </w:rPr>
        <w:t xml:space="preserve">ганами місцевого самоврядування забезпечити: організацію виконання та контроль </w:t>
      </w:r>
      <w:r>
        <w:rPr>
          <w:i/>
          <w:color w:val="231F20"/>
          <w:sz w:val="16"/>
        </w:rPr>
        <w:t xml:space="preserve">за </w:t>
      </w:r>
      <w:r>
        <w:rPr>
          <w:i/>
          <w:color w:val="231F20"/>
          <w:spacing w:val="-4"/>
          <w:sz w:val="16"/>
        </w:rPr>
        <w:t xml:space="preserve">дотриманням </w:t>
      </w:r>
      <w:r>
        <w:rPr>
          <w:i/>
          <w:color w:val="231F20"/>
          <w:sz w:val="16"/>
        </w:rPr>
        <w:t xml:space="preserve">на </w:t>
      </w:r>
      <w:r>
        <w:rPr>
          <w:i/>
          <w:color w:val="231F20"/>
          <w:spacing w:val="-4"/>
          <w:sz w:val="16"/>
        </w:rPr>
        <w:t xml:space="preserve">відповідній території вимог </w:t>
      </w:r>
      <w:r>
        <w:rPr>
          <w:i/>
          <w:color w:val="231F20"/>
          <w:spacing w:val="-3"/>
          <w:sz w:val="16"/>
        </w:rPr>
        <w:t xml:space="preserve">цієї </w:t>
      </w:r>
      <w:r>
        <w:rPr>
          <w:i/>
          <w:color w:val="231F20"/>
          <w:spacing w:val="-4"/>
          <w:sz w:val="16"/>
        </w:rPr>
        <w:t xml:space="preserve">постанови, своєчасним </w:t>
      </w:r>
      <w:r>
        <w:rPr>
          <w:i/>
          <w:color w:val="231F20"/>
          <w:sz w:val="16"/>
        </w:rPr>
        <w:t xml:space="preserve">і </w:t>
      </w:r>
      <w:r>
        <w:rPr>
          <w:i/>
          <w:color w:val="231F20"/>
          <w:spacing w:val="-3"/>
          <w:sz w:val="16"/>
        </w:rPr>
        <w:t xml:space="preserve">пов- ним </w:t>
      </w:r>
      <w:r>
        <w:rPr>
          <w:i/>
          <w:color w:val="231F20"/>
          <w:spacing w:val="-4"/>
          <w:sz w:val="16"/>
        </w:rPr>
        <w:t xml:space="preserve">проведенням профілактичних </w:t>
      </w:r>
      <w:r>
        <w:rPr>
          <w:i/>
          <w:color w:val="231F20"/>
          <w:sz w:val="16"/>
        </w:rPr>
        <w:t xml:space="preserve">і </w:t>
      </w:r>
      <w:r>
        <w:rPr>
          <w:i/>
          <w:color w:val="231F20"/>
          <w:spacing w:val="-4"/>
          <w:sz w:val="16"/>
        </w:rPr>
        <w:t>протиепідемічних заходів; подання щодня Міністерству охорони здо</w:t>
      </w:r>
      <w:r>
        <w:rPr>
          <w:i/>
          <w:color w:val="231F20"/>
          <w:spacing w:val="-4"/>
          <w:sz w:val="16"/>
        </w:rPr>
        <w:t xml:space="preserve">ров’я інформації </w:t>
      </w:r>
      <w:r>
        <w:rPr>
          <w:i/>
          <w:color w:val="231F20"/>
          <w:spacing w:val="-3"/>
          <w:sz w:val="16"/>
        </w:rPr>
        <w:t xml:space="preserve">про </w:t>
      </w:r>
      <w:r>
        <w:rPr>
          <w:i/>
          <w:color w:val="231F20"/>
          <w:spacing w:val="-4"/>
          <w:sz w:val="16"/>
        </w:rPr>
        <w:t xml:space="preserve">здійснення заходів </w:t>
      </w:r>
      <w:r>
        <w:rPr>
          <w:i/>
          <w:color w:val="231F20"/>
          <w:spacing w:val="-3"/>
          <w:sz w:val="16"/>
        </w:rPr>
        <w:t xml:space="preserve">щодо </w:t>
      </w:r>
      <w:r>
        <w:rPr>
          <w:i/>
          <w:color w:val="231F20"/>
          <w:spacing w:val="-4"/>
          <w:sz w:val="16"/>
        </w:rPr>
        <w:t xml:space="preserve">запобігання поширенню коронавірусу </w:t>
      </w:r>
      <w:r>
        <w:rPr>
          <w:i/>
          <w:color w:val="231F20"/>
          <w:spacing w:val="-5"/>
          <w:sz w:val="16"/>
        </w:rPr>
        <w:t>COVID-19</w:t>
      </w:r>
      <w:r>
        <w:rPr>
          <w:i/>
          <w:color w:val="231F20"/>
          <w:spacing w:val="-7"/>
          <w:sz w:val="16"/>
        </w:rPr>
        <w:t xml:space="preserve"> </w:t>
      </w:r>
      <w:r>
        <w:rPr>
          <w:i/>
          <w:color w:val="231F20"/>
          <w:spacing w:val="-3"/>
          <w:sz w:val="16"/>
        </w:rPr>
        <w:t>для</w:t>
      </w:r>
      <w:r>
        <w:rPr>
          <w:i/>
          <w:color w:val="231F20"/>
          <w:spacing w:val="-7"/>
          <w:sz w:val="16"/>
        </w:rPr>
        <w:t xml:space="preserve"> </w:t>
      </w:r>
      <w:r>
        <w:rPr>
          <w:i/>
          <w:color w:val="231F20"/>
          <w:sz w:val="16"/>
        </w:rPr>
        <w:t>її</w:t>
      </w:r>
      <w:r>
        <w:rPr>
          <w:i/>
          <w:color w:val="231F20"/>
          <w:spacing w:val="-7"/>
          <w:sz w:val="16"/>
        </w:rPr>
        <w:t xml:space="preserve"> </w:t>
      </w:r>
      <w:r>
        <w:rPr>
          <w:i/>
          <w:color w:val="231F20"/>
          <w:spacing w:val="-4"/>
          <w:sz w:val="16"/>
        </w:rPr>
        <w:t>узагальнення</w:t>
      </w:r>
      <w:r>
        <w:rPr>
          <w:i/>
          <w:color w:val="231F20"/>
          <w:spacing w:val="-7"/>
          <w:sz w:val="16"/>
        </w:rPr>
        <w:t xml:space="preserve"> </w:t>
      </w:r>
      <w:r>
        <w:rPr>
          <w:i/>
          <w:color w:val="231F20"/>
          <w:sz w:val="16"/>
        </w:rPr>
        <w:t>та</w:t>
      </w:r>
      <w:r>
        <w:rPr>
          <w:i/>
          <w:color w:val="231F20"/>
          <w:spacing w:val="-7"/>
          <w:sz w:val="16"/>
        </w:rPr>
        <w:t xml:space="preserve"> </w:t>
      </w:r>
      <w:r>
        <w:rPr>
          <w:i/>
          <w:color w:val="231F20"/>
          <w:spacing w:val="-4"/>
          <w:sz w:val="16"/>
        </w:rPr>
        <w:t>інформування</w:t>
      </w:r>
      <w:r>
        <w:rPr>
          <w:i/>
          <w:color w:val="231F20"/>
          <w:spacing w:val="-7"/>
          <w:sz w:val="16"/>
        </w:rPr>
        <w:t xml:space="preserve"> </w:t>
      </w:r>
      <w:r>
        <w:rPr>
          <w:i/>
          <w:color w:val="231F20"/>
          <w:spacing w:val="-5"/>
          <w:sz w:val="16"/>
        </w:rPr>
        <w:t>Кабінету</w:t>
      </w:r>
      <w:r>
        <w:rPr>
          <w:i/>
          <w:color w:val="231F20"/>
          <w:spacing w:val="-7"/>
          <w:sz w:val="16"/>
        </w:rPr>
        <w:t xml:space="preserve"> </w:t>
      </w:r>
      <w:r>
        <w:rPr>
          <w:i/>
          <w:color w:val="231F20"/>
          <w:spacing w:val="-4"/>
          <w:sz w:val="16"/>
        </w:rPr>
        <w:t>Міністрів</w:t>
      </w:r>
      <w:r>
        <w:rPr>
          <w:i/>
          <w:color w:val="231F20"/>
          <w:spacing w:val="-7"/>
          <w:sz w:val="16"/>
        </w:rPr>
        <w:t xml:space="preserve"> </w:t>
      </w:r>
      <w:r>
        <w:rPr>
          <w:i/>
          <w:color w:val="231F20"/>
          <w:spacing w:val="-5"/>
          <w:sz w:val="16"/>
        </w:rPr>
        <w:t>України.</w:t>
      </w:r>
    </w:p>
    <w:p w14:paraId="537102FD" w14:textId="77777777" w:rsidR="00DE575E" w:rsidRDefault="00DE575E">
      <w:pPr>
        <w:pStyle w:val="BodyText"/>
        <w:spacing w:before="9"/>
        <w:rPr>
          <w:i/>
          <w:sz w:val="12"/>
        </w:rPr>
      </w:pPr>
    </w:p>
    <w:p w14:paraId="318C75CF" w14:textId="77777777" w:rsidR="00DE575E" w:rsidRDefault="002E7560">
      <w:pPr>
        <w:spacing w:before="92"/>
        <w:ind w:left="533"/>
        <w:rPr>
          <w:rFonts w:ascii="Times New Roman"/>
          <w:sz w:val="20"/>
        </w:rPr>
      </w:pPr>
      <w:r>
        <w:rPr>
          <w:rFonts w:ascii="Times New Roman"/>
          <w:color w:val="231F20"/>
          <w:sz w:val="20"/>
        </w:rPr>
        <w:t>276</w:t>
      </w:r>
    </w:p>
    <w:p w14:paraId="74904E21" w14:textId="77777777" w:rsidR="00DE575E" w:rsidRDefault="00DE575E">
      <w:pPr>
        <w:rPr>
          <w:rFonts w:ascii="Times New Roman"/>
          <w:sz w:val="20"/>
        </w:rPr>
        <w:sectPr w:rsidR="00DE575E">
          <w:pgSz w:w="8510" w:h="12760"/>
          <w:pgMar w:top="660" w:right="720" w:bottom="280" w:left="600" w:header="720" w:footer="720" w:gutter="0"/>
          <w:cols w:space="720"/>
        </w:sectPr>
      </w:pPr>
    </w:p>
    <w:p w14:paraId="5F123036"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w:t>
      </w:r>
      <w:r>
        <w:rPr>
          <w:rFonts w:ascii="AdonisC" w:hAnsi="AdonisC"/>
          <w:i/>
          <w:color w:val="231F20"/>
          <w:sz w:val="18"/>
        </w:rPr>
        <w:t>ання</w:t>
      </w:r>
    </w:p>
    <w:p w14:paraId="57D07AEE" w14:textId="0112821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26CFAD4" wp14:editId="53EB330E">
                <wp:extent cx="4140200" cy="6350"/>
                <wp:effectExtent l="0" t="0" r="12700" b="6350"/>
                <wp:docPr id="714"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15" name="Line 7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9E62A" id="Group_x0020_7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YPZQp/AgAAmAUAAA4A&#10;AAAAAAAAAAAAAAAALAIAAGRycy9lMm9Eb2MueG1sUEsBAi0AFAAGAAgAAAAhAEynsJDZAAAAAwEA&#10;AA8AAAAAAAAAAAAAAAAA1wQAAGRycy9kb3ducmV2LnhtbFBLBQYAAAAABAAEAPMAAADdBQAAAAA=&#10;">
                <v:line id="Line_x0020_7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G+yMYAAADcAAAADwAAAGRycy9kb3ducmV2LnhtbESP0WrCQBRE3wX/YblCX4purFQluooI&#10;hdIHbY0fcM1ek+Du3ZhdTdqv7xYKPg4zc4ZZrjtrxJ0aXzlWMB4lIIhzpysuFByzt+EchA/IGo1j&#10;UvBNHtarfm+JqXYtf9H9EAoRIexTVFCGUKdS+rwki37kauLonV1jMUTZFFI32Ea4NfIlSabSYsVx&#10;ocSatiXll8PNKsiuz8F87j9Mm+1PE3m67iY/t51ST4NuswARqAuP8H/7XSuYjV/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hvsjGAAAA3AAAAA8AAAAAAAAA&#10;AAAAAAAAoQIAAGRycy9kb3ducmV2LnhtbFBLBQYAAAAABAAEAPkAAACUAwAAAAA=&#10;" strokecolor="#231f20" strokeweight=".5pt"/>
                <w10:anchorlock/>
              </v:group>
            </w:pict>
          </mc:Fallback>
        </mc:AlternateContent>
      </w:r>
    </w:p>
    <w:p w14:paraId="7408EB34" w14:textId="77777777" w:rsidR="00DE575E" w:rsidRDefault="00DE575E">
      <w:pPr>
        <w:pStyle w:val="BodyText"/>
        <w:spacing w:before="7"/>
        <w:rPr>
          <w:rFonts w:ascii="AdonisC"/>
          <w:i/>
          <w:sz w:val="19"/>
        </w:rPr>
      </w:pPr>
    </w:p>
    <w:p w14:paraId="15341591" w14:textId="77777777" w:rsidR="00DE575E" w:rsidRDefault="002E7560">
      <w:pPr>
        <w:pStyle w:val="BodyText"/>
        <w:spacing w:before="1" w:line="252" w:lineRule="auto"/>
        <w:ind w:left="250" w:right="410"/>
        <w:jc w:val="both"/>
      </w:pPr>
      <w:r>
        <w:rPr>
          <w:color w:val="231F20"/>
        </w:rPr>
        <w:t xml:space="preserve">поняття, яке включає в себе й надзвичайні режими. Якщо </w:t>
      </w:r>
      <w:r>
        <w:rPr>
          <w:i/>
          <w:color w:val="231F20"/>
        </w:rPr>
        <w:t xml:space="preserve">екстре- мальні режими </w:t>
      </w:r>
      <w:r>
        <w:rPr>
          <w:color w:val="231F20"/>
        </w:rPr>
        <w:t>– це режими діяльності в умовах виникнення чи високої ймовірності виникнення надзвичайних ситуацій різної ґенези, які вводяться з метою локалі</w:t>
      </w:r>
      <w:r>
        <w:rPr>
          <w:color w:val="231F20"/>
        </w:rPr>
        <w:t>зації та ліквідації впливу нега- тивного</w:t>
      </w:r>
      <w:r>
        <w:rPr>
          <w:color w:val="231F20"/>
          <w:spacing w:val="-6"/>
        </w:rPr>
        <w:t xml:space="preserve"> </w:t>
      </w:r>
      <w:r>
        <w:rPr>
          <w:color w:val="231F20"/>
        </w:rPr>
        <w:t>чинника</w:t>
      </w:r>
      <w:r>
        <w:rPr>
          <w:color w:val="231F20"/>
          <w:spacing w:val="-6"/>
        </w:rPr>
        <w:t xml:space="preserve"> </w:t>
      </w:r>
      <w:r>
        <w:rPr>
          <w:color w:val="231F20"/>
        </w:rPr>
        <w:t>на</w:t>
      </w:r>
      <w:r>
        <w:rPr>
          <w:color w:val="231F20"/>
          <w:spacing w:val="-6"/>
        </w:rPr>
        <w:t xml:space="preserve"> </w:t>
      </w:r>
      <w:r>
        <w:rPr>
          <w:color w:val="231F20"/>
        </w:rPr>
        <w:t>суспільство,</w:t>
      </w:r>
      <w:r>
        <w:rPr>
          <w:color w:val="231F20"/>
          <w:spacing w:val="-6"/>
        </w:rPr>
        <w:t xml:space="preserve"> </w:t>
      </w:r>
      <w:r>
        <w:rPr>
          <w:color w:val="231F20"/>
        </w:rPr>
        <w:t>то</w:t>
      </w:r>
      <w:r>
        <w:rPr>
          <w:color w:val="231F20"/>
          <w:spacing w:val="-6"/>
        </w:rPr>
        <w:t xml:space="preserve"> </w:t>
      </w:r>
      <w:r>
        <w:rPr>
          <w:i/>
          <w:color w:val="231F20"/>
        </w:rPr>
        <w:t>надзвичайні</w:t>
      </w:r>
      <w:r>
        <w:rPr>
          <w:i/>
          <w:color w:val="231F20"/>
          <w:spacing w:val="-7"/>
        </w:rPr>
        <w:t xml:space="preserve"> </w:t>
      </w:r>
      <w:r>
        <w:rPr>
          <w:i/>
          <w:color w:val="231F20"/>
        </w:rPr>
        <w:t>режими</w:t>
      </w:r>
      <w:r>
        <w:rPr>
          <w:i/>
          <w:color w:val="231F20"/>
          <w:spacing w:val="-6"/>
        </w:rPr>
        <w:t xml:space="preserve"> </w:t>
      </w:r>
      <w:r>
        <w:rPr>
          <w:color w:val="231F20"/>
        </w:rPr>
        <w:t>–</w:t>
      </w:r>
      <w:r>
        <w:rPr>
          <w:color w:val="231F20"/>
          <w:spacing w:val="-6"/>
        </w:rPr>
        <w:t xml:space="preserve"> </w:t>
      </w:r>
      <w:r>
        <w:rPr>
          <w:color w:val="231F20"/>
        </w:rPr>
        <w:t>це</w:t>
      </w:r>
      <w:r>
        <w:rPr>
          <w:color w:val="231F20"/>
          <w:spacing w:val="-6"/>
        </w:rPr>
        <w:t xml:space="preserve"> </w:t>
      </w:r>
      <w:r>
        <w:rPr>
          <w:color w:val="231F20"/>
        </w:rPr>
        <w:t>певний клас екстремальних режимів, але основною ознакою їх виділення    є пряме посилання Конституції на ці режими та обов’язкове вирі- шення певних питань щодо цих</w:t>
      </w:r>
      <w:r>
        <w:rPr>
          <w:color w:val="231F20"/>
        </w:rPr>
        <w:t xml:space="preserve"> режимів на рівні міжнародного права. Надзвичайних режимів в </w:t>
      </w:r>
      <w:r>
        <w:rPr>
          <w:color w:val="231F20"/>
          <w:spacing w:val="-3"/>
        </w:rPr>
        <w:t xml:space="preserve">Україні </w:t>
      </w:r>
      <w:r>
        <w:rPr>
          <w:color w:val="231F20"/>
        </w:rPr>
        <w:t>три – воєнний стан, надзви- чайний стан і режим зони надзвичайної екологічної</w:t>
      </w:r>
      <w:r>
        <w:rPr>
          <w:color w:val="231F20"/>
          <w:spacing w:val="-10"/>
        </w:rPr>
        <w:t xml:space="preserve"> </w:t>
      </w:r>
      <w:r>
        <w:rPr>
          <w:color w:val="231F20"/>
        </w:rPr>
        <w:t>ситуації</w:t>
      </w:r>
      <w:r>
        <w:rPr>
          <w:color w:val="231F20"/>
          <w:position w:val="7"/>
          <w:sz w:val="12"/>
        </w:rPr>
        <w:t>1</w:t>
      </w:r>
      <w:r>
        <w:rPr>
          <w:color w:val="231F20"/>
        </w:rPr>
        <w:t>.</w:t>
      </w:r>
    </w:p>
    <w:p w14:paraId="0A2C0FE8" w14:textId="77777777" w:rsidR="00DE575E" w:rsidRDefault="002E7560">
      <w:pPr>
        <w:pStyle w:val="BodyText"/>
        <w:spacing w:before="5" w:line="252" w:lineRule="auto"/>
        <w:ind w:left="250" w:right="410" w:firstLine="283"/>
        <w:jc w:val="both"/>
      </w:pPr>
      <w:r>
        <w:rPr>
          <w:i/>
          <w:color w:val="231F20"/>
        </w:rPr>
        <w:t xml:space="preserve">При введенні екстремального режиму </w:t>
      </w:r>
      <w:r>
        <w:rPr>
          <w:color w:val="231F20"/>
        </w:rPr>
        <w:t>важливо дотримуватися принципу адекватного реагування, що має з</w:t>
      </w:r>
      <w:r>
        <w:rPr>
          <w:color w:val="231F20"/>
        </w:rPr>
        <w:t>апобігти надмірному втручанню державних органів у конституційний статус особи. Носієм екстремального режиму є територія, на якій виникли небез- печні чинники. Об’єктом екстремального режиму є суспільні відно- сини, що впливають на ступінь і характер загроз</w:t>
      </w:r>
      <w:r>
        <w:rPr>
          <w:color w:val="231F20"/>
        </w:rPr>
        <w:t xml:space="preserve">и безпеки, на стан громадського порядку й життєдіяльності. </w:t>
      </w:r>
      <w:r>
        <w:rPr>
          <w:i/>
          <w:color w:val="231F20"/>
        </w:rPr>
        <w:t>Вибір конкретного виду режиму залежить від параметрів ситуації</w:t>
      </w:r>
      <w:r>
        <w:rPr>
          <w:color w:val="231F20"/>
        </w:rPr>
        <w:t>. Можна виокремити такі критерії: тимчасовий аспект ситуації; масштаби впливу негатив- ного чинника; комплексність впливу негативних чи</w:t>
      </w:r>
      <w:r>
        <w:rPr>
          <w:color w:val="231F20"/>
        </w:rPr>
        <w:t>нників різного роду; негативні наслідки, що настали, і їх тяжкість; прогнозовані негативні наслідки, їх тяжкість і приблизний час настання.</w:t>
      </w:r>
    </w:p>
    <w:p w14:paraId="576ADB8C" w14:textId="77777777" w:rsidR="00DE575E" w:rsidRDefault="002E7560">
      <w:pPr>
        <w:spacing w:before="6" w:line="252" w:lineRule="auto"/>
        <w:ind w:left="250" w:right="411" w:firstLine="283"/>
        <w:jc w:val="both"/>
        <w:rPr>
          <w:sz w:val="21"/>
        </w:rPr>
      </w:pPr>
      <w:r>
        <w:rPr>
          <w:i/>
          <w:color w:val="231F20"/>
          <w:sz w:val="21"/>
        </w:rPr>
        <w:t>Конкретні параметри правових режимів істотно відрізняються</w:t>
      </w:r>
      <w:r>
        <w:rPr>
          <w:color w:val="231F20"/>
          <w:sz w:val="21"/>
        </w:rPr>
        <w:t>: кожний</w:t>
      </w:r>
      <w:r>
        <w:rPr>
          <w:color w:val="231F20"/>
          <w:spacing w:val="-7"/>
          <w:sz w:val="21"/>
        </w:rPr>
        <w:t xml:space="preserve"> </w:t>
      </w:r>
      <w:r>
        <w:rPr>
          <w:color w:val="231F20"/>
          <w:sz w:val="21"/>
        </w:rPr>
        <w:t>режим</w:t>
      </w:r>
      <w:r>
        <w:rPr>
          <w:color w:val="231F20"/>
          <w:spacing w:val="-7"/>
          <w:sz w:val="21"/>
        </w:rPr>
        <w:t xml:space="preserve"> </w:t>
      </w:r>
      <w:r>
        <w:rPr>
          <w:color w:val="231F20"/>
          <w:sz w:val="21"/>
        </w:rPr>
        <w:t>закріплює</w:t>
      </w:r>
      <w:r>
        <w:rPr>
          <w:color w:val="231F20"/>
          <w:spacing w:val="-7"/>
          <w:sz w:val="21"/>
        </w:rPr>
        <w:t xml:space="preserve"> </w:t>
      </w:r>
      <w:r>
        <w:rPr>
          <w:color w:val="231F20"/>
          <w:sz w:val="21"/>
        </w:rPr>
        <w:t>визначену</w:t>
      </w:r>
      <w:r>
        <w:rPr>
          <w:color w:val="231F20"/>
          <w:spacing w:val="-7"/>
          <w:sz w:val="21"/>
        </w:rPr>
        <w:t xml:space="preserve"> </w:t>
      </w:r>
      <w:r>
        <w:rPr>
          <w:color w:val="231F20"/>
          <w:sz w:val="21"/>
        </w:rPr>
        <w:t>кількість</w:t>
      </w:r>
      <w:r>
        <w:rPr>
          <w:color w:val="231F20"/>
          <w:spacing w:val="-7"/>
          <w:sz w:val="21"/>
        </w:rPr>
        <w:t xml:space="preserve"> </w:t>
      </w:r>
      <w:r>
        <w:rPr>
          <w:color w:val="231F20"/>
          <w:sz w:val="21"/>
        </w:rPr>
        <w:t>заборон</w:t>
      </w:r>
      <w:r>
        <w:rPr>
          <w:color w:val="231F20"/>
          <w:spacing w:val="-7"/>
          <w:sz w:val="21"/>
        </w:rPr>
        <w:t xml:space="preserve"> </w:t>
      </w:r>
      <w:r>
        <w:rPr>
          <w:color w:val="231F20"/>
          <w:sz w:val="21"/>
        </w:rPr>
        <w:t>і</w:t>
      </w:r>
      <w:r>
        <w:rPr>
          <w:color w:val="231F20"/>
          <w:spacing w:val="-7"/>
          <w:sz w:val="21"/>
        </w:rPr>
        <w:t xml:space="preserve"> </w:t>
      </w:r>
      <w:r>
        <w:rPr>
          <w:color w:val="231F20"/>
          <w:sz w:val="21"/>
        </w:rPr>
        <w:t xml:space="preserve">позитивних зобов’язань. Вони різні за </w:t>
      </w:r>
      <w:r>
        <w:rPr>
          <w:color w:val="231F20"/>
          <w:spacing w:val="-3"/>
          <w:sz w:val="21"/>
        </w:rPr>
        <w:t xml:space="preserve">глибиною </w:t>
      </w:r>
      <w:r>
        <w:rPr>
          <w:color w:val="231F20"/>
          <w:sz w:val="21"/>
        </w:rPr>
        <w:t>змін у конституційному статусі громадян, а також за територією, на якій вводиться режим, та за терміном дії</w:t>
      </w:r>
      <w:r>
        <w:rPr>
          <w:color w:val="231F20"/>
          <w:spacing w:val="-1"/>
          <w:sz w:val="21"/>
        </w:rPr>
        <w:t xml:space="preserve"> </w:t>
      </w:r>
      <w:r>
        <w:rPr>
          <w:color w:val="231F20"/>
          <w:spacing w:val="-4"/>
          <w:sz w:val="21"/>
        </w:rPr>
        <w:t>режиму.</w:t>
      </w:r>
    </w:p>
    <w:p w14:paraId="39756067" w14:textId="77777777" w:rsidR="00DE575E" w:rsidRDefault="002E7560">
      <w:pPr>
        <w:pStyle w:val="BodyText"/>
        <w:spacing w:before="2" w:line="252" w:lineRule="auto"/>
        <w:ind w:left="250" w:right="410" w:firstLine="283"/>
        <w:jc w:val="both"/>
      </w:pPr>
      <w:r>
        <w:rPr>
          <w:color w:val="231F20"/>
        </w:rPr>
        <w:t xml:space="preserve">Існують </w:t>
      </w:r>
      <w:r>
        <w:rPr>
          <w:i/>
          <w:color w:val="231F20"/>
        </w:rPr>
        <w:t>дві підстави для введення таких режимів</w:t>
      </w:r>
      <w:r>
        <w:rPr>
          <w:color w:val="231F20"/>
        </w:rPr>
        <w:t>: фактична (явище, що включене у відповідний п</w:t>
      </w:r>
      <w:r>
        <w:rPr>
          <w:color w:val="231F20"/>
        </w:rPr>
        <w:t>ерелік) та юридична (відпо- відний акт державної влади). У разі виникнення фактичних підстав, особливо при складному комплексному характері їх походження, перестають працювати звичайні повсякденні соціальні й правові механізми держави. Для виконання визнач</w:t>
      </w:r>
      <w:r>
        <w:rPr>
          <w:color w:val="231F20"/>
        </w:rPr>
        <w:t>ених завдань влада змінює своє правове забезпечення і вводить надзвичайні режими та організаційне забезпечення: створюється спеціальна система управління,</w:t>
      </w:r>
      <w:r>
        <w:rPr>
          <w:color w:val="231F20"/>
          <w:spacing w:val="21"/>
        </w:rPr>
        <w:t xml:space="preserve"> </w:t>
      </w:r>
      <w:r>
        <w:rPr>
          <w:color w:val="231F20"/>
        </w:rPr>
        <w:t>визначені</w:t>
      </w:r>
      <w:r>
        <w:rPr>
          <w:color w:val="231F20"/>
          <w:spacing w:val="21"/>
        </w:rPr>
        <w:t xml:space="preserve"> </w:t>
      </w:r>
      <w:r>
        <w:rPr>
          <w:color w:val="231F20"/>
        </w:rPr>
        <w:t>органи</w:t>
      </w:r>
      <w:r>
        <w:rPr>
          <w:color w:val="231F20"/>
          <w:spacing w:val="21"/>
        </w:rPr>
        <w:t xml:space="preserve"> </w:t>
      </w:r>
      <w:r>
        <w:rPr>
          <w:color w:val="231F20"/>
        </w:rPr>
        <w:t>державної</w:t>
      </w:r>
      <w:r>
        <w:rPr>
          <w:color w:val="231F20"/>
          <w:spacing w:val="21"/>
        </w:rPr>
        <w:t xml:space="preserve"> </w:t>
      </w:r>
      <w:r>
        <w:rPr>
          <w:color w:val="231F20"/>
        </w:rPr>
        <w:t>виконавчої</w:t>
      </w:r>
      <w:r>
        <w:rPr>
          <w:color w:val="231F20"/>
          <w:spacing w:val="21"/>
        </w:rPr>
        <w:t xml:space="preserve"> </w:t>
      </w:r>
      <w:r>
        <w:rPr>
          <w:color w:val="231F20"/>
        </w:rPr>
        <w:t>влади</w:t>
      </w:r>
      <w:r>
        <w:rPr>
          <w:color w:val="231F20"/>
          <w:spacing w:val="21"/>
        </w:rPr>
        <w:t xml:space="preserve"> </w:t>
      </w:r>
      <w:r>
        <w:rPr>
          <w:color w:val="231F20"/>
        </w:rPr>
        <w:t>наділя-</w:t>
      </w:r>
    </w:p>
    <w:p w14:paraId="67002163" w14:textId="77777777" w:rsidR="00DE575E" w:rsidRDefault="00DE575E">
      <w:pPr>
        <w:pStyle w:val="BodyText"/>
        <w:rPr>
          <w:sz w:val="20"/>
        </w:rPr>
      </w:pPr>
    </w:p>
    <w:p w14:paraId="0B0DC83B" w14:textId="0265C340" w:rsidR="00DE575E" w:rsidRDefault="002E7560">
      <w:pPr>
        <w:pStyle w:val="BodyText"/>
        <w:rPr>
          <w:sz w:val="13"/>
        </w:rPr>
      </w:pPr>
      <w:r>
        <w:rPr>
          <w:noProof/>
        </w:rPr>
        <mc:AlternateContent>
          <mc:Choice Requires="wps">
            <w:drawing>
              <wp:anchor distT="0" distB="0" distL="0" distR="0" simplePos="0" relativeHeight="11056" behindDoc="0" locked="0" layoutInCell="1" allowOverlap="1" wp14:anchorId="3A2A880D" wp14:editId="74D09EB7">
                <wp:simplePos x="0" y="0"/>
                <wp:positionH relativeFrom="page">
                  <wp:posOffset>539750</wp:posOffset>
                </wp:positionH>
                <wp:positionV relativeFrom="paragraph">
                  <wp:posOffset>125095</wp:posOffset>
                </wp:positionV>
                <wp:extent cx="1080135" cy="0"/>
                <wp:effectExtent l="6350" t="10795" r="31115" b="27305"/>
                <wp:wrapTopAndBottom/>
                <wp:docPr id="713"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3C752" id="Line_x0020_712" o:spid="_x0000_s1026" style="position:absolute;z-index:1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5pt" to="127.55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33zi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B5NsZIkQaW&#10;tBOKo3k2Ct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" strokecolor="#231f20" strokeweight=".5pt">
                <w10:wrap type="topAndBottom" anchorx="page"/>
              </v:line>
            </w:pict>
          </mc:Fallback>
        </mc:AlternateContent>
      </w:r>
    </w:p>
    <w:p w14:paraId="2AC73D2D" w14:textId="77777777" w:rsidR="00DE575E" w:rsidRDefault="002E7560">
      <w:pPr>
        <w:spacing w:line="204" w:lineRule="auto"/>
        <w:ind w:left="250" w:right="128"/>
        <w:rPr>
          <w:sz w:val="16"/>
        </w:rPr>
      </w:pPr>
      <w:r>
        <w:rPr>
          <w:color w:val="231F20"/>
          <w:position w:val="5"/>
          <w:sz w:val="9"/>
        </w:rPr>
        <w:t xml:space="preserve">1 </w:t>
      </w:r>
      <w:r>
        <w:rPr>
          <w:color w:val="231F20"/>
          <w:sz w:val="16"/>
        </w:rPr>
        <w:t>Кузніченко С. Надзвичайні адміністративно правові режими: зарубіжний досвід та українська модель: монографія. Сімферополь: Крим. навч. пед. держ. видав., 2009. С. 56-57.</w:t>
      </w:r>
    </w:p>
    <w:p w14:paraId="3882B499" w14:textId="77777777" w:rsidR="00DE575E" w:rsidRDefault="00DE575E">
      <w:pPr>
        <w:pStyle w:val="BodyText"/>
        <w:spacing w:before="1"/>
        <w:rPr>
          <w:sz w:val="12"/>
        </w:rPr>
      </w:pPr>
    </w:p>
    <w:p w14:paraId="095735D7" w14:textId="77777777" w:rsidR="00DE575E" w:rsidRDefault="002E7560">
      <w:pPr>
        <w:spacing w:before="92"/>
        <w:ind w:right="411"/>
        <w:jc w:val="right"/>
        <w:rPr>
          <w:rFonts w:ascii="Times New Roman"/>
          <w:sz w:val="20"/>
        </w:rPr>
      </w:pPr>
      <w:r>
        <w:rPr>
          <w:rFonts w:ascii="Times New Roman"/>
          <w:color w:val="231F20"/>
          <w:w w:val="90"/>
          <w:sz w:val="20"/>
        </w:rPr>
        <w:t>277</w:t>
      </w:r>
    </w:p>
    <w:p w14:paraId="71B92DE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823DF7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34100E5" w14:textId="5EDA283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CB23F6E" wp14:editId="6358C067">
                <wp:extent cx="4140200" cy="6350"/>
                <wp:effectExtent l="0" t="0" r="12700" b="6350"/>
                <wp:docPr id="711"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12" name="Line 7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2F8CE" id="Group_x0020_7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woebF/AgAAmAUAAA4A&#10;AAAAAAAAAAAAAAAALAIAAGRycy9lMm9Eb2MueG1sUEsBAi0AFAAGAAgAAAAhAEynsJDZAAAAAwEA&#10;AA8AAAAAAAAAAAAAAAAA1wQAAGRycy9kb3ducmV2LnhtbFBLBQYAAAAABAAEAPMAAADdBQAAAAA=&#10;">
                <v:line id="Line_x0020_7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gmvMcAAADcAAAADwAAAGRycy9kb3ducmV2LnhtbESP0WrCQBRE3wv9h+UWfJG6UaEtqZsg&#10;giA+aGv6AdfsbRK6ezdmVxP9+m5B6OMwM2eYRT5YIy7U+caxgukkAUFcOt1wpeCrWD+/gfABWaNx&#10;TAqu5CHPHh8WmGrX8yddDqESEcI+RQV1CG0qpS9rsugnriWO3rfrLIYou0rqDvsIt0bOkuRFWmw4&#10;LtTY0qqm8udwtgqK0ziYj/3W9MX+OJfH025+O++UGj0Ny3cQgYbwH763N1rB63QG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iCa8xwAAANwAAAAPAAAAAAAA&#10;AAAAAAAAAKECAABkcnMvZG93bnJldi54bWxQSwUGAAAAAAQABAD5AAAAlQMAAAAA&#10;" strokecolor="#231f20" strokeweight=".5pt"/>
                <w10:anchorlock/>
              </v:group>
            </w:pict>
          </mc:Fallback>
        </mc:AlternateContent>
      </w:r>
    </w:p>
    <w:p w14:paraId="2FCC2629" w14:textId="77777777" w:rsidR="00DE575E" w:rsidRDefault="00DE575E">
      <w:pPr>
        <w:pStyle w:val="BodyText"/>
        <w:spacing w:before="7"/>
        <w:rPr>
          <w:rFonts w:ascii="AdonisC"/>
          <w:i/>
          <w:sz w:val="11"/>
        </w:rPr>
      </w:pPr>
    </w:p>
    <w:p w14:paraId="45E0CBFC" w14:textId="77777777" w:rsidR="00DE575E" w:rsidRDefault="002E7560">
      <w:pPr>
        <w:pStyle w:val="BodyText"/>
        <w:spacing w:before="101" w:line="249" w:lineRule="auto"/>
        <w:ind w:left="533" w:right="127"/>
        <w:jc w:val="both"/>
      </w:pPr>
      <w:r>
        <w:rPr>
          <w:color w:val="231F20"/>
        </w:rPr>
        <w:t>ються надзвичайними повноваженнями, створюються надзвичайні органи управління (комісії, штаби, комендатури). Усе це запрова- джується з метою нормалізації обстановки в найкоротший термін, усунення загрози небезпек</w:t>
      </w:r>
      <w:r>
        <w:rPr>
          <w:color w:val="231F20"/>
        </w:rPr>
        <w:t>и, повернення до повсякденної системи управління, надання допомоги постраждалим, ліквідує та локалізує негативні чинники.</w:t>
      </w:r>
    </w:p>
    <w:p w14:paraId="5BFE5B43" w14:textId="77777777" w:rsidR="00DE575E" w:rsidRDefault="002E7560">
      <w:pPr>
        <w:pStyle w:val="BodyText"/>
        <w:spacing w:line="249" w:lineRule="auto"/>
        <w:ind w:left="533" w:right="127" w:firstLine="283"/>
        <w:jc w:val="right"/>
      </w:pPr>
      <w:r>
        <w:rPr>
          <w:i/>
          <w:color w:val="231F20"/>
        </w:rPr>
        <w:t xml:space="preserve">До складу </w:t>
      </w:r>
      <w:r>
        <w:rPr>
          <w:i/>
          <w:color w:val="231F20"/>
          <w:spacing w:val="-3"/>
        </w:rPr>
        <w:t>екстремальних режимів</w:t>
      </w:r>
      <w:r>
        <w:rPr>
          <w:color w:val="231F20"/>
          <w:spacing w:val="-3"/>
        </w:rPr>
        <w:t xml:space="preserve">, крім надзвичайних, </w:t>
      </w:r>
      <w:r>
        <w:rPr>
          <w:color w:val="231F20"/>
          <w:spacing w:val="-5"/>
        </w:rPr>
        <w:t>входять</w:t>
      </w:r>
      <w:r>
        <w:rPr>
          <w:color w:val="231F20"/>
          <w:spacing w:val="-3"/>
        </w:rPr>
        <w:t xml:space="preserve"> </w:t>
      </w:r>
      <w:r>
        <w:rPr>
          <w:color w:val="231F20"/>
          <w:spacing w:val="-4"/>
        </w:rPr>
        <w:t xml:space="preserve">екстраординарні </w:t>
      </w:r>
      <w:r>
        <w:rPr>
          <w:color w:val="231F20"/>
          <w:spacing w:val="-3"/>
        </w:rPr>
        <w:t xml:space="preserve">режими, передбачені </w:t>
      </w:r>
      <w:r>
        <w:rPr>
          <w:color w:val="231F20"/>
          <w:spacing w:val="-4"/>
        </w:rPr>
        <w:t xml:space="preserve">законодавством </w:t>
      </w:r>
      <w:r>
        <w:rPr>
          <w:color w:val="231F20"/>
          <w:spacing w:val="-5"/>
        </w:rPr>
        <w:t xml:space="preserve">України </w:t>
      </w:r>
      <w:r>
        <w:rPr>
          <w:color w:val="231F20"/>
        </w:rPr>
        <w:t>для</w:t>
      </w:r>
      <w:r>
        <w:rPr>
          <w:color w:val="231F20"/>
          <w:spacing w:val="-3"/>
        </w:rPr>
        <w:t xml:space="preserve"> реагування </w:t>
      </w:r>
      <w:r>
        <w:rPr>
          <w:color w:val="231F20"/>
        </w:rPr>
        <w:t xml:space="preserve">на </w:t>
      </w:r>
      <w:r>
        <w:rPr>
          <w:color w:val="231F20"/>
          <w:spacing w:val="-3"/>
        </w:rPr>
        <w:t xml:space="preserve">надзвичайні ситуації різного </w:t>
      </w:r>
      <w:r>
        <w:rPr>
          <w:color w:val="231F20"/>
          <w:spacing w:val="-4"/>
        </w:rPr>
        <w:t xml:space="preserve">походження. </w:t>
      </w:r>
      <w:r>
        <w:rPr>
          <w:color w:val="231F20"/>
        </w:rPr>
        <w:t xml:space="preserve">Це й </w:t>
      </w:r>
      <w:r>
        <w:rPr>
          <w:color w:val="231F20"/>
          <w:spacing w:val="-3"/>
        </w:rPr>
        <w:t xml:space="preserve">режим проведення антитерористичної операції, режим проведення операції </w:t>
      </w:r>
      <w:r>
        <w:rPr>
          <w:color w:val="231F20"/>
          <w:spacing w:val="-5"/>
        </w:rPr>
        <w:t xml:space="preserve">об’єднаних </w:t>
      </w:r>
      <w:r>
        <w:rPr>
          <w:color w:val="231F20"/>
          <w:spacing w:val="-3"/>
        </w:rPr>
        <w:t>сил, режим надзвичайної ситуації, режим карантину тощо.</w:t>
      </w:r>
    </w:p>
    <w:p w14:paraId="47FFF594" w14:textId="77777777" w:rsidR="00DE575E" w:rsidRDefault="002E7560">
      <w:pPr>
        <w:pStyle w:val="BodyText"/>
        <w:spacing w:line="249" w:lineRule="auto"/>
        <w:ind w:left="533" w:right="127" w:firstLine="283"/>
        <w:jc w:val="both"/>
      </w:pPr>
      <w:r>
        <w:rPr>
          <w:color w:val="231F20"/>
        </w:rPr>
        <w:t>На відміну від надзвичайних режимів, які можуть не вводитися за політ</w:t>
      </w:r>
      <w:r>
        <w:rPr>
          <w:color w:val="231F20"/>
        </w:rPr>
        <w:t>ичними обставинами, екстраординарні режими вводяться завжди та майже не мають політичного забарвлення.</w:t>
      </w:r>
    </w:p>
    <w:p w14:paraId="417CF93F" w14:textId="77777777" w:rsidR="00DE575E" w:rsidRDefault="002E7560">
      <w:pPr>
        <w:pStyle w:val="BodyText"/>
        <w:spacing w:line="249" w:lineRule="auto"/>
        <w:ind w:left="533" w:right="127" w:firstLine="283"/>
        <w:jc w:val="both"/>
      </w:pPr>
      <w:r>
        <w:rPr>
          <w:i/>
          <w:color w:val="231F20"/>
        </w:rPr>
        <w:t xml:space="preserve">За жорсткістю та інтенсивністю правообмежень </w:t>
      </w:r>
      <w:r>
        <w:rPr>
          <w:color w:val="231F20"/>
        </w:rPr>
        <w:t xml:space="preserve">один надзви- чайний режим ніби поглинає інший. </w:t>
      </w:r>
      <w:r>
        <w:rPr>
          <w:color w:val="231F20"/>
          <w:spacing w:val="-4"/>
        </w:rPr>
        <w:t xml:space="preserve">Так, </w:t>
      </w:r>
      <w:r>
        <w:rPr>
          <w:color w:val="231F20"/>
        </w:rPr>
        <w:t>при введенні режиму зони надзвичайної екологічної ситуац</w:t>
      </w:r>
      <w:r>
        <w:rPr>
          <w:color w:val="231F20"/>
        </w:rPr>
        <w:t>ії скасовується режим «надзви- чайної ситуації» на території впливу негативного чинника, тобто режим</w:t>
      </w:r>
      <w:r>
        <w:rPr>
          <w:color w:val="231F20"/>
          <w:spacing w:val="-6"/>
        </w:rPr>
        <w:t xml:space="preserve"> </w:t>
      </w:r>
      <w:r>
        <w:rPr>
          <w:color w:val="231F20"/>
        </w:rPr>
        <w:t>зони</w:t>
      </w:r>
      <w:r>
        <w:rPr>
          <w:color w:val="231F20"/>
          <w:spacing w:val="-6"/>
        </w:rPr>
        <w:t xml:space="preserve"> </w:t>
      </w:r>
      <w:r>
        <w:rPr>
          <w:color w:val="231F20"/>
        </w:rPr>
        <w:t>надзвичайної</w:t>
      </w:r>
      <w:r>
        <w:rPr>
          <w:color w:val="231F20"/>
          <w:spacing w:val="-6"/>
        </w:rPr>
        <w:t xml:space="preserve"> </w:t>
      </w:r>
      <w:r>
        <w:rPr>
          <w:color w:val="231F20"/>
        </w:rPr>
        <w:t>екологічної</w:t>
      </w:r>
      <w:r>
        <w:rPr>
          <w:color w:val="231F20"/>
          <w:spacing w:val="-6"/>
        </w:rPr>
        <w:t xml:space="preserve"> </w:t>
      </w:r>
      <w:r>
        <w:rPr>
          <w:color w:val="231F20"/>
        </w:rPr>
        <w:t>ситуації</w:t>
      </w:r>
      <w:r>
        <w:rPr>
          <w:color w:val="231F20"/>
          <w:spacing w:val="-6"/>
        </w:rPr>
        <w:t xml:space="preserve"> </w:t>
      </w:r>
      <w:r>
        <w:rPr>
          <w:color w:val="231F20"/>
        </w:rPr>
        <w:t>ніби</w:t>
      </w:r>
      <w:r>
        <w:rPr>
          <w:color w:val="231F20"/>
          <w:spacing w:val="-6"/>
        </w:rPr>
        <w:t xml:space="preserve"> </w:t>
      </w:r>
      <w:r>
        <w:rPr>
          <w:color w:val="231F20"/>
        </w:rPr>
        <w:t>поглинає</w:t>
      </w:r>
      <w:r>
        <w:rPr>
          <w:color w:val="231F20"/>
          <w:spacing w:val="-6"/>
        </w:rPr>
        <w:t xml:space="preserve"> </w:t>
      </w:r>
      <w:r>
        <w:rPr>
          <w:color w:val="231F20"/>
        </w:rPr>
        <w:t xml:space="preserve">право- обмеження, які </w:t>
      </w:r>
      <w:r>
        <w:rPr>
          <w:color w:val="231F20"/>
          <w:spacing w:val="-3"/>
        </w:rPr>
        <w:t xml:space="preserve">були </w:t>
      </w:r>
      <w:r>
        <w:rPr>
          <w:color w:val="231F20"/>
        </w:rPr>
        <w:t>до цього закріплені режимом «надзвичайної ситуації», і запроваджує додатков</w:t>
      </w:r>
      <w:r>
        <w:rPr>
          <w:color w:val="231F20"/>
        </w:rPr>
        <w:t xml:space="preserve">і. </w:t>
      </w:r>
      <w:r>
        <w:rPr>
          <w:color w:val="231F20"/>
          <w:spacing w:val="-9"/>
        </w:rPr>
        <w:t xml:space="preserve">Те </w:t>
      </w:r>
      <w:r>
        <w:rPr>
          <w:color w:val="231F20"/>
        </w:rPr>
        <w:t>ж саме відбувається в разі введення режиму надзвичайної ситуації після режиму зони надзви- чайної екологічної ситуації та при введенні режиму воєнного стану після режиму надзвичайної</w:t>
      </w:r>
      <w:r>
        <w:rPr>
          <w:color w:val="231F20"/>
          <w:spacing w:val="-2"/>
        </w:rPr>
        <w:t xml:space="preserve"> </w:t>
      </w:r>
      <w:r>
        <w:rPr>
          <w:color w:val="231F20"/>
        </w:rPr>
        <w:t>ситуації.</w:t>
      </w:r>
    </w:p>
    <w:p w14:paraId="7272AE7D" w14:textId="77777777" w:rsidR="00DE575E" w:rsidRDefault="00DE575E">
      <w:pPr>
        <w:pStyle w:val="BodyText"/>
        <w:rPr>
          <w:sz w:val="24"/>
        </w:rPr>
      </w:pPr>
    </w:p>
    <w:p w14:paraId="349CF1FD" w14:textId="77777777" w:rsidR="00DE575E" w:rsidRDefault="00DE575E">
      <w:pPr>
        <w:pStyle w:val="BodyText"/>
        <w:spacing w:before="8"/>
        <w:rPr>
          <w:sz w:val="18"/>
        </w:rPr>
      </w:pPr>
    </w:p>
    <w:p w14:paraId="03FC4510" w14:textId="77777777" w:rsidR="00DE575E" w:rsidRDefault="002E7560">
      <w:pPr>
        <w:pStyle w:val="Heading4"/>
        <w:spacing w:before="1"/>
        <w:ind w:left="2441"/>
        <w:rPr>
          <w:sz w:val="13"/>
        </w:rPr>
      </w:pPr>
      <w:r>
        <w:rPr>
          <w:color w:val="231F20"/>
        </w:rPr>
        <w:t>7.12. Контроль та нагляд</w:t>
      </w:r>
      <w:r>
        <w:rPr>
          <w:color w:val="231F20"/>
          <w:position w:val="7"/>
          <w:sz w:val="13"/>
        </w:rPr>
        <w:t>1</w:t>
      </w:r>
    </w:p>
    <w:p w14:paraId="7FF23B98" w14:textId="77777777" w:rsidR="00DE575E" w:rsidRDefault="00DE575E">
      <w:pPr>
        <w:pStyle w:val="BodyText"/>
        <w:rPr>
          <w:b/>
          <w:sz w:val="26"/>
        </w:rPr>
      </w:pPr>
    </w:p>
    <w:p w14:paraId="0AE52CAF" w14:textId="77777777" w:rsidR="00DE575E" w:rsidRDefault="002E7560">
      <w:pPr>
        <w:pStyle w:val="Heading5"/>
        <w:numPr>
          <w:ilvl w:val="2"/>
          <w:numId w:val="159"/>
        </w:numPr>
        <w:tabs>
          <w:tab w:val="left" w:pos="1507"/>
        </w:tabs>
        <w:spacing w:before="214"/>
      </w:pPr>
      <w:r>
        <w:rPr>
          <w:color w:val="231F20"/>
        </w:rPr>
        <w:t>Адміністративний (публічний)</w:t>
      </w:r>
      <w:r>
        <w:rPr>
          <w:color w:val="231F20"/>
          <w:spacing w:val="-3"/>
        </w:rPr>
        <w:t xml:space="preserve"> </w:t>
      </w:r>
      <w:r>
        <w:rPr>
          <w:color w:val="231F20"/>
        </w:rPr>
        <w:t>контроль</w:t>
      </w:r>
    </w:p>
    <w:p w14:paraId="14EFEFCC" w14:textId="77777777" w:rsidR="00DE575E" w:rsidRDefault="00DE575E">
      <w:pPr>
        <w:pStyle w:val="BodyText"/>
        <w:spacing w:before="8"/>
        <w:rPr>
          <w:b/>
          <w:sz w:val="22"/>
        </w:rPr>
      </w:pPr>
    </w:p>
    <w:p w14:paraId="53CF1DC1" w14:textId="77777777" w:rsidR="00DE575E" w:rsidRDefault="002E7560">
      <w:pPr>
        <w:pStyle w:val="BodyText"/>
        <w:spacing w:line="249" w:lineRule="auto"/>
        <w:ind w:left="533" w:right="128" w:firstLine="283"/>
        <w:jc w:val="both"/>
      </w:pPr>
      <w:r>
        <w:rPr>
          <w:color w:val="231F20"/>
        </w:rPr>
        <w:t xml:space="preserve">Комплексним самостійним інструментів публічного адміністру- вання є </w:t>
      </w:r>
      <w:r>
        <w:rPr>
          <w:b/>
          <w:color w:val="231F20"/>
        </w:rPr>
        <w:t xml:space="preserve">контроль </w:t>
      </w:r>
      <w:r>
        <w:rPr>
          <w:color w:val="231F20"/>
        </w:rPr>
        <w:t xml:space="preserve">– вид діяльності, що полягає в тому, що суб’єкт публічної адміністрації здійснює перевірку й облік того, як контр- ольований об’єкт виконує покладені на нього завдання </w:t>
      </w:r>
      <w:r>
        <w:rPr>
          <w:color w:val="231F20"/>
        </w:rPr>
        <w:t>та реалізує свої функції</w:t>
      </w:r>
      <w:r>
        <w:rPr>
          <w:color w:val="231F20"/>
          <w:position w:val="7"/>
          <w:sz w:val="12"/>
        </w:rPr>
        <w:t>2</w:t>
      </w:r>
      <w:r>
        <w:rPr>
          <w:color w:val="231F20"/>
        </w:rPr>
        <w:t>.</w:t>
      </w:r>
    </w:p>
    <w:p w14:paraId="4BB55B3D" w14:textId="72CAB569" w:rsidR="00DE575E" w:rsidRDefault="002E7560">
      <w:pPr>
        <w:pStyle w:val="BodyText"/>
        <w:spacing w:before="9"/>
        <w:rPr>
          <w:sz w:val="25"/>
        </w:rPr>
      </w:pPr>
      <w:r>
        <w:rPr>
          <w:noProof/>
        </w:rPr>
        <mc:AlternateContent>
          <mc:Choice Requires="wps">
            <w:drawing>
              <wp:anchor distT="0" distB="0" distL="0" distR="0" simplePos="0" relativeHeight="11104" behindDoc="0" locked="0" layoutInCell="1" allowOverlap="1" wp14:anchorId="5BE01C15" wp14:editId="3F63CD60">
                <wp:simplePos x="0" y="0"/>
                <wp:positionH relativeFrom="page">
                  <wp:posOffset>719455</wp:posOffset>
                </wp:positionH>
                <wp:positionV relativeFrom="paragraph">
                  <wp:posOffset>219710</wp:posOffset>
                </wp:positionV>
                <wp:extent cx="1080135" cy="0"/>
                <wp:effectExtent l="8255" t="16510" r="29210" b="21590"/>
                <wp:wrapTopAndBottom/>
                <wp:docPr id="710"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81B8F" id="Line_x0020_709" o:spid="_x0000_s1026" style="position:absolute;z-index: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3pt" to="141.7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" strokecolor="#231f20" strokeweight=".5pt">
                <w10:wrap type="topAndBottom" anchorx="page"/>
              </v:line>
            </w:pict>
          </mc:Fallback>
        </mc:AlternateContent>
      </w:r>
    </w:p>
    <w:p w14:paraId="077A231B"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Авторка: </w:t>
      </w:r>
      <w:r>
        <w:rPr>
          <w:b/>
          <w:color w:val="231F20"/>
          <w:sz w:val="16"/>
        </w:rPr>
        <w:t>Ольга Правоторова.</w:t>
      </w:r>
    </w:p>
    <w:p w14:paraId="73A18485" w14:textId="77777777" w:rsidR="00DE575E" w:rsidRDefault="002E7560">
      <w:pPr>
        <w:spacing w:before="23" w:line="204" w:lineRule="auto"/>
        <w:ind w:left="533" w:right="128"/>
        <w:rPr>
          <w:sz w:val="16"/>
        </w:rPr>
      </w:pPr>
      <w:r>
        <w:rPr>
          <w:color w:val="231F20"/>
          <w:position w:val="5"/>
          <w:sz w:val="9"/>
        </w:rPr>
        <w:t xml:space="preserve">2 </w:t>
      </w:r>
      <w:r>
        <w:rPr>
          <w:color w:val="231F20"/>
          <w:spacing w:val="-4"/>
          <w:sz w:val="16"/>
        </w:rPr>
        <w:t xml:space="preserve">Гладун </w:t>
      </w:r>
      <w:r>
        <w:rPr>
          <w:color w:val="231F20"/>
          <w:sz w:val="16"/>
        </w:rPr>
        <w:t xml:space="preserve">З. Адміністративне право України : опорні  конспекти  лекцій.  Тернопіль  : Вид-во </w:t>
      </w:r>
      <w:r>
        <w:rPr>
          <w:color w:val="231F20"/>
          <w:spacing w:val="-7"/>
          <w:sz w:val="16"/>
        </w:rPr>
        <w:t xml:space="preserve">ТАНГ, </w:t>
      </w:r>
      <w:r>
        <w:rPr>
          <w:color w:val="231F20"/>
          <w:sz w:val="16"/>
        </w:rPr>
        <w:t>2002. С.</w:t>
      </w:r>
      <w:r>
        <w:rPr>
          <w:color w:val="231F20"/>
          <w:spacing w:val="3"/>
          <w:sz w:val="16"/>
        </w:rPr>
        <w:t xml:space="preserve"> </w:t>
      </w:r>
      <w:r>
        <w:rPr>
          <w:color w:val="231F20"/>
          <w:sz w:val="16"/>
        </w:rPr>
        <w:t>178.</w:t>
      </w:r>
    </w:p>
    <w:p w14:paraId="1665C79F" w14:textId="77777777" w:rsidR="00DE575E" w:rsidRDefault="00DE575E">
      <w:pPr>
        <w:pStyle w:val="BodyText"/>
        <w:spacing w:before="5"/>
        <w:rPr>
          <w:sz w:val="12"/>
        </w:rPr>
      </w:pPr>
    </w:p>
    <w:p w14:paraId="59A7E86A" w14:textId="77777777" w:rsidR="00DE575E" w:rsidRDefault="002E7560">
      <w:pPr>
        <w:spacing w:before="92"/>
        <w:ind w:left="533"/>
        <w:rPr>
          <w:rFonts w:ascii="Times New Roman"/>
          <w:sz w:val="20"/>
        </w:rPr>
      </w:pPr>
      <w:r>
        <w:rPr>
          <w:rFonts w:ascii="Times New Roman"/>
          <w:color w:val="231F20"/>
          <w:sz w:val="20"/>
        </w:rPr>
        <w:t>278</w:t>
      </w:r>
    </w:p>
    <w:p w14:paraId="198C198E" w14:textId="77777777" w:rsidR="00DE575E" w:rsidRDefault="00DE575E">
      <w:pPr>
        <w:rPr>
          <w:rFonts w:ascii="Times New Roman"/>
          <w:sz w:val="20"/>
        </w:rPr>
        <w:sectPr w:rsidR="00DE575E">
          <w:pgSz w:w="8510" w:h="12760"/>
          <w:pgMar w:top="660" w:right="720" w:bottom="280" w:left="600" w:header="720" w:footer="720" w:gutter="0"/>
          <w:cols w:space="720"/>
        </w:sectPr>
      </w:pPr>
    </w:p>
    <w:p w14:paraId="2EBD1768"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7. Інструменти публічного адміністрування</w:t>
      </w:r>
    </w:p>
    <w:p w14:paraId="2737BAD0" w14:textId="5FEDA4F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FA22FD0" wp14:editId="5E96F2CE">
                <wp:extent cx="4140200" cy="6350"/>
                <wp:effectExtent l="0" t="0" r="12700" b="6350"/>
                <wp:docPr id="708"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09" name="Line 70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D43E32" id="Group_x0020_70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9K5ZYX4CAACYBQAADgAA&#10;AAAAAAAAAAAAAAAsAgAAZHJzL2Uyb0RvYy54bWxQSwECLQAUAAYACAAAACEATKewkNkAAAADAQAA&#10;DwAAAAAAAAAAAAAAAADWBAAAZHJzL2Rvd25yZXYueG1sUEsFBgAAAAAEAAQA8wAAANwFAAAAAA==&#10;">
                <v:line id="Line_x0020_70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UiEMcAAADcAAAADwAAAGRycy9kb3ducmV2LnhtbESP3WrCQBSE7wXfYTkFb0rdWKHW1FVE&#10;KEgv/El8gGP2NAndPRuzq0n79N1CwcthZr5hFqveGnGj1teOFUzGCQjiwumaSwWn/P3pFYQPyBqN&#10;Y1LwTR5Wy+Fggal2HR/ploVSRAj7FBVUITSplL6oyKIfu4Y4ep+utRiibEupW+wi3Br5nCQv0mLN&#10;caHChjYVFV/Z1SrIL4/BHPYfpsv356k8X3bTn+tOqdFDv34DEagP9/B/e6sVzJI5/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9SIQxwAAANwAAAAPAAAAAAAA&#10;AAAAAAAAAKECAABkcnMvZG93bnJldi54bWxQSwUGAAAAAAQABAD5AAAAlQMAAAAA&#10;" strokecolor="#231f20" strokeweight=".5pt"/>
                <w10:anchorlock/>
              </v:group>
            </w:pict>
          </mc:Fallback>
        </mc:AlternateContent>
      </w:r>
    </w:p>
    <w:p w14:paraId="200682B9" w14:textId="77777777" w:rsidR="00DE575E" w:rsidRDefault="00DE575E">
      <w:pPr>
        <w:pStyle w:val="BodyText"/>
        <w:spacing w:before="7"/>
        <w:rPr>
          <w:rFonts w:ascii="AdonisC"/>
          <w:i/>
          <w:sz w:val="19"/>
        </w:rPr>
      </w:pPr>
    </w:p>
    <w:p w14:paraId="34D1BFC9" w14:textId="77777777" w:rsidR="00DE575E" w:rsidRDefault="002E7560">
      <w:pPr>
        <w:pStyle w:val="BodyText"/>
        <w:spacing w:before="1" w:line="252" w:lineRule="auto"/>
        <w:ind w:left="250" w:right="411" w:firstLine="283"/>
        <w:jc w:val="both"/>
      </w:pPr>
      <w:r>
        <w:rPr>
          <w:color w:val="231F20"/>
        </w:rPr>
        <w:t xml:space="preserve">Основне </w:t>
      </w:r>
      <w:r>
        <w:rPr>
          <w:b/>
          <w:i/>
          <w:color w:val="231F20"/>
        </w:rPr>
        <w:t xml:space="preserve">призначення контролю </w:t>
      </w:r>
      <w:r>
        <w:rPr>
          <w:color w:val="231F20"/>
        </w:rPr>
        <w:t>полягає у виявленні невід- повідності його об’єкта тим чи іншим правомірним оціночним критеріям для подальшого застосування адекватних заходів реагування</w:t>
      </w:r>
      <w:r>
        <w:rPr>
          <w:color w:val="231F20"/>
          <w:position w:val="7"/>
          <w:sz w:val="12"/>
        </w:rPr>
        <w:t>1</w:t>
      </w:r>
      <w:r>
        <w:rPr>
          <w:color w:val="231F20"/>
        </w:rPr>
        <w:t>.</w:t>
      </w:r>
    </w:p>
    <w:p w14:paraId="6DB74DEB" w14:textId="77777777" w:rsidR="00DE575E" w:rsidRDefault="002E7560">
      <w:pPr>
        <w:spacing w:before="2" w:line="252" w:lineRule="auto"/>
        <w:ind w:left="250" w:right="411" w:firstLine="283"/>
        <w:jc w:val="both"/>
        <w:rPr>
          <w:i/>
          <w:sz w:val="21"/>
        </w:rPr>
      </w:pPr>
      <w:r>
        <w:rPr>
          <w:color w:val="231F20"/>
          <w:sz w:val="21"/>
        </w:rPr>
        <w:t>Відповідно до Закону України від 5 квітня 2007 р. № 877-V «Про основні засади державного нагляду (ко</w:t>
      </w:r>
      <w:r>
        <w:rPr>
          <w:color w:val="231F20"/>
          <w:sz w:val="21"/>
        </w:rPr>
        <w:t xml:space="preserve">нтролю) у сфері господарсь- кої діяльності» </w:t>
      </w:r>
      <w:r>
        <w:rPr>
          <w:i/>
          <w:color w:val="231F20"/>
          <w:sz w:val="21"/>
        </w:rPr>
        <w:t>під державним контролем розуміється діяльність уповноважених законом центральних органів виконавчої влади, їх територіальних органів, органів місцевого самоврядування, інших органів у межах повноважень, передбаче</w:t>
      </w:r>
      <w:r>
        <w:rPr>
          <w:i/>
          <w:color w:val="231F20"/>
          <w:sz w:val="21"/>
        </w:rPr>
        <w:t>них законом, щодо запо- бігання та виявлення порушень вимог законодавства суб’єктами господарювання та забезпечення інтересів суспільства, зокрема якості продукції, робіт і послуг, прийнятного рівня небезпеки для населення, навколишнього природного середов</w:t>
      </w:r>
      <w:r>
        <w:rPr>
          <w:i/>
          <w:color w:val="231F20"/>
          <w:sz w:val="21"/>
        </w:rPr>
        <w:t>ища.</w:t>
      </w:r>
    </w:p>
    <w:p w14:paraId="2C3530A6" w14:textId="77777777" w:rsidR="00DE575E" w:rsidRDefault="002E7560">
      <w:pPr>
        <w:pStyle w:val="BodyText"/>
        <w:spacing w:before="5" w:line="252" w:lineRule="auto"/>
        <w:ind w:left="250" w:right="408" w:firstLine="283"/>
        <w:jc w:val="both"/>
      </w:pPr>
      <w:r>
        <w:rPr>
          <w:b/>
          <w:i/>
          <w:color w:val="231F20"/>
        </w:rPr>
        <w:t xml:space="preserve">Метою контролю </w:t>
      </w:r>
      <w:r>
        <w:rPr>
          <w:color w:val="231F20"/>
        </w:rPr>
        <w:t xml:space="preserve">є встановлення результатів діяльності певних суб’єктів, допущених відхилень від прийнятих вимог, прин- ципів організації, виявлення причин цих відхилень від  прийня-  тих вимог, а також визначення шляхів подолання перешкод </w:t>
      </w:r>
      <w:r>
        <w:rPr>
          <w:color w:val="231F20"/>
          <w:spacing w:val="1"/>
        </w:rPr>
        <w:t xml:space="preserve">для </w:t>
      </w:r>
      <w:r>
        <w:rPr>
          <w:color w:val="231F20"/>
        </w:rPr>
        <w:t>ефективно</w:t>
      </w:r>
      <w:r>
        <w:rPr>
          <w:color w:val="231F20"/>
        </w:rPr>
        <w:t>го функціонування всієї системи. У сучасному розумінні контроль розглядається не тільки як засіб покарання, а й як інфор- маційно-аналітичний</w:t>
      </w:r>
      <w:r>
        <w:rPr>
          <w:color w:val="231F20"/>
          <w:spacing w:val="3"/>
        </w:rPr>
        <w:t xml:space="preserve"> </w:t>
      </w:r>
      <w:r>
        <w:rPr>
          <w:color w:val="231F20"/>
        </w:rPr>
        <w:t>засіб.</w:t>
      </w:r>
    </w:p>
    <w:p w14:paraId="0F9828F3" w14:textId="77777777" w:rsidR="00DE575E" w:rsidRDefault="002E7560">
      <w:pPr>
        <w:pStyle w:val="BodyText"/>
        <w:spacing w:before="3" w:line="252" w:lineRule="auto"/>
        <w:ind w:left="250" w:right="411" w:firstLine="283"/>
        <w:jc w:val="both"/>
      </w:pPr>
      <w:r>
        <w:rPr>
          <w:b/>
          <w:i/>
          <w:color w:val="231F20"/>
        </w:rPr>
        <w:t xml:space="preserve">Сутність публічного контролю </w:t>
      </w:r>
      <w:r>
        <w:rPr>
          <w:color w:val="231F20"/>
        </w:rPr>
        <w:t>полягає у спостереженні за функціонуванням відповідного підконтрольного об’єкта; в одер- жанні об’єктивної та достовірної інформації; у вживанні заходів із запобігання й усунення порушень; у виявленні причин і умов, що сприяють правопорушенню; у вживанні з</w:t>
      </w:r>
      <w:r>
        <w:rPr>
          <w:color w:val="231F20"/>
        </w:rPr>
        <w:t>аходів щодо залучення до відповідальності осіб, винних у порушенні</w:t>
      </w:r>
      <w:r>
        <w:rPr>
          <w:color w:val="231F20"/>
          <w:position w:val="7"/>
          <w:sz w:val="12"/>
        </w:rPr>
        <w:t>2</w:t>
      </w:r>
      <w:r>
        <w:rPr>
          <w:color w:val="231F20"/>
        </w:rPr>
        <w:t>.</w:t>
      </w:r>
    </w:p>
    <w:p w14:paraId="5B67A12E" w14:textId="77777777" w:rsidR="00DE575E" w:rsidRDefault="002E7560">
      <w:pPr>
        <w:spacing w:before="3" w:line="252" w:lineRule="auto"/>
        <w:ind w:left="250" w:right="411" w:firstLine="283"/>
        <w:jc w:val="both"/>
        <w:rPr>
          <w:sz w:val="21"/>
        </w:rPr>
      </w:pPr>
      <w:r>
        <w:rPr>
          <w:b/>
          <w:i/>
          <w:color w:val="231F20"/>
          <w:sz w:val="21"/>
        </w:rPr>
        <w:t xml:space="preserve">Ознаками контролю </w:t>
      </w:r>
      <w:r>
        <w:rPr>
          <w:color w:val="231F20"/>
          <w:sz w:val="21"/>
        </w:rPr>
        <w:t>як інструмента публічного адміністру- вання є таке:</w:t>
      </w:r>
    </w:p>
    <w:p w14:paraId="319F56AD"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мета полягає у здійсненні перевірки суб’єктами публічного адміністрування щодо виконання об’єктами публічного адмін</w:t>
      </w:r>
      <w:r>
        <w:rPr>
          <w:color w:val="231F20"/>
        </w:rPr>
        <w:t>і- стрування визначених законодавством положень адміністративно- правових режимів;</w:t>
      </w:r>
    </w:p>
    <w:p w14:paraId="48CCF314"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органи публічного контролю здійснюють заходи виключно на основі та у випадках, передбачених законами України;</w:t>
      </w:r>
    </w:p>
    <w:p w14:paraId="799623FF" w14:textId="146C5A6C" w:rsidR="00DE575E" w:rsidRDefault="002E7560">
      <w:pPr>
        <w:pStyle w:val="BodyText"/>
        <w:spacing w:before="1"/>
        <w:rPr>
          <w:sz w:val="25"/>
        </w:rPr>
      </w:pPr>
      <w:r>
        <w:rPr>
          <w:noProof/>
        </w:rPr>
        <mc:AlternateContent>
          <mc:Choice Requires="wps">
            <w:drawing>
              <wp:anchor distT="0" distB="0" distL="0" distR="0" simplePos="0" relativeHeight="11152" behindDoc="0" locked="0" layoutInCell="1" allowOverlap="1" wp14:anchorId="48BC43C0" wp14:editId="58D592C4">
                <wp:simplePos x="0" y="0"/>
                <wp:positionH relativeFrom="page">
                  <wp:posOffset>539750</wp:posOffset>
                </wp:positionH>
                <wp:positionV relativeFrom="paragraph">
                  <wp:posOffset>214630</wp:posOffset>
                </wp:positionV>
                <wp:extent cx="1080135" cy="0"/>
                <wp:effectExtent l="6350" t="11430" r="31115" b="26670"/>
                <wp:wrapTopAndBottom/>
                <wp:docPr id="707"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3CE80" id="Line_x0020_706" o:spid="_x0000_s1026" style="position:absolute;z-index:1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9pt" to="127.55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RQ4i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B5OsdIkQaW&#10;tBOKo3k6C9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" strokecolor="#231f20" strokeweight=".5pt">
                <w10:wrap type="topAndBottom" anchorx="page"/>
              </v:line>
            </w:pict>
          </mc:Fallback>
        </mc:AlternateContent>
      </w:r>
    </w:p>
    <w:p w14:paraId="0FEFF6C2" w14:textId="77777777" w:rsidR="00DE575E" w:rsidRDefault="002E7560">
      <w:pPr>
        <w:spacing w:line="204" w:lineRule="auto"/>
        <w:ind w:left="250" w:right="521"/>
        <w:rPr>
          <w:sz w:val="16"/>
        </w:rPr>
      </w:pPr>
      <w:r>
        <w:rPr>
          <w:color w:val="231F20"/>
          <w:position w:val="5"/>
          <w:sz w:val="9"/>
        </w:rPr>
        <w:t xml:space="preserve">1  </w:t>
      </w:r>
      <w:r>
        <w:rPr>
          <w:color w:val="231F20"/>
          <w:sz w:val="16"/>
        </w:rPr>
        <w:t xml:space="preserve">Гаращук В. Контроль та нагляд у державному управлінні : </w:t>
      </w:r>
      <w:r>
        <w:rPr>
          <w:color w:val="231F20"/>
          <w:sz w:val="16"/>
        </w:rPr>
        <w:t>навчальний посібник. Хар- ків : Вид-во Національної юридичної академії України ім. Я. Мудрого, 1999. 53</w:t>
      </w:r>
      <w:r>
        <w:rPr>
          <w:color w:val="231F20"/>
          <w:spacing w:val="-22"/>
          <w:sz w:val="16"/>
        </w:rPr>
        <w:t xml:space="preserve"> </w:t>
      </w:r>
      <w:r>
        <w:rPr>
          <w:color w:val="231F20"/>
          <w:sz w:val="16"/>
        </w:rPr>
        <w:t>с.</w:t>
      </w:r>
    </w:p>
    <w:p w14:paraId="03DA338B" w14:textId="77777777" w:rsidR="00DE575E" w:rsidRDefault="002E7560">
      <w:pPr>
        <w:spacing w:before="26" w:line="204" w:lineRule="auto"/>
        <w:ind w:left="250" w:right="521"/>
        <w:rPr>
          <w:sz w:val="16"/>
        </w:rPr>
      </w:pPr>
      <w:r>
        <w:rPr>
          <w:color w:val="231F20"/>
          <w:position w:val="5"/>
          <w:sz w:val="9"/>
        </w:rPr>
        <w:t xml:space="preserve">2 </w:t>
      </w:r>
      <w:r>
        <w:rPr>
          <w:color w:val="231F20"/>
          <w:sz w:val="16"/>
        </w:rPr>
        <w:t>Адміністративне право України: навчальний посібник / Забарний Г., Калюжний Р., Шкарупа В. Київ. Київ: Вид-во Паливода А.В., 2003. С. 95-96.</w:t>
      </w:r>
    </w:p>
    <w:p w14:paraId="64F7FE69" w14:textId="77777777" w:rsidR="00DE575E" w:rsidRDefault="00DE575E">
      <w:pPr>
        <w:pStyle w:val="BodyText"/>
        <w:spacing w:before="5"/>
        <w:rPr>
          <w:sz w:val="12"/>
        </w:rPr>
      </w:pPr>
    </w:p>
    <w:p w14:paraId="18E7F4B6" w14:textId="77777777" w:rsidR="00DE575E" w:rsidRDefault="002E7560">
      <w:pPr>
        <w:spacing w:before="91"/>
        <w:ind w:right="411"/>
        <w:jc w:val="right"/>
        <w:rPr>
          <w:rFonts w:ascii="Times New Roman"/>
          <w:sz w:val="20"/>
        </w:rPr>
      </w:pPr>
      <w:r>
        <w:rPr>
          <w:rFonts w:ascii="Times New Roman"/>
          <w:color w:val="231F20"/>
          <w:w w:val="90"/>
          <w:sz w:val="20"/>
        </w:rPr>
        <w:t>279</w:t>
      </w:r>
    </w:p>
    <w:p w14:paraId="15A3B98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511D1A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7A4CA6F" w14:textId="70D00EB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98000B3" wp14:editId="437168D8">
                <wp:extent cx="4140200" cy="6350"/>
                <wp:effectExtent l="0" t="0" r="12700" b="6350"/>
                <wp:docPr id="705"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06" name="Line 70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4CE0FE" id="Group_x0020_70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tHBR/AgAAmAUAAA4A&#10;AAAAAAAAAAAAAAAALAIAAGRycy9lMm9Eb2MueG1sUEsBAi0AFAAGAAgAAAAhAEynsJDZAAAAAwEA&#10;AA8AAAAAAAAAAAAAAAAA1wQAAGRycy9kb3ducmV2LnhtbFBLBQYAAAAABAAEAPMAAADdBQAAAAA=&#10;">
                <v:line id="Line_x0020_70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q2YsYAAADcAAAADwAAAGRycy9kb3ducmV2LnhtbESP3WrCQBSE7wXfYTkFb6RuqmBLdBUp&#10;FIoX/qUPcMwek9DdszG7mtin7wqCl8PMfMPMl5014kqNrxwreBslIIhzpysuFPxkX68fIHxA1mgc&#10;k4IbeVgu+r05ptq1vKfrIRQiQtinqKAMoU6l9HlJFv3I1cTRO7nGYoiyKaRusI1wa+Q4SabSYsVx&#10;ocSaPkvKfw8XqyA7D4PZbdemzbbHiTyeN5O/y0apwUu3moEI1IVn+NH+1grekyncz8Qj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FqtmLGAAAA3AAAAA8AAAAAAAAA&#10;AAAAAAAAoQIAAGRycy9kb3ducmV2LnhtbFBLBQYAAAAABAAEAPkAAACUAwAAAAA=&#10;" strokecolor="#231f20" strokeweight=".5pt"/>
                <w10:anchorlock/>
              </v:group>
            </w:pict>
          </mc:Fallback>
        </mc:AlternateContent>
      </w:r>
    </w:p>
    <w:p w14:paraId="67F6EB33" w14:textId="77777777" w:rsidR="00DE575E" w:rsidRDefault="00DE575E">
      <w:pPr>
        <w:pStyle w:val="BodyText"/>
        <w:spacing w:before="7"/>
        <w:rPr>
          <w:rFonts w:ascii="AdonisC"/>
          <w:i/>
          <w:sz w:val="11"/>
        </w:rPr>
      </w:pPr>
    </w:p>
    <w:p w14:paraId="06A9EC6E" w14:textId="77777777" w:rsidR="00DE575E" w:rsidRDefault="002E7560">
      <w:pPr>
        <w:pStyle w:val="ListParagraph"/>
        <w:numPr>
          <w:ilvl w:val="0"/>
          <w:numId w:val="158"/>
        </w:numPr>
        <w:tabs>
          <w:tab w:val="left" w:pos="1101"/>
        </w:tabs>
        <w:spacing w:before="101" w:line="252" w:lineRule="auto"/>
        <w:ind w:right="125" w:firstLine="284"/>
        <w:rPr>
          <w:sz w:val="21"/>
        </w:rPr>
      </w:pPr>
      <w:r>
        <w:rPr>
          <w:color w:val="231F20"/>
          <w:sz w:val="21"/>
        </w:rPr>
        <w:t xml:space="preserve">у  </w:t>
      </w:r>
      <w:r>
        <w:rPr>
          <w:color w:val="231F20"/>
          <w:spacing w:val="-3"/>
          <w:sz w:val="21"/>
        </w:rPr>
        <w:t xml:space="preserve">ході  </w:t>
      </w:r>
      <w:r>
        <w:rPr>
          <w:color w:val="231F20"/>
          <w:sz w:val="21"/>
        </w:rPr>
        <w:t xml:space="preserve">перевірки  публічна  адміністрація  виявляє  недоліки  в адміністративно-правовому регулюванні суспільних відносин, вимагає від </w:t>
      </w:r>
      <w:r>
        <w:rPr>
          <w:color w:val="231F20"/>
          <w:spacing w:val="-4"/>
          <w:sz w:val="21"/>
        </w:rPr>
        <w:t xml:space="preserve">об’єктів </w:t>
      </w:r>
      <w:r>
        <w:rPr>
          <w:color w:val="231F20"/>
          <w:sz w:val="21"/>
        </w:rPr>
        <w:t>публічного управління усунення виявлених порушень, надає їм приписи; вияв</w:t>
      </w:r>
      <w:r>
        <w:rPr>
          <w:color w:val="231F20"/>
          <w:sz w:val="21"/>
        </w:rPr>
        <w:t>ляє осіб та усуває обставини, які можуть негативно вплинути на забезпечення прав і законних інте- ресів фізичних і юридичних</w:t>
      </w:r>
      <w:r>
        <w:rPr>
          <w:color w:val="231F20"/>
          <w:spacing w:val="-5"/>
          <w:sz w:val="21"/>
        </w:rPr>
        <w:t xml:space="preserve"> </w:t>
      </w:r>
      <w:r>
        <w:rPr>
          <w:color w:val="231F20"/>
          <w:sz w:val="21"/>
        </w:rPr>
        <w:t>осіб.</w:t>
      </w:r>
    </w:p>
    <w:p w14:paraId="3FDFF6D3" w14:textId="77777777" w:rsidR="00DE575E" w:rsidRDefault="002E7560">
      <w:pPr>
        <w:pStyle w:val="BodyText"/>
        <w:spacing w:before="3" w:line="252" w:lineRule="auto"/>
        <w:ind w:left="533" w:right="126" w:firstLine="283"/>
        <w:jc w:val="both"/>
      </w:pPr>
      <w:r>
        <w:rPr>
          <w:color w:val="231F20"/>
        </w:rPr>
        <w:t>Найбільш наочно сутність публічного контролю  розкривається в діяльності спеціалізованих державних інспекцій і служб та пред-</w:t>
      </w:r>
      <w:r>
        <w:rPr>
          <w:color w:val="231F20"/>
        </w:rPr>
        <w:t xml:space="preserve"> ставницьких органів місцевого самоврядування, основними завдан- нями яких є здійснення державного контролю і нагляду в певній досить вузькій, але важливій сфері</w:t>
      </w:r>
      <w:r>
        <w:rPr>
          <w:color w:val="231F20"/>
          <w:spacing w:val="-7"/>
        </w:rPr>
        <w:t xml:space="preserve"> </w:t>
      </w:r>
      <w:r>
        <w:rPr>
          <w:color w:val="231F20"/>
        </w:rPr>
        <w:t>діяльності.</w:t>
      </w:r>
    </w:p>
    <w:p w14:paraId="0E0CE5B5" w14:textId="77777777" w:rsidR="00DE575E" w:rsidRDefault="002E7560">
      <w:pPr>
        <w:pStyle w:val="BodyText"/>
        <w:spacing w:before="2" w:line="252" w:lineRule="auto"/>
        <w:ind w:left="533" w:right="127" w:firstLine="283"/>
        <w:jc w:val="both"/>
      </w:pPr>
      <w:r>
        <w:rPr>
          <w:color w:val="231F20"/>
        </w:rPr>
        <w:t xml:space="preserve">Найбільш вагомими з них є інспекції – пожежна, охорони праці, податкова, контролю </w:t>
      </w:r>
      <w:r>
        <w:rPr>
          <w:color w:val="231F20"/>
        </w:rPr>
        <w:t>за цінами, захисту рослин. Серед служб – сані- тарна, митна, контрольно-ревізійна та ін. – органи публічного адмі- ністрування або їх самостійні структурні підрозділи, що мають юрисдикційні повноваження. Будучи органами публічного конт- ролю іншої відомчої</w:t>
      </w:r>
      <w:r>
        <w:rPr>
          <w:color w:val="231F20"/>
        </w:rPr>
        <w:t xml:space="preserve"> належності відносно підконтрольних їм струк- тур, вони здійснюють незалежний контроль.</w:t>
      </w:r>
    </w:p>
    <w:p w14:paraId="1FD4F732" w14:textId="77777777" w:rsidR="00DE575E" w:rsidRDefault="002E7560">
      <w:pPr>
        <w:pStyle w:val="Heading5"/>
        <w:spacing w:before="4" w:line="252" w:lineRule="auto"/>
        <w:ind w:right="127" w:firstLine="283"/>
        <w:jc w:val="both"/>
      </w:pPr>
      <w:r>
        <w:rPr>
          <w:color w:val="231F20"/>
        </w:rPr>
        <w:t>Отже, контроль як інструмент публічного адміністрування – це вид діяльності публічної адміністрації, що полягає в актив- них</w:t>
      </w:r>
      <w:r>
        <w:rPr>
          <w:color w:val="231F20"/>
          <w:spacing w:val="-17"/>
        </w:rPr>
        <w:t xml:space="preserve"> </w:t>
      </w:r>
      <w:r>
        <w:rPr>
          <w:color w:val="231F20"/>
        </w:rPr>
        <w:t>діях</w:t>
      </w:r>
      <w:r>
        <w:rPr>
          <w:color w:val="231F20"/>
          <w:spacing w:val="-17"/>
        </w:rPr>
        <w:t xml:space="preserve"> </w:t>
      </w:r>
      <w:r>
        <w:rPr>
          <w:color w:val="231F20"/>
          <w:spacing w:val="-3"/>
        </w:rPr>
        <w:t>щодо</w:t>
      </w:r>
      <w:r>
        <w:rPr>
          <w:color w:val="231F20"/>
          <w:spacing w:val="-17"/>
        </w:rPr>
        <w:t xml:space="preserve"> </w:t>
      </w:r>
      <w:r>
        <w:rPr>
          <w:color w:val="231F20"/>
        </w:rPr>
        <w:t>перевірки</w:t>
      </w:r>
      <w:r>
        <w:rPr>
          <w:color w:val="231F20"/>
          <w:spacing w:val="-17"/>
        </w:rPr>
        <w:t xml:space="preserve"> </w:t>
      </w:r>
      <w:r>
        <w:rPr>
          <w:color w:val="231F20"/>
        </w:rPr>
        <w:t>й</w:t>
      </w:r>
      <w:r>
        <w:rPr>
          <w:color w:val="231F20"/>
          <w:spacing w:val="-18"/>
        </w:rPr>
        <w:t xml:space="preserve"> </w:t>
      </w:r>
      <w:r>
        <w:rPr>
          <w:color w:val="231F20"/>
        </w:rPr>
        <w:t>обліку</w:t>
      </w:r>
      <w:r>
        <w:rPr>
          <w:color w:val="231F20"/>
          <w:spacing w:val="-17"/>
        </w:rPr>
        <w:t xml:space="preserve"> </w:t>
      </w:r>
      <w:r>
        <w:rPr>
          <w:color w:val="231F20"/>
          <w:spacing w:val="-3"/>
        </w:rPr>
        <w:t>того,</w:t>
      </w:r>
      <w:r>
        <w:rPr>
          <w:color w:val="231F20"/>
          <w:spacing w:val="-17"/>
        </w:rPr>
        <w:t xml:space="preserve"> </w:t>
      </w:r>
      <w:r>
        <w:rPr>
          <w:color w:val="231F20"/>
        </w:rPr>
        <w:t>як</w:t>
      </w:r>
      <w:r>
        <w:rPr>
          <w:color w:val="231F20"/>
          <w:spacing w:val="-17"/>
        </w:rPr>
        <w:t xml:space="preserve"> </w:t>
      </w:r>
      <w:r>
        <w:rPr>
          <w:color w:val="231F20"/>
        </w:rPr>
        <w:t>контр</w:t>
      </w:r>
      <w:r>
        <w:rPr>
          <w:color w:val="231F20"/>
        </w:rPr>
        <w:t>ольований</w:t>
      </w:r>
      <w:r>
        <w:rPr>
          <w:color w:val="231F20"/>
          <w:spacing w:val="-17"/>
        </w:rPr>
        <w:t xml:space="preserve"> </w:t>
      </w:r>
      <w:r>
        <w:rPr>
          <w:color w:val="231F20"/>
          <w:spacing w:val="-4"/>
        </w:rPr>
        <w:t xml:space="preserve">об’єкт </w:t>
      </w:r>
      <w:r>
        <w:rPr>
          <w:color w:val="231F20"/>
        </w:rPr>
        <w:t>публічного управління виконує покладені на нього завдання та реалізує свої функції, визначені нормами адміністративного права.</w:t>
      </w:r>
    </w:p>
    <w:p w14:paraId="481BF39C" w14:textId="77777777" w:rsidR="00DE575E" w:rsidRDefault="00DE575E">
      <w:pPr>
        <w:pStyle w:val="BodyText"/>
        <w:spacing w:before="2"/>
        <w:rPr>
          <w:b/>
          <w:sz w:val="22"/>
        </w:rPr>
      </w:pPr>
    </w:p>
    <w:p w14:paraId="735D7538" w14:textId="77777777" w:rsidR="00DE575E" w:rsidRDefault="002E7560">
      <w:pPr>
        <w:pStyle w:val="ListParagraph"/>
        <w:numPr>
          <w:ilvl w:val="2"/>
          <w:numId w:val="159"/>
        </w:numPr>
        <w:tabs>
          <w:tab w:val="left" w:pos="1507"/>
        </w:tabs>
        <w:rPr>
          <w:b/>
          <w:sz w:val="21"/>
        </w:rPr>
      </w:pPr>
      <w:r>
        <w:rPr>
          <w:b/>
          <w:color w:val="231F20"/>
          <w:sz w:val="21"/>
        </w:rPr>
        <w:t xml:space="preserve">Адміністративний </w:t>
      </w:r>
      <w:r>
        <w:rPr>
          <w:b/>
          <w:color w:val="231F20"/>
          <w:spacing w:val="-4"/>
          <w:sz w:val="21"/>
        </w:rPr>
        <w:t>нагляд</w:t>
      </w:r>
    </w:p>
    <w:p w14:paraId="6366E578" w14:textId="77777777" w:rsidR="00DE575E" w:rsidRDefault="00DE575E">
      <w:pPr>
        <w:pStyle w:val="BodyText"/>
        <w:spacing w:before="2"/>
        <w:rPr>
          <w:b/>
          <w:sz w:val="23"/>
        </w:rPr>
      </w:pPr>
    </w:p>
    <w:p w14:paraId="7D7E1DCF" w14:textId="77777777" w:rsidR="00DE575E" w:rsidRDefault="002E7560">
      <w:pPr>
        <w:pStyle w:val="BodyText"/>
        <w:spacing w:line="252" w:lineRule="auto"/>
        <w:ind w:left="533" w:right="127" w:firstLine="283"/>
        <w:jc w:val="both"/>
      </w:pPr>
      <w:r>
        <w:rPr>
          <w:color w:val="231F20"/>
        </w:rPr>
        <w:t xml:space="preserve">Адміністративний </w:t>
      </w:r>
      <w:r>
        <w:rPr>
          <w:color w:val="231F20"/>
          <w:spacing w:val="-3"/>
        </w:rPr>
        <w:t xml:space="preserve">нагляд </w:t>
      </w:r>
      <w:r>
        <w:rPr>
          <w:color w:val="231F20"/>
        </w:rPr>
        <w:t xml:space="preserve">порівняно з контролем є більш вузь- ким видом публічного адміністрування. Особливість нагляду поля- гає в </w:t>
      </w:r>
      <w:r>
        <w:rPr>
          <w:color w:val="231F20"/>
          <w:spacing w:val="-4"/>
        </w:rPr>
        <w:t xml:space="preserve">тому, </w:t>
      </w:r>
      <w:r>
        <w:rPr>
          <w:color w:val="231F20"/>
        </w:rPr>
        <w:t xml:space="preserve">що він має за мету не тільки попередити правопору- шення, а й застосувати </w:t>
      </w:r>
      <w:r>
        <w:rPr>
          <w:color w:val="231F20"/>
          <w:spacing w:val="-2"/>
        </w:rPr>
        <w:t xml:space="preserve">заходи </w:t>
      </w:r>
      <w:r>
        <w:rPr>
          <w:color w:val="231F20"/>
        </w:rPr>
        <w:t xml:space="preserve">адміністративного </w:t>
      </w:r>
      <w:r>
        <w:rPr>
          <w:color w:val="231F20"/>
          <w:spacing w:val="-3"/>
        </w:rPr>
        <w:t xml:space="preserve">примусу, </w:t>
      </w:r>
      <w:r>
        <w:rPr>
          <w:color w:val="231F20"/>
        </w:rPr>
        <w:t>зокрема адміністративної</w:t>
      </w:r>
      <w:r>
        <w:rPr>
          <w:color w:val="231F20"/>
          <w:spacing w:val="-10"/>
        </w:rPr>
        <w:t xml:space="preserve"> </w:t>
      </w:r>
      <w:r>
        <w:rPr>
          <w:color w:val="231F20"/>
        </w:rPr>
        <w:t>відповідаль</w:t>
      </w:r>
      <w:r>
        <w:rPr>
          <w:color w:val="231F20"/>
        </w:rPr>
        <w:t>ності,</w:t>
      </w:r>
      <w:r>
        <w:rPr>
          <w:color w:val="231F20"/>
          <w:spacing w:val="-10"/>
        </w:rPr>
        <w:t xml:space="preserve"> </w:t>
      </w:r>
      <w:r>
        <w:rPr>
          <w:color w:val="231F20"/>
        </w:rPr>
        <w:t>у</w:t>
      </w:r>
      <w:r>
        <w:rPr>
          <w:color w:val="231F20"/>
          <w:spacing w:val="-9"/>
        </w:rPr>
        <w:t xml:space="preserve"> </w:t>
      </w:r>
      <w:r>
        <w:rPr>
          <w:color w:val="231F20"/>
        </w:rPr>
        <w:t>разі</w:t>
      </w:r>
      <w:r>
        <w:rPr>
          <w:color w:val="231F20"/>
          <w:spacing w:val="-10"/>
        </w:rPr>
        <w:t xml:space="preserve"> </w:t>
      </w:r>
      <w:r>
        <w:rPr>
          <w:color w:val="231F20"/>
        </w:rPr>
        <w:t>виявлення</w:t>
      </w:r>
      <w:r>
        <w:rPr>
          <w:color w:val="231F20"/>
          <w:spacing w:val="-10"/>
        </w:rPr>
        <w:t xml:space="preserve"> </w:t>
      </w:r>
      <w:r>
        <w:rPr>
          <w:color w:val="231F20"/>
        </w:rPr>
        <w:t>порушень</w:t>
      </w:r>
      <w:r>
        <w:rPr>
          <w:color w:val="231F20"/>
          <w:spacing w:val="-10"/>
        </w:rPr>
        <w:t xml:space="preserve"> </w:t>
      </w:r>
      <w:r>
        <w:rPr>
          <w:color w:val="231F20"/>
        </w:rPr>
        <w:t>адмі- ністративно-правових правил у визначеній сфері відповідними інспекціями чи службами.</w:t>
      </w:r>
    </w:p>
    <w:p w14:paraId="6A4A79A5" w14:textId="77777777" w:rsidR="00DE575E" w:rsidRDefault="002E7560">
      <w:pPr>
        <w:pStyle w:val="BodyText"/>
        <w:spacing w:before="3" w:line="252" w:lineRule="auto"/>
        <w:ind w:left="533" w:right="126" w:firstLine="283"/>
        <w:jc w:val="both"/>
      </w:pPr>
      <w:r>
        <w:rPr>
          <w:i/>
          <w:color w:val="231F20"/>
        </w:rPr>
        <w:t xml:space="preserve">Адміністративний нагляд </w:t>
      </w:r>
      <w:r>
        <w:rPr>
          <w:color w:val="231F20"/>
        </w:rPr>
        <w:t>– це особливий вид публічної діяль- ності, здійснюваної спеціальними органами виконавчої влади щодо організа</w:t>
      </w:r>
      <w:r>
        <w:rPr>
          <w:color w:val="231F20"/>
        </w:rPr>
        <w:t>ційно не підпорядкованих підприємств, установ, організа- цій,</w:t>
      </w:r>
      <w:r>
        <w:rPr>
          <w:color w:val="231F20"/>
          <w:spacing w:val="-11"/>
        </w:rPr>
        <w:t xml:space="preserve"> </w:t>
      </w:r>
      <w:r>
        <w:rPr>
          <w:color w:val="231F20"/>
        </w:rPr>
        <w:t>посадових</w:t>
      </w:r>
      <w:r>
        <w:rPr>
          <w:color w:val="231F20"/>
          <w:spacing w:val="-11"/>
        </w:rPr>
        <w:t xml:space="preserve"> </w:t>
      </w:r>
      <w:r>
        <w:rPr>
          <w:color w:val="231F20"/>
        </w:rPr>
        <w:t>осіб</w:t>
      </w:r>
      <w:r>
        <w:rPr>
          <w:color w:val="231F20"/>
          <w:spacing w:val="-11"/>
        </w:rPr>
        <w:t xml:space="preserve"> </w:t>
      </w:r>
      <w:r>
        <w:rPr>
          <w:color w:val="231F20"/>
        </w:rPr>
        <w:t>і</w:t>
      </w:r>
      <w:r>
        <w:rPr>
          <w:color w:val="231F20"/>
          <w:spacing w:val="-12"/>
        </w:rPr>
        <w:t xml:space="preserve"> </w:t>
      </w:r>
      <w:r>
        <w:rPr>
          <w:color w:val="231F20"/>
        </w:rPr>
        <w:t>громадян</w:t>
      </w:r>
      <w:r>
        <w:rPr>
          <w:color w:val="231F20"/>
          <w:spacing w:val="-11"/>
        </w:rPr>
        <w:t xml:space="preserve"> </w:t>
      </w:r>
      <w:r>
        <w:rPr>
          <w:color w:val="231F20"/>
        </w:rPr>
        <w:t>у</w:t>
      </w:r>
      <w:r>
        <w:rPr>
          <w:color w:val="231F20"/>
          <w:spacing w:val="-12"/>
        </w:rPr>
        <w:t xml:space="preserve"> </w:t>
      </w:r>
      <w:r>
        <w:rPr>
          <w:color w:val="231F20"/>
        </w:rPr>
        <w:t>зв’язку</w:t>
      </w:r>
      <w:r>
        <w:rPr>
          <w:color w:val="231F20"/>
          <w:spacing w:val="-11"/>
        </w:rPr>
        <w:t xml:space="preserve"> </w:t>
      </w:r>
      <w:r>
        <w:rPr>
          <w:color w:val="231F20"/>
        </w:rPr>
        <w:t>з</w:t>
      </w:r>
      <w:r>
        <w:rPr>
          <w:color w:val="231F20"/>
          <w:spacing w:val="-11"/>
        </w:rPr>
        <w:t xml:space="preserve"> </w:t>
      </w:r>
      <w:r>
        <w:rPr>
          <w:color w:val="231F20"/>
        </w:rPr>
        <w:t>виконанням</w:t>
      </w:r>
      <w:r>
        <w:rPr>
          <w:color w:val="231F20"/>
          <w:spacing w:val="-11"/>
        </w:rPr>
        <w:t xml:space="preserve"> </w:t>
      </w:r>
      <w:r>
        <w:rPr>
          <w:color w:val="231F20"/>
        </w:rPr>
        <w:t>ними</w:t>
      </w:r>
      <w:r>
        <w:rPr>
          <w:color w:val="231F20"/>
          <w:spacing w:val="-11"/>
        </w:rPr>
        <w:t xml:space="preserve"> </w:t>
      </w:r>
      <w:r>
        <w:rPr>
          <w:color w:val="231F20"/>
        </w:rPr>
        <w:t xml:space="preserve">спеціаль- них міжгалузевих норм, правил, </w:t>
      </w:r>
      <w:r>
        <w:rPr>
          <w:color w:val="231F20"/>
          <w:spacing w:val="-3"/>
        </w:rPr>
        <w:t xml:space="preserve">вимог, </w:t>
      </w:r>
      <w:r>
        <w:rPr>
          <w:color w:val="231F20"/>
        </w:rPr>
        <w:t>з використанням</w:t>
      </w:r>
      <w:r>
        <w:rPr>
          <w:color w:val="231F20"/>
          <w:spacing w:val="3"/>
        </w:rPr>
        <w:t xml:space="preserve"> </w:t>
      </w:r>
      <w:r>
        <w:rPr>
          <w:color w:val="231F20"/>
        </w:rPr>
        <w:t>комплексу</w:t>
      </w:r>
    </w:p>
    <w:p w14:paraId="46299B10" w14:textId="77777777" w:rsidR="00DE575E" w:rsidRDefault="00DE575E">
      <w:pPr>
        <w:pStyle w:val="BodyText"/>
        <w:spacing w:before="8"/>
        <w:rPr>
          <w:sz w:val="12"/>
        </w:rPr>
      </w:pPr>
    </w:p>
    <w:p w14:paraId="452E92C6" w14:textId="77777777" w:rsidR="00DE575E" w:rsidRDefault="002E7560">
      <w:pPr>
        <w:spacing w:before="92"/>
        <w:ind w:left="533"/>
        <w:rPr>
          <w:rFonts w:ascii="Times New Roman"/>
          <w:sz w:val="20"/>
        </w:rPr>
      </w:pPr>
      <w:r>
        <w:rPr>
          <w:rFonts w:ascii="Times New Roman"/>
          <w:color w:val="231F20"/>
          <w:sz w:val="20"/>
        </w:rPr>
        <w:t>280</w:t>
      </w:r>
    </w:p>
    <w:p w14:paraId="26C1873B" w14:textId="77777777" w:rsidR="00DE575E" w:rsidRDefault="00DE575E">
      <w:pPr>
        <w:rPr>
          <w:rFonts w:ascii="Times New Roman"/>
          <w:sz w:val="20"/>
        </w:rPr>
        <w:sectPr w:rsidR="00DE575E">
          <w:pgSz w:w="8510" w:h="12760"/>
          <w:pgMar w:top="660" w:right="720" w:bottom="280" w:left="600" w:header="720" w:footer="720" w:gutter="0"/>
          <w:cols w:space="720"/>
        </w:sectPr>
      </w:pPr>
    </w:p>
    <w:p w14:paraId="696D98FB"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7. Інструменти публічного адміністрування</w:t>
      </w:r>
    </w:p>
    <w:p w14:paraId="2C92B804" w14:textId="2A85A75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9257BBF" wp14:editId="7877E47E">
                <wp:extent cx="4140200" cy="6350"/>
                <wp:effectExtent l="0" t="0" r="12700" b="6350"/>
                <wp:docPr id="703"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04" name="Line 7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46FC08" id="Group_x0020_7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vxmP1/AgAAmAUAAA4A&#10;AAAAAAAAAAAAAAAALAIAAGRycy9lMm9Eb2MueG1sUEsBAi0AFAAGAAgAAAAhAEynsJDZAAAAAwEA&#10;AA8AAAAAAAAAAAAAAAAA1wQAAGRycy9kb3ducmV2LnhtbFBLBQYAAAAABAAEAPMAAADdBQAAAAA=&#10;">
                <v:line id="Line_x0020_7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SNjscAAADcAAAADwAAAGRycy9kb3ducmV2LnhtbESP3WrCQBSE7wXfYTkFb0rdWIuV1FVE&#10;KEgv/El8gGP2NAndPRuzq0n79N1CwcthZr5hFqveGnGj1teOFUzGCQjiwumaSwWn/P1pDsIHZI3G&#10;MSn4Jg+r5XCwwFS7jo90y0IpIoR9igqqEJpUSl9UZNGPXUMcvU/XWgxRtqXULXYRbo18TpKZtFhz&#10;XKiwoU1FxVd2tQryy2Mwh/2H6fL9eSrPl93057pTavTQr99ABOrDPfzf3moFr8kL/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9I2OxwAAANwAAAAPAAAAAAAA&#10;AAAAAAAAAKECAABkcnMvZG93bnJldi54bWxQSwUGAAAAAAQABAD5AAAAlQMAAAAA&#10;" strokecolor="#231f20" strokeweight=".5pt"/>
                <w10:anchorlock/>
              </v:group>
            </w:pict>
          </mc:Fallback>
        </mc:AlternateContent>
      </w:r>
    </w:p>
    <w:p w14:paraId="13AA3B56" w14:textId="77777777" w:rsidR="00DE575E" w:rsidRDefault="00DE575E">
      <w:pPr>
        <w:pStyle w:val="BodyText"/>
        <w:spacing w:before="3"/>
        <w:rPr>
          <w:rFonts w:ascii="AdonisC"/>
          <w:i/>
          <w:sz w:val="12"/>
        </w:rPr>
      </w:pPr>
    </w:p>
    <w:p w14:paraId="04B30978" w14:textId="77777777" w:rsidR="00DE575E" w:rsidRDefault="002E7560">
      <w:pPr>
        <w:pStyle w:val="BodyText"/>
        <w:spacing w:before="100" w:line="252" w:lineRule="auto"/>
        <w:ind w:left="250" w:right="411"/>
        <w:jc w:val="both"/>
      </w:pPr>
      <w:r>
        <w:rPr>
          <w:color w:val="231F20"/>
        </w:rPr>
        <w:t>адміністративних  засобів  впливу  для  попередження,  виявлення   і припинення правопорушень, відновлення встановлених правовід- носин і при</w:t>
      </w:r>
      <w:r>
        <w:rPr>
          <w:color w:val="231F20"/>
        </w:rPr>
        <w:t>тягнення винних до</w:t>
      </w:r>
      <w:r>
        <w:rPr>
          <w:color w:val="231F20"/>
          <w:spacing w:val="-4"/>
        </w:rPr>
        <w:t xml:space="preserve"> </w:t>
      </w:r>
      <w:r>
        <w:rPr>
          <w:color w:val="231F20"/>
        </w:rPr>
        <w:t>відповідальності.</w:t>
      </w:r>
    </w:p>
    <w:p w14:paraId="637EEF0C" w14:textId="77777777" w:rsidR="00DE575E" w:rsidRDefault="002E7560">
      <w:pPr>
        <w:spacing w:before="100" w:line="244" w:lineRule="auto"/>
        <w:ind w:left="533" w:right="411" w:firstLine="283"/>
        <w:jc w:val="both"/>
        <w:rPr>
          <w:i/>
          <w:sz w:val="18"/>
        </w:rPr>
      </w:pPr>
      <w:r>
        <w:rPr>
          <w:i/>
          <w:color w:val="231F20"/>
          <w:sz w:val="18"/>
          <w:u w:val="single" w:color="231F20"/>
        </w:rPr>
        <w:t>Приклад</w:t>
      </w:r>
      <w:r>
        <w:rPr>
          <w:i/>
          <w:color w:val="231F20"/>
          <w:sz w:val="18"/>
        </w:rPr>
        <w:t xml:space="preserve">: адміністративний нагляд за особами, звільненими з місць позбавлення волі, – це система тимчасових примусових профілактичних заходів спостереження і контролю за поведінкою таких осіб, що здійсню- ються органами </w:t>
      </w:r>
      <w:r>
        <w:rPr>
          <w:i/>
          <w:color w:val="231F20"/>
          <w:sz w:val="18"/>
        </w:rPr>
        <w:t>Національної поліції</w:t>
      </w:r>
      <w:r>
        <w:rPr>
          <w:i/>
          <w:color w:val="231F20"/>
          <w:position w:val="6"/>
          <w:sz w:val="10"/>
        </w:rPr>
        <w:t>1</w:t>
      </w:r>
      <w:r>
        <w:rPr>
          <w:i/>
          <w:color w:val="231F20"/>
          <w:sz w:val="18"/>
        </w:rPr>
        <w:t>.</w:t>
      </w:r>
    </w:p>
    <w:p w14:paraId="17A590E1" w14:textId="77777777" w:rsidR="00DE575E" w:rsidRDefault="002E7560">
      <w:pPr>
        <w:pStyle w:val="Heading5"/>
        <w:spacing w:before="131" w:line="252" w:lineRule="auto"/>
        <w:ind w:left="250" w:right="408" w:firstLine="283"/>
        <w:jc w:val="both"/>
      </w:pPr>
      <w:r>
        <w:rPr>
          <w:color w:val="231F20"/>
        </w:rPr>
        <w:t>Отже,</w:t>
      </w:r>
      <w:r>
        <w:rPr>
          <w:color w:val="231F20"/>
          <w:spacing w:val="-18"/>
        </w:rPr>
        <w:t xml:space="preserve"> </w:t>
      </w:r>
      <w:r>
        <w:rPr>
          <w:color w:val="231F20"/>
        </w:rPr>
        <w:t>адміністративний</w:t>
      </w:r>
      <w:r>
        <w:rPr>
          <w:color w:val="231F20"/>
          <w:spacing w:val="-18"/>
        </w:rPr>
        <w:t xml:space="preserve"> </w:t>
      </w:r>
      <w:r>
        <w:rPr>
          <w:color w:val="231F20"/>
          <w:spacing w:val="-4"/>
        </w:rPr>
        <w:t>нагляд</w:t>
      </w:r>
      <w:r>
        <w:rPr>
          <w:color w:val="231F20"/>
          <w:spacing w:val="-17"/>
        </w:rPr>
        <w:t xml:space="preserve"> </w:t>
      </w:r>
      <w:r>
        <w:rPr>
          <w:color w:val="231F20"/>
        </w:rPr>
        <w:t>–</w:t>
      </w:r>
      <w:r>
        <w:rPr>
          <w:color w:val="231F20"/>
          <w:spacing w:val="-18"/>
        </w:rPr>
        <w:t xml:space="preserve"> </w:t>
      </w:r>
      <w:r>
        <w:rPr>
          <w:color w:val="231F20"/>
        </w:rPr>
        <w:t>це</w:t>
      </w:r>
      <w:r>
        <w:rPr>
          <w:color w:val="231F20"/>
          <w:spacing w:val="-18"/>
        </w:rPr>
        <w:t xml:space="preserve"> </w:t>
      </w:r>
      <w:r>
        <w:rPr>
          <w:color w:val="231F20"/>
        </w:rPr>
        <w:t>здійснення</w:t>
      </w:r>
      <w:r>
        <w:rPr>
          <w:color w:val="231F20"/>
          <w:spacing w:val="-18"/>
        </w:rPr>
        <w:t xml:space="preserve"> </w:t>
      </w:r>
      <w:r>
        <w:rPr>
          <w:color w:val="231F20"/>
        </w:rPr>
        <w:t>спеціальними державними  органами  цільового   спостереження   виключно  у сферах значної суспільної небезпеки за дотриманням підпри- ємствами, установами, організаціями та громадянами правил, передбачених нормативно-правовими</w:t>
      </w:r>
      <w:r>
        <w:rPr>
          <w:color w:val="231F20"/>
          <w:spacing w:val="-3"/>
        </w:rPr>
        <w:t xml:space="preserve"> </w:t>
      </w:r>
      <w:r>
        <w:rPr>
          <w:color w:val="231F20"/>
        </w:rPr>
        <w:t>актами.</w:t>
      </w:r>
    </w:p>
    <w:p w14:paraId="45B3C255" w14:textId="77777777" w:rsidR="00DE575E" w:rsidRDefault="00DE575E">
      <w:pPr>
        <w:pStyle w:val="BodyText"/>
        <w:rPr>
          <w:b/>
          <w:sz w:val="24"/>
        </w:rPr>
      </w:pPr>
    </w:p>
    <w:p w14:paraId="1C33125E" w14:textId="77777777" w:rsidR="00DE575E" w:rsidRDefault="00DE575E">
      <w:pPr>
        <w:pStyle w:val="BodyText"/>
        <w:spacing w:before="6"/>
        <w:rPr>
          <w:b/>
          <w:sz w:val="19"/>
        </w:rPr>
      </w:pPr>
    </w:p>
    <w:p w14:paraId="6E5471AB" w14:textId="77777777" w:rsidR="00DE575E" w:rsidRDefault="002E7560">
      <w:pPr>
        <w:ind w:left="1909"/>
        <w:rPr>
          <w:b/>
          <w:sz w:val="13"/>
        </w:rPr>
      </w:pPr>
      <w:r>
        <w:rPr>
          <w:b/>
          <w:color w:val="231F20"/>
        </w:rPr>
        <w:t>7.13. Електронне врядування</w:t>
      </w:r>
      <w:r>
        <w:rPr>
          <w:b/>
          <w:color w:val="231F20"/>
          <w:position w:val="7"/>
          <w:sz w:val="13"/>
        </w:rPr>
        <w:t>2</w:t>
      </w:r>
    </w:p>
    <w:p w14:paraId="38999EF0" w14:textId="77777777" w:rsidR="00DE575E" w:rsidRDefault="00DE575E">
      <w:pPr>
        <w:pStyle w:val="BodyText"/>
        <w:rPr>
          <w:b/>
          <w:sz w:val="26"/>
        </w:rPr>
      </w:pPr>
    </w:p>
    <w:p w14:paraId="787333BA" w14:textId="77777777" w:rsidR="00DE575E" w:rsidRDefault="002E7560">
      <w:pPr>
        <w:spacing w:before="223"/>
        <w:ind w:left="533"/>
        <w:rPr>
          <w:b/>
          <w:sz w:val="21"/>
        </w:rPr>
      </w:pPr>
      <w:r>
        <w:rPr>
          <w:b/>
          <w:color w:val="231F20"/>
          <w:sz w:val="21"/>
        </w:rPr>
        <w:t>7.13.1. Поняття електронного врядування.</w:t>
      </w:r>
    </w:p>
    <w:p w14:paraId="76945EE7" w14:textId="77777777" w:rsidR="00DE575E" w:rsidRDefault="00DE575E">
      <w:pPr>
        <w:pStyle w:val="BodyText"/>
        <w:spacing w:before="2"/>
        <w:rPr>
          <w:b/>
          <w:sz w:val="23"/>
        </w:rPr>
      </w:pPr>
    </w:p>
    <w:p w14:paraId="3509B955" w14:textId="77777777" w:rsidR="00DE575E" w:rsidRDefault="002E7560">
      <w:pPr>
        <w:pStyle w:val="BodyText"/>
        <w:spacing w:line="252" w:lineRule="auto"/>
        <w:ind w:left="250" w:right="409" w:firstLine="283"/>
        <w:jc w:val="both"/>
      </w:pPr>
      <w:r>
        <w:rPr>
          <w:color w:val="231F20"/>
        </w:rPr>
        <w:t xml:space="preserve">Електронне врядування (Е-врядування, e-Governing) є провід- ним публічним інструментом розвитку інформаційного суспільства в  </w:t>
      </w:r>
      <w:r>
        <w:rPr>
          <w:color w:val="231F20"/>
          <w:spacing w:val="-3"/>
        </w:rPr>
        <w:t xml:space="preserve">Україні,   </w:t>
      </w:r>
      <w:r>
        <w:rPr>
          <w:color w:val="231F20"/>
        </w:rPr>
        <w:t>яке  орієнтоване  на  інтереси  людей,  відкрит</w:t>
      </w:r>
      <w:r>
        <w:rPr>
          <w:color w:val="231F20"/>
        </w:rPr>
        <w:t xml:space="preserve">е  для  всіх і спрямоване на формування інноваційної моделі розвитку висо- котехнологічного суспільства, основним предметом виробництва якого є інформація та наукомісткі технології, тобто </w:t>
      </w:r>
      <w:r>
        <w:rPr>
          <w:color w:val="231F20"/>
          <w:spacing w:val="-3"/>
        </w:rPr>
        <w:t xml:space="preserve">результати </w:t>
      </w:r>
      <w:r>
        <w:rPr>
          <w:color w:val="231F20"/>
        </w:rPr>
        <w:t>інтелектуальної праці громадян. Цей термін міжнародно виз</w:t>
      </w:r>
      <w:r>
        <w:rPr>
          <w:color w:val="231F20"/>
        </w:rPr>
        <w:t>наний, широко</w:t>
      </w:r>
      <w:r>
        <w:rPr>
          <w:color w:val="231F20"/>
          <w:spacing w:val="-17"/>
        </w:rPr>
        <w:t xml:space="preserve"> </w:t>
      </w:r>
      <w:r>
        <w:rPr>
          <w:color w:val="231F20"/>
        </w:rPr>
        <w:t>використовується</w:t>
      </w:r>
      <w:r>
        <w:rPr>
          <w:color w:val="231F20"/>
          <w:spacing w:val="-17"/>
        </w:rPr>
        <w:t xml:space="preserve"> </w:t>
      </w:r>
      <w:r>
        <w:rPr>
          <w:color w:val="231F20"/>
        </w:rPr>
        <w:t>і</w:t>
      </w:r>
      <w:r>
        <w:rPr>
          <w:color w:val="231F20"/>
          <w:spacing w:val="-17"/>
        </w:rPr>
        <w:t xml:space="preserve"> </w:t>
      </w:r>
      <w:r>
        <w:rPr>
          <w:color w:val="231F20"/>
        </w:rPr>
        <w:t>в</w:t>
      </w:r>
      <w:r>
        <w:rPr>
          <w:color w:val="231F20"/>
          <w:spacing w:val="-17"/>
        </w:rPr>
        <w:t xml:space="preserve"> </w:t>
      </w:r>
      <w:r>
        <w:rPr>
          <w:color w:val="231F20"/>
          <w:spacing w:val="-3"/>
        </w:rPr>
        <w:t>Україні</w:t>
      </w:r>
      <w:r>
        <w:rPr>
          <w:color w:val="231F20"/>
          <w:spacing w:val="-17"/>
        </w:rPr>
        <w:t xml:space="preserve"> </w:t>
      </w:r>
      <w:r>
        <w:rPr>
          <w:color w:val="231F20"/>
        </w:rPr>
        <w:t>(Рекомендація</w:t>
      </w:r>
      <w:r>
        <w:rPr>
          <w:color w:val="231F20"/>
          <w:spacing w:val="-17"/>
        </w:rPr>
        <w:t xml:space="preserve"> </w:t>
      </w:r>
      <w:r>
        <w:rPr>
          <w:color w:val="231F20"/>
        </w:rPr>
        <w:t>Комітету</w:t>
      </w:r>
      <w:r>
        <w:rPr>
          <w:color w:val="231F20"/>
          <w:spacing w:val="-17"/>
        </w:rPr>
        <w:t xml:space="preserve"> </w:t>
      </w:r>
      <w:r>
        <w:rPr>
          <w:color w:val="231F20"/>
        </w:rPr>
        <w:t>Мініст- рів Ради Європи з питань е-урядування від 15.12.2004 р., Директива Європейського парламенту «Про систему електронних підписів, що застосовуються в межах Співтовариства» від 13.12.199</w:t>
      </w:r>
      <w:r>
        <w:rPr>
          <w:color w:val="231F20"/>
        </w:rPr>
        <w:t>9 р., Окінав- ська</w:t>
      </w:r>
      <w:r>
        <w:rPr>
          <w:color w:val="231F20"/>
          <w:spacing w:val="-13"/>
        </w:rPr>
        <w:t xml:space="preserve"> </w:t>
      </w:r>
      <w:r>
        <w:rPr>
          <w:color w:val="231F20"/>
        </w:rPr>
        <w:t>хартія</w:t>
      </w:r>
      <w:r>
        <w:rPr>
          <w:color w:val="231F20"/>
          <w:spacing w:val="-13"/>
        </w:rPr>
        <w:t xml:space="preserve"> </w:t>
      </w:r>
      <w:r>
        <w:rPr>
          <w:color w:val="231F20"/>
        </w:rPr>
        <w:t>глобального</w:t>
      </w:r>
      <w:r>
        <w:rPr>
          <w:color w:val="231F20"/>
          <w:spacing w:val="-13"/>
        </w:rPr>
        <w:t xml:space="preserve"> </w:t>
      </w:r>
      <w:r>
        <w:rPr>
          <w:color w:val="231F20"/>
        </w:rPr>
        <w:t>інформаційного</w:t>
      </w:r>
      <w:r>
        <w:rPr>
          <w:color w:val="231F20"/>
          <w:spacing w:val="-13"/>
        </w:rPr>
        <w:t xml:space="preserve"> </w:t>
      </w:r>
      <w:r>
        <w:rPr>
          <w:color w:val="231F20"/>
        </w:rPr>
        <w:t>суспільства,</w:t>
      </w:r>
      <w:r>
        <w:rPr>
          <w:color w:val="231F20"/>
          <w:spacing w:val="-13"/>
        </w:rPr>
        <w:t xml:space="preserve"> </w:t>
      </w:r>
      <w:r>
        <w:rPr>
          <w:color w:val="231F20"/>
        </w:rPr>
        <w:t>прийнята</w:t>
      </w:r>
      <w:r>
        <w:rPr>
          <w:color w:val="231F20"/>
          <w:spacing w:val="-13"/>
        </w:rPr>
        <w:t xml:space="preserve"> </w:t>
      </w:r>
      <w:r>
        <w:rPr>
          <w:color w:val="231F20"/>
        </w:rPr>
        <w:t>ліде- рами країн G8 22.07.2000</w:t>
      </w:r>
      <w:r>
        <w:rPr>
          <w:color w:val="231F20"/>
          <w:spacing w:val="-8"/>
        </w:rPr>
        <w:t xml:space="preserve"> </w:t>
      </w:r>
      <w:r>
        <w:rPr>
          <w:color w:val="231F20"/>
        </w:rPr>
        <w:t>р.).</w:t>
      </w:r>
    </w:p>
    <w:p w14:paraId="5117BDA1" w14:textId="77777777" w:rsidR="00DE575E" w:rsidRDefault="002E7560">
      <w:pPr>
        <w:pStyle w:val="BodyText"/>
        <w:spacing w:before="6" w:line="252" w:lineRule="auto"/>
        <w:ind w:left="250" w:right="411" w:firstLine="283"/>
        <w:jc w:val="both"/>
      </w:pPr>
      <w:r>
        <w:rPr>
          <w:color w:val="231F20"/>
        </w:rPr>
        <w:t>Упровадження</w:t>
      </w:r>
      <w:r>
        <w:rPr>
          <w:color w:val="231F20"/>
          <w:spacing w:val="-17"/>
        </w:rPr>
        <w:t xml:space="preserve"> </w:t>
      </w:r>
      <w:r>
        <w:rPr>
          <w:color w:val="231F20"/>
        </w:rPr>
        <w:t>Е-врядування</w:t>
      </w:r>
      <w:r>
        <w:rPr>
          <w:color w:val="231F20"/>
          <w:spacing w:val="-17"/>
        </w:rPr>
        <w:t xml:space="preserve"> </w:t>
      </w:r>
      <w:r>
        <w:rPr>
          <w:color w:val="231F20"/>
        </w:rPr>
        <w:t>в</w:t>
      </w:r>
      <w:r>
        <w:rPr>
          <w:color w:val="231F20"/>
          <w:spacing w:val="-17"/>
        </w:rPr>
        <w:t xml:space="preserve"> </w:t>
      </w:r>
      <w:r>
        <w:rPr>
          <w:color w:val="231F20"/>
        </w:rPr>
        <w:t>сферу</w:t>
      </w:r>
      <w:r>
        <w:rPr>
          <w:color w:val="231F20"/>
          <w:spacing w:val="-17"/>
        </w:rPr>
        <w:t xml:space="preserve"> </w:t>
      </w:r>
      <w:r>
        <w:rPr>
          <w:color w:val="231F20"/>
        </w:rPr>
        <w:t>публічного</w:t>
      </w:r>
      <w:r>
        <w:rPr>
          <w:color w:val="231F20"/>
          <w:spacing w:val="-17"/>
        </w:rPr>
        <w:t xml:space="preserve"> </w:t>
      </w:r>
      <w:r>
        <w:rPr>
          <w:color w:val="231F20"/>
        </w:rPr>
        <w:t>адміністрування передбачає створення якісно нових форм організації діяльності органів</w:t>
      </w:r>
      <w:r>
        <w:rPr>
          <w:color w:val="231F20"/>
          <w:spacing w:val="-11"/>
        </w:rPr>
        <w:t xml:space="preserve"> </w:t>
      </w:r>
      <w:r>
        <w:rPr>
          <w:color w:val="231F20"/>
        </w:rPr>
        <w:t>державної</w:t>
      </w:r>
      <w:r>
        <w:rPr>
          <w:color w:val="231F20"/>
          <w:spacing w:val="-11"/>
        </w:rPr>
        <w:t xml:space="preserve"> </w:t>
      </w:r>
      <w:r>
        <w:rPr>
          <w:color w:val="231F20"/>
        </w:rPr>
        <w:t>влади</w:t>
      </w:r>
      <w:r>
        <w:rPr>
          <w:color w:val="231F20"/>
          <w:spacing w:val="-11"/>
        </w:rPr>
        <w:t xml:space="preserve"> </w:t>
      </w:r>
      <w:r>
        <w:rPr>
          <w:color w:val="231F20"/>
        </w:rPr>
        <w:t>та</w:t>
      </w:r>
      <w:r>
        <w:rPr>
          <w:color w:val="231F20"/>
          <w:spacing w:val="-11"/>
        </w:rPr>
        <w:t xml:space="preserve"> </w:t>
      </w:r>
      <w:r>
        <w:rPr>
          <w:color w:val="231F20"/>
        </w:rPr>
        <w:t>органів</w:t>
      </w:r>
      <w:r>
        <w:rPr>
          <w:color w:val="231F20"/>
          <w:spacing w:val="-11"/>
        </w:rPr>
        <w:t xml:space="preserve"> </w:t>
      </w:r>
      <w:r>
        <w:rPr>
          <w:color w:val="231F20"/>
        </w:rPr>
        <w:t>місцевого</w:t>
      </w:r>
      <w:r>
        <w:rPr>
          <w:color w:val="231F20"/>
          <w:spacing w:val="-11"/>
        </w:rPr>
        <w:t xml:space="preserve"> </w:t>
      </w:r>
      <w:r>
        <w:rPr>
          <w:color w:val="231F20"/>
        </w:rPr>
        <w:t>самоврядування</w:t>
      </w:r>
      <w:r>
        <w:rPr>
          <w:color w:val="231F20"/>
          <w:spacing w:val="-11"/>
        </w:rPr>
        <w:t xml:space="preserve"> </w:t>
      </w:r>
      <w:r>
        <w:rPr>
          <w:color w:val="231F20"/>
        </w:rPr>
        <w:t>через</w:t>
      </w:r>
    </w:p>
    <w:p w14:paraId="16D2BBD5" w14:textId="77777777" w:rsidR="00DE575E" w:rsidRDefault="00DE575E">
      <w:pPr>
        <w:pStyle w:val="BodyText"/>
        <w:rPr>
          <w:sz w:val="20"/>
        </w:rPr>
      </w:pPr>
    </w:p>
    <w:p w14:paraId="2D7C94E6" w14:textId="71942775" w:rsidR="00DE575E" w:rsidRDefault="002E7560">
      <w:pPr>
        <w:pStyle w:val="BodyText"/>
        <w:spacing w:before="4"/>
        <w:rPr>
          <w:sz w:val="14"/>
        </w:rPr>
      </w:pPr>
      <w:r>
        <w:rPr>
          <w:noProof/>
        </w:rPr>
        <mc:AlternateContent>
          <mc:Choice Requires="wps">
            <w:drawing>
              <wp:anchor distT="0" distB="0" distL="0" distR="0" simplePos="0" relativeHeight="11224" behindDoc="0" locked="0" layoutInCell="1" allowOverlap="1" wp14:anchorId="017B5DAF" wp14:editId="68D940B4">
                <wp:simplePos x="0" y="0"/>
                <wp:positionH relativeFrom="page">
                  <wp:posOffset>539750</wp:posOffset>
                </wp:positionH>
                <wp:positionV relativeFrom="paragraph">
                  <wp:posOffset>134620</wp:posOffset>
                </wp:positionV>
                <wp:extent cx="1080135" cy="0"/>
                <wp:effectExtent l="6350" t="7620" r="31115" b="30480"/>
                <wp:wrapTopAndBottom/>
                <wp:docPr id="702"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0D9FA" id="Line_x0020_701" o:spid="_x0000_s1026" style="position:absolute;z-index:11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6pt" to="127.55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" strokecolor="#231f20" strokeweight=".5pt">
                <w10:wrap type="topAndBottom" anchorx="page"/>
              </v:line>
            </w:pict>
          </mc:Fallback>
        </mc:AlternateContent>
      </w:r>
    </w:p>
    <w:p w14:paraId="1F691013" w14:textId="77777777" w:rsidR="00DE575E" w:rsidRDefault="002E7560">
      <w:pPr>
        <w:spacing w:line="204" w:lineRule="auto"/>
        <w:ind w:left="250" w:right="521"/>
        <w:rPr>
          <w:sz w:val="16"/>
        </w:rPr>
      </w:pPr>
      <w:r>
        <w:rPr>
          <w:color w:val="231F20"/>
          <w:position w:val="5"/>
          <w:sz w:val="9"/>
        </w:rPr>
        <w:t xml:space="preserve">1 </w:t>
      </w:r>
      <w:r>
        <w:rPr>
          <w:color w:val="231F20"/>
          <w:sz w:val="16"/>
        </w:rPr>
        <w:t>Про адміністративний нагляд за особами, звільненими з  місць  позбавлення  волі: Закон від 1.12.1994 р №</w:t>
      </w:r>
      <w:r>
        <w:rPr>
          <w:color w:val="231F20"/>
          <w:spacing w:val="-7"/>
          <w:sz w:val="16"/>
        </w:rPr>
        <w:t xml:space="preserve"> </w:t>
      </w:r>
      <w:r>
        <w:rPr>
          <w:color w:val="231F20"/>
          <w:sz w:val="16"/>
        </w:rPr>
        <w:t>264.</w:t>
      </w:r>
    </w:p>
    <w:p w14:paraId="1C9A7E8C" w14:textId="77777777" w:rsidR="00DE575E" w:rsidRDefault="002E7560">
      <w:pPr>
        <w:spacing w:before="3"/>
        <w:ind w:left="250"/>
        <w:rPr>
          <w:b/>
          <w:sz w:val="16"/>
        </w:rPr>
      </w:pPr>
      <w:r>
        <w:rPr>
          <w:color w:val="231F20"/>
          <w:position w:val="5"/>
          <w:sz w:val="9"/>
        </w:rPr>
        <w:t xml:space="preserve">2 </w:t>
      </w:r>
      <w:r>
        <w:rPr>
          <w:color w:val="231F20"/>
          <w:sz w:val="16"/>
        </w:rPr>
        <w:t xml:space="preserve">Авторка: </w:t>
      </w:r>
      <w:r>
        <w:rPr>
          <w:b/>
          <w:color w:val="231F20"/>
          <w:sz w:val="16"/>
        </w:rPr>
        <w:t>Ольга Соловйова.</w:t>
      </w:r>
    </w:p>
    <w:p w14:paraId="6DF58BEF" w14:textId="77777777" w:rsidR="00DE575E" w:rsidRDefault="00DE575E">
      <w:pPr>
        <w:pStyle w:val="BodyText"/>
        <w:spacing w:before="11"/>
        <w:rPr>
          <w:b/>
          <w:sz w:val="11"/>
        </w:rPr>
      </w:pPr>
    </w:p>
    <w:p w14:paraId="0006502E" w14:textId="77777777" w:rsidR="00DE575E" w:rsidRDefault="002E7560">
      <w:pPr>
        <w:spacing w:before="91"/>
        <w:ind w:right="411"/>
        <w:jc w:val="right"/>
        <w:rPr>
          <w:rFonts w:ascii="Times New Roman"/>
          <w:sz w:val="20"/>
        </w:rPr>
      </w:pPr>
      <w:r>
        <w:rPr>
          <w:rFonts w:ascii="Times New Roman"/>
          <w:color w:val="231F20"/>
          <w:w w:val="90"/>
          <w:sz w:val="20"/>
        </w:rPr>
        <w:t>281</w:t>
      </w:r>
    </w:p>
    <w:p w14:paraId="0D3EAE0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8A7410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3765BB1" w14:textId="090A886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4C5BB5E" wp14:editId="4692CE8B">
                <wp:extent cx="4140200" cy="6350"/>
                <wp:effectExtent l="0" t="0" r="12700" b="6350"/>
                <wp:docPr id="700"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01" name="Line 7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60E24" id="Group_x0020_6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2ZWMk34CAACYBQAADgAA&#10;AAAAAAAAAAAAAAAsAgAAZHJzL2Uyb0RvYy54bWxQSwECLQAUAAYACAAAACEATKewkNkAAAADAQAA&#10;DwAAAAAAAAAAAAAAAADWBAAAZHJzL2Rvd25yZXYueG1sUEsFBgAAAAAEAAQA8wAAANwFAAAAAA==&#10;">
                <v:line id="Line_x0020_7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MuFsYAAADcAAAADwAAAGRycy9kb3ducmV2LnhtbESP3WrCQBSE7wu+w3IK3pS6sYKW6Coi&#10;CMUL/+IDHLPHJHT3bMyuJvr03UKhl8PMfMPMFp014k6NrxwrGA4SEMS50xUXCk7Z+v0ThA/IGo1j&#10;UvAgD4t572WGqXYtH+h+DIWIEPYpKihDqFMpfV6SRT9wNXH0Lq6xGKJsCqkbbCPcGvmRJGNpseK4&#10;UGJNq5Ly7+PNKsiub8HsdxvTZrvzSJ6v29HztlWq/9otpyACdeE//Nf+0gomyRB+z8QjIO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6DLhbGAAAA3AAAAA8AAAAAAAAA&#10;AAAAAAAAoQIAAGRycy9kb3ducmV2LnhtbFBLBQYAAAAABAAEAPkAAACUAwAAAAA=&#10;" strokecolor="#231f20" strokeweight=".5pt"/>
                <w10:anchorlock/>
              </v:group>
            </w:pict>
          </mc:Fallback>
        </mc:AlternateContent>
      </w:r>
    </w:p>
    <w:p w14:paraId="6EA854C3" w14:textId="77777777" w:rsidR="00DE575E" w:rsidRDefault="00DE575E">
      <w:pPr>
        <w:pStyle w:val="BodyText"/>
        <w:spacing w:before="7"/>
        <w:rPr>
          <w:rFonts w:ascii="AdonisC"/>
          <w:i/>
          <w:sz w:val="11"/>
        </w:rPr>
      </w:pPr>
    </w:p>
    <w:p w14:paraId="4AC8B746" w14:textId="77777777" w:rsidR="00DE575E" w:rsidRDefault="002E7560">
      <w:pPr>
        <w:pStyle w:val="BodyText"/>
        <w:spacing w:before="101" w:line="252" w:lineRule="auto"/>
        <w:ind w:left="533" w:right="125"/>
        <w:jc w:val="both"/>
      </w:pPr>
      <w:r>
        <w:rPr>
          <w:color w:val="231F20"/>
        </w:rPr>
        <w:t>залучення громадськості до участі в управління державними спра- вами з використанням мережі Інтернет та забезпечення взаємодії   з громадянами через надання доступу до державних інформаційних</w:t>
      </w:r>
      <w:r>
        <w:rPr>
          <w:color w:val="231F20"/>
        </w:rPr>
        <w:t xml:space="preserve"> ресурсів та можливості отримувати електронні публічні послуги, зокрема адміністративні</w:t>
      </w:r>
      <w:r>
        <w:rPr>
          <w:color w:val="231F20"/>
          <w:spacing w:val="-3"/>
        </w:rPr>
        <w:t xml:space="preserve"> </w:t>
      </w:r>
      <w:r>
        <w:rPr>
          <w:color w:val="231F20"/>
        </w:rPr>
        <w:t>послуги.</w:t>
      </w:r>
    </w:p>
    <w:p w14:paraId="112BCAC7" w14:textId="77777777" w:rsidR="00DE575E" w:rsidRDefault="002E7560">
      <w:pPr>
        <w:pStyle w:val="BodyText"/>
        <w:spacing w:before="2" w:line="252" w:lineRule="auto"/>
        <w:ind w:left="533" w:right="128" w:firstLine="283"/>
        <w:jc w:val="both"/>
      </w:pPr>
      <w:r>
        <w:rPr>
          <w:color w:val="231F20"/>
        </w:rPr>
        <w:t>Метою  такої   форми   організації   публічного   адміністрування є досягнення відкритості та прозорості діяльності органів публіч- ної влади, стандартів якост</w:t>
      </w:r>
      <w:r>
        <w:rPr>
          <w:color w:val="231F20"/>
        </w:rPr>
        <w:t xml:space="preserve">і і доступності </w:t>
      </w:r>
      <w:r>
        <w:rPr>
          <w:color w:val="231F20"/>
          <w:spacing w:val="-3"/>
        </w:rPr>
        <w:t xml:space="preserve">послуг, </w:t>
      </w:r>
      <w:r>
        <w:rPr>
          <w:color w:val="231F20"/>
        </w:rPr>
        <w:t>залучення грома- дян та бізнесу до участі в публічному адмініструванні за допомогою інформаційно-телекомунікаційних</w:t>
      </w:r>
      <w:r>
        <w:rPr>
          <w:color w:val="231F20"/>
          <w:spacing w:val="-1"/>
        </w:rPr>
        <w:t xml:space="preserve"> </w:t>
      </w:r>
      <w:r>
        <w:rPr>
          <w:color w:val="231F20"/>
        </w:rPr>
        <w:t>технологій.</w:t>
      </w:r>
    </w:p>
    <w:p w14:paraId="580EFFAB" w14:textId="77777777" w:rsidR="00DE575E" w:rsidRDefault="002E7560">
      <w:pPr>
        <w:pStyle w:val="BodyText"/>
        <w:spacing w:before="3" w:line="252" w:lineRule="auto"/>
        <w:ind w:left="533" w:right="127" w:firstLine="283"/>
        <w:jc w:val="both"/>
      </w:pPr>
      <w:r>
        <w:rPr>
          <w:color w:val="231F20"/>
        </w:rPr>
        <w:t>Згідно</w:t>
      </w:r>
      <w:r>
        <w:rPr>
          <w:color w:val="231F20"/>
          <w:spacing w:val="-22"/>
        </w:rPr>
        <w:t xml:space="preserve"> </w:t>
      </w:r>
      <w:r>
        <w:rPr>
          <w:color w:val="231F20"/>
        </w:rPr>
        <w:t>з</w:t>
      </w:r>
      <w:r>
        <w:rPr>
          <w:color w:val="231F20"/>
          <w:spacing w:val="-22"/>
        </w:rPr>
        <w:t xml:space="preserve"> </w:t>
      </w:r>
      <w:r>
        <w:rPr>
          <w:color w:val="231F20"/>
        </w:rPr>
        <w:t>Концепцією</w:t>
      </w:r>
      <w:r>
        <w:rPr>
          <w:color w:val="231F20"/>
          <w:spacing w:val="-22"/>
        </w:rPr>
        <w:t xml:space="preserve"> </w:t>
      </w:r>
      <w:r>
        <w:rPr>
          <w:color w:val="231F20"/>
        </w:rPr>
        <w:t>розвитку</w:t>
      </w:r>
      <w:r>
        <w:rPr>
          <w:color w:val="231F20"/>
          <w:spacing w:val="-22"/>
        </w:rPr>
        <w:t xml:space="preserve"> </w:t>
      </w:r>
      <w:r>
        <w:rPr>
          <w:color w:val="231F20"/>
        </w:rPr>
        <w:t>електронного</w:t>
      </w:r>
      <w:r>
        <w:rPr>
          <w:color w:val="231F20"/>
          <w:spacing w:val="-22"/>
        </w:rPr>
        <w:t xml:space="preserve"> </w:t>
      </w:r>
      <w:r>
        <w:rPr>
          <w:color w:val="231F20"/>
        </w:rPr>
        <w:t>урядування</w:t>
      </w:r>
      <w:r>
        <w:rPr>
          <w:color w:val="231F20"/>
          <w:spacing w:val="-22"/>
        </w:rPr>
        <w:t xml:space="preserve"> </w:t>
      </w:r>
      <w:r>
        <w:rPr>
          <w:color w:val="231F20"/>
        </w:rPr>
        <w:t>в</w:t>
      </w:r>
      <w:r>
        <w:rPr>
          <w:color w:val="231F20"/>
          <w:spacing w:val="-23"/>
        </w:rPr>
        <w:t xml:space="preserve"> </w:t>
      </w:r>
      <w:r>
        <w:rPr>
          <w:color w:val="231F20"/>
          <w:spacing w:val="-3"/>
        </w:rPr>
        <w:t xml:space="preserve">Україні, </w:t>
      </w:r>
      <w:r>
        <w:rPr>
          <w:color w:val="231F20"/>
        </w:rPr>
        <w:t>затвердженою</w:t>
      </w:r>
      <w:r>
        <w:rPr>
          <w:color w:val="231F20"/>
          <w:spacing w:val="-6"/>
        </w:rPr>
        <w:t xml:space="preserve"> </w:t>
      </w:r>
      <w:r>
        <w:rPr>
          <w:color w:val="231F20"/>
        </w:rPr>
        <w:t>Розпорядженням</w:t>
      </w:r>
      <w:r>
        <w:rPr>
          <w:color w:val="231F20"/>
          <w:spacing w:val="-6"/>
        </w:rPr>
        <w:t xml:space="preserve"> </w:t>
      </w:r>
      <w:r>
        <w:rPr>
          <w:color w:val="231F20"/>
        </w:rPr>
        <w:t>Кабінету</w:t>
      </w:r>
      <w:r>
        <w:rPr>
          <w:color w:val="231F20"/>
          <w:spacing w:val="-6"/>
        </w:rPr>
        <w:t xml:space="preserve"> </w:t>
      </w:r>
      <w:r>
        <w:rPr>
          <w:color w:val="231F20"/>
        </w:rPr>
        <w:t>Мін</w:t>
      </w:r>
      <w:r>
        <w:rPr>
          <w:color w:val="231F20"/>
        </w:rPr>
        <w:t>істрів</w:t>
      </w:r>
      <w:r>
        <w:rPr>
          <w:color w:val="231F20"/>
          <w:spacing w:val="-6"/>
        </w:rPr>
        <w:t xml:space="preserve"> </w:t>
      </w:r>
      <w:r>
        <w:rPr>
          <w:color w:val="231F20"/>
        </w:rPr>
        <w:t>від</w:t>
      </w:r>
      <w:r>
        <w:rPr>
          <w:color w:val="231F20"/>
          <w:spacing w:val="-6"/>
        </w:rPr>
        <w:t xml:space="preserve"> </w:t>
      </w:r>
      <w:r>
        <w:rPr>
          <w:color w:val="231F20"/>
        </w:rPr>
        <w:t>20.09.2017</w:t>
      </w:r>
      <w:r>
        <w:rPr>
          <w:color w:val="231F20"/>
          <w:spacing w:val="-9"/>
        </w:rPr>
        <w:t xml:space="preserve"> </w:t>
      </w:r>
      <w:r>
        <w:rPr>
          <w:color w:val="231F20"/>
        </w:rPr>
        <w:t>р.</w:t>
      </w:r>
    </w:p>
    <w:p w14:paraId="527338FC" w14:textId="77777777" w:rsidR="00DE575E" w:rsidRDefault="002E7560">
      <w:pPr>
        <w:pStyle w:val="BodyText"/>
        <w:spacing w:before="1" w:line="252" w:lineRule="auto"/>
        <w:ind w:left="533" w:right="128"/>
        <w:jc w:val="both"/>
      </w:pPr>
      <w:r>
        <w:rPr>
          <w:color w:val="231F20"/>
        </w:rPr>
        <w:t xml:space="preserve">№ 649-р. </w:t>
      </w:r>
      <w:r>
        <w:rPr>
          <w:b/>
          <w:color w:val="231F20"/>
        </w:rPr>
        <w:t xml:space="preserve">електронне урядування </w:t>
      </w:r>
      <w:r>
        <w:rPr>
          <w:color w:val="231F20"/>
        </w:rPr>
        <w:t>визначається як форма орга- нізації державного управління, що сприяє підвищенню ефектив- ності, відкритості та прозорості діяльності органів державної влади й органів місцевого самоврядування з викори</w:t>
      </w:r>
      <w:r>
        <w:rPr>
          <w:color w:val="231F20"/>
        </w:rPr>
        <w:t>станням інформа- ційно-телекомунікаційних технологій для формування нового типу держави, орієнтованої на задоволення потреб громадян.</w:t>
      </w:r>
    </w:p>
    <w:p w14:paraId="295DEAAC" w14:textId="77777777" w:rsidR="00DE575E" w:rsidRDefault="002E7560">
      <w:pPr>
        <w:pStyle w:val="BodyText"/>
        <w:spacing w:before="3" w:line="252" w:lineRule="auto"/>
        <w:ind w:left="533" w:right="125" w:firstLine="283"/>
        <w:jc w:val="both"/>
      </w:pPr>
      <w:r>
        <w:rPr>
          <w:color w:val="231F20"/>
        </w:rPr>
        <w:t xml:space="preserve">За роки незалежності в </w:t>
      </w:r>
      <w:r>
        <w:rPr>
          <w:color w:val="231F20"/>
          <w:spacing w:val="-3"/>
        </w:rPr>
        <w:t xml:space="preserve">Україні </w:t>
      </w:r>
      <w:r>
        <w:rPr>
          <w:color w:val="231F20"/>
        </w:rPr>
        <w:t>вдалося сформувати розгалужену правову базу у сфері використання інформаційно-телекомунікац</w:t>
      </w:r>
      <w:r>
        <w:rPr>
          <w:color w:val="231F20"/>
        </w:rPr>
        <w:t>ій- них</w:t>
      </w:r>
      <w:r>
        <w:rPr>
          <w:color w:val="231F20"/>
          <w:spacing w:val="-17"/>
        </w:rPr>
        <w:t xml:space="preserve"> </w:t>
      </w:r>
      <w:r>
        <w:rPr>
          <w:color w:val="231F20"/>
        </w:rPr>
        <w:t>технологій</w:t>
      </w:r>
      <w:r>
        <w:rPr>
          <w:color w:val="231F20"/>
          <w:spacing w:val="-17"/>
        </w:rPr>
        <w:t xml:space="preserve"> </w:t>
      </w:r>
      <w:r>
        <w:rPr>
          <w:color w:val="231F20"/>
        </w:rPr>
        <w:t>в</w:t>
      </w:r>
      <w:r>
        <w:rPr>
          <w:color w:val="231F20"/>
          <w:spacing w:val="-16"/>
        </w:rPr>
        <w:t xml:space="preserve"> </w:t>
      </w:r>
      <w:r>
        <w:rPr>
          <w:color w:val="231F20"/>
        </w:rPr>
        <w:t>публічному</w:t>
      </w:r>
      <w:r>
        <w:rPr>
          <w:color w:val="231F20"/>
          <w:spacing w:val="-17"/>
        </w:rPr>
        <w:t xml:space="preserve"> </w:t>
      </w:r>
      <w:r>
        <w:rPr>
          <w:color w:val="231F20"/>
        </w:rPr>
        <w:t>адмініструванні.</w:t>
      </w:r>
      <w:r>
        <w:rPr>
          <w:color w:val="231F20"/>
          <w:spacing w:val="-17"/>
        </w:rPr>
        <w:t xml:space="preserve"> </w:t>
      </w:r>
      <w:r>
        <w:rPr>
          <w:color w:val="231F20"/>
        </w:rPr>
        <w:t>До</w:t>
      </w:r>
      <w:r>
        <w:rPr>
          <w:color w:val="231F20"/>
          <w:spacing w:val="-17"/>
        </w:rPr>
        <w:t xml:space="preserve"> </w:t>
      </w:r>
      <w:r>
        <w:rPr>
          <w:color w:val="231F20"/>
        </w:rPr>
        <w:t xml:space="preserve">нормативно-право- вих актів, що визначають загальні засади е-урядування, належать закони </w:t>
      </w:r>
      <w:r>
        <w:rPr>
          <w:color w:val="231F20"/>
          <w:spacing w:val="-3"/>
        </w:rPr>
        <w:t xml:space="preserve">України </w:t>
      </w:r>
      <w:r>
        <w:rPr>
          <w:color w:val="231F20"/>
        </w:rPr>
        <w:t>«Про інформацію» від 02.10.1992 р., «Про звернення громадян»</w:t>
      </w:r>
      <w:r>
        <w:rPr>
          <w:color w:val="231F20"/>
          <w:spacing w:val="-16"/>
        </w:rPr>
        <w:t xml:space="preserve"> </w:t>
      </w:r>
      <w:r>
        <w:rPr>
          <w:color w:val="231F20"/>
        </w:rPr>
        <w:t>від</w:t>
      </w:r>
      <w:r>
        <w:rPr>
          <w:color w:val="231F20"/>
          <w:spacing w:val="-16"/>
        </w:rPr>
        <w:t xml:space="preserve"> </w:t>
      </w:r>
      <w:r>
        <w:rPr>
          <w:color w:val="231F20"/>
        </w:rPr>
        <w:t>05.10.1996</w:t>
      </w:r>
      <w:r>
        <w:rPr>
          <w:color w:val="231F20"/>
          <w:spacing w:val="-6"/>
        </w:rPr>
        <w:t xml:space="preserve"> </w:t>
      </w:r>
      <w:r>
        <w:rPr>
          <w:color w:val="231F20"/>
        </w:rPr>
        <w:t>р.,</w:t>
      </w:r>
      <w:r>
        <w:rPr>
          <w:color w:val="231F20"/>
          <w:spacing w:val="-16"/>
        </w:rPr>
        <w:t xml:space="preserve"> </w:t>
      </w:r>
      <w:r>
        <w:rPr>
          <w:color w:val="231F20"/>
        </w:rPr>
        <w:t>«Про</w:t>
      </w:r>
      <w:r>
        <w:rPr>
          <w:color w:val="231F20"/>
          <w:spacing w:val="-16"/>
        </w:rPr>
        <w:t xml:space="preserve"> </w:t>
      </w:r>
      <w:r>
        <w:rPr>
          <w:color w:val="231F20"/>
        </w:rPr>
        <w:t>доступ</w:t>
      </w:r>
      <w:r>
        <w:rPr>
          <w:color w:val="231F20"/>
          <w:spacing w:val="-16"/>
        </w:rPr>
        <w:t xml:space="preserve"> </w:t>
      </w:r>
      <w:r>
        <w:rPr>
          <w:color w:val="231F20"/>
        </w:rPr>
        <w:t>до</w:t>
      </w:r>
      <w:r>
        <w:rPr>
          <w:color w:val="231F20"/>
          <w:spacing w:val="-16"/>
        </w:rPr>
        <w:t xml:space="preserve"> </w:t>
      </w:r>
      <w:r>
        <w:rPr>
          <w:color w:val="231F20"/>
        </w:rPr>
        <w:t>публічної</w:t>
      </w:r>
      <w:r>
        <w:rPr>
          <w:color w:val="231F20"/>
          <w:spacing w:val="-16"/>
        </w:rPr>
        <w:t xml:space="preserve"> </w:t>
      </w:r>
      <w:r>
        <w:rPr>
          <w:color w:val="231F20"/>
        </w:rPr>
        <w:t>інформації»</w:t>
      </w:r>
      <w:r>
        <w:rPr>
          <w:color w:val="231F20"/>
          <w:spacing w:val="-16"/>
        </w:rPr>
        <w:t xml:space="preserve"> </w:t>
      </w:r>
      <w:r>
        <w:rPr>
          <w:color w:val="231F20"/>
        </w:rPr>
        <w:t xml:space="preserve">від 13.01.2011 р., «Про захист персональних даних» від 01.06.2010 р. До актів спеціального характеру можна віднести закони </w:t>
      </w:r>
      <w:r>
        <w:rPr>
          <w:color w:val="231F20"/>
          <w:spacing w:val="-3"/>
        </w:rPr>
        <w:t xml:space="preserve">України </w:t>
      </w:r>
      <w:r>
        <w:rPr>
          <w:color w:val="231F20"/>
        </w:rPr>
        <w:t>«Про Концепцію</w:t>
      </w:r>
      <w:r>
        <w:rPr>
          <w:color w:val="231F20"/>
          <w:spacing w:val="-14"/>
        </w:rPr>
        <w:t xml:space="preserve"> </w:t>
      </w:r>
      <w:r>
        <w:rPr>
          <w:color w:val="231F20"/>
        </w:rPr>
        <w:t>національної</w:t>
      </w:r>
      <w:r>
        <w:rPr>
          <w:color w:val="231F20"/>
          <w:spacing w:val="-14"/>
        </w:rPr>
        <w:t xml:space="preserve"> </w:t>
      </w:r>
      <w:r>
        <w:rPr>
          <w:color w:val="231F20"/>
        </w:rPr>
        <w:t>програми</w:t>
      </w:r>
      <w:r>
        <w:rPr>
          <w:color w:val="231F20"/>
          <w:spacing w:val="-14"/>
        </w:rPr>
        <w:t xml:space="preserve"> </w:t>
      </w:r>
      <w:r>
        <w:rPr>
          <w:color w:val="231F20"/>
        </w:rPr>
        <w:t>інформатизації»</w:t>
      </w:r>
      <w:r>
        <w:rPr>
          <w:color w:val="231F20"/>
          <w:spacing w:val="-14"/>
        </w:rPr>
        <w:t xml:space="preserve"> </w:t>
      </w:r>
      <w:r>
        <w:rPr>
          <w:color w:val="231F20"/>
        </w:rPr>
        <w:t>від</w:t>
      </w:r>
      <w:r>
        <w:rPr>
          <w:color w:val="231F20"/>
          <w:spacing w:val="-14"/>
        </w:rPr>
        <w:t xml:space="preserve"> </w:t>
      </w:r>
      <w:r>
        <w:rPr>
          <w:color w:val="231F20"/>
        </w:rPr>
        <w:t>05.04.1994</w:t>
      </w:r>
      <w:r>
        <w:rPr>
          <w:color w:val="231F20"/>
          <w:spacing w:val="-8"/>
        </w:rPr>
        <w:t xml:space="preserve"> </w:t>
      </w:r>
      <w:r>
        <w:rPr>
          <w:color w:val="231F20"/>
        </w:rPr>
        <w:t>р.,</w:t>
      </w:r>
    </w:p>
    <w:p w14:paraId="13009B22" w14:textId="77777777" w:rsidR="00DE575E" w:rsidRDefault="002E7560">
      <w:pPr>
        <w:pStyle w:val="BodyText"/>
        <w:spacing w:before="4" w:line="252" w:lineRule="auto"/>
        <w:ind w:left="533" w:right="125"/>
        <w:jc w:val="both"/>
      </w:pPr>
      <w:r>
        <w:rPr>
          <w:color w:val="231F20"/>
        </w:rPr>
        <w:t>«Про захист інформації в інформаційно-тел</w:t>
      </w:r>
      <w:r>
        <w:rPr>
          <w:color w:val="231F20"/>
        </w:rPr>
        <w:t>екомунікаційних систе- мах» від 05.04.1994 р., «Про електронні документи та електронний документообіг» від 22.05.2003 р., «Про електронні довірчі послуги» від 05.10.2017 р.</w:t>
      </w:r>
    </w:p>
    <w:p w14:paraId="194C283E" w14:textId="77777777" w:rsidR="00DE575E" w:rsidRDefault="002E7560">
      <w:pPr>
        <w:pStyle w:val="BodyText"/>
        <w:spacing w:before="2" w:line="252" w:lineRule="auto"/>
        <w:ind w:left="533" w:right="128" w:firstLine="283"/>
        <w:jc w:val="both"/>
      </w:pPr>
      <w:r>
        <w:rPr>
          <w:color w:val="231F20"/>
        </w:rPr>
        <w:t>На виконання положень зазначених законів і запровадження механізмів е-урядування сп</w:t>
      </w:r>
      <w:r>
        <w:rPr>
          <w:color w:val="231F20"/>
        </w:rPr>
        <w:t>рямовано окремі акти Уряду України. Серед них слід виділити такі постанови та розпорядження Кабі- нету Міністрів України, як «Про заходи щодо створення електро- нної інформаційної системи “Електронний Уряд”» від 24.02.2003 р.,</w:t>
      </w:r>
    </w:p>
    <w:p w14:paraId="19B0918A" w14:textId="77777777" w:rsidR="00DE575E" w:rsidRDefault="002E7560">
      <w:pPr>
        <w:pStyle w:val="BodyText"/>
        <w:spacing w:before="2" w:line="252" w:lineRule="auto"/>
        <w:ind w:left="533" w:right="127"/>
        <w:jc w:val="both"/>
      </w:pPr>
      <w:r>
        <w:rPr>
          <w:color w:val="231F20"/>
        </w:rPr>
        <w:t>«Про затвердження Порядку ведення Єдиного державного порталу адміністративних послуг» від 03.01.2013 р. № 13, «Про схвалення Концепції  створення  та  функціонування  інформаційної  системи</w:t>
      </w:r>
    </w:p>
    <w:p w14:paraId="25CC2BC2" w14:textId="77777777" w:rsidR="00DE575E" w:rsidRDefault="00DE575E">
      <w:pPr>
        <w:pStyle w:val="BodyText"/>
        <w:spacing w:before="6"/>
        <w:rPr>
          <w:sz w:val="12"/>
        </w:rPr>
      </w:pPr>
    </w:p>
    <w:p w14:paraId="24B7760A" w14:textId="77777777" w:rsidR="00DE575E" w:rsidRDefault="002E7560">
      <w:pPr>
        <w:spacing w:before="92"/>
        <w:ind w:left="533"/>
        <w:rPr>
          <w:rFonts w:ascii="Times New Roman"/>
          <w:sz w:val="20"/>
        </w:rPr>
      </w:pPr>
      <w:r>
        <w:rPr>
          <w:rFonts w:ascii="Times New Roman"/>
          <w:color w:val="231F20"/>
          <w:sz w:val="20"/>
        </w:rPr>
        <w:t>282</w:t>
      </w:r>
    </w:p>
    <w:p w14:paraId="2D3818D4" w14:textId="77777777" w:rsidR="00DE575E" w:rsidRDefault="00DE575E">
      <w:pPr>
        <w:rPr>
          <w:rFonts w:ascii="Times New Roman"/>
          <w:sz w:val="20"/>
        </w:rPr>
        <w:sectPr w:rsidR="00DE575E">
          <w:pgSz w:w="8510" w:h="12760"/>
          <w:pgMar w:top="660" w:right="720" w:bottom="280" w:left="600" w:header="720" w:footer="720" w:gutter="0"/>
          <w:cols w:space="720"/>
        </w:sectPr>
      </w:pPr>
    </w:p>
    <w:p w14:paraId="5C1D4386"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 xml:space="preserve">Глава І. Загальне адміністративне право Розділ </w:t>
      </w:r>
      <w:r>
        <w:rPr>
          <w:rFonts w:ascii="AdonisC" w:hAnsi="AdonisC"/>
          <w:i/>
          <w:color w:val="231F20"/>
          <w:sz w:val="18"/>
        </w:rPr>
        <w:t>7. Інструменти публічного адміністрування</w:t>
      </w:r>
    </w:p>
    <w:p w14:paraId="69B44298" w14:textId="4F6A5B1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6B27FEF" wp14:editId="32C1C9E0">
                <wp:extent cx="4140200" cy="6350"/>
                <wp:effectExtent l="0" t="0" r="12700" b="6350"/>
                <wp:docPr id="698"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99" name="Line 69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16D2D6" id="Group_x0020_69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V1guZ/AgAAmAUAAA4A&#10;AAAAAAAAAAAAAAAALAIAAGRycy9lMm9Eb2MueG1sUEsBAi0AFAAGAAgAAAAhAEynsJDZAAAAAwEA&#10;AA8AAAAAAAAAAAAAAAAA1wQAAGRycy9kb3ducmV2LnhtbFBLBQYAAAAABAAEAPMAAADdBQAAAAA=&#10;">
                <v:line id="Line_x0020_69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64CsYAAADcAAAADwAAAGRycy9kb3ducmV2LnhtbESP3WrCQBSE7wXfYTmF3kjdtIJodBUp&#10;FEov/Esf4Jg9JqG7Z2N2NalP7wqCl8PMfMPMl5014kKNrxwreB8mIIhzpysuFPxmX28TED4gazSO&#10;ScE/eVgu+r05ptq1vKPLPhQiQtinqKAMoU6l9HlJFv3Q1cTRO7rGYoiyKaRusI1wa+RHkoylxYrj&#10;Qok1fZaU/+3PVkF2GgSz3fyYNtscRvJwWo+u57VSry/dagYiUBee4Uf7WysYT6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4euArGAAAA3AAAAA8AAAAAAAAA&#10;AAAAAAAAoQIAAGRycy9kb3ducmV2LnhtbFBLBQYAAAAABAAEAPkAAACUAwAAAAA=&#10;" strokecolor="#231f20" strokeweight=".5pt"/>
                <w10:anchorlock/>
              </v:group>
            </w:pict>
          </mc:Fallback>
        </mc:AlternateContent>
      </w:r>
    </w:p>
    <w:p w14:paraId="436BB608" w14:textId="77777777" w:rsidR="00DE575E" w:rsidRDefault="00DE575E">
      <w:pPr>
        <w:pStyle w:val="BodyText"/>
        <w:spacing w:before="7"/>
        <w:rPr>
          <w:rFonts w:ascii="AdonisC"/>
          <w:i/>
          <w:sz w:val="19"/>
        </w:rPr>
      </w:pPr>
    </w:p>
    <w:p w14:paraId="16333191" w14:textId="77777777" w:rsidR="00DE575E" w:rsidRDefault="002E7560">
      <w:pPr>
        <w:pStyle w:val="BodyText"/>
        <w:spacing w:before="1" w:line="252" w:lineRule="auto"/>
        <w:ind w:left="250" w:right="409"/>
        <w:jc w:val="both"/>
      </w:pPr>
      <w:r>
        <w:rPr>
          <w:color w:val="231F20"/>
        </w:rPr>
        <w:t>електронної взаємодії державних електронних інформаційних ресурсів» 05.09.2012 р., «Про схвалення Концепції розвитку елек- тронної демократії в Україні та плану заходів щодо її реалізації» від 08.11.2017 р. № 797-р., «П</w:t>
      </w:r>
      <w:r>
        <w:rPr>
          <w:color w:val="231F20"/>
        </w:rPr>
        <w:t>ро схвалення Концепції розвитку цифро- вої економіки та суспільства України на 2018-2020 роки та затвер- дження плану заходів щодо її реалізації» від 17.01.2018 р. № 67-р.,</w:t>
      </w:r>
    </w:p>
    <w:p w14:paraId="4501474A" w14:textId="77777777" w:rsidR="00DE575E" w:rsidRDefault="002E7560">
      <w:pPr>
        <w:pStyle w:val="BodyText"/>
        <w:spacing w:before="3" w:line="252" w:lineRule="auto"/>
        <w:ind w:left="250" w:right="410"/>
        <w:jc w:val="both"/>
      </w:pPr>
      <w:r>
        <w:rPr>
          <w:color w:val="231F20"/>
        </w:rPr>
        <w:t xml:space="preserve">«Про  схвалення  Концепції   розвитку   електронного   урядування  в </w:t>
      </w:r>
      <w:r>
        <w:rPr>
          <w:color w:val="231F20"/>
          <w:spacing w:val="-3"/>
        </w:rPr>
        <w:t xml:space="preserve">Україні» </w:t>
      </w:r>
      <w:r>
        <w:rPr>
          <w:color w:val="231F20"/>
        </w:rPr>
        <w:t>від 2</w:t>
      </w:r>
      <w:r>
        <w:rPr>
          <w:color w:val="231F20"/>
        </w:rPr>
        <w:t>0.09.2017</w:t>
      </w:r>
      <w:r>
        <w:rPr>
          <w:color w:val="231F20"/>
          <w:spacing w:val="-5"/>
        </w:rPr>
        <w:t xml:space="preserve"> </w:t>
      </w:r>
      <w:r>
        <w:rPr>
          <w:color w:val="231F20"/>
        </w:rPr>
        <w:t>р.</w:t>
      </w:r>
    </w:p>
    <w:p w14:paraId="5D18C3E3" w14:textId="77777777" w:rsidR="00DE575E" w:rsidRDefault="002E7560">
      <w:pPr>
        <w:pStyle w:val="BodyText"/>
        <w:spacing w:before="1" w:line="252" w:lineRule="auto"/>
        <w:ind w:left="250" w:right="409" w:firstLine="283"/>
        <w:jc w:val="both"/>
      </w:pPr>
      <w:r>
        <w:rPr>
          <w:color w:val="231F20"/>
        </w:rPr>
        <w:t>Центральним</w:t>
      </w:r>
      <w:r>
        <w:rPr>
          <w:color w:val="231F20"/>
          <w:spacing w:val="-10"/>
        </w:rPr>
        <w:t xml:space="preserve"> </w:t>
      </w:r>
      <w:r>
        <w:rPr>
          <w:color w:val="231F20"/>
        </w:rPr>
        <w:t>органом</w:t>
      </w:r>
      <w:r>
        <w:rPr>
          <w:color w:val="231F20"/>
          <w:spacing w:val="-10"/>
        </w:rPr>
        <w:t xml:space="preserve"> </w:t>
      </w:r>
      <w:r>
        <w:rPr>
          <w:color w:val="231F20"/>
        </w:rPr>
        <w:t>виконавчої</w:t>
      </w:r>
      <w:r>
        <w:rPr>
          <w:color w:val="231F20"/>
          <w:spacing w:val="-10"/>
        </w:rPr>
        <w:t xml:space="preserve"> </w:t>
      </w:r>
      <w:r>
        <w:rPr>
          <w:color w:val="231F20"/>
        </w:rPr>
        <w:t>влади,</w:t>
      </w:r>
      <w:r>
        <w:rPr>
          <w:color w:val="231F20"/>
          <w:spacing w:val="-10"/>
        </w:rPr>
        <w:t xml:space="preserve"> </w:t>
      </w:r>
      <w:r>
        <w:rPr>
          <w:color w:val="231F20"/>
        </w:rPr>
        <w:t>який</w:t>
      </w:r>
      <w:r>
        <w:rPr>
          <w:color w:val="231F20"/>
          <w:spacing w:val="-10"/>
        </w:rPr>
        <w:t xml:space="preserve"> </w:t>
      </w:r>
      <w:r>
        <w:rPr>
          <w:color w:val="231F20"/>
        </w:rPr>
        <w:t>реалізує</w:t>
      </w:r>
      <w:r>
        <w:rPr>
          <w:color w:val="231F20"/>
          <w:spacing w:val="-10"/>
        </w:rPr>
        <w:t xml:space="preserve"> </w:t>
      </w:r>
      <w:r>
        <w:rPr>
          <w:color w:val="231F20"/>
        </w:rPr>
        <w:t xml:space="preserve">державну політику у сферах інформатизації, електронного урядування, формування і використання національних електронних інформа- ційних ресурсів, розвитку інформаційного суспільства, є </w:t>
      </w:r>
      <w:r>
        <w:rPr>
          <w:i/>
          <w:color w:val="231F20"/>
        </w:rPr>
        <w:t>Міністе</w:t>
      </w:r>
      <w:r>
        <w:rPr>
          <w:i/>
          <w:color w:val="231F20"/>
        </w:rPr>
        <w:t xml:space="preserve">р- ство цифрової трансформації України </w:t>
      </w:r>
      <w:r>
        <w:rPr>
          <w:color w:val="231F20"/>
        </w:rPr>
        <w:t>(Мінцифра), діяльність якого спрямовується і координується Кабінетом Міністрів</w:t>
      </w:r>
      <w:r>
        <w:rPr>
          <w:color w:val="231F20"/>
          <w:spacing w:val="-11"/>
        </w:rPr>
        <w:t xml:space="preserve"> </w:t>
      </w:r>
      <w:r>
        <w:rPr>
          <w:color w:val="231F20"/>
          <w:spacing w:val="-3"/>
        </w:rPr>
        <w:t>України.</w:t>
      </w:r>
    </w:p>
    <w:p w14:paraId="1A1FCBC9" w14:textId="77777777" w:rsidR="00DE575E" w:rsidRDefault="00DE575E">
      <w:pPr>
        <w:pStyle w:val="BodyText"/>
        <w:spacing w:before="2"/>
        <w:rPr>
          <w:sz w:val="22"/>
        </w:rPr>
      </w:pPr>
    </w:p>
    <w:p w14:paraId="50D99C36" w14:textId="77777777" w:rsidR="00DE575E" w:rsidRDefault="002E7560">
      <w:pPr>
        <w:pStyle w:val="Heading5"/>
        <w:spacing w:before="1"/>
      </w:pPr>
      <w:r>
        <w:rPr>
          <w:color w:val="231F20"/>
        </w:rPr>
        <w:t>7.13.2. Елементи електронного врядування</w:t>
      </w:r>
    </w:p>
    <w:p w14:paraId="474A9451" w14:textId="77777777" w:rsidR="00DE575E" w:rsidRDefault="00DE575E">
      <w:pPr>
        <w:pStyle w:val="BodyText"/>
        <w:spacing w:before="2"/>
        <w:rPr>
          <w:b/>
          <w:sz w:val="23"/>
        </w:rPr>
      </w:pPr>
    </w:p>
    <w:p w14:paraId="1328B2F5" w14:textId="77777777" w:rsidR="00DE575E" w:rsidRDefault="002E7560">
      <w:pPr>
        <w:pStyle w:val="BodyText"/>
        <w:spacing w:line="252" w:lineRule="auto"/>
        <w:ind w:left="250" w:right="407" w:firstLine="283"/>
        <w:jc w:val="both"/>
      </w:pPr>
      <w:r>
        <w:rPr>
          <w:color w:val="231F20"/>
        </w:rPr>
        <w:t xml:space="preserve">У загальному е-врядуванні виділяють його складові  –  сфери  або галузі, в межах яких здійснюється певна взаємодія та існують системи надання </w:t>
      </w:r>
      <w:r>
        <w:rPr>
          <w:color w:val="231F20"/>
          <w:spacing w:val="-3"/>
        </w:rPr>
        <w:t xml:space="preserve">послуг. </w:t>
      </w:r>
      <w:r>
        <w:rPr>
          <w:color w:val="231F20"/>
        </w:rPr>
        <w:t>До таких елементів можна віднести: е-уряд (e-Government), е-парламент (e-Parliament), е-правосуддя (e-Just</w:t>
      </w:r>
      <w:r>
        <w:rPr>
          <w:color w:val="231F20"/>
        </w:rPr>
        <w:t>ice), е-бізнес (e-Business), е-освіта (е-Learning), е-здоров’я (e-Health), е-культура, е-торгівлю</w:t>
      </w:r>
      <w:r>
        <w:rPr>
          <w:color w:val="231F20"/>
          <w:spacing w:val="-2"/>
        </w:rPr>
        <w:t xml:space="preserve"> </w:t>
      </w:r>
      <w:r>
        <w:rPr>
          <w:color w:val="231F20"/>
        </w:rPr>
        <w:t>тощо.</w:t>
      </w:r>
    </w:p>
    <w:p w14:paraId="1B661814" w14:textId="77777777" w:rsidR="00DE575E" w:rsidRDefault="002E7560">
      <w:pPr>
        <w:pStyle w:val="BodyText"/>
        <w:spacing w:before="3" w:line="252" w:lineRule="auto"/>
        <w:ind w:left="250" w:right="409" w:firstLine="283"/>
        <w:jc w:val="both"/>
      </w:pPr>
      <w:r>
        <w:rPr>
          <w:b/>
          <w:color w:val="231F20"/>
        </w:rPr>
        <w:t>Е-уряд</w:t>
      </w:r>
      <w:r>
        <w:rPr>
          <w:b/>
          <w:color w:val="231F20"/>
          <w:spacing w:val="-8"/>
        </w:rPr>
        <w:t xml:space="preserve"> </w:t>
      </w:r>
      <w:r>
        <w:rPr>
          <w:color w:val="231F20"/>
        </w:rPr>
        <w:t>є</w:t>
      </w:r>
      <w:r>
        <w:rPr>
          <w:color w:val="231F20"/>
          <w:spacing w:val="-8"/>
        </w:rPr>
        <w:t xml:space="preserve"> </w:t>
      </w:r>
      <w:r>
        <w:rPr>
          <w:color w:val="231F20"/>
        </w:rPr>
        <w:t>головною</w:t>
      </w:r>
      <w:r>
        <w:rPr>
          <w:color w:val="231F20"/>
          <w:spacing w:val="-8"/>
        </w:rPr>
        <w:t xml:space="preserve"> </w:t>
      </w:r>
      <w:r>
        <w:rPr>
          <w:color w:val="231F20"/>
        </w:rPr>
        <w:t>складовою</w:t>
      </w:r>
      <w:r>
        <w:rPr>
          <w:color w:val="231F20"/>
          <w:spacing w:val="-8"/>
        </w:rPr>
        <w:t xml:space="preserve"> </w:t>
      </w:r>
      <w:r>
        <w:rPr>
          <w:color w:val="231F20"/>
        </w:rPr>
        <w:t>е-врядування,</w:t>
      </w:r>
      <w:r>
        <w:rPr>
          <w:color w:val="231F20"/>
          <w:spacing w:val="-8"/>
        </w:rPr>
        <w:t xml:space="preserve"> </w:t>
      </w:r>
      <w:r>
        <w:rPr>
          <w:color w:val="231F20"/>
        </w:rPr>
        <w:t>що</w:t>
      </w:r>
      <w:r>
        <w:rPr>
          <w:color w:val="231F20"/>
          <w:spacing w:val="-8"/>
        </w:rPr>
        <w:t xml:space="preserve"> </w:t>
      </w:r>
      <w:r>
        <w:rPr>
          <w:color w:val="231F20"/>
        </w:rPr>
        <w:t>становить</w:t>
      </w:r>
      <w:r>
        <w:rPr>
          <w:color w:val="231F20"/>
          <w:spacing w:val="-8"/>
        </w:rPr>
        <w:t xml:space="preserve"> </w:t>
      </w:r>
      <w:r>
        <w:rPr>
          <w:color w:val="231F20"/>
        </w:rPr>
        <w:t xml:space="preserve">собою автоматизовану інформаційну взаємодію органів державної влади та органів  місцевого  самоврядування  між  собою,  з  громадянами  і </w:t>
      </w:r>
      <w:r>
        <w:rPr>
          <w:color w:val="231F20"/>
          <w:spacing w:val="-3"/>
        </w:rPr>
        <w:t xml:space="preserve">суб’єктами </w:t>
      </w:r>
      <w:r>
        <w:rPr>
          <w:color w:val="231F20"/>
        </w:rPr>
        <w:t>господарювання з використанням інформаційно-теле- комунікаційних технологій. Центральною частиною системи е</w:t>
      </w:r>
      <w:r>
        <w:rPr>
          <w:color w:val="231F20"/>
        </w:rPr>
        <w:t>-уряд є єдиний веб-портал (https://www.kmu.gov.ua), призначений для інтеграції веб-сайтів, електронних інформаційних систем і ресурсів системи органів виконавчої влади, який на сьогодні поки що вико- нує переважно презентаційну та інформаційну</w:t>
      </w:r>
      <w:r>
        <w:rPr>
          <w:color w:val="231F20"/>
          <w:spacing w:val="-5"/>
        </w:rPr>
        <w:t xml:space="preserve"> </w:t>
      </w:r>
      <w:r>
        <w:rPr>
          <w:color w:val="231F20"/>
        </w:rPr>
        <w:t>функції.</w:t>
      </w:r>
    </w:p>
    <w:p w14:paraId="36B67E26" w14:textId="77777777" w:rsidR="00DE575E" w:rsidRDefault="002E7560">
      <w:pPr>
        <w:pStyle w:val="Heading6"/>
        <w:spacing w:before="4" w:line="252" w:lineRule="auto"/>
        <w:ind w:left="250" w:right="411"/>
        <w:jc w:val="both"/>
      </w:pPr>
      <w:r>
        <w:rPr>
          <w:color w:val="231F20"/>
        </w:rPr>
        <w:t>Упр</w:t>
      </w:r>
      <w:r>
        <w:rPr>
          <w:color w:val="231F20"/>
        </w:rPr>
        <w:t xml:space="preserve">овадження системи е-уряду у сферу публічного адміні- </w:t>
      </w:r>
      <w:r>
        <w:rPr>
          <w:color w:val="231F20"/>
        </w:rPr>
        <w:t>стрування забезпечується:</w:t>
      </w:r>
    </w:p>
    <w:p w14:paraId="12124B34" w14:textId="77777777" w:rsidR="00DE575E" w:rsidRDefault="002E7560">
      <w:pPr>
        <w:pStyle w:val="ListParagraph"/>
        <w:numPr>
          <w:ilvl w:val="0"/>
          <w:numId w:val="157"/>
        </w:numPr>
        <w:tabs>
          <w:tab w:val="left" w:pos="818"/>
        </w:tabs>
        <w:spacing w:line="252" w:lineRule="auto"/>
        <w:ind w:right="409" w:firstLine="283"/>
        <w:jc w:val="both"/>
        <w:rPr>
          <w:sz w:val="21"/>
        </w:rPr>
      </w:pPr>
      <w:r>
        <w:rPr>
          <w:color w:val="231F20"/>
          <w:sz w:val="21"/>
        </w:rPr>
        <w:t>автоматизованою інформаційною взаємодією електронних інформаційних систем та баз даних державних</w:t>
      </w:r>
      <w:r>
        <w:rPr>
          <w:color w:val="231F20"/>
          <w:spacing w:val="-7"/>
          <w:sz w:val="21"/>
        </w:rPr>
        <w:t xml:space="preserve"> </w:t>
      </w:r>
      <w:r>
        <w:rPr>
          <w:color w:val="231F20"/>
          <w:sz w:val="21"/>
        </w:rPr>
        <w:t>органів;</w:t>
      </w:r>
    </w:p>
    <w:p w14:paraId="62DBC3BC" w14:textId="77777777" w:rsidR="00DE575E" w:rsidRDefault="002E7560">
      <w:pPr>
        <w:pStyle w:val="ListParagraph"/>
        <w:numPr>
          <w:ilvl w:val="0"/>
          <w:numId w:val="157"/>
        </w:numPr>
        <w:tabs>
          <w:tab w:val="left" w:pos="818"/>
        </w:tabs>
        <w:spacing w:line="252" w:lineRule="auto"/>
        <w:ind w:right="409" w:firstLine="283"/>
        <w:jc w:val="both"/>
        <w:rPr>
          <w:sz w:val="21"/>
        </w:rPr>
      </w:pPr>
      <w:r>
        <w:rPr>
          <w:color w:val="231F20"/>
          <w:sz w:val="21"/>
        </w:rPr>
        <w:t xml:space="preserve">автоматизованою міжвідомчою електронною взаємодією державних органів у </w:t>
      </w:r>
      <w:r>
        <w:rPr>
          <w:color w:val="231F20"/>
          <w:sz w:val="21"/>
        </w:rPr>
        <w:t>процесі роботи, що проводиться із фізичними та юридичними</w:t>
      </w:r>
      <w:r>
        <w:rPr>
          <w:color w:val="231F20"/>
          <w:spacing w:val="-3"/>
          <w:sz w:val="21"/>
        </w:rPr>
        <w:t xml:space="preserve"> </w:t>
      </w:r>
      <w:r>
        <w:rPr>
          <w:color w:val="231F20"/>
          <w:sz w:val="21"/>
        </w:rPr>
        <w:t>особами;</w:t>
      </w:r>
    </w:p>
    <w:p w14:paraId="23F0E5D4" w14:textId="77777777" w:rsidR="00DE575E" w:rsidRDefault="00DE575E">
      <w:pPr>
        <w:pStyle w:val="BodyText"/>
        <w:spacing w:before="7"/>
        <w:rPr>
          <w:sz w:val="12"/>
        </w:rPr>
      </w:pPr>
    </w:p>
    <w:p w14:paraId="6BADCA62" w14:textId="77777777" w:rsidR="00DE575E" w:rsidRDefault="002E7560">
      <w:pPr>
        <w:spacing w:before="92"/>
        <w:ind w:right="411"/>
        <w:jc w:val="right"/>
        <w:rPr>
          <w:rFonts w:ascii="Times New Roman"/>
          <w:sz w:val="20"/>
        </w:rPr>
      </w:pPr>
      <w:r>
        <w:rPr>
          <w:rFonts w:ascii="Times New Roman"/>
          <w:color w:val="231F20"/>
          <w:w w:val="90"/>
          <w:sz w:val="20"/>
        </w:rPr>
        <w:t>283</w:t>
      </w:r>
    </w:p>
    <w:p w14:paraId="0539FFA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D123CE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FB663F2" w14:textId="02DD6C6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D5B0291" wp14:editId="5B4F0E1E">
                <wp:extent cx="4140200" cy="6350"/>
                <wp:effectExtent l="0" t="0" r="12700" b="6350"/>
                <wp:docPr id="696"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97" name="Line 6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B2D386" id="Group_x0020_6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zAjNkgAIAAJgFAAAO&#10;AAAAAAAAAAAAAAAAACwCAABkcnMvZTJvRG9jLnhtbFBLAQItABQABgAIAAAAIQBMp7CQ2QAAAAMB&#10;AAAPAAAAAAAAAAAAAAAAANgEAABkcnMvZG93bnJldi54bWxQSwUGAAAAAAQABADzAAAA3gUAAAAA&#10;">
                <v:line id="Line_x0020_6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2J48YAAADcAAAADwAAAGRycy9kb3ducmV2LnhtbESP0WrCQBRE3wX/YbmCL6VuVLA1uooU&#10;CqUP2pp+wDV7TYK7d2N2NWm/3hUKPg4zc4ZZrjtrxJUaXzlWMB4lIIhzpysuFPxk78+vIHxA1mgc&#10;k4Jf8rBe9XtLTLVr+Zuu+1CICGGfooIyhDqV0uclWfQjVxNH7+gaiyHKppC6wTbCrZGTJJlJixXH&#10;hRJreispP+0vVkF2fgrma/dp2mx3mMrDeTv9u2yVGg66zQJEoC48wv/tD61gNn+B+5l4BOTq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NiePGAAAA3AAAAA8AAAAAAAAA&#10;AAAAAAAAoQIAAGRycy9kb3ducmV2LnhtbFBLBQYAAAAABAAEAPkAAACUAwAAAAA=&#10;" strokecolor="#231f20" strokeweight=".5pt"/>
                <w10:anchorlock/>
              </v:group>
            </w:pict>
          </mc:Fallback>
        </mc:AlternateContent>
      </w:r>
    </w:p>
    <w:p w14:paraId="73251D71" w14:textId="77777777" w:rsidR="00DE575E" w:rsidRDefault="00DE575E">
      <w:pPr>
        <w:pStyle w:val="BodyText"/>
        <w:spacing w:before="7"/>
        <w:rPr>
          <w:rFonts w:ascii="AdonisC"/>
          <w:i/>
          <w:sz w:val="11"/>
        </w:rPr>
      </w:pPr>
    </w:p>
    <w:p w14:paraId="71E772C8" w14:textId="77777777" w:rsidR="00DE575E" w:rsidRDefault="002E7560">
      <w:pPr>
        <w:pStyle w:val="ListParagraph"/>
        <w:numPr>
          <w:ilvl w:val="0"/>
          <w:numId w:val="156"/>
        </w:numPr>
        <w:tabs>
          <w:tab w:val="left" w:pos="1101"/>
        </w:tabs>
        <w:spacing w:before="101" w:line="252" w:lineRule="auto"/>
        <w:ind w:right="126" w:firstLine="284"/>
        <w:jc w:val="both"/>
        <w:rPr>
          <w:sz w:val="21"/>
        </w:rPr>
      </w:pPr>
      <w:r>
        <w:rPr>
          <w:color w:val="231F20"/>
          <w:sz w:val="21"/>
        </w:rPr>
        <w:t>електронним</w:t>
      </w:r>
      <w:r>
        <w:rPr>
          <w:color w:val="231F20"/>
          <w:spacing w:val="-12"/>
          <w:sz w:val="21"/>
        </w:rPr>
        <w:t xml:space="preserve"> </w:t>
      </w:r>
      <w:r>
        <w:rPr>
          <w:color w:val="231F20"/>
          <w:sz w:val="21"/>
        </w:rPr>
        <w:t>обслуговуванням</w:t>
      </w:r>
      <w:r>
        <w:rPr>
          <w:color w:val="231F20"/>
          <w:spacing w:val="-12"/>
          <w:sz w:val="21"/>
        </w:rPr>
        <w:t xml:space="preserve"> </w:t>
      </w:r>
      <w:r>
        <w:rPr>
          <w:color w:val="231F20"/>
          <w:sz w:val="21"/>
        </w:rPr>
        <w:t>фізичних</w:t>
      </w:r>
      <w:r>
        <w:rPr>
          <w:color w:val="231F20"/>
          <w:spacing w:val="-13"/>
          <w:sz w:val="21"/>
        </w:rPr>
        <w:t xml:space="preserve"> </w:t>
      </w:r>
      <w:r>
        <w:rPr>
          <w:color w:val="231F20"/>
          <w:sz w:val="21"/>
        </w:rPr>
        <w:t>та</w:t>
      </w:r>
      <w:r>
        <w:rPr>
          <w:color w:val="231F20"/>
          <w:spacing w:val="-12"/>
          <w:sz w:val="21"/>
        </w:rPr>
        <w:t xml:space="preserve"> </w:t>
      </w:r>
      <w:r>
        <w:rPr>
          <w:color w:val="231F20"/>
          <w:sz w:val="21"/>
        </w:rPr>
        <w:t>юридичних</w:t>
      </w:r>
      <w:r>
        <w:rPr>
          <w:color w:val="231F20"/>
          <w:spacing w:val="-13"/>
          <w:sz w:val="21"/>
        </w:rPr>
        <w:t xml:space="preserve"> </w:t>
      </w:r>
      <w:r>
        <w:rPr>
          <w:color w:val="231F20"/>
          <w:sz w:val="21"/>
        </w:rPr>
        <w:t>осіб</w:t>
      </w:r>
      <w:r>
        <w:rPr>
          <w:color w:val="231F20"/>
          <w:spacing w:val="-12"/>
          <w:sz w:val="21"/>
        </w:rPr>
        <w:t xml:space="preserve"> </w:t>
      </w:r>
      <w:r>
        <w:rPr>
          <w:color w:val="231F20"/>
          <w:sz w:val="21"/>
        </w:rPr>
        <w:t>за принципом «єдиного вікна» із застосуванням електронного цифро- вого</w:t>
      </w:r>
      <w:r>
        <w:rPr>
          <w:color w:val="231F20"/>
          <w:spacing w:val="-1"/>
          <w:sz w:val="21"/>
        </w:rPr>
        <w:t xml:space="preserve"> </w:t>
      </w:r>
      <w:r>
        <w:rPr>
          <w:color w:val="231F20"/>
          <w:sz w:val="21"/>
        </w:rPr>
        <w:t>підпису;</w:t>
      </w:r>
    </w:p>
    <w:p w14:paraId="572B50E0" w14:textId="77777777" w:rsidR="00DE575E" w:rsidRDefault="002E7560">
      <w:pPr>
        <w:pStyle w:val="ListParagraph"/>
        <w:numPr>
          <w:ilvl w:val="0"/>
          <w:numId w:val="156"/>
        </w:numPr>
        <w:tabs>
          <w:tab w:val="left" w:pos="1101"/>
        </w:tabs>
        <w:spacing w:line="252" w:lineRule="auto"/>
        <w:ind w:right="128" w:firstLine="284"/>
        <w:jc w:val="both"/>
        <w:rPr>
          <w:sz w:val="21"/>
        </w:rPr>
      </w:pPr>
      <w:r>
        <w:rPr>
          <w:color w:val="231F20"/>
          <w:sz w:val="21"/>
        </w:rPr>
        <w:t>захистом інформації та персональних даних в інформаційно- телекомунікаційних</w:t>
      </w:r>
      <w:r>
        <w:rPr>
          <w:color w:val="231F20"/>
          <w:spacing w:val="-1"/>
          <w:sz w:val="21"/>
        </w:rPr>
        <w:t xml:space="preserve"> </w:t>
      </w:r>
      <w:r>
        <w:rPr>
          <w:color w:val="231F20"/>
          <w:sz w:val="21"/>
        </w:rPr>
        <w:t>мережах.</w:t>
      </w:r>
    </w:p>
    <w:p w14:paraId="33CA82B5" w14:textId="77777777" w:rsidR="00DE575E" w:rsidRDefault="002E7560">
      <w:pPr>
        <w:spacing w:before="1" w:line="252" w:lineRule="auto"/>
        <w:ind w:left="533" w:right="128" w:firstLine="283"/>
        <w:jc w:val="both"/>
        <w:rPr>
          <w:sz w:val="21"/>
        </w:rPr>
      </w:pPr>
      <w:r>
        <w:rPr>
          <w:i/>
          <w:color w:val="231F20"/>
          <w:sz w:val="21"/>
        </w:rPr>
        <w:t xml:space="preserve">З урахуванням таких теоретичних позицій Уряд України у сфері е-урядування має забезпечити </w:t>
      </w:r>
      <w:r>
        <w:rPr>
          <w:i/>
          <w:color w:val="231F20"/>
          <w:sz w:val="21"/>
        </w:rPr>
        <w:t>комплекс заходів, що отримав лако- нічну назву «</w:t>
      </w:r>
      <w:r>
        <w:rPr>
          <w:b/>
          <w:i/>
          <w:color w:val="231F20"/>
          <w:sz w:val="21"/>
        </w:rPr>
        <w:t>Діджиталізація</w:t>
      </w:r>
      <w:r>
        <w:rPr>
          <w:i/>
          <w:color w:val="231F20"/>
          <w:sz w:val="21"/>
        </w:rPr>
        <w:t>»</w:t>
      </w:r>
      <w:r>
        <w:rPr>
          <w:i/>
          <w:color w:val="231F20"/>
          <w:position w:val="7"/>
          <w:sz w:val="12"/>
        </w:rPr>
        <w:t>1</w:t>
      </w:r>
      <w:r>
        <w:rPr>
          <w:i/>
          <w:color w:val="231F20"/>
          <w:sz w:val="21"/>
        </w:rPr>
        <w:t xml:space="preserve">. </w:t>
      </w:r>
      <w:r>
        <w:rPr>
          <w:color w:val="231F20"/>
          <w:sz w:val="21"/>
        </w:rPr>
        <w:t>Зокрема потрібно:</w:t>
      </w:r>
    </w:p>
    <w:p w14:paraId="7B0531B7" w14:textId="77777777" w:rsidR="00DE575E" w:rsidRDefault="002E7560">
      <w:pPr>
        <w:pStyle w:val="ListParagraph"/>
        <w:numPr>
          <w:ilvl w:val="1"/>
          <w:numId w:val="157"/>
        </w:numPr>
        <w:tabs>
          <w:tab w:val="left" w:pos="1101"/>
        </w:tabs>
        <w:spacing w:before="2" w:line="252" w:lineRule="auto"/>
        <w:ind w:right="127" w:firstLine="284"/>
        <w:rPr>
          <w:sz w:val="21"/>
        </w:rPr>
      </w:pPr>
      <w:r>
        <w:rPr>
          <w:color w:val="231F20"/>
          <w:sz w:val="21"/>
        </w:rPr>
        <w:t>перевести оформлення дозвільних документів в електронну форму;</w:t>
      </w:r>
    </w:p>
    <w:p w14:paraId="11514320" w14:textId="77777777" w:rsidR="00DE575E" w:rsidRDefault="002E7560">
      <w:pPr>
        <w:pStyle w:val="ListParagraph"/>
        <w:numPr>
          <w:ilvl w:val="1"/>
          <w:numId w:val="157"/>
        </w:numPr>
        <w:tabs>
          <w:tab w:val="left" w:pos="1101"/>
        </w:tabs>
        <w:spacing w:line="252" w:lineRule="auto"/>
        <w:ind w:right="127" w:firstLine="284"/>
        <w:rPr>
          <w:sz w:val="21"/>
        </w:rPr>
      </w:pPr>
      <w:r>
        <w:rPr>
          <w:color w:val="231F20"/>
          <w:sz w:val="21"/>
        </w:rPr>
        <w:t>перевести в електрону форму топ-30 найбільш популярних сервісів для громадян і</w:t>
      </w:r>
      <w:r>
        <w:rPr>
          <w:color w:val="231F20"/>
          <w:spacing w:val="-4"/>
          <w:sz w:val="21"/>
        </w:rPr>
        <w:t xml:space="preserve"> </w:t>
      </w:r>
      <w:r>
        <w:rPr>
          <w:color w:val="231F20"/>
          <w:sz w:val="21"/>
        </w:rPr>
        <w:t>бізнесу</w:t>
      </w:r>
      <w:r>
        <w:rPr>
          <w:color w:val="231F20"/>
          <w:position w:val="7"/>
          <w:sz w:val="12"/>
        </w:rPr>
        <w:t>2</w:t>
      </w:r>
      <w:r>
        <w:rPr>
          <w:color w:val="231F20"/>
          <w:sz w:val="21"/>
        </w:rPr>
        <w:t>;</w:t>
      </w:r>
    </w:p>
    <w:p w14:paraId="7588F006" w14:textId="77777777" w:rsidR="00DE575E" w:rsidRDefault="002E7560">
      <w:pPr>
        <w:pStyle w:val="ListParagraph"/>
        <w:numPr>
          <w:ilvl w:val="1"/>
          <w:numId w:val="157"/>
        </w:numPr>
        <w:tabs>
          <w:tab w:val="left" w:pos="1101"/>
        </w:tabs>
        <w:spacing w:line="252" w:lineRule="auto"/>
        <w:ind w:right="127" w:firstLine="284"/>
        <w:rPr>
          <w:sz w:val="21"/>
        </w:rPr>
      </w:pPr>
      <w:r>
        <w:rPr>
          <w:color w:val="231F20"/>
          <w:sz w:val="21"/>
        </w:rPr>
        <w:t xml:space="preserve">поступово перевести </w:t>
      </w:r>
      <w:r>
        <w:rPr>
          <w:color w:val="231F20"/>
          <w:sz w:val="21"/>
        </w:rPr>
        <w:t>інші публічні послуги в електронну форму;</w:t>
      </w:r>
    </w:p>
    <w:p w14:paraId="216D085F" w14:textId="77777777" w:rsidR="00DE575E" w:rsidRDefault="002E7560">
      <w:pPr>
        <w:pStyle w:val="ListParagraph"/>
        <w:numPr>
          <w:ilvl w:val="1"/>
          <w:numId w:val="157"/>
        </w:numPr>
        <w:tabs>
          <w:tab w:val="left" w:pos="1101"/>
        </w:tabs>
        <w:spacing w:line="252" w:lineRule="auto"/>
        <w:ind w:right="128" w:firstLine="284"/>
        <w:rPr>
          <w:sz w:val="21"/>
        </w:rPr>
      </w:pPr>
      <w:r>
        <w:rPr>
          <w:color w:val="231F20"/>
          <w:sz w:val="21"/>
        </w:rPr>
        <w:t xml:space="preserve">надати </w:t>
      </w:r>
      <w:r>
        <w:rPr>
          <w:color w:val="231F20"/>
          <w:spacing w:val="-3"/>
          <w:sz w:val="21"/>
        </w:rPr>
        <w:t xml:space="preserve">консультації </w:t>
      </w:r>
      <w:r>
        <w:rPr>
          <w:color w:val="231F20"/>
          <w:sz w:val="21"/>
        </w:rPr>
        <w:t>фізичним та юридичним особам з вико- ристанням «гарячих ліній», «чат-ботів», електронних баз типових питань і</w:t>
      </w:r>
      <w:r>
        <w:rPr>
          <w:color w:val="231F20"/>
          <w:spacing w:val="-1"/>
          <w:sz w:val="21"/>
        </w:rPr>
        <w:t xml:space="preserve"> </w:t>
      </w:r>
      <w:r>
        <w:rPr>
          <w:color w:val="231F20"/>
          <w:sz w:val="21"/>
        </w:rPr>
        <w:t>відповідей;</w:t>
      </w:r>
    </w:p>
    <w:p w14:paraId="6EE6F774" w14:textId="77777777" w:rsidR="00DE575E" w:rsidRDefault="002E7560">
      <w:pPr>
        <w:pStyle w:val="ListParagraph"/>
        <w:numPr>
          <w:ilvl w:val="1"/>
          <w:numId w:val="157"/>
        </w:numPr>
        <w:tabs>
          <w:tab w:val="left" w:pos="1101"/>
        </w:tabs>
        <w:spacing w:line="252" w:lineRule="auto"/>
        <w:ind w:right="127" w:firstLine="284"/>
        <w:rPr>
          <w:sz w:val="21"/>
        </w:rPr>
      </w:pPr>
      <w:r>
        <w:rPr>
          <w:color w:val="231F20"/>
          <w:sz w:val="21"/>
        </w:rPr>
        <w:t>упровадження механізмів оперативного уточнення (виправ- лення) технічних</w:t>
      </w:r>
      <w:r>
        <w:rPr>
          <w:color w:val="231F20"/>
          <w:sz w:val="21"/>
        </w:rPr>
        <w:t xml:space="preserve"> помилок, описок у заявах про надання публічної послуги та інших документах, що подаються для отримання публіч- ної</w:t>
      </w:r>
      <w:r>
        <w:rPr>
          <w:color w:val="231F20"/>
          <w:spacing w:val="-9"/>
          <w:sz w:val="21"/>
        </w:rPr>
        <w:t xml:space="preserve"> </w:t>
      </w:r>
      <w:r>
        <w:rPr>
          <w:color w:val="231F20"/>
          <w:sz w:val="21"/>
        </w:rPr>
        <w:t>послуги,</w:t>
      </w:r>
      <w:r>
        <w:rPr>
          <w:color w:val="231F20"/>
          <w:spacing w:val="-9"/>
          <w:sz w:val="21"/>
        </w:rPr>
        <w:t xml:space="preserve"> </w:t>
      </w:r>
      <w:r>
        <w:rPr>
          <w:color w:val="231F20"/>
          <w:sz w:val="21"/>
        </w:rPr>
        <w:t>а</w:t>
      </w:r>
      <w:r>
        <w:rPr>
          <w:color w:val="231F20"/>
          <w:spacing w:val="-9"/>
          <w:sz w:val="21"/>
        </w:rPr>
        <w:t xml:space="preserve"> </w:t>
      </w:r>
      <w:r>
        <w:rPr>
          <w:color w:val="231F20"/>
          <w:sz w:val="21"/>
        </w:rPr>
        <w:t>також</w:t>
      </w:r>
      <w:r>
        <w:rPr>
          <w:color w:val="231F20"/>
          <w:spacing w:val="-9"/>
          <w:sz w:val="21"/>
        </w:rPr>
        <w:t xml:space="preserve"> </w:t>
      </w:r>
      <w:r>
        <w:rPr>
          <w:color w:val="231F20"/>
          <w:sz w:val="21"/>
        </w:rPr>
        <w:t>автоматичної</w:t>
      </w:r>
      <w:r>
        <w:rPr>
          <w:color w:val="231F20"/>
          <w:spacing w:val="-9"/>
          <w:sz w:val="21"/>
        </w:rPr>
        <w:t xml:space="preserve"> </w:t>
      </w:r>
      <w:r>
        <w:rPr>
          <w:color w:val="231F20"/>
          <w:sz w:val="21"/>
        </w:rPr>
        <w:t>перевірки</w:t>
      </w:r>
      <w:r>
        <w:rPr>
          <w:color w:val="231F20"/>
          <w:spacing w:val="-9"/>
          <w:sz w:val="21"/>
        </w:rPr>
        <w:t xml:space="preserve"> </w:t>
      </w:r>
      <w:r>
        <w:rPr>
          <w:color w:val="231F20"/>
          <w:sz w:val="21"/>
        </w:rPr>
        <w:t>повноти</w:t>
      </w:r>
      <w:r>
        <w:rPr>
          <w:color w:val="231F20"/>
          <w:spacing w:val="-9"/>
          <w:sz w:val="21"/>
        </w:rPr>
        <w:t xml:space="preserve"> </w:t>
      </w:r>
      <w:r>
        <w:rPr>
          <w:color w:val="231F20"/>
          <w:sz w:val="21"/>
        </w:rPr>
        <w:t>та</w:t>
      </w:r>
      <w:r>
        <w:rPr>
          <w:color w:val="231F20"/>
          <w:spacing w:val="-9"/>
          <w:sz w:val="21"/>
        </w:rPr>
        <w:t xml:space="preserve"> </w:t>
      </w:r>
      <w:r>
        <w:rPr>
          <w:color w:val="231F20"/>
          <w:sz w:val="21"/>
        </w:rPr>
        <w:t>достовірно- сті відомостей у</w:t>
      </w:r>
      <w:r>
        <w:rPr>
          <w:color w:val="231F20"/>
          <w:spacing w:val="-2"/>
          <w:sz w:val="21"/>
        </w:rPr>
        <w:t xml:space="preserve"> </w:t>
      </w:r>
      <w:r>
        <w:rPr>
          <w:color w:val="231F20"/>
          <w:sz w:val="21"/>
        </w:rPr>
        <w:t>заявах;</w:t>
      </w:r>
    </w:p>
    <w:p w14:paraId="2DB02044" w14:textId="77777777" w:rsidR="00DE575E" w:rsidRDefault="002E7560">
      <w:pPr>
        <w:pStyle w:val="ListParagraph"/>
        <w:numPr>
          <w:ilvl w:val="1"/>
          <w:numId w:val="157"/>
        </w:numPr>
        <w:tabs>
          <w:tab w:val="left" w:pos="1101"/>
        </w:tabs>
        <w:spacing w:before="3" w:line="252" w:lineRule="auto"/>
        <w:ind w:right="126" w:firstLine="284"/>
        <w:rPr>
          <w:sz w:val="21"/>
        </w:rPr>
      </w:pPr>
      <w:r>
        <w:rPr>
          <w:color w:val="231F20"/>
          <w:sz w:val="21"/>
        </w:rPr>
        <w:t xml:space="preserve">надання окремих адмінпослуг в автоматичному режимі без втручання людини, а також за допомогою засобів телефонного зв’язку з використанням автоматизованих систем, що дають </w:t>
      </w:r>
      <w:r>
        <w:rPr>
          <w:color w:val="231F20"/>
          <w:spacing w:val="-3"/>
          <w:sz w:val="21"/>
        </w:rPr>
        <w:t xml:space="preserve">змогу, </w:t>
      </w:r>
      <w:r>
        <w:rPr>
          <w:color w:val="231F20"/>
          <w:sz w:val="21"/>
        </w:rPr>
        <w:t xml:space="preserve">зокрема, ідентифікувати </w:t>
      </w:r>
      <w:r>
        <w:rPr>
          <w:color w:val="231F20"/>
          <w:spacing w:val="-3"/>
          <w:sz w:val="21"/>
        </w:rPr>
        <w:t xml:space="preserve">суб’єкта </w:t>
      </w:r>
      <w:r>
        <w:rPr>
          <w:color w:val="231F20"/>
          <w:sz w:val="21"/>
        </w:rPr>
        <w:t>звернення через засоби розпізна- вання голосу</w:t>
      </w:r>
      <w:r>
        <w:rPr>
          <w:color w:val="231F20"/>
          <w:sz w:val="21"/>
        </w:rPr>
        <w:t xml:space="preserve"> або відповіді на контрольні</w:t>
      </w:r>
      <w:r>
        <w:rPr>
          <w:color w:val="231F20"/>
          <w:spacing w:val="-4"/>
          <w:sz w:val="21"/>
        </w:rPr>
        <w:t xml:space="preserve"> </w:t>
      </w:r>
      <w:r>
        <w:rPr>
          <w:color w:val="231F20"/>
          <w:sz w:val="21"/>
        </w:rPr>
        <w:t>запитання;</w:t>
      </w:r>
    </w:p>
    <w:p w14:paraId="58D2A5BF" w14:textId="77777777" w:rsidR="00DE575E" w:rsidRDefault="002E7560">
      <w:pPr>
        <w:pStyle w:val="ListParagraph"/>
        <w:numPr>
          <w:ilvl w:val="1"/>
          <w:numId w:val="157"/>
        </w:numPr>
        <w:tabs>
          <w:tab w:val="left" w:pos="1101"/>
        </w:tabs>
        <w:spacing w:before="2" w:line="252" w:lineRule="auto"/>
        <w:ind w:right="128" w:firstLine="284"/>
        <w:rPr>
          <w:sz w:val="21"/>
        </w:rPr>
      </w:pPr>
      <w:r>
        <w:rPr>
          <w:color w:val="231F20"/>
          <w:sz w:val="21"/>
        </w:rPr>
        <w:t>опрацювання</w:t>
      </w:r>
      <w:r>
        <w:rPr>
          <w:color w:val="231F20"/>
          <w:spacing w:val="-17"/>
          <w:sz w:val="21"/>
        </w:rPr>
        <w:t xml:space="preserve"> </w:t>
      </w:r>
      <w:r>
        <w:rPr>
          <w:color w:val="231F20"/>
          <w:sz w:val="21"/>
        </w:rPr>
        <w:t>питання</w:t>
      </w:r>
      <w:r>
        <w:rPr>
          <w:color w:val="231F20"/>
          <w:spacing w:val="-17"/>
          <w:sz w:val="21"/>
        </w:rPr>
        <w:t xml:space="preserve"> </w:t>
      </w:r>
      <w:r>
        <w:rPr>
          <w:color w:val="231F20"/>
          <w:sz w:val="21"/>
        </w:rPr>
        <w:t>запровадження</w:t>
      </w:r>
      <w:r>
        <w:rPr>
          <w:color w:val="231F20"/>
          <w:spacing w:val="-17"/>
          <w:sz w:val="21"/>
        </w:rPr>
        <w:t xml:space="preserve"> </w:t>
      </w:r>
      <w:r>
        <w:rPr>
          <w:color w:val="231F20"/>
          <w:sz w:val="21"/>
        </w:rPr>
        <w:t>реєстрації</w:t>
      </w:r>
      <w:r>
        <w:rPr>
          <w:color w:val="231F20"/>
          <w:spacing w:val="-17"/>
          <w:sz w:val="21"/>
        </w:rPr>
        <w:t xml:space="preserve"> </w:t>
      </w:r>
      <w:r>
        <w:rPr>
          <w:color w:val="231F20"/>
          <w:sz w:val="21"/>
        </w:rPr>
        <w:t>місця</w:t>
      </w:r>
      <w:r>
        <w:rPr>
          <w:color w:val="231F20"/>
          <w:spacing w:val="-17"/>
          <w:sz w:val="21"/>
        </w:rPr>
        <w:t xml:space="preserve"> </w:t>
      </w:r>
      <w:r>
        <w:rPr>
          <w:color w:val="231F20"/>
          <w:sz w:val="21"/>
        </w:rPr>
        <w:t>прожи- вання</w:t>
      </w:r>
      <w:r>
        <w:rPr>
          <w:color w:val="231F20"/>
          <w:spacing w:val="-10"/>
          <w:sz w:val="21"/>
        </w:rPr>
        <w:t xml:space="preserve"> </w:t>
      </w:r>
      <w:r>
        <w:rPr>
          <w:color w:val="231F20"/>
          <w:sz w:val="21"/>
        </w:rPr>
        <w:t>за</w:t>
      </w:r>
      <w:r>
        <w:rPr>
          <w:color w:val="231F20"/>
          <w:spacing w:val="-10"/>
          <w:sz w:val="21"/>
        </w:rPr>
        <w:t xml:space="preserve"> </w:t>
      </w:r>
      <w:r>
        <w:rPr>
          <w:color w:val="231F20"/>
          <w:sz w:val="21"/>
        </w:rPr>
        <w:t>декларативним</w:t>
      </w:r>
      <w:r>
        <w:rPr>
          <w:color w:val="231F20"/>
          <w:spacing w:val="-10"/>
          <w:sz w:val="21"/>
        </w:rPr>
        <w:t xml:space="preserve"> </w:t>
      </w:r>
      <w:r>
        <w:rPr>
          <w:color w:val="231F20"/>
          <w:sz w:val="21"/>
        </w:rPr>
        <w:t>принципом</w:t>
      </w:r>
      <w:r>
        <w:rPr>
          <w:color w:val="231F20"/>
          <w:spacing w:val="-10"/>
          <w:sz w:val="21"/>
        </w:rPr>
        <w:t xml:space="preserve"> </w:t>
      </w:r>
      <w:r>
        <w:rPr>
          <w:color w:val="231F20"/>
          <w:sz w:val="21"/>
        </w:rPr>
        <w:t>через</w:t>
      </w:r>
      <w:r>
        <w:rPr>
          <w:color w:val="231F20"/>
          <w:spacing w:val="-10"/>
          <w:sz w:val="21"/>
        </w:rPr>
        <w:t xml:space="preserve"> </w:t>
      </w:r>
      <w:r>
        <w:rPr>
          <w:color w:val="231F20"/>
          <w:sz w:val="21"/>
        </w:rPr>
        <w:t>подання</w:t>
      </w:r>
      <w:r>
        <w:rPr>
          <w:color w:val="231F20"/>
          <w:spacing w:val="-10"/>
          <w:sz w:val="21"/>
        </w:rPr>
        <w:t xml:space="preserve"> </w:t>
      </w:r>
      <w:r>
        <w:rPr>
          <w:color w:val="231F20"/>
          <w:sz w:val="21"/>
        </w:rPr>
        <w:t>заяви</w:t>
      </w:r>
      <w:r>
        <w:rPr>
          <w:color w:val="231F20"/>
          <w:spacing w:val="-10"/>
          <w:sz w:val="21"/>
        </w:rPr>
        <w:t xml:space="preserve"> </w:t>
      </w:r>
      <w:r>
        <w:rPr>
          <w:color w:val="231F20"/>
          <w:sz w:val="21"/>
        </w:rPr>
        <w:t>в</w:t>
      </w:r>
      <w:r>
        <w:rPr>
          <w:color w:val="231F20"/>
          <w:spacing w:val="-10"/>
          <w:sz w:val="21"/>
        </w:rPr>
        <w:t xml:space="preserve"> </w:t>
      </w:r>
      <w:r>
        <w:rPr>
          <w:color w:val="231F20"/>
          <w:sz w:val="21"/>
        </w:rPr>
        <w:t>електро- нній</w:t>
      </w:r>
      <w:r>
        <w:rPr>
          <w:color w:val="231F20"/>
          <w:spacing w:val="-1"/>
          <w:sz w:val="21"/>
        </w:rPr>
        <w:t xml:space="preserve"> </w:t>
      </w:r>
      <w:r>
        <w:rPr>
          <w:color w:val="231F20"/>
          <w:sz w:val="21"/>
        </w:rPr>
        <w:t>формі;</w:t>
      </w:r>
    </w:p>
    <w:p w14:paraId="242D7072" w14:textId="77777777" w:rsidR="00DE575E" w:rsidRDefault="002E7560">
      <w:pPr>
        <w:pStyle w:val="ListParagraph"/>
        <w:numPr>
          <w:ilvl w:val="1"/>
          <w:numId w:val="157"/>
        </w:numPr>
        <w:tabs>
          <w:tab w:val="left" w:pos="1101"/>
        </w:tabs>
        <w:spacing w:line="252" w:lineRule="auto"/>
        <w:ind w:right="127" w:firstLine="284"/>
        <w:rPr>
          <w:sz w:val="21"/>
        </w:rPr>
      </w:pPr>
      <w:r>
        <w:rPr>
          <w:color w:val="231F20"/>
          <w:sz w:val="21"/>
        </w:rPr>
        <w:t>упровадження механізму надання комплексної електронної послуги, пов’язаної з оформленням права на земельну</w:t>
      </w:r>
      <w:r>
        <w:rPr>
          <w:color w:val="231F20"/>
          <w:spacing w:val="-10"/>
          <w:sz w:val="21"/>
        </w:rPr>
        <w:t xml:space="preserve"> </w:t>
      </w:r>
      <w:r>
        <w:rPr>
          <w:color w:val="231F20"/>
          <w:sz w:val="21"/>
        </w:rPr>
        <w:t>ділянку;</w:t>
      </w:r>
    </w:p>
    <w:p w14:paraId="7E3F9A01" w14:textId="77777777" w:rsidR="00DE575E" w:rsidRDefault="00DE575E">
      <w:pPr>
        <w:pStyle w:val="BodyText"/>
        <w:rPr>
          <w:sz w:val="20"/>
        </w:rPr>
      </w:pPr>
    </w:p>
    <w:p w14:paraId="69041B56" w14:textId="6BF48CF7" w:rsidR="00DE575E" w:rsidRDefault="002E7560">
      <w:pPr>
        <w:pStyle w:val="BodyText"/>
        <w:spacing w:before="10"/>
        <w:rPr>
          <w:sz w:val="16"/>
        </w:rPr>
      </w:pPr>
      <w:r>
        <w:rPr>
          <w:noProof/>
        </w:rPr>
        <mc:AlternateContent>
          <mc:Choice Requires="wps">
            <w:drawing>
              <wp:anchor distT="0" distB="0" distL="0" distR="0" simplePos="0" relativeHeight="11320" behindDoc="0" locked="0" layoutInCell="1" allowOverlap="1" wp14:anchorId="4DF110AD" wp14:editId="313C28C3">
                <wp:simplePos x="0" y="0"/>
                <wp:positionH relativeFrom="page">
                  <wp:posOffset>719455</wp:posOffset>
                </wp:positionH>
                <wp:positionV relativeFrom="paragraph">
                  <wp:posOffset>153035</wp:posOffset>
                </wp:positionV>
                <wp:extent cx="1080135" cy="0"/>
                <wp:effectExtent l="8255" t="13335" r="29210" b="24765"/>
                <wp:wrapTopAndBottom/>
                <wp:docPr id="695"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297B6" id="Line_x0020_694" o:spid="_x0000_s1026" style="position:absolute;z-index:11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05pt" to="141.7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BhsCE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" strokecolor="#231f20" strokeweight=".5pt">
                <w10:wrap type="topAndBottom" anchorx="page"/>
              </v:line>
            </w:pict>
          </mc:Fallback>
        </mc:AlternateContent>
      </w:r>
    </w:p>
    <w:p w14:paraId="5D999F90"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 xml:space="preserve">Мета  </w:t>
      </w:r>
      <w:r>
        <w:rPr>
          <w:b/>
          <w:i/>
          <w:color w:val="231F20"/>
          <w:sz w:val="16"/>
        </w:rPr>
        <w:t xml:space="preserve">діджиталізації  </w:t>
      </w:r>
      <w:r>
        <w:rPr>
          <w:color w:val="231F20"/>
          <w:sz w:val="16"/>
        </w:rPr>
        <w:t xml:space="preserve">–  зробити  так,  щоб  усі  відносини   з   державою   людина могла здійснювати за допомогою смартфона й інтернету. – Володимир Зеленський. </w:t>
      </w:r>
      <w:hyperlink r:id="rId41">
        <w:r>
          <w:rPr>
            <w:color w:val="231F20"/>
            <w:sz w:val="16"/>
          </w:rPr>
          <w:t>https://www</w:t>
        </w:r>
      </w:hyperlink>
      <w:r>
        <w:rPr>
          <w:color w:val="231F20"/>
          <w:sz w:val="16"/>
        </w:rPr>
        <w:t>.prav</w:t>
      </w:r>
      <w:hyperlink r:id="rId42">
        <w:r>
          <w:rPr>
            <w:color w:val="231F20"/>
            <w:sz w:val="16"/>
          </w:rPr>
          <w:t>da.com.ua/news/2020/02/6/7239632/</w:t>
        </w:r>
      </w:hyperlink>
    </w:p>
    <w:p w14:paraId="698B31AC" w14:textId="77777777" w:rsidR="00DE575E" w:rsidRDefault="002E7560">
      <w:pPr>
        <w:spacing w:before="26" w:line="204" w:lineRule="auto"/>
        <w:ind w:left="533" w:right="128"/>
        <w:jc w:val="both"/>
        <w:rPr>
          <w:i/>
          <w:sz w:val="16"/>
        </w:rPr>
      </w:pPr>
      <w:r>
        <w:rPr>
          <w:color w:val="231F20"/>
          <w:position w:val="5"/>
          <w:sz w:val="9"/>
        </w:rPr>
        <w:t xml:space="preserve">2 </w:t>
      </w:r>
      <w:r>
        <w:rPr>
          <w:i/>
          <w:color w:val="231F20"/>
          <w:sz w:val="16"/>
          <w:u w:val="single" w:color="231F20"/>
        </w:rPr>
        <w:t>Приклад:</w:t>
      </w:r>
      <w:r>
        <w:rPr>
          <w:i/>
          <w:color w:val="231F20"/>
          <w:sz w:val="16"/>
        </w:rPr>
        <w:t xml:space="preserve"> Мобільний додаток «Дія» надає можливість 9 мільйонам громадян користу- ватися посвідченням водія та свідоцтвом про реєстрацію транспортного засобу у своєму смартфоні. Крім тог</w:t>
      </w:r>
      <w:r>
        <w:rPr>
          <w:i/>
          <w:color w:val="231F20"/>
          <w:sz w:val="16"/>
        </w:rPr>
        <w:t>о у планах Уряду України – забезпечити доступ до цифрових паспор- тів</w:t>
      </w:r>
      <w:r>
        <w:rPr>
          <w:i/>
          <w:color w:val="231F20"/>
          <w:spacing w:val="-7"/>
          <w:sz w:val="16"/>
        </w:rPr>
        <w:t xml:space="preserve"> </w:t>
      </w:r>
      <w:r>
        <w:rPr>
          <w:i/>
          <w:color w:val="231F20"/>
          <w:sz w:val="16"/>
        </w:rPr>
        <w:t>за</w:t>
      </w:r>
      <w:r>
        <w:rPr>
          <w:i/>
          <w:color w:val="231F20"/>
          <w:spacing w:val="-7"/>
          <w:sz w:val="16"/>
        </w:rPr>
        <w:t xml:space="preserve"> </w:t>
      </w:r>
      <w:r>
        <w:rPr>
          <w:i/>
          <w:color w:val="231F20"/>
          <w:sz w:val="16"/>
        </w:rPr>
        <w:t>допомогою</w:t>
      </w:r>
      <w:r>
        <w:rPr>
          <w:i/>
          <w:color w:val="231F20"/>
          <w:spacing w:val="-7"/>
          <w:sz w:val="16"/>
        </w:rPr>
        <w:t xml:space="preserve"> </w:t>
      </w:r>
      <w:r>
        <w:rPr>
          <w:i/>
          <w:color w:val="231F20"/>
          <w:sz w:val="16"/>
        </w:rPr>
        <w:t>смартфона,</w:t>
      </w:r>
      <w:r>
        <w:rPr>
          <w:i/>
          <w:color w:val="231F20"/>
          <w:spacing w:val="-7"/>
          <w:sz w:val="16"/>
        </w:rPr>
        <w:t xml:space="preserve"> </w:t>
      </w:r>
      <w:r>
        <w:rPr>
          <w:i/>
          <w:color w:val="231F20"/>
          <w:sz w:val="16"/>
        </w:rPr>
        <w:t>коли</w:t>
      </w:r>
      <w:r>
        <w:rPr>
          <w:i/>
          <w:color w:val="231F20"/>
          <w:spacing w:val="-7"/>
          <w:sz w:val="16"/>
        </w:rPr>
        <w:t xml:space="preserve"> </w:t>
      </w:r>
      <w:r>
        <w:rPr>
          <w:i/>
          <w:color w:val="231F20"/>
          <w:sz w:val="16"/>
        </w:rPr>
        <w:t>громадяни</w:t>
      </w:r>
      <w:r>
        <w:rPr>
          <w:i/>
          <w:color w:val="231F20"/>
          <w:spacing w:val="-7"/>
          <w:sz w:val="16"/>
        </w:rPr>
        <w:t xml:space="preserve"> </w:t>
      </w:r>
      <w:r>
        <w:rPr>
          <w:i/>
          <w:color w:val="231F20"/>
          <w:sz w:val="16"/>
        </w:rPr>
        <w:t>зможуть</w:t>
      </w:r>
      <w:r>
        <w:rPr>
          <w:i/>
          <w:color w:val="231F20"/>
          <w:spacing w:val="-7"/>
          <w:sz w:val="16"/>
        </w:rPr>
        <w:t xml:space="preserve"> </w:t>
      </w:r>
      <w:r>
        <w:rPr>
          <w:i/>
          <w:color w:val="231F20"/>
          <w:sz w:val="16"/>
        </w:rPr>
        <w:t>посвідчувати</w:t>
      </w:r>
      <w:r>
        <w:rPr>
          <w:i/>
          <w:color w:val="231F20"/>
          <w:spacing w:val="-7"/>
          <w:sz w:val="16"/>
        </w:rPr>
        <w:t xml:space="preserve"> </w:t>
      </w:r>
      <w:r>
        <w:rPr>
          <w:i/>
          <w:color w:val="231F20"/>
          <w:sz w:val="16"/>
        </w:rPr>
        <w:t>особу,</w:t>
      </w:r>
      <w:r>
        <w:rPr>
          <w:i/>
          <w:color w:val="231F20"/>
          <w:spacing w:val="-7"/>
          <w:sz w:val="16"/>
        </w:rPr>
        <w:t xml:space="preserve"> </w:t>
      </w:r>
      <w:r>
        <w:rPr>
          <w:i/>
          <w:color w:val="231F20"/>
          <w:sz w:val="16"/>
        </w:rPr>
        <w:t>подорожуючи залізницею, під час медичного обслуговування, банківських операцій та</w:t>
      </w:r>
      <w:r>
        <w:rPr>
          <w:i/>
          <w:color w:val="231F20"/>
          <w:spacing w:val="-11"/>
          <w:sz w:val="16"/>
        </w:rPr>
        <w:t xml:space="preserve"> </w:t>
      </w:r>
      <w:r>
        <w:rPr>
          <w:i/>
          <w:color w:val="231F20"/>
          <w:sz w:val="16"/>
        </w:rPr>
        <w:t>ін.</w:t>
      </w:r>
    </w:p>
    <w:p w14:paraId="1BFD95F0" w14:textId="77777777" w:rsidR="00DE575E" w:rsidRDefault="00DE575E">
      <w:pPr>
        <w:pStyle w:val="BodyText"/>
        <w:spacing w:before="7"/>
        <w:rPr>
          <w:i/>
          <w:sz w:val="12"/>
        </w:rPr>
      </w:pPr>
    </w:p>
    <w:p w14:paraId="6A6DD4BA" w14:textId="77777777" w:rsidR="00DE575E" w:rsidRDefault="002E7560">
      <w:pPr>
        <w:spacing w:before="92"/>
        <w:ind w:left="533"/>
        <w:rPr>
          <w:rFonts w:ascii="Times New Roman"/>
          <w:sz w:val="20"/>
        </w:rPr>
      </w:pPr>
      <w:r>
        <w:rPr>
          <w:rFonts w:ascii="Times New Roman"/>
          <w:color w:val="231F20"/>
          <w:sz w:val="20"/>
        </w:rPr>
        <w:t>284</w:t>
      </w:r>
    </w:p>
    <w:p w14:paraId="1286DAC9" w14:textId="77777777" w:rsidR="00DE575E" w:rsidRDefault="00DE575E">
      <w:pPr>
        <w:rPr>
          <w:rFonts w:ascii="Times New Roman"/>
          <w:sz w:val="20"/>
        </w:rPr>
        <w:sectPr w:rsidR="00DE575E">
          <w:pgSz w:w="8510" w:h="12760"/>
          <w:pgMar w:top="660" w:right="720" w:bottom="280" w:left="600" w:header="720" w:footer="720" w:gutter="0"/>
          <w:cols w:space="720"/>
        </w:sectPr>
      </w:pPr>
    </w:p>
    <w:p w14:paraId="5A84041F"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w:t>
      </w:r>
      <w:r>
        <w:rPr>
          <w:rFonts w:ascii="AdonisC" w:hAnsi="AdonisC"/>
          <w:i/>
          <w:color w:val="231F20"/>
          <w:sz w:val="18"/>
        </w:rPr>
        <w:t>ьне адміністративне право Розділ 7. Інструменти публічного адміністрування</w:t>
      </w:r>
    </w:p>
    <w:p w14:paraId="159EEE75" w14:textId="6C66DF7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4199783" wp14:editId="3914C218">
                <wp:extent cx="4140200" cy="6350"/>
                <wp:effectExtent l="0" t="0" r="12700" b="6350"/>
                <wp:docPr id="69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94" name="Line 69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1AA7B" id="Group_x0020_69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oqQ3p/AgAAmAUAAA4A&#10;AAAAAAAAAAAAAAAALAIAAGRycy9lMm9Eb2MueG1sUEsBAi0AFAAGAAgAAAAhAEynsJDZAAAAAwEA&#10;AA8AAAAAAAAAAAAAAAAA1wQAAGRycy9kb3ducmV2LnhtbFBLBQYAAAAABAAEAPMAAADdBQAAAAA=&#10;">
                <v:line id="Line_x0020_69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8XlMYAAADcAAAADwAAAGRycy9kb3ducmV2LnhtbESP0WrCQBRE3wv+w3IFX0rdqEVqdBUp&#10;FEoftDX9gGv2mgR378bsaqJf7wqFPg4zc4ZZrDprxIUaXzlWMBomIIhzpysuFPxmHy9vIHxA1mgc&#10;k4IreVgte08LTLVr+Ycuu1CICGGfooIyhDqV0uclWfRDVxNH7+AaiyHKppC6wTbCrZHjJJlKixXH&#10;hRJrei8pP+7OVkF2eg7me/tl2my7n8j9aTO5nTdKDfrdeg4iUBf+w3/tT61gOnu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AfF5TGAAAA3AAAAA8AAAAAAAAA&#10;AAAAAAAAoQIAAGRycy9kb3ducmV2LnhtbFBLBQYAAAAABAAEAPkAAACUAwAAAAA=&#10;" strokecolor="#231f20" strokeweight=".5pt"/>
                <w10:anchorlock/>
              </v:group>
            </w:pict>
          </mc:Fallback>
        </mc:AlternateContent>
      </w:r>
    </w:p>
    <w:p w14:paraId="0D2EC624" w14:textId="77777777" w:rsidR="00DE575E" w:rsidRDefault="00DE575E">
      <w:pPr>
        <w:pStyle w:val="BodyText"/>
        <w:spacing w:before="7"/>
        <w:rPr>
          <w:rFonts w:ascii="AdonisC"/>
          <w:i/>
          <w:sz w:val="19"/>
        </w:rPr>
      </w:pPr>
    </w:p>
    <w:p w14:paraId="5673F911" w14:textId="77777777" w:rsidR="00DE575E" w:rsidRDefault="002E7560">
      <w:pPr>
        <w:pStyle w:val="BodyText"/>
        <w:spacing w:before="1" w:line="252" w:lineRule="auto"/>
        <w:ind w:left="250" w:right="405" w:firstLine="283"/>
        <w:jc w:val="both"/>
      </w:pPr>
      <w:r>
        <w:rPr>
          <w:color w:val="231F20"/>
        </w:rPr>
        <w:t xml:space="preserve">– </w:t>
      </w:r>
      <w:r>
        <w:rPr>
          <w:color w:val="231F20"/>
          <w:spacing w:val="1"/>
        </w:rPr>
        <w:t xml:space="preserve">забезпечення через єдиний державний веб-портал елект- ронних послуг можливості </w:t>
      </w:r>
      <w:r>
        <w:rPr>
          <w:color w:val="231F20"/>
          <w:spacing w:val="2"/>
        </w:rPr>
        <w:t xml:space="preserve">для </w:t>
      </w:r>
      <w:r>
        <w:rPr>
          <w:color w:val="231F20"/>
          <w:spacing w:val="1"/>
        </w:rPr>
        <w:t xml:space="preserve">споживачів </w:t>
      </w:r>
      <w:r>
        <w:rPr>
          <w:color w:val="231F20"/>
        </w:rPr>
        <w:t xml:space="preserve">ЖКП </w:t>
      </w:r>
      <w:r>
        <w:rPr>
          <w:color w:val="231F20"/>
          <w:spacing w:val="1"/>
        </w:rPr>
        <w:t xml:space="preserve">подавати </w:t>
      </w:r>
      <w:r>
        <w:rPr>
          <w:color w:val="231F20"/>
        </w:rPr>
        <w:t xml:space="preserve">вико- </w:t>
      </w:r>
      <w:r>
        <w:rPr>
          <w:color w:val="231F20"/>
          <w:spacing w:val="1"/>
        </w:rPr>
        <w:t xml:space="preserve">навцям таких послуг звернення </w:t>
      </w:r>
      <w:r>
        <w:rPr>
          <w:color w:val="231F20"/>
        </w:rPr>
        <w:t xml:space="preserve">в </w:t>
      </w:r>
      <w:r>
        <w:rPr>
          <w:color w:val="231F20"/>
          <w:spacing w:val="1"/>
        </w:rPr>
        <w:t xml:space="preserve">електронній формі </w:t>
      </w:r>
      <w:r>
        <w:rPr>
          <w:color w:val="231F20"/>
        </w:rPr>
        <w:t xml:space="preserve">щодо </w:t>
      </w:r>
      <w:r>
        <w:rPr>
          <w:color w:val="231F20"/>
          <w:spacing w:val="2"/>
        </w:rPr>
        <w:t xml:space="preserve">їх </w:t>
      </w:r>
      <w:r>
        <w:rPr>
          <w:color w:val="231F20"/>
          <w:spacing w:val="1"/>
        </w:rPr>
        <w:t>надання, встановлення, обслуговування,  заміни</w:t>
      </w:r>
      <w:r>
        <w:rPr>
          <w:color w:val="231F20"/>
          <w:spacing w:val="1"/>
        </w:rPr>
        <w:t xml:space="preserve">  </w:t>
      </w:r>
      <w:r>
        <w:rPr>
          <w:color w:val="231F20"/>
        </w:rPr>
        <w:t xml:space="preserve">та  </w:t>
      </w:r>
      <w:r>
        <w:rPr>
          <w:color w:val="231F20"/>
          <w:spacing w:val="2"/>
        </w:rPr>
        <w:t xml:space="preserve">повірки </w:t>
      </w:r>
      <w:r>
        <w:rPr>
          <w:color w:val="231F20"/>
          <w:spacing w:val="1"/>
        </w:rPr>
        <w:t xml:space="preserve">вузлів </w:t>
      </w:r>
      <w:r>
        <w:rPr>
          <w:color w:val="231F20"/>
        </w:rPr>
        <w:t xml:space="preserve">обліку, </w:t>
      </w:r>
      <w:r>
        <w:rPr>
          <w:color w:val="231F20"/>
          <w:spacing w:val="1"/>
        </w:rPr>
        <w:t xml:space="preserve">отримувати інформацію </w:t>
      </w:r>
      <w:r>
        <w:rPr>
          <w:color w:val="231F20"/>
        </w:rPr>
        <w:t xml:space="preserve">про </w:t>
      </w:r>
      <w:r>
        <w:rPr>
          <w:color w:val="231F20"/>
          <w:spacing w:val="1"/>
        </w:rPr>
        <w:t xml:space="preserve">перебіг </w:t>
      </w:r>
      <w:r>
        <w:rPr>
          <w:color w:val="231F20"/>
        </w:rPr>
        <w:t xml:space="preserve">та результати розгляду </w:t>
      </w:r>
      <w:r>
        <w:rPr>
          <w:color w:val="231F20"/>
          <w:spacing w:val="1"/>
        </w:rPr>
        <w:t xml:space="preserve">таких звернень, здійснювати розрахунки </w:t>
      </w:r>
      <w:r>
        <w:rPr>
          <w:color w:val="231F20"/>
        </w:rPr>
        <w:t xml:space="preserve">за житлово- </w:t>
      </w:r>
      <w:r>
        <w:rPr>
          <w:color w:val="231F20"/>
          <w:spacing w:val="1"/>
        </w:rPr>
        <w:t>комунальні</w:t>
      </w:r>
      <w:r>
        <w:rPr>
          <w:color w:val="231F20"/>
          <w:spacing w:val="7"/>
        </w:rPr>
        <w:t xml:space="preserve"> </w:t>
      </w:r>
      <w:r>
        <w:rPr>
          <w:color w:val="231F20"/>
          <w:spacing w:val="1"/>
        </w:rPr>
        <w:t>послуги</w:t>
      </w:r>
      <w:r>
        <w:rPr>
          <w:color w:val="231F20"/>
          <w:spacing w:val="1"/>
          <w:position w:val="7"/>
          <w:sz w:val="12"/>
        </w:rPr>
        <w:t>1</w:t>
      </w:r>
      <w:r>
        <w:rPr>
          <w:color w:val="231F20"/>
          <w:spacing w:val="1"/>
        </w:rPr>
        <w:t>.</w:t>
      </w:r>
    </w:p>
    <w:p w14:paraId="3A26DE8A" w14:textId="77777777" w:rsidR="00DE575E" w:rsidRDefault="002E7560">
      <w:pPr>
        <w:pStyle w:val="BodyText"/>
        <w:spacing w:before="3" w:line="252" w:lineRule="auto"/>
        <w:ind w:left="250" w:right="409" w:firstLine="283"/>
        <w:jc w:val="both"/>
      </w:pPr>
      <w:r>
        <w:rPr>
          <w:b/>
          <w:color w:val="231F20"/>
        </w:rPr>
        <w:t xml:space="preserve">Е-парламент </w:t>
      </w:r>
      <w:r>
        <w:rPr>
          <w:color w:val="231F20"/>
        </w:rPr>
        <w:t xml:space="preserve">– це форма участі громадян та інститутів грома- дянського суспільства в законотворчих процесах, а також в органі- зації діяльності й узаємодії </w:t>
      </w:r>
      <w:r>
        <w:rPr>
          <w:color w:val="231F20"/>
          <w:spacing w:val="-3"/>
        </w:rPr>
        <w:t xml:space="preserve">суб’єктів </w:t>
      </w:r>
      <w:r>
        <w:rPr>
          <w:color w:val="231F20"/>
        </w:rPr>
        <w:t>права законодавчої ініціативи та інших учасників законодавчого процесу на основі використання інформаці</w:t>
      </w:r>
      <w:r>
        <w:rPr>
          <w:color w:val="231F20"/>
        </w:rPr>
        <w:t>йно-телекомунікаційних технологій на усіх етапах зако- нотворчості. За допомогою впровадження е-парламенту забезпечу- ється</w:t>
      </w:r>
      <w:r>
        <w:rPr>
          <w:color w:val="231F20"/>
          <w:spacing w:val="-12"/>
        </w:rPr>
        <w:t xml:space="preserve"> </w:t>
      </w:r>
      <w:r>
        <w:rPr>
          <w:color w:val="231F20"/>
        </w:rPr>
        <w:t>активізація</w:t>
      </w:r>
      <w:r>
        <w:rPr>
          <w:color w:val="231F20"/>
          <w:spacing w:val="-12"/>
        </w:rPr>
        <w:t xml:space="preserve"> </w:t>
      </w:r>
      <w:r>
        <w:rPr>
          <w:color w:val="231F20"/>
        </w:rPr>
        <w:t>залучення</w:t>
      </w:r>
      <w:r>
        <w:rPr>
          <w:color w:val="231F20"/>
          <w:spacing w:val="-12"/>
        </w:rPr>
        <w:t xml:space="preserve"> </w:t>
      </w:r>
      <w:r>
        <w:rPr>
          <w:color w:val="231F20"/>
        </w:rPr>
        <w:t>населення</w:t>
      </w:r>
      <w:r>
        <w:rPr>
          <w:color w:val="231F20"/>
          <w:spacing w:val="-12"/>
        </w:rPr>
        <w:t xml:space="preserve"> </w:t>
      </w:r>
      <w:r>
        <w:rPr>
          <w:color w:val="231F20"/>
        </w:rPr>
        <w:t>до</w:t>
      </w:r>
      <w:r>
        <w:rPr>
          <w:color w:val="231F20"/>
          <w:spacing w:val="-12"/>
        </w:rPr>
        <w:t xml:space="preserve"> </w:t>
      </w:r>
      <w:r>
        <w:rPr>
          <w:color w:val="231F20"/>
        </w:rPr>
        <w:t>законотворчої</w:t>
      </w:r>
      <w:r>
        <w:rPr>
          <w:color w:val="231F20"/>
          <w:spacing w:val="-12"/>
        </w:rPr>
        <w:t xml:space="preserve"> </w:t>
      </w:r>
      <w:r>
        <w:rPr>
          <w:color w:val="231F20"/>
        </w:rPr>
        <w:t>діяльності, здійснення комунікацій між усіма учасниками такої діяльності – парламен</w:t>
      </w:r>
      <w:r>
        <w:rPr>
          <w:color w:val="231F20"/>
        </w:rPr>
        <w:t>тарів, політичних діячів, державних та публічних служ- бовців, виборців (громадян), представників ЗМІ тощо. Окрім іншого е-парламент активізує розвиток е-законодавства, е-голосування, е-звернень та</w:t>
      </w:r>
      <w:r>
        <w:rPr>
          <w:color w:val="231F20"/>
          <w:spacing w:val="-2"/>
        </w:rPr>
        <w:t xml:space="preserve"> </w:t>
      </w:r>
      <w:r>
        <w:rPr>
          <w:color w:val="231F20"/>
        </w:rPr>
        <w:t>е-консультацій.</w:t>
      </w:r>
    </w:p>
    <w:p w14:paraId="0034140D" w14:textId="77777777" w:rsidR="00DE575E" w:rsidRDefault="002E7560">
      <w:pPr>
        <w:pStyle w:val="BodyText"/>
        <w:spacing w:before="6" w:line="252" w:lineRule="auto"/>
        <w:ind w:left="250" w:right="409" w:firstLine="283"/>
        <w:jc w:val="both"/>
      </w:pPr>
      <w:r>
        <w:rPr>
          <w:b/>
          <w:color w:val="231F20"/>
        </w:rPr>
        <w:t xml:space="preserve">Е-правосуддя </w:t>
      </w:r>
      <w:r>
        <w:rPr>
          <w:color w:val="231F20"/>
        </w:rPr>
        <w:t xml:space="preserve">передбачає електронне судочинство, а також усі супутні йому процеси, включаючи організацію діяльності </w:t>
      </w:r>
      <w:r>
        <w:rPr>
          <w:color w:val="231F20"/>
          <w:spacing w:val="-7"/>
        </w:rPr>
        <w:t xml:space="preserve">суду, </w:t>
      </w:r>
      <w:r>
        <w:rPr>
          <w:color w:val="231F20"/>
        </w:rPr>
        <w:t>не пов’язану з відправленням правосуддя, з використанням інформа- ційно-телекомунікаційних технологій. Як правило, до елементів e-правосуддя віднося</w:t>
      </w:r>
      <w:r>
        <w:rPr>
          <w:color w:val="231F20"/>
        </w:rPr>
        <w:t xml:space="preserve">ть: можливість подання позову та інших доку- ментів процесуального характеру в режимі он-лайн за допомогою спеціалізованих інтернет-порталів; використання електронних доказів; проведення </w:t>
      </w:r>
      <w:r>
        <w:rPr>
          <w:color w:val="231F20"/>
          <w:spacing w:val="-3"/>
        </w:rPr>
        <w:t xml:space="preserve">судового </w:t>
      </w:r>
      <w:r>
        <w:rPr>
          <w:color w:val="231F20"/>
        </w:rPr>
        <w:t>засідання в режимі  відеоконферен- ції або транслювання пере</w:t>
      </w:r>
      <w:r>
        <w:rPr>
          <w:color w:val="231F20"/>
        </w:rPr>
        <w:t xml:space="preserve">бігу </w:t>
      </w:r>
      <w:r>
        <w:rPr>
          <w:color w:val="231F20"/>
          <w:spacing w:val="-3"/>
        </w:rPr>
        <w:t xml:space="preserve">судового </w:t>
      </w:r>
      <w:r>
        <w:rPr>
          <w:color w:val="231F20"/>
        </w:rPr>
        <w:t>засідання в мережі Інтер- нет; формування електронної справи з використання електронного документообігу</w:t>
      </w:r>
      <w:r>
        <w:rPr>
          <w:color w:val="231F20"/>
          <w:spacing w:val="-15"/>
        </w:rPr>
        <w:t xml:space="preserve"> </w:t>
      </w:r>
      <w:r>
        <w:rPr>
          <w:color w:val="231F20"/>
        </w:rPr>
        <w:t>і</w:t>
      </w:r>
      <w:r>
        <w:rPr>
          <w:color w:val="231F20"/>
          <w:spacing w:val="-13"/>
        </w:rPr>
        <w:t xml:space="preserve"> </w:t>
      </w:r>
      <w:r>
        <w:rPr>
          <w:color w:val="231F20"/>
        </w:rPr>
        <w:t>діловодства;</w:t>
      </w:r>
      <w:r>
        <w:rPr>
          <w:color w:val="231F20"/>
          <w:spacing w:val="-14"/>
        </w:rPr>
        <w:t xml:space="preserve"> </w:t>
      </w:r>
      <w:r>
        <w:rPr>
          <w:color w:val="231F20"/>
        </w:rPr>
        <w:t>надання</w:t>
      </w:r>
      <w:r>
        <w:rPr>
          <w:color w:val="231F20"/>
          <w:spacing w:val="-14"/>
        </w:rPr>
        <w:t xml:space="preserve"> </w:t>
      </w:r>
      <w:r>
        <w:rPr>
          <w:color w:val="231F20"/>
        </w:rPr>
        <w:t>доступу</w:t>
      </w:r>
      <w:r>
        <w:rPr>
          <w:color w:val="231F20"/>
          <w:spacing w:val="-14"/>
        </w:rPr>
        <w:t xml:space="preserve"> </w:t>
      </w:r>
      <w:r>
        <w:rPr>
          <w:color w:val="231F20"/>
        </w:rPr>
        <w:t>до</w:t>
      </w:r>
      <w:r>
        <w:rPr>
          <w:color w:val="231F20"/>
          <w:spacing w:val="-14"/>
        </w:rPr>
        <w:t xml:space="preserve"> </w:t>
      </w:r>
      <w:r>
        <w:rPr>
          <w:color w:val="231F20"/>
        </w:rPr>
        <w:t>матеріалів</w:t>
      </w:r>
      <w:r>
        <w:rPr>
          <w:color w:val="231F20"/>
          <w:spacing w:val="-14"/>
        </w:rPr>
        <w:t xml:space="preserve"> </w:t>
      </w:r>
      <w:r>
        <w:rPr>
          <w:color w:val="231F20"/>
        </w:rPr>
        <w:t xml:space="preserve">справи учасникам процесу та іншим особам засобами Інтернету; викорис- тання електронних </w:t>
      </w:r>
      <w:r>
        <w:rPr>
          <w:color w:val="231F20"/>
          <w:spacing w:val="-3"/>
        </w:rPr>
        <w:t>судов</w:t>
      </w:r>
      <w:r>
        <w:rPr>
          <w:color w:val="231F20"/>
          <w:spacing w:val="-3"/>
        </w:rPr>
        <w:t>их</w:t>
      </w:r>
      <w:r>
        <w:rPr>
          <w:color w:val="231F20"/>
          <w:spacing w:val="-2"/>
        </w:rPr>
        <w:t xml:space="preserve"> </w:t>
      </w:r>
      <w:r>
        <w:rPr>
          <w:color w:val="231F20"/>
        </w:rPr>
        <w:t>повісток.</w:t>
      </w:r>
    </w:p>
    <w:p w14:paraId="68F1E7E0" w14:textId="77777777" w:rsidR="00DE575E" w:rsidRDefault="002E7560">
      <w:pPr>
        <w:pStyle w:val="BodyText"/>
        <w:spacing w:before="6" w:line="252" w:lineRule="auto"/>
        <w:ind w:left="250" w:right="411" w:firstLine="283"/>
        <w:jc w:val="both"/>
      </w:pPr>
      <w:r>
        <w:rPr>
          <w:color w:val="231F20"/>
        </w:rPr>
        <w:t xml:space="preserve">Чинним процесуальним законодавством передбачено ство- рення єдиної </w:t>
      </w:r>
      <w:r>
        <w:rPr>
          <w:color w:val="231F20"/>
          <w:spacing w:val="-3"/>
        </w:rPr>
        <w:t xml:space="preserve">судової </w:t>
      </w:r>
      <w:r>
        <w:rPr>
          <w:color w:val="231F20"/>
        </w:rPr>
        <w:t>інформаційно-телекомунікаційної системи, яка</w:t>
      </w:r>
      <w:r>
        <w:rPr>
          <w:color w:val="231F20"/>
          <w:spacing w:val="-8"/>
        </w:rPr>
        <w:t xml:space="preserve"> </w:t>
      </w:r>
      <w:r>
        <w:rPr>
          <w:color w:val="231F20"/>
        </w:rPr>
        <w:t>забезпечує</w:t>
      </w:r>
      <w:r>
        <w:rPr>
          <w:color w:val="231F20"/>
          <w:spacing w:val="-8"/>
        </w:rPr>
        <w:t xml:space="preserve"> </w:t>
      </w:r>
      <w:r>
        <w:rPr>
          <w:color w:val="231F20"/>
        </w:rPr>
        <w:t>обмін</w:t>
      </w:r>
      <w:r>
        <w:rPr>
          <w:color w:val="231F20"/>
          <w:spacing w:val="-8"/>
        </w:rPr>
        <w:t xml:space="preserve"> </w:t>
      </w:r>
      <w:r>
        <w:rPr>
          <w:color w:val="231F20"/>
        </w:rPr>
        <w:t>документами</w:t>
      </w:r>
      <w:r>
        <w:rPr>
          <w:color w:val="231F20"/>
          <w:spacing w:val="-8"/>
        </w:rPr>
        <w:t xml:space="preserve"> </w:t>
      </w:r>
      <w:r>
        <w:rPr>
          <w:color w:val="231F20"/>
        </w:rPr>
        <w:t>(надсилання</w:t>
      </w:r>
      <w:r>
        <w:rPr>
          <w:color w:val="231F20"/>
          <w:spacing w:val="-8"/>
        </w:rPr>
        <w:t xml:space="preserve"> </w:t>
      </w:r>
      <w:r>
        <w:rPr>
          <w:color w:val="231F20"/>
        </w:rPr>
        <w:t>та</w:t>
      </w:r>
      <w:r>
        <w:rPr>
          <w:color w:val="231F20"/>
          <w:spacing w:val="-8"/>
        </w:rPr>
        <w:t xml:space="preserve"> </w:t>
      </w:r>
      <w:r>
        <w:rPr>
          <w:color w:val="231F20"/>
        </w:rPr>
        <w:t>отримання</w:t>
      </w:r>
      <w:r>
        <w:rPr>
          <w:color w:val="231F20"/>
          <w:spacing w:val="-8"/>
        </w:rPr>
        <w:t xml:space="preserve"> </w:t>
      </w:r>
      <w:r>
        <w:rPr>
          <w:color w:val="231F20"/>
        </w:rPr>
        <w:t>доку- ментів)</w:t>
      </w:r>
      <w:r>
        <w:rPr>
          <w:color w:val="231F20"/>
          <w:spacing w:val="18"/>
        </w:rPr>
        <w:t xml:space="preserve"> </w:t>
      </w:r>
      <w:r>
        <w:rPr>
          <w:color w:val="231F20"/>
        </w:rPr>
        <w:t>в</w:t>
      </w:r>
      <w:r>
        <w:rPr>
          <w:color w:val="231F20"/>
          <w:spacing w:val="18"/>
        </w:rPr>
        <w:t xml:space="preserve"> </w:t>
      </w:r>
      <w:r>
        <w:rPr>
          <w:color w:val="231F20"/>
        </w:rPr>
        <w:t>електронній</w:t>
      </w:r>
      <w:r>
        <w:rPr>
          <w:color w:val="231F20"/>
          <w:spacing w:val="18"/>
        </w:rPr>
        <w:t xml:space="preserve"> </w:t>
      </w:r>
      <w:r>
        <w:rPr>
          <w:color w:val="231F20"/>
        </w:rPr>
        <w:t>формі</w:t>
      </w:r>
      <w:r>
        <w:rPr>
          <w:color w:val="231F20"/>
          <w:spacing w:val="18"/>
        </w:rPr>
        <w:t xml:space="preserve"> </w:t>
      </w:r>
      <w:r>
        <w:rPr>
          <w:color w:val="231F20"/>
        </w:rPr>
        <w:t>між</w:t>
      </w:r>
      <w:r>
        <w:rPr>
          <w:color w:val="231F20"/>
          <w:spacing w:val="18"/>
        </w:rPr>
        <w:t xml:space="preserve"> </w:t>
      </w:r>
      <w:r>
        <w:rPr>
          <w:color w:val="231F20"/>
          <w:spacing w:val="-3"/>
        </w:rPr>
        <w:t>судами,</w:t>
      </w:r>
      <w:r>
        <w:rPr>
          <w:color w:val="231F20"/>
          <w:spacing w:val="18"/>
        </w:rPr>
        <w:t xml:space="preserve"> </w:t>
      </w:r>
      <w:r>
        <w:rPr>
          <w:color w:val="231F20"/>
        </w:rPr>
        <w:t>між</w:t>
      </w:r>
      <w:r>
        <w:rPr>
          <w:color w:val="231F20"/>
          <w:spacing w:val="18"/>
        </w:rPr>
        <w:t xml:space="preserve"> </w:t>
      </w:r>
      <w:r>
        <w:rPr>
          <w:color w:val="231F20"/>
          <w:spacing w:val="-3"/>
        </w:rPr>
        <w:t>судом</w:t>
      </w:r>
      <w:r>
        <w:rPr>
          <w:color w:val="231F20"/>
          <w:spacing w:val="18"/>
        </w:rPr>
        <w:t xml:space="preserve"> </w:t>
      </w:r>
      <w:r>
        <w:rPr>
          <w:color w:val="231F20"/>
        </w:rPr>
        <w:t>та</w:t>
      </w:r>
      <w:r>
        <w:rPr>
          <w:color w:val="231F20"/>
          <w:spacing w:val="18"/>
        </w:rPr>
        <w:t xml:space="preserve"> </w:t>
      </w:r>
      <w:r>
        <w:rPr>
          <w:color w:val="231F20"/>
        </w:rPr>
        <w:t>учасниками</w:t>
      </w:r>
    </w:p>
    <w:p w14:paraId="23595C36" w14:textId="77777777" w:rsidR="00DE575E" w:rsidRDefault="00DE575E">
      <w:pPr>
        <w:pStyle w:val="BodyText"/>
        <w:rPr>
          <w:sz w:val="20"/>
        </w:rPr>
      </w:pPr>
    </w:p>
    <w:p w14:paraId="363351B2" w14:textId="7A632AFB" w:rsidR="00DE575E" w:rsidRDefault="002E7560">
      <w:pPr>
        <w:pStyle w:val="BodyText"/>
        <w:spacing w:before="10"/>
        <w:rPr>
          <w:sz w:val="12"/>
        </w:rPr>
      </w:pPr>
      <w:r>
        <w:rPr>
          <w:noProof/>
        </w:rPr>
        <mc:AlternateContent>
          <mc:Choice Requires="wps">
            <w:drawing>
              <wp:anchor distT="0" distB="0" distL="0" distR="0" simplePos="0" relativeHeight="11368" behindDoc="0" locked="0" layoutInCell="1" allowOverlap="1" wp14:anchorId="3C8259DC" wp14:editId="0F603F25">
                <wp:simplePos x="0" y="0"/>
                <wp:positionH relativeFrom="page">
                  <wp:posOffset>539750</wp:posOffset>
                </wp:positionH>
                <wp:positionV relativeFrom="paragraph">
                  <wp:posOffset>123825</wp:posOffset>
                </wp:positionV>
                <wp:extent cx="1080135" cy="0"/>
                <wp:effectExtent l="6350" t="9525" r="31115" b="28575"/>
                <wp:wrapTopAndBottom/>
                <wp:docPr id="692"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AD6EC" id="Line_x0020_691" o:spid="_x0000_s1026" style="position:absolute;z-index:11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5pt" to="127.55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" strokecolor="#231f20" strokeweight=".5pt">
                <w10:wrap type="topAndBottom" anchorx="page"/>
              </v:line>
            </w:pict>
          </mc:Fallback>
        </mc:AlternateContent>
      </w:r>
    </w:p>
    <w:p w14:paraId="69D1D77A" w14:textId="77777777" w:rsidR="00DE575E" w:rsidRDefault="002E7560">
      <w:pPr>
        <w:spacing w:line="204" w:lineRule="auto"/>
        <w:ind w:left="250" w:right="128"/>
        <w:rPr>
          <w:sz w:val="16"/>
        </w:rPr>
      </w:pPr>
      <w:r>
        <w:rPr>
          <w:color w:val="231F20"/>
          <w:position w:val="5"/>
          <w:sz w:val="9"/>
        </w:rPr>
        <w:t xml:space="preserve">1 </w:t>
      </w:r>
      <w:r>
        <w:rPr>
          <w:color w:val="231F20"/>
          <w:sz w:val="16"/>
        </w:rPr>
        <w:t>Про деякі заходи із забезпечення надання якісних публічних послуг: Указ Президента України від 4.09.2019 р. № 647.</w:t>
      </w:r>
    </w:p>
    <w:p w14:paraId="32445DE7" w14:textId="77777777" w:rsidR="00DE575E" w:rsidRDefault="00DE575E">
      <w:pPr>
        <w:pStyle w:val="BodyText"/>
        <w:spacing w:before="1"/>
        <w:rPr>
          <w:sz w:val="12"/>
        </w:rPr>
      </w:pPr>
    </w:p>
    <w:p w14:paraId="03D3470E" w14:textId="77777777" w:rsidR="00DE575E" w:rsidRDefault="002E7560">
      <w:pPr>
        <w:spacing w:before="92"/>
        <w:ind w:right="411"/>
        <w:jc w:val="right"/>
        <w:rPr>
          <w:rFonts w:ascii="Times New Roman"/>
          <w:sz w:val="20"/>
        </w:rPr>
      </w:pPr>
      <w:r>
        <w:rPr>
          <w:rFonts w:ascii="Times New Roman"/>
          <w:color w:val="231F20"/>
          <w:w w:val="90"/>
          <w:sz w:val="20"/>
        </w:rPr>
        <w:t>285</w:t>
      </w:r>
    </w:p>
    <w:p w14:paraId="5B59994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75A5E0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0D5606D" w14:textId="79CB31C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FBE1F44" wp14:editId="236BCE04">
                <wp:extent cx="4140200" cy="6350"/>
                <wp:effectExtent l="0" t="0" r="12700" b="6350"/>
                <wp:docPr id="690"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91" name="Line 69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772254" id="Group_x0020_68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BUDFgH4CAACYBQAADgAA&#10;AAAAAAAAAAAAAAAsAgAAZHJzL2Uyb0RvYy54bWxQSwECLQAUAAYACAAAACEATKewkNkAAAADAQAA&#10;DwAAAAAAAAAAAAAAAADWBAAAZHJzL2Rvd25yZXYueG1sUEsFBgAAAAAEAAQA8wAAANwFAAAAAA==&#10;">
                <v:line id="Line_x0020_69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i0DMYAAADcAAAADwAAAGRycy9kb3ducmV2LnhtbESP0WrCQBRE3wX/YblCX0Q3VpA2uooI&#10;gvRBrekHXLO3Seju3ZhdTdqv7wqCj8PMnGEWq84acaPGV44VTMYJCOLc6YoLBV/ZdvQGwgdkjcYx&#10;KfglD6tlv7fAVLuWP+l2CoWIEPYpKihDqFMpfV6SRT92NXH0vl1jMUTZFFI32Ea4NfI1SWbSYsVx&#10;ocSaNiXlP6erVZBdhsEcDx+mzQ7nqTxf9tO/616pl0G3noMI1IVn+NHeaQWz9wncz8QjI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otAzGAAAA3AAAAA8AAAAAAAAA&#10;AAAAAAAAoQIAAGRycy9kb3ducmV2LnhtbFBLBQYAAAAABAAEAPkAAACUAwAAAAA=&#10;" strokecolor="#231f20" strokeweight=".5pt"/>
                <w10:anchorlock/>
              </v:group>
            </w:pict>
          </mc:Fallback>
        </mc:AlternateContent>
      </w:r>
    </w:p>
    <w:p w14:paraId="14E0E614" w14:textId="77777777" w:rsidR="00DE575E" w:rsidRDefault="00DE575E">
      <w:pPr>
        <w:pStyle w:val="BodyText"/>
        <w:spacing w:before="7"/>
        <w:rPr>
          <w:rFonts w:ascii="AdonisC"/>
          <w:i/>
          <w:sz w:val="11"/>
        </w:rPr>
      </w:pPr>
    </w:p>
    <w:p w14:paraId="12E754C0" w14:textId="77777777" w:rsidR="00DE575E" w:rsidRDefault="002E7560">
      <w:pPr>
        <w:pStyle w:val="BodyText"/>
        <w:spacing w:before="101" w:line="252" w:lineRule="auto"/>
        <w:ind w:left="533" w:right="127"/>
        <w:jc w:val="both"/>
      </w:pPr>
      <w:r>
        <w:rPr>
          <w:color w:val="231F20"/>
          <w:spacing w:val="-3"/>
        </w:rPr>
        <w:t>судового</w:t>
      </w:r>
      <w:r>
        <w:rPr>
          <w:color w:val="231F20"/>
          <w:spacing w:val="-9"/>
        </w:rPr>
        <w:t xml:space="preserve"> </w:t>
      </w:r>
      <w:r>
        <w:rPr>
          <w:color w:val="231F20"/>
          <w:spacing w:val="-3"/>
        </w:rPr>
        <w:t>процесу,</w:t>
      </w:r>
      <w:r>
        <w:rPr>
          <w:color w:val="231F20"/>
          <w:spacing w:val="-9"/>
        </w:rPr>
        <w:t xml:space="preserve"> </w:t>
      </w:r>
      <w:r>
        <w:rPr>
          <w:color w:val="231F20"/>
        </w:rPr>
        <w:t>а</w:t>
      </w:r>
      <w:r>
        <w:rPr>
          <w:color w:val="231F20"/>
          <w:spacing w:val="-8"/>
        </w:rPr>
        <w:t xml:space="preserve"> </w:t>
      </w:r>
      <w:r>
        <w:rPr>
          <w:color w:val="231F20"/>
        </w:rPr>
        <w:t>також</w:t>
      </w:r>
      <w:r>
        <w:rPr>
          <w:color w:val="231F20"/>
          <w:spacing w:val="-9"/>
        </w:rPr>
        <w:t xml:space="preserve"> </w:t>
      </w:r>
      <w:r>
        <w:rPr>
          <w:color w:val="231F20"/>
        </w:rPr>
        <w:t>фіксування</w:t>
      </w:r>
      <w:r>
        <w:rPr>
          <w:color w:val="231F20"/>
          <w:spacing w:val="-9"/>
        </w:rPr>
        <w:t xml:space="preserve"> </w:t>
      </w:r>
      <w:r>
        <w:rPr>
          <w:color w:val="231F20"/>
          <w:spacing w:val="-3"/>
        </w:rPr>
        <w:t>судового</w:t>
      </w:r>
      <w:r>
        <w:rPr>
          <w:color w:val="231F20"/>
          <w:spacing w:val="-9"/>
        </w:rPr>
        <w:t xml:space="preserve"> </w:t>
      </w:r>
      <w:r>
        <w:rPr>
          <w:color w:val="231F20"/>
        </w:rPr>
        <w:t>процесу</w:t>
      </w:r>
      <w:r>
        <w:rPr>
          <w:color w:val="231F20"/>
          <w:spacing w:val="-9"/>
        </w:rPr>
        <w:t xml:space="preserve"> </w:t>
      </w:r>
      <w:r>
        <w:rPr>
          <w:color w:val="231F20"/>
        </w:rPr>
        <w:t>і</w:t>
      </w:r>
      <w:r>
        <w:rPr>
          <w:color w:val="231F20"/>
          <w:spacing w:val="-9"/>
        </w:rPr>
        <w:t xml:space="preserve"> </w:t>
      </w:r>
      <w:r>
        <w:rPr>
          <w:color w:val="231F20"/>
        </w:rPr>
        <w:t>участь</w:t>
      </w:r>
      <w:r>
        <w:rPr>
          <w:color w:val="231F20"/>
          <w:spacing w:val="-9"/>
        </w:rPr>
        <w:t xml:space="preserve"> </w:t>
      </w:r>
      <w:r>
        <w:rPr>
          <w:color w:val="231F20"/>
        </w:rPr>
        <w:t xml:space="preserve">учас- ників </w:t>
      </w:r>
      <w:r>
        <w:rPr>
          <w:color w:val="231F20"/>
          <w:spacing w:val="-3"/>
        </w:rPr>
        <w:t xml:space="preserve">судового </w:t>
      </w:r>
      <w:r>
        <w:rPr>
          <w:color w:val="231F20"/>
        </w:rPr>
        <w:t xml:space="preserve">процесу в </w:t>
      </w:r>
      <w:r>
        <w:rPr>
          <w:color w:val="231F20"/>
          <w:spacing w:val="-3"/>
        </w:rPr>
        <w:t xml:space="preserve">судовому </w:t>
      </w:r>
      <w:r>
        <w:rPr>
          <w:color w:val="231F20"/>
        </w:rPr>
        <w:t xml:space="preserve">засіданні в режимі відеоконфе- ренції. </w:t>
      </w:r>
      <w:r>
        <w:rPr>
          <w:color w:val="231F20"/>
          <w:spacing w:val="-5"/>
        </w:rPr>
        <w:t xml:space="preserve">Також </w:t>
      </w:r>
      <w:r>
        <w:rPr>
          <w:color w:val="231F20"/>
        </w:rPr>
        <w:t xml:space="preserve">із використанням цієї системи визначається </w:t>
      </w:r>
      <w:r>
        <w:rPr>
          <w:color w:val="231F20"/>
          <w:spacing w:val="-3"/>
        </w:rPr>
        <w:t xml:space="preserve">суддя </w:t>
      </w:r>
      <w:r>
        <w:rPr>
          <w:color w:val="231F20"/>
        </w:rPr>
        <w:t xml:space="preserve">або колегія </w:t>
      </w:r>
      <w:r>
        <w:rPr>
          <w:color w:val="231F20"/>
          <w:spacing w:val="-3"/>
        </w:rPr>
        <w:t xml:space="preserve">суддів </w:t>
      </w:r>
      <w:r>
        <w:rPr>
          <w:color w:val="231F20"/>
        </w:rPr>
        <w:t xml:space="preserve">для </w:t>
      </w:r>
      <w:r>
        <w:rPr>
          <w:color w:val="231F20"/>
          <w:spacing w:val="-3"/>
        </w:rPr>
        <w:t xml:space="preserve">розгляду </w:t>
      </w:r>
      <w:r>
        <w:rPr>
          <w:color w:val="231F20"/>
        </w:rPr>
        <w:t>конкретної</w:t>
      </w:r>
      <w:r>
        <w:rPr>
          <w:color w:val="231F20"/>
          <w:spacing w:val="2"/>
        </w:rPr>
        <w:t xml:space="preserve"> </w:t>
      </w:r>
      <w:r>
        <w:rPr>
          <w:color w:val="231F20"/>
        </w:rPr>
        <w:t>справи.</w:t>
      </w:r>
    </w:p>
    <w:p w14:paraId="4FAB13AB" w14:textId="77777777" w:rsidR="00DE575E" w:rsidRDefault="002E7560">
      <w:pPr>
        <w:pStyle w:val="BodyText"/>
        <w:spacing w:before="2" w:line="252" w:lineRule="auto"/>
        <w:ind w:left="533" w:right="122" w:firstLine="283"/>
        <w:jc w:val="both"/>
      </w:pPr>
      <w:r>
        <w:rPr>
          <w:b/>
          <w:color w:val="231F20"/>
        </w:rPr>
        <w:t xml:space="preserve">Е-бізнес </w:t>
      </w:r>
      <w:r>
        <w:rPr>
          <w:color w:val="231F20"/>
        </w:rPr>
        <w:t>становить собою будь-яку підприємницьку діяльність (виробництво робіт, товарів, послуг; управління фінансовими, енергетичними, матеріальними, трудовими ресурсами), що здійс- нюється з використанням інформаційно-кому</w:t>
      </w:r>
      <w:r>
        <w:rPr>
          <w:color w:val="231F20"/>
        </w:rPr>
        <w:t>нікаційних техноло- гій. При веденні е-бізнесу всі угоди, фінансові та торговельні тран- закції проводяться за допомогою інформаційно-комунікаційних технологій. До основних видів такої комерційної діяльності можна віднести інтернет-біржі, аукціони, каталог</w:t>
      </w:r>
      <w:r>
        <w:rPr>
          <w:color w:val="231F20"/>
        </w:rPr>
        <w:t>и товарів і послуг, елект- ронне управління закупівлями, інтернет-платіжні системи, інтер- нет-банкінг, інтернет-магазини, інформаційний бізнес в Інтернеті, інтернет-франчайзинг, інтернет-лізинг тощо. Складовою е-бізнесу слід  вважати  електронну  торгівлю</w:t>
      </w:r>
      <w:r>
        <w:rPr>
          <w:color w:val="231F20"/>
        </w:rPr>
        <w:t xml:space="preserve">  як  господарську  діяльність    у сфері електронної купівлі-продажу, реалізації товарів дистан- ційним способом покупцю шляхом вчинення електронних право- чинів із використанням інформаційно-телекомунікаційних систем (Закон України «Про електронну комерц</w:t>
      </w:r>
      <w:r>
        <w:rPr>
          <w:color w:val="231F20"/>
        </w:rPr>
        <w:t>ію» від</w:t>
      </w:r>
      <w:r>
        <w:rPr>
          <w:color w:val="231F20"/>
          <w:spacing w:val="43"/>
        </w:rPr>
        <w:t xml:space="preserve"> </w:t>
      </w:r>
      <w:r>
        <w:rPr>
          <w:color w:val="231F20"/>
        </w:rPr>
        <w:t>03.09.2015).</w:t>
      </w:r>
    </w:p>
    <w:p w14:paraId="711E5502" w14:textId="77777777" w:rsidR="00DE575E" w:rsidRDefault="002E7560">
      <w:pPr>
        <w:pStyle w:val="BodyText"/>
        <w:spacing w:before="8" w:line="252" w:lineRule="auto"/>
        <w:ind w:left="533" w:right="128" w:firstLine="283"/>
        <w:jc w:val="both"/>
      </w:pPr>
      <w:r>
        <w:rPr>
          <w:b/>
          <w:color w:val="231F20"/>
        </w:rPr>
        <w:t xml:space="preserve">Е-освіта </w:t>
      </w:r>
      <w:r>
        <w:rPr>
          <w:color w:val="231F20"/>
        </w:rPr>
        <w:t>– форма отримання освіти, що здобувається з викорис- танням виключно інформаційно-телекомунікаційних технологій. Одним зі складників е-освіти є дистанційне навчання.</w:t>
      </w:r>
    </w:p>
    <w:p w14:paraId="33B013A1" w14:textId="77777777" w:rsidR="00DE575E" w:rsidRDefault="002E7560">
      <w:pPr>
        <w:pStyle w:val="BodyText"/>
        <w:spacing w:before="1" w:line="252" w:lineRule="auto"/>
        <w:ind w:left="533" w:right="124" w:firstLine="283"/>
        <w:jc w:val="both"/>
      </w:pPr>
      <w:r>
        <w:rPr>
          <w:b/>
          <w:color w:val="231F20"/>
        </w:rPr>
        <w:t xml:space="preserve">Е-здоров’я </w:t>
      </w:r>
      <w:r>
        <w:rPr>
          <w:color w:val="231F20"/>
        </w:rPr>
        <w:t>– система управління медициною на будь-яких рівня</w:t>
      </w:r>
      <w:r>
        <w:rPr>
          <w:color w:val="231F20"/>
        </w:rPr>
        <w:t>х (державному чи регіональному), ланках (первинна, вторинна, тощо), яка ґрунтується на інформаційно-телекомуніка- ційних технологіях і за допомогою якої забезпечується створення, збереження, обмін інформацією в електронній формі для реалізації всього компл</w:t>
      </w:r>
      <w:r>
        <w:rPr>
          <w:color w:val="231F20"/>
        </w:rPr>
        <w:t>ексу надання медичної допомоги населенню. Медична інформаційна система забезпечує реєстрацію користувачів, авто- матичне розміщення, отримання й передання інформації та доку- ментів щодо надання медичних послуг, користування сервісами з автоматичним обміно</w:t>
      </w:r>
      <w:r>
        <w:rPr>
          <w:color w:val="231F20"/>
        </w:rPr>
        <w:t>м інформацією з доступом через програм- ний інтерфейс. До складових е-здоров’я можна також віднести електронний реєстр пацієнтів, автоматизовану базу даних медич- них, фармацевтичних та науково-педагогічних працівників сфери управління МОЗ України,</w:t>
      </w:r>
      <w:r>
        <w:rPr>
          <w:color w:val="231F20"/>
          <w:spacing w:val="10"/>
        </w:rPr>
        <w:t xml:space="preserve"> </w:t>
      </w:r>
      <w:r>
        <w:rPr>
          <w:color w:val="231F20"/>
        </w:rPr>
        <w:t>е-медиц</w:t>
      </w:r>
      <w:r>
        <w:rPr>
          <w:color w:val="231F20"/>
        </w:rPr>
        <w:t>ину.</w:t>
      </w:r>
    </w:p>
    <w:p w14:paraId="04EDE288" w14:textId="77777777" w:rsidR="00DE575E" w:rsidRDefault="002E7560">
      <w:pPr>
        <w:pStyle w:val="BodyText"/>
        <w:spacing w:before="7" w:line="252" w:lineRule="auto"/>
        <w:ind w:left="533" w:right="128" w:firstLine="283"/>
        <w:jc w:val="both"/>
      </w:pPr>
      <w:r>
        <w:rPr>
          <w:b/>
          <w:color w:val="231F20"/>
        </w:rPr>
        <w:t xml:space="preserve">E-малятко </w:t>
      </w:r>
      <w:r>
        <w:rPr>
          <w:color w:val="231F20"/>
        </w:rPr>
        <w:t>об’єднує до 10 державних послуг, що потрібні при народженні дитини. Тепер ці послуги можна отримати за однією</w:t>
      </w:r>
    </w:p>
    <w:p w14:paraId="3518231F" w14:textId="77777777" w:rsidR="00DE575E" w:rsidRDefault="00DE575E">
      <w:pPr>
        <w:pStyle w:val="BodyText"/>
        <w:spacing w:before="5"/>
        <w:rPr>
          <w:sz w:val="12"/>
        </w:rPr>
      </w:pPr>
    </w:p>
    <w:p w14:paraId="7A081A13" w14:textId="77777777" w:rsidR="00DE575E" w:rsidRDefault="002E7560">
      <w:pPr>
        <w:spacing w:before="92"/>
        <w:ind w:left="533"/>
        <w:rPr>
          <w:rFonts w:ascii="Times New Roman"/>
          <w:sz w:val="20"/>
        </w:rPr>
      </w:pPr>
      <w:r>
        <w:rPr>
          <w:rFonts w:ascii="Times New Roman"/>
          <w:color w:val="231F20"/>
          <w:sz w:val="20"/>
        </w:rPr>
        <w:t>286</w:t>
      </w:r>
    </w:p>
    <w:p w14:paraId="23DD457D" w14:textId="77777777" w:rsidR="00DE575E" w:rsidRDefault="00DE575E">
      <w:pPr>
        <w:rPr>
          <w:rFonts w:ascii="Times New Roman"/>
          <w:sz w:val="20"/>
        </w:rPr>
        <w:sectPr w:rsidR="00DE575E">
          <w:pgSz w:w="8510" w:h="12760"/>
          <w:pgMar w:top="660" w:right="720" w:bottom="280" w:left="600" w:header="720" w:footer="720" w:gutter="0"/>
          <w:cols w:space="720"/>
        </w:sectPr>
      </w:pPr>
    </w:p>
    <w:p w14:paraId="7ABF862D" w14:textId="77777777" w:rsidR="00DE575E" w:rsidRDefault="002E7560">
      <w:pPr>
        <w:spacing w:before="72" w:line="249" w:lineRule="auto"/>
        <w:ind w:left="2592" w:right="411" w:firstLine="837"/>
        <w:jc w:val="right"/>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208B6E47" w14:textId="28F9A98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BBA9611" wp14:editId="59F862F8">
                <wp:extent cx="4140200" cy="6350"/>
                <wp:effectExtent l="0" t="0" r="12700" b="6350"/>
                <wp:docPr id="688"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89" name="Line 68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BB78E0" id="Group_x0020_68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GnzbhR/AgAAmAUAAA4A&#10;AAAAAAAAAAAAAAAALAIAAGRycy9lMm9Eb2MueG1sUEsBAi0AFAAGAAgAAAAhAEynsJDZAAAAAwEA&#10;AA8AAAAAAAAAAAAAAAAA1wQAAGRycy9kb3ducmV2LnhtbFBLBQYAAAAABAAEAPMAAADdBQAAAAA=&#10;">
                <v:line id="Line_x0020_68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u18YAAADcAAAADwAAAGRycy9kb3ducmV2LnhtbESP3WrCQBSE7wt9h+UUvCl1o4LY1FVE&#10;EMQL/9IHOGZPk9DdszG7mujTdwuCl8PMfMNM55014kqNrxwrGPQTEMS50xUXCr6z1ccEhA/IGo1j&#10;UnAjD/PZ68sUU+1aPtD1GAoRIexTVFCGUKdS+rwki77vauLo/bjGYoiyKaRusI1wa+QwScbSYsVx&#10;ocSaliXlv8eLVZCd34PZ7zamzXankTydt6P7ZatU761bfIEI1IVn+NFeawXjySf8n4lH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HLtfGAAAA3AAAAA8AAAAAAAAA&#10;AAAAAAAAoQIAAGRycy9kb3ducmV2LnhtbFBLBQYAAAAABAAEAPkAAACUAwAAAAA=&#10;" strokecolor="#231f20" strokeweight=".5pt"/>
                <w10:anchorlock/>
              </v:group>
            </w:pict>
          </mc:Fallback>
        </mc:AlternateContent>
      </w:r>
    </w:p>
    <w:p w14:paraId="20124C12" w14:textId="77777777" w:rsidR="00DE575E" w:rsidRDefault="00DE575E">
      <w:pPr>
        <w:pStyle w:val="BodyText"/>
        <w:spacing w:before="7"/>
        <w:rPr>
          <w:rFonts w:ascii="AdonisC"/>
          <w:i/>
          <w:sz w:val="19"/>
        </w:rPr>
      </w:pPr>
    </w:p>
    <w:p w14:paraId="78FD23CE" w14:textId="77777777" w:rsidR="00DE575E" w:rsidRDefault="002E7560">
      <w:pPr>
        <w:pStyle w:val="BodyText"/>
        <w:spacing w:before="1" w:line="252" w:lineRule="auto"/>
        <w:ind w:left="250" w:right="521"/>
      </w:pPr>
      <w:r>
        <w:rPr>
          <w:color w:val="231F20"/>
        </w:rPr>
        <w:t xml:space="preserve">заявою в пологовому </w:t>
      </w:r>
      <w:r>
        <w:rPr>
          <w:color w:val="231F20"/>
          <w:spacing w:val="-3"/>
        </w:rPr>
        <w:t xml:space="preserve">будинку </w:t>
      </w:r>
      <w:r>
        <w:rPr>
          <w:color w:val="231F20"/>
        </w:rPr>
        <w:t xml:space="preserve">чи  взагалі  онлайн  –  без  подання  37 різних документів та </w:t>
      </w:r>
      <w:r>
        <w:rPr>
          <w:color w:val="231F20"/>
          <w:spacing w:val="-3"/>
        </w:rPr>
        <w:t xml:space="preserve">походу </w:t>
      </w:r>
      <w:r>
        <w:rPr>
          <w:color w:val="231F20"/>
        </w:rPr>
        <w:t xml:space="preserve">до 11 установ, як це </w:t>
      </w:r>
      <w:r>
        <w:rPr>
          <w:color w:val="231F20"/>
          <w:spacing w:val="-3"/>
        </w:rPr>
        <w:t>було</w:t>
      </w:r>
      <w:r>
        <w:rPr>
          <w:color w:val="231F20"/>
          <w:spacing w:val="-16"/>
        </w:rPr>
        <w:t xml:space="preserve"> </w:t>
      </w:r>
      <w:r>
        <w:rPr>
          <w:color w:val="231F20"/>
        </w:rPr>
        <w:t>раніше</w:t>
      </w:r>
      <w:r>
        <w:rPr>
          <w:color w:val="231F20"/>
          <w:position w:val="7"/>
          <w:sz w:val="12"/>
        </w:rPr>
        <w:t>1</w:t>
      </w:r>
      <w:r>
        <w:rPr>
          <w:color w:val="231F20"/>
        </w:rPr>
        <w:t>.</w:t>
      </w:r>
    </w:p>
    <w:p w14:paraId="22538ACD" w14:textId="77777777" w:rsidR="00DE575E" w:rsidRDefault="002E7560">
      <w:pPr>
        <w:pStyle w:val="BodyText"/>
        <w:spacing w:before="1" w:line="252" w:lineRule="auto"/>
        <w:ind w:left="250" w:right="411" w:firstLine="283"/>
        <w:jc w:val="both"/>
      </w:pPr>
      <w:r>
        <w:rPr>
          <w:b/>
          <w:color w:val="231F20"/>
          <w:spacing w:val="-3"/>
        </w:rPr>
        <w:t xml:space="preserve">Е-культура </w:t>
      </w:r>
      <w:r>
        <w:rPr>
          <w:color w:val="231F20"/>
        </w:rPr>
        <w:t xml:space="preserve">– форма  </w:t>
      </w:r>
      <w:r>
        <w:rPr>
          <w:color w:val="231F20"/>
          <w:spacing w:val="-3"/>
        </w:rPr>
        <w:t xml:space="preserve">культури,  </w:t>
      </w:r>
      <w:r>
        <w:rPr>
          <w:color w:val="231F20"/>
        </w:rPr>
        <w:t xml:space="preserve">яка  передбачає  стимулювання та мотивування поширення здобутків у сфері </w:t>
      </w:r>
      <w:r>
        <w:rPr>
          <w:color w:val="231F20"/>
          <w:spacing w:val="-3"/>
        </w:rPr>
        <w:t xml:space="preserve">культури </w:t>
      </w:r>
      <w:r>
        <w:rPr>
          <w:color w:val="231F20"/>
        </w:rPr>
        <w:t>за допомо- гою інформаційно-комунікаційних технологій. Основним складни- ком е-культури є е-бібліотека, яка сприяє створенню в електронній формі культурних цінностей, їх збер</w:t>
      </w:r>
      <w:r>
        <w:rPr>
          <w:color w:val="231F20"/>
        </w:rPr>
        <w:t>еженню та забезпеченню</w:t>
      </w:r>
      <w:r>
        <w:rPr>
          <w:color w:val="231F20"/>
          <w:spacing w:val="-34"/>
        </w:rPr>
        <w:t xml:space="preserve"> </w:t>
      </w:r>
      <w:r>
        <w:rPr>
          <w:color w:val="231F20"/>
        </w:rPr>
        <w:t xml:space="preserve">широ- кого </w:t>
      </w:r>
      <w:r>
        <w:rPr>
          <w:color w:val="231F20"/>
          <w:spacing w:val="-3"/>
        </w:rPr>
        <w:t>доступу.</w:t>
      </w:r>
    </w:p>
    <w:p w14:paraId="7A00A2C6" w14:textId="77777777" w:rsidR="00DE575E" w:rsidRDefault="002E7560">
      <w:pPr>
        <w:pStyle w:val="BodyText"/>
        <w:spacing w:before="3" w:line="252" w:lineRule="auto"/>
        <w:ind w:left="250" w:right="411" w:firstLine="283"/>
        <w:jc w:val="both"/>
      </w:pPr>
      <w:r>
        <w:rPr>
          <w:color w:val="231F20"/>
        </w:rPr>
        <w:t>На сьогодні кожен із названих елементів електронного уряду- вання отримав так чи інакше своє правове закріплення та організа- ційне забезпечення.</w:t>
      </w:r>
    </w:p>
    <w:p w14:paraId="05719100" w14:textId="77777777" w:rsidR="00DE575E" w:rsidRDefault="00DE575E">
      <w:pPr>
        <w:pStyle w:val="BodyText"/>
        <w:spacing w:before="1"/>
        <w:rPr>
          <w:sz w:val="22"/>
        </w:rPr>
      </w:pPr>
    </w:p>
    <w:p w14:paraId="70D46545" w14:textId="77777777" w:rsidR="00DE575E" w:rsidRDefault="002E7560">
      <w:pPr>
        <w:pStyle w:val="Heading5"/>
      </w:pPr>
      <w:r>
        <w:rPr>
          <w:color w:val="231F20"/>
        </w:rPr>
        <w:t>7.13.3. Співвідношення понять «електронне врядування»,</w:t>
      </w:r>
    </w:p>
    <w:p w14:paraId="1F3DF1B8" w14:textId="77777777" w:rsidR="00DE575E" w:rsidRDefault="002E7560">
      <w:pPr>
        <w:spacing w:before="12"/>
        <w:ind w:left="533"/>
        <w:rPr>
          <w:b/>
          <w:sz w:val="21"/>
        </w:rPr>
      </w:pPr>
      <w:r>
        <w:rPr>
          <w:b/>
          <w:color w:val="231F20"/>
          <w:sz w:val="21"/>
        </w:rPr>
        <w:t>«електронна</w:t>
      </w:r>
      <w:r>
        <w:rPr>
          <w:b/>
          <w:color w:val="231F20"/>
          <w:sz w:val="21"/>
        </w:rPr>
        <w:t xml:space="preserve"> держава», «електронна демократія»,</w:t>
      </w:r>
    </w:p>
    <w:p w14:paraId="266ED7D1" w14:textId="77777777" w:rsidR="00DE575E" w:rsidRDefault="002E7560">
      <w:pPr>
        <w:spacing w:before="12"/>
        <w:ind w:left="533"/>
        <w:rPr>
          <w:b/>
          <w:sz w:val="21"/>
        </w:rPr>
      </w:pPr>
      <w:r>
        <w:rPr>
          <w:b/>
          <w:color w:val="231F20"/>
          <w:sz w:val="21"/>
        </w:rPr>
        <w:t>«електронний парламент», «електронний уряд»,</w:t>
      </w:r>
    </w:p>
    <w:p w14:paraId="055A3AB5" w14:textId="77777777" w:rsidR="00DE575E" w:rsidRDefault="002E7560">
      <w:pPr>
        <w:spacing w:before="12"/>
        <w:ind w:left="533"/>
        <w:rPr>
          <w:b/>
          <w:sz w:val="21"/>
        </w:rPr>
      </w:pPr>
      <w:r>
        <w:rPr>
          <w:b/>
          <w:color w:val="231F20"/>
          <w:sz w:val="21"/>
        </w:rPr>
        <w:t>«електронний суд»</w:t>
      </w:r>
    </w:p>
    <w:p w14:paraId="718AD3B2" w14:textId="77777777" w:rsidR="00DE575E" w:rsidRDefault="00DE575E">
      <w:pPr>
        <w:pStyle w:val="BodyText"/>
        <w:spacing w:before="2"/>
        <w:rPr>
          <w:b/>
          <w:sz w:val="23"/>
        </w:rPr>
      </w:pPr>
    </w:p>
    <w:p w14:paraId="75E8385D" w14:textId="77777777" w:rsidR="00DE575E" w:rsidRDefault="002E7560">
      <w:pPr>
        <w:pStyle w:val="BodyText"/>
        <w:spacing w:line="252" w:lineRule="auto"/>
        <w:ind w:left="174" w:right="410" w:firstLine="283"/>
        <w:jc w:val="right"/>
      </w:pPr>
      <w:r>
        <w:rPr>
          <w:color w:val="231F20"/>
        </w:rPr>
        <w:t>Використання інформаційно-комунікаційних технологій в усіх сферах державного та суспільного життя є основною ознакою інфор- маційного суспільства. Новий тип</w:t>
      </w:r>
      <w:r>
        <w:rPr>
          <w:color w:val="231F20"/>
        </w:rPr>
        <w:t xml:space="preserve"> держави, заснований на техноло- гії інформаційно-комунікаційних систем, прийнято називати елек- тронною державою. </w:t>
      </w:r>
      <w:r>
        <w:rPr>
          <w:b/>
          <w:i/>
          <w:color w:val="231F20"/>
        </w:rPr>
        <w:t xml:space="preserve">Е-держава </w:t>
      </w:r>
      <w:r>
        <w:rPr>
          <w:color w:val="231F20"/>
        </w:rPr>
        <w:t xml:space="preserve">підтримує діяльність законодавчої влади (е-парламент), виконавчої влади (е-уряд) та </w:t>
      </w:r>
      <w:r>
        <w:rPr>
          <w:color w:val="231F20"/>
          <w:spacing w:val="-3"/>
        </w:rPr>
        <w:t xml:space="preserve">судових </w:t>
      </w:r>
      <w:r>
        <w:rPr>
          <w:color w:val="231F20"/>
        </w:rPr>
        <w:t>органів</w:t>
      </w:r>
      <w:r>
        <w:rPr>
          <w:color w:val="231F20"/>
          <w:spacing w:val="-1"/>
        </w:rPr>
        <w:t xml:space="preserve"> </w:t>
      </w:r>
      <w:r>
        <w:rPr>
          <w:color w:val="231F20"/>
        </w:rPr>
        <w:t>(е-суд) за допомогою інформацій</w:t>
      </w:r>
      <w:r>
        <w:rPr>
          <w:color w:val="231F20"/>
        </w:rPr>
        <w:t>но-телекомунікаційних технологій.</w:t>
      </w:r>
      <w:r>
        <w:rPr>
          <w:color w:val="231F20"/>
          <w:spacing w:val="-1"/>
        </w:rPr>
        <w:t xml:space="preserve"> </w:t>
      </w:r>
      <w:r>
        <w:rPr>
          <w:color w:val="231F20"/>
          <w:spacing w:val="-3"/>
        </w:rPr>
        <w:t xml:space="preserve">Поняття </w:t>
      </w:r>
      <w:r>
        <w:rPr>
          <w:b/>
          <w:i/>
          <w:color w:val="231F20"/>
          <w:spacing w:val="-3"/>
        </w:rPr>
        <w:t xml:space="preserve">е-урядування </w:t>
      </w:r>
      <w:r>
        <w:rPr>
          <w:color w:val="231F20"/>
        </w:rPr>
        <w:t xml:space="preserve">та </w:t>
      </w:r>
      <w:r>
        <w:rPr>
          <w:b/>
          <w:i/>
          <w:color w:val="231F20"/>
          <w:spacing w:val="-3"/>
        </w:rPr>
        <w:t xml:space="preserve">е-демократія </w:t>
      </w:r>
      <w:r>
        <w:rPr>
          <w:color w:val="231F20"/>
        </w:rPr>
        <w:t xml:space="preserve">є </w:t>
      </w:r>
      <w:r>
        <w:rPr>
          <w:color w:val="231F20"/>
          <w:spacing w:val="-3"/>
        </w:rPr>
        <w:t xml:space="preserve">перехресними, </w:t>
      </w:r>
      <w:r>
        <w:rPr>
          <w:color w:val="231F20"/>
        </w:rPr>
        <w:t xml:space="preserve">але </w:t>
      </w:r>
      <w:r>
        <w:rPr>
          <w:color w:val="231F20"/>
          <w:spacing w:val="-3"/>
        </w:rPr>
        <w:t xml:space="preserve">не тотожними. </w:t>
      </w:r>
      <w:r>
        <w:rPr>
          <w:color w:val="231F20"/>
        </w:rPr>
        <w:t xml:space="preserve">Для їх </w:t>
      </w:r>
      <w:r>
        <w:rPr>
          <w:color w:val="231F20"/>
          <w:spacing w:val="-3"/>
        </w:rPr>
        <w:t xml:space="preserve">розмежування доречним </w:t>
      </w:r>
      <w:r>
        <w:rPr>
          <w:color w:val="231F20"/>
          <w:spacing w:val="-5"/>
        </w:rPr>
        <w:t xml:space="preserve">буде </w:t>
      </w:r>
      <w:r>
        <w:rPr>
          <w:color w:val="231F20"/>
          <w:spacing w:val="-3"/>
        </w:rPr>
        <w:t>виокремлення двох</w:t>
      </w:r>
      <w:r>
        <w:rPr>
          <w:color w:val="231F20"/>
        </w:rPr>
        <w:t xml:space="preserve"> </w:t>
      </w:r>
      <w:r>
        <w:rPr>
          <w:color w:val="231F20"/>
          <w:spacing w:val="-3"/>
        </w:rPr>
        <w:t>складових застосування інформаційно-телекомунікаційних техноло-</w:t>
      </w:r>
      <w:r>
        <w:rPr>
          <w:color w:val="231F20"/>
        </w:rPr>
        <w:t xml:space="preserve"> гій в </w:t>
      </w:r>
      <w:r>
        <w:rPr>
          <w:color w:val="231F20"/>
          <w:spacing w:val="-4"/>
        </w:rPr>
        <w:t xml:space="preserve">розбудові </w:t>
      </w:r>
      <w:r>
        <w:rPr>
          <w:color w:val="231F20"/>
          <w:spacing w:val="-3"/>
        </w:rPr>
        <w:t>інформаційного суспільства: «демократичну» (</w:t>
      </w:r>
      <w:r>
        <w:rPr>
          <w:i/>
          <w:color w:val="231F20"/>
          <w:spacing w:val="-3"/>
        </w:rPr>
        <w:t>е-де-</w:t>
      </w:r>
      <w:r>
        <w:rPr>
          <w:i/>
          <w:color w:val="231F20"/>
        </w:rPr>
        <w:t xml:space="preserve"> </w:t>
      </w:r>
      <w:r>
        <w:rPr>
          <w:i/>
          <w:color w:val="231F20"/>
          <w:spacing w:val="-3"/>
        </w:rPr>
        <w:t>мократія</w:t>
      </w:r>
      <w:r>
        <w:rPr>
          <w:color w:val="231F20"/>
          <w:spacing w:val="-3"/>
        </w:rPr>
        <w:t xml:space="preserve">) </w:t>
      </w:r>
      <w:r>
        <w:rPr>
          <w:color w:val="231F20"/>
        </w:rPr>
        <w:t xml:space="preserve">та </w:t>
      </w:r>
      <w:r>
        <w:rPr>
          <w:color w:val="231F20"/>
          <w:spacing w:val="-3"/>
        </w:rPr>
        <w:t>«адміністративну» (</w:t>
      </w:r>
      <w:r>
        <w:rPr>
          <w:i/>
          <w:color w:val="231F20"/>
          <w:spacing w:val="-3"/>
        </w:rPr>
        <w:t>е-урядування</w:t>
      </w:r>
      <w:r>
        <w:rPr>
          <w:color w:val="231F20"/>
          <w:spacing w:val="-3"/>
        </w:rPr>
        <w:t xml:space="preserve">). </w:t>
      </w:r>
      <w:r>
        <w:rPr>
          <w:color w:val="231F20"/>
        </w:rPr>
        <w:t xml:space="preserve">У </w:t>
      </w:r>
      <w:r>
        <w:rPr>
          <w:color w:val="231F20"/>
          <w:spacing w:val="-3"/>
        </w:rPr>
        <w:t xml:space="preserve">«демократичній» складовій превалюють </w:t>
      </w:r>
      <w:r>
        <w:rPr>
          <w:color w:val="231F20"/>
        </w:rPr>
        <w:t xml:space="preserve">комунікації </w:t>
      </w:r>
      <w:r>
        <w:rPr>
          <w:color w:val="231F20"/>
          <w:spacing w:val="-3"/>
        </w:rPr>
        <w:t xml:space="preserve">«знизу-вгору», </w:t>
      </w:r>
      <w:r>
        <w:rPr>
          <w:color w:val="231F20"/>
        </w:rPr>
        <w:t xml:space="preserve">тобто </w:t>
      </w:r>
      <w:r>
        <w:rPr>
          <w:color w:val="231F20"/>
          <w:spacing w:val="-3"/>
        </w:rPr>
        <w:t xml:space="preserve">громадяни певним </w:t>
      </w:r>
      <w:r>
        <w:rPr>
          <w:color w:val="231F20"/>
        </w:rPr>
        <w:t xml:space="preserve">чином </w:t>
      </w:r>
      <w:r>
        <w:rPr>
          <w:color w:val="231F20"/>
          <w:spacing w:val="-3"/>
        </w:rPr>
        <w:t xml:space="preserve">впливають </w:t>
      </w:r>
      <w:r>
        <w:rPr>
          <w:color w:val="231F20"/>
        </w:rPr>
        <w:t xml:space="preserve">на </w:t>
      </w:r>
      <w:r>
        <w:rPr>
          <w:color w:val="231F20"/>
          <w:spacing w:val="-3"/>
        </w:rPr>
        <w:t xml:space="preserve">функціонування держави, </w:t>
      </w:r>
      <w:r>
        <w:rPr>
          <w:color w:val="231F20"/>
          <w:spacing w:val="-4"/>
        </w:rPr>
        <w:t>отримують</w:t>
      </w:r>
      <w:r>
        <w:rPr>
          <w:color w:val="231F20"/>
          <w:spacing w:val="-3"/>
        </w:rPr>
        <w:t xml:space="preserve"> інформацію </w:t>
      </w:r>
      <w:r>
        <w:rPr>
          <w:color w:val="231F20"/>
        </w:rPr>
        <w:t xml:space="preserve">від </w:t>
      </w:r>
      <w:r>
        <w:rPr>
          <w:color w:val="231F20"/>
          <w:spacing w:val="-3"/>
        </w:rPr>
        <w:t>де</w:t>
      </w:r>
      <w:r>
        <w:rPr>
          <w:color w:val="231F20"/>
          <w:spacing w:val="-3"/>
        </w:rPr>
        <w:t xml:space="preserve">ржавних службовців, </w:t>
      </w:r>
      <w:r>
        <w:rPr>
          <w:color w:val="231F20"/>
          <w:spacing w:val="-4"/>
        </w:rPr>
        <w:t xml:space="preserve">контролюють </w:t>
      </w:r>
      <w:r>
        <w:rPr>
          <w:color w:val="231F20"/>
        </w:rPr>
        <w:t xml:space="preserve">їх </w:t>
      </w:r>
      <w:r>
        <w:rPr>
          <w:color w:val="231F20"/>
          <w:spacing w:val="-3"/>
        </w:rPr>
        <w:t>діяльність</w:t>
      </w:r>
    </w:p>
    <w:p w14:paraId="68C74CC8" w14:textId="77777777" w:rsidR="00DE575E" w:rsidRDefault="002E7560">
      <w:pPr>
        <w:pStyle w:val="BodyText"/>
        <w:spacing w:before="7"/>
        <w:ind w:left="250"/>
      </w:pPr>
      <w:r>
        <w:rPr>
          <w:color w:val="231F20"/>
        </w:rPr>
        <w:t>і на основі цього беруть участь в ухваленні політичних рішень.</w:t>
      </w:r>
    </w:p>
    <w:p w14:paraId="40D97E61" w14:textId="77777777" w:rsidR="00DE575E" w:rsidRDefault="002E7560">
      <w:pPr>
        <w:spacing w:before="13" w:line="252" w:lineRule="auto"/>
        <w:ind w:left="250" w:right="411" w:firstLine="283"/>
        <w:jc w:val="both"/>
        <w:rPr>
          <w:i/>
          <w:sz w:val="21"/>
        </w:rPr>
      </w:pPr>
      <w:r>
        <w:rPr>
          <w:color w:val="231F20"/>
          <w:spacing w:val="-5"/>
          <w:sz w:val="21"/>
        </w:rPr>
        <w:t xml:space="preserve">Виділяють </w:t>
      </w:r>
      <w:r>
        <w:rPr>
          <w:color w:val="231F20"/>
          <w:spacing w:val="-4"/>
          <w:sz w:val="21"/>
        </w:rPr>
        <w:t xml:space="preserve">такі </w:t>
      </w:r>
      <w:r>
        <w:rPr>
          <w:b/>
          <w:i/>
          <w:color w:val="231F20"/>
          <w:spacing w:val="-4"/>
          <w:sz w:val="21"/>
        </w:rPr>
        <w:t xml:space="preserve">складові </w:t>
      </w:r>
      <w:r>
        <w:rPr>
          <w:b/>
          <w:i/>
          <w:color w:val="231F20"/>
          <w:spacing w:val="-5"/>
          <w:sz w:val="21"/>
        </w:rPr>
        <w:t>е-демократії</w:t>
      </w:r>
      <w:r>
        <w:rPr>
          <w:color w:val="231F20"/>
          <w:spacing w:val="-5"/>
          <w:sz w:val="21"/>
        </w:rPr>
        <w:t xml:space="preserve">, </w:t>
      </w:r>
      <w:r>
        <w:rPr>
          <w:color w:val="231F20"/>
          <w:spacing w:val="-3"/>
          <w:sz w:val="21"/>
        </w:rPr>
        <w:t xml:space="preserve">як </w:t>
      </w:r>
      <w:r>
        <w:rPr>
          <w:i/>
          <w:color w:val="231F20"/>
          <w:spacing w:val="-5"/>
          <w:sz w:val="21"/>
        </w:rPr>
        <w:t xml:space="preserve">електронний парла- </w:t>
      </w:r>
      <w:r>
        <w:rPr>
          <w:i/>
          <w:color w:val="231F20"/>
          <w:spacing w:val="-4"/>
          <w:sz w:val="21"/>
        </w:rPr>
        <w:t xml:space="preserve">мент, </w:t>
      </w:r>
      <w:r>
        <w:rPr>
          <w:i/>
          <w:color w:val="231F20"/>
          <w:spacing w:val="-5"/>
          <w:sz w:val="21"/>
        </w:rPr>
        <w:t xml:space="preserve">електронне законодавство, електронне посередництво, </w:t>
      </w:r>
      <w:r>
        <w:rPr>
          <w:i/>
          <w:color w:val="231F20"/>
          <w:spacing w:val="-4"/>
          <w:sz w:val="21"/>
        </w:rPr>
        <w:t xml:space="preserve">елект- ронні </w:t>
      </w:r>
      <w:r>
        <w:rPr>
          <w:i/>
          <w:color w:val="231F20"/>
          <w:spacing w:val="-5"/>
          <w:sz w:val="21"/>
        </w:rPr>
        <w:t>вибори, електронний референдум, електронне голосування,</w:t>
      </w:r>
    </w:p>
    <w:p w14:paraId="72D23464" w14:textId="6C22F930" w:rsidR="00DE575E" w:rsidRDefault="002E7560">
      <w:pPr>
        <w:pStyle w:val="BodyText"/>
        <w:spacing w:before="5"/>
        <w:rPr>
          <w:i/>
          <w:sz w:val="19"/>
        </w:rPr>
      </w:pPr>
      <w:r>
        <w:rPr>
          <w:noProof/>
        </w:rPr>
        <mc:AlternateContent>
          <mc:Choice Requires="wps">
            <w:drawing>
              <wp:anchor distT="0" distB="0" distL="0" distR="0" simplePos="0" relativeHeight="11440" behindDoc="0" locked="0" layoutInCell="1" allowOverlap="1" wp14:anchorId="23C5FBA7" wp14:editId="0779F119">
                <wp:simplePos x="0" y="0"/>
                <wp:positionH relativeFrom="page">
                  <wp:posOffset>539750</wp:posOffset>
                </wp:positionH>
                <wp:positionV relativeFrom="paragraph">
                  <wp:posOffset>172720</wp:posOffset>
                </wp:positionV>
                <wp:extent cx="1080135" cy="0"/>
                <wp:effectExtent l="6350" t="7620" r="31115" b="30480"/>
                <wp:wrapTopAndBottom/>
                <wp:docPr id="6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FCC4F" id="Line_x0020_686" o:spid="_x0000_s1026" style="position:absolute;z-index:1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6pt" to="127.55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" strokecolor="#231f20" strokeweight=".5pt">
                <w10:wrap type="topAndBottom" anchorx="page"/>
              </v:line>
            </w:pict>
          </mc:Fallback>
        </mc:AlternateContent>
      </w:r>
    </w:p>
    <w:p w14:paraId="0530C26A"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Зеленський В. Студентські квитки, водійські "права", вибори: в Україні запустили про- єкт</w:t>
      </w:r>
      <w:r>
        <w:rPr>
          <w:color w:val="231F20"/>
          <w:spacing w:val="-24"/>
          <w:sz w:val="16"/>
        </w:rPr>
        <w:t xml:space="preserve"> </w:t>
      </w:r>
      <w:r>
        <w:rPr>
          <w:color w:val="231F20"/>
          <w:sz w:val="16"/>
        </w:rPr>
        <w:t>"Дія".</w:t>
      </w:r>
      <w:r>
        <w:rPr>
          <w:color w:val="231F20"/>
          <w:spacing w:val="-24"/>
          <w:sz w:val="16"/>
        </w:rPr>
        <w:t xml:space="preserve"> </w:t>
      </w:r>
      <w:r>
        <w:rPr>
          <w:color w:val="231F20"/>
          <w:sz w:val="16"/>
        </w:rPr>
        <w:t>https://konkurent.in.ua/publication/52433/studentski-kvitki-vodiyski-prava-vibori- v-ukraini-zapustili-proekt-diya/</w:t>
      </w:r>
    </w:p>
    <w:p w14:paraId="3A9F0725" w14:textId="77777777" w:rsidR="00DE575E" w:rsidRDefault="00DE575E">
      <w:pPr>
        <w:pStyle w:val="BodyText"/>
        <w:spacing w:before="2"/>
        <w:rPr>
          <w:sz w:val="12"/>
        </w:rPr>
      </w:pPr>
    </w:p>
    <w:p w14:paraId="01E1D77C" w14:textId="77777777" w:rsidR="00DE575E" w:rsidRDefault="002E7560">
      <w:pPr>
        <w:spacing w:before="92"/>
        <w:ind w:right="411"/>
        <w:jc w:val="right"/>
        <w:rPr>
          <w:rFonts w:ascii="Times New Roman"/>
          <w:sz w:val="20"/>
        </w:rPr>
      </w:pPr>
      <w:r>
        <w:rPr>
          <w:rFonts w:ascii="Times New Roman"/>
          <w:color w:val="231F20"/>
          <w:w w:val="90"/>
          <w:sz w:val="20"/>
        </w:rPr>
        <w:t>287</w:t>
      </w:r>
    </w:p>
    <w:p w14:paraId="501456A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74C739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AFB90E6" w14:textId="54F7B03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D53F32E" wp14:editId="03D9C8C4">
                <wp:extent cx="4140200" cy="6350"/>
                <wp:effectExtent l="0" t="0" r="12700" b="6350"/>
                <wp:docPr id="685"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86" name="Line 6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713B29" id="Group_x0020_6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KwK2F/AgAAmAUAAA4A&#10;AAAAAAAAAAAAAAAALAIAAGRycy9lMm9Eb2MueG1sUEsBAi0AFAAGAAgAAAAhAEynsJDZAAAAAwEA&#10;AA8AAAAAAAAAAAAAAAAA1wQAAGRycy9kb3ducmV2LnhtbFBLBQYAAAAABAAEAPMAAADdBQAAAAA=&#10;">
                <v:line id="Line_x0020_6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i6pcYAAADcAAAADwAAAGRycy9kb3ducmV2LnhtbESP3WrCQBSE74W+w3IKvRHdWCFI6ipF&#10;EKQX/sUHOGZPk9DdszG7mrRP3xUEL4eZ+YaZL3trxI1aXztWMBknIIgLp2suFZzy9WgGwgdkjcYx&#10;KfglD8vFy2COmXYdH+h2DKWIEPYZKqhCaDIpfVGRRT92DXH0vl1rMUTZllK32EW4NfI9SVJpsea4&#10;UGFDq4qKn+PVKsgvw2D2uy/T5bvzVJ4v2+nfdavU22v/+QEiUB+e4Ud7oxWksxTuZ+IRkI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pYuqXGAAAA3AAAAA8AAAAAAAAA&#10;AAAAAAAAoQIAAGRycy9kb3ducmV2LnhtbFBLBQYAAAAABAAEAPkAAACUAwAAAAA=&#10;" strokecolor="#231f20" strokeweight=".5pt"/>
                <w10:anchorlock/>
              </v:group>
            </w:pict>
          </mc:Fallback>
        </mc:AlternateContent>
      </w:r>
    </w:p>
    <w:p w14:paraId="6FF272A3" w14:textId="77777777" w:rsidR="00DE575E" w:rsidRDefault="00DE575E">
      <w:pPr>
        <w:pStyle w:val="BodyText"/>
        <w:spacing w:before="7"/>
        <w:rPr>
          <w:rFonts w:ascii="AdonisC"/>
          <w:i/>
          <w:sz w:val="11"/>
        </w:rPr>
      </w:pPr>
    </w:p>
    <w:p w14:paraId="4324C210" w14:textId="77777777" w:rsidR="00DE575E" w:rsidRDefault="002E7560">
      <w:pPr>
        <w:pStyle w:val="BodyText"/>
        <w:spacing w:before="101" w:line="252" w:lineRule="auto"/>
        <w:ind w:left="533" w:right="127"/>
        <w:jc w:val="both"/>
      </w:pPr>
      <w:r>
        <w:rPr>
          <w:i/>
          <w:color w:val="231F20"/>
        </w:rPr>
        <w:t xml:space="preserve">електронні </w:t>
      </w:r>
      <w:r>
        <w:rPr>
          <w:i/>
          <w:color w:val="231F20"/>
        </w:rPr>
        <w:t xml:space="preserve">петиції, електронні опитування </w:t>
      </w:r>
      <w:r>
        <w:rPr>
          <w:color w:val="231F20"/>
        </w:rPr>
        <w:t>тощо. Вони застосову- ються з метою посилення саме демократичних процесів, що відбу- ваються у  державі,  для  залучення  більшого  кола  громадськості  в ухваленні державних рішень, посилення прозорості та підзвітно- сті в діяльності органів публічної</w:t>
      </w:r>
      <w:r>
        <w:rPr>
          <w:color w:val="231F20"/>
          <w:spacing w:val="-5"/>
        </w:rPr>
        <w:t xml:space="preserve"> </w:t>
      </w:r>
      <w:r>
        <w:rPr>
          <w:color w:val="231F20"/>
        </w:rPr>
        <w:t>вла</w:t>
      </w:r>
      <w:r>
        <w:rPr>
          <w:color w:val="231F20"/>
        </w:rPr>
        <w:t>ди.</w:t>
      </w:r>
    </w:p>
    <w:p w14:paraId="7435BA8C" w14:textId="77777777" w:rsidR="00DE575E" w:rsidRDefault="002E7560">
      <w:pPr>
        <w:pStyle w:val="BodyText"/>
        <w:spacing w:before="2" w:line="252" w:lineRule="auto"/>
        <w:ind w:left="533" w:right="127" w:firstLine="283"/>
        <w:jc w:val="both"/>
      </w:pPr>
      <w:r>
        <w:rPr>
          <w:color w:val="231F20"/>
        </w:rPr>
        <w:t xml:space="preserve">Саме такий підхід до «електронної демократії» </w:t>
      </w:r>
      <w:r>
        <w:rPr>
          <w:color w:val="231F20"/>
          <w:spacing w:val="-3"/>
        </w:rPr>
        <w:t xml:space="preserve">було  </w:t>
      </w:r>
      <w:r>
        <w:rPr>
          <w:color w:val="231F20"/>
        </w:rPr>
        <w:t xml:space="preserve">покладено  в її розуміння як форми суспільних відносин, за якої громадяни та організації залучаються до державотворення та державного управ- ління, а також до місцевого самоврядування шляхом широкого </w:t>
      </w:r>
      <w:r>
        <w:rPr>
          <w:color w:val="231F20"/>
        </w:rPr>
        <w:t>застосування інформаційно-комунікаційних технологій в демо- кратичних процесах, що дає змогу: посилити участь, ініціативність  і залучення громадян на загальнодержавному, регіональному та місцевому</w:t>
      </w:r>
      <w:r>
        <w:rPr>
          <w:color w:val="231F20"/>
          <w:spacing w:val="-11"/>
        </w:rPr>
        <w:t xml:space="preserve"> </w:t>
      </w:r>
      <w:r>
        <w:rPr>
          <w:color w:val="231F20"/>
        </w:rPr>
        <w:t>рівні</w:t>
      </w:r>
      <w:r>
        <w:rPr>
          <w:color w:val="231F20"/>
          <w:spacing w:val="-10"/>
        </w:rPr>
        <w:t xml:space="preserve"> </w:t>
      </w:r>
      <w:r>
        <w:rPr>
          <w:color w:val="231F20"/>
        </w:rPr>
        <w:t>до</w:t>
      </w:r>
      <w:r>
        <w:rPr>
          <w:color w:val="231F20"/>
          <w:spacing w:val="-10"/>
        </w:rPr>
        <w:t xml:space="preserve"> </w:t>
      </w:r>
      <w:r>
        <w:rPr>
          <w:color w:val="231F20"/>
        </w:rPr>
        <w:t>публічного</w:t>
      </w:r>
      <w:r>
        <w:rPr>
          <w:color w:val="231F20"/>
          <w:spacing w:val="-10"/>
        </w:rPr>
        <w:t xml:space="preserve"> </w:t>
      </w:r>
      <w:r>
        <w:rPr>
          <w:color w:val="231F20"/>
        </w:rPr>
        <w:t>життя;</w:t>
      </w:r>
      <w:r>
        <w:rPr>
          <w:color w:val="231F20"/>
          <w:spacing w:val="-10"/>
        </w:rPr>
        <w:t xml:space="preserve"> </w:t>
      </w:r>
      <w:r>
        <w:rPr>
          <w:color w:val="231F20"/>
        </w:rPr>
        <w:t>поліпшити</w:t>
      </w:r>
      <w:r>
        <w:rPr>
          <w:color w:val="231F20"/>
          <w:spacing w:val="-10"/>
        </w:rPr>
        <w:t xml:space="preserve"> </w:t>
      </w:r>
      <w:r>
        <w:rPr>
          <w:color w:val="231F20"/>
        </w:rPr>
        <w:t>прозорість</w:t>
      </w:r>
      <w:r>
        <w:rPr>
          <w:color w:val="231F20"/>
          <w:spacing w:val="-10"/>
        </w:rPr>
        <w:t xml:space="preserve"> </w:t>
      </w:r>
      <w:r>
        <w:rPr>
          <w:color w:val="231F20"/>
        </w:rPr>
        <w:t>процесу ух</w:t>
      </w:r>
      <w:r>
        <w:rPr>
          <w:color w:val="231F20"/>
        </w:rPr>
        <w:t xml:space="preserve">валення рішень, а також підзвітність демократичних інститу-  тів; поліпшити зворотну реакцію </w:t>
      </w:r>
      <w:r>
        <w:rPr>
          <w:color w:val="231F20"/>
          <w:spacing w:val="-3"/>
        </w:rPr>
        <w:t xml:space="preserve">суб’єктів  </w:t>
      </w:r>
      <w:r>
        <w:rPr>
          <w:color w:val="231F20"/>
        </w:rPr>
        <w:t>владних  повноважень на звернення громадян; сприяти публічним дискусіям та привер- тати увагу громадян до процесу ухвалення рішень (Про схвалення Концеп</w:t>
      </w:r>
      <w:r>
        <w:rPr>
          <w:color w:val="231F20"/>
        </w:rPr>
        <w:t xml:space="preserve">ції розвитку електронної демократії в </w:t>
      </w:r>
      <w:r>
        <w:rPr>
          <w:color w:val="231F20"/>
          <w:spacing w:val="-3"/>
        </w:rPr>
        <w:t xml:space="preserve">Україні </w:t>
      </w:r>
      <w:r>
        <w:rPr>
          <w:color w:val="231F20"/>
        </w:rPr>
        <w:t>та плану захо- дів</w:t>
      </w:r>
      <w:r>
        <w:rPr>
          <w:color w:val="231F20"/>
          <w:spacing w:val="-9"/>
        </w:rPr>
        <w:t xml:space="preserve"> </w:t>
      </w:r>
      <w:r>
        <w:rPr>
          <w:color w:val="231F20"/>
        </w:rPr>
        <w:t>щодо</w:t>
      </w:r>
      <w:r>
        <w:rPr>
          <w:color w:val="231F20"/>
          <w:spacing w:val="-9"/>
        </w:rPr>
        <w:t xml:space="preserve"> </w:t>
      </w:r>
      <w:r>
        <w:rPr>
          <w:color w:val="231F20"/>
        </w:rPr>
        <w:t>її</w:t>
      </w:r>
      <w:r>
        <w:rPr>
          <w:color w:val="231F20"/>
          <w:spacing w:val="-9"/>
        </w:rPr>
        <w:t xml:space="preserve"> </w:t>
      </w:r>
      <w:r>
        <w:rPr>
          <w:color w:val="231F20"/>
        </w:rPr>
        <w:t>реалізації:</w:t>
      </w:r>
      <w:r>
        <w:rPr>
          <w:color w:val="231F20"/>
          <w:spacing w:val="-9"/>
        </w:rPr>
        <w:t xml:space="preserve"> </w:t>
      </w:r>
      <w:r>
        <w:rPr>
          <w:color w:val="231F20"/>
        </w:rPr>
        <w:t>Розпорядження</w:t>
      </w:r>
      <w:r>
        <w:rPr>
          <w:color w:val="231F20"/>
          <w:spacing w:val="-9"/>
        </w:rPr>
        <w:t xml:space="preserve"> </w:t>
      </w:r>
      <w:r>
        <w:rPr>
          <w:color w:val="231F20"/>
        </w:rPr>
        <w:t>Кабінету</w:t>
      </w:r>
      <w:r>
        <w:rPr>
          <w:color w:val="231F20"/>
          <w:spacing w:val="-9"/>
        </w:rPr>
        <w:t xml:space="preserve"> </w:t>
      </w:r>
      <w:r>
        <w:rPr>
          <w:color w:val="231F20"/>
        </w:rPr>
        <w:t>Міністрів</w:t>
      </w:r>
      <w:r>
        <w:rPr>
          <w:color w:val="231F20"/>
          <w:spacing w:val="-9"/>
        </w:rPr>
        <w:t xml:space="preserve"> </w:t>
      </w:r>
      <w:r>
        <w:rPr>
          <w:color w:val="231F20"/>
          <w:spacing w:val="-3"/>
        </w:rPr>
        <w:t>України</w:t>
      </w:r>
      <w:r>
        <w:rPr>
          <w:color w:val="231F20"/>
          <w:spacing w:val="-9"/>
        </w:rPr>
        <w:t xml:space="preserve"> </w:t>
      </w:r>
      <w:r>
        <w:rPr>
          <w:color w:val="231F20"/>
        </w:rPr>
        <w:t>від 08.11.2017 №</w:t>
      </w:r>
      <w:r>
        <w:rPr>
          <w:color w:val="231F20"/>
          <w:spacing w:val="-6"/>
        </w:rPr>
        <w:t xml:space="preserve"> </w:t>
      </w:r>
      <w:r>
        <w:rPr>
          <w:color w:val="231F20"/>
        </w:rPr>
        <w:t>797-р.).</w:t>
      </w:r>
    </w:p>
    <w:p w14:paraId="4C428BCA" w14:textId="77777777" w:rsidR="00DE575E" w:rsidRDefault="002E7560">
      <w:pPr>
        <w:pStyle w:val="BodyText"/>
        <w:spacing w:before="8" w:line="252" w:lineRule="auto"/>
        <w:ind w:left="533" w:right="128" w:firstLine="283"/>
        <w:jc w:val="both"/>
      </w:pPr>
      <w:r>
        <w:rPr>
          <w:color w:val="231F20"/>
        </w:rPr>
        <w:t>І</w:t>
      </w:r>
      <w:r>
        <w:rPr>
          <w:color w:val="231F20"/>
          <w:spacing w:val="-13"/>
        </w:rPr>
        <w:t xml:space="preserve"> </w:t>
      </w:r>
      <w:r>
        <w:rPr>
          <w:color w:val="231F20"/>
        </w:rPr>
        <w:t>навпаки,</w:t>
      </w:r>
      <w:r>
        <w:rPr>
          <w:color w:val="231F20"/>
          <w:spacing w:val="-13"/>
        </w:rPr>
        <w:t xml:space="preserve"> </w:t>
      </w:r>
      <w:r>
        <w:rPr>
          <w:color w:val="231F20"/>
        </w:rPr>
        <w:t>«адміністративна»</w:t>
      </w:r>
      <w:r>
        <w:rPr>
          <w:color w:val="231F20"/>
          <w:spacing w:val="-13"/>
        </w:rPr>
        <w:t xml:space="preserve"> </w:t>
      </w:r>
      <w:r>
        <w:rPr>
          <w:color w:val="231F20"/>
        </w:rPr>
        <w:t>складова</w:t>
      </w:r>
      <w:r>
        <w:rPr>
          <w:color w:val="231F20"/>
          <w:spacing w:val="-13"/>
        </w:rPr>
        <w:t xml:space="preserve"> </w:t>
      </w:r>
      <w:r>
        <w:rPr>
          <w:color w:val="231F20"/>
        </w:rPr>
        <w:t>(е-урядування)</w:t>
      </w:r>
      <w:r>
        <w:rPr>
          <w:color w:val="231F20"/>
          <w:spacing w:val="-14"/>
        </w:rPr>
        <w:t xml:space="preserve"> </w:t>
      </w:r>
      <w:r>
        <w:rPr>
          <w:color w:val="231F20"/>
        </w:rPr>
        <w:t>стосується відносин</w:t>
      </w:r>
      <w:r>
        <w:rPr>
          <w:color w:val="231F20"/>
          <w:spacing w:val="-9"/>
        </w:rPr>
        <w:t xml:space="preserve"> </w:t>
      </w:r>
      <w:r>
        <w:rPr>
          <w:color w:val="231F20"/>
        </w:rPr>
        <w:t>«зверху-донизу»:</w:t>
      </w:r>
      <w:r>
        <w:rPr>
          <w:color w:val="231F20"/>
          <w:spacing w:val="-9"/>
        </w:rPr>
        <w:t xml:space="preserve"> </w:t>
      </w:r>
      <w:r>
        <w:rPr>
          <w:color w:val="231F20"/>
        </w:rPr>
        <w:t>надання</w:t>
      </w:r>
      <w:r>
        <w:rPr>
          <w:color w:val="231F20"/>
          <w:spacing w:val="-9"/>
        </w:rPr>
        <w:t xml:space="preserve"> </w:t>
      </w:r>
      <w:r>
        <w:rPr>
          <w:color w:val="231F20"/>
        </w:rPr>
        <w:t>адміні</w:t>
      </w:r>
      <w:r>
        <w:rPr>
          <w:color w:val="231F20"/>
        </w:rPr>
        <w:t>стративних</w:t>
      </w:r>
      <w:r>
        <w:rPr>
          <w:color w:val="231F20"/>
          <w:spacing w:val="-9"/>
        </w:rPr>
        <w:t xml:space="preserve"> </w:t>
      </w:r>
      <w:r>
        <w:rPr>
          <w:color w:val="231F20"/>
        </w:rPr>
        <w:t>послуг</w:t>
      </w:r>
      <w:r>
        <w:rPr>
          <w:color w:val="231F20"/>
          <w:spacing w:val="-9"/>
        </w:rPr>
        <w:t xml:space="preserve"> </w:t>
      </w:r>
      <w:r>
        <w:rPr>
          <w:color w:val="231F20"/>
        </w:rPr>
        <w:t>в</w:t>
      </w:r>
      <w:r>
        <w:rPr>
          <w:color w:val="231F20"/>
          <w:spacing w:val="-8"/>
        </w:rPr>
        <w:t xml:space="preserve"> </w:t>
      </w:r>
      <w:r>
        <w:rPr>
          <w:color w:val="231F20"/>
        </w:rPr>
        <w:t xml:space="preserve">елек- тронній формі, забезпечення електронної взаємодії між </w:t>
      </w:r>
      <w:r>
        <w:rPr>
          <w:color w:val="231F20"/>
          <w:spacing w:val="-3"/>
        </w:rPr>
        <w:t xml:space="preserve">суб’єктами </w:t>
      </w:r>
      <w:r>
        <w:rPr>
          <w:color w:val="231F20"/>
        </w:rPr>
        <w:t>управління</w:t>
      </w:r>
      <w:r>
        <w:rPr>
          <w:color w:val="231F20"/>
          <w:spacing w:val="-2"/>
        </w:rPr>
        <w:t xml:space="preserve"> </w:t>
      </w:r>
      <w:r>
        <w:rPr>
          <w:color w:val="231F20"/>
        </w:rPr>
        <w:t>тощо.</w:t>
      </w:r>
    </w:p>
    <w:p w14:paraId="2FF992D6" w14:textId="77777777" w:rsidR="00DE575E" w:rsidRDefault="00DE575E">
      <w:pPr>
        <w:pStyle w:val="BodyText"/>
        <w:rPr>
          <w:sz w:val="24"/>
        </w:rPr>
      </w:pPr>
    </w:p>
    <w:p w14:paraId="1482D60A" w14:textId="77777777" w:rsidR="00DE575E" w:rsidRDefault="00DE575E">
      <w:pPr>
        <w:pStyle w:val="BodyText"/>
        <w:spacing w:before="3"/>
        <w:rPr>
          <w:sz w:val="20"/>
        </w:rPr>
      </w:pPr>
    </w:p>
    <w:p w14:paraId="7A59FD3E" w14:textId="77777777" w:rsidR="00DE575E" w:rsidRDefault="002E7560">
      <w:pPr>
        <w:pStyle w:val="Heading5"/>
        <w:spacing w:before="1"/>
        <w:ind w:left="2697"/>
      </w:pPr>
      <w:r>
        <w:rPr>
          <w:color w:val="231F20"/>
        </w:rPr>
        <w:t>Запитання і завдання</w:t>
      </w:r>
    </w:p>
    <w:p w14:paraId="69553BE4" w14:textId="77777777" w:rsidR="00DE575E" w:rsidRDefault="00DE575E">
      <w:pPr>
        <w:pStyle w:val="BodyText"/>
        <w:spacing w:before="2"/>
        <w:rPr>
          <w:b/>
          <w:sz w:val="23"/>
        </w:rPr>
      </w:pPr>
    </w:p>
    <w:p w14:paraId="05E78A26" w14:textId="77777777" w:rsidR="00DE575E" w:rsidRDefault="002E7560">
      <w:pPr>
        <w:pStyle w:val="ListParagraph"/>
        <w:numPr>
          <w:ilvl w:val="0"/>
          <w:numId w:val="155"/>
        </w:numPr>
        <w:tabs>
          <w:tab w:val="left" w:pos="1101"/>
        </w:tabs>
        <w:spacing w:before="0" w:line="252" w:lineRule="auto"/>
        <w:ind w:right="128" w:firstLine="284"/>
        <w:rPr>
          <w:sz w:val="21"/>
        </w:rPr>
      </w:pPr>
      <w:r>
        <w:rPr>
          <w:color w:val="231F20"/>
          <w:sz w:val="21"/>
        </w:rPr>
        <w:t>Які ознаки притаманні інструменту публічного адміністру- вання?</w:t>
      </w:r>
    </w:p>
    <w:p w14:paraId="1EAB91FF" w14:textId="77777777" w:rsidR="00DE575E" w:rsidRDefault="002E7560">
      <w:pPr>
        <w:pStyle w:val="ListParagraph"/>
        <w:numPr>
          <w:ilvl w:val="0"/>
          <w:numId w:val="155"/>
        </w:numPr>
        <w:tabs>
          <w:tab w:val="left" w:pos="1101"/>
        </w:tabs>
        <w:ind w:firstLine="284"/>
        <w:rPr>
          <w:sz w:val="21"/>
        </w:rPr>
      </w:pPr>
      <w:r>
        <w:rPr>
          <w:color w:val="231F20"/>
          <w:sz w:val="21"/>
        </w:rPr>
        <w:t>Які існують інструменти публічного</w:t>
      </w:r>
      <w:r>
        <w:rPr>
          <w:color w:val="231F20"/>
          <w:spacing w:val="-6"/>
          <w:sz w:val="21"/>
        </w:rPr>
        <w:t xml:space="preserve"> </w:t>
      </w:r>
      <w:r>
        <w:rPr>
          <w:color w:val="231F20"/>
          <w:sz w:val="21"/>
        </w:rPr>
        <w:t>адміністрування?</w:t>
      </w:r>
    </w:p>
    <w:p w14:paraId="370CB456" w14:textId="77777777" w:rsidR="00DE575E" w:rsidRDefault="002E7560">
      <w:pPr>
        <w:pStyle w:val="ListParagraph"/>
        <w:numPr>
          <w:ilvl w:val="0"/>
          <w:numId w:val="155"/>
        </w:numPr>
        <w:tabs>
          <w:tab w:val="left" w:pos="1101"/>
        </w:tabs>
        <w:spacing w:before="13" w:line="252" w:lineRule="auto"/>
        <w:ind w:right="128" w:firstLine="284"/>
        <w:rPr>
          <w:sz w:val="21"/>
        </w:rPr>
      </w:pPr>
      <w:r>
        <w:rPr>
          <w:color w:val="231F20"/>
          <w:sz w:val="21"/>
        </w:rPr>
        <w:t xml:space="preserve">За якими правилами </w:t>
      </w:r>
      <w:r>
        <w:rPr>
          <w:color w:val="231F20"/>
          <w:spacing w:val="-3"/>
          <w:sz w:val="21"/>
        </w:rPr>
        <w:t xml:space="preserve">суб’єкти </w:t>
      </w:r>
      <w:r>
        <w:rPr>
          <w:color w:val="231F20"/>
          <w:sz w:val="21"/>
        </w:rPr>
        <w:t>публічної адміністрації підбира- ють інструменти публічного</w:t>
      </w:r>
      <w:r>
        <w:rPr>
          <w:color w:val="231F20"/>
          <w:spacing w:val="-4"/>
          <w:sz w:val="21"/>
        </w:rPr>
        <w:t xml:space="preserve"> </w:t>
      </w:r>
      <w:r>
        <w:rPr>
          <w:color w:val="231F20"/>
          <w:sz w:val="21"/>
        </w:rPr>
        <w:t>адміністрування?</w:t>
      </w:r>
    </w:p>
    <w:p w14:paraId="7D6F12C4" w14:textId="77777777" w:rsidR="00DE575E" w:rsidRDefault="002E7560">
      <w:pPr>
        <w:pStyle w:val="ListParagraph"/>
        <w:numPr>
          <w:ilvl w:val="0"/>
          <w:numId w:val="155"/>
        </w:numPr>
        <w:tabs>
          <w:tab w:val="left" w:pos="1101"/>
        </w:tabs>
        <w:spacing w:line="252" w:lineRule="auto"/>
        <w:ind w:right="128" w:firstLine="284"/>
        <w:rPr>
          <w:sz w:val="21"/>
        </w:rPr>
      </w:pPr>
      <w:r>
        <w:rPr>
          <w:color w:val="231F20"/>
          <w:sz w:val="21"/>
        </w:rPr>
        <w:t xml:space="preserve">Яке юридичне значення має нормативно-правовий акт </w:t>
      </w:r>
      <w:r>
        <w:rPr>
          <w:color w:val="231F20"/>
          <w:spacing w:val="-3"/>
          <w:sz w:val="21"/>
        </w:rPr>
        <w:t xml:space="preserve">суб’єкта </w:t>
      </w:r>
      <w:r>
        <w:rPr>
          <w:color w:val="231F20"/>
          <w:sz w:val="21"/>
        </w:rPr>
        <w:t>публічного</w:t>
      </w:r>
      <w:r>
        <w:rPr>
          <w:color w:val="231F20"/>
          <w:sz w:val="21"/>
        </w:rPr>
        <w:t xml:space="preserve"> </w:t>
      </w:r>
      <w:r>
        <w:rPr>
          <w:color w:val="231F20"/>
          <w:sz w:val="21"/>
        </w:rPr>
        <w:t>адміністрування?</w:t>
      </w:r>
    </w:p>
    <w:p w14:paraId="292FED01" w14:textId="77777777" w:rsidR="00DE575E" w:rsidRDefault="002E7560">
      <w:pPr>
        <w:pStyle w:val="ListParagraph"/>
        <w:numPr>
          <w:ilvl w:val="0"/>
          <w:numId w:val="155"/>
        </w:numPr>
        <w:tabs>
          <w:tab w:val="left" w:pos="1101"/>
        </w:tabs>
        <w:ind w:firstLine="284"/>
        <w:rPr>
          <w:sz w:val="21"/>
        </w:rPr>
      </w:pPr>
      <w:r>
        <w:rPr>
          <w:color w:val="231F20"/>
          <w:sz w:val="21"/>
        </w:rPr>
        <w:t>Здійсніть класифікацію нормативно-правових</w:t>
      </w:r>
      <w:r>
        <w:rPr>
          <w:color w:val="231F20"/>
          <w:spacing w:val="-5"/>
          <w:sz w:val="21"/>
        </w:rPr>
        <w:t xml:space="preserve"> </w:t>
      </w:r>
      <w:r>
        <w:rPr>
          <w:color w:val="231F20"/>
          <w:sz w:val="21"/>
        </w:rPr>
        <w:t>актів.</w:t>
      </w:r>
    </w:p>
    <w:p w14:paraId="2EA40652" w14:textId="77777777" w:rsidR="00DE575E" w:rsidRDefault="002E7560">
      <w:pPr>
        <w:pStyle w:val="ListParagraph"/>
        <w:numPr>
          <w:ilvl w:val="0"/>
          <w:numId w:val="155"/>
        </w:numPr>
        <w:tabs>
          <w:tab w:val="left" w:pos="1101"/>
        </w:tabs>
        <w:spacing w:before="12"/>
        <w:ind w:firstLine="284"/>
        <w:rPr>
          <w:sz w:val="21"/>
        </w:rPr>
      </w:pPr>
      <w:r>
        <w:rPr>
          <w:color w:val="231F20"/>
          <w:sz w:val="21"/>
        </w:rPr>
        <w:t>Які вимоги вис</w:t>
      </w:r>
      <w:r>
        <w:rPr>
          <w:color w:val="231F20"/>
          <w:sz w:val="21"/>
        </w:rPr>
        <w:t>уваються до нормативних</w:t>
      </w:r>
      <w:r>
        <w:rPr>
          <w:color w:val="231F20"/>
          <w:spacing w:val="-5"/>
          <w:sz w:val="21"/>
        </w:rPr>
        <w:t xml:space="preserve"> </w:t>
      </w:r>
      <w:r>
        <w:rPr>
          <w:color w:val="231F20"/>
          <w:sz w:val="21"/>
        </w:rPr>
        <w:t>актів?</w:t>
      </w:r>
    </w:p>
    <w:p w14:paraId="65935227" w14:textId="77777777" w:rsidR="00DE575E" w:rsidRDefault="002E7560">
      <w:pPr>
        <w:pStyle w:val="ListParagraph"/>
        <w:numPr>
          <w:ilvl w:val="0"/>
          <w:numId w:val="155"/>
        </w:numPr>
        <w:tabs>
          <w:tab w:val="left" w:pos="1101"/>
        </w:tabs>
        <w:spacing w:before="13" w:line="252" w:lineRule="auto"/>
        <w:ind w:right="128" w:firstLine="284"/>
        <w:rPr>
          <w:sz w:val="21"/>
        </w:rPr>
      </w:pPr>
      <w:r>
        <w:rPr>
          <w:color w:val="231F20"/>
          <w:sz w:val="21"/>
        </w:rPr>
        <w:t>Які існують підстави для визнання нормативно-правового акта</w:t>
      </w:r>
      <w:r>
        <w:rPr>
          <w:color w:val="231F20"/>
          <w:spacing w:val="-2"/>
          <w:sz w:val="21"/>
        </w:rPr>
        <w:t xml:space="preserve"> </w:t>
      </w:r>
      <w:r>
        <w:rPr>
          <w:color w:val="231F20"/>
          <w:sz w:val="21"/>
        </w:rPr>
        <w:t>протиправним?</w:t>
      </w:r>
    </w:p>
    <w:p w14:paraId="5FC37E41" w14:textId="77777777" w:rsidR="00DE575E" w:rsidRDefault="00DE575E">
      <w:pPr>
        <w:pStyle w:val="BodyText"/>
        <w:spacing w:before="5"/>
        <w:rPr>
          <w:sz w:val="12"/>
        </w:rPr>
      </w:pPr>
    </w:p>
    <w:p w14:paraId="69CF6684" w14:textId="77777777" w:rsidR="00DE575E" w:rsidRDefault="002E7560">
      <w:pPr>
        <w:spacing w:before="92"/>
        <w:ind w:left="533"/>
        <w:rPr>
          <w:rFonts w:ascii="Times New Roman"/>
          <w:sz w:val="20"/>
        </w:rPr>
      </w:pPr>
      <w:r>
        <w:rPr>
          <w:rFonts w:ascii="Times New Roman"/>
          <w:color w:val="231F20"/>
          <w:sz w:val="20"/>
        </w:rPr>
        <w:t>288</w:t>
      </w:r>
    </w:p>
    <w:p w14:paraId="549CCD2A" w14:textId="77777777" w:rsidR="00DE575E" w:rsidRDefault="00DE575E">
      <w:pPr>
        <w:rPr>
          <w:rFonts w:ascii="Times New Roman"/>
          <w:sz w:val="20"/>
        </w:rPr>
        <w:sectPr w:rsidR="00DE575E">
          <w:pgSz w:w="8510" w:h="12760"/>
          <w:pgMar w:top="660" w:right="720" w:bottom="280" w:left="600" w:header="720" w:footer="720" w:gutter="0"/>
          <w:cols w:space="720"/>
        </w:sectPr>
      </w:pPr>
    </w:p>
    <w:p w14:paraId="1E779DB9" w14:textId="77777777" w:rsidR="00DE575E" w:rsidRDefault="002E7560">
      <w:pPr>
        <w:spacing w:before="72" w:line="249" w:lineRule="auto"/>
        <w:ind w:left="2634" w:firstLine="837"/>
        <w:rPr>
          <w:rFonts w:ascii="AdonisC" w:hAnsi="AdonisC"/>
          <w:i/>
          <w:sz w:val="18"/>
        </w:rPr>
      </w:pPr>
      <w:r>
        <w:rPr>
          <w:rFonts w:ascii="AdonisC" w:hAnsi="AdonisC"/>
          <w:i/>
          <w:color w:val="231F20"/>
          <w:sz w:val="18"/>
        </w:rPr>
        <w:t>Глава І. Загальне адміністративне право Розділ 7. Інструменти публічного адміністрування</w:t>
      </w:r>
    </w:p>
    <w:p w14:paraId="6DEA9766" w14:textId="58F237B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4D5947" wp14:editId="77AD9320">
                <wp:extent cx="4140200" cy="6350"/>
                <wp:effectExtent l="0" t="0" r="12700" b="6350"/>
                <wp:docPr id="683"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84" name="Line 6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03AB46" id="Group_x0020_6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asr4h/AgAAmAUAAA4A&#10;AAAAAAAAAAAAAAAALAIAAGRycy9lMm9Eb2MueG1sUEsBAi0AFAAGAAgAAAAhAEynsJDZAAAAAwEA&#10;AA8AAAAAAAAAAAAAAAAA1wQAAGRycy9kb3ducmV2LnhtbFBLBQYAAAAABAAEAPMAAADdBQAAAAA=&#10;">
                <v:line id="Line_x0020_6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aBScYAAADcAAAADwAAAGRycy9kb3ducmV2LnhtbESP3WrCQBSE7wXfYTmF3kjdtIpIdBUp&#10;FEov/Esf4Jg9JqG7Z2N2NalP7wqCl8PMfMPMl5014kKNrxwreB8mIIhzpysuFPxmX29TED4gazSO&#10;ScE/eVgu+r05ptq1vKPLPhQiQtinqKAMoU6l9HlJFv3Q1cTRO7rGYoiyKaRusI1wa+RHkkykxYrj&#10;Qok1fZaU/+3PVkF2GgSz3fyYNtscRvJwWo+u57VSry/dagYiUBee4Uf7WyuYTM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GgUnGAAAA3AAAAA8AAAAAAAAA&#10;AAAAAAAAoQIAAGRycy9kb3ducmV2LnhtbFBLBQYAAAAABAAEAPkAAACUAwAAAAA=&#10;" strokecolor="#231f20" strokeweight=".5pt"/>
                <w10:anchorlock/>
              </v:group>
            </w:pict>
          </mc:Fallback>
        </mc:AlternateContent>
      </w:r>
    </w:p>
    <w:p w14:paraId="5BBF120C" w14:textId="77777777" w:rsidR="00DE575E" w:rsidRDefault="00DE575E">
      <w:pPr>
        <w:pStyle w:val="BodyText"/>
        <w:spacing w:before="7"/>
        <w:rPr>
          <w:rFonts w:ascii="AdonisC"/>
          <w:i/>
          <w:sz w:val="19"/>
        </w:rPr>
      </w:pPr>
    </w:p>
    <w:p w14:paraId="4C244913" w14:textId="77777777" w:rsidR="00DE575E" w:rsidRDefault="002E7560">
      <w:pPr>
        <w:pStyle w:val="ListParagraph"/>
        <w:numPr>
          <w:ilvl w:val="0"/>
          <w:numId w:val="154"/>
        </w:numPr>
        <w:tabs>
          <w:tab w:val="left" w:pos="818"/>
        </w:tabs>
        <w:spacing w:line="244" w:lineRule="auto"/>
        <w:ind w:right="412" w:firstLine="283"/>
        <w:jc w:val="both"/>
        <w:rPr>
          <w:sz w:val="21"/>
        </w:rPr>
      </w:pPr>
      <w:r>
        <w:rPr>
          <w:color w:val="231F20"/>
          <w:sz w:val="21"/>
        </w:rPr>
        <w:t>За якими критеріями може бути здійснено класифікаційний розподіл адміністративних</w:t>
      </w:r>
      <w:r>
        <w:rPr>
          <w:color w:val="231F20"/>
          <w:spacing w:val="-3"/>
          <w:sz w:val="21"/>
        </w:rPr>
        <w:t xml:space="preserve"> </w:t>
      </w:r>
      <w:r>
        <w:rPr>
          <w:color w:val="231F20"/>
          <w:sz w:val="21"/>
        </w:rPr>
        <w:t>актів?</w:t>
      </w:r>
    </w:p>
    <w:p w14:paraId="27143B44" w14:textId="77777777" w:rsidR="00DE575E" w:rsidRDefault="002E7560">
      <w:pPr>
        <w:pStyle w:val="ListParagraph"/>
        <w:numPr>
          <w:ilvl w:val="0"/>
          <w:numId w:val="154"/>
        </w:numPr>
        <w:tabs>
          <w:tab w:val="left" w:pos="818"/>
        </w:tabs>
        <w:spacing w:line="244" w:lineRule="auto"/>
        <w:ind w:right="412" w:firstLine="283"/>
        <w:jc w:val="both"/>
        <w:rPr>
          <w:sz w:val="21"/>
        </w:rPr>
      </w:pPr>
      <w:r>
        <w:rPr>
          <w:color w:val="231F20"/>
          <w:sz w:val="21"/>
        </w:rPr>
        <w:t>Чим відкликання індивідуального акта відрізняється від його скасування?</w:t>
      </w:r>
    </w:p>
    <w:p w14:paraId="4E325F9E" w14:textId="77777777" w:rsidR="00DE575E" w:rsidRDefault="002E7560">
      <w:pPr>
        <w:pStyle w:val="BodyText"/>
        <w:spacing w:before="2" w:line="244" w:lineRule="auto"/>
        <w:ind w:left="250" w:right="411" w:firstLine="283"/>
        <w:jc w:val="both"/>
      </w:pPr>
      <w:r>
        <w:rPr>
          <w:color w:val="231F20"/>
        </w:rPr>
        <w:t>10.Схарактеризуйте стадії процедури ухвалення (видання) інди- відуального акта.</w:t>
      </w:r>
    </w:p>
    <w:p w14:paraId="7D8B07E9" w14:textId="77777777" w:rsidR="00DE575E" w:rsidRDefault="002E7560">
      <w:pPr>
        <w:pStyle w:val="BodyText"/>
        <w:spacing w:before="2" w:line="244" w:lineRule="auto"/>
        <w:ind w:left="250" w:right="414" w:firstLine="283"/>
        <w:jc w:val="both"/>
      </w:pPr>
      <w:r>
        <w:rPr>
          <w:color w:val="231F20"/>
        </w:rPr>
        <w:t>11.Назвіть підстави визнання адміністративно-правового акта не дійсним. Які наслідки такого</w:t>
      </w:r>
      <w:r>
        <w:rPr>
          <w:color w:val="231F20"/>
          <w:spacing w:val="-3"/>
        </w:rPr>
        <w:t xml:space="preserve"> </w:t>
      </w:r>
      <w:r>
        <w:rPr>
          <w:color w:val="231F20"/>
        </w:rPr>
        <w:t>рішення?</w:t>
      </w:r>
    </w:p>
    <w:p w14:paraId="59BB7BD7" w14:textId="77777777" w:rsidR="00DE575E" w:rsidRDefault="002E7560">
      <w:pPr>
        <w:pStyle w:val="BodyText"/>
        <w:spacing w:before="2" w:line="244" w:lineRule="auto"/>
        <w:ind w:left="250" w:right="411" w:firstLine="283"/>
        <w:jc w:val="both"/>
      </w:pPr>
      <w:r>
        <w:rPr>
          <w:color w:val="231F20"/>
        </w:rPr>
        <w:t>12.Які підстави розмежування адміністративних і приватнопра- вових договорі</w:t>
      </w:r>
      <w:r>
        <w:rPr>
          <w:color w:val="231F20"/>
        </w:rPr>
        <w:t>в?</w:t>
      </w:r>
    </w:p>
    <w:p w14:paraId="088ACD3D" w14:textId="77777777" w:rsidR="00DE575E" w:rsidRDefault="002E7560">
      <w:pPr>
        <w:pStyle w:val="BodyText"/>
        <w:spacing w:before="1" w:line="244" w:lineRule="auto"/>
        <w:ind w:left="250" w:right="412" w:firstLine="283"/>
        <w:jc w:val="both"/>
      </w:pPr>
      <w:r>
        <w:rPr>
          <w:color w:val="231F20"/>
        </w:rPr>
        <w:t>13.Які вимоги висуваються до адміністративних договорів? Які наслідки їх недотримання?</w:t>
      </w:r>
    </w:p>
    <w:p w14:paraId="4FF04060" w14:textId="77777777" w:rsidR="00DE575E" w:rsidRDefault="002E7560">
      <w:pPr>
        <w:pStyle w:val="BodyText"/>
        <w:spacing w:before="2" w:line="244" w:lineRule="auto"/>
        <w:ind w:left="250" w:right="411" w:firstLine="283"/>
        <w:jc w:val="both"/>
      </w:pPr>
      <w:r>
        <w:rPr>
          <w:color w:val="231F20"/>
        </w:rPr>
        <w:t>14.Які підстави визнання адміністративного договору нікчем- ним?</w:t>
      </w:r>
    </w:p>
    <w:p w14:paraId="4EE28AF3" w14:textId="77777777" w:rsidR="00DE575E" w:rsidRDefault="002E7560">
      <w:pPr>
        <w:pStyle w:val="BodyText"/>
        <w:spacing w:before="2" w:line="244" w:lineRule="auto"/>
        <w:ind w:left="250" w:right="411" w:firstLine="283"/>
        <w:jc w:val="both"/>
      </w:pPr>
      <w:r>
        <w:rPr>
          <w:color w:val="231F20"/>
        </w:rPr>
        <w:t>15.Що розуміється під актом планування, і чим він відрізняється від адміністративних актів, нормативн</w:t>
      </w:r>
      <w:r>
        <w:rPr>
          <w:color w:val="231F20"/>
        </w:rPr>
        <w:t>их актів та адміністративних договорів?</w:t>
      </w:r>
    </w:p>
    <w:p w14:paraId="63F97194" w14:textId="77777777" w:rsidR="00DE575E" w:rsidRDefault="002E7560">
      <w:pPr>
        <w:pStyle w:val="BodyText"/>
        <w:spacing w:before="3" w:line="244" w:lineRule="auto"/>
        <w:ind w:left="250" w:right="411" w:firstLine="283"/>
        <w:jc w:val="both"/>
      </w:pPr>
      <w:r>
        <w:rPr>
          <w:color w:val="231F20"/>
        </w:rPr>
        <w:t>16.За якими критеріями можна класифікувати плани в діяль- ності суб’єктів публічного адміністрування?</w:t>
      </w:r>
    </w:p>
    <w:p w14:paraId="73872AC8" w14:textId="77777777" w:rsidR="00DE575E" w:rsidRDefault="002E7560">
      <w:pPr>
        <w:pStyle w:val="BodyText"/>
        <w:spacing w:before="1"/>
        <w:ind w:left="533"/>
      </w:pPr>
      <w:r>
        <w:rPr>
          <w:color w:val="231F20"/>
        </w:rPr>
        <w:t>17.Назвіть зміст методів публічного адміністрування.</w:t>
      </w:r>
    </w:p>
    <w:p w14:paraId="238129B4" w14:textId="77777777" w:rsidR="00DE575E" w:rsidRDefault="002E7560">
      <w:pPr>
        <w:pStyle w:val="BodyText"/>
        <w:spacing w:before="6" w:line="244" w:lineRule="auto"/>
        <w:ind w:left="250" w:right="411" w:firstLine="283"/>
        <w:jc w:val="both"/>
      </w:pPr>
      <w:r>
        <w:rPr>
          <w:color w:val="231F20"/>
        </w:rPr>
        <w:t>18.У чому полягає особливість контролю як інструменту публіч-</w:t>
      </w:r>
      <w:r>
        <w:rPr>
          <w:color w:val="231F20"/>
        </w:rPr>
        <w:t xml:space="preserve"> ного адміністрування?</w:t>
      </w:r>
    </w:p>
    <w:p w14:paraId="2D29995C" w14:textId="77777777" w:rsidR="00DE575E" w:rsidRDefault="002E7560">
      <w:pPr>
        <w:pStyle w:val="BodyText"/>
        <w:spacing w:before="2" w:line="244" w:lineRule="auto"/>
        <w:ind w:left="250" w:right="411" w:firstLine="283"/>
        <w:jc w:val="both"/>
      </w:pPr>
      <w:r>
        <w:rPr>
          <w:color w:val="231F20"/>
        </w:rPr>
        <w:t>19.У</w:t>
      </w:r>
      <w:r>
        <w:rPr>
          <w:color w:val="231F20"/>
          <w:spacing w:val="-12"/>
        </w:rPr>
        <w:t xml:space="preserve"> </w:t>
      </w:r>
      <w:r>
        <w:rPr>
          <w:color w:val="231F20"/>
        </w:rPr>
        <w:t>чому</w:t>
      </w:r>
      <w:r>
        <w:rPr>
          <w:color w:val="231F20"/>
          <w:spacing w:val="-12"/>
        </w:rPr>
        <w:t xml:space="preserve"> </w:t>
      </w:r>
      <w:r>
        <w:rPr>
          <w:color w:val="231F20"/>
        </w:rPr>
        <w:t>полягає</w:t>
      </w:r>
      <w:r>
        <w:rPr>
          <w:color w:val="231F20"/>
          <w:spacing w:val="-12"/>
        </w:rPr>
        <w:t xml:space="preserve"> </w:t>
      </w:r>
      <w:r>
        <w:rPr>
          <w:color w:val="231F20"/>
        </w:rPr>
        <w:t>зміст</w:t>
      </w:r>
      <w:r>
        <w:rPr>
          <w:color w:val="231F20"/>
          <w:spacing w:val="-12"/>
        </w:rPr>
        <w:t xml:space="preserve"> </w:t>
      </w:r>
      <w:r>
        <w:rPr>
          <w:color w:val="231F20"/>
        </w:rPr>
        <w:t>електронного</w:t>
      </w:r>
      <w:r>
        <w:rPr>
          <w:color w:val="231F20"/>
          <w:spacing w:val="-12"/>
        </w:rPr>
        <w:t xml:space="preserve"> </w:t>
      </w:r>
      <w:r>
        <w:rPr>
          <w:color w:val="231F20"/>
        </w:rPr>
        <w:t>урядування</w:t>
      </w:r>
      <w:r>
        <w:rPr>
          <w:color w:val="231F20"/>
          <w:spacing w:val="-12"/>
        </w:rPr>
        <w:t xml:space="preserve"> </w:t>
      </w:r>
      <w:r>
        <w:rPr>
          <w:color w:val="231F20"/>
        </w:rPr>
        <w:t>як</w:t>
      </w:r>
      <w:r>
        <w:rPr>
          <w:color w:val="231F20"/>
          <w:spacing w:val="-12"/>
        </w:rPr>
        <w:t xml:space="preserve"> </w:t>
      </w:r>
      <w:r>
        <w:rPr>
          <w:color w:val="231F20"/>
        </w:rPr>
        <w:t>форми</w:t>
      </w:r>
      <w:r>
        <w:rPr>
          <w:color w:val="231F20"/>
          <w:spacing w:val="-12"/>
        </w:rPr>
        <w:t xml:space="preserve"> </w:t>
      </w:r>
      <w:r>
        <w:rPr>
          <w:color w:val="231F20"/>
        </w:rPr>
        <w:t>орга- нізації державного</w:t>
      </w:r>
      <w:r>
        <w:rPr>
          <w:color w:val="231F20"/>
          <w:spacing w:val="-1"/>
        </w:rPr>
        <w:t xml:space="preserve"> </w:t>
      </w:r>
      <w:r>
        <w:rPr>
          <w:color w:val="231F20"/>
        </w:rPr>
        <w:t>управління?</w:t>
      </w:r>
    </w:p>
    <w:p w14:paraId="2FED3664" w14:textId="77777777" w:rsidR="00DE575E" w:rsidRDefault="002E7560">
      <w:pPr>
        <w:pStyle w:val="BodyText"/>
        <w:spacing w:before="2" w:line="244" w:lineRule="auto"/>
        <w:ind w:left="250" w:right="410" w:firstLine="283"/>
        <w:jc w:val="both"/>
      </w:pPr>
      <w:r>
        <w:rPr>
          <w:color w:val="231F20"/>
        </w:rPr>
        <w:t>20.Визначте та схарактеризуйте основні складові елементи е-урядування.</w:t>
      </w:r>
    </w:p>
    <w:p w14:paraId="3A4C573F" w14:textId="77777777" w:rsidR="00DE575E" w:rsidRDefault="002E7560">
      <w:pPr>
        <w:pStyle w:val="BodyText"/>
        <w:spacing w:before="1"/>
        <w:ind w:left="533"/>
      </w:pPr>
      <w:r>
        <w:rPr>
          <w:color w:val="231F20"/>
        </w:rPr>
        <w:t>21.Як співвідносяться між собою е-урядування та е-демократія?</w:t>
      </w:r>
    </w:p>
    <w:p w14:paraId="1DBBD937" w14:textId="77777777" w:rsidR="00DE575E" w:rsidRDefault="00DE575E">
      <w:pPr>
        <w:pStyle w:val="BodyText"/>
        <w:rPr>
          <w:sz w:val="22"/>
        </w:rPr>
      </w:pPr>
    </w:p>
    <w:p w14:paraId="4A88D7D7" w14:textId="77777777" w:rsidR="00DE575E" w:rsidRDefault="002E7560">
      <w:pPr>
        <w:pStyle w:val="Heading5"/>
        <w:ind w:left="1494"/>
      </w:pPr>
      <w:r>
        <w:rPr>
          <w:color w:val="231F20"/>
        </w:rPr>
        <w:t>Література для поглибленого вивчення</w:t>
      </w:r>
    </w:p>
    <w:p w14:paraId="7ECD2A2B" w14:textId="77777777" w:rsidR="00DE575E" w:rsidRDefault="00DE575E">
      <w:pPr>
        <w:pStyle w:val="BodyText"/>
        <w:rPr>
          <w:b/>
          <w:sz w:val="22"/>
        </w:rPr>
      </w:pPr>
    </w:p>
    <w:p w14:paraId="1FD7B660" w14:textId="77777777" w:rsidR="00DE575E" w:rsidRDefault="002E7560">
      <w:pPr>
        <w:pStyle w:val="ListParagraph"/>
        <w:numPr>
          <w:ilvl w:val="0"/>
          <w:numId w:val="153"/>
        </w:numPr>
        <w:tabs>
          <w:tab w:val="left" w:pos="818"/>
        </w:tabs>
        <w:spacing w:before="0" w:line="244" w:lineRule="auto"/>
        <w:ind w:right="411" w:firstLine="283"/>
        <w:jc w:val="both"/>
        <w:rPr>
          <w:sz w:val="21"/>
        </w:rPr>
      </w:pPr>
      <w:r>
        <w:rPr>
          <w:color w:val="231F20"/>
          <w:sz w:val="21"/>
        </w:rPr>
        <w:t>Адміністративне</w:t>
      </w:r>
      <w:r>
        <w:rPr>
          <w:color w:val="231F20"/>
          <w:spacing w:val="-17"/>
          <w:sz w:val="21"/>
        </w:rPr>
        <w:t xml:space="preserve"> </w:t>
      </w:r>
      <w:r>
        <w:rPr>
          <w:color w:val="231F20"/>
          <w:sz w:val="21"/>
        </w:rPr>
        <w:t>право</w:t>
      </w:r>
      <w:r>
        <w:rPr>
          <w:color w:val="231F20"/>
          <w:spacing w:val="-17"/>
          <w:sz w:val="21"/>
        </w:rPr>
        <w:t xml:space="preserve"> </w:t>
      </w:r>
      <w:r>
        <w:rPr>
          <w:color w:val="231F20"/>
          <w:spacing w:val="-3"/>
          <w:sz w:val="21"/>
        </w:rPr>
        <w:t>України:</w:t>
      </w:r>
      <w:r>
        <w:rPr>
          <w:color w:val="231F20"/>
          <w:spacing w:val="-17"/>
          <w:sz w:val="21"/>
        </w:rPr>
        <w:t xml:space="preserve"> </w:t>
      </w:r>
      <w:r>
        <w:rPr>
          <w:color w:val="231F20"/>
          <w:sz w:val="21"/>
        </w:rPr>
        <w:t>підручник</w:t>
      </w:r>
      <w:r>
        <w:rPr>
          <w:color w:val="231F20"/>
          <w:spacing w:val="-17"/>
          <w:sz w:val="21"/>
        </w:rPr>
        <w:t xml:space="preserve"> </w:t>
      </w:r>
      <w:r>
        <w:rPr>
          <w:color w:val="231F20"/>
          <w:sz w:val="21"/>
        </w:rPr>
        <w:t>/</w:t>
      </w:r>
      <w:r>
        <w:rPr>
          <w:color w:val="231F20"/>
          <w:spacing w:val="-17"/>
          <w:sz w:val="21"/>
        </w:rPr>
        <w:t xml:space="preserve"> </w:t>
      </w:r>
      <w:r>
        <w:rPr>
          <w:color w:val="231F20"/>
          <w:sz w:val="21"/>
        </w:rPr>
        <w:t>за</w:t>
      </w:r>
      <w:r>
        <w:rPr>
          <w:color w:val="231F20"/>
          <w:spacing w:val="-16"/>
          <w:sz w:val="21"/>
        </w:rPr>
        <w:t xml:space="preserve"> </w:t>
      </w:r>
      <w:r>
        <w:rPr>
          <w:color w:val="231F20"/>
          <w:spacing w:val="-5"/>
          <w:sz w:val="21"/>
        </w:rPr>
        <w:t>заг.</w:t>
      </w:r>
      <w:r>
        <w:rPr>
          <w:color w:val="231F20"/>
          <w:spacing w:val="-17"/>
          <w:sz w:val="21"/>
        </w:rPr>
        <w:t xml:space="preserve"> </w:t>
      </w:r>
      <w:r>
        <w:rPr>
          <w:color w:val="231F20"/>
          <w:sz w:val="21"/>
        </w:rPr>
        <w:t>ред.</w:t>
      </w:r>
      <w:r>
        <w:rPr>
          <w:color w:val="231F20"/>
          <w:spacing w:val="-17"/>
          <w:sz w:val="21"/>
        </w:rPr>
        <w:t xml:space="preserve"> </w:t>
      </w:r>
      <w:r>
        <w:rPr>
          <w:color w:val="231F20"/>
          <w:spacing w:val="-12"/>
          <w:sz w:val="21"/>
        </w:rPr>
        <w:t>Т.</w:t>
      </w:r>
      <w:r>
        <w:rPr>
          <w:color w:val="231F20"/>
          <w:spacing w:val="-14"/>
          <w:sz w:val="21"/>
        </w:rPr>
        <w:t xml:space="preserve"> </w:t>
      </w:r>
      <w:r>
        <w:rPr>
          <w:color w:val="231F20"/>
          <w:sz w:val="21"/>
        </w:rPr>
        <w:t>Коло- моєць. Київ: Істина, 2012. 528</w:t>
      </w:r>
      <w:r>
        <w:rPr>
          <w:color w:val="231F20"/>
          <w:spacing w:val="-2"/>
          <w:sz w:val="21"/>
        </w:rPr>
        <w:t xml:space="preserve"> </w:t>
      </w:r>
      <w:r>
        <w:rPr>
          <w:color w:val="231F20"/>
          <w:sz w:val="21"/>
        </w:rPr>
        <w:t>с.</w:t>
      </w:r>
    </w:p>
    <w:p w14:paraId="317C3301" w14:textId="77777777" w:rsidR="00DE575E" w:rsidRDefault="002E7560">
      <w:pPr>
        <w:pStyle w:val="ListParagraph"/>
        <w:numPr>
          <w:ilvl w:val="0"/>
          <w:numId w:val="153"/>
        </w:numPr>
        <w:tabs>
          <w:tab w:val="left" w:pos="818"/>
        </w:tabs>
        <w:spacing w:before="2" w:line="244" w:lineRule="auto"/>
        <w:ind w:right="412" w:firstLine="283"/>
        <w:jc w:val="both"/>
        <w:rPr>
          <w:sz w:val="21"/>
        </w:rPr>
      </w:pPr>
      <w:r>
        <w:rPr>
          <w:color w:val="231F20"/>
          <w:sz w:val="21"/>
        </w:rPr>
        <w:t>Афанасьєв К. Адміністративний договір як форма державного управління</w:t>
      </w:r>
      <w:r>
        <w:rPr>
          <w:color w:val="231F20"/>
          <w:spacing w:val="20"/>
          <w:sz w:val="21"/>
        </w:rPr>
        <w:t xml:space="preserve"> </w:t>
      </w:r>
      <w:r>
        <w:rPr>
          <w:color w:val="231F20"/>
          <w:sz w:val="21"/>
        </w:rPr>
        <w:t>(теоретико-правовий</w:t>
      </w:r>
      <w:r>
        <w:rPr>
          <w:color w:val="231F20"/>
          <w:spacing w:val="20"/>
          <w:sz w:val="21"/>
        </w:rPr>
        <w:t xml:space="preserve"> </w:t>
      </w:r>
      <w:r>
        <w:rPr>
          <w:color w:val="231F20"/>
          <w:sz w:val="21"/>
        </w:rPr>
        <w:t>аспект)</w:t>
      </w:r>
      <w:r>
        <w:rPr>
          <w:color w:val="231F20"/>
          <w:spacing w:val="20"/>
          <w:sz w:val="21"/>
        </w:rPr>
        <w:t xml:space="preserve"> </w:t>
      </w:r>
      <w:r>
        <w:rPr>
          <w:color w:val="231F20"/>
          <w:sz w:val="21"/>
        </w:rPr>
        <w:t>:</w:t>
      </w:r>
      <w:r>
        <w:rPr>
          <w:color w:val="231F20"/>
          <w:spacing w:val="20"/>
          <w:sz w:val="21"/>
        </w:rPr>
        <w:t xml:space="preserve"> </w:t>
      </w:r>
      <w:r>
        <w:rPr>
          <w:color w:val="231F20"/>
          <w:sz w:val="21"/>
        </w:rPr>
        <w:t>дис...</w:t>
      </w:r>
      <w:r>
        <w:rPr>
          <w:color w:val="231F20"/>
          <w:spacing w:val="20"/>
          <w:sz w:val="21"/>
        </w:rPr>
        <w:t xml:space="preserve"> </w:t>
      </w:r>
      <w:r>
        <w:rPr>
          <w:color w:val="231F20"/>
          <w:sz w:val="21"/>
        </w:rPr>
        <w:t>канд.</w:t>
      </w:r>
      <w:r>
        <w:rPr>
          <w:color w:val="231F20"/>
          <w:spacing w:val="20"/>
          <w:sz w:val="21"/>
        </w:rPr>
        <w:t xml:space="preserve"> </w:t>
      </w:r>
      <w:r>
        <w:rPr>
          <w:color w:val="231F20"/>
          <w:sz w:val="21"/>
        </w:rPr>
        <w:t>юрид.</w:t>
      </w:r>
      <w:r>
        <w:rPr>
          <w:color w:val="231F20"/>
          <w:spacing w:val="20"/>
          <w:sz w:val="21"/>
        </w:rPr>
        <w:t xml:space="preserve"> </w:t>
      </w:r>
      <w:r>
        <w:rPr>
          <w:color w:val="231F20"/>
          <w:sz w:val="21"/>
        </w:rPr>
        <w:t>н</w:t>
      </w:r>
      <w:r>
        <w:rPr>
          <w:color w:val="231F20"/>
          <w:sz w:val="21"/>
        </w:rPr>
        <w:t>аук</w:t>
      </w:r>
      <w:r>
        <w:rPr>
          <w:color w:val="231F20"/>
          <w:spacing w:val="20"/>
          <w:sz w:val="21"/>
        </w:rPr>
        <w:t xml:space="preserve"> </w:t>
      </w:r>
      <w:r>
        <w:rPr>
          <w:color w:val="231F20"/>
          <w:sz w:val="21"/>
        </w:rPr>
        <w:t>:</w:t>
      </w:r>
    </w:p>
    <w:p w14:paraId="04BD74B3" w14:textId="77777777" w:rsidR="00DE575E" w:rsidRDefault="002E7560">
      <w:pPr>
        <w:pStyle w:val="BodyText"/>
        <w:spacing w:before="2"/>
        <w:ind w:left="250"/>
      </w:pPr>
      <w:r>
        <w:rPr>
          <w:color w:val="231F20"/>
        </w:rPr>
        <w:t>12.00.07. Луганськ, 2002. 191 с.</w:t>
      </w:r>
    </w:p>
    <w:p w14:paraId="7332A781" w14:textId="77777777" w:rsidR="00DE575E" w:rsidRDefault="002E7560">
      <w:pPr>
        <w:pStyle w:val="ListParagraph"/>
        <w:numPr>
          <w:ilvl w:val="0"/>
          <w:numId w:val="153"/>
        </w:numPr>
        <w:tabs>
          <w:tab w:val="left" w:pos="818"/>
        </w:tabs>
        <w:spacing w:before="6" w:line="244" w:lineRule="auto"/>
        <w:ind w:right="411" w:firstLine="283"/>
        <w:jc w:val="both"/>
        <w:rPr>
          <w:sz w:val="21"/>
        </w:rPr>
      </w:pPr>
      <w:r>
        <w:rPr>
          <w:color w:val="231F20"/>
          <w:sz w:val="21"/>
        </w:rPr>
        <w:t>Барікова А. Електронна держава: нова ефективність уряду- вання: монографія. Київ: Юрінком Інтер, 2016. 224</w:t>
      </w:r>
      <w:r>
        <w:rPr>
          <w:color w:val="231F20"/>
          <w:spacing w:val="-2"/>
          <w:sz w:val="21"/>
        </w:rPr>
        <w:t xml:space="preserve"> </w:t>
      </w:r>
      <w:r>
        <w:rPr>
          <w:color w:val="231F20"/>
          <w:sz w:val="21"/>
        </w:rPr>
        <w:t>с.</w:t>
      </w:r>
    </w:p>
    <w:p w14:paraId="7950EDB4" w14:textId="77777777" w:rsidR="00DE575E" w:rsidRDefault="002E7560">
      <w:pPr>
        <w:pStyle w:val="ListParagraph"/>
        <w:numPr>
          <w:ilvl w:val="0"/>
          <w:numId w:val="153"/>
        </w:numPr>
        <w:tabs>
          <w:tab w:val="left" w:pos="818"/>
        </w:tabs>
        <w:spacing w:line="249" w:lineRule="auto"/>
        <w:ind w:right="410" w:firstLine="283"/>
        <w:jc w:val="both"/>
        <w:rPr>
          <w:sz w:val="21"/>
        </w:rPr>
      </w:pPr>
      <w:r>
        <w:rPr>
          <w:color w:val="231F20"/>
          <w:sz w:val="21"/>
        </w:rPr>
        <w:t>Біла</w:t>
      </w:r>
      <w:r>
        <w:rPr>
          <w:color w:val="231F20"/>
          <w:spacing w:val="-9"/>
          <w:sz w:val="21"/>
        </w:rPr>
        <w:t xml:space="preserve"> </w:t>
      </w:r>
      <w:r>
        <w:rPr>
          <w:color w:val="231F20"/>
          <w:spacing w:val="-3"/>
          <w:sz w:val="21"/>
        </w:rPr>
        <w:t>В.</w:t>
      </w:r>
      <w:r>
        <w:rPr>
          <w:color w:val="231F20"/>
          <w:spacing w:val="-9"/>
          <w:sz w:val="21"/>
        </w:rPr>
        <w:t xml:space="preserve"> </w:t>
      </w:r>
      <w:r>
        <w:rPr>
          <w:color w:val="231F20"/>
          <w:sz w:val="21"/>
        </w:rPr>
        <w:t>Адміністративний</w:t>
      </w:r>
      <w:r>
        <w:rPr>
          <w:color w:val="231F20"/>
          <w:spacing w:val="-9"/>
          <w:sz w:val="21"/>
        </w:rPr>
        <w:t xml:space="preserve"> </w:t>
      </w:r>
      <w:r>
        <w:rPr>
          <w:color w:val="231F20"/>
          <w:sz w:val="21"/>
        </w:rPr>
        <w:t>договір</w:t>
      </w:r>
      <w:r>
        <w:rPr>
          <w:color w:val="231F20"/>
          <w:spacing w:val="-9"/>
          <w:sz w:val="21"/>
        </w:rPr>
        <w:t xml:space="preserve"> </w:t>
      </w:r>
      <w:r>
        <w:rPr>
          <w:color w:val="231F20"/>
          <w:sz w:val="21"/>
        </w:rPr>
        <w:t>в</w:t>
      </w:r>
      <w:r>
        <w:rPr>
          <w:color w:val="231F20"/>
          <w:spacing w:val="-8"/>
          <w:sz w:val="21"/>
        </w:rPr>
        <w:t xml:space="preserve"> </w:t>
      </w:r>
      <w:r>
        <w:rPr>
          <w:color w:val="231F20"/>
          <w:sz w:val="21"/>
        </w:rPr>
        <w:t>діяльності</w:t>
      </w:r>
      <w:r>
        <w:rPr>
          <w:color w:val="231F20"/>
          <w:spacing w:val="-9"/>
          <w:sz w:val="21"/>
        </w:rPr>
        <w:t xml:space="preserve"> </w:t>
      </w:r>
      <w:r>
        <w:rPr>
          <w:color w:val="231F20"/>
          <w:sz w:val="21"/>
        </w:rPr>
        <w:t>органів</w:t>
      </w:r>
      <w:r>
        <w:rPr>
          <w:color w:val="231F20"/>
          <w:spacing w:val="-9"/>
          <w:sz w:val="21"/>
        </w:rPr>
        <w:t xml:space="preserve"> </w:t>
      </w:r>
      <w:r>
        <w:rPr>
          <w:color w:val="231F20"/>
          <w:sz w:val="21"/>
        </w:rPr>
        <w:t xml:space="preserve">держав- ної податкової служби </w:t>
      </w:r>
      <w:r>
        <w:rPr>
          <w:color w:val="231F20"/>
          <w:spacing w:val="-3"/>
          <w:sz w:val="21"/>
        </w:rPr>
        <w:t xml:space="preserve">України </w:t>
      </w:r>
      <w:r>
        <w:rPr>
          <w:color w:val="231F20"/>
          <w:sz w:val="21"/>
        </w:rPr>
        <w:t>: дис. ... канд. юрид. наук: 12.00.07. Ірпінь, 2011. 192</w:t>
      </w:r>
      <w:r>
        <w:rPr>
          <w:color w:val="231F20"/>
          <w:spacing w:val="-2"/>
          <w:sz w:val="21"/>
        </w:rPr>
        <w:t xml:space="preserve"> </w:t>
      </w:r>
      <w:r>
        <w:rPr>
          <w:color w:val="231F20"/>
          <w:sz w:val="21"/>
        </w:rPr>
        <w:t>с.</w:t>
      </w:r>
    </w:p>
    <w:p w14:paraId="30BC1DAF" w14:textId="77777777" w:rsidR="00DE575E" w:rsidRDefault="00DE575E">
      <w:pPr>
        <w:pStyle w:val="BodyText"/>
        <w:spacing w:before="2"/>
        <w:rPr>
          <w:sz w:val="13"/>
        </w:rPr>
      </w:pPr>
    </w:p>
    <w:p w14:paraId="3BCB8FD3" w14:textId="77777777" w:rsidR="00DE575E" w:rsidRDefault="002E7560">
      <w:pPr>
        <w:spacing w:before="91"/>
        <w:ind w:right="411"/>
        <w:jc w:val="right"/>
        <w:rPr>
          <w:rFonts w:ascii="Times New Roman"/>
          <w:sz w:val="20"/>
        </w:rPr>
      </w:pPr>
      <w:r>
        <w:rPr>
          <w:rFonts w:ascii="Times New Roman"/>
          <w:color w:val="231F20"/>
          <w:w w:val="90"/>
          <w:sz w:val="20"/>
        </w:rPr>
        <w:t>289</w:t>
      </w:r>
    </w:p>
    <w:p w14:paraId="0B5975E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20D207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CA3779B" w14:textId="278585B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BF44459" wp14:editId="43FBA213">
                <wp:extent cx="4140200" cy="6350"/>
                <wp:effectExtent l="0" t="0" r="12700" b="6350"/>
                <wp:docPr id="681"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82" name="Line 6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03FB20" id="Group_x0020_6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vfOiNn4CAACYBQAADgAA&#10;AAAAAAAAAAAAAAAsAgAAZHJzL2Uyb0RvYy54bWxQSwECLQAUAAYACAAAACEATKewkNkAAAADAQAA&#10;DwAAAAAAAAAAAAAAAADWBAAAZHJzL2Rvd25yZXYueG1sUEsFBgAAAAAEAAQA8wAAANwFAAAAAA==&#10;">
                <v:line id="Line_x0020_6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O8psUAAADcAAAADwAAAGRycy9kb3ducmV2LnhtbESP0WrCQBRE3wv+w3KFvhTdVEEkuooI&#10;BfFBrekHXLPXJLh7N2ZXk/r1rlDo4zAzZ5j5srNG3KnxlWMFn8MEBHHudMWFgp/sazAF4QOyRuOY&#10;FPySh+Wi9zbHVLuWv+l+DIWIEPYpKihDqFMpfV6SRT90NXH0zq6xGKJsCqkbbCPcGjlKkom0WHFc&#10;KLGmdUn55XizCrLrRzCH/da02f40lqfrbvy47ZR673erGYhAXfgP/7U3WsFkOoLXmXgE5O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WO8psUAAADcAAAADwAAAAAAAAAA&#10;AAAAAAChAgAAZHJzL2Rvd25yZXYueG1sUEsFBgAAAAAEAAQA+QAAAJMDAAAAAA==&#10;" strokecolor="#231f20" strokeweight=".5pt"/>
                <w10:anchorlock/>
              </v:group>
            </w:pict>
          </mc:Fallback>
        </mc:AlternateContent>
      </w:r>
    </w:p>
    <w:p w14:paraId="36305140" w14:textId="77777777" w:rsidR="00DE575E" w:rsidRDefault="00DE575E">
      <w:pPr>
        <w:pStyle w:val="BodyText"/>
        <w:spacing w:before="7"/>
        <w:rPr>
          <w:rFonts w:ascii="AdonisC"/>
          <w:i/>
          <w:sz w:val="11"/>
        </w:rPr>
      </w:pPr>
    </w:p>
    <w:p w14:paraId="76A9C9DB" w14:textId="77777777" w:rsidR="00DE575E" w:rsidRDefault="002E7560">
      <w:pPr>
        <w:pStyle w:val="ListParagraph"/>
        <w:numPr>
          <w:ilvl w:val="1"/>
          <w:numId w:val="178"/>
        </w:numPr>
        <w:tabs>
          <w:tab w:val="left" w:pos="1101"/>
        </w:tabs>
        <w:spacing w:before="101" w:line="252" w:lineRule="auto"/>
        <w:ind w:right="128" w:firstLine="284"/>
        <w:jc w:val="both"/>
        <w:rPr>
          <w:sz w:val="21"/>
        </w:rPr>
      </w:pPr>
      <w:r>
        <w:rPr>
          <w:color w:val="231F20"/>
          <w:sz w:val="21"/>
        </w:rPr>
        <w:t xml:space="preserve">Галунько </w:t>
      </w:r>
      <w:r>
        <w:rPr>
          <w:color w:val="231F20"/>
          <w:spacing w:val="-3"/>
          <w:sz w:val="21"/>
        </w:rPr>
        <w:t xml:space="preserve">В., </w:t>
      </w:r>
      <w:r>
        <w:rPr>
          <w:color w:val="231F20"/>
          <w:sz w:val="21"/>
        </w:rPr>
        <w:t xml:space="preserve">Курило </w:t>
      </w:r>
      <w:r>
        <w:rPr>
          <w:color w:val="231F20"/>
          <w:spacing w:val="-3"/>
          <w:sz w:val="21"/>
        </w:rPr>
        <w:t xml:space="preserve">В., </w:t>
      </w:r>
      <w:r>
        <w:rPr>
          <w:color w:val="231F20"/>
          <w:sz w:val="21"/>
        </w:rPr>
        <w:t xml:space="preserve">Короєд С. та ін. Адміністративне право </w:t>
      </w:r>
      <w:r>
        <w:rPr>
          <w:color w:val="231F20"/>
          <w:spacing w:val="-3"/>
          <w:sz w:val="21"/>
        </w:rPr>
        <w:t xml:space="preserve">України. </w:t>
      </w:r>
      <w:r>
        <w:rPr>
          <w:color w:val="231F20"/>
          <w:spacing w:val="-7"/>
          <w:sz w:val="21"/>
        </w:rPr>
        <w:t xml:space="preserve">Т.1. </w:t>
      </w:r>
      <w:r>
        <w:rPr>
          <w:color w:val="231F20"/>
          <w:sz w:val="21"/>
        </w:rPr>
        <w:t>Загальне адміністративне право: навчальний посібник Херсон: Грінь Д.С., 2015. 272</w:t>
      </w:r>
      <w:r>
        <w:rPr>
          <w:color w:val="231F20"/>
          <w:spacing w:val="-3"/>
          <w:sz w:val="21"/>
        </w:rPr>
        <w:t xml:space="preserve"> </w:t>
      </w:r>
      <w:r>
        <w:rPr>
          <w:color w:val="231F20"/>
          <w:sz w:val="21"/>
        </w:rPr>
        <w:t>с.</w:t>
      </w:r>
    </w:p>
    <w:p w14:paraId="6AB1CCF1" w14:textId="77777777" w:rsidR="00DE575E" w:rsidRDefault="002E7560">
      <w:pPr>
        <w:pStyle w:val="ListParagraph"/>
        <w:numPr>
          <w:ilvl w:val="1"/>
          <w:numId w:val="178"/>
        </w:numPr>
        <w:tabs>
          <w:tab w:val="left" w:pos="1101"/>
        </w:tabs>
        <w:spacing w:line="252" w:lineRule="auto"/>
        <w:ind w:right="126" w:firstLine="284"/>
        <w:jc w:val="both"/>
        <w:rPr>
          <w:sz w:val="21"/>
        </w:rPr>
      </w:pPr>
      <w:r>
        <w:rPr>
          <w:color w:val="231F20"/>
          <w:spacing w:val="-4"/>
          <w:sz w:val="21"/>
        </w:rPr>
        <w:t xml:space="preserve">Горбулін </w:t>
      </w:r>
      <w:r>
        <w:rPr>
          <w:color w:val="231F20"/>
          <w:spacing w:val="-3"/>
          <w:sz w:val="21"/>
        </w:rPr>
        <w:t xml:space="preserve">В., </w:t>
      </w:r>
      <w:r>
        <w:rPr>
          <w:color w:val="231F20"/>
          <w:sz w:val="21"/>
        </w:rPr>
        <w:t xml:space="preserve">Грицяк Н., Семенченко А. та ін. Електронне уряду- вання: підручник / за </w:t>
      </w:r>
      <w:r>
        <w:rPr>
          <w:color w:val="231F20"/>
          <w:spacing w:val="-5"/>
          <w:sz w:val="21"/>
        </w:rPr>
        <w:t xml:space="preserve">заг. </w:t>
      </w:r>
      <w:r>
        <w:rPr>
          <w:color w:val="231F20"/>
          <w:sz w:val="21"/>
        </w:rPr>
        <w:t xml:space="preserve">ред.проф. </w:t>
      </w:r>
      <w:r>
        <w:rPr>
          <w:color w:val="231F20"/>
          <w:spacing w:val="-3"/>
          <w:sz w:val="21"/>
        </w:rPr>
        <w:t xml:space="preserve">Ю. </w:t>
      </w:r>
      <w:r>
        <w:rPr>
          <w:color w:val="231F20"/>
          <w:sz w:val="21"/>
        </w:rPr>
        <w:t xml:space="preserve">Ковбасюка. Київ: </w:t>
      </w:r>
      <w:r>
        <w:rPr>
          <w:color w:val="231F20"/>
          <w:spacing w:val="-7"/>
          <w:sz w:val="21"/>
        </w:rPr>
        <w:t xml:space="preserve">НАДУ, </w:t>
      </w:r>
      <w:r>
        <w:rPr>
          <w:color w:val="231F20"/>
          <w:sz w:val="21"/>
        </w:rPr>
        <w:t>2014. 352 с.</w:t>
      </w:r>
    </w:p>
    <w:p w14:paraId="42103974" w14:textId="77777777" w:rsidR="00DE575E" w:rsidRDefault="002E7560">
      <w:pPr>
        <w:pStyle w:val="ListParagraph"/>
        <w:numPr>
          <w:ilvl w:val="1"/>
          <w:numId w:val="178"/>
        </w:numPr>
        <w:tabs>
          <w:tab w:val="left" w:pos="1101"/>
        </w:tabs>
        <w:spacing w:before="2" w:line="252" w:lineRule="auto"/>
        <w:ind w:right="128" w:firstLine="284"/>
        <w:jc w:val="both"/>
        <w:rPr>
          <w:sz w:val="21"/>
        </w:rPr>
      </w:pPr>
      <w:r>
        <w:rPr>
          <w:color w:val="231F20"/>
          <w:sz w:val="21"/>
        </w:rPr>
        <w:t>Дубов Д. Основи ел</w:t>
      </w:r>
      <w:r>
        <w:rPr>
          <w:color w:val="231F20"/>
          <w:sz w:val="21"/>
        </w:rPr>
        <w:t>ектронного урядування: навчальний</w:t>
      </w:r>
      <w:r>
        <w:rPr>
          <w:color w:val="231F20"/>
          <w:spacing w:val="-25"/>
          <w:sz w:val="21"/>
        </w:rPr>
        <w:t xml:space="preserve"> </w:t>
      </w:r>
      <w:r>
        <w:rPr>
          <w:color w:val="231F20"/>
          <w:sz w:val="21"/>
        </w:rPr>
        <w:t>посіб- ник. Київ: Центр навчальної літератури, 2006. 176</w:t>
      </w:r>
      <w:r>
        <w:rPr>
          <w:color w:val="231F20"/>
          <w:spacing w:val="-2"/>
          <w:sz w:val="21"/>
        </w:rPr>
        <w:t xml:space="preserve"> </w:t>
      </w:r>
      <w:r>
        <w:rPr>
          <w:color w:val="231F20"/>
          <w:sz w:val="21"/>
        </w:rPr>
        <w:t>с.</w:t>
      </w:r>
    </w:p>
    <w:p w14:paraId="0378F34E" w14:textId="77777777" w:rsidR="00DE575E" w:rsidRDefault="002E7560">
      <w:pPr>
        <w:pStyle w:val="ListParagraph"/>
        <w:numPr>
          <w:ilvl w:val="1"/>
          <w:numId w:val="178"/>
        </w:numPr>
        <w:tabs>
          <w:tab w:val="left" w:pos="1101"/>
        </w:tabs>
        <w:spacing w:line="252" w:lineRule="auto"/>
        <w:ind w:right="127" w:firstLine="284"/>
        <w:jc w:val="both"/>
        <w:rPr>
          <w:sz w:val="21"/>
        </w:rPr>
      </w:pPr>
      <w:r>
        <w:rPr>
          <w:color w:val="231F20"/>
          <w:sz w:val="21"/>
        </w:rPr>
        <w:t>Завальна Ж. Адміністративний договір:  теоретичні  засади  та застосування: автореф. дис. ... д-ра юрид. наук: 12.00.07. Харків, 2010. 29 с.</w:t>
      </w:r>
    </w:p>
    <w:p w14:paraId="521ABAD8" w14:textId="77777777" w:rsidR="00DE575E" w:rsidRDefault="002E7560">
      <w:pPr>
        <w:pStyle w:val="ListParagraph"/>
        <w:numPr>
          <w:ilvl w:val="1"/>
          <w:numId w:val="178"/>
        </w:numPr>
        <w:tabs>
          <w:tab w:val="left" w:pos="1101"/>
        </w:tabs>
        <w:spacing w:line="252" w:lineRule="auto"/>
        <w:ind w:right="128" w:firstLine="284"/>
        <w:jc w:val="both"/>
        <w:rPr>
          <w:sz w:val="21"/>
        </w:rPr>
      </w:pPr>
      <w:r>
        <w:rPr>
          <w:color w:val="231F20"/>
          <w:sz w:val="21"/>
        </w:rPr>
        <w:t xml:space="preserve">Колпаков </w:t>
      </w:r>
      <w:r>
        <w:rPr>
          <w:color w:val="231F20"/>
          <w:spacing w:val="-3"/>
          <w:sz w:val="21"/>
        </w:rPr>
        <w:t xml:space="preserve">В., </w:t>
      </w:r>
      <w:r>
        <w:rPr>
          <w:color w:val="231F20"/>
          <w:sz w:val="21"/>
        </w:rPr>
        <w:t xml:space="preserve">Кузьменко </w:t>
      </w:r>
      <w:r>
        <w:rPr>
          <w:color w:val="231F20"/>
          <w:spacing w:val="-3"/>
          <w:sz w:val="21"/>
        </w:rPr>
        <w:t xml:space="preserve">О., </w:t>
      </w:r>
      <w:r>
        <w:rPr>
          <w:color w:val="231F20"/>
          <w:sz w:val="21"/>
        </w:rPr>
        <w:t xml:space="preserve">Пастух І. та ін. Курс адміністратив- ного права </w:t>
      </w:r>
      <w:r>
        <w:rPr>
          <w:color w:val="231F20"/>
          <w:spacing w:val="-3"/>
          <w:sz w:val="21"/>
        </w:rPr>
        <w:t xml:space="preserve">України: </w:t>
      </w:r>
      <w:r>
        <w:rPr>
          <w:color w:val="231F20"/>
          <w:sz w:val="21"/>
        </w:rPr>
        <w:t>підручник. Київ: Юрінком Інтер, 2012. 808 с.</w:t>
      </w:r>
    </w:p>
    <w:p w14:paraId="667EE38E" w14:textId="77777777" w:rsidR="00DE575E" w:rsidRDefault="002E7560">
      <w:pPr>
        <w:pStyle w:val="BodyText"/>
        <w:spacing w:before="1" w:line="252" w:lineRule="auto"/>
        <w:ind w:left="533" w:right="126" w:firstLine="283"/>
        <w:jc w:val="both"/>
      </w:pPr>
      <w:r>
        <w:rPr>
          <w:color w:val="231F20"/>
        </w:rPr>
        <w:t xml:space="preserve">10.Мандюк    </w:t>
      </w:r>
      <w:r>
        <w:rPr>
          <w:color w:val="231F20"/>
          <w:spacing w:val="-3"/>
        </w:rPr>
        <w:t xml:space="preserve">О.     </w:t>
      </w:r>
      <w:r>
        <w:rPr>
          <w:color w:val="231F20"/>
        </w:rPr>
        <w:t xml:space="preserve">Індивідуальні    адміністративні    акти:    теорія і практика застосування: дис.... канд. юрид. наук: 12.00.07. Львів, </w:t>
      </w:r>
      <w:r>
        <w:rPr>
          <w:color w:val="231F20"/>
        </w:rPr>
        <w:t>2017. 214 с.</w:t>
      </w:r>
    </w:p>
    <w:p w14:paraId="2CECBECA" w14:textId="77777777" w:rsidR="00DE575E" w:rsidRDefault="002E7560">
      <w:pPr>
        <w:pStyle w:val="BodyText"/>
        <w:spacing w:before="2" w:line="252" w:lineRule="auto"/>
        <w:ind w:left="533" w:right="128" w:firstLine="283"/>
        <w:jc w:val="both"/>
      </w:pPr>
      <w:r>
        <w:rPr>
          <w:color w:val="231F20"/>
        </w:rPr>
        <w:t>11.Мельник</w:t>
      </w:r>
      <w:r>
        <w:rPr>
          <w:color w:val="231F20"/>
          <w:spacing w:val="-14"/>
        </w:rPr>
        <w:t xml:space="preserve"> Р. </w:t>
      </w:r>
      <w:r>
        <w:rPr>
          <w:color w:val="231F20"/>
        </w:rPr>
        <w:t>Загальне</w:t>
      </w:r>
      <w:r>
        <w:rPr>
          <w:color w:val="231F20"/>
          <w:spacing w:val="-14"/>
        </w:rPr>
        <w:t xml:space="preserve"> </w:t>
      </w:r>
      <w:r>
        <w:rPr>
          <w:color w:val="231F20"/>
        </w:rPr>
        <w:t>адміністративне</w:t>
      </w:r>
      <w:r>
        <w:rPr>
          <w:color w:val="231F20"/>
          <w:spacing w:val="-14"/>
        </w:rPr>
        <w:t xml:space="preserve"> </w:t>
      </w:r>
      <w:r>
        <w:rPr>
          <w:color w:val="231F20"/>
        </w:rPr>
        <w:t>право</w:t>
      </w:r>
      <w:r>
        <w:rPr>
          <w:color w:val="231F20"/>
          <w:spacing w:val="-14"/>
        </w:rPr>
        <w:t xml:space="preserve"> </w:t>
      </w:r>
      <w:r>
        <w:rPr>
          <w:color w:val="231F20"/>
        </w:rPr>
        <w:t>в</w:t>
      </w:r>
      <w:r>
        <w:rPr>
          <w:color w:val="231F20"/>
          <w:spacing w:val="-12"/>
        </w:rPr>
        <w:t xml:space="preserve"> </w:t>
      </w:r>
      <w:r>
        <w:rPr>
          <w:color w:val="231F20"/>
        </w:rPr>
        <w:t>питаннях</w:t>
      </w:r>
      <w:r>
        <w:rPr>
          <w:color w:val="231F20"/>
          <w:spacing w:val="-14"/>
        </w:rPr>
        <w:t xml:space="preserve"> </w:t>
      </w:r>
      <w:r>
        <w:rPr>
          <w:color w:val="231F20"/>
        </w:rPr>
        <w:t>і</w:t>
      </w:r>
      <w:r>
        <w:rPr>
          <w:color w:val="231F20"/>
          <w:spacing w:val="-14"/>
        </w:rPr>
        <w:t xml:space="preserve"> </w:t>
      </w:r>
      <w:r>
        <w:rPr>
          <w:color w:val="231F20"/>
        </w:rPr>
        <w:t>відпо- відях : навчальний посібник. Київ: Юрінком Інтер, 2018. 308</w:t>
      </w:r>
      <w:r>
        <w:rPr>
          <w:color w:val="231F20"/>
          <w:spacing w:val="-2"/>
        </w:rPr>
        <w:t xml:space="preserve"> </w:t>
      </w:r>
      <w:r>
        <w:rPr>
          <w:color w:val="231F20"/>
        </w:rPr>
        <w:t>с.</w:t>
      </w:r>
    </w:p>
    <w:p w14:paraId="11601D0F" w14:textId="77777777" w:rsidR="00DE575E" w:rsidRDefault="002E7560">
      <w:pPr>
        <w:pStyle w:val="BodyText"/>
        <w:spacing w:before="1" w:line="252" w:lineRule="auto"/>
        <w:ind w:left="533" w:right="126" w:firstLine="283"/>
        <w:jc w:val="both"/>
      </w:pPr>
      <w:r>
        <w:rPr>
          <w:color w:val="231F20"/>
        </w:rPr>
        <w:t xml:space="preserve">12.Патерило І. Сутність та особливості адміністративних актів як основних інструментів діяльності </w:t>
      </w:r>
      <w:r>
        <w:rPr>
          <w:color w:val="231F20"/>
          <w:spacing w:val="-3"/>
        </w:rPr>
        <w:t xml:space="preserve">суб’єктів </w:t>
      </w:r>
      <w:r>
        <w:rPr>
          <w:color w:val="231F20"/>
        </w:rPr>
        <w:t>публічн</w:t>
      </w:r>
      <w:r>
        <w:rPr>
          <w:color w:val="231F20"/>
        </w:rPr>
        <w:t>ої адміністрації. Науковий</w:t>
      </w:r>
      <w:r>
        <w:rPr>
          <w:color w:val="231F20"/>
          <w:spacing w:val="-9"/>
        </w:rPr>
        <w:t xml:space="preserve"> </w:t>
      </w:r>
      <w:r>
        <w:rPr>
          <w:color w:val="231F20"/>
        </w:rPr>
        <w:t>вісник</w:t>
      </w:r>
      <w:r>
        <w:rPr>
          <w:color w:val="231F20"/>
          <w:spacing w:val="-9"/>
        </w:rPr>
        <w:t xml:space="preserve"> </w:t>
      </w:r>
      <w:r>
        <w:rPr>
          <w:color w:val="231F20"/>
        </w:rPr>
        <w:t>Ужгородського</w:t>
      </w:r>
      <w:r>
        <w:rPr>
          <w:color w:val="231F20"/>
          <w:spacing w:val="-9"/>
        </w:rPr>
        <w:t xml:space="preserve"> </w:t>
      </w:r>
      <w:r>
        <w:rPr>
          <w:color w:val="231F20"/>
        </w:rPr>
        <w:t>національного</w:t>
      </w:r>
      <w:r>
        <w:rPr>
          <w:color w:val="231F20"/>
          <w:spacing w:val="-9"/>
        </w:rPr>
        <w:t xml:space="preserve"> </w:t>
      </w:r>
      <w:r>
        <w:rPr>
          <w:color w:val="231F20"/>
        </w:rPr>
        <w:t>університету.</w:t>
      </w:r>
      <w:r>
        <w:rPr>
          <w:color w:val="231F20"/>
          <w:spacing w:val="-9"/>
        </w:rPr>
        <w:t xml:space="preserve"> </w:t>
      </w:r>
      <w:r>
        <w:rPr>
          <w:color w:val="231F20"/>
        </w:rPr>
        <w:t>Серія</w:t>
      </w:r>
      <w:r>
        <w:rPr>
          <w:color w:val="231F20"/>
          <w:spacing w:val="-9"/>
        </w:rPr>
        <w:t xml:space="preserve"> </w:t>
      </w:r>
      <w:r>
        <w:rPr>
          <w:color w:val="231F20"/>
        </w:rPr>
        <w:t xml:space="preserve">: Право. 2015. Випуск 31. </w:t>
      </w:r>
      <w:r>
        <w:rPr>
          <w:color w:val="231F20"/>
          <w:spacing w:val="-6"/>
        </w:rPr>
        <w:t xml:space="preserve">Том </w:t>
      </w:r>
      <w:r>
        <w:rPr>
          <w:color w:val="231F20"/>
        </w:rPr>
        <w:t>3. С.</w:t>
      </w:r>
      <w:r>
        <w:rPr>
          <w:color w:val="231F20"/>
          <w:spacing w:val="1"/>
        </w:rPr>
        <w:t xml:space="preserve"> </w:t>
      </w:r>
      <w:r>
        <w:rPr>
          <w:color w:val="231F20"/>
        </w:rPr>
        <w:t>10-14.</w:t>
      </w:r>
    </w:p>
    <w:p w14:paraId="2F477B7A" w14:textId="77777777" w:rsidR="00DE575E" w:rsidRDefault="002E7560">
      <w:pPr>
        <w:pStyle w:val="BodyText"/>
        <w:spacing w:before="2" w:line="252" w:lineRule="auto"/>
        <w:ind w:left="533" w:right="129" w:firstLine="283"/>
        <w:jc w:val="both"/>
      </w:pPr>
      <w:r>
        <w:rPr>
          <w:color w:val="231F20"/>
        </w:rPr>
        <w:t>13.Скворцов С. Адміністративний договір як засіб управлінської діяльності : дис... канд. юрид. наук : 12.00.07. Одеса, 2005. 229 с.</w:t>
      </w:r>
    </w:p>
    <w:p w14:paraId="6458C58B" w14:textId="77777777" w:rsidR="00DE575E" w:rsidRDefault="002E7560">
      <w:pPr>
        <w:pStyle w:val="BodyText"/>
        <w:spacing w:line="252" w:lineRule="auto"/>
        <w:ind w:left="533" w:right="129" w:firstLine="283"/>
        <w:jc w:val="both"/>
      </w:pPr>
      <w:r>
        <w:rPr>
          <w:color w:val="231F20"/>
        </w:rPr>
        <w:t>14.Тимощук В. Адміністративні акти: процедура прийняття та припинення дії: монографія. Київ: Конус-Ю, 2010. 296 с.</w:t>
      </w:r>
    </w:p>
    <w:p w14:paraId="3C9F579D" w14:textId="77777777" w:rsidR="00DE575E" w:rsidRDefault="002E7560">
      <w:pPr>
        <w:pStyle w:val="BodyText"/>
        <w:spacing w:before="1" w:line="252" w:lineRule="auto"/>
        <w:ind w:left="533" w:right="126" w:firstLine="283"/>
        <w:jc w:val="both"/>
      </w:pPr>
      <w:r>
        <w:rPr>
          <w:color w:val="231F20"/>
        </w:rPr>
        <w:t xml:space="preserve">15.Грицяк Н. </w:t>
      </w:r>
      <w:r>
        <w:rPr>
          <w:color w:val="231F20"/>
          <w:spacing w:val="-3"/>
        </w:rPr>
        <w:t xml:space="preserve">В. </w:t>
      </w:r>
      <w:r>
        <w:rPr>
          <w:color w:val="231F20"/>
        </w:rPr>
        <w:t xml:space="preserve">Електронна демократія як механізм політичної взаємодії : навч. -метод. рек. / Н.В. Грицяк, </w:t>
      </w:r>
      <w:r>
        <w:rPr>
          <w:color w:val="231F20"/>
          <w:spacing w:val="-7"/>
        </w:rPr>
        <w:t xml:space="preserve">С.Г. </w:t>
      </w:r>
      <w:r>
        <w:rPr>
          <w:color w:val="231F20"/>
        </w:rPr>
        <w:t xml:space="preserve">Соловйов. Київ: </w:t>
      </w:r>
      <w:r>
        <w:rPr>
          <w:color w:val="231F20"/>
          <w:spacing w:val="-7"/>
        </w:rPr>
        <w:t xml:space="preserve">НАДУ, </w:t>
      </w:r>
      <w:r>
        <w:rPr>
          <w:color w:val="231F20"/>
        </w:rPr>
        <w:t xml:space="preserve">2013. </w:t>
      </w:r>
      <w:r>
        <w:rPr>
          <w:color w:val="231F20"/>
        </w:rPr>
        <w:t>44 с.</w:t>
      </w:r>
    </w:p>
    <w:p w14:paraId="47F0EE03" w14:textId="77777777" w:rsidR="00DE575E" w:rsidRDefault="002E7560">
      <w:pPr>
        <w:pStyle w:val="BodyText"/>
        <w:spacing w:before="2" w:line="252" w:lineRule="auto"/>
        <w:ind w:left="533" w:right="124" w:firstLine="283"/>
        <w:jc w:val="both"/>
      </w:pPr>
      <w:r>
        <w:rPr>
          <w:color w:val="231F20"/>
        </w:rPr>
        <w:t xml:space="preserve">16.Електронне  урядування:  підручник  /  за  </w:t>
      </w:r>
      <w:r>
        <w:rPr>
          <w:color w:val="231F20"/>
          <w:spacing w:val="-5"/>
        </w:rPr>
        <w:t xml:space="preserve">заг.  </w:t>
      </w:r>
      <w:r>
        <w:rPr>
          <w:color w:val="231F20"/>
        </w:rPr>
        <w:t xml:space="preserve">ред.  проф.   </w:t>
      </w:r>
      <w:r>
        <w:rPr>
          <w:color w:val="231F20"/>
          <w:spacing w:val="-3"/>
        </w:rPr>
        <w:t xml:space="preserve">Ю.В. </w:t>
      </w:r>
      <w:r>
        <w:rPr>
          <w:color w:val="231F20"/>
        </w:rPr>
        <w:t xml:space="preserve">Ковбасюка ; наук. ред. проф. Н.В. Грицяк, проф. А.І. Семенченка. Київ: </w:t>
      </w:r>
      <w:r>
        <w:rPr>
          <w:color w:val="231F20"/>
          <w:spacing w:val="-7"/>
        </w:rPr>
        <w:t xml:space="preserve">НАДУ, </w:t>
      </w:r>
      <w:r>
        <w:rPr>
          <w:color w:val="231F20"/>
        </w:rPr>
        <w:t>2014. 352</w:t>
      </w:r>
      <w:r>
        <w:rPr>
          <w:color w:val="231F20"/>
          <w:spacing w:val="5"/>
        </w:rPr>
        <w:t xml:space="preserve"> </w:t>
      </w:r>
      <w:r>
        <w:rPr>
          <w:color w:val="231F20"/>
        </w:rPr>
        <w:t>с.</w:t>
      </w:r>
    </w:p>
    <w:p w14:paraId="00E7C9FA" w14:textId="77777777" w:rsidR="00DE575E" w:rsidRDefault="002E7560">
      <w:pPr>
        <w:pStyle w:val="BodyText"/>
        <w:spacing w:before="1" w:line="252" w:lineRule="auto"/>
        <w:ind w:left="533" w:right="130" w:firstLine="283"/>
        <w:jc w:val="both"/>
      </w:pPr>
      <w:r>
        <w:rPr>
          <w:color w:val="231F20"/>
        </w:rPr>
        <w:t>17.Битяк Ю., Гаращук В., Богуцький В. та ін. Адміністративне право України : підручник. Харків: Право, 2010. 624 с.</w:t>
      </w:r>
    </w:p>
    <w:p w14:paraId="573C29FA" w14:textId="77777777" w:rsidR="00DE575E" w:rsidRDefault="00DE575E">
      <w:pPr>
        <w:pStyle w:val="BodyText"/>
        <w:rPr>
          <w:sz w:val="20"/>
        </w:rPr>
      </w:pPr>
    </w:p>
    <w:p w14:paraId="3A233177" w14:textId="77777777" w:rsidR="00DE575E" w:rsidRDefault="00DE575E">
      <w:pPr>
        <w:pStyle w:val="BodyText"/>
        <w:rPr>
          <w:sz w:val="20"/>
        </w:rPr>
      </w:pPr>
    </w:p>
    <w:p w14:paraId="732D78C5" w14:textId="77777777" w:rsidR="00DE575E" w:rsidRDefault="00DE575E">
      <w:pPr>
        <w:pStyle w:val="BodyText"/>
        <w:rPr>
          <w:sz w:val="20"/>
        </w:rPr>
      </w:pPr>
    </w:p>
    <w:p w14:paraId="327F15E7" w14:textId="77777777" w:rsidR="00DE575E" w:rsidRDefault="00DE575E">
      <w:pPr>
        <w:pStyle w:val="BodyText"/>
        <w:rPr>
          <w:sz w:val="20"/>
        </w:rPr>
      </w:pPr>
    </w:p>
    <w:p w14:paraId="50780DF7" w14:textId="77777777" w:rsidR="00DE575E" w:rsidRDefault="00DE575E">
      <w:pPr>
        <w:pStyle w:val="BodyText"/>
        <w:rPr>
          <w:sz w:val="20"/>
        </w:rPr>
      </w:pPr>
    </w:p>
    <w:p w14:paraId="28BCAEC6" w14:textId="77777777" w:rsidR="00DE575E" w:rsidRDefault="00DE575E">
      <w:pPr>
        <w:pStyle w:val="BodyText"/>
        <w:spacing w:before="11"/>
        <w:rPr>
          <w:sz w:val="22"/>
        </w:rPr>
      </w:pPr>
    </w:p>
    <w:p w14:paraId="6989A6F0" w14:textId="77777777" w:rsidR="00DE575E" w:rsidRDefault="002E7560">
      <w:pPr>
        <w:spacing w:before="92"/>
        <w:ind w:left="533"/>
        <w:rPr>
          <w:rFonts w:ascii="Times New Roman"/>
          <w:sz w:val="20"/>
        </w:rPr>
      </w:pPr>
      <w:r>
        <w:rPr>
          <w:rFonts w:ascii="Times New Roman"/>
          <w:color w:val="231F20"/>
          <w:sz w:val="20"/>
        </w:rPr>
        <w:t>290</w:t>
      </w:r>
    </w:p>
    <w:p w14:paraId="60D62A30" w14:textId="77777777" w:rsidR="00DE575E" w:rsidRDefault="00DE575E">
      <w:pPr>
        <w:rPr>
          <w:rFonts w:ascii="Times New Roman"/>
          <w:sz w:val="20"/>
        </w:rPr>
        <w:sectPr w:rsidR="00DE575E">
          <w:pgSz w:w="8510" w:h="12760"/>
          <w:pgMar w:top="660" w:right="720" w:bottom="280" w:left="600" w:header="720" w:footer="720" w:gutter="0"/>
          <w:cols w:space="720"/>
        </w:sectPr>
      </w:pPr>
    </w:p>
    <w:p w14:paraId="131D6DF3"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6B0FB614" w14:textId="30366C4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F8B516E" wp14:editId="26589AC6">
                <wp:extent cx="4140200" cy="6350"/>
                <wp:effectExtent l="0" t="0" r="12700" b="6350"/>
                <wp:docPr id="679"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80" name="Line 6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643D9" id="Group_x0020_6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Z6esI4ECAACYBQAA&#10;DgAAAAAAAAAAAAAAAAAsAgAAZHJzL2Uyb0RvYy54bWxQSwECLQAUAAYACAAAACEATKewkNkAAAAD&#10;AQAADwAAAAAAAAAAAAAAAADZBAAAZHJzL2Rvd25yZXYueG1sUEsFBgAAAAAEAAQA8wAAAN8FAAAA&#10;AA==&#10;">
                <v:line id="Line_x0020_6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2HSsIAAADcAAAADwAAAGRycy9kb3ducmV2LnhtbERPy4rCMBTdC/5DuIIbGdNREOkYZRCE&#10;wYWvzgdcmzttmeSmNtFWv94sBJeH816sOmvEjRpfOVbwOU5AEOdOV1wo+M02H3MQPiBrNI5JwZ08&#10;rJb93gJT7Vo+0u0UChFD2KeooAyhTqX0eUkW/djVxJH7c43FEGFTSN1gG8OtkZMkmUmLFceGEmta&#10;l5T/n65WQXYZBXPYb02b7c9Teb7spo/rTqnhoPv+AhGoC2/xy/2jFczmcX48E4+A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v2HSsIAAADcAAAADwAAAAAAAAAAAAAA&#10;AAChAgAAZHJzL2Rvd25yZXYueG1sUEsFBgAAAAAEAAQA+QAAAJADAAAAAA==&#10;" strokecolor="#231f20" strokeweight=".5pt"/>
                <w10:anchorlock/>
              </v:group>
            </w:pict>
          </mc:Fallback>
        </mc:AlternateContent>
      </w:r>
    </w:p>
    <w:p w14:paraId="54C8FCF3" w14:textId="77777777" w:rsidR="00DE575E" w:rsidRDefault="00DE575E">
      <w:pPr>
        <w:pStyle w:val="BodyText"/>
        <w:spacing w:before="9"/>
        <w:rPr>
          <w:rFonts w:ascii="AdonisC"/>
          <w:i/>
          <w:sz w:val="20"/>
        </w:rPr>
      </w:pPr>
    </w:p>
    <w:p w14:paraId="3D9CCE78" w14:textId="77777777" w:rsidR="00DE575E" w:rsidRDefault="002E7560">
      <w:pPr>
        <w:pStyle w:val="Heading2"/>
        <w:spacing w:line="218" w:lineRule="auto"/>
        <w:ind w:left="1322" w:right="1393" w:firstLine="1631"/>
        <w:rPr>
          <w:sz w:val="16"/>
        </w:rPr>
      </w:pPr>
      <w:r>
        <w:rPr>
          <w:color w:val="231F20"/>
        </w:rPr>
        <w:t>Розділ 8 АДМІНІСТРАТИВНА ПРОЦЕДУРА</w:t>
      </w:r>
      <w:r>
        <w:rPr>
          <w:color w:val="231F20"/>
          <w:position w:val="9"/>
          <w:sz w:val="16"/>
        </w:rPr>
        <w:t>1</w:t>
      </w:r>
    </w:p>
    <w:p w14:paraId="43A9A36A" w14:textId="77777777" w:rsidR="00DE575E" w:rsidRDefault="00DE575E">
      <w:pPr>
        <w:pStyle w:val="BodyText"/>
        <w:spacing w:before="7"/>
        <w:rPr>
          <w:b/>
          <w:sz w:val="43"/>
        </w:rPr>
      </w:pPr>
    </w:p>
    <w:p w14:paraId="5DEF00D5" w14:textId="77777777" w:rsidR="00DE575E" w:rsidRDefault="002E7560">
      <w:pPr>
        <w:pStyle w:val="Heading4"/>
        <w:ind w:left="1201"/>
      </w:pPr>
      <w:r>
        <w:rPr>
          <w:color w:val="231F20"/>
        </w:rPr>
        <w:t>8.1. Розуміння адміністративної процедури</w:t>
      </w:r>
    </w:p>
    <w:p w14:paraId="34FFD7BA" w14:textId="77777777" w:rsidR="00DE575E" w:rsidRDefault="00DE575E">
      <w:pPr>
        <w:pStyle w:val="BodyText"/>
        <w:rPr>
          <w:b/>
          <w:sz w:val="26"/>
        </w:rPr>
      </w:pPr>
    </w:p>
    <w:p w14:paraId="5603C712" w14:textId="77777777" w:rsidR="00DE575E" w:rsidRDefault="002E7560">
      <w:pPr>
        <w:pStyle w:val="Heading5"/>
        <w:spacing w:before="223"/>
      </w:pPr>
      <w:r>
        <w:rPr>
          <w:color w:val="231F20"/>
        </w:rPr>
        <w:t>8.1.1. Поняття та ознаки адміністративної процедури</w:t>
      </w:r>
    </w:p>
    <w:p w14:paraId="69F8E8D6" w14:textId="77777777" w:rsidR="00DE575E" w:rsidRDefault="00DE575E">
      <w:pPr>
        <w:pStyle w:val="BodyText"/>
        <w:spacing w:before="2"/>
        <w:rPr>
          <w:b/>
          <w:sz w:val="23"/>
        </w:rPr>
      </w:pPr>
    </w:p>
    <w:p w14:paraId="0D0937C8" w14:textId="77777777" w:rsidR="00DE575E" w:rsidRDefault="002E7560">
      <w:pPr>
        <w:pStyle w:val="BodyText"/>
        <w:ind w:left="533"/>
      </w:pPr>
      <w:r>
        <w:rPr>
          <w:color w:val="231F20"/>
        </w:rPr>
        <w:t>Термін «процедура» походить від лат. procedo, що означає</w:t>
      </w:r>
    </w:p>
    <w:p w14:paraId="35ADA58F" w14:textId="77777777" w:rsidR="00DE575E" w:rsidRDefault="002E7560">
      <w:pPr>
        <w:spacing w:before="13" w:line="252" w:lineRule="auto"/>
        <w:ind w:left="250" w:right="339"/>
        <w:rPr>
          <w:i/>
          <w:sz w:val="21"/>
        </w:rPr>
      </w:pPr>
      <w:r>
        <w:rPr>
          <w:color w:val="231F20"/>
          <w:sz w:val="21"/>
        </w:rPr>
        <w:t xml:space="preserve">«проходжу, просуваюсь». </w:t>
      </w:r>
      <w:r>
        <w:rPr>
          <w:i/>
          <w:color w:val="231F20"/>
          <w:sz w:val="21"/>
        </w:rPr>
        <w:t>Сучасна юридична природа адміністратив- ної процедури базується на:</w:t>
      </w:r>
    </w:p>
    <w:p w14:paraId="61B537BD" w14:textId="77777777" w:rsidR="00DE575E" w:rsidRDefault="002E7560">
      <w:pPr>
        <w:pStyle w:val="BodyText"/>
        <w:spacing w:before="1" w:line="252" w:lineRule="auto"/>
        <w:ind w:left="250" w:right="407" w:firstLine="283"/>
        <w:jc w:val="both"/>
      </w:pPr>
      <w:r>
        <w:rPr>
          <w:rFonts w:ascii="Wingdings" w:hAnsi="Wingdings"/>
          <w:color w:val="231F20"/>
        </w:rPr>
        <w:t></w:t>
      </w:r>
      <w:r>
        <w:rPr>
          <w:rFonts w:ascii="Times New Roman" w:hAnsi="Times New Roman"/>
          <w:color w:val="231F20"/>
        </w:rPr>
        <w:t xml:space="preserve"> </w:t>
      </w:r>
      <w:r>
        <w:rPr>
          <w:color w:val="231F20"/>
        </w:rPr>
        <w:t>положеннях Конституції України, які зокрема констатують потребу для органів публічної адміністрації діяти відповідно до певного порядку (процедури) на підставі,  у  межах  повноважень  т</w:t>
      </w:r>
      <w:r>
        <w:rPr>
          <w:color w:val="231F20"/>
        </w:rPr>
        <w:t xml:space="preserve">а у спосіб, що передбачені  Конституцією  та  законами  України </w:t>
      </w:r>
      <w:r>
        <w:rPr>
          <w:color w:val="231F20"/>
          <w:spacing w:val="-4"/>
        </w:rPr>
        <w:t xml:space="preserve">(ст. </w:t>
      </w:r>
      <w:r>
        <w:rPr>
          <w:color w:val="231F20"/>
        </w:rPr>
        <w:t>19); належним чином, відповідно до певного порядку (проце- дури) реагувати на індивідуальні чи колективні звернення і, як наслідок, надавати обґрунтовану відповідь у встановлений зако- но</w:t>
      </w:r>
      <w:r>
        <w:rPr>
          <w:color w:val="231F20"/>
        </w:rPr>
        <w:t xml:space="preserve">м строк </w:t>
      </w:r>
      <w:r>
        <w:rPr>
          <w:color w:val="231F20"/>
          <w:spacing w:val="-4"/>
        </w:rPr>
        <w:t>(ст.</w:t>
      </w:r>
      <w:r>
        <w:rPr>
          <w:color w:val="231F20"/>
          <w:spacing w:val="6"/>
        </w:rPr>
        <w:t xml:space="preserve"> </w:t>
      </w:r>
      <w:r>
        <w:rPr>
          <w:color w:val="231F20"/>
        </w:rPr>
        <w:t>40);</w:t>
      </w:r>
    </w:p>
    <w:p w14:paraId="002830DF" w14:textId="77777777" w:rsidR="00DE575E" w:rsidRDefault="002E7560">
      <w:pPr>
        <w:pStyle w:val="BodyText"/>
        <w:spacing w:before="4"/>
        <w:ind w:left="533"/>
      </w:pPr>
      <w:r>
        <w:rPr>
          <w:rFonts w:ascii="Wingdings" w:hAnsi="Wingdings"/>
          <w:color w:val="231F20"/>
        </w:rPr>
        <w:t></w:t>
      </w:r>
      <w:r>
        <w:rPr>
          <w:rFonts w:ascii="Times New Roman" w:hAnsi="Times New Roman"/>
          <w:color w:val="231F20"/>
        </w:rPr>
        <w:t xml:space="preserve"> </w:t>
      </w:r>
      <w:r>
        <w:rPr>
          <w:color w:val="231F20"/>
        </w:rPr>
        <w:t>концепції адміністративної реформи України;</w:t>
      </w:r>
    </w:p>
    <w:p w14:paraId="20E77B02" w14:textId="77777777" w:rsidR="00DE575E" w:rsidRDefault="002E7560">
      <w:pPr>
        <w:pStyle w:val="BodyText"/>
        <w:spacing w:before="13"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на теоретичних напрацюваннях українських адміністрати- вістів, які стосуються обґрунтування самої ідеї адміністративних процедур та їх місця в системі адміністративного права й адмініст- рат</w:t>
      </w:r>
      <w:r>
        <w:rPr>
          <w:color w:val="231F20"/>
        </w:rPr>
        <w:t>ивного процесу.</w:t>
      </w:r>
    </w:p>
    <w:p w14:paraId="6B66C4B5" w14:textId="77777777" w:rsidR="00DE575E" w:rsidRDefault="002E7560">
      <w:pPr>
        <w:pStyle w:val="BodyText"/>
        <w:spacing w:before="2"/>
        <w:ind w:left="533"/>
      </w:pPr>
      <w:r>
        <w:rPr>
          <w:color w:val="231F20"/>
        </w:rPr>
        <w:t>Виокремлюються три складники адміністративного процесу:</w:t>
      </w:r>
    </w:p>
    <w:p w14:paraId="609538D5" w14:textId="77777777" w:rsidR="00DE575E" w:rsidRDefault="002E7560">
      <w:pPr>
        <w:pStyle w:val="ListParagraph"/>
        <w:numPr>
          <w:ilvl w:val="0"/>
          <w:numId w:val="152"/>
        </w:numPr>
        <w:tabs>
          <w:tab w:val="left" w:pos="818"/>
        </w:tabs>
        <w:spacing w:before="13" w:line="252" w:lineRule="auto"/>
        <w:ind w:right="412" w:firstLine="283"/>
        <w:jc w:val="both"/>
        <w:rPr>
          <w:sz w:val="21"/>
        </w:rPr>
      </w:pPr>
      <w:r>
        <w:rPr>
          <w:color w:val="231F20"/>
          <w:sz w:val="21"/>
        </w:rPr>
        <w:t xml:space="preserve">адміністративно-судовий – </w:t>
      </w:r>
      <w:r>
        <w:rPr>
          <w:color w:val="231F20"/>
          <w:spacing w:val="-3"/>
          <w:sz w:val="21"/>
        </w:rPr>
        <w:t xml:space="preserve">розгляд </w:t>
      </w:r>
      <w:r>
        <w:rPr>
          <w:color w:val="231F20"/>
          <w:sz w:val="21"/>
        </w:rPr>
        <w:t>публічних правових конфліктів в адміністративних</w:t>
      </w:r>
      <w:r>
        <w:rPr>
          <w:color w:val="231F20"/>
          <w:spacing w:val="-3"/>
          <w:sz w:val="21"/>
        </w:rPr>
        <w:t xml:space="preserve"> судах;</w:t>
      </w:r>
    </w:p>
    <w:p w14:paraId="57B21E91" w14:textId="77777777" w:rsidR="00DE575E" w:rsidRDefault="002E7560">
      <w:pPr>
        <w:pStyle w:val="ListParagraph"/>
        <w:numPr>
          <w:ilvl w:val="0"/>
          <w:numId w:val="152"/>
        </w:numPr>
        <w:tabs>
          <w:tab w:val="left" w:pos="818"/>
        </w:tabs>
        <w:spacing w:line="252" w:lineRule="auto"/>
        <w:ind w:right="411" w:firstLine="283"/>
        <w:jc w:val="both"/>
        <w:rPr>
          <w:sz w:val="21"/>
        </w:rPr>
      </w:pPr>
      <w:r>
        <w:rPr>
          <w:color w:val="231F20"/>
          <w:sz w:val="21"/>
        </w:rPr>
        <w:t>адміністративно-управлінський – виконавчо-розпорядча діяльність органів публічної</w:t>
      </w:r>
      <w:r>
        <w:rPr>
          <w:color w:val="231F20"/>
          <w:spacing w:val="-4"/>
          <w:sz w:val="21"/>
        </w:rPr>
        <w:t xml:space="preserve"> </w:t>
      </w:r>
      <w:r>
        <w:rPr>
          <w:color w:val="231F20"/>
          <w:sz w:val="21"/>
        </w:rPr>
        <w:t>адміністрації;</w:t>
      </w:r>
    </w:p>
    <w:p w14:paraId="674B7CB0" w14:textId="77777777" w:rsidR="00DE575E" w:rsidRDefault="002E7560">
      <w:pPr>
        <w:pStyle w:val="ListParagraph"/>
        <w:numPr>
          <w:ilvl w:val="0"/>
          <w:numId w:val="152"/>
        </w:numPr>
        <w:tabs>
          <w:tab w:val="left" w:pos="818"/>
        </w:tabs>
        <w:spacing w:line="252" w:lineRule="auto"/>
        <w:ind w:right="411" w:firstLine="283"/>
        <w:jc w:val="both"/>
        <w:rPr>
          <w:sz w:val="21"/>
        </w:rPr>
      </w:pPr>
      <w:r>
        <w:rPr>
          <w:color w:val="231F20"/>
          <w:sz w:val="21"/>
        </w:rPr>
        <w:t xml:space="preserve">адміністративно-юрисдикційний – </w:t>
      </w:r>
      <w:r>
        <w:rPr>
          <w:color w:val="231F20"/>
          <w:spacing w:val="-3"/>
          <w:sz w:val="21"/>
        </w:rPr>
        <w:t xml:space="preserve">розгляд </w:t>
      </w:r>
      <w:r>
        <w:rPr>
          <w:color w:val="231F20"/>
          <w:sz w:val="21"/>
        </w:rPr>
        <w:t>справ про адмі- ністративні правопорушення та застосування заходів адміністра- тивного</w:t>
      </w:r>
      <w:r>
        <w:rPr>
          <w:color w:val="231F20"/>
          <w:spacing w:val="-2"/>
          <w:sz w:val="21"/>
        </w:rPr>
        <w:t xml:space="preserve"> </w:t>
      </w:r>
      <w:r>
        <w:rPr>
          <w:color w:val="231F20"/>
          <w:sz w:val="21"/>
        </w:rPr>
        <w:t>примусу</w:t>
      </w:r>
      <w:r>
        <w:rPr>
          <w:color w:val="231F20"/>
          <w:position w:val="7"/>
          <w:sz w:val="12"/>
        </w:rPr>
        <w:t>2</w:t>
      </w:r>
      <w:r>
        <w:rPr>
          <w:color w:val="231F20"/>
          <w:sz w:val="21"/>
        </w:rPr>
        <w:t>.</w:t>
      </w:r>
    </w:p>
    <w:p w14:paraId="55FB47E0" w14:textId="77777777" w:rsidR="00DE575E" w:rsidRDefault="002E7560">
      <w:pPr>
        <w:pStyle w:val="BodyText"/>
        <w:spacing w:before="1" w:line="252" w:lineRule="auto"/>
        <w:ind w:left="250" w:right="411" w:firstLine="283"/>
        <w:jc w:val="both"/>
      </w:pPr>
      <w:r>
        <w:rPr>
          <w:color w:val="231F20"/>
        </w:rPr>
        <w:t>При цьому адміністративно-управлінський процес реалізується саме через адміністративні процедури, які вп</w:t>
      </w:r>
      <w:r>
        <w:rPr>
          <w:color w:val="231F20"/>
        </w:rPr>
        <w:t>орядковують діяль-</w:t>
      </w:r>
    </w:p>
    <w:p w14:paraId="24013159" w14:textId="77777777" w:rsidR="00DE575E" w:rsidRDefault="00DE575E">
      <w:pPr>
        <w:pStyle w:val="BodyText"/>
        <w:rPr>
          <w:sz w:val="20"/>
        </w:rPr>
      </w:pPr>
    </w:p>
    <w:p w14:paraId="5CCED60F" w14:textId="0A2DC7B7" w:rsidR="00DE575E" w:rsidRDefault="002E7560">
      <w:pPr>
        <w:pStyle w:val="BodyText"/>
        <w:spacing w:before="9"/>
        <w:rPr>
          <w:sz w:val="10"/>
        </w:rPr>
      </w:pPr>
      <w:r>
        <w:rPr>
          <w:noProof/>
        </w:rPr>
        <mc:AlternateContent>
          <mc:Choice Requires="wps">
            <w:drawing>
              <wp:anchor distT="0" distB="0" distL="0" distR="0" simplePos="0" relativeHeight="11560" behindDoc="0" locked="0" layoutInCell="1" allowOverlap="1" wp14:anchorId="595135CE" wp14:editId="5FCE58B3">
                <wp:simplePos x="0" y="0"/>
                <wp:positionH relativeFrom="page">
                  <wp:posOffset>539750</wp:posOffset>
                </wp:positionH>
                <wp:positionV relativeFrom="paragraph">
                  <wp:posOffset>107950</wp:posOffset>
                </wp:positionV>
                <wp:extent cx="1080135" cy="0"/>
                <wp:effectExtent l="6350" t="19050" r="31115" b="19050"/>
                <wp:wrapTopAndBottom/>
                <wp:docPr id="678"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ED273" id="Line_x0020_677" o:spid="_x0000_s1026" style="position:absolute;z-index:11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5pt" to="127.5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" strokecolor="#231f20" strokeweight=".5pt">
                <w10:wrap type="topAndBottom" anchorx="page"/>
              </v:line>
            </w:pict>
          </mc:Fallback>
        </mc:AlternateContent>
      </w:r>
    </w:p>
    <w:p w14:paraId="05F6D62B" w14:textId="77777777" w:rsidR="00DE575E" w:rsidRDefault="002E7560">
      <w:pPr>
        <w:spacing w:line="162" w:lineRule="exact"/>
        <w:ind w:left="250"/>
        <w:rPr>
          <w:b/>
          <w:sz w:val="16"/>
        </w:rPr>
      </w:pPr>
      <w:r>
        <w:rPr>
          <w:color w:val="231F20"/>
          <w:position w:val="5"/>
          <w:sz w:val="9"/>
        </w:rPr>
        <w:t xml:space="preserve">1 </w:t>
      </w:r>
      <w:r>
        <w:rPr>
          <w:color w:val="231F20"/>
          <w:sz w:val="16"/>
        </w:rPr>
        <w:t xml:space="preserve">За загальною редакцією </w:t>
      </w:r>
      <w:r>
        <w:rPr>
          <w:b/>
          <w:color w:val="231F20"/>
          <w:sz w:val="16"/>
        </w:rPr>
        <w:t>Степана Стеценка.</w:t>
      </w:r>
    </w:p>
    <w:p w14:paraId="6982E57E" w14:textId="77777777" w:rsidR="00DE575E" w:rsidRDefault="002E7560">
      <w:pPr>
        <w:spacing w:before="23" w:line="204" w:lineRule="auto"/>
        <w:ind w:left="250" w:right="521"/>
        <w:rPr>
          <w:sz w:val="16"/>
        </w:rPr>
      </w:pPr>
      <w:r>
        <w:rPr>
          <w:color w:val="231F20"/>
          <w:position w:val="5"/>
          <w:sz w:val="9"/>
        </w:rPr>
        <w:t xml:space="preserve">2      </w:t>
      </w:r>
      <w:r>
        <w:rPr>
          <w:color w:val="231F20"/>
          <w:sz w:val="16"/>
        </w:rPr>
        <w:t>Стеценко С. Адміністративне право України: навчальний посібник. Київ: Атіка, 2011.   С. 258-259.</w:t>
      </w:r>
    </w:p>
    <w:p w14:paraId="5DAB039D" w14:textId="77777777" w:rsidR="00DE575E" w:rsidRDefault="00DE575E">
      <w:pPr>
        <w:pStyle w:val="BodyText"/>
        <w:spacing w:before="5"/>
        <w:rPr>
          <w:sz w:val="12"/>
        </w:rPr>
      </w:pPr>
    </w:p>
    <w:p w14:paraId="04B68D02" w14:textId="77777777" w:rsidR="00DE575E" w:rsidRDefault="002E7560">
      <w:pPr>
        <w:spacing w:before="92"/>
        <w:ind w:right="411"/>
        <w:jc w:val="right"/>
        <w:rPr>
          <w:rFonts w:ascii="Times New Roman"/>
          <w:sz w:val="20"/>
        </w:rPr>
      </w:pPr>
      <w:r>
        <w:rPr>
          <w:rFonts w:ascii="Times New Roman"/>
          <w:color w:val="231F20"/>
          <w:w w:val="90"/>
          <w:sz w:val="20"/>
        </w:rPr>
        <w:t>291</w:t>
      </w:r>
    </w:p>
    <w:p w14:paraId="6A4C399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949B0E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B14EC27" w14:textId="3483317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B8A02D2" wp14:editId="03462196">
                <wp:extent cx="4140200" cy="6350"/>
                <wp:effectExtent l="0" t="0" r="12700" b="6350"/>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77" name="Line 67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6712E" id="Group_x0020_67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cMWvdgAIAAJgFAAAO&#10;AAAAAAAAAAAAAAAAACwCAABkcnMvZTJvRG9jLnhtbFBLAQItABQABgAIAAAAIQBMp7CQ2QAAAAMB&#10;AAAPAAAAAAAAAAAAAAAAANgEAABkcnMvZG93bnJldi54bWxQSwUGAAAAAAQABADzAAAA3gUAAAAA&#10;">
                <v:line id="Line_x0020_67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FvGcYAAADcAAAADwAAAGRycy9kb3ducmV2LnhtbESP3WrCQBSE7wt9h+UUvCl1o4KW1FVE&#10;EMQL/9IHOGZPk9DdszG7mujTdwuCl8PMfMNM55014kqNrxwrGPQTEMS50xUXCr6z1ccnCB+QNRrH&#10;pOBGHuaz15cpptq1fKDrMRQiQtinqKAMoU6l9HlJFn3f1cTR+3GNxRBlU0jdYBvh1shhkoylxYrj&#10;Qok1LUvKf48XqyA7vwez321Mm+1OI3k6b0f3y1ap3lu3+AIRqAvP8KO91grGkwn8n4lH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DBbxnGAAAA3AAAAA8AAAAAAAAA&#10;AAAAAAAAoQIAAGRycy9kb3ducmV2LnhtbFBLBQYAAAAABAAEAPkAAACUAwAAAAA=&#10;" strokecolor="#231f20" strokeweight=".5pt"/>
                <w10:anchorlock/>
              </v:group>
            </w:pict>
          </mc:Fallback>
        </mc:AlternateContent>
      </w:r>
    </w:p>
    <w:p w14:paraId="1CB48AA2" w14:textId="77777777" w:rsidR="00DE575E" w:rsidRDefault="00DE575E">
      <w:pPr>
        <w:pStyle w:val="BodyText"/>
        <w:spacing w:before="7"/>
        <w:rPr>
          <w:rFonts w:ascii="AdonisC"/>
          <w:i/>
          <w:sz w:val="11"/>
        </w:rPr>
      </w:pPr>
    </w:p>
    <w:p w14:paraId="55372312" w14:textId="77777777" w:rsidR="00DE575E" w:rsidRDefault="002E7560">
      <w:pPr>
        <w:pStyle w:val="BodyText"/>
        <w:spacing w:before="101" w:line="252" w:lineRule="auto"/>
        <w:ind w:left="533"/>
      </w:pPr>
      <w:r>
        <w:rPr>
          <w:color w:val="231F20"/>
        </w:rPr>
        <w:t>ність органів публічної адміністрації з вирішення конкретних адмі- ністративних справ.</w:t>
      </w:r>
    </w:p>
    <w:p w14:paraId="3F49488C" w14:textId="77777777" w:rsidR="00DE575E" w:rsidRDefault="002E7560">
      <w:pPr>
        <w:pStyle w:val="Heading6"/>
        <w:ind w:left="817" w:firstLine="0"/>
      </w:pPr>
      <w:r>
        <w:rPr>
          <w:color w:val="231F20"/>
        </w:rPr>
        <w:t>Ознаками адміністративної процедури є такі:</w:t>
      </w:r>
    </w:p>
    <w:p w14:paraId="797108FC" w14:textId="77777777" w:rsidR="00DE575E" w:rsidRDefault="002E7560">
      <w:pPr>
        <w:pStyle w:val="ListParagraph"/>
        <w:numPr>
          <w:ilvl w:val="0"/>
          <w:numId w:val="151"/>
        </w:numPr>
        <w:tabs>
          <w:tab w:val="left" w:pos="1101"/>
        </w:tabs>
        <w:spacing w:before="12"/>
        <w:ind w:firstLine="284"/>
        <w:jc w:val="left"/>
        <w:rPr>
          <w:sz w:val="21"/>
        </w:rPr>
      </w:pPr>
      <w:r>
        <w:rPr>
          <w:color w:val="231F20"/>
          <w:sz w:val="21"/>
        </w:rPr>
        <w:t>базується на нормах чинного</w:t>
      </w:r>
      <w:r>
        <w:rPr>
          <w:color w:val="231F20"/>
          <w:spacing w:val="-4"/>
          <w:sz w:val="21"/>
        </w:rPr>
        <w:t xml:space="preserve"> </w:t>
      </w:r>
      <w:r>
        <w:rPr>
          <w:color w:val="231F20"/>
          <w:sz w:val="21"/>
        </w:rPr>
        <w:t>законодавства;</w:t>
      </w:r>
    </w:p>
    <w:p w14:paraId="00729B7E" w14:textId="77777777" w:rsidR="00DE575E" w:rsidRDefault="002E7560">
      <w:pPr>
        <w:pStyle w:val="ListParagraph"/>
        <w:numPr>
          <w:ilvl w:val="0"/>
          <w:numId w:val="151"/>
        </w:numPr>
        <w:tabs>
          <w:tab w:val="left" w:pos="1101"/>
        </w:tabs>
        <w:spacing w:before="13"/>
        <w:ind w:firstLine="284"/>
        <w:jc w:val="left"/>
        <w:rPr>
          <w:sz w:val="21"/>
        </w:rPr>
      </w:pPr>
      <w:r>
        <w:rPr>
          <w:color w:val="231F20"/>
          <w:sz w:val="21"/>
        </w:rPr>
        <w:t xml:space="preserve">визначає порядок </w:t>
      </w:r>
      <w:r>
        <w:rPr>
          <w:color w:val="231F20"/>
          <w:spacing w:val="-3"/>
          <w:sz w:val="21"/>
        </w:rPr>
        <w:t xml:space="preserve">розгляду </w:t>
      </w:r>
      <w:r>
        <w:rPr>
          <w:color w:val="231F20"/>
          <w:sz w:val="21"/>
        </w:rPr>
        <w:t>адміністративних</w:t>
      </w:r>
      <w:r>
        <w:rPr>
          <w:color w:val="231F20"/>
          <w:spacing w:val="-1"/>
          <w:sz w:val="21"/>
        </w:rPr>
        <w:t xml:space="preserve"> </w:t>
      </w:r>
      <w:r>
        <w:rPr>
          <w:color w:val="231F20"/>
          <w:sz w:val="21"/>
        </w:rPr>
        <w:t>справ;</w:t>
      </w:r>
    </w:p>
    <w:p w14:paraId="47C3F2A3" w14:textId="77777777" w:rsidR="00DE575E" w:rsidRDefault="002E7560">
      <w:pPr>
        <w:pStyle w:val="ListParagraph"/>
        <w:numPr>
          <w:ilvl w:val="0"/>
          <w:numId w:val="151"/>
        </w:numPr>
        <w:tabs>
          <w:tab w:val="left" w:pos="1101"/>
        </w:tabs>
        <w:spacing w:before="13" w:line="252" w:lineRule="auto"/>
        <w:ind w:right="129" w:firstLine="284"/>
        <w:rPr>
          <w:sz w:val="21"/>
        </w:rPr>
      </w:pPr>
      <w:r>
        <w:rPr>
          <w:color w:val="231F20"/>
          <w:sz w:val="21"/>
        </w:rPr>
        <w:t xml:space="preserve">упорядковує повсякденну діяльність </w:t>
      </w:r>
      <w:r>
        <w:rPr>
          <w:color w:val="231F20"/>
          <w:spacing w:val="-3"/>
          <w:sz w:val="21"/>
        </w:rPr>
        <w:t xml:space="preserve">суб’єктів </w:t>
      </w:r>
      <w:r>
        <w:rPr>
          <w:color w:val="231F20"/>
          <w:sz w:val="21"/>
        </w:rPr>
        <w:t>публічного адміністрування;</w:t>
      </w:r>
    </w:p>
    <w:p w14:paraId="43402418" w14:textId="77777777" w:rsidR="00DE575E" w:rsidRDefault="002E7560">
      <w:pPr>
        <w:pStyle w:val="ListParagraph"/>
        <w:numPr>
          <w:ilvl w:val="0"/>
          <w:numId w:val="151"/>
        </w:numPr>
        <w:tabs>
          <w:tab w:val="left" w:pos="1101"/>
        </w:tabs>
        <w:spacing w:line="252" w:lineRule="auto"/>
        <w:ind w:right="127" w:firstLine="284"/>
        <w:rPr>
          <w:sz w:val="21"/>
        </w:rPr>
      </w:pPr>
      <w:r>
        <w:rPr>
          <w:color w:val="231F20"/>
          <w:sz w:val="21"/>
        </w:rPr>
        <w:t>спрямована на реалізацію та захист прав, свобод і законних інтересів фізичної та юридичної</w:t>
      </w:r>
      <w:r>
        <w:rPr>
          <w:color w:val="231F20"/>
          <w:spacing w:val="-4"/>
          <w:sz w:val="21"/>
        </w:rPr>
        <w:t xml:space="preserve"> </w:t>
      </w:r>
      <w:r>
        <w:rPr>
          <w:color w:val="231F20"/>
          <w:sz w:val="21"/>
        </w:rPr>
        <w:t>особи;</w:t>
      </w:r>
    </w:p>
    <w:p w14:paraId="0EB57999" w14:textId="77777777" w:rsidR="00DE575E" w:rsidRDefault="002E7560">
      <w:pPr>
        <w:pStyle w:val="ListParagraph"/>
        <w:numPr>
          <w:ilvl w:val="0"/>
          <w:numId w:val="151"/>
        </w:numPr>
        <w:tabs>
          <w:tab w:val="left" w:pos="1101"/>
        </w:tabs>
        <w:ind w:firstLine="284"/>
        <w:jc w:val="left"/>
        <w:rPr>
          <w:sz w:val="21"/>
        </w:rPr>
      </w:pPr>
      <w:r>
        <w:rPr>
          <w:color w:val="231F20"/>
          <w:sz w:val="21"/>
        </w:rPr>
        <w:t>завершується ухваленням адміністративного</w:t>
      </w:r>
      <w:r>
        <w:rPr>
          <w:color w:val="231F20"/>
          <w:spacing w:val="-5"/>
          <w:sz w:val="21"/>
        </w:rPr>
        <w:t xml:space="preserve"> </w:t>
      </w:r>
      <w:r>
        <w:rPr>
          <w:color w:val="231F20"/>
          <w:sz w:val="21"/>
        </w:rPr>
        <w:t>акта.</w:t>
      </w:r>
    </w:p>
    <w:p w14:paraId="6306A3FE" w14:textId="77777777" w:rsidR="00DE575E" w:rsidRDefault="002E7560">
      <w:pPr>
        <w:pStyle w:val="BodyText"/>
        <w:spacing w:before="13" w:line="252" w:lineRule="auto"/>
        <w:ind w:left="533" w:right="126" w:firstLine="283"/>
        <w:jc w:val="both"/>
      </w:pPr>
      <w:r>
        <w:rPr>
          <w:color w:val="231F20"/>
        </w:rPr>
        <w:t>Особливість с</w:t>
      </w:r>
      <w:r>
        <w:rPr>
          <w:color w:val="231F20"/>
        </w:rPr>
        <w:t xml:space="preserve">учасного розуміння сутності адміністративних процедур полягає в </w:t>
      </w:r>
      <w:r>
        <w:rPr>
          <w:color w:val="231F20"/>
          <w:spacing w:val="-4"/>
        </w:rPr>
        <w:t xml:space="preserve">тому, </w:t>
      </w:r>
      <w:r>
        <w:rPr>
          <w:color w:val="231F20"/>
        </w:rPr>
        <w:t xml:space="preserve">що, незважаючи на їх соціальну важли- вість і затребуваність, наразі в </w:t>
      </w:r>
      <w:r>
        <w:rPr>
          <w:color w:val="231F20"/>
          <w:spacing w:val="-3"/>
        </w:rPr>
        <w:t xml:space="preserve">Україні </w:t>
      </w:r>
      <w:r>
        <w:rPr>
          <w:color w:val="231F20"/>
        </w:rPr>
        <w:t xml:space="preserve">ще не ухвалено єдиного нормативно-правового акта рівня </w:t>
      </w:r>
      <w:r>
        <w:rPr>
          <w:color w:val="231F20"/>
          <w:spacing w:val="-3"/>
        </w:rPr>
        <w:t xml:space="preserve">Закону,  </w:t>
      </w:r>
      <w:r>
        <w:rPr>
          <w:color w:val="231F20"/>
        </w:rPr>
        <w:t>який  би  врегульову-  вав ці питання. Існу</w:t>
      </w:r>
      <w:r>
        <w:rPr>
          <w:color w:val="231F20"/>
        </w:rPr>
        <w:t xml:space="preserve">є декілька альтернативних законопроєктів, зокрема і проєктів кодифікованих нормативно-правових актів. Водночас найбільш дотичними до проблематики правового регу- лювання адміністративних процедур уважаються закони </w:t>
      </w:r>
      <w:r>
        <w:rPr>
          <w:color w:val="231F20"/>
          <w:spacing w:val="-3"/>
        </w:rPr>
        <w:t xml:space="preserve">України </w:t>
      </w:r>
      <w:r>
        <w:rPr>
          <w:color w:val="231F20"/>
        </w:rPr>
        <w:t xml:space="preserve">від </w:t>
      </w:r>
      <w:r>
        <w:rPr>
          <w:color w:val="231F20"/>
          <w:spacing w:val="25"/>
        </w:rPr>
        <w:t xml:space="preserve"> </w:t>
      </w:r>
      <w:r>
        <w:rPr>
          <w:color w:val="231F20"/>
        </w:rPr>
        <w:t>2.10.1996</w:t>
      </w:r>
      <w:r>
        <w:rPr>
          <w:color w:val="231F20"/>
          <w:spacing w:val="-6"/>
        </w:rPr>
        <w:t xml:space="preserve"> </w:t>
      </w:r>
      <w:r>
        <w:rPr>
          <w:color w:val="231F20"/>
        </w:rPr>
        <w:t xml:space="preserve">р. </w:t>
      </w:r>
      <w:r>
        <w:rPr>
          <w:color w:val="231F20"/>
          <w:spacing w:val="25"/>
        </w:rPr>
        <w:t xml:space="preserve"> </w:t>
      </w:r>
      <w:r>
        <w:rPr>
          <w:color w:val="231F20"/>
        </w:rPr>
        <w:t xml:space="preserve">393 </w:t>
      </w:r>
      <w:r>
        <w:rPr>
          <w:color w:val="231F20"/>
          <w:spacing w:val="25"/>
        </w:rPr>
        <w:t xml:space="preserve"> </w:t>
      </w:r>
      <w:r>
        <w:rPr>
          <w:color w:val="231F20"/>
        </w:rPr>
        <w:t xml:space="preserve">«Про </w:t>
      </w:r>
      <w:r>
        <w:rPr>
          <w:color w:val="231F20"/>
          <w:spacing w:val="25"/>
        </w:rPr>
        <w:t xml:space="preserve"> </w:t>
      </w:r>
      <w:r>
        <w:rPr>
          <w:color w:val="231F20"/>
        </w:rPr>
        <w:t xml:space="preserve">звернення </w:t>
      </w:r>
      <w:r>
        <w:rPr>
          <w:color w:val="231F20"/>
          <w:spacing w:val="25"/>
        </w:rPr>
        <w:t xml:space="preserve"> </w:t>
      </w:r>
      <w:r>
        <w:rPr>
          <w:color w:val="231F20"/>
        </w:rPr>
        <w:t xml:space="preserve">громадян», </w:t>
      </w:r>
      <w:r>
        <w:rPr>
          <w:color w:val="231F20"/>
          <w:spacing w:val="25"/>
        </w:rPr>
        <w:t xml:space="preserve"> </w:t>
      </w:r>
      <w:r>
        <w:rPr>
          <w:color w:val="231F20"/>
        </w:rPr>
        <w:t xml:space="preserve">від </w:t>
      </w:r>
      <w:r>
        <w:rPr>
          <w:color w:val="231F20"/>
          <w:spacing w:val="25"/>
        </w:rPr>
        <w:t xml:space="preserve"> </w:t>
      </w:r>
      <w:r>
        <w:rPr>
          <w:color w:val="231F20"/>
        </w:rPr>
        <w:t>6.09.2012</w:t>
      </w:r>
      <w:r>
        <w:rPr>
          <w:color w:val="231F20"/>
          <w:spacing w:val="-6"/>
        </w:rPr>
        <w:t xml:space="preserve"> </w:t>
      </w:r>
      <w:r>
        <w:rPr>
          <w:color w:val="231F20"/>
        </w:rPr>
        <w:t>р.</w:t>
      </w:r>
    </w:p>
    <w:p w14:paraId="10CE3712" w14:textId="77777777" w:rsidR="00DE575E" w:rsidRDefault="002E7560">
      <w:pPr>
        <w:pStyle w:val="BodyText"/>
        <w:spacing w:before="4"/>
        <w:ind w:left="533"/>
      </w:pPr>
      <w:r>
        <w:rPr>
          <w:color w:val="231F20"/>
        </w:rPr>
        <w:t>№ 5203-VI «Про адміністративні послуги», від 19.05.2003 р. № 966-IV</w:t>
      </w:r>
    </w:p>
    <w:p w14:paraId="52236150" w14:textId="77777777" w:rsidR="00DE575E" w:rsidRDefault="002E7560">
      <w:pPr>
        <w:pStyle w:val="BodyText"/>
        <w:spacing w:before="13" w:line="252" w:lineRule="auto"/>
        <w:ind w:left="533"/>
      </w:pPr>
      <w:r>
        <w:rPr>
          <w:color w:val="231F20"/>
        </w:rPr>
        <w:t>«Про соціальні послуги», від 20.03. 2015 р. № 222-VIII «Про ліцензу- вання видів господарської діяльності» тощо.</w:t>
      </w:r>
    </w:p>
    <w:p w14:paraId="3259279C" w14:textId="77777777" w:rsidR="00DE575E" w:rsidRDefault="002E7560">
      <w:pPr>
        <w:pStyle w:val="Heading5"/>
        <w:spacing w:before="1" w:line="252" w:lineRule="auto"/>
        <w:ind w:right="128" w:firstLine="283"/>
        <w:jc w:val="both"/>
      </w:pPr>
      <w:r>
        <w:rPr>
          <w:color w:val="231F20"/>
        </w:rPr>
        <w:t>Отже, під адміністративною процеду</w:t>
      </w:r>
      <w:r>
        <w:rPr>
          <w:color w:val="231F20"/>
        </w:rPr>
        <w:t>рою потрібно розуміти встановлений чинним законодавством порядок</w:t>
      </w:r>
      <w:r>
        <w:rPr>
          <w:color w:val="231F20"/>
          <w:spacing w:val="-33"/>
        </w:rPr>
        <w:t xml:space="preserve"> </w:t>
      </w:r>
      <w:r>
        <w:rPr>
          <w:color w:val="231F20"/>
          <w:spacing w:val="-3"/>
        </w:rPr>
        <w:t xml:space="preserve">розгляду </w:t>
      </w:r>
      <w:r>
        <w:rPr>
          <w:color w:val="231F20"/>
          <w:spacing w:val="-4"/>
        </w:rPr>
        <w:t xml:space="preserve">суб’єк- </w:t>
      </w:r>
      <w:r>
        <w:rPr>
          <w:color w:val="231F20"/>
        </w:rPr>
        <w:t>тами публічного адміністрування індивідуальних адміністра- тивних</w:t>
      </w:r>
      <w:r>
        <w:rPr>
          <w:color w:val="231F20"/>
          <w:spacing w:val="-6"/>
        </w:rPr>
        <w:t xml:space="preserve"> </w:t>
      </w:r>
      <w:r>
        <w:rPr>
          <w:color w:val="231F20"/>
        </w:rPr>
        <w:t>справ</w:t>
      </w:r>
      <w:r>
        <w:rPr>
          <w:color w:val="231F20"/>
          <w:spacing w:val="-6"/>
        </w:rPr>
        <w:t xml:space="preserve"> </w:t>
      </w:r>
      <w:r>
        <w:rPr>
          <w:color w:val="231F20"/>
          <w:spacing w:val="-3"/>
        </w:rPr>
        <w:t>щодо</w:t>
      </w:r>
      <w:r>
        <w:rPr>
          <w:color w:val="231F20"/>
          <w:spacing w:val="-5"/>
        </w:rPr>
        <w:t xml:space="preserve"> </w:t>
      </w:r>
      <w:r>
        <w:rPr>
          <w:color w:val="231F20"/>
        </w:rPr>
        <w:t>реалізації</w:t>
      </w:r>
      <w:r>
        <w:rPr>
          <w:color w:val="231F20"/>
          <w:spacing w:val="-6"/>
        </w:rPr>
        <w:t xml:space="preserve"> </w:t>
      </w:r>
      <w:r>
        <w:rPr>
          <w:color w:val="231F20"/>
        </w:rPr>
        <w:t>та</w:t>
      </w:r>
      <w:r>
        <w:rPr>
          <w:color w:val="231F20"/>
          <w:spacing w:val="-6"/>
        </w:rPr>
        <w:t xml:space="preserve"> </w:t>
      </w:r>
      <w:r>
        <w:rPr>
          <w:color w:val="231F20"/>
        </w:rPr>
        <w:t>захисту</w:t>
      </w:r>
      <w:r>
        <w:rPr>
          <w:color w:val="231F20"/>
          <w:spacing w:val="-6"/>
        </w:rPr>
        <w:t xml:space="preserve"> </w:t>
      </w:r>
      <w:r>
        <w:rPr>
          <w:color w:val="231F20"/>
        </w:rPr>
        <w:t>прав,</w:t>
      </w:r>
      <w:r>
        <w:rPr>
          <w:color w:val="231F20"/>
          <w:spacing w:val="-6"/>
        </w:rPr>
        <w:t xml:space="preserve"> </w:t>
      </w:r>
      <w:r>
        <w:rPr>
          <w:color w:val="231F20"/>
        </w:rPr>
        <w:t>свобод</w:t>
      </w:r>
      <w:r>
        <w:rPr>
          <w:color w:val="231F20"/>
          <w:spacing w:val="-6"/>
        </w:rPr>
        <w:t xml:space="preserve"> </w:t>
      </w:r>
      <w:r>
        <w:rPr>
          <w:color w:val="231F20"/>
        </w:rPr>
        <w:t>і</w:t>
      </w:r>
      <w:r>
        <w:rPr>
          <w:color w:val="231F20"/>
          <w:spacing w:val="-6"/>
        </w:rPr>
        <w:t xml:space="preserve"> </w:t>
      </w:r>
      <w:r>
        <w:rPr>
          <w:color w:val="231F20"/>
        </w:rPr>
        <w:t>законних інтересів окремої фізичної та юридичної особи, що з</w:t>
      </w:r>
      <w:r>
        <w:rPr>
          <w:color w:val="231F20"/>
        </w:rPr>
        <w:t>авершу- ється ухваленням адміністративного</w:t>
      </w:r>
      <w:r>
        <w:rPr>
          <w:color w:val="231F20"/>
          <w:spacing w:val="-4"/>
        </w:rPr>
        <w:t xml:space="preserve"> </w:t>
      </w:r>
      <w:r>
        <w:rPr>
          <w:color w:val="231F20"/>
        </w:rPr>
        <w:t>акта.</w:t>
      </w:r>
    </w:p>
    <w:p w14:paraId="21515494" w14:textId="77777777" w:rsidR="00DE575E" w:rsidRDefault="00DE575E">
      <w:pPr>
        <w:pStyle w:val="BodyText"/>
        <w:rPr>
          <w:b/>
          <w:sz w:val="24"/>
        </w:rPr>
      </w:pPr>
    </w:p>
    <w:p w14:paraId="4826817D" w14:textId="77777777" w:rsidR="00DE575E" w:rsidRDefault="00DE575E">
      <w:pPr>
        <w:pStyle w:val="BodyText"/>
        <w:spacing w:before="6"/>
        <w:rPr>
          <w:b/>
          <w:sz w:val="19"/>
        </w:rPr>
      </w:pPr>
    </w:p>
    <w:p w14:paraId="08427C71" w14:textId="77777777" w:rsidR="00DE575E" w:rsidRDefault="002E7560">
      <w:pPr>
        <w:ind w:left="1797"/>
        <w:rPr>
          <w:b/>
        </w:rPr>
      </w:pPr>
      <w:r>
        <w:rPr>
          <w:b/>
          <w:color w:val="231F20"/>
        </w:rPr>
        <w:t>8.2. Види адміністративних процедур</w:t>
      </w:r>
    </w:p>
    <w:p w14:paraId="79ACC155" w14:textId="77777777" w:rsidR="00DE575E" w:rsidRDefault="00DE575E">
      <w:pPr>
        <w:pStyle w:val="BodyText"/>
        <w:rPr>
          <w:b/>
          <w:sz w:val="26"/>
        </w:rPr>
      </w:pPr>
    </w:p>
    <w:p w14:paraId="7381C240" w14:textId="77777777" w:rsidR="00DE575E" w:rsidRDefault="002E7560">
      <w:pPr>
        <w:pStyle w:val="BodyText"/>
        <w:spacing w:before="224" w:line="252" w:lineRule="auto"/>
        <w:ind w:left="533" w:right="127" w:firstLine="283"/>
        <w:jc w:val="both"/>
      </w:pPr>
      <w:r>
        <w:rPr>
          <w:color w:val="231F20"/>
        </w:rPr>
        <w:t>З</w:t>
      </w:r>
      <w:r>
        <w:rPr>
          <w:color w:val="231F20"/>
          <w:spacing w:val="-10"/>
        </w:rPr>
        <w:t xml:space="preserve"> </w:t>
      </w:r>
      <w:r>
        <w:rPr>
          <w:color w:val="231F20"/>
        </w:rPr>
        <w:t>урахуванням</w:t>
      </w:r>
      <w:r>
        <w:rPr>
          <w:color w:val="231F20"/>
          <w:spacing w:val="-10"/>
        </w:rPr>
        <w:t xml:space="preserve"> </w:t>
      </w:r>
      <w:r>
        <w:rPr>
          <w:color w:val="231F20"/>
        </w:rPr>
        <w:t>комплексного</w:t>
      </w:r>
      <w:r>
        <w:rPr>
          <w:color w:val="231F20"/>
          <w:spacing w:val="-10"/>
        </w:rPr>
        <w:t xml:space="preserve"> </w:t>
      </w:r>
      <w:r>
        <w:rPr>
          <w:color w:val="231F20"/>
        </w:rPr>
        <w:t>характеру</w:t>
      </w:r>
      <w:r>
        <w:rPr>
          <w:color w:val="231F20"/>
          <w:spacing w:val="-10"/>
        </w:rPr>
        <w:t xml:space="preserve"> </w:t>
      </w:r>
      <w:r>
        <w:rPr>
          <w:color w:val="231F20"/>
        </w:rPr>
        <w:t>адміністративних</w:t>
      </w:r>
      <w:r>
        <w:rPr>
          <w:color w:val="231F20"/>
          <w:spacing w:val="-10"/>
        </w:rPr>
        <w:t xml:space="preserve"> </w:t>
      </w:r>
      <w:r>
        <w:rPr>
          <w:color w:val="231F20"/>
        </w:rPr>
        <w:t>проце- дур і широкого спектру їх можливого застосування логічно постає питання виокремлення видів адміністративних процедур. Існує декілька критеріїв для їх</w:t>
      </w:r>
      <w:r>
        <w:rPr>
          <w:color w:val="231F20"/>
          <w:spacing w:val="-3"/>
        </w:rPr>
        <w:t xml:space="preserve"> </w:t>
      </w:r>
      <w:r>
        <w:rPr>
          <w:color w:val="231F20"/>
        </w:rPr>
        <w:t>класифікації.</w:t>
      </w:r>
    </w:p>
    <w:p w14:paraId="54061280" w14:textId="77777777" w:rsidR="00DE575E" w:rsidRDefault="002E7560">
      <w:pPr>
        <w:pStyle w:val="ListParagraph"/>
        <w:numPr>
          <w:ilvl w:val="1"/>
          <w:numId w:val="152"/>
        </w:numPr>
        <w:tabs>
          <w:tab w:val="left" w:pos="1101"/>
        </w:tabs>
        <w:spacing w:before="2" w:line="252" w:lineRule="auto"/>
        <w:ind w:right="128" w:firstLine="284"/>
        <w:jc w:val="both"/>
        <w:rPr>
          <w:sz w:val="21"/>
        </w:rPr>
      </w:pPr>
      <w:r>
        <w:rPr>
          <w:color w:val="231F20"/>
          <w:sz w:val="21"/>
        </w:rPr>
        <w:t>Залежно від того, хто є ініціатором адміністративної проце- дури,</w:t>
      </w:r>
      <w:r>
        <w:rPr>
          <w:color w:val="231F20"/>
          <w:spacing w:val="-2"/>
          <w:sz w:val="21"/>
        </w:rPr>
        <w:t xml:space="preserve"> </w:t>
      </w:r>
      <w:r>
        <w:rPr>
          <w:color w:val="231F20"/>
          <w:sz w:val="21"/>
        </w:rPr>
        <w:t>виокремлюють:</w:t>
      </w:r>
    </w:p>
    <w:p w14:paraId="08009F15" w14:textId="77777777" w:rsidR="00DE575E" w:rsidRDefault="00DE575E">
      <w:pPr>
        <w:pStyle w:val="BodyText"/>
        <w:spacing w:before="6"/>
        <w:rPr>
          <w:sz w:val="12"/>
        </w:rPr>
      </w:pPr>
    </w:p>
    <w:p w14:paraId="1AE38F4B" w14:textId="77777777" w:rsidR="00DE575E" w:rsidRDefault="002E7560">
      <w:pPr>
        <w:spacing w:before="92"/>
        <w:ind w:left="533"/>
        <w:rPr>
          <w:rFonts w:ascii="Times New Roman"/>
          <w:sz w:val="20"/>
        </w:rPr>
      </w:pPr>
      <w:r>
        <w:rPr>
          <w:rFonts w:ascii="Times New Roman"/>
          <w:color w:val="231F20"/>
          <w:sz w:val="20"/>
        </w:rPr>
        <w:t>292</w:t>
      </w:r>
    </w:p>
    <w:p w14:paraId="26FCFF99" w14:textId="77777777" w:rsidR="00DE575E" w:rsidRDefault="00DE575E">
      <w:pPr>
        <w:rPr>
          <w:rFonts w:ascii="Times New Roman"/>
          <w:sz w:val="20"/>
        </w:rPr>
        <w:sectPr w:rsidR="00DE575E">
          <w:pgSz w:w="8510" w:h="12760"/>
          <w:pgMar w:top="660" w:right="720" w:bottom="280" w:left="600" w:header="720" w:footer="720" w:gutter="0"/>
          <w:cols w:space="720"/>
        </w:sectPr>
      </w:pPr>
    </w:p>
    <w:p w14:paraId="52E651C5"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68DBCD74" w14:textId="7408B17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91FC55F" wp14:editId="0373296B">
                <wp:extent cx="4140200" cy="6350"/>
                <wp:effectExtent l="0" t="0" r="12700" b="6350"/>
                <wp:docPr id="674"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75" name="Line 67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0992F0" id="Group_x0020_67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RhCsZ/AgAAmAUAAA4A&#10;AAAAAAAAAAAAAAAALAIAAGRycy9lMm9Eb2MueG1sUEsBAi0AFAAGAAgAAAAhAEynsJDZAAAAAwEA&#10;AA8AAAAAAAAAAAAAAAAA1wQAAGRycy9kb3ducmV2LnhtbFBLBQYAAAAABAAEAPMAAADdBQAAAAA=&#10;">
                <v:line id="Line_x0020_67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9U9cYAAADcAAAADwAAAGRycy9kb3ducmV2LnhtbESP0WrCQBRE3wv+w3IFX0rdqNRKdBUp&#10;FEoftDX9gGv2mgR378bsaqJf7wqFPg4zc4ZZrDprxIUaXzlWMBomIIhzpysuFPxmHy8zED4gazSO&#10;ScGVPKyWvacFptq1/EOXXShEhLBPUUEZQp1K6fOSLPqhq4mjd3CNxRBlU0jdYBvh1shxkkylxYrj&#10;Qok1vZeUH3dnqyA7PQfzvf0ybbbdT+T+tJnczhulBv1uPQcRqAv/4b/2p1YwfXu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9fVPXGAAAA3AAAAA8AAAAAAAAA&#10;AAAAAAAAoQIAAGRycy9kb3ducmV2LnhtbFBLBQYAAAAABAAEAPkAAACUAwAAAAA=&#10;" strokecolor="#231f20" strokeweight=".5pt"/>
                <w10:anchorlock/>
              </v:group>
            </w:pict>
          </mc:Fallback>
        </mc:AlternateContent>
      </w:r>
    </w:p>
    <w:p w14:paraId="5365C1A4" w14:textId="77777777" w:rsidR="00DE575E" w:rsidRDefault="00DE575E">
      <w:pPr>
        <w:pStyle w:val="BodyText"/>
        <w:spacing w:before="3"/>
        <w:rPr>
          <w:rFonts w:ascii="AdonisC"/>
          <w:i/>
          <w:sz w:val="12"/>
        </w:rPr>
      </w:pPr>
    </w:p>
    <w:p w14:paraId="01C29D01" w14:textId="77777777" w:rsidR="00DE575E" w:rsidRDefault="002E7560">
      <w:pPr>
        <w:pStyle w:val="ListParagraph"/>
        <w:numPr>
          <w:ilvl w:val="0"/>
          <w:numId w:val="150"/>
        </w:numPr>
        <w:tabs>
          <w:tab w:val="left" w:pos="1101"/>
        </w:tabs>
        <w:spacing w:before="100" w:line="252" w:lineRule="auto"/>
        <w:ind w:right="411" w:hanging="283"/>
        <w:rPr>
          <w:sz w:val="21"/>
        </w:rPr>
      </w:pPr>
      <w:r>
        <w:rPr>
          <w:color w:val="231F20"/>
          <w:sz w:val="21"/>
        </w:rPr>
        <w:t>заявні</w:t>
      </w:r>
      <w:r>
        <w:rPr>
          <w:color w:val="231F20"/>
          <w:spacing w:val="-24"/>
          <w:sz w:val="21"/>
        </w:rPr>
        <w:t xml:space="preserve"> </w:t>
      </w:r>
      <w:r>
        <w:rPr>
          <w:color w:val="231F20"/>
          <w:sz w:val="21"/>
        </w:rPr>
        <w:t>адміністративні</w:t>
      </w:r>
      <w:r>
        <w:rPr>
          <w:color w:val="231F20"/>
          <w:spacing w:val="-24"/>
          <w:sz w:val="21"/>
        </w:rPr>
        <w:t xml:space="preserve"> </w:t>
      </w:r>
      <w:r>
        <w:rPr>
          <w:color w:val="231F20"/>
          <w:sz w:val="21"/>
        </w:rPr>
        <w:t>процедури,</w:t>
      </w:r>
      <w:r>
        <w:rPr>
          <w:color w:val="231F20"/>
          <w:spacing w:val="-24"/>
          <w:sz w:val="21"/>
        </w:rPr>
        <w:t xml:space="preserve"> </w:t>
      </w:r>
      <w:r>
        <w:rPr>
          <w:color w:val="231F20"/>
          <w:sz w:val="21"/>
        </w:rPr>
        <w:t>яківиникають</w:t>
      </w:r>
      <w:r>
        <w:rPr>
          <w:color w:val="231F20"/>
          <w:spacing w:val="-24"/>
          <w:sz w:val="21"/>
        </w:rPr>
        <w:t xml:space="preserve"> </w:t>
      </w:r>
      <w:r>
        <w:rPr>
          <w:color w:val="231F20"/>
          <w:sz w:val="21"/>
        </w:rPr>
        <w:t>виключно за</w:t>
      </w:r>
      <w:r>
        <w:rPr>
          <w:color w:val="231F20"/>
          <w:spacing w:val="-13"/>
          <w:sz w:val="21"/>
        </w:rPr>
        <w:t xml:space="preserve"> </w:t>
      </w:r>
      <w:r>
        <w:rPr>
          <w:color w:val="231F20"/>
          <w:sz w:val="21"/>
        </w:rPr>
        <w:t>наявності</w:t>
      </w:r>
      <w:r>
        <w:rPr>
          <w:color w:val="231F20"/>
          <w:spacing w:val="-13"/>
          <w:sz w:val="21"/>
        </w:rPr>
        <w:t xml:space="preserve"> </w:t>
      </w:r>
      <w:r>
        <w:rPr>
          <w:color w:val="231F20"/>
          <w:sz w:val="21"/>
        </w:rPr>
        <w:t>заяви</w:t>
      </w:r>
      <w:r>
        <w:rPr>
          <w:color w:val="231F20"/>
          <w:spacing w:val="-13"/>
          <w:sz w:val="21"/>
        </w:rPr>
        <w:t xml:space="preserve"> </w:t>
      </w:r>
      <w:r>
        <w:rPr>
          <w:color w:val="231F20"/>
          <w:spacing w:val="-3"/>
          <w:sz w:val="21"/>
        </w:rPr>
        <w:t>правосуб’єктної</w:t>
      </w:r>
      <w:r>
        <w:rPr>
          <w:color w:val="231F20"/>
          <w:spacing w:val="-13"/>
          <w:sz w:val="21"/>
        </w:rPr>
        <w:t xml:space="preserve"> </w:t>
      </w:r>
      <w:r>
        <w:rPr>
          <w:color w:val="231F20"/>
          <w:sz w:val="21"/>
        </w:rPr>
        <w:t>особи</w:t>
      </w:r>
      <w:r>
        <w:rPr>
          <w:color w:val="231F20"/>
          <w:spacing w:val="-13"/>
          <w:sz w:val="21"/>
        </w:rPr>
        <w:t xml:space="preserve"> </w:t>
      </w:r>
      <w:r>
        <w:rPr>
          <w:color w:val="231F20"/>
          <w:sz w:val="21"/>
        </w:rPr>
        <w:t>до</w:t>
      </w:r>
      <w:r>
        <w:rPr>
          <w:color w:val="231F20"/>
          <w:spacing w:val="-13"/>
          <w:sz w:val="21"/>
        </w:rPr>
        <w:t xml:space="preserve"> </w:t>
      </w:r>
      <w:r>
        <w:rPr>
          <w:color w:val="231F20"/>
          <w:spacing w:val="-3"/>
          <w:sz w:val="21"/>
        </w:rPr>
        <w:t>суб’єкта</w:t>
      </w:r>
      <w:r>
        <w:rPr>
          <w:color w:val="231F20"/>
          <w:spacing w:val="-13"/>
          <w:sz w:val="21"/>
        </w:rPr>
        <w:t xml:space="preserve"> </w:t>
      </w:r>
      <w:r>
        <w:rPr>
          <w:color w:val="231F20"/>
          <w:sz w:val="21"/>
        </w:rPr>
        <w:t>публіч- ного</w:t>
      </w:r>
      <w:r>
        <w:rPr>
          <w:color w:val="231F20"/>
          <w:spacing w:val="-18"/>
          <w:sz w:val="21"/>
        </w:rPr>
        <w:t xml:space="preserve"> </w:t>
      </w:r>
      <w:r>
        <w:rPr>
          <w:color w:val="231F20"/>
          <w:sz w:val="21"/>
        </w:rPr>
        <w:t>адміністрування</w:t>
      </w:r>
      <w:r>
        <w:rPr>
          <w:color w:val="231F20"/>
          <w:spacing w:val="-18"/>
          <w:sz w:val="21"/>
        </w:rPr>
        <w:t xml:space="preserve"> </w:t>
      </w:r>
      <w:r>
        <w:rPr>
          <w:color w:val="231F20"/>
          <w:sz w:val="21"/>
        </w:rPr>
        <w:t>з</w:t>
      </w:r>
      <w:r>
        <w:rPr>
          <w:color w:val="231F20"/>
          <w:spacing w:val="-18"/>
          <w:sz w:val="21"/>
        </w:rPr>
        <w:t xml:space="preserve"> </w:t>
      </w:r>
      <w:r>
        <w:rPr>
          <w:color w:val="231F20"/>
          <w:sz w:val="21"/>
        </w:rPr>
        <w:t>метою</w:t>
      </w:r>
      <w:r>
        <w:rPr>
          <w:color w:val="231F20"/>
          <w:spacing w:val="-17"/>
          <w:sz w:val="21"/>
        </w:rPr>
        <w:t xml:space="preserve"> </w:t>
      </w:r>
      <w:r>
        <w:rPr>
          <w:color w:val="231F20"/>
          <w:sz w:val="21"/>
        </w:rPr>
        <w:t>забезпечення</w:t>
      </w:r>
      <w:r>
        <w:rPr>
          <w:color w:val="231F20"/>
          <w:spacing w:val="-18"/>
          <w:sz w:val="21"/>
        </w:rPr>
        <w:t xml:space="preserve"> </w:t>
      </w:r>
      <w:r>
        <w:rPr>
          <w:color w:val="231F20"/>
          <w:sz w:val="21"/>
        </w:rPr>
        <w:t>реалізації</w:t>
      </w:r>
      <w:r>
        <w:rPr>
          <w:color w:val="231F20"/>
          <w:spacing w:val="-18"/>
          <w:sz w:val="21"/>
        </w:rPr>
        <w:t xml:space="preserve"> </w:t>
      </w:r>
      <w:r>
        <w:rPr>
          <w:color w:val="231F20"/>
          <w:sz w:val="21"/>
        </w:rPr>
        <w:t>своїх прав і свобод або сприяння в реалізації законних</w:t>
      </w:r>
      <w:r>
        <w:rPr>
          <w:color w:val="231F20"/>
          <w:spacing w:val="-24"/>
          <w:sz w:val="21"/>
        </w:rPr>
        <w:t xml:space="preserve"> </w:t>
      </w:r>
      <w:r>
        <w:rPr>
          <w:color w:val="231F20"/>
          <w:sz w:val="21"/>
        </w:rPr>
        <w:t>інтересів.</w:t>
      </w:r>
    </w:p>
    <w:p w14:paraId="220DDC79" w14:textId="77777777" w:rsidR="00DE575E" w:rsidRDefault="002E7560">
      <w:pPr>
        <w:spacing w:before="101" w:line="244" w:lineRule="auto"/>
        <w:ind w:left="533" w:right="411" w:firstLine="283"/>
        <w:jc w:val="both"/>
        <w:rPr>
          <w:i/>
          <w:sz w:val="18"/>
        </w:rPr>
      </w:pPr>
      <w:r>
        <w:rPr>
          <w:i/>
          <w:color w:val="231F20"/>
          <w:sz w:val="18"/>
          <w:u w:val="single" w:color="231F20"/>
        </w:rPr>
        <w:t>Приклад:</w:t>
      </w:r>
      <w:r>
        <w:rPr>
          <w:i/>
          <w:color w:val="231F20"/>
          <w:sz w:val="18"/>
        </w:rPr>
        <w:t xml:space="preserve"> процедури, що виникають у зв’язку із заявою про надання адмі- ністративної послуги.</w:t>
      </w:r>
    </w:p>
    <w:p w14:paraId="08CFCEC7" w14:textId="77777777" w:rsidR="00DE575E" w:rsidRDefault="002E7560">
      <w:pPr>
        <w:pStyle w:val="ListParagraph"/>
        <w:numPr>
          <w:ilvl w:val="0"/>
          <w:numId w:val="150"/>
        </w:numPr>
        <w:tabs>
          <w:tab w:val="left" w:pos="1101"/>
        </w:tabs>
        <w:spacing w:before="129" w:line="252" w:lineRule="auto"/>
        <w:ind w:right="411" w:hanging="283"/>
        <w:rPr>
          <w:sz w:val="21"/>
        </w:rPr>
      </w:pPr>
      <w:r>
        <w:rPr>
          <w:color w:val="231F20"/>
          <w:sz w:val="21"/>
        </w:rPr>
        <w:t>втручальні адміністративні</w:t>
      </w:r>
      <w:r>
        <w:rPr>
          <w:color w:val="231F20"/>
          <w:sz w:val="21"/>
        </w:rPr>
        <w:t xml:space="preserve"> процедури, які виникають за ініціативи </w:t>
      </w:r>
      <w:r>
        <w:rPr>
          <w:color w:val="231F20"/>
          <w:spacing w:val="-3"/>
          <w:sz w:val="21"/>
        </w:rPr>
        <w:t xml:space="preserve">суб’єкта </w:t>
      </w:r>
      <w:r>
        <w:rPr>
          <w:color w:val="231F20"/>
          <w:sz w:val="21"/>
        </w:rPr>
        <w:t>публічної адміністрації, за наявності для цього правових</w:t>
      </w:r>
      <w:r>
        <w:rPr>
          <w:color w:val="231F20"/>
          <w:spacing w:val="-3"/>
          <w:sz w:val="21"/>
        </w:rPr>
        <w:t xml:space="preserve"> </w:t>
      </w:r>
      <w:r>
        <w:rPr>
          <w:color w:val="231F20"/>
          <w:sz w:val="21"/>
        </w:rPr>
        <w:t>підстав.</w:t>
      </w:r>
    </w:p>
    <w:p w14:paraId="273C50FB" w14:textId="77777777" w:rsidR="00DE575E" w:rsidRDefault="002E7560">
      <w:pPr>
        <w:spacing w:before="101" w:line="244" w:lineRule="auto"/>
        <w:ind w:left="533" w:right="410" w:firstLine="283"/>
        <w:jc w:val="both"/>
        <w:rPr>
          <w:i/>
          <w:sz w:val="18"/>
        </w:rPr>
      </w:pPr>
      <w:r>
        <w:rPr>
          <w:i/>
          <w:color w:val="231F20"/>
          <w:sz w:val="18"/>
          <w:u w:val="single" w:color="231F20"/>
        </w:rPr>
        <w:t>Приклад:</w:t>
      </w:r>
      <w:r>
        <w:rPr>
          <w:i/>
          <w:color w:val="231F20"/>
          <w:sz w:val="18"/>
        </w:rPr>
        <w:t xml:space="preserve"> інспекційні процедури притягнення осіб до адміністративної відповідальності.</w:t>
      </w:r>
    </w:p>
    <w:p w14:paraId="4FFB78DC" w14:textId="77777777" w:rsidR="00DE575E" w:rsidRDefault="002E7560">
      <w:pPr>
        <w:pStyle w:val="ListParagraph"/>
        <w:numPr>
          <w:ilvl w:val="1"/>
          <w:numId w:val="152"/>
        </w:numPr>
        <w:tabs>
          <w:tab w:val="left" w:pos="818"/>
        </w:tabs>
        <w:spacing w:before="129" w:line="252" w:lineRule="auto"/>
        <w:ind w:left="250" w:right="411" w:firstLine="283"/>
        <w:jc w:val="both"/>
        <w:rPr>
          <w:sz w:val="21"/>
        </w:rPr>
      </w:pPr>
      <w:r>
        <w:rPr>
          <w:color w:val="231F20"/>
          <w:sz w:val="21"/>
        </w:rPr>
        <w:t>Залежно від складності здійснення адміністративної проце- дури</w:t>
      </w:r>
      <w:r>
        <w:rPr>
          <w:color w:val="231F20"/>
          <w:spacing w:val="3"/>
          <w:sz w:val="21"/>
        </w:rPr>
        <w:t xml:space="preserve"> </w:t>
      </w:r>
      <w:r>
        <w:rPr>
          <w:color w:val="231F20"/>
          <w:sz w:val="21"/>
        </w:rPr>
        <w:t>виділяють:</w:t>
      </w:r>
    </w:p>
    <w:p w14:paraId="7D587B4A" w14:textId="77777777" w:rsidR="00DE575E" w:rsidRDefault="002E7560">
      <w:pPr>
        <w:pStyle w:val="ListParagraph"/>
        <w:numPr>
          <w:ilvl w:val="0"/>
          <w:numId w:val="150"/>
        </w:numPr>
        <w:tabs>
          <w:tab w:val="left" w:pos="1101"/>
        </w:tabs>
        <w:spacing w:line="252" w:lineRule="auto"/>
        <w:ind w:right="411" w:hanging="283"/>
        <w:rPr>
          <w:sz w:val="21"/>
        </w:rPr>
      </w:pPr>
      <w:r>
        <w:rPr>
          <w:color w:val="231F20"/>
          <w:sz w:val="21"/>
        </w:rPr>
        <w:t>прості</w:t>
      </w:r>
      <w:r>
        <w:rPr>
          <w:color w:val="231F20"/>
          <w:spacing w:val="-18"/>
          <w:sz w:val="21"/>
        </w:rPr>
        <w:t xml:space="preserve"> </w:t>
      </w:r>
      <w:r>
        <w:rPr>
          <w:color w:val="231F20"/>
          <w:sz w:val="21"/>
        </w:rPr>
        <w:t>адміністративні</w:t>
      </w:r>
      <w:r>
        <w:rPr>
          <w:color w:val="231F20"/>
          <w:spacing w:val="-20"/>
          <w:sz w:val="21"/>
        </w:rPr>
        <w:t xml:space="preserve"> </w:t>
      </w:r>
      <w:r>
        <w:rPr>
          <w:color w:val="231F20"/>
          <w:sz w:val="21"/>
        </w:rPr>
        <w:t>процедури,</w:t>
      </w:r>
      <w:r>
        <w:rPr>
          <w:color w:val="231F20"/>
          <w:spacing w:val="-18"/>
          <w:sz w:val="21"/>
        </w:rPr>
        <w:t xml:space="preserve"> </w:t>
      </w:r>
      <w:r>
        <w:rPr>
          <w:color w:val="231F20"/>
          <w:sz w:val="21"/>
        </w:rPr>
        <w:t>щополягають</w:t>
      </w:r>
      <w:r>
        <w:rPr>
          <w:color w:val="231F20"/>
          <w:spacing w:val="-18"/>
          <w:sz w:val="21"/>
        </w:rPr>
        <w:t xml:space="preserve"> </w:t>
      </w:r>
      <w:r>
        <w:rPr>
          <w:color w:val="231F20"/>
          <w:spacing w:val="1"/>
          <w:sz w:val="21"/>
        </w:rPr>
        <w:t xml:space="preserve">увчиненні </w:t>
      </w:r>
      <w:r>
        <w:rPr>
          <w:color w:val="231F20"/>
          <w:spacing w:val="-3"/>
          <w:sz w:val="21"/>
        </w:rPr>
        <w:t xml:space="preserve">суб’єктом </w:t>
      </w:r>
      <w:r>
        <w:rPr>
          <w:color w:val="231F20"/>
          <w:sz w:val="21"/>
        </w:rPr>
        <w:t>публічного адміністрування певних одноразових дій, які дозволяють завершити процедуру й ухвалити адмі- ністративний</w:t>
      </w:r>
      <w:r>
        <w:rPr>
          <w:color w:val="231F20"/>
          <w:spacing w:val="-2"/>
          <w:sz w:val="21"/>
        </w:rPr>
        <w:t xml:space="preserve"> </w:t>
      </w:r>
      <w:r>
        <w:rPr>
          <w:color w:val="231F20"/>
          <w:spacing w:val="-5"/>
          <w:sz w:val="21"/>
        </w:rPr>
        <w:t>акт.</w:t>
      </w:r>
    </w:p>
    <w:p w14:paraId="467ED140" w14:textId="77777777" w:rsidR="00DE575E" w:rsidRDefault="002E7560">
      <w:pPr>
        <w:spacing w:before="101"/>
        <w:ind w:left="817"/>
        <w:rPr>
          <w:i/>
          <w:sz w:val="18"/>
        </w:rPr>
      </w:pPr>
      <w:r>
        <w:rPr>
          <w:i/>
          <w:color w:val="231F20"/>
          <w:sz w:val="18"/>
          <w:u w:val="single" w:color="231F20"/>
        </w:rPr>
        <w:t>Приклад:</w:t>
      </w:r>
      <w:r>
        <w:rPr>
          <w:i/>
          <w:color w:val="231F20"/>
          <w:sz w:val="18"/>
        </w:rPr>
        <w:t xml:space="preserve"> реєстрація за місцем проживання</w:t>
      </w:r>
      <w:r>
        <w:rPr>
          <w:i/>
          <w:color w:val="231F20"/>
          <w:position w:val="6"/>
          <w:sz w:val="10"/>
        </w:rPr>
        <w:t>1</w:t>
      </w:r>
      <w:r>
        <w:rPr>
          <w:i/>
          <w:color w:val="231F20"/>
          <w:sz w:val="18"/>
        </w:rPr>
        <w:t>.</w:t>
      </w:r>
    </w:p>
    <w:p w14:paraId="0A2E5866" w14:textId="77777777" w:rsidR="00DE575E" w:rsidRDefault="002E7560">
      <w:pPr>
        <w:pStyle w:val="ListParagraph"/>
        <w:numPr>
          <w:ilvl w:val="0"/>
          <w:numId w:val="150"/>
        </w:numPr>
        <w:tabs>
          <w:tab w:val="left" w:pos="1101"/>
        </w:tabs>
        <w:spacing w:before="133" w:line="252" w:lineRule="auto"/>
        <w:ind w:right="411" w:hanging="283"/>
        <w:rPr>
          <w:sz w:val="21"/>
        </w:rPr>
      </w:pPr>
      <w:r>
        <w:rPr>
          <w:color w:val="231F20"/>
          <w:sz w:val="21"/>
        </w:rPr>
        <w:t>складні адміністративні процедури, які потребують здійс- нення складних нелінійних дій із можливим залученням спеціалістів, експертів, перекладачів</w:t>
      </w:r>
      <w:r>
        <w:rPr>
          <w:color w:val="231F20"/>
          <w:spacing w:val="-4"/>
          <w:sz w:val="21"/>
        </w:rPr>
        <w:t xml:space="preserve"> </w:t>
      </w:r>
      <w:r>
        <w:rPr>
          <w:color w:val="231F20"/>
          <w:sz w:val="21"/>
        </w:rPr>
        <w:t>тощо.</w:t>
      </w:r>
    </w:p>
    <w:p w14:paraId="2F01F3DC" w14:textId="77777777" w:rsidR="00DE575E" w:rsidRDefault="002E7560">
      <w:pPr>
        <w:spacing w:before="100" w:line="244" w:lineRule="auto"/>
        <w:ind w:left="533" w:right="411" w:firstLine="283"/>
        <w:jc w:val="both"/>
        <w:rPr>
          <w:i/>
          <w:sz w:val="18"/>
        </w:rPr>
      </w:pPr>
      <w:r>
        <w:rPr>
          <w:i/>
          <w:color w:val="231F20"/>
          <w:spacing w:val="1"/>
          <w:sz w:val="18"/>
          <w:u w:val="single" w:color="231F20"/>
        </w:rPr>
        <w:t>Приклад:</w:t>
      </w:r>
      <w:r>
        <w:rPr>
          <w:i/>
          <w:color w:val="231F20"/>
          <w:spacing w:val="1"/>
          <w:sz w:val="18"/>
        </w:rPr>
        <w:t xml:space="preserve"> </w:t>
      </w:r>
      <w:r>
        <w:rPr>
          <w:i/>
          <w:color w:val="231F20"/>
          <w:sz w:val="18"/>
        </w:rPr>
        <w:t>порядок вибору особою лікаря, який надає перв</w:t>
      </w:r>
      <w:r>
        <w:rPr>
          <w:i/>
          <w:color w:val="231F20"/>
          <w:sz w:val="18"/>
        </w:rPr>
        <w:t xml:space="preserve">инну медичну допомогу, через подання </w:t>
      </w:r>
      <w:r>
        <w:rPr>
          <w:i/>
          <w:color w:val="231F20"/>
          <w:spacing w:val="1"/>
          <w:sz w:val="18"/>
        </w:rPr>
        <w:t xml:space="preserve">декларації </w:t>
      </w:r>
      <w:r>
        <w:rPr>
          <w:i/>
          <w:color w:val="231F20"/>
          <w:sz w:val="18"/>
        </w:rPr>
        <w:t>в електронній  системі  охорони здоров’я.</w:t>
      </w:r>
    </w:p>
    <w:p w14:paraId="78F4F83D" w14:textId="77777777" w:rsidR="00DE575E" w:rsidRDefault="002E7560">
      <w:pPr>
        <w:pStyle w:val="ListParagraph"/>
        <w:numPr>
          <w:ilvl w:val="1"/>
          <w:numId w:val="152"/>
        </w:numPr>
        <w:tabs>
          <w:tab w:val="left" w:pos="818"/>
        </w:tabs>
        <w:spacing w:before="130" w:line="252" w:lineRule="auto"/>
        <w:ind w:left="250" w:right="408" w:firstLine="283"/>
        <w:jc w:val="both"/>
        <w:rPr>
          <w:sz w:val="21"/>
        </w:rPr>
      </w:pPr>
      <w:r>
        <w:rPr>
          <w:color w:val="231F20"/>
          <w:sz w:val="21"/>
        </w:rPr>
        <w:t>Залежно від кількості осіб, які претендують на отримання певного соціального результату, – одноособові (напр., призначення пенсії за віком) і конкурсні</w:t>
      </w:r>
      <w:r>
        <w:rPr>
          <w:color w:val="231F20"/>
          <w:spacing w:val="23"/>
          <w:sz w:val="21"/>
        </w:rPr>
        <w:t xml:space="preserve"> </w:t>
      </w:r>
      <w:r>
        <w:rPr>
          <w:color w:val="231F20"/>
          <w:sz w:val="21"/>
        </w:rPr>
        <w:t>процедури.</w:t>
      </w:r>
    </w:p>
    <w:p w14:paraId="68E43AA3" w14:textId="77777777" w:rsidR="00DE575E" w:rsidRDefault="002E7560">
      <w:pPr>
        <w:spacing w:before="101" w:line="244" w:lineRule="auto"/>
        <w:ind w:left="533" w:right="410" w:firstLine="283"/>
        <w:jc w:val="both"/>
        <w:rPr>
          <w:i/>
          <w:sz w:val="18"/>
        </w:rPr>
      </w:pPr>
      <w:r>
        <w:rPr>
          <w:i/>
          <w:color w:val="231F20"/>
          <w:sz w:val="18"/>
          <w:u w:val="single" w:color="231F20"/>
        </w:rPr>
        <w:t>При</w:t>
      </w:r>
      <w:r>
        <w:rPr>
          <w:i/>
          <w:color w:val="231F20"/>
          <w:sz w:val="18"/>
          <w:u w:val="single" w:color="231F20"/>
        </w:rPr>
        <w:t>клад</w:t>
      </w:r>
      <w:r>
        <w:rPr>
          <w:i/>
          <w:color w:val="231F20"/>
          <w:sz w:val="18"/>
        </w:rPr>
        <w:t>: порядок проведення конкурсу з добору кандидатів на посади членів Національного агентства з питань запобігання корупції.</w:t>
      </w:r>
    </w:p>
    <w:p w14:paraId="16AA706F" w14:textId="77777777" w:rsidR="00DE575E" w:rsidRDefault="002E7560">
      <w:pPr>
        <w:pStyle w:val="ListParagraph"/>
        <w:numPr>
          <w:ilvl w:val="1"/>
          <w:numId w:val="152"/>
        </w:numPr>
        <w:tabs>
          <w:tab w:val="left" w:pos="818"/>
        </w:tabs>
        <w:spacing w:before="129" w:line="252" w:lineRule="auto"/>
        <w:ind w:left="250" w:right="409" w:firstLine="283"/>
        <w:jc w:val="both"/>
        <w:rPr>
          <w:sz w:val="21"/>
        </w:rPr>
      </w:pPr>
      <w:r>
        <w:rPr>
          <w:color w:val="231F20"/>
          <w:sz w:val="21"/>
        </w:rPr>
        <w:t>Залежно від сутності адміністративні процедури бувають: реєстраційні, дозвільні, інспекційні, екзаменаційні, акредитаційні, ліцензійні</w:t>
      </w:r>
      <w:r>
        <w:rPr>
          <w:color w:val="231F20"/>
          <w:spacing w:val="3"/>
          <w:sz w:val="21"/>
        </w:rPr>
        <w:t xml:space="preserve"> </w:t>
      </w:r>
      <w:r>
        <w:rPr>
          <w:color w:val="231F20"/>
          <w:sz w:val="21"/>
        </w:rPr>
        <w:t>тощо.</w:t>
      </w:r>
    </w:p>
    <w:p w14:paraId="23A81769" w14:textId="77777777" w:rsidR="00DE575E" w:rsidRDefault="00DE575E">
      <w:pPr>
        <w:pStyle w:val="BodyText"/>
        <w:rPr>
          <w:sz w:val="20"/>
        </w:rPr>
      </w:pPr>
    </w:p>
    <w:p w14:paraId="0296DCC2" w14:textId="0C0B5B76" w:rsidR="00DE575E" w:rsidRDefault="002E7560">
      <w:pPr>
        <w:pStyle w:val="BodyText"/>
        <w:spacing w:before="5"/>
        <w:rPr>
          <w:sz w:val="27"/>
        </w:rPr>
      </w:pPr>
      <w:r>
        <w:rPr>
          <w:noProof/>
        </w:rPr>
        <mc:AlternateContent>
          <mc:Choice Requires="wps">
            <w:drawing>
              <wp:anchor distT="0" distB="0" distL="0" distR="0" simplePos="0" relativeHeight="11632" behindDoc="0" locked="0" layoutInCell="1" allowOverlap="1" wp14:anchorId="0C3462F5" wp14:editId="46ECF8A3">
                <wp:simplePos x="0" y="0"/>
                <wp:positionH relativeFrom="page">
                  <wp:posOffset>539750</wp:posOffset>
                </wp:positionH>
                <wp:positionV relativeFrom="paragraph">
                  <wp:posOffset>232410</wp:posOffset>
                </wp:positionV>
                <wp:extent cx="1080135" cy="0"/>
                <wp:effectExtent l="6350" t="16510" r="31115" b="21590"/>
                <wp:wrapTopAndBottom/>
                <wp:docPr id="67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7FF6B" id="Line_x0020_672" o:spid="_x0000_s1026" style="position:absolute;z-index:1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3pt" to="127.55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1ijy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" strokecolor="#231f20" strokeweight=".5pt">
                <w10:wrap type="topAndBottom" anchorx="page"/>
              </v:line>
            </w:pict>
          </mc:Fallback>
        </mc:AlternateContent>
      </w:r>
    </w:p>
    <w:p w14:paraId="709FA822"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Правила реєстрації місця проживання та Порядку передачі органами реєстрації інфор- мації</w:t>
      </w:r>
      <w:r>
        <w:rPr>
          <w:color w:val="231F20"/>
          <w:spacing w:val="-8"/>
          <w:sz w:val="16"/>
        </w:rPr>
        <w:t xml:space="preserve"> </w:t>
      </w:r>
      <w:r>
        <w:rPr>
          <w:color w:val="231F20"/>
          <w:sz w:val="16"/>
        </w:rPr>
        <w:t>до</w:t>
      </w:r>
      <w:r>
        <w:rPr>
          <w:color w:val="231F20"/>
          <w:spacing w:val="-8"/>
          <w:sz w:val="16"/>
        </w:rPr>
        <w:t xml:space="preserve"> </w:t>
      </w:r>
      <w:r>
        <w:rPr>
          <w:color w:val="231F20"/>
          <w:sz w:val="16"/>
        </w:rPr>
        <w:t>Єдиного</w:t>
      </w:r>
      <w:r>
        <w:rPr>
          <w:color w:val="231F20"/>
          <w:spacing w:val="-8"/>
          <w:sz w:val="16"/>
        </w:rPr>
        <w:t xml:space="preserve"> </w:t>
      </w:r>
      <w:r>
        <w:rPr>
          <w:color w:val="231F20"/>
          <w:sz w:val="16"/>
        </w:rPr>
        <w:t>державного</w:t>
      </w:r>
      <w:r>
        <w:rPr>
          <w:color w:val="231F20"/>
          <w:spacing w:val="-8"/>
          <w:sz w:val="16"/>
        </w:rPr>
        <w:t xml:space="preserve"> </w:t>
      </w:r>
      <w:r>
        <w:rPr>
          <w:color w:val="231F20"/>
          <w:sz w:val="16"/>
        </w:rPr>
        <w:t>демографічного</w:t>
      </w:r>
      <w:r>
        <w:rPr>
          <w:color w:val="231F20"/>
          <w:spacing w:val="-8"/>
          <w:sz w:val="16"/>
        </w:rPr>
        <w:t xml:space="preserve"> </w:t>
      </w:r>
      <w:r>
        <w:rPr>
          <w:color w:val="231F20"/>
          <w:spacing w:val="-3"/>
          <w:sz w:val="16"/>
        </w:rPr>
        <w:t>реєстру.</w:t>
      </w:r>
      <w:r>
        <w:rPr>
          <w:color w:val="231F20"/>
          <w:spacing w:val="-8"/>
          <w:sz w:val="16"/>
        </w:rPr>
        <w:t xml:space="preserve"> </w:t>
      </w:r>
      <w:r>
        <w:rPr>
          <w:color w:val="231F20"/>
          <w:sz w:val="16"/>
        </w:rPr>
        <w:t>Затверджено</w:t>
      </w:r>
      <w:r>
        <w:rPr>
          <w:color w:val="231F20"/>
          <w:spacing w:val="-8"/>
          <w:sz w:val="16"/>
        </w:rPr>
        <w:t xml:space="preserve"> </w:t>
      </w:r>
      <w:r>
        <w:rPr>
          <w:color w:val="231F20"/>
          <w:sz w:val="16"/>
        </w:rPr>
        <w:t>Постановою</w:t>
      </w:r>
      <w:r>
        <w:rPr>
          <w:color w:val="231F20"/>
          <w:spacing w:val="-8"/>
          <w:sz w:val="16"/>
        </w:rPr>
        <w:t xml:space="preserve"> </w:t>
      </w:r>
      <w:r>
        <w:rPr>
          <w:color w:val="231F20"/>
          <w:sz w:val="16"/>
        </w:rPr>
        <w:t>Кабінету Міністрів України від 2.03.2016 р. №</w:t>
      </w:r>
      <w:r>
        <w:rPr>
          <w:color w:val="231F20"/>
          <w:spacing w:val="-14"/>
          <w:sz w:val="16"/>
        </w:rPr>
        <w:t xml:space="preserve"> </w:t>
      </w:r>
      <w:r>
        <w:rPr>
          <w:color w:val="231F20"/>
          <w:sz w:val="16"/>
        </w:rPr>
        <w:t>207.</w:t>
      </w:r>
    </w:p>
    <w:p w14:paraId="38022042" w14:textId="77777777" w:rsidR="00DE575E" w:rsidRDefault="00DE575E">
      <w:pPr>
        <w:pStyle w:val="BodyText"/>
        <w:spacing w:before="2"/>
        <w:rPr>
          <w:sz w:val="12"/>
        </w:rPr>
      </w:pPr>
    </w:p>
    <w:p w14:paraId="449C50C7" w14:textId="77777777" w:rsidR="00DE575E" w:rsidRDefault="002E7560">
      <w:pPr>
        <w:spacing w:before="92"/>
        <w:ind w:right="411"/>
        <w:jc w:val="right"/>
        <w:rPr>
          <w:rFonts w:ascii="Times New Roman"/>
          <w:sz w:val="20"/>
        </w:rPr>
      </w:pPr>
      <w:r>
        <w:rPr>
          <w:rFonts w:ascii="Times New Roman"/>
          <w:color w:val="231F20"/>
          <w:w w:val="90"/>
          <w:sz w:val="20"/>
        </w:rPr>
        <w:t>293</w:t>
      </w:r>
    </w:p>
    <w:p w14:paraId="3BD3C31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5F089F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7EAD567" w14:textId="2CC0AA2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0C508C0" wp14:editId="2BE5DF9F">
                <wp:extent cx="4140200" cy="6350"/>
                <wp:effectExtent l="0" t="0" r="12700" b="6350"/>
                <wp:docPr id="671"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72" name="Line 6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16E2DA" id="Group_x0020_6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5GFn1/AgAAmAUAAA4A&#10;AAAAAAAAAAAAAAAALAIAAGRycy9lMm9Eb2MueG1sUEsBAi0AFAAGAAgAAAAhAEynsJDZAAAAAwEA&#10;AA8AAAAAAAAAAAAAAAAA1wQAAGRycy9kb3ducmV2LnhtbFBLBQYAAAAABAAEAPMAAADdBQAAAAA=&#10;">
                <v:line id="Line_x0020_6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bMgcYAAADcAAAADwAAAGRycy9kb3ducmV2LnhtbESP3WrCQBSE7wu+w3KE3hTdVEFLdBUR&#10;CsUL/9IHOGZPk9DdszG7mujTu0Khl8PMfMPMl5014kqNrxwreB8mIIhzpysuFHxnn4MPED4gazSO&#10;ScGNPCwXvZc5ptq1fKDrMRQiQtinqKAMoU6l9HlJFv3Q1cTR+3GNxRBlU0jdYBvh1shRkkykxYrj&#10;Qok1rUvKf48XqyA7vwWz321Mm+1OY3k6b8f3y1ap1363moEI1IX/8F/7SyuYTEf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2zIHGAAAA3AAAAA8AAAAAAAAA&#10;AAAAAAAAoQIAAGRycy9kb3ducmV2LnhtbFBLBQYAAAAABAAEAPkAAACUAwAAAAA=&#10;" strokecolor="#231f20" strokeweight=".5pt"/>
                <w10:anchorlock/>
              </v:group>
            </w:pict>
          </mc:Fallback>
        </mc:AlternateContent>
      </w:r>
    </w:p>
    <w:p w14:paraId="47099B1F" w14:textId="77777777" w:rsidR="00DE575E" w:rsidRDefault="00DE575E">
      <w:pPr>
        <w:pStyle w:val="BodyText"/>
        <w:spacing w:before="7"/>
        <w:rPr>
          <w:rFonts w:ascii="AdonisC"/>
          <w:i/>
          <w:sz w:val="11"/>
        </w:rPr>
      </w:pPr>
    </w:p>
    <w:p w14:paraId="5690D1C5" w14:textId="77777777" w:rsidR="00DE575E" w:rsidRDefault="002E7560">
      <w:pPr>
        <w:pStyle w:val="Heading5"/>
        <w:spacing w:before="101"/>
        <w:ind w:left="817"/>
      </w:pPr>
      <w:r>
        <w:rPr>
          <w:color w:val="231F20"/>
        </w:rPr>
        <w:t>8.2.1. Реєстраційні процедури</w:t>
      </w:r>
    </w:p>
    <w:p w14:paraId="0CCC66C9" w14:textId="77777777" w:rsidR="00DE575E" w:rsidRDefault="00DE575E">
      <w:pPr>
        <w:pStyle w:val="BodyText"/>
        <w:spacing w:before="2"/>
        <w:rPr>
          <w:b/>
          <w:sz w:val="23"/>
        </w:rPr>
      </w:pPr>
    </w:p>
    <w:p w14:paraId="188FD5EF" w14:textId="77777777" w:rsidR="00DE575E" w:rsidRDefault="002E7560">
      <w:pPr>
        <w:pStyle w:val="BodyText"/>
        <w:spacing w:line="252" w:lineRule="auto"/>
        <w:ind w:left="533" w:right="128" w:firstLine="283"/>
        <w:jc w:val="both"/>
      </w:pPr>
      <w:r>
        <w:rPr>
          <w:color w:val="231F20"/>
        </w:rPr>
        <w:t>У реаліях розбудови демократичної правової держави особливої важливості набувають реєстраційні процедури. Під ними розуміємо встановлений чинним законодавством порядок діяльності суб’єк- тів публічного адміністрування, в ході якої здійснюється докумен- т</w:t>
      </w:r>
      <w:r>
        <w:rPr>
          <w:color w:val="231F20"/>
        </w:rPr>
        <w:t>альне підтвердження правового статусу суб’єкта або наділення новими правовими ознаками об’єкта.</w:t>
      </w:r>
    </w:p>
    <w:p w14:paraId="610EEC0B" w14:textId="77777777" w:rsidR="00DE575E" w:rsidRDefault="002E7560">
      <w:pPr>
        <w:spacing w:before="3"/>
        <w:ind w:left="817"/>
        <w:rPr>
          <w:i/>
          <w:sz w:val="21"/>
        </w:rPr>
      </w:pPr>
      <w:r>
        <w:rPr>
          <w:i/>
          <w:color w:val="231F20"/>
          <w:sz w:val="21"/>
        </w:rPr>
        <w:t>Ключовими цілями реєстраційних процедур є такі:</w:t>
      </w:r>
    </w:p>
    <w:p w14:paraId="14824102"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офіційне визнання певного права</w:t>
      </w:r>
      <w:r>
        <w:rPr>
          <w:color w:val="231F20"/>
          <w:spacing w:val="-2"/>
          <w:sz w:val="21"/>
        </w:rPr>
        <w:t xml:space="preserve"> </w:t>
      </w:r>
      <w:r>
        <w:rPr>
          <w:color w:val="231F20"/>
          <w:sz w:val="21"/>
        </w:rPr>
        <w:t>особи;</w:t>
      </w:r>
    </w:p>
    <w:p w14:paraId="6404A97D" w14:textId="77777777" w:rsidR="00DE575E" w:rsidRDefault="002E7560">
      <w:pPr>
        <w:pStyle w:val="ListParagraph"/>
        <w:numPr>
          <w:ilvl w:val="0"/>
          <w:numId w:val="150"/>
        </w:numPr>
        <w:tabs>
          <w:tab w:val="left" w:pos="1101"/>
        </w:tabs>
        <w:spacing w:before="12"/>
        <w:ind w:hanging="283"/>
        <w:jc w:val="left"/>
        <w:rPr>
          <w:sz w:val="21"/>
        </w:rPr>
      </w:pPr>
      <w:r>
        <w:rPr>
          <w:color w:val="231F20"/>
          <w:sz w:val="21"/>
        </w:rPr>
        <w:t>офіційне визнання законності правових</w:t>
      </w:r>
      <w:r>
        <w:rPr>
          <w:color w:val="231F20"/>
          <w:spacing w:val="-3"/>
          <w:sz w:val="21"/>
        </w:rPr>
        <w:t xml:space="preserve"> </w:t>
      </w:r>
      <w:r>
        <w:rPr>
          <w:color w:val="231F20"/>
          <w:sz w:val="21"/>
        </w:rPr>
        <w:t>актів;</w:t>
      </w:r>
    </w:p>
    <w:p w14:paraId="21E7105B"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засвідчення певного статусу фізичної чи юридичної</w:t>
      </w:r>
      <w:r>
        <w:rPr>
          <w:color w:val="231F20"/>
          <w:spacing w:val="-9"/>
          <w:sz w:val="21"/>
        </w:rPr>
        <w:t xml:space="preserve"> </w:t>
      </w:r>
      <w:r>
        <w:rPr>
          <w:color w:val="231F20"/>
          <w:sz w:val="21"/>
        </w:rPr>
        <w:t>особи;</w:t>
      </w:r>
    </w:p>
    <w:p w14:paraId="386B34C6"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облік юридичних</w:t>
      </w:r>
      <w:r>
        <w:rPr>
          <w:color w:val="231F20"/>
          <w:spacing w:val="-2"/>
          <w:sz w:val="21"/>
        </w:rPr>
        <w:t xml:space="preserve"> </w:t>
      </w:r>
      <w:r>
        <w:rPr>
          <w:color w:val="231F20"/>
          <w:sz w:val="21"/>
        </w:rPr>
        <w:t>фактів.</w:t>
      </w:r>
    </w:p>
    <w:p w14:paraId="03D44EE0" w14:textId="77777777" w:rsidR="00DE575E" w:rsidRDefault="002E7560">
      <w:pPr>
        <w:pStyle w:val="BodyText"/>
        <w:spacing w:before="13"/>
        <w:ind w:left="817"/>
      </w:pPr>
      <w:r>
        <w:rPr>
          <w:color w:val="231F20"/>
        </w:rPr>
        <w:t>Ознаками реєстраційних процедур є такі:</w:t>
      </w:r>
    </w:p>
    <w:p w14:paraId="02E28AAC"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 xml:space="preserve">послідовні дії </w:t>
      </w:r>
      <w:r>
        <w:rPr>
          <w:color w:val="231F20"/>
          <w:spacing w:val="-3"/>
          <w:sz w:val="21"/>
        </w:rPr>
        <w:t xml:space="preserve">суб’єктів </w:t>
      </w:r>
      <w:r>
        <w:rPr>
          <w:color w:val="231F20"/>
          <w:sz w:val="21"/>
        </w:rPr>
        <w:t>публічного</w:t>
      </w:r>
      <w:r>
        <w:rPr>
          <w:color w:val="231F20"/>
          <w:spacing w:val="-2"/>
          <w:sz w:val="21"/>
        </w:rPr>
        <w:t xml:space="preserve"> </w:t>
      </w:r>
      <w:r>
        <w:rPr>
          <w:color w:val="231F20"/>
          <w:sz w:val="21"/>
        </w:rPr>
        <w:t>адміністрування;</w:t>
      </w:r>
    </w:p>
    <w:p w14:paraId="47EE8ACD" w14:textId="77777777" w:rsidR="00DE575E" w:rsidRDefault="002E7560">
      <w:pPr>
        <w:pStyle w:val="ListParagraph"/>
        <w:numPr>
          <w:ilvl w:val="0"/>
          <w:numId w:val="150"/>
        </w:numPr>
        <w:tabs>
          <w:tab w:val="left" w:pos="1101"/>
        </w:tabs>
        <w:spacing w:before="12" w:line="252" w:lineRule="auto"/>
        <w:ind w:left="533" w:right="128" w:firstLine="284"/>
        <w:jc w:val="left"/>
        <w:rPr>
          <w:sz w:val="21"/>
        </w:rPr>
      </w:pPr>
      <w:r>
        <w:rPr>
          <w:color w:val="231F20"/>
          <w:sz w:val="21"/>
        </w:rPr>
        <w:t xml:space="preserve">множинність </w:t>
      </w:r>
      <w:r>
        <w:rPr>
          <w:color w:val="231F20"/>
          <w:spacing w:val="-3"/>
          <w:sz w:val="21"/>
        </w:rPr>
        <w:t xml:space="preserve">суб’єктів, </w:t>
      </w:r>
      <w:r>
        <w:rPr>
          <w:color w:val="231F20"/>
          <w:sz w:val="21"/>
        </w:rPr>
        <w:t>правомочних здійснювати реєстра- ційну</w:t>
      </w:r>
      <w:r>
        <w:rPr>
          <w:color w:val="231F20"/>
          <w:spacing w:val="-1"/>
          <w:sz w:val="21"/>
        </w:rPr>
        <w:t xml:space="preserve"> </w:t>
      </w:r>
      <w:r>
        <w:rPr>
          <w:color w:val="231F20"/>
          <w:sz w:val="21"/>
        </w:rPr>
        <w:t>діяльність;</w:t>
      </w:r>
    </w:p>
    <w:p w14:paraId="254FBBA9" w14:textId="77777777" w:rsidR="00DE575E" w:rsidRDefault="002E7560">
      <w:pPr>
        <w:pStyle w:val="ListParagraph"/>
        <w:numPr>
          <w:ilvl w:val="0"/>
          <w:numId w:val="150"/>
        </w:numPr>
        <w:tabs>
          <w:tab w:val="left" w:pos="1101"/>
        </w:tabs>
        <w:ind w:hanging="283"/>
        <w:jc w:val="left"/>
        <w:rPr>
          <w:sz w:val="21"/>
        </w:rPr>
      </w:pPr>
      <w:r>
        <w:rPr>
          <w:color w:val="231F20"/>
          <w:sz w:val="21"/>
        </w:rPr>
        <w:t>множинні</w:t>
      </w:r>
      <w:r>
        <w:rPr>
          <w:color w:val="231F20"/>
          <w:sz w:val="21"/>
        </w:rPr>
        <w:t xml:space="preserve">сть </w:t>
      </w:r>
      <w:r>
        <w:rPr>
          <w:color w:val="231F20"/>
          <w:spacing w:val="-4"/>
          <w:sz w:val="21"/>
        </w:rPr>
        <w:t xml:space="preserve">об’єктів </w:t>
      </w:r>
      <w:r>
        <w:rPr>
          <w:color w:val="231F20"/>
          <w:sz w:val="21"/>
        </w:rPr>
        <w:t>реєстраційної</w:t>
      </w:r>
      <w:r>
        <w:rPr>
          <w:color w:val="231F20"/>
          <w:spacing w:val="-1"/>
          <w:sz w:val="21"/>
        </w:rPr>
        <w:t xml:space="preserve"> </w:t>
      </w:r>
      <w:r>
        <w:rPr>
          <w:color w:val="231F20"/>
          <w:sz w:val="21"/>
        </w:rPr>
        <w:t>діяльності;</w:t>
      </w:r>
    </w:p>
    <w:p w14:paraId="7EDEFD0F" w14:textId="77777777" w:rsidR="00DE575E" w:rsidRDefault="002E7560">
      <w:pPr>
        <w:pStyle w:val="ListParagraph"/>
        <w:numPr>
          <w:ilvl w:val="0"/>
          <w:numId w:val="150"/>
        </w:numPr>
        <w:tabs>
          <w:tab w:val="left" w:pos="1101"/>
        </w:tabs>
        <w:spacing w:before="13" w:line="252" w:lineRule="auto"/>
        <w:ind w:left="533" w:right="127" w:firstLine="284"/>
        <w:jc w:val="left"/>
        <w:rPr>
          <w:sz w:val="21"/>
        </w:rPr>
      </w:pPr>
      <w:r>
        <w:rPr>
          <w:color w:val="231F20"/>
          <w:sz w:val="21"/>
        </w:rPr>
        <w:t>можливість оскарження рішення у передбачених законом випадках.</w:t>
      </w:r>
    </w:p>
    <w:p w14:paraId="4B9F3145" w14:textId="77777777" w:rsidR="00DE575E" w:rsidRDefault="002E7560">
      <w:pPr>
        <w:pStyle w:val="BodyText"/>
        <w:spacing w:before="1"/>
        <w:ind w:left="817"/>
      </w:pPr>
      <w:r>
        <w:rPr>
          <w:color w:val="231F20"/>
        </w:rPr>
        <w:t>Основними об’єктами реєстраційних процедур є:</w:t>
      </w:r>
    </w:p>
    <w:p w14:paraId="3531F19E"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події;</w:t>
      </w:r>
    </w:p>
    <w:p w14:paraId="580F1429"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речові права на нерухоме</w:t>
      </w:r>
      <w:r>
        <w:rPr>
          <w:color w:val="231F20"/>
          <w:spacing w:val="-2"/>
          <w:sz w:val="21"/>
        </w:rPr>
        <w:t xml:space="preserve"> </w:t>
      </w:r>
      <w:r>
        <w:rPr>
          <w:color w:val="231F20"/>
          <w:sz w:val="21"/>
        </w:rPr>
        <w:t>майно;</w:t>
      </w:r>
    </w:p>
    <w:p w14:paraId="558559F6"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цивільні стани;</w:t>
      </w:r>
    </w:p>
    <w:p w14:paraId="77D90FE0" w14:textId="77777777" w:rsidR="00DE575E" w:rsidRDefault="002E7560">
      <w:pPr>
        <w:pStyle w:val="ListParagraph"/>
        <w:numPr>
          <w:ilvl w:val="0"/>
          <w:numId w:val="150"/>
        </w:numPr>
        <w:tabs>
          <w:tab w:val="left" w:pos="1101"/>
        </w:tabs>
        <w:spacing w:before="12"/>
        <w:ind w:hanging="283"/>
        <w:jc w:val="left"/>
        <w:rPr>
          <w:sz w:val="21"/>
        </w:rPr>
      </w:pPr>
      <w:r>
        <w:rPr>
          <w:color w:val="231F20"/>
          <w:sz w:val="21"/>
        </w:rPr>
        <w:t>місце проживання чи</w:t>
      </w:r>
      <w:r>
        <w:rPr>
          <w:color w:val="231F20"/>
          <w:spacing w:val="-1"/>
          <w:sz w:val="21"/>
        </w:rPr>
        <w:t xml:space="preserve"> </w:t>
      </w:r>
      <w:r>
        <w:rPr>
          <w:color w:val="231F20"/>
          <w:sz w:val="21"/>
        </w:rPr>
        <w:t>перебування;</w:t>
      </w:r>
    </w:p>
    <w:p w14:paraId="5D42F896"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іноземці та особи без</w:t>
      </w:r>
      <w:r>
        <w:rPr>
          <w:color w:val="231F20"/>
          <w:spacing w:val="-3"/>
          <w:sz w:val="21"/>
        </w:rPr>
        <w:t xml:space="preserve"> </w:t>
      </w:r>
      <w:r>
        <w:rPr>
          <w:color w:val="231F20"/>
          <w:sz w:val="21"/>
        </w:rPr>
        <w:t>громадянства;</w:t>
      </w:r>
    </w:p>
    <w:p w14:paraId="6D478834" w14:textId="77777777" w:rsidR="00DE575E" w:rsidRDefault="002E7560">
      <w:pPr>
        <w:pStyle w:val="ListParagraph"/>
        <w:numPr>
          <w:ilvl w:val="0"/>
          <w:numId w:val="150"/>
        </w:numPr>
        <w:tabs>
          <w:tab w:val="left" w:pos="1101"/>
        </w:tabs>
        <w:spacing w:before="13"/>
        <w:ind w:hanging="283"/>
        <w:jc w:val="left"/>
        <w:rPr>
          <w:sz w:val="21"/>
        </w:rPr>
      </w:pPr>
      <w:r>
        <w:rPr>
          <w:color w:val="231F20"/>
          <w:spacing w:val="-4"/>
          <w:sz w:val="21"/>
        </w:rPr>
        <w:t xml:space="preserve">об’єкти, </w:t>
      </w:r>
      <w:r>
        <w:rPr>
          <w:color w:val="231F20"/>
          <w:sz w:val="21"/>
        </w:rPr>
        <w:t>пов’язані зі здійсненням економічної</w:t>
      </w:r>
      <w:r>
        <w:rPr>
          <w:color w:val="231F20"/>
          <w:spacing w:val="-3"/>
          <w:sz w:val="21"/>
        </w:rPr>
        <w:t xml:space="preserve"> </w:t>
      </w:r>
      <w:r>
        <w:rPr>
          <w:color w:val="231F20"/>
          <w:sz w:val="21"/>
        </w:rPr>
        <w:t>діяльності;</w:t>
      </w:r>
    </w:p>
    <w:p w14:paraId="6C411A70" w14:textId="77777777" w:rsidR="00DE575E" w:rsidRDefault="002E7560">
      <w:pPr>
        <w:pStyle w:val="ListParagraph"/>
        <w:numPr>
          <w:ilvl w:val="0"/>
          <w:numId w:val="150"/>
        </w:numPr>
        <w:tabs>
          <w:tab w:val="left" w:pos="1101"/>
        </w:tabs>
        <w:spacing w:before="13"/>
        <w:ind w:hanging="283"/>
        <w:jc w:val="left"/>
        <w:rPr>
          <w:sz w:val="21"/>
        </w:rPr>
      </w:pPr>
      <w:r>
        <w:rPr>
          <w:color w:val="231F20"/>
          <w:sz w:val="21"/>
        </w:rPr>
        <w:t>нормативно-правові акти, їх проєкти</w:t>
      </w:r>
      <w:r>
        <w:rPr>
          <w:color w:val="231F20"/>
          <w:spacing w:val="-2"/>
          <w:sz w:val="21"/>
        </w:rPr>
        <w:t xml:space="preserve"> </w:t>
      </w:r>
      <w:r>
        <w:rPr>
          <w:color w:val="231F20"/>
          <w:sz w:val="21"/>
        </w:rPr>
        <w:t>тощо.</w:t>
      </w:r>
    </w:p>
    <w:p w14:paraId="18A03C17" w14:textId="77777777" w:rsidR="00DE575E" w:rsidRDefault="002E7560">
      <w:pPr>
        <w:pStyle w:val="BodyText"/>
        <w:spacing w:before="13" w:line="252" w:lineRule="auto"/>
        <w:ind w:left="533" w:right="125" w:firstLine="283"/>
        <w:jc w:val="both"/>
      </w:pPr>
      <w:r>
        <w:rPr>
          <w:color w:val="231F20"/>
        </w:rPr>
        <w:t>Базовими нормативно-правовими актами, положення яких урегульовують здійснення реєстраційних процедур у різних сферах сус</w:t>
      </w:r>
      <w:r>
        <w:rPr>
          <w:color w:val="231F20"/>
        </w:rPr>
        <w:t xml:space="preserve">пільного життя, є закони </w:t>
      </w:r>
      <w:r>
        <w:rPr>
          <w:color w:val="231F20"/>
          <w:spacing w:val="-3"/>
        </w:rPr>
        <w:t xml:space="preserve">України </w:t>
      </w:r>
      <w:r>
        <w:rPr>
          <w:color w:val="231F20"/>
        </w:rPr>
        <w:t>від 15.05.2003 р. № 755-IV «Про державну реєстрацію юридичних осіб, фізичних осіб-підприємців та громадських</w:t>
      </w:r>
      <w:r>
        <w:rPr>
          <w:color w:val="231F20"/>
          <w:spacing w:val="-15"/>
        </w:rPr>
        <w:t xml:space="preserve"> </w:t>
      </w:r>
      <w:r>
        <w:rPr>
          <w:color w:val="231F20"/>
        </w:rPr>
        <w:t>формувань»,</w:t>
      </w:r>
      <w:r>
        <w:rPr>
          <w:color w:val="231F20"/>
          <w:spacing w:val="-16"/>
        </w:rPr>
        <w:t xml:space="preserve"> </w:t>
      </w:r>
      <w:r>
        <w:rPr>
          <w:color w:val="231F20"/>
        </w:rPr>
        <w:t>від</w:t>
      </w:r>
      <w:r>
        <w:rPr>
          <w:color w:val="231F20"/>
          <w:spacing w:val="-15"/>
        </w:rPr>
        <w:t xml:space="preserve"> </w:t>
      </w:r>
      <w:r>
        <w:rPr>
          <w:color w:val="231F20"/>
        </w:rPr>
        <w:t>01.07.2010</w:t>
      </w:r>
      <w:r>
        <w:rPr>
          <w:color w:val="231F20"/>
          <w:spacing w:val="-9"/>
        </w:rPr>
        <w:t xml:space="preserve"> </w:t>
      </w:r>
      <w:r>
        <w:rPr>
          <w:color w:val="231F20"/>
        </w:rPr>
        <w:t>р.</w:t>
      </w:r>
      <w:r>
        <w:rPr>
          <w:color w:val="231F20"/>
          <w:spacing w:val="-16"/>
        </w:rPr>
        <w:t xml:space="preserve"> </w:t>
      </w:r>
      <w:r>
        <w:rPr>
          <w:color w:val="231F20"/>
        </w:rPr>
        <w:t>№</w:t>
      </w:r>
      <w:r>
        <w:rPr>
          <w:color w:val="231F20"/>
          <w:spacing w:val="-9"/>
        </w:rPr>
        <w:t xml:space="preserve"> </w:t>
      </w:r>
      <w:r>
        <w:rPr>
          <w:color w:val="231F20"/>
        </w:rPr>
        <w:t>2398-VI</w:t>
      </w:r>
      <w:r>
        <w:rPr>
          <w:color w:val="231F20"/>
          <w:spacing w:val="-15"/>
        </w:rPr>
        <w:t xml:space="preserve"> </w:t>
      </w:r>
      <w:r>
        <w:rPr>
          <w:color w:val="231F20"/>
        </w:rPr>
        <w:t>«Про</w:t>
      </w:r>
      <w:r>
        <w:rPr>
          <w:color w:val="231F20"/>
          <w:spacing w:val="-15"/>
        </w:rPr>
        <w:t xml:space="preserve"> </w:t>
      </w:r>
      <w:r>
        <w:rPr>
          <w:color w:val="231F20"/>
        </w:rPr>
        <w:t>державну реєстрацію</w:t>
      </w:r>
      <w:r>
        <w:rPr>
          <w:color w:val="231F20"/>
          <w:spacing w:val="20"/>
        </w:rPr>
        <w:t xml:space="preserve"> </w:t>
      </w:r>
      <w:r>
        <w:rPr>
          <w:color w:val="231F20"/>
        </w:rPr>
        <w:t>актів</w:t>
      </w:r>
      <w:r>
        <w:rPr>
          <w:color w:val="231F20"/>
          <w:spacing w:val="20"/>
        </w:rPr>
        <w:t xml:space="preserve"> </w:t>
      </w:r>
      <w:r>
        <w:rPr>
          <w:color w:val="231F20"/>
        </w:rPr>
        <w:t>цивільного</w:t>
      </w:r>
      <w:r>
        <w:rPr>
          <w:color w:val="231F20"/>
          <w:spacing w:val="21"/>
        </w:rPr>
        <w:t xml:space="preserve"> </w:t>
      </w:r>
      <w:r>
        <w:rPr>
          <w:color w:val="231F20"/>
        </w:rPr>
        <w:t>стану»,</w:t>
      </w:r>
      <w:r>
        <w:rPr>
          <w:color w:val="231F20"/>
          <w:spacing w:val="21"/>
        </w:rPr>
        <w:t xml:space="preserve"> </w:t>
      </w:r>
      <w:r>
        <w:rPr>
          <w:color w:val="231F20"/>
        </w:rPr>
        <w:t>від</w:t>
      </w:r>
      <w:r>
        <w:rPr>
          <w:color w:val="231F20"/>
          <w:spacing w:val="20"/>
        </w:rPr>
        <w:t xml:space="preserve"> </w:t>
      </w:r>
      <w:r>
        <w:rPr>
          <w:color w:val="231F20"/>
        </w:rPr>
        <w:t>01.07.2004</w:t>
      </w:r>
      <w:r>
        <w:rPr>
          <w:color w:val="231F20"/>
          <w:spacing w:val="-6"/>
        </w:rPr>
        <w:t xml:space="preserve"> </w:t>
      </w:r>
      <w:r>
        <w:rPr>
          <w:color w:val="231F20"/>
        </w:rPr>
        <w:t>р.</w:t>
      </w:r>
      <w:r>
        <w:rPr>
          <w:color w:val="231F20"/>
          <w:spacing w:val="21"/>
        </w:rPr>
        <w:t xml:space="preserve"> </w:t>
      </w:r>
      <w:r>
        <w:rPr>
          <w:color w:val="231F20"/>
        </w:rPr>
        <w:t>№</w:t>
      </w:r>
      <w:r>
        <w:rPr>
          <w:color w:val="231F20"/>
          <w:spacing w:val="-6"/>
        </w:rPr>
        <w:t xml:space="preserve"> </w:t>
      </w:r>
      <w:r>
        <w:rPr>
          <w:color w:val="231F20"/>
        </w:rPr>
        <w:t>1952-IV</w:t>
      </w:r>
    </w:p>
    <w:p w14:paraId="562E0C81" w14:textId="77777777" w:rsidR="00DE575E" w:rsidRDefault="002E7560">
      <w:pPr>
        <w:pStyle w:val="BodyText"/>
        <w:spacing w:before="3" w:line="252" w:lineRule="auto"/>
        <w:ind w:left="533" w:right="128"/>
        <w:jc w:val="both"/>
      </w:pPr>
      <w:r>
        <w:rPr>
          <w:color w:val="231F20"/>
        </w:rPr>
        <w:t>«Про державну реєстрацію речових прав на нерухоме майно та їх обтяжень»,</w:t>
      </w:r>
      <w:r>
        <w:rPr>
          <w:color w:val="231F20"/>
          <w:spacing w:val="-5"/>
        </w:rPr>
        <w:t xml:space="preserve"> </w:t>
      </w:r>
      <w:r>
        <w:rPr>
          <w:color w:val="231F20"/>
        </w:rPr>
        <w:t>від</w:t>
      </w:r>
      <w:r>
        <w:rPr>
          <w:color w:val="231F20"/>
          <w:spacing w:val="-5"/>
        </w:rPr>
        <w:t xml:space="preserve"> </w:t>
      </w:r>
      <w:r>
        <w:rPr>
          <w:color w:val="231F20"/>
        </w:rPr>
        <w:t>22.02.2007</w:t>
      </w:r>
      <w:r>
        <w:rPr>
          <w:color w:val="231F20"/>
          <w:spacing w:val="-8"/>
        </w:rPr>
        <w:t xml:space="preserve"> </w:t>
      </w:r>
      <w:r>
        <w:rPr>
          <w:color w:val="231F20"/>
        </w:rPr>
        <w:t>р.</w:t>
      </w:r>
      <w:r>
        <w:rPr>
          <w:color w:val="231F20"/>
          <w:spacing w:val="-5"/>
        </w:rPr>
        <w:t xml:space="preserve"> </w:t>
      </w:r>
      <w:r>
        <w:rPr>
          <w:color w:val="231F20"/>
        </w:rPr>
        <w:t>№</w:t>
      </w:r>
      <w:r>
        <w:rPr>
          <w:color w:val="231F20"/>
          <w:spacing w:val="-8"/>
        </w:rPr>
        <w:t xml:space="preserve"> </w:t>
      </w:r>
      <w:r>
        <w:rPr>
          <w:color w:val="231F20"/>
        </w:rPr>
        <w:t>698-V</w:t>
      </w:r>
      <w:r>
        <w:rPr>
          <w:color w:val="231F20"/>
          <w:spacing w:val="-5"/>
        </w:rPr>
        <w:t xml:space="preserve"> </w:t>
      </w:r>
      <w:r>
        <w:rPr>
          <w:color w:val="231F20"/>
        </w:rPr>
        <w:t>«Про</w:t>
      </w:r>
      <w:r>
        <w:rPr>
          <w:color w:val="231F20"/>
          <w:spacing w:val="-5"/>
        </w:rPr>
        <w:t xml:space="preserve"> </w:t>
      </w:r>
      <w:r>
        <w:rPr>
          <w:color w:val="231F20"/>
        </w:rPr>
        <w:t>Державний</w:t>
      </w:r>
      <w:r>
        <w:rPr>
          <w:color w:val="231F20"/>
          <w:spacing w:val="-5"/>
        </w:rPr>
        <w:t xml:space="preserve"> </w:t>
      </w:r>
      <w:r>
        <w:rPr>
          <w:color w:val="231F20"/>
        </w:rPr>
        <w:t>реєстр</w:t>
      </w:r>
      <w:r>
        <w:rPr>
          <w:color w:val="231F20"/>
          <w:spacing w:val="-5"/>
        </w:rPr>
        <w:t xml:space="preserve"> </w:t>
      </w:r>
      <w:r>
        <w:rPr>
          <w:color w:val="231F20"/>
        </w:rPr>
        <w:t>вибор- ців» тощо.</w:t>
      </w:r>
    </w:p>
    <w:p w14:paraId="3FA29C03" w14:textId="77777777" w:rsidR="00DE575E" w:rsidRDefault="00DE575E">
      <w:pPr>
        <w:pStyle w:val="BodyText"/>
        <w:rPr>
          <w:sz w:val="20"/>
        </w:rPr>
      </w:pPr>
    </w:p>
    <w:p w14:paraId="5C47EF30" w14:textId="77777777" w:rsidR="00DE575E" w:rsidRDefault="00DE575E">
      <w:pPr>
        <w:pStyle w:val="BodyText"/>
        <w:rPr>
          <w:sz w:val="20"/>
        </w:rPr>
      </w:pPr>
    </w:p>
    <w:p w14:paraId="4EAFE4F2" w14:textId="77777777" w:rsidR="00DE575E" w:rsidRDefault="00DE575E">
      <w:pPr>
        <w:pStyle w:val="BodyText"/>
        <w:spacing w:before="7"/>
        <w:rPr>
          <w:sz w:val="16"/>
        </w:rPr>
      </w:pPr>
    </w:p>
    <w:p w14:paraId="4CEEEFF4" w14:textId="77777777" w:rsidR="00DE575E" w:rsidRDefault="002E7560">
      <w:pPr>
        <w:spacing w:before="92"/>
        <w:ind w:left="533"/>
        <w:rPr>
          <w:rFonts w:ascii="Times New Roman"/>
          <w:sz w:val="20"/>
        </w:rPr>
      </w:pPr>
      <w:r>
        <w:rPr>
          <w:rFonts w:ascii="Times New Roman"/>
          <w:color w:val="231F20"/>
          <w:sz w:val="20"/>
        </w:rPr>
        <w:t>294</w:t>
      </w:r>
    </w:p>
    <w:p w14:paraId="05784DE5" w14:textId="77777777" w:rsidR="00DE575E" w:rsidRDefault="00DE575E">
      <w:pPr>
        <w:rPr>
          <w:rFonts w:ascii="Times New Roman"/>
          <w:sz w:val="20"/>
        </w:rPr>
        <w:sectPr w:rsidR="00DE575E">
          <w:pgSz w:w="8510" w:h="12760"/>
          <w:pgMar w:top="660" w:right="720" w:bottom="280" w:left="600" w:header="720" w:footer="720" w:gutter="0"/>
          <w:cols w:space="720"/>
        </w:sectPr>
      </w:pPr>
    </w:p>
    <w:p w14:paraId="7350ED08"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02A23782" w14:textId="7B761E0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1467438" wp14:editId="0FF9C137">
                <wp:extent cx="4140200" cy="6350"/>
                <wp:effectExtent l="0" t="0" r="12700" b="6350"/>
                <wp:docPr id="66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70" name="Line 6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D6BA46" id="Group_x0020_6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wU/gXgAIAAJgFAAAO&#10;AAAAAAAAAAAAAAAAACwCAABkcnMvZTJvRG9jLnhtbFBLAQItABQABgAIAAAAIQBMp7CQ2QAAAAMB&#10;AAAPAAAAAAAAAAAAAAAAANgEAABkcnMvZG93bnJldi54bWxQSwUGAAAAAAQABADzAAAA3gUAAAAA&#10;">
                <v:line id="Line_x0020_6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j3bcMAAADcAAAADwAAAGRycy9kb3ducmV2LnhtbERP3WrCMBS+F/YO4Qy8GZqqoKMaZQwE&#10;8UKn3QMcm7O2LDmpTbTVpzcXgpcf3/9i1VkjrtT4yrGC0TABQZw7XXGh4DdbDz5B+ICs0TgmBTfy&#10;sFq+9RaYatfyga7HUIgYwj5FBWUIdSqlz0uy6IeuJo7cn2sshgibQuoG2xhujRwnyVRarDg2lFjT&#10;d0n5//FiFWTnj2B+9lvTZvvTRJ7Ou8n9slOq/959zUEE6sJL/HRvtILpLM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8o923DAAAA3AAAAA8AAAAAAAAAAAAA&#10;AAAAoQIAAGRycy9kb3ducmV2LnhtbFBLBQYAAAAABAAEAPkAAACRAwAAAAA=&#10;" strokecolor="#231f20" strokeweight=".5pt"/>
                <w10:anchorlock/>
              </v:group>
            </w:pict>
          </mc:Fallback>
        </mc:AlternateContent>
      </w:r>
    </w:p>
    <w:p w14:paraId="24382369" w14:textId="77777777" w:rsidR="00DE575E" w:rsidRDefault="00DE575E">
      <w:pPr>
        <w:pStyle w:val="BodyText"/>
        <w:spacing w:before="3"/>
        <w:rPr>
          <w:rFonts w:ascii="AdonisC"/>
          <w:i/>
          <w:sz w:val="12"/>
        </w:rPr>
      </w:pPr>
    </w:p>
    <w:p w14:paraId="18B33AEE" w14:textId="77777777" w:rsidR="00DE575E" w:rsidRDefault="002E7560">
      <w:pPr>
        <w:pStyle w:val="Heading5"/>
        <w:spacing w:before="100"/>
      </w:pPr>
      <w:r>
        <w:rPr>
          <w:color w:val="231F20"/>
        </w:rPr>
        <w:t>8.2.2. Дозвільні процедури</w:t>
      </w:r>
    </w:p>
    <w:p w14:paraId="2EE88764" w14:textId="77777777" w:rsidR="00DE575E" w:rsidRDefault="00DE575E">
      <w:pPr>
        <w:pStyle w:val="BodyText"/>
        <w:spacing w:before="2"/>
        <w:rPr>
          <w:b/>
          <w:sz w:val="23"/>
        </w:rPr>
      </w:pPr>
    </w:p>
    <w:p w14:paraId="299ED362" w14:textId="77777777" w:rsidR="00DE575E" w:rsidRDefault="002E7560">
      <w:pPr>
        <w:pStyle w:val="BodyText"/>
        <w:spacing w:line="252" w:lineRule="auto"/>
        <w:ind w:left="250" w:right="411" w:firstLine="283"/>
        <w:jc w:val="both"/>
      </w:pPr>
      <w:r>
        <w:rPr>
          <w:color w:val="231F20"/>
        </w:rPr>
        <w:t xml:space="preserve">Попри відому теоретико-правову конструкцію, відповідно до якої громадянам, на відміну від </w:t>
      </w:r>
      <w:r>
        <w:rPr>
          <w:color w:val="231F20"/>
          <w:spacing w:val="-3"/>
        </w:rPr>
        <w:t xml:space="preserve">суб’єктів </w:t>
      </w:r>
      <w:r>
        <w:rPr>
          <w:color w:val="231F20"/>
        </w:rPr>
        <w:t xml:space="preserve">публічного адміністру- вання, дозволено все, що прямо не заборонено законом, стосовно низки варіантів діяльності потрібно отримати дозвіл. </w:t>
      </w:r>
      <w:r>
        <w:rPr>
          <w:color w:val="231F20"/>
          <w:spacing w:val="-4"/>
        </w:rPr>
        <w:t xml:space="preserve">Такого </w:t>
      </w:r>
      <w:r>
        <w:rPr>
          <w:color w:val="231F20"/>
          <w:spacing w:val="-3"/>
        </w:rPr>
        <w:t xml:space="preserve">роду </w:t>
      </w:r>
      <w:r>
        <w:rPr>
          <w:color w:val="231F20"/>
        </w:rPr>
        <w:t>ситуація зумовлена передусім особливим характером здійснюваної діяльності,</w:t>
      </w:r>
      <w:r>
        <w:rPr>
          <w:color w:val="231F20"/>
          <w:spacing w:val="-6"/>
        </w:rPr>
        <w:t xml:space="preserve"> </w:t>
      </w:r>
      <w:r>
        <w:rPr>
          <w:color w:val="231F20"/>
        </w:rPr>
        <w:t>що</w:t>
      </w:r>
      <w:r>
        <w:rPr>
          <w:color w:val="231F20"/>
          <w:spacing w:val="-6"/>
        </w:rPr>
        <w:t xml:space="preserve"> </w:t>
      </w:r>
      <w:r>
        <w:rPr>
          <w:color w:val="231F20"/>
        </w:rPr>
        <w:t>потенційно</w:t>
      </w:r>
      <w:r>
        <w:rPr>
          <w:color w:val="231F20"/>
          <w:spacing w:val="-6"/>
        </w:rPr>
        <w:t xml:space="preserve"> </w:t>
      </w:r>
      <w:r>
        <w:rPr>
          <w:color w:val="231F20"/>
        </w:rPr>
        <w:t>може</w:t>
      </w:r>
      <w:r>
        <w:rPr>
          <w:color w:val="231F20"/>
          <w:spacing w:val="-6"/>
        </w:rPr>
        <w:t xml:space="preserve"> </w:t>
      </w:r>
      <w:r>
        <w:rPr>
          <w:color w:val="231F20"/>
        </w:rPr>
        <w:t>завдати</w:t>
      </w:r>
      <w:r>
        <w:rPr>
          <w:color w:val="231F20"/>
          <w:spacing w:val="-6"/>
        </w:rPr>
        <w:t xml:space="preserve"> </w:t>
      </w:r>
      <w:r>
        <w:rPr>
          <w:color w:val="231F20"/>
        </w:rPr>
        <w:t>шко</w:t>
      </w:r>
      <w:r>
        <w:rPr>
          <w:color w:val="231F20"/>
        </w:rPr>
        <w:t>ди</w:t>
      </w:r>
      <w:r>
        <w:rPr>
          <w:color w:val="231F20"/>
          <w:spacing w:val="-6"/>
        </w:rPr>
        <w:t xml:space="preserve"> </w:t>
      </w:r>
      <w:r>
        <w:rPr>
          <w:color w:val="231F20"/>
        </w:rPr>
        <w:t>безпеці</w:t>
      </w:r>
      <w:r>
        <w:rPr>
          <w:color w:val="231F20"/>
          <w:spacing w:val="-6"/>
        </w:rPr>
        <w:t xml:space="preserve"> </w:t>
      </w:r>
      <w:r>
        <w:rPr>
          <w:color w:val="231F20"/>
        </w:rPr>
        <w:t>громадян</w:t>
      </w:r>
      <w:r>
        <w:rPr>
          <w:color w:val="231F20"/>
          <w:spacing w:val="-6"/>
        </w:rPr>
        <w:t xml:space="preserve"> </w:t>
      </w:r>
      <w:r>
        <w:rPr>
          <w:color w:val="231F20"/>
        </w:rPr>
        <w:t>та інтересам</w:t>
      </w:r>
      <w:r>
        <w:rPr>
          <w:color w:val="231F20"/>
          <w:spacing w:val="-1"/>
        </w:rPr>
        <w:t xml:space="preserve"> </w:t>
      </w:r>
      <w:r>
        <w:rPr>
          <w:color w:val="231F20"/>
        </w:rPr>
        <w:t>держави.</w:t>
      </w:r>
    </w:p>
    <w:p w14:paraId="4D201817" w14:textId="77777777" w:rsidR="00DE575E" w:rsidRDefault="002E7560">
      <w:pPr>
        <w:pStyle w:val="BodyText"/>
        <w:spacing w:before="4" w:line="252" w:lineRule="auto"/>
        <w:ind w:left="250" w:right="411" w:firstLine="283"/>
        <w:jc w:val="both"/>
      </w:pPr>
      <w:r>
        <w:rPr>
          <w:color w:val="231F20"/>
        </w:rPr>
        <w:t xml:space="preserve">Під дозвільними процедурами слід розуміти встановлений чинним законодавством  порядок  діяльності  </w:t>
      </w:r>
      <w:r>
        <w:rPr>
          <w:color w:val="231F20"/>
          <w:spacing w:val="-3"/>
        </w:rPr>
        <w:t xml:space="preserve">суб’єктів  </w:t>
      </w:r>
      <w:r>
        <w:rPr>
          <w:color w:val="231F20"/>
        </w:rPr>
        <w:t xml:space="preserve">публіч-  ного адміністрування, за  </w:t>
      </w:r>
      <w:r>
        <w:rPr>
          <w:color w:val="231F20"/>
          <w:spacing w:val="-3"/>
        </w:rPr>
        <w:t xml:space="preserve">результатами  </w:t>
      </w:r>
      <w:r>
        <w:rPr>
          <w:color w:val="231F20"/>
        </w:rPr>
        <w:t>якої  надаються  дозволи  на провадження певних видів д</w:t>
      </w:r>
      <w:r>
        <w:rPr>
          <w:color w:val="231F20"/>
        </w:rPr>
        <w:t>іяльності та здійснення юридично значущих</w:t>
      </w:r>
      <w:r>
        <w:rPr>
          <w:color w:val="231F20"/>
          <w:spacing w:val="-1"/>
        </w:rPr>
        <w:t xml:space="preserve"> </w:t>
      </w:r>
      <w:r>
        <w:rPr>
          <w:color w:val="231F20"/>
        </w:rPr>
        <w:t>дій.</w:t>
      </w:r>
    </w:p>
    <w:p w14:paraId="6348FAC0" w14:textId="77777777" w:rsidR="00DE575E" w:rsidRDefault="002E7560">
      <w:pPr>
        <w:pStyle w:val="BodyText"/>
        <w:spacing w:before="2" w:line="252" w:lineRule="auto"/>
        <w:ind w:left="250" w:right="410" w:firstLine="283"/>
        <w:jc w:val="both"/>
      </w:pPr>
      <w:r>
        <w:rPr>
          <w:color w:val="231F20"/>
        </w:rPr>
        <w:t>Ключовими</w:t>
      </w:r>
      <w:r>
        <w:rPr>
          <w:color w:val="231F20"/>
          <w:spacing w:val="-15"/>
        </w:rPr>
        <w:t xml:space="preserve"> </w:t>
      </w:r>
      <w:r>
        <w:rPr>
          <w:color w:val="231F20"/>
        </w:rPr>
        <w:t>цілями</w:t>
      </w:r>
      <w:r>
        <w:rPr>
          <w:color w:val="231F20"/>
          <w:spacing w:val="-14"/>
        </w:rPr>
        <w:t xml:space="preserve"> </w:t>
      </w:r>
      <w:r>
        <w:rPr>
          <w:color w:val="231F20"/>
        </w:rPr>
        <w:t>дозвільних</w:t>
      </w:r>
      <w:r>
        <w:rPr>
          <w:color w:val="231F20"/>
          <w:spacing w:val="-14"/>
        </w:rPr>
        <w:t xml:space="preserve"> </w:t>
      </w:r>
      <w:r>
        <w:rPr>
          <w:color w:val="231F20"/>
        </w:rPr>
        <w:t>процедур</w:t>
      </w:r>
      <w:r>
        <w:rPr>
          <w:color w:val="231F20"/>
          <w:spacing w:val="-14"/>
        </w:rPr>
        <w:t xml:space="preserve"> </w:t>
      </w:r>
      <w:r>
        <w:rPr>
          <w:color w:val="231F20"/>
        </w:rPr>
        <w:t>є:</w:t>
      </w:r>
      <w:r>
        <w:rPr>
          <w:color w:val="231F20"/>
          <w:spacing w:val="-14"/>
        </w:rPr>
        <w:t xml:space="preserve"> </w:t>
      </w:r>
      <w:r>
        <w:rPr>
          <w:color w:val="231F20"/>
        </w:rPr>
        <w:t>забезпечення</w:t>
      </w:r>
      <w:r>
        <w:rPr>
          <w:color w:val="231F20"/>
          <w:spacing w:val="-14"/>
        </w:rPr>
        <w:t xml:space="preserve"> </w:t>
      </w:r>
      <w:r>
        <w:rPr>
          <w:color w:val="231F20"/>
        </w:rPr>
        <w:t>безпеки громадян</w:t>
      </w:r>
      <w:r>
        <w:rPr>
          <w:color w:val="231F20"/>
          <w:spacing w:val="-12"/>
        </w:rPr>
        <w:t xml:space="preserve"> </w:t>
      </w:r>
      <w:r>
        <w:rPr>
          <w:color w:val="231F20"/>
        </w:rPr>
        <w:t>та</w:t>
      </w:r>
      <w:r>
        <w:rPr>
          <w:color w:val="231F20"/>
          <w:spacing w:val="-12"/>
        </w:rPr>
        <w:t xml:space="preserve"> </w:t>
      </w:r>
      <w:r>
        <w:rPr>
          <w:color w:val="231F20"/>
        </w:rPr>
        <w:t>інтересів</w:t>
      </w:r>
      <w:r>
        <w:rPr>
          <w:color w:val="231F20"/>
          <w:spacing w:val="-12"/>
        </w:rPr>
        <w:t xml:space="preserve"> </w:t>
      </w:r>
      <w:r>
        <w:rPr>
          <w:color w:val="231F20"/>
        </w:rPr>
        <w:t>держави;</w:t>
      </w:r>
      <w:r>
        <w:rPr>
          <w:color w:val="231F20"/>
          <w:spacing w:val="-12"/>
        </w:rPr>
        <w:t xml:space="preserve"> </w:t>
      </w:r>
      <w:r>
        <w:rPr>
          <w:color w:val="231F20"/>
        </w:rPr>
        <w:t>надання</w:t>
      </w:r>
      <w:r>
        <w:rPr>
          <w:color w:val="231F20"/>
          <w:spacing w:val="-12"/>
        </w:rPr>
        <w:t xml:space="preserve"> </w:t>
      </w:r>
      <w:r>
        <w:rPr>
          <w:color w:val="231F20"/>
        </w:rPr>
        <w:t>можливостей</w:t>
      </w:r>
      <w:r>
        <w:rPr>
          <w:color w:val="231F20"/>
          <w:spacing w:val="-12"/>
        </w:rPr>
        <w:t xml:space="preserve"> </w:t>
      </w:r>
      <w:r>
        <w:rPr>
          <w:color w:val="231F20"/>
        </w:rPr>
        <w:t>для</w:t>
      </w:r>
      <w:r>
        <w:rPr>
          <w:color w:val="231F20"/>
          <w:spacing w:val="-12"/>
        </w:rPr>
        <w:t xml:space="preserve"> </w:t>
      </w:r>
      <w:r>
        <w:rPr>
          <w:color w:val="231F20"/>
        </w:rPr>
        <w:t xml:space="preserve">реалізації певних прав особи, передусім у сфері економічної діяльності; унор- мування контролю за діяльністю, щодо якої </w:t>
      </w:r>
      <w:r>
        <w:rPr>
          <w:color w:val="231F20"/>
          <w:spacing w:val="-3"/>
        </w:rPr>
        <w:t xml:space="preserve">суб’єктом </w:t>
      </w:r>
      <w:r>
        <w:rPr>
          <w:color w:val="231F20"/>
        </w:rPr>
        <w:t>публічного адміністрування надано</w:t>
      </w:r>
      <w:r>
        <w:rPr>
          <w:color w:val="231F20"/>
          <w:spacing w:val="-2"/>
        </w:rPr>
        <w:t xml:space="preserve"> </w:t>
      </w:r>
      <w:r>
        <w:rPr>
          <w:color w:val="231F20"/>
        </w:rPr>
        <w:t>дозвіл.</w:t>
      </w:r>
    </w:p>
    <w:p w14:paraId="01C89423" w14:textId="77777777" w:rsidR="00DE575E" w:rsidRDefault="002E7560">
      <w:pPr>
        <w:spacing w:before="2"/>
        <w:ind w:left="533"/>
        <w:rPr>
          <w:i/>
          <w:sz w:val="21"/>
        </w:rPr>
      </w:pPr>
      <w:r>
        <w:rPr>
          <w:i/>
          <w:color w:val="231F20"/>
          <w:sz w:val="21"/>
        </w:rPr>
        <w:t>Ознаками дозвільних процедур є такі:</w:t>
      </w:r>
    </w:p>
    <w:p w14:paraId="06E7A3E9"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послідовні дії суб’єктів публічного адміністр</w:t>
      </w:r>
      <w:r>
        <w:rPr>
          <w:color w:val="231F20"/>
        </w:rPr>
        <w:t>ування;</w:t>
      </w:r>
    </w:p>
    <w:p w14:paraId="7F87E707"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множинність суб’єктів, правоможних надавати дозволи;</w:t>
      </w:r>
    </w:p>
    <w:p w14:paraId="1BB6F005" w14:textId="77777777" w:rsidR="00DE575E" w:rsidRDefault="002E7560">
      <w:pPr>
        <w:pStyle w:val="BodyText"/>
        <w:spacing w:before="13"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множинність видів дозволів (ліцензія, сертифікат, спеціаль- ний дозвіл, рішення, погодження тощо).</w:t>
      </w:r>
    </w:p>
    <w:p w14:paraId="5422BD84" w14:textId="77777777" w:rsidR="00DE575E" w:rsidRDefault="002E7560">
      <w:pPr>
        <w:pStyle w:val="BodyText"/>
        <w:spacing w:before="1" w:line="252" w:lineRule="auto"/>
        <w:ind w:left="250" w:right="410" w:firstLine="283"/>
        <w:jc w:val="both"/>
      </w:pPr>
      <w:r>
        <w:rPr>
          <w:color w:val="231F20"/>
          <w:u w:val="single" w:color="231F20"/>
        </w:rPr>
        <w:t>Приклад:</w:t>
      </w:r>
      <w:r>
        <w:rPr>
          <w:color w:val="231F20"/>
        </w:rPr>
        <w:t xml:space="preserve"> порядок виготовлення, придбання, зберігання, обліку, перевезення та використання во</w:t>
      </w:r>
      <w:r>
        <w:rPr>
          <w:color w:val="231F20"/>
        </w:rPr>
        <w:t>гнепальної зброї; порядок видання свідоцтва про право на зайняття нотаріальною діяльністю; порядок надання дозволу на розроблення проєкту землеустрою; порядок видання посвідчень водія та допуску громадян до керування тран- спортними засобами тощо.</w:t>
      </w:r>
    </w:p>
    <w:p w14:paraId="53CD58A7" w14:textId="77777777" w:rsidR="00DE575E" w:rsidRDefault="002E7560">
      <w:pPr>
        <w:pStyle w:val="BodyText"/>
        <w:spacing w:before="3" w:line="252" w:lineRule="auto"/>
        <w:ind w:left="250" w:right="410" w:firstLine="283"/>
        <w:jc w:val="both"/>
      </w:pPr>
      <w:r>
        <w:rPr>
          <w:color w:val="231F20"/>
        </w:rPr>
        <w:t>Базовими</w:t>
      </w:r>
      <w:r>
        <w:rPr>
          <w:color w:val="231F20"/>
        </w:rPr>
        <w:t xml:space="preserve"> нормативно-правовими актами, положення яких урегульовують здійснення дозвільних процедур у різних сферах суспільного життя, є закони України від 6.09.2005 р. № 2806-IV</w:t>
      </w:r>
    </w:p>
    <w:p w14:paraId="07CEE77F" w14:textId="77777777" w:rsidR="00DE575E" w:rsidRDefault="002E7560">
      <w:pPr>
        <w:pStyle w:val="BodyText"/>
        <w:spacing w:before="1" w:line="252" w:lineRule="auto"/>
        <w:ind w:left="250" w:right="410"/>
        <w:jc w:val="both"/>
      </w:pPr>
      <w:r>
        <w:rPr>
          <w:color w:val="231F20"/>
        </w:rPr>
        <w:t>«Про дозвільну систему у сфері господарської діяльності», від 11.01.2000 р. № 1370-XIV «Про дозвільну діяльність у сфері вико- ристання ядерної енергії», від 2.03.2015 р. № 222-VIII «Про ліцензу- вання видів господарської діяльності», Постанова Кабінету Мі</w:t>
      </w:r>
      <w:r>
        <w:rPr>
          <w:color w:val="231F20"/>
        </w:rPr>
        <w:t>ніст- рів України від 12.10.1992 р. № 576 «Про затвердження Положення про дозвільну систему».</w:t>
      </w:r>
    </w:p>
    <w:p w14:paraId="2793AB09" w14:textId="77777777" w:rsidR="00DE575E" w:rsidRDefault="00DE575E">
      <w:pPr>
        <w:pStyle w:val="BodyText"/>
        <w:spacing w:before="8"/>
        <w:rPr>
          <w:sz w:val="12"/>
        </w:rPr>
      </w:pPr>
    </w:p>
    <w:p w14:paraId="67153F13" w14:textId="77777777" w:rsidR="00DE575E" w:rsidRDefault="002E7560">
      <w:pPr>
        <w:spacing w:before="91"/>
        <w:ind w:right="411"/>
        <w:jc w:val="right"/>
        <w:rPr>
          <w:rFonts w:ascii="Times New Roman"/>
          <w:sz w:val="20"/>
        </w:rPr>
      </w:pPr>
      <w:r>
        <w:rPr>
          <w:rFonts w:ascii="Times New Roman"/>
          <w:color w:val="231F20"/>
          <w:w w:val="90"/>
          <w:sz w:val="20"/>
        </w:rPr>
        <w:t>295</w:t>
      </w:r>
    </w:p>
    <w:p w14:paraId="3521AEB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837A0A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91A22A5" w14:textId="3735E83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4AA6827" wp14:editId="0DBD6E1C">
                <wp:extent cx="4140200" cy="6350"/>
                <wp:effectExtent l="0" t="0" r="12700" b="6350"/>
                <wp:docPr id="667"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68" name="Line 66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CAA855" id="Group_x0020_66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JpyWgAIAAJgFAAAO&#10;AAAAAAAAAAAAAAAAACwCAABkcnMvZTJvRG9jLnhtbFBLAQItABQABgAIAAAAIQBMp7CQ2QAAAAMB&#10;AAAPAAAAAAAAAAAAAAAAANgEAABkcnMvZG93bnJldi54bWxQSwUGAAAAAAQABADzAAAA3gUAAAAA&#10;">
                <v:line id="Line_x0020_66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dttsIAAADcAAAADwAAAGRycy9kb3ducmV2LnhtbERP3WrCMBS+H/gO4QjeDE03oUg1igjC&#10;2IVu1gc4Nse2mJzUJtrq05uLwS4/vv/FqrdG3Kn1tWMFH5MEBHHhdM2lgmO+Hc9A+ICs0TgmBQ/y&#10;sFoO3haYadfxL90PoRQxhH2GCqoQmkxKX1Rk0U9cQxy5s2sthgjbUuoWuxhujfxMklRarDk2VNjQ&#10;pqLicrhZBfn1PZif/bfp8v1pKk/X3fR52yk1GvbrOYhAffgX/7m/tII0jWvj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IdttsIAAADcAAAADwAAAAAAAAAAAAAA&#10;AAChAgAAZHJzL2Rvd25yZXYueG1sUEsFBgAAAAAEAAQA+QAAAJADAAAAAA==&#10;" strokecolor="#231f20" strokeweight=".5pt"/>
                <w10:anchorlock/>
              </v:group>
            </w:pict>
          </mc:Fallback>
        </mc:AlternateContent>
      </w:r>
    </w:p>
    <w:p w14:paraId="3AAFEBD5" w14:textId="77777777" w:rsidR="00DE575E" w:rsidRDefault="00DE575E">
      <w:pPr>
        <w:pStyle w:val="BodyText"/>
        <w:spacing w:before="7"/>
        <w:rPr>
          <w:rFonts w:ascii="AdonisC"/>
          <w:i/>
          <w:sz w:val="11"/>
        </w:rPr>
      </w:pPr>
    </w:p>
    <w:p w14:paraId="09F726B2" w14:textId="77777777" w:rsidR="00DE575E" w:rsidRDefault="002E7560">
      <w:pPr>
        <w:pStyle w:val="BodyText"/>
        <w:spacing w:before="101" w:line="252" w:lineRule="auto"/>
        <w:ind w:left="533" w:right="127" w:firstLine="283"/>
        <w:jc w:val="both"/>
      </w:pPr>
      <w:r>
        <w:rPr>
          <w:color w:val="231F20"/>
        </w:rPr>
        <w:t>Наостанок у цьому підрозділі зазначимо про важливий норма- тивно-правовий елемент запобігання негативним проявам у діяль- ності</w:t>
      </w:r>
      <w:r>
        <w:rPr>
          <w:color w:val="231F20"/>
          <w:spacing w:val="-17"/>
        </w:rPr>
        <w:t xml:space="preserve"> </w:t>
      </w:r>
      <w:r>
        <w:rPr>
          <w:color w:val="231F20"/>
          <w:spacing w:val="-3"/>
        </w:rPr>
        <w:t>суб’єктів</w:t>
      </w:r>
      <w:r>
        <w:rPr>
          <w:color w:val="231F20"/>
          <w:spacing w:val="-17"/>
        </w:rPr>
        <w:t xml:space="preserve"> </w:t>
      </w:r>
      <w:r>
        <w:rPr>
          <w:color w:val="231F20"/>
        </w:rPr>
        <w:t>публічного</w:t>
      </w:r>
      <w:r>
        <w:rPr>
          <w:color w:val="231F20"/>
          <w:spacing w:val="-17"/>
        </w:rPr>
        <w:t xml:space="preserve"> </w:t>
      </w:r>
      <w:r>
        <w:rPr>
          <w:color w:val="231F20"/>
        </w:rPr>
        <w:t>адміністрування,</w:t>
      </w:r>
      <w:r>
        <w:rPr>
          <w:color w:val="231F20"/>
          <w:spacing w:val="-17"/>
        </w:rPr>
        <w:t xml:space="preserve"> </w:t>
      </w:r>
      <w:r>
        <w:rPr>
          <w:color w:val="231F20"/>
        </w:rPr>
        <w:t>який</w:t>
      </w:r>
      <w:r>
        <w:rPr>
          <w:color w:val="231F20"/>
          <w:spacing w:val="-17"/>
        </w:rPr>
        <w:t xml:space="preserve"> </w:t>
      </w:r>
      <w:r>
        <w:rPr>
          <w:color w:val="231F20"/>
        </w:rPr>
        <w:t>стосується</w:t>
      </w:r>
      <w:r>
        <w:rPr>
          <w:color w:val="231F20"/>
          <w:spacing w:val="-17"/>
        </w:rPr>
        <w:t xml:space="preserve"> </w:t>
      </w:r>
      <w:r>
        <w:rPr>
          <w:color w:val="231F20"/>
        </w:rPr>
        <w:t>надання дозволів (корупційні дії, пор</w:t>
      </w:r>
      <w:r>
        <w:rPr>
          <w:color w:val="231F20"/>
        </w:rPr>
        <w:t xml:space="preserve">ушення термінів надання дозволу тощо). Мова йде про принцип мовчазної згоди, згідно з яким </w:t>
      </w:r>
      <w:r>
        <w:rPr>
          <w:color w:val="231F20"/>
          <w:spacing w:val="-4"/>
        </w:rPr>
        <w:t xml:space="preserve">суб’єкт </w:t>
      </w:r>
      <w:r>
        <w:rPr>
          <w:color w:val="231F20"/>
        </w:rPr>
        <w:t>господарювання набуває право на провадження певних дій щодо здійснення господарської діяльності або видів господарської діяль- ності без отримання відповідно</w:t>
      </w:r>
      <w:r>
        <w:rPr>
          <w:color w:val="231F20"/>
        </w:rPr>
        <w:t xml:space="preserve">го документа дозвільного харак- </w:t>
      </w:r>
      <w:r>
        <w:rPr>
          <w:color w:val="231F20"/>
          <w:spacing w:val="-5"/>
        </w:rPr>
        <w:t xml:space="preserve">теру, </w:t>
      </w:r>
      <w:r>
        <w:rPr>
          <w:color w:val="231F20"/>
        </w:rPr>
        <w:t xml:space="preserve">за умови якщо </w:t>
      </w:r>
      <w:r>
        <w:rPr>
          <w:color w:val="231F20"/>
          <w:spacing w:val="-3"/>
        </w:rPr>
        <w:t xml:space="preserve">суб’єктом </w:t>
      </w:r>
      <w:r>
        <w:rPr>
          <w:color w:val="231F20"/>
        </w:rPr>
        <w:t xml:space="preserve">господарювання або уповноваженою ним особою подано в установленому порядку заяву та документи   в повному обсязі, але у встановлений законом строк документ дозвільного характеру або рішення про </w:t>
      </w:r>
      <w:r>
        <w:rPr>
          <w:color w:val="231F20"/>
        </w:rPr>
        <w:t>відмову в його виданні не видано або не</w:t>
      </w:r>
      <w:r>
        <w:rPr>
          <w:color w:val="231F20"/>
          <w:spacing w:val="-3"/>
        </w:rPr>
        <w:t xml:space="preserve"> </w:t>
      </w:r>
      <w:r>
        <w:rPr>
          <w:color w:val="231F20"/>
        </w:rPr>
        <w:t>направлено</w:t>
      </w:r>
      <w:r>
        <w:rPr>
          <w:color w:val="231F20"/>
          <w:position w:val="7"/>
          <w:sz w:val="12"/>
        </w:rPr>
        <w:t>1</w:t>
      </w:r>
      <w:r>
        <w:rPr>
          <w:color w:val="231F20"/>
        </w:rPr>
        <w:t>.</w:t>
      </w:r>
    </w:p>
    <w:p w14:paraId="699425BF" w14:textId="77777777" w:rsidR="00DE575E" w:rsidRDefault="002E7560">
      <w:pPr>
        <w:pStyle w:val="BodyText"/>
        <w:spacing w:before="6" w:line="252" w:lineRule="auto"/>
        <w:ind w:left="533" w:right="128" w:firstLine="283"/>
        <w:jc w:val="both"/>
      </w:pPr>
      <w:r>
        <w:rPr>
          <w:color w:val="231F20"/>
        </w:rPr>
        <w:t>Цей крок став більш ніж важливим елементом взаємодії та врів- новаження держави й суспільства.</w:t>
      </w:r>
    </w:p>
    <w:p w14:paraId="7378FB3B" w14:textId="77777777" w:rsidR="00DE575E" w:rsidRDefault="00DE575E">
      <w:pPr>
        <w:pStyle w:val="BodyText"/>
        <w:spacing w:before="1"/>
        <w:rPr>
          <w:sz w:val="22"/>
        </w:rPr>
      </w:pPr>
    </w:p>
    <w:p w14:paraId="034B0764" w14:textId="77777777" w:rsidR="00DE575E" w:rsidRDefault="002E7560">
      <w:pPr>
        <w:pStyle w:val="Heading5"/>
        <w:numPr>
          <w:ilvl w:val="2"/>
          <w:numId w:val="149"/>
        </w:numPr>
        <w:tabs>
          <w:tab w:val="left" w:pos="1383"/>
        </w:tabs>
        <w:jc w:val="left"/>
      </w:pPr>
      <w:r>
        <w:rPr>
          <w:color w:val="231F20"/>
        </w:rPr>
        <w:t>Інспекційні</w:t>
      </w:r>
      <w:r>
        <w:rPr>
          <w:color w:val="231F20"/>
          <w:spacing w:val="-1"/>
        </w:rPr>
        <w:t xml:space="preserve"> </w:t>
      </w:r>
      <w:r>
        <w:rPr>
          <w:color w:val="231F20"/>
        </w:rPr>
        <w:t>процедури</w:t>
      </w:r>
    </w:p>
    <w:p w14:paraId="70672BAA" w14:textId="77777777" w:rsidR="00DE575E" w:rsidRDefault="00DE575E">
      <w:pPr>
        <w:pStyle w:val="BodyText"/>
        <w:spacing w:before="2"/>
        <w:rPr>
          <w:b/>
          <w:sz w:val="23"/>
        </w:rPr>
      </w:pPr>
    </w:p>
    <w:p w14:paraId="41031CA2" w14:textId="77777777" w:rsidR="00DE575E" w:rsidRDefault="002E7560">
      <w:pPr>
        <w:pStyle w:val="BodyText"/>
        <w:spacing w:line="252" w:lineRule="auto"/>
        <w:ind w:left="533" w:right="126" w:firstLine="283"/>
        <w:jc w:val="both"/>
      </w:pPr>
      <w:r>
        <w:rPr>
          <w:color w:val="231F20"/>
        </w:rPr>
        <w:t xml:space="preserve">Сам термін </w:t>
      </w:r>
      <w:r>
        <w:rPr>
          <w:b/>
          <w:color w:val="231F20"/>
        </w:rPr>
        <w:t>«</w:t>
      </w:r>
      <w:r>
        <w:rPr>
          <w:i/>
          <w:color w:val="231F20"/>
        </w:rPr>
        <w:t>інспекція</w:t>
      </w:r>
      <w:r>
        <w:rPr>
          <w:b/>
          <w:color w:val="231F20"/>
        </w:rPr>
        <w:t xml:space="preserve">» </w:t>
      </w:r>
      <w:r>
        <w:rPr>
          <w:color w:val="231F20"/>
        </w:rPr>
        <w:t xml:space="preserve">походить від лат. inspectio – «огляд, розгляд». В умовах модернізації діяльності органів публічного адміністрування продовжують залишатись актуальними інспек- ційні процедури. За раніше наведеною класифікацією адміністра- тивних процедур, вони належать до </w:t>
      </w:r>
      <w:r>
        <w:rPr>
          <w:color w:val="231F20"/>
        </w:rPr>
        <w:t>втручальних, оскільки виника- ють за ініціативи суб’єкта публічної адміністрації за наявності для цього правових підстав. Зазвичай інспекційні процедури виника- ють у ході контрольно-наглядової діяльності суб’єктів публічного адміністрування.</w:t>
      </w:r>
    </w:p>
    <w:p w14:paraId="2F6E57C8" w14:textId="77777777" w:rsidR="00DE575E" w:rsidRDefault="002E7560">
      <w:pPr>
        <w:pStyle w:val="Heading6"/>
        <w:spacing w:before="5" w:line="252" w:lineRule="auto"/>
        <w:ind w:right="128"/>
        <w:jc w:val="both"/>
      </w:pPr>
      <w:r>
        <w:rPr>
          <w:color w:val="231F20"/>
        </w:rPr>
        <w:t>Під інспекцій</w:t>
      </w:r>
      <w:r>
        <w:rPr>
          <w:color w:val="231F20"/>
        </w:rPr>
        <w:t xml:space="preserve">ними процедурами слід розуміти встановле- </w:t>
      </w:r>
      <w:r>
        <w:rPr>
          <w:color w:val="231F20"/>
        </w:rPr>
        <w:t>ний</w:t>
      </w:r>
      <w:r>
        <w:rPr>
          <w:color w:val="231F20"/>
          <w:spacing w:val="-12"/>
        </w:rPr>
        <w:t xml:space="preserve"> </w:t>
      </w:r>
      <w:r>
        <w:rPr>
          <w:color w:val="231F20"/>
        </w:rPr>
        <w:t>чинним</w:t>
      </w:r>
      <w:r>
        <w:rPr>
          <w:color w:val="231F20"/>
          <w:spacing w:val="-12"/>
        </w:rPr>
        <w:t xml:space="preserve"> </w:t>
      </w:r>
      <w:r>
        <w:rPr>
          <w:color w:val="231F20"/>
        </w:rPr>
        <w:t>законодавством</w:t>
      </w:r>
      <w:r>
        <w:rPr>
          <w:color w:val="231F20"/>
          <w:spacing w:val="-12"/>
        </w:rPr>
        <w:t xml:space="preserve"> </w:t>
      </w:r>
      <w:r>
        <w:rPr>
          <w:color w:val="231F20"/>
        </w:rPr>
        <w:t>порядок</w:t>
      </w:r>
      <w:r>
        <w:rPr>
          <w:color w:val="231F20"/>
          <w:spacing w:val="-13"/>
        </w:rPr>
        <w:t xml:space="preserve"> </w:t>
      </w:r>
      <w:r>
        <w:rPr>
          <w:color w:val="231F20"/>
        </w:rPr>
        <w:t>втручальної</w:t>
      </w:r>
      <w:r>
        <w:rPr>
          <w:color w:val="231F20"/>
          <w:spacing w:val="-12"/>
        </w:rPr>
        <w:t xml:space="preserve"> </w:t>
      </w:r>
      <w:r>
        <w:rPr>
          <w:color w:val="231F20"/>
        </w:rPr>
        <w:t xml:space="preserve">контрольно- наглядової діяльності </w:t>
      </w:r>
      <w:r>
        <w:rPr>
          <w:color w:val="231F20"/>
          <w:spacing w:val="-3"/>
        </w:rPr>
        <w:t xml:space="preserve">суб’єктів </w:t>
      </w:r>
      <w:r>
        <w:rPr>
          <w:color w:val="231F20"/>
        </w:rPr>
        <w:t>публічного адміністрування, яка полягає у здійсненні перевірки дотримання законів та інших нормативно-правових</w:t>
      </w:r>
      <w:r>
        <w:rPr>
          <w:color w:val="231F20"/>
          <w:spacing w:val="-3"/>
        </w:rPr>
        <w:t xml:space="preserve"> </w:t>
      </w:r>
      <w:r>
        <w:rPr>
          <w:color w:val="231F20"/>
        </w:rPr>
        <w:t>актів.</w:t>
      </w:r>
    </w:p>
    <w:p w14:paraId="372A60D5" w14:textId="77777777" w:rsidR="00DE575E" w:rsidRDefault="002E7560">
      <w:pPr>
        <w:pStyle w:val="BodyText"/>
        <w:tabs>
          <w:tab w:val="left" w:pos="1873"/>
          <w:tab w:val="left" w:pos="3111"/>
          <w:tab w:val="left" w:pos="3601"/>
          <w:tab w:val="left" w:pos="4376"/>
          <w:tab w:val="left" w:pos="5338"/>
          <w:tab w:val="left" w:pos="5835"/>
        </w:tabs>
        <w:spacing w:before="2"/>
        <w:ind w:left="817"/>
      </w:pPr>
      <w:r>
        <w:rPr>
          <w:color w:val="231F20"/>
        </w:rPr>
        <w:t>Важлив</w:t>
      </w:r>
      <w:r>
        <w:rPr>
          <w:color w:val="231F20"/>
        </w:rPr>
        <w:t>о</w:t>
      </w:r>
      <w:r>
        <w:rPr>
          <w:color w:val="231F20"/>
        </w:rPr>
        <w:tab/>
        <w:t>зазначити,</w:t>
      </w:r>
      <w:r>
        <w:rPr>
          <w:color w:val="231F20"/>
        </w:rPr>
        <w:tab/>
        <w:t>що</w:t>
      </w:r>
      <w:r>
        <w:rPr>
          <w:color w:val="231F20"/>
        </w:rPr>
        <w:tab/>
        <w:t>Закон</w:t>
      </w:r>
      <w:r>
        <w:rPr>
          <w:color w:val="231F20"/>
        </w:rPr>
        <w:tab/>
      </w:r>
      <w:r>
        <w:rPr>
          <w:color w:val="231F20"/>
          <w:spacing w:val="-3"/>
        </w:rPr>
        <w:t>України</w:t>
      </w:r>
      <w:r>
        <w:rPr>
          <w:color w:val="231F20"/>
          <w:spacing w:val="-3"/>
        </w:rPr>
        <w:tab/>
      </w:r>
      <w:r>
        <w:rPr>
          <w:color w:val="231F20"/>
        </w:rPr>
        <w:t>від</w:t>
      </w:r>
      <w:r>
        <w:rPr>
          <w:color w:val="231F20"/>
        </w:rPr>
        <w:tab/>
        <w:t>17.03.2011</w:t>
      </w:r>
      <w:r>
        <w:rPr>
          <w:color w:val="231F20"/>
          <w:spacing w:val="-7"/>
        </w:rPr>
        <w:t xml:space="preserve"> </w:t>
      </w:r>
      <w:r>
        <w:rPr>
          <w:color w:val="231F20"/>
        </w:rPr>
        <w:t>р.</w:t>
      </w:r>
    </w:p>
    <w:p w14:paraId="6FD1A8A9" w14:textId="77777777" w:rsidR="00DE575E" w:rsidRDefault="002E7560">
      <w:pPr>
        <w:pStyle w:val="BodyText"/>
        <w:spacing w:before="13" w:line="252" w:lineRule="auto"/>
        <w:ind w:left="533" w:right="127"/>
        <w:jc w:val="both"/>
      </w:pPr>
      <w:r>
        <w:rPr>
          <w:color w:val="231F20"/>
        </w:rPr>
        <w:t>№ 3166-VI «Про центральні органи виконавчої влади» у ст. 17, відмежовуючи служби, агентства та інспекції як варіанти централь- них органів виконавчої влади, зазначає, що в разі якщо більшість</w:t>
      </w:r>
    </w:p>
    <w:p w14:paraId="59406111" w14:textId="77777777" w:rsidR="00DE575E" w:rsidRDefault="00DE575E">
      <w:pPr>
        <w:pStyle w:val="BodyText"/>
        <w:rPr>
          <w:sz w:val="20"/>
        </w:rPr>
      </w:pPr>
    </w:p>
    <w:p w14:paraId="15D8A4D1" w14:textId="1779B463" w:rsidR="00DE575E" w:rsidRDefault="002E7560">
      <w:pPr>
        <w:pStyle w:val="BodyText"/>
        <w:spacing w:before="10"/>
        <w:rPr>
          <w:sz w:val="12"/>
        </w:rPr>
      </w:pPr>
      <w:r>
        <w:rPr>
          <w:noProof/>
        </w:rPr>
        <mc:AlternateContent>
          <mc:Choice Requires="wps">
            <w:drawing>
              <wp:anchor distT="0" distB="0" distL="0" distR="0" simplePos="0" relativeHeight="11728" behindDoc="0" locked="0" layoutInCell="1" allowOverlap="1" wp14:anchorId="63F36D35" wp14:editId="7999AC73">
                <wp:simplePos x="0" y="0"/>
                <wp:positionH relativeFrom="page">
                  <wp:posOffset>719455</wp:posOffset>
                </wp:positionH>
                <wp:positionV relativeFrom="paragraph">
                  <wp:posOffset>123825</wp:posOffset>
                </wp:positionV>
                <wp:extent cx="1080135" cy="0"/>
                <wp:effectExtent l="8255" t="9525" r="29210" b="28575"/>
                <wp:wrapTopAndBottom/>
                <wp:docPr id="6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C17EF" id="Line_x0020_665" o:spid="_x0000_s1026" style="position:absolute;z-index:1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5pt" to="141.7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" strokecolor="#231f20" strokeweight=".5pt">
                <w10:wrap type="topAndBottom" anchorx="page"/>
              </v:line>
            </w:pict>
          </mc:Fallback>
        </mc:AlternateContent>
      </w:r>
    </w:p>
    <w:p w14:paraId="33379F06" w14:textId="77777777" w:rsidR="00DE575E" w:rsidRDefault="002E7560">
      <w:pPr>
        <w:spacing w:line="204" w:lineRule="auto"/>
        <w:ind w:left="533"/>
        <w:rPr>
          <w:sz w:val="16"/>
        </w:rPr>
      </w:pPr>
      <w:r>
        <w:rPr>
          <w:color w:val="231F20"/>
          <w:position w:val="5"/>
          <w:sz w:val="9"/>
        </w:rPr>
        <w:t xml:space="preserve">1 </w:t>
      </w:r>
      <w:r>
        <w:rPr>
          <w:color w:val="231F20"/>
          <w:sz w:val="16"/>
        </w:rPr>
        <w:t>Ст. 1 Закон</w:t>
      </w:r>
      <w:r>
        <w:rPr>
          <w:color w:val="231F20"/>
          <w:sz w:val="16"/>
        </w:rPr>
        <w:t>у України від 6.09.2005 р. № 2806-IV «Про дозвільну систему у сфері госпо- дарської діяльності».</w:t>
      </w:r>
    </w:p>
    <w:p w14:paraId="77DC6C63" w14:textId="77777777" w:rsidR="00DE575E" w:rsidRDefault="00DE575E">
      <w:pPr>
        <w:pStyle w:val="BodyText"/>
        <w:spacing w:before="1"/>
        <w:rPr>
          <w:sz w:val="12"/>
        </w:rPr>
      </w:pPr>
    </w:p>
    <w:p w14:paraId="5E370F8B" w14:textId="77777777" w:rsidR="00DE575E" w:rsidRDefault="002E7560">
      <w:pPr>
        <w:spacing w:before="92"/>
        <w:ind w:left="533"/>
        <w:rPr>
          <w:rFonts w:ascii="Times New Roman"/>
          <w:sz w:val="20"/>
        </w:rPr>
      </w:pPr>
      <w:r>
        <w:rPr>
          <w:rFonts w:ascii="Times New Roman"/>
          <w:color w:val="231F20"/>
          <w:sz w:val="20"/>
        </w:rPr>
        <w:t>296</w:t>
      </w:r>
    </w:p>
    <w:p w14:paraId="015C31D3" w14:textId="77777777" w:rsidR="00DE575E" w:rsidRDefault="00DE575E">
      <w:pPr>
        <w:rPr>
          <w:rFonts w:ascii="Times New Roman"/>
          <w:sz w:val="20"/>
        </w:rPr>
        <w:sectPr w:rsidR="00DE575E">
          <w:pgSz w:w="8510" w:h="12760"/>
          <w:pgMar w:top="660" w:right="720" w:bottom="280" w:left="600" w:header="720" w:footer="720" w:gutter="0"/>
          <w:cols w:space="720"/>
        </w:sectPr>
      </w:pPr>
    </w:p>
    <w:p w14:paraId="48F01576"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3D743758" w14:textId="6F67F6A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CB17F4C" wp14:editId="69940A9C">
                <wp:extent cx="4140200" cy="6350"/>
                <wp:effectExtent l="0" t="0" r="12700" b="6350"/>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65" name="Line 66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84FDC1" id="Group_x0020_66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jn5jR/AgAAmAUAAA4A&#10;AAAAAAAAAAAAAAAALAIAAGRycy9lMm9Eb2MueG1sUEsBAi0AFAAGAAgAAAAhAEynsJDZAAAAAwEA&#10;AA8AAAAAAAAAAAAAAAAA1wQAAGRycy9kb3ducmV2LnhtbFBLBQYAAAAABAAEAPMAAADdBQAAAAA=&#10;">
                <v:line id="Line_x0020_66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bCKMYAAADcAAAADwAAAGRycy9kb3ducmV2LnhtbESP3WrCQBSE7wu+w3KE3pS6aaWhpK4i&#10;BUG88C8+wDF7mgR3z8bsamKfvisUvBxm5htmMuutEVdqfe1YwdsoAUFcOF1zqeCQL14/QfiArNE4&#10;JgU38jCbDp4mmGnX8Y6u+1CKCGGfoYIqhCaT0hcVWfQj1xBH78e1FkOUbSl1i12EWyPfkySVFmuO&#10;CxU29F1RcdpfrIL8/BLMdrMyXb45juXxvB7/XtZKPQ/7+ReIQH14hP/bS60gTT/gfiYeATn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qGwijGAAAA3AAAAA8AAAAAAAAA&#10;AAAAAAAAoQIAAGRycy9kb3ducmV2LnhtbFBLBQYAAAAABAAEAPkAAACUAwAAAAA=&#10;" strokecolor="#231f20" strokeweight=".5pt"/>
                <w10:anchorlock/>
              </v:group>
            </w:pict>
          </mc:Fallback>
        </mc:AlternateContent>
      </w:r>
    </w:p>
    <w:p w14:paraId="2E7C0A5B" w14:textId="77777777" w:rsidR="00DE575E" w:rsidRDefault="00DE575E">
      <w:pPr>
        <w:pStyle w:val="BodyText"/>
        <w:spacing w:before="7"/>
        <w:rPr>
          <w:rFonts w:ascii="AdonisC"/>
          <w:i/>
          <w:sz w:val="19"/>
        </w:rPr>
      </w:pPr>
    </w:p>
    <w:p w14:paraId="67A6014D" w14:textId="77777777" w:rsidR="00DE575E" w:rsidRDefault="002E7560">
      <w:pPr>
        <w:pStyle w:val="BodyText"/>
        <w:spacing w:before="1" w:line="252" w:lineRule="auto"/>
        <w:ind w:left="250" w:right="410"/>
        <w:jc w:val="both"/>
      </w:pPr>
      <w:r>
        <w:rPr>
          <w:color w:val="231F20"/>
        </w:rPr>
        <w:t>функцій центрального органу виконавчої влади складають конт- рольно-наглядові функції за дотриманням державними  орга-  нами, органами місцевого самоврядування, їх посадовими особами, юридичними та фізичними особами актів законодавства, централь- ний орган</w:t>
      </w:r>
      <w:r>
        <w:rPr>
          <w:color w:val="231F20"/>
        </w:rPr>
        <w:t xml:space="preserve"> виконавчої влади утворюється як</w:t>
      </w:r>
      <w:r>
        <w:rPr>
          <w:color w:val="231F20"/>
          <w:spacing w:val="-4"/>
        </w:rPr>
        <w:t xml:space="preserve"> </w:t>
      </w:r>
      <w:r>
        <w:rPr>
          <w:color w:val="231F20"/>
        </w:rPr>
        <w:t>інспекція.</w:t>
      </w:r>
    </w:p>
    <w:p w14:paraId="668CC24F" w14:textId="77777777" w:rsidR="00DE575E" w:rsidRDefault="002E7560">
      <w:pPr>
        <w:spacing w:before="2" w:line="252" w:lineRule="auto"/>
        <w:ind w:left="250" w:right="411" w:firstLine="283"/>
        <w:jc w:val="both"/>
        <w:rPr>
          <w:i/>
          <w:sz w:val="21"/>
        </w:rPr>
      </w:pPr>
      <w:r>
        <w:rPr>
          <w:i/>
          <w:color w:val="231F20"/>
          <w:sz w:val="21"/>
        </w:rPr>
        <w:t>В Україні існують 4 центральних органи виконавчої влади – інспекції:</w:t>
      </w:r>
    </w:p>
    <w:p w14:paraId="41073AA6" w14:textId="77777777" w:rsidR="00DE575E" w:rsidRDefault="002E7560">
      <w:pPr>
        <w:pStyle w:val="BodyText"/>
        <w:spacing w:before="1"/>
        <w:ind w:left="533"/>
      </w:pPr>
      <w:r>
        <w:rPr>
          <w:rFonts w:ascii="Wingdings" w:hAnsi="Wingdings"/>
          <w:color w:val="231F20"/>
        </w:rPr>
        <w:t></w:t>
      </w:r>
      <w:r>
        <w:rPr>
          <w:rFonts w:ascii="Times New Roman" w:hAnsi="Times New Roman"/>
          <w:color w:val="231F20"/>
        </w:rPr>
        <w:t xml:space="preserve"> </w:t>
      </w:r>
      <w:r>
        <w:rPr>
          <w:color w:val="231F20"/>
        </w:rPr>
        <w:t>Державна архітектурно-будівельна інспекція України;</w:t>
      </w:r>
    </w:p>
    <w:p w14:paraId="4D61C600"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Державна екологічна інспекція України;</w:t>
      </w:r>
    </w:p>
    <w:p w14:paraId="3AF5C3B8"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Державна інспекція ядерного регулювання Украї</w:t>
      </w:r>
      <w:r>
        <w:rPr>
          <w:color w:val="231F20"/>
        </w:rPr>
        <w:t>ни;</w:t>
      </w:r>
    </w:p>
    <w:p w14:paraId="01623BE5"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Державна інспекція енергетичного нагляду України.</w:t>
      </w:r>
    </w:p>
    <w:p w14:paraId="30A06FB2" w14:textId="77777777" w:rsidR="00DE575E" w:rsidRDefault="002E7560">
      <w:pPr>
        <w:pStyle w:val="BodyText"/>
        <w:spacing w:before="12" w:line="252" w:lineRule="auto"/>
        <w:ind w:left="250" w:right="411" w:firstLine="283"/>
        <w:jc w:val="both"/>
      </w:pPr>
      <w:r>
        <w:rPr>
          <w:b/>
          <w:i/>
          <w:color w:val="231F20"/>
        </w:rPr>
        <w:t xml:space="preserve">Ключовими цілями інспекційних процедур </w:t>
      </w:r>
      <w:r>
        <w:rPr>
          <w:color w:val="231F20"/>
        </w:rPr>
        <w:t xml:space="preserve">є: запобігання вчиненню правопорушень з боку </w:t>
      </w:r>
      <w:r>
        <w:rPr>
          <w:color w:val="231F20"/>
          <w:spacing w:val="-4"/>
        </w:rPr>
        <w:t xml:space="preserve">об’єкта </w:t>
      </w:r>
      <w:r>
        <w:rPr>
          <w:color w:val="231F20"/>
        </w:rPr>
        <w:t>перевірки; належне реагу- вання на звернення фізичних та юридичних осіб з приводу ймовір- них порушень чинн</w:t>
      </w:r>
      <w:r>
        <w:rPr>
          <w:color w:val="231F20"/>
        </w:rPr>
        <w:t xml:space="preserve">ого законодавства в діяльності </w:t>
      </w:r>
      <w:r>
        <w:rPr>
          <w:color w:val="231F20"/>
          <w:spacing w:val="-4"/>
        </w:rPr>
        <w:t xml:space="preserve">об’єкта </w:t>
      </w:r>
      <w:r>
        <w:rPr>
          <w:color w:val="231F20"/>
        </w:rPr>
        <w:t xml:space="preserve">пере- вірки;  самостійне  виявлення  порушень   чинного   законодавства в діяльності </w:t>
      </w:r>
      <w:r>
        <w:rPr>
          <w:color w:val="231F20"/>
          <w:spacing w:val="-4"/>
        </w:rPr>
        <w:t xml:space="preserve">об’єкта </w:t>
      </w:r>
      <w:r>
        <w:rPr>
          <w:color w:val="231F20"/>
        </w:rPr>
        <w:t>перевірки.</w:t>
      </w:r>
    </w:p>
    <w:p w14:paraId="15E9DFA7" w14:textId="77777777" w:rsidR="00DE575E" w:rsidRDefault="002E7560">
      <w:pPr>
        <w:pStyle w:val="BodyText"/>
        <w:spacing w:before="3" w:line="252" w:lineRule="auto"/>
        <w:ind w:left="250" w:right="411" w:firstLine="283"/>
        <w:jc w:val="both"/>
      </w:pPr>
      <w:r>
        <w:rPr>
          <w:b/>
          <w:i/>
          <w:color w:val="231F20"/>
        </w:rPr>
        <w:t>Ознаками</w:t>
      </w:r>
      <w:r>
        <w:rPr>
          <w:b/>
          <w:i/>
          <w:color w:val="231F20"/>
          <w:spacing w:val="-10"/>
        </w:rPr>
        <w:t xml:space="preserve"> </w:t>
      </w:r>
      <w:r>
        <w:rPr>
          <w:b/>
          <w:i/>
          <w:color w:val="231F20"/>
        </w:rPr>
        <w:t>інспекційних</w:t>
      </w:r>
      <w:r>
        <w:rPr>
          <w:b/>
          <w:i/>
          <w:color w:val="231F20"/>
          <w:spacing w:val="-10"/>
        </w:rPr>
        <w:t xml:space="preserve"> </w:t>
      </w:r>
      <w:r>
        <w:rPr>
          <w:b/>
          <w:i/>
          <w:color w:val="231F20"/>
        </w:rPr>
        <w:t>процедур</w:t>
      </w:r>
      <w:r>
        <w:rPr>
          <w:b/>
          <w:i/>
          <w:color w:val="231F20"/>
          <w:spacing w:val="-10"/>
        </w:rPr>
        <w:t xml:space="preserve"> </w:t>
      </w:r>
      <w:r>
        <w:rPr>
          <w:b/>
          <w:i/>
          <w:color w:val="231F20"/>
        </w:rPr>
        <w:t>є</w:t>
      </w:r>
      <w:r>
        <w:rPr>
          <w:b/>
          <w:i/>
          <w:color w:val="231F20"/>
          <w:spacing w:val="-8"/>
        </w:rPr>
        <w:t xml:space="preserve"> </w:t>
      </w:r>
      <w:r>
        <w:rPr>
          <w:b/>
          <w:i/>
          <w:color w:val="231F20"/>
        </w:rPr>
        <w:t>такі</w:t>
      </w:r>
      <w:r>
        <w:rPr>
          <w:color w:val="231F20"/>
        </w:rPr>
        <w:t>:</w:t>
      </w:r>
      <w:r>
        <w:rPr>
          <w:color w:val="231F20"/>
          <w:spacing w:val="-10"/>
        </w:rPr>
        <w:t xml:space="preserve"> </w:t>
      </w:r>
      <w:r>
        <w:rPr>
          <w:color w:val="231F20"/>
        </w:rPr>
        <w:t>послідовні</w:t>
      </w:r>
      <w:r>
        <w:rPr>
          <w:color w:val="231F20"/>
          <w:spacing w:val="-10"/>
        </w:rPr>
        <w:t xml:space="preserve"> </w:t>
      </w:r>
      <w:r>
        <w:rPr>
          <w:color w:val="231F20"/>
        </w:rPr>
        <w:t>дії</w:t>
      </w:r>
      <w:r>
        <w:rPr>
          <w:color w:val="231F20"/>
          <w:spacing w:val="-10"/>
        </w:rPr>
        <w:t xml:space="preserve"> </w:t>
      </w:r>
      <w:r>
        <w:rPr>
          <w:color w:val="231F20"/>
          <w:spacing w:val="-3"/>
        </w:rPr>
        <w:t xml:space="preserve">суб’єктів </w:t>
      </w:r>
      <w:r>
        <w:rPr>
          <w:color w:val="231F20"/>
        </w:rPr>
        <w:t>публічного</w:t>
      </w:r>
      <w:r>
        <w:rPr>
          <w:color w:val="231F20"/>
          <w:spacing w:val="-9"/>
        </w:rPr>
        <w:t xml:space="preserve"> </w:t>
      </w:r>
      <w:r>
        <w:rPr>
          <w:color w:val="231F20"/>
        </w:rPr>
        <w:t>адміністрування;</w:t>
      </w:r>
      <w:r>
        <w:rPr>
          <w:color w:val="231F20"/>
          <w:spacing w:val="-9"/>
        </w:rPr>
        <w:t xml:space="preserve"> </w:t>
      </w:r>
      <w:r>
        <w:rPr>
          <w:color w:val="231F20"/>
        </w:rPr>
        <w:t>ініціюються</w:t>
      </w:r>
      <w:r>
        <w:rPr>
          <w:color w:val="231F20"/>
          <w:spacing w:val="-9"/>
        </w:rPr>
        <w:t xml:space="preserve"> </w:t>
      </w:r>
      <w:r>
        <w:rPr>
          <w:color w:val="231F20"/>
        </w:rPr>
        <w:t>самими</w:t>
      </w:r>
      <w:r>
        <w:rPr>
          <w:color w:val="231F20"/>
          <w:spacing w:val="-9"/>
        </w:rPr>
        <w:t xml:space="preserve"> </w:t>
      </w:r>
      <w:r>
        <w:rPr>
          <w:color w:val="231F20"/>
          <w:spacing w:val="-3"/>
        </w:rPr>
        <w:t>суб’єктами</w:t>
      </w:r>
      <w:r>
        <w:rPr>
          <w:color w:val="231F20"/>
          <w:spacing w:val="-9"/>
        </w:rPr>
        <w:t xml:space="preserve"> </w:t>
      </w:r>
      <w:r>
        <w:rPr>
          <w:color w:val="231F20"/>
        </w:rPr>
        <w:t>публіч- ного адміністрування чи є реакцією на звернення фізичних або юридичних осіб; передусім реалізуються за допомогою перевірок, обстежень, ревізій; можуть реалізовуватись у плановому чи поза- плановому порядку; наявна можливість втручатись в</w:t>
      </w:r>
      <w:r>
        <w:rPr>
          <w:color w:val="231F20"/>
        </w:rPr>
        <w:t xml:space="preserve"> оперативно- господарську діяльність </w:t>
      </w:r>
      <w:r>
        <w:rPr>
          <w:color w:val="231F20"/>
          <w:spacing w:val="-4"/>
        </w:rPr>
        <w:t xml:space="preserve">об’єкта </w:t>
      </w:r>
      <w:r>
        <w:rPr>
          <w:color w:val="231F20"/>
        </w:rPr>
        <w:t>перевірки.</w:t>
      </w:r>
    </w:p>
    <w:p w14:paraId="4835BC6F" w14:textId="77777777" w:rsidR="00DE575E" w:rsidRDefault="00DE575E">
      <w:pPr>
        <w:pStyle w:val="BodyText"/>
        <w:spacing w:before="4"/>
        <w:rPr>
          <w:sz w:val="22"/>
        </w:rPr>
      </w:pPr>
    </w:p>
    <w:p w14:paraId="508AB757" w14:textId="77777777" w:rsidR="00DE575E" w:rsidRDefault="002E7560">
      <w:pPr>
        <w:pStyle w:val="Heading5"/>
        <w:numPr>
          <w:ilvl w:val="2"/>
          <w:numId w:val="149"/>
        </w:numPr>
        <w:tabs>
          <w:tab w:val="left" w:pos="1099"/>
        </w:tabs>
        <w:ind w:left="1098"/>
        <w:jc w:val="left"/>
      </w:pPr>
      <w:r>
        <w:rPr>
          <w:color w:val="231F20"/>
        </w:rPr>
        <w:t>Процедури</w:t>
      </w:r>
      <w:r>
        <w:rPr>
          <w:color w:val="231F20"/>
          <w:spacing w:val="-2"/>
        </w:rPr>
        <w:t xml:space="preserve"> </w:t>
      </w:r>
      <w:r>
        <w:rPr>
          <w:color w:val="231F20"/>
        </w:rPr>
        <w:t>притягнення</w:t>
      </w:r>
    </w:p>
    <w:p w14:paraId="74A871FF" w14:textId="77777777" w:rsidR="00DE575E" w:rsidRDefault="002E7560">
      <w:pPr>
        <w:spacing w:before="12"/>
        <w:ind w:left="533"/>
        <w:rPr>
          <w:b/>
          <w:sz w:val="21"/>
        </w:rPr>
      </w:pPr>
      <w:r>
        <w:rPr>
          <w:b/>
          <w:color w:val="231F20"/>
          <w:sz w:val="21"/>
        </w:rPr>
        <w:t>до адміністративної відповідальності</w:t>
      </w:r>
    </w:p>
    <w:p w14:paraId="7D2A4B54" w14:textId="77777777" w:rsidR="00DE575E" w:rsidRDefault="00DE575E">
      <w:pPr>
        <w:pStyle w:val="BodyText"/>
        <w:spacing w:before="2"/>
        <w:rPr>
          <w:b/>
          <w:sz w:val="23"/>
        </w:rPr>
      </w:pPr>
    </w:p>
    <w:p w14:paraId="5A98D3EB" w14:textId="77777777" w:rsidR="00DE575E" w:rsidRDefault="002E7560">
      <w:pPr>
        <w:pStyle w:val="BodyText"/>
        <w:spacing w:line="252" w:lineRule="auto"/>
        <w:ind w:left="250" w:right="410" w:firstLine="283"/>
        <w:jc w:val="both"/>
      </w:pPr>
      <w:r>
        <w:rPr>
          <w:color w:val="231F20"/>
        </w:rPr>
        <w:t xml:space="preserve">КУпАП передбачає, що </w:t>
      </w:r>
      <w:r>
        <w:rPr>
          <w:b/>
          <w:i/>
          <w:color w:val="231F20"/>
        </w:rPr>
        <w:t xml:space="preserve">адміністративним правопорушенням (проступком) </w:t>
      </w:r>
      <w:r>
        <w:rPr>
          <w:color w:val="231F20"/>
        </w:rPr>
        <w:t>визнається протиправна, винна (умисна або необе- 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 дальність. Виход</w:t>
      </w:r>
      <w:r>
        <w:rPr>
          <w:color w:val="231F20"/>
        </w:rPr>
        <w:t>ячи з цього, доцільно орієнтуватись на процедуру притягнення особи до адміністративної відповідальності.</w:t>
      </w:r>
    </w:p>
    <w:p w14:paraId="3406C8B2" w14:textId="77777777" w:rsidR="00DE575E" w:rsidRDefault="002E7560">
      <w:pPr>
        <w:pStyle w:val="BodyText"/>
        <w:spacing w:before="3" w:line="252" w:lineRule="auto"/>
        <w:ind w:left="250" w:right="410" w:firstLine="283"/>
        <w:jc w:val="both"/>
      </w:pPr>
      <w:r>
        <w:rPr>
          <w:color w:val="231F20"/>
        </w:rPr>
        <w:t xml:space="preserve">У тих випадках, коли йдеться про неефективність заходів адмі- ністративного попередження, заходів адміністративного припи- нення щодо поведінки певної </w:t>
      </w:r>
      <w:r>
        <w:rPr>
          <w:color w:val="231F20"/>
        </w:rPr>
        <w:t>особи, що призводить до порушення чинних правил і норм, на перший план виходить адміністративна</w:t>
      </w:r>
    </w:p>
    <w:p w14:paraId="034E24D7" w14:textId="77777777" w:rsidR="00DE575E" w:rsidRDefault="00DE575E">
      <w:pPr>
        <w:pStyle w:val="BodyText"/>
        <w:spacing w:before="9"/>
        <w:rPr>
          <w:sz w:val="12"/>
        </w:rPr>
      </w:pPr>
    </w:p>
    <w:p w14:paraId="67E80D37" w14:textId="77777777" w:rsidR="00DE575E" w:rsidRDefault="002E7560">
      <w:pPr>
        <w:spacing w:before="91"/>
        <w:ind w:right="411"/>
        <w:jc w:val="right"/>
        <w:rPr>
          <w:rFonts w:ascii="Times New Roman"/>
          <w:sz w:val="20"/>
        </w:rPr>
      </w:pPr>
      <w:r>
        <w:rPr>
          <w:rFonts w:ascii="Times New Roman"/>
          <w:color w:val="231F20"/>
          <w:w w:val="90"/>
          <w:sz w:val="20"/>
        </w:rPr>
        <w:t>297</w:t>
      </w:r>
    </w:p>
    <w:p w14:paraId="4C4FF14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1E798F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CE41EB7" w14:textId="7D47355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7C20207" wp14:editId="6CB52B33">
                <wp:extent cx="4140200" cy="6350"/>
                <wp:effectExtent l="0" t="0" r="12700" b="6350"/>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63" name="Line 66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9A9286" id="Group_x0020_66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P9A54fQIAAJgFAAAOAAAA&#10;AAAAAAAAAAAAACwCAABkcnMvZTJvRG9jLnhtbFBLAQItABQABgAIAAAAIQBMp7CQ2QAAAAMBAAAP&#10;AAAAAAAAAAAAAAAAANUEAABkcnMvZG93bnJldi54bWxQSwUGAAAAAAQABADzAAAA2wUAAAAA&#10;">
                <v:line id="Line_x0020_66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P/x8YAAADcAAAADwAAAGRycy9kb3ducmV2LnhtbESP0WrCQBRE3wX/YbmCL1I3bSBIdJUi&#10;CKUP2pp+wDV7TUJ378bsamK/vlso+DjMzBlmtRmsETfqfONYwfM8AUFcOt1wpeCr2D0tQPiArNE4&#10;JgV38rBZj0crzLXr+ZNux1CJCGGfo4I6hDaX0pc1WfRz1xJH7+w6iyHKrpK6wz7CrZEvSZJJiw3H&#10;hRpb2tZUfh+vVkFxmQXzcXg3fXE4pfJ02ac/171S08nwugQRaAiP8H/7TSvIshT+zsQj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j/8fGAAAA3AAAAA8AAAAAAAAA&#10;AAAAAAAAoQIAAGRycy9kb3ducmV2LnhtbFBLBQYAAAAABAAEAPkAAACUAwAAAAA=&#10;" strokecolor="#231f20" strokeweight=".5pt"/>
                <w10:anchorlock/>
              </v:group>
            </w:pict>
          </mc:Fallback>
        </mc:AlternateContent>
      </w:r>
    </w:p>
    <w:p w14:paraId="767B03EE" w14:textId="77777777" w:rsidR="00DE575E" w:rsidRDefault="00DE575E">
      <w:pPr>
        <w:pStyle w:val="BodyText"/>
        <w:spacing w:before="7"/>
        <w:rPr>
          <w:rFonts w:ascii="AdonisC"/>
          <w:i/>
          <w:sz w:val="11"/>
        </w:rPr>
      </w:pPr>
    </w:p>
    <w:p w14:paraId="6852BD2A" w14:textId="77777777" w:rsidR="00DE575E" w:rsidRDefault="002E7560">
      <w:pPr>
        <w:pStyle w:val="BodyText"/>
        <w:spacing w:before="101" w:line="252" w:lineRule="auto"/>
        <w:ind w:left="533" w:right="128"/>
        <w:jc w:val="both"/>
      </w:pPr>
      <w:r>
        <w:rPr>
          <w:color w:val="231F20"/>
        </w:rPr>
        <w:t>відповідальність.</w:t>
      </w:r>
      <w:r>
        <w:rPr>
          <w:color w:val="231F20"/>
          <w:spacing w:val="-14"/>
        </w:rPr>
        <w:t xml:space="preserve"> </w:t>
      </w:r>
      <w:r>
        <w:rPr>
          <w:color w:val="231F20"/>
        </w:rPr>
        <w:t>Її</w:t>
      </w:r>
      <w:r>
        <w:rPr>
          <w:color w:val="231F20"/>
          <w:spacing w:val="-15"/>
        </w:rPr>
        <w:t xml:space="preserve"> </w:t>
      </w:r>
      <w:r>
        <w:rPr>
          <w:color w:val="231F20"/>
        </w:rPr>
        <w:t>доречно</w:t>
      </w:r>
      <w:r>
        <w:rPr>
          <w:color w:val="231F20"/>
          <w:spacing w:val="-15"/>
        </w:rPr>
        <w:t xml:space="preserve"> </w:t>
      </w:r>
      <w:r>
        <w:rPr>
          <w:color w:val="231F20"/>
        </w:rPr>
        <w:t>сприймати</w:t>
      </w:r>
      <w:r>
        <w:rPr>
          <w:color w:val="231F20"/>
          <w:spacing w:val="-14"/>
        </w:rPr>
        <w:t xml:space="preserve"> </w:t>
      </w:r>
      <w:r>
        <w:rPr>
          <w:color w:val="231F20"/>
        </w:rPr>
        <w:t>як</w:t>
      </w:r>
      <w:r>
        <w:rPr>
          <w:color w:val="231F20"/>
          <w:spacing w:val="-14"/>
        </w:rPr>
        <w:t xml:space="preserve"> </w:t>
      </w:r>
      <w:r>
        <w:rPr>
          <w:color w:val="231F20"/>
        </w:rPr>
        <w:t>намагання</w:t>
      </w:r>
      <w:r>
        <w:rPr>
          <w:color w:val="231F20"/>
          <w:spacing w:val="-15"/>
        </w:rPr>
        <w:t xml:space="preserve"> </w:t>
      </w:r>
      <w:r>
        <w:rPr>
          <w:color w:val="231F20"/>
        </w:rPr>
        <w:t>з</w:t>
      </w:r>
      <w:r>
        <w:rPr>
          <w:color w:val="231F20"/>
          <w:spacing w:val="-15"/>
        </w:rPr>
        <w:t xml:space="preserve"> </w:t>
      </w:r>
      <w:r>
        <w:rPr>
          <w:color w:val="231F20"/>
        </w:rPr>
        <w:t>боку</w:t>
      </w:r>
      <w:r>
        <w:rPr>
          <w:color w:val="231F20"/>
          <w:spacing w:val="-15"/>
        </w:rPr>
        <w:t xml:space="preserve"> </w:t>
      </w:r>
      <w:r>
        <w:rPr>
          <w:color w:val="231F20"/>
        </w:rPr>
        <w:t>держави вплинути на ситуацію, за якої певна фізична або юридична особа порушує встановлені державою норми адміністративного</w:t>
      </w:r>
      <w:r>
        <w:rPr>
          <w:color w:val="231F20"/>
          <w:spacing w:val="-14"/>
        </w:rPr>
        <w:t xml:space="preserve"> </w:t>
      </w:r>
      <w:r>
        <w:rPr>
          <w:color w:val="231F20"/>
        </w:rPr>
        <w:t>права.</w:t>
      </w:r>
    </w:p>
    <w:p w14:paraId="492FF044" w14:textId="77777777" w:rsidR="00DE575E" w:rsidRDefault="002E7560">
      <w:pPr>
        <w:pStyle w:val="BodyText"/>
        <w:spacing w:before="1" w:line="252" w:lineRule="auto"/>
        <w:ind w:left="533" w:right="127" w:firstLine="283"/>
        <w:jc w:val="both"/>
      </w:pPr>
      <w:r>
        <w:rPr>
          <w:i/>
          <w:color w:val="231F20"/>
        </w:rPr>
        <w:t xml:space="preserve">Метою такого впливу </w:t>
      </w:r>
      <w:r>
        <w:rPr>
          <w:color w:val="231F20"/>
        </w:rPr>
        <w:t>є вихован</w:t>
      </w:r>
      <w:r>
        <w:rPr>
          <w:color w:val="231F20"/>
        </w:rPr>
        <w:t>ня особи, яка вчинила право- порушення, а також запобігання вчиненню нових правопорушень як самим правопорушником, так й іншими особами. Для реалізації такого впливу держава легітимно застосовує апарат примусу, вико- ристовує певні матеріальні ресурси, заг</w:t>
      </w:r>
      <w:r>
        <w:rPr>
          <w:color w:val="231F20"/>
        </w:rPr>
        <w:t>алом реалізує норми права, що регламентують процедури притягнення винної особи до адмі- ністративної відповідальності.</w:t>
      </w:r>
    </w:p>
    <w:p w14:paraId="4F212BC8" w14:textId="77777777" w:rsidR="00DE575E" w:rsidRDefault="002E7560">
      <w:pPr>
        <w:pStyle w:val="BodyText"/>
        <w:spacing w:before="4" w:line="252" w:lineRule="auto"/>
        <w:ind w:left="533" w:right="127" w:firstLine="283"/>
        <w:jc w:val="both"/>
      </w:pPr>
      <w:r>
        <w:rPr>
          <w:i/>
          <w:color w:val="231F20"/>
        </w:rPr>
        <w:t xml:space="preserve">Адміністративна відповідальність є одним із варіантів юридич- ної відповідальності взагалі. </w:t>
      </w:r>
      <w:r>
        <w:rPr>
          <w:color w:val="231F20"/>
        </w:rPr>
        <w:t>Слід відзначити, що в суспільному житті зазна</w:t>
      </w:r>
      <w:r>
        <w:rPr>
          <w:color w:val="231F20"/>
        </w:rPr>
        <w:t>чений вид відповідальності є найбільш часто вжива- ним. У відсотковому вимірі, порівняно з кримінальною та цивільно- правовою     відповідальністю,     адміністративна     застосовується в державі найчастіше. Щороку в державі фіксується декілька міль- йоні</w:t>
      </w:r>
      <w:r>
        <w:rPr>
          <w:color w:val="231F20"/>
        </w:rPr>
        <w:t>в випадків притягнення до адміністративної відповідальності. Це пов’язано як із широтою регулювального спектру норм адмініст- ративного</w:t>
      </w:r>
      <w:r>
        <w:rPr>
          <w:color w:val="231F20"/>
          <w:spacing w:val="-13"/>
        </w:rPr>
        <w:t xml:space="preserve"> </w:t>
      </w:r>
      <w:r>
        <w:rPr>
          <w:color w:val="231F20"/>
        </w:rPr>
        <w:t>права,</w:t>
      </w:r>
      <w:r>
        <w:rPr>
          <w:color w:val="231F20"/>
          <w:spacing w:val="-13"/>
        </w:rPr>
        <w:t xml:space="preserve"> </w:t>
      </w:r>
      <w:r>
        <w:rPr>
          <w:color w:val="231F20"/>
        </w:rPr>
        <w:t>так</w:t>
      </w:r>
      <w:r>
        <w:rPr>
          <w:color w:val="231F20"/>
          <w:spacing w:val="-13"/>
        </w:rPr>
        <w:t xml:space="preserve"> </w:t>
      </w:r>
      <w:r>
        <w:rPr>
          <w:color w:val="231F20"/>
        </w:rPr>
        <w:t>і</w:t>
      </w:r>
      <w:r>
        <w:rPr>
          <w:color w:val="231F20"/>
          <w:spacing w:val="-12"/>
        </w:rPr>
        <w:t xml:space="preserve"> </w:t>
      </w:r>
      <w:r>
        <w:rPr>
          <w:color w:val="231F20"/>
        </w:rPr>
        <w:t>з</w:t>
      </w:r>
      <w:r>
        <w:rPr>
          <w:color w:val="231F20"/>
          <w:spacing w:val="-13"/>
        </w:rPr>
        <w:t xml:space="preserve"> </w:t>
      </w:r>
      <w:r>
        <w:rPr>
          <w:color w:val="231F20"/>
        </w:rPr>
        <w:t>відносною</w:t>
      </w:r>
      <w:r>
        <w:rPr>
          <w:color w:val="231F20"/>
          <w:spacing w:val="-13"/>
        </w:rPr>
        <w:t xml:space="preserve"> </w:t>
      </w:r>
      <w:r>
        <w:rPr>
          <w:color w:val="231F20"/>
        </w:rPr>
        <w:t>простотою</w:t>
      </w:r>
      <w:r>
        <w:rPr>
          <w:color w:val="231F20"/>
          <w:spacing w:val="-13"/>
        </w:rPr>
        <w:t xml:space="preserve"> </w:t>
      </w:r>
      <w:r>
        <w:rPr>
          <w:color w:val="231F20"/>
        </w:rPr>
        <w:t>притягнення</w:t>
      </w:r>
      <w:r>
        <w:rPr>
          <w:color w:val="231F20"/>
          <w:spacing w:val="-13"/>
        </w:rPr>
        <w:t xml:space="preserve"> </w:t>
      </w:r>
      <w:r>
        <w:rPr>
          <w:color w:val="231F20"/>
        </w:rPr>
        <w:t>до</w:t>
      </w:r>
      <w:r>
        <w:rPr>
          <w:color w:val="231F20"/>
          <w:spacing w:val="-13"/>
        </w:rPr>
        <w:t xml:space="preserve"> </w:t>
      </w:r>
      <w:r>
        <w:rPr>
          <w:color w:val="231F20"/>
        </w:rPr>
        <w:t>відпо- відальності та накладення адміністративних</w:t>
      </w:r>
      <w:r>
        <w:rPr>
          <w:color w:val="231F20"/>
          <w:spacing w:val="-7"/>
        </w:rPr>
        <w:t xml:space="preserve"> </w:t>
      </w:r>
      <w:r>
        <w:rPr>
          <w:color w:val="231F20"/>
        </w:rPr>
        <w:t>стягнень.</w:t>
      </w:r>
    </w:p>
    <w:p w14:paraId="469971A5" w14:textId="77777777" w:rsidR="00DE575E" w:rsidRDefault="002E7560">
      <w:pPr>
        <w:pStyle w:val="Heading5"/>
        <w:spacing w:before="5" w:line="252" w:lineRule="auto"/>
        <w:ind w:right="124" w:firstLine="283"/>
        <w:jc w:val="both"/>
      </w:pPr>
      <w:r>
        <w:rPr>
          <w:color w:val="231F20"/>
        </w:rPr>
        <w:t>Отже, процедури притягнення до адміністративної відпо- відальності – це встановлений чинним законодавством поря- док втручальної діяльності суб’єктів публічного адміністру- вання, що полягає в точному неухильному дотриманні порядку розгляду справ щодо прит</w:t>
      </w:r>
      <w:r>
        <w:rPr>
          <w:color w:val="231F20"/>
        </w:rPr>
        <w:t>ягнення до відповідальності осіб, які вчинили адміністративні правопорушення.</w:t>
      </w:r>
    </w:p>
    <w:p w14:paraId="07A9A68E" w14:textId="77777777" w:rsidR="00DE575E" w:rsidRDefault="00DE575E">
      <w:pPr>
        <w:pStyle w:val="BodyText"/>
        <w:rPr>
          <w:b/>
          <w:sz w:val="24"/>
        </w:rPr>
      </w:pPr>
    </w:p>
    <w:p w14:paraId="12674060" w14:textId="77777777" w:rsidR="00DE575E" w:rsidRDefault="00DE575E">
      <w:pPr>
        <w:pStyle w:val="BodyText"/>
        <w:spacing w:before="6"/>
        <w:rPr>
          <w:b/>
          <w:sz w:val="19"/>
        </w:rPr>
      </w:pPr>
    </w:p>
    <w:p w14:paraId="1E1D4B7D" w14:textId="77777777" w:rsidR="00DE575E" w:rsidRDefault="002E7560">
      <w:pPr>
        <w:ind w:left="1481"/>
        <w:rPr>
          <w:b/>
        </w:rPr>
      </w:pPr>
      <w:r>
        <w:rPr>
          <w:b/>
          <w:color w:val="231F20"/>
        </w:rPr>
        <w:t>8.3. Принципи адміністративної процедури</w:t>
      </w:r>
    </w:p>
    <w:p w14:paraId="64E5BF1E" w14:textId="77777777" w:rsidR="00DE575E" w:rsidRDefault="00DE575E">
      <w:pPr>
        <w:pStyle w:val="BodyText"/>
        <w:rPr>
          <w:b/>
          <w:sz w:val="26"/>
        </w:rPr>
      </w:pPr>
    </w:p>
    <w:p w14:paraId="5CE1D164" w14:textId="77777777" w:rsidR="00DE575E" w:rsidRDefault="002E7560">
      <w:pPr>
        <w:pStyle w:val="ListParagraph"/>
        <w:numPr>
          <w:ilvl w:val="2"/>
          <w:numId w:val="148"/>
        </w:numPr>
        <w:tabs>
          <w:tab w:val="left" w:pos="1383"/>
        </w:tabs>
        <w:spacing w:before="223" w:line="252" w:lineRule="auto"/>
        <w:ind w:right="827" w:firstLine="0"/>
        <w:rPr>
          <w:b/>
          <w:sz w:val="21"/>
        </w:rPr>
      </w:pPr>
      <w:r>
        <w:rPr>
          <w:b/>
          <w:color w:val="231F20"/>
          <w:sz w:val="21"/>
        </w:rPr>
        <w:t>Система принципів адміністративної процедури. Загальні принципи адміністративної</w:t>
      </w:r>
      <w:r>
        <w:rPr>
          <w:b/>
          <w:color w:val="231F20"/>
          <w:spacing w:val="-10"/>
          <w:sz w:val="21"/>
        </w:rPr>
        <w:t xml:space="preserve"> </w:t>
      </w:r>
      <w:r>
        <w:rPr>
          <w:b/>
          <w:color w:val="231F20"/>
          <w:sz w:val="21"/>
        </w:rPr>
        <w:t>процедури</w:t>
      </w:r>
    </w:p>
    <w:p w14:paraId="5E2ACDF5" w14:textId="77777777" w:rsidR="00DE575E" w:rsidRDefault="00DE575E">
      <w:pPr>
        <w:pStyle w:val="BodyText"/>
        <w:spacing w:before="1"/>
        <w:rPr>
          <w:b/>
          <w:sz w:val="22"/>
        </w:rPr>
      </w:pPr>
    </w:p>
    <w:p w14:paraId="2B2C07AC" w14:textId="77777777" w:rsidR="00DE575E" w:rsidRDefault="002E7560">
      <w:pPr>
        <w:pStyle w:val="BodyText"/>
        <w:spacing w:line="252" w:lineRule="auto"/>
        <w:ind w:left="533" w:right="127" w:firstLine="283"/>
        <w:jc w:val="both"/>
      </w:pPr>
      <w:r>
        <w:rPr>
          <w:color w:val="231F20"/>
        </w:rPr>
        <w:t>У межах вивчення адміністративних процедур важливого значення набувають питання щодо їх принципів. Термін «</w:t>
      </w:r>
      <w:r>
        <w:rPr>
          <w:i/>
          <w:color w:val="231F20"/>
        </w:rPr>
        <w:t>принцип</w:t>
      </w:r>
      <w:r>
        <w:rPr>
          <w:color w:val="231F20"/>
        </w:rPr>
        <w:t>» походить від лат. principium – «основа, начало». Під принципами адміністративних процедур слід розуміти ключові базові ідеї, які лежать в ос</w:t>
      </w:r>
      <w:r>
        <w:rPr>
          <w:color w:val="231F20"/>
        </w:rPr>
        <w:t>нові здійснення процедурної діяльності, характеризу-</w:t>
      </w:r>
    </w:p>
    <w:p w14:paraId="532F18E4" w14:textId="77777777" w:rsidR="00DE575E" w:rsidRDefault="00DE575E">
      <w:pPr>
        <w:pStyle w:val="BodyText"/>
        <w:spacing w:before="9"/>
        <w:rPr>
          <w:sz w:val="12"/>
        </w:rPr>
      </w:pPr>
    </w:p>
    <w:p w14:paraId="50DAC0A3" w14:textId="77777777" w:rsidR="00DE575E" w:rsidRDefault="002E7560">
      <w:pPr>
        <w:spacing w:before="92"/>
        <w:ind w:left="533"/>
        <w:rPr>
          <w:rFonts w:ascii="Times New Roman"/>
          <w:sz w:val="20"/>
        </w:rPr>
      </w:pPr>
      <w:r>
        <w:rPr>
          <w:rFonts w:ascii="Times New Roman"/>
          <w:color w:val="231F20"/>
          <w:sz w:val="20"/>
        </w:rPr>
        <w:t>298</w:t>
      </w:r>
    </w:p>
    <w:p w14:paraId="731D16F0" w14:textId="77777777" w:rsidR="00DE575E" w:rsidRDefault="00DE575E">
      <w:pPr>
        <w:rPr>
          <w:rFonts w:ascii="Times New Roman"/>
          <w:sz w:val="20"/>
        </w:rPr>
        <w:sectPr w:rsidR="00DE575E">
          <w:pgSz w:w="8510" w:h="12760"/>
          <w:pgMar w:top="660" w:right="720" w:bottom="280" w:left="600" w:header="720" w:footer="720" w:gutter="0"/>
          <w:cols w:space="720"/>
        </w:sectPr>
      </w:pPr>
    </w:p>
    <w:p w14:paraId="3E05DA57"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01961DD7" w14:textId="634E7A1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17E113D" wp14:editId="4B61001F">
                <wp:extent cx="4140200" cy="6350"/>
                <wp:effectExtent l="0" t="0" r="12700" b="6350"/>
                <wp:docPr id="66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61" name="Line 66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FE863A" id="Group_x0020_65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Wwf9Pn4CAACYBQAADgAA&#10;AAAAAAAAAAAAAAAsAgAAZHJzL2Uyb0RvYy54bWxQSwECLQAUAAYACAAAACEATKewkNkAAAADAQAA&#10;DwAAAAAAAAAAAAAAAADWBAAAZHJzL2Rvd25yZXYueG1sUEsFBgAAAAAEAAQA8wAAANwFAAAAAA==&#10;">
                <v:line id="Line_x0020_66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3EK8YAAADcAAAADwAAAGRycy9kb3ducmV2LnhtbESP3WrCQBSE7wXfYTmF3kjdWCFI6ipF&#10;EKQX/sUHOGZPk9DdszG7mrRP3xUEL4eZ+YaZL3trxI1aXztWMBknIIgLp2suFZzy9dsMhA/IGo1j&#10;UvBLHpaL4WCOmXYdH+h2DKWIEPYZKqhCaDIpfVGRRT92DXH0vl1rMUTZllK32EW4NfI9SVJpsea4&#10;UGFDq4qKn+PVKsgvo2D2uy/T5bvzVJ4v2+nfdavU60v/+QEiUB+e4Ud7oxWk6QTuZ+IRkI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9xCvGAAAA3AAAAA8AAAAAAAAA&#10;AAAAAAAAoQIAAGRycy9kb3ducmV2LnhtbFBLBQYAAAAABAAEAPkAAACUAwAAAAA=&#10;" strokecolor="#231f20" strokeweight=".5pt"/>
                <w10:anchorlock/>
              </v:group>
            </w:pict>
          </mc:Fallback>
        </mc:AlternateContent>
      </w:r>
    </w:p>
    <w:p w14:paraId="77037999" w14:textId="77777777" w:rsidR="00DE575E" w:rsidRDefault="00DE575E">
      <w:pPr>
        <w:pStyle w:val="BodyText"/>
        <w:spacing w:before="7"/>
        <w:rPr>
          <w:rFonts w:ascii="AdonisC"/>
          <w:i/>
          <w:sz w:val="19"/>
        </w:rPr>
      </w:pPr>
    </w:p>
    <w:p w14:paraId="5B5CE123" w14:textId="77777777" w:rsidR="00DE575E" w:rsidRDefault="002E7560">
      <w:pPr>
        <w:pStyle w:val="BodyText"/>
        <w:spacing w:before="1" w:line="252" w:lineRule="auto"/>
        <w:ind w:left="250"/>
      </w:pPr>
      <w:r>
        <w:rPr>
          <w:color w:val="231F20"/>
        </w:rPr>
        <w:t>ються універсальністю та визначають спрямованість дій суб’єктів публічного адміністрування.</w:t>
      </w:r>
    </w:p>
    <w:p w14:paraId="1535D927" w14:textId="77777777" w:rsidR="00DE575E" w:rsidRDefault="002E7560">
      <w:pPr>
        <w:pStyle w:val="BodyText"/>
        <w:spacing w:before="1" w:line="252" w:lineRule="auto"/>
        <w:ind w:left="250" w:right="411" w:firstLine="283"/>
        <w:jc w:val="both"/>
      </w:pPr>
      <w:r>
        <w:rPr>
          <w:color w:val="231F20"/>
        </w:rPr>
        <w:t>Станом на сьогодні, коли наявною є нормативно-правова база здійснення адміністративних процедур, існують декілька проєктів комплексних законодавчих актів, присвячен</w:t>
      </w:r>
      <w:r>
        <w:rPr>
          <w:color w:val="231F20"/>
        </w:rPr>
        <w:t>их виключно унорму- ванню цих питань, є всі підстави говорити про можливість і доціль- ність</w:t>
      </w:r>
      <w:r>
        <w:rPr>
          <w:color w:val="231F20"/>
          <w:spacing w:val="-8"/>
        </w:rPr>
        <w:t xml:space="preserve"> </w:t>
      </w:r>
      <w:r>
        <w:rPr>
          <w:color w:val="231F20"/>
        </w:rPr>
        <w:t>формулювання</w:t>
      </w:r>
      <w:r>
        <w:rPr>
          <w:color w:val="231F20"/>
          <w:spacing w:val="-8"/>
        </w:rPr>
        <w:t xml:space="preserve"> </w:t>
      </w:r>
      <w:r>
        <w:rPr>
          <w:color w:val="231F20"/>
        </w:rPr>
        <w:t>системи</w:t>
      </w:r>
      <w:r>
        <w:rPr>
          <w:color w:val="231F20"/>
          <w:spacing w:val="-8"/>
        </w:rPr>
        <w:t xml:space="preserve"> </w:t>
      </w:r>
      <w:r>
        <w:rPr>
          <w:color w:val="231F20"/>
        </w:rPr>
        <w:t>принципів</w:t>
      </w:r>
      <w:r>
        <w:rPr>
          <w:color w:val="231F20"/>
          <w:spacing w:val="-8"/>
        </w:rPr>
        <w:t xml:space="preserve"> </w:t>
      </w:r>
      <w:r>
        <w:rPr>
          <w:color w:val="231F20"/>
        </w:rPr>
        <w:t>та</w:t>
      </w:r>
      <w:r>
        <w:rPr>
          <w:color w:val="231F20"/>
          <w:spacing w:val="-8"/>
        </w:rPr>
        <w:t xml:space="preserve"> </w:t>
      </w:r>
      <w:r>
        <w:rPr>
          <w:color w:val="231F20"/>
        </w:rPr>
        <w:t>класифікації</w:t>
      </w:r>
      <w:r>
        <w:rPr>
          <w:color w:val="231F20"/>
          <w:spacing w:val="-8"/>
        </w:rPr>
        <w:t xml:space="preserve"> </w:t>
      </w:r>
      <w:r>
        <w:rPr>
          <w:color w:val="231F20"/>
        </w:rPr>
        <w:t>адміністра- тивних</w:t>
      </w:r>
      <w:r>
        <w:rPr>
          <w:color w:val="231F20"/>
          <w:spacing w:val="-2"/>
        </w:rPr>
        <w:t xml:space="preserve"> </w:t>
      </w:r>
      <w:r>
        <w:rPr>
          <w:color w:val="231F20"/>
        </w:rPr>
        <w:t>процедур.</w:t>
      </w:r>
    </w:p>
    <w:p w14:paraId="4DD8740D" w14:textId="77777777" w:rsidR="00DE575E" w:rsidRDefault="002E7560">
      <w:pPr>
        <w:pStyle w:val="BodyText"/>
        <w:spacing w:before="3" w:line="252" w:lineRule="auto"/>
        <w:ind w:left="250" w:right="411" w:firstLine="283"/>
        <w:jc w:val="both"/>
      </w:pPr>
      <w:r>
        <w:rPr>
          <w:color w:val="231F20"/>
        </w:rPr>
        <w:t>Передусім зазначимо, що доцільно принципи адміністративних процедур</w:t>
      </w:r>
      <w:r>
        <w:rPr>
          <w:color w:val="231F20"/>
          <w:spacing w:val="-15"/>
        </w:rPr>
        <w:t xml:space="preserve"> </w:t>
      </w:r>
      <w:r>
        <w:rPr>
          <w:color w:val="231F20"/>
        </w:rPr>
        <w:t>поділяти</w:t>
      </w:r>
      <w:r>
        <w:rPr>
          <w:color w:val="231F20"/>
          <w:spacing w:val="-15"/>
        </w:rPr>
        <w:t xml:space="preserve"> </w:t>
      </w:r>
      <w:r>
        <w:rPr>
          <w:color w:val="231F20"/>
        </w:rPr>
        <w:t>на</w:t>
      </w:r>
      <w:r>
        <w:rPr>
          <w:color w:val="231F20"/>
          <w:spacing w:val="-14"/>
        </w:rPr>
        <w:t xml:space="preserve"> </w:t>
      </w:r>
      <w:r>
        <w:rPr>
          <w:color w:val="231F20"/>
        </w:rPr>
        <w:t>дві</w:t>
      </w:r>
      <w:r>
        <w:rPr>
          <w:color w:val="231F20"/>
          <w:spacing w:val="-15"/>
        </w:rPr>
        <w:t xml:space="preserve"> </w:t>
      </w:r>
      <w:r>
        <w:rPr>
          <w:color w:val="231F20"/>
        </w:rPr>
        <w:t>гру</w:t>
      </w:r>
      <w:r>
        <w:rPr>
          <w:color w:val="231F20"/>
        </w:rPr>
        <w:t>пи</w:t>
      </w:r>
      <w:r>
        <w:rPr>
          <w:color w:val="231F20"/>
          <w:spacing w:val="-15"/>
        </w:rPr>
        <w:t xml:space="preserve"> </w:t>
      </w:r>
      <w:r>
        <w:rPr>
          <w:color w:val="231F20"/>
        </w:rPr>
        <w:t>–</w:t>
      </w:r>
      <w:r>
        <w:rPr>
          <w:color w:val="231F20"/>
          <w:spacing w:val="-14"/>
        </w:rPr>
        <w:t xml:space="preserve"> </w:t>
      </w:r>
      <w:r>
        <w:rPr>
          <w:color w:val="231F20"/>
        </w:rPr>
        <w:t>загальні</w:t>
      </w:r>
      <w:r>
        <w:rPr>
          <w:color w:val="231F20"/>
          <w:spacing w:val="-15"/>
        </w:rPr>
        <w:t xml:space="preserve"> </w:t>
      </w:r>
      <w:r>
        <w:rPr>
          <w:color w:val="231F20"/>
        </w:rPr>
        <w:t>та</w:t>
      </w:r>
      <w:r>
        <w:rPr>
          <w:color w:val="231F20"/>
          <w:spacing w:val="-14"/>
        </w:rPr>
        <w:t xml:space="preserve"> </w:t>
      </w:r>
      <w:r>
        <w:rPr>
          <w:color w:val="231F20"/>
        </w:rPr>
        <w:t>спеціальні.</w:t>
      </w:r>
      <w:r>
        <w:rPr>
          <w:color w:val="231F20"/>
          <w:spacing w:val="-15"/>
        </w:rPr>
        <w:t xml:space="preserve"> </w:t>
      </w:r>
      <w:r>
        <w:rPr>
          <w:color w:val="231F20"/>
        </w:rPr>
        <w:t>Перша</w:t>
      </w:r>
      <w:r>
        <w:rPr>
          <w:color w:val="231F20"/>
          <w:spacing w:val="-15"/>
        </w:rPr>
        <w:t xml:space="preserve"> </w:t>
      </w:r>
      <w:r>
        <w:rPr>
          <w:color w:val="231F20"/>
        </w:rPr>
        <w:t xml:space="preserve">група відбиває теоретико-методологічну належність адміністративних процедур до адміністративного права й адміністративного </w:t>
      </w:r>
      <w:r>
        <w:rPr>
          <w:color w:val="231F20"/>
          <w:spacing w:val="-3"/>
        </w:rPr>
        <w:t xml:space="preserve">процесу, </w:t>
      </w:r>
      <w:r>
        <w:rPr>
          <w:color w:val="231F20"/>
        </w:rPr>
        <w:t>натомість</w:t>
      </w:r>
      <w:r>
        <w:rPr>
          <w:color w:val="231F20"/>
          <w:spacing w:val="-12"/>
        </w:rPr>
        <w:t xml:space="preserve"> </w:t>
      </w:r>
      <w:r>
        <w:rPr>
          <w:color w:val="231F20"/>
        </w:rPr>
        <w:t>друга</w:t>
      </w:r>
      <w:r>
        <w:rPr>
          <w:color w:val="231F20"/>
          <w:spacing w:val="-12"/>
        </w:rPr>
        <w:t xml:space="preserve"> </w:t>
      </w:r>
      <w:r>
        <w:rPr>
          <w:color w:val="231F20"/>
        </w:rPr>
        <w:t>акцентує</w:t>
      </w:r>
      <w:r>
        <w:rPr>
          <w:color w:val="231F20"/>
          <w:spacing w:val="-12"/>
        </w:rPr>
        <w:t xml:space="preserve"> </w:t>
      </w:r>
      <w:r>
        <w:rPr>
          <w:color w:val="231F20"/>
        </w:rPr>
        <w:t>увагу</w:t>
      </w:r>
      <w:r>
        <w:rPr>
          <w:color w:val="231F20"/>
          <w:spacing w:val="-12"/>
        </w:rPr>
        <w:t xml:space="preserve"> </w:t>
      </w:r>
      <w:r>
        <w:rPr>
          <w:color w:val="231F20"/>
        </w:rPr>
        <w:t>на</w:t>
      </w:r>
      <w:r>
        <w:rPr>
          <w:color w:val="231F20"/>
          <w:spacing w:val="-12"/>
        </w:rPr>
        <w:t xml:space="preserve"> </w:t>
      </w:r>
      <w:r>
        <w:rPr>
          <w:color w:val="231F20"/>
        </w:rPr>
        <w:t>загальних</w:t>
      </w:r>
      <w:r>
        <w:rPr>
          <w:color w:val="231F20"/>
          <w:spacing w:val="-12"/>
        </w:rPr>
        <w:t xml:space="preserve"> </w:t>
      </w:r>
      <w:r>
        <w:rPr>
          <w:color w:val="231F20"/>
        </w:rPr>
        <w:t>закономірностях</w:t>
      </w:r>
      <w:r>
        <w:rPr>
          <w:color w:val="231F20"/>
          <w:spacing w:val="-12"/>
        </w:rPr>
        <w:t xml:space="preserve"> </w:t>
      </w:r>
      <w:r>
        <w:rPr>
          <w:color w:val="231F20"/>
        </w:rPr>
        <w:t>самих адміністративних процед</w:t>
      </w:r>
      <w:r>
        <w:rPr>
          <w:color w:val="231F20"/>
        </w:rPr>
        <w:t>ур, їх особливостях і характерних</w:t>
      </w:r>
      <w:r>
        <w:rPr>
          <w:color w:val="231F20"/>
          <w:spacing w:val="-17"/>
        </w:rPr>
        <w:t xml:space="preserve"> </w:t>
      </w:r>
      <w:r>
        <w:rPr>
          <w:color w:val="231F20"/>
        </w:rPr>
        <w:t>рисах.</w:t>
      </w:r>
    </w:p>
    <w:p w14:paraId="03E8EA1F" w14:textId="77777777" w:rsidR="00DE575E" w:rsidRDefault="002E7560">
      <w:pPr>
        <w:pStyle w:val="Heading6"/>
        <w:spacing w:before="3" w:line="252" w:lineRule="auto"/>
        <w:ind w:left="250" w:right="412"/>
        <w:jc w:val="both"/>
      </w:pPr>
      <w:r>
        <w:rPr>
          <w:color w:val="231F20"/>
        </w:rPr>
        <w:t xml:space="preserve">До загальних принципів адміністративних процедур </w:t>
      </w:r>
      <w:r>
        <w:rPr>
          <w:color w:val="231F20"/>
        </w:rPr>
        <w:t>потрібно віднести такі:</w:t>
      </w:r>
    </w:p>
    <w:p w14:paraId="196A611C"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i/>
          <w:color w:val="231F20"/>
        </w:rPr>
        <w:t xml:space="preserve">верховенства права </w:t>
      </w:r>
      <w:r>
        <w:rPr>
          <w:color w:val="231F20"/>
        </w:rPr>
        <w:t>– основоположний принцип здійснення адміністративних</w:t>
      </w:r>
      <w:r>
        <w:rPr>
          <w:color w:val="231F20"/>
          <w:spacing w:val="-12"/>
        </w:rPr>
        <w:t xml:space="preserve"> </w:t>
      </w:r>
      <w:r>
        <w:rPr>
          <w:color w:val="231F20"/>
        </w:rPr>
        <w:t>процедур,</w:t>
      </w:r>
      <w:r>
        <w:rPr>
          <w:color w:val="231F20"/>
          <w:spacing w:val="-12"/>
        </w:rPr>
        <w:t xml:space="preserve"> </w:t>
      </w:r>
      <w:r>
        <w:rPr>
          <w:color w:val="231F20"/>
        </w:rPr>
        <w:t>закріплений</w:t>
      </w:r>
      <w:r>
        <w:rPr>
          <w:color w:val="231F20"/>
          <w:spacing w:val="-12"/>
        </w:rPr>
        <w:t xml:space="preserve"> </w:t>
      </w:r>
      <w:r>
        <w:rPr>
          <w:color w:val="231F20"/>
        </w:rPr>
        <w:t>у</w:t>
      </w:r>
      <w:r>
        <w:rPr>
          <w:color w:val="231F20"/>
          <w:spacing w:val="-11"/>
        </w:rPr>
        <w:t xml:space="preserve"> </w:t>
      </w:r>
      <w:r>
        <w:rPr>
          <w:color w:val="231F20"/>
          <w:spacing w:val="-6"/>
        </w:rPr>
        <w:t>ст.</w:t>
      </w:r>
      <w:r>
        <w:rPr>
          <w:color w:val="231F20"/>
          <w:spacing w:val="-12"/>
        </w:rPr>
        <w:t xml:space="preserve"> </w:t>
      </w:r>
      <w:r>
        <w:rPr>
          <w:color w:val="231F20"/>
        </w:rPr>
        <w:t>8</w:t>
      </w:r>
      <w:r>
        <w:rPr>
          <w:color w:val="231F20"/>
          <w:spacing w:val="-12"/>
        </w:rPr>
        <w:t xml:space="preserve"> </w:t>
      </w:r>
      <w:r>
        <w:rPr>
          <w:color w:val="231F20"/>
        </w:rPr>
        <w:t>Конституції</w:t>
      </w:r>
      <w:r>
        <w:rPr>
          <w:color w:val="231F20"/>
          <w:spacing w:val="-12"/>
        </w:rPr>
        <w:t xml:space="preserve"> </w:t>
      </w:r>
      <w:r>
        <w:rPr>
          <w:color w:val="231F20"/>
          <w:spacing w:val="-3"/>
        </w:rPr>
        <w:t>України;</w:t>
      </w:r>
    </w:p>
    <w:p w14:paraId="211C2B57" w14:textId="77777777" w:rsidR="00DE575E" w:rsidRDefault="002E7560">
      <w:pPr>
        <w:pStyle w:val="BodyText"/>
        <w:spacing w:before="1" w:line="252" w:lineRule="auto"/>
        <w:ind w:left="250" w:right="410" w:firstLine="283"/>
        <w:jc w:val="both"/>
      </w:pPr>
      <w:r>
        <w:rPr>
          <w:rFonts w:ascii="Wingdings" w:hAnsi="Wingdings"/>
          <w:color w:val="231F20"/>
        </w:rPr>
        <w:t></w:t>
      </w:r>
      <w:r>
        <w:rPr>
          <w:rFonts w:ascii="Times New Roman" w:hAnsi="Times New Roman"/>
          <w:color w:val="231F20"/>
        </w:rPr>
        <w:t xml:space="preserve"> </w:t>
      </w:r>
      <w:r>
        <w:rPr>
          <w:i/>
          <w:color w:val="231F20"/>
        </w:rPr>
        <w:t xml:space="preserve">пріоритетності прав і свобод людини </w:t>
      </w:r>
      <w:r>
        <w:rPr>
          <w:color w:val="231F20"/>
        </w:rPr>
        <w:t xml:space="preserve">–  передбачає  обов’я- зок  </w:t>
      </w:r>
      <w:r>
        <w:rPr>
          <w:color w:val="231F20"/>
          <w:spacing w:val="-3"/>
        </w:rPr>
        <w:t xml:space="preserve">суб’єкта  </w:t>
      </w:r>
      <w:r>
        <w:rPr>
          <w:color w:val="231F20"/>
        </w:rPr>
        <w:t>публічного  адміністрування  в  конкретній  ситуації,   у кожному випадку виходити передусім з найбільш прийнятного для заявника</w:t>
      </w:r>
      <w:r>
        <w:rPr>
          <w:color w:val="231F20"/>
          <w:spacing w:val="-3"/>
        </w:rPr>
        <w:t xml:space="preserve"> </w:t>
      </w:r>
      <w:r>
        <w:rPr>
          <w:color w:val="231F20"/>
        </w:rPr>
        <w:t>рішення;</w:t>
      </w:r>
    </w:p>
    <w:p w14:paraId="50B77CF9"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i/>
          <w:color w:val="231F20"/>
        </w:rPr>
        <w:t xml:space="preserve">законності  </w:t>
      </w:r>
      <w:r>
        <w:rPr>
          <w:color w:val="231F20"/>
        </w:rPr>
        <w:t>–  формування  та  здійснення</w:t>
      </w:r>
      <w:r>
        <w:rPr>
          <w:color w:val="231F20"/>
        </w:rPr>
        <w:t xml:space="preserve">  адміністратив-   них процедур мають будуватись на суворій відповідності вимогам чинного</w:t>
      </w:r>
      <w:r>
        <w:rPr>
          <w:color w:val="231F20"/>
          <w:spacing w:val="-1"/>
        </w:rPr>
        <w:t xml:space="preserve"> </w:t>
      </w:r>
      <w:r>
        <w:rPr>
          <w:color w:val="231F20"/>
        </w:rPr>
        <w:t>законодавства;</w:t>
      </w:r>
    </w:p>
    <w:p w14:paraId="2A424A87"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i/>
          <w:color w:val="231F20"/>
        </w:rPr>
        <w:t xml:space="preserve">системності </w:t>
      </w:r>
      <w:r>
        <w:rPr>
          <w:color w:val="231F20"/>
        </w:rPr>
        <w:t xml:space="preserve">– держава намагається створити чітку та зрозу- мілу систему адміністративних процедур, елементами якої є </w:t>
      </w:r>
      <w:r>
        <w:rPr>
          <w:color w:val="231F20"/>
          <w:spacing w:val="-4"/>
        </w:rPr>
        <w:t xml:space="preserve">суб’єкт </w:t>
      </w:r>
      <w:r>
        <w:rPr>
          <w:color w:val="231F20"/>
        </w:rPr>
        <w:t>публічного адмініструван</w:t>
      </w:r>
      <w:r>
        <w:rPr>
          <w:color w:val="231F20"/>
        </w:rPr>
        <w:t>ня, до якого має можливість звертатися фізична</w:t>
      </w:r>
      <w:r>
        <w:rPr>
          <w:color w:val="231F20"/>
          <w:spacing w:val="-9"/>
        </w:rPr>
        <w:t xml:space="preserve"> </w:t>
      </w:r>
      <w:r>
        <w:rPr>
          <w:color w:val="231F20"/>
        </w:rPr>
        <w:t>чи</w:t>
      </w:r>
      <w:r>
        <w:rPr>
          <w:color w:val="231F20"/>
          <w:spacing w:val="-9"/>
        </w:rPr>
        <w:t xml:space="preserve"> </w:t>
      </w:r>
      <w:r>
        <w:rPr>
          <w:color w:val="231F20"/>
        </w:rPr>
        <w:t>юридична</w:t>
      </w:r>
      <w:r>
        <w:rPr>
          <w:color w:val="231F20"/>
          <w:spacing w:val="-9"/>
        </w:rPr>
        <w:t xml:space="preserve"> </w:t>
      </w:r>
      <w:r>
        <w:rPr>
          <w:color w:val="231F20"/>
        </w:rPr>
        <w:t>особа;</w:t>
      </w:r>
      <w:r>
        <w:rPr>
          <w:color w:val="231F20"/>
          <w:spacing w:val="-9"/>
        </w:rPr>
        <w:t xml:space="preserve"> </w:t>
      </w:r>
      <w:r>
        <w:rPr>
          <w:color w:val="231F20"/>
        </w:rPr>
        <w:t>нормативно-правові</w:t>
      </w:r>
      <w:r>
        <w:rPr>
          <w:color w:val="231F20"/>
          <w:spacing w:val="-9"/>
        </w:rPr>
        <w:t xml:space="preserve"> </w:t>
      </w:r>
      <w:r>
        <w:rPr>
          <w:color w:val="231F20"/>
        </w:rPr>
        <w:t>акти,</w:t>
      </w:r>
      <w:r>
        <w:rPr>
          <w:color w:val="231F20"/>
          <w:spacing w:val="-9"/>
        </w:rPr>
        <w:t xml:space="preserve"> </w:t>
      </w:r>
      <w:r>
        <w:rPr>
          <w:color w:val="231F20"/>
        </w:rPr>
        <w:t>що</w:t>
      </w:r>
      <w:r>
        <w:rPr>
          <w:color w:val="231F20"/>
          <w:spacing w:val="-9"/>
        </w:rPr>
        <w:t xml:space="preserve"> </w:t>
      </w:r>
      <w:r>
        <w:rPr>
          <w:color w:val="231F20"/>
        </w:rPr>
        <w:t>врегульо- вують</w:t>
      </w:r>
      <w:r>
        <w:rPr>
          <w:color w:val="231F20"/>
          <w:spacing w:val="-8"/>
        </w:rPr>
        <w:t xml:space="preserve"> </w:t>
      </w:r>
      <w:r>
        <w:rPr>
          <w:color w:val="231F20"/>
        </w:rPr>
        <w:t>порядок</w:t>
      </w:r>
      <w:r>
        <w:rPr>
          <w:color w:val="231F20"/>
          <w:spacing w:val="-8"/>
        </w:rPr>
        <w:t xml:space="preserve"> </w:t>
      </w:r>
      <w:r>
        <w:rPr>
          <w:color w:val="231F20"/>
        </w:rPr>
        <w:t>здійснення</w:t>
      </w:r>
      <w:r>
        <w:rPr>
          <w:color w:val="231F20"/>
          <w:spacing w:val="-9"/>
        </w:rPr>
        <w:t xml:space="preserve"> </w:t>
      </w:r>
      <w:r>
        <w:rPr>
          <w:color w:val="231F20"/>
        </w:rPr>
        <w:t>адміністративної</w:t>
      </w:r>
      <w:r>
        <w:rPr>
          <w:color w:val="231F20"/>
          <w:spacing w:val="-8"/>
        </w:rPr>
        <w:t xml:space="preserve"> </w:t>
      </w:r>
      <w:r>
        <w:rPr>
          <w:color w:val="231F20"/>
        </w:rPr>
        <w:t>процедури;</w:t>
      </w:r>
      <w:r>
        <w:rPr>
          <w:color w:val="231F20"/>
          <w:spacing w:val="-8"/>
        </w:rPr>
        <w:t xml:space="preserve"> </w:t>
      </w:r>
      <w:r>
        <w:rPr>
          <w:color w:val="231F20"/>
        </w:rPr>
        <w:t xml:space="preserve">адміністра- тивний </w:t>
      </w:r>
      <w:r>
        <w:rPr>
          <w:color w:val="231F20"/>
          <w:spacing w:val="-5"/>
        </w:rPr>
        <w:t xml:space="preserve">акт, </w:t>
      </w:r>
      <w:r>
        <w:rPr>
          <w:color w:val="231F20"/>
        </w:rPr>
        <w:t xml:space="preserve">який видається за </w:t>
      </w:r>
      <w:r>
        <w:rPr>
          <w:color w:val="231F20"/>
          <w:spacing w:val="-3"/>
        </w:rPr>
        <w:t xml:space="preserve">результатами  розгляду  </w:t>
      </w:r>
      <w:r>
        <w:rPr>
          <w:color w:val="231F20"/>
        </w:rPr>
        <w:t>заяви; зміст  і цільове призначення адміністративної процедури</w:t>
      </w:r>
      <w:r>
        <w:rPr>
          <w:color w:val="231F20"/>
          <w:spacing w:val="-6"/>
        </w:rPr>
        <w:t xml:space="preserve"> </w:t>
      </w:r>
      <w:r>
        <w:rPr>
          <w:color w:val="231F20"/>
        </w:rPr>
        <w:t>тощо;</w:t>
      </w:r>
    </w:p>
    <w:p w14:paraId="4C31F05D" w14:textId="77777777" w:rsidR="00DE575E" w:rsidRDefault="002E7560">
      <w:pPr>
        <w:pStyle w:val="BodyText"/>
        <w:spacing w:before="3" w:line="252" w:lineRule="auto"/>
        <w:ind w:left="250" w:right="411" w:firstLine="283"/>
        <w:jc w:val="both"/>
      </w:pPr>
      <w:r>
        <w:rPr>
          <w:rFonts w:ascii="Wingdings" w:hAnsi="Wingdings"/>
          <w:color w:val="231F20"/>
        </w:rPr>
        <w:t></w:t>
      </w:r>
      <w:r>
        <w:rPr>
          <w:rFonts w:ascii="Times New Roman" w:hAnsi="Times New Roman"/>
          <w:color w:val="231F20"/>
        </w:rPr>
        <w:t xml:space="preserve"> </w:t>
      </w:r>
      <w:r>
        <w:rPr>
          <w:i/>
          <w:color w:val="231F20"/>
        </w:rPr>
        <w:t xml:space="preserve">неупередженості та безсторонності </w:t>
      </w:r>
      <w:r>
        <w:rPr>
          <w:color w:val="231F20"/>
        </w:rPr>
        <w:t xml:space="preserve">адміністративної проце- дури – при вирішенні адміністративної справи не припускається </w:t>
      </w:r>
      <w:r>
        <w:rPr>
          <w:color w:val="231F20"/>
          <w:spacing w:val="-3"/>
        </w:rPr>
        <w:t xml:space="preserve">будь-яка </w:t>
      </w:r>
      <w:r>
        <w:rPr>
          <w:color w:val="231F20"/>
        </w:rPr>
        <w:t xml:space="preserve">неправомірна заінтересованість </w:t>
      </w:r>
      <w:r>
        <w:rPr>
          <w:color w:val="231F20"/>
          <w:spacing w:val="-3"/>
        </w:rPr>
        <w:t xml:space="preserve">суб’єкта </w:t>
      </w:r>
      <w:r>
        <w:rPr>
          <w:color w:val="231F20"/>
        </w:rPr>
        <w:t>публічного адмі-</w:t>
      </w:r>
      <w:r>
        <w:rPr>
          <w:color w:val="231F20"/>
        </w:rPr>
        <w:t xml:space="preserve"> ністрування в </w:t>
      </w:r>
      <w:r>
        <w:rPr>
          <w:color w:val="231F20"/>
          <w:spacing w:val="-3"/>
        </w:rPr>
        <w:t xml:space="preserve">результатах </w:t>
      </w:r>
      <w:r>
        <w:rPr>
          <w:color w:val="231F20"/>
        </w:rPr>
        <w:t xml:space="preserve">такого </w:t>
      </w:r>
      <w:r>
        <w:rPr>
          <w:color w:val="231F20"/>
          <w:spacing w:val="-4"/>
        </w:rPr>
        <w:t xml:space="preserve">розгляду. </w:t>
      </w:r>
      <w:r>
        <w:rPr>
          <w:color w:val="231F20"/>
        </w:rPr>
        <w:t xml:space="preserve">Це означає, що посадова особа, уповноважена розглядати індивідуальну </w:t>
      </w:r>
      <w:r>
        <w:rPr>
          <w:color w:val="231F20"/>
          <w:spacing w:val="-3"/>
        </w:rPr>
        <w:t xml:space="preserve">справу, </w:t>
      </w:r>
      <w:r>
        <w:rPr>
          <w:color w:val="231F20"/>
        </w:rPr>
        <w:t>не має вияв- ляти</w:t>
      </w:r>
      <w:r>
        <w:rPr>
          <w:color w:val="231F20"/>
          <w:spacing w:val="-16"/>
        </w:rPr>
        <w:t xml:space="preserve"> </w:t>
      </w:r>
      <w:r>
        <w:rPr>
          <w:color w:val="231F20"/>
          <w:spacing w:val="-3"/>
        </w:rPr>
        <w:t>будь-яку</w:t>
      </w:r>
      <w:r>
        <w:rPr>
          <w:color w:val="231F20"/>
          <w:spacing w:val="-16"/>
        </w:rPr>
        <w:t xml:space="preserve"> </w:t>
      </w:r>
      <w:r>
        <w:rPr>
          <w:color w:val="231F20"/>
        </w:rPr>
        <w:t>упередженість</w:t>
      </w:r>
      <w:r>
        <w:rPr>
          <w:color w:val="231F20"/>
          <w:spacing w:val="-16"/>
        </w:rPr>
        <w:t xml:space="preserve"> </w:t>
      </w:r>
      <w:r>
        <w:rPr>
          <w:color w:val="231F20"/>
        </w:rPr>
        <w:t>або</w:t>
      </w:r>
      <w:r>
        <w:rPr>
          <w:color w:val="231F20"/>
          <w:spacing w:val="-16"/>
        </w:rPr>
        <w:t xml:space="preserve"> </w:t>
      </w:r>
      <w:r>
        <w:rPr>
          <w:color w:val="231F20"/>
        </w:rPr>
        <w:t>особисті</w:t>
      </w:r>
      <w:r>
        <w:rPr>
          <w:color w:val="231F20"/>
          <w:spacing w:val="-16"/>
        </w:rPr>
        <w:t xml:space="preserve"> </w:t>
      </w:r>
      <w:r>
        <w:rPr>
          <w:color w:val="231F20"/>
        </w:rPr>
        <w:t>переконання,</w:t>
      </w:r>
      <w:r>
        <w:rPr>
          <w:color w:val="231F20"/>
          <w:spacing w:val="-16"/>
        </w:rPr>
        <w:t xml:space="preserve"> </w:t>
      </w:r>
      <w:r>
        <w:rPr>
          <w:color w:val="231F20"/>
        </w:rPr>
        <w:t>а</w:t>
      </w:r>
      <w:r>
        <w:rPr>
          <w:color w:val="231F20"/>
          <w:spacing w:val="-17"/>
        </w:rPr>
        <w:t xml:space="preserve"> </w:t>
      </w:r>
      <w:r>
        <w:rPr>
          <w:color w:val="231F20"/>
        </w:rPr>
        <w:t>також</w:t>
      </w:r>
      <w:r>
        <w:rPr>
          <w:color w:val="231F20"/>
          <w:spacing w:val="-16"/>
        </w:rPr>
        <w:t xml:space="preserve"> </w:t>
      </w:r>
      <w:r>
        <w:rPr>
          <w:color w:val="231F20"/>
        </w:rPr>
        <w:t>свід- чить</w:t>
      </w:r>
      <w:r>
        <w:rPr>
          <w:color w:val="231F20"/>
          <w:spacing w:val="16"/>
        </w:rPr>
        <w:t xml:space="preserve"> </w:t>
      </w:r>
      <w:r>
        <w:rPr>
          <w:color w:val="231F20"/>
        </w:rPr>
        <w:t>про</w:t>
      </w:r>
      <w:r>
        <w:rPr>
          <w:color w:val="231F20"/>
          <w:spacing w:val="16"/>
        </w:rPr>
        <w:t xml:space="preserve"> </w:t>
      </w:r>
      <w:r>
        <w:rPr>
          <w:color w:val="231F20"/>
        </w:rPr>
        <w:t>відсутність</w:t>
      </w:r>
      <w:r>
        <w:rPr>
          <w:color w:val="231F20"/>
          <w:spacing w:val="16"/>
        </w:rPr>
        <w:t xml:space="preserve"> </w:t>
      </w:r>
      <w:r>
        <w:rPr>
          <w:color w:val="231F20"/>
        </w:rPr>
        <w:t>можливості</w:t>
      </w:r>
      <w:r>
        <w:rPr>
          <w:color w:val="231F20"/>
          <w:spacing w:val="16"/>
        </w:rPr>
        <w:t xml:space="preserve"> </w:t>
      </w:r>
      <w:r>
        <w:rPr>
          <w:color w:val="231F20"/>
        </w:rPr>
        <w:t>будь-якого</w:t>
      </w:r>
      <w:r>
        <w:rPr>
          <w:color w:val="231F20"/>
          <w:spacing w:val="16"/>
        </w:rPr>
        <w:t xml:space="preserve"> </w:t>
      </w:r>
      <w:r>
        <w:rPr>
          <w:color w:val="231F20"/>
        </w:rPr>
        <w:t>правомірног</w:t>
      </w:r>
      <w:r>
        <w:rPr>
          <w:color w:val="231F20"/>
        </w:rPr>
        <w:t>о</w:t>
      </w:r>
      <w:r>
        <w:rPr>
          <w:color w:val="231F20"/>
          <w:spacing w:val="16"/>
        </w:rPr>
        <w:t xml:space="preserve"> </w:t>
      </w:r>
      <w:r>
        <w:rPr>
          <w:color w:val="231F20"/>
        </w:rPr>
        <w:t>сумніву</w:t>
      </w:r>
    </w:p>
    <w:p w14:paraId="32DEF907" w14:textId="77777777" w:rsidR="00DE575E" w:rsidRDefault="00DE575E">
      <w:pPr>
        <w:pStyle w:val="BodyText"/>
        <w:spacing w:before="8"/>
        <w:rPr>
          <w:sz w:val="12"/>
        </w:rPr>
      </w:pPr>
    </w:p>
    <w:p w14:paraId="2F0441D5" w14:textId="77777777" w:rsidR="00DE575E" w:rsidRDefault="002E7560">
      <w:pPr>
        <w:spacing w:before="92"/>
        <w:ind w:right="411"/>
        <w:jc w:val="right"/>
        <w:rPr>
          <w:rFonts w:ascii="Times New Roman"/>
          <w:sz w:val="20"/>
        </w:rPr>
      </w:pPr>
      <w:r>
        <w:rPr>
          <w:rFonts w:ascii="Times New Roman"/>
          <w:color w:val="231F20"/>
          <w:w w:val="90"/>
          <w:sz w:val="20"/>
        </w:rPr>
        <w:t>299</w:t>
      </w:r>
    </w:p>
    <w:p w14:paraId="515E5C5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C0A9A1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DC6BF5F" w14:textId="4722C48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1638666" wp14:editId="74E9C475">
                <wp:extent cx="4140200" cy="6350"/>
                <wp:effectExtent l="0" t="0" r="12700" b="6350"/>
                <wp:docPr id="65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59" name="Line 65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7F4722" id="Group_x0020_65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NNcmF/AgAAmAUAAA4A&#10;AAAAAAAAAAAAAAAALAIAAGRycy9lMm9Eb2MueG1sUEsBAi0AFAAGAAgAAAAhAEynsJDZAAAAAwEA&#10;AA8AAAAAAAAAAAAAAAAA1wQAAGRycy9kb3ducmV2LnhtbFBLBQYAAAAABAAEAPMAAADdBQAAAAA=&#10;">
                <v:line id="Line_x0020_65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cCkMYAAADcAAAADwAAAGRycy9kb3ducmV2LnhtbESP0WrCQBRE3wv+w3IFX0rdqFRqdBUp&#10;FEoftDX9gGv2mgR378bsaqJf7wqFPg4zc4ZZrDprxIUaXzlWMBomIIhzpysuFPxmHy9vIHxA1mgc&#10;k4IreVgte08LTLVr+Ycuu1CICGGfooIyhDqV0uclWfRDVxNH7+AaiyHKppC6wTbCrZHjJJlKixXH&#10;hRJrei8pP+7OVkF2eg7me/tl2my7n8j9aTO5nTdKDfrdeg4iUBf+w3/tT61g+jqD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nApDGAAAA3AAAAA8AAAAAAAAA&#10;AAAAAAAAoQIAAGRycy9kb3ducmV2LnhtbFBLBQYAAAAABAAEAPkAAACUAwAAAAA=&#10;" strokecolor="#231f20" strokeweight=".5pt"/>
                <w10:anchorlock/>
              </v:group>
            </w:pict>
          </mc:Fallback>
        </mc:AlternateContent>
      </w:r>
    </w:p>
    <w:p w14:paraId="3CA876E1" w14:textId="77777777" w:rsidR="00DE575E" w:rsidRDefault="00DE575E">
      <w:pPr>
        <w:pStyle w:val="BodyText"/>
        <w:spacing w:before="7"/>
        <w:rPr>
          <w:rFonts w:ascii="AdonisC"/>
          <w:i/>
          <w:sz w:val="11"/>
        </w:rPr>
      </w:pPr>
    </w:p>
    <w:p w14:paraId="25E567A3" w14:textId="77777777" w:rsidR="00DE575E" w:rsidRDefault="002E7560">
      <w:pPr>
        <w:pStyle w:val="BodyText"/>
        <w:spacing w:before="101" w:line="247" w:lineRule="auto"/>
        <w:ind w:left="533" w:right="126"/>
        <w:jc w:val="both"/>
      </w:pPr>
      <w:r>
        <w:rPr>
          <w:color w:val="231F20"/>
        </w:rPr>
        <w:t>щодо</w:t>
      </w:r>
      <w:r>
        <w:rPr>
          <w:color w:val="231F20"/>
          <w:spacing w:val="-12"/>
        </w:rPr>
        <w:t xml:space="preserve"> </w:t>
      </w:r>
      <w:r>
        <w:rPr>
          <w:color w:val="231F20"/>
        </w:rPr>
        <w:t>безсторонності</w:t>
      </w:r>
      <w:r>
        <w:rPr>
          <w:color w:val="231F20"/>
          <w:spacing w:val="-12"/>
        </w:rPr>
        <w:t xml:space="preserve"> </w:t>
      </w:r>
      <w:r>
        <w:rPr>
          <w:color w:val="231F20"/>
        </w:rPr>
        <w:t>й</w:t>
      </w:r>
      <w:r>
        <w:rPr>
          <w:color w:val="231F20"/>
          <w:spacing w:val="-12"/>
        </w:rPr>
        <w:t xml:space="preserve"> </w:t>
      </w:r>
      <w:r>
        <w:rPr>
          <w:color w:val="231F20"/>
        </w:rPr>
        <w:t>незалежності</w:t>
      </w:r>
      <w:r>
        <w:rPr>
          <w:color w:val="231F20"/>
          <w:spacing w:val="-12"/>
        </w:rPr>
        <w:t xml:space="preserve"> </w:t>
      </w:r>
      <w:r>
        <w:rPr>
          <w:color w:val="231F20"/>
        </w:rPr>
        <w:t>такого</w:t>
      </w:r>
      <w:r>
        <w:rPr>
          <w:color w:val="231F20"/>
          <w:spacing w:val="-12"/>
        </w:rPr>
        <w:t xml:space="preserve"> </w:t>
      </w:r>
      <w:r>
        <w:rPr>
          <w:color w:val="231F20"/>
          <w:spacing w:val="-3"/>
        </w:rPr>
        <w:t>органу.</w:t>
      </w:r>
      <w:r>
        <w:rPr>
          <w:color w:val="231F20"/>
          <w:spacing w:val="-12"/>
        </w:rPr>
        <w:t xml:space="preserve"> </w:t>
      </w:r>
      <w:r>
        <w:rPr>
          <w:color w:val="231F20"/>
        </w:rPr>
        <w:t>Гарантією</w:t>
      </w:r>
      <w:r>
        <w:rPr>
          <w:color w:val="231F20"/>
          <w:spacing w:val="-12"/>
        </w:rPr>
        <w:t xml:space="preserve"> </w:t>
      </w:r>
      <w:r>
        <w:rPr>
          <w:color w:val="231F20"/>
        </w:rPr>
        <w:t xml:space="preserve">реалі- зації цього принципу може бути обов’язок посадової чи службової особи заявити самовідвід, якщо вона має або може мати особисту, пряму чи опосередковану </w:t>
      </w:r>
      <w:r>
        <w:rPr>
          <w:color w:val="231F20"/>
        </w:rPr>
        <w:t xml:space="preserve">(непряму) заінтересованість у </w:t>
      </w:r>
      <w:r>
        <w:rPr>
          <w:color w:val="231F20"/>
          <w:spacing w:val="-3"/>
        </w:rPr>
        <w:t xml:space="preserve">результа- </w:t>
      </w:r>
      <w:r>
        <w:rPr>
          <w:color w:val="231F20"/>
        </w:rPr>
        <w:t>тах</w:t>
      </w:r>
      <w:r>
        <w:rPr>
          <w:color w:val="231F20"/>
          <w:spacing w:val="-10"/>
        </w:rPr>
        <w:t xml:space="preserve"> </w:t>
      </w:r>
      <w:r>
        <w:rPr>
          <w:color w:val="231F20"/>
          <w:spacing w:val="-3"/>
        </w:rPr>
        <w:t>розгляду</w:t>
      </w:r>
      <w:r>
        <w:rPr>
          <w:color w:val="231F20"/>
          <w:spacing w:val="-11"/>
        </w:rPr>
        <w:t xml:space="preserve"> </w:t>
      </w:r>
      <w:r>
        <w:rPr>
          <w:color w:val="231F20"/>
        </w:rPr>
        <w:t>та/або</w:t>
      </w:r>
      <w:r>
        <w:rPr>
          <w:color w:val="231F20"/>
          <w:spacing w:val="-10"/>
        </w:rPr>
        <w:t xml:space="preserve"> </w:t>
      </w:r>
      <w:r>
        <w:rPr>
          <w:color w:val="231F20"/>
        </w:rPr>
        <w:t>вирішення</w:t>
      </w:r>
      <w:r>
        <w:rPr>
          <w:color w:val="231F20"/>
          <w:spacing w:val="-11"/>
        </w:rPr>
        <w:t xml:space="preserve"> </w:t>
      </w:r>
      <w:r>
        <w:rPr>
          <w:color w:val="231F20"/>
        </w:rPr>
        <w:t>адміністративної</w:t>
      </w:r>
      <w:r>
        <w:rPr>
          <w:color w:val="231F20"/>
          <w:spacing w:val="-11"/>
        </w:rPr>
        <w:t xml:space="preserve"> </w:t>
      </w:r>
      <w:r>
        <w:rPr>
          <w:color w:val="231F20"/>
        </w:rPr>
        <w:t>справи</w:t>
      </w:r>
      <w:r>
        <w:rPr>
          <w:color w:val="231F20"/>
          <w:spacing w:val="-11"/>
        </w:rPr>
        <w:t xml:space="preserve"> </w:t>
      </w:r>
      <w:r>
        <w:rPr>
          <w:color w:val="231F20"/>
        </w:rPr>
        <w:t>або</w:t>
      </w:r>
      <w:r>
        <w:rPr>
          <w:color w:val="231F20"/>
          <w:spacing w:val="-11"/>
        </w:rPr>
        <w:t xml:space="preserve"> </w:t>
      </w:r>
      <w:r>
        <w:rPr>
          <w:color w:val="231F20"/>
        </w:rPr>
        <w:t>за</w:t>
      </w:r>
      <w:r>
        <w:rPr>
          <w:color w:val="231F20"/>
          <w:spacing w:val="-10"/>
        </w:rPr>
        <w:t xml:space="preserve"> </w:t>
      </w:r>
      <w:r>
        <w:rPr>
          <w:color w:val="231F20"/>
        </w:rPr>
        <w:t>наяв- ності</w:t>
      </w:r>
      <w:r>
        <w:rPr>
          <w:color w:val="231F20"/>
          <w:spacing w:val="-7"/>
        </w:rPr>
        <w:t xml:space="preserve"> </w:t>
      </w:r>
      <w:r>
        <w:rPr>
          <w:color w:val="231F20"/>
        </w:rPr>
        <w:t>інших</w:t>
      </w:r>
      <w:r>
        <w:rPr>
          <w:color w:val="231F20"/>
          <w:spacing w:val="-7"/>
        </w:rPr>
        <w:t xml:space="preserve"> </w:t>
      </w:r>
      <w:r>
        <w:rPr>
          <w:color w:val="231F20"/>
        </w:rPr>
        <w:t>обставин,</w:t>
      </w:r>
      <w:r>
        <w:rPr>
          <w:color w:val="231F20"/>
          <w:spacing w:val="-7"/>
        </w:rPr>
        <w:t xml:space="preserve"> </w:t>
      </w:r>
      <w:r>
        <w:rPr>
          <w:color w:val="231F20"/>
        </w:rPr>
        <w:t>які</w:t>
      </w:r>
      <w:r>
        <w:rPr>
          <w:color w:val="231F20"/>
          <w:spacing w:val="-7"/>
        </w:rPr>
        <w:t xml:space="preserve"> </w:t>
      </w:r>
      <w:r>
        <w:rPr>
          <w:color w:val="231F20"/>
        </w:rPr>
        <w:t>викликають</w:t>
      </w:r>
      <w:r>
        <w:rPr>
          <w:color w:val="231F20"/>
          <w:spacing w:val="-7"/>
        </w:rPr>
        <w:t xml:space="preserve"> </w:t>
      </w:r>
      <w:r>
        <w:rPr>
          <w:color w:val="231F20"/>
        </w:rPr>
        <w:t>або</w:t>
      </w:r>
      <w:r>
        <w:rPr>
          <w:color w:val="231F20"/>
          <w:spacing w:val="-7"/>
        </w:rPr>
        <w:t xml:space="preserve"> </w:t>
      </w:r>
      <w:r>
        <w:rPr>
          <w:color w:val="231F20"/>
        </w:rPr>
        <w:t>можуть</w:t>
      </w:r>
      <w:r>
        <w:rPr>
          <w:color w:val="231F20"/>
          <w:spacing w:val="-7"/>
        </w:rPr>
        <w:t xml:space="preserve"> </w:t>
      </w:r>
      <w:r>
        <w:rPr>
          <w:color w:val="231F20"/>
        </w:rPr>
        <w:t>викликати</w:t>
      </w:r>
      <w:r>
        <w:rPr>
          <w:color w:val="231F20"/>
          <w:spacing w:val="-7"/>
        </w:rPr>
        <w:t xml:space="preserve"> </w:t>
      </w:r>
      <w:r>
        <w:rPr>
          <w:color w:val="231F20"/>
        </w:rPr>
        <w:t>сумнів у неупередженості адміністративного</w:t>
      </w:r>
      <w:r>
        <w:rPr>
          <w:color w:val="231F20"/>
          <w:spacing w:val="-3"/>
        </w:rPr>
        <w:t xml:space="preserve"> </w:t>
      </w:r>
      <w:r>
        <w:rPr>
          <w:color w:val="231F20"/>
        </w:rPr>
        <w:t>органу;</w:t>
      </w:r>
    </w:p>
    <w:p w14:paraId="6CC5A025" w14:textId="77777777" w:rsidR="00DE575E" w:rsidRDefault="002E7560">
      <w:pPr>
        <w:pStyle w:val="ListParagraph"/>
        <w:numPr>
          <w:ilvl w:val="0"/>
          <w:numId w:val="147"/>
        </w:numPr>
        <w:tabs>
          <w:tab w:val="left" w:pos="1101"/>
        </w:tabs>
        <w:spacing w:before="3" w:line="247" w:lineRule="auto"/>
        <w:ind w:right="127" w:firstLine="284"/>
        <w:rPr>
          <w:sz w:val="21"/>
        </w:rPr>
      </w:pPr>
      <w:r>
        <w:rPr>
          <w:i/>
          <w:color w:val="231F20"/>
          <w:sz w:val="21"/>
        </w:rPr>
        <w:t xml:space="preserve">оптимізації </w:t>
      </w:r>
      <w:r>
        <w:rPr>
          <w:color w:val="231F20"/>
          <w:sz w:val="21"/>
        </w:rPr>
        <w:t>адміністративних процедур – адміністративна процедура здійснюється найменш витратним, найбільш економним шляхом;</w:t>
      </w:r>
    </w:p>
    <w:p w14:paraId="749D93AA" w14:textId="77777777" w:rsidR="00DE575E" w:rsidRDefault="002E7560">
      <w:pPr>
        <w:pStyle w:val="ListParagraph"/>
        <w:numPr>
          <w:ilvl w:val="0"/>
          <w:numId w:val="147"/>
        </w:numPr>
        <w:tabs>
          <w:tab w:val="left" w:pos="1101"/>
        </w:tabs>
        <w:spacing w:line="247" w:lineRule="auto"/>
        <w:ind w:right="127" w:firstLine="284"/>
        <w:rPr>
          <w:sz w:val="21"/>
        </w:rPr>
      </w:pPr>
      <w:r>
        <w:rPr>
          <w:i/>
          <w:color w:val="231F20"/>
          <w:sz w:val="21"/>
        </w:rPr>
        <w:t>правової</w:t>
      </w:r>
      <w:r>
        <w:rPr>
          <w:i/>
          <w:color w:val="231F20"/>
          <w:spacing w:val="-14"/>
          <w:sz w:val="21"/>
        </w:rPr>
        <w:t xml:space="preserve"> </w:t>
      </w:r>
      <w:r>
        <w:rPr>
          <w:i/>
          <w:color w:val="231F20"/>
          <w:sz w:val="21"/>
        </w:rPr>
        <w:t>визначеності</w:t>
      </w:r>
      <w:r>
        <w:rPr>
          <w:i/>
          <w:color w:val="231F20"/>
          <w:spacing w:val="-14"/>
          <w:sz w:val="21"/>
        </w:rPr>
        <w:t xml:space="preserve"> </w:t>
      </w:r>
      <w:r>
        <w:rPr>
          <w:color w:val="231F20"/>
          <w:sz w:val="21"/>
        </w:rPr>
        <w:t>–</w:t>
      </w:r>
      <w:r>
        <w:rPr>
          <w:color w:val="231F20"/>
          <w:spacing w:val="-14"/>
          <w:sz w:val="21"/>
        </w:rPr>
        <w:t xml:space="preserve"> </w:t>
      </w:r>
      <w:r>
        <w:rPr>
          <w:color w:val="231F20"/>
          <w:sz w:val="21"/>
        </w:rPr>
        <w:t>зводиться</w:t>
      </w:r>
      <w:r>
        <w:rPr>
          <w:color w:val="231F20"/>
          <w:spacing w:val="-14"/>
          <w:sz w:val="21"/>
        </w:rPr>
        <w:t xml:space="preserve"> </w:t>
      </w:r>
      <w:r>
        <w:rPr>
          <w:color w:val="231F20"/>
          <w:sz w:val="21"/>
        </w:rPr>
        <w:t>до</w:t>
      </w:r>
      <w:r>
        <w:rPr>
          <w:color w:val="231F20"/>
          <w:spacing w:val="-14"/>
          <w:sz w:val="21"/>
        </w:rPr>
        <w:t xml:space="preserve"> </w:t>
      </w:r>
      <w:r>
        <w:rPr>
          <w:color w:val="231F20"/>
          <w:sz w:val="21"/>
        </w:rPr>
        <w:t>ясності</w:t>
      </w:r>
      <w:r>
        <w:rPr>
          <w:color w:val="231F20"/>
          <w:spacing w:val="-14"/>
          <w:sz w:val="21"/>
        </w:rPr>
        <w:t xml:space="preserve"> </w:t>
      </w:r>
      <w:r>
        <w:rPr>
          <w:color w:val="231F20"/>
          <w:sz w:val="21"/>
        </w:rPr>
        <w:t>й</w:t>
      </w:r>
      <w:r>
        <w:rPr>
          <w:color w:val="231F20"/>
          <w:spacing w:val="-14"/>
          <w:sz w:val="21"/>
        </w:rPr>
        <w:t xml:space="preserve"> </w:t>
      </w:r>
      <w:r>
        <w:rPr>
          <w:color w:val="231F20"/>
          <w:sz w:val="21"/>
        </w:rPr>
        <w:t>недвозначності практики здійснення адміністративних процедур, оскільки інше не може</w:t>
      </w:r>
      <w:r>
        <w:rPr>
          <w:color w:val="231F20"/>
          <w:spacing w:val="-6"/>
          <w:sz w:val="21"/>
        </w:rPr>
        <w:t xml:space="preserve"> </w:t>
      </w:r>
      <w:r>
        <w:rPr>
          <w:color w:val="231F20"/>
          <w:sz w:val="21"/>
        </w:rPr>
        <w:t>забезпечити</w:t>
      </w:r>
      <w:r>
        <w:rPr>
          <w:color w:val="231F20"/>
          <w:spacing w:val="-6"/>
          <w:sz w:val="21"/>
        </w:rPr>
        <w:t xml:space="preserve"> </w:t>
      </w:r>
      <w:r>
        <w:rPr>
          <w:color w:val="231F20"/>
          <w:sz w:val="21"/>
        </w:rPr>
        <w:t>її</w:t>
      </w:r>
      <w:r>
        <w:rPr>
          <w:color w:val="231F20"/>
          <w:spacing w:val="-6"/>
          <w:sz w:val="21"/>
        </w:rPr>
        <w:t xml:space="preserve"> </w:t>
      </w:r>
      <w:r>
        <w:rPr>
          <w:color w:val="231F20"/>
          <w:sz w:val="21"/>
        </w:rPr>
        <w:t>однакове</w:t>
      </w:r>
      <w:r>
        <w:rPr>
          <w:color w:val="231F20"/>
          <w:spacing w:val="-6"/>
          <w:sz w:val="21"/>
        </w:rPr>
        <w:t xml:space="preserve"> </w:t>
      </w:r>
      <w:r>
        <w:rPr>
          <w:color w:val="231F20"/>
          <w:sz w:val="21"/>
        </w:rPr>
        <w:t>застосування,</w:t>
      </w:r>
      <w:r>
        <w:rPr>
          <w:color w:val="231F20"/>
          <w:spacing w:val="-6"/>
          <w:sz w:val="21"/>
        </w:rPr>
        <w:t xml:space="preserve"> </w:t>
      </w:r>
      <w:r>
        <w:rPr>
          <w:color w:val="231F20"/>
          <w:sz w:val="21"/>
        </w:rPr>
        <w:t>не</w:t>
      </w:r>
      <w:r>
        <w:rPr>
          <w:color w:val="231F20"/>
          <w:spacing w:val="-6"/>
          <w:sz w:val="21"/>
        </w:rPr>
        <w:t xml:space="preserve"> </w:t>
      </w:r>
      <w:r>
        <w:rPr>
          <w:color w:val="231F20"/>
          <w:sz w:val="21"/>
        </w:rPr>
        <w:t>виключає</w:t>
      </w:r>
      <w:r>
        <w:rPr>
          <w:color w:val="231F20"/>
          <w:spacing w:val="-6"/>
          <w:sz w:val="21"/>
        </w:rPr>
        <w:t xml:space="preserve"> </w:t>
      </w:r>
      <w:r>
        <w:rPr>
          <w:color w:val="231F20"/>
          <w:sz w:val="21"/>
        </w:rPr>
        <w:t>необмеже- ності трактування у правозастосовній практиці й неминуче призво- дить до</w:t>
      </w:r>
      <w:r>
        <w:rPr>
          <w:color w:val="231F20"/>
          <w:spacing w:val="-3"/>
          <w:sz w:val="21"/>
        </w:rPr>
        <w:t xml:space="preserve"> </w:t>
      </w:r>
      <w:r>
        <w:rPr>
          <w:color w:val="231F20"/>
          <w:sz w:val="21"/>
        </w:rPr>
        <w:t>сваволі;</w:t>
      </w:r>
    </w:p>
    <w:p w14:paraId="5C36D412" w14:textId="77777777" w:rsidR="00DE575E" w:rsidRDefault="002E7560">
      <w:pPr>
        <w:pStyle w:val="ListParagraph"/>
        <w:numPr>
          <w:ilvl w:val="0"/>
          <w:numId w:val="147"/>
        </w:numPr>
        <w:tabs>
          <w:tab w:val="left" w:pos="1101"/>
        </w:tabs>
        <w:spacing w:before="2" w:line="247" w:lineRule="auto"/>
        <w:ind w:right="128" w:firstLine="284"/>
        <w:rPr>
          <w:sz w:val="21"/>
        </w:rPr>
      </w:pPr>
      <w:r>
        <w:rPr>
          <w:i/>
          <w:color w:val="231F20"/>
          <w:sz w:val="21"/>
        </w:rPr>
        <w:t xml:space="preserve">підконтрольності </w:t>
      </w:r>
      <w:r>
        <w:rPr>
          <w:color w:val="231F20"/>
          <w:sz w:val="21"/>
        </w:rPr>
        <w:t>– полягає в існуванні в державі системи контрольних</w:t>
      </w:r>
      <w:r>
        <w:rPr>
          <w:color w:val="231F20"/>
          <w:spacing w:val="-8"/>
          <w:sz w:val="21"/>
        </w:rPr>
        <w:t xml:space="preserve"> </w:t>
      </w:r>
      <w:r>
        <w:rPr>
          <w:color w:val="231F20"/>
          <w:sz w:val="21"/>
        </w:rPr>
        <w:t>органів</w:t>
      </w:r>
      <w:r>
        <w:rPr>
          <w:color w:val="231F20"/>
          <w:spacing w:val="-8"/>
          <w:sz w:val="21"/>
        </w:rPr>
        <w:t xml:space="preserve"> </w:t>
      </w:r>
      <w:r>
        <w:rPr>
          <w:color w:val="231F20"/>
          <w:sz w:val="21"/>
        </w:rPr>
        <w:t>і</w:t>
      </w:r>
      <w:r>
        <w:rPr>
          <w:color w:val="231F20"/>
          <w:spacing w:val="-9"/>
          <w:sz w:val="21"/>
        </w:rPr>
        <w:t xml:space="preserve"> </w:t>
      </w:r>
      <w:r>
        <w:rPr>
          <w:color w:val="231F20"/>
          <w:sz w:val="21"/>
        </w:rPr>
        <w:t>відповідних</w:t>
      </w:r>
      <w:r>
        <w:rPr>
          <w:color w:val="231F20"/>
          <w:spacing w:val="-8"/>
          <w:sz w:val="21"/>
        </w:rPr>
        <w:t xml:space="preserve"> </w:t>
      </w:r>
      <w:r>
        <w:rPr>
          <w:color w:val="231F20"/>
          <w:sz w:val="21"/>
        </w:rPr>
        <w:t>механізмів,</w:t>
      </w:r>
      <w:r>
        <w:rPr>
          <w:color w:val="231F20"/>
          <w:spacing w:val="-8"/>
          <w:sz w:val="21"/>
        </w:rPr>
        <w:t xml:space="preserve"> </w:t>
      </w:r>
      <w:r>
        <w:rPr>
          <w:color w:val="231F20"/>
          <w:sz w:val="21"/>
        </w:rPr>
        <w:t>які</w:t>
      </w:r>
      <w:r>
        <w:rPr>
          <w:color w:val="231F20"/>
          <w:spacing w:val="-8"/>
          <w:sz w:val="21"/>
        </w:rPr>
        <w:t xml:space="preserve"> </w:t>
      </w:r>
      <w:r>
        <w:rPr>
          <w:color w:val="231F20"/>
          <w:sz w:val="21"/>
        </w:rPr>
        <w:t>дозволяють</w:t>
      </w:r>
      <w:r>
        <w:rPr>
          <w:color w:val="231F20"/>
          <w:spacing w:val="-8"/>
          <w:sz w:val="21"/>
        </w:rPr>
        <w:t xml:space="preserve"> </w:t>
      </w:r>
      <w:r>
        <w:rPr>
          <w:color w:val="231F20"/>
          <w:sz w:val="21"/>
        </w:rPr>
        <w:t>ефек- ти</w:t>
      </w:r>
      <w:r>
        <w:rPr>
          <w:color w:val="231F20"/>
          <w:sz w:val="21"/>
        </w:rPr>
        <w:t>вно контролювати порядок здійснення адміністративних проце- дур і за потреби коригувати дії безпосередніх</w:t>
      </w:r>
      <w:r>
        <w:rPr>
          <w:color w:val="231F20"/>
          <w:spacing w:val="-13"/>
          <w:sz w:val="21"/>
        </w:rPr>
        <w:t xml:space="preserve"> </w:t>
      </w:r>
      <w:r>
        <w:rPr>
          <w:color w:val="231F20"/>
          <w:sz w:val="21"/>
        </w:rPr>
        <w:t>виконавців;</w:t>
      </w:r>
    </w:p>
    <w:p w14:paraId="3E72A55C" w14:textId="77777777" w:rsidR="00DE575E" w:rsidRDefault="002E7560">
      <w:pPr>
        <w:pStyle w:val="ListParagraph"/>
        <w:numPr>
          <w:ilvl w:val="0"/>
          <w:numId w:val="147"/>
        </w:numPr>
        <w:tabs>
          <w:tab w:val="left" w:pos="1101"/>
        </w:tabs>
        <w:spacing w:before="2" w:line="247" w:lineRule="auto"/>
        <w:ind w:right="126" w:firstLine="284"/>
        <w:rPr>
          <w:sz w:val="21"/>
        </w:rPr>
      </w:pPr>
      <w:r>
        <w:rPr>
          <w:i/>
          <w:color w:val="231F20"/>
          <w:sz w:val="21"/>
        </w:rPr>
        <w:t xml:space="preserve">презюмованої правомірності правової позиції заявника </w:t>
      </w:r>
      <w:r>
        <w:rPr>
          <w:color w:val="231F20"/>
          <w:sz w:val="21"/>
        </w:rPr>
        <w:t xml:space="preserve">– прин- цип, відповідно до якого особа, яка подає </w:t>
      </w:r>
      <w:r>
        <w:rPr>
          <w:color w:val="231F20"/>
          <w:spacing w:val="-3"/>
          <w:sz w:val="21"/>
        </w:rPr>
        <w:t xml:space="preserve">заяву, </w:t>
      </w:r>
      <w:r>
        <w:rPr>
          <w:color w:val="231F20"/>
          <w:sz w:val="21"/>
        </w:rPr>
        <w:t xml:space="preserve">вважається такою, що має нормативно визначені підстави для можливості звернення, а </w:t>
      </w:r>
      <w:r>
        <w:rPr>
          <w:color w:val="231F20"/>
          <w:spacing w:val="-3"/>
          <w:sz w:val="21"/>
        </w:rPr>
        <w:t xml:space="preserve">розгляд </w:t>
      </w:r>
      <w:r>
        <w:rPr>
          <w:color w:val="231F20"/>
          <w:sz w:val="21"/>
        </w:rPr>
        <w:t>індивідуальної справи та підготовка адміністративного акта відбуваються з акцентом на сутність викладеного прохання заявника.</w:t>
      </w:r>
      <w:r>
        <w:rPr>
          <w:color w:val="231F20"/>
          <w:spacing w:val="-10"/>
          <w:sz w:val="21"/>
        </w:rPr>
        <w:t xml:space="preserve"> </w:t>
      </w:r>
      <w:r>
        <w:rPr>
          <w:color w:val="231F20"/>
          <w:sz w:val="21"/>
        </w:rPr>
        <w:t>Відповідно</w:t>
      </w:r>
      <w:r>
        <w:rPr>
          <w:color w:val="231F20"/>
          <w:spacing w:val="-11"/>
          <w:sz w:val="21"/>
        </w:rPr>
        <w:t xml:space="preserve"> </w:t>
      </w:r>
      <w:r>
        <w:rPr>
          <w:color w:val="231F20"/>
          <w:sz w:val="21"/>
        </w:rPr>
        <w:t>всі</w:t>
      </w:r>
      <w:r>
        <w:rPr>
          <w:color w:val="231F20"/>
          <w:spacing w:val="-10"/>
          <w:sz w:val="21"/>
        </w:rPr>
        <w:t xml:space="preserve"> </w:t>
      </w:r>
      <w:r>
        <w:rPr>
          <w:color w:val="231F20"/>
          <w:sz w:val="21"/>
        </w:rPr>
        <w:t>сумніви</w:t>
      </w:r>
      <w:r>
        <w:rPr>
          <w:color w:val="231F20"/>
          <w:spacing w:val="-11"/>
          <w:sz w:val="21"/>
        </w:rPr>
        <w:t xml:space="preserve"> </w:t>
      </w:r>
      <w:r>
        <w:rPr>
          <w:color w:val="231F20"/>
          <w:sz w:val="21"/>
        </w:rPr>
        <w:t>щодо</w:t>
      </w:r>
      <w:r>
        <w:rPr>
          <w:color w:val="231F20"/>
          <w:spacing w:val="-11"/>
          <w:sz w:val="21"/>
        </w:rPr>
        <w:t xml:space="preserve"> </w:t>
      </w:r>
      <w:r>
        <w:rPr>
          <w:color w:val="231F20"/>
          <w:sz w:val="21"/>
        </w:rPr>
        <w:t>правомірнос</w:t>
      </w:r>
      <w:r>
        <w:rPr>
          <w:color w:val="231F20"/>
          <w:sz w:val="21"/>
        </w:rPr>
        <w:t>ті</w:t>
      </w:r>
      <w:r>
        <w:rPr>
          <w:color w:val="231F20"/>
          <w:spacing w:val="-11"/>
          <w:sz w:val="21"/>
        </w:rPr>
        <w:t xml:space="preserve"> </w:t>
      </w:r>
      <w:r>
        <w:rPr>
          <w:color w:val="231F20"/>
          <w:sz w:val="21"/>
        </w:rPr>
        <w:t>правової</w:t>
      </w:r>
      <w:r>
        <w:rPr>
          <w:color w:val="231F20"/>
          <w:spacing w:val="-11"/>
          <w:sz w:val="21"/>
        </w:rPr>
        <w:t xml:space="preserve"> </w:t>
      </w:r>
      <w:r>
        <w:rPr>
          <w:color w:val="231F20"/>
          <w:sz w:val="21"/>
        </w:rPr>
        <w:t>пози- ції заявника мають тлумачитися на його</w:t>
      </w:r>
      <w:r>
        <w:rPr>
          <w:color w:val="231F20"/>
          <w:spacing w:val="-7"/>
          <w:sz w:val="21"/>
        </w:rPr>
        <w:t xml:space="preserve"> </w:t>
      </w:r>
      <w:r>
        <w:rPr>
          <w:color w:val="231F20"/>
          <w:sz w:val="21"/>
        </w:rPr>
        <w:t>користь.</w:t>
      </w:r>
    </w:p>
    <w:p w14:paraId="4F3E86B3" w14:textId="77777777" w:rsidR="00DE575E" w:rsidRDefault="00DE575E">
      <w:pPr>
        <w:pStyle w:val="BodyText"/>
        <w:spacing w:before="10"/>
      </w:pPr>
    </w:p>
    <w:p w14:paraId="2CC2576C" w14:textId="77777777" w:rsidR="00DE575E" w:rsidRDefault="002E7560">
      <w:pPr>
        <w:pStyle w:val="Heading5"/>
        <w:numPr>
          <w:ilvl w:val="2"/>
          <w:numId w:val="148"/>
        </w:numPr>
        <w:tabs>
          <w:tab w:val="left" w:pos="1383"/>
        </w:tabs>
        <w:spacing w:line="247" w:lineRule="auto"/>
        <w:ind w:right="2830" w:firstLine="0"/>
      </w:pPr>
      <w:r>
        <w:rPr>
          <w:color w:val="231F20"/>
        </w:rPr>
        <w:t>Зміст спеціальних принципів адміністративної</w:t>
      </w:r>
      <w:r>
        <w:rPr>
          <w:color w:val="231F20"/>
          <w:spacing w:val="-3"/>
        </w:rPr>
        <w:t xml:space="preserve"> </w:t>
      </w:r>
      <w:r>
        <w:rPr>
          <w:color w:val="231F20"/>
        </w:rPr>
        <w:t>процедури</w:t>
      </w:r>
    </w:p>
    <w:p w14:paraId="36A08E45" w14:textId="77777777" w:rsidR="00DE575E" w:rsidRDefault="00DE575E">
      <w:pPr>
        <w:pStyle w:val="BodyText"/>
        <w:spacing w:before="9"/>
        <w:rPr>
          <w:b/>
        </w:rPr>
      </w:pPr>
    </w:p>
    <w:p w14:paraId="487EC435" w14:textId="77777777" w:rsidR="00DE575E" w:rsidRDefault="002E7560">
      <w:pPr>
        <w:pStyle w:val="BodyText"/>
        <w:spacing w:line="247" w:lineRule="auto"/>
        <w:ind w:left="533" w:right="127" w:firstLine="283"/>
        <w:jc w:val="both"/>
      </w:pPr>
      <w:r>
        <w:rPr>
          <w:color w:val="231F20"/>
        </w:rPr>
        <w:t>Виокремлення спеціальних принципів адміністративної проце- дури передусім базується на Резолюції Ради Європи (77) 31 «Про захист особи відносно актів адміністративних органів» (ухвалена Комітетом Міністрів Ради Європи від 28.09.1977 р.). Саме тому більша ч</w:t>
      </w:r>
      <w:r>
        <w:rPr>
          <w:color w:val="231F20"/>
        </w:rPr>
        <w:t>астина сформульованих нижче принципів як першодже- рело базується на сутності й коментуванні принципів, зазначених   у</w:t>
      </w:r>
      <w:r>
        <w:rPr>
          <w:color w:val="231F20"/>
          <w:spacing w:val="-2"/>
        </w:rPr>
        <w:t xml:space="preserve"> </w:t>
      </w:r>
      <w:r>
        <w:rPr>
          <w:color w:val="231F20"/>
        </w:rPr>
        <w:t>Резолюції</w:t>
      </w:r>
      <w:r>
        <w:rPr>
          <w:color w:val="231F20"/>
          <w:position w:val="7"/>
          <w:sz w:val="12"/>
        </w:rPr>
        <w:t>1</w:t>
      </w:r>
      <w:r>
        <w:rPr>
          <w:color w:val="231F20"/>
        </w:rPr>
        <w:t>.</w:t>
      </w:r>
    </w:p>
    <w:p w14:paraId="423A089C" w14:textId="1C399CA8" w:rsidR="00DE575E" w:rsidRDefault="002E7560">
      <w:pPr>
        <w:pStyle w:val="BodyText"/>
        <w:spacing w:before="7"/>
        <w:rPr>
          <w:sz w:val="26"/>
        </w:rPr>
      </w:pPr>
      <w:r>
        <w:rPr>
          <w:noProof/>
        </w:rPr>
        <mc:AlternateContent>
          <mc:Choice Requires="wps">
            <w:drawing>
              <wp:anchor distT="0" distB="0" distL="0" distR="0" simplePos="0" relativeHeight="11848" behindDoc="0" locked="0" layoutInCell="1" allowOverlap="1" wp14:anchorId="5CB97089" wp14:editId="0D193CAE">
                <wp:simplePos x="0" y="0"/>
                <wp:positionH relativeFrom="page">
                  <wp:posOffset>719455</wp:posOffset>
                </wp:positionH>
                <wp:positionV relativeFrom="paragraph">
                  <wp:posOffset>226060</wp:posOffset>
                </wp:positionV>
                <wp:extent cx="1080135" cy="0"/>
                <wp:effectExtent l="8255" t="10160" r="29210" b="27940"/>
                <wp:wrapTopAndBottom/>
                <wp:docPr id="657"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B8BB" id="Line_x0020_656" o:spid="_x0000_s1026" style="position:absolute;z-index:1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8pt" to="141.7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" strokecolor="#231f20" strokeweight=".5pt">
                <w10:wrap type="topAndBottom" anchorx="page"/>
              </v:line>
            </w:pict>
          </mc:Fallback>
        </mc:AlternateContent>
      </w:r>
    </w:p>
    <w:p w14:paraId="47691CF7" w14:textId="77777777" w:rsidR="00DE575E" w:rsidRDefault="002E7560">
      <w:pPr>
        <w:spacing w:line="204" w:lineRule="auto"/>
        <w:ind w:left="533" w:right="145"/>
        <w:rPr>
          <w:sz w:val="16"/>
        </w:rPr>
      </w:pPr>
      <w:r>
        <w:rPr>
          <w:color w:val="231F20"/>
          <w:position w:val="5"/>
          <w:sz w:val="9"/>
        </w:rPr>
        <w:t xml:space="preserve">1 </w:t>
      </w:r>
      <w:r>
        <w:rPr>
          <w:color w:val="231F20"/>
          <w:sz w:val="16"/>
        </w:rPr>
        <w:t>Адміністративна процедура та адміністративні послуги. Зарубіжний досвід і пропози- ції для України / Автор-упорядник В. Т</w:t>
      </w:r>
      <w:r>
        <w:rPr>
          <w:color w:val="231F20"/>
          <w:sz w:val="16"/>
        </w:rPr>
        <w:t xml:space="preserve">имощук. Київ: </w:t>
      </w:r>
      <w:r>
        <w:rPr>
          <w:color w:val="231F20"/>
          <w:spacing w:val="-4"/>
          <w:sz w:val="16"/>
        </w:rPr>
        <w:t xml:space="preserve">Факт, </w:t>
      </w:r>
      <w:r>
        <w:rPr>
          <w:color w:val="231F20"/>
          <w:sz w:val="16"/>
        </w:rPr>
        <w:t>2003. 496</w:t>
      </w:r>
      <w:r>
        <w:rPr>
          <w:color w:val="231F20"/>
          <w:spacing w:val="-5"/>
          <w:sz w:val="16"/>
        </w:rPr>
        <w:t xml:space="preserve"> </w:t>
      </w:r>
      <w:r>
        <w:rPr>
          <w:color w:val="231F20"/>
          <w:sz w:val="16"/>
        </w:rPr>
        <w:t>с.</w:t>
      </w:r>
    </w:p>
    <w:p w14:paraId="268916D5" w14:textId="77777777" w:rsidR="00DE575E" w:rsidRDefault="00DE575E">
      <w:pPr>
        <w:pStyle w:val="BodyText"/>
        <w:spacing w:before="1"/>
        <w:rPr>
          <w:sz w:val="12"/>
        </w:rPr>
      </w:pPr>
    </w:p>
    <w:p w14:paraId="743DC0D1" w14:textId="77777777" w:rsidR="00DE575E" w:rsidRDefault="002E7560">
      <w:pPr>
        <w:spacing w:before="92"/>
        <w:ind w:left="533"/>
        <w:rPr>
          <w:rFonts w:ascii="Times New Roman"/>
          <w:sz w:val="20"/>
        </w:rPr>
      </w:pPr>
      <w:r>
        <w:rPr>
          <w:rFonts w:ascii="Times New Roman"/>
          <w:color w:val="231F20"/>
          <w:sz w:val="20"/>
        </w:rPr>
        <w:t>300</w:t>
      </w:r>
    </w:p>
    <w:p w14:paraId="001B1129" w14:textId="77777777" w:rsidR="00DE575E" w:rsidRDefault="00DE575E">
      <w:pPr>
        <w:rPr>
          <w:rFonts w:ascii="Times New Roman"/>
          <w:sz w:val="20"/>
        </w:rPr>
        <w:sectPr w:rsidR="00DE575E">
          <w:pgSz w:w="8510" w:h="12760"/>
          <w:pgMar w:top="660" w:right="720" w:bottom="280" w:left="600" w:header="720" w:footer="720" w:gutter="0"/>
          <w:cols w:space="720"/>
        </w:sectPr>
      </w:pPr>
    </w:p>
    <w:p w14:paraId="296DEF7E"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798984F2" w14:textId="2C8CB64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11F13B5" wp14:editId="2D79966E">
                <wp:extent cx="4140200" cy="6350"/>
                <wp:effectExtent l="0" t="0" r="12700" b="6350"/>
                <wp:docPr id="655"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56" name="Line 6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A7F07E" id="Group_x0020_6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gONxR/AgAAmAUAAA4A&#10;AAAAAAAAAAAAAAAALAIAAGRycy9lMm9Eb2MueG1sUEsBAi0AFAAGAAgAAAAhAEynsJDZAAAAAwEA&#10;AA8AAAAAAAAAAAAAAAAA1wQAAGRycy9kb3ducmV2LnhtbFBLBQYAAAAABAAEAPMAAADdBQAAAAA=&#10;">
                <v:line id="Line_x0020_6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iW4sYAAADcAAAADwAAAGRycy9kb3ducmV2LnhtbESP3WrCQBSE7wu+w3KE3pS6aaWhpK4i&#10;BUG88C8+wDF7mgR3z8bsamKfvisUvBxm5htmMuutEVdqfe1YwdsoAUFcOF1zqeCQL14/QfiArNE4&#10;JgU38jCbDp4mmGnX8Y6u+1CKCGGfoYIqhCaT0hcVWfQj1xBH78e1FkOUbSl1i12EWyPfkySVFmuO&#10;CxU29F1RcdpfrIL8/BLMdrMyXb45juXxvB7/XtZKPQ/7+ReIQH14hP/bS60g/UjhfiYeATn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4luLGAAAA3AAAAA8AAAAAAAAA&#10;AAAAAAAAoQIAAGRycy9kb3ducmV2LnhtbFBLBQYAAAAABAAEAPkAAACUAwAAAAA=&#10;" strokecolor="#231f20" strokeweight=".5pt"/>
                <w10:anchorlock/>
              </v:group>
            </w:pict>
          </mc:Fallback>
        </mc:AlternateContent>
      </w:r>
    </w:p>
    <w:p w14:paraId="2BBE2DC7" w14:textId="77777777" w:rsidR="00DE575E" w:rsidRDefault="00DE575E">
      <w:pPr>
        <w:pStyle w:val="BodyText"/>
        <w:spacing w:before="7"/>
        <w:rPr>
          <w:rFonts w:ascii="AdonisC"/>
          <w:i/>
          <w:sz w:val="19"/>
        </w:rPr>
      </w:pPr>
    </w:p>
    <w:p w14:paraId="39EEFA7E" w14:textId="77777777" w:rsidR="00DE575E" w:rsidRDefault="002E7560">
      <w:pPr>
        <w:pStyle w:val="BodyText"/>
        <w:spacing w:before="1" w:line="252" w:lineRule="auto"/>
        <w:ind w:left="250" w:right="410" w:firstLine="283"/>
        <w:jc w:val="both"/>
      </w:pPr>
      <w:r>
        <w:rPr>
          <w:color w:val="231F20"/>
          <w:spacing w:val="-3"/>
        </w:rPr>
        <w:t xml:space="preserve">Україна </w:t>
      </w:r>
      <w:r>
        <w:rPr>
          <w:color w:val="231F20"/>
        </w:rPr>
        <w:t>є членом Ради Європи з 1995 р. У преамбулі Резолюції зазначено: ураховуючи, що незалежно від відмінностей в адмініст- ративних</w:t>
      </w:r>
      <w:r>
        <w:rPr>
          <w:color w:val="231F20"/>
          <w:spacing w:val="-9"/>
        </w:rPr>
        <w:t xml:space="preserve"> </w:t>
      </w:r>
      <w:r>
        <w:rPr>
          <w:color w:val="231F20"/>
        </w:rPr>
        <w:t>і</w:t>
      </w:r>
      <w:r>
        <w:rPr>
          <w:color w:val="231F20"/>
          <w:spacing w:val="-8"/>
        </w:rPr>
        <w:t xml:space="preserve"> </w:t>
      </w:r>
      <w:r>
        <w:rPr>
          <w:color w:val="231F20"/>
        </w:rPr>
        <w:t>правових</w:t>
      </w:r>
      <w:r>
        <w:rPr>
          <w:color w:val="231F20"/>
          <w:spacing w:val="-9"/>
        </w:rPr>
        <w:t xml:space="preserve"> </w:t>
      </w:r>
      <w:r>
        <w:rPr>
          <w:color w:val="231F20"/>
        </w:rPr>
        <w:t>системах</w:t>
      </w:r>
      <w:r>
        <w:rPr>
          <w:color w:val="231F20"/>
          <w:spacing w:val="-9"/>
        </w:rPr>
        <w:t xml:space="preserve"> </w:t>
      </w:r>
      <w:r>
        <w:rPr>
          <w:color w:val="231F20"/>
        </w:rPr>
        <w:t>держав-членів,</w:t>
      </w:r>
      <w:r>
        <w:rPr>
          <w:color w:val="231F20"/>
          <w:spacing w:val="-9"/>
        </w:rPr>
        <w:t xml:space="preserve"> </w:t>
      </w:r>
      <w:r>
        <w:rPr>
          <w:color w:val="231F20"/>
        </w:rPr>
        <w:t>переважно</w:t>
      </w:r>
      <w:r>
        <w:rPr>
          <w:color w:val="231F20"/>
          <w:spacing w:val="-9"/>
        </w:rPr>
        <w:t xml:space="preserve"> </w:t>
      </w:r>
      <w:r>
        <w:rPr>
          <w:color w:val="231F20"/>
          <w:spacing w:val="-3"/>
        </w:rPr>
        <w:t>було</w:t>
      </w:r>
      <w:r>
        <w:rPr>
          <w:color w:val="231F20"/>
          <w:spacing w:val="-9"/>
        </w:rPr>
        <w:t xml:space="preserve"> </w:t>
      </w:r>
      <w:r>
        <w:rPr>
          <w:color w:val="231F20"/>
        </w:rPr>
        <w:t>досяг- нуто згоди щодо фундаментал</w:t>
      </w:r>
      <w:r>
        <w:rPr>
          <w:color w:val="231F20"/>
        </w:rPr>
        <w:t>ьних принципів, на яких мають базу- ватися</w:t>
      </w:r>
      <w:r>
        <w:rPr>
          <w:color w:val="231F20"/>
          <w:spacing w:val="-13"/>
        </w:rPr>
        <w:t xml:space="preserve"> </w:t>
      </w:r>
      <w:r>
        <w:rPr>
          <w:color w:val="231F20"/>
        </w:rPr>
        <w:t>адміністративні</w:t>
      </w:r>
      <w:r>
        <w:rPr>
          <w:color w:val="231F20"/>
          <w:spacing w:val="-13"/>
        </w:rPr>
        <w:t xml:space="preserve"> </w:t>
      </w:r>
      <w:r>
        <w:rPr>
          <w:color w:val="231F20"/>
        </w:rPr>
        <w:t>процедури,</w:t>
      </w:r>
      <w:r>
        <w:rPr>
          <w:color w:val="231F20"/>
          <w:spacing w:val="-13"/>
        </w:rPr>
        <w:t xml:space="preserve"> </w:t>
      </w:r>
      <w:r>
        <w:rPr>
          <w:color w:val="231F20"/>
        </w:rPr>
        <w:t>і</w:t>
      </w:r>
      <w:r>
        <w:rPr>
          <w:color w:val="231F20"/>
          <w:spacing w:val="-12"/>
        </w:rPr>
        <w:t xml:space="preserve"> </w:t>
      </w:r>
      <w:r>
        <w:rPr>
          <w:color w:val="231F20"/>
        </w:rPr>
        <w:t>особливо</w:t>
      </w:r>
      <w:r>
        <w:rPr>
          <w:color w:val="231F20"/>
          <w:spacing w:val="-13"/>
        </w:rPr>
        <w:t xml:space="preserve"> </w:t>
      </w:r>
      <w:r>
        <w:rPr>
          <w:color w:val="231F20"/>
        </w:rPr>
        <w:t>це</w:t>
      </w:r>
      <w:r>
        <w:rPr>
          <w:color w:val="231F20"/>
          <w:spacing w:val="-13"/>
        </w:rPr>
        <w:t xml:space="preserve"> </w:t>
      </w:r>
      <w:r>
        <w:rPr>
          <w:color w:val="231F20"/>
        </w:rPr>
        <w:t>стосується</w:t>
      </w:r>
      <w:r>
        <w:rPr>
          <w:color w:val="231F20"/>
          <w:spacing w:val="-13"/>
        </w:rPr>
        <w:t xml:space="preserve"> </w:t>
      </w:r>
      <w:r>
        <w:rPr>
          <w:color w:val="231F20"/>
        </w:rPr>
        <w:t>потреби забезпечення справедливості у відносинах між особою та адмініст- ративними</w:t>
      </w:r>
      <w:r>
        <w:rPr>
          <w:color w:val="231F20"/>
          <w:spacing w:val="-2"/>
        </w:rPr>
        <w:t xml:space="preserve"> </w:t>
      </w:r>
      <w:r>
        <w:rPr>
          <w:color w:val="231F20"/>
        </w:rPr>
        <w:t>органами.</w:t>
      </w:r>
    </w:p>
    <w:p w14:paraId="200C8D64" w14:textId="77777777" w:rsidR="00DE575E" w:rsidRDefault="002E7560">
      <w:pPr>
        <w:pStyle w:val="BodyText"/>
        <w:spacing w:before="3" w:line="252" w:lineRule="auto"/>
        <w:ind w:left="250" w:right="410" w:firstLine="283"/>
        <w:jc w:val="both"/>
      </w:pPr>
      <w:r>
        <w:rPr>
          <w:color w:val="231F20"/>
        </w:rPr>
        <w:t>Пояснювальна ж записка Резолюції містить положення, відпо- відно до яких однією з характерних рис розвитку сучасної держави є постійне зростання важливості діяльності публічної адміністрації. З самого початку цього століття органи публічної влади додатково</w:t>
      </w:r>
      <w:r>
        <w:rPr>
          <w:color w:val="231F20"/>
        </w:rPr>
        <w:t xml:space="preserve"> до свого традиційного завдання гарантувати законність і порядок додали ще широке коло різних дій, спрямованих на забезпечення добробуту громадян і сприяння розвитку соціальних і</w:t>
      </w:r>
      <w:r>
        <w:rPr>
          <w:color w:val="231F20"/>
          <w:spacing w:val="-32"/>
        </w:rPr>
        <w:t xml:space="preserve"> </w:t>
      </w:r>
      <w:r>
        <w:rPr>
          <w:color w:val="231F20"/>
        </w:rPr>
        <w:t xml:space="preserve">матеріальних умов життя суспільства. </w:t>
      </w:r>
      <w:r>
        <w:rPr>
          <w:color w:val="231F20"/>
          <w:spacing w:val="-3"/>
        </w:rPr>
        <w:t xml:space="preserve">Результатом </w:t>
      </w:r>
      <w:r>
        <w:rPr>
          <w:color w:val="231F20"/>
        </w:rPr>
        <w:t>такого розвитку є те, що адм</w:t>
      </w:r>
      <w:r>
        <w:rPr>
          <w:color w:val="231F20"/>
        </w:rPr>
        <w:t>і- ністративні процедури частіше впливають на</w:t>
      </w:r>
      <w:r>
        <w:rPr>
          <w:color w:val="231F20"/>
          <w:spacing w:val="-4"/>
        </w:rPr>
        <w:t xml:space="preserve"> </w:t>
      </w:r>
      <w:r>
        <w:rPr>
          <w:color w:val="231F20"/>
          <w:spacing w:val="-3"/>
        </w:rPr>
        <w:t>особу.</w:t>
      </w:r>
    </w:p>
    <w:p w14:paraId="1C98F219" w14:textId="77777777" w:rsidR="00DE575E" w:rsidRDefault="002E7560">
      <w:pPr>
        <w:pStyle w:val="BodyText"/>
        <w:spacing w:before="5" w:line="252" w:lineRule="auto"/>
        <w:ind w:left="250" w:right="411" w:firstLine="283"/>
        <w:jc w:val="both"/>
      </w:pPr>
      <w:r>
        <w:rPr>
          <w:color w:val="231F20"/>
        </w:rPr>
        <w:t xml:space="preserve">Отже, у різних державах </w:t>
      </w:r>
      <w:r>
        <w:rPr>
          <w:color w:val="231F20"/>
          <w:spacing w:val="-3"/>
        </w:rPr>
        <w:t xml:space="preserve">було </w:t>
      </w:r>
      <w:r>
        <w:rPr>
          <w:color w:val="231F20"/>
        </w:rPr>
        <w:t>докладено зусилля для вдоскона- лення процедурних  відносин  між громадянином і адміністрацією  з</w:t>
      </w:r>
      <w:r>
        <w:rPr>
          <w:color w:val="231F20"/>
          <w:spacing w:val="-14"/>
        </w:rPr>
        <w:t xml:space="preserve"> </w:t>
      </w:r>
      <w:r>
        <w:rPr>
          <w:color w:val="231F20"/>
        </w:rPr>
        <w:t>метою</w:t>
      </w:r>
      <w:r>
        <w:rPr>
          <w:color w:val="231F20"/>
          <w:spacing w:val="-14"/>
        </w:rPr>
        <w:t xml:space="preserve"> </w:t>
      </w:r>
      <w:r>
        <w:rPr>
          <w:color w:val="231F20"/>
        </w:rPr>
        <w:t>прийняття</w:t>
      </w:r>
      <w:r>
        <w:rPr>
          <w:color w:val="231F20"/>
          <w:spacing w:val="-14"/>
        </w:rPr>
        <w:t xml:space="preserve"> </w:t>
      </w:r>
      <w:r>
        <w:rPr>
          <w:color w:val="231F20"/>
        </w:rPr>
        <w:t>правил,</w:t>
      </w:r>
      <w:r>
        <w:rPr>
          <w:color w:val="231F20"/>
          <w:spacing w:val="-14"/>
        </w:rPr>
        <w:t xml:space="preserve"> </w:t>
      </w:r>
      <w:r>
        <w:rPr>
          <w:color w:val="231F20"/>
        </w:rPr>
        <w:t>які</w:t>
      </w:r>
      <w:r>
        <w:rPr>
          <w:color w:val="231F20"/>
          <w:spacing w:val="-14"/>
        </w:rPr>
        <w:t xml:space="preserve"> </w:t>
      </w:r>
      <w:r>
        <w:rPr>
          <w:color w:val="231F20"/>
        </w:rPr>
        <w:t>забезпечать</w:t>
      </w:r>
      <w:r>
        <w:rPr>
          <w:color w:val="231F20"/>
          <w:spacing w:val="-14"/>
        </w:rPr>
        <w:t xml:space="preserve"> </w:t>
      </w:r>
      <w:r>
        <w:rPr>
          <w:color w:val="231F20"/>
        </w:rPr>
        <w:t>справедливість</w:t>
      </w:r>
      <w:r>
        <w:rPr>
          <w:color w:val="231F20"/>
          <w:spacing w:val="-14"/>
        </w:rPr>
        <w:t xml:space="preserve"> </w:t>
      </w:r>
      <w:r>
        <w:rPr>
          <w:color w:val="231F20"/>
        </w:rPr>
        <w:t>у</w:t>
      </w:r>
      <w:r>
        <w:rPr>
          <w:color w:val="231F20"/>
          <w:spacing w:val="-13"/>
        </w:rPr>
        <w:t xml:space="preserve"> </w:t>
      </w:r>
      <w:r>
        <w:rPr>
          <w:color w:val="231F20"/>
        </w:rPr>
        <w:t>стосун- ках між громадянами й адміністративними</w:t>
      </w:r>
      <w:r>
        <w:rPr>
          <w:color w:val="231F20"/>
          <w:spacing w:val="-7"/>
        </w:rPr>
        <w:t xml:space="preserve"> </w:t>
      </w:r>
      <w:r>
        <w:rPr>
          <w:color w:val="231F20"/>
        </w:rPr>
        <w:t>органами.</w:t>
      </w:r>
    </w:p>
    <w:p w14:paraId="328C6879" w14:textId="77777777" w:rsidR="00DE575E" w:rsidRDefault="002E7560">
      <w:pPr>
        <w:pStyle w:val="BodyText"/>
        <w:spacing w:before="2" w:line="252" w:lineRule="auto"/>
        <w:ind w:left="250" w:right="410" w:firstLine="283"/>
        <w:jc w:val="both"/>
      </w:pPr>
      <w:r>
        <w:rPr>
          <w:b/>
          <w:i/>
          <w:color w:val="231F20"/>
        </w:rPr>
        <w:t>Принцип рівності перед законом</w:t>
      </w:r>
      <w:r>
        <w:rPr>
          <w:color w:val="231F20"/>
        </w:rPr>
        <w:t>. Цей принцип випливає з положень ст. 24 Конституції України, де зазначено, що громадяни мають рівні конституційні права і свободи та є рівними перед зако- ном. Принцип</w:t>
      </w:r>
      <w:r>
        <w:rPr>
          <w:color w:val="231F20"/>
        </w:rPr>
        <w:t xml:space="preserve"> рівності перед законом має створювати для суб’єктів публічного адміністрування рівні умови для реалізації прав заяв- ників. Водночас закріплення дії цього принципу передбачає форму- вання спеціальних процедурних правил.</w:t>
      </w:r>
    </w:p>
    <w:p w14:paraId="4F90B70F" w14:textId="77777777" w:rsidR="00DE575E" w:rsidRDefault="002E7560">
      <w:pPr>
        <w:pStyle w:val="BodyText"/>
        <w:spacing w:before="3"/>
        <w:ind w:left="533"/>
      </w:pPr>
      <w:r>
        <w:rPr>
          <w:color w:val="231F20"/>
        </w:rPr>
        <w:t>Юридичною основою для цього є:</w:t>
      </w:r>
    </w:p>
    <w:p w14:paraId="7DCB90C3" w14:textId="77777777" w:rsidR="00DE575E" w:rsidRDefault="002E7560">
      <w:pPr>
        <w:pStyle w:val="ListParagraph"/>
        <w:numPr>
          <w:ilvl w:val="0"/>
          <w:numId w:val="146"/>
        </w:numPr>
        <w:tabs>
          <w:tab w:val="left" w:pos="818"/>
        </w:tabs>
        <w:spacing w:before="13" w:line="252" w:lineRule="auto"/>
        <w:ind w:right="411" w:firstLine="283"/>
        <w:jc w:val="both"/>
        <w:rPr>
          <w:sz w:val="21"/>
        </w:rPr>
      </w:pPr>
      <w:r>
        <w:rPr>
          <w:color w:val="231F20"/>
          <w:sz w:val="21"/>
        </w:rPr>
        <w:t>екст</w:t>
      </w:r>
      <w:r>
        <w:rPr>
          <w:color w:val="231F20"/>
          <w:sz w:val="21"/>
        </w:rPr>
        <w:t>раординарність</w:t>
      </w:r>
      <w:r>
        <w:rPr>
          <w:color w:val="231F20"/>
          <w:spacing w:val="-16"/>
          <w:sz w:val="21"/>
        </w:rPr>
        <w:t xml:space="preserve"> </w:t>
      </w:r>
      <w:r>
        <w:rPr>
          <w:color w:val="231F20"/>
          <w:sz w:val="21"/>
        </w:rPr>
        <w:t>обставин</w:t>
      </w:r>
      <w:r>
        <w:rPr>
          <w:color w:val="231F20"/>
          <w:spacing w:val="-16"/>
          <w:sz w:val="21"/>
        </w:rPr>
        <w:t xml:space="preserve"> </w:t>
      </w:r>
      <w:r>
        <w:rPr>
          <w:color w:val="231F20"/>
          <w:sz w:val="21"/>
        </w:rPr>
        <w:t>(скажімо,</w:t>
      </w:r>
      <w:r>
        <w:rPr>
          <w:color w:val="231F20"/>
          <w:spacing w:val="-16"/>
          <w:sz w:val="21"/>
        </w:rPr>
        <w:t xml:space="preserve"> </w:t>
      </w:r>
      <w:r>
        <w:rPr>
          <w:color w:val="231F20"/>
          <w:sz w:val="21"/>
        </w:rPr>
        <w:t>загроза</w:t>
      </w:r>
      <w:r>
        <w:rPr>
          <w:color w:val="231F20"/>
          <w:spacing w:val="-16"/>
          <w:sz w:val="21"/>
        </w:rPr>
        <w:t xml:space="preserve"> </w:t>
      </w:r>
      <w:r>
        <w:rPr>
          <w:color w:val="231F20"/>
          <w:sz w:val="21"/>
        </w:rPr>
        <w:t>життю,</w:t>
      </w:r>
      <w:r>
        <w:rPr>
          <w:color w:val="231F20"/>
          <w:spacing w:val="-16"/>
          <w:sz w:val="21"/>
        </w:rPr>
        <w:t xml:space="preserve"> </w:t>
      </w:r>
      <w:r>
        <w:rPr>
          <w:color w:val="231F20"/>
          <w:sz w:val="21"/>
        </w:rPr>
        <w:t>втрата власності</w:t>
      </w:r>
      <w:r>
        <w:rPr>
          <w:color w:val="231F20"/>
          <w:spacing w:val="-1"/>
          <w:sz w:val="21"/>
        </w:rPr>
        <w:t xml:space="preserve"> </w:t>
      </w:r>
      <w:r>
        <w:rPr>
          <w:color w:val="231F20"/>
          <w:sz w:val="21"/>
        </w:rPr>
        <w:t>тощо);</w:t>
      </w:r>
    </w:p>
    <w:p w14:paraId="057D92A3" w14:textId="77777777" w:rsidR="00DE575E" w:rsidRDefault="002E7560">
      <w:pPr>
        <w:pStyle w:val="ListParagraph"/>
        <w:numPr>
          <w:ilvl w:val="0"/>
          <w:numId w:val="146"/>
        </w:numPr>
        <w:tabs>
          <w:tab w:val="left" w:pos="818"/>
        </w:tabs>
        <w:spacing w:line="252" w:lineRule="auto"/>
        <w:ind w:right="411" w:firstLine="283"/>
        <w:jc w:val="both"/>
        <w:rPr>
          <w:sz w:val="21"/>
        </w:rPr>
      </w:pPr>
      <w:r>
        <w:rPr>
          <w:color w:val="231F20"/>
          <w:sz w:val="21"/>
        </w:rPr>
        <w:t>наявність</w:t>
      </w:r>
      <w:r>
        <w:rPr>
          <w:color w:val="231F20"/>
          <w:spacing w:val="-11"/>
          <w:sz w:val="21"/>
        </w:rPr>
        <w:t xml:space="preserve"> </w:t>
      </w:r>
      <w:r>
        <w:rPr>
          <w:color w:val="231F20"/>
          <w:sz w:val="21"/>
        </w:rPr>
        <w:t>спеціальних</w:t>
      </w:r>
      <w:r>
        <w:rPr>
          <w:color w:val="231F20"/>
          <w:spacing w:val="-11"/>
          <w:sz w:val="21"/>
        </w:rPr>
        <w:t xml:space="preserve"> </w:t>
      </w:r>
      <w:r>
        <w:rPr>
          <w:color w:val="231F20"/>
          <w:sz w:val="21"/>
        </w:rPr>
        <w:t>правових</w:t>
      </w:r>
      <w:r>
        <w:rPr>
          <w:color w:val="231F20"/>
          <w:spacing w:val="-11"/>
          <w:sz w:val="21"/>
        </w:rPr>
        <w:t xml:space="preserve"> </w:t>
      </w:r>
      <w:r>
        <w:rPr>
          <w:color w:val="231F20"/>
          <w:sz w:val="21"/>
        </w:rPr>
        <w:t>статусів</w:t>
      </w:r>
      <w:r>
        <w:rPr>
          <w:color w:val="231F20"/>
          <w:spacing w:val="-11"/>
          <w:sz w:val="21"/>
        </w:rPr>
        <w:t xml:space="preserve"> </w:t>
      </w:r>
      <w:r>
        <w:rPr>
          <w:color w:val="231F20"/>
          <w:sz w:val="21"/>
        </w:rPr>
        <w:t>заявників</w:t>
      </w:r>
      <w:r>
        <w:rPr>
          <w:color w:val="231F20"/>
          <w:spacing w:val="-12"/>
          <w:sz w:val="21"/>
        </w:rPr>
        <w:t xml:space="preserve"> </w:t>
      </w:r>
      <w:r>
        <w:rPr>
          <w:color w:val="231F20"/>
          <w:sz w:val="21"/>
        </w:rPr>
        <w:t>–</w:t>
      </w:r>
      <w:r>
        <w:rPr>
          <w:color w:val="231F20"/>
          <w:spacing w:val="-11"/>
          <w:sz w:val="21"/>
        </w:rPr>
        <w:t xml:space="preserve"> </w:t>
      </w:r>
      <w:r>
        <w:rPr>
          <w:color w:val="231F20"/>
          <w:sz w:val="21"/>
        </w:rPr>
        <w:t xml:space="preserve">інвалідів, учасників </w:t>
      </w:r>
      <w:r>
        <w:rPr>
          <w:color w:val="231F20"/>
          <w:spacing w:val="-6"/>
          <w:sz w:val="21"/>
        </w:rPr>
        <w:t>АТО</w:t>
      </w:r>
      <w:r>
        <w:rPr>
          <w:color w:val="231F20"/>
          <w:spacing w:val="-2"/>
          <w:sz w:val="21"/>
        </w:rPr>
        <w:t xml:space="preserve"> </w:t>
      </w:r>
      <w:r>
        <w:rPr>
          <w:color w:val="231F20"/>
          <w:sz w:val="21"/>
        </w:rPr>
        <w:t>тощо;</w:t>
      </w:r>
    </w:p>
    <w:p w14:paraId="3D6F2C31" w14:textId="77777777" w:rsidR="00DE575E" w:rsidRDefault="002E7560">
      <w:pPr>
        <w:pStyle w:val="ListParagraph"/>
        <w:numPr>
          <w:ilvl w:val="0"/>
          <w:numId w:val="146"/>
        </w:numPr>
        <w:tabs>
          <w:tab w:val="left" w:pos="818"/>
        </w:tabs>
        <w:spacing w:line="252" w:lineRule="auto"/>
        <w:ind w:right="411" w:firstLine="283"/>
        <w:jc w:val="both"/>
        <w:rPr>
          <w:sz w:val="21"/>
        </w:rPr>
      </w:pPr>
      <w:r>
        <w:rPr>
          <w:color w:val="231F20"/>
          <w:sz w:val="21"/>
        </w:rPr>
        <w:t>наявність</w:t>
      </w:r>
      <w:r>
        <w:rPr>
          <w:color w:val="231F20"/>
          <w:spacing w:val="-23"/>
          <w:sz w:val="21"/>
        </w:rPr>
        <w:t xml:space="preserve"> </w:t>
      </w:r>
      <w:r>
        <w:rPr>
          <w:color w:val="231F20"/>
          <w:sz w:val="21"/>
        </w:rPr>
        <w:t>адміністративно-правових</w:t>
      </w:r>
      <w:r>
        <w:rPr>
          <w:color w:val="231F20"/>
          <w:spacing w:val="-23"/>
          <w:sz w:val="21"/>
        </w:rPr>
        <w:t xml:space="preserve"> </w:t>
      </w:r>
      <w:r>
        <w:rPr>
          <w:color w:val="231F20"/>
          <w:sz w:val="21"/>
        </w:rPr>
        <w:t>режимів,</w:t>
      </w:r>
      <w:r>
        <w:rPr>
          <w:color w:val="231F20"/>
          <w:spacing w:val="-23"/>
          <w:sz w:val="21"/>
        </w:rPr>
        <w:t xml:space="preserve"> </w:t>
      </w:r>
      <w:r>
        <w:rPr>
          <w:color w:val="231F20"/>
          <w:sz w:val="21"/>
        </w:rPr>
        <w:t>зокрема</w:t>
      </w:r>
      <w:r>
        <w:rPr>
          <w:color w:val="231F20"/>
          <w:spacing w:val="-23"/>
          <w:sz w:val="21"/>
        </w:rPr>
        <w:t xml:space="preserve"> </w:t>
      </w:r>
      <w:r>
        <w:rPr>
          <w:color w:val="231F20"/>
          <w:sz w:val="21"/>
        </w:rPr>
        <w:t>секрет- ності.</w:t>
      </w:r>
    </w:p>
    <w:p w14:paraId="6CFF1762" w14:textId="77777777" w:rsidR="00DE575E" w:rsidRDefault="002E7560">
      <w:pPr>
        <w:pStyle w:val="BodyText"/>
        <w:spacing w:before="1" w:line="252" w:lineRule="auto"/>
        <w:ind w:left="250" w:right="411" w:firstLine="283"/>
        <w:jc w:val="both"/>
      </w:pPr>
      <w:r>
        <w:rPr>
          <w:b/>
          <w:i/>
          <w:color w:val="231F20"/>
        </w:rPr>
        <w:t>Принцип</w:t>
      </w:r>
      <w:r>
        <w:rPr>
          <w:b/>
          <w:i/>
          <w:color w:val="231F20"/>
          <w:spacing w:val="-8"/>
        </w:rPr>
        <w:t xml:space="preserve"> </w:t>
      </w:r>
      <w:r>
        <w:rPr>
          <w:b/>
          <w:i/>
          <w:color w:val="231F20"/>
        </w:rPr>
        <w:t>доступу</w:t>
      </w:r>
      <w:r>
        <w:rPr>
          <w:b/>
          <w:i/>
          <w:color w:val="231F20"/>
          <w:spacing w:val="-8"/>
        </w:rPr>
        <w:t xml:space="preserve"> </w:t>
      </w:r>
      <w:r>
        <w:rPr>
          <w:b/>
          <w:i/>
          <w:color w:val="231F20"/>
        </w:rPr>
        <w:t>до</w:t>
      </w:r>
      <w:r>
        <w:rPr>
          <w:b/>
          <w:i/>
          <w:color w:val="231F20"/>
          <w:spacing w:val="-8"/>
        </w:rPr>
        <w:t xml:space="preserve"> </w:t>
      </w:r>
      <w:r>
        <w:rPr>
          <w:b/>
          <w:i/>
          <w:color w:val="231F20"/>
        </w:rPr>
        <w:t>інформації</w:t>
      </w:r>
      <w:r>
        <w:rPr>
          <w:color w:val="231F20"/>
        </w:rPr>
        <w:t>.</w:t>
      </w:r>
      <w:r>
        <w:rPr>
          <w:color w:val="231F20"/>
          <w:spacing w:val="-8"/>
        </w:rPr>
        <w:t xml:space="preserve"> </w:t>
      </w:r>
      <w:r>
        <w:rPr>
          <w:color w:val="231F20"/>
        </w:rPr>
        <w:t>Цей</w:t>
      </w:r>
      <w:r>
        <w:rPr>
          <w:color w:val="231F20"/>
          <w:spacing w:val="-9"/>
        </w:rPr>
        <w:t xml:space="preserve"> </w:t>
      </w:r>
      <w:r>
        <w:rPr>
          <w:color w:val="231F20"/>
        </w:rPr>
        <w:t>принцип</w:t>
      </w:r>
      <w:r>
        <w:rPr>
          <w:color w:val="231F20"/>
          <w:spacing w:val="-9"/>
        </w:rPr>
        <w:t xml:space="preserve"> </w:t>
      </w:r>
      <w:r>
        <w:rPr>
          <w:color w:val="231F20"/>
        </w:rPr>
        <w:t>полягає</w:t>
      </w:r>
      <w:r>
        <w:rPr>
          <w:color w:val="231F20"/>
          <w:spacing w:val="-8"/>
        </w:rPr>
        <w:t xml:space="preserve"> </w:t>
      </w:r>
      <w:r>
        <w:rPr>
          <w:color w:val="231F20"/>
        </w:rPr>
        <w:t>в</w:t>
      </w:r>
      <w:r>
        <w:rPr>
          <w:color w:val="231F20"/>
          <w:spacing w:val="-9"/>
        </w:rPr>
        <w:t xml:space="preserve"> </w:t>
      </w:r>
      <w:r>
        <w:rPr>
          <w:color w:val="231F20"/>
        </w:rPr>
        <w:t>можли- вості особи ефективно використовувати своє право бути вислуха- ною</w:t>
      </w:r>
      <w:r>
        <w:rPr>
          <w:color w:val="231F20"/>
          <w:spacing w:val="-11"/>
        </w:rPr>
        <w:t xml:space="preserve"> </w:t>
      </w:r>
      <w:r>
        <w:rPr>
          <w:color w:val="231F20"/>
        </w:rPr>
        <w:t>через</w:t>
      </w:r>
      <w:r>
        <w:rPr>
          <w:color w:val="231F20"/>
          <w:spacing w:val="-11"/>
        </w:rPr>
        <w:t xml:space="preserve"> </w:t>
      </w:r>
      <w:r>
        <w:rPr>
          <w:color w:val="231F20"/>
        </w:rPr>
        <w:t>надання</w:t>
      </w:r>
      <w:r>
        <w:rPr>
          <w:color w:val="231F20"/>
          <w:spacing w:val="-11"/>
        </w:rPr>
        <w:t xml:space="preserve"> </w:t>
      </w:r>
      <w:r>
        <w:rPr>
          <w:color w:val="231F20"/>
        </w:rPr>
        <w:t>їй</w:t>
      </w:r>
      <w:r>
        <w:rPr>
          <w:color w:val="231F20"/>
          <w:spacing w:val="-11"/>
        </w:rPr>
        <w:t xml:space="preserve"> </w:t>
      </w:r>
      <w:r>
        <w:rPr>
          <w:color w:val="231F20"/>
        </w:rPr>
        <w:t>доступу</w:t>
      </w:r>
      <w:r>
        <w:rPr>
          <w:color w:val="231F20"/>
          <w:spacing w:val="-11"/>
        </w:rPr>
        <w:t xml:space="preserve"> </w:t>
      </w:r>
      <w:r>
        <w:rPr>
          <w:color w:val="231F20"/>
        </w:rPr>
        <w:t>до</w:t>
      </w:r>
      <w:r>
        <w:rPr>
          <w:color w:val="231F20"/>
          <w:spacing w:val="-11"/>
        </w:rPr>
        <w:t xml:space="preserve"> </w:t>
      </w:r>
      <w:r>
        <w:rPr>
          <w:color w:val="231F20"/>
        </w:rPr>
        <w:t>відповідних</w:t>
      </w:r>
      <w:r>
        <w:rPr>
          <w:color w:val="231F20"/>
          <w:spacing w:val="-11"/>
        </w:rPr>
        <w:t xml:space="preserve"> </w:t>
      </w:r>
      <w:r>
        <w:rPr>
          <w:color w:val="231F20"/>
        </w:rPr>
        <w:t>чинників,</w:t>
      </w:r>
      <w:r>
        <w:rPr>
          <w:color w:val="231F20"/>
          <w:spacing w:val="-11"/>
        </w:rPr>
        <w:t xml:space="preserve"> </w:t>
      </w:r>
      <w:r>
        <w:rPr>
          <w:color w:val="231F20"/>
        </w:rPr>
        <w:t>на</w:t>
      </w:r>
      <w:r>
        <w:rPr>
          <w:color w:val="231F20"/>
          <w:spacing w:val="-11"/>
        </w:rPr>
        <w:t xml:space="preserve"> </w:t>
      </w:r>
      <w:r>
        <w:rPr>
          <w:color w:val="231F20"/>
        </w:rPr>
        <w:t>яких</w:t>
      </w:r>
      <w:r>
        <w:rPr>
          <w:color w:val="231F20"/>
          <w:spacing w:val="-11"/>
        </w:rPr>
        <w:t xml:space="preserve"> </w:t>
      </w:r>
      <w:r>
        <w:rPr>
          <w:color w:val="231F20"/>
        </w:rPr>
        <w:t xml:space="preserve">базу- ється адміністративний </w:t>
      </w:r>
      <w:r>
        <w:rPr>
          <w:color w:val="231F20"/>
          <w:spacing w:val="-5"/>
        </w:rPr>
        <w:t xml:space="preserve">акт. </w:t>
      </w:r>
      <w:r>
        <w:rPr>
          <w:color w:val="231F20"/>
          <w:spacing w:val="-3"/>
        </w:rPr>
        <w:t xml:space="preserve">Термін </w:t>
      </w:r>
      <w:r>
        <w:rPr>
          <w:color w:val="231F20"/>
        </w:rPr>
        <w:t xml:space="preserve">«чинники» </w:t>
      </w:r>
      <w:r>
        <w:rPr>
          <w:color w:val="231F20"/>
          <w:spacing w:val="-3"/>
        </w:rPr>
        <w:t xml:space="preserve">було </w:t>
      </w:r>
      <w:r>
        <w:rPr>
          <w:color w:val="231F20"/>
        </w:rPr>
        <w:t>прийнято для того,</w:t>
      </w:r>
      <w:r>
        <w:rPr>
          <w:color w:val="231F20"/>
          <w:spacing w:val="-5"/>
        </w:rPr>
        <w:t xml:space="preserve"> </w:t>
      </w:r>
      <w:r>
        <w:rPr>
          <w:color w:val="231F20"/>
        </w:rPr>
        <w:t>щоб</w:t>
      </w:r>
      <w:r>
        <w:rPr>
          <w:color w:val="231F20"/>
          <w:spacing w:val="-5"/>
        </w:rPr>
        <w:t xml:space="preserve"> </w:t>
      </w:r>
      <w:r>
        <w:rPr>
          <w:color w:val="231F20"/>
        </w:rPr>
        <w:t>залучити</w:t>
      </w:r>
      <w:r>
        <w:rPr>
          <w:color w:val="231F20"/>
          <w:spacing w:val="-5"/>
        </w:rPr>
        <w:t xml:space="preserve"> </w:t>
      </w:r>
      <w:r>
        <w:rPr>
          <w:color w:val="231F20"/>
        </w:rPr>
        <w:t>відповідні</w:t>
      </w:r>
      <w:r>
        <w:rPr>
          <w:color w:val="231F20"/>
          <w:spacing w:val="-5"/>
        </w:rPr>
        <w:t xml:space="preserve"> </w:t>
      </w:r>
      <w:r>
        <w:rPr>
          <w:color w:val="231F20"/>
        </w:rPr>
        <w:t>факти</w:t>
      </w:r>
      <w:r>
        <w:rPr>
          <w:color w:val="231F20"/>
          <w:spacing w:val="-5"/>
        </w:rPr>
        <w:t xml:space="preserve"> </w:t>
      </w:r>
      <w:r>
        <w:rPr>
          <w:color w:val="231F20"/>
        </w:rPr>
        <w:t>разом</w:t>
      </w:r>
      <w:r>
        <w:rPr>
          <w:color w:val="231F20"/>
          <w:spacing w:val="-5"/>
        </w:rPr>
        <w:t xml:space="preserve"> </w:t>
      </w:r>
      <w:r>
        <w:rPr>
          <w:color w:val="231F20"/>
        </w:rPr>
        <w:t>зі</w:t>
      </w:r>
      <w:r>
        <w:rPr>
          <w:color w:val="231F20"/>
          <w:spacing w:val="-5"/>
        </w:rPr>
        <w:t xml:space="preserve"> </w:t>
      </w:r>
      <w:r>
        <w:rPr>
          <w:color w:val="231F20"/>
        </w:rPr>
        <w:t>вказівками</w:t>
      </w:r>
      <w:r>
        <w:rPr>
          <w:color w:val="231F20"/>
          <w:spacing w:val="-5"/>
        </w:rPr>
        <w:t xml:space="preserve"> </w:t>
      </w:r>
      <w:r>
        <w:rPr>
          <w:color w:val="231F20"/>
        </w:rPr>
        <w:t>на</w:t>
      </w:r>
      <w:r>
        <w:rPr>
          <w:color w:val="231F20"/>
          <w:spacing w:val="-5"/>
        </w:rPr>
        <w:t xml:space="preserve"> </w:t>
      </w:r>
      <w:r>
        <w:rPr>
          <w:color w:val="231F20"/>
        </w:rPr>
        <w:t>правову</w:t>
      </w:r>
    </w:p>
    <w:p w14:paraId="113104AA" w14:textId="77777777" w:rsidR="00DE575E" w:rsidRDefault="00DE575E">
      <w:pPr>
        <w:pStyle w:val="BodyText"/>
        <w:spacing w:before="7"/>
        <w:rPr>
          <w:sz w:val="12"/>
        </w:rPr>
      </w:pPr>
    </w:p>
    <w:p w14:paraId="208C9D31" w14:textId="77777777" w:rsidR="00DE575E" w:rsidRDefault="002E7560">
      <w:pPr>
        <w:spacing w:before="91"/>
        <w:ind w:right="411"/>
        <w:jc w:val="right"/>
        <w:rPr>
          <w:rFonts w:ascii="Times New Roman"/>
          <w:sz w:val="20"/>
        </w:rPr>
      </w:pPr>
      <w:r>
        <w:rPr>
          <w:rFonts w:ascii="Times New Roman"/>
          <w:color w:val="231F20"/>
          <w:w w:val="90"/>
          <w:sz w:val="20"/>
        </w:rPr>
        <w:t>301</w:t>
      </w:r>
    </w:p>
    <w:p w14:paraId="4D77137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C321AE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93E56D2" w14:textId="62AD689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651214C" wp14:editId="7B46B57D">
                <wp:extent cx="4140200" cy="6350"/>
                <wp:effectExtent l="0" t="0" r="12700" b="6350"/>
                <wp:docPr id="65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54" name="Line 65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A4475B" id="Group_x0020_65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Kz/X4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7BKz/X4CAACYBQAADgAA&#10;AAAAAAAAAAAAAAAsAgAAZHJzL2Uyb0RvYy54bWxQSwECLQAUAAYACAAAACEATKewkNkAAAADAQAA&#10;DwAAAAAAAAAAAAAAAADWBAAAZHJzL2Rvd25yZXYueG1sUEsFBgAAAAAEAAQA8wAAANwFAAAAAA==&#10;">
                <v:line id="Line_x0020_65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atDsYAAADcAAAADwAAAGRycy9kb3ducmV2LnhtbESP3WrCQBSE7wu+w3IEb0rdtLZSoqtI&#10;oSBe+Jc+wDF7TIK7Z2N2NdGndwuFXg4z8w0znXfWiCs1vnKs4HWYgCDOna64UPCTfb98gvABWaNx&#10;TApu5GE+6z1NMdWu5R1d96EQEcI+RQVlCHUqpc9LsuiHriaO3tE1FkOUTSF1g22EWyPfkmQsLVYc&#10;F0qs6auk/LS/WAXZ+TmY7WZl2mxzGMnDeT26X9ZKDfrdYgIiUBf+w3/tpVYw/niH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mrQ7GAAAA3AAAAA8AAAAAAAAA&#10;AAAAAAAAoQIAAGRycy9kb3ducmV2LnhtbFBLBQYAAAAABAAEAPkAAACUAwAAAAA=&#10;" strokecolor="#231f20" strokeweight=".5pt"/>
                <w10:anchorlock/>
              </v:group>
            </w:pict>
          </mc:Fallback>
        </mc:AlternateContent>
      </w:r>
    </w:p>
    <w:p w14:paraId="4795A6E8" w14:textId="77777777" w:rsidR="00DE575E" w:rsidRDefault="00DE575E">
      <w:pPr>
        <w:pStyle w:val="BodyText"/>
        <w:spacing w:before="7"/>
        <w:rPr>
          <w:rFonts w:ascii="AdonisC"/>
          <w:i/>
          <w:sz w:val="11"/>
        </w:rPr>
      </w:pPr>
    </w:p>
    <w:p w14:paraId="5330EC58" w14:textId="77777777" w:rsidR="00DE575E" w:rsidRDefault="002E7560">
      <w:pPr>
        <w:pStyle w:val="BodyText"/>
        <w:spacing w:before="101" w:line="252" w:lineRule="auto"/>
        <w:ind w:left="533" w:right="127"/>
        <w:jc w:val="both"/>
      </w:pPr>
      <w:r>
        <w:rPr>
          <w:color w:val="231F20"/>
        </w:rPr>
        <w:t xml:space="preserve">основу адміністративного акта. «Наявні чинники» – це  чинники, що є в розпорядженні адміністрації на час, коли  здійснено </w:t>
      </w:r>
      <w:r>
        <w:rPr>
          <w:color w:val="231F20"/>
          <w:spacing w:val="-3"/>
        </w:rPr>
        <w:t xml:space="preserve">запит, </w:t>
      </w:r>
      <w:r>
        <w:rPr>
          <w:color w:val="231F20"/>
        </w:rPr>
        <w:t xml:space="preserve">які можуть бути передані відповідній особі в тій формі, в якій вони </w:t>
      </w:r>
      <w:r>
        <w:rPr>
          <w:color w:val="231F20"/>
          <w:spacing w:val="-3"/>
        </w:rPr>
        <w:t xml:space="preserve">були </w:t>
      </w:r>
      <w:r>
        <w:rPr>
          <w:color w:val="231F20"/>
        </w:rPr>
        <w:t xml:space="preserve">у справі, крім кодованої інформації (наприклад такої, що збері- гається в комп’ютері і яку слід перетворити у </w:t>
      </w:r>
      <w:r>
        <w:rPr>
          <w:color w:val="231F20"/>
          <w:spacing w:val="-4"/>
        </w:rPr>
        <w:t xml:space="preserve">форму, </w:t>
      </w:r>
      <w:r>
        <w:rPr>
          <w:color w:val="231F20"/>
        </w:rPr>
        <w:t>придатну для прочитання).</w:t>
      </w:r>
    </w:p>
    <w:p w14:paraId="16E7D28C" w14:textId="77777777" w:rsidR="00DE575E" w:rsidRDefault="002E7560">
      <w:pPr>
        <w:pStyle w:val="BodyText"/>
        <w:spacing w:before="3" w:line="252" w:lineRule="auto"/>
        <w:ind w:left="533" w:right="124" w:firstLine="283"/>
        <w:jc w:val="both"/>
      </w:pPr>
      <w:r>
        <w:rPr>
          <w:color w:val="231F20"/>
        </w:rPr>
        <w:t>Інформація має надаватися, якщо відповідна особа спеціально вимагає її. Але це не перешкоджає надавати інформацію</w:t>
      </w:r>
      <w:r>
        <w:rPr>
          <w:color w:val="231F20"/>
        </w:rPr>
        <w:t xml:space="preserve"> в усіх випадках. Сферу застосування принципу було обмежено ще не завершеними справами. Звичайно, відповідна особа може мати потребу в доступі до інформації й після ухвалення адміністра- тивного акта – наприклад, з метою його перегляду, і цей принцип цього</w:t>
      </w:r>
      <w:r>
        <w:rPr>
          <w:color w:val="231F20"/>
        </w:rPr>
        <w:t xml:space="preserve"> не виключає.</w:t>
      </w:r>
    </w:p>
    <w:p w14:paraId="568511E2" w14:textId="77777777" w:rsidR="00DE575E" w:rsidRDefault="002E7560">
      <w:pPr>
        <w:pStyle w:val="BodyText"/>
        <w:spacing w:before="3" w:line="252" w:lineRule="auto"/>
        <w:ind w:left="533" w:right="127" w:firstLine="283"/>
        <w:jc w:val="both"/>
      </w:pPr>
      <w:r>
        <w:rPr>
          <w:b/>
          <w:i/>
          <w:color w:val="231F20"/>
        </w:rPr>
        <w:t>Право на допомогу та представництво</w:t>
      </w:r>
      <w:r>
        <w:rPr>
          <w:color w:val="231F20"/>
        </w:rPr>
        <w:t>. Сутність цього прин- ципу – надати зацікавленій особі можливість отримати допомогу або бути представленою в адміністративній процедурі, при цьому зрозуміло, що особа завжди вільна вести справу сама, якщо б</w:t>
      </w:r>
      <w:r>
        <w:rPr>
          <w:color w:val="231F20"/>
        </w:rPr>
        <w:t xml:space="preserve">ажає. Принцип не стосується зобов’язання відповідної особи самостійно виконувати певні дії в </w:t>
      </w:r>
      <w:r>
        <w:rPr>
          <w:color w:val="231F20"/>
          <w:spacing w:val="-3"/>
        </w:rPr>
        <w:t xml:space="preserve">ході </w:t>
      </w:r>
      <w:r>
        <w:rPr>
          <w:color w:val="231F20"/>
        </w:rPr>
        <w:t>процедури або брати участь у певних фазах такої процедури. Слід зазначити, що цей принцип не стосу- ється</w:t>
      </w:r>
      <w:r>
        <w:rPr>
          <w:color w:val="231F20"/>
          <w:spacing w:val="-17"/>
        </w:rPr>
        <w:t xml:space="preserve"> </w:t>
      </w:r>
      <w:r>
        <w:rPr>
          <w:color w:val="231F20"/>
        </w:rPr>
        <w:t>характеру</w:t>
      </w:r>
      <w:r>
        <w:rPr>
          <w:color w:val="231F20"/>
          <w:spacing w:val="-17"/>
        </w:rPr>
        <w:t xml:space="preserve"> </w:t>
      </w:r>
      <w:r>
        <w:rPr>
          <w:color w:val="231F20"/>
        </w:rPr>
        <w:t>допомоги</w:t>
      </w:r>
      <w:r>
        <w:rPr>
          <w:color w:val="231F20"/>
          <w:spacing w:val="-17"/>
        </w:rPr>
        <w:t xml:space="preserve"> </w:t>
      </w:r>
      <w:r>
        <w:rPr>
          <w:color w:val="231F20"/>
        </w:rPr>
        <w:t>чи</w:t>
      </w:r>
      <w:r>
        <w:rPr>
          <w:color w:val="231F20"/>
          <w:spacing w:val="-17"/>
        </w:rPr>
        <w:t xml:space="preserve"> </w:t>
      </w:r>
      <w:r>
        <w:rPr>
          <w:color w:val="231F20"/>
        </w:rPr>
        <w:t>представництва,</w:t>
      </w:r>
      <w:r>
        <w:rPr>
          <w:color w:val="231F20"/>
          <w:spacing w:val="-17"/>
        </w:rPr>
        <w:t xml:space="preserve"> </w:t>
      </w:r>
      <w:r>
        <w:rPr>
          <w:color w:val="231F20"/>
        </w:rPr>
        <w:t>тобто</w:t>
      </w:r>
      <w:r>
        <w:rPr>
          <w:color w:val="231F20"/>
          <w:spacing w:val="-17"/>
        </w:rPr>
        <w:t xml:space="preserve"> </w:t>
      </w:r>
      <w:r>
        <w:rPr>
          <w:color w:val="231F20"/>
        </w:rPr>
        <w:t>кваліфік</w:t>
      </w:r>
      <w:r>
        <w:rPr>
          <w:color w:val="231F20"/>
        </w:rPr>
        <w:t>ації</w:t>
      </w:r>
      <w:r>
        <w:rPr>
          <w:color w:val="231F20"/>
          <w:spacing w:val="-17"/>
        </w:rPr>
        <w:t xml:space="preserve"> </w:t>
      </w:r>
      <w:r>
        <w:rPr>
          <w:color w:val="231F20"/>
        </w:rPr>
        <w:t>або умов помічника чи юридичного представника. Він також не стосу- ється надання безплатної правової допомоги, тобто надання відпо- відним особам за публічні кошти юридичної допомоги або консуль- тації у зв’язку з процедурою в адміністративному</w:t>
      </w:r>
      <w:r>
        <w:rPr>
          <w:color w:val="231F20"/>
          <w:spacing w:val="-13"/>
        </w:rPr>
        <w:t xml:space="preserve"> </w:t>
      </w:r>
      <w:r>
        <w:rPr>
          <w:color w:val="231F20"/>
        </w:rPr>
        <w:t>органі</w:t>
      </w:r>
      <w:r>
        <w:rPr>
          <w:color w:val="231F20"/>
        </w:rPr>
        <w:t>.</w:t>
      </w:r>
    </w:p>
    <w:p w14:paraId="4A0C00D0" w14:textId="77777777" w:rsidR="00DE575E" w:rsidRDefault="002E7560">
      <w:pPr>
        <w:pStyle w:val="BodyText"/>
        <w:spacing w:before="6" w:line="252" w:lineRule="auto"/>
        <w:ind w:left="533" w:right="127" w:firstLine="283"/>
        <w:jc w:val="both"/>
      </w:pPr>
      <w:r>
        <w:rPr>
          <w:b/>
          <w:i/>
          <w:color w:val="231F20"/>
        </w:rPr>
        <w:t>Право бути вислуханим</w:t>
      </w:r>
      <w:r>
        <w:rPr>
          <w:color w:val="231F20"/>
        </w:rPr>
        <w:t>. Згідно з основною ідеєю резолюції Ради Європи (77) 31 «Про захист особи відносно актів адміністра- тивних органів» – досягнути найвищого можливого ступеня спра- ведливості</w:t>
      </w:r>
      <w:r>
        <w:rPr>
          <w:color w:val="231F20"/>
          <w:spacing w:val="-10"/>
        </w:rPr>
        <w:t xml:space="preserve"> </w:t>
      </w:r>
      <w:r>
        <w:rPr>
          <w:color w:val="231F20"/>
        </w:rPr>
        <w:t>у</w:t>
      </w:r>
      <w:r>
        <w:rPr>
          <w:color w:val="231F20"/>
          <w:spacing w:val="-10"/>
        </w:rPr>
        <w:t xml:space="preserve"> </w:t>
      </w:r>
      <w:r>
        <w:rPr>
          <w:color w:val="231F20"/>
        </w:rPr>
        <w:t>відносинах</w:t>
      </w:r>
      <w:r>
        <w:rPr>
          <w:color w:val="231F20"/>
          <w:spacing w:val="-10"/>
        </w:rPr>
        <w:t xml:space="preserve"> </w:t>
      </w:r>
      <w:r>
        <w:rPr>
          <w:color w:val="231F20"/>
        </w:rPr>
        <w:t>між</w:t>
      </w:r>
      <w:r>
        <w:rPr>
          <w:color w:val="231F20"/>
          <w:spacing w:val="-10"/>
        </w:rPr>
        <w:t xml:space="preserve"> </w:t>
      </w:r>
      <w:r>
        <w:rPr>
          <w:color w:val="231F20"/>
        </w:rPr>
        <w:t>адміністрацією</w:t>
      </w:r>
      <w:r>
        <w:rPr>
          <w:color w:val="231F20"/>
          <w:spacing w:val="-10"/>
        </w:rPr>
        <w:t xml:space="preserve"> </w:t>
      </w:r>
      <w:r>
        <w:rPr>
          <w:color w:val="231F20"/>
        </w:rPr>
        <w:t>та</w:t>
      </w:r>
      <w:r>
        <w:rPr>
          <w:color w:val="231F20"/>
          <w:spacing w:val="-10"/>
        </w:rPr>
        <w:t xml:space="preserve"> </w:t>
      </w:r>
      <w:r>
        <w:rPr>
          <w:color w:val="231F20"/>
        </w:rPr>
        <w:t>особою</w:t>
      </w:r>
      <w:r>
        <w:rPr>
          <w:color w:val="231F20"/>
          <w:spacing w:val="-10"/>
        </w:rPr>
        <w:t xml:space="preserve"> </w:t>
      </w:r>
      <w:r>
        <w:rPr>
          <w:color w:val="231F20"/>
        </w:rPr>
        <w:t>–</w:t>
      </w:r>
      <w:r>
        <w:rPr>
          <w:color w:val="231F20"/>
          <w:spacing w:val="-10"/>
        </w:rPr>
        <w:t xml:space="preserve"> </w:t>
      </w:r>
      <w:r>
        <w:rPr>
          <w:color w:val="231F20"/>
        </w:rPr>
        <w:t>такий</w:t>
      </w:r>
      <w:r>
        <w:rPr>
          <w:color w:val="231F20"/>
          <w:spacing w:val="-10"/>
        </w:rPr>
        <w:t xml:space="preserve"> </w:t>
      </w:r>
      <w:r>
        <w:rPr>
          <w:color w:val="231F20"/>
        </w:rPr>
        <w:t>прин- цип</w:t>
      </w:r>
      <w:r>
        <w:rPr>
          <w:color w:val="231F20"/>
        </w:rPr>
        <w:t xml:space="preserve"> передбачає, що відповідній особі надається можливість бути вислуханою в </w:t>
      </w:r>
      <w:r>
        <w:rPr>
          <w:color w:val="231F20"/>
          <w:spacing w:val="-3"/>
        </w:rPr>
        <w:t xml:space="preserve">ході </w:t>
      </w:r>
      <w:r>
        <w:rPr>
          <w:color w:val="231F20"/>
        </w:rPr>
        <w:t xml:space="preserve">адміністративної процедури: вона може надати факти та аргументи, і там, де це прийнятно, висунути докази. Відпо- відна особа матиме змогу взяти участь у процедурі щодо адмініст- </w:t>
      </w:r>
      <w:r>
        <w:rPr>
          <w:color w:val="231F20"/>
        </w:rPr>
        <w:t>ративного акта й захистити свої права, свободи та законні інтереси. Цей принцип застосовується тільки щодо адміністративних актів, які за своїм характером несприятливо впливають на права, свободи або інтереси відповідної особи. Якщо рішення має бути ухвале</w:t>
      </w:r>
      <w:r>
        <w:rPr>
          <w:color w:val="231F20"/>
        </w:rPr>
        <w:t>но за отриманою заявою особи й передбачається її повне задоволення, то немає потреби в наданні права бути</w:t>
      </w:r>
      <w:r>
        <w:rPr>
          <w:color w:val="231F20"/>
          <w:spacing w:val="-7"/>
        </w:rPr>
        <w:t xml:space="preserve"> </w:t>
      </w:r>
      <w:r>
        <w:rPr>
          <w:color w:val="231F20"/>
        </w:rPr>
        <w:t>вислуханим.</w:t>
      </w:r>
    </w:p>
    <w:p w14:paraId="4988131D" w14:textId="77777777" w:rsidR="00DE575E" w:rsidRDefault="00DE575E">
      <w:pPr>
        <w:pStyle w:val="BodyText"/>
        <w:spacing w:before="11"/>
        <w:rPr>
          <w:sz w:val="12"/>
        </w:rPr>
      </w:pPr>
    </w:p>
    <w:p w14:paraId="04521A6D" w14:textId="77777777" w:rsidR="00DE575E" w:rsidRDefault="002E7560">
      <w:pPr>
        <w:spacing w:before="92"/>
        <w:ind w:left="533"/>
        <w:rPr>
          <w:rFonts w:ascii="Times New Roman"/>
          <w:sz w:val="20"/>
        </w:rPr>
      </w:pPr>
      <w:r>
        <w:rPr>
          <w:rFonts w:ascii="Times New Roman"/>
          <w:color w:val="231F20"/>
          <w:sz w:val="20"/>
        </w:rPr>
        <w:t>302</w:t>
      </w:r>
    </w:p>
    <w:p w14:paraId="5CCC87BC" w14:textId="77777777" w:rsidR="00DE575E" w:rsidRDefault="00DE575E">
      <w:pPr>
        <w:rPr>
          <w:rFonts w:ascii="Times New Roman"/>
          <w:sz w:val="20"/>
        </w:rPr>
        <w:sectPr w:rsidR="00DE575E">
          <w:pgSz w:w="8510" w:h="12760"/>
          <w:pgMar w:top="660" w:right="720" w:bottom="280" w:left="600" w:header="720" w:footer="720" w:gutter="0"/>
          <w:cols w:space="720"/>
        </w:sectPr>
      </w:pPr>
    </w:p>
    <w:p w14:paraId="2D8023B8"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27E71D51" w14:textId="59235FD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5DF0164" wp14:editId="55A940AF">
                <wp:extent cx="4140200" cy="6350"/>
                <wp:effectExtent l="0" t="0" r="12700" b="6350"/>
                <wp:docPr id="651"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52" name="Line 6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2D12B7" id="Group_x0020_6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dNvkN/AgAAmAUAAA4A&#10;AAAAAAAAAAAAAAAALAIAAGRycy9lMm9Eb2MueG1sUEsBAi0AFAAGAAgAAAAhAEynsJDZAAAAAwEA&#10;AA8AAAAAAAAAAAAAAAAA1wQAAGRycy9kb3ducmV2LnhtbFBLBQYAAAAABAAEAPMAAADdBQAAAAA=&#10;">
                <v:line id="Line_x0020_6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OQ4cYAAADcAAAADwAAAGRycy9kb3ducmV2LnhtbESP3WrCQBSE7wu+w3KE3hTdVKmU6Coi&#10;FIoX/qUPcMyeJqG7Z2N2NdGnd4WCl8PMfMPMFp014kKNrxwreB8mIIhzpysuFPxkX4NPED4gazSO&#10;ScGVPCzmvZcZptq1vKfLIRQiQtinqKAMoU6l9HlJFv3Q1cTR+3WNxRBlU0jdYBvh1shRkkykxYrj&#10;Qok1rUrK/w5nqyA7vQWz265Nm22PY3k8bca380ap1363nIII1IVn+L/9rRVMPkbwOBOPgJ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DkOHGAAAA3AAAAA8AAAAAAAAA&#10;AAAAAAAAoQIAAGRycy9kb3ducmV2LnhtbFBLBQYAAAAABAAEAPkAAACUAwAAAAA=&#10;" strokecolor="#231f20" strokeweight=".5pt"/>
                <w10:anchorlock/>
              </v:group>
            </w:pict>
          </mc:Fallback>
        </mc:AlternateContent>
      </w:r>
    </w:p>
    <w:p w14:paraId="685C6D3D" w14:textId="77777777" w:rsidR="00DE575E" w:rsidRDefault="00DE575E">
      <w:pPr>
        <w:pStyle w:val="BodyText"/>
        <w:spacing w:before="7"/>
        <w:rPr>
          <w:rFonts w:ascii="AdonisC"/>
          <w:i/>
          <w:sz w:val="19"/>
        </w:rPr>
      </w:pPr>
    </w:p>
    <w:p w14:paraId="3CD79B92" w14:textId="77777777" w:rsidR="00DE575E" w:rsidRDefault="002E7560">
      <w:pPr>
        <w:pStyle w:val="BodyText"/>
        <w:spacing w:before="1" w:line="252" w:lineRule="auto"/>
        <w:ind w:left="250" w:right="407" w:firstLine="283"/>
        <w:jc w:val="both"/>
      </w:pPr>
      <w:r>
        <w:rPr>
          <w:b/>
          <w:i/>
          <w:color w:val="231F20"/>
        </w:rPr>
        <w:t xml:space="preserve">Ефективність, оперативність (розумні строки). </w:t>
      </w:r>
      <w:r>
        <w:rPr>
          <w:color w:val="231F20"/>
        </w:rPr>
        <w:t xml:space="preserve">Цей прин- цип адміністративних процедур передбачає максимальний резуль- тат за мінімальний термін часу (ефективність). Ключова ідея полягає в </w:t>
      </w:r>
      <w:r>
        <w:rPr>
          <w:color w:val="231F20"/>
          <w:spacing w:val="-3"/>
        </w:rPr>
        <w:t xml:space="preserve">тому, </w:t>
      </w:r>
      <w:r>
        <w:rPr>
          <w:color w:val="231F20"/>
        </w:rPr>
        <w:t xml:space="preserve">що адміністративний акт як результативний доку- мент має бути отримано до того </w:t>
      </w:r>
      <w:r>
        <w:rPr>
          <w:color w:val="231F20"/>
          <w:spacing w:val="-3"/>
        </w:rPr>
        <w:t xml:space="preserve">часу, </w:t>
      </w:r>
      <w:r>
        <w:rPr>
          <w:color w:val="231F20"/>
        </w:rPr>
        <w:t>поки не настали обставини (факти), за яких втрачається сенс у зверненні особи, здійсненні адміністративної процедури, отриманні адміністративного акта. Що стосується розум</w:t>
      </w:r>
      <w:r>
        <w:rPr>
          <w:color w:val="231F20"/>
        </w:rPr>
        <w:t>ного строку, то йдеться про термін, мінімально необхідний для вирішення індивідуальної справи, з приводу якої здійснюється адміністративна</w:t>
      </w:r>
      <w:r>
        <w:rPr>
          <w:color w:val="231F20"/>
          <w:spacing w:val="10"/>
        </w:rPr>
        <w:t xml:space="preserve"> </w:t>
      </w:r>
      <w:r>
        <w:rPr>
          <w:color w:val="231F20"/>
        </w:rPr>
        <w:t>процедура.</w:t>
      </w:r>
    </w:p>
    <w:p w14:paraId="367804C9" w14:textId="77777777" w:rsidR="00DE575E" w:rsidRDefault="002E7560">
      <w:pPr>
        <w:pStyle w:val="BodyText"/>
        <w:spacing w:before="5" w:line="252" w:lineRule="auto"/>
        <w:ind w:left="250" w:right="407" w:firstLine="283"/>
        <w:jc w:val="both"/>
      </w:pPr>
      <w:r>
        <w:rPr>
          <w:b/>
          <w:i/>
          <w:color w:val="231F20"/>
        </w:rPr>
        <w:t>Умотивованість рішення</w:t>
      </w:r>
      <w:r>
        <w:rPr>
          <w:color w:val="231F20"/>
        </w:rPr>
        <w:t>. Якщо адміністративний акт  за  своїм характером негативно впливає на права, свобод</w:t>
      </w:r>
      <w:r>
        <w:rPr>
          <w:color w:val="231F20"/>
        </w:rPr>
        <w:t xml:space="preserve">и чи інте- реси відповідних осіб, уважається необхідним (особливо через можливу апеляцію), щоб такий акт був мотивований. Інакше відпо- відна особа не матиме змоги вирішувати, чи доцільно оскаржувати такий </w:t>
      </w:r>
      <w:r>
        <w:rPr>
          <w:color w:val="231F20"/>
          <w:spacing w:val="-4"/>
        </w:rPr>
        <w:t xml:space="preserve">акт. </w:t>
      </w:r>
      <w:r>
        <w:rPr>
          <w:color w:val="231F20"/>
        </w:rPr>
        <w:t xml:space="preserve">Питання про те, наскільки докладним має бути </w:t>
      </w:r>
      <w:r>
        <w:rPr>
          <w:color w:val="231F20"/>
        </w:rPr>
        <w:t>мотиву- вання та як його слід здійснювати, залишається за адміністрацією, що визначатиме обсяги такого мотивування відповідно до харак- теру  адміністративного  акта,  ураховуючи  мету  викладу  моти- вів, яка полягає в наданні відповідній особі можливості</w:t>
      </w:r>
      <w:r>
        <w:rPr>
          <w:color w:val="231F20"/>
        </w:rPr>
        <w:t xml:space="preserve">  оцінити цей</w:t>
      </w:r>
      <w:r>
        <w:rPr>
          <w:color w:val="231F20"/>
          <w:spacing w:val="3"/>
        </w:rPr>
        <w:t xml:space="preserve"> </w:t>
      </w:r>
      <w:r>
        <w:rPr>
          <w:color w:val="231F20"/>
          <w:spacing w:val="-4"/>
        </w:rPr>
        <w:t>акт.</w:t>
      </w:r>
    </w:p>
    <w:p w14:paraId="355C5735" w14:textId="77777777" w:rsidR="00DE575E" w:rsidRDefault="002E7560">
      <w:pPr>
        <w:pStyle w:val="BodyText"/>
        <w:spacing w:before="5" w:line="252" w:lineRule="auto"/>
        <w:ind w:left="250" w:right="408" w:firstLine="283"/>
        <w:jc w:val="both"/>
      </w:pPr>
      <w:r>
        <w:rPr>
          <w:color w:val="231F20"/>
        </w:rPr>
        <w:t>Один  із  засобів  інформування  про  мотиви  –  їх  викладення     в акті або документі, за допомогою  якого  такий  акт  доводиться до відповідної особи. Інший шлях задовольнити потреби відповід- ної особи – надати їй за запитом поясне</w:t>
      </w:r>
      <w:r>
        <w:rPr>
          <w:color w:val="231F20"/>
        </w:rPr>
        <w:t xml:space="preserve">ння мотивів. З цією метою принцип передбачає можливість повідомлення відповідній особі мотивів пізніше за її запитом. </w:t>
      </w:r>
      <w:r>
        <w:rPr>
          <w:color w:val="231F20"/>
          <w:spacing w:val="-4"/>
        </w:rPr>
        <w:t xml:space="preserve">Таке </w:t>
      </w:r>
      <w:r>
        <w:rPr>
          <w:color w:val="231F20"/>
        </w:rPr>
        <w:t>передання здійснюється в пись- мовій формі й надається в розумний строк. «Розумний строк» зале- жить від строкових обмежень щодо пода</w:t>
      </w:r>
      <w:r>
        <w:rPr>
          <w:color w:val="231F20"/>
        </w:rPr>
        <w:t>ння</w:t>
      </w:r>
      <w:r>
        <w:rPr>
          <w:color w:val="231F20"/>
          <w:spacing w:val="35"/>
        </w:rPr>
        <w:t xml:space="preserve"> </w:t>
      </w:r>
      <w:r>
        <w:rPr>
          <w:color w:val="231F20"/>
        </w:rPr>
        <w:t>апеляції.</w:t>
      </w:r>
    </w:p>
    <w:p w14:paraId="328A4AF8" w14:textId="77777777" w:rsidR="00DE575E" w:rsidRDefault="002E7560">
      <w:pPr>
        <w:pStyle w:val="BodyText"/>
        <w:spacing w:before="4" w:line="252" w:lineRule="auto"/>
        <w:ind w:left="250" w:right="408" w:firstLine="283"/>
        <w:jc w:val="both"/>
      </w:pPr>
      <w:r>
        <w:rPr>
          <w:b/>
          <w:i/>
          <w:color w:val="231F20"/>
        </w:rPr>
        <w:t>Ефективний засіб захисту</w:t>
      </w:r>
      <w:r>
        <w:rPr>
          <w:color w:val="231F20"/>
        </w:rPr>
        <w:t xml:space="preserve">. Цей принцип констатує, що </w:t>
      </w:r>
      <w:r>
        <w:rPr>
          <w:color w:val="231F20"/>
          <w:spacing w:val="1"/>
        </w:rPr>
        <w:t xml:space="preserve">для </w:t>
      </w:r>
      <w:r>
        <w:rPr>
          <w:color w:val="231F20"/>
        </w:rPr>
        <w:t xml:space="preserve">забезпечення ефективного захисту прав відповідних осіб адмініст- ративний </w:t>
      </w:r>
      <w:r>
        <w:rPr>
          <w:color w:val="231F20"/>
          <w:spacing w:val="-4"/>
        </w:rPr>
        <w:t xml:space="preserve">акт, </w:t>
      </w:r>
      <w:r>
        <w:rPr>
          <w:color w:val="231F20"/>
        </w:rPr>
        <w:t>який несприятливо впливає на їхні права, свободи або інтереси, має супроводжуватися інформацією про чинні з</w:t>
      </w:r>
      <w:r>
        <w:rPr>
          <w:color w:val="231F20"/>
        </w:rPr>
        <w:t xml:space="preserve">асоби правового захисту від нього. Резолюція враховує тільки ті адмініст- ративні акти, які надано в письмовій формі. Це здійснено з метою уникнення складності застосування щодо інших актів (напр., актів в усній формі й тих, які відомі в деяких країнах як </w:t>
      </w:r>
      <w:r>
        <w:rPr>
          <w:color w:val="231F20"/>
        </w:rPr>
        <w:t>«імпліцитні акти»). Цей принцип не охоплює особливих засобів правового захисту</w:t>
      </w:r>
      <w:r>
        <w:rPr>
          <w:color w:val="231F20"/>
          <w:spacing w:val="23"/>
        </w:rPr>
        <w:t xml:space="preserve"> </w:t>
      </w:r>
      <w:r>
        <w:rPr>
          <w:color w:val="231F20"/>
        </w:rPr>
        <w:t>проти</w:t>
      </w:r>
      <w:r>
        <w:rPr>
          <w:color w:val="231F20"/>
          <w:spacing w:val="23"/>
        </w:rPr>
        <w:t xml:space="preserve"> </w:t>
      </w:r>
      <w:r>
        <w:rPr>
          <w:color w:val="231F20"/>
        </w:rPr>
        <w:t>адміністративних</w:t>
      </w:r>
      <w:r>
        <w:rPr>
          <w:color w:val="231F20"/>
          <w:spacing w:val="23"/>
        </w:rPr>
        <w:t xml:space="preserve"> </w:t>
      </w:r>
      <w:r>
        <w:rPr>
          <w:color w:val="231F20"/>
        </w:rPr>
        <w:t>актів,</w:t>
      </w:r>
      <w:r>
        <w:rPr>
          <w:color w:val="231F20"/>
          <w:spacing w:val="23"/>
        </w:rPr>
        <w:t xml:space="preserve"> </w:t>
      </w:r>
      <w:r>
        <w:rPr>
          <w:color w:val="231F20"/>
        </w:rPr>
        <w:t>які</w:t>
      </w:r>
      <w:r>
        <w:rPr>
          <w:color w:val="231F20"/>
          <w:spacing w:val="23"/>
        </w:rPr>
        <w:t xml:space="preserve"> </w:t>
      </w:r>
      <w:r>
        <w:rPr>
          <w:color w:val="231F20"/>
        </w:rPr>
        <w:t>можуть</w:t>
      </w:r>
      <w:r>
        <w:rPr>
          <w:color w:val="231F20"/>
          <w:spacing w:val="23"/>
        </w:rPr>
        <w:t xml:space="preserve"> </w:t>
      </w:r>
      <w:r>
        <w:rPr>
          <w:color w:val="231F20"/>
        </w:rPr>
        <w:t>існувати,</w:t>
      </w:r>
      <w:r>
        <w:rPr>
          <w:color w:val="231F20"/>
          <w:spacing w:val="23"/>
        </w:rPr>
        <w:t xml:space="preserve"> </w:t>
      </w:r>
      <w:r>
        <w:rPr>
          <w:color w:val="231F20"/>
        </w:rPr>
        <w:t>як-от:</w:t>
      </w:r>
    </w:p>
    <w:p w14:paraId="7E6AE734" w14:textId="77777777" w:rsidR="00DE575E" w:rsidRDefault="00DE575E">
      <w:pPr>
        <w:pStyle w:val="BodyText"/>
        <w:spacing w:before="9"/>
        <w:rPr>
          <w:sz w:val="12"/>
        </w:rPr>
      </w:pPr>
    </w:p>
    <w:p w14:paraId="6634B14C" w14:textId="77777777" w:rsidR="00DE575E" w:rsidRDefault="002E7560">
      <w:pPr>
        <w:spacing w:before="92"/>
        <w:ind w:right="411"/>
        <w:jc w:val="right"/>
        <w:rPr>
          <w:rFonts w:ascii="Times New Roman"/>
          <w:sz w:val="20"/>
        </w:rPr>
      </w:pPr>
      <w:r>
        <w:rPr>
          <w:rFonts w:ascii="Times New Roman"/>
          <w:color w:val="231F20"/>
          <w:w w:val="90"/>
          <w:sz w:val="20"/>
        </w:rPr>
        <w:t>303</w:t>
      </w:r>
    </w:p>
    <w:p w14:paraId="0E8290B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1F7A49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471E6FB" w14:textId="2BF8D36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27B84CE" wp14:editId="3CC6A6C6">
                <wp:extent cx="4140200" cy="6350"/>
                <wp:effectExtent l="0" t="0" r="12700" b="6350"/>
                <wp:docPr id="649"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50" name="Line 6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0E82B4" id="Group_x0020_6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lYUCl/AgAAmAUAAA4A&#10;AAAAAAAAAAAAAAAALAIAAGRycy9lMm9Eb2MueG1sUEsBAi0AFAAGAAgAAAAhAEynsJDZAAAAAwEA&#10;AA8AAAAAAAAAAAAAAAAA1wQAAGRycy9kb3ducmV2LnhtbFBLBQYAAAAABAAEAPMAAADdBQAAAAA=&#10;">
                <v:line id="Line_x0020_6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2rDcMAAADcAAAADwAAAGRycy9kb3ducmV2LnhtbERP3WrCMBS+F/YO4Qy8EU1VJqMaZQwE&#10;8UKn3QMcm7O2LDmpTbTVpzcXgpcf3/9i1VkjrtT4yrGC8SgBQZw7XXGh4DdbDz9B+ICs0TgmBTfy&#10;sFq+9RaYatfyga7HUIgYwj5FBWUIdSqlz0uy6EeuJo7cn2sshgibQuoG2xhujZwkyUxarDg2lFjT&#10;d0n5//FiFWTnQTA/+61ps/1pKk/n3fR+2SnVf+++5iACdeElfro3WsHsI8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dqw3DAAAA3AAAAA8AAAAAAAAAAAAA&#10;AAAAoQIAAGRycy9kb3ducmV2LnhtbFBLBQYAAAAABAAEAPkAAACRAwAAAAA=&#10;" strokecolor="#231f20" strokeweight=".5pt"/>
                <w10:anchorlock/>
              </v:group>
            </w:pict>
          </mc:Fallback>
        </mc:AlternateContent>
      </w:r>
    </w:p>
    <w:p w14:paraId="30B718E1" w14:textId="77777777" w:rsidR="00DE575E" w:rsidRDefault="00DE575E">
      <w:pPr>
        <w:pStyle w:val="BodyText"/>
        <w:spacing w:before="7"/>
        <w:rPr>
          <w:rFonts w:ascii="AdonisC"/>
          <w:i/>
          <w:sz w:val="11"/>
        </w:rPr>
      </w:pPr>
    </w:p>
    <w:p w14:paraId="7B424694" w14:textId="77777777" w:rsidR="00DE575E" w:rsidRDefault="002E7560">
      <w:pPr>
        <w:pStyle w:val="BodyText"/>
        <w:spacing w:before="101" w:line="252" w:lineRule="auto"/>
        <w:ind w:left="533" w:right="124"/>
        <w:jc w:val="both"/>
      </w:pPr>
      <w:r>
        <w:rPr>
          <w:color w:val="231F20"/>
        </w:rPr>
        <w:t>апеляція до конституційного суду або звернення до таких органів, як парламентський омбудсмен, до компетенції яких не входить зміна рішення.</w:t>
      </w:r>
    </w:p>
    <w:p w14:paraId="389A899C" w14:textId="77777777" w:rsidR="00DE575E" w:rsidRDefault="00DE575E">
      <w:pPr>
        <w:pStyle w:val="BodyText"/>
        <w:rPr>
          <w:sz w:val="24"/>
        </w:rPr>
      </w:pPr>
    </w:p>
    <w:p w14:paraId="1B9E0A9A" w14:textId="77777777" w:rsidR="00DE575E" w:rsidRDefault="00DE575E">
      <w:pPr>
        <w:pStyle w:val="BodyText"/>
        <w:spacing w:before="4"/>
        <w:rPr>
          <w:sz w:val="19"/>
        </w:rPr>
      </w:pPr>
    </w:p>
    <w:p w14:paraId="19098320" w14:textId="77777777" w:rsidR="00DE575E" w:rsidRDefault="002E7560">
      <w:pPr>
        <w:pStyle w:val="Heading4"/>
        <w:spacing w:before="1"/>
        <w:ind w:left="1518"/>
      </w:pPr>
      <w:r>
        <w:rPr>
          <w:color w:val="231F20"/>
        </w:rPr>
        <w:t>8.4. Учасники адміністративної процедури</w:t>
      </w:r>
    </w:p>
    <w:p w14:paraId="1CF8198D" w14:textId="77777777" w:rsidR="00DE575E" w:rsidRDefault="00DE575E">
      <w:pPr>
        <w:pStyle w:val="BodyText"/>
        <w:rPr>
          <w:b/>
          <w:sz w:val="26"/>
        </w:rPr>
      </w:pPr>
    </w:p>
    <w:p w14:paraId="74F8EF2A" w14:textId="77777777" w:rsidR="00DE575E" w:rsidRDefault="002E7560">
      <w:pPr>
        <w:pStyle w:val="BodyText"/>
        <w:spacing w:before="223" w:line="252" w:lineRule="auto"/>
        <w:ind w:left="533" w:right="127" w:firstLine="283"/>
        <w:jc w:val="both"/>
      </w:pPr>
      <w:r>
        <w:rPr>
          <w:color w:val="231F20"/>
        </w:rPr>
        <w:t>Аналіз адміністративних процедур не буде повним без розгляду їх учасників, тобто осіб, які безпосередньо реалізують свої права чи обов’язки в межах правових відносин, що складаються під час здійс- нення адміністративної процедури.</w:t>
      </w:r>
    </w:p>
    <w:p w14:paraId="0CFC2043" w14:textId="77777777" w:rsidR="00DE575E" w:rsidRDefault="002E7560">
      <w:pPr>
        <w:pStyle w:val="Heading6"/>
        <w:spacing w:before="2" w:line="252" w:lineRule="auto"/>
        <w:ind w:right="128"/>
        <w:jc w:val="both"/>
      </w:pPr>
      <w:r>
        <w:rPr>
          <w:color w:val="231F20"/>
        </w:rPr>
        <w:t>Доцільно виокремити чотир</w:t>
      </w:r>
      <w:r>
        <w:rPr>
          <w:color w:val="231F20"/>
        </w:rPr>
        <w:t xml:space="preserve">ьох можливих учасників проце- </w:t>
      </w:r>
      <w:r>
        <w:rPr>
          <w:color w:val="231F20"/>
        </w:rPr>
        <w:t>дури:</w:t>
      </w:r>
    </w:p>
    <w:p w14:paraId="3F6E6383" w14:textId="77777777" w:rsidR="00DE575E" w:rsidRDefault="002E7560">
      <w:pPr>
        <w:pStyle w:val="ListParagraph"/>
        <w:numPr>
          <w:ilvl w:val="1"/>
          <w:numId w:val="146"/>
        </w:numPr>
        <w:tabs>
          <w:tab w:val="left" w:pos="1101"/>
        </w:tabs>
        <w:ind w:hanging="283"/>
        <w:rPr>
          <w:sz w:val="21"/>
        </w:rPr>
      </w:pPr>
      <w:r>
        <w:rPr>
          <w:color w:val="231F20"/>
          <w:sz w:val="21"/>
        </w:rPr>
        <w:t>адміністративний</w:t>
      </w:r>
      <w:r>
        <w:rPr>
          <w:color w:val="231F20"/>
          <w:spacing w:val="-2"/>
          <w:sz w:val="21"/>
        </w:rPr>
        <w:t xml:space="preserve"> </w:t>
      </w:r>
      <w:r>
        <w:rPr>
          <w:color w:val="231F20"/>
          <w:sz w:val="21"/>
        </w:rPr>
        <w:t>орган;</w:t>
      </w:r>
    </w:p>
    <w:p w14:paraId="08EC62C6" w14:textId="77777777" w:rsidR="00DE575E" w:rsidRDefault="002E7560">
      <w:pPr>
        <w:pStyle w:val="ListParagraph"/>
        <w:numPr>
          <w:ilvl w:val="1"/>
          <w:numId w:val="146"/>
        </w:numPr>
        <w:tabs>
          <w:tab w:val="left" w:pos="1101"/>
        </w:tabs>
        <w:spacing w:before="13"/>
        <w:ind w:hanging="283"/>
        <w:rPr>
          <w:sz w:val="21"/>
        </w:rPr>
      </w:pPr>
      <w:r>
        <w:rPr>
          <w:color w:val="231F20"/>
          <w:sz w:val="21"/>
        </w:rPr>
        <w:t>адресат (зокрема</w:t>
      </w:r>
      <w:r>
        <w:rPr>
          <w:color w:val="231F20"/>
          <w:spacing w:val="-2"/>
          <w:sz w:val="21"/>
        </w:rPr>
        <w:t xml:space="preserve"> </w:t>
      </w:r>
      <w:r>
        <w:rPr>
          <w:color w:val="231F20"/>
          <w:sz w:val="21"/>
        </w:rPr>
        <w:t>заявник);</w:t>
      </w:r>
    </w:p>
    <w:p w14:paraId="6F95F2A9" w14:textId="77777777" w:rsidR="00DE575E" w:rsidRDefault="002E7560">
      <w:pPr>
        <w:pStyle w:val="ListParagraph"/>
        <w:numPr>
          <w:ilvl w:val="1"/>
          <w:numId w:val="146"/>
        </w:numPr>
        <w:tabs>
          <w:tab w:val="left" w:pos="1101"/>
        </w:tabs>
        <w:spacing w:before="13"/>
        <w:ind w:hanging="283"/>
        <w:rPr>
          <w:sz w:val="21"/>
        </w:rPr>
      </w:pPr>
      <w:r>
        <w:rPr>
          <w:color w:val="231F20"/>
          <w:sz w:val="21"/>
        </w:rPr>
        <w:t>зацікавлені</w:t>
      </w:r>
      <w:r>
        <w:rPr>
          <w:color w:val="231F20"/>
          <w:spacing w:val="-2"/>
          <w:sz w:val="21"/>
        </w:rPr>
        <w:t xml:space="preserve"> </w:t>
      </w:r>
      <w:r>
        <w:rPr>
          <w:color w:val="231F20"/>
          <w:sz w:val="21"/>
        </w:rPr>
        <w:t>особи;</w:t>
      </w:r>
    </w:p>
    <w:p w14:paraId="668B2817" w14:textId="77777777" w:rsidR="00DE575E" w:rsidRDefault="002E7560">
      <w:pPr>
        <w:pStyle w:val="ListParagraph"/>
        <w:numPr>
          <w:ilvl w:val="1"/>
          <w:numId w:val="146"/>
        </w:numPr>
        <w:tabs>
          <w:tab w:val="left" w:pos="1101"/>
        </w:tabs>
        <w:spacing w:before="13"/>
        <w:ind w:hanging="283"/>
        <w:rPr>
          <w:sz w:val="21"/>
        </w:rPr>
      </w:pPr>
      <w:r>
        <w:rPr>
          <w:color w:val="231F20"/>
          <w:sz w:val="21"/>
        </w:rPr>
        <w:t>представники.</w:t>
      </w:r>
    </w:p>
    <w:p w14:paraId="038DED60" w14:textId="77777777" w:rsidR="00DE575E" w:rsidRDefault="002E7560">
      <w:pPr>
        <w:pStyle w:val="BodyText"/>
        <w:spacing w:before="12" w:line="252" w:lineRule="auto"/>
        <w:ind w:left="533" w:right="128" w:firstLine="283"/>
        <w:jc w:val="both"/>
      </w:pPr>
      <w:r>
        <w:rPr>
          <w:color w:val="231F20"/>
        </w:rPr>
        <w:t>Даючи загальне визначення, зазначимо, що учасник адміністра- тивної процедури – це особа, яка має певні права та обов’язки,</w:t>
      </w:r>
      <w:r>
        <w:rPr>
          <w:color w:val="231F20"/>
          <w:spacing w:val="-34"/>
        </w:rPr>
        <w:t xml:space="preserve"> </w:t>
      </w:r>
      <w:r>
        <w:rPr>
          <w:color w:val="231F20"/>
        </w:rPr>
        <w:t>сфор- мульовані в нормах адміністративного права, та бере участь у розг- ляді</w:t>
      </w:r>
      <w:r>
        <w:rPr>
          <w:color w:val="231F20"/>
          <w:spacing w:val="-9"/>
        </w:rPr>
        <w:t xml:space="preserve"> </w:t>
      </w:r>
      <w:r>
        <w:rPr>
          <w:color w:val="231F20"/>
        </w:rPr>
        <w:t>конкретної</w:t>
      </w:r>
      <w:r>
        <w:rPr>
          <w:color w:val="231F20"/>
          <w:spacing w:val="-9"/>
        </w:rPr>
        <w:t xml:space="preserve"> </w:t>
      </w:r>
      <w:r>
        <w:rPr>
          <w:color w:val="231F20"/>
        </w:rPr>
        <w:t>адміністративної</w:t>
      </w:r>
      <w:r>
        <w:rPr>
          <w:color w:val="231F20"/>
          <w:spacing w:val="-9"/>
        </w:rPr>
        <w:t xml:space="preserve"> </w:t>
      </w:r>
      <w:r>
        <w:rPr>
          <w:color w:val="231F20"/>
        </w:rPr>
        <w:t>справи</w:t>
      </w:r>
      <w:r>
        <w:rPr>
          <w:color w:val="231F20"/>
          <w:spacing w:val="-9"/>
        </w:rPr>
        <w:t xml:space="preserve"> </w:t>
      </w:r>
      <w:r>
        <w:rPr>
          <w:color w:val="231F20"/>
        </w:rPr>
        <w:t>з</w:t>
      </w:r>
      <w:r>
        <w:rPr>
          <w:color w:val="231F20"/>
          <w:spacing w:val="-9"/>
        </w:rPr>
        <w:t xml:space="preserve"> </w:t>
      </w:r>
      <w:r>
        <w:rPr>
          <w:color w:val="231F20"/>
        </w:rPr>
        <w:t>метою</w:t>
      </w:r>
      <w:r>
        <w:rPr>
          <w:color w:val="231F20"/>
          <w:spacing w:val="-9"/>
        </w:rPr>
        <w:t xml:space="preserve"> </w:t>
      </w:r>
      <w:r>
        <w:rPr>
          <w:color w:val="231F20"/>
        </w:rPr>
        <w:t>реалізації</w:t>
      </w:r>
      <w:r>
        <w:rPr>
          <w:color w:val="231F20"/>
          <w:spacing w:val="-9"/>
        </w:rPr>
        <w:t xml:space="preserve"> </w:t>
      </w:r>
      <w:r>
        <w:rPr>
          <w:color w:val="231F20"/>
        </w:rPr>
        <w:t>власних інтересів.</w:t>
      </w:r>
    </w:p>
    <w:p w14:paraId="76D82861" w14:textId="77777777" w:rsidR="00DE575E" w:rsidRDefault="002E7560">
      <w:pPr>
        <w:pStyle w:val="BodyText"/>
        <w:spacing w:before="3" w:line="252" w:lineRule="auto"/>
        <w:ind w:left="533" w:right="127" w:firstLine="283"/>
        <w:jc w:val="both"/>
      </w:pPr>
      <w:r>
        <w:rPr>
          <w:color w:val="231F20"/>
        </w:rPr>
        <w:t>Зауважимо, що інтереси ці бувають часто різними, що зумовлено різною метою самої участі в суспільних відн</w:t>
      </w:r>
      <w:r>
        <w:rPr>
          <w:color w:val="231F20"/>
        </w:rPr>
        <w:t xml:space="preserve">осинах, що виникають  у </w:t>
      </w:r>
      <w:r>
        <w:rPr>
          <w:color w:val="231F20"/>
          <w:spacing w:val="-3"/>
        </w:rPr>
        <w:t xml:space="preserve">ході </w:t>
      </w:r>
      <w:r>
        <w:rPr>
          <w:color w:val="231F20"/>
        </w:rPr>
        <w:t>адміністративної процедури. За таких умов урівноваження різних інтересів відбувається за рахунок чіткого формулювання положень чинного законодавства, що врегульовує порядок здійс- нення адміністративних процедур і правовий стат</w:t>
      </w:r>
      <w:r>
        <w:rPr>
          <w:color w:val="231F20"/>
        </w:rPr>
        <w:t>ус їх</w:t>
      </w:r>
      <w:r>
        <w:rPr>
          <w:color w:val="231F20"/>
          <w:spacing w:val="-16"/>
        </w:rPr>
        <w:t xml:space="preserve"> </w:t>
      </w:r>
      <w:r>
        <w:rPr>
          <w:color w:val="231F20"/>
        </w:rPr>
        <w:t>учасників.</w:t>
      </w:r>
    </w:p>
    <w:p w14:paraId="5D920D65" w14:textId="77777777" w:rsidR="00DE575E" w:rsidRDefault="002E7560">
      <w:pPr>
        <w:pStyle w:val="BodyText"/>
        <w:spacing w:before="3" w:line="252" w:lineRule="auto"/>
        <w:ind w:left="533" w:right="128" w:firstLine="283"/>
        <w:jc w:val="both"/>
      </w:pPr>
      <w:r>
        <w:rPr>
          <w:color w:val="231F20"/>
        </w:rPr>
        <w:t>Для того щоб бути учасником адміністративної процедури,</w:t>
      </w:r>
      <w:r>
        <w:rPr>
          <w:color w:val="231F20"/>
          <w:spacing w:val="-34"/>
        </w:rPr>
        <w:t xml:space="preserve"> </w:t>
      </w:r>
      <w:r>
        <w:rPr>
          <w:color w:val="231F20"/>
        </w:rPr>
        <w:t>особа (в широкому розумінні – і фізична, і юридична, і сам адміністратив- ний орган) повинна мати адміністративну правосуб’єктність, що складається з адміністративної правоздатності та адміністративної дієздатності.</w:t>
      </w:r>
    </w:p>
    <w:p w14:paraId="4718B4C8" w14:textId="77777777" w:rsidR="00DE575E" w:rsidRDefault="002E7560">
      <w:pPr>
        <w:spacing w:before="2" w:line="252" w:lineRule="auto"/>
        <w:ind w:left="533" w:right="127" w:firstLine="283"/>
        <w:jc w:val="both"/>
        <w:rPr>
          <w:sz w:val="21"/>
        </w:rPr>
      </w:pPr>
      <w:r>
        <w:rPr>
          <w:i/>
          <w:color w:val="231F20"/>
          <w:sz w:val="21"/>
        </w:rPr>
        <w:t>Адміністративна правосуб’єктність учасни</w:t>
      </w:r>
      <w:r>
        <w:rPr>
          <w:i/>
          <w:color w:val="231F20"/>
          <w:sz w:val="21"/>
        </w:rPr>
        <w:t xml:space="preserve">ка адміністратив- ної процедури </w:t>
      </w:r>
      <w:r>
        <w:rPr>
          <w:color w:val="231F20"/>
          <w:sz w:val="21"/>
        </w:rPr>
        <w:t>– це здатність учасника мати й реалізовувати права та виконувати обов’язки, що містяться в нормах адміністратив- ного права. Поряд із тим правоздатність учасника адміністративної процедури</w:t>
      </w:r>
      <w:r>
        <w:rPr>
          <w:color w:val="231F20"/>
          <w:spacing w:val="-13"/>
          <w:sz w:val="21"/>
        </w:rPr>
        <w:t xml:space="preserve"> </w:t>
      </w:r>
      <w:r>
        <w:rPr>
          <w:color w:val="231F20"/>
          <w:sz w:val="21"/>
        </w:rPr>
        <w:t>–</w:t>
      </w:r>
      <w:r>
        <w:rPr>
          <w:color w:val="231F20"/>
          <w:spacing w:val="-13"/>
          <w:sz w:val="21"/>
        </w:rPr>
        <w:t xml:space="preserve"> </w:t>
      </w:r>
      <w:r>
        <w:rPr>
          <w:color w:val="231F20"/>
          <w:sz w:val="21"/>
        </w:rPr>
        <w:t>це</w:t>
      </w:r>
      <w:r>
        <w:rPr>
          <w:color w:val="231F20"/>
          <w:spacing w:val="-13"/>
          <w:sz w:val="21"/>
        </w:rPr>
        <w:t xml:space="preserve"> </w:t>
      </w:r>
      <w:r>
        <w:rPr>
          <w:color w:val="231F20"/>
          <w:sz w:val="21"/>
        </w:rPr>
        <w:t>його</w:t>
      </w:r>
      <w:r>
        <w:rPr>
          <w:color w:val="231F20"/>
          <w:spacing w:val="-13"/>
          <w:sz w:val="21"/>
        </w:rPr>
        <w:t xml:space="preserve"> </w:t>
      </w:r>
      <w:r>
        <w:rPr>
          <w:color w:val="231F20"/>
          <w:sz w:val="21"/>
        </w:rPr>
        <w:t>здатність</w:t>
      </w:r>
      <w:r>
        <w:rPr>
          <w:color w:val="231F20"/>
          <w:spacing w:val="-13"/>
          <w:sz w:val="21"/>
        </w:rPr>
        <w:t xml:space="preserve"> </w:t>
      </w:r>
      <w:r>
        <w:rPr>
          <w:color w:val="231F20"/>
          <w:sz w:val="21"/>
        </w:rPr>
        <w:t>мати</w:t>
      </w:r>
      <w:r>
        <w:rPr>
          <w:color w:val="231F20"/>
          <w:spacing w:val="-13"/>
          <w:sz w:val="21"/>
        </w:rPr>
        <w:t xml:space="preserve"> </w:t>
      </w:r>
      <w:r>
        <w:rPr>
          <w:color w:val="231F20"/>
          <w:sz w:val="21"/>
        </w:rPr>
        <w:t>права</w:t>
      </w:r>
      <w:r>
        <w:rPr>
          <w:color w:val="231F20"/>
          <w:spacing w:val="-13"/>
          <w:sz w:val="21"/>
        </w:rPr>
        <w:t xml:space="preserve"> </w:t>
      </w:r>
      <w:r>
        <w:rPr>
          <w:color w:val="231F20"/>
          <w:sz w:val="21"/>
        </w:rPr>
        <w:t>та</w:t>
      </w:r>
      <w:r>
        <w:rPr>
          <w:color w:val="231F20"/>
          <w:spacing w:val="-13"/>
          <w:sz w:val="21"/>
        </w:rPr>
        <w:t xml:space="preserve"> </w:t>
      </w:r>
      <w:r>
        <w:rPr>
          <w:color w:val="231F20"/>
          <w:sz w:val="21"/>
        </w:rPr>
        <w:t>о</w:t>
      </w:r>
      <w:r>
        <w:rPr>
          <w:color w:val="231F20"/>
          <w:sz w:val="21"/>
        </w:rPr>
        <w:t>бов’язки.</w:t>
      </w:r>
      <w:r>
        <w:rPr>
          <w:color w:val="231F20"/>
          <w:spacing w:val="-13"/>
          <w:sz w:val="21"/>
        </w:rPr>
        <w:t xml:space="preserve"> </w:t>
      </w:r>
      <w:r>
        <w:rPr>
          <w:color w:val="231F20"/>
          <w:spacing w:val="-3"/>
          <w:sz w:val="21"/>
        </w:rPr>
        <w:t>Говорячи</w:t>
      </w:r>
      <w:r>
        <w:rPr>
          <w:color w:val="231F20"/>
          <w:spacing w:val="-13"/>
          <w:sz w:val="21"/>
        </w:rPr>
        <w:t xml:space="preserve"> </w:t>
      </w:r>
      <w:r>
        <w:rPr>
          <w:color w:val="231F20"/>
          <w:sz w:val="21"/>
        </w:rPr>
        <w:t>про</w:t>
      </w:r>
    </w:p>
    <w:p w14:paraId="19DC3560" w14:textId="77777777" w:rsidR="00DE575E" w:rsidRDefault="00DE575E">
      <w:pPr>
        <w:pStyle w:val="BodyText"/>
        <w:spacing w:before="8"/>
        <w:rPr>
          <w:sz w:val="12"/>
        </w:rPr>
      </w:pPr>
    </w:p>
    <w:p w14:paraId="2FF859C0" w14:textId="77777777" w:rsidR="00DE575E" w:rsidRDefault="002E7560">
      <w:pPr>
        <w:spacing w:before="92"/>
        <w:ind w:left="533"/>
        <w:rPr>
          <w:rFonts w:ascii="Times New Roman"/>
          <w:sz w:val="20"/>
        </w:rPr>
      </w:pPr>
      <w:r>
        <w:rPr>
          <w:rFonts w:ascii="Times New Roman"/>
          <w:color w:val="231F20"/>
          <w:sz w:val="20"/>
        </w:rPr>
        <w:t>304</w:t>
      </w:r>
    </w:p>
    <w:p w14:paraId="6597E53A" w14:textId="77777777" w:rsidR="00DE575E" w:rsidRDefault="00DE575E">
      <w:pPr>
        <w:rPr>
          <w:rFonts w:ascii="Times New Roman"/>
          <w:sz w:val="20"/>
        </w:rPr>
        <w:sectPr w:rsidR="00DE575E">
          <w:pgSz w:w="8510" w:h="12760"/>
          <w:pgMar w:top="660" w:right="720" w:bottom="280" w:left="600" w:header="720" w:footer="720" w:gutter="0"/>
          <w:cols w:space="720"/>
        </w:sectPr>
      </w:pPr>
    </w:p>
    <w:p w14:paraId="0F41D10B"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6AFD46D8" w14:textId="0555092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6D599DF" wp14:editId="476B958C">
                <wp:extent cx="4140200" cy="6350"/>
                <wp:effectExtent l="0" t="0" r="12700" b="6350"/>
                <wp:docPr id="647"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48" name="Line 6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F1FD4A" id="Group_x0020_6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HLTSogAIAAJgFAAAO&#10;AAAAAAAAAAAAAAAAACwCAABkcnMvZTJvRG9jLnhtbFBLAQItABQABgAIAAAAIQBMp7CQ2QAAAAMB&#10;AAAPAAAAAAAAAAAAAAAAANgEAABkcnMvZG93bnJldi54bWxQSwUGAAAAAAQABADzAAAA3gUAAAAA&#10;">
                <v:line id="Line_x0020_6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Ix1sMAAADcAAAADwAAAGRycy9kb3ducmV2LnhtbERP3WrCMBS+F/YO4Qy8EU3VIaMaZQwE&#10;8UKn3QMcm7O2LDmpTbTVpzcXgpcf3/9i1VkjrtT4yrGC8SgBQZw7XXGh4DdbDz9B+ICs0TgmBTfy&#10;sFq+9RaYatfyga7HUIgYwj5FBWUIdSqlz0uy6EeuJo7cn2sshgibQuoG2xhujZwkyUxarDg2lFjT&#10;d0n5//FiFWTnQTA/+61ps/1pKk/n3fR+2SnVf+++5iACdeElfro3WsHsI66N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8yMdbDAAAA3AAAAA8AAAAAAAAAAAAA&#10;AAAAoQIAAGRycy9kb3ducmV2LnhtbFBLBQYAAAAABAAEAPkAAACRAwAAAAA=&#10;" strokecolor="#231f20" strokeweight=".5pt"/>
                <w10:anchorlock/>
              </v:group>
            </w:pict>
          </mc:Fallback>
        </mc:AlternateContent>
      </w:r>
    </w:p>
    <w:p w14:paraId="1193C0FC" w14:textId="77777777" w:rsidR="00DE575E" w:rsidRDefault="00DE575E">
      <w:pPr>
        <w:pStyle w:val="BodyText"/>
        <w:spacing w:before="7"/>
        <w:rPr>
          <w:rFonts w:ascii="AdonisC"/>
          <w:i/>
          <w:sz w:val="19"/>
        </w:rPr>
      </w:pPr>
    </w:p>
    <w:p w14:paraId="6C5F4867" w14:textId="77777777" w:rsidR="00DE575E" w:rsidRDefault="002E7560">
      <w:pPr>
        <w:pStyle w:val="BodyText"/>
        <w:spacing w:before="1" w:line="252" w:lineRule="auto"/>
        <w:ind w:left="250" w:right="409"/>
        <w:jc w:val="both"/>
      </w:pPr>
      <w:r>
        <w:rPr>
          <w:color w:val="231F20"/>
        </w:rPr>
        <w:t>громадян, зазначимо, що вона виникає з народженням</w:t>
      </w:r>
      <w:r>
        <w:rPr>
          <w:color w:val="231F20"/>
          <w:spacing w:val="-33"/>
        </w:rPr>
        <w:t xml:space="preserve"> </w:t>
      </w:r>
      <w:r>
        <w:rPr>
          <w:color w:val="231F20"/>
        </w:rPr>
        <w:t>громадянина та припиняється з його смертю. Своєю чергою в більшості юридич- них осіб адміністративна правоздатність виникає від моменту державної реєстрації, а припиняє</w:t>
      </w:r>
      <w:r>
        <w:rPr>
          <w:color w:val="231F20"/>
        </w:rPr>
        <w:t>ться – від моменту</w:t>
      </w:r>
      <w:r>
        <w:rPr>
          <w:color w:val="231F20"/>
          <w:spacing w:val="-14"/>
        </w:rPr>
        <w:t xml:space="preserve"> </w:t>
      </w:r>
      <w:r>
        <w:rPr>
          <w:color w:val="231F20"/>
        </w:rPr>
        <w:t>ліквідації.</w:t>
      </w:r>
    </w:p>
    <w:p w14:paraId="1E6994DA" w14:textId="77777777" w:rsidR="00DE575E" w:rsidRDefault="002E7560">
      <w:pPr>
        <w:pStyle w:val="BodyText"/>
        <w:spacing w:before="2" w:line="252" w:lineRule="auto"/>
        <w:ind w:left="250" w:right="411" w:firstLine="283"/>
        <w:jc w:val="both"/>
      </w:pPr>
      <w:r>
        <w:rPr>
          <w:i/>
          <w:color w:val="231F20"/>
        </w:rPr>
        <w:t xml:space="preserve">Адміністративна дієздатність учасника адміністративної процедури </w:t>
      </w:r>
      <w:r>
        <w:rPr>
          <w:color w:val="231F20"/>
        </w:rPr>
        <w:t>– це його здатність своїми діями реалізовувати надані права й виконувати покладені на нього обов’язки. Важливо зазна- чити,  що   на   відміну   від   правоздат</w:t>
      </w:r>
      <w:r>
        <w:rPr>
          <w:color w:val="231F20"/>
        </w:rPr>
        <w:t xml:space="preserve">ності   (яка   виникає   відразу і в повному обсязі), набуття та обсяг адміністративної дієздатності у громадян залежать від низки </w:t>
      </w:r>
      <w:r>
        <w:rPr>
          <w:color w:val="231F20"/>
          <w:spacing w:val="-3"/>
        </w:rPr>
        <w:t xml:space="preserve">об’єктивних </w:t>
      </w:r>
      <w:r>
        <w:rPr>
          <w:color w:val="231F20"/>
        </w:rPr>
        <w:t xml:space="preserve">і </w:t>
      </w:r>
      <w:r>
        <w:rPr>
          <w:color w:val="231F20"/>
          <w:spacing w:val="-3"/>
        </w:rPr>
        <w:t xml:space="preserve">суб’єктивних </w:t>
      </w:r>
      <w:r>
        <w:rPr>
          <w:color w:val="231F20"/>
        </w:rPr>
        <w:t xml:space="preserve">чинників. </w:t>
      </w:r>
      <w:r>
        <w:rPr>
          <w:color w:val="231F20"/>
          <w:spacing w:val="-5"/>
        </w:rPr>
        <w:t>Така</w:t>
      </w:r>
      <w:r>
        <w:rPr>
          <w:color w:val="231F20"/>
          <w:spacing w:val="-9"/>
        </w:rPr>
        <w:t xml:space="preserve"> </w:t>
      </w:r>
      <w:r>
        <w:rPr>
          <w:color w:val="231F20"/>
        </w:rPr>
        <w:t>дієздатність</w:t>
      </w:r>
      <w:r>
        <w:rPr>
          <w:color w:val="231F20"/>
          <w:spacing w:val="-9"/>
        </w:rPr>
        <w:t xml:space="preserve"> </w:t>
      </w:r>
      <w:r>
        <w:rPr>
          <w:color w:val="231F20"/>
        </w:rPr>
        <w:t>юридичних</w:t>
      </w:r>
      <w:r>
        <w:rPr>
          <w:color w:val="231F20"/>
          <w:spacing w:val="-9"/>
        </w:rPr>
        <w:t xml:space="preserve"> </w:t>
      </w:r>
      <w:r>
        <w:rPr>
          <w:color w:val="231F20"/>
        </w:rPr>
        <w:t>осіб</w:t>
      </w:r>
      <w:r>
        <w:rPr>
          <w:color w:val="231F20"/>
          <w:spacing w:val="-9"/>
        </w:rPr>
        <w:t xml:space="preserve"> </w:t>
      </w:r>
      <w:r>
        <w:rPr>
          <w:color w:val="231F20"/>
        </w:rPr>
        <w:t>виникає</w:t>
      </w:r>
      <w:r>
        <w:rPr>
          <w:color w:val="231F20"/>
          <w:spacing w:val="-9"/>
        </w:rPr>
        <w:t xml:space="preserve"> </w:t>
      </w:r>
      <w:r>
        <w:rPr>
          <w:color w:val="231F20"/>
        </w:rPr>
        <w:t>одночасно</w:t>
      </w:r>
      <w:r>
        <w:rPr>
          <w:color w:val="231F20"/>
          <w:spacing w:val="-9"/>
        </w:rPr>
        <w:t xml:space="preserve"> </w:t>
      </w:r>
      <w:r>
        <w:rPr>
          <w:color w:val="231F20"/>
        </w:rPr>
        <w:t>з</w:t>
      </w:r>
      <w:r>
        <w:rPr>
          <w:color w:val="231F20"/>
          <w:spacing w:val="-9"/>
        </w:rPr>
        <w:t xml:space="preserve"> </w:t>
      </w:r>
      <w:r>
        <w:rPr>
          <w:color w:val="231F20"/>
        </w:rPr>
        <w:t xml:space="preserve">правоздатні- стю, тобто в момент державної реєстрації як </w:t>
      </w:r>
      <w:r>
        <w:rPr>
          <w:color w:val="231F20"/>
          <w:spacing w:val="-3"/>
        </w:rPr>
        <w:t>суб’єкта</w:t>
      </w:r>
      <w:r>
        <w:rPr>
          <w:color w:val="231F20"/>
          <w:spacing w:val="-9"/>
        </w:rPr>
        <w:t xml:space="preserve"> </w:t>
      </w:r>
      <w:r>
        <w:rPr>
          <w:color w:val="231F20"/>
        </w:rPr>
        <w:t>права.</w:t>
      </w:r>
    </w:p>
    <w:p w14:paraId="5380255E" w14:textId="77777777" w:rsidR="00DE575E" w:rsidRDefault="00DE575E">
      <w:pPr>
        <w:pStyle w:val="BodyText"/>
        <w:spacing w:before="3"/>
        <w:rPr>
          <w:sz w:val="22"/>
        </w:rPr>
      </w:pPr>
    </w:p>
    <w:p w14:paraId="76266D7F" w14:textId="77777777" w:rsidR="00DE575E" w:rsidRDefault="002E7560">
      <w:pPr>
        <w:pStyle w:val="ListParagraph"/>
        <w:numPr>
          <w:ilvl w:val="2"/>
          <w:numId w:val="145"/>
        </w:numPr>
        <w:tabs>
          <w:tab w:val="left" w:pos="1099"/>
        </w:tabs>
        <w:ind w:hanging="284"/>
        <w:jc w:val="left"/>
        <w:rPr>
          <w:b/>
          <w:sz w:val="21"/>
        </w:rPr>
      </w:pPr>
      <w:r>
        <w:rPr>
          <w:b/>
          <w:color w:val="231F20"/>
          <w:sz w:val="21"/>
        </w:rPr>
        <w:t>Адміністративний</w:t>
      </w:r>
      <w:r>
        <w:rPr>
          <w:b/>
          <w:color w:val="231F20"/>
          <w:spacing w:val="-1"/>
          <w:sz w:val="21"/>
        </w:rPr>
        <w:t xml:space="preserve"> </w:t>
      </w:r>
      <w:r>
        <w:rPr>
          <w:b/>
          <w:color w:val="231F20"/>
          <w:sz w:val="21"/>
        </w:rPr>
        <w:t>орган</w:t>
      </w:r>
    </w:p>
    <w:p w14:paraId="3B43A5FC" w14:textId="77777777" w:rsidR="00DE575E" w:rsidRDefault="00DE575E">
      <w:pPr>
        <w:pStyle w:val="BodyText"/>
        <w:spacing w:before="2"/>
        <w:rPr>
          <w:b/>
          <w:sz w:val="23"/>
        </w:rPr>
      </w:pPr>
    </w:p>
    <w:p w14:paraId="2D439056" w14:textId="77777777" w:rsidR="00DE575E" w:rsidRDefault="002E7560">
      <w:pPr>
        <w:pStyle w:val="BodyText"/>
        <w:spacing w:line="252" w:lineRule="auto"/>
        <w:ind w:left="250" w:right="411" w:firstLine="283"/>
        <w:jc w:val="both"/>
      </w:pPr>
      <w:r>
        <w:rPr>
          <w:color w:val="231F20"/>
        </w:rPr>
        <w:t>Адміністративний орган – це учасник адміністративної проце- дури, суб’єкт публічного адміністрування, уповноважений здійс- нювати владні (виконавчі та розпорядчі) функції щодо розгляду та вирішення адміністративних справ і видання адміністративного акта.</w:t>
      </w:r>
    </w:p>
    <w:p w14:paraId="1404FA47" w14:textId="77777777" w:rsidR="00DE575E" w:rsidRDefault="002E7560">
      <w:pPr>
        <w:pStyle w:val="BodyText"/>
        <w:spacing w:before="2" w:line="252" w:lineRule="auto"/>
        <w:ind w:left="250" w:right="411" w:firstLine="283"/>
        <w:jc w:val="both"/>
      </w:pPr>
      <w:r>
        <w:rPr>
          <w:color w:val="231F20"/>
        </w:rPr>
        <w:t>В</w:t>
      </w:r>
      <w:r>
        <w:rPr>
          <w:color w:val="231F20"/>
        </w:rPr>
        <w:t xml:space="preserve">ідповідно до адміністративного права важливо орієнтуватись  у правовому статусі адміністративного </w:t>
      </w:r>
      <w:r>
        <w:rPr>
          <w:color w:val="231F20"/>
          <w:spacing w:val="-3"/>
        </w:rPr>
        <w:t xml:space="preserve">органу, </w:t>
      </w:r>
      <w:r>
        <w:rPr>
          <w:color w:val="231F20"/>
        </w:rPr>
        <w:t>основу якого склада- ють його адміністративні обов’язки і</w:t>
      </w:r>
      <w:r>
        <w:rPr>
          <w:color w:val="231F20"/>
          <w:spacing w:val="-5"/>
        </w:rPr>
        <w:t xml:space="preserve"> </w:t>
      </w:r>
      <w:r>
        <w:rPr>
          <w:color w:val="231F20"/>
        </w:rPr>
        <w:t>права.</w:t>
      </w:r>
    </w:p>
    <w:p w14:paraId="1E0230C4" w14:textId="77777777" w:rsidR="00DE575E" w:rsidRDefault="002E7560">
      <w:pPr>
        <w:pStyle w:val="Heading6"/>
        <w:spacing w:before="2" w:line="252" w:lineRule="auto"/>
        <w:ind w:left="250" w:right="411"/>
        <w:jc w:val="both"/>
      </w:pPr>
      <w:r>
        <w:rPr>
          <w:color w:val="231F20"/>
        </w:rPr>
        <w:t xml:space="preserve">Основні адміністративні обов’язки адміністративного </w:t>
      </w:r>
      <w:r>
        <w:rPr>
          <w:color w:val="231F20"/>
        </w:rPr>
        <w:t xml:space="preserve">органу як обов’язкового учасника </w:t>
      </w:r>
      <w:r>
        <w:rPr>
          <w:color w:val="231F20"/>
        </w:rPr>
        <w:t>адміністративної процедури:</w:t>
      </w:r>
    </w:p>
    <w:p w14:paraId="551580CE"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забезпечення надання в приміщеннях, призначених для особистого прийому, інформації, потрібної для звернення особи до адміністративного органу без сторонньої допомоги (інформаційні буклети, зразки документів, відомості про місц</w:t>
      </w:r>
      <w:r>
        <w:rPr>
          <w:color w:val="231F20"/>
        </w:rPr>
        <w:t>е розташування структурних підрозділів тощо);</w:t>
      </w:r>
    </w:p>
    <w:p w14:paraId="34FB421E" w14:textId="77777777" w:rsidR="00DE575E" w:rsidRDefault="002E7560">
      <w:pPr>
        <w:pStyle w:val="BodyText"/>
        <w:spacing w:before="2" w:line="252" w:lineRule="auto"/>
        <w:ind w:left="250" w:right="413" w:firstLine="283"/>
        <w:jc w:val="both"/>
      </w:pPr>
      <w:r>
        <w:rPr>
          <w:rFonts w:ascii="Wingdings" w:hAnsi="Wingdings"/>
          <w:color w:val="231F20"/>
        </w:rPr>
        <w:t></w:t>
      </w:r>
      <w:r>
        <w:rPr>
          <w:rFonts w:ascii="Times New Roman" w:hAnsi="Times New Roman"/>
          <w:color w:val="231F20"/>
        </w:rPr>
        <w:t xml:space="preserve"> </w:t>
      </w:r>
      <w:r>
        <w:rPr>
          <w:color w:val="231F20"/>
        </w:rPr>
        <w:t>своєчасне залучення до адміністративної процедури адресата (адресатів);</w:t>
      </w:r>
    </w:p>
    <w:p w14:paraId="2624463A" w14:textId="77777777" w:rsidR="00DE575E" w:rsidRDefault="002E7560">
      <w:pPr>
        <w:pStyle w:val="BodyText"/>
        <w:spacing w:before="1" w:line="252" w:lineRule="auto"/>
        <w:ind w:left="250" w:right="413" w:firstLine="283"/>
        <w:jc w:val="both"/>
      </w:pPr>
      <w:r>
        <w:rPr>
          <w:rFonts w:ascii="Wingdings" w:hAnsi="Wingdings"/>
          <w:color w:val="231F20"/>
        </w:rPr>
        <w:t></w:t>
      </w:r>
      <w:r>
        <w:rPr>
          <w:rFonts w:ascii="Times New Roman" w:hAnsi="Times New Roman"/>
          <w:color w:val="231F20"/>
        </w:rPr>
        <w:t xml:space="preserve"> </w:t>
      </w:r>
      <w:r>
        <w:rPr>
          <w:color w:val="231F20"/>
        </w:rPr>
        <w:t>роз’яснення  учасникам  адміністративної  процедури  їх  прав і обов’язків, сприяння реалізації таких прав і</w:t>
      </w:r>
      <w:r>
        <w:rPr>
          <w:color w:val="231F20"/>
          <w:spacing w:val="-9"/>
        </w:rPr>
        <w:t xml:space="preserve"> </w:t>
      </w:r>
      <w:r>
        <w:rPr>
          <w:color w:val="231F20"/>
        </w:rPr>
        <w:t>обов’язків;</w:t>
      </w:r>
    </w:p>
    <w:p w14:paraId="58A6E3EE"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забезпеченн</w:t>
      </w:r>
      <w:r>
        <w:rPr>
          <w:color w:val="231F20"/>
        </w:rPr>
        <w:t>я доступу учасникам адміністративної процедури до матеріалів адміністративної справи, надання їм інформації про стан розгляду адміністративної справи, зокрема за їх зверненням;</w:t>
      </w:r>
    </w:p>
    <w:p w14:paraId="1582F888"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захист інформації про особисте та сімейне життя учасників адміністративної пр</w:t>
      </w:r>
      <w:r>
        <w:rPr>
          <w:color w:val="231F20"/>
        </w:rPr>
        <w:t>оцедури;</w:t>
      </w:r>
    </w:p>
    <w:p w14:paraId="5C852F6E" w14:textId="77777777" w:rsidR="00DE575E" w:rsidRDefault="00DE575E">
      <w:pPr>
        <w:pStyle w:val="BodyText"/>
        <w:spacing w:before="6"/>
        <w:rPr>
          <w:sz w:val="12"/>
        </w:rPr>
      </w:pPr>
    </w:p>
    <w:p w14:paraId="7C79675F" w14:textId="77777777" w:rsidR="00DE575E" w:rsidRDefault="002E7560">
      <w:pPr>
        <w:spacing w:before="92"/>
        <w:ind w:right="411"/>
        <w:jc w:val="right"/>
        <w:rPr>
          <w:rFonts w:ascii="Times New Roman"/>
          <w:sz w:val="20"/>
        </w:rPr>
      </w:pPr>
      <w:r>
        <w:rPr>
          <w:rFonts w:ascii="Times New Roman"/>
          <w:color w:val="231F20"/>
          <w:w w:val="90"/>
          <w:sz w:val="20"/>
        </w:rPr>
        <w:t>305</w:t>
      </w:r>
    </w:p>
    <w:p w14:paraId="587FB49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64052F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CBC5B9F" w14:textId="354B18F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25653FE" wp14:editId="5B2F0120">
                <wp:extent cx="4140200" cy="6350"/>
                <wp:effectExtent l="0" t="0" r="12700" b="6350"/>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46" name="Line 6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FEFC32" id="Group_x0020_6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SI2+Z/AgAAmAUAAA4A&#10;AAAAAAAAAAAAAAAALAIAAGRycy9lMm9Eb2MueG1sUEsBAi0AFAAGAAgAAAAhAEynsJDZAAAAAwEA&#10;AA8AAAAAAAAAAAAAAAAA1wQAAGRycy9kb3ducmV2LnhtbFBLBQYAAAAABAAEAPMAAADdBQAAAAA=&#10;">
                <v:line id="Line_x0020_6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EAP8YAAADcAAAADwAAAGRycy9kb3ducmV2LnhtbESP3WrCQBSE7wu+w3KE3pS6aS2hpK4i&#10;BUG88C8+wDF7mgR3z8bsamKfvisUvBxm5htmMuutEVdqfe1YwdsoAUFcOF1zqeCQL14/QfiArNE4&#10;JgU38jCbDp4mmGnX8Y6u+1CKCGGfoYIqhCaT0hcVWfQj1xBH78e1FkOUbSl1i12EWyPfkySVFmuO&#10;CxU29F1RcdpfrIL8/BLMdrMyXb45juXxvB7/XtZKPQ/7+ReIQH14hP/bS60g/UjhfiYeATn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hAD/GAAAA3AAAAA8AAAAAAAAA&#10;AAAAAAAAoQIAAGRycy9kb3ducmV2LnhtbFBLBQYAAAAABAAEAPkAAACUAwAAAAA=&#10;" strokecolor="#231f20" strokeweight=".5pt"/>
                <w10:anchorlock/>
              </v:group>
            </w:pict>
          </mc:Fallback>
        </mc:AlternateContent>
      </w:r>
    </w:p>
    <w:p w14:paraId="4113C6F1" w14:textId="77777777" w:rsidR="00DE575E" w:rsidRDefault="00DE575E">
      <w:pPr>
        <w:pStyle w:val="BodyText"/>
        <w:spacing w:before="7"/>
        <w:rPr>
          <w:rFonts w:ascii="AdonisC"/>
          <w:i/>
          <w:sz w:val="11"/>
        </w:rPr>
      </w:pPr>
    </w:p>
    <w:p w14:paraId="2EC3DFC6" w14:textId="77777777" w:rsidR="00DE575E" w:rsidRDefault="002E7560">
      <w:pPr>
        <w:pStyle w:val="ListParagraph"/>
        <w:numPr>
          <w:ilvl w:val="0"/>
          <w:numId w:val="144"/>
        </w:numPr>
        <w:tabs>
          <w:tab w:val="left" w:pos="1101"/>
        </w:tabs>
        <w:spacing w:before="101" w:line="252" w:lineRule="auto"/>
        <w:ind w:right="126" w:firstLine="284"/>
        <w:rPr>
          <w:sz w:val="21"/>
        </w:rPr>
      </w:pPr>
      <w:r>
        <w:rPr>
          <w:color w:val="231F20"/>
          <w:sz w:val="21"/>
        </w:rPr>
        <w:t>забезпечення збереження охоронюваної законом інформації, зокрема такої, що становить державну або іншу</w:t>
      </w:r>
      <w:r>
        <w:rPr>
          <w:color w:val="231F20"/>
          <w:spacing w:val="-10"/>
          <w:sz w:val="21"/>
        </w:rPr>
        <w:t xml:space="preserve"> </w:t>
      </w:r>
      <w:r>
        <w:rPr>
          <w:color w:val="231F20"/>
          <w:sz w:val="21"/>
        </w:rPr>
        <w:t>таємницю;</w:t>
      </w:r>
    </w:p>
    <w:p w14:paraId="2B6C68B3" w14:textId="77777777" w:rsidR="00DE575E" w:rsidRDefault="002E7560">
      <w:pPr>
        <w:pStyle w:val="ListParagraph"/>
        <w:numPr>
          <w:ilvl w:val="0"/>
          <w:numId w:val="144"/>
        </w:numPr>
        <w:tabs>
          <w:tab w:val="left" w:pos="1101"/>
        </w:tabs>
        <w:spacing w:line="252" w:lineRule="auto"/>
        <w:ind w:right="128" w:firstLine="284"/>
        <w:rPr>
          <w:sz w:val="21"/>
        </w:rPr>
      </w:pPr>
      <w:r>
        <w:rPr>
          <w:color w:val="231F20"/>
          <w:sz w:val="21"/>
        </w:rPr>
        <w:t xml:space="preserve">підготовка та видання адміністративного акта за </w:t>
      </w:r>
      <w:r>
        <w:rPr>
          <w:color w:val="231F20"/>
          <w:spacing w:val="-3"/>
          <w:sz w:val="21"/>
        </w:rPr>
        <w:t xml:space="preserve">результа- </w:t>
      </w:r>
      <w:r>
        <w:rPr>
          <w:color w:val="231F20"/>
          <w:sz w:val="21"/>
        </w:rPr>
        <w:t xml:space="preserve">тами </w:t>
      </w:r>
      <w:r>
        <w:rPr>
          <w:color w:val="231F20"/>
          <w:spacing w:val="-3"/>
          <w:sz w:val="21"/>
        </w:rPr>
        <w:t xml:space="preserve">розгляду </w:t>
      </w:r>
      <w:r>
        <w:rPr>
          <w:color w:val="231F20"/>
          <w:sz w:val="21"/>
        </w:rPr>
        <w:t>адміністративної</w:t>
      </w:r>
      <w:r>
        <w:rPr>
          <w:color w:val="231F20"/>
          <w:spacing w:val="-1"/>
          <w:sz w:val="21"/>
        </w:rPr>
        <w:t xml:space="preserve"> </w:t>
      </w:r>
      <w:r>
        <w:rPr>
          <w:color w:val="231F20"/>
          <w:sz w:val="21"/>
        </w:rPr>
        <w:t>справи;</w:t>
      </w:r>
    </w:p>
    <w:p w14:paraId="78F97696" w14:textId="77777777" w:rsidR="00DE575E" w:rsidRDefault="002E7560">
      <w:pPr>
        <w:pStyle w:val="ListParagraph"/>
        <w:numPr>
          <w:ilvl w:val="0"/>
          <w:numId w:val="144"/>
        </w:numPr>
        <w:tabs>
          <w:tab w:val="left" w:pos="1101"/>
        </w:tabs>
        <w:spacing w:line="252" w:lineRule="auto"/>
        <w:ind w:right="127" w:firstLine="284"/>
        <w:rPr>
          <w:sz w:val="21"/>
        </w:rPr>
      </w:pPr>
      <w:r>
        <w:rPr>
          <w:color w:val="231F20"/>
          <w:sz w:val="21"/>
        </w:rPr>
        <w:t>повідомле</w:t>
      </w:r>
      <w:r>
        <w:rPr>
          <w:color w:val="231F20"/>
          <w:sz w:val="21"/>
        </w:rPr>
        <w:t xml:space="preserve">ння </w:t>
      </w:r>
      <w:r>
        <w:rPr>
          <w:color w:val="231F20"/>
          <w:spacing w:val="-3"/>
          <w:sz w:val="21"/>
        </w:rPr>
        <w:t xml:space="preserve">суб’єктом </w:t>
      </w:r>
      <w:r>
        <w:rPr>
          <w:color w:val="231F20"/>
          <w:sz w:val="21"/>
        </w:rPr>
        <w:t xml:space="preserve">звернення заінтересованій особі </w:t>
      </w:r>
      <w:r>
        <w:rPr>
          <w:color w:val="231F20"/>
          <w:spacing w:val="-3"/>
          <w:sz w:val="21"/>
        </w:rPr>
        <w:t xml:space="preserve">результатів розгляду </w:t>
      </w:r>
      <w:r>
        <w:rPr>
          <w:color w:val="231F20"/>
          <w:sz w:val="21"/>
        </w:rPr>
        <w:t>адміністративної</w:t>
      </w:r>
      <w:r>
        <w:rPr>
          <w:color w:val="231F20"/>
          <w:spacing w:val="1"/>
          <w:sz w:val="21"/>
        </w:rPr>
        <w:t xml:space="preserve"> </w:t>
      </w:r>
      <w:r>
        <w:rPr>
          <w:color w:val="231F20"/>
          <w:sz w:val="21"/>
        </w:rPr>
        <w:t>справи;</w:t>
      </w:r>
    </w:p>
    <w:p w14:paraId="15475759" w14:textId="77777777" w:rsidR="00DE575E" w:rsidRDefault="002E7560">
      <w:pPr>
        <w:pStyle w:val="ListParagraph"/>
        <w:numPr>
          <w:ilvl w:val="0"/>
          <w:numId w:val="144"/>
        </w:numPr>
        <w:tabs>
          <w:tab w:val="left" w:pos="1101"/>
        </w:tabs>
        <w:spacing w:line="252" w:lineRule="auto"/>
        <w:ind w:right="128" w:firstLine="284"/>
        <w:jc w:val="right"/>
        <w:rPr>
          <w:b/>
          <w:i/>
          <w:sz w:val="21"/>
        </w:rPr>
      </w:pPr>
      <w:r>
        <w:rPr>
          <w:color w:val="231F20"/>
          <w:sz w:val="21"/>
        </w:rPr>
        <w:t>роз’яснення порядку і строків</w:t>
      </w:r>
      <w:r>
        <w:rPr>
          <w:color w:val="231F20"/>
          <w:spacing w:val="16"/>
          <w:sz w:val="21"/>
        </w:rPr>
        <w:t xml:space="preserve"> </w:t>
      </w:r>
      <w:r>
        <w:rPr>
          <w:color w:val="231F20"/>
          <w:sz w:val="21"/>
        </w:rPr>
        <w:t>оскарження</w:t>
      </w:r>
      <w:r>
        <w:rPr>
          <w:color w:val="231F20"/>
          <w:spacing w:val="3"/>
          <w:sz w:val="21"/>
        </w:rPr>
        <w:t xml:space="preserve"> </w:t>
      </w:r>
      <w:r>
        <w:rPr>
          <w:color w:val="231F20"/>
          <w:sz w:val="21"/>
        </w:rPr>
        <w:t>адміністративного акта,</w:t>
      </w:r>
      <w:r>
        <w:rPr>
          <w:color w:val="231F20"/>
          <w:spacing w:val="-10"/>
          <w:sz w:val="21"/>
        </w:rPr>
        <w:t xml:space="preserve"> </w:t>
      </w:r>
      <w:r>
        <w:rPr>
          <w:color w:val="231F20"/>
          <w:sz w:val="21"/>
        </w:rPr>
        <w:t>ухваленого</w:t>
      </w:r>
      <w:r>
        <w:rPr>
          <w:color w:val="231F20"/>
          <w:spacing w:val="-10"/>
          <w:sz w:val="21"/>
        </w:rPr>
        <w:t xml:space="preserve"> </w:t>
      </w:r>
      <w:r>
        <w:rPr>
          <w:color w:val="231F20"/>
          <w:sz w:val="21"/>
        </w:rPr>
        <w:t>за</w:t>
      </w:r>
      <w:r>
        <w:rPr>
          <w:color w:val="231F20"/>
          <w:spacing w:val="-10"/>
          <w:sz w:val="21"/>
        </w:rPr>
        <w:t xml:space="preserve"> </w:t>
      </w:r>
      <w:r>
        <w:rPr>
          <w:color w:val="231F20"/>
          <w:spacing w:val="-3"/>
          <w:sz w:val="21"/>
        </w:rPr>
        <w:t>результатами</w:t>
      </w:r>
      <w:r>
        <w:rPr>
          <w:color w:val="231F20"/>
          <w:spacing w:val="-10"/>
          <w:sz w:val="21"/>
        </w:rPr>
        <w:t xml:space="preserve"> </w:t>
      </w:r>
      <w:r>
        <w:rPr>
          <w:color w:val="231F20"/>
          <w:spacing w:val="-3"/>
          <w:sz w:val="21"/>
        </w:rPr>
        <w:t>розгляду</w:t>
      </w:r>
      <w:r>
        <w:rPr>
          <w:color w:val="231F20"/>
          <w:spacing w:val="-10"/>
          <w:sz w:val="21"/>
        </w:rPr>
        <w:t xml:space="preserve"> </w:t>
      </w:r>
      <w:r>
        <w:rPr>
          <w:color w:val="231F20"/>
          <w:sz w:val="21"/>
        </w:rPr>
        <w:t>адміністративної</w:t>
      </w:r>
      <w:r>
        <w:rPr>
          <w:color w:val="231F20"/>
          <w:spacing w:val="-10"/>
          <w:sz w:val="21"/>
        </w:rPr>
        <w:t xml:space="preserve"> </w:t>
      </w:r>
      <w:r>
        <w:rPr>
          <w:color w:val="231F20"/>
          <w:sz w:val="21"/>
        </w:rPr>
        <w:t>справи.</w:t>
      </w:r>
      <w:r>
        <w:rPr>
          <w:color w:val="231F20"/>
          <w:spacing w:val="-1"/>
          <w:sz w:val="21"/>
        </w:rPr>
        <w:t xml:space="preserve"> </w:t>
      </w:r>
      <w:r>
        <w:rPr>
          <w:b/>
          <w:i/>
          <w:color w:val="231F20"/>
          <w:sz w:val="21"/>
        </w:rPr>
        <w:t>Права</w:t>
      </w:r>
      <w:r>
        <w:rPr>
          <w:b/>
          <w:i/>
          <w:color w:val="231F20"/>
          <w:spacing w:val="18"/>
          <w:sz w:val="21"/>
        </w:rPr>
        <w:t xml:space="preserve"> </w:t>
      </w:r>
      <w:r>
        <w:rPr>
          <w:b/>
          <w:i/>
          <w:color w:val="231F20"/>
          <w:sz w:val="21"/>
        </w:rPr>
        <w:t>адміністративного</w:t>
      </w:r>
      <w:r>
        <w:rPr>
          <w:b/>
          <w:i/>
          <w:color w:val="231F20"/>
          <w:spacing w:val="18"/>
          <w:sz w:val="21"/>
        </w:rPr>
        <w:t xml:space="preserve"> </w:t>
      </w:r>
      <w:r>
        <w:rPr>
          <w:b/>
          <w:i/>
          <w:color w:val="231F20"/>
          <w:sz w:val="21"/>
        </w:rPr>
        <w:t>органу</w:t>
      </w:r>
      <w:r>
        <w:rPr>
          <w:b/>
          <w:i/>
          <w:color w:val="231F20"/>
          <w:spacing w:val="18"/>
          <w:sz w:val="21"/>
        </w:rPr>
        <w:t xml:space="preserve"> </w:t>
      </w:r>
      <w:r>
        <w:rPr>
          <w:b/>
          <w:i/>
          <w:color w:val="231F20"/>
          <w:sz w:val="21"/>
        </w:rPr>
        <w:t>з</w:t>
      </w:r>
      <w:r>
        <w:rPr>
          <w:b/>
          <w:i/>
          <w:color w:val="231F20"/>
          <w:spacing w:val="18"/>
          <w:sz w:val="21"/>
        </w:rPr>
        <w:t xml:space="preserve"> </w:t>
      </w:r>
      <w:r>
        <w:rPr>
          <w:b/>
          <w:i/>
          <w:color w:val="231F20"/>
          <w:sz w:val="21"/>
        </w:rPr>
        <w:t>питань</w:t>
      </w:r>
      <w:r>
        <w:rPr>
          <w:b/>
          <w:i/>
          <w:color w:val="231F20"/>
          <w:spacing w:val="18"/>
          <w:sz w:val="21"/>
        </w:rPr>
        <w:t xml:space="preserve"> </w:t>
      </w:r>
      <w:r>
        <w:rPr>
          <w:b/>
          <w:i/>
          <w:color w:val="231F20"/>
          <w:sz w:val="21"/>
        </w:rPr>
        <w:t>адміністратив-</w:t>
      </w:r>
    </w:p>
    <w:p w14:paraId="6CEEB8BC" w14:textId="77777777" w:rsidR="00DE575E" w:rsidRDefault="002E7560">
      <w:pPr>
        <w:pStyle w:val="Heading6"/>
        <w:ind w:firstLine="0"/>
      </w:pPr>
      <w:r>
        <w:rPr>
          <w:color w:val="231F20"/>
        </w:rPr>
        <w:t>них процедур:</w:t>
      </w:r>
    </w:p>
    <w:p w14:paraId="1D320879" w14:textId="77777777" w:rsidR="00DE575E" w:rsidRDefault="002E7560">
      <w:pPr>
        <w:pStyle w:val="ListParagraph"/>
        <w:numPr>
          <w:ilvl w:val="0"/>
          <w:numId w:val="144"/>
        </w:numPr>
        <w:tabs>
          <w:tab w:val="left" w:pos="1101"/>
        </w:tabs>
        <w:spacing w:before="13" w:line="252" w:lineRule="auto"/>
        <w:ind w:right="124" w:firstLine="284"/>
        <w:rPr>
          <w:sz w:val="21"/>
        </w:rPr>
      </w:pPr>
      <w:r>
        <w:rPr>
          <w:color w:val="231F20"/>
          <w:spacing w:val="1"/>
          <w:sz w:val="21"/>
        </w:rPr>
        <w:t xml:space="preserve">отримувати </w:t>
      </w:r>
      <w:r>
        <w:rPr>
          <w:color w:val="231F20"/>
          <w:sz w:val="21"/>
        </w:rPr>
        <w:t xml:space="preserve">від </w:t>
      </w:r>
      <w:r>
        <w:rPr>
          <w:color w:val="231F20"/>
          <w:spacing w:val="1"/>
          <w:sz w:val="21"/>
        </w:rPr>
        <w:t xml:space="preserve">органів виконавчої влади, органів місце- вого самоврядування, юридичних </w:t>
      </w:r>
      <w:r>
        <w:rPr>
          <w:color w:val="231F20"/>
          <w:sz w:val="21"/>
        </w:rPr>
        <w:t xml:space="preserve">і </w:t>
      </w:r>
      <w:r>
        <w:rPr>
          <w:color w:val="231F20"/>
          <w:spacing w:val="1"/>
          <w:sz w:val="21"/>
        </w:rPr>
        <w:t xml:space="preserve">фізичних осіб документи </w:t>
      </w:r>
      <w:r>
        <w:rPr>
          <w:color w:val="231F20"/>
          <w:spacing w:val="2"/>
          <w:sz w:val="21"/>
        </w:rPr>
        <w:t xml:space="preserve">та </w:t>
      </w:r>
      <w:r>
        <w:rPr>
          <w:color w:val="231F20"/>
          <w:spacing w:val="1"/>
          <w:sz w:val="21"/>
        </w:rPr>
        <w:t xml:space="preserve">відомості, необхідні </w:t>
      </w:r>
      <w:r>
        <w:rPr>
          <w:color w:val="231F20"/>
          <w:spacing w:val="2"/>
          <w:sz w:val="21"/>
        </w:rPr>
        <w:t xml:space="preserve">для </w:t>
      </w:r>
      <w:r>
        <w:rPr>
          <w:color w:val="231F20"/>
          <w:sz w:val="21"/>
        </w:rPr>
        <w:t xml:space="preserve">розгляду й </w:t>
      </w:r>
      <w:r>
        <w:rPr>
          <w:color w:val="231F20"/>
          <w:spacing w:val="1"/>
          <w:sz w:val="21"/>
        </w:rPr>
        <w:t xml:space="preserve">вирішення </w:t>
      </w:r>
      <w:r>
        <w:rPr>
          <w:color w:val="231F20"/>
          <w:spacing w:val="2"/>
          <w:sz w:val="21"/>
        </w:rPr>
        <w:t>адміністративної справи;</w:t>
      </w:r>
    </w:p>
    <w:p w14:paraId="237BCD52" w14:textId="77777777" w:rsidR="00DE575E" w:rsidRDefault="002E7560">
      <w:pPr>
        <w:pStyle w:val="ListParagraph"/>
        <w:numPr>
          <w:ilvl w:val="0"/>
          <w:numId w:val="144"/>
        </w:numPr>
        <w:tabs>
          <w:tab w:val="left" w:pos="1101"/>
        </w:tabs>
        <w:spacing w:before="2" w:line="252" w:lineRule="auto"/>
        <w:ind w:right="128" w:firstLine="284"/>
        <w:rPr>
          <w:sz w:val="21"/>
        </w:rPr>
      </w:pPr>
      <w:r>
        <w:rPr>
          <w:color w:val="231F20"/>
          <w:sz w:val="21"/>
        </w:rPr>
        <w:t>самостійно визначати безпосередні</w:t>
      </w:r>
      <w:r>
        <w:rPr>
          <w:color w:val="231F20"/>
          <w:sz w:val="21"/>
        </w:rPr>
        <w:t>х виконавців адміністра- тивної процедури та осіб, що готуватимуть проєкт адміністратив- ного</w:t>
      </w:r>
      <w:r>
        <w:rPr>
          <w:color w:val="231F20"/>
          <w:spacing w:val="-1"/>
          <w:sz w:val="21"/>
        </w:rPr>
        <w:t xml:space="preserve"> </w:t>
      </w:r>
      <w:r>
        <w:rPr>
          <w:color w:val="231F20"/>
          <w:sz w:val="21"/>
        </w:rPr>
        <w:t>акта;</w:t>
      </w:r>
    </w:p>
    <w:p w14:paraId="5F808194" w14:textId="77777777" w:rsidR="00DE575E" w:rsidRDefault="002E7560">
      <w:pPr>
        <w:pStyle w:val="ListParagraph"/>
        <w:numPr>
          <w:ilvl w:val="0"/>
          <w:numId w:val="144"/>
        </w:numPr>
        <w:tabs>
          <w:tab w:val="left" w:pos="1101"/>
        </w:tabs>
        <w:spacing w:line="252" w:lineRule="auto"/>
        <w:ind w:right="129" w:firstLine="284"/>
        <w:rPr>
          <w:sz w:val="21"/>
        </w:rPr>
      </w:pPr>
      <w:r>
        <w:rPr>
          <w:color w:val="231F20"/>
          <w:sz w:val="21"/>
        </w:rPr>
        <w:t>залучати до участі в адміністративному провадженні інших учасників, які можуть дати пояснення по суті адміністративної справи;</w:t>
      </w:r>
    </w:p>
    <w:p w14:paraId="5FF7ECD8" w14:textId="77777777" w:rsidR="00DE575E" w:rsidRDefault="002E7560">
      <w:pPr>
        <w:pStyle w:val="ListParagraph"/>
        <w:numPr>
          <w:ilvl w:val="0"/>
          <w:numId w:val="144"/>
        </w:numPr>
        <w:tabs>
          <w:tab w:val="left" w:pos="1101"/>
        </w:tabs>
        <w:spacing w:before="2" w:line="252" w:lineRule="auto"/>
        <w:ind w:right="127" w:firstLine="284"/>
        <w:rPr>
          <w:sz w:val="21"/>
        </w:rPr>
      </w:pPr>
      <w:r>
        <w:rPr>
          <w:color w:val="231F20"/>
          <w:sz w:val="21"/>
        </w:rPr>
        <w:t>ініціювати призначення та проведення експертизи, якщо це потрібно для вирішення адміністративної</w:t>
      </w:r>
      <w:r>
        <w:rPr>
          <w:color w:val="231F20"/>
          <w:spacing w:val="-7"/>
          <w:sz w:val="21"/>
        </w:rPr>
        <w:t xml:space="preserve"> </w:t>
      </w:r>
      <w:r>
        <w:rPr>
          <w:color w:val="231F20"/>
          <w:sz w:val="21"/>
        </w:rPr>
        <w:t>справи;</w:t>
      </w:r>
    </w:p>
    <w:p w14:paraId="454611C1" w14:textId="77777777" w:rsidR="00DE575E" w:rsidRDefault="002E7560">
      <w:pPr>
        <w:pStyle w:val="ListParagraph"/>
        <w:numPr>
          <w:ilvl w:val="0"/>
          <w:numId w:val="144"/>
        </w:numPr>
        <w:tabs>
          <w:tab w:val="left" w:pos="1101"/>
        </w:tabs>
        <w:spacing w:line="252" w:lineRule="auto"/>
        <w:ind w:right="128" w:firstLine="284"/>
        <w:rPr>
          <w:sz w:val="21"/>
        </w:rPr>
      </w:pPr>
      <w:r>
        <w:rPr>
          <w:color w:val="231F20"/>
          <w:sz w:val="21"/>
        </w:rPr>
        <w:t>використовувати технічні засоби для фіксації окремих проце- дурних</w:t>
      </w:r>
      <w:r>
        <w:rPr>
          <w:color w:val="231F20"/>
          <w:spacing w:val="-2"/>
          <w:sz w:val="21"/>
        </w:rPr>
        <w:t xml:space="preserve"> </w:t>
      </w:r>
      <w:r>
        <w:rPr>
          <w:color w:val="231F20"/>
          <w:sz w:val="21"/>
        </w:rPr>
        <w:t>дій.</w:t>
      </w:r>
    </w:p>
    <w:p w14:paraId="2C23F98C" w14:textId="77777777" w:rsidR="00DE575E" w:rsidRDefault="00DE575E">
      <w:pPr>
        <w:pStyle w:val="BodyText"/>
        <w:spacing w:before="1"/>
        <w:rPr>
          <w:sz w:val="22"/>
        </w:rPr>
      </w:pPr>
    </w:p>
    <w:p w14:paraId="7B2940EE" w14:textId="77777777" w:rsidR="00DE575E" w:rsidRDefault="002E7560">
      <w:pPr>
        <w:pStyle w:val="Heading5"/>
        <w:numPr>
          <w:ilvl w:val="2"/>
          <w:numId w:val="145"/>
        </w:numPr>
        <w:tabs>
          <w:tab w:val="left" w:pos="1383"/>
        </w:tabs>
        <w:spacing w:line="252" w:lineRule="auto"/>
        <w:ind w:right="3040" w:firstLine="0"/>
        <w:jc w:val="left"/>
      </w:pPr>
      <w:r>
        <w:rPr>
          <w:color w:val="231F20"/>
        </w:rPr>
        <w:t>Адресат (зокрема заявник) адміністративної</w:t>
      </w:r>
      <w:r>
        <w:rPr>
          <w:color w:val="231F20"/>
          <w:spacing w:val="-4"/>
        </w:rPr>
        <w:t xml:space="preserve"> </w:t>
      </w:r>
      <w:r>
        <w:rPr>
          <w:color w:val="231F20"/>
        </w:rPr>
        <w:t>процедури</w:t>
      </w:r>
    </w:p>
    <w:p w14:paraId="78ACD8D4" w14:textId="77777777" w:rsidR="00DE575E" w:rsidRDefault="00DE575E">
      <w:pPr>
        <w:pStyle w:val="BodyText"/>
        <w:spacing w:before="1"/>
        <w:rPr>
          <w:b/>
          <w:sz w:val="22"/>
        </w:rPr>
      </w:pPr>
    </w:p>
    <w:p w14:paraId="1A072C49" w14:textId="77777777" w:rsidR="00DE575E" w:rsidRDefault="002E7560">
      <w:pPr>
        <w:pStyle w:val="BodyText"/>
        <w:spacing w:line="252" w:lineRule="auto"/>
        <w:ind w:left="533" w:right="124" w:firstLine="283"/>
        <w:jc w:val="both"/>
      </w:pPr>
      <w:r>
        <w:rPr>
          <w:color w:val="231F20"/>
        </w:rPr>
        <w:t>Стосовно заявних адміністративних процедур адресат (зокрема заявник) є найбільш зацікавленою особою.  Це  пов’язано  з  тим,  що в межах адміністративної процедури він реалізує свій приват- ний</w:t>
      </w:r>
      <w:r>
        <w:rPr>
          <w:color w:val="231F20"/>
          <w:spacing w:val="3"/>
        </w:rPr>
        <w:t xml:space="preserve"> </w:t>
      </w:r>
      <w:r>
        <w:rPr>
          <w:color w:val="231F20"/>
        </w:rPr>
        <w:t>інтерес.</w:t>
      </w:r>
    </w:p>
    <w:p w14:paraId="203ABC52" w14:textId="77777777" w:rsidR="00DE575E" w:rsidRDefault="002E7560">
      <w:pPr>
        <w:pStyle w:val="BodyText"/>
        <w:spacing w:before="2" w:line="252" w:lineRule="auto"/>
        <w:ind w:left="533" w:right="127" w:firstLine="283"/>
        <w:jc w:val="both"/>
      </w:pPr>
      <w:r>
        <w:rPr>
          <w:color w:val="231F20"/>
        </w:rPr>
        <w:t>Відмінності цих двох учасників адміністративної проце</w:t>
      </w:r>
      <w:r>
        <w:rPr>
          <w:color w:val="231F20"/>
        </w:rPr>
        <w:t>дури (адресат</w:t>
      </w:r>
      <w:r>
        <w:rPr>
          <w:color w:val="231F20"/>
          <w:spacing w:val="-6"/>
        </w:rPr>
        <w:t xml:space="preserve"> </w:t>
      </w:r>
      <w:r>
        <w:rPr>
          <w:color w:val="231F20"/>
        </w:rPr>
        <w:t>і</w:t>
      </w:r>
      <w:r>
        <w:rPr>
          <w:color w:val="231F20"/>
          <w:spacing w:val="-7"/>
        </w:rPr>
        <w:t xml:space="preserve"> </w:t>
      </w:r>
      <w:r>
        <w:rPr>
          <w:color w:val="231F20"/>
        </w:rPr>
        <w:t>заявник)</w:t>
      </w:r>
      <w:r>
        <w:rPr>
          <w:color w:val="231F20"/>
          <w:spacing w:val="-6"/>
        </w:rPr>
        <w:t xml:space="preserve"> </w:t>
      </w:r>
      <w:r>
        <w:rPr>
          <w:color w:val="231F20"/>
        </w:rPr>
        <w:t>полягають</w:t>
      </w:r>
      <w:r>
        <w:rPr>
          <w:color w:val="231F20"/>
          <w:spacing w:val="-6"/>
        </w:rPr>
        <w:t xml:space="preserve"> </w:t>
      </w:r>
      <w:r>
        <w:rPr>
          <w:color w:val="231F20"/>
        </w:rPr>
        <w:t>у</w:t>
      </w:r>
      <w:r>
        <w:rPr>
          <w:color w:val="231F20"/>
          <w:spacing w:val="-6"/>
        </w:rPr>
        <w:t xml:space="preserve"> </w:t>
      </w:r>
      <w:r>
        <w:rPr>
          <w:color w:val="231F20"/>
          <w:spacing w:val="-4"/>
        </w:rPr>
        <w:t>тому,</w:t>
      </w:r>
      <w:r>
        <w:rPr>
          <w:color w:val="231F20"/>
          <w:spacing w:val="-6"/>
        </w:rPr>
        <w:t xml:space="preserve"> </w:t>
      </w:r>
      <w:r>
        <w:rPr>
          <w:color w:val="231F20"/>
        </w:rPr>
        <w:t>що</w:t>
      </w:r>
      <w:r>
        <w:rPr>
          <w:color w:val="231F20"/>
          <w:spacing w:val="-6"/>
        </w:rPr>
        <w:t xml:space="preserve"> </w:t>
      </w:r>
      <w:r>
        <w:rPr>
          <w:color w:val="231F20"/>
        </w:rPr>
        <w:t>перший</w:t>
      </w:r>
      <w:r>
        <w:rPr>
          <w:color w:val="231F20"/>
          <w:spacing w:val="-6"/>
        </w:rPr>
        <w:t xml:space="preserve"> </w:t>
      </w:r>
      <w:r>
        <w:rPr>
          <w:color w:val="231F20"/>
        </w:rPr>
        <w:t>є</w:t>
      </w:r>
      <w:r>
        <w:rPr>
          <w:color w:val="231F20"/>
          <w:spacing w:val="-7"/>
        </w:rPr>
        <w:t xml:space="preserve"> </w:t>
      </w:r>
      <w:r>
        <w:rPr>
          <w:color w:val="231F20"/>
        </w:rPr>
        <w:t>особою,</w:t>
      </w:r>
      <w:r>
        <w:rPr>
          <w:color w:val="231F20"/>
          <w:spacing w:val="-6"/>
        </w:rPr>
        <w:t xml:space="preserve"> </w:t>
      </w:r>
      <w:r>
        <w:rPr>
          <w:color w:val="231F20"/>
        </w:rPr>
        <w:t xml:space="preserve">стосовно якої ухвалюється адміністративний акт за ініціативою адміністра- тивного </w:t>
      </w:r>
      <w:r>
        <w:rPr>
          <w:color w:val="231F20"/>
          <w:spacing w:val="-3"/>
        </w:rPr>
        <w:t xml:space="preserve">органу. </w:t>
      </w:r>
      <w:r>
        <w:rPr>
          <w:color w:val="231F20"/>
        </w:rPr>
        <w:t>Фактично на набуття, зміну чи припинення прав та обов’язків саме адресата спрямовано адміністративний</w:t>
      </w:r>
      <w:r>
        <w:rPr>
          <w:color w:val="231F20"/>
          <w:spacing w:val="-9"/>
        </w:rPr>
        <w:t xml:space="preserve"> </w:t>
      </w:r>
      <w:r>
        <w:rPr>
          <w:color w:val="231F20"/>
          <w:spacing w:val="-5"/>
        </w:rPr>
        <w:t>а</w:t>
      </w:r>
      <w:r>
        <w:rPr>
          <w:color w:val="231F20"/>
          <w:spacing w:val="-5"/>
        </w:rPr>
        <w:t>кт.</w:t>
      </w:r>
    </w:p>
    <w:p w14:paraId="08575A6D" w14:textId="77777777" w:rsidR="00DE575E" w:rsidRDefault="002E7560">
      <w:pPr>
        <w:pStyle w:val="BodyText"/>
        <w:spacing w:before="2" w:line="252" w:lineRule="auto"/>
        <w:ind w:left="533" w:right="128" w:firstLine="283"/>
        <w:jc w:val="both"/>
      </w:pPr>
      <w:r>
        <w:rPr>
          <w:color w:val="231F20"/>
        </w:rPr>
        <w:t>Сам адресат не є ініціатором адміністративної процедури. Заяв- ник же є особою, яка звертається із заявою до адміністративного</w:t>
      </w:r>
    </w:p>
    <w:p w14:paraId="1A34C9C3" w14:textId="77777777" w:rsidR="00DE575E" w:rsidRDefault="00DE575E">
      <w:pPr>
        <w:pStyle w:val="BodyText"/>
        <w:spacing w:before="8"/>
        <w:rPr>
          <w:sz w:val="12"/>
        </w:rPr>
      </w:pPr>
    </w:p>
    <w:p w14:paraId="762D0039" w14:textId="77777777" w:rsidR="00DE575E" w:rsidRDefault="002E7560">
      <w:pPr>
        <w:spacing w:before="91"/>
        <w:ind w:left="533"/>
        <w:rPr>
          <w:rFonts w:ascii="Times New Roman"/>
          <w:sz w:val="20"/>
        </w:rPr>
      </w:pPr>
      <w:r>
        <w:rPr>
          <w:rFonts w:ascii="Times New Roman"/>
          <w:color w:val="231F20"/>
          <w:sz w:val="20"/>
        </w:rPr>
        <w:t>306</w:t>
      </w:r>
    </w:p>
    <w:p w14:paraId="376E885D" w14:textId="77777777" w:rsidR="00DE575E" w:rsidRDefault="00DE575E">
      <w:pPr>
        <w:rPr>
          <w:rFonts w:ascii="Times New Roman"/>
          <w:sz w:val="20"/>
        </w:rPr>
        <w:sectPr w:rsidR="00DE575E">
          <w:pgSz w:w="8510" w:h="12760"/>
          <w:pgMar w:top="660" w:right="720" w:bottom="280" w:left="600" w:header="720" w:footer="720" w:gutter="0"/>
          <w:cols w:space="720"/>
        </w:sectPr>
      </w:pPr>
    </w:p>
    <w:p w14:paraId="267222CA"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03AD7268" w14:textId="310C44F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A5A2BB2" wp14:editId="6B04C526">
                <wp:extent cx="4140200" cy="6350"/>
                <wp:effectExtent l="0" t="0" r="12700" b="6350"/>
                <wp:docPr id="643"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44" name="Line 6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171FF5" id="Group_x0020_6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CUXw9/AgAAmAUAAA4A&#10;AAAAAAAAAAAAAAAALAIAAGRycy9lMm9Eb2MueG1sUEsBAi0AFAAGAAgAAAAhAEynsJDZAAAAAwEA&#10;AA8AAAAAAAAAAAAAAAAA1wQAAGRycy9kb3ducmV2LnhtbFBLBQYAAAAABAAEAPMAAADdBQAAAAA=&#10;">
                <v:line id="Line_x0020_6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8708YAAADcAAAADwAAAGRycy9kb3ducmV2LnhtbESP3WrCQBSE7wt9h+UUvCl14w9SUlcR&#10;QRAv/Esf4Jg9TUJ3z8bsaqJP3y0IXg4z8w0znXfWiCs1vnKsYNBPQBDnTldcKPjOVh+fIHxA1mgc&#10;k4IbeZjPXl+mmGrX8oGux1CICGGfooIyhDqV0uclWfR9VxNH78c1FkOUTSF1g22EWyOHSTKRFiuO&#10;CyXWtCwp/z1erILs/B7MfrcxbbY7jeTpvB3dL1ulem/d4gtEoC48w4/2WiuYjMfwfyYe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O9PGAAAA3AAAAA8AAAAAAAAA&#10;AAAAAAAAoQIAAGRycy9kb3ducmV2LnhtbFBLBQYAAAAABAAEAPkAAACUAwAAAAA=&#10;" strokecolor="#231f20" strokeweight=".5pt"/>
                <w10:anchorlock/>
              </v:group>
            </w:pict>
          </mc:Fallback>
        </mc:AlternateContent>
      </w:r>
    </w:p>
    <w:p w14:paraId="300ABD26" w14:textId="77777777" w:rsidR="00DE575E" w:rsidRDefault="00DE575E">
      <w:pPr>
        <w:pStyle w:val="BodyText"/>
        <w:spacing w:before="7"/>
        <w:rPr>
          <w:rFonts w:ascii="AdonisC"/>
          <w:i/>
          <w:sz w:val="19"/>
        </w:rPr>
      </w:pPr>
    </w:p>
    <w:p w14:paraId="27072B94" w14:textId="77777777" w:rsidR="00DE575E" w:rsidRDefault="002E7560">
      <w:pPr>
        <w:pStyle w:val="BodyText"/>
        <w:spacing w:before="1" w:line="252" w:lineRule="auto"/>
        <w:ind w:left="250" w:right="411"/>
        <w:jc w:val="both"/>
      </w:pPr>
      <w:r>
        <w:rPr>
          <w:color w:val="231F20"/>
        </w:rPr>
        <w:t>органу, тобто ініціює заявну адміністративну процедуру – через заяву реалізує своє суб’єктивне право, передбачене положеннями чинного законодавства.</w:t>
      </w:r>
    </w:p>
    <w:p w14:paraId="591F9F43" w14:textId="77777777" w:rsidR="00DE575E" w:rsidRDefault="002E7560">
      <w:pPr>
        <w:spacing w:before="1" w:line="252" w:lineRule="auto"/>
        <w:ind w:left="250" w:right="410" w:firstLine="283"/>
        <w:jc w:val="both"/>
        <w:rPr>
          <w:sz w:val="21"/>
        </w:rPr>
      </w:pPr>
      <w:r>
        <w:rPr>
          <w:i/>
          <w:color w:val="231F20"/>
          <w:sz w:val="21"/>
        </w:rPr>
        <w:t>Адресатами</w:t>
      </w:r>
      <w:r>
        <w:rPr>
          <w:i/>
          <w:color w:val="231F20"/>
          <w:spacing w:val="-16"/>
          <w:sz w:val="21"/>
        </w:rPr>
        <w:t xml:space="preserve"> </w:t>
      </w:r>
      <w:r>
        <w:rPr>
          <w:i/>
          <w:color w:val="231F20"/>
          <w:sz w:val="21"/>
        </w:rPr>
        <w:t>адміністративних</w:t>
      </w:r>
      <w:r>
        <w:rPr>
          <w:i/>
          <w:color w:val="231F20"/>
          <w:spacing w:val="-17"/>
          <w:sz w:val="21"/>
        </w:rPr>
        <w:t xml:space="preserve"> </w:t>
      </w:r>
      <w:r>
        <w:rPr>
          <w:i/>
          <w:color w:val="231F20"/>
          <w:sz w:val="21"/>
        </w:rPr>
        <w:t>процедур</w:t>
      </w:r>
      <w:r>
        <w:rPr>
          <w:i/>
          <w:color w:val="231F20"/>
          <w:spacing w:val="-16"/>
          <w:sz w:val="21"/>
        </w:rPr>
        <w:t xml:space="preserve"> </w:t>
      </w:r>
      <w:r>
        <w:rPr>
          <w:i/>
          <w:color w:val="231F20"/>
          <w:sz w:val="21"/>
        </w:rPr>
        <w:t>можуть</w:t>
      </w:r>
      <w:r>
        <w:rPr>
          <w:i/>
          <w:color w:val="231F20"/>
          <w:spacing w:val="-16"/>
          <w:sz w:val="21"/>
        </w:rPr>
        <w:t xml:space="preserve"> </w:t>
      </w:r>
      <w:r>
        <w:rPr>
          <w:i/>
          <w:color w:val="231F20"/>
          <w:sz w:val="21"/>
        </w:rPr>
        <w:t>бути</w:t>
      </w:r>
      <w:r>
        <w:rPr>
          <w:i/>
          <w:color w:val="231F20"/>
          <w:spacing w:val="-17"/>
          <w:sz w:val="21"/>
        </w:rPr>
        <w:t xml:space="preserve"> </w:t>
      </w:r>
      <w:r>
        <w:rPr>
          <w:i/>
          <w:color w:val="231F20"/>
          <w:sz w:val="21"/>
        </w:rPr>
        <w:t>як</w:t>
      </w:r>
      <w:r>
        <w:rPr>
          <w:i/>
          <w:color w:val="231F20"/>
          <w:spacing w:val="-17"/>
          <w:sz w:val="21"/>
        </w:rPr>
        <w:t xml:space="preserve"> </w:t>
      </w:r>
      <w:r>
        <w:rPr>
          <w:i/>
          <w:color w:val="231F20"/>
          <w:sz w:val="21"/>
        </w:rPr>
        <w:t>фізичні, так і юри</w:t>
      </w:r>
      <w:r>
        <w:rPr>
          <w:i/>
          <w:color w:val="231F20"/>
          <w:sz w:val="21"/>
        </w:rPr>
        <w:t xml:space="preserve">дичні особи. </w:t>
      </w:r>
      <w:r>
        <w:rPr>
          <w:color w:val="231F20"/>
          <w:sz w:val="21"/>
        </w:rPr>
        <w:t xml:space="preserve">Фізичні особи можуть бути: а) громадянами </w:t>
      </w:r>
      <w:r>
        <w:rPr>
          <w:color w:val="231F20"/>
          <w:spacing w:val="-3"/>
          <w:sz w:val="21"/>
        </w:rPr>
        <w:t xml:space="preserve">України; </w:t>
      </w:r>
      <w:r>
        <w:rPr>
          <w:color w:val="231F20"/>
          <w:sz w:val="21"/>
        </w:rPr>
        <w:t>б) іноземцями; в) особами без</w:t>
      </w:r>
      <w:r>
        <w:rPr>
          <w:color w:val="231F20"/>
          <w:spacing w:val="-9"/>
          <w:sz w:val="21"/>
        </w:rPr>
        <w:t xml:space="preserve"> </w:t>
      </w:r>
      <w:r>
        <w:rPr>
          <w:color w:val="231F20"/>
          <w:sz w:val="21"/>
        </w:rPr>
        <w:t>громадянства.</w:t>
      </w:r>
    </w:p>
    <w:p w14:paraId="2D2DA6A8" w14:textId="77777777" w:rsidR="00DE575E" w:rsidRDefault="002E7560">
      <w:pPr>
        <w:spacing w:before="2" w:line="252" w:lineRule="auto"/>
        <w:ind w:left="250" w:right="411" w:firstLine="283"/>
        <w:jc w:val="both"/>
        <w:rPr>
          <w:i/>
          <w:sz w:val="21"/>
        </w:rPr>
      </w:pPr>
      <w:r>
        <w:rPr>
          <w:i/>
          <w:color w:val="231F20"/>
          <w:sz w:val="21"/>
        </w:rPr>
        <w:t>Загалом же варто зазначити, що адресат – це учасник адмі- ністративної процедури, на набуття, зміну чи припинення прав та обов’язків якого спрямован</w:t>
      </w:r>
      <w:r>
        <w:rPr>
          <w:i/>
          <w:color w:val="231F20"/>
          <w:sz w:val="21"/>
        </w:rPr>
        <w:t>о адміністративний акт.</w:t>
      </w:r>
    </w:p>
    <w:p w14:paraId="4B5F424A" w14:textId="77777777" w:rsidR="00DE575E" w:rsidRDefault="002E7560">
      <w:pPr>
        <w:pStyle w:val="Heading6"/>
        <w:spacing w:line="252" w:lineRule="auto"/>
        <w:ind w:left="250" w:right="413"/>
        <w:jc w:val="both"/>
      </w:pPr>
      <w:r>
        <w:rPr>
          <w:color w:val="231F20"/>
        </w:rPr>
        <w:t xml:space="preserve">Правовий статус адресата свідчить про такі основні </w:t>
      </w:r>
      <w:r>
        <w:rPr>
          <w:color w:val="231F20"/>
        </w:rPr>
        <w:t>належні йому права:</w:t>
      </w:r>
    </w:p>
    <w:p w14:paraId="207EE0C2" w14:textId="77777777" w:rsidR="00DE575E" w:rsidRDefault="002E7560">
      <w:pPr>
        <w:pStyle w:val="BodyText"/>
        <w:spacing w:before="1" w:line="252" w:lineRule="auto"/>
        <w:ind w:left="250" w:right="412" w:firstLine="283"/>
        <w:jc w:val="both"/>
      </w:pPr>
      <w:r>
        <w:rPr>
          <w:rFonts w:ascii="Wingdings" w:hAnsi="Wingdings"/>
          <w:color w:val="231F20"/>
        </w:rPr>
        <w:t></w:t>
      </w:r>
      <w:r>
        <w:rPr>
          <w:rFonts w:ascii="Times New Roman" w:hAnsi="Times New Roman"/>
          <w:color w:val="231F20"/>
        </w:rPr>
        <w:t xml:space="preserve"> </w:t>
      </w:r>
      <w:r>
        <w:rPr>
          <w:color w:val="231F20"/>
        </w:rPr>
        <w:t>брати участь в адміністративній процедурі особисто або через представника;</w:t>
      </w:r>
    </w:p>
    <w:p w14:paraId="3E813E14"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бути вислуханим із питань, що є предметом адміністративної процедури, – надавати пояснення в письмовій, усній чи іншій</w:t>
      </w:r>
      <w:r>
        <w:rPr>
          <w:color w:val="231F20"/>
          <w:spacing w:val="-29"/>
        </w:rPr>
        <w:t xml:space="preserve"> </w:t>
      </w:r>
      <w:r>
        <w:rPr>
          <w:color w:val="231F20"/>
        </w:rPr>
        <w:t>формі, надавати докази, заперечення проти пояснень, доводів, а також клопотань інших учасників адміністративної</w:t>
      </w:r>
      <w:r>
        <w:rPr>
          <w:color w:val="231F20"/>
          <w:spacing w:val="-6"/>
        </w:rPr>
        <w:t xml:space="preserve"> </w:t>
      </w:r>
      <w:r>
        <w:rPr>
          <w:color w:val="231F20"/>
        </w:rPr>
        <w:t>процедури;</w:t>
      </w:r>
    </w:p>
    <w:p w14:paraId="7F3769AA" w14:textId="77777777" w:rsidR="00DE575E" w:rsidRDefault="002E7560">
      <w:pPr>
        <w:pStyle w:val="BodyText"/>
        <w:spacing w:before="2" w:line="252" w:lineRule="auto"/>
        <w:ind w:left="250" w:right="413" w:firstLine="283"/>
        <w:jc w:val="both"/>
      </w:pPr>
      <w:r>
        <w:rPr>
          <w:rFonts w:ascii="Wingdings" w:hAnsi="Wingdings"/>
          <w:color w:val="231F20"/>
        </w:rPr>
        <w:t></w:t>
      </w:r>
      <w:r>
        <w:rPr>
          <w:rFonts w:ascii="Times New Roman" w:hAnsi="Times New Roman"/>
          <w:color w:val="231F20"/>
        </w:rPr>
        <w:t xml:space="preserve"> </w:t>
      </w:r>
      <w:r>
        <w:rPr>
          <w:color w:val="231F20"/>
        </w:rPr>
        <w:t>отримувати від адміністративного органу роз’яснення щодо порядку здійснення адміністративної процедури, реалізації своїх прав і обов’язків;</w:t>
      </w:r>
    </w:p>
    <w:p w14:paraId="0BDDAE40" w14:textId="77777777" w:rsidR="00DE575E" w:rsidRDefault="002E7560">
      <w:pPr>
        <w:pStyle w:val="BodyText"/>
        <w:spacing w:before="2"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 xml:space="preserve">знайомитися вустановленомупорядкузматеріалами адмініст- ративної справи, робити з неї виписки та копії, зокрема з </w:t>
      </w:r>
      <w:r>
        <w:rPr>
          <w:color w:val="231F20"/>
        </w:rPr>
        <w:t>викорис- танням технічних засобів, отримувати інформацію про процедурні дії та процедурні рішення, ухвалені під час здійснення адміністра- тивної процедури;</w:t>
      </w:r>
    </w:p>
    <w:p w14:paraId="52727ABB" w14:textId="77777777" w:rsidR="00DE575E" w:rsidRDefault="002E7560">
      <w:pPr>
        <w:pStyle w:val="BodyText"/>
        <w:spacing w:before="2" w:line="252" w:lineRule="auto"/>
        <w:ind w:left="250" w:right="412" w:firstLine="283"/>
        <w:jc w:val="both"/>
      </w:pPr>
      <w:r>
        <w:rPr>
          <w:rFonts w:ascii="Wingdings" w:hAnsi="Wingdings"/>
          <w:color w:val="231F20"/>
        </w:rPr>
        <w:t></w:t>
      </w:r>
      <w:r>
        <w:rPr>
          <w:rFonts w:ascii="Times New Roman" w:hAnsi="Times New Roman"/>
          <w:color w:val="231F20"/>
        </w:rPr>
        <w:t xml:space="preserve"> </w:t>
      </w:r>
      <w:r>
        <w:rPr>
          <w:color w:val="231F20"/>
        </w:rPr>
        <w:t xml:space="preserve">подавати клопотання про відвід посадової або службової особи адміністративного </w:t>
      </w:r>
      <w:r>
        <w:rPr>
          <w:color w:val="231F20"/>
          <w:spacing w:val="-3"/>
        </w:rPr>
        <w:t xml:space="preserve">органу, </w:t>
      </w:r>
      <w:r>
        <w:rPr>
          <w:color w:val="231F20"/>
        </w:rPr>
        <w:t xml:space="preserve">яка </w:t>
      </w:r>
      <w:r>
        <w:rPr>
          <w:color w:val="231F20"/>
          <w:spacing w:val="-2"/>
        </w:rPr>
        <w:t>розгля</w:t>
      </w:r>
      <w:r>
        <w:rPr>
          <w:color w:val="231F20"/>
          <w:spacing w:val="-2"/>
        </w:rPr>
        <w:t xml:space="preserve">дає </w:t>
      </w:r>
      <w:r>
        <w:rPr>
          <w:color w:val="231F20"/>
        </w:rPr>
        <w:t xml:space="preserve">адміністративну </w:t>
      </w:r>
      <w:r>
        <w:rPr>
          <w:color w:val="231F20"/>
          <w:spacing w:val="-3"/>
        </w:rPr>
        <w:t xml:space="preserve">справу, </w:t>
      </w:r>
      <w:r>
        <w:rPr>
          <w:color w:val="231F20"/>
        </w:rPr>
        <w:t xml:space="preserve">а також відвід осіб, які сприяють </w:t>
      </w:r>
      <w:r>
        <w:rPr>
          <w:color w:val="231F20"/>
          <w:spacing w:val="-3"/>
        </w:rPr>
        <w:t>розгляду</w:t>
      </w:r>
      <w:r>
        <w:rPr>
          <w:color w:val="231F20"/>
          <w:spacing w:val="-4"/>
        </w:rPr>
        <w:t xml:space="preserve"> </w:t>
      </w:r>
      <w:r>
        <w:rPr>
          <w:color w:val="231F20"/>
        </w:rPr>
        <w:t>справи;</w:t>
      </w:r>
    </w:p>
    <w:p w14:paraId="0CDB3B97" w14:textId="77777777" w:rsidR="00DE575E" w:rsidRDefault="002E7560">
      <w:pPr>
        <w:pStyle w:val="BodyText"/>
        <w:spacing w:before="1" w:line="252" w:lineRule="auto"/>
        <w:ind w:left="250" w:right="411" w:firstLine="283"/>
        <w:jc w:val="both"/>
      </w:pPr>
      <w:r>
        <w:rPr>
          <w:rFonts w:ascii="Wingdings" w:hAnsi="Wingdings"/>
          <w:color w:val="231F20"/>
        </w:rPr>
        <w:t></w:t>
      </w:r>
      <w:r>
        <w:rPr>
          <w:rFonts w:ascii="Times New Roman" w:hAnsi="Times New Roman"/>
          <w:color w:val="231F20"/>
        </w:rPr>
        <w:t xml:space="preserve"> </w:t>
      </w:r>
      <w:r>
        <w:rPr>
          <w:color w:val="231F20"/>
        </w:rPr>
        <w:t>на залучення до адміністративного провадження інших учас- ників та осіб, які сприяють розгляду адміністративної справи;</w:t>
      </w:r>
    </w:p>
    <w:p w14:paraId="5189D9A9" w14:textId="77777777" w:rsidR="00DE575E" w:rsidRDefault="002E7560">
      <w:pPr>
        <w:pStyle w:val="BodyText"/>
        <w:spacing w:before="1"/>
        <w:ind w:left="533"/>
      </w:pPr>
      <w:r>
        <w:rPr>
          <w:rFonts w:ascii="Wingdings" w:hAnsi="Wingdings"/>
          <w:color w:val="231F20"/>
        </w:rPr>
        <w:t></w:t>
      </w:r>
      <w:r>
        <w:rPr>
          <w:rFonts w:ascii="Times New Roman" w:hAnsi="Times New Roman"/>
          <w:color w:val="231F20"/>
        </w:rPr>
        <w:t xml:space="preserve"> </w:t>
      </w:r>
      <w:r>
        <w:rPr>
          <w:color w:val="231F20"/>
        </w:rPr>
        <w:t>на витребування документів або відомостей;</w:t>
      </w:r>
    </w:p>
    <w:p w14:paraId="306FFF03"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на призн</w:t>
      </w:r>
      <w:r>
        <w:rPr>
          <w:color w:val="231F20"/>
        </w:rPr>
        <w:t>ачення експертизи;</w:t>
      </w:r>
    </w:p>
    <w:p w14:paraId="5396EF07"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на зупинення адміністративного провадження;</w:t>
      </w:r>
    </w:p>
    <w:p w14:paraId="605CD0AF"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на поновлення адміністративного провадження;</w:t>
      </w:r>
    </w:p>
    <w:p w14:paraId="63BEAE0D"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на продовження строків адміністративного провадження;</w:t>
      </w:r>
    </w:p>
    <w:p w14:paraId="252818D1" w14:textId="77777777" w:rsidR="00DE575E" w:rsidRDefault="002E7560">
      <w:pPr>
        <w:pStyle w:val="BodyText"/>
        <w:spacing w:before="13"/>
        <w:ind w:left="533"/>
      </w:pPr>
      <w:r>
        <w:rPr>
          <w:rFonts w:ascii="Wingdings" w:hAnsi="Wingdings"/>
          <w:color w:val="231F20"/>
        </w:rPr>
        <w:t></w:t>
      </w:r>
      <w:r>
        <w:rPr>
          <w:rFonts w:ascii="Times New Roman" w:hAnsi="Times New Roman"/>
          <w:color w:val="231F20"/>
        </w:rPr>
        <w:t xml:space="preserve"> </w:t>
      </w:r>
      <w:r>
        <w:rPr>
          <w:color w:val="231F20"/>
        </w:rPr>
        <w:t>бути поінформованим про результати вирішення справи;</w:t>
      </w:r>
    </w:p>
    <w:p w14:paraId="0E4CD994" w14:textId="77777777" w:rsidR="00DE575E" w:rsidRDefault="002E7560">
      <w:pPr>
        <w:pStyle w:val="BodyText"/>
        <w:spacing w:before="12"/>
        <w:ind w:left="533"/>
      </w:pPr>
      <w:r>
        <w:rPr>
          <w:rFonts w:ascii="Wingdings" w:hAnsi="Wingdings"/>
          <w:color w:val="231F20"/>
        </w:rPr>
        <w:t></w:t>
      </w:r>
      <w:r>
        <w:rPr>
          <w:rFonts w:ascii="Times New Roman" w:hAnsi="Times New Roman"/>
          <w:color w:val="231F20"/>
        </w:rPr>
        <w:t xml:space="preserve"> </w:t>
      </w:r>
      <w:r>
        <w:rPr>
          <w:color w:val="231F20"/>
        </w:rPr>
        <w:t>на отримання примірника адмініс</w:t>
      </w:r>
      <w:r>
        <w:rPr>
          <w:color w:val="231F20"/>
        </w:rPr>
        <w:t>тративного акта;</w:t>
      </w:r>
    </w:p>
    <w:p w14:paraId="3543B977" w14:textId="77777777" w:rsidR="00DE575E" w:rsidRDefault="002E7560">
      <w:pPr>
        <w:pStyle w:val="BodyText"/>
        <w:spacing w:before="13" w:line="252" w:lineRule="auto"/>
        <w:ind w:left="250" w:right="413" w:firstLine="283"/>
        <w:jc w:val="both"/>
      </w:pPr>
      <w:r>
        <w:rPr>
          <w:rFonts w:ascii="Wingdings" w:hAnsi="Wingdings"/>
          <w:color w:val="231F20"/>
        </w:rPr>
        <w:t></w:t>
      </w:r>
      <w:r>
        <w:rPr>
          <w:rFonts w:ascii="Times New Roman" w:hAnsi="Times New Roman"/>
          <w:color w:val="231F20"/>
        </w:rPr>
        <w:t xml:space="preserve"> </w:t>
      </w:r>
      <w:r>
        <w:rPr>
          <w:color w:val="231F20"/>
        </w:rPr>
        <w:t xml:space="preserve">оскаржувати адміністративний </w:t>
      </w:r>
      <w:r>
        <w:rPr>
          <w:color w:val="231F20"/>
          <w:spacing w:val="-5"/>
        </w:rPr>
        <w:t xml:space="preserve">акт, </w:t>
      </w:r>
      <w:r>
        <w:rPr>
          <w:color w:val="231F20"/>
        </w:rPr>
        <w:t>процедурні рішення,  дії чи бездіяльність адміністративного</w:t>
      </w:r>
      <w:r>
        <w:rPr>
          <w:color w:val="231F20"/>
          <w:spacing w:val="-3"/>
        </w:rPr>
        <w:t xml:space="preserve"> органу.</w:t>
      </w:r>
    </w:p>
    <w:p w14:paraId="022ED4A3" w14:textId="77777777" w:rsidR="00DE575E" w:rsidRDefault="00DE575E">
      <w:pPr>
        <w:pStyle w:val="BodyText"/>
        <w:spacing w:before="5"/>
        <w:rPr>
          <w:sz w:val="12"/>
        </w:rPr>
      </w:pPr>
    </w:p>
    <w:p w14:paraId="59A032DA" w14:textId="77777777" w:rsidR="00DE575E" w:rsidRDefault="002E7560">
      <w:pPr>
        <w:spacing w:before="92"/>
        <w:ind w:right="411"/>
        <w:jc w:val="right"/>
        <w:rPr>
          <w:rFonts w:ascii="Times New Roman"/>
          <w:sz w:val="20"/>
        </w:rPr>
      </w:pPr>
      <w:r>
        <w:rPr>
          <w:rFonts w:ascii="Times New Roman"/>
          <w:color w:val="231F20"/>
          <w:w w:val="90"/>
          <w:sz w:val="20"/>
        </w:rPr>
        <w:t>307</w:t>
      </w:r>
    </w:p>
    <w:p w14:paraId="71CBB38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EB34D3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FA4E9C1" w14:textId="4E24B0B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0601B38" wp14:editId="49FEC6FD">
                <wp:extent cx="4140200" cy="6350"/>
                <wp:effectExtent l="0" t="0" r="12700" b="6350"/>
                <wp:docPr id="64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42" name="Line 6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AA5B53" id="Group_x0020_6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q8tSsX4CAACYBQAADgAA&#10;AAAAAAAAAAAAAAAsAgAAZHJzL2Uyb0RvYy54bWxQSwECLQAUAAYACAAAACEATKewkNkAAAADAQAA&#10;DwAAAAAAAAAAAAAAAADWBAAAZHJzL2Rvd25yZXYueG1sUEsFBgAAAAAEAAQA8wAAANwFAAAAAA==&#10;">
                <v:line id="Line_x0020_6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oGPMYAAADcAAAADwAAAGRycy9kb3ducmV2LnhtbESP3WrCQBSE7wu+w3KE3hTdVIuU6Coi&#10;FIoX/qUPcMyeJqG7Z2N2NdGnd4WCl8PMfMPMFp014kKNrxwreB8mIIhzpysuFPxkX4NPED4gazSO&#10;ScGVPCzmvZcZptq1vKfLIRQiQtinqKAMoU6l9HlJFv3Q1cTR+3WNxRBlU0jdYBvh1shRkkykxYrj&#10;Qok1rUrK/w5nqyA7vQWz265Nm22PY3k8bca380ap1363nIII1IVn+L/9rRVMPkbwOBOPgJ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7aBjzGAAAA3AAAAA8AAAAAAAAA&#10;AAAAAAAAoQIAAGRycy9kb3ducmV2LnhtbFBLBQYAAAAABAAEAPkAAACUAwAAAAA=&#10;" strokecolor="#231f20" strokeweight=".5pt"/>
                <w10:anchorlock/>
              </v:group>
            </w:pict>
          </mc:Fallback>
        </mc:AlternateContent>
      </w:r>
    </w:p>
    <w:p w14:paraId="64A8573F" w14:textId="77777777" w:rsidR="00DE575E" w:rsidRDefault="00DE575E">
      <w:pPr>
        <w:pStyle w:val="BodyText"/>
        <w:spacing w:before="7"/>
        <w:rPr>
          <w:rFonts w:ascii="AdonisC"/>
          <w:i/>
          <w:sz w:val="11"/>
        </w:rPr>
      </w:pPr>
    </w:p>
    <w:p w14:paraId="2927E654" w14:textId="77777777" w:rsidR="00DE575E" w:rsidRDefault="002E7560">
      <w:pPr>
        <w:pStyle w:val="Heading6"/>
        <w:spacing w:before="101" w:line="252" w:lineRule="auto"/>
        <w:ind w:right="127"/>
        <w:jc w:val="both"/>
      </w:pPr>
      <w:r>
        <w:rPr>
          <w:color w:val="231F20"/>
        </w:rPr>
        <w:t xml:space="preserve">Також адресат як учасник адміністративної процедури </w:t>
      </w:r>
      <w:r>
        <w:rPr>
          <w:color w:val="231F20"/>
        </w:rPr>
        <w:t>мусить:</w:t>
      </w:r>
    </w:p>
    <w:p w14:paraId="7ABBE134" w14:textId="77777777" w:rsidR="00DE575E" w:rsidRDefault="002E7560">
      <w:pPr>
        <w:pStyle w:val="ListParagraph"/>
        <w:numPr>
          <w:ilvl w:val="0"/>
          <w:numId w:val="143"/>
        </w:numPr>
        <w:tabs>
          <w:tab w:val="left" w:pos="1101"/>
        </w:tabs>
        <w:spacing w:line="252" w:lineRule="auto"/>
        <w:ind w:right="127" w:firstLine="284"/>
        <w:rPr>
          <w:sz w:val="21"/>
        </w:rPr>
      </w:pPr>
      <w:r>
        <w:rPr>
          <w:color w:val="231F20"/>
          <w:sz w:val="21"/>
        </w:rPr>
        <w:t>подавати у випадках, передбачених законом, документи та інші докази, потрібні для здійснення адміністративного провад- ження; своєчасно повідомляти адміністрат</w:t>
      </w:r>
      <w:r>
        <w:rPr>
          <w:color w:val="231F20"/>
          <w:sz w:val="21"/>
        </w:rPr>
        <w:t>ивному органу про неможливість прибуття за запрошенням адміністративного органу із зазначенням</w:t>
      </w:r>
      <w:r>
        <w:rPr>
          <w:color w:val="231F20"/>
          <w:spacing w:val="-1"/>
          <w:sz w:val="21"/>
        </w:rPr>
        <w:t xml:space="preserve"> </w:t>
      </w:r>
      <w:r>
        <w:rPr>
          <w:color w:val="231F20"/>
          <w:sz w:val="21"/>
        </w:rPr>
        <w:t>причини;</w:t>
      </w:r>
    </w:p>
    <w:p w14:paraId="14BB8D0B" w14:textId="77777777" w:rsidR="00DE575E" w:rsidRDefault="002E7560">
      <w:pPr>
        <w:pStyle w:val="ListParagraph"/>
        <w:numPr>
          <w:ilvl w:val="0"/>
          <w:numId w:val="143"/>
        </w:numPr>
        <w:tabs>
          <w:tab w:val="left" w:pos="1101"/>
        </w:tabs>
        <w:spacing w:before="2" w:line="252" w:lineRule="auto"/>
        <w:ind w:right="128" w:firstLine="284"/>
        <w:rPr>
          <w:sz w:val="21"/>
        </w:rPr>
      </w:pPr>
      <w:r>
        <w:rPr>
          <w:color w:val="231F20"/>
          <w:sz w:val="21"/>
        </w:rPr>
        <w:t xml:space="preserve">своєчасно повідомляти адміністративний орган про немож- ливість прибуття за запрошенням адміністративного </w:t>
      </w:r>
      <w:r>
        <w:rPr>
          <w:color w:val="231F20"/>
          <w:spacing w:val="-3"/>
          <w:sz w:val="21"/>
        </w:rPr>
        <w:t xml:space="preserve">органу, </w:t>
      </w:r>
      <w:r>
        <w:rPr>
          <w:color w:val="231F20"/>
          <w:sz w:val="21"/>
        </w:rPr>
        <w:t>зміну свого місця проживання (місце пе</w:t>
      </w:r>
      <w:r>
        <w:rPr>
          <w:color w:val="231F20"/>
          <w:sz w:val="21"/>
        </w:rPr>
        <w:t>ребування) та контактні</w:t>
      </w:r>
      <w:r>
        <w:rPr>
          <w:color w:val="231F20"/>
          <w:spacing w:val="-7"/>
          <w:sz w:val="21"/>
        </w:rPr>
        <w:t xml:space="preserve"> </w:t>
      </w:r>
      <w:r>
        <w:rPr>
          <w:color w:val="231F20"/>
          <w:sz w:val="21"/>
        </w:rPr>
        <w:t>дані.</w:t>
      </w:r>
    </w:p>
    <w:p w14:paraId="7A1E89ED" w14:textId="77777777" w:rsidR="00DE575E" w:rsidRDefault="002E7560">
      <w:pPr>
        <w:pStyle w:val="BodyText"/>
        <w:spacing w:before="2" w:line="252" w:lineRule="auto"/>
        <w:ind w:left="533" w:right="128" w:firstLine="283"/>
        <w:jc w:val="both"/>
      </w:pPr>
      <w:r>
        <w:rPr>
          <w:color w:val="231F20"/>
        </w:rPr>
        <w:t xml:space="preserve">Своєю чергою </w:t>
      </w:r>
      <w:r>
        <w:rPr>
          <w:b/>
          <w:i/>
          <w:color w:val="231F20"/>
        </w:rPr>
        <w:t xml:space="preserve">під заявником </w:t>
      </w:r>
      <w:r>
        <w:rPr>
          <w:color w:val="231F20"/>
        </w:rPr>
        <w:t xml:space="preserve">слід розуміти учасника адмініст- ративної процедури, який у процесі реалізації свого </w:t>
      </w:r>
      <w:r>
        <w:rPr>
          <w:color w:val="231F20"/>
          <w:spacing w:val="-3"/>
        </w:rPr>
        <w:t xml:space="preserve">суб’єктивного </w:t>
      </w:r>
      <w:r>
        <w:rPr>
          <w:color w:val="231F20"/>
        </w:rPr>
        <w:t>права</w:t>
      </w:r>
      <w:r>
        <w:rPr>
          <w:color w:val="231F20"/>
          <w:spacing w:val="-18"/>
        </w:rPr>
        <w:t xml:space="preserve"> </w:t>
      </w:r>
      <w:r>
        <w:rPr>
          <w:color w:val="231F20"/>
        </w:rPr>
        <w:t>є</w:t>
      </w:r>
      <w:r>
        <w:rPr>
          <w:color w:val="231F20"/>
          <w:spacing w:val="-18"/>
        </w:rPr>
        <w:t xml:space="preserve"> </w:t>
      </w:r>
      <w:r>
        <w:rPr>
          <w:color w:val="231F20"/>
        </w:rPr>
        <w:t>ініціатором</w:t>
      </w:r>
      <w:r>
        <w:rPr>
          <w:color w:val="231F20"/>
          <w:spacing w:val="-18"/>
        </w:rPr>
        <w:t xml:space="preserve"> </w:t>
      </w:r>
      <w:r>
        <w:rPr>
          <w:color w:val="231F20"/>
        </w:rPr>
        <w:t>адміністративної</w:t>
      </w:r>
      <w:r>
        <w:rPr>
          <w:color w:val="231F20"/>
          <w:spacing w:val="-18"/>
        </w:rPr>
        <w:t xml:space="preserve"> </w:t>
      </w:r>
      <w:r>
        <w:rPr>
          <w:color w:val="231F20"/>
        </w:rPr>
        <w:t>процедури.</w:t>
      </w:r>
      <w:r>
        <w:rPr>
          <w:color w:val="231F20"/>
          <w:spacing w:val="-18"/>
        </w:rPr>
        <w:t xml:space="preserve"> </w:t>
      </w:r>
      <w:r>
        <w:rPr>
          <w:color w:val="231F20"/>
        </w:rPr>
        <w:t>Попри</w:t>
      </w:r>
      <w:r>
        <w:rPr>
          <w:color w:val="231F20"/>
          <w:spacing w:val="-18"/>
        </w:rPr>
        <w:t xml:space="preserve"> </w:t>
      </w:r>
      <w:r>
        <w:rPr>
          <w:color w:val="231F20"/>
        </w:rPr>
        <w:t>певні</w:t>
      </w:r>
      <w:r>
        <w:rPr>
          <w:color w:val="231F20"/>
          <w:spacing w:val="-18"/>
        </w:rPr>
        <w:t xml:space="preserve"> </w:t>
      </w:r>
      <w:r>
        <w:rPr>
          <w:color w:val="231F20"/>
        </w:rPr>
        <w:t>відмін- ності цілей адресата та заявника їх правовий статус у контексті можливих прав та обов’язків у межах адміністративної процедури   є доволі</w:t>
      </w:r>
      <w:r>
        <w:rPr>
          <w:color w:val="231F20"/>
          <w:spacing w:val="-3"/>
        </w:rPr>
        <w:t xml:space="preserve"> </w:t>
      </w:r>
      <w:r>
        <w:rPr>
          <w:color w:val="231F20"/>
        </w:rPr>
        <w:t>подібним.</w:t>
      </w:r>
    </w:p>
    <w:p w14:paraId="009E4C60" w14:textId="77777777" w:rsidR="00DE575E" w:rsidRDefault="00DE575E">
      <w:pPr>
        <w:pStyle w:val="BodyText"/>
        <w:spacing w:before="2"/>
        <w:rPr>
          <w:sz w:val="22"/>
        </w:rPr>
      </w:pPr>
    </w:p>
    <w:p w14:paraId="53E4BB57" w14:textId="77777777" w:rsidR="00DE575E" w:rsidRDefault="002E7560">
      <w:pPr>
        <w:pStyle w:val="Heading5"/>
        <w:numPr>
          <w:ilvl w:val="2"/>
          <w:numId w:val="145"/>
        </w:numPr>
        <w:tabs>
          <w:tab w:val="left" w:pos="1383"/>
        </w:tabs>
        <w:spacing w:before="1"/>
        <w:ind w:left="1382"/>
        <w:jc w:val="left"/>
      </w:pPr>
      <w:r>
        <w:rPr>
          <w:color w:val="231F20"/>
        </w:rPr>
        <w:t>Заінтересовані</w:t>
      </w:r>
      <w:r>
        <w:rPr>
          <w:color w:val="231F20"/>
          <w:spacing w:val="-2"/>
        </w:rPr>
        <w:t xml:space="preserve"> </w:t>
      </w:r>
      <w:r>
        <w:rPr>
          <w:color w:val="231F20"/>
        </w:rPr>
        <w:t>особи</w:t>
      </w:r>
    </w:p>
    <w:p w14:paraId="08F3E8DA" w14:textId="77777777" w:rsidR="00DE575E" w:rsidRDefault="00DE575E">
      <w:pPr>
        <w:pStyle w:val="BodyText"/>
        <w:spacing w:before="2"/>
        <w:rPr>
          <w:b/>
          <w:sz w:val="23"/>
        </w:rPr>
      </w:pPr>
    </w:p>
    <w:p w14:paraId="1038B5E2" w14:textId="77777777" w:rsidR="00DE575E" w:rsidRDefault="002E7560">
      <w:pPr>
        <w:pStyle w:val="BodyText"/>
        <w:spacing w:line="252" w:lineRule="auto"/>
        <w:ind w:left="533" w:right="124" w:firstLine="283"/>
        <w:jc w:val="both"/>
      </w:pPr>
      <w:r>
        <w:rPr>
          <w:color w:val="231F20"/>
        </w:rPr>
        <w:t>У ході здійснення адміністративної процедури  потенційно  може існувати ситуація, за якої очікуваний адміністративний акт  як результат розгляду адміністративної  справи  може  вплинути  не тільки на адресата чи заявника, але й на інших осіб. У таких випад</w:t>
      </w:r>
      <w:r>
        <w:rPr>
          <w:color w:val="231F20"/>
        </w:rPr>
        <w:t>ках доцільно говорити про так званих заінтересованих осіб. Фактично адміністративний акт може зачіпати законні інтереси таких осіб. Звідси й сама назва цієї категорії учасників адміністра- тивної</w:t>
      </w:r>
      <w:r>
        <w:rPr>
          <w:color w:val="231F20"/>
          <w:spacing w:val="3"/>
        </w:rPr>
        <w:t xml:space="preserve"> </w:t>
      </w:r>
      <w:r>
        <w:rPr>
          <w:color w:val="231F20"/>
        </w:rPr>
        <w:t>процедури.</w:t>
      </w:r>
    </w:p>
    <w:p w14:paraId="6AA66BE7" w14:textId="77777777" w:rsidR="00DE575E" w:rsidRDefault="002E7560">
      <w:pPr>
        <w:spacing w:before="4" w:line="252" w:lineRule="auto"/>
        <w:ind w:left="533" w:right="128" w:firstLine="283"/>
        <w:jc w:val="both"/>
        <w:rPr>
          <w:i/>
          <w:sz w:val="21"/>
        </w:rPr>
      </w:pPr>
      <w:r>
        <w:rPr>
          <w:b/>
          <w:i/>
          <w:color w:val="231F20"/>
          <w:sz w:val="21"/>
        </w:rPr>
        <w:t xml:space="preserve">Заінтересовані (зацікавлені) особи </w:t>
      </w:r>
      <w:r>
        <w:rPr>
          <w:i/>
          <w:color w:val="231F20"/>
          <w:sz w:val="21"/>
        </w:rPr>
        <w:t xml:space="preserve">– це учасники </w:t>
      </w:r>
      <w:r>
        <w:rPr>
          <w:i/>
          <w:color w:val="231F20"/>
          <w:sz w:val="21"/>
        </w:rPr>
        <w:t>адмініст- ративної процедури, які вступають в адміністративну процедуру  за власною ініціативою чи ініціативою адміністративного органу через потенційно можливий вплив адміністративного акта на їх правовий</w:t>
      </w:r>
      <w:r>
        <w:rPr>
          <w:i/>
          <w:color w:val="231F20"/>
          <w:spacing w:val="-2"/>
          <w:sz w:val="21"/>
        </w:rPr>
        <w:t xml:space="preserve"> </w:t>
      </w:r>
      <w:r>
        <w:rPr>
          <w:i/>
          <w:color w:val="231F20"/>
          <w:sz w:val="21"/>
        </w:rPr>
        <w:t>статус.</w:t>
      </w:r>
    </w:p>
    <w:p w14:paraId="0D865DBB" w14:textId="77777777" w:rsidR="00DE575E" w:rsidRDefault="002E7560">
      <w:pPr>
        <w:pStyle w:val="BodyText"/>
        <w:spacing w:before="2" w:line="252" w:lineRule="auto"/>
        <w:ind w:left="533" w:right="127" w:firstLine="283"/>
        <w:jc w:val="both"/>
      </w:pPr>
      <w:r>
        <w:rPr>
          <w:color w:val="231F20"/>
        </w:rPr>
        <w:t>Варто</w:t>
      </w:r>
      <w:r>
        <w:rPr>
          <w:color w:val="231F20"/>
          <w:spacing w:val="-8"/>
        </w:rPr>
        <w:t xml:space="preserve"> </w:t>
      </w:r>
      <w:r>
        <w:rPr>
          <w:color w:val="231F20"/>
        </w:rPr>
        <w:t>підкреслити,</w:t>
      </w:r>
      <w:r>
        <w:rPr>
          <w:color w:val="231F20"/>
          <w:spacing w:val="-8"/>
        </w:rPr>
        <w:t xml:space="preserve"> </w:t>
      </w:r>
      <w:r>
        <w:rPr>
          <w:color w:val="231F20"/>
        </w:rPr>
        <w:t>що</w:t>
      </w:r>
      <w:r>
        <w:rPr>
          <w:color w:val="231F20"/>
          <w:spacing w:val="-8"/>
        </w:rPr>
        <w:t xml:space="preserve"> </w:t>
      </w:r>
      <w:r>
        <w:rPr>
          <w:color w:val="231F20"/>
        </w:rPr>
        <w:t>на</w:t>
      </w:r>
      <w:r>
        <w:rPr>
          <w:color w:val="231F20"/>
          <w:spacing w:val="-8"/>
        </w:rPr>
        <w:t xml:space="preserve"> </w:t>
      </w:r>
      <w:r>
        <w:rPr>
          <w:color w:val="231F20"/>
        </w:rPr>
        <w:t>відміну</w:t>
      </w:r>
      <w:r>
        <w:rPr>
          <w:color w:val="231F20"/>
          <w:spacing w:val="-8"/>
        </w:rPr>
        <w:t xml:space="preserve"> </w:t>
      </w:r>
      <w:r>
        <w:rPr>
          <w:color w:val="231F20"/>
        </w:rPr>
        <w:t>від</w:t>
      </w:r>
      <w:r>
        <w:rPr>
          <w:color w:val="231F20"/>
          <w:spacing w:val="-8"/>
        </w:rPr>
        <w:t xml:space="preserve"> </w:t>
      </w:r>
      <w:r>
        <w:rPr>
          <w:color w:val="231F20"/>
        </w:rPr>
        <w:t>інших</w:t>
      </w:r>
      <w:r>
        <w:rPr>
          <w:color w:val="231F20"/>
          <w:spacing w:val="-8"/>
        </w:rPr>
        <w:t xml:space="preserve"> </w:t>
      </w:r>
      <w:r>
        <w:rPr>
          <w:color w:val="231F20"/>
        </w:rPr>
        <w:t>учасників</w:t>
      </w:r>
      <w:r>
        <w:rPr>
          <w:color w:val="231F20"/>
          <w:spacing w:val="-8"/>
        </w:rPr>
        <w:t xml:space="preserve"> </w:t>
      </w:r>
      <w:r>
        <w:rPr>
          <w:color w:val="231F20"/>
        </w:rPr>
        <w:t>адміністра- тивної процедури заінтересовані особи не є автоматичними</w:t>
      </w:r>
      <w:r>
        <w:rPr>
          <w:color w:val="231F20"/>
          <w:spacing w:val="-29"/>
        </w:rPr>
        <w:t xml:space="preserve"> </w:t>
      </w:r>
      <w:r>
        <w:rPr>
          <w:color w:val="231F20"/>
        </w:rPr>
        <w:t>учасни- ками</w:t>
      </w:r>
      <w:r>
        <w:rPr>
          <w:color w:val="231F20"/>
          <w:spacing w:val="-11"/>
        </w:rPr>
        <w:t xml:space="preserve"> </w:t>
      </w:r>
      <w:r>
        <w:rPr>
          <w:color w:val="231F20"/>
        </w:rPr>
        <w:t>такої</w:t>
      </w:r>
      <w:r>
        <w:rPr>
          <w:color w:val="231F20"/>
          <w:spacing w:val="-11"/>
        </w:rPr>
        <w:t xml:space="preserve"> </w:t>
      </w:r>
      <w:r>
        <w:rPr>
          <w:color w:val="231F20"/>
        </w:rPr>
        <w:t>процедури</w:t>
      </w:r>
      <w:r>
        <w:rPr>
          <w:color w:val="231F20"/>
          <w:spacing w:val="-11"/>
        </w:rPr>
        <w:t xml:space="preserve"> </w:t>
      </w:r>
      <w:r>
        <w:rPr>
          <w:color w:val="231F20"/>
        </w:rPr>
        <w:t>–</w:t>
      </w:r>
      <w:r>
        <w:rPr>
          <w:color w:val="231F20"/>
          <w:spacing w:val="-11"/>
        </w:rPr>
        <w:t xml:space="preserve"> </w:t>
      </w:r>
      <w:r>
        <w:rPr>
          <w:color w:val="231F20"/>
        </w:rPr>
        <w:t>вони</w:t>
      </w:r>
      <w:r>
        <w:rPr>
          <w:color w:val="231F20"/>
          <w:spacing w:val="-11"/>
        </w:rPr>
        <w:t xml:space="preserve"> </w:t>
      </w:r>
      <w:r>
        <w:rPr>
          <w:color w:val="231F20"/>
        </w:rPr>
        <w:t>або</w:t>
      </w:r>
      <w:r>
        <w:rPr>
          <w:color w:val="231F20"/>
          <w:spacing w:val="-11"/>
        </w:rPr>
        <w:t xml:space="preserve"> </w:t>
      </w:r>
      <w:r>
        <w:rPr>
          <w:color w:val="231F20"/>
        </w:rPr>
        <w:t>виявляють</w:t>
      </w:r>
      <w:r>
        <w:rPr>
          <w:color w:val="231F20"/>
          <w:spacing w:val="-11"/>
        </w:rPr>
        <w:t xml:space="preserve"> </w:t>
      </w:r>
      <w:r>
        <w:rPr>
          <w:color w:val="231F20"/>
        </w:rPr>
        <w:t>для</w:t>
      </w:r>
      <w:r>
        <w:rPr>
          <w:color w:val="231F20"/>
          <w:spacing w:val="-11"/>
        </w:rPr>
        <w:t xml:space="preserve"> </w:t>
      </w:r>
      <w:r>
        <w:rPr>
          <w:color w:val="231F20"/>
        </w:rPr>
        <w:t>цього</w:t>
      </w:r>
      <w:r>
        <w:rPr>
          <w:color w:val="231F20"/>
          <w:spacing w:val="-11"/>
        </w:rPr>
        <w:t xml:space="preserve"> </w:t>
      </w:r>
      <w:r>
        <w:rPr>
          <w:color w:val="231F20"/>
        </w:rPr>
        <w:t>своє</w:t>
      </w:r>
      <w:r>
        <w:rPr>
          <w:color w:val="231F20"/>
          <w:spacing w:val="-11"/>
        </w:rPr>
        <w:t xml:space="preserve"> </w:t>
      </w:r>
      <w:r>
        <w:rPr>
          <w:color w:val="231F20"/>
        </w:rPr>
        <w:t xml:space="preserve">бажання, або долучаються до адміністративної процедури через ініціативу адміністративного органу чи заявника. </w:t>
      </w:r>
      <w:r>
        <w:rPr>
          <w:color w:val="231F20"/>
          <w:spacing w:val="-3"/>
        </w:rPr>
        <w:t xml:space="preserve">Будь-яка </w:t>
      </w:r>
      <w:r>
        <w:rPr>
          <w:color w:val="231F20"/>
        </w:rPr>
        <w:t>фізична та/або юридична особа може клопотати про отримання статусу заінтере- сованої</w:t>
      </w:r>
      <w:r>
        <w:rPr>
          <w:color w:val="231F20"/>
          <w:spacing w:val="26"/>
        </w:rPr>
        <w:t xml:space="preserve"> </w:t>
      </w:r>
      <w:r>
        <w:rPr>
          <w:color w:val="231F20"/>
        </w:rPr>
        <w:t>особи</w:t>
      </w:r>
      <w:r>
        <w:rPr>
          <w:color w:val="231F20"/>
          <w:spacing w:val="26"/>
        </w:rPr>
        <w:t xml:space="preserve"> </w:t>
      </w:r>
      <w:r>
        <w:rPr>
          <w:color w:val="231F20"/>
        </w:rPr>
        <w:t>за</w:t>
      </w:r>
      <w:r>
        <w:rPr>
          <w:color w:val="231F20"/>
          <w:spacing w:val="26"/>
        </w:rPr>
        <w:t xml:space="preserve"> </w:t>
      </w:r>
      <w:r>
        <w:rPr>
          <w:color w:val="231F20"/>
        </w:rPr>
        <w:t>власною</w:t>
      </w:r>
      <w:r>
        <w:rPr>
          <w:color w:val="231F20"/>
          <w:spacing w:val="26"/>
        </w:rPr>
        <w:t xml:space="preserve"> </w:t>
      </w:r>
      <w:r>
        <w:rPr>
          <w:color w:val="231F20"/>
        </w:rPr>
        <w:t>ініціативою.</w:t>
      </w:r>
      <w:r>
        <w:rPr>
          <w:color w:val="231F20"/>
          <w:spacing w:val="26"/>
        </w:rPr>
        <w:t xml:space="preserve"> </w:t>
      </w:r>
      <w:r>
        <w:rPr>
          <w:color w:val="231F20"/>
        </w:rPr>
        <w:t>Факт</w:t>
      </w:r>
      <w:r>
        <w:rPr>
          <w:color w:val="231F20"/>
          <w:spacing w:val="26"/>
        </w:rPr>
        <w:t xml:space="preserve"> </w:t>
      </w:r>
      <w:r>
        <w:rPr>
          <w:color w:val="231F20"/>
        </w:rPr>
        <w:t>надання</w:t>
      </w:r>
      <w:r>
        <w:rPr>
          <w:color w:val="231F20"/>
          <w:spacing w:val="26"/>
        </w:rPr>
        <w:t xml:space="preserve"> </w:t>
      </w:r>
      <w:r>
        <w:rPr>
          <w:color w:val="231F20"/>
        </w:rPr>
        <w:t>фізичній</w:t>
      </w:r>
      <w:r>
        <w:rPr>
          <w:color w:val="231F20"/>
          <w:spacing w:val="25"/>
        </w:rPr>
        <w:t xml:space="preserve"> </w:t>
      </w:r>
      <w:r>
        <w:rPr>
          <w:color w:val="231F20"/>
        </w:rPr>
        <w:t>або</w:t>
      </w:r>
    </w:p>
    <w:p w14:paraId="76C6761E" w14:textId="77777777" w:rsidR="00DE575E" w:rsidRDefault="00DE575E">
      <w:pPr>
        <w:pStyle w:val="BodyText"/>
        <w:spacing w:before="9"/>
        <w:rPr>
          <w:sz w:val="12"/>
        </w:rPr>
      </w:pPr>
    </w:p>
    <w:p w14:paraId="36AE5D07" w14:textId="77777777" w:rsidR="00DE575E" w:rsidRDefault="002E7560">
      <w:pPr>
        <w:spacing w:before="92"/>
        <w:ind w:left="533"/>
        <w:rPr>
          <w:rFonts w:ascii="Times New Roman"/>
          <w:sz w:val="20"/>
        </w:rPr>
      </w:pPr>
      <w:r>
        <w:rPr>
          <w:rFonts w:ascii="Times New Roman"/>
          <w:color w:val="231F20"/>
          <w:sz w:val="20"/>
        </w:rPr>
        <w:t>308</w:t>
      </w:r>
    </w:p>
    <w:p w14:paraId="5A33A065" w14:textId="77777777" w:rsidR="00DE575E" w:rsidRDefault="00DE575E">
      <w:pPr>
        <w:rPr>
          <w:rFonts w:ascii="Times New Roman"/>
          <w:sz w:val="20"/>
        </w:rPr>
        <w:sectPr w:rsidR="00DE575E">
          <w:pgSz w:w="8510" w:h="12760"/>
          <w:pgMar w:top="660" w:right="720" w:bottom="280" w:left="600" w:header="720" w:footer="720" w:gutter="0"/>
          <w:cols w:space="720"/>
        </w:sectPr>
      </w:pPr>
    </w:p>
    <w:p w14:paraId="099D2E24"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6DFFE0AF" w14:textId="2BF6693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48D5B86" wp14:editId="36FD3C13">
                <wp:extent cx="4140200" cy="6350"/>
                <wp:effectExtent l="0" t="0" r="12700" b="6350"/>
                <wp:docPr id="63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40" name="Line 6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70CC7" id="Group_x0020_6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BKGrtgAIAAJgFAAAO&#10;AAAAAAAAAAAAAAAAACwCAABkcnMvZTJvRG9jLnhtbFBLAQItABQABgAIAAAAIQBMp7CQ2QAAAAMB&#10;AAAPAAAAAAAAAAAAAAAAANgEAABkcnMvZG93bnJldi54bWxQSwUGAAAAAAQABADzAAAA3gUAAAAA&#10;">
                <v:line id="Line_x0020_6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Q90MMAAADcAAAADwAAAGRycy9kb3ducmV2LnhtbERP3WrCMBS+F/YO4Qy8EU3VIaMaZQwE&#10;8UKn3QMcm7O2LDmpTbTVpzcXgpcf3/9i1VkjrtT4yrGC8SgBQZw7XXGh4DdbDz9B+ICs0TgmBTfy&#10;sFq+9RaYatfyga7HUIgYwj5FBWUIdSqlz0uy6EeuJo7cn2sshgibQuoG2xhujZwkyUxarDg2lFjT&#10;d0n5//FiFWTnQTA/+61ps/1pKk/n3fR+2SnVf+++5iACdeElfro3WsHsI8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FEPdDDAAAA3AAAAA8AAAAAAAAAAAAA&#10;AAAAoQIAAGRycy9kb3ducmV2LnhtbFBLBQYAAAAABAAEAPkAAACRAwAAAAA=&#10;" strokecolor="#231f20" strokeweight=".5pt"/>
                <w10:anchorlock/>
              </v:group>
            </w:pict>
          </mc:Fallback>
        </mc:AlternateContent>
      </w:r>
    </w:p>
    <w:p w14:paraId="0C5B8FF7" w14:textId="77777777" w:rsidR="00DE575E" w:rsidRDefault="00DE575E">
      <w:pPr>
        <w:pStyle w:val="BodyText"/>
        <w:spacing w:before="7"/>
        <w:rPr>
          <w:rFonts w:ascii="AdonisC"/>
          <w:i/>
          <w:sz w:val="19"/>
        </w:rPr>
      </w:pPr>
    </w:p>
    <w:p w14:paraId="2FAEA9E8" w14:textId="77777777" w:rsidR="00DE575E" w:rsidRDefault="002E7560">
      <w:pPr>
        <w:pStyle w:val="BodyText"/>
        <w:spacing w:before="1" w:line="252" w:lineRule="auto"/>
        <w:ind w:left="250"/>
      </w:pPr>
      <w:r>
        <w:rPr>
          <w:color w:val="231F20"/>
        </w:rPr>
        <w:t>юридичній особі статусу заінтересованої зазначається в матеріалах адміністративної справи.</w:t>
      </w:r>
    </w:p>
    <w:p w14:paraId="5AB90571" w14:textId="77777777" w:rsidR="00DE575E" w:rsidRDefault="00DE575E">
      <w:pPr>
        <w:pStyle w:val="BodyText"/>
        <w:spacing w:before="1"/>
        <w:rPr>
          <w:sz w:val="22"/>
        </w:rPr>
      </w:pPr>
    </w:p>
    <w:p w14:paraId="0712A9EE" w14:textId="77777777" w:rsidR="00DE575E" w:rsidRDefault="002E7560">
      <w:pPr>
        <w:pStyle w:val="Heading5"/>
      </w:pPr>
      <w:r>
        <w:rPr>
          <w:color w:val="231F20"/>
        </w:rPr>
        <w:t>8.4.4. Представництво в адміністративній процедурі</w:t>
      </w:r>
    </w:p>
    <w:p w14:paraId="720DB5D2" w14:textId="77777777" w:rsidR="00DE575E" w:rsidRDefault="00DE575E">
      <w:pPr>
        <w:pStyle w:val="BodyText"/>
        <w:spacing w:before="2"/>
        <w:rPr>
          <w:b/>
          <w:sz w:val="23"/>
        </w:rPr>
      </w:pPr>
    </w:p>
    <w:p w14:paraId="1305397F" w14:textId="77777777" w:rsidR="00DE575E" w:rsidRDefault="002E7560">
      <w:pPr>
        <w:pStyle w:val="BodyText"/>
        <w:spacing w:line="252" w:lineRule="auto"/>
        <w:ind w:left="250" w:right="409" w:firstLine="283"/>
        <w:jc w:val="both"/>
      </w:pPr>
      <w:r>
        <w:rPr>
          <w:color w:val="231F20"/>
        </w:rPr>
        <w:t xml:space="preserve">Реалії сьогодення та правові можливості, надані чинним законо- давством, дозволяють заявнику, </w:t>
      </w:r>
      <w:r>
        <w:rPr>
          <w:color w:val="231F20"/>
          <w:spacing w:val="-3"/>
        </w:rPr>
        <w:t xml:space="preserve">адресату, </w:t>
      </w:r>
      <w:r>
        <w:rPr>
          <w:color w:val="231F20"/>
        </w:rPr>
        <w:t>заінтересованій (зацікав- леній) особі бути як у ролі самостійного учасника адміністратив- ної процедури, так і скористатись можливостями представництва</w:t>
      </w:r>
      <w:r>
        <w:rPr>
          <w:color w:val="231F20"/>
        </w:rPr>
        <w:t>. Основними причинами того, що учасник адміністративної проце- дури  використовує  представника,  є  такі:  недієздатність  особи,    а відтак  неможливість  самостійно  вчиняти  юридично  значущі дії; хвороба чи відрядження, що роблять неможливою самостій</w:t>
      </w:r>
      <w:r>
        <w:rPr>
          <w:color w:val="231F20"/>
        </w:rPr>
        <w:t xml:space="preserve">ну присутність учасника адміністративної процедури під час </w:t>
      </w:r>
      <w:r>
        <w:rPr>
          <w:color w:val="231F20"/>
          <w:spacing w:val="-3"/>
        </w:rPr>
        <w:t xml:space="preserve">розгляду </w:t>
      </w:r>
      <w:r>
        <w:rPr>
          <w:color w:val="231F20"/>
        </w:rPr>
        <w:t>адміністративної справи; пряма вимога чинного законодавства (батьки неповнолітніх дітей, опікуни, піклувальники</w:t>
      </w:r>
      <w:r>
        <w:rPr>
          <w:color w:val="231F20"/>
          <w:spacing w:val="-3"/>
        </w:rPr>
        <w:t xml:space="preserve"> </w:t>
      </w:r>
      <w:r>
        <w:rPr>
          <w:color w:val="231F20"/>
        </w:rPr>
        <w:t>тощо).</w:t>
      </w:r>
    </w:p>
    <w:p w14:paraId="4A7B6885" w14:textId="77777777" w:rsidR="00DE575E" w:rsidRDefault="002E7560">
      <w:pPr>
        <w:pStyle w:val="BodyText"/>
        <w:spacing w:before="5" w:line="252" w:lineRule="auto"/>
        <w:ind w:left="250" w:right="411" w:firstLine="283"/>
        <w:jc w:val="both"/>
      </w:pPr>
      <w:r>
        <w:rPr>
          <w:color w:val="231F20"/>
        </w:rPr>
        <w:t>Положення нормативно-правової бази з питань представни- цтва, а також</w:t>
      </w:r>
      <w:r>
        <w:rPr>
          <w:color w:val="231F20"/>
        </w:rPr>
        <w:t xml:space="preserve"> проєкти базового законодавчого акта з проблематики адміністративних процедур свідчать про таке: зазвичай представ- ник особи бере участь в адміністративній справі на підставі угоди, </w:t>
      </w:r>
      <w:r>
        <w:rPr>
          <w:color w:val="231F20"/>
          <w:spacing w:val="-3"/>
        </w:rPr>
        <w:t>закону,</w:t>
      </w:r>
      <w:r>
        <w:rPr>
          <w:color w:val="231F20"/>
          <w:spacing w:val="-5"/>
        </w:rPr>
        <w:t xml:space="preserve"> </w:t>
      </w:r>
      <w:r>
        <w:rPr>
          <w:color w:val="231F20"/>
        </w:rPr>
        <w:t>акта</w:t>
      </w:r>
      <w:r>
        <w:rPr>
          <w:color w:val="231F20"/>
          <w:spacing w:val="-5"/>
        </w:rPr>
        <w:t xml:space="preserve"> </w:t>
      </w:r>
      <w:r>
        <w:rPr>
          <w:color w:val="231F20"/>
        </w:rPr>
        <w:t>органу</w:t>
      </w:r>
      <w:r>
        <w:rPr>
          <w:color w:val="231F20"/>
          <w:spacing w:val="-5"/>
        </w:rPr>
        <w:t xml:space="preserve"> </w:t>
      </w:r>
      <w:r>
        <w:rPr>
          <w:color w:val="231F20"/>
        </w:rPr>
        <w:t>управління</w:t>
      </w:r>
      <w:r>
        <w:rPr>
          <w:color w:val="231F20"/>
          <w:spacing w:val="-5"/>
        </w:rPr>
        <w:t xml:space="preserve"> </w:t>
      </w:r>
      <w:r>
        <w:rPr>
          <w:color w:val="231F20"/>
        </w:rPr>
        <w:t>юридичної</w:t>
      </w:r>
      <w:r>
        <w:rPr>
          <w:color w:val="231F20"/>
          <w:spacing w:val="-5"/>
        </w:rPr>
        <w:t xml:space="preserve"> </w:t>
      </w:r>
      <w:r>
        <w:rPr>
          <w:color w:val="231F20"/>
        </w:rPr>
        <w:t>особи</w:t>
      </w:r>
      <w:r>
        <w:rPr>
          <w:color w:val="231F20"/>
          <w:spacing w:val="-5"/>
        </w:rPr>
        <w:t xml:space="preserve"> </w:t>
      </w:r>
      <w:r>
        <w:rPr>
          <w:color w:val="231F20"/>
        </w:rPr>
        <w:t>та</w:t>
      </w:r>
      <w:r>
        <w:rPr>
          <w:color w:val="231F20"/>
          <w:spacing w:val="-5"/>
        </w:rPr>
        <w:t xml:space="preserve"> </w:t>
      </w:r>
      <w:r>
        <w:rPr>
          <w:color w:val="231F20"/>
        </w:rPr>
        <w:t>на</w:t>
      </w:r>
      <w:r>
        <w:rPr>
          <w:color w:val="231F20"/>
          <w:spacing w:val="-5"/>
        </w:rPr>
        <w:t xml:space="preserve"> </w:t>
      </w:r>
      <w:r>
        <w:rPr>
          <w:color w:val="231F20"/>
        </w:rPr>
        <w:t>інших</w:t>
      </w:r>
      <w:r>
        <w:rPr>
          <w:color w:val="231F20"/>
          <w:spacing w:val="-5"/>
        </w:rPr>
        <w:t xml:space="preserve"> </w:t>
      </w:r>
      <w:r>
        <w:rPr>
          <w:color w:val="231F20"/>
        </w:rPr>
        <w:t>підста- вах, у</w:t>
      </w:r>
      <w:r>
        <w:rPr>
          <w:color w:val="231F20"/>
        </w:rPr>
        <w:t>становлених</w:t>
      </w:r>
      <w:r>
        <w:rPr>
          <w:color w:val="231F20"/>
          <w:spacing w:val="-3"/>
        </w:rPr>
        <w:t xml:space="preserve"> </w:t>
      </w:r>
      <w:r>
        <w:rPr>
          <w:color w:val="231F20"/>
        </w:rPr>
        <w:t>законодавством.</w:t>
      </w:r>
    </w:p>
    <w:p w14:paraId="7B6596AC" w14:textId="77777777" w:rsidR="00DE575E" w:rsidRDefault="002E7560">
      <w:pPr>
        <w:spacing w:before="3" w:line="252" w:lineRule="auto"/>
        <w:ind w:left="250" w:right="411" w:firstLine="283"/>
        <w:jc w:val="both"/>
        <w:rPr>
          <w:i/>
          <w:sz w:val="21"/>
        </w:rPr>
      </w:pPr>
      <w:r>
        <w:rPr>
          <w:b/>
          <w:i/>
          <w:color w:val="231F20"/>
          <w:sz w:val="21"/>
        </w:rPr>
        <w:t xml:space="preserve">Представником особи </w:t>
      </w:r>
      <w:r>
        <w:rPr>
          <w:i/>
          <w:color w:val="231F20"/>
          <w:sz w:val="21"/>
        </w:rPr>
        <w:t>може бути адвокат або будь-яка інша дієздатна особа, повноваження якої на участь в адміністративному провадженні посвідчені відповідними документами.</w:t>
      </w:r>
    </w:p>
    <w:p w14:paraId="035234F5" w14:textId="77777777" w:rsidR="00DE575E" w:rsidRDefault="002E7560">
      <w:pPr>
        <w:pStyle w:val="BodyText"/>
        <w:spacing w:before="2" w:line="252" w:lineRule="auto"/>
        <w:ind w:left="250" w:right="408" w:firstLine="283"/>
        <w:jc w:val="both"/>
      </w:pPr>
      <w:r>
        <w:rPr>
          <w:color w:val="231F20"/>
        </w:rPr>
        <w:t>Інтереси юридичної особи відповідно до установчих документ</w:t>
      </w:r>
      <w:r>
        <w:rPr>
          <w:color w:val="231F20"/>
        </w:rPr>
        <w:t>ів такої особи чи закону представляє її керівник або інша особа, яка діє</w:t>
      </w:r>
      <w:r>
        <w:rPr>
          <w:color w:val="231F20"/>
          <w:spacing w:val="-9"/>
        </w:rPr>
        <w:t xml:space="preserve"> </w:t>
      </w:r>
      <w:r>
        <w:rPr>
          <w:color w:val="231F20"/>
        </w:rPr>
        <w:t>в</w:t>
      </w:r>
      <w:r>
        <w:rPr>
          <w:color w:val="231F20"/>
          <w:spacing w:val="-9"/>
        </w:rPr>
        <w:t xml:space="preserve"> </w:t>
      </w:r>
      <w:r>
        <w:rPr>
          <w:color w:val="231F20"/>
        </w:rPr>
        <w:t>межах</w:t>
      </w:r>
      <w:r>
        <w:rPr>
          <w:color w:val="231F20"/>
          <w:spacing w:val="-9"/>
        </w:rPr>
        <w:t xml:space="preserve"> </w:t>
      </w:r>
      <w:r>
        <w:rPr>
          <w:color w:val="231F20"/>
        </w:rPr>
        <w:t>наданих</w:t>
      </w:r>
      <w:r>
        <w:rPr>
          <w:color w:val="231F20"/>
          <w:spacing w:val="-9"/>
        </w:rPr>
        <w:t xml:space="preserve"> </w:t>
      </w:r>
      <w:r>
        <w:rPr>
          <w:color w:val="231F20"/>
        </w:rPr>
        <w:t>їй</w:t>
      </w:r>
      <w:r>
        <w:rPr>
          <w:color w:val="231F20"/>
          <w:spacing w:val="-9"/>
        </w:rPr>
        <w:t xml:space="preserve"> </w:t>
      </w:r>
      <w:r>
        <w:rPr>
          <w:color w:val="231F20"/>
        </w:rPr>
        <w:t>повноважень.</w:t>
      </w:r>
      <w:r>
        <w:rPr>
          <w:color w:val="231F20"/>
          <w:spacing w:val="-9"/>
        </w:rPr>
        <w:t xml:space="preserve"> </w:t>
      </w:r>
      <w:r>
        <w:rPr>
          <w:color w:val="231F20"/>
        </w:rPr>
        <w:t>Уповноваження</w:t>
      </w:r>
      <w:r>
        <w:rPr>
          <w:color w:val="231F20"/>
          <w:spacing w:val="-9"/>
        </w:rPr>
        <w:t xml:space="preserve"> </w:t>
      </w:r>
      <w:r>
        <w:rPr>
          <w:color w:val="231F20"/>
        </w:rPr>
        <w:t>на</w:t>
      </w:r>
      <w:r>
        <w:rPr>
          <w:color w:val="231F20"/>
          <w:spacing w:val="-9"/>
        </w:rPr>
        <w:t xml:space="preserve"> </w:t>
      </w:r>
      <w:r>
        <w:rPr>
          <w:color w:val="231F20"/>
        </w:rPr>
        <w:t>представни- цтво</w:t>
      </w:r>
      <w:r>
        <w:rPr>
          <w:color w:val="231F20"/>
          <w:spacing w:val="-9"/>
        </w:rPr>
        <w:t xml:space="preserve"> </w:t>
      </w:r>
      <w:r>
        <w:rPr>
          <w:color w:val="231F20"/>
        </w:rPr>
        <w:t>за</w:t>
      </w:r>
      <w:r>
        <w:rPr>
          <w:color w:val="231F20"/>
          <w:spacing w:val="-9"/>
        </w:rPr>
        <w:t xml:space="preserve"> </w:t>
      </w:r>
      <w:r>
        <w:rPr>
          <w:color w:val="231F20"/>
        </w:rPr>
        <w:t>клопотанням</w:t>
      </w:r>
      <w:r>
        <w:rPr>
          <w:color w:val="231F20"/>
          <w:spacing w:val="-9"/>
        </w:rPr>
        <w:t xml:space="preserve"> </w:t>
      </w:r>
      <w:r>
        <w:rPr>
          <w:color w:val="231F20"/>
        </w:rPr>
        <w:t>особи</w:t>
      </w:r>
      <w:r>
        <w:rPr>
          <w:color w:val="231F20"/>
          <w:spacing w:val="-9"/>
        </w:rPr>
        <w:t xml:space="preserve"> </w:t>
      </w:r>
      <w:r>
        <w:rPr>
          <w:color w:val="231F20"/>
        </w:rPr>
        <w:t>(довірителя)</w:t>
      </w:r>
      <w:r>
        <w:rPr>
          <w:color w:val="231F20"/>
          <w:spacing w:val="-9"/>
        </w:rPr>
        <w:t xml:space="preserve"> </w:t>
      </w:r>
      <w:r>
        <w:rPr>
          <w:color w:val="231F20"/>
        </w:rPr>
        <w:t>може</w:t>
      </w:r>
      <w:r>
        <w:rPr>
          <w:color w:val="231F20"/>
          <w:spacing w:val="-9"/>
        </w:rPr>
        <w:t xml:space="preserve"> </w:t>
      </w:r>
      <w:r>
        <w:rPr>
          <w:color w:val="231F20"/>
        </w:rPr>
        <w:t>здійснюватися</w:t>
      </w:r>
      <w:r>
        <w:rPr>
          <w:color w:val="231F20"/>
          <w:spacing w:val="-9"/>
        </w:rPr>
        <w:t xml:space="preserve"> </w:t>
      </w:r>
      <w:r>
        <w:rPr>
          <w:color w:val="231F20"/>
        </w:rPr>
        <w:t xml:space="preserve">також через  внесення  адміністративним  органом  відповідного  </w:t>
      </w:r>
      <w:r>
        <w:rPr>
          <w:color w:val="231F20"/>
        </w:rPr>
        <w:t>запису   в матеріали справи. Одна особа не може бути одночасно представ- ником заявника і заінтересованої особи та бути одночасно свідком, експертом, спеціалістом чи перекладачем у</w:t>
      </w:r>
      <w:r>
        <w:rPr>
          <w:color w:val="231F20"/>
          <w:spacing w:val="-5"/>
        </w:rPr>
        <w:t xml:space="preserve"> </w:t>
      </w:r>
      <w:r>
        <w:rPr>
          <w:color w:val="231F20"/>
        </w:rPr>
        <w:t>провадженні.</w:t>
      </w:r>
    </w:p>
    <w:p w14:paraId="03C640D9" w14:textId="77777777" w:rsidR="00DE575E" w:rsidRDefault="002E7560">
      <w:pPr>
        <w:pStyle w:val="BodyText"/>
        <w:spacing w:before="4" w:line="252" w:lineRule="auto"/>
        <w:ind w:left="250" w:right="411" w:firstLine="283"/>
        <w:jc w:val="both"/>
      </w:pPr>
      <w:r>
        <w:rPr>
          <w:color w:val="231F20"/>
        </w:rPr>
        <w:t xml:space="preserve">Представник </w:t>
      </w:r>
      <w:r>
        <w:rPr>
          <w:color w:val="231F20"/>
          <w:spacing w:val="-3"/>
        </w:rPr>
        <w:t xml:space="preserve">суб’єкта </w:t>
      </w:r>
      <w:r>
        <w:rPr>
          <w:color w:val="231F20"/>
        </w:rPr>
        <w:t>звернення або заінтересованої особи під ч</w:t>
      </w:r>
      <w:r>
        <w:rPr>
          <w:color w:val="231F20"/>
        </w:rPr>
        <w:t xml:space="preserve">ас адміністративної процедури </w:t>
      </w:r>
      <w:r>
        <w:rPr>
          <w:i/>
          <w:color w:val="231F20"/>
        </w:rPr>
        <w:t xml:space="preserve">має право вчиняти </w:t>
      </w:r>
      <w:r>
        <w:rPr>
          <w:color w:val="231F20"/>
        </w:rPr>
        <w:t xml:space="preserve">лише ті проце- дурні дії, право на вчинення яких має </w:t>
      </w:r>
      <w:r>
        <w:rPr>
          <w:color w:val="231F20"/>
          <w:spacing w:val="-4"/>
        </w:rPr>
        <w:t xml:space="preserve">суб’єкт </w:t>
      </w:r>
      <w:r>
        <w:rPr>
          <w:color w:val="231F20"/>
        </w:rPr>
        <w:t>звернення або заінте- ресована особа, яку він представляє, та здійснювати відповідно до законодавства</w:t>
      </w:r>
      <w:r>
        <w:rPr>
          <w:color w:val="231F20"/>
          <w:spacing w:val="-12"/>
        </w:rPr>
        <w:t xml:space="preserve"> </w:t>
      </w:r>
      <w:r>
        <w:rPr>
          <w:color w:val="231F20"/>
        </w:rPr>
        <w:t>інші</w:t>
      </w:r>
      <w:r>
        <w:rPr>
          <w:color w:val="231F20"/>
          <w:spacing w:val="-12"/>
        </w:rPr>
        <w:t xml:space="preserve"> </w:t>
      </w:r>
      <w:r>
        <w:rPr>
          <w:color w:val="231F20"/>
        </w:rPr>
        <w:t>повноваження,</w:t>
      </w:r>
      <w:r>
        <w:rPr>
          <w:color w:val="231F20"/>
          <w:spacing w:val="-12"/>
        </w:rPr>
        <w:t xml:space="preserve"> </w:t>
      </w:r>
      <w:r>
        <w:rPr>
          <w:color w:val="231F20"/>
        </w:rPr>
        <w:t>зумовлені</w:t>
      </w:r>
      <w:r>
        <w:rPr>
          <w:color w:val="231F20"/>
          <w:spacing w:val="-12"/>
        </w:rPr>
        <w:t xml:space="preserve"> </w:t>
      </w:r>
      <w:r>
        <w:rPr>
          <w:color w:val="231F20"/>
        </w:rPr>
        <w:t>у</w:t>
      </w:r>
      <w:r>
        <w:rPr>
          <w:color w:val="231F20"/>
          <w:spacing w:val="-12"/>
        </w:rPr>
        <w:t xml:space="preserve"> </w:t>
      </w:r>
      <w:r>
        <w:rPr>
          <w:color w:val="231F20"/>
        </w:rPr>
        <w:t>виданій</w:t>
      </w:r>
      <w:r>
        <w:rPr>
          <w:color w:val="231F20"/>
          <w:spacing w:val="-12"/>
        </w:rPr>
        <w:t xml:space="preserve"> </w:t>
      </w:r>
      <w:r>
        <w:rPr>
          <w:color w:val="231F20"/>
        </w:rPr>
        <w:t>йому</w:t>
      </w:r>
      <w:r>
        <w:rPr>
          <w:color w:val="231F20"/>
          <w:spacing w:val="-12"/>
        </w:rPr>
        <w:t xml:space="preserve"> </w:t>
      </w:r>
      <w:r>
        <w:rPr>
          <w:color w:val="231F20"/>
        </w:rPr>
        <w:t>довіре- ності або визначені договором чи</w:t>
      </w:r>
      <w:r>
        <w:rPr>
          <w:color w:val="231F20"/>
          <w:spacing w:val="-4"/>
        </w:rPr>
        <w:t xml:space="preserve"> </w:t>
      </w:r>
      <w:r>
        <w:rPr>
          <w:color w:val="231F20"/>
        </w:rPr>
        <w:t>законом.</w:t>
      </w:r>
    </w:p>
    <w:p w14:paraId="67B26DE5" w14:textId="77777777" w:rsidR="00DE575E" w:rsidRDefault="00DE575E">
      <w:pPr>
        <w:pStyle w:val="BodyText"/>
        <w:spacing w:before="8"/>
        <w:rPr>
          <w:sz w:val="12"/>
        </w:rPr>
      </w:pPr>
    </w:p>
    <w:p w14:paraId="432EC957" w14:textId="77777777" w:rsidR="00DE575E" w:rsidRDefault="002E7560">
      <w:pPr>
        <w:spacing w:before="92"/>
        <w:ind w:right="411"/>
        <w:jc w:val="right"/>
        <w:rPr>
          <w:rFonts w:ascii="Times New Roman"/>
          <w:sz w:val="20"/>
        </w:rPr>
      </w:pPr>
      <w:r>
        <w:rPr>
          <w:rFonts w:ascii="Times New Roman"/>
          <w:color w:val="231F20"/>
          <w:w w:val="90"/>
          <w:sz w:val="20"/>
        </w:rPr>
        <w:t>309</w:t>
      </w:r>
    </w:p>
    <w:p w14:paraId="74EEF36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DFBDC3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23B9C6C" w14:textId="365D263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2C91A2C" wp14:editId="289D51F0">
                <wp:extent cx="4140200" cy="6350"/>
                <wp:effectExtent l="0" t="0" r="12700" b="6350"/>
                <wp:docPr id="637"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38" name="Line 6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8B26D" id="Group_x0020_6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QtyAZgAIAAJgFAAAO&#10;AAAAAAAAAAAAAAAAACwCAABkcnMvZTJvRG9jLnhtbFBLAQItABQABgAIAAAAIQBMp7CQ2QAAAAMB&#10;AAAPAAAAAAAAAAAAAAAAANgEAABkcnMvZG93bnJldi54bWxQSwUGAAAAAAQABADzAAAA3gUAAAAA&#10;">
                <v:line id="Line_x0020_6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RCq8IAAADcAAAADwAAAGRycy9kb3ducmV2LnhtbERP3WrCMBS+H/gO4QjeDE23gkg1igjC&#10;2IVu1gc4Nse2mJzUJtrq05uLwS4/vv/FqrdG3Kn1tWMFH5MEBHHhdM2lgmO+Hc9A+ICs0TgmBQ/y&#10;sFoO3haYadfxL90PoRQxhH2GCqoQmkxKX1Rk0U9cQxy5s2sthgjbUuoWuxhujfxMkqm0WHNsqLCh&#10;TUXF5XCzCvLrezA/+2/T5ftTKk/XXfq87ZQaDfv1HESgPvyL/9xfWsE0jWvj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zRCq8IAAADcAAAADwAAAAAAAAAAAAAA&#10;AAChAgAAZHJzL2Rvd25yZXYueG1sUEsFBgAAAAAEAAQA+QAAAJADAAAAAA==&#10;" strokecolor="#231f20" strokeweight=".5pt"/>
                <w10:anchorlock/>
              </v:group>
            </w:pict>
          </mc:Fallback>
        </mc:AlternateContent>
      </w:r>
    </w:p>
    <w:p w14:paraId="13EC936F" w14:textId="77777777" w:rsidR="00DE575E" w:rsidRDefault="00DE575E">
      <w:pPr>
        <w:pStyle w:val="BodyText"/>
        <w:spacing w:before="7"/>
        <w:rPr>
          <w:rFonts w:ascii="AdonisC"/>
          <w:i/>
          <w:sz w:val="11"/>
        </w:rPr>
      </w:pPr>
    </w:p>
    <w:p w14:paraId="75E0C5A3" w14:textId="77777777" w:rsidR="00DE575E" w:rsidRDefault="002E7560">
      <w:pPr>
        <w:spacing w:before="101" w:line="252" w:lineRule="auto"/>
        <w:ind w:left="533" w:right="128" w:firstLine="283"/>
        <w:jc w:val="both"/>
        <w:rPr>
          <w:i/>
          <w:sz w:val="21"/>
        </w:rPr>
      </w:pPr>
      <w:r>
        <w:rPr>
          <w:i/>
          <w:color w:val="231F20"/>
          <w:sz w:val="21"/>
        </w:rPr>
        <w:t xml:space="preserve">Представник зобов’язаний діяти в інтересах суб’єкта звернення </w:t>
      </w:r>
      <w:r>
        <w:rPr>
          <w:i/>
          <w:color w:val="231F20"/>
          <w:sz w:val="21"/>
        </w:rPr>
        <w:t>або заінтересованої особи добросовісно й розумно, не перевищуючи своїх повноважень.</w:t>
      </w:r>
    </w:p>
    <w:p w14:paraId="4B0B06E2" w14:textId="77777777" w:rsidR="00DE575E" w:rsidRDefault="002E7560">
      <w:pPr>
        <w:pStyle w:val="BodyText"/>
        <w:spacing w:before="1" w:line="252" w:lineRule="auto"/>
        <w:ind w:left="533" w:right="127" w:firstLine="283"/>
        <w:jc w:val="both"/>
      </w:pPr>
      <w:r>
        <w:rPr>
          <w:color w:val="231F20"/>
        </w:rPr>
        <w:t xml:space="preserve">Повноваження представника </w:t>
      </w:r>
      <w:r>
        <w:rPr>
          <w:color w:val="231F20"/>
          <w:spacing w:val="-3"/>
        </w:rPr>
        <w:t xml:space="preserve">суб’єкта </w:t>
      </w:r>
      <w:r>
        <w:rPr>
          <w:color w:val="231F20"/>
        </w:rPr>
        <w:t xml:space="preserve">звернення або заінте- ресованої особи чинні впродовж </w:t>
      </w:r>
      <w:r>
        <w:rPr>
          <w:color w:val="231F20"/>
          <w:spacing w:val="-3"/>
        </w:rPr>
        <w:t xml:space="preserve">строку, </w:t>
      </w:r>
      <w:r>
        <w:rPr>
          <w:color w:val="231F20"/>
        </w:rPr>
        <w:t>зазначеного  в  довірено- сті або угоді. До закінчення цього строку повноваження представ- ника можуть бути припинені в порядку та випадках, установлених цивільним</w:t>
      </w:r>
      <w:r>
        <w:rPr>
          <w:color w:val="231F20"/>
          <w:spacing w:val="-1"/>
        </w:rPr>
        <w:t xml:space="preserve"> </w:t>
      </w:r>
      <w:r>
        <w:rPr>
          <w:color w:val="231F20"/>
        </w:rPr>
        <w:t>законодавством.</w:t>
      </w:r>
    </w:p>
    <w:p w14:paraId="0113F1EF" w14:textId="77777777" w:rsidR="00DE575E" w:rsidRDefault="00DE575E">
      <w:pPr>
        <w:pStyle w:val="BodyText"/>
        <w:rPr>
          <w:sz w:val="24"/>
        </w:rPr>
      </w:pPr>
    </w:p>
    <w:p w14:paraId="75350B87" w14:textId="77777777" w:rsidR="00DE575E" w:rsidRDefault="00DE575E">
      <w:pPr>
        <w:pStyle w:val="BodyText"/>
        <w:spacing w:before="6"/>
        <w:rPr>
          <w:sz w:val="19"/>
        </w:rPr>
      </w:pPr>
    </w:p>
    <w:p w14:paraId="0F08329B" w14:textId="77777777" w:rsidR="00DE575E" w:rsidRDefault="002E7560">
      <w:pPr>
        <w:pStyle w:val="Heading4"/>
        <w:ind w:left="1797" w:right="1275" w:hanging="101"/>
      </w:pPr>
      <w:r>
        <w:rPr>
          <w:color w:val="231F20"/>
        </w:rPr>
        <w:t>8.5. Стадії адміністративної процедури. Ініціювання та початок провадження</w:t>
      </w:r>
    </w:p>
    <w:p w14:paraId="488A2D5D" w14:textId="77777777" w:rsidR="00DE575E" w:rsidRDefault="00DE575E">
      <w:pPr>
        <w:pStyle w:val="BodyText"/>
        <w:rPr>
          <w:b/>
          <w:sz w:val="26"/>
        </w:rPr>
      </w:pPr>
    </w:p>
    <w:p w14:paraId="77FB2671" w14:textId="77777777" w:rsidR="00DE575E" w:rsidRDefault="002E7560">
      <w:pPr>
        <w:pStyle w:val="BodyText"/>
        <w:spacing w:before="224" w:line="252" w:lineRule="auto"/>
        <w:ind w:left="533" w:right="127" w:firstLine="283"/>
        <w:jc w:val="both"/>
      </w:pPr>
      <w:r>
        <w:rPr>
          <w:color w:val="231F20"/>
          <w:spacing w:val="-3"/>
        </w:rPr>
        <w:t xml:space="preserve">Будь-яке  </w:t>
      </w:r>
      <w:r>
        <w:rPr>
          <w:color w:val="231F20"/>
        </w:rPr>
        <w:t xml:space="preserve">правове  явище  доцільно  розглядати  як  загалом,  так і частинами, що дає можливість якісного усвідомлення цих складо- вих, їхніх взаємозв’язків, послідовності та впливу на формування кінцевого </w:t>
      </w:r>
      <w:r>
        <w:rPr>
          <w:color w:val="231F20"/>
          <w:spacing w:val="-4"/>
        </w:rPr>
        <w:t xml:space="preserve">результату. </w:t>
      </w:r>
      <w:r>
        <w:rPr>
          <w:color w:val="231F20"/>
        </w:rPr>
        <w:t>Не є винятком і адміністративна проц</w:t>
      </w:r>
      <w:r>
        <w:rPr>
          <w:color w:val="231F20"/>
        </w:rPr>
        <w:t xml:space="preserve">едура, яка, з </w:t>
      </w:r>
      <w:r>
        <w:rPr>
          <w:color w:val="231F20"/>
          <w:spacing w:val="-3"/>
        </w:rPr>
        <w:t xml:space="preserve">огляду </w:t>
      </w:r>
      <w:r>
        <w:rPr>
          <w:color w:val="231F20"/>
        </w:rPr>
        <w:t xml:space="preserve">на її сутність і багатоплановість, є сукупністю певних складників. </w:t>
      </w:r>
      <w:r>
        <w:rPr>
          <w:color w:val="231F20"/>
          <w:spacing w:val="-5"/>
        </w:rPr>
        <w:t xml:space="preserve">Також </w:t>
      </w:r>
      <w:r>
        <w:rPr>
          <w:color w:val="231F20"/>
        </w:rPr>
        <w:t>слід розуміти, що сам термін «</w:t>
      </w:r>
      <w:r>
        <w:rPr>
          <w:i/>
          <w:color w:val="231F20"/>
        </w:rPr>
        <w:t>адміністративна процедура</w:t>
      </w:r>
      <w:r>
        <w:rPr>
          <w:color w:val="231F20"/>
        </w:rPr>
        <w:t>»</w:t>
      </w:r>
      <w:r>
        <w:rPr>
          <w:color w:val="231F20"/>
          <w:spacing w:val="-15"/>
        </w:rPr>
        <w:t xml:space="preserve"> </w:t>
      </w:r>
      <w:r>
        <w:rPr>
          <w:color w:val="231F20"/>
        </w:rPr>
        <w:t>є</w:t>
      </w:r>
      <w:r>
        <w:rPr>
          <w:color w:val="231F20"/>
          <w:spacing w:val="-15"/>
        </w:rPr>
        <w:t xml:space="preserve"> </w:t>
      </w:r>
      <w:r>
        <w:rPr>
          <w:color w:val="231F20"/>
        </w:rPr>
        <w:t>певного</w:t>
      </w:r>
      <w:r>
        <w:rPr>
          <w:color w:val="231F20"/>
          <w:spacing w:val="-15"/>
        </w:rPr>
        <w:t xml:space="preserve"> </w:t>
      </w:r>
      <w:r>
        <w:rPr>
          <w:color w:val="231F20"/>
        </w:rPr>
        <w:t>роду</w:t>
      </w:r>
      <w:r>
        <w:rPr>
          <w:color w:val="231F20"/>
          <w:spacing w:val="-15"/>
        </w:rPr>
        <w:t xml:space="preserve"> </w:t>
      </w:r>
      <w:r>
        <w:rPr>
          <w:color w:val="231F20"/>
        </w:rPr>
        <w:t>узагальненням,</w:t>
      </w:r>
      <w:r>
        <w:rPr>
          <w:color w:val="231F20"/>
          <w:spacing w:val="-16"/>
        </w:rPr>
        <w:t xml:space="preserve"> </w:t>
      </w:r>
      <w:r>
        <w:rPr>
          <w:color w:val="231F20"/>
        </w:rPr>
        <w:t>яке</w:t>
      </w:r>
      <w:r>
        <w:rPr>
          <w:color w:val="231F20"/>
          <w:spacing w:val="-15"/>
        </w:rPr>
        <w:t xml:space="preserve"> </w:t>
      </w:r>
      <w:r>
        <w:rPr>
          <w:color w:val="231F20"/>
        </w:rPr>
        <w:t>містить</w:t>
      </w:r>
      <w:r>
        <w:rPr>
          <w:color w:val="231F20"/>
          <w:spacing w:val="-15"/>
        </w:rPr>
        <w:t xml:space="preserve"> </w:t>
      </w:r>
      <w:r>
        <w:rPr>
          <w:color w:val="231F20"/>
        </w:rPr>
        <w:t>ту</w:t>
      </w:r>
      <w:r>
        <w:rPr>
          <w:color w:val="231F20"/>
          <w:spacing w:val="-15"/>
        </w:rPr>
        <w:t xml:space="preserve"> </w:t>
      </w:r>
      <w:r>
        <w:rPr>
          <w:color w:val="231F20"/>
        </w:rPr>
        <w:t>саму</w:t>
      </w:r>
      <w:r>
        <w:rPr>
          <w:color w:val="231F20"/>
          <w:spacing w:val="-15"/>
        </w:rPr>
        <w:t xml:space="preserve"> </w:t>
      </w:r>
      <w:r>
        <w:rPr>
          <w:color w:val="231F20"/>
        </w:rPr>
        <w:t>сукуп- ність складових частин, що лише у взаємодії, у п</w:t>
      </w:r>
      <w:r>
        <w:rPr>
          <w:color w:val="231F20"/>
        </w:rPr>
        <w:t>евній послідовності виникнення, зміни та припинення призводить до функціонування певного організаційно-правового</w:t>
      </w:r>
      <w:r>
        <w:rPr>
          <w:color w:val="231F20"/>
          <w:spacing w:val="-2"/>
        </w:rPr>
        <w:t xml:space="preserve"> </w:t>
      </w:r>
      <w:r>
        <w:rPr>
          <w:color w:val="231F20"/>
          <w:spacing w:val="-3"/>
        </w:rPr>
        <w:t>механізму.</w:t>
      </w:r>
    </w:p>
    <w:p w14:paraId="78FEBF33" w14:textId="77777777" w:rsidR="00DE575E" w:rsidRDefault="002E7560">
      <w:pPr>
        <w:pStyle w:val="BodyText"/>
        <w:spacing w:before="5" w:line="252" w:lineRule="auto"/>
        <w:ind w:left="533" w:right="128" w:firstLine="283"/>
        <w:jc w:val="both"/>
      </w:pPr>
      <w:r>
        <w:rPr>
          <w:color w:val="231F20"/>
        </w:rPr>
        <w:t xml:space="preserve">Без </w:t>
      </w:r>
      <w:r>
        <w:rPr>
          <w:color w:val="231F20"/>
          <w:spacing w:val="-3"/>
        </w:rPr>
        <w:t xml:space="preserve">сумніву, </w:t>
      </w:r>
      <w:r>
        <w:rPr>
          <w:color w:val="231F20"/>
        </w:rPr>
        <w:t xml:space="preserve">дрібніші частини заявної адміністративної проце- дури </w:t>
      </w:r>
      <w:r>
        <w:rPr>
          <w:color w:val="231F20"/>
          <w:spacing w:val="-3"/>
        </w:rPr>
        <w:t xml:space="preserve">будуть, </w:t>
      </w:r>
      <w:r>
        <w:rPr>
          <w:color w:val="231F20"/>
        </w:rPr>
        <w:t>скажімо, відрізнятися від складників втручальної адмі- ні</w:t>
      </w:r>
      <w:r>
        <w:rPr>
          <w:color w:val="231F20"/>
        </w:rPr>
        <w:t>стративної процедури. Водночас, розуміючи та підкреслюючи, що всі зазначені варіанти – це все ж таки варіанти адміністративних процедур, постає питання аналізу складових частин цього право- вого</w:t>
      </w:r>
      <w:r>
        <w:rPr>
          <w:color w:val="231F20"/>
          <w:spacing w:val="-9"/>
        </w:rPr>
        <w:t xml:space="preserve"> </w:t>
      </w:r>
      <w:r>
        <w:rPr>
          <w:color w:val="231F20"/>
          <w:spacing w:val="-3"/>
        </w:rPr>
        <w:t>феномену.</w:t>
      </w:r>
      <w:r>
        <w:rPr>
          <w:color w:val="231F20"/>
          <w:spacing w:val="-9"/>
        </w:rPr>
        <w:t xml:space="preserve"> </w:t>
      </w:r>
      <w:r>
        <w:rPr>
          <w:color w:val="231F20"/>
        </w:rPr>
        <w:t>Передусім</w:t>
      </w:r>
      <w:r>
        <w:rPr>
          <w:color w:val="231F20"/>
          <w:spacing w:val="-9"/>
        </w:rPr>
        <w:t xml:space="preserve"> </w:t>
      </w:r>
      <w:r>
        <w:rPr>
          <w:color w:val="231F20"/>
        </w:rPr>
        <w:t>цими</w:t>
      </w:r>
      <w:r>
        <w:rPr>
          <w:color w:val="231F20"/>
          <w:spacing w:val="-9"/>
        </w:rPr>
        <w:t xml:space="preserve"> </w:t>
      </w:r>
      <w:r>
        <w:rPr>
          <w:color w:val="231F20"/>
        </w:rPr>
        <w:t>складниками</w:t>
      </w:r>
      <w:r>
        <w:rPr>
          <w:color w:val="231F20"/>
          <w:spacing w:val="-9"/>
        </w:rPr>
        <w:t xml:space="preserve"> </w:t>
      </w:r>
      <w:r>
        <w:rPr>
          <w:color w:val="231F20"/>
        </w:rPr>
        <w:t>є</w:t>
      </w:r>
      <w:r>
        <w:rPr>
          <w:color w:val="231F20"/>
          <w:spacing w:val="-8"/>
        </w:rPr>
        <w:t xml:space="preserve"> </w:t>
      </w:r>
      <w:r>
        <w:rPr>
          <w:color w:val="231F20"/>
        </w:rPr>
        <w:t>стадії</w:t>
      </w:r>
      <w:r>
        <w:rPr>
          <w:color w:val="231F20"/>
          <w:spacing w:val="-9"/>
        </w:rPr>
        <w:t xml:space="preserve"> </w:t>
      </w:r>
      <w:r>
        <w:rPr>
          <w:color w:val="231F20"/>
        </w:rPr>
        <w:t xml:space="preserve">адміністратив- </w:t>
      </w:r>
      <w:r>
        <w:rPr>
          <w:color w:val="231F20"/>
        </w:rPr>
        <w:t>ної процедури.</w:t>
      </w:r>
    </w:p>
    <w:p w14:paraId="5FF9F4FF" w14:textId="77777777" w:rsidR="00DE575E" w:rsidRDefault="002E7560">
      <w:pPr>
        <w:spacing w:before="3" w:line="252" w:lineRule="auto"/>
        <w:ind w:left="533" w:right="128" w:firstLine="283"/>
        <w:jc w:val="both"/>
        <w:rPr>
          <w:i/>
          <w:sz w:val="21"/>
        </w:rPr>
      </w:pPr>
      <w:r>
        <w:rPr>
          <w:b/>
          <w:i/>
          <w:color w:val="231F20"/>
          <w:sz w:val="21"/>
        </w:rPr>
        <w:t xml:space="preserve">Стадії адміністративної процедури </w:t>
      </w:r>
      <w:r>
        <w:rPr>
          <w:i/>
          <w:color w:val="231F20"/>
          <w:sz w:val="21"/>
        </w:rPr>
        <w:t>– це послідовно взаємо- замінні операції, що логічно пов’язані між собою та спрямовані на забезпечення здійснення адміністративної процедури.</w:t>
      </w:r>
    </w:p>
    <w:p w14:paraId="1338C304" w14:textId="77777777" w:rsidR="00DE575E" w:rsidRDefault="002E7560">
      <w:pPr>
        <w:spacing w:before="2"/>
        <w:ind w:left="817"/>
        <w:rPr>
          <w:i/>
          <w:sz w:val="21"/>
        </w:rPr>
      </w:pPr>
      <w:r>
        <w:rPr>
          <w:i/>
          <w:color w:val="231F20"/>
          <w:sz w:val="21"/>
        </w:rPr>
        <w:t xml:space="preserve">Стадіям адміністративної процедури властиві такі </w:t>
      </w:r>
      <w:r>
        <w:rPr>
          <w:b/>
          <w:i/>
          <w:color w:val="231F20"/>
          <w:sz w:val="21"/>
        </w:rPr>
        <w:t>ознаки</w:t>
      </w:r>
      <w:r>
        <w:rPr>
          <w:i/>
          <w:color w:val="231F20"/>
          <w:sz w:val="21"/>
        </w:rPr>
        <w:t>:</w:t>
      </w:r>
    </w:p>
    <w:p w14:paraId="039E24E8" w14:textId="77777777" w:rsidR="00DE575E" w:rsidRDefault="002E7560">
      <w:pPr>
        <w:pStyle w:val="ListParagraph"/>
        <w:numPr>
          <w:ilvl w:val="0"/>
          <w:numId w:val="142"/>
        </w:numPr>
        <w:tabs>
          <w:tab w:val="left" w:pos="1101"/>
        </w:tabs>
        <w:spacing w:before="13" w:line="252" w:lineRule="auto"/>
        <w:ind w:right="128" w:firstLine="284"/>
        <w:rPr>
          <w:sz w:val="21"/>
        </w:rPr>
      </w:pPr>
      <w:r>
        <w:rPr>
          <w:color w:val="231F20"/>
          <w:sz w:val="21"/>
        </w:rPr>
        <w:t xml:space="preserve">це сукупність логічно пов’язаних дій </w:t>
      </w:r>
      <w:r>
        <w:rPr>
          <w:color w:val="231F20"/>
          <w:spacing w:val="-3"/>
          <w:sz w:val="21"/>
        </w:rPr>
        <w:t xml:space="preserve">органу, </w:t>
      </w:r>
      <w:r>
        <w:rPr>
          <w:color w:val="231F20"/>
          <w:sz w:val="21"/>
        </w:rPr>
        <w:t>вони завершу- ються досягненням певної поточної</w:t>
      </w:r>
      <w:r>
        <w:rPr>
          <w:color w:val="231F20"/>
          <w:spacing w:val="-4"/>
          <w:sz w:val="21"/>
        </w:rPr>
        <w:t xml:space="preserve"> </w:t>
      </w:r>
      <w:r>
        <w:rPr>
          <w:color w:val="231F20"/>
          <w:sz w:val="21"/>
        </w:rPr>
        <w:t>мети;</w:t>
      </w:r>
    </w:p>
    <w:p w14:paraId="64FA9173" w14:textId="77777777" w:rsidR="00DE575E" w:rsidRDefault="002E7560">
      <w:pPr>
        <w:pStyle w:val="ListParagraph"/>
        <w:numPr>
          <w:ilvl w:val="0"/>
          <w:numId w:val="142"/>
        </w:numPr>
        <w:tabs>
          <w:tab w:val="left" w:pos="1101"/>
        </w:tabs>
        <w:spacing w:before="0" w:line="252" w:lineRule="auto"/>
        <w:ind w:right="128" w:firstLine="284"/>
        <w:rPr>
          <w:sz w:val="21"/>
        </w:rPr>
      </w:pPr>
      <w:r>
        <w:rPr>
          <w:color w:val="231F20"/>
          <w:sz w:val="21"/>
        </w:rPr>
        <w:t>є неоднаковими за кількістю та переліком учасників</w:t>
      </w:r>
      <w:r>
        <w:rPr>
          <w:color w:val="231F20"/>
          <w:spacing w:val="-30"/>
          <w:sz w:val="21"/>
        </w:rPr>
        <w:t xml:space="preserve"> </w:t>
      </w:r>
      <w:r>
        <w:rPr>
          <w:color w:val="231F20"/>
          <w:sz w:val="21"/>
        </w:rPr>
        <w:t>адмініст- ративної</w:t>
      </w:r>
      <w:r>
        <w:rPr>
          <w:color w:val="231F20"/>
          <w:spacing w:val="-2"/>
          <w:sz w:val="21"/>
        </w:rPr>
        <w:t xml:space="preserve"> </w:t>
      </w:r>
      <w:r>
        <w:rPr>
          <w:color w:val="231F20"/>
          <w:sz w:val="21"/>
        </w:rPr>
        <w:t>процедури;</w:t>
      </w:r>
    </w:p>
    <w:p w14:paraId="7BAAD951" w14:textId="77777777" w:rsidR="00DE575E" w:rsidRDefault="00DE575E">
      <w:pPr>
        <w:pStyle w:val="BodyText"/>
        <w:spacing w:before="8"/>
        <w:rPr>
          <w:sz w:val="12"/>
        </w:rPr>
      </w:pPr>
    </w:p>
    <w:p w14:paraId="645FF1E2" w14:textId="77777777" w:rsidR="00DE575E" w:rsidRDefault="002E7560">
      <w:pPr>
        <w:spacing w:before="91"/>
        <w:ind w:left="533"/>
        <w:rPr>
          <w:rFonts w:ascii="Times New Roman"/>
          <w:sz w:val="20"/>
        </w:rPr>
      </w:pPr>
      <w:r>
        <w:rPr>
          <w:rFonts w:ascii="Times New Roman"/>
          <w:color w:val="231F20"/>
          <w:sz w:val="20"/>
        </w:rPr>
        <w:t>310</w:t>
      </w:r>
    </w:p>
    <w:p w14:paraId="4FCF55E0" w14:textId="77777777" w:rsidR="00DE575E" w:rsidRDefault="00DE575E">
      <w:pPr>
        <w:rPr>
          <w:rFonts w:ascii="Times New Roman"/>
          <w:sz w:val="20"/>
        </w:rPr>
        <w:sectPr w:rsidR="00DE575E">
          <w:pgSz w:w="8510" w:h="12760"/>
          <w:pgMar w:top="660" w:right="720" w:bottom="280" w:left="600" w:header="720" w:footer="720" w:gutter="0"/>
          <w:cols w:space="720"/>
        </w:sectPr>
      </w:pPr>
    </w:p>
    <w:p w14:paraId="601E45FE"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w:t>
      </w:r>
      <w:r>
        <w:rPr>
          <w:rFonts w:ascii="AdonisC" w:hAnsi="AdonisC"/>
          <w:i/>
          <w:color w:val="231F20"/>
          <w:sz w:val="18"/>
        </w:rPr>
        <w:t>тративна процедура</w:t>
      </w:r>
    </w:p>
    <w:p w14:paraId="04701664" w14:textId="17F38F1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FE680AB" wp14:editId="5A76BB12">
                <wp:extent cx="4140200" cy="6350"/>
                <wp:effectExtent l="0" t="0" r="12700" b="6350"/>
                <wp:docPr id="635"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36" name="Line 6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DD1726" id="Group_x0020_6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8xLPV34CAACYBQAADgAA&#10;AAAAAAAAAAAAAAAsAgAAZHJzL2Uyb0RvYy54bWxQSwECLQAUAAYACAAAACEATKewkNkAAAADAQAA&#10;DwAAAAAAAAAAAAAAAADWBAAAZHJzL2Rvd25yZXYueG1sUEsFBgAAAAAEAAQA8wAAANwFAAAAAA==&#10;">
                <v:line id="Line_x0020_6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dzQsYAAADcAAAADwAAAGRycy9kb3ducmV2LnhtbESP0WrCQBRE3wX/YbmCL1I3bSBIdJUi&#10;CKUP2pp+wDV7TUJ378bsamK/vlso+DjMzBlmtRmsETfqfONYwfM8AUFcOt1wpeCr2D0tQPiArNE4&#10;JgV38rBZj0crzLXr+ZNux1CJCGGfo4I6hDaX0pc1WfRz1xJH7+w6iyHKrpK6wz7CrZEvSZJJiw3H&#10;hRpb2tZUfh+vVkFxmQXzcXg3fXE4pfJ02ac/171S08nwugQRaAiP8H/7TSvI0gz+zsQj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nc0LGAAAA3AAAAA8AAAAAAAAA&#10;AAAAAAAAoQIAAGRycy9kb3ducmV2LnhtbFBLBQYAAAAABAAEAPkAAACUAwAAAAA=&#10;" strokecolor="#231f20" strokeweight=".5pt"/>
                <w10:anchorlock/>
              </v:group>
            </w:pict>
          </mc:Fallback>
        </mc:AlternateContent>
      </w:r>
    </w:p>
    <w:p w14:paraId="5B17AA22" w14:textId="77777777" w:rsidR="00DE575E" w:rsidRDefault="00DE575E">
      <w:pPr>
        <w:pStyle w:val="BodyText"/>
        <w:spacing w:before="7"/>
        <w:rPr>
          <w:rFonts w:ascii="AdonisC"/>
          <w:i/>
          <w:sz w:val="19"/>
        </w:rPr>
      </w:pPr>
    </w:p>
    <w:p w14:paraId="35E6AFD8" w14:textId="77777777" w:rsidR="00DE575E" w:rsidRDefault="002E7560">
      <w:pPr>
        <w:pStyle w:val="BodyText"/>
        <w:spacing w:before="1"/>
        <w:ind w:left="533"/>
      </w:pPr>
      <w:r>
        <w:rPr>
          <w:rFonts w:ascii="Wingdings" w:hAnsi="Wingdings"/>
          <w:color w:val="231F20"/>
        </w:rPr>
        <w:t></w:t>
      </w:r>
      <w:r>
        <w:rPr>
          <w:rFonts w:ascii="Times New Roman" w:hAnsi="Times New Roman"/>
          <w:color w:val="231F20"/>
        </w:rPr>
        <w:t xml:space="preserve"> </w:t>
      </w:r>
      <w:r>
        <w:rPr>
          <w:color w:val="231F20"/>
        </w:rPr>
        <w:t>складаються з певних етапів та безпосередніх дій.</w:t>
      </w:r>
    </w:p>
    <w:p w14:paraId="6DF4D4F9" w14:textId="77777777" w:rsidR="00DE575E" w:rsidRDefault="002E7560">
      <w:pPr>
        <w:pStyle w:val="BodyText"/>
        <w:spacing w:before="12" w:line="252" w:lineRule="auto"/>
        <w:ind w:left="250" w:right="521" w:firstLine="283"/>
      </w:pPr>
      <w:r>
        <w:rPr>
          <w:color w:val="231F20"/>
        </w:rPr>
        <w:t>Доцільно виокремлювати такі стадії адміністративної проце- дури:</w:t>
      </w:r>
    </w:p>
    <w:p w14:paraId="649B36B0" w14:textId="77777777" w:rsidR="00DE575E" w:rsidRDefault="002E7560">
      <w:pPr>
        <w:pStyle w:val="ListParagraph"/>
        <w:numPr>
          <w:ilvl w:val="0"/>
          <w:numId w:val="141"/>
        </w:numPr>
        <w:tabs>
          <w:tab w:val="left" w:pos="818"/>
        </w:tabs>
        <w:ind w:firstLine="283"/>
        <w:rPr>
          <w:sz w:val="21"/>
        </w:rPr>
      </w:pPr>
      <w:r>
        <w:rPr>
          <w:color w:val="231F20"/>
          <w:sz w:val="21"/>
        </w:rPr>
        <w:t>підготовка справи до</w:t>
      </w:r>
      <w:r>
        <w:rPr>
          <w:color w:val="231F20"/>
          <w:spacing w:val="-2"/>
          <w:sz w:val="21"/>
        </w:rPr>
        <w:t xml:space="preserve"> </w:t>
      </w:r>
      <w:r>
        <w:rPr>
          <w:color w:val="231F20"/>
          <w:spacing w:val="-3"/>
          <w:sz w:val="21"/>
        </w:rPr>
        <w:t>розгляду;</w:t>
      </w:r>
    </w:p>
    <w:p w14:paraId="318DDCDF" w14:textId="77777777" w:rsidR="00DE575E" w:rsidRDefault="002E7560">
      <w:pPr>
        <w:pStyle w:val="ListParagraph"/>
        <w:numPr>
          <w:ilvl w:val="0"/>
          <w:numId w:val="141"/>
        </w:numPr>
        <w:tabs>
          <w:tab w:val="left" w:pos="818"/>
        </w:tabs>
        <w:spacing w:before="13"/>
        <w:ind w:firstLine="283"/>
        <w:rPr>
          <w:sz w:val="21"/>
        </w:rPr>
      </w:pPr>
      <w:r>
        <w:rPr>
          <w:color w:val="231F20"/>
          <w:spacing w:val="-3"/>
          <w:sz w:val="21"/>
        </w:rPr>
        <w:t xml:space="preserve">розгляд </w:t>
      </w:r>
      <w:r>
        <w:rPr>
          <w:color w:val="231F20"/>
          <w:sz w:val="21"/>
        </w:rPr>
        <w:t>і вирішення справи;</w:t>
      </w:r>
    </w:p>
    <w:p w14:paraId="2A5F362C" w14:textId="77777777" w:rsidR="00DE575E" w:rsidRDefault="002E7560">
      <w:pPr>
        <w:pStyle w:val="ListParagraph"/>
        <w:numPr>
          <w:ilvl w:val="0"/>
          <w:numId w:val="141"/>
        </w:numPr>
        <w:tabs>
          <w:tab w:val="left" w:pos="818"/>
        </w:tabs>
        <w:spacing w:before="13" w:line="252" w:lineRule="auto"/>
        <w:ind w:right="413" w:firstLine="283"/>
        <w:rPr>
          <w:sz w:val="21"/>
        </w:rPr>
      </w:pPr>
      <w:r>
        <w:rPr>
          <w:color w:val="231F20"/>
          <w:sz w:val="21"/>
        </w:rPr>
        <w:t>оформлення адміністративного акта, його доведення до відома адресатів та заінтересованих</w:t>
      </w:r>
      <w:r>
        <w:rPr>
          <w:color w:val="231F20"/>
          <w:spacing w:val="-4"/>
          <w:sz w:val="21"/>
        </w:rPr>
        <w:t xml:space="preserve"> </w:t>
      </w:r>
      <w:r>
        <w:rPr>
          <w:color w:val="231F20"/>
          <w:sz w:val="21"/>
        </w:rPr>
        <w:t>осіб;</w:t>
      </w:r>
    </w:p>
    <w:p w14:paraId="21AE03B0" w14:textId="77777777" w:rsidR="00DE575E" w:rsidRDefault="002E7560">
      <w:pPr>
        <w:pStyle w:val="ListParagraph"/>
        <w:numPr>
          <w:ilvl w:val="0"/>
          <w:numId w:val="141"/>
        </w:numPr>
        <w:tabs>
          <w:tab w:val="left" w:pos="818"/>
        </w:tabs>
        <w:ind w:firstLine="283"/>
        <w:rPr>
          <w:sz w:val="21"/>
        </w:rPr>
      </w:pPr>
      <w:r>
        <w:rPr>
          <w:color w:val="231F20"/>
          <w:sz w:val="21"/>
        </w:rPr>
        <w:t>перегляд адміністративного</w:t>
      </w:r>
      <w:r>
        <w:rPr>
          <w:color w:val="231F20"/>
          <w:spacing w:val="-3"/>
          <w:sz w:val="21"/>
        </w:rPr>
        <w:t xml:space="preserve"> </w:t>
      </w:r>
      <w:r>
        <w:rPr>
          <w:color w:val="231F20"/>
          <w:sz w:val="21"/>
        </w:rPr>
        <w:t>акта.</w:t>
      </w:r>
    </w:p>
    <w:p w14:paraId="2BD03847" w14:textId="77777777" w:rsidR="00DE575E" w:rsidRDefault="00DE575E">
      <w:pPr>
        <w:pStyle w:val="BodyText"/>
        <w:spacing w:before="1"/>
        <w:rPr>
          <w:sz w:val="23"/>
        </w:rPr>
      </w:pPr>
    </w:p>
    <w:p w14:paraId="6E0BBE40" w14:textId="77777777" w:rsidR="00DE575E" w:rsidRDefault="002E7560">
      <w:pPr>
        <w:pStyle w:val="Heading5"/>
      </w:pPr>
      <w:r>
        <w:rPr>
          <w:color w:val="231F20"/>
        </w:rPr>
        <w:t>8.5.1. Підготовка справи до розгляду</w:t>
      </w:r>
    </w:p>
    <w:p w14:paraId="538EA1DF" w14:textId="77777777" w:rsidR="00DE575E" w:rsidRDefault="00DE575E">
      <w:pPr>
        <w:pStyle w:val="BodyText"/>
        <w:spacing w:before="2"/>
        <w:rPr>
          <w:b/>
          <w:sz w:val="23"/>
        </w:rPr>
      </w:pPr>
    </w:p>
    <w:p w14:paraId="21E4D556" w14:textId="77777777" w:rsidR="00DE575E" w:rsidRDefault="002E7560">
      <w:pPr>
        <w:spacing w:line="252" w:lineRule="auto"/>
        <w:ind w:left="250" w:right="410" w:firstLine="283"/>
        <w:jc w:val="both"/>
        <w:rPr>
          <w:sz w:val="21"/>
        </w:rPr>
      </w:pPr>
      <w:r>
        <w:rPr>
          <w:color w:val="231F20"/>
          <w:sz w:val="21"/>
        </w:rPr>
        <w:t xml:space="preserve">Адміністративна процедура ініціюється </w:t>
      </w:r>
      <w:r>
        <w:rPr>
          <w:b/>
          <w:i/>
          <w:color w:val="231F20"/>
          <w:sz w:val="21"/>
        </w:rPr>
        <w:t xml:space="preserve">за заявою особи </w:t>
      </w:r>
      <w:r>
        <w:rPr>
          <w:color w:val="231F20"/>
          <w:sz w:val="21"/>
        </w:rPr>
        <w:t>щодо забезпечення реалізації та захисту своїх прав і законних інтересів,  а також виконання визначених законом обов’язків (</w:t>
      </w:r>
      <w:r>
        <w:rPr>
          <w:i/>
          <w:color w:val="231F20"/>
          <w:sz w:val="21"/>
        </w:rPr>
        <w:t>заявна адмі- ністративна процедура</w:t>
      </w:r>
      <w:r>
        <w:rPr>
          <w:color w:val="231F20"/>
          <w:sz w:val="21"/>
        </w:rPr>
        <w:t>); за ініціативою адміністративного органу в порядку здійснення ним контрольних повноважень (</w:t>
      </w:r>
      <w:r>
        <w:rPr>
          <w:i/>
          <w:color w:val="231F20"/>
          <w:sz w:val="21"/>
        </w:rPr>
        <w:t>втруча</w:t>
      </w:r>
      <w:r>
        <w:rPr>
          <w:i/>
          <w:color w:val="231F20"/>
          <w:sz w:val="21"/>
        </w:rPr>
        <w:t>льна адміністративна</w:t>
      </w:r>
      <w:r>
        <w:rPr>
          <w:i/>
          <w:color w:val="231F20"/>
          <w:spacing w:val="-2"/>
          <w:sz w:val="21"/>
        </w:rPr>
        <w:t xml:space="preserve"> </w:t>
      </w:r>
      <w:r>
        <w:rPr>
          <w:i/>
          <w:color w:val="231F20"/>
          <w:sz w:val="21"/>
        </w:rPr>
        <w:t>процедура</w:t>
      </w:r>
      <w:r>
        <w:rPr>
          <w:color w:val="231F20"/>
          <w:sz w:val="21"/>
        </w:rPr>
        <w:t>).</w:t>
      </w:r>
    </w:p>
    <w:p w14:paraId="62D8F83E" w14:textId="77777777" w:rsidR="00DE575E" w:rsidRDefault="002E7560">
      <w:pPr>
        <w:pStyle w:val="BodyText"/>
        <w:spacing w:before="3" w:line="252" w:lineRule="auto"/>
        <w:ind w:left="250" w:right="409" w:firstLine="283"/>
        <w:jc w:val="both"/>
      </w:pPr>
      <w:r>
        <w:rPr>
          <w:b/>
          <w:i/>
          <w:color w:val="231F20"/>
          <w:spacing w:val="-3"/>
        </w:rPr>
        <w:t xml:space="preserve">Заява подається </w:t>
      </w:r>
      <w:r>
        <w:rPr>
          <w:b/>
          <w:i/>
          <w:color w:val="231F20"/>
        </w:rPr>
        <w:t xml:space="preserve">в </w:t>
      </w:r>
      <w:r>
        <w:rPr>
          <w:b/>
          <w:i/>
          <w:color w:val="231F20"/>
          <w:spacing w:val="-3"/>
        </w:rPr>
        <w:t xml:space="preserve">усній </w:t>
      </w:r>
      <w:r>
        <w:rPr>
          <w:b/>
          <w:i/>
          <w:color w:val="231F20"/>
        </w:rPr>
        <w:t xml:space="preserve">чи </w:t>
      </w:r>
      <w:r>
        <w:rPr>
          <w:b/>
          <w:i/>
          <w:color w:val="231F20"/>
          <w:spacing w:val="-3"/>
        </w:rPr>
        <w:t>письмовій формі</w:t>
      </w:r>
      <w:r>
        <w:rPr>
          <w:i/>
          <w:color w:val="231F20"/>
          <w:spacing w:val="-3"/>
        </w:rPr>
        <w:t xml:space="preserve">. </w:t>
      </w:r>
      <w:r>
        <w:rPr>
          <w:i/>
          <w:color w:val="231F20"/>
          <w:spacing w:val="-7"/>
        </w:rPr>
        <w:t xml:space="preserve">Усна </w:t>
      </w:r>
      <w:r>
        <w:rPr>
          <w:i/>
          <w:color w:val="231F20"/>
          <w:spacing w:val="-3"/>
        </w:rPr>
        <w:t xml:space="preserve">заява </w:t>
      </w:r>
      <w:r>
        <w:rPr>
          <w:color w:val="231F20"/>
        </w:rPr>
        <w:t xml:space="preserve">викла- </w:t>
      </w:r>
      <w:r>
        <w:rPr>
          <w:color w:val="231F20"/>
          <w:spacing w:val="-3"/>
        </w:rPr>
        <w:t xml:space="preserve">дається заявником </w:t>
      </w:r>
      <w:r>
        <w:rPr>
          <w:color w:val="231F20"/>
        </w:rPr>
        <w:t xml:space="preserve">під час </w:t>
      </w:r>
      <w:r>
        <w:rPr>
          <w:color w:val="231F20"/>
          <w:spacing w:val="-3"/>
        </w:rPr>
        <w:t xml:space="preserve">особистого прийому </w:t>
      </w:r>
      <w:r>
        <w:rPr>
          <w:color w:val="231F20"/>
        </w:rPr>
        <w:t xml:space="preserve">і </w:t>
      </w:r>
      <w:r>
        <w:rPr>
          <w:color w:val="231F20"/>
          <w:spacing w:val="-4"/>
        </w:rPr>
        <w:t xml:space="preserve">фіксується </w:t>
      </w:r>
      <w:r>
        <w:rPr>
          <w:color w:val="231F20"/>
        </w:rPr>
        <w:t xml:space="preserve">з </w:t>
      </w:r>
      <w:r>
        <w:rPr>
          <w:color w:val="231F20"/>
          <w:spacing w:val="-3"/>
        </w:rPr>
        <w:t xml:space="preserve">дотри- манням вимог посадовою </w:t>
      </w:r>
      <w:r>
        <w:rPr>
          <w:color w:val="231F20"/>
        </w:rPr>
        <w:t xml:space="preserve">чи </w:t>
      </w:r>
      <w:r>
        <w:rPr>
          <w:color w:val="231F20"/>
          <w:spacing w:val="-3"/>
        </w:rPr>
        <w:t xml:space="preserve">службовою </w:t>
      </w:r>
      <w:r>
        <w:rPr>
          <w:color w:val="231F20"/>
        </w:rPr>
        <w:t xml:space="preserve">особою </w:t>
      </w:r>
      <w:r>
        <w:rPr>
          <w:color w:val="231F20"/>
          <w:spacing w:val="-3"/>
        </w:rPr>
        <w:t xml:space="preserve">адміністративного </w:t>
      </w:r>
      <w:r>
        <w:rPr>
          <w:color w:val="231F20"/>
          <w:spacing w:val="-5"/>
        </w:rPr>
        <w:t xml:space="preserve">органу, </w:t>
      </w:r>
      <w:r>
        <w:rPr>
          <w:color w:val="231F20"/>
        </w:rPr>
        <w:t xml:space="preserve">яка </w:t>
      </w:r>
      <w:r>
        <w:rPr>
          <w:color w:val="231F20"/>
          <w:spacing w:val="-4"/>
        </w:rPr>
        <w:t xml:space="preserve">проводить </w:t>
      </w:r>
      <w:r>
        <w:rPr>
          <w:color w:val="231F20"/>
        </w:rPr>
        <w:t xml:space="preserve">особистий </w:t>
      </w:r>
      <w:r>
        <w:rPr>
          <w:color w:val="231F20"/>
          <w:spacing w:val="-3"/>
        </w:rPr>
        <w:t xml:space="preserve">прийом, </w:t>
      </w:r>
      <w:r>
        <w:rPr>
          <w:color w:val="231F20"/>
        </w:rPr>
        <w:t xml:space="preserve">та </w:t>
      </w:r>
      <w:r>
        <w:rPr>
          <w:color w:val="231F20"/>
          <w:spacing w:val="-3"/>
        </w:rPr>
        <w:t xml:space="preserve">підписується </w:t>
      </w:r>
      <w:r>
        <w:rPr>
          <w:color w:val="231F20"/>
          <w:spacing w:val="-4"/>
        </w:rPr>
        <w:t xml:space="preserve">заявником. </w:t>
      </w:r>
      <w:r>
        <w:rPr>
          <w:i/>
          <w:color w:val="231F20"/>
          <w:spacing w:val="-3"/>
        </w:rPr>
        <w:t xml:space="preserve">Письмова заява </w:t>
      </w:r>
      <w:r>
        <w:rPr>
          <w:color w:val="231F20"/>
          <w:spacing w:val="-4"/>
        </w:rPr>
        <w:t xml:space="preserve">подається </w:t>
      </w:r>
      <w:r>
        <w:rPr>
          <w:color w:val="231F20"/>
          <w:spacing w:val="-3"/>
        </w:rPr>
        <w:t xml:space="preserve">адміністративному органу особисто </w:t>
      </w:r>
      <w:r>
        <w:rPr>
          <w:color w:val="231F20"/>
        </w:rPr>
        <w:t xml:space="preserve">заяв- </w:t>
      </w:r>
      <w:r>
        <w:rPr>
          <w:color w:val="231F20"/>
          <w:spacing w:val="-3"/>
        </w:rPr>
        <w:t>ником</w:t>
      </w:r>
      <w:r>
        <w:rPr>
          <w:color w:val="231F20"/>
          <w:spacing w:val="-16"/>
        </w:rPr>
        <w:t xml:space="preserve"> </w:t>
      </w:r>
      <w:r>
        <w:rPr>
          <w:color w:val="231F20"/>
        </w:rPr>
        <w:t>або</w:t>
      </w:r>
      <w:r>
        <w:rPr>
          <w:color w:val="231F20"/>
          <w:spacing w:val="-17"/>
        </w:rPr>
        <w:t xml:space="preserve"> </w:t>
      </w:r>
      <w:r>
        <w:rPr>
          <w:color w:val="231F20"/>
        </w:rPr>
        <w:t>через</w:t>
      </w:r>
      <w:r>
        <w:rPr>
          <w:color w:val="231F20"/>
          <w:spacing w:val="-16"/>
        </w:rPr>
        <w:t xml:space="preserve"> </w:t>
      </w:r>
      <w:r>
        <w:rPr>
          <w:color w:val="231F20"/>
          <w:spacing w:val="-3"/>
        </w:rPr>
        <w:t>представника,</w:t>
      </w:r>
      <w:r>
        <w:rPr>
          <w:color w:val="231F20"/>
          <w:spacing w:val="-17"/>
        </w:rPr>
        <w:t xml:space="preserve"> </w:t>
      </w:r>
      <w:r>
        <w:rPr>
          <w:color w:val="231F20"/>
          <w:spacing w:val="-3"/>
        </w:rPr>
        <w:t>повноваження</w:t>
      </w:r>
      <w:r>
        <w:rPr>
          <w:color w:val="231F20"/>
          <w:spacing w:val="-16"/>
        </w:rPr>
        <w:t xml:space="preserve"> </w:t>
      </w:r>
      <w:r>
        <w:rPr>
          <w:color w:val="231F20"/>
          <w:spacing w:val="-3"/>
        </w:rPr>
        <w:t>якого</w:t>
      </w:r>
      <w:r>
        <w:rPr>
          <w:color w:val="231F20"/>
          <w:spacing w:val="-16"/>
        </w:rPr>
        <w:t xml:space="preserve"> </w:t>
      </w:r>
      <w:r>
        <w:rPr>
          <w:color w:val="231F20"/>
        </w:rPr>
        <w:t>оформлені</w:t>
      </w:r>
      <w:r>
        <w:rPr>
          <w:color w:val="231F20"/>
          <w:spacing w:val="-16"/>
        </w:rPr>
        <w:t xml:space="preserve"> </w:t>
      </w:r>
      <w:r>
        <w:rPr>
          <w:color w:val="231F20"/>
          <w:spacing w:val="-3"/>
        </w:rPr>
        <w:t xml:space="preserve">відпо- відно </w:t>
      </w:r>
      <w:r>
        <w:rPr>
          <w:color w:val="231F20"/>
        </w:rPr>
        <w:t xml:space="preserve">до </w:t>
      </w:r>
      <w:r>
        <w:rPr>
          <w:color w:val="231F20"/>
          <w:spacing w:val="-4"/>
        </w:rPr>
        <w:t xml:space="preserve">законодавства, </w:t>
      </w:r>
      <w:r>
        <w:rPr>
          <w:color w:val="231F20"/>
        </w:rPr>
        <w:t xml:space="preserve">або </w:t>
      </w:r>
      <w:r>
        <w:rPr>
          <w:color w:val="231F20"/>
          <w:spacing w:val="-3"/>
        </w:rPr>
        <w:t>надсилається поштою, зокрема електро- нною,</w:t>
      </w:r>
      <w:r>
        <w:rPr>
          <w:color w:val="231F20"/>
          <w:spacing w:val="-12"/>
        </w:rPr>
        <w:t xml:space="preserve"> </w:t>
      </w:r>
      <w:r>
        <w:rPr>
          <w:color w:val="231F20"/>
        </w:rPr>
        <w:t>чи</w:t>
      </w:r>
      <w:r>
        <w:rPr>
          <w:color w:val="231F20"/>
          <w:spacing w:val="-12"/>
        </w:rPr>
        <w:t xml:space="preserve"> </w:t>
      </w:r>
      <w:r>
        <w:rPr>
          <w:color w:val="231F20"/>
        </w:rPr>
        <w:t>з</w:t>
      </w:r>
      <w:r>
        <w:rPr>
          <w:color w:val="231F20"/>
          <w:spacing w:val="-12"/>
        </w:rPr>
        <w:t xml:space="preserve"> </w:t>
      </w:r>
      <w:r>
        <w:rPr>
          <w:color w:val="231F20"/>
          <w:spacing w:val="-3"/>
        </w:rPr>
        <w:t>використанням</w:t>
      </w:r>
      <w:r>
        <w:rPr>
          <w:color w:val="231F20"/>
          <w:spacing w:val="-12"/>
        </w:rPr>
        <w:t xml:space="preserve"> </w:t>
      </w:r>
      <w:r>
        <w:rPr>
          <w:color w:val="231F20"/>
          <w:spacing w:val="-3"/>
        </w:rPr>
        <w:t>інших</w:t>
      </w:r>
      <w:r>
        <w:rPr>
          <w:color w:val="231F20"/>
          <w:spacing w:val="-12"/>
        </w:rPr>
        <w:t xml:space="preserve"> </w:t>
      </w:r>
      <w:r>
        <w:rPr>
          <w:color w:val="231F20"/>
          <w:spacing w:val="-3"/>
        </w:rPr>
        <w:t>засобів</w:t>
      </w:r>
      <w:r>
        <w:rPr>
          <w:color w:val="231F20"/>
          <w:spacing w:val="-12"/>
        </w:rPr>
        <w:t xml:space="preserve"> </w:t>
      </w:r>
      <w:r>
        <w:rPr>
          <w:color w:val="231F20"/>
          <w:spacing w:val="-3"/>
        </w:rPr>
        <w:t>телекомунікаційного</w:t>
      </w:r>
      <w:r>
        <w:rPr>
          <w:color w:val="231F20"/>
          <w:spacing w:val="-12"/>
        </w:rPr>
        <w:t xml:space="preserve"> </w:t>
      </w:r>
      <w:r>
        <w:rPr>
          <w:color w:val="231F20"/>
          <w:spacing w:val="-5"/>
        </w:rPr>
        <w:t xml:space="preserve">зв’язку. </w:t>
      </w:r>
      <w:r>
        <w:rPr>
          <w:color w:val="231F20"/>
          <w:spacing w:val="-3"/>
        </w:rPr>
        <w:t xml:space="preserve">Заява, </w:t>
      </w:r>
      <w:r>
        <w:rPr>
          <w:color w:val="231F20"/>
        </w:rPr>
        <w:t xml:space="preserve">що </w:t>
      </w:r>
      <w:r>
        <w:rPr>
          <w:color w:val="231F20"/>
          <w:spacing w:val="-4"/>
        </w:rPr>
        <w:t xml:space="preserve">подається </w:t>
      </w:r>
      <w:r>
        <w:rPr>
          <w:i/>
          <w:color w:val="231F20"/>
        </w:rPr>
        <w:t xml:space="preserve">у </w:t>
      </w:r>
      <w:r>
        <w:rPr>
          <w:i/>
          <w:color w:val="231F20"/>
          <w:spacing w:val="-3"/>
        </w:rPr>
        <w:t>формі електронного документа</w:t>
      </w:r>
      <w:r>
        <w:rPr>
          <w:color w:val="231F20"/>
          <w:spacing w:val="-3"/>
        </w:rPr>
        <w:t xml:space="preserve">, </w:t>
      </w:r>
      <w:r>
        <w:rPr>
          <w:color w:val="231F20"/>
        </w:rPr>
        <w:t xml:space="preserve">має </w:t>
      </w:r>
      <w:r>
        <w:rPr>
          <w:color w:val="231F20"/>
          <w:spacing w:val="-3"/>
        </w:rPr>
        <w:t xml:space="preserve">відпові- дати вимогам </w:t>
      </w:r>
      <w:r>
        <w:rPr>
          <w:color w:val="231F20"/>
          <w:spacing w:val="-4"/>
        </w:rPr>
        <w:t xml:space="preserve">законодавства </w:t>
      </w:r>
      <w:r>
        <w:rPr>
          <w:color w:val="231F20"/>
        </w:rPr>
        <w:t xml:space="preserve">про </w:t>
      </w:r>
      <w:r>
        <w:rPr>
          <w:color w:val="231F20"/>
          <w:spacing w:val="-3"/>
        </w:rPr>
        <w:t xml:space="preserve">електронні документи </w:t>
      </w:r>
      <w:r>
        <w:rPr>
          <w:color w:val="231F20"/>
        </w:rPr>
        <w:t xml:space="preserve">та </w:t>
      </w:r>
      <w:r>
        <w:rPr>
          <w:color w:val="231F20"/>
          <w:spacing w:val="-3"/>
        </w:rPr>
        <w:t xml:space="preserve">електрон- </w:t>
      </w:r>
      <w:r>
        <w:rPr>
          <w:color w:val="231F20"/>
        </w:rPr>
        <w:t xml:space="preserve">ний </w:t>
      </w:r>
      <w:r>
        <w:rPr>
          <w:color w:val="231F20"/>
          <w:spacing w:val="-4"/>
        </w:rPr>
        <w:t xml:space="preserve">документообіг. </w:t>
      </w:r>
      <w:r>
        <w:rPr>
          <w:color w:val="231F20"/>
          <w:spacing w:val="-3"/>
        </w:rPr>
        <w:t xml:space="preserve">Форма заяви </w:t>
      </w:r>
      <w:r>
        <w:rPr>
          <w:color w:val="231F20"/>
        </w:rPr>
        <w:t xml:space="preserve">має бути </w:t>
      </w:r>
      <w:r>
        <w:rPr>
          <w:color w:val="231F20"/>
          <w:spacing w:val="-3"/>
        </w:rPr>
        <w:t xml:space="preserve">максимально спрощеною,  </w:t>
      </w:r>
      <w:r>
        <w:rPr>
          <w:color w:val="231F20"/>
        </w:rPr>
        <w:t xml:space="preserve">і </w:t>
      </w:r>
      <w:r>
        <w:rPr>
          <w:color w:val="231F20"/>
          <w:spacing w:val="-3"/>
        </w:rPr>
        <w:t xml:space="preserve">вона, </w:t>
      </w:r>
      <w:r>
        <w:rPr>
          <w:color w:val="231F20"/>
        </w:rPr>
        <w:t xml:space="preserve">як </w:t>
      </w:r>
      <w:r>
        <w:rPr>
          <w:color w:val="231F20"/>
          <w:spacing w:val="-3"/>
        </w:rPr>
        <w:t xml:space="preserve">правило, викладається </w:t>
      </w:r>
      <w:r>
        <w:rPr>
          <w:color w:val="231F20"/>
        </w:rPr>
        <w:t xml:space="preserve">на </w:t>
      </w:r>
      <w:r>
        <w:rPr>
          <w:color w:val="231F20"/>
          <w:spacing w:val="-3"/>
        </w:rPr>
        <w:t xml:space="preserve">бланку </w:t>
      </w:r>
      <w:r>
        <w:rPr>
          <w:color w:val="231F20"/>
        </w:rPr>
        <w:t xml:space="preserve">(в </w:t>
      </w:r>
      <w:r>
        <w:rPr>
          <w:color w:val="231F20"/>
          <w:spacing w:val="-3"/>
        </w:rPr>
        <w:t>анкеті,</w:t>
      </w:r>
      <w:r>
        <w:rPr>
          <w:color w:val="231F20"/>
          <w:spacing w:val="-27"/>
        </w:rPr>
        <w:t xml:space="preserve"> </w:t>
      </w:r>
      <w:r>
        <w:rPr>
          <w:color w:val="231F20"/>
          <w:spacing w:val="-4"/>
        </w:rPr>
        <w:t>формулярі).</w:t>
      </w:r>
    </w:p>
    <w:p w14:paraId="38B83E9C" w14:textId="77777777" w:rsidR="00DE575E" w:rsidRDefault="002E7560">
      <w:pPr>
        <w:pStyle w:val="BodyText"/>
        <w:spacing w:before="6" w:line="252" w:lineRule="auto"/>
        <w:ind w:left="250" w:right="410" w:firstLine="283"/>
        <w:jc w:val="both"/>
      </w:pPr>
      <w:r>
        <w:rPr>
          <w:b/>
          <w:i/>
          <w:color w:val="231F20"/>
        </w:rPr>
        <w:t>Заява подається адміністративному органу</w:t>
      </w:r>
      <w:r>
        <w:rPr>
          <w:color w:val="231F20"/>
        </w:rPr>
        <w:t>, до повноважень якого належить вирішення порушених у ній питань. Заява пода- ється</w:t>
      </w:r>
      <w:r>
        <w:rPr>
          <w:color w:val="231F20"/>
          <w:spacing w:val="-9"/>
        </w:rPr>
        <w:t xml:space="preserve"> </w:t>
      </w:r>
      <w:r>
        <w:rPr>
          <w:color w:val="231F20"/>
        </w:rPr>
        <w:t>разом</w:t>
      </w:r>
      <w:r>
        <w:rPr>
          <w:color w:val="231F20"/>
          <w:spacing w:val="-10"/>
        </w:rPr>
        <w:t xml:space="preserve"> </w:t>
      </w:r>
      <w:r>
        <w:rPr>
          <w:color w:val="231F20"/>
        </w:rPr>
        <w:t>із</w:t>
      </w:r>
      <w:r>
        <w:rPr>
          <w:color w:val="231F20"/>
          <w:spacing w:val="-9"/>
        </w:rPr>
        <w:t xml:space="preserve"> </w:t>
      </w:r>
      <w:r>
        <w:rPr>
          <w:color w:val="231F20"/>
        </w:rPr>
        <w:t>документами,</w:t>
      </w:r>
      <w:r>
        <w:rPr>
          <w:color w:val="231F20"/>
          <w:spacing w:val="-10"/>
        </w:rPr>
        <w:t xml:space="preserve"> </w:t>
      </w:r>
      <w:r>
        <w:rPr>
          <w:color w:val="231F20"/>
        </w:rPr>
        <w:t>необхідними</w:t>
      </w:r>
      <w:r>
        <w:rPr>
          <w:color w:val="231F20"/>
          <w:spacing w:val="-9"/>
        </w:rPr>
        <w:t xml:space="preserve"> </w:t>
      </w:r>
      <w:r>
        <w:rPr>
          <w:color w:val="231F20"/>
        </w:rPr>
        <w:t>для</w:t>
      </w:r>
      <w:r>
        <w:rPr>
          <w:color w:val="231F20"/>
          <w:spacing w:val="-9"/>
        </w:rPr>
        <w:t xml:space="preserve"> </w:t>
      </w:r>
      <w:r>
        <w:rPr>
          <w:color w:val="231F20"/>
        </w:rPr>
        <w:t>її</w:t>
      </w:r>
      <w:r>
        <w:rPr>
          <w:color w:val="231F20"/>
          <w:spacing w:val="-9"/>
        </w:rPr>
        <w:t xml:space="preserve"> </w:t>
      </w:r>
      <w:r>
        <w:rPr>
          <w:color w:val="231F20"/>
          <w:spacing w:val="-4"/>
        </w:rPr>
        <w:t>розгляду,</w:t>
      </w:r>
      <w:r>
        <w:rPr>
          <w:color w:val="231F20"/>
          <w:spacing w:val="-9"/>
        </w:rPr>
        <w:t xml:space="preserve"> </w:t>
      </w:r>
      <w:r>
        <w:rPr>
          <w:color w:val="231F20"/>
        </w:rPr>
        <w:t>або</w:t>
      </w:r>
      <w:r>
        <w:rPr>
          <w:color w:val="231F20"/>
          <w:spacing w:val="-9"/>
        </w:rPr>
        <w:t xml:space="preserve"> </w:t>
      </w:r>
      <w:r>
        <w:rPr>
          <w:color w:val="231F20"/>
        </w:rPr>
        <w:t>їх</w:t>
      </w:r>
      <w:r>
        <w:rPr>
          <w:color w:val="231F20"/>
          <w:spacing w:val="-9"/>
        </w:rPr>
        <w:t xml:space="preserve"> </w:t>
      </w:r>
      <w:r>
        <w:rPr>
          <w:color w:val="231F20"/>
        </w:rPr>
        <w:t>копі- ями. Після ви</w:t>
      </w:r>
      <w:r>
        <w:rPr>
          <w:color w:val="231F20"/>
        </w:rPr>
        <w:t>рішення адміністративної справи, що розглядається  за заявою, оригінали документів повертаються заявникові, якщо інше</w:t>
      </w:r>
      <w:r>
        <w:rPr>
          <w:color w:val="231F20"/>
          <w:spacing w:val="-8"/>
        </w:rPr>
        <w:t xml:space="preserve"> </w:t>
      </w:r>
      <w:r>
        <w:rPr>
          <w:color w:val="231F20"/>
        </w:rPr>
        <w:t>не</w:t>
      </w:r>
      <w:r>
        <w:rPr>
          <w:color w:val="231F20"/>
          <w:spacing w:val="-8"/>
        </w:rPr>
        <w:t xml:space="preserve"> </w:t>
      </w:r>
      <w:r>
        <w:rPr>
          <w:color w:val="231F20"/>
        </w:rPr>
        <w:t>передбачено</w:t>
      </w:r>
      <w:r>
        <w:rPr>
          <w:color w:val="231F20"/>
          <w:spacing w:val="-8"/>
        </w:rPr>
        <w:t xml:space="preserve"> </w:t>
      </w:r>
      <w:r>
        <w:rPr>
          <w:color w:val="231F20"/>
        </w:rPr>
        <w:t>законом.</w:t>
      </w:r>
      <w:r>
        <w:rPr>
          <w:color w:val="231F20"/>
          <w:spacing w:val="-8"/>
        </w:rPr>
        <w:t xml:space="preserve"> </w:t>
      </w:r>
      <w:r>
        <w:rPr>
          <w:color w:val="231F20"/>
        </w:rPr>
        <w:t>Якщо</w:t>
      </w:r>
      <w:r>
        <w:rPr>
          <w:color w:val="231F20"/>
          <w:spacing w:val="-8"/>
        </w:rPr>
        <w:t xml:space="preserve"> </w:t>
      </w:r>
      <w:r>
        <w:rPr>
          <w:color w:val="231F20"/>
        </w:rPr>
        <w:t>заява</w:t>
      </w:r>
      <w:r>
        <w:rPr>
          <w:color w:val="231F20"/>
          <w:spacing w:val="-8"/>
        </w:rPr>
        <w:t xml:space="preserve"> </w:t>
      </w:r>
      <w:r>
        <w:rPr>
          <w:color w:val="231F20"/>
        </w:rPr>
        <w:t>подається</w:t>
      </w:r>
      <w:r>
        <w:rPr>
          <w:color w:val="231F20"/>
          <w:spacing w:val="-8"/>
        </w:rPr>
        <w:t xml:space="preserve"> </w:t>
      </w:r>
      <w:r>
        <w:rPr>
          <w:color w:val="231F20"/>
        </w:rPr>
        <w:t>представником особи, до неї додаються документи, які підтверджують його повно- важення.</w:t>
      </w:r>
    </w:p>
    <w:p w14:paraId="0F46C995" w14:textId="77777777" w:rsidR="00DE575E" w:rsidRDefault="002E7560">
      <w:pPr>
        <w:spacing w:before="4" w:line="252" w:lineRule="auto"/>
        <w:ind w:left="250" w:right="419" w:firstLine="283"/>
        <w:rPr>
          <w:sz w:val="21"/>
        </w:rPr>
      </w:pPr>
      <w:r>
        <w:rPr>
          <w:b/>
          <w:i/>
          <w:color w:val="231F20"/>
          <w:sz w:val="21"/>
        </w:rPr>
        <w:t>Заява</w:t>
      </w:r>
      <w:r>
        <w:rPr>
          <w:b/>
          <w:i/>
          <w:color w:val="231F20"/>
          <w:sz w:val="21"/>
        </w:rPr>
        <w:t xml:space="preserve"> підлягає реєстрації  </w:t>
      </w:r>
      <w:r>
        <w:rPr>
          <w:color w:val="231F20"/>
          <w:sz w:val="21"/>
        </w:rPr>
        <w:t xml:space="preserve">відповідно  до  правил  діловодства в </w:t>
      </w:r>
      <w:r>
        <w:rPr>
          <w:color w:val="231F20"/>
          <w:spacing w:val="20"/>
          <w:sz w:val="21"/>
        </w:rPr>
        <w:t xml:space="preserve"> </w:t>
      </w:r>
      <w:r>
        <w:rPr>
          <w:color w:val="231F20"/>
          <w:sz w:val="21"/>
        </w:rPr>
        <w:t xml:space="preserve">день </w:t>
      </w:r>
      <w:r>
        <w:rPr>
          <w:color w:val="231F20"/>
          <w:spacing w:val="20"/>
          <w:sz w:val="21"/>
        </w:rPr>
        <w:t xml:space="preserve"> </w:t>
      </w:r>
      <w:r>
        <w:rPr>
          <w:color w:val="231F20"/>
          <w:sz w:val="21"/>
        </w:rPr>
        <w:t xml:space="preserve">її </w:t>
      </w:r>
      <w:r>
        <w:rPr>
          <w:color w:val="231F20"/>
          <w:spacing w:val="20"/>
          <w:sz w:val="21"/>
        </w:rPr>
        <w:t xml:space="preserve"> </w:t>
      </w:r>
      <w:r>
        <w:rPr>
          <w:color w:val="231F20"/>
          <w:sz w:val="21"/>
        </w:rPr>
        <w:t xml:space="preserve">надходження </w:t>
      </w:r>
      <w:r>
        <w:rPr>
          <w:color w:val="231F20"/>
          <w:spacing w:val="20"/>
          <w:sz w:val="21"/>
        </w:rPr>
        <w:t xml:space="preserve"> </w:t>
      </w:r>
      <w:r>
        <w:rPr>
          <w:color w:val="231F20"/>
          <w:sz w:val="21"/>
        </w:rPr>
        <w:t xml:space="preserve">до </w:t>
      </w:r>
      <w:r>
        <w:rPr>
          <w:color w:val="231F20"/>
          <w:spacing w:val="20"/>
          <w:sz w:val="21"/>
        </w:rPr>
        <w:t xml:space="preserve"> </w:t>
      </w:r>
      <w:r>
        <w:rPr>
          <w:color w:val="231F20"/>
          <w:sz w:val="21"/>
        </w:rPr>
        <w:t xml:space="preserve">адміністративного </w:t>
      </w:r>
      <w:r>
        <w:rPr>
          <w:color w:val="231F20"/>
          <w:spacing w:val="20"/>
          <w:sz w:val="21"/>
        </w:rPr>
        <w:t xml:space="preserve"> </w:t>
      </w:r>
      <w:r>
        <w:rPr>
          <w:color w:val="231F20"/>
          <w:spacing w:val="-3"/>
          <w:sz w:val="21"/>
        </w:rPr>
        <w:t xml:space="preserve">органу. </w:t>
      </w:r>
      <w:r>
        <w:rPr>
          <w:color w:val="231F20"/>
          <w:spacing w:val="22"/>
          <w:sz w:val="21"/>
        </w:rPr>
        <w:t xml:space="preserve"> </w:t>
      </w:r>
      <w:r>
        <w:rPr>
          <w:color w:val="231F20"/>
          <w:sz w:val="21"/>
        </w:rPr>
        <w:t>Реєстрація</w:t>
      </w:r>
    </w:p>
    <w:p w14:paraId="29B0039D" w14:textId="77777777" w:rsidR="00DE575E" w:rsidRDefault="00DE575E">
      <w:pPr>
        <w:pStyle w:val="BodyText"/>
        <w:spacing w:before="6"/>
        <w:rPr>
          <w:sz w:val="12"/>
        </w:rPr>
      </w:pPr>
    </w:p>
    <w:p w14:paraId="6087777F" w14:textId="77777777" w:rsidR="00DE575E" w:rsidRDefault="002E7560">
      <w:pPr>
        <w:spacing w:before="92"/>
        <w:ind w:right="418"/>
        <w:jc w:val="right"/>
        <w:rPr>
          <w:rFonts w:ascii="Times New Roman"/>
          <w:sz w:val="20"/>
        </w:rPr>
      </w:pPr>
      <w:r>
        <w:rPr>
          <w:rFonts w:ascii="Times New Roman"/>
          <w:color w:val="231F20"/>
          <w:w w:val="90"/>
          <w:sz w:val="20"/>
        </w:rPr>
        <w:t>311</w:t>
      </w:r>
    </w:p>
    <w:p w14:paraId="48003EB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C71FA4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B9C01F6" w14:textId="3113367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C9B1F0E" wp14:editId="093AD53D">
                <wp:extent cx="4140200" cy="6350"/>
                <wp:effectExtent l="0" t="0" r="12700" b="6350"/>
                <wp:docPr id="633"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34" name="Line 6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BD1DB7" id="Group_x0020_6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cOS75/AgAAmAUAAA4A&#10;AAAAAAAAAAAAAAAALAIAAGRycy9lMm9Eb2MueG1sUEsBAi0AFAAGAAgAAAAhAEynsJDZAAAAAwEA&#10;AA8AAAAAAAAAAAAAAAAA1wQAAGRycy9kb3ducmV2LnhtbFBLBQYAAAAABAAEAPMAAADdBQAAAAA=&#10;">
                <v:line id="Line_x0020_6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lIrsYAAADcAAAADwAAAGRycy9kb3ducmV2LnhtbESP3WrCQBSE74W+w3IKvRHdtBGR6Cql&#10;UCi98C8+wDF7TEJ3z8bsatI+fVcQvBxm5htmseqtEVdqfe1Ywes4AUFcOF1zqeCQf45mIHxA1mgc&#10;k4Jf8rBaPg0WmGnX8Y6u+1CKCGGfoYIqhCaT0hcVWfRj1xBH7+RaiyHKtpS6xS7CrZFvSTKVFmuO&#10;CxU29FFR8bO/WAX5eRjMdvNtunxzTOXxvE7/LmulXp779zmIQH14hO/tL61gmk7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5SK7GAAAA3AAAAA8AAAAAAAAA&#10;AAAAAAAAoQIAAGRycy9kb3ducmV2LnhtbFBLBQYAAAAABAAEAPkAAACUAwAAAAA=&#10;" strokecolor="#231f20" strokeweight=".5pt"/>
                <w10:anchorlock/>
              </v:group>
            </w:pict>
          </mc:Fallback>
        </mc:AlternateContent>
      </w:r>
    </w:p>
    <w:p w14:paraId="3B0417BA" w14:textId="77777777" w:rsidR="00DE575E" w:rsidRDefault="00DE575E">
      <w:pPr>
        <w:pStyle w:val="BodyText"/>
        <w:spacing w:before="7"/>
        <w:rPr>
          <w:rFonts w:ascii="AdonisC"/>
          <w:i/>
          <w:sz w:val="11"/>
        </w:rPr>
      </w:pPr>
    </w:p>
    <w:p w14:paraId="270F20D9" w14:textId="77777777" w:rsidR="00DE575E" w:rsidRDefault="002E7560">
      <w:pPr>
        <w:pStyle w:val="BodyText"/>
        <w:spacing w:before="101" w:line="252" w:lineRule="auto"/>
        <w:ind w:left="533" w:right="128"/>
        <w:jc w:val="both"/>
      </w:pPr>
      <w:r>
        <w:rPr>
          <w:color w:val="231F20"/>
        </w:rPr>
        <w:t xml:space="preserve">заяви, переданої  у  формі  електронного  документа,  здійснюється з дотриманням вимог законодавства про  електронні  документи  та  електронний  </w:t>
      </w:r>
      <w:r>
        <w:rPr>
          <w:color w:val="231F20"/>
          <w:spacing w:val="-3"/>
        </w:rPr>
        <w:t xml:space="preserve">документообіг.  </w:t>
      </w:r>
      <w:r>
        <w:rPr>
          <w:color w:val="231F20"/>
        </w:rPr>
        <w:t>Особі  не  може  бути  відмовлено  в прийнятті та реєстра</w:t>
      </w:r>
      <w:r>
        <w:rPr>
          <w:color w:val="231F20"/>
        </w:rPr>
        <w:t>ції заяви. Адміністративний орган видає або надсилає заявнику довідку із зазначенням дати й номера реєстрації його</w:t>
      </w:r>
      <w:r>
        <w:rPr>
          <w:color w:val="231F20"/>
          <w:spacing w:val="-12"/>
        </w:rPr>
        <w:t xml:space="preserve"> </w:t>
      </w:r>
      <w:r>
        <w:rPr>
          <w:color w:val="231F20"/>
        </w:rPr>
        <w:t>заяви,</w:t>
      </w:r>
      <w:r>
        <w:rPr>
          <w:color w:val="231F20"/>
          <w:spacing w:val="-12"/>
        </w:rPr>
        <w:t xml:space="preserve"> </w:t>
      </w:r>
      <w:r>
        <w:rPr>
          <w:color w:val="231F20"/>
        </w:rPr>
        <w:t>крім</w:t>
      </w:r>
      <w:r>
        <w:rPr>
          <w:color w:val="231F20"/>
          <w:spacing w:val="-12"/>
        </w:rPr>
        <w:t xml:space="preserve"> </w:t>
      </w:r>
      <w:r>
        <w:rPr>
          <w:color w:val="231F20"/>
        </w:rPr>
        <w:t>випадків,</w:t>
      </w:r>
      <w:r>
        <w:rPr>
          <w:color w:val="231F20"/>
          <w:spacing w:val="-12"/>
        </w:rPr>
        <w:t xml:space="preserve"> </w:t>
      </w:r>
      <w:r>
        <w:rPr>
          <w:color w:val="231F20"/>
        </w:rPr>
        <w:t>коли</w:t>
      </w:r>
      <w:r>
        <w:rPr>
          <w:color w:val="231F20"/>
          <w:spacing w:val="-12"/>
        </w:rPr>
        <w:t xml:space="preserve"> </w:t>
      </w:r>
      <w:r>
        <w:rPr>
          <w:color w:val="231F20"/>
        </w:rPr>
        <w:t>адміністративна</w:t>
      </w:r>
      <w:r>
        <w:rPr>
          <w:color w:val="231F20"/>
          <w:spacing w:val="-12"/>
        </w:rPr>
        <w:t xml:space="preserve"> </w:t>
      </w:r>
      <w:r>
        <w:rPr>
          <w:color w:val="231F20"/>
        </w:rPr>
        <w:t>справа</w:t>
      </w:r>
      <w:r>
        <w:rPr>
          <w:color w:val="231F20"/>
          <w:spacing w:val="-12"/>
        </w:rPr>
        <w:t xml:space="preserve"> </w:t>
      </w:r>
      <w:r>
        <w:rPr>
          <w:color w:val="231F20"/>
        </w:rPr>
        <w:t>вирішується невідкладно.</w:t>
      </w:r>
    </w:p>
    <w:p w14:paraId="0A6BFC5A" w14:textId="77777777" w:rsidR="00DE575E" w:rsidRDefault="002E7560">
      <w:pPr>
        <w:pStyle w:val="BodyText"/>
        <w:spacing w:before="3" w:line="252" w:lineRule="auto"/>
        <w:ind w:left="533" w:right="127" w:firstLine="283"/>
        <w:jc w:val="both"/>
      </w:pPr>
      <w:r>
        <w:rPr>
          <w:color w:val="231F20"/>
        </w:rPr>
        <w:t xml:space="preserve">У разі коли заяву подано з порушенням установлених вимог або до неї не додано необхідні для її </w:t>
      </w:r>
      <w:r>
        <w:rPr>
          <w:color w:val="231F20"/>
          <w:spacing w:val="-3"/>
        </w:rPr>
        <w:t xml:space="preserve">розгляду </w:t>
      </w:r>
      <w:r>
        <w:rPr>
          <w:color w:val="231F20"/>
        </w:rPr>
        <w:t xml:space="preserve">документи, адміністра- тивний орган залишає заяву без руху та впродовж трьох робочих днів з дня її отримання, а під час особистого прийому – за наявно- </w:t>
      </w:r>
      <w:r>
        <w:rPr>
          <w:color w:val="231F20"/>
        </w:rPr>
        <w:t>сті можливості – негайно вручає або надсилає заявникові пись- мове повідомлення про потребу усунення недоліків із зазначенням способу</w:t>
      </w:r>
      <w:r>
        <w:rPr>
          <w:color w:val="231F20"/>
          <w:spacing w:val="-8"/>
        </w:rPr>
        <w:t xml:space="preserve"> </w:t>
      </w:r>
      <w:r>
        <w:rPr>
          <w:color w:val="231F20"/>
        </w:rPr>
        <w:t>їх</w:t>
      </w:r>
      <w:r>
        <w:rPr>
          <w:color w:val="231F20"/>
          <w:spacing w:val="-7"/>
        </w:rPr>
        <w:t xml:space="preserve"> </w:t>
      </w:r>
      <w:r>
        <w:rPr>
          <w:color w:val="231F20"/>
        </w:rPr>
        <w:t>усунення,</w:t>
      </w:r>
      <w:r>
        <w:rPr>
          <w:color w:val="231F20"/>
          <w:spacing w:val="-8"/>
        </w:rPr>
        <w:t xml:space="preserve"> </w:t>
      </w:r>
      <w:r>
        <w:rPr>
          <w:color w:val="231F20"/>
        </w:rPr>
        <w:t>правових</w:t>
      </w:r>
      <w:r>
        <w:rPr>
          <w:color w:val="231F20"/>
          <w:spacing w:val="-8"/>
        </w:rPr>
        <w:t xml:space="preserve"> </w:t>
      </w:r>
      <w:r>
        <w:rPr>
          <w:color w:val="231F20"/>
        </w:rPr>
        <w:t>підстав</w:t>
      </w:r>
      <w:r>
        <w:rPr>
          <w:color w:val="231F20"/>
          <w:spacing w:val="-7"/>
        </w:rPr>
        <w:t xml:space="preserve"> </w:t>
      </w:r>
      <w:r>
        <w:rPr>
          <w:color w:val="231F20"/>
        </w:rPr>
        <w:t>для</w:t>
      </w:r>
      <w:r>
        <w:rPr>
          <w:color w:val="231F20"/>
          <w:spacing w:val="-8"/>
        </w:rPr>
        <w:t xml:space="preserve"> </w:t>
      </w:r>
      <w:r>
        <w:rPr>
          <w:color w:val="231F20"/>
        </w:rPr>
        <w:t>залишення</w:t>
      </w:r>
      <w:r>
        <w:rPr>
          <w:color w:val="231F20"/>
          <w:spacing w:val="-8"/>
        </w:rPr>
        <w:t xml:space="preserve"> </w:t>
      </w:r>
      <w:r>
        <w:rPr>
          <w:color w:val="231F20"/>
        </w:rPr>
        <w:t>заяви</w:t>
      </w:r>
      <w:r>
        <w:rPr>
          <w:color w:val="231F20"/>
          <w:spacing w:val="-7"/>
        </w:rPr>
        <w:t xml:space="preserve"> </w:t>
      </w:r>
      <w:r>
        <w:rPr>
          <w:color w:val="231F20"/>
        </w:rPr>
        <w:t>без</w:t>
      </w:r>
      <w:r>
        <w:rPr>
          <w:color w:val="231F20"/>
          <w:spacing w:val="-7"/>
        </w:rPr>
        <w:t xml:space="preserve"> </w:t>
      </w:r>
      <w:r>
        <w:rPr>
          <w:color w:val="231F20"/>
        </w:rPr>
        <w:t>руху та роз’ясненням порядку оскарження такого</w:t>
      </w:r>
      <w:r>
        <w:rPr>
          <w:color w:val="231F20"/>
          <w:spacing w:val="-6"/>
        </w:rPr>
        <w:t xml:space="preserve"> </w:t>
      </w:r>
      <w:r>
        <w:rPr>
          <w:color w:val="231F20"/>
        </w:rPr>
        <w:t>рішення.</w:t>
      </w:r>
    </w:p>
    <w:p w14:paraId="6BBCC22A" w14:textId="77777777" w:rsidR="00DE575E" w:rsidRDefault="00DE575E">
      <w:pPr>
        <w:pStyle w:val="BodyText"/>
        <w:spacing w:before="4"/>
        <w:rPr>
          <w:sz w:val="22"/>
        </w:rPr>
      </w:pPr>
    </w:p>
    <w:p w14:paraId="4371AB4F" w14:textId="77777777" w:rsidR="00DE575E" w:rsidRDefault="002E7560">
      <w:pPr>
        <w:pStyle w:val="Heading5"/>
        <w:numPr>
          <w:ilvl w:val="2"/>
          <w:numId w:val="140"/>
        </w:numPr>
        <w:tabs>
          <w:tab w:val="left" w:pos="1383"/>
        </w:tabs>
        <w:ind w:firstLine="284"/>
        <w:jc w:val="left"/>
      </w:pPr>
      <w:r>
        <w:rPr>
          <w:color w:val="231F20"/>
          <w:spacing w:val="-4"/>
        </w:rPr>
        <w:t xml:space="preserve">Розгляд </w:t>
      </w:r>
      <w:r>
        <w:rPr>
          <w:color w:val="231F20"/>
        </w:rPr>
        <w:t>і в</w:t>
      </w:r>
      <w:r>
        <w:rPr>
          <w:color w:val="231F20"/>
        </w:rPr>
        <w:t>ирішення</w:t>
      </w:r>
      <w:r>
        <w:rPr>
          <w:color w:val="231F20"/>
          <w:spacing w:val="2"/>
        </w:rPr>
        <w:t xml:space="preserve"> </w:t>
      </w:r>
      <w:r>
        <w:rPr>
          <w:color w:val="231F20"/>
        </w:rPr>
        <w:t>справи</w:t>
      </w:r>
    </w:p>
    <w:p w14:paraId="7AC5DED2" w14:textId="77777777" w:rsidR="00DE575E" w:rsidRDefault="00DE575E">
      <w:pPr>
        <w:pStyle w:val="BodyText"/>
        <w:spacing w:before="2"/>
        <w:rPr>
          <w:b/>
          <w:sz w:val="23"/>
        </w:rPr>
      </w:pPr>
    </w:p>
    <w:p w14:paraId="1402186D" w14:textId="77777777" w:rsidR="00DE575E" w:rsidRDefault="002E7560">
      <w:pPr>
        <w:pStyle w:val="BodyText"/>
        <w:spacing w:line="252" w:lineRule="auto"/>
        <w:ind w:left="533" w:right="126" w:firstLine="283"/>
        <w:jc w:val="both"/>
      </w:pPr>
      <w:r>
        <w:rPr>
          <w:color w:val="231F20"/>
        </w:rPr>
        <w:t>За своєю сутністю  означена  стадія  може  вважатись  основною в межах адміністративної процедури, оскільки саме в ній здійс- нюється безпосереднє дослідження матеріалів адміністративної справи та ухвалення рішення. Це свого роду осердя вс</w:t>
      </w:r>
      <w:r>
        <w:rPr>
          <w:color w:val="231F20"/>
        </w:rPr>
        <w:t>ієї адміністра- тивної</w:t>
      </w:r>
      <w:r>
        <w:rPr>
          <w:color w:val="231F20"/>
          <w:spacing w:val="-2"/>
        </w:rPr>
        <w:t xml:space="preserve"> </w:t>
      </w:r>
      <w:r>
        <w:rPr>
          <w:color w:val="231F20"/>
        </w:rPr>
        <w:t>процедури.</w:t>
      </w:r>
    </w:p>
    <w:p w14:paraId="2F6FC412" w14:textId="77777777" w:rsidR="00DE575E" w:rsidRDefault="002E7560">
      <w:pPr>
        <w:pStyle w:val="BodyText"/>
        <w:spacing w:before="3" w:line="252" w:lineRule="auto"/>
        <w:ind w:left="533" w:right="127" w:firstLine="283"/>
        <w:jc w:val="both"/>
      </w:pPr>
      <w:r>
        <w:rPr>
          <w:color w:val="231F20"/>
        </w:rPr>
        <w:t>Залежно від виду адміністративної процедури (заявна чи втру- чальна) адміністративна процедура відкривається: з моменту отри- мання</w:t>
      </w:r>
      <w:r>
        <w:rPr>
          <w:color w:val="231F20"/>
          <w:spacing w:val="-9"/>
        </w:rPr>
        <w:t xml:space="preserve"> </w:t>
      </w:r>
      <w:r>
        <w:rPr>
          <w:color w:val="231F20"/>
        </w:rPr>
        <w:t>адміністративним</w:t>
      </w:r>
      <w:r>
        <w:rPr>
          <w:color w:val="231F20"/>
          <w:spacing w:val="-10"/>
        </w:rPr>
        <w:t xml:space="preserve"> </w:t>
      </w:r>
      <w:r>
        <w:rPr>
          <w:color w:val="231F20"/>
        </w:rPr>
        <w:t>органом,</w:t>
      </w:r>
      <w:r>
        <w:rPr>
          <w:color w:val="231F20"/>
          <w:spacing w:val="-10"/>
        </w:rPr>
        <w:t xml:space="preserve"> </w:t>
      </w:r>
      <w:r>
        <w:rPr>
          <w:color w:val="231F20"/>
        </w:rPr>
        <w:t>до</w:t>
      </w:r>
      <w:r>
        <w:rPr>
          <w:color w:val="231F20"/>
          <w:spacing w:val="-10"/>
        </w:rPr>
        <w:t xml:space="preserve"> </w:t>
      </w:r>
      <w:r>
        <w:rPr>
          <w:color w:val="231F20"/>
        </w:rPr>
        <w:t>компетенції</w:t>
      </w:r>
      <w:r>
        <w:rPr>
          <w:color w:val="231F20"/>
          <w:spacing w:val="-10"/>
        </w:rPr>
        <w:t xml:space="preserve"> </w:t>
      </w:r>
      <w:r>
        <w:rPr>
          <w:color w:val="231F20"/>
        </w:rPr>
        <w:t>якого</w:t>
      </w:r>
      <w:r>
        <w:rPr>
          <w:color w:val="231F20"/>
          <w:spacing w:val="-9"/>
        </w:rPr>
        <w:t xml:space="preserve"> </w:t>
      </w:r>
      <w:r>
        <w:rPr>
          <w:color w:val="231F20"/>
        </w:rPr>
        <w:t>безпосеред- ньо належить вирішення порушено</w:t>
      </w:r>
      <w:r>
        <w:rPr>
          <w:color w:val="231F20"/>
        </w:rPr>
        <w:t>го заявником питання, заяви, оформленої відповідно до вимог чинного законодавства; з моменту ухвалення</w:t>
      </w:r>
      <w:r>
        <w:rPr>
          <w:color w:val="231F20"/>
          <w:spacing w:val="-14"/>
        </w:rPr>
        <w:t xml:space="preserve"> </w:t>
      </w:r>
      <w:r>
        <w:rPr>
          <w:color w:val="231F20"/>
        </w:rPr>
        <w:t>рішення</w:t>
      </w:r>
      <w:r>
        <w:rPr>
          <w:color w:val="231F20"/>
          <w:spacing w:val="-14"/>
        </w:rPr>
        <w:t xml:space="preserve"> </w:t>
      </w:r>
      <w:r>
        <w:rPr>
          <w:color w:val="231F20"/>
        </w:rPr>
        <w:t>про</w:t>
      </w:r>
      <w:r>
        <w:rPr>
          <w:color w:val="231F20"/>
          <w:spacing w:val="-14"/>
        </w:rPr>
        <w:t xml:space="preserve"> </w:t>
      </w:r>
      <w:r>
        <w:rPr>
          <w:color w:val="231F20"/>
        </w:rPr>
        <w:t>відкриття</w:t>
      </w:r>
      <w:r>
        <w:rPr>
          <w:color w:val="231F20"/>
          <w:spacing w:val="-14"/>
        </w:rPr>
        <w:t xml:space="preserve"> </w:t>
      </w:r>
      <w:r>
        <w:rPr>
          <w:color w:val="231F20"/>
        </w:rPr>
        <w:t>провадження</w:t>
      </w:r>
      <w:r>
        <w:rPr>
          <w:color w:val="231F20"/>
          <w:spacing w:val="-14"/>
        </w:rPr>
        <w:t xml:space="preserve"> </w:t>
      </w:r>
      <w:r>
        <w:rPr>
          <w:color w:val="231F20"/>
        </w:rPr>
        <w:t>компетентним</w:t>
      </w:r>
      <w:r>
        <w:rPr>
          <w:color w:val="231F20"/>
          <w:spacing w:val="-14"/>
        </w:rPr>
        <w:t xml:space="preserve"> </w:t>
      </w:r>
      <w:r>
        <w:rPr>
          <w:color w:val="231F20"/>
        </w:rPr>
        <w:t>адмі- ністративним</w:t>
      </w:r>
      <w:r>
        <w:rPr>
          <w:color w:val="231F20"/>
          <w:spacing w:val="-6"/>
        </w:rPr>
        <w:t xml:space="preserve"> </w:t>
      </w:r>
      <w:r>
        <w:rPr>
          <w:color w:val="231F20"/>
        </w:rPr>
        <w:t>органом</w:t>
      </w:r>
      <w:r>
        <w:rPr>
          <w:color w:val="231F20"/>
          <w:spacing w:val="-6"/>
        </w:rPr>
        <w:t xml:space="preserve"> </w:t>
      </w:r>
      <w:r>
        <w:rPr>
          <w:color w:val="231F20"/>
        </w:rPr>
        <w:t>за</w:t>
      </w:r>
      <w:r>
        <w:rPr>
          <w:color w:val="231F20"/>
          <w:spacing w:val="-6"/>
        </w:rPr>
        <w:t xml:space="preserve"> </w:t>
      </w:r>
      <w:r>
        <w:rPr>
          <w:color w:val="231F20"/>
        </w:rPr>
        <w:t>власною</w:t>
      </w:r>
      <w:r>
        <w:rPr>
          <w:color w:val="231F20"/>
          <w:spacing w:val="-6"/>
        </w:rPr>
        <w:t xml:space="preserve"> </w:t>
      </w:r>
      <w:r>
        <w:rPr>
          <w:color w:val="231F20"/>
        </w:rPr>
        <w:t>ініціативою</w:t>
      </w:r>
      <w:r>
        <w:rPr>
          <w:color w:val="231F20"/>
          <w:spacing w:val="-6"/>
        </w:rPr>
        <w:t xml:space="preserve"> </w:t>
      </w:r>
      <w:r>
        <w:rPr>
          <w:color w:val="231F20"/>
        </w:rPr>
        <w:t>або</w:t>
      </w:r>
      <w:r>
        <w:rPr>
          <w:color w:val="231F20"/>
          <w:spacing w:val="-6"/>
        </w:rPr>
        <w:t xml:space="preserve"> </w:t>
      </w:r>
      <w:r>
        <w:rPr>
          <w:color w:val="231F20"/>
        </w:rPr>
        <w:t>вчинення</w:t>
      </w:r>
      <w:r>
        <w:rPr>
          <w:color w:val="231F20"/>
          <w:spacing w:val="-6"/>
        </w:rPr>
        <w:t xml:space="preserve"> </w:t>
      </w:r>
      <w:r>
        <w:rPr>
          <w:color w:val="231F20"/>
        </w:rPr>
        <w:t>першої процедурної дії щодо учасника адміністративного</w:t>
      </w:r>
      <w:r>
        <w:rPr>
          <w:color w:val="231F20"/>
          <w:spacing w:val="-13"/>
        </w:rPr>
        <w:t xml:space="preserve"> </w:t>
      </w:r>
      <w:r>
        <w:rPr>
          <w:color w:val="231F20"/>
        </w:rPr>
        <w:t>провадження.</w:t>
      </w:r>
    </w:p>
    <w:p w14:paraId="6DC1C266" w14:textId="77777777" w:rsidR="00DE575E" w:rsidRDefault="002E7560">
      <w:pPr>
        <w:pStyle w:val="BodyText"/>
        <w:spacing w:before="4" w:line="252" w:lineRule="auto"/>
        <w:ind w:left="533" w:right="125" w:firstLine="283"/>
        <w:jc w:val="both"/>
      </w:pPr>
      <w:r>
        <w:rPr>
          <w:color w:val="231F20"/>
        </w:rPr>
        <w:t>У</w:t>
      </w:r>
      <w:r>
        <w:rPr>
          <w:color w:val="231F20"/>
          <w:spacing w:val="-8"/>
        </w:rPr>
        <w:t xml:space="preserve"> </w:t>
      </w:r>
      <w:r>
        <w:rPr>
          <w:color w:val="231F20"/>
        </w:rPr>
        <w:t>межах</w:t>
      </w:r>
      <w:r>
        <w:rPr>
          <w:color w:val="231F20"/>
          <w:spacing w:val="-8"/>
        </w:rPr>
        <w:t xml:space="preserve"> </w:t>
      </w:r>
      <w:r>
        <w:rPr>
          <w:color w:val="231F20"/>
        </w:rPr>
        <w:t>цієї</w:t>
      </w:r>
      <w:r>
        <w:rPr>
          <w:color w:val="231F20"/>
          <w:spacing w:val="-8"/>
        </w:rPr>
        <w:t xml:space="preserve"> </w:t>
      </w:r>
      <w:r>
        <w:rPr>
          <w:color w:val="231F20"/>
        </w:rPr>
        <w:t>стадії</w:t>
      </w:r>
      <w:r>
        <w:rPr>
          <w:color w:val="231F20"/>
          <w:spacing w:val="-8"/>
        </w:rPr>
        <w:t xml:space="preserve"> </w:t>
      </w:r>
      <w:r>
        <w:rPr>
          <w:color w:val="231F20"/>
        </w:rPr>
        <w:t>наявні</w:t>
      </w:r>
      <w:r>
        <w:rPr>
          <w:color w:val="231F20"/>
          <w:spacing w:val="-8"/>
        </w:rPr>
        <w:t xml:space="preserve"> </w:t>
      </w:r>
      <w:r>
        <w:rPr>
          <w:color w:val="231F20"/>
        </w:rPr>
        <w:t>певні</w:t>
      </w:r>
      <w:r>
        <w:rPr>
          <w:color w:val="231F20"/>
          <w:spacing w:val="-8"/>
        </w:rPr>
        <w:t xml:space="preserve"> </w:t>
      </w:r>
      <w:r>
        <w:rPr>
          <w:color w:val="231F20"/>
        </w:rPr>
        <w:t>процедурні</w:t>
      </w:r>
      <w:r>
        <w:rPr>
          <w:color w:val="231F20"/>
          <w:spacing w:val="-8"/>
        </w:rPr>
        <w:t xml:space="preserve"> </w:t>
      </w:r>
      <w:r>
        <w:rPr>
          <w:color w:val="231F20"/>
        </w:rPr>
        <w:t>етапи</w:t>
      </w:r>
      <w:r>
        <w:rPr>
          <w:color w:val="231F20"/>
          <w:spacing w:val="-8"/>
        </w:rPr>
        <w:t xml:space="preserve"> </w:t>
      </w:r>
      <w:r>
        <w:rPr>
          <w:color w:val="231F20"/>
        </w:rPr>
        <w:t>та</w:t>
      </w:r>
      <w:r>
        <w:rPr>
          <w:color w:val="231F20"/>
          <w:spacing w:val="-8"/>
        </w:rPr>
        <w:t xml:space="preserve"> </w:t>
      </w:r>
      <w:r>
        <w:rPr>
          <w:color w:val="231F20"/>
        </w:rPr>
        <w:t>конкретні</w:t>
      </w:r>
      <w:r>
        <w:rPr>
          <w:color w:val="231F20"/>
          <w:spacing w:val="-8"/>
        </w:rPr>
        <w:t xml:space="preserve"> </w:t>
      </w:r>
      <w:r>
        <w:rPr>
          <w:color w:val="231F20"/>
        </w:rPr>
        <w:t xml:space="preserve">дії. </w:t>
      </w:r>
      <w:r>
        <w:rPr>
          <w:color w:val="231F20"/>
          <w:spacing w:val="-4"/>
        </w:rPr>
        <w:t xml:space="preserve">Так, </w:t>
      </w:r>
      <w:r>
        <w:rPr>
          <w:color w:val="231F20"/>
        </w:rPr>
        <w:t>адміністративний орган зобов’язаний перевірити достатність та обґрунтованість матеріалів у справі, а в разі</w:t>
      </w:r>
      <w:r>
        <w:rPr>
          <w:color w:val="231F20"/>
          <w:spacing w:val="-11"/>
        </w:rPr>
        <w:t xml:space="preserve"> </w:t>
      </w:r>
      <w:r>
        <w:rPr>
          <w:color w:val="231F20"/>
        </w:rPr>
        <w:t>потреби</w:t>
      </w:r>
      <w:r>
        <w:rPr>
          <w:color w:val="231F20"/>
        </w:rPr>
        <w:t>:</w:t>
      </w:r>
    </w:p>
    <w:p w14:paraId="3D4BB76B" w14:textId="77777777" w:rsidR="00DE575E" w:rsidRDefault="002E7560">
      <w:pPr>
        <w:pStyle w:val="ListParagraph"/>
        <w:numPr>
          <w:ilvl w:val="0"/>
          <w:numId w:val="139"/>
        </w:numPr>
        <w:tabs>
          <w:tab w:val="left" w:pos="1101"/>
        </w:tabs>
        <w:spacing w:line="252" w:lineRule="auto"/>
        <w:ind w:right="128" w:firstLine="284"/>
        <w:jc w:val="both"/>
        <w:rPr>
          <w:sz w:val="21"/>
        </w:rPr>
      </w:pPr>
      <w:r>
        <w:rPr>
          <w:color w:val="231F20"/>
          <w:sz w:val="21"/>
        </w:rPr>
        <w:t xml:space="preserve">витребувати додатково документи та відомості від інших </w:t>
      </w:r>
      <w:r>
        <w:rPr>
          <w:color w:val="231F20"/>
          <w:spacing w:val="-3"/>
          <w:sz w:val="21"/>
        </w:rPr>
        <w:t xml:space="preserve">суб’єктів </w:t>
      </w:r>
      <w:r>
        <w:rPr>
          <w:color w:val="231F20"/>
          <w:sz w:val="21"/>
        </w:rPr>
        <w:t>публічного</w:t>
      </w:r>
      <w:r>
        <w:rPr>
          <w:color w:val="231F20"/>
          <w:sz w:val="21"/>
        </w:rPr>
        <w:t xml:space="preserve"> </w:t>
      </w:r>
      <w:r>
        <w:rPr>
          <w:color w:val="231F20"/>
          <w:sz w:val="21"/>
        </w:rPr>
        <w:t>адміністрування;</w:t>
      </w:r>
    </w:p>
    <w:p w14:paraId="1CC86129" w14:textId="77777777" w:rsidR="00DE575E" w:rsidRDefault="002E7560">
      <w:pPr>
        <w:pStyle w:val="ListParagraph"/>
        <w:numPr>
          <w:ilvl w:val="0"/>
          <w:numId w:val="139"/>
        </w:numPr>
        <w:tabs>
          <w:tab w:val="left" w:pos="1101"/>
        </w:tabs>
        <w:ind w:firstLine="284"/>
        <w:rPr>
          <w:sz w:val="21"/>
        </w:rPr>
      </w:pPr>
      <w:r>
        <w:rPr>
          <w:color w:val="231F20"/>
          <w:sz w:val="21"/>
        </w:rPr>
        <w:t>залучити до участі в адміністративній процедурі</w:t>
      </w:r>
      <w:r>
        <w:rPr>
          <w:color w:val="231F20"/>
          <w:spacing w:val="-16"/>
          <w:sz w:val="21"/>
        </w:rPr>
        <w:t xml:space="preserve"> </w:t>
      </w:r>
      <w:r>
        <w:rPr>
          <w:color w:val="231F20"/>
          <w:sz w:val="21"/>
        </w:rPr>
        <w:t>адресата;</w:t>
      </w:r>
    </w:p>
    <w:p w14:paraId="4E441AD7" w14:textId="77777777" w:rsidR="00DE575E" w:rsidRDefault="002E7560">
      <w:pPr>
        <w:pStyle w:val="ListParagraph"/>
        <w:numPr>
          <w:ilvl w:val="0"/>
          <w:numId w:val="139"/>
        </w:numPr>
        <w:tabs>
          <w:tab w:val="left" w:pos="1101"/>
        </w:tabs>
        <w:spacing w:before="13" w:line="252" w:lineRule="auto"/>
        <w:ind w:right="128" w:firstLine="284"/>
        <w:jc w:val="both"/>
        <w:rPr>
          <w:sz w:val="21"/>
        </w:rPr>
      </w:pPr>
      <w:r>
        <w:rPr>
          <w:color w:val="231F20"/>
          <w:sz w:val="21"/>
        </w:rPr>
        <w:t>повідомити заінтересованим особам про відкриття адмініст- ративної процедури та про їх право на участь у</w:t>
      </w:r>
      <w:r>
        <w:rPr>
          <w:color w:val="231F20"/>
          <w:spacing w:val="-7"/>
          <w:sz w:val="21"/>
        </w:rPr>
        <w:t xml:space="preserve"> </w:t>
      </w:r>
      <w:r>
        <w:rPr>
          <w:color w:val="231F20"/>
          <w:sz w:val="21"/>
        </w:rPr>
        <w:t>ній;</w:t>
      </w:r>
    </w:p>
    <w:p w14:paraId="25C685BF" w14:textId="77777777" w:rsidR="00DE575E" w:rsidRDefault="00DE575E">
      <w:pPr>
        <w:pStyle w:val="BodyText"/>
        <w:spacing w:before="6"/>
        <w:rPr>
          <w:sz w:val="12"/>
        </w:rPr>
      </w:pPr>
    </w:p>
    <w:p w14:paraId="4C05A97B" w14:textId="77777777" w:rsidR="00DE575E" w:rsidRDefault="002E7560">
      <w:pPr>
        <w:spacing w:before="92"/>
        <w:ind w:left="533"/>
        <w:rPr>
          <w:rFonts w:ascii="Times New Roman"/>
          <w:sz w:val="20"/>
        </w:rPr>
      </w:pPr>
      <w:r>
        <w:rPr>
          <w:rFonts w:ascii="Times New Roman"/>
          <w:color w:val="231F20"/>
          <w:sz w:val="20"/>
        </w:rPr>
        <w:t>312</w:t>
      </w:r>
    </w:p>
    <w:p w14:paraId="1043BD43" w14:textId="77777777" w:rsidR="00DE575E" w:rsidRDefault="00DE575E">
      <w:pPr>
        <w:rPr>
          <w:rFonts w:ascii="Times New Roman"/>
          <w:sz w:val="20"/>
        </w:rPr>
        <w:sectPr w:rsidR="00DE575E">
          <w:pgSz w:w="8510" w:h="12760"/>
          <w:pgMar w:top="660" w:right="720" w:bottom="280" w:left="600" w:header="720" w:footer="720" w:gutter="0"/>
          <w:cols w:space="720"/>
        </w:sectPr>
      </w:pPr>
    </w:p>
    <w:p w14:paraId="11C06432"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1CD09620" w14:textId="3F9B1BF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31C0392" wp14:editId="03932911">
                <wp:extent cx="4140200" cy="6350"/>
                <wp:effectExtent l="0" t="0" r="12700" b="6350"/>
                <wp:docPr id="63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32" name="Line 63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AB592E" id="Group_x0020_63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fFFGAH4CAACYBQAADgAA&#10;AAAAAAAAAAAAAAAsAgAAZHJzL2Uyb0RvYy54bWxQSwECLQAUAAYACAAAACEATKewkNkAAAADAQAA&#10;DwAAAAAAAAAAAAAAAADWBAAAZHJzL2Rvd25yZXYueG1sUEsFBgAAAAAEAAQA8wAAANwFAAAAAA==&#10;">
                <v:line id="Line_x0020_63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x1QcYAAADcAAAADwAAAGRycy9kb3ducmV2LnhtbESP0WrCQBRE3wX/YblCX6RuakAkdRUR&#10;CuKDWuMHXLO3Seju3ZhdTdqv7woFH4eZOcMsVr014k6trx0reJskIIgLp2suFZzzj9c5CB+QNRrH&#10;pOCHPKyWw8ECM+06/qT7KZQiQthnqKAKocmk9EVFFv3ENcTR+3KtxRBlW0rdYhfh1shpksykxZrj&#10;QoUNbSoqvk83qyC/joM5Hnamyw+XVF6u+/T3tlfqZdSv30EE6sMz/N/eagWzdAqPM/EI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cdUHGAAAA3AAAAA8AAAAAAAAA&#10;AAAAAAAAoQIAAGRycy9kb3ducmV2LnhtbFBLBQYAAAAABAAEAPkAAACUAwAAAAA=&#10;" strokecolor="#231f20" strokeweight=".5pt"/>
                <w10:anchorlock/>
              </v:group>
            </w:pict>
          </mc:Fallback>
        </mc:AlternateContent>
      </w:r>
    </w:p>
    <w:p w14:paraId="091C19CD" w14:textId="77777777" w:rsidR="00DE575E" w:rsidRDefault="00DE575E">
      <w:pPr>
        <w:pStyle w:val="BodyText"/>
        <w:spacing w:before="7"/>
        <w:rPr>
          <w:rFonts w:ascii="AdonisC"/>
          <w:i/>
          <w:sz w:val="19"/>
        </w:rPr>
      </w:pPr>
    </w:p>
    <w:p w14:paraId="16168E97" w14:textId="77777777" w:rsidR="00DE575E" w:rsidRDefault="002E7560">
      <w:pPr>
        <w:pStyle w:val="ListParagraph"/>
        <w:numPr>
          <w:ilvl w:val="0"/>
          <w:numId w:val="177"/>
        </w:numPr>
        <w:tabs>
          <w:tab w:val="left" w:pos="818"/>
        </w:tabs>
        <w:spacing w:line="252" w:lineRule="auto"/>
        <w:ind w:right="411" w:firstLine="283"/>
        <w:jc w:val="both"/>
        <w:rPr>
          <w:sz w:val="21"/>
        </w:rPr>
      </w:pPr>
      <w:r>
        <w:rPr>
          <w:color w:val="231F20"/>
          <w:sz w:val="21"/>
        </w:rPr>
        <w:t>надати учасникам адміністративного провадження можли- вість подати документи, клопотання, зауваження та пояснення, довести інші обставини, що мають значення для вирішення адмі- ністративної</w:t>
      </w:r>
      <w:r>
        <w:rPr>
          <w:color w:val="231F20"/>
          <w:spacing w:val="-2"/>
          <w:sz w:val="21"/>
        </w:rPr>
        <w:t xml:space="preserve"> </w:t>
      </w:r>
      <w:r>
        <w:rPr>
          <w:color w:val="231F20"/>
          <w:sz w:val="21"/>
        </w:rPr>
        <w:t>справи;</w:t>
      </w:r>
    </w:p>
    <w:p w14:paraId="7A68E469" w14:textId="77777777" w:rsidR="00DE575E" w:rsidRDefault="002E7560">
      <w:pPr>
        <w:pStyle w:val="ListParagraph"/>
        <w:numPr>
          <w:ilvl w:val="0"/>
          <w:numId w:val="177"/>
        </w:numPr>
        <w:tabs>
          <w:tab w:val="left" w:pos="818"/>
        </w:tabs>
        <w:spacing w:before="2" w:line="252" w:lineRule="auto"/>
        <w:ind w:right="411" w:firstLine="283"/>
        <w:jc w:val="both"/>
        <w:rPr>
          <w:sz w:val="21"/>
        </w:rPr>
      </w:pPr>
      <w:r>
        <w:rPr>
          <w:color w:val="231F20"/>
          <w:sz w:val="21"/>
        </w:rPr>
        <w:t>вирішити</w:t>
      </w:r>
      <w:r>
        <w:rPr>
          <w:color w:val="231F20"/>
          <w:spacing w:val="-11"/>
          <w:sz w:val="21"/>
        </w:rPr>
        <w:t xml:space="preserve"> </w:t>
      </w:r>
      <w:r>
        <w:rPr>
          <w:color w:val="231F20"/>
          <w:sz w:val="21"/>
        </w:rPr>
        <w:t>питання</w:t>
      </w:r>
      <w:r>
        <w:rPr>
          <w:color w:val="231F20"/>
          <w:spacing w:val="-11"/>
          <w:sz w:val="21"/>
        </w:rPr>
        <w:t xml:space="preserve"> </w:t>
      </w:r>
      <w:r>
        <w:rPr>
          <w:color w:val="231F20"/>
          <w:sz w:val="21"/>
        </w:rPr>
        <w:t>про</w:t>
      </w:r>
      <w:r>
        <w:rPr>
          <w:color w:val="231F20"/>
          <w:spacing w:val="-11"/>
          <w:sz w:val="21"/>
        </w:rPr>
        <w:t xml:space="preserve"> </w:t>
      </w:r>
      <w:r>
        <w:rPr>
          <w:color w:val="231F20"/>
          <w:sz w:val="21"/>
        </w:rPr>
        <w:t>залучення</w:t>
      </w:r>
      <w:r>
        <w:rPr>
          <w:color w:val="231F20"/>
          <w:spacing w:val="-11"/>
          <w:sz w:val="21"/>
        </w:rPr>
        <w:t xml:space="preserve"> </w:t>
      </w:r>
      <w:r>
        <w:rPr>
          <w:color w:val="231F20"/>
          <w:sz w:val="21"/>
        </w:rPr>
        <w:t>до</w:t>
      </w:r>
      <w:r>
        <w:rPr>
          <w:color w:val="231F20"/>
          <w:spacing w:val="-11"/>
          <w:sz w:val="21"/>
        </w:rPr>
        <w:t xml:space="preserve"> </w:t>
      </w:r>
      <w:r>
        <w:rPr>
          <w:color w:val="231F20"/>
          <w:sz w:val="21"/>
        </w:rPr>
        <w:t>участі</w:t>
      </w:r>
      <w:r>
        <w:rPr>
          <w:color w:val="231F20"/>
          <w:spacing w:val="-11"/>
          <w:sz w:val="21"/>
        </w:rPr>
        <w:t xml:space="preserve"> </w:t>
      </w:r>
      <w:r>
        <w:rPr>
          <w:color w:val="231F20"/>
          <w:sz w:val="21"/>
        </w:rPr>
        <w:t>у</w:t>
      </w:r>
      <w:r>
        <w:rPr>
          <w:color w:val="231F20"/>
          <w:spacing w:val="-11"/>
          <w:sz w:val="21"/>
        </w:rPr>
        <w:t xml:space="preserve"> </w:t>
      </w:r>
      <w:r>
        <w:rPr>
          <w:color w:val="231F20"/>
          <w:sz w:val="21"/>
        </w:rPr>
        <w:t>провадженні</w:t>
      </w:r>
      <w:r>
        <w:rPr>
          <w:color w:val="231F20"/>
          <w:spacing w:val="-11"/>
          <w:sz w:val="21"/>
        </w:rPr>
        <w:t xml:space="preserve"> </w:t>
      </w:r>
      <w:r>
        <w:rPr>
          <w:color w:val="231F20"/>
          <w:sz w:val="21"/>
        </w:rPr>
        <w:t xml:space="preserve">осіб, які сприяють </w:t>
      </w:r>
      <w:r>
        <w:rPr>
          <w:color w:val="231F20"/>
          <w:spacing w:val="-3"/>
          <w:sz w:val="21"/>
        </w:rPr>
        <w:t xml:space="preserve">розгляду </w:t>
      </w:r>
      <w:r>
        <w:rPr>
          <w:color w:val="231F20"/>
          <w:sz w:val="21"/>
        </w:rPr>
        <w:t>адміністративної</w:t>
      </w:r>
      <w:r>
        <w:rPr>
          <w:color w:val="231F20"/>
          <w:spacing w:val="-2"/>
          <w:sz w:val="21"/>
        </w:rPr>
        <w:t xml:space="preserve"> </w:t>
      </w:r>
      <w:r>
        <w:rPr>
          <w:color w:val="231F20"/>
          <w:sz w:val="21"/>
        </w:rPr>
        <w:t>справи.</w:t>
      </w:r>
    </w:p>
    <w:p w14:paraId="250F7AC5" w14:textId="77777777" w:rsidR="00DE575E" w:rsidRDefault="002E7560">
      <w:pPr>
        <w:pStyle w:val="BodyText"/>
        <w:spacing w:before="1" w:line="252" w:lineRule="auto"/>
        <w:ind w:left="250" w:right="411" w:firstLine="283"/>
        <w:jc w:val="both"/>
      </w:pPr>
      <w:r>
        <w:rPr>
          <w:color w:val="231F20"/>
        </w:rPr>
        <w:t xml:space="preserve">У разі, коли задоволення прохання заявника, висловленого під час особистого </w:t>
      </w:r>
      <w:r>
        <w:rPr>
          <w:color w:val="231F20"/>
          <w:spacing w:val="-3"/>
        </w:rPr>
        <w:t xml:space="preserve">прийому, </w:t>
      </w:r>
      <w:r>
        <w:rPr>
          <w:color w:val="231F20"/>
        </w:rPr>
        <w:t xml:space="preserve">не потребує додаткових документів і відо- мостей, залучення інших учасників чи осіб до </w:t>
      </w:r>
      <w:r>
        <w:rPr>
          <w:color w:val="231F20"/>
          <w:spacing w:val="-3"/>
        </w:rPr>
        <w:t xml:space="preserve">розгляду </w:t>
      </w:r>
      <w:r>
        <w:rPr>
          <w:color w:val="231F20"/>
        </w:rPr>
        <w:t>адміністра- тивної справи, проведення експертизи чи вчинення інших підго- товчих дій для з’ясування обставин справи, адміністративна справа може</w:t>
      </w:r>
      <w:r>
        <w:rPr>
          <w:color w:val="231F20"/>
          <w:spacing w:val="-12"/>
        </w:rPr>
        <w:t xml:space="preserve"> </w:t>
      </w:r>
      <w:r>
        <w:rPr>
          <w:color w:val="231F20"/>
        </w:rPr>
        <w:t>бути</w:t>
      </w:r>
      <w:r>
        <w:rPr>
          <w:color w:val="231F20"/>
          <w:spacing w:val="-12"/>
        </w:rPr>
        <w:t xml:space="preserve"> </w:t>
      </w:r>
      <w:r>
        <w:rPr>
          <w:color w:val="231F20"/>
        </w:rPr>
        <w:t>розглянута</w:t>
      </w:r>
      <w:r>
        <w:rPr>
          <w:color w:val="231F20"/>
          <w:spacing w:val="-12"/>
        </w:rPr>
        <w:t xml:space="preserve"> </w:t>
      </w:r>
      <w:r>
        <w:rPr>
          <w:color w:val="231F20"/>
        </w:rPr>
        <w:t>та</w:t>
      </w:r>
      <w:r>
        <w:rPr>
          <w:color w:val="231F20"/>
          <w:spacing w:val="-12"/>
        </w:rPr>
        <w:t xml:space="preserve"> </w:t>
      </w:r>
      <w:r>
        <w:rPr>
          <w:color w:val="231F20"/>
        </w:rPr>
        <w:t>вирішена</w:t>
      </w:r>
      <w:r>
        <w:rPr>
          <w:color w:val="231F20"/>
          <w:spacing w:val="-12"/>
        </w:rPr>
        <w:t xml:space="preserve"> </w:t>
      </w:r>
      <w:r>
        <w:rPr>
          <w:color w:val="231F20"/>
        </w:rPr>
        <w:t>невідкладно</w:t>
      </w:r>
      <w:r>
        <w:rPr>
          <w:color w:val="231F20"/>
          <w:spacing w:val="-12"/>
        </w:rPr>
        <w:t xml:space="preserve"> </w:t>
      </w:r>
      <w:r>
        <w:rPr>
          <w:color w:val="231F20"/>
        </w:rPr>
        <w:t>у</w:t>
      </w:r>
      <w:r>
        <w:rPr>
          <w:color w:val="231F20"/>
          <w:spacing w:val="-11"/>
        </w:rPr>
        <w:t xml:space="preserve"> </w:t>
      </w:r>
      <w:r>
        <w:rPr>
          <w:color w:val="231F20"/>
        </w:rPr>
        <w:t>присутності</w:t>
      </w:r>
      <w:r>
        <w:rPr>
          <w:color w:val="231F20"/>
          <w:spacing w:val="-12"/>
        </w:rPr>
        <w:t xml:space="preserve"> </w:t>
      </w:r>
      <w:r>
        <w:rPr>
          <w:color w:val="231F20"/>
        </w:rPr>
        <w:t xml:space="preserve">особи, крім </w:t>
      </w:r>
      <w:r>
        <w:rPr>
          <w:color w:val="231F20"/>
          <w:spacing w:val="-3"/>
        </w:rPr>
        <w:t xml:space="preserve">випадку, </w:t>
      </w:r>
      <w:r>
        <w:rPr>
          <w:color w:val="231F20"/>
        </w:rPr>
        <w:t xml:space="preserve">коли негайне вирішення справи вплине на </w:t>
      </w:r>
      <w:r>
        <w:rPr>
          <w:color w:val="231F20"/>
          <w:spacing w:val="-3"/>
        </w:rPr>
        <w:t xml:space="preserve">об’єктив- </w:t>
      </w:r>
      <w:r>
        <w:rPr>
          <w:color w:val="231F20"/>
        </w:rPr>
        <w:t>ність і законність</w:t>
      </w:r>
      <w:r>
        <w:rPr>
          <w:color w:val="231F20"/>
          <w:spacing w:val="-2"/>
        </w:rPr>
        <w:t xml:space="preserve"> </w:t>
      </w:r>
      <w:r>
        <w:rPr>
          <w:color w:val="231F20"/>
        </w:rPr>
        <w:t>рішення.</w:t>
      </w:r>
    </w:p>
    <w:p w14:paraId="5DE59D53" w14:textId="77777777" w:rsidR="00DE575E" w:rsidRDefault="002E7560">
      <w:pPr>
        <w:pStyle w:val="BodyText"/>
        <w:spacing w:before="4" w:line="252" w:lineRule="auto"/>
        <w:ind w:left="250" w:right="411" w:firstLine="283"/>
        <w:jc w:val="both"/>
      </w:pPr>
      <w:r>
        <w:rPr>
          <w:color w:val="231F20"/>
        </w:rPr>
        <w:t xml:space="preserve">Стадія вирішення адміністративної справи фактично завершу- ється, коли адміністративний орган, який </w:t>
      </w:r>
      <w:r>
        <w:rPr>
          <w:color w:val="231F20"/>
          <w:spacing w:val="-2"/>
        </w:rPr>
        <w:t xml:space="preserve">розглядає </w:t>
      </w:r>
      <w:r>
        <w:rPr>
          <w:color w:val="231F20"/>
          <w:spacing w:val="-3"/>
        </w:rPr>
        <w:t>заяву, д</w:t>
      </w:r>
      <w:r>
        <w:rPr>
          <w:color w:val="231F20"/>
          <w:spacing w:val="-3"/>
        </w:rPr>
        <w:t xml:space="preserve">оходить </w:t>
      </w:r>
      <w:r>
        <w:rPr>
          <w:color w:val="231F20"/>
        </w:rPr>
        <w:t xml:space="preserve">висновку, що всі матеріали, потрібні для </w:t>
      </w:r>
      <w:r>
        <w:rPr>
          <w:color w:val="231F20"/>
          <w:spacing w:val="-3"/>
        </w:rPr>
        <w:t xml:space="preserve">об’єктивного, </w:t>
      </w:r>
      <w:r>
        <w:rPr>
          <w:color w:val="231F20"/>
        </w:rPr>
        <w:t>повного та всебічного</w:t>
      </w:r>
      <w:r>
        <w:rPr>
          <w:color w:val="231F20"/>
          <w:spacing w:val="-12"/>
        </w:rPr>
        <w:t xml:space="preserve"> </w:t>
      </w:r>
      <w:r>
        <w:rPr>
          <w:color w:val="231F20"/>
        </w:rPr>
        <w:t>аналізу</w:t>
      </w:r>
      <w:r>
        <w:rPr>
          <w:color w:val="231F20"/>
          <w:spacing w:val="-12"/>
        </w:rPr>
        <w:t xml:space="preserve"> </w:t>
      </w:r>
      <w:r>
        <w:rPr>
          <w:color w:val="231F20"/>
        </w:rPr>
        <w:t>обставин</w:t>
      </w:r>
      <w:r>
        <w:rPr>
          <w:color w:val="231F20"/>
          <w:spacing w:val="-12"/>
        </w:rPr>
        <w:t xml:space="preserve"> </w:t>
      </w:r>
      <w:r>
        <w:rPr>
          <w:color w:val="231F20"/>
        </w:rPr>
        <w:t>справи,</w:t>
      </w:r>
      <w:r>
        <w:rPr>
          <w:color w:val="231F20"/>
          <w:spacing w:val="-12"/>
        </w:rPr>
        <w:t xml:space="preserve"> </w:t>
      </w:r>
      <w:r>
        <w:rPr>
          <w:color w:val="231F20"/>
        </w:rPr>
        <w:t>у</w:t>
      </w:r>
      <w:r>
        <w:rPr>
          <w:color w:val="231F20"/>
          <w:spacing w:val="-11"/>
        </w:rPr>
        <w:t xml:space="preserve"> </w:t>
      </w:r>
      <w:r>
        <w:rPr>
          <w:color w:val="231F20"/>
        </w:rPr>
        <w:t>нього</w:t>
      </w:r>
      <w:r>
        <w:rPr>
          <w:color w:val="231F20"/>
          <w:spacing w:val="-12"/>
        </w:rPr>
        <w:t xml:space="preserve"> </w:t>
      </w:r>
      <w:r>
        <w:rPr>
          <w:color w:val="231F20"/>
        </w:rPr>
        <w:t>є,</w:t>
      </w:r>
      <w:r>
        <w:rPr>
          <w:color w:val="231F20"/>
          <w:spacing w:val="-12"/>
        </w:rPr>
        <w:t xml:space="preserve"> </w:t>
      </w:r>
      <w:r>
        <w:rPr>
          <w:color w:val="231F20"/>
        </w:rPr>
        <w:t>та</w:t>
      </w:r>
      <w:r>
        <w:rPr>
          <w:color w:val="231F20"/>
          <w:spacing w:val="-12"/>
        </w:rPr>
        <w:t xml:space="preserve"> </w:t>
      </w:r>
      <w:r>
        <w:rPr>
          <w:color w:val="231F20"/>
        </w:rPr>
        <w:t>відсутні</w:t>
      </w:r>
      <w:r>
        <w:rPr>
          <w:color w:val="231F20"/>
          <w:spacing w:val="-12"/>
        </w:rPr>
        <w:t xml:space="preserve"> </w:t>
      </w:r>
      <w:r>
        <w:rPr>
          <w:color w:val="231F20"/>
        </w:rPr>
        <w:t>перешкоди для підготовки підсумкового документа у справі, яким є адміністра- тивний</w:t>
      </w:r>
      <w:r>
        <w:rPr>
          <w:color w:val="231F20"/>
          <w:spacing w:val="-7"/>
        </w:rPr>
        <w:t xml:space="preserve"> </w:t>
      </w:r>
      <w:r>
        <w:rPr>
          <w:color w:val="231F20"/>
          <w:spacing w:val="-5"/>
        </w:rPr>
        <w:t>акт.</w:t>
      </w:r>
      <w:r>
        <w:rPr>
          <w:color w:val="231F20"/>
          <w:spacing w:val="-7"/>
        </w:rPr>
        <w:t xml:space="preserve"> </w:t>
      </w:r>
      <w:r>
        <w:rPr>
          <w:color w:val="231F20"/>
        </w:rPr>
        <w:t>Фактично</w:t>
      </w:r>
      <w:r>
        <w:rPr>
          <w:color w:val="231F20"/>
          <w:spacing w:val="-7"/>
        </w:rPr>
        <w:t xml:space="preserve"> </w:t>
      </w:r>
      <w:r>
        <w:rPr>
          <w:color w:val="231F20"/>
        </w:rPr>
        <w:t>ця</w:t>
      </w:r>
      <w:r>
        <w:rPr>
          <w:color w:val="231F20"/>
          <w:spacing w:val="-7"/>
        </w:rPr>
        <w:t xml:space="preserve"> </w:t>
      </w:r>
      <w:r>
        <w:rPr>
          <w:color w:val="231F20"/>
        </w:rPr>
        <w:t>стадія</w:t>
      </w:r>
      <w:r>
        <w:rPr>
          <w:color w:val="231F20"/>
          <w:spacing w:val="-6"/>
        </w:rPr>
        <w:t xml:space="preserve"> </w:t>
      </w:r>
      <w:r>
        <w:rPr>
          <w:color w:val="231F20"/>
        </w:rPr>
        <w:t>завершується</w:t>
      </w:r>
      <w:r>
        <w:rPr>
          <w:color w:val="231F20"/>
          <w:spacing w:val="-7"/>
        </w:rPr>
        <w:t xml:space="preserve"> </w:t>
      </w:r>
      <w:r>
        <w:rPr>
          <w:color w:val="231F20"/>
        </w:rPr>
        <w:t>ух</w:t>
      </w:r>
      <w:r>
        <w:rPr>
          <w:color w:val="231F20"/>
        </w:rPr>
        <w:t>валенням</w:t>
      </w:r>
      <w:r>
        <w:rPr>
          <w:color w:val="231F20"/>
          <w:spacing w:val="-7"/>
        </w:rPr>
        <w:t xml:space="preserve"> </w:t>
      </w:r>
      <w:r>
        <w:rPr>
          <w:color w:val="231F20"/>
        </w:rPr>
        <w:t>управлін- ського</w:t>
      </w:r>
      <w:r>
        <w:rPr>
          <w:color w:val="231F20"/>
          <w:spacing w:val="-1"/>
        </w:rPr>
        <w:t xml:space="preserve"> </w:t>
      </w:r>
      <w:r>
        <w:rPr>
          <w:color w:val="231F20"/>
        </w:rPr>
        <w:t>рішення.</w:t>
      </w:r>
    </w:p>
    <w:p w14:paraId="4CD1571D" w14:textId="77777777" w:rsidR="00DE575E" w:rsidRDefault="00DE575E">
      <w:pPr>
        <w:pStyle w:val="BodyText"/>
        <w:spacing w:before="3"/>
        <w:rPr>
          <w:sz w:val="22"/>
        </w:rPr>
      </w:pPr>
    </w:p>
    <w:p w14:paraId="1607C4D6" w14:textId="77777777" w:rsidR="00DE575E" w:rsidRDefault="002E7560">
      <w:pPr>
        <w:pStyle w:val="Heading5"/>
        <w:numPr>
          <w:ilvl w:val="2"/>
          <w:numId w:val="140"/>
        </w:numPr>
        <w:tabs>
          <w:tab w:val="left" w:pos="1099"/>
        </w:tabs>
        <w:spacing w:line="252" w:lineRule="auto"/>
        <w:ind w:right="600" w:firstLine="0"/>
        <w:jc w:val="left"/>
      </w:pPr>
      <w:r>
        <w:rPr>
          <w:color w:val="231F20"/>
        </w:rPr>
        <w:t>Оформлення адміністративного акта, його доведення до відома адресатів й заінтересованих</w:t>
      </w:r>
      <w:r>
        <w:rPr>
          <w:color w:val="231F20"/>
          <w:spacing w:val="-7"/>
        </w:rPr>
        <w:t xml:space="preserve"> </w:t>
      </w:r>
      <w:r>
        <w:rPr>
          <w:color w:val="231F20"/>
        </w:rPr>
        <w:t>осіб</w:t>
      </w:r>
    </w:p>
    <w:p w14:paraId="4316FC4A" w14:textId="77777777" w:rsidR="00DE575E" w:rsidRDefault="00DE575E">
      <w:pPr>
        <w:pStyle w:val="BodyText"/>
        <w:spacing w:before="1"/>
        <w:rPr>
          <w:b/>
          <w:sz w:val="22"/>
        </w:rPr>
      </w:pPr>
    </w:p>
    <w:p w14:paraId="63D985B6" w14:textId="77777777" w:rsidR="00DE575E" w:rsidRDefault="002E7560">
      <w:pPr>
        <w:spacing w:line="252" w:lineRule="auto"/>
        <w:ind w:left="250" w:right="411" w:firstLine="283"/>
        <w:jc w:val="both"/>
        <w:rPr>
          <w:sz w:val="21"/>
        </w:rPr>
      </w:pPr>
      <w:r>
        <w:rPr>
          <w:color w:val="231F20"/>
          <w:sz w:val="21"/>
        </w:rPr>
        <w:t xml:space="preserve">Завершальною стадією адміністративної процедури є </w:t>
      </w:r>
      <w:r>
        <w:rPr>
          <w:b/>
          <w:i/>
          <w:color w:val="231F20"/>
          <w:sz w:val="21"/>
        </w:rPr>
        <w:t xml:space="preserve">ухвалення та оформлення адміністративного акта. </w:t>
      </w:r>
      <w:r>
        <w:rPr>
          <w:color w:val="231F20"/>
          <w:sz w:val="21"/>
        </w:rPr>
        <w:t xml:space="preserve">За своєю правовою сутністю адміністративний акт є документом, більш відомим на сьогодні в українській навчальній літературі як </w:t>
      </w:r>
      <w:r>
        <w:rPr>
          <w:i/>
          <w:color w:val="231F20"/>
          <w:sz w:val="21"/>
        </w:rPr>
        <w:t xml:space="preserve">акт державного управління </w:t>
      </w:r>
      <w:r>
        <w:rPr>
          <w:color w:val="231F20"/>
          <w:sz w:val="21"/>
        </w:rPr>
        <w:t>(акт публічного управління, управлінський акт).</w:t>
      </w:r>
    </w:p>
    <w:p w14:paraId="2AEB875D" w14:textId="77777777" w:rsidR="00DE575E" w:rsidRDefault="002E7560">
      <w:pPr>
        <w:pStyle w:val="BodyText"/>
        <w:spacing w:before="3" w:line="252" w:lineRule="auto"/>
        <w:ind w:left="250" w:right="411" w:firstLine="283"/>
        <w:jc w:val="both"/>
      </w:pPr>
      <w:r>
        <w:rPr>
          <w:color w:val="231F20"/>
        </w:rPr>
        <w:t>Проте незалежно від назви його роль і значення важко пе</w:t>
      </w:r>
      <w:r>
        <w:rPr>
          <w:color w:val="231F20"/>
        </w:rPr>
        <w:t>реоці- нити. Фактично це те, заради чого приватна особа (заявник) ініцію- вала</w:t>
      </w:r>
      <w:r>
        <w:rPr>
          <w:color w:val="231F20"/>
          <w:spacing w:val="-16"/>
        </w:rPr>
        <w:t xml:space="preserve"> </w:t>
      </w:r>
      <w:r>
        <w:rPr>
          <w:color w:val="231F20"/>
        </w:rPr>
        <w:t>адміністративну</w:t>
      </w:r>
      <w:r>
        <w:rPr>
          <w:color w:val="231F20"/>
          <w:spacing w:val="-16"/>
        </w:rPr>
        <w:t xml:space="preserve"> </w:t>
      </w:r>
      <w:r>
        <w:rPr>
          <w:color w:val="231F20"/>
        </w:rPr>
        <w:t>процедуру</w:t>
      </w:r>
      <w:r>
        <w:rPr>
          <w:color w:val="231F20"/>
          <w:spacing w:val="-16"/>
        </w:rPr>
        <w:t xml:space="preserve"> </w:t>
      </w:r>
      <w:r>
        <w:rPr>
          <w:color w:val="231F20"/>
        </w:rPr>
        <w:t>в</w:t>
      </w:r>
      <w:r>
        <w:rPr>
          <w:color w:val="231F20"/>
          <w:spacing w:val="-15"/>
        </w:rPr>
        <w:t xml:space="preserve"> </w:t>
      </w:r>
      <w:r>
        <w:rPr>
          <w:color w:val="231F20"/>
        </w:rPr>
        <w:t>разі</w:t>
      </w:r>
      <w:r>
        <w:rPr>
          <w:color w:val="231F20"/>
          <w:spacing w:val="-16"/>
        </w:rPr>
        <w:t xml:space="preserve"> </w:t>
      </w:r>
      <w:r>
        <w:rPr>
          <w:color w:val="231F20"/>
        </w:rPr>
        <w:t>заявної</w:t>
      </w:r>
      <w:r>
        <w:rPr>
          <w:color w:val="231F20"/>
          <w:spacing w:val="-16"/>
        </w:rPr>
        <w:t xml:space="preserve"> </w:t>
      </w:r>
      <w:r>
        <w:rPr>
          <w:color w:val="231F20"/>
        </w:rPr>
        <w:t>процедури,</w:t>
      </w:r>
      <w:r>
        <w:rPr>
          <w:color w:val="231F20"/>
          <w:spacing w:val="-16"/>
        </w:rPr>
        <w:t xml:space="preserve"> </w:t>
      </w:r>
      <w:r>
        <w:rPr>
          <w:color w:val="231F20"/>
        </w:rPr>
        <w:t>чи</w:t>
      </w:r>
      <w:r>
        <w:rPr>
          <w:color w:val="231F20"/>
          <w:spacing w:val="-16"/>
        </w:rPr>
        <w:t xml:space="preserve"> </w:t>
      </w:r>
      <w:r>
        <w:rPr>
          <w:color w:val="231F20"/>
        </w:rPr>
        <w:t>підсум- ковий юридичний</w:t>
      </w:r>
      <w:r>
        <w:rPr>
          <w:color w:val="231F20"/>
          <w:spacing w:val="-34"/>
        </w:rPr>
        <w:t xml:space="preserve"> </w:t>
      </w:r>
      <w:r>
        <w:rPr>
          <w:color w:val="231F20"/>
        </w:rPr>
        <w:t>документ втручальної процедури, з яким адресат може погодитись чи його оскаржити. Адміністративний</w:t>
      </w:r>
      <w:r>
        <w:rPr>
          <w:color w:val="231F20"/>
        </w:rPr>
        <w:t xml:space="preserve"> акт підля- гає реєстрації адміністративним органом упродовж дня, що настає за днем його</w:t>
      </w:r>
      <w:r>
        <w:rPr>
          <w:color w:val="231F20"/>
          <w:spacing w:val="-3"/>
        </w:rPr>
        <w:t xml:space="preserve"> </w:t>
      </w:r>
      <w:r>
        <w:rPr>
          <w:color w:val="231F20"/>
        </w:rPr>
        <w:t>ухвалення.</w:t>
      </w:r>
    </w:p>
    <w:p w14:paraId="28B4B202" w14:textId="77777777" w:rsidR="00DE575E" w:rsidRDefault="002E7560">
      <w:pPr>
        <w:pStyle w:val="BodyText"/>
        <w:spacing w:before="3" w:line="252" w:lineRule="auto"/>
        <w:ind w:left="250" w:right="410" w:firstLine="283"/>
        <w:jc w:val="both"/>
      </w:pPr>
      <w:r>
        <w:rPr>
          <w:color w:val="231F20"/>
        </w:rPr>
        <w:t>Адміністративний акт набирає чинності з моменту доведення його  до  відома  особи  (осіб),  якщо  інше  не  передбачено  законо-</w:t>
      </w:r>
    </w:p>
    <w:p w14:paraId="371DCB8C" w14:textId="77777777" w:rsidR="00DE575E" w:rsidRDefault="00DE575E">
      <w:pPr>
        <w:pStyle w:val="BodyText"/>
        <w:spacing w:before="7"/>
        <w:rPr>
          <w:sz w:val="12"/>
        </w:rPr>
      </w:pPr>
    </w:p>
    <w:p w14:paraId="0D168504" w14:textId="77777777" w:rsidR="00DE575E" w:rsidRDefault="002E7560">
      <w:pPr>
        <w:spacing w:before="92"/>
        <w:ind w:right="411"/>
        <w:jc w:val="right"/>
        <w:rPr>
          <w:rFonts w:ascii="Times New Roman"/>
          <w:sz w:val="20"/>
        </w:rPr>
      </w:pPr>
      <w:r>
        <w:rPr>
          <w:rFonts w:ascii="Times New Roman"/>
          <w:color w:val="231F20"/>
          <w:w w:val="90"/>
          <w:sz w:val="20"/>
        </w:rPr>
        <w:t>313</w:t>
      </w:r>
    </w:p>
    <w:p w14:paraId="33F9A50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B3D98D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51D8E5A" w14:textId="2058A99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E354D19" wp14:editId="6A7B898C">
                <wp:extent cx="4140200" cy="6350"/>
                <wp:effectExtent l="0" t="0" r="12700" b="6350"/>
                <wp:docPr id="629"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30" name="Line 6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FFC2C5" id="Group_x0020_6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wkSoaoECAACYBQAA&#10;DgAAAAAAAAAAAAAAAAAsAgAAZHJzL2Uyb0RvYy54bWxQSwECLQAUAAYACAAAACEATKewkNkAAAAD&#10;AQAADwAAAAAAAAAAAAAAAADZBAAAZHJzL2Rvd25yZXYueG1sUEsFBgAAAAAEAAQA8wAAAN8FAAAA&#10;AA==&#10;">
                <v:line id="Line_x0020_6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JOrcIAAADcAAAADwAAAGRycy9kb3ducmV2LnhtbERP3WrCMBS+H/gO4QjeDE23gkg1igjC&#10;2IVu1gc4Nse2mJzUJtrq05uLwS4/vv/FqrdG3Kn1tWMFH5MEBHHhdM2lgmO+Hc9A+ICs0TgmBQ/y&#10;sFoO3haYadfxL90PoRQxhH2GCqoQmkxKX1Rk0U9cQxy5s2sthgjbUuoWuxhujfxMkqm0WHNsqLCh&#10;TUXF5XCzCvLrezA/+2/T5ftTKk/XXfq87ZQaDfv1HESgPvyL/9xfWsE0jfPj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UJOrcIAAADcAAAADwAAAAAAAAAAAAAA&#10;AAChAgAAZHJzL2Rvd25yZXYueG1sUEsFBgAAAAAEAAQA+QAAAJADAAAAAA==&#10;" strokecolor="#231f20" strokeweight=".5pt"/>
                <w10:anchorlock/>
              </v:group>
            </w:pict>
          </mc:Fallback>
        </mc:AlternateContent>
      </w:r>
    </w:p>
    <w:p w14:paraId="69EB0482" w14:textId="77777777" w:rsidR="00DE575E" w:rsidRDefault="00DE575E">
      <w:pPr>
        <w:pStyle w:val="BodyText"/>
        <w:spacing w:before="7"/>
        <w:rPr>
          <w:rFonts w:ascii="AdonisC"/>
          <w:i/>
          <w:sz w:val="11"/>
        </w:rPr>
      </w:pPr>
    </w:p>
    <w:p w14:paraId="7818EC0E" w14:textId="77777777" w:rsidR="00DE575E" w:rsidRDefault="002E7560">
      <w:pPr>
        <w:pStyle w:val="BodyText"/>
        <w:spacing w:before="101" w:line="252" w:lineRule="auto"/>
        <w:ind w:left="533" w:right="126"/>
        <w:jc w:val="both"/>
      </w:pPr>
      <w:r>
        <w:rPr>
          <w:color w:val="231F20"/>
        </w:rPr>
        <w:t>давством або самим адміністративним актом. Доведення такого акта до відома особи (осіб) здійснюється через його оголошення, вручення або надсилання акта поштою, зокрема електронною, чи передання з використанням інших за</w:t>
      </w:r>
      <w:r>
        <w:rPr>
          <w:color w:val="231F20"/>
        </w:rPr>
        <w:t>собів зв’язку.</w:t>
      </w:r>
    </w:p>
    <w:p w14:paraId="6F24C673" w14:textId="77777777" w:rsidR="00DE575E" w:rsidRDefault="002E7560">
      <w:pPr>
        <w:pStyle w:val="BodyText"/>
        <w:spacing w:before="2" w:line="252" w:lineRule="auto"/>
        <w:ind w:left="533" w:right="128" w:firstLine="283"/>
        <w:jc w:val="both"/>
      </w:pPr>
      <w:r>
        <w:rPr>
          <w:color w:val="231F20"/>
        </w:rPr>
        <w:t>Адміністративний акт, який стосується великої кількості осіб, може доводитися до їх відома через офіційні друковані засоби масо- вої інформації із зазначенням сутності рішення, порядку ознайом- лення та порядку оскарження.</w:t>
      </w:r>
    </w:p>
    <w:p w14:paraId="70DE233C" w14:textId="77777777" w:rsidR="00DE575E" w:rsidRDefault="00DE575E">
      <w:pPr>
        <w:pStyle w:val="BodyText"/>
        <w:spacing w:before="1"/>
        <w:rPr>
          <w:sz w:val="22"/>
        </w:rPr>
      </w:pPr>
    </w:p>
    <w:p w14:paraId="14FA9F93" w14:textId="77777777" w:rsidR="00DE575E" w:rsidRDefault="002E7560">
      <w:pPr>
        <w:pStyle w:val="Heading5"/>
        <w:spacing w:before="1"/>
        <w:ind w:left="817"/>
      </w:pPr>
      <w:r>
        <w:rPr>
          <w:color w:val="231F20"/>
        </w:rPr>
        <w:t>8.5.4. Перегляд а</w:t>
      </w:r>
      <w:r>
        <w:rPr>
          <w:color w:val="231F20"/>
        </w:rPr>
        <w:t>дміністративного акта</w:t>
      </w:r>
    </w:p>
    <w:p w14:paraId="6DC877BB" w14:textId="77777777" w:rsidR="00DE575E" w:rsidRDefault="00DE575E">
      <w:pPr>
        <w:pStyle w:val="BodyText"/>
        <w:spacing w:before="2"/>
        <w:rPr>
          <w:b/>
          <w:sz w:val="23"/>
        </w:rPr>
      </w:pPr>
    </w:p>
    <w:p w14:paraId="3EA63D04" w14:textId="77777777" w:rsidR="00DE575E" w:rsidRDefault="002E7560">
      <w:pPr>
        <w:pStyle w:val="BodyText"/>
        <w:spacing w:line="252" w:lineRule="auto"/>
        <w:ind w:left="533" w:right="124" w:firstLine="283"/>
        <w:jc w:val="both"/>
      </w:pPr>
      <w:r>
        <w:rPr>
          <w:color w:val="231F20"/>
        </w:rPr>
        <w:t>Про  вручення  адміністративного  акта  особисто,  надіслання  на прохання особи поштою, зокрема електронною, чи з викорис- танням інших засобів зв’язку особі або визначеним в акті вико- навцям,   а   також   про   оприлюднення   адм</w:t>
      </w:r>
      <w:r>
        <w:rPr>
          <w:color w:val="231F20"/>
        </w:rPr>
        <w:t>іністративного   акта   у  випадках,  передбачених  чинним  законодавством,  відповідно  до правил діловодства позначається в матеріалах адміністратив- ної</w:t>
      </w:r>
      <w:r>
        <w:rPr>
          <w:color w:val="231F20"/>
          <w:spacing w:val="3"/>
        </w:rPr>
        <w:t xml:space="preserve"> </w:t>
      </w:r>
      <w:r>
        <w:rPr>
          <w:color w:val="231F20"/>
        </w:rPr>
        <w:t>справи.</w:t>
      </w:r>
    </w:p>
    <w:p w14:paraId="0A7F9481" w14:textId="77777777" w:rsidR="00DE575E" w:rsidRDefault="002E7560">
      <w:pPr>
        <w:pStyle w:val="BodyText"/>
        <w:spacing w:before="3" w:line="252" w:lineRule="auto"/>
        <w:ind w:left="533" w:right="127" w:firstLine="283"/>
        <w:jc w:val="both"/>
      </w:pPr>
      <w:r>
        <w:rPr>
          <w:color w:val="231F20"/>
        </w:rPr>
        <w:t>З</w:t>
      </w:r>
      <w:r>
        <w:rPr>
          <w:color w:val="231F20"/>
          <w:spacing w:val="-20"/>
        </w:rPr>
        <w:t xml:space="preserve"> </w:t>
      </w:r>
      <w:r>
        <w:rPr>
          <w:color w:val="231F20"/>
        </w:rPr>
        <w:t>метою</w:t>
      </w:r>
      <w:r>
        <w:rPr>
          <w:color w:val="231F20"/>
          <w:spacing w:val="-20"/>
        </w:rPr>
        <w:t xml:space="preserve"> </w:t>
      </w:r>
      <w:r>
        <w:rPr>
          <w:color w:val="231F20"/>
        </w:rPr>
        <w:t>реального</w:t>
      </w:r>
      <w:r>
        <w:rPr>
          <w:color w:val="231F20"/>
          <w:spacing w:val="-20"/>
        </w:rPr>
        <w:t xml:space="preserve"> </w:t>
      </w:r>
      <w:r>
        <w:rPr>
          <w:color w:val="231F20"/>
        </w:rPr>
        <w:t>забезпечення</w:t>
      </w:r>
      <w:r>
        <w:rPr>
          <w:color w:val="231F20"/>
          <w:spacing w:val="-20"/>
        </w:rPr>
        <w:t xml:space="preserve"> </w:t>
      </w:r>
      <w:r>
        <w:rPr>
          <w:color w:val="231F20"/>
        </w:rPr>
        <w:t>прав,</w:t>
      </w:r>
      <w:r>
        <w:rPr>
          <w:color w:val="231F20"/>
          <w:spacing w:val="-20"/>
        </w:rPr>
        <w:t xml:space="preserve"> </w:t>
      </w:r>
      <w:r>
        <w:rPr>
          <w:color w:val="231F20"/>
        </w:rPr>
        <w:t>свобод</w:t>
      </w:r>
      <w:r>
        <w:rPr>
          <w:color w:val="231F20"/>
          <w:spacing w:val="-20"/>
        </w:rPr>
        <w:t xml:space="preserve"> </w:t>
      </w:r>
      <w:r>
        <w:rPr>
          <w:color w:val="231F20"/>
        </w:rPr>
        <w:t>і</w:t>
      </w:r>
      <w:r>
        <w:rPr>
          <w:color w:val="231F20"/>
          <w:spacing w:val="-19"/>
        </w:rPr>
        <w:t xml:space="preserve"> </w:t>
      </w:r>
      <w:r>
        <w:rPr>
          <w:color w:val="231F20"/>
        </w:rPr>
        <w:t>законних</w:t>
      </w:r>
      <w:r>
        <w:rPr>
          <w:color w:val="231F20"/>
          <w:spacing w:val="-20"/>
        </w:rPr>
        <w:t xml:space="preserve"> </w:t>
      </w:r>
      <w:r>
        <w:rPr>
          <w:color w:val="231F20"/>
        </w:rPr>
        <w:t>інтересів заявників та інших учасникі</w:t>
      </w:r>
      <w:r>
        <w:rPr>
          <w:color w:val="231F20"/>
        </w:rPr>
        <w:t>в адміністративної процедури передба- чено</w:t>
      </w:r>
      <w:r>
        <w:rPr>
          <w:color w:val="231F20"/>
          <w:spacing w:val="-13"/>
        </w:rPr>
        <w:t xml:space="preserve"> </w:t>
      </w:r>
      <w:r>
        <w:rPr>
          <w:color w:val="231F20"/>
        </w:rPr>
        <w:t>можливість</w:t>
      </w:r>
      <w:r>
        <w:rPr>
          <w:color w:val="231F20"/>
          <w:spacing w:val="-13"/>
        </w:rPr>
        <w:t xml:space="preserve"> </w:t>
      </w:r>
      <w:r>
        <w:rPr>
          <w:color w:val="231F20"/>
        </w:rPr>
        <w:t>перегляду</w:t>
      </w:r>
      <w:r>
        <w:rPr>
          <w:color w:val="231F20"/>
          <w:spacing w:val="-13"/>
        </w:rPr>
        <w:t xml:space="preserve"> </w:t>
      </w:r>
      <w:r>
        <w:rPr>
          <w:color w:val="231F20"/>
        </w:rPr>
        <w:t>адміністративного</w:t>
      </w:r>
      <w:r>
        <w:rPr>
          <w:color w:val="231F20"/>
          <w:spacing w:val="-13"/>
        </w:rPr>
        <w:t xml:space="preserve"> </w:t>
      </w:r>
      <w:r>
        <w:rPr>
          <w:color w:val="231F20"/>
        </w:rPr>
        <w:t>акта</w:t>
      </w:r>
      <w:r>
        <w:rPr>
          <w:color w:val="231F20"/>
          <w:spacing w:val="-13"/>
        </w:rPr>
        <w:t xml:space="preserve"> </w:t>
      </w:r>
      <w:r>
        <w:rPr>
          <w:color w:val="231F20"/>
        </w:rPr>
        <w:t>як</w:t>
      </w:r>
      <w:r>
        <w:rPr>
          <w:color w:val="231F20"/>
          <w:spacing w:val="-13"/>
        </w:rPr>
        <w:t xml:space="preserve"> </w:t>
      </w:r>
      <w:r>
        <w:rPr>
          <w:color w:val="231F20"/>
        </w:rPr>
        <w:t>підсумкового документа, що видається на підставі рішення в адміністративній справі. Найбільш показовими підставами для цього є нововиявлені обставини та оскарження ад</w:t>
      </w:r>
      <w:r>
        <w:rPr>
          <w:color w:val="231F20"/>
        </w:rPr>
        <w:t>міністративного</w:t>
      </w:r>
      <w:r>
        <w:rPr>
          <w:color w:val="231F20"/>
          <w:spacing w:val="-4"/>
        </w:rPr>
        <w:t xml:space="preserve"> </w:t>
      </w:r>
      <w:r>
        <w:rPr>
          <w:color w:val="231F20"/>
        </w:rPr>
        <w:t>акта.</w:t>
      </w:r>
    </w:p>
    <w:p w14:paraId="5B70C85E" w14:textId="77777777" w:rsidR="00DE575E" w:rsidRDefault="002E7560">
      <w:pPr>
        <w:pStyle w:val="BodyText"/>
        <w:spacing w:before="3" w:line="252" w:lineRule="auto"/>
        <w:ind w:left="533" w:right="130" w:firstLine="283"/>
        <w:jc w:val="both"/>
      </w:pPr>
      <w:r>
        <w:rPr>
          <w:color w:val="231F20"/>
        </w:rPr>
        <w:t>Особа має право подати заяву про перегляд адміністративного акта за нововиявленими обставинами, якщо:</w:t>
      </w:r>
    </w:p>
    <w:p w14:paraId="10C39E23" w14:textId="77777777" w:rsidR="00DE575E" w:rsidRDefault="002E7560">
      <w:pPr>
        <w:pStyle w:val="ListParagraph"/>
        <w:numPr>
          <w:ilvl w:val="1"/>
          <w:numId w:val="177"/>
        </w:numPr>
        <w:tabs>
          <w:tab w:val="left" w:pos="1101"/>
        </w:tabs>
        <w:spacing w:line="252" w:lineRule="auto"/>
        <w:ind w:right="128" w:firstLine="284"/>
        <w:rPr>
          <w:sz w:val="21"/>
        </w:rPr>
      </w:pPr>
      <w:r>
        <w:rPr>
          <w:color w:val="231F20"/>
          <w:sz w:val="21"/>
        </w:rPr>
        <w:t>стали</w:t>
      </w:r>
      <w:r>
        <w:rPr>
          <w:color w:val="231F20"/>
          <w:spacing w:val="-10"/>
          <w:sz w:val="21"/>
        </w:rPr>
        <w:t xml:space="preserve"> </w:t>
      </w:r>
      <w:r>
        <w:rPr>
          <w:color w:val="231F20"/>
          <w:sz w:val="21"/>
        </w:rPr>
        <w:t>відомі</w:t>
      </w:r>
      <w:r>
        <w:rPr>
          <w:color w:val="231F20"/>
          <w:spacing w:val="-10"/>
          <w:sz w:val="21"/>
        </w:rPr>
        <w:t xml:space="preserve"> </w:t>
      </w:r>
      <w:r>
        <w:rPr>
          <w:color w:val="231F20"/>
          <w:sz w:val="21"/>
        </w:rPr>
        <w:t>нові</w:t>
      </w:r>
      <w:r>
        <w:rPr>
          <w:color w:val="231F20"/>
          <w:spacing w:val="-10"/>
          <w:sz w:val="21"/>
        </w:rPr>
        <w:t xml:space="preserve"> </w:t>
      </w:r>
      <w:r>
        <w:rPr>
          <w:color w:val="231F20"/>
          <w:sz w:val="21"/>
        </w:rPr>
        <w:t>істотні</w:t>
      </w:r>
      <w:r>
        <w:rPr>
          <w:color w:val="231F20"/>
          <w:spacing w:val="-10"/>
          <w:sz w:val="21"/>
        </w:rPr>
        <w:t xml:space="preserve"> </w:t>
      </w:r>
      <w:r>
        <w:rPr>
          <w:color w:val="231F20"/>
          <w:sz w:val="21"/>
        </w:rPr>
        <w:t>докази</w:t>
      </w:r>
      <w:r>
        <w:rPr>
          <w:color w:val="231F20"/>
          <w:spacing w:val="-10"/>
          <w:sz w:val="21"/>
        </w:rPr>
        <w:t xml:space="preserve"> </w:t>
      </w:r>
      <w:r>
        <w:rPr>
          <w:color w:val="231F20"/>
          <w:sz w:val="21"/>
        </w:rPr>
        <w:t>у</w:t>
      </w:r>
      <w:r>
        <w:rPr>
          <w:color w:val="231F20"/>
          <w:spacing w:val="-10"/>
          <w:sz w:val="21"/>
        </w:rPr>
        <w:t xml:space="preserve"> </w:t>
      </w:r>
      <w:r>
        <w:rPr>
          <w:color w:val="231F20"/>
          <w:sz w:val="21"/>
        </w:rPr>
        <w:t>справі,</w:t>
      </w:r>
      <w:r>
        <w:rPr>
          <w:color w:val="231F20"/>
          <w:spacing w:val="-10"/>
          <w:sz w:val="21"/>
        </w:rPr>
        <w:t xml:space="preserve"> </w:t>
      </w:r>
      <w:r>
        <w:rPr>
          <w:color w:val="231F20"/>
          <w:sz w:val="21"/>
        </w:rPr>
        <w:t>що</w:t>
      </w:r>
      <w:r>
        <w:rPr>
          <w:color w:val="231F20"/>
          <w:spacing w:val="-10"/>
          <w:sz w:val="21"/>
        </w:rPr>
        <w:t xml:space="preserve"> </w:t>
      </w:r>
      <w:r>
        <w:rPr>
          <w:color w:val="231F20"/>
          <w:sz w:val="21"/>
        </w:rPr>
        <w:t>не</w:t>
      </w:r>
      <w:r>
        <w:rPr>
          <w:color w:val="231F20"/>
          <w:spacing w:val="-10"/>
          <w:sz w:val="21"/>
        </w:rPr>
        <w:t xml:space="preserve"> </w:t>
      </w:r>
      <w:r>
        <w:rPr>
          <w:color w:val="231F20"/>
          <w:spacing w:val="-3"/>
          <w:sz w:val="21"/>
        </w:rPr>
        <w:t>були</w:t>
      </w:r>
      <w:r>
        <w:rPr>
          <w:color w:val="231F20"/>
          <w:spacing w:val="-10"/>
          <w:sz w:val="21"/>
        </w:rPr>
        <w:t xml:space="preserve"> </w:t>
      </w:r>
      <w:r>
        <w:rPr>
          <w:color w:val="231F20"/>
          <w:sz w:val="21"/>
        </w:rPr>
        <w:t>й</w:t>
      </w:r>
      <w:r>
        <w:rPr>
          <w:color w:val="231F20"/>
          <w:spacing w:val="-10"/>
          <w:sz w:val="21"/>
        </w:rPr>
        <w:t xml:space="preserve"> </w:t>
      </w:r>
      <w:r>
        <w:rPr>
          <w:color w:val="231F20"/>
          <w:sz w:val="21"/>
        </w:rPr>
        <w:t>не</w:t>
      </w:r>
      <w:r>
        <w:rPr>
          <w:color w:val="231F20"/>
          <w:spacing w:val="-10"/>
          <w:sz w:val="21"/>
        </w:rPr>
        <w:t xml:space="preserve"> </w:t>
      </w:r>
      <w:r>
        <w:rPr>
          <w:color w:val="231F20"/>
          <w:spacing w:val="-3"/>
          <w:sz w:val="21"/>
        </w:rPr>
        <w:t xml:space="preserve">могли </w:t>
      </w:r>
      <w:r>
        <w:rPr>
          <w:color w:val="231F20"/>
          <w:sz w:val="21"/>
        </w:rPr>
        <w:t>бути відомі особі під час здійснення адміністративної</w:t>
      </w:r>
      <w:r>
        <w:rPr>
          <w:color w:val="231F20"/>
          <w:spacing w:val="-18"/>
          <w:sz w:val="21"/>
        </w:rPr>
        <w:t xml:space="preserve"> </w:t>
      </w:r>
      <w:r>
        <w:rPr>
          <w:color w:val="231F20"/>
          <w:sz w:val="21"/>
        </w:rPr>
        <w:t>процедури;</w:t>
      </w:r>
    </w:p>
    <w:p w14:paraId="3B964BFA" w14:textId="77777777" w:rsidR="00DE575E" w:rsidRDefault="002E7560">
      <w:pPr>
        <w:pStyle w:val="ListParagraph"/>
        <w:numPr>
          <w:ilvl w:val="1"/>
          <w:numId w:val="177"/>
        </w:numPr>
        <w:tabs>
          <w:tab w:val="left" w:pos="1101"/>
        </w:tabs>
        <w:spacing w:line="252" w:lineRule="auto"/>
        <w:ind w:right="128" w:firstLine="284"/>
        <w:rPr>
          <w:sz w:val="21"/>
        </w:rPr>
      </w:pPr>
      <w:r>
        <w:rPr>
          <w:color w:val="231F20"/>
          <w:sz w:val="21"/>
        </w:rPr>
        <w:t xml:space="preserve">рішенням </w:t>
      </w:r>
      <w:r>
        <w:rPr>
          <w:color w:val="231F20"/>
          <w:spacing w:val="-7"/>
          <w:sz w:val="21"/>
        </w:rPr>
        <w:t xml:space="preserve">суду, </w:t>
      </w:r>
      <w:r>
        <w:rPr>
          <w:color w:val="231F20"/>
          <w:sz w:val="21"/>
        </w:rPr>
        <w:t>яке набрало законної сили, установлено, що адміністративний</w:t>
      </w:r>
      <w:r>
        <w:rPr>
          <w:color w:val="231F20"/>
          <w:spacing w:val="-14"/>
          <w:sz w:val="21"/>
        </w:rPr>
        <w:t xml:space="preserve"> </w:t>
      </w:r>
      <w:r>
        <w:rPr>
          <w:color w:val="231F20"/>
          <w:sz w:val="21"/>
        </w:rPr>
        <w:t>акт</w:t>
      </w:r>
      <w:r>
        <w:rPr>
          <w:color w:val="231F20"/>
          <w:spacing w:val="-14"/>
          <w:sz w:val="21"/>
        </w:rPr>
        <w:t xml:space="preserve"> </w:t>
      </w:r>
      <w:r>
        <w:rPr>
          <w:color w:val="231F20"/>
          <w:sz w:val="21"/>
        </w:rPr>
        <w:t>ухвалено</w:t>
      </w:r>
      <w:r>
        <w:rPr>
          <w:color w:val="231F20"/>
          <w:spacing w:val="-14"/>
          <w:sz w:val="21"/>
        </w:rPr>
        <w:t xml:space="preserve"> </w:t>
      </w:r>
      <w:r>
        <w:rPr>
          <w:color w:val="231F20"/>
          <w:sz w:val="21"/>
        </w:rPr>
        <w:t>внаслідок</w:t>
      </w:r>
      <w:r>
        <w:rPr>
          <w:color w:val="231F20"/>
          <w:spacing w:val="-14"/>
          <w:sz w:val="21"/>
        </w:rPr>
        <w:t xml:space="preserve"> </w:t>
      </w:r>
      <w:r>
        <w:rPr>
          <w:color w:val="231F20"/>
          <w:spacing w:val="-3"/>
          <w:sz w:val="21"/>
        </w:rPr>
        <w:t>обману,</w:t>
      </w:r>
      <w:r>
        <w:rPr>
          <w:color w:val="231F20"/>
          <w:spacing w:val="-14"/>
          <w:sz w:val="21"/>
        </w:rPr>
        <w:t xml:space="preserve"> </w:t>
      </w:r>
      <w:r>
        <w:rPr>
          <w:color w:val="231F20"/>
          <w:sz w:val="21"/>
        </w:rPr>
        <w:t>погрози</w:t>
      </w:r>
      <w:r>
        <w:rPr>
          <w:color w:val="231F20"/>
          <w:spacing w:val="-14"/>
          <w:sz w:val="21"/>
        </w:rPr>
        <w:t xml:space="preserve"> </w:t>
      </w:r>
      <w:r>
        <w:rPr>
          <w:color w:val="231F20"/>
          <w:sz w:val="21"/>
        </w:rPr>
        <w:t>чи</w:t>
      </w:r>
      <w:r>
        <w:rPr>
          <w:color w:val="231F20"/>
          <w:spacing w:val="-14"/>
          <w:sz w:val="21"/>
        </w:rPr>
        <w:t xml:space="preserve"> </w:t>
      </w:r>
      <w:r>
        <w:rPr>
          <w:color w:val="231F20"/>
          <w:sz w:val="21"/>
        </w:rPr>
        <w:t>іншого протиправного впливу на адміністративний</w:t>
      </w:r>
      <w:r>
        <w:rPr>
          <w:color w:val="231F20"/>
          <w:spacing w:val="-5"/>
          <w:sz w:val="21"/>
        </w:rPr>
        <w:t xml:space="preserve"> </w:t>
      </w:r>
      <w:r>
        <w:rPr>
          <w:color w:val="231F20"/>
          <w:sz w:val="21"/>
        </w:rPr>
        <w:t>орган.</w:t>
      </w:r>
    </w:p>
    <w:p w14:paraId="0FED968E" w14:textId="77777777" w:rsidR="00DE575E" w:rsidRDefault="002E7560">
      <w:pPr>
        <w:spacing w:before="2" w:line="252" w:lineRule="auto"/>
        <w:ind w:left="533" w:right="127" w:firstLine="283"/>
        <w:jc w:val="both"/>
        <w:rPr>
          <w:sz w:val="21"/>
        </w:rPr>
      </w:pPr>
      <w:r>
        <w:rPr>
          <w:i/>
          <w:color w:val="231F20"/>
          <w:sz w:val="21"/>
        </w:rPr>
        <w:t xml:space="preserve">Заява про перегляд адміністративного акта за нововиявленими обставинами подається </w:t>
      </w:r>
      <w:r>
        <w:rPr>
          <w:color w:val="231F20"/>
          <w:sz w:val="21"/>
        </w:rPr>
        <w:t>ад</w:t>
      </w:r>
      <w:r>
        <w:rPr>
          <w:color w:val="231F20"/>
          <w:sz w:val="21"/>
        </w:rPr>
        <w:t>міністративному органу, який видав такий акт, або адміністративному органу, до компетенції якого належало б видання такого акта на момент його перегляду. Заява про перегляд адміністративного акта подається впродовж одного місяця з моменту, коли стало відом</w:t>
      </w:r>
      <w:r>
        <w:rPr>
          <w:color w:val="231F20"/>
          <w:sz w:val="21"/>
        </w:rPr>
        <w:t>о про вищевказані обставини.</w:t>
      </w:r>
    </w:p>
    <w:p w14:paraId="28B58C2C" w14:textId="77777777" w:rsidR="00DE575E" w:rsidRDefault="002E7560">
      <w:pPr>
        <w:pStyle w:val="BodyText"/>
        <w:spacing w:before="3" w:line="252" w:lineRule="auto"/>
        <w:ind w:left="533" w:right="128" w:firstLine="283"/>
        <w:jc w:val="both"/>
      </w:pPr>
      <w:r>
        <w:rPr>
          <w:color w:val="231F20"/>
        </w:rPr>
        <w:t>Що</w:t>
      </w:r>
      <w:r>
        <w:rPr>
          <w:color w:val="231F20"/>
          <w:spacing w:val="-8"/>
        </w:rPr>
        <w:t xml:space="preserve"> </w:t>
      </w:r>
      <w:r>
        <w:rPr>
          <w:color w:val="231F20"/>
        </w:rPr>
        <w:t>ж</w:t>
      </w:r>
      <w:r>
        <w:rPr>
          <w:color w:val="231F20"/>
          <w:spacing w:val="-8"/>
        </w:rPr>
        <w:t xml:space="preserve"> </w:t>
      </w:r>
      <w:r>
        <w:rPr>
          <w:color w:val="231F20"/>
        </w:rPr>
        <w:t>стосується</w:t>
      </w:r>
      <w:r>
        <w:rPr>
          <w:color w:val="231F20"/>
          <w:spacing w:val="-8"/>
        </w:rPr>
        <w:t xml:space="preserve"> </w:t>
      </w:r>
      <w:r>
        <w:rPr>
          <w:color w:val="231F20"/>
        </w:rPr>
        <w:t>скарги,</w:t>
      </w:r>
      <w:r>
        <w:rPr>
          <w:color w:val="231F20"/>
          <w:spacing w:val="-8"/>
        </w:rPr>
        <w:t xml:space="preserve"> </w:t>
      </w:r>
      <w:r>
        <w:rPr>
          <w:color w:val="231F20"/>
        </w:rPr>
        <w:t>то</w:t>
      </w:r>
      <w:r>
        <w:rPr>
          <w:color w:val="231F20"/>
          <w:spacing w:val="-8"/>
        </w:rPr>
        <w:t xml:space="preserve"> </w:t>
      </w:r>
      <w:r>
        <w:rPr>
          <w:color w:val="231F20"/>
        </w:rPr>
        <w:t>право</w:t>
      </w:r>
      <w:r>
        <w:rPr>
          <w:color w:val="231F20"/>
          <w:spacing w:val="-8"/>
        </w:rPr>
        <w:t xml:space="preserve"> </w:t>
      </w:r>
      <w:r>
        <w:rPr>
          <w:color w:val="231F20"/>
        </w:rPr>
        <w:t>на</w:t>
      </w:r>
      <w:r>
        <w:rPr>
          <w:color w:val="231F20"/>
          <w:spacing w:val="-8"/>
        </w:rPr>
        <w:t xml:space="preserve"> </w:t>
      </w:r>
      <w:r>
        <w:rPr>
          <w:color w:val="231F20"/>
        </w:rPr>
        <w:t>адміністративне</w:t>
      </w:r>
      <w:r>
        <w:rPr>
          <w:color w:val="231F20"/>
          <w:spacing w:val="-8"/>
        </w:rPr>
        <w:t xml:space="preserve"> </w:t>
      </w:r>
      <w:r>
        <w:rPr>
          <w:color w:val="231F20"/>
        </w:rPr>
        <w:t xml:space="preserve">оскарження має </w:t>
      </w:r>
      <w:r>
        <w:rPr>
          <w:color w:val="231F20"/>
          <w:spacing w:val="-3"/>
        </w:rPr>
        <w:t xml:space="preserve">будь-яка </w:t>
      </w:r>
      <w:r>
        <w:rPr>
          <w:color w:val="231F20"/>
        </w:rPr>
        <w:t>особа, яка вважає, що у зв’язку з виданням</w:t>
      </w:r>
      <w:r>
        <w:rPr>
          <w:color w:val="231F20"/>
          <w:spacing w:val="6"/>
        </w:rPr>
        <w:t xml:space="preserve"> </w:t>
      </w:r>
      <w:r>
        <w:rPr>
          <w:color w:val="231F20"/>
        </w:rPr>
        <w:t>адміністра-</w:t>
      </w:r>
    </w:p>
    <w:p w14:paraId="57CF2B81" w14:textId="77777777" w:rsidR="00DE575E" w:rsidRDefault="00DE575E">
      <w:pPr>
        <w:pStyle w:val="BodyText"/>
        <w:spacing w:before="6"/>
        <w:rPr>
          <w:sz w:val="12"/>
        </w:rPr>
      </w:pPr>
    </w:p>
    <w:p w14:paraId="41C4E48E" w14:textId="77777777" w:rsidR="00DE575E" w:rsidRDefault="002E7560">
      <w:pPr>
        <w:spacing w:before="92"/>
        <w:ind w:left="533"/>
        <w:rPr>
          <w:rFonts w:ascii="Times New Roman"/>
          <w:sz w:val="20"/>
        </w:rPr>
      </w:pPr>
      <w:r>
        <w:rPr>
          <w:rFonts w:ascii="Times New Roman"/>
          <w:color w:val="231F20"/>
          <w:sz w:val="20"/>
        </w:rPr>
        <w:t>314</w:t>
      </w:r>
    </w:p>
    <w:p w14:paraId="3980FC9E" w14:textId="77777777" w:rsidR="00DE575E" w:rsidRDefault="00DE575E">
      <w:pPr>
        <w:rPr>
          <w:rFonts w:ascii="Times New Roman"/>
          <w:sz w:val="20"/>
        </w:rPr>
        <w:sectPr w:rsidR="00DE575E">
          <w:pgSz w:w="8510" w:h="12760"/>
          <w:pgMar w:top="660" w:right="720" w:bottom="280" w:left="600" w:header="720" w:footer="720" w:gutter="0"/>
          <w:cols w:space="720"/>
        </w:sectPr>
      </w:pPr>
    </w:p>
    <w:p w14:paraId="24681BDB" w14:textId="77777777" w:rsidR="00DE575E" w:rsidRDefault="002E7560">
      <w:pPr>
        <w:spacing w:before="72" w:line="249" w:lineRule="auto"/>
        <w:ind w:left="3742" w:hanging="271"/>
        <w:rPr>
          <w:rFonts w:ascii="AdonisC" w:hAnsi="AdonisC"/>
          <w:i/>
          <w:sz w:val="18"/>
        </w:rPr>
      </w:pPr>
      <w:r>
        <w:rPr>
          <w:rFonts w:ascii="AdonisC" w:hAnsi="AdonisC"/>
          <w:i/>
          <w:color w:val="231F20"/>
          <w:sz w:val="18"/>
        </w:rPr>
        <w:t>Глава І. Загальне адміністративне право Розділ 8. Адміністративна процедура</w:t>
      </w:r>
    </w:p>
    <w:p w14:paraId="49016DF6" w14:textId="67F4FEF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00BC7EC" wp14:editId="74C295AD">
                <wp:extent cx="4140200" cy="6350"/>
                <wp:effectExtent l="0" t="0" r="12700" b="6350"/>
                <wp:docPr id="627"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28" name="Line 6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0FAD0E" id="Group_x0020_6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MMczrgAIAAJgFAAAO&#10;AAAAAAAAAAAAAAAAACwCAABkcnMvZTJvRG9jLnhtbFBLAQItABQABgAIAAAAIQBMp7CQ2QAAAAMB&#10;AAAPAAAAAAAAAAAAAAAAANgEAABkcnMvZG93bnJldi54bWxQSwUGAAAAAAQABADzAAAA3gUAAAAA&#10;">
                <v:line id="Line_x0020_6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3UdsQAAADcAAAADwAAAGRycy9kb3ducmV2LnhtbERP3WrCMBS+H+wdwhl4M2ZqCyKdUcZA&#10;GLuom/UBjs1ZW5ac1Ca21ac3F4Ndfnz/6+1kjRio961jBYt5AoK4crrlWsGx3L2sQPiArNE4JgVX&#10;8rDdPD6sMddu5G8aDqEWMYR9jgqaELpcSl81ZNHPXUccuR/XWwwR9rXUPY4x3BqZJslSWmw5NjTY&#10;0XtD1e/hYhWU5+dgvvafZiz3p0yezkV2uxRKzZ6mt1cQgabwL/5zf2gFyzSujWfiEZ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7dR2xAAAANwAAAAPAAAAAAAAAAAA&#10;AAAAAKECAABkcnMvZG93bnJldi54bWxQSwUGAAAAAAQABAD5AAAAkgMAAAAA&#10;" strokecolor="#231f20" strokeweight=".5pt"/>
                <w10:anchorlock/>
              </v:group>
            </w:pict>
          </mc:Fallback>
        </mc:AlternateContent>
      </w:r>
    </w:p>
    <w:p w14:paraId="56E44232" w14:textId="77777777" w:rsidR="00DE575E" w:rsidRDefault="00DE575E">
      <w:pPr>
        <w:pStyle w:val="BodyText"/>
        <w:spacing w:before="7"/>
        <w:rPr>
          <w:rFonts w:ascii="AdonisC"/>
          <w:i/>
          <w:sz w:val="19"/>
        </w:rPr>
      </w:pPr>
    </w:p>
    <w:p w14:paraId="0DCC4B1D" w14:textId="77777777" w:rsidR="00DE575E" w:rsidRDefault="002E7560">
      <w:pPr>
        <w:pStyle w:val="BodyText"/>
        <w:spacing w:before="1" w:line="252" w:lineRule="auto"/>
        <w:ind w:left="250" w:right="521"/>
      </w:pPr>
      <w:r>
        <w:rPr>
          <w:color w:val="231F20"/>
        </w:rPr>
        <w:t>тивного акта чи його виконанням порушено або може бути пору- шено її права, свободи чи законні інтереси.</w:t>
      </w:r>
    </w:p>
    <w:p w14:paraId="716A4DEE" w14:textId="77777777" w:rsidR="00DE575E" w:rsidRDefault="002E7560">
      <w:pPr>
        <w:pStyle w:val="BodyText"/>
        <w:spacing w:before="1" w:line="252" w:lineRule="auto"/>
        <w:ind w:left="250" w:right="410" w:firstLine="283"/>
        <w:jc w:val="both"/>
      </w:pPr>
      <w:r>
        <w:rPr>
          <w:i/>
          <w:color w:val="231F20"/>
        </w:rPr>
        <w:t xml:space="preserve">Скарга на адміністративний акт </w:t>
      </w:r>
      <w:r>
        <w:rPr>
          <w:color w:val="231F20"/>
        </w:rPr>
        <w:t>може бути подана впродовж  30 календарних днів після на</w:t>
      </w:r>
      <w:r>
        <w:rPr>
          <w:color w:val="231F20"/>
        </w:rPr>
        <w:t xml:space="preserve">брання ним чинності або впродовж 30 календарних днів з </w:t>
      </w:r>
      <w:r>
        <w:rPr>
          <w:color w:val="231F20"/>
          <w:spacing w:val="-3"/>
        </w:rPr>
        <w:t xml:space="preserve">моменту, </w:t>
      </w:r>
      <w:r>
        <w:rPr>
          <w:color w:val="231F20"/>
        </w:rPr>
        <w:t xml:space="preserve">коли особа, права й законні інтереси якої зачіпає адміністративний </w:t>
      </w:r>
      <w:r>
        <w:rPr>
          <w:color w:val="231F20"/>
          <w:spacing w:val="-5"/>
        </w:rPr>
        <w:t xml:space="preserve">акт, </w:t>
      </w:r>
      <w:r>
        <w:rPr>
          <w:color w:val="231F20"/>
        </w:rPr>
        <w:t xml:space="preserve">але яка не </w:t>
      </w:r>
      <w:r>
        <w:rPr>
          <w:color w:val="231F20"/>
          <w:spacing w:val="-3"/>
        </w:rPr>
        <w:t xml:space="preserve">була </w:t>
      </w:r>
      <w:r>
        <w:rPr>
          <w:color w:val="231F20"/>
        </w:rPr>
        <w:t xml:space="preserve">залучена до адмі- ністративного провадження, дізналася або мала </w:t>
      </w:r>
      <w:r>
        <w:rPr>
          <w:color w:val="231F20"/>
          <w:spacing w:val="-3"/>
        </w:rPr>
        <w:t xml:space="preserve">була </w:t>
      </w:r>
      <w:r>
        <w:rPr>
          <w:color w:val="231F20"/>
        </w:rPr>
        <w:t>дізнатися про видання такого</w:t>
      </w:r>
      <w:r>
        <w:rPr>
          <w:color w:val="231F20"/>
          <w:spacing w:val="-2"/>
        </w:rPr>
        <w:t xml:space="preserve"> </w:t>
      </w:r>
      <w:r>
        <w:rPr>
          <w:color w:val="231F20"/>
        </w:rPr>
        <w:t>акта.</w:t>
      </w:r>
    </w:p>
    <w:p w14:paraId="163C9EB9" w14:textId="77777777" w:rsidR="00DE575E" w:rsidRDefault="002E7560">
      <w:pPr>
        <w:pStyle w:val="BodyText"/>
        <w:spacing w:before="3" w:line="252" w:lineRule="auto"/>
        <w:ind w:left="250" w:right="411" w:firstLine="283"/>
        <w:jc w:val="both"/>
      </w:pPr>
      <w:r>
        <w:rPr>
          <w:color w:val="231F20"/>
        </w:rPr>
        <w:t>Пропущений у зв’язку із хворобою, відрядженням чи з інших поважних причин строк подання скарги може бути продовжено суб’єктом розгляду скарги за зверненням оскаржувача. Адміністра- тивне провадження за скаргою відкривається адміністративним органом з дня н</w:t>
      </w:r>
      <w:r>
        <w:rPr>
          <w:color w:val="231F20"/>
        </w:rPr>
        <w:t>адходження скарги до суб’єкта розгляду скарги.</w:t>
      </w:r>
    </w:p>
    <w:p w14:paraId="2EA1CB0B" w14:textId="77777777" w:rsidR="00DE575E" w:rsidRDefault="002E7560">
      <w:pPr>
        <w:pStyle w:val="BodyText"/>
        <w:spacing w:before="2" w:line="252" w:lineRule="auto"/>
        <w:ind w:left="250" w:right="411" w:firstLine="283"/>
        <w:jc w:val="both"/>
      </w:pPr>
      <w:r>
        <w:rPr>
          <w:color w:val="231F20"/>
        </w:rPr>
        <w:t>Адміністративний орган, до якого надійшла скарга, реєструє її  та надсилає оскаржувачеві довідку із зазначенням дати й номера реєстрації.</w:t>
      </w:r>
    </w:p>
    <w:p w14:paraId="0FF72271" w14:textId="77777777" w:rsidR="00DE575E" w:rsidRDefault="002E7560">
      <w:pPr>
        <w:pStyle w:val="Heading6"/>
        <w:spacing w:before="2" w:line="252" w:lineRule="auto"/>
        <w:ind w:left="250" w:right="412"/>
        <w:jc w:val="both"/>
      </w:pPr>
      <w:r>
        <w:rPr>
          <w:color w:val="231F20"/>
        </w:rPr>
        <w:t xml:space="preserve">Суб’єкт розгляду скарги за результатами розгляду справи </w:t>
      </w:r>
      <w:r>
        <w:rPr>
          <w:color w:val="231F20"/>
        </w:rPr>
        <w:t>ухвалює одне з таких рішень:</w:t>
      </w:r>
    </w:p>
    <w:p w14:paraId="16F0FA6E" w14:textId="77777777" w:rsidR="00DE575E" w:rsidRDefault="002E7560">
      <w:pPr>
        <w:pStyle w:val="ListParagraph"/>
        <w:numPr>
          <w:ilvl w:val="0"/>
          <w:numId w:val="254"/>
        </w:numPr>
        <w:tabs>
          <w:tab w:val="left" w:pos="818"/>
        </w:tabs>
        <w:spacing w:line="252" w:lineRule="auto"/>
        <w:ind w:right="413" w:firstLine="283"/>
        <w:rPr>
          <w:sz w:val="21"/>
        </w:rPr>
      </w:pPr>
      <w:r>
        <w:rPr>
          <w:color w:val="231F20"/>
          <w:sz w:val="21"/>
        </w:rPr>
        <w:t xml:space="preserve">залишити адміністративний </w:t>
      </w:r>
      <w:r>
        <w:rPr>
          <w:color w:val="231F20"/>
          <w:spacing w:val="-5"/>
          <w:sz w:val="21"/>
        </w:rPr>
        <w:t xml:space="preserve">акт, </w:t>
      </w:r>
      <w:r>
        <w:rPr>
          <w:color w:val="231F20"/>
          <w:sz w:val="21"/>
        </w:rPr>
        <w:t>процедурне рішення без змін, а скаргу – без</w:t>
      </w:r>
      <w:r>
        <w:rPr>
          <w:color w:val="231F20"/>
          <w:spacing w:val="-6"/>
          <w:sz w:val="21"/>
        </w:rPr>
        <w:t xml:space="preserve"> </w:t>
      </w:r>
      <w:r>
        <w:rPr>
          <w:color w:val="231F20"/>
          <w:sz w:val="21"/>
        </w:rPr>
        <w:t>задоволення;</w:t>
      </w:r>
    </w:p>
    <w:p w14:paraId="35C41C56"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 xml:space="preserve">скасувати повністю або частково ухвалений адміністратив- ний акт чи змінити оскаржуваний адміністративний </w:t>
      </w:r>
      <w:r>
        <w:rPr>
          <w:color w:val="231F20"/>
          <w:spacing w:val="-5"/>
          <w:sz w:val="21"/>
        </w:rPr>
        <w:t xml:space="preserve">акт, </w:t>
      </w:r>
      <w:r>
        <w:rPr>
          <w:color w:val="231F20"/>
          <w:sz w:val="21"/>
        </w:rPr>
        <w:t>скасувати повністю або частк</w:t>
      </w:r>
      <w:r>
        <w:rPr>
          <w:color w:val="231F20"/>
          <w:sz w:val="21"/>
        </w:rPr>
        <w:t xml:space="preserve">ово чи змінити процедурне рішення, ухвалити адміністративний </w:t>
      </w:r>
      <w:r>
        <w:rPr>
          <w:color w:val="231F20"/>
          <w:spacing w:val="-5"/>
          <w:sz w:val="21"/>
        </w:rPr>
        <w:t xml:space="preserve">акт, </w:t>
      </w:r>
      <w:r>
        <w:rPr>
          <w:color w:val="231F20"/>
          <w:sz w:val="21"/>
        </w:rPr>
        <w:t>задовольнити скаргу повністю або</w:t>
      </w:r>
      <w:r>
        <w:rPr>
          <w:color w:val="231F20"/>
          <w:spacing w:val="-21"/>
          <w:sz w:val="21"/>
        </w:rPr>
        <w:t xml:space="preserve"> </w:t>
      </w:r>
      <w:r>
        <w:rPr>
          <w:color w:val="231F20"/>
          <w:sz w:val="21"/>
        </w:rPr>
        <w:t>частково;</w:t>
      </w:r>
    </w:p>
    <w:p w14:paraId="3F7FE8EF" w14:textId="77777777" w:rsidR="00DE575E" w:rsidRDefault="002E7560">
      <w:pPr>
        <w:pStyle w:val="ListParagraph"/>
        <w:numPr>
          <w:ilvl w:val="0"/>
          <w:numId w:val="254"/>
        </w:numPr>
        <w:tabs>
          <w:tab w:val="left" w:pos="818"/>
        </w:tabs>
        <w:spacing w:before="2"/>
        <w:ind w:firstLine="283"/>
        <w:jc w:val="left"/>
        <w:rPr>
          <w:sz w:val="21"/>
        </w:rPr>
      </w:pPr>
      <w:r>
        <w:rPr>
          <w:color w:val="231F20"/>
          <w:sz w:val="21"/>
        </w:rPr>
        <w:t>зобов’язати адміністративний орган видати відповідний</w:t>
      </w:r>
      <w:r>
        <w:rPr>
          <w:color w:val="231F20"/>
          <w:spacing w:val="-11"/>
          <w:sz w:val="21"/>
        </w:rPr>
        <w:t xml:space="preserve"> </w:t>
      </w:r>
      <w:r>
        <w:rPr>
          <w:color w:val="231F20"/>
          <w:spacing w:val="-5"/>
          <w:sz w:val="21"/>
        </w:rPr>
        <w:t>акт.</w:t>
      </w:r>
    </w:p>
    <w:p w14:paraId="2917DC90" w14:textId="77777777" w:rsidR="00DE575E" w:rsidRDefault="00DE575E">
      <w:pPr>
        <w:pStyle w:val="BodyText"/>
        <w:rPr>
          <w:sz w:val="24"/>
        </w:rPr>
      </w:pPr>
    </w:p>
    <w:p w14:paraId="13753B95" w14:textId="77777777" w:rsidR="00DE575E" w:rsidRDefault="00DE575E">
      <w:pPr>
        <w:pStyle w:val="BodyText"/>
        <w:spacing w:before="3"/>
      </w:pPr>
    </w:p>
    <w:p w14:paraId="137B909C" w14:textId="77777777" w:rsidR="00DE575E" w:rsidRDefault="002E7560">
      <w:pPr>
        <w:pStyle w:val="Heading5"/>
        <w:ind w:left="2088"/>
      </w:pPr>
      <w:r>
        <w:rPr>
          <w:color w:val="231F20"/>
        </w:rPr>
        <w:t>Питання для самоконтролю</w:t>
      </w:r>
    </w:p>
    <w:p w14:paraId="06675D1C" w14:textId="77777777" w:rsidR="00DE575E" w:rsidRDefault="00DE575E">
      <w:pPr>
        <w:pStyle w:val="BodyText"/>
        <w:spacing w:before="2"/>
        <w:rPr>
          <w:b/>
          <w:sz w:val="23"/>
        </w:rPr>
      </w:pPr>
    </w:p>
    <w:p w14:paraId="466BA3A2" w14:textId="77777777" w:rsidR="00DE575E" w:rsidRDefault="002E7560">
      <w:pPr>
        <w:pStyle w:val="ListParagraph"/>
        <w:numPr>
          <w:ilvl w:val="0"/>
          <w:numId w:val="138"/>
        </w:numPr>
        <w:tabs>
          <w:tab w:val="left" w:pos="818"/>
        </w:tabs>
        <w:spacing w:before="0" w:line="252" w:lineRule="auto"/>
        <w:ind w:right="411" w:firstLine="283"/>
        <w:jc w:val="both"/>
        <w:rPr>
          <w:sz w:val="21"/>
        </w:rPr>
      </w:pPr>
      <w:r>
        <w:rPr>
          <w:color w:val="231F20"/>
          <w:sz w:val="21"/>
        </w:rPr>
        <w:t>Надайте визначення та наведіть ознаки адміністративної процедури.</w:t>
      </w:r>
    </w:p>
    <w:p w14:paraId="2A715AFD" w14:textId="77777777" w:rsidR="00DE575E" w:rsidRDefault="002E7560">
      <w:pPr>
        <w:pStyle w:val="ListParagraph"/>
        <w:numPr>
          <w:ilvl w:val="0"/>
          <w:numId w:val="138"/>
        </w:numPr>
        <w:tabs>
          <w:tab w:val="left" w:pos="818"/>
        </w:tabs>
        <w:spacing w:line="252" w:lineRule="auto"/>
        <w:ind w:right="411" w:firstLine="283"/>
        <w:jc w:val="both"/>
        <w:rPr>
          <w:sz w:val="21"/>
        </w:rPr>
      </w:pPr>
      <w:r>
        <w:rPr>
          <w:color w:val="231F20"/>
          <w:sz w:val="21"/>
        </w:rPr>
        <w:t>Наведіть підстави для класифікації та вкажіть види адмініст- ративних</w:t>
      </w:r>
      <w:r>
        <w:rPr>
          <w:color w:val="231F20"/>
          <w:spacing w:val="-2"/>
          <w:sz w:val="21"/>
        </w:rPr>
        <w:t xml:space="preserve"> </w:t>
      </w:r>
      <w:r>
        <w:rPr>
          <w:color w:val="231F20"/>
          <w:sz w:val="21"/>
        </w:rPr>
        <w:t>процедур.</w:t>
      </w:r>
    </w:p>
    <w:p w14:paraId="59BC6D48" w14:textId="77777777" w:rsidR="00DE575E" w:rsidRDefault="002E7560">
      <w:pPr>
        <w:pStyle w:val="ListParagraph"/>
        <w:numPr>
          <w:ilvl w:val="0"/>
          <w:numId w:val="138"/>
        </w:numPr>
        <w:tabs>
          <w:tab w:val="left" w:pos="818"/>
        </w:tabs>
        <w:spacing w:line="252" w:lineRule="auto"/>
        <w:ind w:right="411" w:firstLine="283"/>
        <w:jc w:val="both"/>
        <w:rPr>
          <w:sz w:val="21"/>
        </w:rPr>
      </w:pPr>
      <w:r>
        <w:rPr>
          <w:color w:val="231F20"/>
          <w:sz w:val="21"/>
        </w:rPr>
        <w:t>У чому полягає сутність реєстраційних, дозвільних та інспек- ційних процедур?</w:t>
      </w:r>
    </w:p>
    <w:p w14:paraId="2CB9470A" w14:textId="77777777" w:rsidR="00DE575E" w:rsidRDefault="002E7560">
      <w:pPr>
        <w:pStyle w:val="ListParagraph"/>
        <w:numPr>
          <w:ilvl w:val="0"/>
          <w:numId w:val="138"/>
        </w:numPr>
        <w:tabs>
          <w:tab w:val="left" w:pos="818"/>
        </w:tabs>
        <w:spacing w:line="252" w:lineRule="auto"/>
        <w:ind w:right="411" w:firstLine="283"/>
        <w:jc w:val="both"/>
        <w:rPr>
          <w:sz w:val="21"/>
        </w:rPr>
      </w:pPr>
      <w:r>
        <w:rPr>
          <w:color w:val="231F20"/>
          <w:sz w:val="21"/>
        </w:rPr>
        <w:t>Проаналізуйте процедури щодо при</w:t>
      </w:r>
      <w:r>
        <w:rPr>
          <w:color w:val="231F20"/>
          <w:sz w:val="21"/>
        </w:rPr>
        <w:t>тягнення до адміністра- тивної відповідальності та процедури за заявою</w:t>
      </w:r>
      <w:r>
        <w:rPr>
          <w:color w:val="231F20"/>
          <w:spacing w:val="-8"/>
          <w:sz w:val="21"/>
        </w:rPr>
        <w:t xml:space="preserve"> </w:t>
      </w:r>
      <w:r>
        <w:rPr>
          <w:color w:val="231F20"/>
          <w:sz w:val="21"/>
        </w:rPr>
        <w:t>особи.</w:t>
      </w:r>
    </w:p>
    <w:p w14:paraId="5AE702FA" w14:textId="77777777" w:rsidR="00DE575E" w:rsidRDefault="002E7560">
      <w:pPr>
        <w:pStyle w:val="ListParagraph"/>
        <w:numPr>
          <w:ilvl w:val="0"/>
          <w:numId w:val="138"/>
        </w:numPr>
        <w:tabs>
          <w:tab w:val="left" w:pos="818"/>
        </w:tabs>
        <w:spacing w:line="252" w:lineRule="auto"/>
        <w:ind w:right="411" w:firstLine="283"/>
        <w:jc w:val="both"/>
        <w:rPr>
          <w:sz w:val="21"/>
        </w:rPr>
      </w:pPr>
      <w:r>
        <w:rPr>
          <w:color w:val="231F20"/>
          <w:sz w:val="21"/>
        </w:rPr>
        <w:t>Проаналізуйте систему принципів адміністративної проце- дури та наведіть їх</w:t>
      </w:r>
      <w:r>
        <w:rPr>
          <w:color w:val="231F20"/>
          <w:spacing w:val="-3"/>
          <w:sz w:val="21"/>
        </w:rPr>
        <w:t xml:space="preserve"> </w:t>
      </w:r>
      <w:r>
        <w:rPr>
          <w:color w:val="231F20"/>
          <w:sz w:val="21"/>
        </w:rPr>
        <w:t>класифікацію.</w:t>
      </w:r>
    </w:p>
    <w:p w14:paraId="6B6A216F" w14:textId="77777777" w:rsidR="00DE575E" w:rsidRDefault="00DE575E">
      <w:pPr>
        <w:pStyle w:val="BodyText"/>
        <w:spacing w:before="5"/>
        <w:rPr>
          <w:sz w:val="12"/>
        </w:rPr>
      </w:pPr>
    </w:p>
    <w:p w14:paraId="61919FC0" w14:textId="77777777" w:rsidR="00DE575E" w:rsidRDefault="002E7560">
      <w:pPr>
        <w:spacing w:before="92"/>
        <w:ind w:right="411"/>
        <w:jc w:val="right"/>
        <w:rPr>
          <w:rFonts w:ascii="Times New Roman"/>
          <w:sz w:val="20"/>
        </w:rPr>
      </w:pPr>
      <w:r>
        <w:rPr>
          <w:rFonts w:ascii="Times New Roman"/>
          <w:color w:val="231F20"/>
          <w:w w:val="90"/>
          <w:sz w:val="20"/>
        </w:rPr>
        <w:t>315</w:t>
      </w:r>
    </w:p>
    <w:p w14:paraId="2AAA6F7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783764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95D95A1" w14:textId="7673B3C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5DBCB85" wp14:editId="13A32FF6">
                <wp:extent cx="4140200" cy="6350"/>
                <wp:effectExtent l="0" t="0" r="12700" b="6350"/>
                <wp:docPr id="62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26" name="Line 6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4FD0EE" id="Group_x0020_6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UI6V/AgAAmAUAAA4A&#10;AAAAAAAAAAAAAAAALAIAAGRycy9lMm9Eb2MueG1sUEsBAi0AFAAGAAgAAAAhAEynsJDZAAAAAwEA&#10;AA8AAAAAAAAAAAAAAAAA1wQAAGRycy9kb3ducmV2LnhtbFBLBQYAAAAABAAEAPMAAADdBQAAAAA=&#10;">
                <v:line id="Line_x0020_6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7ln8YAAADcAAAADwAAAGRycy9kb3ducmV2LnhtbESP0WrCQBRE3wX/YbmCL1I3KoSSuooI&#10;QumDVtMPuGZvk9DduzG7mtiv7xYEH4eZOcMs17014katrx0rmE0TEMSF0zWXCr7y3csrCB+QNRrH&#10;pOBOHtar4WCJmXYdH+l2CqWIEPYZKqhCaDIpfVGRRT91DXH0vl1rMUTZllK32EW4NXKeJKm0WHNc&#10;qLChbUXFz+lqFeSXSTCfhw/T5YfzQp4v+8Xvda/UeNRv3kAE6sMz/Gi/awXpPIX/M/EI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5Z/GAAAA3AAAAA8AAAAAAAAA&#10;AAAAAAAAoQIAAGRycy9kb3ducmV2LnhtbFBLBQYAAAAABAAEAPkAAACUAwAAAAA=&#10;" strokecolor="#231f20" strokeweight=".5pt"/>
                <w10:anchorlock/>
              </v:group>
            </w:pict>
          </mc:Fallback>
        </mc:AlternateContent>
      </w:r>
    </w:p>
    <w:p w14:paraId="5642036D" w14:textId="77777777" w:rsidR="00DE575E" w:rsidRDefault="00DE575E">
      <w:pPr>
        <w:pStyle w:val="BodyText"/>
        <w:spacing w:before="7"/>
        <w:rPr>
          <w:rFonts w:ascii="AdonisC"/>
          <w:i/>
          <w:sz w:val="11"/>
        </w:rPr>
      </w:pPr>
    </w:p>
    <w:p w14:paraId="3D8A4071" w14:textId="77777777" w:rsidR="00DE575E" w:rsidRDefault="002E7560">
      <w:pPr>
        <w:pStyle w:val="ListParagraph"/>
        <w:numPr>
          <w:ilvl w:val="0"/>
          <w:numId w:val="178"/>
        </w:numPr>
        <w:tabs>
          <w:tab w:val="left" w:pos="1101"/>
        </w:tabs>
        <w:spacing w:before="101" w:line="252" w:lineRule="auto"/>
        <w:ind w:left="533" w:right="128" w:firstLine="284"/>
        <w:jc w:val="both"/>
        <w:rPr>
          <w:sz w:val="21"/>
        </w:rPr>
      </w:pPr>
      <w:r>
        <w:rPr>
          <w:color w:val="231F20"/>
          <w:sz w:val="21"/>
        </w:rPr>
        <w:t>У чому полягає сутність таких загальних принципів адмініст- ративної процедури, як верховенство права, законність і систем- ність?</w:t>
      </w:r>
    </w:p>
    <w:p w14:paraId="7BD712B4" w14:textId="77777777" w:rsidR="00DE575E" w:rsidRDefault="002E7560">
      <w:pPr>
        <w:pStyle w:val="ListParagraph"/>
        <w:numPr>
          <w:ilvl w:val="0"/>
          <w:numId w:val="178"/>
        </w:numPr>
        <w:tabs>
          <w:tab w:val="left" w:pos="1101"/>
        </w:tabs>
        <w:spacing w:line="252" w:lineRule="auto"/>
        <w:ind w:left="533" w:right="128" w:firstLine="284"/>
        <w:jc w:val="both"/>
        <w:rPr>
          <w:sz w:val="21"/>
        </w:rPr>
      </w:pPr>
      <w:r>
        <w:rPr>
          <w:color w:val="231F20"/>
          <w:sz w:val="21"/>
        </w:rPr>
        <w:t>Схарактеризуйте такі загальні принципи адміністративної процедури, як неупередженість і безсторонність, оптимізація адмі- ністративних процедур, правова</w:t>
      </w:r>
      <w:r>
        <w:rPr>
          <w:color w:val="231F20"/>
          <w:spacing w:val="-3"/>
          <w:sz w:val="21"/>
        </w:rPr>
        <w:t xml:space="preserve"> </w:t>
      </w:r>
      <w:r>
        <w:rPr>
          <w:color w:val="231F20"/>
          <w:sz w:val="21"/>
        </w:rPr>
        <w:t>визначеність.</w:t>
      </w:r>
    </w:p>
    <w:p w14:paraId="04F57390" w14:textId="77777777" w:rsidR="00DE575E" w:rsidRDefault="002E7560">
      <w:pPr>
        <w:pStyle w:val="ListParagraph"/>
        <w:numPr>
          <w:ilvl w:val="0"/>
          <w:numId w:val="178"/>
        </w:numPr>
        <w:tabs>
          <w:tab w:val="left" w:pos="1101"/>
        </w:tabs>
        <w:spacing w:before="2" w:line="252" w:lineRule="auto"/>
        <w:ind w:left="533" w:right="127" w:firstLine="284"/>
        <w:jc w:val="both"/>
        <w:rPr>
          <w:sz w:val="21"/>
        </w:rPr>
      </w:pPr>
      <w:r>
        <w:rPr>
          <w:color w:val="231F20"/>
          <w:sz w:val="21"/>
        </w:rPr>
        <w:t>Викладіть основні ідеї таких загальних принципів адмі- ністративних   процедур,   як   пі</w:t>
      </w:r>
      <w:r>
        <w:rPr>
          <w:color w:val="231F20"/>
          <w:sz w:val="21"/>
        </w:rPr>
        <w:t>дконтрольність,   пріоритет   прав    і свобод людини, презюмована правомірність правової позиції заявника.</w:t>
      </w:r>
    </w:p>
    <w:p w14:paraId="575F0BA4" w14:textId="77777777" w:rsidR="00DE575E" w:rsidRDefault="002E7560">
      <w:pPr>
        <w:pStyle w:val="ListParagraph"/>
        <w:numPr>
          <w:ilvl w:val="0"/>
          <w:numId w:val="178"/>
        </w:numPr>
        <w:tabs>
          <w:tab w:val="left" w:pos="1101"/>
        </w:tabs>
        <w:spacing w:before="2" w:line="252" w:lineRule="auto"/>
        <w:ind w:left="533" w:right="127" w:firstLine="284"/>
        <w:jc w:val="both"/>
        <w:rPr>
          <w:sz w:val="21"/>
        </w:rPr>
      </w:pPr>
      <w:r>
        <w:rPr>
          <w:color w:val="231F20"/>
          <w:sz w:val="21"/>
        </w:rPr>
        <w:t>У</w:t>
      </w:r>
      <w:r>
        <w:rPr>
          <w:color w:val="231F20"/>
          <w:spacing w:val="-9"/>
          <w:sz w:val="21"/>
        </w:rPr>
        <w:t xml:space="preserve"> </w:t>
      </w:r>
      <w:r>
        <w:rPr>
          <w:color w:val="231F20"/>
          <w:sz w:val="21"/>
        </w:rPr>
        <w:t>чому</w:t>
      </w:r>
      <w:r>
        <w:rPr>
          <w:color w:val="231F20"/>
          <w:spacing w:val="-9"/>
          <w:sz w:val="21"/>
        </w:rPr>
        <w:t xml:space="preserve"> </w:t>
      </w:r>
      <w:r>
        <w:rPr>
          <w:color w:val="231F20"/>
          <w:sz w:val="21"/>
        </w:rPr>
        <w:t>полягає</w:t>
      </w:r>
      <w:r>
        <w:rPr>
          <w:color w:val="231F20"/>
          <w:spacing w:val="-9"/>
          <w:sz w:val="21"/>
        </w:rPr>
        <w:t xml:space="preserve"> </w:t>
      </w:r>
      <w:r>
        <w:rPr>
          <w:color w:val="231F20"/>
          <w:sz w:val="21"/>
        </w:rPr>
        <w:t>зміст</w:t>
      </w:r>
      <w:r>
        <w:rPr>
          <w:color w:val="231F20"/>
          <w:spacing w:val="-9"/>
          <w:sz w:val="21"/>
        </w:rPr>
        <w:t xml:space="preserve"> </w:t>
      </w:r>
      <w:r>
        <w:rPr>
          <w:color w:val="231F20"/>
          <w:sz w:val="21"/>
        </w:rPr>
        <w:t>таких</w:t>
      </w:r>
      <w:r>
        <w:rPr>
          <w:color w:val="231F20"/>
          <w:spacing w:val="-9"/>
          <w:sz w:val="21"/>
        </w:rPr>
        <w:t xml:space="preserve"> </w:t>
      </w:r>
      <w:r>
        <w:rPr>
          <w:color w:val="231F20"/>
          <w:sz w:val="21"/>
        </w:rPr>
        <w:t>спеціальних</w:t>
      </w:r>
      <w:r>
        <w:rPr>
          <w:color w:val="231F20"/>
          <w:spacing w:val="-9"/>
          <w:sz w:val="21"/>
        </w:rPr>
        <w:t xml:space="preserve"> </w:t>
      </w:r>
      <w:r>
        <w:rPr>
          <w:color w:val="231F20"/>
          <w:sz w:val="21"/>
        </w:rPr>
        <w:t>принципів</w:t>
      </w:r>
      <w:r>
        <w:rPr>
          <w:color w:val="231F20"/>
          <w:spacing w:val="-9"/>
          <w:sz w:val="21"/>
        </w:rPr>
        <w:t xml:space="preserve"> </w:t>
      </w:r>
      <w:r>
        <w:rPr>
          <w:color w:val="231F20"/>
          <w:sz w:val="21"/>
        </w:rPr>
        <w:t>адміністра- тивної процедури, як рівність перед законом, доступ до інформації, право на допомогу та</w:t>
      </w:r>
      <w:r>
        <w:rPr>
          <w:color w:val="231F20"/>
          <w:spacing w:val="-4"/>
          <w:sz w:val="21"/>
        </w:rPr>
        <w:t xml:space="preserve"> </w:t>
      </w:r>
      <w:r>
        <w:rPr>
          <w:color w:val="231F20"/>
          <w:sz w:val="21"/>
        </w:rPr>
        <w:t>представництво?</w:t>
      </w:r>
    </w:p>
    <w:p w14:paraId="744E727C" w14:textId="77777777" w:rsidR="00DE575E" w:rsidRDefault="002E7560">
      <w:pPr>
        <w:pStyle w:val="BodyText"/>
        <w:spacing w:before="1" w:line="252" w:lineRule="auto"/>
        <w:ind w:left="533" w:right="128" w:firstLine="283"/>
        <w:jc w:val="both"/>
      </w:pPr>
      <w:r>
        <w:rPr>
          <w:color w:val="231F20"/>
        </w:rPr>
        <w:t>10.Схарактеризуйте такі спеціальні принципи адміністративної процедури, як право бути вислуханим, ефективність, оперативність (розумні строки) та вмотивованість рішення.</w:t>
      </w:r>
    </w:p>
    <w:p w14:paraId="008AEC12" w14:textId="77777777" w:rsidR="00DE575E" w:rsidRDefault="002E7560">
      <w:pPr>
        <w:pStyle w:val="BodyText"/>
        <w:spacing w:before="2" w:line="252" w:lineRule="auto"/>
        <w:ind w:left="533" w:right="128" w:firstLine="283"/>
        <w:jc w:val="both"/>
      </w:pPr>
      <w:r>
        <w:rPr>
          <w:color w:val="231F20"/>
        </w:rPr>
        <w:t>11.Дайте визначення учасника адміністративної процедури. Схарактеризу</w:t>
      </w:r>
      <w:r>
        <w:rPr>
          <w:color w:val="231F20"/>
        </w:rPr>
        <w:t>йте адміністративний орган як учасника адміністра- тивної процедури.</w:t>
      </w:r>
    </w:p>
    <w:p w14:paraId="6C8F2D1A" w14:textId="77777777" w:rsidR="00DE575E" w:rsidRDefault="002E7560">
      <w:pPr>
        <w:pStyle w:val="BodyText"/>
        <w:spacing w:before="1" w:line="252" w:lineRule="auto"/>
        <w:ind w:left="533" w:right="128" w:firstLine="283"/>
        <w:jc w:val="both"/>
      </w:pPr>
      <w:r>
        <w:rPr>
          <w:color w:val="231F20"/>
        </w:rPr>
        <w:t>12.Проаналізуйте правовий статус адресата, заявника, заінтере- сованих осіб як учасників адміністративної процедури.</w:t>
      </w:r>
    </w:p>
    <w:p w14:paraId="4BC231FC" w14:textId="77777777" w:rsidR="00DE575E" w:rsidRDefault="002E7560">
      <w:pPr>
        <w:pStyle w:val="BodyText"/>
        <w:spacing w:before="1" w:line="252" w:lineRule="auto"/>
        <w:ind w:left="533" w:right="129" w:firstLine="283"/>
        <w:jc w:val="both"/>
      </w:pPr>
      <w:r>
        <w:rPr>
          <w:color w:val="231F20"/>
        </w:rPr>
        <w:t>13.У чому полягає сутність представництва в адміністративній процедурі</w:t>
      </w:r>
      <w:r>
        <w:rPr>
          <w:color w:val="231F20"/>
        </w:rPr>
        <w:t>?</w:t>
      </w:r>
    </w:p>
    <w:p w14:paraId="7404795E" w14:textId="77777777" w:rsidR="00DE575E" w:rsidRDefault="002E7560">
      <w:pPr>
        <w:pStyle w:val="BodyText"/>
        <w:spacing w:before="1" w:line="252" w:lineRule="auto"/>
        <w:ind w:left="533" w:right="128" w:firstLine="283"/>
        <w:jc w:val="both"/>
      </w:pPr>
      <w:r>
        <w:rPr>
          <w:color w:val="231F20"/>
        </w:rPr>
        <w:t xml:space="preserve">14.Підготовка справи до </w:t>
      </w:r>
      <w:r>
        <w:rPr>
          <w:color w:val="231F20"/>
          <w:spacing w:val="-4"/>
        </w:rPr>
        <w:t xml:space="preserve">розгляду, </w:t>
      </w:r>
      <w:r>
        <w:rPr>
          <w:color w:val="231F20"/>
          <w:spacing w:val="-3"/>
        </w:rPr>
        <w:t xml:space="preserve">розгляд </w:t>
      </w:r>
      <w:r>
        <w:rPr>
          <w:color w:val="231F20"/>
        </w:rPr>
        <w:t>і вирішення справи як стадії адміністративної процедури.</w:t>
      </w:r>
    </w:p>
    <w:p w14:paraId="6AB10FC5" w14:textId="77777777" w:rsidR="00DE575E" w:rsidRDefault="002E7560">
      <w:pPr>
        <w:pStyle w:val="BodyText"/>
        <w:spacing w:before="1" w:line="252" w:lineRule="auto"/>
        <w:ind w:left="533" w:right="128" w:firstLine="283"/>
        <w:jc w:val="both"/>
      </w:pPr>
      <w:r>
        <w:rPr>
          <w:color w:val="231F20"/>
        </w:rPr>
        <w:t>15.Оформлення адміністративного акта, його доведення до відома адресатів та заінтересованих осіб. Перегляд адміністратив- ного акта.</w:t>
      </w:r>
    </w:p>
    <w:p w14:paraId="25B6E5E4" w14:textId="77777777" w:rsidR="00DE575E" w:rsidRDefault="00DE575E">
      <w:pPr>
        <w:pStyle w:val="BodyText"/>
        <w:spacing w:before="2"/>
        <w:rPr>
          <w:sz w:val="22"/>
        </w:rPr>
      </w:pPr>
    </w:p>
    <w:p w14:paraId="749E0FD3" w14:textId="77777777" w:rsidR="00DE575E" w:rsidRDefault="002E7560">
      <w:pPr>
        <w:pStyle w:val="Heading5"/>
        <w:spacing w:before="1"/>
        <w:ind w:left="1778"/>
      </w:pPr>
      <w:r>
        <w:rPr>
          <w:color w:val="231F20"/>
        </w:rPr>
        <w:t>Література для поглибленого вивчення</w:t>
      </w:r>
    </w:p>
    <w:p w14:paraId="6ED2141A" w14:textId="77777777" w:rsidR="00DE575E" w:rsidRDefault="00DE575E">
      <w:pPr>
        <w:pStyle w:val="BodyText"/>
        <w:spacing w:before="2"/>
        <w:rPr>
          <w:b/>
          <w:sz w:val="23"/>
        </w:rPr>
      </w:pPr>
    </w:p>
    <w:p w14:paraId="0C5A0C6E" w14:textId="77777777" w:rsidR="00DE575E" w:rsidRDefault="002E7560">
      <w:pPr>
        <w:pStyle w:val="ListParagraph"/>
        <w:numPr>
          <w:ilvl w:val="0"/>
          <w:numId w:val="137"/>
        </w:numPr>
        <w:tabs>
          <w:tab w:val="left" w:pos="1101"/>
        </w:tabs>
        <w:spacing w:before="0" w:line="252" w:lineRule="auto"/>
        <w:ind w:right="128" w:firstLine="284"/>
        <w:jc w:val="both"/>
        <w:rPr>
          <w:sz w:val="21"/>
        </w:rPr>
      </w:pPr>
      <w:r>
        <w:rPr>
          <w:color w:val="231F20"/>
          <w:sz w:val="21"/>
        </w:rPr>
        <w:t xml:space="preserve">Адміністративна процедура та адміністративні послуги. Зару- біжний досвід і пропозиції для </w:t>
      </w:r>
      <w:r>
        <w:rPr>
          <w:color w:val="231F20"/>
          <w:spacing w:val="-3"/>
          <w:sz w:val="21"/>
        </w:rPr>
        <w:t xml:space="preserve">України </w:t>
      </w:r>
      <w:r>
        <w:rPr>
          <w:color w:val="231F20"/>
          <w:sz w:val="21"/>
        </w:rPr>
        <w:t xml:space="preserve">/ В.П. Тимощук. Київ: </w:t>
      </w:r>
      <w:r>
        <w:rPr>
          <w:color w:val="231F20"/>
          <w:spacing w:val="-5"/>
          <w:sz w:val="21"/>
        </w:rPr>
        <w:t xml:space="preserve">Факт. </w:t>
      </w:r>
      <w:r>
        <w:rPr>
          <w:color w:val="231F20"/>
          <w:sz w:val="21"/>
        </w:rPr>
        <w:t>2003. 496 с.</w:t>
      </w:r>
    </w:p>
    <w:p w14:paraId="759B897C" w14:textId="77777777" w:rsidR="00DE575E" w:rsidRDefault="002E7560">
      <w:pPr>
        <w:pStyle w:val="ListParagraph"/>
        <w:numPr>
          <w:ilvl w:val="0"/>
          <w:numId w:val="137"/>
        </w:numPr>
        <w:tabs>
          <w:tab w:val="left" w:pos="1101"/>
        </w:tabs>
        <w:spacing w:line="252" w:lineRule="auto"/>
        <w:ind w:right="128" w:firstLine="284"/>
        <w:jc w:val="both"/>
        <w:rPr>
          <w:sz w:val="21"/>
        </w:rPr>
      </w:pPr>
      <w:r>
        <w:rPr>
          <w:color w:val="231F20"/>
          <w:sz w:val="21"/>
        </w:rPr>
        <w:t xml:space="preserve">Бойко І., Зима </w:t>
      </w:r>
      <w:r>
        <w:rPr>
          <w:color w:val="231F20"/>
          <w:spacing w:val="-3"/>
          <w:sz w:val="21"/>
        </w:rPr>
        <w:t xml:space="preserve">О., </w:t>
      </w:r>
      <w:r>
        <w:rPr>
          <w:color w:val="231F20"/>
          <w:sz w:val="21"/>
        </w:rPr>
        <w:t xml:space="preserve">Соловйова </w:t>
      </w:r>
      <w:r>
        <w:rPr>
          <w:color w:val="231F20"/>
          <w:spacing w:val="-3"/>
          <w:sz w:val="21"/>
        </w:rPr>
        <w:t xml:space="preserve">О. </w:t>
      </w:r>
      <w:r>
        <w:rPr>
          <w:color w:val="231F20"/>
          <w:sz w:val="21"/>
        </w:rPr>
        <w:t xml:space="preserve">Адміністративна процедура: конспект лекцій / за </w:t>
      </w:r>
      <w:r>
        <w:rPr>
          <w:color w:val="231F20"/>
          <w:spacing w:val="-5"/>
          <w:sz w:val="21"/>
        </w:rPr>
        <w:t xml:space="preserve">заг. </w:t>
      </w:r>
      <w:r>
        <w:rPr>
          <w:color w:val="231F20"/>
          <w:sz w:val="21"/>
        </w:rPr>
        <w:t>ред. І. Бойко. Харків: Право, 2017. 132</w:t>
      </w:r>
      <w:r>
        <w:rPr>
          <w:color w:val="231F20"/>
          <w:spacing w:val="-16"/>
          <w:sz w:val="21"/>
        </w:rPr>
        <w:t xml:space="preserve"> </w:t>
      </w:r>
      <w:r>
        <w:rPr>
          <w:color w:val="231F20"/>
          <w:sz w:val="21"/>
        </w:rPr>
        <w:t>с.</w:t>
      </w:r>
    </w:p>
    <w:p w14:paraId="6AF65CB8" w14:textId="77777777" w:rsidR="00DE575E" w:rsidRDefault="002E7560">
      <w:pPr>
        <w:pStyle w:val="ListParagraph"/>
        <w:numPr>
          <w:ilvl w:val="0"/>
          <w:numId w:val="137"/>
        </w:numPr>
        <w:tabs>
          <w:tab w:val="left" w:pos="1101"/>
        </w:tabs>
        <w:spacing w:line="252" w:lineRule="auto"/>
        <w:ind w:right="128" w:firstLine="284"/>
        <w:jc w:val="both"/>
        <w:rPr>
          <w:sz w:val="21"/>
        </w:rPr>
      </w:pPr>
      <w:r>
        <w:rPr>
          <w:color w:val="231F20"/>
          <w:sz w:val="21"/>
        </w:rPr>
        <w:t xml:space="preserve">Коломоєць </w:t>
      </w:r>
      <w:r>
        <w:rPr>
          <w:color w:val="231F20"/>
          <w:spacing w:val="-9"/>
          <w:sz w:val="21"/>
        </w:rPr>
        <w:t xml:space="preserve">Т., </w:t>
      </w:r>
      <w:r>
        <w:rPr>
          <w:color w:val="231F20"/>
          <w:sz w:val="21"/>
        </w:rPr>
        <w:t xml:space="preserve">Астахов Д. Кодифікація адміністративно-проце- дурного законодавства </w:t>
      </w:r>
      <w:r>
        <w:rPr>
          <w:color w:val="231F20"/>
          <w:spacing w:val="-3"/>
          <w:sz w:val="21"/>
        </w:rPr>
        <w:t xml:space="preserve">України: </w:t>
      </w:r>
      <w:r>
        <w:rPr>
          <w:color w:val="231F20"/>
          <w:sz w:val="21"/>
        </w:rPr>
        <w:t xml:space="preserve">монографія. Запоріжжя. </w:t>
      </w:r>
      <w:r>
        <w:rPr>
          <w:color w:val="231F20"/>
          <w:spacing w:val="-9"/>
          <w:sz w:val="21"/>
        </w:rPr>
        <w:t xml:space="preserve">ЗНУ. </w:t>
      </w:r>
      <w:r>
        <w:rPr>
          <w:color w:val="231F20"/>
          <w:sz w:val="21"/>
        </w:rPr>
        <w:t>2011. 228 с.</w:t>
      </w:r>
    </w:p>
    <w:p w14:paraId="084FF6A8" w14:textId="77777777" w:rsidR="00DE575E" w:rsidRDefault="00DE575E">
      <w:pPr>
        <w:pStyle w:val="BodyText"/>
        <w:spacing w:before="6"/>
        <w:rPr>
          <w:sz w:val="12"/>
        </w:rPr>
      </w:pPr>
    </w:p>
    <w:p w14:paraId="7EB64F96" w14:textId="77777777" w:rsidR="00DE575E" w:rsidRDefault="002E7560">
      <w:pPr>
        <w:spacing w:before="92"/>
        <w:ind w:left="533"/>
        <w:rPr>
          <w:rFonts w:ascii="Times New Roman"/>
          <w:sz w:val="20"/>
        </w:rPr>
      </w:pPr>
      <w:r>
        <w:rPr>
          <w:rFonts w:ascii="Times New Roman"/>
          <w:color w:val="231F20"/>
          <w:sz w:val="20"/>
        </w:rPr>
        <w:t>316</w:t>
      </w:r>
    </w:p>
    <w:p w14:paraId="3318356A" w14:textId="77777777" w:rsidR="00DE575E" w:rsidRDefault="00DE575E">
      <w:pPr>
        <w:rPr>
          <w:rFonts w:ascii="Times New Roman"/>
          <w:sz w:val="20"/>
        </w:rPr>
        <w:sectPr w:rsidR="00DE575E">
          <w:pgSz w:w="8510" w:h="12760"/>
          <w:pgMar w:top="660" w:right="720" w:bottom="280" w:left="600" w:header="720" w:footer="720" w:gutter="0"/>
          <w:cols w:space="720"/>
        </w:sectPr>
      </w:pPr>
    </w:p>
    <w:p w14:paraId="42C5EA2A" w14:textId="77777777" w:rsidR="00DE575E" w:rsidRDefault="002E7560">
      <w:pPr>
        <w:spacing w:before="72" w:line="249" w:lineRule="auto"/>
        <w:ind w:left="3742" w:hanging="271"/>
        <w:rPr>
          <w:rFonts w:ascii="AdonisC" w:hAnsi="AdonisC"/>
          <w:i/>
          <w:sz w:val="18"/>
        </w:rPr>
      </w:pPr>
      <w:r>
        <w:rPr>
          <w:rFonts w:ascii="AdonisC" w:hAnsi="AdonisC"/>
          <w:i/>
          <w:color w:val="231F20"/>
          <w:sz w:val="18"/>
        </w:rPr>
        <w:t xml:space="preserve">Глава І. </w:t>
      </w:r>
      <w:r>
        <w:rPr>
          <w:rFonts w:ascii="AdonisC" w:hAnsi="AdonisC"/>
          <w:i/>
          <w:color w:val="231F20"/>
          <w:sz w:val="18"/>
        </w:rPr>
        <w:t>Загальне адміністративне право Розділ 8. Адміністративна процедура</w:t>
      </w:r>
    </w:p>
    <w:p w14:paraId="3DB5321D" w14:textId="1CEE93C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3096A26" wp14:editId="18F57DFA">
                <wp:extent cx="4140200" cy="6350"/>
                <wp:effectExtent l="0" t="0" r="12700" b="6350"/>
                <wp:docPr id="623"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24" name="Line 62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1BC9F" id="Group_x0020_62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O4inTH4CAACYBQAADgAA&#10;AAAAAAAAAAAAAAAsAgAAZHJzL2Uyb0RvYy54bWxQSwECLQAUAAYACAAAACEATKewkNkAAAADAQAA&#10;DwAAAAAAAAAAAAAAAADWBAAAZHJzL2Rvd25yZXYueG1sUEsFBgAAAAAEAAQA8wAAANwFAAAAAA==&#10;">
                <v:line id="Line_x0020_62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Dec8YAAADcAAAADwAAAGRycy9kb3ducmV2LnhtbESP3WrCQBSE7wu+w3KE3hTdVIuU6Coi&#10;FIoX/qUPcMyeJqG7Z2N2NdGnd4WCl8PMfMPMFp014kKNrxwreB8mIIhzpysuFPxkX4NPED4gazSO&#10;ScGVPCzmvZcZptq1vKfLIRQiQtinqKAMoU6l9HlJFv3Q1cTR+3WNxRBlU0jdYBvh1shRkkykxYrj&#10;Qok1rUrK/w5nqyA7vQWz265Nm22PY3k8bca380ap1363nIII1IVn+L/9rRVMRh/wOBOPgJ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g3nPGAAAA3AAAAA8AAAAAAAAA&#10;AAAAAAAAoQIAAGRycy9kb3ducmV2LnhtbFBLBQYAAAAABAAEAPkAAACUAwAAAAA=&#10;" strokecolor="#231f20" strokeweight=".5pt"/>
                <w10:anchorlock/>
              </v:group>
            </w:pict>
          </mc:Fallback>
        </mc:AlternateContent>
      </w:r>
    </w:p>
    <w:p w14:paraId="6B5048BE" w14:textId="77777777" w:rsidR="00DE575E" w:rsidRDefault="00DE575E">
      <w:pPr>
        <w:pStyle w:val="BodyText"/>
        <w:spacing w:before="7"/>
        <w:rPr>
          <w:rFonts w:ascii="AdonisC"/>
          <w:i/>
          <w:sz w:val="19"/>
        </w:rPr>
      </w:pPr>
    </w:p>
    <w:p w14:paraId="0203826F" w14:textId="77777777" w:rsidR="00DE575E" w:rsidRDefault="002E7560">
      <w:pPr>
        <w:pStyle w:val="ListParagraph"/>
        <w:numPr>
          <w:ilvl w:val="0"/>
          <w:numId w:val="136"/>
        </w:numPr>
        <w:tabs>
          <w:tab w:val="left" w:pos="818"/>
        </w:tabs>
        <w:spacing w:line="252" w:lineRule="auto"/>
        <w:ind w:right="410" w:firstLine="283"/>
        <w:jc w:val="both"/>
        <w:rPr>
          <w:sz w:val="21"/>
        </w:rPr>
      </w:pPr>
      <w:r>
        <w:rPr>
          <w:color w:val="231F20"/>
          <w:sz w:val="21"/>
        </w:rPr>
        <w:t xml:space="preserve">Крупчан </w:t>
      </w:r>
      <w:r>
        <w:rPr>
          <w:color w:val="231F20"/>
          <w:spacing w:val="-3"/>
          <w:sz w:val="21"/>
        </w:rPr>
        <w:t xml:space="preserve">О., </w:t>
      </w:r>
      <w:r>
        <w:rPr>
          <w:color w:val="231F20"/>
          <w:sz w:val="21"/>
        </w:rPr>
        <w:t xml:space="preserve">Перепелюк </w:t>
      </w:r>
      <w:r>
        <w:rPr>
          <w:color w:val="231F20"/>
          <w:spacing w:val="-3"/>
          <w:sz w:val="21"/>
        </w:rPr>
        <w:t xml:space="preserve">В. </w:t>
      </w:r>
      <w:r>
        <w:rPr>
          <w:color w:val="231F20"/>
          <w:sz w:val="21"/>
        </w:rPr>
        <w:t xml:space="preserve">Адміністративні процедури на захи- сті приватних прав осіб: монографія. Київ. НДІ приватного права       і підприємництва НАПрН </w:t>
      </w:r>
      <w:r>
        <w:rPr>
          <w:color w:val="231F20"/>
          <w:spacing w:val="-3"/>
          <w:sz w:val="21"/>
        </w:rPr>
        <w:t xml:space="preserve">України. </w:t>
      </w:r>
      <w:r>
        <w:rPr>
          <w:color w:val="231F20"/>
          <w:sz w:val="21"/>
        </w:rPr>
        <w:t>2010. 207</w:t>
      </w:r>
      <w:r>
        <w:rPr>
          <w:color w:val="231F20"/>
          <w:sz w:val="21"/>
        </w:rPr>
        <w:t xml:space="preserve"> </w:t>
      </w:r>
      <w:r>
        <w:rPr>
          <w:color w:val="231F20"/>
          <w:sz w:val="21"/>
        </w:rPr>
        <w:t>с.</w:t>
      </w:r>
    </w:p>
    <w:p w14:paraId="5BAF94E5" w14:textId="77777777" w:rsidR="00DE575E" w:rsidRDefault="002E7560">
      <w:pPr>
        <w:pStyle w:val="ListParagraph"/>
        <w:numPr>
          <w:ilvl w:val="0"/>
          <w:numId w:val="136"/>
        </w:numPr>
        <w:tabs>
          <w:tab w:val="left" w:pos="818"/>
        </w:tabs>
        <w:spacing w:line="252" w:lineRule="auto"/>
        <w:ind w:right="412" w:firstLine="283"/>
        <w:jc w:val="both"/>
        <w:rPr>
          <w:sz w:val="21"/>
        </w:rPr>
      </w:pPr>
      <w:r>
        <w:rPr>
          <w:color w:val="231F20"/>
          <w:sz w:val="21"/>
        </w:rPr>
        <w:t xml:space="preserve">Миколенко </w:t>
      </w:r>
      <w:r>
        <w:rPr>
          <w:color w:val="231F20"/>
          <w:spacing w:val="-3"/>
          <w:sz w:val="21"/>
        </w:rPr>
        <w:t xml:space="preserve">О. Теорія </w:t>
      </w:r>
      <w:r>
        <w:rPr>
          <w:color w:val="231F20"/>
          <w:sz w:val="21"/>
        </w:rPr>
        <w:t>адміністративного процед</w:t>
      </w:r>
      <w:r>
        <w:rPr>
          <w:color w:val="231F20"/>
          <w:sz w:val="21"/>
        </w:rPr>
        <w:t>урного права: монографія. Харків: Бурун Книга. 2010. 336</w:t>
      </w:r>
      <w:r>
        <w:rPr>
          <w:color w:val="231F20"/>
          <w:spacing w:val="-4"/>
          <w:sz w:val="21"/>
        </w:rPr>
        <w:t xml:space="preserve"> </w:t>
      </w:r>
      <w:r>
        <w:rPr>
          <w:color w:val="231F20"/>
          <w:sz w:val="21"/>
        </w:rPr>
        <w:t>с.</w:t>
      </w:r>
    </w:p>
    <w:p w14:paraId="79EFF459" w14:textId="77777777" w:rsidR="00DE575E" w:rsidRDefault="002E7560">
      <w:pPr>
        <w:pStyle w:val="ListParagraph"/>
        <w:numPr>
          <w:ilvl w:val="0"/>
          <w:numId w:val="136"/>
        </w:numPr>
        <w:tabs>
          <w:tab w:val="left" w:pos="818"/>
        </w:tabs>
        <w:spacing w:line="252" w:lineRule="auto"/>
        <w:ind w:right="411" w:firstLine="283"/>
        <w:jc w:val="both"/>
        <w:rPr>
          <w:sz w:val="21"/>
        </w:rPr>
      </w:pPr>
      <w:r>
        <w:rPr>
          <w:color w:val="231F20"/>
          <w:sz w:val="21"/>
        </w:rPr>
        <w:t>Овчарук С. Адміністративні процедури в умовах формування правової</w:t>
      </w:r>
      <w:r>
        <w:rPr>
          <w:color w:val="231F20"/>
          <w:spacing w:val="-6"/>
          <w:sz w:val="21"/>
        </w:rPr>
        <w:t xml:space="preserve"> </w:t>
      </w:r>
      <w:r>
        <w:rPr>
          <w:color w:val="231F20"/>
          <w:sz w:val="21"/>
        </w:rPr>
        <w:t>держави:</w:t>
      </w:r>
      <w:r>
        <w:rPr>
          <w:color w:val="231F20"/>
          <w:spacing w:val="-6"/>
          <w:sz w:val="21"/>
        </w:rPr>
        <w:t xml:space="preserve"> </w:t>
      </w:r>
      <w:r>
        <w:rPr>
          <w:color w:val="231F20"/>
          <w:sz w:val="21"/>
        </w:rPr>
        <w:t>проблеми</w:t>
      </w:r>
      <w:r>
        <w:rPr>
          <w:color w:val="231F20"/>
          <w:spacing w:val="-6"/>
          <w:sz w:val="21"/>
        </w:rPr>
        <w:t xml:space="preserve"> </w:t>
      </w:r>
      <w:r>
        <w:rPr>
          <w:color w:val="231F20"/>
          <w:sz w:val="21"/>
        </w:rPr>
        <w:t>теорії</w:t>
      </w:r>
      <w:r>
        <w:rPr>
          <w:color w:val="231F20"/>
          <w:spacing w:val="-6"/>
          <w:sz w:val="21"/>
        </w:rPr>
        <w:t xml:space="preserve"> </w:t>
      </w:r>
      <w:r>
        <w:rPr>
          <w:color w:val="231F20"/>
          <w:sz w:val="21"/>
        </w:rPr>
        <w:t>та</w:t>
      </w:r>
      <w:r>
        <w:rPr>
          <w:color w:val="231F20"/>
          <w:spacing w:val="-6"/>
          <w:sz w:val="21"/>
        </w:rPr>
        <w:t xml:space="preserve"> </w:t>
      </w:r>
      <w:r>
        <w:rPr>
          <w:color w:val="231F20"/>
          <w:sz w:val="21"/>
        </w:rPr>
        <w:t>практики</w:t>
      </w:r>
      <w:r>
        <w:rPr>
          <w:color w:val="231F20"/>
          <w:spacing w:val="-6"/>
          <w:sz w:val="21"/>
        </w:rPr>
        <w:t xml:space="preserve"> </w:t>
      </w:r>
      <w:r>
        <w:rPr>
          <w:color w:val="231F20"/>
          <w:sz w:val="21"/>
        </w:rPr>
        <w:t>реалізації:</w:t>
      </w:r>
      <w:r>
        <w:rPr>
          <w:color w:val="231F20"/>
          <w:spacing w:val="-6"/>
          <w:sz w:val="21"/>
        </w:rPr>
        <w:t xml:space="preserve"> </w:t>
      </w:r>
      <w:r>
        <w:rPr>
          <w:color w:val="231F20"/>
          <w:sz w:val="21"/>
        </w:rPr>
        <w:t>моногра- фія. Київ, 2014. 355</w:t>
      </w:r>
      <w:r>
        <w:rPr>
          <w:color w:val="231F20"/>
          <w:spacing w:val="-2"/>
          <w:sz w:val="21"/>
        </w:rPr>
        <w:t xml:space="preserve"> </w:t>
      </w:r>
      <w:r>
        <w:rPr>
          <w:color w:val="231F20"/>
          <w:sz w:val="21"/>
        </w:rPr>
        <w:t>с.</w:t>
      </w:r>
    </w:p>
    <w:p w14:paraId="057E0567" w14:textId="77777777" w:rsidR="00DE575E" w:rsidRDefault="002E7560">
      <w:pPr>
        <w:pStyle w:val="ListParagraph"/>
        <w:numPr>
          <w:ilvl w:val="0"/>
          <w:numId w:val="136"/>
        </w:numPr>
        <w:tabs>
          <w:tab w:val="left" w:pos="818"/>
        </w:tabs>
        <w:spacing w:before="2" w:line="252" w:lineRule="auto"/>
        <w:ind w:right="412" w:firstLine="283"/>
        <w:jc w:val="both"/>
        <w:rPr>
          <w:sz w:val="21"/>
        </w:rPr>
      </w:pPr>
      <w:r>
        <w:rPr>
          <w:color w:val="231F20"/>
          <w:sz w:val="21"/>
        </w:rPr>
        <w:t xml:space="preserve">Стеценко С. Адміністративне право </w:t>
      </w:r>
      <w:r>
        <w:rPr>
          <w:color w:val="231F20"/>
          <w:spacing w:val="-3"/>
          <w:sz w:val="21"/>
        </w:rPr>
        <w:t xml:space="preserve">України: </w:t>
      </w:r>
      <w:r>
        <w:rPr>
          <w:color w:val="231F20"/>
          <w:sz w:val="21"/>
        </w:rPr>
        <w:t>навчальний посібник. Київ: Атіка, 2011. С.</w:t>
      </w:r>
      <w:r>
        <w:rPr>
          <w:color w:val="231F20"/>
          <w:spacing w:val="-3"/>
          <w:sz w:val="21"/>
        </w:rPr>
        <w:t xml:space="preserve"> </w:t>
      </w:r>
      <w:r>
        <w:rPr>
          <w:color w:val="231F20"/>
          <w:sz w:val="21"/>
        </w:rPr>
        <w:t>255-290.</w:t>
      </w:r>
    </w:p>
    <w:p w14:paraId="4EA1F8B0" w14:textId="77777777" w:rsidR="00DE575E" w:rsidRDefault="002E7560">
      <w:pPr>
        <w:pStyle w:val="ListParagraph"/>
        <w:numPr>
          <w:ilvl w:val="0"/>
          <w:numId w:val="136"/>
        </w:numPr>
        <w:tabs>
          <w:tab w:val="left" w:pos="818"/>
        </w:tabs>
        <w:spacing w:line="252" w:lineRule="auto"/>
        <w:ind w:right="413" w:firstLine="283"/>
        <w:jc w:val="both"/>
        <w:rPr>
          <w:sz w:val="21"/>
        </w:rPr>
      </w:pPr>
      <w:r>
        <w:rPr>
          <w:color w:val="231F20"/>
          <w:sz w:val="21"/>
        </w:rPr>
        <w:t xml:space="preserve">Тимощук </w:t>
      </w:r>
      <w:r>
        <w:rPr>
          <w:color w:val="231F20"/>
          <w:spacing w:val="-3"/>
          <w:sz w:val="21"/>
        </w:rPr>
        <w:t xml:space="preserve">В. </w:t>
      </w:r>
      <w:r>
        <w:rPr>
          <w:color w:val="231F20"/>
          <w:sz w:val="21"/>
        </w:rPr>
        <w:t xml:space="preserve">Адміністративні акти: процедура прийняття та припинення дії: монографія. Київ: </w:t>
      </w:r>
      <w:r>
        <w:rPr>
          <w:color w:val="231F20"/>
          <w:spacing w:val="-3"/>
          <w:sz w:val="21"/>
        </w:rPr>
        <w:t xml:space="preserve">Конус-Ю, </w:t>
      </w:r>
      <w:r>
        <w:rPr>
          <w:color w:val="231F20"/>
          <w:sz w:val="21"/>
        </w:rPr>
        <w:t>2010. 296</w:t>
      </w:r>
      <w:r>
        <w:rPr>
          <w:color w:val="231F20"/>
          <w:spacing w:val="-1"/>
          <w:sz w:val="21"/>
        </w:rPr>
        <w:t xml:space="preserve"> </w:t>
      </w:r>
      <w:r>
        <w:rPr>
          <w:color w:val="231F20"/>
          <w:sz w:val="21"/>
        </w:rPr>
        <w:t>с.</w:t>
      </w:r>
    </w:p>
    <w:p w14:paraId="36CE6196" w14:textId="77777777" w:rsidR="00DE575E" w:rsidRDefault="00DE575E">
      <w:pPr>
        <w:pStyle w:val="BodyText"/>
        <w:rPr>
          <w:sz w:val="20"/>
        </w:rPr>
      </w:pPr>
    </w:p>
    <w:p w14:paraId="268295AE" w14:textId="77777777" w:rsidR="00DE575E" w:rsidRDefault="00DE575E">
      <w:pPr>
        <w:pStyle w:val="BodyText"/>
        <w:rPr>
          <w:sz w:val="20"/>
        </w:rPr>
      </w:pPr>
    </w:p>
    <w:p w14:paraId="7AB4F40C" w14:textId="77777777" w:rsidR="00DE575E" w:rsidRDefault="00DE575E">
      <w:pPr>
        <w:pStyle w:val="BodyText"/>
        <w:rPr>
          <w:sz w:val="20"/>
        </w:rPr>
      </w:pPr>
    </w:p>
    <w:p w14:paraId="0B036746" w14:textId="77777777" w:rsidR="00DE575E" w:rsidRDefault="00DE575E">
      <w:pPr>
        <w:pStyle w:val="BodyText"/>
        <w:rPr>
          <w:sz w:val="20"/>
        </w:rPr>
      </w:pPr>
    </w:p>
    <w:p w14:paraId="1C9DA619" w14:textId="77777777" w:rsidR="00DE575E" w:rsidRDefault="00DE575E">
      <w:pPr>
        <w:pStyle w:val="BodyText"/>
        <w:rPr>
          <w:sz w:val="20"/>
        </w:rPr>
      </w:pPr>
    </w:p>
    <w:p w14:paraId="66F9D35D" w14:textId="77777777" w:rsidR="00DE575E" w:rsidRDefault="00DE575E">
      <w:pPr>
        <w:pStyle w:val="BodyText"/>
        <w:rPr>
          <w:sz w:val="20"/>
        </w:rPr>
      </w:pPr>
    </w:p>
    <w:p w14:paraId="192E7F2A" w14:textId="77777777" w:rsidR="00DE575E" w:rsidRDefault="00DE575E">
      <w:pPr>
        <w:pStyle w:val="BodyText"/>
        <w:rPr>
          <w:sz w:val="20"/>
        </w:rPr>
      </w:pPr>
    </w:p>
    <w:p w14:paraId="27D122B6" w14:textId="77777777" w:rsidR="00DE575E" w:rsidRDefault="00DE575E">
      <w:pPr>
        <w:pStyle w:val="BodyText"/>
        <w:rPr>
          <w:sz w:val="20"/>
        </w:rPr>
      </w:pPr>
    </w:p>
    <w:p w14:paraId="1D2D594A" w14:textId="77777777" w:rsidR="00DE575E" w:rsidRDefault="00DE575E">
      <w:pPr>
        <w:pStyle w:val="BodyText"/>
        <w:rPr>
          <w:sz w:val="20"/>
        </w:rPr>
      </w:pPr>
    </w:p>
    <w:p w14:paraId="6FC7360F" w14:textId="77777777" w:rsidR="00DE575E" w:rsidRDefault="00DE575E">
      <w:pPr>
        <w:pStyle w:val="BodyText"/>
        <w:rPr>
          <w:sz w:val="20"/>
        </w:rPr>
      </w:pPr>
    </w:p>
    <w:p w14:paraId="4871D6E8" w14:textId="77777777" w:rsidR="00DE575E" w:rsidRDefault="00DE575E">
      <w:pPr>
        <w:pStyle w:val="BodyText"/>
        <w:rPr>
          <w:sz w:val="20"/>
        </w:rPr>
      </w:pPr>
    </w:p>
    <w:p w14:paraId="524E6D0E" w14:textId="77777777" w:rsidR="00DE575E" w:rsidRDefault="00DE575E">
      <w:pPr>
        <w:pStyle w:val="BodyText"/>
        <w:rPr>
          <w:sz w:val="20"/>
        </w:rPr>
      </w:pPr>
    </w:p>
    <w:p w14:paraId="25BA85B5" w14:textId="77777777" w:rsidR="00DE575E" w:rsidRDefault="00DE575E">
      <w:pPr>
        <w:pStyle w:val="BodyText"/>
        <w:rPr>
          <w:sz w:val="20"/>
        </w:rPr>
      </w:pPr>
    </w:p>
    <w:p w14:paraId="7FA83F80" w14:textId="77777777" w:rsidR="00DE575E" w:rsidRDefault="00DE575E">
      <w:pPr>
        <w:pStyle w:val="BodyText"/>
        <w:rPr>
          <w:sz w:val="20"/>
        </w:rPr>
      </w:pPr>
    </w:p>
    <w:p w14:paraId="74990E07" w14:textId="77777777" w:rsidR="00DE575E" w:rsidRDefault="00DE575E">
      <w:pPr>
        <w:pStyle w:val="BodyText"/>
        <w:rPr>
          <w:sz w:val="20"/>
        </w:rPr>
      </w:pPr>
    </w:p>
    <w:p w14:paraId="2EBC1E8D" w14:textId="77777777" w:rsidR="00DE575E" w:rsidRDefault="00DE575E">
      <w:pPr>
        <w:pStyle w:val="BodyText"/>
        <w:rPr>
          <w:sz w:val="20"/>
        </w:rPr>
      </w:pPr>
    </w:p>
    <w:p w14:paraId="01ECD261" w14:textId="77777777" w:rsidR="00DE575E" w:rsidRDefault="00DE575E">
      <w:pPr>
        <w:pStyle w:val="BodyText"/>
        <w:rPr>
          <w:sz w:val="20"/>
        </w:rPr>
      </w:pPr>
    </w:p>
    <w:p w14:paraId="754F8DD4" w14:textId="77777777" w:rsidR="00DE575E" w:rsidRDefault="00DE575E">
      <w:pPr>
        <w:pStyle w:val="BodyText"/>
        <w:rPr>
          <w:sz w:val="20"/>
        </w:rPr>
      </w:pPr>
    </w:p>
    <w:p w14:paraId="0800FFDF" w14:textId="77777777" w:rsidR="00DE575E" w:rsidRDefault="00DE575E">
      <w:pPr>
        <w:pStyle w:val="BodyText"/>
        <w:rPr>
          <w:sz w:val="20"/>
        </w:rPr>
      </w:pPr>
    </w:p>
    <w:p w14:paraId="2964D02D" w14:textId="77777777" w:rsidR="00DE575E" w:rsidRDefault="00DE575E">
      <w:pPr>
        <w:pStyle w:val="BodyText"/>
        <w:rPr>
          <w:sz w:val="20"/>
        </w:rPr>
      </w:pPr>
    </w:p>
    <w:p w14:paraId="1B9310BD" w14:textId="77777777" w:rsidR="00DE575E" w:rsidRDefault="00DE575E">
      <w:pPr>
        <w:pStyle w:val="BodyText"/>
        <w:rPr>
          <w:sz w:val="20"/>
        </w:rPr>
      </w:pPr>
    </w:p>
    <w:p w14:paraId="73F5D396" w14:textId="77777777" w:rsidR="00DE575E" w:rsidRDefault="00DE575E">
      <w:pPr>
        <w:pStyle w:val="BodyText"/>
        <w:rPr>
          <w:sz w:val="20"/>
        </w:rPr>
      </w:pPr>
    </w:p>
    <w:p w14:paraId="38C312C9" w14:textId="77777777" w:rsidR="00DE575E" w:rsidRDefault="00DE575E">
      <w:pPr>
        <w:pStyle w:val="BodyText"/>
        <w:rPr>
          <w:sz w:val="20"/>
        </w:rPr>
      </w:pPr>
    </w:p>
    <w:p w14:paraId="2EB47513" w14:textId="77777777" w:rsidR="00DE575E" w:rsidRDefault="00DE575E">
      <w:pPr>
        <w:pStyle w:val="BodyText"/>
        <w:rPr>
          <w:sz w:val="20"/>
        </w:rPr>
      </w:pPr>
    </w:p>
    <w:p w14:paraId="5BFC1B63" w14:textId="77777777" w:rsidR="00DE575E" w:rsidRDefault="00DE575E">
      <w:pPr>
        <w:pStyle w:val="BodyText"/>
        <w:rPr>
          <w:sz w:val="20"/>
        </w:rPr>
      </w:pPr>
    </w:p>
    <w:p w14:paraId="71B39BB9" w14:textId="77777777" w:rsidR="00DE575E" w:rsidRDefault="00DE575E">
      <w:pPr>
        <w:pStyle w:val="BodyText"/>
        <w:rPr>
          <w:sz w:val="20"/>
        </w:rPr>
      </w:pPr>
    </w:p>
    <w:p w14:paraId="126A0497" w14:textId="77777777" w:rsidR="00DE575E" w:rsidRDefault="00DE575E">
      <w:pPr>
        <w:pStyle w:val="BodyText"/>
        <w:rPr>
          <w:sz w:val="20"/>
        </w:rPr>
      </w:pPr>
    </w:p>
    <w:p w14:paraId="083EDC6A" w14:textId="77777777" w:rsidR="00DE575E" w:rsidRDefault="00DE575E">
      <w:pPr>
        <w:pStyle w:val="BodyText"/>
        <w:rPr>
          <w:sz w:val="20"/>
        </w:rPr>
      </w:pPr>
    </w:p>
    <w:p w14:paraId="6E9A93E4" w14:textId="77777777" w:rsidR="00DE575E" w:rsidRDefault="00DE575E">
      <w:pPr>
        <w:pStyle w:val="BodyText"/>
        <w:rPr>
          <w:sz w:val="20"/>
        </w:rPr>
      </w:pPr>
    </w:p>
    <w:p w14:paraId="3B28734F" w14:textId="77777777" w:rsidR="00DE575E" w:rsidRDefault="00DE575E">
      <w:pPr>
        <w:pStyle w:val="BodyText"/>
        <w:spacing w:before="11"/>
        <w:rPr>
          <w:sz w:val="28"/>
        </w:rPr>
      </w:pPr>
    </w:p>
    <w:p w14:paraId="19DC83AE" w14:textId="77777777" w:rsidR="00DE575E" w:rsidRDefault="002E7560">
      <w:pPr>
        <w:spacing w:before="91"/>
        <w:ind w:right="411"/>
        <w:jc w:val="right"/>
        <w:rPr>
          <w:rFonts w:ascii="Times New Roman"/>
          <w:sz w:val="20"/>
        </w:rPr>
      </w:pPr>
      <w:r>
        <w:rPr>
          <w:rFonts w:ascii="Times New Roman"/>
          <w:color w:val="231F20"/>
          <w:w w:val="90"/>
          <w:sz w:val="20"/>
        </w:rPr>
        <w:t>317</w:t>
      </w:r>
    </w:p>
    <w:p w14:paraId="3BB465D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2B44C8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9E82225" w14:textId="2DBAD44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D1065C7" wp14:editId="7900C60D">
                <wp:extent cx="4140200" cy="6350"/>
                <wp:effectExtent l="0" t="0" r="12700" b="6350"/>
                <wp:docPr id="621"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22" name="Line 62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03DADC" id="Group_x0020_62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DXqvJ/AgAAmAUAAA4A&#10;AAAAAAAAAAAAAAAALAIAAGRycy9lMm9Eb2MueG1sUEsBAi0AFAAGAAgAAAAhAEynsJDZAAAAAwEA&#10;AA8AAAAAAAAAAAAAAAAA1wQAAGRycy9kb3ducmV2LnhtbFBLBQYAAAAABAAEAPMAAADdBQAAAAA=&#10;">
                <v:line id="Line_x0020_62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wXjnMYAAADcAAAADwAAAGRycy9kb3ducmV2LnhtbESP0WrCQBRE3wX/YbmCL1I3jSCSuooI&#10;BfFBW+MHXLO3Seju3ZhdTezXdwsFH4eZOcMs17014k6trx0reJ0mIIgLp2suFZzz95cFCB+QNRrH&#10;pOBBHtar4WCJmXYdf9L9FEoRIewzVFCF0GRS+qIii37qGuLofbnWYoiyLaVusYtwa2SaJHNpsea4&#10;UGFD24qK79PNKsivk2A+jnvT5cfLTF6uh9nP7aDUeNRv3kAE6sMz/N/eaQXzNIW/M/EI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F45zGAAAA3AAAAA8AAAAAAAAA&#10;AAAAAAAAoQIAAGRycy9kb3ducmV2LnhtbFBLBQYAAAAABAAEAPkAAACUAwAAAAA=&#10;" strokecolor="#231f20" strokeweight=".5pt"/>
                <w10:anchorlock/>
              </v:group>
            </w:pict>
          </mc:Fallback>
        </mc:AlternateContent>
      </w:r>
    </w:p>
    <w:p w14:paraId="4972B624" w14:textId="77777777" w:rsidR="00DE575E" w:rsidRDefault="00DE575E">
      <w:pPr>
        <w:pStyle w:val="BodyText"/>
        <w:rPr>
          <w:rFonts w:ascii="AdonisC"/>
          <w:i/>
          <w:sz w:val="18"/>
        </w:rPr>
      </w:pPr>
    </w:p>
    <w:p w14:paraId="50C24E9B" w14:textId="77777777" w:rsidR="00DE575E" w:rsidRDefault="002E7560">
      <w:pPr>
        <w:pStyle w:val="Heading2"/>
        <w:spacing w:before="1" w:line="300" w:lineRule="exact"/>
        <w:ind w:right="292"/>
        <w:jc w:val="center"/>
      </w:pPr>
      <w:r>
        <w:rPr>
          <w:color w:val="231F20"/>
        </w:rPr>
        <w:t>Розділ 9</w:t>
      </w:r>
    </w:p>
    <w:p w14:paraId="494E6DBE" w14:textId="77777777" w:rsidR="00DE575E" w:rsidRDefault="002E7560">
      <w:pPr>
        <w:spacing w:before="23" w:line="218" w:lineRule="auto"/>
        <w:ind w:left="1505" w:hanging="109"/>
        <w:rPr>
          <w:b/>
          <w:sz w:val="16"/>
        </w:rPr>
      </w:pPr>
      <w:r>
        <w:rPr>
          <w:b/>
          <w:color w:val="231F20"/>
          <w:sz w:val="28"/>
        </w:rPr>
        <w:t>ЗАХИСТ ПРИВАТНОЇ ОСОБИ У СФЕРІ ПУБЛІЧНОГО АДМІНІСТРУВАННЯ</w:t>
      </w:r>
      <w:r>
        <w:rPr>
          <w:b/>
          <w:color w:val="231F20"/>
          <w:position w:val="9"/>
          <w:sz w:val="16"/>
        </w:rPr>
        <w:t>1</w:t>
      </w:r>
    </w:p>
    <w:p w14:paraId="60D4FF44" w14:textId="77777777" w:rsidR="00DE575E" w:rsidRDefault="00DE575E">
      <w:pPr>
        <w:pStyle w:val="BodyText"/>
        <w:spacing w:before="8"/>
        <w:rPr>
          <w:b/>
          <w:sz w:val="43"/>
        </w:rPr>
      </w:pPr>
    </w:p>
    <w:p w14:paraId="6651CD76" w14:textId="77777777" w:rsidR="00DE575E" w:rsidRDefault="002E7560">
      <w:pPr>
        <w:pStyle w:val="Heading4"/>
        <w:ind w:left="1049" w:hanging="394"/>
      </w:pPr>
      <w:r>
        <w:rPr>
          <w:color w:val="231F20"/>
        </w:rPr>
        <w:t>9.1. Поняття інструментів захисту прав, свобод та інтересів приватних осіб у сфері публічного адміністрування</w:t>
      </w:r>
    </w:p>
    <w:p w14:paraId="6B440813" w14:textId="77777777" w:rsidR="00DE575E" w:rsidRDefault="00DE575E">
      <w:pPr>
        <w:pStyle w:val="BodyText"/>
        <w:rPr>
          <w:b/>
          <w:sz w:val="26"/>
        </w:rPr>
      </w:pPr>
    </w:p>
    <w:p w14:paraId="2BF6A36F" w14:textId="77777777" w:rsidR="00DE575E" w:rsidRDefault="002E7560">
      <w:pPr>
        <w:pStyle w:val="BodyText"/>
        <w:spacing w:before="224" w:line="252" w:lineRule="auto"/>
        <w:ind w:left="533" w:right="125" w:firstLine="283"/>
        <w:jc w:val="both"/>
      </w:pPr>
      <w:r>
        <w:rPr>
          <w:color w:val="231F20"/>
        </w:rPr>
        <w:t>Установлення норм права, які регулюють адміністративно- правові відносини, ще не виключає випадків їх порушення з боку публічної адміністрації та інших осіб, які такого статусу не мають. Щоб не припустити таких порушень, потрібно вживати певних адміністрат</w:t>
      </w:r>
      <w:r>
        <w:rPr>
          <w:color w:val="231F20"/>
        </w:rPr>
        <w:t xml:space="preserve">ивно-правових   заходів    для    захисту    прав,    свобод   і законних інтересів фізичних і  юридичних  осіб.  </w:t>
      </w:r>
      <w:r>
        <w:rPr>
          <w:color w:val="231F20"/>
          <w:spacing w:val="-3"/>
        </w:rPr>
        <w:t xml:space="preserve">Такий  </w:t>
      </w:r>
      <w:r>
        <w:rPr>
          <w:color w:val="231F20"/>
        </w:rPr>
        <w:t>захист  прав особи є надійною гарантією ефективного та об’єктивного перетворення загального поняття «захист прав людини» з рито- ричног</w:t>
      </w:r>
      <w:r>
        <w:rPr>
          <w:color w:val="231F20"/>
        </w:rPr>
        <w:t>о в реальне. За визначенням В. Авер’янова, «адміністра- тивне право має визначатися як «право забезпечення і захисту  прав</w:t>
      </w:r>
      <w:r>
        <w:rPr>
          <w:color w:val="231F20"/>
          <w:spacing w:val="3"/>
        </w:rPr>
        <w:t xml:space="preserve"> </w:t>
      </w:r>
      <w:r>
        <w:rPr>
          <w:color w:val="231F20"/>
        </w:rPr>
        <w:t>людини»</w:t>
      </w:r>
      <w:r>
        <w:rPr>
          <w:color w:val="231F20"/>
          <w:position w:val="7"/>
          <w:sz w:val="12"/>
        </w:rPr>
        <w:t>2</w:t>
      </w:r>
      <w:r>
        <w:rPr>
          <w:color w:val="231F20"/>
        </w:rPr>
        <w:t>.</w:t>
      </w:r>
    </w:p>
    <w:p w14:paraId="2FE8ADC5" w14:textId="77777777" w:rsidR="00DE575E" w:rsidRDefault="002E7560">
      <w:pPr>
        <w:pStyle w:val="BodyText"/>
        <w:spacing w:before="5" w:line="252" w:lineRule="auto"/>
        <w:ind w:left="533" w:right="128" w:firstLine="283"/>
        <w:jc w:val="both"/>
      </w:pPr>
      <w:r>
        <w:rPr>
          <w:color w:val="231F20"/>
        </w:rPr>
        <w:t>Фізичні</w:t>
      </w:r>
      <w:r>
        <w:rPr>
          <w:color w:val="231F20"/>
          <w:spacing w:val="-7"/>
        </w:rPr>
        <w:t xml:space="preserve"> </w:t>
      </w:r>
      <w:r>
        <w:rPr>
          <w:color w:val="231F20"/>
        </w:rPr>
        <w:t>та</w:t>
      </w:r>
      <w:r>
        <w:rPr>
          <w:color w:val="231F20"/>
          <w:spacing w:val="-7"/>
        </w:rPr>
        <w:t xml:space="preserve"> </w:t>
      </w:r>
      <w:r>
        <w:rPr>
          <w:color w:val="231F20"/>
        </w:rPr>
        <w:t>юридичні</w:t>
      </w:r>
      <w:r>
        <w:rPr>
          <w:color w:val="231F20"/>
          <w:spacing w:val="-7"/>
        </w:rPr>
        <w:t xml:space="preserve"> </w:t>
      </w:r>
      <w:r>
        <w:rPr>
          <w:color w:val="231F20"/>
        </w:rPr>
        <w:t>невладні</w:t>
      </w:r>
      <w:r>
        <w:rPr>
          <w:color w:val="231F20"/>
          <w:spacing w:val="-7"/>
        </w:rPr>
        <w:t xml:space="preserve"> </w:t>
      </w:r>
      <w:r>
        <w:rPr>
          <w:color w:val="231F20"/>
        </w:rPr>
        <w:t>особи</w:t>
      </w:r>
      <w:r>
        <w:rPr>
          <w:color w:val="231F20"/>
          <w:spacing w:val="-7"/>
        </w:rPr>
        <w:t xml:space="preserve"> </w:t>
      </w:r>
      <w:r>
        <w:rPr>
          <w:color w:val="231F20"/>
        </w:rPr>
        <w:t>потребують</w:t>
      </w:r>
      <w:r>
        <w:rPr>
          <w:color w:val="231F20"/>
          <w:spacing w:val="-7"/>
        </w:rPr>
        <w:t xml:space="preserve"> </w:t>
      </w:r>
      <w:r>
        <w:rPr>
          <w:color w:val="231F20"/>
        </w:rPr>
        <w:t>захисту</w:t>
      </w:r>
      <w:r>
        <w:rPr>
          <w:color w:val="231F20"/>
          <w:spacing w:val="-7"/>
        </w:rPr>
        <w:t xml:space="preserve"> </w:t>
      </w:r>
      <w:r>
        <w:rPr>
          <w:color w:val="231F20"/>
        </w:rPr>
        <w:t>від</w:t>
      </w:r>
      <w:r>
        <w:rPr>
          <w:color w:val="231F20"/>
          <w:spacing w:val="-7"/>
        </w:rPr>
        <w:t xml:space="preserve"> </w:t>
      </w:r>
      <w:r>
        <w:rPr>
          <w:color w:val="231F20"/>
        </w:rPr>
        <w:t xml:space="preserve">двох основних джерел небезпеки – </w:t>
      </w:r>
      <w:r>
        <w:rPr>
          <w:color w:val="231F20"/>
          <w:spacing w:val="-3"/>
        </w:rPr>
        <w:t xml:space="preserve">суб’єктів </w:t>
      </w:r>
      <w:r>
        <w:rPr>
          <w:color w:val="231F20"/>
        </w:rPr>
        <w:t>владних повноважень та інших осіб, які владних повноважень не</w:t>
      </w:r>
      <w:r>
        <w:rPr>
          <w:color w:val="231F20"/>
          <w:spacing w:val="-2"/>
        </w:rPr>
        <w:t xml:space="preserve"> </w:t>
      </w:r>
      <w:r>
        <w:rPr>
          <w:color w:val="231F20"/>
        </w:rPr>
        <w:t>мають.</w:t>
      </w:r>
    </w:p>
    <w:p w14:paraId="0C5F2D3F" w14:textId="77777777" w:rsidR="00DE575E" w:rsidRDefault="002E7560">
      <w:pPr>
        <w:pStyle w:val="BodyText"/>
        <w:spacing w:before="2" w:line="252" w:lineRule="auto"/>
        <w:ind w:left="533" w:right="126" w:firstLine="283"/>
        <w:jc w:val="both"/>
      </w:pPr>
      <w:r>
        <w:rPr>
          <w:color w:val="231F20"/>
        </w:rPr>
        <w:t>Публічна адміністрація є унікальним публічним правовим утво- ренням, коли вона своїм основним завданням має захист прав, свобод і законних інтересів приватних осіб, однак у силу різних об</w:t>
      </w:r>
      <w:r>
        <w:rPr>
          <w:color w:val="231F20"/>
        </w:rPr>
        <w:t xml:space="preserve">ставин одночасно є вагомим </w:t>
      </w:r>
      <w:r>
        <w:rPr>
          <w:color w:val="231F20"/>
          <w:spacing w:val="-3"/>
        </w:rPr>
        <w:t xml:space="preserve">суб’єктом </w:t>
      </w:r>
      <w:r>
        <w:rPr>
          <w:color w:val="231F20"/>
        </w:rPr>
        <w:t xml:space="preserve">їх порушення. На жаль, це є </w:t>
      </w:r>
      <w:r>
        <w:rPr>
          <w:color w:val="231F20"/>
          <w:spacing w:val="-3"/>
        </w:rPr>
        <w:t xml:space="preserve">об’єктивною </w:t>
      </w:r>
      <w:r>
        <w:rPr>
          <w:color w:val="231F20"/>
        </w:rPr>
        <w:t xml:space="preserve">істиною: публічна влада як публічний </w:t>
      </w:r>
      <w:r>
        <w:rPr>
          <w:color w:val="231F20"/>
          <w:spacing w:val="-5"/>
        </w:rPr>
        <w:t xml:space="preserve">суб’єкт, </w:t>
      </w:r>
      <w:r>
        <w:rPr>
          <w:color w:val="231F20"/>
        </w:rPr>
        <w:t>наділе- ний владною компетенцією, схильна до</w:t>
      </w:r>
      <w:r>
        <w:rPr>
          <w:color w:val="231F20"/>
          <w:spacing w:val="-4"/>
        </w:rPr>
        <w:t xml:space="preserve"> </w:t>
      </w:r>
      <w:r>
        <w:rPr>
          <w:color w:val="231F20"/>
        </w:rPr>
        <w:t>зловживань.</w:t>
      </w:r>
    </w:p>
    <w:p w14:paraId="3A5772B9" w14:textId="77777777" w:rsidR="00DE575E" w:rsidRDefault="002E7560">
      <w:pPr>
        <w:pStyle w:val="BodyText"/>
        <w:spacing w:before="3" w:line="252" w:lineRule="auto"/>
        <w:ind w:left="533" w:right="127" w:firstLine="283"/>
        <w:jc w:val="both"/>
      </w:pPr>
      <w:r>
        <w:rPr>
          <w:color w:val="231F20"/>
        </w:rPr>
        <w:t xml:space="preserve">Причини цього різні: низька правова </w:t>
      </w:r>
      <w:r>
        <w:rPr>
          <w:color w:val="231F20"/>
          <w:spacing w:val="-3"/>
        </w:rPr>
        <w:t xml:space="preserve">культура </w:t>
      </w:r>
      <w:r>
        <w:rPr>
          <w:color w:val="231F20"/>
        </w:rPr>
        <w:t>і правосвідомість посадових осі</w:t>
      </w:r>
      <w:r>
        <w:rPr>
          <w:color w:val="231F20"/>
        </w:rPr>
        <w:t xml:space="preserve">б </w:t>
      </w:r>
      <w:r>
        <w:rPr>
          <w:color w:val="231F20"/>
          <w:spacing w:val="-3"/>
        </w:rPr>
        <w:t xml:space="preserve">суб’єктів </w:t>
      </w:r>
      <w:r>
        <w:rPr>
          <w:color w:val="231F20"/>
        </w:rPr>
        <w:t>публічної адміністрації; відстоювання</w:t>
      </w:r>
      <w:r>
        <w:rPr>
          <w:color w:val="231F20"/>
          <w:spacing w:val="-31"/>
        </w:rPr>
        <w:t xml:space="preserve"> </w:t>
      </w:r>
      <w:r>
        <w:rPr>
          <w:color w:val="231F20"/>
        </w:rPr>
        <w:t xml:space="preserve">ними корпоративного (а не публічного) інтересу; корупційні прояви; помилки в тлумаченні й застосуванні норм матеріального і проце- суального права через недостатність правових знань, недостатність </w:t>
      </w:r>
      <w:r>
        <w:rPr>
          <w:color w:val="231F20"/>
          <w:spacing w:val="-3"/>
        </w:rPr>
        <w:t xml:space="preserve">досвіду, </w:t>
      </w:r>
      <w:r>
        <w:rPr>
          <w:color w:val="231F20"/>
        </w:rPr>
        <w:t>перевантаження робочим навантаженням</w:t>
      </w:r>
      <w:r>
        <w:rPr>
          <w:color w:val="231F20"/>
          <w:spacing w:val="-1"/>
        </w:rPr>
        <w:t xml:space="preserve"> </w:t>
      </w:r>
      <w:r>
        <w:rPr>
          <w:color w:val="231F20"/>
        </w:rPr>
        <w:t>тощо.</w:t>
      </w:r>
    </w:p>
    <w:p w14:paraId="47D8FCD2" w14:textId="70B5CD05" w:rsidR="00DE575E" w:rsidRDefault="002E7560">
      <w:pPr>
        <w:pStyle w:val="BodyText"/>
        <w:spacing w:before="5"/>
        <w:rPr>
          <w:sz w:val="27"/>
        </w:rPr>
      </w:pPr>
      <w:r>
        <w:rPr>
          <w:noProof/>
        </w:rPr>
        <mc:AlternateContent>
          <mc:Choice Requires="wps">
            <w:drawing>
              <wp:anchor distT="0" distB="0" distL="0" distR="0" simplePos="0" relativeHeight="12304" behindDoc="0" locked="0" layoutInCell="1" allowOverlap="1" wp14:anchorId="464895FF" wp14:editId="596AC935">
                <wp:simplePos x="0" y="0"/>
                <wp:positionH relativeFrom="page">
                  <wp:posOffset>719455</wp:posOffset>
                </wp:positionH>
                <wp:positionV relativeFrom="paragraph">
                  <wp:posOffset>232410</wp:posOffset>
                </wp:positionV>
                <wp:extent cx="1080135" cy="0"/>
                <wp:effectExtent l="8255" t="16510" r="29210" b="21590"/>
                <wp:wrapTopAndBottom/>
                <wp:docPr id="620"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4D725" id="Line_x0020_619" o:spid="_x0000_s1026" style="position:absolute;z-index:1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141.7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" strokecolor="#231f20" strokeweight=".5pt">
                <w10:wrap type="topAndBottom" anchorx="page"/>
              </v:line>
            </w:pict>
          </mc:Fallback>
        </mc:AlternateContent>
      </w:r>
    </w:p>
    <w:p w14:paraId="6A67E76B"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За загальною редакцією </w:t>
      </w:r>
      <w:r>
        <w:rPr>
          <w:b/>
          <w:color w:val="231F20"/>
          <w:sz w:val="16"/>
        </w:rPr>
        <w:t>Лариси Коваленко.</w:t>
      </w:r>
    </w:p>
    <w:p w14:paraId="2F25D9A0" w14:textId="77777777" w:rsidR="00DE575E" w:rsidRDefault="002E7560">
      <w:pPr>
        <w:spacing w:before="23" w:line="204" w:lineRule="auto"/>
        <w:ind w:left="533" w:right="128"/>
        <w:rPr>
          <w:sz w:val="16"/>
        </w:rPr>
      </w:pPr>
      <w:r>
        <w:rPr>
          <w:color w:val="231F20"/>
          <w:position w:val="5"/>
          <w:sz w:val="9"/>
        </w:rPr>
        <w:t xml:space="preserve">2 </w:t>
      </w:r>
      <w:r>
        <w:rPr>
          <w:color w:val="231F20"/>
          <w:sz w:val="16"/>
        </w:rPr>
        <w:t>Авер’янов В. Адміністративне право України: доктринальні аспекти реформування. Право України. 1998. № 8. С. 10.</w:t>
      </w:r>
    </w:p>
    <w:p w14:paraId="5A1A9C3A" w14:textId="77777777" w:rsidR="00DE575E" w:rsidRDefault="00DE575E">
      <w:pPr>
        <w:pStyle w:val="BodyText"/>
        <w:spacing w:before="5"/>
        <w:rPr>
          <w:sz w:val="12"/>
        </w:rPr>
      </w:pPr>
    </w:p>
    <w:p w14:paraId="49E83363" w14:textId="77777777" w:rsidR="00DE575E" w:rsidRDefault="002E7560">
      <w:pPr>
        <w:spacing w:before="92"/>
        <w:ind w:left="533"/>
        <w:rPr>
          <w:rFonts w:ascii="Times New Roman"/>
          <w:sz w:val="20"/>
        </w:rPr>
      </w:pPr>
      <w:r>
        <w:rPr>
          <w:rFonts w:ascii="Times New Roman"/>
          <w:color w:val="231F20"/>
          <w:sz w:val="20"/>
        </w:rPr>
        <w:t>318</w:t>
      </w:r>
    </w:p>
    <w:p w14:paraId="6C084064" w14:textId="77777777" w:rsidR="00DE575E" w:rsidRDefault="00DE575E">
      <w:pPr>
        <w:rPr>
          <w:rFonts w:ascii="Times New Roman"/>
          <w:sz w:val="20"/>
        </w:rPr>
        <w:sectPr w:rsidR="00DE575E">
          <w:pgSz w:w="8510" w:h="12760"/>
          <w:pgMar w:top="660" w:right="720" w:bottom="280" w:left="600" w:header="720" w:footer="720" w:gutter="0"/>
          <w:cols w:space="720"/>
        </w:sectPr>
      </w:pPr>
    </w:p>
    <w:p w14:paraId="139B3DF5"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45A49CC5" w14:textId="65C4068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9AF4315" wp14:editId="7CD07FCE">
                <wp:extent cx="4140200" cy="6350"/>
                <wp:effectExtent l="0" t="0" r="12700" b="6350"/>
                <wp:docPr id="618"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19" name="Line 61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45262C" id="Group_x0020_61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FaIhx/AgAAmAUAAA4A&#10;AAAAAAAAAAAAAAAALAIAAGRycy9lMm9Eb2MueG1sUEsBAi0AFAAGAAgAAAAhAEynsJDZAAAAAwEA&#10;AA8AAAAAAAAAAAAAAAAA1wQAAGRycy9kb3ducmV2LnhtbFBLBQYAAAAABAAEAPMAAADdBQAAAAA=&#10;">
                <v:line id="Line_x0020_61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27UMYAAADcAAAADwAAAGRycy9kb3ducmV2LnhtbESP0WrCQBRE3wX/YblCX0Q3VpA2uooI&#10;gvRBrekHXLO3Seju3ZhdTdqv7wqCj8PMnGEWq84acaPGV44VTMYJCOLc6YoLBV/ZdvQGwgdkjcYx&#10;KfglD6tlv7fAVLuWP+l2CoWIEPYpKihDqFMpfV6SRT92NXH0vl1jMUTZFFI32Ea4NfI1SWbSYsVx&#10;ocSaNiXlP6erVZBdhsEcDx+mzQ7nqTxf9tO/616pl0G3noMI1IVn+NHeaQWzyTvcz8QjI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Nu1DGAAAA3AAAAA8AAAAAAAAA&#10;AAAAAAAAoQIAAGRycy9kb3ducmV2LnhtbFBLBQYAAAAABAAEAPkAAACUAwAAAAA=&#10;" strokecolor="#231f20" strokeweight=".5pt"/>
                <w10:anchorlock/>
              </v:group>
            </w:pict>
          </mc:Fallback>
        </mc:AlternateContent>
      </w:r>
    </w:p>
    <w:p w14:paraId="571F1751" w14:textId="77777777" w:rsidR="00DE575E" w:rsidRDefault="00DE575E">
      <w:pPr>
        <w:pStyle w:val="BodyText"/>
        <w:spacing w:before="7"/>
        <w:rPr>
          <w:rFonts w:ascii="AdonisC"/>
          <w:i/>
          <w:sz w:val="19"/>
        </w:rPr>
      </w:pPr>
    </w:p>
    <w:p w14:paraId="5ECE71E4" w14:textId="77777777" w:rsidR="00DE575E" w:rsidRDefault="002E7560">
      <w:pPr>
        <w:spacing w:before="1" w:line="252" w:lineRule="auto"/>
        <w:ind w:left="250" w:right="411" w:firstLine="283"/>
        <w:jc w:val="both"/>
        <w:rPr>
          <w:sz w:val="21"/>
        </w:rPr>
      </w:pPr>
      <w:r>
        <w:rPr>
          <w:color w:val="231F20"/>
          <w:sz w:val="21"/>
        </w:rPr>
        <w:t xml:space="preserve">У такому разі </w:t>
      </w:r>
      <w:r>
        <w:rPr>
          <w:i/>
          <w:color w:val="231F20"/>
          <w:sz w:val="21"/>
        </w:rPr>
        <w:t xml:space="preserve">до </w:t>
      </w:r>
      <w:r>
        <w:rPr>
          <w:b/>
          <w:i/>
          <w:color w:val="231F20"/>
          <w:sz w:val="21"/>
        </w:rPr>
        <w:t xml:space="preserve">предмета адміністративного права </w:t>
      </w:r>
      <w:r>
        <w:rPr>
          <w:i/>
          <w:color w:val="231F20"/>
          <w:sz w:val="21"/>
        </w:rPr>
        <w:t>нале- жить адміністративна діял</w:t>
      </w:r>
      <w:r>
        <w:rPr>
          <w:i/>
          <w:color w:val="231F20"/>
          <w:sz w:val="21"/>
        </w:rPr>
        <w:t>ьність щодо забезпечення захисту від свавілля органів виконавчої влади та інших суб’єктів публічної адмі- ністрації</w:t>
      </w:r>
      <w:r>
        <w:rPr>
          <w:color w:val="231F20"/>
          <w:sz w:val="21"/>
        </w:rPr>
        <w:t>. Обов’язковою передумовою забезпечення прав і свобод людини та громадянина є законність і принцип зв’язаності публіч- ної адміністрації прав</w:t>
      </w:r>
      <w:r>
        <w:rPr>
          <w:color w:val="231F20"/>
          <w:sz w:val="21"/>
        </w:rPr>
        <w:t>ом.</w:t>
      </w:r>
    </w:p>
    <w:p w14:paraId="30F40E26" w14:textId="77777777" w:rsidR="00DE575E" w:rsidRDefault="002E7560">
      <w:pPr>
        <w:pStyle w:val="Heading5"/>
        <w:spacing w:before="3" w:line="252" w:lineRule="auto"/>
        <w:ind w:left="250" w:right="411" w:firstLine="283"/>
        <w:jc w:val="both"/>
      </w:pPr>
      <w:r>
        <w:rPr>
          <w:color w:val="231F20"/>
        </w:rPr>
        <w:t xml:space="preserve">Отже, інструменти захисту прав, свобод та інтересів приват- них осіб у сфері публічного адміністрування – це адміністра- тивні (квазісудові)  засоби  правового  захисту  приватних  осіб в адміністративно-правових відносинах із </w:t>
      </w:r>
      <w:r>
        <w:rPr>
          <w:color w:val="231F20"/>
          <w:spacing w:val="-3"/>
        </w:rPr>
        <w:t xml:space="preserve">суб’єктами </w:t>
      </w:r>
      <w:r>
        <w:rPr>
          <w:color w:val="231F20"/>
        </w:rPr>
        <w:t>публічної адмі</w:t>
      </w:r>
      <w:r>
        <w:rPr>
          <w:color w:val="231F20"/>
        </w:rPr>
        <w:t xml:space="preserve">ністрації через звернення до відповідного компетентного позасудового арбітра </w:t>
      </w:r>
      <w:r>
        <w:rPr>
          <w:color w:val="231F20"/>
          <w:spacing w:val="-3"/>
        </w:rPr>
        <w:t xml:space="preserve">щодо </w:t>
      </w:r>
      <w:r>
        <w:rPr>
          <w:color w:val="231F20"/>
        </w:rPr>
        <w:t xml:space="preserve">незаконності рішень, дій чи безді- яльності </w:t>
      </w:r>
      <w:r>
        <w:rPr>
          <w:color w:val="231F20"/>
          <w:spacing w:val="-3"/>
        </w:rPr>
        <w:t xml:space="preserve">суб’єктів </w:t>
      </w:r>
      <w:r>
        <w:rPr>
          <w:color w:val="231F20"/>
        </w:rPr>
        <w:t>публічної адміністрації.</w:t>
      </w:r>
    </w:p>
    <w:p w14:paraId="1DCF84E0" w14:textId="77777777" w:rsidR="00DE575E" w:rsidRDefault="00DE575E">
      <w:pPr>
        <w:pStyle w:val="BodyText"/>
        <w:spacing w:before="3"/>
        <w:rPr>
          <w:b/>
          <w:sz w:val="22"/>
        </w:rPr>
      </w:pPr>
    </w:p>
    <w:p w14:paraId="3D293A46" w14:textId="77777777" w:rsidR="00DE575E" w:rsidRDefault="002E7560">
      <w:pPr>
        <w:spacing w:line="252" w:lineRule="auto"/>
        <w:ind w:left="533" w:right="2719"/>
        <w:rPr>
          <w:b/>
          <w:sz w:val="21"/>
        </w:rPr>
      </w:pPr>
      <w:r>
        <w:rPr>
          <w:b/>
          <w:color w:val="231F20"/>
          <w:sz w:val="21"/>
        </w:rPr>
        <w:t>9.1.1. Види інструментів захисту особи та їх співвідношення між собою</w:t>
      </w:r>
    </w:p>
    <w:p w14:paraId="71AD7268" w14:textId="77777777" w:rsidR="00DE575E" w:rsidRDefault="00DE575E">
      <w:pPr>
        <w:pStyle w:val="BodyText"/>
        <w:spacing w:before="1"/>
        <w:rPr>
          <w:b/>
          <w:sz w:val="22"/>
        </w:rPr>
      </w:pPr>
    </w:p>
    <w:p w14:paraId="260AFDF6" w14:textId="77777777" w:rsidR="00DE575E" w:rsidRDefault="002E7560">
      <w:pPr>
        <w:pStyle w:val="BodyText"/>
        <w:spacing w:line="252" w:lineRule="auto"/>
        <w:ind w:left="250" w:right="410" w:firstLine="283"/>
        <w:jc w:val="both"/>
      </w:pPr>
      <w:r>
        <w:rPr>
          <w:color w:val="231F20"/>
        </w:rPr>
        <w:t>Універсальним винаходом для відновлення порушених прав, свобод і законних інтересів осіб від порушення з боку суб’єктів владних повноважень є адміністративне судочинство. Проте ще до широкого його використання та в умовах сьогодення вагоме місце щодо таког</w:t>
      </w:r>
      <w:r>
        <w:rPr>
          <w:color w:val="231F20"/>
        </w:rPr>
        <w:t>о забезпечення займають адміністративні інструменти захисту прав, свобод та інтересів приватних осіб у сфері публічного адміністрування, що забезпечують відновлення порушених прав, свобод і законних інтересів приватних осіб без звернення з позовом до адмін</w:t>
      </w:r>
      <w:r>
        <w:rPr>
          <w:color w:val="231F20"/>
        </w:rPr>
        <w:t>істративного суду.</w:t>
      </w:r>
    </w:p>
    <w:p w14:paraId="0EBD9BB7" w14:textId="77777777" w:rsidR="00DE575E" w:rsidRDefault="002E7560">
      <w:pPr>
        <w:pStyle w:val="BodyText"/>
        <w:spacing w:before="5" w:line="252" w:lineRule="auto"/>
        <w:ind w:left="250" w:right="410" w:firstLine="283"/>
        <w:jc w:val="both"/>
      </w:pPr>
      <w:r>
        <w:rPr>
          <w:color w:val="231F20"/>
        </w:rPr>
        <w:t>Інструменти захисту прав,  свобод  та  інтересів  приватних  осіб у сфері публічного адміністрування дають можливість оперативно в короткі строки відновити порушені цінності приватних осіб, притягнути винних у їх порушенні посадових осіб</w:t>
      </w:r>
      <w:r>
        <w:rPr>
          <w:color w:val="231F20"/>
        </w:rPr>
        <w:t xml:space="preserve"> публічної адмі- ністрації до дисциплінарної відповідальності, що є вагомим профі- лактичним</w:t>
      </w:r>
      <w:r>
        <w:rPr>
          <w:color w:val="231F20"/>
          <w:spacing w:val="-6"/>
        </w:rPr>
        <w:t xml:space="preserve"> </w:t>
      </w:r>
      <w:r>
        <w:rPr>
          <w:color w:val="231F20"/>
        </w:rPr>
        <w:t>засобом</w:t>
      </w:r>
      <w:r>
        <w:rPr>
          <w:color w:val="231F20"/>
          <w:spacing w:val="-6"/>
        </w:rPr>
        <w:t xml:space="preserve"> </w:t>
      </w:r>
      <w:r>
        <w:rPr>
          <w:color w:val="231F20"/>
        </w:rPr>
        <w:t>попередження</w:t>
      </w:r>
      <w:r>
        <w:rPr>
          <w:color w:val="231F20"/>
          <w:spacing w:val="-6"/>
        </w:rPr>
        <w:t xml:space="preserve"> </w:t>
      </w:r>
      <w:r>
        <w:rPr>
          <w:color w:val="231F20"/>
        </w:rPr>
        <w:t>таких</w:t>
      </w:r>
      <w:r>
        <w:rPr>
          <w:color w:val="231F20"/>
          <w:spacing w:val="-6"/>
        </w:rPr>
        <w:t xml:space="preserve"> </w:t>
      </w:r>
      <w:r>
        <w:rPr>
          <w:color w:val="231F20"/>
        </w:rPr>
        <w:t>порушень</w:t>
      </w:r>
      <w:r>
        <w:rPr>
          <w:color w:val="231F20"/>
          <w:spacing w:val="-6"/>
        </w:rPr>
        <w:t xml:space="preserve"> </w:t>
      </w:r>
      <w:r>
        <w:rPr>
          <w:color w:val="231F20"/>
        </w:rPr>
        <w:t>у</w:t>
      </w:r>
      <w:r>
        <w:rPr>
          <w:color w:val="231F20"/>
          <w:spacing w:val="-6"/>
        </w:rPr>
        <w:t xml:space="preserve"> </w:t>
      </w:r>
      <w:r>
        <w:rPr>
          <w:color w:val="231F20"/>
        </w:rPr>
        <w:t>майбутньому.</w:t>
      </w:r>
    </w:p>
    <w:p w14:paraId="1B0B6AB0" w14:textId="77777777" w:rsidR="00DE575E" w:rsidRDefault="002E7560">
      <w:pPr>
        <w:pStyle w:val="BodyText"/>
        <w:spacing w:before="3" w:line="252" w:lineRule="auto"/>
        <w:ind w:left="250" w:right="411" w:firstLine="283"/>
        <w:jc w:val="both"/>
        <w:rPr>
          <w:b/>
          <w:i/>
        </w:rPr>
      </w:pPr>
      <w:r>
        <w:rPr>
          <w:color w:val="231F20"/>
          <w:spacing w:val="-4"/>
        </w:rPr>
        <w:t xml:space="preserve">Суб’єкти </w:t>
      </w:r>
      <w:r>
        <w:rPr>
          <w:color w:val="231F20"/>
        </w:rPr>
        <w:t>інструментарного захисту прав, свобод та інтересів приватних</w:t>
      </w:r>
      <w:r>
        <w:rPr>
          <w:color w:val="231F20"/>
          <w:spacing w:val="-10"/>
        </w:rPr>
        <w:t xml:space="preserve"> </w:t>
      </w:r>
      <w:r>
        <w:rPr>
          <w:color w:val="231F20"/>
        </w:rPr>
        <w:t>осіб</w:t>
      </w:r>
      <w:r>
        <w:rPr>
          <w:color w:val="231F20"/>
          <w:spacing w:val="-10"/>
        </w:rPr>
        <w:t xml:space="preserve"> </w:t>
      </w:r>
      <w:r>
        <w:rPr>
          <w:color w:val="231F20"/>
        </w:rPr>
        <w:t>у</w:t>
      </w:r>
      <w:r>
        <w:rPr>
          <w:color w:val="231F20"/>
          <w:spacing w:val="-10"/>
        </w:rPr>
        <w:t xml:space="preserve"> </w:t>
      </w:r>
      <w:r>
        <w:rPr>
          <w:color w:val="231F20"/>
        </w:rPr>
        <w:t>сфері</w:t>
      </w:r>
      <w:r>
        <w:rPr>
          <w:color w:val="231F20"/>
          <w:spacing w:val="-10"/>
        </w:rPr>
        <w:t xml:space="preserve"> </w:t>
      </w:r>
      <w:r>
        <w:rPr>
          <w:color w:val="231F20"/>
        </w:rPr>
        <w:t>публічного</w:t>
      </w:r>
      <w:r>
        <w:rPr>
          <w:color w:val="231F20"/>
          <w:spacing w:val="-10"/>
        </w:rPr>
        <w:t xml:space="preserve"> </w:t>
      </w:r>
      <w:r>
        <w:rPr>
          <w:color w:val="231F20"/>
        </w:rPr>
        <w:t>адміністрування</w:t>
      </w:r>
      <w:r>
        <w:rPr>
          <w:color w:val="231F20"/>
          <w:spacing w:val="-10"/>
        </w:rPr>
        <w:t xml:space="preserve"> </w:t>
      </w:r>
      <w:r>
        <w:rPr>
          <w:color w:val="231F20"/>
        </w:rPr>
        <w:t>ви</w:t>
      </w:r>
      <w:r>
        <w:rPr>
          <w:color w:val="231F20"/>
        </w:rPr>
        <w:t xml:space="preserve">користовують такі </w:t>
      </w:r>
      <w:r>
        <w:rPr>
          <w:b/>
          <w:i/>
          <w:color w:val="231F20"/>
        </w:rPr>
        <w:t>види</w:t>
      </w:r>
      <w:r>
        <w:rPr>
          <w:b/>
          <w:i/>
          <w:color w:val="231F20"/>
          <w:spacing w:val="-2"/>
        </w:rPr>
        <w:t xml:space="preserve"> </w:t>
      </w:r>
      <w:r>
        <w:rPr>
          <w:b/>
          <w:i/>
          <w:color w:val="231F20"/>
        </w:rPr>
        <w:t>інструментів:</w:t>
      </w:r>
    </w:p>
    <w:p w14:paraId="2008A60D" w14:textId="77777777" w:rsidR="00DE575E" w:rsidRDefault="002E7560">
      <w:pPr>
        <w:pStyle w:val="ListParagraph"/>
        <w:numPr>
          <w:ilvl w:val="0"/>
          <w:numId w:val="135"/>
        </w:numPr>
        <w:tabs>
          <w:tab w:val="left" w:pos="818"/>
        </w:tabs>
        <w:ind w:firstLine="283"/>
        <w:rPr>
          <w:sz w:val="21"/>
        </w:rPr>
      </w:pPr>
      <w:r>
        <w:rPr>
          <w:color w:val="231F20"/>
          <w:sz w:val="21"/>
        </w:rPr>
        <w:t>адміністративна</w:t>
      </w:r>
      <w:r>
        <w:rPr>
          <w:color w:val="231F20"/>
          <w:spacing w:val="-2"/>
          <w:sz w:val="21"/>
        </w:rPr>
        <w:t xml:space="preserve"> </w:t>
      </w:r>
      <w:r>
        <w:rPr>
          <w:color w:val="231F20"/>
          <w:sz w:val="21"/>
        </w:rPr>
        <w:t>медіація;</w:t>
      </w:r>
    </w:p>
    <w:p w14:paraId="06D6F879" w14:textId="77777777" w:rsidR="00DE575E" w:rsidRDefault="002E7560">
      <w:pPr>
        <w:pStyle w:val="ListParagraph"/>
        <w:numPr>
          <w:ilvl w:val="0"/>
          <w:numId w:val="135"/>
        </w:numPr>
        <w:tabs>
          <w:tab w:val="left" w:pos="818"/>
        </w:tabs>
        <w:spacing w:before="13"/>
        <w:ind w:firstLine="283"/>
        <w:rPr>
          <w:sz w:val="21"/>
        </w:rPr>
      </w:pPr>
      <w:r>
        <w:rPr>
          <w:color w:val="231F20"/>
          <w:sz w:val="21"/>
        </w:rPr>
        <w:t>адміністративне</w:t>
      </w:r>
      <w:r>
        <w:rPr>
          <w:color w:val="231F20"/>
          <w:spacing w:val="-2"/>
          <w:sz w:val="21"/>
        </w:rPr>
        <w:t xml:space="preserve"> </w:t>
      </w:r>
      <w:r>
        <w:rPr>
          <w:color w:val="231F20"/>
          <w:sz w:val="21"/>
        </w:rPr>
        <w:t>оскарження;</w:t>
      </w:r>
    </w:p>
    <w:p w14:paraId="0006F2D5" w14:textId="77777777" w:rsidR="00DE575E" w:rsidRDefault="002E7560">
      <w:pPr>
        <w:pStyle w:val="ListParagraph"/>
        <w:numPr>
          <w:ilvl w:val="0"/>
          <w:numId w:val="135"/>
        </w:numPr>
        <w:tabs>
          <w:tab w:val="left" w:pos="818"/>
        </w:tabs>
        <w:spacing w:before="13" w:line="252" w:lineRule="auto"/>
        <w:ind w:right="411" w:firstLine="283"/>
        <w:jc w:val="both"/>
        <w:rPr>
          <w:sz w:val="21"/>
        </w:rPr>
      </w:pPr>
      <w:r>
        <w:rPr>
          <w:color w:val="231F20"/>
          <w:sz w:val="21"/>
        </w:rPr>
        <w:t>притягнення</w:t>
      </w:r>
      <w:r>
        <w:rPr>
          <w:color w:val="231F20"/>
          <w:spacing w:val="-13"/>
          <w:sz w:val="21"/>
        </w:rPr>
        <w:t xml:space="preserve"> </w:t>
      </w:r>
      <w:r>
        <w:rPr>
          <w:color w:val="231F20"/>
          <w:sz w:val="21"/>
        </w:rPr>
        <w:t>винних</w:t>
      </w:r>
      <w:r>
        <w:rPr>
          <w:color w:val="231F20"/>
          <w:spacing w:val="-13"/>
          <w:sz w:val="21"/>
        </w:rPr>
        <w:t xml:space="preserve"> </w:t>
      </w:r>
      <w:r>
        <w:rPr>
          <w:color w:val="231F20"/>
          <w:sz w:val="21"/>
        </w:rPr>
        <w:t>посадових</w:t>
      </w:r>
      <w:r>
        <w:rPr>
          <w:color w:val="231F20"/>
          <w:spacing w:val="-13"/>
          <w:sz w:val="21"/>
        </w:rPr>
        <w:t xml:space="preserve"> </w:t>
      </w:r>
      <w:r>
        <w:rPr>
          <w:color w:val="231F20"/>
          <w:sz w:val="21"/>
        </w:rPr>
        <w:t>осіб</w:t>
      </w:r>
      <w:r>
        <w:rPr>
          <w:color w:val="231F20"/>
          <w:spacing w:val="-13"/>
          <w:sz w:val="21"/>
        </w:rPr>
        <w:t xml:space="preserve"> </w:t>
      </w:r>
      <w:r>
        <w:rPr>
          <w:color w:val="231F20"/>
          <w:sz w:val="21"/>
        </w:rPr>
        <w:t>публічної</w:t>
      </w:r>
      <w:r>
        <w:rPr>
          <w:color w:val="231F20"/>
          <w:spacing w:val="-13"/>
          <w:sz w:val="21"/>
        </w:rPr>
        <w:t xml:space="preserve"> </w:t>
      </w:r>
      <w:r>
        <w:rPr>
          <w:color w:val="231F20"/>
          <w:sz w:val="21"/>
        </w:rPr>
        <w:t>адміністрації</w:t>
      </w:r>
      <w:r>
        <w:rPr>
          <w:color w:val="231F20"/>
          <w:spacing w:val="-13"/>
          <w:sz w:val="21"/>
        </w:rPr>
        <w:t xml:space="preserve"> </w:t>
      </w:r>
      <w:r>
        <w:rPr>
          <w:color w:val="231F20"/>
          <w:sz w:val="21"/>
        </w:rPr>
        <w:t>до спеціальної дисциплінарної</w:t>
      </w:r>
      <w:r>
        <w:rPr>
          <w:color w:val="231F20"/>
          <w:spacing w:val="-3"/>
          <w:sz w:val="21"/>
        </w:rPr>
        <w:t xml:space="preserve"> </w:t>
      </w:r>
      <w:r>
        <w:rPr>
          <w:color w:val="231F20"/>
          <w:sz w:val="21"/>
        </w:rPr>
        <w:t>відповідальності;</w:t>
      </w:r>
    </w:p>
    <w:p w14:paraId="259E83B0" w14:textId="77777777" w:rsidR="00DE575E" w:rsidRDefault="00DE575E">
      <w:pPr>
        <w:pStyle w:val="BodyText"/>
        <w:spacing w:before="7"/>
        <w:rPr>
          <w:sz w:val="12"/>
        </w:rPr>
      </w:pPr>
    </w:p>
    <w:p w14:paraId="4D2EB428" w14:textId="77777777" w:rsidR="00DE575E" w:rsidRDefault="002E7560">
      <w:pPr>
        <w:spacing w:before="92"/>
        <w:ind w:right="411"/>
        <w:jc w:val="right"/>
        <w:rPr>
          <w:rFonts w:ascii="Times New Roman"/>
          <w:sz w:val="20"/>
        </w:rPr>
      </w:pPr>
      <w:r>
        <w:rPr>
          <w:rFonts w:ascii="Times New Roman"/>
          <w:color w:val="231F20"/>
          <w:w w:val="90"/>
          <w:sz w:val="20"/>
        </w:rPr>
        <w:t>319</w:t>
      </w:r>
    </w:p>
    <w:p w14:paraId="13C2330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C2B8A5A"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4D676221" w14:textId="059F58B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E92ABF8" wp14:editId="0F4C8537">
                <wp:extent cx="4140200" cy="6350"/>
                <wp:effectExtent l="0" t="0" r="12700" b="6350"/>
                <wp:docPr id="61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17" name="Line 61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9236D1" id="Group_x0020_61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ctk55/AgAAmAUAAA4A&#10;AAAAAAAAAAAAAAAALAIAAGRycy9lMm9Eb2MueG1sUEsBAi0AFAAGAAgAAAAhAEynsJDZAAAAAwEA&#10;AA8AAAAAAAAAAAAAAAAA1wQAAGRycy9kb3ducmV2LnhtbFBLBQYAAAAABAAEAPMAAADdBQAAAAA=&#10;">
                <v:line id="Line_x0020_61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6KucYAAADcAAAADwAAAGRycy9kb3ducmV2LnhtbESP0WrCQBRE3wX/YblCX0Q3VrAluooI&#10;gvRBrekHXLO3Seju3ZhdTdqv7wqCj8PMnGEWq84acaPGV44VTMYJCOLc6YoLBV/ZdvQOwgdkjcYx&#10;KfglD6tlv7fAVLuWP+l2CoWIEPYpKihDqFMpfV6SRT92NXH0vl1jMUTZFFI32Ea4NfI1SWbSYsVx&#10;ocSaNiXlP6erVZBdhsEcDx+mzQ7nqTxf9tO/616pl0G3noMI1IVn+NHeaQWzyRvcz8QjI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0eirnGAAAA3AAAAA8AAAAAAAAA&#10;AAAAAAAAoQIAAGRycy9kb3ducmV2LnhtbFBLBQYAAAAABAAEAPkAAACUAwAAAAA=&#10;" strokecolor="#231f20" strokeweight=".5pt"/>
                <w10:anchorlock/>
              </v:group>
            </w:pict>
          </mc:Fallback>
        </mc:AlternateContent>
      </w:r>
    </w:p>
    <w:p w14:paraId="122C781D" w14:textId="77777777" w:rsidR="00DE575E" w:rsidRDefault="00DE575E">
      <w:pPr>
        <w:pStyle w:val="BodyText"/>
        <w:spacing w:before="7"/>
        <w:rPr>
          <w:rFonts w:ascii="AdonisC"/>
          <w:i/>
          <w:sz w:val="11"/>
        </w:rPr>
      </w:pPr>
    </w:p>
    <w:p w14:paraId="4F08A822" w14:textId="77777777" w:rsidR="00DE575E" w:rsidRDefault="002E7560">
      <w:pPr>
        <w:pStyle w:val="ListParagraph"/>
        <w:numPr>
          <w:ilvl w:val="0"/>
          <w:numId w:val="134"/>
        </w:numPr>
        <w:tabs>
          <w:tab w:val="left" w:pos="1101"/>
        </w:tabs>
        <w:spacing w:before="101" w:line="252" w:lineRule="auto"/>
        <w:ind w:right="128" w:firstLine="284"/>
        <w:jc w:val="both"/>
        <w:rPr>
          <w:sz w:val="21"/>
        </w:rPr>
      </w:pPr>
      <w:r>
        <w:rPr>
          <w:color w:val="231F20"/>
          <w:sz w:val="21"/>
        </w:rPr>
        <w:t xml:space="preserve">відшкодування шкоди, завданої незаконними діями (безді- яльністю) </w:t>
      </w:r>
      <w:r>
        <w:rPr>
          <w:color w:val="231F20"/>
          <w:spacing w:val="-3"/>
          <w:sz w:val="21"/>
        </w:rPr>
        <w:t xml:space="preserve">суб’єктів </w:t>
      </w:r>
      <w:r>
        <w:rPr>
          <w:color w:val="231F20"/>
          <w:sz w:val="21"/>
        </w:rPr>
        <w:t>публічної</w:t>
      </w:r>
      <w:r>
        <w:rPr>
          <w:color w:val="231F20"/>
          <w:sz w:val="21"/>
        </w:rPr>
        <w:t xml:space="preserve"> </w:t>
      </w:r>
      <w:r>
        <w:rPr>
          <w:color w:val="231F20"/>
          <w:sz w:val="21"/>
        </w:rPr>
        <w:t>адміністрації;</w:t>
      </w:r>
    </w:p>
    <w:p w14:paraId="1A26F1A7" w14:textId="77777777" w:rsidR="00DE575E" w:rsidRDefault="002E7560">
      <w:pPr>
        <w:pStyle w:val="ListParagraph"/>
        <w:numPr>
          <w:ilvl w:val="0"/>
          <w:numId w:val="134"/>
        </w:numPr>
        <w:tabs>
          <w:tab w:val="left" w:pos="1101"/>
        </w:tabs>
        <w:ind w:firstLine="284"/>
        <w:rPr>
          <w:sz w:val="21"/>
        </w:rPr>
      </w:pPr>
      <w:r>
        <w:rPr>
          <w:color w:val="231F20"/>
          <w:sz w:val="21"/>
        </w:rPr>
        <w:t>засоби</w:t>
      </w:r>
      <w:r>
        <w:rPr>
          <w:color w:val="231F20"/>
          <w:spacing w:val="-2"/>
          <w:sz w:val="21"/>
        </w:rPr>
        <w:t xml:space="preserve"> </w:t>
      </w:r>
      <w:r>
        <w:rPr>
          <w:color w:val="231F20"/>
          <w:sz w:val="21"/>
        </w:rPr>
        <w:t>самозахисту.</w:t>
      </w:r>
    </w:p>
    <w:p w14:paraId="63114A37" w14:textId="77777777" w:rsidR="00DE575E" w:rsidRDefault="002E7560">
      <w:pPr>
        <w:spacing w:before="12" w:line="252" w:lineRule="auto"/>
        <w:ind w:left="533" w:right="128" w:firstLine="283"/>
        <w:jc w:val="both"/>
        <w:rPr>
          <w:i/>
          <w:sz w:val="21"/>
        </w:rPr>
      </w:pPr>
      <w:r>
        <w:rPr>
          <w:i/>
          <w:color w:val="231F20"/>
          <w:sz w:val="21"/>
        </w:rPr>
        <w:t>Спільним для всіх видів інструментарного захисту прав, свобод та</w:t>
      </w:r>
      <w:r>
        <w:rPr>
          <w:i/>
          <w:color w:val="231F20"/>
          <w:spacing w:val="-12"/>
          <w:sz w:val="21"/>
        </w:rPr>
        <w:t xml:space="preserve"> </w:t>
      </w:r>
      <w:r>
        <w:rPr>
          <w:i/>
          <w:color w:val="231F20"/>
          <w:sz w:val="21"/>
        </w:rPr>
        <w:t>інтересів</w:t>
      </w:r>
      <w:r>
        <w:rPr>
          <w:i/>
          <w:color w:val="231F20"/>
          <w:spacing w:val="-12"/>
          <w:sz w:val="21"/>
        </w:rPr>
        <w:t xml:space="preserve"> </w:t>
      </w:r>
      <w:r>
        <w:rPr>
          <w:i/>
          <w:color w:val="231F20"/>
          <w:sz w:val="21"/>
        </w:rPr>
        <w:t>приватних</w:t>
      </w:r>
      <w:r>
        <w:rPr>
          <w:i/>
          <w:color w:val="231F20"/>
          <w:spacing w:val="-11"/>
          <w:sz w:val="21"/>
        </w:rPr>
        <w:t xml:space="preserve"> </w:t>
      </w:r>
      <w:r>
        <w:rPr>
          <w:i/>
          <w:color w:val="231F20"/>
          <w:sz w:val="21"/>
        </w:rPr>
        <w:t>осіб</w:t>
      </w:r>
      <w:r>
        <w:rPr>
          <w:i/>
          <w:color w:val="231F20"/>
          <w:spacing w:val="-12"/>
          <w:sz w:val="21"/>
        </w:rPr>
        <w:t xml:space="preserve"> </w:t>
      </w:r>
      <w:r>
        <w:rPr>
          <w:i/>
          <w:color w:val="231F20"/>
          <w:sz w:val="21"/>
        </w:rPr>
        <w:t>у</w:t>
      </w:r>
      <w:r>
        <w:rPr>
          <w:i/>
          <w:color w:val="231F20"/>
          <w:spacing w:val="-12"/>
          <w:sz w:val="21"/>
        </w:rPr>
        <w:t xml:space="preserve"> </w:t>
      </w:r>
      <w:r>
        <w:rPr>
          <w:i/>
          <w:color w:val="231F20"/>
          <w:sz w:val="21"/>
        </w:rPr>
        <w:t>сфері</w:t>
      </w:r>
      <w:r>
        <w:rPr>
          <w:i/>
          <w:color w:val="231F20"/>
          <w:spacing w:val="-12"/>
          <w:sz w:val="21"/>
        </w:rPr>
        <w:t xml:space="preserve"> </w:t>
      </w:r>
      <w:r>
        <w:rPr>
          <w:i/>
          <w:color w:val="231F20"/>
          <w:sz w:val="21"/>
        </w:rPr>
        <w:t>публічного</w:t>
      </w:r>
      <w:r>
        <w:rPr>
          <w:i/>
          <w:color w:val="231F20"/>
          <w:spacing w:val="-12"/>
          <w:sz w:val="21"/>
        </w:rPr>
        <w:t xml:space="preserve"> </w:t>
      </w:r>
      <w:r>
        <w:rPr>
          <w:i/>
          <w:color w:val="231F20"/>
          <w:sz w:val="21"/>
        </w:rPr>
        <w:t>адміністрування</w:t>
      </w:r>
      <w:r>
        <w:rPr>
          <w:i/>
          <w:color w:val="231F20"/>
          <w:spacing w:val="-12"/>
          <w:sz w:val="21"/>
        </w:rPr>
        <w:t xml:space="preserve"> </w:t>
      </w:r>
      <w:r>
        <w:rPr>
          <w:i/>
          <w:color w:val="231F20"/>
          <w:sz w:val="21"/>
        </w:rPr>
        <w:t>є</w:t>
      </w:r>
      <w:r>
        <w:rPr>
          <w:i/>
          <w:color w:val="231F20"/>
          <w:spacing w:val="-12"/>
          <w:sz w:val="21"/>
        </w:rPr>
        <w:t xml:space="preserve"> </w:t>
      </w:r>
      <w:r>
        <w:rPr>
          <w:i/>
          <w:color w:val="231F20"/>
          <w:sz w:val="21"/>
        </w:rPr>
        <w:t>те, що</w:t>
      </w:r>
      <w:r>
        <w:rPr>
          <w:i/>
          <w:color w:val="231F20"/>
          <w:spacing w:val="-1"/>
          <w:sz w:val="21"/>
        </w:rPr>
        <w:t xml:space="preserve"> </w:t>
      </w:r>
      <w:r>
        <w:rPr>
          <w:i/>
          <w:color w:val="231F20"/>
          <w:sz w:val="21"/>
        </w:rPr>
        <w:t>вони:</w:t>
      </w:r>
    </w:p>
    <w:p w14:paraId="295902D0" w14:textId="77777777" w:rsidR="00DE575E" w:rsidRDefault="002E7560">
      <w:pPr>
        <w:pStyle w:val="ListParagraph"/>
        <w:numPr>
          <w:ilvl w:val="1"/>
          <w:numId w:val="135"/>
        </w:numPr>
        <w:tabs>
          <w:tab w:val="left" w:pos="1101"/>
        </w:tabs>
        <w:spacing w:before="2" w:line="252" w:lineRule="auto"/>
        <w:ind w:right="128" w:firstLine="284"/>
        <w:rPr>
          <w:sz w:val="21"/>
        </w:rPr>
      </w:pPr>
      <w:r>
        <w:rPr>
          <w:color w:val="231F20"/>
          <w:sz w:val="21"/>
        </w:rPr>
        <w:t>мають спільну мету – відновити порушене право, тим попере- дивши такі правопорушення в</w:t>
      </w:r>
      <w:r>
        <w:rPr>
          <w:color w:val="231F20"/>
          <w:spacing w:val="-7"/>
          <w:sz w:val="21"/>
        </w:rPr>
        <w:t xml:space="preserve"> </w:t>
      </w:r>
      <w:r>
        <w:rPr>
          <w:color w:val="231F20"/>
          <w:sz w:val="21"/>
        </w:rPr>
        <w:t>подальшому;</w:t>
      </w:r>
    </w:p>
    <w:p w14:paraId="56CDAF71" w14:textId="77777777" w:rsidR="00DE575E" w:rsidRDefault="002E7560">
      <w:pPr>
        <w:pStyle w:val="ListParagraph"/>
        <w:numPr>
          <w:ilvl w:val="1"/>
          <w:numId w:val="135"/>
        </w:numPr>
        <w:tabs>
          <w:tab w:val="left" w:pos="1101"/>
        </w:tabs>
        <w:ind w:firstLine="284"/>
        <w:jc w:val="left"/>
        <w:rPr>
          <w:sz w:val="21"/>
        </w:rPr>
      </w:pPr>
      <w:r>
        <w:rPr>
          <w:color w:val="231F20"/>
          <w:sz w:val="21"/>
        </w:rPr>
        <w:t>здійснюються в позасудовий (адміністративний)</w:t>
      </w:r>
      <w:r>
        <w:rPr>
          <w:color w:val="231F20"/>
          <w:spacing w:val="-8"/>
          <w:sz w:val="21"/>
        </w:rPr>
        <w:t xml:space="preserve"> </w:t>
      </w:r>
      <w:r>
        <w:rPr>
          <w:color w:val="231F20"/>
          <w:sz w:val="21"/>
        </w:rPr>
        <w:t>спосіб.</w:t>
      </w:r>
    </w:p>
    <w:p w14:paraId="2BD05FA3" w14:textId="77777777" w:rsidR="00DE575E" w:rsidRDefault="002E7560">
      <w:pPr>
        <w:spacing w:before="13" w:line="252" w:lineRule="auto"/>
        <w:ind w:left="533" w:right="128" w:firstLine="283"/>
        <w:jc w:val="both"/>
        <w:rPr>
          <w:i/>
          <w:sz w:val="21"/>
        </w:rPr>
      </w:pPr>
      <w:r>
        <w:rPr>
          <w:i/>
          <w:color w:val="231F20"/>
          <w:sz w:val="21"/>
        </w:rPr>
        <w:t>Проте між ними існують й деякі відмінності, адже вони мають різну юридичну природу:</w:t>
      </w:r>
    </w:p>
    <w:p w14:paraId="73F1C508" w14:textId="77777777" w:rsidR="00DE575E" w:rsidRDefault="002E7560">
      <w:pPr>
        <w:pStyle w:val="ListParagraph"/>
        <w:numPr>
          <w:ilvl w:val="0"/>
          <w:numId w:val="133"/>
        </w:numPr>
        <w:tabs>
          <w:tab w:val="left" w:pos="1101"/>
        </w:tabs>
        <w:spacing w:line="252" w:lineRule="auto"/>
        <w:ind w:right="128" w:firstLine="284"/>
        <w:rPr>
          <w:sz w:val="21"/>
        </w:rPr>
      </w:pPr>
      <w:r>
        <w:rPr>
          <w:color w:val="231F20"/>
          <w:sz w:val="21"/>
        </w:rPr>
        <w:t>адміністративна медіація є інститутом юридичного прими- рення;</w:t>
      </w:r>
    </w:p>
    <w:p w14:paraId="1D20B56D" w14:textId="77777777" w:rsidR="00DE575E" w:rsidRDefault="002E7560">
      <w:pPr>
        <w:pStyle w:val="ListParagraph"/>
        <w:numPr>
          <w:ilvl w:val="0"/>
          <w:numId w:val="133"/>
        </w:numPr>
        <w:tabs>
          <w:tab w:val="left" w:pos="1101"/>
        </w:tabs>
        <w:spacing w:line="252" w:lineRule="auto"/>
        <w:ind w:right="130" w:firstLine="284"/>
        <w:rPr>
          <w:sz w:val="21"/>
        </w:rPr>
      </w:pPr>
      <w:r>
        <w:rPr>
          <w:color w:val="231F20"/>
          <w:sz w:val="21"/>
        </w:rPr>
        <w:t>адміністративне оскарження є різновидом адміністративно</w:t>
      </w:r>
      <w:r>
        <w:rPr>
          <w:color w:val="231F20"/>
          <w:sz w:val="21"/>
        </w:rPr>
        <w:t>го провадження за скаргами, заявами та пропозиціями</w:t>
      </w:r>
      <w:r>
        <w:rPr>
          <w:color w:val="231F20"/>
          <w:spacing w:val="-7"/>
          <w:sz w:val="21"/>
        </w:rPr>
        <w:t xml:space="preserve"> </w:t>
      </w:r>
      <w:r>
        <w:rPr>
          <w:color w:val="231F20"/>
          <w:sz w:val="21"/>
        </w:rPr>
        <w:t>осіб;</w:t>
      </w:r>
    </w:p>
    <w:p w14:paraId="0ADCD145" w14:textId="77777777" w:rsidR="00DE575E" w:rsidRDefault="002E7560">
      <w:pPr>
        <w:pStyle w:val="ListParagraph"/>
        <w:numPr>
          <w:ilvl w:val="0"/>
          <w:numId w:val="133"/>
        </w:numPr>
        <w:tabs>
          <w:tab w:val="left" w:pos="1101"/>
        </w:tabs>
        <w:spacing w:line="252" w:lineRule="auto"/>
        <w:ind w:right="128" w:firstLine="284"/>
        <w:rPr>
          <w:sz w:val="21"/>
        </w:rPr>
      </w:pPr>
      <w:r>
        <w:rPr>
          <w:color w:val="231F20"/>
          <w:sz w:val="21"/>
        </w:rPr>
        <w:t>притягнення</w:t>
      </w:r>
      <w:r>
        <w:rPr>
          <w:color w:val="231F20"/>
          <w:spacing w:val="-13"/>
          <w:sz w:val="21"/>
        </w:rPr>
        <w:t xml:space="preserve"> </w:t>
      </w:r>
      <w:r>
        <w:rPr>
          <w:color w:val="231F20"/>
          <w:sz w:val="21"/>
        </w:rPr>
        <w:t>винних</w:t>
      </w:r>
      <w:r>
        <w:rPr>
          <w:color w:val="231F20"/>
          <w:spacing w:val="-13"/>
          <w:sz w:val="21"/>
        </w:rPr>
        <w:t xml:space="preserve"> </w:t>
      </w:r>
      <w:r>
        <w:rPr>
          <w:color w:val="231F20"/>
          <w:sz w:val="21"/>
        </w:rPr>
        <w:t>посадових</w:t>
      </w:r>
      <w:r>
        <w:rPr>
          <w:color w:val="231F20"/>
          <w:spacing w:val="-13"/>
          <w:sz w:val="21"/>
        </w:rPr>
        <w:t xml:space="preserve"> </w:t>
      </w:r>
      <w:r>
        <w:rPr>
          <w:color w:val="231F20"/>
          <w:sz w:val="21"/>
        </w:rPr>
        <w:t>осіб</w:t>
      </w:r>
      <w:r>
        <w:rPr>
          <w:color w:val="231F20"/>
          <w:spacing w:val="-13"/>
          <w:sz w:val="21"/>
        </w:rPr>
        <w:t xml:space="preserve"> </w:t>
      </w:r>
      <w:r>
        <w:rPr>
          <w:color w:val="231F20"/>
          <w:sz w:val="21"/>
        </w:rPr>
        <w:t>публічної</w:t>
      </w:r>
      <w:r>
        <w:rPr>
          <w:color w:val="231F20"/>
          <w:spacing w:val="-13"/>
          <w:sz w:val="21"/>
        </w:rPr>
        <w:t xml:space="preserve"> </w:t>
      </w:r>
      <w:r>
        <w:rPr>
          <w:color w:val="231F20"/>
          <w:sz w:val="21"/>
        </w:rPr>
        <w:t>адміністрації</w:t>
      </w:r>
      <w:r>
        <w:rPr>
          <w:color w:val="231F20"/>
          <w:spacing w:val="-13"/>
          <w:sz w:val="21"/>
        </w:rPr>
        <w:t xml:space="preserve"> </w:t>
      </w:r>
      <w:r>
        <w:rPr>
          <w:color w:val="231F20"/>
          <w:sz w:val="21"/>
        </w:rPr>
        <w:t>до спеціальної</w:t>
      </w:r>
      <w:r>
        <w:rPr>
          <w:color w:val="231F20"/>
          <w:spacing w:val="-11"/>
          <w:sz w:val="21"/>
        </w:rPr>
        <w:t xml:space="preserve"> </w:t>
      </w:r>
      <w:r>
        <w:rPr>
          <w:color w:val="231F20"/>
          <w:sz w:val="21"/>
        </w:rPr>
        <w:t>дисциплінарної</w:t>
      </w:r>
      <w:r>
        <w:rPr>
          <w:color w:val="231F20"/>
          <w:spacing w:val="-11"/>
          <w:sz w:val="21"/>
        </w:rPr>
        <w:t xml:space="preserve"> </w:t>
      </w:r>
      <w:r>
        <w:rPr>
          <w:color w:val="231F20"/>
          <w:sz w:val="21"/>
        </w:rPr>
        <w:t>відповідальності</w:t>
      </w:r>
      <w:r>
        <w:rPr>
          <w:color w:val="231F20"/>
          <w:spacing w:val="-11"/>
          <w:sz w:val="21"/>
        </w:rPr>
        <w:t xml:space="preserve"> </w:t>
      </w:r>
      <w:r>
        <w:rPr>
          <w:color w:val="231F20"/>
          <w:sz w:val="21"/>
        </w:rPr>
        <w:t>характеризує</w:t>
      </w:r>
      <w:r>
        <w:rPr>
          <w:color w:val="231F20"/>
          <w:spacing w:val="-11"/>
          <w:sz w:val="21"/>
        </w:rPr>
        <w:t xml:space="preserve"> </w:t>
      </w:r>
      <w:r>
        <w:rPr>
          <w:color w:val="231F20"/>
          <w:sz w:val="21"/>
        </w:rPr>
        <w:t>інститут юридичної</w:t>
      </w:r>
      <w:r>
        <w:rPr>
          <w:color w:val="231F20"/>
          <w:spacing w:val="-2"/>
          <w:sz w:val="21"/>
        </w:rPr>
        <w:t xml:space="preserve"> </w:t>
      </w:r>
      <w:r>
        <w:rPr>
          <w:color w:val="231F20"/>
          <w:sz w:val="21"/>
        </w:rPr>
        <w:t>відповідальності;</w:t>
      </w:r>
    </w:p>
    <w:p w14:paraId="54550028" w14:textId="77777777" w:rsidR="00DE575E" w:rsidRDefault="002E7560">
      <w:pPr>
        <w:pStyle w:val="ListParagraph"/>
        <w:numPr>
          <w:ilvl w:val="0"/>
          <w:numId w:val="133"/>
        </w:numPr>
        <w:tabs>
          <w:tab w:val="left" w:pos="1101"/>
        </w:tabs>
        <w:spacing w:line="252" w:lineRule="auto"/>
        <w:ind w:right="128" w:firstLine="284"/>
        <w:rPr>
          <w:sz w:val="21"/>
        </w:rPr>
      </w:pPr>
      <w:r>
        <w:rPr>
          <w:color w:val="231F20"/>
          <w:sz w:val="21"/>
        </w:rPr>
        <w:t xml:space="preserve">засоби самозахисту – це різновид легальних засобів громад- ського опору від свавілля </w:t>
      </w:r>
      <w:r>
        <w:rPr>
          <w:color w:val="231F20"/>
          <w:spacing w:val="-3"/>
          <w:sz w:val="21"/>
        </w:rPr>
        <w:t xml:space="preserve">суб’єктів </w:t>
      </w:r>
      <w:r>
        <w:rPr>
          <w:color w:val="231F20"/>
          <w:sz w:val="21"/>
        </w:rPr>
        <w:t>владних</w:t>
      </w:r>
      <w:r>
        <w:rPr>
          <w:color w:val="231F20"/>
          <w:spacing w:val="-4"/>
          <w:sz w:val="21"/>
        </w:rPr>
        <w:t xml:space="preserve"> </w:t>
      </w:r>
      <w:r>
        <w:rPr>
          <w:color w:val="231F20"/>
          <w:sz w:val="21"/>
        </w:rPr>
        <w:t>повноважень</w:t>
      </w:r>
      <w:r>
        <w:rPr>
          <w:color w:val="231F20"/>
          <w:position w:val="7"/>
          <w:sz w:val="12"/>
        </w:rPr>
        <w:t>1</w:t>
      </w:r>
      <w:r>
        <w:rPr>
          <w:color w:val="231F20"/>
          <w:sz w:val="21"/>
        </w:rPr>
        <w:t>.</w:t>
      </w:r>
    </w:p>
    <w:p w14:paraId="5BF3F24B" w14:textId="77777777" w:rsidR="00DE575E" w:rsidRDefault="002E7560">
      <w:pPr>
        <w:pStyle w:val="Heading5"/>
        <w:spacing w:before="1" w:line="252" w:lineRule="auto"/>
        <w:ind w:right="126" w:firstLine="283"/>
        <w:jc w:val="both"/>
      </w:pPr>
      <w:r>
        <w:rPr>
          <w:color w:val="231F20"/>
        </w:rPr>
        <w:t>Отже, видами інструментів захисту приватних осіб у сфері публічного адміністрування є адміністративна медіація, адмі- ністративне оскарженн</w:t>
      </w:r>
      <w:r>
        <w:rPr>
          <w:color w:val="231F20"/>
        </w:rPr>
        <w:t>я, притягнення винних посадових осіб публічної адміністрації до спеціальної дисциплінарної відпові- дальності, відшкодування шкоди, завданої незаконними діями (бездіяльністю) суб’єктів публічної адміністрації, та засоби</w:t>
      </w:r>
    </w:p>
    <w:p w14:paraId="38A31970" w14:textId="373F0182" w:rsidR="00DE575E" w:rsidRDefault="002E7560">
      <w:pPr>
        <w:pStyle w:val="BodyText"/>
        <w:spacing w:before="3"/>
        <w:rPr>
          <w:b/>
          <w:sz w:val="25"/>
        </w:rPr>
      </w:pPr>
      <w:r>
        <w:rPr>
          <w:noProof/>
        </w:rPr>
        <mc:AlternateContent>
          <mc:Choice Requires="wps">
            <w:drawing>
              <wp:anchor distT="0" distB="0" distL="0" distR="0" simplePos="0" relativeHeight="12376" behindDoc="0" locked="0" layoutInCell="1" allowOverlap="1" wp14:anchorId="57297D03" wp14:editId="2759B344">
                <wp:simplePos x="0" y="0"/>
                <wp:positionH relativeFrom="page">
                  <wp:posOffset>719455</wp:posOffset>
                </wp:positionH>
                <wp:positionV relativeFrom="paragraph">
                  <wp:posOffset>215900</wp:posOffset>
                </wp:positionV>
                <wp:extent cx="1080135" cy="0"/>
                <wp:effectExtent l="8255" t="12700" r="29210" b="25400"/>
                <wp:wrapTopAndBottom/>
                <wp:docPr id="6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2E224" id="Line_x0020_614" o:spid="_x0000_s1026" style="position:absolute;z-index:12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pt" to="141.7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QqDyE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" strokecolor="#231f20" strokeweight=".5pt">
                <w10:wrap type="topAndBottom" anchorx="page"/>
              </v:line>
            </w:pict>
          </mc:Fallback>
        </mc:AlternateContent>
      </w:r>
    </w:p>
    <w:p w14:paraId="6413B0A2" w14:textId="77777777" w:rsidR="00DE575E" w:rsidRDefault="002E7560">
      <w:pPr>
        <w:spacing w:line="192" w:lineRule="auto"/>
        <w:ind w:left="533" w:right="127"/>
        <w:jc w:val="both"/>
        <w:rPr>
          <w:sz w:val="16"/>
        </w:rPr>
      </w:pPr>
      <w:r>
        <w:rPr>
          <w:color w:val="231F20"/>
          <w:position w:val="5"/>
          <w:sz w:val="9"/>
        </w:rPr>
        <w:t xml:space="preserve">1 </w:t>
      </w:r>
      <w:r>
        <w:rPr>
          <w:color w:val="231F20"/>
          <w:sz w:val="16"/>
        </w:rPr>
        <w:t xml:space="preserve">Одним із дієвих правових інструментів  забезпечення  захисту  прав  і  свобод  фізич- них і юридичних осіб засобами громадянського суспільства є гарантована Конституцією України </w:t>
      </w:r>
      <w:r>
        <w:rPr>
          <w:color w:val="231F20"/>
          <w:spacing w:val="-4"/>
          <w:sz w:val="16"/>
        </w:rPr>
        <w:t xml:space="preserve">(ст. </w:t>
      </w:r>
      <w:r>
        <w:rPr>
          <w:color w:val="231F20"/>
          <w:sz w:val="16"/>
        </w:rPr>
        <w:t>39) свобода</w:t>
      </w:r>
      <w:r>
        <w:rPr>
          <w:color w:val="231F20"/>
          <w:spacing w:val="-3"/>
          <w:sz w:val="16"/>
        </w:rPr>
        <w:t xml:space="preserve"> </w:t>
      </w:r>
      <w:r>
        <w:rPr>
          <w:color w:val="231F20"/>
          <w:sz w:val="16"/>
        </w:rPr>
        <w:t>зібрань.</w:t>
      </w:r>
    </w:p>
    <w:p w14:paraId="626C139C" w14:textId="77777777" w:rsidR="00DE575E" w:rsidRDefault="002E7560">
      <w:pPr>
        <w:spacing w:line="192" w:lineRule="auto"/>
        <w:ind w:left="533" w:right="127"/>
        <w:jc w:val="both"/>
        <w:rPr>
          <w:b/>
          <w:i/>
          <w:sz w:val="16"/>
        </w:rPr>
      </w:pPr>
      <w:r>
        <w:rPr>
          <w:b/>
          <w:i/>
          <w:color w:val="231F20"/>
          <w:sz w:val="16"/>
        </w:rPr>
        <w:t>Громадський «тиск» на публічну владу в разі порушенн</w:t>
      </w:r>
      <w:r>
        <w:rPr>
          <w:b/>
          <w:i/>
          <w:color w:val="231F20"/>
          <w:sz w:val="16"/>
        </w:rPr>
        <w:t>я нею прав і свобод фізичних і юридичних осіб здійснюється в таких основних</w:t>
      </w:r>
      <w:r>
        <w:rPr>
          <w:b/>
          <w:i/>
          <w:color w:val="231F20"/>
          <w:spacing w:val="-9"/>
          <w:sz w:val="16"/>
        </w:rPr>
        <w:t xml:space="preserve"> </w:t>
      </w:r>
      <w:r>
        <w:rPr>
          <w:b/>
          <w:i/>
          <w:color w:val="231F20"/>
          <w:sz w:val="16"/>
        </w:rPr>
        <w:t>формах:</w:t>
      </w:r>
    </w:p>
    <w:p w14:paraId="673942ED" w14:textId="77777777" w:rsidR="00DE575E" w:rsidRDefault="002E7560">
      <w:pPr>
        <w:spacing w:line="192" w:lineRule="auto"/>
        <w:ind w:left="533" w:right="34"/>
        <w:rPr>
          <w:sz w:val="16"/>
        </w:rPr>
      </w:pPr>
      <w:r>
        <w:rPr>
          <w:b/>
          <w:color w:val="231F20"/>
          <w:sz w:val="16"/>
        </w:rPr>
        <w:t xml:space="preserve">збори </w:t>
      </w:r>
      <w:r>
        <w:rPr>
          <w:color w:val="231F20"/>
          <w:sz w:val="16"/>
        </w:rPr>
        <w:t xml:space="preserve">– мирні зібрання, що проводяться у визначеному місці з метою обговорення й вирі- шення професійних, організаційних, соціально-побутових або будь-яких інших питань; </w:t>
      </w:r>
      <w:r>
        <w:rPr>
          <w:b/>
          <w:color w:val="231F20"/>
          <w:sz w:val="16"/>
        </w:rPr>
        <w:t>мі</w:t>
      </w:r>
      <w:r>
        <w:rPr>
          <w:b/>
          <w:color w:val="231F20"/>
          <w:sz w:val="16"/>
        </w:rPr>
        <w:t xml:space="preserve">тинг </w:t>
      </w:r>
      <w:r>
        <w:rPr>
          <w:color w:val="231F20"/>
          <w:sz w:val="16"/>
        </w:rPr>
        <w:t>– мирне зібрання, що проводиться у визначеному місці для підтримки вимог, резо- люцій і звернень;</w:t>
      </w:r>
    </w:p>
    <w:p w14:paraId="1AC97696" w14:textId="77777777" w:rsidR="00DE575E" w:rsidRDefault="002E7560">
      <w:pPr>
        <w:spacing w:line="192" w:lineRule="auto"/>
        <w:ind w:left="533" w:right="127"/>
        <w:jc w:val="both"/>
        <w:rPr>
          <w:sz w:val="16"/>
        </w:rPr>
      </w:pPr>
      <w:r>
        <w:rPr>
          <w:b/>
          <w:color w:val="231F20"/>
          <w:sz w:val="16"/>
        </w:rPr>
        <w:t>похід</w:t>
      </w:r>
      <w:r>
        <w:rPr>
          <w:b/>
          <w:color w:val="231F20"/>
          <w:spacing w:val="-7"/>
          <w:sz w:val="16"/>
        </w:rPr>
        <w:t xml:space="preserve"> </w:t>
      </w:r>
      <w:r>
        <w:rPr>
          <w:color w:val="231F20"/>
          <w:sz w:val="16"/>
        </w:rPr>
        <w:t>–</w:t>
      </w:r>
      <w:r>
        <w:rPr>
          <w:color w:val="231F20"/>
          <w:spacing w:val="-7"/>
          <w:sz w:val="16"/>
        </w:rPr>
        <w:t xml:space="preserve"> </w:t>
      </w:r>
      <w:r>
        <w:rPr>
          <w:color w:val="231F20"/>
          <w:sz w:val="16"/>
        </w:rPr>
        <w:t>мирне</w:t>
      </w:r>
      <w:r>
        <w:rPr>
          <w:color w:val="231F20"/>
          <w:spacing w:val="-7"/>
          <w:sz w:val="16"/>
        </w:rPr>
        <w:t xml:space="preserve"> </w:t>
      </w:r>
      <w:r>
        <w:rPr>
          <w:color w:val="231F20"/>
          <w:sz w:val="16"/>
        </w:rPr>
        <w:t>зібрання,</w:t>
      </w:r>
      <w:r>
        <w:rPr>
          <w:color w:val="231F20"/>
          <w:spacing w:val="-7"/>
          <w:sz w:val="16"/>
        </w:rPr>
        <w:t xml:space="preserve"> </w:t>
      </w:r>
      <w:r>
        <w:rPr>
          <w:color w:val="231F20"/>
          <w:sz w:val="16"/>
        </w:rPr>
        <w:t>що</w:t>
      </w:r>
      <w:r>
        <w:rPr>
          <w:color w:val="231F20"/>
          <w:spacing w:val="-7"/>
          <w:sz w:val="16"/>
        </w:rPr>
        <w:t xml:space="preserve"> </w:t>
      </w:r>
      <w:r>
        <w:rPr>
          <w:color w:val="231F20"/>
          <w:sz w:val="16"/>
        </w:rPr>
        <w:t>проводиться</w:t>
      </w:r>
      <w:r>
        <w:rPr>
          <w:color w:val="231F20"/>
          <w:spacing w:val="-7"/>
          <w:sz w:val="16"/>
        </w:rPr>
        <w:t xml:space="preserve"> </w:t>
      </w:r>
      <w:r>
        <w:rPr>
          <w:color w:val="231F20"/>
          <w:sz w:val="16"/>
        </w:rPr>
        <w:t>у</w:t>
      </w:r>
      <w:r>
        <w:rPr>
          <w:color w:val="231F20"/>
          <w:spacing w:val="-7"/>
          <w:sz w:val="16"/>
        </w:rPr>
        <w:t xml:space="preserve"> </w:t>
      </w:r>
      <w:r>
        <w:rPr>
          <w:color w:val="231F20"/>
          <w:sz w:val="16"/>
        </w:rPr>
        <w:t>формі</w:t>
      </w:r>
      <w:r>
        <w:rPr>
          <w:color w:val="231F20"/>
          <w:spacing w:val="-7"/>
          <w:sz w:val="16"/>
        </w:rPr>
        <w:t xml:space="preserve"> </w:t>
      </w:r>
      <w:r>
        <w:rPr>
          <w:color w:val="231F20"/>
          <w:sz w:val="16"/>
        </w:rPr>
        <w:t>масового</w:t>
      </w:r>
      <w:r>
        <w:rPr>
          <w:color w:val="231F20"/>
          <w:spacing w:val="-7"/>
          <w:sz w:val="16"/>
        </w:rPr>
        <w:t xml:space="preserve"> </w:t>
      </w:r>
      <w:r>
        <w:rPr>
          <w:color w:val="231F20"/>
          <w:sz w:val="16"/>
        </w:rPr>
        <w:t>організованого</w:t>
      </w:r>
      <w:r>
        <w:rPr>
          <w:color w:val="231F20"/>
          <w:spacing w:val="-7"/>
          <w:sz w:val="16"/>
        </w:rPr>
        <w:t xml:space="preserve"> </w:t>
      </w:r>
      <w:r>
        <w:rPr>
          <w:color w:val="231F20"/>
          <w:sz w:val="16"/>
        </w:rPr>
        <w:t>руху</w:t>
      </w:r>
      <w:r>
        <w:rPr>
          <w:color w:val="231F20"/>
          <w:spacing w:val="-7"/>
          <w:sz w:val="16"/>
        </w:rPr>
        <w:t xml:space="preserve"> </w:t>
      </w:r>
      <w:r>
        <w:rPr>
          <w:color w:val="231F20"/>
          <w:sz w:val="16"/>
        </w:rPr>
        <w:t>вулицями, дорогами або поза ними за заздалегідь визначним маршрутом з метою привернення уваги до будь-яких</w:t>
      </w:r>
      <w:r>
        <w:rPr>
          <w:color w:val="231F20"/>
          <w:spacing w:val="-4"/>
          <w:sz w:val="16"/>
        </w:rPr>
        <w:t xml:space="preserve"> </w:t>
      </w:r>
      <w:r>
        <w:rPr>
          <w:color w:val="231F20"/>
          <w:sz w:val="16"/>
        </w:rPr>
        <w:t>проблем;</w:t>
      </w:r>
    </w:p>
    <w:p w14:paraId="3DD70EF7" w14:textId="77777777" w:rsidR="00DE575E" w:rsidRDefault="002E7560">
      <w:pPr>
        <w:spacing w:line="192" w:lineRule="auto"/>
        <w:ind w:left="533" w:right="128"/>
        <w:jc w:val="both"/>
        <w:rPr>
          <w:sz w:val="16"/>
        </w:rPr>
      </w:pPr>
      <w:r>
        <w:rPr>
          <w:b/>
          <w:color w:val="231F20"/>
          <w:sz w:val="16"/>
        </w:rPr>
        <w:t xml:space="preserve">пікетування </w:t>
      </w:r>
      <w:r>
        <w:rPr>
          <w:color w:val="231F20"/>
          <w:sz w:val="16"/>
        </w:rPr>
        <w:t>– мирне зібрання, що проводиться у формі протесту поблизу будинку, спо- руди чи іншого об’єкта, в яких розміщено заклади, підпри</w:t>
      </w:r>
      <w:r>
        <w:rPr>
          <w:color w:val="231F20"/>
          <w:sz w:val="16"/>
        </w:rPr>
        <w:t>ємства, установи, організації, органи державної влади чи органи місцевого самоврядування, що мають сприяти вирі- шенню висловлених ними вимог, або проводиться в іншому публічному місці.</w:t>
      </w:r>
    </w:p>
    <w:p w14:paraId="7E65F597" w14:textId="77777777" w:rsidR="00DE575E" w:rsidRDefault="002E7560">
      <w:pPr>
        <w:spacing w:line="192" w:lineRule="auto"/>
        <w:ind w:left="533" w:right="127"/>
        <w:jc w:val="both"/>
        <w:rPr>
          <w:sz w:val="16"/>
        </w:rPr>
      </w:pPr>
      <w:r>
        <w:rPr>
          <w:color w:val="231F20"/>
          <w:sz w:val="16"/>
        </w:rPr>
        <w:t>Новітньою</w:t>
      </w:r>
      <w:r>
        <w:rPr>
          <w:color w:val="231F20"/>
          <w:spacing w:val="-18"/>
          <w:sz w:val="16"/>
        </w:rPr>
        <w:t xml:space="preserve"> </w:t>
      </w:r>
      <w:r>
        <w:rPr>
          <w:color w:val="231F20"/>
          <w:sz w:val="16"/>
        </w:rPr>
        <w:t>формою</w:t>
      </w:r>
      <w:r>
        <w:rPr>
          <w:color w:val="231F20"/>
          <w:spacing w:val="-18"/>
          <w:sz w:val="16"/>
        </w:rPr>
        <w:t xml:space="preserve"> </w:t>
      </w:r>
      <w:r>
        <w:rPr>
          <w:color w:val="231F20"/>
          <w:sz w:val="16"/>
        </w:rPr>
        <w:t>громадського</w:t>
      </w:r>
      <w:r>
        <w:rPr>
          <w:color w:val="231F20"/>
          <w:spacing w:val="-18"/>
          <w:sz w:val="16"/>
        </w:rPr>
        <w:t xml:space="preserve"> </w:t>
      </w:r>
      <w:r>
        <w:rPr>
          <w:color w:val="231F20"/>
          <w:sz w:val="16"/>
        </w:rPr>
        <w:t>тиску</w:t>
      </w:r>
      <w:r>
        <w:rPr>
          <w:color w:val="231F20"/>
          <w:spacing w:val="-18"/>
          <w:sz w:val="16"/>
        </w:rPr>
        <w:t xml:space="preserve"> </w:t>
      </w:r>
      <w:r>
        <w:rPr>
          <w:color w:val="231F20"/>
          <w:sz w:val="16"/>
        </w:rPr>
        <w:t>на</w:t>
      </w:r>
      <w:r>
        <w:rPr>
          <w:color w:val="231F20"/>
          <w:spacing w:val="-18"/>
          <w:sz w:val="16"/>
        </w:rPr>
        <w:t xml:space="preserve"> </w:t>
      </w:r>
      <w:r>
        <w:rPr>
          <w:color w:val="231F20"/>
          <w:sz w:val="16"/>
        </w:rPr>
        <w:t>державну</w:t>
      </w:r>
      <w:r>
        <w:rPr>
          <w:color w:val="231F20"/>
          <w:spacing w:val="-18"/>
          <w:sz w:val="16"/>
        </w:rPr>
        <w:t xml:space="preserve"> </w:t>
      </w:r>
      <w:r>
        <w:rPr>
          <w:color w:val="231F20"/>
          <w:sz w:val="16"/>
        </w:rPr>
        <w:t>владу</w:t>
      </w:r>
      <w:r>
        <w:rPr>
          <w:color w:val="231F20"/>
          <w:spacing w:val="-18"/>
          <w:sz w:val="16"/>
        </w:rPr>
        <w:t xml:space="preserve"> </w:t>
      </w:r>
      <w:r>
        <w:rPr>
          <w:color w:val="231F20"/>
          <w:sz w:val="16"/>
        </w:rPr>
        <w:t>в</w:t>
      </w:r>
      <w:r>
        <w:rPr>
          <w:color w:val="231F20"/>
          <w:spacing w:val="-18"/>
          <w:sz w:val="16"/>
        </w:rPr>
        <w:t xml:space="preserve"> </w:t>
      </w:r>
      <w:r>
        <w:rPr>
          <w:color w:val="231F20"/>
          <w:spacing w:val="-4"/>
          <w:sz w:val="16"/>
        </w:rPr>
        <w:t>Україні</w:t>
      </w:r>
      <w:r>
        <w:rPr>
          <w:color w:val="231F20"/>
          <w:spacing w:val="-18"/>
          <w:sz w:val="16"/>
        </w:rPr>
        <w:t xml:space="preserve"> </w:t>
      </w:r>
      <w:r>
        <w:rPr>
          <w:color w:val="231F20"/>
          <w:sz w:val="16"/>
        </w:rPr>
        <w:t>є</w:t>
      </w:r>
      <w:r>
        <w:rPr>
          <w:color w:val="231F20"/>
          <w:spacing w:val="-18"/>
          <w:sz w:val="16"/>
        </w:rPr>
        <w:t xml:space="preserve"> </w:t>
      </w:r>
      <w:r>
        <w:rPr>
          <w:b/>
          <w:color w:val="231F20"/>
          <w:sz w:val="16"/>
        </w:rPr>
        <w:t>«Май</w:t>
      </w:r>
      <w:r>
        <w:rPr>
          <w:b/>
          <w:color w:val="231F20"/>
          <w:sz w:val="16"/>
        </w:rPr>
        <w:t>дан»</w:t>
      </w:r>
      <w:r>
        <w:rPr>
          <w:b/>
          <w:color w:val="231F20"/>
          <w:spacing w:val="-18"/>
          <w:sz w:val="16"/>
        </w:rPr>
        <w:t xml:space="preserve"> </w:t>
      </w:r>
      <w:r>
        <w:rPr>
          <w:color w:val="231F20"/>
          <w:sz w:val="16"/>
        </w:rPr>
        <w:t>як</w:t>
      </w:r>
      <w:r>
        <w:rPr>
          <w:color w:val="231F20"/>
          <w:spacing w:val="-18"/>
          <w:sz w:val="16"/>
        </w:rPr>
        <w:t xml:space="preserve"> </w:t>
      </w:r>
      <w:r>
        <w:rPr>
          <w:color w:val="231F20"/>
          <w:sz w:val="16"/>
        </w:rPr>
        <w:t xml:space="preserve">система </w:t>
      </w:r>
      <w:r>
        <w:rPr>
          <w:color w:val="231F20"/>
          <w:spacing w:val="-3"/>
          <w:sz w:val="16"/>
        </w:rPr>
        <w:t xml:space="preserve">комплексних </w:t>
      </w:r>
      <w:r>
        <w:rPr>
          <w:color w:val="231F20"/>
          <w:sz w:val="16"/>
        </w:rPr>
        <w:t xml:space="preserve">мирних </w:t>
      </w:r>
      <w:r>
        <w:rPr>
          <w:color w:val="231F20"/>
          <w:spacing w:val="-3"/>
          <w:sz w:val="16"/>
        </w:rPr>
        <w:t xml:space="preserve">заходів </w:t>
      </w:r>
      <w:r>
        <w:rPr>
          <w:color w:val="231F20"/>
          <w:sz w:val="16"/>
        </w:rPr>
        <w:t xml:space="preserve">з метою відсторонення чинної влади як </w:t>
      </w:r>
      <w:r>
        <w:rPr>
          <w:color w:val="231F20"/>
          <w:spacing w:val="-2"/>
          <w:sz w:val="16"/>
        </w:rPr>
        <w:t xml:space="preserve">такої, </w:t>
      </w:r>
      <w:r>
        <w:rPr>
          <w:color w:val="231F20"/>
          <w:sz w:val="16"/>
        </w:rPr>
        <w:t>що втратила легітимність</w:t>
      </w:r>
      <w:r>
        <w:rPr>
          <w:color w:val="231F20"/>
          <w:spacing w:val="-19"/>
          <w:sz w:val="16"/>
        </w:rPr>
        <w:t xml:space="preserve"> </w:t>
      </w:r>
      <w:r>
        <w:rPr>
          <w:color w:val="231F20"/>
          <w:sz w:val="16"/>
        </w:rPr>
        <w:t>(не</w:t>
      </w:r>
      <w:r>
        <w:rPr>
          <w:color w:val="231F20"/>
          <w:spacing w:val="-19"/>
          <w:sz w:val="16"/>
        </w:rPr>
        <w:t xml:space="preserve"> </w:t>
      </w:r>
      <w:r>
        <w:rPr>
          <w:color w:val="231F20"/>
          <w:sz w:val="16"/>
        </w:rPr>
        <w:t>відображає</w:t>
      </w:r>
      <w:r>
        <w:rPr>
          <w:color w:val="231F20"/>
          <w:spacing w:val="-19"/>
          <w:sz w:val="16"/>
        </w:rPr>
        <w:t xml:space="preserve"> </w:t>
      </w:r>
      <w:r>
        <w:rPr>
          <w:color w:val="231F20"/>
          <w:sz w:val="16"/>
        </w:rPr>
        <w:t>інтереси</w:t>
      </w:r>
      <w:r>
        <w:rPr>
          <w:color w:val="231F20"/>
          <w:spacing w:val="-19"/>
          <w:sz w:val="16"/>
        </w:rPr>
        <w:t xml:space="preserve"> </w:t>
      </w:r>
      <w:r>
        <w:rPr>
          <w:color w:val="231F20"/>
          <w:sz w:val="16"/>
        </w:rPr>
        <w:t>переважної</w:t>
      </w:r>
      <w:r>
        <w:rPr>
          <w:color w:val="231F20"/>
          <w:spacing w:val="-19"/>
          <w:sz w:val="16"/>
        </w:rPr>
        <w:t xml:space="preserve"> </w:t>
      </w:r>
      <w:r>
        <w:rPr>
          <w:color w:val="231F20"/>
          <w:sz w:val="16"/>
        </w:rPr>
        <w:t>кількості</w:t>
      </w:r>
      <w:r>
        <w:rPr>
          <w:color w:val="231F20"/>
          <w:spacing w:val="-19"/>
          <w:sz w:val="16"/>
        </w:rPr>
        <w:t xml:space="preserve"> </w:t>
      </w:r>
      <w:r>
        <w:rPr>
          <w:color w:val="231F20"/>
          <w:sz w:val="16"/>
        </w:rPr>
        <w:t>населення),</w:t>
      </w:r>
      <w:r>
        <w:rPr>
          <w:color w:val="231F20"/>
          <w:spacing w:val="-19"/>
          <w:sz w:val="16"/>
        </w:rPr>
        <w:t xml:space="preserve"> </w:t>
      </w:r>
      <w:r>
        <w:rPr>
          <w:color w:val="231F20"/>
          <w:sz w:val="16"/>
        </w:rPr>
        <w:t>відставки</w:t>
      </w:r>
      <w:r>
        <w:rPr>
          <w:color w:val="231F20"/>
          <w:spacing w:val="-19"/>
          <w:sz w:val="16"/>
        </w:rPr>
        <w:t xml:space="preserve"> </w:t>
      </w:r>
      <w:r>
        <w:rPr>
          <w:color w:val="231F20"/>
          <w:sz w:val="16"/>
        </w:rPr>
        <w:t>уряду</w:t>
      </w:r>
      <w:r>
        <w:rPr>
          <w:color w:val="231F20"/>
          <w:spacing w:val="-19"/>
          <w:sz w:val="16"/>
        </w:rPr>
        <w:t xml:space="preserve"> </w:t>
      </w:r>
      <w:r>
        <w:rPr>
          <w:color w:val="231F20"/>
          <w:spacing w:val="-2"/>
          <w:sz w:val="16"/>
        </w:rPr>
        <w:t xml:space="preserve">та/ </w:t>
      </w:r>
      <w:r>
        <w:rPr>
          <w:color w:val="231F20"/>
          <w:sz w:val="16"/>
        </w:rPr>
        <w:t>або</w:t>
      </w:r>
      <w:r>
        <w:rPr>
          <w:color w:val="231F20"/>
          <w:spacing w:val="-7"/>
          <w:sz w:val="16"/>
        </w:rPr>
        <w:t xml:space="preserve"> </w:t>
      </w:r>
      <w:r>
        <w:rPr>
          <w:color w:val="231F20"/>
          <w:sz w:val="16"/>
        </w:rPr>
        <w:t>проведення</w:t>
      </w:r>
      <w:r>
        <w:rPr>
          <w:color w:val="231F20"/>
          <w:spacing w:val="-7"/>
          <w:sz w:val="16"/>
        </w:rPr>
        <w:t xml:space="preserve"> </w:t>
      </w:r>
      <w:r>
        <w:rPr>
          <w:color w:val="231F20"/>
          <w:spacing w:val="-3"/>
          <w:sz w:val="16"/>
        </w:rPr>
        <w:t>позачергових</w:t>
      </w:r>
      <w:r>
        <w:rPr>
          <w:color w:val="231F20"/>
          <w:spacing w:val="-7"/>
          <w:sz w:val="16"/>
        </w:rPr>
        <w:t xml:space="preserve"> </w:t>
      </w:r>
      <w:r>
        <w:rPr>
          <w:color w:val="231F20"/>
          <w:sz w:val="16"/>
        </w:rPr>
        <w:t>президентських</w:t>
      </w:r>
      <w:r>
        <w:rPr>
          <w:color w:val="231F20"/>
          <w:spacing w:val="-7"/>
          <w:sz w:val="16"/>
        </w:rPr>
        <w:t xml:space="preserve"> </w:t>
      </w:r>
      <w:r>
        <w:rPr>
          <w:color w:val="231F20"/>
          <w:sz w:val="16"/>
        </w:rPr>
        <w:t>та/або</w:t>
      </w:r>
      <w:r>
        <w:rPr>
          <w:color w:val="231F20"/>
          <w:spacing w:val="-7"/>
          <w:sz w:val="16"/>
        </w:rPr>
        <w:t xml:space="preserve"> </w:t>
      </w:r>
      <w:r>
        <w:rPr>
          <w:color w:val="231F20"/>
          <w:sz w:val="16"/>
        </w:rPr>
        <w:t>парламентських</w:t>
      </w:r>
      <w:r>
        <w:rPr>
          <w:color w:val="231F20"/>
          <w:spacing w:val="-7"/>
          <w:sz w:val="16"/>
        </w:rPr>
        <w:t xml:space="preserve"> </w:t>
      </w:r>
      <w:r>
        <w:rPr>
          <w:color w:val="231F20"/>
          <w:sz w:val="16"/>
        </w:rPr>
        <w:t>виборів.</w:t>
      </w:r>
    </w:p>
    <w:p w14:paraId="288B9639" w14:textId="77777777" w:rsidR="00DE575E" w:rsidRDefault="00DE575E">
      <w:pPr>
        <w:pStyle w:val="BodyText"/>
        <w:spacing w:before="11"/>
        <w:rPr>
          <w:sz w:val="11"/>
        </w:rPr>
      </w:pPr>
    </w:p>
    <w:p w14:paraId="0E0EBFA2" w14:textId="77777777" w:rsidR="00DE575E" w:rsidRDefault="002E7560">
      <w:pPr>
        <w:spacing w:before="91"/>
        <w:ind w:left="533"/>
        <w:rPr>
          <w:rFonts w:ascii="Times New Roman"/>
          <w:sz w:val="20"/>
        </w:rPr>
      </w:pPr>
      <w:r>
        <w:rPr>
          <w:rFonts w:ascii="Times New Roman"/>
          <w:color w:val="231F20"/>
          <w:sz w:val="20"/>
        </w:rPr>
        <w:t>320</w:t>
      </w:r>
    </w:p>
    <w:p w14:paraId="66DA62CC" w14:textId="77777777" w:rsidR="00DE575E" w:rsidRDefault="00DE575E">
      <w:pPr>
        <w:rPr>
          <w:rFonts w:ascii="Times New Roman"/>
          <w:sz w:val="20"/>
        </w:rPr>
        <w:sectPr w:rsidR="00DE575E">
          <w:pgSz w:w="8510" w:h="12760"/>
          <w:pgMar w:top="660" w:right="720" w:bottom="280" w:left="600" w:header="720" w:footer="720" w:gutter="0"/>
          <w:cols w:space="720"/>
        </w:sectPr>
      </w:pPr>
    </w:p>
    <w:p w14:paraId="630D07BF"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05EF09D9" w14:textId="503755B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DADC5F6" wp14:editId="72F8DCB1">
                <wp:extent cx="4140200" cy="6350"/>
                <wp:effectExtent l="0" t="0" r="12700" b="6350"/>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14" name="Line 6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35B5F" id="Group_x0020_6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4F44B/AgAAmAUAAA4A&#10;AAAAAAAAAAAAAAAALAIAAGRycy9lMm9Eb2MueG1sUEsBAi0AFAAGAAgAAAAhAEynsJDZAAAAAwEA&#10;AA8AAAAAAAAAAAAAAAAA1wQAAGRycy9kb3ducmV2LnhtbFBLBQYAAAAABAAEAPMAAADdBQAAAAA=&#10;">
                <v:line id="Line_x0020_6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UzsYAAADcAAAADwAAAGRycy9kb3ducmV2LnhtbESP0WrCQBRE3wX/YblCX0Q3VpESXUUE&#10;Qfqg1vQDrtnbJHT3bsyuJu3XdwWhj8PMnGGW684acafGV44VTMYJCOLc6YoLBZ/ZbvQGwgdkjcYx&#10;KfghD+tVv7fEVLuWP+h+DoWIEPYpKihDqFMpfV6SRT92NXH0vlxjMUTZFFI32Ea4NfI1SebSYsVx&#10;ocSatiXl3+ebVZBdh8Gcju+mzY6XqbxcD9Pf20Gpl0G3WYAI1IX/8LO91wrmkx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3MFM7GAAAA3AAAAA8AAAAAAAAA&#10;AAAAAAAAoQIAAGRycy9kb3ducmV2LnhtbFBLBQYAAAAABAAEAPkAAACUAwAAAAA=&#10;" strokecolor="#231f20" strokeweight=".5pt"/>
                <w10:anchorlock/>
              </v:group>
            </w:pict>
          </mc:Fallback>
        </mc:AlternateContent>
      </w:r>
    </w:p>
    <w:p w14:paraId="3E598D0B" w14:textId="77777777" w:rsidR="00DE575E" w:rsidRDefault="00DE575E">
      <w:pPr>
        <w:pStyle w:val="BodyText"/>
        <w:spacing w:before="7"/>
        <w:rPr>
          <w:rFonts w:ascii="AdonisC"/>
          <w:i/>
          <w:sz w:val="19"/>
        </w:rPr>
      </w:pPr>
    </w:p>
    <w:p w14:paraId="0C84B637" w14:textId="77777777" w:rsidR="00DE575E" w:rsidRDefault="002E7560">
      <w:pPr>
        <w:pStyle w:val="Heading5"/>
        <w:spacing w:before="1" w:line="252" w:lineRule="auto"/>
        <w:ind w:left="250" w:right="410"/>
        <w:jc w:val="both"/>
      </w:pPr>
      <w:r>
        <w:rPr>
          <w:color w:val="231F20"/>
        </w:rPr>
        <w:t xml:space="preserve">самозахисту, які мають різну юридичну </w:t>
      </w:r>
      <w:r>
        <w:rPr>
          <w:color w:val="231F20"/>
          <w:spacing w:val="-3"/>
        </w:rPr>
        <w:t xml:space="preserve">природу </w:t>
      </w:r>
      <w:r>
        <w:rPr>
          <w:color w:val="231F20"/>
        </w:rPr>
        <w:t xml:space="preserve">й доповнюють </w:t>
      </w:r>
      <w:r>
        <w:rPr>
          <w:color w:val="231F20"/>
          <w:spacing w:val="-3"/>
        </w:rPr>
        <w:t xml:space="preserve">одне одного </w:t>
      </w:r>
      <w:r>
        <w:rPr>
          <w:color w:val="231F20"/>
        </w:rPr>
        <w:t xml:space="preserve">з найменш болючими для </w:t>
      </w:r>
      <w:r>
        <w:rPr>
          <w:color w:val="231F20"/>
          <w:spacing w:val="-3"/>
        </w:rPr>
        <w:t xml:space="preserve">суб’єктів </w:t>
      </w:r>
      <w:r>
        <w:rPr>
          <w:color w:val="231F20"/>
        </w:rPr>
        <w:t>публічної влади наслідками (добровільне примирення у процесі адміністратив- ної</w:t>
      </w:r>
      <w:r>
        <w:rPr>
          <w:color w:val="231F20"/>
          <w:spacing w:val="-9"/>
        </w:rPr>
        <w:t xml:space="preserve"> </w:t>
      </w:r>
      <w:r>
        <w:rPr>
          <w:color w:val="231F20"/>
        </w:rPr>
        <w:t>медіації)</w:t>
      </w:r>
      <w:r>
        <w:rPr>
          <w:color w:val="231F20"/>
          <w:spacing w:val="-9"/>
        </w:rPr>
        <w:t xml:space="preserve"> </w:t>
      </w:r>
      <w:r>
        <w:rPr>
          <w:color w:val="231F20"/>
        </w:rPr>
        <w:t>–</w:t>
      </w:r>
      <w:r>
        <w:rPr>
          <w:color w:val="231F20"/>
          <w:spacing w:val="-9"/>
        </w:rPr>
        <w:t xml:space="preserve"> </w:t>
      </w:r>
      <w:r>
        <w:rPr>
          <w:color w:val="231F20"/>
        </w:rPr>
        <w:t>до</w:t>
      </w:r>
      <w:r>
        <w:rPr>
          <w:color w:val="231F20"/>
          <w:spacing w:val="-9"/>
        </w:rPr>
        <w:t xml:space="preserve"> </w:t>
      </w:r>
      <w:r>
        <w:rPr>
          <w:color w:val="231F20"/>
        </w:rPr>
        <w:t>майже</w:t>
      </w:r>
      <w:r>
        <w:rPr>
          <w:color w:val="231F20"/>
          <w:spacing w:val="-9"/>
        </w:rPr>
        <w:t xml:space="preserve"> </w:t>
      </w:r>
      <w:r>
        <w:rPr>
          <w:color w:val="231F20"/>
        </w:rPr>
        <w:t>повної</w:t>
      </w:r>
      <w:r>
        <w:rPr>
          <w:color w:val="231F20"/>
          <w:spacing w:val="-9"/>
        </w:rPr>
        <w:t xml:space="preserve"> </w:t>
      </w:r>
      <w:r>
        <w:rPr>
          <w:color w:val="231F20"/>
        </w:rPr>
        <w:t>заміни</w:t>
      </w:r>
      <w:r>
        <w:rPr>
          <w:color w:val="231F20"/>
          <w:spacing w:val="-9"/>
        </w:rPr>
        <w:t xml:space="preserve"> </w:t>
      </w:r>
      <w:r>
        <w:rPr>
          <w:color w:val="231F20"/>
        </w:rPr>
        <w:t>публічної</w:t>
      </w:r>
      <w:r>
        <w:rPr>
          <w:color w:val="231F20"/>
          <w:spacing w:val="-9"/>
        </w:rPr>
        <w:t xml:space="preserve"> </w:t>
      </w:r>
      <w:r>
        <w:rPr>
          <w:color w:val="231F20"/>
        </w:rPr>
        <w:t>влади</w:t>
      </w:r>
      <w:r>
        <w:rPr>
          <w:color w:val="231F20"/>
          <w:spacing w:val="-9"/>
        </w:rPr>
        <w:t xml:space="preserve"> </w:t>
      </w:r>
      <w:r>
        <w:rPr>
          <w:color w:val="231F20"/>
        </w:rPr>
        <w:t>у</w:t>
      </w:r>
      <w:r>
        <w:rPr>
          <w:color w:val="231F20"/>
          <w:spacing w:val="-9"/>
        </w:rPr>
        <w:t xml:space="preserve"> </w:t>
      </w:r>
      <w:r>
        <w:rPr>
          <w:color w:val="231F20"/>
        </w:rPr>
        <w:t>процесі позачергових</w:t>
      </w:r>
      <w:r>
        <w:rPr>
          <w:color w:val="231F20"/>
          <w:spacing w:val="-12"/>
        </w:rPr>
        <w:t xml:space="preserve"> </w:t>
      </w:r>
      <w:r>
        <w:rPr>
          <w:color w:val="231F20"/>
        </w:rPr>
        <w:t>виборів,</w:t>
      </w:r>
      <w:r>
        <w:rPr>
          <w:color w:val="231F20"/>
          <w:spacing w:val="-12"/>
        </w:rPr>
        <w:t xml:space="preserve"> </w:t>
      </w:r>
      <w:r>
        <w:rPr>
          <w:color w:val="231F20"/>
        </w:rPr>
        <w:t>що</w:t>
      </w:r>
      <w:r>
        <w:rPr>
          <w:color w:val="231F20"/>
          <w:spacing w:val="-13"/>
        </w:rPr>
        <w:t xml:space="preserve"> </w:t>
      </w:r>
      <w:r>
        <w:rPr>
          <w:color w:val="231F20"/>
        </w:rPr>
        <w:t>здійснюються</w:t>
      </w:r>
      <w:r>
        <w:rPr>
          <w:color w:val="231F20"/>
          <w:spacing w:val="-13"/>
        </w:rPr>
        <w:t xml:space="preserve"> </w:t>
      </w:r>
      <w:r>
        <w:rPr>
          <w:color w:val="231F20"/>
        </w:rPr>
        <w:t>під</w:t>
      </w:r>
      <w:r>
        <w:rPr>
          <w:color w:val="231F20"/>
          <w:spacing w:val="-12"/>
        </w:rPr>
        <w:t xml:space="preserve"> </w:t>
      </w:r>
      <w:r>
        <w:rPr>
          <w:color w:val="231F20"/>
        </w:rPr>
        <w:t>тиском</w:t>
      </w:r>
      <w:r>
        <w:rPr>
          <w:color w:val="231F20"/>
          <w:spacing w:val="-13"/>
        </w:rPr>
        <w:t xml:space="preserve"> </w:t>
      </w:r>
      <w:r>
        <w:rPr>
          <w:color w:val="231F20"/>
        </w:rPr>
        <w:t>громадян</w:t>
      </w:r>
      <w:r>
        <w:rPr>
          <w:color w:val="231F20"/>
        </w:rPr>
        <w:t xml:space="preserve">сь- </w:t>
      </w:r>
      <w:r>
        <w:rPr>
          <w:color w:val="231F20"/>
          <w:spacing w:val="-3"/>
        </w:rPr>
        <w:t>кого</w:t>
      </w:r>
      <w:r>
        <w:rPr>
          <w:color w:val="231F20"/>
          <w:spacing w:val="-2"/>
        </w:rPr>
        <w:t xml:space="preserve"> </w:t>
      </w:r>
      <w:r>
        <w:rPr>
          <w:color w:val="231F20"/>
        </w:rPr>
        <w:t>суспільства.</w:t>
      </w:r>
    </w:p>
    <w:p w14:paraId="5A4F1FF0" w14:textId="77777777" w:rsidR="00DE575E" w:rsidRDefault="00DE575E">
      <w:pPr>
        <w:pStyle w:val="BodyText"/>
        <w:rPr>
          <w:b/>
          <w:sz w:val="24"/>
        </w:rPr>
      </w:pPr>
    </w:p>
    <w:p w14:paraId="288930BA" w14:textId="77777777" w:rsidR="00DE575E" w:rsidRDefault="00DE575E">
      <w:pPr>
        <w:pStyle w:val="BodyText"/>
        <w:spacing w:before="6"/>
        <w:rPr>
          <w:b/>
          <w:sz w:val="19"/>
        </w:rPr>
      </w:pPr>
    </w:p>
    <w:p w14:paraId="321F10AF" w14:textId="77777777" w:rsidR="00DE575E" w:rsidRDefault="002E7560">
      <w:pPr>
        <w:ind w:left="2136" w:hanging="1327"/>
        <w:rPr>
          <w:b/>
          <w:sz w:val="13"/>
        </w:rPr>
      </w:pPr>
      <w:r>
        <w:rPr>
          <w:b/>
          <w:color w:val="231F20"/>
        </w:rPr>
        <w:t xml:space="preserve">9.2. Медіація як альтернативний спосіб вирішення адміністративних спорів </w:t>
      </w:r>
      <w:r>
        <w:rPr>
          <w:b/>
          <w:color w:val="231F20"/>
          <w:position w:val="7"/>
          <w:sz w:val="13"/>
        </w:rPr>
        <w:t>1</w:t>
      </w:r>
    </w:p>
    <w:p w14:paraId="6CCFDD7E" w14:textId="77777777" w:rsidR="00DE575E" w:rsidRDefault="00DE575E">
      <w:pPr>
        <w:pStyle w:val="BodyText"/>
        <w:rPr>
          <w:b/>
          <w:sz w:val="26"/>
        </w:rPr>
      </w:pPr>
    </w:p>
    <w:p w14:paraId="7D711565" w14:textId="77777777" w:rsidR="00DE575E" w:rsidRDefault="002E7560">
      <w:pPr>
        <w:pStyle w:val="BodyText"/>
        <w:spacing w:before="224" w:line="252" w:lineRule="auto"/>
        <w:ind w:left="250" w:right="411" w:firstLine="283"/>
        <w:jc w:val="both"/>
      </w:pPr>
      <w:r>
        <w:rPr>
          <w:color w:val="231F20"/>
        </w:rPr>
        <w:t>Останнім часом дедалі частіше можна зустріти практику альтер- нативного вирішення правових спорів без звернення до класичних судових процедур. Широкого застосування у європейських країнах набула медіація як альтернатива вирішення спору в суді.</w:t>
      </w:r>
    </w:p>
    <w:p w14:paraId="764EAFCF" w14:textId="77777777" w:rsidR="00DE575E" w:rsidRDefault="002E7560">
      <w:pPr>
        <w:pStyle w:val="BodyText"/>
        <w:spacing w:before="2" w:line="252" w:lineRule="auto"/>
        <w:ind w:left="250" w:right="411" w:firstLine="283"/>
        <w:jc w:val="both"/>
      </w:pPr>
      <w:r>
        <w:rPr>
          <w:b/>
          <w:i/>
          <w:color w:val="231F20"/>
        </w:rPr>
        <w:t>Медіація</w:t>
      </w:r>
      <w:r>
        <w:rPr>
          <w:b/>
          <w:i/>
          <w:color w:val="231F20"/>
          <w:spacing w:val="-13"/>
        </w:rPr>
        <w:t xml:space="preserve"> </w:t>
      </w:r>
      <w:r>
        <w:rPr>
          <w:color w:val="231F20"/>
        </w:rPr>
        <w:t>роз</w:t>
      </w:r>
      <w:r>
        <w:rPr>
          <w:color w:val="231F20"/>
        </w:rPr>
        <w:t>глядається</w:t>
      </w:r>
      <w:r>
        <w:rPr>
          <w:color w:val="231F20"/>
          <w:spacing w:val="-13"/>
        </w:rPr>
        <w:t xml:space="preserve"> </w:t>
      </w:r>
      <w:r>
        <w:rPr>
          <w:color w:val="231F20"/>
        </w:rPr>
        <w:t>як</w:t>
      </w:r>
      <w:r>
        <w:rPr>
          <w:color w:val="231F20"/>
          <w:spacing w:val="-13"/>
        </w:rPr>
        <w:t xml:space="preserve"> </w:t>
      </w:r>
      <w:r>
        <w:rPr>
          <w:color w:val="231F20"/>
        </w:rPr>
        <w:t>один</w:t>
      </w:r>
      <w:r>
        <w:rPr>
          <w:color w:val="231F20"/>
          <w:spacing w:val="-13"/>
        </w:rPr>
        <w:t xml:space="preserve"> </w:t>
      </w:r>
      <w:r>
        <w:rPr>
          <w:color w:val="231F20"/>
        </w:rPr>
        <w:t>із</w:t>
      </w:r>
      <w:r>
        <w:rPr>
          <w:color w:val="231F20"/>
          <w:spacing w:val="-13"/>
        </w:rPr>
        <w:t xml:space="preserve"> </w:t>
      </w:r>
      <w:r>
        <w:rPr>
          <w:color w:val="231F20"/>
        </w:rPr>
        <w:t>альтернативних</w:t>
      </w:r>
      <w:r>
        <w:rPr>
          <w:color w:val="231F20"/>
          <w:spacing w:val="-13"/>
        </w:rPr>
        <w:t xml:space="preserve"> </w:t>
      </w:r>
      <w:r>
        <w:rPr>
          <w:color w:val="231F20"/>
        </w:rPr>
        <w:t>способів</w:t>
      </w:r>
      <w:r>
        <w:rPr>
          <w:color w:val="231F20"/>
          <w:spacing w:val="-13"/>
        </w:rPr>
        <w:t xml:space="preserve"> </w:t>
      </w:r>
      <w:r>
        <w:rPr>
          <w:color w:val="231F20"/>
        </w:rPr>
        <w:t xml:space="preserve">вирі- шення </w:t>
      </w:r>
      <w:r>
        <w:rPr>
          <w:color w:val="231F20"/>
          <w:spacing w:val="-4"/>
        </w:rPr>
        <w:t xml:space="preserve">спору, </w:t>
      </w:r>
      <w:r>
        <w:rPr>
          <w:color w:val="231F20"/>
        </w:rPr>
        <w:t xml:space="preserve">який дедалі більше привертає до себе увагу в </w:t>
      </w:r>
      <w:r>
        <w:rPr>
          <w:color w:val="231F20"/>
          <w:spacing w:val="-3"/>
        </w:rPr>
        <w:t xml:space="preserve">Україні, </w:t>
      </w:r>
      <w:r>
        <w:rPr>
          <w:color w:val="231F20"/>
        </w:rPr>
        <w:t>адже це особлива форма посередництва при врегулюванні спорів, що виникають між учасниками правовідносин. Проблемою</w:t>
      </w:r>
      <w:r>
        <w:rPr>
          <w:color w:val="231F20"/>
          <w:spacing w:val="-31"/>
        </w:rPr>
        <w:t xml:space="preserve"> </w:t>
      </w:r>
      <w:r>
        <w:rPr>
          <w:color w:val="231F20"/>
        </w:rPr>
        <w:t xml:space="preserve">запрова- дження інституту медіації в </w:t>
      </w:r>
      <w:r>
        <w:rPr>
          <w:color w:val="231F20"/>
          <w:spacing w:val="-3"/>
        </w:rPr>
        <w:t xml:space="preserve">Україні </w:t>
      </w:r>
      <w:r>
        <w:rPr>
          <w:color w:val="231F20"/>
        </w:rPr>
        <w:t>є відсутність нормативно-пра- вової бази щодо її регулювання та низький рівень обізнаності населення щодо можливості позасудового порядку вирішення адмі- ністративних, цивільних, сімейних та інших</w:t>
      </w:r>
      <w:r>
        <w:rPr>
          <w:color w:val="231F20"/>
          <w:spacing w:val="-4"/>
        </w:rPr>
        <w:t xml:space="preserve"> </w:t>
      </w:r>
      <w:r>
        <w:rPr>
          <w:color w:val="231F20"/>
        </w:rPr>
        <w:t>спорів.</w:t>
      </w:r>
    </w:p>
    <w:p w14:paraId="43BB9C99" w14:textId="77777777" w:rsidR="00DE575E" w:rsidRDefault="002E7560">
      <w:pPr>
        <w:pStyle w:val="BodyText"/>
        <w:spacing w:before="4" w:line="252" w:lineRule="auto"/>
        <w:ind w:left="250" w:right="410" w:firstLine="283"/>
        <w:jc w:val="both"/>
      </w:pPr>
      <w:r>
        <w:rPr>
          <w:color w:val="231F20"/>
        </w:rPr>
        <w:t>Медіац</w:t>
      </w:r>
      <w:r>
        <w:rPr>
          <w:color w:val="231F20"/>
        </w:rPr>
        <w:t>ія</w:t>
      </w:r>
      <w:r>
        <w:rPr>
          <w:color w:val="231F20"/>
          <w:position w:val="7"/>
          <w:sz w:val="12"/>
        </w:rPr>
        <w:t xml:space="preserve">2 </w:t>
      </w:r>
      <w:r>
        <w:rPr>
          <w:color w:val="231F20"/>
        </w:rPr>
        <w:t>є комплексним соціальним інститутом, до вивчення якого необхідно підходити з міждисциплінарних позицій. Основні ідеї медіації, її принципи та механізми впливу на поведінку людини розкриваються у працях представників таких наукових напрям-  ків, як юрид</w:t>
      </w:r>
      <w:r>
        <w:rPr>
          <w:color w:val="231F20"/>
        </w:rPr>
        <w:t>ична конфліктологія, соціологія, психологія, соціальна антропологія. Правова наука почала займатися вивченням медіації, насамперед,</w:t>
      </w:r>
      <w:r>
        <w:rPr>
          <w:color w:val="231F20"/>
          <w:spacing w:val="-12"/>
        </w:rPr>
        <w:t xml:space="preserve"> </w:t>
      </w:r>
      <w:r>
        <w:rPr>
          <w:color w:val="231F20"/>
        </w:rPr>
        <w:t>із</w:t>
      </w:r>
      <w:r>
        <w:rPr>
          <w:color w:val="231F20"/>
          <w:spacing w:val="-12"/>
        </w:rPr>
        <w:t xml:space="preserve"> </w:t>
      </w:r>
      <w:r>
        <w:rPr>
          <w:color w:val="231F20"/>
        </w:rPr>
        <w:t>привнесенням</w:t>
      </w:r>
      <w:r>
        <w:rPr>
          <w:color w:val="231F20"/>
          <w:spacing w:val="-12"/>
        </w:rPr>
        <w:t xml:space="preserve"> </w:t>
      </w:r>
      <w:r>
        <w:rPr>
          <w:color w:val="231F20"/>
        </w:rPr>
        <w:t>елемента</w:t>
      </w:r>
      <w:r>
        <w:rPr>
          <w:color w:val="231F20"/>
          <w:spacing w:val="-12"/>
        </w:rPr>
        <w:t xml:space="preserve"> </w:t>
      </w:r>
      <w:r>
        <w:rPr>
          <w:color w:val="231F20"/>
        </w:rPr>
        <w:t>правового</w:t>
      </w:r>
      <w:r>
        <w:rPr>
          <w:color w:val="231F20"/>
          <w:spacing w:val="-12"/>
        </w:rPr>
        <w:t xml:space="preserve"> </w:t>
      </w:r>
      <w:r>
        <w:rPr>
          <w:color w:val="231F20"/>
        </w:rPr>
        <w:t>регулювання</w:t>
      </w:r>
      <w:r>
        <w:rPr>
          <w:color w:val="231F20"/>
          <w:spacing w:val="-12"/>
        </w:rPr>
        <w:t xml:space="preserve"> </w:t>
      </w:r>
      <w:r>
        <w:rPr>
          <w:color w:val="231F20"/>
        </w:rPr>
        <w:t>в</w:t>
      </w:r>
      <w:r>
        <w:rPr>
          <w:color w:val="231F20"/>
          <w:spacing w:val="-12"/>
        </w:rPr>
        <w:t xml:space="preserve"> </w:t>
      </w:r>
      <w:r>
        <w:rPr>
          <w:color w:val="231F20"/>
        </w:rPr>
        <w:t>цю сферу суспільного</w:t>
      </w:r>
      <w:r>
        <w:rPr>
          <w:color w:val="231F20"/>
          <w:spacing w:val="-3"/>
        </w:rPr>
        <w:t xml:space="preserve"> </w:t>
      </w:r>
      <w:r>
        <w:rPr>
          <w:color w:val="231F20"/>
        </w:rPr>
        <w:t>життя</w:t>
      </w:r>
      <w:r>
        <w:rPr>
          <w:color w:val="231F20"/>
          <w:position w:val="7"/>
          <w:sz w:val="12"/>
        </w:rPr>
        <w:t>3</w:t>
      </w:r>
      <w:r>
        <w:rPr>
          <w:color w:val="231F20"/>
        </w:rPr>
        <w:t>.</w:t>
      </w:r>
    </w:p>
    <w:p w14:paraId="0F7371ED" w14:textId="77777777" w:rsidR="00DE575E" w:rsidRDefault="00DE575E">
      <w:pPr>
        <w:pStyle w:val="BodyText"/>
        <w:rPr>
          <w:sz w:val="20"/>
        </w:rPr>
      </w:pPr>
    </w:p>
    <w:p w14:paraId="5AE64A7E" w14:textId="77F7945A" w:rsidR="00DE575E" w:rsidRDefault="002E7560">
      <w:pPr>
        <w:pStyle w:val="BodyText"/>
        <w:spacing w:before="9"/>
        <w:rPr>
          <w:sz w:val="14"/>
        </w:rPr>
      </w:pPr>
      <w:r>
        <w:rPr>
          <w:noProof/>
        </w:rPr>
        <mc:AlternateContent>
          <mc:Choice Requires="wps">
            <w:drawing>
              <wp:anchor distT="0" distB="0" distL="0" distR="0" simplePos="0" relativeHeight="12424" behindDoc="0" locked="0" layoutInCell="1" allowOverlap="1" wp14:anchorId="43F79F58" wp14:editId="2ED33727">
                <wp:simplePos x="0" y="0"/>
                <wp:positionH relativeFrom="page">
                  <wp:posOffset>539750</wp:posOffset>
                </wp:positionH>
                <wp:positionV relativeFrom="paragraph">
                  <wp:posOffset>137795</wp:posOffset>
                </wp:positionV>
                <wp:extent cx="1080135" cy="0"/>
                <wp:effectExtent l="6350" t="10795" r="31115" b="27305"/>
                <wp:wrapTopAndBottom/>
                <wp:docPr id="61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6AFC7" id="Line_x0020_611" o:spid="_x0000_s1026" style="position:absolute;z-index:12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85pt" to="127.55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" strokecolor="#231f20" strokeweight=".5pt">
                <w10:wrap type="topAndBottom" anchorx="page"/>
              </v:line>
            </w:pict>
          </mc:Fallback>
        </mc:AlternateContent>
      </w:r>
    </w:p>
    <w:p w14:paraId="4FC4A2DB" w14:textId="77777777" w:rsidR="00DE575E" w:rsidRDefault="002E7560">
      <w:pPr>
        <w:spacing w:line="162" w:lineRule="exact"/>
        <w:ind w:left="250"/>
        <w:rPr>
          <w:b/>
          <w:sz w:val="16"/>
        </w:rPr>
      </w:pPr>
      <w:r>
        <w:rPr>
          <w:color w:val="231F20"/>
          <w:position w:val="5"/>
          <w:sz w:val="9"/>
        </w:rPr>
        <w:t xml:space="preserve">1       </w:t>
      </w:r>
      <w:r>
        <w:rPr>
          <w:color w:val="231F20"/>
          <w:sz w:val="16"/>
        </w:rPr>
        <w:t xml:space="preserve">Авторка: </w:t>
      </w:r>
      <w:r>
        <w:rPr>
          <w:b/>
          <w:color w:val="231F20"/>
          <w:sz w:val="16"/>
        </w:rPr>
        <w:t>Наталія Васильченко.</w:t>
      </w:r>
    </w:p>
    <w:p w14:paraId="45A898A7" w14:textId="77777777" w:rsidR="00DE575E" w:rsidRDefault="002E7560">
      <w:pPr>
        <w:spacing w:before="23" w:line="204" w:lineRule="auto"/>
        <w:ind w:left="250" w:right="411"/>
        <w:jc w:val="both"/>
        <w:rPr>
          <w:sz w:val="16"/>
        </w:rPr>
      </w:pPr>
      <w:r>
        <w:rPr>
          <w:color w:val="231F20"/>
          <w:position w:val="5"/>
          <w:sz w:val="9"/>
        </w:rPr>
        <w:t xml:space="preserve">2 </w:t>
      </w:r>
      <w:r>
        <w:rPr>
          <w:b/>
          <w:i/>
          <w:color w:val="231F20"/>
          <w:sz w:val="16"/>
        </w:rPr>
        <w:t>Мед</w:t>
      </w:r>
      <w:r>
        <w:rPr>
          <w:b/>
          <w:i/>
          <w:color w:val="231F20"/>
          <w:sz w:val="16"/>
        </w:rPr>
        <w:t xml:space="preserve">іація </w:t>
      </w:r>
      <w:r>
        <w:rPr>
          <w:color w:val="231F20"/>
          <w:sz w:val="16"/>
        </w:rPr>
        <w:t>(англ. mediation – «посередництво») – вид альтернативного врегулювання спорів, метод вирішення спорів із залученням посередника (медіатора), який допомагає сторонам конфлікту налагодити процес комунікації і проаналізувати конфліктну ситуа- цію</w:t>
      </w:r>
      <w:r>
        <w:rPr>
          <w:color w:val="231F20"/>
          <w:spacing w:val="-8"/>
          <w:sz w:val="16"/>
        </w:rPr>
        <w:t xml:space="preserve"> </w:t>
      </w:r>
      <w:r>
        <w:rPr>
          <w:color w:val="231F20"/>
          <w:sz w:val="16"/>
        </w:rPr>
        <w:t>таким</w:t>
      </w:r>
      <w:r>
        <w:rPr>
          <w:color w:val="231F20"/>
          <w:spacing w:val="-8"/>
          <w:sz w:val="16"/>
        </w:rPr>
        <w:t xml:space="preserve"> </w:t>
      </w:r>
      <w:r>
        <w:rPr>
          <w:color w:val="231F20"/>
          <w:sz w:val="16"/>
        </w:rPr>
        <w:t>чином,</w:t>
      </w:r>
      <w:r>
        <w:rPr>
          <w:color w:val="231F20"/>
          <w:spacing w:val="-8"/>
          <w:sz w:val="16"/>
        </w:rPr>
        <w:t xml:space="preserve"> </w:t>
      </w:r>
      <w:r>
        <w:rPr>
          <w:color w:val="231F20"/>
          <w:sz w:val="16"/>
        </w:rPr>
        <w:t>щоб</w:t>
      </w:r>
      <w:r>
        <w:rPr>
          <w:color w:val="231F20"/>
          <w:spacing w:val="-8"/>
          <w:sz w:val="16"/>
        </w:rPr>
        <w:t xml:space="preserve"> </w:t>
      </w:r>
      <w:r>
        <w:rPr>
          <w:color w:val="231F20"/>
          <w:sz w:val="16"/>
        </w:rPr>
        <w:t>вони</w:t>
      </w:r>
      <w:r>
        <w:rPr>
          <w:color w:val="231F20"/>
          <w:spacing w:val="-8"/>
          <w:sz w:val="16"/>
        </w:rPr>
        <w:t xml:space="preserve"> </w:t>
      </w:r>
      <w:r>
        <w:rPr>
          <w:color w:val="231F20"/>
          <w:sz w:val="16"/>
        </w:rPr>
        <w:t>самі</w:t>
      </w:r>
      <w:r>
        <w:rPr>
          <w:color w:val="231F20"/>
          <w:spacing w:val="-8"/>
          <w:sz w:val="16"/>
        </w:rPr>
        <w:t xml:space="preserve"> </w:t>
      </w:r>
      <w:r>
        <w:rPr>
          <w:color w:val="231F20"/>
          <w:sz w:val="16"/>
        </w:rPr>
        <w:t>змогли</w:t>
      </w:r>
      <w:r>
        <w:rPr>
          <w:color w:val="231F20"/>
          <w:spacing w:val="-8"/>
          <w:sz w:val="16"/>
        </w:rPr>
        <w:t xml:space="preserve"> </w:t>
      </w:r>
      <w:r>
        <w:rPr>
          <w:color w:val="231F20"/>
          <w:sz w:val="16"/>
        </w:rPr>
        <w:t>обрати</w:t>
      </w:r>
      <w:r>
        <w:rPr>
          <w:color w:val="231F20"/>
          <w:spacing w:val="-8"/>
          <w:sz w:val="16"/>
        </w:rPr>
        <w:t xml:space="preserve"> </w:t>
      </w:r>
      <w:r>
        <w:rPr>
          <w:color w:val="231F20"/>
          <w:sz w:val="16"/>
        </w:rPr>
        <w:t>той</w:t>
      </w:r>
      <w:r>
        <w:rPr>
          <w:color w:val="231F20"/>
          <w:spacing w:val="-8"/>
          <w:sz w:val="16"/>
        </w:rPr>
        <w:t xml:space="preserve"> </w:t>
      </w:r>
      <w:r>
        <w:rPr>
          <w:color w:val="231F20"/>
          <w:sz w:val="16"/>
        </w:rPr>
        <w:t>варіант</w:t>
      </w:r>
      <w:r>
        <w:rPr>
          <w:color w:val="231F20"/>
          <w:spacing w:val="-8"/>
          <w:sz w:val="16"/>
        </w:rPr>
        <w:t xml:space="preserve"> </w:t>
      </w:r>
      <w:r>
        <w:rPr>
          <w:color w:val="231F20"/>
          <w:sz w:val="16"/>
        </w:rPr>
        <w:t>рішення,</w:t>
      </w:r>
      <w:r>
        <w:rPr>
          <w:color w:val="231F20"/>
          <w:spacing w:val="-8"/>
          <w:sz w:val="16"/>
        </w:rPr>
        <w:t xml:space="preserve"> </w:t>
      </w:r>
      <w:r>
        <w:rPr>
          <w:color w:val="231F20"/>
          <w:sz w:val="16"/>
        </w:rPr>
        <w:t>який</w:t>
      </w:r>
      <w:r>
        <w:rPr>
          <w:color w:val="231F20"/>
          <w:spacing w:val="-8"/>
          <w:sz w:val="16"/>
        </w:rPr>
        <w:t xml:space="preserve"> </w:t>
      </w:r>
      <w:r>
        <w:rPr>
          <w:color w:val="231F20"/>
          <w:sz w:val="16"/>
        </w:rPr>
        <w:t>би</w:t>
      </w:r>
      <w:r>
        <w:rPr>
          <w:color w:val="231F20"/>
          <w:spacing w:val="-8"/>
          <w:sz w:val="16"/>
        </w:rPr>
        <w:t xml:space="preserve"> </w:t>
      </w:r>
      <w:r>
        <w:rPr>
          <w:color w:val="231F20"/>
          <w:sz w:val="16"/>
        </w:rPr>
        <w:t>задовольняв інтереси і потреби усіх учасників</w:t>
      </w:r>
      <w:r>
        <w:rPr>
          <w:color w:val="231F20"/>
          <w:spacing w:val="-6"/>
          <w:sz w:val="16"/>
        </w:rPr>
        <w:t xml:space="preserve"> </w:t>
      </w:r>
      <w:r>
        <w:rPr>
          <w:color w:val="231F20"/>
          <w:sz w:val="16"/>
        </w:rPr>
        <w:t>конфлікту.</w:t>
      </w:r>
    </w:p>
    <w:p w14:paraId="6FF52A7D" w14:textId="77777777" w:rsidR="00DE575E" w:rsidRDefault="002E7560">
      <w:pPr>
        <w:spacing w:before="31" w:line="204" w:lineRule="auto"/>
        <w:ind w:left="250" w:right="411"/>
        <w:jc w:val="both"/>
        <w:rPr>
          <w:sz w:val="16"/>
        </w:rPr>
      </w:pPr>
      <w:r>
        <w:rPr>
          <w:color w:val="231F20"/>
          <w:position w:val="5"/>
          <w:sz w:val="9"/>
        </w:rPr>
        <w:t xml:space="preserve">3 </w:t>
      </w:r>
      <w:r>
        <w:rPr>
          <w:color w:val="231F20"/>
          <w:sz w:val="16"/>
        </w:rPr>
        <w:t xml:space="preserve">Медіація як процедура врегулювання спорів шляхом досягнення консенсусу. </w:t>
      </w:r>
      <w:r>
        <w:rPr>
          <w:i/>
          <w:color w:val="231F20"/>
          <w:sz w:val="16"/>
        </w:rPr>
        <w:t>Бюле- тень Міністерства юстиції України</w:t>
      </w:r>
      <w:r>
        <w:rPr>
          <w:color w:val="231F20"/>
          <w:sz w:val="16"/>
        </w:rPr>
        <w:t>. 2010. № 9. С.</w:t>
      </w:r>
      <w:r>
        <w:rPr>
          <w:color w:val="231F20"/>
          <w:spacing w:val="-10"/>
          <w:sz w:val="16"/>
        </w:rPr>
        <w:t xml:space="preserve"> </w:t>
      </w:r>
      <w:r>
        <w:rPr>
          <w:color w:val="231F20"/>
          <w:sz w:val="16"/>
        </w:rPr>
        <w:t>158-16</w:t>
      </w:r>
      <w:r>
        <w:rPr>
          <w:color w:val="231F20"/>
          <w:sz w:val="16"/>
        </w:rPr>
        <w:t>0.</w:t>
      </w:r>
    </w:p>
    <w:p w14:paraId="2B6BE5DD" w14:textId="77777777" w:rsidR="00DE575E" w:rsidRDefault="00DE575E">
      <w:pPr>
        <w:pStyle w:val="BodyText"/>
        <w:spacing w:before="5"/>
        <w:rPr>
          <w:sz w:val="12"/>
        </w:rPr>
      </w:pPr>
    </w:p>
    <w:p w14:paraId="655E0ADA" w14:textId="77777777" w:rsidR="00DE575E" w:rsidRDefault="002E7560">
      <w:pPr>
        <w:spacing w:before="92"/>
        <w:ind w:right="411"/>
        <w:jc w:val="right"/>
        <w:rPr>
          <w:rFonts w:ascii="Times New Roman"/>
          <w:sz w:val="20"/>
        </w:rPr>
      </w:pPr>
      <w:r>
        <w:rPr>
          <w:rFonts w:ascii="Times New Roman"/>
          <w:color w:val="231F20"/>
          <w:w w:val="90"/>
          <w:sz w:val="20"/>
        </w:rPr>
        <w:t>321</w:t>
      </w:r>
    </w:p>
    <w:p w14:paraId="63D3368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8E05B2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2167750" w14:textId="679E54C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DA8C4A5" wp14:editId="029D4CF7">
                <wp:extent cx="4140200" cy="6350"/>
                <wp:effectExtent l="0" t="0" r="12700" b="6350"/>
                <wp:docPr id="610"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11" name="Line 61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860F4D" id="Group_x0020_60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4W9len4CAACYBQAADgAA&#10;AAAAAAAAAAAAAAAsAgAAZHJzL2Uyb0RvYy54bWxQSwECLQAUAAYACAAAACEATKewkNkAAAADAQAA&#10;DwAAAAAAAAAAAAAAAADWBAAAZHJzL2Rvd25yZXYueG1sUEsFBgAAAAAEAAQA8wAAANwFAAAAAA==&#10;">
                <v:line id="Line_x0020_61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u3VsYAAADcAAAADwAAAGRycy9kb3ducmV2LnhtbESP0WrCQBRE3wv+w3KFvhTdREEkuooI&#10;heKDtsYPuGZvk9DduzG7mtSvdwsFH4eZOcMs17014katrx0rSMcJCOLC6ZpLBaf8fTQH4QOyRuOY&#10;FPySh/Vq8LLETLuOv+h2DKWIEPYZKqhCaDIpfVGRRT92DXH0vl1rMUTZllK32EW4NXKSJDNpsea4&#10;UGFD24qKn+PVKsgvb8F8Hnamyw/nqTxf9tP7da/U67DfLEAE6sMz/N/+0ApmaQp/Z+IRkK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27t1bGAAAA3AAAAA8AAAAAAAAA&#10;AAAAAAAAoQIAAGRycy9kb3ducmV2LnhtbFBLBQYAAAAABAAEAPkAAACUAwAAAAA=&#10;" strokecolor="#231f20" strokeweight=".5pt"/>
                <w10:anchorlock/>
              </v:group>
            </w:pict>
          </mc:Fallback>
        </mc:AlternateContent>
      </w:r>
    </w:p>
    <w:p w14:paraId="02EBE0C1" w14:textId="77777777" w:rsidR="00DE575E" w:rsidRDefault="00DE575E">
      <w:pPr>
        <w:pStyle w:val="BodyText"/>
        <w:spacing w:before="7"/>
        <w:rPr>
          <w:rFonts w:ascii="AdonisC"/>
          <w:i/>
          <w:sz w:val="11"/>
        </w:rPr>
      </w:pPr>
    </w:p>
    <w:p w14:paraId="2E19F16E" w14:textId="77777777" w:rsidR="00DE575E" w:rsidRDefault="002E7560">
      <w:pPr>
        <w:pStyle w:val="BodyText"/>
        <w:spacing w:before="101" w:line="252" w:lineRule="auto"/>
        <w:ind w:left="533" w:right="127" w:firstLine="283"/>
        <w:jc w:val="right"/>
      </w:pPr>
      <w:r>
        <w:rPr>
          <w:color w:val="231F20"/>
        </w:rPr>
        <w:t xml:space="preserve">Чинне процесуальне законодавство </w:t>
      </w:r>
      <w:r>
        <w:rPr>
          <w:color w:val="231F20"/>
          <w:spacing w:val="-3"/>
        </w:rPr>
        <w:t>України</w:t>
      </w:r>
      <w:r>
        <w:rPr>
          <w:color w:val="231F20"/>
          <w:spacing w:val="26"/>
        </w:rPr>
        <w:t xml:space="preserve"> </w:t>
      </w:r>
      <w:r>
        <w:rPr>
          <w:color w:val="231F20"/>
        </w:rPr>
        <w:t>відносить</w:t>
      </w:r>
      <w:r>
        <w:rPr>
          <w:color w:val="231F20"/>
          <w:spacing w:val="16"/>
        </w:rPr>
        <w:t xml:space="preserve"> </w:t>
      </w:r>
      <w:r>
        <w:rPr>
          <w:color w:val="231F20"/>
        </w:rPr>
        <w:t>медіацію до альтернативних способів вирішення спорів і</w:t>
      </w:r>
      <w:r>
        <w:rPr>
          <w:color w:val="231F20"/>
          <w:spacing w:val="13"/>
        </w:rPr>
        <w:t xml:space="preserve"> </w:t>
      </w:r>
      <w:r>
        <w:rPr>
          <w:color w:val="231F20"/>
        </w:rPr>
        <w:t>передбачає</w:t>
      </w:r>
      <w:r>
        <w:rPr>
          <w:color w:val="231F20"/>
          <w:spacing w:val="10"/>
        </w:rPr>
        <w:t xml:space="preserve"> </w:t>
      </w:r>
      <w:r>
        <w:rPr>
          <w:color w:val="231F20"/>
        </w:rPr>
        <w:t>можли- вість</w:t>
      </w:r>
      <w:r>
        <w:rPr>
          <w:color w:val="231F20"/>
          <w:spacing w:val="28"/>
        </w:rPr>
        <w:t xml:space="preserve"> </w:t>
      </w:r>
      <w:r>
        <w:rPr>
          <w:color w:val="231F20"/>
        </w:rPr>
        <w:t>застосування</w:t>
      </w:r>
      <w:r>
        <w:rPr>
          <w:color w:val="231F20"/>
          <w:spacing w:val="28"/>
        </w:rPr>
        <w:t xml:space="preserve"> </w:t>
      </w:r>
      <w:r>
        <w:rPr>
          <w:color w:val="231F20"/>
        </w:rPr>
        <w:t>процедури</w:t>
      </w:r>
      <w:r>
        <w:rPr>
          <w:color w:val="231F20"/>
          <w:spacing w:val="28"/>
        </w:rPr>
        <w:t xml:space="preserve"> </w:t>
      </w:r>
      <w:r>
        <w:rPr>
          <w:color w:val="231F20"/>
        </w:rPr>
        <w:t>примирення</w:t>
      </w:r>
      <w:r>
        <w:rPr>
          <w:color w:val="231F20"/>
          <w:spacing w:val="27"/>
        </w:rPr>
        <w:t xml:space="preserve"> </w:t>
      </w:r>
      <w:r>
        <w:rPr>
          <w:color w:val="231F20"/>
        </w:rPr>
        <w:t>до,</w:t>
      </w:r>
      <w:r>
        <w:rPr>
          <w:color w:val="231F20"/>
          <w:spacing w:val="28"/>
        </w:rPr>
        <w:t xml:space="preserve"> </w:t>
      </w:r>
      <w:r>
        <w:rPr>
          <w:color w:val="231F20"/>
        </w:rPr>
        <w:t>під</w:t>
      </w:r>
      <w:r>
        <w:rPr>
          <w:color w:val="231F20"/>
          <w:spacing w:val="28"/>
        </w:rPr>
        <w:t xml:space="preserve"> </w:t>
      </w:r>
      <w:r>
        <w:rPr>
          <w:color w:val="231F20"/>
        </w:rPr>
        <w:t>час</w:t>
      </w:r>
      <w:r>
        <w:rPr>
          <w:color w:val="231F20"/>
          <w:spacing w:val="28"/>
        </w:rPr>
        <w:t xml:space="preserve"> </w:t>
      </w:r>
      <w:r>
        <w:rPr>
          <w:color w:val="231F20"/>
        </w:rPr>
        <w:t>або</w:t>
      </w:r>
      <w:r>
        <w:rPr>
          <w:color w:val="231F20"/>
          <w:spacing w:val="28"/>
        </w:rPr>
        <w:t xml:space="preserve"> </w:t>
      </w:r>
      <w:r>
        <w:rPr>
          <w:color w:val="231F20"/>
        </w:rPr>
        <w:t>замість</w:t>
      </w:r>
      <w:r>
        <w:rPr>
          <w:color w:val="231F20"/>
          <w:spacing w:val="-1"/>
        </w:rPr>
        <w:t xml:space="preserve"> </w:t>
      </w:r>
      <w:r>
        <w:rPr>
          <w:color w:val="231F20"/>
        </w:rPr>
        <w:t>звернення</w:t>
      </w:r>
      <w:r>
        <w:rPr>
          <w:color w:val="231F20"/>
          <w:spacing w:val="21"/>
        </w:rPr>
        <w:t xml:space="preserve"> </w:t>
      </w:r>
      <w:r>
        <w:rPr>
          <w:color w:val="231F20"/>
        </w:rPr>
        <w:t>до</w:t>
      </w:r>
      <w:r>
        <w:rPr>
          <w:color w:val="231F20"/>
          <w:spacing w:val="21"/>
        </w:rPr>
        <w:t xml:space="preserve"> </w:t>
      </w:r>
      <w:r>
        <w:rPr>
          <w:color w:val="231F20"/>
          <w:spacing w:val="-7"/>
        </w:rPr>
        <w:t>суду.</w:t>
      </w:r>
      <w:r>
        <w:rPr>
          <w:color w:val="231F20"/>
          <w:spacing w:val="21"/>
        </w:rPr>
        <w:t xml:space="preserve"> </w:t>
      </w:r>
      <w:r>
        <w:rPr>
          <w:color w:val="231F20"/>
        </w:rPr>
        <w:t>Відповідно</w:t>
      </w:r>
      <w:r>
        <w:rPr>
          <w:color w:val="231F20"/>
          <w:spacing w:val="21"/>
        </w:rPr>
        <w:t xml:space="preserve"> </w:t>
      </w:r>
      <w:r>
        <w:rPr>
          <w:color w:val="231F20"/>
        </w:rPr>
        <w:t>д</w:t>
      </w:r>
      <w:r>
        <w:rPr>
          <w:color w:val="231F20"/>
        </w:rPr>
        <w:t>о</w:t>
      </w:r>
      <w:r>
        <w:rPr>
          <w:color w:val="231F20"/>
          <w:spacing w:val="21"/>
        </w:rPr>
        <w:t xml:space="preserve"> </w:t>
      </w:r>
      <w:r>
        <w:rPr>
          <w:color w:val="231F20"/>
          <w:spacing w:val="-6"/>
        </w:rPr>
        <w:t xml:space="preserve">ст. </w:t>
      </w:r>
      <w:r>
        <w:rPr>
          <w:color w:val="231F20"/>
        </w:rPr>
        <w:t>124</w:t>
      </w:r>
      <w:r>
        <w:rPr>
          <w:color w:val="231F20"/>
          <w:spacing w:val="21"/>
        </w:rPr>
        <w:t xml:space="preserve"> </w:t>
      </w:r>
      <w:r>
        <w:rPr>
          <w:color w:val="231F20"/>
        </w:rPr>
        <w:t>Конституції</w:t>
      </w:r>
      <w:r>
        <w:rPr>
          <w:color w:val="231F20"/>
          <w:spacing w:val="21"/>
        </w:rPr>
        <w:t xml:space="preserve"> </w:t>
      </w:r>
      <w:r>
        <w:rPr>
          <w:color w:val="231F20"/>
          <w:spacing w:val="-3"/>
        </w:rPr>
        <w:t>України</w:t>
      </w:r>
      <w:r>
        <w:rPr>
          <w:color w:val="231F20"/>
          <w:spacing w:val="21"/>
        </w:rPr>
        <w:t xml:space="preserve"> </w:t>
      </w:r>
      <w:r>
        <w:rPr>
          <w:color w:val="231F20"/>
          <w:spacing w:val="-3"/>
        </w:rPr>
        <w:t>судо-</w:t>
      </w:r>
      <w:r>
        <w:rPr>
          <w:color w:val="231F20"/>
        </w:rPr>
        <w:t xml:space="preserve"> чинство в </w:t>
      </w:r>
      <w:r>
        <w:rPr>
          <w:color w:val="231F20"/>
          <w:spacing w:val="-3"/>
        </w:rPr>
        <w:t xml:space="preserve">Україні </w:t>
      </w:r>
      <w:r>
        <w:rPr>
          <w:color w:val="231F20"/>
        </w:rPr>
        <w:t xml:space="preserve">здійснюється виключно </w:t>
      </w:r>
      <w:r>
        <w:rPr>
          <w:color w:val="231F20"/>
          <w:spacing w:val="-3"/>
        </w:rPr>
        <w:t xml:space="preserve">судами. </w:t>
      </w:r>
      <w:r>
        <w:rPr>
          <w:color w:val="231F20"/>
        </w:rPr>
        <w:t>Згідно зі</w:t>
      </w:r>
      <w:r>
        <w:rPr>
          <w:color w:val="231F20"/>
          <w:spacing w:val="7"/>
        </w:rPr>
        <w:t xml:space="preserve"> </w:t>
      </w:r>
      <w:r>
        <w:rPr>
          <w:color w:val="231F20"/>
          <w:spacing w:val="-6"/>
        </w:rPr>
        <w:t>ст.</w:t>
      </w:r>
      <w:r>
        <w:rPr>
          <w:color w:val="231F20"/>
          <w:spacing w:val="-5"/>
        </w:rPr>
        <w:t xml:space="preserve"> </w:t>
      </w:r>
      <w:r>
        <w:rPr>
          <w:color w:val="231F20"/>
        </w:rPr>
        <w:t xml:space="preserve">55 Конституції </w:t>
      </w:r>
      <w:r>
        <w:rPr>
          <w:color w:val="231F20"/>
          <w:spacing w:val="-3"/>
        </w:rPr>
        <w:t xml:space="preserve">України </w:t>
      </w:r>
      <w:r>
        <w:rPr>
          <w:color w:val="231F20"/>
        </w:rPr>
        <w:t xml:space="preserve">гарантується </w:t>
      </w:r>
      <w:r>
        <w:rPr>
          <w:color w:val="231F20"/>
          <w:spacing w:val="-3"/>
        </w:rPr>
        <w:t xml:space="preserve">судовий </w:t>
      </w:r>
      <w:r>
        <w:rPr>
          <w:color w:val="231F20"/>
        </w:rPr>
        <w:t>захист</w:t>
      </w:r>
      <w:r>
        <w:rPr>
          <w:color w:val="231F20"/>
          <w:spacing w:val="-4"/>
        </w:rPr>
        <w:t xml:space="preserve"> </w:t>
      </w:r>
      <w:r>
        <w:rPr>
          <w:color w:val="231F20"/>
        </w:rPr>
        <w:t>та</w:t>
      </w:r>
      <w:r>
        <w:rPr>
          <w:color w:val="231F20"/>
          <w:spacing w:val="-2"/>
        </w:rPr>
        <w:t xml:space="preserve"> </w:t>
      </w:r>
      <w:r>
        <w:rPr>
          <w:color w:val="231F20"/>
        </w:rPr>
        <w:t>забезпечується право</w:t>
      </w:r>
      <w:r>
        <w:rPr>
          <w:color w:val="231F20"/>
          <w:spacing w:val="20"/>
        </w:rPr>
        <w:t xml:space="preserve"> </w:t>
      </w:r>
      <w:r>
        <w:rPr>
          <w:color w:val="231F20"/>
        </w:rPr>
        <w:t>кожного</w:t>
      </w:r>
      <w:r>
        <w:rPr>
          <w:color w:val="231F20"/>
          <w:spacing w:val="20"/>
        </w:rPr>
        <w:t xml:space="preserve"> </w:t>
      </w:r>
      <w:r>
        <w:rPr>
          <w:color w:val="231F20"/>
        </w:rPr>
        <w:t>будь-якими</w:t>
      </w:r>
      <w:r>
        <w:rPr>
          <w:color w:val="231F20"/>
          <w:spacing w:val="20"/>
        </w:rPr>
        <w:t xml:space="preserve"> </w:t>
      </w:r>
      <w:r>
        <w:rPr>
          <w:color w:val="231F20"/>
        </w:rPr>
        <w:t>не</w:t>
      </w:r>
      <w:r>
        <w:rPr>
          <w:color w:val="231F20"/>
          <w:spacing w:val="20"/>
        </w:rPr>
        <w:t xml:space="preserve"> </w:t>
      </w:r>
      <w:r>
        <w:rPr>
          <w:color w:val="231F20"/>
        </w:rPr>
        <w:t>забороненими</w:t>
      </w:r>
      <w:r>
        <w:rPr>
          <w:color w:val="231F20"/>
          <w:spacing w:val="20"/>
        </w:rPr>
        <w:t xml:space="preserve"> </w:t>
      </w:r>
      <w:r>
        <w:rPr>
          <w:color w:val="231F20"/>
        </w:rPr>
        <w:t>законом</w:t>
      </w:r>
      <w:r>
        <w:rPr>
          <w:color w:val="231F20"/>
          <w:spacing w:val="20"/>
        </w:rPr>
        <w:t xml:space="preserve"> </w:t>
      </w:r>
      <w:r>
        <w:rPr>
          <w:color w:val="231F20"/>
        </w:rPr>
        <w:t>засобами</w:t>
      </w:r>
      <w:r>
        <w:rPr>
          <w:color w:val="231F20"/>
          <w:spacing w:val="-1"/>
        </w:rPr>
        <w:t xml:space="preserve"> </w:t>
      </w:r>
      <w:r>
        <w:rPr>
          <w:color w:val="231F20"/>
        </w:rPr>
        <w:t>захищати</w:t>
      </w:r>
      <w:r>
        <w:rPr>
          <w:color w:val="231F20"/>
          <w:spacing w:val="22"/>
        </w:rPr>
        <w:t xml:space="preserve"> </w:t>
      </w:r>
      <w:r>
        <w:rPr>
          <w:color w:val="231F20"/>
        </w:rPr>
        <w:t>свої</w:t>
      </w:r>
      <w:r>
        <w:rPr>
          <w:color w:val="231F20"/>
          <w:spacing w:val="22"/>
        </w:rPr>
        <w:t xml:space="preserve"> </w:t>
      </w:r>
      <w:r>
        <w:rPr>
          <w:color w:val="231F20"/>
        </w:rPr>
        <w:t>права</w:t>
      </w:r>
      <w:r>
        <w:rPr>
          <w:color w:val="231F20"/>
          <w:spacing w:val="22"/>
        </w:rPr>
        <w:t xml:space="preserve"> </w:t>
      </w:r>
      <w:r>
        <w:rPr>
          <w:color w:val="231F20"/>
        </w:rPr>
        <w:t>і</w:t>
      </w:r>
      <w:r>
        <w:rPr>
          <w:color w:val="231F20"/>
          <w:spacing w:val="22"/>
        </w:rPr>
        <w:t xml:space="preserve"> </w:t>
      </w:r>
      <w:r>
        <w:rPr>
          <w:color w:val="231F20"/>
        </w:rPr>
        <w:t>свободи</w:t>
      </w:r>
      <w:r>
        <w:rPr>
          <w:color w:val="231F20"/>
          <w:spacing w:val="22"/>
        </w:rPr>
        <w:t xml:space="preserve"> </w:t>
      </w:r>
      <w:r>
        <w:rPr>
          <w:color w:val="231F20"/>
        </w:rPr>
        <w:t>від</w:t>
      </w:r>
      <w:r>
        <w:rPr>
          <w:color w:val="231F20"/>
          <w:spacing w:val="22"/>
        </w:rPr>
        <w:t xml:space="preserve"> </w:t>
      </w:r>
      <w:r>
        <w:rPr>
          <w:color w:val="231F20"/>
        </w:rPr>
        <w:t>порушень</w:t>
      </w:r>
      <w:r>
        <w:rPr>
          <w:color w:val="231F20"/>
          <w:spacing w:val="22"/>
        </w:rPr>
        <w:t xml:space="preserve"> </w:t>
      </w:r>
      <w:r>
        <w:rPr>
          <w:color w:val="231F20"/>
        </w:rPr>
        <w:t>і</w:t>
      </w:r>
      <w:r>
        <w:rPr>
          <w:color w:val="231F20"/>
          <w:spacing w:val="22"/>
        </w:rPr>
        <w:t xml:space="preserve"> </w:t>
      </w:r>
      <w:r>
        <w:rPr>
          <w:color w:val="231F20"/>
        </w:rPr>
        <w:t>протиправних</w:t>
      </w:r>
      <w:r>
        <w:rPr>
          <w:color w:val="231F20"/>
          <w:spacing w:val="22"/>
        </w:rPr>
        <w:t xml:space="preserve"> </w:t>
      </w:r>
      <w:r>
        <w:rPr>
          <w:color w:val="231F20"/>
        </w:rPr>
        <w:t>пося- гань. Це конституційне право не може бути скасоване</w:t>
      </w:r>
      <w:r>
        <w:rPr>
          <w:color w:val="231F20"/>
          <w:spacing w:val="-5"/>
        </w:rPr>
        <w:t xml:space="preserve"> </w:t>
      </w:r>
      <w:r>
        <w:rPr>
          <w:color w:val="231F20"/>
        </w:rPr>
        <w:t>або</w:t>
      </w:r>
      <w:r>
        <w:rPr>
          <w:color w:val="231F20"/>
          <w:spacing w:val="-1"/>
        </w:rPr>
        <w:t xml:space="preserve"> </w:t>
      </w:r>
      <w:r>
        <w:rPr>
          <w:color w:val="231F20"/>
        </w:rPr>
        <w:t xml:space="preserve">обмежене </w:t>
      </w:r>
      <w:r>
        <w:rPr>
          <w:color w:val="231F20"/>
          <w:spacing w:val="-5"/>
        </w:rPr>
        <w:t xml:space="preserve">(ст. </w:t>
      </w:r>
      <w:r>
        <w:rPr>
          <w:color w:val="231F20"/>
          <w:spacing w:val="-6"/>
        </w:rPr>
        <w:t xml:space="preserve">ст. </w:t>
      </w:r>
      <w:r>
        <w:rPr>
          <w:color w:val="231F20"/>
        </w:rPr>
        <w:t xml:space="preserve">22, 64 Конституції </w:t>
      </w:r>
      <w:r>
        <w:rPr>
          <w:color w:val="231F20"/>
          <w:spacing w:val="-3"/>
        </w:rPr>
        <w:t xml:space="preserve">України). </w:t>
      </w:r>
      <w:r>
        <w:rPr>
          <w:color w:val="231F20"/>
        </w:rPr>
        <w:t>Не існує</w:t>
      </w:r>
      <w:r>
        <w:rPr>
          <w:color w:val="231F20"/>
          <w:spacing w:val="40"/>
        </w:rPr>
        <w:t xml:space="preserve"> </w:t>
      </w:r>
      <w:r>
        <w:rPr>
          <w:color w:val="231F20"/>
        </w:rPr>
        <w:t>виключного</w:t>
      </w:r>
      <w:r>
        <w:rPr>
          <w:color w:val="231F20"/>
          <w:spacing w:val="43"/>
        </w:rPr>
        <w:t xml:space="preserve"> </w:t>
      </w:r>
      <w:r>
        <w:rPr>
          <w:color w:val="231F20"/>
        </w:rPr>
        <w:t>переліку можливих</w:t>
      </w:r>
      <w:r>
        <w:rPr>
          <w:color w:val="231F20"/>
          <w:spacing w:val="7"/>
        </w:rPr>
        <w:t xml:space="preserve"> </w:t>
      </w:r>
      <w:r>
        <w:rPr>
          <w:color w:val="231F20"/>
        </w:rPr>
        <w:t>і</w:t>
      </w:r>
      <w:r>
        <w:rPr>
          <w:color w:val="231F20"/>
          <w:spacing w:val="7"/>
        </w:rPr>
        <w:t xml:space="preserve"> </w:t>
      </w:r>
      <w:r>
        <w:rPr>
          <w:color w:val="231F20"/>
        </w:rPr>
        <w:t>допустимих</w:t>
      </w:r>
      <w:r>
        <w:rPr>
          <w:color w:val="231F20"/>
          <w:spacing w:val="7"/>
        </w:rPr>
        <w:t xml:space="preserve"> </w:t>
      </w:r>
      <w:r>
        <w:rPr>
          <w:color w:val="231F20"/>
        </w:rPr>
        <w:t>засобів</w:t>
      </w:r>
      <w:r>
        <w:rPr>
          <w:color w:val="231F20"/>
          <w:spacing w:val="6"/>
        </w:rPr>
        <w:t xml:space="preserve"> </w:t>
      </w:r>
      <w:r>
        <w:rPr>
          <w:color w:val="231F20"/>
        </w:rPr>
        <w:t>захисту</w:t>
      </w:r>
      <w:r>
        <w:rPr>
          <w:color w:val="231F20"/>
          <w:spacing w:val="7"/>
        </w:rPr>
        <w:t xml:space="preserve"> </w:t>
      </w:r>
      <w:r>
        <w:rPr>
          <w:color w:val="231F20"/>
        </w:rPr>
        <w:t>прав</w:t>
      </w:r>
      <w:r>
        <w:rPr>
          <w:color w:val="231F20"/>
          <w:spacing w:val="7"/>
        </w:rPr>
        <w:t xml:space="preserve"> </w:t>
      </w:r>
      <w:r>
        <w:rPr>
          <w:color w:val="231F20"/>
        </w:rPr>
        <w:t>та</w:t>
      </w:r>
      <w:r>
        <w:rPr>
          <w:color w:val="231F20"/>
          <w:spacing w:val="7"/>
        </w:rPr>
        <w:t xml:space="preserve"> </w:t>
      </w:r>
      <w:r>
        <w:rPr>
          <w:color w:val="231F20"/>
        </w:rPr>
        <w:t>інтересів</w:t>
      </w:r>
      <w:r>
        <w:rPr>
          <w:color w:val="231F20"/>
          <w:spacing w:val="7"/>
        </w:rPr>
        <w:t xml:space="preserve"> </w:t>
      </w:r>
      <w:r>
        <w:rPr>
          <w:color w:val="231F20"/>
        </w:rPr>
        <w:t>осіб,</w:t>
      </w:r>
      <w:r>
        <w:rPr>
          <w:color w:val="231F20"/>
          <w:spacing w:val="7"/>
        </w:rPr>
        <w:t xml:space="preserve"> </w:t>
      </w:r>
      <w:r>
        <w:rPr>
          <w:color w:val="231F20"/>
        </w:rPr>
        <w:t>вони лише</w:t>
      </w:r>
      <w:r>
        <w:rPr>
          <w:color w:val="231F20"/>
          <w:spacing w:val="-13"/>
        </w:rPr>
        <w:t xml:space="preserve"> </w:t>
      </w:r>
      <w:r>
        <w:rPr>
          <w:color w:val="231F20"/>
        </w:rPr>
        <w:t>не</w:t>
      </w:r>
      <w:r>
        <w:rPr>
          <w:color w:val="231F20"/>
          <w:spacing w:val="-13"/>
        </w:rPr>
        <w:t xml:space="preserve"> </w:t>
      </w:r>
      <w:r>
        <w:rPr>
          <w:color w:val="231F20"/>
        </w:rPr>
        <w:t>мають</w:t>
      </w:r>
      <w:r>
        <w:rPr>
          <w:color w:val="231F20"/>
          <w:spacing w:val="-13"/>
        </w:rPr>
        <w:t xml:space="preserve"> </w:t>
      </w:r>
      <w:r>
        <w:rPr>
          <w:color w:val="231F20"/>
        </w:rPr>
        <w:t>суперечити</w:t>
      </w:r>
      <w:r>
        <w:rPr>
          <w:color w:val="231F20"/>
          <w:spacing w:val="-13"/>
        </w:rPr>
        <w:t xml:space="preserve"> </w:t>
      </w:r>
      <w:r>
        <w:rPr>
          <w:color w:val="231F20"/>
          <w:spacing w:val="-3"/>
        </w:rPr>
        <w:t>закону.</w:t>
      </w:r>
      <w:r>
        <w:rPr>
          <w:color w:val="231F20"/>
          <w:spacing w:val="-13"/>
        </w:rPr>
        <w:t xml:space="preserve"> </w:t>
      </w:r>
      <w:r>
        <w:rPr>
          <w:color w:val="231F20"/>
        </w:rPr>
        <w:t>Тим</w:t>
      </w:r>
      <w:r>
        <w:rPr>
          <w:color w:val="231F20"/>
          <w:spacing w:val="-13"/>
        </w:rPr>
        <w:t xml:space="preserve"> </w:t>
      </w:r>
      <w:r>
        <w:rPr>
          <w:color w:val="231F20"/>
        </w:rPr>
        <w:t>самим</w:t>
      </w:r>
      <w:r>
        <w:rPr>
          <w:color w:val="231F20"/>
          <w:spacing w:val="-13"/>
        </w:rPr>
        <w:t xml:space="preserve"> </w:t>
      </w:r>
      <w:r>
        <w:rPr>
          <w:color w:val="231F20"/>
        </w:rPr>
        <w:t>право</w:t>
      </w:r>
      <w:r>
        <w:rPr>
          <w:color w:val="231F20"/>
          <w:spacing w:val="-13"/>
        </w:rPr>
        <w:t xml:space="preserve"> </w:t>
      </w:r>
      <w:r>
        <w:rPr>
          <w:color w:val="231F20"/>
        </w:rPr>
        <w:t>на</w:t>
      </w:r>
      <w:r>
        <w:rPr>
          <w:color w:val="231F20"/>
          <w:spacing w:val="-13"/>
        </w:rPr>
        <w:t xml:space="preserve"> </w:t>
      </w:r>
      <w:r>
        <w:rPr>
          <w:color w:val="231F20"/>
        </w:rPr>
        <w:t>звернення</w:t>
      </w:r>
      <w:r>
        <w:rPr>
          <w:color w:val="231F20"/>
          <w:spacing w:val="-13"/>
        </w:rPr>
        <w:t xml:space="preserve"> </w:t>
      </w:r>
      <w:r>
        <w:rPr>
          <w:color w:val="231F20"/>
        </w:rPr>
        <w:t>до</w:t>
      </w:r>
      <w:r>
        <w:rPr>
          <w:color w:val="231F20"/>
          <w:spacing w:val="-1"/>
        </w:rPr>
        <w:t xml:space="preserve"> </w:t>
      </w:r>
      <w:r>
        <w:rPr>
          <w:color w:val="231F20"/>
        </w:rPr>
        <w:t>альтернативних методів вирішення спорів</w:t>
      </w:r>
      <w:r>
        <w:rPr>
          <w:color w:val="231F20"/>
          <w:spacing w:val="-26"/>
        </w:rPr>
        <w:t xml:space="preserve"> </w:t>
      </w:r>
      <w:r>
        <w:rPr>
          <w:color w:val="231F20"/>
        </w:rPr>
        <w:t>забезпечується</w:t>
      </w:r>
      <w:r>
        <w:rPr>
          <w:color w:val="231F20"/>
          <w:spacing w:val="-7"/>
        </w:rPr>
        <w:t xml:space="preserve"> </w:t>
      </w:r>
      <w:r>
        <w:rPr>
          <w:color w:val="231F20"/>
        </w:rPr>
        <w:t>законом. Альтернативне вирішення спорів</w:t>
      </w:r>
      <w:r>
        <w:rPr>
          <w:color w:val="231F20"/>
          <w:position w:val="7"/>
          <w:sz w:val="12"/>
        </w:rPr>
        <w:t xml:space="preserve">1 </w:t>
      </w:r>
      <w:r>
        <w:rPr>
          <w:color w:val="231F20"/>
        </w:rPr>
        <w:t>(далі – АВС)</w:t>
      </w:r>
      <w:r>
        <w:rPr>
          <w:color w:val="231F20"/>
          <w:spacing w:val="3"/>
        </w:rPr>
        <w:t xml:space="preserve"> </w:t>
      </w:r>
      <w:r>
        <w:rPr>
          <w:color w:val="231F20"/>
        </w:rPr>
        <w:t>має</w:t>
      </w:r>
      <w:r>
        <w:rPr>
          <w:color w:val="231F20"/>
          <w:spacing w:val="8"/>
        </w:rPr>
        <w:t xml:space="preserve"> </w:t>
      </w:r>
      <w:r>
        <w:rPr>
          <w:color w:val="231F20"/>
        </w:rPr>
        <w:t>основною метою подолання конфлікту між сторонами зі</w:t>
      </w:r>
      <w:r>
        <w:rPr>
          <w:color w:val="231F20"/>
          <w:spacing w:val="6"/>
        </w:rPr>
        <w:t xml:space="preserve"> </w:t>
      </w:r>
      <w:r>
        <w:rPr>
          <w:color w:val="231F20"/>
        </w:rPr>
        <w:t>збереженням</w:t>
      </w:r>
      <w:r>
        <w:rPr>
          <w:color w:val="231F20"/>
          <w:spacing w:val="31"/>
        </w:rPr>
        <w:t xml:space="preserve"> </w:t>
      </w:r>
      <w:r>
        <w:rPr>
          <w:color w:val="231F20"/>
        </w:rPr>
        <w:t>їх подальшого</w:t>
      </w:r>
      <w:r>
        <w:rPr>
          <w:color w:val="231F20"/>
          <w:spacing w:val="-11"/>
        </w:rPr>
        <w:t xml:space="preserve"> </w:t>
      </w:r>
      <w:r>
        <w:rPr>
          <w:color w:val="231F20"/>
        </w:rPr>
        <w:t>співробітництв</w:t>
      </w:r>
      <w:r>
        <w:rPr>
          <w:color w:val="231F20"/>
        </w:rPr>
        <w:t>а.</w:t>
      </w:r>
      <w:r>
        <w:rPr>
          <w:color w:val="231F20"/>
          <w:spacing w:val="-11"/>
        </w:rPr>
        <w:t xml:space="preserve"> </w:t>
      </w:r>
      <w:r>
        <w:rPr>
          <w:color w:val="231F20"/>
        </w:rPr>
        <w:t>Основою</w:t>
      </w:r>
      <w:r>
        <w:rPr>
          <w:color w:val="231F20"/>
          <w:spacing w:val="-11"/>
        </w:rPr>
        <w:t xml:space="preserve"> </w:t>
      </w:r>
      <w:r>
        <w:rPr>
          <w:color w:val="231F20"/>
        </w:rPr>
        <w:t>всіх</w:t>
      </w:r>
      <w:r>
        <w:rPr>
          <w:color w:val="231F20"/>
          <w:spacing w:val="-11"/>
        </w:rPr>
        <w:t xml:space="preserve"> </w:t>
      </w:r>
      <w:r>
        <w:rPr>
          <w:color w:val="231F20"/>
        </w:rPr>
        <w:t>методів</w:t>
      </w:r>
      <w:r>
        <w:rPr>
          <w:color w:val="231F20"/>
          <w:spacing w:val="-11"/>
        </w:rPr>
        <w:t xml:space="preserve"> </w:t>
      </w:r>
      <w:r>
        <w:rPr>
          <w:color w:val="231F20"/>
        </w:rPr>
        <w:t>АВС</w:t>
      </w:r>
      <w:r>
        <w:rPr>
          <w:color w:val="231F20"/>
          <w:spacing w:val="-11"/>
        </w:rPr>
        <w:t xml:space="preserve"> </w:t>
      </w:r>
      <w:r>
        <w:rPr>
          <w:color w:val="231F20"/>
        </w:rPr>
        <w:t>є</w:t>
      </w:r>
      <w:r>
        <w:rPr>
          <w:color w:val="231F20"/>
          <w:spacing w:val="-9"/>
        </w:rPr>
        <w:t xml:space="preserve"> </w:t>
      </w:r>
      <w:r>
        <w:rPr>
          <w:color w:val="231F20"/>
        </w:rPr>
        <w:t>з’ясування</w:t>
      </w:r>
      <w:r>
        <w:rPr>
          <w:color w:val="231F20"/>
          <w:spacing w:val="-1"/>
        </w:rPr>
        <w:t xml:space="preserve"> </w:t>
      </w:r>
      <w:r>
        <w:rPr>
          <w:color w:val="231F20"/>
        </w:rPr>
        <w:t>та</w:t>
      </w:r>
      <w:r>
        <w:rPr>
          <w:color w:val="231F20"/>
          <w:spacing w:val="21"/>
        </w:rPr>
        <w:t xml:space="preserve"> </w:t>
      </w:r>
      <w:r>
        <w:rPr>
          <w:color w:val="231F20"/>
        </w:rPr>
        <w:t>задоволення</w:t>
      </w:r>
      <w:r>
        <w:rPr>
          <w:color w:val="231F20"/>
          <w:spacing w:val="21"/>
        </w:rPr>
        <w:t xml:space="preserve"> </w:t>
      </w:r>
      <w:r>
        <w:rPr>
          <w:color w:val="231F20"/>
        </w:rPr>
        <w:t>інтересів</w:t>
      </w:r>
      <w:r>
        <w:rPr>
          <w:color w:val="231F20"/>
          <w:spacing w:val="21"/>
        </w:rPr>
        <w:t xml:space="preserve"> </w:t>
      </w:r>
      <w:r>
        <w:rPr>
          <w:color w:val="231F20"/>
        </w:rPr>
        <w:t>конфліктуючих</w:t>
      </w:r>
      <w:r>
        <w:rPr>
          <w:color w:val="231F20"/>
          <w:spacing w:val="21"/>
        </w:rPr>
        <w:t xml:space="preserve"> </w:t>
      </w:r>
      <w:r>
        <w:rPr>
          <w:color w:val="231F20"/>
        </w:rPr>
        <w:t>сторін</w:t>
      </w:r>
      <w:r>
        <w:rPr>
          <w:color w:val="231F20"/>
          <w:spacing w:val="21"/>
        </w:rPr>
        <w:t xml:space="preserve"> </w:t>
      </w:r>
      <w:r>
        <w:rPr>
          <w:color w:val="231F20"/>
        </w:rPr>
        <w:t>на</w:t>
      </w:r>
      <w:r>
        <w:rPr>
          <w:color w:val="231F20"/>
          <w:spacing w:val="21"/>
        </w:rPr>
        <w:t xml:space="preserve"> </w:t>
      </w:r>
      <w:r>
        <w:rPr>
          <w:color w:val="231F20"/>
        </w:rPr>
        <w:t>основі</w:t>
      </w:r>
      <w:r>
        <w:rPr>
          <w:color w:val="231F20"/>
          <w:spacing w:val="21"/>
        </w:rPr>
        <w:t xml:space="preserve"> </w:t>
      </w:r>
      <w:r>
        <w:rPr>
          <w:color w:val="231F20"/>
        </w:rPr>
        <w:t xml:space="preserve">компро- </w:t>
      </w:r>
      <w:r>
        <w:rPr>
          <w:color w:val="231F20"/>
          <w:spacing w:val="-4"/>
        </w:rPr>
        <w:t>місу.</w:t>
      </w:r>
      <w:r>
        <w:rPr>
          <w:color w:val="231F20"/>
          <w:spacing w:val="-9"/>
        </w:rPr>
        <w:t xml:space="preserve"> </w:t>
      </w:r>
      <w:r>
        <w:rPr>
          <w:color w:val="231F20"/>
        </w:rPr>
        <w:t>Інша</w:t>
      </w:r>
      <w:r>
        <w:rPr>
          <w:color w:val="231F20"/>
          <w:spacing w:val="-9"/>
        </w:rPr>
        <w:t xml:space="preserve"> </w:t>
      </w:r>
      <w:r>
        <w:rPr>
          <w:color w:val="231F20"/>
        </w:rPr>
        <w:t>позиція</w:t>
      </w:r>
      <w:r>
        <w:rPr>
          <w:color w:val="231F20"/>
          <w:spacing w:val="-9"/>
        </w:rPr>
        <w:t xml:space="preserve"> </w:t>
      </w:r>
      <w:r>
        <w:rPr>
          <w:color w:val="231F20"/>
        </w:rPr>
        <w:t>виходить</w:t>
      </w:r>
      <w:r>
        <w:rPr>
          <w:color w:val="231F20"/>
          <w:spacing w:val="-9"/>
        </w:rPr>
        <w:t xml:space="preserve"> </w:t>
      </w:r>
      <w:r>
        <w:rPr>
          <w:color w:val="231F20"/>
        </w:rPr>
        <w:t>із</w:t>
      </w:r>
      <w:r>
        <w:rPr>
          <w:color w:val="231F20"/>
          <w:spacing w:val="-9"/>
        </w:rPr>
        <w:t xml:space="preserve"> </w:t>
      </w:r>
      <w:r>
        <w:rPr>
          <w:color w:val="231F20"/>
        </w:rPr>
        <w:t>вузького</w:t>
      </w:r>
      <w:r>
        <w:rPr>
          <w:color w:val="231F20"/>
          <w:spacing w:val="-9"/>
        </w:rPr>
        <w:t xml:space="preserve"> </w:t>
      </w:r>
      <w:r>
        <w:rPr>
          <w:color w:val="231F20"/>
        </w:rPr>
        <w:t>тлумачення</w:t>
      </w:r>
      <w:r>
        <w:rPr>
          <w:color w:val="231F20"/>
          <w:spacing w:val="-9"/>
        </w:rPr>
        <w:t xml:space="preserve"> </w:t>
      </w:r>
      <w:r>
        <w:rPr>
          <w:color w:val="231F20"/>
        </w:rPr>
        <w:t>АВС.</w:t>
      </w:r>
      <w:r>
        <w:rPr>
          <w:color w:val="231F20"/>
          <w:spacing w:val="-9"/>
        </w:rPr>
        <w:t xml:space="preserve"> </w:t>
      </w:r>
      <w:r>
        <w:rPr>
          <w:color w:val="231F20"/>
        </w:rPr>
        <w:t>Наприклад,</w:t>
      </w:r>
      <w:r>
        <w:rPr>
          <w:color w:val="231F20"/>
          <w:spacing w:val="-1"/>
        </w:rPr>
        <w:t xml:space="preserve"> </w:t>
      </w:r>
      <w:r>
        <w:rPr>
          <w:color w:val="231F20"/>
        </w:rPr>
        <w:t>на</w:t>
      </w:r>
      <w:r>
        <w:rPr>
          <w:color w:val="231F20"/>
          <w:spacing w:val="35"/>
        </w:rPr>
        <w:t xml:space="preserve"> </w:t>
      </w:r>
      <w:r>
        <w:rPr>
          <w:color w:val="231F20"/>
        </w:rPr>
        <w:t>думку</w:t>
      </w:r>
      <w:r>
        <w:rPr>
          <w:color w:val="231F20"/>
          <w:spacing w:val="35"/>
        </w:rPr>
        <w:t xml:space="preserve"> </w:t>
      </w:r>
      <w:r>
        <w:rPr>
          <w:color w:val="231F20"/>
        </w:rPr>
        <w:t>М.</w:t>
      </w:r>
      <w:r>
        <w:rPr>
          <w:color w:val="231F20"/>
          <w:spacing w:val="-6"/>
        </w:rPr>
        <w:t xml:space="preserve"> </w:t>
      </w:r>
      <w:r>
        <w:rPr>
          <w:color w:val="231F20"/>
        </w:rPr>
        <w:t>Хантера,</w:t>
      </w:r>
      <w:r>
        <w:rPr>
          <w:color w:val="231F20"/>
          <w:spacing w:val="35"/>
        </w:rPr>
        <w:t xml:space="preserve"> </w:t>
      </w:r>
      <w:r>
        <w:rPr>
          <w:color w:val="231F20"/>
        </w:rPr>
        <w:t>Дж.</w:t>
      </w:r>
      <w:r>
        <w:rPr>
          <w:color w:val="231F20"/>
          <w:spacing w:val="-6"/>
        </w:rPr>
        <w:t xml:space="preserve"> </w:t>
      </w:r>
      <w:r>
        <w:rPr>
          <w:color w:val="231F20"/>
          <w:spacing w:val="-3"/>
        </w:rPr>
        <w:t>Паулсона,</w:t>
      </w:r>
      <w:r>
        <w:rPr>
          <w:color w:val="231F20"/>
          <w:spacing w:val="35"/>
        </w:rPr>
        <w:t xml:space="preserve"> </w:t>
      </w:r>
      <w:r>
        <w:rPr>
          <w:color w:val="231F20"/>
        </w:rPr>
        <w:t>АВС</w:t>
      </w:r>
      <w:r>
        <w:rPr>
          <w:color w:val="231F20"/>
          <w:spacing w:val="35"/>
        </w:rPr>
        <w:t xml:space="preserve"> </w:t>
      </w:r>
      <w:r>
        <w:rPr>
          <w:color w:val="231F20"/>
        </w:rPr>
        <w:t>базується</w:t>
      </w:r>
      <w:r>
        <w:rPr>
          <w:color w:val="231F20"/>
          <w:spacing w:val="35"/>
        </w:rPr>
        <w:t xml:space="preserve"> </w:t>
      </w:r>
      <w:r>
        <w:rPr>
          <w:color w:val="231F20"/>
        </w:rPr>
        <w:t>на</w:t>
      </w:r>
      <w:r>
        <w:rPr>
          <w:color w:val="231F20"/>
          <w:spacing w:val="36"/>
        </w:rPr>
        <w:t xml:space="preserve"> </w:t>
      </w:r>
      <w:r>
        <w:rPr>
          <w:color w:val="231F20"/>
          <w:spacing w:val="-4"/>
        </w:rPr>
        <w:t>тому,</w:t>
      </w:r>
      <w:r>
        <w:rPr>
          <w:color w:val="231F20"/>
          <w:spacing w:val="35"/>
        </w:rPr>
        <w:t xml:space="preserve"> </w:t>
      </w:r>
      <w:r>
        <w:rPr>
          <w:color w:val="231F20"/>
        </w:rPr>
        <w:t>що</w:t>
      </w:r>
      <w:r>
        <w:rPr>
          <w:color w:val="231F20"/>
          <w:spacing w:val="35"/>
        </w:rPr>
        <w:t xml:space="preserve"> </w:t>
      </w:r>
      <w:r>
        <w:rPr>
          <w:color w:val="231F20"/>
        </w:rPr>
        <w:t>всі методи</w:t>
      </w:r>
      <w:r>
        <w:rPr>
          <w:color w:val="231F20"/>
          <w:spacing w:val="30"/>
        </w:rPr>
        <w:t xml:space="preserve"> </w:t>
      </w:r>
      <w:r>
        <w:rPr>
          <w:color w:val="231F20"/>
        </w:rPr>
        <w:t>вирішення</w:t>
      </w:r>
      <w:r>
        <w:rPr>
          <w:color w:val="231F20"/>
          <w:spacing w:val="30"/>
        </w:rPr>
        <w:t xml:space="preserve"> </w:t>
      </w:r>
      <w:r>
        <w:rPr>
          <w:color w:val="231F20"/>
        </w:rPr>
        <w:t>спорів</w:t>
      </w:r>
      <w:r>
        <w:rPr>
          <w:color w:val="231F20"/>
          <w:spacing w:val="30"/>
        </w:rPr>
        <w:t xml:space="preserve"> </w:t>
      </w:r>
      <w:r>
        <w:rPr>
          <w:color w:val="231F20"/>
        </w:rPr>
        <w:t>поділяються</w:t>
      </w:r>
      <w:r>
        <w:rPr>
          <w:color w:val="231F20"/>
          <w:spacing w:val="30"/>
        </w:rPr>
        <w:t xml:space="preserve"> </w:t>
      </w:r>
      <w:r>
        <w:rPr>
          <w:color w:val="231F20"/>
        </w:rPr>
        <w:t>на</w:t>
      </w:r>
      <w:r>
        <w:rPr>
          <w:color w:val="231F20"/>
          <w:spacing w:val="30"/>
        </w:rPr>
        <w:t xml:space="preserve"> </w:t>
      </w:r>
      <w:r>
        <w:rPr>
          <w:color w:val="231F20"/>
        </w:rPr>
        <w:t>4</w:t>
      </w:r>
      <w:r>
        <w:rPr>
          <w:color w:val="231F20"/>
          <w:spacing w:val="30"/>
        </w:rPr>
        <w:t xml:space="preserve"> </w:t>
      </w:r>
      <w:r>
        <w:rPr>
          <w:color w:val="231F20"/>
        </w:rPr>
        <w:t>категорії:</w:t>
      </w:r>
      <w:r>
        <w:rPr>
          <w:color w:val="231F20"/>
          <w:spacing w:val="30"/>
        </w:rPr>
        <w:t xml:space="preserve"> </w:t>
      </w:r>
      <w:r>
        <w:rPr>
          <w:color w:val="231F20"/>
        </w:rPr>
        <w:t>прямі</w:t>
      </w:r>
      <w:r>
        <w:rPr>
          <w:color w:val="231F20"/>
          <w:spacing w:val="30"/>
        </w:rPr>
        <w:t xml:space="preserve"> </w:t>
      </w:r>
      <w:r>
        <w:rPr>
          <w:color w:val="231F20"/>
        </w:rPr>
        <w:t>пере- мови</w:t>
      </w:r>
      <w:r>
        <w:rPr>
          <w:color w:val="231F20"/>
          <w:spacing w:val="11"/>
        </w:rPr>
        <w:t xml:space="preserve"> </w:t>
      </w:r>
      <w:r>
        <w:rPr>
          <w:color w:val="231F20"/>
        </w:rPr>
        <w:t>між</w:t>
      </w:r>
      <w:r>
        <w:rPr>
          <w:color w:val="231F20"/>
          <w:spacing w:val="11"/>
        </w:rPr>
        <w:t xml:space="preserve"> </w:t>
      </w:r>
      <w:r>
        <w:rPr>
          <w:color w:val="231F20"/>
        </w:rPr>
        <w:t>сторонами,</w:t>
      </w:r>
      <w:r>
        <w:rPr>
          <w:color w:val="231F20"/>
          <w:spacing w:val="11"/>
        </w:rPr>
        <w:t xml:space="preserve"> </w:t>
      </w:r>
      <w:r>
        <w:rPr>
          <w:color w:val="231F20"/>
        </w:rPr>
        <w:t>перемови</w:t>
      </w:r>
      <w:r>
        <w:rPr>
          <w:color w:val="231F20"/>
          <w:spacing w:val="11"/>
        </w:rPr>
        <w:t xml:space="preserve"> </w:t>
      </w:r>
      <w:r>
        <w:rPr>
          <w:color w:val="231F20"/>
        </w:rPr>
        <w:t>за</w:t>
      </w:r>
      <w:r>
        <w:rPr>
          <w:color w:val="231F20"/>
          <w:spacing w:val="11"/>
        </w:rPr>
        <w:t xml:space="preserve"> </w:t>
      </w:r>
      <w:r>
        <w:rPr>
          <w:color w:val="231F20"/>
        </w:rPr>
        <w:t>участю</w:t>
      </w:r>
      <w:r>
        <w:rPr>
          <w:color w:val="231F20"/>
          <w:spacing w:val="11"/>
        </w:rPr>
        <w:t xml:space="preserve"> </w:t>
      </w:r>
      <w:r>
        <w:rPr>
          <w:color w:val="231F20"/>
        </w:rPr>
        <w:t>нейтральної</w:t>
      </w:r>
      <w:r>
        <w:rPr>
          <w:color w:val="231F20"/>
          <w:spacing w:val="11"/>
        </w:rPr>
        <w:t xml:space="preserve"> </w:t>
      </w:r>
      <w:r>
        <w:rPr>
          <w:color w:val="231F20"/>
        </w:rPr>
        <w:t>особи</w:t>
      </w:r>
      <w:r>
        <w:rPr>
          <w:color w:val="231F20"/>
          <w:spacing w:val="11"/>
        </w:rPr>
        <w:t xml:space="preserve"> </w:t>
      </w:r>
      <w:r>
        <w:rPr>
          <w:color w:val="231F20"/>
        </w:rPr>
        <w:t>(меді- атора), арбітраж, судочинство. При цьому до АВС, на</w:t>
      </w:r>
      <w:r>
        <w:rPr>
          <w:color w:val="231F20"/>
          <w:spacing w:val="1"/>
        </w:rPr>
        <w:t xml:space="preserve"> </w:t>
      </w:r>
      <w:r>
        <w:rPr>
          <w:color w:val="231F20"/>
        </w:rPr>
        <w:t>думку</w:t>
      </w:r>
      <w:r>
        <w:rPr>
          <w:color w:val="231F20"/>
          <w:spacing w:val="5"/>
        </w:rPr>
        <w:t xml:space="preserve"> </w:t>
      </w:r>
      <w:r>
        <w:rPr>
          <w:color w:val="231F20"/>
        </w:rPr>
        <w:t>авторів, належить</w:t>
      </w:r>
      <w:r>
        <w:rPr>
          <w:color w:val="231F20"/>
          <w:spacing w:val="-9"/>
        </w:rPr>
        <w:t xml:space="preserve"> </w:t>
      </w:r>
      <w:r>
        <w:rPr>
          <w:color w:val="231F20"/>
        </w:rPr>
        <w:t>лише</w:t>
      </w:r>
      <w:r>
        <w:rPr>
          <w:color w:val="231F20"/>
          <w:spacing w:val="-10"/>
        </w:rPr>
        <w:t xml:space="preserve"> </w:t>
      </w:r>
      <w:r>
        <w:rPr>
          <w:color w:val="231F20"/>
        </w:rPr>
        <w:t>друга</w:t>
      </w:r>
      <w:r>
        <w:rPr>
          <w:color w:val="231F20"/>
          <w:spacing w:val="-10"/>
        </w:rPr>
        <w:t xml:space="preserve"> </w:t>
      </w:r>
      <w:r>
        <w:rPr>
          <w:color w:val="231F20"/>
        </w:rPr>
        <w:t>категорія</w:t>
      </w:r>
      <w:r>
        <w:rPr>
          <w:color w:val="231F20"/>
          <w:position w:val="7"/>
          <w:sz w:val="12"/>
        </w:rPr>
        <w:t>2</w:t>
      </w:r>
      <w:r>
        <w:rPr>
          <w:color w:val="231F20"/>
        </w:rPr>
        <w:t>.</w:t>
      </w:r>
      <w:r>
        <w:rPr>
          <w:color w:val="231F20"/>
          <w:spacing w:val="-10"/>
        </w:rPr>
        <w:t xml:space="preserve"> </w:t>
      </w:r>
      <w:r>
        <w:rPr>
          <w:color w:val="231F20"/>
        </w:rPr>
        <w:t>У</w:t>
      </w:r>
      <w:r>
        <w:rPr>
          <w:color w:val="231F20"/>
          <w:spacing w:val="-10"/>
        </w:rPr>
        <w:t xml:space="preserve"> </w:t>
      </w:r>
      <w:r>
        <w:rPr>
          <w:color w:val="231F20"/>
        </w:rPr>
        <w:t>цьому</w:t>
      </w:r>
      <w:r>
        <w:rPr>
          <w:color w:val="231F20"/>
          <w:spacing w:val="-10"/>
        </w:rPr>
        <w:t xml:space="preserve"> </w:t>
      </w:r>
      <w:r>
        <w:rPr>
          <w:color w:val="231F20"/>
        </w:rPr>
        <w:t>разі</w:t>
      </w:r>
      <w:r>
        <w:rPr>
          <w:color w:val="231F20"/>
          <w:spacing w:val="-10"/>
        </w:rPr>
        <w:t xml:space="preserve"> </w:t>
      </w:r>
      <w:r>
        <w:rPr>
          <w:color w:val="231F20"/>
        </w:rPr>
        <w:t>альтернативні</w:t>
      </w:r>
      <w:r>
        <w:rPr>
          <w:color w:val="231F20"/>
          <w:spacing w:val="-9"/>
        </w:rPr>
        <w:t xml:space="preserve"> </w:t>
      </w:r>
      <w:r>
        <w:rPr>
          <w:color w:val="231F20"/>
        </w:rPr>
        <w:t>методи</w:t>
      </w:r>
      <w:r>
        <w:rPr>
          <w:color w:val="231F20"/>
          <w:spacing w:val="-1"/>
        </w:rPr>
        <w:t xml:space="preserve"> </w:t>
      </w:r>
      <w:r>
        <w:rPr>
          <w:color w:val="231F20"/>
        </w:rPr>
        <w:t>вирішення спору протиставляються не тільки</w:t>
      </w:r>
      <w:r>
        <w:rPr>
          <w:color w:val="231F20"/>
          <w:spacing w:val="1"/>
        </w:rPr>
        <w:t xml:space="preserve"> </w:t>
      </w:r>
      <w:r>
        <w:rPr>
          <w:color w:val="231F20"/>
          <w:spacing w:val="-3"/>
        </w:rPr>
        <w:t>судовому</w:t>
      </w:r>
      <w:r>
        <w:rPr>
          <w:color w:val="231F20"/>
          <w:spacing w:val="36"/>
        </w:rPr>
        <w:t xml:space="preserve"> </w:t>
      </w:r>
      <w:r>
        <w:rPr>
          <w:color w:val="231F20"/>
          <w:spacing w:val="-4"/>
        </w:rPr>
        <w:t>розгляду,</w:t>
      </w:r>
      <w:r>
        <w:rPr>
          <w:color w:val="231F20"/>
        </w:rPr>
        <w:t xml:space="preserve"> але й </w:t>
      </w:r>
      <w:r>
        <w:rPr>
          <w:color w:val="231F20"/>
          <w:spacing w:val="-3"/>
        </w:rPr>
        <w:t xml:space="preserve">арбітражному, </w:t>
      </w:r>
      <w:r>
        <w:rPr>
          <w:color w:val="231F20"/>
        </w:rPr>
        <w:t>а також безпосередньому</w:t>
      </w:r>
      <w:r>
        <w:rPr>
          <w:color w:val="231F20"/>
          <w:spacing w:val="33"/>
        </w:rPr>
        <w:t xml:space="preserve"> </w:t>
      </w:r>
      <w:r>
        <w:rPr>
          <w:color w:val="231F20"/>
        </w:rPr>
        <w:t>врегулюванню</w:t>
      </w:r>
    </w:p>
    <w:p w14:paraId="344FCDF9" w14:textId="77777777" w:rsidR="00DE575E" w:rsidRDefault="002E7560">
      <w:pPr>
        <w:pStyle w:val="BodyText"/>
        <w:spacing w:before="12"/>
        <w:ind w:left="533"/>
      </w:pPr>
      <w:r>
        <w:rPr>
          <w:color w:val="231F20"/>
        </w:rPr>
        <w:t>розбіжностей самими сторонами.</w:t>
      </w:r>
    </w:p>
    <w:p w14:paraId="749D9F19" w14:textId="77777777" w:rsidR="00DE575E" w:rsidRDefault="002E7560">
      <w:pPr>
        <w:pStyle w:val="BodyText"/>
        <w:spacing w:before="13" w:line="252" w:lineRule="auto"/>
        <w:ind w:left="533" w:right="127" w:firstLine="283"/>
        <w:jc w:val="right"/>
      </w:pPr>
      <w:r>
        <w:rPr>
          <w:color w:val="231F20"/>
        </w:rPr>
        <w:t xml:space="preserve">У  зарубіжній  літературі,  зокрема  такі   вчені,   як </w:t>
      </w:r>
      <w:r>
        <w:rPr>
          <w:color w:val="231F20"/>
          <w:spacing w:val="5"/>
        </w:rPr>
        <w:t xml:space="preserve"> </w:t>
      </w:r>
      <w:r>
        <w:rPr>
          <w:color w:val="231F20"/>
        </w:rPr>
        <w:t xml:space="preserve">Л. </w:t>
      </w:r>
      <w:r>
        <w:rPr>
          <w:color w:val="231F20"/>
          <w:spacing w:val="-3"/>
        </w:rPr>
        <w:t xml:space="preserve">Боуль  </w:t>
      </w:r>
      <w:r>
        <w:rPr>
          <w:color w:val="231F20"/>
        </w:rPr>
        <w:t xml:space="preserve"> </w:t>
      </w:r>
      <w:r>
        <w:rPr>
          <w:color w:val="231F20"/>
        </w:rPr>
        <w:t>та</w:t>
      </w:r>
      <w:r>
        <w:rPr>
          <w:color w:val="231F20"/>
          <w:spacing w:val="-1"/>
        </w:rPr>
        <w:t xml:space="preserve"> </w:t>
      </w:r>
      <w:r>
        <w:rPr>
          <w:color w:val="231F20"/>
        </w:rPr>
        <w:t>М. Несик</w:t>
      </w:r>
      <w:r>
        <w:rPr>
          <w:color w:val="231F20"/>
          <w:position w:val="7"/>
          <w:sz w:val="12"/>
        </w:rPr>
        <w:t xml:space="preserve">3    </w:t>
      </w:r>
      <w:r>
        <w:rPr>
          <w:color w:val="231F20"/>
        </w:rPr>
        <w:t>виокремлюють   два   п</w:t>
      </w:r>
      <w:r>
        <w:rPr>
          <w:color w:val="231F20"/>
        </w:rPr>
        <w:t xml:space="preserve">ідходи   до   визначення  </w:t>
      </w:r>
      <w:r>
        <w:rPr>
          <w:color w:val="231F20"/>
          <w:spacing w:val="36"/>
        </w:rPr>
        <w:t xml:space="preserve"> </w:t>
      </w:r>
      <w:r>
        <w:rPr>
          <w:color w:val="231F20"/>
        </w:rPr>
        <w:t>поняття</w:t>
      </w:r>
    </w:p>
    <w:p w14:paraId="5DED7386" w14:textId="77777777" w:rsidR="00DE575E" w:rsidRDefault="002E7560">
      <w:pPr>
        <w:pStyle w:val="BodyText"/>
        <w:spacing w:before="1" w:line="252" w:lineRule="auto"/>
        <w:ind w:left="533" w:right="127"/>
        <w:jc w:val="both"/>
      </w:pPr>
      <w:r>
        <w:rPr>
          <w:color w:val="231F20"/>
        </w:rPr>
        <w:t xml:space="preserve">«медіація» – концептуальний та описовий. </w:t>
      </w:r>
      <w:r>
        <w:rPr>
          <w:i/>
          <w:color w:val="231F20"/>
        </w:rPr>
        <w:t xml:space="preserve">Відповідно до концеп- туального підходу </w:t>
      </w:r>
      <w:r>
        <w:rPr>
          <w:color w:val="231F20"/>
        </w:rPr>
        <w:t>медіація – це добровільна конфіденційна проце- дура врегулювання спору, в ході якої нейтральна особа (медіатор) сприяє  сторонам  в  проведенні  переговорів  з  метою  укладення</w:t>
      </w:r>
    </w:p>
    <w:p w14:paraId="7975B5D1" w14:textId="77777777" w:rsidR="00DE575E" w:rsidRDefault="00DE575E">
      <w:pPr>
        <w:pStyle w:val="BodyText"/>
        <w:rPr>
          <w:sz w:val="20"/>
        </w:rPr>
      </w:pPr>
    </w:p>
    <w:p w14:paraId="33CD0079" w14:textId="5F4B8524" w:rsidR="00DE575E" w:rsidRDefault="002E7560">
      <w:pPr>
        <w:pStyle w:val="BodyText"/>
        <w:spacing w:before="5"/>
        <w:rPr>
          <w:sz w:val="14"/>
        </w:rPr>
      </w:pPr>
      <w:r>
        <w:rPr>
          <w:noProof/>
        </w:rPr>
        <mc:AlternateContent>
          <mc:Choice Requires="wps">
            <w:drawing>
              <wp:anchor distT="0" distB="0" distL="0" distR="0" simplePos="0" relativeHeight="12472" behindDoc="0" locked="0" layoutInCell="1" allowOverlap="1" wp14:anchorId="14081852" wp14:editId="41F7ECFD">
                <wp:simplePos x="0" y="0"/>
                <wp:positionH relativeFrom="page">
                  <wp:posOffset>719455</wp:posOffset>
                </wp:positionH>
                <wp:positionV relativeFrom="paragraph">
                  <wp:posOffset>135255</wp:posOffset>
                </wp:positionV>
                <wp:extent cx="1080135" cy="0"/>
                <wp:effectExtent l="8255" t="8255" r="29210" b="29845"/>
                <wp:wrapTopAndBottom/>
                <wp:docPr id="60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097B" id="Line_x0020_608" o:spid="_x0000_s1026" style="position:absolute;z-index:12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65pt" to="141.7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2ouCICAABF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" strokecolor="#231f20" strokeweight=".5pt">
                <w10:wrap type="topAndBottom" anchorx="page"/>
              </v:line>
            </w:pict>
          </mc:Fallback>
        </mc:AlternateContent>
      </w:r>
    </w:p>
    <w:p w14:paraId="5A97EB03"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Альтернативне врегулювання спорів (АВС) – група процесів, за допомогою як</w:t>
      </w:r>
      <w:r>
        <w:rPr>
          <w:color w:val="231F20"/>
          <w:sz w:val="16"/>
        </w:rPr>
        <w:t>их вирі- шуються спори і конфлікти без звернення до формальної системи судочинства. Включає: медіацію; переговори; фасилітацію; арбітрування; будь-який інший процес, ефективний у вирішенні</w:t>
      </w:r>
      <w:r>
        <w:rPr>
          <w:color w:val="231F20"/>
          <w:spacing w:val="-2"/>
          <w:sz w:val="16"/>
        </w:rPr>
        <w:t xml:space="preserve"> </w:t>
      </w:r>
      <w:r>
        <w:rPr>
          <w:color w:val="231F20"/>
          <w:spacing w:val="-3"/>
          <w:sz w:val="16"/>
        </w:rPr>
        <w:t>спору.</w:t>
      </w:r>
    </w:p>
    <w:p w14:paraId="111FAFC1" w14:textId="77777777" w:rsidR="00DE575E" w:rsidRDefault="002E7560">
      <w:pPr>
        <w:spacing w:before="27" w:line="204" w:lineRule="auto"/>
        <w:ind w:left="533" w:right="129"/>
        <w:jc w:val="both"/>
        <w:rPr>
          <w:sz w:val="16"/>
        </w:rPr>
      </w:pPr>
      <w:r>
        <w:rPr>
          <w:color w:val="231F20"/>
          <w:position w:val="5"/>
          <w:sz w:val="9"/>
        </w:rPr>
        <w:t xml:space="preserve">2 </w:t>
      </w:r>
      <w:r>
        <w:rPr>
          <w:color w:val="231F20"/>
          <w:sz w:val="16"/>
        </w:rPr>
        <w:t>Hunter M., Paulsson J. et al. The Freshfield Guide to Arbi</w:t>
      </w:r>
      <w:r>
        <w:rPr>
          <w:color w:val="231F20"/>
          <w:sz w:val="16"/>
        </w:rPr>
        <w:t>tration and ADR. Kluwer Law and Taxation Publishers 1993. P. 1, 6–7, 63.</w:t>
      </w:r>
    </w:p>
    <w:p w14:paraId="07A6348A" w14:textId="77777777" w:rsidR="00DE575E" w:rsidRDefault="002E7560">
      <w:pPr>
        <w:spacing w:before="30" w:line="204" w:lineRule="auto"/>
        <w:ind w:left="533" w:right="128"/>
        <w:jc w:val="both"/>
        <w:rPr>
          <w:sz w:val="16"/>
        </w:rPr>
      </w:pPr>
      <w:r>
        <w:rPr>
          <w:color w:val="231F20"/>
          <w:position w:val="5"/>
          <w:sz w:val="9"/>
        </w:rPr>
        <w:t xml:space="preserve">3       </w:t>
      </w:r>
      <w:r>
        <w:rPr>
          <w:color w:val="231F20"/>
          <w:sz w:val="16"/>
        </w:rPr>
        <w:t xml:space="preserve">Boulle L., Nesic M. Mediation: principles, process, practice. London, Dublin, Edinburg, 2001. </w:t>
      </w:r>
      <w:r>
        <w:rPr>
          <w:color w:val="231F20"/>
          <w:spacing w:val="-11"/>
          <w:sz w:val="16"/>
        </w:rPr>
        <w:t>P.</w:t>
      </w:r>
      <w:r>
        <w:rPr>
          <w:color w:val="231F20"/>
          <w:spacing w:val="-1"/>
          <w:sz w:val="16"/>
        </w:rPr>
        <w:t xml:space="preserve"> </w:t>
      </w:r>
      <w:r>
        <w:rPr>
          <w:color w:val="231F20"/>
          <w:sz w:val="16"/>
        </w:rPr>
        <w:t>4–5.</w:t>
      </w:r>
    </w:p>
    <w:p w14:paraId="0E3A592B" w14:textId="77777777" w:rsidR="00DE575E" w:rsidRDefault="00DE575E">
      <w:pPr>
        <w:pStyle w:val="BodyText"/>
        <w:spacing w:before="4"/>
        <w:rPr>
          <w:sz w:val="12"/>
        </w:rPr>
      </w:pPr>
    </w:p>
    <w:p w14:paraId="6F7B8196" w14:textId="77777777" w:rsidR="00DE575E" w:rsidRDefault="002E7560">
      <w:pPr>
        <w:spacing w:before="92"/>
        <w:ind w:left="533"/>
        <w:rPr>
          <w:rFonts w:ascii="Times New Roman"/>
          <w:sz w:val="20"/>
        </w:rPr>
      </w:pPr>
      <w:r>
        <w:rPr>
          <w:rFonts w:ascii="Times New Roman"/>
          <w:color w:val="231F20"/>
          <w:sz w:val="20"/>
        </w:rPr>
        <w:t>322</w:t>
      </w:r>
    </w:p>
    <w:p w14:paraId="702755D2" w14:textId="77777777" w:rsidR="00DE575E" w:rsidRDefault="00DE575E">
      <w:pPr>
        <w:rPr>
          <w:rFonts w:ascii="Times New Roman"/>
          <w:sz w:val="20"/>
        </w:rPr>
        <w:sectPr w:rsidR="00DE575E">
          <w:pgSz w:w="8510" w:h="12760"/>
          <w:pgMar w:top="660" w:right="720" w:bottom="280" w:left="600" w:header="720" w:footer="720" w:gutter="0"/>
          <w:cols w:space="720"/>
        </w:sectPr>
      </w:pPr>
    </w:p>
    <w:p w14:paraId="30143CB8"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 xml:space="preserve">Глава І. Загальне адміністративне право </w:t>
      </w:r>
      <w:r>
        <w:rPr>
          <w:rFonts w:ascii="AdonisC" w:hAnsi="AdonisC"/>
          <w:i/>
          <w:color w:val="231F20"/>
          <w:sz w:val="18"/>
        </w:rPr>
        <w:t>Розділ 9. Захист приватної особи у сфері публічного адміністрування</w:t>
      </w:r>
    </w:p>
    <w:p w14:paraId="136A3A2F" w14:textId="4746E06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99CD8B" wp14:editId="6A512D61">
                <wp:extent cx="4140200" cy="6350"/>
                <wp:effectExtent l="0" t="0" r="12700" b="6350"/>
                <wp:docPr id="60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08" name="Line 60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0042AA" id="Group_x0020_60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1OmTVgAIAAJgFAAAO&#10;AAAAAAAAAAAAAAAAACwCAABkcnMvZTJvRG9jLnhtbFBLAQItABQABgAIAAAAIQBMp7CQ2QAAAAMB&#10;AAAPAAAAAAAAAAAAAAAAANgEAABkcnMvZG93bnJldi54bWxQSwUGAAAAAAQABADzAAAA3gUAAAAA&#10;">
                <v:line id="Line_x0020_60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IFsIAAADcAAAADwAAAGRycy9kb3ducmV2LnhtbERPy4rCMBTdC/MP4Q7MRsbUEUSqUUQQ&#10;ZBa+Oh9wba5tMbmpTbQdv94sBJeH854tOmvEnRpfOVYwHCQgiHOnKy4U/GXr7wkIH5A1Gsek4J88&#10;LOYfvRmm2rV8oPsxFCKGsE9RQRlCnUrp85Is+oGriSN3do3FEGFTSN1gG8OtkT9JMpYWK44NJda0&#10;Kim/HG9WQXbtB7Pf/Zo2251G8nTdjh63rVJfn91yCiJQF97il3ujFYyTuDaeiUdAz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iIFsIAAADcAAAADwAAAAAAAAAAAAAA&#10;AAChAgAAZHJzL2Rvd25yZXYueG1sUEsFBgAAAAAEAAQA+QAAAJADAAAAAA==&#10;" strokecolor="#231f20" strokeweight=".5pt"/>
                <w10:anchorlock/>
              </v:group>
            </w:pict>
          </mc:Fallback>
        </mc:AlternateContent>
      </w:r>
    </w:p>
    <w:p w14:paraId="6D46E0A8" w14:textId="77777777" w:rsidR="00DE575E" w:rsidRDefault="00DE575E">
      <w:pPr>
        <w:pStyle w:val="BodyText"/>
        <w:spacing w:before="7"/>
        <w:rPr>
          <w:rFonts w:ascii="AdonisC"/>
          <w:i/>
          <w:sz w:val="19"/>
        </w:rPr>
      </w:pPr>
    </w:p>
    <w:p w14:paraId="53258717" w14:textId="77777777" w:rsidR="00DE575E" w:rsidRDefault="002E7560">
      <w:pPr>
        <w:pStyle w:val="BodyText"/>
        <w:spacing w:before="1" w:line="252" w:lineRule="auto"/>
        <w:ind w:left="250" w:right="410"/>
        <w:jc w:val="both"/>
      </w:pPr>
      <w:r>
        <w:rPr>
          <w:color w:val="231F20"/>
        </w:rPr>
        <w:t xml:space="preserve">взаємоприйнятної угоди. </w:t>
      </w:r>
      <w:r>
        <w:rPr>
          <w:i/>
          <w:color w:val="231F20"/>
        </w:rPr>
        <w:t xml:space="preserve">Відповідно до описового підходу </w:t>
      </w:r>
      <w:r>
        <w:rPr>
          <w:color w:val="231F20"/>
        </w:rPr>
        <w:t>медіація – це процедура врегулювання конфлікту, під час якої спірні сторони зустрічаються з медіатором і проводять бесіду, після чого роблять спробу вирішити супер</w:t>
      </w:r>
      <w:r>
        <w:rPr>
          <w:color w:val="231F20"/>
        </w:rPr>
        <w:t>ечку.</w:t>
      </w:r>
    </w:p>
    <w:p w14:paraId="61BC5326" w14:textId="77777777" w:rsidR="00DE575E" w:rsidRDefault="002E7560">
      <w:pPr>
        <w:pStyle w:val="BodyText"/>
        <w:spacing w:before="2" w:line="252" w:lineRule="auto"/>
        <w:ind w:left="250" w:right="411" w:firstLine="283"/>
        <w:jc w:val="both"/>
      </w:pPr>
      <w:r>
        <w:rPr>
          <w:color w:val="231F20"/>
          <w:spacing w:val="-4"/>
        </w:rPr>
        <w:t xml:space="preserve">Таким </w:t>
      </w:r>
      <w:r>
        <w:rPr>
          <w:color w:val="231F20"/>
        </w:rPr>
        <w:t>чином, концептуальний підхід передбачає визначення поняття</w:t>
      </w:r>
      <w:r>
        <w:rPr>
          <w:color w:val="231F20"/>
          <w:spacing w:val="-7"/>
        </w:rPr>
        <w:t xml:space="preserve"> </w:t>
      </w:r>
      <w:r>
        <w:rPr>
          <w:color w:val="231F20"/>
        </w:rPr>
        <w:t>через</w:t>
      </w:r>
      <w:r>
        <w:rPr>
          <w:color w:val="231F20"/>
          <w:spacing w:val="-7"/>
        </w:rPr>
        <w:t xml:space="preserve"> </w:t>
      </w:r>
      <w:r>
        <w:rPr>
          <w:color w:val="231F20"/>
        </w:rPr>
        <w:t>основні</w:t>
      </w:r>
      <w:r>
        <w:rPr>
          <w:color w:val="231F20"/>
          <w:spacing w:val="-7"/>
        </w:rPr>
        <w:t xml:space="preserve"> </w:t>
      </w:r>
      <w:r>
        <w:rPr>
          <w:color w:val="231F20"/>
        </w:rPr>
        <w:t>принципи,</w:t>
      </w:r>
      <w:r>
        <w:rPr>
          <w:color w:val="231F20"/>
          <w:spacing w:val="-7"/>
        </w:rPr>
        <w:t xml:space="preserve"> </w:t>
      </w:r>
      <w:r>
        <w:rPr>
          <w:color w:val="231F20"/>
        </w:rPr>
        <w:t>цілі</w:t>
      </w:r>
      <w:r>
        <w:rPr>
          <w:color w:val="231F20"/>
          <w:spacing w:val="-7"/>
        </w:rPr>
        <w:t xml:space="preserve"> </w:t>
      </w:r>
      <w:r>
        <w:rPr>
          <w:color w:val="231F20"/>
        </w:rPr>
        <w:t>та</w:t>
      </w:r>
      <w:r>
        <w:rPr>
          <w:color w:val="231F20"/>
          <w:spacing w:val="-7"/>
        </w:rPr>
        <w:t xml:space="preserve"> </w:t>
      </w:r>
      <w:r>
        <w:rPr>
          <w:color w:val="231F20"/>
        </w:rPr>
        <w:t>завдання</w:t>
      </w:r>
      <w:r>
        <w:rPr>
          <w:color w:val="231F20"/>
          <w:spacing w:val="-7"/>
        </w:rPr>
        <w:t xml:space="preserve"> </w:t>
      </w:r>
      <w:r>
        <w:rPr>
          <w:color w:val="231F20"/>
        </w:rPr>
        <w:t>примирної</w:t>
      </w:r>
      <w:r>
        <w:rPr>
          <w:color w:val="231F20"/>
          <w:spacing w:val="-7"/>
        </w:rPr>
        <w:t xml:space="preserve"> </w:t>
      </w:r>
      <w:r>
        <w:rPr>
          <w:color w:val="231F20"/>
        </w:rPr>
        <w:t>проце- дури за участю</w:t>
      </w:r>
      <w:r>
        <w:rPr>
          <w:color w:val="231F20"/>
          <w:spacing w:val="-4"/>
        </w:rPr>
        <w:t xml:space="preserve"> </w:t>
      </w:r>
      <w:r>
        <w:rPr>
          <w:color w:val="231F20"/>
        </w:rPr>
        <w:t>посередника.</w:t>
      </w:r>
    </w:p>
    <w:p w14:paraId="10CEB1D3" w14:textId="77777777" w:rsidR="00DE575E" w:rsidRDefault="002E7560">
      <w:pPr>
        <w:pStyle w:val="BodyText"/>
        <w:spacing w:before="1" w:line="252" w:lineRule="auto"/>
        <w:ind w:left="250" w:right="409" w:firstLine="283"/>
        <w:jc w:val="both"/>
      </w:pPr>
      <w:r>
        <w:rPr>
          <w:color w:val="231F20"/>
        </w:rPr>
        <w:t>Вихідні і визначальні правової ідеї, положення та засади, які становлять процедурне та організаційн</w:t>
      </w:r>
      <w:r>
        <w:rPr>
          <w:color w:val="231F20"/>
        </w:rPr>
        <w:t xml:space="preserve">е підґрунтя здійснення процедури медіації та спрямовані на ефективне, взаємоприйнятне, законне розв’язання конфлікту між учасниками </w:t>
      </w:r>
      <w:r>
        <w:rPr>
          <w:color w:val="231F20"/>
          <w:spacing w:val="-4"/>
        </w:rPr>
        <w:t xml:space="preserve">спору, </w:t>
      </w:r>
      <w:r>
        <w:rPr>
          <w:color w:val="231F20"/>
        </w:rPr>
        <w:t>іменуються  в юридичній літературі принципами</w:t>
      </w:r>
      <w:r>
        <w:rPr>
          <w:color w:val="231F20"/>
          <w:spacing w:val="-4"/>
        </w:rPr>
        <w:t xml:space="preserve"> </w:t>
      </w:r>
      <w:r>
        <w:rPr>
          <w:color w:val="231F20"/>
        </w:rPr>
        <w:t>медіації</w:t>
      </w:r>
      <w:r>
        <w:rPr>
          <w:color w:val="231F20"/>
          <w:position w:val="7"/>
          <w:sz w:val="12"/>
        </w:rPr>
        <w:t>1</w:t>
      </w:r>
      <w:r>
        <w:rPr>
          <w:color w:val="231F20"/>
        </w:rPr>
        <w:t>.</w:t>
      </w:r>
    </w:p>
    <w:p w14:paraId="64889709" w14:textId="77777777" w:rsidR="00DE575E" w:rsidRDefault="002E7560">
      <w:pPr>
        <w:pStyle w:val="BodyText"/>
        <w:spacing w:before="3" w:line="252" w:lineRule="auto"/>
        <w:ind w:left="250" w:right="411" w:firstLine="283"/>
        <w:jc w:val="both"/>
      </w:pPr>
      <w:r>
        <w:rPr>
          <w:color w:val="231F20"/>
        </w:rPr>
        <w:t>До найбільш розповсюджених принципів медіації в законодав- с</w:t>
      </w:r>
      <w:r>
        <w:rPr>
          <w:color w:val="231F20"/>
        </w:rPr>
        <w:t>тві зарубіжних країн про медіацію і визначених в основних рамко- вих міжнародних документах належать:</w:t>
      </w:r>
    </w:p>
    <w:p w14:paraId="671714A0" w14:textId="77777777" w:rsidR="00DE575E" w:rsidRDefault="002E7560">
      <w:pPr>
        <w:pStyle w:val="ListParagraph"/>
        <w:numPr>
          <w:ilvl w:val="0"/>
          <w:numId w:val="132"/>
        </w:numPr>
        <w:tabs>
          <w:tab w:val="left" w:pos="818"/>
        </w:tabs>
        <w:spacing w:line="252" w:lineRule="auto"/>
        <w:ind w:right="409" w:firstLine="283"/>
        <w:rPr>
          <w:sz w:val="21"/>
        </w:rPr>
      </w:pPr>
      <w:r>
        <w:rPr>
          <w:b/>
          <w:i/>
          <w:color w:val="231F20"/>
          <w:sz w:val="21"/>
        </w:rPr>
        <w:t>добровільність</w:t>
      </w:r>
      <w:r>
        <w:rPr>
          <w:color w:val="231F20"/>
          <w:sz w:val="21"/>
        </w:rPr>
        <w:t>, тобто ухвалення усвідомленого рішення сторонами процесу про застосування альтернативної процедури розв’язання</w:t>
      </w:r>
      <w:r>
        <w:rPr>
          <w:color w:val="231F20"/>
          <w:spacing w:val="-2"/>
          <w:sz w:val="21"/>
        </w:rPr>
        <w:t xml:space="preserve"> </w:t>
      </w:r>
      <w:r>
        <w:rPr>
          <w:color w:val="231F20"/>
          <w:sz w:val="21"/>
        </w:rPr>
        <w:t>спору;</w:t>
      </w:r>
    </w:p>
    <w:p w14:paraId="7B7F2E97" w14:textId="77777777" w:rsidR="00DE575E" w:rsidRDefault="002E7560">
      <w:pPr>
        <w:pStyle w:val="ListParagraph"/>
        <w:numPr>
          <w:ilvl w:val="0"/>
          <w:numId w:val="132"/>
        </w:numPr>
        <w:tabs>
          <w:tab w:val="left" w:pos="818"/>
        </w:tabs>
        <w:spacing w:before="2"/>
        <w:ind w:firstLine="283"/>
        <w:jc w:val="left"/>
        <w:rPr>
          <w:sz w:val="21"/>
        </w:rPr>
      </w:pPr>
      <w:r>
        <w:rPr>
          <w:b/>
          <w:i/>
          <w:color w:val="231F20"/>
          <w:sz w:val="21"/>
        </w:rPr>
        <w:t xml:space="preserve">рівність сторін </w:t>
      </w:r>
      <w:r>
        <w:rPr>
          <w:color w:val="231F20"/>
          <w:sz w:val="21"/>
        </w:rPr>
        <w:t>– сторони мають рівні права під час</w:t>
      </w:r>
      <w:r>
        <w:rPr>
          <w:color w:val="231F20"/>
          <w:spacing w:val="-15"/>
          <w:sz w:val="21"/>
        </w:rPr>
        <w:t xml:space="preserve"> </w:t>
      </w:r>
      <w:r>
        <w:rPr>
          <w:color w:val="231F20"/>
          <w:sz w:val="21"/>
        </w:rPr>
        <w:t>медіації;</w:t>
      </w:r>
    </w:p>
    <w:p w14:paraId="592B4958" w14:textId="77777777" w:rsidR="00DE575E" w:rsidRDefault="002E7560">
      <w:pPr>
        <w:pStyle w:val="ListParagraph"/>
        <w:numPr>
          <w:ilvl w:val="0"/>
          <w:numId w:val="132"/>
        </w:numPr>
        <w:tabs>
          <w:tab w:val="left" w:pos="818"/>
        </w:tabs>
        <w:spacing w:before="12" w:line="252" w:lineRule="auto"/>
        <w:ind w:right="410" w:firstLine="283"/>
        <w:rPr>
          <w:sz w:val="21"/>
        </w:rPr>
      </w:pPr>
      <w:r>
        <w:rPr>
          <w:b/>
          <w:i/>
          <w:color w:val="231F20"/>
          <w:sz w:val="21"/>
        </w:rPr>
        <w:t xml:space="preserve">нейтральність медіатора </w:t>
      </w:r>
      <w:r>
        <w:rPr>
          <w:color w:val="231F20"/>
          <w:sz w:val="21"/>
        </w:rPr>
        <w:t>– медіатор мусить виконувати свої обов’язки неупереджено, ґрунтуючись на обставинах справи, беручи до уваги думку сторін та не нав’язуючи сторонам певного рішення, яке ухвалюється винятк</w:t>
      </w:r>
      <w:r>
        <w:rPr>
          <w:color w:val="231F20"/>
          <w:sz w:val="21"/>
        </w:rPr>
        <w:t>ово за взаємною згодою</w:t>
      </w:r>
      <w:r>
        <w:rPr>
          <w:color w:val="231F20"/>
          <w:spacing w:val="-15"/>
          <w:sz w:val="21"/>
        </w:rPr>
        <w:t xml:space="preserve"> </w:t>
      </w:r>
      <w:r>
        <w:rPr>
          <w:color w:val="231F20"/>
          <w:sz w:val="21"/>
        </w:rPr>
        <w:t>сторін;</w:t>
      </w:r>
    </w:p>
    <w:p w14:paraId="6CA9A3C9" w14:textId="77777777" w:rsidR="00DE575E" w:rsidRDefault="002E7560">
      <w:pPr>
        <w:pStyle w:val="ListParagraph"/>
        <w:numPr>
          <w:ilvl w:val="0"/>
          <w:numId w:val="132"/>
        </w:numPr>
        <w:tabs>
          <w:tab w:val="left" w:pos="818"/>
        </w:tabs>
        <w:spacing w:before="2" w:line="252" w:lineRule="auto"/>
        <w:ind w:right="410" w:firstLine="283"/>
        <w:rPr>
          <w:sz w:val="21"/>
        </w:rPr>
      </w:pPr>
      <w:r>
        <w:rPr>
          <w:b/>
          <w:i/>
          <w:color w:val="231F20"/>
          <w:sz w:val="21"/>
        </w:rPr>
        <w:t>конфіденційність</w:t>
      </w:r>
      <w:r>
        <w:rPr>
          <w:b/>
          <w:i/>
          <w:color w:val="231F20"/>
          <w:spacing w:val="-7"/>
          <w:sz w:val="21"/>
        </w:rPr>
        <w:t xml:space="preserve"> </w:t>
      </w:r>
      <w:r>
        <w:rPr>
          <w:color w:val="231F20"/>
          <w:sz w:val="21"/>
        </w:rPr>
        <w:t>–</w:t>
      </w:r>
      <w:r>
        <w:rPr>
          <w:color w:val="231F20"/>
          <w:spacing w:val="-7"/>
          <w:sz w:val="21"/>
        </w:rPr>
        <w:t xml:space="preserve"> </w:t>
      </w:r>
      <w:r>
        <w:rPr>
          <w:color w:val="231F20"/>
          <w:sz w:val="21"/>
        </w:rPr>
        <w:t>інформація,</w:t>
      </w:r>
      <w:r>
        <w:rPr>
          <w:color w:val="231F20"/>
          <w:spacing w:val="-7"/>
          <w:sz w:val="21"/>
        </w:rPr>
        <w:t xml:space="preserve"> </w:t>
      </w:r>
      <w:r>
        <w:rPr>
          <w:color w:val="231F20"/>
          <w:sz w:val="21"/>
        </w:rPr>
        <w:t>отримана</w:t>
      </w:r>
      <w:r>
        <w:rPr>
          <w:color w:val="231F20"/>
          <w:spacing w:val="-7"/>
          <w:sz w:val="21"/>
        </w:rPr>
        <w:t xml:space="preserve"> </w:t>
      </w:r>
      <w:r>
        <w:rPr>
          <w:color w:val="231F20"/>
          <w:sz w:val="21"/>
        </w:rPr>
        <w:t>медіатором</w:t>
      </w:r>
      <w:r>
        <w:rPr>
          <w:color w:val="231F20"/>
          <w:spacing w:val="-7"/>
          <w:sz w:val="21"/>
        </w:rPr>
        <w:t xml:space="preserve"> </w:t>
      </w:r>
      <w:r>
        <w:rPr>
          <w:color w:val="231F20"/>
          <w:sz w:val="21"/>
        </w:rPr>
        <w:t>під</w:t>
      </w:r>
      <w:r>
        <w:rPr>
          <w:color w:val="231F20"/>
          <w:spacing w:val="-7"/>
          <w:sz w:val="21"/>
        </w:rPr>
        <w:t xml:space="preserve"> </w:t>
      </w:r>
      <w:r>
        <w:rPr>
          <w:color w:val="231F20"/>
          <w:sz w:val="21"/>
        </w:rPr>
        <w:t>час проведення медіації, є конфіденційною і не може бути розголошена ним без попередньої згоди</w:t>
      </w:r>
      <w:r>
        <w:rPr>
          <w:color w:val="231F20"/>
          <w:spacing w:val="-3"/>
          <w:sz w:val="21"/>
        </w:rPr>
        <w:t xml:space="preserve"> </w:t>
      </w:r>
      <w:r>
        <w:rPr>
          <w:color w:val="231F20"/>
          <w:sz w:val="21"/>
        </w:rPr>
        <w:t>сторін.</w:t>
      </w:r>
    </w:p>
    <w:p w14:paraId="42FD48A9" w14:textId="77777777" w:rsidR="00DE575E" w:rsidRDefault="002E7560">
      <w:pPr>
        <w:pStyle w:val="BodyText"/>
        <w:spacing w:before="2" w:line="252" w:lineRule="auto"/>
        <w:ind w:left="250" w:right="410" w:firstLine="283"/>
        <w:jc w:val="both"/>
      </w:pPr>
      <w:r>
        <w:rPr>
          <w:color w:val="231F20"/>
        </w:rPr>
        <w:t>Медіація, як техніка ведення переговорів між сторонами право- вого</w:t>
      </w:r>
      <w:r>
        <w:rPr>
          <w:color w:val="231F20"/>
          <w:spacing w:val="-9"/>
        </w:rPr>
        <w:t xml:space="preserve"> </w:t>
      </w:r>
      <w:r>
        <w:rPr>
          <w:color w:val="231F20"/>
        </w:rPr>
        <w:t>конфлікту,</w:t>
      </w:r>
      <w:r>
        <w:rPr>
          <w:color w:val="231F20"/>
          <w:spacing w:val="-9"/>
        </w:rPr>
        <w:t xml:space="preserve"> </w:t>
      </w:r>
      <w:r>
        <w:rPr>
          <w:color w:val="231F20"/>
        </w:rPr>
        <w:t>популярна</w:t>
      </w:r>
      <w:r>
        <w:rPr>
          <w:color w:val="231F20"/>
          <w:spacing w:val="-9"/>
        </w:rPr>
        <w:t xml:space="preserve"> </w:t>
      </w:r>
      <w:r>
        <w:rPr>
          <w:color w:val="231F20"/>
        </w:rPr>
        <w:t>в</w:t>
      </w:r>
      <w:r>
        <w:rPr>
          <w:color w:val="231F20"/>
          <w:spacing w:val="-9"/>
        </w:rPr>
        <w:t xml:space="preserve"> </w:t>
      </w:r>
      <w:r>
        <w:rPr>
          <w:color w:val="231F20"/>
        </w:rPr>
        <w:t>США,</w:t>
      </w:r>
      <w:r>
        <w:rPr>
          <w:color w:val="231F20"/>
          <w:spacing w:val="-9"/>
        </w:rPr>
        <w:t xml:space="preserve"> </w:t>
      </w:r>
      <w:r>
        <w:rPr>
          <w:color w:val="231F20"/>
        </w:rPr>
        <w:t>Канаді</w:t>
      </w:r>
      <w:r>
        <w:rPr>
          <w:color w:val="231F20"/>
          <w:spacing w:val="-9"/>
        </w:rPr>
        <w:t xml:space="preserve"> </w:t>
      </w:r>
      <w:r>
        <w:rPr>
          <w:color w:val="231F20"/>
        </w:rPr>
        <w:t>та</w:t>
      </w:r>
      <w:r>
        <w:rPr>
          <w:color w:val="231F20"/>
          <w:spacing w:val="-9"/>
        </w:rPr>
        <w:t xml:space="preserve"> </w:t>
      </w:r>
      <w:r>
        <w:rPr>
          <w:color w:val="231F20"/>
        </w:rPr>
        <w:t>країнах</w:t>
      </w:r>
      <w:r>
        <w:rPr>
          <w:color w:val="231F20"/>
          <w:spacing w:val="-9"/>
        </w:rPr>
        <w:t xml:space="preserve"> </w:t>
      </w:r>
      <w:r>
        <w:rPr>
          <w:color w:val="231F20"/>
        </w:rPr>
        <w:t>ЄС,</w:t>
      </w:r>
      <w:r>
        <w:rPr>
          <w:color w:val="231F20"/>
          <w:spacing w:val="-9"/>
        </w:rPr>
        <w:t xml:space="preserve"> </w:t>
      </w:r>
      <w:r>
        <w:rPr>
          <w:color w:val="231F20"/>
        </w:rPr>
        <w:t>оскільки</w:t>
      </w:r>
      <w:r>
        <w:rPr>
          <w:color w:val="231F20"/>
          <w:spacing w:val="-9"/>
        </w:rPr>
        <w:t xml:space="preserve"> </w:t>
      </w:r>
      <w:r>
        <w:rPr>
          <w:color w:val="231F20"/>
        </w:rPr>
        <w:t xml:space="preserve">має багато переваг у порівнянні з </w:t>
      </w:r>
      <w:r>
        <w:rPr>
          <w:color w:val="231F20"/>
          <w:spacing w:val="-3"/>
        </w:rPr>
        <w:t xml:space="preserve">судовим </w:t>
      </w:r>
      <w:r>
        <w:rPr>
          <w:color w:val="231F20"/>
        </w:rPr>
        <w:t>вирішенням</w:t>
      </w:r>
      <w:r>
        <w:rPr>
          <w:color w:val="231F20"/>
          <w:spacing w:val="-1"/>
        </w:rPr>
        <w:t xml:space="preserve"> </w:t>
      </w:r>
      <w:r>
        <w:rPr>
          <w:color w:val="231F20"/>
        </w:rPr>
        <w:t>спорів</w:t>
      </w:r>
      <w:r>
        <w:rPr>
          <w:color w:val="231F20"/>
          <w:position w:val="7"/>
          <w:sz w:val="12"/>
        </w:rPr>
        <w:t>2</w:t>
      </w:r>
      <w:r>
        <w:rPr>
          <w:color w:val="231F20"/>
        </w:rPr>
        <w:t>.</w:t>
      </w:r>
    </w:p>
    <w:p w14:paraId="09D951F1" w14:textId="77777777" w:rsidR="00DE575E" w:rsidRDefault="002E7560">
      <w:pPr>
        <w:pStyle w:val="BodyText"/>
        <w:spacing w:before="1" w:line="252" w:lineRule="auto"/>
        <w:ind w:left="250" w:right="411" w:firstLine="283"/>
        <w:jc w:val="both"/>
      </w:pPr>
      <w:r>
        <w:rPr>
          <w:color w:val="231F20"/>
        </w:rPr>
        <w:t>Поняття медіації в законодавствах зарубіжних країн визнача- ється</w:t>
      </w:r>
      <w:r>
        <w:rPr>
          <w:color w:val="231F20"/>
          <w:spacing w:val="-6"/>
        </w:rPr>
        <w:t xml:space="preserve"> </w:t>
      </w:r>
      <w:r>
        <w:rPr>
          <w:color w:val="231F20"/>
        </w:rPr>
        <w:t>по-різному.</w:t>
      </w:r>
      <w:r>
        <w:rPr>
          <w:color w:val="231F20"/>
          <w:spacing w:val="-6"/>
        </w:rPr>
        <w:t xml:space="preserve"> </w:t>
      </w:r>
      <w:r>
        <w:rPr>
          <w:color w:val="231F20"/>
        </w:rPr>
        <w:t>Наприклад,</w:t>
      </w:r>
      <w:r>
        <w:rPr>
          <w:color w:val="231F20"/>
          <w:spacing w:val="-6"/>
        </w:rPr>
        <w:t xml:space="preserve"> </w:t>
      </w:r>
      <w:r>
        <w:rPr>
          <w:color w:val="231F20"/>
        </w:rPr>
        <w:t>у</w:t>
      </w:r>
      <w:r>
        <w:rPr>
          <w:color w:val="231F20"/>
          <w:spacing w:val="-6"/>
        </w:rPr>
        <w:t xml:space="preserve"> ст. </w:t>
      </w:r>
      <w:r>
        <w:rPr>
          <w:color w:val="231F20"/>
        </w:rPr>
        <w:t>2</w:t>
      </w:r>
      <w:r>
        <w:rPr>
          <w:color w:val="231F20"/>
          <w:spacing w:val="-6"/>
        </w:rPr>
        <w:t xml:space="preserve"> </w:t>
      </w:r>
      <w:r>
        <w:rPr>
          <w:color w:val="231F20"/>
        </w:rPr>
        <w:t>Акта</w:t>
      </w:r>
      <w:r>
        <w:rPr>
          <w:color w:val="231F20"/>
          <w:spacing w:val="-6"/>
        </w:rPr>
        <w:t xml:space="preserve"> </w:t>
      </w:r>
      <w:r>
        <w:rPr>
          <w:color w:val="231F20"/>
        </w:rPr>
        <w:t>медіації</w:t>
      </w:r>
      <w:r>
        <w:rPr>
          <w:color w:val="231F20"/>
          <w:spacing w:val="-6"/>
        </w:rPr>
        <w:t xml:space="preserve"> </w:t>
      </w:r>
      <w:r>
        <w:rPr>
          <w:color w:val="231F20"/>
        </w:rPr>
        <w:t>Республіки</w:t>
      </w:r>
      <w:r>
        <w:rPr>
          <w:color w:val="231F20"/>
          <w:spacing w:val="-6"/>
        </w:rPr>
        <w:t xml:space="preserve"> </w:t>
      </w:r>
      <w:r>
        <w:rPr>
          <w:color w:val="231F20"/>
          <w:spacing w:val="-3"/>
        </w:rPr>
        <w:t xml:space="preserve">Мальта </w:t>
      </w:r>
      <w:r>
        <w:rPr>
          <w:color w:val="231F20"/>
        </w:rPr>
        <w:t>зазнач</w:t>
      </w:r>
      <w:r>
        <w:rPr>
          <w:color w:val="231F20"/>
        </w:rPr>
        <w:t xml:space="preserve">ено, що медіація – це процес, у якому медіатор сприяє пере- говорам між сторонами, щоб допомогти їм достягнути мирової угоди щодо </w:t>
      </w:r>
      <w:r>
        <w:rPr>
          <w:color w:val="231F20"/>
          <w:spacing w:val="-4"/>
        </w:rPr>
        <w:t xml:space="preserve">спору. </w:t>
      </w:r>
      <w:r>
        <w:rPr>
          <w:color w:val="231F20"/>
          <w:spacing w:val="-6"/>
        </w:rPr>
        <w:t xml:space="preserve">Ст. </w:t>
      </w:r>
      <w:r>
        <w:rPr>
          <w:color w:val="231F20"/>
        </w:rPr>
        <w:t>1 Закону Румунії «Про медіацію та організа- цію професії медіатора» встановлено, що медіація є</w:t>
      </w:r>
      <w:r>
        <w:rPr>
          <w:color w:val="231F20"/>
          <w:spacing w:val="10"/>
        </w:rPr>
        <w:t xml:space="preserve"> </w:t>
      </w:r>
      <w:r>
        <w:rPr>
          <w:color w:val="231F20"/>
        </w:rPr>
        <w:t>додатковим</w:t>
      </w:r>
    </w:p>
    <w:p w14:paraId="71293628" w14:textId="6E39048C" w:rsidR="00DE575E" w:rsidRDefault="002E7560">
      <w:pPr>
        <w:pStyle w:val="BodyText"/>
        <w:spacing w:before="3"/>
        <w:rPr>
          <w:sz w:val="25"/>
        </w:rPr>
      </w:pPr>
      <w:r>
        <w:rPr>
          <w:noProof/>
        </w:rPr>
        <mc:AlternateContent>
          <mc:Choice Requires="wps">
            <w:drawing>
              <wp:anchor distT="0" distB="0" distL="0" distR="0" simplePos="0" relativeHeight="12520" behindDoc="0" locked="0" layoutInCell="1" allowOverlap="1" wp14:anchorId="693117D6" wp14:editId="4A42580F">
                <wp:simplePos x="0" y="0"/>
                <wp:positionH relativeFrom="page">
                  <wp:posOffset>539750</wp:posOffset>
                </wp:positionH>
                <wp:positionV relativeFrom="paragraph">
                  <wp:posOffset>216535</wp:posOffset>
                </wp:positionV>
                <wp:extent cx="1080135" cy="0"/>
                <wp:effectExtent l="6350" t="13335" r="31115" b="24765"/>
                <wp:wrapTopAndBottom/>
                <wp:docPr id="606"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2016B" id="Line_x0020_605" o:spid="_x0000_s1026" style="position:absolute;z-index:12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05pt" to="127.55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" strokecolor="#231f20" strokeweight=".5pt">
                <w10:wrap type="topAndBottom" anchorx="page"/>
              </v:line>
            </w:pict>
          </mc:Fallback>
        </mc:AlternateContent>
      </w:r>
    </w:p>
    <w:p w14:paraId="550F91CB" w14:textId="77777777" w:rsidR="00DE575E" w:rsidRDefault="002E7560">
      <w:pPr>
        <w:spacing w:line="148" w:lineRule="exact"/>
        <w:ind w:left="250"/>
        <w:rPr>
          <w:sz w:val="16"/>
        </w:rPr>
      </w:pPr>
      <w:r>
        <w:rPr>
          <w:color w:val="231F20"/>
          <w:position w:val="5"/>
          <w:sz w:val="9"/>
        </w:rPr>
        <w:t xml:space="preserve">1 </w:t>
      </w:r>
      <w:r>
        <w:rPr>
          <w:color w:val="231F20"/>
          <w:sz w:val="16"/>
        </w:rPr>
        <w:t>Притика Ю. Посередництво як нова форма вирішення приватноправових спорів.</w:t>
      </w:r>
    </w:p>
    <w:p w14:paraId="5158FCED" w14:textId="77777777" w:rsidR="00DE575E" w:rsidRDefault="002E7560">
      <w:pPr>
        <w:spacing w:line="174" w:lineRule="exact"/>
        <w:ind w:left="250"/>
        <w:rPr>
          <w:sz w:val="16"/>
        </w:rPr>
      </w:pPr>
      <w:r>
        <w:rPr>
          <w:i/>
          <w:color w:val="231F20"/>
          <w:sz w:val="16"/>
        </w:rPr>
        <w:t>Вісник господарського судочинства</w:t>
      </w:r>
      <w:r>
        <w:rPr>
          <w:color w:val="231F20"/>
          <w:sz w:val="16"/>
        </w:rPr>
        <w:t>. 2005. № 1. С. 231-237.</w:t>
      </w:r>
    </w:p>
    <w:p w14:paraId="5DEBE451" w14:textId="77777777" w:rsidR="00DE575E" w:rsidRDefault="002E7560">
      <w:pPr>
        <w:spacing w:before="23" w:line="204" w:lineRule="auto"/>
        <w:ind w:left="250" w:right="521"/>
        <w:rPr>
          <w:sz w:val="16"/>
        </w:rPr>
      </w:pPr>
      <w:r>
        <w:rPr>
          <w:color w:val="231F20"/>
          <w:position w:val="5"/>
          <w:sz w:val="9"/>
        </w:rPr>
        <w:t xml:space="preserve">2 </w:t>
      </w:r>
      <w:r>
        <w:rPr>
          <w:color w:val="231F20"/>
          <w:sz w:val="16"/>
        </w:rPr>
        <w:t xml:space="preserve">Белінська О. Медіація – Альтернативне вирішення спорів. </w:t>
      </w:r>
      <w:r>
        <w:rPr>
          <w:i/>
          <w:color w:val="231F20"/>
          <w:sz w:val="16"/>
        </w:rPr>
        <w:t>Вісник Вищої ради юстиції</w:t>
      </w:r>
      <w:r>
        <w:rPr>
          <w:color w:val="231F20"/>
          <w:sz w:val="16"/>
        </w:rPr>
        <w:t>. 2011. № 1 (5). С.158–160.</w:t>
      </w:r>
    </w:p>
    <w:p w14:paraId="3DA2D78F" w14:textId="77777777" w:rsidR="00DE575E" w:rsidRDefault="00DE575E">
      <w:pPr>
        <w:pStyle w:val="BodyText"/>
        <w:spacing w:before="5"/>
        <w:rPr>
          <w:sz w:val="12"/>
        </w:rPr>
      </w:pPr>
    </w:p>
    <w:p w14:paraId="2B346483" w14:textId="77777777" w:rsidR="00DE575E" w:rsidRDefault="002E7560">
      <w:pPr>
        <w:spacing w:before="92"/>
        <w:ind w:right="411"/>
        <w:jc w:val="right"/>
        <w:rPr>
          <w:rFonts w:ascii="Times New Roman"/>
          <w:sz w:val="20"/>
        </w:rPr>
      </w:pPr>
      <w:r>
        <w:rPr>
          <w:rFonts w:ascii="Times New Roman"/>
          <w:color w:val="231F20"/>
          <w:w w:val="90"/>
          <w:sz w:val="20"/>
        </w:rPr>
        <w:t>323</w:t>
      </w:r>
    </w:p>
    <w:p w14:paraId="1400CE1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DEEC2F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BBA2E35" w14:textId="784D1BF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B6C67A1" wp14:editId="4DEF81A3">
                <wp:extent cx="4140200" cy="6350"/>
                <wp:effectExtent l="0" t="0" r="12700" b="6350"/>
                <wp:docPr id="604"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05" name="Line 6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1BA05E" id="Group_x0020_6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g/sed34CAACYBQAADgAA&#10;AAAAAAAAAAAAAAAsAgAAZHJzL2Uyb0RvYy54bWxQSwECLQAUAAYACAAAACEATKewkNkAAAADAQAA&#10;DwAAAAAAAAAAAAAAAADWBAAAZHJzL2Rvd25yZXYueG1sUEsFBgAAAAAEAAQA8wAAANwFAAAAAA==&#10;">
                <v:line id="Line_x0020_6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kniMYAAADcAAAADwAAAGRycy9kb3ducmV2LnhtbESP0WrCQBRE3wX/YbkFX6RuqigluooU&#10;CsUHtaYfcM1ek9DduzG7mtiv7wqCj8PMnGEWq84acaXGV44VvI0SEMS50xUXCn6yz9d3ED4gazSO&#10;ScGNPKyW/d4CU+1a/qbrIRQiQtinqKAMoU6l9HlJFv3I1cTRO7nGYoiyKaRusI1wa+Q4SWbSYsVx&#10;ocSaPkrKfw8XqyA7D4PZ7zamzXbHiTyet5O/y1apwUu3noMI1IVn+NH+0gpmyRTuZ+IR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ZJ4jGAAAA3AAAAA8AAAAAAAAA&#10;AAAAAAAAoQIAAGRycy9kb3ducmV2LnhtbFBLBQYAAAAABAAEAPkAAACUAwAAAAA=&#10;" strokecolor="#231f20" strokeweight=".5pt"/>
                <w10:anchorlock/>
              </v:group>
            </w:pict>
          </mc:Fallback>
        </mc:AlternateContent>
      </w:r>
    </w:p>
    <w:p w14:paraId="408B952D" w14:textId="77777777" w:rsidR="00DE575E" w:rsidRDefault="00DE575E">
      <w:pPr>
        <w:pStyle w:val="BodyText"/>
        <w:spacing w:before="7"/>
        <w:rPr>
          <w:rFonts w:ascii="AdonisC"/>
          <w:i/>
          <w:sz w:val="11"/>
        </w:rPr>
      </w:pPr>
    </w:p>
    <w:p w14:paraId="45E6A4BB" w14:textId="77777777" w:rsidR="00DE575E" w:rsidRDefault="002E7560">
      <w:pPr>
        <w:pStyle w:val="BodyText"/>
        <w:spacing w:before="101" w:line="252" w:lineRule="auto"/>
        <w:ind w:left="533" w:right="128"/>
        <w:jc w:val="both"/>
      </w:pPr>
      <w:r>
        <w:rPr>
          <w:color w:val="231F20"/>
        </w:rPr>
        <w:t>способом урегулювання конфліктів через примирення за допо- могою третьої особи, яка має спеціалізацію медіатора, в умовах нейтральності, справедливості та конфіденційності. Відповідно до розділу</w:t>
      </w:r>
      <w:r>
        <w:rPr>
          <w:color w:val="231F20"/>
          <w:spacing w:val="-9"/>
        </w:rPr>
        <w:t xml:space="preserve"> </w:t>
      </w:r>
      <w:r>
        <w:rPr>
          <w:color w:val="231F20"/>
        </w:rPr>
        <w:t>2(1)</w:t>
      </w:r>
      <w:r>
        <w:rPr>
          <w:color w:val="231F20"/>
          <w:spacing w:val="-9"/>
        </w:rPr>
        <w:t xml:space="preserve"> </w:t>
      </w:r>
      <w:r>
        <w:rPr>
          <w:color w:val="231F20"/>
        </w:rPr>
        <w:t>Єдиного</w:t>
      </w:r>
      <w:r>
        <w:rPr>
          <w:color w:val="231F20"/>
          <w:spacing w:val="-9"/>
        </w:rPr>
        <w:t xml:space="preserve"> </w:t>
      </w:r>
      <w:r>
        <w:rPr>
          <w:color w:val="231F20"/>
        </w:rPr>
        <w:t>закону</w:t>
      </w:r>
      <w:r>
        <w:rPr>
          <w:color w:val="231F20"/>
          <w:spacing w:val="-9"/>
        </w:rPr>
        <w:t xml:space="preserve"> </w:t>
      </w:r>
      <w:r>
        <w:rPr>
          <w:color w:val="231F20"/>
        </w:rPr>
        <w:t>про</w:t>
      </w:r>
      <w:r>
        <w:rPr>
          <w:color w:val="231F20"/>
          <w:spacing w:val="-9"/>
        </w:rPr>
        <w:t xml:space="preserve"> </w:t>
      </w:r>
      <w:r>
        <w:rPr>
          <w:color w:val="231F20"/>
        </w:rPr>
        <w:t>медіацію</w:t>
      </w:r>
      <w:r>
        <w:rPr>
          <w:color w:val="231F20"/>
          <w:spacing w:val="-9"/>
        </w:rPr>
        <w:t xml:space="preserve"> </w:t>
      </w:r>
      <w:r>
        <w:rPr>
          <w:color w:val="231F20"/>
        </w:rPr>
        <w:t>США</w:t>
      </w:r>
      <w:r>
        <w:rPr>
          <w:color w:val="231F20"/>
          <w:spacing w:val="-11"/>
        </w:rPr>
        <w:t xml:space="preserve"> </w:t>
      </w:r>
      <w:r>
        <w:rPr>
          <w:b/>
          <w:i/>
          <w:color w:val="231F20"/>
        </w:rPr>
        <w:t>медіація</w:t>
      </w:r>
      <w:r>
        <w:rPr>
          <w:b/>
          <w:i/>
          <w:color w:val="231F20"/>
          <w:spacing w:val="-10"/>
        </w:rPr>
        <w:t xml:space="preserve"> </w:t>
      </w:r>
      <w:r>
        <w:rPr>
          <w:color w:val="231F20"/>
        </w:rPr>
        <w:t>–</w:t>
      </w:r>
      <w:r>
        <w:rPr>
          <w:color w:val="231F20"/>
          <w:spacing w:val="-9"/>
        </w:rPr>
        <w:t xml:space="preserve"> </w:t>
      </w:r>
      <w:r>
        <w:rPr>
          <w:color w:val="231F20"/>
        </w:rPr>
        <w:t>це</w:t>
      </w:r>
      <w:r>
        <w:rPr>
          <w:color w:val="231F20"/>
          <w:spacing w:val="-9"/>
        </w:rPr>
        <w:t xml:space="preserve"> </w:t>
      </w:r>
      <w:r>
        <w:rPr>
          <w:color w:val="231F20"/>
        </w:rPr>
        <w:t>процес, у</w:t>
      </w:r>
      <w:r>
        <w:rPr>
          <w:color w:val="231F20"/>
          <w:spacing w:val="-6"/>
        </w:rPr>
        <w:t xml:space="preserve"> </w:t>
      </w:r>
      <w:r>
        <w:rPr>
          <w:color w:val="231F20"/>
        </w:rPr>
        <w:t>якому</w:t>
      </w:r>
      <w:r>
        <w:rPr>
          <w:color w:val="231F20"/>
          <w:spacing w:val="-6"/>
        </w:rPr>
        <w:t xml:space="preserve"> </w:t>
      </w:r>
      <w:r>
        <w:rPr>
          <w:color w:val="231F20"/>
        </w:rPr>
        <w:t>посередник</w:t>
      </w:r>
      <w:r>
        <w:rPr>
          <w:color w:val="231F20"/>
          <w:spacing w:val="-6"/>
        </w:rPr>
        <w:t xml:space="preserve"> </w:t>
      </w:r>
      <w:r>
        <w:rPr>
          <w:color w:val="231F20"/>
        </w:rPr>
        <w:t>полегшує</w:t>
      </w:r>
      <w:r>
        <w:rPr>
          <w:color w:val="231F20"/>
          <w:spacing w:val="-6"/>
        </w:rPr>
        <w:t xml:space="preserve"> </w:t>
      </w:r>
      <w:r>
        <w:rPr>
          <w:color w:val="231F20"/>
        </w:rPr>
        <w:t>спілкування</w:t>
      </w:r>
      <w:r>
        <w:rPr>
          <w:color w:val="231F20"/>
          <w:spacing w:val="-6"/>
        </w:rPr>
        <w:t xml:space="preserve"> </w:t>
      </w:r>
      <w:r>
        <w:rPr>
          <w:color w:val="231F20"/>
        </w:rPr>
        <w:t>та</w:t>
      </w:r>
      <w:r>
        <w:rPr>
          <w:color w:val="231F20"/>
          <w:spacing w:val="-6"/>
        </w:rPr>
        <w:t xml:space="preserve"> </w:t>
      </w:r>
      <w:r>
        <w:rPr>
          <w:color w:val="231F20"/>
        </w:rPr>
        <w:t>переговори</w:t>
      </w:r>
      <w:r>
        <w:rPr>
          <w:color w:val="231F20"/>
          <w:spacing w:val="-6"/>
        </w:rPr>
        <w:t xml:space="preserve"> </w:t>
      </w:r>
      <w:r>
        <w:rPr>
          <w:color w:val="231F20"/>
        </w:rPr>
        <w:t>між</w:t>
      </w:r>
      <w:r>
        <w:rPr>
          <w:color w:val="231F20"/>
          <w:spacing w:val="-6"/>
        </w:rPr>
        <w:t xml:space="preserve"> </w:t>
      </w:r>
      <w:r>
        <w:rPr>
          <w:color w:val="231F20"/>
        </w:rPr>
        <w:t>сторо- нами, щоб допомогти досягти добровільної згоди щодо їх</w:t>
      </w:r>
      <w:r>
        <w:rPr>
          <w:color w:val="231F20"/>
          <w:spacing w:val="-18"/>
        </w:rPr>
        <w:t xml:space="preserve"> </w:t>
      </w:r>
      <w:r>
        <w:rPr>
          <w:color w:val="231F20"/>
          <w:spacing w:val="-4"/>
        </w:rPr>
        <w:t>спору.</w:t>
      </w:r>
    </w:p>
    <w:p w14:paraId="3C4A7B6A" w14:textId="77777777" w:rsidR="00DE575E" w:rsidRDefault="002E7560">
      <w:pPr>
        <w:pStyle w:val="BodyText"/>
        <w:spacing w:before="3" w:line="252" w:lineRule="auto"/>
        <w:ind w:left="533" w:right="126" w:firstLine="283"/>
        <w:jc w:val="both"/>
      </w:pPr>
      <w:r>
        <w:rPr>
          <w:color w:val="231F20"/>
        </w:rPr>
        <w:t xml:space="preserve">Згідно зі </w:t>
      </w:r>
      <w:r>
        <w:rPr>
          <w:color w:val="231F20"/>
          <w:spacing w:val="-6"/>
        </w:rPr>
        <w:t xml:space="preserve">ст. </w:t>
      </w:r>
      <w:r>
        <w:rPr>
          <w:color w:val="231F20"/>
        </w:rPr>
        <w:t xml:space="preserve">2 проєкту закону </w:t>
      </w:r>
      <w:r>
        <w:rPr>
          <w:color w:val="231F20"/>
          <w:spacing w:val="-3"/>
        </w:rPr>
        <w:t xml:space="preserve">України </w:t>
      </w:r>
      <w:r>
        <w:rPr>
          <w:color w:val="231F20"/>
        </w:rPr>
        <w:t xml:space="preserve">медіація – альтернатив- ний (позасудовий) метод вирішення суперечок, за допомогою якого дві </w:t>
      </w:r>
      <w:r>
        <w:rPr>
          <w:color w:val="231F20"/>
        </w:rPr>
        <w:t>чи більше сторони спору намагаються в межах структурованого процесу за участю медіатора досягти згоди для вирішення їхнього конфлікту.</w:t>
      </w:r>
      <w:r>
        <w:rPr>
          <w:color w:val="231F20"/>
          <w:spacing w:val="-25"/>
        </w:rPr>
        <w:t xml:space="preserve"> </w:t>
      </w:r>
      <w:r>
        <w:rPr>
          <w:color w:val="231F20"/>
          <w:spacing w:val="-4"/>
        </w:rPr>
        <w:t>Тобто</w:t>
      </w:r>
      <w:r>
        <w:rPr>
          <w:color w:val="231F20"/>
          <w:spacing w:val="-25"/>
        </w:rPr>
        <w:t xml:space="preserve"> </w:t>
      </w:r>
      <w:r>
        <w:rPr>
          <w:color w:val="231F20"/>
        </w:rPr>
        <w:t>медіація</w:t>
      </w:r>
      <w:r>
        <w:rPr>
          <w:color w:val="231F20"/>
          <w:spacing w:val="-25"/>
        </w:rPr>
        <w:t xml:space="preserve"> </w:t>
      </w:r>
      <w:r>
        <w:rPr>
          <w:color w:val="231F20"/>
        </w:rPr>
        <w:t>є</w:t>
      </w:r>
      <w:r>
        <w:rPr>
          <w:color w:val="231F20"/>
          <w:spacing w:val="-25"/>
        </w:rPr>
        <w:t xml:space="preserve"> </w:t>
      </w:r>
      <w:r>
        <w:rPr>
          <w:color w:val="231F20"/>
        </w:rPr>
        <w:t>альтернативним</w:t>
      </w:r>
      <w:r>
        <w:rPr>
          <w:color w:val="231F20"/>
          <w:spacing w:val="-25"/>
        </w:rPr>
        <w:t xml:space="preserve"> </w:t>
      </w:r>
      <w:r>
        <w:rPr>
          <w:color w:val="231F20"/>
        </w:rPr>
        <w:t>способом</w:t>
      </w:r>
      <w:r>
        <w:rPr>
          <w:color w:val="231F20"/>
          <w:spacing w:val="-25"/>
        </w:rPr>
        <w:t xml:space="preserve"> </w:t>
      </w:r>
      <w:r>
        <w:rPr>
          <w:color w:val="231F20"/>
        </w:rPr>
        <w:t xml:space="preserve">урегулювання спорів </w:t>
      </w:r>
      <w:r>
        <w:rPr>
          <w:color w:val="231F20"/>
          <w:spacing w:val="-2"/>
        </w:rPr>
        <w:t xml:space="preserve">(англ. </w:t>
      </w:r>
      <w:r>
        <w:rPr>
          <w:color w:val="231F20"/>
        </w:rPr>
        <w:t>Alternative Dispute Resolution) із залученням медіато</w:t>
      </w:r>
      <w:r>
        <w:rPr>
          <w:color w:val="231F20"/>
        </w:rPr>
        <w:t>ра. Її завданням є встановлення та сприяння веденню конструктив- ного діалогу між сторонами конфлікту (спору) з метою знайти взає- мовигідне рішення для сторін конфлікту. На відміну від формаль- ного юридичного процесу сторони медіації самостійно ухвалюють</w:t>
      </w:r>
      <w:r>
        <w:rPr>
          <w:color w:val="231F20"/>
        </w:rPr>
        <w:t xml:space="preserve"> рішення щодо спору</w:t>
      </w:r>
      <w:r>
        <w:rPr>
          <w:color w:val="231F20"/>
          <w:spacing w:val="-4"/>
        </w:rPr>
        <w:t xml:space="preserve"> </w:t>
      </w:r>
      <w:r>
        <w:rPr>
          <w:color w:val="231F20"/>
        </w:rPr>
        <w:t>(конфлікту)</w:t>
      </w:r>
      <w:r>
        <w:rPr>
          <w:color w:val="231F20"/>
          <w:position w:val="7"/>
          <w:sz w:val="12"/>
        </w:rPr>
        <w:t>1</w:t>
      </w:r>
      <w:r>
        <w:rPr>
          <w:color w:val="231F20"/>
        </w:rPr>
        <w:t>.</w:t>
      </w:r>
    </w:p>
    <w:p w14:paraId="106D776A" w14:textId="77777777" w:rsidR="00DE575E" w:rsidRDefault="002E7560">
      <w:pPr>
        <w:pStyle w:val="BodyText"/>
        <w:spacing w:before="5" w:line="252" w:lineRule="auto"/>
        <w:ind w:left="533" w:right="127" w:firstLine="283"/>
        <w:jc w:val="both"/>
      </w:pPr>
      <w:r>
        <w:rPr>
          <w:color w:val="231F20"/>
        </w:rPr>
        <w:t xml:space="preserve">В умовах чіткого законодавчого закріплення позиції вчених стосовно медіації різняться. Її розглядають як форму примирення сторін, спосіб врегулювання конфліктів, діяльність фахівця, проце- </w:t>
      </w:r>
      <w:r>
        <w:rPr>
          <w:color w:val="231F20"/>
          <w:spacing w:val="-5"/>
        </w:rPr>
        <w:t xml:space="preserve">дуру. </w:t>
      </w:r>
      <w:r>
        <w:rPr>
          <w:color w:val="231F20"/>
        </w:rPr>
        <w:t>На етапі становлення медіації як інституту різноманітність підходів та наукових поглядів є цілком справедливою. За умов формування меж інституту медіації, випрацьовується єдиний підхід до</w:t>
      </w:r>
      <w:r>
        <w:rPr>
          <w:color w:val="231F20"/>
          <w:spacing w:val="-7"/>
        </w:rPr>
        <w:t xml:space="preserve"> </w:t>
      </w:r>
      <w:r>
        <w:rPr>
          <w:color w:val="231F20"/>
        </w:rPr>
        <w:t>цього</w:t>
      </w:r>
      <w:r>
        <w:rPr>
          <w:color w:val="231F20"/>
          <w:spacing w:val="-7"/>
        </w:rPr>
        <w:t xml:space="preserve"> </w:t>
      </w:r>
      <w:r>
        <w:rPr>
          <w:color w:val="231F20"/>
        </w:rPr>
        <w:t>правового</w:t>
      </w:r>
      <w:r>
        <w:rPr>
          <w:color w:val="231F20"/>
          <w:spacing w:val="-7"/>
        </w:rPr>
        <w:t xml:space="preserve"> </w:t>
      </w:r>
      <w:r>
        <w:rPr>
          <w:color w:val="231F20"/>
        </w:rPr>
        <w:t>явища,</w:t>
      </w:r>
      <w:r>
        <w:rPr>
          <w:color w:val="231F20"/>
          <w:spacing w:val="-7"/>
        </w:rPr>
        <w:t xml:space="preserve"> </w:t>
      </w:r>
      <w:r>
        <w:rPr>
          <w:color w:val="231F20"/>
        </w:rPr>
        <w:t>його</w:t>
      </w:r>
      <w:r>
        <w:rPr>
          <w:color w:val="231F20"/>
          <w:spacing w:val="-7"/>
        </w:rPr>
        <w:t xml:space="preserve"> </w:t>
      </w:r>
      <w:r>
        <w:rPr>
          <w:color w:val="231F20"/>
        </w:rPr>
        <w:t>елементів</w:t>
      </w:r>
      <w:r>
        <w:rPr>
          <w:color w:val="231F20"/>
          <w:spacing w:val="-7"/>
        </w:rPr>
        <w:t xml:space="preserve"> </w:t>
      </w:r>
      <w:r>
        <w:rPr>
          <w:color w:val="231F20"/>
          <w:spacing w:val="-3"/>
        </w:rPr>
        <w:t>(суб’єкта,</w:t>
      </w:r>
      <w:r>
        <w:rPr>
          <w:color w:val="231F20"/>
          <w:spacing w:val="-7"/>
        </w:rPr>
        <w:t xml:space="preserve"> </w:t>
      </w:r>
      <w:r>
        <w:rPr>
          <w:color w:val="231F20"/>
          <w:spacing w:val="-3"/>
        </w:rPr>
        <w:t>об’єкта),</w:t>
      </w:r>
      <w:r>
        <w:rPr>
          <w:color w:val="231F20"/>
          <w:spacing w:val="-7"/>
        </w:rPr>
        <w:t xml:space="preserve"> </w:t>
      </w:r>
      <w:r>
        <w:rPr>
          <w:color w:val="231F20"/>
        </w:rPr>
        <w:t>методу вп</w:t>
      </w:r>
      <w:r>
        <w:rPr>
          <w:color w:val="231F20"/>
        </w:rPr>
        <w:t>ровадження в реальне правове</w:t>
      </w:r>
      <w:r>
        <w:rPr>
          <w:color w:val="231F20"/>
          <w:spacing w:val="-5"/>
        </w:rPr>
        <w:t xml:space="preserve"> </w:t>
      </w:r>
      <w:r>
        <w:rPr>
          <w:color w:val="231F20"/>
        </w:rPr>
        <w:t>життя.</w:t>
      </w:r>
    </w:p>
    <w:p w14:paraId="528AD22E" w14:textId="77777777" w:rsidR="00DE575E" w:rsidRDefault="002E7560">
      <w:pPr>
        <w:pStyle w:val="BodyText"/>
        <w:spacing w:before="4" w:line="252" w:lineRule="auto"/>
        <w:ind w:left="533" w:right="127" w:firstLine="283"/>
        <w:jc w:val="both"/>
      </w:pPr>
      <w:r>
        <w:rPr>
          <w:color w:val="231F20"/>
        </w:rPr>
        <w:t>Варто зазначити, що в державах ЄС медіація розглядається не тільки як спосіб альтернативного вирішення спорів, де вже виник конфлікт, але й як спосіб, який використовується для запобігання спору (конфлікту) в майбутньому</w:t>
      </w:r>
      <w:r>
        <w:rPr>
          <w:color w:val="231F20"/>
        </w:rPr>
        <w:t>, що безумовно розширює межі застосування медіації.</w:t>
      </w:r>
    </w:p>
    <w:p w14:paraId="32AE2327" w14:textId="77777777" w:rsidR="00DE575E" w:rsidRDefault="002E7560">
      <w:pPr>
        <w:spacing w:before="2" w:line="252" w:lineRule="auto"/>
        <w:ind w:left="533" w:right="128" w:firstLine="283"/>
        <w:jc w:val="both"/>
        <w:rPr>
          <w:i/>
          <w:sz w:val="21"/>
        </w:rPr>
      </w:pPr>
      <w:r>
        <w:rPr>
          <w:i/>
          <w:color w:val="231F20"/>
          <w:sz w:val="21"/>
        </w:rPr>
        <w:t>На міжнародному рівні спеціалізовані напрямки медіації відобра- жені в таких документах:</w:t>
      </w:r>
    </w:p>
    <w:p w14:paraId="5D874CFB" w14:textId="77777777" w:rsidR="00DE575E" w:rsidRDefault="002E7560">
      <w:pPr>
        <w:pStyle w:val="ListParagraph"/>
        <w:numPr>
          <w:ilvl w:val="0"/>
          <w:numId w:val="131"/>
        </w:numPr>
        <w:tabs>
          <w:tab w:val="left" w:pos="1101"/>
        </w:tabs>
        <w:spacing w:line="252" w:lineRule="auto"/>
        <w:ind w:right="128" w:firstLine="284"/>
        <w:rPr>
          <w:sz w:val="21"/>
        </w:rPr>
      </w:pPr>
      <w:r>
        <w:rPr>
          <w:color w:val="231F20"/>
          <w:sz w:val="21"/>
        </w:rPr>
        <w:t>Директива</w:t>
      </w:r>
      <w:r>
        <w:rPr>
          <w:color w:val="231F20"/>
          <w:spacing w:val="-9"/>
          <w:sz w:val="21"/>
        </w:rPr>
        <w:t xml:space="preserve"> </w:t>
      </w:r>
      <w:r>
        <w:rPr>
          <w:color w:val="231F20"/>
          <w:sz w:val="21"/>
        </w:rPr>
        <w:t>2008/52</w:t>
      </w:r>
      <w:r>
        <w:rPr>
          <w:color w:val="231F20"/>
          <w:spacing w:val="-10"/>
          <w:sz w:val="21"/>
        </w:rPr>
        <w:t xml:space="preserve"> </w:t>
      </w:r>
      <w:r>
        <w:rPr>
          <w:color w:val="231F20"/>
          <w:sz w:val="21"/>
        </w:rPr>
        <w:t>ЄС</w:t>
      </w:r>
      <w:r>
        <w:rPr>
          <w:color w:val="231F20"/>
          <w:spacing w:val="-9"/>
          <w:sz w:val="21"/>
        </w:rPr>
        <w:t xml:space="preserve"> </w:t>
      </w:r>
      <w:r>
        <w:rPr>
          <w:color w:val="231F20"/>
          <w:sz w:val="21"/>
        </w:rPr>
        <w:t>щодо</w:t>
      </w:r>
      <w:r>
        <w:rPr>
          <w:color w:val="231F20"/>
          <w:spacing w:val="-9"/>
          <w:sz w:val="21"/>
        </w:rPr>
        <w:t xml:space="preserve"> </w:t>
      </w:r>
      <w:r>
        <w:rPr>
          <w:color w:val="231F20"/>
          <w:sz w:val="21"/>
        </w:rPr>
        <w:t>деяких</w:t>
      </w:r>
      <w:r>
        <w:rPr>
          <w:color w:val="231F20"/>
          <w:spacing w:val="-9"/>
          <w:sz w:val="21"/>
        </w:rPr>
        <w:t xml:space="preserve"> </w:t>
      </w:r>
      <w:r>
        <w:rPr>
          <w:color w:val="231F20"/>
          <w:sz w:val="21"/>
        </w:rPr>
        <w:t>аспектів</w:t>
      </w:r>
      <w:r>
        <w:rPr>
          <w:color w:val="231F20"/>
          <w:spacing w:val="-9"/>
          <w:sz w:val="21"/>
        </w:rPr>
        <w:t xml:space="preserve"> </w:t>
      </w:r>
      <w:r>
        <w:rPr>
          <w:color w:val="231F20"/>
          <w:sz w:val="21"/>
        </w:rPr>
        <w:t>медіації</w:t>
      </w:r>
      <w:r>
        <w:rPr>
          <w:color w:val="231F20"/>
          <w:spacing w:val="-9"/>
          <w:sz w:val="21"/>
        </w:rPr>
        <w:t xml:space="preserve"> </w:t>
      </w:r>
      <w:r>
        <w:rPr>
          <w:color w:val="231F20"/>
          <w:sz w:val="21"/>
        </w:rPr>
        <w:t>в</w:t>
      </w:r>
      <w:r>
        <w:rPr>
          <w:color w:val="231F20"/>
          <w:spacing w:val="-10"/>
          <w:sz w:val="21"/>
        </w:rPr>
        <w:t xml:space="preserve"> </w:t>
      </w:r>
      <w:r>
        <w:rPr>
          <w:color w:val="231F20"/>
          <w:sz w:val="21"/>
        </w:rPr>
        <w:t>цивіль- них та комерційних</w:t>
      </w:r>
      <w:r>
        <w:rPr>
          <w:color w:val="231F20"/>
          <w:spacing w:val="-2"/>
          <w:sz w:val="21"/>
        </w:rPr>
        <w:t xml:space="preserve"> </w:t>
      </w:r>
      <w:r>
        <w:rPr>
          <w:color w:val="231F20"/>
          <w:sz w:val="21"/>
        </w:rPr>
        <w:t>справах;</w:t>
      </w:r>
    </w:p>
    <w:p w14:paraId="2AA133C5" w14:textId="77777777" w:rsidR="00DE575E" w:rsidRDefault="002E7560">
      <w:pPr>
        <w:pStyle w:val="ListParagraph"/>
        <w:numPr>
          <w:ilvl w:val="0"/>
          <w:numId w:val="131"/>
        </w:numPr>
        <w:tabs>
          <w:tab w:val="left" w:pos="1101"/>
        </w:tabs>
        <w:ind w:firstLine="284"/>
        <w:jc w:val="left"/>
        <w:rPr>
          <w:sz w:val="21"/>
        </w:rPr>
      </w:pPr>
      <w:r>
        <w:rPr>
          <w:color w:val="231F20"/>
          <w:sz w:val="21"/>
        </w:rPr>
        <w:t>Рекомендація, присвячена медіації в кримінальних</w:t>
      </w:r>
      <w:r>
        <w:rPr>
          <w:color w:val="231F20"/>
          <w:spacing w:val="-11"/>
          <w:sz w:val="21"/>
        </w:rPr>
        <w:t xml:space="preserve"> </w:t>
      </w:r>
      <w:r>
        <w:rPr>
          <w:color w:val="231F20"/>
          <w:sz w:val="21"/>
        </w:rPr>
        <w:t>справах;</w:t>
      </w:r>
    </w:p>
    <w:p w14:paraId="054BC657" w14:textId="77777777" w:rsidR="00DE575E" w:rsidRDefault="002E7560">
      <w:pPr>
        <w:pStyle w:val="ListParagraph"/>
        <w:numPr>
          <w:ilvl w:val="0"/>
          <w:numId w:val="131"/>
        </w:numPr>
        <w:tabs>
          <w:tab w:val="left" w:pos="1101"/>
        </w:tabs>
        <w:spacing w:before="13"/>
        <w:ind w:firstLine="284"/>
        <w:jc w:val="left"/>
        <w:rPr>
          <w:sz w:val="21"/>
        </w:rPr>
      </w:pPr>
      <w:r>
        <w:rPr>
          <w:color w:val="231F20"/>
          <w:sz w:val="21"/>
        </w:rPr>
        <w:t>Рекомендація щодо медіації в сімейних</w:t>
      </w:r>
      <w:r>
        <w:rPr>
          <w:color w:val="231F20"/>
          <w:spacing w:val="-6"/>
          <w:sz w:val="21"/>
        </w:rPr>
        <w:t xml:space="preserve"> </w:t>
      </w:r>
      <w:r>
        <w:rPr>
          <w:color w:val="231F20"/>
          <w:sz w:val="21"/>
        </w:rPr>
        <w:t>питаннях;</w:t>
      </w:r>
    </w:p>
    <w:p w14:paraId="4704ACCE" w14:textId="77777777" w:rsidR="00DE575E" w:rsidRDefault="00DE575E">
      <w:pPr>
        <w:pStyle w:val="BodyText"/>
        <w:rPr>
          <w:sz w:val="20"/>
        </w:rPr>
      </w:pPr>
    </w:p>
    <w:p w14:paraId="19663354" w14:textId="14C92DFE" w:rsidR="00DE575E" w:rsidRDefault="002E7560">
      <w:pPr>
        <w:pStyle w:val="BodyText"/>
        <w:spacing w:before="9"/>
        <w:rPr>
          <w:sz w:val="13"/>
        </w:rPr>
      </w:pPr>
      <w:r>
        <w:rPr>
          <w:noProof/>
        </w:rPr>
        <mc:AlternateContent>
          <mc:Choice Requires="wps">
            <w:drawing>
              <wp:anchor distT="0" distB="0" distL="0" distR="0" simplePos="0" relativeHeight="12568" behindDoc="0" locked="0" layoutInCell="1" allowOverlap="1" wp14:anchorId="576B62A5" wp14:editId="18371910">
                <wp:simplePos x="0" y="0"/>
                <wp:positionH relativeFrom="page">
                  <wp:posOffset>719455</wp:posOffset>
                </wp:positionH>
                <wp:positionV relativeFrom="paragraph">
                  <wp:posOffset>130175</wp:posOffset>
                </wp:positionV>
                <wp:extent cx="1080135" cy="0"/>
                <wp:effectExtent l="8255" t="15875" r="29210" b="22225"/>
                <wp:wrapTopAndBottom/>
                <wp:docPr id="603"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AAE8" id="Line_x0020_602" o:spid="_x0000_s1026" style="position:absolute;z-index:12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25pt" to="141.7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" strokecolor="#231f20" strokeweight=".5pt">
                <w10:wrap type="topAndBottom" anchorx="page"/>
              </v:line>
            </w:pict>
          </mc:Fallback>
        </mc:AlternateContent>
      </w:r>
    </w:p>
    <w:p w14:paraId="00CBE4DA" w14:textId="77777777" w:rsidR="00DE575E" w:rsidRDefault="002E7560">
      <w:pPr>
        <w:spacing w:line="148" w:lineRule="exact"/>
        <w:ind w:left="533"/>
        <w:rPr>
          <w:sz w:val="16"/>
        </w:rPr>
      </w:pPr>
      <w:r>
        <w:rPr>
          <w:color w:val="231F20"/>
          <w:position w:val="5"/>
          <w:sz w:val="9"/>
        </w:rPr>
        <w:t xml:space="preserve">1 </w:t>
      </w:r>
      <w:r>
        <w:rPr>
          <w:color w:val="231F20"/>
          <w:sz w:val="16"/>
        </w:rPr>
        <w:t>Подковенко Т. Інститут медіації: зарубіжний досвід та українські перспективи.</w:t>
      </w:r>
    </w:p>
    <w:p w14:paraId="29172FAD" w14:textId="77777777" w:rsidR="00DE575E" w:rsidRDefault="002E7560">
      <w:pPr>
        <w:spacing w:line="174" w:lineRule="exact"/>
        <w:ind w:left="533"/>
        <w:rPr>
          <w:sz w:val="16"/>
        </w:rPr>
      </w:pPr>
      <w:r>
        <w:rPr>
          <w:i/>
          <w:color w:val="231F20"/>
          <w:sz w:val="16"/>
        </w:rPr>
        <w:t>Актуальні проблеми правознавства</w:t>
      </w:r>
      <w:r>
        <w:rPr>
          <w:color w:val="231F20"/>
          <w:sz w:val="16"/>
        </w:rPr>
        <w:t>. 2016. Вип. 1. С. 26–29.</w:t>
      </w:r>
    </w:p>
    <w:p w14:paraId="798CC754" w14:textId="77777777" w:rsidR="00DE575E" w:rsidRDefault="00DE575E">
      <w:pPr>
        <w:pStyle w:val="BodyText"/>
        <w:spacing w:before="10"/>
        <w:rPr>
          <w:sz w:val="11"/>
        </w:rPr>
      </w:pPr>
    </w:p>
    <w:p w14:paraId="28C7D1CC" w14:textId="77777777" w:rsidR="00DE575E" w:rsidRDefault="002E7560">
      <w:pPr>
        <w:spacing w:before="92"/>
        <w:ind w:left="533"/>
        <w:rPr>
          <w:rFonts w:ascii="Times New Roman"/>
          <w:sz w:val="20"/>
        </w:rPr>
      </w:pPr>
      <w:r>
        <w:rPr>
          <w:rFonts w:ascii="Times New Roman"/>
          <w:color w:val="231F20"/>
          <w:sz w:val="20"/>
        </w:rPr>
        <w:t>324</w:t>
      </w:r>
    </w:p>
    <w:p w14:paraId="14C84D1D" w14:textId="77777777" w:rsidR="00DE575E" w:rsidRDefault="00DE575E">
      <w:pPr>
        <w:rPr>
          <w:rFonts w:ascii="Times New Roman"/>
          <w:sz w:val="20"/>
        </w:rPr>
        <w:sectPr w:rsidR="00DE575E">
          <w:pgSz w:w="8510" w:h="12760"/>
          <w:pgMar w:top="660" w:right="720" w:bottom="280" w:left="600" w:header="720" w:footer="720" w:gutter="0"/>
          <w:cols w:space="720"/>
        </w:sectPr>
      </w:pPr>
    </w:p>
    <w:p w14:paraId="63430861"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1DA56FF2" w14:textId="265F83D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DB42DEE" wp14:editId="51C8FB5A">
                <wp:extent cx="4140200" cy="6350"/>
                <wp:effectExtent l="0" t="0" r="12700" b="6350"/>
                <wp:docPr id="601"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02" name="Line 60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B25E9" id="Group_x0020_60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WdwCzH4CAACYBQAADgAA&#10;AAAAAAAAAAAAAAAsAgAAZHJzL2Uyb0RvYy54bWxQSwECLQAUAAYACAAAACEATKewkNkAAAADAQAA&#10;DwAAAAAAAAAAAAAAAADWBAAAZHJzL2Rvd25yZXYueG1sUEsFBgAAAAAEAAQA8wAAANwFAAAAAA==&#10;">
                <v:line id="Line_x0020_60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C//MUAAADcAAAADwAAAGRycy9kb3ducmV2LnhtbESP0WrCQBRE3wv+w3KFvhTdVEEkuooI&#10;BfFBrfEDrtlrEty9G7OrSfv1XaHg4zAzZ5j5srNGPKjxlWMFn8MEBHHudMWFglP2NZiC8AFZo3FM&#10;Cn7Iw3LRe5tjql3L3/Q4hkJECPsUFZQh1KmUPi/Joh+6mjh6F9dYDFE2hdQNthFujRwlyURarDgu&#10;lFjTuqT8erxbBdntI5jDfmvabH8ey/NtN/6975R673erGYhAXXiF/9sbrWCSjOB5Jh4Buf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C//MUAAADcAAAADwAAAAAAAAAA&#10;AAAAAAChAgAAZHJzL2Rvd25yZXYueG1sUEsFBgAAAAAEAAQA+QAAAJMDAAAAAA==&#10;" strokecolor="#231f20" strokeweight=".5pt"/>
                <w10:anchorlock/>
              </v:group>
            </w:pict>
          </mc:Fallback>
        </mc:AlternateContent>
      </w:r>
    </w:p>
    <w:p w14:paraId="6EC4504E" w14:textId="77777777" w:rsidR="00DE575E" w:rsidRDefault="00DE575E">
      <w:pPr>
        <w:pStyle w:val="BodyText"/>
        <w:spacing w:before="7"/>
        <w:rPr>
          <w:rFonts w:ascii="AdonisC"/>
          <w:i/>
          <w:sz w:val="19"/>
        </w:rPr>
      </w:pPr>
    </w:p>
    <w:p w14:paraId="7C49C5C8" w14:textId="77777777" w:rsidR="00DE575E" w:rsidRDefault="002E7560">
      <w:pPr>
        <w:pStyle w:val="ListParagraph"/>
        <w:numPr>
          <w:ilvl w:val="0"/>
          <w:numId w:val="197"/>
        </w:numPr>
        <w:tabs>
          <w:tab w:val="left" w:pos="818"/>
        </w:tabs>
        <w:spacing w:line="252" w:lineRule="auto"/>
        <w:ind w:right="411" w:firstLine="283"/>
        <w:rPr>
          <w:sz w:val="21"/>
        </w:rPr>
      </w:pPr>
      <w:r>
        <w:rPr>
          <w:color w:val="231F20"/>
          <w:sz w:val="21"/>
        </w:rPr>
        <w:t xml:space="preserve">Рекомендація про альтернативи </w:t>
      </w:r>
      <w:r>
        <w:rPr>
          <w:color w:val="231F20"/>
          <w:spacing w:val="-3"/>
          <w:sz w:val="21"/>
        </w:rPr>
        <w:t xml:space="preserve">судового розгляду </w:t>
      </w:r>
      <w:r>
        <w:rPr>
          <w:color w:val="231F20"/>
          <w:sz w:val="21"/>
        </w:rPr>
        <w:t>між адмі- ністративними органами і приватними</w:t>
      </w:r>
      <w:r>
        <w:rPr>
          <w:color w:val="231F20"/>
          <w:spacing w:val="-4"/>
          <w:sz w:val="21"/>
        </w:rPr>
        <w:t xml:space="preserve"> </w:t>
      </w:r>
      <w:r>
        <w:rPr>
          <w:color w:val="231F20"/>
          <w:sz w:val="21"/>
        </w:rPr>
        <w:t>особами;</w:t>
      </w:r>
    </w:p>
    <w:p w14:paraId="353576D4" w14:textId="77777777" w:rsidR="00DE575E" w:rsidRDefault="002E7560">
      <w:pPr>
        <w:pStyle w:val="ListParagraph"/>
        <w:numPr>
          <w:ilvl w:val="0"/>
          <w:numId w:val="197"/>
        </w:numPr>
        <w:tabs>
          <w:tab w:val="left" w:pos="818"/>
        </w:tabs>
        <w:spacing w:line="252" w:lineRule="auto"/>
        <w:ind w:right="411" w:firstLine="283"/>
        <w:rPr>
          <w:sz w:val="21"/>
        </w:rPr>
      </w:pPr>
      <w:r>
        <w:rPr>
          <w:color w:val="231F20"/>
          <w:sz w:val="21"/>
        </w:rPr>
        <w:t>Директива 2013/11 ЄС про позасудове врегулювання спожив- чих спорів;</w:t>
      </w:r>
    </w:p>
    <w:p w14:paraId="5F1C6F84" w14:textId="77777777" w:rsidR="00DE575E" w:rsidRDefault="002E7560">
      <w:pPr>
        <w:pStyle w:val="ListParagraph"/>
        <w:numPr>
          <w:ilvl w:val="0"/>
          <w:numId w:val="197"/>
        </w:numPr>
        <w:tabs>
          <w:tab w:val="left" w:pos="818"/>
        </w:tabs>
        <w:ind w:firstLine="283"/>
        <w:jc w:val="left"/>
        <w:rPr>
          <w:sz w:val="21"/>
        </w:rPr>
      </w:pPr>
      <w:r>
        <w:rPr>
          <w:color w:val="231F20"/>
          <w:sz w:val="21"/>
        </w:rPr>
        <w:t>Хартія про міжнародну сімейну</w:t>
      </w:r>
      <w:r>
        <w:rPr>
          <w:color w:val="231F20"/>
          <w:spacing w:val="-5"/>
          <w:sz w:val="21"/>
        </w:rPr>
        <w:t xml:space="preserve"> </w:t>
      </w:r>
      <w:r>
        <w:rPr>
          <w:color w:val="231F20"/>
          <w:sz w:val="21"/>
        </w:rPr>
        <w:t>медіацію.</w:t>
      </w:r>
    </w:p>
    <w:p w14:paraId="60EF0640" w14:textId="77777777" w:rsidR="00DE575E" w:rsidRDefault="002E7560">
      <w:pPr>
        <w:pStyle w:val="BodyText"/>
        <w:spacing w:before="12" w:line="252" w:lineRule="auto"/>
        <w:ind w:left="250" w:right="411" w:firstLine="283"/>
        <w:jc w:val="both"/>
      </w:pPr>
      <w:r>
        <w:rPr>
          <w:color w:val="231F20"/>
        </w:rPr>
        <w:t xml:space="preserve">Завдяки світовій практиці та науковим дослідженням націо- нальне законодавство </w:t>
      </w:r>
      <w:r>
        <w:rPr>
          <w:color w:val="231F20"/>
          <w:spacing w:val="-3"/>
        </w:rPr>
        <w:t xml:space="preserve">України </w:t>
      </w:r>
      <w:r>
        <w:rPr>
          <w:color w:val="231F20"/>
        </w:rPr>
        <w:t xml:space="preserve">зможе віднайти баланс, який </w:t>
      </w:r>
      <w:r>
        <w:rPr>
          <w:color w:val="231F20"/>
          <w:spacing w:val="-4"/>
        </w:rPr>
        <w:t xml:space="preserve">буде </w:t>
      </w:r>
      <w:r>
        <w:rPr>
          <w:color w:val="231F20"/>
        </w:rPr>
        <w:t>найкращим чином сприяти розвитку медіації в межах правового поля,</w:t>
      </w:r>
      <w:r>
        <w:rPr>
          <w:color w:val="231F20"/>
          <w:spacing w:val="-15"/>
        </w:rPr>
        <w:t xml:space="preserve"> </w:t>
      </w:r>
      <w:r>
        <w:rPr>
          <w:color w:val="231F20"/>
        </w:rPr>
        <w:t>визначить</w:t>
      </w:r>
      <w:r>
        <w:rPr>
          <w:color w:val="231F20"/>
          <w:spacing w:val="-15"/>
        </w:rPr>
        <w:t xml:space="preserve"> </w:t>
      </w:r>
      <w:r>
        <w:rPr>
          <w:color w:val="231F20"/>
        </w:rPr>
        <w:t>способи</w:t>
      </w:r>
      <w:r>
        <w:rPr>
          <w:color w:val="231F20"/>
          <w:spacing w:val="-16"/>
        </w:rPr>
        <w:t xml:space="preserve"> </w:t>
      </w:r>
      <w:r>
        <w:rPr>
          <w:color w:val="231F20"/>
        </w:rPr>
        <w:t>організації</w:t>
      </w:r>
      <w:r>
        <w:rPr>
          <w:color w:val="231F20"/>
          <w:spacing w:val="-16"/>
        </w:rPr>
        <w:t xml:space="preserve"> </w:t>
      </w:r>
      <w:r>
        <w:rPr>
          <w:color w:val="231F20"/>
        </w:rPr>
        <w:t>роботи</w:t>
      </w:r>
      <w:r>
        <w:rPr>
          <w:color w:val="231F20"/>
          <w:spacing w:val="-15"/>
        </w:rPr>
        <w:t xml:space="preserve"> </w:t>
      </w:r>
      <w:r>
        <w:rPr>
          <w:color w:val="231F20"/>
        </w:rPr>
        <w:t>медіатора,</w:t>
      </w:r>
      <w:r>
        <w:rPr>
          <w:color w:val="231F20"/>
          <w:spacing w:val="-16"/>
        </w:rPr>
        <w:t xml:space="preserve"> </w:t>
      </w:r>
      <w:r>
        <w:rPr>
          <w:color w:val="231F20"/>
        </w:rPr>
        <w:t>систему</w:t>
      </w:r>
      <w:r>
        <w:rPr>
          <w:color w:val="231F20"/>
          <w:spacing w:val="-15"/>
        </w:rPr>
        <w:t xml:space="preserve"> </w:t>
      </w:r>
      <w:r>
        <w:rPr>
          <w:color w:val="231F20"/>
        </w:rPr>
        <w:t>побу- дови комунікації, види та технологічні моделі</w:t>
      </w:r>
      <w:r>
        <w:rPr>
          <w:color w:val="231F20"/>
          <w:spacing w:val="-10"/>
        </w:rPr>
        <w:t xml:space="preserve"> </w:t>
      </w:r>
      <w:r>
        <w:rPr>
          <w:color w:val="231F20"/>
        </w:rPr>
        <w:t>медіації.</w:t>
      </w:r>
    </w:p>
    <w:p w14:paraId="4CCFA349" w14:textId="77777777" w:rsidR="00DE575E" w:rsidRDefault="002E7560">
      <w:pPr>
        <w:pStyle w:val="BodyText"/>
        <w:spacing w:before="3" w:line="252" w:lineRule="auto"/>
        <w:ind w:left="250" w:right="410" w:firstLine="283"/>
        <w:jc w:val="both"/>
      </w:pPr>
      <w:r>
        <w:rPr>
          <w:color w:val="231F20"/>
        </w:rPr>
        <w:t>На</w:t>
      </w:r>
      <w:r>
        <w:rPr>
          <w:color w:val="231F20"/>
          <w:spacing w:val="-9"/>
        </w:rPr>
        <w:t xml:space="preserve"> </w:t>
      </w:r>
      <w:r>
        <w:rPr>
          <w:color w:val="231F20"/>
        </w:rPr>
        <w:t>сучасному</w:t>
      </w:r>
      <w:r>
        <w:rPr>
          <w:color w:val="231F20"/>
          <w:spacing w:val="-9"/>
        </w:rPr>
        <w:t xml:space="preserve"> </w:t>
      </w:r>
      <w:r>
        <w:rPr>
          <w:color w:val="231F20"/>
        </w:rPr>
        <w:t>етапі</w:t>
      </w:r>
      <w:r>
        <w:rPr>
          <w:color w:val="231F20"/>
          <w:spacing w:val="-9"/>
        </w:rPr>
        <w:t xml:space="preserve"> </w:t>
      </w:r>
      <w:r>
        <w:rPr>
          <w:color w:val="231F20"/>
        </w:rPr>
        <w:t>розвитку</w:t>
      </w:r>
      <w:r>
        <w:rPr>
          <w:color w:val="231F20"/>
          <w:spacing w:val="-9"/>
        </w:rPr>
        <w:t xml:space="preserve"> </w:t>
      </w:r>
      <w:r>
        <w:rPr>
          <w:color w:val="231F20"/>
        </w:rPr>
        <w:t>української</w:t>
      </w:r>
      <w:r>
        <w:rPr>
          <w:color w:val="231F20"/>
          <w:spacing w:val="-9"/>
        </w:rPr>
        <w:t xml:space="preserve"> </w:t>
      </w:r>
      <w:r>
        <w:rPr>
          <w:color w:val="231F20"/>
        </w:rPr>
        <w:t>держави</w:t>
      </w:r>
      <w:r>
        <w:rPr>
          <w:color w:val="231F20"/>
          <w:spacing w:val="-9"/>
        </w:rPr>
        <w:t xml:space="preserve"> </w:t>
      </w:r>
      <w:r>
        <w:rPr>
          <w:color w:val="231F20"/>
        </w:rPr>
        <w:t>та</w:t>
      </w:r>
      <w:r>
        <w:rPr>
          <w:color w:val="231F20"/>
          <w:spacing w:val="-9"/>
        </w:rPr>
        <w:t xml:space="preserve"> </w:t>
      </w:r>
      <w:r>
        <w:rPr>
          <w:color w:val="231F20"/>
        </w:rPr>
        <w:t>права</w:t>
      </w:r>
      <w:r>
        <w:rPr>
          <w:color w:val="231F20"/>
          <w:spacing w:val="-9"/>
        </w:rPr>
        <w:t xml:space="preserve"> </w:t>
      </w:r>
      <w:r>
        <w:rPr>
          <w:color w:val="231F20"/>
        </w:rPr>
        <w:t>запро- вадження</w:t>
      </w:r>
      <w:r>
        <w:rPr>
          <w:color w:val="231F20"/>
          <w:spacing w:val="-8"/>
        </w:rPr>
        <w:t xml:space="preserve"> </w:t>
      </w:r>
      <w:r>
        <w:rPr>
          <w:color w:val="231F20"/>
        </w:rPr>
        <w:t>альтернативних</w:t>
      </w:r>
      <w:r>
        <w:rPr>
          <w:color w:val="231F20"/>
          <w:spacing w:val="-8"/>
        </w:rPr>
        <w:t xml:space="preserve"> </w:t>
      </w:r>
      <w:r>
        <w:rPr>
          <w:color w:val="231F20"/>
        </w:rPr>
        <w:t>позасудових</w:t>
      </w:r>
      <w:r>
        <w:rPr>
          <w:color w:val="231F20"/>
          <w:spacing w:val="-8"/>
        </w:rPr>
        <w:t xml:space="preserve"> </w:t>
      </w:r>
      <w:r>
        <w:rPr>
          <w:color w:val="231F20"/>
        </w:rPr>
        <w:t>методів</w:t>
      </w:r>
      <w:r>
        <w:rPr>
          <w:color w:val="231F20"/>
          <w:spacing w:val="-8"/>
        </w:rPr>
        <w:t xml:space="preserve"> </w:t>
      </w:r>
      <w:r>
        <w:rPr>
          <w:color w:val="231F20"/>
        </w:rPr>
        <w:t>вирішення</w:t>
      </w:r>
      <w:r>
        <w:rPr>
          <w:color w:val="231F20"/>
          <w:spacing w:val="-9"/>
        </w:rPr>
        <w:t xml:space="preserve"> </w:t>
      </w:r>
      <w:r>
        <w:rPr>
          <w:color w:val="231F20"/>
        </w:rPr>
        <w:t xml:space="preserve">юридич- них спорів сприятиме зменшенню навантаження на </w:t>
      </w:r>
      <w:r>
        <w:rPr>
          <w:color w:val="231F20"/>
          <w:spacing w:val="-3"/>
        </w:rPr>
        <w:t xml:space="preserve">судову систему, </w:t>
      </w:r>
      <w:r>
        <w:rPr>
          <w:color w:val="231F20"/>
        </w:rPr>
        <w:t xml:space="preserve">значній економії коштів на веденні </w:t>
      </w:r>
      <w:r>
        <w:rPr>
          <w:color w:val="231F20"/>
          <w:spacing w:val="-3"/>
        </w:rPr>
        <w:t xml:space="preserve">судового процесу, </w:t>
      </w:r>
      <w:r>
        <w:rPr>
          <w:color w:val="231F20"/>
        </w:rPr>
        <w:t xml:space="preserve">позитивно вплине на правову </w:t>
      </w:r>
      <w:r>
        <w:rPr>
          <w:color w:val="231F20"/>
          <w:spacing w:val="-3"/>
        </w:rPr>
        <w:t xml:space="preserve">культуру </w:t>
      </w:r>
      <w:r>
        <w:rPr>
          <w:color w:val="231F20"/>
        </w:rPr>
        <w:t>та свідомість, п</w:t>
      </w:r>
      <w:r>
        <w:rPr>
          <w:color w:val="231F20"/>
        </w:rPr>
        <w:t xml:space="preserve">ришвидшить вирі- шення суперечок, надасть можливість вимірювати справедливість самостійно,  створить  можливість  зберегти  позитивні  відносини  з контрагентом в майбутньому. Для легалізації медіації потрібно ухвалити нормативно-правовий </w:t>
      </w:r>
      <w:r>
        <w:rPr>
          <w:color w:val="231F20"/>
          <w:spacing w:val="-5"/>
        </w:rPr>
        <w:t xml:space="preserve">акт, </w:t>
      </w:r>
      <w:r>
        <w:rPr>
          <w:color w:val="231F20"/>
        </w:rPr>
        <w:t>який забезпечить належне врегулювання</w:t>
      </w:r>
      <w:r>
        <w:rPr>
          <w:color w:val="231F20"/>
          <w:spacing w:val="-8"/>
        </w:rPr>
        <w:t xml:space="preserve"> </w:t>
      </w:r>
      <w:r>
        <w:rPr>
          <w:color w:val="231F20"/>
        </w:rPr>
        <w:t>її</w:t>
      </w:r>
      <w:r>
        <w:rPr>
          <w:color w:val="231F20"/>
          <w:spacing w:val="-8"/>
        </w:rPr>
        <w:t xml:space="preserve"> </w:t>
      </w:r>
      <w:r>
        <w:rPr>
          <w:color w:val="231F20"/>
        </w:rPr>
        <w:t>процедури,</w:t>
      </w:r>
      <w:r>
        <w:rPr>
          <w:color w:val="231F20"/>
          <w:spacing w:val="-8"/>
        </w:rPr>
        <w:t xml:space="preserve"> </w:t>
      </w:r>
      <w:r>
        <w:rPr>
          <w:color w:val="231F20"/>
        </w:rPr>
        <w:t>дієвість,</w:t>
      </w:r>
      <w:r>
        <w:rPr>
          <w:color w:val="231F20"/>
          <w:spacing w:val="-8"/>
        </w:rPr>
        <w:t xml:space="preserve"> </w:t>
      </w:r>
      <w:r>
        <w:rPr>
          <w:color w:val="231F20"/>
        </w:rPr>
        <w:t>права</w:t>
      </w:r>
      <w:r>
        <w:rPr>
          <w:color w:val="231F20"/>
          <w:spacing w:val="-8"/>
        </w:rPr>
        <w:t xml:space="preserve"> </w:t>
      </w:r>
      <w:r>
        <w:rPr>
          <w:color w:val="231F20"/>
        </w:rPr>
        <w:t>та</w:t>
      </w:r>
      <w:r>
        <w:rPr>
          <w:color w:val="231F20"/>
          <w:spacing w:val="-8"/>
        </w:rPr>
        <w:t xml:space="preserve"> </w:t>
      </w:r>
      <w:r>
        <w:rPr>
          <w:color w:val="231F20"/>
        </w:rPr>
        <w:t>відповідальність</w:t>
      </w:r>
      <w:r>
        <w:rPr>
          <w:color w:val="231F20"/>
          <w:spacing w:val="-8"/>
        </w:rPr>
        <w:t xml:space="preserve"> </w:t>
      </w:r>
      <w:r>
        <w:rPr>
          <w:color w:val="231F20"/>
        </w:rPr>
        <w:t>учас- ників,</w:t>
      </w:r>
      <w:r>
        <w:rPr>
          <w:color w:val="231F20"/>
          <w:spacing w:val="-10"/>
        </w:rPr>
        <w:t xml:space="preserve"> </w:t>
      </w:r>
      <w:r>
        <w:rPr>
          <w:color w:val="231F20"/>
        </w:rPr>
        <w:t>способи</w:t>
      </w:r>
      <w:r>
        <w:rPr>
          <w:color w:val="231F20"/>
          <w:spacing w:val="-10"/>
        </w:rPr>
        <w:t xml:space="preserve"> </w:t>
      </w:r>
      <w:r>
        <w:rPr>
          <w:color w:val="231F20"/>
        </w:rPr>
        <w:t>захисту</w:t>
      </w:r>
      <w:r>
        <w:rPr>
          <w:color w:val="231F20"/>
          <w:spacing w:val="-10"/>
        </w:rPr>
        <w:t xml:space="preserve"> </w:t>
      </w:r>
      <w:r>
        <w:rPr>
          <w:color w:val="231F20"/>
        </w:rPr>
        <w:t>прав</w:t>
      </w:r>
      <w:r>
        <w:rPr>
          <w:color w:val="231F20"/>
          <w:spacing w:val="-10"/>
        </w:rPr>
        <w:t xml:space="preserve"> </w:t>
      </w:r>
      <w:r>
        <w:rPr>
          <w:color w:val="231F20"/>
        </w:rPr>
        <w:t>та</w:t>
      </w:r>
      <w:r>
        <w:rPr>
          <w:color w:val="231F20"/>
          <w:spacing w:val="-10"/>
        </w:rPr>
        <w:t xml:space="preserve"> </w:t>
      </w:r>
      <w:r>
        <w:rPr>
          <w:color w:val="231F20"/>
        </w:rPr>
        <w:t>інтересів</w:t>
      </w:r>
      <w:r>
        <w:rPr>
          <w:color w:val="231F20"/>
          <w:spacing w:val="-10"/>
        </w:rPr>
        <w:t xml:space="preserve"> </w:t>
      </w:r>
      <w:r>
        <w:rPr>
          <w:color w:val="231F20"/>
        </w:rPr>
        <w:t>у</w:t>
      </w:r>
      <w:r>
        <w:rPr>
          <w:color w:val="231F20"/>
          <w:spacing w:val="-11"/>
        </w:rPr>
        <w:t xml:space="preserve"> </w:t>
      </w:r>
      <w:r>
        <w:rPr>
          <w:color w:val="231F20"/>
        </w:rPr>
        <w:t>разі</w:t>
      </w:r>
      <w:r>
        <w:rPr>
          <w:color w:val="231F20"/>
          <w:spacing w:val="-10"/>
        </w:rPr>
        <w:t xml:space="preserve"> </w:t>
      </w:r>
      <w:r>
        <w:rPr>
          <w:color w:val="231F20"/>
        </w:rPr>
        <w:t>невиконання</w:t>
      </w:r>
      <w:r>
        <w:rPr>
          <w:color w:val="231F20"/>
          <w:spacing w:val="-10"/>
        </w:rPr>
        <w:t xml:space="preserve"> </w:t>
      </w:r>
      <w:r>
        <w:rPr>
          <w:color w:val="231F20"/>
        </w:rPr>
        <w:t xml:space="preserve">досягну- тих домовленостей, неналежного виконання або відсутності таких домовленостей взагалі, вимоги </w:t>
      </w:r>
      <w:r>
        <w:rPr>
          <w:color w:val="231F20"/>
        </w:rPr>
        <w:t>до знань та вмінь медіаторів, умови сертифікації їх діяльності, а також правовий статус</w:t>
      </w:r>
      <w:r>
        <w:rPr>
          <w:color w:val="231F20"/>
          <w:spacing w:val="-18"/>
        </w:rPr>
        <w:t xml:space="preserve"> </w:t>
      </w:r>
      <w:r>
        <w:rPr>
          <w:color w:val="231F20"/>
        </w:rPr>
        <w:t>медіаторів.</w:t>
      </w:r>
    </w:p>
    <w:p w14:paraId="54B7FFC9" w14:textId="77777777" w:rsidR="00DE575E" w:rsidRDefault="002E7560">
      <w:pPr>
        <w:pStyle w:val="BodyText"/>
        <w:spacing w:before="7" w:line="252" w:lineRule="auto"/>
        <w:ind w:left="250" w:right="410" w:firstLine="283"/>
        <w:jc w:val="both"/>
      </w:pPr>
      <w:r>
        <w:rPr>
          <w:color w:val="231F20"/>
        </w:rPr>
        <w:t xml:space="preserve">Необхідним і доречним є закріплення на державному рівні </w:t>
      </w:r>
      <w:r>
        <w:rPr>
          <w:color w:val="231F20"/>
          <w:spacing w:val="-3"/>
        </w:rPr>
        <w:t>Кодексу</w:t>
      </w:r>
      <w:r>
        <w:rPr>
          <w:color w:val="231F20"/>
          <w:spacing w:val="-14"/>
        </w:rPr>
        <w:t xml:space="preserve"> </w:t>
      </w:r>
      <w:r>
        <w:rPr>
          <w:color w:val="231F20"/>
        </w:rPr>
        <w:t>етики</w:t>
      </w:r>
      <w:r>
        <w:rPr>
          <w:color w:val="231F20"/>
          <w:spacing w:val="-14"/>
        </w:rPr>
        <w:t xml:space="preserve"> </w:t>
      </w:r>
      <w:r>
        <w:rPr>
          <w:color w:val="231F20"/>
        </w:rPr>
        <w:t>медіатора,</w:t>
      </w:r>
      <w:r>
        <w:rPr>
          <w:color w:val="231F20"/>
          <w:spacing w:val="-14"/>
        </w:rPr>
        <w:t xml:space="preserve"> </w:t>
      </w:r>
      <w:r>
        <w:rPr>
          <w:color w:val="231F20"/>
        </w:rPr>
        <w:t>дія</w:t>
      </w:r>
      <w:r>
        <w:rPr>
          <w:color w:val="231F20"/>
          <w:spacing w:val="-14"/>
        </w:rPr>
        <w:t xml:space="preserve"> </w:t>
      </w:r>
      <w:r>
        <w:rPr>
          <w:color w:val="231F20"/>
        </w:rPr>
        <w:t>якого</w:t>
      </w:r>
      <w:r>
        <w:rPr>
          <w:color w:val="231F20"/>
          <w:spacing w:val="-14"/>
        </w:rPr>
        <w:t xml:space="preserve"> </w:t>
      </w:r>
      <w:r>
        <w:rPr>
          <w:color w:val="231F20"/>
        </w:rPr>
        <w:t>своєю</w:t>
      </w:r>
      <w:r>
        <w:rPr>
          <w:color w:val="231F20"/>
          <w:spacing w:val="-14"/>
        </w:rPr>
        <w:t xml:space="preserve"> </w:t>
      </w:r>
      <w:r>
        <w:rPr>
          <w:color w:val="231F20"/>
        </w:rPr>
        <w:t>чергою</w:t>
      </w:r>
      <w:r>
        <w:rPr>
          <w:color w:val="231F20"/>
          <w:spacing w:val="-14"/>
        </w:rPr>
        <w:t xml:space="preserve"> </w:t>
      </w:r>
      <w:r>
        <w:rPr>
          <w:color w:val="231F20"/>
        </w:rPr>
        <w:t>зняла</w:t>
      </w:r>
      <w:r>
        <w:rPr>
          <w:color w:val="231F20"/>
          <w:spacing w:val="-14"/>
        </w:rPr>
        <w:t xml:space="preserve"> </w:t>
      </w:r>
      <w:r>
        <w:rPr>
          <w:color w:val="231F20"/>
        </w:rPr>
        <w:t>б</w:t>
      </w:r>
      <w:r>
        <w:rPr>
          <w:color w:val="231F20"/>
          <w:spacing w:val="-14"/>
        </w:rPr>
        <w:t xml:space="preserve"> </w:t>
      </w:r>
      <w:r>
        <w:rPr>
          <w:color w:val="231F20"/>
        </w:rPr>
        <w:t>низку</w:t>
      </w:r>
      <w:r>
        <w:rPr>
          <w:color w:val="231F20"/>
          <w:spacing w:val="-14"/>
        </w:rPr>
        <w:t xml:space="preserve"> </w:t>
      </w:r>
      <w:r>
        <w:rPr>
          <w:color w:val="231F20"/>
        </w:rPr>
        <w:t>етич- них питання, пов’язаних із діяль</w:t>
      </w:r>
      <w:r>
        <w:rPr>
          <w:color w:val="231F20"/>
        </w:rPr>
        <w:t xml:space="preserve">ністю медіаторів під час укладення угод. </w:t>
      </w:r>
      <w:r>
        <w:rPr>
          <w:color w:val="231F20"/>
          <w:spacing w:val="-3"/>
        </w:rPr>
        <w:t xml:space="preserve">Кодекс </w:t>
      </w:r>
      <w:r>
        <w:rPr>
          <w:color w:val="231F20"/>
        </w:rPr>
        <w:t xml:space="preserve">має містити положення, які б </w:t>
      </w:r>
      <w:r>
        <w:rPr>
          <w:color w:val="231F20"/>
          <w:spacing w:val="-3"/>
        </w:rPr>
        <w:t xml:space="preserve">були </w:t>
      </w:r>
      <w:r>
        <w:rPr>
          <w:color w:val="231F20"/>
        </w:rPr>
        <w:t xml:space="preserve">основою діяльності медіатора для визначення поведінки у </w:t>
      </w:r>
      <w:r>
        <w:rPr>
          <w:color w:val="231F20"/>
          <w:spacing w:val="-3"/>
        </w:rPr>
        <w:t xml:space="preserve">будь-якій </w:t>
      </w:r>
      <w:r>
        <w:rPr>
          <w:color w:val="231F20"/>
        </w:rPr>
        <w:t>сфері. Чітке вста- новлення загальних стандартів поведінки медіатора та визначення етичних норм, яким має ві</w:t>
      </w:r>
      <w:r>
        <w:rPr>
          <w:color w:val="231F20"/>
        </w:rPr>
        <w:t>дповідати останній, є запорукою здійс- нення процесу медіації належним чином та підвищення публічної довіри до медіації як альтернативного способу вирішення</w:t>
      </w:r>
      <w:r>
        <w:rPr>
          <w:color w:val="231F20"/>
          <w:spacing w:val="-14"/>
        </w:rPr>
        <w:t xml:space="preserve"> </w:t>
      </w:r>
      <w:r>
        <w:rPr>
          <w:color w:val="231F20"/>
        </w:rPr>
        <w:t>спорів.</w:t>
      </w:r>
    </w:p>
    <w:p w14:paraId="31DC9AD0" w14:textId="77777777" w:rsidR="00DE575E" w:rsidRDefault="002E7560">
      <w:pPr>
        <w:pStyle w:val="BodyText"/>
        <w:spacing w:before="4" w:line="252" w:lineRule="auto"/>
        <w:ind w:left="250" w:right="411" w:firstLine="283"/>
        <w:jc w:val="both"/>
      </w:pPr>
      <w:r>
        <w:rPr>
          <w:color w:val="231F20"/>
        </w:rPr>
        <w:t xml:space="preserve">Кінцевим </w:t>
      </w:r>
      <w:r>
        <w:rPr>
          <w:color w:val="231F20"/>
          <w:spacing w:val="-3"/>
        </w:rPr>
        <w:t xml:space="preserve">результатом </w:t>
      </w:r>
      <w:r>
        <w:rPr>
          <w:color w:val="231F20"/>
        </w:rPr>
        <w:t xml:space="preserve">здійснення процедури медіації є укла- дення угоди між сторонами та її </w:t>
      </w:r>
      <w:r>
        <w:rPr>
          <w:color w:val="231F20"/>
        </w:rPr>
        <w:t>реальне, добровільне виконання. Отже, укладення сторонами угоди вже певною мірою є свідченням того, що процес медіації відбувся і сторони конфлікту дійшли</w:t>
      </w:r>
      <w:r>
        <w:rPr>
          <w:color w:val="231F20"/>
          <w:spacing w:val="-33"/>
        </w:rPr>
        <w:t xml:space="preserve"> </w:t>
      </w:r>
      <w:r>
        <w:rPr>
          <w:color w:val="231F20"/>
        </w:rPr>
        <w:t>згоди. Укладення та виконання угоди між сторонами щодо вирішення конфлікту (спору) є метою</w:t>
      </w:r>
      <w:r>
        <w:rPr>
          <w:color w:val="231F20"/>
          <w:spacing w:val="-4"/>
        </w:rPr>
        <w:t xml:space="preserve"> </w:t>
      </w:r>
      <w:r>
        <w:rPr>
          <w:color w:val="231F20"/>
        </w:rPr>
        <w:t>медіації.</w:t>
      </w:r>
    </w:p>
    <w:p w14:paraId="772BDA67" w14:textId="77777777" w:rsidR="00DE575E" w:rsidRDefault="00DE575E">
      <w:pPr>
        <w:pStyle w:val="BodyText"/>
        <w:spacing w:before="8"/>
        <w:rPr>
          <w:sz w:val="12"/>
        </w:rPr>
      </w:pPr>
    </w:p>
    <w:p w14:paraId="68668E23" w14:textId="77777777" w:rsidR="00DE575E" w:rsidRDefault="002E7560">
      <w:pPr>
        <w:spacing w:before="91"/>
        <w:ind w:right="411"/>
        <w:jc w:val="right"/>
        <w:rPr>
          <w:rFonts w:ascii="Times New Roman"/>
          <w:sz w:val="20"/>
        </w:rPr>
      </w:pPr>
      <w:r>
        <w:rPr>
          <w:rFonts w:ascii="Times New Roman"/>
          <w:color w:val="231F20"/>
          <w:w w:val="90"/>
          <w:sz w:val="20"/>
        </w:rPr>
        <w:t>325</w:t>
      </w:r>
    </w:p>
    <w:p w14:paraId="4167C42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4DC2A0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D4490E0" w14:textId="71E90DC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ADDFAB0" wp14:editId="4D2725FC">
                <wp:extent cx="4140200" cy="6350"/>
                <wp:effectExtent l="0" t="0" r="12700" b="6350"/>
                <wp:docPr id="599"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00" name="Line 59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1B22A9" id="Group_x0020_59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63Ho0gAIAAJgFAAAO&#10;AAAAAAAAAAAAAAAAACwCAABkcnMvZTJvRG9jLnhtbFBLAQItABQABgAIAAAAIQBMp7CQ2QAAAAMB&#10;AAAPAAAAAAAAAAAAAAAAANgEAABkcnMvZG93bnJldi54bWxQSwUGAAAAAAQABADzAAAA3gUAAAAA&#10;">
                <v:line id="Line_x0020_59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6EEMIAAADcAAAADwAAAGRycy9kb3ducmV2LnhtbERPy4rCMBTdC/MP4Q7MRsbUEUSqUUQQ&#10;ZBa+Oh9wba5tMbmpTbQdv94sBJeH854tOmvEnRpfOVYwHCQgiHOnKy4U/GXr7wkIH5A1Gsek4J88&#10;LOYfvRmm2rV8oPsxFCKGsE9RQRlCnUrp85Is+oGriSN3do3FEGFTSN1gG8OtkT9JMpYWK44NJda0&#10;Kim/HG9WQXbtB7Pf/Zo2251G8nTdjh63rVJfn91yCiJQF97il3ujFYyTOD+eiUdAz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y6EEMIAAADcAAAADwAAAAAAAAAAAAAA&#10;AAChAgAAZHJzL2Rvd25yZXYueG1sUEsFBgAAAAAEAAQA+QAAAJADAAAAAA==&#10;" strokecolor="#231f20" strokeweight=".5pt"/>
                <w10:anchorlock/>
              </v:group>
            </w:pict>
          </mc:Fallback>
        </mc:AlternateContent>
      </w:r>
    </w:p>
    <w:p w14:paraId="5A76CEC5" w14:textId="77777777" w:rsidR="00DE575E" w:rsidRDefault="00DE575E">
      <w:pPr>
        <w:pStyle w:val="BodyText"/>
        <w:spacing w:before="7"/>
        <w:rPr>
          <w:rFonts w:ascii="AdonisC"/>
          <w:i/>
          <w:sz w:val="11"/>
        </w:rPr>
      </w:pPr>
    </w:p>
    <w:p w14:paraId="1AE73CE7" w14:textId="77777777" w:rsidR="00DE575E" w:rsidRDefault="002E7560">
      <w:pPr>
        <w:pStyle w:val="BodyText"/>
        <w:spacing w:before="101" w:line="252" w:lineRule="auto"/>
        <w:ind w:left="533" w:right="127" w:firstLine="283"/>
        <w:jc w:val="both"/>
      </w:pPr>
      <w:r>
        <w:rPr>
          <w:color w:val="231F20"/>
        </w:rPr>
        <w:t>Підсумовуючи  викладене,  можна  дійти  висновку,  що  медіа- ція є альтернативним методом розв’язання конфліктних ситуацій (спорів),</w:t>
      </w:r>
      <w:r>
        <w:rPr>
          <w:color w:val="231F20"/>
          <w:spacing w:val="-17"/>
        </w:rPr>
        <w:t xml:space="preserve"> </w:t>
      </w:r>
      <w:r>
        <w:rPr>
          <w:color w:val="231F20"/>
        </w:rPr>
        <w:t>який</w:t>
      </w:r>
      <w:r>
        <w:rPr>
          <w:color w:val="231F20"/>
          <w:spacing w:val="-17"/>
        </w:rPr>
        <w:t xml:space="preserve"> </w:t>
      </w:r>
      <w:r>
        <w:rPr>
          <w:color w:val="231F20"/>
        </w:rPr>
        <w:t>дає</w:t>
      </w:r>
      <w:r>
        <w:rPr>
          <w:color w:val="231F20"/>
          <w:spacing w:val="-17"/>
        </w:rPr>
        <w:t xml:space="preserve"> </w:t>
      </w:r>
      <w:r>
        <w:rPr>
          <w:color w:val="231F20"/>
        </w:rPr>
        <w:t>змогу</w:t>
      </w:r>
      <w:r>
        <w:rPr>
          <w:color w:val="231F20"/>
          <w:spacing w:val="-17"/>
        </w:rPr>
        <w:t xml:space="preserve"> </w:t>
      </w:r>
      <w:r>
        <w:rPr>
          <w:color w:val="231F20"/>
        </w:rPr>
        <w:t>двом</w:t>
      </w:r>
      <w:r>
        <w:rPr>
          <w:color w:val="231F20"/>
          <w:spacing w:val="-17"/>
        </w:rPr>
        <w:t xml:space="preserve"> </w:t>
      </w:r>
      <w:r>
        <w:rPr>
          <w:color w:val="231F20"/>
        </w:rPr>
        <w:t>чи</w:t>
      </w:r>
      <w:r>
        <w:rPr>
          <w:color w:val="231F20"/>
          <w:spacing w:val="-17"/>
        </w:rPr>
        <w:t xml:space="preserve"> </w:t>
      </w:r>
      <w:r>
        <w:rPr>
          <w:color w:val="231F20"/>
        </w:rPr>
        <w:t>більше</w:t>
      </w:r>
      <w:r>
        <w:rPr>
          <w:color w:val="231F20"/>
          <w:spacing w:val="-17"/>
        </w:rPr>
        <w:t xml:space="preserve"> </w:t>
      </w:r>
      <w:r>
        <w:rPr>
          <w:color w:val="231F20"/>
        </w:rPr>
        <w:t>конфліктним</w:t>
      </w:r>
      <w:r>
        <w:rPr>
          <w:color w:val="231F20"/>
          <w:spacing w:val="-17"/>
        </w:rPr>
        <w:t xml:space="preserve"> </w:t>
      </w:r>
      <w:r>
        <w:rPr>
          <w:color w:val="231F20"/>
        </w:rPr>
        <w:t>сторонам</w:t>
      </w:r>
      <w:r>
        <w:rPr>
          <w:color w:val="231F20"/>
          <w:spacing w:val="-17"/>
        </w:rPr>
        <w:t xml:space="preserve"> </w:t>
      </w:r>
      <w:r>
        <w:rPr>
          <w:color w:val="231F20"/>
        </w:rPr>
        <w:t>само- стійно на добровільних засад</w:t>
      </w:r>
      <w:r>
        <w:rPr>
          <w:color w:val="231F20"/>
        </w:rPr>
        <w:t xml:space="preserve">ах за допомогою медіатора досягти порозуміння у розв’язанні такої суперечки. Ця процедура як </w:t>
      </w:r>
      <w:r>
        <w:rPr>
          <w:color w:val="231F20"/>
          <w:spacing w:val="-3"/>
        </w:rPr>
        <w:t xml:space="preserve">один    </w:t>
      </w:r>
      <w:r>
        <w:rPr>
          <w:color w:val="231F20"/>
        </w:rPr>
        <w:t>з альтернативних способів вирішення конфліктів усе більше наби- рає</w:t>
      </w:r>
      <w:r>
        <w:rPr>
          <w:color w:val="231F20"/>
          <w:spacing w:val="-6"/>
        </w:rPr>
        <w:t xml:space="preserve"> </w:t>
      </w:r>
      <w:r>
        <w:rPr>
          <w:color w:val="231F20"/>
        </w:rPr>
        <w:t>популярності.</w:t>
      </w:r>
      <w:r>
        <w:rPr>
          <w:color w:val="231F20"/>
          <w:spacing w:val="-6"/>
        </w:rPr>
        <w:t xml:space="preserve"> </w:t>
      </w:r>
      <w:r>
        <w:rPr>
          <w:color w:val="231F20"/>
        </w:rPr>
        <w:t>Це</w:t>
      </w:r>
      <w:r>
        <w:rPr>
          <w:color w:val="231F20"/>
          <w:spacing w:val="-6"/>
        </w:rPr>
        <w:t xml:space="preserve"> </w:t>
      </w:r>
      <w:r>
        <w:rPr>
          <w:color w:val="231F20"/>
        </w:rPr>
        <w:t>є</w:t>
      </w:r>
      <w:r>
        <w:rPr>
          <w:color w:val="231F20"/>
          <w:spacing w:val="-5"/>
        </w:rPr>
        <w:t xml:space="preserve"> </w:t>
      </w:r>
      <w:r>
        <w:rPr>
          <w:color w:val="231F20"/>
        </w:rPr>
        <w:t>очевидним,</w:t>
      </w:r>
      <w:r>
        <w:rPr>
          <w:color w:val="231F20"/>
          <w:spacing w:val="-6"/>
        </w:rPr>
        <w:t xml:space="preserve"> </w:t>
      </w:r>
      <w:r>
        <w:rPr>
          <w:color w:val="231F20"/>
        </w:rPr>
        <w:t>оскільки</w:t>
      </w:r>
      <w:r>
        <w:rPr>
          <w:color w:val="231F20"/>
          <w:spacing w:val="-6"/>
        </w:rPr>
        <w:t xml:space="preserve"> </w:t>
      </w:r>
      <w:r>
        <w:rPr>
          <w:color w:val="231F20"/>
        </w:rPr>
        <w:t>такий</w:t>
      </w:r>
      <w:r>
        <w:rPr>
          <w:color w:val="231F20"/>
          <w:spacing w:val="-6"/>
        </w:rPr>
        <w:t xml:space="preserve"> </w:t>
      </w:r>
      <w:r>
        <w:rPr>
          <w:color w:val="231F20"/>
        </w:rPr>
        <w:t>метод</w:t>
      </w:r>
      <w:r>
        <w:rPr>
          <w:color w:val="231F20"/>
          <w:spacing w:val="-6"/>
        </w:rPr>
        <w:t xml:space="preserve"> </w:t>
      </w:r>
      <w:r>
        <w:rPr>
          <w:color w:val="231F20"/>
        </w:rPr>
        <w:t>дає</w:t>
      </w:r>
      <w:r>
        <w:rPr>
          <w:color w:val="231F20"/>
          <w:spacing w:val="-6"/>
        </w:rPr>
        <w:t xml:space="preserve"> </w:t>
      </w:r>
      <w:r>
        <w:rPr>
          <w:color w:val="231F20"/>
        </w:rPr>
        <w:t xml:space="preserve">можли- вість сторонам самостійно врегулювати </w:t>
      </w:r>
      <w:r>
        <w:rPr>
          <w:color w:val="231F20"/>
          <w:spacing w:val="-3"/>
        </w:rPr>
        <w:t xml:space="preserve">конфлікт, </w:t>
      </w:r>
      <w:r>
        <w:rPr>
          <w:color w:val="231F20"/>
        </w:rPr>
        <w:t xml:space="preserve">без залучення державних органів, і досягти бажаного </w:t>
      </w:r>
      <w:r>
        <w:rPr>
          <w:color w:val="231F20"/>
          <w:spacing w:val="-4"/>
        </w:rPr>
        <w:t xml:space="preserve">результату, </w:t>
      </w:r>
      <w:r>
        <w:rPr>
          <w:color w:val="231F20"/>
        </w:rPr>
        <w:t>який влаштував би кожну зі</w:t>
      </w:r>
      <w:r>
        <w:rPr>
          <w:color w:val="231F20"/>
          <w:spacing w:val="-3"/>
        </w:rPr>
        <w:t xml:space="preserve"> </w:t>
      </w:r>
      <w:r>
        <w:rPr>
          <w:color w:val="231F20"/>
        </w:rPr>
        <w:t>сторін.</w:t>
      </w:r>
    </w:p>
    <w:p w14:paraId="34181B86" w14:textId="77777777" w:rsidR="00DE575E" w:rsidRDefault="00DE575E">
      <w:pPr>
        <w:pStyle w:val="BodyText"/>
        <w:rPr>
          <w:sz w:val="24"/>
        </w:rPr>
      </w:pPr>
    </w:p>
    <w:p w14:paraId="1BE4A099" w14:textId="77777777" w:rsidR="00DE575E" w:rsidRDefault="00DE575E">
      <w:pPr>
        <w:pStyle w:val="BodyText"/>
        <w:spacing w:before="8"/>
        <w:rPr>
          <w:sz w:val="19"/>
        </w:rPr>
      </w:pPr>
    </w:p>
    <w:p w14:paraId="2CF1DAE9" w14:textId="77777777" w:rsidR="00DE575E" w:rsidRDefault="002E7560">
      <w:pPr>
        <w:pStyle w:val="Heading4"/>
        <w:ind w:left="1443"/>
      </w:pPr>
      <w:r>
        <w:rPr>
          <w:color w:val="231F20"/>
        </w:rPr>
        <w:t>9.3. Поняття адміністративного оскарження</w:t>
      </w:r>
    </w:p>
    <w:p w14:paraId="5567E181" w14:textId="77777777" w:rsidR="00DE575E" w:rsidRDefault="00DE575E">
      <w:pPr>
        <w:pStyle w:val="BodyText"/>
        <w:rPr>
          <w:b/>
          <w:sz w:val="26"/>
        </w:rPr>
      </w:pPr>
    </w:p>
    <w:p w14:paraId="0D42E8EF" w14:textId="77777777" w:rsidR="00DE575E" w:rsidRDefault="002E7560">
      <w:pPr>
        <w:pStyle w:val="BodyText"/>
        <w:spacing w:before="224" w:line="252" w:lineRule="auto"/>
        <w:ind w:left="533" w:right="127" w:firstLine="283"/>
        <w:jc w:val="both"/>
      </w:pPr>
      <w:r>
        <w:rPr>
          <w:color w:val="231F20"/>
        </w:rPr>
        <w:t>Особливе місце в системі адміністративно-правового захист</w:t>
      </w:r>
      <w:r>
        <w:rPr>
          <w:color w:val="231F20"/>
        </w:rPr>
        <w:t>у приватних осіб посідає інститут адміністративного оскарження, якийможнасхарактеризувати якоскарженнявмежах органів публіч- ної влади адміністративних актів, а також процедурних рішень, дій чи бездіяльності суб’єктів владних повноважень безпосередньо до н</w:t>
      </w:r>
      <w:r>
        <w:rPr>
          <w:color w:val="231F20"/>
        </w:rPr>
        <w:t>их самих або до адміністративних органів, які є вищими в системі ієрархічного підпорядкування, чи до спеціально створених апеля- ційних підрозділів</w:t>
      </w:r>
      <w:r>
        <w:rPr>
          <w:color w:val="231F20"/>
          <w:position w:val="7"/>
          <w:sz w:val="12"/>
        </w:rPr>
        <w:t>1</w:t>
      </w:r>
      <w:r>
        <w:rPr>
          <w:color w:val="231F20"/>
        </w:rPr>
        <w:t>.</w:t>
      </w:r>
    </w:p>
    <w:p w14:paraId="5AEECED9" w14:textId="77777777" w:rsidR="00DE575E" w:rsidRDefault="002E7560">
      <w:pPr>
        <w:pStyle w:val="Heading6"/>
        <w:spacing w:before="4" w:line="252" w:lineRule="auto"/>
        <w:ind w:right="128"/>
        <w:jc w:val="both"/>
      </w:pPr>
      <w:r>
        <w:rPr>
          <w:color w:val="231F20"/>
        </w:rPr>
        <w:t xml:space="preserve">Зміст інституту адміністративного оскарження характе- </w:t>
      </w:r>
      <w:r>
        <w:rPr>
          <w:color w:val="231F20"/>
        </w:rPr>
        <w:t>ризується двома основними складовими:</w:t>
      </w:r>
    </w:p>
    <w:p w14:paraId="16823340" w14:textId="77777777" w:rsidR="00DE575E" w:rsidRDefault="002E7560">
      <w:pPr>
        <w:pStyle w:val="BodyText"/>
        <w:spacing w:before="1" w:line="252" w:lineRule="auto"/>
        <w:ind w:left="533" w:right="128" w:firstLine="283"/>
        <w:jc w:val="both"/>
      </w:pPr>
      <w:r>
        <w:rPr>
          <w:i/>
          <w:color w:val="231F20"/>
        </w:rPr>
        <w:t>по-перше</w:t>
      </w:r>
      <w:r>
        <w:rPr>
          <w:color w:val="231F20"/>
        </w:rPr>
        <w:t>, це н</w:t>
      </w:r>
      <w:r>
        <w:rPr>
          <w:color w:val="231F20"/>
        </w:rPr>
        <w:t>аявність правовідносин між  приватною  особою  та органом публічної влади, що виникають у зв’язку з реалізацією управлінських функцій органами, наділеними владними повнова- женнями;</w:t>
      </w:r>
    </w:p>
    <w:p w14:paraId="1BF4DE9E" w14:textId="77777777" w:rsidR="00DE575E" w:rsidRDefault="002E7560">
      <w:pPr>
        <w:pStyle w:val="BodyText"/>
        <w:spacing w:before="2" w:line="252" w:lineRule="auto"/>
        <w:ind w:left="533" w:right="129" w:firstLine="283"/>
        <w:jc w:val="both"/>
      </w:pPr>
      <w:r>
        <w:rPr>
          <w:i/>
          <w:color w:val="231F20"/>
        </w:rPr>
        <w:t xml:space="preserve">по-друге, </w:t>
      </w:r>
      <w:r>
        <w:rPr>
          <w:color w:val="231F20"/>
        </w:rPr>
        <w:t>предметом і підставою оскарження є рішення, дії чи бездіяльність</w:t>
      </w:r>
      <w:r>
        <w:rPr>
          <w:color w:val="231F20"/>
        </w:rPr>
        <w:t xml:space="preserve"> органів публічної влади</w:t>
      </w:r>
      <w:r>
        <w:rPr>
          <w:color w:val="231F20"/>
          <w:position w:val="7"/>
          <w:sz w:val="12"/>
        </w:rPr>
        <w:t>2</w:t>
      </w:r>
      <w:r>
        <w:rPr>
          <w:color w:val="231F20"/>
        </w:rPr>
        <w:t>.</w:t>
      </w:r>
    </w:p>
    <w:p w14:paraId="1C0D0800" w14:textId="77777777" w:rsidR="00DE575E" w:rsidRDefault="002E7560">
      <w:pPr>
        <w:spacing w:before="1"/>
        <w:ind w:left="817"/>
        <w:rPr>
          <w:sz w:val="21"/>
        </w:rPr>
      </w:pPr>
      <w:r>
        <w:rPr>
          <w:color w:val="231F20"/>
          <w:sz w:val="21"/>
        </w:rPr>
        <w:t xml:space="preserve">Отже, </w:t>
      </w:r>
      <w:r>
        <w:rPr>
          <w:b/>
          <w:color w:val="231F20"/>
          <w:sz w:val="21"/>
        </w:rPr>
        <w:t xml:space="preserve">адміністративне оскарження </w:t>
      </w:r>
      <w:r>
        <w:rPr>
          <w:color w:val="231F20"/>
          <w:sz w:val="21"/>
        </w:rPr>
        <w:t>– це:</w:t>
      </w:r>
    </w:p>
    <w:p w14:paraId="3AF8AF1C" w14:textId="77777777" w:rsidR="00DE575E" w:rsidRDefault="002E7560">
      <w:pPr>
        <w:pStyle w:val="BodyText"/>
        <w:spacing w:before="12" w:line="252" w:lineRule="auto"/>
        <w:ind w:left="533" w:right="128" w:firstLine="283"/>
        <w:jc w:val="both"/>
      </w:pPr>
      <w:r>
        <w:rPr>
          <w:color w:val="231F20"/>
        </w:rPr>
        <w:t xml:space="preserve">1) </w:t>
      </w:r>
      <w:r>
        <w:rPr>
          <w:color w:val="231F20"/>
          <w:spacing w:val="-4"/>
        </w:rPr>
        <w:t xml:space="preserve">один </w:t>
      </w:r>
      <w:r>
        <w:rPr>
          <w:color w:val="231F20"/>
        </w:rPr>
        <w:t xml:space="preserve">із </w:t>
      </w:r>
      <w:r>
        <w:rPr>
          <w:color w:val="231F20"/>
          <w:spacing w:val="-3"/>
        </w:rPr>
        <w:t xml:space="preserve">видів правового захисту </w:t>
      </w:r>
      <w:r>
        <w:rPr>
          <w:color w:val="231F20"/>
        </w:rPr>
        <w:t xml:space="preserve">особи в </w:t>
      </w:r>
      <w:r>
        <w:rPr>
          <w:color w:val="231F20"/>
          <w:spacing w:val="-3"/>
        </w:rPr>
        <w:t xml:space="preserve">адміністративно-право- </w:t>
      </w:r>
      <w:r>
        <w:rPr>
          <w:color w:val="231F20"/>
        </w:rPr>
        <w:t xml:space="preserve">вих </w:t>
      </w:r>
      <w:r>
        <w:rPr>
          <w:color w:val="231F20"/>
          <w:spacing w:val="-3"/>
        </w:rPr>
        <w:t xml:space="preserve">відносинах </w:t>
      </w:r>
      <w:r>
        <w:rPr>
          <w:color w:val="231F20"/>
        </w:rPr>
        <w:t xml:space="preserve">із </w:t>
      </w:r>
      <w:r>
        <w:rPr>
          <w:color w:val="231F20"/>
          <w:spacing w:val="-5"/>
        </w:rPr>
        <w:t xml:space="preserve">суб’єктами </w:t>
      </w:r>
      <w:r>
        <w:rPr>
          <w:color w:val="231F20"/>
          <w:spacing w:val="-3"/>
        </w:rPr>
        <w:t xml:space="preserve">публічної адміністрації, </w:t>
      </w:r>
      <w:r>
        <w:rPr>
          <w:color w:val="231F20"/>
        </w:rPr>
        <w:t xml:space="preserve">який </w:t>
      </w:r>
      <w:r>
        <w:rPr>
          <w:color w:val="231F20"/>
          <w:spacing w:val="-3"/>
        </w:rPr>
        <w:t>становить</w:t>
      </w:r>
    </w:p>
    <w:p w14:paraId="7162871B" w14:textId="77777777" w:rsidR="00DE575E" w:rsidRDefault="00DE575E">
      <w:pPr>
        <w:pStyle w:val="BodyText"/>
        <w:rPr>
          <w:sz w:val="20"/>
        </w:rPr>
      </w:pPr>
    </w:p>
    <w:p w14:paraId="6BE61104" w14:textId="1E2DF38B" w:rsidR="00DE575E" w:rsidRDefault="002E7560">
      <w:pPr>
        <w:pStyle w:val="BodyText"/>
        <w:spacing w:before="8"/>
        <w:rPr>
          <w:sz w:val="13"/>
        </w:rPr>
      </w:pPr>
      <w:r>
        <w:rPr>
          <w:noProof/>
        </w:rPr>
        <mc:AlternateContent>
          <mc:Choice Requires="wps">
            <w:drawing>
              <wp:anchor distT="0" distB="0" distL="0" distR="0" simplePos="0" relativeHeight="12640" behindDoc="0" locked="0" layoutInCell="1" allowOverlap="1" wp14:anchorId="791AD5B7" wp14:editId="75E2F069">
                <wp:simplePos x="0" y="0"/>
                <wp:positionH relativeFrom="page">
                  <wp:posOffset>719455</wp:posOffset>
                </wp:positionH>
                <wp:positionV relativeFrom="paragraph">
                  <wp:posOffset>129540</wp:posOffset>
                </wp:positionV>
                <wp:extent cx="1080135" cy="0"/>
                <wp:effectExtent l="8255" t="15240" r="29210" b="22860"/>
                <wp:wrapTopAndBottom/>
                <wp:docPr id="598"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0662" id="Line_x0020_597" o:spid="_x0000_s1026" style="position:absolute;z-index:1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2pt" to="141.7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" strokecolor="#231f20" strokeweight=".5pt">
                <w10:wrap type="topAndBottom" anchorx="page"/>
              </v:line>
            </w:pict>
          </mc:Fallback>
        </mc:AlternateContent>
      </w:r>
    </w:p>
    <w:p w14:paraId="7427AA2E"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Циганов О. Адміністративне оскарження як важливий засіб забезпечення законності при</w:t>
      </w:r>
      <w:r>
        <w:rPr>
          <w:color w:val="231F20"/>
          <w:spacing w:val="-8"/>
          <w:sz w:val="16"/>
        </w:rPr>
        <w:t xml:space="preserve"> </w:t>
      </w:r>
      <w:r>
        <w:rPr>
          <w:color w:val="231F20"/>
          <w:sz w:val="16"/>
        </w:rPr>
        <w:t>наданні</w:t>
      </w:r>
      <w:r>
        <w:rPr>
          <w:color w:val="231F20"/>
          <w:spacing w:val="-8"/>
          <w:sz w:val="16"/>
        </w:rPr>
        <w:t xml:space="preserve"> </w:t>
      </w:r>
      <w:r>
        <w:rPr>
          <w:color w:val="231F20"/>
          <w:sz w:val="16"/>
        </w:rPr>
        <w:t>адміністративних</w:t>
      </w:r>
      <w:r>
        <w:rPr>
          <w:color w:val="231F20"/>
          <w:spacing w:val="-8"/>
          <w:sz w:val="16"/>
        </w:rPr>
        <w:t xml:space="preserve"> </w:t>
      </w:r>
      <w:r>
        <w:rPr>
          <w:color w:val="231F20"/>
          <w:sz w:val="16"/>
        </w:rPr>
        <w:t>послуг</w:t>
      </w:r>
      <w:r>
        <w:rPr>
          <w:color w:val="231F20"/>
          <w:spacing w:val="-8"/>
          <w:sz w:val="16"/>
        </w:rPr>
        <w:t xml:space="preserve"> </w:t>
      </w:r>
      <w:r>
        <w:rPr>
          <w:color w:val="231F20"/>
          <w:sz w:val="16"/>
        </w:rPr>
        <w:t>у</w:t>
      </w:r>
      <w:r>
        <w:rPr>
          <w:color w:val="231F20"/>
          <w:spacing w:val="-8"/>
          <w:sz w:val="16"/>
        </w:rPr>
        <w:t xml:space="preserve"> </w:t>
      </w:r>
      <w:r>
        <w:rPr>
          <w:color w:val="231F20"/>
          <w:sz w:val="16"/>
        </w:rPr>
        <w:t>сфері</w:t>
      </w:r>
      <w:r>
        <w:rPr>
          <w:color w:val="231F20"/>
          <w:spacing w:val="-8"/>
          <w:sz w:val="16"/>
        </w:rPr>
        <w:t xml:space="preserve"> </w:t>
      </w:r>
      <w:r>
        <w:rPr>
          <w:color w:val="231F20"/>
          <w:sz w:val="16"/>
        </w:rPr>
        <w:t>правоохоронної</w:t>
      </w:r>
      <w:r>
        <w:rPr>
          <w:color w:val="231F20"/>
          <w:spacing w:val="-8"/>
          <w:sz w:val="16"/>
        </w:rPr>
        <w:t xml:space="preserve"> </w:t>
      </w:r>
      <w:r>
        <w:rPr>
          <w:color w:val="231F20"/>
          <w:sz w:val="16"/>
        </w:rPr>
        <w:t>діяльності.</w:t>
      </w:r>
      <w:r>
        <w:rPr>
          <w:color w:val="231F20"/>
          <w:spacing w:val="-8"/>
          <w:sz w:val="16"/>
        </w:rPr>
        <w:t xml:space="preserve"> </w:t>
      </w:r>
      <w:r>
        <w:rPr>
          <w:i/>
          <w:color w:val="231F20"/>
          <w:sz w:val="16"/>
        </w:rPr>
        <w:t>Проблеми</w:t>
      </w:r>
      <w:r>
        <w:rPr>
          <w:i/>
          <w:color w:val="231F20"/>
          <w:spacing w:val="-8"/>
          <w:sz w:val="16"/>
        </w:rPr>
        <w:t xml:space="preserve"> </w:t>
      </w:r>
      <w:r>
        <w:rPr>
          <w:i/>
          <w:color w:val="231F20"/>
          <w:sz w:val="16"/>
        </w:rPr>
        <w:t>управ- ління, адміністративного права, адміністративної діяльності правоохоронних органів</w:t>
      </w:r>
      <w:r>
        <w:rPr>
          <w:color w:val="231F20"/>
          <w:sz w:val="16"/>
        </w:rPr>
        <w:t>. 2016.</w:t>
      </w:r>
      <w:r>
        <w:rPr>
          <w:color w:val="231F20"/>
          <w:sz w:val="16"/>
        </w:rPr>
        <w:t xml:space="preserve"> С. 10.</w:t>
      </w:r>
    </w:p>
    <w:p w14:paraId="30B89DEC" w14:textId="77777777" w:rsidR="00DE575E" w:rsidRDefault="002E7560">
      <w:pPr>
        <w:spacing w:before="4"/>
        <w:ind w:left="533"/>
        <w:jc w:val="both"/>
        <w:rPr>
          <w:sz w:val="16"/>
        </w:rPr>
      </w:pPr>
      <w:r>
        <w:rPr>
          <w:color w:val="231F20"/>
          <w:position w:val="5"/>
          <w:sz w:val="9"/>
        </w:rPr>
        <w:t xml:space="preserve">2 </w:t>
      </w:r>
      <w:r>
        <w:rPr>
          <w:color w:val="231F20"/>
          <w:sz w:val="16"/>
        </w:rPr>
        <w:t>Виконавча влада і адміністративне право / за заг. ред. В. Авер’янова. Київ, 2002. С. 194.</w:t>
      </w:r>
    </w:p>
    <w:p w14:paraId="358F4046" w14:textId="77777777" w:rsidR="00DE575E" w:rsidRDefault="00DE575E">
      <w:pPr>
        <w:pStyle w:val="BodyText"/>
        <w:spacing w:before="11"/>
        <w:rPr>
          <w:sz w:val="11"/>
        </w:rPr>
      </w:pPr>
    </w:p>
    <w:p w14:paraId="53A19997" w14:textId="77777777" w:rsidR="00DE575E" w:rsidRDefault="002E7560">
      <w:pPr>
        <w:spacing w:before="92"/>
        <w:ind w:left="533"/>
        <w:rPr>
          <w:rFonts w:ascii="Times New Roman"/>
          <w:sz w:val="20"/>
        </w:rPr>
      </w:pPr>
      <w:r>
        <w:rPr>
          <w:rFonts w:ascii="Times New Roman"/>
          <w:color w:val="231F20"/>
          <w:sz w:val="20"/>
        </w:rPr>
        <w:t>326</w:t>
      </w:r>
    </w:p>
    <w:p w14:paraId="798E1FBA" w14:textId="77777777" w:rsidR="00DE575E" w:rsidRDefault="00DE575E">
      <w:pPr>
        <w:rPr>
          <w:rFonts w:ascii="Times New Roman"/>
          <w:sz w:val="20"/>
        </w:rPr>
        <w:sectPr w:rsidR="00DE575E">
          <w:pgSz w:w="8510" w:h="12760"/>
          <w:pgMar w:top="660" w:right="720" w:bottom="280" w:left="600" w:header="720" w:footer="720" w:gutter="0"/>
          <w:cols w:space="720"/>
        </w:sectPr>
      </w:pPr>
    </w:p>
    <w:p w14:paraId="5C6415A9"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069FCE3D" w14:textId="36AB2D1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85BCFA" wp14:editId="4FB039EE">
                <wp:extent cx="4140200" cy="6350"/>
                <wp:effectExtent l="0" t="0" r="12700" b="6350"/>
                <wp:docPr id="596"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97" name="Line 5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091329" id="Group_x0020_5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5kvsvgAIAAJgFAAAO&#10;AAAAAAAAAAAAAAAAACwCAABkcnMvZTJvRG9jLnhtbFBLAQItABQABgAIAAAAIQBMp7CQ2QAAAAMB&#10;AAAPAAAAAAAAAAAAAAAAANgEAABkcnMvZG93bnJldi54bWxQSwUGAAAAAAQABADzAAAA3gUAAAAA&#10;">
                <v:line id="Line_x0020_5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on8cAAADcAAAADwAAAGRycy9kb3ducmV2LnhtbESP0WrCQBRE3wv+w3KFvkjdqLS1qauI&#10;UCg+qDV+wDV7m4Tu3o3Z1aR+fVcQ+jjMzBlmtuisERdqfOVYwWiYgCDOna64UHDIPp6mIHxA1mgc&#10;k4Jf8rCY9x5mmGrX8hdd9qEQEcI+RQVlCHUqpc9LsuiHriaO3rdrLIYom0LqBtsIt0aOk+RFWqw4&#10;LpRY06qk/Gd/tgqy0yCY3XZt2mx7nMjjaTO5njdKPfa75TuIQF34D9/bn1rB89sr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6OifxwAAANwAAAAPAAAAAAAA&#10;AAAAAAAAAKECAABkcnMvZG93bnJldi54bWxQSwUGAAAAAAQABAD5AAAAlQMAAAAA&#10;" strokecolor="#231f20" strokeweight=".5pt"/>
                <w10:anchorlock/>
              </v:group>
            </w:pict>
          </mc:Fallback>
        </mc:AlternateContent>
      </w:r>
    </w:p>
    <w:p w14:paraId="3BB7A578" w14:textId="77777777" w:rsidR="00DE575E" w:rsidRDefault="00DE575E">
      <w:pPr>
        <w:pStyle w:val="BodyText"/>
        <w:spacing w:before="7"/>
        <w:rPr>
          <w:rFonts w:ascii="AdonisC"/>
          <w:i/>
          <w:sz w:val="19"/>
        </w:rPr>
      </w:pPr>
    </w:p>
    <w:p w14:paraId="0F53C5FD" w14:textId="77777777" w:rsidR="00DE575E" w:rsidRDefault="002E7560">
      <w:pPr>
        <w:pStyle w:val="BodyText"/>
        <w:spacing w:before="1" w:line="252" w:lineRule="auto"/>
        <w:ind w:left="250"/>
      </w:pPr>
      <w:r>
        <w:rPr>
          <w:color w:val="231F20"/>
        </w:rPr>
        <w:t>собою звернення до вищого органу або посадової особи щодо неза- конності рішень, дій чи бездіяльності підпорядкованого суб’єкта;</w:t>
      </w:r>
    </w:p>
    <w:p w14:paraId="1BDF22C6" w14:textId="77777777" w:rsidR="00DE575E" w:rsidRDefault="002E7560">
      <w:pPr>
        <w:pStyle w:val="ListParagraph"/>
        <w:numPr>
          <w:ilvl w:val="0"/>
          <w:numId w:val="130"/>
        </w:numPr>
        <w:tabs>
          <w:tab w:val="left" w:pos="818"/>
        </w:tabs>
        <w:spacing w:line="252" w:lineRule="auto"/>
        <w:ind w:right="409" w:firstLine="283"/>
        <w:jc w:val="both"/>
        <w:rPr>
          <w:color w:val="231F20"/>
          <w:sz w:val="21"/>
        </w:rPr>
      </w:pPr>
      <w:r>
        <w:rPr>
          <w:color w:val="231F20"/>
          <w:sz w:val="21"/>
        </w:rPr>
        <w:t>свідома вольова, цілеспрямована поведінка фізичної чи юридичної</w:t>
      </w:r>
      <w:r>
        <w:rPr>
          <w:color w:val="231F20"/>
          <w:spacing w:val="-7"/>
          <w:sz w:val="21"/>
        </w:rPr>
        <w:t xml:space="preserve"> </w:t>
      </w:r>
      <w:r>
        <w:rPr>
          <w:color w:val="231F20"/>
          <w:sz w:val="21"/>
        </w:rPr>
        <w:t>особи,</w:t>
      </w:r>
      <w:r>
        <w:rPr>
          <w:color w:val="231F20"/>
          <w:spacing w:val="-7"/>
          <w:sz w:val="21"/>
        </w:rPr>
        <w:t xml:space="preserve"> </w:t>
      </w:r>
      <w:r>
        <w:rPr>
          <w:color w:val="231F20"/>
          <w:sz w:val="21"/>
        </w:rPr>
        <w:t>що</w:t>
      </w:r>
      <w:r>
        <w:rPr>
          <w:color w:val="231F20"/>
          <w:spacing w:val="-7"/>
          <w:sz w:val="21"/>
        </w:rPr>
        <w:t xml:space="preserve"> </w:t>
      </w:r>
      <w:r>
        <w:rPr>
          <w:color w:val="231F20"/>
          <w:sz w:val="21"/>
        </w:rPr>
        <w:t>полягає</w:t>
      </w:r>
      <w:r>
        <w:rPr>
          <w:color w:val="231F20"/>
          <w:spacing w:val="-7"/>
          <w:sz w:val="21"/>
        </w:rPr>
        <w:t xml:space="preserve"> </w:t>
      </w:r>
      <w:r>
        <w:rPr>
          <w:color w:val="231F20"/>
          <w:sz w:val="21"/>
        </w:rPr>
        <w:t>у</w:t>
      </w:r>
      <w:r>
        <w:rPr>
          <w:color w:val="231F20"/>
          <w:spacing w:val="-7"/>
          <w:sz w:val="21"/>
        </w:rPr>
        <w:t xml:space="preserve"> </w:t>
      </w:r>
      <w:r>
        <w:rPr>
          <w:color w:val="231F20"/>
          <w:sz w:val="21"/>
        </w:rPr>
        <w:t>зверненні</w:t>
      </w:r>
      <w:r>
        <w:rPr>
          <w:color w:val="231F20"/>
          <w:spacing w:val="-7"/>
          <w:sz w:val="21"/>
        </w:rPr>
        <w:t xml:space="preserve"> </w:t>
      </w:r>
      <w:r>
        <w:rPr>
          <w:color w:val="231F20"/>
          <w:sz w:val="21"/>
        </w:rPr>
        <w:t>до</w:t>
      </w:r>
      <w:r>
        <w:rPr>
          <w:color w:val="231F20"/>
          <w:spacing w:val="-7"/>
          <w:sz w:val="21"/>
        </w:rPr>
        <w:t xml:space="preserve"> </w:t>
      </w:r>
      <w:r>
        <w:rPr>
          <w:color w:val="231F20"/>
          <w:spacing w:val="-3"/>
          <w:sz w:val="21"/>
        </w:rPr>
        <w:t>суб’єкта</w:t>
      </w:r>
      <w:r>
        <w:rPr>
          <w:color w:val="231F20"/>
          <w:spacing w:val="-7"/>
          <w:sz w:val="21"/>
        </w:rPr>
        <w:t xml:space="preserve"> </w:t>
      </w:r>
      <w:r>
        <w:rPr>
          <w:color w:val="231F20"/>
          <w:sz w:val="21"/>
        </w:rPr>
        <w:t>публічної</w:t>
      </w:r>
      <w:r>
        <w:rPr>
          <w:color w:val="231F20"/>
          <w:spacing w:val="-7"/>
          <w:sz w:val="21"/>
        </w:rPr>
        <w:t xml:space="preserve"> </w:t>
      </w:r>
      <w:r>
        <w:rPr>
          <w:color w:val="231F20"/>
          <w:sz w:val="21"/>
        </w:rPr>
        <w:t>адмі- ністрації</w:t>
      </w:r>
      <w:r>
        <w:rPr>
          <w:color w:val="231F20"/>
          <w:spacing w:val="-16"/>
          <w:sz w:val="21"/>
        </w:rPr>
        <w:t xml:space="preserve"> </w:t>
      </w:r>
      <w:r>
        <w:rPr>
          <w:color w:val="231F20"/>
          <w:sz w:val="21"/>
        </w:rPr>
        <w:t>з</w:t>
      </w:r>
      <w:r>
        <w:rPr>
          <w:color w:val="231F20"/>
          <w:spacing w:val="-16"/>
          <w:sz w:val="21"/>
        </w:rPr>
        <w:t xml:space="preserve"> </w:t>
      </w:r>
      <w:r>
        <w:rPr>
          <w:color w:val="231F20"/>
          <w:sz w:val="21"/>
        </w:rPr>
        <w:t>вимогою</w:t>
      </w:r>
      <w:r>
        <w:rPr>
          <w:color w:val="231F20"/>
          <w:spacing w:val="-16"/>
          <w:sz w:val="21"/>
        </w:rPr>
        <w:t xml:space="preserve"> </w:t>
      </w:r>
      <w:r>
        <w:rPr>
          <w:color w:val="231F20"/>
          <w:sz w:val="21"/>
        </w:rPr>
        <w:t>захистити</w:t>
      </w:r>
      <w:r>
        <w:rPr>
          <w:color w:val="231F20"/>
          <w:spacing w:val="-16"/>
          <w:sz w:val="21"/>
        </w:rPr>
        <w:t xml:space="preserve"> </w:t>
      </w:r>
      <w:r>
        <w:rPr>
          <w:color w:val="231F20"/>
          <w:sz w:val="21"/>
        </w:rPr>
        <w:t>її</w:t>
      </w:r>
      <w:r>
        <w:rPr>
          <w:color w:val="231F20"/>
          <w:spacing w:val="-16"/>
          <w:sz w:val="21"/>
        </w:rPr>
        <w:t xml:space="preserve"> </w:t>
      </w:r>
      <w:r>
        <w:rPr>
          <w:color w:val="231F20"/>
          <w:sz w:val="21"/>
        </w:rPr>
        <w:t>публічні</w:t>
      </w:r>
      <w:r>
        <w:rPr>
          <w:color w:val="231F20"/>
          <w:spacing w:val="-16"/>
          <w:sz w:val="21"/>
        </w:rPr>
        <w:t xml:space="preserve"> </w:t>
      </w:r>
      <w:r>
        <w:rPr>
          <w:color w:val="231F20"/>
          <w:sz w:val="21"/>
        </w:rPr>
        <w:t>права,</w:t>
      </w:r>
      <w:r>
        <w:rPr>
          <w:color w:val="231F20"/>
          <w:spacing w:val="-16"/>
          <w:sz w:val="21"/>
        </w:rPr>
        <w:t xml:space="preserve"> </w:t>
      </w:r>
      <w:r>
        <w:rPr>
          <w:color w:val="231F20"/>
          <w:sz w:val="21"/>
        </w:rPr>
        <w:t>свободи,</w:t>
      </w:r>
      <w:r>
        <w:rPr>
          <w:color w:val="231F20"/>
          <w:spacing w:val="-16"/>
          <w:sz w:val="21"/>
        </w:rPr>
        <w:t xml:space="preserve"> </w:t>
      </w:r>
      <w:r>
        <w:rPr>
          <w:color w:val="231F20"/>
          <w:sz w:val="21"/>
        </w:rPr>
        <w:t>інтереси</w:t>
      </w:r>
      <w:r>
        <w:rPr>
          <w:color w:val="231F20"/>
          <w:spacing w:val="-16"/>
          <w:sz w:val="21"/>
        </w:rPr>
        <w:t xml:space="preserve"> </w:t>
      </w:r>
      <w:r>
        <w:rPr>
          <w:color w:val="231F20"/>
          <w:sz w:val="21"/>
        </w:rPr>
        <w:t>від незаконної діяльності (бездіяльності) підпорядкованого</w:t>
      </w:r>
      <w:r>
        <w:rPr>
          <w:color w:val="231F20"/>
          <w:spacing w:val="-7"/>
          <w:sz w:val="21"/>
        </w:rPr>
        <w:t xml:space="preserve"> </w:t>
      </w:r>
      <w:r>
        <w:rPr>
          <w:color w:val="231F20"/>
          <w:spacing w:val="-3"/>
          <w:sz w:val="21"/>
        </w:rPr>
        <w:t>суб’єкта.</w:t>
      </w:r>
    </w:p>
    <w:p w14:paraId="5A45D1AE" w14:textId="77777777" w:rsidR="00DE575E" w:rsidRDefault="00DE575E">
      <w:pPr>
        <w:pStyle w:val="BodyText"/>
        <w:spacing w:before="2"/>
        <w:rPr>
          <w:sz w:val="22"/>
        </w:rPr>
      </w:pPr>
    </w:p>
    <w:p w14:paraId="4389F28D" w14:textId="77777777" w:rsidR="00DE575E" w:rsidRDefault="002E7560">
      <w:pPr>
        <w:ind w:left="533"/>
        <w:rPr>
          <w:b/>
          <w:sz w:val="21"/>
        </w:rPr>
      </w:pPr>
      <w:r>
        <w:rPr>
          <w:b/>
          <w:color w:val="231F20"/>
          <w:sz w:val="21"/>
        </w:rPr>
        <w:t>9.3.1. Підстави та порядок подання скарги</w:t>
      </w:r>
    </w:p>
    <w:p w14:paraId="1E2AEC1B" w14:textId="77777777" w:rsidR="00DE575E" w:rsidRDefault="00DE575E">
      <w:pPr>
        <w:pStyle w:val="BodyText"/>
        <w:spacing w:before="2"/>
        <w:rPr>
          <w:b/>
          <w:sz w:val="23"/>
        </w:rPr>
      </w:pPr>
    </w:p>
    <w:p w14:paraId="6FB09C53" w14:textId="77777777" w:rsidR="00DE575E" w:rsidRDefault="002E7560">
      <w:pPr>
        <w:pStyle w:val="BodyText"/>
        <w:spacing w:line="252" w:lineRule="auto"/>
        <w:ind w:left="250" w:right="409" w:firstLine="283"/>
        <w:jc w:val="both"/>
      </w:pPr>
      <w:r>
        <w:rPr>
          <w:color w:val="231F20"/>
        </w:rPr>
        <w:t xml:space="preserve">Право на загальне адміністративне оскарження є необмеже- ним, невідчужуваним правом громадян. Кожна приватна особа може подати </w:t>
      </w:r>
      <w:r>
        <w:rPr>
          <w:color w:val="231F20"/>
          <w:spacing w:val="-3"/>
        </w:rPr>
        <w:t xml:space="preserve">скаргу, </w:t>
      </w:r>
      <w:r>
        <w:rPr>
          <w:color w:val="231F20"/>
        </w:rPr>
        <w:t xml:space="preserve">коли вважає, що рішення чи дії органів публіч- ної влади (посадових осіб) є неправомірними й порушують її права, свободи </w:t>
      </w:r>
      <w:r>
        <w:rPr>
          <w:color w:val="231F20"/>
        </w:rPr>
        <w:t xml:space="preserve">чи законні інтереси. Загальні засади інституту адмініст- ративного оскарження визначено Законом </w:t>
      </w:r>
      <w:r>
        <w:rPr>
          <w:color w:val="231F20"/>
          <w:spacing w:val="-3"/>
        </w:rPr>
        <w:t xml:space="preserve">України </w:t>
      </w:r>
      <w:r>
        <w:rPr>
          <w:color w:val="231F20"/>
        </w:rPr>
        <w:t>від</w:t>
      </w:r>
      <w:r>
        <w:rPr>
          <w:color w:val="231F20"/>
          <w:spacing w:val="32"/>
        </w:rPr>
        <w:t xml:space="preserve"> </w:t>
      </w:r>
      <w:r>
        <w:rPr>
          <w:color w:val="231F20"/>
        </w:rPr>
        <w:t>2.10.1996 р.</w:t>
      </w:r>
    </w:p>
    <w:p w14:paraId="656A1828" w14:textId="77777777" w:rsidR="00DE575E" w:rsidRDefault="002E7560">
      <w:pPr>
        <w:pStyle w:val="BodyText"/>
        <w:spacing w:before="3"/>
        <w:ind w:left="250"/>
      </w:pPr>
      <w:r>
        <w:rPr>
          <w:color w:val="231F20"/>
        </w:rPr>
        <w:t>№ 393 «Про звернення громадян».</w:t>
      </w:r>
    </w:p>
    <w:p w14:paraId="322DA80C" w14:textId="77777777" w:rsidR="00DE575E" w:rsidRDefault="002E7560">
      <w:pPr>
        <w:pStyle w:val="BodyText"/>
        <w:spacing w:before="13" w:line="252" w:lineRule="auto"/>
        <w:ind w:left="250" w:right="410" w:firstLine="283"/>
        <w:jc w:val="both"/>
      </w:pPr>
      <w:r>
        <w:rPr>
          <w:color w:val="231F20"/>
        </w:rPr>
        <w:t xml:space="preserve">Виходячи з аналізованого </w:t>
      </w:r>
      <w:r>
        <w:rPr>
          <w:color w:val="231F20"/>
          <w:spacing w:val="-3"/>
        </w:rPr>
        <w:t xml:space="preserve">Закону, </w:t>
      </w:r>
      <w:r>
        <w:rPr>
          <w:color w:val="231F20"/>
        </w:rPr>
        <w:t xml:space="preserve">оскарження в адміністратив- ному порядку слід розуміти як установлений законами </w:t>
      </w:r>
      <w:r>
        <w:rPr>
          <w:color w:val="231F20"/>
          <w:spacing w:val="-3"/>
        </w:rPr>
        <w:t xml:space="preserve">України </w:t>
      </w:r>
      <w:r>
        <w:rPr>
          <w:color w:val="231F20"/>
        </w:rPr>
        <w:t>та підзаконними</w:t>
      </w:r>
      <w:r>
        <w:rPr>
          <w:color w:val="231F20"/>
          <w:spacing w:val="-16"/>
        </w:rPr>
        <w:t xml:space="preserve"> </w:t>
      </w:r>
      <w:r>
        <w:rPr>
          <w:color w:val="231F20"/>
        </w:rPr>
        <w:t>актами</w:t>
      </w:r>
      <w:r>
        <w:rPr>
          <w:color w:val="231F20"/>
          <w:spacing w:val="-16"/>
        </w:rPr>
        <w:t xml:space="preserve"> </w:t>
      </w:r>
      <w:r>
        <w:rPr>
          <w:color w:val="231F20"/>
        </w:rPr>
        <w:t>порядок</w:t>
      </w:r>
      <w:r>
        <w:rPr>
          <w:color w:val="231F20"/>
          <w:spacing w:val="-16"/>
        </w:rPr>
        <w:t xml:space="preserve"> </w:t>
      </w:r>
      <w:r>
        <w:rPr>
          <w:color w:val="231F20"/>
        </w:rPr>
        <w:t>захисту</w:t>
      </w:r>
      <w:r>
        <w:rPr>
          <w:color w:val="231F20"/>
          <w:spacing w:val="-16"/>
        </w:rPr>
        <w:t xml:space="preserve"> </w:t>
      </w:r>
      <w:r>
        <w:rPr>
          <w:color w:val="231F20"/>
        </w:rPr>
        <w:t>порушених</w:t>
      </w:r>
      <w:r>
        <w:rPr>
          <w:color w:val="231F20"/>
          <w:spacing w:val="-16"/>
        </w:rPr>
        <w:t xml:space="preserve"> </w:t>
      </w:r>
      <w:r>
        <w:rPr>
          <w:color w:val="231F20"/>
        </w:rPr>
        <w:t>рішеннями,</w:t>
      </w:r>
      <w:r>
        <w:rPr>
          <w:color w:val="231F20"/>
          <w:spacing w:val="-16"/>
        </w:rPr>
        <w:t xml:space="preserve"> </w:t>
      </w:r>
      <w:r>
        <w:rPr>
          <w:color w:val="231F20"/>
        </w:rPr>
        <w:t xml:space="preserve">діями або бездіяльністю органів публічної влади прав, свобод і законних інтересів громадян, що здійснюється </w:t>
      </w:r>
      <w:r>
        <w:rPr>
          <w:color w:val="231F20"/>
        </w:rPr>
        <w:t>через подання скарг – пись- мових або усних на особистому прийомі – і передбачає обов’язок визначених посадових осіб реагувати й ухвалювати рішення по суті поставлених питань у встановлені</w:t>
      </w:r>
      <w:r>
        <w:rPr>
          <w:color w:val="231F20"/>
          <w:spacing w:val="-2"/>
        </w:rPr>
        <w:t xml:space="preserve"> </w:t>
      </w:r>
      <w:r>
        <w:rPr>
          <w:color w:val="231F20"/>
        </w:rPr>
        <w:t>строки</w:t>
      </w:r>
      <w:r>
        <w:rPr>
          <w:color w:val="231F20"/>
          <w:position w:val="7"/>
          <w:sz w:val="12"/>
        </w:rPr>
        <w:t>1</w:t>
      </w:r>
      <w:r>
        <w:rPr>
          <w:color w:val="231F20"/>
        </w:rPr>
        <w:t>.</w:t>
      </w:r>
    </w:p>
    <w:p w14:paraId="1C94B552" w14:textId="77777777" w:rsidR="00DE575E" w:rsidRDefault="002E7560">
      <w:pPr>
        <w:pStyle w:val="BodyText"/>
        <w:spacing w:before="4" w:line="252" w:lineRule="auto"/>
        <w:ind w:left="250" w:right="411" w:firstLine="283"/>
        <w:jc w:val="both"/>
      </w:pPr>
      <w:r>
        <w:rPr>
          <w:color w:val="231F20"/>
        </w:rPr>
        <w:t>Фізичні</w:t>
      </w:r>
      <w:r>
        <w:rPr>
          <w:color w:val="231F20"/>
          <w:spacing w:val="-15"/>
        </w:rPr>
        <w:t xml:space="preserve"> </w:t>
      </w:r>
      <w:r>
        <w:rPr>
          <w:color w:val="231F20"/>
        </w:rPr>
        <w:t>та</w:t>
      </w:r>
      <w:r>
        <w:rPr>
          <w:color w:val="231F20"/>
          <w:spacing w:val="-14"/>
        </w:rPr>
        <w:t xml:space="preserve"> </w:t>
      </w:r>
      <w:r>
        <w:rPr>
          <w:color w:val="231F20"/>
        </w:rPr>
        <w:t>юридичні</w:t>
      </w:r>
      <w:r>
        <w:rPr>
          <w:color w:val="231F20"/>
          <w:spacing w:val="-15"/>
        </w:rPr>
        <w:t xml:space="preserve"> </w:t>
      </w:r>
      <w:r>
        <w:rPr>
          <w:color w:val="231F20"/>
        </w:rPr>
        <w:t>особи</w:t>
      </w:r>
      <w:r>
        <w:rPr>
          <w:color w:val="231F20"/>
          <w:spacing w:val="-15"/>
        </w:rPr>
        <w:t xml:space="preserve"> </w:t>
      </w:r>
      <w:r>
        <w:rPr>
          <w:color w:val="231F20"/>
        </w:rPr>
        <w:t>мають</w:t>
      </w:r>
      <w:r>
        <w:rPr>
          <w:color w:val="231F20"/>
          <w:spacing w:val="-15"/>
        </w:rPr>
        <w:t xml:space="preserve"> </w:t>
      </w:r>
      <w:r>
        <w:rPr>
          <w:color w:val="231F20"/>
        </w:rPr>
        <w:t>право</w:t>
      </w:r>
      <w:r>
        <w:rPr>
          <w:color w:val="231F20"/>
          <w:spacing w:val="-15"/>
        </w:rPr>
        <w:t xml:space="preserve"> </w:t>
      </w:r>
      <w:r>
        <w:rPr>
          <w:color w:val="231F20"/>
        </w:rPr>
        <w:t>на</w:t>
      </w:r>
      <w:r>
        <w:rPr>
          <w:color w:val="231F20"/>
          <w:spacing w:val="-14"/>
        </w:rPr>
        <w:t xml:space="preserve"> </w:t>
      </w:r>
      <w:r>
        <w:rPr>
          <w:color w:val="231F20"/>
        </w:rPr>
        <w:t>оскарження</w:t>
      </w:r>
      <w:r>
        <w:rPr>
          <w:color w:val="231F20"/>
          <w:spacing w:val="-15"/>
        </w:rPr>
        <w:t xml:space="preserve"> </w:t>
      </w:r>
      <w:r>
        <w:rPr>
          <w:color w:val="231F20"/>
        </w:rPr>
        <w:t>дій</w:t>
      </w:r>
      <w:r>
        <w:rPr>
          <w:color w:val="231F20"/>
          <w:spacing w:val="-15"/>
        </w:rPr>
        <w:t xml:space="preserve"> </w:t>
      </w:r>
      <w:r>
        <w:rPr>
          <w:color w:val="231F20"/>
        </w:rPr>
        <w:t>(б</w:t>
      </w:r>
      <w:r>
        <w:rPr>
          <w:color w:val="231F20"/>
        </w:rPr>
        <w:t xml:space="preserve">езді- яльності) </w:t>
      </w:r>
      <w:r>
        <w:rPr>
          <w:color w:val="231F20"/>
          <w:spacing w:val="-3"/>
        </w:rPr>
        <w:t xml:space="preserve">суб’єктів </w:t>
      </w:r>
      <w:r>
        <w:rPr>
          <w:color w:val="231F20"/>
        </w:rPr>
        <w:t xml:space="preserve">(посадових осіб органів) надання адміністратив- них </w:t>
      </w:r>
      <w:r>
        <w:rPr>
          <w:color w:val="231F20"/>
          <w:spacing w:val="-3"/>
        </w:rPr>
        <w:t xml:space="preserve">послуг, </w:t>
      </w:r>
      <w:r>
        <w:rPr>
          <w:color w:val="231F20"/>
        </w:rPr>
        <w:t>правозастосування та правоохоронної</w:t>
      </w:r>
      <w:r>
        <w:rPr>
          <w:color w:val="231F20"/>
          <w:spacing w:val="-6"/>
        </w:rPr>
        <w:t xml:space="preserve"> </w:t>
      </w:r>
      <w:r>
        <w:rPr>
          <w:color w:val="231F20"/>
        </w:rPr>
        <w:t>діяльності.</w:t>
      </w:r>
    </w:p>
    <w:p w14:paraId="0FFCBFEB" w14:textId="77777777" w:rsidR="00DE575E" w:rsidRDefault="002E7560">
      <w:pPr>
        <w:pStyle w:val="Heading6"/>
        <w:ind w:firstLine="0"/>
      </w:pPr>
      <w:r>
        <w:rPr>
          <w:color w:val="231F20"/>
        </w:rPr>
        <w:t>Рішення, дії (бездіяльність) можуть бути оскаржені, якщо:</w:t>
      </w:r>
    </w:p>
    <w:p w14:paraId="6E5B4587" w14:textId="77777777" w:rsidR="00DE575E" w:rsidRDefault="002E7560">
      <w:pPr>
        <w:pStyle w:val="ListParagraph"/>
        <w:numPr>
          <w:ilvl w:val="0"/>
          <w:numId w:val="254"/>
        </w:numPr>
        <w:tabs>
          <w:tab w:val="left" w:pos="818"/>
        </w:tabs>
        <w:spacing w:before="13" w:line="252" w:lineRule="auto"/>
        <w:ind w:right="411" w:firstLine="283"/>
        <w:rPr>
          <w:sz w:val="21"/>
        </w:rPr>
      </w:pPr>
      <w:r>
        <w:rPr>
          <w:color w:val="231F20"/>
          <w:sz w:val="21"/>
        </w:rPr>
        <w:t>порушено права й свободи чи законні інтереси фізичної або юридич</w:t>
      </w:r>
      <w:r>
        <w:rPr>
          <w:color w:val="231F20"/>
          <w:sz w:val="21"/>
        </w:rPr>
        <w:t>ної особи</w:t>
      </w:r>
      <w:r>
        <w:rPr>
          <w:color w:val="231F20"/>
          <w:spacing w:val="-2"/>
          <w:sz w:val="21"/>
        </w:rPr>
        <w:t xml:space="preserve"> </w:t>
      </w:r>
      <w:r>
        <w:rPr>
          <w:color w:val="231F20"/>
          <w:sz w:val="21"/>
        </w:rPr>
        <w:t>(осіб);</w:t>
      </w:r>
    </w:p>
    <w:p w14:paraId="3E873DDC" w14:textId="77777777" w:rsidR="00DE575E" w:rsidRDefault="002E7560">
      <w:pPr>
        <w:pStyle w:val="ListParagraph"/>
        <w:numPr>
          <w:ilvl w:val="0"/>
          <w:numId w:val="254"/>
        </w:numPr>
        <w:tabs>
          <w:tab w:val="left" w:pos="818"/>
        </w:tabs>
        <w:spacing w:line="252" w:lineRule="auto"/>
        <w:ind w:right="411" w:firstLine="283"/>
        <w:rPr>
          <w:sz w:val="21"/>
        </w:rPr>
      </w:pPr>
      <w:r>
        <w:rPr>
          <w:color w:val="231F20"/>
          <w:sz w:val="21"/>
        </w:rPr>
        <w:t>створено перешкоди для здійснення фізичною або юридич- ною особою (особами) її прав, свобод чи законних</w:t>
      </w:r>
      <w:r>
        <w:rPr>
          <w:color w:val="231F20"/>
          <w:spacing w:val="-4"/>
          <w:sz w:val="21"/>
        </w:rPr>
        <w:t xml:space="preserve"> </w:t>
      </w:r>
      <w:r>
        <w:rPr>
          <w:color w:val="231F20"/>
          <w:sz w:val="21"/>
        </w:rPr>
        <w:t>інтересів;</w:t>
      </w:r>
    </w:p>
    <w:p w14:paraId="655CF776" w14:textId="77777777" w:rsidR="00DE575E" w:rsidRDefault="002E7560">
      <w:pPr>
        <w:pStyle w:val="ListParagraph"/>
        <w:numPr>
          <w:ilvl w:val="0"/>
          <w:numId w:val="254"/>
        </w:numPr>
        <w:tabs>
          <w:tab w:val="left" w:pos="818"/>
        </w:tabs>
        <w:spacing w:line="252" w:lineRule="auto"/>
        <w:ind w:right="410" w:firstLine="283"/>
        <w:rPr>
          <w:sz w:val="21"/>
        </w:rPr>
      </w:pPr>
      <w:r>
        <w:rPr>
          <w:color w:val="231F20"/>
          <w:sz w:val="21"/>
        </w:rPr>
        <w:t xml:space="preserve">незаконно покладено на фізичну чи юридичну особу (осіб) </w:t>
      </w:r>
      <w:r>
        <w:rPr>
          <w:color w:val="231F20"/>
          <w:spacing w:val="-3"/>
          <w:sz w:val="21"/>
        </w:rPr>
        <w:t xml:space="preserve">будь-які </w:t>
      </w:r>
      <w:r>
        <w:rPr>
          <w:color w:val="231F20"/>
          <w:sz w:val="21"/>
        </w:rPr>
        <w:t>обов’язки або її незаконно притягнуто до відповідаль- ності. Способом адміністративного оскарження є скарга, викладена в</w:t>
      </w:r>
      <w:r>
        <w:rPr>
          <w:color w:val="231F20"/>
          <w:spacing w:val="-14"/>
          <w:sz w:val="21"/>
        </w:rPr>
        <w:t xml:space="preserve"> </w:t>
      </w:r>
      <w:r>
        <w:rPr>
          <w:color w:val="231F20"/>
          <w:sz w:val="21"/>
        </w:rPr>
        <w:t>письмовій</w:t>
      </w:r>
      <w:r>
        <w:rPr>
          <w:color w:val="231F20"/>
          <w:spacing w:val="-14"/>
          <w:sz w:val="21"/>
        </w:rPr>
        <w:t xml:space="preserve"> </w:t>
      </w:r>
      <w:r>
        <w:rPr>
          <w:color w:val="231F20"/>
          <w:sz w:val="21"/>
        </w:rPr>
        <w:t>чи</w:t>
      </w:r>
      <w:r>
        <w:rPr>
          <w:color w:val="231F20"/>
          <w:spacing w:val="-13"/>
          <w:sz w:val="21"/>
        </w:rPr>
        <w:t xml:space="preserve"> </w:t>
      </w:r>
      <w:r>
        <w:rPr>
          <w:color w:val="231F20"/>
          <w:sz w:val="21"/>
        </w:rPr>
        <w:t>усній</w:t>
      </w:r>
      <w:r>
        <w:rPr>
          <w:color w:val="231F20"/>
          <w:spacing w:val="-14"/>
          <w:sz w:val="21"/>
        </w:rPr>
        <w:t xml:space="preserve"> </w:t>
      </w:r>
      <w:r>
        <w:rPr>
          <w:color w:val="231F20"/>
          <w:sz w:val="21"/>
        </w:rPr>
        <w:t>формі.</w:t>
      </w:r>
      <w:r>
        <w:rPr>
          <w:color w:val="231F20"/>
          <w:spacing w:val="-14"/>
          <w:sz w:val="21"/>
        </w:rPr>
        <w:t xml:space="preserve"> </w:t>
      </w:r>
      <w:r>
        <w:rPr>
          <w:color w:val="231F20"/>
          <w:sz w:val="21"/>
        </w:rPr>
        <w:t>Згідно</w:t>
      </w:r>
      <w:r>
        <w:rPr>
          <w:color w:val="231F20"/>
          <w:spacing w:val="-14"/>
          <w:sz w:val="21"/>
        </w:rPr>
        <w:t xml:space="preserve"> </w:t>
      </w:r>
      <w:r>
        <w:rPr>
          <w:color w:val="231F20"/>
          <w:sz w:val="21"/>
        </w:rPr>
        <w:t>із</w:t>
      </w:r>
      <w:r>
        <w:rPr>
          <w:color w:val="231F20"/>
          <w:spacing w:val="-13"/>
          <w:sz w:val="21"/>
        </w:rPr>
        <w:t xml:space="preserve"> </w:t>
      </w:r>
      <w:r>
        <w:rPr>
          <w:color w:val="231F20"/>
          <w:sz w:val="21"/>
        </w:rPr>
        <w:t>Законом</w:t>
      </w:r>
      <w:r>
        <w:rPr>
          <w:color w:val="231F20"/>
          <w:spacing w:val="-14"/>
          <w:sz w:val="21"/>
        </w:rPr>
        <w:t xml:space="preserve"> </w:t>
      </w:r>
      <w:r>
        <w:rPr>
          <w:color w:val="231F20"/>
          <w:spacing w:val="-3"/>
          <w:sz w:val="21"/>
        </w:rPr>
        <w:t>України</w:t>
      </w:r>
      <w:r>
        <w:rPr>
          <w:color w:val="231F20"/>
          <w:spacing w:val="-14"/>
          <w:sz w:val="21"/>
        </w:rPr>
        <w:t xml:space="preserve"> </w:t>
      </w:r>
      <w:r>
        <w:rPr>
          <w:color w:val="231F20"/>
          <w:sz w:val="21"/>
        </w:rPr>
        <w:t>від</w:t>
      </w:r>
      <w:r>
        <w:rPr>
          <w:color w:val="231F20"/>
          <w:spacing w:val="-13"/>
          <w:sz w:val="21"/>
        </w:rPr>
        <w:t xml:space="preserve"> </w:t>
      </w:r>
      <w:r>
        <w:rPr>
          <w:color w:val="231F20"/>
          <w:sz w:val="21"/>
        </w:rPr>
        <w:t>2.10.1996</w:t>
      </w:r>
      <w:r>
        <w:rPr>
          <w:color w:val="231F20"/>
          <w:spacing w:val="-7"/>
          <w:sz w:val="21"/>
        </w:rPr>
        <w:t xml:space="preserve"> </w:t>
      </w:r>
      <w:r>
        <w:rPr>
          <w:color w:val="231F20"/>
          <w:sz w:val="21"/>
        </w:rPr>
        <w:t>р.</w:t>
      </w:r>
    </w:p>
    <w:p w14:paraId="3A8E6234" w14:textId="77777777" w:rsidR="00DE575E" w:rsidRDefault="002E7560">
      <w:pPr>
        <w:pStyle w:val="BodyText"/>
        <w:spacing w:before="2"/>
        <w:ind w:left="250"/>
      </w:pPr>
      <w:r>
        <w:rPr>
          <w:color w:val="231F20"/>
        </w:rPr>
        <w:t>«скарга – звернення з вимогою про поновлення прав і захист закон-</w:t>
      </w:r>
    </w:p>
    <w:p w14:paraId="035A33CB" w14:textId="75C1D5C7" w:rsidR="00DE575E" w:rsidRDefault="002E7560">
      <w:pPr>
        <w:pStyle w:val="BodyText"/>
        <w:spacing w:before="4"/>
        <w:rPr>
          <w:sz w:val="25"/>
        </w:rPr>
      </w:pPr>
      <w:r>
        <w:rPr>
          <w:noProof/>
        </w:rPr>
        <mc:AlternateContent>
          <mc:Choice Requires="wps">
            <w:drawing>
              <wp:anchor distT="0" distB="0" distL="0" distR="0" simplePos="0" relativeHeight="12688" behindDoc="0" locked="0" layoutInCell="1" allowOverlap="1" wp14:anchorId="55F800A8" wp14:editId="095DFD0F">
                <wp:simplePos x="0" y="0"/>
                <wp:positionH relativeFrom="page">
                  <wp:posOffset>539750</wp:posOffset>
                </wp:positionH>
                <wp:positionV relativeFrom="paragraph">
                  <wp:posOffset>216535</wp:posOffset>
                </wp:positionV>
                <wp:extent cx="1080135" cy="0"/>
                <wp:effectExtent l="6350" t="13335" r="31115" b="24765"/>
                <wp:wrapTopAndBottom/>
                <wp:docPr id="59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B8C5C" id="Line_x0020_594" o:spid="_x0000_s1026" style="position:absolute;z-index:1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05pt" to="127.55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b/D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" strokecolor="#231f20" strokeweight=".5pt">
                <w10:wrap type="topAndBottom" anchorx="page"/>
              </v:line>
            </w:pict>
          </mc:Fallback>
        </mc:AlternateContent>
      </w:r>
    </w:p>
    <w:p w14:paraId="3681B07D" w14:textId="77777777" w:rsidR="00DE575E" w:rsidRDefault="002E7560">
      <w:pPr>
        <w:spacing w:line="162" w:lineRule="exact"/>
        <w:ind w:left="250"/>
        <w:rPr>
          <w:sz w:val="16"/>
        </w:rPr>
      </w:pPr>
      <w:r>
        <w:rPr>
          <w:color w:val="231F20"/>
          <w:position w:val="5"/>
          <w:sz w:val="9"/>
        </w:rPr>
        <w:t xml:space="preserve">1 </w:t>
      </w:r>
      <w:r>
        <w:rPr>
          <w:color w:val="231F20"/>
          <w:sz w:val="16"/>
        </w:rPr>
        <w:t>Про звернення громадян: Закон від 2.10.1996. № 393.</w:t>
      </w:r>
    </w:p>
    <w:p w14:paraId="285C78AA" w14:textId="77777777" w:rsidR="00DE575E" w:rsidRDefault="00DE575E">
      <w:pPr>
        <w:pStyle w:val="BodyText"/>
        <w:spacing w:before="10"/>
        <w:rPr>
          <w:sz w:val="11"/>
        </w:rPr>
      </w:pPr>
    </w:p>
    <w:p w14:paraId="7E8DCFA5" w14:textId="77777777" w:rsidR="00DE575E" w:rsidRDefault="002E7560">
      <w:pPr>
        <w:spacing w:before="92"/>
        <w:ind w:right="411"/>
        <w:jc w:val="right"/>
        <w:rPr>
          <w:rFonts w:ascii="Times New Roman"/>
          <w:sz w:val="20"/>
        </w:rPr>
      </w:pPr>
      <w:r>
        <w:rPr>
          <w:rFonts w:ascii="Times New Roman"/>
          <w:color w:val="231F20"/>
          <w:w w:val="90"/>
          <w:sz w:val="20"/>
        </w:rPr>
        <w:t>327</w:t>
      </w:r>
    </w:p>
    <w:p w14:paraId="2163EE7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1C133D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BEF61D4" w14:textId="08033A5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63E1ACE" wp14:editId="3348B98E">
                <wp:extent cx="4140200" cy="6350"/>
                <wp:effectExtent l="0" t="0" r="12700" b="6350"/>
                <wp:docPr id="593"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94" name="Line 59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B9857E" id="Group_x0020_59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C6izF/AgAAmAUAAA4A&#10;AAAAAAAAAAAAAAAALAIAAGRycy9lMm9Eb2MueG1sUEsBAi0AFAAGAAgAAAAhAEynsJDZAAAAAwEA&#10;AA8AAAAAAAAAAAAAAAAA1wQAAGRycy9kb3ducmV2LnhtbFBLBQYAAAAABAAEAPMAAADdBQAAAAA=&#10;">
                <v:line id="Line_x0020_59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p26McAAADcAAAADwAAAGRycy9kb3ducmV2LnhtbESP0WrCQBRE3wv+w3KFvkjdqG2xqauI&#10;UCg+qDV+wDV7m4Tu3o3Z1aR+fVcQ+jjMzBlmtuisERdqfOVYwWiYgCDOna64UHDIPp6mIHxA1mgc&#10;k4Jf8rCY9x5mmGrX8hdd9qEQEcI+RQVlCHUqpc9LsuiHriaO3rdrLIYom0LqBtsIt0aOk+RVWqw4&#10;LpRY06qk/Gd/tgqy0yCY3XZt2mx7nMjjaTO5njdKPfa75TuIQF34D9/bn1rBy9sz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OnboxwAAANwAAAAPAAAAAAAA&#10;AAAAAAAAAKECAABkcnMvZG93bnJldi54bWxQSwUGAAAAAAQABAD5AAAAlQMAAAAA&#10;" strokecolor="#231f20" strokeweight=".5pt"/>
                <w10:anchorlock/>
              </v:group>
            </w:pict>
          </mc:Fallback>
        </mc:AlternateContent>
      </w:r>
    </w:p>
    <w:p w14:paraId="6988D2DC" w14:textId="77777777" w:rsidR="00DE575E" w:rsidRDefault="00DE575E">
      <w:pPr>
        <w:pStyle w:val="BodyText"/>
        <w:spacing w:before="7"/>
        <w:rPr>
          <w:rFonts w:ascii="AdonisC"/>
          <w:i/>
          <w:sz w:val="11"/>
        </w:rPr>
      </w:pPr>
    </w:p>
    <w:p w14:paraId="410E41C0" w14:textId="77777777" w:rsidR="00DE575E" w:rsidRDefault="002E7560">
      <w:pPr>
        <w:pStyle w:val="BodyText"/>
        <w:spacing w:before="101" w:line="252" w:lineRule="auto"/>
        <w:ind w:left="533" w:right="128"/>
        <w:jc w:val="both"/>
      </w:pPr>
      <w:r>
        <w:rPr>
          <w:color w:val="231F20"/>
        </w:rPr>
        <w:t>них інтересів громадян, порушених діями (бездіяльністю), рішен- нями</w:t>
      </w:r>
      <w:r>
        <w:rPr>
          <w:color w:val="231F20"/>
          <w:spacing w:val="-14"/>
        </w:rPr>
        <w:t xml:space="preserve"> </w:t>
      </w:r>
      <w:r>
        <w:rPr>
          <w:color w:val="231F20"/>
        </w:rPr>
        <w:t>державних</w:t>
      </w:r>
      <w:r>
        <w:rPr>
          <w:color w:val="231F20"/>
          <w:spacing w:val="-14"/>
        </w:rPr>
        <w:t xml:space="preserve"> </w:t>
      </w:r>
      <w:r>
        <w:rPr>
          <w:color w:val="231F20"/>
        </w:rPr>
        <w:t>органів,</w:t>
      </w:r>
      <w:r>
        <w:rPr>
          <w:color w:val="231F20"/>
          <w:spacing w:val="-14"/>
        </w:rPr>
        <w:t xml:space="preserve"> </w:t>
      </w:r>
      <w:r>
        <w:rPr>
          <w:color w:val="231F20"/>
        </w:rPr>
        <w:t>органів</w:t>
      </w:r>
      <w:r>
        <w:rPr>
          <w:color w:val="231F20"/>
          <w:spacing w:val="-14"/>
        </w:rPr>
        <w:t xml:space="preserve"> </w:t>
      </w:r>
      <w:r>
        <w:rPr>
          <w:color w:val="231F20"/>
        </w:rPr>
        <w:t>місцевого</w:t>
      </w:r>
      <w:r>
        <w:rPr>
          <w:color w:val="231F20"/>
          <w:spacing w:val="-14"/>
        </w:rPr>
        <w:t xml:space="preserve"> </w:t>
      </w:r>
      <w:r>
        <w:rPr>
          <w:color w:val="231F20"/>
        </w:rPr>
        <w:t>самоврядування,</w:t>
      </w:r>
      <w:r>
        <w:rPr>
          <w:color w:val="231F20"/>
          <w:spacing w:val="-14"/>
        </w:rPr>
        <w:t xml:space="preserve"> </w:t>
      </w:r>
      <w:r>
        <w:rPr>
          <w:color w:val="231F20"/>
        </w:rPr>
        <w:t xml:space="preserve">підпри- ємств, установ, організацій, </w:t>
      </w:r>
      <w:r>
        <w:rPr>
          <w:color w:val="231F20"/>
          <w:spacing w:val="-3"/>
        </w:rPr>
        <w:t xml:space="preserve">об’єднань </w:t>
      </w:r>
      <w:r>
        <w:rPr>
          <w:color w:val="231F20"/>
        </w:rPr>
        <w:t>громадян, посадових</w:t>
      </w:r>
      <w:r>
        <w:rPr>
          <w:color w:val="231F20"/>
          <w:spacing w:val="-9"/>
        </w:rPr>
        <w:t xml:space="preserve"> </w:t>
      </w:r>
      <w:r>
        <w:rPr>
          <w:color w:val="231F20"/>
        </w:rPr>
        <w:t>осіб».</w:t>
      </w:r>
    </w:p>
    <w:p w14:paraId="5AFD37F1" w14:textId="77777777" w:rsidR="00DE575E" w:rsidRDefault="002E7560">
      <w:pPr>
        <w:pStyle w:val="BodyText"/>
        <w:spacing w:before="1" w:line="252" w:lineRule="auto"/>
        <w:ind w:left="533" w:right="126" w:firstLine="283"/>
        <w:jc w:val="both"/>
      </w:pPr>
      <w:r>
        <w:rPr>
          <w:color w:val="231F20"/>
        </w:rPr>
        <w:t xml:space="preserve">Звернення </w:t>
      </w:r>
      <w:r>
        <w:rPr>
          <w:i/>
          <w:color w:val="231F20"/>
        </w:rPr>
        <w:t xml:space="preserve">адресуються </w:t>
      </w:r>
      <w:r>
        <w:rPr>
          <w:color w:val="231F20"/>
        </w:rPr>
        <w:t>о</w:t>
      </w:r>
      <w:r>
        <w:rPr>
          <w:color w:val="231F20"/>
        </w:rPr>
        <w:t xml:space="preserve">рганам державної влади й органам місцевого самоврядування, підприємствам, установам, організаціям незалежно від форми власності, </w:t>
      </w:r>
      <w:r>
        <w:rPr>
          <w:color w:val="231F20"/>
          <w:spacing w:val="-3"/>
        </w:rPr>
        <w:t xml:space="preserve">об’єднанням </w:t>
      </w:r>
      <w:r>
        <w:rPr>
          <w:color w:val="231F20"/>
        </w:rPr>
        <w:t>громадян або посадо- вим особам, до повноважень яких належить вирішення порушених у</w:t>
      </w:r>
      <w:r>
        <w:rPr>
          <w:color w:val="231F20"/>
          <w:spacing w:val="-6"/>
        </w:rPr>
        <w:t xml:space="preserve"> </w:t>
      </w:r>
      <w:r>
        <w:rPr>
          <w:color w:val="231F20"/>
        </w:rPr>
        <w:t>зверненнях</w:t>
      </w:r>
      <w:r>
        <w:rPr>
          <w:color w:val="231F20"/>
          <w:spacing w:val="-6"/>
        </w:rPr>
        <w:t xml:space="preserve"> </w:t>
      </w:r>
      <w:r>
        <w:rPr>
          <w:color w:val="231F20"/>
        </w:rPr>
        <w:t>питань.</w:t>
      </w:r>
      <w:r>
        <w:rPr>
          <w:color w:val="231F20"/>
          <w:spacing w:val="-5"/>
        </w:rPr>
        <w:t xml:space="preserve"> </w:t>
      </w:r>
      <w:r>
        <w:rPr>
          <w:color w:val="231F20"/>
        </w:rPr>
        <w:t>Звернення</w:t>
      </w:r>
      <w:r>
        <w:rPr>
          <w:color w:val="231F20"/>
          <w:spacing w:val="-6"/>
        </w:rPr>
        <w:t xml:space="preserve"> </w:t>
      </w:r>
      <w:r>
        <w:rPr>
          <w:color w:val="231F20"/>
        </w:rPr>
        <w:t>мо</w:t>
      </w:r>
      <w:r>
        <w:rPr>
          <w:color w:val="231F20"/>
        </w:rPr>
        <w:t>же</w:t>
      </w:r>
      <w:r>
        <w:rPr>
          <w:color w:val="231F20"/>
          <w:spacing w:val="-6"/>
        </w:rPr>
        <w:t xml:space="preserve"> </w:t>
      </w:r>
      <w:r>
        <w:rPr>
          <w:color w:val="231F20"/>
        </w:rPr>
        <w:t>бути</w:t>
      </w:r>
      <w:r>
        <w:rPr>
          <w:color w:val="231F20"/>
          <w:spacing w:val="-6"/>
        </w:rPr>
        <w:t xml:space="preserve"> </w:t>
      </w:r>
      <w:r>
        <w:rPr>
          <w:color w:val="231F20"/>
        </w:rPr>
        <w:t>подано</w:t>
      </w:r>
      <w:r>
        <w:rPr>
          <w:color w:val="231F20"/>
          <w:spacing w:val="-6"/>
        </w:rPr>
        <w:t xml:space="preserve"> </w:t>
      </w:r>
      <w:r>
        <w:rPr>
          <w:color w:val="231F20"/>
        </w:rPr>
        <w:t>окремою</w:t>
      </w:r>
      <w:r>
        <w:rPr>
          <w:color w:val="231F20"/>
          <w:spacing w:val="-6"/>
        </w:rPr>
        <w:t xml:space="preserve"> </w:t>
      </w:r>
      <w:r>
        <w:rPr>
          <w:color w:val="231F20"/>
        </w:rPr>
        <w:t>особою (індивідуальне) або групою осіб</w:t>
      </w:r>
      <w:r>
        <w:rPr>
          <w:color w:val="231F20"/>
          <w:spacing w:val="-5"/>
        </w:rPr>
        <w:t xml:space="preserve"> </w:t>
      </w:r>
      <w:r>
        <w:rPr>
          <w:color w:val="231F20"/>
        </w:rPr>
        <w:t>(колективне).</w:t>
      </w:r>
    </w:p>
    <w:p w14:paraId="3F58068C" w14:textId="77777777" w:rsidR="00DE575E" w:rsidRDefault="002E7560">
      <w:pPr>
        <w:pStyle w:val="BodyText"/>
        <w:spacing w:before="3" w:line="252" w:lineRule="auto"/>
        <w:ind w:left="533" w:right="128" w:firstLine="283"/>
        <w:jc w:val="both"/>
      </w:pPr>
      <w:r>
        <w:rPr>
          <w:color w:val="231F20"/>
          <w:spacing w:val="-9"/>
        </w:rPr>
        <w:t>Усне</w:t>
      </w:r>
      <w:r>
        <w:rPr>
          <w:color w:val="231F20"/>
          <w:spacing w:val="-19"/>
        </w:rPr>
        <w:t xml:space="preserve"> </w:t>
      </w:r>
      <w:r>
        <w:rPr>
          <w:color w:val="231F20"/>
          <w:spacing w:val="-5"/>
        </w:rPr>
        <w:t>звернення</w:t>
      </w:r>
      <w:r>
        <w:rPr>
          <w:color w:val="231F20"/>
          <w:spacing w:val="-19"/>
        </w:rPr>
        <w:t xml:space="preserve"> </w:t>
      </w:r>
      <w:r>
        <w:rPr>
          <w:color w:val="231F20"/>
          <w:spacing w:val="-5"/>
        </w:rPr>
        <w:t>викладається</w:t>
      </w:r>
      <w:r>
        <w:rPr>
          <w:color w:val="231F20"/>
          <w:spacing w:val="-19"/>
        </w:rPr>
        <w:t xml:space="preserve"> </w:t>
      </w:r>
      <w:r>
        <w:rPr>
          <w:color w:val="231F20"/>
          <w:spacing w:val="-5"/>
        </w:rPr>
        <w:t>громадянином</w:t>
      </w:r>
      <w:r>
        <w:rPr>
          <w:color w:val="231F20"/>
          <w:spacing w:val="-19"/>
        </w:rPr>
        <w:t xml:space="preserve"> </w:t>
      </w:r>
      <w:r>
        <w:rPr>
          <w:color w:val="231F20"/>
          <w:spacing w:val="-3"/>
        </w:rPr>
        <w:t>на</w:t>
      </w:r>
      <w:r>
        <w:rPr>
          <w:color w:val="231F20"/>
          <w:spacing w:val="-19"/>
        </w:rPr>
        <w:t xml:space="preserve"> </w:t>
      </w:r>
      <w:r>
        <w:rPr>
          <w:color w:val="231F20"/>
          <w:spacing w:val="-5"/>
        </w:rPr>
        <w:t>особистому</w:t>
      </w:r>
      <w:r>
        <w:rPr>
          <w:color w:val="231F20"/>
          <w:spacing w:val="-19"/>
        </w:rPr>
        <w:t xml:space="preserve"> </w:t>
      </w:r>
      <w:r>
        <w:rPr>
          <w:color w:val="231F20"/>
          <w:spacing w:val="-5"/>
        </w:rPr>
        <w:t xml:space="preserve">прийомі </w:t>
      </w:r>
      <w:r>
        <w:rPr>
          <w:color w:val="231F20"/>
          <w:spacing w:val="-4"/>
        </w:rPr>
        <w:t xml:space="preserve">або </w:t>
      </w:r>
      <w:r>
        <w:rPr>
          <w:color w:val="231F20"/>
          <w:spacing w:val="-3"/>
        </w:rPr>
        <w:t xml:space="preserve">за </w:t>
      </w:r>
      <w:r>
        <w:rPr>
          <w:color w:val="231F20"/>
          <w:spacing w:val="-5"/>
        </w:rPr>
        <w:t xml:space="preserve">допомогою засобів телефонного зв’язку </w:t>
      </w:r>
      <w:r>
        <w:rPr>
          <w:color w:val="231F20"/>
          <w:spacing w:val="-4"/>
        </w:rPr>
        <w:t xml:space="preserve">через </w:t>
      </w:r>
      <w:r>
        <w:rPr>
          <w:color w:val="231F20"/>
          <w:spacing w:val="-5"/>
        </w:rPr>
        <w:t xml:space="preserve">визначені контак- </w:t>
      </w:r>
      <w:r>
        <w:rPr>
          <w:color w:val="231F20"/>
          <w:spacing w:val="-4"/>
        </w:rPr>
        <w:t xml:space="preserve">тні </w:t>
      </w:r>
      <w:r>
        <w:rPr>
          <w:color w:val="231F20"/>
          <w:spacing w:val="-5"/>
        </w:rPr>
        <w:t xml:space="preserve">центри, телефонні «гарячі лінії» </w:t>
      </w:r>
      <w:r>
        <w:rPr>
          <w:color w:val="231F20"/>
          <w:spacing w:val="-3"/>
        </w:rPr>
        <w:t xml:space="preserve">та </w:t>
      </w:r>
      <w:r>
        <w:rPr>
          <w:color w:val="231F20"/>
          <w:spacing w:val="-5"/>
        </w:rPr>
        <w:t xml:space="preserve">записується посадовою особою. Письмове звернення надсилається </w:t>
      </w:r>
      <w:r>
        <w:rPr>
          <w:color w:val="231F20"/>
          <w:spacing w:val="-4"/>
        </w:rPr>
        <w:t xml:space="preserve">поштою або </w:t>
      </w:r>
      <w:r>
        <w:rPr>
          <w:color w:val="231F20"/>
          <w:spacing w:val="-5"/>
        </w:rPr>
        <w:t xml:space="preserve">передається </w:t>
      </w:r>
      <w:r>
        <w:rPr>
          <w:color w:val="231F20"/>
          <w:spacing w:val="-4"/>
        </w:rPr>
        <w:t xml:space="preserve">грома- </w:t>
      </w:r>
      <w:r>
        <w:rPr>
          <w:color w:val="231F20"/>
          <w:spacing w:val="-5"/>
        </w:rPr>
        <w:t xml:space="preserve">дянином </w:t>
      </w:r>
      <w:r>
        <w:rPr>
          <w:color w:val="231F20"/>
          <w:spacing w:val="-3"/>
        </w:rPr>
        <w:t xml:space="preserve">до </w:t>
      </w:r>
      <w:r>
        <w:rPr>
          <w:color w:val="231F20"/>
          <w:spacing w:val="-5"/>
        </w:rPr>
        <w:t xml:space="preserve">відповідного </w:t>
      </w:r>
      <w:r>
        <w:rPr>
          <w:color w:val="231F20"/>
          <w:spacing w:val="-7"/>
        </w:rPr>
        <w:t xml:space="preserve">органу, </w:t>
      </w:r>
      <w:r>
        <w:rPr>
          <w:color w:val="231F20"/>
          <w:spacing w:val="-5"/>
        </w:rPr>
        <w:t xml:space="preserve">установи особисто </w:t>
      </w:r>
      <w:r>
        <w:rPr>
          <w:color w:val="231F20"/>
          <w:spacing w:val="-3"/>
        </w:rPr>
        <w:t xml:space="preserve">чи </w:t>
      </w:r>
      <w:r>
        <w:rPr>
          <w:color w:val="231F20"/>
          <w:spacing w:val="-4"/>
        </w:rPr>
        <w:t xml:space="preserve">через </w:t>
      </w:r>
      <w:r>
        <w:rPr>
          <w:color w:val="231F20"/>
          <w:spacing w:val="-5"/>
        </w:rPr>
        <w:t xml:space="preserve">уповно- важену </w:t>
      </w:r>
      <w:r>
        <w:rPr>
          <w:color w:val="231F20"/>
          <w:spacing w:val="-4"/>
        </w:rPr>
        <w:t xml:space="preserve">ним </w:t>
      </w:r>
      <w:r>
        <w:rPr>
          <w:color w:val="231F20"/>
          <w:spacing w:val="-7"/>
        </w:rPr>
        <w:t xml:space="preserve">особу. </w:t>
      </w:r>
      <w:r>
        <w:rPr>
          <w:color w:val="231F20"/>
          <w:spacing w:val="-5"/>
        </w:rPr>
        <w:t xml:space="preserve">Письмове звернення також може </w:t>
      </w:r>
      <w:r>
        <w:rPr>
          <w:color w:val="231F20"/>
          <w:spacing w:val="-4"/>
        </w:rPr>
        <w:t xml:space="preserve">бути </w:t>
      </w:r>
      <w:r>
        <w:rPr>
          <w:color w:val="231F20"/>
          <w:spacing w:val="-5"/>
        </w:rPr>
        <w:t xml:space="preserve">надіслане </w:t>
      </w:r>
      <w:r>
        <w:rPr>
          <w:color w:val="231F20"/>
        </w:rPr>
        <w:t xml:space="preserve">з </w:t>
      </w:r>
      <w:r>
        <w:rPr>
          <w:color w:val="231F20"/>
          <w:spacing w:val="-5"/>
        </w:rPr>
        <w:t xml:space="preserve">використанням мережі </w:t>
      </w:r>
      <w:r>
        <w:rPr>
          <w:color w:val="231F20"/>
          <w:spacing w:val="-7"/>
        </w:rPr>
        <w:t xml:space="preserve">Інтернет, </w:t>
      </w:r>
      <w:r>
        <w:rPr>
          <w:color w:val="231F20"/>
          <w:spacing w:val="-5"/>
        </w:rPr>
        <w:t>з</w:t>
      </w:r>
      <w:r>
        <w:rPr>
          <w:color w:val="231F20"/>
          <w:spacing w:val="-5"/>
        </w:rPr>
        <w:t>асобів електронного</w:t>
      </w:r>
      <w:r>
        <w:rPr>
          <w:color w:val="231F20"/>
          <w:spacing w:val="-18"/>
        </w:rPr>
        <w:t xml:space="preserve"> </w:t>
      </w:r>
      <w:r>
        <w:rPr>
          <w:color w:val="231F20"/>
          <w:spacing w:val="-7"/>
        </w:rPr>
        <w:t>зв’язку.</w:t>
      </w:r>
    </w:p>
    <w:p w14:paraId="2EFFF536" w14:textId="77777777" w:rsidR="00DE575E" w:rsidRDefault="002E7560">
      <w:pPr>
        <w:pStyle w:val="BodyText"/>
        <w:spacing w:before="4" w:line="252" w:lineRule="auto"/>
        <w:ind w:left="533" w:right="127" w:firstLine="283"/>
        <w:jc w:val="both"/>
      </w:pPr>
      <w:r>
        <w:rPr>
          <w:color w:val="231F20"/>
        </w:rPr>
        <w:t xml:space="preserve">У зверненні </w:t>
      </w:r>
      <w:r>
        <w:rPr>
          <w:i/>
          <w:color w:val="231F20"/>
        </w:rPr>
        <w:t xml:space="preserve">має бути зазначено </w:t>
      </w:r>
      <w:r>
        <w:rPr>
          <w:color w:val="231F20"/>
        </w:rPr>
        <w:t>прізвище, ім’я, по батькові, місце проживання</w:t>
      </w:r>
      <w:r>
        <w:rPr>
          <w:color w:val="231F20"/>
          <w:spacing w:val="-14"/>
        </w:rPr>
        <w:t xml:space="preserve"> </w:t>
      </w:r>
      <w:r>
        <w:rPr>
          <w:color w:val="231F20"/>
        </w:rPr>
        <w:t>громадянина,</w:t>
      </w:r>
      <w:r>
        <w:rPr>
          <w:color w:val="231F20"/>
          <w:spacing w:val="-14"/>
        </w:rPr>
        <w:t xml:space="preserve"> </w:t>
      </w:r>
      <w:r>
        <w:rPr>
          <w:color w:val="231F20"/>
        </w:rPr>
        <w:t>викладено</w:t>
      </w:r>
      <w:r>
        <w:rPr>
          <w:color w:val="231F20"/>
          <w:spacing w:val="-14"/>
        </w:rPr>
        <w:t xml:space="preserve"> </w:t>
      </w:r>
      <w:r>
        <w:rPr>
          <w:color w:val="231F20"/>
        </w:rPr>
        <w:t>сутність</w:t>
      </w:r>
      <w:r>
        <w:rPr>
          <w:color w:val="231F20"/>
          <w:spacing w:val="-14"/>
        </w:rPr>
        <w:t xml:space="preserve"> </w:t>
      </w:r>
      <w:r>
        <w:rPr>
          <w:color w:val="231F20"/>
        </w:rPr>
        <w:t>порушеного</w:t>
      </w:r>
      <w:r>
        <w:rPr>
          <w:color w:val="231F20"/>
          <w:spacing w:val="-14"/>
        </w:rPr>
        <w:t xml:space="preserve"> </w:t>
      </w:r>
      <w:r>
        <w:rPr>
          <w:color w:val="231F20"/>
        </w:rPr>
        <w:t>питання, зауваження, пропозиції, заяви чи скарги, прохання чи вимоги. Пись- мове звернення має бути підписане заявником (заявниками) із зазначенням дати. В електронному зверненні також має бути</w:t>
      </w:r>
      <w:r>
        <w:rPr>
          <w:color w:val="231F20"/>
          <w:spacing w:val="-30"/>
        </w:rPr>
        <w:t xml:space="preserve"> </w:t>
      </w:r>
      <w:r>
        <w:rPr>
          <w:color w:val="231F20"/>
        </w:rPr>
        <w:t xml:space="preserve">зазна- чено електронну поштову </w:t>
      </w:r>
      <w:r>
        <w:rPr>
          <w:color w:val="231F20"/>
          <w:spacing w:val="-4"/>
        </w:rPr>
        <w:t xml:space="preserve">адресу, </w:t>
      </w:r>
      <w:r>
        <w:rPr>
          <w:color w:val="231F20"/>
        </w:rPr>
        <w:t>на яку заявнику може бу</w:t>
      </w:r>
      <w:r>
        <w:rPr>
          <w:color w:val="231F20"/>
        </w:rPr>
        <w:t>ти надіс- лано</w:t>
      </w:r>
      <w:r>
        <w:rPr>
          <w:color w:val="231F20"/>
          <w:spacing w:val="-2"/>
        </w:rPr>
        <w:t xml:space="preserve"> </w:t>
      </w:r>
      <w:r>
        <w:rPr>
          <w:color w:val="231F20"/>
        </w:rPr>
        <w:t>відповідь</w:t>
      </w:r>
      <w:r>
        <w:rPr>
          <w:color w:val="231F20"/>
          <w:position w:val="7"/>
          <w:sz w:val="12"/>
        </w:rPr>
        <w:t>1</w:t>
      </w:r>
      <w:r>
        <w:rPr>
          <w:color w:val="231F20"/>
        </w:rPr>
        <w:t>.</w:t>
      </w:r>
    </w:p>
    <w:p w14:paraId="2C6EF5FB" w14:textId="77777777" w:rsidR="00DE575E" w:rsidRDefault="00DE575E">
      <w:pPr>
        <w:pStyle w:val="BodyText"/>
        <w:spacing w:before="3"/>
        <w:rPr>
          <w:sz w:val="22"/>
        </w:rPr>
      </w:pPr>
    </w:p>
    <w:p w14:paraId="37DF5E19" w14:textId="77777777" w:rsidR="00DE575E" w:rsidRDefault="002E7560">
      <w:pPr>
        <w:pStyle w:val="Heading5"/>
        <w:ind w:left="817"/>
      </w:pPr>
      <w:r>
        <w:rPr>
          <w:color w:val="231F20"/>
        </w:rPr>
        <w:t>9.3.2. Предмет адміністративного оскарження</w:t>
      </w:r>
    </w:p>
    <w:p w14:paraId="0F29BC9A" w14:textId="77777777" w:rsidR="00DE575E" w:rsidRDefault="00DE575E">
      <w:pPr>
        <w:pStyle w:val="BodyText"/>
        <w:spacing w:before="2"/>
        <w:rPr>
          <w:b/>
          <w:sz w:val="23"/>
        </w:rPr>
      </w:pPr>
    </w:p>
    <w:p w14:paraId="4F35196A" w14:textId="77777777" w:rsidR="00DE575E" w:rsidRDefault="002E7560">
      <w:pPr>
        <w:pStyle w:val="BodyText"/>
        <w:spacing w:line="252" w:lineRule="auto"/>
        <w:ind w:left="533" w:right="128" w:firstLine="283"/>
        <w:jc w:val="both"/>
      </w:pPr>
      <w:r>
        <w:rPr>
          <w:color w:val="231F20"/>
          <w:spacing w:val="-3"/>
        </w:rPr>
        <w:t xml:space="preserve">Предметне </w:t>
      </w:r>
      <w:r>
        <w:rPr>
          <w:color w:val="231F20"/>
        </w:rPr>
        <w:t xml:space="preserve">коло </w:t>
      </w:r>
      <w:r>
        <w:rPr>
          <w:color w:val="231F20"/>
          <w:spacing w:val="-3"/>
        </w:rPr>
        <w:t xml:space="preserve">адміністративного оскарження </w:t>
      </w:r>
      <w:r>
        <w:rPr>
          <w:color w:val="231F20"/>
        </w:rPr>
        <w:t xml:space="preserve">обіймає </w:t>
      </w:r>
      <w:r>
        <w:rPr>
          <w:color w:val="231F20"/>
          <w:spacing w:val="-3"/>
        </w:rPr>
        <w:t xml:space="preserve">рішення, процедурні рішення, </w:t>
      </w:r>
      <w:r>
        <w:rPr>
          <w:color w:val="231F20"/>
        </w:rPr>
        <w:t xml:space="preserve">дії чи </w:t>
      </w:r>
      <w:r>
        <w:rPr>
          <w:color w:val="231F20"/>
          <w:spacing w:val="-3"/>
        </w:rPr>
        <w:t xml:space="preserve">бездіяльність </w:t>
      </w:r>
      <w:r>
        <w:rPr>
          <w:color w:val="231F20"/>
          <w:spacing w:val="-5"/>
        </w:rPr>
        <w:t xml:space="preserve">суб’єктів </w:t>
      </w:r>
      <w:r>
        <w:rPr>
          <w:color w:val="231F20"/>
          <w:spacing w:val="-3"/>
        </w:rPr>
        <w:t xml:space="preserve">надання адмініст- ративних </w:t>
      </w:r>
      <w:r>
        <w:rPr>
          <w:color w:val="231F20"/>
          <w:spacing w:val="-5"/>
        </w:rPr>
        <w:t xml:space="preserve">послуг, </w:t>
      </w:r>
      <w:r>
        <w:rPr>
          <w:color w:val="231F20"/>
          <w:spacing w:val="-3"/>
        </w:rPr>
        <w:t xml:space="preserve">здійснення публічного управління </w:t>
      </w:r>
      <w:r>
        <w:rPr>
          <w:color w:val="231F20"/>
        </w:rPr>
        <w:t xml:space="preserve">та </w:t>
      </w:r>
      <w:r>
        <w:rPr>
          <w:color w:val="231F20"/>
          <w:spacing w:val="-4"/>
        </w:rPr>
        <w:t xml:space="preserve">правоохорон- </w:t>
      </w:r>
      <w:r>
        <w:rPr>
          <w:color w:val="231F20"/>
        </w:rPr>
        <w:t>ної</w:t>
      </w:r>
      <w:r>
        <w:rPr>
          <w:color w:val="231F20"/>
          <w:spacing w:val="-10"/>
        </w:rPr>
        <w:t xml:space="preserve"> </w:t>
      </w:r>
      <w:r>
        <w:rPr>
          <w:color w:val="231F20"/>
          <w:spacing w:val="-3"/>
        </w:rPr>
        <w:t>діяльності</w:t>
      </w:r>
      <w:r>
        <w:rPr>
          <w:color w:val="231F20"/>
          <w:spacing w:val="-10"/>
        </w:rPr>
        <w:t xml:space="preserve"> </w:t>
      </w:r>
      <w:r>
        <w:rPr>
          <w:color w:val="231F20"/>
          <w:spacing w:val="-3"/>
        </w:rPr>
        <w:t>(або</w:t>
      </w:r>
      <w:r>
        <w:rPr>
          <w:color w:val="231F20"/>
          <w:spacing w:val="-10"/>
        </w:rPr>
        <w:t xml:space="preserve"> </w:t>
      </w:r>
      <w:r>
        <w:rPr>
          <w:color w:val="231F20"/>
        </w:rPr>
        <w:t>їх</w:t>
      </w:r>
      <w:r>
        <w:rPr>
          <w:color w:val="231F20"/>
          <w:spacing w:val="-10"/>
        </w:rPr>
        <w:t xml:space="preserve"> </w:t>
      </w:r>
      <w:r>
        <w:rPr>
          <w:color w:val="231F20"/>
          <w:spacing w:val="-3"/>
        </w:rPr>
        <w:t>посадових</w:t>
      </w:r>
      <w:r>
        <w:rPr>
          <w:color w:val="231F20"/>
          <w:spacing w:val="-10"/>
        </w:rPr>
        <w:t xml:space="preserve"> </w:t>
      </w:r>
      <w:r>
        <w:rPr>
          <w:color w:val="231F20"/>
        </w:rPr>
        <w:t>осіб</w:t>
      </w:r>
      <w:r>
        <w:rPr>
          <w:color w:val="231F20"/>
          <w:spacing w:val="-10"/>
        </w:rPr>
        <w:t xml:space="preserve"> </w:t>
      </w:r>
      <w:r>
        <w:rPr>
          <w:color w:val="231F20"/>
        </w:rPr>
        <w:t>чи</w:t>
      </w:r>
      <w:r>
        <w:rPr>
          <w:color w:val="231F20"/>
          <w:spacing w:val="-10"/>
        </w:rPr>
        <w:t xml:space="preserve"> </w:t>
      </w:r>
      <w:r>
        <w:rPr>
          <w:color w:val="231F20"/>
          <w:spacing w:val="-3"/>
        </w:rPr>
        <w:t>адміністраторів),</w:t>
      </w:r>
      <w:r>
        <w:rPr>
          <w:color w:val="231F20"/>
          <w:spacing w:val="-10"/>
        </w:rPr>
        <w:t xml:space="preserve"> </w:t>
      </w:r>
      <w:r>
        <w:rPr>
          <w:color w:val="231F20"/>
        </w:rPr>
        <w:t>які,</w:t>
      </w:r>
      <w:r>
        <w:rPr>
          <w:color w:val="231F20"/>
          <w:spacing w:val="-10"/>
        </w:rPr>
        <w:t xml:space="preserve"> </w:t>
      </w:r>
      <w:r>
        <w:rPr>
          <w:color w:val="231F20"/>
        </w:rPr>
        <w:t>на</w:t>
      </w:r>
      <w:r>
        <w:rPr>
          <w:color w:val="231F20"/>
          <w:spacing w:val="-10"/>
        </w:rPr>
        <w:t xml:space="preserve"> </w:t>
      </w:r>
      <w:r>
        <w:rPr>
          <w:color w:val="231F20"/>
          <w:spacing w:val="-3"/>
        </w:rPr>
        <w:t xml:space="preserve">думку зацікавленої фізичної </w:t>
      </w:r>
      <w:r>
        <w:rPr>
          <w:color w:val="231F20"/>
        </w:rPr>
        <w:t xml:space="preserve">чи </w:t>
      </w:r>
      <w:r>
        <w:rPr>
          <w:color w:val="231F20"/>
          <w:spacing w:val="-3"/>
        </w:rPr>
        <w:t xml:space="preserve">юридичної </w:t>
      </w:r>
      <w:r>
        <w:rPr>
          <w:color w:val="231F20"/>
        </w:rPr>
        <w:t xml:space="preserve">особи </w:t>
      </w:r>
      <w:r>
        <w:rPr>
          <w:color w:val="231F20"/>
          <w:spacing w:val="-3"/>
        </w:rPr>
        <w:t xml:space="preserve">(осіб), призвели </w:t>
      </w:r>
      <w:r>
        <w:rPr>
          <w:color w:val="231F20"/>
        </w:rPr>
        <w:t xml:space="preserve">до </w:t>
      </w:r>
      <w:r>
        <w:rPr>
          <w:color w:val="231F20"/>
          <w:spacing w:val="-4"/>
        </w:rPr>
        <w:t xml:space="preserve">пору- </w:t>
      </w:r>
      <w:r>
        <w:rPr>
          <w:color w:val="231F20"/>
          <w:spacing w:val="-3"/>
        </w:rPr>
        <w:t xml:space="preserve">шення </w:t>
      </w:r>
      <w:r>
        <w:rPr>
          <w:color w:val="231F20"/>
        </w:rPr>
        <w:t xml:space="preserve">її прав і </w:t>
      </w:r>
      <w:r>
        <w:rPr>
          <w:color w:val="231F20"/>
          <w:spacing w:val="-4"/>
        </w:rPr>
        <w:t xml:space="preserve">свобод </w:t>
      </w:r>
      <w:r>
        <w:rPr>
          <w:color w:val="231F20"/>
        </w:rPr>
        <w:t xml:space="preserve">чи </w:t>
      </w:r>
      <w:r>
        <w:rPr>
          <w:color w:val="231F20"/>
          <w:spacing w:val="-3"/>
        </w:rPr>
        <w:t xml:space="preserve">законних інтересів. Рішення може </w:t>
      </w:r>
      <w:r>
        <w:rPr>
          <w:color w:val="231F20"/>
          <w:spacing w:val="-4"/>
        </w:rPr>
        <w:t xml:space="preserve">оскаржу- </w:t>
      </w:r>
      <w:r>
        <w:rPr>
          <w:color w:val="231F20"/>
          <w:spacing w:val="-3"/>
        </w:rPr>
        <w:t xml:space="preserve">ватися </w:t>
      </w:r>
      <w:r>
        <w:rPr>
          <w:color w:val="231F20"/>
        </w:rPr>
        <w:t xml:space="preserve">через його </w:t>
      </w:r>
      <w:r>
        <w:rPr>
          <w:color w:val="231F20"/>
          <w:spacing w:val="-3"/>
        </w:rPr>
        <w:t xml:space="preserve">незаконність, </w:t>
      </w:r>
      <w:r>
        <w:rPr>
          <w:color w:val="231F20"/>
        </w:rPr>
        <w:t>нік</w:t>
      </w:r>
      <w:r>
        <w:rPr>
          <w:color w:val="231F20"/>
        </w:rPr>
        <w:t>чемність або</w:t>
      </w:r>
      <w:r>
        <w:rPr>
          <w:color w:val="231F20"/>
          <w:spacing w:val="-33"/>
        </w:rPr>
        <w:t xml:space="preserve"> </w:t>
      </w:r>
      <w:r>
        <w:rPr>
          <w:color w:val="231F20"/>
          <w:spacing w:val="-3"/>
        </w:rPr>
        <w:t>недоцільність.</w:t>
      </w:r>
    </w:p>
    <w:p w14:paraId="431CDD8F" w14:textId="77777777" w:rsidR="00DE575E" w:rsidRDefault="002E7560">
      <w:pPr>
        <w:pStyle w:val="BodyText"/>
        <w:spacing w:before="4" w:line="252" w:lineRule="auto"/>
        <w:ind w:left="533" w:right="127" w:firstLine="283"/>
        <w:jc w:val="both"/>
      </w:pPr>
      <w:r>
        <w:rPr>
          <w:b/>
          <w:i/>
          <w:color w:val="231F20"/>
        </w:rPr>
        <w:t xml:space="preserve">Розгляд скарги </w:t>
      </w:r>
      <w:r>
        <w:rPr>
          <w:color w:val="231F20"/>
        </w:rPr>
        <w:t>зазвичай відбувається в більш спрощеному порядку порівняно з розглядом позовної заяви, оскільки після адміністративного оскарження (чи навіть замість нього) фізична чи юридична особа може використати механізм судо</w:t>
      </w:r>
      <w:r>
        <w:rPr>
          <w:color w:val="231F20"/>
        </w:rPr>
        <w:t>вого оскарження,</w:t>
      </w:r>
    </w:p>
    <w:p w14:paraId="456C9FEC" w14:textId="618E7450" w:rsidR="00DE575E" w:rsidRDefault="002E7560">
      <w:pPr>
        <w:pStyle w:val="BodyText"/>
        <w:spacing w:before="5"/>
        <w:rPr>
          <w:sz w:val="24"/>
        </w:rPr>
      </w:pPr>
      <w:r>
        <w:rPr>
          <w:noProof/>
        </w:rPr>
        <mc:AlternateContent>
          <mc:Choice Requires="wps">
            <w:drawing>
              <wp:anchor distT="0" distB="0" distL="0" distR="0" simplePos="0" relativeHeight="12736" behindDoc="0" locked="0" layoutInCell="1" allowOverlap="1" wp14:anchorId="38259BE2" wp14:editId="0299CE5D">
                <wp:simplePos x="0" y="0"/>
                <wp:positionH relativeFrom="page">
                  <wp:posOffset>719455</wp:posOffset>
                </wp:positionH>
                <wp:positionV relativeFrom="paragraph">
                  <wp:posOffset>209550</wp:posOffset>
                </wp:positionV>
                <wp:extent cx="1080135" cy="0"/>
                <wp:effectExtent l="8255" t="19050" r="29210" b="19050"/>
                <wp:wrapTopAndBottom/>
                <wp:docPr id="59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6470" id="Line_x0020_591" o:spid="_x0000_s1026" style="position:absolute;z-index:1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5pt" to="141.7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" strokecolor="#231f20" strokeweight=".5pt">
                <w10:wrap type="topAndBottom" anchorx="page"/>
              </v:line>
            </w:pict>
          </mc:Fallback>
        </mc:AlternateContent>
      </w:r>
    </w:p>
    <w:p w14:paraId="73400CEE" w14:textId="77777777" w:rsidR="00DE575E" w:rsidRDefault="002E7560">
      <w:pPr>
        <w:spacing w:line="162" w:lineRule="exact"/>
        <w:ind w:left="533"/>
        <w:rPr>
          <w:sz w:val="16"/>
        </w:rPr>
      </w:pPr>
      <w:r>
        <w:rPr>
          <w:color w:val="231F20"/>
          <w:position w:val="5"/>
          <w:sz w:val="9"/>
        </w:rPr>
        <w:t xml:space="preserve">1 </w:t>
      </w:r>
      <w:r>
        <w:rPr>
          <w:color w:val="231F20"/>
          <w:sz w:val="16"/>
        </w:rPr>
        <w:t>Див. ст. 5 Закону від 2.10.1996 № 393.</w:t>
      </w:r>
    </w:p>
    <w:p w14:paraId="7B3CEB63" w14:textId="77777777" w:rsidR="00DE575E" w:rsidRDefault="00DE575E">
      <w:pPr>
        <w:pStyle w:val="BodyText"/>
        <w:spacing w:before="10"/>
        <w:rPr>
          <w:sz w:val="11"/>
        </w:rPr>
      </w:pPr>
    </w:p>
    <w:p w14:paraId="6B1F2894" w14:textId="77777777" w:rsidR="00DE575E" w:rsidRDefault="002E7560">
      <w:pPr>
        <w:spacing w:before="92"/>
        <w:ind w:left="533"/>
        <w:rPr>
          <w:rFonts w:ascii="Times New Roman"/>
          <w:sz w:val="20"/>
        </w:rPr>
      </w:pPr>
      <w:r>
        <w:rPr>
          <w:rFonts w:ascii="Times New Roman"/>
          <w:color w:val="231F20"/>
          <w:sz w:val="20"/>
        </w:rPr>
        <w:t>328</w:t>
      </w:r>
    </w:p>
    <w:p w14:paraId="25649A19" w14:textId="77777777" w:rsidR="00DE575E" w:rsidRDefault="00DE575E">
      <w:pPr>
        <w:rPr>
          <w:rFonts w:ascii="Times New Roman"/>
          <w:sz w:val="20"/>
        </w:rPr>
        <w:sectPr w:rsidR="00DE575E">
          <w:pgSz w:w="8510" w:h="12760"/>
          <w:pgMar w:top="660" w:right="720" w:bottom="280" w:left="600" w:header="720" w:footer="720" w:gutter="0"/>
          <w:cols w:space="720"/>
        </w:sectPr>
      </w:pPr>
    </w:p>
    <w:p w14:paraId="1F786CF4"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69F88522" w14:textId="33A212C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D9EBE5" wp14:editId="7EFFBA7C">
                <wp:extent cx="4140200" cy="6350"/>
                <wp:effectExtent l="0" t="0" r="12700" b="6350"/>
                <wp:docPr id="590"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91" name="Line 59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1E06C5" id="Group_x0020_58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ANy34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z9ANy34CAACYBQAADgAA&#10;AAAAAAAAAAAAAAAsAgAAZHJzL2Uyb0RvYy54bWxQSwECLQAUAAYACAAAACEATKewkNkAAAADAQAA&#10;DwAAAAAAAAAAAAAAAADWBAAAZHJzL2Rvd25yZXYueG1sUEsFBgAAAAAEAAQA8wAAANwFAAAAAA==&#10;">
                <v:line id="Line_x0020_59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3VcMYAAADcAAAADwAAAGRycy9kb3ducmV2LnhtbESP0WrCQBRE3wX/YblCX4purFQ0uooI&#10;hdIHbY0fcM1ek+Du3ZhdTdqv7xYKPg4zc4ZZrjtrxJ0aXzlWMB4lIIhzpysuFByzt+EMhA/IGo1j&#10;UvBNHtarfm+JqXYtf9H9EAoRIexTVFCGUKdS+rwki37kauLonV1jMUTZFFI32Ea4NfIlSabSYsVx&#10;ocSatiXll8PNKsiuz8F87j9Mm+1PE3m67iY/t51ST4NuswARqAuP8H/7XSt4nY/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N1XDGAAAA3AAAAA8AAAAAAAAA&#10;AAAAAAAAoQIAAGRycy9kb3ducmV2LnhtbFBLBQYAAAAABAAEAPkAAACUAwAAAAA=&#10;" strokecolor="#231f20" strokeweight=".5pt"/>
                <w10:anchorlock/>
              </v:group>
            </w:pict>
          </mc:Fallback>
        </mc:AlternateContent>
      </w:r>
    </w:p>
    <w:p w14:paraId="7E1867E7" w14:textId="77777777" w:rsidR="00DE575E" w:rsidRDefault="00DE575E">
      <w:pPr>
        <w:pStyle w:val="BodyText"/>
        <w:spacing w:before="7"/>
        <w:rPr>
          <w:rFonts w:ascii="AdonisC"/>
          <w:i/>
          <w:sz w:val="19"/>
        </w:rPr>
      </w:pPr>
    </w:p>
    <w:p w14:paraId="0957011B" w14:textId="77777777" w:rsidR="00DE575E" w:rsidRDefault="002E7560">
      <w:pPr>
        <w:pStyle w:val="BodyText"/>
        <w:spacing w:before="1" w:line="252" w:lineRule="auto"/>
        <w:ind w:left="250" w:right="411"/>
        <w:jc w:val="both"/>
      </w:pPr>
      <w:r>
        <w:rPr>
          <w:color w:val="231F20"/>
        </w:rPr>
        <w:t xml:space="preserve">а адміністративне виконує швидше </w:t>
      </w:r>
      <w:r>
        <w:rPr>
          <w:color w:val="231F20"/>
          <w:spacing w:val="-3"/>
        </w:rPr>
        <w:t xml:space="preserve">допоміжну, </w:t>
      </w:r>
      <w:r>
        <w:rPr>
          <w:color w:val="231F20"/>
        </w:rPr>
        <w:t xml:space="preserve">хоча й важливу  роль у системі гарантій прав особи у відносинах із носіями публіч- ної влади. З </w:t>
      </w:r>
      <w:r>
        <w:rPr>
          <w:color w:val="231F20"/>
          <w:spacing w:val="-3"/>
        </w:rPr>
        <w:t xml:space="preserve">огляду </w:t>
      </w:r>
      <w:r>
        <w:rPr>
          <w:color w:val="231F20"/>
        </w:rPr>
        <w:t xml:space="preserve">на це законодавець не ставить перед собою завдання встановити складне формалізоване регулювання проце- дури </w:t>
      </w:r>
      <w:r>
        <w:rPr>
          <w:color w:val="231F20"/>
          <w:spacing w:val="-3"/>
        </w:rPr>
        <w:t xml:space="preserve">розгляду </w:t>
      </w:r>
      <w:r>
        <w:rPr>
          <w:color w:val="231F20"/>
        </w:rPr>
        <w:t>такої</w:t>
      </w:r>
      <w:r>
        <w:rPr>
          <w:color w:val="231F20"/>
        </w:rPr>
        <w:t xml:space="preserve"> </w:t>
      </w:r>
      <w:r>
        <w:rPr>
          <w:color w:val="231F20"/>
        </w:rPr>
        <w:t>скарги.</w:t>
      </w:r>
    </w:p>
    <w:p w14:paraId="69D229C5" w14:textId="77777777" w:rsidR="00DE575E" w:rsidRDefault="00DE575E">
      <w:pPr>
        <w:pStyle w:val="BodyText"/>
        <w:spacing w:before="2"/>
        <w:rPr>
          <w:sz w:val="22"/>
        </w:rPr>
      </w:pPr>
    </w:p>
    <w:p w14:paraId="3E9956EA" w14:textId="77777777" w:rsidR="00DE575E" w:rsidRDefault="002E7560">
      <w:pPr>
        <w:pStyle w:val="Heading5"/>
        <w:numPr>
          <w:ilvl w:val="2"/>
          <w:numId w:val="129"/>
        </w:numPr>
        <w:tabs>
          <w:tab w:val="left" w:pos="1099"/>
        </w:tabs>
      </w:pPr>
      <w:r>
        <w:rPr>
          <w:color w:val="231F20"/>
          <w:spacing w:val="-3"/>
        </w:rPr>
        <w:t xml:space="preserve">Суб’єкти </w:t>
      </w:r>
      <w:r>
        <w:rPr>
          <w:color w:val="231F20"/>
        </w:rPr>
        <w:t>адміністративного</w:t>
      </w:r>
      <w:r>
        <w:rPr>
          <w:color w:val="231F20"/>
          <w:spacing w:val="-1"/>
        </w:rPr>
        <w:t xml:space="preserve"> </w:t>
      </w:r>
      <w:r>
        <w:rPr>
          <w:color w:val="231F20"/>
        </w:rPr>
        <w:t>осадження</w:t>
      </w:r>
    </w:p>
    <w:p w14:paraId="1BA81B83" w14:textId="77777777" w:rsidR="00DE575E" w:rsidRDefault="00DE575E">
      <w:pPr>
        <w:pStyle w:val="BodyText"/>
        <w:spacing w:before="2"/>
        <w:rPr>
          <w:b/>
          <w:sz w:val="23"/>
        </w:rPr>
      </w:pPr>
    </w:p>
    <w:p w14:paraId="1B343587" w14:textId="77777777" w:rsidR="00DE575E" w:rsidRDefault="002E7560">
      <w:pPr>
        <w:pStyle w:val="BodyText"/>
        <w:spacing w:line="252" w:lineRule="auto"/>
        <w:ind w:left="250" w:right="411" w:firstLine="283"/>
        <w:jc w:val="both"/>
      </w:pPr>
      <w:r>
        <w:rPr>
          <w:color w:val="231F20"/>
        </w:rPr>
        <w:t xml:space="preserve">Ними є </w:t>
      </w:r>
      <w:r>
        <w:rPr>
          <w:color w:val="231F20"/>
          <w:spacing w:val="-3"/>
        </w:rPr>
        <w:t xml:space="preserve">будь-які суб’єкти </w:t>
      </w:r>
      <w:r>
        <w:rPr>
          <w:color w:val="231F20"/>
        </w:rPr>
        <w:t>публічної адміністрації, яким в ієрархіч- ній системі органів</w:t>
      </w:r>
      <w:r>
        <w:rPr>
          <w:color w:val="231F20"/>
        </w:rPr>
        <w:t xml:space="preserve"> державної влади, органів місцевого самовряду- вання належить вище або керівне становище щодо тих </w:t>
      </w:r>
      <w:r>
        <w:rPr>
          <w:color w:val="231F20"/>
          <w:spacing w:val="-3"/>
        </w:rPr>
        <w:t xml:space="preserve">суб’єктів, </w:t>
      </w:r>
      <w:r>
        <w:rPr>
          <w:color w:val="231F20"/>
        </w:rPr>
        <w:t>дії, рішення чи бездіяльність яких оскаржуються.</w:t>
      </w:r>
    </w:p>
    <w:p w14:paraId="3CF633B7" w14:textId="77777777" w:rsidR="00DE575E" w:rsidRDefault="002E7560">
      <w:pPr>
        <w:pStyle w:val="BodyText"/>
        <w:spacing w:before="2" w:line="252" w:lineRule="auto"/>
        <w:ind w:left="250" w:right="411" w:firstLine="283"/>
        <w:jc w:val="both"/>
      </w:pPr>
      <w:r>
        <w:rPr>
          <w:color w:val="231F20"/>
        </w:rPr>
        <w:t>На думку В. Бевзенка, суб’єкт розгляду адміністративної скарги об’єктивно існуватиме за сукупності</w:t>
      </w:r>
      <w:r>
        <w:rPr>
          <w:color w:val="231F20"/>
        </w:rPr>
        <w:t xml:space="preserve"> таких умов: наявність ієрар- хічної (інстанційної) моделі організації суб’єктів публічної влади; наявність вертикального підпорядкування одного суб’єкта публіч- ної адміністрації іншому; використання в межах ієрархічної (інстан- ційної) моделі організації</w:t>
      </w:r>
      <w:r>
        <w:rPr>
          <w:color w:val="231F20"/>
        </w:rPr>
        <w:t xml:space="preserve"> суб’єктів публічної влади жорстких влад- но-примусових методів публічного управління</w:t>
      </w:r>
      <w:r>
        <w:rPr>
          <w:color w:val="231F20"/>
          <w:position w:val="7"/>
          <w:sz w:val="12"/>
        </w:rPr>
        <w:t>1</w:t>
      </w:r>
      <w:r>
        <w:rPr>
          <w:color w:val="231F20"/>
        </w:rPr>
        <w:t>.</w:t>
      </w:r>
    </w:p>
    <w:p w14:paraId="4C2ACBBF" w14:textId="77777777" w:rsidR="00DE575E" w:rsidRDefault="002E7560">
      <w:pPr>
        <w:spacing w:before="4"/>
        <w:ind w:left="533"/>
        <w:rPr>
          <w:i/>
          <w:sz w:val="21"/>
        </w:rPr>
      </w:pPr>
      <w:r>
        <w:rPr>
          <w:i/>
          <w:color w:val="231F20"/>
          <w:sz w:val="21"/>
        </w:rPr>
        <w:t>До суб’єктів адміністративного оскарження відносяться:</w:t>
      </w:r>
    </w:p>
    <w:p w14:paraId="20D7372E"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 xml:space="preserve">посадової особи </w:t>
      </w:r>
      <w:r>
        <w:rPr>
          <w:color w:val="231F20"/>
          <w:spacing w:val="-3"/>
          <w:sz w:val="21"/>
        </w:rPr>
        <w:t xml:space="preserve">суб’єктів </w:t>
      </w:r>
      <w:r>
        <w:rPr>
          <w:color w:val="231F20"/>
          <w:sz w:val="21"/>
        </w:rPr>
        <w:t>публічної</w:t>
      </w:r>
      <w:r>
        <w:rPr>
          <w:color w:val="231F20"/>
          <w:spacing w:val="-1"/>
          <w:sz w:val="21"/>
        </w:rPr>
        <w:t xml:space="preserve"> </w:t>
      </w:r>
      <w:r>
        <w:rPr>
          <w:color w:val="231F20"/>
          <w:sz w:val="21"/>
        </w:rPr>
        <w:t>адміністрації;</w:t>
      </w:r>
    </w:p>
    <w:p w14:paraId="7B6C9C8D" w14:textId="77777777" w:rsidR="00DE575E" w:rsidRDefault="002E7560">
      <w:pPr>
        <w:pStyle w:val="ListParagraph"/>
        <w:numPr>
          <w:ilvl w:val="0"/>
          <w:numId w:val="254"/>
        </w:numPr>
        <w:tabs>
          <w:tab w:val="left" w:pos="818"/>
        </w:tabs>
        <w:spacing w:before="12"/>
        <w:ind w:firstLine="283"/>
        <w:jc w:val="left"/>
        <w:rPr>
          <w:sz w:val="21"/>
        </w:rPr>
      </w:pPr>
      <w:r>
        <w:rPr>
          <w:color w:val="231F20"/>
          <w:sz w:val="21"/>
        </w:rPr>
        <w:t xml:space="preserve">органи протидії корупції, зокрема </w:t>
      </w:r>
      <w:r>
        <w:rPr>
          <w:color w:val="231F20"/>
          <w:spacing w:val="-7"/>
          <w:sz w:val="21"/>
        </w:rPr>
        <w:t xml:space="preserve">ДБР, </w:t>
      </w:r>
      <w:r>
        <w:rPr>
          <w:color w:val="231F20"/>
          <w:sz w:val="21"/>
        </w:rPr>
        <w:t>НАЗК і</w:t>
      </w:r>
      <w:r>
        <w:rPr>
          <w:color w:val="231F20"/>
          <w:spacing w:val="-2"/>
          <w:sz w:val="21"/>
        </w:rPr>
        <w:t xml:space="preserve"> </w:t>
      </w:r>
      <w:r>
        <w:rPr>
          <w:color w:val="231F20"/>
          <w:sz w:val="21"/>
        </w:rPr>
        <w:t>НАБУ</w:t>
      </w:r>
      <w:r>
        <w:rPr>
          <w:color w:val="231F20"/>
          <w:position w:val="7"/>
          <w:sz w:val="12"/>
        </w:rPr>
        <w:t>2</w:t>
      </w:r>
      <w:r>
        <w:rPr>
          <w:color w:val="231F20"/>
          <w:sz w:val="21"/>
        </w:rPr>
        <w:t>;</w:t>
      </w:r>
    </w:p>
    <w:p w14:paraId="10BEB9F2" w14:textId="77777777" w:rsidR="00DE575E" w:rsidRDefault="002E7560">
      <w:pPr>
        <w:pStyle w:val="ListParagraph"/>
        <w:numPr>
          <w:ilvl w:val="0"/>
          <w:numId w:val="254"/>
        </w:numPr>
        <w:tabs>
          <w:tab w:val="left" w:pos="818"/>
        </w:tabs>
        <w:spacing w:before="13"/>
        <w:ind w:firstLine="283"/>
        <w:jc w:val="left"/>
        <w:rPr>
          <w:sz w:val="21"/>
        </w:rPr>
      </w:pPr>
      <w:r>
        <w:rPr>
          <w:color w:val="231F20"/>
          <w:sz w:val="21"/>
        </w:rPr>
        <w:t xml:space="preserve">уповноважена Верховної Ради </w:t>
      </w:r>
      <w:r>
        <w:rPr>
          <w:color w:val="231F20"/>
          <w:spacing w:val="-3"/>
          <w:sz w:val="21"/>
        </w:rPr>
        <w:t xml:space="preserve">України </w:t>
      </w:r>
      <w:r>
        <w:rPr>
          <w:color w:val="231F20"/>
          <w:sz w:val="21"/>
        </w:rPr>
        <w:t>з прав</w:t>
      </w:r>
      <w:r>
        <w:rPr>
          <w:color w:val="231F20"/>
          <w:spacing w:val="-6"/>
          <w:sz w:val="21"/>
        </w:rPr>
        <w:t xml:space="preserve"> </w:t>
      </w:r>
      <w:r>
        <w:rPr>
          <w:color w:val="231F20"/>
          <w:sz w:val="21"/>
        </w:rPr>
        <w:t>людини</w:t>
      </w:r>
      <w:r>
        <w:rPr>
          <w:color w:val="231F20"/>
          <w:position w:val="7"/>
          <w:sz w:val="12"/>
        </w:rPr>
        <w:t>3</w:t>
      </w:r>
      <w:r>
        <w:rPr>
          <w:color w:val="231F20"/>
          <w:sz w:val="21"/>
        </w:rPr>
        <w:t>;</w:t>
      </w:r>
    </w:p>
    <w:p w14:paraId="7FF041F7" w14:textId="77777777" w:rsidR="00DE575E" w:rsidRDefault="002E7560">
      <w:pPr>
        <w:pStyle w:val="ListParagraph"/>
        <w:numPr>
          <w:ilvl w:val="0"/>
          <w:numId w:val="254"/>
        </w:numPr>
        <w:tabs>
          <w:tab w:val="left" w:pos="818"/>
        </w:tabs>
        <w:spacing w:before="13"/>
        <w:ind w:firstLine="283"/>
        <w:jc w:val="left"/>
        <w:rPr>
          <w:sz w:val="21"/>
        </w:rPr>
      </w:pPr>
      <w:r>
        <w:rPr>
          <w:color w:val="231F20"/>
          <w:spacing w:val="-3"/>
          <w:sz w:val="21"/>
        </w:rPr>
        <w:t xml:space="preserve">суб’єкти </w:t>
      </w:r>
      <w:r>
        <w:rPr>
          <w:color w:val="231F20"/>
          <w:sz w:val="21"/>
        </w:rPr>
        <w:t>громадянське</w:t>
      </w:r>
      <w:r>
        <w:rPr>
          <w:color w:val="231F20"/>
          <w:sz w:val="21"/>
        </w:rPr>
        <w:t xml:space="preserve"> </w:t>
      </w:r>
      <w:r>
        <w:rPr>
          <w:color w:val="231F20"/>
          <w:sz w:val="21"/>
        </w:rPr>
        <w:t>суспільство.</w:t>
      </w:r>
    </w:p>
    <w:p w14:paraId="3F1FA4C1" w14:textId="77777777" w:rsidR="00DE575E" w:rsidRDefault="00DE575E">
      <w:pPr>
        <w:pStyle w:val="BodyText"/>
        <w:spacing w:before="1"/>
        <w:rPr>
          <w:sz w:val="23"/>
        </w:rPr>
      </w:pPr>
    </w:p>
    <w:p w14:paraId="3C005C0D" w14:textId="77777777" w:rsidR="00DE575E" w:rsidRDefault="002E7560">
      <w:pPr>
        <w:pStyle w:val="Heading5"/>
        <w:numPr>
          <w:ilvl w:val="2"/>
          <w:numId w:val="129"/>
        </w:numPr>
        <w:tabs>
          <w:tab w:val="left" w:pos="1099"/>
        </w:tabs>
      </w:pPr>
      <w:r>
        <w:rPr>
          <w:color w:val="231F20"/>
        </w:rPr>
        <w:t xml:space="preserve">Процедура </w:t>
      </w:r>
      <w:r>
        <w:rPr>
          <w:color w:val="231F20"/>
          <w:spacing w:val="-3"/>
        </w:rPr>
        <w:t xml:space="preserve">розгляду </w:t>
      </w:r>
      <w:r>
        <w:rPr>
          <w:color w:val="231F20"/>
        </w:rPr>
        <w:t>та вирішення справи за</w:t>
      </w:r>
      <w:r>
        <w:rPr>
          <w:color w:val="231F20"/>
          <w:spacing w:val="-4"/>
        </w:rPr>
        <w:t xml:space="preserve"> </w:t>
      </w:r>
      <w:r>
        <w:rPr>
          <w:color w:val="231F20"/>
        </w:rPr>
        <w:t>скаргою</w:t>
      </w:r>
    </w:p>
    <w:p w14:paraId="74D833B0" w14:textId="77777777" w:rsidR="00DE575E" w:rsidRDefault="00DE575E">
      <w:pPr>
        <w:pStyle w:val="BodyText"/>
        <w:spacing w:before="2"/>
        <w:rPr>
          <w:b/>
          <w:sz w:val="23"/>
        </w:rPr>
      </w:pPr>
    </w:p>
    <w:p w14:paraId="2543E664" w14:textId="77777777" w:rsidR="00DE575E" w:rsidRDefault="002E7560">
      <w:pPr>
        <w:pStyle w:val="BodyText"/>
        <w:spacing w:line="252" w:lineRule="auto"/>
        <w:ind w:left="250" w:right="411" w:firstLine="283"/>
        <w:jc w:val="both"/>
      </w:pPr>
      <w:r>
        <w:rPr>
          <w:color w:val="231F20"/>
          <w:spacing w:val="-5"/>
        </w:rPr>
        <w:t xml:space="preserve">Згідно </w:t>
      </w:r>
      <w:r>
        <w:rPr>
          <w:color w:val="231F20"/>
          <w:spacing w:val="-3"/>
        </w:rPr>
        <w:t xml:space="preserve">зі </w:t>
      </w:r>
      <w:r>
        <w:rPr>
          <w:color w:val="231F20"/>
          <w:spacing w:val="-9"/>
        </w:rPr>
        <w:t xml:space="preserve">ст. </w:t>
      </w:r>
      <w:r>
        <w:rPr>
          <w:color w:val="231F20"/>
          <w:spacing w:val="-3"/>
        </w:rPr>
        <w:t xml:space="preserve">16 </w:t>
      </w:r>
      <w:r>
        <w:rPr>
          <w:color w:val="231F20"/>
          <w:spacing w:val="-5"/>
        </w:rPr>
        <w:t xml:space="preserve">Закону </w:t>
      </w:r>
      <w:r>
        <w:rPr>
          <w:color w:val="231F20"/>
          <w:spacing w:val="-6"/>
        </w:rPr>
        <w:t xml:space="preserve">України </w:t>
      </w:r>
      <w:r>
        <w:rPr>
          <w:color w:val="231F20"/>
          <w:spacing w:val="-4"/>
        </w:rPr>
        <w:t xml:space="preserve">«Про </w:t>
      </w:r>
      <w:r>
        <w:rPr>
          <w:color w:val="231F20"/>
          <w:spacing w:val="-5"/>
        </w:rPr>
        <w:t xml:space="preserve">звернення громадян» уста- новлено, </w:t>
      </w:r>
      <w:r>
        <w:rPr>
          <w:color w:val="231F20"/>
          <w:spacing w:val="-3"/>
        </w:rPr>
        <w:t xml:space="preserve">що </w:t>
      </w:r>
      <w:r>
        <w:rPr>
          <w:color w:val="231F20"/>
          <w:spacing w:val="-5"/>
        </w:rPr>
        <w:t xml:space="preserve">скарга </w:t>
      </w:r>
      <w:r>
        <w:rPr>
          <w:color w:val="231F20"/>
          <w:spacing w:val="-3"/>
        </w:rPr>
        <w:t xml:space="preserve">на </w:t>
      </w:r>
      <w:r>
        <w:rPr>
          <w:color w:val="231F20"/>
          <w:spacing w:val="-4"/>
        </w:rPr>
        <w:t xml:space="preserve">дії </w:t>
      </w:r>
      <w:r>
        <w:rPr>
          <w:color w:val="231F20"/>
          <w:spacing w:val="-3"/>
        </w:rPr>
        <w:t xml:space="preserve">чи </w:t>
      </w:r>
      <w:r>
        <w:rPr>
          <w:color w:val="231F20"/>
          <w:spacing w:val="-5"/>
        </w:rPr>
        <w:t>рішення органу державної влади, органу місцевого самоврядування, підприємства, установи, організації,</w:t>
      </w:r>
    </w:p>
    <w:p w14:paraId="38EA631E" w14:textId="7E15C701" w:rsidR="00DE575E" w:rsidRDefault="002E7560">
      <w:pPr>
        <w:pStyle w:val="BodyText"/>
        <w:spacing w:before="2"/>
        <w:rPr>
          <w:sz w:val="24"/>
        </w:rPr>
      </w:pPr>
      <w:r>
        <w:rPr>
          <w:noProof/>
        </w:rPr>
        <mc:AlternateContent>
          <mc:Choice Requires="wps">
            <w:drawing>
              <wp:anchor distT="0" distB="0" distL="0" distR="0" simplePos="0" relativeHeight="12784" behindDoc="0" locked="0" layoutInCell="1" allowOverlap="1" wp14:anchorId="56A79A91" wp14:editId="73E04722">
                <wp:simplePos x="0" y="0"/>
                <wp:positionH relativeFrom="page">
                  <wp:posOffset>539750</wp:posOffset>
                </wp:positionH>
                <wp:positionV relativeFrom="paragraph">
                  <wp:posOffset>208280</wp:posOffset>
                </wp:positionV>
                <wp:extent cx="1080135" cy="0"/>
                <wp:effectExtent l="6350" t="17780" r="31115" b="20320"/>
                <wp:wrapTopAndBottom/>
                <wp:docPr id="58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4F0B3" id="Line_x0020_588" o:spid="_x0000_s1026" style="position:absolute;z-index:1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4pt" to="127.5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" strokecolor="#231f20" strokeweight=".5pt">
                <w10:wrap type="topAndBottom" anchorx="page"/>
              </v:line>
            </w:pict>
          </mc:Fallback>
        </mc:AlternateContent>
      </w:r>
    </w:p>
    <w:p w14:paraId="12E9591B" w14:textId="77777777" w:rsidR="00DE575E" w:rsidRDefault="002E7560">
      <w:pPr>
        <w:spacing w:line="162" w:lineRule="exact"/>
        <w:ind w:left="250"/>
        <w:rPr>
          <w:sz w:val="16"/>
        </w:rPr>
      </w:pPr>
      <w:r>
        <w:rPr>
          <w:color w:val="231F20"/>
          <w:position w:val="5"/>
          <w:sz w:val="9"/>
        </w:rPr>
        <w:t xml:space="preserve">1 </w:t>
      </w:r>
      <w:r>
        <w:rPr>
          <w:color w:val="231F20"/>
          <w:sz w:val="16"/>
        </w:rPr>
        <w:t>Мельник Р., Бевзенко В. Зазнач. праця. С. 354-356.</w:t>
      </w:r>
    </w:p>
    <w:p w14:paraId="1D0C272B" w14:textId="77777777" w:rsidR="00DE575E" w:rsidRDefault="002E7560">
      <w:pPr>
        <w:spacing w:before="23" w:line="204" w:lineRule="auto"/>
        <w:ind w:left="250" w:right="411"/>
        <w:jc w:val="both"/>
        <w:rPr>
          <w:sz w:val="16"/>
        </w:rPr>
      </w:pPr>
      <w:r>
        <w:rPr>
          <w:color w:val="231F20"/>
          <w:position w:val="5"/>
          <w:sz w:val="9"/>
        </w:rPr>
        <w:t xml:space="preserve">2 </w:t>
      </w:r>
      <w:r>
        <w:rPr>
          <w:color w:val="231F20"/>
          <w:sz w:val="16"/>
        </w:rPr>
        <w:t>Циганов О. Адміністративне оскарження як важливий засіб забезпечення законності при</w:t>
      </w:r>
      <w:r>
        <w:rPr>
          <w:color w:val="231F20"/>
          <w:spacing w:val="-8"/>
          <w:sz w:val="16"/>
        </w:rPr>
        <w:t xml:space="preserve"> </w:t>
      </w:r>
      <w:r>
        <w:rPr>
          <w:color w:val="231F20"/>
          <w:sz w:val="16"/>
        </w:rPr>
        <w:t>наданні</w:t>
      </w:r>
      <w:r>
        <w:rPr>
          <w:color w:val="231F20"/>
          <w:spacing w:val="-8"/>
          <w:sz w:val="16"/>
        </w:rPr>
        <w:t xml:space="preserve"> </w:t>
      </w:r>
      <w:r>
        <w:rPr>
          <w:color w:val="231F20"/>
          <w:sz w:val="16"/>
        </w:rPr>
        <w:t>адміністративних</w:t>
      </w:r>
      <w:r>
        <w:rPr>
          <w:color w:val="231F20"/>
          <w:spacing w:val="-8"/>
          <w:sz w:val="16"/>
        </w:rPr>
        <w:t xml:space="preserve"> </w:t>
      </w:r>
      <w:r>
        <w:rPr>
          <w:color w:val="231F20"/>
          <w:sz w:val="16"/>
        </w:rPr>
        <w:t>послуг</w:t>
      </w:r>
      <w:r>
        <w:rPr>
          <w:color w:val="231F20"/>
          <w:spacing w:val="-8"/>
          <w:sz w:val="16"/>
        </w:rPr>
        <w:t xml:space="preserve"> </w:t>
      </w:r>
      <w:r>
        <w:rPr>
          <w:color w:val="231F20"/>
          <w:sz w:val="16"/>
        </w:rPr>
        <w:t>у</w:t>
      </w:r>
      <w:r>
        <w:rPr>
          <w:color w:val="231F20"/>
          <w:spacing w:val="-8"/>
          <w:sz w:val="16"/>
        </w:rPr>
        <w:t xml:space="preserve"> </w:t>
      </w:r>
      <w:r>
        <w:rPr>
          <w:color w:val="231F20"/>
          <w:sz w:val="16"/>
        </w:rPr>
        <w:t>сфері</w:t>
      </w:r>
      <w:r>
        <w:rPr>
          <w:color w:val="231F20"/>
          <w:spacing w:val="-8"/>
          <w:sz w:val="16"/>
        </w:rPr>
        <w:t xml:space="preserve"> </w:t>
      </w:r>
      <w:r>
        <w:rPr>
          <w:color w:val="231F20"/>
          <w:sz w:val="16"/>
        </w:rPr>
        <w:t>правоохоронної</w:t>
      </w:r>
      <w:r>
        <w:rPr>
          <w:color w:val="231F20"/>
          <w:spacing w:val="-8"/>
          <w:sz w:val="16"/>
        </w:rPr>
        <w:t xml:space="preserve"> </w:t>
      </w:r>
      <w:r>
        <w:rPr>
          <w:color w:val="231F20"/>
          <w:sz w:val="16"/>
        </w:rPr>
        <w:t>діяльності.</w:t>
      </w:r>
      <w:r>
        <w:rPr>
          <w:color w:val="231F20"/>
          <w:spacing w:val="-8"/>
          <w:sz w:val="16"/>
        </w:rPr>
        <w:t xml:space="preserve"> </w:t>
      </w:r>
      <w:r>
        <w:rPr>
          <w:i/>
          <w:color w:val="231F20"/>
          <w:sz w:val="16"/>
        </w:rPr>
        <w:t>Проблеми</w:t>
      </w:r>
      <w:r>
        <w:rPr>
          <w:i/>
          <w:color w:val="231F20"/>
          <w:spacing w:val="-8"/>
          <w:sz w:val="16"/>
        </w:rPr>
        <w:t xml:space="preserve"> </w:t>
      </w:r>
      <w:r>
        <w:rPr>
          <w:i/>
          <w:color w:val="231F20"/>
          <w:sz w:val="16"/>
        </w:rPr>
        <w:t>управ- ління, адміністративного права, адміністративної діяльності правоохоронних</w:t>
      </w:r>
      <w:r>
        <w:rPr>
          <w:i/>
          <w:color w:val="231F20"/>
          <w:spacing w:val="-18"/>
          <w:sz w:val="16"/>
        </w:rPr>
        <w:t xml:space="preserve"> </w:t>
      </w:r>
      <w:r>
        <w:rPr>
          <w:i/>
          <w:color w:val="231F20"/>
          <w:sz w:val="16"/>
        </w:rPr>
        <w:t>органів</w:t>
      </w:r>
      <w:r>
        <w:rPr>
          <w:color w:val="231F20"/>
          <w:sz w:val="16"/>
        </w:rPr>
        <w:t>.</w:t>
      </w:r>
    </w:p>
    <w:p w14:paraId="76476599" w14:textId="77777777" w:rsidR="00DE575E" w:rsidRDefault="002E7560">
      <w:pPr>
        <w:spacing w:before="30" w:line="204" w:lineRule="auto"/>
        <w:ind w:left="250" w:right="411"/>
        <w:jc w:val="both"/>
        <w:rPr>
          <w:i/>
          <w:sz w:val="16"/>
        </w:rPr>
      </w:pPr>
      <w:r>
        <w:rPr>
          <w:color w:val="231F20"/>
          <w:position w:val="5"/>
          <w:sz w:val="9"/>
        </w:rPr>
        <w:t xml:space="preserve">3 </w:t>
      </w:r>
      <w:r>
        <w:rPr>
          <w:i/>
          <w:color w:val="231F20"/>
          <w:sz w:val="16"/>
        </w:rPr>
        <w:t>Нагляд за дотриманням конституційних прав і свобод людини і  громадянина  та  захист прав кожно</w:t>
      </w:r>
      <w:r>
        <w:rPr>
          <w:i/>
          <w:color w:val="231F20"/>
          <w:sz w:val="16"/>
        </w:rPr>
        <w:t>го на території України і в межах її юрисдикції на постійній основі від імені Верховної Ради України здійснює Уповноважений Верховної Ради з прав людини, який відповідно до Закону від 23.12.1997 № 776 «Про Уповноваженого Верховної Ради України з прав</w:t>
      </w:r>
      <w:r>
        <w:rPr>
          <w:i/>
          <w:color w:val="231F20"/>
          <w:spacing w:val="-5"/>
          <w:sz w:val="16"/>
        </w:rPr>
        <w:t xml:space="preserve"> </w:t>
      </w:r>
      <w:r>
        <w:rPr>
          <w:i/>
          <w:color w:val="231F20"/>
          <w:sz w:val="16"/>
        </w:rPr>
        <w:t>людин</w:t>
      </w:r>
      <w:r>
        <w:rPr>
          <w:i/>
          <w:color w:val="231F20"/>
          <w:sz w:val="16"/>
        </w:rPr>
        <w:t>и»</w:t>
      </w:r>
      <w:r>
        <w:rPr>
          <w:i/>
          <w:color w:val="231F20"/>
          <w:spacing w:val="-6"/>
          <w:sz w:val="16"/>
        </w:rPr>
        <w:t xml:space="preserve"> </w:t>
      </w:r>
      <w:r>
        <w:rPr>
          <w:i/>
          <w:color w:val="231F20"/>
          <w:sz w:val="16"/>
        </w:rPr>
        <w:t>захищає</w:t>
      </w:r>
      <w:r>
        <w:rPr>
          <w:i/>
          <w:color w:val="231F20"/>
          <w:spacing w:val="-6"/>
          <w:sz w:val="16"/>
        </w:rPr>
        <w:t xml:space="preserve"> </w:t>
      </w:r>
      <w:r>
        <w:rPr>
          <w:i/>
          <w:color w:val="231F20"/>
          <w:sz w:val="16"/>
        </w:rPr>
        <w:t>права</w:t>
      </w:r>
      <w:r>
        <w:rPr>
          <w:i/>
          <w:color w:val="231F20"/>
          <w:spacing w:val="-5"/>
          <w:sz w:val="16"/>
        </w:rPr>
        <w:t xml:space="preserve"> </w:t>
      </w:r>
      <w:r>
        <w:rPr>
          <w:i/>
          <w:color w:val="231F20"/>
          <w:sz w:val="16"/>
        </w:rPr>
        <w:t>та</w:t>
      </w:r>
      <w:r>
        <w:rPr>
          <w:i/>
          <w:color w:val="231F20"/>
          <w:spacing w:val="-6"/>
          <w:sz w:val="16"/>
        </w:rPr>
        <w:t xml:space="preserve"> </w:t>
      </w:r>
      <w:r>
        <w:rPr>
          <w:i/>
          <w:color w:val="231F20"/>
          <w:sz w:val="16"/>
        </w:rPr>
        <w:t>свободи</w:t>
      </w:r>
      <w:r>
        <w:rPr>
          <w:i/>
          <w:color w:val="231F20"/>
          <w:spacing w:val="-5"/>
          <w:sz w:val="16"/>
        </w:rPr>
        <w:t xml:space="preserve"> </w:t>
      </w:r>
      <w:r>
        <w:rPr>
          <w:i/>
          <w:color w:val="231F20"/>
          <w:sz w:val="16"/>
        </w:rPr>
        <w:t>фізичних</w:t>
      </w:r>
      <w:r>
        <w:rPr>
          <w:i/>
          <w:color w:val="231F20"/>
          <w:spacing w:val="-6"/>
          <w:sz w:val="16"/>
        </w:rPr>
        <w:t xml:space="preserve"> </w:t>
      </w:r>
      <w:r>
        <w:rPr>
          <w:i/>
          <w:color w:val="231F20"/>
          <w:sz w:val="16"/>
        </w:rPr>
        <w:t>осіб</w:t>
      </w:r>
      <w:r>
        <w:rPr>
          <w:i/>
          <w:color w:val="231F20"/>
          <w:spacing w:val="-6"/>
          <w:sz w:val="16"/>
        </w:rPr>
        <w:t xml:space="preserve"> </w:t>
      </w:r>
      <w:r>
        <w:rPr>
          <w:i/>
          <w:color w:val="231F20"/>
          <w:sz w:val="16"/>
        </w:rPr>
        <w:t>у</w:t>
      </w:r>
      <w:r>
        <w:rPr>
          <w:i/>
          <w:color w:val="231F20"/>
          <w:spacing w:val="-5"/>
          <w:sz w:val="16"/>
        </w:rPr>
        <w:t xml:space="preserve"> </w:t>
      </w:r>
      <w:r>
        <w:rPr>
          <w:i/>
          <w:color w:val="231F20"/>
          <w:sz w:val="16"/>
        </w:rPr>
        <w:t>відносинах,</w:t>
      </w:r>
      <w:r>
        <w:rPr>
          <w:i/>
          <w:color w:val="231F20"/>
          <w:spacing w:val="-5"/>
          <w:sz w:val="16"/>
        </w:rPr>
        <w:t xml:space="preserve"> </w:t>
      </w:r>
      <w:r>
        <w:rPr>
          <w:i/>
          <w:color w:val="231F20"/>
          <w:sz w:val="16"/>
        </w:rPr>
        <w:t>що</w:t>
      </w:r>
      <w:r>
        <w:rPr>
          <w:i/>
          <w:color w:val="231F20"/>
          <w:spacing w:val="-6"/>
          <w:sz w:val="16"/>
        </w:rPr>
        <w:t xml:space="preserve"> </w:t>
      </w:r>
      <w:r>
        <w:rPr>
          <w:i/>
          <w:color w:val="231F20"/>
          <w:sz w:val="16"/>
        </w:rPr>
        <w:t>виникають</w:t>
      </w:r>
      <w:r>
        <w:rPr>
          <w:i/>
          <w:color w:val="231F20"/>
          <w:spacing w:val="-6"/>
          <w:sz w:val="16"/>
        </w:rPr>
        <w:t xml:space="preserve"> </w:t>
      </w:r>
      <w:r>
        <w:rPr>
          <w:i/>
          <w:color w:val="231F20"/>
          <w:sz w:val="16"/>
        </w:rPr>
        <w:t>при</w:t>
      </w:r>
      <w:r>
        <w:rPr>
          <w:i/>
          <w:color w:val="231F20"/>
          <w:spacing w:val="-5"/>
          <w:sz w:val="16"/>
        </w:rPr>
        <w:t xml:space="preserve"> </w:t>
      </w:r>
      <w:r>
        <w:rPr>
          <w:i/>
          <w:color w:val="231F20"/>
          <w:sz w:val="16"/>
        </w:rPr>
        <w:t>реа- лізації їхніх конституційних прав і свобод незалежно від місця перебування. Уповноваже- ний приймає та розглядає звернення громадян України, іноземців, осіб без громадянства або</w:t>
      </w:r>
      <w:r>
        <w:rPr>
          <w:i/>
          <w:color w:val="231F20"/>
          <w:spacing w:val="-10"/>
          <w:sz w:val="16"/>
        </w:rPr>
        <w:t xml:space="preserve"> </w:t>
      </w:r>
      <w:r>
        <w:rPr>
          <w:i/>
          <w:color w:val="231F20"/>
          <w:sz w:val="16"/>
        </w:rPr>
        <w:t>осіб,</w:t>
      </w:r>
      <w:r>
        <w:rPr>
          <w:i/>
          <w:color w:val="231F20"/>
          <w:spacing w:val="-10"/>
          <w:sz w:val="16"/>
        </w:rPr>
        <w:t xml:space="preserve"> </w:t>
      </w:r>
      <w:r>
        <w:rPr>
          <w:i/>
          <w:color w:val="231F20"/>
          <w:sz w:val="16"/>
        </w:rPr>
        <w:t>які</w:t>
      </w:r>
      <w:r>
        <w:rPr>
          <w:i/>
          <w:color w:val="231F20"/>
          <w:spacing w:val="-10"/>
          <w:sz w:val="16"/>
        </w:rPr>
        <w:t xml:space="preserve"> </w:t>
      </w:r>
      <w:r>
        <w:rPr>
          <w:i/>
          <w:color w:val="231F20"/>
          <w:sz w:val="16"/>
        </w:rPr>
        <w:t>діють</w:t>
      </w:r>
      <w:r>
        <w:rPr>
          <w:i/>
          <w:color w:val="231F20"/>
          <w:spacing w:val="-10"/>
          <w:sz w:val="16"/>
        </w:rPr>
        <w:t xml:space="preserve"> </w:t>
      </w:r>
      <w:r>
        <w:rPr>
          <w:i/>
          <w:color w:val="231F20"/>
          <w:sz w:val="16"/>
        </w:rPr>
        <w:t>в</w:t>
      </w:r>
      <w:r>
        <w:rPr>
          <w:i/>
          <w:color w:val="231F20"/>
          <w:spacing w:val="-10"/>
          <w:sz w:val="16"/>
        </w:rPr>
        <w:t xml:space="preserve"> </w:t>
      </w:r>
      <w:r>
        <w:rPr>
          <w:i/>
          <w:color w:val="231F20"/>
          <w:sz w:val="16"/>
        </w:rPr>
        <w:t>їхніх</w:t>
      </w:r>
      <w:r>
        <w:rPr>
          <w:i/>
          <w:color w:val="231F20"/>
          <w:spacing w:val="-10"/>
          <w:sz w:val="16"/>
        </w:rPr>
        <w:t xml:space="preserve"> </w:t>
      </w:r>
      <w:r>
        <w:rPr>
          <w:i/>
          <w:color w:val="231F20"/>
          <w:sz w:val="16"/>
        </w:rPr>
        <w:t>інтересах,</w:t>
      </w:r>
      <w:r>
        <w:rPr>
          <w:i/>
          <w:color w:val="231F20"/>
          <w:spacing w:val="-10"/>
          <w:sz w:val="16"/>
        </w:rPr>
        <w:t xml:space="preserve"> </w:t>
      </w:r>
      <w:r>
        <w:rPr>
          <w:i/>
          <w:color w:val="231F20"/>
          <w:sz w:val="16"/>
        </w:rPr>
        <w:t>відповідно</w:t>
      </w:r>
      <w:r>
        <w:rPr>
          <w:i/>
          <w:color w:val="231F20"/>
          <w:spacing w:val="-10"/>
          <w:sz w:val="16"/>
        </w:rPr>
        <w:t xml:space="preserve"> </w:t>
      </w:r>
      <w:r>
        <w:rPr>
          <w:i/>
          <w:color w:val="231F20"/>
          <w:sz w:val="16"/>
        </w:rPr>
        <w:t>до</w:t>
      </w:r>
      <w:r>
        <w:rPr>
          <w:i/>
          <w:color w:val="231F20"/>
          <w:spacing w:val="-10"/>
          <w:sz w:val="16"/>
        </w:rPr>
        <w:t xml:space="preserve"> </w:t>
      </w:r>
      <w:r>
        <w:rPr>
          <w:i/>
          <w:color w:val="231F20"/>
          <w:sz w:val="16"/>
        </w:rPr>
        <w:t>Закону</w:t>
      </w:r>
      <w:r>
        <w:rPr>
          <w:i/>
          <w:color w:val="231F20"/>
          <w:spacing w:val="-10"/>
          <w:sz w:val="16"/>
        </w:rPr>
        <w:t xml:space="preserve"> </w:t>
      </w:r>
      <w:r>
        <w:rPr>
          <w:i/>
          <w:color w:val="231F20"/>
          <w:sz w:val="16"/>
        </w:rPr>
        <w:t>України</w:t>
      </w:r>
      <w:r>
        <w:rPr>
          <w:i/>
          <w:color w:val="231F20"/>
          <w:spacing w:val="-10"/>
          <w:sz w:val="16"/>
        </w:rPr>
        <w:t xml:space="preserve"> </w:t>
      </w:r>
      <w:r>
        <w:rPr>
          <w:i/>
          <w:color w:val="231F20"/>
          <w:sz w:val="16"/>
        </w:rPr>
        <w:t>«Про</w:t>
      </w:r>
      <w:r>
        <w:rPr>
          <w:i/>
          <w:color w:val="231F20"/>
          <w:spacing w:val="-10"/>
          <w:sz w:val="16"/>
        </w:rPr>
        <w:t xml:space="preserve"> </w:t>
      </w:r>
      <w:r>
        <w:rPr>
          <w:i/>
          <w:color w:val="231F20"/>
          <w:sz w:val="16"/>
        </w:rPr>
        <w:t>звернення</w:t>
      </w:r>
      <w:r>
        <w:rPr>
          <w:i/>
          <w:color w:val="231F20"/>
          <w:spacing w:val="-10"/>
          <w:sz w:val="16"/>
        </w:rPr>
        <w:t xml:space="preserve"> </w:t>
      </w:r>
      <w:r>
        <w:rPr>
          <w:i/>
          <w:color w:val="231F20"/>
          <w:sz w:val="16"/>
        </w:rPr>
        <w:t>громадян».</w:t>
      </w:r>
    </w:p>
    <w:p w14:paraId="2C119BA4" w14:textId="77777777" w:rsidR="00DE575E" w:rsidRDefault="00DE575E">
      <w:pPr>
        <w:pStyle w:val="BodyText"/>
        <w:spacing w:before="8"/>
        <w:rPr>
          <w:i/>
          <w:sz w:val="12"/>
        </w:rPr>
      </w:pPr>
    </w:p>
    <w:p w14:paraId="3A8C9C33" w14:textId="77777777" w:rsidR="00DE575E" w:rsidRDefault="002E7560">
      <w:pPr>
        <w:spacing w:before="92"/>
        <w:ind w:right="411"/>
        <w:jc w:val="right"/>
        <w:rPr>
          <w:rFonts w:ascii="Times New Roman"/>
          <w:sz w:val="20"/>
        </w:rPr>
      </w:pPr>
      <w:r>
        <w:rPr>
          <w:rFonts w:ascii="Times New Roman"/>
          <w:color w:val="231F20"/>
          <w:w w:val="90"/>
          <w:sz w:val="20"/>
        </w:rPr>
        <w:t>329</w:t>
      </w:r>
    </w:p>
    <w:p w14:paraId="3F511E2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5FE9EE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422CA80" w14:textId="0E52B85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6E18D1B" wp14:editId="094A9C16">
                <wp:extent cx="4140200" cy="6350"/>
                <wp:effectExtent l="0" t="0" r="12700" b="6350"/>
                <wp:docPr id="587"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88" name="Line 5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EBFBA4" id="Group_x0020_5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bhQxkgAIAAJgFAAAO&#10;AAAAAAAAAAAAAAAAACwCAABkcnMvZTJvRG9jLnhtbFBLAQItABQABgAIAAAAIQBMp7CQ2QAAAAMB&#10;AAAPAAAAAAAAAAAAAAAAANgEAABkcnMvZG93bnJldi54bWxQSwUGAAAAAAQABADzAAAA3gUAAAAA&#10;">
                <v:line id="Line_x0020_5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7qMMMAAADcAAAADwAAAGRycy9kb3ducmV2LnhtbERP3WrCMBS+F/YO4Qy8kTVVUaRrlCEM&#10;hhc67R7g2Jy1ZclJbaKte/rlYuDlx/efbwZrxI063zhWME1SEMSl0w1XCr6K95cVCB+QNRrHpOBO&#10;Hjbrp1GOmXY9H+l2CpWIIewzVFCH0GZS+rImiz5xLXHkvl1nMUTYVVJ32Mdwa+QsTZfSYsOxocaW&#10;tjWVP6erVVBcJsF8HnamLw7nuTxf9vPf616p8fPw9goi0BAe4n/3h1awWMW1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6jDDAAAA3AAAAA8AAAAAAAAAAAAA&#10;AAAAoQIAAGRycy9kb3ducmV2LnhtbFBLBQYAAAAABAAEAPkAAACRAwAAAAA=&#10;" strokecolor="#231f20" strokeweight=".5pt"/>
                <w10:anchorlock/>
              </v:group>
            </w:pict>
          </mc:Fallback>
        </mc:AlternateContent>
      </w:r>
    </w:p>
    <w:p w14:paraId="35BF6E63" w14:textId="77777777" w:rsidR="00DE575E" w:rsidRDefault="00DE575E">
      <w:pPr>
        <w:pStyle w:val="BodyText"/>
        <w:spacing w:before="7"/>
        <w:rPr>
          <w:rFonts w:ascii="AdonisC"/>
          <w:i/>
          <w:sz w:val="11"/>
        </w:rPr>
      </w:pPr>
    </w:p>
    <w:p w14:paraId="0BFA964C" w14:textId="77777777" w:rsidR="00DE575E" w:rsidRDefault="002E7560">
      <w:pPr>
        <w:pStyle w:val="BodyText"/>
        <w:spacing w:before="101" w:line="252" w:lineRule="auto"/>
        <w:ind w:left="533" w:right="126"/>
        <w:jc w:val="both"/>
      </w:pPr>
      <w:r>
        <w:rPr>
          <w:color w:val="231F20"/>
          <w:spacing w:val="-3"/>
        </w:rPr>
        <w:t xml:space="preserve">об’єднання </w:t>
      </w:r>
      <w:r>
        <w:rPr>
          <w:color w:val="231F20"/>
        </w:rPr>
        <w:t>громадян, засобів масової інформації, посадової особи подається</w:t>
      </w:r>
      <w:r>
        <w:rPr>
          <w:color w:val="231F20"/>
          <w:spacing w:val="-8"/>
        </w:rPr>
        <w:t xml:space="preserve"> </w:t>
      </w:r>
      <w:r>
        <w:rPr>
          <w:color w:val="231F20"/>
        </w:rPr>
        <w:t>в</w:t>
      </w:r>
      <w:r>
        <w:rPr>
          <w:color w:val="231F20"/>
          <w:spacing w:val="-8"/>
        </w:rPr>
        <w:t xml:space="preserve"> </w:t>
      </w:r>
      <w:r>
        <w:rPr>
          <w:color w:val="231F20"/>
        </w:rPr>
        <w:t>порядку</w:t>
      </w:r>
      <w:r>
        <w:rPr>
          <w:color w:val="231F20"/>
          <w:spacing w:val="-8"/>
        </w:rPr>
        <w:t xml:space="preserve"> </w:t>
      </w:r>
      <w:r>
        <w:rPr>
          <w:color w:val="231F20"/>
        </w:rPr>
        <w:t>підлеглості</w:t>
      </w:r>
      <w:r>
        <w:rPr>
          <w:color w:val="231F20"/>
          <w:spacing w:val="-8"/>
        </w:rPr>
        <w:t xml:space="preserve"> </w:t>
      </w:r>
      <w:r>
        <w:rPr>
          <w:color w:val="231F20"/>
        </w:rPr>
        <w:t>вищому</w:t>
      </w:r>
      <w:r>
        <w:rPr>
          <w:color w:val="231F20"/>
          <w:spacing w:val="-8"/>
        </w:rPr>
        <w:t xml:space="preserve"> </w:t>
      </w:r>
      <w:r>
        <w:rPr>
          <w:color w:val="231F20"/>
        </w:rPr>
        <w:t>органу</w:t>
      </w:r>
      <w:r>
        <w:rPr>
          <w:color w:val="231F20"/>
          <w:spacing w:val="-8"/>
        </w:rPr>
        <w:t xml:space="preserve"> </w:t>
      </w:r>
      <w:r>
        <w:rPr>
          <w:color w:val="231F20"/>
        </w:rPr>
        <w:t>або</w:t>
      </w:r>
      <w:r>
        <w:rPr>
          <w:color w:val="231F20"/>
          <w:spacing w:val="-8"/>
        </w:rPr>
        <w:t xml:space="preserve"> </w:t>
      </w:r>
      <w:r>
        <w:rPr>
          <w:color w:val="231F20"/>
        </w:rPr>
        <w:t>посадовій</w:t>
      </w:r>
      <w:r>
        <w:rPr>
          <w:color w:val="231F20"/>
          <w:spacing w:val="-8"/>
        </w:rPr>
        <w:t xml:space="preserve"> </w:t>
      </w:r>
      <w:r>
        <w:rPr>
          <w:color w:val="231F20"/>
        </w:rPr>
        <w:t xml:space="preserve">особі, що не позбавляє громадянина права звернутися до </w:t>
      </w:r>
      <w:r>
        <w:rPr>
          <w:color w:val="231F20"/>
          <w:spacing w:val="-4"/>
        </w:rPr>
        <w:t xml:space="preserve">суду </w:t>
      </w:r>
      <w:r>
        <w:rPr>
          <w:color w:val="231F20"/>
        </w:rPr>
        <w:t>відповідно до чинного законодавств</w:t>
      </w:r>
      <w:r>
        <w:rPr>
          <w:color w:val="231F20"/>
        </w:rPr>
        <w:t>а, а в разі відсутності такого органу чи незгоди громадянина з ухваленим за скаргою рішенням – безпосе- редньо до</w:t>
      </w:r>
      <w:r>
        <w:rPr>
          <w:color w:val="231F20"/>
          <w:spacing w:val="-2"/>
        </w:rPr>
        <w:t xml:space="preserve"> </w:t>
      </w:r>
      <w:r>
        <w:rPr>
          <w:color w:val="231F20"/>
          <w:spacing w:val="-7"/>
        </w:rPr>
        <w:t>суду.</w:t>
      </w:r>
    </w:p>
    <w:p w14:paraId="27649C48" w14:textId="77777777" w:rsidR="00DE575E" w:rsidRDefault="002E7560">
      <w:pPr>
        <w:pStyle w:val="BodyText"/>
        <w:spacing w:before="3" w:line="252" w:lineRule="auto"/>
        <w:ind w:left="533" w:right="125" w:firstLine="283"/>
        <w:jc w:val="both"/>
      </w:pPr>
      <w:r>
        <w:rPr>
          <w:b/>
          <w:i/>
          <w:color w:val="231F20"/>
        </w:rPr>
        <w:t xml:space="preserve">Усні скарги </w:t>
      </w:r>
      <w:r>
        <w:rPr>
          <w:color w:val="231F20"/>
        </w:rPr>
        <w:t xml:space="preserve">заявників безпосередньо розглядаються, а пору- шені в них питання за можливістю вирішуються посадовими особами відповідного </w:t>
      </w:r>
      <w:r>
        <w:rPr>
          <w:color w:val="231F20"/>
        </w:rPr>
        <w:t>суб’єкта розгляду справи за скаргою під час особистого прийому громадян, який проводиться згідно із затвер- дженим графіком.</w:t>
      </w:r>
    </w:p>
    <w:p w14:paraId="59CC323F" w14:textId="77777777" w:rsidR="00DE575E" w:rsidRDefault="002E7560">
      <w:pPr>
        <w:pStyle w:val="BodyText"/>
        <w:spacing w:before="2" w:line="252" w:lineRule="auto"/>
        <w:ind w:left="533" w:right="128" w:firstLine="283"/>
        <w:jc w:val="both"/>
      </w:pPr>
      <w:r>
        <w:rPr>
          <w:b/>
          <w:i/>
          <w:color w:val="231F20"/>
        </w:rPr>
        <w:t xml:space="preserve">Особистий прийом громадян </w:t>
      </w:r>
      <w:r>
        <w:rPr>
          <w:color w:val="231F20"/>
        </w:rPr>
        <w:t>здійснюється в усіх органах державної влади, а також за місцем роботи та проживання насе- лення тими керівниками й посадовими особами зазначених орга- нів, які мають право ухвалювати рішення з питань, що входять до їх компетенції.</w:t>
      </w:r>
    </w:p>
    <w:p w14:paraId="09B08EA8" w14:textId="77777777" w:rsidR="00DE575E" w:rsidRDefault="002E7560">
      <w:pPr>
        <w:pStyle w:val="BodyText"/>
        <w:spacing w:before="3" w:line="252" w:lineRule="auto"/>
        <w:ind w:left="533" w:right="127" w:firstLine="283"/>
        <w:jc w:val="both"/>
      </w:pPr>
      <w:r>
        <w:rPr>
          <w:b/>
          <w:i/>
          <w:color w:val="231F20"/>
        </w:rPr>
        <w:t>Письмові</w:t>
      </w:r>
      <w:r>
        <w:rPr>
          <w:b/>
          <w:i/>
          <w:color w:val="231F20"/>
          <w:spacing w:val="-6"/>
        </w:rPr>
        <w:t xml:space="preserve"> </w:t>
      </w:r>
      <w:r>
        <w:rPr>
          <w:b/>
          <w:i/>
          <w:color w:val="231F20"/>
        </w:rPr>
        <w:t>скарги</w:t>
      </w:r>
      <w:r>
        <w:rPr>
          <w:color w:val="231F20"/>
        </w:rPr>
        <w:t>,</w:t>
      </w:r>
      <w:r>
        <w:rPr>
          <w:color w:val="231F20"/>
          <w:spacing w:val="-6"/>
        </w:rPr>
        <w:t xml:space="preserve"> </w:t>
      </w:r>
      <w:r>
        <w:rPr>
          <w:color w:val="231F20"/>
        </w:rPr>
        <w:t>оформлен</w:t>
      </w:r>
      <w:r>
        <w:rPr>
          <w:color w:val="231F20"/>
        </w:rPr>
        <w:t>і</w:t>
      </w:r>
      <w:r>
        <w:rPr>
          <w:color w:val="231F20"/>
          <w:spacing w:val="-6"/>
        </w:rPr>
        <w:t xml:space="preserve"> </w:t>
      </w:r>
      <w:r>
        <w:rPr>
          <w:color w:val="231F20"/>
        </w:rPr>
        <w:t>належним</w:t>
      </w:r>
      <w:r>
        <w:rPr>
          <w:color w:val="231F20"/>
          <w:spacing w:val="-6"/>
        </w:rPr>
        <w:t xml:space="preserve"> </w:t>
      </w:r>
      <w:r>
        <w:rPr>
          <w:color w:val="231F20"/>
        </w:rPr>
        <w:t>чином</w:t>
      </w:r>
      <w:r>
        <w:rPr>
          <w:color w:val="231F20"/>
          <w:spacing w:val="-6"/>
        </w:rPr>
        <w:t xml:space="preserve"> </w:t>
      </w:r>
      <w:r>
        <w:rPr>
          <w:color w:val="231F20"/>
        </w:rPr>
        <w:t>і</w:t>
      </w:r>
      <w:r>
        <w:rPr>
          <w:color w:val="231F20"/>
          <w:spacing w:val="-8"/>
        </w:rPr>
        <w:t xml:space="preserve"> </w:t>
      </w:r>
      <w:r>
        <w:rPr>
          <w:color w:val="231F20"/>
        </w:rPr>
        <w:t>подані</w:t>
      </w:r>
      <w:r>
        <w:rPr>
          <w:color w:val="231F20"/>
          <w:spacing w:val="-6"/>
        </w:rPr>
        <w:t xml:space="preserve"> </w:t>
      </w:r>
      <w:r>
        <w:rPr>
          <w:color w:val="231F20"/>
        </w:rPr>
        <w:t>в</w:t>
      </w:r>
      <w:r>
        <w:rPr>
          <w:color w:val="231F20"/>
          <w:spacing w:val="-6"/>
        </w:rPr>
        <w:t xml:space="preserve"> </w:t>
      </w:r>
      <w:r>
        <w:rPr>
          <w:color w:val="231F20"/>
        </w:rPr>
        <w:t>установ- леному</w:t>
      </w:r>
      <w:r>
        <w:rPr>
          <w:color w:val="231F20"/>
          <w:spacing w:val="-11"/>
        </w:rPr>
        <w:t xml:space="preserve"> </w:t>
      </w:r>
      <w:r>
        <w:rPr>
          <w:color w:val="231F20"/>
          <w:spacing w:val="-3"/>
        </w:rPr>
        <w:t>порядку,</w:t>
      </w:r>
      <w:r>
        <w:rPr>
          <w:color w:val="231F20"/>
          <w:spacing w:val="-11"/>
        </w:rPr>
        <w:t xml:space="preserve"> </w:t>
      </w:r>
      <w:r>
        <w:rPr>
          <w:color w:val="231F20"/>
        </w:rPr>
        <w:t>підлягають</w:t>
      </w:r>
      <w:r>
        <w:rPr>
          <w:color w:val="231F20"/>
          <w:spacing w:val="-11"/>
        </w:rPr>
        <w:t xml:space="preserve"> </w:t>
      </w:r>
      <w:r>
        <w:rPr>
          <w:color w:val="231F20"/>
        </w:rPr>
        <w:t>обов’язковому</w:t>
      </w:r>
      <w:r>
        <w:rPr>
          <w:color w:val="231F20"/>
          <w:spacing w:val="-11"/>
        </w:rPr>
        <w:t xml:space="preserve"> </w:t>
      </w:r>
      <w:r>
        <w:rPr>
          <w:color w:val="231F20"/>
        </w:rPr>
        <w:t>ухваленню,</w:t>
      </w:r>
      <w:r>
        <w:rPr>
          <w:color w:val="231F20"/>
          <w:spacing w:val="-11"/>
        </w:rPr>
        <w:t xml:space="preserve"> </w:t>
      </w:r>
      <w:r>
        <w:rPr>
          <w:color w:val="231F20"/>
        </w:rPr>
        <w:t>реєстрації</w:t>
      </w:r>
      <w:r>
        <w:rPr>
          <w:color w:val="231F20"/>
          <w:spacing w:val="-11"/>
        </w:rPr>
        <w:t xml:space="preserve"> </w:t>
      </w:r>
      <w:r>
        <w:rPr>
          <w:color w:val="231F20"/>
        </w:rPr>
        <w:t xml:space="preserve">та первинному </w:t>
      </w:r>
      <w:r>
        <w:rPr>
          <w:color w:val="231F20"/>
          <w:spacing w:val="-3"/>
        </w:rPr>
        <w:t xml:space="preserve">розгляду </w:t>
      </w:r>
      <w:r>
        <w:rPr>
          <w:color w:val="231F20"/>
        </w:rPr>
        <w:t xml:space="preserve">з метою визначення їх належності до компе- тенції органів державної влади та закріплення за ними конкрет- ного виконавця. </w:t>
      </w:r>
      <w:r>
        <w:rPr>
          <w:color w:val="231F20"/>
          <w:spacing w:val="-5"/>
        </w:rPr>
        <w:t xml:space="preserve">Такі </w:t>
      </w:r>
      <w:r>
        <w:rPr>
          <w:color w:val="231F20"/>
        </w:rPr>
        <w:t xml:space="preserve">скарги не пізніше робочого дня, наступного після дня їх надходження, направляються відповідальним праців- ником підрозділу документального забезпечення органу державної влади – </w:t>
      </w:r>
      <w:r>
        <w:rPr>
          <w:color w:val="231F20"/>
          <w:spacing w:val="-3"/>
        </w:rPr>
        <w:t xml:space="preserve">суб’єкту розгляду </w:t>
      </w:r>
      <w:r>
        <w:rPr>
          <w:color w:val="231F20"/>
        </w:rPr>
        <w:t xml:space="preserve">справи за скаргою – до керівника цього </w:t>
      </w:r>
      <w:r>
        <w:rPr>
          <w:color w:val="231F20"/>
          <w:spacing w:val="-3"/>
        </w:rPr>
        <w:t>органу.</w:t>
      </w:r>
    </w:p>
    <w:p w14:paraId="555D687F" w14:textId="77777777" w:rsidR="00DE575E" w:rsidRDefault="002E7560">
      <w:pPr>
        <w:pStyle w:val="BodyText"/>
        <w:spacing w:before="4" w:line="252" w:lineRule="auto"/>
        <w:ind w:left="533" w:right="127" w:firstLine="283"/>
        <w:jc w:val="both"/>
      </w:pPr>
      <w:r>
        <w:rPr>
          <w:b/>
          <w:i/>
          <w:color w:val="231F20"/>
        </w:rPr>
        <w:t xml:space="preserve">Нагляд </w:t>
      </w:r>
      <w:r>
        <w:rPr>
          <w:color w:val="231F20"/>
        </w:rPr>
        <w:t>за дотр</w:t>
      </w:r>
      <w:r>
        <w:rPr>
          <w:color w:val="231F20"/>
        </w:rPr>
        <w:t>иманням конституційних прав і свобод людини    і</w:t>
      </w:r>
      <w:r>
        <w:rPr>
          <w:color w:val="231F20"/>
          <w:spacing w:val="-7"/>
        </w:rPr>
        <w:t xml:space="preserve"> </w:t>
      </w:r>
      <w:r>
        <w:rPr>
          <w:color w:val="231F20"/>
        </w:rPr>
        <w:t>громадянина</w:t>
      </w:r>
      <w:r>
        <w:rPr>
          <w:color w:val="231F20"/>
          <w:spacing w:val="-7"/>
        </w:rPr>
        <w:t xml:space="preserve"> </w:t>
      </w:r>
      <w:r>
        <w:rPr>
          <w:color w:val="231F20"/>
        </w:rPr>
        <w:t>та</w:t>
      </w:r>
      <w:r>
        <w:rPr>
          <w:color w:val="231F20"/>
          <w:spacing w:val="-7"/>
        </w:rPr>
        <w:t xml:space="preserve"> </w:t>
      </w:r>
      <w:r>
        <w:rPr>
          <w:color w:val="231F20"/>
        </w:rPr>
        <w:t>захист</w:t>
      </w:r>
      <w:r>
        <w:rPr>
          <w:color w:val="231F20"/>
          <w:spacing w:val="-7"/>
        </w:rPr>
        <w:t xml:space="preserve"> </w:t>
      </w:r>
      <w:r>
        <w:rPr>
          <w:color w:val="231F20"/>
        </w:rPr>
        <w:t>прав</w:t>
      </w:r>
      <w:r>
        <w:rPr>
          <w:color w:val="231F20"/>
          <w:spacing w:val="-7"/>
        </w:rPr>
        <w:t xml:space="preserve"> </w:t>
      </w:r>
      <w:r>
        <w:rPr>
          <w:color w:val="231F20"/>
        </w:rPr>
        <w:t>кожного</w:t>
      </w:r>
      <w:r>
        <w:rPr>
          <w:color w:val="231F20"/>
          <w:spacing w:val="-7"/>
        </w:rPr>
        <w:t xml:space="preserve"> </w:t>
      </w:r>
      <w:r>
        <w:rPr>
          <w:color w:val="231F20"/>
        </w:rPr>
        <w:t>на</w:t>
      </w:r>
      <w:r>
        <w:rPr>
          <w:color w:val="231F20"/>
          <w:spacing w:val="-7"/>
        </w:rPr>
        <w:t xml:space="preserve"> </w:t>
      </w:r>
      <w:r>
        <w:rPr>
          <w:color w:val="231F20"/>
        </w:rPr>
        <w:t>території</w:t>
      </w:r>
      <w:r>
        <w:rPr>
          <w:color w:val="231F20"/>
          <w:spacing w:val="-7"/>
        </w:rPr>
        <w:t xml:space="preserve"> </w:t>
      </w:r>
      <w:r>
        <w:rPr>
          <w:color w:val="231F20"/>
          <w:spacing w:val="-3"/>
        </w:rPr>
        <w:t>України</w:t>
      </w:r>
      <w:r>
        <w:rPr>
          <w:color w:val="231F20"/>
          <w:spacing w:val="-7"/>
        </w:rPr>
        <w:t xml:space="preserve"> </w:t>
      </w:r>
      <w:r>
        <w:rPr>
          <w:color w:val="231F20"/>
        </w:rPr>
        <w:t>і</w:t>
      </w:r>
      <w:r>
        <w:rPr>
          <w:color w:val="231F20"/>
          <w:spacing w:val="-8"/>
        </w:rPr>
        <w:t xml:space="preserve"> </w:t>
      </w:r>
      <w:r>
        <w:rPr>
          <w:color w:val="231F20"/>
        </w:rPr>
        <w:t>в</w:t>
      </w:r>
      <w:r>
        <w:rPr>
          <w:color w:val="231F20"/>
          <w:spacing w:val="-7"/>
        </w:rPr>
        <w:t xml:space="preserve"> </w:t>
      </w:r>
      <w:r>
        <w:rPr>
          <w:color w:val="231F20"/>
        </w:rPr>
        <w:t xml:space="preserve">межах її юрисдикції на постійній основі від імені Верховної Ради </w:t>
      </w:r>
      <w:r>
        <w:rPr>
          <w:color w:val="231F20"/>
          <w:spacing w:val="-3"/>
        </w:rPr>
        <w:t xml:space="preserve">України </w:t>
      </w:r>
      <w:r>
        <w:rPr>
          <w:color w:val="231F20"/>
        </w:rPr>
        <w:t>здійснює</w:t>
      </w:r>
      <w:r>
        <w:rPr>
          <w:color w:val="231F20"/>
          <w:spacing w:val="-15"/>
        </w:rPr>
        <w:t xml:space="preserve"> </w:t>
      </w:r>
      <w:r>
        <w:rPr>
          <w:color w:val="231F20"/>
        </w:rPr>
        <w:t>Уповноважений</w:t>
      </w:r>
      <w:r>
        <w:rPr>
          <w:color w:val="231F20"/>
          <w:spacing w:val="-15"/>
        </w:rPr>
        <w:t xml:space="preserve"> </w:t>
      </w:r>
      <w:r>
        <w:rPr>
          <w:color w:val="231F20"/>
        </w:rPr>
        <w:t>Верховної</w:t>
      </w:r>
      <w:r>
        <w:rPr>
          <w:color w:val="231F20"/>
          <w:spacing w:val="-15"/>
        </w:rPr>
        <w:t xml:space="preserve"> </w:t>
      </w:r>
      <w:r>
        <w:rPr>
          <w:color w:val="231F20"/>
        </w:rPr>
        <w:t>Ради</w:t>
      </w:r>
      <w:r>
        <w:rPr>
          <w:color w:val="231F20"/>
          <w:spacing w:val="-15"/>
        </w:rPr>
        <w:t xml:space="preserve"> </w:t>
      </w:r>
      <w:r>
        <w:rPr>
          <w:color w:val="231F20"/>
        </w:rPr>
        <w:t>з</w:t>
      </w:r>
      <w:r>
        <w:rPr>
          <w:color w:val="231F20"/>
          <w:spacing w:val="-15"/>
        </w:rPr>
        <w:t xml:space="preserve"> </w:t>
      </w:r>
      <w:r>
        <w:rPr>
          <w:color w:val="231F20"/>
        </w:rPr>
        <w:t>прав</w:t>
      </w:r>
      <w:r>
        <w:rPr>
          <w:color w:val="231F20"/>
          <w:spacing w:val="-15"/>
        </w:rPr>
        <w:t xml:space="preserve"> </w:t>
      </w:r>
      <w:r>
        <w:rPr>
          <w:color w:val="231F20"/>
        </w:rPr>
        <w:t>людини,</w:t>
      </w:r>
      <w:r>
        <w:rPr>
          <w:color w:val="231F20"/>
          <w:spacing w:val="-15"/>
        </w:rPr>
        <w:t xml:space="preserve"> </w:t>
      </w:r>
      <w:r>
        <w:rPr>
          <w:color w:val="231F20"/>
        </w:rPr>
        <w:t>який</w:t>
      </w:r>
      <w:r>
        <w:rPr>
          <w:color w:val="231F20"/>
          <w:spacing w:val="-15"/>
        </w:rPr>
        <w:t xml:space="preserve"> </w:t>
      </w:r>
      <w:r>
        <w:rPr>
          <w:color w:val="231F20"/>
        </w:rPr>
        <w:t xml:space="preserve">відпо- відно до </w:t>
      </w:r>
      <w:r>
        <w:rPr>
          <w:color w:val="231F20"/>
        </w:rPr>
        <w:t>Закону від 23.12.1997 № 776 «Про Уповноваженого Верхов- ної</w:t>
      </w:r>
      <w:r>
        <w:rPr>
          <w:color w:val="231F20"/>
          <w:spacing w:val="-11"/>
        </w:rPr>
        <w:t xml:space="preserve"> </w:t>
      </w:r>
      <w:r>
        <w:rPr>
          <w:color w:val="231F20"/>
        </w:rPr>
        <w:t>Ради</w:t>
      </w:r>
      <w:r>
        <w:rPr>
          <w:color w:val="231F20"/>
          <w:spacing w:val="-11"/>
        </w:rPr>
        <w:t xml:space="preserve"> </w:t>
      </w:r>
      <w:r>
        <w:rPr>
          <w:color w:val="231F20"/>
          <w:spacing w:val="-3"/>
        </w:rPr>
        <w:t>України</w:t>
      </w:r>
      <w:r>
        <w:rPr>
          <w:color w:val="231F20"/>
          <w:spacing w:val="-12"/>
        </w:rPr>
        <w:t xml:space="preserve"> </w:t>
      </w:r>
      <w:r>
        <w:rPr>
          <w:color w:val="231F20"/>
        </w:rPr>
        <w:t>з</w:t>
      </w:r>
      <w:r>
        <w:rPr>
          <w:color w:val="231F20"/>
          <w:spacing w:val="-11"/>
        </w:rPr>
        <w:t xml:space="preserve"> </w:t>
      </w:r>
      <w:r>
        <w:rPr>
          <w:color w:val="231F20"/>
        </w:rPr>
        <w:t>прав</w:t>
      </w:r>
      <w:r>
        <w:rPr>
          <w:color w:val="231F20"/>
          <w:spacing w:val="-11"/>
        </w:rPr>
        <w:t xml:space="preserve"> </w:t>
      </w:r>
      <w:r>
        <w:rPr>
          <w:color w:val="231F20"/>
        </w:rPr>
        <w:t>людини»</w:t>
      </w:r>
      <w:r>
        <w:rPr>
          <w:color w:val="231F20"/>
          <w:spacing w:val="-12"/>
        </w:rPr>
        <w:t xml:space="preserve"> </w:t>
      </w:r>
      <w:r>
        <w:rPr>
          <w:color w:val="231F20"/>
        </w:rPr>
        <w:t>захищає</w:t>
      </w:r>
      <w:r>
        <w:rPr>
          <w:color w:val="231F20"/>
          <w:spacing w:val="-11"/>
        </w:rPr>
        <w:t xml:space="preserve"> </w:t>
      </w:r>
      <w:r>
        <w:rPr>
          <w:color w:val="231F20"/>
        </w:rPr>
        <w:t>права</w:t>
      </w:r>
      <w:r>
        <w:rPr>
          <w:color w:val="231F20"/>
          <w:spacing w:val="-11"/>
        </w:rPr>
        <w:t xml:space="preserve"> </w:t>
      </w:r>
      <w:r>
        <w:rPr>
          <w:color w:val="231F20"/>
        </w:rPr>
        <w:t>та</w:t>
      </w:r>
      <w:r>
        <w:rPr>
          <w:color w:val="231F20"/>
          <w:spacing w:val="-11"/>
        </w:rPr>
        <w:t xml:space="preserve"> </w:t>
      </w:r>
      <w:r>
        <w:rPr>
          <w:color w:val="231F20"/>
        </w:rPr>
        <w:t>свободи</w:t>
      </w:r>
      <w:r>
        <w:rPr>
          <w:color w:val="231F20"/>
          <w:spacing w:val="-11"/>
        </w:rPr>
        <w:t xml:space="preserve"> </w:t>
      </w:r>
      <w:r>
        <w:rPr>
          <w:color w:val="231F20"/>
        </w:rPr>
        <w:t>фізичних осіб у відносинах, що виникають при реалізації їхніх конституцій- них прав і свобод незалежно від місця перебування.</w:t>
      </w:r>
      <w:r>
        <w:rPr>
          <w:color w:val="231F20"/>
          <w:spacing w:val="-21"/>
        </w:rPr>
        <w:t xml:space="preserve"> </w:t>
      </w:r>
      <w:r>
        <w:rPr>
          <w:color w:val="231F20"/>
        </w:rPr>
        <w:t xml:space="preserve">Уповноважений приймає та </w:t>
      </w:r>
      <w:r>
        <w:rPr>
          <w:color w:val="231F20"/>
          <w:spacing w:val="-2"/>
        </w:rPr>
        <w:t xml:space="preserve">розглядає </w:t>
      </w:r>
      <w:r>
        <w:rPr>
          <w:color w:val="231F20"/>
        </w:rPr>
        <w:t xml:space="preserve">звернення громадян </w:t>
      </w:r>
      <w:r>
        <w:rPr>
          <w:color w:val="231F20"/>
          <w:spacing w:val="-3"/>
        </w:rPr>
        <w:t xml:space="preserve">України, </w:t>
      </w:r>
      <w:r>
        <w:rPr>
          <w:color w:val="231F20"/>
        </w:rPr>
        <w:t xml:space="preserve">іноземців, осіб без громадянства або осіб, які діють в їхніх інтересах, відповідно до Закону </w:t>
      </w:r>
      <w:r>
        <w:rPr>
          <w:color w:val="231F20"/>
          <w:spacing w:val="-3"/>
        </w:rPr>
        <w:t xml:space="preserve">України </w:t>
      </w:r>
      <w:r>
        <w:rPr>
          <w:color w:val="231F20"/>
        </w:rPr>
        <w:t>«Про звернення громадян».</w:t>
      </w:r>
    </w:p>
    <w:p w14:paraId="7B7EA314" w14:textId="77777777" w:rsidR="00DE575E" w:rsidRDefault="002E7560">
      <w:pPr>
        <w:pStyle w:val="BodyText"/>
        <w:spacing w:before="5" w:line="252" w:lineRule="auto"/>
        <w:ind w:left="533" w:right="128" w:firstLine="283"/>
        <w:jc w:val="both"/>
      </w:pPr>
      <w:r>
        <w:rPr>
          <w:color w:val="231F20"/>
        </w:rPr>
        <w:t xml:space="preserve">Первинний </w:t>
      </w:r>
      <w:r>
        <w:rPr>
          <w:color w:val="231F20"/>
          <w:spacing w:val="-3"/>
        </w:rPr>
        <w:t xml:space="preserve">розгляд </w:t>
      </w:r>
      <w:r>
        <w:rPr>
          <w:color w:val="231F20"/>
        </w:rPr>
        <w:t xml:space="preserve">скарг здійснюється керівниками </w:t>
      </w:r>
      <w:r>
        <w:rPr>
          <w:color w:val="231F20"/>
          <w:spacing w:val="-3"/>
        </w:rPr>
        <w:t>суб’єктів розгляд</w:t>
      </w:r>
      <w:r>
        <w:rPr>
          <w:color w:val="231F20"/>
          <w:spacing w:val="-3"/>
        </w:rPr>
        <w:t xml:space="preserve">у </w:t>
      </w:r>
      <w:r>
        <w:rPr>
          <w:color w:val="231F20"/>
        </w:rPr>
        <w:t xml:space="preserve">справи за скаргою або їх заступниками згідно з їх повнова- женнями. За </w:t>
      </w:r>
      <w:r>
        <w:rPr>
          <w:color w:val="231F20"/>
          <w:spacing w:val="-3"/>
        </w:rPr>
        <w:t xml:space="preserve">результатами </w:t>
      </w:r>
      <w:r>
        <w:rPr>
          <w:color w:val="231F20"/>
        </w:rPr>
        <w:t xml:space="preserve">цього </w:t>
      </w:r>
      <w:r>
        <w:rPr>
          <w:color w:val="231F20"/>
          <w:spacing w:val="-4"/>
        </w:rPr>
        <w:t xml:space="preserve">розгляду, </w:t>
      </w:r>
      <w:r>
        <w:rPr>
          <w:color w:val="231F20"/>
        </w:rPr>
        <w:t>не пізніше робочого дня,</w:t>
      </w:r>
    </w:p>
    <w:p w14:paraId="44433964" w14:textId="77777777" w:rsidR="00DE575E" w:rsidRDefault="00DE575E">
      <w:pPr>
        <w:pStyle w:val="BodyText"/>
        <w:spacing w:before="6"/>
        <w:rPr>
          <w:sz w:val="12"/>
        </w:rPr>
      </w:pPr>
    </w:p>
    <w:p w14:paraId="61FD865F" w14:textId="77777777" w:rsidR="00DE575E" w:rsidRDefault="002E7560">
      <w:pPr>
        <w:spacing w:before="92"/>
        <w:ind w:left="533"/>
        <w:rPr>
          <w:rFonts w:ascii="Times New Roman"/>
          <w:sz w:val="20"/>
        </w:rPr>
      </w:pPr>
      <w:r>
        <w:rPr>
          <w:rFonts w:ascii="Times New Roman"/>
          <w:color w:val="231F20"/>
          <w:sz w:val="20"/>
        </w:rPr>
        <w:t>330</w:t>
      </w:r>
    </w:p>
    <w:p w14:paraId="5618CA92" w14:textId="77777777" w:rsidR="00DE575E" w:rsidRDefault="00DE575E">
      <w:pPr>
        <w:rPr>
          <w:rFonts w:ascii="Times New Roman"/>
          <w:sz w:val="20"/>
        </w:rPr>
        <w:sectPr w:rsidR="00DE575E">
          <w:pgSz w:w="8510" w:h="12760"/>
          <w:pgMar w:top="660" w:right="720" w:bottom="280" w:left="600" w:header="720" w:footer="720" w:gutter="0"/>
          <w:cols w:space="720"/>
        </w:sectPr>
      </w:pPr>
    </w:p>
    <w:p w14:paraId="102017A3" w14:textId="77777777" w:rsidR="00DE575E" w:rsidRDefault="002E7560">
      <w:pPr>
        <w:spacing w:before="72" w:line="249" w:lineRule="auto"/>
        <w:ind w:left="1110" w:right="411" w:firstLine="2318"/>
        <w:jc w:val="right"/>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3A377E77" w14:textId="45FA9E8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5E7050C" wp14:editId="7BFA2216">
                <wp:extent cx="4140200" cy="6350"/>
                <wp:effectExtent l="0" t="0" r="12700" b="6350"/>
                <wp:docPr id="585"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86" name="Line 5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E2A0A5" id="Group_x0020_5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gg4yp/AgAAmAUAAA4A&#10;AAAAAAAAAAAAAAAALAIAAGRycy9lMm9Eb2MueG1sUEsBAi0AFAAGAAgAAAAhAEynsJDZAAAAAwEA&#10;AA8AAAAAAAAAAAAAAAAA1wQAAGRycy9kb3ducmV2LnhtbFBLBQYAAAAABAAEAPMAAADdBQAAAAA=&#10;">
                <v:line id="Line_x0020_5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3b2cYAAADcAAAADwAAAGRycy9kb3ducmV2LnhtbESP3WrCQBSE7wXfYTmF3kjdtKJIdBUp&#10;FEov/Esf4Jg9JqG7Z2N2NalP7wqCl8PMfMPMl5014kKNrxwreB8mIIhzpysuFPxmX29TED4gazSO&#10;ScE/eVgu+r05ptq1vKPLPhQiQtinqKAMoU6l9HlJFv3Q1cTRO7rGYoiyKaRusI1wa+RHkkykxYrj&#10;Qok1fZaU/+3PVkF2GgSz3fyYNtscRvJwWo+u57VSry/dagYiUBee4Uf7WysYTy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929nGAAAA3AAAAA8AAAAAAAAA&#10;AAAAAAAAoQIAAGRycy9kb3ducmV2LnhtbFBLBQYAAAAABAAEAPkAAACUAwAAAAA=&#10;" strokecolor="#231f20" strokeweight=".5pt"/>
                <w10:anchorlock/>
              </v:group>
            </w:pict>
          </mc:Fallback>
        </mc:AlternateContent>
      </w:r>
    </w:p>
    <w:p w14:paraId="7DFB622F" w14:textId="77777777" w:rsidR="00DE575E" w:rsidRDefault="00DE575E">
      <w:pPr>
        <w:pStyle w:val="BodyText"/>
        <w:spacing w:before="7"/>
        <w:rPr>
          <w:rFonts w:ascii="AdonisC"/>
          <w:i/>
          <w:sz w:val="19"/>
        </w:rPr>
      </w:pPr>
    </w:p>
    <w:p w14:paraId="2FF2A5CD" w14:textId="77777777" w:rsidR="00DE575E" w:rsidRDefault="002E7560">
      <w:pPr>
        <w:pStyle w:val="BodyText"/>
        <w:spacing w:before="1" w:line="252" w:lineRule="auto"/>
        <w:ind w:left="250"/>
      </w:pPr>
      <w:r>
        <w:rPr>
          <w:color w:val="231F20"/>
        </w:rPr>
        <w:t>наступного після дня надходження скарги, призначається відпові- дальний виконавець для її розгляду.</w:t>
      </w:r>
    </w:p>
    <w:p w14:paraId="0ACF85B7" w14:textId="77777777" w:rsidR="00DE575E" w:rsidRDefault="002E7560">
      <w:pPr>
        <w:pStyle w:val="BodyText"/>
        <w:spacing w:before="1" w:line="252" w:lineRule="auto"/>
        <w:ind w:left="250" w:right="411" w:firstLine="283"/>
        <w:jc w:val="both"/>
      </w:pPr>
      <w:r>
        <w:rPr>
          <w:color w:val="231F20"/>
        </w:rPr>
        <w:t xml:space="preserve">За кожною поданою скаргою має </w:t>
      </w:r>
      <w:r>
        <w:rPr>
          <w:i/>
          <w:color w:val="231F20"/>
        </w:rPr>
        <w:t xml:space="preserve">проводитися перевірка </w:t>
      </w:r>
      <w:r>
        <w:rPr>
          <w:color w:val="231F20"/>
        </w:rPr>
        <w:t xml:space="preserve">викла- дених фактів відповідним органом державної влади, до якого звер- нувся заявник. Для </w:t>
      </w:r>
      <w:r>
        <w:rPr>
          <w:color w:val="231F20"/>
          <w:spacing w:val="-3"/>
        </w:rPr>
        <w:t xml:space="preserve">розгляду </w:t>
      </w:r>
      <w:r>
        <w:rPr>
          <w:color w:val="231F20"/>
        </w:rPr>
        <w:t xml:space="preserve">скарг юридичних і фізичних осіб та урегулювання конфліктів відповідними органами державної влади можуть утворюватися комісії з вирішення </w:t>
      </w:r>
      <w:r>
        <w:rPr>
          <w:color w:val="231F20"/>
          <w:spacing w:val="-3"/>
        </w:rPr>
        <w:t xml:space="preserve">скарг. </w:t>
      </w:r>
      <w:r>
        <w:rPr>
          <w:color w:val="231F20"/>
        </w:rPr>
        <w:t>Для цього за</w:t>
      </w:r>
      <w:r>
        <w:rPr>
          <w:color w:val="231F20"/>
        </w:rPr>
        <w:t xml:space="preserve">твер- джуються положення та персональний склад цих комісій, а також порядок вирішення ними суперечок  і  </w:t>
      </w:r>
      <w:r>
        <w:rPr>
          <w:color w:val="231F20"/>
          <w:spacing w:val="-3"/>
        </w:rPr>
        <w:t xml:space="preserve">розгляду  </w:t>
      </w:r>
      <w:r>
        <w:rPr>
          <w:color w:val="231F20"/>
        </w:rPr>
        <w:t xml:space="preserve">скарг  відповідно до законодавства </w:t>
      </w:r>
      <w:r>
        <w:rPr>
          <w:color w:val="231F20"/>
          <w:spacing w:val="-3"/>
        </w:rPr>
        <w:t xml:space="preserve">України. </w:t>
      </w:r>
      <w:r>
        <w:rPr>
          <w:color w:val="231F20"/>
          <w:spacing w:val="-5"/>
        </w:rPr>
        <w:t xml:space="preserve">Таку </w:t>
      </w:r>
      <w:r>
        <w:rPr>
          <w:color w:val="231F20"/>
        </w:rPr>
        <w:t xml:space="preserve">комісію очолює керівник </w:t>
      </w:r>
      <w:r>
        <w:rPr>
          <w:color w:val="231F20"/>
          <w:spacing w:val="-4"/>
        </w:rPr>
        <w:t xml:space="preserve">суб’єкта </w:t>
      </w:r>
      <w:r>
        <w:rPr>
          <w:color w:val="231F20"/>
          <w:spacing w:val="-3"/>
        </w:rPr>
        <w:t>розгляду</w:t>
      </w:r>
      <w:r>
        <w:rPr>
          <w:color w:val="231F20"/>
          <w:spacing w:val="-13"/>
        </w:rPr>
        <w:t xml:space="preserve"> </w:t>
      </w:r>
      <w:r>
        <w:rPr>
          <w:color w:val="231F20"/>
        </w:rPr>
        <w:t>справи</w:t>
      </w:r>
      <w:r>
        <w:rPr>
          <w:color w:val="231F20"/>
          <w:spacing w:val="-13"/>
        </w:rPr>
        <w:t xml:space="preserve"> </w:t>
      </w:r>
      <w:r>
        <w:rPr>
          <w:color w:val="231F20"/>
        </w:rPr>
        <w:t>за</w:t>
      </w:r>
      <w:r>
        <w:rPr>
          <w:color w:val="231F20"/>
          <w:spacing w:val="-13"/>
        </w:rPr>
        <w:t xml:space="preserve"> </w:t>
      </w:r>
      <w:r>
        <w:rPr>
          <w:color w:val="231F20"/>
        </w:rPr>
        <w:t>скаргою,</w:t>
      </w:r>
      <w:r>
        <w:rPr>
          <w:color w:val="231F20"/>
          <w:spacing w:val="-12"/>
        </w:rPr>
        <w:t xml:space="preserve"> </w:t>
      </w:r>
      <w:r>
        <w:rPr>
          <w:color w:val="231F20"/>
        </w:rPr>
        <w:t>який</w:t>
      </w:r>
      <w:r>
        <w:rPr>
          <w:color w:val="231F20"/>
          <w:spacing w:val="-13"/>
        </w:rPr>
        <w:t xml:space="preserve"> </w:t>
      </w:r>
      <w:r>
        <w:rPr>
          <w:color w:val="231F20"/>
        </w:rPr>
        <w:t>підписує</w:t>
      </w:r>
      <w:r>
        <w:rPr>
          <w:color w:val="231F20"/>
          <w:spacing w:val="-13"/>
        </w:rPr>
        <w:t xml:space="preserve"> </w:t>
      </w:r>
      <w:r>
        <w:rPr>
          <w:color w:val="231F20"/>
        </w:rPr>
        <w:t>відповідне</w:t>
      </w:r>
      <w:r>
        <w:rPr>
          <w:color w:val="231F20"/>
          <w:spacing w:val="-13"/>
        </w:rPr>
        <w:t xml:space="preserve"> </w:t>
      </w:r>
      <w:r>
        <w:rPr>
          <w:color w:val="231F20"/>
        </w:rPr>
        <w:t>рішенн</w:t>
      </w:r>
      <w:r>
        <w:rPr>
          <w:color w:val="231F20"/>
        </w:rPr>
        <w:t>я</w:t>
      </w:r>
      <w:r>
        <w:rPr>
          <w:color w:val="231F20"/>
          <w:spacing w:val="-13"/>
        </w:rPr>
        <w:t xml:space="preserve"> </w:t>
      </w:r>
      <w:r>
        <w:rPr>
          <w:color w:val="231F20"/>
        </w:rPr>
        <w:t>цього колегіального</w:t>
      </w:r>
      <w:r>
        <w:rPr>
          <w:color w:val="231F20"/>
          <w:spacing w:val="-1"/>
        </w:rPr>
        <w:t xml:space="preserve"> </w:t>
      </w:r>
      <w:r>
        <w:rPr>
          <w:color w:val="231F20"/>
        </w:rPr>
        <w:t>органу</w:t>
      </w:r>
      <w:r>
        <w:rPr>
          <w:color w:val="231F20"/>
          <w:position w:val="7"/>
          <w:sz w:val="12"/>
        </w:rPr>
        <w:t>1</w:t>
      </w:r>
      <w:r>
        <w:rPr>
          <w:color w:val="231F20"/>
        </w:rPr>
        <w:t>.</w:t>
      </w:r>
    </w:p>
    <w:p w14:paraId="56496198" w14:textId="77777777" w:rsidR="00DE575E" w:rsidRDefault="00DE575E">
      <w:pPr>
        <w:pStyle w:val="BodyText"/>
        <w:spacing w:before="4"/>
        <w:rPr>
          <w:sz w:val="22"/>
        </w:rPr>
      </w:pPr>
    </w:p>
    <w:p w14:paraId="5831F330" w14:textId="77777777" w:rsidR="00DE575E" w:rsidRDefault="002E7560">
      <w:pPr>
        <w:pStyle w:val="Heading5"/>
        <w:spacing w:before="1"/>
      </w:pPr>
      <w:r>
        <w:rPr>
          <w:color w:val="231F20"/>
        </w:rPr>
        <w:t>9.3.5. Можливі наслідки розгляду скарги</w:t>
      </w:r>
    </w:p>
    <w:p w14:paraId="0F4B52A8" w14:textId="77777777" w:rsidR="00DE575E" w:rsidRDefault="00DE575E">
      <w:pPr>
        <w:pStyle w:val="BodyText"/>
        <w:spacing w:before="2"/>
        <w:rPr>
          <w:b/>
          <w:sz w:val="23"/>
        </w:rPr>
      </w:pPr>
    </w:p>
    <w:p w14:paraId="57AE9ED1" w14:textId="77777777" w:rsidR="00DE575E" w:rsidRDefault="002E7560">
      <w:pPr>
        <w:pStyle w:val="BodyText"/>
        <w:spacing w:line="252" w:lineRule="auto"/>
        <w:ind w:left="250" w:right="411" w:firstLine="283"/>
        <w:jc w:val="both"/>
      </w:pPr>
      <w:r>
        <w:rPr>
          <w:color w:val="231F20"/>
        </w:rPr>
        <w:t xml:space="preserve">Особа, яка подала скаргу, має право одержати </w:t>
      </w:r>
      <w:r>
        <w:rPr>
          <w:i/>
          <w:color w:val="231F20"/>
        </w:rPr>
        <w:t xml:space="preserve">письмову відповідь </w:t>
      </w:r>
      <w:r>
        <w:rPr>
          <w:color w:val="231F20"/>
        </w:rPr>
        <w:t>про результати розгляду заяви чи скарги та вимагати відшкоду- вання збитків, якщо вони стали результатом порушень устан</w:t>
      </w:r>
      <w:r>
        <w:rPr>
          <w:color w:val="231F20"/>
        </w:rPr>
        <w:t>овле- ного порядку розгляду звернень.</w:t>
      </w:r>
    </w:p>
    <w:p w14:paraId="610FA312" w14:textId="77777777" w:rsidR="00DE575E" w:rsidRDefault="002E7560">
      <w:pPr>
        <w:pStyle w:val="BodyText"/>
        <w:spacing w:before="2" w:line="252" w:lineRule="auto"/>
        <w:ind w:left="250" w:right="410" w:firstLine="283"/>
        <w:jc w:val="right"/>
      </w:pPr>
      <w:r>
        <w:rPr>
          <w:color w:val="231F20"/>
        </w:rPr>
        <w:t>Органи державної влади й місцевого</w:t>
      </w:r>
      <w:r>
        <w:rPr>
          <w:color w:val="231F20"/>
          <w:spacing w:val="42"/>
        </w:rPr>
        <w:t xml:space="preserve"> </w:t>
      </w:r>
      <w:r>
        <w:rPr>
          <w:color w:val="231F20"/>
        </w:rPr>
        <w:t>самоврядування,</w:t>
      </w:r>
      <w:r>
        <w:rPr>
          <w:color w:val="231F20"/>
          <w:spacing w:val="45"/>
        </w:rPr>
        <w:t xml:space="preserve"> </w:t>
      </w:r>
      <w:r>
        <w:rPr>
          <w:color w:val="231F20"/>
        </w:rPr>
        <w:t>підпри- ємства,</w:t>
      </w:r>
      <w:r>
        <w:rPr>
          <w:color w:val="231F20"/>
          <w:spacing w:val="27"/>
        </w:rPr>
        <w:t xml:space="preserve"> </w:t>
      </w:r>
      <w:r>
        <w:rPr>
          <w:color w:val="231F20"/>
        </w:rPr>
        <w:t>установи,</w:t>
      </w:r>
      <w:r>
        <w:rPr>
          <w:color w:val="231F20"/>
          <w:spacing w:val="26"/>
        </w:rPr>
        <w:t xml:space="preserve"> </w:t>
      </w:r>
      <w:r>
        <w:rPr>
          <w:color w:val="231F20"/>
        </w:rPr>
        <w:t>організації</w:t>
      </w:r>
      <w:r>
        <w:rPr>
          <w:color w:val="231F20"/>
          <w:spacing w:val="26"/>
        </w:rPr>
        <w:t xml:space="preserve"> </w:t>
      </w:r>
      <w:r>
        <w:rPr>
          <w:color w:val="231F20"/>
        </w:rPr>
        <w:t>незалежно</w:t>
      </w:r>
      <w:r>
        <w:rPr>
          <w:color w:val="231F20"/>
          <w:spacing w:val="26"/>
        </w:rPr>
        <w:t xml:space="preserve"> </w:t>
      </w:r>
      <w:r>
        <w:rPr>
          <w:color w:val="231F20"/>
        </w:rPr>
        <w:t>від</w:t>
      </w:r>
      <w:r>
        <w:rPr>
          <w:color w:val="231F20"/>
          <w:spacing w:val="27"/>
        </w:rPr>
        <w:t xml:space="preserve"> </w:t>
      </w:r>
      <w:r>
        <w:rPr>
          <w:color w:val="231F20"/>
        </w:rPr>
        <w:t>форм</w:t>
      </w:r>
      <w:r>
        <w:rPr>
          <w:color w:val="231F20"/>
          <w:spacing w:val="26"/>
        </w:rPr>
        <w:t xml:space="preserve"> </w:t>
      </w:r>
      <w:r>
        <w:rPr>
          <w:color w:val="231F20"/>
        </w:rPr>
        <w:t>власності,</w:t>
      </w:r>
      <w:r>
        <w:rPr>
          <w:color w:val="231F20"/>
          <w:spacing w:val="27"/>
        </w:rPr>
        <w:t xml:space="preserve"> </w:t>
      </w:r>
      <w:r>
        <w:rPr>
          <w:color w:val="231F20"/>
          <w:spacing w:val="-4"/>
        </w:rPr>
        <w:t>об’єд-</w:t>
      </w:r>
      <w:r>
        <w:rPr>
          <w:color w:val="231F20"/>
        </w:rPr>
        <w:t xml:space="preserve"> нання громадян, посадові особи зобов’язані</w:t>
      </w:r>
      <w:r>
        <w:rPr>
          <w:color w:val="231F20"/>
          <w:spacing w:val="15"/>
        </w:rPr>
        <w:t xml:space="preserve"> </w:t>
      </w:r>
      <w:r>
        <w:rPr>
          <w:color w:val="231F20"/>
        </w:rPr>
        <w:t>розглянути</w:t>
      </w:r>
      <w:r>
        <w:rPr>
          <w:color w:val="231F20"/>
          <w:spacing w:val="11"/>
        </w:rPr>
        <w:t xml:space="preserve"> </w:t>
      </w:r>
      <w:r>
        <w:rPr>
          <w:color w:val="231F20"/>
        </w:rPr>
        <w:t>пропозиції (зауваження) та повідомити громадянина про</w:t>
      </w:r>
      <w:r>
        <w:rPr>
          <w:color w:val="231F20"/>
          <w:spacing w:val="-3"/>
        </w:rPr>
        <w:t xml:space="preserve"> результати</w:t>
      </w:r>
      <w:r>
        <w:rPr>
          <w:color w:val="231F20"/>
          <w:spacing w:val="-2"/>
        </w:rPr>
        <w:t xml:space="preserve"> </w:t>
      </w:r>
      <w:r>
        <w:rPr>
          <w:color w:val="231F20"/>
          <w:spacing w:val="-4"/>
        </w:rPr>
        <w:t>розгляду.</w:t>
      </w:r>
      <w:r>
        <w:rPr>
          <w:color w:val="231F20"/>
        </w:rPr>
        <w:t xml:space="preserve"> Відповідь</w:t>
      </w:r>
      <w:r>
        <w:rPr>
          <w:color w:val="231F20"/>
          <w:spacing w:val="-10"/>
        </w:rPr>
        <w:t xml:space="preserve"> </w:t>
      </w:r>
      <w:r>
        <w:rPr>
          <w:color w:val="231F20"/>
        </w:rPr>
        <w:t>дається</w:t>
      </w:r>
      <w:r>
        <w:rPr>
          <w:color w:val="231F20"/>
          <w:spacing w:val="-10"/>
        </w:rPr>
        <w:t xml:space="preserve"> </w:t>
      </w:r>
      <w:r>
        <w:rPr>
          <w:color w:val="231F20"/>
        </w:rPr>
        <w:t>тим</w:t>
      </w:r>
      <w:r>
        <w:rPr>
          <w:color w:val="231F20"/>
          <w:spacing w:val="-10"/>
        </w:rPr>
        <w:t xml:space="preserve"> </w:t>
      </w:r>
      <w:r>
        <w:rPr>
          <w:color w:val="231F20"/>
        </w:rPr>
        <w:t>органом,</w:t>
      </w:r>
      <w:r>
        <w:rPr>
          <w:color w:val="231F20"/>
          <w:spacing w:val="-10"/>
        </w:rPr>
        <w:t xml:space="preserve"> </w:t>
      </w:r>
      <w:r>
        <w:rPr>
          <w:color w:val="231F20"/>
        </w:rPr>
        <w:t>який</w:t>
      </w:r>
      <w:r>
        <w:rPr>
          <w:color w:val="231F20"/>
          <w:spacing w:val="-10"/>
        </w:rPr>
        <w:t xml:space="preserve"> </w:t>
      </w:r>
      <w:r>
        <w:rPr>
          <w:color w:val="231F20"/>
        </w:rPr>
        <w:t>отримав</w:t>
      </w:r>
      <w:r>
        <w:rPr>
          <w:color w:val="231F20"/>
          <w:spacing w:val="-10"/>
        </w:rPr>
        <w:t xml:space="preserve"> </w:t>
      </w:r>
      <w:r>
        <w:rPr>
          <w:color w:val="231F20"/>
        </w:rPr>
        <w:t>ці</w:t>
      </w:r>
      <w:r>
        <w:rPr>
          <w:color w:val="231F20"/>
          <w:spacing w:val="-10"/>
        </w:rPr>
        <w:t xml:space="preserve"> </w:t>
      </w:r>
      <w:r>
        <w:rPr>
          <w:color w:val="231F20"/>
        </w:rPr>
        <w:t>заяви</w:t>
      </w:r>
      <w:r>
        <w:rPr>
          <w:color w:val="231F20"/>
          <w:spacing w:val="-10"/>
        </w:rPr>
        <w:t xml:space="preserve"> </w:t>
      </w:r>
      <w:r>
        <w:rPr>
          <w:color w:val="231F20"/>
        </w:rPr>
        <w:t>і</w:t>
      </w:r>
      <w:r>
        <w:rPr>
          <w:color w:val="231F20"/>
          <w:spacing w:val="-8"/>
        </w:rPr>
        <w:t xml:space="preserve"> </w:t>
      </w:r>
      <w:r>
        <w:rPr>
          <w:color w:val="231F20"/>
        </w:rPr>
        <w:t>до</w:t>
      </w:r>
      <w:r>
        <w:rPr>
          <w:color w:val="231F20"/>
          <w:spacing w:val="-10"/>
        </w:rPr>
        <w:t xml:space="preserve"> </w:t>
      </w:r>
      <w:r>
        <w:rPr>
          <w:color w:val="231F20"/>
        </w:rPr>
        <w:t>компе- тенції якого входить вирішення порушених у</w:t>
      </w:r>
      <w:r>
        <w:rPr>
          <w:color w:val="231F20"/>
          <w:spacing w:val="28"/>
        </w:rPr>
        <w:t xml:space="preserve"> </w:t>
      </w:r>
      <w:r>
        <w:rPr>
          <w:color w:val="231F20"/>
        </w:rPr>
        <w:t>заявах</w:t>
      </w:r>
      <w:r>
        <w:rPr>
          <w:color w:val="231F20"/>
          <w:spacing w:val="3"/>
        </w:rPr>
        <w:t xml:space="preserve"> </w:t>
      </w:r>
      <w:r>
        <w:rPr>
          <w:color w:val="231F20"/>
        </w:rPr>
        <w:t>(клопотаннях)</w:t>
      </w:r>
      <w:r>
        <w:rPr>
          <w:color w:val="231F20"/>
          <w:spacing w:val="-1"/>
        </w:rPr>
        <w:t xml:space="preserve"> </w:t>
      </w:r>
      <w:r>
        <w:rPr>
          <w:color w:val="231F20"/>
        </w:rPr>
        <w:t>питань,</w:t>
      </w:r>
      <w:r>
        <w:rPr>
          <w:color w:val="231F20"/>
          <w:spacing w:val="-16"/>
        </w:rPr>
        <w:t xml:space="preserve"> </w:t>
      </w:r>
      <w:r>
        <w:rPr>
          <w:color w:val="231F20"/>
        </w:rPr>
        <w:t>за</w:t>
      </w:r>
      <w:r>
        <w:rPr>
          <w:color w:val="231F20"/>
          <w:spacing w:val="-16"/>
        </w:rPr>
        <w:t xml:space="preserve"> </w:t>
      </w:r>
      <w:r>
        <w:rPr>
          <w:color w:val="231F20"/>
        </w:rPr>
        <w:t>підписом</w:t>
      </w:r>
      <w:r>
        <w:rPr>
          <w:color w:val="231F20"/>
          <w:spacing w:val="-16"/>
        </w:rPr>
        <w:t xml:space="preserve"> </w:t>
      </w:r>
      <w:r>
        <w:rPr>
          <w:color w:val="231F20"/>
        </w:rPr>
        <w:t>керівника</w:t>
      </w:r>
      <w:r>
        <w:rPr>
          <w:color w:val="231F20"/>
          <w:spacing w:val="-16"/>
        </w:rPr>
        <w:t xml:space="preserve"> </w:t>
      </w:r>
      <w:r>
        <w:rPr>
          <w:color w:val="231F20"/>
        </w:rPr>
        <w:t>або</w:t>
      </w:r>
      <w:r>
        <w:rPr>
          <w:color w:val="231F20"/>
          <w:spacing w:val="-16"/>
        </w:rPr>
        <w:t xml:space="preserve"> </w:t>
      </w:r>
      <w:r>
        <w:rPr>
          <w:color w:val="231F20"/>
        </w:rPr>
        <w:t>особи,</w:t>
      </w:r>
      <w:r>
        <w:rPr>
          <w:color w:val="231F20"/>
          <w:spacing w:val="-16"/>
        </w:rPr>
        <w:t xml:space="preserve"> </w:t>
      </w:r>
      <w:r>
        <w:rPr>
          <w:color w:val="231F20"/>
        </w:rPr>
        <w:t>яка</w:t>
      </w:r>
      <w:r>
        <w:rPr>
          <w:color w:val="231F20"/>
          <w:spacing w:val="-16"/>
        </w:rPr>
        <w:t xml:space="preserve"> </w:t>
      </w:r>
      <w:r>
        <w:rPr>
          <w:color w:val="231F20"/>
        </w:rPr>
        <w:t>виконує</w:t>
      </w:r>
      <w:r>
        <w:rPr>
          <w:color w:val="231F20"/>
          <w:spacing w:val="-16"/>
        </w:rPr>
        <w:t xml:space="preserve"> </w:t>
      </w:r>
      <w:r>
        <w:rPr>
          <w:color w:val="231F20"/>
        </w:rPr>
        <w:t>його</w:t>
      </w:r>
      <w:r>
        <w:rPr>
          <w:color w:val="231F20"/>
          <w:spacing w:val="-16"/>
        </w:rPr>
        <w:t xml:space="preserve"> </w:t>
      </w:r>
      <w:r>
        <w:rPr>
          <w:color w:val="231F20"/>
        </w:rPr>
        <w:t xml:space="preserve">обов’язки. Рішення про відмову в задоволенні </w:t>
      </w:r>
      <w:r>
        <w:rPr>
          <w:color w:val="231F20"/>
          <w:spacing w:val="-3"/>
        </w:rPr>
        <w:t xml:space="preserve">вимог, </w:t>
      </w:r>
      <w:r>
        <w:rPr>
          <w:color w:val="231F20"/>
        </w:rPr>
        <w:t>викладених</w:t>
      </w:r>
      <w:r>
        <w:rPr>
          <w:color w:val="231F20"/>
          <w:spacing w:val="8"/>
        </w:rPr>
        <w:t xml:space="preserve"> </w:t>
      </w:r>
      <w:r>
        <w:rPr>
          <w:color w:val="231F20"/>
        </w:rPr>
        <w:t>у</w:t>
      </w:r>
      <w:r>
        <w:rPr>
          <w:color w:val="231F20"/>
          <w:spacing w:val="40"/>
        </w:rPr>
        <w:t xml:space="preserve"> </w:t>
      </w:r>
      <w:r>
        <w:rPr>
          <w:color w:val="231F20"/>
        </w:rPr>
        <w:t>заяві</w:t>
      </w:r>
      <w:r>
        <w:rPr>
          <w:color w:val="231F20"/>
          <w:spacing w:val="-1"/>
        </w:rPr>
        <w:t xml:space="preserve"> </w:t>
      </w:r>
      <w:r>
        <w:rPr>
          <w:color w:val="231F20"/>
        </w:rPr>
        <w:t>(клопотанні),</w:t>
      </w:r>
      <w:r>
        <w:rPr>
          <w:color w:val="231F20"/>
          <w:spacing w:val="-6"/>
        </w:rPr>
        <w:t xml:space="preserve"> </w:t>
      </w:r>
      <w:r>
        <w:rPr>
          <w:color w:val="231F20"/>
        </w:rPr>
        <w:t>доводиться</w:t>
      </w:r>
      <w:r>
        <w:rPr>
          <w:color w:val="231F20"/>
          <w:spacing w:val="-6"/>
        </w:rPr>
        <w:t xml:space="preserve"> </w:t>
      </w:r>
      <w:r>
        <w:rPr>
          <w:color w:val="231F20"/>
        </w:rPr>
        <w:t>до</w:t>
      </w:r>
      <w:r>
        <w:rPr>
          <w:color w:val="231F20"/>
          <w:spacing w:val="-6"/>
        </w:rPr>
        <w:t xml:space="preserve"> </w:t>
      </w:r>
      <w:r>
        <w:rPr>
          <w:color w:val="231F20"/>
        </w:rPr>
        <w:t>відома</w:t>
      </w:r>
      <w:r>
        <w:rPr>
          <w:color w:val="231F20"/>
          <w:spacing w:val="-6"/>
        </w:rPr>
        <w:t xml:space="preserve"> </w:t>
      </w:r>
      <w:r>
        <w:rPr>
          <w:color w:val="231F20"/>
        </w:rPr>
        <w:t>громадянина</w:t>
      </w:r>
      <w:r>
        <w:rPr>
          <w:color w:val="231F20"/>
          <w:spacing w:val="-6"/>
        </w:rPr>
        <w:t xml:space="preserve"> </w:t>
      </w:r>
      <w:r>
        <w:rPr>
          <w:color w:val="231F20"/>
        </w:rPr>
        <w:t>в</w:t>
      </w:r>
      <w:r>
        <w:rPr>
          <w:color w:val="231F20"/>
          <w:spacing w:val="-6"/>
        </w:rPr>
        <w:t xml:space="preserve"> </w:t>
      </w:r>
      <w:r>
        <w:rPr>
          <w:color w:val="231F20"/>
        </w:rPr>
        <w:t>письмовій</w:t>
      </w:r>
      <w:r>
        <w:rPr>
          <w:color w:val="231F20"/>
          <w:spacing w:val="-6"/>
        </w:rPr>
        <w:t xml:space="preserve"> </w:t>
      </w:r>
      <w:r>
        <w:rPr>
          <w:color w:val="231F20"/>
        </w:rPr>
        <w:t>формі</w:t>
      </w:r>
      <w:r>
        <w:rPr>
          <w:color w:val="231F20"/>
          <w:spacing w:val="-1"/>
        </w:rPr>
        <w:t xml:space="preserve"> </w:t>
      </w:r>
      <w:r>
        <w:rPr>
          <w:color w:val="231F20"/>
        </w:rPr>
        <w:t>з</w:t>
      </w:r>
      <w:r>
        <w:rPr>
          <w:color w:val="231F20"/>
          <w:spacing w:val="21"/>
        </w:rPr>
        <w:t xml:space="preserve"> </w:t>
      </w:r>
      <w:r>
        <w:rPr>
          <w:color w:val="231F20"/>
        </w:rPr>
        <w:t>посиланням</w:t>
      </w:r>
      <w:r>
        <w:rPr>
          <w:color w:val="231F20"/>
          <w:spacing w:val="21"/>
        </w:rPr>
        <w:t xml:space="preserve"> </w:t>
      </w:r>
      <w:r>
        <w:rPr>
          <w:color w:val="231F20"/>
        </w:rPr>
        <w:t>на</w:t>
      </w:r>
      <w:r>
        <w:rPr>
          <w:color w:val="231F20"/>
          <w:spacing w:val="21"/>
        </w:rPr>
        <w:t xml:space="preserve"> </w:t>
      </w:r>
      <w:r>
        <w:rPr>
          <w:color w:val="231F20"/>
        </w:rPr>
        <w:t>Закон</w:t>
      </w:r>
      <w:r>
        <w:rPr>
          <w:color w:val="231F20"/>
          <w:spacing w:val="21"/>
        </w:rPr>
        <w:t xml:space="preserve"> </w:t>
      </w:r>
      <w:r>
        <w:rPr>
          <w:color w:val="231F20"/>
        </w:rPr>
        <w:t>і</w:t>
      </w:r>
      <w:r>
        <w:rPr>
          <w:color w:val="231F20"/>
          <w:spacing w:val="20"/>
        </w:rPr>
        <w:t xml:space="preserve"> </w:t>
      </w:r>
      <w:r>
        <w:rPr>
          <w:color w:val="231F20"/>
        </w:rPr>
        <w:t>викладенням</w:t>
      </w:r>
      <w:r>
        <w:rPr>
          <w:color w:val="231F20"/>
          <w:spacing w:val="21"/>
        </w:rPr>
        <w:t xml:space="preserve"> </w:t>
      </w:r>
      <w:r>
        <w:rPr>
          <w:color w:val="231F20"/>
        </w:rPr>
        <w:t>мотивів</w:t>
      </w:r>
      <w:r>
        <w:rPr>
          <w:color w:val="231F20"/>
          <w:spacing w:val="21"/>
        </w:rPr>
        <w:t xml:space="preserve"> </w:t>
      </w:r>
      <w:r>
        <w:rPr>
          <w:color w:val="231F20"/>
        </w:rPr>
        <w:t>відмови,</w:t>
      </w:r>
      <w:r>
        <w:rPr>
          <w:color w:val="231F20"/>
          <w:spacing w:val="21"/>
        </w:rPr>
        <w:t xml:space="preserve"> </w:t>
      </w:r>
      <w:r>
        <w:rPr>
          <w:color w:val="231F20"/>
        </w:rPr>
        <w:t>а</w:t>
      </w:r>
      <w:r>
        <w:rPr>
          <w:color w:val="231F20"/>
          <w:spacing w:val="21"/>
        </w:rPr>
        <w:t xml:space="preserve"> </w:t>
      </w:r>
      <w:r>
        <w:rPr>
          <w:color w:val="231F20"/>
        </w:rPr>
        <w:t>також</w:t>
      </w:r>
      <w:r>
        <w:rPr>
          <w:color w:val="231F20"/>
          <w:spacing w:val="21"/>
        </w:rPr>
        <w:t xml:space="preserve"> </w:t>
      </w:r>
      <w:r>
        <w:rPr>
          <w:color w:val="231F20"/>
        </w:rPr>
        <w:t>із роз’ясненням</w:t>
      </w:r>
      <w:r>
        <w:rPr>
          <w:color w:val="231F20"/>
          <w:spacing w:val="22"/>
        </w:rPr>
        <w:t xml:space="preserve"> </w:t>
      </w:r>
      <w:r>
        <w:rPr>
          <w:color w:val="231F20"/>
        </w:rPr>
        <w:t>порядку</w:t>
      </w:r>
      <w:r>
        <w:rPr>
          <w:color w:val="231F20"/>
          <w:spacing w:val="22"/>
        </w:rPr>
        <w:t xml:space="preserve"> </w:t>
      </w:r>
      <w:r>
        <w:rPr>
          <w:color w:val="231F20"/>
        </w:rPr>
        <w:t>оскарження</w:t>
      </w:r>
      <w:r>
        <w:rPr>
          <w:color w:val="231F20"/>
          <w:spacing w:val="22"/>
        </w:rPr>
        <w:t xml:space="preserve"> </w:t>
      </w:r>
      <w:r>
        <w:rPr>
          <w:color w:val="231F20"/>
        </w:rPr>
        <w:t>ухваленого</w:t>
      </w:r>
      <w:r>
        <w:rPr>
          <w:color w:val="231F20"/>
          <w:spacing w:val="22"/>
        </w:rPr>
        <w:t xml:space="preserve"> </w:t>
      </w:r>
      <w:r>
        <w:rPr>
          <w:color w:val="231F20"/>
        </w:rPr>
        <w:t>рішення.</w:t>
      </w:r>
      <w:r>
        <w:rPr>
          <w:color w:val="231F20"/>
          <w:spacing w:val="22"/>
        </w:rPr>
        <w:t xml:space="preserve"> </w:t>
      </w:r>
      <w:r>
        <w:rPr>
          <w:color w:val="231F20"/>
        </w:rPr>
        <w:t>За</w:t>
      </w:r>
      <w:r>
        <w:rPr>
          <w:color w:val="231F20"/>
          <w:spacing w:val="22"/>
        </w:rPr>
        <w:t xml:space="preserve"> </w:t>
      </w:r>
      <w:r>
        <w:rPr>
          <w:color w:val="231F20"/>
        </w:rPr>
        <w:t>загаль- ним</w:t>
      </w:r>
      <w:r>
        <w:rPr>
          <w:color w:val="231F20"/>
          <w:spacing w:val="-10"/>
        </w:rPr>
        <w:t xml:space="preserve"> </w:t>
      </w:r>
      <w:r>
        <w:rPr>
          <w:color w:val="231F20"/>
        </w:rPr>
        <w:t>правилом,</w:t>
      </w:r>
      <w:r>
        <w:rPr>
          <w:color w:val="231F20"/>
          <w:spacing w:val="-10"/>
        </w:rPr>
        <w:t xml:space="preserve"> </w:t>
      </w:r>
      <w:r>
        <w:rPr>
          <w:color w:val="231F20"/>
        </w:rPr>
        <w:t>звернення</w:t>
      </w:r>
      <w:r>
        <w:rPr>
          <w:color w:val="231F20"/>
          <w:spacing w:val="-10"/>
        </w:rPr>
        <w:t xml:space="preserve"> </w:t>
      </w:r>
      <w:r>
        <w:rPr>
          <w:color w:val="231F20"/>
        </w:rPr>
        <w:t>розглядаються</w:t>
      </w:r>
      <w:r>
        <w:rPr>
          <w:color w:val="231F20"/>
          <w:spacing w:val="-10"/>
        </w:rPr>
        <w:t xml:space="preserve"> </w:t>
      </w:r>
      <w:r>
        <w:rPr>
          <w:color w:val="231F20"/>
        </w:rPr>
        <w:t>безоплатно</w:t>
      </w:r>
      <w:r>
        <w:rPr>
          <w:color w:val="231F20"/>
          <w:spacing w:val="-10"/>
        </w:rPr>
        <w:t xml:space="preserve"> </w:t>
      </w:r>
      <w:r>
        <w:rPr>
          <w:color w:val="231F20"/>
        </w:rPr>
        <w:t>і</w:t>
      </w:r>
      <w:r>
        <w:rPr>
          <w:color w:val="231F20"/>
          <w:spacing w:val="-10"/>
        </w:rPr>
        <w:t xml:space="preserve"> </w:t>
      </w:r>
      <w:r>
        <w:rPr>
          <w:color w:val="231F20"/>
        </w:rPr>
        <w:t>вирішуються в</w:t>
      </w:r>
      <w:r>
        <w:rPr>
          <w:color w:val="231F20"/>
          <w:spacing w:val="21"/>
        </w:rPr>
        <w:t xml:space="preserve"> </w:t>
      </w:r>
      <w:r>
        <w:rPr>
          <w:color w:val="231F20"/>
        </w:rPr>
        <w:t>термін</w:t>
      </w:r>
      <w:r>
        <w:rPr>
          <w:color w:val="231F20"/>
          <w:spacing w:val="21"/>
        </w:rPr>
        <w:t xml:space="preserve"> </w:t>
      </w:r>
      <w:r>
        <w:rPr>
          <w:color w:val="231F20"/>
        </w:rPr>
        <w:t>не</w:t>
      </w:r>
      <w:r>
        <w:rPr>
          <w:color w:val="231F20"/>
          <w:spacing w:val="21"/>
        </w:rPr>
        <w:t xml:space="preserve"> </w:t>
      </w:r>
      <w:r>
        <w:rPr>
          <w:color w:val="231F20"/>
        </w:rPr>
        <w:t>більше</w:t>
      </w:r>
      <w:r>
        <w:rPr>
          <w:color w:val="231F20"/>
          <w:spacing w:val="20"/>
        </w:rPr>
        <w:t xml:space="preserve"> </w:t>
      </w:r>
      <w:r>
        <w:rPr>
          <w:color w:val="231F20"/>
        </w:rPr>
        <w:t>одного</w:t>
      </w:r>
      <w:r>
        <w:rPr>
          <w:color w:val="231F20"/>
          <w:spacing w:val="20"/>
        </w:rPr>
        <w:t xml:space="preserve"> </w:t>
      </w:r>
      <w:r>
        <w:rPr>
          <w:color w:val="231F20"/>
        </w:rPr>
        <w:t>місяця</w:t>
      </w:r>
      <w:r>
        <w:rPr>
          <w:color w:val="231F20"/>
          <w:spacing w:val="20"/>
        </w:rPr>
        <w:t xml:space="preserve"> </w:t>
      </w:r>
      <w:r>
        <w:rPr>
          <w:color w:val="231F20"/>
        </w:rPr>
        <w:t>від</w:t>
      </w:r>
      <w:r>
        <w:rPr>
          <w:color w:val="231F20"/>
          <w:spacing w:val="21"/>
        </w:rPr>
        <w:t xml:space="preserve"> </w:t>
      </w:r>
      <w:r>
        <w:rPr>
          <w:color w:val="231F20"/>
        </w:rPr>
        <w:t>дня</w:t>
      </w:r>
      <w:r>
        <w:rPr>
          <w:color w:val="231F20"/>
          <w:spacing w:val="20"/>
        </w:rPr>
        <w:t xml:space="preserve"> </w:t>
      </w:r>
      <w:r>
        <w:rPr>
          <w:color w:val="231F20"/>
        </w:rPr>
        <w:t>їх</w:t>
      </w:r>
      <w:r>
        <w:rPr>
          <w:color w:val="231F20"/>
          <w:spacing w:val="21"/>
        </w:rPr>
        <w:t xml:space="preserve"> </w:t>
      </w:r>
      <w:r>
        <w:rPr>
          <w:color w:val="231F20"/>
        </w:rPr>
        <w:t>надходження,</w:t>
      </w:r>
      <w:r>
        <w:rPr>
          <w:color w:val="231F20"/>
          <w:spacing w:val="20"/>
        </w:rPr>
        <w:t xml:space="preserve"> </w:t>
      </w:r>
      <w:r>
        <w:rPr>
          <w:color w:val="231F20"/>
        </w:rPr>
        <w:t>а</w:t>
      </w:r>
      <w:r>
        <w:rPr>
          <w:color w:val="231F20"/>
          <w:spacing w:val="20"/>
        </w:rPr>
        <w:t xml:space="preserve"> </w:t>
      </w:r>
      <w:r>
        <w:rPr>
          <w:color w:val="231F20"/>
        </w:rPr>
        <w:t>ті,</w:t>
      </w:r>
      <w:r>
        <w:rPr>
          <w:color w:val="231F20"/>
          <w:spacing w:val="20"/>
        </w:rPr>
        <w:t xml:space="preserve"> </w:t>
      </w:r>
      <w:r>
        <w:rPr>
          <w:color w:val="231F20"/>
        </w:rPr>
        <w:t>які не</w:t>
      </w:r>
      <w:r>
        <w:rPr>
          <w:color w:val="231F20"/>
          <w:spacing w:val="-5"/>
        </w:rPr>
        <w:t xml:space="preserve"> </w:t>
      </w:r>
      <w:r>
        <w:rPr>
          <w:color w:val="231F20"/>
        </w:rPr>
        <w:t>потребують</w:t>
      </w:r>
      <w:r>
        <w:rPr>
          <w:color w:val="231F20"/>
          <w:spacing w:val="-5"/>
        </w:rPr>
        <w:t xml:space="preserve"> </w:t>
      </w:r>
      <w:r>
        <w:rPr>
          <w:color w:val="231F20"/>
        </w:rPr>
        <w:t>додаткового</w:t>
      </w:r>
      <w:r>
        <w:rPr>
          <w:color w:val="231F20"/>
          <w:spacing w:val="-5"/>
        </w:rPr>
        <w:t xml:space="preserve"> </w:t>
      </w:r>
      <w:r>
        <w:rPr>
          <w:color w:val="231F20"/>
        </w:rPr>
        <w:t>вивчення,</w:t>
      </w:r>
      <w:r>
        <w:rPr>
          <w:color w:val="231F20"/>
          <w:spacing w:val="-5"/>
        </w:rPr>
        <w:t xml:space="preserve"> </w:t>
      </w:r>
      <w:r>
        <w:rPr>
          <w:color w:val="231F20"/>
        </w:rPr>
        <w:t>–</w:t>
      </w:r>
      <w:r>
        <w:rPr>
          <w:color w:val="231F20"/>
          <w:spacing w:val="-5"/>
        </w:rPr>
        <w:t xml:space="preserve"> </w:t>
      </w:r>
      <w:r>
        <w:rPr>
          <w:color w:val="231F20"/>
        </w:rPr>
        <w:t>невідкладно,</w:t>
      </w:r>
      <w:r>
        <w:rPr>
          <w:color w:val="231F20"/>
          <w:spacing w:val="-5"/>
        </w:rPr>
        <w:t xml:space="preserve"> </w:t>
      </w:r>
      <w:r>
        <w:rPr>
          <w:color w:val="231F20"/>
        </w:rPr>
        <w:t>але</w:t>
      </w:r>
      <w:r>
        <w:rPr>
          <w:color w:val="231F20"/>
          <w:spacing w:val="-5"/>
        </w:rPr>
        <w:t xml:space="preserve"> </w:t>
      </w:r>
      <w:r>
        <w:rPr>
          <w:color w:val="231F20"/>
        </w:rPr>
        <w:t>не</w:t>
      </w:r>
      <w:r>
        <w:rPr>
          <w:color w:val="231F20"/>
          <w:spacing w:val="-5"/>
        </w:rPr>
        <w:t xml:space="preserve"> </w:t>
      </w:r>
      <w:r>
        <w:rPr>
          <w:color w:val="231F20"/>
        </w:rPr>
        <w:t>пізніше</w:t>
      </w:r>
    </w:p>
    <w:p w14:paraId="2FEFE001" w14:textId="77777777" w:rsidR="00DE575E" w:rsidRDefault="002E7560">
      <w:pPr>
        <w:pStyle w:val="BodyText"/>
        <w:spacing w:before="7"/>
        <w:ind w:left="250"/>
      </w:pPr>
      <w:r>
        <w:rPr>
          <w:color w:val="231F20"/>
        </w:rPr>
        <w:t>15 днів від дня їх отримання.</w:t>
      </w:r>
    </w:p>
    <w:p w14:paraId="20714083" w14:textId="77777777" w:rsidR="00DE575E" w:rsidRDefault="002E7560">
      <w:pPr>
        <w:pStyle w:val="BodyText"/>
        <w:spacing w:before="13" w:line="252" w:lineRule="auto"/>
        <w:ind w:left="250" w:right="410" w:firstLine="283"/>
        <w:jc w:val="both"/>
      </w:pPr>
      <w:r>
        <w:rPr>
          <w:color w:val="231F20"/>
        </w:rPr>
        <w:t>Якщо в місячний термін вирішити порушені у зверненні</w:t>
      </w:r>
      <w:r>
        <w:rPr>
          <w:color w:val="231F20"/>
          <w:spacing w:val="-24"/>
        </w:rPr>
        <w:t xml:space="preserve"> </w:t>
      </w:r>
      <w:r>
        <w:rPr>
          <w:color w:val="231F20"/>
        </w:rPr>
        <w:t xml:space="preserve">питання неможливо, керівник відповідного </w:t>
      </w:r>
      <w:r>
        <w:rPr>
          <w:color w:val="231F20"/>
          <w:spacing w:val="-3"/>
        </w:rPr>
        <w:t xml:space="preserve">органу, </w:t>
      </w:r>
      <w:r>
        <w:rPr>
          <w:color w:val="231F20"/>
        </w:rPr>
        <w:t>підприємства, установи, організації або його заступник установлюють необхідний</w:t>
      </w:r>
      <w:r>
        <w:rPr>
          <w:color w:val="231F20"/>
          <w:spacing w:val="36"/>
        </w:rPr>
        <w:t xml:space="preserve"> </w:t>
      </w:r>
      <w:r>
        <w:rPr>
          <w:color w:val="231F20"/>
        </w:rPr>
        <w:t>термін</w:t>
      </w:r>
    </w:p>
    <w:p w14:paraId="33C49345" w14:textId="0E7623CE" w:rsidR="00DE575E" w:rsidRDefault="002E7560">
      <w:pPr>
        <w:pStyle w:val="BodyText"/>
        <w:spacing w:before="4"/>
        <w:rPr>
          <w:sz w:val="24"/>
        </w:rPr>
      </w:pPr>
      <w:r>
        <w:rPr>
          <w:noProof/>
        </w:rPr>
        <mc:AlternateContent>
          <mc:Choice Requires="wps">
            <w:drawing>
              <wp:anchor distT="0" distB="0" distL="0" distR="0" simplePos="0" relativeHeight="12856" behindDoc="0" locked="0" layoutInCell="1" allowOverlap="1" wp14:anchorId="01E918B8" wp14:editId="4A03CA56">
                <wp:simplePos x="0" y="0"/>
                <wp:positionH relativeFrom="page">
                  <wp:posOffset>539750</wp:posOffset>
                </wp:positionH>
                <wp:positionV relativeFrom="paragraph">
                  <wp:posOffset>209550</wp:posOffset>
                </wp:positionV>
                <wp:extent cx="1080135" cy="0"/>
                <wp:effectExtent l="6350" t="19050" r="31115" b="19050"/>
                <wp:wrapTopAndBottom/>
                <wp:docPr id="584"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9A674" id="Line_x0020_583" o:spid="_x0000_s1026" style="position:absolute;z-index:12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pt" to="127.5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" strokecolor="#231f20" strokeweight=".5pt">
                <w10:wrap type="topAndBottom" anchorx="page"/>
              </v:line>
            </w:pict>
          </mc:Fallback>
        </mc:AlternateContent>
      </w:r>
    </w:p>
    <w:p w14:paraId="175281F4" w14:textId="77777777" w:rsidR="00DE575E" w:rsidRDefault="002E7560">
      <w:pPr>
        <w:spacing w:line="162" w:lineRule="exact"/>
        <w:ind w:left="250"/>
        <w:rPr>
          <w:sz w:val="16"/>
        </w:rPr>
      </w:pPr>
      <w:r>
        <w:rPr>
          <w:color w:val="231F20"/>
          <w:position w:val="5"/>
          <w:sz w:val="9"/>
        </w:rPr>
        <w:t xml:space="preserve">1 </w:t>
      </w:r>
      <w:r>
        <w:rPr>
          <w:color w:val="231F20"/>
          <w:sz w:val="16"/>
        </w:rPr>
        <w:t>Циганов О. Зазнач. праця.</w:t>
      </w:r>
    </w:p>
    <w:p w14:paraId="535036D8" w14:textId="77777777" w:rsidR="00DE575E" w:rsidRDefault="00DE575E">
      <w:pPr>
        <w:pStyle w:val="BodyText"/>
        <w:spacing w:before="10"/>
        <w:rPr>
          <w:sz w:val="11"/>
        </w:rPr>
      </w:pPr>
    </w:p>
    <w:p w14:paraId="4754E811" w14:textId="77777777" w:rsidR="00DE575E" w:rsidRDefault="002E7560">
      <w:pPr>
        <w:spacing w:before="92"/>
        <w:ind w:right="411"/>
        <w:jc w:val="right"/>
        <w:rPr>
          <w:rFonts w:ascii="Times New Roman"/>
          <w:sz w:val="20"/>
        </w:rPr>
      </w:pPr>
      <w:r>
        <w:rPr>
          <w:rFonts w:ascii="Times New Roman"/>
          <w:color w:val="231F20"/>
          <w:w w:val="90"/>
          <w:sz w:val="20"/>
        </w:rPr>
        <w:t>331</w:t>
      </w:r>
    </w:p>
    <w:p w14:paraId="1F57A7B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0CA2BF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7066332" w14:textId="331BD88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6660D61" wp14:editId="329FAF7B">
                <wp:extent cx="4140200" cy="6350"/>
                <wp:effectExtent l="0" t="0" r="12700" b="6350"/>
                <wp:docPr id="58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83" name="Line 58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14547F" id="Group_x0020_58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qV56KfQIAAJgFAAAOAAAA&#10;AAAAAAAAAAAAACwCAABkcnMvZTJvRG9jLnhtbFBLAQItABQABgAIAAAAIQBMp7CQ2QAAAAMBAAAP&#10;AAAAAAAAAAAAAAAAANUEAABkcnMvZG93bnJldi54bWxQSwUGAAAAAAQABADzAAAA2wUAAAAA&#10;">
                <v:line id="Line_x0020_58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p4QcYAAADcAAAADwAAAGRycy9kb3ducmV2LnhtbESP3WrCQBSE7wt9h+UUvCl1Y4MiqauI&#10;IBQv/IsPcMyeJqG7Z2N2NWmf3hUKvRxm5htmtuitETdqfe1YwWiYgCAunK65VHDK129TED4gazSO&#10;ScEPeVjMn59mmGnX8YFux1CKCGGfoYIqhCaT0hcVWfRD1xBH78u1FkOUbSl1i12EWyPfk2QiLdYc&#10;FypsaFVR8X28WgX55TWY/W5junx3TuX5sk1/r1ulBi/98gNEoD78h//an1rBeJrC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KeEHGAAAA3AAAAA8AAAAAAAAA&#10;AAAAAAAAoQIAAGRycy9kb3ducmV2LnhtbFBLBQYAAAAABAAEAPkAAACUAwAAAAA=&#10;" strokecolor="#231f20" strokeweight=".5pt"/>
                <w10:anchorlock/>
              </v:group>
            </w:pict>
          </mc:Fallback>
        </mc:AlternateContent>
      </w:r>
    </w:p>
    <w:p w14:paraId="7B1870A5" w14:textId="77777777" w:rsidR="00DE575E" w:rsidRDefault="00DE575E">
      <w:pPr>
        <w:pStyle w:val="BodyText"/>
        <w:spacing w:before="7"/>
        <w:rPr>
          <w:rFonts w:ascii="AdonisC"/>
          <w:i/>
          <w:sz w:val="11"/>
        </w:rPr>
      </w:pPr>
    </w:p>
    <w:p w14:paraId="73A65C6E" w14:textId="77777777" w:rsidR="00DE575E" w:rsidRDefault="002E7560">
      <w:pPr>
        <w:pStyle w:val="BodyText"/>
        <w:spacing w:before="101" w:line="252" w:lineRule="auto"/>
        <w:ind w:left="533" w:right="128"/>
        <w:jc w:val="both"/>
      </w:pPr>
      <w:r>
        <w:rPr>
          <w:color w:val="231F20"/>
        </w:rPr>
        <w:t xml:space="preserve">для його </w:t>
      </w:r>
      <w:r>
        <w:rPr>
          <w:color w:val="231F20"/>
          <w:spacing w:val="-4"/>
        </w:rPr>
        <w:t xml:space="preserve">розгляду, </w:t>
      </w:r>
      <w:r>
        <w:rPr>
          <w:color w:val="231F20"/>
        </w:rPr>
        <w:t>про що повідомляється особі, яка подала звер- нення. При цьому загальний термін вирішення питань, порушених у зверненні, не може перевищувати сорока п’яти</w:t>
      </w:r>
      <w:r>
        <w:rPr>
          <w:color w:val="231F20"/>
          <w:spacing w:val="-7"/>
        </w:rPr>
        <w:t xml:space="preserve"> </w:t>
      </w:r>
      <w:r>
        <w:rPr>
          <w:color w:val="231F20"/>
        </w:rPr>
        <w:t>днів</w:t>
      </w:r>
      <w:r>
        <w:rPr>
          <w:color w:val="231F20"/>
          <w:position w:val="7"/>
          <w:sz w:val="12"/>
        </w:rPr>
        <w:t>1</w:t>
      </w:r>
      <w:r>
        <w:rPr>
          <w:color w:val="231F20"/>
        </w:rPr>
        <w:t>.</w:t>
      </w:r>
    </w:p>
    <w:p w14:paraId="5034D6C7" w14:textId="77777777" w:rsidR="00DE575E" w:rsidRDefault="002E7560">
      <w:pPr>
        <w:pStyle w:val="Heading5"/>
        <w:spacing w:before="1" w:line="252" w:lineRule="auto"/>
        <w:ind w:right="121" w:firstLine="283"/>
        <w:jc w:val="both"/>
      </w:pPr>
      <w:r>
        <w:rPr>
          <w:color w:val="231F20"/>
        </w:rPr>
        <w:t xml:space="preserve">Отже, адміністративне оскарження – це </w:t>
      </w:r>
      <w:r>
        <w:rPr>
          <w:color w:val="231F20"/>
        </w:rPr>
        <w:t xml:space="preserve">адміністративно- правовий засіб захисту приватної особи від порушень з боку </w:t>
      </w:r>
      <w:r>
        <w:rPr>
          <w:color w:val="231F20"/>
          <w:spacing w:val="-3"/>
        </w:rPr>
        <w:t xml:space="preserve">суб’єктів </w:t>
      </w:r>
      <w:r>
        <w:rPr>
          <w:color w:val="231F20"/>
        </w:rPr>
        <w:t xml:space="preserve">публічної адміністрації, зміст якого полягає у звер- ненні до вищого органу або посадової особи </w:t>
      </w:r>
      <w:r>
        <w:rPr>
          <w:color w:val="231F20"/>
          <w:spacing w:val="-3"/>
        </w:rPr>
        <w:t xml:space="preserve">щодо </w:t>
      </w:r>
      <w:r>
        <w:rPr>
          <w:color w:val="231F20"/>
        </w:rPr>
        <w:t xml:space="preserve">незаконності рішень, діяльності (бездіяльності)  підпорядкованого  </w:t>
      </w:r>
      <w:r>
        <w:rPr>
          <w:color w:val="231F20"/>
          <w:spacing w:val="-3"/>
        </w:rPr>
        <w:t>су</w:t>
      </w:r>
      <w:r>
        <w:rPr>
          <w:color w:val="231F20"/>
          <w:spacing w:val="-3"/>
        </w:rPr>
        <w:t xml:space="preserve">б’єкта, </w:t>
      </w:r>
      <w:r>
        <w:rPr>
          <w:color w:val="231F20"/>
        </w:rPr>
        <w:t>з метою відновлення порушених цінностей, притягнення винних осіб до спеціальної дисциплінарної  відповідальності  та попередження аналогічних випадків у</w:t>
      </w:r>
      <w:r>
        <w:rPr>
          <w:color w:val="231F20"/>
          <w:spacing w:val="-6"/>
        </w:rPr>
        <w:t xml:space="preserve"> </w:t>
      </w:r>
      <w:r>
        <w:rPr>
          <w:color w:val="231F20"/>
          <w:spacing w:val="-3"/>
        </w:rPr>
        <w:t>подальшому.</w:t>
      </w:r>
    </w:p>
    <w:p w14:paraId="16208303" w14:textId="77777777" w:rsidR="00DE575E" w:rsidRDefault="00DE575E">
      <w:pPr>
        <w:pStyle w:val="BodyText"/>
        <w:rPr>
          <w:b/>
          <w:sz w:val="24"/>
        </w:rPr>
      </w:pPr>
    </w:p>
    <w:p w14:paraId="784EC116" w14:textId="77777777" w:rsidR="00DE575E" w:rsidRDefault="00DE575E">
      <w:pPr>
        <w:pStyle w:val="BodyText"/>
        <w:spacing w:before="7"/>
        <w:rPr>
          <w:b/>
          <w:sz w:val="19"/>
        </w:rPr>
      </w:pPr>
    </w:p>
    <w:p w14:paraId="00524F46" w14:textId="77777777" w:rsidR="00DE575E" w:rsidRDefault="002E7560">
      <w:pPr>
        <w:pStyle w:val="ListParagraph"/>
        <w:numPr>
          <w:ilvl w:val="1"/>
          <w:numId w:val="128"/>
        </w:numPr>
        <w:tabs>
          <w:tab w:val="left" w:pos="1141"/>
        </w:tabs>
        <w:spacing w:before="0"/>
        <w:ind w:right="325" w:hanging="1338"/>
        <w:rPr>
          <w:b/>
        </w:rPr>
      </w:pPr>
      <w:r>
        <w:rPr>
          <w:b/>
          <w:color w:val="231F20"/>
        </w:rPr>
        <w:t xml:space="preserve">Відшкодування </w:t>
      </w:r>
      <w:r>
        <w:rPr>
          <w:b/>
          <w:color w:val="231F20"/>
          <w:spacing w:val="-3"/>
        </w:rPr>
        <w:t xml:space="preserve">шкоди, </w:t>
      </w:r>
      <w:r>
        <w:rPr>
          <w:b/>
          <w:color w:val="231F20"/>
        </w:rPr>
        <w:t xml:space="preserve">завданої </w:t>
      </w:r>
      <w:r>
        <w:rPr>
          <w:b/>
          <w:color w:val="231F20"/>
          <w:spacing w:val="-3"/>
        </w:rPr>
        <w:t xml:space="preserve">суб’єктами </w:t>
      </w:r>
      <w:r>
        <w:rPr>
          <w:b/>
          <w:color w:val="231F20"/>
        </w:rPr>
        <w:t>публічної адміністрації приватним</w:t>
      </w:r>
      <w:r>
        <w:rPr>
          <w:b/>
          <w:color w:val="231F20"/>
          <w:spacing w:val="-4"/>
        </w:rPr>
        <w:t xml:space="preserve"> </w:t>
      </w:r>
      <w:r>
        <w:rPr>
          <w:b/>
          <w:color w:val="231F20"/>
        </w:rPr>
        <w:t>особам</w:t>
      </w:r>
    </w:p>
    <w:p w14:paraId="70B7E1A8" w14:textId="77777777" w:rsidR="00DE575E" w:rsidRDefault="00DE575E">
      <w:pPr>
        <w:pStyle w:val="BodyText"/>
        <w:rPr>
          <w:b/>
          <w:sz w:val="26"/>
        </w:rPr>
      </w:pPr>
    </w:p>
    <w:p w14:paraId="5958D0D5" w14:textId="77777777" w:rsidR="00DE575E" w:rsidRDefault="002E7560">
      <w:pPr>
        <w:pStyle w:val="BodyText"/>
        <w:spacing w:before="224" w:line="252" w:lineRule="auto"/>
        <w:ind w:left="533" w:right="125" w:firstLine="283"/>
        <w:jc w:val="both"/>
      </w:pPr>
      <w:r>
        <w:rPr>
          <w:color w:val="231F20"/>
        </w:rPr>
        <w:t>Термін «відшкодування» означає форму відповідальності, надання кому-небудь чогось іншого замість загубленого, витраче- ного, знищеного тощо. У теорії адміністративного права доречним уважається використання терміна «компенсація шкоди» (від лат. compesati</w:t>
      </w:r>
      <w:r>
        <w:rPr>
          <w:color w:val="231F20"/>
        </w:rPr>
        <w:t>o – «відшкодування»), оскільки важко собі уявити відшко- дування страждань, а компенсація останніх цілком можлива.</w:t>
      </w:r>
    </w:p>
    <w:p w14:paraId="3F506BB2" w14:textId="77777777" w:rsidR="00DE575E" w:rsidRDefault="002E7560">
      <w:pPr>
        <w:pStyle w:val="BodyText"/>
        <w:spacing w:before="3" w:line="252" w:lineRule="auto"/>
        <w:ind w:left="533" w:right="127" w:firstLine="283"/>
        <w:jc w:val="both"/>
      </w:pPr>
      <w:r>
        <w:rPr>
          <w:color w:val="231F20"/>
          <w:spacing w:val="-4"/>
        </w:rPr>
        <w:t xml:space="preserve">Так, </w:t>
      </w:r>
      <w:r>
        <w:rPr>
          <w:color w:val="231F20"/>
        </w:rPr>
        <w:t>убачається, що відшкодування шкоди може відбуватися стосовно приватної особи. При цьому регламентовано три види шкоди, що відшкодовуютьс</w:t>
      </w:r>
      <w:r>
        <w:rPr>
          <w:color w:val="231F20"/>
        </w:rPr>
        <w:t xml:space="preserve">я (компенсуються) </w:t>
      </w:r>
      <w:r>
        <w:rPr>
          <w:color w:val="231F20"/>
          <w:spacing w:val="-3"/>
        </w:rPr>
        <w:t xml:space="preserve">суб’єктом </w:t>
      </w:r>
      <w:r>
        <w:rPr>
          <w:color w:val="231F20"/>
        </w:rPr>
        <w:t xml:space="preserve">публіч- ного адміністрування, – </w:t>
      </w:r>
      <w:r>
        <w:rPr>
          <w:color w:val="231F20"/>
          <w:spacing w:val="-3"/>
        </w:rPr>
        <w:t xml:space="preserve">моральну, </w:t>
      </w:r>
      <w:r>
        <w:rPr>
          <w:color w:val="231F20"/>
        </w:rPr>
        <w:t xml:space="preserve">фізичну і </w:t>
      </w:r>
      <w:r>
        <w:rPr>
          <w:color w:val="231F20"/>
          <w:spacing w:val="-3"/>
        </w:rPr>
        <w:t xml:space="preserve">майнову. </w:t>
      </w:r>
      <w:r>
        <w:rPr>
          <w:color w:val="231F20"/>
        </w:rPr>
        <w:t>Якщо приват- ній особі завдано декількох  видів  шкоди,  вони  відшкодовуються в повному обсязі відповідно до адміністративного</w:t>
      </w:r>
      <w:r>
        <w:rPr>
          <w:color w:val="231F20"/>
          <w:spacing w:val="-20"/>
        </w:rPr>
        <w:t xml:space="preserve"> </w:t>
      </w:r>
      <w:r>
        <w:rPr>
          <w:color w:val="231F20"/>
        </w:rPr>
        <w:t>законодавства.</w:t>
      </w:r>
    </w:p>
    <w:p w14:paraId="0B407039" w14:textId="77777777" w:rsidR="00DE575E" w:rsidRDefault="002E7560">
      <w:pPr>
        <w:pStyle w:val="BodyText"/>
        <w:spacing w:before="3" w:line="252" w:lineRule="auto"/>
        <w:ind w:left="533" w:right="128" w:firstLine="283"/>
        <w:jc w:val="both"/>
      </w:pPr>
      <w:r>
        <w:rPr>
          <w:color w:val="231F20"/>
        </w:rPr>
        <w:t>Відшкодування шкоди, зав</w:t>
      </w:r>
      <w:r>
        <w:rPr>
          <w:color w:val="231F20"/>
        </w:rPr>
        <w:t>даної внаслідок порушення адмініст- ративно-правової норми, відбувається:</w:t>
      </w:r>
    </w:p>
    <w:p w14:paraId="421DE50B" w14:textId="77777777" w:rsidR="00DE575E" w:rsidRDefault="002E7560">
      <w:pPr>
        <w:pStyle w:val="ListParagraph"/>
        <w:numPr>
          <w:ilvl w:val="2"/>
          <w:numId w:val="128"/>
        </w:numPr>
        <w:tabs>
          <w:tab w:val="left" w:pos="1101"/>
        </w:tabs>
        <w:spacing w:line="252" w:lineRule="auto"/>
        <w:ind w:right="128" w:firstLine="284"/>
        <w:rPr>
          <w:sz w:val="21"/>
        </w:rPr>
      </w:pPr>
      <w:r>
        <w:rPr>
          <w:color w:val="231F20"/>
          <w:spacing w:val="-3"/>
          <w:sz w:val="21"/>
        </w:rPr>
        <w:t>суб’єктом</w:t>
      </w:r>
      <w:r>
        <w:rPr>
          <w:color w:val="231F20"/>
          <w:spacing w:val="-11"/>
          <w:sz w:val="21"/>
        </w:rPr>
        <w:t xml:space="preserve"> </w:t>
      </w:r>
      <w:r>
        <w:rPr>
          <w:color w:val="231F20"/>
          <w:sz w:val="21"/>
        </w:rPr>
        <w:t>публічного</w:t>
      </w:r>
      <w:r>
        <w:rPr>
          <w:color w:val="231F20"/>
          <w:spacing w:val="-11"/>
          <w:sz w:val="21"/>
        </w:rPr>
        <w:t xml:space="preserve"> </w:t>
      </w:r>
      <w:r>
        <w:rPr>
          <w:color w:val="231F20"/>
          <w:sz w:val="21"/>
        </w:rPr>
        <w:t>адміністрування</w:t>
      </w:r>
      <w:r>
        <w:rPr>
          <w:color w:val="231F20"/>
          <w:spacing w:val="-11"/>
          <w:sz w:val="21"/>
        </w:rPr>
        <w:t xml:space="preserve"> </w:t>
      </w:r>
      <w:r>
        <w:rPr>
          <w:color w:val="231F20"/>
          <w:sz w:val="21"/>
        </w:rPr>
        <w:t>на</w:t>
      </w:r>
      <w:r>
        <w:rPr>
          <w:color w:val="231F20"/>
          <w:spacing w:val="-11"/>
          <w:sz w:val="21"/>
        </w:rPr>
        <w:t xml:space="preserve"> </w:t>
      </w:r>
      <w:r>
        <w:rPr>
          <w:color w:val="231F20"/>
          <w:spacing w:val="-3"/>
          <w:sz w:val="21"/>
        </w:rPr>
        <w:t>будь-якій</w:t>
      </w:r>
      <w:r>
        <w:rPr>
          <w:color w:val="231F20"/>
          <w:spacing w:val="-11"/>
          <w:sz w:val="21"/>
        </w:rPr>
        <w:t xml:space="preserve"> </w:t>
      </w:r>
      <w:r>
        <w:rPr>
          <w:color w:val="231F20"/>
          <w:sz w:val="21"/>
        </w:rPr>
        <w:t>стадії</w:t>
      </w:r>
      <w:r>
        <w:rPr>
          <w:color w:val="231F20"/>
          <w:spacing w:val="-11"/>
          <w:sz w:val="21"/>
        </w:rPr>
        <w:t xml:space="preserve"> </w:t>
      </w:r>
      <w:r>
        <w:rPr>
          <w:color w:val="231F20"/>
          <w:sz w:val="21"/>
        </w:rPr>
        <w:t>адмі- ністративного</w:t>
      </w:r>
      <w:r>
        <w:rPr>
          <w:color w:val="231F20"/>
          <w:spacing w:val="-1"/>
          <w:sz w:val="21"/>
        </w:rPr>
        <w:t xml:space="preserve"> </w:t>
      </w:r>
      <w:r>
        <w:rPr>
          <w:color w:val="231F20"/>
          <w:sz w:val="21"/>
        </w:rPr>
        <w:t>провадження;</w:t>
      </w:r>
    </w:p>
    <w:p w14:paraId="0FE8A287" w14:textId="77777777" w:rsidR="00DE575E" w:rsidRDefault="002E7560">
      <w:pPr>
        <w:pStyle w:val="ListParagraph"/>
        <w:numPr>
          <w:ilvl w:val="2"/>
          <w:numId w:val="128"/>
        </w:numPr>
        <w:tabs>
          <w:tab w:val="left" w:pos="1101"/>
        </w:tabs>
        <w:spacing w:line="252" w:lineRule="auto"/>
        <w:ind w:right="127" w:firstLine="284"/>
        <w:jc w:val="right"/>
        <w:rPr>
          <w:sz w:val="21"/>
        </w:rPr>
      </w:pPr>
      <w:r>
        <w:rPr>
          <w:color w:val="231F20"/>
          <w:sz w:val="21"/>
        </w:rPr>
        <w:t>за рахунок державного бюджету чи бюджету</w:t>
      </w:r>
      <w:r>
        <w:rPr>
          <w:color w:val="231F20"/>
          <w:spacing w:val="-20"/>
          <w:sz w:val="21"/>
        </w:rPr>
        <w:t xml:space="preserve"> </w:t>
      </w:r>
      <w:r>
        <w:rPr>
          <w:color w:val="231F20"/>
          <w:sz w:val="21"/>
        </w:rPr>
        <w:t>органів</w:t>
      </w:r>
      <w:r>
        <w:rPr>
          <w:color w:val="231F20"/>
          <w:spacing w:val="33"/>
          <w:sz w:val="21"/>
        </w:rPr>
        <w:t xml:space="preserve"> </w:t>
      </w:r>
      <w:r>
        <w:rPr>
          <w:color w:val="231F20"/>
          <w:sz w:val="21"/>
        </w:rPr>
        <w:t xml:space="preserve">місце- вого самоврядування у випадках та </w:t>
      </w:r>
      <w:r>
        <w:rPr>
          <w:color w:val="231F20"/>
          <w:spacing w:val="-3"/>
          <w:sz w:val="21"/>
        </w:rPr>
        <w:t>порядку,</w:t>
      </w:r>
      <w:r>
        <w:rPr>
          <w:color w:val="231F20"/>
          <w:spacing w:val="-13"/>
          <w:sz w:val="21"/>
        </w:rPr>
        <w:t xml:space="preserve"> </w:t>
      </w:r>
      <w:r>
        <w:rPr>
          <w:color w:val="231F20"/>
          <w:sz w:val="21"/>
        </w:rPr>
        <w:t>передбачених</w:t>
      </w:r>
      <w:r>
        <w:rPr>
          <w:color w:val="231F20"/>
          <w:spacing w:val="-3"/>
          <w:sz w:val="21"/>
        </w:rPr>
        <w:t xml:space="preserve"> </w:t>
      </w:r>
      <w:r>
        <w:rPr>
          <w:color w:val="231F20"/>
          <w:sz w:val="21"/>
        </w:rPr>
        <w:t>законом. У</w:t>
      </w:r>
      <w:r>
        <w:rPr>
          <w:color w:val="231F20"/>
          <w:spacing w:val="21"/>
          <w:sz w:val="21"/>
        </w:rPr>
        <w:t xml:space="preserve"> </w:t>
      </w:r>
      <w:r>
        <w:rPr>
          <w:color w:val="231F20"/>
          <w:sz w:val="21"/>
        </w:rPr>
        <w:t>теорії</w:t>
      </w:r>
      <w:r>
        <w:rPr>
          <w:color w:val="231F20"/>
          <w:spacing w:val="21"/>
          <w:sz w:val="21"/>
        </w:rPr>
        <w:t xml:space="preserve"> </w:t>
      </w:r>
      <w:r>
        <w:rPr>
          <w:color w:val="231F20"/>
          <w:sz w:val="21"/>
        </w:rPr>
        <w:t>права</w:t>
      </w:r>
      <w:r>
        <w:rPr>
          <w:color w:val="231F20"/>
          <w:spacing w:val="21"/>
          <w:sz w:val="21"/>
        </w:rPr>
        <w:t xml:space="preserve"> </w:t>
      </w:r>
      <w:r>
        <w:rPr>
          <w:color w:val="231F20"/>
          <w:sz w:val="21"/>
        </w:rPr>
        <w:t>розмежовуються</w:t>
      </w:r>
      <w:r>
        <w:rPr>
          <w:color w:val="231F20"/>
          <w:spacing w:val="21"/>
          <w:sz w:val="21"/>
        </w:rPr>
        <w:t xml:space="preserve"> </w:t>
      </w:r>
      <w:r>
        <w:rPr>
          <w:color w:val="231F20"/>
          <w:sz w:val="21"/>
        </w:rPr>
        <w:t>поняття</w:t>
      </w:r>
      <w:r>
        <w:rPr>
          <w:color w:val="231F20"/>
          <w:spacing w:val="21"/>
          <w:sz w:val="21"/>
        </w:rPr>
        <w:t xml:space="preserve"> </w:t>
      </w:r>
      <w:r>
        <w:rPr>
          <w:i/>
          <w:color w:val="231F20"/>
          <w:sz w:val="21"/>
        </w:rPr>
        <w:t>«шкода»</w:t>
      </w:r>
      <w:r>
        <w:rPr>
          <w:i/>
          <w:color w:val="231F20"/>
          <w:spacing w:val="21"/>
          <w:sz w:val="21"/>
        </w:rPr>
        <w:t xml:space="preserve"> </w:t>
      </w:r>
      <w:r>
        <w:rPr>
          <w:i/>
          <w:color w:val="231F20"/>
          <w:sz w:val="21"/>
        </w:rPr>
        <w:t>і</w:t>
      </w:r>
      <w:r>
        <w:rPr>
          <w:i/>
          <w:color w:val="231F20"/>
          <w:spacing w:val="21"/>
          <w:sz w:val="21"/>
        </w:rPr>
        <w:t xml:space="preserve"> </w:t>
      </w:r>
      <w:r>
        <w:rPr>
          <w:i/>
          <w:color w:val="231F20"/>
          <w:sz w:val="21"/>
        </w:rPr>
        <w:t xml:space="preserve">«збитки». </w:t>
      </w:r>
      <w:r>
        <w:rPr>
          <w:b/>
          <w:color w:val="231F20"/>
          <w:spacing w:val="-4"/>
          <w:sz w:val="21"/>
        </w:rPr>
        <w:t xml:space="preserve">Шкода </w:t>
      </w:r>
      <w:r>
        <w:rPr>
          <w:color w:val="231F20"/>
          <w:sz w:val="21"/>
        </w:rPr>
        <w:t xml:space="preserve">– це </w:t>
      </w:r>
      <w:r>
        <w:rPr>
          <w:color w:val="231F20"/>
          <w:spacing w:val="-3"/>
          <w:sz w:val="21"/>
        </w:rPr>
        <w:t xml:space="preserve">будь-яке </w:t>
      </w:r>
      <w:r>
        <w:rPr>
          <w:color w:val="231F20"/>
          <w:sz w:val="21"/>
        </w:rPr>
        <w:t>знецінення блага, що охороняється</w:t>
      </w:r>
      <w:r>
        <w:rPr>
          <w:color w:val="231F20"/>
          <w:spacing w:val="-1"/>
          <w:sz w:val="21"/>
        </w:rPr>
        <w:t xml:space="preserve"> </w:t>
      </w:r>
      <w:r>
        <w:rPr>
          <w:color w:val="231F20"/>
          <w:sz w:val="21"/>
        </w:rPr>
        <w:t>правом,</w:t>
      </w:r>
    </w:p>
    <w:p w14:paraId="6AAFCC1D" w14:textId="602D3B75" w:rsidR="00DE575E" w:rsidRDefault="002E7560">
      <w:pPr>
        <w:pStyle w:val="BodyText"/>
        <w:spacing w:before="6"/>
        <w:rPr>
          <w:sz w:val="24"/>
        </w:rPr>
      </w:pPr>
      <w:r>
        <w:rPr>
          <w:noProof/>
        </w:rPr>
        <mc:AlternateContent>
          <mc:Choice Requires="wps">
            <w:drawing>
              <wp:anchor distT="0" distB="0" distL="0" distR="0" simplePos="0" relativeHeight="12904" behindDoc="0" locked="0" layoutInCell="1" allowOverlap="1" wp14:anchorId="77230048" wp14:editId="2EB13AE5">
                <wp:simplePos x="0" y="0"/>
                <wp:positionH relativeFrom="page">
                  <wp:posOffset>719455</wp:posOffset>
                </wp:positionH>
                <wp:positionV relativeFrom="paragraph">
                  <wp:posOffset>210820</wp:posOffset>
                </wp:positionV>
                <wp:extent cx="1080135" cy="0"/>
                <wp:effectExtent l="8255" t="7620" r="29210" b="30480"/>
                <wp:wrapTopAndBottom/>
                <wp:docPr id="581"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86B92" id="Line_x0020_580" o:spid="_x0000_s1026" style="position:absolute;z-index:12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pt" to="141.7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" strokecolor="#231f20" strokeweight=".5pt">
                <w10:wrap type="topAndBottom" anchorx="page"/>
              </v:line>
            </w:pict>
          </mc:Fallback>
        </mc:AlternateContent>
      </w:r>
    </w:p>
    <w:p w14:paraId="753661C7" w14:textId="77777777" w:rsidR="00DE575E" w:rsidRDefault="002E7560">
      <w:pPr>
        <w:spacing w:line="162" w:lineRule="exact"/>
        <w:ind w:left="533"/>
        <w:rPr>
          <w:sz w:val="16"/>
        </w:rPr>
      </w:pPr>
      <w:r>
        <w:rPr>
          <w:color w:val="231F20"/>
          <w:position w:val="5"/>
          <w:sz w:val="9"/>
        </w:rPr>
        <w:t xml:space="preserve">1 </w:t>
      </w:r>
      <w:r>
        <w:rPr>
          <w:color w:val="231F20"/>
          <w:sz w:val="16"/>
        </w:rPr>
        <w:t>Про звернення громадян: Закон від 2.10.1996 № 393.</w:t>
      </w:r>
    </w:p>
    <w:p w14:paraId="4252090D" w14:textId="77777777" w:rsidR="00DE575E" w:rsidRDefault="00DE575E">
      <w:pPr>
        <w:pStyle w:val="BodyText"/>
        <w:spacing w:before="10"/>
        <w:rPr>
          <w:sz w:val="11"/>
        </w:rPr>
      </w:pPr>
    </w:p>
    <w:p w14:paraId="60321801" w14:textId="77777777" w:rsidR="00DE575E" w:rsidRDefault="002E7560">
      <w:pPr>
        <w:spacing w:before="92"/>
        <w:ind w:left="533"/>
        <w:rPr>
          <w:rFonts w:ascii="Times New Roman"/>
          <w:sz w:val="20"/>
        </w:rPr>
      </w:pPr>
      <w:r>
        <w:rPr>
          <w:rFonts w:ascii="Times New Roman"/>
          <w:color w:val="231F20"/>
          <w:sz w:val="20"/>
        </w:rPr>
        <w:t>332</w:t>
      </w:r>
    </w:p>
    <w:p w14:paraId="7CCFC7DC" w14:textId="77777777" w:rsidR="00DE575E" w:rsidRDefault="00DE575E">
      <w:pPr>
        <w:rPr>
          <w:rFonts w:ascii="Times New Roman"/>
          <w:sz w:val="20"/>
        </w:rPr>
        <w:sectPr w:rsidR="00DE575E">
          <w:pgSz w:w="8510" w:h="12760"/>
          <w:pgMar w:top="660" w:right="720" w:bottom="280" w:left="600" w:header="720" w:footer="720" w:gutter="0"/>
          <w:cols w:space="720"/>
        </w:sectPr>
      </w:pPr>
    </w:p>
    <w:p w14:paraId="4A333988"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2A3304ED" w14:textId="7C4426A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CEB455" wp14:editId="2786DFCB">
                <wp:extent cx="4140200" cy="6350"/>
                <wp:effectExtent l="0" t="0" r="12700" b="6350"/>
                <wp:docPr id="57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80" name="Line 5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9F49F" id="Group_x0020_5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rTdkaIECAACYBQAA&#10;DgAAAAAAAAAAAAAAAAAsAgAAZHJzL2Uyb0RvYy54bWxQSwECLQAUAAYACAAAACEATKewkNkAAAAD&#10;AQAADwAAAAAAAAAAAAAAAADZBAAAZHJzL2Rvd25yZXYueG1sUEsFBgAAAAAEAAQA8wAAAN8FAAAA&#10;AA==&#10;">
                <v:line id="Line_x0020_5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jmNsMAAADcAAAADwAAAGRycy9kb3ducmV2LnhtbERP3WrCMBS+F/YO4Qy8kTVVUaRrlCEM&#10;hhc67R7g2Jy1ZclJbaKte/rlYuDlx/efbwZrxI063zhWME1SEMSl0w1XCr6K95cVCB+QNRrHpOBO&#10;Hjbrp1GOmXY9H+l2CpWIIewzVFCH0GZS+rImiz5xLXHkvl1nMUTYVVJ32Mdwa+QsTZfSYsOxocaW&#10;tjWVP6erVVBcJsF8HnamLw7nuTxf9vPf616p8fPw9goi0BAe4n/3h1awWMX58Uw8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Y5jbDAAAA3AAAAA8AAAAAAAAAAAAA&#10;AAAAoQIAAGRycy9kb3ducmV2LnhtbFBLBQYAAAAABAAEAPkAAACRAwAAAAA=&#10;" strokecolor="#231f20" strokeweight=".5pt"/>
                <w10:anchorlock/>
              </v:group>
            </w:pict>
          </mc:Fallback>
        </mc:AlternateContent>
      </w:r>
    </w:p>
    <w:p w14:paraId="0250CEDE" w14:textId="77777777" w:rsidR="00DE575E" w:rsidRDefault="00DE575E">
      <w:pPr>
        <w:pStyle w:val="BodyText"/>
        <w:spacing w:before="7"/>
        <w:rPr>
          <w:rFonts w:ascii="AdonisC"/>
          <w:i/>
          <w:sz w:val="19"/>
        </w:rPr>
      </w:pPr>
    </w:p>
    <w:p w14:paraId="711CDB29" w14:textId="77777777" w:rsidR="00DE575E" w:rsidRDefault="002E7560">
      <w:pPr>
        <w:pStyle w:val="BodyText"/>
        <w:spacing w:before="1" w:line="249" w:lineRule="auto"/>
        <w:ind w:left="250" w:right="411"/>
        <w:jc w:val="both"/>
      </w:pPr>
      <w:r>
        <w:rPr>
          <w:color w:val="231F20"/>
        </w:rPr>
        <w:t>тому її поділяють на майнову та немайнову (моральну), а збитки – це грошова оцінка шкоди, яка застосовується в разі неможливості відшкодування її в натурі.</w:t>
      </w:r>
    </w:p>
    <w:p w14:paraId="7B109CCB" w14:textId="77777777" w:rsidR="00DE575E" w:rsidRDefault="002E7560">
      <w:pPr>
        <w:ind w:left="533"/>
        <w:rPr>
          <w:i/>
          <w:sz w:val="21"/>
        </w:rPr>
      </w:pPr>
      <w:r>
        <w:rPr>
          <w:i/>
          <w:color w:val="231F20"/>
          <w:sz w:val="21"/>
        </w:rPr>
        <w:t>Виділяються види шкоди – моральна, фізична, майнова.</w:t>
      </w:r>
    </w:p>
    <w:p w14:paraId="475C140D" w14:textId="77777777" w:rsidR="00DE575E" w:rsidRDefault="002E7560">
      <w:pPr>
        <w:pStyle w:val="Heading6"/>
        <w:spacing w:before="9"/>
        <w:ind w:firstLine="0"/>
      </w:pPr>
      <w:r>
        <w:rPr>
          <w:color w:val="231F20"/>
        </w:rPr>
        <w:t>Збитками в</w:t>
      </w:r>
      <w:r>
        <w:rPr>
          <w:color w:val="231F20"/>
        </w:rPr>
        <w:t>изначаються:</w:t>
      </w:r>
    </w:p>
    <w:p w14:paraId="327A1DC0" w14:textId="77777777" w:rsidR="00DE575E" w:rsidRDefault="002E7560">
      <w:pPr>
        <w:pStyle w:val="ListParagraph"/>
        <w:numPr>
          <w:ilvl w:val="0"/>
          <w:numId w:val="127"/>
        </w:numPr>
        <w:tabs>
          <w:tab w:val="left" w:pos="818"/>
        </w:tabs>
        <w:spacing w:before="10" w:line="249" w:lineRule="auto"/>
        <w:ind w:right="411" w:firstLine="283"/>
        <w:rPr>
          <w:sz w:val="21"/>
        </w:rPr>
      </w:pPr>
      <w:r>
        <w:rPr>
          <w:color w:val="231F20"/>
          <w:sz w:val="21"/>
        </w:rPr>
        <w:t>утрати,  яких  особа  зазнала  внаслідок  порушення  її  прав     у зв’язку зі знищенням або пошкодженням речей, а також витрати, які особа зробила або мусить зробити для відновлення свого пору- шеного</w:t>
      </w:r>
      <w:r>
        <w:rPr>
          <w:color w:val="231F20"/>
          <w:spacing w:val="-1"/>
          <w:sz w:val="21"/>
        </w:rPr>
        <w:t xml:space="preserve"> </w:t>
      </w:r>
      <w:r>
        <w:rPr>
          <w:color w:val="231F20"/>
          <w:sz w:val="21"/>
        </w:rPr>
        <w:t>права;</w:t>
      </w:r>
    </w:p>
    <w:p w14:paraId="11D41F3A" w14:textId="77777777" w:rsidR="00DE575E" w:rsidRDefault="002E7560">
      <w:pPr>
        <w:pStyle w:val="ListParagraph"/>
        <w:numPr>
          <w:ilvl w:val="0"/>
          <w:numId w:val="127"/>
        </w:numPr>
        <w:tabs>
          <w:tab w:val="left" w:pos="818"/>
        </w:tabs>
        <w:spacing w:before="0" w:line="249" w:lineRule="auto"/>
        <w:ind w:right="411" w:firstLine="283"/>
        <w:rPr>
          <w:sz w:val="21"/>
        </w:rPr>
      </w:pPr>
      <w:r>
        <w:rPr>
          <w:color w:val="231F20"/>
          <w:spacing w:val="-3"/>
          <w:sz w:val="21"/>
        </w:rPr>
        <w:t xml:space="preserve">доходи, </w:t>
      </w:r>
      <w:r>
        <w:rPr>
          <w:color w:val="231F20"/>
          <w:sz w:val="21"/>
        </w:rPr>
        <w:t xml:space="preserve">які особа </w:t>
      </w:r>
      <w:r>
        <w:rPr>
          <w:color w:val="231F20"/>
          <w:spacing w:val="-3"/>
          <w:sz w:val="21"/>
        </w:rPr>
        <w:t xml:space="preserve">могла </w:t>
      </w:r>
      <w:r>
        <w:rPr>
          <w:color w:val="231F20"/>
          <w:sz w:val="21"/>
        </w:rPr>
        <w:t xml:space="preserve">б реально одержати за звичайних обставин, якби її право не </w:t>
      </w:r>
      <w:r>
        <w:rPr>
          <w:color w:val="231F20"/>
          <w:spacing w:val="-3"/>
          <w:sz w:val="21"/>
        </w:rPr>
        <w:t xml:space="preserve">було </w:t>
      </w:r>
      <w:r>
        <w:rPr>
          <w:color w:val="231F20"/>
          <w:sz w:val="21"/>
        </w:rPr>
        <w:t>порушено.</w:t>
      </w:r>
    </w:p>
    <w:p w14:paraId="11BEAAB2" w14:textId="77777777" w:rsidR="00DE575E" w:rsidRDefault="002E7560">
      <w:pPr>
        <w:pStyle w:val="Heading6"/>
        <w:spacing w:before="0"/>
        <w:ind w:firstLine="0"/>
      </w:pPr>
      <w:r>
        <w:rPr>
          <w:color w:val="231F20"/>
        </w:rPr>
        <w:t>Поняття майнової шкоди, завданої приватній особі, охоплює:</w:t>
      </w:r>
    </w:p>
    <w:p w14:paraId="5AA73219" w14:textId="77777777" w:rsidR="00DE575E" w:rsidRDefault="002E7560">
      <w:pPr>
        <w:pStyle w:val="ListParagraph"/>
        <w:numPr>
          <w:ilvl w:val="0"/>
          <w:numId w:val="2"/>
        </w:numPr>
        <w:tabs>
          <w:tab w:val="left" w:pos="818"/>
        </w:tabs>
        <w:spacing w:before="10" w:line="249" w:lineRule="auto"/>
        <w:ind w:right="413" w:firstLine="283"/>
        <w:rPr>
          <w:sz w:val="21"/>
        </w:rPr>
      </w:pPr>
      <w:r>
        <w:rPr>
          <w:color w:val="231F20"/>
          <w:sz w:val="21"/>
        </w:rPr>
        <w:t>заподіяну</w:t>
      </w:r>
      <w:r>
        <w:rPr>
          <w:color w:val="231F20"/>
          <w:spacing w:val="-10"/>
          <w:sz w:val="21"/>
        </w:rPr>
        <w:t xml:space="preserve"> </w:t>
      </w:r>
      <w:r>
        <w:rPr>
          <w:color w:val="231F20"/>
          <w:sz w:val="21"/>
        </w:rPr>
        <w:t>порушенням</w:t>
      </w:r>
      <w:r>
        <w:rPr>
          <w:color w:val="231F20"/>
          <w:spacing w:val="-10"/>
          <w:sz w:val="21"/>
        </w:rPr>
        <w:t xml:space="preserve"> </w:t>
      </w:r>
      <w:r>
        <w:rPr>
          <w:color w:val="231F20"/>
          <w:sz w:val="21"/>
        </w:rPr>
        <w:t>адміністративно-правової</w:t>
      </w:r>
      <w:r>
        <w:rPr>
          <w:color w:val="231F20"/>
          <w:spacing w:val="-10"/>
          <w:sz w:val="21"/>
        </w:rPr>
        <w:t xml:space="preserve"> </w:t>
      </w:r>
      <w:r>
        <w:rPr>
          <w:color w:val="231F20"/>
          <w:sz w:val="21"/>
        </w:rPr>
        <w:t>норми</w:t>
      </w:r>
      <w:r>
        <w:rPr>
          <w:color w:val="231F20"/>
          <w:spacing w:val="-10"/>
          <w:sz w:val="21"/>
        </w:rPr>
        <w:t xml:space="preserve"> </w:t>
      </w:r>
      <w:r>
        <w:rPr>
          <w:color w:val="231F20"/>
          <w:sz w:val="21"/>
        </w:rPr>
        <w:t xml:space="preserve">особі </w:t>
      </w:r>
      <w:r>
        <w:rPr>
          <w:color w:val="231F20"/>
          <w:spacing w:val="-3"/>
          <w:sz w:val="21"/>
        </w:rPr>
        <w:t xml:space="preserve">пряму, </w:t>
      </w:r>
      <w:r>
        <w:rPr>
          <w:color w:val="231F20"/>
          <w:sz w:val="21"/>
        </w:rPr>
        <w:t>безпосередню шкоду в її майновому та грошовому</w:t>
      </w:r>
      <w:r>
        <w:rPr>
          <w:color w:val="231F20"/>
          <w:spacing w:val="-13"/>
          <w:sz w:val="21"/>
        </w:rPr>
        <w:t xml:space="preserve"> </w:t>
      </w:r>
      <w:r>
        <w:rPr>
          <w:color w:val="231F20"/>
          <w:sz w:val="21"/>
        </w:rPr>
        <w:t>виразі;</w:t>
      </w:r>
    </w:p>
    <w:p w14:paraId="5B39D534" w14:textId="77777777" w:rsidR="00DE575E" w:rsidRDefault="002E7560">
      <w:pPr>
        <w:pStyle w:val="ListParagraph"/>
        <w:numPr>
          <w:ilvl w:val="0"/>
          <w:numId w:val="2"/>
        </w:numPr>
        <w:tabs>
          <w:tab w:val="left" w:pos="818"/>
        </w:tabs>
        <w:spacing w:before="0"/>
        <w:ind w:firstLine="283"/>
        <w:jc w:val="left"/>
        <w:rPr>
          <w:sz w:val="21"/>
        </w:rPr>
      </w:pPr>
      <w:r>
        <w:rPr>
          <w:color w:val="231F20"/>
          <w:sz w:val="21"/>
        </w:rPr>
        <w:t xml:space="preserve">не </w:t>
      </w:r>
      <w:r>
        <w:rPr>
          <w:color w:val="231F20"/>
          <w:sz w:val="21"/>
        </w:rPr>
        <w:t>одержані внаслідок скоєння порушення</w:t>
      </w:r>
      <w:r>
        <w:rPr>
          <w:color w:val="231F20"/>
          <w:spacing w:val="-4"/>
          <w:sz w:val="21"/>
        </w:rPr>
        <w:t xml:space="preserve"> </w:t>
      </w:r>
      <w:r>
        <w:rPr>
          <w:color w:val="231F20"/>
          <w:spacing w:val="-3"/>
          <w:sz w:val="21"/>
        </w:rPr>
        <w:t>доходи.</w:t>
      </w:r>
    </w:p>
    <w:p w14:paraId="54B509DA" w14:textId="77777777" w:rsidR="00DE575E" w:rsidRDefault="002E7560">
      <w:pPr>
        <w:pStyle w:val="BodyText"/>
        <w:spacing w:before="9" w:line="249" w:lineRule="auto"/>
        <w:ind w:left="250" w:right="410" w:firstLine="283"/>
        <w:jc w:val="both"/>
      </w:pPr>
      <w:r>
        <w:rPr>
          <w:color w:val="231F20"/>
        </w:rPr>
        <w:t xml:space="preserve">У чинному законодавстві </w:t>
      </w:r>
      <w:r>
        <w:rPr>
          <w:color w:val="231F20"/>
          <w:spacing w:val="-3"/>
        </w:rPr>
        <w:t xml:space="preserve">України </w:t>
      </w:r>
      <w:r>
        <w:rPr>
          <w:color w:val="231F20"/>
        </w:rPr>
        <w:t xml:space="preserve">всі наслідки немайнового характеру позначаються терміном «моральна шкода». Зміст цього поняття розкрито в Постанові пленуму Верховного </w:t>
      </w:r>
      <w:r>
        <w:rPr>
          <w:color w:val="231F20"/>
          <w:spacing w:val="-5"/>
        </w:rPr>
        <w:t xml:space="preserve">Суду  </w:t>
      </w:r>
      <w:r>
        <w:rPr>
          <w:color w:val="231F20"/>
          <w:spacing w:val="-3"/>
        </w:rPr>
        <w:t xml:space="preserve">України </w:t>
      </w:r>
      <w:r>
        <w:rPr>
          <w:color w:val="231F20"/>
        </w:rPr>
        <w:t xml:space="preserve">від 31 березня 1995 р. № 4 «Про </w:t>
      </w:r>
      <w:r>
        <w:rPr>
          <w:color w:val="231F20"/>
          <w:spacing w:val="-3"/>
        </w:rPr>
        <w:t xml:space="preserve">судову </w:t>
      </w:r>
      <w:r>
        <w:rPr>
          <w:color w:val="231F20"/>
        </w:rPr>
        <w:t>практику в справах про відшкодування моральної (немайнової) шкоди», в якій визначено, що моральна шкода – це втрати немайнового характеру внаслідок моральних чи фізичних страждань або інших негативних</w:t>
      </w:r>
      <w:r>
        <w:rPr>
          <w:color w:val="231F20"/>
          <w:spacing w:val="-14"/>
        </w:rPr>
        <w:t xml:space="preserve"> </w:t>
      </w:r>
      <w:r>
        <w:rPr>
          <w:color w:val="231F20"/>
        </w:rPr>
        <w:t>явищ</w:t>
      </w:r>
      <w:r>
        <w:rPr>
          <w:color w:val="231F20"/>
          <w:position w:val="7"/>
          <w:sz w:val="12"/>
        </w:rPr>
        <w:t>1</w:t>
      </w:r>
      <w:r>
        <w:rPr>
          <w:color w:val="231F20"/>
        </w:rPr>
        <w:t>.</w:t>
      </w:r>
    </w:p>
    <w:p w14:paraId="4047C17E" w14:textId="77777777" w:rsidR="00DE575E" w:rsidRDefault="002E7560">
      <w:pPr>
        <w:pStyle w:val="BodyText"/>
        <w:spacing w:line="249" w:lineRule="auto"/>
        <w:ind w:left="250" w:right="410" w:firstLine="283"/>
        <w:jc w:val="both"/>
      </w:pPr>
      <w:r>
        <w:rPr>
          <w:color w:val="231F20"/>
          <w:spacing w:val="-3"/>
        </w:rPr>
        <w:t xml:space="preserve">Термін </w:t>
      </w:r>
      <w:r>
        <w:rPr>
          <w:color w:val="231F20"/>
        </w:rPr>
        <w:t>«м</w:t>
      </w:r>
      <w:r>
        <w:rPr>
          <w:color w:val="231F20"/>
        </w:rPr>
        <w:t xml:space="preserve">оральна шкода» визначається через поняття страж- дання, яке заподіяно фізичній особі внаслідок фізичного або психіч- ного </w:t>
      </w:r>
      <w:r>
        <w:rPr>
          <w:color w:val="231F20"/>
          <w:spacing w:val="-3"/>
        </w:rPr>
        <w:t xml:space="preserve">впливу, </w:t>
      </w:r>
      <w:r>
        <w:rPr>
          <w:color w:val="231F20"/>
        </w:rPr>
        <w:t xml:space="preserve">що спричинило погіршення або позбавлення можли- востей реалізації нею своїх звичок і бажань, погіршення відносин    з людьми, </w:t>
      </w:r>
      <w:r>
        <w:rPr>
          <w:color w:val="231F20"/>
        </w:rPr>
        <w:t xml:space="preserve">інші негативні наслідки морального </w:t>
      </w:r>
      <w:r>
        <w:rPr>
          <w:color w:val="231F20"/>
          <w:spacing w:val="-3"/>
        </w:rPr>
        <w:t xml:space="preserve">характеру. </w:t>
      </w:r>
      <w:r>
        <w:rPr>
          <w:color w:val="231F20"/>
        </w:rPr>
        <w:t>Своєю чергою «моральний характер» означає «пов’язаний з духовним життям</w:t>
      </w:r>
      <w:r>
        <w:rPr>
          <w:color w:val="231F20"/>
          <w:spacing w:val="-1"/>
        </w:rPr>
        <w:t xml:space="preserve"> </w:t>
      </w:r>
      <w:r>
        <w:rPr>
          <w:color w:val="231F20"/>
        </w:rPr>
        <w:t>людини».</w:t>
      </w:r>
    </w:p>
    <w:p w14:paraId="1BD6DBB0" w14:textId="77777777" w:rsidR="00DE575E" w:rsidRDefault="002E7560">
      <w:pPr>
        <w:pStyle w:val="Heading6"/>
        <w:spacing w:before="0" w:line="246" w:lineRule="exact"/>
        <w:ind w:firstLine="0"/>
      </w:pPr>
      <w:r>
        <w:rPr>
          <w:color w:val="231F20"/>
        </w:rPr>
        <w:t>Моральна шкода полягає у:</w:t>
      </w:r>
    </w:p>
    <w:p w14:paraId="1CB6AB68" w14:textId="77777777" w:rsidR="00DE575E" w:rsidRDefault="002E7560">
      <w:pPr>
        <w:pStyle w:val="ListParagraph"/>
        <w:numPr>
          <w:ilvl w:val="0"/>
          <w:numId w:val="127"/>
        </w:numPr>
        <w:tabs>
          <w:tab w:val="left" w:pos="818"/>
        </w:tabs>
        <w:spacing w:before="10" w:line="249" w:lineRule="auto"/>
        <w:ind w:right="411" w:firstLine="283"/>
        <w:rPr>
          <w:sz w:val="21"/>
        </w:rPr>
      </w:pPr>
      <w:r>
        <w:rPr>
          <w:color w:val="231F20"/>
          <w:sz w:val="21"/>
        </w:rPr>
        <w:t>фізичному</w:t>
      </w:r>
      <w:r>
        <w:rPr>
          <w:color w:val="231F20"/>
          <w:spacing w:val="-7"/>
          <w:sz w:val="21"/>
        </w:rPr>
        <w:t xml:space="preserve"> </w:t>
      </w:r>
      <w:r>
        <w:rPr>
          <w:color w:val="231F20"/>
          <w:sz w:val="21"/>
        </w:rPr>
        <w:t>болю</w:t>
      </w:r>
      <w:r>
        <w:rPr>
          <w:color w:val="231F20"/>
          <w:spacing w:val="-7"/>
          <w:sz w:val="21"/>
        </w:rPr>
        <w:t xml:space="preserve"> </w:t>
      </w:r>
      <w:r>
        <w:rPr>
          <w:color w:val="231F20"/>
          <w:sz w:val="21"/>
        </w:rPr>
        <w:t>та</w:t>
      </w:r>
      <w:r>
        <w:rPr>
          <w:color w:val="231F20"/>
          <w:spacing w:val="-7"/>
          <w:sz w:val="21"/>
        </w:rPr>
        <w:t xml:space="preserve"> </w:t>
      </w:r>
      <w:r>
        <w:rPr>
          <w:color w:val="231F20"/>
          <w:sz w:val="21"/>
        </w:rPr>
        <w:t>стражданнях,</w:t>
      </w:r>
      <w:r>
        <w:rPr>
          <w:color w:val="231F20"/>
          <w:spacing w:val="-7"/>
          <w:sz w:val="21"/>
        </w:rPr>
        <w:t xml:space="preserve"> </w:t>
      </w:r>
      <w:r>
        <w:rPr>
          <w:color w:val="231F20"/>
          <w:sz w:val="21"/>
        </w:rPr>
        <w:t>яких</w:t>
      </w:r>
      <w:r>
        <w:rPr>
          <w:color w:val="231F20"/>
          <w:spacing w:val="-7"/>
          <w:sz w:val="21"/>
        </w:rPr>
        <w:t xml:space="preserve"> </w:t>
      </w:r>
      <w:r>
        <w:rPr>
          <w:color w:val="231F20"/>
          <w:sz w:val="21"/>
        </w:rPr>
        <w:t>приватна</w:t>
      </w:r>
      <w:r>
        <w:rPr>
          <w:color w:val="231F20"/>
          <w:spacing w:val="-7"/>
          <w:sz w:val="21"/>
        </w:rPr>
        <w:t xml:space="preserve"> </w:t>
      </w:r>
      <w:r>
        <w:rPr>
          <w:color w:val="231F20"/>
          <w:sz w:val="21"/>
        </w:rPr>
        <w:t>особа</w:t>
      </w:r>
      <w:r>
        <w:rPr>
          <w:color w:val="231F20"/>
          <w:spacing w:val="-7"/>
          <w:sz w:val="21"/>
        </w:rPr>
        <w:t xml:space="preserve"> </w:t>
      </w:r>
      <w:r>
        <w:rPr>
          <w:color w:val="231F20"/>
          <w:sz w:val="21"/>
        </w:rPr>
        <w:t>зазнала у зв’язку з каліцтвом або іншим ушкодженням</w:t>
      </w:r>
      <w:r>
        <w:rPr>
          <w:color w:val="231F20"/>
          <w:spacing w:val="-11"/>
          <w:sz w:val="21"/>
        </w:rPr>
        <w:t xml:space="preserve"> </w:t>
      </w:r>
      <w:r>
        <w:rPr>
          <w:color w:val="231F20"/>
          <w:sz w:val="21"/>
        </w:rPr>
        <w:t>здоров’я;</w:t>
      </w:r>
    </w:p>
    <w:p w14:paraId="26DA7EAA" w14:textId="77777777" w:rsidR="00DE575E" w:rsidRDefault="002E7560">
      <w:pPr>
        <w:pStyle w:val="ListParagraph"/>
        <w:numPr>
          <w:ilvl w:val="0"/>
          <w:numId w:val="127"/>
        </w:numPr>
        <w:tabs>
          <w:tab w:val="left" w:pos="818"/>
        </w:tabs>
        <w:spacing w:before="0" w:line="249" w:lineRule="auto"/>
        <w:ind w:right="411" w:firstLine="283"/>
        <w:rPr>
          <w:sz w:val="21"/>
        </w:rPr>
      </w:pPr>
      <w:r>
        <w:rPr>
          <w:color w:val="231F20"/>
          <w:sz w:val="21"/>
        </w:rPr>
        <w:t>душевних</w:t>
      </w:r>
      <w:r>
        <w:rPr>
          <w:color w:val="231F20"/>
          <w:spacing w:val="-9"/>
          <w:sz w:val="21"/>
        </w:rPr>
        <w:t xml:space="preserve"> </w:t>
      </w:r>
      <w:r>
        <w:rPr>
          <w:color w:val="231F20"/>
          <w:sz w:val="21"/>
        </w:rPr>
        <w:t>стражданнях,</w:t>
      </w:r>
      <w:r>
        <w:rPr>
          <w:color w:val="231F20"/>
          <w:spacing w:val="-9"/>
          <w:sz w:val="21"/>
        </w:rPr>
        <w:t xml:space="preserve"> </w:t>
      </w:r>
      <w:r>
        <w:rPr>
          <w:color w:val="231F20"/>
          <w:sz w:val="21"/>
        </w:rPr>
        <w:t>яких</w:t>
      </w:r>
      <w:r>
        <w:rPr>
          <w:color w:val="231F20"/>
          <w:spacing w:val="-9"/>
          <w:sz w:val="21"/>
        </w:rPr>
        <w:t xml:space="preserve"> </w:t>
      </w:r>
      <w:r>
        <w:rPr>
          <w:color w:val="231F20"/>
          <w:sz w:val="21"/>
        </w:rPr>
        <w:t>приватна</w:t>
      </w:r>
      <w:r>
        <w:rPr>
          <w:color w:val="231F20"/>
          <w:spacing w:val="-9"/>
          <w:sz w:val="21"/>
        </w:rPr>
        <w:t xml:space="preserve"> </w:t>
      </w:r>
      <w:r>
        <w:rPr>
          <w:color w:val="231F20"/>
          <w:sz w:val="21"/>
        </w:rPr>
        <w:t>особа</w:t>
      </w:r>
      <w:r>
        <w:rPr>
          <w:color w:val="231F20"/>
          <w:spacing w:val="-9"/>
          <w:sz w:val="21"/>
        </w:rPr>
        <w:t xml:space="preserve"> </w:t>
      </w:r>
      <w:r>
        <w:rPr>
          <w:color w:val="231F20"/>
          <w:sz w:val="21"/>
        </w:rPr>
        <w:t>зазнала</w:t>
      </w:r>
      <w:r>
        <w:rPr>
          <w:color w:val="231F20"/>
          <w:spacing w:val="-9"/>
          <w:sz w:val="21"/>
        </w:rPr>
        <w:t xml:space="preserve"> </w:t>
      </w:r>
      <w:r>
        <w:rPr>
          <w:color w:val="231F20"/>
          <w:sz w:val="21"/>
        </w:rPr>
        <w:t>у</w:t>
      </w:r>
      <w:r>
        <w:rPr>
          <w:color w:val="231F20"/>
          <w:spacing w:val="-9"/>
          <w:sz w:val="21"/>
        </w:rPr>
        <w:t xml:space="preserve"> </w:t>
      </w:r>
      <w:r>
        <w:rPr>
          <w:color w:val="231F20"/>
          <w:sz w:val="21"/>
        </w:rPr>
        <w:t>зв’язку з протиправною поведінкою щодо неї самої, членів її сім’ї чи близь- ких</w:t>
      </w:r>
      <w:r>
        <w:rPr>
          <w:color w:val="231F20"/>
          <w:spacing w:val="-2"/>
          <w:sz w:val="21"/>
        </w:rPr>
        <w:t xml:space="preserve"> </w:t>
      </w:r>
      <w:r>
        <w:rPr>
          <w:color w:val="231F20"/>
          <w:sz w:val="21"/>
        </w:rPr>
        <w:t>родичів;</w:t>
      </w:r>
    </w:p>
    <w:p w14:paraId="2739F6FB" w14:textId="77777777" w:rsidR="00DE575E" w:rsidRDefault="002E7560">
      <w:pPr>
        <w:pStyle w:val="ListParagraph"/>
        <w:numPr>
          <w:ilvl w:val="0"/>
          <w:numId w:val="127"/>
        </w:numPr>
        <w:tabs>
          <w:tab w:val="left" w:pos="818"/>
        </w:tabs>
        <w:spacing w:before="0" w:line="252" w:lineRule="auto"/>
        <w:ind w:right="411" w:firstLine="283"/>
        <w:rPr>
          <w:sz w:val="21"/>
        </w:rPr>
      </w:pPr>
      <w:r>
        <w:rPr>
          <w:color w:val="231F20"/>
          <w:sz w:val="21"/>
        </w:rPr>
        <w:t>душевних</w:t>
      </w:r>
      <w:r>
        <w:rPr>
          <w:color w:val="231F20"/>
          <w:spacing w:val="-9"/>
          <w:sz w:val="21"/>
        </w:rPr>
        <w:t xml:space="preserve"> </w:t>
      </w:r>
      <w:r>
        <w:rPr>
          <w:color w:val="231F20"/>
          <w:sz w:val="21"/>
        </w:rPr>
        <w:t>стражданнях,</w:t>
      </w:r>
      <w:r>
        <w:rPr>
          <w:color w:val="231F20"/>
          <w:spacing w:val="-9"/>
          <w:sz w:val="21"/>
        </w:rPr>
        <w:t xml:space="preserve"> </w:t>
      </w:r>
      <w:r>
        <w:rPr>
          <w:color w:val="231F20"/>
          <w:sz w:val="21"/>
        </w:rPr>
        <w:t>яких</w:t>
      </w:r>
      <w:r>
        <w:rPr>
          <w:color w:val="231F20"/>
          <w:spacing w:val="-9"/>
          <w:sz w:val="21"/>
        </w:rPr>
        <w:t xml:space="preserve"> </w:t>
      </w:r>
      <w:r>
        <w:rPr>
          <w:color w:val="231F20"/>
          <w:sz w:val="21"/>
        </w:rPr>
        <w:t>приватна</w:t>
      </w:r>
      <w:r>
        <w:rPr>
          <w:color w:val="231F20"/>
          <w:spacing w:val="-9"/>
          <w:sz w:val="21"/>
        </w:rPr>
        <w:t xml:space="preserve"> </w:t>
      </w:r>
      <w:r>
        <w:rPr>
          <w:color w:val="231F20"/>
          <w:sz w:val="21"/>
        </w:rPr>
        <w:t>особа</w:t>
      </w:r>
      <w:r>
        <w:rPr>
          <w:color w:val="231F20"/>
          <w:spacing w:val="-9"/>
          <w:sz w:val="21"/>
        </w:rPr>
        <w:t xml:space="preserve"> </w:t>
      </w:r>
      <w:r>
        <w:rPr>
          <w:color w:val="231F20"/>
          <w:sz w:val="21"/>
        </w:rPr>
        <w:t>зазнала</w:t>
      </w:r>
      <w:r>
        <w:rPr>
          <w:color w:val="231F20"/>
          <w:spacing w:val="-9"/>
          <w:sz w:val="21"/>
        </w:rPr>
        <w:t xml:space="preserve"> </w:t>
      </w:r>
      <w:r>
        <w:rPr>
          <w:color w:val="231F20"/>
          <w:sz w:val="21"/>
        </w:rPr>
        <w:t>у</w:t>
      </w:r>
      <w:r>
        <w:rPr>
          <w:color w:val="231F20"/>
          <w:spacing w:val="-9"/>
          <w:sz w:val="21"/>
        </w:rPr>
        <w:t xml:space="preserve"> </w:t>
      </w:r>
      <w:r>
        <w:rPr>
          <w:color w:val="231F20"/>
          <w:sz w:val="21"/>
        </w:rPr>
        <w:t>зв’язку зі знищенням чи пошкодженням її</w:t>
      </w:r>
      <w:r>
        <w:rPr>
          <w:color w:val="231F20"/>
          <w:spacing w:val="-3"/>
          <w:sz w:val="21"/>
        </w:rPr>
        <w:t xml:space="preserve"> </w:t>
      </w:r>
      <w:r>
        <w:rPr>
          <w:color w:val="231F20"/>
          <w:sz w:val="21"/>
        </w:rPr>
        <w:t>майна;</w:t>
      </w:r>
    </w:p>
    <w:p w14:paraId="75C4D000" w14:textId="76506E64" w:rsidR="00DE575E" w:rsidRDefault="002E7560">
      <w:pPr>
        <w:pStyle w:val="BodyText"/>
        <w:spacing w:before="7"/>
        <w:rPr>
          <w:sz w:val="19"/>
        </w:rPr>
      </w:pPr>
      <w:r>
        <w:rPr>
          <w:noProof/>
        </w:rPr>
        <mc:AlternateContent>
          <mc:Choice Requires="wps">
            <w:drawing>
              <wp:anchor distT="0" distB="0" distL="0" distR="0" simplePos="0" relativeHeight="12952" behindDoc="0" locked="0" layoutInCell="1" allowOverlap="1" wp14:anchorId="79609F1F" wp14:editId="6E84C397">
                <wp:simplePos x="0" y="0"/>
                <wp:positionH relativeFrom="page">
                  <wp:posOffset>539750</wp:posOffset>
                </wp:positionH>
                <wp:positionV relativeFrom="paragraph">
                  <wp:posOffset>173355</wp:posOffset>
                </wp:positionV>
                <wp:extent cx="1080135" cy="0"/>
                <wp:effectExtent l="6350" t="8255" r="31115" b="29845"/>
                <wp:wrapTopAndBottom/>
                <wp:docPr id="57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B90B" id="Line_x0020_577" o:spid="_x0000_s1026" style="position:absolute;z-index:12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65pt" to="127.5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BfhC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pHFalSANL&#10;2gnF0XQ+D9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" strokecolor="#231f20" strokeweight=".5pt">
                <w10:wrap type="topAndBottom" anchorx="page"/>
              </v:line>
            </w:pict>
          </mc:Fallback>
        </mc:AlternateContent>
      </w:r>
    </w:p>
    <w:p w14:paraId="1A6C8185" w14:textId="77777777" w:rsidR="00DE575E" w:rsidRDefault="002E7560">
      <w:pPr>
        <w:spacing w:line="204" w:lineRule="auto"/>
        <w:ind w:left="250" w:right="521"/>
        <w:rPr>
          <w:sz w:val="16"/>
        </w:rPr>
      </w:pPr>
      <w:r>
        <w:rPr>
          <w:color w:val="231F20"/>
          <w:position w:val="5"/>
          <w:sz w:val="9"/>
        </w:rPr>
        <w:t xml:space="preserve">1 </w:t>
      </w:r>
      <w:r>
        <w:rPr>
          <w:color w:val="231F20"/>
          <w:sz w:val="16"/>
        </w:rPr>
        <w:t xml:space="preserve">Постанова Пленуму Верховного </w:t>
      </w:r>
      <w:r>
        <w:rPr>
          <w:color w:val="231F20"/>
          <w:spacing w:val="-4"/>
          <w:sz w:val="16"/>
        </w:rPr>
        <w:t xml:space="preserve">Суду </w:t>
      </w:r>
      <w:r>
        <w:rPr>
          <w:color w:val="231F20"/>
          <w:sz w:val="16"/>
        </w:rPr>
        <w:t xml:space="preserve">України від 31.03.1995 р. № 4 «Про </w:t>
      </w:r>
      <w:r>
        <w:rPr>
          <w:color w:val="231F20"/>
          <w:spacing w:val="-3"/>
          <w:sz w:val="16"/>
        </w:rPr>
        <w:t xml:space="preserve">судову </w:t>
      </w:r>
      <w:r>
        <w:rPr>
          <w:color w:val="231F20"/>
          <w:sz w:val="16"/>
        </w:rPr>
        <w:t>практику в справах про відшкодування моральної (немайнової)</w:t>
      </w:r>
      <w:r>
        <w:rPr>
          <w:color w:val="231F20"/>
          <w:spacing w:val="-11"/>
          <w:sz w:val="16"/>
        </w:rPr>
        <w:t xml:space="preserve"> </w:t>
      </w:r>
      <w:r>
        <w:rPr>
          <w:color w:val="231F20"/>
          <w:sz w:val="16"/>
        </w:rPr>
        <w:t>шкоди».</w:t>
      </w:r>
    </w:p>
    <w:p w14:paraId="4FB185FC" w14:textId="77777777" w:rsidR="00DE575E" w:rsidRDefault="00DE575E">
      <w:pPr>
        <w:pStyle w:val="BodyText"/>
        <w:spacing w:before="1"/>
        <w:rPr>
          <w:sz w:val="12"/>
        </w:rPr>
      </w:pPr>
    </w:p>
    <w:p w14:paraId="686DF700" w14:textId="77777777" w:rsidR="00DE575E" w:rsidRDefault="002E7560">
      <w:pPr>
        <w:spacing w:before="92"/>
        <w:ind w:right="411"/>
        <w:jc w:val="right"/>
        <w:rPr>
          <w:rFonts w:ascii="Times New Roman"/>
          <w:sz w:val="20"/>
        </w:rPr>
      </w:pPr>
      <w:r>
        <w:rPr>
          <w:rFonts w:ascii="Times New Roman"/>
          <w:color w:val="231F20"/>
          <w:w w:val="90"/>
          <w:sz w:val="20"/>
        </w:rPr>
        <w:t>333</w:t>
      </w:r>
    </w:p>
    <w:p w14:paraId="5DA9AEC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1A2610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D7142DA" w14:textId="4C0E31B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AC55DAE" wp14:editId="5D48C72F">
                <wp:extent cx="4140200" cy="6350"/>
                <wp:effectExtent l="0" t="0" r="12700" b="6350"/>
                <wp:docPr id="576"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77" name="Line 57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269E4B" id="Group_x0020_57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WoaOWgAIAAJgFAAAO&#10;AAAAAAAAAAAAAAAAACwCAABkcnMvZTJvRG9jLnhtbFBLAQItABQABgAIAAAAIQBMp7CQ2QAAAAMB&#10;AAAPAAAAAAAAAAAAAAAAANgEAABkcnMvZG93bnJldi54bWxQSwUGAAAAAAQABADzAAAA3gUAAAAA&#10;">
                <v:line id="Line_x0020_57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ZcYAAADcAAAADwAAAGRycy9kb3ducmV2LnhtbESP3WrCQBSE7wu+w3IEb0rdtNJaoqtI&#10;oSBe+Jc+wDF7TIK7Z2N2NdGndwuFXg4z8w0znXfWiCs1vnKs4HWYgCDOna64UPCTfb98gvABWaNx&#10;TApu5GE+6z1NMdWu5R1d96EQEcI+RQVlCHUqpc9LsuiHriaO3tE1FkOUTSF1g22EWyPfkuRDWqw4&#10;LpRY01dJ+Wl/sQqy83Mw283KtNnmMJKH83p0v6yVGvS7xQREoC78h//aS63gfTy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kDmXGAAAA3AAAAA8AAAAAAAAA&#10;AAAAAAAAoQIAAGRycy9kb3ducmV2LnhtbFBLBQYAAAAABAAEAPkAAACUAwAAAAA=&#10;" strokecolor="#231f20" strokeweight=".5pt"/>
                <w10:anchorlock/>
              </v:group>
            </w:pict>
          </mc:Fallback>
        </mc:AlternateContent>
      </w:r>
    </w:p>
    <w:p w14:paraId="5D1E81F5" w14:textId="77777777" w:rsidR="00DE575E" w:rsidRDefault="00DE575E">
      <w:pPr>
        <w:pStyle w:val="BodyText"/>
        <w:spacing w:before="7"/>
        <w:rPr>
          <w:rFonts w:ascii="AdonisC"/>
          <w:i/>
          <w:sz w:val="11"/>
        </w:rPr>
      </w:pPr>
    </w:p>
    <w:p w14:paraId="766C68E5" w14:textId="77777777" w:rsidR="00DE575E" w:rsidRDefault="002E7560">
      <w:pPr>
        <w:pStyle w:val="BodyText"/>
        <w:spacing w:before="101" w:line="252" w:lineRule="auto"/>
        <w:ind w:left="533" w:right="128" w:firstLine="283"/>
        <w:jc w:val="both"/>
      </w:pPr>
      <w:r>
        <w:rPr>
          <w:color w:val="231F20"/>
        </w:rPr>
        <w:t>– приниженні честі та гідності фізичної особи, а також ділової репутації фізичної особи.</w:t>
      </w:r>
    </w:p>
    <w:p w14:paraId="380111AD" w14:textId="77777777" w:rsidR="00DE575E" w:rsidRDefault="002E7560">
      <w:pPr>
        <w:pStyle w:val="BodyText"/>
        <w:spacing w:before="1" w:line="252" w:lineRule="auto"/>
        <w:ind w:left="533" w:right="126" w:firstLine="283"/>
        <w:jc w:val="both"/>
      </w:pPr>
      <w:r>
        <w:rPr>
          <w:i/>
          <w:color w:val="231F20"/>
        </w:rPr>
        <w:t>Розмір</w:t>
      </w:r>
      <w:r>
        <w:rPr>
          <w:i/>
          <w:color w:val="231F20"/>
          <w:spacing w:val="-17"/>
        </w:rPr>
        <w:t xml:space="preserve"> </w:t>
      </w:r>
      <w:r>
        <w:rPr>
          <w:i/>
          <w:color w:val="231F20"/>
        </w:rPr>
        <w:t>грошової</w:t>
      </w:r>
      <w:r>
        <w:rPr>
          <w:i/>
          <w:color w:val="231F20"/>
          <w:spacing w:val="-17"/>
        </w:rPr>
        <w:t xml:space="preserve"> </w:t>
      </w:r>
      <w:r>
        <w:rPr>
          <w:i/>
          <w:color w:val="231F20"/>
        </w:rPr>
        <w:t>компенсації</w:t>
      </w:r>
      <w:r>
        <w:rPr>
          <w:i/>
          <w:color w:val="231F20"/>
          <w:spacing w:val="-17"/>
        </w:rPr>
        <w:t xml:space="preserve"> </w:t>
      </w:r>
      <w:r>
        <w:rPr>
          <w:color w:val="231F20"/>
        </w:rPr>
        <w:t>моральної</w:t>
      </w:r>
      <w:r>
        <w:rPr>
          <w:color w:val="231F20"/>
          <w:spacing w:val="-17"/>
        </w:rPr>
        <w:t xml:space="preserve"> </w:t>
      </w:r>
      <w:r>
        <w:rPr>
          <w:color w:val="231F20"/>
        </w:rPr>
        <w:t>шкоди</w:t>
      </w:r>
      <w:r>
        <w:rPr>
          <w:color w:val="231F20"/>
          <w:spacing w:val="-17"/>
        </w:rPr>
        <w:t xml:space="preserve"> </w:t>
      </w:r>
      <w:r>
        <w:rPr>
          <w:color w:val="231F20"/>
        </w:rPr>
        <w:t>визначається</w:t>
      </w:r>
      <w:r>
        <w:rPr>
          <w:color w:val="231F20"/>
          <w:spacing w:val="-17"/>
        </w:rPr>
        <w:t xml:space="preserve"> </w:t>
      </w:r>
      <w:r>
        <w:rPr>
          <w:color w:val="231F20"/>
          <w:spacing w:val="-3"/>
        </w:rPr>
        <w:t xml:space="preserve">судом </w:t>
      </w:r>
      <w:r>
        <w:rPr>
          <w:color w:val="231F20"/>
        </w:rPr>
        <w:t>залежно від характеру правопорушення, ступеня фізичних і душев- них</w:t>
      </w:r>
      <w:r>
        <w:rPr>
          <w:color w:val="231F20"/>
        </w:rPr>
        <w:t xml:space="preserve"> страждань, погіршення здібностей потерпілого або позбав- лення</w:t>
      </w:r>
      <w:r>
        <w:rPr>
          <w:color w:val="231F20"/>
          <w:spacing w:val="-14"/>
        </w:rPr>
        <w:t xml:space="preserve"> </w:t>
      </w:r>
      <w:r>
        <w:rPr>
          <w:color w:val="231F20"/>
        </w:rPr>
        <w:t>його</w:t>
      </w:r>
      <w:r>
        <w:rPr>
          <w:color w:val="231F20"/>
          <w:spacing w:val="-14"/>
        </w:rPr>
        <w:t xml:space="preserve"> </w:t>
      </w:r>
      <w:r>
        <w:rPr>
          <w:color w:val="231F20"/>
        </w:rPr>
        <w:t>можливості</w:t>
      </w:r>
      <w:r>
        <w:rPr>
          <w:color w:val="231F20"/>
          <w:spacing w:val="-14"/>
        </w:rPr>
        <w:t xml:space="preserve"> </w:t>
      </w:r>
      <w:r>
        <w:rPr>
          <w:color w:val="231F20"/>
        </w:rPr>
        <w:t>їх</w:t>
      </w:r>
      <w:r>
        <w:rPr>
          <w:color w:val="231F20"/>
          <w:spacing w:val="-14"/>
        </w:rPr>
        <w:t xml:space="preserve"> </w:t>
      </w:r>
      <w:r>
        <w:rPr>
          <w:color w:val="231F20"/>
        </w:rPr>
        <w:t>реалізації,</w:t>
      </w:r>
      <w:r>
        <w:rPr>
          <w:color w:val="231F20"/>
          <w:spacing w:val="-14"/>
        </w:rPr>
        <w:t xml:space="preserve"> </w:t>
      </w:r>
      <w:r>
        <w:rPr>
          <w:color w:val="231F20"/>
        </w:rPr>
        <w:t>ступеня</w:t>
      </w:r>
      <w:r>
        <w:rPr>
          <w:color w:val="231F20"/>
          <w:spacing w:val="-14"/>
        </w:rPr>
        <w:t xml:space="preserve"> </w:t>
      </w:r>
      <w:r>
        <w:rPr>
          <w:color w:val="231F20"/>
        </w:rPr>
        <w:t>вини</w:t>
      </w:r>
      <w:r>
        <w:rPr>
          <w:color w:val="231F20"/>
          <w:spacing w:val="-14"/>
        </w:rPr>
        <w:t xml:space="preserve"> </w:t>
      </w:r>
      <w:r>
        <w:rPr>
          <w:color w:val="231F20"/>
        </w:rPr>
        <w:t>особи,</w:t>
      </w:r>
      <w:r>
        <w:rPr>
          <w:color w:val="231F20"/>
          <w:spacing w:val="-14"/>
        </w:rPr>
        <w:t xml:space="preserve"> </w:t>
      </w:r>
      <w:r>
        <w:rPr>
          <w:color w:val="231F20"/>
        </w:rPr>
        <w:t>яка</w:t>
      </w:r>
      <w:r>
        <w:rPr>
          <w:color w:val="231F20"/>
          <w:spacing w:val="-14"/>
        </w:rPr>
        <w:t xml:space="preserve"> </w:t>
      </w:r>
      <w:r>
        <w:rPr>
          <w:color w:val="231F20"/>
        </w:rPr>
        <w:t>завдала моральної шкоди, якщо вина є підставою для відшкодування. Одно- часно розмір грошової компенсації визначається з урахуванням інши</w:t>
      </w:r>
      <w:r>
        <w:rPr>
          <w:color w:val="231F20"/>
        </w:rPr>
        <w:t>х</w:t>
      </w:r>
      <w:r>
        <w:rPr>
          <w:color w:val="231F20"/>
          <w:spacing w:val="-15"/>
        </w:rPr>
        <w:t xml:space="preserve"> </w:t>
      </w:r>
      <w:r>
        <w:rPr>
          <w:color w:val="231F20"/>
        </w:rPr>
        <w:t>обставин,</w:t>
      </w:r>
      <w:r>
        <w:rPr>
          <w:color w:val="231F20"/>
          <w:spacing w:val="-15"/>
        </w:rPr>
        <w:t xml:space="preserve"> </w:t>
      </w:r>
      <w:r>
        <w:rPr>
          <w:color w:val="231F20"/>
        </w:rPr>
        <w:t>які</w:t>
      </w:r>
      <w:r>
        <w:rPr>
          <w:color w:val="231F20"/>
          <w:spacing w:val="-15"/>
        </w:rPr>
        <w:t xml:space="preserve"> </w:t>
      </w:r>
      <w:r>
        <w:rPr>
          <w:color w:val="231F20"/>
        </w:rPr>
        <w:t>мають</w:t>
      </w:r>
      <w:r>
        <w:rPr>
          <w:color w:val="231F20"/>
          <w:spacing w:val="-15"/>
        </w:rPr>
        <w:t xml:space="preserve"> </w:t>
      </w:r>
      <w:r>
        <w:rPr>
          <w:color w:val="231F20"/>
        </w:rPr>
        <w:t>істотне</w:t>
      </w:r>
      <w:r>
        <w:rPr>
          <w:color w:val="231F20"/>
          <w:spacing w:val="-15"/>
        </w:rPr>
        <w:t xml:space="preserve"> </w:t>
      </w:r>
      <w:r>
        <w:rPr>
          <w:color w:val="231F20"/>
        </w:rPr>
        <w:t>значення.</w:t>
      </w:r>
      <w:r>
        <w:rPr>
          <w:color w:val="231F20"/>
          <w:spacing w:val="-15"/>
        </w:rPr>
        <w:t xml:space="preserve"> </w:t>
      </w:r>
      <w:r>
        <w:rPr>
          <w:color w:val="231F20"/>
        </w:rPr>
        <w:t>При</w:t>
      </w:r>
      <w:r>
        <w:rPr>
          <w:color w:val="231F20"/>
          <w:spacing w:val="-15"/>
        </w:rPr>
        <w:t xml:space="preserve"> </w:t>
      </w:r>
      <w:r>
        <w:rPr>
          <w:color w:val="231F20"/>
        </w:rPr>
        <w:t>визначенні</w:t>
      </w:r>
      <w:r>
        <w:rPr>
          <w:color w:val="231F20"/>
          <w:spacing w:val="-15"/>
        </w:rPr>
        <w:t xml:space="preserve"> </w:t>
      </w:r>
      <w:r>
        <w:rPr>
          <w:color w:val="231F20"/>
        </w:rPr>
        <w:t>розміру компенсації враховуються вимоги розумності та</w:t>
      </w:r>
      <w:r>
        <w:rPr>
          <w:color w:val="231F20"/>
          <w:spacing w:val="-14"/>
        </w:rPr>
        <w:t xml:space="preserve"> </w:t>
      </w:r>
      <w:r>
        <w:rPr>
          <w:color w:val="231F20"/>
        </w:rPr>
        <w:t>справедливості.</w:t>
      </w:r>
    </w:p>
    <w:p w14:paraId="1C0FF6B0" w14:textId="77777777" w:rsidR="00DE575E" w:rsidRDefault="002E7560">
      <w:pPr>
        <w:pStyle w:val="BodyText"/>
        <w:spacing w:before="4" w:line="252" w:lineRule="auto"/>
        <w:ind w:left="533" w:right="128" w:firstLine="283"/>
        <w:jc w:val="both"/>
      </w:pPr>
      <w:r>
        <w:rPr>
          <w:color w:val="231F20"/>
        </w:rPr>
        <w:t>Моральна шкода компенсується незалежно від майнової шкоди, яка підлягає відшкодуванню та не пов’язана з розміром цього відшкодуванн</w:t>
      </w:r>
      <w:r>
        <w:rPr>
          <w:color w:val="231F20"/>
        </w:rPr>
        <w:t>я.</w:t>
      </w:r>
    </w:p>
    <w:p w14:paraId="2B777370" w14:textId="77777777" w:rsidR="00DE575E" w:rsidRDefault="002E7560">
      <w:pPr>
        <w:spacing w:before="1" w:line="252" w:lineRule="auto"/>
        <w:ind w:left="533" w:right="128" w:firstLine="283"/>
        <w:jc w:val="both"/>
        <w:rPr>
          <w:sz w:val="21"/>
        </w:rPr>
      </w:pPr>
      <w:r>
        <w:rPr>
          <w:b/>
          <w:i/>
          <w:color w:val="231F20"/>
          <w:sz w:val="21"/>
        </w:rPr>
        <w:t xml:space="preserve">Заподіяння  фізичної   шкоди   </w:t>
      </w:r>
      <w:r>
        <w:rPr>
          <w:color w:val="231F20"/>
          <w:sz w:val="21"/>
        </w:rPr>
        <w:t>тісно   пов’язане   з   настанням   в подальшому моральних страждань, а отже, і моральної</w:t>
      </w:r>
      <w:r>
        <w:rPr>
          <w:color w:val="231F20"/>
          <w:spacing w:val="-26"/>
          <w:sz w:val="21"/>
        </w:rPr>
        <w:t xml:space="preserve"> </w:t>
      </w:r>
      <w:r>
        <w:rPr>
          <w:color w:val="231F20"/>
          <w:sz w:val="21"/>
        </w:rPr>
        <w:t>шкоди.</w:t>
      </w:r>
    </w:p>
    <w:p w14:paraId="20945DB1" w14:textId="77777777" w:rsidR="00DE575E" w:rsidRDefault="002E7560">
      <w:pPr>
        <w:spacing w:before="1"/>
        <w:ind w:left="817"/>
        <w:rPr>
          <w:i/>
          <w:sz w:val="21"/>
        </w:rPr>
      </w:pPr>
      <w:r>
        <w:rPr>
          <w:i/>
          <w:color w:val="231F20"/>
          <w:sz w:val="21"/>
        </w:rPr>
        <w:t>До складових фізичної шкоди належать:</w:t>
      </w:r>
    </w:p>
    <w:p w14:paraId="76DB0625" w14:textId="77777777" w:rsidR="00DE575E" w:rsidRDefault="002E7560">
      <w:pPr>
        <w:pStyle w:val="ListParagraph"/>
        <w:numPr>
          <w:ilvl w:val="1"/>
          <w:numId w:val="127"/>
        </w:numPr>
        <w:tabs>
          <w:tab w:val="left" w:pos="1101"/>
        </w:tabs>
        <w:spacing w:before="13"/>
        <w:ind w:hanging="283"/>
        <w:jc w:val="left"/>
        <w:rPr>
          <w:sz w:val="21"/>
        </w:rPr>
      </w:pPr>
      <w:r>
        <w:rPr>
          <w:color w:val="231F20"/>
          <w:sz w:val="21"/>
        </w:rPr>
        <w:t>тілесні</w:t>
      </w:r>
      <w:r>
        <w:rPr>
          <w:color w:val="231F20"/>
          <w:spacing w:val="-2"/>
          <w:sz w:val="21"/>
        </w:rPr>
        <w:t xml:space="preserve"> </w:t>
      </w:r>
      <w:r>
        <w:rPr>
          <w:color w:val="231F20"/>
          <w:sz w:val="21"/>
        </w:rPr>
        <w:t>ушкодження;</w:t>
      </w:r>
    </w:p>
    <w:p w14:paraId="4B87B825" w14:textId="77777777" w:rsidR="00DE575E" w:rsidRDefault="002E7560">
      <w:pPr>
        <w:pStyle w:val="ListParagraph"/>
        <w:numPr>
          <w:ilvl w:val="1"/>
          <w:numId w:val="127"/>
        </w:numPr>
        <w:tabs>
          <w:tab w:val="left" w:pos="1101"/>
        </w:tabs>
        <w:spacing w:before="13"/>
        <w:ind w:hanging="283"/>
        <w:jc w:val="left"/>
        <w:rPr>
          <w:sz w:val="21"/>
        </w:rPr>
      </w:pPr>
      <w:r>
        <w:rPr>
          <w:color w:val="231F20"/>
          <w:sz w:val="21"/>
        </w:rPr>
        <w:t>розлад</w:t>
      </w:r>
      <w:r>
        <w:rPr>
          <w:color w:val="231F20"/>
          <w:spacing w:val="-2"/>
          <w:sz w:val="21"/>
        </w:rPr>
        <w:t xml:space="preserve"> </w:t>
      </w:r>
      <w:r>
        <w:rPr>
          <w:color w:val="231F20"/>
          <w:sz w:val="21"/>
        </w:rPr>
        <w:t>здоров’я;</w:t>
      </w:r>
    </w:p>
    <w:p w14:paraId="30B04347" w14:textId="77777777" w:rsidR="00DE575E" w:rsidRDefault="002E7560">
      <w:pPr>
        <w:pStyle w:val="ListParagraph"/>
        <w:numPr>
          <w:ilvl w:val="1"/>
          <w:numId w:val="127"/>
        </w:numPr>
        <w:tabs>
          <w:tab w:val="left" w:pos="1101"/>
        </w:tabs>
        <w:spacing w:before="12"/>
        <w:ind w:hanging="283"/>
        <w:jc w:val="left"/>
        <w:rPr>
          <w:sz w:val="21"/>
        </w:rPr>
      </w:pPr>
      <w:r>
        <w:rPr>
          <w:color w:val="231F20"/>
          <w:sz w:val="21"/>
        </w:rPr>
        <w:t>фізичні</w:t>
      </w:r>
      <w:r>
        <w:rPr>
          <w:color w:val="231F20"/>
          <w:spacing w:val="-2"/>
          <w:sz w:val="21"/>
        </w:rPr>
        <w:t xml:space="preserve"> </w:t>
      </w:r>
      <w:r>
        <w:rPr>
          <w:color w:val="231F20"/>
          <w:sz w:val="21"/>
        </w:rPr>
        <w:t>страждання.</w:t>
      </w:r>
    </w:p>
    <w:p w14:paraId="7511BA7B" w14:textId="77777777" w:rsidR="00DE575E" w:rsidRDefault="002E7560">
      <w:pPr>
        <w:pStyle w:val="BodyText"/>
        <w:spacing w:before="13" w:line="252" w:lineRule="auto"/>
        <w:ind w:left="533" w:right="128" w:firstLine="283"/>
        <w:jc w:val="both"/>
      </w:pPr>
      <w:r>
        <w:rPr>
          <w:i/>
          <w:color w:val="231F20"/>
        </w:rPr>
        <w:t xml:space="preserve">Під фізичними стражданнями </w:t>
      </w:r>
      <w:r>
        <w:rPr>
          <w:color w:val="231F20"/>
        </w:rPr>
        <w:t>варто розуміти фізичний біль, якого зазнала особа у зв’язку з учиненим проти неї насильства або із заподіянням шкоди здоров’ю. Адже і моральна шкода, і фізична визначаються</w:t>
      </w:r>
      <w:r>
        <w:rPr>
          <w:color w:val="231F20"/>
          <w:spacing w:val="-16"/>
        </w:rPr>
        <w:t xml:space="preserve"> </w:t>
      </w:r>
      <w:r>
        <w:rPr>
          <w:color w:val="231F20"/>
        </w:rPr>
        <w:t>як</w:t>
      </w:r>
      <w:r>
        <w:rPr>
          <w:color w:val="231F20"/>
          <w:spacing w:val="-16"/>
        </w:rPr>
        <w:t xml:space="preserve"> </w:t>
      </w:r>
      <w:r>
        <w:rPr>
          <w:color w:val="231F20"/>
        </w:rPr>
        <w:t>фізичні</w:t>
      </w:r>
      <w:r>
        <w:rPr>
          <w:color w:val="231F20"/>
          <w:spacing w:val="-16"/>
        </w:rPr>
        <w:t xml:space="preserve"> </w:t>
      </w:r>
      <w:r>
        <w:rPr>
          <w:color w:val="231F20"/>
        </w:rPr>
        <w:t>чи</w:t>
      </w:r>
      <w:r>
        <w:rPr>
          <w:color w:val="231F20"/>
          <w:spacing w:val="-16"/>
        </w:rPr>
        <w:t xml:space="preserve"> </w:t>
      </w:r>
      <w:r>
        <w:rPr>
          <w:color w:val="231F20"/>
        </w:rPr>
        <w:t>моральні</w:t>
      </w:r>
      <w:r>
        <w:rPr>
          <w:color w:val="231F20"/>
          <w:spacing w:val="-16"/>
        </w:rPr>
        <w:t xml:space="preserve"> </w:t>
      </w:r>
      <w:r>
        <w:rPr>
          <w:color w:val="231F20"/>
        </w:rPr>
        <w:t>страждання,</w:t>
      </w:r>
      <w:r>
        <w:rPr>
          <w:color w:val="231F20"/>
          <w:spacing w:val="-16"/>
        </w:rPr>
        <w:t xml:space="preserve"> </w:t>
      </w:r>
      <w:r>
        <w:rPr>
          <w:color w:val="231F20"/>
        </w:rPr>
        <w:t>тож</w:t>
      </w:r>
      <w:r>
        <w:rPr>
          <w:color w:val="231F20"/>
          <w:spacing w:val="-16"/>
        </w:rPr>
        <w:t xml:space="preserve"> </w:t>
      </w:r>
      <w:r>
        <w:rPr>
          <w:color w:val="231F20"/>
        </w:rPr>
        <w:t>слово</w:t>
      </w:r>
      <w:r>
        <w:rPr>
          <w:color w:val="231F20"/>
          <w:spacing w:val="-16"/>
        </w:rPr>
        <w:t xml:space="preserve"> </w:t>
      </w:r>
      <w:r>
        <w:rPr>
          <w:color w:val="231F20"/>
        </w:rPr>
        <w:t>«страж- дання» вживається як</w:t>
      </w:r>
      <w:r>
        <w:rPr>
          <w:color w:val="231F20"/>
          <w:spacing w:val="-3"/>
        </w:rPr>
        <w:t xml:space="preserve"> </w:t>
      </w:r>
      <w:r>
        <w:rPr>
          <w:color w:val="231F20"/>
        </w:rPr>
        <w:t>ключове.</w:t>
      </w:r>
    </w:p>
    <w:p w14:paraId="442BE9A9" w14:textId="77777777" w:rsidR="00DE575E" w:rsidRDefault="002E7560">
      <w:pPr>
        <w:pStyle w:val="BodyText"/>
        <w:spacing w:before="3" w:line="252" w:lineRule="auto"/>
        <w:ind w:left="533" w:right="124" w:firstLine="283"/>
        <w:jc w:val="both"/>
      </w:pPr>
      <w:r>
        <w:rPr>
          <w:color w:val="231F20"/>
        </w:rPr>
        <w:t>Іншими словами, термін «страждання» означає, що неправо- мірні дії заподіювача шкоди обов’язково бути відбиті у свідомості потерпілого в формі відчуття (фізичні страждання) й уявлення (моральні страждання) та викликати певну психічну реакцію. Найбільш близ</w:t>
      </w:r>
      <w:r>
        <w:rPr>
          <w:color w:val="231F20"/>
        </w:rPr>
        <w:t>ьким до поняття «моральні страждання» вважа- ється поняття «переживання». Змістом переживання може бути страх, сором, приниження та інший несприятливий у психічному аспекті стан приватної особи.</w:t>
      </w:r>
    </w:p>
    <w:p w14:paraId="63AFBE4D" w14:textId="77777777" w:rsidR="00DE575E" w:rsidRDefault="002E7560">
      <w:pPr>
        <w:pStyle w:val="BodyText"/>
        <w:spacing w:before="4" w:line="252" w:lineRule="auto"/>
        <w:ind w:left="533" w:right="124" w:firstLine="283"/>
        <w:jc w:val="both"/>
      </w:pPr>
      <w:r>
        <w:rPr>
          <w:b/>
          <w:i/>
          <w:color w:val="231F20"/>
        </w:rPr>
        <w:t xml:space="preserve">Моральна шкода </w:t>
      </w:r>
      <w:r>
        <w:rPr>
          <w:color w:val="231F20"/>
        </w:rPr>
        <w:t xml:space="preserve">щодо осіб є категорією оціночною – і у своєму </w:t>
      </w:r>
      <w:r>
        <w:rPr>
          <w:color w:val="231F20"/>
        </w:rPr>
        <w:t xml:space="preserve">виникненні,  коли  постає   питання   про   наявність   підстав   </w:t>
      </w:r>
      <w:r>
        <w:rPr>
          <w:color w:val="231F20"/>
          <w:spacing w:val="1"/>
        </w:rPr>
        <w:t xml:space="preserve">для   </w:t>
      </w:r>
      <w:r>
        <w:rPr>
          <w:color w:val="231F20"/>
        </w:rPr>
        <w:t>її матеріальної компенсації, і у вимірі, коли визначається розмір її компенсації.</w:t>
      </w:r>
    </w:p>
    <w:p w14:paraId="68247BDE" w14:textId="77777777" w:rsidR="00DE575E" w:rsidRDefault="002E7560">
      <w:pPr>
        <w:spacing w:before="2" w:line="252" w:lineRule="auto"/>
        <w:ind w:left="533" w:right="128" w:firstLine="283"/>
        <w:jc w:val="both"/>
        <w:rPr>
          <w:sz w:val="21"/>
        </w:rPr>
      </w:pPr>
      <w:r>
        <w:rPr>
          <w:i/>
          <w:color w:val="231F20"/>
          <w:sz w:val="21"/>
        </w:rPr>
        <w:t xml:space="preserve">Критерії компенсації фізичних і моральних страждань </w:t>
      </w:r>
      <w:r>
        <w:rPr>
          <w:color w:val="231F20"/>
          <w:sz w:val="21"/>
        </w:rPr>
        <w:t>є різними, оскільки фізичні страждання викликаютьс</w:t>
      </w:r>
      <w:r>
        <w:rPr>
          <w:color w:val="231F20"/>
          <w:sz w:val="21"/>
        </w:rPr>
        <w:t>я фізичною шкодою, що заподіюється в матеріальній сфері, вони підлягають об’єктивні-</w:t>
      </w:r>
    </w:p>
    <w:p w14:paraId="5AB0E311" w14:textId="77777777" w:rsidR="00DE575E" w:rsidRDefault="00DE575E">
      <w:pPr>
        <w:pStyle w:val="BodyText"/>
        <w:spacing w:before="5"/>
        <w:rPr>
          <w:sz w:val="12"/>
        </w:rPr>
      </w:pPr>
    </w:p>
    <w:p w14:paraId="4F03E0D6" w14:textId="77777777" w:rsidR="00DE575E" w:rsidRDefault="002E7560">
      <w:pPr>
        <w:spacing w:before="92"/>
        <w:ind w:left="533"/>
        <w:rPr>
          <w:rFonts w:ascii="Times New Roman"/>
          <w:sz w:val="20"/>
        </w:rPr>
      </w:pPr>
      <w:r>
        <w:rPr>
          <w:rFonts w:ascii="Times New Roman"/>
          <w:color w:val="231F20"/>
          <w:sz w:val="20"/>
        </w:rPr>
        <w:t>334</w:t>
      </w:r>
    </w:p>
    <w:p w14:paraId="62D54D87" w14:textId="77777777" w:rsidR="00DE575E" w:rsidRDefault="00DE575E">
      <w:pPr>
        <w:rPr>
          <w:rFonts w:ascii="Times New Roman"/>
          <w:sz w:val="20"/>
        </w:rPr>
        <w:sectPr w:rsidR="00DE575E">
          <w:pgSz w:w="8510" w:h="12760"/>
          <w:pgMar w:top="660" w:right="720" w:bottom="280" w:left="600" w:header="720" w:footer="720" w:gutter="0"/>
          <w:cols w:space="720"/>
        </w:sectPr>
      </w:pPr>
    </w:p>
    <w:p w14:paraId="2C0C2171"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686BA704" w14:textId="66E498E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523BCEC" wp14:editId="1C684325">
                <wp:extent cx="4140200" cy="6350"/>
                <wp:effectExtent l="0" t="0" r="12700" b="6350"/>
                <wp:docPr id="574"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75" name="Line 57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669FE" id="Group_x0020_57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7xwo1/AgAAmAUAAA4A&#10;AAAAAAAAAAAAAAAALAIAAGRycy9lMm9Eb2MueG1sUEsBAi0AFAAGAAgAAAAhAEynsJDZAAAAAwEA&#10;AA8AAAAAAAAAAAAAAAAA1wQAAGRycy9kb3ducmV2LnhtbFBLBQYAAAAABAAEAPMAAADdBQAAAAA=&#10;">
                <v:line id="Line_x0020_57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o1icYAAADcAAAADwAAAGRycy9kb3ducmV2LnhtbESP0WrCQBRE3wX/YbmCL6VuVGwluooU&#10;CqUP2pp+wDV7TYK7d2N2NWm/3hUKPg4zc4ZZrjtrxJUaXzlWMB4lIIhzpysuFPxk789zED4gazSO&#10;ScEveViv+r0lptq1/E3XfShEhLBPUUEZQp1K6fOSLPqRq4mjd3SNxRBlU0jdYBvh1shJkrxIixXH&#10;hRJreispP+0vVkF2fgrma/dp2mx3mMrDeTv9u2yVGg66zQJEoC48wv/tD61g9jqD+5l4BOTq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6NYnGAAAA3AAAAA8AAAAAAAAA&#10;AAAAAAAAoQIAAGRycy9kb3ducmV2LnhtbFBLBQYAAAAABAAEAPkAAACUAwAAAAA=&#10;" strokecolor="#231f20" strokeweight=".5pt"/>
                <w10:anchorlock/>
              </v:group>
            </w:pict>
          </mc:Fallback>
        </mc:AlternateContent>
      </w:r>
    </w:p>
    <w:p w14:paraId="04F342C9" w14:textId="77777777" w:rsidR="00DE575E" w:rsidRDefault="00DE575E">
      <w:pPr>
        <w:pStyle w:val="BodyText"/>
        <w:spacing w:before="7"/>
        <w:rPr>
          <w:rFonts w:ascii="AdonisC"/>
          <w:i/>
          <w:sz w:val="19"/>
        </w:rPr>
      </w:pPr>
    </w:p>
    <w:p w14:paraId="0355D5F1" w14:textId="77777777" w:rsidR="00DE575E" w:rsidRDefault="002E7560">
      <w:pPr>
        <w:pStyle w:val="BodyText"/>
        <w:spacing w:before="1" w:line="252" w:lineRule="auto"/>
        <w:ind w:left="250" w:right="410"/>
        <w:jc w:val="both"/>
      </w:pPr>
      <w:r>
        <w:rPr>
          <w:color w:val="231F20"/>
        </w:rPr>
        <w:t>шій оцінці, тобто за своїм змістом компенсація фізичних страждань може</w:t>
      </w:r>
      <w:r>
        <w:rPr>
          <w:color w:val="231F20"/>
          <w:spacing w:val="-8"/>
        </w:rPr>
        <w:t xml:space="preserve"> </w:t>
      </w:r>
      <w:r>
        <w:rPr>
          <w:color w:val="231F20"/>
        </w:rPr>
        <w:t>наближатися</w:t>
      </w:r>
      <w:r>
        <w:rPr>
          <w:color w:val="231F20"/>
          <w:spacing w:val="-8"/>
        </w:rPr>
        <w:t xml:space="preserve"> </w:t>
      </w:r>
      <w:r>
        <w:rPr>
          <w:color w:val="231F20"/>
        </w:rPr>
        <w:t>до</w:t>
      </w:r>
      <w:r>
        <w:rPr>
          <w:color w:val="231F20"/>
          <w:spacing w:val="-8"/>
        </w:rPr>
        <w:t xml:space="preserve"> </w:t>
      </w:r>
      <w:r>
        <w:rPr>
          <w:color w:val="231F20"/>
        </w:rPr>
        <w:t>відшкодування.</w:t>
      </w:r>
      <w:r>
        <w:rPr>
          <w:color w:val="231F20"/>
          <w:spacing w:val="-8"/>
        </w:rPr>
        <w:t xml:space="preserve"> </w:t>
      </w:r>
      <w:r>
        <w:rPr>
          <w:color w:val="231F20"/>
        </w:rPr>
        <w:t>І</w:t>
      </w:r>
      <w:r>
        <w:rPr>
          <w:color w:val="231F20"/>
          <w:spacing w:val="-8"/>
        </w:rPr>
        <w:t xml:space="preserve"> </w:t>
      </w:r>
      <w:r>
        <w:rPr>
          <w:color w:val="231F20"/>
        </w:rPr>
        <w:t>зовсім</w:t>
      </w:r>
      <w:r>
        <w:rPr>
          <w:color w:val="231F20"/>
          <w:spacing w:val="-8"/>
        </w:rPr>
        <w:t xml:space="preserve"> </w:t>
      </w:r>
      <w:r>
        <w:rPr>
          <w:color w:val="231F20"/>
        </w:rPr>
        <w:t>інша</w:t>
      </w:r>
      <w:r>
        <w:rPr>
          <w:color w:val="231F20"/>
          <w:spacing w:val="-8"/>
        </w:rPr>
        <w:t xml:space="preserve"> </w:t>
      </w:r>
      <w:r>
        <w:rPr>
          <w:color w:val="231F20"/>
        </w:rPr>
        <w:t>ситуація</w:t>
      </w:r>
      <w:r>
        <w:rPr>
          <w:color w:val="231F20"/>
          <w:spacing w:val="-8"/>
        </w:rPr>
        <w:t xml:space="preserve"> </w:t>
      </w:r>
      <w:r>
        <w:rPr>
          <w:color w:val="231F20"/>
        </w:rPr>
        <w:t>склада- ється з компенсацією моральних страждань, що викликані шкодою, яка</w:t>
      </w:r>
      <w:r>
        <w:rPr>
          <w:color w:val="231F20"/>
          <w:spacing w:val="-5"/>
        </w:rPr>
        <w:t xml:space="preserve"> </w:t>
      </w:r>
      <w:r>
        <w:rPr>
          <w:color w:val="231F20"/>
        </w:rPr>
        <w:t>заподіяна</w:t>
      </w:r>
      <w:r>
        <w:rPr>
          <w:color w:val="231F20"/>
          <w:spacing w:val="-5"/>
        </w:rPr>
        <w:t xml:space="preserve"> </w:t>
      </w:r>
      <w:r>
        <w:rPr>
          <w:color w:val="231F20"/>
        </w:rPr>
        <w:t>в</w:t>
      </w:r>
      <w:r>
        <w:rPr>
          <w:color w:val="231F20"/>
          <w:spacing w:val="-5"/>
        </w:rPr>
        <w:t xml:space="preserve"> </w:t>
      </w:r>
      <w:r>
        <w:rPr>
          <w:color w:val="231F20"/>
        </w:rPr>
        <w:t>ідеальні</w:t>
      </w:r>
      <w:r>
        <w:rPr>
          <w:color w:val="231F20"/>
        </w:rPr>
        <w:t>й</w:t>
      </w:r>
      <w:r>
        <w:rPr>
          <w:color w:val="231F20"/>
          <w:spacing w:val="-5"/>
        </w:rPr>
        <w:t xml:space="preserve"> </w:t>
      </w:r>
      <w:r>
        <w:rPr>
          <w:color w:val="231F20"/>
        </w:rPr>
        <w:t>(духовній)</w:t>
      </w:r>
      <w:r>
        <w:rPr>
          <w:color w:val="231F20"/>
          <w:spacing w:val="-5"/>
        </w:rPr>
        <w:t xml:space="preserve"> </w:t>
      </w:r>
      <w:r>
        <w:rPr>
          <w:color w:val="231F20"/>
        </w:rPr>
        <w:t>сфері.</w:t>
      </w:r>
      <w:r>
        <w:rPr>
          <w:color w:val="231F20"/>
          <w:spacing w:val="-5"/>
        </w:rPr>
        <w:t xml:space="preserve"> </w:t>
      </w:r>
      <w:r>
        <w:rPr>
          <w:color w:val="231F20"/>
        </w:rPr>
        <w:t>Для</w:t>
      </w:r>
      <w:r>
        <w:rPr>
          <w:color w:val="231F20"/>
          <w:spacing w:val="-5"/>
        </w:rPr>
        <w:t xml:space="preserve"> </w:t>
      </w:r>
      <w:r>
        <w:rPr>
          <w:color w:val="231F20"/>
        </w:rPr>
        <w:t>того</w:t>
      </w:r>
      <w:r>
        <w:rPr>
          <w:color w:val="231F20"/>
          <w:spacing w:val="-5"/>
        </w:rPr>
        <w:t xml:space="preserve"> </w:t>
      </w:r>
      <w:r>
        <w:rPr>
          <w:color w:val="231F20"/>
        </w:rPr>
        <w:t>щоб</w:t>
      </w:r>
      <w:r>
        <w:rPr>
          <w:color w:val="231F20"/>
          <w:spacing w:val="-5"/>
        </w:rPr>
        <w:t xml:space="preserve"> </w:t>
      </w:r>
      <w:r>
        <w:rPr>
          <w:color w:val="231F20"/>
        </w:rPr>
        <w:t>вони</w:t>
      </w:r>
      <w:r>
        <w:rPr>
          <w:color w:val="231F20"/>
          <w:spacing w:val="-5"/>
        </w:rPr>
        <w:t xml:space="preserve"> </w:t>
      </w:r>
      <w:r>
        <w:rPr>
          <w:color w:val="231F20"/>
          <w:spacing w:val="-3"/>
        </w:rPr>
        <w:t xml:space="preserve">могли </w:t>
      </w:r>
      <w:r>
        <w:rPr>
          <w:color w:val="231F20"/>
        </w:rPr>
        <w:t>бути компенсовані, слід усебічно, повно та неупереджено вивчити обставини</w:t>
      </w:r>
      <w:r>
        <w:rPr>
          <w:color w:val="231F20"/>
          <w:spacing w:val="-16"/>
        </w:rPr>
        <w:t xml:space="preserve"> </w:t>
      </w:r>
      <w:r>
        <w:rPr>
          <w:color w:val="231F20"/>
        </w:rPr>
        <w:t>заподіяння</w:t>
      </w:r>
      <w:r>
        <w:rPr>
          <w:color w:val="231F20"/>
          <w:spacing w:val="-16"/>
        </w:rPr>
        <w:t xml:space="preserve"> </w:t>
      </w:r>
      <w:r>
        <w:rPr>
          <w:color w:val="231F20"/>
        </w:rPr>
        <w:t>шкоди,</w:t>
      </w:r>
      <w:r>
        <w:rPr>
          <w:color w:val="231F20"/>
          <w:spacing w:val="-16"/>
        </w:rPr>
        <w:t xml:space="preserve"> </w:t>
      </w:r>
      <w:r>
        <w:rPr>
          <w:color w:val="231F20"/>
        </w:rPr>
        <w:t>максимально</w:t>
      </w:r>
      <w:r>
        <w:rPr>
          <w:color w:val="231F20"/>
          <w:spacing w:val="-16"/>
        </w:rPr>
        <w:t xml:space="preserve"> </w:t>
      </w:r>
      <w:r>
        <w:rPr>
          <w:color w:val="231F20"/>
        </w:rPr>
        <w:t>індивідуалізувати</w:t>
      </w:r>
      <w:r>
        <w:rPr>
          <w:color w:val="231F20"/>
          <w:spacing w:val="-16"/>
        </w:rPr>
        <w:t xml:space="preserve"> </w:t>
      </w:r>
      <w:r>
        <w:rPr>
          <w:color w:val="231F20"/>
        </w:rPr>
        <w:t>підхід до визначення моральних</w:t>
      </w:r>
      <w:r>
        <w:rPr>
          <w:color w:val="231F20"/>
          <w:spacing w:val="-2"/>
        </w:rPr>
        <w:t xml:space="preserve"> </w:t>
      </w:r>
      <w:r>
        <w:rPr>
          <w:color w:val="231F20"/>
        </w:rPr>
        <w:t>страждань.</w:t>
      </w:r>
    </w:p>
    <w:p w14:paraId="0EFD2584" w14:textId="77777777" w:rsidR="00DE575E" w:rsidRDefault="002E7560">
      <w:pPr>
        <w:pStyle w:val="BodyText"/>
        <w:spacing w:before="3" w:line="252" w:lineRule="auto"/>
        <w:ind w:left="250" w:right="411" w:firstLine="283"/>
        <w:jc w:val="both"/>
      </w:pPr>
      <w:r>
        <w:rPr>
          <w:color w:val="231F20"/>
          <w:spacing w:val="-4"/>
        </w:rPr>
        <w:t xml:space="preserve">Таким </w:t>
      </w:r>
      <w:r>
        <w:rPr>
          <w:color w:val="231F20"/>
        </w:rPr>
        <w:t xml:space="preserve">чином, майнові елементи в законодавчому визначенні (дефініції)   моральної   шкоди   відсутні.   </w:t>
      </w:r>
      <w:r>
        <w:rPr>
          <w:color w:val="231F20"/>
          <w:spacing w:val="-4"/>
        </w:rPr>
        <w:t xml:space="preserve">Тобто   </w:t>
      </w:r>
      <w:r>
        <w:rPr>
          <w:color w:val="231F20"/>
        </w:rPr>
        <w:t>моральна   шкода  є</w:t>
      </w:r>
      <w:r>
        <w:rPr>
          <w:color w:val="231F20"/>
          <w:spacing w:val="-1"/>
        </w:rPr>
        <w:t xml:space="preserve"> </w:t>
      </w:r>
      <w:r>
        <w:rPr>
          <w:color w:val="231F20"/>
        </w:rPr>
        <w:t>немайновою.</w:t>
      </w:r>
    </w:p>
    <w:p w14:paraId="2094FDD1" w14:textId="77777777" w:rsidR="00DE575E" w:rsidRDefault="002E7560">
      <w:pPr>
        <w:pStyle w:val="BodyText"/>
        <w:spacing w:before="2" w:line="252" w:lineRule="auto"/>
        <w:ind w:left="250" w:right="410" w:firstLine="283"/>
        <w:jc w:val="both"/>
      </w:pPr>
      <w:r>
        <w:rPr>
          <w:color w:val="231F20"/>
        </w:rPr>
        <w:t>За приписами частини другої статті 21 Кодексу адміністратив- ного судочинства України вимоги про відшкодування шкоди, з</w:t>
      </w:r>
      <w:r>
        <w:rPr>
          <w:color w:val="231F20"/>
        </w:rPr>
        <w:t xml:space="preserve">апо- діяної протиправними рішеннями, діями чи бездіяльністю суб’єкта владних повноважень або іншим порушенням прав, свобод та інте- ресів суб’єктів публічно-правових відносин, розглядаються адмі- ністративним судом, якщо вони заявлені в одному провадженні </w:t>
      </w:r>
      <w:r>
        <w:rPr>
          <w:color w:val="231F20"/>
        </w:rPr>
        <w:t>з вимогою вирішити публічну правову суперечку. Інакше вимоги про відшкодування шкоди вирішуються судами в порядку цивільного або господарського судочинства.</w:t>
      </w:r>
    </w:p>
    <w:p w14:paraId="0ED9EBA2" w14:textId="77777777" w:rsidR="00DE575E" w:rsidRDefault="002E7560">
      <w:pPr>
        <w:pStyle w:val="BodyText"/>
        <w:spacing w:before="4" w:line="252" w:lineRule="auto"/>
        <w:ind w:left="250" w:right="411" w:firstLine="283"/>
        <w:jc w:val="both"/>
      </w:pPr>
      <w:r>
        <w:rPr>
          <w:color w:val="231F20"/>
        </w:rPr>
        <w:t xml:space="preserve">Зі змісту цієї норми випливає, що в такому порядку </w:t>
      </w:r>
      <w:r>
        <w:rPr>
          <w:color w:val="231F20"/>
          <w:spacing w:val="-2"/>
        </w:rPr>
        <w:t xml:space="preserve">розгляда- </w:t>
      </w:r>
      <w:r>
        <w:rPr>
          <w:color w:val="231F20"/>
        </w:rPr>
        <w:t xml:space="preserve">ються адміністративним </w:t>
      </w:r>
      <w:r>
        <w:rPr>
          <w:color w:val="231F20"/>
          <w:spacing w:val="-3"/>
        </w:rPr>
        <w:t xml:space="preserve">судом </w:t>
      </w:r>
      <w:r>
        <w:rPr>
          <w:color w:val="231F20"/>
        </w:rPr>
        <w:t>вимоги пр</w:t>
      </w:r>
      <w:r>
        <w:rPr>
          <w:color w:val="231F20"/>
        </w:rPr>
        <w:t xml:space="preserve">о відшкодування як мате- ріальної, так і моральної шкоди. Основною умовою такого </w:t>
      </w:r>
      <w:r>
        <w:rPr>
          <w:color w:val="231F20"/>
          <w:spacing w:val="-3"/>
        </w:rPr>
        <w:t xml:space="preserve">розгляду </w:t>
      </w:r>
      <w:r>
        <w:rPr>
          <w:color w:val="231F20"/>
        </w:rPr>
        <w:t>є</w:t>
      </w:r>
      <w:r>
        <w:rPr>
          <w:color w:val="231F20"/>
          <w:spacing w:val="-22"/>
        </w:rPr>
        <w:t xml:space="preserve"> </w:t>
      </w:r>
      <w:r>
        <w:rPr>
          <w:color w:val="231F20"/>
        </w:rPr>
        <w:t>те,</w:t>
      </w:r>
      <w:r>
        <w:rPr>
          <w:color w:val="231F20"/>
          <w:spacing w:val="-22"/>
        </w:rPr>
        <w:t xml:space="preserve"> </w:t>
      </w:r>
      <w:r>
        <w:rPr>
          <w:color w:val="231F20"/>
        </w:rPr>
        <w:t>щоб</w:t>
      </w:r>
      <w:r>
        <w:rPr>
          <w:color w:val="231F20"/>
          <w:spacing w:val="-22"/>
        </w:rPr>
        <w:t xml:space="preserve"> </w:t>
      </w:r>
      <w:r>
        <w:rPr>
          <w:color w:val="231F20"/>
        </w:rPr>
        <w:t>така</w:t>
      </w:r>
      <w:r>
        <w:rPr>
          <w:color w:val="231F20"/>
          <w:spacing w:val="-22"/>
        </w:rPr>
        <w:t xml:space="preserve"> </w:t>
      </w:r>
      <w:r>
        <w:rPr>
          <w:color w:val="231F20"/>
        </w:rPr>
        <w:t>вимога</w:t>
      </w:r>
      <w:r>
        <w:rPr>
          <w:color w:val="231F20"/>
          <w:spacing w:val="-22"/>
        </w:rPr>
        <w:t xml:space="preserve"> </w:t>
      </w:r>
      <w:r>
        <w:rPr>
          <w:color w:val="231F20"/>
          <w:spacing w:val="-3"/>
        </w:rPr>
        <w:t>була</w:t>
      </w:r>
      <w:r>
        <w:rPr>
          <w:color w:val="231F20"/>
          <w:spacing w:val="-22"/>
        </w:rPr>
        <w:t xml:space="preserve"> </w:t>
      </w:r>
      <w:r>
        <w:rPr>
          <w:color w:val="231F20"/>
        </w:rPr>
        <w:t>заподіяна</w:t>
      </w:r>
      <w:r>
        <w:rPr>
          <w:color w:val="231F20"/>
          <w:spacing w:val="-22"/>
        </w:rPr>
        <w:t xml:space="preserve"> </w:t>
      </w:r>
      <w:r>
        <w:rPr>
          <w:color w:val="231F20"/>
        </w:rPr>
        <w:t>(була</w:t>
      </w:r>
      <w:r>
        <w:rPr>
          <w:color w:val="231F20"/>
          <w:spacing w:val="-22"/>
        </w:rPr>
        <w:t xml:space="preserve"> </w:t>
      </w:r>
      <w:r>
        <w:rPr>
          <w:color w:val="231F20"/>
        </w:rPr>
        <w:t>похідною)</w:t>
      </w:r>
      <w:r>
        <w:rPr>
          <w:color w:val="231F20"/>
          <w:spacing w:val="-22"/>
        </w:rPr>
        <w:t xml:space="preserve"> </w:t>
      </w:r>
      <w:r>
        <w:rPr>
          <w:color w:val="231F20"/>
        </w:rPr>
        <w:t xml:space="preserve">протиправними рішеннями, діями чи бездіяльністю </w:t>
      </w:r>
      <w:r>
        <w:rPr>
          <w:color w:val="231F20"/>
          <w:spacing w:val="-3"/>
        </w:rPr>
        <w:t xml:space="preserve">суб’єкта </w:t>
      </w:r>
      <w:r>
        <w:rPr>
          <w:color w:val="231F20"/>
        </w:rPr>
        <w:t>владних повноважень або іншим порушенням прав, свобод та</w:t>
      </w:r>
      <w:r>
        <w:rPr>
          <w:color w:val="231F20"/>
        </w:rPr>
        <w:t xml:space="preserve"> інтересів </w:t>
      </w:r>
      <w:r>
        <w:rPr>
          <w:color w:val="231F20"/>
          <w:spacing w:val="-3"/>
        </w:rPr>
        <w:t xml:space="preserve">суб’єктів </w:t>
      </w:r>
      <w:r>
        <w:rPr>
          <w:color w:val="231F20"/>
        </w:rPr>
        <w:t>публіч- них правових відносин і якщо вони заявлені в одному провадженні з вимогою вирішити публічну правову</w:t>
      </w:r>
      <w:r>
        <w:rPr>
          <w:color w:val="231F20"/>
          <w:spacing w:val="-6"/>
        </w:rPr>
        <w:t xml:space="preserve"> </w:t>
      </w:r>
      <w:r>
        <w:rPr>
          <w:color w:val="231F20"/>
        </w:rPr>
        <w:t>суперечку.</w:t>
      </w:r>
    </w:p>
    <w:p w14:paraId="59315BE0" w14:textId="77777777" w:rsidR="00DE575E" w:rsidRDefault="002E7560">
      <w:pPr>
        <w:pStyle w:val="BodyText"/>
        <w:spacing w:before="4" w:line="252" w:lineRule="auto"/>
        <w:ind w:left="250" w:right="410" w:firstLine="283"/>
        <w:jc w:val="both"/>
      </w:pPr>
      <w:r>
        <w:rPr>
          <w:i/>
          <w:color w:val="231F20"/>
        </w:rPr>
        <w:t xml:space="preserve">Законодавча основа відшкодування шкоди </w:t>
      </w:r>
      <w:r>
        <w:rPr>
          <w:color w:val="231F20"/>
        </w:rPr>
        <w:t xml:space="preserve">суб’єктами публічного адміністрування – це Митний кодекс України, Податковий </w:t>
      </w:r>
      <w:r>
        <w:rPr>
          <w:color w:val="231F20"/>
        </w:rPr>
        <w:t>кодекс України, закони України «Про Національну поліцію України», «Про дозвільну систему у справах господарської діяльності» «Про звер- нення громадян», «Про виконавче провадження»</w:t>
      </w:r>
      <w:r>
        <w:rPr>
          <w:color w:val="231F20"/>
          <w:position w:val="7"/>
          <w:sz w:val="12"/>
        </w:rPr>
        <w:t>1</w:t>
      </w:r>
      <w:r>
        <w:rPr>
          <w:color w:val="231F20"/>
        </w:rPr>
        <w:t>.</w:t>
      </w:r>
    </w:p>
    <w:p w14:paraId="559E78CA" w14:textId="77777777" w:rsidR="00DE575E" w:rsidRDefault="002E7560">
      <w:pPr>
        <w:pStyle w:val="BodyText"/>
        <w:spacing w:before="2" w:line="252" w:lineRule="auto"/>
        <w:ind w:left="250" w:right="410" w:firstLine="283"/>
        <w:jc w:val="both"/>
      </w:pPr>
      <w:r>
        <w:rPr>
          <w:color w:val="231F20"/>
        </w:rPr>
        <w:t>У цьому питанні варто й корисно врахувати тлумачення та оцінку обставин з</w:t>
      </w:r>
      <w:r>
        <w:rPr>
          <w:color w:val="231F20"/>
        </w:rPr>
        <w:t>авдання шкоди (зокрема моральної), визначення її розміру та інші складові цього питання, які містяться в рішеннях Європейського</w:t>
      </w:r>
      <w:r>
        <w:rPr>
          <w:color w:val="231F20"/>
          <w:spacing w:val="-10"/>
        </w:rPr>
        <w:t xml:space="preserve"> </w:t>
      </w:r>
      <w:r>
        <w:rPr>
          <w:color w:val="231F20"/>
          <w:spacing w:val="-4"/>
        </w:rPr>
        <w:t>суду</w:t>
      </w:r>
      <w:r>
        <w:rPr>
          <w:color w:val="231F20"/>
          <w:spacing w:val="-10"/>
        </w:rPr>
        <w:t xml:space="preserve"> </w:t>
      </w:r>
      <w:r>
        <w:rPr>
          <w:color w:val="231F20"/>
        </w:rPr>
        <w:t>з</w:t>
      </w:r>
      <w:r>
        <w:rPr>
          <w:color w:val="231F20"/>
          <w:spacing w:val="-10"/>
        </w:rPr>
        <w:t xml:space="preserve"> </w:t>
      </w:r>
      <w:r>
        <w:rPr>
          <w:color w:val="231F20"/>
        </w:rPr>
        <w:t>прав</w:t>
      </w:r>
      <w:r>
        <w:rPr>
          <w:color w:val="231F20"/>
          <w:spacing w:val="-10"/>
        </w:rPr>
        <w:t xml:space="preserve"> </w:t>
      </w:r>
      <w:r>
        <w:rPr>
          <w:color w:val="231F20"/>
        </w:rPr>
        <w:t>людини.</w:t>
      </w:r>
      <w:r>
        <w:rPr>
          <w:color w:val="231F20"/>
          <w:spacing w:val="-10"/>
        </w:rPr>
        <w:t xml:space="preserve"> </w:t>
      </w:r>
      <w:r>
        <w:rPr>
          <w:color w:val="231F20"/>
        </w:rPr>
        <w:t>До</w:t>
      </w:r>
      <w:r>
        <w:rPr>
          <w:color w:val="231F20"/>
          <w:spacing w:val="-10"/>
        </w:rPr>
        <w:t xml:space="preserve"> </w:t>
      </w:r>
      <w:r>
        <w:rPr>
          <w:color w:val="231F20"/>
        </w:rPr>
        <w:t>того</w:t>
      </w:r>
      <w:r>
        <w:rPr>
          <w:color w:val="231F20"/>
          <w:spacing w:val="-10"/>
        </w:rPr>
        <w:t xml:space="preserve"> </w:t>
      </w:r>
      <w:r>
        <w:rPr>
          <w:color w:val="231F20"/>
        </w:rPr>
        <w:t>ж</w:t>
      </w:r>
      <w:r>
        <w:rPr>
          <w:color w:val="231F20"/>
          <w:spacing w:val="-10"/>
        </w:rPr>
        <w:t xml:space="preserve"> </w:t>
      </w:r>
      <w:r>
        <w:rPr>
          <w:color w:val="231F20"/>
        </w:rPr>
        <w:t>відповідно</w:t>
      </w:r>
      <w:r>
        <w:rPr>
          <w:color w:val="231F20"/>
          <w:spacing w:val="-10"/>
        </w:rPr>
        <w:t xml:space="preserve"> </w:t>
      </w:r>
      <w:r>
        <w:rPr>
          <w:color w:val="231F20"/>
        </w:rPr>
        <w:t>до</w:t>
      </w:r>
      <w:r>
        <w:rPr>
          <w:color w:val="231F20"/>
          <w:spacing w:val="-10"/>
        </w:rPr>
        <w:t xml:space="preserve"> </w:t>
      </w:r>
      <w:r>
        <w:rPr>
          <w:color w:val="231F20"/>
        </w:rPr>
        <w:t>статті</w:t>
      </w:r>
      <w:r>
        <w:rPr>
          <w:color w:val="231F20"/>
          <w:spacing w:val="-10"/>
        </w:rPr>
        <w:t xml:space="preserve"> </w:t>
      </w:r>
      <w:r>
        <w:rPr>
          <w:color w:val="231F20"/>
        </w:rPr>
        <w:t>17 Закону</w:t>
      </w:r>
      <w:r>
        <w:rPr>
          <w:color w:val="231F20"/>
          <w:spacing w:val="21"/>
        </w:rPr>
        <w:t xml:space="preserve"> </w:t>
      </w:r>
      <w:r>
        <w:rPr>
          <w:color w:val="231F20"/>
          <w:spacing w:val="-3"/>
        </w:rPr>
        <w:t>України</w:t>
      </w:r>
      <w:r>
        <w:rPr>
          <w:color w:val="231F20"/>
          <w:spacing w:val="21"/>
        </w:rPr>
        <w:t xml:space="preserve"> </w:t>
      </w:r>
      <w:r>
        <w:rPr>
          <w:color w:val="231F20"/>
        </w:rPr>
        <w:t>«Про</w:t>
      </w:r>
      <w:r>
        <w:rPr>
          <w:color w:val="231F20"/>
          <w:spacing w:val="21"/>
        </w:rPr>
        <w:t xml:space="preserve"> </w:t>
      </w:r>
      <w:r>
        <w:rPr>
          <w:color w:val="231F20"/>
        </w:rPr>
        <w:t>виконання</w:t>
      </w:r>
      <w:r>
        <w:rPr>
          <w:color w:val="231F20"/>
          <w:spacing w:val="21"/>
        </w:rPr>
        <w:t xml:space="preserve"> </w:t>
      </w:r>
      <w:r>
        <w:rPr>
          <w:color w:val="231F20"/>
        </w:rPr>
        <w:t>рішень</w:t>
      </w:r>
      <w:r>
        <w:rPr>
          <w:color w:val="231F20"/>
          <w:spacing w:val="21"/>
        </w:rPr>
        <w:t xml:space="preserve"> </w:t>
      </w:r>
      <w:r>
        <w:rPr>
          <w:color w:val="231F20"/>
        </w:rPr>
        <w:t>та</w:t>
      </w:r>
      <w:r>
        <w:rPr>
          <w:color w:val="231F20"/>
          <w:spacing w:val="21"/>
        </w:rPr>
        <w:t xml:space="preserve"> </w:t>
      </w:r>
      <w:r>
        <w:rPr>
          <w:color w:val="231F20"/>
        </w:rPr>
        <w:t>застосування</w:t>
      </w:r>
      <w:r>
        <w:rPr>
          <w:color w:val="231F20"/>
          <w:spacing w:val="21"/>
        </w:rPr>
        <w:t xml:space="preserve"> </w:t>
      </w:r>
      <w:r>
        <w:rPr>
          <w:color w:val="231F20"/>
        </w:rPr>
        <w:t>практики</w:t>
      </w:r>
    </w:p>
    <w:p w14:paraId="3B8CC41C" w14:textId="626D7C7D" w:rsidR="00DE575E" w:rsidRDefault="002E7560">
      <w:pPr>
        <w:pStyle w:val="BodyText"/>
        <w:spacing w:before="5"/>
        <w:rPr>
          <w:sz w:val="24"/>
        </w:rPr>
      </w:pPr>
      <w:r>
        <w:rPr>
          <w:noProof/>
        </w:rPr>
        <mc:AlternateContent>
          <mc:Choice Requires="wps">
            <w:drawing>
              <wp:anchor distT="0" distB="0" distL="0" distR="0" simplePos="0" relativeHeight="13024" behindDoc="0" locked="0" layoutInCell="1" allowOverlap="1" wp14:anchorId="13B9A3EC" wp14:editId="35679936">
                <wp:simplePos x="0" y="0"/>
                <wp:positionH relativeFrom="page">
                  <wp:posOffset>539750</wp:posOffset>
                </wp:positionH>
                <wp:positionV relativeFrom="paragraph">
                  <wp:posOffset>210185</wp:posOffset>
                </wp:positionV>
                <wp:extent cx="1080135" cy="0"/>
                <wp:effectExtent l="6350" t="6985" r="31115" b="31115"/>
                <wp:wrapTopAndBottom/>
                <wp:docPr id="573"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3C4A9" id="Line_x0020_572" o:spid="_x0000_s1026" style="position:absolute;z-index: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5pt" to="127.55pt,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v8MC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" strokecolor="#231f20" strokeweight=".5pt">
                <w10:wrap type="topAndBottom" anchorx="page"/>
              </v:line>
            </w:pict>
          </mc:Fallback>
        </mc:AlternateContent>
      </w:r>
    </w:p>
    <w:p w14:paraId="224C4123" w14:textId="77777777" w:rsidR="00DE575E" w:rsidRDefault="002E7560">
      <w:pPr>
        <w:spacing w:line="162" w:lineRule="exact"/>
        <w:ind w:left="250"/>
        <w:rPr>
          <w:sz w:val="16"/>
        </w:rPr>
      </w:pPr>
      <w:r>
        <w:rPr>
          <w:color w:val="231F20"/>
          <w:position w:val="5"/>
          <w:sz w:val="9"/>
        </w:rPr>
        <w:t xml:space="preserve">1 </w:t>
      </w:r>
      <w:r>
        <w:rPr>
          <w:color w:val="231F20"/>
          <w:sz w:val="16"/>
        </w:rPr>
        <w:t>Відомості Верховної Ради України від 22.07.2016, 2016. № 30. стор. 5. Ст. 542.</w:t>
      </w:r>
    </w:p>
    <w:p w14:paraId="626BA2D2" w14:textId="77777777" w:rsidR="00DE575E" w:rsidRDefault="00DE575E">
      <w:pPr>
        <w:pStyle w:val="BodyText"/>
        <w:spacing w:before="10"/>
        <w:rPr>
          <w:sz w:val="11"/>
        </w:rPr>
      </w:pPr>
    </w:p>
    <w:p w14:paraId="56523A97" w14:textId="77777777" w:rsidR="00DE575E" w:rsidRDefault="002E7560">
      <w:pPr>
        <w:spacing w:before="92"/>
        <w:ind w:right="411"/>
        <w:jc w:val="right"/>
        <w:rPr>
          <w:rFonts w:ascii="Times New Roman"/>
          <w:sz w:val="20"/>
        </w:rPr>
      </w:pPr>
      <w:r>
        <w:rPr>
          <w:rFonts w:ascii="Times New Roman"/>
          <w:color w:val="231F20"/>
          <w:w w:val="90"/>
          <w:sz w:val="20"/>
        </w:rPr>
        <w:t>335</w:t>
      </w:r>
    </w:p>
    <w:p w14:paraId="2B9E86B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BA264A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FFD5762" w14:textId="0FE80C5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3D24403" wp14:editId="297F3384">
                <wp:extent cx="4140200" cy="6350"/>
                <wp:effectExtent l="0" t="0" r="12700" b="6350"/>
                <wp:docPr id="57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72" name="Line 5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1C65DC" id="Group_x0020_5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TW3jZ/AgAAmAUAAA4A&#10;AAAAAAAAAAAAAAAALAIAAGRycy9lMm9Eb2MueG1sUEsBAi0AFAAGAAgAAAAhAEynsJDZAAAAAwEA&#10;AA8AAAAAAAAAAAAAAAAA1wQAAGRycy9kb3ducmV2LnhtbFBLBQYAAAAABAAEAPMAAADdBQAAAAA=&#10;">
                <v:line id="Line_x0020_5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Ot/cYAAADcAAAADwAAAGRycy9kb3ducmV2LnhtbESP0WrCQBRE3wX/YblCX4puVKoSXUUK&#10;hdIHbY0fcM1ek+Du3ZhdTdqv7xYKPg4zc4ZZbTprxJ0aXzlWMB4lIIhzpysuFByzt+EChA/IGo1j&#10;UvBNHjbrfm+FqXYtf9H9EAoRIexTVFCGUKdS+rwki37kauLonV1jMUTZFFI32Ea4NXKSJDNpseK4&#10;UGJNryXll8PNKsiuz8F87j9Mm+1PU3m67qY/t51ST4NuuwQRqAuP8H/7XSt4mU/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Trf3GAAAA3AAAAA8AAAAAAAAA&#10;AAAAAAAAoQIAAGRycy9kb3ducmV2LnhtbFBLBQYAAAAABAAEAPkAAACUAwAAAAA=&#10;" strokecolor="#231f20" strokeweight=".5pt"/>
                <w10:anchorlock/>
              </v:group>
            </w:pict>
          </mc:Fallback>
        </mc:AlternateContent>
      </w:r>
    </w:p>
    <w:p w14:paraId="550DFAEE" w14:textId="77777777" w:rsidR="00DE575E" w:rsidRDefault="00DE575E">
      <w:pPr>
        <w:pStyle w:val="BodyText"/>
        <w:spacing w:before="7"/>
        <w:rPr>
          <w:rFonts w:ascii="AdonisC"/>
          <w:i/>
          <w:sz w:val="11"/>
        </w:rPr>
      </w:pPr>
    </w:p>
    <w:p w14:paraId="14605C5F" w14:textId="77777777" w:rsidR="00DE575E" w:rsidRDefault="002E7560">
      <w:pPr>
        <w:pStyle w:val="BodyText"/>
        <w:spacing w:before="101" w:line="252" w:lineRule="auto"/>
        <w:ind w:left="533" w:right="128"/>
        <w:jc w:val="both"/>
      </w:pPr>
      <w:r>
        <w:rPr>
          <w:color w:val="231F20"/>
        </w:rPr>
        <w:t>Європейського суду з прав людини» суди застосовують у розгляді справ Конвенцію про захист прав людини і основоположних свобод та практику Суду як джерело адміністративного права</w:t>
      </w:r>
      <w:r>
        <w:rPr>
          <w:color w:val="231F20"/>
          <w:position w:val="7"/>
          <w:sz w:val="12"/>
        </w:rPr>
        <w:t>1</w:t>
      </w:r>
      <w:r>
        <w:rPr>
          <w:color w:val="231F20"/>
        </w:rPr>
        <w:t>.</w:t>
      </w:r>
    </w:p>
    <w:p w14:paraId="4FC46F2B" w14:textId="77777777" w:rsidR="00DE575E" w:rsidRDefault="00DE575E">
      <w:pPr>
        <w:pStyle w:val="BodyText"/>
        <w:spacing w:before="1"/>
        <w:rPr>
          <w:sz w:val="22"/>
        </w:rPr>
      </w:pPr>
    </w:p>
    <w:p w14:paraId="3DE9A97A" w14:textId="77777777" w:rsidR="00DE575E" w:rsidRDefault="002E7560">
      <w:pPr>
        <w:pStyle w:val="Heading5"/>
        <w:ind w:left="817"/>
      </w:pPr>
      <w:r>
        <w:rPr>
          <w:color w:val="231F20"/>
        </w:rPr>
        <w:t>9.4.1. Підстави та процедури, за якими</w:t>
      </w:r>
    </w:p>
    <w:p w14:paraId="48177387" w14:textId="77777777" w:rsidR="00DE575E" w:rsidRDefault="002E7560">
      <w:pPr>
        <w:spacing w:before="12" w:line="252" w:lineRule="auto"/>
        <w:ind w:left="817" w:right="580"/>
        <w:rPr>
          <w:b/>
          <w:sz w:val="21"/>
        </w:rPr>
      </w:pPr>
      <w:r>
        <w:rPr>
          <w:b/>
          <w:color w:val="231F20"/>
          <w:sz w:val="21"/>
        </w:rPr>
        <w:t>суб’єкт публічного адміністрування відшкодовує шкоду, завдану приватній особі</w:t>
      </w:r>
    </w:p>
    <w:p w14:paraId="46B7E373" w14:textId="77777777" w:rsidR="00DE575E" w:rsidRDefault="00DE575E">
      <w:pPr>
        <w:pStyle w:val="BodyText"/>
        <w:spacing w:before="1"/>
        <w:rPr>
          <w:b/>
          <w:sz w:val="22"/>
        </w:rPr>
      </w:pPr>
    </w:p>
    <w:p w14:paraId="179D91B7" w14:textId="77777777" w:rsidR="00DE575E" w:rsidRDefault="002E7560">
      <w:pPr>
        <w:pStyle w:val="BodyText"/>
        <w:spacing w:line="252" w:lineRule="auto"/>
        <w:ind w:left="533" w:right="127" w:firstLine="283"/>
        <w:jc w:val="both"/>
      </w:pPr>
      <w:r>
        <w:rPr>
          <w:color w:val="231F20"/>
        </w:rPr>
        <w:t>Відповідно до ст. 56 Конституції України кожен має право на відшкодування за рахунок держави чи органів місцевого самовря- дування матеріальної та моральної шкоди, завданої нез</w:t>
      </w:r>
      <w:r>
        <w:rPr>
          <w:color w:val="231F20"/>
        </w:rPr>
        <w:t>аконними рішеннями, діями чи бездіяльністю органів державної влади, орга- нів місцевого самоврядування, їх посадових і службових осіб при здійсненні ними своїх повноважень.</w:t>
      </w:r>
    </w:p>
    <w:p w14:paraId="12EBD247" w14:textId="77777777" w:rsidR="00DE575E" w:rsidRDefault="002E7560">
      <w:pPr>
        <w:pStyle w:val="BodyText"/>
        <w:spacing w:before="3" w:line="252" w:lineRule="auto"/>
        <w:ind w:left="533" w:right="127" w:firstLine="283"/>
        <w:jc w:val="both"/>
      </w:pPr>
      <w:r>
        <w:rPr>
          <w:color w:val="231F20"/>
        </w:rPr>
        <w:t>Підставою відшкодування шкоди, завданої публічною адміні- страцією, є будь-які рішення, дії, бездіяльність, учинені як у межах, визначених законом, так і з перевищенням наданих суб’єкту публіч- ної адміністрації повноважень, якими (рішеннями, діями, бездія</w:t>
      </w:r>
      <w:r>
        <w:rPr>
          <w:color w:val="231F20"/>
        </w:rPr>
        <w:t>ль- ністю) приватній особі заподіяно обмеження чи втрати матеріаль- ного або морального характеру щодо її прав, свобод, інтересів.</w:t>
      </w:r>
    </w:p>
    <w:p w14:paraId="7BEEBB7E" w14:textId="77777777" w:rsidR="00DE575E" w:rsidRDefault="002E7560">
      <w:pPr>
        <w:pStyle w:val="BodyText"/>
        <w:spacing w:before="3" w:line="252" w:lineRule="auto"/>
        <w:ind w:left="533" w:right="129" w:firstLine="283"/>
        <w:jc w:val="both"/>
      </w:pPr>
      <w:r>
        <w:rPr>
          <w:color w:val="231F20"/>
        </w:rPr>
        <w:t>На думку В. Бевзенка, позасудова (адміністративна) процедура відшкодування шкоди передбачає відповідні особливості:</w:t>
      </w:r>
    </w:p>
    <w:p w14:paraId="109BB87A" w14:textId="77777777" w:rsidR="00DE575E" w:rsidRDefault="002E7560">
      <w:pPr>
        <w:pStyle w:val="ListParagraph"/>
        <w:numPr>
          <w:ilvl w:val="0"/>
          <w:numId w:val="126"/>
        </w:numPr>
        <w:tabs>
          <w:tab w:val="left" w:pos="1101"/>
        </w:tabs>
        <w:spacing w:line="252" w:lineRule="auto"/>
        <w:ind w:right="128" w:firstLine="284"/>
        <w:rPr>
          <w:sz w:val="21"/>
        </w:rPr>
      </w:pPr>
      <w:r>
        <w:rPr>
          <w:color w:val="231F20"/>
          <w:sz w:val="21"/>
        </w:rPr>
        <w:t>здійснюєт</w:t>
      </w:r>
      <w:r>
        <w:rPr>
          <w:color w:val="231F20"/>
          <w:sz w:val="21"/>
        </w:rPr>
        <w:t>ься на підставі адміністративного акта, яким задо- кументовано</w:t>
      </w:r>
      <w:r>
        <w:rPr>
          <w:color w:val="231F20"/>
          <w:spacing w:val="-11"/>
          <w:sz w:val="21"/>
        </w:rPr>
        <w:t xml:space="preserve"> </w:t>
      </w:r>
      <w:r>
        <w:rPr>
          <w:color w:val="231F20"/>
          <w:sz w:val="21"/>
        </w:rPr>
        <w:t>рішення</w:t>
      </w:r>
      <w:r>
        <w:rPr>
          <w:color w:val="231F20"/>
          <w:spacing w:val="-11"/>
          <w:sz w:val="21"/>
        </w:rPr>
        <w:t xml:space="preserve"> </w:t>
      </w:r>
      <w:r>
        <w:rPr>
          <w:color w:val="231F20"/>
          <w:sz w:val="21"/>
        </w:rPr>
        <w:t>про</w:t>
      </w:r>
      <w:r>
        <w:rPr>
          <w:color w:val="231F20"/>
          <w:spacing w:val="-11"/>
          <w:sz w:val="21"/>
        </w:rPr>
        <w:t xml:space="preserve"> </w:t>
      </w:r>
      <w:r>
        <w:rPr>
          <w:color w:val="231F20"/>
          <w:sz w:val="21"/>
        </w:rPr>
        <w:t>зміст</w:t>
      </w:r>
      <w:r>
        <w:rPr>
          <w:color w:val="231F20"/>
          <w:spacing w:val="-11"/>
          <w:sz w:val="21"/>
        </w:rPr>
        <w:t xml:space="preserve"> </w:t>
      </w:r>
      <w:r>
        <w:rPr>
          <w:color w:val="231F20"/>
          <w:sz w:val="21"/>
        </w:rPr>
        <w:t>й</w:t>
      </w:r>
      <w:r>
        <w:rPr>
          <w:color w:val="231F20"/>
          <w:spacing w:val="-10"/>
          <w:sz w:val="21"/>
        </w:rPr>
        <w:t xml:space="preserve"> </w:t>
      </w:r>
      <w:r>
        <w:rPr>
          <w:color w:val="231F20"/>
          <w:sz w:val="21"/>
        </w:rPr>
        <w:t>особливості</w:t>
      </w:r>
      <w:r>
        <w:rPr>
          <w:color w:val="231F20"/>
          <w:spacing w:val="-11"/>
          <w:sz w:val="21"/>
        </w:rPr>
        <w:t xml:space="preserve"> </w:t>
      </w:r>
      <w:r>
        <w:rPr>
          <w:color w:val="231F20"/>
          <w:sz w:val="21"/>
        </w:rPr>
        <w:t>відшкодування</w:t>
      </w:r>
      <w:r>
        <w:rPr>
          <w:color w:val="231F20"/>
          <w:spacing w:val="-11"/>
          <w:sz w:val="21"/>
        </w:rPr>
        <w:t xml:space="preserve"> </w:t>
      </w:r>
      <w:r>
        <w:rPr>
          <w:color w:val="231F20"/>
          <w:sz w:val="21"/>
        </w:rPr>
        <w:t>завда- ної шкоди, який передається розпоряднику відповідного</w:t>
      </w:r>
      <w:r>
        <w:rPr>
          <w:color w:val="231F20"/>
          <w:spacing w:val="-23"/>
          <w:sz w:val="21"/>
        </w:rPr>
        <w:t xml:space="preserve"> </w:t>
      </w:r>
      <w:r>
        <w:rPr>
          <w:color w:val="231F20"/>
          <w:sz w:val="21"/>
        </w:rPr>
        <w:t>бюджету;</w:t>
      </w:r>
    </w:p>
    <w:p w14:paraId="4100E2C8" w14:textId="77777777" w:rsidR="00DE575E" w:rsidRDefault="002E7560">
      <w:pPr>
        <w:pStyle w:val="ListParagraph"/>
        <w:numPr>
          <w:ilvl w:val="0"/>
          <w:numId w:val="126"/>
        </w:numPr>
        <w:tabs>
          <w:tab w:val="left" w:pos="1101"/>
        </w:tabs>
        <w:spacing w:line="252" w:lineRule="auto"/>
        <w:ind w:right="127" w:firstLine="284"/>
        <w:rPr>
          <w:sz w:val="21"/>
        </w:rPr>
      </w:pPr>
      <w:r>
        <w:rPr>
          <w:color w:val="231F20"/>
          <w:sz w:val="21"/>
        </w:rPr>
        <w:t>безпосереднє виконання адміністративного акта через пере- рахування з відпові</w:t>
      </w:r>
      <w:r>
        <w:rPr>
          <w:color w:val="231F20"/>
          <w:sz w:val="21"/>
        </w:rPr>
        <w:t>дного бюджету визначеної суми особі, якій завдано</w:t>
      </w:r>
      <w:r>
        <w:rPr>
          <w:color w:val="231F20"/>
          <w:spacing w:val="-2"/>
          <w:sz w:val="21"/>
        </w:rPr>
        <w:t xml:space="preserve"> </w:t>
      </w:r>
      <w:r>
        <w:rPr>
          <w:color w:val="231F20"/>
          <w:sz w:val="21"/>
        </w:rPr>
        <w:t>шкоди</w:t>
      </w:r>
      <w:r>
        <w:rPr>
          <w:color w:val="231F20"/>
          <w:position w:val="7"/>
          <w:sz w:val="12"/>
        </w:rPr>
        <w:t>2</w:t>
      </w:r>
      <w:r>
        <w:rPr>
          <w:color w:val="231F20"/>
          <w:sz w:val="21"/>
        </w:rPr>
        <w:t>.</w:t>
      </w:r>
    </w:p>
    <w:p w14:paraId="5A08F0EA" w14:textId="77777777" w:rsidR="00DE575E" w:rsidRDefault="002E7560">
      <w:pPr>
        <w:pStyle w:val="Heading5"/>
        <w:spacing w:before="2" w:line="252" w:lineRule="auto"/>
        <w:ind w:right="127" w:firstLine="283"/>
        <w:jc w:val="both"/>
      </w:pPr>
      <w:r>
        <w:rPr>
          <w:color w:val="231F20"/>
        </w:rPr>
        <w:t xml:space="preserve">Отже, адміністративна процедура відшкодування шкоди, завданої суб’єктами публічної адміністрації, складається з двох основних стадій, які поділені на певні етапи й адміністративні дії: 1) отримання </w:t>
      </w:r>
      <w:r>
        <w:rPr>
          <w:color w:val="231F20"/>
        </w:rPr>
        <w:t>та передання відповідному розпоряднику</w:t>
      </w:r>
    </w:p>
    <w:p w14:paraId="240F2E2E" w14:textId="14C89C1F" w:rsidR="00DE575E" w:rsidRDefault="002E7560">
      <w:pPr>
        <w:pStyle w:val="BodyText"/>
        <w:spacing w:before="6"/>
        <w:rPr>
          <w:b/>
          <w:sz w:val="23"/>
        </w:rPr>
      </w:pPr>
      <w:r>
        <w:rPr>
          <w:noProof/>
        </w:rPr>
        <mc:AlternateContent>
          <mc:Choice Requires="wps">
            <w:drawing>
              <wp:anchor distT="0" distB="0" distL="0" distR="0" simplePos="0" relativeHeight="13072" behindDoc="0" locked="0" layoutInCell="1" allowOverlap="1" wp14:anchorId="3421F365" wp14:editId="2B451879">
                <wp:simplePos x="0" y="0"/>
                <wp:positionH relativeFrom="page">
                  <wp:posOffset>719455</wp:posOffset>
                </wp:positionH>
                <wp:positionV relativeFrom="paragraph">
                  <wp:posOffset>202565</wp:posOffset>
                </wp:positionV>
                <wp:extent cx="1080135" cy="0"/>
                <wp:effectExtent l="8255" t="12065" r="29210" b="26035"/>
                <wp:wrapTopAndBottom/>
                <wp:docPr id="57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11960" id="Line_x0020_569" o:spid="_x0000_s1026" style="position:absolute;z-index:1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5pt" to="141.7pt,1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" strokecolor="#231f20" strokeweight=".5pt">
                <w10:wrap type="topAndBottom" anchorx="page"/>
              </v:line>
            </w:pict>
          </mc:Fallback>
        </mc:AlternateContent>
      </w:r>
    </w:p>
    <w:p w14:paraId="756B6723" w14:textId="77777777" w:rsidR="00DE575E" w:rsidRDefault="002E7560">
      <w:pPr>
        <w:spacing w:line="204" w:lineRule="auto"/>
        <w:ind w:left="533" w:right="126"/>
        <w:jc w:val="both"/>
        <w:rPr>
          <w:sz w:val="16"/>
        </w:rPr>
      </w:pPr>
      <w:r>
        <w:rPr>
          <w:color w:val="231F20"/>
          <w:position w:val="5"/>
          <w:sz w:val="9"/>
        </w:rPr>
        <w:t xml:space="preserve">1  </w:t>
      </w:r>
      <w:r>
        <w:rPr>
          <w:color w:val="231F20"/>
          <w:sz w:val="16"/>
        </w:rPr>
        <w:t xml:space="preserve">Рішення  ЄСПЛ  у  справі  “Мілазі  проти  Республіки  Італії”  від  25.06.1987 р.   Прак- тика Європейського </w:t>
      </w:r>
      <w:r>
        <w:rPr>
          <w:color w:val="231F20"/>
          <w:spacing w:val="-3"/>
          <w:sz w:val="16"/>
        </w:rPr>
        <w:t xml:space="preserve">суду  </w:t>
      </w:r>
      <w:r>
        <w:rPr>
          <w:color w:val="231F20"/>
          <w:sz w:val="16"/>
        </w:rPr>
        <w:t xml:space="preserve">з прав людини. Рішення. Коментарі. 2005. № 1; Рішення ЄСПЛ   у справі </w:t>
      </w:r>
      <w:r>
        <w:rPr>
          <w:color w:val="231F20"/>
          <w:spacing w:val="-4"/>
          <w:sz w:val="16"/>
        </w:rPr>
        <w:t xml:space="preserve">“Лопес </w:t>
      </w:r>
      <w:r>
        <w:rPr>
          <w:color w:val="231F20"/>
          <w:sz w:val="16"/>
        </w:rPr>
        <w:t xml:space="preserve">Остра проти Іспанії” від 09.12.1994 р. Практика Європейського </w:t>
      </w:r>
      <w:r>
        <w:rPr>
          <w:color w:val="231F20"/>
          <w:spacing w:val="-3"/>
          <w:sz w:val="16"/>
        </w:rPr>
        <w:t xml:space="preserve">суду </w:t>
      </w:r>
      <w:r>
        <w:rPr>
          <w:color w:val="231F20"/>
          <w:sz w:val="16"/>
        </w:rPr>
        <w:t xml:space="preserve">з прав людини. Рішення. Коментарі. 2004. N 3; Рішення ЄСПЛ у справі “Цимерман і Штайнерн проти Швейцарської Конфедерації” від 13.07.1983 р. Практика Європейського </w:t>
      </w:r>
      <w:r>
        <w:rPr>
          <w:color w:val="231F20"/>
          <w:spacing w:val="-3"/>
          <w:sz w:val="16"/>
        </w:rPr>
        <w:t xml:space="preserve">суду </w:t>
      </w:r>
      <w:r>
        <w:rPr>
          <w:color w:val="231F20"/>
          <w:sz w:val="16"/>
        </w:rPr>
        <w:t>з прав людини. Рішенн</w:t>
      </w:r>
      <w:r>
        <w:rPr>
          <w:color w:val="231F20"/>
          <w:sz w:val="16"/>
        </w:rPr>
        <w:t>я. Коментарі. 2005. № 1; Рішення ЄСПЛ у справі “Жовнер проти України” від</w:t>
      </w:r>
      <w:r>
        <w:rPr>
          <w:color w:val="231F20"/>
          <w:spacing w:val="-5"/>
          <w:sz w:val="16"/>
        </w:rPr>
        <w:t xml:space="preserve"> </w:t>
      </w:r>
      <w:r>
        <w:rPr>
          <w:color w:val="231F20"/>
          <w:sz w:val="16"/>
        </w:rPr>
        <w:t>29.06.2004</w:t>
      </w:r>
      <w:r>
        <w:rPr>
          <w:color w:val="231F20"/>
          <w:spacing w:val="-6"/>
          <w:sz w:val="16"/>
        </w:rPr>
        <w:t xml:space="preserve"> </w:t>
      </w:r>
      <w:r>
        <w:rPr>
          <w:color w:val="231F20"/>
          <w:sz w:val="16"/>
        </w:rPr>
        <w:t>р.</w:t>
      </w:r>
      <w:r>
        <w:rPr>
          <w:color w:val="231F20"/>
          <w:spacing w:val="-5"/>
          <w:sz w:val="16"/>
        </w:rPr>
        <w:t xml:space="preserve"> </w:t>
      </w:r>
      <w:r>
        <w:rPr>
          <w:color w:val="231F20"/>
          <w:sz w:val="16"/>
        </w:rPr>
        <w:t>//</w:t>
      </w:r>
      <w:r>
        <w:rPr>
          <w:color w:val="231F20"/>
          <w:spacing w:val="-5"/>
          <w:sz w:val="16"/>
        </w:rPr>
        <w:t xml:space="preserve"> </w:t>
      </w:r>
      <w:r>
        <w:rPr>
          <w:color w:val="231F20"/>
          <w:sz w:val="16"/>
        </w:rPr>
        <w:t>Офіційний</w:t>
      </w:r>
      <w:r>
        <w:rPr>
          <w:color w:val="231F20"/>
          <w:spacing w:val="-5"/>
          <w:sz w:val="16"/>
        </w:rPr>
        <w:t xml:space="preserve"> </w:t>
      </w:r>
      <w:r>
        <w:rPr>
          <w:color w:val="231F20"/>
          <w:sz w:val="16"/>
        </w:rPr>
        <w:t>вісник</w:t>
      </w:r>
      <w:r>
        <w:rPr>
          <w:color w:val="231F20"/>
          <w:spacing w:val="-4"/>
          <w:sz w:val="16"/>
        </w:rPr>
        <w:t xml:space="preserve"> </w:t>
      </w:r>
      <w:r>
        <w:rPr>
          <w:color w:val="231F20"/>
          <w:sz w:val="16"/>
        </w:rPr>
        <w:t>України.</w:t>
      </w:r>
      <w:r>
        <w:rPr>
          <w:color w:val="231F20"/>
          <w:spacing w:val="-5"/>
          <w:sz w:val="16"/>
        </w:rPr>
        <w:t xml:space="preserve"> </w:t>
      </w:r>
      <w:r>
        <w:rPr>
          <w:color w:val="231F20"/>
          <w:sz w:val="16"/>
        </w:rPr>
        <w:t>2004.</w:t>
      </w:r>
      <w:r>
        <w:rPr>
          <w:color w:val="231F20"/>
          <w:spacing w:val="-5"/>
          <w:sz w:val="16"/>
        </w:rPr>
        <w:t xml:space="preserve"> </w:t>
      </w:r>
      <w:r>
        <w:rPr>
          <w:color w:val="231F20"/>
          <w:sz w:val="16"/>
        </w:rPr>
        <w:t>№</w:t>
      </w:r>
      <w:r>
        <w:rPr>
          <w:color w:val="231F20"/>
          <w:spacing w:val="-6"/>
          <w:sz w:val="16"/>
        </w:rPr>
        <w:t xml:space="preserve"> </w:t>
      </w:r>
      <w:r>
        <w:rPr>
          <w:color w:val="231F20"/>
          <w:sz w:val="16"/>
        </w:rPr>
        <w:t>42.</w:t>
      </w:r>
      <w:r>
        <w:rPr>
          <w:color w:val="231F20"/>
          <w:spacing w:val="-5"/>
          <w:sz w:val="16"/>
        </w:rPr>
        <w:t xml:space="preserve"> Ст. </w:t>
      </w:r>
      <w:r>
        <w:rPr>
          <w:color w:val="231F20"/>
          <w:sz w:val="16"/>
        </w:rPr>
        <w:t>2820;</w:t>
      </w:r>
      <w:r>
        <w:rPr>
          <w:color w:val="231F20"/>
          <w:spacing w:val="-5"/>
          <w:sz w:val="16"/>
        </w:rPr>
        <w:t xml:space="preserve"> </w:t>
      </w:r>
      <w:r>
        <w:rPr>
          <w:color w:val="231F20"/>
          <w:sz w:val="16"/>
        </w:rPr>
        <w:t>Рішення</w:t>
      </w:r>
      <w:r>
        <w:rPr>
          <w:color w:val="231F20"/>
          <w:spacing w:val="-5"/>
          <w:sz w:val="16"/>
        </w:rPr>
        <w:t xml:space="preserve"> </w:t>
      </w:r>
      <w:r>
        <w:rPr>
          <w:color w:val="231F20"/>
          <w:sz w:val="16"/>
        </w:rPr>
        <w:t>ЄСПЛ</w:t>
      </w:r>
      <w:r>
        <w:rPr>
          <w:color w:val="231F20"/>
          <w:spacing w:val="-4"/>
          <w:sz w:val="16"/>
        </w:rPr>
        <w:t xml:space="preserve"> </w:t>
      </w:r>
      <w:r>
        <w:rPr>
          <w:color w:val="231F20"/>
          <w:sz w:val="16"/>
        </w:rPr>
        <w:t>у</w:t>
      </w:r>
      <w:r>
        <w:rPr>
          <w:color w:val="231F20"/>
          <w:spacing w:val="-4"/>
          <w:sz w:val="16"/>
        </w:rPr>
        <w:t xml:space="preserve"> </w:t>
      </w:r>
      <w:r>
        <w:rPr>
          <w:color w:val="231F20"/>
          <w:sz w:val="16"/>
        </w:rPr>
        <w:t>справі “Полтораченко</w:t>
      </w:r>
      <w:r>
        <w:rPr>
          <w:color w:val="231F20"/>
          <w:spacing w:val="-2"/>
          <w:sz w:val="16"/>
        </w:rPr>
        <w:t xml:space="preserve"> </w:t>
      </w:r>
      <w:r>
        <w:rPr>
          <w:color w:val="231F20"/>
          <w:sz w:val="16"/>
        </w:rPr>
        <w:t>проти</w:t>
      </w:r>
      <w:r>
        <w:rPr>
          <w:color w:val="231F20"/>
          <w:spacing w:val="-3"/>
          <w:sz w:val="16"/>
        </w:rPr>
        <w:t xml:space="preserve"> </w:t>
      </w:r>
      <w:r>
        <w:rPr>
          <w:color w:val="231F20"/>
          <w:sz w:val="16"/>
        </w:rPr>
        <w:t>України”</w:t>
      </w:r>
      <w:r>
        <w:rPr>
          <w:color w:val="231F20"/>
          <w:spacing w:val="-3"/>
          <w:sz w:val="16"/>
        </w:rPr>
        <w:t xml:space="preserve"> </w:t>
      </w:r>
      <w:r>
        <w:rPr>
          <w:color w:val="231F20"/>
          <w:sz w:val="16"/>
        </w:rPr>
        <w:t>від</w:t>
      </w:r>
      <w:r>
        <w:rPr>
          <w:color w:val="231F20"/>
          <w:spacing w:val="-3"/>
          <w:sz w:val="16"/>
        </w:rPr>
        <w:t xml:space="preserve"> </w:t>
      </w:r>
      <w:r>
        <w:rPr>
          <w:color w:val="231F20"/>
          <w:sz w:val="16"/>
        </w:rPr>
        <w:t>18.01.2005</w:t>
      </w:r>
      <w:r>
        <w:rPr>
          <w:color w:val="231F20"/>
          <w:spacing w:val="-5"/>
          <w:sz w:val="16"/>
        </w:rPr>
        <w:t xml:space="preserve"> </w:t>
      </w:r>
      <w:r>
        <w:rPr>
          <w:color w:val="231F20"/>
          <w:sz w:val="16"/>
        </w:rPr>
        <w:t>р.</w:t>
      </w:r>
      <w:r>
        <w:rPr>
          <w:color w:val="231F20"/>
          <w:spacing w:val="-3"/>
          <w:sz w:val="16"/>
        </w:rPr>
        <w:t xml:space="preserve"> </w:t>
      </w:r>
      <w:r>
        <w:rPr>
          <w:color w:val="231F20"/>
          <w:sz w:val="16"/>
        </w:rPr>
        <w:t>Закон</w:t>
      </w:r>
      <w:r>
        <w:rPr>
          <w:color w:val="231F20"/>
          <w:spacing w:val="-2"/>
          <w:sz w:val="16"/>
        </w:rPr>
        <w:t xml:space="preserve"> </w:t>
      </w:r>
      <w:r>
        <w:rPr>
          <w:color w:val="231F20"/>
          <w:sz w:val="16"/>
        </w:rPr>
        <w:t>і</w:t>
      </w:r>
      <w:r>
        <w:rPr>
          <w:color w:val="231F20"/>
          <w:spacing w:val="-3"/>
          <w:sz w:val="16"/>
        </w:rPr>
        <w:t xml:space="preserve"> </w:t>
      </w:r>
      <w:r>
        <w:rPr>
          <w:color w:val="231F20"/>
          <w:sz w:val="16"/>
        </w:rPr>
        <w:t>Бізнес</w:t>
      </w:r>
      <w:r>
        <w:rPr>
          <w:color w:val="231F20"/>
          <w:spacing w:val="-3"/>
          <w:sz w:val="16"/>
        </w:rPr>
        <w:t xml:space="preserve"> </w:t>
      </w:r>
      <w:r>
        <w:rPr>
          <w:color w:val="231F20"/>
          <w:sz w:val="16"/>
        </w:rPr>
        <w:t>від</w:t>
      </w:r>
      <w:r>
        <w:rPr>
          <w:color w:val="231F20"/>
          <w:spacing w:val="-3"/>
          <w:sz w:val="16"/>
        </w:rPr>
        <w:t xml:space="preserve"> </w:t>
      </w:r>
      <w:r>
        <w:rPr>
          <w:color w:val="231F20"/>
          <w:sz w:val="16"/>
        </w:rPr>
        <w:t>12.02.2005</w:t>
      </w:r>
      <w:r>
        <w:rPr>
          <w:color w:val="231F20"/>
          <w:spacing w:val="-5"/>
          <w:sz w:val="16"/>
        </w:rPr>
        <w:t xml:space="preserve"> </w:t>
      </w:r>
      <w:r>
        <w:rPr>
          <w:color w:val="231F20"/>
          <w:sz w:val="16"/>
        </w:rPr>
        <w:t>р.</w:t>
      </w:r>
    </w:p>
    <w:p w14:paraId="34608E0B" w14:textId="77777777" w:rsidR="00DE575E" w:rsidRDefault="002E7560">
      <w:pPr>
        <w:spacing w:before="6"/>
        <w:ind w:left="533"/>
        <w:jc w:val="both"/>
        <w:rPr>
          <w:sz w:val="16"/>
        </w:rPr>
      </w:pPr>
      <w:r>
        <w:rPr>
          <w:color w:val="231F20"/>
          <w:position w:val="5"/>
          <w:sz w:val="9"/>
        </w:rPr>
        <w:t xml:space="preserve">2 </w:t>
      </w:r>
      <w:r>
        <w:rPr>
          <w:color w:val="231F20"/>
          <w:sz w:val="16"/>
        </w:rPr>
        <w:t>Мельник Р., Б</w:t>
      </w:r>
      <w:r>
        <w:rPr>
          <w:color w:val="231F20"/>
          <w:sz w:val="16"/>
        </w:rPr>
        <w:t>евзенко В. Зазнач. праця. С. 364-366.</w:t>
      </w:r>
    </w:p>
    <w:p w14:paraId="77361E39" w14:textId="77777777" w:rsidR="00DE575E" w:rsidRDefault="00DE575E">
      <w:pPr>
        <w:pStyle w:val="BodyText"/>
        <w:spacing w:before="11"/>
        <w:rPr>
          <w:sz w:val="11"/>
        </w:rPr>
      </w:pPr>
    </w:p>
    <w:p w14:paraId="723275ED" w14:textId="77777777" w:rsidR="00DE575E" w:rsidRDefault="002E7560">
      <w:pPr>
        <w:spacing w:before="92"/>
        <w:ind w:left="533"/>
        <w:rPr>
          <w:rFonts w:ascii="Times New Roman"/>
          <w:sz w:val="20"/>
        </w:rPr>
      </w:pPr>
      <w:r>
        <w:rPr>
          <w:rFonts w:ascii="Times New Roman"/>
          <w:color w:val="231F20"/>
          <w:sz w:val="20"/>
        </w:rPr>
        <w:t>336</w:t>
      </w:r>
    </w:p>
    <w:p w14:paraId="14E303CE" w14:textId="77777777" w:rsidR="00DE575E" w:rsidRDefault="00DE575E">
      <w:pPr>
        <w:rPr>
          <w:rFonts w:ascii="Times New Roman"/>
          <w:sz w:val="20"/>
        </w:rPr>
        <w:sectPr w:rsidR="00DE575E">
          <w:pgSz w:w="8510" w:h="12760"/>
          <w:pgMar w:top="660" w:right="720" w:bottom="280" w:left="600" w:header="720" w:footer="720" w:gutter="0"/>
          <w:cols w:space="720"/>
        </w:sectPr>
      </w:pPr>
    </w:p>
    <w:p w14:paraId="6415AF4E"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адміністративне право Розділ 9. Захист приватної особи у сфері публічного адміністрування</w:t>
      </w:r>
    </w:p>
    <w:p w14:paraId="2EF32964" w14:textId="0C7CE84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83494E" wp14:editId="5A08539F">
                <wp:extent cx="4140200" cy="6350"/>
                <wp:effectExtent l="0" t="0" r="12700" b="6350"/>
                <wp:docPr id="568"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69" name="Line 56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23B67" id="Group_x0020_56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xQ/uZ/AgAAmAUAAA4A&#10;AAAAAAAAAAAAAAAALAIAAGRycy9lMm9Eb2MueG1sUEsBAi0AFAAGAAgAAAAhAEynsJDZAAAAAwEA&#10;AA8AAAAAAAAAAAAAAAAA1wQAAGRycy9kb3ducmV2LnhtbFBLBQYAAAAABAAEAPMAAADdBQAAAAA=&#10;">
                <v:line id="Line_x0020_56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6pUcYAAADcAAAADwAAAGRycy9kb3ducmV2LnhtbESP0WrCQBRE3wv+w3IFX0rdqFRqdBUp&#10;FEoftDX9gGv2mgR378bsaqJf7wqFPg4zc4ZZrDprxIUaXzlWMBomIIhzpysuFPxmHy9vIHxA1mgc&#10;k4IreVgte08LTLVr+Ycuu1CICGGfooIyhDqV0uclWfRDVxNH7+AaiyHKppC6wTbCrZHjJJlKixXH&#10;hRJrei8pP+7OVkF2eg7me/tl2my7n8j9aTO5nTdKDfrdeg4iUBf+w3/tT63gdTqD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DuqVHGAAAA3AAAAA8AAAAAAAAA&#10;AAAAAAAAoQIAAGRycy9kb3ducmV2LnhtbFBLBQYAAAAABAAEAPkAAACUAwAAAAA=&#10;" strokecolor="#231f20" strokeweight=".5pt"/>
                <w10:anchorlock/>
              </v:group>
            </w:pict>
          </mc:Fallback>
        </mc:AlternateContent>
      </w:r>
    </w:p>
    <w:p w14:paraId="4187A3F1" w14:textId="77777777" w:rsidR="00DE575E" w:rsidRDefault="00DE575E">
      <w:pPr>
        <w:pStyle w:val="BodyText"/>
        <w:spacing w:before="7"/>
        <w:rPr>
          <w:rFonts w:ascii="AdonisC"/>
          <w:i/>
          <w:sz w:val="19"/>
        </w:rPr>
      </w:pPr>
    </w:p>
    <w:p w14:paraId="0BA91A63" w14:textId="77777777" w:rsidR="00DE575E" w:rsidRDefault="002E7560">
      <w:pPr>
        <w:pStyle w:val="Heading5"/>
        <w:spacing w:before="1" w:line="252" w:lineRule="auto"/>
        <w:ind w:left="250" w:right="410"/>
        <w:jc w:val="both"/>
      </w:pPr>
      <w:r>
        <w:rPr>
          <w:color w:val="231F20"/>
        </w:rPr>
        <w:t>бюджетних коштів адміністративного акта, яким задокументо- вано рішення про зміст й особливості відшкодування завданої шкоди; 2) безпосереднє відшкодування розпорядником коштів шкоди через перерахування з бюджету визнач</w:t>
      </w:r>
      <w:r>
        <w:rPr>
          <w:color w:val="231F20"/>
        </w:rPr>
        <w:t>еної суми особі, якій завдано шкоди.</w:t>
      </w:r>
    </w:p>
    <w:p w14:paraId="71660687" w14:textId="77777777" w:rsidR="00DE575E" w:rsidRDefault="00DE575E">
      <w:pPr>
        <w:pStyle w:val="BodyText"/>
        <w:spacing w:before="2"/>
        <w:rPr>
          <w:b/>
          <w:sz w:val="22"/>
        </w:rPr>
      </w:pPr>
    </w:p>
    <w:p w14:paraId="72155C94" w14:textId="77777777" w:rsidR="00DE575E" w:rsidRDefault="002E7560">
      <w:pPr>
        <w:ind w:left="533"/>
        <w:rPr>
          <w:b/>
          <w:sz w:val="21"/>
        </w:rPr>
      </w:pPr>
      <w:r>
        <w:rPr>
          <w:b/>
          <w:color w:val="231F20"/>
          <w:sz w:val="21"/>
        </w:rPr>
        <w:t>9.4.2. Способи відшкодування шкоди</w:t>
      </w:r>
    </w:p>
    <w:p w14:paraId="388D9D91" w14:textId="77777777" w:rsidR="00DE575E" w:rsidRDefault="00DE575E">
      <w:pPr>
        <w:pStyle w:val="BodyText"/>
        <w:spacing w:before="2"/>
        <w:rPr>
          <w:b/>
          <w:sz w:val="23"/>
        </w:rPr>
      </w:pPr>
    </w:p>
    <w:p w14:paraId="2BE28AA2" w14:textId="77777777" w:rsidR="00DE575E" w:rsidRDefault="002E7560">
      <w:pPr>
        <w:pStyle w:val="BodyText"/>
        <w:spacing w:line="252" w:lineRule="auto"/>
        <w:ind w:left="250" w:right="411" w:firstLine="283"/>
        <w:jc w:val="both"/>
      </w:pPr>
      <w:r>
        <w:rPr>
          <w:color w:val="231F20"/>
        </w:rPr>
        <w:t>Сучасне</w:t>
      </w:r>
      <w:r>
        <w:rPr>
          <w:color w:val="231F20"/>
          <w:spacing w:val="-12"/>
        </w:rPr>
        <w:t xml:space="preserve"> </w:t>
      </w:r>
      <w:r>
        <w:rPr>
          <w:color w:val="231F20"/>
        </w:rPr>
        <w:t>адміністративне</w:t>
      </w:r>
      <w:r>
        <w:rPr>
          <w:color w:val="231F20"/>
          <w:spacing w:val="-12"/>
        </w:rPr>
        <w:t xml:space="preserve"> </w:t>
      </w:r>
      <w:r>
        <w:rPr>
          <w:color w:val="231F20"/>
        </w:rPr>
        <w:t>право</w:t>
      </w:r>
      <w:r>
        <w:rPr>
          <w:color w:val="231F20"/>
          <w:spacing w:val="-12"/>
        </w:rPr>
        <w:t xml:space="preserve"> </w:t>
      </w:r>
      <w:r>
        <w:rPr>
          <w:color w:val="231F20"/>
        </w:rPr>
        <w:t>встановлює</w:t>
      </w:r>
      <w:r>
        <w:rPr>
          <w:color w:val="231F20"/>
          <w:spacing w:val="-12"/>
        </w:rPr>
        <w:t xml:space="preserve"> </w:t>
      </w:r>
      <w:r>
        <w:rPr>
          <w:color w:val="231F20"/>
        </w:rPr>
        <w:t>більше</w:t>
      </w:r>
      <w:r>
        <w:rPr>
          <w:color w:val="231F20"/>
          <w:spacing w:val="-12"/>
        </w:rPr>
        <w:t xml:space="preserve"> </w:t>
      </w:r>
      <w:r>
        <w:rPr>
          <w:color w:val="231F20"/>
        </w:rPr>
        <w:t>обмежень</w:t>
      </w:r>
      <w:r>
        <w:rPr>
          <w:color w:val="231F20"/>
          <w:spacing w:val="-12"/>
        </w:rPr>
        <w:t xml:space="preserve"> </w:t>
      </w:r>
      <w:r>
        <w:rPr>
          <w:color w:val="231F20"/>
        </w:rPr>
        <w:t>для держави (для публічної адміністрації) і менше для людей, так само як</w:t>
      </w:r>
      <w:r>
        <w:rPr>
          <w:color w:val="231F20"/>
          <w:spacing w:val="-6"/>
        </w:rPr>
        <w:t xml:space="preserve"> </w:t>
      </w:r>
      <w:r>
        <w:rPr>
          <w:color w:val="231F20"/>
        </w:rPr>
        <w:t>і</w:t>
      </w:r>
      <w:r>
        <w:rPr>
          <w:color w:val="231F20"/>
          <w:spacing w:val="-6"/>
        </w:rPr>
        <w:t xml:space="preserve"> </w:t>
      </w:r>
      <w:r>
        <w:rPr>
          <w:color w:val="231F20"/>
        </w:rPr>
        <w:t>загалом</w:t>
      </w:r>
      <w:r>
        <w:rPr>
          <w:color w:val="231F20"/>
          <w:spacing w:val="-6"/>
        </w:rPr>
        <w:t xml:space="preserve"> </w:t>
      </w:r>
      <w:r>
        <w:rPr>
          <w:color w:val="231F20"/>
        </w:rPr>
        <w:t>для</w:t>
      </w:r>
      <w:r>
        <w:rPr>
          <w:color w:val="231F20"/>
          <w:spacing w:val="-6"/>
        </w:rPr>
        <w:t xml:space="preserve"> </w:t>
      </w:r>
      <w:r>
        <w:rPr>
          <w:color w:val="231F20"/>
        </w:rPr>
        <w:t>приватних</w:t>
      </w:r>
      <w:r>
        <w:rPr>
          <w:color w:val="231F20"/>
          <w:spacing w:val="-6"/>
        </w:rPr>
        <w:t xml:space="preserve"> </w:t>
      </w:r>
      <w:r>
        <w:rPr>
          <w:color w:val="231F20"/>
        </w:rPr>
        <w:t>осіб.</w:t>
      </w:r>
      <w:r>
        <w:rPr>
          <w:color w:val="231F20"/>
          <w:spacing w:val="-6"/>
        </w:rPr>
        <w:t xml:space="preserve"> </w:t>
      </w:r>
      <w:r>
        <w:rPr>
          <w:color w:val="231F20"/>
        </w:rPr>
        <w:t>У</w:t>
      </w:r>
      <w:r>
        <w:rPr>
          <w:color w:val="231F20"/>
          <w:spacing w:val="-6"/>
        </w:rPr>
        <w:t xml:space="preserve"> </w:t>
      </w:r>
      <w:r>
        <w:rPr>
          <w:color w:val="231F20"/>
        </w:rPr>
        <w:t>зв’язку</w:t>
      </w:r>
      <w:r>
        <w:rPr>
          <w:color w:val="231F20"/>
          <w:spacing w:val="-6"/>
        </w:rPr>
        <w:t xml:space="preserve"> </w:t>
      </w:r>
      <w:r>
        <w:rPr>
          <w:color w:val="231F20"/>
        </w:rPr>
        <w:t>з</w:t>
      </w:r>
      <w:r>
        <w:rPr>
          <w:color w:val="231F20"/>
          <w:spacing w:val="-6"/>
        </w:rPr>
        <w:t xml:space="preserve"> </w:t>
      </w:r>
      <w:r>
        <w:rPr>
          <w:color w:val="231F20"/>
        </w:rPr>
        <w:t>цим</w:t>
      </w:r>
      <w:r>
        <w:rPr>
          <w:color w:val="231F20"/>
          <w:spacing w:val="-6"/>
        </w:rPr>
        <w:t xml:space="preserve"> </w:t>
      </w:r>
      <w:r>
        <w:rPr>
          <w:color w:val="231F20"/>
        </w:rPr>
        <w:t>значення</w:t>
      </w:r>
      <w:r>
        <w:rPr>
          <w:color w:val="231F20"/>
          <w:spacing w:val="-6"/>
        </w:rPr>
        <w:t xml:space="preserve"> </w:t>
      </w:r>
      <w:r>
        <w:rPr>
          <w:color w:val="231F20"/>
        </w:rPr>
        <w:t>так</w:t>
      </w:r>
      <w:r>
        <w:rPr>
          <w:color w:val="231F20"/>
          <w:spacing w:val="-6"/>
        </w:rPr>
        <w:t xml:space="preserve"> </w:t>
      </w:r>
      <w:r>
        <w:rPr>
          <w:color w:val="231F20"/>
        </w:rPr>
        <w:t>званих адміністративних процедур</w:t>
      </w:r>
      <w:r>
        <w:rPr>
          <w:color w:val="231F20"/>
          <w:spacing w:val="-2"/>
        </w:rPr>
        <w:t xml:space="preserve"> </w:t>
      </w:r>
      <w:r>
        <w:rPr>
          <w:color w:val="231F20"/>
        </w:rPr>
        <w:t>зростає.</w:t>
      </w:r>
    </w:p>
    <w:p w14:paraId="2CED4337" w14:textId="77777777" w:rsidR="00DE575E" w:rsidRDefault="002E7560">
      <w:pPr>
        <w:pStyle w:val="BodyText"/>
        <w:spacing w:before="2" w:line="252" w:lineRule="auto"/>
        <w:ind w:left="250" w:right="410" w:firstLine="283"/>
        <w:jc w:val="both"/>
      </w:pPr>
      <w:r>
        <w:rPr>
          <w:i/>
          <w:color w:val="231F20"/>
        </w:rPr>
        <w:t xml:space="preserve">Обов’язковим учасником адміністративної процедури </w:t>
      </w:r>
      <w:r>
        <w:rPr>
          <w:color w:val="231F20"/>
        </w:rPr>
        <w:t xml:space="preserve">є фізична (громадянин </w:t>
      </w:r>
      <w:r>
        <w:rPr>
          <w:color w:val="231F20"/>
          <w:spacing w:val="-3"/>
        </w:rPr>
        <w:t xml:space="preserve">України, </w:t>
      </w:r>
      <w:r>
        <w:rPr>
          <w:color w:val="231F20"/>
        </w:rPr>
        <w:t>іноземець, особа без громадянства) або юридична особа, яких у західному праві часто називають «приватна особа». У  проце</w:t>
      </w:r>
      <w:r>
        <w:rPr>
          <w:color w:val="231F20"/>
        </w:rPr>
        <w:t>дурному  значенні  можна  виділити  такі  катего-  рії приватних осіб: особа, яка звертається до адміністративного органу із заявою, зокрема за отриманням адміністративної послуги (заявник); особа, щодо якої ухвалюється акт за ініціативою адмі- ністративно</w:t>
      </w:r>
      <w:r>
        <w:rPr>
          <w:color w:val="231F20"/>
        </w:rPr>
        <w:t xml:space="preserve">го </w:t>
      </w:r>
      <w:r>
        <w:rPr>
          <w:color w:val="231F20"/>
          <w:spacing w:val="-3"/>
        </w:rPr>
        <w:t xml:space="preserve">органу, </w:t>
      </w:r>
      <w:r>
        <w:rPr>
          <w:color w:val="231F20"/>
        </w:rPr>
        <w:t xml:space="preserve">зокрема в порядку здійснення контрольних повноважень; особа, яка вступає в адміністративну процедуру за власною ініціативою або залучається за ініціативою адміністратив- ного </w:t>
      </w:r>
      <w:r>
        <w:rPr>
          <w:color w:val="231F20"/>
          <w:spacing w:val="-3"/>
        </w:rPr>
        <w:t xml:space="preserve">органу, </w:t>
      </w:r>
      <w:r>
        <w:rPr>
          <w:color w:val="231F20"/>
        </w:rPr>
        <w:t>оскільки рішення у справі може вплинути на її права чи законні</w:t>
      </w:r>
      <w:r>
        <w:rPr>
          <w:color w:val="231F20"/>
        </w:rPr>
        <w:t xml:space="preserve"> інтереси; особа, яка звертається до адміністративного органу зі скаргою на рішення, дії та бездіяльність адміністратив- ного органу</w:t>
      </w:r>
      <w:r>
        <w:rPr>
          <w:color w:val="231F20"/>
          <w:spacing w:val="-2"/>
        </w:rPr>
        <w:t xml:space="preserve"> </w:t>
      </w:r>
      <w:r>
        <w:rPr>
          <w:color w:val="231F20"/>
        </w:rPr>
        <w:t>(скаржник).</w:t>
      </w:r>
    </w:p>
    <w:p w14:paraId="25387112" w14:textId="77777777" w:rsidR="00DE575E" w:rsidRDefault="002E7560">
      <w:pPr>
        <w:pStyle w:val="BodyText"/>
        <w:spacing w:before="7" w:line="252" w:lineRule="auto"/>
        <w:ind w:left="250" w:right="411" w:firstLine="283"/>
        <w:jc w:val="both"/>
      </w:pPr>
      <w:r>
        <w:rPr>
          <w:i/>
          <w:color w:val="231F20"/>
        </w:rPr>
        <w:t>Відшкодування</w:t>
      </w:r>
      <w:r>
        <w:rPr>
          <w:i/>
          <w:color w:val="231F20"/>
          <w:spacing w:val="-14"/>
        </w:rPr>
        <w:t xml:space="preserve"> </w:t>
      </w:r>
      <w:r>
        <w:rPr>
          <w:i/>
          <w:color w:val="231F20"/>
        </w:rPr>
        <w:t>шкоди,</w:t>
      </w:r>
      <w:r>
        <w:rPr>
          <w:i/>
          <w:color w:val="231F20"/>
          <w:spacing w:val="-14"/>
        </w:rPr>
        <w:t xml:space="preserve"> </w:t>
      </w:r>
      <w:r>
        <w:rPr>
          <w:i/>
          <w:color w:val="231F20"/>
        </w:rPr>
        <w:t>завданої</w:t>
      </w:r>
      <w:r>
        <w:rPr>
          <w:i/>
          <w:color w:val="231F20"/>
          <w:spacing w:val="-14"/>
        </w:rPr>
        <w:t xml:space="preserve"> </w:t>
      </w:r>
      <w:r>
        <w:rPr>
          <w:i/>
          <w:color w:val="231F20"/>
        </w:rPr>
        <w:t>публічною</w:t>
      </w:r>
      <w:r>
        <w:rPr>
          <w:i/>
          <w:color w:val="231F20"/>
          <w:spacing w:val="-14"/>
        </w:rPr>
        <w:t xml:space="preserve"> </w:t>
      </w:r>
      <w:r>
        <w:rPr>
          <w:i/>
          <w:color w:val="231F20"/>
        </w:rPr>
        <w:t>адміністраціє</w:t>
      </w:r>
      <w:r>
        <w:rPr>
          <w:color w:val="231F20"/>
        </w:rPr>
        <w:t>ю</w:t>
      </w:r>
      <w:r>
        <w:rPr>
          <w:color w:val="231F20"/>
          <w:spacing w:val="-14"/>
        </w:rPr>
        <w:t xml:space="preserve"> </w:t>
      </w:r>
      <w:r>
        <w:rPr>
          <w:color w:val="231F20"/>
        </w:rPr>
        <w:t>приват- ним особам, може здійснюватися за рахунок або ко</w:t>
      </w:r>
      <w:r>
        <w:rPr>
          <w:color w:val="231F20"/>
        </w:rPr>
        <w:t xml:space="preserve">штів державного </w:t>
      </w:r>
      <w:r>
        <w:rPr>
          <w:color w:val="231F20"/>
          <w:spacing w:val="-4"/>
        </w:rPr>
        <w:t xml:space="preserve">бюджету, </w:t>
      </w:r>
      <w:r>
        <w:rPr>
          <w:color w:val="231F20"/>
        </w:rPr>
        <w:t xml:space="preserve">або коштів місцевого </w:t>
      </w:r>
      <w:r>
        <w:rPr>
          <w:color w:val="231F20"/>
          <w:spacing w:val="-4"/>
        </w:rPr>
        <w:t xml:space="preserve">бюджету. </w:t>
      </w:r>
      <w:r>
        <w:rPr>
          <w:color w:val="231F20"/>
        </w:rPr>
        <w:t xml:space="preserve">Вид </w:t>
      </w:r>
      <w:r>
        <w:rPr>
          <w:color w:val="231F20"/>
          <w:spacing w:val="-4"/>
        </w:rPr>
        <w:t xml:space="preserve">бюджету, </w:t>
      </w:r>
      <w:r>
        <w:rPr>
          <w:color w:val="231F20"/>
        </w:rPr>
        <w:t xml:space="preserve">з якого </w:t>
      </w:r>
      <w:r>
        <w:rPr>
          <w:color w:val="231F20"/>
          <w:spacing w:val="-4"/>
        </w:rPr>
        <w:t xml:space="preserve">буде </w:t>
      </w:r>
      <w:r>
        <w:rPr>
          <w:color w:val="231F20"/>
        </w:rPr>
        <w:t xml:space="preserve">здійснюватися виплата, залежить від конкретного виду </w:t>
      </w:r>
      <w:r>
        <w:rPr>
          <w:color w:val="231F20"/>
          <w:spacing w:val="-4"/>
        </w:rPr>
        <w:t xml:space="preserve">суб’єкта </w:t>
      </w:r>
      <w:r>
        <w:rPr>
          <w:color w:val="231F20"/>
        </w:rPr>
        <w:t xml:space="preserve">публічної адміністрації, що заподіяв цю </w:t>
      </w:r>
      <w:r>
        <w:rPr>
          <w:color w:val="231F20"/>
          <w:spacing w:val="-5"/>
        </w:rPr>
        <w:t xml:space="preserve">шкоду. </w:t>
      </w:r>
      <w:r>
        <w:rPr>
          <w:color w:val="231F20"/>
        </w:rPr>
        <w:t>Крім того заподі- яна шкода може відшкодовуватися «добровільно» аб</w:t>
      </w:r>
      <w:r>
        <w:rPr>
          <w:color w:val="231F20"/>
        </w:rPr>
        <w:t>о «приму- сово» через виконавче провадження, що здійснюють державні або приватні</w:t>
      </w:r>
      <w:r>
        <w:rPr>
          <w:color w:val="231F20"/>
          <w:spacing w:val="-1"/>
        </w:rPr>
        <w:t xml:space="preserve"> </w:t>
      </w:r>
      <w:r>
        <w:rPr>
          <w:color w:val="231F20"/>
        </w:rPr>
        <w:t>виконавці.</w:t>
      </w:r>
    </w:p>
    <w:p w14:paraId="01567C16" w14:textId="77777777" w:rsidR="00DE575E" w:rsidRDefault="002E7560">
      <w:pPr>
        <w:pStyle w:val="BodyText"/>
        <w:spacing w:before="4" w:line="252" w:lineRule="auto"/>
        <w:ind w:left="250" w:right="411" w:firstLine="283"/>
        <w:jc w:val="both"/>
      </w:pPr>
      <w:r>
        <w:rPr>
          <w:color w:val="231F20"/>
        </w:rPr>
        <w:t>Проте ці положення ще ефективно не забезпечені нормами адмі- ністративного</w:t>
      </w:r>
      <w:r>
        <w:rPr>
          <w:color w:val="231F20"/>
          <w:spacing w:val="-17"/>
        </w:rPr>
        <w:t xml:space="preserve"> </w:t>
      </w:r>
      <w:r>
        <w:rPr>
          <w:color w:val="231F20"/>
        </w:rPr>
        <w:t>права.</w:t>
      </w:r>
      <w:r>
        <w:rPr>
          <w:color w:val="231F20"/>
          <w:spacing w:val="-17"/>
        </w:rPr>
        <w:t xml:space="preserve"> </w:t>
      </w:r>
      <w:r>
        <w:rPr>
          <w:color w:val="231F20"/>
          <w:spacing w:val="-4"/>
        </w:rPr>
        <w:t>Так,</w:t>
      </w:r>
      <w:r>
        <w:rPr>
          <w:color w:val="231F20"/>
          <w:spacing w:val="-17"/>
        </w:rPr>
        <w:t xml:space="preserve"> </w:t>
      </w:r>
      <w:r>
        <w:rPr>
          <w:color w:val="231F20"/>
        </w:rPr>
        <w:t>за</w:t>
      </w:r>
      <w:r>
        <w:rPr>
          <w:color w:val="231F20"/>
          <w:spacing w:val="-17"/>
        </w:rPr>
        <w:t xml:space="preserve"> </w:t>
      </w:r>
      <w:r>
        <w:rPr>
          <w:color w:val="231F20"/>
        </w:rPr>
        <w:t>даними</w:t>
      </w:r>
      <w:r>
        <w:rPr>
          <w:color w:val="231F20"/>
          <w:spacing w:val="-17"/>
        </w:rPr>
        <w:t xml:space="preserve"> </w:t>
      </w:r>
      <w:r>
        <w:rPr>
          <w:color w:val="231F20"/>
          <w:spacing w:val="-3"/>
        </w:rPr>
        <w:t>Мін’юсту,</w:t>
      </w:r>
      <w:r>
        <w:rPr>
          <w:color w:val="231F20"/>
          <w:spacing w:val="-17"/>
        </w:rPr>
        <w:t xml:space="preserve"> </w:t>
      </w:r>
      <w:r>
        <w:rPr>
          <w:color w:val="231F20"/>
        </w:rPr>
        <w:t>2017</w:t>
      </w:r>
      <w:r>
        <w:rPr>
          <w:color w:val="231F20"/>
          <w:spacing w:val="-17"/>
        </w:rPr>
        <w:t xml:space="preserve"> </w:t>
      </w:r>
      <w:r>
        <w:rPr>
          <w:color w:val="231F20"/>
        </w:rPr>
        <w:t>року</w:t>
      </w:r>
      <w:r>
        <w:rPr>
          <w:color w:val="231F20"/>
          <w:spacing w:val="-17"/>
        </w:rPr>
        <w:t xml:space="preserve"> </w:t>
      </w:r>
      <w:r>
        <w:rPr>
          <w:color w:val="231F20"/>
        </w:rPr>
        <w:t>рівень</w:t>
      </w:r>
      <w:r>
        <w:rPr>
          <w:color w:val="231F20"/>
          <w:spacing w:val="-17"/>
        </w:rPr>
        <w:t xml:space="preserve"> </w:t>
      </w:r>
      <w:r>
        <w:rPr>
          <w:color w:val="231F20"/>
        </w:rPr>
        <w:t xml:space="preserve">вико- нання </w:t>
      </w:r>
      <w:r>
        <w:rPr>
          <w:color w:val="231F20"/>
          <w:spacing w:val="-3"/>
        </w:rPr>
        <w:t xml:space="preserve">судових </w:t>
      </w:r>
      <w:r>
        <w:rPr>
          <w:color w:val="231F20"/>
        </w:rPr>
        <w:t xml:space="preserve">рішень склав 31%, і хоча статистика щодо відшкоду- вання адміністративних рішень </w:t>
      </w:r>
      <w:r>
        <w:rPr>
          <w:color w:val="231F20"/>
          <w:spacing w:val="-3"/>
        </w:rPr>
        <w:t xml:space="preserve">суб’єктів </w:t>
      </w:r>
      <w:r>
        <w:rPr>
          <w:color w:val="231F20"/>
        </w:rPr>
        <w:t xml:space="preserve">публічної адміністрації загалом відсутня, цей рівень </w:t>
      </w:r>
      <w:r>
        <w:rPr>
          <w:color w:val="231F20"/>
          <w:spacing w:val="-3"/>
        </w:rPr>
        <w:t xml:space="preserve">об’єктивно </w:t>
      </w:r>
      <w:r>
        <w:rPr>
          <w:color w:val="231F20"/>
        </w:rPr>
        <w:t>не може бути</w:t>
      </w:r>
      <w:r>
        <w:rPr>
          <w:color w:val="231F20"/>
          <w:spacing w:val="-7"/>
        </w:rPr>
        <w:t xml:space="preserve"> </w:t>
      </w:r>
      <w:r>
        <w:rPr>
          <w:color w:val="231F20"/>
        </w:rPr>
        <w:t>вищим.</w:t>
      </w:r>
    </w:p>
    <w:p w14:paraId="6DE30279" w14:textId="77777777" w:rsidR="00DE575E" w:rsidRDefault="00DE575E">
      <w:pPr>
        <w:pStyle w:val="BodyText"/>
        <w:spacing w:before="8"/>
        <w:rPr>
          <w:sz w:val="12"/>
        </w:rPr>
      </w:pPr>
    </w:p>
    <w:p w14:paraId="38E2DBC9" w14:textId="77777777" w:rsidR="00DE575E" w:rsidRDefault="002E7560">
      <w:pPr>
        <w:spacing w:before="92"/>
        <w:ind w:right="411"/>
        <w:jc w:val="right"/>
        <w:rPr>
          <w:rFonts w:ascii="Times New Roman"/>
          <w:sz w:val="20"/>
        </w:rPr>
      </w:pPr>
      <w:r>
        <w:rPr>
          <w:rFonts w:ascii="Times New Roman"/>
          <w:color w:val="231F20"/>
          <w:w w:val="90"/>
          <w:sz w:val="20"/>
        </w:rPr>
        <w:t>337</w:t>
      </w:r>
    </w:p>
    <w:p w14:paraId="72168EC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66F48B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644B2B3" w14:textId="60CE427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865D43C" wp14:editId="22DBAED1">
                <wp:extent cx="4140200" cy="6350"/>
                <wp:effectExtent l="0" t="0" r="12700" b="6350"/>
                <wp:docPr id="566"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67" name="Line 56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E26C2" id="Group_x0020_56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onT2R/AgAAmAUAAA4A&#10;AAAAAAAAAAAAAAAALAIAAGRycy9lMm9Eb2MueG1sUEsBAi0AFAAGAAgAAAAhAEynsJDZAAAAAwEA&#10;AA8AAAAAAAAAAAAAAAAA1wQAAGRycy9kb3ducmV2LnhtbFBLBQYAAAAABAAEAPMAAADdBQAAAAA=&#10;">
                <v:line id="Line_x0020_56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2YuMYAAADcAAAADwAAAGRycy9kb3ducmV2LnhtbESP0WrCQBRE3wv+w3IFX0rdqNRKdBUp&#10;FEoftDX9gGv2mgR378bsaqJf7wqFPg4zc4ZZrDprxIUaXzlWMBomIIhzpysuFPxmHy8zED4gazSO&#10;ScGVPKyWvacFptq1/EOXXShEhLBPUUEZQp1K6fOSLPqhq4mjd3CNxRBlU0jdYBvh1shxkkylxYrj&#10;Qok1vZeUH3dnqyA7PQfzvf0ybbbdT+T+tJnczhulBv1uPQcRqAv/4b/2p1bwOn2D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9mLjGAAAA3AAAAA8AAAAAAAAA&#10;AAAAAAAAoQIAAGRycy9kb3ducmV2LnhtbFBLBQYAAAAABAAEAPkAAACUAwAAAAA=&#10;" strokecolor="#231f20" strokeweight=".5pt"/>
                <w10:anchorlock/>
              </v:group>
            </w:pict>
          </mc:Fallback>
        </mc:AlternateContent>
      </w:r>
    </w:p>
    <w:p w14:paraId="2488554B" w14:textId="77777777" w:rsidR="00DE575E" w:rsidRDefault="00DE575E">
      <w:pPr>
        <w:pStyle w:val="BodyText"/>
        <w:spacing w:before="7"/>
        <w:rPr>
          <w:rFonts w:ascii="AdonisC"/>
          <w:i/>
          <w:sz w:val="11"/>
        </w:rPr>
      </w:pPr>
    </w:p>
    <w:p w14:paraId="1D3CF70A" w14:textId="77777777" w:rsidR="00DE575E" w:rsidRDefault="002E7560">
      <w:pPr>
        <w:pStyle w:val="BodyText"/>
        <w:spacing w:before="101" w:line="244" w:lineRule="auto"/>
        <w:ind w:left="533" w:right="128" w:firstLine="283"/>
        <w:jc w:val="both"/>
      </w:pPr>
      <w:r>
        <w:rPr>
          <w:color w:val="231F20"/>
        </w:rPr>
        <w:t>Для того щоб це виправити, потрібно вирішити такі завдання: створити максимально простий і прозорий механізм захисту грома- дян від незаконних рішень органів влади; правові підстави для позас</w:t>
      </w:r>
      <w:r>
        <w:rPr>
          <w:color w:val="231F20"/>
        </w:rPr>
        <w:t>удового відшкодування шкоди; єдиний прозорий механізм визнання рішень, дій та бездіяльності органів  влади  такими,  що не відповідають чинному законодавству; ефективний механізм скасування чи зміни в адміністративному порядку нормативно- правових актів, щ</w:t>
      </w:r>
      <w:r>
        <w:rPr>
          <w:color w:val="231F20"/>
        </w:rPr>
        <w:t xml:space="preserve">о не відповідають нормам законодавства вищого рівня; забезпечити </w:t>
      </w:r>
      <w:r>
        <w:rPr>
          <w:color w:val="231F20"/>
          <w:spacing w:val="-3"/>
        </w:rPr>
        <w:t xml:space="preserve">об’єктивність </w:t>
      </w:r>
      <w:r>
        <w:rPr>
          <w:color w:val="231F20"/>
        </w:rPr>
        <w:t xml:space="preserve">і неупередженість </w:t>
      </w:r>
      <w:r>
        <w:rPr>
          <w:color w:val="231F20"/>
          <w:spacing w:val="-3"/>
        </w:rPr>
        <w:t xml:space="preserve">розгляду </w:t>
      </w:r>
      <w:r>
        <w:rPr>
          <w:color w:val="231F20"/>
        </w:rPr>
        <w:t>скарг в адміністративному порядку; ліквідувати практику вибіркового застосування законодавства у зв’язку з недостатнім рівнем фінан- сування зобов’яза</w:t>
      </w:r>
      <w:r>
        <w:rPr>
          <w:color w:val="231F20"/>
        </w:rPr>
        <w:t>нь держави й органів місцевого самоврядування щодо реформування процедури виплати відшкодування за рахунок бюджету відповідного</w:t>
      </w:r>
      <w:r>
        <w:rPr>
          <w:color w:val="231F20"/>
          <w:spacing w:val="-3"/>
        </w:rPr>
        <w:t xml:space="preserve"> </w:t>
      </w:r>
      <w:r>
        <w:rPr>
          <w:color w:val="231F20"/>
        </w:rPr>
        <w:t>рівня.</w:t>
      </w:r>
    </w:p>
    <w:p w14:paraId="46DDF779" w14:textId="77777777" w:rsidR="00DE575E" w:rsidRDefault="002E7560">
      <w:pPr>
        <w:pStyle w:val="BodyText"/>
        <w:spacing w:before="12"/>
        <w:ind w:left="817"/>
      </w:pPr>
      <w:r>
        <w:rPr>
          <w:color w:val="231F20"/>
        </w:rPr>
        <w:t>Цьому має сприяти реалізація положень Закону від 2.06.2016 р.</w:t>
      </w:r>
    </w:p>
    <w:p w14:paraId="4C6BC9AD" w14:textId="77777777" w:rsidR="00DE575E" w:rsidRDefault="002E7560">
      <w:pPr>
        <w:pStyle w:val="BodyText"/>
        <w:spacing w:before="6" w:line="244" w:lineRule="auto"/>
        <w:ind w:left="533" w:right="128"/>
        <w:jc w:val="both"/>
      </w:pPr>
      <w:r>
        <w:rPr>
          <w:color w:val="231F20"/>
        </w:rPr>
        <w:t xml:space="preserve">№ 1404-VIII «Про виконавче провадження», а також розповсю- </w:t>
      </w:r>
      <w:r>
        <w:rPr>
          <w:color w:val="231F20"/>
        </w:rPr>
        <w:t>дження</w:t>
      </w:r>
      <w:r>
        <w:rPr>
          <w:color w:val="231F20"/>
          <w:spacing w:val="-19"/>
        </w:rPr>
        <w:t xml:space="preserve"> </w:t>
      </w:r>
      <w:r>
        <w:rPr>
          <w:color w:val="231F20"/>
        </w:rPr>
        <w:t>на</w:t>
      </w:r>
      <w:r>
        <w:rPr>
          <w:color w:val="231F20"/>
          <w:spacing w:val="-19"/>
        </w:rPr>
        <w:t xml:space="preserve"> </w:t>
      </w:r>
      <w:r>
        <w:rPr>
          <w:color w:val="231F20"/>
        </w:rPr>
        <w:t>аналізовану</w:t>
      </w:r>
      <w:r>
        <w:rPr>
          <w:color w:val="231F20"/>
          <w:spacing w:val="-20"/>
        </w:rPr>
        <w:t xml:space="preserve"> </w:t>
      </w:r>
      <w:r>
        <w:rPr>
          <w:color w:val="231F20"/>
        </w:rPr>
        <w:t>нами</w:t>
      </w:r>
      <w:r>
        <w:rPr>
          <w:color w:val="231F20"/>
          <w:spacing w:val="-19"/>
        </w:rPr>
        <w:t xml:space="preserve"> </w:t>
      </w:r>
      <w:r>
        <w:rPr>
          <w:color w:val="231F20"/>
        </w:rPr>
        <w:t>сферу</w:t>
      </w:r>
      <w:r>
        <w:rPr>
          <w:color w:val="231F20"/>
          <w:spacing w:val="-19"/>
        </w:rPr>
        <w:t xml:space="preserve"> </w:t>
      </w:r>
      <w:r>
        <w:rPr>
          <w:color w:val="231F20"/>
        </w:rPr>
        <w:t>організаційно-правових</w:t>
      </w:r>
      <w:r>
        <w:rPr>
          <w:color w:val="231F20"/>
          <w:spacing w:val="-20"/>
        </w:rPr>
        <w:t xml:space="preserve"> </w:t>
      </w:r>
      <w:r>
        <w:rPr>
          <w:color w:val="231F20"/>
        </w:rPr>
        <w:t>ініціатив Мін’юсту</w:t>
      </w:r>
      <w:r>
        <w:rPr>
          <w:color w:val="231F20"/>
          <w:spacing w:val="-15"/>
        </w:rPr>
        <w:t xml:space="preserve"> </w:t>
      </w:r>
      <w:r>
        <w:rPr>
          <w:color w:val="231F20"/>
        </w:rPr>
        <w:t>щодо</w:t>
      </w:r>
      <w:r>
        <w:rPr>
          <w:color w:val="231F20"/>
          <w:spacing w:val="-15"/>
        </w:rPr>
        <w:t xml:space="preserve"> </w:t>
      </w:r>
      <w:r>
        <w:rPr>
          <w:color w:val="231F20"/>
        </w:rPr>
        <w:t>боржників</w:t>
      </w:r>
      <w:r>
        <w:rPr>
          <w:color w:val="231F20"/>
          <w:spacing w:val="-15"/>
        </w:rPr>
        <w:t xml:space="preserve"> </w:t>
      </w:r>
      <w:r>
        <w:rPr>
          <w:color w:val="231F20"/>
        </w:rPr>
        <w:t>аліментів.</w:t>
      </w:r>
      <w:r>
        <w:rPr>
          <w:color w:val="231F20"/>
          <w:spacing w:val="-15"/>
        </w:rPr>
        <w:t xml:space="preserve"> </w:t>
      </w:r>
      <w:r>
        <w:rPr>
          <w:color w:val="231F20"/>
        </w:rPr>
        <w:t>Нами</w:t>
      </w:r>
      <w:r>
        <w:rPr>
          <w:color w:val="231F20"/>
          <w:spacing w:val="-15"/>
        </w:rPr>
        <w:t xml:space="preserve"> </w:t>
      </w:r>
      <w:r>
        <w:rPr>
          <w:color w:val="231F20"/>
        </w:rPr>
        <w:t>пропонується</w:t>
      </w:r>
      <w:r>
        <w:rPr>
          <w:color w:val="231F20"/>
          <w:spacing w:val="-15"/>
        </w:rPr>
        <w:t xml:space="preserve"> </w:t>
      </w:r>
      <w:r>
        <w:rPr>
          <w:color w:val="231F20"/>
        </w:rPr>
        <w:t xml:space="preserve">встановити тимчасове обмеження для керівника </w:t>
      </w:r>
      <w:r>
        <w:rPr>
          <w:color w:val="231F20"/>
          <w:spacing w:val="-3"/>
        </w:rPr>
        <w:t xml:space="preserve">суб’єкта </w:t>
      </w:r>
      <w:r>
        <w:rPr>
          <w:color w:val="231F20"/>
        </w:rPr>
        <w:t>органу виконавчої влади,</w:t>
      </w:r>
      <w:r>
        <w:rPr>
          <w:color w:val="231F20"/>
          <w:spacing w:val="-5"/>
        </w:rPr>
        <w:t xml:space="preserve"> </w:t>
      </w:r>
      <w:r>
        <w:rPr>
          <w:color w:val="231F20"/>
        </w:rPr>
        <w:t>який</w:t>
      </w:r>
      <w:r>
        <w:rPr>
          <w:color w:val="231F20"/>
          <w:spacing w:val="-6"/>
        </w:rPr>
        <w:t xml:space="preserve"> </w:t>
      </w:r>
      <w:r>
        <w:rPr>
          <w:color w:val="231F20"/>
        </w:rPr>
        <w:t>має</w:t>
      </w:r>
      <w:r>
        <w:rPr>
          <w:color w:val="231F20"/>
          <w:spacing w:val="-5"/>
        </w:rPr>
        <w:t xml:space="preserve"> </w:t>
      </w:r>
      <w:r>
        <w:rPr>
          <w:color w:val="231F20"/>
        </w:rPr>
        <w:t>невиконані</w:t>
      </w:r>
      <w:r>
        <w:rPr>
          <w:color w:val="231F20"/>
          <w:spacing w:val="-5"/>
        </w:rPr>
        <w:t xml:space="preserve"> </w:t>
      </w:r>
      <w:r>
        <w:rPr>
          <w:color w:val="231F20"/>
        </w:rPr>
        <w:t>матеріальні</w:t>
      </w:r>
      <w:r>
        <w:rPr>
          <w:color w:val="231F20"/>
          <w:spacing w:val="-5"/>
        </w:rPr>
        <w:t xml:space="preserve"> </w:t>
      </w:r>
      <w:r>
        <w:rPr>
          <w:color w:val="231F20"/>
        </w:rPr>
        <w:t>зобов’язання</w:t>
      </w:r>
      <w:r>
        <w:rPr>
          <w:color w:val="231F20"/>
          <w:spacing w:val="-6"/>
        </w:rPr>
        <w:t xml:space="preserve"> </w:t>
      </w:r>
      <w:r>
        <w:rPr>
          <w:color w:val="231F20"/>
        </w:rPr>
        <w:t>перед</w:t>
      </w:r>
      <w:r>
        <w:rPr>
          <w:color w:val="231F20"/>
          <w:spacing w:val="-6"/>
        </w:rPr>
        <w:t xml:space="preserve"> </w:t>
      </w:r>
      <w:r>
        <w:rPr>
          <w:color w:val="231F20"/>
        </w:rPr>
        <w:t xml:space="preserve">приват- ною особою, – у праві виїзду за межі </w:t>
      </w:r>
      <w:r>
        <w:rPr>
          <w:color w:val="231F20"/>
          <w:spacing w:val="-3"/>
        </w:rPr>
        <w:t xml:space="preserve">України; </w:t>
      </w:r>
      <w:r>
        <w:rPr>
          <w:color w:val="231F20"/>
        </w:rPr>
        <w:t>на отримання премій та інших обмежень особистого несприятливого</w:t>
      </w:r>
      <w:r>
        <w:rPr>
          <w:color w:val="231F20"/>
          <w:spacing w:val="-6"/>
        </w:rPr>
        <w:t xml:space="preserve"> </w:t>
      </w:r>
      <w:r>
        <w:rPr>
          <w:color w:val="231F20"/>
          <w:spacing w:val="-3"/>
        </w:rPr>
        <w:t>характеру.</w:t>
      </w:r>
    </w:p>
    <w:p w14:paraId="5E24E131" w14:textId="77777777" w:rsidR="00DE575E" w:rsidRDefault="002E7560">
      <w:pPr>
        <w:pStyle w:val="Heading5"/>
        <w:spacing w:before="6" w:line="244" w:lineRule="auto"/>
        <w:ind w:right="125" w:firstLine="283"/>
        <w:jc w:val="both"/>
        <w:rPr>
          <w:i/>
        </w:rPr>
      </w:pPr>
      <w:r>
        <w:rPr>
          <w:color w:val="231F20"/>
        </w:rPr>
        <w:t xml:space="preserve">Отже, способами відшкодування </w:t>
      </w:r>
      <w:r>
        <w:rPr>
          <w:color w:val="231F20"/>
          <w:spacing w:val="-3"/>
        </w:rPr>
        <w:t xml:space="preserve">шкоди, </w:t>
      </w:r>
      <w:r>
        <w:rPr>
          <w:color w:val="231F20"/>
        </w:rPr>
        <w:t xml:space="preserve">завданої </w:t>
      </w:r>
      <w:r>
        <w:rPr>
          <w:color w:val="231F20"/>
          <w:spacing w:val="-3"/>
        </w:rPr>
        <w:t xml:space="preserve">суб’єктами </w:t>
      </w:r>
      <w:r>
        <w:rPr>
          <w:color w:val="231F20"/>
        </w:rPr>
        <w:t>публічної адміністрації, є виплата її за рахунок  державного  або місц</w:t>
      </w:r>
      <w:r>
        <w:rPr>
          <w:color w:val="231F20"/>
        </w:rPr>
        <w:t xml:space="preserve">евого бюджетів добровільно (за ініціативою винного </w:t>
      </w:r>
      <w:r>
        <w:rPr>
          <w:color w:val="231F20"/>
          <w:spacing w:val="-3"/>
        </w:rPr>
        <w:t xml:space="preserve">суб’єкта </w:t>
      </w:r>
      <w:r>
        <w:rPr>
          <w:color w:val="231F20"/>
        </w:rPr>
        <w:t>публічної адміністрації) і через виконавче провад- ження відповідним розпорядником бюджетних</w:t>
      </w:r>
      <w:r>
        <w:rPr>
          <w:color w:val="231F20"/>
          <w:spacing w:val="-10"/>
        </w:rPr>
        <w:t xml:space="preserve"> </w:t>
      </w:r>
      <w:r>
        <w:rPr>
          <w:color w:val="231F20"/>
        </w:rPr>
        <w:t>коштів</w:t>
      </w:r>
      <w:r>
        <w:rPr>
          <w:i/>
          <w:color w:val="231F20"/>
        </w:rPr>
        <w:t>.</w:t>
      </w:r>
    </w:p>
    <w:p w14:paraId="47DFEB7E" w14:textId="77777777" w:rsidR="00DE575E" w:rsidRDefault="00DE575E">
      <w:pPr>
        <w:pStyle w:val="BodyText"/>
        <w:rPr>
          <w:b/>
          <w:i/>
          <w:sz w:val="24"/>
        </w:rPr>
      </w:pPr>
    </w:p>
    <w:p w14:paraId="745A20AE" w14:textId="77777777" w:rsidR="00DE575E" w:rsidRDefault="00DE575E">
      <w:pPr>
        <w:pStyle w:val="BodyText"/>
        <w:spacing w:before="4"/>
        <w:rPr>
          <w:b/>
          <w:i/>
          <w:sz w:val="19"/>
        </w:rPr>
      </w:pPr>
    </w:p>
    <w:p w14:paraId="40A4A03B" w14:textId="77777777" w:rsidR="00DE575E" w:rsidRDefault="002E7560">
      <w:pPr>
        <w:ind w:left="2697"/>
        <w:rPr>
          <w:b/>
          <w:sz w:val="21"/>
        </w:rPr>
      </w:pPr>
      <w:r>
        <w:rPr>
          <w:b/>
          <w:color w:val="231F20"/>
          <w:sz w:val="21"/>
        </w:rPr>
        <w:t>Запитання і завдання</w:t>
      </w:r>
    </w:p>
    <w:p w14:paraId="06A3DC5E" w14:textId="77777777" w:rsidR="00DE575E" w:rsidRDefault="00DE575E">
      <w:pPr>
        <w:pStyle w:val="BodyText"/>
        <w:rPr>
          <w:b/>
          <w:sz w:val="22"/>
        </w:rPr>
      </w:pPr>
    </w:p>
    <w:p w14:paraId="5749A8F6" w14:textId="77777777" w:rsidR="00DE575E" w:rsidRDefault="002E7560">
      <w:pPr>
        <w:pStyle w:val="ListParagraph"/>
        <w:numPr>
          <w:ilvl w:val="0"/>
          <w:numId w:val="125"/>
        </w:numPr>
        <w:tabs>
          <w:tab w:val="left" w:pos="1101"/>
        </w:tabs>
        <w:spacing w:before="0" w:line="244" w:lineRule="auto"/>
        <w:ind w:right="127" w:firstLine="284"/>
        <w:jc w:val="both"/>
        <w:rPr>
          <w:sz w:val="21"/>
        </w:rPr>
      </w:pPr>
      <w:r>
        <w:rPr>
          <w:color w:val="231F20"/>
          <w:sz w:val="21"/>
        </w:rPr>
        <w:t>Розкрийте поняття та види інструментів захисту прав, свобод та інтересів приватних осіб у сфері публічного</w:t>
      </w:r>
      <w:r>
        <w:rPr>
          <w:color w:val="231F20"/>
          <w:spacing w:val="-9"/>
          <w:sz w:val="21"/>
        </w:rPr>
        <w:t xml:space="preserve"> </w:t>
      </w:r>
      <w:r>
        <w:rPr>
          <w:color w:val="231F20"/>
          <w:sz w:val="21"/>
        </w:rPr>
        <w:t>адміністрування.</w:t>
      </w:r>
    </w:p>
    <w:p w14:paraId="3FE3C2A7" w14:textId="77777777" w:rsidR="00DE575E" w:rsidRDefault="002E7560">
      <w:pPr>
        <w:pStyle w:val="ListParagraph"/>
        <w:numPr>
          <w:ilvl w:val="0"/>
          <w:numId w:val="125"/>
        </w:numPr>
        <w:tabs>
          <w:tab w:val="left" w:pos="1101"/>
        </w:tabs>
        <w:spacing w:before="2"/>
        <w:ind w:firstLine="284"/>
        <w:rPr>
          <w:sz w:val="21"/>
        </w:rPr>
      </w:pPr>
      <w:r>
        <w:rPr>
          <w:color w:val="231F20"/>
          <w:sz w:val="21"/>
        </w:rPr>
        <w:t>У чому полягає зміст адміністративної</w:t>
      </w:r>
      <w:r>
        <w:rPr>
          <w:color w:val="231F20"/>
          <w:spacing w:val="-5"/>
          <w:sz w:val="21"/>
        </w:rPr>
        <w:t xml:space="preserve"> </w:t>
      </w:r>
      <w:r>
        <w:rPr>
          <w:color w:val="231F20"/>
          <w:sz w:val="21"/>
        </w:rPr>
        <w:t>медіації?</w:t>
      </w:r>
    </w:p>
    <w:p w14:paraId="1FAF5FFB" w14:textId="77777777" w:rsidR="00DE575E" w:rsidRDefault="002E7560">
      <w:pPr>
        <w:pStyle w:val="ListParagraph"/>
        <w:numPr>
          <w:ilvl w:val="0"/>
          <w:numId w:val="125"/>
        </w:numPr>
        <w:tabs>
          <w:tab w:val="left" w:pos="1101"/>
        </w:tabs>
        <w:spacing w:before="6"/>
        <w:ind w:firstLine="284"/>
        <w:rPr>
          <w:sz w:val="21"/>
        </w:rPr>
      </w:pPr>
      <w:r>
        <w:rPr>
          <w:color w:val="231F20"/>
          <w:sz w:val="21"/>
        </w:rPr>
        <w:t>Розкрийте поняття адміністративного</w:t>
      </w:r>
      <w:r>
        <w:rPr>
          <w:color w:val="231F20"/>
          <w:spacing w:val="-3"/>
          <w:sz w:val="21"/>
        </w:rPr>
        <w:t xml:space="preserve"> </w:t>
      </w:r>
      <w:r>
        <w:rPr>
          <w:color w:val="231F20"/>
          <w:sz w:val="21"/>
        </w:rPr>
        <w:t>оскарження.</w:t>
      </w:r>
    </w:p>
    <w:p w14:paraId="2601D576" w14:textId="77777777" w:rsidR="00DE575E" w:rsidRDefault="002E7560">
      <w:pPr>
        <w:pStyle w:val="ListParagraph"/>
        <w:numPr>
          <w:ilvl w:val="0"/>
          <w:numId w:val="125"/>
        </w:numPr>
        <w:tabs>
          <w:tab w:val="left" w:pos="1101"/>
        </w:tabs>
        <w:spacing w:before="5" w:line="244" w:lineRule="auto"/>
        <w:ind w:right="127" w:firstLine="284"/>
        <w:jc w:val="both"/>
        <w:rPr>
          <w:sz w:val="21"/>
        </w:rPr>
      </w:pPr>
      <w:r>
        <w:rPr>
          <w:color w:val="231F20"/>
          <w:sz w:val="21"/>
        </w:rPr>
        <w:t>Які</w:t>
      </w:r>
      <w:r>
        <w:rPr>
          <w:color w:val="231F20"/>
          <w:spacing w:val="-10"/>
          <w:sz w:val="21"/>
        </w:rPr>
        <w:t xml:space="preserve"> </w:t>
      </w:r>
      <w:r>
        <w:rPr>
          <w:color w:val="231F20"/>
          <w:sz w:val="21"/>
        </w:rPr>
        <w:t>існують</w:t>
      </w:r>
      <w:r>
        <w:rPr>
          <w:color w:val="231F20"/>
          <w:spacing w:val="-10"/>
          <w:sz w:val="21"/>
        </w:rPr>
        <w:t xml:space="preserve"> </w:t>
      </w:r>
      <w:r>
        <w:rPr>
          <w:color w:val="231F20"/>
          <w:sz w:val="21"/>
        </w:rPr>
        <w:t>способи</w:t>
      </w:r>
      <w:r>
        <w:rPr>
          <w:color w:val="231F20"/>
          <w:spacing w:val="-10"/>
          <w:sz w:val="21"/>
        </w:rPr>
        <w:t xml:space="preserve"> </w:t>
      </w:r>
      <w:r>
        <w:rPr>
          <w:color w:val="231F20"/>
          <w:sz w:val="21"/>
        </w:rPr>
        <w:t>відшкодування</w:t>
      </w:r>
      <w:r>
        <w:rPr>
          <w:color w:val="231F20"/>
          <w:spacing w:val="-10"/>
          <w:sz w:val="21"/>
        </w:rPr>
        <w:t xml:space="preserve"> </w:t>
      </w:r>
      <w:r>
        <w:rPr>
          <w:color w:val="231F20"/>
          <w:sz w:val="21"/>
        </w:rPr>
        <w:t>шк</w:t>
      </w:r>
      <w:r>
        <w:rPr>
          <w:color w:val="231F20"/>
          <w:sz w:val="21"/>
        </w:rPr>
        <w:t>оди</w:t>
      </w:r>
      <w:r>
        <w:rPr>
          <w:color w:val="231F20"/>
          <w:spacing w:val="-10"/>
          <w:sz w:val="21"/>
        </w:rPr>
        <w:t xml:space="preserve"> </w:t>
      </w:r>
      <w:r>
        <w:rPr>
          <w:color w:val="231F20"/>
          <w:sz w:val="21"/>
        </w:rPr>
        <w:t>приватним</w:t>
      </w:r>
      <w:r>
        <w:rPr>
          <w:color w:val="231F20"/>
          <w:spacing w:val="-10"/>
          <w:sz w:val="21"/>
        </w:rPr>
        <w:t xml:space="preserve"> </w:t>
      </w:r>
      <w:r>
        <w:rPr>
          <w:color w:val="231F20"/>
          <w:sz w:val="21"/>
        </w:rPr>
        <w:t xml:space="preserve">особам, завданої </w:t>
      </w:r>
      <w:r>
        <w:rPr>
          <w:color w:val="231F20"/>
          <w:spacing w:val="-3"/>
          <w:sz w:val="21"/>
        </w:rPr>
        <w:t xml:space="preserve">суб’єктами </w:t>
      </w:r>
      <w:r>
        <w:rPr>
          <w:color w:val="231F20"/>
          <w:sz w:val="21"/>
        </w:rPr>
        <w:t>публічної адміністрації?</w:t>
      </w:r>
    </w:p>
    <w:p w14:paraId="2F66C8F7" w14:textId="77777777" w:rsidR="00DE575E" w:rsidRDefault="002E7560">
      <w:pPr>
        <w:pStyle w:val="ListParagraph"/>
        <w:numPr>
          <w:ilvl w:val="0"/>
          <w:numId w:val="125"/>
        </w:numPr>
        <w:tabs>
          <w:tab w:val="left" w:pos="1101"/>
        </w:tabs>
        <w:spacing w:before="2" w:line="244" w:lineRule="auto"/>
        <w:ind w:right="128" w:firstLine="284"/>
        <w:jc w:val="both"/>
        <w:rPr>
          <w:sz w:val="21"/>
        </w:rPr>
      </w:pPr>
      <w:r>
        <w:rPr>
          <w:color w:val="231F20"/>
          <w:sz w:val="21"/>
        </w:rPr>
        <w:t xml:space="preserve">З яких стадій складається адміністративна процедура відшко- дування шкоди приватній особі, завданої </w:t>
      </w:r>
      <w:r>
        <w:rPr>
          <w:color w:val="231F20"/>
          <w:spacing w:val="-3"/>
          <w:sz w:val="21"/>
        </w:rPr>
        <w:t xml:space="preserve">суб’єктами </w:t>
      </w:r>
      <w:r>
        <w:rPr>
          <w:color w:val="231F20"/>
          <w:sz w:val="21"/>
        </w:rPr>
        <w:t>публічної адмі- ністрації?</w:t>
      </w:r>
    </w:p>
    <w:p w14:paraId="15386EF2" w14:textId="77777777" w:rsidR="00DE575E" w:rsidRDefault="00DE575E">
      <w:pPr>
        <w:pStyle w:val="BodyText"/>
        <w:spacing w:before="5"/>
        <w:rPr>
          <w:sz w:val="14"/>
        </w:rPr>
      </w:pPr>
    </w:p>
    <w:p w14:paraId="3104EAC5" w14:textId="77777777" w:rsidR="00DE575E" w:rsidRDefault="002E7560">
      <w:pPr>
        <w:spacing w:before="91"/>
        <w:ind w:left="533"/>
        <w:rPr>
          <w:rFonts w:ascii="Times New Roman"/>
          <w:sz w:val="20"/>
        </w:rPr>
      </w:pPr>
      <w:r>
        <w:rPr>
          <w:rFonts w:ascii="Times New Roman"/>
          <w:color w:val="231F20"/>
          <w:sz w:val="20"/>
        </w:rPr>
        <w:t>338</w:t>
      </w:r>
    </w:p>
    <w:p w14:paraId="24AF4B87" w14:textId="77777777" w:rsidR="00DE575E" w:rsidRDefault="00DE575E">
      <w:pPr>
        <w:rPr>
          <w:rFonts w:ascii="Times New Roman"/>
          <w:sz w:val="20"/>
        </w:rPr>
        <w:sectPr w:rsidR="00DE575E">
          <w:pgSz w:w="8510" w:h="12760"/>
          <w:pgMar w:top="660" w:right="720" w:bottom="280" w:left="600" w:header="720" w:footer="720" w:gutter="0"/>
          <w:cols w:space="720"/>
        </w:sectPr>
      </w:pPr>
    </w:p>
    <w:p w14:paraId="73F14A37" w14:textId="77777777" w:rsidR="00DE575E" w:rsidRDefault="002E7560">
      <w:pPr>
        <w:spacing w:before="72" w:line="249" w:lineRule="auto"/>
        <w:ind w:left="1152" w:firstLine="2318"/>
        <w:rPr>
          <w:rFonts w:ascii="AdonisC" w:hAnsi="AdonisC"/>
          <w:i/>
          <w:sz w:val="18"/>
        </w:rPr>
      </w:pPr>
      <w:r>
        <w:rPr>
          <w:rFonts w:ascii="AdonisC" w:hAnsi="AdonisC"/>
          <w:i/>
          <w:color w:val="231F20"/>
          <w:sz w:val="18"/>
        </w:rPr>
        <w:t>Глава І. Загальне адміністративн</w:t>
      </w:r>
      <w:r>
        <w:rPr>
          <w:rFonts w:ascii="AdonisC" w:hAnsi="AdonisC"/>
          <w:i/>
          <w:color w:val="231F20"/>
          <w:sz w:val="18"/>
        </w:rPr>
        <w:t>е право Розділ 9. Захист приватної особи у сфері публічного адміністрування</w:t>
      </w:r>
    </w:p>
    <w:p w14:paraId="0AB90776" w14:textId="4EB6E14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40AF024" wp14:editId="08FC362C">
                <wp:extent cx="4140200" cy="6350"/>
                <wp:effectExtent l="0" t="0" r="12700" b="6350"/>
                <wp:docPr id="56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65" name="Line 56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46F15" id="Group_x0020_56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J3Ln9/AgAAmAUAAA4A&#10;AAAAAAAAAAAAAAAALAIAAGRycy9lMm9Eb2MueG1sUEsBAi0AFAAGAAgAAAAhAEynsJDZAAAAAwEA&#10;AA8AAAAAAAAAAAAAAAAA1wQAAGRycy9kb3ducmV2LnhtbFBLBQYAAAAABAAEAPMAAADdBQAAAAA=&#10;">
                <v:line id="Line_x0020_56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OjVMYAAADcAAAADwAAAGRycy9kb3ducmV2LnhtbESP3WrCQBSE7wt9h+UUvCl1o6KU1FVE&#10;EMQL/9IHOGZPk9DdszG7mujTdwuCl8PMfMNM55014kqNrxwrGPQTEMS50xUXCr6z1ccnCB+QNRrH&#10;pOBGHuaz15cpptq1fKDrMRQiQtinqKAMoU6l9HlJFn3f1cTR+3GNxRBlU0jdYBvh1shhkkykxYrj&#10;Qok1LUvKf48XqyA7vwez321Mm+1OI3k6b0f3y1ap3lu3+AIRqAvP8KO91grGkzH8n4lH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Gjo1TGAAAA3AAAAA8AAAAAAAAA&#10;AAAAAAAAoQIAAGRycy9kb3ducmV2LnhtbFBLBQYAAAAABAAEAPkAAACUAwAAAAA=&#10;" strokecolor="#231f20" strokeweight=".5pt"/>
                <w10:anchorlock/>
              </v:group>
            </w:pict>
          </mc:Fallback>
        </mc:AlternateContent>
      </w:r>
    </w:p>
    <w:p w14:paraId="775FE77F" w14:textId="77777777" w:rsidR="00DE575E" w:rsidRDefault="00DE575E">
      <w:pPr>
        <w:pStyle w:val="BodyText"/>
        <w:spacing w:before="7"/>
        <w:rPr>
          <w:rFonts w:ascii="AdonisC"/>
          <w:i/>
          <w:sz w:val="19"/>
        </w:rPr>
      </w:pPr>
    </w:p>
    <w:p w14:paraId="3540E4BB" w14:textId="77777777" w:rsidR="00DE575E" w:rsidRDefault="002E7560">
      <w:pPr>
        <w:pStyle w:val="Heading5"/>
        <w:spacing w:before="1"/>
        <w:ind w:left="1494"/>
      </w:pPr>
      <w:r>
        <w:rPr>
          <w:color w:val="231F20"/>
        </w:rPr>
        <w:t>Література для поглибленого вивчення</w:t>
      </w:r>
    </w:p>
    <w:p w14:paraId="15939B80" w14:textId="77777777" w:rsidR="00DE575E" w:rsidRDefault="00DE575E">
      <w:pPr>
        <w:pStyle w:val="BodyText"/>
        <w:spacing w:before="2"/>
        <w:rPr>
          <w:b/>
          <w:sz w:val="23"/>
        </w:rPr>
      </w:pPr>
    </w:p>
    <w:p w14:paraId="5AC12E80" w14:textId="77777777" w:rsidR="00DE575E" w:rsidRDefault="002E7560">
      <w:pPr>
        <w:pStyle w:val="ListParagraph"/>
        <w:numPr>
          <w:ilvl w:val="0"/>
          <w:numId w:val="124"/>
        </w:numPr>
        <w:tabs>
          <w:tab w:val="left" w:pos="818"/>
        </w:tabs>
        <w:spacing w:before="0" w:line="252" w:lineRule="auto"/>
        <w:ind w:right="414" w:firstLine="283"/>
        <w:jc w:val="both"/>
        <w:rPr>
          <w:sz w:val="21"/>
        </w:rPr>
      </w:pPr>
      <w:r>
        <w:rPr>
          <w:color w:val="231F20"/>
          <w:sz w:val="21"/>
        </w:rPr>
        <w:t xml:space="preserve">Авер’янов </w:t>
      </w:r>
      <w:r>
        <w:rPr>
          <w:color w:val="231F20"/>
          <w:spacing w:val="-3"/>
          <w:sz w:val="21"/>
        </w:rPr>
        <w:t xml:space="preserve">В. </w:t>
      </w:r>
      <w:r>
        <w:rPr>
          <w:color w:val="231F20"/>
          <w:sz w:val="21"/>
        </w:rPr>
        <w:t xml:space="preserve">Адміністративне право </w:t>
      </w:r>
      <w:r>
        <w:rPr>
          <w:color w:val="231F20"/>
          <w:spacing w:val="-3"/>
          <w:sz w:val="21"/>
        </w:rPr>
        <w:t xml:space="preserve">України: </w:t>
      </w:r>
      <w:r>
        <w:rPr>
          <w:color w:val="231F20"/>
          <w:sz w:val="21"/>
        </w:rPr>
        <w:t xml:space="preserve">доктринальні аспекти реформування. </w:t>
      </w:r>
      <w:r>
        <w:rPr>
          <w:i/>
          <w:color w:val="231F20"/>
          <w:sz w:val="21"/>
        </w:rPr>
        <w:t>Право України</w:t>
      </w:r>
      <w:r>
        <w:rPr>
          <w:color w:val="231F20"/>
          <w:sz w:val="21"/>
        </w:rPr>
        <w:t>. 1998. № 8. С.</w:t>
      </w:r>
      <w:r>
        <w:rPr>
          <w:color w:val="231F20"/>
          <w:spacing w:val="-15"/>
          <w:sz w:val="21"/>
        </w:rPr>
        <w:t xml:space="preserve"> </w:t>
      </w:r>
      <w:r>
        <w:rPr>
          <w:color w:val="231F20"/>
          <w:sz w:val="21"/>
        </w:rPr>
        <w:t>10.</w:t>
      </w:r>
    </w:p>
    <w:p w14:paraId="4021DCC3" w14:textId="77777777" w:rsidR="00DE575E" w:rsidRDefault="002E7560">
      <w:pPr>
        <w:pStyle w:val="ListParagraph"/>
        <w:numPr>
          <w:ilvl w:val="0"/>
          <w:numId w:val="124"/>
        </w:numPr>
        <w:tabs>
          <w:tab w:val="left" w:pos="818"/>
        </w:tabs>
        <w:ind w:firstLine="283"/>
        <w:rPr>
          <w:sz w:val="21"/>
        </w:rPr>
      </w:pPr>
      <w:r>
        <w:rPr>
          <w:color w:val="231F20"/>
          <w:sz w:val="21"/>
        </w:rPr>
        <w:t xml:space="preserve">Белінська </w:t>
      </w:r>
      <w:r>
        <w:rPr>
          <w:color w:val="231F20"/>
          <w:spacing w:val="-3"/>
          <w:sz w:val="21"/>
        </w:rPr>
        <w:t xml:space="preserve">О. </w:t>
      </w:r>
      <w:r>
        <w:rPr>
          <w:color w:val="231F20"/>
          <w:sz w:val="21"/>
        </w:rPr>
        <w:t>Медіація – Альтернативне вирішення</w:t>
      </w:r>
      <w:r>
        <w:rPr>
          <w:color w:val="231F20"/>
          <w:spacing w:val="25"/>
          <w:sz w:val="21"/>
        </w:rPr>
        <w:t xml:space="preserve"> </w:t>
      </w:r>
      <w:r>
        <w:rPr>
          <w:color w:val="231F20"/>
          <w:sz w:val="21"/>
        </w:rPr>
        <w:t>спорів.</w:t>
      </w:r>
    </w:p>
    <w:p w14:paraId="6E1EECC5" w14:textId="77777777" w:rsidR="00DE575E" w:rsidRDefault="002E7560">
      <w:pPr>
        <w:spacing w:before="13"/>
        <w:ind w:left="250"/>
        <w:rPr>
          <w:sz w:val="21"/>
        </w:rPr>
      </w:pPr>
      <w:r>
        <w:rPr>
          <w:i/>
          <w:color w:val="231F20"/>
          <w:sz w:val="21"/>
        </w:rPr>
        <w:t>Вісник Вищої ради юстиції</w:t>
      </w:r>
      <w:r>
        <w:rPr>
          <w:color w:val="231F20"/>
          <w:sz w:val="21"/>
        </w:rPr>
        <w:t>. 2011. No 1 (5). С. 158-160.</w:t>
      </w:r>
    </w:p>
    <w:p w14:paraId="336E29CB" w14:textId="77777777" w:rsidR="00DE575E" w:rsidRDefault="002E7560">
      <w:pPr>
        <w:pStyle w:val="ListParagraph"/>
        <w:numPr>
          <w:ilvl w:val="0"/>
          <w:numId w:val="124"/>
        </w:numPr>
        <w:tabs>
          <w:tab w:val="left" w:pos="818"/>
        </w:tabs>
        <w:spacing w:before="12" w:line="252" w:lineRule="auto"/>
        <w:ind w:right="411" w:firstLine="283"/>
        <w:jc w:val="both"/>
        <w:rPr>
          <w:sz w:val="21"/>
        </w:rPr>
      </w:pPr>
      <w:r>
        <w:rPr>
          <w:color w:val="231F20"/>
          <w:sz w:val="21"/>
        </w:rPr>
        <w:t>Виконавча</w:t>
      </w:r>
      <w:r>
        <w:rPr>
          <w:color w:val="231F20"/>
          <w:spacing w:val="-17"/>
          <w:sz w:val="21"/>
        </w:rPr>
        <w:t xml:space="preserve"> </w:t>
      </w:r>
      <w:r>
        <w:rPr>
          <w:color w:val="231F20"/>
          <w:sz w:val="21"/>
        </w:rPr>
        <w:t>влада</w:t>
      </w:r>
      <w:r>
        <w:rPr>
          <w:color w:val="231F20"/>
          <w:spacing w:val="-17"/>
          <w:sz w:val="21"/>
        </w:rPr>
        <w:t xml:space="preserve"> </w:t>
      </w:r>
      <w:r>
        <w:rPr>
          <w:color w:val="231F20"/>
          <w:sz w:val="21"/>
        </w:rPr>
        <w:t>і</w:t>
      </w:r>
      <w:r>
        <w:rPr>
          <w:color w:val="231F20"/>
          <w:spacing w:val="-18"/>
          <w:sz w:val="21"/>
        </w:rPr>
        <w:t xml:space="preserve"> </w:t>
      </w:r>
      <w:r>
        <w:rPr>
          <w:color w:val="231F20"/>
          <w:sz w:val="21"/>
        </w:rPr>
        <w:t>адміністративне</w:t>
      </w:r>
      <w:r>
        <w:rPr>
          <w:color w:val="231F20"/>
          <w:spacing w:val="-18"/>
          <w:sz w:val="21"/>
        </w:rPr>
        <w:t xml:space="preserve"> </w:t>
      </w:r>
      <w:r>
        <w:rPr>
          <w:color w:val="231F20"/>
          <w:sz w:val="21"/>
        </w:rPr>
        <w:t>право</w:t>
      </w:r>
      <w:r>
        <w:rPr>
          <w:color w:val="231F20"/>
          <w:spacing w:val="-18"/>
          <w:sz w:val="21"/>
        </w:rPr>
        <w:t xml:space="preserve"> </w:t>
      </w:r>
      <w:r>
        <w:rPr>
          <w:color w:val="231F20"/>
          <w:sz w:val="21"/>
        </w:rPr>
        <w:t>/</w:t>
      </w:r>
      <w:r>
        <w:rPr>
          <w:color w:val="231F20"/>
          <w:spacing w:val="-17"/>
          <w:sz w:val="21"/>
        </w:rPr>
        <w:t xml:space="preserve"> </w:t>
      </w:r>
      <w:r>
        <w:rPr>
          <w:color w:val="231F20"/>
          <w:sz w:val="21"/>
        </w:rPr>
        <w:t>за</w:t>
      </w:r>
      <w:r>
        <w:rPr>
          <w:color w:val="231F20"/>
          <w:spacing w:val="-17"/>
          <w:sz w:val="21"/>
        </w:rPr>
        <w:t xml:space="preserve"> </w:t>
      </w:r>
      <w:r>
        <w:rPr>
          <w:color w:val="231F20"/>
          <w:spacing w:val="-5"/>
          <w:sz w:val="21"/>
        </w:rPr>
        <w:t>заг.</w:t>
      </w:r>
      <w:r>
        <w:rPr>
          <w:color w:val="231F20"/>
          <w:spacing w:val="-17"/>
          <w:sz w:val="21"/>
        </w:rPr>
        <w:t xml:space="preserve"> </w:t>
      </w:r>
      <w:r>
        <w:rPr>
          <w:color w:val="231F20"/>
          <w:sz w:val="21"/>
        </w:rPr>
        <w:t>ред.</w:t>
      </w:r>
      <w:r>
        <w:rPr>
          <w:color w:val="231F20"/>
          <w:spacing w:val="-17"/>
          <w:sz w:val="21"/>
        </w:rPr>
        <w:t xml:space="preserve"> </w:t>
      </w:r>
      <w:r>
        <w:rPr>
          <w:color w:val="231F20"/>
          <w:spacing w:val="-3"/>
          <w:sz w:val="21"/>
        </w:rPr>
        <w:t>В.</w:t>
      </w:r>
      <w:r>
        <w:rPr>
          <w:color w:val="231F20"/>
          <w:spacing w:val="-17"/>
          <w:sz w:val="21"/>
        </w:rPr>
        <w:t xml:space="preserve"> </w:t>
      </w:r>
      <w:r>
        <w:rPr>
          <w:color w:val="231F20"/>
          <w:sz w:val="21"/>
        </w:rPr>
        <w:t>Авер’я- нова. Київ:</w:t>
      </w:r>
      <w:r>
        <w:rPr>
          <w:color w:val="231F20"/>
          <w:sz w:val="21"/>
        </w:rPr>
        <w:t xml:space="preserve"> Ін-Юре, 2002. С.</w:t>
      </w:r>
      <w:r>
        <w:rPr>
          <w:color w:val="231F20"/>
          <w:spacing w:val="-2"/>
          <w:sz w:val="21"/>
        </w:rPr>
        <w:t xml:space="preserve"> </w:t>
      </w:r>
      <w:r>
        <w:rPr>
          <w:color w:val="231F20"/>
          <w:sz w:val="21"/>
        </w:rPr>
        <w:t>194.</w:t>
      </w:r>
    </w:p>
    <w:p w14:paraId="24461DB3" w14:textId="77777777" w:rsidR="00DE575E" w:rsidRDefault="002E7560">
      <w:pPr>
        <w:pStyle w:val="ListParagraph"/>
        <w:numPr>
          <w:ilvl w:val="0"/>
          <w:numId w:val="124"/>
        </w:numPr>
        <w:tabs>
          <w:tab w:val="left" w:pos="818"/>
        </w:tabs>
        <w:spacing w:line="252" w:lineRule="auto"/>
        <w:ind w:right="412" w:firstLine="283"/>
        <w:jc w:val="both"/>
        <w:rPr>
          <w:sz w:val="21"/>
        </w:rPr>
      </w:pPr>
      <w:r>
        <w:rPr>
          <w:color w:val="231F20"/>
          <w:sz w:val="21"/>
        </w:rPr>
        <w:t xml:space="preserve">Галунько </w:t>
      </w:r>
      <w:r>
        <w:rPr>
          <w:color w:val="231F20"/>
          <w:spacing w:val="-3"/>
          <w:sz w:val="21"/>
        </w:rPr>
        <w:t xml:space="preserve">В., </w:t>
      </w:r>
      <w:r>
        <w:rPr>
          <w:color w:val="231F20"/>
          <w:sz w:val="21"/>
        </w:rPr>
        <w:t xml:space="preserve">Курило </w:t>
      </w:r>
      <w:r>
        <w:rPr>
          <w:color w:val="231F20"/>
          <w:spacing w:val="-3"/>
          <w:sz w:val="21"/>
        </w:rPr>
        <w:t xml:space="preserve">В., </w:t>
      </w:r>
      <w:r>
        <w:rPr>
          <w:color w:val="231F20"/>
          <w:sz w:val="21"/>
        </w:rPr>
        <w:t xml:space="preserve">Короєд С. та ін. Адміністративне право </w:t>
      </w:r>
      <w:r>
        <w:rPr>
          <w:color w:val="231F20"/>
          <w:spacing w:val="-3"/>
          <w:sz w:val="21"/>
        </w:rPr>
        <w:t xml:space="preserve">України. </w:t>
      </w:r>
      <w:r>
        <w:rPr>
          <w:color w:val="231F20"/>
          <w:spacing w:val="-12"/>
          <w:sz w:val="21"/>
        </w:rPr>
        <w:t xml:space="preserve">Т. </w:t>
      </w:r>
      <w:r>
        <w:rPr>
          <w:color w:val="231F20"/>
          <w:sz w:val="21"/>
        </w:rPr>
        <w:t>1. Загальне адміністративне право: навчальний посібник. Херсон: Грінь Л. С., 2015. 272</w:t>
      </w:r>
      <w:r>
        <w:rPr>
          <w:color w:val="231F20"/>
          <w:spacing w:val="-2"/>
          <w:sz w:val="21"/>
        </w:rPr>
        <w:t xml:space="preserve"> </w:t>
      </w:r>
      <w:r>
        <w:rPr>
          <w:color w:val="231F20"/>
          <w:sz w:val="21"/>
        </w:rPr>
        <w:t>с.</w:t>
      </w:r>
    </w:p>
    <w:p w14:paraId="30EE2469" w14:textId="77777777" w:rsidR="00DE575E" w:rsidRDefault="002E7560">
      <w:pPr>
        <w:pStyle w:val="ListParagraph"/>
        <w:numPr>
          <w:ilvl w:val="0"/>
          <w:numId w:val="124"/>
        </w:numPr>
        <w:tabs>
          <w:tab w:val="left" w:pos="818"/>
        </w:tabs>
        <w:spacing w:before="2" w:line="252" w:lineRule="auto"/>
        <w:ind w:right="415" w:firstLine="283"/>
        <w:jc w:val="both"/>
        <w:rPr>
          <w:sz w:val="21"/>
        </w:rPr>
      </w:pPr>
      <w:r>
        <w:rPr>
          <w:color w:val="231F20"/>
          <w:sz w:val="21"/>
        </w:rPr>
        <w:t xml:space="preserve">Мельник </w:t>
      </w:r>
      <w:r>
        <w:rPr>
          <w:color w:val="231F20"/>
          <w:spacing w:val="-10"/>
          <w:sz w:val="21"/>
        </w:rPr>
        <w:t xml:space="preserve">Р., </w:t>
      </w:r>
      <w:r>
        <w:rPr>
          <w:color w:val="231F20"/>
          <w:sz w:val="21"/>
        </w:rPr>
        <w:t xml:space="preserve">Бевзенко </w:t>
      </w:r>
      <w:r>
        <w:rPr>
          <w:color w:val="231F20"/>
          <w:spacing w:val="-3"/>
          <w:sz w:val="21"/>
        </w:rPr>
        <w:t xml:space="preserve">В. </w:t>
      </w:r>
      <w:r>
        <w:rPr>
          <w:color w:val="231F20"/>
          <w:sz w:val="21"/>
        </w:rPr>
        <w:t>Загальне адміністративне право: навчальний посібник. Київ: Ваіте, 2014. 376</w:t>
      </w:r>
      <w:r>
        <w:rPr>
          <w:color w:val="231F20"/>
          <w:spacing w:val="-1"/>
          <w:sz w:val="21"/>
        </w:rPr>
        <w:t xml:space="preserve"> </w:t>
      </w:r>
      <w:r>
        <w:rPr>
          <w:color w:val="231F20"/>
          <w:sz w:val="21"/>
        </w:rPr>
        <w:t>с.</w:t>
      </w:r>
    </w:p>
    <w:p w14:paraId="3AF79574" w14:textId="77777777" w:rsidR="00DE575E" w:rsidRDefault="002E7560">
      <w:pPr>
        <w:pStyle w:val="ListParagraph"/>
        <w:numPr>
          <w:ilvl w:val="0"/>
          <w:numId w:val="124"/>
        </w:numPr>
        <w:tabs>
          <w:tab w:val="left" w:pos="818"/>
        </w:tabs>
        <w:spacing w:line="252" w:lineRule="auto"/>
        <w:ind w:right="411" w:firstLine="283"/>
        <w:jc w:val="both"/>
        <w:rPr>
          <w:sz w:val="21"/>
        </w:rPr>
      </w:pPr>
      <w:r>
        <w:rPr>
          <w:color w:val="231F20"/>
          <w:sz w:val="21"/>
        </w:rPr>
        <w:t xml:space="preserve">Подковенко </w:t>
      </w:r>
      <w:r>
        <w:rPr>
          <w:color w:val="231F20"/>
          <w:spacing w:val="-12"/>
          <w:sz w:val="21"/>
        </w:rPr>
        <w:t xml:space="preserve">Т. </w:t>
      </w:r>
      <w:r>
        <w:rPr>
          <w:color w:val="231F20"/>
          <w:sz w:val="21"/>
        </w:rPr>
        <w:t xml:space="preserve">Інститут медіації: зарубіжний досвід та україн- ські перспективи. </w:t>
      </w:r>
      <w:r>
        <w:rPr>
          <w:i/>
          <w:color w:val="231F20"/>
          <w:sz w:val="21"/>
        </w:rPr>
        <w:t>Актуальні проблеми правознавства</w:t>
      </w:r>
      <w:r>
        <w:rPr>
          <w:color w:val="231F20"/>
          <w:sz w:val="21"/>
        </w:rPr>
        <w:t>. 2016. Вип. 1. С. 26-29.</w:t>
      </w:r>
    </w:p>
    <w:p w14:paraId="472D5DA7" w14:textId="77777777" w:rsidR="00DE575E" w:rsidRDefault="002E7560">
      <w:pPr>
        <w:pStyle w:val="ListParagraph"/>
        <w:numPr>
          <w:ilvl w:val="0"/>
          <w:numId w:val="124"/>
        </w:numPr>
        <w:tabs>
          <w:tab w:val="left" w:pos="818"/>
        </w:tabs>
        <w:spacing w:line="252" w:lineRule="auto"/>
        <w:ind w:right="411" w:firstLine="283"/>
        <w:jc w:val="both"/>
        <w:rPr>
          <w:sz w:val="21"/>
        </w:rPr>
      </w:pPr>
      <w:r>
        <w:rPr>
          <w:color w:val="231F20"/>
          <w:sz w:val="21"/>
        </w:rPr>
        <w:t xml:space="preserve">Притика </w:t>
      </w:r>
      <w:r>
        <w:rPr>
          <w:color w:val="231F20"/>
          <w:spacing w:val="-3"/>
          <w:sz w:val="21"/>
        </w:rPr>
        <w:t xml:space="preserve">Ю. </w:t>
      </w:r>
      <w:r>
        <w:rPr>
          <w:color w:val="231F20"/>
          <w:sz w:val="21"/>
        </w:rPr>
        <w:t xml:space="preserve">Посередництво як нова форма </w:t>
      </w:r>
      <w:r>
        <w:rPr>
          <w:color w:val="231F20"/>
          <w:sz w:val="21"/>
        </w:rPr>
        <w:t xml:space="preserve">вирішення приват- ноправових спорів. </w:t>
      </w:r>
      <w:r>
        <w:rPr>
          <w:i/>
          <w:color w:val="231F20"/>
          <w:sz w:val="21"/>
        </w:rPr>
        <w:t>Вісник господарського судочинства</w:t>
      </w:r>
      <w:r>
        <w:rPr>
          <w:color w:val="231F20"/>
          <w:sz w:val="21"/>
        </w:rPr>
        <w:t>. 2005.  № 1. С. 231-237.</w:t>
      </w:r>
    </w:p>
    <w:p w14:paraId="326EB9B1" w14:textId="77777777" w:rsidR="00DE575E" w:rsidRDefault="002E7560">
      <w:pPr>
        <w:pStyle w:val="ListParagraph"/>
        <w:numPr>
          <w:ilvl w:val="0"/>
          <w:numId w:val="124"/>
        </w:numPr>
        <w:tabs>
          <w:tab w:val="left" w:pos="818"/>
        </w:tabs>
        <w:spacing w:before="2" w:line="252" w:lineRule="auto"/>
        <w:ind w:right="411" w:firstLine="283"/>
        <w:jc w:val="both"/>
        <w:rPr>
          <w:sz w:val="21"/>
        </w:rPr>
      </w:pPr>
      <w:r>
        <w:rPr>
          <w:color w:val="231F20"/>
          <w:sz w:val="21"/>
        </w:rPr>
        <w:t xml:space="preserve">Циганов </w:t>
      </w:r>
      <w:r>
        <w:rPr>
          <w:color w:val="231F20"/>
          <w:spacing w:val="-3"/>
          <w:sz w:val="21"/>
        </w:rPr>
        <w:t xml:space="preserve">О. </w:t>
      </w:r>
      <w:r>
        <w:rPr>
          <w:color w:val="231F20"/>
          <w:sz w:val="21"/>
        </w:rPr>
        <w:t xml:space="preserve">Адміністративне оскарження як важливий засіб забезпечення  законності  при   наданні   адміністративних   послуг у сфері правоохоронної діяльності. </w:t>
      </w:r>
      <w:r>
        <w:rPr>
          <w:i/>
          <w:color w:val="231F20"/>
          <w:sz w:val="21"/>
        </w:rPr>
        <w:t>Проблеми управління, адмініст- ративного права, адміністративної діяльності правоохоронних органів</w:t>
      </w:r>
      <w:r>
        <w:rPr>
          <w:color w:val="231F20"/>
          <w:sz w:val="21"/>
        </w:rPr>
        <w:t>. 2016. С.</w:t>
      </w:r>
      <w:r>
        <w:rPr>
          <w:color w:val="231F20"/>
          <w:spacing w:val="-2"/>
          <w:sz w:val="21"/>
        </w:rPr>
        <w:t xml:space="preserve"> </w:t>
      </w:r>
      <w:r>
        <w:rPr>
          <w:color w:val="231F20"/>
          <w:sz w:val="21"/>
        </w:rPr>
        <w:t>10.</w:t>
      </w:r>
    </w:p>
    <w:p w14:paraId="5CD695F6" w14:textId="77777777" w:rsidR="00DE575E" w:rsidRDefault="00DE575E">
      <w:pPr>
        <w:pStyle w:val="BodyText"/>
        <w:rPr>
          <w:sz w:val="20"/>
        </w:rPr>
      </w:pPr>
    </w:p>
    <w:p w14:paraId="2F43F654" w14:textId="77777777" w:rsidR="00DE575E" w:rsidRDefault="00DE575E">
      <w:pPr>
        <w:pStyle w:val="BodyText"/>
        <w:rPr>
          <w:sz w:val="20"/>
        </w:rPr>
      </w:pPr>
    </w:p>
    <w:p w14:paraId="5D4DC6EF" w14:textId="77777777" w:rsidR="00DE575E" w:rsidRDefault="00DE575E">
      <w:pPr>
        <w:pStyle w:val="BodyText"/>
        <w:rPr>
          <w:sz w:val="20"/>
        </w:rPr>
      </w:pPr>
    </w:p>
    <w:p w14:paraId="0BD5B78A" w14:textId="77777777" w:rsidR="00DE575E" w:rsidRDefault="00DE575E">
      <w:pPr>
        <w:pStyle w:val="BodyText"/>
        <w:rPr>
          <w:sz w:val="20"/>
        </w:rPr>
      </w:pPr>
    </w:p>
    <w:p w14:paraId="20EECE26" w14:textId="77777777" w:rsidR="00DE575E" w:rsidRDefault="00DE575E">
      <w:pPr>
        <w:pStyle w:val="BodyText"/>
        <w:rPr>
          <w:sz w:val="20"/>
        </w:rPr>
      </w:pPr>
    </w:p>
    <w:p w14:paraId="0467574F" w14:textId="77777777" w:rsidR="00DE575E" w:rsidRDefault="00DE575E">
      <w:pPr>
        <w:pStyle w:val="BodyText"/>
        <w:rPr>
          <w:sz w:val="20"/>
        </w:rPr>
      </w:pPr>
    </w:p>
    <w:p w14:paraId="0B8D1A77" w14:textId="77777777" w:rsidR="00DE575E" w:rsidRDefault="00DE575E">
      <w:pPr>
        <w:pStyle w:val="BodyText"/>
        <w:rPr>
          <w:sz w:val="20"/>
        </w:rPr>
      </w:pPr>
    </w:p>
    <w:p w14:paraId="3F3CF383" w14:textId="77777777" w:rsidR="00DE575E" w:rsidRDefault="00DE575E">
      <w:pPr>
        <w:pStyle w:val="BodyText"/>
        <w:rPr>
          <w:sz w:val="20"/>
        </w:rPr>
      </w:pPr>
    </w:p>
    <w:p w14:paraId="2056CFD8" w14:textId="77777777" w:rsidR="00DE575E" w:rsidRDefault="00DE575E">
      <w:pPr>
        <w:pStyle w:val="BodyText"/>
        <w:rPr>
          <w:sz w:val="20"/>
        </w:rPr>
      </w:pPr>
    </w:p>
    <w:p w14:paraId="3D70507C" w14:textId="77777777" w:rsidR="00DE575E" w:rsidRDefault="00DE575E">
      <w:pPr>
        <w:pStyle w:val="BodyText"/>
        <w:rPr>
          <w:sz w:val="20"/>
        </w:rPr>
      </w:pPr>
    </w:p>
    <w:p w14:paraId="18CC75AC" w14:textId="77777777" w:rsidR="00DE575E" w:rsidRDefault="00DE575E">
      <w:pPr>
        <w:pStyle w:val="BodyText"/>
        <w:rPr>
          <w:sz w:val="20"/>
        </w:rPr>
      </w:pPr>
    </w:p>
    <w:p w14:paraId="76CB0C0A" w14:textId="77777777" w:rsidR="00DE575E" w:rsidRDefault="00DE575E">
      <w:pPr>
        <w:pStyle w:val="BodyText"/>
        <w:rPr>
          <w:sz w:val="20"/>
        </w:rPr>
      </w:pPr>
    </w:p>
    <w:p w14:paraId="6699E38D" w14:textId="77777777" w:rsidR="00DE575E" w:rsidRDefault="00DE575E">
      <w:pPr>
        <w:pStyle w:val="BodyText"/>
        <w:rPr>
          <w:sz w:val="20"/>
        </w:rPr>
      </w:pPr>
    </w:p>
    <w:p w14:paraId="38BB853E" w14:textId="77777777" w:rsidR="00DE575E" w:rsidRDefault="00DE575E">
      <w:pPr>
        <w:pStyle w:val="BodyText"/>
        <w:rPr>
          <w:sz w:val="20"/>
        </w:rPr>
      </w:pPr>
    </w:p>
    <w:p w14:paraId="0CF38061" w14:textId="77777777" w:rsidR="00DE575E" w:rsidRDefault="00DE575E">
      <w:pPr>
        <w:pStyle w:val="BodyText"/>
        <w:rPr>
          <w:sz w:val="20"/>
        </w:rPr>
      </w:pPr>
    </w:p>
    <w:p w14:paraId="7490CF71" w14:textId="77777777" w:rsidR="00DE575E" w:rsidRDefault="00DE575E">
      <w:pPr>
        <w:pStyle w:val="BodyText"/>
        <w:rPr>
          <w:sz w:val="20"/>
        </w:rPr>
      </w:pPr>
    </w:p>
    <w:p w14:paraId="727329D1" w14:textId="77777777" w:rsidR="00DE575E" w:rsidRDefault="00DE575E">
      <w:pPr>
        <w:pStyle w:val="BodyText"/>
        <w:spacing w:before="11"/>
        <w:rPr>
          <w:sz w:val="23"/>
        </w:rPr>
      </w:pPr>
    </w:p>
    <w:p w14:paraId="47183C39" w14:textId="77777777" w:rsidR="00DE575E" w:rsidRDefault="002E7560">
      <w:pPr>
        <w:spacing w:before="92"/>
        <w:ind w:right="411"/>
        <w:jc w:val="right"/>
        <w:rPr>
          <w:rFonts w:ascii="Times New Roman"/>
          <w:sz w:val="20"/>
        </w:rPr>
      </w:pPr>
      <w:r>
        <w:rPr>
          <w:rFonts w:ascii="Times New Roman"/>
          <w:color w:val="231F20"/>
          <w:w w:val="90"/>
          <w:sz w:val="20"/>
        </w:rPr>
        <w:t>339</w:t>
      </w:r>
    </w:p>
    <w:p w14:paraId="07CB35F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9E13339" w14:textId="77777777" w:rsidR="00DE575E" w:rsidRDefault="002E7560">
      <w:pPr>
        <w:pStyle w:val="Heading1"/>
        <w:spacing w:before="167"/>
        <w:ind w:left="533"/>
      </w:pPr>
      <w:r>
        <w:rPr>
          <w:color w:val="231F20"/>
          <w:spacing w:val="-10"/>
        </w:rPr>
        <w:t>Глава</w:t>
      </w:r>
      <w:r>
        <w:rPr>
          <w:color w:val="231F20"/>
        </w:rPr>
        <w:t xml:space="preserve"> ІІ</w:t>
      </w:r>
    </w:p>
    <w:p w14:paraId="6F76CEEC" w14:textId="77777777" w:rsidR="00DE575E" w:rsidRDefault="002E7560">
      <w:pPr>
        <w:pStyle w:val="BodyText"/>
        <w:spacing w:before="1"/>
        <w:rPr>
          <w:rFonts w:ascii="YanusC"/>
          <w:sz w:val="45"/>
        </w:rPr>
      </w:pPr>
      <w:r>
        <w:br w:type="column"/>
      </w:r>
    </w:p>
    <w:p w14:paraId="3BED1CEF" w14:textId="0F00A324" w:rsidR="00DE575E" w:rsidRDefault="002E7560">
      <w:pPr>
        <w:spacing w:line="223" w:lineRule="auto"/>
        <w:ind w:left="178" w:right="1305"/>
        <w:rPr>
          <w:rFonts w:ascii="YanusC" w:hAnsi="YanusC"/>
          <w:sz w:val="18"/>
        </w:rPr>
      </w:pPr>
      <w:r>
        <w:rPr>
          <w:noProof/>
        </w:rPr>
        <mc:AlternateContent>
          <mc:Choice Requires="wps">
            <w:drawing>
              <wp:anchor distT="0" distB="0" distL="114300" distR="114300" simplePos="0" relativeHeight="13192" behindDoc="0" locked="0" layoutInCell="1" allowOverlap="1" wp14:anchorId="6768EC7E" wp14:editId="0F3C150F">
                <wp:simplePos x="0" y="0"/>
                <wp:positionH relativeFrom="page">
                  <wp:posOffset>1430655</wp:posOffset>
                </wp:positionH>
                <wp:positionV relativeFrom="paragraph">
                  <wp:posOffset>-207010</wp:posOffset>
                </wp:positionV>
                <wp:extent cx="0" cy="600075"/>
                <wp:effectExtent l="8255" t="8890" r="29845" b="26035"/>
                <wp:wrapNone/>
                <wp:docPr id="56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48243" id="Line_x0020_562" o:spid="_x0000_s1026" style="position:absolute;z-index:13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65pt,-16.25pt" to="112.65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" strokecolor="#231f20" strokeweight=".5pt">
                <w10:wrap anchorx="page"/>
              </v:line>
            </w:pict>
          </mc:Fallback>
        </mc:AlternateContent>
      </w:r>
      <w:r>
        <w:rPr>
          <w:rFonts w:ascii="YanusC" w:hAnsi="YanusC"/>
          <w:color w:val="231F20"/>
          <w:sz w:val="32"/>
        </w:rPr>
        <w:t>ОСОБЛИВЕ АДМІНІСТРАТИВНЕ ПРАВО</w:t>
      </w:r>
      <w:r>
        <w:rPr>
          <w:rFonts w:ascii="YanusC" w:hAnsi="YanusC"/>
          <w:color w:val="231F20"/>
          <w:position w:val="11"/>
          <w:sz w:val="18"/>
        </w:rPr>
        <w:t>1</w:t>
      </w:r>
    </w:p>
    <w:p w14:paraId="127BD791" w14:textId="77777777" w:rsidR="00DE575E" w:rsidRDefault="00DE575E">
      <w:pPr>
        <w:pStyle w:val="BodyText"/>
        <w:spacing w:before="8"/>
        <w:rPr>
          <w:rFonts w:ascii="YanusC"/>
          <w:sz w:val="43"/>
        </w:rPr>
      </w:pPr>
    </w:p>
    <w:p w14:paraId="340987E1" w14:textId="77777777" w:rsidR="00DE575E" w:rsidRDefault="002E7560">
      <w:pPr>
        <w:pStyle w:val="Heading3"/>
        <w:spacing w:line="254" w:lineRule="auto"/>
        <w:ind w:left="937" w:right="2007" w:firstLine="742"/>
        <w:jc w:val="left"/>
        <w:rPr>
          <w:sz w:val="16"/>
        </w:rPr>
      </w:pPr>
      <w:r>
        <w:rPr>
          <w:color w:val="231F20"/>
        </w:rPr>
        <w:t>КНИГА І СЛУЖБОВЕ ПРАВО</w:t>
      </w:r>
      <w:r>
        <w:rPr>
          <w:color w:val="231F20"/>
          <w:position w:val="9"/>
          <w:sz w:val="16"/>
        </w:rPr>
        <w:t>2</w:t>
      </w:r>
    </w:p>
    <w:p w14:paraId="6CAE9109" w14:textId="77777777" w:rsidR="00DE575E" w:rsidRDefault="00DE575E">
      <w:pPr>
        <w:pStyle w:val="BodyText"/>
        <w:rPr>
          <w:rFonts w:ascii="YanusC"/>
          <w:sz w:val="34"/>
        </w:rPr>
      </w:pPr>
    </w:p>
    <w:p w14:paraId="7FFEFF5A" w14:textId="77777777" w:rsidR="00DE575E" w:rsidRDefault="00DE575E">
      <w:pPr>
        <w:pStyle w:val="BodyText"/>
        <w:rPr>
          <w:rFonts w:ascii="YanusC"/>
          <w:sz w:val="27"/>
        </w:rPr>
      </w:pPr>
    </w:p>
    <w:p w14:paraId="74970DE9" w14:textId="77777777" w:rsidR="00DE575E" w:rsidRDefault="002E7560">
      <w:pPr>
        <w:spacing w:line="218" w:lineRule="auto"/>
        <w:ind w:left="820" w:right="2007" w:firstLine="814"/>
        <w:rPr>
          <w:b/>
          <w:sz w:val="16"/>
        </w:rPr>
      </w:pPr>
      <w:r>
        <w:rPr>
          <w:b/>
          <w:color w:val="231F20"/>
          <w:sz w:val="28"/>
        </w:rPr>
        <w:t>Розділ 1 ПУБЛІЧНА СЛУЖБА</w:t>
      </w:r>
      <w:r>
        <w:rPr>
          <w:b/>
          <w:color w:val="231F20"/>
          <w:position w:val="9"/>
          <w:sz w:val="16"/>
        </w:rPr>
        <w:t>3</w:t>
      </w:r>
    </w:p>
    <w:p w14:paraId="61FDAB57" w14:textId="77777777" w:rsidR="00DE575E" w:rsidRDefault="00DE575E">
      <w:pPr>
        <w:pStyle w:val="BodyText"/>
        <w:spacing w:before="8"/>
        <w:rPr>
          <w:b/>
          <w:sz w:val="43"/>
        </w:rPr>
      </w:pPr>
    </w:p>
    <w:p w14:paraId="5BA300A5" w14:textId="77777777" w:rsidR="00DE575E" w:rsidRDefault="002E7560">
      <w:pPr>
        <w:pStyle w:val="Heading4"/>
        <w:numPr>
          <w:ilvl w:val="1"/>
          <w:numId w:val="123"/>
        </w:numPr>
        <w:tabs>
          <w:tab w:val="left" w:pos="556"/>
        </w:tabs>
      </w:pPr>
      <w:r>
        <w:rPr>
          <w:color w:val="231F20"/>
        </w:rPr>
        <w:t>Поняття та види публічної</w:t>
      </w:r>
      <w:r>
        <w:rPr>
          <w:color w:val="231F20"/>
          <w:spacing w:val="-4"/>
        </w:rPr>
        <w:t xml:space="preserve"> </w:t>
      </w:r>
      <w:r>
        <w:rPr>
          <w:color w:val="231F20"/>
        </w:rPr>
        <w:t>служби</w:t>
      </w:r>
    </w:p>
    <w:p w14:paraId="175CA431" w14:textId="77777777" w:rsidR="00DE575E" w:rsidRDefault="00DE575E">
      <w:pPr>
        <w:sectPr w:rsidR="00DE575E">
          <w:pgSz w:w="8510" w:h="12760"/>
          <w:pgMar w:top="1180" w:right="720" w:bottom="280" w:left="600" w:header="720" w:footer="720" w:gutter="0"/>
          <w:cols w:num="2" w:space="720" w:equalWidth="0">
            <w:col w:w="1563" w:space="40"/>
            <w:col w:w="5587"/>
          </w:cols>
        </w:sectPr>
      </w:pPr>
    </w:p>
    <w:p w14:paraId="5813B501" w14:textId="77777777" w:rsidR="00DE575E" w:rsidRDefault="00DE575E">
      <w:pPr>
        <w:pStyle w:val="BodyText"/>
        <w:rPr>
          <w:b/>
          <w:sz w:val="20"/>
        </w:rPr>
      </w:pPr>
    </w:p>
    <w:p w14:paraId="0713D2F7" w14:textId="77777777" w:rsidR="00DE575E" w:rsidRDefault="00DE575E">
      <w:pPr>
        <w:pStyle w:val="BodyText"/>
        <w:spacing w:before="6"/>
        <w:rPr>
          <w:b/>
          <w:sz w:val="16"/>
        </w:rPr>
      </w:pPr>
    </w:p>
    <w:p w14:paraId="1E90FAEA" w14:textId="77777777" w:rsidR="00DE575E" w:rsidRDefault="002E7560">
      <w:pPr>
        <w:pStyle w:val="BodyText"/>
        <w:spacing w:before="100" w:line="252" w:lineRule="auto"/>
        <w:ind w:left="533" w:right="123" w:firstLine="283"/>
        <w:jc w:val="both"/>
      </w:pPr>
      <w:r>
        <w:rPr>
          <w:color w:val="231F20"/>
        </w:rPr>
        <w:t xml:space="preserve">Владний організаційний вплив публічних інституцій на суспільне життя, їх взаємодія із приватними особами відбуваються опосередковано – через публічних службовців. </w:t>
      </w:r>
      <w:r>
        <w:rPr>
          <w:color w:val="231F20"/>
          <w:spacing w:val="1"/>
        </w:rPr>
        <w:t xml:space="preserve">Адже </w:t>
      </w:r>
      <w:r>
        <w:rPr>
          <w:color w:val="231F20"/>
        </w:rPr>
        <w:t>«адмініст- ративний орган» (</w:t>
      </w:r>
      <w:r>
        <w:rPr>
          <w:color w:val="231F20"/>
        </w:rPr>
        <w:t>будучи однією з багатьох юридичних фікцій) наділяється компетенцією, яку не може реалізувати за  допомо-  гою власних  діянь;  як  безособистісне  утворення,  орган  здійс- нює свої повноваження виключно непрямим способом – у вигляді юридично значущої пове</w:t>
      </w:r>
      <w:r>
        <w:rPr>
          <w:color w:val="231F20"/>
        </w:rPr>
        <w:t>дінки фізичних осіб, правомочних діяти від його імені. Саме тому якість публічної служби значною мірою зумовлює не лише результативність функціонування публічних адміністрацій (виступаючи людським виміром-наповненням цих організаційних одиниць-оболонок), а</w:t>
      </w:r>
      <w:r>
        <w:rPr>
          <w:color w:val="231F20"/>
        </w:rPr>
        <w:t>ле й якість всього публічного адміністрування, і навіть ширше –</w:t>
      </w:r>
      <w:r>
        <w:rPr>
          <w:color w:val="231F20"/>
          <w:spacing w:val="27"/>
        </w:rPr>
        <w:t xml:space="preserve"> </w:t>
      </w:r>
      <w:r>
        <w:rPr>
          <w:color w:val="231F20"/>
        </w:rPr>
        <w:t>владарювання.</w:t>
      </w:r>
    </w:p>
    <w:p w14:paraId="3AF6AACA" w14:textId="77777777" w:rsidR="00DE575E" w:rsidRDefault="002E7560">
      <w:pPr>
        <w:pStyle w:val="BodyText"/>
        <w:spacing w:before="7" w:line="252" w:lineRule="auto"/>
        <w:ind w:left="533" w:right="123" w:firstLine="283"/>
        <w:jc w:val="both"/>
      </w:pPr>
      <w:r>
        <w:rPr>
          <w:color w:val="231F20"/>
        </w:rPr>
        <w:t>Орієнтуючись  на   термінологічні   компоненти   розглядува-   ної категорії, першочергово відзначимо  очевидне:  публічна  служба</w:t>
      </w:r>
      <w:r>
        <w:rPr>
          <w:color w:val="231F20"/>
          <w:spacing w:val="25"/>
        </w:rPr>
        <w:t xml:space="preserve"> </w:t>
      </w:r>
      <w:r>
        <w:rPr>
          <w:color w:val="231F20"/>
        </w:rPr>
        <w:t>є</w:t>
      </w:r>
      <w:r>
        <w:rPr>
          <w:color w:val="231F20"/>
          <w:spacing w:val="25"/>
        </w:rPr>
        <w:t xml:space="preserve"> </w:t>
      </w:r>
      <w:r>
        <w:rPr>
          <w:color w:val="231F20"/>
        </w:rPr>
        <w:t>«службою».</w:t>
      </w:r>
      <w:r>
        <w:rPr>
          <w:color w:val="231F20"/>
          <w:spacing w:val="25"/>
        </w:rPr>
        <w:t xml:space="preserve"> </w:t>
      </w:r>
      <w:r>
        <w:rPr>
          <w:color w:val="231F20"/>
        </w:rPr>
        <w:t>Цим</w:t>
      </w:r>
      <w:r>
        <w:rPr>
          <w:color w:val="231F20"/>
          <w:spacing w:val="25"/>
        </w:rPr>
        <w:t xml:space="preserve"> </w:t>
      </w:r>
      <w:r>
        <w:rPr>
          <w:color w:val="231F20"/>
        </w:rPr>
        <w:t>словом</w:t>
      </w:r>
      <w:r>
        <w:rPr>
          <w:color w:val="231F20"/>
          <w:spacing w:val="25"/>
        </w:rPr>
        <w:t xml:space="preserve"> </w:t>
      </w:r>
      <w:r>
        <w:rPr>
          <w:color w:val="231F20"/>
        </w:rPr>
        <w:t>позначається</w:t>
      </w:r>
      <w:r>
        <w:rPr>
          <w:color w:val="231F20"/>
          <w:spacing w:val="25"/>
        </w:rPr>
        <w:t xml:space="preserve"> </w:t>
      </w:r>
      <w:r>
        <w:rPr>
          <w:color w:val="231F20"/>
        </w:rPr>
        <w:t>або</w:t>
      </w:r>
      <w:r>
        <w:rPr>
          <w:color w:val="231F20"/>
          <w:spacing w:val="25"/>
        </w:rPr>
        <w:t xml:space="preserve"> </w:t>
      </w:r>
      <w:r>
        <w:rPr>
          <w:color w:val="231F20"/>
        </w:rPr>
        <w:t>специфічна</w:t>
      </w:r>
    </w:p>
    <w:p w14:paraId="2402E1AC" w14:textId="3519042D" w:rsidR="00DE575E" w:rsidRDefault="002E7560">
      <w:pPr>
        <w:pStyle w:val="BodyText"/>
        <w:spacing w:before="11"/>
        <w:rPr>
          <w:sz w:val="17"/>
        </w:rPr>
      </w:pPr>
      <w:r>
        <w:rPr>
          <w:noProof/>
        </w:rPr>
        <mc:AlternateContent>
          <mc:Choice Requires="wps">
            <w:drawing>
              <wp:anchor distT="0" distB="0" distL="0" distR="0" simplePos="0" relativeHeight="13168" behindDoc="0" locked="0" layoutInCell="1" allowOverlap="1" wp14:anchorId="3F459283" wp14:editId="5FA0C100">
                <wp:simplePos x="0" y="0"/>
                <wp:positionH relativeFrom="page">
                  <wp:posOffset>719455</wp:posOffset>
                </wp:positionH>
                <wp:positionV relativeFrom="paragraph">
                  <wp:posOffset>161290</wp:posOffset>
                </wp:positionV>
                <wp:extent cx="1080135" cy="0"/>
                <wp:effectExtent l="8255" t="8890" r="29210" b="29210"/>
                <wp:wrapTopAndBottom/>
                <wp:docPr id="56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F7F80" id="Line_x0020_561" o:spid="_x0000_s1026" style="position:absolute;z-index:1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7pt" to="141.7pt,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" strokecolor="#231f20" strokeweight=".5pt">
                <w10:wrap type="topAndBottom" anchorx="page"/>
              </v:line>
            </w:pict>
          </mc:Fallback>
        </mc:AlternateContent>
      </w:r>
    </w:p>
    <w:p w14:paraId="1D98589B" w14:textId="77777777" w:rsidR="00DE575E" w:rsidRDefault="002E7560">
      <w:pPr>
        <w:spacing w:line="148" w:lineRule="exact"/>
        <w:ind w:left="533"/>
        <w:rPr>
          <w:sz w:val="16"/>
        </w:rPr>
      </w:pPr>
      <w:r>
        <w:rPr>
          <w:color w:val="231F20"/>
          <w:position w:val="5"/>
          <w:sz w:val="9"/>
        </w:rPr>
        <w:t xml:space="preserve">1 </w:t>
      </w:r>
      <w:r>
        <w:rPr>
          <w:color w:val="231F20"/>
          <w:sz w:val="16"/>
        </w:rPr>
        <w:t xml:space="preserve">Мельник Р. Інститут державної служби чи службове право?. </w:t>
      </w:r>
      <w:r>
        <w:rPr>
          <w:i/>
          <w:color w:val="231F20"/>
          <w:sz w:val="16"/>
        </w:rPr>
        <w:t>Юридична Україна</w:t>
      </w:r>
      <w:r>
        <w:rPr>
          <w:color w:val="231F20"/>
          <w:sz w:val="16"/>
        </w:rPr>
        <w:t>. 2010.</w:t>
      </w:r>
    </w:p>
    <w:p w14:paraId="788BF2F8" w14:textId="77777777" w:rsidR="00DE575E" w:rsidRDefault="002E7560">
      <w:pPr>
        <w:spacing w:line="174" w:lineRule="exact"/>
        <w:ind w:left="533"/>
        <w:rPr>
          <w:sz w:val="16"/>
        </w:rPr>
      </w:pPr>
      <w:r>
        <w:rPr>
          <w:color w:val="231F20"/>
          <w:sz w:val="16"/>
        </w:rPr>
        <w:t>№ 11. С. 65-70.</w:t>
      </w:r>
    </w:p>
    <w:p w14:paraId="2BF50AEE" w14:textId="77777777" w:rsidR="00DE575E" w:rsidRDefault="002E7560">
      <w:pPr>
        <w:ind w:left="533"/>
        <w:rPr>
          <w:b/>
          <w:sz w:val="16"/>
        </w:rPr>
      </w:pPr>
      <w:r>
        <w:rPr>
          <w:color w:val="231F20"/>
          <w:position w:val="5"/>
          <w:sz w:val="9"/>
        </w:rPr>
        <w:t xml:space="preserve">2 </w:t>
      </w:r>
      <w:r>
        <w:rPr>
          <w:color w:val="231F20"/>
          <w:sz w:val="16"/>
        </w:rPr>
        <w:t xml:space="preserve">Загальна редакція книги: </w:t>
      </w:r>
      <w:r>
        <w:rPr>
          <w:b/>
          <w:color w:val="231F20"/>
          <w:sz w:val="16"/>
        </w:rPr>
        <w:t>Олега Хамходери.</w:t>
      </w:r>
    </w:p>
    <w:p w14:paraId="72B12998" w14:textId="77777777" w:rsidR="00DE575E" w:rsidRDefault="002E7560">
      <w:pPr>
        <w:spacing w:before="1"/>
        <w:ind w:left="533"/>
        <w:rPr>
          <w:b/>
          <w:sz w:val="16"/>
        </w:rPr>
      </w:pPr>
      <w:r>
        <w:rPr>
          <w:color w:val="231F20"/>
          <w:position w:val="5"/>
          <w:sz w:val="9"/>
        </w:rPr>
        <w:t xml:space="preserve">3 </w:t>
      </w:r>
      <w:r>
        <w:rPr>
          <w:color w:val="231F20"/>
          <w:sz w:val="16"/>
        </w:rPr>
        <w:t xml:space="preserve">Автори: </w:t>
      </w:r>
      <w:r>
        <w:rPr>
          <w:b/>
          <w:color w:val="231F20"/>
          <w:sz w:val="16"/>
        </w:rPr>
        <w:t>Андрій Бойчук, Олег Хамходера.</w:t>
      </w:r>
    </w:p>
    <w:p w14:paraId="1195A3F5" w14:textId="77777777" w:rsidR="00DE575E" w:rsidRDefault="00DE575E">
      <w:pPr>
        <w:pStyle w:val="BodyText"/>
        <w:spacing w:before="11"/>
        <w:rPr>
          <w:b/>
          <w:sz w:val="11"/>
        </w:rPr>
      </w:pPr>
    </w:p>
    <w:p w14:paraId="34BFABAC" w14:textId="77777777" w:rsidR="00DE575E" w:rsidRDefault="002E7560">
      <w:pPr>
        <w:spacing w:before="92"/>
        <w:ind w:left="533"/>
        <w:rPr>
          <w:rFonts w:ascii="Times New Roman"/>
          <w:sz w:val="20"/>
        </w:rPr>
      </w:pPr>
      <w:r>
        <w:rPr>
          <w:rFonts w:ascii="Times New Roman"/>
          <w:color w:val="231F20"/>
          <w:sz w:val="20"/>
        </w:rPr>
        <w:t>340</w:t>
      </w:r>
    </w:p>
    <w:p w14:paraId="3829ABC5" w14:textId="77777777" w:rsidR="00DE575E" w:rsidRDefault="00DE575E">
      <w:pPr>
        <w:rPr>
          <w:rFonts w:ascii="Times New Roman"/>
          <w:sz w:val="20"/>
        </w:rPr>
        <w:sectPr w:rsidR="00DE575E">
          <w:type w:val="continuous"/>
          <w:pgSz w:w="8510" w:h="12760"/>
          <w:pgMar w:top="1180" w:right="720" w:bottom="280" w:left="600" w:header="720" w:footer="720" w:gutter="0"/>
          <w:cols w:space="720"/>
        </w:sectPr>
      </w:pPr>
    </w:p>
    <w:p w14:paraId="31AF6694"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30FF1694"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45120B4D" w14:textId="33878A5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B128547" wp14:editId="3E9D4C5E">
                <wp:extent cx="4140200" cy="6350"/>
                <wp:effectExtent l="0" t="0" r="12700" b="6350"/>
                <wp:docPr id="560"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61" name="Line 56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3695CA" id="Group_x0020_55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Zc1dX4CAACYBQAADgAA&#10;AAAAAAAAAAAAAAAsAgAAZHJzL2Uyb0RvYy54bWxQSwECLQAUAAYACAAAACEATKewkNkAAAADAQAA&#10;DwAAAAAAAAAAAAAAAADWBAAAZHJzL2Rvd25yZXYueG1sUEsFBgAAAAAEAAQA8wAAANwFAAAAAA==&#10;">
                <v:line id="Line_x0020_56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ilV8YAAADcAAAADwAAAGRycy9kb3ducmV2LnhtbESP0WrCQBRE3wX/YblCX0Q3VpQSXUUE&#10;Qfqg1vQDrtnbJHT3bsyuJu3XdwWhj8PMnGGW684acafGV44VTMYJCOLc6YoLBZ/ZbvQGwgdkjcYx&#10;KfghD+tVv7fEVLuWP+h+DoWIEPYpKihDqFMpfV6SRT92NXH0vlxjMUTZFFI32Ea4NfI1SebSYsVx&#10;ocSatiXl3+ebVZBdh8Gcju+mzY6XqbxcD9Pf20Gpl0G3WYAI1IX/8LO91wpm8w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YpVfGAAAA3AAAAA8AAAAAAAAA&#10;AAAAAAAAoQIAAGRycy9kb3ducmV2LnhtbFBLBQYAAAAABAAEAPkAAACUAwAAAAA=&#10;" strokecolor="#231f20" strokeweight=".5pt"/>
                <w10:anchorlock/>
              </v:group>
            </w:pict>
          </mc:Fallback>
        </mc:AlternateContent>
      </w:r>
    </w:p>
    <w:p w14:paraId="60485326" w14:textId="77777777" w:rsidR="00DE575E" w:rsidRDefault="00DE575E">
      <w:pPr>
        <w:pStyle w:val="BodyText"/>
        <w:spacing w:before="7"/>
        <w:rPr>
          <w:rFonts w:ascii="AdonisC"/>
          <w:i/>
          <w:sz w:val="19"/>
        </w:rPr>
      </w:pPr>
    </w:p>
    <w:p w14:paraId="51AAD243" w14:textId="77777777" w:rsidR="00DE575E" w:rsidRDefault="002E7560">
      <w:pPr>
        <w:pStyle w:val="BodyText"/>
        <w:spacing w:before="1" w:line="252" w:lineRule="auto"/>
        <w:ind w:left="250" w:right="407"/>
        <w:jc w:val="both"/>
      </w:pPr>
      <w:r>
        <w:rPr>
          <w:color w:val="231F20"/>
        </w:rPr>
        <w:t>організаційна форма різних апаратних утворень (зокрема держав- них інституцій – Державної митної служби, Державної служби статистики, Служби безпеки України) або окремий вид трудової активності людини. З огляду на контекстну актуальність другого значення м</w:t>
      </w:r>
      <w:r>
        <w:rPr>
          <w:color w:val="231F20"/>
        </w:rPr>
        <w:t xml:space="preserve">ожемо стверджувати, що </w:t>
      </w:r>
      <w:r>
        <w:rPr>
          <w:i/>
          <w:color w:val="231F20"/>
        </w:rPr>
        <w:t>публічна служба є видом служби (поряд із корпоративною та  громадською)  і  їй  властиві  всі ознаки останньої</w:t>
      </w:r>
      <w:r>
        <w:rPr>
          <w:color w:val="231F20"/>
        </w:rPr>
        <w:t>: 1) безпосередньо спрямована на створення умов матеріального виробництва (а не саме виробництво ціннос- тей); 2) здійснюєт</w:t>
      </w:r>
      <w:r>
        <w:rPr>
          <w:color w:val="231F20"/>
        </w:rPr>
        <w:t>ься за допомогою специфічного засобу праці – інформації; 3) пов’язана, переважно, із розумовою (а не  фізич-  ною) активністю; 4) є оплатною; 5) здійснюється особами, які займають певну  посаду  як  штатну  одиницю  органу/організації  (а не володіють поса</w:t>
      </w:r>
      <w:r>
        <w:rPr>
          <w:color w:val="231F20"/>
        </w:rPr>
        <w:t>дою, не розпоряджаються нею за власним бажанням)</w:t>
      </w:r>
      <w:r>
        <w:rPr>
          <w:color w:val="231F20"/>
          <w:position w:val="7"/>
          <w:sz w:val="12"/>
        </w:rPr>
        <w:t>1</w:t>
      </w:r>
      <w:r>
        <w:rPr>
          <w:color w:val="231F20"/>
        </w:rPr>
        <w:t>.</w:t>
      </w:r>
    </w:p>
    <w:p w14:paraId="21513F0A" w14:textId="77777777" w:rsidR="00DE575E" w:rsidRDefault="002E7560">
      <w:pPr>
        <w:pStyle w:val="BodyText"/>
        <w:spacing w:before="7" w:line="252" w:lineRule="auto"/>
        <w:ind w:left="250" w:right="410" w:firstLine="283"/>
        <w:jc w:val="both"/>
      </w:pPr>
      <w:r>
        <w:rPr>
          <w:color w:val="231F20"/>
        </w:rPr>
        <w:t xml:space="preserve">Перший же термін у словосполученні «публічна служба» відби- ває її специфіку: а) </w:t>
      </w:r>
      <w:r>
        <w:rPr>
          <w:i/>
          <w:color w:val="231F20"/>
        </w:rPr>
        <w:t xml:space="preserve">кількісну </w:t>
      </w:r>
      <w:r>
        <w:rPr>
          <w:color w:val="231F20"/>
        </w:rPr>
        <w:t xml:space="preserve">(як мінімум, ширший зміст за державну службу); б) </w:t>
      </w:r>
      <w:r>
        <w:rPr>
          <w:i/>
          <w:color w:val="231F20"/>
        </w:rPr>
        <w:t xml:space="preserve">якісну </w:t>
      </w:r>
      <w:r>
        <w:rPr>
          <w:color w:val="231F20"/>
        </w:rPr>
        <w:t>(вказує на основну ціннісно-цільову складову активності –</w:t>
      </w:r>
      <w:r>
        <w:rPr>
          <w:color w:val="231F20"/>
        </w:rPr>
        <w:t xml:space="preserve"> задоволення публічного інтересу; актуалізує інформа- ційну відкритість діяльності).</w:t>
      </w:r>
    </w:p>
    <w:p w14:paraId="44EC2F49" w14:textId="77777777" w:rsidR="00DE575E" w:rsidRDefault="002E7560">
      <w:pPr>
        <w:pStyle w:val="BodyText"/>
        <w:spacing w:before="2" w:line="252" w:lineRule="auto"/>
        <w:ind w:left="250" w:right="410" w:firstLine="283"/>
        <w:jc w:val="both"/>
      </w:pPr>
      <w:r>
        <w:rPr>
          <w:color w:val="231F20"/>
        </w:rPr>
        <w:t>Відзначена кількісна особливість підтверджується нормативною дефініцією</w:t>
      </w:r>
      <w:r>
        <w:rPr>
          <w:color w:val="231F20"/>
          <w:spacing w:val="-5"/>
        </w:rPr>
        <w:t xml:space="preserve"> </w:t>
      </w:r>
      <w:r>
        <w:rPr>
          <w:color w:val="231F20"/>
        </w:rPr>
        <w:t>публічної</w:t>
      </w:r>
      <w:r>
        <w:rPr>
          <w:color w:val="231F20"/>
          <w:spacing w:val="-5"/>
        </w:rPr>
        <w:t xml:space="preserve"> </w:t>
      </w:r>
      <w:r>
        <w:rPr>
          <w:color w:val="231F20"/>
        </w:rPr>
        <w:t>служби,</w:t>
      </w:r>
      <w:r>
        <w:rPr>
          <w:color w:val="231F20"/>
          <w:spacing w:val="-5"/>
        </w:rPr>
        <w:t xml:space="preserve"> </w:t>
      </w:r>
      <w:r>
        <w:rPr>
          <w:color w:val="231F20"/>
        </w:rPr>
        <w:t>що</w:t>
      </w:r>
      <w:r>
        <w:rPr>
          <w:color w:val="231F20"/>
          <w:spacing w:val="-5"/>
        </w:rPr>
        <w:t xml:space="preserve"> </w:t>
      </w:r>
      <w:r>
        <w:rPr>
          <w:color w:val="231F20"/>
        </w:rPr>
        <w:t>надана</w:t>
      </w:r>
      <w:r>
        <w:rPr>
          <w:color w:val="231F20"/>
          <w:spacing w:val="-5"/>
        </w:rPr>
        <w:t xml:space="preserve"> </w:t>
      </w:r>
      <w:r>
        <w:rPr>
          <w:color w:val="231F20"/>
        </w:rPr>
        <w:t>в</w:t>
      </w:r>
      <w:r>
        <w:rPr>
          <w:color w:val="231F20"/>
          <w:spacing w:val="-6"/>
        </w:rPr>
        <w:t xml:space="preserve"> </w:t>
      </w:r>
      <w:r>
        <w:rPr>
          <w:color w:val="231F20"/>
        </w:rPr>
        <w:t>п.</w:t>
      </w:r>
      <w:r>
        <w:rPr>
          <w:color w:val="231F20"/>
          <w:spacing w:val="-5"/>
        </w:rPr>
        <w:t xml:space="preserve"> </w:t>
      </w:r>
      <w:r>
        <w:rPr>
          <w:color w:val="231F20"/>
        </w:rPr>
        <w:t>17</w:t>
      </w:r>
      <w:r>
        <w:rPr>
          <w:color w:val="231F20"/>
          <w:spacing w:val="-5"/>
        </w:rPr>
        <w:t xml:space="preserve"> </w:t>
      </w:r>
      <w:r>
        <w:rPr>
          <w:color w:val="231F20"/>
        </w:rPr>
        <w:t>ч.</w:t>
      </w:r>
      <w:r>
        <w:rPr>
          <w:color w:val="231F20"/>
          <w:spacing w:val="-6"/>
        </w:rPr>
        <w:t xml:space="preserve"> </w:t>
      </w:r>
      <w:r>
        <w:rPr>
          <w:color w:val="231F20"/>
        </w:rPr>
        <w:t>1</w:t>
      </w:r>
      <w:r>
        <w:rPr>
          <w:color w:val="231F20"/>
          <w:spacing w:val="-5"/>
        </w:rPr>
        <w:t xml:space="preserve"> </w:t>
      </w:r>
      <w:r>
        <w:rPr>
          <w:color w:val="231F20"/>
          <w:spacing w:val="-6"/>
        </w:rPr>
        <w:t xml:space="preserve">ст. </w:t>
      </w:r>
      <w:r>
        <w:rPr>
          <w:color w:val="231F20"/>
        </w:rPr>
        <w:t>4</w:t>
      </w:r>
      <w:r>
        <w:rPr>
          <w:color w:val="231F20"/>
          <w:spacing w:val="-5"/>
        </w:rPr>
        <w:t xml:space="preserve"> </w:t>
      </w:r>
      <w:r>
        <w:rPr>
          <w:color w:val="231F20"/>
        </w:rPr>
        <w:t>КАС</w:t>
      </w:r>
      <w:r>
        <w:rPr>
          <w:color w:val="231F20"/>
          <w:spacing w:val="-5"/>
        </w:rPr>
        <w:t xml:space="preserve"> </w:t>
      </w:r>
      <w:r>
        <w:rPr>
          <w:color w:val="231F20"/>
          <w:spacing w:val="-3"/>
        </w:rPr>
        <w:t>України:</w:t>
      </w:r>
    </w:p>
    <w:p w14:paraId="33DED664" w14:textId="77777777" w:rsidR="00DE575E" w:rsidRDefault="002E7560">
      <w:pPr>
        <w:pStyle w:val="BodyText"/>
        <w:spacing w:before="1" w:line="252" w:lineRule="auto"/>
        <w:ind w:left="250" w:right="409"/>
        <w:jc w:val="both"/>
      </w:pPr>
      <w:r>
        <w:rPr>
          <w:color w:val="231F20"/>
        </w:rPr>
        <w:t xml:space="preserve">«публічна служба – діяльність на державних політичних посадах,     у державних колегіальних органах, професійна діяльність </w:t>
      </w:r>
      <w:r>
        <w:rPr>
          <w:color w:val="231F20"/>
          <w:spacing w:val="-3"/>
        </w:rPr>
        <w:t xml:space="preserve">суддів, </w:t>
      </w:r>
      <w:r>
        <w:rPr>
          <w:color w:val="231F20"/>
        </w:rPr>
        <w:t>прокурорів, військова служба, альтернативна (невійськова) служба, інша державна служба, патронатна служба в державних органах</w:t>
      </w:r>
      <w:r>
        <w:rPr>
          <w:color w:val="231F20"/>
        </w:rPr>
        <w:t>, служба</w:t>
      </w:r>
      <w:r>
        <w:rPr>
          <w:color w:val="231F20"/>
          <w:spacing w:val="-9"/>
        </w:rPr>
        <w:t xml:space="preserve"> </w:t>
      </w:r>
      <w:r>
        <w:rPr>
          <w:color w:val="231F20"/>
        </w:rPr>
        <w:t>в</w:t>
      </w:r>
      <w:r>
        <w:rPr>
          <w:color w:val="231F20"/>
          <w:spacing w:val="-10"/>
        </w:rPr>
        <w:t xml:space="preserve"> </w:t>
      </w:r>
      <w:r>
        <w:rPr>
          <w:color w:val="231F20"/>
        </w:rPr>
        <w:t>органах</w:t>
      </w:r>
      <w:r>
        <w:rPr>
          <w:color w:val="231F20"/>
          <w:spacing w:val="-9"/>
        </w:rPr>
        <w:t xml:space="preserve"> </w:t>
      </w:r>
      <w:r>
        <w:rPr>
          <w:color w:val="231F20"/>
        </w:rPr>
        <w:t>влади</w:t>
      </w:r>
      <w:r>
        <w:rPr>
          <w:color w:val="231F20"/>
          <w:spacing w:val="-9"/>
        </w:rPr>
        <w:t xml:space="preserve"> </w:t>
      </w:r>
      <w:r>
        <w:rPr>
          <w:color w:val="231F20"/>
        </w:rPr>
        <w:t>Автономної</w:t>
      </w:r>
      <w:r>
        <w:rPr>
          <w:color w:val="231F20"/>
          <w:spacing w:val="-10"/>
        </w:rPr>
        <w:t xml:space="preserve"> </w:t>
      </w:r>
      <w:r>
        <w:rPr>
          <w:color w:val="231F20"/>
        </w:rPr>
        <w:t>Республіки</w:t>
      </w:r>
      <w:r>
        <w:rPr>
          <w:color w:val="231F20"/>
          <w:spacing w:val="-9"/>
        </w:rPr>
        <w:t xml:space="preserve"> </w:t>
      </w:r>
      <w:r>
        <w:rPr>
          <w:color w:val="231F20"/>
        </w:rPr>
        <w:t>Крим,</w:t>
      </w:r>
      <w:r>
        <w:rPr>
          <w:color w:val="231F20"/>
          <w:spacing w:val="-9"/>
        </w:rPr>
        <w:t xml:space="preserve"> </w:t>
      </w:r>
      <w:r>
        <w:rPr>
          <w:color w:val="231F20"/>
        </w:rPr>
        <w:t>органах</w:t>
      </w:r>
      <w:r>
        <w:rPr>
          <w:color w:val="231F20"/>
          <w:spacing w:val="-9"/>
        </w:rPr>
        <w:t xml:space="preserve"> </w:t>
      </w:r>
      <w:r>
        <w:rPr>
          <w:color w:val="231F20"/>
        </w:rPr>
        <w:t>місце- вого самоврядування». Сприймаючи таке трактування публічної служби, слід враховувати,</w:t>
      </w:r>
      <w:r>
        <w:rPr>
          <w:color w:val="231F20"/>
          <w:spacing w:val="-3"/>
        </w:rPr>
        <w:t xml:space="preserve"> </w:t>
      </w:r>
      <w:r>
        <w:rPr>
          <w:color w:val="231F20"/>
        </w:rPr>
        <w:t>що:</w:t>
      </w:r>
    </w:p>
    <w:p w14:paraId="06D39020" w14:textId="77777777" w:rsidR="00DE575E" w:rsidRDefault="002E7560">
      <w:pPr>
        <w:spacing w:before="3" w:line="252" w:lineRule="auto"/>
        <w:ind w:left="250" w:right="410" w:firstLine="283"/>
        <w:jc w:val="both"/>
        <w:rPr>
          <w:sz w:val="21"/>
        </w:rPr>
      </w:pPr>
      <w:r>
        <w:rPr>
          <w:color w:val="231F20"/>
          <w:sz w:val="21"/>
        </w:rPr>
        <w:t>1)</w:t>
      </w:r>
      <w:r>
        <w:rPr>
          <w:color w:val="231F20"/>
          <w:spacing w:val="35"/>
          <w:sz w:val="21"/>
        </w:rPr>
        <w:t xml:space="preserve"> </w:t>
      </w:r>
      <w:r>
        <w:rPr>
          <w:color w:val="231F20"/>
          <w:sz w:val="21"/>
        </w:rPr>
        <w:t>воно</w:t>
      </w:r>
      <w:r>
        <w:rPr>
          <w:color w:val="231F20"/>
          <w:spacing w:val="-15"/>
          <w:sz w:val="21"/>
        </w:rPr>
        <w:t xml:space="preserve"> </w:t>
      </w:r>
      <w:r>
        <w:rPr>
          <w:color w:val="231F20"/>
          <w:sz w:val="21"/>
        </w:rPr>
        <w:t>є</w:t>
      </w:r>
      <w:r>
        <w:rPr>
          <w:color w:val="231F20"/>
          <w:spacing w:val="-15"/>
          <w:sz w:val="21"/>
        </w:rPr>
        <w:t xml:space="preserve"> </w:t>
      </w:r>
      <w:r>
        <w:rPr>
          <w:color w:val="231F20"/>
          <w:sz w:val="21"/>
        </w:rPr>
        <w:t>недосконалим</w:t>
      </w:r>
      <w:r>
        <w:rPr>
          <w:color w:val="231F20"/>
          <w:spacing w:val="-15"/>
          <w:sz w:val="21"/>
        </w:rPr>
        <w:t xml:space="preserve"> </w:t>
      </w:r>
      <w:r>
        <w:rPr>
          <w:color w:val="231F20"/>
          <w:sz w:val="21"/>
        </w:rPr>
        <w:t>з</w:t>
      </w:r>
      <w:r>
        <w:rPr>
          <w:color w:val="231F20"/>
          <w:spacing w:val="-15"/>
          <w:sz w:val="21"/>
        </w:rPr>
        <w:t xml:space="preserve"> </w:t>
      </w:r>
      <w:r>
        <w:rPr>
          <w:color w:val="231F20"/>
          <w:sz w:val="21"/>
        </w:rPr>
        <w:t>точки</w:t>
      </w:r>
      <w:r>
        <w:rPr>
          <w:color w:val="231F20"/>
          <w:spacing w:val="-15"/>
          <w:sz w:val="21"/>
        </w:rPr>
        <w:t xml:space="preserve"> </w:t>
      </w:r>
      <w:r>
        <w:rPr>
          <w:color w:val="231F20"/>
          <w:sz w:val="21"/>
        </w:rPr>
        <w:t>зору</w:t>
      </w:r>
      <w:r>
        <w:rPr>
          <w:color w:val="231F20"/>
          <w:spacing w:val="-15"/>
          <w:sz w:val="21"/>
        </w:rPr>
        <w:t xml:space="preserve"> </w:t>
      </w:r>
      <w:r>
        <w:rPr>
          <w:color w:val="231F20"/>
          <w:sz w:val="21"/>
        </w:rPr>
        <w:t>юридичної</w:t>
      </w:r>
      <w:r>
        <w:rPr>
          <w:color w:val="231F20"/>
          <w:spacing w:val="-15"/>
          <w:sz w:val="21"/>
        </w:rPr>
        <w:t xml:space="preserve"> </w:t>
      </w:r>
      <w:r>
        <w:rPr>
          <w:color w:val="231F20"/>
          <w:sz w:val="21"/>
        </w:rPr>
        <w:t>техніки,</w:t>
      </w:r>
      <w:r>
        <w:rPr>
          <w:color w:val="231F20"/>
          <w:spacing w:val="-15"/>
          <w:sz w:val="21"/>
        </w:rPr>
        <w:t xml:space="preserve"> </w:t>
      </w:r>
      <w:r>
        <w:rPr>
          <w:color w:val="231F20"/>
          <w:sz w:val="21"/>
        </w:rPr>
        <w:t xml:space="preserve">оскільки </w:t>
      </w:r>
      <w:r>
        <w:rPr>
          <w:i/>
          <w:color w:val="231F20"/>
          <w:sz w:val="21"/>
        </w:rPr>
        <w:t>не характеризує-описує предмет, а лише перераховує  його  скла-  дові частини (до того ж названі елементи не є однопорядковими)</w:t>
      </w:r>
      <w:r>
        <w:rPr>
          <w:color w:val="231F20"/>
          <w:sz w:val="21"/>
        </w:rPr>
        <w:t xml:space="preserve">. Формально  представлене  в  КАС  </w:t>
      </w:r>
      <w:r>
        <w:rPr>
          <w:color w:val="231F20"/>
          <w:spacing w:val="-3"/>
          <w:sz w:val="21"/>
        </w:rPr>
        <w:t xml:space="preserve">України  </w:t>
      </w:r>
      <w:r>
        <w:rPr>
          <w:color w:val="231F20"/>
          <w:sz w:val="21"/>
        </w:rPr>
        <w:t>трактування  взагалі  не є</w:t>
      </w:r>
      <w:r>
        <w:rPr>
          <w:color w:val="231F20"/>
          <w:spacing w:val="-4"/>
          <w:sz w:val="21"/>
        </w:rPr>
        <w:t xml:space="preserve"> </w:t>
      </w:r>
      <w:r>
        <w:rPr>
          <w:color w:val="231F20"/>
          <w:sz w:val="21"/>
        </w:rPr>
        <w:t>визначенням,</w:t>
      </w:r>
      <w:r>
        <w:rPr>
          <w:color w:val="231F20"/>
          <w:spacing w:val="-4"/>
          <w:sz w:val="21"/>
        </w:rPr>
        <w:t xml:space="preserve"> </w:t>
      </w:r>
      <w:r>
        <w:rPr>
          <w:color w:val="231F20"/>
          <w:sz w:val="21"/>
        </w:rPr>
        <w:t>оскільки</w:t>
      </w:r>
      <w:r>
        <w:rPr>
          <w:color w:val="231F20"/>
          <w:spacing w:val="-4"/>
          <w:sz w:val="21"/>
        </w:rPr>
        <w:t xml:space="preserve"> </w:t>
      </w:r>
      <w:r>
        <w:rPr>
          <w:color w:val="231F20"/>
          <w:sz w:val="21"/>
        </w:rPr>
        <w:t>не</w:t>
      </w:r>
      <w:r>
        <w:rPr>
          <w:color w:val="231F20"/>
          <w:spacing w:val="-4"/>
          <w:sz w:val="21"/>
        </w:rPr>
        <w:t xml:space="preserve"> </w:t>
      </w:r>
      <w:r>
        <w:rPr>
          <w:color w:val="231F20"/>
          <w:sz w:val="21"/>
        </w:rPr>
        <w:t>розкриває</w:t>
      </w:r>
      <w:r>
        <w:rPr>
          <w:color w:val="231F20"/>
          <w:spacing w:val="-4"/>
          <w:sz w:val="21"/>
        </w:rPr>
        <w:t xml:space="preserve"> </w:t>
      </w:r>
      <w:r>
        <w:rPr>
          <w:color w:val="231F20"/>
          <w:sz w:val="21"/>
        </w:rPr>
        <w:t>змісту</w:t>
      </w:r>
      <w:r>
        <w:rPr>
          <w:color w:val="231F20"/>
          <w:spacing w:val="-4"/>
          <w:sz w:val="21"/>
        </w:rPr>
        <w:t xml:space="preserve"> </w:t>
      </w:r>
      <w:r>
        <w:rPr>
          <w:color w:val="231F20"/>
          <w:sz w:val="21"/>
        </w:rPr>
        <w:t>поняття;</w:t>
      </w:r>
      <w:r>
        <w:rPr>
          <w:color w:val="231F20"/>
          <w:spacing w:val="-4"/>
          <w:sz w:val="21"/>
        </w:rPr>
        <w:t xml:space="preserve"> </w:t>
      </w:r>
      <w:r>
        <w:rPr>
          <w:color w:val="231F20"/>
          <w:sz w:val="21"/>
        </w:rPr>
        <w:t>там</w:t>
      </w:r>
      <w:r>
        <w:rPr>
          <w:color w:val="231F20"/>
          <w:spacing w:val="-4"/>
          <w:sz w:val="21"/>
        </w:rPr>
        <w:t xml:space="preserve"> </w:t>
      </w:r>
      <w:r>
        <w:rPr>
          <w:color w:val="231F20"/>
          <w:sz w:val="21"/>
        </w:rPr>
        <w:t>має</w:t>
      </w:r>
      <w:r>
        <w:rPr>
          <w:color w:val="231F20"/>
          <w:spacing w:val="-4"/>
          <w:sz w:val="21"/>
        </w:rPr>
        <w:t xml:space="preserve"> </w:t>
      </w:r>
      <w:r>
        <w:rPr>
          <w:color w:val="231F20"/>
          <w:sz w:val="21"/>
        </w:rPr>
        <w:t xml:space="preserve">місце інша логічна операція – поділ (забезпечує характеристику обсягу категорії «публічна служба»; що теж позитивно, з </w:t>
      </w:r>
      <w:r>
        <w:rPr>
          <w:color w:val="231F20"/>
          <w:spacing w:val="-3"/>
          <w:sz w:val="21"/>
        </w:rPr>
        <w:t xml:space="preserve">огляду </w:t>
      </w:r>
      <w:r>
        <w:rPr>
          <w:color w:val="231F20"/>
          <w:sz w:val="21"/>
        </w:rPr>
        <w:t>на відсут- ність інших офіційних</w:t>
      </w:r>
      <w:r>
        <w:rPr>
          <w:color w:val="231F20"/>
          <w:spacing w:val="-1"/>
          <w:sz w:val="21"/>
        </w:rPr>
        <w:t xml:space="preserve"> </w:t>
      </w:r>
      <w:r>
        <w:rPr>
          <w:color w:val="231F20"/>
          <w:sz w:val="21"/>
        </w:rPr>
        <w:t>тлумачень);</w:t>
      </w:r>
    </w:p>
    <w:p w14:paraId="7D4CCE46" w14:textId="77777777" w:rsidR="00DE575E" w:rsidRDefault="00DE575E">
      <w:pPr>
        <w:pStyle w:val="BodyText"/>
        <w:rPr>
          <w:sz w:val="20"/>
        </w:rPr>
      </w:pPr>
    </w:p>
    <w:p w14:paraId="06924B8B" w14:textId="6B3AD38D" w:rsidR="00DE575E" w:rsidRDefault="002E7560">
      <w:pPr>
        <w:pStyle w:val="BodyText"/>
        <w:rPr>
          <w:sz w:val="13"/>
        </w:rPr>
      </w:pPr>
      <w:r>
        <w:rPr>
          <w:noProof/>
        </w:rPr>
        <mc:AlternateContent>
          <mc:Choice Requires="wps">
            <w:drawing>
              <wp:anchor distT="0" distB="0" distL="0" distR="0" simplePos="0" relativeHeight="13240" behindDoc="0" locked="0" layoutInCell="1" allowOverlap="1" wp14:anchorId="6A66B275" wp14:editId="5D679E90">
                <wp:simplePos x="0" y="0"/>
                <wp:positionH relativeFrom="page">
                  <wp:posOffset>539750</wp:posOffset>
                </wp:positionH>
                <wp:positionV relativeFrom="paragraph">
                  <wp:posOffset>125095</wp:posOffset>
                </wp:positionV>
                <wp:extent cx="1080135" cy="0"/>
                <wp:effectExtent l="6350" t="10795" r="31115" b="27305"/>
                <wp:wrapTopAndBottom/>
                <wp:docPr id="559"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ADCE9" id="Line_x0020_558" o:spid="_x0000_s1026" style="position:absolute;z-index:13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5pt" to="127.55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Me1CICAABFBAAADgAAAGRycy9lMm9Eb2MueG1srFPBjtowEL1X6j9YvkMSI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" strokecolor="#231f20" strokeweight=".5pt">
                <w10:wrap type="topAndBottom" anchorx="page"/>
              </v:line>
            </w:pict>
          </mc:Fallback>
        </mc:AlternateContent>
      </w:r>
    </w:p>
    <w:p w14:paraId="3568CD91" w14:textId="77777777" w:rsidR="00DE575E" w:rsidRDefault="002E7560">
      <w:pPr>
        <w:spacing w:line="204" w:lineRule="auto"/>
        <w:ind w:left="250" w:right="521"/>
        <w:rPr>
          <w:sz w:val="16"/>
        </w:rPr>
      </w:pPr>
      <w:r>
        <w:rPr>
          <w:color w:val="231F20"/>
          <w:position w:val="5"/>
          <w:sz w:val="9"/>
        </w:rPr>
        <w:t xml:space="preserve">1 </w:t>
      </w:r>
      <w:r>
        <w:rPr>
          <w:color w:val="231F20"/>
          <w:sz w:val="16"/>
        </w:rPr>
        <w:t>Ківалов С.В., Біла-Тіунова Л.Р. Публічна служба в Україні: підручник. 2-ге вид.</w:t>
      </w:r>
      <w:r>
        <w:rPr>
          <w:color w:val="231F20"/>
          <w:sz w:val="16"/>
        </w:rPr>
        <w:t xml:space="preserve"> Одеса: Фенікс, 2011. С. 15.</w:t>
      </w:r>
    </w:p>
    <w:p w14:paraId="10A304C0" w14:textId="77777777" w:rsidR="00DE575E" w:rsidRDefault="00DE575E">
      <w:pPr>
        <w:pStyle w:val="BodyText"/>
        <w:spacing w:before="1"/>
        <w:rPr>
          <w:sz w:val="12"/>
        </w:rPr>
      </w:pPr>
    </w:p>
    <w:p w14:paraId="58FA01C1" w14:textId="77777777" w:rsidR="00DE575E" w:rsidRDefault="002E7560">
      <w:pPr>
        <w:spacing w:before="92"/>
        <w:ind w:right="411"/>
        <w:jc w:val="right"/>
        <w:rPr>
          <w:rFonts w:ascii="Times New Roman"/>
          <w:sz w:val="20"/>
        </w:rPr>
      </w:pPr>
      <w:r>
        <w:rPr>
          <w:rFonts w:ascii="Times New Roman"/>
          <w:color w:val="231F20"/>
          <w:w w:val="90"/>
          <w:sz w:val="20"/>
        </w:rPr>
        <w:t>341</w:t>
      </w:r>
    </w:p>
    <w:p w14:paraId="0A22384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DD6F77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AE0054B" w14:textId="31E75A3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0D92659" wp14:editId="2352933D">
                <wp:extent cx="4140200" cy="6350"/>
                <wp:effectExtent l="0" t="0" r="12700" b="6350"/>
                <wp:docPr id="557"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58" name="Line 5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F3C1FB" id="Group_x0020_5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ROxARgAIAAJgFAAAO&#10;AAAAAAAAAAAAAAAAACwCAABkcnMvZTJvRG9jLnhtbFBLAQItABQABgAIAAAAIQBMp7CQ2QAAAAMB&#10;AAAPAAAAAAAAAAAAAAAAANgEAABkcnMvZG93bnJldi54bWxQSwUGAAAAAAQABADzAAAA3gUAAAAA&#10;">
                <v:line id="Line_x0020_5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7Gd8MAAADcAAAADwAAAGRycy9kb3ducmV2LnhtbERP3WrCMBS+F/YO4Qy8GZqqKKMaZQwE&#10;8UKn3QMcm7O2LDmpTbTVpzcXgpcf3/9i1VkjrtT4yrGC0TABQZw7XXGh4DdbDz5B+ICs0TgmBTfy&#10;sFq+9RaYatfyga7HUIgYwj5FBWUIdSqlz0uy6IeuJo7cn2sshgibQuoG2xhujRwnyUxarDg2lFjT&#10;d0n5//FiFWTnj2B+9lvTZvvTRJ7Ou8n9slOq/959zUEE6sJL/HRvtILpNK6N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HOxnfDAAAA3AAAAA8AAAAAAAAAAAAA&#10;AAAAoQIAAGRycy9kb3ducmV2LnhtbFBLBQYAAAAABAAEAPkAAACRAwAAAAA=&#10;" strokecolor="#231f20" strokeweight=".5pt"/>
                <w10:anchorlock/>
              </v:group>
            </w:pict>
          </mc:Fallback>
        </mc:AlternateContent>
      </w:r>
    </w:p>
    <w:p w14:paraId="1F37D428" w14:textId="77777777" w:rsidR="00DE575E" w:rsidRDefault="00DE575E">
      <w:pPr>
        <w:pStyle w:val="BodyText"/>
        <w:spacing w:before="7"/>
        <w:rPr>
          <w:rFonts w:ascii="AdonisC"/>
          <w:i/>
          <w:sz w:val="11"/>
        </w:rPr>
      </w:pPr>
    </w:p>
    <w:p w14:paraId="3BD2C811" w14:textId="77777777" w:rsidR="00DE575E" w:rsidRDefault="002E7560">
      <w:pPr>
        <w:pStyle w:val="BodyText"/>
        <w:spacing w:before="101" w:line="252" w:lineRule="auto"/>
        <w:ind w:left="533" w:right="124" w:firstLine="283"/>
        <w:jc w:val="both"/>
      </w:pPr>
      <w:r>
        <w:rPr>
          <w:color w:val="231F20"/>
        </w:rPr>
        <w:t xml:space="preserve">2)  воно  введене  в  процесуальний  нормативно-правовий  акт    і </w:t>
      </w:r>
      <w:r>
        <w:rPr>
          <w:i/>
          <w:color w:val="231F20"/>
        </w:rPr>
        <w:t xml:space="preserve">першочергово має забезпечити потреби судового правозасто- сування  </w:t>
      </w:r>
      <w:r>
        <w:rPr>
          <w:color w:val="231F20"/>
        </w:rPr>
        <w:t xml:space="preserve">(точніше  –  сприяти  окресленню  предметної   юрисдик- ції адміністративних судів), з чим  справляється.  Саме  тому  зміст п. 17 ч. 1 </w:t>
      </w:r>
      <w:r>
        <w:rPr>
          <w:color w:val="231F20"/>
          <w:spacing w:val="-5"/>
        </w:rPr>
        <w:t xml:space="preserve">ст. </w:t>
      </w:r>
      <w:r>
        <w:rPr>
          <w:color w:val="231F20"/>
        </w:rPr>
        <w:t xml:space="preserve">4 КАС України не став остаточним критерієм правиль- ного наукового розуміння публічної служби в матеріальному праві </w:t>
      </w:r>
      <w:r>
        <w:rPr>
          <w:color w:val="231F20"/>
        </w:rPr>
        <w:t xml:space="preserve">(спостерігаються розрізнені доктринальні підходи до характери- стики публічної служби), що не виключає його пріоритетності </w:t>
      </w:r>
      <w:r>
        <w:rPr>
          <w:color w:val="231F20"/>
          <w:spacing w:val="1"/>
        </w:rPr>
        <w:t xml:space="preserve">для </w:t>
      </w:r>
      <w:r>
        <w:rPr>
          <w:color w:val="231F20"/>
        </w:rPr>
        <w:t>навчальних</w:t>
      </w:r>
      <w:r>
        <w:rPr>
          <w:color w:val="231F20"/>
          <w:spacing w:val="3"/>
        </w:rPr>
        <w:t xml:space="preserve"> </w:t>
      </w:r>
      <w:r>
        <w:rPr>
          <w:color w:val="231F20"/>
        </w:rPr>
        <w:t>цілей.</w:t>
      </w:r>
    </w:p>
    <w:p w14:paraId="2051FD3C" w14:textId="77777777" w:rsidR="00DE575E" w:rsidRDefault="002E7560">
      <w:pPr>
        <w:spacing w:before="4" w:line="252" w:lineRule="auto"/>
        <w:ind w:left="533" w:right="128" w:firstLine="283"/>
        <w:jc w:val="both"/>
        <w:rPr>
          <w:sz w:val="21"/>
        </w:rPr>
      </w:pPr>
      <w:r>
        <w:rPr>
          <w:color w:val="231F20"/>
          <w:sz w:val="21"/>
        </w:rPr>
        <w:t xml:space="preserve">Цитоване вище </w:t>
      </w:r>
      <w:r>
        <w:rPr>
          <w:i/>
          <w:color w:val="231F20"/>
          <w:sz w:val="21"/>
        </w:rPr>
        <w:t>офіційне трактування публічної служби вимагає вказати, що її значенням охоплюється</w:t>
      </w:r>
      <w:r>
        <w:rPr>
          <w:color w:val="231F20"/>
          <w:sz w:val="21"/>
        </w:rPr>
        <w:t>:</w:t>
      </w:r>
    </w:p>
    <w:p w14:paraId="046C9E19" w14:textId="77777777" w:rsidR="00DE575E" w:rsidRDefault="002E7560">
      <w:pPr>
        <w:pStyle w:val="ListParagraph"/>
        <w:numPr>
          <w:ilvl w:val="0"/>
          <w:numId w:val="122"/>
        </w:numPr>
        <w:tabs>
          <w:tab w:val="left" w:pos="1101"/>
        </w:tabs>
        <w:spacing w:line="252" w:lineRule="auto"/>
        <w:ind w:right="126" w:firstLine="284"/>
        <w:jc w:val="both"/>
        <w:rPr>
          <w:sz w:val="21"/>
        </w:rPr>
      </w:pPr>
      <w:r>
        <w:rPr>
          <w:b/>
          <w:i/>
          <w:color w:val="231F20"/>
          <w:sz w:val="21"/>
        </w:rPr>
        <w:t>служба на дер</w:t>
      </w:r>
      <w:r>
        <w:rPr>
          <w:b/>
          <w:i/>
          <w:color w:val="231F20"/>
          <w:sz w:val="21"/>
        </w:rPr>
        <w:t>жавних політичних посадах</w:t>
      </w:r>
      <w:r>
        <w:rPr>
          <w:color w:val="231F20"/>
          <w:sz w:val="21"/>
        </w:rPr>
        <w:t>, що характери- зується: а) політичним характером діяльності (переважно спрямо- вана</w:t>
      </w:r>
      <w:r>
        <w:rPr>
          <w:color w:val="231F20"/>
          <w:spacing w:val="-11"/>
          <w:sz w:val="21"/>
        </w:rPr>
        <w:t xml:space="preserve"> </w:t>
      </w:r>
      <w:r>
        <w:rPr>
          <w:color w:val="231F20"/>
          <w:sz w:val="21"/>
        </w:rPr>
        <w:t>на</w:t>
      </w:r>
      <w:r>
        <w:rPr>
          <w:color w:val="231F20"/>
          <w:spacing w:val="-11"/>
          <w:sz w:val="21"/>
        </w:rPr>
        <w:t xml:space="preserve"> </w:t>
      </w:r>
      <w:r>
        <w:rPr>
          <w:color w:val="231F20"/>
          <w:sz w:val="21"/>
        </w:rPr>
        <w:t>вироблення</w:t>
      </w:r>
      <w:r>
        <w:rPr>
          <w:color w:val="231F20"/>
          <w:spacing w:val="-11"/>
          <w:sz w:val="21"/>
        </w:rPr>
        <w:t xml:space="preserve"> </w:t>
      </w:r>
      <w:r>
        <w:rPr>
          <w:color w:val="231F20"/>
          <w:sz w:val="21"/>
        </w:rPr>
        <w:t>та</w:t>
      </w:r>
      <w:r>
        <w:rPr>
          <w:color w:val="231F20"/>
          <w:spacing w:val="-11"/>
          <w:sz w:val="21"/>
        </w:rPr>
        <w:t xml:space="preserve"> </w:t>
      </w:r>
      <w:r>
        <w:rPr>
          <w:color w:val="231F20"/>
          <w:sz w:val="21"/>
        </w:rPr>
        <w:t>забезпечення</w:t>
      </w:r>
      <w:r>
        <w:rPr>
          <w:color w:val="231F20"/>
          <w:spacing w:val="-11"/>
          <w:sz w:val="21"/>
        </w:rPr>
        <w:t xml:space="preserve"> </w:t>
      </w:r>
      <w:r>
        <w:rPr>
          <w:color w:val="231F20"/>
          <w:sz w:val="21"/>
        </w:rPr>
        <w:t>реалізації</w:t>
      </w:r>
      <w:r>
        <w:rPr>
          <w:color w:val="231F20"/>
          <w:spacing w:val="-11"/>
          <w:sz w:val="21"/>
        </w:rPr>
        <w:t xml:space="preserve"> </w:t>
      </w:r>
      <w:r>
        <w:rPr>
          <w:color w:val="231F20"/>
          <w:sz w:val="21"/>
        </w:rPr>
        <w:t>політики);</w:t>
      </w:r>
      <w:r>
        <w:rPr>
          <w:color w:val="231F20"/>
          <w:spacing w:val="-11"/>
          <w:sz w:val="21"/>
        </w:rPr>
        <w:t xml:space="preserve"> </w:t>
      </w:r>
      <w:r>
        <w:rPr>
          <w:color w:val="231F20"/>
          <w:sz w:val="21"/>
        </w:rPr>
        <w:t>б)</w:t>
      </w:r>
      <w:r>
        <w:rPr>
          <w:color w:val="231F20"/>
          <w:spacing w:val="-11"/>
          <w:sz w:val="21"/>
        </w:rPr>
        <w:t xml:space="preserve"> </w:t>
      </w:r>
      <w:r>
        <w:rPr>
          <w:color w:val="231F20"/>
          <w:sz w:val="21"/>
        </w:rPr>
        <w:t>особли- вим порядок призначення на посаду (вибори або інший порядок із превалюванням політичних симпатій / доцільностей / належнос- тей) та проходження служби; в) публічно-політичним характером відповідальності службовців (імпічмент, оголошення резолюції н</w:t>
      </w:r>
      <w:r>
        <w:rPr>
          <w:color w:val="231F20"/>
          <w:sz w:val="21"/>
        </w:rPr>
        <w:t xml:space="preserve">едовіри тощо). Чинне законодавство прямо відносить до політич- них посад членів </w:t>
      </w:r>
      <w:r>
        <w:rPr>
          <w:color w:val="231F20"/>
          <w:spacing w:val="-3"/>
          <w:sz w:val="21"/>
        </w:rPr>
        <w:t xml:space="preserve">Уряду </w:t>
      </w:r>
      <w:r>
        <w:rPr>
          <w:color w:val="231F20"/>
          <w:sz w:val="21"/>
        </w:rPr>
        <w:t xml:space="preserve">(ч. 3 </w:t>
      </w:r>
      <w:r>
        <w:rPr>
          <w:color w:val="231F20"/>
          <w:spacing w:val="-6"/>
          <w:sz w:val="21"/>
        </w:rPr>
        <w:t xml:space="preserve">ст. </w:t>
      </w:r>
      <w:r>
        <w:rPr>
          <w:color w:val="231F20"/>
          <w:sz w:val="21"/>
        </w:rPr>
        <w:t>6 Закону «Про Кабінет Міністрів України»), перших заступників та заступників міністрів</w:t>
      </w:r>
      <w:r>
        <w:rPr>
          <w:color w:val="231F20"/>
          <w:position w:val="7"/>
          <w:sz w:val="12"/>
        </w:rPr>
        <w:t xml:space="preserve">1 </w:t>
      </w:r>
      <w:r>
        <w:rPr>
          <w:color w:val="231F20"/>
          <w:sz w:val="21"/>
        </w:rPr>
        <w:t xml:space="preserve">(ч. 5 </w:t>
      </w:r>
      <w:r>
        <w:rPr>
          <w:color w:val="231F20"/>
          <w:spacing w:val="-6"/>
          <w:sz w:val="21"/>
        </w:rPr>
        <w:t xml:space="preserve">ст. </w:t>
      </w:r>
      <w:r>
        <w:rPr>
          <w:color w:val="231F20"/>
          <w:sz w:val="21"/>
        </w:rPr>
        <w:t>9 Закону «Про центральні органи виконавчої влади»). На підстав</w:t>
      </w:r>
      <w:r>
        <w:rPr>
          <w:color w:val="231F20"/>
          <w:sz w:val="21"/>
        </w:rPr>
        <w:t xml:space="preserve">і теорії до політичних посад також відносять Президента </w:t>
      </w:r>
      <w:r>
        <w:rPr>
          <w:color w:val="231F20"/>
          <w:spacing w:val="-3"/>
          <w:sz w:val="21"/>
        </w:rPr>
        <w:t xml:space="preserve">України, </w:t>
      </w:r>
      <w:r>
        <w:rPr>
          <w:color w:val="231F20"/>
          <w:sz w:val="21"/>
        </w:rPr>
        <w:t>народних депутатів; інколи – голів місцевих державних адміністра- цій, їх перших заступників та заступників (додатковим аргументом небезпідставності позиції може слугувати виключення цих поса</w:t>
      </w:r>
      <w:r>
        <w:rPr>
          <w:color w:val="231F20"/>
          <w:sz w:val="21"/>
        </w:rPr>
        <w:t>д зі сфери дії Закону «Про державну службу» у 2017</w:t>
      </w:r>
      <w:r>
        <w:rPr>
          <w:color w:val="231F20"/>
          <w:spacing w:val="-4"/>
          <w:sz w:val="21"/>
        </w:rPr>
        <w:t xml:space="preserve"> </w:t>
      </w:r>
      <w:r>
        <w:rPr>
          <w:color w:val="231F20"/>
          <w:sz w:val="21"/>
        </w:rPr>
        <w:t>році)</w:t>
      </w:r>
      <w:r>
        <w:rPr>
          <w:color w:val="231F20"/>
          <w:position w:val="7"/>
          <w:sz w:val="12"/>
        </w:rPr>
        <w:t>2</w:t>
      </w:r>
      <w:r>
        <w:rPr>
          <w:color w:val="231F20"/>
          <w:sz w:val="21"/>
        </w:rPr>
        <w:t>;</w:t>
      </w:r>
    </w:p>
    <w:p w14:paraId="55F9DA81" w14:textId="77777777" w:rsidR="00DE575E" w:rsidRDefault="002E7560">
      <w:pPr>
        <w:pStyle w:val="ListParagraph"/>
        <w:numPr>
          <w:ilvl w:val="0"/>
          <w:numId w:val="122"/>
        </w:numPr>
        <w:tabs>
          <w:tab w:val="left" w:pos="1101"/>
        </w:tabs>
        <w:spacing w:before="8" w:line="252" w:lineRule="auto"/>
        <w:ind w:right="127" w:firstLine="284"/>
        <w:jc w:val="both"/>
        <w:rPr>
          <w:sz w:val="21"/>
        </w:rPr>
      </w:pPr>
      <w:r>
        <w:rPr>
          <w:b/>
          <w:i/>
          <w:color w:val="231F20"/>
          <w:sz w:val="21"/>
        </w:rPr>
        <w:t>служба у державних колегіальних органах</w:t>
      </w:r>
      <w:r>
        <w:rPr>
          <w:color w:val="231F20"/>
          <w:sz w:val="21"/>
        </w:rPr>
        <w:t xml:space="preserve">,  до  яких  можна  віднести  Рахункову  </w:t>
      </w:r>
      <w:r>
        <w:rPr>
          <w:color w:val="231F20"/>
          <w:spacing w:val="-3"/>
          <w:sz w:val="21"/>
        </w:rPr>
        <w:t xml:space="preserve">палату,   </w:t>
      </w:r>
      <w:r>
        <w:rPr>
          <w:color w:val="231F20"/>
          <w:sz w:val="21"/>
        </w:rPr>
        <w:t xml:space="preserve">Центральну  виборчу  </w:t>
      </w:r>
      <w:r>
        <w:rPr>
          <w:color w:val="231F20"/>
          <w:spacing w:val="7"/>
          <w:sz w:val="21"/>
        </w:rPr>
        <w:t xml:space="preserve"> </w:t>
      </w:r>
      <w:r>
        <w:rPr>
          <w:color w:val="231F20"/>
          <w:sz w:val="21"/>
        </w:rPr>
        <w:t>комісію,</w:t>
      </w:r>
    </w:p>
    <w:p w14:paraId="6D407442" w14:textId="3E8D8C6A" w:rsidR="00DE575E" w:rsidRDefault="002E7560">
      <w:pPr>
        <w:pStyle w:val="BodyText"/>
        <w:spacing w:before="2"/>
      </w:pPr>
      <w:r>
        <w:rPr>
          <w:noProof/>
        </w:rPr>
        <mc:AlternateContent>
          <mc:Choice Requires="wps">
            <w:drawing>
              <wp:anchor distT="0" distB="0" distL="0" distR="0" simplePos="0" relativeHeight="13288" behindDoc="0" locked="0" layoutInCell="1" allowOverlap="1" wp14:anchorId="2575BE08" wp14:editId="7F140840">
                <wp:simplePos x="0" y="0"/>
                <wp:positionH relativeFrom="page">
                  <wp:posOffset>719455</wp:posOffset>
                </wp:positionH>
                <wp:positionV relativeFrom="paragraph">
                  <wp:posOffset>185420</wp:posOffset>
                </wp:positionV>
                <wp:extent cx="1080135" cy="0"/>
                <wp:effectExtent l="8255" t="7620" r="29210" b="30480"/>
                <wp:wrapTopAndBottom/>
                <wp:docPr id="556"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DC73" id="Line_x0020_555" o:spid="_x0000_s1026" style="position:absolute;z-index:13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6pt" to="141.7pt,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YT7CICAABFBAAADgAAAGRycy9lMm9Eb2MueG1srFPBjtowEL1X6j9YvkMSI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" strokecolor="#231f20" strokeweight=".5pt">
                <w10:wrap type="topAndBottom" anchorx="page"/>
              </v:line>
            </w:pict>
          </mc:Fallback>
        </mc:AlternateContent>
      </w:r>
    </w:p>
    <w:p w14:paraId="5CB8E94F" w14:textId="77777777" w:rsidR="00DE575E" w:rsidRDefault="002E7560">
      <w:pPr>
        <w:spacing w:line="204" w:lineRule="auto"/>
        <w:ind w:left="533" w:right="125"/>
        <w:jc w:val="both"/>
        <w:rPr>
          <w:sz w:val="16"/>
        </w:rPr>
      </w:pPr>
      <w:r>
        <w:rPr>
          <w:color w:val="231F20"/>
          <w:position w:val="5"/>
          <w:sz w:val="9"/>
        </w:rPr>
        <w:t xml:space="preserve">1 </w:t>
      </w:r>
      <w:r>
        <w:rPr>
          <w:color w:val="231F20"/>
          <w:sz w:val="16"/>
        </w:rPr>
        <w:t xml:space="preserve">М. Цуркан висловлює думку  про  необґрунтованість  зарахування  перших  </w:t>
      </w:r>
      <w:r>
        <w:rPr>
          <w:color w:val="231F20"/>
          <w:sz w:val="16"/>
        </w:rPr>
        <w:t>заступни- ків</w:t>
      </w:r>
      <w:r>
        <w:rPr>
          <w:color w:val="231F20"/>
          <w:spacing w:val="16"/>
          <w:sz w:val="16"/>
        </w:rPr>
        <w:t xml:space="preserve"> </w:t>
      </w:r>
      <w:r>
        <w:rPr>
          <w:color w:val="231F20"/>
          <w:sz w:val="16"/>
        </w:rPr>
        <w:t>та</w:t>
      </w:r>
      <w:r>
        <w:rPr>
          <w:color w:val="231F20"/>
          <w:spacing w:val="16"/>
          <w:sz w:val="16"/>
        </w:rPr>
        <w:t xml:space="preserve"> </w:t>
      </w:r>
      <w:r>
        <w:rPr>
          <w:color w:val="231F20"/>
          <w:sz w:val="16"/>
        </w:rPr>
        <w:t>заступників</w:t>
      </w:r>
      <w:r>
        <w:rPr>
          <w:color w:val="231F20"/>
          <w:spacing w:val="16"/>
          <w:sz w:val="16"/>
        </w:rPr>
        <w:t xml:space="preserve"> </w:t>
      </w:r>
      <w:r>
        <w:rPr>
          <w:color w:val="231F20"/>
          <w:sz w:val="16"/>
        </w:rPr>
        <w:t>міністрів</w:t>
      </w:r>
      <w:r>
        <w:rPr>
          <w:color w:val="231F20"/>
          <w:spacing w:val="16"/>
          <w:sz w:val="16"/>
        </w:rPr>
        <w:t xml:space="preserve"> </w:t>
      </w:r>
      <w:r>
        <w:rPr>
          <w:color w:val="231F20"/>
          <w:sz w:val="16"/>
        </w:rPr>
        <w:t>до</w:t>
      </w:r>
      <w:r>
        <w:rPr>
          <w:color w:val="231F20"/>
          <w:spacing w:val="16"/>
          <w:sz w:val="16"/>
        </w:rPr>
        <w:t xml:space="preserve"> </w:t>
      </w:r>
      <w:r>
        <w:rPr>
          <w:color w:val="231F20"/>
          <w:sz w:val="16"/>
        </w:rPr>
        <w:t>політичних</w:t>
      </w:r>
      <w:r>
        <w:rPr>
          <w:color w:val="231F20"/>
          <w:spacing w:val="16"/>
          <w:sz w:val="16"/>
        </w:rPr>
        <w:t xml:space="preserve"> </w:t>
      </w:r>
      <w:r>
        <w:rPr>
          <w:color w:val="231F20"/>
          <w:sz w:val="16"/>
        </w:rPr>
        <w:t>посад,</w:t>
      </w:r>
      <w:r>
        <w:rPr>
          <w:color w:val="231F20"/>
          <w:spacing w:val="16"/>
          <w:sz w:val="16"/>
        </w:rPr>
        <w:t xml:space="preserve"> </w:t>
      </w:r>
      <w:r>
        <w:rPr>
          <w:color w:val="231F20"/>
          <w:sz w:val="16"/>
        </w:rPr>
        <w:t>оскільки</w:t>
      </w:r>
      <w:r>
        <w:rPr>
          <w:color w:val="231F20"/>
          <w:spacing w:val="16"/>
          <w:sz w:val="16"/>
        </w:rPr>
        <w:t xml:space="preserve"> </w:t>
      </w:r>
      <w:r>
        <w:rPr>
          <w:color w:val="231F20"/>
          <w:sz w:val="16"/>
        </w:rPr>
        <w:t>ні</w:t>
      </w:r>
      <w:r>
        <w:rPr>
          <w:color w:val="231F20"/>
          <w:spacing w:val="16"/>
          <w:sz w:val="16"/>
        </w:rPr>
        <w:t xml:space="preserve"> </w:t>
      </w:r>
      <w:r>
        <w:rPr>
          <w:color w:val="231F20"/>
          <w:sz w:val="16"/>
        </w:rPr>
        <w:t>особливості</w:t>
      </w:r>
      <w:r>
        <w:rPr>
          <w:color w:val="231F20"/>
          <w:spacing w:val="16"/>
          <w:sz w:val="16"/>
        </w:rPr>
        <w:t xml:space="preserve"> </w:t>
      </w:r>
      <w:r>
        <w:rPr>
          <w:color w:val="231F20"/>
          <w:sz w:val="16"/>
        </w:rPr>
        <w:t>призначення</w:t>
      </w:r>
    </w:p>
    <w:p w14:paraId="3CDB53BE" w14:textId="77777777" w:rsidR="00DE575E" w:rsidRDefault="002E7560">
      <w:pPr>
        <w:spacing w:line="204" w:lineRule="auto"/>
        <w:ind w:left="533" w:right="126"/>
        <w:jc w:val="both"/>
        <w:rPr>
          <w:sz w:val="16"/>
        </w:rPr>
      </w:pPr>
      <w:r>
        <w:rPr>
          <w:color w:val="231F20"/>
          <w:sz w:val="16"/>
        </w:rPr>
        <w:t xml:space="preserve">/ звільнення, ні особливості відповідальності цих посадовців не містять (достатньою мірою </w:t>
      </w:r>
      <w:r>
        <w:rPr>
          <w:i/>
          <w:color w:val="231F20"/>
          <w:sz w:val="16"/>
        </w:rPr>
        <w:t>– уточнення наше</w:t>
      </w:r>
      <w:r>
        <w:rPr>
          <w:color w:val="231F20"/>
          <w:sz w:val="16"/>
        </w:rPr>
        <w:t xml:space="preserve">) ознак політичності (Див.: Цуркан М. Політична служба: визна- чення та особливості правового регулювання. </w:t>
      </w:r>
      <w:r>
        <w:rPr>
          <w:i/>
          <w:color w:val="231F20"/>
          <w:sz w:val="16"/>
        </w:rPr>
        <w:t>Публічна служба і адміністративне судо- чинство: здобутки і виклики</w:t>
      </w:r>
      <w:r>
        <w:rPr>
          <w:color w:val="231F20"/>
          <w:sz w:val="16"/>
        </w:rPr>
        <w:t xml:space="preserve">: Збірник матеріалів І Міжнародної науково-практичної кон- ференції (м. Київ, 5–6 </w:t>
      </w:r>
      <w:r>
        <w:rPr>
          <w:color w:val="231F20"/>
          <w:sz w:val="16"/>
        </w:rPr>
        <w:t>липня 2018 року). К.: Дакор, 2018. С. 430-431).</w:t>
      </w:r>
    </w:p>
    <w:p w14:paraId="452863E9" w14:textId="77777777" w:rsidR="00DE575E" w:rsidRDefault="002E7560">
      <w:pPr>
        <w:spacing w:before="29" w:line="204" w:lineRule="auto"/>
        <w:ind w:left="533" w:right="125"/>
        <w:jc w:val="both"/>
        <w:rPr>
          <w:sz w:val="16"/>
        </w:rPr>
      </w:pPr>
      <w:r>
        <w:rPr>
          <w:color w:val="231F20"/>
          <w:position w:val="5"/>
          <w:sz w:val="9"/>
        </w:rPr>
        <w:t xml:space="preserve">2 </w:t>
      </w:r>
      <w:r>
        <w:rPr>
          <w:color w:val="231F20"/>
          <w:sz w:val="16"/>
        </w:rPr>
        <w:t xml:space="preserve">Окремі дослідники значно розширюють коло політичних посад, додатково включа-  ючи до них керівників Офісу Президента, Постійного Представника Президента </w:t>
      </w:r>
      <w:r>
        <w:rPr>
          <w:color w:val="231F20"/>
          <w:spacing w:val="-3"/>
          <w:sz w:val="16"/>
        </w:rPr>
        <w:t xml:space="preserve">України </w:t>
      </w:r>
      <w:r>
        <w:rPr>
          <w:color w:val="231F20"/>
          <w:sz w:val="16"/>
        </w:rPr>
        <w:t>в</w:t>
      </w:r>
      <w:r>
        <w:rPr>
          <w:color w:val="231F20"/>
          <w:spacing w:val="-6"/>
          <w:sz w:val="16"/>
        </w:rPr>
        <w:t xml:space="preserve"> </w:t>
      </w:r>
      <w:r>
        <w:rPr>
          <w:color w:val="231F20"/>
          <w:sz w:val="16"/>
        </w:rPr>
        <w:t>Автономній</w:t>
      </w:r>
      <w:r>
        <w:rPr>
          <w:color w:val="231F20"/>
          <w:spacing w:val="-6"/>
          <w:sz w:val="16"/>
        </w:rPr>
        <w:t xml:space="preserve"> </w:t>
      </w:r>
      <w:r>
        <w:rPr>
          <w:color w:val="231F20"/>
          <w:sz w:val="16"/>
        </w:rPr>
        <w:t>Республіці</w:t>
      </w:r>
      <w:r>
        <w:rPr>
          <w:color w:val="231F20"/>
          <w:spacing w:val="-6"/>
          <w:sz w:val="16"/>
        </w:rPr>
        <w:t xml:space="preserve"> </w:t>
      </w:r>
      <w:r>
        <w:rPr>
          <w:color w:val="231F20"/>
          <w:sz w:val="16"/>
        </w:rPr>
        <w:t>Крим</w:t>
      </w:r>
      <w:r>
        <w:rPr>
          <w:color w:val="231F20"/>
          <w:spacing w:val="-6"/>
          <w:sz w:val="16"/>
        </w:rPr>
        <w:t xml:space="preserve"> </w:t>
      </w:r>
      <w:r>
        <w:rPr>
          <w:color w:val="231F20"/>
          <w:sz w:val="16"/>
        </w:rPr>
        <w:t>та</w:t>
      </w:r>
      <w:r>
        <w:rPr>
          <w:color w:val="231F20"/>
          <w:spacing w:val="-6"/>
          <w:sz w:val="16"/>
        </w:rPr>
        <w:t xml:space="preserve"> </w:t>
      </w:r>
      <w:r>
        <w:rPr>
          <w:color w:val="231F20"/>
          <w:sz w:val="16"/>
        </w:rPr>
        <w:t>його</w:t>
      </w:r>
      <w:r>
        <w:rPr>
          <w:color w:val="231F20"/>
          <w:spacing w:val="-6"/>
          <w:sz w:val="16"/>
        </w:rPr>
        <w:t xml:space="preserve"> </w:t>
      </w:r>
      <w:r>
        <w:rPr>
          <w:color w:val="231F20"/>
          <w:sz w:val="16"/>
        </w:rPr>
        <w:t>заступни</w:t>
      </w:r>
      <w:r>
        <w:rPr>
          <w:color w:val="231F20"/>
          <w:sz w:val="16"/>
        </w:rPr>
        <w:t>ків,</w:t>
      </w:r>
      <w:r>
        <w:rPr>
          <w:color w:val="231F20"/>
          <w:spacing w:val="-6"/>
          <w:sz w:val="16"/>
        </w:rPr>
        <w:t xml:space="preserve"> </w:t>
      </w:r>
      <w:r>
        <w:rPr>
          <w:color w:val="231F20"/>
          <w:sz w:val="16"/>
        </w:rPr>
        <w:t>Секретаря</w:t>
      </w:r>
      <w:r>
        <w:rPr>
          <w:color w:val="231F20"/>
          <w:spacing w:val="-6"/>
          <w:sz w:val="16"/>
        </w:rPr>
        <w:t xml:space="preserve"> </w:t>
      </w:r>
      <w:r>
        <w:rPr>
          <w:color w:val="231F20"/>
          <w:sz w:val="16"/>
        </w:rPr>
        <w:t>РНБОУ</w:t>
      </w:r>
      <w:r>
        <w:rPr>
          <w:color w:val="231F20"/>
          <w:spacing w:val="-6"/>
          <w:sz w:val="16"/>
        </w:rPr>
        <w:t xml:space="preserve"> </w:t>
      </w:r>
      <w:r>
        <w:rPr>
          <w:color w:val="231F20"/>
          <w:sz w:val="16"/>
        </w:rPr>
        <w:t>та</w:t>
      </w:r>
      <w:r>
        <w:rPr>
          <w:color w:val="231F20"/>
          <w:spacing w:val="-6"/>
          <w:sz w:val="16"/>
        </w:rPr>
        <w:t xml:space="preserve"> </w:t>
      </w:r>
      <w:r>
        <w:rPr>
          <w:color w:val="231F20"/>
          <w:sz w:val="16"/>
        </w:rPr>
        <w:t>його</w:t>
      </w:r>
      <w:r>
        <w:rPr>
          <w:color w:val="231F20"/>
          <w:spacing w:val="-6"/>
          <w:sz w:val="16"/>
        </w:rPr>
        <w:t xml:space="preserve"> </w:t>
      </w:r>
      <w:r>
        <w:rPr>
          <w:color w:val="231F20"/>
          <w:sz w:val="16"/>
        </w:rPr>
        <w:t xml:space="preserve">заступників, омбудсмена тощо (Див.: Константий О. Щодо судового розгляду спорів з приводу проход- ження служби на державних політичних посадах та звільнення з них. </w:t>
      </w:r>
      <w:r>
        <w:rPr>
          <w:i/>
          <w:color w:val="231F20"/>
          <w:sz w:val="16"/>
        </w:rPr>
        <w:t xml:space="preserve">Публічна служба      і адміністративне судочинство: здобутки і </w:t>
      </w:r>
      <w:r>
        <w:rPr>
          <w:i/>
          <w:color w:val="231F20"/>
          <w:sz w:val="16"/>
        </w:rPr>
        <w:t>виклики</w:t>
      </w:r>
      <w:r>
        <w:rPr>
          <w:color w:val="231F20"/>
          <w:sz w:val="16"/>
        </w:rPr>
        <w:t>: Збірник матеріалів І Міжнародної науково-практичної конференції (м. Київ, 5–6 липня 2018 року). К.: Дакор, 2018. С.</w:t>
      </w:r>
      <w:r>
        <w:rPr>
          <w:color w:val="231F20"/>
          <w:spacing w:val="-16"/>
          <w:sz w:val="16"/>
        </w:rPr>
        <w:t xml:space="preserve"> </w:t>
      </w:r>
      <w:r>
        <w:rPr>
          <w:color w:val="231F20"/>
          <w:sz w:val="16"/>
        </w:rPr>
        <w:t>184).</w:t>
      </w:r>
    </w:p>
    <w:p w14:paraId="398DAADA" w14:textId="77777777" w:rsidR="00DE575E" w:rsidRDefault="00DE575E">
      <w:pPr>
        <w:pStyle w:val="BodyText"/>
        <w:spacing w:before="7"/>
        <w:rPr>
          <w:sz w:val="12"/>
        </w:rPr>
      </w:pPr>
    </w:p>
    <w:p w14:paraId="0AE0326F" w14:textId="77777777" w:rsidR="00DE575E" w:rsidRDefault="002E7560">
      <w:pPr>
        <w:spacing w:before="92"/>
        <w:ind w:left="533"/>
        <w:rPr>
          <w:rFonts w:ascii="Times New Roman"/>
          <w:sz w:val="20"/>
        </w:rPr>
      </w:pPr>
      <w:r>
        <w:rPr>
          <w:rFonts w:ascii="Times New Roman"/>
          <w:color w:val="231F20"/>
          <w:sz w:val="20"/>
        </w:rPr>
        <w:t>342</w:t>
      </w:r>
    </w:p>
    <w:p w14:paraId="55FB7981" w14:textId="77777777" w:rsidR="00DE575E" w:rsidRDefault="00DE575E">
      <w:pPr>
        <w:rPr>
          <w:rFonts w:ascii="Times New Roman"/>
          <w:sz w:val="20"/>
        </w:rPr>
        <w:sectPr w:rsidR="00DE575E">
          <w:pgSz w:w="8510" w:h="12760"/>
          <w:pgMar w:top="660" w:right="720" w:bottom="280" w:left="600" w:header="720" w:footer="720" w:gutter="0"/>
          <w:cols w:space="720"/>
        </w:sectPr>
      </w:pPr>
    </w:p>
    <w:p w14:paraId="2B713802"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317E7F04"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5CDB9192" w14:textId="42C7C3F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107FB2E" wp14:editId="208C55E4">
                <wp:extent cx="4140200" cy="6350"/>
                <wp:effectExtent l="0" t="0" r="12700" b="6350"/>
                <wp:docPr id="554"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55" name="Line 55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C1204A" id="Group_x0020_55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Z/pqs34CAACYBQAADgAA&#10;AAAAAAAAAAAAAAAsAgAAZHJzL2Uyb0RvYy54bWxQSwECLQAUAAYACAAAACEATKewkNkAAAADAQAA&#10;DwAAAAAAAAAAAAAAAADWBAAAZHJzL2Rvd25yZXYueG1sUEsFBgAAAAAEAAQA8wAAANwFAAAAAA==&#10;">
                <v:line id="Line_x0020_55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9p6cYAAADcAAAADwAAAGRycy9kb3ducmV2LnhtbESP3WrCQBSE7wu+w3KE3pS6aSVSUleR&#10;giBe+Bcf4Jg9TYK7Z2N2NbFP3xUKvRxm5htmOu+tETdqfe1YwdsoAUFcOF1zqeCYL18/QPiArNE4&#10;JgV38jCfDZ6mmGnX8Z5uh1CKCGGfoYIqhCaT0hcVWfQj1xBH79u1FkOUbSl1i12EWyPfk2QiLdYc&#10;Fyps6Kui4ny4WgX55SWY3XZtunx7GsvTZTP+uW6Ueh72i08QgfrwH/5rr7SCNE3hcSYe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aenGAAAA3AAAAA8AAAAAAAAA&#10;AAAAAAAAoQIAAGRycy9kb3ducmV2LnhtbFBLBQYAAAAABAAEAPkAAACUAwAAAAA=&#10;" strokecolor="#231f20" strokeweight=".5pt"/>
                <w10:anchorlock/>
              </v:group>
            </w:pict>
          </mc:Fallback>
        </mc:AlternateContent>
      </w:r>
    </w:p>
    <w:p w14:paraId="6E6C7510" w14:textId="77777777" w:rsidR="00DE575E" w:rsidRDefault="00DE575E">
      <w:pPr>
        <w:pStyle w:val="BodyText"/>
        <w:spacing w:before="7"/>
        <w:rPr>
          <w:rFonts w:ascii="AdonisC"/>
          <w:i/>
          <w:sz w:val="19"/>
        </w:rPr>
      </w:pPr>
    </w:p>
    <w:p w14:paraId="51D3DDA6" w14:textId="77777777" w:rsidR="00DE575E" w:rsidRDefault="002E7560">
      <w:pPr>
        <w:pStyle w:val="BodyText"/>
        <w:spacing w:before="1" w:line="252" w:lineRule="auto"/>
        <w:ind w:left="250" w:right="410"/>
        <w:jc w:val="both"/>
      </w:pPr>
      <w:r>
        <w:rPr>
          <w:color w:val="231F20"/>
        </w:rPr>
        <w:t>Національну комісію з цінних паперів та фондового ринку, Націо- нальну комісію, що здійснює державне регулювання у сферах енер- гетики та комунальних послуг, Національну раду з питань телеба- чення і радіомовлення, Анти</w:t>
      </w:r>
      <w:r>
        <w:rPr>
          <w:color w:val="231F20"/>
        </w:rPr>
        <w:t>монопольний комітет України, Вищу раду правосуддя тощо. Слід враховувати, що організаційне забез- печення діяльності державних колегіальних органів здійснюють апарати, працівники яких переважно являються державними служ- бовцями і входять до цієї групи пуб</w:t>
      </w:r>
      <w:r>
        <w:rPr>
          <w:color w:val="231F20"/>
        </w:rPr>
        <w:t>лічних функціонерів. У цьому ж абзаці маються на увазі такі посади перерахованих органів, перебу- ваючи на яких, особа здійснює публічні владні функції, але не набу- ває статусу державного службовця (</w:t>
      </w:r>
      <w:r>
        <w:rPr>
          <w:i/>
          <w:color w:val="231F20"/>
        </w:rPr>
        <w:t>першочергово члени названих неєдиноначальних інституцій</w:t>
      </w:r>
      <w:r>
        <w:rPr>
          <w:color w:val="231F20"/>
        </w:rPr>
        <w:t>)</w:t>
      </w:r>
      <w:r>
        <w:rPr>
          <w:color w:val="231F20"/>
        </w:rPr>
        <w:t>;</w:t>
      </w:r>
    </w:p>
    <w:p w14:paraId="47EB0671" w14:textId="77777777" w:rsidR="00DE575E" w:rsidRDefault="002E7560">
      <w:pPr>
        <w:pStyle w:val="ListParagraph"/>
        <w:numPr>
          <w:ilvl w:val="0"/>
          <w:numId w:val="130"/>
        </w:numPr>
        <w:tabs>
          <w:tab w:val="left" w:pos="818"/>
        </w:tabs>
        <w:spacing w:before="6" w:line="252" w:lineRule="auto"/>
        <w:ind w:right="410" w:firstLine="283"/>
        <w:jc w:val="both"/>
        <w:rPr>
          <w:color w:val="231F20"/>
          <w:sz w:val="21"/>
        </w:rPr>
      </w:pPr>
      <w:r>
        <w:rPr>
          <w:b/>
          <w:i/>
          <w:color w:val="231F20"/>
          <w:sz w:val="21"/>
        </w:rPr>
        <w:t>служба</w:t>
      </w:r>
      <w:r>
        <w:rPr>
          <w:color w:val="231F20"/>
          <w:position w:val="7"/>
          <w:sz w:val="12"/>
        </w:rPr>
        <w:t xml:space="preserve">1 </w:t>
      </w:r>
      <w:r>
        <w:rPr>
          <w:b/>
          <w:i/>
          <w:color w:val="231F20"/>
          <w:sz w:val="21"/>
        </w:rPr>
        <w:t xml:space="preserve">судді </w:t>
      </w:r>
      <w:r>
        <w:rPr>
          <w:color w:val="231F20"/>
          <w:sz w:val="21"/>
        </w:rPr>
        <w:t xml:space="preserve">– громадянина </w:t>
      </w:r>
      <w:r>
        <w:rPr>
          <w:color w:val="231F20"/>
          <w:spacing w:val="-3"/>
          <w:sz w:val="21"/>
        </w:rPr>
        <w:t xml:space="preserve">України, </w:t>
      </w:r>
      <w:r>
        <w:rPr>
          <w:color w:val="231F20"/>
          <w:sz w:val="21"/>
        </w:rPr>
        <w:t xml:space="preserve">який відповідно до Конституції </w:t>
      </w:r>
      <w:r>
        <w:rPr>
          <w:color w:val="231F20"/>
          <w:spacing w:val="-3"/>
          <w:sz w:val="21"/>
        </w:rPr>
        <w:t xml:space="preserve">України </w:t>
      </w:r>
      <w:r>
        <w:rPr>
          <w:color w:val="231F20"/>
          <w:sz w:val="21"/>
        </w:rPr>
        <w:t xml:space="preserve">та профільного закону призначений чи обра- ний </w:t>
      </w:r>
      <w:r>
        <w:rPr>
          <w:color w:val="231F20"/>
          <w:spacing w:val="-3"/>
          <w:sz w:val="21"/>
        </w:rPr>
        <w:t xml:space="preserve">суддею, </w:t>
      </w:r>
      <w:r>
        <w:rPr>
          <w:color w:val="231F20"/>
          <w:sz w:val="21"/>
        </w:rPr>
        <w:t xml:space="preserve">займає штатну суддівську посаду в одному з </w:t>
      </w:r>
      <w:r>
        <w:rPr>
          <w:color w:val="231F20"/>
          <w:spacing w:val="-3"/>
          <w:sz w:val="21"/>
        </w:rPr>
        <w:t xml:space="preserve">судів України </w:t>
      </w:r>
      <w:r>
        <w:rPr>
          <w:color w:val="231F20"/>
          <w:sz w:val="21"/>
        </w:rPr>
        <w:t xml:space="preserve">і здійснює правосуддя на професійній основі (ч. 1. </w:t>
      </w:r>
      <w:r>
        <w:rPr>
          <w:color w:val="231F20"/>
          <w:spacing w:val="-6"/>
          <w:sz w:val="21"/>
        </w:rPr>
        <w:t xml:space="preserve">ст. </w:t>
      </w:r>
      <w:r>
        <w:rPr>
          <w:color w:val="231F20"/>
          <w:sz w:val="21"/>
        </w:rPr>
        <w:t>52 Закону «</w:t>
      </w:r>
      <w:r>
        <w:rPr>
          <w:color w:val="231F20"/>
          <w:sz w:val="21"/>
        </w:rPr>
        <w:t xml:space="preserve">Про </w:t>
      </w:r>
      <w:r>
        <w:rPr>
          <w:color w:val="231F20"/>
          <w:spacing w:val="-3"/>
          <w:sz w:val="21"/>
        </w:rPr>
        <w:t xml:space="preserve">судоустрій </w:t>
      </w:r>
      <w:r>
        <w:rPr>
          <w:color w:val="231F20"/>
          <w:sz w:val="21"/>
        </w:rPr>
        <w:t xml:space="preserve">і статус суддів»). </w:t>
      </w:r>
      <w:r>
        <w:rPr>
          <w:i/>
          <w:color w:val="231F20"/>
          <w:sz w:val="21"/>
        </w:rPr>
        <w:t xml:space="preserve">До цієї групи не належить служба суддів Конституційного Суду України </w:t>
      </w:r>
      <w:r>
        <w:rPr>
          <w:color w:val="231F20"/>
          <w:sz w:val="21"/>
        </w:rPr>
        <w:t xml:space="preserve">(далі – КСУ). Велика Палата Верховного </w:t>
      </w:r>
      <w:r>
        <w:rPr>
          <w:color w:val="231F20"/>
          <w:spacing w:val="-5"/>
          <w:sz w:val="21"/>
        </w:rPr>
        <w:t xml:space="preserve">Суду  </w:t>
      </w:r>
      <w:r>
        <w:rPr>
          <w:color w:val="231F20"/>
          <w:sz w:val="21"/>
        </w:rPr>
        <w:t xml:space="preserve">в одній зі своїх постанов наголосила: </w:t>
      </w:r>
      <w:r>
        <w:rPr>
          <w:color w:val="231F20"/>
          <w:spacing w:val="5"/>
          <w:sz w:val="21"/>
        </w:rPr>
        <w:t xml:space="preserve"> </w:t>
      </w:r>
      <w:r>
        <w:rPr>
          <w:color w:val="231F20"/>
          <w:sz w:val="21"/>
        </w:rPr>
        <w:t>існує</w:t>
      </w:r>
    </w:p>
    <w:p w14:paraId="1E62EE6D" w14:textId="77777777" w:rsidR="00DE575E" w:rsidRDefault="002E7560">
      <w:pPr>
        <w:pStyle w:val="BodyText"/>
        <w:spacing w:before="3" w:line="252" w:lineRule="auto"/>
        <w:ind w:left="250" w:right="411"/>
        <w:jc w:val="both"/>
      </w:pPr>
      <w:r>
        <w:rPr>
          <w:color w:val="231F20"/>
        </w:rPr>
        <w:t>«політичний характер формування органу конституційної юрис- дик</w:t>
      </w:r>
      <w:r>
        <w:rPr>
          <w:color w:val="231F20"/>
        </w:rPr>
        <w:t xml:space="preserve">ції»; КСУ  є  органом «більшою  мірою  політичним ніж </w:t>
      </w:r>
      <w:r>
        <w:rPr>
          <w:color w:val="231F20"/>
          <w:spacing w:val="-3"/>
        </w:rPr>
        <w:t>судовим»;</w:t>
      </w:r>
    </w:p>
    <w:p w14:paraId="5461891D" w14:textId="77777777" w:rsidR="00DE575E" w:rsidRDefault="002E7560">
      <w:pPr>
        <w:pStyle w:val="BodyText"/>
        <w:spacing w:before="1" w:line="252" w:lineRule="auto"/>
        <w:ind w:left="250" w:right="410"/>
        <w:jc w:val="both"/>
      </w:pPr>
      <w:r>
        <w:rPr>
          <w:color w:val="231F20"/>
          <w:spacing w:val="-3"/>
        </w:rPr>
        <w:t xml:space="preserve">«суб’єкт </w:t>
      </w:r>
      <w:r>
        <w:rPr>
          <w:color w:val="231F20"/>
        </w:rPr>
        <w:t xml:space="preserve">призначення </w:t>
      </w:r>
      <w:r>
        <w:rPr>
          <w:color w:val="231F20"/>
          <w:spacing w:val="-3"/>
        </w:rPr>
        <w:t xml:space="preserve">судді </w:t>
      </w:r>
      <w:r>
        <w:rPr>
          <w:color w:val="231F20"/>
        </w:rPr>
        <w:t xml:space="preserve">Конституційного </w:t>
      </w:r>
      <w:r>
        <w:rPr>
          <w:color w:val="231F20"/>
          <w:spacing w:val="-5"/>
        </w:rPr>
        <w:t xml:space="preserve">Суду </w:t>
      </w:r>
      <w:r>
        <w:rPr>
          <w:color w:val="231F20"/>
          <w:spacing w:val="-3"/>
        </w:rPr>
        <w:t xml:space="preserve">України </w:t>
      </w:r>
      <w:r>
        <w:rPr>
          <w:color w:val="231F20"/>
        </w:rPr>
        <w:t xml:space="preserve">має право застосувати до призначеного ним </w:t>
      </w:r>
      <w:r>
        <w:rPr>
          <w:color w:val="231F20"/>
          <w:spacing w:val="-3"/>
        </w:rPr>
        <w:t xml:space="preserve">судді </w:t>
      </w:r>
      <w:r>
        <w:rPr>
          <w:color w:val="231F20"/>
          <w:spacing w:val="-2"/>
        </w:rPr>
        <w:t xml:space="preserve">заходи </w:t>
      </w:r>
      <w:r>
        <w:rPr>
          <w:color w:val="231F20"/>
        </w:rPr>
        <w:t>політичної відпові- дальності»</w:t>
      </w:r>
      <w:r>
        <w:rPr>
          <w:color w:val="231F20"/>
          <w:position w:val="7"/>
          <w:sz w:val="12"/>
        </w:rPr>
        <w:t>2</w:t>
      </w:r>
      <w:r>
        <w:rPr>
          <w:color w:val="231F20"/>
        </w:rPr>
        <w:t>.</w:t>
      </w:r>
      <w:r>
        <w:rPr>
          <w:color w:val="231F20"/>
          <w:spacing w:val="-7"/>
        </w:rPr>
        <w:t xml:space="preserve"> </w:t>
      </w:r>
      <w:r>
        <w:rPr>
          <w:color w:val="231F20"/>
        </w:rPr>
        <w:t>Цим</w:t>
      </w:r>
      <w:r>
        <w:rPr>
          <w:color w:val="231F20"/>
          <w:spacing w:val="-7"/>
        </w:rPr>
        <w:t xml:space="preserve"> </w:t>
      </w:r>
      <w:r>
        <w:rPr>
          <w:color w:val="231F20"/>
        </w:rPr>
        <w:t>фактично</w:t>
      </w:r>
      <w:r>
        <w:rPr>
          <w:color w:val="231F20"/>
          <w:spacing w:val="-7"/>
        </w:rPr>
        <w:t xml:space="preserve"> </w:t>
      </w:r>
      <w:r>
        <w:rPr>
          <w:color w:val="231F20"/>
        </w:rPr>
        <w:t>обґрунтовувалося</w:t>
      </w:r>
      <w:r>
        <w:rPr>
          <w:color w:val="231F20"/>
          <w:spacing w:val="-7"/>
        </w:rPr>
        <w:t xml:space="preserve"> </w:t>
      </w:r>
      <w:r>
        <w:rPr>
          <w:color w:val="231F20"/>
        </w:rPr>
        <w:t>віднесення</w:t>
      </w:r>
      <w:r>
        <w:rPr>
          <w:color w:val="231F20"/>
          <w:spacing w:val="-7"/>
        </w:rPr>
        <w:t xml:space="preserve"> </w:t>
      </w:r>
      <w:r>
        <w:rPr>
          <w:color w:val="231F20"/>
          <w:spacing w:val="-3"/>
        </w:rPr>
        <w:t>суддів</w:t>
      </w:r>
      <w:r>
        <w:rPr>
          <w:color w:val="231F20"/>
          <w:spacing w:val="-7"/>
        </w:rPr>
        <w:t xml:space="preserve"> </w:t>
      </w:r>
      <w:r>
        <w:rPr>
          <w:color w:val="231F20"/>
        </w:rPr>
        <w:t>КСУ до</w:t>
      </w:r>
      <w:r>
        <w:rPr>
          <w:color w:val="231F20"/>
          <w:spacing w:val="-10"/>
        </w:rPr>
        <w:t xml:space="preserve"> </w:t>
      </w:r>
      <w:r>
        <w:rPr>
          <w:color w:val="231F20"/>
        </w:rPr>
        <w:t>кола</w:t>
      </w:r>
      <w:r>
        <w:rPr>
          <w:color w:val="231F20"/>
          <w:spacing w:val="-10"/>
        </w:rPr>
        <w:t xml:space="preserve"> </w:t>
      </w:r>
      <w:r>
        <w:rPr>
          <w:color w:val="231F20"/>
        </w:rPr>
        <w:t>державних</w:t>
      </w:r>
      <w:r>
        <w:rPr>
          <w:color w:val="231F20"/>
          <w:spacing w:val="-10"/>
        </w:rPr>
        <w:t xml:space="preserve"> </w:t>
      </w:r>
      <w:r>
        <w:rPr>
          <w:color w:val="231F20"/>
        </w:rPr>
        <w:t>політичних</w:t>
      </w:r>
      <w:r>
        <w:rPr>
          <w:color w:val="231F20"/>
          <w:spacing w:val="-10"/>
        </w:rPr>
        <w:t xml:space="preserve"> </w:t>
      </w:r>
      <w:r>
        <w:rPr>
          <w:color w:val="231F20"/>
        </w:rPr>
        <w:t>посад,</w:t>
      </w:r>
      <w:r>
        <w:rPr>
          <w:color w:val="231F20"/>
          <w:position w:val="7"/>
          <w:sz w:val="12"/>
        </w:rPr>
        <w:t>3</w:t>
      </w:r>
      <w:r>
        <w:rPr>
          <w:color w:val="231F20"/>
          <w:spacing w:val="-6"/>
          <w:position w:val="7"/>
          <w:sz w:val="12"/>
        </w:rPr>
        <w:t xml:space="preserve"> </w:t>
      </w:r>
      <w:r>
        <w:rPr>
          <w:color w:val="231F20"/>
        </w:rPr>
        <w:t>оскільки</w:t>
      </w:r>
      <w:r>
        <w:rPr>
          <w:color w:val="231F20"/>
          <w:spacing w:val="-10"/>
        </w:rPr>
        <w:t xml:space="preserve"> </w:t>
      </w:r>
      <w:r>
        <w:rPr>
          <w:color w:val="231F20"/>
        </w:rPr>
        <w:t>вони</w:t>
      </w:r>
      <w:r>
        <w:rPr>
          <w:color w:val="231F20"/>
          <w:spacing w:val="-10"/>
        </w:rPr>
        <w:t xml:space="preserve"> </w:t>
      </w:r>
      <w:r>
        <w:rPr>
          <w:color w:val="231F20"/>
        </w:rPr>
        <w:t xml:space="preserve">призначаються в особливому (політизованому) </w:t>
      </w:r>
      <w:r>
        <w:rPr>
          <w:color w:val="231F20"/>
          <w:spacing w:val="-3"/>
        </w:rPr>
        <w:t xml:space="preserve">порядку, </w:t>
      </w:r>
      <w:r>
        <w:rPr>
          <w:color w:val="231F20"/>
        </w:rPr>
        <w:t>виконують роль негатив- ного / позитивного законотворця (сфера активності якого є політи- зованою) та можуть (з позиції Великої Палати) підлягати по</w:t>
      </w:r>
      <w:r>
        <w:rPr>
          <w:color w:val="231F20"/>
        </w:rPr>
        <w:t xml:space="preserve">літич- ній  відповідальності.  Незважаючи  на  існування  окремих </w:t>
      </w:r>
      <w:r>
        <w:rPr>
          <w:color w:val="231F20"/>
          <w:spacing w:val="40"/>
        </w:rPr>
        <w:t xml:space="preserve"> </w:t>
      </w:r>
      <w:r>
        <w:rPr>
          <w:color w:val="231F20"/>
        </w:rPr>
        <w:t>підстав,</w:t>
      </w:r>
    </w:p>
    <w:p w14:paraId="3CD5FC3F" w14:textId="77777777" w:rsidR="00DE575E" w:rsidRDefault="00DE575E">
      <w:pPr>
        <w:pStyle w:val="BodyText"/>
        <w:rPr>
          <w:sz w:val="20"/>
        </w:rPr>
      </w:pPr>
    </w:p>
    <w:p w14:paraId="783AC723" w14:textId="09C58EEF" w:rsidR="00DE575E" w:rsidRDefault="002E7560">
      <w:pPr>
        <w:pStyle w:val="BodyText"/>
        <w:spacing w:before="8"/>
        <w:rPr>
          <w:sz w:val="12"/>
        </w:rPr>
      </w:pPr>
      <w:r>
        <w:rPr>
          <w:noProof/>
        </w:rPr>
        <mc:AlternateContent>
          <mc:Choice Requires="wps">
            <w:drawing>
              <wp:anchor distT="0" distB="0" distL="0" distR="0" simplePos="0" relativeHeight="13336" behindDoc="0" locked="0" layoutInCell="1" allowOverlap="1" wp14:anchorId="0902313B" wp14:editId="602F1856">
                <wp:simplePos x="0" y="0"/>
                <wp:positionH relativeFrom="page">
                  <wp:posOffset>539750</wp:posOffset>
                </wp:positionH>
                <wp:positionV relativeFrom="paragraph">
                  <wp:posOffset>121920</wp:posOffset>
                </wp:positionV>
                <wp:extent cx="1080135" cy="0"/>
                <wp:effectExtent l="6350" t="7620" r="31115" b="30480"/>
                <wp:wrapTopAndBottom/>
                <wp:docPr id="55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8FAE5" id="Line_x0020_552" o:spid="_x0000_s1026" style="position:absolute;z-index:13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6pt" to="127.55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" strokecolor="#231f20" strokeweight=".5pt">
                <w10:wrap type="topAndBottom" anchorx="page"/>
              </v:line>
            </w:pict>
          </mc:Fallback>
        </mc:AlternateContent>
      </w:r>
    </w:p>
    <w:p w14:paraId="01F68A25"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 xml:space="preserve">На відміну від п. 17 ч. 1 </w:t>
      </w:r>
      <w:r>
        <w:rPr>
          <w:color w:val="231F20"/>
          <w:spacing w:val="-5"/>
          <w:sz w:val="16"/>
        </w:rPr>
        <w:t xml:space="preserve">ст. </w:t>
      </w:r>
      <w:r>
        <w:rPr>
          <w:color w:val="231F20"/>
          <w:sz w:val="16"/>
        </w:rPr>
        <w:t xml:space="preserve">4 КАС України, ми вказуємо не «діяльність», а саме «служба», оскільки всім специфічним ознакам останньої відповідає професійна активність суддів. </w:t>
      </w:r>
      <w:r>
        <w:rPr>
          <w:color w:val="231F20"/>
          <w:spacing w:val="-4"/>
          <w:sz w:val="16"/>
        </w:rPr>
        <w:t xml:space="preserve">Також </w:t>
      </w:r>
      <w:r>
        <w:rPr>
          <w:color w:val="231F20"/>
          <w:sz w:val="16"/>
        </w:rPr>
        <w:t xml:space="preserve">їх служба не може бути </w:t>
      </w:r>
      <w:r>
        <w:rPr>
          <w:color w:val="231F20"/>
          <w:spacing w:val="-3"/>
          <w:sz w:val="16"/>
        </w:rPr>
        <w:t xml:space="preserve">об’єднана </w:t>
      </w:r>
      <w:r>
        <w:rPr>
          <w:color w:val="231F20"/>
          <w:sz w:val="16"/>
        </w:rPr>
        <w:t>в єдину групу із державною. Подібна позиція утвердилась</w:t>
      </w:r>
      <w:r>
        <w:rPr>
          <w:color w:val="231F20"/>
          <w:spacing w:val="-11"/>
          <w:sz w:val="16"/>
        </w:rPr>
        <w:t xml:space="preserve"> </w:t>
      </w:r>
      <w:r>
        <w:rPr>
          <w:color w:val="231F20"/>
          <w:sz w:val="16"/>
        </w:rPr>
        <w:t>у</w:t>
      </w:r>
      <w:r>
        <w:rPr>
          <w:color w:val="231F20"/>
          <w:spacing w:val="-11"/>
          <w:sz w:val="16"/>
        </w:rPr>
        <w:t xml:space="preserve"> </w:t>
      </w:r>
      <w:r>
        <w:rPr>
          <w:color w:val="231F20"/>
          <w:sz w:val="16"/>
        </w:rPr>
        <w:t>доктрині</w:t>
      </w:r>
      <w:r>
        <w:rPr>
          <w:color w:val="231F20"/>
          <w:spacing w:val="-11"/>
          <w:sz w:val="16"/>
        </w:rPr>
        <w:t xml:space="preserve"> </w:t>
      </w:r>
      <w:r>
        <w:rPr>
          <w:color w:val="231F20"/>
          <w:sz w:val="16"/>
        </w:rPr>
        <w:t>адмі</w:t>
      </w:r>
      <w:r>
        <w:rPr>
          <w:color w:val="231F20"/>
          <w:sz w:val="16"/>
        </w:rPr>
        <w:t>ністративного</w:t>
      </w:r>
      <w:r>
        <w:rPr>
          <w:color w:val="231F20"/>
          <w:spacing w:val="-11"/>
          <w:sz w:val="16"/>
        </w:rPr>
        <w:t xml:space="preserve"> </w:t>
      </w:r>
      <w:r>
        <w:rPr>
          <w:color w:val="231F20"/>
          <w:sz w:val="16"/>
        </w:rPr>
        <w:t>права,</w:t>
      </w:r>
      <w:r>
        <w:rPr>
          <w:color w:val="231F20"/>
          <w:spacing w:val="-11"/>
          <w:sz w:val="16"/>
        </w:rPr>
        <w:t xml:space="preserve"> </w:t>
      </w:r>
      <w:r>
        <w:rPr>
          <w:color w:val="231F20"/>
          <w:sz w:val="16"/>
        </w:rPr>
        <w:t>підтверджується</w:t>
      </w:r>
      <w:r>
        <w:rPr>
          <w:color w:val="231F20"/>
          <w:spacing w:val="-11"/>
          <w:sz w:val="16"/>
        </w:rPr>
        <w:t xml:space="preserve"> </w:t>
      </w:r>
      <w:r>
        <w:rPr>
          <w:color w:val="231F20"/>
          <w:sz w:val="16"/>
        </w:rPr>
        <w:t>повною</w:t>
      </w:r>
      <w:r>
        <w:rPr>
          <w:color w:val="231F20"/>
          <w:spacing w:val="-11"/>
          <w:sz w:val="16"/>
        </w:rPr>
        <w:t xml:space="preserve"> </w:t>
      </w:r>
      <w:r>
        <w:rPr>
          <w:color w:val="231F20"/>
          <w:sz w:val="16"/>
        </w:rPr>
        <w:t xml:space="preserve">автономністю статусно-суддівського законодавства та специфікою самих службових відносин (напр.,    у </w:t>
      </w:r>
      <w:r>
        <w:rPr>
          <w:color w:val="231F20"/>
          <w:spacing w:val="-2"/>
          <w:sz w:val="16"/>
        </w:rPr>
        <w:t xml:space="preserve">суддів </w:t>
      </w:r>
      <w:r>
        <w:rPr>
          <w:color w:val="231F20"/>
          <w:sz w:val="16"/>
        </w:rPr>
        <w:t>відсутні субординаційно-ієрархічні залежності, які зазвичай є характерними для державних</w:t>
      </w:r>
      <w:r>
        <w:rPr>
          <w:color w:val="231F20"/>
          <w:spacing w:val="-1"/>
          <w:sz w:val="16"/>
        </w:rPr>
        <w:t xml:space="preserve"> </w:t>
      </w:r>
      <w:r>
        <w:rPr>
          <w:color w:val="231F20"/>
          <w:sz w:val="16"/>
        </w:rPr>
        <w:t>службовців).</w:t>
      </w:r>
    </w:p>
    <w:p w14:paraId="6A1E6DCD" w14:textId="77777777" w:rsidR="00DE575E" w:rsidRDefault="002E7560">
      <w:pPr>
        <w:spacing w:before="29" w:line="204" w:lineRule="auto"/>
        <w:ind w:left="250" w:right="411"/>
        <w:jc w:val="both"/>
        <w:rPr>
          <w:sz w:val="16"/>
        </w:rPr>
      </w:pPr>
      <w:r>
        <w:rPr>
          <w:color w:val="231F20"/>
          <w:position w:val="5"/>
          <w:sz w:val="9"/>
        </w:rPr>
        <w:t xml:space="preserve">2 </w:t>
      </w:r>
      <w:r>
        <w:rPr>
          <w:color w:val="231F20"/>
          <w:sz w:val="16"/>
        </w:rPr>
        <w:t>Постанова Верховного Суду від 14 березня 2018 р. в справі № П/800/120/14, реєстра- ційний номер судового рішення в ЄДРСР – 73195164.</w:t>
      </w:r>
    </w:p>
    <w:p w14:paraId="2C6752CE" w14:textId="77777777" w:rsidR="00DE575E" w:rsidRDefault="002E7560">
      <w:pPr>
        <w:spacing w:before="29" w:line="204" w:lineRule="auto"/>
        <w:ind w:left="250" w:right="411"/>
        <w:jc w:val="both"/>
        <w:rPr>
          <w:sz w:val="16"/>
        </w:rPr>
      </w:pPr>
      <w:r>
        <w:rPr>
          <w:color w:val="231F20"/>
          <w:position w:val="5"/>
          <w:sz w:val="9"/>
        </w:rPr>
        <w:t xml:space="preserve">3 </w:t>
      </w:r>
      <w:r>
        <w:rPr>
          <w:color w:val="231F20"/>
          <w:sz w:val="16"/>
        </w:rPr>
        <w:t xml:space="preserve">Див.: Цуркан М. Політична служба: визначення та особливості правового  регулю- вання. </w:t>
      </w:r>
      <w:r>
        <w:rPr>
          <w:i/>
          <w:color w:val="231F20"/>
          <w:sz w:val="16"/>
        </w:rPr>
        <w:t>Публічна служба і адміністративне с</w:t>
      </w:r>
      <w:r>
        <w:rPr>
          <w:i/>
          <w:color w:val="231F20"/>
          <w:sz w:val="16"/>
        </w:rPr>
        <w:t>удочинство: здобутки і виклики</w:t>
      </w:r>
      <w:r>
        <w:rPr>
          <w:color w:val="231F20"/>
          <w:sz w:val="16"/>
        </w:rPr>
        <w:t>: Збірник матеріалів</w:t>
      </w:r>
      <w:r>
        <w:rPr>
          <w:color w:val="231F20"/>
          <w:spacing w:val="-7"/>
          <w:sz w:val="16"/>
        </w:rPr>
        <w:t xml:space="preserve"> </w:t>
      </w:r>
      <w:r>
        <w:rPr>
          <w:color w:val="231F20"/>
          <w:sz w:val="16"/>
        </w:rPr>
        <w:t>І</w:t>
      </w:r>
      <w:r>
        <w:rPr>
          <w:color w:val="231F20"/>
          <w:spacing w:val="-7"/>
          <w:sz w:val="16"/>
        </w:rPr>
        <w:t xml:space="preserve"> </w:t>
      </w:r>
      <w:r>
        <w:rPr>
          <w:color w:val="231F20"/>
          <w:sz w:val="16"/>
        </w:rPr>
        <w:t>Міжнародної</w:t>
      </w:r>
      <w:r>
        <w:rPr>
          <w:color w:val="231F20"/>
          <w:spacing w:val="-7"/>
          <w:sz w:val="16"/>
        </w:rPr>
        <w:t xml:space="preserve"> </w:t>
      </w:r>
      <w:r>
        <w:rPr>
          <w:color w:val="231F20"/>
          <w:sz w:val="16"/>
        </w:rPr>
        <w:t>науково-практичної</w:t>
      </w:r>
      <w:r>
        <w:rPr>
          <w:color w:val="231F20"/>
          <w:spacing w:val="-7"/>
          <w:sz w:val="16"/>
        </w:rPr>
        <w:t xml:space="preserve"> </w:t>
      </w:r>
      <w:r>
        <w:rPr>
          <w:color w:val="231F20"/>
          <w:sz w:val="16"/>
        </w:rPr>
        <w:t>конференції</w:t>
      </w:r>
      <w:r>
        <w:rPr>
          <w:color w:val="231F20"/>
          <w:spacing w:val="-7"/>
          <w:sz w:val="16"/>
        </w:rPr>
        <w:t xml:space="preserve"> </w:t>
      </w:r>
      <w:r>
        <w:rPr>
          <w:color w:val="231F20"/>
          <w:sz w:val="16"/>
        </w:rPr>
        <w:t>(м.</w:t>
      </w:r>
      <w:r>
        <w:rPr>
          <w:color w:val="231F20"/>
          <w:spacing w:val="-7"/>
          <w:sz w:val="16"/>
        </w:rPr>
        <w:t xml:space="preserve"> </w:t>
      </w:r>
      <w:r>
        <w:rPr>
          <w:color w:val="231F20"/>
          <w:sz w:val="16"/>
        </w:rPr>
        <w:t>Київ,</w:t>
      </w:r>
      <w:r>
        <w:rPr>
          <w:color w:val="231F20"/>
          <w:spacing w:val="-7"/>
          <w:sz w:val="16"/>
        </w:rPr>
        <w:t xml:space="preserve"> </w:t>
      </w:r>
      <w:r>
        <w:rPr>
          <w:color w:val="231F20"/>
          <w:sz w:val="16"/>
        </w:rPr>
        <w:t>5–6</w:t>
      </w:r>
      <w:r>
        <w:rPr>
          <w:color w:val="231F20"/>
          <w:spacing w:val="-7"/>
          <w:sz w:val="16"/>
        </w:rPr>
        <w:t xml:space="preserve"> </w:t>
      </w:r>
      <w:r>
        <w:rPr>
          <w:color w:val="231F20"/>
          <w:sz w:val="16"/>
        </w:rPr>
        <w:t>липня</w:t>
      </w:r>
      <w:r>
        <w:rPr>
          <w:color w:val="231F20"/>
          <w:spacing w:val="-7"/>
          <w:sz w:val="16"/>
        </w:rPr>
        <w:t xml:space="preserve"> </w:t>
      </w:r>
      <w:r>
        <w:rPr>
          <w:color w:val="231F20"/>
          <w:sz w:val="16"/>
        </w:rPr>
        <w:t>2018</w:t>
      </w:r>
      <w:r>
        <w:rPr>
          <w:color w:val="231F20"/>
          <w:spacing w:val="-7"/>
          <w:sz w:val="16"/>
        </w:rPr>
        <w:t xml:space="preserve"> </w:t>
      </w:r>
      <w:r>
        <w:rPr>
          <w:color w:val="231F20"/>
          <w:sz w:val="16"/>
        </w:rPr>
        <w:t>року). К.: Дакор, 2018. С.</w:t>
      </w:r>
      <w:r>
        <w:rPr>
          <w:color w:val="231F20"/>
          <w:spacing w:val="-1"/>
          <w:sz w:val="16"/>
        </w:rPr>
        <w:t xml:space="preserve"> </w:t>
      </w:r>
      <w:r>
        <w:rPr>
          <w:color w:val="231F20"/>
          <w:sz w:val="16"/>
        </w:rPr>
        <w:t>427.</w:t>
      </w:r>
    </w:p>
    <w:p w14:paraId="12E06096" w14:textId="77777777" w:rsidR="00DE575E" w:rsidRDefault="00DE575E">
      <w:pPr>
        <w:pStyle w:val="BodyText"/>
        <w:spacing w:before="6"/>
        <w:rPr>
          <w:sz w:val="12"/>
        </w:rPr>
      </w:pPr>
    </w:p>
    <w:p w14:paraId="44E6135D" w14:textId="77777777" w:rsidR="00DE575E" w:rsidRDefault="002E7560">
      <w:pPr>
        <w:spacing w:before="92"/>
        <w:ind w:right="411"/>
        <w:jc w:val="right"/>
        <w:rPr>
          <w:rFonts w:ascii="Times New Roman"/>
          <w:sz w:val="20"/>
        </w:rPr>
      </w:pPr>
      <w:r>
        <w:rPr>
          <w:rFonts w:ascii="Times New Roman"/>
          <w:color w:val="231F20"/>
          <w:w w:val="90"/>
          <w:sz w:val="20"/>
        </w:rPr>
        <w:t>343</w:t>
      </w:r>
    </w:p>
    <w:p w14:paraId="4981AB7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E9B64B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A73D00A" w14:textId="01230E9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4274990" wp14:editId="323D9FAA">
                <wp:extent cx="4140200" cy="6350"/>
                <wp:effectExtent l="0" t="0" r="12700" b="6350"/>
                <wp:docPr id="551"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52" name="Line 5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9A90EA" id="Group_x0020_5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3ddgh/AgAAmAUAAA4A&#10;AAAAAAAAAAAAAAAALAIAAGRycy9lMm9Eb2MueG1sUEsBAi0AFAAGAAgAAAAhAEynsJDZAAAAAwEA&#10;AA8AAAAAAAAAAAAAAAAA1wQAAGRycy9kb3ducmV2LnhtbFBLBQYAAAAABAAEAPMAAADdBQAAAAA=&#10;">
                <v:line id="Line_x0020_5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bxncYAAADcAAAADwAAAGRycy9kb3ducmV2LnhtbESP3WrCQBSE7wu+w3KE3hTdVFFKdBUR&#10;CsUL/9IHOGZPk9DdszG7mujTu0Khl8PMfMPMl5014kqNrxwreB8mIIhzpysuFHxnn4MPED4gazSO&#10;ScGNPCwXvZc5ptq1fKDrMRQiQtinqKAMoU6l9HlJFv3Q1cTR+3GNxRBlU0jdYBvh1shRkkylxYrj&#10;Qok1rUvKf48XqyA7vwWz321Mm+1OY3k6b8f3y1ap1363moEI1IX/8F/7SyuYTEb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m8Z3GAAAA3AAAAA8AAAAAAAAA&#10;AAAAAAAAoQIAAGRycy9kb3ducmV2LnhtbFBLBQYAAAAABAAEAPkAAACUAwAAAAA=&#10;" strokecolor="#231f20" strokeweight=".5pt"/>
                <w10:anchorlock/>
              </v:group>
            </w:pict>
          </mc:Fallback>
        </mc:AlternateContent>
      </w:r>
    </w:p>
    <w:p w14:paraId="480110BC" w14:textId="77777777" w:rsidR="00DE575E" w:rsidRDefault="00DE575E">
      <w:pPr>
        <w:pStyle w:val="BodyText"/>
        <w:spacing w:before="7"/>
        <w:rPr>
          <w:rFonts w:ascii="AdonisC"/>
          <w:i/>
          <w:sz w:val="11"/>
        </w:rPr>
      </w:pPr>
    </w:p>
    <w:p w14:paraId="6BEBD4EF" w14:textId="77777777" w:rsidR="00DE575E" w:rsidRDefault="002E7560">
      <w:pPr>
        <w:pStyle w:val="BodyText"/>
        <w:spacing w:before="101" w:line="252" w:lineRule="auto"/>
        <w:ind w:left="533" w:right="126"/>
        <w:jc w:val="both"/>
      </w:pPr>
      <w:r>
        <w:rPr>
          <w:color w:val="231F20"/>
        </w:rPr>
        <w:t>висловлену позицію слід сприймати критично, оскільки чинний статусний</w:t>
      </w:r>
      <w:r>
        <w:rPr>
          <w:color w:val="231F20"/>
          <w:spacing w:val="-22"/>
        </w:rPr>
        <w:t xml:space="preserve"> </w:t>
      </w:r>
      <w:r>
        <w:rPr>
          <w:color w:val="231F20"/>
        </w:rPr>
        <w:t>закон</w:t>
      </w:r>
      <w:r>
        <w:rPr>
          <w:color w:val="231F20"/>
          <w:spacing w:val="-21"/>
        </w:rPr>
        <w:t xml:space="preserve"> </w:t>
      </w:r>
      <w:r>
        <w:rPr>
          <w:color w:val="231F20"/>
        </w:rPr>
        <w:t>не</w:t>
      </w:r>
      <w:r>
        <w:rPr>
          <w:color w:val="231F20"/>
          <w:spacing w:val="-22"/>
        </w:rPr>
        <w:t xml:space="preserve"> </w:t>
      </w:r>
      <w:r>
        <w:rPr>
          <w:color w:val="231F20"/>
        </w:rPr>
        <w:t>залишає</w:t>
      </w:r>
      <w:r>
        <w:rPr>
          <w:color w:val="231F20"/>
          <w:spacing w:val="-21"/>
        </w:rPr>
        <w:t xml:space="preserve"> </w:t>
      </w:r>
      <w:r>
        <w:rPr>
          <w:color w:val="231F20"/>
          <w:spacing w:val="2"/>
        </w:rPr>
        <w:t>місцядля</w:t>
      </w:r>
      <w:r>
        <w:rPr>
          <w:color w:val="231F20"/>
          <w:spacing w:val="-22"/>
        </w:rPr>
        <w:t xml:space="preserve"> </w:t>
      </w:r>
      <w:r>
        <w:rPr>
          <w:color w:val="231F20"/>
        </w:rPr>
        <w:t>політичного</w:t>
      </w:r>
      <w:r>
        <w:rPr>
          <w:color w:val="231F20"/>
          <w:spacing w:val="-21"/>
        </w:rPr>
        <w:t xml:space="preserve"> </w:t>
      </w:r>
      <w:r>
        <w:rPr>
          <w:color w:val="231F20"/>
        </w:rPr>
        <w:t>елементу</w:t>
      </w:r>
      <w:r>
        <w:rPr>
          <w:color w:val="231F20"/>
          <w:spacing w:val="-21"/>
        </w:rPr>
        <w:t xml:space="preserve"> </w:t>
      </w:r>
      <w:r>
        <w:rPr>
          <w:color w:val="231F20"/>
          <w:spacing w:val="2"/>
        </w:rPr>
        <w:t xml:space="preserve">впитан- </w:t>
      </w:r>
      <w:r>
        <w:rPr>
          <w:color w:val="231F20"/>
        </w:rPr>
        <w:t xml:space="preserve">нях відповідальності/звільнення </w:t>
      </w:r>
      <w:r>
        <w:rPr>
          <w:color w:val="231F20"/>
          <w:spacing w:val="-3"/>
        </w:rPr>
        <w:t xml:space="preserve">суддів </w:t>
      </w:r>
      <w:r>
        <w:rPr>
          <w:color w:val="231F20"/>
          <w:spacing w:val="-10"/>
        </w:rPr>
        <w:t xml:space="preserve">КСУ, </w:t>
      </w:r>
      <w:r>
        <w:rPr>
          <w:color w:val="231F20"/>
        </w:rPr>
        <w:t>а також прямо наголо- шує,</w:t>
      </w:r>
      <w:r>
        <w:rPr>
          <w:color w:val="231F20"/>
          <w:spacing w:val="-11"/>
        </w:rPr>
        <w:t xml:space="preserve"> </w:t>
      </w:r>
      <w:r>
        <w:rPr>
          <w:color w:val="231F20"/>
        </w:rPr>
        <w:t>що</w:t>
      </w:r>
      <w:r>
        <w:rPr>
          <w:color w:val="231F20"/>
          <w:spacing w:val="-11"/>
        </w:rPr>
        <w:t xml:space="preserve"> </w:t>
      </w:r>
      <w:r>
        <w:rPr>
          <w:color w:val="231F20"/>
        </w:rPr>
        <w:t>вони</w:t>
      </w:r>
      <w:r>
        <w:rPr>
          <w:color w:val="231F20"/>
          <w:spacing w:val="-11"/>
        </w:rPr>
        <w:t xml:space="preserve"> </w:t>
      </w:r>
      <w:r>
        <w:rPr>
          <w:color w:val="231F20"/>
        </w:rPr>
        <w:t>мають</w:t>
      </w:r>
      <w:r>
        <w:rPr>
          <w:color w:val="231F20"/>
          <w:spacing w:val="-11"/>
        </w:rPr>
        <w:t xml:space="preserve"> </w:t>
      </w:r>
      <w:r>
        <w:rPr>
          <w:color w:val="231F20"/>
        </w:rPr>
        <w:t>відповіда</w:t>
      </w:r>
      <w:r>
        <w:rPr>
          <w:color w:val="231F20"/>
        </w:rPr>
        <w:t>ти</w:t>
      </w:r>
      <w:r>
        <w:rPr>
          <w:color w:val="231F20"/>
          <w:spacing w:val="-11"/>
        </w:rPr>
        <w:t xml:space="preserve"> </w:t>
      </w:r>
      <w:r>
        <w:rPr>
          <w:color w:val="231F20"/>
        </w:rPr>
        <w:t>критерію</w:t>
      </w:r>
      <w:r>
        <w:rPr>
          <w:color w:val="231F20"/>
          <w:spacing w:val="-11"/>
        </w:rPr>
        <w:t xml:space="preserve"> </w:t>
      </w:r>
      <w:r>
        <w:rPr>
          <w:color w:val="231F20"/>
        </w:rPr>
        <w:t>політичної</w:t>
      </w:r>
      <w:r>
        <w:rPr>
          <w:color w:val="231F20"/>
          <w:spacing w:val="-12"/>
        </w:rPr>
        <w:t xml:space="preserve"> </w:t>
      </w:r>
      <w:r>
        <w:rPr>
          <w:color w:val="231F20"/>
        </w:rPr>
        <w:t>нейтральності та</w:t>
      </w:r>
      <w:r>
        <w:rPr>
          <w:color w:val="231F20"/>
          <w:spacing w:val="-7"/>
        </w:rPr>
        <w:t xml:space="preserve"> </w:t>
      </w:r>
      <w:r>
        <w:rPr>
          <w:color w:val="231F20"/>
        </w:rPr>
        <w:t>не</w:t>
      </w:r>
      <w:r>
        <w:rPr>
          <w:color w:val="231F20"/>
          <w:spacing w:val="-7"/>
        </w:rPr>
        <w:t xml:space="preserve"> </w:t>
      </w:r>
      <w:r>
        <w:rPr>
          <w:color w:val="231F20"/>
        </w:rPr>
        <w:t>можуть</w:t>
      </w:r>
      <w:r>
        <w:rPr>
          <w:color w:val="231F20"/>
          <w:spacing w:val="-7"/>
        </w:rPr>
        <w:t xml:space="preserve"> </w:t>
      </w:r>
      <w:r>
        <w:rPr>
          <w:color w:val="231F20"/>
        </w:rPr>
        <w:t>належати</w:t>
      </w:r>
      <w:r>
        <w:rPr>
          <w:color w:val="231F20"/>
          <w:spacing w:val="-7"/>
        </w:rPr>
        <w:t xml:space="preserve"> </w:t>
      </w:r>
      <w:r>
        <w:rPr>
          <w:color w:val="231F20"/>
        </w:rPr>
        <w:t>до</w:t>
      </w:r>
      <w:r>
        <w:rPr>
          <w:color w:val="231F20"/>
          <w:spacing w:val="-7"/>
        </w:rPr>
        <w:t xml:space="preserve"> </w:t>
      </w:r>
      <w:r>
        <w:rPr>
          <w:color w:val="231F20"/>
        </w:rPr>
        <w:t>політичних</w:t>
      </w:r>
      <w:r>
        <w:rPr>
          <w:color w:val="231F20"/>
          <w:spacing w:val="-7"/>
        </w:rPr>
        <w:t xml:space="preserve"> </w:t>
      </w:r>
      <w:r>
        <w:rPr>
          <w:color w:val="231F20"/>
        </w:rPr>
        <w:t>партій</w:t>
      </w:r>
      <w:r>
        <w:rPr>
          <w:color w:val="231F20"/>
          <w:spacing w:val="-7"/>
        </w:rPr>
        <w:t xml:space="preserve"> </w:t>
      </w:r>
      <w:r>
        <w:rPr>
          <w:color w:val="231F20"/>
        </w:rPr>
        <w:t>чи</w:t>
      </w:r>
      <w:r>
        <w:rPr>
          <w:color w:val="231F20"/>
          <w:spacing w:val="-7"/>
        </w:rPr>
        <w:t xml:space="preserve"> </w:t>
      </w:r>
      <w:r>
        <w:rPr>
          <w:color w:val="231F20"/>
        </w:rPr>
        <w:t>професійних</w:t>
      </w:r>
      <w:r>
        <w:rPr>
          <w:color w:val="231F20"/>
          <w:spacing w:val="-7"/>
        </w:rPr>
        <w:t xml:space="preserve"> </w:t>
      </w:r>
      <w:r>
        <w:rPr>
          <w:color w:val="231F20"/>
        </w:rPr>
        <w:t xml:space="preserve">спілок, публічно виявляти прихильність до них, брати участь у </w:t>
      </w:r>
      <w:r>
        <w:rPr>
          <w:color w:val="231F20"/>
          <w:spacing w:val="-3"/>
        </w:rPr>
        <w:t xml:space="preserve">будь-якій </w:t>
      </w:r>
      <w:r>
        <w:rPr>
          <w:color w:val="231F20"/>
        </w:rPr>
        <w:t>політичній діяльності</w:t>
      </w:r>
      <w:r>
        <w:rPr>
          <w:color w:val="231F20"/>
          <w:position w:val="7"/>
          <w:sz w:val="12"/>
        </w:rPr>
        <w:t>1</w:t>
      </w:r>
      <w:r>
        <w:rPr>
          <w:color w:val="231F20"/>
        </w:rPr>
        <w:t>. Натомість до осіб, які займають політичні посади, не ставиться вимога щодо політичної нейтральності при виконанні своїх посадових обов’язків</w:t>
      </w:r>
      <w:r>
        <w:rPr>
          <w:color w:val="231F20"/>
          <w:position w:val="7"/>
          <w:sz w:val="12"/>
        </w:rPr>
        <w:t>2</w:t>
      </w:r>
      <w:r>
        <w:rPr>
          <w:color w:val="231F20"/>
        </w:rPr>
        <w:t xml:space="preserve">. Видається, більш правильно </w:t>
      </w:r>
      <w:r>
        <w:rPr>
          <w:color w:val="231F20"/>
          <w:spacing w:val="-3"/>
        </w:rPr>
        <w:t xml:space="preserve">було </w:t>
      </w:r>
      <w:r>
        <w:rPr>
          <w:color w:val="231F20"/>
        </w:rPr>
        <w:t xml:space="preserve">би кваліфікувати </w:t>
      </w:r>
      <w:r>
        <w:rPr>
          <w:color w:val="231F20"/>
          <w:spacing w:val="-3"/>
        </w:rPr>
        <w:t xml:space="preserve">суддів </w:t>
      </w:r>
      <w:r>
        <w:rPr>
          <w:color w:val="231F20"/>
        </w:rPr>
        <w:t>КСУ (у контексті систематики публіч- ної служби) як слу</w:t>
      </w:r>
      <w:r>
        <w:rPr>
          <w:color w:val="231F20"/>
        </w:rPr>
        <w:t>жбовців державних колегіальних органів ніж як державних політичних</w:t>
      </w:r>
      <w:r>
        <w:rPr>
          <w:color w:val="231F20"/>
          <w:spacing w:val="-1"/>
        </w:rPr>
        <w:t xml:space="preserve"> </w:t>
      </w:r>
      <w:r>
        <w:rPr>
          <w:color w:val="231F20"/>
        </w:rPr>
        <w:t>посадовців;</w:t>
      </w:r>
    </w:p>
    <w:p w14:paraId="5154D075" w14:textId="77777777" w:rsidR="00DE575E" w:rsidRDefault="002E7560">
      <w:pPr>
        <w:pStyle w:val="BodyText"/>
        <w:spacing w:before="6" w:line="252" w:lineRule="auto"/>
        <w:ind w:left="533" w:right="126" w:firstLine="283"/>
        <w:jc w:val="both"/>
        <w:rPr>
          <w:i/>
        </w:rPr>
      </w:pPr>
      <w:r>
        <w:rPr>
          <w:b/>
          <w:i/>
          <w:color w:val="231F20"/>
        </w:rPr>
        <w:t xml:space="preserve">4) державна служба </w:t>
      </w:r>
      <w:r>
        <w:rPr>
          <w:color w:val="231F20"/>
        </w:rPr>
        <w:t>– професійна діяльність осіб, які</w:t>
      </w:r>
      <w:r>
        <w:rPr>
          <w:color w:val="231F20"/>
          <w:spacing w:val="-33"/>
        </w:rPr>
        <w:t xml:space="preserve"> </w:t>
      </w:r>
      <w:r>
        <w:rPr>
          <w:color w:val="231F20"/>
        </w:rPr>
        <w:t>займають посади</w:t>
      </w:r>
      <w:r>
        <w:rPr>
          <w:color w:val="231F20"/>
          <w:spacing w:val="-19"/>
        </w:rPr>
        <w:t xml:space="preserve"> </w:t>
      </w:r>
      <w:r>
        <w:rPr>
          <w:color w:val="231F20"/>
        </w:rPr>
        <w:t>в</w:t>
      </w:r>
      <w:r>
        <w:rPr>
          <w:color w:val="231F20"/>
          <w:spacing w:val="-19"/>
        </w:rPr>
        <w:t xml:space="preserve"> </w:t>
      </w:r>
      <w:r>
        <w:rPr>
          <w:color w:val="231F20"/>
        </w:rPr>
        <w:t>державних</w:t>
      </w:r>
      <w:r>
        <w:rPr>
          <w:color w:val="231F20"/>
          <w:spacing w:val="-19"/>
        </w:rPr>
        <w:t xml:space="preserve"> </w:t>
      </w:r>
      <w:r>
        <w:rPr>
          <w:color w:val="231F20"/>
        </w:rPr>
        <w:t>органах</w:t>
      </w:r>
      <w:r>
        <w:rPr>
          <w:color w:val="231F20"/>
          <w:spacing w:val="-19"/>
        </w:rPr>
        <w:t xml:space="preserve"> </w:t>
      </w:r>
      <w:r>
        <w:rPr>
          <w:color w:val="231F20"/>
        </w:rPr>
        <w:t>(або</w:t>
      </w:r>
      <w:r>
        <w:rPr>
          <w:color w:val="231F20"/>
          <w:spacing w:val="-19"/>
        </w:rPr>
        <w:t xml:space="preserve"> </w:t>
      </w:r>
      <w:r>
        <w:rPr>
          <w:color w:val="231F20"/>
        </w:rPr>
        <w:t>їх</w:t>
      </w:r>
      <w:r>
        <w:rPr>
          <w:color w:val="231F20"/>
          <w:spacing w:val="-19"/>
        </w:rPr>
        <w:t xml:space="preserve"> </w:t>
      </w:r>
      <w:r>
        <w:rPr>
          <w:color w:val="231F20"/>
        </w:rPr>
        <w:t>апараті),</w:t>
      </w:r>
      <w:r>
        <w:rPr>
          <w:color w:val="231F20"/>
          <w:spacing w:val="-19"/>
        </w:rPr>
        <w:t xml:space="preserve"> </w:t>
      </w:r>
      <w:r>
        <w:rPr>
          <w:color w:val="231F20"/>
        </w:rPr>
        <w:t>що</w:t>
      </w:r>
      <w:r>
        <w:rPr>
          <w:color w:val="231F20"/>
          <w:spacing w:val="-19"/>
        </w:rPr>
        <w:t xml:space="preserve"> </w:t>
      </w:r>
      <w:r>
        <w:rPr>
          <w:color w:val="231F20"/>
        </w:rPr>
        <w:t>безпосередньо</w:t>
      </w:r>
      <w:r>
        <w:rPr>
          <w:color w:val="231F20"/>
          <w:spacing w:val="-19"/>
        </w:rPr>
        <w:t xml:space="preserve"> </w:t>
      </w:r>
      <w:r>
        <w:rPr>
          <w:color w:val="231F20"/>
        </w:rPr>
        <w:t>пов’я- зані з виконанням публічно-владних управлінськ</w:t>
      </w:r>
      <w:r>
        <w:rPr>
          <w:color w:val="231F20"/>
        </w:rPr>
        <w:t>их і/або сервісних (загалом</w:t>
      </w:r>
      <w:r>
        <w:rPr>
          <w:color w:val="231F20"/>
          <w:spacing w:val="-14"/>
        </w:rPr>
        <w:t xml:space="preserve"> </w:t>
      </w:r>
      <w:r>
        <w:rPr>
          <w:color w:val="231F20"/>
        </w:rPr>
        <w:t>–</w:t>
      </w:r>
      <w:r>
        <w:rPr>
          <w:color w:val="231F20"/>
          <w:spacing w:val="-14"/>
        </w:rPr>
        <w:t xml:space="preserve"> </w:t>
      </w:r>
      <w:r>
        <w:rPr>
          <w:color w:val="231F20"/>
        </w:rPr>
        <w:t>адміністративних)</w:t>
      </w:r>
      <w:r>
        <w:rPr>
          <w:color w:val="231F20"/>
          <w:spacing w:val="-14"/>
        </w:rPr>
        <w:t xml:space="preserve"> </w:t>
      </w:r>
      <w:r>
        <w:rPr>
          <w:color w:val="231F20"/>
        </w:rPr>
        <w:t>функцій</w:t>
      </w:r>
      <w:r>
        <w:rPr>
          <w:color w:val="231F20"/>
          <w:spacing w:val="-14"/>
        </w:rPr>
        <w:t xml:space="preserve"> </w:t>
      </w:r>
      <w:r>
        <w:rPr>
          <w:color w:val="231F20"/>
        </w:rPr>
        <w:t>чи</w:t>
      </w:r>
      <w:r>
        <w:rPr>
          <w:color w:val="231F20"/>
          <w:spacing w:val="-14"/>
        </w:rPr>
        <w:t xml:space="preserve"> </w:t>
      </w:r>
      <w:r>
        <w:rPr>
          <w:color w:val="231F20"/>
        </w:rPr>
        <w:t>завдань</w:t>
      </w:r>
      <w:r>
        <w:rPr>
          <w:color w:val="231F20"/>
          <w:spacing w:val="-14"/>
        </w:rPr>
        <w:t xml:space="preserve"> </w:t>
      </w:r>
      <w:r>
        <w:rPr>
          <w:color w:val="231F20"/>
        </w:rPr>
        <w:t>держави.</w:t>
      </w:r>
      <w:r>
        <w:rPr>
          <w:color w:val="231F20"/>
          <w:spacing w:val="-14"/>
        </w:rPr>
        <w:t xml:space="preserve"> </w:t>
      </w:r>
      <w:r>
        <w:rPr>
          <w:color w:val="231F20"/>
        </w:rPr>
        <w:t xml:space="preserve">Оскільки нормативна дефініція та ознаки державної служби </w:t>
      </w:r>
      <w:r>
        <w:rPr>
          <w:color w:val="231F20"/>
          <w:spacing w:val="-3"/>
        </w:rPr>
        <w:t xml:space="preserve">будуть </w:t>
      </w:r>
      <w:r>
        <w:rPr>
          <w:color w:val="231F20"/>
        </w:rPr>
        <w:t xml:space="preserve">розкриті в наступному підрозділі підручника, тут надамо декілька уточнень, важливих для пізнання більш загальної категорії: а) не виділяємо прокурорів як самостійну групу публічних службовців (хоча в п. 17 ч. 1 </w:t>
      </w:r>
      <w:r>
        <w:rPr>
          <w:color w:val="231F20"/>
          <w:spacing w:val="-6"/>
        </w:rPr>
        <w:t xml:space="preserve">ст. </w:t>
      </w:r>
      <w:r>
        <w:rPr>
          <w:color w:val="231F20"/>
        </w:rPr>
        <w:t xml:space="preserve">4 КАС </w:t>
      </w:r>
      <w:r>
        <w:rPr>
          <w:color w:val="231F20"/>
          <w:spacing w:val="-3"/>
        </w:rPr>
        <w:t xml:space="preserve">України </w:t>
      </w:r>
      <w:r>
        <w:rPr>
          <w:color w:val="231F20"/>
        </w:rPr>
        <w:t>такі названі окремо), а під</w:t>
      </w:r>
      <w:r>
        <w:rPr>
          <w:color w:val="231F20"/>
        </w:rPr>
        <w:t>тримуємо фахівців</w:t>
      </w:r>
      <w:r>
        <w:rPr>
          <w:color w:val="231F20"/>
          <w:position w:val="7"/>
          <w:sz w:val="12"/>
        </w:rPr>
        <w:t>3</w:t>
      </w:r>
      <w:r>
        <w:rPr>
          <w:color w:val="231F20"/>
        </w:rPr>
        <w:t>, які</w:t>
      </w:r>
      <w:r>
        <w:rPr>
          <w:color w:val="231F20"/>
          <w:spacing w:val="-20"/>
        </w:rPr>
        <w:t xml:space="preserve"> </w:t>
      </w:r>
      <w:r>
        <w:rPr>
          <w:color w:val="231F20"/>
        </w:rPr>
        <w:t>визначають</w:t>
      </w:r>
      <w:r>
        <w:rPr>
          <w:color w:val="231F20"/>
          <w:spacing w:val="-20"/>
        </w:rPr>
        <w:t xml:space="preserve"> </w:t>
      </w:r>
      <w:r>
        <w:rPr>
          <w:i/>
          <w:color w:val="231F20"/>
        </w:rPr>
        <w:t>діяльність</w:t>
      </w:r>
      <w:r>
        <w:rPr>
          <w:i/>
          <w:color w:val="231F20"/>
          <w:spacing w:val="-20"/>
        </w:rPr>
        <w:t xml:space="preserve"> </w:t>
      </w:r>
      <w:r>
        <w:rPr>
          <w:i/>
          <w:color w:val="231F20"/>
        </w:rPr>
        <w:t>прокурорів</w:t>
      </w:r>
      <w:r>
        <w:rPr>
          <w:i/>
          <w:color w:val="231F20"/>
          <w:spacing w:val="-19"/>
        </w:rPr>
        <w:t xml:space="preserve"> </w:t>
      </w:r>
      <w:r>
        <w:rPr>
          <w:i/>
          <w:color w:val="231F20"/>
        </w:rPr>
        <w:t>як</w:t>
      </w:r>
      <w:r>
        <w:rPr>
          <w:i/>
          <w:color w:val="231F20"/>
          <w:spacing w:val="-20"/>
        </w:rPr>
        <w:t xml:space="preserve"> </w:t>
      </w:r>
      <w:r>
        <w:rPr>
          <w:i/>
          <w:color w:val="231F20"/>
        </w:rPr>
        <w:t>спеціалізований</w:t>
      </w:r>
      <w:r>
        <w:rPr>
          <w:i/>
          <w:color w:val="231F20"/>
          <w:spacing w:val="-19"/>
        </w:rPr>
        <w:t xml:space="preserve"> </w:t>
      </w:r>
      <w:r>
        <w:rPr>
          <w:i/>
          <w:color w:val="231F20"/>
        </w:rPr>
        <w:t>вид</w:t>
      </w:r>
      <w:r>
        <w:rPr>
          <w:i/>
          <w:color w:val="231F20"/>
          <w:spacing w:val="-20"/>
        </w:rPr>
        <w:t xml:space="preserve"> </w:t>
      </w:r>
      <w:r>
        <w:rPr>
          <w:i/>
          <w:color w:val="231F20"/>
        </w:rPr>
        <w:t>держав- ної служби</w:t>
      </w:r>
      <w:r>
        <w:rPr>
          <w:color w:val="231F20"/>
        </w:rPr>
        <w:t>.</w:t>
      </w:r>
      <w:r>
        <w:rPr>
          <w:color w:val="231F20"/>
          <w:position w:val="7"/>
          <w:sz w:val="12"/>
        </w:rPr>
        <w:t xml:space="preserve">4 </w:t>
      </w:r>
      <w:r>
        <w:rPr>
          <w:color w:val="231F20"/>
        </w:rPr>
        <w:t>При цьому все-одно слід розрізняти державну службу   в органах прокуратури (на яку поширюється Закон «Про державну службу») та службу прокурорів (яка регла</w:t>
      </w:r>
      <w:r>
        <w:rPr>
          <w:color w:val="231F20"/>
        </w:rPr>
        <w:t xml:space="preserve">ментується Законом «Про прокуратуру» та не зазнає навіть субсидіарного впливу загально- службового законодавства); б) </w:t>
      </w:r>
      <w:r>
        <w:rPr>
          <w:i/>
          <w:color w:val="231F20"/>
        </w:rPr>
        <w:t>відсутня потреба</w:t>
      </w:r>
      <w:r>
        <w:rPr>
          <w:i/>
          <w:color w:val="231F20"/>
          <w:spacing w:val="38"/>
        </w:rPr>
        <w:t xml:space="preserve"> </w:t>
      </w:r>
      <w:r>
        <w:rPr>
          <w:i/>
          <w:color w:val="231F20"/>
        </w:rPr>
        <w:t>виділяти</w:t>
      </w:r>
    </w:p>
    <w:p w14:paraId="3DCDE741" w14:textId="77777777" w:rsidR="00DE575E" w:rsidRDefault="00DE575E">
      <w:pPr>
        <w:pStyle w:val="BodyText"/>
        <w:rPr>
          <w:i/>
          <w:sz w:val="20"/>
        </w:rPr>
      </w:pPr>
    </w:p>
    <w:p w14:paraId="1F2D7EC8" w14:textId="395327A5" w:rsidR="00DE575E" w:rsidRDefault="002E7560">
      <w:pPr>
        <w:pStyle w:val="BodyText"/>
        <w:spacing w:before="9"/>
        <w:rPr>
          <w:i/>
          <w:sz w:val="13"/>
        </w:rPr>
      </w:pPr>
      <w:r>
        <w:rPr>
          <w:noProof/>
        </w:rPr>
        <mc:AlternateContent>
          <mc:Choice Requires="wps">
            <w:drawing>
              <wp:anchor distT="0" distB="0" distL="0" distR="0" simplePos="0" relativeHeight="13384" behindDoc="0" locked="0" layoutInCell="1" allowOverlap="1" wp14:anchorId="7ACA61C0" wp14:editId="077F4A54">
                <wp:simplePos x="0" y="0"/>
                <wp:positionH relativeFrom="page">
                  <wp:posOffset>719455</wp:posOffset>
                </wp:positionH>
                <wp:positionV relativeFrom="paragraph">
                  <wp:posOffset>130175</wp:posOffset>
                </wp:positionV>
                <wp:extent cx="1080135" cy="0"/>
                <wp:effectExtent l="8255" t="15875" r="29210" b="22225"/>
                <wp:wrapTopAndBottom/>
                <wp:docPr id="550"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A8575" id="Line_x0020_549" o:spid="_x0000_s1026" style="position:absolute;z-index:13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25pt" to="141.7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DPyyE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" strokecolor="#231f20" strokeweight=".5pt">
                <w10:wrap type="topAndBottom" anchorx="page"/>
              </v:line>
            </w:pict>
          </mc:Fallback>
        </mc:AlternateContent>
      </w:r>
    </w:p>
    <w:p w14:paraId="2F659427" w14:textId="77777777" w:rsidR="00DE575E" w:rsidRDefault="002E7560">
      <w:pPr>
        <w:spacing w:line="162" w:lineRule="exact"/>
        <w:ind w:left="533"/>
        <w:rPr>
          <w:sz w:val="16"/>
        </w:rPr>
      </w:pPr>
      <w:r>
        <w:rPr>
          <w:color w:val="231F20"/>
          <w:position w:val="5"/>
          <w:sz w:val="9"/>
        </w:rPr>
        <w:t xml:space="preserve">1 </w:t>
      </w:r>
      <w:r>
        <w:rPr>
          <w:color w:val="231F20"/>
          <w:spacing w:val="-3"/>
          <w:sz w:val="16"/>
        </w:rPr>
        <w:t xml:space="preserve">Про </w:t>
      </w:r>
      <w:r>
        <w:rPr>
          <w:color w:val="231F20"/>
          <w:spacing w:val="-4"/>
          <w:sz w:val="16"/>
        </w:rPr>
        <w:t xml:space="preserve">Конституційний </w:t>
      </w:r>
      <w:r>
        <w:rPr>
          <w:color w:val="231F20"/>
          <w:spacing w:val="-6"/>
          <w:sz w:val="16"/>
        </w:rPr>
        <w:t xml:space="preserve">Суд </w:t>
      </w:r>
      <w:r>
        <w:rPr>
          <w:color w:val="231F20"/>
          <w:spacing w:val="-5"/>
          <w:sz w:val="16"/>
        </w:rPr>
        <w:t xml:space="preserve">України: </w:t>
      </w:r>
      <w:r>
        <w:rPr>
          <w:color w:val="231F20"/>
          <w:spacing w:val="-4"/>
          <w:sz w:val="16"/>
        </w:rPr>
        <w:t xml:space="preserve">Закон </w:t>
      </w:r>
      <w:r>
        <w:rPr>
          <w:color w:val="231F20"/>
          <w:spacing w:val="-5"/>
          <w:sz w:val="16"/>
        </w:rPr>
        <w:t xml:space="preserve">України </w:t>
      </w:r>
      <w:r>
        <w:rPr>
          <w:color w:val="231F20"/>
          <w:spacing w:val="-3"/>
          <w:sz w:val="16"/>
        </w:rPr>
        <w:t xml:space="preserve">від </w:t>
      </w:r>
      <w:r>
        <w:rPr>
          <w:color w:val="231F20"/>
          <w:spacing w:val="-4"/>
          <w:sz w:val="16"/>
        </w:rPr>
        <w:t xml:space="preserve">13.07.2017 </w:t>
      </w:r>
      <w:r>
        <w:rPr>
          <w:color w:val="231F20"/>
          <w:sz w:val="16"/>
        </w:rPr>
        <w:t xml:space="preserve">р. № </w:t>
      </w:r>
      <w:r>
        <w:rPr>
          <w:color w:val="231F20"/>
          <w:spacing w:val="-5"/>
          <w:sz w:val="16"/>
        </w:rPr>
        <w:t xml:space="preserve">2136-VIII. </w:t>
      </w:r>
      <w:r>
        <w:rPr>
          <w:color w:val="231F20"/>
          <w:spacing w:val="-8"/>
          <w:sz w:val="16"/>
        </w:rPr>
        <w:t xml:space="preserve">Ст.ст. </w:t>
      </w:r>
      <w:r>
        <w:rPr>
          <w:color w:val="231F20"/>
          <w:spacing w:val="-3"/>
          <w:sz w:val="16"/>
        </w:rPr>
        <w:t xml:space="preserve">11, </w:t>
      </w:r>
      <w:r>
        <w:rPr>
          <w:color w:val="231F20"/>
          <w:spacing w:val="-4"/>
          <w:sz w:val="16"/>
        </w:rPr>
        <w:t>21.</w:t>
      </w:r>
    </w:p>
    <w:p w14:paraId="66F1594F" w14:textId="77777777" w:rsidR="00DE575E" w:rsidRDefault="002E7560">
      <w:pPr>
        <w:spacing w:before="23" w:line="204" w:lineRule="auto"/>
        <w:ind w:left="533" w:right="128"/>
        <w:jc w:val="both"/>
        <w:rPr>
          <w:sz w:val="16"/>
        </w:rPr>
      </w:pPr>
      <w:r>
        <w:rPr>
          <w:color w:val="231F20"/>
          <w:position w:val="5"/>
          <w:sz w:val="9"/>
        </w:rPr>
        <w:t xml:space="preserve">2 </w:t>
      </w:r>
      <w:r>
        <w:rPr>
          <w:color w:val="231F20"/>
          <w:spacing w:val="-3"/>
          <w:sz w:val="16"/>
        </w:rPr>
        <w:t xml:space="preserve">Біла-Тіунова </w:t>
      </w:r>
      <w:r>
        <w:rPr>
          <w:color w:val="231F20"/>
          <w:spacing w:val="-6"/>
          <w:sz w:val="16"/>
        </w:rPr>
        <w:t>Л.Р.</w:t>
      </w:r>
      <w:r>
        <w:rPr>
          <w:color w:val="231F20"/>
          <w:spacing w:val="22"/>
          <w:sz w:val="16"/>
        </w:rPr>
        <w:t xml:space="preserve"> </w:t>
      </w:r>
      <w:r>
        <w:rPr>
          <w:color w:val="231F20"/>
          <w:sz w:val="16"/>
        </w:rPr>
        <w:t xml:space="preserve">Публічна  служба  як  адміністративно-правова  категорія.  </w:t>
      </w:r>
      <w:r>
        <w:rPr>
          <w:i/>
          <w:color w:val="231F20"/>
          <w:sz w:val="16"/>
        </w:rPr>
        <w:t>Наукові праці Одеської національної юридичної академії</w:t>
      </w:r>
      <w:r>
        <w:rPr>
          <w:color w:val="231F20"/>
          <w:sz w:val="16"/>
        </w:rPr>
        <w:t xml:space="preserve">. 2009. </w:t>
      </w:r>
      <w:r>
        <w:rPr>
          <w:color w:val="231F20"/>
          <w:spacing w:val="-9"/>
          <w:sz w:val="16"/>
        </w:rPr>
        <w:t xml:space="preserve">Т. </w:t>
      </w:r>
      <w:r>
        <w:rPr>
          <w:color w:val="231F20"/>
          <w:sz w:val="16"/>
        </w:rPr>
        <w:t>8. С.</w:t>
      </w:r>
      <w:r>
        <w:rPr>
          <w:color w:val="231F20"/>
          <w:sz w:val="16"/>
        </w:rPr>
        <w:t xml:space="preserve"> </w:t>
      </w:r>
      <w:r>
        <w:rPr>
          <w:color w:val="231F20"/>
          <w:sz w:val="16"/>
        </w:rPr>
        <w:t>148.</w:t>
      </w:r>
    </w:p>
    <w:p w14:paraId="53FC0DEE" w14:textId="77777777" w:rsidR="00DE575E" w:rsidRDefault="002E7560">
      <w:pPr>
        <w:spacing w:before="30" w:line="204" w:lineRule="auto"/>
        <w:ind w:left="533" w:right="128"/>
        <w:jc w:val="both"/>
        <w:rPr>
          <w:sz w:val="16"/>
        </w:rPr>
      </w:pPr>
      <w:r>
        <w:rPr>
          <w:color w:val="231F20"/>
          <w:position w:val="5"/>
          <w:sz w:val="9"/>
        </w:rPr>
        <w:t xml:space="preserve">3 </w:t>
      </w:r>
      <w:r>
        <w:rPr>
          <w:color w:val="231F20"/>
          <w:sz w:val="16"/>
        </w:rPr>
        <w:t>Див.: Тогобіцька-Громова А.А. Керівник в органах прокуратури: адміністративно-пра- вовий статус: дис. … канд. юрид</w:t>
      </w:r>
      <w:r>
        <w:rPr>
          <w:color w:val="231F20"/>
          <w:sz w:val="16"/>
        </w:rPr>
        <w:t>. наук. Суми, 2019. С. 42-44, 68.</w:t>
      </w:r>
    </w:p>
    <w:p w14:paraId="07AF4253" w14:textId="77777777" w:rsidR="00DE575E" w:rsidRDefault="002E7560">
      <w:pPr>
        <w:spacing w:before="29" w:line="204" w:lineRule="auto"/>
        <w:ind w:left="533" w:right="127"/>
        <w:jc w:val="both"/>
        <w:rPr>
          <w:sz w:val="16"/>
        </w:rPr>
      </w:pPr>
      <w:r>
        <w:rPr>
          <w:color w:val="231F20"/>
          <w:position w:val="5"/>
          <w:sz w:val="9"/>
        </w:rPr>
        <w:t xml:space="preserve">4 </w:t>
      </w:r>
      <w:r>
        <w:rPr>
          <w:color w:val="231F20"/>
          <w:sz w:val="16"/>
        </w:rPr>
        <w:t xml:space="preserve">Змушені визнати, що виокремлені підгрупи – </w:t>
      </w:r>
      <w:r>
        <w:rPr>
          <w:color w:val="231F20"/>
          <w:spacing w:val="-3"/>
          <w:sz w:val="16"/>
        </w:rPr>
        <w:t xml:space="preserve">результат </w:t>
      </w:r>
      <w:r>
        <w:rPr>
          <w:color w:val="231F20"/>
          <w:sz w:val="16"/>
        </w:rPr>
        <w:t>доктринальних вподобань авторів.</w:t>
      </w:r>
      <w:r>
        <w:rPr>
          <w:color w:val="231F20"/>
          <w:spacing w:val="-4"/>
          <w:sz w:val="16"/>
        </w:rPr>
        <w:t xml:space="preserve"> </w:t>
      </w:r>
      <w:r>
        <w:rPr>
          <w:color w:val="231F20"/>
          <w:sz w:val="16"/>
        </w:rPr>
        <w:t>Цілком</w:t>
      </w:r>
      <w:r>
        <w:rPr>
          <w:color w:val="231F20"/>
          <w:spacing w:val="-4"/>
          <w:sz w:val="16"/>
        </w:rPr>
        <w:t xml:space="preserve"> </w:t>
      </w:r>
      <w:r>
        <w:rPr>
          <w:color w:val="231F20"/>
          <w:sz w:val="16"/>
        </w:rPr>
        <w:t>можливим</w:t>
      </w:r>
      <w:r>
        <w:rPr>
          <w:color w:val="231F20"/>
          <w:spacing w:val="-4"/>
          <w:sz w:val="16"/>
        </w:rPr>
        <w:t xml:space="preserve"> </w:t>
      </w:r>
      <w:r>
        <w:rPr>
          <w:color w:val="231F20"/>
          <w:sz w:val="16"/>
        </w:rPr>
        <w:t>є</w:t>
      </w:r>
      <w:r>
        <w:rPr>
          <w:color w:val="231F20"/>
          <w:spacing w:val="-4"/>
          <w:sz w:val="16"/>
        </w:rPr>
        <w:t xml:space="preserve"> </w:t>
      </w:r>
      <w:r>
        <w:rPr>
          <w:color w:val="231F20"/>
          <w:sz w:val="16"/>
        </w:rPr>
        <w:t>підхід,</w:t>
      </w:r>
      <w:r>
        <w:rPr>
          <w:color w:val="231F20"/>
          <w:spacing w:val="-4"/>
          <w:sz w:val="16"/>
        </w:rPr>
        <w:t xml:space="preserve"> </w:t>
      </w:r>
      <w:r>
        <w:rPr>
          <w:color w:val="231F20"/>
          <w:sz w:val="16"/>
        </w:rPr>
        <w:t>коли</w:t>
      </w:r>
      <w:r>
        <w:rPr>
          <w:color w:val="231F20"/>
          <w:spacing w:val="-4"/>
          <w:sz w:val="16"/>
        </w:rPr>
        <w:t xml:space="preserve"> </w:t>
      </w:r>
      <w:r>
        <w:rPr>
          <w:color w:val="231F20"/>
          <w:sz w:val="16"/>
        </w:rPr>
        <w:t>в</w:t>
      </w:r>
      <w:r>
        <w:rPr>
          <w:color w:val="231F20"/>
          <w:spacing w:val="-4"/>
          <w:sz w:val="16"/>
        </w:rPr>
        <w:t xml:space="preserve"> </w:t>
      </w:r>
      <w:r>
        <w:rPr>
          <w:color w:val="231F20"/>
          <w:sz w:val="16"/>
        </w:rPr>
        <w:t>самостійний</w:t>
      </w:r>
      <w:r>
        <w:rPr>
          <w:color w:val="231F20"/>
          <w:spacing w:val="-4"/>
          <w:sz w:val="16"/>
        </w:rPr>
        <w:t xml:space="preserve"> </w:t>
      </w:r>
      <w:r>
        <w:rPr>
          <w:color w:val="231F20"/>
          <w:sz w:val="16"/>
        </w:rPr>
        <w:t>вид</w:t>
      </w:r>
      <w:r>
        <w:rPr>
          <w:color w:val="231F20"/>
          <w:spacing w:val="-4"/>
          <w:sz w:val="16"/>
        </w:rPr>
        <w:t xml:space="preserve"> </w:t>
      </w:r>
      <w:r>
        <w:rPr>
          <w:color w:val="231F20"/>
          <w:sz w:val="16"/>
        </w:rPr>
        <w:t>публічної</w:t>
      </w:r>
      <w:r>
        <w:rPr>
          <w:color w:val="231F20"/>
          <w:spacing w:val="-4"/>
          <w:sz w:val="16"/>
        </w:rPr>
        <w:t xml:space="preserve"> </w:t>
      </w:r>
      <w:r>
        <w:rPr>
          <w:color w:val="231F20"/>
          <w:sz w:val="16"/>
        </w:rPr>
        <w:t>служби</w:t>
      </w:r>
      <w:r>
        <w:rPr>
          <w:color w:val="231F20"/>
          <w:spacing w:val="-4"/>
          <w:sz w:val="16"/>
        </w:rPr>
        <w:t xml:space="preserve"> </w:t>
      </w:r>
      <w:r>
        <w:rPr>
          <w:color w:val="231F20"/>
          <w:sz w:val="16"/>
        </w:rPr>
        <w:t>виділяється прокурорська (оскільки вона характеризується достатнім рівнем автономності статусно- прокурорського законодавства, до якого на субсидіарних засадах не застосовується загальний Закон «Про державну службу»; подібний стан правового впорядкування є</w:t>
      </w:r>
      <w:r>
        <w:rPr>
          <w:color w:val="231F20"/>
          <w:sz w:val="16"/>
        </w:rPr>
        <w:t xml:space="preserve"> схо- жим до того, що спостерігається відносно суддів). </w:t>
      </w:r>
      <w:r>
        <w:rPr>
          <w:color w:val="231F20"/>
          <w:spacing w:val="-3"/>
          <w:sz w:val="16"/>
        </w:rPr>
        <w:t xml:space="preserve">Тобто </w:t>
      </w:r>
      <w:r>
        <w:rPr>
          <w:color w:val="231F20"/>
          <w:sz w:val="16"/>
        </w:rPr>
        <w:t>за критерієм відокремленості нормативно-правових</w:t>
      </w:r>
      <w:r>
        <w:rPr>
          <w:color w:val="231F20"/>
          <w:spacing w:val="-10"/>
          <w:sz w:val="16"/>
        </w:rPr>
        <w:t xml:space="preserve"> </w:t>
      </w:r>
      <w:r>
        <w:rPr>
          <w:color w:val="231F20"/>
          <w:sz w:val="16"/>
        </w:rPr>
        <w:t>засад</w:t>
      </w:r>
      <w:r>
        <w:rPr>
          <w:color w:val="231F20"/>
          <w:spacing w:val="-9"/>
          <w:sz w:val="16"/>
        </w:rPr>
        <w:t xml:space="preserve"> </w:t>
      </w:r>
      <w:r>
        <w:rPr>
          <w:color w:val="231F20"/>
          <w:sz w:val="16"/>
        </w:rPr>
        <w:t>(залишаючи</w:t>
      </w:r>
      <w:r>
        <w:rPr>
          <w:color w:val="231F20"/>
          <w:spacing w:val="-9"/>
          <w:sz w:val="16"/>
        </w:rPr>
        <w:t xml:space="preserve"> </w:t>
      </w:r>
      <w:r>
        <w:rPr>
          <w:color w:val="231F20"/>
          <w:sz w:val="16"/>
        </w:rPr>
        <w:t>осторонь</w:t>
      </w:r>
      <w:r>
        <w:rPr>
          <w:color w:val="231F20"/>
          <w:spacing w:val="-9"/>
          <w:sz w:val="16"/>
        </w:rPr>
        <w:t xml:space="preserve"> </w:t>
      </w:r>
      <w:r>
        <w:rPr>
          <w:color w:val="231F20"/>
          <w:sz w:val="16"/>
        </w:rPr>
        <w:t>питання</w:t>
      </w:r>
      <w:r>
        <w:rPr>
          <w:color w:val="231F20"/>
          <w:spacing w:val="-9"/>
          <w:sz w:val="16"/>
        </w:rPr>
        <w:t xml:space="preserve"> </w:t>
      </w:r>
      <w:r>
        <w:rPr>
          <w:color w:val="231F20"/>
          <w:sz w:val="16"/>
        </w:rPr>
        <w:t>сутнісної</w:t>
      </w:r>
      <w:r>
        <w:rPr>
          <w:color w:val="231F20"/>
          <w:spacing w:val="-10"/>
          <w:sz w:val="16"/>
        </w:rPr>
        <w:t xml:space="preserve"> </w:t>
      </w:r>
      <w:r>
        <w:rPr>
          <w:color w:val="231F20"/>
          <w:sz w:val="16"/>
        </w:rPr>
        <w:t>сторони,</w:t>
      </w:r>
      <w:r>
        <w:rPr>
          <w:color w:val="231F20"/>
          <w:spacing w:val="-10"/>
          <w:sz w:val="16"/>
        </w:rPr>
        <w:t xml:space="preserve"> </w:t>
      </w:r>
      <w:r>
        <w:rPr>
          <w:color w:val="231F20"/>
          <w:sz w:val="16"/>
        </w:rPr>
        <w:t>ретроспек- тивної наступності, інституціоналізованої відособленості процедур) мав би обиратися один із двох підходів (формально-логічно): або суддівська і прокурорська служби обидві відділяються від державної (як самостійні види публічної), або вони обидві</w:t>
      </w:r>
      <w:r>
        <w:rPr>
          <w:color w:val="231F20"/>
          <w:sz w:val="16"/>
        </w:rPr>
        <w:t xml:space="preserve"> визнаються спеціалізованими видами державної служби (про критерії останньої</w:t>
      </w:r>
      <w:r>
        <w:rPr>
          <w:color w:val="231F20"/>
          <w:spacing w:val="-6"/>
          <w:sz w:val="16"/>
        </w:rPr>
        <w:t xml:space="preserve"> </w:t>
      </w:r>
      <w:r>
        <w:rPr>
          <w:color w:val="231F20"/>
          <w:sz w:val="16"/>
        </w:rPr>
        <w:t>далі).</w:t>
      </w:r>
    </w:p>
    <w:p w14:paraId="69901BFA" w14:textId="77777777" w:rsidR="00DE575E" w:rsidRDefault="00DE575E">
      <w:pPr>
        <w:pStyle w:val="BodyText"/>
        <w:spacing w:before="10"/>
        <w:rPr>
          <w:sz w:val="12"/>
        </w:rPr>
      </w:pPr>
    </w:p>
    <w:p w14:paraId="588E3E01" w14:textId="77777777" w:rsidR="00DE575E" w:rsidRDefault="002E7560">
      <w:pPr>
        <w:spacing w:before="92"/>
        <w:ind w:left="533"/>
        <w:rPr>
          <w:rFonts w:ascii="Times New Roman"/>
          <w:sz w:val="20"/>
        </w:rPr>
      </w:pPr>
      <w:r>
        <w:rPr>
          <w:rFonts w:ascii="Times New Roman"/>
          <w:color w:val="231F20"/>
          <w:sz w:val="20"/>
        </w:rPr>
        <w:t>344</w:t>
      </w:r>
    </w:p>
    <w:p w14:paraId="63ED93B0" w14:textId="77777777" w:rsidR="00DE575E" w:rsidRDefault="00DE575E">
      <w:pPr>
        <w:rPr>
          <w:rFonts w:ascii="Times New Roman"/>
          <w:sz w:val="20"/>
        </w:rPr>
        <w:sectPr w:rsidR="00DE575E">
          <w:pgSz w:w="8510" w:h="12760"/>
          <w:pgMar w:top="660" w:right="720" w:bottom="280" w:left="600" w:header="720" w:footer="720" w:gutter="0"/>
          <w:cols w:space="720"/>
        </w:sectPr>
      </w:pPr>
    </w:p>
    <w:p w14:paraId="2C47B349"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55B5C405"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392DDF1D" w14:textId="3F781C4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114FC49" wp14:editId="5BCC1615">
                <wp:extent cx="4140200" cy="6350"/>
                <wp:effectExtent l="0" t="0" r="12700" b="6350"/>
                <wp:docPr id="548"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49" name="Line 54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F62FD" id="Group_x0020_54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tVtW2H4CAACYBQAADgAA&#10;AAAAAAAAAAAAAAAsAgAAZHJzL2Uyb0RvYy54bWxQSwECLQAUAAYACAAAACEATKewkNkAAAADAQAA&#10;DwAAAAAAAAAAAAAAAADWBAAAZHJzL2Rvd25yZXYueG1sUEsFBgAAAAAEAAQA8wAAANwFAAAAAA==&#10;">
                <v:line id="Line_x0020_54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1v1MccAAADcAAAADwAAAGRycy9kb3ducmV2LnhtbESP0WrCQBRE3wv+w3KFvkjdqG2xqauI&#10;UCg+qDV+wDV7m4Tu3o3Z1aR+fVcQ+jjMzBlmtuisERdqfOVYwWiYgCDOna64UHDIPp6mIHxA1mgc&#10;k4Jf8rCY9x5mmGrX8hdd9qEQEcI+RQVlCHUqpc9LsuiHriaO3rdrLIYom0LqBtsIt0aOk+RVWqw4&#10;LpRY06qk/Gd/tgqy0yCY3XZt2mx7nMjjaTO5njdKPfa75TuIQF34D9/bn1rBy/Mb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W/UxxwAAANwAAAAPAAAAAAAA&#10;AAAAAAAAAKECAABkcnMvZG93bnJldi54bWxQSwUGAAAAAAQABAD5AAAAlQMAAAAA&#10;" strokecolor="#231f20" strokeweight=".5pt"/>
                <w10:anchorlock/>
              </v:group>
            </w:pict>
          </mc:Fallback>
        </mc:AlternateContent>
      </w:r>
    </w:p>
    <w:p w14:paraId="2FD53992" w14:textId="77777777" w:rsidR="00DE575E" w:rsidRDefault="00DE575E">
      <w:pPr>
        <w:pStyle w:val="BodyText"/>
        <w:spacing w:before="7"/>
        <w:rPr>
          <w:rFonts w:ascii="AdonisC"/>
          <w:i/>
          <w:sz w:val="19"/>
        </w:rPr>
      </w:pPr>
    </w:p>
    <w:p w14:paraId="220E6E4F" w14:textId="77777777" w:rsidR="00DE575E" w:rsidRDefault="002E7560">
      <w:pPr>
        <w:pStyle w:val="BodyText"/>
        <w:spacing w:before="1" w:line="252" w:lineRule="auto"/>
        <w:ind w:left="250" w:right="408"/>
        <w:jc w:val="both"/>
      </w:pPr>
      <w:r>
        <w:rPr>
          <w:i/>
          <w:color w:val="231F20"/>
        </w:rPr>
        <w:t>як самостій</w:t>
      </w:r>
      <w:r>
        <w:rPr>
          <w:i/>
          <w:color w:val="231F20"/>
        </w:rPr>
        <w:t xml:space="preserve">ну групу публічної служби військову </w:t>
      </w:r>
      <w:r>
        <w:rPr>
          <w:color w:val="231F20"/>
        </w:rPr>
        <w:t xml:space="preserve">(хоча в п. 17 ч. 1 </w:t>
      </w:r>
      <w:r>
        <w:rPr>
          <w:color w:val="231F20"/>
          <w:spacing w:val="-6"/>
        </w:rPr>
        <w:t xml:space="preserve">ст. </w:t>
      </w:r>
      <w:r>
        <w:rPr>
          <w:color w:val="231F20"/>
        </w:rPr>
        <w:t>4 КАС</w:t>
      </w:r>
      <w:r>
        <w:rPr>
          <w:color w:val="231F20"/>
          <w:spacing w:val="-18"/>
        </w:rPr>
        <w:t xml:space="preserve"> </w:t>
      </w:r>
      <w:r>
        <w:rPr>
          <w:color w:val="231F20"/>
          <w:spacing w:val="-3"/>
        </w:rPr>
        <w:t>України</w:t>
      </w:r>
      <w:r>
        <w:rPr>
          <w:color w:val="231F20"/>
          <w:spacing w:val="-18"/>
        </w:rPr>
        <w:t xml:space="preserve"> </w:t>
      </w:r>
      <w:r>
        <w:rPr>
          <w:color w:val="231F20"/>
        </w:rPr>
        <w:t>така</w:t>
      </w:r>
      <w:r>
        <w:rPr>
          <w:color w:val="231F20"/>
          <w:spacing w:val="-18"/>
        </w:rPr>
        <w:t xml:space="preserve"> </w:t>
      </w:r>
      <w:r>
        <w:rPr>
          <w:color w:val="231F20"/>
        </w:rPr>
        <w:t>названа</w:t>
      </w:r>
      <w:r>
        <w:rPr>
          <w:color w:val="231F20"/>
          <w:spacing w:val="-18"/>
        </w:rPr>
        <w:t xml:space="preserve"> </w:t>
      </w:r>
      <w:r>
        <w:rPr>
          <w:color w:val="231F20"/>
        </w:rPr>
        <w:t>окремо),</w:t>
      </w:r>
      <w:r>
        <w:rPr>
          <w:color w:val="231F20"/>
          <w:spacing w:val="-18"/>
        </w:rPr>
        <w:t xml:space="preserve"> </w:t>
      </w:r>
      <w:r>
        <w:rPr>
          <w:color w:val="231F20"/>
        </w:rPr>
        <w:t>адже:</w:t>
      </w:r>
      <w:r>
        <w:rPr>
          <w:color w:val="231F20"/>
          <w:spacing w:val="-18"/>
        </w:rPr>
        <w:t xml:space="preserve"> </w:t>
      </w:r>
      <w:r>
        <w:rPr>
          <w:color w:val="231F20"/>
        </w:rPr>
        <w:t>«військова</w:t>
      </w:r>
      <w:r>
        <w:rPr>
          <w:color w:val="231F20"/>
          <w:spacing w:val="-18"/>
        </w:rPr>
        <w:t xml:space="preserve"> </w:t>
      </w:r>
      <w:r>
        <w:rPr>
          <w:color w:val="231F20"/>
        </w:rPr>
        <w:t>служба</w:t>
      </w:r>
      <w:r>
        <w:rPr>
          <w:color w:val="231F20"/>
          <w:spacing w:val="-18"/>
        </w:rPr>
        <w:t xml:space="preserve"> </w:t>
      </w:r>
      <w:r>
        <w:rPr>
          <w:color w:val="231F20"/>
        </w:rPr>
        <w:t>є</w:t>
      </w:r>
      <w:r>
        <w:rPr>
          <w:color w:val="231F20"/>
          <w:spacing w:val="-19"/>
        </w:rPr>
        <w:t xml:space="preserve"> </w:t>
      </w:r>
      <w:r>
        <w:rPr>
          <w:color w:val="231F20"/>
        </w:rPr>
        <w:t xml:space="preserve">держав- ною службою особливого </w:t>
      </w:r>
      <w:r>
        <w:rPr>
          <w:color w:val="231F20"/>
          <w:spacing w:val="-3"/>
        </w:rPr>
        <w:t xml:space="preserve">характеру, </w:t>
      </w:r>
      <w:r>
        <w:rPr>
          <w:color w:val="231F20"/>
        </w:rPr>
        <w:t xml:space="preserve">яка полягає у професійній діяльності придатних до неї за станом здоров’я і віком громадян…, іноземців та осіб без громадянства, пов’язаній з обороною </w:t>
      </w:r>
      <w:r>
        <w:rPr>
          <w:color w:val="231F20"/>
          <w:spacing w:val="-3"/>
        </w:rPr>
        <w:t xml:space="preserve">України, </w:t>
      </w:r>
      <w:r>
        <w:rPr>
          <w:color w:val="231F20"/>
        </w:rPr>
        <w:t xml:space="preserve">її незалежності та територіальної цілісності» (ч. 1 </w:t>
      </w:r>
      <w:r>
        <w:rPr>
          <w:color w:val="231F20"/>
          <w:spacing w:val="-6"/>
        </w:rPr>
        <w:t xml:space="preserve">ст. </w:t>
      </w:r>
      <w:r>
        <w:rPr>
          <w:color w:val="231F20"/>
        </w:rPr>
        <w:t>2 Закону «Про військовий обов’язок і війс</w:t>
      </w:r>
      <w:r>
        <w:rPr>
          <w:color w:val="231F20"/>
        </w:rPr>
        <w:t>ькову службу»); в) альтернативна</w:t>
      </w:r>
      <w:r>
        <w:rPr>
          <w:color w:val="231F20"/>
          <w:spacing w:val="-33"/>
        </w:rPr>
        <w:t xml:space="preserve"> </w:t>
      </w:r>
      <w:r>
        <w:rPr>
          <w:color w:val="231F20"/>
        </w:rPr>
        <w:t xml:space="preserve">(невій- ськова) служба, яка теж окремо названа в п.17 ч. 1 </w:t>
      </w:r>
      <w:r>
        <w:rPr>
          <w:color w:val="231F20"/>
          <w:spacing w:val="-6"/>
        </w:rPr>
        <w:t xml:space="preserve">ст. </w:t>
      </w:r>
      <w:r>
        <w:rPr>
          <w:color w:val="231F20"/>
        </w:rPr>
        <w:t xml:space="preserve">4 КАС </w:t>
      </w:r>
      <w:r>
        <w:rPr>
          <w:color w:val="231F20"/>
          <w:spacing w:val="-3"/>
        </w:rPr>
        <w:t xml:space="preserve">України </w:t>
      </w:r>
      <w:r>
        <w:rPr>
          <w:color w:val="231F20"/>
        </w:rPr>
        <w:t xml:space="preserve">має подвійну </w:t>
      </w:r>
      <w:r>
        <w:rPr>
          <w:color w:val="231F20"/>
          <w:spacing w:val="-4"/>
        </w:rPr>
        <w:t xml:space="preserve">природу. </w:t>
      </w:r>
      <w:r>
        <w:rPr>
          <w:color w:val="231F20"/>
        </w:rPr>
        <w:t xml:space="preserve">З одного </w:t>
      </w:r>
      <w:r>
        <w:rPr>
          <w:color w:val="231F20"/>
          <w:spacing w:val="-5"/>
        </w:rPr>
        <w:t xml:space="preserve">боку, </w:t>
      </w:r>
      <w:r>
        <w:rPr>
          <w:color w:val="231F20"/>
        </w:rPr>
        <w:t>вона запроваджується замість проходження строкової військової служби (громадянами, для яких виконання військо</w:t>
      </w:r>
      <w:r>
        <w:rPr>
          <w:color w:val="231F20"/>
        </w:rPr>
        <w:t>вого обов’язку суперечить їхнім релігійним пере- конанням</w:t>
      </w:r>
      <w:r>
        <w:rPr>
          <w:color w:val="231F20"/>
          <w:position w:val="7"/>
          <w:sz w:val="12"/>
        </w:rPr>
        <w:t>1</w:t>
      </w:r>
      <w:r>
        <w:rPr>
          <w:color w:val="231F20"/>
        </w:rPr>
        <w:t>) і має на меті виконання обов’язку перед суспільством; тобто підстава її виникнення (початку) цілком  публічно-правова та ґрунтується на державному примусі. Водночас альтернативна (невійськова) слу</w:t>
      </w:r>
      <w:r>
        <w:rPr>
          <w:color w:val="231F20"/>
        </w:rPr>
        <w:t>жба відбувається на державних / комунальних підприємствах, в установах чи організаціях з питань соціального захисту</w:t>
      </w:r>
      <w:r>
        <w:rPr>
          <w:color w:val="231F20"/>
          <w:spacing w:val="-15"/>
        </w:rPr>
        <w:t xml:space="preserve"> </w:t>
      </w:r>
      <w:r>
        <w:rPr>
          <w:color w:val="231F20"/>
        </w:rPr>
        <w:t>населення,</w:t>
      </w:r>
      <w:r>
        <w:rPr>
          <w:color w:val="231F20"/>
          <w:spacing w:val="-15"/>
        </w:rPr>
        <w:t xml:space="preserve"> </w:t>
      </w:r>
      <w:r>
        <w:rPr>
          <w:color w:val="231F20"/>
        </w:rPr>
        <w:t>охорони</w:t>
      </w:r>
      <w:r>
        <w:rPr>
          <w:color w:val="231F20"/>
          <w:spacing w:val="-15"/>
        </w:rPr>
        <w:t xml:space="preserve"> </w:t>
      </w:r>
      <w:r>
        <w:rPr>
          <w:color w:val="231F20"/>
        </w:rPr>
        <w:t>здоров’я,</w:t>
      </w:r>
      <w:r>
        <w:rPr>
          <w:color w:val="231F20"/>
          <w:spacing w:val="-15"/>
        </w:rPr>
        <w:t xml:space="preserve"> </w:t>
      </w:r>
      <w:r>
        <w:rPr>
          <w:color w:val="231F20"/>
        </w:rPr>
        <w:t>захисту</w:t>
      </w:r>
      <w:r>
        <w:rPr>
          <w:color w:val="231F20"/>
          <w:spacing w:val="-15"/>
        </w:rPr>
        <w:t xml:space="preserve"> </w:t>
      </w:r>
      <w:r>
        <w:rPr>
          <w:color w:val="231F20"/>
        </w:rPr>
        <w:t>довкілля,</w:t>
      </w:r>
      <w:r>
        <w:rPr>
          <w:color w:val="231F20"/>
          <w:spacing w:val="-15"/>
        </w:rPr>
        <w:t xml:space="preserve"> </w:t>
      </w:r>
      <w:r>
        <w:rPr>
          <w:color w:val="231F20"/>
        </w:rPr>
        <w:t>будівництва, житлово-комунального та сільського господарства, а також в орга- нізаціях Товари</w:t>
      </w:r>
      <w:r>
        <w:rPr>
          <w:color w:val="231F20"/>
        </w:rPr>
        <w:t xml:space="preserve">ства Червоного Хреста </w:t>
      </w:r>
      <w:r>
        <w:rPr>
          <w:color w:val="231F20"/>
          <w:spacing w:val="-3"/>
        </w:rPr>
        <w:t xml:space="preserve">України; </w:t>
      </w:r>
      <w:r>
        <w:rPr>
          <w:color w:val="231F20"/>
        </w:rPr>
        <w:t>регулюється така служба законодавством про працю</w:t>
      </w:r>
      <w:r>
        <w:rPr>
          <w:color w:val="231F20"/>
          <w:position w:val="7"/>
          <w:sz w:val="12"/>
        </w:rPr>
        <w:t>2</w:t>
      </w:r>
      <w:r>
        <w:rPr>
          <w:color w:val="231F20"/>
        </w:rPr>
        <w:t xml:space="preserve">. </w:t>
      </w:r>
      <w:r>
        <w:rPr>
          <w:color w:val="231F20"/>
          <w:spacing w:val="-4"/>
        </w:rPr>
        <w:t xml:space="preserve">Тобто </w:t>
      </w:r>
      <w:r>
        <w:rPr>
          <w:color w:val="231F20"/>
        </w:rPr>
        <w:t xml:space="preserve">місце, правові засади та сутність здійснюваної суспільно корисної активності не є публіч- но-службовими. У зв’язку з цим справедливою є думка про те, що </w:t>
      </w:r>
      <w:r>
        <w:rPr>
          <w:i/>
          <w:color w:val="231F20"/>
        </w:rPr>
        <w:t>немає</w:t>
      </w:r>
      <w:r>
        <w:rPr>
          <w:i/>
          <w:color w:val="231F20"/>
          <w:spacing w:val="-8"/>
        </w:rPr>
        <w:t xml:space="preserve"> </w:t>
      </w:r>
      <w:r>
        <w:rPr>
          <w:i/>
          <w:color w:val="231F20"/>
        </w:rPr>
        <w:t>жодних</w:t>
      </w:r>
      <w:r>
        <w:rPr>
          <w:i/>
          <w:color w:val="231F20"/>
          <w:spacing w:val="-7"/>
        </w:rPr>
        <w:t xml:space="preserve"> </w:t>
      </w:r>
      <w:r>
        <w:rPr>
          <w:i/>
          <w:color w:val="231F20"/>
        </w:rPr>
        <w:t>пі</w:t>
      </w:r>
      <w:r>
        <w:rPr>
          <w:i/>
          <w:color w:val="231F20"/>
        </w:rPr>
        <w:t>дстав</w:t>
      </w:r>
      <w:r>
        <w:rPr>
          <w:i/>
          <w:color w:val="231F20"/>
          <w:spacing w:val="-7"/>
        </w:rPr>
        <w:t xml:space="preserve"> </w:t>
      </w:r>
      <w:r>
        <w:rPr>
          <w:i/>
          <w:color w:val="231F20"/>
        </w:rPr>
        <w:t>для</w:t>
      </w:r>
      <w:r>
        <w:rPr>
          <w:i/>
          <w:color w:val="231F20"/>
          <w:spacing w:val="-7"/>
        </w:rPr>
        <w:t xml:space="preserve"> </w:t>
      </w:r>
      <w:r>
        <w:rPr>
          <w:i/>
          <w:color w:val="231F20"/>
        </w:rPr>
        <w:t>віднесення</w:t>
      </w:r>
      <w:r>
        <w:rPr>
          <w:i/>
          <w:color w:val="231F20"/>
          <w:spacing w:val="-7"/>
        </w:rPr>
        <w:t xml:space="preserve"> </w:t>
      </w:r>
      <w:r>
        <w:rPr>
          <w:i/>
          <w:color w:val="231F20"/>
        </w:rPr>
        <w:t>альтернативної</w:t>
      </w:r>
      <w:r>
        <w:rPr>
          <w:i/>
          <w:color w:val="231F20"/>
          <w:spacing w:val="-8"/>
        </w:rPr>
        <w:t xml:space="preserve"> </w:t>
      </w:r>
      <w:r>
        <w:rPr>
          <w:i/>
          <w:color w:val="231F20"/>
        </w:rPr>
        <w:t>(невійськової) служби як до публічної, так і до</w:t>
      </w:r>
      <w:r>
        <w:rPr>
          <w:i/>
          <w:color w:val="231F20"/>
          <w:spacing w:val="-10"/>
        </w:rPr>
        <w:t xml:space="preserve"> </w:t>
      </w:r>
      <w:r>
        <w:rPr>
          <w:i/>
          <w:color w:val="231F20"/>
        </w:rPr>
        <w:t>державної</w:t>
      </w:r>
      <w:r>
        <w:rPr>
          <w:color w:val="231F20"/>
          <w:position w:val="7"/>
          <w:sz w:val="12"/>
        </w:rPr>
        <w:t>3</w:t>
      </w:r>
      <w:r>
        <w:rPr>
          <w:color w:val="231F20"/>
        </w:rPr>
        <w:t>;</w:t>
      </w:r>
    </w:p>
    <w:p w14:paraId="1EAA7F21" w14:textId="77777777" w:rsidR="00DE575E" w:rsidRDefault="002E7560">
      <w:pPr>
        <w:pStyle w:val="BodyText"/>
        <w:spacing w:before="12" w:line="252" w:lineRule="auto"/>
        <w:ind w:left="250" w:right="409" w:firstLine="283"/>
        <w:jc w:val="both"/>
      </w:pPr>
      <w:r>
        <w:rPr>
          <w:b/>
          <w:i/>
          <w:color w:val="231F20"/>
        </w:rPr>
        <w:t>5) патронатна служба в державних органах</w:t>
      </w:r>
      <w:r>
        <w:rPr>
          <w:color w:val="231F20"/>
        </w:rPr>
        <w:t>, яка: а) спрямо- вана</w:t>
      </w:r>
      <w:r>
        <w:rPr>
          <w:color w:val="231F20"/>
          <w:spacing w:val="-11"/>
        </w:rPr>
        <w:t xml:space="preserve"> </w:t>
      </w:r>
      <w:r>
        <w:rPr>
          <w:color w:val="231F20"/>
        </w:rPr>
        <w:t>на</w:t>
      </w:r>
      <w:r>
        <w:rPr>
          <w:color w:val="231F20"/>
          <w:spacing w:val="-11"/>
        </w:rPr>
        <w:t xml:space="preserve"> </w:t>
      </w:r>
      <w:r>
        <w:rPr>
          <w:color w:val="231F20"/>
        </w:rPr>
        <w:t>обслуговування</w:t>
      </w:r>
      <w:r>
        <w:rPr>
          <w:color w:val="231F20"/>
          <w:spacing w:val="-12"/>
        </w:rPr>
        <w:t xml:space="preserve"> </w:t>
      </w:r>
      <w:r>
        <w:rPr>
          <w:color w:val="231F20"/>
        </w:rPr>
        <w:t>діяльності</w:t>
      </w:r>
      <w:r>
        <w:rPr>
          <w:color w:val="231F20"/>
          <w:spacing w:val="-12"/>
        </w:rPr>
        <w:t xml:space="preserve"> </w:t>
      </w:r>
      <w:r>
        <w:rPr>
          <w:color w:val="231F20"/>
        </w:rPr>
        <w:t>певної</w:t>
      </w:r>
      <w:r>
        <w:rPr>
          <w:color w:val="231F20"/>
          <w:spacing w:val="-12"/>
        </w:rPr>
        <w:t xml:space="preserve"> </w:t>
      </w:r>
      <w:r>
        <w:rPr>
          <w:color w:val="231F20"/>
        </w:rPr>
        <w:t>посадової</w:t>
      </w:r>
      <w:r>
        <w:rPr>
          <w:color w:val="231F20"/>
          <w:spacing w:val="-12"/>
        </w:rPr>
        <w:t xml:space="preserve"> </w:t>
      </w:r>
      <w:r>
        <w:rPr>
          <w:color w:val="231F20"/>
        </w:rPr>
        <w:t>особи</w:t>
      </w:r>
      <w:r>
        <w:rPr>
          <w:color w:val="231F20"/>
          <w:spacing w:val="-12"/>
        </w:rPr>
        <w:t xml:space="preserve"> </w:t>
      </w:r>
      <w:r>
        <w:rPr>
          <w:color w:val="231F20"/>
        </w:rPr>
        <w:t>(патрона) та здійснюється від його імені (а не імені державного органу чи держави); б) характеризується безконкурсним прийняттям на службу</w:t>
      </w:r>
      <w:r>
        <w:rPr>
          <w:color w:val="231F20"/>
          <w:spacing w:val="-12"/>
        </w:rPr>
        <w:t xml:space="preserve"> </w:t>
      </w:r>
      <w:r>
        <w:rPr>
          <w:color w:val="231F20"/>
        </w:rPr>
        <w:t>(призначення</w:t>
      </w:r>
      <w:r>
        <w:rPr>
          <w:color w:val="231F20"/>
          <w:spacing w:val="-12"/>
        </w:rPr>
        <w:t xml:space="preserve"> </w:t>
      </w:r>
      <w:r>
        <w:rPr>
          <w:color w:val="231F20"/>
        </w:rPr>
        <w:t>здійснює</w:t>
      </w:r>
      <w:r>
        <w:rPr>
          <w:color w:val="231F20"/>
          <w:spacing w:val="-12"/>
        </w:rPr>
        <w:t xml:space="preserve"> </w:t>
      </w:r>
      <w:r>
        <w:rPr>
          <w:color w:val="231F20"/>
        </w:rPr>
        <w:t>патрон,</w:t>
      </w:r>
      <w:r>
        <w:rPr>
          <w:color w:val="231F20"/>
          <w:spacing w:val="-12"/>
        </w:rPr>
        <w:t xml:space="preserve"> </w:t>
      </w:r>
      <w:r>
        <w:rPr>
          <w:color w:val="231F20"/>
        </w:rPr>
        <w:t>переважно</w:t>
      </w:r>
      <w:r>
        <w:rPr>
          <w:color w:val="231F20"/>
          <w:spacing w:val="-12"/>
        </w:rPr>
        <w:t xml:space="preserve"> </w:t>
      </w:r>
      <w:r>
        <w:rPr>
          <w:color w:val="231F20"/>
        </w:rPr>
        <w:t>керуючись</w:t>
      </w:r>
      <w:r>
        <w:rPr>
          <w:color w:val="231F20"/>
          <w:spacing w:val="-12"/>
        </w:rPr>
        <w:t xml:space="preserve"> </w:t>
      </w:r>
      <w:r>
        <w:rPr>
          <w:color w:val="231F20"/>
          <w:spacing w:val="-4"/>
        </w:rPr>
        <w:t>суб’єк-</w:t>
      </w:r>
    </w:p>
    <w:p w14:paraId="0DDBD1D5" w14:textId="77777777" w:rsidR="00DE575E" w:rsidRDefault="00DE575E">
      <w:pPr>
        <w:pStyle w:val="BodyText"/>
        <w:rPr>
          <w:sz w:val="20"/>
        </w:rPr>
      </w:pPr>
    </w:p>
    <w:p w14:paraId="450D9EBD" w14:textId="1D68E763" w:rsidR="00DE575E" w:rsidRDefault="002E7560">
      <w:pPr>
        <w:pStyle w:val="BodyText"/>
        <w:spacing w:before="6"/>
        <w:rPr>
          <w:sz w:val="12"/>
        </w:rPr>
      </w:pPr>
      <w:r>
        <w:rPr>
          <w:noProof/>
        </w:rPr>
        <mc:AlternateContent>
          <mc:Choice Requires="wps">
            <w:drawing>
              <wp:anchor distT="0" distB="0" distL="0" distR="0" simplePos="0" relativeHeight="13432" behindDoc="0" locked="0" layoutInCell="1" allowOverlap="1" wp14:anchorId="1418F1ED" wp14:editId="1C87B64A">
                <wp:simplePos x="0" y="0"/>
                <wp:positionH relativeFrom="page">
                  <wp:posOffset>539750</wp:posOffset>
                </wp:positionH>
                <wp:positionV relativeFrom="paragraph">
                  <wp:posOffset>120650</wp:posOffset>
                </wp:positionV>
                <wp:extent cx="1080135" cy="0"/>
                <wp:effectExtent l="6350" t="19050" r="31115" b="19050"/>
                <wp:wrapTopAndBottom/>
                <wp:docPr id="54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9E7B" id="Line_x0020_546" o:spid="_x0000_s1026" style="position:absolute;z-index:13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5pt" to="127.5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" strokecolor="#231f20" strokeweight=".5pt">
                <w10:wrap type="topAndBottom" anchorx="page"/>
              </v:line>
            </w:pict>
          </mc:Fallback>
        </mc:AlternateContent>
      </w:r>
    </w:p>
    <w:p w14:paraId="368F81A4"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 xml:space="preserve">Принагідно наголосимо, що ч. 4 </w:t>
      </w:r>
      <w:r>
        <w:rPr>
          <w:color w:val="231F20"/>
          <w:spacing w:val="-5"/>
          <w:sz w:val="16"/>
        </w:rPr>
        <w:t xml:space="preserve">ст. </w:t>
      </w:r>
      <w:r>
        <w:rPr>
          <w:color w:val="231F20"/>
          <w:sz w:val="16"/>
        </w:rPr>
        <w:t>35 Конституції Укра</w:t>
      </w:r>
      <w:r>
        <w:rPr>
          <w:color w:val="231F20"/>
          <w:sz w:val="16"/>
        </w:rPr>
        <w:t>їни (і відповідний закон) пов’я- зує право на альтернативну (невійськову) службу лише з релігійними переконаннями громадянина. Це дещо однобічно, адже релігія – один із можливих світоглядів людини. Окрім</w:t>
      </w:r>
      <w:r>
        <w:rPr>
          <w:color w:val="231F20"/>
          <w:spacing w:val="-8"/>
          <w:sz w:val="16"/>
        </w:rPr>
        <w:t xml:space="preserve"> </w:t>
      </w:r>
      <w:r>
        <w:rPr>
          <w:color w:val="231F20"/>
          <w:sz w:val="16"/>
        </w:rPr>
        <w:t>релігії,</w:t>
      </w:r>
      <w:r>
        <w:rPr>
          <w:color w:val="231F20"/>
          <w:spacing w:val="-8"/>
          <w:sz w:val="16"/>
        </w:rPr>
        <w:t xml:space="preserve"> </w:t>
      </w:r>
      <w:r>
        <w:rPr>
          <w:color w:val="231F20"/>
          <w:sz w:val="16"/>
        </w:rPr>
        <w:t>може</w:t>
      </w:r>
      <w:r>
        <w:rPr>
          <w:color w:val="231F20"/>
          <w:spacing w:val="-8"/>
          <w:sz w:val="16"/>
        </w:rPr>
        <w:t xml:space="preserve"> </w:t>
      </w:r>
      <w:r>
        <w:rPr>
          <w:color w:val="231F20"/>
          <w:sz w:val="16"/>
        </w:rPr>
        <w:t>бути</w:t>
      </w:r>
      <w:r>
        <w:rPr>
          <w:color w:val="231F20"/>
          <w:spacing w:val="-8"/>
          <w:sz w:val="16"/>
        </w:rPr>
        <w:t xml:space="preserve"> </w:t>
      </w:r>
      <w:r>
        <w:rPr>
          <w:color w:val="231F20"/>
          <w:sz w:val="16"/>
        </w:rPr>
        <w:t>інший</w:t>
      </w:r>
      <w:r>
        <w:rPr>
          <w:color w:val="231F20"/>
          <w:spacing w:val="-8"/>
          <w:sz w:val="16"/>
        </w:rPr>
        <w:t xml:space="preserve"> </w:t>
      </w:r>
      <w:r>
        <w:rPr>
          <w:color w:val="231F20"/>
          <w:sz w:val="16"/>
        </w:rPr>
        <w:t>світогляд</w:t>
      </w:r>
      <w:r>
        <w:rPr>
          <w:color w:val="231F20"/>
          <w:spacing w:val="-8"/>
          <w:sz w:val="16"/>
        </w:rPr>
        <w:t xml:space="preserve"> </w:t>
      </w:r>
      <w:r>
        <w:rPr>
          <w:color w:val="231F20"/>
          <w:sz w:val="16"/>
        </w:rPr>
        <w:t>(сукупність</w:t>
      </w:r>
      <w:r>
        <w:rPr>
          <w:color w:val="231F20"/>
          <w:spacing w:val="-8"/>
          <w:sz w:val="16"/>
        </w:rPr>
        <w:t xml:space="preserve"> </w:t>
      </w:r>
      <w:r>
        <w:rPr>
          <w:color w:val="231F20"/>
          <w:sz w:val="16"/>
        </w:rPr>
        <w:t>життєвих</w:t>
      </w:r>
      <w:r>
        <w:rPr>
          <w:color w:val="231F20"/>
          <w:spacing w:val="-8"/>
          <w:sz w:val="16"/>
        </w:rPr>
        <w:t xml:space="preserve"> </w:t>
      </w:r>
      <w:r>
        <w:rPr>
          <w:color w:val="231F20"/>
          <w:sz w:val="16"/>
        </w:rPr>
        <w:t>переконань,</w:t>
      </w:r>
      <w:r>
        <w:rPr>
          <w:color w:val="231F20"/>
          <w:spacing w:val="-8"/>
          <w:sz w:val="16"/>
        </w:rPr>
        <w:t xml:space="preserve"> </w:t>
      </w:r>
      <w:r>
        <w:rPr>
          <w:color w:val="231F20"/>
          <w:sz w:val="16"/>
        </w:rPr>
        <w:t>ціннісних</w:t>
      </w:r>
      <w:r>
        <w:rPr>
          <w:color w:val="231F20"/>
          <w:spacing w:val="-8"/>
          <w:sz w:val="16"/>
        </w:rPr>
        <w:t xml:space="preserve"> </w:t>
      </w:r>
      <w:r>
        <w:rPr>
          <w:color w:val="231F20"/>
          <w:sz w:val="16"/>
        </w:rPr>
        <w:t>орі- єнтирів), якому суперечить військова служба і якому не менш послідовно і віддано (ніж віруючі</w:t>
      </w:r>
      <w:r>
        <w:rPr>
          <w:color w:val="231F20"/>
          <w:spacing w:val="-10"/>
          <w:sz w:val="16"/>
        </w:rPr>
        <w:t xml:space="preserve"> </w:t>
      </w:r>
      <w:r>
        <w:rPr>
          <w:color w:val="231F20"/>
          <w:sz w:val="16"/>
        </w:rPr>
        <w:t>особи</w:t>
      </w:r>
      <w:r>
        <w:rPr>
          <w:color w:val="231F20"/>
          <w:spacing w:val="-10"/>
          <w:sz w:val="16"/>
        </w:rPr>
        <w:t xml:space="preserve"> </w:t>
      </w:r>
      <w:r>
        <w:rPr>
          <w:color w:val="231F20"/>
          <w:sz w:val="16"/>
        </w:rPr>
        <w:t>–</w:t>
      </w:r>
      <w:r>
        <w:rPr>
          <w:color w:val="231F20"/>
          <w:spacing w:val="-10"/>
          <w:sz w:val="16"/>
        </w:rPr>
        <w:t xml:space="preserve"> </w:t>
      </w:r>
      <w:r>
        <w:rPr>
          <w:color w:val="231F20"/>
          <w:sz w:val="16"/>
        </w:rPr>
        <w:t>релігії)</w:t>
      </w:r>
      <w:r>
        <w:rPr>
          <w:color w:val="231F20"/>
          <w:spacing w:val="-10"/>
          <w:sz w:val="16"/>
        </w:rPr>
        <w:t xml:space="preserve"> </w:t>
      </w:r>
      <w:r>
        <w:rPr>
          <w:color w:val="231F20"/>
          <w:sz w:val="16"/>
        </w:rPr>
        <w:t>слідує</w:t>
      </w:r>
      <w:r>
        <w:rPr>
          <w:color w:val="231F20"/>
          <w:spacing w:val="-10"/>
          <w:sz w:val="16"/>
        </w:rPr>
        <w:t xml:space="preserve"> </w:t>
      </w:r>
      <w:r>
        <w:rPr>
          <w:color w:val="231F20"/>
          <w:sz w:val="16"/>
        </w:rPr>
        <w:t>громадянин-атеїст,</w:t>
      </w:r>
      <w:r>
        <w:rPr>
          <w:color w:val="231F20"/>
          <w:spacing w:val="-10"/>
          <w:sz w:val="16"/>
        </w:rPr>
        <w:t xml:space="preserve"> </w:t>
      </w:r>
      <w:r>
        <w:rPr>
          <w:color w:val="231F20"/>
          <w:sz w:val="16"/>
        </w:rPr>
        <w:t>філософ.</w:t>
      </w:r>
      <w:r>
        <w:rPr>
          <w:color w:val="231F20"/>
          <w:spacing w:val="-10"/>
          <w:sz w:val="16"/>
        </w:rPr>
        <w:t xml:space="preserve"> </w:t>
      </w:r>
      <w:r>
        <w:rPr>
          <w:color w:val="231F20"/>
          <w:sz w:val="16"/>
        </w:rPr>
        <w:t>Виникає</w:t>
      </w:r>
      <w:r>
        <w:rPr>
          <w:color w:val="231F20"/>
          <w:spacing w:val="-10"/>
          <w:sz w:val="16"/>
        </w:rPr>
        <w:t xml:space="preserve"> </w:t>
      </w:r>
      <w:r>
        <w:rPr>
          <w:color w:val="231F20"/>
          <w:sz w:val="16"/>
        </w:rPr>
        <w:t>ситуація,</w:t>
      </w:r>
      <w:r>
        <w:rPr>
          <w:color w:val="231F20"/>
          <w:spacing w:val="-10"/>
          <w:sz w:val="16"/>
        </w:rPr>
        <w:t xml:space="preserve"> </w:t>
      </w:r>
      <w:r>
        <w:rPr>
          <w:color w:val="231F20"/>
          <w:sz w:val="16"/>
        </w:rPr>
        <w:t>за</w:t>
      </w:r>
      <w:r>
        <w:rPr>
          <w:color w:val="231F20"/>
          <w:spacing w:val="-10"/>
          <w:sz w:val="16"/>
        </w:rPr>
        <w:t xml:space="preserve"> </w:t>
      </w:r>
      <w:r>
        <w:rPr>
          <w:color w:val="231F20"/>
          <w:sz w:val="16"/>
        </w:rPr>
        <w:t>якої</w:t>
      </w:r>
      <w:r>
        <w:rPr>
          <w:color w:val="231F20"/>
          <w:spacing w:val="-10"/>
          <w:sz w:val="16"/>
        </w:rPr>
        <w:t xml:space="preserve"> </w:t>
      </w:r>
      <w:r>
        <w:rPr>
          <w:color w:val="231F20"/>
          <w:sz w:val="16"/>
        </w:rPr>
        <w:t xml:space="preserve">особи з релігійним світоглядом мають потенційно </w:t>
      </w:r>
      <w:r>
        <w:rPr>
          <w:color w:val="231F20"/>
          <w:sz w:val="16"/>
        </w:rPr>
        <w:t>більше прав, ніж особи із домінантно філо- софським життєсприйняттям (пацифізм, частково світський гуманізм</w:t>
      </w:r>
      <w:r>
        <w:rPr>
          <w:color w:val="231F20"/>
          <w:spacing w:val="-5"/>
          <w:sz w:val="16"/>
        </w:rPr>
        <w:t xml:space="preserve"> </w:t>
      </w:r>
      <w:r>
        <w:rPr>
          <w:color w:val="231F20"/>
          <w:sz w:val="16"/>
        </w:rPr>
        <w:t>тощо).</w:t>
      </w:r>
    </w:p>
    <w:p w14:paraId="3A6D4745" w14:textId="77777777" w:rsidR="00DE575E" w:rsidRDefault="002E7560">
      <w:pPr>
        <w:spacing w:before="29" w:line="204" w:lineRule="auto"/>
        <w:ind w:left="250" w:right="411"/>
        <w:jc w:val="both"/>
        <w:rPr>
          <w:sz w:val="16"/>
        </w:rPr>
      </w:pPr>
      <w:r>
        <w:rPr>
          <w:color w:val="231F20"/>
          <w:position w:val="5"/>
          <w:sz w:val="9"/>
        </w:rPr>
        <w:t xml:space="preserve">2 </w:t>
      </w:r>
      <w:r>
        <w:rPr>
          <w:color w:val="231F20"/>
          <w:sz w:val="16"/>
        </w:rPr>
        <w:t>Про альтернативну (невійськову) службу: Закону України від 12.12.1991 р. № 1975-XII. Ст.ст. 1, 5, 15.</w:t>
      </w:r>
    </w:p>
    <w:p w14:paraId="0D5401FA" w14:textId="77777777" w:rsidR="00DE575E" w:rsidRDefault="002E7560">
      <w:pPr>
        <w:spacing w:before="30" w:line="204" w:lineRule="auto"/>
        <w:ind w:left="250" w:right="411"/>
        <w:jc w:val="both"/>
        <w:rPr>
          <w:sz w:val="16"/>
        </w:rPr>
      </w:pPr>
      <w:r>
        <w:rPr>
          <w:color w:val="231F20"/>
          <w:position w:val="5"/>
          <w:sz w:val="9"/>
        </w:rPr>
        <w:t xml:space="preserve">3 </w:t>
      </w:r>
      <w:r>
        <w:rPr>
          <w:color w:val="231F20"/>
          <w:sz w:val="16"/>
        </w:rPr>
        <w:t xml:space="preserve">Адміністративне судочинство в Україні: теорія, правове регулювання, практика: монографія / кол. </w:t>
      </w:r>
      <w:r>
        <w:rPr>
          <w:color w:val="231F20"/>
          <w:spacing w:val="-3"/>
          <w:sz w:val="16"/>
        </w:rPr>
        <w:t xml:space="preserve">авт.; </w:t>
      </w:r>
      <w:r>
        <w:rPr>
          <w:color w:val="231F20"/>
          <w:sz w:val="16"/>
        </w:rPr>
        <w:t xml:space="preserve">за </w:t>
      </w:r>
      <w:r>
        <w:rPr>
          <w:color w:val="231F20"/>
          <w:spacing w:val="-4"/>
          <w:sz w:val="16"/>
        </w:rPr>
        <w:t xml:space="preserve">заг.  </w:t>
      </w:r>
      <w:r>
        <w:rPr>
          <w:color w:val="231F20"/>
          <w:sz w:val="16"/>
        </w:rPr>
        <w:t xml:space="preserve">ред.  С.В.  Ківалова,  </w:t>
      </w:r>
      <w:r>
        <w:rPr>
          <w:color w:val="231F20"/>
          <w:spacing w:val="-6"/>
          <w:sz w:val="16"/>
        </w:rPr>
        <w:t>Л.Р.</w:t>
      </w:r>
      <w:r>
        <w:rPr>
          <w:color w:val="231F20"/>
          <w:spacing w:val="22"/>
          <w:sz w:val="16"/>
        </w:rPr>
        <w:t xml:space="preserve"> </w:t>
      </w:r>
      <w:r>
        <w:rPr>
          <w:color w:val="231F20"/>
          <w:sz w:val="16"/>
        </w:rPr>
        <w:t>Білої-Тіунової.  Одеса:  Фенікс,  2013. С.</w:t>
      </w:r>
      <w:r>
        <w:rPr>
          <w:color w:val="231F20"/>
          <w:spacing w:val="-4"/>
          <w:sz w:val="16"/>
        </w:rPr>
        <w:t xml:space="preserve"> </w:t>
      </w:r>
      <w:r>
        <w:rPr>
          <w:color w:val="231F20"/>
          <w:sz w:val="16"/>
        </w:rPr>
        <w:t>63.</w:t>
      </w:r>
    </w:p>
    <w:p w14:paraId="6ADC9A7A" w14:textId="77777777" w:rsidR="00DE575E" w:rsidRDefault="00DE575E">
      <w:pPr>
        <w:pStyle w:val="BodyText"/>
        <w:spacing w:before="5"/>
        <w:rPr>
          <w:sz w:val="12"/>
        </w:rPr>
      </w:pPr>
    </w:p>
    <w:p w14:paraId="2C1F1F2D" w14:textId="77777777" w:rsidR="00DE575E" w:rsidRDefault="002E7560">
      <w:pPr>
        <w:spacing w:before="92"/>
        <w:ind w:right="411"/>
        <w:jc w:val="right"/>
        <w:rPr>
          <w:rFonts w:ascii="Times New Roman"/>
          <w:sz w:val="20"/>
        </w:rPr>
      </w:pPr>
      <w:r>
        <w:rPr>
          <w:rFonts w:ascii="Times New Roman"/>
          <w:color w:val="231F20"/>
          <w:w w:val="90"/>
          <w:sz w:val="20"/>
        </w:rPr>
        <w:t>345</w:t>
      </w:r>
    </w:p>
    <w:p w14:paraId="40FBC7B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62933B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5B289FD" w14:textId="3CB666F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C05DC1A" wp14:editId="0D4C21B9">
                <wp:extent cx="4140200" cy="6350"/>
                <wp:effectExtent l="0" t="0" r="12700" b="6350"/>
                <wp:docPr id="54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46" name="Line 5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15D0AB" id="Group_x0020_5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4YE61/AgAAmAUAAA4A&#10;AAAAAAAAAAAAAAAALAIAAGRycy9lMm9Eb2MueG1sUEsBAi0AFAAGAAgAAAAhAEynsJDZAAAAAwEA&#10;AA8AAAAAAAAAAAAAAAAA1wQAAGRycy9kb3ducmV2LnhtbFBLBQYAAAAABAAEAPMAAADdBQAAAAA=&#10;">
                <v:line id="Line_x0020_5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RhQ8YAAADcAAAADwAAAGRycy9kb3ducmV2LnhtbESP3WrCQBSE7wu+w3IEb0rdtLZSoqtI&#10;oSBe+Jc+wDF7TIK7Z2N2NdGndwuFXg4z8w0znXfWiCs1vnKs4HWYgCDOna64UPCTfb98gvABWaNx&#10;TApu5GE+6z1NMdWu5R1d96EQEcI+RQVlCHUqpc9LsuiHriaO3tE1FkOUTSF1g22EWyPfkmQsLVYc&#10;F0qs6auk/LS/WAXZ+TmY7WZl2mxzGMnDeT26X9ZKDfrdYgIiUBf+w3/tpVbw8T6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EYUPGAAAA3AAAAA8AAAAAAAAA&#10;AAAAAAAAoQIAAGRycy9kb3ducmV2LnhtbFBLBQYAAAAABAAEAPkAAACUAwAAAAA=&#10;" strokecolor="#231f20" strokeweight=".5pt"/>
                <w10:anchorlock/>
              </v:group>
            </w:pict>
          </mc:Fallback>
        </mc:AlternateContent>
      </w:r>
    </w:p>
    <w:p w14:paraId="6D648ED1" w14:textId="77777777" w:rsidR="00DE575E" w:rsidRDefault="00DE575E">
      <w:pPr>
        <w:pStyle w:val="BodyText"/>
        <w:spacing w:before="7"/>
        <w:rPr>
          <w:rFonts w:ascii="AdonisC"/>
          <w:i/>
          <w:sz w:val="11"/>
        </w:rPr>
      </w:pPr>
    </w:p>
    <w:p w14:paraId="45C7D4F2" w14:textId="77777777" w:rsidR="00DE575E" w:rsidRDefault="002E7560">
      <w:pPr>
        <w:pStyle w:val="BodyText"/>
        <w:spacing w:before="101" w:line="252" w:lineRule="auto"/>
        <w:ind w:left="533" w:right="126"/>
        <w:jc w:val="both"/>
      </w:pPr>
      <w:r>
        <w:rPr>
          <w:color w:val="231F20"/>
        </w:rPr>
        <w:t>тивними критеріями); в) відбувається в межах строку повноважень патрона, на забезпечення діяльності якого спрямована, та припиня- ється з моменту його звільнення; г) є відділеною від посад де</w:t>
      </w:r>
      <w:r>
        <w:rPr>
          <w:color w:val="231F20"/>
        </w:rPr>
        <w:t>ржав- ної служби відповідного органу та не передбачає можливості впли- вати на них (давати їм доручення, тощо); ґ) виражається переважно в  консультативно-дорадчих  (пропозиції,  прогнози,  рекомендації   і</w:t>
      </w:r>
      <w:r>
        <w:rPr>
          <w:color w:val="231F20"/>
          <w:spacing w:val="-11"/>
        </w:rPr>
        <w:t xml:space="preserve"> </w:t>
      </w:r>
      <w:r>
        <w:rPr>
          <w:color w:val="231F20"/>
          <w:spacing w:val="-9"/>
        </w:rPr>
        <w:t>т.</w:t>
      </w:r>
      <w:r>
        <w:rPr>
          <w:color w:val="231F20"/>
          <w:spacing w:val="-8"/>
        </w:rPr>
        <w:t xml:space="preserve"> </w:t>
      </w:r>
      <w:r>
        <w:rPr>
          <w:color w:val="231F20"/>
        </w:rPr>
        <w:t>ін.)</w:t>
      </w:r>
      <w:r>
        <w:rPr>
          <w:color w:val="231F20"/>
          <w:spacing w:val="-11"/>
        </w:rPr>
        <w:t xml:space="preserve"> </w:t>
      </w:r>
      <w:r>
        <w:rPr>
          <w:color w:val="231F20"/>
        </w:rPr>
        <w:t>та</w:t>
      </w:r>
      <w:r>
        <w:rPr>
          <w:color w:val="231F20"/>
          <w:spacing w:val="-11"/>
        </w:rPr>
        <w:t xml:space="preserve"> </w:t>
      </w:r>
      <w:r>
        <w:rPr>
          <w:color w:val="231F20"/>
        </w:rPr>
        <w:t>організаційних</w:t>
      </w:r>
      <w:r>
        <w:rPr>
          <w:color w:val="231F20"/>
          <w:spacing w:val="-11"/>
        </w:rPr>
        <w:t xml:space="preserve"> </w:t>
      </w:r>
      <w:r>
        <w:rPr>
          <w:color w:val="231F20"/>
        </w:rPr>
        <w:t>діях</w:t>
      </w:r>
      <w:r>
        <w:rPr>
          <w:color w:val="231F20"/>
          <w:spacing w:val="-11"/>
        </w:rPr>
        <w:t xml:space="preserve"> </w:t>
      </w:r>
      <w:r>
        <w:rPr>
          <w:color w:val="231F20"/>
        </w:rPr>
        <w:t>(підготовка</w:t>
      </w:r>
      <w:r>
        <w:rPr>
          <w:color w:val="231F20"/>
          <w:spacing w:val="-11"/>
        </w:rPr>
        <w:t xml:space="preserve"> </w:t>
      </w:r>
      <w:r>
        <w:rPr>
          <w:color w:val="231F20"/>
        </w:rPr>
        <w:t>прес-к</w:t>
      </w:r>
      <w:r>
        <w:rPr>
          <w:color w:val="231F20"/>
        </w:rPr>
        <w:t>онференцій,</w:t>
      </w:r>
      <w:r>
        <w:rPr>
          <w:color w:val="231F20"/>
          <w:spacing w:val="-11"/>
        </w:rPr>
        <w:t xml:space="preserve"> </w:t>
      </w:r>
      <w:r>
        <w:rPr>
          <w:color w:val="231F20"/>
        </w:rPr>
        <w:t xml:space="preserve">брифін- гів); д) регулюється і публічним, і </w:t>
      </w:r>
      <w:r>
        <w:rPr>
          <w:color w:val="231F20"/>
          <w:spacing w:val="-3"/>
        </w:rPr>
        <w:t xml:space="preserve">трудовим </w:t>
      </w:r>
      <w:r>
        <w:rPr>
          <w:color w:val="231F20"/>
        </w:rPr>
        <w:t xml:space="preserve">законодавством (при </w:t>
      </w:r>
      <w:r>
        <w:rPr>
          <w:color w:val="231F20"/>
          <w:spacing w:val="-3"/>
        </w:rPr>
        <w:t xml:space="preserve">цьому, </w:t>
      </w:r>
      <w:r>
        <w:rPr>
          <w:color w:val="231F20"/>
        </w:rPr>
        <w:t xml:space="preserve">обсяг останнього переважає). Відповідно до ч. 1 </w:t>
      </w:r>
      <w:r>
        <w:rPr>
          <w:color w:val="231F20"/>
          <w:spacing w:val="-6"/>
        </w:rPr>
        <w:t xml:space="preserve">ст. </w:t>
      </w:r>
      <w:r>
        <w:rPr>
          <w:color w:val="231F20"/>
        </w:rPr>
        <w:t>92</w:t>
      </w:r>
      <w:r>
        <w:rPr>
          <w:color w:val="231F20"/>
          <w:spacing w:val="18"/>
        </w:rPr>
        <w:t xml:space="preserve"> </w:t>
      </w:r>
      <w:r>
        <w:rPr>
          <w:color w:val="231F20"/>
        </w:rPr>
        <w:t>Закону</w:t>
      </w:r>
    </w:p>
    <w:p w14:paraId="1E412CD8" w14:textId="77777777" w:rsidR="00DE575E" w:rsidRDefault="002E7560">
      <w:pPr>
        <w:pStyle w:val="BodyText"/>
        <w:spacing w:before="4"/>
        <w:ind w:left="533"/>
      </w:pPr>
      <w:r>
        <w:rPr>
          <w:color w:val="231F20"/>
        </w:rPr>
        <w:t>«Про державну службу» до патронатної служби належать посади:</w:t>
      </w:r>
    </w:p>
    <w:p w14:paraId="456227A5" w14:textId="77777777" w:rsidR="00DE575E" w:rsidRDefault="002E7560">
      <w:pPr>
        <w:pStyle w:val="BodyText"/>
        <w:spacing w:before="13" w:line="252" w:lineRule="auto"/>
        <w:ind w:left="533" w:right="126"/>
        <w:jc w:val="both"/>
      </w:pPr>
      <w:r>
        <w:rPr>
          <w:color w:val="231F20"/>
        </w:rPr>
        <w:t xml:space="preserve">«радників, помічників, уповноважених та прес-секретаря Прези- дента </w:t>
      </w:r>
      <w:r>
        <w:rPr>
          <w:color w:val="231F20"/>
          <w:spacing w:val="-3"/>
        </w:rPr>
        <w:t xml:space="preserve">України, </w:t>
      </w:r>
      <w:r>
        <w:rPr>
          <w:color w:val="231F20"/>
        </w:rPr>
        <w:t xml:space="preserve">працівників секретаріатів </w:t>
      </w:r>
      <w:r>
        <w:rPr>
          <w:color w:val="231F20"/>
          <w:spacing w:val="-3"/>
        </w:rPr>
        <w:t xml:space="preserve">Голови </w:t>
      </w:r>
      <w:r>
        <w:rPr>
          <w:color w:val="231F20"/>
        </w:rPr>
        <w:t xml:space="preserve">Верховної Ради </w:t>
      </w:r>
      <w:r>
        <w:rPr>
          <w:color w:val="231F20"/>
          <w:spacing w:val="-3"/>
        </w:rPr>
        <w:t>України,</w:t>
      </w:r>
      <w:r>
        <w:rPr>
          <w:color w:val="231F20"/>
          <w:spacing w:val="-12"/>
        </w:rPr>
        <w:t xml:space="preserve"> </w:t>
      </w:r>
      <w:r>
        <w:rPr>
          <w:color w:val="231F20"/>
        </w:rPr>
        <w:t>його</w:t>
      </w:r>
      <w:r>
        <w:rPr>
          <w:color w:val="231F20"/>
          <w:spacing w:val="-12"/>
        </w:rPr>
        <w:t xml:space="preserve"> </w:t>
      </w:r>
      <w:r>
        <w:rPr>
          <w:color w:val="231F20"/>
        </w:rPr>
        <w:t>Першого</w:t>
      </w:r>
      <w:r>
        <w:rPr>
          <w:color w:val="231F20"/>
          <w:spacing w:val="-12"/>
        </w:rPr>
        <w:t xml:space="preserve"> </w:t>
      </w:r>
      <w:r>
        <w:rPr>
          <w:color w:val="231F20"/>
        </w:rPr>
        <w:t>заступника</w:t>
      </w:r>
      <w:r>
        <w:rPr>
          <w:color w:val="231F20"/>
          <w:spacing w:val="-12"/>
        </w:rPr>
        <w:t xml:space="preserve"> </w:t>
      </w:r>
      <w:r>
        <w:rPr>
          <w:color w:val="231F20"/>
        </w:rPr>
        <w:t>та</w:t>
      </w:r>
      <w:r>
        <w:rPr>
          <w:color w:val="231F20"/>
          <w:spacing w:val="-12"/>
        </w:rPr>
        <w:t xml:space="preserve"> </w:t>
      </w:r>
      <w:r>
        <w:rPr>
          <w:color w:val="231F20"/>
        </w:rPr>
        <w:t>заступника,</w:t>
      </w:r>
      <w:r>
        <w:rPr>
          <w:color w:val="231F20"/>
          <w:spacing w:val="-12"/>
        </w:rPr>
        <w:t xml:space="preserve"> </w:t>
      </w:r>
      <w:r>
        <w:rPr>
          <w:color w:val="231F20"/>
        </w:rPr>
        <w:t>працівників</w:t>
      </w:r>
      <w:r>
        <w:rPr>
          <w:color w:val="231F20"/>
          <w:spacing w:val="-12"/>
        </w:rPr>
        <w:t xml:space="preserve"> </w:t>
      </w:r>
      <w:r>
        <w:rPr>
          <w:color w:val="231F20"/>
        </w:rPr>
        <w:t>секре- таріатів</w:t>
      </w:r>
      <w:r>
        <w:rPr>
          <w:color w:val="231F20"/>
          <w:spacing w:val="-8"/>
        </w:rPr>
        <w:t xml:space="preserve"> </w:t>
      </w:r>
      <w:r>
        <w:rPr>
          <w:color w:val="231F20"/>
        </w:rPr>
        <w:t>депутатських</w:t>
      </w:r>
      <w:r>
        <w:rPr>
          <w:color w:val="231F20"/>
          <w:spacing w:val="-8"/>
        </w:rPr>
        <w:t xml:space="preserve"> </w:t>
      </w:r>
      <w:r>
        <w:rPr>
          <w:color w:val="231F20"/>
        </w:rPr>
        <w:t>фракцій</w:t>
      </w:r>
      <w:r>
        <w:rPr>
          <w:color w:val="231F20"/>
          <w:spacing w:val="-8"/>
        </w:rPr>
        <w:t xml:space="preserve"> </w:t>
      </w:r>
      <w:r>
        <w:rPr>
          <w:color w:val="231F20"/>
        </w:rPr>
        <w:t>(депутатських</w:t>
      </w:r>
      <w:r>
        <w:rPr>
          <w:color w:val="231F20"/>
          <w:spacing w:val="-8"/>
        </w:rPr>
        <w:t xml:space="preserve"> </w:t>
      </w:r>
      <w:r>
        <w:rPr>
          <w:color w:val="231F20"/>
        </w:rPr>
        <w:t>груп)</w:t>
      </w:r>
      <w:r>
        <w:rPr>
          <w:color w:val="231F20"/>
          <w:spacing w:val="-8"/>
        </w:rPr>
        <w:t xml:space="preserve"> </w:t>
      </w:r>
      <w:r>
        <w:rPr>
          <w:color w:val="231F20"/>
        </w:rPr>
        <w:t>у</w:t>
      </w:r>
      <w:r>
        <w:rPr>
          <w:color w:val="231F20"/>
          <w:spacing w:val="-7"/>
        </w:rPr>
        <w:t xml:space="preserve"> </w:t>
      </w:r>
      <w:r>
        <w:rPr>
          <w:color w:val="231F20"/>
        </w:rPr>
        <w:t>Верховній</w:t>
      </w:r>
      <w:r>
        <w:rPr>
          <w:color w:val="231F20"/>
          <w:spacing w:val="-8"/>
        </w:rPr>
        <w:t xml:space="preserve"> </w:t>
      </w:r>
      <w:r>
        <w:rPr>
          <w:color w:val="231F20"/>
        </w:rPr>
        <w:t>Ра</w:t>
      </w:r>
      <w:r>
        <w:rPr>
          <w:color w:val="231F20"/>
        </w:rPr>
        <w:t xml:space="preserve">ді </w:t>
      </w:r>
      <w:r>
        <w:rPr>
          <w:color w:val="231F20"/>
          <w:spacing w:val="-3"/>
        </w:rPr>
        <w:t xml:space="preserve">України, </w:t>
      </w:r>
      <w:r>
        <w:rPr>
          <w:color w:val="231F20"/>
        </w:rPr>
        <w:t xml:space="preserve">працівників патронатних служб </w:t>
      </w:r>
      <w:r>
        <w:rPr>
          <w:color w:val="231F20"/>
          <w:spacing w:val="-3"/>
        </w:rPr>
        <w:t xml:space="preserve">Прем’єр-міністра України </w:t>
      </w:r>
      <w:r>
        <w:rPr>
          <w:color w:val="231F20"/>
        </w:rPr>
        <w:t xml:space="preserve">та інших членів Кабінету Міністрів </w:t>
      </w:r>
      <w:r>
        <w:rPr>
          <w:color w:val="231F20"/>
          <w:spacing w:val="-3"/>
        </w:rPr>
        <w:t>України,</w:t>
      </w:r>
      <w:r>
        <w:rPr>
          <w:color w:val="231F20"/>
          <w:spacing w:val="-34"/>
        </w:rPr>
        <w:t xml:space="preserve"> </w:t>
      </w:r>
      <w:r>
        <w:rPr>
          <w:color w:val="231F20"/>
        </w:rPr>
        <w:t>помічників-консультан- тів</w:t>
      </w:r>
      <w:r>
        <w:rPr>
          <w:color w:val="231F20"/>
          <w:spacing w:val="-8"/>
        </w:rPr>
        <w:t xml:space="preserve"> </w:t>
      </w:r>
      <w:r>
        <w:rPr>
          <w:color w:val="231F20"/>
        </w:rPr>
        <w:t>народних</w:t>
      </w:r>
      <w:r>
        <w:rPr>
          <w:color w:val="231F20"/>
          <w:spacing w:val="-8"/>
        </w:rPr>
        <w:t xml:space="preserve"> </w:t>
      </w:r>
      <w:r>
        <w:rPr>
          <w:color w:val="231F20"/>
        </w:rPr>
        <w:t>депутатів</w:t>
      </w:r>
      <w:r>
        <w:rPr>
          <w:color w:val="231F20"/>
          <w:spacing w:val="-8"/>
        </w:rPr>
        <w:t xml:space="preserve"> </w:t>
      </w:r>
      <w:r>
        <w:rPr>
          <w:color w:val="231F20"/>
          <w:spacing w:val="-3"/>
        </w:rPr>
        <w:t>України,</w:t>
      </w:r>
      <w:r>
        <w:rPr>
          <w:color w:val="231F20"/>
          <w:spacing w:val="-8"/>
        </w:rPr>
        <w:t xml:space="preserve"> </w:t>
      </w:r>
      <w:r>
        <w:rPr>
          <w:color w:val="231F20"/>
        </w:rPr>
        <w:t>помічників</w:t>
      </w:r>
      <w:r>
        <w:rPr>
          <w:color w:val="231F20"/>
          <w:spacing w:val="-8"/>
        </w:rPr>
        <w:t xml:space="preserve"> </w:t>
      </w:r>
      <w:r>
        <w:rPr>
          <w:color w:val="231F20"/>
        </w:rPr>
        <w:t>та</w:t>
      </w:r>
      <w:r>
        <w:rPr>
          <w:color w:val="231F20"/>
          <w:spacing w:val="-8"/>
        </w:rPr>
        <w:t xml:space="preserve"> </w:t>
      </w:r>
      <w:r>
        <w:rPr>
          <w:color w:val="231F20"/>
        </w:rPr>
        <w:t>наукових</w:t>
      </w:r>
      <w:r>
        <w:rPr>
          <w:color w:val="231F20"/>
          <w:spacing w:val="-8"/>
        </w:rPr>
        <w:t xml:space="preserve"> </w:t>
      </w:r>
      <w:r>
        <w:rPr>
          <w:color w:val="231F20"/>
          <w:spacing w:val="-3"/>
        </w:rPr>
        <w:t xml:space="preserve">консультан- </w:t>
      </w:r>
      <w:r>
        <w:rPr>
          <w:color w:val="231F20"/>
        </w:rPr>
        <w:t xml:space="preserve">тів </w:t>
      </w:r>
      <w:r>
        <w:rPr>
          <w:color w:val="231F20"/>
          <w:spacing w:val="-3"/>
        </w:rPr>
        <w:t xml:space="preserve">суддів </w:t>
      </w:r>
      <w:r>
        <w:rPr>
          <w:color w:val="231F20"/>
        </w:rPr>
        <w:t xml:space="preserve">Конституційного </w:t>
      </w:r>
      <w:r>
        <w:rPr>
          <w:color w:val="231F20"/>
          <w:spacing w:val="-5"/>
        </w:rPr>
        <w:t xml:space="preserve">Суду </w:t>
      </w:r>
      <w:r>
        <w:rPr>
          <w:color w:val="231F20"/>
          <w:spacing w:val="-3"/>
        </w:rPr>
        <w:t xml:space="preserve">України, </w:t>
      </w:r>
      <w:r>
        <w:rPr>
          <w:color w:val="231F20"/>
        </w:rPr>
        <w:t xml:space="preserve">помічників </w:t>
      </w:r>
      <w:r>
        <w:rPr>
          <w:color w:val="231F20"/>
          <w:spacing w:val="-3"/>
        </w:rPr>
        <w:t>суд</w:t>
      </w:r>
      <w:r>
        <w:rPr>
          <w:color w:val="231F20"/>
          <w:spacing w:val="-3"/>
        </w:rPr>
        <w:t xml:space="preserve">дів, </w:t>
      </w:r>
      <w:r>
        <w:rPr>
          <w:color w:val="231F20"/>
        </w:rPr>
        <w:t>а також посади патронатних служб в інших державних органах»</w:t>
      </w:r>
      <w:r>
        <w:rPr>
          <w:color w:val="231F20"/>
          <w:position w:val="7"/>
          <w:sz w:val="12"/>
        </w:rPr>
        <w:t>1</w:t>
      </w:r>
      <w:r>
        <w:rPr>
          <w:color w:val="231F20"/>
        </w:rPr>
        <w:t>. Як окрема підгрупа</w:t>
      </w:r>
      <w:r>
        <w:rPr>
          <w:color w:val="231F20"/>
          <w:spacing w:val="-9"/>
        </w:rPr>
        <w:t xml:space="preserve"> </w:t>
      </w:r>
      <w:r>
        <w:rPr>
          <w:color w:val="231F20"/>
        </w:rPr>
        <w:t>публічних</w:t>
      </w:r>
      <w:r>
        <w:rPr>
          <w:color w:val="231F20"/>
          <w:spacing w:val="-9"/>
        </w:rPr>
        <w:t xml:space="preserve"> </w:t>
      </w:r>
      <w:r>
        <w:rPr>
          <w:color w:val="231F20"/>
        </w:rPr>
        <w:t>службовців</w:t>
      </w:r>
      <w:r>
        <w:rPr>
          <w:color w:val="231F20"/>
          <w:spacing w:val="-9"/>
        </w:rPr>
        <w:t xml:space="preserve"> </w:t>
      </w:r>
      <w:r>
        <w:rPr>
          <w:color w:val="231F20"/>
        </w:rPr>
        <w:t>виділяється</w:t>
      </w:r>
      <w:r>
        <w:rPr>
          <w:color w:val="231F20"/>
          <w:spacing w:val="-9"/>
        </w:rPr>
        <w:t xml:space="preserve"> </w:t>
      </w:r>
      <w:r>
        <w:rPr>
          <w:color w:val="231F20"/>
        </w:rPr>
        <w:t>патронатна</w:t>
      </w:r>
      <w:r>
        <w:rPr>
          <w:color w:val="231F20"/>
          <w:spacing w:val="-9"/>
        </w:rPr>
        <w:t xml:space="preserve"> </w:t>
      </w:r>
      <w:r>
        <w:rPr>
          <w:color w:val="231F20"/>
        </w:rPr>
        <w:t>служба</w:t>
      </w:r>
      <w:r>
        <w:rPr>
          <w:color w:val="231F20"/>
          <w:spacing w:val="-9"/>
        </w:rPr>
        <w:t xml:space="preserve"> </w:t>
      </w:r>
      <w:r>
        <w:rPr>
          <w:color w:val="231F20"/>
        </w:rPr>
        <w:t xml:space="preserve">саме в «державних органах», хоча в органах місцевого самоврядування така теж має місце. Причина в </w:t>
      </w:r>
      <w:r>
        <w:rPr>
          <w:color w:val="231F20"/>
          <w:spacing w:val="-4"/>
        </w:rPr>
        <w:t xml:space="preserve">тому, </w:t>
      </w:r>
      <w:r>
        <w:rPr>
          <w:color w:val="231F20"/>
        </w:rPr>
        <w:t>що чинне законодавство чітко відокремлює державну службу від пов’язаної з нею патронатної діяльності, чого не здійснено для муніципальної</w:t>
      </w:r>
      <w:r>
        <w:rPr>
          <w:color w:val="231F20"/>
          <w:spacing w:val="-6"/>
        </w:rPr>
        <w:t xml:space="preserve"> </w:t>
      </w:r>
      <w:r>
        <w:rPr>
          <w:color w:val="231F20"/>
        </w:rPr>
        <w:t>служби;</w:t>
      </w:r>
    </w:p>
    <w:p w14:paraId="6197C23A" w14:textId="77777777" w:rsidR="00DE575E" w:rsidRDefault="002E7560">
      <w:pPr>
        <w:spacing w:before="7" w:line="252" w:lineRule="auto"/>
        <w:ind w:left="533" w:right="127" w:firstLine="283"/>
        <w:jc w:val="both"/>
        <w:rPr>
          <w:sz w:val="21"/>
        </w:rPr>
      </w:pPr>
      <w:r>
        <w:rPr>
          <w:b/>
          <w:i/>
          <w:color w:val="231F20"/>
          <w:sz w:val="21"/>
        </w:rPr>
        <w:t xml:space="preserve">6) служба в органах влади Автономної Республіки Крим </w:t>
      </w:r>
      <w:r>
        <w:rPr>
          <w:color w:val="231F20"/>
          <w:sz w:val="21"/>
        </w:rPr>
        <w:t xml:space="preserve">(далі – АРК) </w:t>
      </w:r>
      <w:r>
        <w:rPr>
          <w:i/>
          <w:color w:val="231F20"/>
          <w:sz w:val="21"/>
        </w:rPr>
        <w:t>часто не виокремлюється як самостійний вид п</w:t>
      </w:r>
      <w:r>
        <w:rPr>
          <w:i/>
          <w:color w:val="231F20"/>
          <w:sz w:val="21"/>
        </w:rPr>
        <w:t>ублічної служби</w:t>
      </w:r>
      <w:r>
        <w:rPr>
          <w:color w:val="231F20"/>
          <w:sz w:val="21"/>
        </w:rPr>
        <w:t>, хоча цього вимагає статусна відособленість місця відповід- них органів в системі носіїв владних повноважень. Причини такого підходу</w:t>
      </w:r>
      <w:r>
        <w:rPr>
          <w:color w:val="231F20"/>
          <w:spacing w:val="-7"/>
          <w:sz w:val="21"/>
        </w:rPr>
        <w:t xml:space="preserve"> </w:t>
      </w:r>
      <w:r>
        <w:rPr>
          <w:color w:val="231F20"/>
          <w:sz w:val="21"/>
        </w:rPr>
        <w:t>полягають</w:t>
      </w:r>
      <w:r>
        <w:rPr>
          <w:color w:val="231F20"/>
          <w:spacing w:val="-7"/>
          <w:sz w:val="21"/>
        </w:rPr>
        <w:t xml:space="preserve"> </w:t>
      </w:r>
      <w:r>
        <w:rPr>
          <w:color w:val="231F20"/>
          <w:sz w:val="21"/>
        </w:rPr>
        <w:t>у</w:t>
      </w:r>
      <w:r>
        <w:rPr>
          <w:color w:val="231F20"/>
          <w:spacing w:val="-7"/>
          <w:sz w:val="21"/>
        </w:rPr>
        <w:t xml:space="preserve"> </w:t>
      </w:r>
      <w:r>
        <w:rPr>
          <w:color w:val="231F20"/>
          <w:spacing w:val="-4"/>
          <w:sz w:val="21"/>
        </w:rPr>
        <w:t>тому,</w:t>
      </w:r>
      <w:r>
        <w:rPr>
          <w:color w:val="231F20"/>
          <w:spacing w:val="-7"/>
          <w:sz w:val="21"/>
        </w:rPr>
        <w:t xml:space="preserve"> </w:t>
      </w:r>
      <w:r>
        <w:rPr>
          <w:color w:val="231F20"/>
          <w:sz w:val="21"/>
        </w:rPr>
        <w:t>що:</w:t>
      </w:r>
      <w:r>
        <w:rPr>
          <w:color w:val="231F20"/>
          <w:spacing w:val="-7"/>
          <w:sz w:val="21"/>
        </w:rPr>
        <w:t xml:space="preserve"> </w:t>
      </w:r>
      <w:r>
        <w:rPr>
          <w:color w:val="231F20"/>
          <w:sz w:val="21"/>
        </w:rPr>
        <w:t>а)</w:t>
      </w:r>
      <w:r>
        <w:rPr>
          <w:color w:val="231F20"/>
          <w:spacing w:val="-7"/>
          <w:sz w:val="21"/>
        </w:rPr>
        <w:t xml:space="preserve"> </w:t>
      </w:r>
      <w:r>
        <w:rPr>
          <w:i/>
          <w:color w:val="231F20"/>
          <w:sz w:val="21"/>
        </w:rPr>
        <w:t>відсутнє</w:t>
      </w:r>
      <w:r>
        <w:rPr>
          <w:i/>
          <w:color w:val="231F20"/>
          <w:spacing w:val="-7"/>
          <w:sz w:val="21"/>
        </w:rPr>
        <w:t xml:space="preserve"> </w:t>
      </w:r>
      <w:r>
        <w:rPr>
          <w:i/>
          <w:color w:val="231F20"/>
          <w:sz w:val="21"/>
        </w:rPr>
        <w:t>спеціальне</w:t>
      </w:r>
      <w:r>
        <w:rPr>
          <w:i/>
          <w:color w:val="231F20"/>
          <w:spacing w:val="-7"/>
          <w:sz w:val="21"/>
        </w:rPr>
        <w:t xml:space="preserve"> </w:t>
      </w:r>
      <w:r>
        <w:rPr>
          <w:i/>
          <w:color w:val="231F20"/>
          <w:sz w:val="21"/>
        </w:rPr>
        <w:t>законодавство</w:t>
      </w:r>
      <w:r>
        <w:rPr>
          <w:color w:val="231F20"/>
          <w:sz w:val="21"/>
        </w:rPr>
        <w:t>, яке регламентувало б проходження служби в орган</w:t>
      </w:r>
      <w:r>
        <w:rPr>
          <w:color w:val="231F20"/>
          <w:sz w:val="21"/>
        </w:rPr>
        <w:t xml:space="preserve">ах влади АРК;   б) </w:t>
      </w:r>
      <w:r>
        <w:rPr>
          <w:i/>
          <w:color w:val="231F20"/>
          <w:sz w:val="21"/>
        </w:rPr>
        <w:t>до 2016 року така служба прирівнювалася постановою Уряду</w:t>
      </w:r>
      <w:r>
        <w:rPr>
          <w:color w:val="231F20"/>
          <w:position w:val="7"/>
          <w:sz w:val="12"/>
        </w:rPr>
        <w:t xml:space="preserve">2 </w:t>
      </w:r>
      <w:r>
        <w:rPr>
          <w:i/>
          <w:color w:val="231F20"/>
          <w:sz w:val="21"/>
        </w:rPr>
        <w:t>до державної служби</w:t>
      </w:r>
      <w:r>
        <w:rPr>
          <w:color w:val="231F20"/>
          <w:sz w:val="21"/>
        </w:rPr>
        <w:t xml:space="preserve">. При цьому під ототожнення підпадало чимало </w:t>
      </w:r>
      <w:r>
        <w:rPr>
          <w:color w:val="231F20"/>
          <w:spacing w:val="-3"/>
          <w:sz w:val="21"/>
        </w:rPr>
        <w:t xml:space="preserve">суб’єктів </w:t>
      </w:r>
      <w:r>
        <w:rPr>
          <w:color w:val="231F20"/>
          <w:sz w:val="21"/>
        </w:rPr>
        <w:t>із переважанням ознак політичних і патронатних функціо- нерів</w:t>
      </w:r>
      <w:r>
        <w:rPr>
          <w:color w:val="231F20"/>
          <w:spacing w:val="-5"/>
          <w:sz w:val="21"/>
        </w:rPr>
        <w:t xml:space="preserve"> </w:t>
      </w:r>
      <w:r>
        <w:rPr>
          <w:color w:val="231F20"/>
          <w:sz w:val="21"/>
        </w:rPr>
        <w:t>(на</w:t>
      </w:r>
      <w:r>
        <w:rPr>
          <w:color w:val="231F20"/>
          <w:spacing w:val="-5"/>
          <w:sz w:val="21"/>
        </w:rPr>
        <w:t xml:space="preserve"> </w:t>
      </w:r>
      <w:r>
        <w:rPr>
          <w:color w:val="231F20"/>
          <w:sz w:val="21"/>
        </w:rPr>
        <w:t>рівні</w:t>
      </w:r>
      <w:r>
        <w:rPr>
          <w:color w:val="231F20"/>
          <w:spacing w:val="-5"/>
          <w:sz w:val="21"/>
        </w:rPr>
        <w:t xml:space="preserve"> </w:t>
      </w:r>
      <w:r>
        <w:rPr>
          <w:color w:val="231F20"/>
          <w:sz w:val="21"/>
        </w:rPr>
        <w:t>АРК):</w:t>
      </w:r>
      <w:r>
        <w:rPr>
          <w:color w:val="231F20"/>
          <w:spacing w:val="-5"/>
          <w:sz w:val="21"/>
        </w:rPr>
        <w:t xml:space="preserve"> </w:t>
      </w:r>
      <w:r>
        <w:rPr>
          <w:color w:val="231F20"/>
          <w:spacing w:val="-3"/>
          <w:sz w:val="21"/>
        </w:rPr>
        <w:t>Голова</w:t>
      </w:r>
      <w:r>
        <w:rPr>
          <w:color w:val="231F20"/>
          <w:spacing w:val="-5"/>
          <w:sz w:val="21"/>
        </w:rPr>
        <w:t xml:space="preserve"> </w:t>
      </w:r>
      <w:r>
        <w:rPr>
          <w:color w:val="231F20"/>
          <w:sz w:val="21"/>
        </w:rPr>
        <w:t>Верховної</w:t>
      </w:r>
      <w:r>
        <w:rPr>
          <w:color w:val="231F20"/>
          <w:spacing w:val="-5"/>
          <w:sz w:val="21"/>
        </w:rPr>
        <w:t xml:space="preserve"> </w:t>
      </w:r>
      <w:r>
        <w:rPr>
          <w:color w:val="231F20"/>
          <w:sz w:val="21"/>
        </w:rPr>
        <w:t>Ради</w:t>
      </w:r>
      <w:r>
        <w:rPr>
          <w:color w:val="231F20"/>
          <w:spacing w:val="-5"/>
          <w:sz w:val="21"/>
        </w:rPr>
        <w:t xml:space="preserve"> </w:t>
      </w:r>
      <w:r>
        <w:rPr>
          <w:color w:val="231F20"/>
          <w:sz w:val="21"/>
        </w:rPr>
        <w:t>АРК</w:t>
      </w:r>
      <w:r>
        <w:rPr>
          <w:color w:val="231F20"/>
          <w:spacing w:val="-5"/>
          <w:sz w:val="21"/>
        </w:rPr>
        <w:t xml:space="preserve"> </w:t>
      </w:r>
      <w:r>
        <w:rPr>
          <w:color w:val="231F20"/>
          <w:sz w:val="21"/>
        </w:rPr>
        <w:t>т</w:t>
      </w:r>
      <w:r>
        <w:rPr>
          <w:color w:val="231F20"/>
          <w:sz w:val="21"/>
        </w:rPr>
        <w:t>а</w:t>
      </w:r>
      <w:r>
        <w:rPr>
          <w:color w:val="231F20"/>
          <w:spacing w:val="-5"/>
          <w:sz w:val="21"/>
        </w:rPr>
        <w:t xml:space="preserve"> </w:t>
      </w:r>
      <w:r>
        <w:rPr>
          <w:color w:val="231F20"/>
          <w:sz w:val="21"/>
        </w:rPr>
        <w:t>його</w:t>
      </w:r>
      <w:r>
        <w:rPr>
          <w:color w:val="231F20"/>
          <w:spacing w:val="-5"/>
          <w:sz w:val="21"/>
        </w:rPr>
        <w:t xml:space="preserve"> </w:t>
      </w:r>
      <w:r>
        <w:rPr>
          <w:color w:val="231F20"/>
          <w:sz w:val="21"/>
        </w:rPr>
        <w:t>заступники;</w:t>
      </w:r>
    </w:p>
    <w:p w14:paraId="16030A62" w14:textId="77777777" w:rsidR="00DE575E" w:rsidRDefault="00DE575E">
      <w:pPr>
        <w:pStyle w:val="BodyText"/>
        <w:rPr>
          <w:sz w:val="20"/>
        </w:rPr>
      </w:pPr>
    </w:p>
    <w:p w14:paraId="0DB206E1" w14:textId="2143F3DA" w:rsidR="00DE575E" w:rsidRDefault="002E7560">
      <w:pPr>
        <w:pStyle w:val="BodyText"/>
        <w:spacing w:before="10"/>
        <w:rPr>
          <w:sz w:val="13"/>
        </w:rPr>
      </w:pPr>
      <w:r>
        <w:rPr>
          <w:noProof/>
        </w:rPr>
        <mc:AlternateContent>
          <mc:Choice Requires="wps">
            <w:drawing>
              <wp:anchor distT="0" distB="0" distL="0" distR="0" simplePos="0" relativeHeight="13480" behindDoc="0" locked="0" layoutInCell="1" allowOverlap="1" wp14:anchorId="63874CF5" wp14:editId="13AE501C">
                <wp:simplePos x="0" y="0"/>
                <wp:positionH relativeFrom="page">
                  <wp:posOffset>719455</wp:posOffset>
                </wp:positionH>
                <wp:positionV relativeFrom="paragraph">
                  <wp:posOffset>131445</wp:posOffset>
                </wp:positionV>
                <wp:extent cx="1080135" cy="0"/>
                <wp:effectExtent l="8255" t="17145" r="29210" b="20955"/>
                <wp:wrapTopAndBottom/>
                <wp:docPr id="54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155E" id="Line_x0020_543" o:spid="_x0000_s1026" style="position:absolute;z-index:13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5pt" to="141.7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KwxiI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" strokecolor="#231f20" strokeweight=".5pt">
                <w10:wrap type="topAndBottom" anchorx="page"/>
              </v:line>
            </w:pict>
          </mc:Fallback>
        </mc:AlternateContent>
      </w:r>
    </w:p>
    <w:p w14:paraId="01BE9ED6" w14:textId="77777777" w:rsidR="00DE575E" w:rsidRDefault="002E7560">
      <w:pPr>
        <w:spacing w:line="162" w:lineRule="exact"/>
        <w:ind w:left="533"/>
        <w:rPr>
          <w:sz w:val="16"/>
        </w:rPr>
      </w:pPr>
      <w:r>
        <w:rPr>
          <w:color w:val="231F20"/>
          <w:position w:val="5"/>
          <w:sz w:val="9"/>
        </w:rPr>
        <w:t xml:space="preserve">1 </w:t>
      </w:r>
      <w:r>
        <w:rPr>
          <w:color w:val="231F20"/>
          <w:sz w:val="16"/>
        </w:rPr>
        <w:t>Про державну службу: Закон України від 15.12.2016 р. № 889-VIII.</w:t>
      </w:r>
    </w:p>
    <w:p w14:paraId="08E03AF5" w14:textId="77777777" w:rsidR="00DE575E" w:rsidRDefault="002E7560">
      <w:pPr>
        <w:spacing w:before="23" w:line="204" w:lineRule="auto"/>
        <w:ind w:left="533" w:right="128"/>
        <w:jc w:val="both"/>
        <w:rPr>
          <w:sz w:val="16"/>
        </w:rPr>
      </w:pPr>
      <w:r>
        <w:rPr>
          <w:color w:val="231F20"/>
          <w:position w:val="5"/>
          <w:sz w:val="9"/>
        </w:rPr>
        <w:t xml:space="preserve">2 </w:t>
      </w:r>
      <w:r>
        <w:rPr>
          <w:color w:val="231F20"/>
          <w:sz w:val="16"/>
        </w:rPr>
        <w:t>Про віднесення посад працівників органів влади Автономної Республіки Крим до відповідних категорій посад державних службовців та визнання такими, що втратили чинність, деяких актів Кабінету Міністрів України: Постанова Кабінету Міністрів України від 23 тра</w:t>
      </w:r>
      <w:r>
        <w:rPr>
          <w:color w:val="231F20"/>
          <w:sz w:val="16"/>
        </w:rPr>
        <w:t>вня 2012 р. № 493 (втратила чинність).</w:t>
      </w:r>
    </w:p>
    <w:p w14:paraId="1D4279DD" w14:textId="77777777" w:rsidR="00DE575E" w:rsidRDefault="00DE575E">
      <w:pPr>
        <w:pStyle w:val="BodyText"/>
        <w:spacing w:before="6"/>
        <w:rPr>
          <w:sz w:val="12"/>
        </w:rPr>
      </w:pPr>
    </w:p>
    <w:p w14:paraId="1A49C7E1" w14:textId="77777777" w:rsidR="00DE575E" w:rsidRDefault="002E7560">
      <w:pPr>
        <w:spacing w:before="92"/>
        <w:ind w:left="533"/>
        <w:rPr>
          <w:rFonts w:ascii="Times New Roman"/>
          <w:sz w:val="20"/>
        </w:rPr>
      </w:pPr>
      <w:r>
        <w:rPr>
          <w:rFonts w:ascii="Times New Roman"/>
          <w:color w:val="231F20"/>
          <w:sz w:val="20"/>
        </w:rPr>
        <w:t>346</w:t>
      </w:r>
    </w:p>
    <w:p w14:paraId="1B85BA9A" w14:textId="77777777" w:rsidR="00DE575E" w:rsidRDefault="00DE575E">
      <w:pPr>
        <w:rPr>
          <w:rFonts w:ascii="Times New Roman"/>
          <w:sz w:val="20"/>
        </w:rPr>
        <w:sectPr w:rsidR="00DE575E">
          <w:pgSz w:w="8510" w:h="12760"/>
          <w:pgMar w:top="660" w:right="720" w:bottom="280" w:left="600" w:header="720" w:footer="720" w:gutter="0"/>
          <w:cols w:space="720"/>
        </w:sectPr>
      </w:pPr>
    </w:p>
    <w:p w14:paraId="74545615"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62776BA9"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1A6A1694" w14:textId="37B5B7F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8A04A24" wp14:editId="6C73F61D">
                <wp:extent cx="4140200" cy="6350"/>
                <wp:effectExtent l="0" t="0" r="12700" b="6350"/>
                <wp:docPr id="54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43" name="Line 54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2ADBBC" id="Group_x0020_54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8b24NfQIAAJgFAAAOAAAA&#10;AAAAAAAAAAAAACwCAABkcnMvZTJvRG9jLnhtbFBLAQItABQABgAIAAAAIQBMp7CQ2QAAAAMBAAAP&#10;AAAAAAAAAAAAAAAAANUEAABkcnMvZG93bnJldi54bWxQSwUGAAAAAAQABADzAAAA2wUAAAAA&#10;">
                <v:line id="Line_x0020_54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PC28cAAADcAAAADwAAAGRycy9kb3ducmV2LnhtbESP3WrCQBSE7wXfYTkFb0rdtKlFoqtI&#10;oSC98C8+wDF7TEJ3z8bsatI+fbdQ8HKYmW+Y+bK3Rtyo9bVjBc/jBARx4XTNpYJj/vE0BeEDskbj&#10;mBR8k4flYjiYY6Zdx3u6HUIpIoR9hgqqEJpMSl9UZNGPXUMcvbNrLYYo21LqFrsIt0a+JMmbtFhz&#10;XKiwofeKiq/D1SrIL4/B7Lafpsu3p1SeLpv057pRavTQr2YgAvXhHv5vr7WCyWs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s8LbxwAAANwAAAAPAAAAAAAA&#10;AAAAAAAAAKECAABkcnMvZG93bnJldi54bWxQSwUGAAAAAAQABAD5AAAAlQMAAAAA&#10;" strokecolor="#231f20" strokeweight=".5pt"/>
                <w10:anchorlock/>
              </v:group>
            </w:pict>
          </mc:Fallback>
        </mc:AlternateContent>
      </w:r>
    </w:p>
    <w:p w14:paraId="72F0D99E" w14:textId="77777777" w:rsidR="00DE575E" w:rsidRDefault="00DE575E">
      <w:pPr>
        <w:pStyle w:val="BodyText"/>
        <w:spacing w:before="7"/>
        <w:rPr>
          <w:rFonts w:ascii="AdonisC"/>
          <w:i/>
          <w:sz w:val="19"/>
        </w:rPr>
      </w:pPr>
    </w:p>
    <w:p w14:paraId="1CD988E6" w14:textId="77777777" w:rsidR="00DE575E" w:rsidRDefault="002E7560">
      <w:pPr>
        <w:pStyle w:val="BodyText"/>
        <w:spacing w:before="1" w:line="252" w:lineRule="auto"/>
        <w:ind w:left="250" w:right="411"/>
        <w:jc w:val="both"/>
      </w:pPr>
      <w:r>
        <w:rPr>
          <w:color w:val="231F20"/>
          <w:spacing w:val="-3"/>
        </w:rPr>
        <w:t xml:space="preserve">Голова </w:t>
      </w:r>
      <w:r>
        <w:rPr>
          <w:color w:val="231F20"/>
        </w:rPr>
        <w:t>Ради міністрів АРК та його заступники; помічник та</w:t>
      </w:r>
      <w:r>
        <w:rPr>
          <w:color w:val="231F20"/>
        </w:rPr>
        <w:t xml:space="preserve"> радник </w:t>
      </w:r>
      <w:r>
        <w:rPr>
          <w:color w:val="231F20"/>
          <w:spacing w:val="-3"/>
        </w:rPr>
        <w:t xml:space="preserve">Голови </w:t>
      </w:r>
      <w:r>
        <w:rPr>
          <w:color w:val="231F20"/>
        </w:rPr>
        <w:t>Верховної Ради АРК тощо. Чинне загальнослужбове законо- давство не передбачає можливості подібного прирівнювання, хоча з часом (при виникненні практичної нагальності у правовому регу- люванні) відповідна практика (у більш зваженому та дифере</w:t>
      </w:r>
      <w:r>
        <w:rPr>
          <w:color w:val="231F20"/>
        </w:rPr>
        <w:t xml:space="preserve">нційо- ваному вираженні), переконані, </w:t>
      </w:r>
      <w:r>
        <w:rPr>
          <w:color w:val="231F20"/>
          <w:spacing w:val="-4"/>
        </w:rPr>
        <w:t>буде</w:t>
      </w:r>
      <w:r>
        <w:rPr>
          <w:color w:val="231F20"/>
          <w:spacing w:val="-3"/>
        </w:rPr>
        <w:t xml:space="preserve"> </w:t>
      </w:r>
      <w:r>
        <w:rPr>
          <w:color w:val="231F20"/>
        </w:rPr>
        <w:t>відновлена;</w:t>
      </w:r>
    </w:p>
    <w:p w14:paraId="606594D4" w14:textId="77777777" w:rsidR="00DE575E" w:rsidRDefault="002E7560">
      <w:pPr>
        <w:pStyle w:val="BodyText"/>
        <w:spacing w:before="3" w:line="252" w:lineRule="auto"/>
        <w:ind w:left="250" w:right="409" w:firstLine="283"/>
        <w:jc w:val="both"/>
      </w:pPr>
      <w:r>
        <w:rPr>
          <w:b/>
          <w:i/>
          <w:color w:val="231F20"/>
        </w:rPr>
        <w:t xml:space="preserve">7) служба в органах місцевого самоврядування (муніци- пальна служба) </w:t>
      </w:r>
      <w:r>
        <w:rPr>
          <w:color w:val="231F20"/>
        </w:rPr>
        <w:t>– це професійна, на постійній основі діяльність громадян України, які займають посади в органах місцевого само- врядування, що спрямована на реалізацію територіальною грома- дою свого права на місцеве самоврядування та окремих повнова- жень органів виконав</w:t>
      </w:r>
      <w:r>
        <w:rPr>
          <w:color w:val="231F20"/>
        </w:rPr>
        <w:t>чої влади, наданих законом (ст. 1 Закону «Про службу в органах місцевого самоврядування»).</w:t>
      </w:r>
    </w:p>
    <w:p w14:paraId="340B687A" w14:textId="77777777" w:rsidR="00DE575E" w:rsidRDefault="002E7560">
      <w:pPr>
        <w:pStyle w:val="BodyText"/>
        <w:spacing w:before="3" w:line="252" w:lineRule="auto"/>
        <w:ind w:left="250" w:right="409" w:firstLine="283"/>
        <w:jc w:val="both"/>
      </w:pPr>
      <w:r>
        <w:rPr>
          <w:color w:val="231F20"/>
        </w:rPr>
        <w:t xml:space="preserve">Схарактеризовані вище сім складових становлять зміст </w:t>
      </w:r>
      <w:r>
        <w:rPr>
          <w:i/>
          <w:color w:val="231F20"/>
        </w:rPr>
        <w:t>широ- кого трактування</w:t>
      </w:r>
      <w:r>
        <w:rPr>
          <w:color w:val="231F20"/>
          <w:position w:val="7"/>
          <w:sz w:val="12"/>
        </w:rPr>
        <w:t xml:space="preserve">1 </w:t>
      </w:r>
      <w:r>
        <w:rPr>
          <w:color w:val="231F20"/>
        </w:rPr>
        <w:t xml:space="preserve">публічної служби, яке (з </w:t>
      </w:r>
      <w:r>
        <w:rPr>
          <w:color w:val="231F20"/>
          <w:spacing w:val="-3"/>
        </w:rPr>
        <w:t xml:space="preserve">огляду </w:t>
      </w:r>
      <w:r>
        <w:rPr>
          <w:color w:val="231F20"/>
        </w:rPr>
        <w:t xml:space="preserve">на нормативні формулювання КАС </w:t>
      </w:r>
      <w:r>
        <w:rPr>
          <w:color w:val="231F20"/>
          <w:spacing w:val="-3"/>
        </w:rPr>
        <w:t xml:space="preserve">України) </w:t>
      </w:r>
      <w:r>
        <w:rPr>
          <w:color w:val="231F20"/>
        </w:rPr>
        <w:t>видається пріори</w:t>
      </w:r>
      <w:r>
        <w:rPr>
          <w:color w:val="231F20"/>
        </w:rPr>
        <w:t xml:space="preserve">тетним для освітніх потреб. Водночас низка науковців піддає критиці подібний підхід, наголошуючи: «законодавець </w:t>
      </w:r>
      <w:r>
        <w:rPr>
          <w:color w:val="231F20"/>
          <w:spacing w:val="-4"/>
        </w:rPr>
        <w:t xml:space="preserve">об’єднав </w:t>
      </w:r>
      <w:r>
        <w:rPr>
          <w:color w:val="231F20"/>
        </w:rPr>
        <w:t>різні за змістом види служ- бової діяльності – політичну, що залежить від розстановки політич- них</w:t>
      </w:r>
      <w:r>
        <w:rPr>
          <w:color w:val="231F20"/>
          <w:spacing w:val="-6"/>
        </w:rPr>
        <w:t xml:space="preserve"> </w:t>
      </w:r>
      <w:r>
        <w:rPr>
          <w:color w:val="231F20"/>
        </w:rPr>
        <w:t>сил</w:t>
      </w:r>
      <w:r>
        <w:rPr>
          <w:color w:val="231F20"/>
          <w:spacing w:val="-6"/>
        </w:rPr>
        <w:t xml:space="preserve"> </w:t>
      </w:r>
      <w:r>
        <w:rPr>
          <w:color w:val="231F20"/>
        </w:rPr>
        <w:t>у</w:t>
      </w:r>
      <w:r>
        <w:rPr>
          <w:color w:val="231F20"/>
          <w:spacing w:val="-6"/>
        </w:rPr>
        <w:t xml:space="preserve"> </w:t>
      </w:r>
      <w:r>
        <w:rPr>
          <w:color w:val="231F20"/>
        </w:rPr>
        <w:t>вищих</w:t>
      </w:r>
      <w:r>
        <w:rPr>
          <w:color w:val="231F20"/>
          <w:spacing w:val="-6"/>
        </w:rPr>
        <w:t xml:space="preserve"> </w:t>
      </w:r>
      <w:r>
        <w:rPr>
          <w:color w:val="231F20"/>
        </w:rPr>
        <w:t>органах</w:t>
      </w:r>
      <w:r>
        <w:rPr>
          <w:color w:val="231F20"/>
          <w:spacing w:val="-6"/>
        </w:rPr>
        <w:t xml:space="preserve"> </w:t>
      </w:r>
      <w:r>
        <w:rPr>
          <w:color w:val="231F20"/>
        </w:rPr>
        <w:t>державної</w:t>
      </w:r>
      <w:r>
        <w:rPr>
          <w:color w:val="231F20"/>
          <w:spacing w:val="-6"/>
        </w:rPr>
        <w:t xml:space="preserve"> </w:t>
      </w:r>
      <w:r>
        <w:rPr>
          <w:color w:val="231F20"/>
        </w:rPr>
        <w:t>влади,</w:t>
      </w:r>
      <w:r>
        <w:rPr>
          <w:color w:val="231F20"/>
          <w:spacing w:val="-6"/>
        </w:rPr>
        <w:t xml:space="preserve"> </w:t>
      </w:r>
      <w:r>
        <w:rPr>
          <w:color w:val="231F20"/>
        </w:rPr>
        <w:t>та</w:t>
      </w:r>
      <w:r>
        <w:rPr>
          <w:color w:val="231F20"/>
          <w:spacing w:val="-6"/>
        </w:rPr>
        <w:t xml:space="preserve"> </w:t>
      </w:r>
      <w:r>
        <w:rPr>
          <w:color w:val="231F20"/>
        </w:rPr>
        <w:t>професійну</w:t>
      </w:r>
      <w:r>
        <w:rPr>
          <w:color w:val="231F20"/>
          <w:spacing w:val="-6"/>
        </w:rPr>
        <w:t xml:space="preserve"> </w:t>
      </w:r>
      <w:r>
        <w:rPr>
          <w:color w:val="231F20"/>
        </w:rPr>
        <w:t>діяльність, яка забезпечує повсякчасну реалізацію завдань держави як резуль- тату діяльності перших»</w:t>
      </w:r>
      <w:r>
        <w:rPr>
          <w:color w:val="231F20"/>
          <w:position w:val="7"/>
          <w:sz w:val="12"/>
        </w:rPr>
        <w:t>2</w:t>
      </w:r>
      <w:r>
        <w:rPr>
          <w:color w:val="231F20"/>
        </w:rPr>
        <w:t xml:space="preserve">. На основі цього формується </w:t>
      </w:r>
      <w:r>
        <w:rPr>
          <w:i/>
          <w:color w:val="231F20"/>
        </w:rPr>
        <w:t xml:space="preserve">вузьке трак- тування </w:t>
      </w:r>
      <w:r>
        <w:rPr>
          <w:color w:val="231F20"/>
        </w:rPr>
        <w:t>«публічної служби», до якої зараховується  лише  служба на адміністративних посадах в орга</w:t>
      </w:r>
      <w:r>
        <w:rPr>
          <w:color w:val="231F20"/>
        </w:rPr>
        <w:t>нах державної влади та орга- нах місцевого самоврядування. У зазначеному може вбачатися не лише «сучасна», але й ретроспективна логіка. Адже введення кате- горії «публічна служба» у вітчизняну юриспруденцію зумовлюва- лося потребою комплексного вивчення де</w:t>
      </w:r>
      <w:r>
        <w:rPr>
          <w:color w:val="231F20"/>
        </w:rPr>
        <w:t xml:space="preserve">ржавної та муніципаль- ної служб, що мають спільну соціальну </w:t>
      </w:r>
      <w:r>
        <w:rPr>
          <w:color w:val="231F20"/>
          <w:spacing w:val="-4"/>
        </w:rPr>
        <w:t xml:space="preserve">природу, мету, </w:t>
      </w:r>
      <w:r>
        <w:rPr>
          <w:color w:val="231F20"/>
        </w:rPr>
        <w:t xml:space="preserve">ідентичні організаційно-процедурні механізми і навіть тривалий час існували на єдиній законодавчій основі: Закон «Про державну службу» від  16 </w:t>
      </w:r>
      <w:r>
        <w:rPr>
          <w:color w:val="231F20"/>
          <w:spacing w:val="-3"/>
        </w:rPr>
        <w:t xml:space="preserve">грудня </w:t>
      </w:r>
      <w:r>
        <w:rPr>
          <w:color w:val="231F20"/>
        </w:rPr>
        <w:t>1993 р. (втратив чинність) зал</w:t>
      </w:r>
      <w:r>
        <w:rPr>
          <w:color w:val="231F20"/>
        </w:rPr>
        <w:t>ишався правовою</w:t>
      </w:r>
      <w:r>
        <w:rPr>
          <w:color w:val="231F20"/>
        </w:rPr>
        <w:t xml:space="preserve"> </w:t>
      </w:r>
      <w:r>
        <w:rPr>
          <w:color w:val="231F20"/>
        </w:rPr>
        <w:t>базою</w:t>
      </w:r>
    </w:p>
    <w:p w14:paraId="34B3D388" w14:textId="77777777" w:rsidR="00DE575E" w:rsidRDefault="00DE575E">
      <w:pPr>
        <w:pStyle w:val="BodyText"/>
        <w:rPr>
          <w:sz w:val="20"/>
        </w:rPr>
      </w:pPr>
    </w:p>
    <w:p w14:paraId="71C6DF9F" w14:textId="6CA13575" w:rsidR="00DE575E" w:rsidRDefault="002E7560">
      <w:pPr>
        <w:pStyle w:val="BodyText"/>
        <w:spacing w:before="6"/>
        <w:rPr>
          <w:sz w:val="17"/>
        </w:rPr>
      </w:pPr>
      <w:r>
        <w:rPr>
          <w:noProof/>
        </w:rPr>
        <mc:AlternateContent>
          <mc:Choice Requires="wps">
            <w:drawing>
              <wp:anchor distT="0" distB="0" distL="0" distR="0" simplePos="0" relativeHeight="13528" behindDoc="0" locked="0" layoutInCell="1" allowOverlap="1" wp14:anchorId="4766F5B7" wp14:editId="12AF5D76">
                <wp:simplePos x="0" y="0"/>
                <wp:positionH relativeFrom="page">
                  <wp:posOffset>539750</wp:posOffset>
                </wp:positionH>
                <wp:positionV relativeFrom="paragraph">
                  <wp:posOffset>158115</wp:posOffset>
                </wp:positionV>
                <wp:extent cx="1080135" cy="0"/>
                <wp:effectExtent l="6350" t="18415" r="31115" b="19685"/>
                <wp:wrapTopAndBottom/>
                <wp:docPr id="54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4D77" id="Line_x0020_540" o:spid="_x0000_s1026" style="position:absolute;z-index:13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45pt" to="127.55pt,1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" strokecolor="#231f20" strokeweight=".5pt">
                <w10:wrap type="topAndBottom" anchorx="page"/>
              </v:line>
            </w:pict>
          </mc:Fallback>
        </mc:AlternateContent>
      </w:r>
    </w:p>
    <w:p w14:paraId="757DC115" w14:textId="77777777" w:rsidR="00DE575E" w:rsidRDefault="002E7560">
      <w:pPr>
        <w:spacing w:line="148" w:lineRule="exact"/>
        <w:ind w:left="250"/>
        <w:rPr>
          <w:sz w:val="16"/>
        </w:rPr>
      </w:pPr>
      <w:r>
        <w:rPr>
          <w:color w:val="231F20"/>
          <w:position w:val="5"/>
          <w:sz w:val="9"/>
        </w:rPr>
        <w:t xml:space="preserve">1 </w:t>
      </w:r>
      <w:r>
        <w:rPr>
          <w:color w:val="231F20"/>
          <w:sz w:val="16"/>
        </w:rPr>
        <w:t>Водночас, існують ще більш об’ємні сутнісно («</w:t>
      </w:r>
      <w:r>
        <w:rPr>
          <w:i/>
          <w:color w:val="231F20"/>
          <w:sz w:val="16"/>
        </w:rPr>
        <w:t>надширокі</w:t>
      </w:r>
      <w:r>
        <w:rPr>
          <w:color w:val="231F20"/>
          <w:sz w:val="16"/>
        </w:rPr>
        <w:t>») тлумачення категорії</w:t>
      </w:r>
    </w:p>
    <w:p w14:paraId="7465393D" w14:textId="77777777" w:rsidR="00DE575E" w:rsidRDefault="002E7560">
      <w:pPr>
        <w:spacing w:before="9" w:line="204" w:lineRule="auto"/>
        <w:ind w:left="250" w:right="410"/>
        <w:jc w:val="both"/>
        <w:rPr>
          <w:sz w:val="16"/>
        </w:rPr>
      </w:pPr>
      <w:r>
        <w:rPr>
          <w:color w:val="231F20"/>
          <w:sz w:val="16"/>
        </w:rPr>
        <w:t>«публічна служба», коли до її змісту відносять державну, муніципальну службу та службу в недержавних організаціях (громадських організаціях, політичних партіях і навіть при- ватних підприємствах) (Див.: Петришин А.В. Государственная служба. Историко-теоре-</w:t>
      </w:r>
      <w:r>
        <w:rPr>
          <w:color w:val="231F20"/>
          <w:sz w:val="16"/>
        </w:rPr>
        <w:t xml:space="preserve"> тические предпосылки, сравнительно-правовой и логико-понятийный анализ. Харьков: Факт, 1998. С. 139-140).</w:t>
      </w:r>
    </w:p>
    <w:p w14:paraId="6A51C7AD" w14:textId="77777777" w:rsidR="00DE575E" w:rsidRDefault="002E7560">
      <w:pPr>
        <w:spacing w:before="31" w:line="204" w:lineRule="auto"/>
        <w:ind w:left="250" w:right="411"/>
        <w:jc w:val="both"/>
        <w:rPr>
          <w:sz w:val="16"/>
        </w:rPr>
      </w:pPr>
      <w:r>
        <w:rPr>
          <w:color w:val="231F20"/>
          <w:position w:val="5"/>
          <w:sz w:val="9"/>
        </w:rPr>
        <w:t xml:space="preserve">2 </w:t>
      </w:r>
      <w:r>
        <w:rPr>
          <w:color w:val="231F20"/>
          <w:sz w:val="16"/>
        </w:rPr>
        <w:t xml:space="preserve">Янюк Н. Актуальні проблеми формування публічної служби в Україні. </w:t>
      </w:r>
      <w:r>
        <w:rPr>
          <w:i/>
          <w:color w:val="231F20"/>
          <w:sz w:val="16"/>
        </w:rPr>
        <w:t>Вісник Львів- ського університету. Серія «Юридична»</w:t>
      </w:r>
      <w:r>
        <w:rPr>
          <w:color w:val="231F20"/>
          <w:sz w:val="16"/>
        </w:rPr>
        <w:t>. 2010. Вип. 51. С. 165</w:t>
      </w:r>
    </w:p>
    <w:p w14:paraId="5E66350D" w14:textId="77777777" w:rsidR="00DE575E" w:rsidRDefault="00DE575E">
      <w:pPr>
        <w:pStyle w:val="BodyText"/>
        <w:spacing w:before="5"/>
        <w:rPr>
          <w:sz w:val="12"/>
        </w:rPr>
      </w:pPr>
    </w:p>
    <w:p w14:paraId="120E2192" w14:textId="77777777" w:rsidR="00DE575E" w:rsidRDefault="002E7560">
      <w:pPr>
        <w:spacing w:before="91"/>
        <w:ind w:right="411"/>
        <w:jc w:val="right"/>
        <w:rPr>
          <w:rFonts w:ascii="Times New Roman"/>
          <w:sz w:val="20"/>
        </w:rPr>
      </w:pPr>
      <w:r>
        <w:rPr>
          <w:rFonts w:ascii="Times New Roman"/>
          <w:color w:val="231F20"/>
          <w:w w:val="90"/>
          <w:sz w:val="20"/>
        </w:rPr>
        <w:t>347</w:t>
      </w:r>
    </w:p>
    <w:p w14:paraId="432A9C7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4C0F3B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953A58E" w14:textId="420147E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3ED5B1A" wp14:editId="60413E56">
                <wp:extent cx="4140200" cy="6350"/>
                <wp:effectExtent l="0" t="0" r="12700" b="6350"/>
                <wp:docPr id="539"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40" name="Line 5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34F9C9" id="Group_x0020_5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i7iipoECAACYBQAA&#10;DgAAAAAAAAAAAAAAAAAsAgAAZHJzL2Uyb0RvYy54bWxQSwECLQAUAAYACAAAACEATKewkNkAAAAD&#10;AQAADwAAAAAAAAAAAAAAAADZBAAAZHJzL2Rvd25yZXYueG1sUEsFBgAAAAAEAAQA8wAAAN8FAAAA&#10;AA==&#10;">
                <v:line id="Line_x0020_5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FcrMQAAADcAAAADwAAAGRycy9kb3ducmV2LnhtbERP3WrCMBS+H+wdwhnsZmjqnCK1UWQw&#10;EC90sz7AaXNsi8lJbaLt9vTLxWCXH99/th6sEXfqfONYwWScgCAunW64UnDKP0YLED4gazSOScE3&#10;eVivHh8yTLXr+Yvux1CJGMI+RQV1CG0qpS9rsujHriWO3Nl1FkOEXSV1h30Mt0a+JslcWmw4NtTY&#10;0ntN5eV4swry60swn4ed6fNDMZXFdT/9ue2Ven4aNksQgYbwL/5zb7WC2Vu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YVysxAAAANwAAAAPAAAAAAAAAAAA&#10;AAAAAKECAABkcnMvZG93bnJldi54bWxQSwUGAAAAAAQABAD5AAAAkgMAAAAA&#10;" strokecolor="#231f20" strokeweight=".5pt"/>
                <w10:anchorlock/>
              </v:group>
            </w:pict>
          </mc:Fallback>
        </mc:AlternateContent>
      </w:r>
    </w:p>
    <w:p w14:paraId="6902F0C8" w14:textId="77777777" w:rsidR="00DE575E" w:rsidRDefault="00DE575E">
      <w:pPr>
        <w:pStyle w:val="BodyText"/>
        <w:spacing w:before="7"/>
        <w:rPr>
          <w:rFonts w:ascii="AdonisC"/>
          <w:i/>
          <w:sz w:val="11"/>
        </w:rPr>
      </w:pPr>
    </w:p>
    <w:p w14:paraId="30DC0B57" w14:textId="77777777" w:rsidR="00DE575E" w:rsidRDefault="002E7560">
      <w:pPr>
        <w:pStyle w:val="BodyText"/>
        <w:spacing w:before="101" w:line="252" w:lineRule="auto"/>
        <w:ind w:left="533" w:right="126"/>
        <w:jc w:val="both"/>
      </w:pPr>
      <w:r>
        <w:rPr>
          <w:color w:val="231F20"/>
        </w:rPr>
        <w:t>муніципальної служби до ухвалення Закону «Про службу в  орга- нах місцевого самоврядування» від 07 липня 2001 р., який значною міро</w:t>
      </w:r>
      <w:r>
        <w:rPr>
          <w:color w:val="231F20"/>
        </w:rPr>
        <w:t>ю відтворив положення</w:t>
      </w:r>
      <w:r>
        <w:rPr>
          <w:color w:val="231F20"/>
          <w:spacing w:val="-2"/>
        </w:rPr>
        <w:t xml:space="preserve"> </w:t>
      </w:r>
      <w:r>
        <w:rPr>
          <w:color w:val="231F20"/>
        </w:rPr>
        <w:t>першого.</w:t>
      </w:r>
    </w:p>
    <w:p w14:paraId="04ABC48D" w14:textId="77777777" w:rsidR="00DE575E" w:rsidRDefault="002E7560">
      <w:pPr>
        <w:spacing w:before="1" w:line="252" w:lineRule="auto"/>
        <w:ind w:left="533" w:firstLine="283"/>
        <w:rPr>
          <w:sz w:val="21"/>
        </w:rPr>
      </w:pPr>
      <w:r>
        <w:rPr>
          <w:b/>
          <w:color w:val="231F20"/>
          <w:sz w:val="21"/>
        </w:rPr>
        <w:t xml:space="preserve">Класифікувати публічну службу </w:t>
      </w:r>
      <w:r>
        <w:rPr>
          <w:color w:val="231F20"/>
          <w:sz w:val="21"/>
        </w:rPr>
        <w:t>(у її широкому трактуванні) можна за різними критеріями:</w:t>
      </w:r>
    </w:p>
    <w:p w14:paraId="4CA014B0" w14:textId="77777777" w:rsidR="00DE575E" w:rsidRDefault="002E7560">
      <w:pPr>
        <w:pStyle w:val="ListParagraph"/>
        <w:numPr>
          <w:ilvl w:val="0"/>
          <w:numId w:val="121"/>
        </w:numPr>
        <w:tabs>
          <w:tab w:val="left" w:pos="1101"/>
        </w:tabs>
        <w:spacing w:line="252" w:lineRule="auto"/>
        <w:ind w:right="128" w:firstLine="284"/>
        <w:rPr>
          <w:sz w:val="21"/>
        </w:rPr>
      </w:pPr>
      <w:r>
        <w:rPr>
          <w:b/>
          <w:i/>
          <w:color w:val="231F20"/>
          <w:sz w:val="21"/>
        </w:rPr>
        <w:t>залежно від підсистеми публічної влади</w:t>
      </w:r>
      <w:r>
        <w:rPr>
          <w:color w:val="231F20"/>
          <w:sz w:val="21"/>
        </w:rPr>
        <w:t>, де вона відбува- ється:</w:t>
      </w:r>
    </w:p>
    <w:p w14:paraId="34467802" w14:textId="77777777" w:rsidR="00DE575E" w:rsidRDefault="002E7560">
      <w:pPr>
        <w:pStyle w:val="ListParagraph"/>
        <w:numPr>
          <w:ilvl w:val="1"/>
          <w:numId w:val="121"/>
        </w:numPr>
        <w:tabs>
          <w:tab w:val="left" w:pos="1385"/>
        </w:tabs>
        <w:ind w:firstLine="283"/>
        <w:jc w:val="left"/>
        <w:rPr>
          <w:i/>
          <w:sz w:val="21"/>
        </w:rPr>
      </w:pPr>
      <w:r>
        <w:rPr>
          <w:i/>
          <w:color w:val="231F20"/>
          <w:sz w:val="21"/>
        </w:rPr>
        <w:t>служба в органах влади</w:t>
      </w:r>
      <w:r>
        <w:rPr>
          <w:i/>
          <w:color w:val="231F20"/>
          <w:spacing w:val="-5"/>
          <w:sz w:val="21"/>
        </w:rPr>
        <w:t xml:space="preserve"> </w:t>
      </w:r>
      <w:r>
        <w:rPr>
          <w:i/>
          <w:color w:val="231F20"/>
          <w:sz w:val="21"/>
        </w:rPr>
        <w:t>АРК;</w:t>
      </w:r>
    </w:p>
    <w:p w14:paraId="0E76B6ED" w14:textId="77777777" w:rsidR="00DE575E" w:rsidRDefault="002E7560">
      <w:pPr>
        <w:pStyle w:val="ListParagraph"/>
        <w:numPr>
          <w:ilvl w:val="1"/>
          <w:numId w:val="121"/>
        </w:numPr>
        <w:tabs>
          <w:tab w:val="left" w:pos="1385"/>
        </w:tabs>
        <w:spacing w:before="13"/>
        <w:ind w:firstLine="283"/>
        <w:jc w:val="left"/>
        <w:rPr>
          <w:i/>
          <w:sz w:val="21"/>
        </w:rPr>
      </w:pPr>
      <w:r>
        <w:rPr>
          <w:i/>
          <w:color w:val="231F20"/>
          <w:sz w:val="21"/>
        </w:rPr>
        <w:t>служба в органах місцевого</w:t>
      </w:r>
      <w:r>
        <w:rPr>
          <w:i/>
          <w:color w:val="231F20"/>
          <w:spacing w:val="-7"/>
          <w:sz w:val="21"/>
        </w:rPr>
        <w:t xml:space="preserve"> </w:t>
      </w:r>
      <w:r>
        <w:rPr>
          <w:i/>
          <w:color w:val="231F20"/>
          <w:sz w:val="21"/>
        </w:rPr>
        <w:t>самоврядування;</w:t>
      </w:r>
    </w:p>
    <w:p w14:paraId="7B545F89" w14:textId="77777777" w:rsidR="00DE575E" w:rsidRDefault="002E7560">
      <w:pPr>
        <w:pStyle w:val="ListParagraph"/>
        <w:numPr>
          <w:ilvl w:val="1"/>
          <w:numId w:val="121"/>
        </w:numPr>
        <w:tabs>
          <w:tab w:val="left" w:pos="1385"/>
        </w:tabs>
        <w:spacing w:before="13" w:line="252" w:lineRule="auto"/>
        <w:ind w:right="2088" w:firstLine="283"/>
        <w:jc w:val="left"/>
        <w:rPr>
          <w:sz w:val="21"/>
        </w:rPr>
      </w:pPr>
      <w:r>
        <w:rPr>
          <w:color w:val="231F20"/>
          <w:sz w:val="21"/>
        </w:rPr>
        <w:t>с</w:t>
      </w:r>
      <w:r>
        <w:rPr>
          <w:i/>
          <w:color w:val="231F20"/>
          <w:sz w:val="21"/>
        </w:rPr>
        <w:t>лужба в органах державної влади</w:t>
      </w:r>
      <w:r>
        <w:rPr>
          <w:color w:val="231F20"/>
          <w:sz w:val="21"/>
        </w:rPr>
        <w:t>. Остання може бути розподілена на службу</w:t>
      </w:r>
      <w:r>
        <w:rPr>
          <w:color w:val="231F20"/>
          <w:spacing w:val="-28"/>
          <w:sz w:val="21"/>
        </w:rPr>
        <w:t xml:space="preserve"> </w:t>
      </w:r>
      <w:r>
        <w:rPr>
          <w:color w:val="231F20"/>
          <w:sz w:val="21"/>
        </w:rPr>
        <w:t>в:</w:t>
      </w:r>
    </w:p>
    <w:p w14:paraId="6EE208DF" w14:textId="77777777" w:rsidR="00DE575E" w:rsidRDefault="002E7560">
      <w:pPr>
        <w:pStyle w:val="ListParagraph"/>
        <w:numPr>
          <w:ilvl w:val="0"/>
          <w:numId w:val="120"/>
        </w:numPr>
        <w:tabs>
          <w:tab w:val="left" w:pos="1385"/>
        </w:tabs>
        <w:jc w:val="left"/>
        <w:rPr>
          <w:sz w:val="21"/>
        </w:rPr>
      </w:pPr>
      <w:r>
        <w:rPr>
          <w:color w:val="231F20"/>
          <w:sz w:val="21"/>
        </w:rPr>
        <w:t>органах виконавчої</w:t>
      </w:r>
      <w:r>
        <w:rPr>
          <w:color w:val="231F20"/>
          <w:spacing w:val="-2"/>
          <w:sz w:val="21"/>
        </w:rPr>
        <w:t xml:space="preserve"> </w:t>
      </w:r>
      <w:r>
        <w:rPr>
          <w:color w:val="231F20"/>
          <w:sz w:val="21"/>
        </w:rPr>
        <w:t>влади;</w:t>
      </w:r>
    </w:p>
    <w:p w14:paraId="707B47D3" w14:textId="77777777" w:rsidR="00DE575E" w:rsidRDefault="002E7560">
      <w:pPr>
        <w:pStyle w:val="ListParagraph"/>
        <w:numPr>
          <w:ilvl w:val="0"/>
          <w:numId w:val="120"/>
        </w:numPr>
        <w:tabs>
          <w:tab w:val="left" w:pos="1385"/>
        </w:tabs>
        <w:spacing w:before="13"/>
        <w:jc w:val="left"/>
        <w:rPr>
          <w:sz w:val="21"/>
        </w:rPr>
      </w:pPr>
      <w:r>
        <w:rPr>
          <w:color w:val="231F20"/>
          <w:sz w:val="21"/>
        </w:rPr>
        <w:t>органах законодавчої</w:t>
      </w:r>
      <w:r>
        <w:rPr>
          <w:color w:val="231F20"/>
          <w:spacing w:val="-2"/>
          <w:sz w:val="21"/>
        </w:rPr>
        <w:t xml:space="preserve"> </w:t>
      </w:r>
      <w:r>
        <w:rPr>
          <w:color w:val="231F20"/>
          <w:sz w:val="21"/>
        </w:rPr>
        <w:t>влади;</w:t>
      </w:r>
    </w:p>
    <w:p w14:paraId="447F4A63" w14:textId="77777777" w:rsidR="00DE575E" w:rsidRDefault="002E7560">
      <w:pPr>
        <w:pStyle w:val="ListParagraph"/>
        <w:numPr>
          <w:ilvl w:val="0"/>
          <w:numId w:val="120"/>
        </w:numPr>
        <w:tabs>
          <w:tab w:val="left" w:pos="1385"/>
        </w:tabs>
        <w:spacing w:before="12"/>
        <w:jc w:val="left"/>
        <w:rPr>
          <w:sz w:val="21"/>
        </w:rPr>
      </w:pPr>
      <w:r>
        <w:rPr>
          <w:color w:val="231F20"/>
          <w:sz w:val="21"/>
        </w:rPr>
        <w:t xml:space="preserve">органах </w:t>
      </w:r>
      <w:r>
        <w:rPr>
          <w:color w:val="231F20"/>
          <w:spacing w:val="-3"/>
          <w:sz w:val="21"/>
        </w:rPr>
        <w:t>судової</w:t>
      </w:r>
      <w:r>
        <w:rPr>
          <w:color w:val="231F20"/>
          <w:spacing w:val="-2"/>
          <w:sz w:val="21"/>
        </w:rPr>
        <w:t xml:space="preserve"> </w:t>
      </w:r>
      <w:r>
        <w:rPr>
          <w:color w:val="231F20"/>
          <w:sz w:val="21"/>
        </w:rPr>
        <w:t>влади;</w:t>
      </w:r>
    </w:p>
    <w:p w14:paraId="62557E9F" w14:textId="77777777" w:rsidR="00DE575E" w:rsidRDefault="002E7560">
      <w:pPr>
        <w:pStyle w:val="ListParagraph"/>
        <w:numPr>
          <w:ilvl w:val="0"/>
          <w:numId w:val="120"/>
        </w:numPr>
        <w:tabs>
          <w:tab w:val="left" w:pos="1385"/>
        </w:tabs>
        <w:spacing w:before="13" w:line="252" w:lineRule="auto"/>
        <w:ind w:right="128"/>
        <w:jc w:val="left"/>
        <w:rPr>
          <w:sz w:val="21"/>
        </w:rPr>
      </w:pPr>
      <w:r>
        <w:rPr>
          <w:color w:val="231F20"/>
          <w:sz w:val="21"/>
        </w:rPr>
        <w:t xml:space="preserve">інших державних органах (які не належать до традиційної владної тріади: прокуратура, </w:t>
      </w:r>
      <w:r>
        <w:rPr>
          <w:color w:val="231F20"/>
          <w:spacing w:val="-7"/>
          <w:sz w:val="21"/>
        </w:rPr>
        <w:t xml:space="preserve">РНБОУ, </w:t>
      </w:r>
      <w:r>
        <w:rPr>
          <w:color w:val="231F20"/>
          <w:sz w:val="21"/>
        </w:rPr>
        <w:t>ЦВК</w:t>
      </w:r>
      <w:r>
        <w:rPr>
          <w:color w:val="231F20"/>
          <w:spacing w:val="1"/>
          <w:sz w:val="21"/>
        </w:rPr>
        <w:t xml:space="preserve"> </w:t>
      </w:r>
      <w:r>
        <w:rPr>
          <w:color w:val="231F20"/>
          <w:sz w:val="21"/>
        </w:rPr>
        <w:t>тощо);</w:t>
      </w:r>
    </w:p>
    <w:p w14:paraId="04E77E9E" w14:textId="77777777" w:rsidR="00DE575E" w:rsidRDefault="002E7560">
      <w:pPr>
        <w:pStyle w:val="Heading6"/>
        <w:numPr>
          <w:ilvl w:val="0"/>
          <w:numId w:val="121"/>
        </w:numPr>
        <w:tabs>
          <w:tab w:val="left" w:pos="1101"/>
        </w:tabs>
        <w:ind w:firstLine="284"/>
        <w:rPr>
          <w:b w:val="0"/>
          <w:i w:val="0"/>
        </w:rPr>
      </w:pPr>
      <w:r>
        <w:rPr>
          <w:color w:val="231F20"/>
        </w:rPr>
        <w:t>за критерієм</w:t>
      </w:r>
      <w:r>
        <w:rPr>
          <w:color w:val="231F20"/>
          <w:spacing w:val="-3"/>
        </w:rPr>
        <w:t xml:space="preserve"> </w:t>
      </w:r>
      <w:r>
        <w:rPr>
          <w:color w:val="231F20"/>
        </w:rPr>
        <w:t>фаховості</w:t>
      </w:r>
      <w:r>
        <w:rPr>
          <w:b w:val="0"/>
          <w:i w:val="0"/>
          <w:color w:val="231F20"/>
          <w:position w:val="7"/>
          <w:sz w:val="12"/>
        </w:rPr>
        <w:t>1</w:t>
      </w:r>
      <w:r>
        <w:rPr>
          <w:b w:val="0"/>
          <w:i w:val="0"/>
          <w:color w:val="231F20"/>
        </w:rPr>
        <w:t>:</w:t>
      </w:r>
    </w:p>
    <w:p w14:paraId="3FF1399B" w14:textId="77777777" w:rsidR="00DE575E" w:rsidRDefault="002E7560">
      <w:pPr>
        <w:pStyle w:val="ListParagraph"/>
        <w:numPr>
          <w:ilvl w:val="1"/>
          <w:numId w:val="121"/>
        </w:numPr>
        <w:tabs>
          <w:tab w:val="left" w:pos="1385"/>
        </w:tabs>
        <w:spacing w:before="13" w:line="252" w:lineRule="auto"/>
        <w:ind w:left="1384" w:right="126"/>
        <w:rPr>
          <w:sz w:val="21"/>
        </w:rPr>
      </w:pPr>
      <w:r>
        <w:rPr>
          <w:i/>
          <w:color w:val="231F20"/>
          <w:sz w:val="21"/>
        </w:rPr>
        <w:t xml:space="preserve">позапрофесійна публічна служба </w:t>
      </w:r>
      <w:r>
        <w:rPr>
          <w:color w:val="231F20"/>
          <w:sz w:val="21"/>
        </w:rPr>
        <w:t xml:space="preserve">– набувається та втілю- ється на основі неформалізованих </w:t>
      </w:r>
      <w:r>
        <w:rPr>
          <w:color w:val="231F20"/>
          <w:spacing w:val="-3"/>
          <w:sz w:val="21"/>
        </w:rPr>
        <w:t xml:space="preserve">суб’єктом </w:t>
      </w:r>
      <w:r>
        <w:rPr>
          <w:color w:val="231F20"/>
          <w:sz w:val="21"/>
        </w:rPr>
        <w:t>призначення абстрактних критеріїв «придатності»; при цьому потреба відповідати обов’язковим вимогам мінімальної посадової компетентності</w:t>
      </w:r>
      <w:r>
        <w:rPr>
          <w:color w:val="231F20"/>
          <w:spacing w:val="-6"/>
          <w:sz w:val="21"/>
        </w:rPr>
        <w:t xml:space="preserve"> </w:t>
      </w:r>
      <w:r>
        <w:rPr>
          <w:color w:val="231F20"/>
          <w:sz w:val="21"/>
        </w:rPr>
        <w:t>(щодо</w:t>
      </w:r>
      <w:r>
        <w:rPr>
          <w:color w:val="231F20"/>
          <w:spacing w:val="-6"/>
          <w:sz w:val="21"/>
        </w:rPr>
        <w:t xml:space="preserve"> </w:t>
      </w:r>
      <w:r>
        <w:rPr>
          <w:color w:val="231F20"/>
          <w:sz w:val="21"/>
        </w:rPr>
        <w:t>освіти,</w:t>
      </w:r>
      <w:r>
        <w:rPr>
          <w:color w:val="231F20"/>
          <w:spacing w:val="-6"/>
          <w:sz w:val="21"/>
        </w:rPr>
        <w:t xml:space="preserve"> </w:t>
      </w:r>
      <w:r>
        <w:rPr>
          <w:color w:val="231F20"/>
          <w:sz w:val="21"/>
        </w:rPr>
        <w:t>досвіду</w:t>
      </w:r>
      <w:r>
        <w:rPr>
          <w:color w:val="231F20"/>
          <w:spacing w:val="-6"/>
          <w:sz w:val="21"/>
        </w:rPr>
        <w:t xml:space="preserve"> </w:t>
      </w:r>
      <w:r>
        <w:rPr>
          <w:color w:val="231F20"/>
          <w:sz w:val="21"/>
        </w:rPr>
        <w:t>роботи,</w:t>
      </w:r>
      <w:r>
        <w:rPr>
          <w:color w:val="231F20"/>
          <w:spacing w:val="-6"/>
          <w:sz w:val="21"/>
        </w:rPr>
        <w:t xml:space="preserve"> </w:t>
      </w:r>
      <w:r>
        <w:rPr>
          <w:color w:val="231F20"/>
          <w:sz w:val="21"/>
        </w:rPr>
        <w:t>рівня</w:t>
      </w:r>
      <w:r>
        <w:rPr>
          <w:color w:val="231F20"/>
          <w:spacing w:val="-6"/>
          <w:sz w:val="21"/>
        </w:rPr>
        <w:t xml:space="preserve"> </w:t>
      </w:r>
      <w:r>
        <w:rPr>
          <w:color w:val="231F20"/>
          <w:sz w:val="21"/>
        </w:rPr>
        <w:t>галузе- вої обізнаності тощо) або взагалі відсутня, або застосову- ється у звуженом</w:t>
      </w:r>
      <w:r>
        <w:rPr>
          <w:color w:val="231F20"/>
          <w:sz w:val="21"/>
        </w:rPr>
        <w:t>у обсязі. Це служба на державних</w:t>
      </w:r>
      <w:r>
        <w:rPr>
          <w:color w:val="231F20"/>
          <w:spacing w:val="-26"/>
          <w:sz w:val="21"/>
        </w:rPr>
        <w:t xml:space="preserve"> </w:t>
      </w:r>
      <w:r>
        <w:rPr>
          <w:color w:val="231F20"/>
          <w:sz w:val="21"/>
        </w:rPr>
        <w:t>політич- них посадах та</w:t>
      </w:r>
      <w:r>
        <w:rPr>
          <w:color w:val="231F20"/>
          <w:spacing w:val="-2"/>
          <w:sz w:val="21"/>
        </w:rPr>
        <w:t xml:space="preserve"> </w:t>
      </w:r>
      <w:r>
        <w:rPr>
          <w:color w:val="231F20"/>
          <w:sz w:val="21"/>
        </w:rPr>
        <w:t>патронатна.</w:t>
      </w:r>
    </w:p>
    <w:p w14:paraId="243BD0B8" w14:textId="77777777" w:rsidR="00DE575E" w:rsidRDefault="002E7560">
      <w:pPr>
        <w:pStyle w:val="ListParagraph"/>
        <w:numPr>
          <w:ilvl w:val="1"/>
          <w:numId w:val="121"/>
        </w:numPr>
        <w:tabs>
          <w:tab w:val="left" w:pos="1385"/>
        </w:tabs>
        <w:spacing w:before="4" w:line="252" w:lineRule="auto"/>
        <w:ind w:left="1384" w:right="128"/>
        <w:rPr>
          <w:sz w:val="21"/>
        </w:rPr>
      </w:pPr>
      <w:r>
        <w:rPr>
          <w:i/>
          <w:color w:val="231F20"/>
          <w:sz w:val="21"/>
        </w:rPr>
        <w:t xml:space="preserve">професійна публічна служба </w:t>
      </w:r>
      <w:r>
        <w:rPr>
          <w:color w:val="231F20"/>
          <w:sz w:val="21"/>
        </w:rPr>
        <w:t>– здійснюється на основі попе- редньо здобутого рівня знань, умінь, навичок, які є переду- мовою початку та основою проходження</w:t>
      </w:r>
      <w:r>
        <w:rPr>
          <w:color w:val="231F20"/>
          <w:spacing w:val="-5"/>
          <w:sz w:val="21"/>
        </w:rPr>
        <w:t xml:space="preserve"> </w:t>
      </w:r>
      <w:r>
        <w:rPr>
          <w:color w:val="231F20"/>
          <w:sz w:val="21"/>
        </w:rPr>
        <w:t>служби.</w:t>
      </w:r>
    </w:p>
    <w:p w14:paraId="25C2DB6B" w14:textId="77777777" w:rsidR="00DE575E" w:rsidRDefault="002E7560">
      <w:pPr>
        <w:spacing w:before="1" w:line="252" w:lineRule="auto"/>
        <w:ind w:left="533" w:right="128" w:firstLine="283"/>
        <w:rPr>
          <w:sz w:val="21"/>
        </w:rPr>
      </w:pPr>
      <w:r>
        <w:rPr>
          <w:color w:val="231F20"/>
          <w:sz w:val="21"/>
        </w:rPr>
        <w:t>Професійна служба може б</w:t>
      </w:r>
      <w:r>
        <w:rPr>
          <w:color w:val="231F20"/>
          <w:sz w:val="21"/>
        </w:rPr>
        <w:t xml:space="preserve">ути класифікована залежно </w:t>
      </w:r>
      <w:r>
        <w:rPr>
          <w:i/>
          <w:color w:val="231F20"/>
          <w:sz w:val="21"/>
        </w:rPr>
        <w:t xml:space="preserve">від рівня регулятивно-статусної винятковості </w:t>
      </w:r>
      <w:r>
        <w:rPr>
          <w:color w:val="231F20"/>
          <w:sz w:val="21"/>
        </w:rPr>
        <w:t>на</w:t>
      </w:r>
      <w:r>
        <w:rPr>
          <w:color w:val="231F20"/>
          <w:position w:val="7"/>
          <w:sz w:val="12"/>
        </w:rPr>
        <w:t>2</w:t>
      </w:r>
      <w:r>
        <w:rPr>
          <w:color w:val="231F20"/>
          <w:sz w:val="21"/>
        </w:rPr>
        <w:t>:</w:t>
      </w:r>
    </w:p>
    <w:p w14:paraId="3F6850AB" w14:textId="775B1B89" w:rsidR="00DE575E" w:rsidRDefault="002E7560">
      <w:pPr>
        <w:pStyle w:val="BodyText"/>
        <w:spacing w:before="10"/>
        <w:rPr>
          <w:sz w:val="23"/>
        </w:rPr>
      </w:pPr>
      <w:r>
        <w:rPr>
          <w:noProof/>
        </w:rPr>
        <mc:AlternateContent>
          <mc:Choice Requires="wps">
            <w:drawing>
              <wp:anchor distT="0" distB="0" distL="0" distR="0" simplePos="0" relativeHeight="13576" behindDoc="0" locked="0" layoutInCell="1" allowOverlap="1" wp14:anchorId="71944964" wp14:editId="54590D2B">
                <wp:simplePos x="0" y="0"/>
                <wp:positionH relativeFrom="page">
                  <wp:posOffset>719455</wp:posOffset>
                </wp:positionH>
                <wp:positionV relativeFrom="paragraph">
                  <wp:posOffset>205740</wp:posOffset>
                </wp:positionV>
                <wp:extent cx="1080135" cy="0"/>
                <wp:effectExtent l="8255" t="15240" r="29210" b="22860"/>
                <wp:wrapTopAndBottom/>
                <wp:docPr id="53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A8B7C" id="Line_x0020_537" o:spid="_x0000_s1026" style="position:absolute;z-index:13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2pt" to="141.7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" strokecolor="#231f20" strokeweight=".5pt">
                <w10:wrap type="topAndBottom" anchorx="page"/>
              </v:line>
            </w:pict>
          </mc:Fallback>
        </mc:AlternateContent>
      </w:r>
    </w:p>
    <w:p w14:paraId="1FEB7DD3" w14:textId="77777777" w:rsidR="00DE575E" w:rsidRDefault="002E7560">
      <w:pPr>
        <w:spacing w:line="192" w:lineRule="auto"/>
        <w:ind w:left="533" w:right="128"/>
        <w:jc w:val="both"/>
        <w:rPr>
          <w:sz w:val="16"/>
        </w:rPr>
      </w:pPr>
      <w:r>
        <w:rPr>
          <w:color w:val="231F20"/>
          <w:position w:val="5"/>
          <w:sz w:val="9"/>
        </w:rPr>
        <w:t xml:space="preserve">1 </w:t>
      </w:r>
      <w:r>
        <w:rPr>
          <w:color w:val="231F20"/>
          <w:sz w:val="16"/>
        </w:rPr>
        <w:t>Поділ здійснено на основі проєкту Концепції реформи адміністративного права (1998–2001 рр.), в якому за відповідним критерієм поділялася державна служба; оче- видно, що розумін</w:t>
      </w:r>
      <w:r>
        <w:rPr>
          <w:color w:val="231F20"/>
          <w:sz w:val="16"/>
        </w:rPr>
        <w:t>ня останньої в проєкті було дуже широким, і на сьогодні справедливо застосовувати таку класифікацію для характеристики саме публічної служби.</w:t>
      </w:r>
    </w:p>
    <w:p w14:paraId="2846C8FE" w14:textId="77777777" w:rsidR="00DE575E" w:rsidRDefault="002E7560">
      <w:pPr>
        <w:spacing w:before="22" w:line="192" w:lineRule="auto"/>
        <w:ind w:left="533" w:right="126"/>
        <w:jc w:val="both"/>
        <w:rPr>
          <w:sz w:val="16"/>
        </w:rPr>
      </w:pPr>
      <w:r>
        <w:rPr>
          <w:color w:val="231F20"/>
          <w:position w:val="5"/>
          <w:sz w:val="9"/>
        </w:rPr>
        <w:t xml:space="preserve">2 </w:t>
      </w:r>
      <w:r>
        <w:rPr>
          <w:color w:val="231F20"/>
          <w:sz w:val="16"/>
        </w:rPr>
        <w:t xml:space="preserve">Ми відступили від застосовуваного в адміністративному праві </w:t>
      </w:r>
      <w:r>
        <w:rPr>
          <w:i/>
          <w:color w:val="231F20"/>
          <w:sz w:val="16"/>
        </w:rPr>
        <w:t xml:space="preserve">окремого </w:t>
      </w:r>
      <w:r>
        <w:rPr>
          <w:color w:val="231F20"/>
          <w:sz w:val="16"/>
        </w:rPr>
        <w:t>поділу публічної (чи державної) служби на «</w:t>
      </w:r>
      <w:r>
        <w:rPr>
          <w:color w:val="231F20"/>
          <w:sz w:val="16"/>
        </w:rPr>
        <w:t>мілітаризовану, адміністративну та спеціалізовану» задля уникнення логічних помилок «стрибок у поділі» та «підміна підстави». При цьому переконані: а) всі три названі види служби є фаховими (кваліфікованими), що вимагає характеризувати</w:t>
      </w:r>
      <w:r>
        <w:rPr>
          <w:color w:val="231F20"/>
          <w:spacing w:val="-5"/>
          <w:sz w:val="16"/>
        </w:rPr>
        <w:t xml:space="preserve"> </w:t>
      </w:r>
      <w:r>
        <w:rPr>
          <w:color w:val="231F20"/>
          <w:sz w:val="16"/>
        </w:rPr>
        <w:t>їх</w:t>
      </w:r>
      <w:r>
        <w:rPr>
          <w:color w:val="231F20"/>
          <w:spacing w:val="-5"/>
          <w:sz w:val="16"/>
        </w:rPr>
        <w:t xml:space="preserve"> </w:t>
      </w:r>
      <w:r>
        <w:rPr>
          <w:color w:val="231F20"/>
          <w:sz w:val="16"/>
        </w:rPr>
        <w:t>як</w:t>
      </w:r>
      <w:r>
        <w:rPr>
          <w:color w:val="231F20"/>
          <w:spacing w:val="-5"/>
          <w:sz w:val="16"/>
        </w:rPr>
        <w:t xml:space="preserve"> </w:t>
      </w:r>
      <w:r>
        <w:rPr>
          <w:color w:val="231F20"/>
          <w:sz w:val="16"/>
        </w:rPr>
        <w:t>складові</w:t>
      </w:r>
      <w:r>
        <w:rPr>
          <w:color w:val="231F20"/>
          <w:spacing w:val="-5"/>
          <w:sz w:val="16"/>
        </w:rPr>
        <w:t xml:space="preserve"> </w:t>
      </w:r>
      <w:r>
        <w:rPr>
          <w:color w:val="231F20"/>
          <w:sz w:val="16"/>
        </w:rPr>
        <w:t>елементи</w:t>
      </w:r>
      <w:r>
        <w:rPr>
          <w:color w:val="231F20"/>
          <w:spacing w:val="-5"/>
          <w:sz w:val="16"/>
        </w:rPr>
        <w:t xml:space="preserve"> </w:t>
      </w:r>
      <w:r>
        <w:rPr>
          <w:color w:val="231F20"/>
          <w:sz w:val="16"/>
        </w:rPr>
        <w:t>«професійної</w:t>
      </w:r>
      <w:r>
        <w:rPr>
          <w:color w:val="231F20"/>
          <w:spacing w:val="-5"/>
          <w:sz w:val="16"/>
        </w:rPr>
        <w:t xml:space="preserve"> </w:t>
      </w:r>
      <w:r>
        <w:rPr>
          <w:color w:val="231F20"/>
          <w:sz w:val="16"/>
        </w:rPr>
        <w:t>публічної</w:t>
      </w:r>
      <w:r>
        <w:rPr>
          <w:color w:val="231F20"/>
          <w:spacing w:val="-5"/>
          <w:sz w:val="16"/>
        </w:rPr>
        <w:t xml:space="preserve"> </w:t>
      </w:r>
      <w:r>
        <w:rPr>
          <w:color w:val="231F20"/>
          <w:sz w:val="16"/>
        </w:rPr>
        <w:t>служби»,</w:t>
      </w:r>
      <w:r>
        <w:rPr>
          <w:color w:val="231F20"/>
          <w:spacing w:val="-5"/>
          <w:sz w:val="16"/>
        </w:rPr>
        <w:t xml:space="preserve"> </w:t>
      </w:r>
      <w:r>
        <w:rPr>
          <w:color w:val="231F20"/>
          <w:sz w:val="16"/>
        </w:rPr>
        <w:t>а</w:t>
      </w:r>
      <w:r>
        <w:rPr>
          <w:color w:val="231F20"/>
          <w:spacing w:val="-7"/>
          <w:sz w:val="16"/>
        </w:rPr>
        <w:t xml:space="preserve"> </w:t>
      </w:r>
      <w:r>
        <w:rPr>
          <w:color w:val="231F20"/>
          <w:sz w:val="16"/>
        </w:rPr>
        <w:t>не</w:t>
      </w:r>
      <w:r>
        <w:rPr>
          <w:color w:val="231F20"/>
          <w:spacing w:val="-5"/>
          <w:sz w:val="16"/>
        </w:rPr>
        <w:t xml:space="preserve"> </w:t>
      </w:r>
      <w:r>
        <w:rPr>
          <w:color w:val="231F20"/>
          <w:sz w:val="16"/>
        </w:rPr>
        <w:t>«публічної служби» як змісту вищого рівня; б) мілітаризована служба має перебувати в класифікації поряд (і виключно) зі своїм антиподом – цивільною службою; в) мілітаризована служба завжди володіє ознаками спец</w:t>
      </w:r>
      <w:r>
        <w:rPr>
          <w:color w:val="231F20"/>
          <w:sz w:val="16"/>
        </w:rPr>
        <w:t>іалізованої, тому її слід включати до змісту останньої (як підвид),</w:t>
      </w:r>
      <w:r>
        <w:rPr>
          <w:color w:val="231F20"/>
          <w:spacing w:val="-11"/>
          <w:sz w:val="16"/>
        </w:rPr>
        <w:t xml:space="preserve"> </w:t>
      </w:r>
      <w:r>
        <w:rPr>
          <w:color w:val="231F20"/>
          <w:sz w:val="16"/>
        </w:rPr>
        <w:t>а</w:t>
      </w:r>
      <w:r>
        <w:rPr>
          <w:color w:val="231F20"/>
          <w:spacing w:val="-12"/>
          <w:sz w:val="16"/>
        </w:rPr>
        <w:t xml:space="preserve"> </w:t>
      </w:r>
      <w:r>
        <w:rPr>
          <w:color w:val="231F20"/>
          <w:sz w:val="16"/>
        </w:rPr>
        <w:t>не</w:t>
      </w:r>
      <w:r>
        <w:rPr>
          <w:color w:val="231F20"/>
          <w:spacing w:val="-11"/>
          <w:sz w:val="16"/>
        </w:rPr>
        <w:t xml:space="preserve"> </w:t>
      </w:r>
      <w:r>
        <w:rPr>
          <w:color w:val="231F20"/>
          <w:sz w:val="16"/>
        </w:rPr>
        <w:t>відокремлювати</w:t>
      </w:r>
      <w:r>
        <w:rPr>
          <w:color w:val="231F20"/>
          <w:spacing w:val="-11"/>
          <w:sz w:val="16"/>
        </w:rPr>
        <w:t xml:space="preserve"> </w:t>
      </w:r>
      <w:r>
        <w:rPr>
          <w:color w:val="231F20"/>
          <w:sz w:val="16"/>
        </w:rPr>
        <w:t>(створюючи</w:t>
      </w:r>
      <w:r>
        <w:rPr>
          <w:color w:val="231F20"/>
          <w:spacing w:val="-11"/>
          <w:sz w:val="16"/>
        </w:rPr>
        <w:t xml:space="preserve"> </w:t>
      </w:r>
      <w:r>
        <w:rPr>
          <w:color w:val="231F20"/>
          <w:sz w:val="16"/>
        </w:rPr>
        <w:t>ряд</w:t>
      </w:r>
      <w:r>
        <w:rPr>
          <w:color w:val="231F20"/>
          <w:spacing w:val="-11"/>
          <w:sz w:val="16"/>
        </w:rPr>
        <w:t xml:space="preserve"> </w:t>
      </w:r>
      <w:r>
        <w:rPr>
          <w:color w:val="231F20"/>
          <w:sz w:val="16"/>
        </w:rPr>
        <w:t>додаткових</w:t>
      </w:r>
      <w:r>
        <w:rPr>
          <w:color w:val="231F20"/>
          <w:spacing w:val="-11"/>
          <w:sz w:val="16"/>
        </w:rPr>
        <w:t xml:space="preserve"> </w:t>
      </w:r>
      <w:r>
        <w:rPr>
          <w:color w:val="231F20"/>
          <w:sz w:val="16"/>
        </w:rPr>
        <w:t>класифікаційних</w:t>
      </w:r>
      <w:r>
        <w:rPr>
          <w:color w:val="231F20"/>
          <w:spacing w:val="-11"/>
          <w:sz w:val="16"/>
        </w:rPr>
        <w:t xml:space="preserve"> </w:t>
      </w:r>
      <w:r>
        <w:rPr>
          <w:color w:val="231F20"/>
          <w:sz w:val="16"/>
        </w:rPr>
        <w:t>застережень).</w:t>
      </w:r>
    </w:p>
    <w:p w14:paraId="3E997ABC" w14:textId="77777777" w:rsidR="00DE575E" w:rsidRDefault="00DE575E">
      <w:pPr>
        <w:pStyle w:val="BodyText"/>
        <w:spacing w:before="6"/>
        <w:rPr>
          <w:sz w:val="12"/>
        </w:rPr>
      </w:pPr>
    </w:p>
    <w:p w14:paraId="21065C8F" w14:textId="77777777" w:rsidR="00DE575E" w:rsidRDefault="002E7560">
      <w:pPr>
        <w:spacing w:before="91"/>
        <w:ind w:left="533"/>
        <w:rPr>
          <w:rFonts w:ascii="Times New Roman"/>
          <w:sz w:val="20"/>
        </w:rPr>
      </w:pPr>
      <w:r>
        <w:rPr>
          <w:rFonts w:ascii="Times New Roman"/>
          <w:color w:val="231F20"/>
          <w:sz w:val="20"/>
        </w:rPr>
        <w:t>348</w:t>
      </w:r>
    </w:p>
    <w:p w14:paraId="0C19A0C3" w14:textId="77777777" w:rsidR="00DE575E" w:rsidRDefault="00DE575E">
      <w:pPr>
        <w:rPr>
          <w:rFonts w:ascii="Times New Roman"/>
          <w:sz w:val="20"/>
        </w:rPr>
        <w:sectPr w:rsidR="00DE575E">
          <w:pgSz w:w="8510" w:h="12760"/>
          <w:pgMar w:top="660" w:right="720" w:bottom="280" w:left="600" w:header="720" w:footer="720" w:gutter="0"/>
          <w:cols w:space="720"/>
        </w:sectPr>
      </w:pPr>
    </w:p>
    <w:p w14:paraId="4E38FEE7"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7B97C83E"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08E9FB0C" w14:textId="1C0E1EA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0D065BB" wp14:editId="7B844313">
                <wp:extent cx="4140200" cy="6350"/>
                <wp:effectExtent l="0" t="0" r="12700" b="6350"/>
                <wp:docPr id="536"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37" name="Line 53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648EA5" id="Group_x0020_53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ktvPrgAIAAJgFAAAO&#10;AAAAAAAAAAAAAAAAACwCAABkcnMvZTJvRG9jLnhtbFBLAQItABQABgAIAAAAIQBMp7CQ2QAAAAMB&#10;AAAPAAAAAAAAAAAAAAAAANgEAABkcnMvZG93bnJldi54bWxQSwUGAAAAAAQABADzAAAA3gUAAAAA&#10;">
                <v:line id="Line_x0020_53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63pccAAADcAAAADwAAAGRycy9kb3ducmV2LnhtbESP3WrCQBSE7wXfYTkFb0rdtKFWoqtI&#10;oSC98C8+wDF7TEJ3z8bsatI+fbdQ8HKYmW+Y+bK3Rtyo9bVjBc/jBARx4XTNpYJj/vE0BeEDskbj&#10;mBR8k4flYjiYY6Zdx3u6HUIpIoR9hgqqEJpMSl9UZNGPXUMcvbNrLYYo21LqFrsIt0a+JMlEWqw5&#10;LlTY0HtFxdfhahXkl8dgdttP0+XbUypPl036c90oNXroVzMQgfpwD/+311rBa/oG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jrelxwAAANwAAAAPAAAAAAAA&#10;AAAAAAAAAKECAABkcnMvZG93bnJldi54bWxQSwUGAAAAAAQABAD5AAAAlQMAAAAA&#10;" strokecolor="#231f20" strokeweight=".5pt"/>
                <w10:anchorlock/>
              </v:group>
            </w:pict>
          </mc:Fallback>
        </mc:AlternateContent>
      </w:r>
    </w:p>
    <w:p w14:paraId="1350AD0A" w14:textId="77777777" w:rsidR="00DE575E" w:rsidRDefault="00DE575E">
      <w:pPr>
        <w:pStyle w:val="BodyText"/>
        <w:spacing w:before="7"/>
        <w:rPr>
          <w:rFonts w:ascii="AdonisC"/>
          <w:i/>
          <w:sz w:val="19"/>
        </w:rPr>
      </w:pPr>
    </w:p>
    <w:p w14:paraId="190B1C85" w14:textId="77777777" w:rsidR="00DE575E" w:rsidRDefault="002E7560">
      <w:pPr>
        <w:pStyle w:val="ListParagraph"/>
        <w:numPr>
          <w:ilvl w:val="0"/>
          <w:numId w:val="119"/>
        </w:numPr>
        <w:tabs>
          <w:tab w:val="left" w:pos="818"/>
        </w:tabs>
        <w:spacing w:line="252" w:lineRule="auto"/>
        <w:ind w:right="410" w:firstLine="283"/>
        <w:rPr>
          <w:sz w:val="21"/>
        </w:rPr>
      </w:pPr>
      <w:r>
        <w:rPr>
          <w:color w:val="231F20"/>
          <w:sz w:val="21"/>
        </w:rPr>
        <w:t>адміністративну – охоплює загальну державну службу та службу на адміністративних посадах в органах місцевого самовря- дування (регламентуються першочергово законами «Про державну службу» та «Про службу в органах місцевого</w:t>
      </w:r>
      <w:r>
        <w:rPr>
          <w:color w:val="231F20"/>
          <w:spacing w:val="-3"/>
          <w:sz w:val="21"/>
        </w:rPr>
        <w:t xml:space="preserve"> </w:t>
      </w:r>
      <w:r>
        <w:rPr>
          <w:color w:val="231F20"/>
          <w:sz w:val="21"/>
        </w:rPr>
        <w:t>самоврядування»);</w:t>
      </w:r>
    </w:p>
    <w:p w14:paraId="5A51E385" w14:textId="77777777" w:rsidR="00DE575E" w:rsidRDefault="002E7560">
      <w:pPr>
        <w:pStyle w:val="ListParagraph"/>
        <w:numPr>
          <w:ilvl w:val="0"/>
          <w:numId w:val="119"/>
        </w:numPr>
        <w:tabs>
          <w:tab w:val="left" w:pos="818"/>
        </w:tabs>
        <w:spacing w:before="2" w:line="252" w:lineRule="auto"/>
        <w:ind w:right="409" w:firstLine="283"/>
        <w:rPr>
          <w:sz w:val="21"/>
        </w:rPr>
      </w:pPr>
      <w:r>
        <w:rPr>
          <w:color w:val="231F20"/>
          <w:sz w:val="21"/>
        </w:rPr>
        <w:t>спеціалізовану</w:t>
      </w:r>
      <w:r>
        <w:rPr>
          <w:color w:val="231F20"/>
          <w:position w:val="7"/>
          <w:sz w:val="12"/>
        </w:rPr>
        <w:t>1</w:t>
      </w:r>
      <w:r>
        <w:rPr>
          <w:color w:val="231F20"/>
          <w:sz w:val="21"/>
        </w:rPr>
        <w:t>,</w:t>
      </w:r>
      <w:r>
        <w:rPr>
          <w:color w:val="231F20"/>
          <w:sz w:val="21"/>
        </w:rPr>
        <w:t xml:space="preserve"> яка: а) регламентується спеціальним законо- давством (закони «Про Національну поліцію», «Про дипломатичну службу», Митний кодекс та ін.), а Закон «Про державну службу» може застосовуватися щодо неї лише субсидіарно; б) характеризу- ється</w:t>
      </w:r>
      <w:r>
        <w:rPr>
          <w:color w:val="231F20"/>
          <w:spacing w:val="-10"/>
          <w:sz w:val="21"/>
        </w:rPr>
        <w:t xml:space="preserve"> </w:t>
      </w:r>
      <w:r>
        <w:rPr>
          <w:color w:val="231F20"/>
          <w:sz w:val="21"/>
        </w:rPr>
        <w:t>наявністю</w:t>
      </w:r>
      <w:r>
        <w:rPr>
          <w:color w:val="231F20"/>
          <w:spacing w:val="-10"/>
          <w:sz w:val="21"/>
        </w:rPr>
        <w:t xml:space="preserve"> </w:t>
      </w:r>
      <w:r>
        <w:rPr>
          <w:color w:val="231F20"/>
          <w:sz w:val="21"/>
        </w:rPr>
        <w:t>спеціал</w:t>
      </w:r>
      <w:r>
        <w:rPr>
          <w:color w:val="231F20"/>
          <w:sz w:val="21"/>
        </w:rPr>
        <w:t>ьних</w:t>
      </w:r>
      <w:r>
        <w:rPr>
          <w:color w:val="231F20"/>
          <w:spacing w:val="-10"/>
          <w:sz w:val="21"/>
        </w:rPr>
        <w:t xml:space="preserve"> </w:t>
      </w:r>
      <w:r>
        <w:rPr>
          <w:color w:val="231F20"/>
          <w:sz w:val="21"/>
        </w:rPr>
        <w:t>звань/чинів/рангів;</w:t>
      </w:r>
      <w:r>
        <w:rPr>
          <w:color w:val="231F20"/>
          <w:spacing w:val="-10"/>
          <w:sz w:val="21"/>
        </w:rPr>
        <w:t xml:space="preserve"> </w:t>
      </w:r>
      <w:r>
        <w:rPr>
          <w:color w:val="231F20"/>
          <w:sz w:val="21"/>
        </w:rPr>
        <w:t>в)</w:t>
      </w:r>
      <w:r>
        <w:rPr>
          <w:color w:val="231F20"/>
          <w:spacing w:val="-10"/>
          <w:sz w:val="21"/>
        </w:rPr>
        <w:t xml:space="preserve"> </w:t>
      </w:r>
      <w:r>
        <w:rPr>
          <w:color w:val="231F20"/>
          <w:sz w:val="21"/>
        </w:rPr>
        <w:t>володіє</w:t>
      </w:r>
      <w:r>
        <w:rPr>
          <w:color w:val="231F20"/>
          <w:spacing w:val="-10"/>
          <w:sz w:val="21"/>
        </w:rPr>
        <w:t xml:space="preserve"> </w:t>
      </w:r>
      <w:r>
        <w:rPr>
          <w:color w:val="231F20"/>
          <w:sz w:val="21"/>
        </w:rPr>
        <w:t>яскраво вираженою (часто традиційною) «галузевістю» та високим рівнем субординаційності відносин; г) часто</w:t>
      </w:r>
      <w:r>
        <w:rPr>
          <w:color w:val="231F20"/>
          <w:position w:val="7"/>
          <w:sz w:val="12"/>
        </w:rPr>
        <w:t xml:space="preserve">2 </w:t>
      </w:r>
      <w:r>
        <w:rPr>
          <w:color w:val="231F20"/>
          <w:sz w:val="21"/>
        </w:rPr>
        <w:t>відзначається особливою системою дисциплінарних</w:t>
      </w:r>
      <w:r>
        <w:rPr>
          <w:color w:val="231F20"/>
          <w:spacing w:val="-2"/>
          <w:sz w:val="21"/>
        </w:rPr>
        <w:t xml:space="preserve"> </w:t>
      </w:r>
      <w:r>
        <w:rPr>
          <w:color w:val="231F20"/>
          <w:sz w:val="21"/>
        </w:rPr>
        <w:t>стягнень.</w:t>
      </w:r>
    </w:p>
    <w:p w14:paraId="129250EB" w14:textId="77777777" w:rsidR="00DE575E" w:rsidRDefault="002E7560">
      <w:pPr>
        <w:pStyle w:val="BodyText"/>
        <w:spacing w:before="4" w:line="252" w:lineRule="auto"/>
        <w:ind w:left="250" w:right="410" w:firstLine="283"/>
        <w:jc w:val="both"/>
      </w:pPr>
      <w:r>
        <w:rPr>
          <w:color w:val="231F20"/>
        </w:rPr>
        <w:t>За ознакою «ратності» спеціалізована служба своєю черг</w:t>
      </w:r>
      <w:r>
        <w:rPr>
          <w:color w:val="231F20"/>
        </w:rPr>
        <w:t>ою розподіляється на два підвиди:</w:t>
      </w:r>
    </w:p>
    <w:p w14:paraId="1236F48E" w14:textId="77777777" w:rsidR="00DE575E" w:rsidRDefault="002E7560">
      <w:pPr>
        <w:pStyle w:val="ListParagraph"/>
        <w:numPr>
          <w:ilvl w:val="0"/>
          <w:numId w:val="118"/>
        </w:numPr>
        <w:tabs>
          <w:tab w:val="left" w:pos="818"/>
        </w:tabs>
        <w:spacing w:line="252" w:lineRule="auto"/>
        <w:ind w:right="411" w:firstLine="283"/>
        <w:jc w:val="both"/>
        <w:rPr>
          <w:sz w:val="21"/>
        </w:rPr>
      </w:pPr>
      <w:r>
        <w:rPr>
          <w:color w:val="231F20"/>
          <w:sz w:val="21"/>
        </w:rPr>
        <w:t>мілітаризована служба, що пов’язана з потенційною потре- бою застосування зброї та/або спеціальних засобів примусу та/або фізичної сили. Інколи вона додатково диференціюється</w:t>
      </w:r>
      <w:r>
        <w:rPr>
          <w:color w:val="231F20"/>
          <w:spacing w:val="-13"/>
          <w:sz w:val="21"/>
        </w:rPr>
        <w:t xml:space="preserve"> </w:t>
      </w:r>
      <w:r>
        <w:rPr>
          <w:color w:val="231F20"/>
          <w:sz w:val="21"/>
        </w:rPr>
        <w:t>на:</w:t>
      </w:r>
    </w:p>
    <w:p w14:paraId="6150B35E" w14:textId="77777777" w:rsidR="00DE575E" w:rsidRDefault="002E7560">
      <w:pPr>
        <w:pStyle w:val="ListParagraph"/>
        <w:numPr>
          <w:ilvl w:val="1"/>
          <w:numId w:val="118"/>
        </w:numPr>
        <w:tabs>
          <w:tab w:val="left" w:pos="1101"/>
        </w:tabs>
        <w:ind w:hanging="283"/>
        <w:jc w:val="left"/>
        <w:rPr>
          <w:sz w:val="21"/>
        </w:rPr>
      </w:pPr>
      <w:r>
        <w:rPr>
          <w:color w:val="231F20"/>
          <w:sz w:val="21"/>
        </w:rPr>
        <w:t>військову (служба в Збройних Силах</w:t>
      </w:r>
      <w:r>
        <w:rPr>
          <w:color w:val="231F20"/>
          <w:spacing w:val="-1"/>
          <w:sz w:val="21"/>
        </w:rPr>
        <w:t xml:space="preserve"> </w:t>
      </w:r>
      <w:r>
        <w:rPr>
          <w:color w:val="231F20"/>
          <w:spacing w:val="-3"/>
          <w:sz w:val="21"/>
        </w:rPr>
        <w:t>України)</w:t>
      </w:r>
      <w:r>
        <w:rPr>
          <w:color w:val="231F20"/>
          <w:spacing w:val="-3"/>
          <w:sz w:val="21"/>
        </w:rPr>
        <w:t>;</w:t>
      </w:r>
    </w:p>
    <w:p w14:paraId="6FFDF76F" w14:textId="77777777" w:rsidR="00DE575E" w:rsidRDefault="002E7560">
      <w:pPr>
        <w:pStyle w:val="ListParagraph"/>
        <w:numPr>
          <w:ilvl w:val="1"/>
          <w:numId w:val="118"/>
        </w:numPr>
        <w:tabs>
          <w:tab w:val="left" w:pos="1101"/>
        </w:tabs>
        <w:spacing w:before="13"/>
        <w:ind w:hanging="283"/>
        <w:jc w:val="left"/>
        <w:rPr>
          <w:sz w:val="21"/>
        </w:rPr>
      </w:pPr>
      <w:r>
        <w:rPr>
          <w:color w:val="231F20"/>
          <w:sz w:val="21"/>
        </w:rPr>
        <w:t>воєнізовану (наприклад, служба в Національній</w:t>
      </w:r>
      <w:r>
        <w:rPr>
          <w:color w:val="231F20"/>
          <w:spacing w:val="-5"/>
          <w:sz w:val="21"/>
        </w:rPr>
        <w:t xml:space="preserve"> </w:t>
      </w:r>
      <w:r>
        <w:rPr>
          <w:color w:val="231F20"/>
          <w:sz w:val="21"/>
        </w:rPr>
        <w:t>поліції);</w:t>
      </w:r>
    </w:p>
    <w:p w14:paraId="7D0A58CD" w14:textId="77777777" w:rsidR="00DE575E" w:rsidRDefault="002E7560">
      <w:pPr>
        <w:pStyle w:val="ListParagraph"/>
        <w:numPr>
          <w:ilvl w:val="0"/>
          <w:numId w:val="118"/>
        </w:numPr>
        <w:tabs>
          <w:tab w:val="left" w:pos="818"/>
        </w:tabs>
        <w:spacing w:before="13" w:line="252" w:lineRule="auto"/>
        <w:ind w:right="411" w:firstLine="283"/>
        <w:jc w:val="both"/>
        <w:rPr>
          <w:sz w:val="21"/>
        </w:rPr>
      </w:pPr>
      <w:r>
        <w:rPr>
          <w:color w:val="231F20"/>
          <w:sz w:val="21"/>
        </w:rPr>
        <w:t>цивільна спеціалізована служба</w:t>
      </w:r>
      <w:r>
        <w:rPr>
          <w:color w:val="231F20"/>
          <w:position w:val="7"/>
          <w:sz w:val="12"/>
        </w:rPr>
        <w:t>3</w:t>
      </w:r>
      <w:r>
        <w:rPr>
          <w:color w:val="231F20"/>
          <w:sz w:val="21"/>
        </w:rPr>
        <w:t>, яка не характеризується потребою</w:t>
      </w:r>
      <w:r>
        <w:rPr>
          <w:color w:val="231F20"/>
          <w:spacing w:val="-13"/>
          <w:sz w:val="21"/>
        </w:rPr>
        <w:t xml:space="preserve"> </w:t>
      </w:r>
      <w:r>
        <w:rPr>
          <w:color w:val="231F20"/>
          <w:sz w:val="21"/>
        </w:rPr>
        <w:t>застосування</w:t>
      </w:r>
      <w:r>
        <w:rPr>
          <w:color w:val="231F20"/>
          <w:spacing w:val="-13"/>
          <w:sz w:val="21"/>
        </w:rPr>
        <w:t xml:space="preserve"> </w:t>
      </w:r>
      <w:r>
        <w:rPr>
          <w:color w:val="231F20"/>
          <w:sz w:val="21"/>
        </w:rPr>
        <w:t>зброї,</w:t>
      </w:r>
      <w:r>
        <w:rPr>
          <w:color w:val="231F20"/>
          <w:spacing w:val="-13"/>
          <w:sz w:val="21"/>
        </w:rPr>
        <w:t xml:space="preserve"> </w:t>
      </w:r>
      <w:r>
        <w:rPr>
          <w:color w:val="231F20"/>
          <w:sz w:val="21"/>
        </w:rPr>
        <w:t>спеціальних</w:t>
      </w:r>
      <w:r>
        <w:rPr>
          <w:color w:val="231F20"/>
          <w:spacing w:val="-13"/>
          <w:sz w:val="21"/>
        </w:rPr>
        <w:t xml:space="preserve"> </w:t>
      </w:r>
      <w:r>
        <w:rPr>
          <w:color w:val="231F20"/>
          <w:sz w:val="21"/>
        </w:rPr>
        <w:t>засобів</w:t>
      </w:r>
      <w:r>
        <w:rPr>
          <w:color w:val="231F20"/>
          <w:spacing w:val="-13"/>
          <w:sz w:val="21"/>
        </w:rPr>
        <w:t xml:space="preserve"> </w:t>
      </w:r>
      <w:r>
        <w:rPr>
          <w:color w:val="231F20"/>
          <w:sz w:val="21"/>
        </w:rPr>
        <w:t>примусу</w:t>
      </w:r>
      <w:r>
        <w:rPr>
          <w:color w:val="231F20"/>
          <w:spacing w:val="-13"/>
          <w:sz w:val="21"/>
        </w:rPr>
        <w:t xml:space="preserve"> </w:t>
      </w:r>
      <w:r>
        <w:rPr>
          <w:color w:val="231F20"/>
          <w:sz w:val="21"/>
        </w:rPr>
        <w:t>чи</w:t>
      </w:r>
      <w:r>
        <w:rPr>
          <w:color w:val="231F20"/>
          <w:spacing w:val="-13"/>
          <w:sz w:val="21"/>
        </w:rPr>
        <w:t xml:space="preserve"> </w:t>
      </w:r>
      <w:r>
        <w:rPr>
          <w:color w:val="231F20"/>
          <w:sz w:val="21"/>
        </w:rPr>
        <w:t>фізич- ної сили (напр., дипломатична</w:t>
      </w:r>
      <w:r>
        <w:rPr>
          <w:color w:val="231F20"/>
          <w:spacing w:val="-3"/>
          <w:sz w:val="21"/>
        </w:rPr>
        <w:t xml:space="preserve"> </w:t>
      </w:r>
      <w:r>
        <w:rPr>
          <w:color w:val="231F20"/>
          <w:sz w:val="21"/>
        </w:rPr>
        <w:t>служба);</w:t>
      </w:r>
    </w:p>
    <w:p w14:paraId="10FDBDDE" w14:textId="77777777" w:rsidR="00DE575E" w:rsidRDefault="002E7560">
      <w:pPr>
        <w:pStyle w:val="ListParagraph"/>
        <w:numPr>
          <w:ilvl w:val="0"/>
          <w:numId w:val="118"/>
        </w:numPr>
        <w:tabs>
          <w:tab w:val="left" w:pos="818"/>
        </w:tabs>
        <w:ind w:left="817"/>
        <w:jc w:val="left"/>
        <w:rPr>
          <w:sz w:val="21"/>
        </w:rPr>
      </w:pPr>
      <w:r>
        <w:rPr>
          <w:b/>
          <w:i/>
          <w:color w:val="231F20"/>
          <w:spacing w:val="-5"/>
          <w:sz w:val="21"/>
        </w:rPr>
        <w:t>залежно</w:t>
      </w:r>
      <w:r>
        <w:rPr>
          <w:b/>
          <w:i/>
          <w:color w:val="231F20"/>
          <w:spacing w:val="-17"/>
          <w:sz w:val="21"/>
        </w:rPr>
        <w:t xml:space="preserve"> </w:t>
      </w:r>
      <w:r>
        <w:rPr>
          <w:b/>
          <w:i/>
          <w:color w:val="231F20"/>
          <w:spacing w:val="-4"/>
          <w:sz w:val="21"/>
        </w:rPr>
        <w:t>від</w:t>
      </w:r>
      <w:r>
        <w:rPr>
          <w:b/>
          <w:i/>
          <w:color w:val="231F20"/>
          <w:spacing w:val="-18"/>
          <w:sz w:val="21"/>
        </w:rPr>
        <w:t xml:space="preserve"> </w:t>
      </w:r>
      <w:r>
        <w:rPr>
          <w:b/>
          <w:i/>
          <w:color w:val="231F20"/>
          <w:spacing w:val="-5"/>
          <w:sz w:val="21"/>
        </w:rPr>
        <w:t>порядку</w:t>
      </w:r>
      <w:r>
        <w:rPr>
          <w:b/>
          <w:i/>
          <w:color w:val="231F20"/>
          <w:spacing w:val="-18"/>
          <w:sz w:val="21"/>
        </w:rPr>
        <w:t xml:space="preserve"> </w:t>
      </w:r>
      <w:r>
        <w:rPr>
          <w:b/>
          <w:i/>
          <w:color w:val="231F20"/>
          <w:spacing w:val="-6"/>
          <w:sz w:val="21"/>
        </w:rPr>
        <w:t>доступу</w:t>
      </w:r>
      <w:r>
        <w:rPr>
          <w:b/>
          <w:i/>
          <w:color w:val="231F20"/>
          <w:spacing w:val="-18"/>
          <w:sz w:val="21"/>
        </w:rPr>
        <w:t xml:space="preserve"> </w:t>
      </w:r>
      <w:r>
        <w:rPr>
          <w:b/>
          <w:i/>
          <w:color w:val="231F20"/>
          <w:spacing w:val="-3"/>
          <w:sz w:val="21"/>
        </w:rPr>
        <w:t>до</w:t>
      </w:r>
      <w:r>
        <w:rPr>
          <w:b/>
          <w:i/>
          <w:color w:val="231F20"/>
          <w:spacing w:val="-17"/>
          <w:sz w:val="21"/>
        </w:rPr>
        <w:t xml:space="preserve"> </w:t>
      </w:r>
      <w:r>
        <w:rPr>
          <w:b/>
          <w:i/>
          <w:color w:val="231F20"/>
          <w:spacing w:val="-5"/>
          <w:sz w:val="21"/>
        </w:rPr>
        <w:t>посади</w:t>
      </w:r>
      <w:r>
        <w:rPr>
          <w:b/>
          <w:i/>
          <w:color w:val="231F20"/>
          <w:spacing w:val="-17"/>
          <w:sz w:val="21"/>
        </w:rPr>
        <w:t xml:space="preserve"> </w:t>
      </w:r>
      <w:r>
        <w:rPr>
          <w:color w:val="231F20"/>
          <w:spacing w:val="-5"/>
          <w:sz w:val="21"/>
        </w:rPr>
        <w:t>публічна</w:t>
      </w:r>
      <w:r>
        <w:rPr>
          <w:color w:val="231F20"/>
          <w:spacing w:val="-18"/>
          <w:sz w:val="21"/>
        </w:rPr>
        <w:t xml:space="preserve"> </w:t>
      </w:r>
      <w:r>
        <w:rPr>
          <w:color w:val="231F20"/>
          <w:spacing w:val="-5"/>
          <w:sz w:val="21"/>
        </w:rPr>
        <w:t>служба</w:t>
      </w:r>
      <w:r>
        <w:rPr>
          <w:color w:val="231F20"/>
          <w:spacing w:val="-18"/>
          <w:sz w:val="21"/>
        </w:rPr>
        <w:t xml:space="preserve"> </w:t>
      </w:r>
      <w:r>
        <w:rPr>
          <w:color w:val="231F20"/>
          <w:spacing w:val="-5"/>
          <w:sz w:val="21"/>
        </w:rPr>
        <w:t>буває:</w:t>
      </w:r>
    </w:p>
    <w:p w14:paraId="716997D5" w14:textId="77777777" w:rsidR="00DE575E" w:rsidRDefault="002E7560">
      <w:pPr>
        <w:pStyle w:val="ListParagraph"/>
        <w:numPr>
          <w:ilvl w:val="1"/>
          <w:numId w:val="118"/>
        </w:numPr>
        <w:tabs>
          <w:tab w:val="left" w:pos="1101"/>
        </w:tabs>
        <w:spacing w:before="13" w:line="252" w:lineRule="auto"/>
        <w:ind w:right="411" w:hanging="283"/>
        <w:jc w:val="left"/>
        <w:rPr>
          <w:sz w:val="21"/>
        </w:rPr>
      </w:pPr>
      <w:r>
        <w:rPr>
          <w:i/>
          <w:color w:val="231F20"/>
          <w:sz w:val="21"/>
        </w:rPr>
        <w:t xml:space="preserve">за результатами виборів </w:t>
      </w:r>
      <w:r>
        <w:rPr>
          <w:color w:val="231F20"/>
          <w:sz w:val="21"/>
        </w:rPr>
        <w:t xml:space="preserve">(Президент </w:t>
      </w:r>
      <w:r>
        <w:rPr>
          <w:color w:val="231F20"/>
          <w:spacing w:val="-3"/>
          <w:sz w:val="21"/>
        </w:rPr>
        <w:t xml:space="preserve">України, </w:t>
      </w:r>
      <w:r>
        <w:rPr>
          <w:color w:val="231F20"/>
          <w:sz w:val="21"/>
        </w:rPr>
        <w:t>народні депутати, сільські, селищні, міські голови</w:t>
      </w:r>
      <w:r>
        <w:rPr>
          <w:color w:val="231F20"/>
          <w:spacing w:val="-5"/>
          <w:sz w:val="21"/>
        </w:rPr>
        <w:t xml:space="preserve"> </w:t>
      </w:r>
      <w:r>
        <w:rPr>
          <w:color w:val="231F20"/>
          <w:sz w:val="21"/>
        </w:rPr>
        <w:t>тощо);</w:t>
      </w:r>
    </w:p>
    <w:p w14:paraId="7AF2AA54" w14:textId="77777777" w:rsidR="00DE575E" w:rsidRDefault="002E7560">
      <w:pPr>
        <w:pStyle w:val="ListParagraph"/>
        <w:numPr>
          <w:ilvl w:val="1"/>
          <w:numId w:val="118"/>
        </w:numPr>
        <w:tabs>
          <w:tab w:val="left" w:pos="1101"/>
        </w:tabs>
        <w:spacing w:line="252" w:lineRule="auto"/>
        <w:ind w:right="411" w:hanging="283"/>
        <w:jc w:val="left"/>
        <w:rPr>
          <w:sz w:val="21"/>
        </w:rPr>
      </w:pPr>
      <w:r>
        <w:rPr>
          <w:i/>
          <w:color w:val="231F20"/>
          <w:sz w:val="21"/>
        </w:rPr>
        <w:t>за призначенням</w:t>
      </w:r>
      <w:r>
        <w:rPr>
          <w:color w:val="231F20"/>
          <w:sz w:val="21"/>
        </w:rPr>
        <w:t xml:space="preserve">, яке (з </w:t>
      </w:r>
      <w:r>
        <w:rPr>
          <w:color w:val="231F20"/>
          <w:spacing w:val="-3"/>
          <w:sz w:val="21"/>
        </w:rPr>
        <w:t xml:space="preserve">огляду </w:t>
      </w:r>
      <w:r>
        <w:rPr>
          <w:color w:val="231F20"/>
          <w:sz w:val="21"/>
        </w:rPr>
        <w:t>на передуючу йому проце- дуру) теж може бути диференційоване</w:t>
      </w:r>
      <w:r>
        <w:rPr>
          <w:color w:val="231F20"/>
          <w:spacing w:val="-6"/>
          <w:sz w:val="21"/>
        </w:rPr>
        <w:t xml:space="preserve"> </w:t>
      </w:r>
      <w:r>
        <w:rPr>
          <w:color w:val="231F20"/>
          <w:sz w:val="21"/>
        </w:rPr>
        <w:t>на:</w:t>
      </w:r>
    </w:p>
    <w:p w14:paraId="4A7D64B5" w14:textId="068B27F5" w:rsidR="00DE575E" w:rsidRDefault="002E7560">
      <w:pPr>
        <w:pStyle w:val="BodyText"/>
        <w:rPr>
          <w:sz w:val="22"/>
        </w:rPr>
      </w:pPr>
      <w:r>
        <w:rPr>
          <w:noProof/>
        </w:rPr>
        <mc:AlternateContent>
          <mc:Choice Requires="wps">
            <w:drawing>
              <wp:anchor distT="0" distB="0" distL="0" distR="0" simplePos="0" relativeHeight="13624" behindDoc="0" locked="0" layoutInCell="1" allowOverlap="1" wp14:anchorId="45983338" wp14:editId="09E08CED">
                <wp:simplePos x="0" y="0"/>
                <wp:positionH relativeFrom="page">
                  <wp:posOffset>539750</wp:posOffset>
                </wp:positionH>
                <wp:positionV relativeFrom="paragraph">
                  <wp:posOffset>191770</wp:posOffset>
                </wp:positionV>
                <wp:extent cx="1080135" cy="0"/>
                <wp:effectExtent l="6350" t="13970" r="31115" b="24130"/>
                <wp:wrapTopAndBottom/>
                <wp:docPr id="53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C7349" id="Line_x0020_534" o:spid="_x0000_s1026" style="position:absolute;z-index:13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5.1pt" to="127.55pt,1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DeciE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" strokecolor="#231f20" strokeweight=".5pt">
                <w10:wrap type="topAndBottom" anchorx="page"/>
              </v:line>
            </w:pict>
          </mc:Fallback>
        </mc:AlternateContent>
      </w:r>
    </w:p>
    <w:p w14:paraId="478D47E6" w14:textId="77777777" w:rsidR="00DE575E" w:rsidRDefault="002E7560">
      <w:pPr>
        <w:spacing w:line="162" w:lineRule="exact"/>
        <w:ind w:left="250"/>
        <w:rPr>
          <w:sz w:val="16"/>
        </w:rPr>
      </w:pPr>
      <w:r>
        <w:rPr>
          <w:color w:val="231F20"/>
          <w:position w:val="5"/>
          <w:sz w:val="9"/>
        </w:rPr>
        <w:t xml:space="preserve">1 </w:t>
      </w:r>
      <w:r>
        <w:rPr>
          <w:color w:val="231F20"/>
          <w:sz w:val="16"/>
        </w:rPr>
        <w:t>Варто наголосити, що вся спеціалізована служба належить до державної служби.</w:t>
      </w:r>
    </w:p>
    <w:p w14:paraId="120C1BB9" w14:textId="77777777" w:rsidR="00DE575E" w:rsidRDefault="002E7560">
      <w:pPr>
        <w:spacing w:before="23" w:line="204" w:lineRule="auto"/>
        <w:ind w:left="250" w:right="411"/>
        <w:jc w:val="both"/>
        <w:rPr>
          <w:sz w:val="16"/>
        </w:rPr>
      </w:pPr>
      <w:r>
        <w:rPr>
          <w:color w:val="231F20"/>
          <w:position w:val="5"/>
          <w:sz w:val="9"/>
        </w:rPr>
        <w:t xml:space="preserve">2 </w:t>
      </w:r>
      <w:r>
        <w:rPr>
          <w:color w:val="231F20"/>
          <w:sz w:val="16"/>
        </w:rPr>
        <w:t>Наявні приклади, коли система особливих дисциплінарних стягнень для певної спе- ціалізованої служби не є встановленою (або була скасована з модернізаційною перспек- тивою, пізніше вийшла зі сфери нормотворчих прерогатив парламенту та, як підсумок, залишаєт</w:t>
      </w:r>
      <w:r>
        <w:rPr>
          <w:color w:val="231F20"/>
          <w:sz w:val="16"/>
        </w:rPr>
        <w:t>ься в межах загальнослужбової регламентації – у випадку з митною службою). Загалом спостерігається тенденція до зменшення кількості особливих систем дисциплі- нарних стягнень.</w:t>
      </w:r>
    </w:p>
    <w:p w14:paraId="75904186" w14:textId="77777777" w:rsidR="00DE575E" w:rsidRDefault="002E7560">
      <w:pPr>
        <w:spacing w:before="32" w:line="204" w:lineRule="auto"/>
        <w:ind w:left="250" w:right="410"/>
        <w:jc w:val="both"/>
        <w:rPr>
          <w:sz w:val="16"/>
        </w:rPr>
      </w:pPr>
      <w:r>
        <w:rPr>
          <w:color w:val="231F20"/>
          <w:position w:val="5"/>
          <w:sz w:val="9"/>
        </w:rPr>
        <w:t xml:space="preserve">3 </w:t>
      </w:r>
      <w:r>
        <w:rPr>
          <w:color w:val="231F20"/>
          <w:sz w:val="16"/>
        </w:rPr>
        <w:t>У цьому разі мається на увазі цивільна спеціалізована служба. Водночас «цивіль</w:t>
      </w:r>
      <w:r>
        <w:rPr>
          <w:color w:val="231F20"/>
          <w:sz w:val="16"/>
        </w:rPr>
        <w:t>ною» публічною</w:t>
      </w:r>
      <w:r>
        <w:rPr>
          <w:color w:val="231F20"/>
          <w:spacing w:val="-9"/>
          <w:sz w:val="16"/>
        </w:rPr>
        <w:t xml:space="preserve"> </w:t>
      </w:r>
      <w:r>
        <w:rPr>
          <w:color w:val="231F20"/>
          <w:sz w:val="16"/>
        </w:rPr>
        <w:t>службою</w:t>
      </w:r>
      <w:r>
        <w:rPr>
          <w:color w:val="231F20"/>
          <w:spacing w:val="-9"/>
          <w:sz w:val="16"/>
        </w:rPr>
        <w:t xml:space="preserve"> </w:t>
      </w:r>
      <w:r>
        <w:rPr>
          <w:color w:val="231F20"/>
          <w:sz w:val="16"/>
        </w:rPr>
        <w:t>в</w:t>
      </w:r>
      <w:r>
        <w:rPr>
          <w:color w:val="231F20"/>
          <w:spacing w:val="-9"/>
          <w:sz w:val="16"/>
        </w:rPr>
        <w:t xml:space="preserve"> </w:t>
      </w:r>
      <w:r>
        <w:rPr>
          <w:color w:val="231F20"/>
          <w:sz w:val="16"/>
        </w:rPr>
        <w:t>літературі</w:t>
      </w:r>
      <w:r>
        <w:rPr>
          <w:color w:val="231F20"/>
          <w:spacing w:val="-9"/>
          <w:sz w:val="16"/>
        </w:rPr>
        <w:t xml:space="preserve"> </w:t>
      </w:r>
      <w:r>
        <w:rPr>
          <w:color w:val="231F20"/>
          <w:sz w:val="16"/>
        </w:rPr>
        <w:t>часто</w:t>
      </w:r>
      <w:r>
        <w:rPr>
          <w:color w:val="231F20"/>
          <w:spacing w:val="-9"/>
          <w:sz w:val="16"/>
        </w:rPr>
        <w:t xml:space="preserve"> </w:t>
      </w:r>
      <w:r>
        <w:rPr>
          <w:color w:val="231F20"/>
          <w:sz w:val="16"/>
        </w:rPr>
        <w:t>називають</w:t>
      </w:r>
      <w:r>
        <w:rPr>
          <w:color w:val="231F20"/>
          <w:spacing w:val="-9"/>
          <w:sz w:val="16"/>
        </w:rPr>
        <w:t xml:space="preserve"> </w:t>
      </w:r>
      <w:r>
        <w:rPr>
          <w:color w:val="231F20"/>
          <w:sz w:val="16"/>
        </w:rPr>
        <w:t>значно</w:t>
      </w:r>
      <w:r>
        <w:rPr>
          <w:color w:val="231F20"/>
          <w:spacing w:val="-9"/>
          <w:sz w:val="16"/>
        </w:rPr>
        <w:t xml:space="preserve"> </w:t>
      </w:r>
      <w:r>
        <w:rPr>
          <w:color w:val="231F20"/>
          <w:sz w:val="16"/>
        </w:rPr>
        <w:t>ширше</w:t>
      </w:r>
      <w:r>
        <w:rPr>
          <w:color w:val="231F20"/>
          <w:spacing w:val="-9"/>
          <w:sz w:val="16"/>
        </w:rPr>
        <w:t xml:space="preserve"> </w:t>
      </w:r>
      <w:r>
        <w:rPr>
          <w:color w:val="231F20"/>
          <w:sz w:val="16"/>
        </w:rPr>
        <w:t>коло</w:t>
      </w:r>
      <w:r>
        <w:rPr>
          <w:color w:val="231F20"/>
          <w:spacing w:val="-9"/>
          <w:sz w:val="16"/>
        </w:rPr>
        <w:t xml:space="preserve"> </w:t>
      </w:r>
      <w:r>
        <w:rPr>
          <w:color w:val="231F20"/>
          <w:sz w:val="16"/>
        </w:rPr>
        <w:t>функціонерів</w:t>
      </w:r>
      <w:r>
        <w:rPr>
          <w:color w:val="231F20"/>
          <w:spacing w:val="-10"/>
          <w:sz w:val="16"/>
        </w:rPr>
        <w:t xml:space="preserve"> </w:t>
      </w:r>
      <w:r>
        <w:rPr>
          <w:color w:val="231F20"/>
          <w:sz w:val="16"/>
        </w:rPr>
        <w:t>–</w:t>
      </w:r>
      <w:r>
        <w:rPr>
          <w:color w:val="231F20"/>
          <w:spacing w:val="-9"/>
          <w:sz w:val="16"/>
        </w:rPr>
        <w:t xml:space="preserve"> </w:t>
      </w:r>
      <w:r>
        <w:rPr>
          <w:color w:val="231F20"/>
          <w:sz w:val="16"/>
        </w:rPr>
        <w:t>усіх, окрім мілітаризованої (як підвиду спеціалізованої) служби: непрофесійних, адміністра- тивних</w:t>
      </w:r>
      <w:r>
        <w:rPr>
          <w:color w:val="231F20"/>
          <w:spacing w:val="-5"/>
          <w:sz w:val="16"/>
        </w:rPr>
        <w:t xml:space="preserve"> </w:t>
      </w:r>
      <w:r>
        <w:rPr>
          <w:color w:val="231F20"/>
          <w:sz w:val="16"/>
        </w:rPr>
        <w:t>та</w:t>
      </w:r>
      <w:r>
        <w:rPr>
          <w:color w:val="231F20"/>
          <w:spacing w:val="-5"/>
          <w:sz w:val="16"/>
        </w:rPr>
        <w:t xml:space="preserve"> </w:t>
      </w:r>
      <w:r>
        <w:rPr>
          <w:color w:val="231F20"/>
          <w:sz w:val="16"/>
        </w:rPr>
        <w:t>спеціалізованих</w:t>
      </w:r>
      <w:r>
        <w:rPr>
          <w:color w:val="231F20"/>
          <w:spacing w:val="-5"/>
          <w:sz w:val="16"/>
        </w:rPr>
        <w:t xml:space="preserve"> </w:t>
      </w:r>
      <w:r>
        <w:rPr>
          <w:color w:val="231F20"/>
          <w:sz w:val="16"/>
        </w:rPr>
        <w:t>цивільних</w:t>
      </w:r>
      <w:r>
        <w:rPr>
          <w:color w:val="231F20"/>
          <w:spacing w:val="-5"/>
          <w:sz w:val="16"/>
        </w:rPr>
        <w:t xml:space="preserve"> </w:t>
      </w:r>
      <w:r>
        <w:rPr>
          <w:color w:val="231F20"/>
          <w:sz w:val="16"/>
        </w:rPr>
        <w:t>посадовців</w:t>
      </w:r>
      <w:r>
        <w:rPr>
          <w:color w:val="231F20"/>
          <w:spacing w:val="-5"/>
          <w:sz w:val="16"/>
        </w:rPr>
        <w:t xml:space="preserve"> </w:t>
      </w:r>
      <w:r>
        <w:rPr>
          <w:color w:val="231F20"/>
          <w:sz w:val="16"/>
        </w:rPr>
        <w:t>(у</w:t>
      </w:r>
      <w:r>
        <w:rPr>
          <w:color w:val="231F20"/>
          <w:spacing w:val="-5"/>
          <w:sz w:val="16"/>
        </w:rPr>
        <w:t xml:space="preserve"> </w:t>
      </w:r>
      <w:r>
        <w:rPr>
          <w:color w:val="231F20"/>
          <w:sz w:val="16"/>
        </w:rPr>
        <w:t>приведеній</w:t>
      </w:r>
      <w:r>
        <w:rPr>
          <w:color w:val="231F20"/>
          <w:spacing w:val="-5"/>
          <w:sz w:val="16"/>
        </w:rPr>
        <w:t xml:space="preserve"> </w:t>
      </w:r>
      <w:r>
        <w:rPr>
          <w:color w:val="231F20"/>
          <w:sz w:val="16"/>
        </w:rPr>
        <w:t>нами</w:t>
      </w:r>
      <w:r>
        <w:rPr>
          <w:color w:val="231F20"/>
          <w:spacing w:val="-5"/>
          <w:sz w:val="16"/>
        </w:rPr>
        <w:t xml:space="preserve"> </w:t>
      </w:r>
      <w:r>
        <w:rPr>
          <w:color w:val="231F20"/>
          <w:sz w:val="16"/>
        </w:rPr>
        <w:t>класифікації)</w:t>
      </w:r>
      <w:r>
        <w:rPr>
          <w:color w:val="231F20"/>
          <w:sz w:val="16"/>
        </w:rPr>
        <w:t>.</w:t>
      </w:r>
      <w:r>
        <w:rPr>
          <w:color w:val="231F20"/>
          <w:spacing w:val="-5"/>
          <w:sz w:val="16"/>
        </w:rPr>
        <w:t xml:space="preserve"> </w:t>
      </w:r>
      <w:r>
        <w:rPr>
          <w:color w:val="231F20"/>
          <w:spacing w:val="-4"/>
          <w:sz w:val="16"/>
        </w:rPr>
        <w:t xml:space="preserve">Також </w:t>
      </w:r>
      <w:r>
        <w:rPr>
          <w:color w:val="231F20"/>
          <w:sz w:val="16"/>
        </w:rPr>
        <w:t xml:space="preserve">слід звернути увагу на одну з дефініцій проєкту Концепції реформування публічної адмі- ністрації в Україні </w:t>
      </w:r>
      <w:r>
        <w:rPr>
          <w:color w:val="231F20"/>
          <w:spacing w:val="-4"/>
          <w:sz w:val="16"/>
        </w:rPr>
        <w:t xml:space="preserve">(ЦППР, </w:t>
      </w:r>
      <w:r>
        <w:rPr>
          <w:color w:val="231F20"/>
          <w:sz w:val="16"/>
        </w:rPr>
        <w:t>2006 р.): «публічна служба – професійна, політично нейтральна цивільна служба в органах державної влади та органах місцевого самовряду</w:t>
      </w:r>
      <w:r>
        <w:rPr>
          <w:color w:val="231F20"/>
          <w:sz w:val="16"/>
        </w:rPr>
        <w:t>вання». Як бачимо, трактування публічної служби обмежується діяльністю, що є професійною (вузь- кий підхід) та цивільною (в її широкому сприйнятті). Чому мілітаризована служба зали- шена авторами поза змістом «публічної»? – роз’яснення</w:t>
      </w:r>
      <w:r>
        <w:rPr>
          <w:color w:val="231F20"/>
          <w:spacing w:val="-6"/>
          <w:sz w:val="16"/>
        </w:rPr>
        <w:t xml:space="preserve"> </w:t>
      </w:r>
      <w:r>
        <w:rPr>
          <w:color w:val="231F20"/>
          <w:sz w:val="16"/>
        </w:rPr>
        <w:t>відсутнє.</w:t>
      </w:r>
    </w:p>
    <w:p w14:paraId="3A2EB029" w14:textId="77777777" w:rsidR="00DE575E" w:rsidRDefault="00DE575E">
      <w:pPr>
        <w:pStyle w:val="BodyText"/>
        <w:spacing w:before="9"/>
        <w:rPr>
          <w:sz w:val="12"/>
        </w:rPr>
      </w:pPr>
    </w:p>
    <w:p w14:paraId="2C28DFC0" w14:textId="77777777" w:rsidR="00DE575E" w:rsidRDefault="002E7560">
      <w:pPr>
        <w:spacing w:before="92"/>
        <w:ind w:right="411"/>
        <w:jc w:val="right"/>
        <w:rPr>
          <w:rFonts w:ascii="Times New Roman"/>
          <w:sz w:val="20"/>
        </w:rPr>
      </w:pPr>
      <w:r>
        <w:rPr>
          <w:rFonts w:ascii="Times New Roman"/>
          <w:color w:val="231F20"/>
          <w:w w:val="90"/>
          <w:sz w:val="20"/>
        </w:rPr>
        <w:t>349</w:t>
      </w:r>
    </w:p>
    <w:p w14:paraId="371C8DD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D7A105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ED21CB8" w14:textId="2036DA6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AF1C807" wp14:editId="31C651A4">
                <wp:extent cx="4140200" cy="6350"/>
                <wp:effectExtent l="0" t="0" r="12700" b="6350"/>
                <wp:docPr id="53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34" name="Line 5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D2C54E" id="Group_x0020_5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2eg/V/AgAAmAUAAA4A&#10;AAAAAAAAAAAAAAAALAIAAGRycy9lMm9Eb2MueG1sUEsBAi0AFAAGAAgAAAAhAEynsJDZAAAAAwEA&#10;AA8AAAAAAAAAAAAAAAAA1wQAAGRycy9kb3ducmV2LnhtbFBLBQYAAAAABAAEAPMAAADdBQAAAAA=&#10;">
                <v:line id="Line_x0020_5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p0scAAADcAAAADwAAAGRycy9kb3ducmV2LnhtbESP3WrCQBSE7wXfYTkFb0rdtKlFoqtI&#10;oSC98C8+wDF7TEJ3z8bsatI+fbdQ8HKYmW+Y+bK3Rtyo9bVjBc/jBARx4XTNpYJj/vE0BeEDskbj&#10;mBR8k4flYjiYY6Zdx3u6HUIpIoR9hgqqEJpMSl9UZNGPXUMcvbNrLYYo21LqFrsIt0a+JMmbtFhz&#10;XKiwofeKiq/D1SrIL4/B7Lafpsu3p1SeLpv057pRavTQr2YgAvXhHv5vr7WCSfo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XCnSxwAAANwAAAAPAAAAAAAA&#10;AAAAAAAAAKECAABkcnMvZG93bnJldi54bWxQSwUGAAAAAAQABAD5AAAAlQMAAAAA&#10;" strokecolor="#231f20" strokeweight=".5pt"/>
                <w10:anchorlock/>
              </v:group>
            </w:pict>
          </mc:Fallback>
        </mc:AlternateContent>
      </w:r>
    </w:p>
    <w:p w14:paraId="4DA49862" w14:textId="77777777" w:rsidR="00DE575E" w:rsidRDefault="00DE575E">
      <w:pPr>
        <w:pStyle w:val="BodyText"/>
        <w:spacing w:before="7"/>
        <w:rPr>
          <w:rFonts w:ascii="AdonisC"/>
          <w:i/>
          <w:sz w:val="11"/>
        </w:rPr>
      </w:pPr>
    </w:p>
    <w:p w14:paraId="3E76C3C4" w14:textId="77777777" w:rsidR="00DE575E" w:rsidRDefault="002E7560">
      <w:pPr>
        <w:pStyle w:val="ListParagraph"/>
        <w:numPr>
          <w:ilvl w:val="0"/>
          <w:numId w:val="117"/>
        </w:numPr>
        <w:tabs>
          <w:tab w:val="left" w:pos="1612"/>
        </w:tabs>
        <w:spacing w:before="101" w:line="252" w:lineRule="auto"/>
        <w:ind w:right="128" w:hanging="283"/>
        <w:rPr>
          <w:sz w:val="21"/>
        </w:rPr>
      </w:pPr>
      <w:r>
        <w:rPr>
          <w:color w:val="231F20"/>
          <w:sz w:val="21"/>
        </w:rPr>
        <w:t xml:space="preserve">конкурсне призначення (здійснюється за </w:t>
      </w:r>
      <w:r>
        <w:rPr>
          <w:color w:val="231F20"/>
          <w:spacing w:val="-3"/>
          <w:sz w:val="21"/>
        </w:rPr>
        <w:t xml:space="preserve">результа-  </w:t>
      </w:r>
      <w:r>
        <w:rPr>
          <w:color w:val="231F20"/>
          <w:sz w:val="21"/>
        </w:rPr>
        <w:t xml:space="preserve">тами проведення кваліфікаційного </w:t>
      </w:r>
      <w:r>
        <w:rPr>
          <w:color w:val="231F20"/>
          <w:spacing w:val="-3"/>
          <w:sz w:val="21"/>
        </w:rPr>
        <w:t xml:space="preserve">відбору, </w:t>
      </w:r>
      <w:r>
        <w:rPr>
          <w:color w:val="231F20"/>
          <w:sz w:val="21"/>
        </w:rPr>
        <w:t>у процесі якого перевіряється рівень професійної компетентно- сті кандидатів та відбирається або один</w:t>
      </w:r>
      <w:r>
        <w:rPr>
          <w:color w:val="231F20"/>
          <w:position w:val="7"/>
          <w:sz w:val="12"/>
        </w:rPr>
        <w:t>1</w:t>
      </w:r>
      <w:r>
        <w:rPr>
          <w:color w:val="231F20"/>
          <w:sz w:val="21"/>
        </w:rPr>
        <w:t>, або декілька переможців</w:t>
      </w:r>
      <w:r>
        <w:rPr>
          <w:color w:val="231F20"/>
          <w:position w:val="7"/>
          <w:sz w:val="12"/>
        </w:rPr>
        <w:t>2</w:t>
      </w:r>
      <w:r>
        <w:rPr>
          <w:color w:val="231F20"/>
          <w:sz w:val="21"/>
        </w:rPr>
        <w:t>, або формується рейтинговий список фахо- вості</w:t>
      </w:r>
      <w:r>
        <w:rPr>
          <w:color w:val="231F20"/>
          <w:spacing w:val="-1"/>
          <w:sz w:val="21"/>
        </w:rPr>
        <w:t xml:space="preserve"> </w:t>
      </w:r>
      <w:r>
        <w:rPr>
          <w:color w:val="231F20"/>
          <w:sz w:val="21"/>
        </w:rPr>
        <w:t>претендентів</w:t>
      </w:r>
      <w:r>
        <w:rPr>
          <w:color w:val="231F20"/>
          <w:position w:val="7"/>
          <w:sz w:val="12"/>
        </w:rPr>
        <w:t>3</w:t>
      </w:r>
      <w:r>
        <w:rPr>
          <w:color w:val="231F20"/>
          <w:sz w:val="21"/>
        </w:rPr>
        <w:t>);</w:t>
      </w:r>
    </w:p>
    <w:p w14:paraId="6D40F9B6" w14:textId="77777777" w:rsidR="00DE575E" w:rsidRDefault="002E7560">
      <w:pPr>
        <w:pStyle w:val="ListParagraph"/>
        <w:numPr>
          <w:ilvl w:val="0"/>
          <w:numId w:val="117"/>
        </w:numPr>
        <w:tabs>
          <w:tab w:val="left" w:pos="1612"/>
        </w:tabs>
        <w:spacing w:before="3" w:line="252" w:lineRule="auto"/>
        <w:ind w:right="127" w:hanging="283"/>
        <w:rPr>
          <w:sz w:val="21"/>
        </w:rPr>
      </w:pPr>
      <w:r>
        <w:rPr>
          <w:color w:val="231F20"/>
          <w:sz w:val="21"/>
        </w:rPr>
        <w:t xml:space="preserve">позаконкурсне призначення (здійснюється без кваліфі- каційного </w:t>
      </w:r>
      <w:r>
        <w:rPr>
          <w:color w:val="231F20"/>
          <w:spacing w:val="-3"/>
          <w:sz w:val="21"/>
        </w:rPr>
        <w:t xml:space="preserve">відбору, </w:t>
      </w:r>
      <w:r>
        <w:rPr>
          <w:color w:val="231F20"/>
          <w:sz w:val="21"/>
        </w:rPr>
        <w:t>на основі політичних</w:t>
      </w:r>
      <w:r>
        <w:rPr>
          <w:color w:val="231F20"/>
          <w:position w:val="7"/>
          <w:sz w:val="12"/>
        </w:rPr>
        <w:t xml:space="preserve">4 </w:t>
      </w:r>
      <w:r>
        <w:rPr>
          <w:color w:val="231F20"/>
          <w:sz w:val="21"/>
        </w:rPr>
        <w:t>чи особистіс- них вподобань</w:t>
      </w:r>
      <w:r>
        <w:rPr>
          <w:color w:val="231F20"/>
          <w:position w:val="7"/>
          <w:sz w:val="12"/>
        </w:rPr>
        <w:t>5</w:t>
      </w:r>
      <w:r>
        <w:rPr>
          <w:color w:val="231F20"/>
          <w:sz w:val="21"/>
        </w:rPr>
        <w:t>, ураховуючи службову «наступність» із попередньою, зайнятою на підст</w:t>
      </w:r>
      <w:r>
        <w:rPr>
          <w:color w:val="231F20"/>
          <w:sz w:val="21"/>
        </w:rPr>
        <w:t xml:space="preserve">аві </w:t>
      </w:r>
      <w:r>
        <w:rPr>
          <w:color w:val="231F20"/>
          <w:spacing w:val="-3"/>
          <w:sz w:val="21"/>
        </w:rPr>
        <w:t xml:space="preserve">конкурсу, </w:t>
      </w:r>
      <w:r>
        <w:rPr>
          <w:color w:val="231F20"/>
          <w:sz w:val="21"/>
        </w:rPr>
        <w:t>посадою</w:t>
      </w:r>
      <w:r>
        <w:rPr>
          <w:color w:val="231F20"/>
          <w:position w:val="7"/>
          <w:sz w:val="12"/>
        </w:rPr>
        <w:t>6</w:t>
      </w:r>
      <w:r>
        <w:rPr>
          <w:color w:val="231F20"/>
          <w:sz w:val="12"/>
        </w:rPr>
        <w:t xml:space="preserve"> </w:t>
      </w:r>
      <w:r>
        <w:rPr>
          <w:color w:val="231F20"/>
          <w:sz w:val="21"/>
        </w:rPr>
        <w:t>або винятковості адміністративної</w:t>
      </w:r>
      <w:r>
        <w:rPr>
          <w:color w:val="231F20"/>
          <w:spacing w:val="-14"/>
          <w:sz w:val="21"/>
        </w:rPr>
        <w:t xml:space="preserve"> </w:t>
      </w:r>
      <w:r>
        <w:rPr>
          <w:color w:val="231F20"/>
          <w:sz w:val="21"/>
        </w:rPr>
        <w:t>ситуації/режиму</w:t>
      </w:r>
      <w:r>
        <w:rPr>
          <w:color w:val="231F20"/>
          <w:position w:val="7"/>
          <w:sz w:val="12"/>
        </w:rPr>
        <w:t>7</w:t>
      </w:r>
      <w:r>
        <w:rPr>
          <w:color w:val="231F20"/>
          <w:sz w:val="21"/>
        </w:rPr>
        <w:t>);</w:t>
      </w:r>
    </w:p>
    <w:p w14:paraId="70B8AE34" w14:textId="77777777" w:rsidR="00DE575E" w:rsidRDefault="002E7560">
      <w:pPr>
        <w:pStyle w:val="Heading6"/>
        <w:numPr>
          <w:ilvl w:val="0"/>
          <w:numId w:val="118"/>
        </w:numPr>
        <w:tabs>
          <w:tab w:val="left" w:pos="1101"/>
        </w:tabs>
        <w:spacing w:before="2"/>
        <w:ind w:left="1100" w:hanging="283"/>
        <w:jc w:val="left"/>
        <w:rPr>
          <w:b w:val="0"/>
          <w:i w:val="0"/>
        </w:rPr>
      </w:pPr>
      <w:r>
        <w:rPr>
          <w:color w:val="231F20"/>
        </w:rPr>
        <w:t>залежно від характеру</w:t>
      </w:r>
      <w:r>
        <w:rPr>
          <w:color w:val="231F20"/>
          <w:spacing w:val="-5"/>
        </w:rPr>
        <w:t xml:space="preserve"> </w:t>
      </w:r>
      <w:r>
        <w:rPr>
          <w:color w:val="231F20"/>
        </w:rPr>
        <w:t>повноважень</w:t>
      </w:r>
      <w:r>
        <w:rPr>
          <w:b w:val="0"/>
          <w:i w:val="0"/>
          <w:color w:val="231F20"/>
        </w:rPr>
        <w:t>:</w:t>
      </w:r>
    </w:p>
    <w:p w14:paraId="78000117" w14:textId="77777777" w:rsidR="00DE575E" w:rsidRDefault="002E7560">
      <w:pPr>
        <w:pStyle w:val="ListParagraph"/>
        <w:numPr>
          <w:ilvl w:val="1"/>
          <w:numId w:val="118"/>
        </w:numPr>
        <w:tabs>
          <w:tab w:val="left" w:pos="1385"/>
        </w:tabs>
        <w:spacing w:before="13" w:line="252" w:lineRule="auto"/>
        <w:ind w:left="1384" w:right="126"/>
        <w:rPr>
          <w:sz w:val="21"/>
        </w:rPr>
      </w:pPr>
      <w:r>
        <w:rPr>
          <w:i/>
          <w:color w:val="231F20"/>
          <w:sz w:val="21"/>
        </w:rPr>
        <w:t xml:space="preserve">публічна служба на керівних посадах </w:t>
      </w:r>
      <w:r>
        <w:rPr>
          <w:color w:val="231F20"/>
          <w:sz w:val="21"/>
        </w:rPr>
        <w:t xml:space="preserve">– здійснюється </w:t>
      </w:r>
      <w:r>
        <w:rPr>
          <w:color w:val="231F20"/>
          <w:spacing w:val="-4"/>
          <w:sz w:val="21"/>
        </w:rPr>
        <w:t xml:space="preserve">суб’єк- </w:t>
      </w:r>
      <w:r>
        <w:rPr>
          <w:color w:val="231F20"/>
          <w:sz w:val="21"/>
        </w:rPr>
        <w:t>тами, які наділені організаційно-розпорядчими повнова- женнями</w:t>
      </w:r>
      <w:r>
        <w:rPr>
          <w:color w:val="231F20"/>
          <w:spacing w:val="-9"/>
          <w:sz w:val="21"/>
        </w:rPr>
        <w:t xml:space="preserve"> </w:t>
      </w:r>
      <w:r>
        <w:rPr>
          <w:color w:val="231F20"/>
          <w:sz w:val="21"/>
        </w:rPr>
        <w:t>(емпірично</w:t>
      </w:r>
      <w:r>
        <w:rPr>
          <w:color w:val="231F20"/>
          <w:spacing w:val="-9"/>
          <w:sz w:val="21"/>
        </w:rPr>
        <w:t xml:space="preserve"> </w:t>
      </w:r>
      <w:r>
        <w:rPr>
          <w:color w:val="231F20"/>
          <w:sz w:val="21"/>
        </w:rPr>
        <w:t>встановлюються</w:t>
      </w:r>
      <w:r>
        <w:rPr>
          <w:color w:val="231F20"/>
          <w:spacing w:val="-9"/>
          <w:sz w:val="21"/>
        </w:rPr>
        <w:t xml:space="preserve"> </w:t>
      </w:r>
      <w:r>
        <w:rPr>
          <w:color w:val="231F20"/>
          <w:sz w:val="21"/>
        </w:rPr>
        <w:t>через</w:t>
      </w:r>
      <w:r>
        <w:rPr>
          <w:color w:val="231F20"/>
          <w:spacing w:val="-9"/>
          <w:sz w:val="21"/>
        </w:rPr>
        <w:t xml:space="preserve"> </w:t>
      </w:r>
      <w:r>
        <w:rPr>
          <w:color w:val="231F20"/>
          <w:sz w:val="21"/>
        </w:rPr>
        <w:t>наявність</w:t>
      </w:r>
      <w:r>
        <w:rPr>
          <w:color w:val="231F20"/>
          <w:spacing w:val="-9"/>
          <w:sz w:val="21"/>
        </w:rPr>
        <w:t xml:space="preserve"> </w:t>
      </w:r>
      <w:r>
        <w:rPr>
          <w:color w:val="231F20"/>
          <w:sz w:val="21"/>
        </w:rPr>
        <w:t>хоча б одного</w:t>
      </w:r>
      <w:r>
        <w:rPr>
          <w:color w:val="231F20"/>
          <w:spacing w:val="-3"/>
          <w:sz w:val="21"/>
        </w:rPr>
        <w:t xml:space="preserve"> </w:t>
      </w:r>
      <w:r>
        <w:rPr>
          <w:color w:val="231F20"/>
          <w:sz w:val="21"/>
        </w:rPr>
        <w:t>підлеглого);</w:t>
      </w:r>
    </w:p>
    <w:p w14:paraId="3336C777" w14:textId="77777777" w:rsidR="00DE575E" w:rsidRDefault="002E7560">
      <w:pPr>
        <w:pStyle w:val="ListParagraph"/>
        <w:numPr>
          <w:ilvl w:val="1"/>
          <w:numId w:val="118"/>
        </w:numPr>
        <w:tabs>
          <w:tab w:val="left" w:pos="1385"/>
        </w:tabs>
        <w:spacing w:before="2" w:line="252" w:lineRule="auto"/>
        <w:ind w:left="1384" w:right="128"/>
        <w:rPr>
          <w:sz w:val="21"/>
        </w:rPr>
      </w:pPr>
      <w:r>
        <w:rPr>
          <w:i/>
          <w:color w:val="231F20"/>
          <w:spacing w:val="-3"/>
          <w:sz w:val="21"/>
        </w:rPr>
        <w:t xml:space="preserve">публічна служба </w:t>
      </w:r>
      <w:r>
        <w:rPr>
          <w:i/>
          <w:color w:val="231F20"/>
          <w:sz w:val="21"/>
        </w:rPr>
        <w:t xml:space="preserve">на </w:t>
      </w:r>
      <w:r>
        <w:rPr>
          <w:i/>
          <w:color w:val="231F20"/>
          <w:spacing w:val="-3"/>
          <w:sz w:val="21"/>
        </w:rPr>
        <w:t xml:space="preserve">посадах спеціалістів </w:t>
      </w:r>
      <w:r>
        <w:rPr>
          <w:color w:val="231F20"/>
          <w:sz w:val="21"/>
        </w:rPr>
        <w:t xml:space="preserve">– </w:t>
      </w:r>
      <w:r>
        <w:rPr>
          <w:color w:val="231F20"/>
          <w:spacing w:val="-3"/>
          <w:sz w:val="21"/>
        </w:rPr>
        <w:t xml:space="preserve">здійснюється </w:t>
      </w:r>
      <w:r>
        <w:rPr>
          <w:color w:val="231F20"/>
          <w:spacing w:val="-5"/>
          <w:sz w:val="21"/>
        </w:rPr>
        <w:t xml:space="preserve">суб’єктами, </w:t>
      </w:r>
      <w:r>
        <w:rPr>
          <w:color w:val="231F20"/>
          <w:sz w:val="21"/>
        </w:rPr>
        <w:t xml:space="preserve">які не </w:t>
      </w:r>
      <w:r>
        <w:rPr>
          <w:color w:val="231F20"/>
          <w:spacing w:val="-3"/>
          <w:sz w:val="21"/>
        </w:rPr>
        <w:t>наділені організаційно-розпорядчими правоможностями,</w:t>
      </w:r>
      <w:r>
        <w:rPr>
          <w:color w:val="231F20"/>
          <w:spacing w:val="-13"/>
          <w:sz w:val="21"/>
        </w:rPr>
        <w:t xml:space="preserve"> </w:t>
      </w:r>
      <w:r>
        <w:rPr>
          <w:color w:val="231F20"/>
          <w:sz w:val="21"/>
        </w:rPr>
        <w:t>але</w:t>
      </w:r>
      <w:r>
        <w:rPr>
          <w:color w:val="231F20"/>
          <w:spacing w:val="-13"/>
          <w:sz w:val="21"/>
        </w:rPr>
        <w:t xml:space="preserve"> </w:t>
      </w:r>
      <w:r>
        <w:rPr>
          <w:color w:val="231F20"/>
          <w:spacing w:val="-3"/>
          <w:sz w:val="21"/>
        </w:rPr>
        <w:t>мають</w:t>
      </w:r>
      <w:r>
        <w:rPr>
          <w:color w:val="231F20"/>
          <w:spacing w:val="-13"/>
          <w:sz w:val="21"/>
        </w:rPr>
        <w:t xml:space="preserve"> </w:t>
      </w:r>
      <w:r>
        <w:rPr>
          <w:color w:val="231F20"/>
          <w:spacing w:val="-3"/>
          <w:sz w:val="21"/>
        </w:rPr>
        <w:t>інші</w:t>
      </w:r>
      <w:r>
        <w:rPr>
          <w:color w:val="231F20"/>
          <w:spacing w:val="-13"/>
          <w:sz w:val="21"/>
        </w:rPr>
        <w:t xml:space="preserve"> </w:t>
      </w:r>
      <w:r>
        <w:rPr>
          <w:color w:val="231F20"/>
          <w:spacing w:val="-3"/>
          <w:sz w:val="21"/>
        </w:rPr>
        <w:t>юридично</w:t>
      </w:r>
      <w:r>
        <w:rPr>
          <w:color w:val="231F20"/>
          <w:spacing w:val="-13"/>
          <w:sz w:val="21"/>
        </w:rPr>
        <w:t xml:space="preserve"> </w:t>
      </w:r>
      <w:r>
        <w:rPr>
          <w:color w:val="231F20"/>
          <w:spacing w:val="-3"/>
          <w:sz w:val="21"/>
        </w:rPr>
        <w:t>значущі</w:t>
      </w:r>
      <w:r>
        <w:rPr>
          <w:color w:val="231F20"/>
          <w:spacing w:val="-13"/>
          <w:sz w:val="21"/>
        </w:rPr>
        <w:t xml:space="preserve"> </w:t>
      </w:r>
      <w:r>
        <w:rPr>
          <w:color w:val="231F20"/>
          <w:spacing w:val="-3"/>
          <w:sz w:val="21"/>
        </w:rPr>
        <w:t xml:space="preserve">повно- важення (переважно спрямовані </w:t>
      </w:r>
      <w:r>
        <w:rPr>
          <w:color w:val="231F20"/>
          <w:sz w:val="21"/>
        </w:rPr>
        <w:t>на</w:t>
      </w:r>
      <w:r>
        <w:rPr>
          <w:color w:val="231F20"/>
          <w:sz w:val="21"/>
        </w:rPr>
        <w:t xml:space="preserve"> </w:t>
      </w:r>
      <w:r>
        <w:rPr>
          <w:color w:val="231F20"/>
          <w:spacing w:val="-3"/>
          <w:sz w:val="21"/>
        </w:rPr>
        <w:t xml:space="preserve">владно-організаційне забезпечення зовнішніх, позаапаратних відносин </w:t>
      </w:r>
      <w:r>
        <w:rPr>
          <w:color w:val="231F20"/>
          <w:sz w:val="21"/>
        </w:rPr>
        <w:t xml:space="preserve">– </w:t>
      </w:r>
      <w:r>
        <w:rPr>
          <w:color w:val="231F20"/>
          <w:spacing w:val="-3"/>
          <w:sz w:val="21"/>
        </w:rPr>
        <w:t>напр., надання адміністративних послуг приватним</w:t>
      </w:r>
      <w:r>
        <w:rPr>
          <w:color w:val="231F20"/>
          <w:spacing w:val="-9"/>
          <w:sz w:val="21"/>
        </w:rPr>
        <w:t xml:space="preserve"> </w:t>
      </w:r>
      <w:r>
        <w:rPr>
          <w:color w:val="231F20"/>
          <w:spacing w:val="-3"/>
          <w:sz w:val="21"/>
        </w:rPr>
        <w:t>особам);</w:t>
      </w:r>
    </w:p>
    <w:p w14:paraId="578F00A9" w14:textId="77777777" w:rsidR="00DE575E" w:rsidRDefault="002E7560">
      <w:pPr>
        <w:pStyle w:val="ListParagraph"/>
        <w:numPr>
          <w:ilvl w:val="1"/>
          <w:numId w:val="118"/>
        </w:numPr>
        <w:tabs>
          <w:tab w:val="left" w:pos="1385"/>
        </w:tabs>
        <w:spacing w:before="3" w:line="252" w:lineRule="auto"/>
        <w:ind w:left="1384" w:right="127"/>
        <w:rPr>
          <w:sz w:val="21"/>
        </w:rPr>
      </w:pPr>
      <w:r>
        <w:rPr>
          <w:i/>
          <w:color w:val="231F20"/>
          <w:sz w:val="21"/>
        </w:rPr>
        <w:t>публічна служба на посадах виконавців (обслуговуючого персоналу</w:t>
      </w:r>
      <w:r>
        <w:rPr>
          <w:color w:val="231F20"/>
          <w:position w:val="7"/>
          <w:sz w:val="12"/>
        </w:rPr>
        <w:t>8</w:t>
      </w:r>
      <w:r>
        <w:rPr>
          <w:i/>
          <w:color w:val="231F20"/>
          <w:sz w:val="21"/>
        </w:rPr>
        <w:t>)</w:t>
      </w:r>
      <w:r>
        <w:rPr>
          <w:i/>
          <w:color w:val="231F20"/>
          <w:spacing w:val="30"/>
          <w:sz w:val="21"/>
        </w:rPr>
        <w:t xml:space="preserve"> </w:t>
      </w:r>
      <w:r>
        <w:rPr>
          <w:color w:val="231F20"/>
          <w:sz w:val="21"/>
        </w:rPr>
        <w:t>–</w:t>
      </w:r>
      <w:r>
        <w:rPr>
          <w:color w:val="231F20"/>
          <w:spacing w:val="30"/>
          <w:sz w:val="21"/>
        </w:rPr>
        <w:t xml:space="preserve"> </w:t>
      </w:r>
      <w:r>
        <w:rPr>
          <w:color w:val="231F20"/>
          <w:sz w:val="21"/>
        </w:rPr>
        <w:t>не</w:t>
      </w:r>
      <w:r>
        <w:rPr>
          <w:color w:val="231F20"/>
          <w:spacing w:val="30"/>
          <w:sz w:val="21"/>
        </w:rPr>
        <w:t xml:space="preserve"> </w:t>
      </w:r>
      <w:r>
        <w:rPr>
          <w:color w:val="231F20"/>
          <w:sz w:val="21"/>
        </w:rPr>
        <w:t>характеризується</w:t>
      </w:r>
      <w:r>
        <w:rPr>
          <w:color w:val="231F20"/>
          <w:spacing w:val="30"/>
          <w:sz w:val="21"/>
        </w:rPr>
        <w:t xml:space="preserve"> </w:t>
      </w:r>
      <w:r>
        <w:rPr>
          <w:color w:val="231F20"/>
          <w:sz w:val="21"/>
        </w:rPr>
        <w:t>наявністю</w:t>
      </w:r>
      <w:r>
        <w:rPr>
          <w:color w:val="231F20"/>
          <w:spacing w:val="30"/>
          <w:sz w:val="21"/>
        </w:rPr>
        <w:t xml:space="preserve"> </w:t>
      </w:r>
      <w:r>
        <w:rPr>
          <w:color w:val="231F20"/>
          <w:sz w:val="21"/>
        </w:rPr>
        <w:t>владно-роз-</w:t>
      </w:r>
    </w:p>
    <w:p w14:paraId="24194AD5" w14:textId="77777777" w:rsidR="00DE575E" w:rsidRDefault="00DE575E">
      <w:pPr>
        <w:pStyle w:val="BodyText"/>
        <w:rPr>
          <w:sz w:val="20"/>
        </w:rPr>
      </w:pPr>
    </w:p>
    <w:p w14:paraId="79589562" w14:textId="5FF1024E" w:rsidR="00DE575E" w:rsidRDefault="002E7560">
      <w:pPr>
        <w:pStyle w:val="BodyText"/>
        <w:spacing w:before="3"/>
        <w:rPr>
          <w:sz w:val="15"/>
        </w:rPr>
      </w:pPr>
      <w:r>
        <w:rPr>
          <w:noProof/>
        </w:rPr>
        <mc:AlternateContent>
          <mc:Choice Requires="wps">
            <w:drawing>
              <wp:anchor distT="0" distB="0" distL="0" distR="0" simplePos="0" relativeHeight="13672" behindDoc="0" locked="0" layoutInCell="1" allowOverlap="1" wp14:anchorId="43C0C99F" wp14:editId="65FE1824">
                <wp:simplePos x="0" y="0"/>
                <wp:positionH relativeFrom="page">
                  <wp:posOffset>719455</wp:posOffset>
                </wp:positionH>
                <wp:positionV relativeFrom="paragraph">
                  <wp:posOffset>141605</wp:posOffset>
                </wp:positionV>
                <wp:extent cx="1080135" cy="0"/>
                <wp:effectExtent l="8255" t="14605" r="29210" b="23495"/>
                <wp:wrapTopAndBottom/>
                <wp:docPr id="532"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A55B" id="Line_x0020_531" o:spid="_x0000_s1026" style="position:absolute;z-index:13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15pt" to="141.7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" strokecolor="#231f20" strokeweight=".5pt">
                <w10:wrap type="topAndBottom" anchorx="page"/>
              </v:line>
            </w:pict>
          </mc:Fallback>
        </mc:AlternateContent>
      </w:r>
    </w:p>
    <w:p w14:paraId="5667BFCB" w14:textId="77777777" w:rsidR="00DE575E" w:rsidRDefault="002E7560">
      <w:pPr>
        <w:spacing w:line="204" w:lineRule="auto"/>
        <w:ind w:left="533" w:right="128"/>
        <w:jc w:val="both"/>
        <w:rPr>
          <w:i/>
          <w:sz w:val="16"/>
        </w:rPr>
      </w:pPr>
      <w:r>
        <w:rPr>
          <w:color w:val="231F20"/>
          <w:position w:val="5"/>
          <w:sz w:val="9"/>
        </w:rPr>
        <w:t xml:space="preserve">1 </w:t>
      </w:r>
      <w:r>
        <w:rPr>
          <w:i/>
          <w:color w:val="231F20"/>
          <w:sz w:val="16"/>
        </w:rPr>
        <w:t>Наприклад, для призначення Директора Державного бюро розслідувань конкурсна комі- сія відбирає одного кандидата, який має «найкращі професійний досвід, знання і якості».</w:t>
      </w:r>
    </w:p>
    <w:p w14:paraId="6535BDDD" w14:textId="77777777" w:rsidR="00DE575E" w:rsidRDefault="002E7560">
      <w:pPr>
        <w:spacing w:before="26" w:line="204" w:lineRule="auto"/>
        <w:ind w:left="533" w:right="128"/>
        <w:jc w:val="both"/>
        <w:rPr>
          <w:i/>
          <w:sz w:val="16"/>
        </w:rPr>
      </w:pPr>
      <w:r>
        <w:rPr>
          <w:color w:val="231F20"/>
          <w:position w:val="5"/>
          <w:sz w:val="9"/>
        </w:rPr>
        <w:t xml:space="preserve">2 </w:t>
      </w:r>
      <w:r>
        <w:rPr>
          <w:i/>
          <w:color w:val="231F20"/>
          <w:sz w:val="16"/>
        </w:rPr>
        <w:t xml:space="preserve">Наприклад, для призначення державних (загальних) службовців конкурсна комісія </w:t>
      </w:r>
      <w:r>
        <w:rPr>
          <w:i/>
          <w:color w:val="231F20"/>
          <w:sz w:val="16"/>
        </w:rPr>
        <w:t>відбирає кандидатів, які набрали найбільшу кількість балів (не більше п’яти осіб на одну посаду).</w:t>
      </w:r>
    </w:p>
    <w:p w14:paraId="59C1AF6F" w14:textId="77777777" w:rsidR="00DE575E" w:rsidRDefault="002E7560">
      <w:pPr>
        <w:spacing w:before="7"/>
        <w:ind w:left="533"/>
        <w:jc w:val="both"/>
        <w:rPr>
          <w:i/>
          <w:sz w:val="16"/>
        </w:rPr>
      </w:pPr>
      <w:r>
        <w:rPr>
          <w:color w:val="231F20"/>
          <w:position w:val="5"/>
          <w:sz w:val="9"/>
        </w:rPr>
        <w:t xml:space="preserve">3 </w:t>
      </w:r>
      <w:r>
        <w:rPr>
          <w:i/>
          <w:color w:val="231F20"/>
          <w:sz w:val="16"/>
        </w:rPr>
        <w:t>Наприклад, при відборі на посаду судді.</w:t>
      </w:r>
    </w:p>
    <w:p w14:paraId="76742198" w14:textId="77777777" w:rsidR="00DE575E" w:rsidRDefault="002E7560">
      <w:pPr>
        <w:spacing w:before="1"/>
        <w:ind w:left="533"/>
        <w:jc w:val="both"/>
        <w:rPr>
          <w:i/>
          <w:sz w:val="16"/>
        </w:rPr>
      </w:pPr>
      <w:r>
        <w:rPr>
          <w:color w:val="231F20"/>
          <w:position w:val="5"/>
          <w:sz w:val="9"/>
        </w:rPr>
        <w:t xml:space="preserve">4 </w:t>
      </w:r>
      <w:r>
        <w:rPr>
          <w:i/>
          <w:color w:val="231F20"/>
          <w:sz w:val="16"/>
        </w:rPr>
        <w:t>Наприклад, призначення на посади членів Уряду.</w:t>
      </w:r>
    </w:p>
    <w:p w14:paraId="6039B01D" w14:textId="77777777" w:rsidR="00DE575E" w:rsidRDefault="002E7560">
      <w:pPr>
        <w:spacing w:before="1"/>
        <w:ind w:left="533"/>
        <w:jc w:val="both"/>
        <w:rPr>
          <w:i/>
          <w:sz w:val="16"/>
        </w:rPr>
      </w:pPr>
      <w:r>
        <w:rPr>
          <w:color w:val="231F20"/>
          <w:position w:val="5"/>
          <w:sz w:val="9"/>
        </w:rPr>
        <w:t xml:space="preserve">5 </w:t>
      </w:r>
      <w:r>
        <w:rPr>
          <w:i/>
          <w:color w:val="231F20"/>
          <w:sz w:val="16"/>
        </w:rPr>
        <w:t>Наприклад, призначення патронатних службовців.</w:t>
      </w:r>
    </w:p>
    <w:p w14:paraId="202637F5" w14:textId="77777777" w:rsidR="00DE575E" w:rsidRDefault="002E7560">
      <w:pPr>
        <w:spacing w:before="23" w:line="204" w:lineRule="auto"/>
        <w:ind w:left="533" w:right="128"/>
        <w:jc w:val="both"/>
        <w:rPr>
          <w:i/>
          <w:sz w:val="16"/>
        </w:rPr>
      </w:pPr>
      <w:r>
        <w:rPr>
          <w:color w:val="231F20"/>
          <w:position w:val="5"/>
          <w:sz w:val="9"/>
        </w:rPr>
        <w:t xml:space="preserve">6   </w:t>
      </w:r>
      <w:r>
        <w:rPr>
          <w:i/>
          <w:color w:val="231F20"/>
          <w:sz w:val="16"/>
        </w:rPr>
        <w:t xml:space="preserve">Наприклад: а) </w:t>
      </w:r>
      <w:r>
        <w:rPr>
          <w:i/>
          <w:color w:val="231F20"/>
          <w:sz w:val="16"/>
        </w:rPr>
        <w:t xml:space="preserve">державний службовець категорії «А» </w:t>
      </w:r>
      <w:r>
        <w:rPr>
          <w:i/>
          <w:color w:val="231F20"/>
          <w:spacing w:val="-3"/>
          <w:sz w:val="16"/>
        </w:rPr>
        <w:t xml:space="preserve">може </w:t>
      </w:r>
      <w:r>
        <w:rPr>
          <w:i/>
          <w:color w:val="231F20"/>
          <w:sz w:val="16"/>
        </w:rPr>
        <w:t>бути повторно призначений на ту ж посаду без обов’язкового проведення конкурсу на ще один строк; б) під час пере- дання / делегування повноважень і функцій від державного органу до органу місцевого самоврядування пер</w:t>
      </w:r>
      <w:r>
        <w:rPr>
          <w:i/>
          <w:color w:val="231F20"/>
          <w:sz w:val="16"/>
        </w:rPr>
        <w:t>еведення державного службовця на посаду служби в органах місцевого самоврядування теж здійснюється без обов’язкового проведення</w:t>
      </w:r>
      <w:r>
        <w:rPr>
          <w:i/>
          <w:color w:val="231F20"/>
          <w:spacing w:val="-9"/>
          <w:sz w:val="16"/>
        </w:rPr>
        <w:t xml:space="preserve"> </w:t>
      </w:r>
      <w:r>
        <w:rPr>
          <w:i/>
          <w:color w:val="231F20"/>
          <w:sz w:val="16"/>
        </w:rPr>
        <w:t>конкурсу.</w:t>
      </w:r>
    </w:p>
    <w:p w14:paraId="753D694C" w14:textId="77777777" w:rsidR="00DE575E" w:rsidRDefault="002E7560">
      <w:pPr>
        <w:spacing w:before="31" w:line="204" w:lineRule="auto"/>
        <w:ind w:left="533" w:right="128"/>
        <w:jc w:val="both"/>
        <w:rPr>
          <w:i/>
          <w:sz w:val="16"/>
        </w:rPr>
      </w:pPr>
      <w:r>
        <w:rPr>
          <w:color w:val="231F20"/>
          <w:position w:val="5"/>
          <w:sz w:val="9"/>
        </w:rPr>
        <w:t xml:space="preserve">7     </w:t>
      </w:r>
      <w:r>
        <w:rPr>
          <w:i/>
          <w:color w:val="231F20"/>
          <w:sz w:val="16"/>
        </w:rPr>
        <w:t>Наприклад, за рішенням керівника районної/обласної військово-цивільної адміністра-  ції на посади державних служ</w:t>
      </w:r>
      <w:r>
        <w:rPr>
          <w:i/>
          <w:color w:val="231F20"/>
          <w:sz w:val="16"/>
        </w:rPr>
        <w:t>бовців у такій адміністрації можуть призначатися особи, які</w:t>
      </w:r>
      <w:r>
        <w:rPr>
          <w:i/>
          <w:color w:val="231F20"/>
          <w:spacing w:val="-8"/>
          <w:sz w:val="16"/>
        </w:rPr>
        <w:t xml:space="preserve"> </w:t>
      </w:r>
      <w:r>
        <w:rPr>
          <w:i/>
          <w:color w:val="231F20"/>
          <w:sz w:val="16"/>
        </w:rPr>
        <w:t>мають</w:t>
      </w:r>
      <w:r>
        <w:rPr>
          <w:i/>
          <w:color w:val="231F20"/>
          <w:spacing w:val="-8"/>
          <w:sz w:val="16"/>
        </w:rPr>
        <w:t xml:space="preserve"> </w:t>
      </w:r>
      <w:r>
        <w:rPr>
          <w:i/>
          <w:color w:val="231F20"/>
          <w:sz w:val="16"/>
        </w:rPr>
        <w:t>спеціальні</w:t>
      </w:r>
      <w:r>
        <w:rPr>
          <w:i/>
          <w:color w:val="231F20"/>
          <w:spacing w:val="-8"/>
          <w:sz w:val="16"/>
        </w:rPr>
        <w:t xml:space="preserve"> </w:t>
      </w:r>
      <w:r>
        <w:rPr>
          <w:i/>
          <w:color w:val="231F20"/>
          <w:sz w:val="16"/>
        </w:rPr>
        <w:t>знання</w:t>
      </w:r>
      <w:r>
        <w:rPr>
          <w:i/>
          <w:color w:val="231F20"/>
          <w:spacing w:val="-8"/>
          <w:sz w:val="16"/>
        </w:rPr>
        <w:t xml:space="preserve"> </w:t>
      </w:r>
      <w:r>
        <w:rPr>
          <w:i/>
          <w:color w:val="231F20"/>
          <w:sz w:val="16"/>
        </w:rPr>
        <w:t>та</w:t>
      </w:r>
      <w:r>
        <w:rPr>
          <w:i/>
          <w:color w:val="231F20"/>
          <w:spacing w:val="-8"/>
          <w:sz w:val="16"/>
        </w:rPr>
        <w:t xml:space="preserve"> </w:t>
      </w:r>
      <w:r>
        <w:rPr>
          <w:i/>
          <w:color w:val="231F20"/>
          <w:sz w:val="16"/>
        </w:rPr>
        <w:t>досвід,</w:t>
      </w:r>
      <w:r>
        <w:rPr>
          <w:i/>
          <w:color w:val="231F20"/>
          <w:spacing w:val="-8"/>
          <w:sz w:val="16"/>
        </w:rPr>
        <w:t xml:space="preserve"> </w:t>
      </w:r>
      <w:r>
        <w:rPr>
          <w:i/>
          <w:color w:val="231F20"/>
          <w:sz w:val="16"/>
        </w:rPr>
        <w:t>без</w:t>
      </w:r>
      <w:r>
        <w:rPr>
          <w:i/>
          <w:color w:val="231F20"/>
          <w:spacing w:val="-8"/>
          <w:sz w:val="16"/>
        </w:rPr>
        <w:t xml:space="preserve"> </w:t>
      </w:r>
      <w:r>
        <w:rPr>
          <w:i/>
          <w:color w:val="231F20"/>
          <w:sz w:val="16"/>
        </w:rPr>
        <w:t>конкурсного</w:t>
      </w:r>
      <w:r>
        <w:rPr>
          <w:i/>
          <w:color w:val="231F20"/>
          <w:spacing w:val="-9"/>
          <w:sz w:val="16"/>
        </w:rPr>
        <w:t xml:space="preserve"> </w:t>
      </w:r>
      <w:r>
        <w:rPr>
          <w:i/>
          <w:color w:val="231F20"/>
          <w:sz w:val="16"/>
        </w:rPr>
        <w:t>відбору</w:t>
      </w:r>
      <w:r>
        <w:rPr>
          <w:i/>
          <w:color w:val="231F20"/>
          <w:spacing w:val="-8"/>
          <w:sz w:val="16"/>
        </w:rPr>
        <w:t xml:space="preserve"> </w:t>
      </w:r>
      <w:r>
        <w:rPr>
          <w:i/>
          <w:color w:val="231F20"/>
          <w:sz w:val="16"/>
        </w:rPr>
        <w:t>(ч.</w:t>
      </w:r>
      <w:r>
        <w:rPr>
          <w:i/>
          <w:color w:val="231F20"/>
          <w:spacing w:val="-7"/>
          <w:sz w:val="16"/>
        </w:rPr>
        <w:t xml:space="preserve"> </w:t>
      </w:r>
      <w:r>
        <w:rPr>
          <w:i/>
          <w:color w:val="231F20"/>
          <w:sz w:val="16"/>
        </w:rPr>
        <w:t>5</w:t>
      </w:r>
      <w:r>
        <w:rPr>
          <w:i/>
          <w:color w:val="231F20"/>
          <w:spacing w:val="-9"/>
          <w:sz w:val="16"/>
        </w:rPr>
        <w:t xml:space="preserve"> </w:t>
      </w:r>
      <w:r>
        <w:rPr>
          <w:i/>
          <w:color w:val="231F20"/>
          <w:sz w:val="16"/>
        </w:rPr>
        <w:t>ст.</w:t>
      </w:r>
      <w:r>
        <w:rPr>
          <w:i/>
          <w:color w:val="231F20"/>
          <w:spacing w:val="-7"/>
          <w:sz w:val="16"/>
        </w:rPr>
        <w:t xml:space="preserve"> </w:t>
      </w:r>
      <w:r>
        <w:rPr>
          <w:i/>
          <w:color w:val="231F20"/>
          <w:sz w:val="16"/>
        </w:rPr>
        <w:t>3</w:t>
      </w:r>
      <w:r>
        <w:rPr>
          <w:i/>
          <w:color w:val="231F20"/>
          <w:spacing w:val="-8"/>
          <w:sz w:val="16"/>
        </w:rPr>
        <w:t xml:space="preserve"> </w:t>
      </w:r>
      <w:r>
        <w:rPr>
          <w:i/>
          <w:color w:val="231F20"/>
          <w:sz w:val="16"/>
        </w:rPr>
        <w:t>Закону</w:t>
      </w:r>
      <w:r>
        <w:rPr>
          <w:i/>
          <w:color w:val="231F20"/>
          <w:spacing w:val="-8"/>
          <w:sz w:val="16"/>
        </w:rPr>
        <w:t xml:space="preserve"> </w:t>
      </w:r>
      <w:r>
        <w:rPr>
          <w:i/>
          <w:color w:val="231F20"/>
          <w:sz w:val="16"/>
        </w:rPr>
        <w:t>«Про</w:t>
      </w:r>
      <w:r>
        <w:rPr>
          <w:i/>
          <w:color w:val="231F20"/>
          <w:spacing w:val="-8"/>
          <w:sz w:val="16"/>
        </w:rPr>
        <w:t xml:space="preserve"> </w:t>
      </w:r>
      <w:r>
        <w:rPr>
          <w:i/>
          <w:color w:val="231F20"/>
          <w:sz w:val="16"/>
        </w:rPr>
        <w:t>війсь- ково-цивільні</w:t>
      </w:r>
      <w:r>
        <w:rPr>
          <w:i/>
          <w:color w:val="231F20"/>
          <w:spacing w:val="-2"/>
          <w:sz w:val="16"/>
        </w:rPr>
        <w:t xml:space="preserve"> </w:t>
      </w:r>
      <w:r>
        <w:rPr>
          <w:i/>
          <w:color w:val="231F20"/>
          <w:sz w:val="16"/>
        </w:rPr>
        <w:t>адміністрації»).</w:t>
      </w:r>
    </w:p>
    <w:p w14:paraId="4FFD8AC2" w14:textId="77777777" w:rsidR="00DE575E" w:rsidRDefault="002E7560">
      <w:pPr>
        <w:spacing w:before="31" w:line="204" w:lineRule="auto"/>
        <w:ind w:left="533" w:right="126"/>
        <w:jc w:val="both"/>
        <w:rPr>
          <w:sz w:val="16"/>
        </w:rPr>
      </w:pPr>
      <w:r>
        <w:rPr>
          <w:color w:val="231F20"/>
          <w:position w:val="5"/>
          <w:sz w:val="9"/>
        </w:rPr>
        <w:t xml:space="preserve">8    </w:t>
      </w:r>
      <w:r>
        <w:rPr>
          <w:color w:val="231F20"/>
          <w:sz w:val="16"/>
        </w:rPr>
        <w:t xml:space="preserve">Хоча діяльність обслуговуючого персоналу відмежована від державної служби (ч. 3     </w:t>
      </w:r>
      <w:r>
        <w:rPr>
          <w:color w:val="231F20"/>
          <w:spacing w:val="-5"/>
          <w:sz w:val="16"/>
        </w:rPr>
        <w:t xml:space="preserve">ст. </w:t>
      </w:r>
      <w:r>
        <w:rPr>
          <w:color w:val="231F20"/>
          <w:sz w:val="16"/>
        </w:rPr>
        <w:t>3</w:t>
      </w:r>
      <w:r>
        <w:rPr>
          <w:color w:val="231F20"/>
          <w:spacing w:val="-4"/>
          <w:sz w:val="16"/>
        </w:rPr>
        <w:t xml:space="preserve"> </w:t>
      </w:r>
      <w:r>
        <w:rPr>
          <w:color w:val="231F20"/>
          <w:sz w:val="16"/>
        </w:rPr>
        <w:t>Закону</w:t>
      </w:r>
      <w:r>
        <w:rPr>
          <w:color w:val="231F20"/>
          <w:spacing w:val="-5"/>
          <w:sz w:val="16"/>
        </w:rPr>
        <w:t xml:space="preserve"> </w:t>
      </w:r>
      <w:r>
        <w:rPr>
          <w:color w:val="231F20"/>
          <w:sz w:val="16"/>
        </w:rPr>
        <w:t>«Про</w:t>
      </w:r>
      <w:r>
        <w:rPr>
          <w:color w:val="231F20"/>
          <w:spacing w:val="-4"/>
          <w:sz w:val="16"/>
        </w:rPr>
        <w:t xml:space="preserve"> </w:t>
      </w:r>
      <w:r>
        <w:rPr>
          <w:color w:val="231F20"/>
          <w:sz w:val="16"/>
        </w:rPr>
        <w:t>державну</w:t>
      </w:r>
      <w:r>
        <w:rPr>
          <w:color w:val="231F20"/>
          <w:spacing w:val="-5"/>
          <w:sz w:val="16"/>
        </w:rPr>
        <w:t xml:space="preserve"> </w:t>
      </w:r>
      <w:r>
        <w:rPr>
          <w:color w:val="231F20"/>
          <w:sz w:val="16"/>
        </w:rPr>
        <w:t>службу»),</w:t>
      </w:r>
      <w:r>
        <w:rPr>
          <w:color w:val="231F20"/>
          <w:spacing w:val="-5"/>
          <w:sz w:val="16"/>
        </w:rPr>
        <w:t xml:space="preserve"> </w:t>
      </w:r>
      <w:r>
        <w:rPr>
          <w:color w:val="231F20"/>
          <w:sz w:val="16"/>
        </w:rPr>
        <w:t>у</w:t>
      </w:r>
      <w:r>
        <w:rPr>
          <w:color w:val="231F20"/>
          <w:spacing w:val="-5"/>
          <w:sz w:val="16"/>
        </w:rPr>
        <w:t xml:space="preserve"> </w:t>
      </w:r>
      <w:r>
        <w:rPr>
          <w:color w:val="231F20"/>
          <w:sz w:val="16"/>
        </w:rPr>
        <w:t>межах</w:t>
      </w:r>
      <w:r>
        <w:rPr>
          <w:color w:val="231F20"/>
          <w:spacing w:val="-4"/>
          <w:sz w:val="16"/>
        </w:rPr>
        <w:t xml:space="preserve"> </w:t>
      </w:r>
      <w:r>
        <w:rPr>
          <w:color w:val="231F20"/>
          <w:sz w:val="16"/>
        </w:rPr>
        <w:t>публічної</w:t>
      </w:r>
      <w:r>
        <w:rPr>
          <w:color w:val="231F20"/>
          <w:spacing w:val="-5"/>
          <w:sz w:val="16"/>
        </w:rPr>
        <w:t xml:space="preserve"> </w:t>
      </w:r>
      <w:r>
        <w:rPr>
          <w:color w:val="231F20"/>
          <w:sz w:val="16"/>
        </w:rPr>
        <w:t>служби</w:t>
      </w:r>
      <w:r>
        <w:rPr>
          <w:color w:val="231F20"/>
          <w:spacing w:val="-5"/>
          <w:sz w:val="16"/>
        </w:rPr>
        <w:t xml:space="preserve"> </w:t>
      </w:r>
      <w:r>
        <w:rPr>
          <w:color w:val="231F20"/>
          <w:sz w:val="16"/>
        </w:rPr>
        <w:t>його</w:t>
      </w:r>
      <w:r>
        <w:rPr>
          <w:color w:val="231F20"/>
          <w:spacing w:val="-5"/>
          <w:sz w:val="16"/>
        </w:rPr>
        <w:t xml:space="preserve"> </w:t>
      </w:r>
      <w:r>
        <w:rPr>
          <w:color w:val="231F20"/>
          <w:sz w:val="16"/>
        </w:rPr>
        <w:t>виділення</w:t>
      </w:r>
      <w:r>
        <w:rPr>
          <w:color w:val="231F20"/>
          <w:spacing w:val="-5"/>
          <w:sz w:val="16"/>
        </w:rPr>
        <w:t xml:space="preserve"> </w:t>
      </w:r>
      <w:r>
        <w:rPr>
          <w:color w:val="231F20"/>
          <w:sz w:val="16"/>
        </w:rPr>
        <w:t>є</w:t>
      </w:r>
      <w:r>
        <w:rPr>
          <w:color w:val="231F20"/>
          <w:spacing w:val="-5"/>
          <w:sz w:val="16"/>
        </w:rPr>
        <w:t xml:space="preserve"> </w:t>
      </w:r>
      <w:r>
        <w:rPr>
          <w:color w:val="231F20"/>
          <w:sz w:val="16"/>
        </w:rPr>
        <w:t>актуаль- ним (зокрема всі патронатні посади мають виконавчо-обслуговуючий</w:t>
      </w:r>
      <w:r>
        <w:rPr>
          <w:color w:val="231F20"/>
          <w:spacing w:val="-6"/>
          <w:sz w:val="16"/>
        </w:rPr>
        <w:t xml:space="preserve"> </w:t>
      </w:r>
      <w:r>
        <w:rPr>
          <w:color w:val="231F20"/>
          <w:sz w:val="16"/>
        </w:rPr>
        <w:t>характер).</w:t>
      </w:r>
    </w:p>
    <w:p w14:paraId="4CC121F2" w14:textId="77777777" w:rsidR="00DE575E" w:rsidRDefault="00DE575E">
      <w:pPr>
        <w:pStyle w:val="BodyText"/>
        <w:spacing w:before="5"/>
        <w:rPr>
          <w:sz w:val="12"/>
        </w:rPr>
      </w:pPr>
    </w:p>
    <w:p w14:paraId="28402937" w14:textId="77777777" w:rsidR="00DE575E" w:rsidRDefault="002E7560">
      <w:pPr>
        <w:spacing w:before="92"/>
        <w:ind w:left="533"/>
        <w:rPr>
          <w:rFonts w:ascii="Times New Roman"/>
          <w:sz w:val="20"/>
        </w:rPr>
      </w:pPr>
      <w:r>
        <w:rPr>
          <w:rFonts w:ascii="Times New Roman"/>
          <w:color w:val="231F20"/>
          <w:sz w:val="20"/>
        </w:rPr>
        <w:t>350</w:t>
      </w:r>
    </w:p>
    <w:p w14:paraId="4079F6D3" w14:textId="77777777" w:rsidR="00DE575E" w:rsidRDefault="00DE575E">
      <w:pPr>
        <w:rPr>
          <w:rFonts w:ascii="Times New Roman"/>
          <w:sz w:val="20"/>
        </w:rPr>
        <w:sectPr w:rsidR="00DE575E">
          <w:pgSz w:w="8510" w:h="12760"/>
          <w:pgMar w:top="660" w:right="720" w:bottom="280" w:left="600" w:header="720" w:footer="720" w:gutter="0"/>
          <w:cols w:space="720"/>
        </w:sectPr>
      </w:pPr>
    </w:p>
    <w:p w14:paraId="21FEE04F"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49F00081"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17502B7C" w14:textId="464B5C0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603B539" wp14:editId="29EB6340">
                <wp:extent cx="4140200" cy="6350"/>
                <wp:effectExtent l="0" t="0" r="12700" b="6350"/>
                <wp:docPr id="530"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31" name="Line 53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90E76C" id="Group_x0020_52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QFD34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0vQFD34CAACYBQAADgAA&#10;AAAAAAAAAAAAAAAsAgAAZHJzL2Uyb0RvYy54bWxQSwECLQAUAAYACAAAACEATKewkNkAAAADAQAA&#10;DwAAAAAAAAAAAAAAAADWBAAAZHJzL2Rvd25yZXYueG1sUEsFBgAAAAAEAAQA8wAAANwFAAAAAA==&#10;">
                <v:line id="Line_x0020_53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uKSsYAAADcAAAADwAAAGRycy9kb3ducmV2LnhtbESP0WrCQBRE3wv9h+UWfCm60VCR6CpF&#10;EMQHrcYPuGavSeju3ZhdTdqv7xYKfRxm5gyzWPXWiAe1vnasYDxKQBAXTtdcKjjnm+EMhA/IGo1j&#10;UvBFHlbL56cFZtp1fKTHKZQiQthnqKAKocmk9EVFFv3INcTRu7rWYoiyLaVusYtwa+QkSabSYs1x&#10;ocKG1hUVn6e7VZDfXoP5OOxMlx8uqbzc9un3fa/U4KV/n4MI1If/8F97qxW8pW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rikrGAAAA3AAAAA8AAAAAAAAA&#10;AAAAAAAAoQIAAGRycy9kb3ducmV2LnhtbFBLBQYAAAAABAAEAPkAAACUAwAAAAA=&#10;" strokecolor="#231f20" strokeweight=".5pt"/>
                <w10:anchorlock/>
              </v:group>
            </w:pict>
          </mc:Fallback>
        </mc:AlternateContent>
      </w:r>
    </w:p>
    <w:p w14:paraId="79A0E69F" w14:textId="77777777" w:rsidR="00DE575E" w:rsidRDefault="00DE575E">
      <w:pPr>
        <w:pStyle w:val="BodyText"/>
        <w:spacing w:before="7"/>
        <w:rPr>
          <w:rFonts w:ascii="AdonisC"/>
          <w:i/>
          <w:sz w:val="19"/>
        </w:rPr>
      </w:pPr>
    </w:p>
    <w:p w14:paraId="2CBC52E8" w14:textId="77777777" w:rsidR="00DE575E" w:rsidRDefault="002E7560">
      <w:pPr>
        <w:pStyle w:val="BodyText"/>
        <w:spacing w:before="1" w:line="252" w:lineRule="auto"/>
        <w:ind w:left="1100" w:right="411"/>
        <w:jc w:val="both"/>
      </w:pPr>
      <w:r>
        <w:rPr>
          <w:color w:val="231F20"/>
        </w:rPr>
        <w:t>порядчих повноважень (внутрішньо чи зовнішньо спря- мованих), а має організаційно забезпечувати діяльність керівників і виконавців через реалізацію дорадчих, інфор- маційних, матеріально-технічних та інших функцій.</w:t>
      </w:r>
    </w:p>
    <w:p w14:paraId="4FC54C8C" w14:textId="77777777" w:rsidR="00DE575E" w:rsidRDefault="00DE575E">
      <w:pPr>
        <w:pStyle w:val="BodyText"/>
        <w:rPr>
          <w:sz w:val="24"/>
        </w:rPr>
      </w:pPr>
    </w:p>
    <w:p w14:paraId="5F166E86" w14:textId="77777777" w:rsidR="00DE575E" w:rsidRDefault="00DE575E">
      <w:pPr>
        <w:pStyle w:val="BodyText"/>
        <w:spacing w:before="5"/>
        <w:rPr>
          <w:sz w:val="19"/>
        </w:rPr>
      </w:pPr>
    </w:p>
    <w:p w14:paraId="7A9AF872" w14:textId="77777777" w:rsidR="00DE575E" w:rsidRDefault="002E7560">
      <w:pPr>
        <w:pStyle w:val="Heading4"/>
        <w:ind w:left="1332"/>
      </w:pPr>
      <w:r>
        <w:rPr>
          <w:color w:val="231F20"/>
        </w:rPr>
        <w:t>1.2. Поняття і сутність державної служби</w:t>
      </w:r>
    </w:p>
    <w:p w14:paraId="263A3197" w14:textId="77777777" w:rsidR="00DE575E" w:rsidRDefault="002E7560">
      <w:pPr>
        <w:ind w:left="1293" w:right="1128" w:hanging="309"/>
        <w:rPr>
          <w:b/>
        </w:rPr>
      </w:pPr>
      <w:r>
        <w:rPr>
          <w:b/>
          <w:color w:val="231F20"/>
        </w:rPr>
        <w:t>та служби в органах місцевого самоврядування як основних різновидів публічної служби</w:t>
      </w:r>
    </w:p>
    <w:p w14:paraId="218D3138" w14:textId="77777777" w:rsidR="00DE575E" w:rsidRDefault="00DE575E">
      <w:pPr>
        <w:pStyle w:val="BodyText"/>
        <w:rPr>
          <w:b/>
          <w:sz w:val="26"/>
        </w:rPr>
      </w:pPr>
    </w:p>
    <w:p w14:paraId="40A5F022" w14:textId="77777777" w:rsidR="00DE575E" w:rsidRDefault="002E7560">
      <w:pPr>
        <w:pStyle w:val="BodyText"/>
        <w:spacing w:before="224" w:line="252" w:lineRule="auto"/>
        <w:ind w:left="250" w:right="411" w:firstLine="283"/>
        <w:jc w:val="both"/>
      </w:pPr>
      <w:r>
        <w:rPr>
          <w:color w:val="231F20"/>
        </w:rPr>
        <w:t>Відповідно</w:t>
      </w:r>
      <w:r>
        <w:rPr>
          <w:color w:val="231F20"/>
          <w:spacing w:val="-9"/>
        </w:rPr>
        <w:t xml:space="preserve"> </w:t>
      </w:r>
      <w:r>
        <w:rPr>
          <w:color w:val="231F20"/>
        </w:rPr>
        <w:t>до</w:t>
      </w:r>
      <w:r>
        <w:rPr>
          <w:color w:val="231F20"/>
          <w:spacing w:val="-9"/>
        </w:rPr>
        <w:t xml:space="preserve"> </w:t>
      </w:r>
      <w:r>
        <w:rPr>
          <w:color w:val="231F20"/>
        </w:rPr>
        <w:t>ч.</w:t>
      </w:r>
      <w:r>
        <w:rPr>
          <w:color w:val="231F20"/>
          <w:spacing w:val="-6"/>
        </w:rPr>
        <w:t xml:space="preserve"> </w:t>
      </w:r>
      <w:r>
        <w:rPr>
          <w:color w:val="231F20"/>
        </w:rPr>
        <w:t>1</w:t>
      </w:r>
      <w:r>
        <w:rPr>
          <w:color w:val="231F20"/>
          <w:spacing w:val="-9"/>
        </w:rPr>
        <w:t xml:space="preserve"> </w:t>
      </w:r>
      <w:r>
        <w:rPr>
          <w:color w:val="231F20"/>
          <w:spacing w:val="-6"/>
        </w:rPr>
        <w:t xml:space="preserve">ст. </w:t>
      </w:r>
      <w:r>
        <w:rPr>
          <w:color w:val="231F20"/>
        </w:rPr>
        <w:t>1</w:t>
      </w:r>
      <w:r>
        <w:rPr>
          <w:color w:val="231F20"/>
          <w:spacing w:val="-9"/>
        </w:rPr>
        <w:t xml:space="preserve"> </w:t>
      </w:r>
      <w:r>
        <w:rPr>
          <w:color w:val="231F20"/>
        </w:rPr>
        <w:t>Закону</w:t>
      </w:r>
      <w:r>
        <w:rPr>
          <w:color w:val="231F20"/>
          <w:spacing w:val="-9"/>
        </w:rPr>
        <w:t xml:space="preserve"> </w:t>
      </w:r>
      <w:r>
        <w:rPr>
          <w:color w:val="231F20"/>
        </w:rPr>
        <w:t>«Про</w:t>
      </w:r>
      <w:r>
        <w:rPr>
          <w:color w:val="231F20"/>
          <w:spacing w:val="-9"/>
        </w:rPr>
        <w:t xml:space="preserve"> </w:t>
      </w:r>
      <w:r>
        <w:rPr>
          <w:color w:val="231F20"/>
        </w:rPr>
        <w:t>державну</w:t>
      </w:r>
      <w:r>
        <w:rPr>
          <w:color w:val="231F20"/>
          <w:spacing w:val="-9"/>
        </w:rPr>
        <w:t xml:space="preserve"> </w:t>
      </w:r>
      <w:r>
        <w:rPr>
          <w:color w:val="231F20"/>
        </w:rPr>
        <w:t>службу»:</w:t>
      </w:r>
      <w:r>
        <w:rPr>
          <w:color w:val="231F20"/>
          <w:spacing w:val="-9"/>
        </w:rPr>
        <w:t xml:space="preserve"> </w:t>
      </w:r>
      <w:r>
        <w:rPr>
          <w:color w:val="231F20"/>
        </w:rPr>
        <w:t xml:space="preserve">«державна служба – це публічна, професійна, політично неупереджена діяль- </w:t>
      </w:r>
      <w:r>
        <w:rPr>
          <w:color w:val="231F20"/>
        </w:rPr>
        <w:t>ність</w:t>
      </w:r>
      <w:r>
        <w:rPr>
          <w:color w:val="231F20"/>
          <w:spacing w:val="-8"/>
        </w:rPr>
        <w:t xml:space="preserve"> </w:t>
      </w:r>
      <w:r>
        <w:rPr>
          <w:color w:val="231F20"/>
        </w:rPr>
        <w:t>із</w:t>
      </w:r>
      <w:r>
        <w:rPr>
          <w:color w:val="231F20"/>
          <w:spacing w:val="-8"/>
        </w:rPr>
        <w:t xml:space="preserve"> </w:t>
      </w:r>
      <w:r>
        <w:rPr>
          <w:color w:val="231F20"/>
        </w:rPr>
        <w:t>практичного</w:t>
      </w:r>
      <w:r>
        <w:rPr>
          <w:color w:val="231F20"/>
          <w:spacing w:val="-8"/>
        </w:rPr>
        <w:t xml:space="preserve"> </w:t>
      </w:r>
      <w:r>
        <w:rPr>
          <w:color w:val="231F20"/>
        </w:rPr>
        <w:t>виконання</w:t>
      </w:r>
      <w:r>
        <w:rPr>
          <w:color w:val="231F20"/>
          <w:spacing w:val="-8"/>
        </w:rPr>
        <w:t xml:space="preserve"> </w:t>
      </w:r>
      <w:r>
        <w:rPr>
          <w:color w:val="231F20"/>
        </w:rPr>
        <w:t>завдань</w:t>
      </w:r>
      <w:r>
        <w:rPr>
          <w:color w:val="231F20"/>
          <w:spacing w:val="-8"/>
        </w:rPr>
        <w:t xml:space="preserve"> </w:t>
      </w:r>
      <w:r>
        <w:rPr>
          <w:color w:val="231F20"/>
        </w:rPr>
        <w:t>і</w:t>
      </w:r>
      <w:r>
        <w:rPr>
          <w:color w:val="231F20"/>
          <w:spacing w:val="-8"/>
        </w:rPr>
        <w:t xml:space="preserve"> </w:t>
      </w:r>
      <w:r>
        <w:rPr>
          <w:color w:val="231F20"/>
        </w:rPr>
        <w:t>функцій</w:t>
      </w:r>
      <w:r>
        <w:rPr>
          <w:color w:val="231F20"/>
          <w:spacing w:val="-8"/>
        </w:rPr>
        <w:t xml:space="preserve"> </w:t>
      </w:r>
      <w:r>
        <w:rPr>
          <w:color w:val="231F20"/>
        </w:rPr>
        <w:t>держави,</w:t>
      </w:r>
      <w:r>
        <w:rPr>
          <w:color w:val="231F20"/>
          <w:spacing w:val="-8"/>
        </w:rPr>
        <w:t xml:space="preserve"> </w:t>
      </w:r>
      <w:r>
        <w:rPr>
          <w:color w:val="231F20"/>
        </w:rPr>
        <w:t>зокрема щодо:</w:t>
      </w:r>
    </w:p>
    <w:p w14:paraId="38FA2A6F" w14:textId="77777777" w:rsidR="00DE575E" w:rsidRDefault="002E7560">
      <w:pPr>
        <w:pStyle w:val="ListParagraph"/>
        <w:numPr>
          <w:ilvl w:val="0"/>
          <w:numId w:val="116"/>
        </w:numPr>
        <w:tabs>
          <w:tab w:val="left" w:pos="818"/>
        </w:tabs>
        <w:spacing w:before="2" w:line="252" w:lineRule="auto"/>
        <w:ind w:right="410" w:firstLine="283"/>
        <w:jc w:val="both"/>
        <w:rPr>
          <w:sz w:val="21"/>
        </w:rPr>
      </w:pPr>
      <w:r>
        <w:rPr>
          <w:color w:val="231F20"/>
          <w:sz w:val="21"/>
        </w:rPr>
        <w:t>аналізу державної політики на загальнодержавному, галузе- вому й регіональному рівнях  та  підготовки  пропозицій  стосовно її формування, зокрема розроблення та проведення експертизи проєктів програм, концепцій, стратегій, проєктів законів та інших нормат</w:t>
      </w:r>
      <w:r>
        <w:rPr>
          <w:color w:val="231F20"/>
          <w:sz w:val="21"/>
        </w:rPr>
        <w:t>ивно-правових актів, проєктів міжнародних</w:t>
      </w:r>
      <w:r>
        <w:rPr>
          <w:color w:val="231F20"/>
          <w:spacing w:val="-8"/>
          <w:sz w:val="21"/>
        </w:rPr>
        <w:t xml:space="preserve"> </w:t>
      </w:r>
      <w:r>
        <w:rPr>
          <w:color w:val="231F20"/>
          <w:sz w:val="21"/>
        </w:rPr>
        <w:t>договорів;</w:t>
      </w:r>
    </w:p>
    <w:p w14:paraId="703AB53F" w14:textId="77777777" w:rsidR="00DE575E" w:rsidRDefault="002E7560">
      <w:pPr>
        <w:pStyle w:val="ListParagraph"/>
        <w:numPr>
          <w:ilvl w:val="0"/>
          <w:numId w:val="116"/>
        </w:numPr>
        <w:tabs>
          <w:tab w:val="left" w:pos="818"/>
        </w:tabs>
        <w:spacing w:before="2" w:line="252" w:lineRule="auto"/>
        <w:ind w:right="411" w:firstLine="283"/>
        <w:jc w:val="both"/>
        <w:rPr>
          <w:sz w:val="21"/>
        </w:rPr>
      </w:pPr>
      <w:r>
        <w:rPr>
          <w:color w:val="231F20"/>
          <w:sz w:val="21"/>
        </w:rPr>
        <w:t>забезпечення реалізації державної політики, виконання загальнодержавних, галузевих і регіональних програм, виконання законів та інших нормативно-правових</w:t>
      </w:r>
      <w:r>
        <w:rPr>
          <w:color w:val="231F20"/>
          <w:spacing w:val="-4"/>
          <w:sz w:val="21"/>
        </w:rPr>
        <w:t xml:space="preserve"> </w:t>
      </w:r>
      <w:r>
        <w:rPr>
          <w:color w:val="231F20"/>
          <w:sz w:val="21"/>
        </w:rPr>
        <w:t>актів;</w:t>
      </w:r>
    </w:p>
    <w:p w14:paraId="17481252" w14:textId="77777777" w:rsidR="00DE575E" w:rsidRDefault="002E7560">
      <w:pPr>
        <w:pStyle w:val="ListParagraph"/>
        <w:numPr>
          <w:ilvl w:val="0"/>
          <w:numId w:val="116"/>
        </w:numPr>
        <w:tabs>
          <w:tab w:val="left" w:pos="818"/>
        </w:tabs>
        <w:spacing w:before="2" w:line="252" w:lineRule="auto"/>
        <w:ind w:right="412" w:firstLine="283"/>
        <w:jc w:val="both"/>
        <w:rPr>
          <w:sz w:val="21"/>
        </w:rPr>
      </w:pPr>
      <w:r>
        <w:rPr>
          <w:color w:val="231F20"/>
          <w:sz w:val="21"/>
        </w:rPr>
        <w:t>забезпечення надання доступних і якісних а</w:t>
      </w:r>
      <w:r>
        <w:rPr>
          <w:color w:val="231F20"/>
          <w:sz w:val="21"/>
        </w:rPr>
        <w:t>дміністративних послуг;</w:t>
      </w:r>
    </w:p>
    <w:p w14:paraId="42F3A4F0" w14:textId="77777777" w:rsidR="00DE575E" w:rsidRDefault="002E7560">
      <w:pPr>
        <w:pStyle w:val="ListParagraph"/>
        <w:numPr>
          <w:ilvl w:val="0"/>
          <w:numId w:val="116"/>
        </w:numPr>
        <w:tabs>
          <w:tab w:val="left" w:pos="818"/>
        </w:tabs>
        <w:spacing w:line="252" w:lineRule="auto"/>
        <w:ind w:right="412" w:firstLine="283"/>
        <w:jc w:val="both"/>
        <w:rPr>
          <w:sz w:val="21"/>
        </w:rPr>
      </w:pPr>
      <w:r>
        <w:rPr>
          <w:color w:val="231F20"/>
          <w:sz w:val="21"/>
        </w:rPr>
        <w:t>здійснення державного нагляду та контролю за дотриманням законодавства;</w:t>
      </w:r>
    </w:p>
    <w:p w14:paraId="180B5A2A" w14:textId="77777777" w:rsidR="00DE575E" w:rsidRDefault="002E7560">
      <w:pPr>
        <w:pStyle w:val="ListParagraph"/>
        <w:numPr>
          <w:ilvl w:val="0"/>
          <w:numId w:val="116"/>
        </w:numPr>
        <w:tabs>
          <w:tab w:val="left" w:pos="818"/>
        </w:tabs>
        <w:spacing w:line="252" w:lineRule="auto"/>
        <w:ind w:right="413" w:firstLine="283"/>
        <w:jc w:val="both"/>
        <w:rPr>
          <w:sz w:val="21"/>
        </w:rPr>
      </w:pPr>
      <w:r>
        <w:rPr>
          <w:color w:val="231F20"/>
          <w:sz w:val="21"/>
        </w:rPr>
        <w:t>управління   державними   фінансовими   ресурсами,   майном і контролю за їх</w:t>
      </w:r>
      <w:r>
        <w:rPr>
          <w:color w:val="231F20"/>
          <w:spacing w:val="-3"/>
          <w:sz w:val="21"/>
        </w:rPr>
        <w:t xml:space="preserve"> </w:t>
      </w:r>
      <w:r>
        <w:rPr>
          <w:color w:val="231F20"/>
          <w:sz w:val="21"/>
        </w:rPr>
        <w:t>використанням;</w:t>
      </w:r>
    </w:p>
    <w:p w14:paraId="068EC1F9" w14:textId="77777777" w:rsidR="00DE575E" w:rsidRDefault="002E7560">
      <w:pPr>
        <w:pStyle w:val="ListParagraph"/>
        <w:numPr>
          <w:ilvl w:val="0"/>
          <w:numId w:val="116"/>
        </w:numPr>
        <w:tabs>
          <w:tab w:val="left" w:pos="818"/>
        </w:tabs>
        <w:ind w:firstLine="283"/>
        <w:rPr>
          <w:sz w:val="21"/>
        </w:rPr>
      </w:pPr>
      <w:r>
        <w:rPr>
          <w:color w:val="231F20"/>
          <w:sz w:val="21"/>
        </w:rPr>
        <w:t>управління персоналом державних</w:t>
      </w:r>
      <w:r>
        <w:rPr>
          <w:color w:val="231F20"/>
          <w:spacing w:val="-2"/>
          <w:sz w:val="21"/>
        </w:rPr>
        <w:t xml:space="preserve"> </w:t>
      </w:r>
      <w:r>
        <w:rPr>
          <w:color w:val="231F20"/>
          <w:sz w:val="21"/>
        </w:rPr>
        <w:t>органів;</w:t>
      </w:r>
    </w:p>
    <w:p w14:paraId="2DB4103A" w14:textId="77777777" w:rsidR="00DE575E" w:rsidRDefault="002E7560">
      <w:pPr>
        <w:pStyle w:val="ListParagraph"/>
        <w:numPr>
          <w:ilvl w:val="0"/>
          <w:numId w:val="116"/>
        </w:numPr>
        <w:tabs>
          <w:tab w:val="left" w:pos="818"/>
        </w:tabs>
        <w:spacing w:before="13" w:line="252" w:lineRule="auto"/>
        <w:ind w:right="411" w:firstLine="283"/>
        <w:jc w:val="both"/>
        <w:rPr>
          <w:sz w:val="21"/>
        </w:rPr>
      </w:pPr>
      <w:r>
        <w:rPr>
          <w:color w:val="231F20"/>
          <w:sz w:val="21"/>
        </w:rPr>
        <w:t xml:space="preserve">реалізації інших повноважень державного </w:t>
      </w:r>
      <w:r>
        <w:rPr>
          <w:color w:val="231F20"/>
          <w:spacing w:val="-3"/>
          <w:sz w:val="21"/>
        </w:rPr>
        <w:t xml:space="preserve">органу, </w:t>
      </w:r>
      <w:r>
        <w:rPr>
          <w:color w:val="231F20"/>
          <w:sz w:val="21"/>
        </w:rPr>
        <w:t>визначених законодавством»</w:t>
      </w:r>
      <w:r>
        <w:rPr>
          <w:color w:val="231F20"/>
          <w:position w:val="7"/>
          <w:sz w:val="12"/>
        </w:rPr>
        <w:t>1</w:t>
      </w:r>
      <w:r>
        <w:rPr>
          <w:color w:val="231F20"/>
          <w:sz w:val="21"/>
        </w:rPr>
        <w:t>.</w:t>
      </w:r>
    </w:p>
    <w:p w14:paraId="6FDF3F55" w14:textId="77777777" w:rsidR="00DE575E" w:rsidRDefault="002E7560">
      <w:pPr>
        <w:pStyle w:val="BodyText"/>
        <w:spacing w:before="1" w:line="252" w:lineRule="auto"/>
        <w:ind w:left="250" w:right="411" w:firstLine="283"/>
        <w:jc w:val="both"/>
      </w:pPr>
      <w:r>
        <w:rPr>
          <w:color w:val="231F20"/>
        </w:rPr>
        <w:t>Виходячи з цитованої дефініції, ключовими ознаками державної служби є такі:</w:t>
      </w:r>
    </w:p>
    <w:p w14:paraId="628D9DE8" w14:textId="77777777" w:rsidR="00DE575E" w:rsidRDefault="002E7560">
      <w:pPr>
        <w:pStyle w:val="ListParagraph"/>
        <w:numPr>
          <w:ilvl w:val="2"/>
          <w:numId w:val="123"/>
        </w:numPr>
        <w:tabs>
          <w:tab w:val="left" w:pos="818"/>
        </w:tabs>
        <w:spacing w:line="252" w:lineRule="auto"/>
        <w:ind w:right="411" w:firstLine="283"/>
        <w:rPr>
          <w:sz w:val="21"/>
        </w:rPr>
      </w:pPr>
      <w:r>
        <w:rPr>
          <w:b/>
          <w:i/>
          <w:color w:val="231F20"/>
          <w:sz w:val="21"/>
        </w:rPr>
        <w:t>публічність</w:t>
      </w:r>
      <w:r>
        <w:rPr>
          <w:color w:val="231F20"/>
          <w:sz w:val="21"/>
        </w:rPr>
        <w:t xml:space="preserve">. Прикметник </w:t>
      </w:r>
      <w:r>
        <w:rPr>
          <w:i/>
          <w:color w:val="231F20"/>
          <w:sz w:val="21"/>
        </w:rPr>
        <w:t xml:space="preserve">«публічний» </w:t>
      </w:r>
      <w:r>
        <w:rPr>
          <w:color w:val="231F20"/>
          <w:sz w:val="21"/>
        </w:rPr>
        <w:t>позначає  подвійну  (як</w:t>
      </w:r>
      <w:r>
        <w:rPr>
          <w:color w:val="231F20"/>
          <w:spacing w:val="35"/>
          <w:sz w:val="21"/>
        </w:rPr>
        <w:t xml:space="preserve"> </w:t>
      </w:r>
      <w:r>
        <w:rPr>
          <w:color w:val="231F20"/>
          <w:sz w:val="21"/>
        </w:rPr>
        <w:t>і</w:t>
      </w:r>
      <w:r>
        <w:rPr>
          <w:color w:val="231F20"/>
          <w:spacing w:val="35"/>
          <w:sz w:val="21"/>
        </w:rPr>
        <w:t xml:space="preserve"> </w:t>
      </w:r>
      <w:r>
        <w:rPr>
          <w:color w:val="231F20"/>
          <w:sz w:val="21"/>
        </w:rPr>
        <w:t>в</w:t>
      </w:r>
      <w:r>
        <w:rPr>
          <w:color w:val="231F20"/>
          <w:spacing w:val="35"/>
          <w:sz w:val="21"/>
        </w:rPr>
        <w:t xml:space="preserve"> </w:t>
      </w:r>
      <w:r>
        <w:rPr>
          <w:color w:val="231F20"/>
          <w:sz w:val="21"/>
        </w:rPr>
        <w:t>разі</w:t>
      </w:r>
      <w:r>
        <w:rPr>
          <w:color w:val="231F20"/>
          <w:spacing w:val="35"/>
          <w:sz w:val="21"/>
        </w:rPr>
        <w:t xml:space="preserve"> </w:t>
      </w:r>
      <w:r>
        <w:rPr>
          <w:color w:val="231F20"/>
          <w:sz w:val="21"/>
        </w:rPr>
        <w:t>з</w:t>
      </w:r>
      <w:r>
        <w:rPr>
          <w:color w:val="231F20"/>
          <w:spacing w:val="35"/>
          <w:sz w:val="21"/>
        </w:rPr>
        <w:t xml:space="preserve"> </w:t>
      </w:r>
      <w:r>
        <w:rPr>
          <w:color w:val="231F20"/>
          <w:sz w:val="21"/>
        </w:rPr>
        <w:t>публічною</w:t>
      </w:r>
      <w:r>
        <w:rPr>
          <w:color w:val="231F20"/>
          <w:spacing w:val="35"/>
          <w:sz w:val="21"/>
        </w:rPr>
        <w:t xml:space="preserve"> </w:t>
      </w:r>
      <w:r>
        <w:rPr>
          <w:color w:val="231F20"/>
          <w:sz w:val="21"/>
        </w:rPr>
        <w:t>службою)</w:t>
      </w:r>
      <w:r>
        <w:rPr>
          <w:color w:val="231F20"/>
          <w:spacing w:val="35"/>
          <w:sz w:val="21"/>
        </w:rPr>
        <w:t xml:space="preserve"> </w:t>
      </w:r>
      <w:r>
        <w:rPr>
          <w:color w:val="231F20"/>
          <w:sz w:val="21"/>
        </w:rPr>
        <w:t>якісну</w:t>
      </w:r>
      <w:r>
        <w:rPr>
          <w:color w:val="231F20"/>
          <w:spacing w:val="35"/>
          <w:sz w:val="21"/>
        </w:rPr>
        <w:t xml:space="preserve"> </w:t>
      </w:r>
      <w:r>
        <w:rPr>
          <w:color w:val="231F20"/>
          <w:sz w:val="21"/>
        </w:rPr>
        <w:t>специфіку</w:t>
      </w:r>
      <w:r>
        <w:rPr>
          <w:color w:val="231F20"/>
          <w:spacing w:val="35"/>
          <w:sz w:val="21"/>
        </w:rPr>
        <w:t xml:space="preserve"> </w:t>
      </w:r>
      <w:r>
        <w:rPr>
          <w:color w:val="231F20"/>
          <w:sz w:val="21"/>
        </w:rPr>
        <w:t>здійснюваної</w:t>
      </w:r>
    </w:p>
    <w:p w14:paraId="6DEFBB33" w14:textId="77777777" w:rsidR="00DE575E" w:rsidRDefault="00DE575E">
      <w:pPr>
        <w:pStyle w:val="BodyText"/>
        <w:rPr>
          <w:sz w:val="20"/>
        </w:rPr>
      </w:pPr>
    </w:p>
    <w:p w14:paraId="20ED7F47" w14:textId="03CD0573" w:rsidR="00DE575E" w:rsidRDefault="002E7560">
      <w:pPr>
        <w:pStyle w:val="BodyText"/>
        <w:spacing w:before="11"/>
        <w:rPr>
          <w:sz w:val="12"/>
        </w:rPr>
      </w:pPr>
      <w:r>
        <w:rPr>
          <w:noProof/>
        </w:rPr>
        <mc:AlternateContent>
          <mc:Choice Requires="wps">
            <w:drawing>
              <wp:anchor distT="0" distB="0" distL="0" distR="0" simplePos="0" relativeHeight="13720" behindDoc="0" locked="0" layoutInCell="1" allowOverlap="1" wp14:anchorId="701DF3F5" wp14:editId="2729A5DE">
                <wp:simplePos x="0" y="0"/>
                <wp:positionH relativeFrom="page">
                  <wp:posOffset>539750</wp:posOffset>
                </wp:positionH>
                <wp:positionV relativeFrom="paragraph">
                  <wp:posOffset>124460</wp:posOffset>
                </wp:positionV>
                <wp:extent cx="1080135" cy="0"/>
                <wp:effectExtent l="6350" t="10160" r="31115" b="27940"/>
                <wp:wrapTopAndBottom/>
                <wp:docPr id="52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4B93B" id="Line_x0020_528" o:spid="_x0000_s1026" style="position:absolute;z-index:13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pt" to="127.5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" strokecolor="#231f20" strokeweight=".5pt">
                <w10:wrap type="topAndBottom" anchorx="page"/>
              </v:line>
            </w:pict>
          </mc:Fallback>
        </mc:AlternateContent>
      </w:r>
    </w:p>
    <w:p w14:paraId="5238820F" w14:textId="77777777" w:rsidR="00DE575E" w:rsidRDefault="002E7560">
      <w:pPr>
        <w:spacing w:line="204" w:lineRule="auto"/>
        <w:ind w:left="250" w:right="521"/>
        <w:rPr>
          <w:sz w:val="16"/>
        </w:rPr>
      </w:pPr>
      <w:r>
        <w:rPr>
          <w:color w:val="231F20"/>
          <w:position w:val="5"/>
          <w:sz w:val="9"/>
        </w:rPr>
        <w:t xml:space="preserve">1 </w:t>
      </w:r>
      <w:r>
        <w:rPr>
          <w:color w:val="231F20"/>
          <w:sz w:val="16"/>
        </w:rPr>
        <w:t>Про державну службу : Закон України від 10.12.2015 р. № 889-VIII / Верховна Рада України. URL: https://zakon.rada.gov.ua/laws/show/889-19</w:t>
      </w:r>
    </w:p>
    <w:p w14:paraId="5CE26D49" w14:textId="77777777" w:rsidR="00DE575E" w:rsidRDefault="00DE575E">
      <w:pPr>
        <w:pStyle w:val="BodyText"/>
        <w:spacing w:before="1"/>
        <w:rPr>
          <w:sz w:val="12"/>
        </w:rPr>
      </w:pPr>
    </w:p>
    <w:p w14:paraId="758782AD" w14:textId="77777777" w:rsidR="00DE575E" w:rsidRDefault="002E7560">
      <w:pPr>
        <w:spacing w:before="92"/>
        <w:ind w:right="411"/>
        <w:jc w:val="right"/>
        <w:rPr>
          <w:rFonts w:ascii="Times New Roman"/>
          <w:sz w:val="20"/>
        </w:rPr>
      </w:pPr>
      <w:r>
        <w:rPr>
          <w:rFonts w:ascii="Times New Roman"/>
          <w:color w:val="231F20"/>
          <w:w w:val="90"/>
          <w:sz w:val="20"/>
        </w:rPr>
        <w:t>351</w:t>
      </w:r>
    </w:p>
    <w:p w14:paraId="6AAD1C0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E19626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EE10126" w14:textId="1D851ED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824FFB4" wp14:editId="27525B4B">
                <wp:extent cx="4140200" cy="6350"/>
                <wp:effectExtent l="0" t="0" r="12700" b="6350"/>
                <wp:docPr id="52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28" name="Line 5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B2E675" id="Group_x0020_5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GoQSggAIAAJgFAAAO&#10;AAAAAAAAAAAAAAAAACwCAABkcnMvZTJvRG9jLnhtbFBLAQItABQABgAIAAAAIQBMp7CQ2QAAAAMB&#10;AAAPAAAAAAAAAAAAAAAAANgEAABkcnMvZG93bnJldi54bWxQSwUGAAAAAAQABADzAAAA3gUAAAAA&#10;">
                <v:line id="Line_x0020_5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i1CsMAAADcAAAADwAAAGRycy9kb3ducmV2LnhtbERP3WrCMBS+F/YO4Qy8EU2nOEY1iggD&#10;8UK3dg9wbM7asuSkNtFWn95cDLz8+P6X694acaXW144VvE0SEMSF0zWXCn7yz/EHCB+QNRrHpOBG&#10;Htarl8ESU+06/qZrFkoRQ9inqKAKoUml9EVFFv3ENcSR+3WtxRBhW0rdYhfDrZHTJHmXFmuODRU2&#10;tK2o+MsuVkF+HgXzddybLj+eZvJ0Pszul4NSw9d+swARqA9P8b97pxXMp3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ItQrDAAAA3AAAAA8AAAAAAAAAAAAA&#10;AAAAoQIAAGRycy9kb3ducmV2LnhtbFBLBQYAAAAABAAEAPkAAACRAwAAAAA=&#10;" strokecolor="#231f20" strokeweight=".5pt"/>
                <w10:anchorlock/>
              </v:group>
            </w:pict>
          </mc:Fallback>
        </mc:AlternateContent>
      </w:r>
    </w:p>
    <w:p w14:paraId="18F6190D" w14:textId="77777777" w:rsidR="00DE575E" w:rsidRDefault="00DE575E">
      <w:pPr>
        <w:pStyle w:val="BodyText"/>
        <w:spacing w:before="7"/>
        <w:rPr>
          <w:rFonts w:ascii="AdonisC"/>
          <w:i/>
          <w:sz w:val="11"/>
        </w:rPr>
      </w:pPr>
    </w:p>
    <w:p w14:paraId="342BC025" w14:textId="77777777" w:rsidR="00DE575E" w:rsidRDefault="002E7560">
      <w:pPr>
        <w:pStyle w:val="BodyText"/>
        <w:spacing w:before="101" w:line="252" w:lineRule="auto"/>
        <w:ind w:left="533" w:right="126"/>
        <w:jc w:val="both"/>
      </w:pPr>
      <w:r>
        <w:rPr>
          <w:color w:val="231F20"/>
        </w:rPr>
        <w:t xml:space="preserve">активності: а) </w:t>
      </w:r>
      <w:r>
        <w:rPr>
          <w:i/>
          <w:color w:val="231F20"/>
        </w:rPr>
        <w:t xml:space="preserve">векторну спрямованість на досягнення публічного інтересу; </w:t>
      </w:r>
      <w:r>
        <w:rPr>
          <w:color w:val="231F20"/>
        </w:rPr>
        <w:t xml:space="preserve">б) </w:t>
      </w:r>
      <w:r>
        <w:rPr>
          <w:i/>
          <w:color w:val="231F20"/>
        </w:rPr>
        <w:t>інформаційну відкритість</w:t>
      </w:r>
      <w:r>
        <w:rPr>
          <w:color w:val="231F20"/>
        </w:rPr>
        <w:t xml:space="preserve">. </w:t>
      </w:r>
      <w:r>
        <w:rPr>
          <w:color w:val="231F20"/>
          <w:spacing w:val="-4"/>
        </w:rPr>
        <w:t xml:space="preserve">Такий </w:t>
      </w:r>
      <w:r>
        <w:rPr>
          <w:color w:val="231F20"/>
        </w:rPr>
        <w:t>характер діяльності відображений у деяких принципах державної служби: патріотизму (відданість та вірне служіння Українському народові); доброчесно- сті (спрямованість дій державного службовця на захист публічних інтересів та його відмова від превалювання п</w:t>
      </w:r>
      <w:r>
        <w:rPr>
          <w:color w:val="231F20"/>
        </w:rPr>
        <w:t>риватного</w:t>
      </w:r>
      <w:r>
        <w:rPr>
          <w:color w:val="231F20"/>
          <w:spacing w:val="23"/>
        </w:rPr>
        <w:t xml:space="preserve"> </w:t>
      </w:r>
      <w:r>
        <w:rPr>
          <w:color w:val="231F20"/>
        </w:rPr>
        <w:t>інтересу під час здійснення наданих йому повноважень); прозорості (відкри- тість інформації про діяльність державного службовця). Ознака публічності дозволяє також констатувати й неприватно-правову природу нормативного регулювання служби, стосовн</w:t>
      </w:r>
      <w:r>
        <w:rPr>
          <w:color w:val="231F20"/>
        </w:rPr>
        <w:t xml:space="preserve">о якої </w:t>
      </w:r>
      <w:r>
        <w:rPr>
          <w:color w:val="231F20"/>
          <w:spacing w:val="-3"/>
        </w:rPr>
        <w:t xml:space="preserve">трудове </w:t>
      </w:r>
      <w:r>
        <w:rPr>
          <w:color w:val="231F20"/>
        </w:rPr>
        <w:t>законодавство застосовується як допоміжне. Більше того, спосте- рігається тенденція до все більшої «публіцизації» відповідного масиву юридичних приписів – коли питання, що раніше регламен- тувалися законодавством про працю, поступово отримую</w:t>
      </w:r>
      <w:r>
        <w:rPr>
          <w:color w:val="231F20"/>
        </w:rPr>
        <w:t>ть власне державно-службове</w:t>
      </w:r>
      <w:r>
        <w:rPr>
          <w:color w:val="231F20"/>
          <w:spacing w:val="-1"/>
        </w:rPr>
        <w:t xml:space="preserve"> </w:t>
      </w:r>
      <w:r>
        <w:rPr>
          <w:color w:val="231F20"/>
        </w:rPr>
        <w:t>регулювання;</w:t>
      </w:r>
    </w:p>
    <w:p w14:paraId="0D771CAB" w14:textId="77777777" w:rsidR="00DE575E" w:rsidRDefault="002E7560">
      <w:pPr>
        <w:pStyle w:val="ListParagraph"/>
        <w:numPr>
          <w:ilvl w:val="0"/>
          <w:numId w:val="115"/>
        </w:numPr>
        <w:tabs>
          <w:tab w:val="left" w:pos="1101"/>
        </w:tabs>
        <w:spacing w:before="7" w:line="252" w:lineRule="auto"/>
        <w:ind w:right="128" w:firstLine="284"/>
        <w:rPr>
          <w:sz w:val="21"/>
        </w:rPr>
      </w:pPr>
      <w:r>
        <w:rPr>
          <w:b/>
          <w:i/>
          <w:color w:val="231F20"/>
          <w:spacing w:val="-3"/>
          <w:sz w:val="21"/>
        </w:rPr>
        <w:t>професійність</w:t>
      </w:r>
      <w:r>
        <w:rPr>
          <w:color w:val="231F20"/>
          <w:spacing w:val="-3"/>
          <w:sz w:val="21"/>
        </w:rPr>
        <w:t xml:space="preserve">, </w:t>
      </w:r>
      <w:r>
        <w:rPr>
          <w:color w:val="231F20"/>
          <w:sz w:val="21"/>
        </w:rPr>
        <w:t xml:space="preserve">що </w:t>
      </w:r>
      <w:r>
        <w:rPr>
          <w:color w:val="231F20"/>
          <w:spacing w:val="-3"/>
          <w:sz w:val="21"/>
        </w:rPr>
        <w:t xml:space="preserve">охоплює собою також </w:t>
      </w:r>
      <w:r>
        <w:rPr>
          <w:color w:val="231F20"/>
          <w:spacing w:val="-6"/>
          <w:sz w:val="21"/>
        </w:rPr>
        <w:t xml:space="preserve">подвійну, </w:t>
      </w:r>
      <w:r>
        <w:rPr>
          <w:color w:val="231F20"/>
          <w:spacing w:val="-3"/>
          <w:sz w:val="21"/>
        </w:rPr>
        <w:t>організа- ційно-кваліфікаційну</w:t>
      </w:r>
      <w:r>
        <w:rPr>
          <w:color w:val="231F20"/>
          <w:spacing w:val="-3"/>
          <w:position w:val="7"/>
          <w:sz w:val="12"/>
        </w:rPr>
        <w:t>1</w:t>
      </w:r>
      <w:r>
        <w:rPr>
          <w:color w:val="231F20"/>
          <w:spacing w:val="-3"/>
          <w:sz w:val="21"/>
        </w:rPr>
        <w:t xml:space="preserve">,   властивість    державної    служби:    </w:t>
      </w:r>
      <w:r>
        <w:rPr>
          <w:color w:val="231F20"/>
          <w:sz w:val="21"/>
        </w:rPr>
        <w:t xml:space="preserve">а)    </w:t>
      </w:r>
      <w:r>
        <w:rPr>
          <w:i/>
          <w:color w:val="231F20"/>
          <w:spacing w:val="-3"/>
          <w:sz w:val="21"/>
        </w:rPr>
        <w:t xml:space="preserve">вона   </w:t>
      </w:r>
      <w:r>
        <w:rPr>
          <w:i/>
          <w:color w:val="231F20"/>
          <w:sz w:val="21"/>
        </w:rPr>
        <w:t xml:space="preserve">є </w:t>
      </w:r>
      <w:r>
        <w:rPr>
          <w:i/>
          <w:color w:val="231F20"/>
          <w:spacing w:val="-3"/>
          <w:sz w:val="21"/>
        </w:rPr>
        <w:t xml:space="preserve">основним родом трудової діяльності </w:t>
      </w:r>
      <w:r>
        <w:rPr>
          <w:color w:val="231F20"/>
          <w:spacing w:val="-3"/>
          <w:sz w:val="21"/>
        </w:rPr>
        <w:t xml:space="preserve">(професією, </w:t>
      </w:r>
      <w:r>
        <w:rPr>
          <w:color w:val="231F20"/>
          <w:sz w:val="21"/>
        </w:rPr>
        <w:t xml:space="preserve">а не </w:t>
      </w:r>
      <w:r>
        <w:rPr>
          <w:color w:val="231F20"/>
          <w:spacing w:val="-3"/>
          <w:sz w:val="21"/>
        </w:rPr>
        <w:t xml:space="preserve">хобі) </w:t>
      </w:r>
      <w:r>
        <w:rPr>
          <w:color w:val="231F20"/>
          <w:sz w:val="21"/>
        </w:rPr>
        <w:t xml:space="preserve">особи </w:t>
      </w:r>
      <w:r>
        <w:rPr>
          <w:color w:val="231F20"/>
          <w:spacing w:val="-3"/>
          <w:sz w:val="21"/>
        </w:rPr>
        <w:t>і, відповідно,</w:t>
      </w:r>
      <w:r>
        <w:rPr>
          <w:color w:val="231F20"/>
          <w:spacing w:val="-3"/>
          <w:sz w:val="21"/>
        </w:rPr>
        <w:t xml:space="preserve"> </w:t>
      </w:r>
      <w:r>
        <w:rPr>
          <w:color w:val="231F20"/>
          <w:sz w:val="21"/>
        </w:rPr>
        <w:t xml:space="preserve">основним </w:t>
      </w:r>
      <w:r>
        <w:rPr>
          <w:color w:val="231F20"/>
          <w:spacing w:val="-3"/>
          <w:sz w:val="21"/>
        </w:rPr>
        <w:t xml:space="preserve">місцем </w:t>
      </w:r>
      <w:r>
        <w:rPr>
          <w:color w:val="231F20"/>
          <w:sz w:val="21"/>
        </w:rPr>
        <w:t xml:space="preserve">її </w:t>
      </w:r>
      <w:r>
        <w:rPr>
          <w:color w:val="231F20"/>
          <w:spacing w:val="-3"/>
          <w:sz w:val="21"/>
        </w:rPr>
        <w:t xml:space="preserve">роботи; </w:t>
      </w:r>
      <w:r>
        <w:rPr>
          <w:color w:val="231F20"/>
          <w:sz w:val="21"/>
        </w:rPr>
        <w:t xml:space="preserve">б) </w:t>
      </w:r>
      <w:r>
        <w:rPr>
          <w:color w:val="231F20"/>
          <w:spacing w:val="-3"/>
          <w:sz w:val="21"/>
        </w:rPr>
        <w:t xml:space="preserve">вона </w:t>
      </w:r>
      <w:r>
        <w:rPr>
          <w:i/>
          <w:color w:val="231F20"/>
          <w:spacing w:val="-3"/>
          <w:sz w:val="21"/>
        </w:rPr>
        <w:t xml:space="preserve">здійснюється </w:t>
      </w:r>
      <w:r>
        <w:rPr>
          <w:i/>
          <w:color w:val="231F20"/>
          <w:sz w:val="21"/>
        </w:rPr>
        <w:t xml:space="preserve">на </w:t>
      </w:r>
      <w:r>
        <w:rPr>
          <w:i/>
          <w:color w:val="231F20"/>
          <w:spacing w:val="-3"/>
          <w:sz w:val="21"/>
        </w:rPr>
        <w:t>основі певного (зумовленого нормативними приписами) рівня освіти та фахової підготовки</w:t>
      </w:r>
      <w:r>
        <w:rPr>
          <w:color w:val="231F20"/>
          <w:spacing w:val="-3"/>
          <w:sz w:val="21"/>
        </w:rPr>
        <w:t xml:space="preserve">, </w:t>
      </w:r>
      <w:r>
        <w:rPr>
          <w:color w:val="231F20"/>
          <w:sz w:val="21"/>
        </w:rPr>
        <w:t xml:space="preserve">що </w:t>
      </w:r>
      <w:r>
        <w:rPr>
          <w:color w:val="231F20"/>
          <w:spacing w:val="-3"/>
          <w:sz w:val="21"/>
        </w:rPr>
        <w:t xml:space="preserve">відображається </w:t>
      </w:r>
      <w:r>
        <w:rPr>
          <w:color w:val="231F20"/>
          <w:sz w:val="21"/>
        </w:rPr>
        <w:t xml:space="preserve">у </w:t>
      </w:r>
      <w:r>
        <w:rPr>
          <w:color w:val="231F20"/>
          <w:spacing w:val="-3"/>
          <w:sz w:val="21"/>
        </w:rPr>
        <w:t>принципі</w:t>
      </w:r>
      <w:r>
        <w:rPr>
          <w:color w:val="231F20"/>
          <w:spacing w:val="-9"/>
          <w:sz w:val="21"/>
        </w:rPr>
        <w:t xml:space="preserve"> </w:t>
      </w:r>
      <w:r>
        <w:rPr>
          <w:color w:val="231F20"/>
          <w:spacing w:val="-3"/>
          <w:sz w:val="21"/>
        </w:rPr>
        <w:t>професіоналізму</w:t>
      </w:r>
      <w:r>
        <w:rPr>
          <w:color w:val="231F20"/>
          <w:spacing w:val="-3"/>
          <w:position w:val="7"/>
          <w:sz w:val="12"/>
        </w:rPr>
        <w:t>2</w:t>
      </w:r>
      <w:r>
        <w:rPr>
          <w:color w:val="231F20"/>
          <w:spacing w:val="-3"/>
          <w:sz w:val="21"/>
        </w:rPr>
        <w:t>;</w:t>
      </w:r>
    </w:p>
    <w:p w14:paraId="2D937BB4" w14:textId="77777777" w:rsidR="00DE575E" w:rsidRDefault="002E7560">
      <w:pPr>
        <w:pStyle w:val="ListParagraph"/>
        <w:numPr>
          <w:ilvl w:val="0"/>
          <w:numId w:val="115"/>
        </w:numPr>
        <w:tabs>
          <w:tab w:val="left" w:pos="1101"/>
        </w:tabs>
        <w:spacing w:before="3" w:line="252" w:lineRule="auto"/>
        <w:ind w:right="128" w:firstLine="284"/>
        <w:rPr>
          <w:sz w:val="21"/>
        </w:rPr>
      </w:pPr>
      <w:r>
        <w:rPr>
          <w:b/>
          <w:i/>
          <w:color w:val="231F20"/>
          <w:sz w:val="21"/>
        </w:rPr>
        <w:t xml:space="preserve">політична неупередженість </w:t>
      </w:r>
      <w:r>
        <w:rPr>
          <w:color w:val="231F20"/>
          <w:sz w:val="21"/>
        </w:rPr>
        <w:t xml:space="preserve">– недопущення впливу полі- тичних поглядів на дії та рішення державного службовця, а також утримання від демонстрації свого ставлення до політичних партій, демонстрації власних політичних поглядів під час виконання поса- дових обов’язків (п. 8 ч. 1 </w:t>
      </w:r>
      <w:r>
        <w:rPr>
          <w:color w:val="231F20"/>
          <w:spacing w:val="-6"/>
          <w:sz w:val="21"/>
        </w:rPr>
        <w:t xml:space="preserve">ст. </w:t>
      </w:r>
      <w:r>
        <w:rPr>
          <w:color w:val="231F20"/>
          <w:sz w:val="21"/>
        </w:rPr>
        <w:t>4 З</w:t>
      </w:r>
      <w:r>
        <w:rPr>
          <w:color w:val="231F20"/>
          <w:sz w:val="21"/>
        </w:rPr>
        <w:t>акону «Про державну службу»).</w:t>
      </w:r>
      <w:r>
        <w:rPr>
          <w:color w:val="231F20"/>
          <w:spacing w:val="-33"/>
          <w:sz w:val="21"/>
        </w:rPr>
        <w:t xml:space="preserve"> </w:t>
      </w:r>
      <w:r>
        <w:rPr>
          <w:i/>
          <w:color w:val="231F20"/>
          <w:sz w:val="21"/>
        </w:rPr>
        <w:t xml:space="preserve">Полі- тичну неупередженість не потрібно ототожнювати із повною аполітичністю </w:t>
      </w:r>
      <w:r>
        <w:rPr>
          <w:color w:val="231F20"/>
          <w:sz w:val="21"/>
        </w:rPr>
        <w:t>(або безпартійністю – як її частиною). Адже біль- шість</w:t>
      </w:r>
      <w:r>
        <w:rPr>
          <w:color w:val="231F20"/>
          <w:position w:val="7"/>
          <w:sz w:val="12"/>
        </w:rPr>
        <w:t xml:space="preserve">3 </w:t>
      </w:r>
      <w:r>
        <w:rPr>
          <w:color w:val="231F20"/>
          <w:sz w:val="21"/>
        </w:rPr>
        <w:t>адміністративних державних службовців можуть бути членами політичних партій, але їм</w:t>
      </w:r>
      <w:r>
        <w:rPr>
          <w:color w:val="231F20"/>
          <w:spacing w:val="-3"/>
          <w:sz w:val="21"/>
        </w:rPr>
        <w:t xml:space="preserve"> </w:t>
      </w:r>
      <w:r>
        <w:rPr>
          <w:color w:val="231F20"/>
          <w:sz w:val="21"/>
        </w:rPr>
        <w:t>забороне</w:t>
      </w:r>
      <w:r>
        <w:rPr>
          <w:color w:val="231F20"/>
          <w:sz w:val="21"/>
        </w:rPr>
        <w:t>но:</w:t>
      </w:r>
    </w:p>
    <w:p w14:paraId="0DFD68FB" w14:textId="032E6E43" w:rsidR="00DE575E" w:rsidRDefault="002E7560">
      <w:pPr>
        <w:pStyle w:val="BodyText"/>
        <w:spacing w:before="3"/>
        <w:rPr>
          <w:sz w:val="24"/>
        </w:rPr>
      </w:pPr>
      <w:r>
        <w:rPr>
          <w:noProof/>
        </w:rPr>
        <mc:AlternateContent>
          <mc:Choice Requires="wps">
            <w:drawing>
              <wp:anchor distT="0" distB="0" distL="0" distR="0" simplePos="0" relativeHeight="13768" behindDoc="0" locked="0" layoutInCell="1" allowOverlap="1" wp14:anchorId="1A9B6B2C" wp14:editId="712A69EC">
                <wp:simplePos x="0" y="0"/>
                <wp:positionH relativeFrom="page">
                  <wp:posOffset>719455</wp:posOffset>
                </wp:positionH>
                <wp:positionV relativeFrom="paragraph">
                  <wp:posOffset>208280</wp:posOffset>
                </wp:positionV>
                <wp:extent cx="1080135" cy="0"/>
                <wp:effectExtent l="8255" t="17780" r="29210" b="20320"/>
                <wp:wrapTopAndBottom/>
                <wp:docPr id="52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4B50B" id="Line_x0020_525" o:spid="_x0000_s1026" style="position:absolute;z-index:13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4pt" to="141.7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" strokecolor="#231f20" strokeweight=".5pt">
                <w10:wrap type="topAndBottom" anchorx="page"/>
              </v:line>
            </w:pict>
          </mc:Fallback>
        </mc:AlternateContent>
      </w:r>
    </w:p>
    <w:p w14:paraId="4DB12EB0" w14:textId="77777777" w:rsidR="00DE575E" w:rsidRDefault="002E7560">
      <w:pPr>
        <w:spacing w:line="148" w:lineRule="exact"/>
        <w:ind w:left="533"/>
        <w:rPr>
          <w:sz w:val="16"/>
        </w:rPr>
      </w:pPr>
      <w:r>
        <w:rPr>
          <w:color w:val="231F20"/>
          <w:position w:val="5"/>
          <w:sz w:val="9"/>
        </w:rPr>
        <w:t xml:space="preserve">1 </w:t>
      </w:r>
      <w:r>
        <w:rPr>
          <w:color w:val="231F20"/>
          <w:sz w:val="16"/>
        </w:rPr>
        <w:t>Адже слово «професійний» є водночас прикметником і до слова «професія», і до слова</w:t>
      </w:r>
    </w:p>
    <w:p w14:paraId="2158F70C" w14:textId="77777777" w:rsidR="00DE575E" w:rsidRDefault="002E7560">
      <w:pPr>
        <w:spacing w:line="174" w:lineRule="exact"/>
        <w:ind w:left="533"/>
        <w:rPr>
          <w:sz w:val="16"/>
        </w:rPr>
      </w:pPr>
      <w:r>
        <w:rPr>
          <w:color w:val="231F20"/>
          <w:sz w:val="16"/>
        </w:rPr>
        <w:t>«професіонал».</w:t>
      </w:r>
    </w:p>
    <w:p w14:paraId="6D0A4A6B" w14:textId="77777777" w:rsidR="00DE575E" w:rsidRDefault="002E7560">
      <w:pPr>
        <w:spacing w:before="23" w:line="204" w:lineRule="auto"/>
        <w:ind w:left="533" w:right="126"/>
        <w:jc w:val="both"/>
        <w:rPr>
          <w:sz w:val="16"/>
        </w:rPr>
      </w:pPr>
      <w:r>
        <w:rPr>
          <w:color w:val="231F20"/>
          <w:position w:val="5"/>
          <w:sz w:val="9"/>
        </w:rPr>
        <w:t xml:space="preserve">2 </w:t>
      </w:r>
      <w:r>
        <w:rPr>
          <w:color w:val="231F20"/>
          <w:sz w:val="16"/>
        </w:rPr>
        <w:t xml:space="preserve">Принцип професіоналізму – компетентне, </w:t>
      </w:r>
      <w:r>
        <w:rPr>
          <w:color w:val="231F20"/>
          <w:spacing w:val="-4"/>
          <w:sz w:val="16"/>
        </w:rPr>
        <w:t xml:space="preserve">об’єктивне </w:t>
      </w:r>
      <w:r>
        <w:rPr>
          <w:color w:val="231F20"/>
          <w:sz w:val="16"/>
        </w:rPr>
        <w:t xml:space="preserve">й </w:t>
      </w:r>
      <w:r>
        <w:rPr>
          <w:color w:val="231F20"/>
          <w:spacing w:val="-3"/>
          <w:sz w:val="16"/>
        </w:rPr>
        <w:t xml:space="preserve">неупереджене </w:t>
      </w:r>
      <w:r>
        <w:rPr>
          <w:color w:val="231F20"/>
          <w:sz w:val="16"/>
        </w:rPr>
        <w:t>виконання поса- дових обов’язків, постійне підвищення державним службовцем рівня св</w:t>
      </w:r>
      <w:r>
        <w:rPr>
          <w:color w:val="231F20"/>
          <w:sz w:val="16"/>
        </w:rPr>
        <w:t>оєї професійної компетентності,</w:t>
      </w:r>
      <w:r>
        <w:rPr>
          <w:color w:val="231F20"/>
          <w:spacing w:val="-17"/>
          <w:sz w:val="16"/>
        </w:rPr>
        <w:t xml:space="preserve"> </w:t>
      </w:r>
      <w:r>
        <w:rPr>
          <w:color w:val="231F20"/>
          <w:sz w:val="16"/>
        </w:rPr>
        <w:t>вільне</w:t>
      </w:r>
      <w:r>
        <w:rPr>
          <w:color w:val="231F20"/>
          <w:spacing w:val="-17"/>
          <w:sz w:val="16"/>
        </w:rPr>
        <w:t xml:space="preserve"> </w:t>
      </w:r>
      <w:r>
        <w:rPr>
          <w:color w:val="231F20"/>
          <w:spacing w:val="-3"/>
          <w:sz w:val="16"/>
        </w:rPr>
        <w:t>володіння</w:t>
      </w:r>
      <w:r>
        <w:rPr>
          <w:color w:val="231F20"/>
          <w:spacing w:val="-17"/>
          <w:sz w:val="16"/>
        </w:rPr>
        <w:t xml:space="preserve"> </w:t>
      </w:r>
      <w:r>
        <w:rPr>
          <w:color w:val="231F20"/>
          <w:sz w:val="16"/>
        </w:rPr>
        <w:t>державною</w:t>
      </w:r>
      <w:r>
        <w:rPr>
          <w:color w:val="231F20"/>
          <w:spacing w:val="-17"/>
          <w:sz w:val="16"/>
        </w:rPr>
        <w:t xml:space="preserve"> </w:t>
      </w:r>
      <w:r>
        <w:rPr>
          <w:color w:val="231F20"/>
          <w:sz w:val="16"/>
        </w:rPr>
        <w:t>мовою</w:t>
      </w:r>
      <w:r>
        <w:rPr>
          <w:color w:val="231F20"/>
          <w:spacing w:val="-17"/>
          <w:sz w:val="16"/>
        </w:rPr>
        <w:t xml:space="preserve"> </w:t>
      </w:r>
      <w:r>
        <w:rPr>
          <w:color w:val="231F20"/>
          <w:sz w:val="16"/>
        </w:rPr>
        <w:t>і,</w:t>
      </w:r>
      <w:r>
        <w:rPr>
          <w:color w:val="231F20"/>
          <w:spacing w:val="-17"/>
          <w:sz w:val="16"/>
        </w:rPr>
        <w:t xml:space="preserve"> </w:t>
      </w:r>
      <w:r>
        <w:rPr>
          <w:color w:val="231F20"/>
          <w:sz w:val="16"/>
        </w:rPr>
        <w:t>за</w:t>
      </w:r>
      <w:r>
        <w:rPr>
          <w:color w:val="231F20"/>
          <w:spacing w:val="-17"/>
          <w:sz w:val="16"/>
        </w:rPr>
        <w:t xml:space="preserve"> </w:t>
      </w:r>
      <w:r>
        <w:rPr>
          <w:color w:val="231F20"/>
          <w:sz w:val="16"/>
        </w:rPr>
        <w:t>потреби,</w:t>
      </w:r>
      <w:r>
        <w:rPr>
          <w:color w:val="231F20"/>
          <w:spacing w:val="-17"/>
          <w:sz w:val="16"/>
        </w:rPr>
        <w:t xml:space="preserve"> </w:t>
      </w:r>
      <w:r>
        <w:rPr>
          <w:color w:val="231F20"/>
          <w:sz w:val="16"/>
        </w:rPr>
        <w:t>регіональною</w:t>
      </w:r>
      <w:r>
        <w:rPr>
          <w:color w:val="231F20"/>
          <w:spacing w:val="-17"/>
          <w:sz w:val="16"/>
        </w:rPr>
        <w:t xml:space="preserve"> </w:t>
      </w:r>
      <w:r>
        <w:rPr>
          <w:color w:val="231F20"/>
          <w:sz w:val="16"/>
        </w:rPr>
        <w:t>мовою</w:t>
      </w:r>
      <w:r>
        <w:rPr>
          <w:color w:val="231F20"/>
          <w:spacing w:val="-17"/>
          <w:sz w:val="16"/>
        </w:rPr>
        <w:t xml:space="preserve"> </w:t>
      </w:r>
      <w:r>
        <w:rPr>
          <w:color w:val="231F20"/>
          <w:spacing w:val="-2"/>
          <w:sz w:val="16"/>
        </w:rPr>
        <w:t xml:space="preserve">або </w:t>
      </w:r>
      <w:r>
        <w:rPr>
          <w:color w:val="231F20"/>
          <w:sz w:val="16"/>
        </w:rPr>
        <w:t xml:space="preserve">мовою національних меншин, </w:t>
      </w:r>
      <w:r>
        <w:rPr>
          <w:color w:val="231F20"/>
          <w:spacing w:val="-3"/>
          <w:sz w:val="16"/>
        </w:rPr>
        <w:t xml:space="preserve">визначеною </w:t>
      </w:r>
      <w:r>
        <w:rPr>
          <w:color w:val="231F20"/>
          <w:sz w:val="16"/>
        </w:rPr>
        <w:t xml:space="preserve">відповідно до закону (п. 3 ч. 1 </w:t>
      </w:r>
      <w:r>
        <w:rPr>
          <w:color w:val="231F20"/>
          <w:spacing w:val="-6"/>
          <w:sz w:val="16"/>
        </w:rPr>
        <w:t xml:space="preserve">ст. </w:t>
      </w:r>
      <w:r>
        <w:rPr>
          <w:color w:val="231F20"/>
          <w:sz w:val="16"/>
        </w:rPr>
        <w:t xml:space="preserve">4 Закону «Про державну службу»). Відсилання до «регіональної мови» потрібно сприймати критично, оскільки чинне мовне </w:t>
      </w:r>
      <w:r>
        <w:rPr>
          <w:color w:val="231F20"/>
          <w:spacing w:val="-3"/>
          <w:sz w:val="16"/>
        </w:rPr>
        <w:t xml:space="preserve">законодавство </w:t>
      </w:r>
      <w:r>
        <w:rPr>
          <w:color w:val="231F20"/>
          <w:sz w:val="16"/>
        </w:rPr>
        <w:t xml:space="preserve">(Закон «Про забезпечення функціонування україн- ської мови як державної») не </w:t>
      </w:r>
      <w:r>
        <w:rPr>
          <w:color w:val="231F20"/>
          <w:spacing w:val="-3"/>
          <w:sz w:val="16"/>
        </w:rPr>
        <w:t xml:space="preserve">передбачає </w:t>
      </w:r>
      <w:r>
        <w:rPr>
          <w:color w:val="231F20"/>
          <w:sz w:val="16"/>
        </w:rPr>
        <w:t xml:space="preserve">застосування/визнання/введення </w:t>
      </w:r>
      <w:r>
        <w:rPr>
          <w:color w:val="231F20"/>
          <w:spacing w:val="-2"/>
          <w:sz w:val="16"/>
        </w:rPr>
        <w:t>регіон</w:t>
      </w:r>
      <w:r>
        <w:rPr>
          <w:color w:val="231F20"/>
          <w:spacing w:val="-2"/>
          <w:sz w:val="16"/>
        </w:rPr>
        <w:t xml:space="preserve">альних </w:t>
      </w:r>
      <w:r>
        <w:rPr>
          <w:color w:val="231F20"/>
          <w:sz w:val="16"/>
        </w:rPr>
        <w:t>мов,</w:t>
      </w:r>
      <w:r>
        <w:rPr>
          <w:color w:val="231F20"/>
          <w:spacing w:val="-7"/>
          <w:sz w:val="16"/>
        </w:rPr>
        <w:t xml:space="preserve"> </w:t>
      </w:r>
      <w:r>
        <w:rPr>
          <w:color w:val="231F20"/>
          <w:sz w:val="16"/>
        </w:rPr>
        <w:t>а</w:t>
      </w:r>
      <w:r>
        <w:rPr>
          <w:color w:val="231F20"/>
          <w:spacing w:val="-7"/>
          <w:sz w:val="16"/>
        </w:rPr>
        <w:t xml:space="preserve"> </w:t>
      </w:r>
      <w:r>
        <w:rPr>
          <w:color w:val="231F20"/>
          <w:sz w:val="16"/>
        </w:rPr>
        <w:t>тому</w:t>
      </w:r>
      <w:r>
        <w:rPr>
          <w:color w:val="231F20"/>
          <w:spacing w:val="-7"/>
          <w:sz w:val="16"/>
        </w:rPr>
        <w:t xml:space="preserve"> </w:t>
      </w:r>
      <w:r>
        <w:rPr>
          <w:color w:val="231F20"/>
          <w:spacing w:val="-3"/>
          <w:sz w:val="16"/>
        </w:rPr>
        <w:t>володіння</w:t>
      </w:r>
      <w:r>
        <w:rPr>
          <w:color w:val="231F20"/>
          <w:spacing w:val="-7"/>
          <w:sz w:val="16"/>
        </w:rPr>
        <w:t xml:space="preserve"> </w:t>
      </w:r>
      <w:r>
        <w:rPr>
          <w:color w:val="231F20"/>
          <w:sz w:val="16"/>
        </w:rPr>
        <w:t>ними</w:t>
      </w:r>
      <w:r>
        <w:rPr>
          <w:color w:val="231F20"/>
          <w:spacing w:val="-7"/>
          <w:sz w:val="16"/>
        </w:rPr>
        <w:t xml:space="preserve"> </w:t>
      </w:r>
      <w:r>
        <w:rPr>
          <w:color w:val="231F20"/>
          <w:sz w:val="16"/>
        </w:rPr>
        <w:t>не</w:t>
      </w:r>
      <w:r>
        <w:rPr>
          <w:color w:val="231F20"/>
          <w:spacing w:val="-7"/>
          <w:sz w:val="16"/>
        </w:rPr>
        <w:t xml:space="preserve"> </w:t>
      </w:r>
      <w:r>
        <w:rPr>
          <w:color w:val="231F20"/>
          <w:spacing w:val="-3"/>
          <w:sz w:val="16"/>
        </w:rPr>
        <w:t>може</w:t>
      </w:r>
      <w:r>
        <w:rPr>
          <w:color w:val="231F20"/>
          <w:spacing w:val="-7"/>
          <w:sz w:val="16"/>
        </w:rPr>
        <w:t xml:space="preserve"> </w:t>
      </w:r>
      <w:r>
        <w:rPr>
          <w:color w:val="231F20"/>
          <w:sz w:val="16"/>
        </w:rPr>
        <w:t>бути</w:t>
      </w:r>
      <w:r>
        <w:rPr>
          <w:color w:val="231F20"/>
          <w:spacing w:val="-7"/>
          <w:sz w:val="16"/>
        </w:rPr>
        <w:t xml:space="preserve"> </w:t>
      </w:r>
      <w:r>
        <w:rPr>
          <w:color w:val="231F20"/>
          <w:sz w:val="16"/>
        </w:rPr>
        <w:t>критерієм</w:t>
      </w:r>
      <w:r>
        <w:rPr>
          <w:color w:val="231F20"/>
          <w:spacing w:val="-7"/>
          <w:sz w:val="16"/>
        </w:rPr>
        <w:t xml:space="preserve"> </w:t>
      </w:r>
      <w:r>
        <w:rPr>
          <w:color w:val="231F20"/>
          <w:spacing w:val="-3"/>
          <w:sz w:val="16"/>
        </w:rPr>
        <w:t>фаховості</w:t>
      </w:r>
      <w:r>
        <w:rPr>
          <w:color w:val="231F20"/>
          <w:spacing w:val="-7"/>
          <w:sz w:val="16"/>
        </w:rPr>
        <w:t xml:space="preserve"> </w:t>
      </w:r>
      <w:r>
        <w:rPr>
          <w:color w:val="231F20"/>
          <w:sz w:val="16"/>
        </w:rPr>
        <w:t>державних</w:t>
      </w:r>
      <w:r>
        <w:rPr>
          <w:color w:val="231F20"/>
          <w:spacing w:val="-7"/>
          <w:sz w:val="16"/>
        </w:rPr>
        <w:t xml:space="preserve"> </w:t>
      </w:r>
      <w:r>
        <w:rPr>
          <w:color w:val="231F20"/>
          <w:sz w:val="16"/>
        </w:rPr>
        <w:t>службовців.</w:t>
      </w:r>
    </w:p>
    <w:p w14:paraId="3ED5DA84" w14:textId="77777777" w:rsidR="00DE575E" w:rsidRDefault="002E7560">
      <w:pPr>
        <w:spacing w:before="33" w:line="204" w:lineRule="auto"/>
        <w:ind w:left="533" w:right="128"/>
        <w:jc w:val="both"/>
        <w:rPr>
          <w:sz w:val="16"/>
        </w:rPr>
      </w:pPr>
      <w:r>
        <w:rPr>
          <w:color w:val="231F20"/>
          <w:position w:val="5"/>
          <w:sz w:val="9"/>
        </w:rPr>
        <w:t xml:space="preserve">3 </w:t>
      </w:r>
      <w:r>
        <w:rPr>
          <w:color w:val="231F20"/>
          <w:sz w:val="16"/>
        </w:rPr>
        <w:t xml:space="preserve">Крім посадовців категорії «А». </w:t>
      </w:r>
      <w:r>
        <w:rPr>
          <w:color w:val="231F20"/>
          <w:spacing w:val="-4"/>
          <w:sz w:val="16"/>
        </w:rPr>
        <w:t xml:space="preserve">Також  </w:t>
      </w:r>
      <w:r>
        <w:rPr>
          <w:color w:val="231F20"/>
          <w:sz w:val="16"/>
        </w:rPr>
        <w:t>заборона бути членом політичної партії зазви-  чай є актуальною і для спеціалізованих державний</w:t>
      </w:r>
      <w:r>
        <w:rPr>
          <w:color w:val="231F20"/>
          <w:spacing w:val="-7"/>
          <w:sz w:val="16"/>
        </w:rPr>
        <w:t xml:space="preserve"> </w:t>
      </w:r>
      <w:r>
        <w:rPr>
          <w:color w:val="231F20"/>
          <w:sz w:val="16"/>
        </w:rPr>
        <w:t>службовців.</w:t>
      </w:r>
    </w:p>
    <w:p w14:paraId="2D2CC64E" w14:textId="77777777" w:rsidR="00DE575E" w:rsidRDefault="00DE575E">
      <w:pPr>
        <w:pStyle w:val="BodyText"/>
        <w:spacing w:before="5"/>
        <w:rPr>
          <w:sz w:val="12"/>
        </w:rPr>
      </w:pPr>
    </w:p>
    <w:p w14:paraId="29C07BB3" w14:textId="77777777" w:rsidR="00DE575E" w:rsidRDefault="002E7560">
      <w:pPr>
        <w:spacing w:before="92"/>
        <w:ind w:left="533"/>
        <w:rPr>
          <w:rFonts w:ascii="Times New Roman"/>
          <w:sz w:val="20"/>
        </w:rPr>
      </w:pPr>
      <w:r>
        <w:rPr>
          <w:rFonts w:ascii="Times New Roman"/>
          <w:color w:val="231F20"/>
          <w:sz w:val="20"/>
        </w:rPr>
        <w:t>352</w:t>
      </w:r>
    </w:p>
    <w:p w14:paraId="585641F1" w14:textId="77777777" w:rsidR="00DE575E" w:rsidRDefault="00DE575E">
      <w:pPr>
        <w:rPr>
          <w:rFonts w:ascii="Times New Roman"/>
          <w:sz w:val="20"/>
        </w:rPr>
        <w:sectPr w:rsidR="00DE575E">
          <w:pgSz w:w="8510" w:h="12760"/>
          <w:pgMar w:top="660" w:right="720" w:bottom="280" w:left="600" w:header="720" w:footer="720" w:gutter="0"/>
          <w:cols w:space="720"/>
        </w:sectPr>
      </w:pPr>
    </w:p>
    <w:p w14:paraId="002C9212"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48EC7602"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327810C8" w14:textId="3198792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76B4895" wp14:editId="570D3AE0">
                <wp:extent cx="4140200" cy="6350"/>
                <wp:effectExtent l="0" t="0" r="12700" b="6350"/>
                <wp:docPr id="52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25" name="Line 52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63224A" id="Group_x0020_52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sGB+An4CAACYBQAADgAA&#10;AAAAAAAAAAAAAAAsAgAAZHJzL2Uyb0RvYy54bWxQSwECLQAUAAYACAAAACEATKewkNkAAAADAQAA&#10;DwAAAAAAAAAAAAAAAADWBAAAZHJzL2Rvd25yZXYueG1sUEsFBgAAAAAEAAQA8wAAANwFAAAAAA==&#10;">
                <v:line id="Line_x0020_52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kalMYAAADcAAAADwAAAGRycy9kb3ducmV2LnhtbESP3WrCQBSE7wu+w3KE3hTdVFFKdBUR&#10;CsUL/9IHOGZPk9DdszG7mujTu0Khl8PMfMPMl5014kqNrxwreB8mIIhzpysuFHxnn4MPED4gazSO&#10;ScGNPCwXvZc5ptq1fKDrMRQiQtinqKAMoU6l9HlJFv3Q1cTR+3GNxRBlU0jdYBvh1shRkkylxYrj&#10;Qok1rUvKf48XqyA7vwWz321Mm+1OY3k6b8f3y1ap1363moEI1IX/8F/7SyuYjCb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fJGpTGAAAA3AAAAA8AAAAAAAAA&#10;AAAAAAAAoQIAAGRycy9kb3ducmV2LnhtbFBLBQYAAAAABAAEAPkAAACUAwAAAAA=&#10;" strokecolor="#231f20" strokeweight=".5pt"/>
                <w10:anchorlock/>
              </v:group>
            </w:pict>
          </mc:Fallback>
        </mc:AlternateContent>
      </w:r>
    </w:p>
    <w:p w14:paraId="432899A7" w14:textId="77777777" w:rsidR="00DE575E" w:rsidRDefault="00DE575E">
      <w:pPr>
        <w:pStyle w:val="BodyText"/>
        <w:spacing w:before="7"/>
        <w:rPr>
          <w:rFonts w:ascii="AdonisC"/>
          <w:i/>
          <w:sz w:val="19"/>
        </w:rPr>
      </w:pPr>
    </w:p>
    <w:p w14:paraId="079B8313" w14:textId="77777777" w:rsidR="00DE575E" w:rsidRDefault="002E7560">
      <w:pPr>
        <w:pStyle w:val="ListParagraph"/>
        <w:numPr>
          <w:ilvl w:val="0"/>
          <w:numId w:val="114"/>
        </w:numPr>
        <w:tabs>
          <w:tab w:val="left" w:pos="1101"/>
        </w:tabs>
        <w:ind w:hanging="283"/>
        <w:jc w:val="left"/>
        <w:rPr>
          <w:sz w:val="21"/>
        </w:rPr>
      </w:pPr>
      <w:r>
        <w:rPr>
          <w:color w:val="231F20"/>
          <w:sz w:val="21"/>
        </w:rPr>
        <w:t>обіймати посади в керівних органах політичної</w:t>
      </w:r>
      <w:r>
        <w:rPr>
          <w:color w:val="231F20"/>
          <w:spacing w:val="-5"/>
          <w:sz w:val="21"/>
        </w:rPr>
        <w:t xml:space="preserve"> </w:t>
      </w:r>
      <w:r>
        <w:rPr>
          <w:color w:val="231F20"/>
          <w:sz w:val="21"/>
        </w:rPr>
        <w:t>партії;</w:t>
      </w:r>
    </w:p>
    <w:p w14:paraId="7400167D" w14:textId="77777777" w:rsidR="00DE575E" w:rsidRDefault="002E7560">
      <w:pPr>
        <w:pStyle w:val="ListParagraph"/>
        <w:numPr>
          <w:ilvl w:val="0"/>
          <w:numId w:val="114"/>
        </w:numPr>
        <w:tabs>
          <w:tab w:val="left" w:pos="1101"/>
        </w:tabs>
        <w:spacing w:before="12" w:line="252" w:lineRule="auto"/>
        <w:ind w:right="411" w:hanging="283"/>
        <w:rPr>
          <w:sz w:val="21"/>
        </w:rPr>
      </w:pPr>
      <w:r>
        <w:rPr>
          <w:color w:val="231F20"/>
          <w:sz w:val="21"/>
        </w:rPr>
        <w:t>демонструвати свої політичні погляди та вчиняти інші дії або</w:t>
      </w:r>
      <w:r>
        <w:rPr>
          <w:color w:val="231F20"/>
          <w:spacing w:val="-10"/>
          <w:sz w:val="21"/>
        </w:rPr>
        <w:t xml:space="preserve"> </w:t>
      </w:r>
      <w:r>
        <w:rPr>
          <w:color w:val="231F20"/>
          <w:sz w:val="21"/>
        </w:rPr>
        <w:t>бездіяльність,</w:t>
      </w:r>
      <w:r>
        <w:rPr>
          <w:color w:val="231F20"/>
          <w:spacing w:val="-10"/>
          <w:sz w:val="21"/>
        </w:rPr>
        <w:t xml:space="preserve"> </w:t>
      </w:r>
      <w:r>
        <w:rPr>
          <w:color w:val="231F20"/>
          <w:sz w:val="21"/>
        </w:rPr>
        <w:t>що</w:t>
      </w:r>
      <w:r>
        <w:rPr>
          <w:color w:val="231F20"/>
          <w:spacing w:val="-10"/>
          <w:sz w:val="21"/>
        </w:rPr>
        <w:t xml:space="preserve"> </w:t>
      </w:r>
      <w:r>
        <w:rPr>
          <w:color w:val="231F20"/>
          <w:sz w:val="21"/>
        </w:rPr>
        <w:t>в</w:t>
      </w:r>
      <w:r>
        <w:rPr>
          <w:color w:val="231F20"/>
          <w:spacing w:val="-10"/>
          <w:sz w:val="21"/>
        </w:rPr>
        <w:t xml:space="preserve"> </w:t>
      </w:r>
      <w:r>
        <w:rPr>
          <w:color w:val="231F20"/>
          <w:spacing w:val="-3"/>
          <w:sz w:val="21"/>
        </w:rPr>
        <w:t>будь-який</w:t>
      </w:r>
      <w:r>
        <w:rPr>
          <w:color w:val="231F20"/>
          <w:spacing w:val="-10"/>
          <w:sz w:val="21"/>
        </w:rPr>
        <w:t xml:space="preserve"> </w:t>
      </w:r>
      <w:r>
        <w:rPr>
          <w:color w:val="231F20"/>
          <w:sz w:val="21"/>
        </w:rPr>
        <w:t>спосіб</w:t>
      </w:r>
      <w:r>
        <w:rPr>
          <w:color w:val="231F20"/>
          <w:spacing w:val="-10"/>
          <w:sz w:val="21"/>
        </w:rPr>
        <w:t xml:space="preserve"> </w:t>
      </w:r>
      <w:r>
        <w:rPr>
          <w:color w:val="231F20"/>
          <w:sz w:val="21"/>
        </w:rPr>
        <w:t>можуть</w:t>
      </w:r>
      <w:r>
        <w:rPr>
          <w:color w:val="231F20"/>
          <w:spacing w:val="-10"/>
          <w:sz w:val="21"/>
        </w:rPr>
        <w:t xml:space="preserve"> </w:t>
      </w:r>
      <w:r>
        <w:rPr>
          <w:color w:val="231F20"/>
          <w:sz w:val="21"/>
        </w:rPr>
        <w:t>засвідчити особливе ставлення до певних політичних</w:t>
      </w:r>
      <w:r>
        <w:rPr>
          <w:color w:val="231F20"/>
          <w:spacing w:val="-8"/>
          <w:sz w:val="21"/>
        </w:rPr>
        <w:t xml:space="preserve"> </w:t>
      </w:r>
      <w:r>
        <w:rPr>
          <w:color w:val="231F20"/>
          <w:sz w:val="21"/>
        </w:rPr>
        <w:t>партій/ру</w:t>
      </w:r>
      <w:r>
        <w:rPr>
          <w:color w:val="231F20"/>
          <w:sz w:val="21"/>
        </w:rPr>
        <w:t>хів;</w:t>
      </w:r>
    </w:p>
    <w:p w14:paraId="426BA828" w14:textId="77777777" w:rsidR="00DE575E" w:rsidRDefault="002E7560">
      <w:pPr>
        <w:pStyle w:val="ListParagraph"/>
        <w:numPr>
          <w:ilvl w:val="0"/>
          <w:numId w:val="114"/>
        </w:numPr>
        <w:tabs>
          <w:tab w:val="left" w:pos="1101"/>
        </w:tabs>
        <w:spacing w:before="2" w:line="252" w:lineRule="auto"/>
        <w:ind w:right="410" w:hanging="283"/>
        <w:rPr>
          <w:sz w:val="21"/>
        </w:rPr>
      </w:pPr>
      <w:r>
        <w:rPr>
          <w:color w:val="231F20"/>
          <w:sz w:val="21"/>
        </w:rPr>
        <w:t>суміщати державну службу зі статусом депутата місцевої ради (лише для посадовців категорії</w:t>
      </w:r>
      <w:r>
        <w:rPr>
          <w:color w:val="231F20"/>
          <w:spacing w:val="-3"/>
          <w:sz w:val="21"/>
        </w:rPr>
        <w:t xml:space="preserve"> </w:t>
      </w:r>
      <w:r>
        <w:rPr>
          <w:color w:val="231F20"/>
          <w:sz w:val="21"/>
        </w:rPr>
        <w:t>«А»);</w:t>
      </w:r>
    </w:p>
    <w:p w14:paraId="371ECBFE" w14:textId="77777777" w:rsidR="00DE575E" w:rsidRDefault="002E7560">
      <w:pPr>
        <w:pStyle w:val="ListParagraph"/>
        <w:numPr>
          <w:ilvl w:val="0"/>
          <w:numId w:val="114"/>
        </w:numPr>
        <w:tabs>
          <w:tab w:val="left" w:pos="1101"/>
        </w:tabs>
        <w:spacing w:line="252" w:lineRule="auto"/>
        <w:ind w:right="410" w:hanging="283"/>
        <w:rPr>
          <w:sz w:val="21"/>
        </w:rPr>
      </w:pPr>
      <w:r>
        <w:rPr>
          <w:color w:val="231F20"/>
          <w:sz w:val="21"/>
        </w:rPr>
        <w:t>залучати, використовуючи своє службове становище, осіб або матеріальні ресурси для здійснення передвиборної агітації чи проведення інших політичних</w:t>
      </w:r>
      <w:r>
        <w:rPr>
          <w:color w:val="231F20"/>
          <w:spacing w:val="-6"/>
          <w:sz w:val="21"/>
        </w:rPr>
        <w:t xml:space="preserve"> </w:t>
      </w:r>
      <w:r>
        <w:rPr>
          <w:color w:val="231F20"/>
          <w:sz w:val="21"/>
        </w:rPr>
        <w:t>заході</w:t>
      </w:r>
      <w:r>
        <w:rPr>
          <w:color w:val="231F20"/>
          <w:sz w:val="21"/>
        </w:rPr>
        <w:t>в;</w:t>
      </w:r>
    </w:p>
    <w:p w14:paraId="3384915C" w14:textId="77777777" w:rsidR="00DE575E" w:rsidRDefault="002E7560">
      <w:pPr>
        <w:pStyle w:val="ListParagraph"/>
        <w:numPr>
          <w:ilvl w:val="0"/>
          <w:numId w:val="114"/>
        </w:numPr>
        <w:tabs>
          <w:tab w:val="left" w:pos="1101"/>
        </w:tabs>
        <w:spacing w:line="252" w:lineRule="auto"/>
        <w:ind w:right="410" w:hanging="283"/>
        <w:rPr>
          <w:sz w:val="21"/>
        </w:rPr>
      </w:pPr>
      <w:r>
        <w:rPr>
          <w:color w:val="231F20"/>
          <w:sz w:val="21"/>
        </w:rPr>
        <w:t xml:space="preserve">у </w:t>
      </w:r>
      <w:r>
        <w:rPr>
          <w:color w:val="231F20"/>
          <w:spacing w:val="-3"/>
          <w:sz w:val="21"/>
        </w:rPr>
        <w:t xml:space="preserve">будь-який </w:t>
      </w:r>
      <w:r>
        <w:rPr>
          <w:color w:val="231F20"/>
          <w:sz w:val="21"/>
        </w:rPr>
        <w:t>інший спосіб використовувати своє службове становище в політичних</w:t>
      </w:r>
      <w:r>
        <w:rPr>
          <w:color w:val="231F20"/>
          <w:spacing w:val="-2"/>
          <w:sz w:val="21"/>
        </w:rPr>
        <w:t xml:space="preserve"> </w:t>
      </w:r>
      <w:r>
        <w:rPr>
          <w:color w:val="231F20"/>
          <w:sz w:val="21"/>
        </w:rPr>
        <w:t>цілях.</w:t>
      </w:r>
    </w:p>
    <w:p w14:paraId="7FC95833" w14:textId="77777777" w:rsidR="00DE575E" w:rsidRDefault="002E7560">
      <w:pPr>
        <w:pStyle w:val="ListParagraph"/>
        <w:numPr>
          <w:ilvl w:val="2"/>
          <w:numId w:val="123"/>
        </w:numPr>
        <w:tabs>
          <w:tab w:val="left" w:pos="818"/>
        </w:tabs>
        <w:spacing w:line="252" w:lineRule="auto"/>
        <w:ind w:right="411" w:firstLine="283"/>
        <w:rPr>
          <w:sz w:val="21"/>
        </w:rPr>
      </w:pPr>
      <w:r>
        <w:rPr>
          <w:b/>
          <w:i/>
          <w:color w:val="231F20"/>
          <w:sz w:val="21"/>
        </w:rPr>
        <w:t xml:space="preserve">практичне виконання завдань і функцій держави </w:t>
      </w:r>
      <w:r>
        <w:rPr>
          <w:color w:val="231F20"/>
          <w:sz w:val="21"/>
        </w:rPr>
        <w:t xml:space="preserve">щодо забезпечення формування та реалізації державної політики (на різних рівнях адміністрування), забезпечення надання адмініст- ративних </w:t>
      </w:r>
      <w:r>
        <w:rPr>
          <w:color w:val="231F20"/>
          <w:spacing w:val="-3"/>
          <w:sz w:val="21"/>
        </w:rPr>
        <w:t xml:space="preserve">послуг, </w:t>
      </w:r>
      <w:r>
        <w:rPr>
          <w:color w:val="231F20"/>
          <w:sz w:val="21"/>
        </w:rPr>
        <w:t>здійснення державного нагляду й контролю, управління державними фінансовими / майновими ресурсами та персонало</w:t>
      </w:r>
      <w:r>
        <w:rPr>
          <w:color w:val="231F20"/>
          <w:sz w:val="21"/>
        </w:rPr>
        <w:t xml:space="preserve">м державних органів, реалізації інших визначених зако- нодавством повноважень державних органів. Цей перелік функ-  цій (як узагальнення зазначених в офіційній дефініції ч. 1 </w:t>
      </w:r>
      <w:r>
        <w:rPr>
          <w:color w:val="231F20"/>
          <w:spacing w:val="-6"/>
          <w:sz w:val="21"/>
        </w:rPr>
        <w:t xml:space="preserve">ст. </w:t>
      </w:r>
      <w:r>
        <w:rPr>
          <w:color w:val="231F20"/>
          <w:sz w:val="21"/>
        </w:rPr>
        <w:t>1 Закону «Про державну службу»): а) корелює з основними функці- ями органів в</w:t>
      </w:r>
      <w:r>
        <w:rPr>
          <w:color w:val="231F20"/>
          <w:sz w:val="21"/>
        </w:rPr>
        <w:t xml:space="preserve">иконавчої влади </w:t>
      </w:r>
      <w:r>
        <w:rPr>
          <w:color w:val="231F20"/>
          <w:spacing w:val="-3"/>
          <w:sz w:val="21"/>
        </w:rPr>
        <w:t xml:space="preserve">(Уряд </w:t>
      </w:r>
      <w:r>
        <w:rPr>
          <w:color w:val="231F20"/>
          <w:sz w:val="21"/>
        </w:rPr>
        <w:t xml:space="preserve">і міністерства – забезпечення формування/реалізації державної політики; інспекції – контроль/ нагляд; служби – адміністративні послуги; агентства – управління </w:t>
      </w:r>
      <w:r>
        <w:rPr>
          <w:color w:val="231F20"/>
          <w:spacing w:val="-3"/>
          <w:sz w:val="21"/>
        </w:rPr>
        <w:t xml:space="preserve">об’єктами </w:t>
      </w:r>
      <w:r>
        <w:rPr>
          <w:color w:val="231F20"/>
          <w:sz w:val="21"/>
        </w:rPr>
        <w:t>державної власності); б) містить функцію з управління персоналом як наскрізну (характерну для всіх рівнів влади) право- мочність державних службовців, що перебувають на керівних поса- дах; в) відсилає до «інших» повноважень державних органів задля повного</w:t>
      </w:r>
      <w:r>
        <w:rPr>
          <w:color w:val="231F20"/>
          <w:spacing w:val="-18"/>
          <w:sz w:val="21"/>
        </w:rPr>
        <w:t xml:space="preserve"> </w:t>
      </w:r>
      <w:r>
        <w:rPr>
          <w:color w:val="231F20"/>
          <w:sz w:val="21"/>
        </w:rPr>
        <w:t>охоплення</w:t>
      </w:r>
      <w:r>
        <w:rPr>
          <w:color w:val="231F20"/>
          <w:spacing w:val="-18"/>
          <w:sz w:val="21"/>
        </w:rPr>
        <w:t xml:space="preserve"> </w:t>
      </w:r>
      <w:r>
        <w:rPr>
          <w:color w:val="231F20"/>
          <w:sz w:val="21"/>
        </w:rPr>
        <w:t>(сучасних</w:t>
      </w:r>
      <w:r>
        <w:rPr>
          <w:color w:val="231F20"/>
          <w:spacing w:val="-17"/>
          <w:sz w:val="21"/>
        </w:rPr>
        <w:t xml:space="preserve"> </w:t>
      </w:r>
      <w:r>
        <w:rPr>
          <w:color w:val="231F20"/>
          <w:sz w:val="21"/>
        </w:rPr>
        <w:t>та</w:t>
      </w:r>
      <w:r>
        <w:rPr>
          <w:color w:val="231F20"/>
          <w:spacing w:val="-18"/>
          <w:sz w:val="21"/>
        </w:rPr>
        <w:t xml:space="preserve"> </w:t>
      </w:r>
      <w:r>
        <w:rPr>
          <w:color w:val="231F20"/>
          <w:sz w:val="21"/>
        </w:rPr>
        <w:t>перспективних)</w:t>
      </w:r>
      <w:r>
        <w:rPr>
          <w:color w:val="231F20"/>
          <w:spacing w:val="-18"/>
          <w:sz w:val="21"/>
        </w:rPr>
        <w:t xml:space="preserve"> </w:t>
      </w:r>
      <w:r>
        <w:rPr>
          <w:color w:val="231F20"/>
          <w:sz w:val="21"/>
        </w:rPr>
        <w:t>компетенції</w:t>
      </w:r>
      <w:r>
        <w:rPr>
          <w:color w:val="231F20"/>
          <w:spacing w:val="-18"/>
          <w:sz w:val="21"/>
        </w:rPr>
        <w:t xml:space="preserve"> </w:t>
      </w:r>
      <w:r>
        <w:rPr>
          <w:color w:val="231F20"/>
          <w:sz w:val="21"/>
        </w:rPr>
        <w:t>публіч- них</w:t>
      </w:r>
      <w:r>
        <w:rPr>
          <w:color w:val="231F20"/>
          <w:spacing w:val="-1"/>
          <w:sz w:val="21"/>
        </w:rPr>
        <w:t xml:space="preserve"> </w:t>
      </w:r>
      <w:r>
        <w:rPr>
          <w:color w:val="231F20"/>
          <w:sz w:val="21"/>
        </w:rPr>
        <w:t>адміністрацій</w:t>
      </w:r>
      <w:r>
        <w:rPr>
          <w:color w:val="231F20"/>
          <w:position w:val="7"/>
          <w:sz w:val="12"/>
        </w:rPr>
        <w:t>1</w:t>
      </w:r>
      <w:r>
        <w:rPr>
          <w:color w:val="231F20"/>
          <w:sz w:val="21"/>
        </w:rPr>
        <w:t>.</w:t>
      </w:r>
    </w:p>
    <w:p w14:paraId="6A499E4D" w14:textId="77777777" w:rsidR="00DE575E" w:rsidRDefault="002E7560">
      <w:pPr>
        <w:pStyle w:val="BodyText"/>
        <w:spacing w:before="9" w:line="252" w:lineRule="auto"/>
        <w:ind w:left="250" w:right="411" w:firstLine="283"/>
        <w:jc w:val="both"/>
      </w:pPr>
      <w:r>
        <w:rPr>
          <w:color w:val="231F20"/>
        </w:rPr>
        <w:t>Державною службою є лише діяльність, яка пов’язана зі здійс- ненням адмініструвальних повноважень. У зв’язку з цим працівник державного органу, який не вчиняє публічно-владних юр</w:t>
      </w:r>
      <w:r>
        <w:rPr>
          <w:color w:val="231F20"/>
        </w:rPr>
        <w:t>идично</w:t>
      </w:r>
    </w:p>
    <w:p w14:paraId="254AE0E4" w14:textId="5B053D6C" w:rsidR="00DE575E" w:rsidRDefault="002E7560">
      <w:pPr>
        <w:pStyle w:val="BodyText"/>
        <w:spacing w:before="7"/>
        <w:rPr>
          <w:sz w:val="25"/>
        </w:rPr>
      </w:pPr>
      <w:r>
        <w:rPr>
          <w:noProof/>
        </w:rPr>
        <mc:AlternateContent>
          <mc:Choice Requires="wps">
            <w:drawing>
              <wp:anchor distT="0" distB="0" distL="0" distR="0" simplePos="0" relativeHeight="13816" behindDoc="0" locked="0" layoutInCell="1" allowOverlap="1" wp14:anchorId="3DEE4992" wp14:editId="4CCFCD56">
                <wp:simplePos x="0" y="0"/>
                <wp:positionH relativeFrom="page">
                  <wp:posOffset>539750</wp:posOffset>
                </wp:positionH>
                <wp:positionV relativeFrom="paragraph">
                  <wp:posOffset>218440</wp:posOffset>
                </wp:positionV>
                <wp:extent cx="1080135" cy="0"/>
                <wp:effectExtent l="6350" t="15240" r="31115" b="22860"/>
                <wp:wrapTopAndBottom/>
                <wp:docPr id="52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8784B" id="Line_x0020_522" o:spid="_x0000_s1026" style="position:absolute;z-index:13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2pt" to="127.55pt,1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" strokecolor="#231f20" strokeweight=".5pt">
                <w10:wrap type="topAndBottom" anchorx="page"/>
              </v:line>
            </w:pict>
          </mc:Fallback>
        </mc:AlternateContent>
      </w:r>
    </w:p>
    <w:p w14:paraId="44A25A67" w14:textId="77777777" w:rsidR="00DE575E" w:rsidRDefault="002E7560">
      <w:pPr>
        <w:spacing w:line="204" w:lineRule="auto"/>
        <w:ind w:left="250" w:right="411"/>
        <w:jc w:val="both"/>
        <w:rPr>
          <w:i/>
          <w:sz w:val="16"/>
        </w:rPr>
      </w:pPr>
      <w:r>
        <w:rPr>
          <w:color w:val="231F20"/>
          <w:position w:val="5"/>
          <w:sz w:val="9"/>
        </w:rPr>
        <w:t xml:space="preserve">1 </w:t>
      </w:r>
      <w:r>
        <w:rPr>
          <w:i/>
          <w:color w:val="231F20"/>
          <w:sz w:val="16"/>
        </w:rPr>
        <w:t>Наприклад, на такий державний орган як військово-цивільна адміністрація району/ області покладається складання і затвердження районних/обласних бюджетів та здійс- нення</w:t>
      </w:r>
      <w:r>
        <w:rPr>
          <w:i/>
          <w:color w:val="231F20"/>
          <w:spacing w:val="-5"/>
          <w:sz w:val="16"/>
        </w:rPr>
        <w:t xml:space="preserve"> </w:t>
      </w:r>
      <w:r>
        <w:rPr>
          <w:i/>
          <w:color w:val="231F20"/>
          <w:sz w:val="16"/>
        </w:rPr>
        <w:t>ряду</w:t>
      </w:r>
      <w:r>
        <w:rPr>
          <w:i/>
          <w:color w:val="231F20"/>
          <w:spacing w:val="-5"/>
          <w:sz w:val="16"/>
        </w:rPr>
        <w:t xml:space="preserve"> </w:t>
      </w:r>
      <w:r>
        <w:rPr>
          <w:i/>
          <w:color w:val="231F20"/>
          <w:sz w:val="16"/>
        </w:rPr>
        <w:t>інших</w:t>
      </w:r>
      <w:r>
        <w:rPr>
          <w:i/>
          <w:color w:val="231F20"/>
          <w:spacing w:val="-5"/>
          <w:sz w:val="16"/>
        </w:rPr>
        <w:t xml:space="preserve"> </w:t>
      </w:r>
      <w:r>
        <w:rPr>
          <w:i/>
          <w:color w:val="231F20"/>
          <w:sz w:val="16"/>
        </w:rPr>
        <w:t>повноважень</w:t>
      </w:r>
      <w:r>
        <w:rPr>
          <w:i/>
          <w:color w:val="231F20"/>
          <w:spacing w:val="-4"/>
          <w:sz w:val="16"/>
        </w:rPr>
        <w:t xml:space="preserve"> </w:t>
      </w:r>
      <w:r>
        <w:rPr>
          <w:i/>
          <w:color w:val="231F20"/>
          <w:sz w:val="16"/>
        </w:rPr>
        <w:t>районних/обласних</w:t>
      </w:r>
      <w:r>
        <w:rPr>
          <w:i/>
          <w:color w:val="231F20"/>
          <w:spacing w:val="-5"/>
          <w:sz w:val="16"/>
        </w:rPr>
        <w:t xml:space="preserve"> </w:t>
      </w:r>
      <w:r>
        <w:rPr>
          <w:i/>
          <w:color w:val="231F20"/>
          <w:sz w:val="16"/>
        </w:rPr>
        <w:t>рад.</w:t>
      </w:r>
      <w:r>
        <w:rPr>
          <w:i/>
          <w:color w:val="231F20"/>
          <w:spacing w:val="-5"/>
          <w:sz w:val="16"/>
        </w:rPr>
        <w:t xml:space="preserve"> </w:t>
      </w:r>
      <w:r>
        <w:rPr>
          <w:i/>
          <w:color w:val="231F20"/>
          <w:sz w:val="16"/>
        </w:rPr>
        <w:t>У</w:t>
      </w:r>
      <w:r>
        <w:rPr>
          <w:i/>
          <w:color w:val="231F20"/>
          <w:spacing w:val="-5"/>
          <w:sz w:val="16"/>
        </w:rPr>
        <w:t xml:space="preserve"> </w:t>
      </w:r>
      <w:r>
        <w:rPr>
          <w:i/>
          <w:color w:val="231F20"/>
          <w:sz w:val="16"/>
        </w:rPr>
        <w:t>такому</w:t>
      </w:r>
      <w:r>
        <w:rPr>
          <w:i/>
          <w:color w:val="231F20"/>
          <w:spacing w:val="-5"/>
          <w:sz w:val="16"/>
        </w:rPr>
        <w:t xml:space="preserve"> </w:t>
      </w:r>
      <w:r>
        <w:rPr>
          <w:i/>
          <w:color w:val="231F20"/>
          <w:sz w:val="16"/>
        </w:rPr>
        <w:t>разі</w:t>
      </w:r>
      <w:r>
        <w:rPr>
          <w:i/>
          <w:color w:val="231F20"/>
          <w:spacing w:val="-5"/>
          <w:sz w:val="16"/>
        </w:rPr>
        <w:t xml:space="preserve"> </w:t>
      </w:r>
      <w:r>
        <w:rPr>
          <w:i/>
          <w:color w:val="231F20"/>
          <w:sz w:val="16"/>
        </w:rPr>
        <w:t>деякі</w:t>
      </w:r>
      <w:r>
        <w:rPr>
          <w:i/>
          <w:color w:val="231F20"/>
          <w:spacing w:val="-5"/>
          <w:sz w:val="16"/>
        </w:rPr>
        <w:t xml:space="preserve"> </w:t>
      </w:r>
      <w:r>
        <w:rPr>
          <w:i/>
          <w:color w:val="231F20"/>
          <w:sz w:val="16"/>
        </w:rPr>
        <w:t>державні</w:t>
      </w:r>
      <w:r>
        <w:rPr>
          <w:i/>
          <w:color w:val="231F20"/>
          <w:spacing w:val="-5"/>
          <w:sz w:val="16"/>
        </w:rPr>
        <w:t xml:space="preserve"> </w:t>
      </w:r>
      <w:r>
        <w:rPr>
          <w:i/>
          <w:color w:val="231F20"/>
          <w:sz w:val="16"/>
        </w:rPr>
        <w:t>с</w:t>
      </w:r>
      <w:r>
        <w:rPr>
          <w:i/>
          <w:color w:val="231F20"/>
          <w:sz w:val="16"/>
        </w:rPr>
        <w:t>луж- бовців військово-цивільних адміністрацій району/області виконуватимуть функції із забезпечення формування/реалізації не державної, а муніципальної політики. Їх подібна активність і охоплюватиметься загальним абстрактним формулюванням «реалізація інших</w:t>
      </w:r>
      <w:r>
        <w:rPr>
          <w:i/>
          <w:color w:val="231F20"/>
          <w:sz w:val="16"/>
        </w:rPr>
        <w:t xml:space="preserve"> визначених законодавством повноважень державних органів» (адже в конкретній ситуації «муніципальне» повноваження і є покладеним нормативними приписами на дер- жавну</w:t>
      </w:r>
      <w:r>
        <w:rPr>
          <w:i/>
          <w:color w:val="231F20"/>
          <w:spacing w:val="-2"/>
          <w:sz w:val="16"/>
        </w:rPr>
        <w:t xml:space="preserve"> </w:t>
      </w:r>
      <w:r>
        <w:rPr>
          <w:i/>
          <w:color w:val="231F20"/>
          <w:sz w:val="16"/>
        </w:rPr>
        <w:t>інституцію).</w:t>
      </w:r>
    </w:p>
    <w:p w14:paraId="2372F783" w14:textId="77777777" w:rsidR="00DE575E" w:rsidRDefault="00DE575E">
      <w:pPr>
        <w:pStyle w:val="BodyText"/>
        <w:spacing w:before="5"/>
        <w:rPr>
          <w:i/>
          <w:sz w:val="12"/>
        </w:rPr>
      </w:pPr>
    </w:p>
    <w:p w14:paraId="0C8E2B1E" w14:textId="77777777" w:rsidR="00DE575E" w:rsidRDefault="002E7560">
      <w:pPr>
        <w:spacing w:before="92"/>
        <w:ind w:right="411"/>
        <w:jc w:val="right"/>
        <w:rPr>
          <w:rFonts w:ascii="Times New Roman"/>
          <w:sz w:val="20"/>
        </w:rPr>
      </w:pPr>
      <w:r>
        <w:rPr>
          <w:rFonts w:ascii="Times New Roman"/>
          <w:color w:val="231F20"/>
          <w:w w:val="90"/>
          <w:sz w:val="20"/>
        </w:rPr>
        <w:t>353</w:t>
      </w:r>
    </w:p>
    <w:p w14:paraId="4518DF2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63609C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220ED22" w14:textId="27AD259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989316A" wp14:editId="0D022E0B">
                <wp:extent cx="4140200" cy="6350"/>
                <wp:effectExtent l="0" t="0" r="12700" b="6350"/>
                <wp:docPr id="52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22" name="Line 52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680571" id="Group_x0020_52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akdiuX4CAACYBQAADgAA&#10;AAAAAAAAAAAAAAAsAgAAZHJzL2Uyb0RvYy54bWxQSwECLQAUAAYACAAAACEATKewkNkAAAADAQAA&#10;DwAAAAAAAAAAAAAAAADWBAAAZHJzL2Rvd25yZXYueG1sUEsFBgAAAAAEAAQA8wAAANwFAAAAAA==&#10;">
                <v:line id="Line_x0020_52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CC4MYAAADcAAAADwAAAGRycy9kb3ducmV2LnhtbESP0WrCQBRE3wv+w3KFvpS6aaRSUleR&#10;giB90Gr8gGv2Ngnu3o3Z1US/3hUKfRxm5gwznffWiAu1vnas4G2UgCAunK65VLDPl68fIHxA1mgc&#10;k4IreZjPBk9TzLTreEuXXShFhLDPUEEVQpNJ6YuKLPqRa4ij9+taiyHKtpS6xS7CrZFpkkykxZrj&#10;QoUNfVVUHHdnqyA/vQTzs/k2Xb45jOXhtB7fzmulnof94hNEoD78h//aK63gPU3h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gguDGAAAA3AAAAA8AAAAAAAAA&#10;AAAAAAAAoQIAAGRycy9kb3ducmV2LnhtbFBLBQYAAAAABAAEAPkAAACUAwAAAAA=&#10;" strokecolor="#231f20" strokeweight=".5pt"/>
                <w10:anchorlock/>
              </v:group>
            </w:pict>
          </mc:Fallback>
        </mc:AlternateContent>
      </w:r>
    </w:p>
    <w:p w14:paraId="0435F7CA" w14:textId="77777777" w:rsidR="00DE575E" w:rsidRDefault="00DE575E">
      <w:pPr>
        <w:pStyle w:val="BodyText"/>
        <w:spacing w:before="7"/>
        <w:rPr>
          <w:rFonts w:ascii="AdonisC"/>
          <w:i/>
          <w:sz w:val="11"/>
        </w:rPr>
      </w:pPr>
    </w:p>
    <w:p w14:paraId="256FA9F8" w14:textId="77777777" w:rsidR="00DE575E" w:rsidRDefault="002E7560">
      <w:pPr>
        <w:pStyle w:val="BodyText"/>
        <w:spacing w:before="101" w:line="252" w:lineRule="auto"/>
        <w:ind w:left="533" w:right="127"/>
        <w:jc w:val="both"/>
      </w:pPr>
      <w:r>
        <w:rPr>
          <w:color w:val="231F20"/>
        </w:rPr>
        <w:t>значущих</w:t>
      </w:r>
      <w:r>
        <w:rPr>
          <w:color w:val="231F20"/>
          <w:spacing w:val="-7"/>
        </w:rPr>
        <w:t xml:space="preserve"> </w:t>
      </w:r>
      <w:r>
        <w:rPr>
          <w:color w:val="231F20"/>
        </w:rPr>
        <w:t>дій</w:t>
      </w:r>
      <w:r>
        <w:rPr>
          <w:color w:val="231F20"/>
          <w:spacing w:val="-8"/>
        </w:rPr>
        <w:t xml:space="preserve"> </w:t>
      </w:r>
      <w:r>
        <w:rPr>
          <w:color w:val="231F20"/>
        </w:rPr>
        <w:t>чи</w:t>
      </w:r>
      <w:r>
        <w:rPr>
          <w:color w:val="231F20"/>
          <w:spacing w:val="-7"/>
        </w:rPr>
        <w:t xml:space="preserve"> </w:t>
      </w:r>
      <w:r>
        <w:rPr>
          <w:color w:val="231F20"/>
        </w:rPr>
        <w:t>актів,</w:t>
      </w:r>
      <w:r>
        <w:rPr>
          <w:color w:val="231F20"/>
          <w:spacing w:val="-8"/>
        </w:rPr>
        <w:t xml:space="preserve"> </w:t>
      </w:r>
      <w:r>
        <w:rPr>
          <w:color w:val="231F20"/>
        </w:rPr>
        <w:t>не</w:t>
      </w:r>
      <w:r>
        <w:rPr>
          <w:color w:val="231F20"/>
          <w:spacing w:val="-7"/>
        </w:rPr>
        <w:t xml:space="preserve"> </w:t>
      </w:r>
      <w:r>
        <w:rPr>
          <w:color w:val="231F20"/>
        </w:rPr>
        <w:t>є</w:t>
      </w:r>
      <w:r>
        <w:rPr>
          <w:color w:val="231F20"/>
          <w:spacing w:val="-7"/>
        </w:rPr>
        <w:t xml:space="preserve"> </w:t>
      </w:r>
      <w:r>
        <w:rPr>
          <w:color w:val="231F20"/>
        </w:rPr>
        <w:t>державним</w:t>
      </w:r>
      <w:r>
        <w:rPr>
          <w:color w:val="231F20"/>
          <w:spacing w:val="-8"/>
        </w:rPr>
        <w:t xml:space="preserve"> </w:t>
      </w:r>
      <w:r>
        <w:rPr>
          <w:color w:val="231F20"/>
        </w:rPr>
        <w:t>службовцем.</w:t>
      </w:r>
      <w:r>
        <w:rPr>
          <w:color w:val="231F20"/>
          <w:spacing w:val="-8"/>
        </w:rPr>
        <w:t xml:space="preserve"> </w:t>
      </w:r>
      <w:r>
        <w:rPr>
          <w:color w:val="231F20"/>
        </w:rPr>
        <w:t>Мається</w:t>
      </w:r>
      <w:r>
        <w:rPr>
          <w:color w:val="231F20"/>
          <w:spacing w:val="-8"/>
        </w:rPr>
        <w:t xml:space="preserve"> </w:t>
      </w:r>
      <w:r>
        <w:rPr>
          <w:color w:val="231F20"/>
        </w:rPr>
        <w:t>на</w:t>
      </w:r>
      <w:r>
        <w:rPr>
          <w:color w:val="231F20"/>
          <w:spacing w:val="-7"/>
        </w:rPr>
        <w:t xml:space="preserve"> </w:t>
      </w:r>
      <w:r>
        <w:rPr>
          <w:color w:val="231F20"/>
        </w:rPr>
        <w:t xml:space="preserve">увазі виконання функцій з обслуговування: утримання територій; </w:t>
      </w:r>
      <w:r>
        <w:rPr>
          <w:color w:val="231F20"/>
          <w:spacing w:val="-3"/>
        </w:rPr>
        <w:t xml:space="preserve">буді- </w:t>
      </w:r>
      <w:r>
        <w:rPr>
          <w:color w:val="231F20"/>
        </w:rPr>
        <w:t>вельно-монтажні роботи; документальне та комп’ютерне забезпе- чення; бібліотечне обслуговування; стенографування</w:t>
      </w:r>
      <w:r>
        <w:rPr>
          <w:color w:val="231F20"/>
          <w:spacing w:val="-3"/>
        </w:rPr>
        <w:t xml:space="preserve"> </w:t>
      </w:r>
      <w:r>
        <w:rPr>
          <w:color w:val="231F20"/>
        </w:rPr>
        <w:t>тощо.</w:t>
      </w:r>
    </w:p>
    <w:p w14:paraId="47D861AA" w14:textId="77777777" w:rsidR="00DE575E" w:rsidRDefault="002E7560">
      <w:pPr>
        <w:pStyle w:val="BodyText"/>
        <w:spacing w:before="2" w:line="252" w:lineRule="auto"/>
        <w:ind w:left="533" w:right="126" w:firstLine="283"/>
        <w:jc w:val="both"/>
      </w:pPr>
      <w:r>
        <w:rPr>
          <w:color w:val="231F20"/>
        </w:rPr>
        <w:t>Якщо звернути увагу на нормативне визначення державного службовця (ч. 2 ст. 1 Закону «Про державну службу»), то можна назвати дві додаткові ознаки державної служби (які при законо- давчому трактуванні останньої не названі, але є зручними приклад- ними іден</w:t>
      </w:r>
      <w:r>
        <w:rPr>
          <w:color w:val="231F20"/>
        </w:rPr>
        <w:t>тифікаторами):</w:t>
      </w:r>
    </w:p>
    <w:p w14:paraId="5327970A" w14:textId="77777777" w:rsidR="00DE575E" w:rsidRDefault="002E7560">
      <w:pPr>
        <w:pStyle w:val="ListParagraph"/>
        <w:numPr>
          <w:ilvl w:val="0"/>
          <w:numId w:val="113"/>
        </w:numPr>
        <w:tabs>
          <w:tab w:val="left" w:pos="1101"/>
        </w:tabs>
        <w:spacing w:before="2" w:line="252" w:lineRule="auto"/>
        <w:ind w:right="128" w:firstLine="284"/>
        <w:jc w:val="both"/>
        <w:rPr>
          <w:color w:val="231F20"/>
          <w:sz w:val="21"/>
        </w:rPr>
      </w:pPr>
      <w:r>
        <w:rPr>
          <w:i/>
          <w:color w:val="231F20"/>
          <w:sz w:val="21"/>
        </w:rPr>
        <w:t>Державна</w:t>
      </w:r>
      <w:r>
        <w:rPr>
          <w:i/>
          <w:color w:val="231F20"/>
          <w:spacing w:val="-10"/>
          <w:sz w:val="21"/>
        </w:rPr>
        <w:t xml:space="preserve"> </w:t>
      </w:r>
      <w:r>
        <w:rPr>
          <w:i/>
          <w:color w:val="231F20"/>
          <w:sz w:val="21"/>
        </w:rPr>
        <w:t>служба</w:t>
      </w:r>
      <w:r>
        <w:rPr>
          <w:i/>
          <w:color w:val="231F20"/>
          <w:spacing w:val="-10"/>
          <w:sz w:val="21"/>
        </w:rPr>
        <w:t xml:space="preserve"> </w:t>
      </w:r>
      <w:r>
        <w:rPr>
          <w:i/>
          <w:color w:val="231F20"/>
          <w:sz w:val="21"/>
        </w:rPr>
        <w:t>є</w:t>
      </w:r>
      <w:r>
        <w:rPr>
          <w:i/>
          <w:color w:val="231F20"/>
          <w:spacing w:val="-10"/>
          <w:sz w:val="21"/>
        </w:rPr>
        <w:t xml:space="preserve"> </w:t>
      </w:r>
      <w:r>
        <w:rPr>
          <w:i/>
          <w:color w:val="231F20"/>
          <w:sz w:val="21"/>
        </w:rPr>
        <w:t>оплачуваною</w:t>
      </w:r>
      <w:r>
        <w:rPr>
          <w:i/>
          <w:color w:val="231F20"/>
          <w:spacing w:val="-10"/>
          <w:sz w:val="21"/>
        </w:rPr>
        <w:t xml:space="preserve"> </w:t>
      </w:r>
      <w:r>
        <w:rPr>
          <w:i/>
          <w:color w:val="231F20"/>
          <w:sz w:val="21"/>
        </w:rPr>
        <w:t>діяльністю</w:t>
      </w:r>
      <w:r>
        <w:rPr>
          <w:color w:val="231F20"/>
          <w:position w:val="7"/>
          <w:sz w:val="12"/>
        </w:rPr>
        <w:t>1</w:t>
      </w:r>
      <w:r>
        <w:rPr>
          <w:color w:val="231F20"/>
          <w:spacing w:val="-6"/>
          <w:position w:val="7"/>
          <w:sz w:val="12"/>
        </w:rPr>
        <w:t xml:space="preserve"> </w:t>
      </w:r>
      <w:r>
        <w:rPr>
          <w:color w:val="231F20"/>
          <w:sz w:val="21"/>
        </w:rPr>
        <w:t>і</w:t>
      </w:r>
      <w:r>
        <w:rPr>
          <w:color w:val="231F20"/>
          <w:spacing w:val="-10"/>
          <w:sz w:val="21"/>
        </w:rPr>
        <w:t xml:space="preserve"> </w:t>
      </w:r>
      <w:r>
        <w:rPr>
          <w:color w:val="231F20"/>
          <w:sz w:val="21"/>
        </w:rPr>
        <w:t>заробітна</w:t>
      </w:r>
      <w:r>
        <w:rPr>
          <w:color w:val="231F20"/>
          <w:spacing w:val="-10"/>
          <w:sz w:val="21"/>
        </w:rPr>
        <w:t xml:space="preserve"> </w:t>
      </w:r>
      <w:r>
        <w:rPr>
          <w:color w:val="231F20"/>
          <w:sz w:val="21"/>
        </w:rPr>
        <w:t>плата одержується</w:t>
      </w:r>
      <w:r>
        <w:rPr>
          <w:color w:val="231F20"/>
          <w:spacing w:val="-15"/>
          <w:sz w:val="21"/>
        </w:rPr>
        <w:t xml:space="preserve"> </w:t>
      </w:r>
      <w:r>
        <w:rPr>
          <w:color w:val="231F20"/>
          <w:sz w:val="21"/>
        </w:rPr>
        <w:t>«</w:t>
      </w:r>
      <w:r>
        <w:rPr>
          <w:i/>
          <w:color w:val="231F20"/>
          <w:sz w:val="21"/>
        </w:rPr>
        <w:t>за</w:t>
      </w:r>
      <w:r>
        <w:rPr>
          <w:i/>
          <w:color w:val="231F20"/>
          <w:spacing w:val="-15"/>
          <w:sz w:val="21"/>
        </w:rPr>
        <w:t xml:space="preserve"> </w:t>
      </w:r>
      <w:r>
        <w:rPr>
          <w:i/>
          <w:color w:val="231F20"/>
          <w:sz w:val="21"/>
        </w:rPr>
        <w:t>рахунок</w:t>
      </w:r>
      <w:r>
        <w:rPr>
          <w:i/>
          <w:color w:val="231F20"/>
          <w:spacing w:val="-15"/>
          <w:sz w:val="21"/>
        </w:rPr>
        <w:t xml:space="preserve"> </w:t>
      </w:r>
      <w:r>
        <w:rPr>
          <w:i/>
          <w:color w:val="231F20"/>
          <w:sz w:val="21"/>
        </w:rPr>
        <w:t>коштів</w:t>
      </w:r>
      <w:r>
        <w:rPr>
          <w:i/>
          <w:color w:val="231F20"/>
          <w:spacing w:val="-15"/>
          <w:sz w:val="21"/>
        </w:rPr>
        <w:t xml:space="preserve"> </w:t>
      </w:r>
      <w:r>
        <w:rPr>
          <w:i/>
          <w:color w:val="231F20"/>
          <w:sz w:val="21"/>
        </w:rPr>
        <w:t>державного</w:t>
      </w:r>
      <w:r>
        <w:rPr>
          <w:i/>
          <w:color w:val="231F20"/>
          <w:spacing w:val="-15"/>
          <w:sz w:val="21"/>
        </w:rPr>
        <w:t xml:space="preserve"> </w:t>
      </w:r>
      <w:r>
        <w:rPr>
          <w:i/>
          <w:color w:val="231F20"/>
          <w:sz w:val="21"/>
        </w:rPr>
        <w:t>бюджету</w:t>
      </w:r>
      <w:r>
        <w:rPr>
          <w:color w:val="231F20"/>
          <w:sz w:val="21"/>
        </w:rPr>
        <w:t>».</w:t>
      </w:r>
      <w:r>
        <w:rPr>
          <w:color w:val="231F20"/>
          <w:spacing w:val="-15"/>
          <w:sz w:val="21"/>
        </w:rPr>
        <w:t xml:space="preserve"> </w:t>
      </w:r>
      <w:r>
        <w:rPr>
          <w:color w:val="231F20"/>
          <w:sz w:val="21"/>
        </w:rPr>
        <w:t>Водночас</w:t>
      </w:r>
      <w:r>
        <w:rPr>
          <w:color w:val="231F20"/>
          <w:spacing w:val="-15"/>
          <w:sz w:val="21"/>
        </w:rPr>
        <w:t xml:space="preserve"> </w:t>
      </w:r>
      <w:r>
        <w:rPr>
          <w:color w:val="231F20"/>
          <w:sz w:val="21"/>
        </w:rPr>
        <w:t>до державного бюджету (зокрема для формування фонду оплати праці службовців) кошти можуть надходити в рамках програм доп</w:t>
      </w:r>
      <w:r>
        <w:rPr>
          <w:color w:val="231F20"/>
          <w:sz w:val="21"/>
        </w:rPr>
        <w:t xml:space="preserve">омоги Європейського </w:t>
      </w:r>
      <w:r>
        <w:rPr>
          <w:color w:val="231F20"/>
          <w:spacing w:val="-3"/>
          <w:sz w:val="21"/>
        </w:rPr>
        <w:t xml:space="preserve">Союзу, </w:t>
      </w:r>
      <w:r>
        <w:rPr>
          <w:color w:val="231F20"/>
          <w:sz w:val="21"/>
        </w:rPr>
        <w:t>урядів іноземних держав, міжнародних орга- нізацій, донорських</w:t>
      </w:r>
      <w:r>
        <w:rPr>
          <w:color w:val="231F20"/>
          <w:spacing w:val="-2"/>
          <w:sz w:val="21"/>
        </w:rPr>
        <w:t xml:space="preserve"> </w:t>
      </w:r>
      <w:r>
        <w:rPr>
          <w:color w:val="231F20"/>
          <w:sz w:val="21"/>
        </w:rPr>
        <w:t>установ.</w:t>
      </w:r>
    </w:p>
    <w:p w14:paraId="30DA4422" w14:textId="77777777" w:rsidR="00DE575E" w:rsidRDefault="002E7560">
      <w:pPr>
        <w:pStyle w:val="ListParagraph"/>
        <w:numPr>
          <w:ilvl w:val="0"/>
          <w:numId w:val="113"/>
        </w:numPr>
        <w:tabs>
          <w:tab w:val="left" w:pos="1101"/>
        </w:tabs>
        <w:spacing w:before="3" w:line="252" w:lineRule="auto"/>
        <w:ind w:right="127" w:firstLine="284"/>
        <w:jc w:val="both"/>
        <w:rPr>
          <w:color w:val="231F20"/>
          <w:sz w:val="21"/>
        </w:rPr>
      </w:pPr>
      <w:r>
        <w:rPr>
          <w:color w:val="231F20"/>
          <w:sz w:val="21"/>
        </w:rPr>
        <w:t xml:space="preserve">Державна служба </w:t>
      </w:r>
      <w:r>
        <w:rPr>
          <w:i/>
          <w:color w:val="231F20"/>
          <w:sz w:val="21"/>
        </w:rPr>
        <w:t>пов’язана із займанням посади державної служби в органі державної влади, іншому державному органі</w:t>
      </w:r>
      <w:r>
        <w:rPr>
          <w:color w:val="231F20"/>
          <w:position w:val="7"/>
          <w:sz w:val="12"/>
        </w:rPr>
        <w:t xml:space="preserve">2 </w:t>
      </w:r>
      <w:r>
        <w:rPr>
          <w:i/>
          <w:color w:val="231F20"/>
          <w:sz w:val="21"/>
        </w:rPr>
        <w:t>або його апараті</w:t>
      </w:r>
      <w:r>
        <w:rPr>
          <w:color w:val="231F20"/>
          <w:sz w:val="21"/>
        </w:rPr>
        <w:t>. Якщо особа займає посаду</w:t>
      </w:r>
      <w:r>
        <w:rPr>
          <w:color w:val="231F20"/>
          <w:sz w:val="21"/>
        </w:rPr>
        <w:t xml:space="preserve"> в державній установі, на державному чи приватному підприємстві (інколи такі можуть бути пов’язані</w:t>
      </w:r>
      <w:r>
        <w:rPr>
          <w:color w:val="231F20"/>
          <w:spacing w:val="-6"/>
          <w:sz w:val="21"/>
        </w:rPr>
        <w:t xml:space="preserve"> </w:t>
      </w:r>
      <w:r>
        <w:rPr>
          <w:color w:val="231F20"/>
          <w:sz w:val="21"/>
        </w:rPr>
        <w:t>з</w:t>
      </w:r>
      <w:r>
        <w:rPr>
          <w:color w:val="231F20"/>
          <w:spacing w:val="-6"/>
          <w:sz w:val="21"/>
        </w:rPr>
        <w:t xml:space="preserve"> </w:t>
      </w:r>
      <w:r>
        <w:rPr>
          <w:color w:val="231F20"/>
          <w:sz w:val="21"/>
        </w:rPr>
        <w:t>виконанням</w:t>
      </w:r>
      <w:r>
        <w:rPr>
          <w:color w:val="231F20"/>
          <w:spacing w:val="-6"/>
          <w:sz w:val="21"/>
        </w:rPr>
        <w:t xml:space="preserve"> </w:t>
      </w:r>
      <w:r>
        <w:rPr>
          <w:color w:val="231F20"/>
          <w:sz w:val="21"/>
        </w:rPr>
        <w:t>владних</w:t>
      </w:r>
      <w:r>
        <w:rPr>
          <w:color w:val="231F20"/>
          <w:spacing w:val="-6"/>
          <w:sz w:val="21"/>
        </w:rPr>
        <w:t xml:space="preserve"> </w:t>
      </w:r>
      <w:r>
        <w:rPr>
          <w:color w:val="231F20"/>
          <w:sz w:val="21"/>
        </w:rPr>
        <w:t>функцій,</w:t>
      </w:r>
      <w:r>
        <w:rPr>
          <w:color w:val="231F20"/>
          <w:spacing w:val="-6"/>
          <w:sz w:val="21"/>
        </w:rPr>
        <w:t xml:space="preserve"> </w:t>
      </w:r>
      <w:r>
        <w:rPr>
          <w:color w:val="231F20"/>
          <w:sz w:val="21"/>
        </w:rPr>
        <w:t>набутих</w:t>
      </w:r>
      <w:r>
        <w:rPr>
          <w:color w:val="231F20"/>
          <w:spacing w:val="-6"/>
          <w:sz w:val="21"/>
        </w:rPr>
        <w:t xml:space="preserve"> </w:t>
      </w:r>
      <w:r>
        <w:rPr>
          <w:color w:val="231F20"/>
          <w:sz w:val="21"/>
        </w:rPr>
        <w:t>у</w:t>
      </w:r>
      <w:r>
        <w:rPr>
          <w:color w:val="231F20"/>
          <w:spacing w:val="-7"/>
          <w:sz w:val="21"/>
        </w:rPr>
        <w:t xml:space="preserve"> </w:t>
      </w:r>
      <w:r>
        <w:rPr>
          <w:color w:val="231F20"/>
          <w:sz w:val="21"/>
        </w:rPr>
        <w:t>порядку</w:t>
      </w:r>
      <w:r>
        <w:rPr>
          <w:color w:val="231F20"/>
          <w:spacing w:val="-6"/>
          <w:sz w:val="21"/>
        </w:rPr>
        <w:t xml:space="preserve"> </w:t>
      </w:r>
      <w:r>
        <w:rPr>
          <w:color w:val="231F20"/>
          <w:sz w:val="21"/>
        </w:rPr>
        <w:t>делегу- вання), вона не є державним</w:t>
      </w:r>
      <w:r>
        <w:rPr>
          <w:color w:val="231F20"/>
          <w:spacing w:val="-4"/>
          <w:sz w:val="21"/>
        </w:rPr>
        <w:t xml:space="preserve"> </w:t>
      </w:r>
      <w:r>
        <w:rPr>
          <w:color w:val="231F20"/>
          <w:sz w:val="21"/>
        </w:rPr>
        <w:t>службовцем.</w:t>
      </w:r>
    </w:p>
    <w:p w14:paraId="40749C9A" w14:textId="77777777" w:rsidR="00DE575E" w:rsidRDefault="002E7560">
      <w:pPr>
        <w:pStyle w:val="BodyText"/>
        <w:spacing w:before="3" w:line="252" w:lineRule="auto"/>
        <w:ind w:left="533" w:right="126" w:firstLine="283"/>
        <w:jc w:val="both"/>
      </w:pPr>
      <w:r>
        <w:rPr>
          <w:b/>
          <w:color w:val="231F20"/>
        </w:rPr>
        <w:t xml:space="preserve">Служба в органах місцевого самоврядування (муніци- пальна) </w:t>
      </w:r>
      <w:r>
        <w:rPr>
          <w:color w:val="231F20"/>
        </w:rPr>
        <w:t xml:space="preserve">– це професійна, на постійній основі діяльність громадян </w:t>
      </w:r>
      <w:r>
        <w:rPr>
          <w:color w:val="231F20"/>
          <w:spacing w:val="-3"/>
        </w:rPr>
        <w:t xml:space="preserve">України, </w:t>
      </w:r>
      <w:r>
        <w:rPr>
          <w:color w:val="231F20"/>
        </w:rPr>
        <w:t>які займають посади в органах місцевого самоврядування, що спрямована на реалізацію територіальною громадою свого права на місцеве самоврядування та окремих повноважень органів виконавчої</w:t>
      </w:r>
      <w:r>
        <w:rPr>
          <w:color w:val="231F20"/>
          <w:spacing w:val="-10"/>
        </w:rPr>
        <w:t xml:space="preserve"> </w:t>
      </w:r>
      <w:r>
        <w:rPr>
          <w:color w:val="231F20"/>
        </w:rPr>
        <w:t>вл</w:t>
      </w:r>
      <w:r>
        <w:rPr>
          <w:color w:val="231F20"/>
        </w:rPr>
        <w:t>ади,</w:t>
      </w:r>
      <w:r>
        <w:rPr>
          <w:color w:val="231F20"/>
          <w:spacing w:val="-10"/>
        </w:rPr>
        <w:t xml:space="preserve"> </w:t>
      </w:r>
      <w:r>
        <w:rPr>
          <w:color w:val="231F20"/>
        </w:rPr>
        <w:t>наданих</w:t>
      </w:r>
      <w:r>
        <w:rPr>
          <w:color w:val="231F20"/>
          <w:spacing w:val="-9"/>
        </w:rPr>
        <w:t xml:space="preserve"> </w:t>
      </w:r>
      <w:r>
        <w:rPr>
          <w:color w:val="231F20"/>
        </w:rPr>
        <w:t>законом</w:t>
      </w:r>
      <w:r>
        <w:rPr>
          <w:color w:val="231F20"/>
          <w:spacing w:val="-10"/>
        </w:rPr>
        <w:t xml:space="preserve"> </w:t>
      </w:r>
      <w:r>
        <w:rPr>
          <w:color w:val="231F20"/>
          <w:spacing w:val="-5"/>
        </w:rPr>
        <w:t>(ст.</w:t>
      </w:r>
      <w:r>
        <w:rPr>
          <w:color w:val="231F20"/>
          <w:spacing w:val="-6"/>
        </w:rPr>
        <w:t xml:space="preserve"> </w:t>
      </w:r>
      <w:r>
        <w:rPr>
          <w:color w:val="231F20"/>
        </w:rPr>
        <w:t>1</w:t>
      </w:r>
      <w:r>
        <w:rPr>
          <w:color w:val="231F20"/>
          <w:spacing w:val="-10"/>
        </w:rPr>
        <w:t xml:space="preserve"> </w:t>
      </w:r>
      <w:r>
        <w:rPr>
          <w:color w:val="231F20"/>
        </w:rPr>
        <w:t>Закону</w:t>
      </w:r>
      <w:r>
        <w:rPr>
          <w:color w:val="231F20"/>
          <w:spacing w:val="-10"/>
        </w:rPr>
        <w:t xml:space="preserve"> </w:t>
      </w:r>
      <w:r>
        <w:rPr>
          <w:color w:val="231F20"/>
        </w:rPr>
        <w:t>«Про</w:t>
      </w:r>
      <w:r>
        <w:rPr>
          <w:color w:val="231F20"/>
          <w:spacing w:val="-10"/>
        </w:rPr>
        <w:t xml:space="preserve"> </w:t>
      </w:r>
      <w:r>
        <w:rPr>
          <w:color w:val="231F20"/>
        </w:rPr>
        <w:t>службу</w:t>
      </w:r>
      <w:r>
        <w:rPr>
          <w:color w:val="231F20"/>
          <w:spacing w:val="-10"/>
        </w:rPr>
        <w:t xml:space="preserve"> </w:t>
      </w:r>
      <w:r>
        <w:rPr>
          <w:color w:val="231F20"/>
        </w:rPr>
        <w:t>в</w:t>
      </w:r>
      <w:r>
        <w:rPr>
          <w:color w:val="231F20"/>
          <w:spacing w:val="-12"/>
        </w:rPr>
        <w:t xml:space="preserve"> </w:t>
      </w:r>
      <w:r>
        <w:rPr>
          <w:color w:val="231F20"/>
        </w:rPr>
        <w:t>орга- нах</w:t>
      </w:r>
      <w:r>
        <w:rPr>
          <w:color w:val="231F20"/>
          <w:spacing w:val="-10"/>
        </w:rPr>
        <w:t xml:space="preserve"> </w:t>
      </w:r>
      <w:r>
        <w:rPr>
          <w:color w:val="231F20"/>
        </w:rPr>
        <w:t>місцевого</w:t>
      </w:r>
      <w:r>
        <w:rPr>
          <w:color w:val="231F20"/>
          <w:spacing w:val="-10"/>
        </w:rPr>
        <w:t xml:space="preserve"> </w:t>
      </w:r>
      <w:r>
        <w:rPr>
          <w:color w:val="231F20"/>
        </w:rPr>
        <w:t>самоврядування»).</w:t>
      </w:r>
      <w:r>
        <w:rPr>
          <w:color w:val="231F20"/>
          <w:spacing w:val="-10"/>
        </w:rPr>
        <w:t xml:space="preserve"> </w:t>
      </w:r>
      <w:r>
        <w:rPr>
          <w:color w:val="231F20"/>
        </w:rPr>
        <w:t>Муніципальна</w:t>
      </w:r>
      <w:r>
        <w:rPr>
          <w:color w:val="231F20"/>
          <w:spacing w:val="-10"/>
        </w:rPr>
        <w:t xml:space="preserve"> </w:t>
      </w:r>
      <w:r>
        <w:rPr>
          <w:color w:val="231F20"/>
        </w:rPr>
        <w:t>служба</w:t>
      </w:r>
      <w:r>
        <w:rPr>
          <w:color w:val="231F20"/>
          <w:spacing w:val="-10"/>
        </w:rPr>
        <w:t xml:space="preserve"> </w:t>
      </w:r>
      <w:r>
        <w:rPr>
          <w:color w:val="231F20"/>
        </w:rPr>
        <w:t>онтологійно є близькою до державної, тому й володіє схожими ознаками (з</w:t>
      </w:r>
      <w:r>
        <w:rPr>
          <w:color w:val="231F20"/>
          <w:spacing w:val="-31"/>
        </w:rPr>
        <w:t xml:space="preserve"> </w:t>
      </w:r>
      <w:r>
        <w:rPr>
          <w:color w:val="231F20"/>
        </w:rPr>
        <w:t>коре-</w:t>
      </w:r>
    </w:p>
    <w:p w14:paraId="54A88807" w14:textId="36EA62C5" w:rsidR="00DE575E" w:rsidRDefault="002E7560">
      <w:pPr>
        <w:pStyle w:val="BodyText"/>
        <w:spacing w:before="5"/>
      </w:pPr>
      <w:r>
        <w:rPr>
          <w:noProof/>
        </w:rPr>
        <mc:AlternateContent>
          <mc:Choice Requires="wps">
            <w:drawing>
              <wp:anchor distT="0" distB="0" distL="0" distR="0" simplePos="0" relativeHeight="13864" behindDoc="0" locked="0" layoutInCell="1" allowOverlap="1" wp14:anchorId="0189FCB7" wp14:editId="082963E8">
                <wp:simplePos x="0" y="0"/>
                <wp:positionH relativeFrom="page">
                  <wp:posOffset>719455</wp:posOffset>
                </wp:positionH>
                <wp:positionV relativeFrom="paragraph">
                  <wp:posOffset>187325</wp:posOffset>
                </wp:positionV>
                <wp:extent cx="1080135" cy="0"/>
                <wp:effectExtent l="8255" t="9525" r="29210" b="28575"/>
                <wp:wrapTopAndBottom/>
                <wp:docPr id="520"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66ECB" id="Line_x0020_519" o:spid="_x0000_s1026" style="position:absolute;z-index:13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75pt" to="141.7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" strokecolor="#231f20" strokeweight=".5pt">
                <w10:wrap type="topAndBottom" anchorx="page"/>
              </v:line>
            </w:pict>
          </mc:Fallback>
        </mc:AlternateContent>
      </w:r>
    </w:p>
    <w:p w14:paraId="60774457" w14:textId="77777777" w:rsidR="00DE575E" w:rsidRDefault="002E7560">
      <w:pPr>
        <w:spacing w:line="204" w:lineRule="auto"/>
        <w:ind w:left="533" w:right="128"/>
        <w:jc w:val="both"/>
        <w:rPr>
          <w:sz w:val="16"/>
        </w:rPr>
      </w:pPr>
      <w:r>
        <w:rPr>
          <w:color w:val="231F20"/>
          <w:position w:val="5"/>
          <w:sz w:val="9"/>
        </w:rPr>
        <w:t xml:space="preserve">1 </w:t>
      </w:r>
      <w:r>
        <w:rPr>
          <w:color w:val="231F20"/>
          <w:sz w:val="16"/>
        </w:rPr>
        <w:t>Часто «оплачуваність» визначають як властивість не лише державної, а й ширше – публічної служби. Для переважної більшості публічних службовців це є справедливим, але</w:t>
      </w:r>
      <w:r>
        <w:rPr>
          <w:color w:val="231F20"/>
          <w:spacing w:val="-7"/>
          <w:sz w:val="16"/>
        </w:rPr>
        <w:t xml:space="preserve"> </w:t>
      </w:r>
      <w:r>
        <w:rPr>
          <w:color w:val="231F20"/>
          <w:sz w:val="16"/>
        </w:rPr>
        <w:t>деякі</w:t>
      </w:r>
      <w:r>
        <w:rPr>
          <w:color w:val="231F20"/>
          <w:spacing w:val="-7"/>
          <w:sz w:val="16"/>
        </w:rPr>
        <w:t xml:space="preserve"> </w:t>
      </w:r>
      <w:r>
        <w:rPr>
          <w:color w:val="231F20"/>
          <w:sz w:val="16"/>
        </w:rPr>
        <w:t>з</w:t>
      </w:r>
      <w:r>
        <w:rPr>
          <w:color w:val="231F20"/>
          <w:spacing w:val="-7"/>
          <w:sz w:val="16"/>
        </w:rPr>
        <w:t xml:space="preserve"> </w:t>
      </w:r>
      <w:r>
        <w:rPr>
          <w:color w:val="231F20"/>
          <w:sz w:val="16"/>
        </w:rPr>
        <w:t>них</w:t>
      </w:r>
      <w:r>
        <w:rPr>
          <w:color w:val="231F20"/>
          <w:spacing w:val="-7"/>
          <w:sz w:val="16"/>
        </w:rPr>
        <w:t xml:space="preserve"> </w:t>
      </w:r>
      <w:r>
        <w:rPr>
          <w:color w:val="231F20"/>
          <w:sz w:val="16"/>
        </w:rPr>
        <w:t>все-таки</w:t>
      </w:r>
      <w:r>
        <w:rPr>
          <w:color w:val="231F20"/>
          <w:spacing w:val="-7"/>
          <w:sz w:val="16"/>
        </w:rPr>
        <w:t xml:space="preserve"> </w:t>
      </w:r>
      <w:r>
        <w:rPr>
          <w:color w:val="231F20"/>
          <w:sz w:val="16"/>
        </w:rPr>
        <w:t>можуть</w:t>
      </w:r>
      <w:r>
        <w:rPr>
          <w:color w:val="231F20"/>
          <w:spacing w:val="-7"/>
          <w:sz w:val="16"/>
        </w:rPr>
        <w:t xml:space="preserve"> </w:t>
      </w:r>
      <w:r>
        <w:rPr>
          <w:color w:val="231F20"/>
          <w:sz w:val="16"/>
        </w:rPr>
        <w:t>здійснювати</w:t>
      </w:r>
      <w:r>
        <w:rPr>
          <w:color w:val="231F20"/>
          <w:spacing w:val="-7"/>
          <w:sz w:val="16"/>
        </w:rPr>
        <w:t xml:space="preserve"> </w:t>
      </w:r>
      <w:r>
        <w:rPr>
          <w:color w:val="231F20"/>
          <w:sz w:val="16"/>
        </w:rPr>
        <w:t>свою</w:t>
      </w:r>
      <w:r>
        <w:rPr>
          <w:color w:val="231F20"/>
          <w:spacing w:val="-7"/>
          <w:sz w:val="16"/>
        </w:rPr>
        <w:t xml:space="preserve"> </w:t>
      </w:r>
      <w:r>
        <w:rPr>
          <w:color w:val="231F20"/>
          <w:sz w:val="16"/>
        </w:rPr>
        <w:t>діяльність</w:t>
      </w:r>
      <w:r>
        <w:rPr>
          <w:color w:val="231F20"/>
          <w:spacing w:val="-7"/>
          <w:sz w:val="16"/>
        </w:rPr>
        <w:t xml:space="preserve"> </w:t>
      </w:r>
      <w:r>
        <w:rPr>
          <w:color w:val="231F20"/>
          <w:sz w:val="16"/>
        </w:rPr>
        <w:t>на</w:t>
      </w:r>
      <w:r>
        <w:rPr>
          <w:color w:val="231F20"/>
          <w:spacing w:val="-7"/>
          <w:sz w:val="16"/>
        </w:rPr>
        <w:t xml:space="preserve"> </w:t>
      </w:r>
      <w:r>
        <w:rPr>
          <w:color w:val="231F20"/>
          <w:sz w:val="16"/>
        </w:rPr>
        <w:t>безоплатних</w:t>
      </w:r>
      <w:r>
        <w:rPr>
          <w:color w:val="231F20"/>
          <w:spacing w:val="-7"/>
          <w:sz w:val="16"/>
        </w:rPr>
        <w:t xml:space="preserve"> </w:t>
      </w:r>
      <w:r>
        <w:rPr>
          <w:color w:val="231F20"/>
          <w:sz w:val="16"/>
        </w:rPr>
        <w:t>(«громадсь- ких»)</w:t>
      </w:r>
      <w:r>
        <w:rPr>
          <w:color w:val="231F20"/>
          <w:spacing w:val="-4"/>
          <w:sz w:val="16"/>
        </w:rPr>
        <w:t xml:space="preserve"> </w:t>
      </w:r>
      <w:r>
        <w:rPr>
          <w:color w:val="231F20"/>
          <w:sz w:val="16"/>
        </w:rPr>
        <w:t>з</w:t>
      </w:r>
      <w:r>
        <w:rPr>
          <w:color w:val="231F20"/>
          <w:sz w:val="16"/>
        </w:rPr>
        <w:t>асадах.</w:t>
      </w:r>
      <w:r>
        <w:rPr>
          <w:color w:val="231F20"/>
          <w:spacing w:val="-4"/>
          <w:sz w:val="16"/>
        </w:rPr>
        <w:t xml:space="preserve"> </w:t>
      </w:r>
      <w:r>
        <w:rPr>
          <w:color w:val="231F20"/>
          <w:sz w:val="16"/>
        </w:rPr>
        <w:t>Маються</w:t>
      </w:r>
      <w:r>
        <w:rPr>
          <w:color w:val="231F20"/>
          <w:spacing w:val="-4"/>
          <w:sz w:val="16"/>
        </w:rPr>
        <w:t xml:space="preserve"> </w:t>
      </w:r>
      <w:r>
        <w:rPr>
          <w:color w:val="231F20"/>
          <w:sz w:val="16"/>
        </w:rPr>
        <w:t>на</w:t>
      </w:r>
      <w:r>
        <w:rPr>
          <w:color w:val="231F20"/>
          <w:spacing w:val="-4"/>
          <w:sz w:val="16"/>
        </w:rPr>
        <w:t xml:space="preserve"> </w:t>
      </w:r>
      <w:r>
        <w:rPr>
          <w:color w:val="231F20"/>
          <w:sz w:val="16"/>
        </w:rPr>
        <w:t>увазі</w:t>
      </w:r>
      <w:r>
        <w:rPr>
          <w:color w:val="231F20"/>
          <w:spacing w:val="-4"/>
          <w:sz w:val="16"/>
        </w:rPr>
        <w:t xml:space="preserve"> </w:t>
      </w:r>
      <w:r>
        <w:rPr>
          <w:color w:val="231F20"/>
          <w:sz w:val="16"/>
        </w:rPr>
        <w:t>окремі</w:t>
      </w:r>
      <w:r>
        <w:rPr>
          <w:color w:val="231F20"/>
          <w:spacing w:val="-4"/>
          <w:sz w:val="16"/>
        </w:rPr>
        <w:t xml:space="preserve"> </w:t>
      </w:r>
      <w:r>
        <w:rPr>
          <w:color w:val="231F20"/>
          <w:spacing w:val="-3"/>
          <w:sz w:val="16"/>
        </w:rPr>
        <w:t>суб’єкти</w:t>
      </w:r>
      <w:r>
        <w:rPr>
          <w:color w:val="231F20"/>
          <w:spacing w:val="-4"/>
          <w:sz w:val="16"/>
        </w:rPr>
        <w:t xml:space="preserve"> </w:t>
      </w:r>
      <w:r>
        <w:rPr>
          <w:color w:val="231F20"/>
          <w:sz w:val="16"/>
        </w:rPr>
        <w:t>патронатного</w:t>
      </w:r>
      <w:r>
        <w:rPr>
          <w:color w:val="231F20"/>
          <w:spacing w:val="-4"/>
          <w:sz w:val="16"/>
        </w:rPr>
        <w:t xml:space="preserve"> </w:t>
      </w:r>
      <w:r>
        <w:rPr>
          <w:color w:val="231F20"/>
          <w:sz w:val="16"/>
        </w:rPr>
        <w:t>персоналу</w:t>
      </w:r>
      <w:r>
        <w:rPr>
          <w:color w:val="231F20"/>
          <w:spacing w:val="-4"/>
          <w:sz w:val="16"/>
        </w:rPr>
        <w:t xml:space="preserve"> </w:t>
      </w:r>
      <w:r>
        <w:rPr>
          <w:color w:val="231F20"/>
          <w:sz w:val="16"/>
        </w:rPr>
        <w:t>державних</w:t>
      </w:r>
      <w:r>
        <w:rPr>
          <w:color w:val="231F20"/>
          <w:spacing w:val="-4"/>
          <w:sz w:val="16"/>
        </w:rPr>
        <w:t xml:space="preserve"> </w:t>
      </w:r>
      <w:r>
        <w:rPr>
          <w:color w:val="231F20"/>
          <w:sz w:val="16"/>
        </w:rPr>
        <w:t>орга- нів (напр., помічники-консультанти народних депутатів «на громадських</w:t>
      </w:r>
      <w:r>
        <w:rPr>
          <w:color w:val="231F20"/>
          <w:spacing w:val="-19"/>
          <w:sz w:val="16"/>
        </w:rPr>
        <w:t xml:space="preserve"> </w:t>
      </w:r>
      <w:r>
        <w:rPr>
          <w:color w:val="231F20"/>
          <w:sz w:val="16"/>
        </w:rPr>
        <w:t>засадах»).</w:t>
      </w:r>
    </w:p>
    <w:p w14:paraId="5A85A89A" w14:textId="77777777" w:rsidR="00DE575E" w:rsidRDefault="002E7560">
      <w:pPr>
        <w:spacing w:before="28" w:line="204" w:lineRule="auto"/>
        <w:ind w:left="533" w:right="128"/>
        <w:jc w:val="both"/>
        <w:rPr>
          <w:sz w:val="16"/>
        </w:rPr>
      </w:pPr>
      <w:r>
        <w:rPr>
          <w:color w:val="231F20"/>
          <w:position w:val="5"/>
          <w:sz w:val="9"/>
        </w:rPr>
        <w:t xml:space="preserve">2 </w:t>
      </w:r>
      <w:r>
        <w:rPr>
          <w:color w:val="231F20"/>
          <w:sz w:val="16"/>
        </w:rPr>
        <w:t xml:space="preserve">Буквальне розуміння словосполучення «орган державної влади, інший </w:t>
      </w:r>
      <w:r>
        <w:rPr>
          <w:color w:val="231F20"/>
          <w:spacing w:val="-3"/>
          <w:sz w:val="16"/>
        </w:rPr>
        <w:t xml:space="preserve">державний </w:t>
      </w:r>
      <w:r>
        <w:rPr>
          <w:color w:val="231F20"/>
          <w:sz w:val="16"/>
        </w:rPr>
        <w:t>орган»</w:t>
      </w:r>
      <w:r>
        <w:rPr>
          <w:color w:val="231F20"/>
          <w:spacing w:val="-11"/>
          <w:sz w:val="16"/>
        </w:rPr>
        <w:t xml:space="preserve"> </w:t>
      </w:r>
      <w:r>
        <w:rPr>
          <w:color w:val="231F20"/>
          <w:sz w:val="16"/>
        </w:rPr>
        <w:t>свідчить</w:t>
      </w:r>
      <w:r>
        <w:rPr>
          <w:color w:val="231F20"/>
          <w:spacing w:val="-11"/>
          <w:sz w:val="16"/>
        </w:rPr>
        <w:t xml:space="preserve"> </w:t>
      </w:r>
      <w:r>
        <w:rPr>
          <w:color w:val="231F20"/>
          <w:sz w:val="16"/>
        </w:rPr>
        <w:t>п</w:t>
      </w:r>
      <w:r>
        <w:rPr>
          <w:color w:val="231F20"/>
          <w:sz w:val="16"/>
        </w:rPr>
        <w:t>ро</w:t>
      </w:r>
      <w:r>
        <w:rPr>
          <w:color w:val="231F20"/>
          <w:spacing w:val="-11"/>
          <w:sz w:val="16"/>
        </w:rPr>
        <w:t xml:space="preserve"> </w:t>
      </w:r>
      <w:r>
        <w:rPr>
          <w:color w:val="231F20"/>
          <w:sz w:val="16"/>
        </w:rPr>
        <w:t>різні</w:t>
      </w:r>
      <w:r>
        <w:rPr>
          <w:color w:val="231F20"/>
          <w:spacing w:val="-11"/>
          <w:sz w:val="16"/>
        </w:rPr>
        <w:t xml:space="preserve"> </w:t>
      </w:r>
      <w:r>
        <w:rPr>
          <w:color w:val="231F20"/>
          <w:sz w:val="16"/>
        </w:rPr>
        <w:t>обсяги</w:t>
      </w:r>
      <w:r>
        <w:rPr>
          <w:color w:val="231F20"/>
          <w:spacing w:val="-11"/>
          <w:sz w:val="16"/>
        </w:rPr>
        <w:t xml:space="preserve"> </w:t>
      </w:r>
      <w:r>
        <w:rPr>
          <w:color w:val="231F20"/>
          <w:sz w:val="16"/>
        </w:rPr>
        <w:t>названих</w:t>
      </w:r>
      <w:r>
        <w:rPr>
          <w:color w:val="231F20"/>
          <w:spacing w:val="-11"/>
          <w:sz w:val="16"/>
        </w:rPr>
        <w:t xml:space="preserve"> </w:t>
      </w:r>
      <w:r>
        <w:rPr>
          <w:color w:val="231F20"/>
          <w:sz w:val="16"/>
        </w:rPr>
        <w:t>груп</w:t>
      </w:r>
      <w:r>
        <w:rPr>
          <w:color w:val="231F20"/>
          <w:spacing w:val="-11"/>
          <w:sz w:val="16"/>
        </w:rPr>
        <w:t xml:space="preserve"> </w:t>
      </w:r>
      <w:r>
        <w:rPr>
          <w:color w:val="231F20"/>
          <w:spacing w:val="-4"/>
          <w:sz w:val="16"/>
        </w:rPr>
        <w:t>суб’єктів</w:t>
      </w:r>
      <w:r>
        <w:rPr>
          <w:color w:val="231F20"/>
          <w:spacing w:val="-11"/>
          <w:sz w:val="16"/>
        </w:rPr>
        <w:t xml:space="preserve"> </w:t>
      </w:r>
      <w:r>
        <w:rPr>
          <w:color w:val="231F20"/>
          <w:sz w:val="16"/>
        </w:rPr>
        <w:t>і</w:t>
      </w:r>
      <w:r>
        <w:rPr>
          <w:color w:val="231F20"/>
          <w:spacing w:val="-12"/>
          <w:sz w:val="16"/>
        </w:rPr>
        <w:t xml:space="preserve"> </w:t>
      </w:r>
      <w:r>
        <w:rPr>
          <w:color w:val="231F20"/>
          <w:sz w:val="16"/>
        </w:rPr>
        <w:t>ширший</w:t>
      </w:r>
      <w:r>
        <w:rPr>
          <w:color w:val="231F20"/>
          <w:spacing w:val="-11"/>
          <w:sz w:val="16"/>
        </w:rPr>
        <w:t xml:space="preserve"> </w:t>
      </w:r>
      <w:r>
        <w:rPr>
          <w:color w:val="231F20"/>
          <w:sz w:val="16"/>
        </w:rPr>
        <w:t>зміст</w:t>
      </w:r>
      <w:r>
        <w:rPr>
          <w:color w:val="231F20"/>
          <w:spacing w:val="-11"/>
          <w:sz w:val="16"/>
        </w:rPr>
        <w:t xml:space="preserve"> </w:t>
      </w:r>
      <w:r>
        <w:rPr>
          <w:color w:val="231F20"/>
          <w:sz w:val="16"/>
        </w:rPr>
        <w:t>категорії</w:t>
      </w:r>
      <w:r>
        <w:rPr>
          <w:color w:val="231F20"/>
          <w:spacing w:val="-11"/>
          <w:sz w:val="16"/>
        </w:rPr>
        <w:t xml:space="preserve"> </w:t>
      </w:r>
      <w:r>
        <w:rPr>
          <w:color w:val="231F20"/>
          <w:spacing w:val="-2"/>
          <w:sz w:val="16"/>
        </w:rPr>
        <w:t xml:space="preserve">«держав- </w:t>
      </w:r>
      <w:r>
        <w:rPr>
          <w:color w:val="231F20"/>
          <w:sz w:val="16"/>
        </w:rPr>
        <w:t>ний</w:t>
      </w:r>
      <w:r>
        <w:rPr>
          <w:color w:val="231F20"/>
          <w:spacing w:val="-9"/>
          <w:sz w:val="16"/>
        </w:rPr>
        <w:t xml:space="preserve"> </w:t>
      </w:r>
      <w:r>
        <w:rPr>
          <w:color w:val="231F20"/>
          <w:sz w:val="16"/>
        </w:rPr>
        <w:t>орган».</w:t>
      </w:r>
      <w:r>
        <w:rPr>
          <w:color w:val="231F20"/>
          <w:spacing w:val="-10"/>
          <w:sz w:val="16"/>
        </w:rPr>
        <w:t xml:space="preserve"> </w:t>
      </w:r>
      <w:r>
        <w:rPr>
          <w:color w:val="231F20"/>
          <w:spacing w:val="-3"/>
          <w:sz w:val="16"/>
        </w:rPr>
        <w:t>Подібне</w:t>
      </w:r>
      <w:r>
        <w:rPr>
          <w:color w:val="231F20"/>
          <w:spacing w:val="-10"/>
          <w:sz w:val="16"/>
        </w:rPr>
        <w:t xml:space="preserve"> </w:t>
      </w:r>
      <w:r>
        <w:rPr>
          <w:color w:val="231F20"/>
          <w:sz w:val="16"/>
        </w:rPr>
        <w:t>термінологічне</w:t>
      </w:r>
      <w:r>
        <w:rPr>
          <w:color w:val="231F20"/>
          <w:spacing w:val="-9"/>
          <w:sz w:val="16"/>
        </w:rPr>
        <w:t xml:space="preserve"> </w:t>
      </w:r>
      <w:r>
        <w:rPr>
          <w:color w:val="231F20"/>
          <w:sz w:val="16"/>
        </w:rPr>
        <w:t>розмежування</w:t>
      </w:r>
      <w:r>
        <w:rPr>
          <w:color w:val="231F20"/>
          <w:spacing w:val="-10"/>
          <w:sz w:val="16"/>
        </w:rPr>
        <w:t xml:space="preserve"> </w:t>
      </w:r>
      <w:r>
        <w:rPr>
          <w:color w:val="231F20"/>
          <w:spacing w:val="-4"/>
          <w:sz w:val="16"/>
        </w:rPr>
        <w:t>походить</w:t>
      </w:r>
      <w:r>
        <w:rPr>
          <w:color w:val="231F20"/>
          <w:spacing w:val="-10"/>
          <w:sz w:val="16"/>
        </w:rPr>
        <w:t xml:space="preserve"> </w:t>
      </w:r>
      <w:r>
        <w:rPr>
          <w:color w:val="231F20"/>
          <w:sz w:val="16"/>
        </w:rPr>
        <w:t>ще</w:t>
      </w:r>
      <w:r>
        <w:rPr>
          <w:color w:val="231F20"/>
          <w:spacing w:val="-9"/>
          <w:sz w:val="16"/>
        </w:rPr>
        <w:t xml:space="preserve"> </w:t>
      </w:r>
      <w:r>
        <w:rPr>
          <w:color w:val="231F20"/>
          <w:sz w:val="16"/>
        </w:rPr>
        <w:t>з</w:t>
      </w:r>
      <w:r>
        <w:rPr>
          <w:color w:val="231F20"/>
          <w:spacing w:val="-10"/>
          <w:sz w:val="16"/>
        </w:rPr>
        <w:t xml:space="preserve"> </w:t>
      </w:r>
      <w:r>
        <w:rPr>
          <w:color w:val="231F20"/>
          <w:sz w:val="16"/>
        </w:rPr>
        <w:t>нормативних</w:t>
      </w:r>
      <w:r>
        <w:rPr>
          <w:color w:val="231F20"/>
          <w:spacing w:val="-9"/>
          <w:sz w:val="16"/>
        </w:rPr>
        <w:t xml:space="preserve"> </w:t>
      </w:r>
      <w:r>
        <w:rPr>
          <w:color w:val="231F20"/>
          <w:sz w:val="16"/>
        </w:rPr>
        <w:t>засад</w:t>
      </w:r>
      <w:r>
        <w:rPr>
          <w:color w:val="231F20"/>
          <w:spacing w:val="-10"/>
          <w:sz w:val="16"/>
        </w:rPr>
        <w:t xml:space="preserve"> </w:t>
      </w:r>
      <w:r>
        <w:rPr>
          <w:color w:val="231F20"/>
          <w:sz w:val="16"/>
        </w:rPr>
        <w:t xml:space="preserve">часів СРСР і не </w:t>
      </w:r>
      <w:r>
        <w:rPr>
          <w:color w:val="231F20"/>
          <w:spacing w:val="-3"/>
          <w:sz w:val="16"/>
        </w:rPr>
        <w:t xml:space="preserve">гармонізує </w:t>
      </w:r>
      <w:r>
        <w:rPr>
          <w:color w:val="231F20"/>
          <w:sz w:val="16"/>
        </w:rPr>
        <w:t xml:space="preserve">із сучасним українським </w:t>
      </w:r>
      <w:r>
        <w:rPr>
          <w:color w:val="231F20"/>
          <w:spacing w:val="-3"/>
          <w:sz w:val="16"/>
        </w:rPr>
        <w:t xml:space="preserve">законодавством </w:t>
      </w:r>
      <w:r>
        <w:rPr>
          <w:color w:val="231F20"/>
          <w:sz w:val="16"/>
        </w:rPr>
        <w:t xml:space="preserve">(зокрема й </w:t>
      </w:r>
      <w:r>
        <w:rPr>
          <w:color w:val="231F20"/>
          <w:spacing w:val="-3"/>
          <w:sz w:val="16"/>
        </w:rPr>
        <w:t xml:space="preserve">Конституцією України). </w:t>
      </w:r>
      <w:r>
        <w:rPr>
          <w:color w:val="231F20"/>
          <w:sz w:val="16"/>
        </w:rPr>
        <w:t xml:space="preserve">У зв’язку з цим найбільш правильним видається </w:t>
      </w:r>
      <w:r>
        <w:rPr>
          <w:color w:val="231F20"/>
          <w:spacing w:val="-3"/>
          <w:sz w:val="16"/>
        </w:rPr>
        <w:t xml:space="preserve">ототожнювати </w:t>
      </w:r>
      <w:r>
        <w:rPr>
          <w:color w:val="231F20"/>
          <w:sz w:val="16"/>
        </w:rPr>
        <w:t>«орган держав- ної</w:t>
      </w:r>
      <w:r>
        <w:rPr>
          <w:color w:val="231F20"/>
          <w:spacing w:val="-8"/>
          <w:sz w:val="16"/>
        </w:rPr>
        <w:t xml:space="preserve"> </w:t>
      </w:r>
      <w:r>
        <w:rPr>
          <w:color w:val="231F20"/>
          <w:sz w:val="16"/>
        </w:rPr>
        <w:t>влади»</w:t>
      </w:r>
      <w:r>
        <w:rPr>
          <w:color w:val="231F20"/>
          <w:spacing w:val="-8"/>
          <w:sz w:val="16"/>
        </w:rPr>
        <w:t xml:space="preserve"> </w:t>
      </w:r>
      <w:r>
        <w:rPr>
          <w:color w:val="231F20"/>
          <w:sz w:val="16"/>
        </w:rPr>
        <w:t>та</w:t>
      </w:r>
      <w:r>
        <w:rPr>
          <w:color w:val="231F20"/>
          <w:spacing w:val="-8"/>
          <w:sz w:val="16"/>
        </w:rPr>
        <w:t xml:space="preserve"> </w:t>
      </w:r>
      <w:r>
        <w:rPr>
          <w:color w:val="231F20"/>
          <w:sz w:val="16"/>
        </w:rPr>
        <w:t>«державний</w:t>
      </w:r>
      <w:r>
        <w:rPr>
          <w:color w:val="231F20"/>
          <w:spacing w:val="-8"/>
          <w:sz w:val="16"/>
        </w:rPr>
        <w:t xml:space="preserve"> </w:t>
      </w:r>
      <w:r>
        <w:rPr>
          <w:color w:val="231F20"/>
          <w:sz w:val="16"/>
        </w:rPr>
        <w:t>орган»</w:t>
      </w:r>
      <w:r>
        <w:rPr>
          <w:color w:val="231F20"/>
          <w:spacing w:val="-8"/>
          <w:sz w:val="16"/>
        </w:rPr>
        <w:t xml:space="preserve"> </w:t>
      </w:r>
      <w:r>
        <w:rPr>
          <w:color w:val="231F20"/>
          <w:sz w:val="16"/>
        </w:rPr>
        <w:t>(детальніше</w:t>
      </w:r>
      <w:r>
        <w:rPr>
          <w:color w:val="231F20"/>
          <w:spacing w:val="-8"/>
          <w:sz w:val="16"/>
        </w:rPr>
        <w:t xml:space="preserve"> </w:t>
      </w:r>
      <w:r>
        <w:rPr>
          <w:color w:val="231F20"/>
          <w:sz w:val="16"/>
        </w:rPr>
        <w:t>див.:</w:t>
      </w:r>
      <w:r>
        <w:rPr>
          <w:color w:val="231F20"/>
          <w:spacing w:val="-8"/>
          <w:sz w:val="16"/>
        </w:rPr>
        <w:t xml:space="preserve"> </w:t>
      </w:r>
      <w:r>
        <w:rPr>
          <w:color w:val="231F20"/>
          <w:spacing w:val="-3"/>
          <w:sz w:val="16"/>
        </w:rPr>
        <w:t>Хамходера</w:t>
      </w:r>
      <w:r>
        <w:rPr>
          <w:color w:val="231F20"/>
          <w:spacing w:val="-8"/>
          <w:sz w:val="16"/>
        </w:rPr>
        <w:t xml:space="preserve"> </w:t>
      </w:r>
      <w:r>
        <w:rPr>
          <w:color w:val="231F20"/>
          <w:spacing w:val="-3"/>
          <w:sz w:val="16"/>
        </w:rPr>
        <w:t>О.П.</w:t>
      </w:r>
      <w:r>
        <w:rPr>
          <w:color w:val="231F20"/>
          <w:spacing w:val="-8"/>
          <w:sz w:val="16"/>
        </w:rPr>
        <w:t xml:space="preserve"> </w:t>
      </w:r>
      <w:r>
        <w:rPr>
          <w:color w:val="231F20"/>
          <w:sz w:val="16"/>
        </w:rPr>
        <w:t>Орган</w:t>
      </w:r>
      <w:r>
        <w:rPr>
          <w:color w:val="231F20"/>
          <w:spacing w:val="-8"/>
          <w:sz w:val="16"/>
        </w:rPr>
        <w:t xml:space="preserve"> </w:t>
      </w:r>
      <w:r>
        <w:rPr>
          <w:color w:val="231F20"/>
          <w:sz w:val="16"/>
        </w:rPr>
        <w:t>державної</w:t>
      </w:r>
      <w:r>
        <w:rPr>
          <w:color w:val="231F20"/>
          <w:spacing w:val="-8"/>
          <w:sz w:val="16"/>
        </w:rPr>
        <w:t xml:space="preserve"> </w:t>
      </w:r>
      <w:r>
        <w:rPr>
          <w:color w:val="231F20"/>
          <w:spacing w:val="-2"/>
          <w:sz w:val="16"/>
        </w:rPr>
        <w:t xml:space="preserve">влади, </w:t>
      </w:r>
      <w:r>
        <w:rPr>
          <w:color w:val="231F20"/>
          <w:sz w:val="16"/>
        </w:rPr>
        <w:t>інший</w:t>
      </w:r>
      <w:r>
        <w:rPr>
          <w:color w:val="231F20"/>
          <w:spacing w:val="-8"/>
          <w:sz w:val="16"/>
        </w:rPr>
        <w:t xml:space="preserve"> </w:t>
      </w:r>
      <w:r>
        <w:rPr>
          <w:color w:val="231F20"/>
          <w:sz w:val="16"/>
        </w:rPr>
        <w:t>державний</w:t>
      </w:r>
      <w:r>
        <w:rPr>
          <w:color w:val="231F20"/>
          <w:spacing w:val="-8"/>
          <w:sz w:val="16"/>
        </w:rPr>
        <w:t xml:space="preserve"> </w:t>
      </w:r>
      <w:r>
        <w:rPr>
          <w:color w:val="231F20"/>
          <w:sz w:val="16"/>
        </w:rPr>
        <w:t>орган.</w:t>
      </w:r>
      <w:r>
        <w:rPr>
          <w:color w:val="231F20"/>
          <w:spacing w:val="-9"/>
          <w:sz w:val="16"/>
        </w:rPr>
        <w:t xml:space="preserve"> </w:t>
      </w:r>
      <w:r>
        <w:rPr>
          <w:i/>
          <w:color w:val="231F20"/>
          <w:sz w:val="16"/>
        </w:rPr>
        <w:t>Збірник</w:t>
      </w:r>
      <w:r>
        <w:rPr>
          <w:i/>
          <w:color w:val="231F20"/>
          <w:spacing w:val="-8"/>
          <w:sz w:val="16"/>
        </w:rPr>
        <w:t xml:space="preserve"> </w:t>
      </w:r>
      <w:r>
        <w:rPr>
          <w:i/>
          <w:color w:val="231F20"/>
          <w:sz w:val="16"/>
        </w:rPr>
        <w:t>тез</w:t>
      </w:r>
      <w:r>
        <w:rPr>
          <w:i/>
          <w:color w:val="231F20"/>
          <w:spacing w:val="-9"/>
          <w:sz w:val="16"/>
        </w:rPr>
        <w:t xml:space="preserve"> </w:t>
      </w:r>
      <w:r>
        <w:rPr>
          <w:i/>
          <w:color w:val="231F20"/>
          <w:sz w:val="16"/>
        </w:rPr>
        <w:t>доповідей</w:t>
      </w:r>
      <w:r>
        <w:rPr>
          <w:i/>
          <w:color w:val="231F20"/>
          <w:spacing w:val="-8"/>
          <w:sz w:val="16"/>
        </w:rPr>
        <w:t xml:space="preserve"> </w:t>
      </w:r>
      <w:r>
        <w:rPr>
          <w:i/>
          <w:color w:val="231F20"/>
          <w:sz w:val="16"/>
        </w:rPr>
        <w:t>та</w:t>
      </w:r>
      <w:r>
        <w:rPr>
          <w:i/>
          <w:color w:val="231F20"/>
          <w:spacing w:val="-8"/>
          <w:sz w:val="16"/>
        </w:rPr>
        <w:t xml:space="preserve"> </w:t>
      </w:r>
      <w:r>
        <w:rPr>
          <w:i/>
          <w:color w:val="231F20"/>
          <w:spacing w:val="-3"/>
          <w:sz w:val="16"/>
        </w:rPr>
        <w:t>наукових</w:t>
      </w:r>
      <w:r>
        <w:rPr>
          <w:i/>
          <w:color w:val="231F20"/>
          <w:spacing w:val="-9"/>
          <w:sz w:val="16"/>
        </w:rPr>
        <w:t xml:space="preserve"> </w:t>
      </w:r>
      <w:r>
        <w:rPr>
          <w:i/>
          <w:color w:val="231F20"/>
          <w:sz w:val="16"/>
        </w:rPr>
        <w:t>повідомлень</w:t>
      </w:r>
      <w:r>
        <w:rPr>
          <w:i/>
          <w:color w:val="231F20"/>
          <w:spacing w:val="-8"/>
          <w:sz w:val="16"/>
        </w:rPr>
        <w:t xml:space="preserve"> </w:t>
      </w:r>
      <w:r>
        <w:rPr>
          <w:i/>
          <w:color w:val="231F20"/>
          <w:sz w:val="16"/>
        </w:rPr>
        <w:t>учасників</w:t>
      </w:r>
      <w:r>
        <w:rPr>
          <w:i/>
          <w:color w:val="231F20"/>
          <w:spacing w:val="-8"/>
          <w:sz w:val="16"/>
        </w:rPr>
        <w:t xml:space="preserve"> </w:t>
      </w:r>
      <w:r>
        <w:rPr>
          <w:i/>
          <w:color w:val="231F20"/>
          <w:sz w:val="16"/>
        </w:rPr>
        <w:t xml:space="preserve">всеукра- </w:t>
      </w:r>
      <w:r>
        <w:rPr>
          <w:i/>
          <w:color w:val="231F20"/>
          <w:sz w:val="16"/>
        </w:rPr>
        <w:t>їнської</w:t>
      </w:r>
      <w:r>
        <w:rPr>
          <w:i/>
          <w:color w:val="231F20"/>
          <w:spacing w:val="-4"/>
          <w:sz w:val="16"/>
        </w:rPr>
        <w:t xml:space="preserve"> </w:t>
      </w:r>
      <w:r>
        <w:rPr>
          <w:i/>
          <w:color w:val="231F20"/>
          <w:spacing w:val="-3"/>
          <w:sz w:val="16"/>
        </w:rPr>
        <w:t>науково-практичної</w:t>
      </w:r>
      <w:r>
        <w:rPr>
          <w:i/>
          <w:color w:val="231F20"/>
          <w:spacing w:val="-4"/>
          <w:sz w:val="16"/>
        </w:rPr>
        <w:t xml:space="preserve"> </w:t>
      </w:r>
      <w:r>
        <w:rPr>
          <w:i/>
          <w:color w:val="231F20"/>
          <w:sz w:val="16"/>
        </w:rPr>
        <w:t>конференції</w:t>
      </w:r>
      <w:r>
        <w:rPr>
          <w:i/>
          <w:color w:val="231F20"/>
          <w:spacing w:val="-4"/>
          <w:sz w:val="16"/>
        </w:rPr>
        <w:t xml:space="preserve"> </w:t>
      </w:r>
      <w:r>
        <w:rPr>
          <w:i/>
          <w:color w:val="231F20"/>
          <w:sz w:val="16"/>
        </w:rPr>
        <w:t>молодих</w:t>
      </w:r>
      <w:r>
        <w:rPr>
          <w:i/>
          <w:color w:val="231F20"/>
          <w:spacing w:val="-4"/>
          <w:sz w:val="16"/>
        </w:rPr>
        <w:t xml:space="preserve"> </w:t>
      </w:r>
      <w:r>
        <w:rPr>
          <w:i/>
          <w:color w:val="231F20"/>
          <w:sz w:val="16"/>
        </w:rPr>
        <w:t>учених</w:t>
      </w:r>
      <w:r>
        <w:rPr>
          <w:i/>
          <w:color w:val="231F20"/>
          <w:spacing w:val="-4"/>
          <w:sz w:val="16"/>
        </w:rPr>
        <w:t xml:space="preserve"> </w:t>
      </w:r>
      <w:r>
        <w:rPr>
          <w:i/>
          <w:color w:val="231F20"/>
          <w:sz w:val="16"/>
        </w:rPr>
        <w:t>та</w:t>
      </w:r>
      <w:r>
        <w:rPr>
          <w:i/>
          <w:color w:val="231F20"/>
          <w:spacing w:val="-4"/>
          <w:sz w:val="16"/>
        </w:rPr>
        <w:t xml:space="preserve"> </w:t>
      </w:r>
      <w:r>
        <w:rPr>
          <w:i/>
          <w:color w:val="231F20"/>
          <w:sz w:val="16"/>
        </w:rPr>
        <w:t>здобувачів</w:t>
      </w:r>
      <w:r>
        <w:rPr>
          <w:i/>
          <w:color w:val="231F20"/>
          <w:spacing w:val="-4"/>
          <w:sz w:val="16"/>
        </w:rPr>
        <w:t xml:space="preserve"> </w:t>
      </w:r>
      <w:r>
        <w:rPr>
          <w:i/>
          <w:color w:val="231F20"/>
          <w:sz w:val="16"/>
        </w:rPr>
        <w:t>13</w:t>
      </w:r>
      <w:r>
        <w:rPr>
          <w:i/>
          <w:color w:val="231F20"/>
          <w:spacing w:val="-4"/>
          <w:sz w:val="16"/>
        </w:rPr>
        <w:t xml:space="preserve"> </w:t>
      </w:r>
      <w:r>
        <w:rPr>
          <w:i/>
          <w:color w:val="231F20"/>
          <w:sz w:val="16"/>
        </w:rPr>
        <w:t>листопада</w:t>
      </w:r>
      <w:r>
        <w:rPr>
          <w:i/>
          <w:color w:val="231F20"/>
          <w:spacing w:val="-4"/>
          <w:sz w:val="16"/>
        </w:rPr>
        <w:t xml:space="preserve"> </w:t>
      </w:r>
      <w:r>
        <w:rPr>
          <w:i/>
          <w:color w:val="231F20"/>
          <w:sz w:val="16"/>
        </w:rPr>
        <w:t>2012</w:t>
      </w:r>
      <w:r>
        <w:rPr>
          <w:i/>
          <w:color w:val="231F20"/>
          <w:spacing w:val="-13"/>
          <w:sz w:val="16"/>
        </w:rPr>
        <w:t xml:space="preserve"> </w:t>
      </w:r>
      <w:r>
        <w:rPr>
          <w:i/>
          <w:color w:val="231F20"/>
          <w:sz w:val="16"/>
        </w:rPr>
        <w:t>р</w:t>
      </w:r>
      <w:r>
        <w:rPr>
          <w:color w:val="231F20"/>
          <w:sz w:val="16"/>
        </w:rPr>
        <w:t>. Харків:</w:t>
      </w:r>
      <w:r>
        <w:rPr>
          <w:color w:val="231F20"/>
          <w:spacing w:val="-7"/>
          <w:sz w:val="16"/>
        </w:rPr>
        <w:t xml:space="preserve"> </w:t>
      </w:r>
      <w:r>
        <w:rPr>
          <w:color w:val="231F20"/>
          <w:sz w:val="16"/>
        </w:rPr>
        <w:t>НУ</w:t>
      </w:r>
      <w:r>
        <w:rPr>
          <w:color w:val="231F20"/>
          <w:spacing w:val="-7"/>
          <w:sz w:val="16"/>
        </w:rPr>
        <w:t xml:space="preserve"> </w:t>
      </w:r>
      <w:r>
        <w:rPr>
          <w:color w:val="231F20"/>
          <w:sz w:val="16"/>
        </w:rPr>
        <w:t>«Юридична</w:t>
      </w:r>
      <w:r>
        <w:rPr>
          <w:color w:val="231F20"/>
          <w:spacing w:val="-7"/>
          <w:sz w:val="16"/>
        </w:rPr>
        <w:t xml:space="preserve"> </w:t>
      </w:r>
      <w:r>
        <w:rPr>
          <w:color w:val="231F20"/>
          <w:sz w:val="16"/>
        </w:rPr>
        <w:t>академія</w:t>
      </w:r>
      <w:r>
        <w:rPr>
          <w:color w:val="231F20"/>
          <w:spacing w:val="-7"/>
          <w:sz w:val="16"/>
        </w:rPr>
        <w:t xml:space="preserve"> </w:t>
      </w:r>
      <w:r>
        <w:rPr>
          <w:color w:val="231F20"/>
          <w:spacing w:val="-4"/>
          <w:sz w:val="16"/>
        </w:rPr>
        <w:t>України</w:t>
      </w:r>
      <w:r>
        <w:rPr>
          <w:color w:val="231F20"/>
          <w:spacing w:val="-7"/>
          <w:sz w:val="16"/>
        </w:rPr>
        <w:t xml:space="preserve"> </w:t>
      </w:r>
      <w:r>
        <w:rPr>
          <w:color w:val="231F20"/>
          <w:sz w:val="16"/>
        </w:rPr>
        <w:t>імені</w:t>
      </w:r>
      <w:r>
        <w:rPr>
          <w:color w:val="231F20"/>
          <w:spacing w:val="-7"/>
          <w:sz w:val="16"/>
        </w:rPr>
        <w:t xml:space="preserve"> </w:t>
      </w:r>
      <w:r>
        <w:rPr>
          <w:color w:val="231F20"/>
          <w:sz w:val="16"/>
        </w:rPr>
        <w:t>Ярослава</w:t>
      </w:r>
      <w:r>
        <w:rPr>
          <w:color w:val="231F20"/>
          <w:spacing w:val="-7"/>
          <w:sz w:val="16"/>
        </w:rPr>
        <w:t xml:space="preserve"> </w:t>
      </w:r>
      <w:r>
        <w:rPr>
          <w:color w:val="231F20"/>
          <w:spacing w:val="-3"/>
          <w:sz w:val="16"/>
        </w:rPr>
        <w:t>Мудрого»,</w:t>
      </w:r>
      <w:r>
        <w:rPr>
          <w:color w:val="231F20"/>
          <w:spacing w:val="-7"/>
          <w:sz w:val="16"/>
        </w:rPr>
        <w:t xml:space="preserve"> </w:t>
      </w:r>
      <w:r>
        <w:rPr>
          <w:color w:val="231F20"/>
          <w:sz w:val="16"/>
        </w:rPr>
        <w:t>2012.</w:t>
      </w:r>
      <w:r>
        <w:rPr>
          <w:color w:val="231F20"/>
          <w:spacing w:val="-7"/>
          <w:sz w:val="16"/>
        </w:rPr>
        <w:t xml:space="preserve"> </w:t>
      </w:r>
      <w:r>
        <w:rPr>
          <w:color w:val="231F20"/>
          <w:sz w:val="16"/>
        </w:rPr>
        <w:t>С.</w:t>
      </w:r>
      <w:r>
        <w:rPr>
          <w:color w:val="231F20"/>
          <w:spacing w:val="-7"/>
          <w:sz w:val="16"/>
        </w:rPr>
        <w:t xml:space="preserve"> </w:t>
      </w:r>
      <w:r>
        <w:rPr>
          <w:color w:val="231F20"/>
          <w:sz w:val="16"/>
        </w:rPr>
        <w:t>111-114).</w:t>
      </w:r>
    </w:p>
    <w:p w14:paraId="54A20478" w14:textId="77777777" w:rsidR="00DE575E" w:rsidRDefault="00DE575E">
      <w:pPr>
        <w:pStyle w:val="BodyText"/>
        <w:spacing w:before="8"/>
        <w:rPr>
          <w:sz w:val="12"/>
        </w:rPr>
      </w:pPr>
    </w:p>
    <w:p w14:paraId="66925857" w14:textId="77777777" w:rsidR="00DE575E" w:rsidRDefault="002E7560">
      <w:pPr>
        <w:spacing w:before="92"/>
        <w:ind w:left="533"/>
        <w:rPr>
          <w:rFonts w:ascii="Times New Roman"/>
          <w:sz w:val="20"/>
        </w:rPr>
      </w:pPr>
      <w:r>
        <w:rPr>
          <w:rFonts w:ascii="Times New Roman"/>
          <w:color w:val="231F20"/>
          <w:sz w:val="20"/>
        </w:rPr>
        <w:t>354</w:t>
      </w:r>
    </w:p>
    <w:p w14:paraId="1753FF43" w14:textId="77777777" w:rsidR="00DE575E" w:rsidRDefault="00DE575E">
      <w:pPr>
        <w:rPr>
          <w:rFonts w:ascii="Times New Roman"/>
          <w:sz w:val="20"/>
        </w:rPr>
        <w:sectPr w:rsidR="00DE575E">
          <w:pgSz w:w="8510" w:h="12760"/>
          <w:pgMar w:top="660" w:right="720" w:bottom="280" w:left="600" w:header="720" w:footer="720" w:gutter="0"/>
          <w:cols w:space="720"/>
        </w:sectPr>
      </w:pPr>
    </w:p>
    <w:p w14:paraId="0C747846"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6B36BB1E"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2DB555C0" w14:textId="57A72C6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5B0ABBC" wp14:editId="74B8266D">
                <wp:extent cx="4140200" cy="6350"/>
                <wp:effectExtent l="0" t="0" r="12700" b="6350"/>
                <wp:docPr id="518"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19" name="Line 51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86CA6D" id="Group_x0020_51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m8rqV34CAACYBQAADgAA&#10;AAAAAAAAAAAAAAAsAgAAZHJzL2Uyb0RvYy54bWxQSwECLQAUAAYACAAAACEATKewkNkAAAADAQAA&#10;DwAAAAAAAAAAAAAAAADWBAAAZHJzL2Rvd25yZXYueG1sUEsFBgAAAAAEAAQA8wAAANwFAAAAAA==&#10;">
                <v:line id="Line_x0020_51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jaLMYAAADcAAAADwAAAGRycy9kb3ducmV2LnhtbESP0WrCQBRE3wX/YblCX4purFQ0uooI&#10;hdIHbY0fcM1ek+Du3ZhdTdqv7xYKPg4zc4ZZrjtrxJ0aXzlWMB4lIIhzpysuFByzt+EMhA/IGo1j&#10;UvBNHtarfm+JqXYtf9H9EAoRIexTVFCGUKdS+rwki37kauLonV1jMUTZFFI32Ea4NfIlSabSYsVx&#10;ocSatiXll8PNKsiuz8F87j9Mm+1PE3m67iY/t51ST4NuswARqAuP8H/7XSt4Hc/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jo2izGAAAA3AAAAA8AAAAAAAAA&#10;AAAAAAAAoQIAAGRycy9kb3ducmV2LnhtbFBLBQYAAAAABAAEAPkAAACUAwAAAAA=&#10;" strokecolor="#231f20" strokeweight=".5pt"/>
                <w10:anchorlock/>
              </v:group>
            </w:pict>
          </mc:Fallback>
        </mc:AlternateContent>
      </w:r>
    </w:p>
    <w:p w14:paraId="20A7774D" w14:textId="77777777" w:rsidR="00DE575E" w:rsidRDefault="00DE575E">
      <w:pPr>
        <w:pStyle w:val="BodyText"/>
        <w:spacing w:before="7"/>
        <w:rPr>
          <w:rFonts w:ascii="AdonisC"/>
          <w:i/>
          <w:sz w:val="19"/>
        </w:rPr>
      </w:pPr>
    </w:p>
    <w:p w14:paraId="53988290" w14:textId="77777777" w:rsidR="00DE575E" w:rsidRDefault="002E7560">
      <w:pPr>
        <w:pStyle w:val="BodyText"/>
        <w:spacing w:before="1"/>
        <w:ind w:left="250"/>
      </w:pPr>
      <w:r>
        <w:rPr>
          <w:color w:val="231F20"/>
        </w:rPr>
        <w:t>гуванням на іншу публічну природу і рівень владних повноважень).</w:t>
      </w:r>
    </w:p>
    <w:p w14:paraId="1CD5B3FE" w14:textId="77777777" w:rsidR="00DE575E" w:rsidRDefault="002E7560">
      <w:pPr>
        <w:pStyle w:val="BodyText"/>
        <w:spacing w:before="12" w:line="252" w:lineRule="auto"/>
        <w:ind w:left="250" w:right="411"/>
        <w:jc w:val="both"/>
      </w:pPr>
      <w:r>
        <w:rPr>
          <w:color w:val="231F20"/>
        </w:rPr>
        <w:t>«Власною» ж специфікою служби в органах місцевого самовряду- вання першочергово є її комплексність</w:t>
      </w:r>
      <w:r>
        <w:rPr>
          <w:color w:val="231F20"/>
        </w:rPr>
        <w:t xml:space="preserve"> і неоднорідність; адже вона охоплює три якісно відмінних види владної активності, які умовно можна позначити як:</w:t>
      </w:r>
    </w:p>
    <w:p w14:paraId="4D66DD68" w14:textId="77777777" w:rsidR="00DE575E" w:rsidRDefault="002E7560">
      <w:pPr>
        <w:pStyle w:val="ListParagraph"/>
        <w:numPr>
          <w:ilvl w:val="0"/>
          <w:numId w:val="112"/>
        </w:numPr>
        <w:tabs>
          <w:tab w:val="left" w:pos="818"/>
        </w:tabs>
        <w:spacing w:before="2" w:line="252" w:lineRule="auto"/>
        <w:ind w:right="411" w:firstLine="283"/>
        <w:rPr>
          <w:sz w:val="21"/>
        </w:rPr>
      </w:pPr>
      <w:r>
        <w:rPr>
          <w:i/>
          <w:color w:val="231F20"/>
          <w:sz w:val="21"/>
        </w:rPr>
        <w:t xml:space="preserve">Муніципальну політичну службу </w:t>
      </w:r>
      <w:r>
        <w:rPr>
          <w:color w:val="231F20"/>
          <w:sz w:val="21"/>
        </w:rPr>
        <w:t>(здійснюється зокрема депу- татами місцевих рад, які володіють усіма ознаками політичних посадовців).</w:t>
      </w:r>
    </w:p>
    <w:p w14:paraId="7E48B937" w14:textId="77777777" w:rsidR="00DE575E" w:rsidRDefault="002E7560">
      <w:pPr>
        <w:pStyle w:val="ListParagraph"/>
        <w:numPr>
          <w:ilvl w:val="0"/>
          <w:numId w:val="112"/>
        </w:numPr>
        <w:tabs>
          <w:tab w:val="left" w:pos="818"/>
        </w:tabs>
        <w:spacing w:before="2" w:line="252" w:lineRule="auto"/>
        <w:ind w:right="410" w:firstLine="283"/>
        <w:rPr>
          <w:sz w:val="21"/>
        </w:rPr>
      </w:pPr>
      <w:r>
        <w:rPr>
          <w:i/>
          <w:color w:val="231F20"/>
          <w:sz w:val="21"/>
        </w:rPr>
        <w:t>Муніципаль</w:t>
      </w:r>
      <w:r>
        <w:rPr>
          <w:i/>
          <w:color w:val="231F20"/>
          <w:sz w:val="21"/>
        </w:rPr>
        <w:t>ну патронатну службу</w:t>
      </w:r>
      <w:r>
        <w:rPr>
          <w:color w:val="231F20"/>
          <w:sz w:val="21"/>
        </w:rPr>
        <w:t xml:space="preserve">. Відповідно до ч. 4 </w:t>
      </w:r>
      <w:r>
        <w:rPr>
          <w:color w:val="231F20"/>
          <w:spacing w:val="-6"/>
          <w:sz w:val="21"/>
        </w:rPr>
        <w:t xml:space="preserve">ст. </w:t>
      </w:r>
      <w:r>
        <w:rPr>
          <w:color w:val="231F20"/>
          <w:sz w:val="21"/>
        </w:rPr>
        <w:t>10 Закону «Про службу в органах місцевого самоврядування», голови районних, районних у містах, обласних рад, Київський та Севасто- польський міський голова та міські голови (міст обласного і респуб- ліканського</w:t>
      </w:r>
      <w:r>
        <w:rPr>
          <w:color w:val="231F20"/>
          <w:spacing w:val="-11"/>
          <w:sz w:val="21"/>
        </w:rPr>
        <w:t xml:space="preserve"> </w:t>
      </w:r>
      <w:r>
        <w:rPr>
          <w:color w:val="231F20"/>
          <w:sz w:val="21"/>
        </w:rPr>
        <w:t>в</w:t>
      </w:r>
      <w:r>
        <w:rPr>
          <w:color w:val="231F20"/>
          <w:spacing w:val="-11"/>
          <w:sz w:val="21"/>
        </w:rPr>
        <w:t xml:space="preserve"> </w:t>
      </w:r>
      <w:r>
        <w:rPr>
          <w:color w:val="231F20"/>
          <w:sz w:val="21"/>
        </w:rPr>
        <w:t>АРК</w:t>
      </w:r>
      <w:r>
        <w:rPr>
          <w:color w:val="231F20"/>
          <w:spacing w:val="-11"/>
          <w:sz w:val="21"/>
        </w:rPr>
        <w:t xml:space="preserve"> </w:t>
      </w:r>
      <w:r>
        <w:rPr>
          <w:color w:val="231F20"/>
          <w:sz w:val="21"/>
        </w:rPr>
        <w:t>значення)</w:t>
      </w:r>
      <w:r>
        <w:rPr>
          <w:color w:val="231F20"/>
          <w:spacing w:val="-11"/>
          <w:sz w:val="21"/>
        </w:rPr>
        <w:t xml:space="preserve"> </w:t>
      </w:r>
      <w:r>
        <w:rPr>
          <w:color w:val="231F20"/>
          <w:sz w:val="21"/>
        </w:rPr>
        <w:t>мають</w:t>
      </w:r>
      <w:r>
        <w:rPr>
          <w:color w:val="231F20"/>
          <w:spacing w:val="-11"/>
          <w:sz w:val="21"/>
        </w:rPr>
        <w:t xml:space="preserve"> </w:t>
      </w:r>
      <w:r>
        <w:rPr>
          <w:color w:val="231F20"/>
          <w:sz w:val="21"/>
        </w:rPr>
        <w:t>право</w:t>
      </w:r>
      <w:r>
        <w:rPr>
          <w:color w:val="231F20"/>
          <w:spacing w:val="-11"/>
          <w:sz w:val="21"/>
        </w:rPr>
        <w:t xml:space="preserve"> </w:t>
      </w:r>
      <w:r>
        <w:rPr>
          <w:color w:val="231F20"/>
          <w:sz w:val="21"/>
        </w:rPr>
        <w:t>самостійно</w:t>
      </w:r>
      <w:r>
        <w:rPr>
          <w:color w:val="231F20"/>
          <w:spacing w:val="-11"/>
          <w:sz w:val="21"/>
        </w:rPr>
        <w:t xml:space="preserve"> </w:t>
      </w:r>
      <w:r>
        <w:rPr>
          <w:color w:val="231F20"/>
          <w:sz w:val="21"/>
        </w:rPr>
        <w:t>(без</w:t>
      </w:r>
      <w:r>
        <w:rPr>
          <w:color w:val="231F20"/>
          <w:spacing w:val="-11"/>
          <w:sz w:val="21"/>
        </w:rPr>
        <w:t xml:space="preserve"> </w:t>
      </w:r>
      <w:r>
        <w:rPr>
          <w:color w:val="231F20"/>
          <w:sz w:val="21"/>
        </w:rPr>
        <w:t>конкурсу) добирати та приймати на службу своїх помічників, радників (патро- натну службу).</w:t>
      </w:r>
    </w:p>
    <w:p w14:paraId="46F67C66" w14:textId="77777777" w:rsidR="00DE575E" w:rsidRDefault="002E7560">
      <w:pPr>
        <w:pStyle w:val="ListParagraph"/>
        <w:numPr>
          <w:ilvl w:val="0"/>
          <w:numId w:val="112"/>
        </w:numPr>
        <w:tabs>
          <w:tab w:val="left" w:pos="818"/>
        </w:tabs>
        <w:spacing w:before="3" w:line="252" w:lineRule="auto"/>
        <w:ind w:right="410" w:firstLine="283"/>
        <w:rPr>
          <w:sz w:val="21"/>
        </w:rPr>
      </w:pPr>
      <w:r>
        <w:rPr>
          <w:i/>
          <w:color w:val="231F20"/>
          <w:sz w:val="21"/>
        </w:rPr>
        <w:t>Муніципальну</w:t>
      </w:r>
      <w:r>
        <w:rPr>
          <w:i/>
          <w:color w:val="231F20"/>
          <w:spacing w:val="-9"/>
          <w:sz w:val="21"/>
        </w:rPr>
        <w:t xml:space="preserve"> </w:t>
      </w:r>
      <w:r>
        <w:rPr>
          <w:i/>
          <w:color w:val="231F20"/>
          <w:sz w:val="21"/>
        </w:rPr>
        <w:t>адміністративну</w:t>
      </w:r>
      <w:r>
        <w:rPr>
          <w:i/>
          <w:color w:val="231F20"/>
          <w:spacing w:val="-9"/>
          <w:sz w:val="21"/>
        </w:rPr>
        <w:t xml:space="preserve"> </w:t>
      </w:r>
      <w:r>
        <w:rPr>
          <w:i/>
          <w:color w:val="231F20"/>
          <w:sz w:val="21"/>
        </w:rPr>
        <w:t>службу</w:t>
      </w:r>
      <w:r>
        <w:rPr>
          <w:color w:val="231F20"/>
          <w:sz w:val="21"/>
        </w:rPr>
        <w:t>,</w:t>
      </w:r>
      <w:r>
        <w:rPr>
          <w:color w:val="231F20"/>
          <w:spacing w:val="-9"/>
          <w:sz w:val="21"/>
        </w:rPr>
        <w:t xml:space="preserve"> </w:t>
      </w:r>
      <w:r>
        <w:rPr>
          <w:color w:val="231F20"/>
          <w:sz w:val="21"/>
        </w:rPr>
        <w:t>яка</w:t>
      </w:r>
      <w:r>
        <w:rPr>
          <w:color w:val="231F20"/>
          <w:spacing w:val="-9"/>
          <w:sz w:val="21"/>
        </w:rPr>
        <w:t xml:space="preserve"> </w:t>
      </w:r>
      <w:r>
        <w:rPr>
          <w:color w:val="231F20"/>
          <w:sz w:val="21"/>
        </w:rPr>
        <w:t>полягає</w:t>
      </w:r>
      <w:r>
        <w:rPr>
          <w:color w:val="231F20"/>
          <w:spacing w:val="-9"/>
          <w:sz w:val="21"/>
        </w:rPr>
        <w:t xml:space="preserve"> </w:t>
      </w:r>
      <w:r>
        <w:rPr>
          <w:color w:val="231F20"/>
          <w:sz w:val="21"/>
        </w:rPr>
        <w:t>в</w:t>
      </w:r>
      <w:r>
        <w:rPr>
          <w:color w:val="231F20"/>
          <w:spacing w:val="-9"/>
          <w:sz w:val="21"/>
        </w:rPr>
        <w:t xml:space="preserve"> </w:t>
      </w:r>
      <w:r>
        <w:rPr>
          <w:color w:val="231F20"/>
          <w:sz w:val="21"/>
        </w:rPr>
        <w:t xml:space="preserve">безпосе- </w:t>
      </w:r>
      <w:r>
        <w:rPr>
          <w:color w:val="231F20"/>
          <w:spacing w:val="-3"/>
          <w:sz w:val="21"/>
        </w:rPr>
        <w:t xml:space="preserve">редньому, </w:t>
      </w:r>
      <w:r>
        <w:rPr>
          <w:color w:val="231F20"/>
          <w:sz w:val="21"/>
        </w:rPr>
        <w:t>на професійній основі, виконанні владно-розпорядчих та сервісних</w:t>
      </w:r>
      <w:r>
        <w:rPr>
          <w:color w:val="231F20"/>
          <w:spacing w:val="-2"/>
          <w:sz w:val="21"/>
        </w:rPr>
        <w:t xml:space="preserve"> </w:t>
      </w:r>
      <w:r>
        <w:rPr>
          <w:color w:val="231F20"/>
          <w:sz w:val="21"/>
        </w:rPr>
        <w:t>функцій.</w:t>
      </w:r>
    </w:p>
    <w:p w14:paraId="790F33FC" w14:textId="77777777" w:rsidR="00DE575E" w:rsidRDefault="002E7560">
      <w:pPr>
        <w:spacing w:before="2" w:line="252" w:lineRule="auto"/>
        <w:ind w:left="250" w:right="408" w:firstLine="283"/>
        <w:jc w:val="both"/>
        <w:rPr>
          <w:sz w:val="21"/>
        </w:rPr>
      </w:pPr>
      <w:r>
        <w:rPr>
          <w:color w:val="231F20"/>
          <w:sz w:val="21"/>
        </w:rPr>
        <w:t xml:space="preserve">Чинне законодавство розмежовує державну </w:t>
      </w:r>
      <w:r>
        <w:rPr>
          <w:color w:val="231F20"/>
          <w:spacing w:val="-3"/>
          <w:sz w:val="21"/>
        </w:rPr>
        <w:t xml:space="preserve">службу, </w:t>
      </w:r>
      <w:r>
        <w:rPr>
          <w:color w:val="231F20"/>
          <w:sz w:val="21"/>
        </w:rPr>
        <w:t>патронатну службу в державних органах і службу на державних політичних посадах як окремі види публічної служби. Натомість муніципальна</w:t>
      </w:r>
      <w:r>
        <w:rPr>
          <w:color w:val="231F20"/>
          <w:sz w:val="21"/>
        </w:rPr>
        <w:t xml:space="preserve"> служба є політично-патронатно-адміністративним конгломератом. У зв’язку з цим варто запам’ятати: а) </w:t>
      </w:r>
      <w:r>
        <w:rPr>
          <w:i/>
          <w:color w:val="231F20"/>
          <w:sz w:val="21"/>
        </w:rPr>
        <w:t>«службовець органів місце- вого самоврядування» (або «муніципальний службовець») є значно ширшою категорією, ніж «посадова особа органів місцевого самовряд</w:t>
      </w:r>
      <w:r>
        <w:rPr>
          <w:i/>
          <w:color w:val="231F20"/>
          <w:sz w:val="21"/>
        </w:rPr>
        <w:t xml:space="preserve">ування» </w:t>
      </w:r>
      <w:r>
        <w:rPr>
          <w:color w:val="231F20"/>
          <w:sz w:val="21"/>
        </w:rPr>
        <w:t>(якою  охоплюються  переважно</w:t>
      </w:r>
      <w:r>
        <w:rPr>
          <w:color w:val="231F20"/>
          <w:position w:val="7"/>
          <w:sz w:val="12"/>
        </w:rPr>
        <w:t xml:space="preserve">1  </w:t>
      </w:r>
      <w:r>
        <w:rPr>
          <w:color w:val="231F20"/>
          <w:sz w:val="21"/>
        </w:rPr>
        <w:t xml:space="preserve">адміністра- тивні муніципальні службовці); б) </w:t>
      </w:r>
      <w:r>
        <w:rPr>
          <w:i/>
          <w:color w:val="231F20"/>
          <w:sz w:val="21"/>
        </w:rPr>
        <w:t>державних службовців можна статусно / ідейно / процедурно зближувати (ототожнювати їх соціальне покликання) лише із посадовими особами місцевого само- врядування</w:t>
      </w:r>
      <w:r>
        <w:rPr>
          <w:color w:val="231F20"/>
          <w:position w:val="7"/>
          <w:sz w:val="12"/>
        </w:rPr>
        <w:t xml:space="preserve">2 </w:t>
      </w:r>
      <w:r>
        <w:rPr>
          <w:color w:val="231F20"/>
          <w:sz w:val="21"/>
        </w:rPr>
        <w:t>(але не</w:t>
      </w:r>
      <w:r>
        <w:rPr>
          <w:color w:val="231F20"/>
          <w:sz w:val="21"/>
        </w:rPr>
        <w:t xml:space="preserve"> всіма муніципальними</w:t>
      </w:r>
      <w:r>
        <w:rPr>
          <w:color w:val="231F20"/>
          <w:spacing w:val="-3"/>
          <w:sz w:val="21"/>
        </w:rPr>
        <w:t xml:space="preserve"> </w:t>
      </w:r>
      <w:r>
        <w:rPr>
          <w:color w:val="231F20"/>
          <w:sz w:val="21"/>
        </w:rPr>
        <w:t>службовцями).</w:t>
      </w:r>
    </w:p>
    <w:p w14:paraId="574A5011" w14:textId="77777777" w:rsidR="00DE575E" w:rsidRDefault="002E7560">
      <w:pPr>
        <w:pStyle w:val="BodyText"/>
        <w:spacing w:before="6" w:line="252" w:lineRule="auto"/>
        <w:ind w:left="250" w:right="411" w:firstLine="283"/>
        <w:jc w:val="both"/>
      </w:pPr>
      <w:r>
        <w:rPr>
          <w:color w:val="231F20"/>
        </w:rPr>
        <w:t>Державна служба та посадова служба в органах місцевого само- врядування характеризуються такими ознаками:</w:t>
      </w:r>
    </w:p>
    <w:p w14:paraId="58EE9063" w14:textId="77777777" w:rsidR="00DE575E" w:rsidRDefault="002E7560">
      <w:pPr>
        <w:pStyle w:val="ListParagraph"/>
        <w:numPr>
          <w:ilvl w:val="0"/>
          <w:numId w:val="119"/>
        </w:numPr>
        <w:tabs>
          <w:tab w:val="left" w:pos="818"/>
        </w:tabs>
        <w:ind w:firstLine="283"/>
        <w:jc w:val="left"/>
        <w:rPr>
          <w:sz w:val="21"/>
        </w:rPr>
      </w:pPr>
      <w:r>
        <w:rPr>
          <w:color w:val="231F20"/>
          <w:sz w:val="21"/>
        </w:rPr>
        <w:t>є професійною</w:t>
      </w:r>
      <w:r>
        <w:rPr>
          <w:color w:val="231F20"/>
          <w:spacing w:val="-2"/>
          <w:sz w:val="21"/>
        </w:rPr>
        <w:t xml:space="preserve"> </w:t>
      </w:r>
      <w:r>
        <w:rPr>
          <w:color w:val="231F20"/>
          <w:sz w:val="21"/>
        </w:rPr>
        <w:t>діяльністю;</w:t>
      </w:r>
    </w:p>
    <w:p w14:paraId="53261B9A" w14:textId="2727675E" w:rsidR="00DE575E" w:rsidRDefault="002E7560">
      <w:pPr>
        <w:pStyle w:val="BodyText"/>
        <w:spacing w:before="9"/>
        <w:rPr>
          <w:sz w:val="19"/>
        </w:rPr>
      </w:pPr>
      <w:r>
        <w:rPr>
          <w:noProof/>
        </w:rPr>
        <mc:AlternateContent>
          <mc:Choice Requires="wps">
            <w:drawing>
              <wp:anchor distT="0" distB="0" distL="0" distR="0" simplePos="0" relativeHeight="13912" behindDoc="0" locked="0" layoutInCell="1" allowOverlap="1" wp14:anchorId="26773F12" wp14:editId="55FEB30A">
                <wp:simplePos x="0" y="0"/>
                <wp:positionH relativeFrom="page">
                  <wp:posOffset>539750</wp:posOffset>
                </wp:positionH>
                <wp:positionV relativeFrom="paragraph">
                  <wp:posOffset>175260</wp:posOffset>
                </wp:positionV>
                <wp:extent cx="1080135" cy="0"/>
                <wp:effectExtent l="6350" t="10160" r="31115" b="27940"/>
                <wp:wrapTopAndBottom/>
                <wp:docPr id="517"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6215D" id="Line_x0020_516" o:spid="_x0000_s1026" style="position:absolute;z-index:13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8pt" to="127.55pt,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" strokecolor="#231f20" strokeweight=".5pt">
                <w10:wrap type="topAndBottom" anchorx="page"/>
              </v:line>
            </w:pict>
          </mc:Fallback>
        </mc:AlternateContent>
      </w:r>
    </w:p>
    <w:p w14:paraId="77FDC386" w14:textId="77777777" w:rsidR="00DE575E" w:rsidRDefault="002E7560">
      <w:pPr>
        <w:spacing w:line="204" w:lineRule="auto"/>
        <w:ind w:left="250" w:right="411"/>
        <w:jc w:val="both"/>
        <w:rPr>
          <w:sz w:val="16"/>
        </w:rPr>
      </w:pPr>
      <w:r>
        <w:rPr>
          <w:color w:val="231F20"/>
          <w:position w:val="5"/>
          <w:sz w:val="9"/>
        </w:rPr>
        <w:t xml:space="preserve">1 </w:t>
      </w:r>
      <w:r>
        <w:rPr>
          <w:color w:val="231F20"/>
          <w:spacing w:val="-4"/>
          <w:sz w:val="16"/>
        </w:rPr>
        <w:t xml:space="preserve">Переважно, оскільки </w:t>
      </w:r>
      <w:r>
        <w:rPr>
          <w:color w:val="231F20"/>
          <w:spacing w:val="-5"/>
          <w:sz w:val="16"/>
        </w:rPr>
        <w:t xml:space="preserve">судячи </w:t>
      </w:r>
      <w:r>
        <w:rPr>
          <w:color w:val="231F20"/>
          <w:sz w:val="16"/>
        </w:rPr>
        <w:t xml:space="preserve">з </w:t>
      </w:r>
      <w:r>
        <w:rPr>
          <w:color w:val="231F20"/>
          <w:spacing w:val="-4"/>
          <w:sz w:val="16"/>
        </w:rPr>
        <w:t xml:space="preserve">положень Закону </w:t>
      </w:r>
      <w:r>
        <w:rPr>
          <w:color w:val="231F20"/>
          <w:spacing w:val="-3"/>
          <w:sz w:val="16"/>
        </w:rPr>
        <w:t xml:space="preserve">«Про </w:t>
      </w:r>
      <w:r>
        <w:rPr>
          <w:color w:val="231F20"/>
          <w:spacing w:val="-4"/>
          <w:sz w:val="16"/>
        </w:rPr>
        <w:t xml:space="preserve">службу </w:t>
      </w:r>
      <w:r>
        <w:rPr>
          <w:color w:val="231F20"/>
          <w:sz w:val="16"/>
        </w:rPr>
        <w:t xml:space="preserve">в </w:t>
      </w:r>
      <w:r>
        <w:rPr>
          <w:color w:val="231F20"/>
          <w:spacing w:val="-4"/>
          <w:sz w:val="16"/>
        </w:rPr>
        <w:t>органах місцевого самовря- дування»</w:t>
      </w:r>
      <w:r>
        <w:rPr>
          <w:color w:val="231F20"/>
          <w:spacing w:val="-6"/>
          <w:sz w:val="16"/>
        </w:rPr>
        <w:t xml:space="preserve"> (ст. </w:t>
      </w:r>
      <w:r>
        <w:rPr>
          <w:color w:val="231F20"/>
          <w:spacing w:val="-7"/>
          <w:sz w:val="16"/>
        </w:rPr>
        <w:t xml:space="preserve">ст. </w:t>
      </w:r>
      <w:r>
        <w:rPr>
          <w:color w:val="231F20"/>
          <w:spacing w:val="-3"/>
          <w:sz w:val="16"/>
        </w:rPr>
        <w:t xml:space="preserve">17, 20), </w:t>
      </w:r>
      <w:r>
        <w:rPr>
          <w:color w:val="231F20"/>
          <w:spacing w:val="-4"/>
          <w:sz w:val="16"/>
        </w:rPr>
        <w:t xml:space="preserve">муніципальні патронатні службовці </w:t>
      </w:r>
      <w:r>
        <w:rPr>
          <w:color w:val="231F20"/>
          <w:spacing w:val="-3"/>
          <w:sz w:val="16"/>
        </w:rPr>
        <w:t xml:space="preserve">теж </w:t>
      </w:r>
      <w:r>
        <w:rPr>
          <w:color w:val="231F20"/>
          <w:sz w:val="16"/>
        </w:rPr>
        <w:t xml:space="preserve">є </w:t>
      </w:r>
      <w:r>
        <w:rPr>
          <w:color w:val="231F20"/>
          <w:spacing w:val="-4"/>
          <w:sz w:val="16"/>
        </w:rPr>
        <w:t>«посадовими особами».</w:t>
      </w:r>
    </w:p>
    <w:p w14:paraId="5D42F10D" w14:textId="77777777" w:rsidR="00DE575E" w:rsidRDefault="002E7560">
      <w:pPr>
        <w:spacing w:line="168" w:lineRule="exact"/>
        <w:ind w:left="250"/>
        <w:rPr>
          <w:sz w:val="16"/>
        </w:rPr>
      </w:pPr>
      <w:r>
        <w:rPr>
          <w:color w:val="231F20"/>
          <w:position w:val="5"/>
          <w:sz w:val="9"/>
        </w:rPr>
        <w:t xml:space="preserve">2 </w:t>
      </w:r>
      <w:r>
        <w:rPr>
          <w:color w:val="231F20"/>
          <w:sz w:val="16"/>
        </w:rPr>
        <w:t>Показово, що під час характеристики кола публічних функціонерів у ч. 1 ст. 3 Закону</w:t>
      </w:r>
    </w:p>
    <w:p w14:paraId="6C2665D9" w14:textId="77777777" w:rsidR="00DE575E" w:rsidRDefault="002E7560">
      <w:pPr>
        <w:spacing w:before="8" w:line="194" w:lineRule="auto"/>
        <w:ind w:left="250" w:right="410"/>
        <w:jc w:val="both"/>
        <w:rPr>
          <w:sz w:val="16"/>
        </w:rPr>
      </w:pPr>
      <w:r>
        <w:rPr>
          <w:color w:val="231F20"/>
          <w:sz w:val="16"/>
        </w:rPr>
        <w:t>«Про запобігання корупції» одним пунктом зазначено: «в</w:t>
      </w:r>
      <w:r>
        <w:rPr>
          <w:color w:val="231F20"/>
          <w:sz w:val="16"/>
        </w:rPr>
        <w:t>) державні службовці, посадові особи місцевого самоврядування». При цьому муніципальних політичних службовців</w:t>
      </w:r>
      <w:r>
        <w:rPr>
          <w:color w:val="231F20"/>
          <w:spacing w:val="-20"/>
          <w:sz w:val="16"/>
        </w:rPr>
        <w:t xml:space="preserve"> </w:t>
      </w:r>
      <w:r>
        <w:rPr>
          <w:color w:val="231F20"/>
          <w:sz w:val="16"/>
        </w:rPr>
        <w:t>зга- дано</w:t>
      </w:r>
      <w:r>
        <w:rPr>
          <w:color w:val="231F20"/>
          <w:spacing w:val="-10"/>
          <w:sz w:val="16"/>
        </w:rPr>
        <w:t xml:space="preserve"> </w:t>
      </w:r>
      <w:r>
        <w:rPr>
          <w:color w:val="231F20"/>
          <w:sz w:val="16"/>
        </w:rPr>
        <w:t>в</w:t>
      </w:r>
      <w:r>
        <w:rPr>
          <w:color w:val="231F20"/>
          <w:spacing w:val="-10"/>
          <w:sz w:val="16"/>
        </w:rPr>
        <w:t xml:space="preserve"> </w:t>
      </w:r>
      <w:r>
        <w:rPr>
          <w:color w:val="231F20"/>
          <w:sz w:val="16"/>
        </w:rPr>
        <w:t>іншому</w:t>
      </w:r>
      <w:r>
        <w:rPr>
          <w:color w:val="231F20"/>
          <w:spacing w:val="-10"/>
          <w:sz w:val="16"/>
        </w:rPr>
        <w:t xml:space="preserve"> </w:t>
      </w:r>
      <w:r>
        <w:rPr>
          <w:color w:val="231F20"/>
          <w:sz w:val="16"/>
        </w:rPr>
        <w:t>пункті:</w:t>
      </w:r>
      <w:r>
        <w:rPr>
          <w:color w:val="231F20"/>
          <w:spacing w:val="-10"/>
          <w:sz w:val="16"/>
        </w:rPr>
        <w:t xml:space="preserve"> </w:t>
      </w:r>
      <w:r>
        <w:rPr>
          <w:color w:val="231F20"/>
          <w:sz w:val="16"/>
        </w:rPr>
        <w:t>«б)</w:t>
      </w:r>
      <w:r>
        <w:rPr>
          <w:color w:val="231F20"/>
          <w:spacing w:val="-10"/>
          <w:sz w:val="16"/>
        </w:rPr>
        <w:t xml:space="preserve"> </w:t>
      </w:r>
      <w:r>
        <w:rPr>
          <w:color w:val="231F20"/>
          <w:sz w:val="16"/>
        </w:rPr>
        <w:t>народні</w:t>
      </w:r>
      <w:r>
        <w:rPr>
          <w:color w:val="231F20"/>
          <w:spacing w:val="-10"/>
          <w:sz w:val="16"/>
        </w:rPr>
        <w:t xml:space="preserve"> </w:t>
      </w:r>
      <w:r>
        <w:rPr>
          <w:color w:val="231F20"/>
          <w:sz w:val="16"/>
        </w:rPr>
        <w:t>депутати</w:t>
      </w:r>
      <w:r>
        <w:rPr>
          <w:color w:val="231F20"/>
          <w:spacing w:val="-10"/>
          <w:sz w:val="16"/>
        </w:rPr>
        <w:t xml:space="preserve"> </w:t>
      </w:r>
      <w:r>
        <w:rPr>
          <w:color w:val="231F20"/>
          <w:sz w:val="16"/>
        </w:rPr>
        <w:t>України,</w:t>
      </w:r>
      <w:r>
        <w:rPr>
          <w:color w:val="231F20"/>
          <w:spacing w:val="-10"/>
          <w:sz w:val="16"/>
        </w:rPr>
        <w:t xml:space="preserve"> </w:t>
      </w:r>
      <w:r>
        <w:rPr>
          <w:color w:val="231F20"/>
          <w:sz w:val="16"/>
        </w:rPr>
        <w:t>депутати</w:t>
      </w:r>
      <w:r>
        <w:rPr>
          <w:color w:val="231F20"/>
          <w:spacing w:val="-10"/>
          <w:sz w:val="16"/>
        </w:rPr>
        <w:t xml:space="preserve"> </w:t>
      </w:r>
      <w:r>
        <w:rPr>
          <w:color w:val="231F20"/>
          <w:sz w:val="16"/>
        </w:rPr>
        <w:t>Верховної</w:t>
      </w:r>
      <w:r>
        <w:rPr>
          <w:color w:val="231F20"/>
          <w:spacing w:val="-10"/>
          <w:sz w:val="16"/>
        </w:rPr>
        <w:t xml:space="preserve"> </w:t>
      </w:r>
      <w:r>
        <w:rPr>
          <w:color w:val="231F20"/>
          <w:sz w:val="16"/>
        </w:rPr>
        <w:t>Ради</w:t>
      </w:r>
      <w:r>
        <w:rPr>
          <w:color w:val="231F20"/>
          <w:spacing w:val="-10"/>
          <w:sz w:val="16"/>
        </w:rPr>
        <w:t xml:space="preserve"> </w:t>
      </w:r>
      <w:r>
        <w:rPr>
          <w:color w:val="231F20"/>
          <w:sz w:val="16"/>
        </w:rPr>
        <w:t>Автономної Республіки Крим, депутати місцевих рад, сільські, сели</w:t>
      </w:r>
      <w:r>
        <w:rPr>
          <w:color w:val="231F20"/>
          <w:sz w:val="16"/>
        </w:rPr>
        <w:t>щні, міські голови». Це ще раз ілю- струє якісну неоднорідність служби в органах місцевого</w:t>
      </w:r>
      <w:r>
        <w:rPr>
          <w:color w:val="231F20"/>
          <w:spacing w:val="-10"/>
          <w:sz w:val="16"/>
        </w:rPr>
        <w:t xml:space="preserve"> </w:t>
      </w:r>
      <w:r>
        <w:rPr>
          <w:color w:val="231F20"/>
          <w:sz w:val="16"/>
        </w:rPr>
        <w:t>самоврядування.</w:t>
      </w:r>
    </w:p>
    <w:p w14:paraId="181E25C7" w14:textId="77777777" w:rsidR="00DE575E" w:rsidRDefault="00DE575E">
      <w:pPr>
        <w:pStyle w:val="BodyText"/>
        <w:spacing w:before="5"/>
        <w:rPr>
          <w:sz w:val="12"/>
        </w:rPr>
      </w:pPr>
    </w:p>
    <w:p w14:paraId="579C0527" w14:textId="77777777" w:rsidR="00DE575E" w:rsidRDefault="002E7560">
      <w:pPr>
        <w:spacing w:before="92"/>
        <w:ind w:right="411"/>
        <w:jc w:val="right"/>
        <w:rPr>
          <w:rFonts w:ascii="Times New Roman"/>
          <w:sz w:val="20"/>
        </w:rPr>
      </w:pPr>
      <w:r>
        <w:rPr>
          <w:rFonts w:ascii="Times New Roman"/>
          <w:color w:val="231F20"/>
          <w:w w:val="90"/>
          <w:sz w:val="20"/>
        </w:rPr>
        <w:t>355</w:t>
      </w:r>
    </w:p>
    <w:p w14:paraId="177E9C6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F43298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E9E1C60" w14:textId="2909764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7BB4AED" wp14:editId="567A3328">
                <wp:extent cx="4140200" cy="6350"/>
                <wp:effectExtent l="0" t="0" r="12700" b="6350"/>
                <wp:docPr id="51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16" name="Line 51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4B6FD" id="Group_x0020_51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CJryJ/AgAAmAUAAA4A&#10;AAAAAAAAAAAAAAAALAIAAGRycy9lMm9Eb2MueG1sUEsBAi0AFAAGAAgAAAAhAEynsJDZAAAAAwEA&#10;AA8AAAAAAAAAAAAAAAAA1wQAAGRycy9kb3ducmV2LnhtbFBLBQYAAAAABAAEAPMAAADdBQAAAAA=&#10;">
                <v:line id="Line_x0020_51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dOXsYAAADcAAAADwAAAGRycy9kb3ducmV2LnhtbESP0WrCQBRE3wX/YblCX0Q3VpQSXUUE&#10;Qfqg1vQDrtnbJHT3bsyuJu3XdwWhj8PMnGGW684acafGV44VTMYJCOLc6YoLBZ/ZbvQGwgdkjcYx&#10;KfghD+tVv7fEVLuWP+h+DoWIEPYpKihDqFMpfV6SRT92NXH0vlxjMUTZFFI32Ea4NfI1SebSYsVx&#10;ocSatiXl3+ebVZBdh8Gcju+mzY6XqbxcD9Pf20Gpl0G3WYAI1IX/8LO91wpmkz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l3Tl7GAAAA3AAAAA8AAAAAAAAA&#10;AAAAAAAAoQIAAGRycy9kb3ducmV2LnhtbFBLBQYAAAAABAAEAPkAAACUAwAAAAA=&#10;" strokecolor="#231f20" strokeweight=".5pt"/>
                <w10:anchorlock/>
              </v:group>
            </w:pict>
          </mc:Fallback>
        </mc:AlternateContent>
      </w:r>
    </w:p>
    <w:p w14:paraId="12B38F61" w14:textId="77777777" w:rsidR="00DE575E" w:rsidRDefault="00DE575E">
      <w:pPr>
        <w:pStyle w:val="BodyText"/>
        <w:spacing w:before="7"/>
        <w:rPr>
          <w:rFonts w:ascii="AdonisC"/>
          <w:i/>
          <w:sz w:val="11"/>
        </w:rPr>
      </w:pPr>
    </w:p>
    <w:p w14:paraId="0D904380" w14:textId="77777777" w:rsidR="00DE575E" w:rsidRDefault="002E7560">
      <w:pPr>
        <w:pStyle w:val="ListParagraph"/>
        <w:numPr>
          <w:ilvl w:val="0"/>
          <w:numId w:val="111"/>
        </w:numPr>
        <w:tabs>
          <w:tab w:val="left" w:pos="1101"/>
        </w:tabs>
        <w:spacing w:before="101" w:line="244" w:lineRule="auto"/>
        <w:ind w:right="128" w:firstLine="284"/>
        <w:rPr>
          <w:sz w:val="21"/>
        </w:rPr>
      </w:pPr>
      <w:r>
        <w:rPr>
          <w:color w:val="231F20"/>
          <w:sz w:val="21"/>
        </w:rPr>
        <w:t>характеризуються</w:t>
      </w:r>
      <w:r>
        <w:rPr>
          <w:color w:val="231F20"/>
          <w:spacing w:val="-19"/>
          <w:sz w:val="21"/>
        </w:rPr>
        <w:t xml:space="preserve"> </w:t>
      </w:r>
      <w:r>
        <w:rPr>
          <w:color w:val="231F20"/>
          <w:sz w:val="21"/>
        </w:rPr>
        <w:t>субординаційністю</w:t>
      </w:r>
      <w:r>
        <w:rPr>
          <w:color w:val="231F20"/>
          <w:spacing w:val="-19"/>
          <w:sz w:val="21"/>
        </w:rPr>
        <w:t xml:space="preserve"> </w:t>
      </w:r>
      <w:r>
        <w:rPr>
          <w:color w:val="231F20"/>
          <w:sz w:val="21"/>
        </w:rPr>
        <w:t>(ієрархічністю)</w:t>
      </w:r>
      <w:r>
        <w:rPr>
          <w:color w:val="231F20"/>
          <w:spacing w:val="-19"/>
          <w:sz w:val="21"/>
        </w:rPr>
        <w:t xml:space="preserve"> </w:t>
      </w:r>
      <w:r>
        <w:rPr>
          <w:color w:val="231F20"/>
          <w:sz w:val="21"/>
        </w:rPr>
        <w:t>службо- вих відносин та високими вимогами щодо</w:t>
      </w:r>
      <w:r>
        <w:rPr>
          <w:color w:val="231F20"/>
          <w:spacing w:val="-10"/>
          <w:sz w:val="21"/>
        </w:rPr>
        <w:t xml:space="preserve"> </w:t>
      </w:r>
      <w:r>
        <w:rPr>
          <w:color w:val="231F20"/>
          <w:sz w:val="21"/>
        </w:rPr>
        <w:t>дисципліни;</w:t>
      </w:r>
    </w:p>
    <w:p w14:paraId="727A2F02" w14:textId="77777777" w:rsidR="00DE575E" w:rsidRDefault="002E7560">
      <w:pPr>
        <w:pStyle w:val="ListParagraph"/>
        <w:numPr>
          <w:ilvl w:val="0"/>
          <w:numId w:val="111"/>
        </w:numPr>
        <w:tabs>
          <w:tab w:val="left" w:pos="1101"/>
        </w:tabs>
        <w:ind w:firstLine="284"/>
        <w:jc w:val="left"/>
        <w:rPr>
          <w:sz w:val="21"/>
        </w:rPr>
      </w:pPr>
      <w:r>
        <w:rPr>
          <w:color w:val="231F20"/>
          <w:sz w:val="21"/>
        </w:rPr>
        <w:t>застосовується конкурс як основний спосіб заміщення</w:t>
      </w:r>
      <w:r>
        <w:rPr>
          <w:color w:val="231F20"/>
          <w:spacing w:val="-8"/>
          <w:sz w:val="21"/>
        </w:rPr>
        <w:t xml:space="preserve"> </w:t>
      </w:r>
      <w:r>
        <w:rPr>
          <w:color w:val="231F20"/>
          <w:sz w:val="21"/>
        </w:rPr>
        <w:t>посад;</w:t>
      </w:r>
    </w:p>
    <w:p w14:paraId="546A51B1" w14:textId="77777777" w:rsidR="00DE575E" w:rsidRDefault="002E7560">
      <w:pPr>
        <w:pStyle w:val="ListParagraph"/>
        <w:numPr>
          <w:ilvl w:val="0"/>
          <w:numId w:val="111"/>
        </w:numPr>
        <w:tabs>
          <w:tab w:val="left" w:pos="1101"/>
        </w:tabs>
        <w:spacing w:before="6"/>
        <w:ind w:firstLine="284"/>
        <w:jc w:val="left"/>
        <w:rPr>
          <w:sz w:val="21"/>
        </w:rPr>
      </w:pPr>
      <w:r>
        <w:rPr>
          <w:color w:val="231F20"/>
          <w:sz w:val="21"/>
        </w:rPr>
        <w:t>є політично</w:t>
      </w:r>
      <w:r>
        <w:rPr>
          <w:color w:val="231F20"/>
          <w:spacing w:val="-2"/>
          <w:sz w:val="21"/>
        </w:rPr>
        <w:t xml:space="preserve"> </w:t>
      </w:r>
      <w:r>
        <w:rPr>
          <w:color w:val="231F20"/>
          <w:sz w:val="21"/>
        </w:rPr>
        <w:t>неупередженою;</w:t>
      </w:r>
    </w:p>
    <w:p w14:paraId="0DCCD7C8" w14:textId="77777777" w:rsidR="00DE575E" w:rsidRDefault="002E7560">
      <w:pPr>
        <w:pStyle w:val="ListParagraph"/>
        <w:numPr>
          <w:ilvl w:val="0"/>
          <w:numId w:val="111"/>
        </w:numPr>
        <w:tabs>
          <w:tab w:val="left" w:pos="1101"/>
        </w:tabs>
        <w:spacing w:before="6" w:line="244" w:lineRule="auto"/>
        <w:ind w:right="128" w:firstLine="284"/>
        <w:rPr>
          <w:sz w:val="21"/>
        </w:rPr>
      </w:pPr>
      <w:r>
        <w:rPr>
          <w:color w:val="231F20"/>
          <w:sz w:val="21"/>
        </w:rPr>
        <w:t>полягає в забезпеченні реалізації не особистих, а чужих інте- ресів – або публічних (різного рівня), або окремих осіб, які зверну- лися за владним</w:t>
      </w:r>
      <w:r>
        <w:rPr>
          <w:color w:val="231F20"/>
          <w:spacing w:val="-4"/>
          <w:sz w:val="21"/>
        </w:rPr>
        <w:t xml:space="preserve"> </w:t>
      </w:r>
      <w:r>
        <w:rPr>
          <w:color w:val="231F20"/>
          <w:sz w:val="21"/>
        </w:rPr>
        <w:t>сервісом;</w:t>
      </w:r>
    </w:p>
    <w:p w14:paraId="067EDD64" w14:textId="77777777" w:rsidR="00DE575E" w:rsidRDefault="002E7560">
      <w:pPr>
        <w:pStyle w:val="ListParagraph"/>
        <w:numPr>
          <w:ilvl w:val="0"/>
          <w:numId w:val="111"/>
        </w:numPr>
        <w:tabs>
          <w:tab w:val="left" w:pos="1101"/>
        </w:tabs>
        <w:spacing w:before="3" w:line="244" w:lineRule="auto"/>
        <w:ind w:right="128" w:firstLine="284"/>
        <w:rPr>
          <w:sz w:val="21"/>
        </w:rPr>
      </w:pPr>
      <w:r>
        <w:rPr>
          <w:color w:val="231F20"/>
          <w:sz w:val="21"/>
        </w:rPr>
        <w:t>здійснюється під час перебування на посаді в органах публіч- ної влади;</w:t>
      </w:r>
    </w:p>
    <w:p w14:paraId="4BFFEE9D" w14:textId="77777777" w:rsidR="00DE575E" w:rsidRDefault="002E7560">
      <w:pPr>
        <w:pStyle w:val="ListParagraph"/>
        <w:numPr>
          <w:ilvl w:val="0"/>
          <w:numId w:val="111"/>
        </w:numPr>
        <w:tabs>
          <w:tab w:val="left" w:pos="1101"/>
        </w:tabs>
        <w:spacing w:line="244" w:lineRule="auto"/>
        <w:ind w:right="128" w:firstLine="284"/>
        <w:rPr>
          <w:sz w:val="21"/>
        </w:rPr>
      </w:pPr>
      <w:r>
        <w:rPr>
          <w:color w:val="231F20"/>
          <w:sz w:val="21"/>
        </w:rPr>
        <w:t>фінансуються за рахунок пуб</w:t>
      </w:r>
      <w:r>
        <w:rPr>
          <w:color w:val="231F20"/>
          <w:sz w:val="21"/>
        </w:rPr>
        <w:t>лічних фондів грошових коштів (державного чи місцевих</w:t>
      </w:r>
      <w:r>
        <w:rPr>
          <w:color w:val="231F20"/>
          <w:spacing w:val="-1"/>
          <w:sz w:val="21"/>
        </w:rPr>
        <w:t xml:space="preserve"> </w:t>
      </w:r>
      <w:r>
        <w:rPr>
          <w:color w:val="231F20"/>
          <w:sz w:val="21"/>
        </w:rPr>
        <w:t>бюджетів);</w:t>
      </w:r>
    </w:p>
    <w:p w14:paraId="3471DA19" w14:textId="77777777" w:rsidR="00DE575E" w:rsidRDefault="002E7560">
      <w:pPr>
        <w:pStyle w:val="ListParagraph"/>
        <w:numPr>
          <w:ilvl w:val="0"/>
          <w:numId w:val="111"/>
        </w:numPr>
        <w:tabs>
          <w:tab w:val="left" w:pos="1101"/>
        </w:tabs>
        <w:spacing w:before="2" w:line="244" w:lineRule="auto"/>
        <w:ind w:right="128" w:firstLine="284"/>
        <w:rPr>
          <w:sz w:val="21"/>
        </w:rPr>
      </w:pPr>
      <w:r>
        <w:rPr>
          <w:color w:val="231F20"/>
          <w:sz w:val="21"/>
        </w:rPr>
        <w:t xml:space="preserve">регулюється публічно-службовим законодавством із субсиді- арним застосування </w:t>
      </w:r>
      <w:r>
        <w:rPr>
          <w:color w:val="231F20"/>
          <w:spacing w:val="-3"/>
          <w:sz w:val="21"/>
        </w:rPr>
        <w:t xml:space="preserve">трудових </w:t>
      </w:r>
      <w:r>
        <w:rPr>
          <w:color w:val="231F20"/>
          <w:sz w:val="21"/>
        </w:rPr>
        <w:t>приписів.</w:t>
      </w:r>
    </w:p>
    <w:p w14:paraId="0EC8BB7D" w14:textId="77777777" w:rsidR="00DE575E" w:rsidRDefault="002E7560">
      <w:pPr>
        <w:pStyle w:val="BodyText"/>
        <w:spacing w:before="2" w:line="244" w:lineRule="auto"/>
        <w:ind w:left="533" w:right="125" w:firstLine="283"/>
        <w:jc w:val="both"/>
      </w:pPr>
      <w:r>
        <w:rPr>
          <w:color w:val="231F20"/>
        </w:rPr>
        <w:t xml:space="preserve">Названі ознаки характеризують державну та муніципальну адміністративну службу як особливі види </w:t>
      </w:r>
      <w:r>
        <w:rPr>
          <w:color w:val="231F20"/>
        </w:rPr>
        <w:t>трудової діяльності; при цьому специфіка перших чотирьох рис полягає у їх більшій вираже- ності (мають місце і в неслужбових видах професійної активності, але менш тотально представлені), а інші є винятковими.</w:t>
      </w:r>
    </w:p>
    <w:p w14:paraId="45CD6C0C" w14:textId="77777777" w:rsidR="00DE575E" w:rsidRDefault="00DE575E">
      <w:pPr>
        <w:pStyle w:val="BodyText"/>
        <w:rPr>
          <w:sz w:val="24"/>
        </w:rPr>
      </w:pPr>
    </w:p>
    <w:p w14:paraId="74B6E6B1" w14:textId="77777777" w:rsidR="00DE575E" w:rsidRDefault="00DE575E">
      <w:pPr>
        <w:pStyle w:val="BodyText"/>
        <w:spacing w:before="4"/>
        <w:rPr>
          <w:sz w:val="19"/>
        </w:rPr>
      </w:pPr>
    </w:p>
    <w:p w14:paraId="27BD0871" w14:textId="77777777" w:rsidR="00DE575E" w:rsidRDefault="002E7560">
      <w:pPr>
        <w:pStyle w:val="Heading5"/>
        <w:ind w:left="2697"/>
      </w:pPr>
      <w:r>
        <w:rPr>
          <w:color w:val="231F20"/>
        </w:rPr>
        <w:t>Запитання і завдання</w:t>
      </w:r>
    </w:p>
    <w:p w14:paraId="19F99F82" w14:textId="77777777" w:rsidR="00DE575E" w:rsidRDefault="002E7560">
      <w:pPr>
        <w:pStyle w:val="ListParagraph"/>
        <w:numPr>
          <w:ilvl w:val="0"/>
          <w:numId w:val="110"/>
        </w:numPr>
        <w:tabs>
          <w:tab w:val="left" w:pos="1101"/>
        </w:tabs>
        <w:spacing w:before="6" w:line="244" w:lineRule="auto"/>
        <w:ind w:right="127" w:firstLine="284"/>
        <w:jc w:val="both"/>
        <w:rPr>
          <w:sz w:val="21"/>
        </w:rPr>
      </w:pPr>
      <w:r>
        <w:rPr>
          <w:color w:val="231F20"/>
          <w:sz w:val="21"/>
        </w:rPr>
        <w:t>Які посади віднесено чинним законодавством до державних політичних посад?</w:t>
      </w:r>
    </w:p>
    <w:p w14:paraId="18690A82" w14:textId="77777777" w:rsidR="00DE575E" w:rsidRDefault="002E7560">
      <w:pPr>
        <w:pStyle w:val="ListParagraph"/>
        <w:numPr>
          <w:ilvl w:val="0"/>
          <w:numId w:val="110"/>
        </w:numPr>
        <w:tabs>
          <w:tab w:val="left" w:pos="1101"/>
        </w:tabs>
        <w:spacing w:before="2" w:line="244" w:lineRule="auto"/>
        <w:ind w:right="128" w:firstLine="284"/>
        <w:jc w:val="both"/>
        <w:rPr>
          <w:sz w:val="21"/>
        </w:rPr>
      </w:pPr>
      <w:r>
        <w:rPr>
          <w:color w:val="231F20"/>
          <w:sz w:val="21"/>
        </w:rPr>
        <w:t>Чому</w:t>
      </w:r>
      <w:r>
        <w:rPr>
          <w:color w:val="231F20"/>
          <w:spacing w:val="-12"/>
          <w:sz w:val="21"/>
        </w:rPr>
        <w:t xml:space="preserve"> </w:t>
      </w:r>
      <w:r>
        <w:rPr>
          <w:color w:val="231F20"/>
          <w:sz w:val="21"/>
        </w:rPr>
        <w:t>альтернативна</w:t>
      </w:r>
      <w:r>
        <w:rPr>
          <w:color w:val="231F20"/>
          <w:spacing w:val="-12"/>
          <w:sz w:val="21"/>
        </w:rPr>
        <w:t xml:space="preserve"> </w:t>
      </w:r>
      <w:r>
        <w:rPr>
          <w:color w:val="231F20"/>
          <w:sz w:val="21"/>
        </w:rPr>
        <w:t>(невійськова)</w:t>
      </w:r>
      <w:r>
        <w:rPr>
          <w:color w:val="231F20"/>
          <w:spacing w:val="-12"/>
          <w:sz w:val="21"/>
        </w:rPr>
        <w:t xml:space="preserve"> </w:t>
      </w:r>
      <w:r>
        <w:rPr>
          <w:color w:val="231F20"/>
          <w:sz w:val="21"/>
        </w:rPr>
        <w:t>служба</w:t>
      </w:r>
      <w:r>
        <w:rPr>
          <w:color w:val="231F20"/>
          <w:spacing w:val="-12"/>
          <w:sz w:val="21"/>
        </w:rPr>
        <w:t xml:space="preserve"> </w:t>
      </w:r>
      <w:r>
        <w:rPr>
          <w:color w:val="231F20"/>
          <w:sz w:val="21"/>
        </w:rPr>
        <w:t>не</w:t>
      </w:r>
      <w:r>
        <w:rPr>
          <w:color w:val="231F20"/>
          <w:spacing w:val="-12"/>
          <w:sz w:val="21"/>
        </w:rPr>
        <w:t xml:space="preserve"> </w:t>
      </w:r>
      <w:r>
        <w:rPr>
          <w:color w:val="231F20"/>
          <w:sz w:val="21"/>
        </w:rPr>
        <w:t>може</w:t>
      </w:r>
      <w:r>
        <w:rPr>
          <w:color w:val="231F20"/>
          <w:spacing w:val="-12"/>
          <w:sz w:val="21"/>
        </w:rPr>
        <w:t xml:space="preserve"> </w:t>
      </w:r>
      <w:r>
        <w:rPr>
          <w:color w:val="231F20"/>
          <w:sz w:val="21"/>
        </w:rPr>
        <w:t>бути</w:t>
      </w:r>
      <w:r>
        <w:rPr>
          <w:color w:val="231F20"/>
          <w:spacing w:val="-12"/>
          <w:sz w:val="21"/>
        </w:rPr>
        <w:t xml:space="preserve"> </w:t>
      </w:r>
      <w:r>
        <w:rPr>
          <w:color w:val="231F20"/>
          <w:sz w:val="21"/>
        </w:rPr>
        <w:t>відне- сена до публічної</w:t>
      </w:r>
      <w:r>
        <w:rPr>
          <w:color w:val="231F20"/>
          <w:spacing w:val="-3"/>
          <w:sz w:val="21"/>
        </w:rPr>
        <w:t xml:space="preserve"> </w:t>
      </w:r>
      <w:r>
        <w:rPr>
          <w:color w:val="231F20"/>
          <w:sz w:val="21"/>
        </w:rPr>
        <w:t>служби?</w:t>
      </w:r>
    </w:p>
    <w:p w14:paraId="10C4CD42" w14:textId="77777777" w:rsidR="00DE575E" w:rsidRDefault="002E7560">
      <w:pPr>
        <w:pStyle w:val="ListParagraph"/>
        <w:numPr>
          <w:ilvl w:val="0"/>
          <w:numId w:val="110"/>
        </w:numPr>
        <w:tabs>
          <w:tab w:val="left" w:pos="1101"/>
        </w:tabs>
        <w:spacing w:before="2"/>
        <w:ind w:firstLine="284"/>
        <w:rPr>
          <w:sz w:val="21"/>
        </w:rPr>
      </w:pPr>
      <w:r>
        <w:rPr>
          <w:color w:val="231F20"/>
          <w:sz w:val="21"/>
        </w:rPr>
        <w:t>Які ознаки є характерними для патронатної</w:t>
      </w:r>
      <w:r>
        <w:rPr>
          <w:color w:val="231F20"/>
          <w:spacing w:val="-3"/>
          <w:sz w:val="21"/>
        </w:rPr>
        <w:t xml:space="preserve"> </w:t>
      </w:r>
      <w:r>
        <w:rPr>
          <w:color w:val="231F20"/>
          <w:sz w:val="21"/>
        </w:rPr>
        <w:t>служби?</w:t>
      </w:r>
    </w:p>
    <w:p w14:paraId="69032102" w14:textId="77777777" w:rsidR="00DE575E" w:rsidRDefault="002E7560">
      <w:pPr>
        <w:pStyle w:val="ListParagraph"/>
        <w:numPr>
          <w:ilvl w:val="0"/>
          <w:numId w:val="110"/>
        </w:numPr>
        <w:tabs>
          <w:tab w:val="left" w:pos="1101"/>
        </w:tabs>
        <w:spacing w:before="5"/>
        <w:ind w:firstLine="284"/>
        <w:rPr>
          <w:sz w:val="21"/>
        </w:rPr>
      </w:pPr>
      <w:r>
        <w:rPr>
          <w:color w:val="231F20"/>
          <w:sz w:val="21"/>
        </w:rPr>
        <w:t>Назвіть три приклади спеціалізованої публічної</w:t>
      </w:r>
      <w:r>
        <w:rPr>
          <w:color w:val="231F20"/>
          <w:spacing w:val="-5"/>
          <w:sz w:val="21"/>
        </w:rPr>
        <w:t xml:space="preserve"> </w:t>
      </w:r>
      <w:r>
        <w:rPr>
          <w:color w:val="231F20"/>
          <w:sz w:val="21"/>
        </w:rPr>
        <w:t>служби.</w:t>
      </w:r>
    </w:p>
    <w:p w14:paraId="3816473B" w14:textId="77777777" w:rsidR="00DE575E" w:rsidRDefault="002E7560">
      <w:pPr>
        <w:pStyle w:val="ListParagraph"/>
        <w:numPr>
          <w:ilvl w:val="0"/>
          <w:numId w:val="110"/>
        </w:numPr>
        <w:tabs>
          <w:tab w:val="left" w:pos="1101"/>
        </w:tabs>
        <w:spacing w:before="6" w:line="244" w:lineRule="auto"/>
        <w:ind w:right="128" w:firstLine="284"/>
        <w:jc w:val="both"/>
        <w:rPr>
          <w:sz w:val="21"/>
        </w:rPr>
      </w:pPr>
      <w:r>
        <w:rPr>
          <w:color w:val="231F20"/>
          <w:sz w:val="21"/>
        </w:rPr>
        <w:t>Наведіть декілька прикладів публічної служби, доступ до якої відбувається в порядку позаконкурсного</w:t>
      </w:r>
      <w:r>
        <w:rPr>
          <w:color w:val="231F20"/>
          <w:spacing w:val="-3"/>
          <w:sz w:val="21"/>
        </w:rPr>
        <w:t xml:space="preserve"> </w:t>
      </w:r>
      <w:r>
        <w:rPr>
          <w:color w:val="231F20"/>
          <w:sz w:val="21"/>
        </w:rPr>
        <w:t>призначення.</w:t>
      </w:r>
    </w:p>
    <w:p w14:paraId="49B785CA" w14:textId="77777777" w:rsidR="00DE575E" w:rsidRDefault="002E7560">
      <w:pPr>
        <w:pStyle w:val="ListParagraph"/>
        <w:numPr>
          <w:ilvl w:val="0"/>
          <w:numId w:val="110"/>
        </w:numPr>
        <w:tabs>
          <w:tab w:val="left" w:pos="1101"/>
        </w:tabs>
        <w:spacing w:before="2" w:line="244" w:lineRule="auto"/>
        <w:ind w:right="127" w:firstLine="284"/>
        <w:jc w:val="both"/>
        <w:rPr>
          <w:sz w:val="21"/>
        </w:rPr>
      </w:pPr>
      <w:r>
        <w:rPr>
          <w:color w:val="231F20"/>
          <w:sz w:val="21"/>
        </w:rPr>
        <w:t>Чому служба в органах місцевого самоврядування вважається комплексним і якісно неоднорідним видом публічної</w:t>
      </w:r>
      <w:r>
        <w:rPr>
          <w:color w:val="231F20"/>
          <w:spacing w:val="-10"/>
          <w:sz w:val="21"/>
        </w:rPr>
        <w:t xml:space="preserve"> </w:t>
      </w:r>
      <w:r>
        <w:rPr>
          <w:color w:val="231F20"/>
          <w:sz w:val="21"/>
        </w:rPr>
        <w:t>служби?</w:t>
      </w:r>
    </w:p>
    <w:p w14:paraId="20946AAE" w14:textId="77777777" w:rsidR="00DE575E" w:rsidRDefault="002E7560">
      <w:pPr>
        <w:pStyle w:val="ListParagraph"/>
        <w:numPr>
          <w:ilvl w:val="0"/>
          <w:numId w:val="110"/>
        </w:numPr>
        <w:tabs>
          <w:tab w:val="left" w:pos="1101"/>
        </w:tabs>
        <w:spacing w:before="2" w:line="244" w:lineRule="auto"/>
        <w:ind w:right="128" w:firstLine="284"/>
        <w:jc w:val="both"/>
        <w:rPr>
          <w:sz w:val="21"/>
        </w:rPr>
      </w:pPr>
      <w:r>
        <w:rPr>
          <w:color w:val="231F20"/>
          <w:sz w:val="21"/>
        </w:rPr>
        <w:t>Яка</w:t>
      </w:r>
      <w:r>
        <w:rPr>
          <w:color w:val="231F20"/>
          <w:spacing w:val="-7"/>
          <w:sz w:val="21"/>
        </w:rPr>
        <w:t xml:space="preserve"> </w:t>
      </w:r>
      <w:r>
        <w:rPr>
          <w:color w:val="231F20"/>
          <w:sz w:val="21"/>
        </w:rPr>
        <w:t>категорія</w:t>
      </w:r>
      <w:r>
        <w:rPr>
          <w:color w:val="231F20"/>
          <w:spacing w:val="-7"/>
          <w:sz w:val="21"/>
        </w:rPr>
        <w:t xml:space="preserve"> </w:t>
      </w:r>
      <w:r>
        <w:rPr>
          <w:color w:val="231F20"/>
          <w:sz w:val="21"/>
        </w:rPr>
        <w:t>зміс</w:t>
      </w:r>
      <w:r>
        <w:rPr>
          <w:color w:val="231F20"/>
          <w:sz w:val="21"/>
        </w:rPr>
        <w:t>товно</w:t>
      </w:r>
      <w:r>
        <w:rPr>
          <w:color w:val="231F20"/>
          <w:spacing w:val="-7"/>
          <w:sz w:val="21"/>
        </w:rPr>
        <w:t xml:space="preserve"> </w:t>
      </w:r>
      <w:r>
        <w:rPr>
          <w:color w:val="231F20"/>
          <w:sz w:val="21"/>
        </w:rPr>
        <w:t>є</w:t>
      </w:r>
      <w:r>
        <w:rPr>
          <w:color w:val="231F20"/>
          <w:spacing w:val="-8"/>
          <w:sz w:val="21"/>
        </w:rPr>
        <w:t xml:space="preserve"> </w:t>
      </w:r>
      <w:r>
        <w:rPr>
          <w:color w:val="231F20"/>
          <w:sz w:val="21"/>
        </w:rPr>
        <w:t>більш</w:t>
      </w:r>
      <w:r>
        <w:rPr>
          <w:color w:val="231F20"/>
          <w:spacing w:val="-7"/>
          <w:sz w:val="21"/>
        </w:rPr>
        <w:t xml:space="preserve"> </w:t>
      </w:r>
      <w:r>
        <w:rPr>
          <w:color w:val="231F20"/>
          <w:sz w:val="21"/>
        </w:rPr>
        <w:t>широкою</w:t>
      </w:r>
      <w:r>
        <w:rPr>
          <w:color w:val="231F20"/>
          <w:spacing w:val="-7"/>
          <w:sz w:val="21"/>
        </w:rPr>
        <w:t xml:space="preserve"> </w:t>
      </w:r>
      <w:r>
        <w:rPr>
          <w:color w:val="231F20"/>
          <w:sz w:val="21"/>
        </w:rPr>
        <w:t>–</w:t>
      </w:r>
      <w:r>
        <w:rPr>
          <w:color w:val="231F20"/>
          <w:spacing w:val="-7"/>
          <w:sz w:val="21"/>
        </w:rPr>
        <w:t xml:space="preserve"> </w:t>
      </w:r>
      <w:r>
        <w:rPr>
          <w:color w:val="231F20"/>
          <w:sz w:val="21"/>
        </w:rPr>
        <w:t>«службовець</w:t>
      </w:r>
      <w:r>
        <w:rPr>
          <w:color w:val="231F20"/>
          <w:spacing w:val="-7"/>
          <w:sz w:val="21"/>
        </w:rPr>
        <w:t xml:space="preserve"> </w:t>
      </w:r>
      <w:r>
        <w:rPr>
          <w:color w:val="231F20"/>
          <w:sz w:val="21"/>
        </w:rPr>
        <w:t>орга- нів місцевого самоврядування» чи «посадова особа органів місце- вого</w:t>
      </w:r>
      <w:r>
        <w:rPr>
          <w:color w:val="231F20"/>
          <w:spacing w:val="-1"/>
          <w:sz w:val="21"/>
        </w:rPr>
        <w:t xml:space="preserve"> </w:t>
      </w:r>
      <w:r>
        <w:rPr>
          <w:color w:val="231F20"/>
          <w:sz w:val="21"/>
        </w:rPr>
        <w:t>самоврядування»?</w:t>
      </w:r>
    </w:p>
    <w:p w14:paraId="78CD55F2" w14:textId="77777777" w:rsidR="00DE575E" w:rsidRDefault="00DE575E">
      <w:pPr>
        <w:pStyle w:val="BodyText"/>
        <w:spacing w:before="8"/>
      </w:pPr>
    </w:p>
    <w:p w14:paraId="786722B7" w14:textId="77777777" w:rsidR="00DE575E" w:rsidRDefault="002E7560">
      <w:pPr>
        <w:pStyle w:val="Heading5"/>
        <w:ind w:left="1778"/>
      </w:pPr>
      <w:r>
        <w:rPr>
          <w:color w:val="231F20"/>
        </w:rPr>
        <w:t>Література для поглибленого вивчення</w:t>
      </w:r>
    </w:p>
    <w:p w14:paraId="27ABC5C9" w14:textId="77777777" w:rsidR="00DE575E" w:rsidRDefault="00DE575E">
      <w:pPr>
        <w:pStyle w:val="BodyText"/>
        <w:rPr>
          <w:b/>
          <w:sz w:val="22"/>
        </w:rPr>
      </w:pPr>
    </w:p>
    <w:p w14:paraId="03CF7AE0" w14:textId="77777777" w:rsidR="00DE575E" w:rsidRDefault="002E7560">
      <w:pPr>
        <w:pStyle w:val="BodyText"/>
        <w:spacing w:line="249" w:lineRule="auto"/>
        <w:ind w:left="533" w:right="129" w:firstLine="283"/>
        <w:jc w:val="both"/>
      </w:pPr>
      <w:r>
        <w:rPr>
          <w:color w:val="231F20"/>
        </w:rPr>
        <w:t>1. Біла-Тіунова Л.Р. Публічна служба як адміністративно-правова категорія. Наукові праці Одеської національної юридичної академії. 2009. Т. 8. С. 142-154.</w:t>
      </w:r>
    </w:p>
    <w:p w14:paraId="49A9A875" w14:textId="77777777" w:rsidR="00DE575E" w:rsidRDefault="00DE575E">
      <w:pPr>
        <w:pStyle w:val="BodyText"/>
        <w:spacing w:before="1"/>
        <w:rPr>
          <w:sz w:val="13"/>
        </w:rPr>
      </w:pPr>
    </w:p>
    <w:p w14:paraId="0CB07C7B" w14:textId="77777777" w:rsidR="00DE575E" w:rsidRDefault="002E7560">
      <w:pPr>
        <w:spacing w:before="92"/>
        <w:ind w:left="533"/>
        <w:rPr>
          <w:rFonts w:ascii="Times New Roman"/>
          <w:sz w:val="20"/>
        </w:rPr>
      </w:pPr>
      <w:r>
        <w:rPr>
          <w:rFonts w:ascii="Times New Roman"/>
          <w:color w:val="231F20"/>
          <w:sz w:val="20"/>
        </w:rPr>
        <w:t>356</w:t>
      </w:r>
    </w:p>
    <w:p w14:paraId="69A42457" w14:textId="77777777" w:rsidR="00DE575E" w:rsidRDefault="00DE575E">
      <w:pPr>
        <w:rPr>
          <w:rFonts w:ascii="Times New Roman"/>
          <w:sz w:val="20"/>
        </w:rPr>
        <w:sectPr w:rsidR="00DE575E">
          <w:pgSz w:w="8510" w:h="12760"/>
          <w:pgMar w:top="660" w:right="720" w:bottom="280" w:left="600" w:header="720" w:footer="720" w:gutter="0"/>
          <w:cols w:space="720"/>
        </w:sectPr>
      </w:pPr>
    </w:p>
    <w:p w14:paraId="59131D82" w14:textId="77777777" w:rsidR="00DE575E" w:rsidRDefault="002E7560">
      <w:pPr>
        <w:spacing w:before="72"/>
        <w:ind w:left="2749"/>
        <w:rPr>
          <w:rFonts w:ascii="AdonisC" w:hAnsi="AdonisC"/>
          <w:i/>
          <w:sz w:val="18"/>
        </w:rPr>
      </w:pPr>
      <w:r>
        <w:rPr>
          <w:rFonts w:ascii="AdonisC" w:hAnsi="AdonisC"/>
          <w:i/>
          <w:color w:val="231F20"/>
          <w:sz w:val="18"/>
        </w:rPr>
        <w:t>Глава ІІ Особливе адміністративне право/ Книга І</w:t>
      </w:r>
    </w:p>
    <w:p w14:paraId="4D5FE063" w14:textId="77777777" w:rsidR="00DE575E" w:rsidRDefault="002E7560">
      <w:pPr>
        <w:spacing w:before="7" w:after="9"/>
        <w:ind w:left="4658"/>
        <w:rPr>
          <w:rFonts w:ascii="AdonisC" w:hAnsi="AdonisC"/>
          <w:i/>
          <w:sz w:val="18"/>
        </w:rPr>
      </w:pPr>
      <w:r>
        <w:rPr>
          <w:rFonts w:ascii="AdonisC" w:hAnsi="AdonisC"/>
          <w:i/>
          <w:color w:val="231F20"/>
          <w:sz w:val="18"/>
        </w:rPr>
        <w:t>Розділ 1. Публічна служба</w:t>
      </w:r>
    </w:p>
    <w:p w14:paraId="72301FD6" w14:textId="17616DC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6C86130" wp14:editId="596BCB41">
                <wp:extent cx="4140200" cy="6350"/>
                <wp:effectExtent l="0" t="0" r="12700" b="6350"/>
                <wp:docPr id="51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14" name="Line 5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225963" id="Group_x0020_5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Ury38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SVK8t/AgAAmAUAAA4A&#10;AAAAAAAAAAAAAAAALAIAAGRycy9lMm9Eb2MueG1sUEsBAi0AFAAGAAgAAAAhAEynsJDZAAAAAwEA&#10;AA8AAAAAAAAAAAAAAAAA1wQAAGRycy9kb3ducmV2LnhtbFBLBQYAAAAABAAEAPMAAADdBQAAAAA=&#10;">
                <v:line id="Line_x0020_5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l1ssYAAADcAAAADwAAAGRycy9kb3ducmV2LnhtbESP0WrCQBRE3wX/YblCX4purFUkuooI&#10;hdIHbY0fcM1ek+Du3ZhdTdqv7xYKPg4zc4ZZrjtrxJ0aXzlWMB4lIIhzpysuFByzt+EchA/IGo1j&#10;UvBNHtarfm+JqXYtf9H9EAoRIexTVFCGUKdS+rwki37kauLonV1jMUTZFFI32Ea4NfIlSWbSYsVx&#10;ocSatiXll8PNKsiuz8F87j9Mm+1PE3m67iY/t51ST4NuswARqAuP8H/7XSuYjl/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pdbLGAAAA3AAAAA8AAAAAAAAA&#10;AAAAAAAAoQIAAGRycy9kb3ducmV2LnhtbFBLBQYAAAAABAAEAPkAAACUAwAAAAA=&#10;" strokecolor="#231f20" strokeweight=".5pt"/>
                <w10:anchorlock/>
              </v:group>
            </w:pict>
          </mc:Fallback>
        </mc:AlternateContent>
      </w:r>
    </w:p>
    <w:p w14:paraId="3B4247D5" w14:textId="77777777" w:rsidR="00DE575E" w:rsidRDefault="00DE575E">
      <w:pPr>
        <w:pStyle w:val="BodyText"/>
        <w:spacing w:before="7"/>
        <w:rPr>
          <w:rFonts w:ascii="AdonisC"/>
          <w:i/>
          <w:sz w:val="19"/>
        </w:rPr>
      </w:pPr>
    </w:p>
    <w:p w14:paraId="78CA9037" w14:textId="77777777" w:rsidR="00DE575E" w:rsidRDefault="002E7560">
      <w:pPr>
        <w:pStyle w:val="ListParagraph"/>
        <w:numPr>
          <w:ilvl w:val="0"/>
          <w:numId w:val="109"/>
        </w:numPr>
        <w:tabs>
          <w:tab w:val="left" w:pos="818"/>
        </w:tabs>
        <w:spacing w:line="252" w:lineRule="auto"/>
        <w:ind w:right="410" w:firstLine="283"/>
        <w:jc w:val="both"/>
        <w:rPr>
          <w:sz w:val="21"/>
        </w:rPr>
      </w:pPr>
      <w:r>
        <w:rPr>
          <w:color w:val="231F20"/>
          <w:sz w:val="21"/>
        </w:rPr>
        <w:t xml:space="preserve">Голобутовський  </w:t>
      </w:r>
      <w:r>
        <w:rPr>
          <w:color w:val="231F20"/>
          <w:spacing w:val="-8"/>
          <w:sz w:val="21"/>
        </w:rPr>
        <w:t xml:space="preserve">Р.З.   </w:t>
      </w:r>
      <w:r>
        <w:rPr>
          <w:color w:val="231F20"/>
          <w:sz w:val="21"/>
        </w:rPr>
        <w:t xml:space="preserve">Поняття  та  ознаки  публічної  служби   в    органах    </w:t>
      </w:r>
      <w:r>
        <w:rPr>
          <w:color w:val="231F20"/>
          <w:spacing w:val="-3"/>
          <w:sz w:val="21"/>
        </w:rPr>
        <w:t xml:space="preserve">судової    </w:t>
      </w:r>
      <w:r>
        <w:rPr>
          <w:color w:val="231F20"/>
          <w:sz w:val="21"/>
        </w:rPr>
        <w:t xml:space="preserve">влади    </w:t>
      </w:r>
      <w:r>
        <w:rPr>
          <w:color w:val="231F20"/>
          <w:spacing w:val="-3"/>
          <w:sz w:val="21"/>
        </w:rPr>
        <w:t xml:space="preserve">України.    </w:t>
      </w:r>
      <w:r>
        <w:rPr>
          <w:i/>
          <w:color w:val="231F20"/>
          <w:sz w:val="21"/>
        </w:rPr>
        <w:t>Національний     юридич-  ний журнал: теорія і практика</w:t>
      </w:r>
      <w:r>
        <w:rPr>
          <w:color w:val="231F20"/>
          <w:sz w:val="21"/>
        </w:rPr>
        <w:t>. березень 2019. С. 32-34. URL</w:t>
      </w:r>
      <w:r>
        <w:rPr>
          <w:color w:val="231F20"/>
          <w:sz w:val="21"/>
        </w:rPr>
        <w:t xml:space="preserve">: </w:t>
      </w:r>
      <w:hyperlink r:id="rId43">
        <w:r>
          <w:rPr>
            <w:color w:val="231F20"/>
            <w:sz w:val="21"/>
          </w:rPr>
          <w:t>http://www.jurnaluljuridic.in.ua/archive/2019/2/part_1/7.pdf</w:t>
        </w:r>
      </w:hyperlink>
    </w:p>
    <w:p w14:paraId="0E0B8605" w14:textId="77777777" w:rsidR="00DE575E" w:rsidRDefault="002E7560">
      <w:pPr>
        <w:pStyle w:val="ListParagraph"/>
        <w:numPr>
          <w:ilvl w:val="0"/>
          <w:numId w:val="109"/>
        </w:numPr>
        <w:tabs>
          <w:tab w:val="left" w:pos="818"/>
        </w:tabs>
        <w:spacing w:before="2" w:line="252" w:lineRule="auto"/>
        <w:ind w:right="411" w:firstLine="283"/>
        <w:jc w:val="both"/>
        <w:rPr>
          <w:sz w:val="21"/>
        </w:rPr>
      </w:pPr>
      <w:r>
        <w:rPr>
          <w:color w:val="231F20"/>
          <w:sz w:val="21"/>
        </w:rPr>
        <w:t xml:space="preserve">Кирій С.Л. Служба в органах місцевого самоврядування як  вид публічної служби. </w:t>
      </w:r>
      <w:r>
        <w:rPr>
          <w:i/>
          <w:color w:val="231F20"/>
          <w:sz w:val="21"/>
        </w:rPr>
        <w:t>Державне будівництво</w:t>
      </w:r>
      <w:r>
        <w:rPr>
          <w:color w:val="231F20"/>
          <w:sz w:val="21"/>
        </w:rPr>
        <w:t>. 2018. № 2. U</w:t>
      </w:r>
      <w:r>
        <w:rPr>
          <w:color w:val="231F20"/>
          <w:sz w:val="21"/>
        </w:rPr>
        <w:t xml:space="preserve">RL: </w:t>
      </w:r>
      <w:hyperlink r:id="rId44">
        <w:r>
          <w:rPr>
            <w:color w:val="231F20"/>
            <w:sz w:val="21"/>
          </w:rPr>
          <w:t>http://www.kbuapa.kharkov.ua/e-book/db/2018-2/doc/3/3_2.pdf</w:t>
        </w:r>
      </w:hyperlink>
    </w:p>
    <w:p w14:paraId="6B2120FD" w14:textId="77777777" w:rsidR="00DE575E" w:rsidRDefault="002E7560">
      <w:pPr>
        <w:pStyle w:val="ListParagraph"/>
        <w:numPr>
          <w:ilvl w:val="0"/>
          <w:numId w:val="109"/>
        </w:numPr>
        <w:tabs>
          <w:tab w:val="left" w:pos="818"/>
        </w:tabs>
        <w:spacing w:line="252" w:lineRule="auto"/>
        <w:ind w:right="412" w:firstLine="283"/>
        <w:jc w:val="both"/>
        <w:rPr>
          <w:sz w:val="21"/>
        </w:rPr>
      </w:pPr>
      <w:r>
        <w:rPr>
          <w:color w:val="231F20"/>
          <w:sz w:val="21"/>
        </w:rPr>
        <w:t xml:space="preserve">Ківалов С.В., </w:t>
      </w:r>
      <w:r>
        <w:rPr>
          <w:color w:val="231F20"/>
          <w:spacing w:val="-3"/>
          <w:sz w:val="21"/>
        </w:rPr>
        <w:t xml:space="preserve">Біла-Тіунова </w:t>
      </w:r>
      <w:r>
        <w:rPr>
          <w:color w:val="231F20"/>
          <w:spacing w:val="-7"/>
          <w:sz w:val="21"/>
        </w:rPr>
        <w:t>Л.Р.</w:t>
      </w:r>
      <w:r>
        <w:rPr>
          <w:color w:val="231F20"/>
          <w:spacing w:val="31"/>
          <w:sz w:val="21"/>
        </w:rPr>
        <w:t xml:space="preserve"> </w:t>
      </w:r>
      <w:r>
        <w:rPr>
          <w:color w:val="231F20"/>
          <w:sz w:val="21"/>
        </w:rPr>
        <w:t xml:space="preserve">Публічна служба в </w:t>
      </w:r>
      <w:r>
        <w:rPr>
          <w:color w:val="231F20"/>
          <w:spacing w:val="-3"/>
          <w:sz w:val="21"/>
        </w:rPr>
        <w:t xml:space="preserve">Україні: </w:t>
      </w:r>
      <w:r>
        <w:rPr>
          <w:color w:val="231F20"/>
          <w:sz w:val="21"/>
        </w:rPr>
        <w:t>підручник. 2-ге вид. Одеса: Фенікс, 2011. 688</w:t>
      </w:r>
      <w:r>
        <w:rPr>
          <w:color w:val="231F20"/>
          <w:spacing w:val="-5"/>
          <w:sz w:val="21"/>
        </w:rPr>
        <w:t xml:space="preserve"> </w:t>
      </w:r>
      <w:r>
        <w:rPr>
          <w:color w:val="231F20"/>
          <w:sz w:val="21"/>
        </w:rPr>
        <w:t>с.</w:t>
      </w:r>
    </w:p>
    <w:p w14:paraId="70FB8C6F" w14:textId="77777777" w:rsidR="00DE575E" w:rsidRDefault="002E7560">
      <w:pPr>
        <w:pStyle w:val="ListParagraph"/>
        <w:numPr>
          <w:ilvl w:val="0"/>
          <w:numId w:val="109"/>
        </w:numPr>
        <w:tabs>
          <w:tab w:val="left" w:pos="818"/>
        </w:tabs>
        <w:spacing w:line="252" w:lineRule="auto"/>
        <w:ind w:right="410" w:firstLine="283"/>
        <w:jc w:val="both"/>
        <w:rPr>
          <w:sz w:val="21"/>
        </w:rPr>
      </w:pPr>
      <w:r>
        <w:rPr>
          <w:color w:val="231F20"/>
          <w:spacing w:val="-3"/>
          <w:sz w:val="21"/>
        </w:rPr>
        <w:t>Кодекс</w:t>
      </w:r>
      <w:r>
        <w:rPr>
          <w:color w:val="231F20"/>
          <w:spacing w:val="-15"/>
          <w:sz w:val="21"/>
        </w:rPr>
        <w:t xml:space="preserve"> </w:t>
      </w:r>
      <w:r>
        <w:rPr>
          <w:color w:val="231F20"/>
          <w:sz w:val="21"/>
        </w:rPr>
        <w:t>адміністративного</w:t>
      </w:r>
      <w:r>
        <w:rPr>
          <w:color w:val="231F20"/>
          <w:spacing w:val="-15"/>
          <w:sz w:val="21"/>
        </w:rPr>
        <w:t xml:space="preserve"> </w:t>
      </w:r>
      <w:r>
        <w:rPr>
          <w:color w:val="231F20"/>
          <w:sz w:val="21"/>
        </w:rPr>
        <w:t>судочинства</w:t>
      </w:r>
      <w:r>
        <w:rPr>
          <w:color w:val="231F20"/>
          <w:spacing w:val="-15"/>
          <w:sz w:val="21"/>
        </w:rPr>
        <w:t xml:space="preserve"> </w:t>
      </w:r>
      <w:r>
        <w:rPr>
          <w:color w:val="231F20"/>
          <w:spacing w:val="-3"/>
          <w:sz w:val="21"/>
        </w:rPr>
        <w:t>України:</w:t>
      </w:r>
      <w:r>
        <w:rPr>
          <w:color w:val="231F20"/>
          <w:spacing w:val="-15"/>
          <w:sz w:val="21"/>
        </w:rPr>
        <w:t xml:space="preserve"> </w:t>
      </w:r>
      <w:r>
        <w:rPr>
          <w:color w:val="231F20"/>
          <w:sz w:val="21"/>
        </w:rPr>
        <w:t>Закон</w:t>
      </w:r>
      <w:r>
        <w:rPr>
          <w:color w:val="231F20"/>
          <w:spacing w:val="-15"/>
          <w:sz w:val="21"/>
        </w:rPr>
        <w:t xml:space="preserve"> </w:t>
      </w:r>
      <w:r>
        <w:rPr>
          <w:color w:val="231F20"/>
          <w:spacing w:val="-3"/>
          <w:sz w:val="21"/>
        </w:rPr>
        <w:t xml:space="preserve">України </w:t>
      </w:r>
      <w:r>
        <w:rPr>
          <w:color w:val="231F20"/>
          <w:sz w:val="21"/>
        </w:rPr>
        <w:t xml:space="preserve">від 06.07.2005 р. № </w:t>
      </w:r>
      <w:r>
        <w:rPr>
          <w:color w:val="231F20"/>
          <w:spacing w:val="-3"/>
          <w:sz w:val="21"/>
        </w:rPr>
        <w:t xml:space="preserve">2747-IV. </w:t>
      </w:r>
      <w:r>
        <w:rPr>
          <w:color w:val="231F20"/>
          <w:sz w:val="21"/>
        </w:rPr>
        <w:t>URL: https://zakon.rada.gov.ua/laws/ show/2747-15</w:t>
      </w:r>
    </w:p>
    <w:p w14:paraId="7D476858" w14:textId="77777777" w:rsidR="00DE575E" w:rsidRDefault="002E7560">
      <w:pPr>
        <w:pStyle w:val="ListParagraph"/>
        <w:numPr>
          <w:ilvl w:val="0"/>
          <w:numId w:val="109"/>
        </w:numPr>
        <w:tabs>
          <w:tab w:val="left" w:pos="818"/>
        </w:tabs>
        <w:spacing w:before="2" w:line="252" w:lineRule="auto"/>
        <w:ind w:right="411" w:firstLine="283"/>
        <w:jc w:val="both"/>
        <w:rPr>
          <w:sz w:val="21"/>
        </w:rPr>
      </w:pPr>
      <w:r>
        <w:rPr>
          <w:color w:val="231F20"/>
          <w:sz w:val="21"/>
        </w:rPr>
        <w:t xml:space="preserve">Науково-практичний коментар до Закону </w:t>
      </w:r>
      <w:r>
        <w:rPr>
          <w:color w:val="231F20"/>
          <w:spacing w:val="-3"/>
          <w:sz w:val="21"/>
        </w:rPr>
        <w:t xml:space="preserve">України </w:t>
      </w:r>
      <w:r>
        <w:rPr>
          <w:color w:val="231F20"/>
          <w:sz w:val="21"/>
        </w:rPr>
        <w:t xml:space="preserve">«Про державну службу» / ред. кол.: </w:t>
      </w:r>
      <w:r>
        <w:rPr>
          <w:color w:val="231F20"/>
          <w:spacing w:val="-3"/>
          <w:sz w:val="21"/>
        </w:rPr>
        <w:t xml:space="preserve">К.О. </w:t>
      </w:r>
      <w:r>
        <w:rPr>
          <w:color w:val="231F20"/>
          <w:sz w:val="21"/>
        </w:rPr>
        <w:t>Ващенко, І.Б. Коліушко, В.П. Ти</w:t>
      </w:r>
      <w:r>
        <w:rPr>
          <w:color w:val="231F20"/>
          <w:sz w:val="21"/>
        </w:rPr>
        <w:t>мо- щук, В.А. Дерець (відп. ред.). К.: ФОП Москаленко О.М., 2017. 796</w:t>
      </w:r>
      <w:r>
        <w:rPr>
          <w:color w:val="231F20"/>
          <w:spacing w:val="-18"/>
          <w:sz w:val="21"/>
        </w:rPr>
        <w:t xml:space="preserve"> </w:t>
      </w:r>
      <w:r>
        <w:rPr>
          <w:color w:val="231F20"/>
          <w:sz w:val="21"/>
        </w:rPr>
        <w:t>с.</w:t>
      </w:r>
    </w:p>
    <w:p w14:paraId="377AF912" w14:textId="77777777" w:rsidR="00DE575E" w:rsidRDefault="002E7560">
      <w:pPr>
        <w:pStyle w:val="ListParagraph"/>
        <w:numPr>
          <w:ilvl w:val="0"/>
          <w:numId w:val="109"/>
        </w:numPr>
        <w:tabs>
          <w:tab w:val="left" w:pos="818"/>
        </w:tabs>
        <w:ind w:firstLine="283"/>
        <w:rPr>
          <w:sz w:val="21"/>
        </w:rPr>
      </w:pPr>
      <w:r>
        <w:rPr>
          <w:color w:val="231F20"/>
          <w:sz w:val="21"/>
        </w:rPr>
        <w:t xml:space="preserve">Попова </w:t>
      </w:r>
      <w:r>
        <w:rPr>
          <w:color w:val="231F20"/>
          <w:spacing w:val="-3"/>
          <w:sz w:val="21"/>
        </w:rPr>
        <w:t xml:space="preserve">О.В. </w:t>
      </w:r>
      <w:r>
        <w:rPr>
          <w:color w:val="231F20"/>
          <w:sz w:val="21"/>
        </w:rPr>
        <w:t>Поняття та ознаки публічної служби в</w:t>
      </w:r>
      <w:r>
        <w:rPr>
          <w:color w:val="231F20"/>
          <w:spacing w:val="15"/>
          <w:sz w:val="21"/>
        </w:rPr>
        <w:t xml:space="preserve"> </w:t>
      </w:r>
      <w:r>
        <w:rPr>
          <w:color w:val="231F20"/>
          <w:spacing w:val="-3"/>
          <w:sz w:val="21"/>
        </w:rPr>
        <w:t>Україні.</w:t>
      </w:r>
    </w:p>
    <w:p w14:paraId="03B2002F" w14:textId="77777777" w:rsidR="00DE575E" w:rsidRDefault="002E7560">
      <w:pPr>
        <w:spacing w:before="13"/>
        <w:ind w:left="250"/>
        <w:rPr>
          <w:sz w:val="21"/>
        </w:rPr>
      </w:pPr>
      <w:r>
        <w:rPr>
          <w:i/>
          <w:color w:val="231F20"/>
          <w:sz w:val="21"/>
        </w:rPr>
        <w:t>Форум права</w:t>
      </w:r>
      <w:r>
        <w:rPr>
          <w:color w:val="231F20"/>
          <w:sz w:val="21"/>
        </w:rPr>
        <w:t>. 2011. № 4. С. 583-587.</w:t>
      </w:r>
    </w:p>
    <w:p w14:paraId="5EBDB9FA" w14:textId="77777777" w:rsidR="00DE575E" w:rsidRDefault="002E7560">
      <w:pPr>
        <w:pStyle w:val="ListParagraph"/>
        <w:numPr>
          <w:ilvl w:val="0"/>
          <w:numId w:val="109"/>
        </w:numPr>
        <w:tabs>
          <w:tab w:val="left" w:pos="818"/>
        </w:tabs>
        <w:spacing w:before="13"/>
        <w:ind w:firstLine="283"/>
        <w:rPr>
          <w:sz w:val="21"/>
        </w:rPr>
      </w:pPr>
      <w:r>
        <w:rPr>
          <w:color w:val="231F20"/>
          <w:sz w:val="21"/>
        </w:rPr>
        <w:t xml:space="preserve">Про державну службу : Закон </w:t>
      </w:r>
      <w:r>
        <w:rPr>
          <w:color w:val="231F20"/>
          <w:spacing w:val="-3"/>
          <w:sz w:val="21"/>
        </w:rPr>
        <w:t xml:space="preserve">України </w:t>
      </w:r>
      <w:r>
        <w:rPr>
          <w:color w:val="231F20"/>
          <w:sz w:val="21"/>
        </w:rPr>
        <w:t>від 10.12.2015</w:t>
      </w:r>
      <w:r>
        <w:rPr>
          <w:color w:val="231F20"/>
          <w:spacing w:val="30"/>
          <w:sz w:val="21"/>
        </w:rPr>
        <w:t xml:space="preserve"> </w:t>
      </w:r>
      <w:r>
        <w:rPr>
          <w:color w:val="231F20"/>
          <w:sz w:val="21"/>
        </w:rPr>
        <w:t>р.</w:t>
      </w:r>
    </w:p>
    <w:p w14:paraId="2F94A0C9" w14:textId="77777777" w:rsidR="00DE575E" w:rsidRDefault="002E7560">
      <w:pPr>
        <w:pStyle w:val="BodyText"/>
        <w:spacing w:before="12" w:line="252" w:lineRule="auto"/>
        <w:ind w:left="250" w:right="411"/>
      </w:pPr>
      <w:r>
        <w:rPr>
          <w:color w:val="231F20"/>
        </w:rPr>
        <w:t>№ 889-VIII / Верховна Рада України. URL: https://zakon.rada.gov.ua/ laws/show/889-19</w:t>
      </w:r>
    </w:p>
    <w:p w14:paraId="73E9073F" w14:textId="77777777" w:rsidR="00DE575E" w:rsidRDefault="002E7560">
      <w:pPr>
        <w:pStyle w:val="ListParagraph"/>
        <w:numPr>
          <w:ilvl w:val="0"/>
          <w:numId w:val="109"/>
        </w:numPr>
        <w:tabs>
          <w:tab w:val="left" w:pos="818"/>
        </w:tabs>
        <w:spacing w:line="252" w:lineRule="auto"/>
        <w:ind w:right="411" w:firstLine="283"/>
        <w:jc w:val="both"/>
        <w:rPr>
          <w:sz w:val="21"/>
        </w:rPr>
      </w:pPr>
      <w:r>
        <w:rPr>
          <w:color w:val="231F20"/>
          <w:sz w:val="21"/>
        </w:rPr>
        <w:t xml:space="preserve">Про службу в органах місцевого самоврядування: Закон </w:t>
      </w:r>
      <w:r>
        <w:rPr>
          <w:color w:val="231F20"/>
          <w:spacing w:val="-3"/>
          <w:sz w:val="21"/>
        </w:rPr>
        <w:t xml:space="preserve">України </w:t>
      </w:r>
      <w:r>
        <w:rPr>
          <w:color w:val="231F20"/>
          <w:sz w:val="21"/>
        </w:rPr>
        <w:t xml:space="preserve">від 07.06.2001 р. № 2493-III / Верховна Рада </w:t>
      </w:r>
      <w:r>
        <w:rPr>
          <w:color w:val="231F20"/>
          <w:spacing w:val="-3"/>
          <w:sz w:val="21"/>
        </w:rPr>
        <w:t xml:space="preserve">України. </w:t>
      </w:r>
      <w:r>
        <w:rPr>
          <w:color w:val="231F20"/>
          <w:sz w:val="21"/>
        </w:rPr>
        <w:t>URL: https://zakon.rada.gov.ua/laws/show/2493-14</w:t>
      </w:r>
    </w:p>
    <w:p w14:paraId="4DC7FFFC" w14:textId="77777777" w:rsidR="00DE575E" w:rsidRDefault="002E7560">
      <w:pPr>
        <w:pStyle w:val="BodyText"/>
        <w:spacing w:before="2" w:line="252" w:lineRule="auto"/>
        <w:ind w:left="250" w:right="410" w:firstLine="283"/>
        <w:jc w:val="both"/>
      </w:pPr>
      <w:r>
        <w:rPr>
          <w:color w:val="231F20"/>
        </w:rPr>
        <w:t>10.Публічна  служба  і  адміністративне  судочинство:  здобутки   і виклики: Збірник матеріалів І Міжнародної науково-практичної конференції (м. Київ, 5–6 липня 2018 року). К.: Дакор, 2018. 494</w:t>
      </w:r>
      <w:r>
        <w:rPr>
          <w:color w:val="231F20"/>
          <w:spacing w:val="-10"/>
        </w:rPr>
        <w:t xml:space="preserve"> </w:t>
      </w:r>
      <w:r>
        <w:rPr>
          <w:color w:val="231F20"/>
        </w:rPr>
        <w:t>с.</w:t>
      </w:r>
    </w:p>
    <w:p w14:paraId="0CB44961" w14:textId="77777777" w:rsidR="00DE575E" w:rsidRDefault="002E7560">
      <w:pPr>
        <w:spacing w:before="1" w:line="252" w:lineRule="auto"/>
        <w:ind w:left="250" w:right="411" w:firstLine="283"/>
        <w:jc w:val="both"/>
        <w:rPr>
          <w:sz w:val="21"/>
        </w:rPr>
      </w:pPr>
      <w:r>
        <w:rPr>
          <w:color w:val="231F20"/>
          <w:sz w:val="21"/>
        </w:rPr>
        <w:t xml:space="preserve">11.Янюк Н. Актуальні проблеми формування публічної служби  </w:t>
      </w:r>
      <w:r>
        <w:rPr>
          <w:color w:val="231F20"/>
          <w:sz w:val="21"/>
        </w:rPr>
        <w:t xml:space="preserve">  в </w:t>
      </w:r>
      <w:r>
        <w:rPr>
          <w:color w:val="231F20"/>
          <w:spacing w:val="-3"/>
          <w:sz w:val="21"/>
        </w:rPr>
        <w:t xml:space="preserve">Україні. </w:t>
      </w:r>
      <w:r>
        <w:rPr>
          <w:i/>
          <w:color w:val="231F20"/>
          <w:sz w:val="21"/>
        </w:rPr>
        <w:t>Вісник Львівського університету. Серія «Юридична»</w:t>
      </w:r>
      <w:r>
        <w:rPr>
          <w:color w:val="231F20"/>
          <w:sz w:val="21"/>
        </w:rPr>
        <w:t>. 2010. Вип. 51. С.</w:t>
      </w:r>
      <w:r>
        <w:rPr>
          <w:color w:val="231F20"/>
          <w:spacing w:val="-2"/>
          <w:sz w:val="21"/>
        </w:rPr>
        <w:t xml:space="preserve"> </w:t>
      </w:r>
      <w:r>
        <w:rPr>
          <w:color w:val="231F20"/>
          <w:sz w:val="21"/>
        </w:rPr>
        <w:t>162-167.</w:t>
      </w:r>
    </w:p>
    <w:p w14:paraId="7B6FD81D" w14:textId="77777777" w:rsidR="00DE575E" w:rsidRDefault="00DE575E">
      <w:pPr>
        <w:pStyle w:val="BodyText"/>
        <w:rPr>
          <w:sz w:val="20"/>
        </w:rPr>
      </w:pPr>
    </w:p>
    <w:p w14:paraId="0CC2D47D" w14:textId="77777777" w:rsidR="00DE575E" w:rsidRDefault="00DE575E">
      <w:pPr>
        <w:pStyle w:val="BodyText"/>
        <w:rPr>
          <w:sz w:val="20"/>
        </w:rPr>
      </w:pPr>
    </w:p>
    <w:p w14:paraId="295E6DF1" w14:textId="77777777" w:rsidR="00DE575E" w:rsidRDefault="00DE575E">
      <w:pPr>
        <w:pStyle w:val="BodyText"/>
        <w:rPr>
          <w:sz w:val="20"/>
        </w:rPr>
      </w:pPr>
    </w:p>
    <w:p w14:paraId="26AC88AD" w14:textId="77777777" w:rsidR="00DE575E" w:rsidRDefault="00DE575E">
      <w:pPr>
        <w:pStyle w:val="BodyText"/>
        <w:rPr>
          <w:sz w:val="20"/>
        </w:rPr>
      </w:pPr>
    </w:p>
    <w:p w14:paraId="44040B52" w14:textId="77777777" w:rsidR="00DE575E" w:rsidRDefault="00DE575E">
      <w:pPr>
        <w:pStyle w:val="BodyText"/>
        <w:rPr>
          <w:sz w:val="20"/>
        </w:rPr>
      </w:pPr>
    </w:p>
    <w:p w14:paraId="6A3324A6" w14:textId="77777777" w:rsidR="00DE575E" w:rsidRDefault="00DE575E">
      <w:pPr>
        <w:pStyle w:val="BodyText"/>
        <w:rPr>
          <w:sz w:val="20"/>
        </w:rPr>
      </w:pPr>
    </w:p>
    <w:p w14:paraId="4711E8AB" w14:textId="77777777" w:rsidR="00DE575E" w:rsidRDefault="00DE575E">
      <w:pPr>
        <w:pStyle w:val="BodyText"/>
        <w:rPr>
          <w:sz w:val="20"/>
        </w:rPr>
      </w:pPr>
    </w:p>
    <w:p w14:paraId="1517C556" w14:textId="77777777" w:rsidR="00DE575E" w:rsidRDefault="00DE575E">
      <w:pPr>
        <w:pStyle w:val="BodyText"/>
        <w:rPr>
          <w:sz w:val="20"/>
        </w:rPr>
      </w:pPr>
    </w:p>
    <w:p w14:paraId="4BFA2638" w14:textId="77777777" w:rsidR="00DE575E" w:rsidRDefault="00DE575E">
      <w:pPr>
        <w:pStyle w:val="BodyText"/>
        <w:rPr>
          <w:sz w:val="20"/>
        </w:rPr>
      </w:pPr>
    </w:p>
    <w:p w14:paraId="5699121A" w14:textId="77777777" w:rsidR="00DE575E" w:rsidRDefault="00DE575E">
      <w:pPr>
        <w:pStyle w:val="BodyText"/>
        <w:rPr>
          <w:sz w:val="20"/>
        </w:rPr>
      </w:pPr>
    </w:p>
    <w:p w14:paraId="49584E87" w14:textId="77777777" w:rsidR="00DE575E" w:rsidRDefault="00DE575E">
      <w:pPr>
        <w:pStyle w:val="BodyText"/>
        <w:rPr>
          <w:sz w:val="20"/>
        </w:rPr>
      </w:pPr>
    </w:p>
    <w:p w14:paraId="5BC97E23" w14:textId="77777777" w:rsidR="00DE575E" w:rsidRDefault="00DE575E">
      <w:pPr>
        <w:pStyle w:val="BodyText"/>
        <w:spacing w:before="3"/>
      </w:pPr>
    </w:p>
    <w:p w14:paraId="5BF8F089" w14:textId="77777777" w:rsidR="00DE575E" w:rsidRDefault="002E7560">
      <w:pPr>
        <w:ind w:right="411"/>
        <w:jc w:val="right"/>
        <w:rPr>
          <w:rFonts w:ascii="Times New Roman"/>
          <w:sz w:val="20"/>
        </w:rPr>
      </w:pPr>
      <w:r>
        <w:rPr>
          <w:rFonts w:ascii="Times New Roman"/>
          <w:color w:val="231F20"/>
          <w:w w:val="90"/>
          <w:sz w:val="20"/>
        </w:rPr>
        <w:t>357</w:t>
      </w:r>
    </w:p>
    <w:p w14:paraId="7830A03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C7F661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E7DB51D" w14:textId="1CB0BA1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F0385BE" wp14:editId="1187AAD0">
                <wp:extent cx="4140200" cy="6350"/>
                <wp:effectExtent l="0" t="0" r="12700" b="6350"/>
                <wp:docPr id="511"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12" name="Line 5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3EFFE3" id="Group_x0020_5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KJnV/AgAAmAUAAA4A&#10;AAAAAAAAAAAAAAAALAIAAGRycy9lMm9Eb2MueG1sUEsBAi0AFAAGAAgAAAAhAEynsJDZAAAAAwEA&#10;AA8AAAAAAAAAAAAAAAAA1wQAAGRycy9kb3ducmV2LnhtbFBLBQYAAAAABAAEAPMAAADdBQAAAAA=&#10;">
                <v:line id="Line_x0020_5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xIXccAAADcAAAADwAAAGRycy9kb3ducmV2LnhtbESP0WrCQBRE3wv9h+UWfJG6UWkpqZsg&#10;giA+aGv6AdfsbRK6ezdmVxP9+m5B6OMwM2eYRT5YIy7U+caxgukkAUFcOt1wpeCrWD+/gfABWaNx&#10;TAqu5CHPHh8WmGrX8yddDqESEcI+RQV1CG0qpS9rsugnriWO3rfrLIYou0rqDvsIt0bOkuRVWmw4&#10;LtTY0qqm8udwtgqK0ziYj/3W9MX+OJfH025+O++UGj0Ny3cQgYbwH763N1rBy3QG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TEhdxwAAANwAAAAPAAAAAAAA&#10;AAAAAAAAAKECAABkcnMvZG93bnJldi54bWxQSwUGAAAAAAQABAD5AAAAlQMAAAAA&#10;" strokecolor="#231f20" strokeweight=".5pt"/>
                <w10:anchorlock/>
              </v:group>
            </w:pict>
          </mc:Fallback>
        </mc:AlternateContent>
      </w:r>
    </w:p>
    <w:p w14:paraId="7799EB21" w14:textId="77777777" w:rsidR="00DE575E" w:rsidRDefault="00DE575E">
      <w:pPr>
        <w:pStyle w:val="BodyText"/>
        <w:rPr>
          <w:rFonts w:ascii="AdonisC"/>
          <w:i/>
          <w:sz w:val="18"/>
        </w:rPr>
      </w:pPr>
    </w:p>
    <w:p w14:paraId="66DE49C5" w14:textId="77777777" w:rsidR="00DE575E" w:rsidRDefault="002E7560">
      <w:pPr>
        <w:spacing w:before="1" w:line="300" w:lineRule="exact"/>
        <w:ind w:left="695" w:right="292"/>
        <w:jc w:val="center"/>
        <w:rPr>
          <w:b/>
          <w:sz w:val="28"/>
        </w:rPr>
      </w:pPr>
      <w:r>
        <w:rPr>
          <w:b/>
          <w:color w:val="231F20"/>
          <w:sz w:val="28"/>
        </w:rPr>
        <w:t>Розділ 2</w:t>
      </w:r>
    </w:p>
    <w:p w14:paraId="78C10346" w14:textId="77777777" w:rsidR="00DE575E" w:rsidRDefault="002E7560">
      <w:pPr>
        <w:ind w:left="608"/>
        <w:rPr>
          <w:b/>
          <w:sz w:val="16"/>
        </w:rPr>
      </w:pPr>
      <w:r>
        <w:rPr>
          <w:b/>
          <w:color w:val="231F20"/>
          <w:sz w:val="28"/>
        </w:rPr>
        <w:t>ПРАВОВИЙ СТАТУС ДЕРЖАВНОГО СЛУЖБОВЦЯ</w:t>
      </w:r>
      <w:r>
        <w:rPr>
          <w:b/>
          <w:color w:val="231F20"/>
          <w:position w:val="9"/>
          <w:sz w:val="16"/>
        </w:rPr>
        <w:t>1</w:t>
      </w:r>
    </w:p>
    <w:p w14:paraId="1FA7862C" w14:textId="77777777" w:rsidR="00DE575E" w:rsidRDefault="00DE575E">
      <w:pPr>
        <w:pStyle w:val="BodyText"/>
        <w:rPr>
          <w:b/>
          <w:sz w:val="43"/>
        </w:rPr>
      </w:pPr>
    </w:p>
    <w:p w14:paraId="78D315A1" w14:textId="77777777" w:rsidR="00DE575E" w:rsidRDefault="002E7560">
      <w:pPr>
        <w:pStyle w:val="Heading4"/>
        <w:ind w:left="1638" w:right="751" w:firstLine="209"/>
      </w:pPr>
      <w:r>
        <w:rPr>
          <w:color w:val="231F20"/>
        </w:rPr>
        <w:t>2.1. Поняття державного службовця. Посади державної служби та їх категорії</w:t>
      </w:r>
    </w:p>
    <w:p w14:paraId="54F1C4E9" w14:textId="77777777" w:rsidR="00DE575E" w:rsidRDefault="00DE575E">
      <w:pPr>
        <w:pStyle w:val="BodyText"/>
        <w:rPr>
          <w:b/>
          <w:sz w:val="26"/>
        </w:rPr>
      </w:pPr>
    </w:p>
    <w:p w14:paraId="5A1C0F8F" w14:textId="77777777" w:rsidR="00DE575E" w:rsidRDefault="002E7560">
      <w:pPr>
        <w:pStyle w:val="BodyText"/>
        <w:spacing w:before="224" w:line="252" w:lineRule="auto"/>
        <w:ind w:left="533" w:right="125" w:firstLine="283"/>
        <w:jc w:val="both"/>
      </w:pPr>
      <w:r>
        <w:rPr>
          <w:color w:val="231F20"/>
        </w:rPr>
        <w:t xml:space="preserve">Поняття «державний службовець» може трактуватися з позиції широкого та вузького підходу. У рамках </w:t>
      </w:r>
      <w:r>
        <w:rPr>
          <w:i/>
          <w:color w:val="231F20"/>
        </w:rPr>
        <w:t xml:space="preserve">широкого підходу </w:t>
      </w:r>
      <w:r>
        <w:rPr>
          <w:color w:val="231F20"/>
        </w:rPr>
        <w:t xml:space="preserve">держав- ний службовець – це професійний працівник будь-якого держав- ного органу, організації, установи чи підприємства. У рамках </w:t>
      </w:r>
      <w:r>
        <w:rPr>
          <w:i/>
          <w:color w:val="231F20"/>
        </w:rPr>
        <w:t xml:space="preserve">вузь- кого </w:t>
      </w:r>
      <w:r>
        <w:rPr>
          <w:i/>
          <w:color w:val="231F20"/>
        </w:rPr>
        <w:t xml:space="preserve">підходу </w:t>
      </w:r>
      <w:r>
        <w:rPr>
          <w:color w:val="231F20"/>
        </w:rPr>
        <w:t>– це професійний працівник органів державної влади, який займає посаду державної служби.</w:t>
      </w:r>
    </w:p>
    <w:p w14:paraId="018DD6E4" w14:textId="77777777" w:rsidR="00DE575E" w:rsidRDefault="002E7560">
      <w:pPr>
        <w:pStyle w:val="BodyText"/>
        <w:spacing w:before="3" w:line="252" w:lineRule="auto"/>
        <w:ind w:left="533" w:right="124" w:firstLine="283"/>
        <w:jc w:val="both"/>
      </w:pPr>
      <w:r>
        <w:rPr>
          <w:color w:val="231F20"/>
        </w:rPr>
        <w:t xml:space="preserve">На законодавчому рівні визначення поняття «державний служ- бовець» закріплено в ч. 2 </w:t>
      </w:r>
      <w:r>
        <w:rPr>
          <w:color w:val="231F20"/>
          <w:spacing w:val="-5"/>
        </w:rPr>
        <w:t xml:space="preserve">ст. </w:t>
      </w:r>
      <w:r>
        <w:rPr>
          <w:color w:val="231F20"/>
        </w:rPr>
        <w:t xml:space="preserve">1 Закону України «Про державну службу»: </w:t>
      </w:r>
      <w:r>
        <w:rPr>
          <w:b/>
          <w:i/>
          <w:color w:val="231F20"/>
        </w:rPr>
        <w:t xml:space="preserve">державний службовець </w:t>
      </w:r>
      <w:r>
        <w:rPr>
          <w:color w:val="231F20"/>
        </w:rPr>
        <w:t>– це громадянин України, який займає посаду державної служби в органі державної влади, іншому державному органі, його апараті (секретаріаті), одержує заробітну плату за рахунок коштів державного бюджету та здійснює вста- новлені  для  цієї  посади  повнова</w:t>
      </w:r>
      <w:r>
        <w:rPr>
          <w:color w:val="231F20"/>
        </w:rPr>
        <w:t>ження,  безпосередньо  пов’язані  з виконанням завдань і функцій такого державного органу, а також дотримується принципів державної</w:t>
      </w:r>
      <w:r>
        <w:rPr>
          <w:color w:val="231F20"/>
          <w:spacing w:val="15"/>
        </w:rPr>
        <w:t xml:space="preserve"> </w:t>
      </w:r>
      <w:r>
        <w:rPr>
          <w:color w:val="231F20"/>
        </w:rPr>
        <w:t>служби</w:t>
      </w:r>
      <w:r>
        <w:rPr>
          <w:color w:val="231F20"/>
          <w:position w:val="7"/>
          <w:sz w:val="12"/>
        </w:rPr>
        <w:t>2</w:t>
      </w:r>
      <w:r>
        <w:rPr>
          <w:color w:val="231F20"/>
        </w:rPr>
        <w:t>.</w:t>
      </w:r>
    </w:p>
    <w:p w14:paraId="3979988F" w14:textId="77777777" w:rsidR="00DE575E" w:rsidRDefault="002E7560">
      <w:pPr>
        <w:pStyle w:val="BodyText"/>
        <w:spacing w:before="4" w:line="252" w:lineRule="auto"/>
        <w:ind w:left="533" w:right="125" w:firstLine="283"/>
        <w:jc w:val="both"/>
      </w:pPr>
      <w:r>
        <w:rPr>
          <w:i/>
          <w:color w:val="231F20"/>
        </w:rPr>
        <w:t>Детермінантними ознаками</w:t>
      </w:r>
      <w:r>
        <w:rPr>
          <w:color w:val="231F20"/>
        </w:rPr>
        <w:t>, якими має володіти державний службовець,  є  такі:  громадянство  України;  здійснення  п</w:t>
      </w:r>
      <w:r>
        <w:rPr>
          <w:color w:val="231F20"/>
        </w:rPr>
        <w:t>убліч- ної, професійної, політично неупередженої діяльності, яку пов’я- зано з практичним виконанням завдань і функцій держави; замі- щення посади державної служби в органі державної влади, іншому державному органі, його апараті (секретаріаті); отримання з</w:t>
      </w:r>
      <w:r>
        <w:rPr>
          <w:color w:val="231F20"/>
        </w:rPr>
        <w:t>аро- бітної плати за рахунок коштів державного</w:t>
      </w:r>
      <w:r>
        <w:rPr>
          <w:color w:val="231F20"/>
          <w:spacing w:val="30"/>
        </w:rPr>
        <w:t xml:space="preserve"> </w:t>
      </w:r>
      <w:r>
        <w:rPr>
          <w:color w:val="231F20"/>
        </w:rPr>
        <w:t>бюджету.</w:t>
      </w:r>
    </w:p>
    <w:p w14:paraId="08DE747B" w14:textId="77777777" w:rsidR="00DE575E" w:rsidRDefault="002E7560">
      <w:pPr>
        <w:pStyle w:val="BodyText"/>
        <w:spacing w:before="4" w:line="252" w:lineRule="auto"/>
        <w:ind w:left="533" w:right="125" w:firstLine="283"/>
        <w:jc w:val="both"/>
      </w:pPr>
      <w:r>
        <w:rPr>
          <w:color w:val="231F20"/>
        </w:rPr>
        <w:t>Державних службовців можна класифікувати залежно від: органу влади, у якому вони працюють; характеру державної служби; характеру повноважень, що визначають роль і ступінь участі державних службовців у</w:t>
      </w:r>
      <w:r>
        <w:rPr>
          <w:color w:val="231F20"/>
        </w:rPr>
        <w:t xml:space="preserve"> здійсненні державних владних функцій.</w:t>
      </w:r>
    </w:p>
    <w:p w14:paraId="5927390C" w14:textId="77777777" w:rsidR="00DE575E" w:rsidRDefault="00DE575E">
      <w:pPr>
        <w:pStyle w:val="BodyText"/>
        <w:rPr>
          <w:sz w:val="20"/>
        </w:rPr>
      </w:pPr>
    </w:p>
    <w:p w14:paraId="50C45B33" w14:textId="13D45A2A" w:rsidR="00DE575E" w:rsidRDefault="002E7560">
      <w:pPr>
        <w:pStyle w:val="BodyText"/>
        <w:spacing w:before="10"/>
        <w:rPr>
          <w:sz w:val="10"/>
        </w:rPr>
      </w:pPr>
      <w:r>
        <w:rPr>
          <w:noProof/>
        </w:rPr>
        <mc:AlternateContent>
          <mc:Choice Requires="wps">
            <w:drawing>
              <wp:anchor distT="0" distB="0" distL="0" distR="0" simplePos="0" relativeHeight="14008" behindDoc="0" locked="0" layoutInCell="1" allowOverlap="1" wp14:anchorId="2BA43A93" wp14:editId="7EDD88C1">
                <wp:simplePos x="0" y="0"/>
                <wp:positionH relativeFrom="page">
                  <wp:posOffset>719455</wp:posOffset>
                </wp:positionH>
                <wp:positionV relativeFrom="paragraph">
                  <wp:posOffset>109220</wp:posOffset>
                </wp:positionV>
                <wp:extent cx="1080135" cy="0"/>
                <wp:effectExtent l="8255" t="7620" r="29210" b="30480"/>
                <wp:wrapTopAndBottom/>
                <wp:docPr id="510"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556A4" id="Line_x0020_509" o:spid="_x0000_s1026" style="position:absolute;z-index:14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6pt" to="141.7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JqlCICAABF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" strokecolor="#231f20" strokeweight=".5pt">
                <w10:wrap type="topAndBottom" anchorx="page"/>
              </v:line>
            </w:pict>
          </mc:Fallback>
        </mc:AlternateContent>
      </w:r>
    </w:p>
    <w:p w14:paraId="17EB8534"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Авторка: </w:t>
      </w:r>
      <w:r>
        <w:rPr>
          <w:b/>
          <w:color w:val="231F20"/>
          <w:sz w:val="16"/>
        </w:rPr>
        <w:t>Вікторія Васильківська.</w:t>
      </w:r>
    </w:p>
    <w:p w14:paraId="4161CEEB" w14:textId="77777777" w:rsidR="00DE575E" w:rsidRDefault="002E7560">
      <w:pPr>
        <w:spacing w:before="23" w:line="204" w:lineRule="auto"/>
        <w:ind w:left="533" w:right="521"/>
        <w:rPr>
          <w:sz w:val="16"/>
        </w:rPr>
      </w:pPr>
      <w:r>
        <w:rPr>
          <w:color w:val="231F20"/>
          <w:position w:val="5"/>
          <w:sz w:val="9"/>
        </w:rPr>
        <w:t xml:space="preserve">2 </w:t>
      </w:r>
      <w:r>
        <w:rPr>
          <w:color w:val="231F20"/>
          <w:sz w:val="16"/>
        </w:rPr>
        <w:t xml:space="preserve">Про державну службу: Закон України від 15.12.2016 р. </w:t>
      </w:r>
      <w:r>
        <w:rPr>
          <w:i/>
          <w:color w:val="231F20"/>
          <w:sz w:val="16"/>
        </w:rPr>
        <w:t>Відомості Верховної Ради  України</w:t>
      </w:r>
      <w:r>
        <w:rPr>
          <w:color w:val="231F20"/>
          <w:sz w:val="16"/>
        </w:rPr>
        <w:t xml:space="preserve">. 2016. № 4. </w:t>
      </w:r>
      <w:r>
        <w:rPr>
          <w:color w:val="231F20"/>
          <w:spacing w:val="-5"/>
          <w:sz w:val="16"/>
        </w:rPr>
        <w:t>Cт.</w:t>
      </w:r>
      <w:r>
        <w:rPr>
          <w:color w:val="231F20"/>
          <w:spacing w:val="-8"/>
          <w:sz w:val="16"/>
        </w:rPr>
        <w:t xml:space="preserve"> </w:t>
      </w:r>
      <w:r>
        <w:rPr>
          <w:color w:val="231F20"/>
          <w:sz w:val="16"/>
        </w:rPr>
        <w:t>60.</w:t>
      </w:r>
    </w:p>
    <w:p w14:paraId="604BDB98" w14:textId="77777777" w:rsidR="00DE575E" w:rsidRDefault="00DE575E">
      <w:pPr>
        <w:pStyle w:val="BodyText"/>
        <w:spacing w:before="5"/>
        <w:rPr>
          <w:sz w:val="12"/>
        </w:rPr>
      </w:pPr>
    </w:p>
    <w:p w14:paraId="59344855" w14:textId="77777777" w:rsidR="00DE575E" w:rsidRDefault="002E7560">
      <w:pPr>
        <w:spacing w:before="92"/>
        <w:ind w:left="533"/>
        <w:rPr>
          <w:rFonts w:ascii="Times New Roman"/>
          <w:sz w:val="20"/>
        </w:rPr>
      </w:pPr>
      <w:r>
        <w:rPr>
          <w:rFonts w:ascii="Times New Roman"/>
          <w:color w:val="231F20"/>
          <w:sz w:val="20"/>
        </w:rPr>
        <w:t>358</w:t>
      </w:r>
    </w:p>
    <w:p w14:paraId="45C7D738" w14:textId="77777777" w:rsidR="00DE575E" w:rsidRDefault="00DE575E">
      <w:pPr>
        <w:rPr>
          <w:rFonts w:ascii="Times New Roman"/>
          <w:sz w:val="20"/>
        </w:rPr>
        <w:sectPr w:rsidR="00DE575E">
          <w:pgSz w:w="8510" w:h="12760"/>
          <w:pgMar w:top="660" w:right="720" w:bottom="280" w:left="600" w:header="720" w:footer="720" w:gutter="0"/>
          <w:cols w:space="720"/>
        </w:sectPr>
      </w:pPr>
    </w:p>
    <w:p w14:paraId="1E98603A"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 xml:space="preserve">Глава ІІ Особливе адміністративне право/ Книга І </w:t>
      </w:r>
      <w:r>
        <w:rPr>
          <w:rFonts w:ascii="AdonisC" w:hAnsi="AdonisC"/>
          <w:i/>
          <w:color w:val="231F20"/>
          <w:sz w:val="18"/>
        </w:rPr>
        <w:t>Розділ 2. Юридичний статус державного службовця</w:t>
      </w:r>
    </w:p>
    <w:p w14:paraId="56B06597" w14:textId="38D5101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667E4EE" wp14:editId="135B839E">
                <wp:extent cx="4140200" cy="6350"/>
                <wp:effectExtent l="0" t="0" r="12700" b="6350"/>
                <wp:docPr id="508"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09" name="Line 50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20038D" id="Group_x0020_50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R0wGpX4CAACYBQAADgAA&#10;AAAAAAAAAAAAAAAsAgAAZHJzL2Uyb0RvYy54bWxQSwECLQAUAAYACAAAACEATKewkNkAAAADAQAA&#10;DwAAAAAAAAAAAAAAAADWBAAAZHJzL2Rvd25yZXYueG1sUEsFBgAAAAAEAAQA8wAAANwFAAAAAA==&#10;">
                <v:line id="Line_x0020_50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FM8ccAAADcAAAADwAAAGRycy9kb3ducmV2LnhtbESP3WrCQBSE7wXfYTkFb0rdWKnU1FVE&#10;KEgv/El8gGP2NAndPRuzq0n79N1CwcthZr5hFqveGnGj1teOFUzGCQjiwumaSwWn/P3pFYQPyBqN&#10;Y1LwTR5Wy+Fggal2HR/ploVSRAj7FBVUITSplL6oyKIfu4Y4ep+utRiibEupW+wi3Br5nCQzabHm&#10;uFBhQ5uKiq/sahXkl8dgDvsP0+X781SeL7vpz3Wn1OihX7+BCNSHe/i/vdUKXpI5/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MUzxxwAAANwAAAAPAAAAAAAA&#10;AAAAAAAAAKECAABkcnMvZG93bnJldi54bWxQSwUGAAAAAAQABAD5AAAAlQMAAAAA&#10;" strokecolor="#231f20" strokeweight=".5pt"/>
                <w10:anchorlock/>
              </v:group>
            </w:pict>
          </mc:Fallback>
        </mc:AlternateContent>
      </w:r>
    </w:p>
    <w:p w14:paraId="48362780" w14:textId="77777777" w:rsidR="00DE575E" w:rsidRDefault="00DE575E">
      <w:pPr>
        <w:pStyle w:val="BodyText"/>
        <w:spacing w:before="7"/>
        <w:rPr>
          <w:rFonts w:ascii="AdonisC"/>
          <w:i/>
          <w:sz w:val="19"/>
        </w:rPr>
      </w:pPr>
    </w:p>
    <w:p w14:paraId="60962494" w14:textId="77777777" w:rsidR="00DE575E" w:rsidRDefault="002E7560">
      <w:pPr>
        <w:pStyle w:val="BodyText"/>
        <w:spacing w:before="1" w:line="252" w:lineRule="auto"/>
        <w:ind w:left="250" w:right="409" w:firstLine="283"/>
        <w:jc w:val="both"/>
      </w:pPr>
      <w:r>
        <w:rPr>
          <w:color w:val="231F20"/>
        </w:rPr>
        <w:t>Ознакою</w:t>
      </w:r>
      <w:r>
        <w:rPr>
          <w:color w:val="231F20"/>
          <w:spacing w:val="-10"/>
        </w:rPr>
        <w:t xml:space="preserve"> </w:t>
      </w:r>
      <w:r>
        <w:rPr>
          <w:color w:val="231F20"/>
        </w:rPr>
        <w:t>державного</w:t>
      </w:r>
      <w:r>
        <w:rPr>
          <w:color w:val="231F20"/>
          <w:spacing w:val="-11"/>
        </w:rPr>
        <w:t xml:space="preserve"> </w:t>
      </w:r>
      <w:r>
        <w:rPr>
          <w:color w:val="231F20"/>
        </w:rPr>
        <w:t>службовця</w:t>
      </w:r>
      <w:r>
        <w:rPr>
          <w:color w:val="231F20"/>
          <w:spacing w:val="-11"/>
        </w:rPr>
        <w:t xml:space="preserve"> </w:t>
      </w:r>
      <w:r>
        <w:rPr>
          <w:color w:val="231F20"/>
        </w:rPr>
        <w:t>є</w:t>
      </w:r>
      <w:r>
        <w:rPr>
          <w:color w:val="231F20"/>
          <w:spacing w:val="-11"/>
        </w:rPr>
        <w:t xml:space="preserve"> </w:t>
      </w:r>
      <w:r>
        <w:rPr>
          <w:color w:val="231F20"/>
        </w:rPr>
        <w:t>заміщення</w:t>
      </w:r>
      <w:r>
        <w:rPr>
          <w:color w:val="231F20"/>
          <w:spacing w:val="-11"/>
        </w:rPr>
        <w:t xml:space="preserve"> </w:t>
      </w:r>
      <w:r>
        <w:rPr>
          <w:color w:val="231F20"/>
        </w:rPr>
        <w:t>ним</w:t>
      </w:r>
      <w:r>
        <w:rPr>
          <w:color w:val="231F20"/>
          <w:spacing w:val="-11"/>
        </w:rPr>
        <w:t xml:space="preserve"> </w:t>
      </w:r>
      <w:r>
        <w:rPr>
          <w:color w:val="231F20"/>
        </w:rPr>
        <w:t>посади</w:t>
      </w:r>
      <w:r>
        <w:rPr>
          <w:color w:val="231F20"/>
          <w:spacing w:val="-10"/>
        </w:rPr>
        <w:t xml:space="preserve"> </w:t>
      </w:r>
      <w:r>
        <w:rPr>
          <w:color w:val="231F20"/>
        </w:rPr>
        <w:t>держав- ної служби в органі державної влади, іншому державному органі, його апараті (секретаріаті), оскільки посада державної служби визначає</w:t>
      </w:r>
      <w:r>
        <w:rPr>
          <w:color w:val="231F20"/>
          <w:spacing w:val="-9"/>
        </w:rPr>
        <w:t xml:space="preserve"> </w:t>
      </w:r>
      <w:r>
        <w:rPr>
          <w:color w:val="231F20"/>
        </w:rPr>
        <w:t>обсяг</w:t>
      </w:r>
      <w:r>
        <w:rPr>
          <w:color w:val="231F20"/>
          <w:spacing w:val="-9"/>
        </w:rPr>
        <w:t xml:space="preserve"> </w:t>
      </w:r>
      <w:r>
        <w:rPr>
          <w:color w:val="231F20"/>
        </w:rPr>
        <w:t>посадових</w:t>
      </w:r>
      <w:r>
        <w:rPr>
          <w:color w:val="231F20"/>
          <w:spacing w:val="-9"/>
        </w:rPr>
        <w:t xml:space="preserve"> </w:t>
      </w:r>
      <w:r>
        <w:rPr>
          <w:color w:val="231F20"/>
        </w:rPr>
        <w:t>прав</w:t>
      </w:r>
      <w:r>
        <w:rPr>
          <w:color w:val="231F20"/>
          <w:spacing w:val="-9"/>
        </w:rPr>
        <w:t xml:space="preserve"> </w:t>
      </w:r>
      <w:r>
        <w:rPr>
          <w:color w:val="231F20"/>
        </w:rPr>
        <w:t>та</w:t>
      </w:r>
      <w:r>
        <w:rPr>
          <w:color w:val="231F20"/>
          <w:spacing w:val="-9"/>
        </w:rPr>
        <w:t xml:space="preserve"> </w:t>
      </w:r>
      <w:r>
        <w:rPr>
          <w:color w:val="231F20"/>
        </w:rPr>
        <w:t>обов’язків</w:t>
      </w:r>
      <w:r>
        <w:rPr>
          <w:color w:val="231F20"/>
          <w:spacing w:val="-9"/>
        </w:rPr>
        <w:t xml:space="preserve"> </w:t>
      </w:r>
      <w:r>
        <w:rPr>
          <w:color w:val="231F20"/>
        </w:rPr>
        <w:t>державного</w:t>
      </w:r>
      <w:r>
        <w:rPr>
          <w:color w:val="231F20"/>
          <w:spacing w:val="-9"/>
        </w:rPr>
        <w:t xml:space="preserve"> </w:t>
      </w:r>
      <w:r>
        <w:rPr>
          <w:color w:val="231F20"/>
        </w:rPr>
        <w:t>службовця; просування державного службовця передбачає зайняття більш високої</w:t>
      </w:r>
      <w:r>
        <w:rPr>
          <w:color w:val="231F20"/>
          <w:spacing w:val="-11"/>
        </w:rPr>
        <w:t xml:space="preserve"> </w:t>
      </w:r>
      <w:r>
        <w:rPr>
          <w:color w:val="231F20"/>
        </w:rPr>
        <w:t>посади,</w:t>
      </w:r>
      <w:r>
        <w:rPr>
          <w:color w:val="231F20"/>
          <w:spacing w:val="-11"/>
        </w:rPr>
        <w:t xml:space="preserve"> </w:t>
      </w:r>
      <w:r>
        <w:rPr>
          <w:color w:val="231F20"/>
        </w:rPr>
        <w:t>що</w:t>
      </w:r>
      <w:r>
        <w:rPr>
          <w:color w:val="231F20"/>
          <w:spacing w:val="-11"/>
        </w:rPr>
        <w:t xml:space="preserve"> </w:t>
      </w:r>
      <w:r>
        <w:rPr>
          <w:color w:val="231F20"/>
        </w:rPr>
        <w:t>є</w:t>
      </w:r>
      <w:r>
        <w:rPr>
          <w:color w:val="231F20"/>
          <w:spacing w:val="-11"/>
        </w:rPr>
        <w:t xml:space="preserve"> </w:t>
      </w:r>
      <w:r>
        <w:rPr>
          <w:color w:val="231F20"/>
        </w:rPr>
        <w:t>тією</w:t>
      </w:r>
      <w:r>
        <w:rPr>
          <w:color w:val="231F20"/>
          <w:spacing w:val="-11"/>
        </w:rPr>
        <w:t xml:space="preserve"> </w:t>
      </w:r>
      <w:r>
        <w:rPr>
          <w:color w:val="231F20"/>
        </w:rPr>
        <w:t>мотиваційною</w:t>
      </w:r>
      <w:r>
        <w:rPr>
          <w:color w:val="231F20"/>
          <w:spacing w:val="-11"/>
        </w:rPr>
        <w:t xml:space="preserve"> </w:t>
      </w:r>
      <w:r>
        <w:rPr>
          <w:color w:val="231F20"/>
        </w:rPr>
        <w:t>силою,</w:t>
      </w:r>
      <w:r>
        <w:rPr>
          <w:color w:val="231F20"/>
          <w:spacing w:val="-11"/>
        </w:rPr>
        <w:t xml:space="preserve"> </w:t>
      </w:r>
      <w:r>
        <w:rPr>
          <w:color w:val="231F20"/>
        </w:rPr>
        <w:t>яка</w:t>
      </w:r>
      <w:r>
        <w:rPr>
          <w:color w:val="231F20"/>
          <w:spacing w:val="-11"/>
        </w:rPr>
        <w:t xml:space="preserve"> </w:t>
      </w:r>
      <w:r>
        <w:rPr>
          <w:color w:val="231F20"/>
        </w:rPr>
        <w:t>відіграє</w:t>
      </w:r>
      <w:r>
        <w:rPr>
          <w:color w:val="231F20"/>
          <w:spacing w:val="-11"/>
        </w:rPr>
        <w:t xml:space="preserve"> </w:t>
      </w:r>
      <w:r>
        <w:rPr>
          <w:color w:val="231F20"/>
        </w:rPr>
        <w:t>важливу роль у проходженні державної</w:t>
      </w:r>
      <w:r>
        <w:rPr>
          <w:color w:val="231F20"/>
          <w:spacing w:val="-4"/>
        </w:rPr>
        <w:t xml:space="preserve"> </w:t>
      </w:r>
      <w:r>
        <w:rPr>
          <w:color w:val="231F20"/>
        </w:rPr>
        <w:t>служби.</w:t>
      </w:r>
    </w:p>
    <w:p w14:paraId="7B061BC0" w14:textId="77777777" w:rsidR="00DE575E" w:rsidRDefault="002E7560">
      <w:pPr>
        <w:pStyle w:val="BodyText"/>
        <w:spacing w:before="3" w:line="252" w:lineRule="auto"/>
        <w:ind w:left="250" w:right="413" w:firstLine="283"/>
        <w:jc w:val="both"/>
      </w:pPr>
      <w:r>
        <w:rPr>
          <w:color w:val="231F20"/>
        </w:rPr>
        <w:t>Загалом в адміністративно-правовій науці виокремлено такі підходи до визначення пон</w:t>
      </w:r>
      <w:r>
        <w:rPr>
          <w:color w:val="231F20"/>
        </w:rPr>
        <w:t>яття посади:</w:t>
      </w:r>
    </w:p>
    <w:p w14:paraId="34639AB9" w14:textId="77777777" w:rsidR="00DE575E" w:rsidRDefault="002E7560">
      <w:pPr>
        <w:pStyle w:val="ListParagraph"/>
        <w:numPr>
          <w:ilvl w:val="0"/>
          <w:numId w:val="108"/>
        </w:numPr>
        <w:tabs>
          <w:tab w:val="left" w:pos="818"/>
        </w:tabs>
        <w:spacing w:line="252" w:lineRule="auto"/>
        <w:ind w:right="411" w:firstLine="283"/>
        <w:jc w:val="both"/>
        <w:rPr>
          <w:sz w:val="21"/>
        </w:rPr>
      </w:pPr>
      <w:r>
        <w:rPr>
          <w:i/>
          <w:color w:val="231F20"/>
          <w:sz w:val="21"/>
        </w:rPr>
        <w:t>функціональний</w:t>
      </w:r>
      <w:r>
        <w:rPr>
          <w:color w:val="231F20"/>
          <w:sz w:val="21"/>
        </w:rPr>
        <w:t>, що полягає в трактуванні посади як встанов- леного комплексу обов’язків і відповідних їм прав, що визначають місце</w:t>
      </w:r>
      <w:r>
        <w:rPr>
          <w:color w:val="231F20"/>
          <w:spacing w:val="-5"/>
          <w:sz w:val="21"/>
        </w:rPr>
        <w:t xml:space="preserve"> </w:t>
      </w:r>
      <w:r>
        <w:rPr>
          <w:color w:val="231F20"/>
          <w:sz w:val="21"/>
        </w:rPr>
        <w:t>і</w:t>
      </w:r>
      <w:r>
        <w:rPr>
          <w:color w:val="231F20"/>
          <w:spacing w:val="-5"/>
          <w:sz w:val="21"/>
        </w:rPr>
        <w:t xml:space="preserve"> </w:t>
      </w:r>
      <w:r>
        <w:rPr>
          <w:color w:val="231F20"/>
          <w:sz w:val="21"/>
        </w:rPr>
        <w:t>роль</w:t>
      </w:r>
      <w:r>
        <w:rPr>
          <w:color w:val="231F20"/>
          <w:spacing w:val="-5"/>
          <w:sz w:val="21"/>
        </w:rPr>
        <w:t xml:space="preserve"> </w:t>
      </w:r>
      <w:r>
        <w:rPr>
          <w:color w:val="231F20"/>
          <w:sz w:val="21"/>
        </w:rPr>
        <w:t>державного</w:t>
      </w:r>
      <w:r>
        <w:rPr>
          <w:color w:val="231F20"/>
          <w:spacing w:val="-5"/>
          <w:sz w:val="21"/>
        </w:rPr>
        <w:t xml:space="preserve"> </w:t>
      </w:r>
      <w:r>
        <w:rPr>
          <w:color w:val="231F20"/>
          <w:sz w:val="21"/>
        </w:rPr>
        <w:t>службовця</w:t>
      </w:r>
      <w:r>
        <w:rPr>
          <w:color w:val="231F20"/>
          <w:spacing w:val="-5"/>
          <w:sz w:val="21"/>
        </w:rPr>
        <w:t xml:space="preserve"> </w:t>
      </w:r>
      <w:r>
        <w:rPr>
          <w:color w:val="231F20"/>
          <w:sz w:val="21"/>
        </w:rPr>
        <w:t>в</w:t>
      </w:r>
      <w:r>
        <w:rPr>
          <w:color w:val="231F20"/>
          <w:spacing w:val="-4"/>
          <w:sz w:val="21"/>
        </w:rPr>
        <w:t xml:space="preserve"> </w:t>
      </w:r>
      <w:r>
        <w:rPr>
          <w:color w:val="231F20"/>
          <w:sz w:val="21"/>
        </w:rPr>
        <w:t>державному</w:t>
      </w:r>
      <w:r>
        <w:rPr>
          <w:color w:val="231F20"/>
          <w:spacing w:val="-5"/>
          <w:sz w:val="21"/>
        </w:rPr>
        <w:t xml:space="preserve"> </w:t>
      </w:r>
      <w:r>
        <w:rPr>
          <w:color w:val="231F20"/>
          <w:sz w:val="21"/>
        </w:rPr>
        <w:t>або</w:t>
      </w:r>
      <w:r>
        <w:rPr>
          <w:color w:val="231F20"/>
          <w:spacing w:val="-5"/>
          <w:sz w:val="21"/>
        </w:rPr>
        <w:t xml:space="preserve"> </w:t>
      </w:r>
      <w:r>
        <w:rPr>
          <w:color w:val="231F20"/>
          <w:sz w:val="21"/>
        </w:rPr>
        <w:t>громадському органі, на підприємстві, в установі або</w:t>
      </w:r>
      <w:r>
        <w:rPr>
          <w:color w:val="231F20"/>
          <w:spacing w:val="-7"/>
          <w:sz w:val="21"/>
        </w:rPr>
        <w:t xml:space="preserve"> </w:t>
      </w:r>
      <w:r>
        <w:rPr>
          <w:color w:val="231F20"/>
          <w:sz w:val="21"/>
        </w:rPr>
        <w:t>організації;</w:t>
      </w:r>
    </w:p>
    <w:p w14:paraId="6C337C5A" w14:textId="77777777" w:rsidR="00DE575E" w:rsidRDefault="002E7560">
      <w:pPr>
        <w:pStyle w:val="ListParagraph"/>
        <w:numPr>
          <w:ilvl w:val="0"/>
          <w:numId w:val="108"/>
        </w:numPr>
        <w:tabs>
          <w:tab w:val="left" w:pos="818"/>
        </w:tabs>
        <w:spacing w:before="2" w:line="252" w:lineRule="auto"/>
        <w:ind w:right="410" w:firstLine="283"/>
        <w:jc w:val="both"/>
        <w:rPr>
          <w:sz w:val="21"/>
        </w:rPr>
      </w:pPr>
      <w:r>
        <w:rPr>
          <w:i/>
          <w:color w:val="231F20"/>
          <w:sz w:val="21"/>
        </w:rPr>
        <w:t>с</w:t>
      </w:r>
      <w:r>
        <w:rPr>
          <w:i/>
          <w:color w:val="231F20"/>
          <w:sz w:val="21"/>
        </w:rPr>
        <w:t>татусно-правовий</w:t>
      </w:r>
      <w:r>
        <w:rPr>
          <w:color w:val="231F20"/>
          <w:sz w:val="21"/>
        </w:rPr>
        <w:t xml:space="preserve">, що полягає у трактуванні посади як юридично  встановленого  для  конкретної  особи  обсягу  функцій   і повноважень щодо її участі в реалізації компетенції відповідного </w:t>
      </w:r>
      <w:r>
        <w:rPr>
          <w:color w:val="231F20"/>
          <w:spacing w:val="-3"/>
          <w:sz w:val="21"/>
        </w:rPr>
        <w:t xml:space="preserve">органу, </w:t>
      </w:r>
      <w:r>
        <w:rPr>
          <w:color w:val="231F20"/>
          <w:sz w:val="21"/>
        </w:rPr>
        <w:t>установи, підприємства;</w:t>
      </w:r>
    </w:p>
    <w:p w14:paraId="0E367E09" w14:textId="77777777" w:rsidR="00DE575E" w:rsidRDefault="002E7560">
      <w:pPr>
        <w:pStyle w:val="ListParagraph"/>
        <w:numPr>
          <w:ilvl w:val="0"/>
          <w:numId w:val="108"/>
        </w:numPr>
        <w:tabs>
          <w:tab w:val="left" w:pos="818"/>
        </w:tabs>
        <w:spacing w:before="2" w:line="252" w:lineRule="auto"/>
        <w:ind w:right="410" w:firstLine="283"/>
        <w:jc w:val="both"/>
        <w:rPr>
          <w:sz w:val="21"/>
        </w:rPr>
      </w:pPr>
      <w:r>
        <w:rPr>
          <w:i/>
          <w:color w:val="231F20"/>
          <w:sz w:val="21"/>
        </w:rPr>
        <w:t xml:space="preserve">змішаний, </w:t>
      </w:r>
      <w:r>
        <w:rPr>
          <w:color w:val="231F20"/>
          <w:sz w:val="21"/>
        </w:rPr>
        <w:t>що полягає в трактуванні по</w:t>
      </w:r>
      <w:r>
        <w:rPr>
          <w:color w:val="231F20"/>
          <w:sz w:val="21"/>
        </w:rPr>
        <w:t>сади як частини орга- нізаційної</w:t>
      </w:r>
      <w:r>
        <w:rPr>
          <w:color w:val="231F20"/>
          <w:spacing w:val="-8"/>
          <w:sz w:val="21"/>
        </w:rPr>
        <w:t xml:space="preserve"> </w:t>
      </w:r>
      <w:r>
        <w:rPr>
          <w:color w:val="231F20"/>
          <w:sz w:val="21"/>
        </w:rPr>
        <w:t>структури</w:t>
      </w:r>
      <w:r>
        <w:rPr>
          <w:color w:val="231F20"/>
          <w:spacing w:val="-8"/>
          <w:sz w:val="21"/>
        </w:rPr>
        <w:t xml:space="preserve"> </w:t>
      </w:r>
      <w:r>
        <w:rPr>
          <w:color w:val="231F20"/>
          <w:sz w:val="21"/>
        </w:rPr>
        <w:t>державного</w:t>
      </w:r>
      <w:r>
        <w:rPr>
          <w:color w:val="231F20"/>
          <w:spacing w:val="-8"/>
          <w:sz w:val="21"/>
        </w:rPr>
        <w:t xml:space="preserve"> </w:t>
      </w:r>
      <w:r>
        <w:rPr>
          <w:color w:val="231F20"/>
          <w:sz w:val="21"/>
        </w:rPr>
        <w:t>органу</w:t>
      </w:r>
      <w:r>
        <w:rPr>
          <w:color w:val="231F20"/>
          <w:spacing w:val="-8"/>
          <w:sz w:val="21"/>
        </w:rPr>
        <w:t xml:space="preserve"> </w:t>
      </w:r>
      <w:r>
        <w:rPr>
          <w:color w:val="231F20"/>
          <w:sz w:val="21"/>
        </w:rPr>
        <w:t>(організації),</w:t>
      </w:r>
      <w:r>
        <w:rPr>
          <w:color w:val="231F20"/>
          <w:spacing w:val="-8"/>
          <w:sz w:val="21"/>
        </w:rPr>
        <w:t xml:space="preserve"> </w:t>
      </w:r>
      <w:r>
        <w:rPr>
          <w:color w:val="231F20"/>
          <w:sz w:val="21"/>
        </w:rPr>
        <w:t>яку</w:t>
      </w:r>
      <w:r>
        <w:rPr>
          <w:color w:val="231F20"/>
          <w:spacing w:val="-8"/>
          <w:sz w:val="21"/>
        </w:rPr>
        <w:t xml:space="preserve"> </w:t>
      </w:r>
      <w:r>
        <w:rPr>
          <w:color w:val="231F20"/>
          <w:sz w:val="21"/>
        </w:rPr>
        <w:t>відокрем- лено і закріплено в офіційних документах (штатах, схемах посадо- вих окладів тощо), з відповідною часткою компетенції державного органу (організації), яка надається особі – державному службовцю  з метою її практичного</w:t>
      </w:r>
      <w:r>
        <w:rPr>
          <w:color w:val="231F20"/>
          <w:spacing w:val="-2"/>
          <w:sz w:val="21"/>
        </w:rPr>
        <w:t xml:space="preserve"> </w:t>
      </w:r>
      <w:r>
        <w:rPr>
          <w:color w:val="231F20"/>
          <w:sz w:val="21"/>
        </w:rPr>
        <w:t>здійснення;</w:t>
      </w:r>
    </w:p>
    <w:p w14:paraId="5B8DE421" w14:textId="77777777" w:rsidR="00DE575E" w:rsidRDefault="002E7560">
      <w:pPr>
        <w:pStyle w:val="ListParagraph"/>
        <w:numPr>
          <w:ilvl w:val="0"/>
          <w:numId w:val="108"/>
        </w:numPr>
        <w:tabs>
          <w:tab w:val="left" w:pos="818"/>
        </w:tabs>
        <w:spacing w:before="3" w:line="252" w:lineRule="auto"/>
        <w:ind w:right="410" w:firstLine="283"/>
        <w:jc w:val="both"/>
        <w:rPr>
          <w:sz w:val="21"/>
        </w:rPr>
      </w:pPr>
      <w:r>
        <w:rPr>
          <w:i/>
          <w:color w:val="231F20"/>
          <w:sz w:val="21"/>
        </w:rPr>
        <w:t>комплексний</w:t>
      </w:r>
      <w:r>
        <w:rPr>
          <w:color w:val="231F20"/>
          <w:sz w:val="21"/>
        </w:rPr>
        <w:t xml:space="preserve">, що </w:t>
      </w:r>
      <w:r>
        <w:rPr>
          <w:color w:val="231F20"/>
          <w:sz w:val="21"/>
        </w:rPr>
        <w:t>полягає у трактуванні посади як основи державної організації (адміністрації) та державної</w:t>
      </w:r>
      <w:r>
        <w:rPr>
          <w:color w:val="231F20"/>
          <w:spacing w:val="-5"/>
          <w:sz w:val="21"/>
        </w:rPr>
        <w:t xml:space="preserve"> </w:t>
      </w:r>
      <w:r>
        <w:rPr>
          <w:color w:val="231F20"/>
          <w:sz w:val="21"/>
        </w:rPr>
        <w:t>служби.</w:t>
      </w:r>
    </w:p>
    <w:p w14:paraId="6D759D0D" w14:textId="77777777" w:rsidR="00DE575E" w:rsidRDefault="002E7560">
      <w:pPr>
        <w:pStyle w:val="BodyText"/>
        <w:spacing w:before="1" w:line="252" w:lineRule="auto"/>
        <w:ind w:left="250" w:right="410" w:firstLine="283"/>
        <w:jc w:val="both"/>
      </w:pPr>
      <w:r>
        <w:rPr>
          <w:color w:val="231F20"/>
        </w:rPr>
        <w:t>На</w:t>
      </w:r>
      <w:r>
        <w:rPr>
          <w:color w:val="231F20"/>
          <w:spacing w:val="-11"/>
        </w:rPr>
        <w:t xml:space="preserve"> </w:t>
      </w:r>
      <w:r>
        <w:rPr>
          <w:color w:val="231F20"/>
        </w:rPr>
        <w:t>нормативному</w:t>
      </w:r>
      <w:r>
        <w:rPr>
          <w:color w:val="231F20"/>
          <w:spacing w:val="-11"/>
        </w:rPr>
        <w:t xml:space="preserve"> </w:t>
      </w:r>
      <w:r>
        <w:rPr>
          <w:color w:val="231F20"/>
        </w:rPr>
        <w:t>рівні</w:t>
      </w:r>
      <w:r>
        <w:rPr>
          <w:color w:val="231F20"/>
          <w:spacing w:val="-11"/>
        </w:rPr>
        <w:t xml:space="preserve"> </w:t>
      </w:r>
      <w:r>
        <w:rPr>
          <w:color w:val="231F20"/>
        </w:rPr>
        <w:t>поняття</w:t>
      </w:r>
      <w:r>
        <w:rPr>
          <w:color w:val="231F20"/>
          <w:spacing w:val="-11"/>
        </w:rPr>
        <w:t xml:space="preserve"> </w:t>
      </w:r>
      <w:r>
        <w:rPr>
          <w:color w:val="231F20"/>
        </w:rPr>
        <w:t>«</w:t>
      </w:r>
      <w:r>
        <w:rPr>
          <w:i/>
          <w:color w:val="231F20"/>
        </w:rPr>
        <w:t>посада</w:t>
      </w:r>
      <w:r>
        <w:rPr>
          <w:i/>
          <w:color w:val="231F20"/>
          <w:spacing w:val="-11"/>
        </w:rPr>
        <w:t xml:space="preserve"> </w:t>
      </w:r>
      <w:r>
        <w:rPr>
          <w:i/>
          <w:color w:val="231F20"/>
        </w:rPr>
        <w:t>державної</w:t>
      </w:r>
      <w:r>
        <w:rPr>
          <w:i/>
          <w:color w:val="231F20"/>
          <w:spacing w:val="-11"/>
        </w:rPr>
        <w:t xml:space="preserve"> </w:t>
      </w:r>
      <w:r>
        <w:rPr>
          <w:i/>
          <w:color w:val="231F20"/>
        </w:rPr>
        <w:t>служби</w:t>
      </w:r>
      <w:r>
        <w:rPr>
          <w:color w:val="231F20"/>
        </w:rPr>
        <w:t>»</w:t>
      </w:r>
      <w:r>
        <w:rPr>
          <w:color w:val="231F20"/>
          <w:spacing w:val="-11"/>
        </w:rPr>
        <w:t xml:space="preserve"> </w:t>
      </w:r>
      <w:r>
        <w:rPr>
          <w:color w:val="231F20"/>
        </w:rPr>
        <w:t>трак- тується як визначена структурою і штатним розписом первинна структурна одиниця державного органу</w:t>
      </w:r>
      <w:r>
        <w:rPr>
          <w:color w:val="231F20"/>
        </w:rPr>
        <w:t xml:space="preserve"> з установленими відпо- відно до законодавства посадовими обов’язками в межах повнова- жень, передбачених законом. Аналіз цього визначення дає підстави стверджувати,</w:t>
      </w:r>
      <w:r>
        <w:rPr>
          <w:color w:val="231F20"/>
          <w:spacing w:val="-18"/>
        </w:rPr>
        <w:t xml:space="preserve"> </w:t>
      </w:r>
      <w:r>
        <w:rPr>
          <w:color w:val="231F20"/>
        </w:rPr>
        <w:t>що</w:t>
      </w:r>
      <w:r>
        <w:rPr>
          <w:color w:val="231F20"/>
          <w:spacing w:val="-18"/>
        </w:rPr>
        <w:t xml:space="preserve"> </w:t>
      </w:r>
      <w:r>
        <w:rPr>
          <w:color w:val="231F20"/>
        </w:rPr>
        <w:t>законодавством</w:t>
      </w:r>
      <w:r>
        <w:rPr>
          <w:color w:val="231F20"/>
          <w:spacing w:val="-18"/>
        </w:rPr>
        <w:t xml:space="preserve"> </w:t>
      </w:r>
      <w:r>
        <w:rPr>
          <w:color w:val="231F20"/>
        </w:rPr>
        <w:t>передбачено</w:t>
      </w:r>
      <w:r>
        <w:rPr>
          <w:color w:val="231F20"/>
          <w:spacing w:val="-18"/>
        </w:rPr>
        <w:t xml:space="preserve"> </w:t>
      </w:r>
      <w:r>
        <w:rPr>
          <w:color w:val="231F20"/>
        </w:rPr>
        <w:t>два</w:t>
      </w:r>
      <w:r>
        <w:rPr>
          <w:color w:val="231F20"/>
          <w:spacing w:val="-18"/>
        </w:rPr>
        <w:t xml:space="preserve"> </w:t>
      </w:r>
      <w:r>
        <w:rPr>
          <w:color w:val="231F20"/>
        </w:rPr>
        <w:t>аспекти</w:t>
      </w:r>
      <w:r>
        <w:rPr>
          <w:color w:val="231F20"/>
          <w:spacing w:val="-18"/>
        </w:rPr>
        <w:t xml:space="preserve"> </w:t>
      </w:r>
      <w:r>
        <w:rPr>
          <w:color w:val="231F20"/>
        </w:rPr>
        <w:t>поняття</w:t>
      </w:r>
    </w:p>
    <w:p w14:paraId="5416FE79" w14:textId="77777777" w:rsidR="00DE575E" w:rsidRDefault="002E7560">
      <w:pPr>
        <w:pStyle w:val="BodyText"/>
        <w:spacing w:before="3" w:line="252" w:lineRule="auto"/>
        <w:ind w:left="250" w:right="409"/>
        <w:jc w:val="both"/>
      </w:pPr>
      <w:r>
        <w:rPr>
          <w:color w:val="231F20"/>
        </w:rPr>
        <w:t>«посада державної служби»: структурний (</w:t>
      </w:r>
      <w:r>
        <w:rPr>
          <w:color w:val="231F20"/>
        </w:rPr>
        <w:t>первинна структурна одиниця державного органу та його апарату); статусно-правовий (покладене коло посадових обов’язків у межах службових повнова- жень).</w:t>
      </w:r>
      <w:r>
        <w:rPr>
          <w:color w:val="231F20"/>
          <w:spacing w:val="-10"/>
        </w:rPr>
        <w:t xml:space="preserve"> </w:t>
      </w:r>
      <w:r>
        <w:rPr>
          <w:color w:val="231F20"/>
        </w:rPr>
        <w:t>Проте</w:t>
      </w:r>
      <w:r>
        <w:rPr>
          <w:color w:val="231F20"/>
          <w:spacing w:val="-10"/>
        </w:rPr>
        <w:t xml:space="preserve"> </w:t>
      </w:r>
      <w:r>
        <w:rPr>
          <w:color w:val="231F20"/>
        </w:rPr>
        <w:t>наявний</w:t>
      </w:r>
      <w:r>
        <w:rPr>
          <w:color w:val="231F20"/>
          <w:spacing w:val="-10"/>
        </w:rPr>
        <w:t xml:space="preserve"> </w:t>
      </w:r>
      <w:r>
        <w:rPr>
          <w:color w:val="231F20"/>
        </w:rPr>
        <w:t>ще</w:t>
      </w:r>
      <w:r>
        <w:rPr>
          <w:color w:val="231F20"/>
          <w:spacing w:val="-10"/>
        </w:rPr>
        <w:t xml:space="preserve"> </w:t>
      </w:r>
      <w:r>
        <w:rPr>
          <w:color w:val="231F20"/>
        </w:rPr>
        <w:t>функціональний</w:t>
      </w:r>
      <w:r>
        <w:rPr>
          <w:color w:val="231F20"/>
          <w:spacing w:val="-10"/>
        </w:rPr>
        <w:t xml:space="preserve"> </w:t>
      </w:r>
      <w:r>
        <w:rPr>
          <w:color w:val="231F20"/>
          <w:spacing w:val="-4"/>
        </w:rPr>
        <w:t>аспект,</w:t>
      </w:r>
      <w:r>
        <w:rPr>
          <w:color w:val="231F20"/>
          <w:spacing w:val="-10"/>
        </w:rPr>
        <w:t xml:space="preserve"> </w:t>
      </w:r>
      <w:r>
        <w:rPr>
          <w:color w:val="231F20"/>
        </w:rPr>
        <w:t>яким</w:t>
      </w:r>
      <w:r>
        <w:rPr>
          <w:color w:val="231F20"/>
          <w:spacing w:val="-10"/>
        </w:rPr>
        <w:t xml:space="preserve"> </w:t>
      </w:r>
      <w:r>
        <w:rPr>
          <w:color w:val="231F20"/>
        </w:rPr>
        <w:t>відображено характеристику компетенції, яка відповідає правовому статусові державного службовця конкретного</w:t>
      </w:r>
      <w:r>
        <w:rPr>
          <w:color w:val="231F20"/>
          <w:spacing w:val="-2"/>
        </w:rPr>
        <w:t xml:space="preserve"> </w:t>
      </w:r>
      <w:r>
        <w:rPr>
          <w:color w:val="231F20"/>
          <w:spacing w:val="-3"/>
        </w:rPr>
        <w:t>органу.</w:t>
      </w:r>
    </w:p>
    <w:p w14:paraId="112D4073" w14:textId="77777777" w:rsidR="00DE575E" w:rsidRDefault="002E7560">
      <w:pPr>
        <w:spacing w:before="3" w:line="252" w:lineRule="auto"/>
        <w:ind w:left="250" w:right="411" w:firstLine="283"/>
        <w:jc w:val="both"/>
        <w:rPr>
          <w:sz w:val="21"/>
        </w:rPr>
      </w:pPr>
      <w:r>
        <w:rPr>
          <w:color w:val="231F20"/>
          <w:sz w:val="21"/>
        </w:rPr>
        <w:t>Категорії</w:t>
      </w:r>
      <w:r>
        <w:rPr>
          <w:color w:val="231F20"/>
          <w:spacing w:val="-20"/>
          <w:sz w:val="21"/>
        </w:rPr>
        <w:t xml:space="preserve"> </w:t>
      </w:r>
      <w:r>
        <w:rPr>
          <w:i/>
          <w:color w:val="231F20"/>
          <w:sz w:val="21"/>
        </w:rPr>
        <w:t>«посада</w:t>
      </w:r>
      <w:r>
        <w:rPr>
          <w:i/>
          <w:color w:val="231F20"/>
          <w:spacing w:val="-20"/>
          <w:sz w:val="21"/>
        </w:rPr>
        <w:t xml:space="preserve"> </w:t>
      </w:r>
      <w:r>
        <w:rPr>
          <w:i/>
          <w:color w:val="231F20"/>
          <w:sz w:val="21"/>
        </w:rPr>
        <w:t>державної</w:t>
      </w:r>
      <w:r>
        <w:rPr>
          <w:i/>
          <w:color w:val="231F20"/>
          <w:spacing w:val="-20"/>
          <w:sz w:val="21"/>
        </w:rPr>
        <w:t xml:space="preserve"> </w:t>
      </w:r>
      <w:r>
        <w:rPr>
          <w:i/>
          <w:color w:val="231F20"/>
          <w:sz w:val="21"/>
        </w:rPr>
        <w:t>служби»</w:t>
      </w:r>
      <w:r>
        <w:rPr>
          <w:i/>
          <w:color w:val="231F20"/>
          <w:spacing w:val="-20"/>
          <w:sz w:val="21"/>
        </w:rPr>
        <w:t xml:space="preserve"> </w:t>
      </w:r>
      <w:r>
        <w:rPr>
          <w:color w:val="231F20"/>
          <w:sz w:val="21"/>
        </w:rPr>
        <w:t>та</w:t>
      </w:r>
      <w:r>
        <w:rPr>
          <w:color w:val="231F20"/>
          <w:spacing w:val="-20"/>
          <w:sz w:val="21"/>
        </w:rPr>
        <w:t xml:space="preserve"> </w:t>
      </w:r>
      <w:r>
        <w:rPr>
          <w:i/>
          <w:color w:val="231F20"/>
          <w:sz w:val="21"/>
        </w:rPr>
        <w:t>«державна</w:t>
      </w:r>
      <w:r>
        <w:rPr>
          <w:i/>
          <w:color w:val="231F20"/>
          <w:spacing w:val="-20"/>
          <w:sz w:val="21"/>
        </w:rPr>
        <w:t xml:space="preserve"> </w:t>
      </w:r>
      <w:r>
        <w:rPr>
          <w:i/>
          <w:color w:val="231F20"/>
          <w:sz w:val="21"/>
        </w:rPr>
        <w:t>посада»</w:t>
      </w:r>
      <w:r>
        <w:rPr>
          <w:i/>
          <w:color w:val="231F20"/>
          <w:spacing w:val="-20"/>
          <w:sz w:val="21"/>
        </w:rPr>
        <w:t xml:space="preserve"> </w:t>
      </w:r>
      <w:r>
        <w:rPr>
          <w:color w:val="231F20"/>
          <w:sz w:val="21"/>
        </w:rPr>
        <w:t>зістав- ляються</w:t>
      </w:r>
      <w:r>
        <w:rPr>
          <w:color w:val="231F20"/>
          <w:spacing w:val="-7"/>
          <w:sz w:val="21"/>
        </w:rPr>
        <w:t xml:space="preserve"> </w:t>
      </w:r>
      <w:r>
        <w:rPr>
          <w:color w:val="231F20"/>
          <w:sz w:val="21"/>
        </w:rPr>
        <w:t>як</w:t>
      </w:r>
      <w:r>
        <w:rPr>
          <w:color w:val="231F20"/>
          <w:spacing w:val="-7"/>
          <w:sz w:val="21"/>
        </w:rPr>
        <w:t xml:space="preserve"> </w:t>
      </w:r>
      <w:r>
        <w:rPr>
          <w:color w:val="231F20"/>
          <w:sz w:val="21"/>
        </w:rPr>
        <w:t>частина</w:t>
      </w:r>
      <w:r>
        <w:rPr>
          <w:color w:val="231F20"/>
          <w:spacing w:val="-7"/>
          <w:sz w:val="21"/>
        </w:rPr>
        <w:t xml:space="preserve"> </w:t>
      </w:r>
      <w:r>
        <w:rPr>
          <w:color w:val="231F20"/>
          <w:sz w:val="21"/>
        </w:rPr>
        <w:t>й</w:t>
      </w:r>
      <w:r>
        <w:rPr>
          <w:color w:val="231F20"/>
          <w:spacing w:val="-8"/>
          <w:sz w:val="21"/>
        </w:rPr>
        <w:t xml:space="preserve"> </w:t>
      </w:r>
      <w:r>
        <w:rPr>
          <w:color w:val="231F20"/>
          <w:sz w:val="21"/>
        </w:rPr>
        <w:t>ціле.</w:t>
      </w:r>
      <w:r>
        <w:rPr>
          <w:color w:val="231F20"/>
          <w:spacing w:val="-7"/>
          <w:sz w:val="21"/>
        </w:rPr>
        <w:t xml:space="preserve"> </w:t>
      </w:r>
      <w:r>
        <w:rPr>
          <w:color w:val="231F20"/>
          <w:sz w:val="21"/>
        </w:rPr>
        <w:t>До</w:t>
      </w:r>
      <w:r>
        <w:rPr>
          <w:color w:val="231F20"/>
          <w:spacing w:val="-7"/>
          <w:sz w:val="21"/>
        </w:rPr>
        <w:t xml:space="preserve"> </w:t>
      </w:r>
      <w:r>
        <w:rPr>
          <w:i/>
          <w:color w:val="231F20"/>
          <w:sz w:val="21"/>
        </w:rPr>
        <w:t>державних</w:t>
      </w:r>
      <w:r>
        <w:rPr>
          <w:i/>
          <w:color w:val="231F20"/>
          <w:spacing w:val="-7"/>
          <w:sz w:val="21"/>
        </w:rPr>
        <w:t xml:space="preserve"> </w:t>
      </w:r>
      <w:r>
        <w:rPr>
          <w:i/>
          <w:color w:val="231F20"/>
          <w:sz w:val="21"/>
        </w:rPr>
        <w:t>посад</w:t>
      </w:r>
      <w:r>
        <w:rPr>
          <w:i/>
          <w:color w:val="231F20"/>
          <w:spacing w:val="-7"/>
          <w:sz w:val="21"/>
        </w:rPr>
        <w:t xml:space="preserve"> </w:t>
      </w:r>
      <w:r>
        <w:rPr>
          <w:color w:val="231F20"/>
          <w:sz w:val="21"/>
        </w:rPr>
        <w:t>віднесено:</w:t>
      </w:r>
      <w:r>
        <w:rPr>
          <w:color w:val="231F20"/>
          <w:spacing w:val="-7"/>
          <w:sz w:val="21"/>
        </w:rPr>
        <w:t xml:space="preserve"> </w:t>
      </w:r>
      <w:r>
        <w:rPr>
          <w:color w:val="231F20"/>
          <w:sz w:val="21"/>
        </w:rPr>
        <w:t>політичні,</w:t>
      </w:r>
    </w:p>
    <w:p w14:paraId="100E431D" w14:textId="77777777" w:rsidR="00DE575E" w:rsidRDefault="00DE575E">
      <w:pPr>
        <w:pStyle w:val="BodyText"/>
        <w:spacing w:before="5"/>
        <w:rPr>
          <w:sz w:val="12"/>
        </w:rPr>
      </w:pPr>
    </w:p>
    <w:p w14:paraId="0E316004" w14:textId="77777777" w:rsidR="00DE575E" w:rsidRDefault="002E7560">
      <w:pPr>
        <w:spacing w:before="92"/>
        <w:ind w:right="411"/>
        <w:jc w:val="right"/>
        <w:rPr>
          <w:rFonts w:ascii="Times New Roman"/>
          <w:sz w:val="20"/>
        </w:rPr>
      </w:pPr>
      <w:r>
        <w:rPr>
          <w:rFonts w:ascii="Times New Roman"/>
          <w:color w:val="231F20"/>
          <w:w w:val="90"/>
          <w:sz w:val="20"/>
        </w:rPr>
        <w:t>359</w:t>
      </w:r>
    </w:p>
    <w:p w14:paraId="173D40F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3F0F59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E0AFA8C" w14:textId="23DE755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6C04D70" wp14:editId="4AFE9672">
                <wp:extent cx="4140200" cy="6350"/>
                <wp:effectExtent l="0" t="0" r="12700" b="6350"/>
                <wp:docPr id="506"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07" name="Line 50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316C0F" id="Group_x0020_50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E7tyd/AgAAmAUAAA4A&#10;AAAAAAAAAAAAAAAALAIAAGRycy9lMm9Eb2MueG1sUEsBAi0AFAAGAAgAAAAhAEynsJDZAAAAAwEA&#10;AA8AAAAAAAAAAAAAAAAA1wQAAGRycy9kb3ducmV2LnhtbFBLBQYAAAAABAAEAPMAAADdBQAAAAA=&#10;">
                <v:line id="Line_x0020_50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9GMcAAADcAAAADwAAAGRycy9kb3ducmV2LnhtbESP3WrCQBSE7wXfYTkFb0rdWKmV1FVE&#10;KEgv/El8gGP2NAndPRuzq0n79N1CwcthZr5hFqveGnGj1teOFUzGCQjiwumaSwWn/P1pDsIHZI3G&#10;MSn4Jg+r5XCwwFS7jo90y0IpIoR9igqqEJpUSl9UZNGPXUMcvU/XWgxRtqXULXYRbo18TpKZtFhz&#10;XKiwoU1FxVd2tQryy2Mwh/2H6fL9eSrPl93057pTavTQr99ABOrDPfzf3moFL8kr/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4n0YxwAAANwAAAAPAAAAAAAA&#10;AAAAAAAAAKECAABkcnMvZG93bnJldi54bWxQSwUGAAAAAAQABAD5AAAAlQMAAAAA&#10;" strokecolor="#231f20" strokeweight=".5pt"/>
                <w10:anchorlock/>
              </v:group>
            </w:pict>
          </mc:Fallback>
        </mc:AlternateContent>
      </w:r>
    </w:p>
    <w:p w14:paraId="363AB263" w14:textId="77777777" w:rsidR="00DE575E" w:rsidRDefault="00DE575E">
      <w:pPr>
        <w:pStyle w:val="BodyText"/>
        <w:spacing w:before="7"/>
        <w:rPr>
          <w:rFonts w:ascii="AdonisC"/>
          <w:i/>
          <w:sz w:val="11"/>
        </w:rPr>
      </w:pPr>
    </w:p>
    <w:p w14:paraId="04DA5E9A" w14:textId="77777777" w:rsidR="00DE575E" w:rsidRDefault="002E7560">
      <w:pPr>
        <w:pStyle w:val="BodyText"/>
        <w:spacing w:before="101" w:line="252" w:lineRule="auto"/>
        <w:ind w:left="533" w:right="127"/>
        <w:jc w:val="both"/>
      </w:pPr>
      <w:r>
        <w:rPr>
          <w:color w:val="231F20"/>
        </w:rPr>
        <w:t>адміністративні, судові, посади, що займають працівники держав- них органів, які виконують функції з обслуговування</w:t>
      </w:r>
      <w:r>
        <w:rPr>
          <w:color w:val="231F20"/>
          <w:position w:val="7"/>
          <w:sz w:val="12"/>
        </w:rPr>
        <w:t>1</w:t>
      </w:r>
      <w:r>
        <w:rPr>
          <w:color w:val="231F20"/>
        </w:rPr>
        <w:t>. До посад державної служби віднесено ті, яких визначено Законом України</w:t>
      </w:r>
    </w:p>
    <w:p w14:paraId="486BFD3B" w14:textId="77777777" w:rsidR="00DE575E" w:rsidRDefault="002E7560">
      <w:pPr>
        <w:pStyle w:val="BodyText"/>
        <w:spacing w:before="1"/>
        <w:ind w:left="533"/>
      </w:pPr>
      <w:r>
        <w:rPr>
          <w:color w:val="231F20"/>
        </w:rPr>
        <w:t>«Про державну службу.</w:t>
      </w:r>
    </w:p>
    <w:p w14:paraId="71DE9E9E" w14:textId="77777777" w:rsidR="00DE575E" w:rsidRDefault="002E7560">
      <w:pPr>
        <w:pStyle w:val="BodyText"/>
        <w:spacing w:before="13" w:line="252" w:lineRule="auto"/>
        <w:ind w:left="533" w:right="127" w:firstLine="283"/>
        <w:jc w:val="both"/>
      </w:pPr>
      <w:r>
        <w:rPr>
          <w:i/>
          <w:color w:val="231F20"/>
        </w:rPr>
        <w:t>Посада д</w:t>
      </w:r>
      <w:r>
        <w:rPr>
          <w:i/>
          <w:color w:val="231F20"/>
        </w:rPr>
        <w:t>ержавної служби характеризується такими ознаками</w:t>
      </w:r>
      <w:r>
        <w:rPr>
          <w:color w:val="231F20"/>
        </w:rPr>
        <w:t xml:space="preserve">:  є складовою штатного розпису державного органу; має уставний характер; утворюється у спеціальному </w:t>
      </w:r>
      <w:r>
        <w:rPr>
          <w:color w:val="231F20"/>
          <w:spacing w:val="-3"/>
        </w:rPr>
        <w:t xml:space="preserve">порядку, </w:t>
      </w:r>
      <w:r>
        <w:rPr>
          <w:color w:val="231F20"/>
        </w:rPr>
        <w:t>що закріплюється на нормативному рівні; детермінується через установлене коло обов’язків і прав; о</w:t>
      </w:r>
      <w:r>
        <w:rPr>
          <w:color w:val="231F20"/>
        </w:rPr>
        <w:t>посередковує здійснення повноважень особою, яка</w:t>
      </w:r>
      <w:r>
        <w:rPr>
          <w:color w:val="231F20"/>
          <w:spacing w:val="-8"/>
        </w:rPr>
        <w:t xml:space="preserve"> </w:t>
      </w:r>
      <w:r>
        <w:rPr>
          <w:color w:val="231F20"/>
        </w:rPr>
        <w:t>займає</w:t>
      </w:r>
      <w:r>
        <w:rPr>
          <w:color w:val="231F20"/>
          <w:spacing w:val="-8"/>
        </w:rPr>
        <w:t xml:space="preserve"> </w:t>
      </w:r>
      <w:r>
        <w:rPr>
          <w:color w:val="231F20"/>
        </w:rPr>
        <w:t>посаду</w:t>
      </w:r>
      <w:r>
        <w:rPr>
          <w:color w:val="231F20"/>
          <w:spacing w:val="-8"/>
        </w:rPr>
        <w:t xml:space="preserve"> </w:t>
      </w:r>
      <w:r>
        <w:rPr>
          <w:color w:val="231F20"/>
        </w:rPr>
        <w:t>державної</w:t>
      </w:r>
      <w:r>
        <w:rPr>
          <w:color w:val="231F20"/>
          <w:spacing w:val="-8"/>
        </w:rPr>
        <w:t xml:space="preserve"> </w:t>
      </w:r>
      <w:r>
        <w:rPr>
          <w:color w:val="231F20"/>
        </w:rPr>
        <w:t>служби;</w:t>
      </w:r>
      <w:r>
        <w:rPr>
          <w:color w:val="231F20"/>
          <w:spacing w:val="-8"/>
        </w:rPr>
        <w:t xml:space="preserve"> </w:t>
      </w:r>
      <w:r>
        <w:rPr>
          <w:color w:val="231F20"/>
        </w:rPr>
        <w:t>є</w:t>
      </w:r>
      <w:r>
        <w:rPr>
          <w:color w:val="231F20"/>
          <w:spacing w:val="-9"/>
        </w:rPr>
        <w:t xml:space="preserve"> </w:t>
      </w:r>
      <w:r>
        <w:rPr>
          <w:color w:val="231F20"/>
        </w:rPr>
        <w:t>незалежною</w:t>
      </w:r>
      <w:r>
        <w:rPr>
          <w:color w:val="231F20"/>
          <w:spacing w:val="-8"/>
        </w:rPr>
        <w:t xml:space="preserve"> </w:t>
      </w:r>
      <w:r>
        <w:rPr>
          <w:color w:val="231F20"/>
        </w:rPr>
        <w:t>від</w:t>
      </w:r>
      <w:r>
        <w:rPr>
          <w:color w:val="231F20"/>
          <w:spacing w:val="-8"/>
        </w:rPr>
        <w:t xml:space="preserve"> </w:t>
      </w:r>
      <w:r>
        <w:rPr>
          <w:color w:val="231F20"/>
        </w:rPr>
        <w:t>конкретного державного службовця, що займає посаду державної служби; опосе- редковує відповідний рівень</w:t>
      </w:r>
      <w:r>
        <w:rPr>
          <w:color w:val="231F20"/>
          <w:spacing w:val="-4"/>
        </w:rPr>
        <w:t xml:space="preserve"> </w:t>
      </w:r>
      <w:r>
        <w:rPr>
          <w:color w:val="231F20"/>
        </w:rPr>
        <w:t>оплати.</w:t>
      </w:r>
    </w:p>
    <w:p w14:paraId="0477F99B" w14:textId="77777777" w:rsidR="00DE575E" w:rsidRDefault="002E7560">
      <w:pPr>
        <w:pStyle w:val="BodyText"/>
        <w:spacing w:before="4" w:line="252" w:lineRule="auto"/>
        <w:ind w:left="533" w:right="127" w:firstLine="283"/>
        <w:jc w:val="both"/>
      </w:pPr>
      <w:r>
        <w:rPr>
          <w:color w:val="231F20"/>
        </w:rPr>
        <w:t xml:space="preserve">Статтею 6 Закону </w:t>
      </w:r>
      <w:r>
        <w:rPr>
          <w:color w:val="231F20"/>
          <w:spacing w:val="-3"/>
        </w:rPr>
        <w:t xml:space="preserve">України </w:t>
      </w:r>
      <w:r>
        <w:rPr>
          <w:color w:val="231F20"/>
        </w:rPr>
        <w:t>«Про держану  службу»</w:t>
      </w:r>
      <w:r>
        <w:rPr>
          <w:color w:val="231F20"/>
          <w:position w:val="7"/>
          <w:sz w:val="12"/>
        </w:rPr>
        <w:t>2</w:t>
      </w:r>
      <w:r>
        <w:rPr>
          <w:color w:val="231F20"/>
          <w:position w:val="7"/>
          <w:sz w:val="12"/>
        </w:rPr>
        <w:t xml:space="preserve">  </w:t>
      </w:r>
      <w:r>
        <w:rPr>
          <w:color w:val="231F20"/>
        </w:rPr>
        <w:t>визначено,  що посади державної служби в державних органах поділяються на категорії та підкатегорії залежно від порядку призначення, харак- теру й обсягу повноважень, змісту роботи та її впливу на ухвалення кінцевого рішення, ступеня посадової відповідал</w:t>
      </w:r>
      <w:r>
        <w:rPr>
          <w:color w:val="231F20"/>
        </w:rPr>
        <w:t>ьності, відповід- ного</w:t>
      </w:r>
      <w:r>
        <w:rPr>
          <w:color w:val="231F20"/>
          <w:spacing w:val="-11"/>
        </w:rPr>
        <w:t xml:space="preserve"> </w:t>
      </w:r>
      <w:r>
        <w:rPr>
          <w:color w:val="231F20"/>
        </w:rPr>
        <w:t>рівня</w:t>
      </w:r>
      <w:r>
        <w:rPr>
          <w:color w:val="231F20"/>
          <w:spacing w:val="-11"/>
        </w:rPr>
        <w:t xml:space="preserve"> </w:t>
      </w:r>
      <w:r>
        <w:rPr>
          <w:color w:val="231F20"/>
        </w:rPr>
        <w:t>кваліфікації</w:t>
      </w:r>
      <w:r>
        <w:rPr>
          <w:color w:val="231F20"/>
          <w:spacing w:val="-11"/>
        </w:rPr>
        <w:t xml:space="preserve"> </w:t>
      </w:r>
      <w:r>
        <w:rPr>
          <w:color w:val="231F20"/>
        </w:rPr>
        <w:t>та</w:t>
      </w:r>
      <w:r>
        <w:rPr>
          <w:color w:val="231F20"/>
          <w:spacing w:val="-11"/>
        </w:rPr>
        <w:t xml:space="preserve"> </w:t>
      </w:r>
      <w:r>
        <w:rPr>
          <w:color w:val="231F20"/>
        </w:rPr>
        <w:t>професійних</w:t>
      </w:r>
      <w:r>
        <w:rPr>
          <w:color w:val="231F20"/>
          <w:spacing w:val="-11"/>
        </w:rPr>
        <w:t xml:space="preserve"> </w:t>
      </w:r>
      <w:r>
        <w:rPr>
          <w:color w:val="231F20"/>
        </w:rPr>
        <w:t>компетентностей</w:t>
      </w:r>
      <w:r>
        <w:rPr>
          <w:color w:val="231F20"/>
          <w:spacing w:val="-11"/>
        </w:rPr>
        <w:t xml:space="preserve"> </w:t>
      </w:r>
      <w:r>
        <w:rPr>
          <w:color w:val="231F20"/>
        </w:rPr>
        <w:t>державних службовців.</w:t>
      </w:r>
    </w:p>
    <w:p w14:paraId="09AF597F" w14:textId="77777777" w:rsidR="00DE575E" w:rsidRDefault="002E7560">
      <w:pPr>
        <w:pStyle w:val="BodyText"/>
        <w:spacing w:before="3" w:line="252" w:lineRule="auto"/>
        <w:ind w:left="533" w:right="125" w:firstLine="283"/>
        <w:jc w:val="both"/>
      </w:pPr>
      <w:r>
        <w:rPr>
          <w:i/>
          <w:color w:val="231F20"/>
        </w:rPr>
        <w:t xml:space="preserve">Категорія посади </w:t>
      </w:r>
      <w:r>
        <w:rPr>
          <w:color w:val="231F20"/>
        </w:rPr>
        <w:t xml:space="preserve">– це єдина визначально-кваліфікаційна харак- теристика держаної посади, оскільки від того, до якої категорії віднесено державну </w:t>
      </w:r>
      <w:r>
        <w:rPr>
          <w:color w:val="231F20"/>
          <w:spacing w:val="-3"/>
        </w:rPr>
        <w:t xml:space="preserve">посаду, </w:t>
      </w:r>
      <w:r>
        <w:rPr>
          <w:color w:val="231F20"/>
        </w:rPr>
        <w:t>залежать: спосіб вступу на державну службу; рівень професійно-кваліфікаційних вимог до претендента на її заміщення; перелік обмежень при вступі на державну службу    і</w:t>
      </w:r>
      <w:r>
        <w:rPr>
          <w:color w:val="231F20"/>
          <w:spacing w:val="-6"/>
        </w:rPr>
        <w:t xml:space="preserve"> </w:t>
      </w:r>
      <w:r>
        <w:rPr>
          <w:color w:val="231F20"/>
        </w:rPr>
        <w:t>при</w:t>
      </w:r>
      <w:r>
        <w:rPr>
          <w:color w:val="231F20"/>
          <w:spacing w:val="-6"/>
        </w:rPr>
        <w:t xml:space="preserve"> </w:t>
      </w:r>
      <w:r>
        <w:rPr>
          <w:color w:val="231F20"/>
        </w:rPr>
        <w:t>проходженні</w:t>
      </w:r>
      <w:r>
        <w:rPr>
          <w:color w:val="231F20"/>
          <w:spacing w:val="-6"/>
        </w:rPr>
        <w:t xml:space="preserve"> </w:t>
      </w:r>
      <w:r>
        <w:rPr>
          <w:color w:val="231F20"/>
        </w:rPr>
        <w:t>державної</w:t>
      </w:r>
      <w:r>
        <w:rPr>
          <w:color w:val="231F20"/>
          <w:spacing w:val="-6"/>
        </w:rPr>
        <w:t xml:space="preserve"> </w:t>
      </w:r>
      <w:r>
        <w:rPr>
          <w:color w:val="231F20"/>
        </w:rPr>
        <w:t>служби;</w:t>
      </w:r>
      <w:r>
        <w:rPr>
          <w:color w:val="231F20"/>
          <w:spacing w:val="-6"/>
        </w:rPr>
        <w:t xml:space="preserve"> </w:t>
      </w:r>
      <w:r>
        <w:rPr>
          <w:color w:val="231F20"/>
        </w:rPr>
        <w:t>право</w:t>
      </w:r>
      <w:r>
        <w:rPr>
          <w:color w:val="231F20"/>
          <w:spacing w:val="-6"/>
        </w:rPr>
        <w:t xml:space="preserve"> </w:t>
      </w:r>
      <w:r>
        <w:rPr>
          <w:color w:val="231F20"/>
        </w:rPr>
        <w:t>на</w:t>
      </w:r>
      <w:r>
        <w:rPr>
          <w:color w:val="231F20"/>
          <w:spacing w:val="-6"/>
        </w:rPr>
        <w:t xml:space="preserve"> </w:t>
      </w:r>
      <w:r>
        <w:rPr>
          <w:color w:val="231F20"/>
        </w:rPr>
        <w:t>відставку</w:t>
      </w:r>
      <w:r>
        <w:rPr>
          <w:color w:val="231F20"/>
          <w:spacing w:val="-6"/>
        </w:rPr>
        <w:t xml:space="preserve"> </w:t>
      </w:r>
      <w:r>
        <w:rPr>
          <w:color w:val="231F20"/>
        </w:rPr>
        <w:t>як</w:t>
      </w:r>
      <w:r>
        <w:rPr>
          <w:color w:val="231F20"/>
          <w:spacing w:val="-6"/>
        </w:rPr>
        <w:t xml:space="preserve"> </w:t>
      </w:r>
      <w:r>
        <w:rPr>
          <w:color w:val="231F20"/>
        </w:rPr>
        <w:t>підставу припинення службових ві</w:t>
      </w:r>
      <w:r>
        <w:rPr>
          <w:color w:val="231F20"/>
        </w:rPr>
        <w:t>дносин; соціальне та матеріальне</w:t>
      </w:r>
      <w:r>
        <w:rPr>
          <w:color w:val="231F20"/>
          <w:spacing w:val="-26"/>
        </w:rPr>
        <w:t xml:space="preserve"> </w:t>
      </w:r>
      <w:r>
        <w:rPr>
          <w:color w:val="231F20"/>
        </w:rPr>
        <w:t>забезпе- чення.</w:t>
      </w:r>
    </w:p>
    <w:p w14:paraId="27091ABB" w14:textId="77777777" w:rsidR="00DE575E" w:rsidRDefault="002E7560">
      <w:pPr>
        <w:pStyle w:val="BodyText"/>
        <w:spacing w:before="4" w:line="252" w:lineRule="auto"/>
        <w:ind w:left="533" w:right="128" w:firstLine="283"/>
        <w:jc w:val="both"/>
      </w:pPr>
      <w:r>
        <w:rPr>
          <w:color w:val="231F20"/>
        </w:rPr>
        <w:t>На</w:t>
      </w:r>
      <w:r>
        <w:rPr>
          <w:color w:val="231F20"/>
          <w:spacing w:val="-11"/>
        </w:rPr>
        <w:t xml:space="preserve"> </w:t>
      </w:r>
      <w:r>
        <w:rPr>
          <w:color w:val="231F20"/>
        </w:rPr>
        <w:t>нормативному</w:t>
      </w:r>
      <w:r>
        <w:rPr>
          <w:color w:val="231F20"/>
          <w:spacing w:val="-11"/>
        </w:rPr>
        <w:t xml:space="preserve"> </w:t>
      </w:r>
      <w:r>
        <w:rPr>
          <w:color w:val="231F20"/>
        </w:rPr>
        <w:t>рівні</w:t>
      </w:r>
      <w:r>
        <w:rPr>
          <w:color w:val="231F20"/>
          <w:spacing w:val="-11"/>
        </w:rPr>
        <w:t xml:space="preserve"> </w:t>
      </w:r>
      <w:r>
        <w:rPr>
          <w:color w:val="231F20"/>
        </w:rPr>
        <w:t>виокремлено</w:t>
      </w:r>
      <w:r>
        <w:rPr>
          <w:color w:val="231F20"/>
          <w:spacing w:val="-11"/>
        </w:rPr>
        <w:t xml:space="preserve"> </w:t>
      </w:r>
      <w:r>
        <w:rPr>
          <w:color w:val="231F20"/>
        </w:rPr>
        <w:t>такі</w:t>
      </w:r>
      <w:r>
        <w:rPr>
          <w:color w:val="231F20"/>
          <w:spacing w:val="-11"/>
        </w:rPr>
        <w:t xml:space="preserve"> </w:t>
      </w:r>
      <w:r>
        <w:rPr>
          <w:color w:val="231F20"/>
        </w:rPr>
        <w:t>категорії</w:t>
      </w:r>
      <w:r>
        <w:rPr>
          <w:color w:val="231F20"/>
          <w:spacing w:val="-11"/>
        </w:rPr>
        <w:t xml:space="preserve"> </w:t>
      </w:r>
      <w:r>
        <w:rPr>
          <w:color w:val="231F20"/>
        </w:rPr>
        <w:t>посад</w:t>
      </w:r>
      <w:r>
        <w:rPr>
          <w:color w:val="231F20"/>
          <w:spacing w:val="-11"/>
        </w:rPr>
        <w:t xml:space="preserve"> </w:t>
      </w:r>
      <w:r>
        <w:rPr>
          <w:color w:val="231F20"/>
        </w:rPr>
        <w:t>держав- ної служби:</w:t>
      </w:r>
    </w:p>
    <w:p w14:paraId="23533740" w14:textId="77777777" w:rsidR="00DE575E" w:rsidRDefault="002E7560">
      <w:pPr>
        <w:pStyle w:val="BodyText"/>
        <w:spacing w:before="1" w:line="252" w:lineRule="auto"/>
        <w:ind w:left="533" w:right="128" w:firstLine="283"/>
        <w:jc w:val="both"/>
      </w:pPr>
      <w:r>
        <w:rPr>
          <w:color w:val="231F20"/>
        </w:rPr>
        <w:t>1)</w:t>
      </w:r>
      <w:r>
        <w:rPr>
          <w:color w:val="231F20"/>
          <w:spacing w:val="35"/>
        </w:rPr>
        <w:t xml:space="preserve"> </w:t>
      </w:r>
      <w:r>
        <w:rPr>
          <w:color w:val="231F20"/>
        </w:rPr>
        <w:t>категорія</w:t>
      </w:r>
      <w:r>
        <w:rPr>
          <w:color w:val="231F20"/>
          <w:spacing w:val="-12"/>
        </w:rPr>
        <w:t xml:space="preserve"> </w:t>
      </w:r>
      <w:r>
        <w:rPr>
          <w:color w:val="231F20"/>
        </w:rPr>
        <w:t>«А»</w:t>
      </w:r>
      <w:r>
        <w:rPr>
          <w:color w:val="231F20"/>
          <w:spacing w:val="-12"/>
        </w:rPr>
        <w:t xml:space="preserve"> </w:t>
      </w:r>
      <w:r>
        <w:rPr>
          <w:color w:val="231F20"/>
        </w:rPr>
        <w:t>(вищий</w:t>
      </w:r>
      <w:r>
        <w:rPr>
          <w:color w:val="231F20"/>
          <w:spacing w:val="-12"/>
        </w:rPr>
        <w:t xml:space="preserve"> </w:t>
      </w:r>
      <w:r>
        <w:rPr>
          <w:color w:val="231F20"/>
        </w:rPr>
        <w:t>корпус</w:t>
      </w:r>
      <w:r>
        <w:rPr>
          <w:color w:val="231F20"/>
          <w:spacing w:val="-12"/>
        </w:rPr>
        <w:t xml:space="preserve"> </w:t>
      </w:r>
      <w:r>
        <w:rPr>
          <w:color w:val="231F20"/>
        </w:rPr>
        <w:t>державної</w:t>
      </w:r>
      <w:r>
        <w:rPr>
          <w:color w:val="231F20"/>
          <w:spacing w:val="-12"/>
        </w:rPr>
        <w:t xml:space="preserve"> </w:t>
      </w:r>
      <w:r>
        <w:rPr>
          <w:color w:val="231F20"/>
        </w:rPr>
        <w:t>служби),</w:t>
      </w:r>
      <w:r>
        <w:rPr>
          <w:color w:val="231F20"/>
          <w:spacing w:val="-12"/>
        </w:rPr>
        <w:t xml:space="preserve"> </w:t>
      </w:r>
      <w:r>
        <w:rPr>
          <w:color w:val="231F20"/>
        </w:rPr>
        <w:t>до</w:t>
      </w:r>
      <w:r>
        <w:rPr>
          <w:color w:val="231F20"/>
          <w:spacing w:val="-12"/>
        </w:rPr>
        <w:t xml:space="preserve"> </w:t>
      </w:r>
      <w:r>
        <w:rPr>
          <w:color w:val="231F20"/>
        </w:rPr>
        <w:t>якої</w:t>
      </w:r>
      <w:r>
        <w:rPr>
          <w:color w:val="231F20"/>
          <w:spacing w:val="-12"/>
        </w:rPr>
        <w:t xml:space="preserve"> </w:t>
      </w:r>
      <w:r>
        <w:rPr>
          <w:color w:val="231F20"/>
        </w:rPr>
        <w:t xml:space="preserve">відне- сено посади: Керівника Апарату Верховної Ради </w:t>
      </w:r>
      <w:r>
        <w:rPr>
          <w:color w:val="231F20"/>
          <w:spacing w:val="-3"/>
        </w:rPr>
        <w:t xml:space="preserve">України </w:t>
      </w:r>
      <w:r>
        <w:rPr>
          <w:color w:val="231F20"/>
        </w:rPr>
        <w:t>та</w:t>
      </w:r>
      <w:r>
        <w:rPr>
          <w:color w:val="231F20"/>
          <w:spacing w:val="20"/>
        </w:rPr>
        <w:t xml:space="preserve"> </w:t>
      </w:r>
      <w:r>
        <w:rPr>
          <w:color w:val="231F20"/>
        </w:rPr>
        <w:t>його</w:t>
      </w:r>
    </w:p>
    <w:p w14:paraId="4A7B5862" w14:textId="3839030F" w:rsidR="00DE575E" w:rsidRDefault="002E7560">
      <w:pPr>
        <w:pStyle w:val="BodyText"/>
        <w:rPr>
          <w:sz w:val="18"/>
        </w:rPr>
      </w:pPr>
      <w:r>
        <w:rPr>
          <w:noProof/>
        </w:rPr>
        <mc:AlternateContent>
          <mc:Choice Requires="wps">
            <w:drawing>
              <wp:anchor distT="0" distB="0" distL="0" distR="0" simplePos="0" relativeHeight="14080" behindDoc="0" locked="0" layoutInCell="1" allowOverlap="1" wp14:anchorId="62D4E694" wp14:editId="5A9F9C38">
                <wp:simplePos x="0" y="0"/>
                <wp:positionH relativeFrom="page">
                  <wp:posOffset>719455</wp:posOffset>
                </wp:positionH>
                <wp:positionV relativeFrom="paragraph">
                  <wp:posOffset>161925</wp:posOffset>
                </wp:positionV>
                <wp:extent cx="1080135" cy="0"/>
                <wp:effectExtent l="8255" t="9525" r="29210" b="28575"/>
                <wp:wrapTopAndBottom/>
                <wp:docPr id="50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63D0C" id="Line_x0020_504" o:spid="_x0000_s1026" style="position:absolute;z-index:1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75pt" to="141.7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5PCE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" strokecolor="#231f20" strokeweight=".5pt">
                <w10:wrap type="topAndBottom" anchorx="page"/>
              </v:line>
            </w:pict>
          </mc:Fallback>
        </mc:AlternateContent>
      </w:r>
    </w:p>
    <w:p w14:paraId="78FA8209"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Функції з обслуговування – це діяльність працівників державного </w:t>
      </w:r>
      <w:r>
        <w:rPr>
          <w:color w:val="231F20"/>
          <w:spacing w:val="-3"/>
          <w:sz w:val="16"/>
        </w:rPr>
        <w:t xml:space="preserve">органу, </w:t>
      </w:r>
      <w:r>
        <w:rPr>
          <w:color w:val="231F20"/>
          <w:sz w:val="16"/>
        </w:rPr>
        <w:t>яка не передбачає здійснення повноважень, безпосередньо пов’язаних з виконанням завдань     і функцій держави. Діяльність цих працівників регламентується КЗпП України. Функції   з обсл</w:t>
      </w:r>
      <w:r>
        <w:rPr>
          <w:color w:val="231F20"/>
          <w:sz w:val="16"/>
        </w:rPr>
        <w:t>уговування вводяться у нормативний обіг законодавства про державну службу з метою оптимізації структури державних органів, органів влади АРК та їх апарату; роз- межування посад державних службовців та посад працівників, які виконують функції з обслуговуван</w:t>
      </w:r>
      <w:r>
        <w:rPr>
          <w:color w:val="231F20"/>
          <w:sz w:val="16"/>
        </w:rPr>
        <w:t>ня; усунення з практики кадрової політики суперечностей при присвоєнні особам статусу державного службовця; визначення єдиної структури для категорії пра- цівників, які виконують функції з</w:t>
      </w:r>
      <w:r>
        <w:rPr>
          <w:color w:val="231F20"/>
          <w:spacing w:val="-4"/>
          <w:sz w:val="16"/>
        </w:rPr>
        <w:t xml:space="preserve"> </w:t>
      </w:r>
      <w:r>
        <w:rPr>
          <w:color w:val="231F20"/>
          <w:sz w:val="16"/>
        </w:rPr>
        <w:t>обслуговування.</w:t>
      </w:r>
    </w:p>
    <w:p w14:paraId="3D5B9CB0" w14:textId="77777777" w:rsidR="00DE575E" w:rsidRDefault="002E7560">
      <w:pPr>
        <w:spacing w:before="30" w:line="204" w:lineRule="auto"/>
        <w:ind w:left="533" w:right="128"/>
        <w:jc w:val="both"/>
        <w:rPr>
          <w:sz w:val="16"/>
        </w:rPr>
      </w:pPr>
      <w:r>
        <w:rPr>
          <w:color w:val="231F20"/>
          <w:position w:val="5"/>
          <w:sz w:val="9"/>
        </w:rPr>
        <w:t xml:space="preserve">2 </w:t>
      </w:r>
      <w:r>
        <w:rPr>
          <w:color w:val="231F20"/>
          <w:sz w:val="16"/>
        </w:rPr>
        <w:t>Про державну службу: Закон України від 15.12.2016</w:t>
      </w:r>
      <w:r>
        <w:rPr>
          <w:color w:val="231F20"/>
          <w:sz w:val="16"/>
        </w:rPr>
        <w:t xml:space="preserve"> р. </w:t>
      </w:r>
      <w:r>
        <w:rPr>
          <w:i/>
          <w:color w:val="231F20"/>
          <w:sz w:val="16"/>
        </w:rPr>
        <w:t>Відомості Верховної Ради  України</w:t>
      </w:r>
      <w:r>
        <w:rPr>
          <w:color w:val="231F20"/>
          <w:sz w:val="16"/>
        </w:rPr>
        <w:t xml:space="preserve">. 2016. № 4. </w:t>
      </w:r>
      <w:r>
        <w:rPr>
          <w:color w:val="231F20"/>
          <w:spacing w:val="-5"/>
          <w:sz w:val="16"/>
        </w:rPr>
        <w:t>Cт.</w:t>
      </w:r>
      <w:r>
        <w:rPr>
          <w:color w:val="231F20"/>
          <w:spacing w:val="-7"/>
          <w:sz w:val="16"/>
        </w:rPr>
        <w:t xml:space="preserve"> </w:t>
      </w:r>
      <w:r>
        <w:rPr>
          <w:color w:val="231F20"/>
          <w:sz w:val="16"/>
        </w:rPr>
        <w:t>60.</w:t>
      </w:r>
    </w:p>
    <w:p w14:paraId="7E96EADE" w14:textId="77777777" w:rsidR="00DE575E" w:rsidRDefault="00DE575E">
      <w:pPr>
        <w:pStyle w:val="BodyText"/>
        <w:spacing w:before="5"/>
        <w:rPr>
          <w:sz w:val="12"/>
        </w:rPr>
      </w:pPr>
    </w:p>
    <w:p w14:paraId="7EBD4C2B" w14:textId="77777777" w:rsidR="00DE575E" w:rsidRDefault="002E7560">
      <w:pPr>
        <w:spacing w:before="91"/>
        <w:ind w:left="533"/>
        <w:rPr>
          <w:rFonts w:ascii="Times New Roman"/>
          <w:sz w:val="20"/>
        </w:rPr>
      </w:pPr>
      <w:r>
        <w:rPr>
          <w:rFonts w:ascii="Times New Roman"/>
          <w:color w:val="231F20"/>
          <w:sz w:val="20"/>
        </w:rPr>
        <w:t>360</w:t>
      </w:r>
    </w:p>
    <w:p w14:paraId="3F2001D6" w14:textId="77777777" w:rsidR="00DE575E" w:rsidRDefault="00DE575E">
      <w:pPr>
        <w:rPr>
          <w:rFonts w:ascii="Times New Roman"/>
          <w:sz w:val="20"/>
        </w:rPr>
        <w:sectPr w:rsidR="00DE575E">
          <w:pgSz w:w="8510" w:h="12760"/>
          <w:pgMar w:top="660" w:right="720" w:bottom="280" w:left="600" w:header="720" w:footer="720" w:gutter="0"/>
          <w:cols w:space="720"/>
        </w:sectPr>
      </w:pPr>
    </w:p>
    <w:p w14:paraId="49F33E17"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13A1DFE9" w14:textId="0905C4F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C9E960F" wp14:editId="2F3B179E">
                <wp:extent cx="4140200" cy="6350"/>
                <wp:effectExtent l="0" t="0" r="12700" b="6350"/>
                <wp:docPr id="50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04" name="Line 5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1DA993" id="Group_x0020_5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CBPHOX4CAACYBQAADgAA&#10;AAAAAAAAAAAAAAAsAgAAZHJzL2Uyb0RvYy54bWxQSwECLQAUAAYACAAAACEATKewkNkAAAADAQAA&#10;DwAAAAAAAAAAAAAAAADWBAAAZHJzL2Rvd25yZXYueG1sUEsFBgAAAAAEAAQA8wAAANwFAAAAAA==&#10;">
                <v:line id="Line_x0020_5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Djb8cAAADcAAAADwAAAGRycy9kb3ducmV2LnhtbESP3WrCQBSE7wXfYTkFb0rdWGuR1FVE&#10;KEgv/El8gGP2NAndPRuzq0n79N1CwcthZr5hFqveGnGj1teOFUzGCQjiwumaSwWn/P1pDsIHZI3G&#10;MSn4Jg+r5XCwwFS7jo90y0IpIoR9igqqEJpUSl9UZNGPXUMcvU/XWgxRtqXULXYRbo18TpJXabHm&#10;uFBhQ5uKiq/sahXkl8dgDvsP0+X781SeL7vpz3Wn1OihX7+BCNSHe/i/vdUKZskL/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MONvxwAAANwAAAAPAAAAAAAA&#10;AAAAAAAAAKECAABkcnMvZG93bnJldi54bWxQSwUGAAAAAAQABAD5AAAAlQMAAAAA&#10;" strokecolor="#231f20" strokeweight=".5pt"/>
                <w10:anchorlock/>
              </v:group>
            </w:pict>
          </mc:Fallback>
        </mc:AlternateContent>
      </w:r>
    </w:p>
    <w:p w14:paraId="4417A22B" w14:textId="77777777" w:rsidR="00DE575E" w:rsidRDefault="00DE575E">
      <w:pPr>
        <w:pStyle w:val="BodyText"/>
        <w:spacing w:before="7"/>
        <w:rPr>
          <w:rFonts w:ascii="AdonisC"/>
          <w:i/>
          <w:sz w:val="19"/>
        </w:rPr>
      </w:pPr>
    </w:p>
    <w:p w14:paraId="59B5321F" w14:textId="77777777" w:rsidR="00DE575E" w:rsidRDefault="002E7560">
      <w:pPr>
        <w:pStyle w:val="BodyText"/>
        <w:spacing w:before="1" w:line="252" w:lineRule="auto"/>
        <w:ind w:left="250" w:right="410"/>
        <w:jc w:val="both"/>
      </w:pPr>
      <w:r>
        <w:rPr>
          <w:color w:val="231F20"/>
        </w:rPr>
        <w:t xml:space="preserve">заступників; керівника апарату (секретаріату) постійно діючого допоміжного </w:t>
      </w:r>
      <w:r>
        <w:rPr>
          <w:color w:val="231F20"/>
          <w:spacing w:val="-3"/>
        </w:rPr>
        <w:t xml:space="preserve">органу, </w:t>
      </w:r>
      <w:r>
        <w:rPr>
          <w:color w:val="231F20"/>
        </w:rPr>
        <w:t xml:space="preserve">утвореного Президентом </w:t>
      </w:r>
      <w:r>
        <w:rPr>
          <w:color w:val="231F20"/>
          <w:spacing w:val="-3"/>
        </w:rPr>
        <w:t xml:space="preserve">України; </w:t>
      </w:r>
      <w:r>
        <w:rPr>
          <w:color w:val="231F20"/>
        </w:rPr>
        <w:t xml:space="preserve">Держав- ного секретаря Кабінету Міністрів </w:t>
      </w:r>
      <w:r>
        <w:rPr>
          <w:color w:val="231F20"/>
          <w:spacing w:val="-3"/>
        </w:rPr>
        <w:t xml:space="preserve">України </w:t>
      </w:r>
      <w:r>
        <w:rPr>
          <w:color w:val="231F20"/>
        </w:rPr>
        <w:t xml:space="preserve">та його заступників, державних секретарів міністерств; керівників центральних органів виконавчої влади, які не є членами Кабінету Міністрів </w:t>
      </w:r>
      <w:r>
        <w:rPr>
          <w:color w:val="231F20"/>
          <w:spacing w:val="-3"/>
        </w:rPr>
        <w:t xml:space="preserve">України,  </w:t>
      </w:r>
      <w:r>
        <w:rPr>
          <w:color w:val="231F20"/>
        </w:rPr>
        <w:t xml:space="preserve">та  їх заступників; керівників апаратів Конституційного </w:t>
      </w:r>
      <w:r>
        <w:rPr>
          <w:color w:val="231F20"/>
          <w:spacing w:val="-5"/>
        </w:rPr>
        <w:t xml:space="preserve">Суду </w:t>
      </w:r>
      <w:r>
        <w:rPr>
          <w:color w:val="231F20"/>
          <w:spacing w:val="-3"/>
        </w:rPr>
        <w:t xml:space="preserve">України, </w:t>
      </w:r>
      <w:r>
        <w:rPr>
          <w:color w:val="231F20"/>
        </w:rPr>
        <w:t xml:space="preserve">Верховного </w:t>
      </w:r>
      <w:r>
        <w:rPr>
          <w:color w:val="231F20"/>
          <w:spacing w:val="-5"/>
        </w:rPr>
        <w:t xml:space="preserve">Суду </w:t>
      </w:r>
      <w:r>
        <w:rPr>
          <w:color w:val="231F20"/>
          <w:spacing w:val="-3"/>
        </w:rPr>
        <w:t xml:space="preserve">України, </w:t>
      </w:r>
      <w:r>
        <w:rPr>
          <w:color w:val="231F20"/>
        </w:rPr>
        <w:t>вищих спеці</w:t>
      </w:r>
      <w:r>
        <w:rPr>
          <w:color w:val="231F20"/>
        </w:rPr>
        <w:t xml:space="preserve">алізованих </w:t>
      </w:r>
      <w:r>
        <w:rPr>
          <w:color w:val="231F20"/>
          <w:spacing w:val="-3"/>
        </w:rPr>
        <w:t xml:space="preserve">судів </w:t>
      </w:r>
      <w:r>
        <w:rPr>
          <w:color w:val="231F20"/>
        </w:rPr>
        <w:t>та їх заступ- ників,</w:t>
      </w:r>
      <w:r>
        <w:rPr>
          <w:color w:val="231F20"/>
          <w:spacing w:val="-12"/>
        </w:rPr>
        <w:t xml:space="preserve"> </w:t>
      </w:r>
      <w:r>
        <w:rPr>
          <w:color w:val="231F20"/>
        </w:rPr>
        <w:t>керівників</w:t>
      </w:r>
      <w:r>
        <w:rPr>
          <w:color w:val="231F20"/>
          <w:spacing w:val="-12"/>
        </w:rPr>
        <w:t xml:space="preserve"> </w:t>
      </w:r>
      <w:r>
        <w:rPr>
          <w:color w:val="231F20"/>
        </w:rPr>
        <w:t>секретаріатів</w:t>
      </w:r>
      <w:r>
        <w:rPr>
          <w:color w:val="231F20"/>
          <w:spacing w:val="-12"/>
        </w:rPr>
        <w:t xml:space="preserve"> </w:t>
      </w:r>
      <w:r>
        <w:rPr>
          <w:color w:val="231F20"/>
        </w:rPr>
        <w:t>Вищої</w:t>
      </w:r>
      <w:r>
        <w:rPr>
          <w:color w:val="231F20"/>
          <w:spacing w:val="-12"/>
        </w:rPr>
        <w:t xml:space="preserve"> </w:t>
      </w:r>
      <w:r>
        <w:rPr>
          <w:color w:val="231F20"/>
        </w:rPr>
        <w:t>ради</w:t>
      </w:r>
      <w:r>
        <w:rPr>
          <w:color w:val="231F20"/>
          <w:spacing w:val="-12"/>
        </w:rPr>
        <w:t xml:space="preserve"> </w:t>
      </w:r>
      <w:r>
        <w:rPr>
          <w:color w:val="231F20"/>
        </w:rPr>
        <w:t>правосуддя,</w:t>
      </w:r>
      <w:r>
        <w:rPr>
          <w:color w:val="231F20"/>
          <w:spacing w:val="-12"/>
        </w:rPr>
        <w:t xml:space="preserve"> </w:t>
      </w:r>
      <w:r>
        <w:rPr>
          <w:color w:val="231F20"/>
        </w:rPr>
        <w:t>Вищої</w:t>
      </w:r>
      <w:r>
        <w:rPr>
          <w:color w:val="231F20"/>
          <w:spacing w:val="-12"/>
        </w:rPr>
        <w:t xml:space="preserve"> </w:t>
      </w:r>
      <w:r>
        <w:rPr>
          <w:color w:val="231F20"/>
        </w:rPr>
        <w:t xml:space="preserve">квалі- фікаційної комісії </w:t>
      </w:r>
      <w:r>
        <w:rPr>
          <w:color w:val="231F20"/>
          <w:spacing w:val="-3"/>
        </w:rPr>
        <w:t xml:space="preserve">суддів України </w:t>
      </w:r>
      <w:r>
        <w:rPr>
          <w:color w:val="231F20"/>
        </w:rPr>
        <w:t xml:space="preserve">та їх заступників, </w:t>
      </w:r>
      <w:r>
        <w:rPr>
          <w:color w:val="231F20"/>
          <w:spacing w:val="-3"/>
        </w:rPr>
        <w:t xml:space="preserve">Голови </w:t>
      </w:r>
      <w:r>
        <w:rPr>
          <w:color w:val="231F20"/>
        </w:rPr>
        <w:t xml:space="preserve">Держав- ної </w:t>
      </w:r>
      <w:r>
        <w:rPr>
          <w:color w:val="231F20"/>
          <w:spacing w:val="-3"/>
        </w:rPr>
        <w:t xml:space="preserve">судової </w:t>
      </w:r>
      <w:r>
        <w:rPr>
          <w:color w:val="231F20"/>
        </w:rPr>
        <w:t xml:space="preserve">адміністрації </w:t>
      </w:r>
      <w:r>
        <w:rPr>
          <w:color w:val="231F20"/>
          <w:spacing w:val="-3"/>
        </w:rPr>
        <w:t xml:space="preserve">України </w:t>
      </w:r>
      <w:r>
        <w:rPr>
          <w:color w:val="231F20"/>
        </w:rPr>
        <w:t>та його заступників; керівників державної служби в інши</w:t>
      </w:r>
      <w:r>
        <w:rPr>
          <w:color w:val="231F20"/>
        </w:rPr>
        <w:t>х державних органах, юрисдикція яких поширюється на всю територію</w:t>
      </w:r>
      <w:r>
        <w:rPr>
          <w:color w:val="231F20"/>
          <w:spacing w:val="-2"/>
        </w:rPr>
        <w:t xml:space="preserve"> </w:t>
      </w:r>
      <w:r>
        <w:rPr>
          <w:color w:val="231F20"/>
          <w:spacing w:val="-3"/>
        </w:rPr>
        <w:t>України;</w:t>
      </w:r>
    </w:p>
    <w:p w14:paraId="1750BBB0" w14:textId="77777777" w:rsidR="00DE575E" w:rsidRDefault="002E7560">
      <w:pPr>
        <w:pStyle w:val="ListParagraph"/>
        <w:numPr>
          <w:ilvl w:val="0"/>
          <w:numId w:val="107"/>
        </w:numPr>
        <w:tabs>
          <w:tab w:val="left" w:pos="818"/>
        </w:tabs>
        <w:spacing w:before="6" w:line="252" w:lineRule="auto"/>
        <w:ind w:right="408" w:firstLine="283"/>
        <w:jc w:val="both"/>
        <w:rPr>
          <w:sz w:val="21"/>
        </w:rPr>
      </w:pPr>
      <w:r>
        <w:rPr>
          <w:color w:val="231F20"/>
          <w:sz w:val="21"/>
        </w:rPr>
        <w:t>категорія</w:t>
      </w:r>
      <w:r>
        <w:rPr>
          <w:color w:val="231F20"/>
          <w:spacing w:val="-4"/>
          <w:sz w:val="21"/>
        </w:rPr>
        <w:t xml:space="preserve"> </w:t>
      </w:r>
      <w:r>
        <w:rPr>
          <w:color w:val="231F20"/>
          <w:sz w:val="21"/>
        </w:rPr>
        <w:t>«Б»,</w:t>
      </w:r>
      <w:r>
        <w:rPr>
          <w:color w:val="231F20"/>
          <w:spacing w:val="-4"/>
          <w:sz w:val="21"/>
        </w:rPr>
        <w:t xml:space="preserve"> </w:t>
      </w:r>
      <w:r>
        <w:rPr>
          <w:color w:val="231F20"/>
          <w:sz w:val="21"/>
        </w:rPr>
        <w:t>до</w:t>
      </w:r>
      <w:r>
        <w:rPr>
          <w:color w:val="231F20"/>
          <w:spacing w:val="-5"/>
          <w:sz w:val="21"/>
        </w:rPr>
        <w:t xml:space="preserve"> </w:t>
      </w:r>
      <w:r>
        <w:rPr>
          <w:color w:val="231F20"/>
          <w:sz w:val="21"/>
        </w:rPr>
        <w:t>якої</w:t>
      </w:r>
      <w:r>
        <w:rPr>
          <w:color w:val="231F20"/>
          <w:spacing w:val="-4"/>
          <w:sz w:val="21"/>
        </w:rPr>
        <w:t xml:space="preserve"> </w:t>
      </w:r>
      <w:r>
        <w:rPr>
          <w:color w:val="231F20"/>
          <w:sz w:val="21"/>
        </w:rPr>
        <w:t>віднесено</w:t>
      </w:r>
      <w:r>
        <w:rPr>
          <w:color w:val="231F20"/>
          <w:spacing w:val="-5"/>
          <w:sz w:val="21"/>
        </w:rPr>
        <w:t xml:space="preserve"> </w:t>
      </w:r>
      <w:r>
        <w:rPr>
          <w:color w:val="231F20"/>
          <w:sz w:val="21"/>
        </w:rPr>
        <w:t>посади:</w:t>
      </w:r>
      <w:r>
        <w:rPr>
          <w:color w:val="231F20"/>
          <w:spacing w:val="-5"/>
          <w:sz w:val="21"/>
        </w:rPr>
        <w:t xml:space="preserve"> </w:t>
      </w:r>
      <w:r>
        <w:rPr>
          <w:color w:val="231F20"/>
          <w:sz w:val="21"/>
        </w:rPr>
        <w:t>керівників</w:t>
      </w:r>
      <w:r>
        <w:rPr>
          <w:color w:val="231F20"/>
          <w:spacing w:val="-5"/>
          <w:sz w:val="21"/>
        </w:rPr>
        <w:t xml:space="preserve"> </w:t>
      </w:r>
      <w:r>
        <w:rPr>
          <w:color w:val="231F20"/>
          <w:sz w:val="21"/>
        </w:rPr>
        <w:t>і</w:t>
      </w:r>
      <w:r>
        <w:rPr>
          <w:color w:val="231F20"/>
          <w:spacing w:val="-6"/>
          <w:sz w:val="21"/>
        </w:rPr>
        <w:t xml:space="preserve"> </w:t>
      </w:r>
      <w:r>
        <w:rPr>
          <w:color w:val="231F20"/>
          <w:sz w:val="21"/>
        </w:rPr>
        <w:t>заступни- ків</w:t>
      </w:r>
      <w:r>
        <w:rPr>
          <w:color w:val="231F20"/>
          <w:spacing w:val="-11"/>
          <w:sz w:val="21"/>
        </w:rPr>
        <w:t xml:space="preserve"> </w:t>
      </w:r>
      <w:r>
        <w:rPr>
          <w:color w:val="231F20"/>
          <w:sz w:val="21"/>
        </w:rPr>
        <w:t>керівників</w:t>
      </w:r>
      <w:r>
        <w:rPr>
          <w:color w:val="231F20"/>
          <w:spacing w:val="-11"/>
          <w:sz w:val="21"/>
        </w:rPr>
        <w:t xml:space="preserve"> </w:t>
      </w:r>
      <w:r>
        <w:rPr>
          <w:color w:val="231F20"/>
          <w:sz w:val="21"/>
        </w:rPr>
        <w:t>державних</w:t>
      </w:r>
      <w:r>
        <w:rPr>
          <w:color w:val="231F20"/>
          <w:spacing w:val="-11"/>
          <w:sz w:val="21"/>
        </w:rPr>
        <w:t xml:space="preserve"> </w:t>
      </w:r>
      <w:r>
        <w:rPr>
          <w:color w:val="231F20"/>
          <w:sz w:val="21"/>
        </w:rPr>
        <w:t>органів,</w:t>
      </w:r>
      <w:r>
        <w:rPr>
          <w:color w:val="231F20"/>
          <w:spacing w:val="-11"/>
          <w:sz w:val="21"/>
        </w:rPr>
        <w:t xml:space="preserve"> </w:t>
      </w:r>
      <w:r>
        <w:rPr>
          <w:color w:val="231F20"/>
          <w:sz w:val="21"/>
        </w:rPr>
        <w:t>юрисдикція</w:t>
      </w:r>
      <w:r>
        <w:rPr>
          <w:color w:val="231F20"/>
          <w:spacing w:val="-11"/>
          <w:sz w:val="21"/>
        </w:rPr>
        <w:t xml:space="preserve"> </w:t>
      </w:r>
      <w:r>
        <w:rPr>
          <w:color w:val="231F20"/>
          <w:sz w:val="21"/>
        </w:rPr>
        <w:t>яких</w:t>
      </w:r>
      <w:r>
        <w:rPr>
          <w:color w:val="231F20"/>
          <w:spacing w:val="-11"/>
          <w:sz w:val="21"/>
        </w:rPr>
        <w:t xml:space="preserve"> </w:t>
      </w:r>
      <w:r>
        <w:rPr>
          <w:color w:val="231F20"/>
          <w:sz w:val="21"/>
        </w:rPr>
        <w:t>поширюється</w:t>
      </w:r>
      <w:r>
        <w:rPr>
          <w:color w:val="231F20"/>
          <w:spacing w:val="-11"/>
          <w:sz w:val="21"/>
        </w:rPr>
        <w:t xml:space="preserve"> </w:t>
      </w:r>
      <w:r>
        <w:rPr>
          <w:color w:val="231F20"/>
          <w:sz w:val="21"/>
        </w:rPr>
        <w:t>на територію Автономної Республіки Крим, однієї або кількох облас- тей, міст Києва і Севастополя, одного або кількох районів, районів   у містах, міст  обласного  значення;  керівників  державної  служби  у державних органах, юрисдикція яких поширюється на</w:t>
      </w:r>
      <w:r>
        <w:rPr>
          <w:color w:val="231F20"/>
          <w:sz w:val="21"/>
        </w:rPr>
        <w:t xml:space="preserve"> територію Автономної</w:t>
      </w:r>
      <w:r>
        <w:rPr>
          <w:color w:val="231F20"/>
          <w:spacing w:val="-17"/>
          <w:sz w:val="21"/>
        </w:rPr>
        <w:t xml:space="preserve"> </w:t>
      </w:r>
      <w:r>
        <w:rPr>
          <w:color w:val="231F20"/>
          <w:sz w:val="21"/>
        </w:rPr>
        <w:t>Республіки</w:t>
      </w:r>
      <w:r>
        <w:rPr>
          <w:color w:val="231F20"/>
          <w:spacing w:val="-17"/>
          <w:sz w:val="21"/>
        </w:rPr>
        <w:t xml:space="preserve"> </w:t>
      </w:r>
      <w:r>
        <w:rPr>
          <w:color w:val="231F20"/>
          <w:sz w:val="21"/>
        </w:rPr>
        <w:t>Крим,</w:t>
      </w:r>
      <w:r>
        <w:rPr>
          <w:color w:val="231F20"/>
          <w:spacing w:val="-17"/>
          <w:sz w:val="21"/>
        </w:rPr>
        <w:t xml:space="preserve"> </w:t>
      </w:r>
      <w:r>
        <w:rPr>
          <w:color w:val="231F20"/>
          <w:sz w:val="21"/>
        </w:rPr>
        <w:t>однієї</w:t>
      </w:r>
      <w:r>
        <w:rPr>
          <w:color w:val="231F20"/>
          <w:spacing w:val="-17"/>
          <w:sz w:val="21"/>
        </w:rPr>
        <w:t xml:space="preserve"> </w:t>
      </w:r>
      <w:r>
        <w:rPr>
          <w:color w:val="231F20"/>
          <w:sz w:val="21"/>
        </w:rPr>
        <w:t>або</w:t>
      </w:r>
      <w:r>
        <w:rPr>
          <w:color w:val="231F20"/>
          <w:spacing w:val="-17"/>
          <w:sz w:val="21"/>
        </w:rPr>
        <w:t xml:space="preserve"> </w:t>
      </w:r>
      <w:r>
        <w:rPr>
          <w:color w:val="231F20"/>
          <w:sz w:val="21"/>
        </w:rPr>
        <w:t>кількох</w:t>
      </w:r>
      <w:r>
        <w:rPr>
          <w:color w:val="231F20"/>
          <w:spacing w:val="-17"/>
          <w:sz w:val="21"/>
        </w:rPr>
        <w:t xml:space="preserve"> </w:t>
      </w:r>
      <w:r>
        <w:rPr>
          <w:color w:val="231F20"/>
          <w:sz w:val="21"/>
        </w:rPr>
        <w:t>областей,</w:t>
      </w:r>
      <w:r>
        <w:rPr>
          <w:color w:val="231F20"/>
          <w:spacing w:val="-17"/>
          <w:sz w:val="21"/>
        </w:rPr>
        <w:t xml:space="preserve"> </w:t>
      </w:r>
      <w:r>
        <w:rPr>
          <w:color w:val="231F20"/>
          <w:sz w:val="21"/>
        </w:rPr>
        <w:t>міст</w:t>
      </w:r>
      <w:r>
        <w:rPr>
          <w:color w:val="231F20"/>
          <w:spacing w:val="-17"/>
          <w:sz w:val="21"/>
        </w:rPr>
        <w:t xml:space="preserve"> </w:t>
      </w:r>
      <w:r>
        <w:rPr>
          <w:color w:val="231F20"/>
          <w:sz w:val="21"/>
        </w:rPr>
        <w:t>Києва і Севастополя, одного або кількох районів, районів у містах, міст обласного</w:t>
      </w:r>
      <w:r>
        <w:rPr>
          <w:color w:val="231F20"/>
          <w:spacing w:val="-9"/>
          <w:sz w:val="21"/>
        </w:rPr>
        <w:t xml:space="preserve"> </w:t>
      </w:r>
      <w:r>
        <w:rPr>
          <w:color w:val="231F20"/>
          <w:sz w:val="21"/>
        </w:rPr>
        <w:t>значення;</w:t>
      </w:r>
      <w:r>
        <w:rPr>
          <w:color w:val="231F20"/>
          <w:spacing w:val="-9"/>
          <w:sz w:val="21"/>
        </w:rPr>
        <w:t xml:space="preserve"> </w:t>
      </w:r>
      <w:r>
        <w:rPr>
          <w:color w:val="231F20"/>
          <w:sz w:val="21"/>
        </w:rPr>
        <w:t>керівників</w:t>
      </w:r>
      <w:r>
        <w:rPr>
          <w:color w:val="231F20"/>
          <w:spacing w:val="-9"/>
          <w:sz w:val="21"/>
        </w:rPr>
        <w:t xml:space="preserve"> </w:t>
      </w:r>
      <w:r>
        <w:rPr>
          <w:color w:val="231F20"/>
          <w:sz w:val="21"/>
        </w:rPr>
        <w:t>та</w:t>
      </w:r>
      <w:r>
        <w:rPr>
          <w:color w:val="231F20"/>
          <w:spacing w:val="-9"/>
          <w:sz w:val="21"/>
        </w:rPr>
        <w:t xml:space="preserve"> </w:t>
      </w:r>
      <w:r>
        <w:rPr>
          <w:color w:val="231F20"/>
          <w:sz w:val="21"/>
        </w:rPr>
        <w:t>заступників</w:t>
      </w:r>
      <w:r>
        <w:rPr>
          <w:color w:val="231F20"/>
          <w:spacing w:val="-9"/>
          <w:sz w:val="21"/>
        </w:rPr>
        <w:t xml:space="preserve"> </w:t>
      </w:r>
      <w:r>
        <w:rPr>
          <w:color w:val="231F20"/>
          <w:sz w:val="21"/>
        </w:rPr>
        <w:t>керівників</w:t>
      </w:r>
      <w:r>
        <w:rPr>
          <w:color w:val="231F20"/>
          <w:spacing w:val="-9"/>
          <w:sz w:val="21"/>
        </w:rPr>
        <w:t xml:space="preserve"> </w:t>
      </w:r>
      <w:r>
        <w:rPr>
          <w:color w:val="231F20"/>
          <w:sz w:val="21"/>
        </w:rPr>
        <w:t xml:space="preserve">структур- них підрозділів державних органів незалежно </w:t>
      </w:r>
      <w:r>
        <w:rPr>
          <w:color w:val="231F20"/>
          <w:sz w:val="21"/>
        </w:rPr>
        <w:t>від рівня юрисдикції таких державних</w:t>
      </w:r>
      <w:r>
        <w:rPr>
          <w:color w:val="231F20"/>
          <w:spacing w:val="-2"/>
          <w:sz w:val="21"/>
        </w:rPr>
        <w:t xml:space="preserve"> </w:t>
      </w:r>
      <w:r>
        <w:rPr>
          <w:color w:val="231F20"/>
          <w:sz w:val="21"/>
        </w:rPr>
        <w:t>органів;</w:t>
      </w:r>
    </w:p>
    <w:p w14:paraId="0F3CFC0C" w14:textId="77777777" w:rsidR="00DE575E" w:rsidRDefault="002E7560">
      <w:pPr>
        <w:pStyle w:val="ListParagraph"/>
        <w:numPr>
          <w:ilvl w:val="0"/>
          <w:numId w:val="107"/>
        </w:numPr>
        <w:tabs>
          <w:tab w:val="left" w:pos="818"/>
        </w:tabs>
        <w:spacing w:before="5" w:line="252" w:lineRule="auto"/>
        <w:ind w:right="410" w:firstLine="283"/>
        <w:jc w:val="both"/>
        <w:rPr>
          <w:sz w:val="21"/>
        </w:rPr>
      </w:pPr>
      <w:r>
        <w:rPr>
          <w:color w:val="231F20"/>
          <w:sz w:val="21"/>
        </w:rPr>
        <w:t>категорія</w:t>
      </w:r>
      <w:r>
        <w:rPr>
          <w:color w:val="231F20"/>
          <w:spacing w:val="-13"/>
          <w:sz w:val="21"/>
        </w:rPr>
        <w:t xml:space="preserve"> </w:t>
      </w:r>
      <w:r>
        <w:rPr>
          <w:color w:val="231F20"/>
          <w:sz w:val="21"/>
        </w:rPr>
        <w:t>«В»,</w:t>
      </w:r>
      <w:r>
        <w:rPr>
          <w:color w:val="231F20"/>
          <w:spacing w:val="-13"/>
          <w:sz w:val="21"/>
        </w:rPr>
        <w:t xml:space="preserve"> </w:t>
      </w:r>
      <w:r>
        <w:rPr>
          <w:color w:val="231F20"/>
          <w:sz w:val="21"/>
        </w:rPr>
        <w:t>до</w:t>
      </w:r>
      <w:r>
        <w:rPr>
          <w:color w:val="231F20"/>
          <w:spacing w:val="-13"/>
          <w:sz w:val="21"/>
        </w:rPr>
        <w:t xml:space="preserve"> </w:t>
      </w:r>
      <w:r>
        <w:rPr>
          <w:color w:val="231F20"/>
          <w:sz w:val="21"/>
        </w:rPr>
        <w:t>якої</w:t>
      </w:r>
      <w:r>
        <w:rPr>
          <w:color w:val="231F20"/>
          <w:spacing w:val="-13"/>
          <w:sz w:val="21"/>
        </w:rPr>
        <w:t xml:space="preserve"> </w:t>
      </w:r>
      <w:r>
        <w:rPr>
          <w:color w:val="231F20"/>
          <w:sz w:val="21"/>
        </w:rPr>
        <w:t>віднесено</w:t>
      </w:r>
      <w:r>
        <w:rPr>
          <w:color w:val="231F20"/>
          <w:spacing w:val="-14"/>
          <w:sz w:val="21"/>
        </w:rPr>
        <w:t xml:space="preserve"> </w:t>
      </w:r>
      <w:r>
        <w:rPr>
          <w:color w:val="231F20"/>
          <w:sz w:val="21"/>
        </w:rPr>
        <w:t>інші</w:t>
      </w:r>
      <w:r>
        <w:rPr>
          <w:color w:val="231F20"/>
          <w:spacing w:val="-13"/>
          <w:sz w:val="21"/>
        </w:rPr>
        <w:t xml:space="preserve"> </w:t>
      </w:r>
      <w:r>
        <w:rPr>
          <w:color w:val="231F20"/>
          <w:sz w:val="21"/>
        </w:rPr>
        <w:t>посади</w:t>
      </w:r>
      <w:r>
        <w:rPr>
          <w:color w:val="231F20"/>
          <w:spacing w:val="-13"/>
          <w:sz w:val="21"/>
        </w:rPr>
        <w:t xml:space="preserve"> </w:t>
      </w:r>
      <w:r>
        <w:rPr>
          <w:color w:val="231F20"/>
          <w:sz w:val="21"/>
        </w:rPr>
        <w:t>державної</w:t>
      </w:r>
      <w:r>
        <w:rPr>
          <w:color w:val="231F20"/>
          <w:spacing w:val="-13"/>
          <w:sz w:val="21"/>
        </w:rPr>
        <w:t xml:space="preserve"> </w:t>
      </w:r>
      <w:r>
        <w:rPr>
          <w:color w:val="231F20"/>
          <w:sz w:val="21"/>
        </w:rPr>
        <w:t>служби, яких не включено до категорій «А» і</w:t>
      </w:r>
      <w:r>
        <w:rPr>
          <w:color w:val="231F20"/>
          <w:spacing w:val="-4"/>
          <w:sz w:val="21"/>
        </w:rPr>
        <w:t xml:space="preserve"> </w:t>
      </w:r>
      <w:r>
        <w:rPr>
          <w:color w:val="231F20"/>
          <w:sz w:val="21"/>
        </w:rPr>
        <w:t>«Б».</w:t>
      </w:r>
    </w:p>
    <w:p w14:paraId="319E192C" w14:textId="77777777" w:rsidR="00DE575E" w:rsidRDefault="002E7560">
      <w:pPr>
        <w:pStyle w:val="BodyText"/>
        <w:spacing w:before="1" w:line="252" w:lineRule="auto"/>
        <w:ind w:left="250" w:right="407" w:firstLine="283"/>
        <w:jc w:val="both"/>
      </w:pPr>
      <w:r>
        <w:rPr>
          <w:color w:val="231F20"/>
        </w:rPr>
        <w:t>Кожна з посад державної служби характеризується відповідним профілем, який відображає комплексну характеристику посади державної служби, що  містить  деталізований  опис  виконуваної  за посадою роботи та перелік необхідних державному службовцю для  викона</w:t>
      </w:r>
      <w:r>
        <w:rPr>
          <w:color w:val="231F20"/>
        </w:rPr>
        <w:t>ння   посадових   обов’язків   спеціальних   знань,   умінь і</w:t>
      </w:r>
      <w:r>
        <w:rPr>
          <w:color w:val="231F20"/>
          <w:spacing w:val="3"/>
        </w:rPr>
        <w:t xml:space="preserve"> </w:t>
      </w:r>
      <w:r>
        <w:rPr>
          <w:color w:val="231F20"/>
        </w:rPr>
        <w:t>навичок.</w:t>
      </w:r>
    </w:p>
    <w:p w14:paraId="19388B66" w14:textId="77777777" w:rsidR="00DE575E" w:rsidRDefault="002E7560">
      <w:pPr>
        <w:pStyle w:val="BodyText"/>
        <w:spacing w:before="3" w:line="252" w:lineRule="auto"/>
        <w:ind w:left="250" w:right="409" w:firstLine="283"/>
        <w:jc w:val="both"/>
      </w:pPr>
      <w:r>
        <w:rPr>
          <w:color w:val="231F20"/>
        </w:rPr>
        <w:t>Визначення підкатегорій посад державної служби та прирів- няння посад державної служби  проводиться  Кабінетом  Мініст-  рів України за поданням центрального органу виконавчої  влади, щ</w:t>
      </w:r>
      <w:r>
        <w:rPr>
          <w:color w:val="231F20"/>
        </w:rPr>
        <w:t>о забезпечує формування та реалізує державну політику у сфері державної</w:t>
      </w:r>
      <w:r>
        <w:rPr>
          <w:color w:val="231F20"/>
          <w:spacing w:val="3"/>
        </w:rPr>
        <w:t xml:space="preserve"> </w:t>
      </w:r>
      <w:r>
        <w:rPr>
          <w:color w:val="231F20"/>
        </w:rPr>
        <w:t>служби.</w:t>
      </w:r>
    </w:p>
    <w:p w14:paraId="29487670" w14:textId="77777777" w:rsidR="00DE575E" w:rsidRDefault="002E7560">
      <w:pPr>
        <w:pStyle w:val="BodyText"/>
        <w:spacing w:before="2" w:line="252" w:lineRule="auto"/>
        <w:ind w:left="250" w:right="411" w:firstLine="283"/>
        <w:jc w:val="both"/>
      </w:pPr>
      <w:r>
        <w:rPr>
          <w:color w:val="231F20"/>
        </w:rPr>
        <w:t>Залежно</w:t>
      </w:r>
      <w:r>
        <w:rPr>
          <w:color w:val="231F20"/>
          <w:spacing w:val="-12"/>
        </w:rPr>
        <w:t xml:space="preserve"> </w:t>
      </w:r>
      <w:r>
        <w:rPr>
          <w:color w:val="231F20"/>
        </w:rPr>
        <w:t>від</w:t>
      </w:r>
      <w:r>
        <w:rPr>
          <w:color w:val="231F20"/>
          <w:spacing w:val="-12"/>
        </w:rPr>
        <w:t xml:space="preserve"> </w:t>
      </w:r>
      <w:r>
        <w:rPr>
          <w:color w:val="231F20"/>
        </w:rPr>
        <w:t>категорії</w:t>
      </w:r>
      <w:r>
        <w:rPr>
          <w:color w:val="231F20"/>
          <w:spacing w:val="-12"/>
        </w:rPr>
        <w:t xml:space="preserve"> </w:t>
      </w:r>
      <w:r>
        <w:rPr>
          <w:color w:val="231F20"/>
        </w:rPr>
        <w:t>посади</w:t>
      </w:r>
      <w:r>
        <w:rPr>
          <w:color w:val="231F20"/>
          <w:spacing w:val="-12"/>
        </w:rPr>
        <w:t xml:space="preserve"> </w:t>
      </w:r>
      <w:r>
        <w:rPr>
          <w:color w:val="231F20"/>
        </w:rPr>
        <w:t>визначається</w:t>
      </w:r>
      <w:r>
        <w:rPr>
          <w:color w:val="231F20"/>
          <w:spacing w:val="-13"/>
        </w:rPr>
        <w:t xml:space="preserve"> </w:t>
      </w:r>
      <w:r>
        <w:rPr>
          <w:i/>
          <w:color w:val="231F20"/>
        </w:rPr>
        <w:t>ранг</w:t>
      </w:r>
      <w:r>
        <w:rPr>
          <w:i/>
          <w:color w:val="231F20"/>
          <w:spacing w:val="-12"/>
        </w:rPr>
        <w:t xml:space="preserve"> </w:t>
      </w:r>
      <w:r>
        <w:rPr>
          <w:i/>
          <w:color w:val="231F20"/>
        </w:rPr>
        <w:t>посади</w:t>
      </w:r>
      <w:r>
        <w:rPr>
          <w:i/>
          <w:color w:val="231F20"/>
          <w:spacing w:val="-12"/>
        </w:rPr>
        <w:t xml:space="preserve"> </w:t>
      </w:r>
      <w:r>
        <w:rPr>
          <w:i/>
          <w:color w:val="231F20"/>
        </w:rPr>
        <w:t>державної служби</w:t>
      </w:r>
      <w:r>
        <w:rPr>
          <w:color w:val="231F20"/>
        </w:rPr>
        <w:t xml:space="preserve">. Відповідно до Закону </w:t>
      </w:r>
      <w:r>
        <w:rPr>
          <w:color w:val="231F20"/>
          <w:spacing w:val="-3"/>
        </w:rPr>
        <w:t xml:space="preserve">України </w:t>
      </w:r>
      <w:r>
        <w:rPr>
          <w:color w:val="231F20"/>
        </w:rPr>
        <w:t>«Про державну службу» вста- новлюється дев’ять рангів державних службовців,</w:t>
      </w:r>
      <w:r>
        <w:rPr>
          <w:color w:val="231F20"/>
        </w:rPr>
        <w:t xml:space="preserve"> що</w:t>
      </w:r>
      <w:r>
        <w:rPr>
          <w:color w:val="231F20"/>
          <w:spacing w:val="-34"/>
        </w:rPr>
        <w:t xml:space="preserve"> </w:t>
      </w:r>
      <w:r>
        <w:rPr>
          <w:color w:val="231F20"/>
        </w:rPr>
        <w:t>визначаються</w:t>
      </w:r>
    </w:p>
    <w:p w14:paraId="5BF46ADF" w14:textId="77777777" w:rsidR="00DE575E" w:rsidRDefault="00DE575E">
      <w:pPr>
        <w:pStyle w:val="BodyText"/>
        <w:spacing w:before="6"/>
        <w:rPr>
          <w:sz w:val="12"/>
        </w:rPr>
      </w:pPr>
    </w:p>
    <w:p w14:paraId="4AB4D217" w14:textId="77777777" w:rsidR="00DE575E" w:rsidRDefault="002E7560">
      <w:pPr>
        <w:spacing w:before="92"/>
        <w:ind w:right="411"/>
        <w:jc w:val="right"/>
        <w:rPr>
          <w:rFonts w:ascii="Times New Roman"/>
          <w:sz w:val="20"/>
        </w:rPr>
      </w:pPr>
      <w:r>
        <w:rPr>
          <w:rFonts w:ascii="Times New Roman"/>
          <w:color w:val="231F20"/>
          <w:w w:val="90"/>
          <w:sz w:val="20"/>
        </w:rPr>
        <w:t>361</w:t>
      </w:r>
    </w:p>
    <w:p w14:paraId="15EC977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07BABA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3746C47" w14:textId="54185A9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E16EDEB" wp14:editId="00F863C6">
                <wp:extent cx="4140200" cy="6350"/>
                <wp:effectExtent l="0" t="0" r="12700" b="6350"/>
                <wp:docPr id="50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02" name="Line 50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9EDD10" id="Group_x0020_50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0zKh34CAACYBQAADgAA&#10;AAAAAAAAAAAAAAAsAgAAZHJzL2Uyb0RvYy54bWxQSwECLQAUAAYACAAAACEATKewkNkAAAADAQAA&#10;DwAAAAAAAAAAAAAAAADWBAAAZHJzL2Rvd25yZXYueG1sUEsFBgAAAAAEAAQA8wAAANwFAAAAAA==&#10;">
                <v:line id="Line_x0020_50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XegMYAAADcAAAADwAAAGRycy9kb3ducmV2LnhtbESP3WrCQBSE7wu+w3IKvZG6UVFKdBUR&#10;CqUX/sUHOGaPSeju2ZhdTfTpuwWhl8PMfMPMl5014kaNrxwrGA4SEMS50xUXCo7Z5/sHCB+QNRrH&#10;pOBOHpaL3sscU+1a3tPtEAoRIexTVFCGUKdS+rwki37gauLonV1jMUTZFFI32Ea4NXKUJFNpseK4&#10;UGJN65Lyn8PVKsgu/WB222/TZtvTWJ4um/HjulHq7bVbzUAE6sJ/+Nn+0gomyQj+zsQj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V3oDGAAAA3AAAAA8AAAAAAAAA&#10;AAAAAAAAoQIAAGRycy9kb3ducmV2LnhtbFBLBQYAAAAABAAEAPkAAACUAwAAAAA=&#10;" strokecolor="#231f20" strokeweight=".5pt"/>
                <w10:anchorlock/>
              </v:group>
            </w:pict>
          </mc:Fallback>
        </mc:AlternateContent>
      </w:r>
    </w:p>
    <w:p w14:paraId="746A8E05" w14:textId="77777777" w:rsidR="00DE575E" w:rsidRDefault="00DE575E">
      <w:pPr>
        <w:pStyle w:val="BodyText"/>
        <w:spacing w:before="7"/>
        <w:rPr>
          <w:rFonts w:ascii="AdonisC"/>
          <w:i/>
          <w:sz w:val="11"/>
        </w:rPr>
      </w:pPr>
    </w:p>
    <w:p w14:paraId="36D758CB" w14:textId="77777777" w:rsidR="00DE575E" w:rsidRDefault="002E7560">
      <w:pPr>
        <w:pStyle w:val="BodyText"/>
        <w:spacing w:before="101" w:line="252" w:lineRule="auto"/>
        <w:ind w:left="533" w:right="126"/>
        <w:jc w:val="both"/>
        <w:rPr>
          <w:sz w:val="12"/>
        </w:rPr>
      </w:pPr>
      <w:r>
        <w:rPr>
          <w:color w:val="231F20"/>
        </w:rPr>
        <w:t>залежно від категорії посади державної служби, яку займає держав- ний службовець. Державним службовцям, які займають посади державної служби – за категорією «А» присвоюється 1, 2, 3 ранги; категорією «Б» – 3, 4, 5, 6 ра</w:t>
      </w:r>
      <w:r>
        <w:rPr>
          <w:color w:val="231F20"/>
        </w:rPr>
        <w:t>нги; категорією «В» – 6, 7, 8, 9 ранги.</w:t>
      </w:r>
      <w:r>
        <w:rPr>
          <w:color w:val="231F20"/>
          <w:position w:val="7"/>
          <w:sz w:val="12"/>
        </w:rPr>
        <w:t>1</w:t>
      </w:r>
    </w:p>
    <w:p w14:paraId="7E762AB3" w14:textId="77777777" w:rsidR="00DE575E" w:rsidRDefault="00DE575E">
      <w:pPr>
        <w:pStyle w:val="BodyText"/>
        <w:rPr>
          <w:sz w:val="24"/>
        </w:rPr>
      </w:pPr>
    </w:p>
    <w:p w14:paraId="165115C2" w14:textId="77777777" w:rsidR="00DE575E" w:rsidRDefault="00DE575E">
      <w:pPr>
        <w:pStyle w:val="BodyText"/>
        <w:spacing w:before="5"/>
        <w:rPr>
          <w:sz w:val="19"/>
        </w:rPr>
      </w:pPr>
    </w:p>
    <w:p w14:paraId="3FBC695A" w14:textId="77777777" w:rsidR="00DE575E" w:rsidRDefault="002E7560">
      <w:pPr>
        <w:pStyle w:val="Heading4"/>
        <w:ind w:left="1307"/>
      </w:pPr>
      <w:r>
        <w:rPr>
          <w:color w:val="231F20"/>
        </w:rPr>
        <w:t>2.2. Обов’язки та права державного службовця</w:t>
      </w:r>
    </w:p>
    <w:p w14:paraId="3A226C2D" w14:textId="77777777" w:rsidR="00DE575E" w:rsidRDefault="00DE575E">
      <w:pPr>
        <w:pStyle w:val="BodyText"/>
        <w:rPr>
          <w:b/>
          <w:sz w:val="26"/>
        </w:rPr>
      </w:pPr>
    </w:p>
    <w:p w14:paraId="559CC2F4" w14:textId="77777777" w:rsidR="00DE575E" w:rsidRDefault="002E7560">
      <w:pPr>
        <w:pStyle w:val="BodyText"/>
        <w:spacing w:before="224" w:line="252" w:lineRule="auto"/>
        <w:ind w:left="533" w:right="127" w:firstLine="283"/>
        <w:jc w:val="both"/>
      </w:pPr>
      <w:r>
        <w:rPr>
          <w:b/>
          <w:i/>
          <w:color w:val="231F20"/>
        </w:rPr>
        <w:t xml:space="preserve">Права державного службовця </w:t>
      </w:r>
      <w:r>
        <w:rPr>
          <w:color w:val="231F20"/>
        </w:rPr>
        <w:t>– це гарантована правом і зако- ном</w:t>
      </w:r>
      <w:r>
        <w:rPr>
          <w:color w:val="231F20"/>
          <w:spacing w:val="-18"/>
        </w:rPr>
        <w:t xml:space="preserve"> </w:t>
      </w:r>
      <w:r>
        <w:rPr>
          <w:color w:val="231F20"/>
        </w:rPr>
        <w:t>міра</w:t>
      </w:r>
      <w:r>
        <w:rPr>
          <w:color w:val="231F20"/>
          <w:spacing w:val="-18"/>
        </w:rPr>
        <w:t xml:space="preserve"> </w:t>
      </w:r>
      <w:r>
        <w:rPr>
          <w:color w:val="231F20"/>
        </w:rPr>
        <w:t>можливої</w:t>
      </w:r>
      <w:r>
        <w:rPr>
          <w:color w:val="231F20"/>
          <w:spacing w:val="-18"/>
        </w:rPr>
        <w:t xml:space="preserve"> </w:t>
      </w:r>
      <w:r>
        <w:rPr>
          <w:color w:val="231F20"/>
        </w:rPr>
        <w:t>або</w:t>
      </w:r>
      <w:r>
        <w:rPr>
          <w:color w:val="231F20"/>
          <w:spacing w:val="-18"/>
        </w:rPr>
        <w:t xml:space="preserve"> </w:t>
      </w:r>
      <w:r>
        <w:rPr>
          <w:color w:val="231F20"/>
        </w:rPr>
        <w:t>дозволеної</w:t>
      </w:r>
      <w:r>
        <w:rPr>
          <w:color w:val="231F20"/>
          <w:spacing w:val="-18"/>
        </w:rPr>
        <w:t xml:space="preserve"> </w:t>
      </w:r>
      <w:r>
        <w:rPr>
          <w:color w:val="231F20"/>
        </w:rPr>
        <w:t>поведінки</w:t>
      </w:r>
      <w:r>
        <w:rPr>
          <w:color w:val="231F20"/>
          <w:spacing w:val="-18"/>
        </w:rPr>
        <w:t xml:space="preserve"> </w:t>
      </w:r>
      <w:r>
        <w:rPr>
          <w:color w:val="231F20"/>
        </w:rPr>
        <w:t>державного</w:t>
      </w:r>
      <w:r>
        <w:rPr>
          <w:color w:val="231F20"/>
          <w:spacing w:val="-18"/>
        </w:rPr>
        <w:t xml:space="preserve"> </w:t>
      </w:r>
      <w:r>
        <w:rPr>
          <w:color w:val="231F20"/>
        </w:rPr>
        <w:t>службовця, що встановлюється для задоволення його інте</w:t>
      </w:r>
      <w:r>
        <w:rPr>
          <w:color w:val="231F20"/>
        </w:rPr>
        <w:t xml:space="preserve">ресів та забезпечу- ється державою. Сукупність </w:t>
      </w:r>
      <w:r>
        <w:rPr>
          <w:i/>
          <w:color w:val="231F20"/>
        </w:rPr>
        <w:t xml:space="preserve">загальних прав </w:t>
      </w:r>
      <w:r>
        <w:rPr>
          <w:color w:val="231F20"/>
        </w:rPr>
        <w:t xml:space="preserve">(права, яких опосеред- ковано загальним статусом особи як громадянина </w:t>
      </w:r>
      <w:r>
        <w:rPr>
          <w:color w:val="231F20"/>
          <w:spacing w:val="-3"/>
        </w:rPr>
        <w:t xml:space="preserve">України) </w:t>
      </w:r>
      <w:r>
        <w:rPr>
          <w:color w:val="231F20"/>
        </w:rPr>
        <w:t xml:space="preserve">та </w:t>
      </w:r>
      <w:r>
        <w:rPr>
          <w:i/>
          <w:color w:val="231F20"/>
        </w:rPr>
        <w:t xml:space="preserve">особ- ливих </w:t>
      </w:r>
      <w:r>
        <w:rPr>
          <w:color w:val="231F20"/>
        </w:rPr>
        <w:t xml:space="preserve">(права, які опосередковано спеціальним статусом державного службовця) </w:t>
      </w:r>
      <w:r>
        <w:rPr>
          <w:color w:val="231F20"/>
          <w:spacing w:val="-4"/>
        </w:rPr>
        <w:t xml:space="preserve">буде </w:t>
      </w:r>
      <w:r>
        <w:rPr>
          <w:color w:val="231F20"/>
        </w:rPr>
        <w:t>утворювати єдиний елемент</w:t>
      </w:r>
      <w:r>
        <w:rPr>
          <w:color w:val="231F20"/>
        </w:rPr>
        <w:t xml:space="preserve"> правового статусу державного</w:t>
      </w:r>
      <w:r>
        <w:rPr>
          <w:color w:val="231F20"/>
          <w:spacing w:val="-1"/>
        </w:rPr>
        <w:t xml:space="preserve"> </w:t>
      </w:r>
      <w:r>
        <w:rPr>
          <w:color w:val="231F20"/>
        </w:rPr>
        <w:t>службовця.</w:t>
      </w:r>
    </w:p>
    <w:p w14:paraId="79EFE4DA" w14:textId="77777777" w:rsidR="00DE575E" w:rsidRDefault="002E7560">
      <w:pPr>
        <w:pStyle w:val="BodyText"/>
        <w:spacing w:before="4" w:line="252" w:lineRule="auto"/>
        <w:ind w:left="533" w:right="127" w:firstLine="283"/>
        <w:jc w:val="both"/>
      </w:pPr>
      <w:r>
        <w:rPr>
          <w:color w:val="231F20"/>
        </w:rPr>
        <w:t>Права, які опосередковано статусом державного службовця, закріплено</w:t>
      </w:r>
      <w:r>
        <w:rPr>
          <w:color w:val="231F20"/>
          <w:spacing w:val="-6"/>
        </w:rPr>
        <w:t xml:space="preserve"> ст.</w:t>
      </w:r>
      <w:r>
        <w:rPr>
          <w:color w:val="231F20"/>
          <w:spacing w:val="-7"/>
        </w:rPr>
        <w:t xml:space="preserve"> </w:t>
      </w:r>
      <w:r>
        <w:rPr>
          <w:color w:val="231F20"/>
        </w:rPr>
        <w:t>7</w:t>
      </w:r>
      <w:r>
        <w:rPr>
          <w:color w:val="231F20"/>
          <w:spacing w:val="-6"/>
        </w:rPr>
        <w:t xml:space="preserve"> </w:t>
      </w:r>
      <w:r>
        <w:rPr>
          <w:color w:val="231F20"/>
        </w:rPr>
        <w:t>Закону</w:t>
      </w:r>
      <w:r>
        <w:rPr>
          <w:color w:val="231F20"/>
          <w:spacing w:val="-6"/>
        </w:rPr>
        <w:t xml:space="preserve"> </w:t>
      </w:r>
      <w:r>
        <w:rPr>
          <w:color w:val="231F20"/>
          <w:spacing w:val="-3"/>
        </w:rPr>
        <w:t>України</w:t>
      </w:r>
      <w:r>
        <w:rPr>
          <w:color w:val="231F20"/>
          <w:spacing w:val="-6"/>
        </w:rPr>
        <w:t xml:space="preserve"> </w:t>
      </w:r>
      <w:r>
        <w:rPr>
          <w:color w:val="231F20"/>
        </w:rPr>
        <w:t>«Про</w:t>
      </w:r>
      <w:r>
        <w:rPr>
          <w:color w:val="231F20"/>
          <w:spacing w:val="-6"/>
        </w:rPr>
        <w:t xml:space="preserve"> </w:t>
      </w:r>
      <w:r>
        <w:rPr>
          <w:color w:val="231F20"/>
        </w:rPr>
        <w:t>державну</w:t>
      </w:r>
      <w:r>
        <w:rPr>
          <w:color w:val="231F20"/>
          <w:spacing w:val="-6"/>
        </w:rPr>
        <w:t xml:space="preserve"> </w:t>
      </w:r>
      <w:r>
        <w:rPr>
          <w:color w:val="231F20"/>
        </w:rPr>
        <w:t>службу».</w:t>
      </w:r>
      <w:r>
        <w:rPr>
          <w:color w:val="231F20"/>
          <w:spacing w:val="-6"/>
        </w:rPr>
        <w:t xml:space="preserve"> </w:t>
      </w:r>
      <w:r>
        <w:rPr>
          <w:color w:val="231F20"/>
        </w:rPr>
        <w:t>Виходячи</w:t>
      </w:r>
      <w:r>
        <w:rPr>
          <w:color w:val="231F20"/>
          <w:spacing w:val="-6"/>
        </w:rPr>
        <w:t xml:space="preserve"> </w:t>
      </w:r>
      <w:r>
        <w:rPr>
          <w:color w:val="231F20"/>
        </w:rPr>
        <w:t>зі змісту положень цієї норми, права державного службовця доцільно класифікувати залежно від їх приналежності та нормативного закріплення на два</w:t>
      </w:r>
      <w:r>
        <w:rPr>
          <w:color w:val="231F20"/>
          <w:spacing w:val="-3"/>
        </w:rPr>
        <w:t xml:space="preserve"> </w:t>
      </w:r>
      <w:r>
        <w:rPr>
          <w:color w:val="231F20"/>
        </w:rPr>
        <w:t>види:</w:t>
      </w:r>
    </w:p>
    <w:p w14:paraId="032B73B6" w14:textId="77777777" w:rsidR="00DE575E" w:rsidRDefault="002E7560">
      <w:pPr>
        <w:pStyle w:val="ListParagraph"/>
        <w:numPr>
          <w:ilvl w:val="1"/>
          <w:numId w:val="107"/>
        </w:numPr>
        <w:tabs>
          <w:tab w:val="left" w:pos="1101"/>
        </w:tabs>
        <w:spacing w:before="2" w:line="252" w:lineRule="auto"/>
        <w:ind w:right="127" w:firstLine="284"/>
        <w:jc w:val="both"/>
        <w:rPr>
          <w:sz w:val="21"/>
        </w:rPr>
      </w:pPr>
      <w:r>
        <w:rPr>
          <w:i/>
          <w:color w:val="231F20"/>
          <w:sz w:val="21"/>
        </w:rPr>
        <w:t>основні права</w:t>
      </w:r>
      <w:r>
        <w:rPr>
          <w:color w:val="231F20"/>
          <w:sz w:val="21"/>
        </w:rPr>
        <w:t>, якими наділено всіх державних службовців та які прямо закріплені Законом «Про державну</w:t>
      </w:r>
      <w:r>
        <w:rPr>
          <w:color w:val="231F20"/>
          <w:spacing w:val="-3"/>
          <w:sz w:val="21"/>
        </w:rPr>
        <w:t xml:space="preserve"> </w:t>
      </w:r>
      <w:r>
        <w:rPr>
          <w:color w:val="231F20"/>
          <w:sz w:val="21"/>
        </w:rPr>
        <w:t>слу</w:t>
      </w:r>
      <w:r>
        <w:rPr>
          <w:color w:val="231F20"/>
          <w:sz w:val="21"/>
        </w:rPr>
        <w:t>жбу»;</w:t>
      </w:r>
    </w:p>
    <w:p w14:paraId="3502D1FA" w14:textId="77777777" w:rsidR="00DE575E" w:rsidRDefault="002E7560">
      <w:pPr>
        <w:pStyle w:val="ListParagraph"/>
        <w:numPr>
          <w:ilvl w:val="1"/>
          <w:numId w:val="107"/>
        </w:numPr>
        <w:tabs>
          <w:tab w:val="left" w:pos="1101"/>
        </w:tabs>
        <w:spacing w:line="252" w:lineRule="auto"/>
        <w:ind w:right="127" w:firstLine="284"/>
        <w:jc w:val="both"/>
        <w:rPr>
          <w:sz w:val="21"/>
        </w:rPr>
      </w:pPr>
      <w:r>
        <w:rPr>
          <w:i/>
          <w:color w:val="231F20"/>
          <w:sz w:val="21"/>
        </w:rPr>
        <w:t xml:space="preserve">посадові права, </w:t>
      </w:r>
      <w:r>
        <w:rPr>
          <w:color w:val="231F20"/>
          <w:sz w:val="21"/>
        </w:rPr>
        <w:t>якими наділено окремих державних службов- ців</w:t>
      </w:r>
      <w:r>
        <w:rPr>
          <w:color w:val="231F20"/>
          <w:spacing w:val="-6"/>
          <w:sz w:val="21"/>
        </w:rPr>
        <w:t xml:space="preserve"> </w:t>
      </w:r>
      <w:r>
        <w:rPr>
          <w:color w:val="231F20"/>
          <w:sz w:val="21"/>
        </w:rPr>
        <w:t>залежно</w:t>
      </w:r>
      <w:r>
        <w:rPr>
          <w:color w:val="231F20"/>
          <w:spacing w:val="-6"/>
          <w:sz w:val="21"/>
        </w:rPr>
        <w:t xml:space="preserve"> </w:t>
      </w:r>
      <w:r>
        <w:rPr>
          <w:color w:val="231F20"/>
          <w:sz w:val="21"/>
        </w:rPr>
        <w:t>від</w:t>
      </w:r>
      <w:r>
        <w:rPr>
          <w:color w:val="231F20"/>
          <w:spacing w:val="-6"/>
          <w:sz w:val="21"/>
        </w:rPr>
        <w:t xml:space="preserve"> </w:t>
      </w:r>
      <w:r>
        <w:rPr>
          <w:color w:val="231F20"/>
          <w:sz w:val="21"/>
        </w:rPr>
        <w:t>займаної</w:t>
      </w:r>
      <w:r>
        <w:rPr>
          <w:color w:val="231F20"/>
          <w:spacing w:val="-6"/>
          <w:sz w:val="21"/>
        </w:rPr>
        <w:t xml:space="preserve"> </w:t>
      </w:r>
      <w:r>
        <w:rPr>
          <w:color w:val="231F20"/>
          <w:sz w:val="21"/>
        </w:rPr>
        <w:t>посади</w:t>
      </w:r>
      <w:r>
        <w:rPr>
          <w:color w:val="231F20"/>
          <w:spacing w:val="-6"/>
          <w:sz w:val="21"/>
        </w:rPr>
        <w:t xml:space="preserve"> </w:t>
      </w:r>
      <w:r>
        <w:rPr>
          <w:color w:val="231F20"/>
          <w:sz w:val="21"/>
        </w:rPr>
        <w:t>та</w:t>
      </w:r>
      <w:r>
        <w:rPr>
          <w:color w:val="231F20"/>
          <w:spacing w:val="-6"/>
          <w:sz w:val="21"/>
        </w:rPr>
        <w:t xml:space="preserve"> </w:t>
      </w:r>
      <w:r>
        <w:rPr>
          <w:color w:val="231F20"/>
          <w:sz w:val="21"/>
        </w:rPr>
        <w:t>які</w:t>
      </w:r>
      <w:r>
        <w:rPr>
          <w:color w:val="231F20"/>
          <w:spacing w:val="-6"/>
          <w:sz w:val="21"/>
        </w:rPr>
        <w:t xml:space="preserve"> </w:t>
      </w:r>
      <w:r>
        <w:rPr>
          <w:color w:val="231F20"/>
          <w:sz w:val="21"/>
        </w:rPr>
        <w:t>закріплено</w:t>
      </w:r>
      <w:r>
        <w:rPr>
          <w:color w:val="231F20"/>
          <w:spacing w:val="-6"/>
          <w:sz w:val="21"/>
        </w:rPr>
        <w:t xml:space="preserve"> </w:t>
      </w:r>
      <w:r>
        <w:rPr>
          <w:color w:val="231F20"/>
          <w:sz w:val="21"/>
        </w:rPr>
        <w:t>в</w:t>
      </w:r>
      <w:r>
        <w:rPr>
          <w:color w:val="231F20"/>
          <w:spacing w:val="-6"/>
          <w:sz w:val="21"/>
        </w:rPr>
        <w:t xml:space="preserve"> </w:t>
      </w:r>
      <w:r>
        <w:rPr>
          <w:color w:val="231F20"/>
          <w:sz w:val="21"/>
        </w:rPr>
        <w:t>положеннях</w:t>
      </w:r>
      <w:r>
        <w:rPr>
          <w:color w:val="231F20"/>
          <w:spacing w:val="-6"/>
          <w:sz w:val="21"/>
        </w:rPr>
        <w:t xml:space="preserve"> </w:t>
      </w:r>
      <w:r>
        <w:rPr>
          <w:color w:val="231F20"/>
          <w:sz w:val="21"/>
        </w:rPr>
        <w:t>про структурні підрозділи державних органів і посадових інструкціях, затверджених керівниками державної служби в цих</w:t>
      </w:r>
      <w:r>
        <w:rPr>
          <w:color w:val="231F20"/>
          <w:spacing w:val="-8"/>
          <w:sz w:val="21"/>
        </w:rPr>
        <w:t xml:space="preserve"> </w:t>
      </w:r>
      <w:r>
        <w:rPr>
          <w:color w:val="231F20"/>
          <w:sz w:val="21"/>
        </w:rPr>
        <w:t>органах.</w:t>
      </w:r>
    </w:p>
    <w:p w14:paraId="483E3AE4" w14:textId="77777777" w:rsidR="00DE575E" w:rsidRDefault="002E7560">
      <w:pPr>
        <w:spacing w:before="2" w:line="252" w:lineRule="auto"/>
        <w:ind w:left="533" w:right="128" w:firstLine="283"/>
        <w:jc w:val="both"/>
        <w:rPr>
          <w:i/>
          <w:sz w:val="21"/>
        </w:rPr>
      </w:pPr>
      <w:r>
        <w:rPr>
          <w:i/>
          <w:color w:val="231F20"/>
          <w:sz w:val="21"/>
        </w:rPr>
        <w:t>Основні права державного службовця залежно від забезпечуваних інтересів можна класифікувати таким чином:</w:t>
      </w:r>
    </w:p>
    <w:p w14:paraId="166609DB" w14:textId="77777777" w:rsidR="00DE575E" w:rsidRDefault="002E7560">
      <w:pPr>
        <w:pStyle w:val="ListParagraph"/>
        <w:numPr>
          <w:ilvl w:val="0"/>
          <w:numId w:val="106"/>
        </w:numPr>
        <w:tabs>
          <w:tab w:val="left" w:pos="1101"/>
        </w:tabs>
        <w:spacing w:line="252" w:lineRule="auto"/>
        <w:ind w:right="127" w:firstLine="284"/>
        <w:rPr>
          <w:sz w:val="21"/>
        </w:rPr>
      </w:pPr>
      <w:r>
        <w:rPr>
          <w:i/>
          <w:color w:val="231F20"/>
          <w:sz w:val="21"/>
        </w:rPr>
        <w:t>особистісні</w:t>
      </w:r>
      <w:r>
        <w:rPr>
          <w:color w:val="231F20"/>
          <w:sz w:val="21"/>
        </w:rPr>
        <w:t>,</w:t>
      </w:r>
      <w:r>
        <w:rPr>
          <w:color w:val="231F20"/>
          <w:spacing w:val="-9"/>
          <w:sz w:val="21"/>
        </w:rPr>
        <w:t xml:space="preserve"> </w:t>
      </w:r>
      <w:r>
        <w:rPr>
          <w:color w:val="231F20"/>
          <w:sz w:val="21"/>
        </w:rPr>
        <w:t>до</w:t>
      </w:r>
      <w:r>
        <w:rPr>
          <w:color w:val="231F20"/>
          <w:spacing w:val="-9"/>
          <w:sz w:val="21"/>
        </w:rPr>
        <w:t xml:space="preserve"> </w:t>
      </w:r>
      <w:r>
        <w:rPr>
          <w:color w:val="231F20"/>
          <w:sz w:val="21"/>
        </w:rPr>
        <w:t>яких</w:t>
      </w:r>
      <w:r>
        <w:rPr>
          <w:color w:val="231F20"/>
          <w:spacing w:val="-9"/>
          <w:sz w:val="21"/>
        </w:rPr>
        <w:t xml:space="preserve"> </w:t>
      </w:r>
      <w:r>
        <w:rPr>
          <w:color w:val="231F20"/>
          <w:sz w:val="21"/>
        </w:rPr>
        <w:t>віднесено</w:t>
      </w:r>
      <w:r>
        <w:rPr>
          <w:color w:val="231F20"/>
          <w:spacing w:val="-9"/>
          <w:sz w:val="21"/>
        </w:rPr>
        <w:t xml:space="preserve"> </w:t>
      </w:r>
      <w:r>
        <w:rPr>
          <w:color w:val="231F20"/>
          <w:sz w:val="21"/>
        </w:rPr>
        <w:t>право</w:t>
      </w:r>
      <w:r>
        <w:rPr>
          <w:color w:val="231F20"/>
          <w:spacing w:val="-9"/>
          <w:sz w:val="21"/>
        </w:rPr>
        <w:t xml:space="preserve"> </w:t>
      </w:r>
      <w:r>
        <w:rPr>
          <w:color w:val="231F20"/>
          <w:sz w:val="21"/>
        </w:rPr>
        <w:t>на</w:t>
      </w:r>
      <w:r>
        <w:rPr>
          <w:color w:val="231F20"/>
          <w:spacing w:val="-9"/>
          <w:sz w:val="21"/>
        </w:rPr>
        <w:t xml:space="preserve"> </w:t>
      </w:r>
      <w:r>
        <w:rPr>
          <w:color w:val="231F20"/>
          <w:sz w:val="21"/>
        </w:rPr>
        <w:t>повагу</w:t>
      </w:r>
      <w:r>
        <w:rPr>
          <w:color w:val="231F20"/>
          <w:spacing w:val="-9"/>
          <w:sz w:val="21"/>
        </w:rPr>
        <w:t xml:space="preserve"> </w:t>
      </w:r>
      <w:r>
        <w:rPr>
          <w:color w:val="231F20"/>
          <w:sz w:val="21"/>
        </w:rPr>
        <w:t>до</w:t>
      </w:r>
      <w:r>
        <w:rPr>
          <w:color w:val="231F20"/>
          <w:spacing w:val="-9"/>
          <w:sz w:val="21"/>
        </w:rPr>
        <w:t xml:space="preserve"> </w:t>
      </w:r>
      <w:r>
        <w:rPr>
          <w:color w:val="231F20"/>
          <w:sz w:val="21"/>
        </w:rPr>
        <w:t>своєї</w:t>
      </w:r>
      <w:r>
        <w:rPr>
          <w:color w:val="231F20"/>
          <w:spacing w:val="-9"/>
          <w:sz w:val="21"/>
        </w:rPr>
        <w:t xml:space="preserve"> </w:t>
      </w:r>
      <w:r>
        <w:rPr>
          <w:color w:val="231F20"/>
          <w:sz w:val="21"/>
        </w:rPr>
        <w:t>особис- тості, честі та гідності, справедливе й шанобливе ставлення до себе з</w:t>
      </w:r>
      <w:r>
        <w:rPr>
          <w:color w:val="231F20"/>
          <w:spacing w:val="-12"/>
          <w:sz w:val="21"/>
        </w:rPr>
        <w:t xml:space="preserve"> </w:t>
      </w:r>
      <w:r>
        <w:rPr>
          <w:color w:val="231F20"/>
          <w:sz w:val="21"/>
        </w:rPr>
        <w:t>боку</w:t>
      </w:r>
      <w:r>
        <w:rPr>
          <w:color w:val="231F20"/>
          <w:spacing w:val="-12"/>
          <w:sz w:val="21"/>
        </w:rPr>
        <w:t xml:space="preserve"> </w:t>
      </w:r>
      <w:r>
        <w:rPr>
          <w:color w:val="231F20"/>
          <w:sz w:val="21"/>
        </w:rPr>
        <w:t>керівників,</w:t>
      </w:r>
      <w:r>
        <w:rPr>
          <w:color w:val="231F20"/>
          <w:spacing w:val="-12"/>
          <w:sz w:val="21"/>
        </w:rPr>
        <w:t xml:space="preserve"> </w:t>
      </w:r>
      <w:r>
        <w:rPr>
          <w:color w:val="231F20"/>
          <w:sz w:val="21"/>
        </w:rPr>
        <w:t>співробітників</w:t>
      </w:r>
      <w:r>
        <w:rPr>
          <w:color w:val="231F20"/>
          <w:spacing w:val="-12"/>
          <w:sz w:val="21"/>
        </w:rPr>
        <w:t xml:space="preserve"> </w:t>
      </w:r>
      <w:r>
        <w:rPr>
          <w:color w:val="231F20"/>
          <w:sz w:val="21"/>
        </w:rPr>
        <w:t>та</w:t>
      </w:r>
      <w:r>
        <w:rPr>
          <w:color w:val="231F20"/>
          <w:spacing w:val="-12"/>
          <w:sz w:val="21"/>
        </w:rPr>
        <w:t xml:space="preserve"> </w:t>
      </w:r>
      <w:r>
        <w:rPr>
          <w:color w:val="231F20"/>
          <w:sz w:val="21"/>
        </w:rPr>
        <w:t>інших</w:t>
      </w:r>
      <w:r>
        <w:rPr>
          <w:color w:val="231F20"/>
          <w:spacing w:val="-12"/>
          <w:sz w:val="21"/>
        </w:rPr>
        <w:t xml:space="preserve"> </w:t>
      </w:r>
      <w:r>
        <w:rPr>
          <w:color w:val="231F20"/>
          <w:sz w:val="21"/>
        </w:rPr>
        <w:t>осіб;</w:t>
      </w:r>
      <w:r>
        <w:rPr>
          <w:color w:val="231F20"/>
          <w:spacing w:val="-12"/>
          <w:sz w:val="21"/>
        </w:rPr>
        <w:t xml:space="preserve"> </w:t>
      </w:r>
      <w:r>
        <w:rPr>
          <w:color w:val="231F20"/>
          <w:sz w:val="21"/>
        </w:rPr>
        <w:t>право</w:t>
      </w:r>
      <w:r>
        <w:rPr>
          <w:color w:val="231F20"/>
          <w:spacing w:val="-12"/>
          <w:sz w:val="21"/>
        </w:rPr>
        <w:t xml:space="preserve"> </w:t>
      </w:r>
      <w:r>
        <w:rPr>
          <w:color w:val="231F20"/>
          <w:sz w:val="21"/>
        </w:rPr>
        <w:t>на</w:t>
      </w:r>
      <w:r>
        <w:rPr>
          <w:color w:val="231F20"/>
          <w:spacing w:val="-11"/>
          <w:sz w:val="21"/>
        </w:rPr>
        <w:t xml:space="preserve"> </w:t>
      </w:r>
      <w:r>
        <w:rPr>
          <w:color w:val="231F20"/>
          <w:sz w:val="21"/>
        </w:rPr>
        <w:t>чітке</w:t>
      </w:r>
      <w:r>
        <w:rPr>
          <w:color w:val="231F20"/>
          <w:spacing w:val="-12"/>
          <w:sz w:val="21"/>
        </w:rPr>
        <w:t xml:space="preserve"> </w:t>
      </w:r>
      <w:r>
        <w:rPr>
          <w:color w:val="231F20"/>
          <w:sz w:val="21"/>
        </w:rPr>
        <w:t>визна- чення посадових обов’язків;</w:t>
      </w:r>
    </w:p>
    <w:p w14:paraId="6394E5E8" w14:textId="77777777" w:rsidR="00DE575E" w:rsidRDefault="002E7560">
      <w:pPr>
        <w:pStyle w:val="ListParagraph"/>
        <w:numPr>
          <w:ilvl w:val="0"/>
          <w:numId w:val="106"/>
        </w:numPr>
        <w:tabs>
          <w:tab w:val="left" w:pos="1101"/>
        </w:tabs>
        <w:spacing w:before="2" w:line="252" w:lineRule="auto"/>
        <w:ind w:right="128" w:firstLine="284"/>
        <w:rPr>
          <w:sz w:val="21"/>
        </w:rPr>
      </w:pPr>
      <w:r>
        <w:rPr>
          <w:i/>
          <w:color w:val="231F20"/>
          <w:sz w:val="21"/>
        </w:rPr>
        <w:t>соціальні</w:t>
      </w:r>
      <w:r>
        <w:rPr>
          <w:color w:val="231F20"/>
          <w:sz w:val="21"/>
        </w:rPr>
        <w:t>, до яких віднесено право на належні для роботи умови служби та їх матеріально-технічне забезпечення;</w:t>
      </w:r>
      <w:r>
        <w:rPr>
          <w:color w:val="231F20"/>
          <w:spacing w:val="30"/>
          <w:sz w:val="21"/>
        </w:rPr>
        <w:t xml:space="preserve"> </w:t>
      </w:r>
      <w:r>
        <w:rPr>
          <w:color w:val="231F20"/>
          <w:sz w:val="21"/>
        </w:rPr>
        <w:t>право</w:t>
      </w:r>
    </w:p>
    <w:p w14:paraId="6244DCD5" w14:textId="77777777" w:rsidR="00DE575E" w:rsidRDefault="00DE575E">
      <w:pPr>
        <w:pStyle w:val="BodyText"/>
        <w:rPr>
          <w:sz w:val="20"/>
        </w:rPr>
      </w:pPr>
    </w:p>
    <w:p w14:paraId="06D8B245" w14:textId="019A6754" w:rsidR="00DE575E" w:rsidRDefault="002E7560">
      <w:pPr>
        <w:pStyle w:val="BodyText"/>
        <w:spacing w:before="10"/>
        <w:rPr>
          <w:sz w:val="12"/>
        </w:rPr>
      </w:pPr>
      <w:r>
        <w:rPr>
          <w:noProof/>
        </w:rPr>
        <mc:AlternateContent>
          <mc:Choice Requires="wps">
            <w:drawing>
              <wp:anchor distT="0" distB="0" distL="0" distR="0" simplePos="0" relativeHeight="14152" behindDoc="0" locked="0" layoutInCell="1" allowOverlap="1" wp14:anchorId="7CA2DB74" wp14:editId="71CDDCBE">
                <wp:simplePos x="0" y="0"/>
                <wp:positionH relativeFrom="page">
                  <wp:posOffset>719455</wp:posOffset>
                </wp:positionH>
                <wp:positionV relativeFrom="paragraph">
                  <wp:posOffset>123190</wp:posOffset>
                </wp:positionV>
                <wp:extent cx="1080135" cy="0"/>
                <wp:effectExtent l="8255" t="8890" r="29210" b="29210"/>
                <wp:wrapTopAndBottom/>
                <wp:docPr id="50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03F42" id="Line_x0020_499" o:spid="_x0000_s1026" style="position:absolute;z-index:14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pt" to="141.7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U0i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" strokecolor="#231f20" strokeweight=".5pt">
                <w10:wrap type="topAndBottom" anchorx="page"/>
              </v:line>
            </w:pict>
          </mc:Fallback>
        </mc:AlternateContent>
      </w:r>
    </w:p>
    <w:p w14:paraId="423BC135" w14:textId="77777777" w:rsidR="00DE575E" w:rsidRDefault="002E7560">
      <w:pPr>
        <w:spacing w:line="204" w:lineRule="auto"/>
        <w:ind w:left="533" w:right="128"/>
        <w:rPr>
          <w:sz w:val="16"/>
        </w:rPr>
      </w:pPr>
      <w:r>
        <w:rPr>
          <w:color w:val="231F20"/>
          <w:position w:val="5"/>
          <w:sz w:val="9"/>
        </w:rPr>
        <w:t xml:space="preserve">1 </w:t>
      </w:r>
      <w:r>
        <w:rPr>
          <w:color w:val="231F20"/>
          <w:sz w:val="16"/>
        </w:rPr>
        <w:t>Порядок присвоєння рангів державних службовців: Постан</w:t>
      </w:r>
      <w:r>
        <w:rPr>
          <w:color w:val="231F20"/>
          <w:sz w:val="16"/>
        </w:rPr>
        <w:t xml:space="preserve">ова Кабінету Міністрів України від 20.04.2016 р. № 306. </w:t>
      </w:r>
      <w:r>
        <w:rPr>
          <w:i/>
          <w:color w:val="231F20"/>
          <w:sz w:val="16"/>
        </w:rPr>
        <w:t>Офіційний вісник України</w:t>
      </w:r>
      <w:r>
        <w:rPr>
          <w:color w:val="231F20"/>
          <w:sz w:val="16"/>
        </w:rPr>
        <w:t>. 2016. № 34. Ст. 1329.</w:t>
      </w:r>
    </w:p>
    <w:p w14:paraId="096FD451" w14:textId="77777777" w:rsidR="00DE575E" w:rsidRDefault="00DE575E">
      <w:pPr>
        <w:pStyle w:val="BodyText"/>
        <w:spacing w:before="1"/>
        <w:rPr>
          <w:sz w:val="12"/>
        </w:rPr>
      </w:pPr>
    </w:p>
    <w:p w14:paraId="2230D489" w14:textId="77777777" w:rsidR="00DE575E" w:rsidRDefault="002E7560">
      <w:pPr>
        <w:spacing w:before="92"/>
        <w:ind w:left="533"/>
        <w:rPr>
          <w:rFonts w:ascii="Times New Roman"/>
          <w:sz w:val="20"/>
        </w:rPr>
      </w:pPr>
      <w:r>
        <w:rPr>
          <w:rFonts w:ascii="Times New Roman"/>
          <w:color w:val="231F20"/>
          <w:sz w:val="20"/>
        </w:rPr>
        <w:t>362</w:t>
      </w:r>
    </w:p>
    <w:p w14:paraId="46564C95" w14:textId="77777777" w:rsidR="00DE575E" w:rsidRDefault="00DE575E">
      <w:pPr>
        <w:rPr>
          <w:rFonts w:ascii="Times New Roman"/>
          <w:sz w:val="20"/>
        </w:rPr>
        <w:sectPr w:rsidR="00DE575E">
          <w:pgSz w:w="8510" w:h="12760"/>
          <w:pgMar w:top="660" w:right="720" w:bottom="280" w:left="600" w:header="720" w:footer="720" w:gutter="0"/>
          <w:cols w:space="720"/>
        </w:sectPr>
      </w:pPr>
    </w:p>
    <w:p w14:paraId="77C4CE89"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543458E0" w14:textId="3244DA4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EC9DB05" wp14:editId="0F4702D8">
                <wp:extent cx="4140200" cy="6350"/>
                <wp:effectExtent l="0" t="0" r="12700" b="6350"/>
                <wp:docPr id="498"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99" name="Line 49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7DA1E4" id="Group_x0020_49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aX3SJ/AgAAmAUAAA4A&#10;AAAAAAAAAAAAAAAALAIAAGRycy9lMm9Eb2MueG1sUEsBAi0AFAAGAAgAAAAhAEynsJDZAAAAAwEA&#10;AA8AAAAAAAAAAAAAAAAA1wQAAGRycy9kb3ducmV2LnhtbFBLBQYAAAAABAAEAPMAAADdBQAAAAA=&#10;">
                <v:line id="Line_x0020_49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9rW68YAAADcAAAADwAAAGRycy9kb3ducmV2LnhtbESP3WrCQBSE7wu+w3IEb0rdtJZSo6tI&#10;oSBe+Jc+wDF7TIK7Z2N2NdGndwuFXg4z8w0znXfWiCs1vnKs4HWYgCDOna64UPCTfb98gvABWaNx&#10;TApu5GE+6z1NMdWu5R1d96EQEcI+RQVlCHUqpc9LsuiHriaO3tE1FkOUTSF1g22EWyPfkuRDWqw4&#10;LpRY01dJ+Wl/sQqy83Mw283KtNnmMJKH83p0v6yVGvS7xQREoC78h//aS63gfTy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a1uvGAAAA3AAAAA8AAAAAAAAA&#10;AAAAAAAAoQIAAGRycy9kb3ducmV2LnhtbFBLBQYAAAAABAAEAPkAAACUAwAAAAA=&#10;" strokecolor="#231f20" strokeweight=".5pt"/>
                <w10:anchorlock/>
              </v:group>
            </w:pict>
          </mc:Fallback>
        </mc:AlternateContent>
      </w:r>
    </w:p>
    <w:p w14:paraId="774273FF" w14:textId="77777777" w:rsidR="00DE575E" w:rsidRDefault="00DE575E">
      <w:pPr>
        <w:pStyle w:val="BodyText"/>
        <w:spacing w:before="7"/>
        <w:rPr>
          <w:rFonts w:ascii="AdonisC"/>
          <w:i/>
          <w:sz w:val="19"/>
        </w:rPr>
      </w:pPr>
    </w:p>
    <w:p w14:paraId="4B68E9AF" w14:textId="77777777" w:rsidR="00DE575E" w:rsidRDefault="002E7560">
      <w:pPr>
        <w:pStyle w:val="BodyText"/>
        <w:spacing w:before="1" w:line="252" w:lineRule="auto"/>
        <w:ind w:left="250" w:right="411"/>
        <w:jc w:val="both"/>
      </w:pPr>
      <w:r>
        <w:rPr>
          <w:color w:val="231F20"/>
        </w:rPr>
        <w:t>на оплату праці залежно від займаної посади державної служби, результатів службової діяльності, стажу державної служби та рангу державного службовця; право на відпустку, соціальне та пенсійне забезпечення відповідно до закону;</w:t>
      </w:r>
    </w:p>
    <w:p w14:paraId="12D9B5B8" w14:textId="77777777" w:rsidR="00DE575E" w:rsidRDefault="002E7560">
      <w:pPr>
        <w:pStyle w:val="ListParagraph"/>
        <w:numPr>
          <w:ilvl w:val="0"/>
          <w:numId w:val="105"/>
        </w:numPr>
        <w:tabs>
          <w:tab w:val="left" w:pos="818"/>
        </w:tabs>
        <w:spacing w:before="2" w:line="252" w:lineRule="auto"/>
        <w:ind w:right="410" w:firstLine="283"/>
        <w:rPr>
          <w:i/>
          <w:sz w:val="21"/>
        </w:rPr>
      </w:pPr>
      <w:r>
        <w:rPr>
          <w:i/>
          <w:color w:val="231F20"/>
          <w:sz w:val="21"/>
        </w:rPr>
        <w:t>професійні</w:t>
      </w:r>
      <w:r>
        <w:rPr>
          <w:color w:val="231F20"/>
          <w:sz w:val="21"/>
        </w:rPr>
        <w:t>, до яких віднесено</w:t>
      </w:r>
      <w:r>
        <w:rPr>
          <w:color w:val="231F20"/>
          <w:sz w:val="21"/>
        </w:rPr>
        <w:t xml:space="preserve"> право на професійне навчання, зокрема за державні кошти, відповідно до потреб державного органу</w:t>
      </w:r>
      <w:r>
        <w:rPr>
          <w:color w:val="231F20"/>
          <w:position w:val="7"/>
          <w:sz w:val="12"/>
        </w:rPr>
        <w:t>1</w:t>
      </w:r>
      <w:r>
        <w:rPr>
          <w:color w:val="231F20"/>
          <w:sz w:val="21"/>
        </w:rPr>
        <w:t>; право на просування по службі з урахуванням професійної компетентності та сумлінного виконання своїх посадових обов’яз- ків</w:t>
      </w:r>
      <w:r>
        <w:rPr>
          <w:color w:val="231F20"/>
          <w:position w:val="7"/>
          <w:sz w:val="12"/>
        </w:rPr>
        <w:t>2</w:t>
      </w:r>
      <w:r>
        <w:rPr>
          <w:color w:val="231F20"/>
          <w:sz w:val="21"/>
        </w:rPr>
        <w:t>; право на участь у професійних с</w:t>
      </w:r>
      <w:r>
        <w:rPr>
          <w:color w:val="231F20"/>
          <w:sz w:val="21"/>
        </w:rPr>
        <w:t xml:space="preserve">пілках з метою захисту своїх прав та інтересів; право на участь у діяльності </w:t>
      </w:r>
      <w:r>
        <w:rPr>
          <w:color w:val="231F20"/>
          <w:spacing w:val="-3"/>
          <w:sz w:val="21"/>
        </w:rPr>
        <w:t xml:space="preserve">об’єднань </w:t>
      </w:r>
      <w:r>
        <w:rPr>
          <w:color w:val="231F20"/>
          <w:sz w:val="21"/>
        </w:rPr>
        <w:t>громадян, крім політичних партій у передбачених законом випадках;</w:t>
      </w:r>
      <w:r>
        <w:rPr>
          <w:color w:val="231F20"/>
          <w:position w:val="7"/>
          <w:sz w:val="12"/>
        </w:rPr>
        <w:t xml:space="preserve">3 </w:t>
      </w:r>
      <w:r>
        <w:rPr>
          <w:color w:val="231F20"/>
          <w:sz w:val="21"/>
        </w:rPr>
        <w:t>право на отримання від державних органів, підприємств, установ та орга- нізацій, органів місцевого сам</w:t>
      </w:r>
      <w:r>
        <w:rPr>
          <w:color w:val="231F20"/>
          <w:sz w:val="21"/>
        </w:rPr>
        <w:t>оврядування відповідної інформації   з питань, що належать до його повноважень, у випадках, установле- них</w:t>
      </w:r>
      <w:r>
        <w:rPr>
          <w:color w:val="231F20"/>
          <w:spacing w:val="-13"/>
          <w:sz w:val="21"/>
        </w:rPr>
        <w:t xml:space="preserve"> </w:t>
      </w:r>
      <w:r>
        <w:rPr>
          <w:color w:val="231F20"/>
          <w:sz w:val="21"/>
        </w:rPr>
        <w:t>законом;</w:t>
      </w:r>
      <w:r>
        <w:rPr>
          <w:color w:val="231F20"/>
          <w:spacing w:val="-13"/>
          <w:sz w:val="21"/>
        </w:rPr>
        <w:t xml:space="preserve"> </w:t>
      </w:r>
      <w:r>
        <w:rPr>
          <w:color w:val="231F20"/>
          <w:sz w:val="21"/>
        </w:rPr>
        <w:t>право</w:t>
      </w:r>
      <w:r>
        <w:rPr>
          <w:color w:val="231F20"/>
          <w:spacing w:val="-13"/>
          <w:sz w:val="21"/>
        </w:rPr>
        <w:t xml:space="preserve"> </w:t>
      </w:r>
      <w:r>
        <w:rPr>
          <w:color w:val="231F20"/>
          <w:sz w:val="21"/>
        </w:rPr>
        <w:t>на</w:t>
      </w:r>
      <w:r>
        <w:rPr>
          <w:color w:val="231F20"/>
          <w:spacing w:val="-13"/>
          <w:sz w:val="21"/>
        </w:rPr>
        <w:t xml:space="preserve"> </w:t>
      </w:r>
      <w:r>
        <w:rPr>
          <w:color w:val="231F20"/>
          <w:sz w:val="21"/>
        </w:rPr>
        <w:t>безперешкодне</w:t>
      </w:r>
      <w:r>
        <w:rPr>
          <w:color w:val="231F20"/>
          <w:spacing w:val="-13"/>
          <w:sz w:val="21"/>
        </w:rPr>
        <w:t xml:space="preserve"> </w:t>
      </w:r>
      <w:r>
        <w:rPr>
          <w:color w:val="231F20"/>
          <w:sz w:val="21"/>
        </w:rPr>
        <w:t>ознайомлення</w:t>
      </w:r>
      <w:r>
        <w:rPr>
          <w:color w:val="231F20"/>
          <w:spacing w:val="-13"/>
          <w:sz w:val="21"/>
        </w:rPr>
        <w:t xml:space="preserve"> </w:t>
      </w:r>
      <w:r>
        <w:rPr>
          <w:color w:val="231F20"/>
          <w:sz w:val="21"/>
        </w:rPr>
        <w:t>з</w:t>
      </w:r>
      <w:r>
        <w:rPr>
          <w:color w:val="231F20"/>
          <w:spacing w:val="-13"/>
          <w:sz w:val="21"/>
        </w:rPr>
        <w:t xml:space="preserve"> </w:t>
      </w:r>
      <w:r>
        <w:rPr>
          <w:color w:val="231F20"/>
          <w:sz w:val="21"/>
        </w:rPr>
        <w:t>документами про проходження ним державної служби, зокрема висновками</w:t>
      </w:r>
      <w:r>
        <w:rPr>
          <w:color w:val="231F20"/>
          <w:spacing w:val="-27"/>
          <w:sz w:val="21"/>
        </w:rPr>
        <w:t xml:space="preserve"> </w:t>
      </w:r>
      <w:r>
        <w:rPr>
          <w:color w:val="231F20"/>
          <w:sz w:val="21"/>
        </w:rPr>
        <w:t xml:space="preserve">щодо </w:t>
      </w:r>
      <w:r>
        <w:rPr>
          <w:color w:val="231F20"/>
          <w:spacing w:val="-3"/>
          <w:sz w:val="21"/>
        </w:rPr>
        <w:t xml:space="preserve">результатів </w:t>
      </w:r>
      <w:r>
        <w:rPr>
          <w:color w:val="231F20"/>
          <w:sz w:val="21"/>
        </w:rPr>
        <w:t xml:space="preserve">оцінювання його </w:t>
      </w:r>
      <w:r>
        <w:rPr>
          <w:color w:val="231F20"/>
          <w:sz w:val="21"/>
        </w:rPr>
        <w:t>службової діяльності</w:t>
      </w:r>
      <w:r>
        <w:rPr>
          <w:i/>
          <w:color w:val="231F20"/>
          <w:position w:val="7"/>
          <w:sz w:val="12"/>
        </w:rPr>
        <w:t>4</w:t>
      </w:r>
      <w:r>
        <w:rPr>
          <w:i/>
          <w:color w:val="231F20"/>
          <w:sz w:val="21"/>
        </w:rPr>
        <w:t>;</w:t>
      </w:r>
    </w:p>
    <w:p w14:paraId="451D10D6" w14:textId="77777777" w:rsidR="00DE575E" w:rsidRDefault="002E7560">
      <w:pPr>
        <w:pStyle w:val="ListParagraph"/>
        <w:numPr>
          <w:ilvl w:val="0"/>
          <w:numId w:val="105"/>
        </w:numPr>
        <w:tabs>
          <w:tab w:val="left" w:pos="818"/>
        </w:tabs>
        <w:spacing w:before="6" w:line="252" w:lineRule="auto"/>
        <w:ind w:right="410" w:firstLine="283"/>
        <w:rPr>
          <w:sz w:val="21"/>
        </w:rPr>
      </w:pPr>
      <w:r>
        <w:rPr>
          <w:i/>
          <w:color w:val="231F20"/>
          <w:sz w:val="21"/>
        </w:rPr>
        <w:t>забезпечувальні</w:t>
      </w:r>
      <w:r>
        <w:rPr>
          <w:color w:val="231F20"/>
          <w:sz w:val="21"/>
        </w:rPr>
        <w:t>,  до  яких   віднесено   право   на   оскарження в установленому законом порядку рішень про накладення дисци- плінарного  стягнення,  звільнення   з   посади   державної   служби, а також висновку, що містить негативн</w:t>
      </w:r>
      <w:r>
        <w:rPr>
          <w:color w:val="231F20"/>
          <w:sz w:val="21"/>
        </w:rPr>
        <w:t xml:space="preserve">у оцінку за </w:t>
      </w:r>
      <w:r>
        <w:rPr>
          <w:color w:val="231F20"/>
          <w:spacing w:val="-3"/>
          <w:sz w:val="21"/>
        </w:rPr>
        <w:t xml:space="preserve">результатами </w:t>
      </w:r>
      <w:r>
        <w:rPr>
          <w:color w:val="231F20"/>
          <w:sz w:val="21"/>
        </w:rPr>
        <w:t>оцінювання службової діяльності; право на захист від незаконного переслідування з боку державних органів та їх посадових осіб у разі повідомлення</w:t>
      </w:r>
      <w:r>
        <w:rPr>
          <w:color w:val="231F20"/>
          <w:spacing w:val="31"/>
          <w:sz w:val="21"/>
        </w:rPr>
        <w:t xml:space="preserve"> </w:t>
      </w:r>
      <w:r>
        <w:rPr>
          <w:color w:val="231F20"/>
          <w:sz w:val="21"/>
        </w:rPr>
        <w:t>про</w:t>
      </w:r>
      <w:r>
        <w:rPr>
          <w:color w:val="231F20"/>
          <w:spacing w:val="31"/>
          <w:sz w:val="21"/>
        </w:rPr>
        <w:t xml:space="preserve"> </w:t>
      </w:r>
      <w:r>
        <w:rPr>
          <w:color w:val="231F20"/>
          <w:sz w:val="21"/>
        </w:rPr>
        <w:t>факти</w:t>
      </w:r>
      <w:r>
        <w:rPr>
          <w:color w:val="231F20"/>
          <w:spacing w:val="31"/>
          <w:sz w:val="21"/>
        </w:rPr>
        <w:t xml:space="preserve"> </w:t>
      </w:r>
      <w:r>
        <w:rPr>
          <w:color w:val="231F20"/>
          <w:sz w:val="21"/>
        </w:rPr>
        <w:t>порушення</w:t>
      </w:r>
      <w:r>
        <w:rPr>
          <w:color w:val="231F20"/>
          <w:spacing w:val="31"/>
          <w:sz w:val="21"/>
        </w:rPr>
        <w:t xml:space="preserve"> </w:t>
      </w:r>
      <w:r>
        <w:rPr>
          <w:color w:val="231F20"/>
          <w:sz w:val="21"/>
        </w:rPr>
        <w:t>вимог</w:t>
      </w:r>
      <w:r>
        <w:rPr>
          <w:color w:val="231F20"/>
          <w:spacing w:val="31"/>
          <w:sz w:val="21"/>
        </w:rPr>
        <w:t xml:space="preserve"> </w:t>
      </w:r>
      <w:r>
        <w:rPr>
          <w:color w:val="231F20"/>
          <w:sz w:val="21"/>
        </w:rPr>
        <w:t>законодавства</w:t>
      </w:r>
      <w:r>
        <w:rPr>
          <w:color w:val="231F20"/>
          <w:position w:val="7"/>
          <w:sz w:val="12"/>
        </w:rPr>
        <w:t>5</w:t>
      </w:r>
      <w:r>
        <w:rPr>
          <w:color w:val="231F20"/>
          <w:sz w:val="21"/>
        </w:rPr>
        <w:t>;</w:t>
      </w:r>
      <w:r>
        <w:rPr>
          <w:color w:val="231F20"/>
          <w:spacing w:val="31"/>
          <w:sz w:val="21"/>
        </w:rPr>
        <w:t xml:space="preserve"> </w:t>
      </w:r>
      <w:r>
        <w:rPr>
          <w:color w:val="231F20"/>
          <w:sz w:val="21"/>
        </w:rPr>
        <w:t>право</w:t>
      </w:r>
    </w:p>
    <w:p w14:paraId="071BB60A" w14:textId="26B02DA2" w:rsidR="00DE575E" w:rsidRDefault="002E7560">
      <w:pPr>
        <w:pStyle w:val="BodyText"/>
        <w:spacing w:before="1"/>
        <w:rPr>
          <w:sz w:val="29"/>
        </w:rPr>
      </w:pPr>
      <w:r>
        <w:rPr>
          <w:noProof/>
        </w:rPr>
        <mc:AlternateContent>
          <mc:Choice Requires="wps">
            <w:drawing>
              <wp:anchor distT="0" distB="0" distL="0" distR="0" simplePos="0" relativeHeight="14200" behindDoc="0" locked="0" layoutInCell="1" allowOverlap="1" wp14:anchorId="74449F6B" wp14:editId="572AF970">
                <wp:simplePos x="0" y="0"/>
                <wp:positionH relativeFrom="page">
                  <wp:posOffset>539750</wp:posOffset>
                </wp:positionH>
                <wp:positionV relativeFrom="paragraph">
                  <wp:posOffset>244475</wp:posOffset>
                </wp:positionV>
                <wp:extent cx="1080135" cy="0"/>
                <wp:effectExtent l="6350" t="15875" r="31115" b="22225"/>
                <wp:wrapTopAndBottom/>
                <wp:docPr id="49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FE8E6" id="Line_x0020_496" o:spid="_x0000_s1026" style="position:absolute;z-index:14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9.25pt" to="127.55pt,1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" strokecolor="#231f20" strokeweight=".5pt">
                <w10:wrap type="topAndBottom" anchorx="page"/>
              </v:line>
            </w:pict>
          </mc:Fallback>
        </mc:AlternateContent>
      </w:r>
    </w:p>
    <w:p w14:paraId="4D235E5F"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Це право гарантується через: створення системи вищих закладів професійного нав- чання</w:t>
      </w:r>
      <w:r>
        <w:rPr>
          <w:color w:val="231F20"/>
          <w:spacing w:val="-6"/>
          <w:sz w:val="16"/>
        </w:rPr>
        <w:t xml:space="preserve"> </w:t>
      </w:r>
      <w:r>
        <w:rPr>
          <w:color w:val="231F20"/>
          <w:sz w:val="16"/>
        </w:rPr>
        <w:t>державних</w:t>
      </w:r>
      <w:r>
        <w:rPr>
          <w:color w:val="231F20"/>
          <w:spacing w:val="-6"/>
          <w:sz w:val="16"/>
        </w:rPr>
        <w:t xml:space="preserve"> </w:t>
      </w:r>
      <w:r>
        <w:rPr>
          <w:color w:val="231F20"/>
          <w:sz w:val="16"/>
        </w:rPr>
        <w:t>службовців;</w:t>
      </w:r>
      <w:r>
        <w:rPr>
          <w:color w:val="231F20"/>
          <w:spacing w:val="-6"/>
          <w:sz w:val="16"/>
        </w:rPr>
        <w:t xml:space="preserve"> </w:t>
      </w:r>
      <w:r>
        <w:rPr>
          <w:color w:val="231F20"/>
          <w:sz w:val="16"/>
        </w:rPr>
        <w:t>надання</w:t>
      </w:r>
      <w:r>
        <w:rPr>
          <w:color w:val="231F20"/>
          <w:spacing w:val="-6"/>
          <w:sz w:val="16"/>
        </w:rPr>
        <w:t xml:space="preserve"> </w:t>
      </w:r>
      <w:r>
        <w:rPr>
          <w:color w:val="231F20"/>
          <w:sz w:val="16"/>
        </w:rPr>
        <w:t>відпусток</w:t>
      </w:r>
      <w:r>
        <w:rPr>
          <w:color w:val="231F20"/>
          <w:spacing w:val="-6"/>
          <w:sz w:val="16"/>
        </w:rPr>
        <w:t xml:space="preserve"> </w:t>
      </w:r>
      <w:r>
        <w:rPr>
          <w:color w:val="231F20"/>
          <w:sz w:val="16"/>
        </w:rPr>
        <w:t>у</w:t>
      </w:r>
      <w:r>
        <w:rPr>
          <w:color w:val="231F20"/>
          <w:spacing w:val="-7"/>
          <w:sz w:val="16"/>
        </w:rPr>
        <w:t xml:space="preserve"> </w:t>
      </w:r>
      <w:r>
        <w:rPr>
          <w:color w:val="231F20"/>
          <w:sz w:val="16"/>
        </w:rPr>
        <w:t>зв’язку</w:t>
      </w:r>
      <w:r>
        <w:rPr>
          <w:color w:val="231F20"/>
          <w:spacing w:val="-6"/>
          <w:sz w:val="16"/>
        </w:rPr>
        <w:t xml:space="preserve"> </w:t>
      </w:r>
      <w:r>
        <w:rPr>
          <w:color w:val="231F20"/>
          <w:sz w:val="16"/>
        </w:rPr>
        <w:t>з</w:t>
      </w:r>
      <w:r>
        <w:rPr>
          <w:color w:val="231F20"/>
          <w:spacing w:val="-6"/>
          <w:sz w:val="16"/>
        </w:rPr>
        <w:t xml:space="preserve"> </w:t>
      </w:r>
      <w:r>
        <w:rPr>
          <w:color w:val="231F20"/>
          <w:sz w:val="16"/>
        </w:rPr>
        <w:t>навчанням;</w:t>
      </w:r>
      <w:r>
        <w:rPr>
          <w:color w:val="231F20"/>
          <w:spacing w:val="-6"/>
          <w:sz w:val="16"/>
        </w:rPr>
        <w:t xml:space="preserve"> </w:t>
      </w:r>
      <w:r>
        <w:rPr>
          <w:color w:val="231F20"/>
          <w:sz w:val="16"/>
        </w:rPr>
        <w:t>визначення</w:t>
      </w:r>
      <w:r>
        <w:rPr>
          <w:color w:val="231F20"/>
          <w:spacing w:val="-6"/>
          <w:sz w:val="16"/>
        </w:rPr>
        <w:t xml:space="preserve"> </w:t>
      </w:r>
      <w:r>
        <w:rPr>
          <w:color w:val="231F20"/>
          <w:sz w:val="16"/>
        </w:rPr>
        <w:t>рівня професійної компетентності державного службовця однією з кваліфікаційних умов для просуван</w:t>
      </w:r>
      <w:r>
        <w:rPr>
          <w:color w:val="231F20"/>
          <w:sz w:val="16"/>
        </w:rPr>
        <w:t xml:space="preserve">ня по державній службі, присвоєння </w:t>
      </w:r>
      <w:r>
        <w:rPr>
          <w:color w:val="231F20"/>
          <w:spacing w:val="-3"/>
          <w:sz w:val="16"/>
        </w:rPr>
        <w:t xml:space="preserve">рангу, </w:t>
      </w:r>
      <w:r>
        <w:rPr>
          <w:color w:val="231F20"/>
          <w:sz w:val="16"/>
        </w:rPr>
        <w:t>заохочень</w:t>
      </w:r>
      <w:r>
        <w:rPr>
          <w:color w:val="231F20"/>
          <w:spacing w:val="-1"/>
          <w:sz w:val="16"/>
        </w:rPr>
        <w:t xml:space="preserve"> </w:t>
      </w:r>
      <w:r>
        <w:rPr>
          <w:color w:val="231F20"/>
          <w:sz w:val="16"/>
        </w:rPr>
        <w:t>тощо.</w:t>
      </w:r>
    </w:p>
    <w:p w14:paraId="60E839F4" w14:textId="77777777" w:rsidR="00DE575E" w:rsidRDefault="002E7560">
      <w:pPr>
        <w:spacing w:before="27" w:line="204" w:lineRule="auto"/>
        <w:ind w:left="250" w:right="407"/>
        <w:jc w:val="both"/>
        <w:rPr>
          <w:sz w:val="16"/>
        </w:rPr>
      </w:pPr>
      <w:r>
        <w:rPr>
          <w:color w:val="231F20"/>
          <w:position w:val="5"/>
          <w:sz w:val="9"/>
        </w:rPr>
        <w:t xml:space="preserve">2 </w:t>
      </w:r>
      <w:r>
        <w:rPr>
          <w:color w:val="231F20"/>
          <w:sz w:val="16"/>
        </w:rPr>
        <w:t>При просуванні за посадами державний службовець має на меті  зайняття  більш високої за службовою ієрархією посади державної служби як у тому ж самому держав- ному органові, так і в іншому. При ць</w:t>
      </w:r>
      <w:r>
        <w:rPr>
          <w:color w:val="231F20"/>
          <w:sz w:val="16"/>
        </w:rPr>
        <w:t>ому цільова спрямованість службовця на замі- щення більш високої посади має співпадати з потребою державного органу забезпечити заміщення вакантної посади саме цією кандидатурою. Особливістю цього просування      є те, що воно є можливим за сукупністю умов</w:t>
      </w:r>
      <w:r>
        <w:rPr>
          <w:color w:val="231F20"/>
          <w:sz w:val="16"/>
        </w:rPr>
        <w:t>: наявності вакантної посади; оголошення конкурсу на заміщення вакантної державної посади); передбачення посади в Реєстрі державних посад; визначення вимог до рівня професійної компетентності особи, яка претендує на</w:t>
      </w:r>
      <w:r>
        <w:rPr>
          <w:color w:val="231F20"/>
          <w:spacing w:val="5"/>
          <w:sz w:val="16"/>
        </w:rPr>
        <w:t xml:space="preserve"> </w:t>
      </w:r>
      <w:r>
        <w:rPr>
          <w:color w:val="231F20"/>
          <w:sz w:val="16"/>
        </w:rPr>
        <w:t>посаду.</w:t>
      </w:r>
    </w:p>
    <w:p w14:paraId="48041E81" w14:textId="77777777" w:rsidR="00DE575E" w:rsidRDefault="002E7560">
      <w:pPr>
        <w:spacing w:before="33" w:line="204" w:lineRule="auto"/>
        <w:ind w:left="250" w:right="409"/>
        <w:jc w:val="both"/>
        <w:rPr>
          <w:sz w:val="16"/>
        </w:rPr>
      </w:pPr>
      <w:r>
        <w:rPr>
          <w:color w:val="231F20"/>
          <w:position w:val="5"/>
          <w:sz w:val="9"/>
        </w:rPr>
        <w:t xml:space="preserve">3 </w:t>
      </w:r>
      <w:r>
        <w:rPr>
          <w:color w:val="231F20"/>
          <w:sz w:val="16"/>
        </w:rPr>
        <w:t>Обмеження стосується державних</w:t>
      </w:r>
      <w:r>
        <w:rPr>
          <w:color w:val="231F20"/>
          <w:sz w:val="16"/>
        </w:rPr>
        <w:t xml:space="preserve"> службовців, які займають посади державної служби категорії «А»: При цьому на час державної служби на посаді категорії «А» особа зупиняє своє членство в політичній партії. Для всіх державних службовців передбачається обме- ження щодо обіймання посади в кер</w:t>
      </w:r>
      <w:r>
        <w:rPr>
          <w:color w:val="231F20"/>
          <w:sz w:val="16"/>
        </w:rPr>
        <w:t>івних органах політичних партій.</w:t>
      </w:r>
    </w:p>
    <w:p w14:paraId="61132509" w14:textId="77777777" w:rsidR="00DE575E" w:rsidRDefault="002E7560">
      <w:pPr>
        <w:spacing w:before="31" w:line="204" w:lineRule="auto"/>
        <w:ind w:left="250" w:right="411"/>
        <w:jc w:val="both"/>
        <w:rPr>
          <w:sz w:val="16"/>
        </w:rPr>
      </w:pPr>
      <w:r>
        <w:rPr>
          <w:color w:val="231F20"/>
          <w:position w:val="5"/>
          <w:sz w:val="9"/>
        </w:rPr>
        <w:t xml:space="preserve">4 </w:t>
      </w:r>
      <w:r>
        <w:rPr>
          <w:color w:val="231F20"/>
          <w:sz w:val="16"/>
        </w:rPr>
        <w:t>Проходження державної служби відображається в особовій справі державного служ- бовця, яка оформляється відповідно до Порядку ведення та зберігання особових справ державних службовців.</w:t>
      </w:r>
    </w:p>
    <w:p w14:paraId="3680B2DF" w14:textId="77777777" w:rsidR="00DE575E" w:rsidRDefault="002E7560">
      <w:pPr>
        <w:spacing w:before="7"/>
        <w:ind w:left="250"/>
        <w:jc w:val="both"/>
        <w:rPr>
          <w:sz w:val="16"/>
        </w:rPr>
      </w:pPr>
      <w:r>
        <w:rPr>
          <w:color w:val="231F20"/>
          <w:position w:val="5"/>
          <w:sz w:val="9"/>
        </w:rPr>
        <w:t xml:space="preserve">5 </w:t>
      </w:r>
      <w:r>
        <w:rPr>
          <w:color w:val="231F20"/>
          <w:sz w:val="16"/>
        </w:rPr>
        <w:t>Мається на увазі порушення вимог саме Закону «Про державну службу».</w:t>
      </w:r>
    </w:p>
    <w:p w14:paraId="025ADE5F" w14:textId="77777777" w:rsidR="00DE575E" w:rsidRDefault="00DE575E">
      <w:pPr>
        <w:pStyle w:val="BodyText"/>
        <w:spacing w:before="11"/>
        <w:rPr>
          <w:sz w:val="11"/>
        </w:rPr>
      </w:pPr>
    </w:p>
    <w:p w14:paraId="73118F51" w14:textId="77777777" w:rsidR="00DE575E" w:rsidRDefault="002E7560">
      <w:pPr>
        <w:spacing w:before="92"/>
        <w:ind w:right="411"/>
        <w:jc w:val="right"/>
        <w:rPr>
          <w:rFonts w:ascii="Times New Roman"/>
          <w:sz w:val="20"/>
        </w:rPr>
      </w:pPr>
      <w:r>
        <w:rPr>
          <w:rFonts w:ascii="Times New Roman"/>
          <w:color w:val="231F20"/>
          <w:w w:val="90"/>
          <w:sz w:val="20"/>
        </w:rPr>
        <w:t>363</w:t>
      </w:r>
    </w:p>
    <w:p w14:paraId="03B4081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CA7604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C2467CB" w14:textId="1946974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A4BFCA" wp14:editId="5F855624">
                <wp:extent cx="4140200" cy="6350"/>
                <wp:effectExtent l="0" t="0" r="12700" b="6350"/>
                <wp:docPr id="49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96" name="Line 49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DF5D45" id="Group_x0020_49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3UmFd/AgAAmAUAAA4A&#10;AAAAAAAAAAAAAAAALAIAAGRycy9lMm9Eb2MueG1sUEsBAi0AFAAGAAgAAAAhAEynsJDZAAAAAwEA&#10;AA8AAAAAAAAAAAAAAAAA1wQAAGRycy9kb3ducmV2LnhtbFBLBQYAAAAABAAEAPMAAADdBQAAAAA=&#10;">
                <v:line id="Line_x0020_49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VCmcYAAADcAAAADwAAAGRycy9kb3ducmV2LnhtbESP0WrCQBRE3wv+w3IFX0rdqEVqdBUp&#10;FEoftDX9gGv2mgR378bsaqJf7wqFPg4zc4ZZrDprxIUaXzlWMBomIIhzpysuFPxmHy9vIHxA1mgc&#10;k4IreVgte08LTLVr+Ycuu1CICGGfooIyhDqV0uclWfRDVxNH7+AaiyHKppC6wTbCrZHjJJlKixXH&#10;hRJrei8pP+7OVkF2eg7me/tl2my7n8j9aTO5nTdKDfrdeg4iUBf+w3/tT63gdTa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FQpnGAAAA3AAAAA8AAAAAAAAA&#10;AAAAAAAAoQIAAGRycy9kb3ducmV2LnhtbFBLBQYAAAAABAAEAPkAAACUAwAAAAA=&#10;" strokecolor="#231f20" strokeweight=".5pt"/>
                <w10:anchorlock/>
              </v:group>
            </w:pict>
          </mc:Fallback>
        </mc:AlternateContent>
      </w:r>
    </w:p>
    <w:p w14:paraId="0BAEA9D8" w14:textId="77777777" w:rsidR="00DE575E" w:rsidRDefault="00DE575E">
      <w:pPr>
        <w:pStyle w:val="BodyText"/>
        <w:spacing w:before="7"/>
        <w:rPr>
          <w:rFonts w:ascii="AdonisC"/>
          <w:i/>
          <w:sz w:val="11"/>
        </w:rPr>
      </w:pPr>
    </w:p>
    <w:p w14:paraId="46B687CE" w14:textId="77777777" w:rsidR="00DE575E" w:rsidRDefault="002E7560">
      <w:pPr>
        <w:pStyle w:val="BodyText"/>
        <w:spacing w:before="101" w:line="252" w:lineRule="auto"/>
        <w:ind w:left="533" w:right="128"/>
        <w:jc w:val="both"/>
      </w:pPr>
      <w:r>
        <w:rPr>
          <w:color w:val="231F20"/>
        </w:rPr>
        <w:t>на</w:t>
      </w:r>
      <w:r>
        <w:rPr>
          <w:color w:val="231F20"/>
          <w:spacing w:val="-8"/>
        </w:rPr>
        <w:t xml:space="preserve"> </w:t>
      </w:r>
      <w:r>
        <w:rPr>
          <w:color w:val="231F20"/>
        </w:rPr>
        <w:t>проведення</w:t>
      </w:r>
      <w:r>
        <w:rPr>
          <w:color w:val="231F20"/>
          <w:spacing w:val="-8"/>
        </w:rPr>
        <w:t xml:space="preserve"> </w:t>
      </w:r>
      <w:r>
        <w:rPr>
          <w:color w:val="231F20"/>
        </w:rPr>
        <w:t>службового</w:t>
      </w:r>
      <w:r>
        <w:rPr>
          <w:color w:val="231F20"/>
          <w:spacing w:val="-8"/>
        </w:rPr>
        <w:t xml:space="preserve"> </w:t>
      </w:r>
      <w:r>
        <w:rPr>
          <w:color w:val="231F20"/>
        </w:rPr>
        <w:t>розслідування</w:t>
      </w:r>
      <w:r>
        <w:rPr>
          <w:color w:val="231F20"/>
          <w:spacing w:val="-8"/>
        </w:rPr>
        <w:t xml:space="preserve"> </w:t>
      </w:r>
      <w:r>
        <w:rPr>
          <w:color w:val="231F20"/>
        </w:rPr>
        <w:t>за</w:t>
      </w:r>
      <w:r>
        <w:rPr>
          <w:color w:val="231F20"/>
          <w:spacing w:val="-8"/>
        </w:rPr>
        <w:t xml:space="preserve"> </w:t>
      </w:r>
      <w:r>
        <w:rPr>
          <w:color w:val="231F20"/>
        </w:rPr>
        <w:t>вимогою</w:t>
      </w:r>
      <w:r>
        <w:rPr>
          <w:color w:val="231F20"/>
          <w:spacing w:val="-8"/>
        </w:rPr>
        <w:t xml:space="preserve"> </w:t>
      </w:r>
      <w:r>
        <w:rPr>
          <w:color w:val="231F20"/>
        </w:rPr>
        <w:t>особи</w:t>
      </w:r>
      <w:r>
        <w:rPr>
          <w:color w:val="231F20"/>
          <w:spacing w:val="-8"/>
        </w:rPr>
        <w:t xml:space="preserve"> </w:t>
      </w:r>
      <w:r>
        <w:rPr>
          <w:color w:val="231F20"/>
        </w:rPr>
        <w:t>з</w:t>
      </w:r>
      <w:r>
        <w:rPr>
          <w:color w:val="231F20"/>
          <w:spacing w:val="-8"/>
        </w:rPr>
        <w:t xml:space="preserve"> </w:t>
      </w:r>
      <w:r>
        <w:rPr>
          <w:color w:val="231F20"/>
        </w:rPr>
        <w:t xml:space="preserve">метою зняття безпідставних, на її </w:t>
      </w:r>
      <w:r>
        <w:rPr>
          <w:color w:val="231F20"/>
          <w:spacing w:val="-4"/>
        </w:rPr>
        <w:t xml:space="preserve">думку, </w:t>
      </w:r>
      <w:r>
        <w:rPr>
          <w:color w:val="231F20"/>
        </w:rPr>
        <w:t>звинувачень або</w:t>
      </w:r>
      <w:r>
        <w:rPr>
          <w:color w:val="231F20"/>
          <w:spacing w:val="-5"/>
        </w:rPr>
        <w:t xml:space="preserve"> </w:t>
      </w:r>
      <w:r>
        <w:rPr>
          <w:color w:val="231F20"/>
        </w:rPr>
        <w:t>підозри</w:t>
      </w:r>
      <w:r>
        <w:rPr>
          <w:color w:val="231F20"/>
          <w:position w:val="7"/>
          <w:sz w:val="12"/>
        </w:rPr>
        <w:t>1</w:t>
      </w:r>
      <w:r>
        <w:rPr>
          <w:color w:val="231F20"/>
        </w:rPr>
        <w:t>.</w:t>
      </w:r>
    </w:p>
    <w:p w14:paraId="6384B67C" w14:textId="77777777" w:rsidR="00DE575E" w:rsidRDefault="002E7560">
      <w:pPr>
        <w:pStyle w:val="BodyText"/>
        <w:spacing w:before="1" w:line="252" w:lineRule="auto"/>
        <w:ind w:left="533" w:right="128" w:firstLine="283"/>
        <w:jc w:val="both"/>
      </w:pPr>
      <w:r>
        <w:rPr>
          <w:b/>
          <w:i/>
          <w:color w:val="231F20"/>
          <w:spacing w:val="-3"/>
        </w:rPr>
        <w:t xml:space="preserve">Обов’язки </w:t>
      </w:r>
      <w:r>
        <w:rPr>
          <w:b/>
          <w:i/>
          <w:color w:val="231F20"/>
          <w:spacing w:val="-4"/>
        </w:rPr>
        <w:t xml:space="preserve">державного </w:t>
      </w:r>
      <w:r>
        <w:rPr>
          <w:b/>
          <w:i/>
          <w:color w:val="231F20"/>
          <w:spacing w:val="-3"/>
        </w:rPr>
        <w:t xml:space="preserve">службовця </w:t>
      </w:r>
      <w:r>
        <w:rPr>
          <w:color w:val="231F20"/>
          <w:spacing w:val="-3"/>
        </w:rPr>
        <w:t xml:space="preserve">становлять собою сукупність </w:t>
      </w:r>
      <w:r>
        <w:rPr>
          <w:color w:val="231F20"/>
          <w:spacing w:val="-4"/>
        </w:rPr>
        <w:t xml:space="preserve">установлених </w:t>
      </w:r>
      <w:r>
        <w:rPr>
          <w:color w:val="231F20"/>
          <w:spacing w:val="-3"/>
        </w:rPr>
        <w:t xml:space="preserve">державою вимог </w:t>
      </w:r>
      <w:r>
        <w:rPr>
          <w:color w:val="231F20"/>
          <w:spacing w:val="-4"/>
        </w:rPr>
        <w:t xml:space="preserve">щодо </w:t>
      </w:r>
      <w:r>
        <w:rPr>
          <w:color w:val="231F20"/>
          <w:spacing w:val="-3"/>
        </w:rPr>
        <w:t xml:space="preserve">діяльності державного </w:t>
      </w:r>
      <w:r>
        <w:rPr>
          <w:color w:val="231F20"/>
        </w:rPr>
        <w:t xml:space="preserve">служ- </w:t>
      </w:r>
      <w:r>
        <w:rPr>
          <w:color w:val="231F20"/>
          <w:spacing w:val="-3"/>
        </w:rPr>
        <w:t xml:space="preserve">бовця, </w:t>
      </w:r>
      <w:r>
        <w:rPr>
          <w:color w:val="231F20"/>
        </w:rPr>
        <w:t xml:space="preserve">які офіційно </w:t>
      </w:r>
      <w:r>
        <w:rPr>
          <w:color w:val="231F20"/>
          <w:spacing w:val="-3"/>
        </w:rPr>
        <w:t xml:space="preserve">закріплюють міру </w:t>
      </w:r>
      <w:r>
        <w:rPr>
          <w:color w:val="231F20"/>
        </w:rPr>
        <w:t xml:space="preserve">його </w:t>
      </w:r>
      <w:r>
        <w:rPr>
          <w:color w:val="231F20"/>
          <w:spacing w:val="-3"/>
        </w:rPr>
        <w:t>необхідної поведінки.</w:t>
      </w:r>
    </w:p>
    <w:p w14:paraId="7559AC47" w14:textId="77777777" w:rsidR="00DE575E" w:rsidRDefault="002E7560">
      <w:pPr>
        <w:pStyle w:val="BodyText"/>
        <w:spacing w:before="1"/>
        <w:ind w:left="817"/>
      </w:pPr>
      <w:r>
        <w:rPr>
          <w:color w:val="231F20"/>
        </w:rPr>
        <w:t>Обов’язки державного службовця закріплено ст. 8 Закону України</w:t>
      </w:r>
    </w:p>
    <w:p w14:paraId="0C331BF4" w14:textId="77777777" w:rsidR="00DE575E" w:rsidRDefault="002E7560">
      <w:pPr>
        <w:pStyle w:val="BodyText"/>
        <w:spacing w:before="13" w:line="252" w:lineRule="auto"/>
        <w:ind w:left="533" w:right="127"/>
        <w:jc w:val="both"/>
      </w:pPr>
      <w:r>
        <w:rPr>
          <w:color w:val="231F20"/>
        </w:rPr>
        <w:t>«Про державну службу». Виходячи зі змісту положень цієї норми, обов’язки державного службовця доцільн</w:t>
      </w:r>
      <w:r>
        <w:rPr>
          <w:color w:val="231F20"/>
        </w:rPr>
        <w:t>о класифікувати залежно від їх приналежності та нормативного закріплення на два види:</w:t>
      </w:r>
    </w:p>
    <w:p w14:paraId="1FC4125F" w14:textId="77777777" w:rsidR="00DE575E" w:rsidRDefault="002E7560">
      <w:pPr>
        <w:pStyle w:val="ListParagraph"/>
        <w:numPr>
          <w:ilvl w:val="0"/>
          <w:numId w:val="104"/>
        </w:numPr>
        <w:tabs>
          <w:tab w:val="left" w:pos="1101"/>
        </w:tabs>
        <w:spacing w:line="252" w:lineRule="auto"/>
        <w:ind w:right="127" w:firstLine="284"/>
        <w:jc w:val="both"/>
        <w:rPr>
          <w:sz w:val="21"/>
        </w:rPr>
      </w:pPr>
      <w:r>
        <w:rPr>
          <w:i/>
          <w:color w:val="231F20"/>
          <w:sz w:val="21"/>
        </w:rPr>
        <w:t>основні обов’язки</w:t>
      </w:r>
      <w:r>
        <w:rPr>
          <w:color w:val="231F20"/>
          <w:sz w:val="21"/>
        </w:rPr>
        <w:t>, які покладено на всіх державних</w:t>
      </w:r>
      <w:r>
        <w:rPr>
          <w:color w:val="231F20"/>
          <w:spacing w:val="-27"/>
          <w:sz w:val="21"/>
        </w:rPr>
        <w:t xml:space="preserve"> </w:t>
      </w:r>
      <w:r>
        <w:rPr>
          <w:color w:val="231F20"/>
          <w:sz w:val="21"/>
        </w:rPr>
        <w:t>службовців і які прямо закріплено Законом «Про державну</w:t>
      </w:r>
      <w:r>
        <w:rPr>
          <w:color w:val="231F20"/>
          <w:spacing w:val="-4"/>
          <w:sz w:val="21"/>
        </w:rPr>
        <w:t xml:space="preserve"> </w:t>
      </w:r>
      <w:r>
        <w:rPr>
          <w:color w:val="231F20"/>
          <w:sz w:val="21"/>
        </w:rPr>
        <w:t>службу»;</w:t>
      </w:r>
    </w:p>
    <w:p w14:paraId="400178DD" w14:textId="77777777" w:rsidR="00DE575E" w:rsidRDefault="002E7560">
      <w:pPr>
        <w:pStyle w:val="ListParagraph"/>
        <w:numPr>
          <w:ilvl w:val="0"/>
          <w:numId w:val="104"/>
        </w:numPr>
        <w:tabs>
          <w:tab w:val="left" w:pos="1101"/>
        </w:tabs>
        <w:spacing w:line="252" w:lineRule="auto"/>
        <w:ind w:right="127" w:firstLine="284"/>
        <w:jc w:val="both"/>
        <w:rPr>
          <w:sz w:val="21"/>
        </w:rPr>
      </w:pPr>
      <w:r>
        <w:rPr>
          <w:i/>
          <w:color w:val="231F20"/>
          <w:sz w:val="21"/>
        </w:rPr>
        <w:t>посадові обов’язки, я</w:t>
      </w:r>
      <w:r>
        <w:rPr>
          <w:color w:val="231F20"/>
          <w:sz w:val="21"/>
        </w:rPr>
        <w:t>кі покладено на окремих державних</w:t>
      </w:r>
      <w:r>
        <w:rPr>
          <w:color w:val="231F20"/>
          <w:sz w:val="21"/>
        </w:rPr>
        <w:t xml:space="preserve"> служ- бовців залежно від займаної посади та які закріплено в положеннях про структурні підрозділи державних органів і посадових інструк- ціях, затверджених керівниками державної служби в цих</w:t>
      </w:r>
      <w:r>
        <w:rPr>
          <w:color w:val="231F20"/>
          <w:spacing w:val="-13"/>
          <w:sz w:val="21"/>
        </w:rPr>
        <w:t xml:space="preserve"> </w:t>
      </w:r>
      <w:r>
        <w:rPr>
          <w:color w:val="231F20"/>
          <w:sz w:val="21"/>
        </w:rPr>
        <w:t>органах.</w:t>
      </w:r>
    </w:p>
    <w:p w14:paraId="13869286" w14:textId="77777777" w:rsidR="00DE575E" w:rsidRDefault="002E7560">
      <w:pPr>
        <w:pStyle w:val="BodyText"/>
        <w:spacing w:before="2" w:line="252" w:lineRule="auto"/>
        <w:ind w:left="533" w:right="125" w:firstLine="283"/>
        <w:jc w:val="both"/>
      </w:pPr>
      <w:r>
        <w:rPr>
          <w:b/>
          <w:i/>
          <w:color w:val="231F20"/>
        </w:rPr>
        <w:t>До основних обов’язків належать такі</w:t>
      </w:r>
      <w:r>
        <w:rPr>
          <w:color w:val="231F20"/>
        </w:rPr>
        <w:t xml:space="preserve">: обов’язок дотримува- тися Конституції та законів </w:t>
      </w:r>
      <w:r>
        <w:rPr>
          <w:color w:val="231F20"/>
          <w:spacing w:val="-3"/>
        </w:rPr>
        <w:t xml:space="preserve">України, </w:t>
      </w:r>
      <w:r>
        <w:rPr>
          <w:color w:val="231F20"/>
        </w:rPr>
        <w:t xml:space="preserve">діяти лише на підставі, у межах повноважень та у спосіб, передбачені Конституцією й законами </w:t>
      </w:r>
      <w:r>
        <w:rPr>
          <w:color w:val="231F20"/>
          <w:spacing w:val="-3"/>
        </w:rPr>
        <w:t xml:space="preserve">України; </w:t>
      </w:r>
      <w:r>
        <w:rPr>
          <w:color w:val="231F20"/>
        </w:rPr>
        <w:t>обов’язок дотримуватися принципів державної служби та правил етичної поведінки; обов’язок пова</w:t>
      </w:r>
      <w:r>
        <w:rPr>
          <w:color w:val="231F20"/>
        </w:rPr>
        <w:t>жати гідність людини, не допускати</w:t>
      </w:r>
      <w:r>
        <w:rPr>
          <w:color w:val="231F20"/>
          <w:spacing w:val="-10"/>
        </w:rPr>
        <w:t xml:space="preserve"> </w:t>
      </w:r>
      <w:r>
        <w:rPr>
          <w:color w:val="231F20"/>
        </w:rPr>
        <w:t>порушення</w:t>
      </w:r>
      <w:r>
        <w:rPr>
          <w:color w:val="231F20"/>
          <w:spacing w:val="-10"/>
        </w:rPr>
        <w:t xml:space="preserve"> </w:t>
      </w:r>
      <w:r>
        <w:rPr>
          <w:color w:val="231F20"/>
        </w:rPr>
        <w:t>прав</w:t>
      </w:r>
      <w:r>
        <w:rPr>
          <w:color w:val="231F20"/>
          <w:spacing w:val="-10"/>
        </w:rPr>
        <w:t xml:space="preserve"> </w:t>
      </w:r>
      <w:r>
        <w:rPr>
          <w:color w:val="231F20"/>
        </w:rPr>
        <w:t>і</w:t>
      </w:r>
      <w:r>
        <w:rPr>
          <w:color w:val="231F20"/>
          <w:spacing w:val="-10"/>
        </w:rPr>
        <w:t xml:space="preserve"> </w:t>
      </w:r>
      <w:r>
        <w:rPr>
          <w:color w:val="231F20"/>
        </w:rPr>
        <w:t>свобод</w:t>
      </w:r>
      <w:r>
        <w:rPr>
          <w:color w:val="231F20"/>
          <w:spacing w:val="-10"/>
        </w:rPr>
        <w:t xml:space="preserve"> </w:t>
      </w:r>
      <w:r>
        <w:rPr>
          <w:color w:val="231F20"/>
        </w:rPr>
        <w:t>людини</w:t>
      </w:r>
      <w:r>
        <w:rPr>
          <w:color w:val="231F20"/>
          <w:spacing w:val="-10"/>
        </w:rPr>
        <w:t xml:space="preserve"> </w:t>
      </w:r>
      <w:r>
        <w:rPr>
          <w:color w:val="231F20"/>
        </w:rPr>
        <w:t>та</w:t>
      </w:r>
      <w:r>
        <w:rPr>
          <w:color w:val="231F20"/>
          <w:spacing w:val="-10"/>
        </w:rPr>
        <w:t xml:space="preserve"> </w:t>
      </w:r>
      <w:r>
        <w:rPr>
          <w:color w:val="231F20"/>
        </w:rPr>
        <w:t>громадянина;</w:t>
      </w:r>
      <w:r>
        <w:rPr>
          <w:color w:val="231F20"/>
          <w:spacing w:val="-10"/>
        </w:rPr>
        <w:t xml:space="preserve"> </w:t>
      </w:r>
      <w:r>
        <w:rPr>
          <w:color w:val="231F20"/>
        </w:rPr>
        <w:t>обов’я- зок</w:t>
      </w:r>
      <w:r>
        <w:rPr>
          <w:color w:val="231F20"/>
          <w:spacing w:val="-7"/>
        </w:rPr>
        <w:t xml:space="preserve"> </w:t>
      </w:r>
      <w:r>
        <w:rPr>
          <w:color w:val="231F20"/>
        </w:rPr>
        <w:t>із</w:t>
      </w:r>
      <w:r>
        <w:rPr>
          <w:color w:val="231F20"/>
          <w:spacing w:val="-7"/>
        </w:rPr>
        <w:t xml:space="preserve"> </w:t>
      </w:r>
      <w:r>
        <w:rPr>
          <w:color w:val="231F20"/>
        </w:rPr>
        <w:t>повагою</w:t>
      </w:r>
      <w:r>
        <w:rPr>
          <w:color w:val="231F20"/>
          <w:spacing w:val="-7"/>
        </w:rPr>
        <w:t xml:space="preserve"> </w:t>
      </w:r>
      <w:r>
        <w:rPr>
          <w:color w:val="231F20"/>
        </w:rPr>
        <w:t>ставитися</w:t>
      </w:r>
      <w:r>
        <w:rPr>
          <w:color w:val="231F20"/>
          <w:spacing w:val="-7"/>
        </w:rPr>
        <w:t xml:space="preserve"> </w:t>
      </w:r>
      <w:r>
        <w:rPr>
          <w:color w:val="231F20"/>
        </w:rPr>
        <w:t>до</w:t>
      </w:r>
      <w:r>
        <w:rPr>
          <w:color w:val="231F20"/>
          <w:spacing w:val="-7"/>
        </w:rPr>
        <w:t xml:space="preserve"> </w:t>
      </w:r>
      <w:r>
        <w:rPr>
          <w:color w:val="231F20"/>
        </w:rPr>
        <w:t>державних</w:t>
      </w:r>
      <w:r>
        <w:rPr>
          <w:color w:val="231F20"/>
          <w:spacing w:val="-7"/>
        </w:rPr>
        <w:t xml:space="preserve"> </w:t>
      </w:r>
      <w:r>
        <w:rPr>
          <w:color w:val="231F20"/>
        </w:rPr>
        <w:t>символів</w:t>
      </w:r>
      <w:r>
        <w:rPr>
          <w:color w:val="231F20"/>
          <w:spacing w:val="-7"/>
        </w:rPr>
        <w:t xml:space="preserve"> </w:t>
      </w:r>
      <w:r>
        <w:rPr>
          <w:color w:val="231F20"/>
          <w:spacing w:val="-2"/>
        </w:rPr>
        <w:t>України</w:t>
      </w:r>
      <w:r>
        <w:rPr>
          <w:color w:val="231F20"/>
          <w:spacing w:val="-2"/>
          <w:position w:val="7"/>
          <w:sz w:val="12"/>
        </w:rPr>
        <w:t>2</w:t>
      </w:r>
      <w:r>
        <w:rPr>
          <w:color w:val="231F20"/>
          <w:spacing w:val="-2"/>
        </w:rPr>
        <w:t>;</w:t>
      </w:r>
      <w:r>
        <w:rPr>
          <w:color w:val="231F20"/>
          <w:spacing w:val="-7"/>
        </w:rPr>
        <w:t xml:space="preserve"> </w:t>
      </w:r>
      <w:r>
        <w:rPr>
          <w:color w:val="231F20"/>
        </w:rPr>
        <w:t>обов’язок використовувати державну мову під час виконання своїх посадових обов’язків, не допускати дискримінації державної мови і протиді- яти можливим спробам її дискримінації; обов’язок забезпечувати    в</w:t>
      </w:r>
      <w:r>
        <w:rPr>
          <w:color w:val="231F20"/>
          <w:spacing w:val="-11"/>
        </w:rPr>
        <w:t xml:space="preserve"> </w:t>
      </w:r>
      <w:r>
        <w:rPr>
          <w:color w:val="231F20"/>
        </w:rPr>
        <w:t>межах</w:t>
      </w:r>
      <w:r>
        <w:rPr>
          <w:color w:val="231F20"/>
          <w:spacing w:val="-11"/>
        </w:rPr>
        <w:t xml:space="preserve"> </w:t>
      </w:r>
      <w:r>
        <w:rPr>
          <w:color w:val="231F20"/>
        </w:rPr>
        <w:t>наданих</w:t>
      </w:r>
      <w:r>
        <w:rPr>
          <w:color w:val="231F20"/>
          <w:spacing w:val="-11"/>
        </w:rPr>
        <w:t xml:space="preserve"> </w:t>
      </w:r>
      <w:r>
        <w:rPr>
          <w:color w:val="231F20"/>
        </w:rPr>
        <w:t>повноважень</w:t>
      </w:r>
      <w:r>
        <w:rPr>
          <w:color w:val="231F20"/>
          <w:spacing w:val="-11"/>
        </w:rPr>
        <w:t xml:space="preserve"> </w:t>
      </w:r>
      <w:r>
        <w:rPr>
          <w:color w:val="231F20"/>
        </w:rPr>
        <w:t>ефективне</w:t>
      </w:r>
      <w:r>
        <w:rPr>
          <w:color w:val="231F20"/>
          <w:spacing w:val="-11"/>
        </w:rPr>
        <w:t xml:space="preserve"> </w:t>
      </w:r>
      <w:r>
        <w:rPr>
          <w:color w:val="231F20"/>
        </w:rPr>
        <w:t>виконання</w:t>
      </w:r>
      <w:r>
        <w:rPr>
          <w:color w:val="231F20"/>
          <w:spacing w:val="-11"/>
        </w:rPr>
        <w:t xml:space="preserve"> </w:t>
      </w:r>
      <w:r>
        <w:rPr>
          <w:color w:val="231F20"/>
        </w:rPr>
        <w:t>зав</w:t>
      </w:r>
      <w:r>
        <w:rPr>
          <w:color w:val="231F20"/>
        </w:rPr>
        <w:t>дань</w:t>
      </w:r>
      <w:r>
        <w:rPr>
          <w:color w:val="231F20"/>
          <w:spacing w:val="-11"/>
        </w:rPr>
        <w:t xml:space="preserve"> </w:t>
      </w:r>
      <w:r>
        <w:rPr>
          <w:color w:val="231F20"/>
        </w:rPr>
        <w:t>і</w:t>
      </w:r>
      <w:r>
        <w:rPr>
          <w:color w:val="231F20"/>
          <w:spacing w:val="-14"/>
        </w:rPr>
        <w:t xml:space="preserve"> </w:t>
      </w:r>
      <w:r>
        <w:rPr>
          <w:color w:val="231F20"/>
        </w:rPr>
        <w:t>функ- цій державних органів; обов’язок сумлінно і професійно</w:t>
      </w:r>
      <w:r>
        <w:rPr>
          <w:color w:val="231F20"/>
          <w:spacing w:val="-31"/>
        </w:rPr>
        <w:t xml:space="preserve"> </w:t>
      </w:r>
      <w:r>
        <w:rPr>
          <w:color w:val="231F20"/>
        </w:rPr>
        <w:t>виконувати свої посадові обов’язки; обов’язок виконувати рішення державних органів, накази (розпорядження), доручення керівників, надані на підставі та в межах повноважень, передбачених Ко</w:t>
      </w:r>
      <w:r>
        <w:rPr>
          <w:color w:val="231F20"/>
        </w:rPr>
        <w:t xml:space="preserve">нституцією та законами </w:t>
      </w:r>
      <w:r>
        <w:rPr>
          <w:color w:val="231F20"/>
          <w:spacing w:val="-2"/>
        </w:rPr>
        <w:t>України</w:t>
      </w:r>
      <w:r>
        <w:rPr>
          <w:color w:val="231F20"/>
          <w:spacing w:val="-2"/>
          <w:position w:val="7"/>
          <w:sz w:val="12"/>
        </w:rPr>
        <w:t>3</w:t>
      </w:r>
      <w:r>
        <w:rPr>
          <w:color w:val="231F20"/>
          <w:spacing w:val="-2"/>
        </w:rPr>
        <w:t xml:space="preserve">; </w:t>
      </w:r>
      <w:r>
        <w:rPr>
          <w:color w:val="231F20"/>
        </w:rPr>
        <w:t>обов’язок додержуватися вимог</w:t>
      </w:r>
      <w:r>
        <w:rPr>
          <w:color w:val="231F20"/>
          <w:spacing w:val="21"/>
        </w:rPr>
        <w:t xml:space="preserve"> </w:t>
      </w:r>
      <w:r>
        <w:rPr>
          <w:color w:val="231F20"/>
        </w:rPr>
        <w:t>законодавства</w:t>
      </w:r>
    </w:p>
    <w:p w14:paraId="2CAFE929" w14:textId="501FA6A0" w:rsidR="00DE575E" w:rsidRDefault="002E7560">
      <w:pPr>
        <w:pStyle w:val="BodyText"/>
        <w:spacing w:before="9"/>
        <w:rPr>
          <w:sz w:val="29"/>
        </w:rPr>
      </w:pPr>
      <w:r>
        <w:rPr>
          <w:noProof/>
        </w:rPr>
        <mc:AlternateContent>
          <mc:Choice Requires="wps">
            <w:drawing>
              <wp:anchor distT="0" distB="0" distL="0" distR="0" simplePos="0" relativeHeight="14248" behindDoc="0" locked="0" layoutInCell="1" allowOverlap="1" wp14:anchorId="7CF6D897" wp14:editId="0E578F43">
                <wp:simplePos x="0" y="0"/>
                <wp:positionH relativeFrom="page">
                  <wp:posOffset>719455</wp:posOffset>
                </wp:positionH>
                <wp:positionV relativeFrom="paragraph">
                  <wp:posOffset>249555</wp:posOffset>
                </wp:positionV>
                <wp:extent cx="1080135" cy="0"/>
                <wp:effectExtent l="8255" t="8255" r="29210" b="29845"/>
                <wp:wrapTopAndBottom/>
                <wp:docPr id="49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9724" id="Line_x0020_493" o:spid="_x0000_s1026" style="position:absolute;z-index:14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65pt" to="141.7pt,1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Jdi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" strokecolor="#231f20" strokeweight=".5pt">
                <w10:wrap type="topAndBottom" anchorx="page"/>
              </v:line>
            </w:pict>
          </mc:Fallback>
        </mc:AlternateContent>
      </w:r>
    </w:p>
    <w:p w14:paraId="7390927F"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Чинним законодавством не передбачено порядку проведення службового розсліду- вання на вимогу державного службовця, що дає підстави вважати, що таким порядком    є порядок служ</w:t>
      </w:r>
      <w:r>
        <w:rPr>
          <w:color w:val="231F20"/>
          <w:sz w:val="16"/>
        </w:rPr>
        <w:t xml:space="preserve">бового розслідування, передбачений саме </w:t>
      </w:r>
      <w:r>
        <w:rPr>
          <w:color w:val="231F20"/>
          <w:spacing w:val="-5"/>
          <w:sz w:val="16"/>
        </w:rPr>
        <w:t xml:space="preserve">ст. </w:t>
      </w:r>
      <w:r>
        <w:rPr>
          <w:color w:val="231F20"/>
          <w:sz w:val="16"/>
        </w:rPr>
        <w:t>71 Закону України «Про дер- жавну службу».</w:t>
      </w:r>
    </w:p>
    <w:p w14:paraId="0C5112B8" w14:textId="77777777" w:rsidR="00DE575E" w:rsidRDefault="002E7560">
      <w:pPr>
        <w:spacing w:before="27" w:line="204" w:lineRule="auto"/>
        <w:ind w:left="533" w:right="127"/>
        <w:jc w:val="both"/>
        <w:rPr>
          <w:sz w:val="16"/>
        </w:rPr>
      </w:pPr>
      <w:r>
        <w:rPr>
          <w:color w:val="231F20"/>
          <w:position w:val="5"/>
          <w:sz w:val="9"/>
        </w:rPr>
        <w:t xml:space="preserve">2       </w:t>
      </w:r>
      <w:r>
        <w:rPr>
          <w:color w:val="231F20"/>
          <w:sz w:val="16"/>
        </w:rPr>
        <w:t xml:space="preserve">Статтею  20  Конституції  України  визначено,  що  державними  символами  </w:t>
      </w:r>
      <w:r>
        <w:rPr>
          <w:color w:val="231F20"/>
          <w:spacing w:val="-3"/>
          <w:sz w:val="16"/>
        </w:rPr>
        <w:t xml:space="preserve">України     </w:t>
      </w:r>
      <w:r>
        <w:rPr>
          <w:color w:val="231F20"/>
          <w:sz w:val="16"/>
        </w:rPr>
        <w:t xml:space="preserve">є Державний Прапор України, Державний </w:t>
      </w:r>
      <w:r>
        <w:rPr>
          <w:color w:val="231F20"/>
          <w:spacing w:val="-4"/>
          <w:sz w:val="16"/>
        </w:rPr>
        <w:t xml:space="preserve">Герб </w:t>
      </w:r>
      <w:r>
        <w:rPr>
          <w:color w:val="231F20"/>
          <w:sz w:val="16"/>
        </w:rPr>
        <w:t>України, Державний Гімн</w:t>
      </w:r>
      <w:r>
        <w:rPr>
          <w:color w:val="231F20"/>
          <w:spacing w:val="-19"/>
          <w:sz w:val="16"/>
        </w:rPr>
        <w:t xml:space="preserve"> </w:t>
      </w:r>
      <w:r>
        <w:rPr>
          <w:color w:val="231F20"/>
          <w:sz w:val="16"/>
        </w:rPr>
        <w:t>України.</w:t>
      </w:r>
    </w:p>
    <w:p w14:paraId="1D47C4A2" w14:textId="77777777" w:rsidR="00DE575E" w:rsidRDefault="002E7560">
      <w:pPr>
        <w:spacing w:before="30" w:line="204" w:lineRule="auto"/>
        <w:ind w:left="533" w:right="128"/>
        <w:jc w:val="both"/>
        <w:rPr>
          <w:sz w:val="16"/>
        </w:rPr>
      </w:pPr>
      <w:r>
        <w:rPr>
          <w:color w:val="231F20"/>
          <w:position w:val="5"/>
          <w:sz w:val="9"/>
        </w:rPr>
        <w:t xml:space="preserve">3 </w:t>
      </w:r>
      <w:r>
        <w:rPr>
          <w:color w:val="231F20"/>
          <w:sz w:val="16"/>
        </w:rPr>
        <w:t xml:space="preserve">Доручення – це субординаційне правовідношення між керівником і підлеглим йому державним службовцем щодо постановки першим другому конкретного завдання управ- лінсько-службового характеру, визначення основних параметрів його виконання (пред- мета, мети, </w:t>
      </w:r>
      <w:r>
        <w:rPr>
          <w:color w:val="231F20"/>
          <w:sz w:val="16"/>
        </w:rPr>
        <w:t>термінів, виконавців).</w:t>
      </w:r>
    </w:p>
    <w:p w14:paraId="654F3FA2" w14:textId="77777777" w:rsidR="00DE575E" w:rsidRDefault="00DE575E">
      <w:pPr>
        <w:pStyle w:val="BodyText"/>
        <w:spacing w:before="5"/>
        <w:rPr>
          <w:sz w:val="12"/>
        </w:rPr>
      </w:pPr>
    </w:p>
    <w:p w14:paraId="2C492051" w14:textId="77777777" w:rsidR="00DE575E" w:rsidRDefault="002E7560">
      <w:pPr>
        <w:spacing w:before="92"/>
        <w:ind w:left="533"/>
        <w:rPr>
          <w:rFonts w:ascii="Times New Roman"/>
          <w:sz w:val="20"/>
        </w:rPr>
      </w:pPr>
      <w:r>
        <w:rPr>
          <w:rFonts w:ascii="Times New Roman"/>
          <w:color w:val="231F20"/>
          <w:sz w:val="20"/>
        </w:rPr>
        <w:t>364</w:t>
      </w:r>
    </w:p>
    <w:p w14:paraId="0C697D93" w14:textId="77777777" w:rsidR="00DE575E" w:rsidRDefault="00DE575E">
      <w:pPr>
        <w:rPr>
          <w:rFonts w:ascii="Times New Roman"/>
          <w:sz w:val="20"/>
        </w:rPr>
        <w:sectPr w:rsidR="00DE575E">
          <w:pgSz w:w="8510" w:h="12760"/>
          <w:pgMar w:top="660" w:right="720" w:bottom="280" w:left="600" w:header="720" w:footer="720" w:gutter="0"/>
          <w:cols w:space="720"/>
        </w:sectPr>
      </w:pPr>
    </w:p>
    <w:p w14:paraId="46032214"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013F4385" w14:textId="12EEDE2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4E0189C" wp14:editId="1295ABDC">
                <wp:extent cx="4140200" cy="6350"/>
                <wp:effectExtent l="0" t="0" r="12700" b="6350"/>
                <wp:docPr id="492"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93" name="Line 49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75715" id="Group_x0020_49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Po+X3fQIAAJgFAAAOAAAA&#10;AAAAAAAAAAAAACwCAABkcnMvZTJvRG9jLnhtbFBLAQItABQABgAIAAAAIQBMp7CQ2QAAAAMBAAAP&#10;AAAAAAAAAAAAAAAAANUEAABkcnMvZG93bnJldi54bWxQSwUGAAAAAAQABADzAAAA2wUAAAAA&#10;">
                <v:line id="Line_x0020_49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LhAccAAADcAAAADwAAAGRycy9kb3ducmV2LnhtbESP3WrCQBSE7wXfYTkFb0rdtClSo6tI&#10;oSC98C8+wDF7TEJ3z8bsatI+fbdQ8HKYmW+Y+bK3Rtyo9bVjBc/jBARx4XTNpYJj/vH0BsIHZI3G&#10;MSn4Jg/LxXAwx0y7jvd0O4RSRAj7DBVUITSZlL6oyKIfu4Y4emfXWgxRtqXULXYRbo18SZKJtFhz&#10;XKiwofeKiq/D1SrIL4/B7Lafpsu3p1SeLpv057pRavTQr2YgAvXhHv5vr7WC12k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MuEBxwAAANwAAAAPAAAAAAAA&#10;AAAAAAAAAKECAABkcnMvZG93bnJldi54bWxQSwUGAAAAAAQABAD5AAAAlQMAAAAA&#10;" strokecolor="#231f20" strokeweight=".5pt"/>
                <w10:anchorlock/>
              </v:group>
            </w:pict>
          </mc:Fallback>
        </mc:AlternateContent>
      </w:r>
    </w:p>
    <w:p w14:paraId="730DE828" w14:textId="77777777" w:rsidR="00DE575E" w:rsidRDefault="00DE575E">
      <w:pPr>
        <w:pStyle w:val="BodyText"/>
        <w:spacing w:before="7"/>
        <w:rPr>
          <w:rFonts w:ascii="AdonisC"/>
          <w:i/>
          <w:sz w:val="19"/>
        </w:rPr>
      </w:pPr>
    </w:p>
    <w:p w14:paraId="77903220" w14:textId="77777777" w:rsidR="00DE575E" w:rsidRDefault="002E7560">
      <w:pPr>
        <w:pStyle w:val="BodyText"/>
        <w:spacing w:before="1" w:line="249" w:lineRule="auto"/>
        <w:ind w:left="250" w:right="409"/>
        <w:jc w:val="both"/>
      </w:pPr>
      <w:r>
        <w:rPr>
          <w:color w:val="231F20"/>
        </w:rPr>
        <w:t xml:space="preserve">у сфері запобігання і протидії корупції; обов’язок </w:t>
      </w:r>
      <w:r>
        <w:rPr>
          <w:color w:val="231F20"/>
        </w:rPr>
        <w:t xml:space="preserve">запобігати виник- ненню реального, потенційного конфлікту інтересів під час </w:t>
      </w:r>
      <w:r>
        <w:rPr>
          <w:color w:val="231F20"/>
          <w:spacing w:val="-3"/>
        </w:rPr>
        <w:t xml:space="preserve">проход- </w:t>
      </w:r>
      <w:r>
        <w:rPr>
          <w:color w:val="231F20"/>
        </w:rPr>
        <w:t>ження державної служби; обов’язок постійно підвищувати рівень своєї професійної компетентності та вдосконалювати організацію службової діяльності</w:t>
      </w:r>
      <w:r>
        <w:rPr>
          <w:color w:val="231F20"/>
          <w:position w:val="7"/>
          <w:sz w:val="12"/>
        </w:rPr>
        <w:t>1</w:t>
      </w:r>
      <w:r>
        <w:rPr>
          <w:color w:val="231F20"/>
        </w:rPr>
        <w:t>; обов’язок зберігати державну таємницю та персональні дані осіб, що стали йому відомі у зв’язку з виконан- ням посадових обов’язків, а також іншу інформацію, яка відповідно до закону не підлягає розголошенню; обов’язок надавати публічну інформацію в межах</w:t>
      </w:r>
      <w:r>
        <w:rPr>
          <w:color w:val="231F20"/>
        </w:rPr>
        <w:t>, визначених</w:t>
      </w:r>
      <w:r>
        <w:rPr>
          <w:color w:val="231F20"/>
          <w:spacing w:val="-2"/>
        </w:rPr>
        <w:t xml:space="preserve"> </w:t>
      </w:r>
      <w:r>
        <w:rPr>
          <w:color w:val="231F20"/>
        </w:rPr>
        <w:t>законом</w:t>
      </w:r>
      <w:r>
        <w:rPr>
          <w:color w:val="231F20"/>
          <w:position w:val="7"/>
          <w:sz w:val="12"/>
        </w:rPr>
        <w:t>2</w:t>
      </w:r>
      <w:r>
        <w:rPr>
          <w:color w:val="231F20"/>
        </w:rPr>
        <w:t>.</w:t>
      </w:r>
    </w:p>
    <w:p w14:paraId="71DFFB12" w14:textId="77777777" w:rsidR="00DE575E" w:rsidRDefault="00DE575E">
      <w:pPr>
        <w:pStyle w:val="BodyText"/>
        <w:rPr>
          <w:sz w:val="24"/>
        </w:rPr>
      </w:pPr>
    </w:p>
    <w:p w14:paraId="38AFCEB6" w14:textId="77777777" w:rsidR="00DE575E" w:rsidRDefault="00DE575E">
      <w:pPr>
        <w:pStyle w:val="BodyText"/>
        <w:spacing w:before="9"/>
        <w:rPr>
          <w:sz w:val="18"/>
        </w:rPr>
      </w:pPr>
    </w:p>
    <w:p w14:paraId="4B99E89E" w14:textId="77777777" w:rsidR="00DE575E" w:rsidRDefault="002E7560">
      <w:pPr>
        <w:pStyle w:val="Heading4"/>
        <w:ind w:left="784" w:right="751" w:firstLine="1095"/>
      </w:pPr>
      <w:r>
        <w:rPr>
          <w:color w:val="231F20"/>
        </w:rPr>
        <w:t>2.3. Вступ на державну службу. Проходження державної служби і службова кар’єра</w:t>
      </w:r>
    </w:p>
    <w:p w14:paraId="6A7DE0B2" w14:textId="77777777" w:rsidR="00DE575E" w:rsidRDefault="00DE575E">
      <w:pPr>
        <w:pStyle w:val="BodyText"/>
        <w:rPr>
          <w:b/>
          <w:sz w:val="26"/>
        </w:rPr>
      </w:pPr>
    </w:p>
    <w:p w14:paraId="7A21EAB2" w14:textId="77777777" w:rsidR="00DE575E" w:rsidRDefault="002E7560">
      <w:pPr>
        <w:spacing w:before="213" w:line="249" w:lineRule="auto"/>
        <w:ind w:left="250" w:right="410" w:firstLine="283"/>
        <w:jc w:val="both"/>
        <w:rPr>
          <w:sz w:val="21"/>
        </w:rPr>
      </w:pPr>
      <w:r>
        <w:rPr>
          <w:color w:val="231F20"/>
          <w:sz w:val="21"/>
        </w:rPr>
        <w:t xml:space="preserve">Конституцією України всім громадянам гарантовано право на рівний доступ до державної служби, а також до служби в органах місцевого самоврядування незалежно від раси, кольору шкіри, полі- тичних, релігійних та інших переконань, статі, етнічного та соціаль- </w:t>
      </w:r>
      <w:r>
        <w:rPr>
          <w:color w:val="231F20"/>
          <w:sz w:val="21"/>
        </w:rPr>
        <w:t>ного походження, майнового стану, місця проживання, мовних або інших ознак</w:t>
      </w:r>
      <w:r>
        <w:rPr>
          <w:color w:val="231F20"/>
          <w:position w:val="7"/>
          <w:sz w:val="12"/>
        </w:rPr>
        <w:t>3</w:t>
      </w:r>
      <w:r>
        <w:rPr>
          <w:color w:val="231F20"/>
          <w:sz w:val="21"/>
        </w:rPr>
        <w:t xml:space="preserve">. </w:t>
      </w:r>
      <w:r>
        <w:rPr>
          <w:b/>
          <w:i/>
          <w:color w:val="231F20"/>
          <w:sz w:val="21"/>
        </w:rPr>
        <w:t>Для набуття статусу державного службовця особа має відповідати сукупності вимог та не підпадати під обмеження до вступу на державну службу</w:t>
      </w:r>
      <w:r>
        <w:rPr>
          <w:color w:val="231F20"/>
          <w:position w:val="7"/>
          <w:sz w:val="12"/>
        </w:rPr>
        <w:t>4</w:t>
      </w:r>
      <w:r>
        <w:rPr>
          <w:color w:val="231F20"/>
          <w:sz w:val="21"/>
        </w:rPr>
        <w:t>. Усі вимоги, що висуваються до кандидат</w:t>
      </w:r>
      <w:r>
        <w:rPr>
          <w:color w:val="231F20"/>
          <w:sz w:val="21"/>
        </w:rPr>
        <w:t>ів на вакантні посади державної служби, можна класифікувати залежно від цільової спрямованості та посади державної служби таким чином:</w:t>
      </w:r>
    </w:p>
    <w:p w14:paraId="0235AD4C" w14:textId="2D5763B3" w:rsidR="00DE575E" w:rsidRDefault="002E7560">
      <w:pPr>
        <w:pStyle w:val="BodyText"/>
        <w:spacing w:before="11"/>
        <w:rPr>
          <w:sz w:val="20"/>
        </w:rPr>
      </w:pPr>
      <w:r>
        <w:rPr>
          <w:noProof/>
        </w:rPr>
        <mc:AlternateContent>
          <mc:Choice Requires="wps">
            <w:drawing>
              <wp:anchor distT="0" distB="0" distL="0" distR="0" simplePos="0" relativeHeight="14296" behindDoc="0" locked="0" layoutInCell="1" allowOverlap="1" wp14:anchorId="23D5B12E" wp14:editId="0E389FCE">
                <wp:simplePos x="0" y="0"/>
                <wp:positionH relativeFrom="page">
                  <wp:posOffset>539750</wp:posOffset>
                </wp:positionH>
                <wp:positionV relativeFrom="paragraph">
                  <wp:posOffset>183515</wp:posOffset>
                </wp:positionV>
                <wp:extent cx="1080135" cy="0"/>
                <wp:effectExtent l="6350" t="18415" r="31115" b="19685"/>
                <wp:wrapTopAndBottom/>
                <wp:docPr id="49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0454F" id="Line_x0020_490" o:spid="_x0000_s1026" style="position:absolute;z-index:14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45pt" to="127.55pt,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" strokecolor="#231f20" strokeweight=".5pt">
                <w10:wrap type="topAndBottom" anchorx="page"/>
              </v:line>
            </w:pict>
          </mc:Fallback>
        </mc:AlternateContent>
      </w:r>
    </w:p>
    <w:p w14:paraId="6045EF2F"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Такий обов’язок одночасно корелюється з правом державного службовця на профе- сійне навчання за державні кошти, відпо</w:t>
      </w:r>
      <w:r>
        <w:rPr>
          <w:color w:val="231F20"/>
          <w:sz w:val="16"/>
        </w:rPr>
        <w:t>відно до потреб державного органу.</w:t>
      </w:r>
    </w:p>
    <w:p w14:paraId="75F5CF37" w14:textId="77777777" w:rsidR="00DE575E" w:rsidRDefault="002E7560">
      <w:pPr>
        <w:spacing w:before="26" w:line="204" w:lineRule="auto"/>
        <w:ind w:left="250" w:right="410"/>
        <w:jc w:val="both"/>
        <w:rPr>
          <w:sz w:val="16"/>
        </w:rPr>
      </w:pPr>
      <w:r>
        <w:rPr>
          <w:color w:val="231F20"/>
          <w:position w:val="5"/>
          <w:sz w:val="9"/>
        </w:rPr>
        <w:t xml:space="preserve">2 </w:t>
      </w:r>
      <w:r>
        <w:rPr>
          <w:color w:val="231F20"/>
          <w:sz w:val="16"/>
        </w:rPr>
        <w:t xml:space="preserve">Публічна інформація – це відображена та задокументована будь-якими засобами та на будь-яких носіях інформація, що </w:t>
      </w:r>
      <w:r>
        <w:rPr>
          <w:color w:val="231F20"/>
          <w:spacing w:val="-3"/>
          <w:sz w:val="16"/>
        </w:rPr>
        <w:t xml:space="preserve">була </w:t>
      </w:r>
      <w:r>
        <w:rPr>
          <w:color w:val="231F20"/>
          <w:sz w:val="16"/>
        </w:rPr>
        <w:t xml:space="preserve">отримана або створена у процесі виконання </w:t>
      </w:r>
      <w:r>
        <w:rPr>
          <w:color w:val="231F20"/>
          <w:spacing w:val="-3"/>
          <w:sz w:val="16"/>
        </w:rPr>
        <w:t xml:space="preserve">суб’єк- </w:t>
      </w:r>
      <w:r>
        <w:rPr>
          <w:color w:val="231F20"/>
          <w:sz w:val="16"/>
        </w:rPr>
        <w:t>тами владних повноважень своїх обов’язків, передба</w:t>
      </w:r>
      <w:r>
        <w:rPr>
          <w:color w:val="231F20"/>
          <w:sz w:val="16"/>
        </w:rPr>
        <w:t>чених чинним законодавством, або яка</w:t>
      </w:r>
      <w:r>
        <w:rPr>
          <w:color w:val="231F20"/>
          <w:spacing w:val="-7"/>
          <w:sz w:val="16"/>
        </w:rPr>
        <w:t xml:space="preserve"> </w:t>
      </w:r>
      <w:r>
        <w:rPr>
          <w:color w:val="231F20"/>
          <w:sz w:val="16"/>
        </w:rPr>
        <w:t>перебуває</w:t>
      </w:r>
      <w:r>
        <w:rPr>
          <w:color w:val="231F20"/>
          <w:spacing w:val="-7"/>
          <w:sz w:val="16"/>
        </w:rPr>
        <w:t xml:space="preserve"> </w:t>
      </w:r>
      <w:r>
        <w:rPr>
          <w:color w:val="231F20"/>
          <w:sz w:val="16"/>
        </w:rPr>
        <w:t>у</w:t>
      </w:r>
      <w:r>
        <w:rPr>
          <w:color w:val="231F20"/>
          <w:spacing w:val="-7"/>
          <w:sz w:val="16"/>
        </w:rPr>
        <w:t xml:space="preserve"> </w:t>
      </w:r>
      <w:r>
        <w:rPr>
          <w:color w:val="231F20"/>
          <w:sz w:val="16"/>
        </w:rPr>
        <w:t>володінні</w:t>
      </w:r>
      <w:r>
        <w:rPr>
          <w:color w:val="231F20"/>
          <w:spacing w:val="-7"/>
          <w:sz w:val="16"/>
        </w:rPr>
        <w:t xml:space="preserve"> </w:t>
      </w:r>
      <w:r>
        <w:rPr>
          <w:color w:val="231F20"/>
          <w:spacing w:val="-3"/>
          <w:sz w:val="16"/>
        </w:rPr>
        <w:t>суб’єктів</w:t>
      </w:r>
      <w:r>
        <w:rPr>
          <w:color w:val="231F20"/>
          <w:spacing w:val="-7"/>
          <w:sz w:val="16"/>
        </w:rPr>
        <w:t xml:space="preserve"> </w:t>
      </w:r>
      <w:r>
        <w:rPr>
          <w:color w:val="231F20"/>
          <w:sz w:val="16"/>
        </w:rPr>
        <w:t>владних</w:t>
      </w:r>
      <w:r>
        <w:rPr>
          <w:color w:val="231F20"/>
          <w:spacing w:val="-7"/>
          <w:sz w:val="16"/>
        </w:rPr>
        <w:t xml:space="preserve"> </w:t>
      </w:r>
      <w:r>
        <w:rPr>
          <w:color w:val="231F20"/>
          <w:sz w:val="16"/>
        </w:rPr>
        <w:t>повноважень,</w:t>
      </w:r>
      <w:r>
        <w:rPr>
          <w:color w:val="231F20"/>
          <w:spacing w:val="-7"/>
          <w:sz w:val="16"/>
        </w:rPr>
        <w:t xml:space="preserve"> </w:t>
      </w:r>
      <w:r>
        <w:rPr>
          <w:color w:val="231F20"/>
          <w:sz w:val="16"/>
        </w:rPr>
        <w:t>інших</w:t>
      </w:r>
      <w:r>
        <w:rPr>
          <w:color w:val="231F20"/>
          <w:spacing w:val="-7"/>
          <w:sz w:val="16"/>
        </w:rPr>
        <w:t xml:space="preserve"> </w:t>
      </w:r>
      <w:r>
        <w:rPr>
          <w:color w:val="231F20"/>
          <w:sz w:val="16"/>
        </w:rPr>
        <w:t>розпорядників</w:t>
      </w:r>
      <w:r>
        <w:rPr>
          <w:color w:val="231F20"/>
          <w:spacing w:val="-7"/>
          <w:sz w:val="16"/>
        </w:rPr>
        <w:t xml:space="preserve"> </w:t>
      </w:r>
      <w:r>
        <w:rPr>
          <w:color w:val="231F20"/>
          <w:sz w:val="16"/>
        </w:rPr>
        <w:t>публічної інформації, визначених Законом «Про доступ до публічної</w:t>
      </w:r>
      <w:r>
        <w:rPr>
          <w:color w:val="231F20"/>
          <w:spacing w:val="-4"/>
          <w:sz w:val="16"/>
        </w:rPr>
        <w:t xml:space="preserve"> </w:t>
      </w:r>
      <w:r>
        <w:rPr>
          <w:color w:val="231F20"/>
          <w:sz w:val="16"/>
        </w:rPr>
        <w:t>інформації».</w:t>
      </w:r>
    </w:p>
    <w:p w14:paraId="721B6C76" w14:textId="77777777" w:rsidR="00DE575E" w:rsidRDefault="002E7560">
      <w:pPr>
        <w:spacing w:before="31" w:line="204" w:lineRule="auto"/>
        <w:ind w:left="250" w:right="411"/>
        <w:jc w:val="both"/>
        <w:rPr>
          <w:sz w:val="16"/>
        </w:rPr>
      </w:pPr>
      <w:r>
        <w:rPr>
          <w:color w:val="231F20"/>
          <w:position w:val="5"/>
          <w:sz w:val="9"/>
        </w:rPr>
        <w:t xml:space="preserve">3 </w:t>
      </w:r>
      <w:r>
        <w:rPr>
          <w:color w:val="231F20"/>
          <w:sz w:val="16"/>
        </w:rPr>
        <w:t xml:space="preserve">Конституція України від 28 червня 1996 року № 254к/96-ВР. </w:t>
      </w:r>
      <w:r>
        <w:rPr>
          <w:i/>
          <w:color w:val="231F20"/>
          <w:sz w:val="16"/>
        </w:rPr>
        <w:t>Відомості Верховної Ради України</w:t>
      </w:r>
      <w:r>
        <w:rPr>
          <w:color w:val="231F20"/>
          <w:sz w:val="16"/>
        </w:rPr>
        <w:t>. 1996. № 30. Ст. 141.</w:t>
      </w:r>
    </w:p>
    <w:p w14:paraId="211CD1E5" w14:textId="77777777" w:rsidR="00DE575E" w:rsidRDefault="002E7560">
      <w:pPr>
        <w:spacing w:before="30" w:line="204" w:lineRule="auto"/>
        <w:ind w:left="250" w:right="411"/>
        <w:jc w:val="both"/>
        <w:rPr>
          <w:sz w:val="16"/>
        </w:rPr>
      </w:pPr>
      <w:r>
        <w:rPr>
          <w:color w:val="231F20"/>
          <w:position w:val="5"/>
          <w:sz w:val="9"/>
        </w:rPr>
        <w:t xml:space="preserve">4 </w:t>
      </w:r>
      <w:r>
        <w:rPr>
          <w:color w:val="231F20"/>
          <w:sz w:val="16"/>
        </w:rPr>
        <w:t xml:space="preserve">Відповідно до ч. 2 </w:t>
      </w:r>
      <w:r>
        <w:rPr>
          <w:color w:val="231F20"/>
          <w:spacing w:val="-6"/>
          <w:sz w:val="16"/>
        </w:rPr>
        <w:t xml:space="preserve">ст. </w:t>
      </w:r>
      <w:r>
        <w:rPr>
          <w:color w:val="231F20"/>
          <w:sz w:val="16"/>
        </w:rPr>
        <w:t xml:space="preserve">19 </w:t>
      </w:r>
      <w:r>
        <w:rPr>
          <w:color w:val="231F20"/>
          <w:spacing w:val="-2"/>
          <w:sz w:val="16"/>
        </w:rPr>
        <w:t xml:space="preserve">Закону </w:t>
      </w:r>
      <w:r>
        <w:rPr>
          <w:color w:val="231F20"/>
          <w:spacing w:val="-4"/>
          <w:sz w:val="16"/>
        </w:rPr>
        <w:t xml:space="preserve">України </w:t>
      </w:r>
      <w:r>
        <w:rPr>
          <w:color w:val="231F20"/>
          <w:sz w:val="16"/>
        </w:rPr>
        <w:t xml:space="preserve">«Про державну службу» на державну службу не </w:t>
      </w:r>
      <w:r>
        <w:rPr>
          <w:color w:val="231F20"/>
          <w:spacing w:val="-3"/>
          <w:sz w:val="16"/>
        </w:rPr>
        <w:t xml:space="preserve">може </w:t>
      </w:r>
      <w:r>
        <w:rPr>
          <w:color w:val="231F20"/>
          <w:sz w:val="16"/>
        </w:rPr>
        <w:t xml:space="preserve">вступити особа, яка: </w:t>
      </w:r>
      <w:r>
        <w:rPr>
          <w:color w:val="231F20"/>
          <w:spacing w:val="-3"/>
          <w:sz w:val="16"/>
        </w:rPr>
        <w:t xml:space="preserve">досягла шістдесятип’ятирічного </w:t>
      </w:r>
      <w:r>
        <w:rPr>
          <w:color w:val="231F20"/>
          <w:sz w:val="16"/>
        </w:rPr>
        <w:t xml:space="preserve">віку; в </w:t>
      </w:r>
      <w:r>
        <w:rPr>
          <w:color w:val="231F20"/>
          <w:spacing w:val="-3"/>
          <w:sz w:val="16"/>
        </w:rPr>
        <w:t xml:space="preserve">установленому законом </w:t>
      </w:r>
      <w:r>
        <w:rPr>
          <w:color w:val="231F20"/>
          <w:sz w:val="16"/>
        </w:rPr>
        <w:t>порядку</w:t>
      </w:r>
      <w:r>
        <w:rPr>
          <w:color w:val="231F20"/>
          <w:spacing w:val="-18"/>
          <w:sz w:val="16"/>
        </w:rPr>
        <w:t xml:space="preserve"> </w:t>
      </w:r>
      <w:r>
        <w:rPr>
          <w:color w:val="231F20"/>
          <w:sz w:val="16"/>
        </w:rPr>
        <w:t>визнана</w:t>
      </w:r>
      <w:r>
        <w:rPr>
          <w:color w:val="231F20"/>
          <w:spacing w:val="-18"/>
          <w:sz w:val="16"/>
        </w:rPr>
        <w:t xml:space="preserve"> </w:t>
      </w:r>
      <w:r>
        <w:rPr>
          <w:color w:val="231F20"/>
          <w:sz w:val="16"/>
        </w:rPr>
        <w:t>недієздатно</w:t>
      </w:r>
      <w:r>
        <w:rPr>
          <w:color w:val="231F20"/>
          <w:sz w:val="16"/>
        </w:rPr>
        <w:t>ю</w:t>
      </w:r>
      <w:r>
        <w:rPr>
          <w:color w:val="231F20"/>
          <w:spacing w:val="-18"/>
          <w:sz w:val="16"/>
        </w:rPr>
        <w:t xml:space="preserve"> </w:t>
      </w:r>
      <w:r>
        <w:rPr>
          <w:color w:val="231F20"/>
          <w:sz w:val="16"/>
        </w:rPr>
        <w:t>або</w:t>
      </w:r>
      <w:r>
        <w:rPr>
          <w:color w:val="231F20"/>
          <w:spacing w:val="-18"/>
          <w:sz w:val="16"/>
        </w:rPr>
        <w:t xml:space="preserve"> </w:t>
      </w:r>
      <w:r>
        <w:rPr>
          <w:color w:val="231F20"/>
          <w:sz w:val="16"/>
        </w:rPr>
        <w:t>дієздатність</w:t>
      </w:r>
      <w:r>
        <w:rPr>
          <w:color w:val="231F20"/>
          <w:spacing w:val="-18"/>
          <w:sz w:val="16"/>
        </w:rPr>
        <w:t xml:space="preserve"> </w:t>
      </w:r>
      <w:r>
        <w:rPr>
          <w:color w:val="231F20"/>
          <w:sz w:val="16"/>
        </w:rPr>
        <w:t>якої</w:t>
      </w:r>
      <w:r>
        <w:rPr>
          <w:color w:val="231F20"/>
          <w:spacing w:val="-18"/>
          <w:sz w:val="16"/>
        </w:rPr>
        <w:t xml:space="preserve"> </w:t>
      </w:r>
      <w:r>
        <w:rPr>
          <w:color w:val="231F20"/>
          <w:sz w:val="16"/>
        </w:rPr>
        <w:t>є</w:t>
      </w:r>
      <w:r>
        <w:rPr>
          <w:color w:val="231F20"/>
          <w:spacing w:val="-19"/>
          <w:sz w:val="16"/>
        </w:rPr>
        <w:t xml:space="preserve"> </w:t>
      </w:r>
      <w:r>
        <w:rPr>
          <w:color w:val="231F20"/>
          <w:sz w:val="16"/>
        </w:rPr>
        <w:t>обмеженою;</w:t>
      </w:r>
      <w:r>
        <w:rPr>
          <w:color w:val="231F20"/>
          <w:spacing w:val="-18"/>
          <w:sz w:val="16"/>
        </w:rPr>
        <w:t xml:space="preserve"> </w:t>
      </w:r>
      <w:r>
        <w:rPr>
          <w:color w:val="231F20"/>
          <w:sz w:val="16"/>
        </w:rPr>
        <w:t>має</w:t>
      </w:r>
      <w:r>
        <w:rPr>
          <w:color w:val="231F20"/>
          <w:spacing w:val="-18"/>
          <w:sz w:val="16"/>
        </w:rPr>
        <w:t xml:space="preserve"> </w:t>
      </w:r>
      <w:r>
        <w:rPr>
          <w:color w:val="231F20"/>
          <w:spacing w:val="-3"/>
          <w:sz w:val="16"/>
        </w:rPr>
        <w:t>судимість</w:t>
      </w:r>
      <w:r>
        <w:rPr>
          <w:color w:val="231F20"/>
          <w:spacing w:val="-18"/>
          <w:sz w:val="16"/>
        </w:rPr>
        <w:t xml:space="preserve"> </w:t>
      </w:r>
      <w:r>
        <w:rPr>
          <w:color w:val="231F20"/>
          <w:sz w:val="16"/>
        </w:rPr>
        <w:t>за</w:t>
      </w:r>
      <w:r>
        <w:rPr>
          <w:color w:val="231F20"/>
          <w:spacing w:val="-18"/>
          <w:sz w:val="16"/>
        </w:rPr>
        <w:t xml:space="preserve"> </w:t>
      </w:r>
      <w:r>
        <w:rPr>
          <w:color w:val="231F20"/>
          <w:spacing w:val="-3"/>
          <w:sz w:val="16"/>
        </w:rPr>
        <w:t xml:space="preserve">скоєння </w:t>
      </w:r>
      <w:r>
        <w:rPr>
          <w:color w:val="231F20"/>
          <w:sz w:val="16"/>
        </w:rPr>
        <w:t>умисного</w:t>
      </w:r>
      <w:r>
        <w:rPr>
          <w:color w:val="231F20"/>
          <w:spacing w:val="-7"/>
          <w:sz w:val="16"/>
        </w:rPr>
        <w:t xml:space="preserve"> </w:t>
      </w:r>
      <w:r>
        <w:rPr>
          <w:color w:val="231F20"/>
          <w:spacing w:val="-4"/>
          <w:sz w:val="16"/>
        </w:rPr>
        <w:t>злочину,</w:t>
      </w:r>
      <w:r>
        <w:rPr>
          <w:color w:val="231F20"/>
          <w:spacing w:val="-7"/>
          <w:sz w:val="16"/>
        </w:rPr>
        <w:t xml:space="preserve"> </w:t>
      </w:r>
      <w:r>
        <w:rPr>
          <w:color w:val="231F20"/>
          <w:sz w:val="16"/>
        </w:rPr>
        <w:t>якщо</w:t>
      </w:r>
      <w:r>
        <w:rPr>
          <w:color w:val="231F20"/>
          <w:spacing w:val="-7"/>
          <w:sz w:val="16"/>
        </w:rPr>
        <w:t xml:space="preserve"> </w:t>
      </w:r>
      <w:r>
        <w:rPr>
          <w:color w:val="231F20"/>
          <w:sz w:val="16"/>
        </w:rPr>
        <w:t>така</w:t>
      </w:r>
      <w:r>
        <w:rPr>
          <w:color w:val="231F20"/>
          <w:spacing w:val="-7"/>
          <w:sz w:val="16"/>
        </w:rPr>
        <w:t xml:space="preserve"> </w:t>
      </w:r>
      <w:r>
        <w:rPr>
          <w:color w:val="231F20"/>
          <w:spacing w:val="-3"/>
          <w:sz w:val="16"/>
        </w:rPr>
        <w:t>судимість</w:t>
      </w:r>
      <w:r>
        <w:rPr>
          <w:color w:val="231F20"/>
          <w:spacing w:val="-7"/>
          <w:sz w:val="16"/>
        </w:rPr>
        <w:t xml:space="preserve"> </w:t>
      </w:r>
      <w:r>
        <w:rPr>
          <w:color w:val="231F20"/>
          <w:sz w:val="16"/>
        </w:rPr>
        <w:t>не</w:t>
      </w:r>
      <w:r>
        <w:rPr>
          <w:color w:val="231F20"/>
          <w:spacing w:val="-7"/>
          <w:sz w:val="16"/>
        </w:rPr>
        <w:t xml:space="preserve"> </w:t>
      </w:r>
      <w:r>
        <w:rPr>
          <w:color w:val="231F20"/>
          <w:sz w:val="16"/>
        </w:rPr>
        <w:t>погашена</w:t>
      </w:r>
      <w:r>
        <w:rPr>
          <w:color w:val="231F20"/>
          <w:spacing w:val="-7"/>
          <w:sz w:val="16"/>
        </w:rPr>
        <w:t xml:space="preserve"> </w:t>
      </w:r>
      <w:r>
        <w:rPr>
          <w:color w:val="231F20"/>
          <w:sz w:val="16"/>
        </w:rPr>
        <w:t>або</w:t>
      </w:r>
      <w:r>
        <w:rPr>
          <w:color w:val="231F20"/>
          <w:spacing w:val="-7"/>
          <w:sz w:val="16"/>
        </w:rPr>
        <w:t xml:space="preserve"> </w:t>
      </w:r>
      <w:r>
        <w:rPr>
          <w:color w:val="231F20"/>
          <w:sz w:val="16"/>
        </w:rPr>
        <w:t>не</w:t>
      </w:r>
      <w:r>
        <w:rPr>
          <w:color w:val="231F20"/>
          <w:spacing w:val="-7"/>
          <w:sz w:val="16"/>
        </w:rPr>
        <w:t xml:space="preserve"> </w:t>
      </w:r>
      <w:r>
        <w:rPr>
          <w:color w:val="231F20"/>
          <w:sz w:val="16"/>
        </w:rPr>
        <w:t>знята</w:t>
      </w:r>
      <w:r>
        <w:rPr>
          <w:color w:val="231F20"/>
          <w:spacing w:val="-7"/>
          <w:sz w:val="16"/>
        </w:rPr>
        <w:t xml:space="preserve"> </w:t>
      </w:r>
      <w:r>
        <w:rPr>
          <w:color w:val="231F20"/>
          <w:sz w:val="16"/>
        </w:rPr>
        <w:t>в</w:t>
      </w:r>
      <w:r>
        <w:rPr>
          <w:color w:val="231F20"/>
          <w:spacing w:val="-7"/>
          <w:sz w:val="16"/>
        </w:rPr>
        <w:t xml:space="preserve"> </w:t>
      </w:r>
      <w:r>
        <w:rPr>
          <w:color w:val="231F20"/>
          <w:spacing w:val="-3"/>
          <w:sz w:val="16"/>
        </w:rPr>
        <w:t>установленому</w:t>
      </w:r>
      <w:r>
        <w:rPr>
          <w:color w:val="231F20"/>
          <w:spacing w:val="-7"/>
          <w:sz w:val="16"/>
        </w:rPr>
        <w:t xml:space="preserve"> </w:t>
      </w:r>
      <w:r>
        <w:rPr>
          <w:color w:val="231F20"/>
          <w:spacing w:val="-3"/>
          <w:sz w:val="16"/>
        </w:rPr>
        <w:t xml:space="preserve">законом </w:t>
      </w:r>
      <w:r>
        <w:rPr>
          <w:color w:val="231F20"/>
          <w:sz w:val="16"/>
        </w:rPr>
        <w:t>порядку;</w:t>
      </w:r>
      <w:r>
        <w:rPr>
          <w:color w:val="231F20"/>
          <w:spacing w:val="-4"/>
          <w:sz w:val="16"/>
        </w:rPr>
        <w:t xml:space="preserve"> </w:t>
      </w:r>
      <w:r>
        <w:rPr>
          <w:color w:val="231F20"/>
          <w:sz w:val="16"/>
        </w:rPr>
        <w:t>відповідно</w:t>
      </w:r>
      <w:r>
        <w:rPr>
          <w:color w:val="231F20"/>
          <w:spacing w:val="-4"/>
          <w:sz w:val="16"/>
        </w:rPr>
        <w:t xml:space="preserve"> </w:t>
      </w:r>
      <w:r>
        <w:rPr>
          <w:color w:val="231F20"/>
          <w:sz w:val="16"/>
        </w:rPr>
        <w:t>до</w:t>
      </w:r>
      <w:r>
        <w:rPr>
          <w:color w:val="231F20"/>
          <w:spacing w:val="-5"/>
          <w:sz w:val="16"/>
        </w:rPr>
        <w:t xml:space="preserve"> </w:t>
      </w:r>
      <w:r>
        <w:rPr>
          <w:color w:val="231F20"/>
          <w:sz w:val="16"/>
        </w:rPr>
        <w:t>рішення</w:t>
      </w:r>
      <w:r>
        <w:rPr>
          <w:color w:val="231F20"/>
          <w:spacing w:val="-5"/>
          <w:sz w:val="16"/>
        </w:rPr>
        <w:t xml:space="preserve"> </w:t>
      </w:r>
      <w:r>
        <w:rPr>
          <w:color w:val="231F20"/>
          <w:spacing w:val="-4"/>
          <w:sz w:val="16"/>
        </w:rPr>
        <w:t>суду</w:t>
      </w:r>
      <w:r>
        <w:rPr>
          <w:color w:val="231F20"/>
          <w:spacing w:val="-5"/>
          <w:sz w:val="16"/>
        </w:rPr>
        <w:t xml:space="preserve"> </w:t>
      </w:r>
      <w:r>
        <w:rPr>
          <w:color w:val="231F20"/>
          <w:sz w:val="16"/>
        </w:rPr>
        <w:t>позбавлена</w:t>
      </w:r>
      <w:r>
        <w:rPr>
          <w:color w:val="231F20"/>
          <w:spacing w:val="-4"/>
          <w:sz w:val="16"/>
        </w:rPr>
        <w:t xml:space="preserve"> </w:t>
      </w:r>
      <w:r>
        <w:rPr>
          <w:color w:val="231F20"/>
          <w:sz w:val="16"/>
        </w:rPr>
        <w:t>права</w:t>
      </w:r>
      <w:r>
        <w:rPr>
          <w:color w:val="231F20"/>
          <w:spacing w:val="-5"/>
          <w:sz w:val="16"/>
        </w:rPr>
        <w:t xml:space="preserve"> </w:t>
      </w:r>
      <w:r>
        <w:rPr>
          <w:color w:val="231F20"/>
          <w:sz w:val="16"/>
        </w:rPr>
        <w:t>займатися</w:t>
      </w:r>
      <w:r>
        <w:rPr>
          <w:color w:val="231F20"/>
          <w:spacing w:val="-5"/>
          <w:sz w:val="16"/>
        </w:rPr>
        <w:t xml:space="preserve"> </w:t>
      </w:r>
      <w:r>
        <w:rPr>
          <w:color w:val="231F20"/>
          <w:sz w:val="16"/>
        </w:rPr>
        <w:t>діяльністю,</w:t>
      </w:r>
      <w:r>
        <w:rPr>
          <w:color w:val="231F20"/>
          <w:spacing w:val="-5"/>
          <w:sz w:val="16"/>
        </w:rPr>
        <w:t xml:space="preserve"> </w:t>
      </w:r>
      <w:r>
        <w:rPr>
          <w:color w:val="231F20"/>
          <w:sz w:val="16"/>
        </w:rPr>
        <w:t xml:space="preserve">пов’язаною з виконанням функцій держави, або займати відповідні посади; піддавалася адміністра- тивному </w:t>
      </w:r>
      <w:r>
        <w:rPr>
          <w:color w:val="231F20"/>
          <w:spacing w:val="-3"/>
          <w:sz w:val="16"/>
        </w:rPr>
        <w:t xml:space="preserve">стягненню </w:t>
      </w:r>
      <w:r>
        <w:rPr>
          <w:color w:val="231F20"/>
          <w:sz w:val="16"/>
        </w:rPr>
        <w:t xml:space="preserve">за </w:t>
      </w:r>
      <w:r>
        <w:rPr>
          <w:color w:val="231F20"/>
          <w:spacing w:val="-3"/>
          <w:sz w:val="16"/>
        </w:rPr>
        <w:t xml:space="preserve">корупційне </w:t>
      </w:r>
      <w:r>
        <w:rPr>
          <w:color w:val="231F20"/>
          <w:sz w:val="16"/>
        </w:rPr>
        <w:t xml:space="preserve">або пов’язане з </w:t>
      </w:r>
      <w:r>
        <w:rPr>
          <w:color w:val="231F20"/>
          <w:spacing w:val="-3"/>
          <w:sz w:val="16"/>
        </w:rPr>
        <w:t xml:space="preserve">корупцією правопорушення </w:t>
      </w:r>
      <w:r>
        <w:rPr>
          <w:color w:val="231F20"/>
          <w:sz w:val="16"/>
        </w:rPr>
        <w:t xml:space="preserve">– </w:t>
      </w:r>
      <w:r>
        <w:rPr>
          <w:color w:val="231F20"/>
          <w:spacing w:val="-3"/>
          <w:sz w:val="16"/>
        </w:rPr>
        <w:t xml:space="preserve">протягом трьох </w:t>
      </w:r>
      <w:r>
        <w:rPr>
          <w:color w:val="231F20"/>
          <w:sz w:val="16"/>
        </w:rPr>
        <w:t xml:space="preserve">років з дня набрання відповідним рішенням </w:t>
      </w:r>
      <w:r>
        <w:rPr>
          <w:color w:val="231F20"/>
          <w:spacing w:val="-4"/>
          <w:sz w:val="16"/>
        </w:rPr>
        <w:t xml:space="preserve">суду </w:t>
      </w:r>
      <w:r>
        <w:rPr>
          <w:color w:val="231F20"/>
          <w:sz w:val="16"/>
        </w:rPr>
        <w:t xml:space="preserve">законної сили; має </w:t>
      </w:r>
      <w:r>
        <w:rPr>
          <w:color w:val="231F20"/>
          <w:spacing w:val="-2"/>
          <w:sz w:val="16"/>
        </w:rPr>
        <w:t>гром</w:t>
      </w:r>
      <w:r>
        <w:rPr>
          <w:color w:val="231F20"/>
          <w:spacing w:val="-2"/>
          <w:sz w:val="16"/>
        </w:rPr>
        <w:t xml:space="preserve">адянство </w:t>
      </w:r>
      <w:r>
        <w:rPr>
          <w:color w:val="231F20"/>
          <w:sz w:val="16"/>
        </w:rPr>
        <w:t>іншої</w:t>
      </w:r>
      <w:r>
        <w:rPr>
          <w:color w:val="231F20"/>
          <w:spacing w:val="-11"/>
          <w:sz w:val="16"/>
        </w:rPr>
        <w:t xml:space="preserve"> </w:t>
      </w:r>
      <w:r>
        <w:rPr>
          <w:color w:val="231F20"/>
          <w:sz w:val="16"/>
        </w:rPr>
        <w:t>держави;</w:t>
      </w:r>
      <w:r>
        <w:rPr>
          <w:color w:val="231F20"/>
          <w:spacing w:val="-11"/>
          <w:sz w:val="16"/>
        </w:rPr>
        <w:t xml:space="preserve"> </w:t>
      </w:r>
      <w:r>
        <w:rPr>
          <w:color w:val="231F20"/>
          <w:sz w:val="16"/>
        </w:rPr>
        <w:t>не</w:t>
      </w:r>
      <w:r>
        <w:rPr>
          <w:color w:val="231F20"/>
          <w:spacing w:val="-11"/>
          <w:sz w:val="16"/>
        </w:rPr>
        <w:t xml:space="preserve"> </w:t>
      </w:r>
      <w:r>
        <w:rPr>
          <w:color w:val="231F20"/>
          <w:sz w:val="16"/>
        </w:rPr>
        <w:t>пройшла</w:t>
      </w:r>
      <w:r>
        <w:rPr>
          <w:color w:val="231F20"/>
          <w:spacing w:val="-11"/>
          <w:sz w:val="16"/>
        </w:rPr>
        <w:t xml:space="preserve"> </w:t>
      </w:r>
      <w:r>
        <w:rPr>
          <w:color w:val="231F20"/>
          <w:sz w:val="16"/>
        </w:rPr>
        <w:t>спеціальну</w:t>
      </w:r>
      <w:r>
        <w:rPr>
          <w:color w:val="231F20"/>
          <w:spacing w:val="-11"/>
          <w:sz w:val="16"/>
        </w:rPr>
        <w:t xml:space="preserve"> </w:t>
      </w:r>
      <w:r>
        <w:rPr>
          <w:color w:val="231F20"/>
          <w:sz w:val="16"/>
        </w:rPr>
        <w:t>перевірку</w:t>
      </w:r>
      <w:r>
        <w:rPr>
          <w:color w:val="231F20"/>
          <w:spacing w:val="-11"/>
          <w:sz w:val="16"/>
        </w:rPr>
        <w:t xml:space="preserve"> </w:t>
      </w:r>
      <w:r>
        <w:rPr>
          <w:color w:val="231F20"/>
          <w:sz w:val="16"/>
        </w:rPr>
        <w:t>або</w:t>
      </w:r>
      <w:r>
        <w:rPr>
          <w:color w:val="231F20"/>
          <w:spacing w:val="-11"/>
          <w:sz w:val="16"/>
        </w:rPr>
        <w:t xml:space="preserve"> </w:t>
      </w:r>
      <w:r>
        <w:rPr>
          <w:color w:val="231F20"/>
          <w:sz w:val="16"/>
        </w:rPr>
        <w:t>не</w:t>
      </w:r>
      <w:r>
        <w:rPr>
          <w:color w:val="231F20"/>
          <w:spacing w:val="-11"/>
          <w:sz w:val="16"/>
        </w:rPr>
        <w:t xml:space="preserve"> </w:t>
      </w:r>
      <w:r>
        <w:rPr>
          <w:color w:val="231F20"/>
          <w:sz w:val="16"/>
        </w:rPr>
        <w:t>надала</w:t>
      </w:r>
      <w:r>
        <w:rPr>
          <w:color w:val="231F20"/>
          <w:spacing w:val="-11"/>
          <w:sz w:val="16"/>
        </w:rPr>
        <w:t xml:space="preserve"> </w:t>
      </w:r>
      <w:r>
        <w:rPr>
          <w:color w:val="231F20"/>
          <w:spacing w:val="-3"/>
          <w:sz w:val="16"/>
        </w:rPr>
        <w:t>згоду</w:t>
      </w:r>
      <w:r>
        <w:rPr>
          <w:color w:val="231F20"/>
          <w:spacing w:val="-11"/>
          <w:sz w:val="16"/>
        </w:rPr>
        <w:t xml:space="preserve"> </w:t>
      </w:r>
      <w:r>
        <w:rPr>
          <w:color w:val="231F20"/>
          <w:sz w:val="16"/>
        </w:rPr>
        <w:t>на</w:t>
      </w:r>
      <w:r>
        <w:rPr>
          <w:color w:val="231F20"/>
          <w:spacing w:val="-11"/>
          <w:sz w:val="16"/>
        </w:rPr>
        <w:t xml:space="preserve"> </w:t>
      </w:r>
      <w:r>
        <w:rPr>
          <w:color w:val="231F20"/>
          <w:sz w:val="16"/>
        </w:rPr>
        <w:t>її</w:t>
      </w:r>
      <w:r>
        <w:rPr>
          <w:color w:val="231F20"/>
          <w:spacing w:val="-11"/>
          <w:sz w:val="16"/>
        </w:rPr>
        <w:t xml:space="preserve"> </w:t>
      </w:r>
      <w:r>
        <w:rPr>
          <w:color w:val="231F20"/>
          <w:sz w:val="16"/>
        </w:rPr>
        <w:t>проведення;</w:t>
      </w:r>
      <w:r>
        <w:rPr>
          <w:color w:val="231F20"/>
          <w:spacing w:val="-11"/>
          <w:sz w:val="16"/>
        </w:rPr>
        <w:t xml:space="preserve"> </w:t>
      </w:r>
      <w:r>
        <w:rPr>
          <w:color w:val="231F20"/>
          <w:sz w:val="16"/>
        </w:rPr>
        <w:t>під- падає</w:t>
      </w:r>
      <w:r>
        <w:rPr>
          <w:color w:val="231F20"/>
          <w:spacing w:val="-5"/>
          <w:sz w:val="16"/>
        </w:rPr>
        <w:t xml:space="preserve"> </w:t>
      </w:r>
      <w:r>
        <w:rPr>
          <w:color w:val="231F20"/>
          <w:sz w:val="16"/>
        </w:rPr>
        <w:t>під</w:t>
      </w:r>
      <w:r>
        <w:rPr>
          <w:color w:val="231F20"/>
          <w:spacing w:val="-5"/>
          <w:sz w:val="16"/>
        </w:rPr>
        <w:t xml:space="preserve"> </w:t>
      </w:r>
      <w:r>
        <w:rPr>
          <w:color w:val="231F20"/>
          <w:spacing w:val="-4"/>
          <w:sz w:val="16"/>
        </w:rPr>
        <w:t>заборону,</w:t>
      </w:r>
      <w:r>
        <w:rPr>
          <w:color w:val="231F20"/>
          <w:spacing w:val="-5"/>
          <w:sz w:val="16"/>
        </w:rPr>
        <w:t xml:space="preserve"> </w:t>
      </w:r>
      <w:r>
        <w:rPr>
          <w:color w:val="231F20"/>
          <w:spacing w:val="-3"/>
          <w:sz w:val="16"/>
        </w:rPr>
        <w:t>установлену</w:t>
      </w:r>
      <w:r>
        <w:rPr>
          <w:color w:val="231F20"/>
          <w:spacing w:val="-5"/>
          <w:sz w:val="16"/>
        </w:rPr>
        <w:t xml:space="preserve"> </w:t>
      </w:r>
      <w:r>
        <w:rPr>
          <w:color w:val="231F20"/>
          <w:sz w:val="16"/>
        </w:rPr>
        <w:t>Законом</w:t>
      </w:r>
      <w:r>
        <w:rPr>
          <w:color w:val="231F20"/>
          <w:spacing w:val="-5"/>
          <w:sz w:val="16"/>
        </w:rPr>
        <w:t xml:space="preserve"> </w:t>
      </w:r>
      <w:r>
        <w:rPr>
          <w:color w:val="231F20"/>
          <w:spacing w:val="-4"/>
          <w:sz w:val="16"/>
        </w:rPr>
        <w:t>України</w:t>
      </w:r>
      <w:r>
        <w:rPr>
          <w:color w:val="231F20"/>
          <w:spacing w:val="-5"/>
          <w:sz w:val="16"/>
        </w:rPr>
        <w:t xml:space="preserve"> </w:t>
      </w:r>
      <w:r>
        <w:rPr>
          <w:color w:val="231F20"/>
          <w:sz w:val="16"/>
        </w:rPr>
        <w:t>«Про</w:t>
      </w:r>
      <w:r>
        <w:rPr>
          <w:color w:val="231F20"/>
          <w:spacing w:val="-5"/>
          <w:sz w:val="16"/>
        </w:rPr>
        <w:t xml:space="preserve"> </w:t>
      </w:r>
      <w:r>
        <w:rPr>
          <w:color w:val="231F20"/>
          <w:sz w:val="16"/>
        </w:rPr>
        <w:t>очищення</w:t>
      </w:r>
      <w:r>
        <w:rPr>
          <w:color w:val="231F20"/>
          <w:spacing w:val="-5"/>
          <w:sz w:val="16"/>
        </w:rPr>
        <w:t xml:space="preserve"> </w:t>
      </w:r>
      <w:r>
        <w:rPr>
          <w:color w:val="231F20"/>
          <w:sz w:val="16"/>
        </w:rPr>
        <w:t>влади».</w:t>
      </w:r>
    </w:p>
    <w:p w14:paraId="69AD0EBD" w14:textId="77777777" w:rsidR="00DE575E" w:rsidRDefault="00DE575E">
      <w:pPr>
        <w:pStyle w:val="BodyText"/>
        <w:spacing w:before="9"/>
        <w:rPr>
          <w:sz w:val="12"/>
        </w:rPr>
      </w:pPr>
    </w:p>
    <w:p w14:paraId="2F1B4C9E" w14:textId="77777777" w:rsidR="00DE575E" w:rsidRDefault="002E7560">
      <w:pPr>
        <w:spacing w:before="91"/>
        <w:ind w:right="411"/>
        <w:jc w:val="right"/>
        <w:rPr>
          <w:rFonts w:ascii="Times New Roman"/>
          <w:sz w:val="20"/>
        </w:rPr>
      </w:pPr>
      <w:r>
        <w:rPr>
          <w:rFonts w:ascii="Times New Roman"/>
          <w:color w:val="231F20"/>
          <w:w w:val="90"/>
          <w:sz w:val="20"/>
        </w:rPr>
        <w:t>365</w:t>
      </w:r>
    </w:p>
    <w:p w14:paraId="455708B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6F61A9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A67D37A" w14:textId="30692F9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7FAF991" wp14:editId="277AE328">
                <wp:extent cx="4140200" cy="6350"/>
                <wp:effectExtent l="0" t="0" r="12700" b="6350"/>
                <wp:docPr id="48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90" name="Line 4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5E808D" id="Group_x0020_4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sgv9qgAIAAJgFAAAO&#10;AAAAAAAAAAAAAAAAACwCAABkcnMvZTJvRG9jLnhtbFBLAQItABQABgAIAAAAIQBMp7CQ2QAAAAMB&#10;AAAPAAAAAAAAAAAAAAAAANgEAABkcnMvZG93bnJldi54bWxQSwUGAAAAAAQABADzAAAA3gUAAAAA&#10;">
                <v:line id="Line_x0020_4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B/dsQAAADcAAAADwAAAGRycy9kb3ducmV2LnhtbERP3WrCMBS+H+wdwhnsZmjqHKK1UWQw&#10;EC90sz7AaXNsi8lJbaLt9vTLxWCXH99/th6sEXfqfONYwWScgCAunW64UnDKP0ZzED4gazSOScE3&#10;eVivHh8yTLXr+Yvux1CJGMI+RQV1CG0qpS9rsujHriWO3Nl1FkOEXSV1h30Mt0a+JslMWmw4NtTY&#10;0ntN5eV4swry60swn4ed6fNDMZXFdT/9ue2Ven4aNksQgYbwL/5zb7WCt0W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4H92xAAAANwAAAAPAAAAAAAAAAAA&#10;AAAAAKECAABkcnMvZG93bnJldi54bWxQSwUGAAAAAAQABAD5AAAAkgMAAAAA&#10;" strokecolor="#231f20" strokeweight=".5pt"/>
                <w10:anchorlock/>
              </v:group>
            </w:pict>
          </mc:Fallback>
        </mc:AlternateContent>
      </w:r>
    </w:p>
    <w:p w14:paraId="1C28AC04" w14:textId="77777777" w:rsidR="00DE575E" w:rsidRDefault="00DE575E">
      <w:pPr>
        <w:pStyle w:val="BodyText"/>
        <w:spacing w:before="7"/>
        <w:rPr>
          <w:rFonts w:ascii="AdonisC"/>
          <w:i/>
          <w:sz w:val="11"/>
        </w:rPr>
      </w:pPr>
    </w:p>
    <w:p w14:paraId="5F5BCDDF" w14:textId="77777777" w:rsidR="00DE575E" w:rsidRDefault="002E7560">
      <w:pPr>
        <w:pStyle w:val="ListParagraph"/>
        <w:numPr>
          <w:ilvl w:val="0"/>
          <w:numId w:val="103"/>
        </w:numPr>
        <w:tabs>
          <w:tab w:val="left" w:pos="1101"/>
        </w:tabs>
        <w:spacing w:before="101" w:line="252" w:lineRule="auto"/>
        <w:ind w:right="126" w:firstLine="284"/>
        <w:jc w:val="both"/>
        <w:rPr>
          <w:sz w:val="21"/>
        </w:rPr>
      </w:pPr>
      <w:r>
        <w:rPr>
          <w:i/>
          <w:color w:val="231F20"/>
          <w:sz w:val="21"/>
        </w:rPr>
        <w:t>безумовні вимоги</w:t>
      </w:r>
      <w:r>
        <w:rPr>
          <w:color w:val="231F20"/>
          <w:sz w:val="21"/>
        </w:rPr>
        <w:t>, до яких віднесено наявність громадянства України</w:t>
      </w:r>
      <w:r>
        <w:rPr>
          <w:color w:val="231F20"/>
          <w:position w:val="7"/>
          <w:sz w:val="12"/>
        </w:rPr>
        <w:t>1</w:t>
      </w:r>
      <w:r>
        <w:rPr>
          <w:color w:val="231F20"/>
          <w:sz w:val="21"/>
        </w:rPr>
        <w:t>, досягнення повноліття, наявність відповідного ступеня освіти</w:t>
      </w:r>
      <w:r>
        <w:rPr>
          <w:color w:val="231F20"/>
          <w:position w:val="7"/>
          <w:sz w:val="12"/>
        </w:rPr>
        <w:t>2</w:t>
      </w:r>
      <w:r>
        <w:rPr>
          <w:color w:val="231F20"/>
          <w:sz w:val="21"/>
        </w:rPr>
        <w:t>;</w:t>
      </w:r>
    </w:p>
    <w:p w14:paraId="5FF5DB98" w14:textId="77777777" w:rsidR="00DE575E" w:rsidRDefault="002E7560">
      <w:pPr>
        <w:pStyle w:val="ListParagraph"/>
        <w:numPr>
          <w:ilvl w:val="0"/>
          <w:numId w:val="103"/>
        </w:numPr>
        <w:tabs>
          <w:tab w:val="left" w:pos="1101"/>
        </w:tabs>
        <w:spacing w:line="252" w:lineRule="auto"/>
        <w:ind w:right="127" w:firstLine="284"/>
        <w:jc w:val="both"/>
        <w:rPr>
          <w:sz w:val="21"/>
        </w:rPr>
      </w:pPr>
      <w:r>
        <w:rPr>
          <w:i/>
          <w:color w:val="231F20"/>
          <w:sz w:val="21"/>
        </w:rPr>
        <w:t>загальні вимоги</w:t>
      </w:r>
      <w:r>
        <w:rPr>
          <w:color w:val="231F20"/>
          <w:sz w:val="21"/>
        </w:rPr>
        <w:t>, які є однаковими для усіх посад державної служби віднесено: відпов</w:t>
      </w:r>
      <w:r>
        <w:rPr>
          <w:color w:val="231F20"/>
          <w:sz w:val="21"/>
        </w:rPr>
        <w:t>ідний стаж роботи, досвід роботи; вільне володіння державною мовою</w:t>
      </w:r>
      <w:r>
        <w:rPr>
          <w:color w:val="231F20"/>
          <w:position w:val="7"/>
          <w:sz w:val="12"/>
        </w:rPr>
        <w:t>3</w:t>
      </w:r>
      <w:r>
        <w:rPr>
          <w:color w:val="231F20"/>
          <w:sz w:val="21"/>
        </w:rPr>
        <w:t>. Для посад державної служби катего- рії «А» до загальних вимог віднесено володіння іноземною мовою, яка є однією з офіційних мов Ради</w:t>
      </w:r>
      <w:r>
        <w:rPr>
          <w:color w:val="231F20"/>
          <w:spacing w:val="-6"/>
          <w:sz w:val="21"/>
        </w:rPr>
        <w:t xml:space="preserve"> </w:t>
      </w:r>
      <w:r>
        <w:rPr>
          <w:color w:val="231F20"/>
          <w:sz w:val="21"/>
        </w:rPr>
        <w:t>Європи;</w:t>
      </w:r>
    </w:p>
    <w:p w14:paraId="75F65286" w14:textId="77777777" w:rsidR="00DE575E" w:rsidRDefault="002E7560">
      <w:pPr>
        <w:pStyle w:val="ListParagraph"/>
        <w:numPr>
          <w:ilvl w:val="0"/>
          <w:numId w:val="103"/>
        </w:numPr>
        <w:tabs>
          <w:tab w:val="left" w:pos="1101"/>
        </w:tabs>
        <w:spacing w:before="3" w:line="252" w:lineRule="auto"/>
        <w:ind w:right="126" w:firstLine="284"/>
        <w:jc w:val="both"/>
        <w:rPr>
          <w:sz w:val="21"/>
        </w:rPr>
      </w:pPr>
      <w:r>
        <w:rPr>
          <w:i/>
          <w:color w:val="231F20"/>
          <w:sz w:val="21"/>
        </w:rPr>
        <w:t>спеціальні вимоги</w:t>
      </w:r>
      <w:r>
        <w:rPr>
          <w:color w:val="231F20"/>
          <w:sz w:val="21"/>
        </w:rPr>
        <w:t xml:space="preserve">: наявність досвіду роботи в </w:t>
      </w:r>
      <w:r>
        <w:rPr>
          <w:color w:val="231F20"/>
          <w:sz w:val="21"/>
        </w:rPr>
        <w:t>конкретній сфері діяльності, необхідні знання, уміння й навички, особистісні компетенції (креативність, ініціативність, вимогливість, уміння працювати у стресових ситуаціях, дипломатичність</w:t>
      </w:r>
      <w:r>
        <w:rPr>
          <w:color w:val="231F20"/>
          <w:spacing w:val="-11"/>
          <w:sz w:val="21"/>
        </w:rPr>
        <w:t xml:space="preserve"> </w:t>
      </w:r>
      <w:r>
        <w:rPr>
          <w:color w:val="231F20"/>
          <w:sz w:val="21"/>
        </w:rPr>
        <w:t>тощо)</w:t>
      </w:r>
      <w:r>
        <w:rPr>
          <w:color w:val="231F20"/>
          <w:position w:val="7"/>
          <w:sz w:val="12"/>
        </w:rPr>
        <w:t>4</w:t>
      </w:r>
      <w:r>
        <w:rPr>
          <w:color w:val="231F20"/>
          <w:sz w:val="21"/>
        </w:rPr>
        <w:t>.</w:t>
      </w:r>
    </w:p>
    <w:p w14:paraId="05C8C5A3" w14:textId="77777777" w:rsidR="00DE575E" w:rsidRDefault="002E7560">
      <w:pPr>
        <w:pStyle w:val="BodyText"/>
        <w:spacing w:before="2" w:line="252" w:lineRule="auto"/>
        <w:ind w:left="533" w:right="127" w:firstLine="283"/>
        <w:jc w:val="both"/>
      </w:pPr>
      <w:r>
        <w:rPr>
          <w:color w:val="231F20"/>
        </w:rPr>
        <w:t>Розроблення та визначення спеціальних вимог забезпечують безпосередній керівник структурного підрозділу та служба управ- ління персоналом. За своїм змістом спеціальні вимоги є описом вимог до досвіду роботи, освіти, знань, умінь, компетенцій, потріб- них д</w:t>
      </w:r>
      <w:r>
        <w:rPr>
          <w:color w:val="231F20"/>
        </w:rPr>
        <w:t>ля ефективного виконання державним службовцем покладе- них на нього повноважень.</w:t>
      </w:r>
    </w:p>
    <w:p w14:paraId="0252A183" w14:textId="77777777" w:rsidR="00DE575E" w:rsidRDefault="002E7560">
      <w:pPr>
        <w:pStyle w:val="BodyText"/>
        <w:spacing w:before="3" w:line="252" w:lineRule="auto"/>
        <w:ind w:left="533" w:right="127" w:firstLine="283"/>
        <w:jc w:val="both"/>
      </w:pPr>
      <w:r>
        <w:rPr>
          <w:i/>
          <w:color w:val="231F20"/>
        </w:rPr>
        <w:t xml:space="preserve">Вступ на державну службу </w:t>
      </w:r>
      <w:r>
        <w:rPr>
          <w:color w:val="231F20"/>
        </w:rPr>
        <w:t>здійснюється через призначення громадянина України на посаду державної служби за результатами конкурсу або в позаконкурсному порядку.</w:t>
      </w:r>
    </w:p>
    <w:p w14:paraId="370AC0E8" w14:textId="77777777" w:rsidR="00DE575E" w:rsidRDefault="002E7560">
      <w:pPr>
        <w:pStyle w:val="BodyText"/>
        <w:spacing w:before="1" w:line="252" w:lineRule="auto"/>
        <w:ind w:left="533" w:right="127" w:firstLine="283"/>
        <w:jc w:val="both"/>
      </w:pPr>
      <w:r>
        <w:rPr>
          <w:color w:val="231F20"/>
        </w:rPr>
        <w:t>Конкурсний поряд</w:t>
      </w:r>
      <w:r>
        <w:rPr>
          <w:color w:val="231F20"/>
        </w:rPr>
        <w:t xml:space="preserve">ок різниться залежно від виду державної служби й може мати </w:t>
      </w:r>
      <w:r>
        <w:rPr>
          <w:i/>
          <w:color w:val="231F20"/>
        </w:rPr>
        <w:t>відкритий та закритий характер</w:t>
      </w:r>
      <w:r>
        <w:rPr>
          <w:color w:val="231F20"/>
        </w:rPr>
        <w:t>. Конкурсний порядок, який має закритий характер, застосовується в разі добору на посади державної служби у сфері оборони, національної безпеки, державної таємниці, мо</w:t>
      </w:r>
      <w:r>
        <w:rPr>
          <w:color w:val="231F20"/>
        </w:rPr>
        <w:t>білізаційної підготовки і т.д.</w:t>
      </w:r>
      <w:r>
        <w:rPr>
          <w:color w:val="231F20"/>
          <w:position w:val="7"/>
          <w:sz w:val="12"/>
        </w:rPr>
        <w:t>5</w:t>
      </w:r>
      <w:r>
        <w:rPr>
          <w:color w:val="231F20"/>
        </w:rPr>
        <w:t>.</w:t>
      </w:r>
    </w:p>
    <w:p w14:paraId="32976577" w14:textId="0D40E157" w:rsidR="00DE575E" w:rsidRDefault="002E7560">
      <w:pPr>
        <w:pStyle w:val="BodyText"/>
        <w:spacing w:before="10"/>
        <w:rPr>
          <w:sz w:val="24"/>
        </w:rPr>
      </w:pPr>
      <w:r>
        <w:rPr>
          <w:noProof/>
        </w:rPr>
        <mc:AlternateContent>
          <mc:Choice Requires="wps">
            <w:drawing>
              <wp:anchor distT="0" distB="0" distL="0" distR="0" simplePos="0" relativeHeight="14344" behindDoc="0" locked="0" layoutInCell="1" allowOverlap="1" wp14:anchorId="3EA771D2" wp14:editId="2C81DE7B">
                <wp:simplePos x="0" y="0"/>
                <wp:positionH relativeFrom="page">
                  <wp:posOffset>719455</wp:posOffset>
                </wp:positionH>
                <wp:positionV relativeFrom="paragraph">
                  <wp:posOffset>213360</wp:posOffset>
                </wp:positionV>
                <wp:extent cx="1080135" cy="0"/>
                <wp:effectExtent l="8255" t="10160" r="29210" b="27940"/>
                <wp:wrapTopAndBottom/>
                <wp:docPr id="48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CD095" id="Line_x0020_487" o:spid="_x0000_s1026" style="position:absolute;z-index:14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8pt" to="141.7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" strokecolor="#231f20" strokeweight=".5pt">
                <w10:wrap type="topAndBottom" anchorx="page"/>
              </v:line>
            </w:pict>
          </mc:Fallback>
        </mc:AlternateContent>
      </w:r>
    </w:p>
    <w:p w14:paraId="751C6742" w14:textId="77777777" w:rsidR="00DE575E" w:rsidRDefault="002E7560">
      <w:pPr>
        <w:spacing w:line="218" w:lineRule="auto"/>
        <w:ind w:left="533" w:right="127"/>
        <w:jc w:val="both"/>
        <w:rPr>
          <w:sz w:val="16"/>
        </w:rPr>
      </w:pPr>
      <w:r>
        <w:rPr>
          <w:color w:val="231F20"/>
          <w:position w:val="5"/>
          <w:sz w:val="9"/>
        </w:rPr>
        <w:t xml:space="preserve">1 </w:t>
      </w:r>
      <w:r>
        <w:rPr>
          <w:color w:val="231F20"/>
          <w:sz w:val="16"/>
        </w:rPr>
        <w:t>Громадянство України – це правовий зв’язок між фізичною особою і Україною, виявле- ний</w:t>
      </w:r>
      <w:r>
        <w:rPr>
          <w:color w:val="231F20"/>
          <w:spacing w:val="-7"/>
          <w:sz w:val="16"/>
        </w:rPr>
        <w:t xml:space="preserve"> </w:t>
      </w:r>
      <w:r>
        <w:rPr>
          <w:color w:val="231F20"/>
          <w:sz w:val="16"/>
        </w:rPr>
        <w:t>у</w:t>
      </w:r>
      <w:r>
        <w:rPr>
          <w:color w:val="231F20"/>
          <w:spacing w:val="-7"/>
          <w:sz w:val="16"/>
        </w:rPr>
        <w:t xml:space="preserve"> </w:t>
      </w:r>
      <w:r>
        <w:rPr>
          <w:color w:val="231F20"/>
          <w:sz w:val="16"/>
        </w:rPr>
        <w:t>їх</w:t>
      </w:r>
      <w:r>
        <w:rPr>
          <w:color w:val="231F20"/>
          <w:spacing w:val="-7"/>
          <w:sz w:val="16"/>
        </w:rPr>
        <w:t xml:space="preserve"> </w:t>
      </w:r>
      <w:r>
        <w:rPr>
          <w:color w:val="231F20"/>
          <w:sz w:val="16"/>
        </w:rPr>
        <w:t>взаємних</w:t>
      </w:r>
      <w:r>
        <w:rPr>
          <w:color w:val="231F20"/>
          <w:spacing w:val="-7"/>
          <w:sz w:val="16"/>
        </w:rPr>
        <w:t xml:space="preserve"> </w:t>
      </w:r>
      <w:r>
        <w:rPr>
          <w:color w:val="231F20"/>
          <w:sz w:val="16"/>
        </w:rPr>
        <w:t>правах</w:t>
      </w:r>
      <w:r>
        <w:rPr>
          <w:color w:val="231F20"/>
          <w:spacing w:val="-7"/>
          <w:sz w:val="16"/>
        </w:rPr>
        <w:t xml:space="preserve"> </w:t>
      </w:r>
      <w:r>
        <w:rPr>
          <w:color w:val="231F20"/>
          <w:sz w:val="16"/>
        </w:rPr>
        <w:t>та</w:t>
      </w:r>
      <w:r>
        <w:rPr>
          <w:color w:val="231F20"/>
          <w:spacing w:val="-7"/>
          <w:sz w:val="16"/>
        </w:rPr>
        <w:t xml:space="preserve"> </w:t>
      </w:r>
      <w:r>
        <w:rPr>
          <w:color w:val="231F20"/>
          <w:sz w:val="16"/>
        </w:rPr>
        <w:t>обов’язках.</w:t>
      </w:r>
      <w:r>
        <w:rPr>
          <w:color w:val="231F20"/>
          <w:spacing w:val="-7"/>
          <w:sz w:val="16"/>
        </w:rPr>
        <w:t xml:space="preserve"> </w:t>
      </w:r>
      <w:r>
        <w:rPr>
          <w:color w:val="231F20"/>
          <w:sz w:val="16"/>
        </w:rPr>
        <w:t>Ця</w:t>
      </w:r>
      <w:r>
        <w:rPr>
          <w:color w:val="231F20"/>
          <w:spacing w:val="-7"/>
          <w:sz w:val="16"/>
        </w:rPr>
        <w:t xml:space="preserve"> </w:t>
      </w:r>
      <w:r>
        <w:rPr>
          <w:color w:val="231F20"/>
          <w:sz w:val="16"/>
        </w:rPr>
        <w:t>вимога</w:t>
      </w:r>
      <w:r>
        <w:rPr>
          <w:color w:val="231F20"/>
          <w:spacing w:val="-7"/>
          <w:sz w:val="16"/>
        </w:rPr>
        <w:t xml:space="preserve"> </w:t>
      </w:r>
      <w:r>
        <w:rPr>
          <w:color w:val="231F20"/>
          <w:sz w:val="16"/>
        </w:rPr>
        <w:t>регламентується</w:t>
      </w:r>
      <w:r>
        <w:rPr>
          <w:color w:val="231F20"/>
          <w:spacing w:val="-7"/>
          <w:sz w:val="16"/>
        </w:rPr>
        <w:t xml:space="preserve"> </w:t>
      </w:r>
      <w:r>
        <w:rPr>
          <w:color w:val="231F20"/>
          <w:sz w:val="16"/>
        </w:rPr>
        <w:t>Законом</w:t>
      </w:r>
      <w:r>
        <w:rPr>
          <w:color w:val="231F20"/>
          <w:spacing w:val="-7"/>
          <w:sz w:val="16"/>
        </w:rPr>
        <w:t xml:space="preserve"> </w:t>
      </w:r>
      <w:r>
        <w:rPr>
          <w:color w:val="231F20"/>
          <w:sz w:val="16"/>
        </w:rPr>
        <w:t>України</w:t>
      </w:r>
      <w:r>
        <w:rPr>
          <w:color w:val="231F20"/>
          <w:spacing w:val="-7"/>
          <w:sz w:val="16"/>
        </w:rPr>
        <w:t xml:space="preserve"> </w:t>
      </w:r>
      <w:r>
        <w:rPr>
          <w:color w:val="231F20"/>
          <w:sz w:val="16"/>
        </w:rPr>
        <w:t>«Про громадянство».</w:t>
      </w:r>
    </w:p>
    <w:p w14:paraId="5DB257CB" w14:textId="77777777" w:rsidR="00DE575E" w:rsidRDefault="002E7560">
      <w:pPr>
        <w:spacing w:before="24" w:line="218" w:lineRule="auto"/>
        <w:ind w:left="533" w:right="124"/>
        <w:jc w:val="both"/>
        <w:rPr>
          <w:sz w:val="16"/>
        </w:rPr>
      </w:pPr>
      <w:r>
        <w:rPr>
          <w:color w:val="231F20"/>
          <w:position w:val="5"/>
          <w:sz w:val="9"/>
        </w:rPr>
        <w:t xml:space="preserve">2 </w:t>
      </w:r>
      <w:r>
        <w:rPr>
          <w:color w:val="231F20"/>
          <w:sz w:val="16"/>
        </w:rPr>
        <w:t>Згідно із Законом України «Про державну службу» кандидат на вакантну посаду державної служби категорій «А» чи «Б» повинен мати ступінь вищої освіти не нижче магістра (освітній ступінь, що здобувається на другому рівні вищої освіти за умови наявності ступен</w:t>
      </w:r>
      <w:r>
        <w:rPr>
          <w:color w:val="231F20"/>
          <w:sz w:val="16"/>
        </w:rPr>
        <w:t>я бакалавра); для посад категорії «В» – бакалавра або молодшого бакалавра.</w:t>
      </w:r>
    </w:p>
    <w:p w14:paraId="1DDEFAAA" w14:textId="77777777" w:rsidR="00DE575E" w:rsidRDefault="002E7560">
      <w:pPr>
        <w:spacing w:before="24" w:line="218" w:lineRule="auto"/>
        <w:ind w:left="533" w:right="128"/>
        <w:jc w:val="both"/>
        <w:rPr>
          <w:sz w:val="16"/>
        </w:rPr>
      </w:pPr>
      <w:r>
        <w:rPr>
          <w:color w:val="231F20"/>
          <w:position w:val="5"/>
          <w:sz w:val="9"/>
        </w:rPr>
        <w:t xml:space="preserve">3 </w:t>
      </w:r>
      <w:r>
        <w:rPr>
          <w:color w:val="231F20"/>
          <w:sz w:val="16"/>
        </w:rPr>
        <w:t xml:space="preserve">Державною мовою в Україні відповідно до </w:t>
      </w:r>
      <w:r>
        <w:rPr>
          <w:color w:val="231F20"/>
          <w:spacing w:val="-5"/>
          <w:sz w:val="16"/>
        </w:rPr>
        <w:t xml:space="preserve">ст. </w:t>
      </w:r>
      <w:r>
        <w:rPr>
          <w:color w:val="231F20"/>
          <w:sz w:val="16"/>
        </w:rPr>
        <w:t>10 Конституції  України  є  українська мова. Щодо підтвердження володіння українською мовою слід звернутися до положення Закону України</w:t>
      </w:r>
      <w:r>
        <w:rPr>
          <w:color w:val="231F20"/>
          <w:sz w:val="16"/>
        </w:rPr>
        <w:t xml:space="preserve"> від 25.04.2019 р. № 2704-VIII «Про забезпечення функціонування україн- ської мови як</w:t>
      </w:r>
      <w:r>
        <w:rPr>
          <w:color w:val="231F20"/>
          <w:spacing w:val="-1"/>
          <w:sz w:val="16"/>
        </w:rPr>
        <w:t xml:space="preserve"> </w:t>
      </w:r>
      <w:r>
        <w:rPr>
          <w:color w:val="231F20"/>
          <w:sz w:val="16"/>
        </w:rPr>
        <w:t>державної».</w:t>
      </w:r>
    </w:p>
    <w:p w14:paraId="0E42FF29" w14:textId="77777777" w:rsidR="00DE575E" w:rsidRDefault="002E7560">
      <w:pPr>
        <w:spacing w:before="26" w:line="218" w:lineRule="auto"/>
        <w:ind w:left="533" w:right="129"/>
        <w:jc w:val="both"/>
        <w:rPr>
          <w:sz w:val="16"/>
        </w:rPr>
      </w:pPr>
      <w:r>
        <w:rPr>
          <w:color w:val="231F20"/>
          <w:position w:val="5"/>
          <w:sz w:val="9"/>
        </w:rPr>
        <w:t xml:space="preserve">4 </w:t>
      </w:r>
      <w:r>
        <w:rPr>
          <w:color w:val="231F20"/>
          <w:sz w:val="16"/>
        </w:rPr>
        <w:t>Даниленко Ю. Оцінювання у державній службі: теорія і правове регулювання: дис… канд.. юрид наук : 12.00.07. Одеса, 2017. 200 с.</w:t>
      </w:r>
    </w:p>
    <w:p w14:paraId="3B439299" w14:textId="77777777" w:rsidR="00DE575E" w:rsidRDefault="002E7560">
      <w:pPr>
        <w:spacing w:before="27" w:line="218" w:lineRule="auto"/>
        <w:ind w:left="533" w:right="128"/>
        <w:jc w:val="both"/>
        <w:rPr>
          <w:sz w:val="16"/>
        </w:rPr>
      </w:pPr>
      <w:r>
        <w:rPr>
          <w:color w:val="231F20"/>
          <w:position w:val="5"/>
          <w:sz w:val="9"/>
        </w:rPr>
        <w:t xml:space="preserve">5 </w:t>
      </w:r>
      <w:r>
        <w:rPr>
          <w:color w:val="231F20"/>
          <w:sz w:val="16"/>
        </w:rPr>
        <w:t xml:space="preserve">Про порядок проведення конкурсу на зайняття посад державної служби: Постанова Кабінету Міністрів України від 25.03.2016 р. № 246. URL: </w:t>
      </w:r>
      <w:hyperlink r:id="rId45">
        <w:r>
          <w:rPr>
            <w:color w:val="231F20"/>
            <w:sz w:val="16"/>
          </w:rPr>
          <w:t>http://zakon3.rada.gov.ua/laws/</w:t>
        </w:r>
      </w:hyperlink>
      <w:r>
        <w:rPr>
          <w:color w:val="231F20"/>
          <w:sz w:val="16"/>
        </w:rPr>
        <w:t xml:space="preserve"> show/246-2016-%D0%BF</w:t>
      </w:r>
    </w:p>
    <w:p w14:paraId="2A5BD518" w14:textId="77777777" w:rsidR="00DE575E" w:rsidRDefault="00DE575E">
      <w:pPr>
        <w:pStyle w:val="BodyText"/>
        <w:spacing w:before="1"/>
        <w:rPr>
          <w:sz w:val="12"/>
        </w:rPr>
      </w:pPr>
    </w:p>
    <w:p w14:paraId="200AC792" w14:textId="77777777" w:rsidR="00DE575E" w:rsidRDefault="002E7560">
      <w:pPr>
        <w:spacing w:before="91"/>
        <w:ind w:left="533"/>
        <w:rPr>
          <w:rFonts w:ascii="Times New Roman"/>
          <w:sz w:val="20"/>
        </w:rPr>
      </w:pPr>
      <w:r>
        <w:rPr>
          <w:rFonts w:ascii="Times New Roman"/>
          <w:color w:val="231F20"/>
          <w:sz w:val="20"/>
        </w:rPr>
        <w:t>366</w:t>
      </w:r>
    </w:p>
    <w:p w14:paraId="5896FB50" w14:textId="77777777" w:rsidR="00DE575E" w:rsidRDefault="00DE575E">
      <w:pPr>
        <w:rPr>
          <w:rFonts w:ascii="Times New Roman"/>
          <w:sz w:val="20"/>
        </w:rPr>
        <w:sectPr w:rsidR="00DE575E">
          <w:pgSz w:w="8510" w:h="12760"/>
          <w:pgMar w:top="660" w:right="720" w:bottom="280" w:left="600" w:header="720" w:footer="720" w:gutter="0"/>
          <w:cols w:space="720"/>
        </w:sectPr>
      </w:pPr>
    </w:p>
    <w:p w14:paraId="33340CA5"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6ED5F4F3" w14:textId="7284DA7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8C66CB1" wp14:editId="6AF92171">
                <wp:extent cx="4140200" cy="6350"/>
                <wp:effectExtent l="0" t="0" r="12700" b="6350"/>
                <wp:docPr id="486"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87" name="Line 48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F3B290" id="Group_x0020_48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xmgFJ/AgAAmAUAAA4A&#10;AAAAAAAAAAAAAAAALAIAAGRycy9lMm9Eb2MueG1sUEsBAi0AFAAGAAgAAAAhAEynsJDZAAAAAwEA&#10;AA8AAAAAAAAAAAAAAAAA1wQAAGRycy9kb3ducmV2LnhtbFBLBQYAAAAABAAEAPMAAADdBQAAAAA=&#10;">
                <v:line id="Line_x0020_48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Bx38YAAADcAAAADwAAAGRycy9kb3ducmV2LnhtbESP3WrCQBSE7wu+w3IEb0rdtJZWoqtI&#10;oSBe+Jc+wDF7TIK7Z2N2NdGndwuFXg4z8w0znXfWiCs1vnKs4HWYgCDOna64UPCTfb+MQfiArNE4&#10;JgU38jCf9Z6mmGrX8o6u+1CICGGfooIyhDqV0uclWfRDVxNH7+gaiyHKppC6wTbCrZFvSfIhLVYc&#10;F0qs6auk/LS/WAXZ+TmY7WZl2mxzGMnDeT26X9ZKDfrdYgIiUBf+w3/tpVbwPv6E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Qcd/GAAAA3AAAAA8AAAAAAAAA&#10;AAAAAAAAoQIAAGRycy9kb3ducmV2LnhtbFBLBQYAAAAABAAEAPkAAACUAwAAAAA=&#10;" strokecolor="#231f20" strokeweight=".5pt"/>
                <w10:anchorlock/>
              </v:group>
            </w:pict>
          </mc:Fallback>
        </mc:AlternateContent>
      </w:r>
    </w:p>
    <w:p w14:paraId="2122F468" w14:textId="77777777" w:rsidR="00DE575E" w:rsidRDefault="00DE575E">
      <w:pPr>
        <w:pStyle w:val="BodyText"/>
        <w:spacing w:before="7"/>
        <w:rPr>
          <w:rFonts w:ascii="AdonisC"/>
          <w:i/>
          <w:sz w:val="19"/>
        </w:rPr>
      </w:pPr>
    </w:p>
    <w:p w14:paraId="5507036F" w14:textId="77777777" w:rsidR="00DE575E" w:rsidRDefault="002E7560">
      <w:pPr>
        <w:spacing w:before="1" w:line="252" w:lineRule="auto"/>
        <w:ind w:left="250" w:right="411" w:firstLine="283"/>
        <w:jc w:val="both"/>
        <w:rPr>
          <w:i/>
          <w:sz w:val="21"/>
        </w:rPr>
      </w:pPr>
      <w:r>
        <w:rPr>
          <w:b/>
          <w:i/>
          <w:color w:val="231F20"/>
          <w:sz w:val="21"/>
        </w:rPr>
        <w:t xml:space="preserve">Конкурсний порядок </w:t>
      </w:r>
      <w:r>
        <w:rPr>
          <w:i/>
          <w:color w:val="231F20"/>
          <w:sz w:val="21"/>
        </w:rPr>
        <w:t xml:space="preserve">означає, що добір кандидатів на зайняття </w:t>
      </w:r>
      <w:r>
        <w:rPr>
          <w:i/>
          <w:color w:val="231F20"/>
          <w:sz w:val="21"/>
        </w:rPr>
        <w:t>посади державної служби відбувається відповідно до встановленої процедури, яка включає такі стадії:</w:t>
      </w:r>
    </w:p>
    <w:p w14:paraId="091BA85F" w14:textId="77777777" w:rsidR="00DE575E" w:rsidRDefault="002E7560">
      <w:pPr>
        <w:pStyle w:val="ListParagraph"/>
        <w:numPr>
          <w:ilvl w:val="0"/>
          <w:numId w:val="102"/>
        </w:numPr>
        <w:tabs>
          <w:tab w:val="left" w:pos="818"/>
        </w:tabs>
        <w:ind w:firstLine="283"/>
        <w:rPr>
          <w:sz w:val="21"/>
        </w:rPr>
      </w:pPr>
      <w:r>
        <w:rPr>
          <w:color w:val="231F20"/>
          <w:sz w:val="21"/>
        </w:rPr>
        <w:t>ухвалення рішення про оголошення</w:t>
      </w:r>
      <w:r>
        <w:rPr>
          <w:color w:val="231F20"/>
          <w:spacing w:val="-4"/>
          <w:sz w:val="21"/>
        </w:rPr>
        <w:t xml:space="preserve"> </w:t>
      </w:r>
      <w:r>
        <w:rPr>
          <w:color w:val="231F20"/>
          <w:sz w:val="21"/>
        </w:rPr>
        <w:t>конкурсу;</w:t>
      </w:r>
    </w:p>
    <w:p w14:paraId="0516FF56" w14:textId="77777777" w:rsidR="00DE575E" w:rsidRDefault="002E7560">
      <w:pPr>
        <w:pStyle w:val="ListParagraph"/>
        <w:numPr>
          <w:ilvl w:val="0"/>
          <w:numId w:val="102"/>
        </w:numPr>
        <w:tabs>
          <w:tab w:val="left" w:pos="818"/>
        </w:tabs>
        <w:spacing w:before="13" w:line="252" w:lineRule="auto"/>
        <w:ind w:right="410" w:firstLine="283"/>
        <w:jc w:val="both"/>
        <w:rPr>
          <w:sz w:val="21"/>
        </w:rPr>
      </w:pPr>
      <w:r>
        <w:rPr>
          <w:color w:val="231F20"/>
          <w:sz w:val="21"/>
        </w:rPr>
        <w:t>оприлюднення оголошення  про  проведення  конкурсу (наказ / розпорядження про оголошення конкурсу та умови</w:t>
      </w:r>
      <w:r>
        <w:rPr>
          <w:color w:val="231F20"/>
          <w:spacing w:val="22"/>
          <w:sz w:val="21"/>
        </w:rPr>
        <w:t xml:space="preserve"> </w:t>
      </w:r>
      <w:r>
        <w:rPr>
          <w:color w:val="231F20"/>
          <w:sz w:val="21"/>
        </w:rPr>
        <w:t>його проведення не пізніше ніж протягом наступного робочого дня  з дня його підписання розміщуються на Єдиному порталі вакансій державної</w:t>
      </w:r>
      <w:r>
        <w:rPr>
          <w:color w:val="231F20"/>
          <w:spacing w:val="-1"/>
          <w:sz w:val="21"/>
        </w:rPr>
        <w:t xml:space="preserve"> </w:t>
      </w:r>
      <w:r>
        <w:rPr>
          <w:color w:val="231F20"/>
          <w:sz w:val="21"/>
        </w:rPr>
        <w:t>служби);</w:t>
      </w:r>
    </w:p>
    <w:p w14:paraId="5E4E29E8" w14:textId="77777777" w:rsidR="00DE575E" w:rsidRDefault="002E7560">
      <w:pPr>
        <w:pStyle w:val="ListParagraph"/>
        <w:numPr>
          <w:ilvl w:val="0"/>
          <w:numId w:val="102"/>
        </w:numPr>
        <w:tabs>
          <w:tab w:val="left" w:pos="818"/>
        </w:tabs>
        <w:spacing w:before="2" w:line="252" w:lineRule="auto"/>
        <w:ind w:right="410" w:firstLine="283"/>
        <w:jc w:val="both"/>
        <w:rPr>
          <w:sz w:val="21"/>
        </w:rPr>
      </w:pPr>
      <w:r>
        <w:rPr>
          <w:color w:val="231F20"/>
          <w:sz w:val="21"/>
        </w:rPr>
        <w:t xml:space="preserve">прийняття та </w:t>
      </w:r>
      <w:r>
        <w:rPr>
          <w:color w:val="231F20"/>
          <w:spacing w:val="-3"/>
          <w:sz w:val="21"/>
        </w:rPr>
        <w:t xml:space="preserve">розгляд </w:t>
      </w:r>
      <w:r>
        <w:rPr>
          <w:color w:val="231F20"/>
          <w:sz w:val="21"/>
        </w:rPr>
        <w:t>інформації від осіб, які бажають взяти участь у конкурсі</w:t>
      </w:r>
      <w:r>
        <w:rPr>
          <w:color w:val="231F20"/>
          <w:position w:val="7"/>
          <w:sz w:val="12"/>
        </w:rPr>
        <w:t xml:space="preserve">1 </w:t>
      </w:r>
      <w:r>
        <w:rPr>
          <w:color w:val="231F20"/>
          <w:sz w:val="21"/>
        </w:rPr>
        <w:t>(прийняття інформації для учас</w:t>
      </w:r>
      <w:r>
        <w:rPr>
          <w:color w:val="231F20"/>
          <w:sz w:val="21"/>
        </w:rPr>
        <w:t>ті в конкурсі не може становити менше 7 та більше 30 календарних днів з дня опри- люднення інформації про проведення</w:t>
      </w:r>
      <w:r>
        <w:rPr>
          <w:color w:val="231F20"/>
          <w:spacing w:val="-3"/>
          <w:sz w:val="21"/>
        </w:rPr>
        <w:t xml:space="preserve"> </w:t>
      </w:r>
      <w:r>
        <w:rPr>
          <w:color w:val="231F20"/>
          <w:sz w:val="21"/>
        </w:rPr>
        <w:t>конкурсу);</w:t>
      </w:r>
    </w:p>
    <w:p w14:paraId="77AA94CD" w14:textId="77777777" w:rsidR="00DE575E" w:rsidRDefault="002E7560">
      <w:pPr>
        <w:pStyle w:val="ListParagraph"/>
        <w:numPr>
          <w:ilvl w:val="0"/>
          <w:numId w:val="102"/>
        </w:numPr>
        <w:tabs>
          <w:tab w:val="left" w:pos="818"/>
        </w:tabs>
        <w:spacing w:before="2"/>
        <w:ind w:firstLine="283"/>
        <w:rPr>
          <w:sz w:val="21"/>
        </w:rPr>
      </w:pPr>
      <w:r>
        <w:rPr>
          <w:color w:val="231F20"/>
          <w:sz w:val="21"/>
        </w:rPr>
        <w:t>проведення тестування та визначення його</w:t>
      </w:r>
      <w:r>
        <w:rPr>
          <w:color w:val="231F20"/>
          <w:spacing w:val="-2"/>
          <w:sz w:val="21"/>
        </w:rPr>
        <w:t xml:space="preserve"> </w:t>
      </w:r>
      <w:r>
        <w:rPr>
          <w:color w:val="231F20"/>
          <w:spacing w:val="-3"/>
          <w:sz w:val="21"/>
        </w:rPr>
        <w:t>результатів;</w:t>
      </w:r>
    </w:p>
    <w:p w14:paraId="661B6F69" w14:textId="77777777" w:rsidR="00DE575E" w:rsidRDefault="002E7560">
      <w:pPr>
        <w:pStyle w:val="ListParagraph"/>
        <w:numPr>
          <w:ilvl w:val="0"/>
          <w:numId w:val="102"/>
        </w:numPr>
        <w:tabs>
          <w:tab w:val="left" w:pos="818"/>
        </w:tabs>
        <w:spacing w:before="13"/>
        <w:ind w:firstLine="283"/>
        <w:rPr>
          <w:sz w:val="21"/>
        </w:rPr>
      </w:pPr>
      <w:r>
        <w:rPr>
          <w:color w:val="231F20"/>
          <w:spacing w:val="-3"/>
          <w:sz w:val="21"/>
        </w:rPr>
        <w:t xml:space="preserve">розв’язання ситуаційних завдань </w:t>
      </w:r>
      <w:r>
        <w:rPr>
          <w:color w:val="231F20"/>
          <w:sz w:val="21"/>
        </w:rPr>
        <w:t xml:space="preserve">та </w:t>
      </w:r>
      <w:r>
        <w:rPr>
          <w:color w:val="231F20"/>
          <w:spacing w:val="-3"/>
          <w:sz w:val="21"/>
        </w:rPr>
        <w:t xml:space="preserve">визначення </w:t>
      </w:r>
      <w:r>
        <w:rPr>
          <w:color w:val="231F20"/>
          <w:sz w:val="21"/>
        </w:rPr>
        <w:t>їх</w:t>
      </w:r>
      <w:r>
        <w:rPr>
          <w:color w:val="231F20"/>
          <w:spacing w:val="-14"/>
          <w:sz w:val="21"/>
        </w:rPr>
        <w:t xml:space="preserve"> </w:t>
      </w:r>
      <w:r>
        <w:rPr>
          <w:color w:val="231F20"/>
          <w:spacing w:val="-5"/>
          <w:sz w:val="21"/>
        </w:rPr>
        <w:t>результатів;</w:t>
      </w:r>
    </w:p>
    <w:p w14:paraId="458E018F" w14:textId="77777777" w:rsidR="00DE575E" w:rsidRDefault="002E7560">
      <w:pPr>
        <w:pStyle w:val="ListParagraph"/>
        <w:numPr>
          <w:ilvl w:val="0"/>
          <w:numId w:val="102"/>
        </w:numPr>
        <w:tabs>
          <w:tab w:val="left" w:pos="818"/>
        </w:tabs>
        <w:spacing w:before="13"/>
        <w:ind w:firstLine="283"/>
        <w:rPr>
          <w:sz w:val="21"/>
        </w:rPr>
      </w:pPr>
      <w:r>
        <w:rPr>
          <w:color w:val="231F20"/>
          <w:sz w:val="21"/>
        </w:rPr>
        <w:t>проведення с</w:t>
      </w:r>
      <w:r>
        <w:rPr>
          <w:color w:val="231F20"/>
          <w:sz w:val="21"/>
        </w:rPr>
        <w:t>півбесіди та визначення її</w:t>
      </w:r>
      <w:r>
        <w:rPr>
          <w:color w:val="231F20"/>
          <w:spacing w:val="-2"/>
          <w:sz w:val="21"/>
        </w:rPr>
        <w:t xml:space="preserve"> </w:t>
      </w:r>
      <w:r>
        <w:rPr>
          <w:color w:val="231F20"/>
          <w:spacing w:val="-3"/>
          <w:sz w:val="21"/>
        </w:rPr>
        <w:t>результатів;</w:t>
      </w:r>
    </w:p>
    <w:p w14:paraId="73DEB2CC" w14:textId="77777777" w:rsidR="00DE575E" w:rsidRDefault="002E7560">
      <w:pPr>
        <w:pStyle w:val="ListParagraph"/>
        <w:numPr>
          <w:ilvl w:val="0"/>
          <w:numId w:val="102"/>
        </w:numPr>
        <w:tabs>
          <w:tab w:val="left" w:pos="818"/>
        </w:tabs>
        <w:spacing w:before="13" w:line="252" w:lineRule="auto"/>
        <w:ind w:right="411" w:firstLine="283"/>
        <w:jc w:val="both"/>
        <w:rPr>
          <w:sz w:val="21"/>
        </w:rPr>
      </w:pPr>
      <w:r>
        <w:rPr>
          <w:color w:val="231F20"/>
          <w:spacing w:val="-3"/>
          <w:sz w:val="21"/>
        </w:rPr>
        <w:t xml:space="preserve">складення загального рейтингу кандидатів (загальна </w:t>
      </w:r>
      <w:r>
        <w:rPr>
          <w:color w:val="231F20"/>
          <w:sz w:val="21"/>
        </w:rPr>
        <w:t xml:space="preserve">кіль- </w:t>
      </w:r>
      <w:r>
        <w:rPr>
          <w:color w:val="231F20"/>
          <w:spacing w:val="-3"/>
          <w:sz w:val="21"/>
        </w:rPr>
        <w:t xml:space="preserve">кість балів кандидата визначається </w:t>
      </w:r>
      <w:r>
        <w:rPr>
          <w:color w:val="231F20"/>
          <w:sz w:val="21"/>
        </w:rPr>
        <w:t xml:space="preserve">через </w:t>
      </w:r>
      <w:r>
        <w:rPr>
          <w:color w:val="231F20"/>
          <w:spacing w:val="-4"/>
          <w:sz w:val="21"/>
        </w:rPr>
        <w:t xml:space="preserve">додавання </w:t>
      </w:r>
      <w:r>
        <w:rPr>
          <w:color w:val="231F20"/>
          <w:spacing w:val="-3"/>
          <w:sz w:val="21"/>
        </w:rPr>
        <w:t xml:space="preserve">середніх балів за кожною </w:t>
      </w:r>
      <w:r>
        <w:rPr>
          <w:color w:val="231F20"/>
          <w:sz w:val="21"/>
        </w:rPr>
        <w:t xml:space="preserve">окремою </w:t>
      </w:r>
      <w:r>
        <w:rPr>
          <w:color w:val="231F20"/>
          <w:spacing w:val="-3"/>
          <w:sz w:val="21"/>
        </w:rPr>
        <w:t xml:space="preserve">вимогою </w:t>
      </w:r>
      <w:r>
        <w:rPr>
          <w:color w:val="231F20"/>
          <w:sz w:val="21"/>
        </w:rPr>
        <w:t xml:space="preserve">до </w:t>
      </w:r>
      <w:r>
        <w:rPr>
          <w:color w:val="231F20"/>
          <w:spacing w:val="-3"/>
          <w:sz w:val="21"/>
        </w:rPr>
        <w:t xml:space="preserve">професійної компетентності </w:t>
      </w:r>
      <w:r>
        <w:rPr>
          <w:color w:val="231F20"/>
          <w:sz w:val="21"/>
        </w:rPr>
        <w:t xml:space="preserve">та </w:t>
      </w:r>
      <w:r>
        <w:rPr>
          <w:color w:val="231F20"/>
          <w:spacing w:val="-3"/>
          <w:sz w:val="21"/>
        </w:rPr>
        <w:t xml:space="preserve">балів за </w:t>
      </w:r>
      <w:r>
        <w:rPr>
          <w:color w:val="231F20"/>
          <w:spacing w:val="-5"/>
          <w:sz w:val="21"/>
        </w:rPr>
        <w:t xml:space="preserve">результатами </w:t>
      </w:r>
      <w:r>
        <w:rPr>
          <w:color w:val="231F20"/>
          <w:spacing w:val="-3"/>
          <w:sz w:val="21"/>
        </w:rPr>
        <w:t xml:space="preserve">тестування. </w:t>
      </w:r>
      <w:r>
        <w:rPr>
          <w:color w:val="231F20"/>
          <w:spacing w:val="-4"/>
          <w:sz w:val="21"/>
        </w:rPr>
        <w:t xml:space="preserve">Рейтинг </w:t>
      </w:r>
      <w:r>
        <w:rPr>
          <w:color w:val="231F20"/>
          <w:spacing w:val="-3"/>
          <w:sz w:val="21"/>
        </w:rPr>
        <w:t xml:space="preserve">кандидата, </w:t>
      </w:r>
      <w:r>
        <w:rPr>
          <w:color w:val="231F20"/>
          <w:sz w:val="21"/>
        </w:rPr>
        <w:t xml:space="preserve">який </w:t>
      </w:r>
      <w:r>
        <w:rPr>
          <w:color w:val="231F20"/>
          <w:spacing w:val="-4"/>
          <w:sz w:val="21"/>
        </w:rPr>
        <w:t xml:space="preserve">успішно </w:t>
      </w:r>
      <w:r>
        <w:rPr>
          <w:color w:val="231F20"/>
          <w:spacing w:val="-3"/>
          <w:sz w:val="21"/>
        </w:rPr>
        <w:t xml:space="preserve">пройшов </w:t>
      </w:r>
      <w:r>
        <w:rPr>
          <w:color w:val="231F20"/>
          <w:sz w:val="21"/>
        </w:rPr>
        <w:t xml:space="preserve">конкурс, </w:t>
      </w:r>
      <w:r>
        <w:rPr>
          <w:color w:val="231F20"/>
          <w:spacing w:val="-3"/>
          <w:sz w:val="21"/>
        </w:rPr>
        <w:t xml:space="preserve">залежить </w:t>
      </w:r>
      <w:r>
        <w:rPr>
          <w:color w:val="231F20"/>
          <w:sz w:val="21"/>
        </w:rPr>
        <w:t xml:space="preserve">від </w:t>
      </w:r>
      <w:r>
        <w:rPr>
          <w:color w:val="231F20"/>
          <w:spacing w:val="-3"/>
          <w:sz w:val="21"/>
        </w:rPr>
        <w:t xml:space="preserve">загальної кількості набраних </w:t>
      </w:r>
      <w:r>
        <w:rPr>
          <w:color w:val="231F20"/>
          <w:sz w:val="21"/>
        </w:rPr>
        <w:t>ним</w:t>
      </w:r>
      <w:r>
        <w:rPr>
          <w:color w:val="231F20"/>
          <w:spacing w:val="-25"/>
          <w:sz w:val="21"/>
        </w:rPr>
        <w:t xml:space="preserve"> </w:t>
      </w:r>
      <w:r>
        <w:rPr>
          <w:color w:val="231F20"/>
          <w:spacing w:val="-3"/>
          <w:sz w:val="21"/>
        </w:rPr>
        <w:t>балів)</w:t>
      </w:r>
      <w:r>
        <w:rPr>
          <w:color w:val="231F20"/>
          <w:spacing w:val="-3"/>
          <w:position w:val="7"/>
          <w:sz w:val="12"/>
        </w:rPr>
        <w:t>2</w:t>
      </w:r>
      <w:r>
        <w:rPr>
          <w:color w:val="231F20"/>
          <w:spacing w:val="-3"/>
          <w:sz w:val="21"/>
        </w:rPr>
        <w:t>;</w:t>
      </w:r>
    </w:p>
    <w:p w14:paraId="417E32DF" w14:textId="77777777" w:rsidR="00DE575E" w:rsidRDefault="002E7560">
      <w:pPr>
        <w:pStyle w:val="ListParagraph"/>
        <w:numPr>
          <w:ilvl w:val="0"/>
          <w:numId w:val="102"/>
        </w:numPr>
        <w:tabs>
          <w:tab w:val="left" w:pos="818"/>
        </w:tabs>
        <w:spacing w:before="2" w:line="252" w:lineRule="auto"/>
        <w:ind w:right="410" w:firstLine="283"/>
        <w:jc w:val="both"/>
        <w:rPr>
          <w:sz w:val="21"/>
        </w:rPr>
      </w:pPr>
      <w:r>
        <w:rPr>
          <w:color w:val="231F20"/>
          <w:sz w:val="21"/>
        </w:rPr>
        <w:t xml:space="preserve">визначення </w:t>
      </w:r>
      <w:r>
        <w:rPr>
          <w:color w:val="231F20"/>
          <w:spacing w:val="-3"/>
          <w:sz w:val="21"/>
        </w:rPr>
        <w:t xml:space="preserve">суб’єктом </w:t>
      </w:r>
      <w:r>
        <w:rPr>
          <w:color w:val="231F20"/>
          <w:sz w:val="21"/>
        </w:rPr>
        <w:t xml:space="preserve">призначення або керівником держав- ної служби переможця (переможців) </w:t>
      </w:r>
      <w:r>
        <w:rPr>
          <w:color w:val="231F20"/>
          <w:spacing w:val="-3"/>
          <w:sz w:val="21"/>
        </w:rPr>
        <w:t xml:space="preserve">конкурсу. </w:t>
      </w:r>
      <w:r>
        <w:rPr>
          <w:color w:val="231F20"/>
          <w:sz w:val="21"/>
        </w:rPr>
        <w:t>З метою визна- чення переможця (переможців) конкурсу проводиться співбесіда з кожним</w:t>
      </w:r>
      <w:r>
        <w:rPr>
          <w:color w:val="231F20"/>
          <w:spacing w:val="-9"/>
          <w:sz w:val="21"/>
        </w:rPr>
        <w:t xml:space="preserve"> </w:t>
      </w:r>
      <w:r>
        <w:rPr>
          <w:color w:val="231F20"/>
          <w:sz w:val="21"/>
        </w:rPr>
        <w:t>кандидатом,</w:t>
      </w:r>
      <w:r>
        <w:rPr>
          <w:color w:val="231F20"/>
          <w:spacing w:val="-9"/>
          <w:sz w:val="21"/>
        </w:rPr>
        <w:t xml:space="preserve"> </w:t>
      </w:r>
      <w:r>
        <w:rPr>
          <w:color w:val="231F20"/>
          <w:sz w:val="21"/>
        </w:rPr>
        <w:t>визначеним</w:t>
      </w:r>
      <w:r>
        <w:rPr>
          <w:color w:val="231F20"/>
          <w:spacing w:val="-9"/>
          <w:sz w:val="21"/>
        </w:rPr>
        <w:t xml:space="preserve"> </w:t>
      </w:r>
      <w:r>
        <w:rPr>
          <w:color w:val="231F20"/>
          <w:sz w:val="21"/>
        </w:rPr>
        <w:t>Комісією</w:t>
      </w:r>
      <w:r>
        <w:rPr>
          <w:color w:val="231F20"/>
          <w:spacing w:val="-9"/>
          <w:sz w:val="21"/>
        </w:rPr>
        <w:t xml:space="preserve"> </w:t>
      </w:r>
      <w:r>
        <w:rPr>
          <w:color w:val="231F20"/>
          <w:sz w:val="21"/>
        </w:rPr>
        <w:t>з</w:t>
      </w:r>
      <w:r>
        <w:rPr>
          <w:color w:val="231F20"/>
          <w:spacing w:val="-9"/>
          <w:sz w:val="21"/>
        </w:rPr>
        <w:t xml:space="preserve"> </w:t>
      </w:r>
      <w:r>
        <w:rPr>
          <w:color w:val="231F20"/>
          <w:sz w:val="21"/>
        </w:rPr>
        <w:t>питань</w:t>
      </w:r>
      <w:r>
        <w:rPr>
          <w:color w:val="231F20"/>
          <w:spacing w:val="-9"/>
          <w:sz w:val="21"/>
        </w:rPr>
        <w:t xml:space="preserve"> </w:t>
      </w:r>
      <w:r>
        <w:rPr>
          <w:color w:val="231F20"/>
          <w:sz w:val="21"/>
        </w:rPr>
        <w:t>вищого</w:t>
      </w:r>
      <w:r>
        <w:rPr>
          <w:color w:val="231F20"/>
          <w:spacing w:val="-9"/>
          <w:sz w:val="21"/>
        </w:rPr>
        <w:t xml:space="preserve"> </w:t>
      </w:r>
      <w:r>
        <w:rPr>
          <w:color w:val="231F20"/>
          <w:sz w:val="21"/>
        </w:rPr>
        <w:t>корпусу</w:t>
      </w:r>
    </w:p>
    <w:p w14:paraId="21726B1B" w14:textId="1D5D6F50" w:rsidR="00DE575E" w:rsidRDefault="002E7560">
      <w:pPr>
        <w:pStyle w:val="BodyText"/>
        <w:spacing w:before="9"/>
        <w:rPr>
          <w:sz w:val="27"/>
        </w:rPr>
      </w:pPr>
      <w:r>
        <w:rPr>
          <w:noProof/>
        </w:rPr>
        <mc:AlternateContent>
          <mc:Choice Requires="wps">
            <w:drawing>
              <wp:anchor distT="0" distB="0" distL="0" distR="0" simplePos="0" relativeHeight="14392" behindDoc="0" locked="0" layoutInCell="1" allowOverlap="1" wp14:anchorId="743878FE" wp14:editId="0878CD02">
                <wp:simplePos x="0" y="0"/>
                <wp:positionH relativeFrom="page">
                  <wp:posOffset>539750</wp:posOffset>
                </wp:positionH>
                <wp:positionV relativeFrom="paragraph">
                  <wp:posOffset>234950</wp:posOffset>
                </wp:positionV>
                <wp:extent cx="1080135" cy="0"/>
                <wp:effectExtent l="6350" t="19050" r="31115" b="19050"/>
                <wp:wrapTopAndBottom/>
                <wp:docPr id="485"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4840" id="Line_x0020_484" o:spid="_x0000_s1026" style="position:absolute;z-index:14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5pt" to="127.5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" strokecolor="#231f20" strokeweight=".5pt">
                <w10:wrap type="topAndBottom" anchorx="page"/>
              </v:line>
            </w:pict>
          </mc:Fallback>
        </mc:AlternateContent>
      </w:r>
    </w:p>
    <w:p w14:paraId="3D83B955"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Законом України «Про державну службу» встановлюється перелік потрібних доку- ментів, що подаються кандидатами на державну службу до конкурсної комісії для попе- реднього</w:t>
      </w:r>
      <w:r>
        <w:rPr>
          <w:color w:val="231F20"/>
          <w:spacing w:val="-9"/>
          <w:sz w:val="16"/>
        </w:rPr>
        <w:t xml:space="preserve"> </w:t>
      </w:r>
      <w:r>
        <w:rPr>
          <w:color w:val="231F20"/>
          <w:sz w:val="16"/>
        </w:rPr>
        <w:t>їх</w:t>
      </w:r>
      <w:r>
        <w:rPr>
          <w:color w:val="231F20"/>
          <w:spacing w:val="-9"/>
          <w:sz w:val="16"/>
        </w:rPr>
        <w:t xml:space="preserve"> </w:t>
      </w:r>
      <w:r>
        <w:rPr>
          <w:color w:val="231F20"/>
          <w:spacing w:val="-4"/>
          <w:sz w:val="16"/>
        </w:rPr>
        <w:t>розгляду,</w:t>
      </w:r>
      <w:r>
        <w:rPr>
          <w:color w:val="231F20"/>
          <w:spacing w:val="-9"/>
          <w:sz w:val="16"/>
        </w:rPr>
        <w:t xml:space="preserve"> </w:t>
      </w:r>
      <w:r>
        <w:rPr>
          <w:color w:val="231F20"/>
          <w:sz w:val="16"/>
        </w:rPr>
        <w:t>серед</w:t>
      </w:r>
      <w:r>
        <w:rPr>
          <w:color w:val="231F20"/>
          <w:spacing w:val="-9"/>
          <w:sz w:val="16"/>
        </w:rPr>
        <w:t xml:space="preserve"> </w:t>
      </w:r>
      <w:r>
        <w:rPr>
          <w:color w:val="231F20"/>
          <w:sz w:val="16"/>
        </w:rPr>
        <w:t>яких:</w:t>
      </w:r>
      <w:r>
        <w:rPr>
          <w:color w:val="231F20"/>
          <w:spacing w:val="-9"/>
          <w:sz w:val="16"/>
        </w:rPr>
        <w:t xml:space="preserve"> </w:t>
      </w:r>
      <w:r>
        <w:rPr>
          <w:color w:val="231F20"/>
          <w:sz w:val="16"/>
        </w:rPr>
        <w:t>реквізити</w:t>
      </w:r>
      <w:r>
        <w:rPr>
          <w:color w:val="231F20"/>
          <w:spacing w:val="-9"/>
          <w:sz w:val="16"/>
        </w:rPr>
        <w:t xml:space="preserve"> </w:t>
      </w:r>
      <w:r>
        <w:rPr>
          <w:color w:val="231F20"/>
          <w:sz w:val="16"/>
        </w:rPr>
        <w:t>документа,</w:t>
      </w:r>
      <w:r>
        <w:rPr>
          <w:color w:val="231F20"/>
          <w:spacing w:val="-9"/>
          <w:sz w:val="16"/>
        </w:rPr>
        <w:t xml:space="preserve"> </w:t>
      </w:r>
      <w:r>
        <w:rPr>
          <w:color w:val="231F20"/>
          <w:sz w:val="16"/>
        </w:rPr>
        <w:t>що</w:t>
      </w:r>
      <w:r>
        <w:rPr>
          <w:color w:val="231F20"/>
          <w:spacing w:val="-9"/>
          <w:sz w:val="16"/>
        </w:rPr>
        <w:t xml:space="preserve"> </w:t>
      </w:r>
      <w:r>
        <w:rPr>
          <w:color w:val="231F20"/>
          <w:sz w:val="16"/>
        </w:rPr>
        <w:t>посвідчує</w:t>
      </w:r>
      <w:r>
        <w:rPr>
          <w:color w:val="231F20"/>
          <w:spacing w:val="-9"/>
          <w:sz w:val="16"/>
        </w:rPr>
        <w:t xml:space="preserve"> </w:t>
      </w:r>
      <w:r>
        <w:rPr>
          <w:color w:val="231F20"/>
          <w:sz w:val="16"/>
        </w:rPr>
        <w:t>особу</w:t>
      </w:r>
      <w:r>
        <w:rPr>
          <w:color w:val="231F20"/>
          <w:spacing w:val="-9"/>
          <w:sz w:val="16"/>
        </w:rPr>
        <w:t xml:space="preserve"> </w:t>
      </w:r>
      <w:r>
        <w:rPr>
          <w:color w:val="231F20"/>
          <w:sz w:val="16"/>
        </w:rPr>
        <w:t>та</w:t>
      </w:r>
      <w:r>
        <w:rPr>
          <w:color w:val="231F20"/>
          <w:spacing w:val="-9"/>
          <w:sz w:val="16"/>
        </w:rPr>
        <w:t xml:space="preserve"> </w:t>
      </w:r>
      <w:r>
        <w:rPr>
          <w:color w:val="231F20"/>
          <w:sz w:val="16"/>
        </w:rPr>
        <w:t>підтверджує громад</w:t>
      </w:r>
      <w:r>
        <w:rPr>
          <w:color w:val="231F20"/>
          <w:sz w:val="16"/>
        </w:rPr>
        <w:t>янство</w:t>
      </w:r>
      <w:r>
        <w:rPr>
          <w:color w:val="231F20"/>
          <w:spacing w:val="-10"/>
          <w:sz w:val="16"/>
        </w:rPr>
        <w:t xml:space="preserve"> </w:t>
      </w:r>
      <w:r>
        <w:rPr>
          <w:color w:val="231F20"/>
          <w:sz w:val="16"/>
        </w:rPr>
        <w:t>України;</w:t>
      </w:r>
      <w:r>
        <w:rPr>
          <w:color w:val="231F20"/>
          <w:spacing w:val="-10"/>
          <w:sz w:val="16"/>
        </w:rPr>
        <w:t xml:space="preserve"> </w:t>
      </w:r>
      <w:r>
        <w:rPr>
          <w:color w:val="231F20"/>
          <w:sz w:val="16"/>
        </w:rPr>
        <w:t>заява</w:t>
      </w:r>
      <w:r>
        <w:rPr>
          <w:color w:val="231F20"/>
          <w:spacing w:val="-10"/>
          <w:sz w:val="16"/>
        </w:rPr>
        <w:t xml:space="preserve"> </w:t>
      </w:r>
      <w:r>
        <w:rPr>
          <w:color w:val="231F20"/>
          <w:sz w:val="16"/>
        </w:rPr>
        <w:t>про</w:t>
      </w:r>
      <w:r>
        <w:rPr>
          <w:color w:val="231F20"/>
          <w:spacing w:val="-10"/>
          <w:sz w:val="16"/>
        </w:rPr>
        <w:t xml:space="preserve"> </w:t>
      </w:r>
      <w:r>
        <w:rPr>
          <w:color w:val="231F20"/>
          <w:sz w:val="16"/>
        </w:rPr>
        <w:t>участь</w:t>
      </w:r>
      <w:r>
        <w:rPr>
          <w:color w:val="231F20"/>
          <w:spacing w:val="-10"/>
          <w:sz w:val="16"/>
        </w:rPr>
        <w:t xml:space="preserve"> </w:t>
      </w:r>
      <w:r>
        <w:rPr>
          <w:color w:val="231F20"/>
          <w:sz w:val="16"/>
        </w:rPr>
        <w:t>у</w:t>
      </w:r>
      <w:r>
        <w:rPr>
          <w:color w:val="231F20"/>
          <w:spacing w:val="-11"/>
          <w:sz w:val="16"/>
        </w:rPr>
        <w:t xml:space="preserve"> </w:t>
      </w:r>
      <w:r>
        <w:rPr>
          <w:color w:val="231F20"/>
          <w:sz w:val="16"/>
        </w:rPr>
        <w:t>конкурсі</w:t>
      </w:r>
      <w:r>
        <w:rPr>
          <w:color w:val="231F20"/>
          <w:spacing w:val="-10"/>
          <w:sz w:val="16"/>
        </w:rPr>
        <w:t xml:space="preserve"> </w:t>
      </w:r>
      <w:r>
        <w:rPr>
          <w:color w:val="231F20"/>
          <w:sz w:val="16"/>
        </w:rPr>
        <w:t>із</w:t>
      </w:r>
      <w:r>
        <w:rPr>
          <w:color w:val="231F20"/>
          <w:spacing w:val="-10"/>
          <w:sz w:val="16"/>
        </w:rPr>
        <w:t xml:space="preserve"> </w:t>
      </w:r>
      <w:r>
        <w:rPr>
          <w:color w:val="231F20"/>
          <w:sz w:val="16"/>
        </w:rPr>
        <w:t>зазначенням</w:t>
      </w:r>
      <w:r>
        <w:rPr>
          <w:color w:val="231F20"/>
          <w:spacing w:val="-10"/>
          <w:sz w:val="16"/>
        </w:rPr>
        <w:t xml:space="preserve"> </w:t>
      </w:r>
      <w:r>
        <w:rPr>
          <w:color w:val="231F20"/>
          <w:sz w:val="16"/>
        </w:rPr>
        <w:t>основних</w:t>
      </w:r>
      <w:r>
        <w:rPr>
          <w:color w:val="231F20"/>
          <w:spacing w:val="-10"/>
          <w:sz w:val="16"/>
        </w:rPr>
        <w:t xml:space="preserve"> </w:t>
      </w:r>
      <w:r>
        <w:rPr>
          <w:color w:val="231F20"/>
          <w:sz w:val="16"/>
        </w:rPr>
        <w:t>мотивів</w:t>
      </w:r>
      <w:r>
        <w:rPr>
          <w:color w:val="231F20"/>
          <w:spacing w:val="-10"/>
          <w:sz w:val="16"/>
        </w:rPr>
        <w:t xml:space="preserve"> </w:t>
      </w:r>
      <w:r>
        <w:rPr>
          <w:color w:val="231F20"/>
          <w:sz w:val="16"/>
        </w:rPr>
        <w:t>щодо зайняття посади державної служби, до якої додається резюме за формою, визначеною Кабінетом</w:t>
      </w:r>
      <w:r>
        <w:rPr>
          <w:color w:val="231F20"/>
          <w:spacing w:val="-10"/>
          <w:sz w:val="16"/>
        </w:rPr>
        <w:t xml:space="preserve"> </w:t>
      </w:r>
      <w:r>
        <w:rPr>
          <w:color w:val="231F20"/>
          <w:sz w:val="16"/>
        </w:rPr>
        <w:t>Міністрів</w:t>
      </w:r>
      <w:r>
        <w:rPr>
          <w:color w:val="231F20"/>
          <w:spacing w:val="-10"/>
          <w:sz w:val="16"/>
        </w:rPr>
        <w:t xml:space="preserve"> </w:t>
      </w:r>
      <w:r>
        <w:rPr>
          <w:color w:val="231F20"/>
          <w:sz w:val="16"/>
        </w:rPr>
        <w:t>України;</w:t>
      </w:r>
      <w:r>
        <w:rPr>
          <w:color w:val="231F20"/>
          <w:spacing w:val="-10"/>
          <w:sz w:val="16"/>
        </w:rPr>
        <w:t xml:space="preserve"> </w:t>
      </w:r>
      <w:r>
        <w:rPr>
          <w:color w:val="231F20"/>
          <w:sz w:val="16"/>
        </w:rPr>
        <w:t>заява,</w:t>
      </w:r>
      <w:r>
        <w:rPr>
          <w:color w:val="231F20"/>
          <w:spacing w:val="-10"/>
          <w:sz w:val="16"/>
        </w:rPr>
        <w:t xml:space="preserve"> </w:t>
      </w:r>
      <w:r>
        <w:rPr>
          <w:color w:val="231F20"/>
          <w:sz w:val="16"/>
        </w:rPr>
        <w:t>в</w:t>
      </w:r>
      <w:r>
        <w:rPr>
          <w:color w:val="231F20"/>
          <w:spacing w:val="-8"/>
          <w:sz w:val="16"/>
        </w:rPr>
        <w:t xml:space="preserve"> </w:t>
      </w:r>
      <w:r>
        <w:rPr>
          <w:color w:val="231F20"/>
          <w:sz w:val="16"/>
        </w:rPr>
        <w:t>якій</w:t>
      </w:r>
      <w:r>
        <w:rPr>
          <w:color w:val="231F20"/>
          <w:spacing w:val="-10"/>
          <w:sz w:val="16"/>
        </w:rPr>
        <w:t xml:space="preserve"> </w:t>
      </w:r>
      <w:r>
        <w:rPr>
          <w:color w:val="231F20"/>
          <w:sz w:val="16"/>
        </w:rPr>
        <w:t>повідомляється,</w:t>
      </w:r>
      <w:r>
        <w:rPr>
          <w:color w:val="231F20"/>
          <w:spacing w:val="-10"/>
          <w:sz w:val="16"/>
        </w:rPr>
        <w:t xml:space="preserve"> </w:t>
      </w:r>
      <w:r>
        <w:rPr>
          <w:color w:val="231F20"/>
          <w:sz w:val="16"/>
        </w:rPr>
        <w:t>що</w:t>
      </w:r>
      <w:r>
        <w:rPr>
          <w:color w:val="231F20"/>
          <w:spacing w:val="-10"/>
          <w:sz w:val="16"/>
        </w:rPr>
        <w:t xml:space="preserve"> </w:t>
      </w:r>
      <w:r>
        <w:rPr>
          <w:color w:val="231F20"/>
          <w:sz w:val="16"/>
        </w:rPr>
        <w:t>до</w:t>
      </w:r>
      <w:r>
        <w:rPr>
          <w:color w:val="231F20"/>
          <w:spacing w:val="-10"/>
          <w:sz w:val="16"/>
        </w:rPr>
        <w:t xml:space="preserve"> </w:t>
      </w:r>
      <w:r>
        <w:rPr>
          <w:color w:val="231F20"/>
          <w:sz w:val="16"/>
        </w:rPr>
        <w:t>особи</w:t>
      </w:r>
      <w:r>
        <w:rPr>
          <w:color w:val="231F20"/>
          <w:spacing w:val="-10"/>
          <w:sz w:val="16"/>
        </w:rPr>
        <w:t xml:space="preserve"> </w:t>
      </w:r>
      <w:r>
        <w:rPr>
          <w:color w:val="231F20"/>
          <w:sz w:val="16"/>
        </w:rPr>
        <w:t>не</w:t>
      </w:r>
      <w:r>
        <w:rPr>
          <w:color w:val="231F20"/>
          <w:spacing w:val="-10"/>
          <w:sz w:val="16"/>
        </w:rPr>
        <w:t xml:space="preserve"> </w:t>
      </w:r>
      <w:r>
        <w:rPr>
          <w:color w:val="231F20"/>
          <w:sz w:val="16"/>
        </w:rPr>
        <w:t>застосовуються заборони, визначені Законом України «Про очищення влади», та надається згода на про- ходження перевірки та на оприлюднення відомостей стосовно неї відповідно до зазначе- ного</w:t>
      </w:r>
      <w:r>
        <w:rPr>
          <w:color w:val="231F20"/>
          <w:spacing w:val="-8"/>
          <w:sz w:val="16"/>
        </w:rPr>
        <w:t xml:space="preserve"> </w:t>
      </w:r>
      <w:r>
        <w:rPr>
          <w:color w:val="231F20"/>
          <w:sz w:val="16"/>
        </w:rPr>
        <w:t>Закону;</w:t>
      </w:r>
      <w:r>
        <w:rPr>
          <w:color w:val="231F20"/>
          <w:spacing w:val="-8"/>
          <w:sz w:val="16"/>
        </w:rPr>
        <w:t xml:space="preserve"> </w:t>
      </w:r>
      <w:r>
        <w:rPr>
          <w:color w:val="231F20"/>
          <w:sz w:val="16"/>
        </w:rPr>
        <w:t>підтвердження</w:t>
      </w:r>
      <w:r>
        <w:rPr>
          <w:color w:val="231F20"/>
          <w:spacing w:val="-8"/>
          <w:sz w:val="16"/>
        </w:rPr>
        <w:t xml:space="preserve"> </w:t>
      </w:r>
      <w:r>
        <w:rPr>
          <w:color w:val="231F20"/>
          <w:sz w:val="16"/>
        </w:rPr>
        <w:t>наявності</w:t>
      </w:r>
      <w:r>
        <w:rPr>
          <w:color w:val="231F20"/>
          <w:spacing w:val="-8"/>
          <w:sz w:val="16"/>
        </w:rPr>
        <w:t xml:space="preserve"> </w:t>
      </w:r>
      <w:r>
        <w:rPr>
          <w:color w:val="231F20"/>
          <w:sz w:val="16"/>
        </w:rPr>
        <w:t>відповідного</w:t>
      </w:r>
      <w:r>
        <w:rPr>
          <w:color w:val="231F20"/>
          <w:spacing w:val="-8"/>
          <w:sz w:val="16"/>
        </w:rPr>
        <w:t xml:space="preserve"> </w:t>
      </w:r>
      <w:r>
        <w:rPr>
          <w:color w:val="231F20"/>
          <w:sz w:val="16"/>
        </w:rPr>
        <w:t>ступеня</w:t>
      </w:r>
      <w:r>
        <w:rPr>
          <w:color w:val="231F20"/>
          <w:spacing w:val="-8"/>
          <w:sz w:val="16"/>
        </w:rPr>
        <w:t xml:space="preserve"> </w:t>
      </w:r>
      <w:r>
        <w:rPr>
          <w:color w:val="231F20"/>
          <w:sz w:val="16"/>
        </w:rPr>
        <w:t>вищої</w:t>
      </w:r>
      <w:r>
        <w:rPr>
          <w:color w:val="231F20"/>
          <w:spacing w:val="-8"/>
          <w:sz w:val="16"/>
        </w:rPr>
        <w:t xml:space="preserve"> </w:t>
      </w:r>
      <w:r>
        <w:rPr>
          <w:color w:val="231F20"/>
          <w:sz w:val="16"/>
        </w:rPr>
        <w:t>освіти;</w:t>
      </w:r>
      <w:r>
        <w:rPr>
          <w:color w:val="231F20"/>
          <w:spacing w:val="-8"/>
          <w:sz w:val="16"/>
        </w:rPr>
        <w:t xml:space="preserve"> </w:t>
      </w:r>
      <w:r>
        <w:rPr>
          <w:color w:val="231F20"/>
          <w:sz w:val="16"/>
        </w:rPr>
        <w:t xml:space="preserve">підтвердження рівня вільного володіння державною мовою; відомості про стаж роботи, стаж державної служби (за наявності), досвід роботи на відповідних посадах згідно з вимогами, передба- ченими статтею 20 цього </w:t>
      </w:r>
      <w:r>
        <w:rPr>
          <w:color w:val="231F20"/>
          <w:spacing w:val="-3"/>
          <w:sz w:val="16"/>
        </w:rPr>
        <w:t xml:space="preserve">Закону, </w:t>
      </w:r>
      <w:r>
        <w:rPr>
          <w:color w:val="231F20"/>
          <w:sz w:val="16"/>
        </w:rPr>
        <w:t>та іншими умовами конкурсу; у разі пр</w:t>
      </w:r>
      <w:r>
        <w:rPr>
          <w:color w:val="231F20"/>
          <w:sz w:val="16"/>
        </w:rPr>
        <w:t xml:space="preserve">оведення закри- того конкурсу – іншу інформацію для підтвердження відповідності умовам конкурсу;       у разі проведення конкурсу на посаду державної служби категорії «А» – підтвердження подання декларації особи, уповноваженої на виконання функцій держави </w:t>
      </w:r>
      <w:r>
        <w:rPr>
          <w:color w:val="231F20"/>
          <w:sz w:val="16"/>
        </w:rPr>
        <w:t>або місцевого самоврядування, за минулий</w:t>
      </w:r>
      <w:r>
        <w:rPr>
          <w:color w:val="231F20"/>
          <w:spacing w:val="-4"/>
          <w:sz w:val="16"/>
        </w:rPr>
        <w:t xml:space="preserve"> </w:t>
      </w:r>
      <w:r>
        <w:rPr>
          <w:color w:val="231F20"/>
          <w:sz w:val="16"/>
        </w:rPr>
        <w:t>рік.</w:t>
      </w:r>
    </w:p>
    <w:p w14:paraId="0169D982" w14:textId="77777777" w:rsidR="00DE575E" w:rsidRDefault="002E7560">
      <w:pPr>
        <w:spacing w:before="34" w:line="204" w:lineRule="auto"/>
        <w:ind w:left="250" w:right="411"/>
        <w:jc w:val="both"/>
        <w:rPr>
          <w:sz w:val="16"/>
        </w:rPr>
      </w:pPr>
      <w:r>
        <w:rPr>
          <w:color w:val="231F20"/>
          <w:position w:val="5"/>
          <w:sz w:val="9"/>
        </w:rPr>
        <w:t xml:space="preserve">2 </w:t>
      </w:r>
      <w:r>
        <w:rPr>
          <w:color w:val="231F20"/>
          <w:sz w:val="16"/>
        </w:rPr>
        <w:t xml:space="preserve">Конкурсна комісія державного </w:t>
      </w:r>
      <w:r>
        <w:rPr>
          <w:color w:val="231F20"/>
          <w:spacing w:val="-3"/>
          <w:sz w:val="16"/>
        </w:rPr>
        <w:t xml:space="preserve">органу, </w:t>
      </w:r>
      <w:r>
        <w:rPr>
          <w:color w:val="231F20"/>
          <w:sz w:val="16"/>
        </w:rPr>
        <w:t xml:space="preserve">в якому проводиться конкурс, вносить </w:t>
      </w:r>
      <w:r>
        <w:rPr>
          <w:color w:val="231F20"/>
          <w:spacing w:val="-3"/>
          <w:sz w:val="16"/>
        </w:rPr>
        <w:t xml:space="preserve">суб’єк- </w:t>
      </w:r>
      <w:r>
        <w:rPr>
          <w:color w:val="231F20"/>
          <w:sz w:val="16"/>
        </w:rPr>
        <w:t>тові призначення або керівникові державної служби пропозиції щодо визначених канди- датур або інформацію про відсутність таких</w:t>
      </w:r>
      <w:r>
        <w:rPr>
          <w:color w:val="231F20"/>
          <w:sz w:val="16"/>
        </w:rPr>
        <w:t xml:space="preserve"> кандидатур не пізніше ніж протягом наступ- ного робочого дня з дати підписання відповідного</w:t>
      </w:r>
      <w:r>
        <w:rPr>
          <w:color w:val="231F20"/>
          <w:spacing w:val="-9"/>
          <w:sz w:val="16"/>
        </w:rPr>
        <w:t xml:space="preserve"> </w:t>
      </w:r>
      <w:r>
        <w:rPr>
          <w:color w:val="231F20"/>
          <w:sz w:val="16"/>
        </w:rPr>
        <w:t>протоколу.</w:t>
      </w:r>
    </w:p>
    <w:p w14:paraId="54CA0BB8" w14:textId="77777777" w:rsidR="00DE575E" w:rsidRDefault="00DE575E">
      <w:pPr>
        <w:pStyle w:val="BodyText"/>
        <w:spacing w:before="6"/>
        <w:rPr>
          <w:sz w:val="12"/>
        </w:rPr>
      </w:pPr>
    </w:p>
    <w:p w14:paraId="66307439" w14:textId="77777777" w:rsidR="00DE575E" w:rsidRDefault="002E7560">
      <w:pPr>
        <w:spacing w:before="91"/>
        <w:ind w:right="411"/>
        <w:jc w:val="right"/>
        <w:rPr>
          <w:rFonts w:ascii="Times New Roman"/>
          <w:sz w:val="20"/>
        </w:rPr>
      </w:pPr>
      <w:r>
        <w:rPr>
          <w:rFonts w:ascii="Times New Roman"/>
          <w:color w:val="231F20"/>
          <w:w w:val="90"/>
          <w:sz w:val="20"/>
        </w:rPr>
        <w:t>367</w:t>
      </w:r>
    </w:p>
    <w:p w14:paraId="6BE7A6F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0FD400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E8E0E67" w14:textId="7EEA346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58693F2" wp14:editId="08820443">
                <wp:extent cx="4140200" cy="6350"/>
                <wp:effectExtent l="0" t="0" r="12700" b="6350"/>
                <wp:docPr id="483"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84" name="Line 4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0AE7D" id="Group_x0020_4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VO8Ex/AgAAmAUAAA4A&#10;AAAAAAAAAAAAAAAALAIAAGRycy9lMm9Eb2MueG1sUEsBAi0AFAAGAAgAAAAhAEynsJDZAAAAAwEA&#10;AA8AAAAAAAAAAAAAAAAA1wQAAGRycy9kb3ducmV2LnhtbFBLBQYAAAAABAAEAPMAAADdBQAAAAA=&#10;">
                <v:line id="Line_x0020_4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LvqMYAAADcAAAADwAAAGRycy9kb3ducmV2LnhtbESP3WrCQBSE7wXfYTmF3kjdtIpIdBUp&#10;FEov/Esf4Jg9JqG7Z2N2NalP7wqCl8PMfMPMl5014kKNrxwreB8mIIhzpysuFPxmX29TED4gazSO&#10;ScE/eVgu+r05ptq1vKPLPhQiQtinqKAMoU6l9HlJFv3Q1cTRO7rGYoiyKaRusI1wa+RHkkykxYrj&#10;Qok1fZaU/+3PVkF2GgSz3fyYNtscRvJwWo+u57VSry/dagYiUBee4Uf7WysYT8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C76jGAAAA3AAAAA8AAAAAAAAA&#10;AAAAAAAAoQIAAGRycy9kb3ducmV2LnhtbFBLBQYAAAAABAAEAPkAAACUAwAAAAA=&#10;" strokecolor="#231f20" strokeweight=".5pt"/>
                <w10:anchorlock/>
              </v:group>
            </w:pict>
          </mc:Fallback>
        </mc:AlternateContent>
      </w:r>
    </w:p>
    <w:p w14:paraId="2ACB78A9" w14:textId="77777777" w:rsidR="00DE575E" w:rsidRDefault="00DE575E">
      <w:pPr>
        <w:pStyle w:val="BodyText"/>
        <w:spacing w:before="7"/>
        <w:rPr>
          <w:rFonts w:ascii="AdonisC"/>
          <w:i/>
          <w:sz w:val="11"/>
        </w:rPr>
      </w:pPr>
    </w:p>
    <w:p w14:paraId="5AE0ACF5" w14:textId="77777777" w:rsidR="00DE575E" w:rsidRDefault="002E7560">
      <w:pPr>
        <w:pStyle w:val="BodyText"/>
        <w:spacing w:before="101" w:line="252" w:lineRule="auto"/>
        <w:ind w:left="533" w:right="128"/>
        <w:jc w:val="both"/>
      </w:pPr>
      <w:r>
        <w:rPr>
          <w:color w:val="231F20"/>
        </w:rPr>
        <w:t>державної</w:t>
      </w:r>
      <w:r>
        <w:rPr>
          <w:color w:val="231F20"/>
          <w:spacing w:val="-13"/>
        </w:rPr>
        <w:t xml:space="preserve"> </w:t>
      </w:r>
      <w:r>
        <w:rPr>
          <w:color w:val="231F20"/>
        </w:rPr>
        <w:t>служби</w:t>
      </w:r>
      <w:r>
        <w:rPr>
          <w:color w:val="231F20"/>
          <w:spacing w:val="-13"/>
        </w:rPr>
        <w:t xml:space="preserve"> </w:t>
      </w:r>
      <w:r>
        <w:rPr>
          <w:color w:val="231F20"/>
        </w:rPr>
        <w:t>або</w:t>
      </w:r>
      <w:r>
        <w:rPr>
          <w:color w:val="231F20"/>
          <w:spacing w:val="-13"/>
        </w:rPr>
        <w:t xml:space="preserve"> </w:t>
      </w:r>
      <w:r>
        <w:rPr>
          <w:color w:val="231F20"/>
        </w:rPr>
        <w:t>конкурсною</w:t>
      </w:r>
      <w:r>
        <w:rPr>
          <w:color w:val="231F20"/>
          <w:spacing w:val="-13"/>
        </w:rPr>
        <w:t xml:space="preserve"> </w:t>
      </w:r>
      <w:r>
        <w:rPr>
          <w:color w:val="231F20"/>
        </w:rPr>
        <w:t>комісією:</w:t>
      </w:r>
      <w:r>
        <w:rPr>
          <w:color w:val="231F20"/>
          <w:spacing w:val="-13"/>
        </w:rPr>
        <w:t xml:space="preserve"> </w:t>
      </w:r>
      <w:r>
        <w:rPr>
          <w:color w:val="231F20"/>
        </w:rPr>
        <w:t>на</w:t>
      </w:r>
      <w:r>
        <w:rPr>
          <w:color w:val="231F20"/>
          <w:spacing w:val="-13"/>
        </w:rPr>
        <w:t xml:space="preserve"> </w:t>
      </w:r>
      <w:r>
        <w:rPr>
          <w:color w:val="231F20"/>
        </w:rPr>
        <w:t>зайняття</w:t>
      </w:r>
      <w:r>
        <w:rPr>
          <w:color w:val="231F20"/>
          <w:spacing w:val="-13"/>
        </w:rPr>
        <w:t xml:space="preserve"> </w:t>
      </w:r>
      <w:r>
        <w:rPr>
          <w:color w:val="231F20"/>
        </w:rPr>
        <w:t>посад</w:t>
      </w:r>
      <w:r>
        <w:rPr>
          <w:color w:val="231F20"/>
          <w:spacing w:val="-13"/>
        </w:rPr>
        <w:t xml:space="preserve"> </w:t>
      </w:r>
      <w:r>
        <w:rPr>
          <w:color w:val="231F20"/>
        </w:rPr>
        <w:t>кате- горії</w:t>
      </w:r>
      <w:r>
        <w:rPr>
          <w:color w:val="231F20"/>
          <w:spacing w:val="-9"/>
        </w:rPr>
        <w:t xml:space="preserve"> </w:t>
      </w:r>
      <w:r>
        <w:rPr>
          <w:color w:val="231F20"/>
        </w:rPr>
        <w:t>«А»</w:t>
      </w:r>
      <w:r>
        <w:rPr>
          <w:color w:val="231F20"/>
          <w:spacing w:val="-9"/>
        </w:rPr>
        <w:t xml:space="preserve"> </w:t>
      </w:r>
      <w:r>
        <w:rPr>
          <w:color w:val="231F20"/>
        </w:rPr>
        <w:t>та</w:t>
      </w:r>
      <w:r>
        <w:rPr>
          <w:color w:val="231F20"/>
          <w:spacing w:val="-9"/>
        </w:rPr>
        <w:t xml:space="preserve"> </w:t>
      </w:r>
      <w:r>
        <w:rPr>
          <w:color w:val="231F20"/>
        </w:rPr>
        <w:t>посад</w:t>
      </w:r>
      <w:r>
        <w:rPr>
          <w:color w:val="231F20"/>
          <w:spacing w:val="-9"/>
        </w:rPr>
        <w:t xml:space="preserve"> </w:t>
      </w:r>
      <w:r>
        <w:rPr>
          <w:color w:val="231F20"/>
        </w:rPr>
        <w:t>категорії</w:t>
      </w:r>
      <w:r>
        <w:rPr>
          <w:color w:val="231F20"/>
          <w:spacing w:val="-9"/>
        </w:rPr>
        <w:t xml:space="preserve"> </w:t>
      </w:r>
      <w:r>
        <w:rPr>
          <w:color w:val="231F20"/>
        </w:rPr>
        <w:t>«Б»,</w:t>
      </w:r>
      <w:r>
        <w:rPr>
          <w:color w:val="231F20"/>
          <w:spacing w:val="-9"/>
        </w:rPr>
        <w:t xml:space="preserve"> </w:t>
      </w:r>
      <w:r>
        <w:rPr>
          <w:color w:val="231F20"/>
        </w:rPr>
        <w:t>які</w:t>
      </w:r>
      <w:r>
        <w:rPr>
          <w:color w:val="231F20"/>
          <w:spacing w:val="-9"/>
        </w:rPr>
        <w:t xml:space="preserve"> </w:t>
      </w:r>
      <w:r>
        <w:rPr>
          <w:color w:val="231F20"/>
        </w:rPr>
        <w:t>здійснюють</w:t>
      </w:r>
      <w:r>
        <w:rPr>
          <w:color w:val="231F20"/>
          <w:spacing w:val="-9"/>
        </w:rPr>
        <w:t xml:space="preserve"> </w:t>
      </w:r>
      <w:r>
        <w:rPr>
          <w:color w:val="231F20"/>
        </w:rPr>
        <w:t>повноваження</w:t>
      </w:r>
      <w:r>
        <w:rPr>
          <w:color w:val="231F20"/>
          <w:spacing w:val="-9"/>
        </w:rPr>
        <w:t xml:space="preserve"> </w:t>
      </w:r>
      <w:r>
        <w:rPr>
          <w:color w:val="231F20"/>
        </w:rPr>
        <w:t xml:space="preserve">керів- ників державної служби в державних органах – </w:t>
      </w:r>
      <w:r>
        <w:rPr>
          <w:color w:val="231F20"/>
          <w:spacing w:val="-3"/>
        </w:rPr>
        <w:t xml:space="preserve">суб’єктом </w:t>
      </w:r>
      <w:r>
        <w:rPr>
          <w:color w:val="231F20"/>
        </w:rPr>
        <w:t>призна- чення; на зайняття ін</w:t>
      </w:r>
      <w:r>
        <w:rPr>
          <w:color w:val="231F20"/>
        </w:rPr>
        <w:t>ших посад категорій «Б» і «В» – керівником державної</w:t>
      </w:r>
      <w:r>
        <w:rPr>
          <w:color w:val="231F20"/>
          <w:spacing w:val="-1"/>
        </w:rPr>
        <w:t xml:space="preserve"> </w:t>
      </w:r>
      <w:r>
        <w:rPr>
          <w:color w:val="231F20"/>
        </w:rPr>
        <w:t>служби</w:t>
      </w:r>
      <w:r>
        <w:rPr>
          <w:color w:val="231F20"/>
          <w:position w:val="7"/>
          <w:sz w:val="12"/>
        </w:rPr>
        <w:t>1</w:t>
      </w:r>
      <w:r>
        <w:rPr>
          <w:color w:val="231F20"/>
        </w:rPr>
        <w:t>;</w:t>
      </w:r>
    </w:p>
    <w:p w14:paraId="78580A5E" w14:textId="77777777" w:rsidR="00DE575E" w:rsidRDefault="002E7560">
      <w:pPr>
        <w:pStyle w:val="BodyText"/>
        <w:spacing w:before="2" w:line="252" w:lineRule="auto"/>
        <w:ind w:left="533" w:right="125" w:firstLine="283"/>
        <w:jc w:val="both"/>
      </w:pPr>
      <w:r>
        <w:rPr>
          <w:color w:val="231F20"/>
        </w:rPr>
        <w:t xml:space="preserve">9) оформлення та оприлюднення </w:t>
      </w:r>
      <w:r>
        <w:rPr>
          <w:color w:val="231F20"/>
          <w:spacing w:val="-3"/>
        </w:rPr>
        <w:t xml:space="preserve">результатів </w:t>
      </w:r>
      <w:r>
        <w:rPr>
          <w:color w:val="231F20"/>
        </w:rPr>
        <w:t xml:space="preserve">конкурсу (Рішення конкурсної комісії про визначення переможця (переможців) конкурсу або відсутність переможця </w:t>
      </w:r>
      <w:r>
        <w:rPr>
          <w:color w:val="231F20"/>
          <w:spacing w:val="-3"/>
        </w:rPr>
        <w:t xml:space="preserve">конкурсу, </w:t>
      </w:r>
      <w:r>
        <w:rPr>
          <w:color w:val="231F20"/>
        </w:rPr>
        <w:t xml:space="preserve">відсутність визначе- них Комісією або конкурсною комісією кандидатур оформляється протоколом не пізніше ніж упродовж трьох календарних днів після його проведення. </w:t>
      </w:r>
      <w:r>
        <w:rPr>
          <w:color w:val="231F20"/>
          <w:spacing w:val="-3"/>
        </w:rPr>
        <w:t xml:space="preserve">Результати </w:t>
      </w:r>
      <w:r>
        <w:rPr>
          <w:color w:val="231F20"/>
        </w:rPr>
        <w:t>конкурсу оприлюднюються не пізніше 45 календарних днів з дня оприлюднення інформац</w:t>
      </w:r>
      <w:r>
        <w:rPr>
          <w:color w:val="231F20"/>
        </w:rPr>
        <w:t>ії про прове- дення такого конкурсу).</w:t>
      </w:r>
    </w:p>
    <w:p w14:paraId="6492B068" w14:textId="77777777" w:rsidR="00DE575E" w:rsidRDefault="002E7560">
      <w:pPr>
        <w:pStyle w:val="BodyText"/>
        <w:spacing w:before="4" w:line="252" w:lineRule="auto"/>
        <w:ind w:left="533" w:right="127" w:firstLine="283"/>
        <w:jc w:val="both"/>
      </w:pPr>
      <w:r>
        <w:rPr>
          <w:color w:val="231F20"/>
        </w:rPr>
        <w:t xml:space="preserve">На стадіях проведення тестування та визначення його резуль- татів, розв’язання ситуаційних завдань і визначення їх результатів, проведення співбесіди та визначення її результатів завжди </w:t>
      </w:r>
      <w:r>
        <w:rPr>
          <w:i/>
          <w:color w:val="231F20"/>
        </w:rPr>
        <w:t xml:space="preserve">засто- совуються оцінювання </w:t>
      </w:r>
      <w:r>
        <w:rPr>
          <w:color w:val="231F20"/>
        </w:rPr>
        <w:t>канд</w:t>
      </w:r>
      <w:r>
        <w:rPr>
          <w:color w:val="231F20"/>
        </w:rPr>
        <w:t>идатів на зайняття посади державної служби за допомогою передбачених законодавством методів</w:t>
      </w:r>
      <w:r>
        <w:rPr>
          <w:color w:val="231F20"/>
          <w:position w:val="7"/>
          <w:sz w:val="12"/>
        </w:rPr>
        <w:t>2</w:t>
      </w:r>
      <w:r>
        <w:rPr>
          <w:color w:val="231F20"/>
        </w:rPr>
        <w:t>.</w:t>
      </w:r>
    </w:p>
    <w:p w14:paraId="6A867426" w14:textId="77777777" w:rsidR="00DE575E" w:rsidRDefault="002E7560">
      <w:pPr>
        <w:spacing w:before="3" w:line="252" w:lineRule="auto"/>
        <w:ind w:left="533" w:right="127" w:firstLine="283"/>
        <w:jc w:val="both"/>
        <w:rPr>
          <w:sz w:val="21"/>
        </w:rPr>
      </w:pPr>
      <w:r>
        <w:rPr>
          <w:color w:val="231F20"/>
          <w:sz w:val="21"/>
        </w:rPr>
        <w:t xml:space="preserve">Призначення громадянина </w:t>
      </w:r>
      <w:r>
        <w:rPr>
          <w:color w:val="231F20"/>
          <w:spacing w:val="-3"/>
          <w:sz w:val="21"/>
        </w:rPr>
        <w:t xml:space="preserve">України </w:t>
      </w:r>
      <w:r>
        <w:rPr>
          <w:color w:val="231F20"/>
          <w:sz w:val="21"/>
        </w:rPr>
        <w:t xml:space="preserve">на посаду державної служби в </w:t>
      </w:r>
      <w:r>
        <w:rPr>
          <w:i/>
          <w:color w:val="231F20"/>
          <w:sz w:val="21"/>
        </w:rPr>
        <w:t>позаконкурсному порядку застосовується в таких</w:t>
      </w:r>
      <w:r>
        <w:rPr>
          <w:i/>
          <w:color w:val="231F20"/>
          <w:spacing w:val="-14"/>
          <w:sz w:val="21"/>
        </w:rPr>
        <w:t xml:space="preserve"> </w:t>
      </w:r>
      <w:r>
        <w:rPr>
          <w:i/>
          <w:color w:val="231F20"/>
          <w:sz w:val="21"/>
        </w:rPr>
        <w:t>випадках</w:t>
      </w:r>
      <w:r>
        <w:rPr>
          <w:color w:val="231F20"/>
          <w:sz w:val="21"/>
        </w:rPr>
        <w:t>:</w:t>
      </w:r>
    </w:p>
    <w:p w14:paraId="4322C500" w14:textId="77777777" w:rsidR="00DE575E" w:rsidRDefault="002E7560">
      <w:pPr>
        <w:pStyle w:val="ListParagraph"/>
        <w:numPr>
          <w:ilvl w:val="0"/>
          <w:numId w:val="101"/>
        </w:numPr>
        <w:tabs>
          <w:tab w:val="left" w:pos="1101"/>
        </w:tabs>
        <w:spacing w:line="252" w:lineRule="auto"/>
        <w:ind w:right="127" w:firstLine="284"/>
        <w:jc w:val="both"/>
        <w:rPr>
          <w:sz w:val="21"/>
        </w:rPr>
      </w:pPr>
      <w:r>
        <w:rPr>
          <w:color w:val="231F20"/>
          <w:sz w:val="21"/>
        </w:rPr>
        <w:t>переведення</w:t>
      </w:r>
      <w:r>
        <w:rPr>
          <w:color w:val="231F20"/>
          <w:spacing w:val="-8"/>
          <w:sz w:val="21"/>
        </w:rPr>
        <w:t xml:space="preserve"> </w:t>
      </w:r>
      <w:r>
        <w:rPr>
          <w:color w:val="231F20"/>
          <w:sz w:val="21"/>
        </w:rPr>
        <w:t>державного</w:t>
      </w:r>
      <w:r>
        <w:rPr>
          <w:color w:val="231F20"/>
          <w:spacing w:val="-8"/>
          <w:sz w:val="21"/>
        </w:rPr>
        <w:t xml:space="preserve"> </w:t>
      </w:r>
      <w:r>
        <w:rPr>
          <w:color w:val="231F20"/>
          <w:sz w:val="21"/>
        </w:rPr>
        <w:t>службовця,</w:t>
      </w:r>
      <w:r>
        <w:rPr>
          <w:color w:val="231F20"/>
          <w:spacing w:val="-8"/>
          <w:sz w:val="21"/>
        </w:rPr>
        <w:t xml:space="preserve"> </w:t>
      </w:r>
      <w:r>
        <w:rPr>
          <w:color w:val="231F20"/>
          <w:sz w:val="21"/>
        </w:rPr>
        <w:t>адже</w:t>
      </w:r>
      <w:r>
        <w:rPr>
          <w:color w:val="231F20"/>
          <w:spacing w:val="-8"/>
          <w:sz w:val="21"/>
        </w:rPr>
        <w:t xml:space="preserve"> </w:t>
      </w:r>
      <w:r>
        <w:rPr>
          <w:color w:val="231F20"/>
          <w:sz w:val="21"/>
        </w:rPr>
        <w:t>державний</w:t>
      </w:r>
      <w:r>
        <w:rPr>
          <w:color w:val="231F20"/>
          <w:spacing w:val="-8"/>
          <w:sz w:val="21"/>
        </w:rPr>
        <w:t xml:space="preserve"> </w:t>
      </w:r>
      <w:r>
        <w:rPr>
          <w:color w:val="231F20"/>
          <w:sz w:val="21"/>
        </w:rPr>
        <w:t>службо- вець з урахуванням його професійної підготовки та компетентності може бути переведений на іншу рівнозначну або нижчу вакантну посаду  в  тому  самому   або  іншому  державному   органі,  зокрема в іншій місцевості, без обов’язкового прове</w:t>
      </w:r>
      <w:r>
        <w:rPr>
          <w:color w:val="231F20"/>
          <w:sz w:val="21"/>
        </w:rPr>
        <w:t>дення</w:t>
      </w:r>
      <w:r>
        <w:rPr>
          <w:color w:val="231F20"/>
          <w:spacing w:val="-4"/>
          <w:sz w:val="21"/>
        </w:rPr>
        <w:t xml:space="preserve"> </w:t>
      </w:r>
      <w:r>
        <w:rPr>
          <w:color w:val="231F20"/>
          <w:sz w:val="21"/>
        </w:rPr>
        <w:t>конкурсу;</w:t>
      </w:r>
    </w:p>
    <w:p w14:paraId="27EC59C2" w14:textId="77777777" w:rsidR="00DE575E" w:rsidRDefault="002E7560">
      <w:pPr>
        <w:pStyle w:val="ListParagraph"/>
        <w:numPr>
          <w:ilvl w:val="0"/>
          <w:numId w:val="101"/>
        </w:numPr>
        <w:tabs>
          <w:tab w:val="left" w:pos="1101"/>
        </w:tabs>
        <w:spacing w:before="2" w:line="252" w:lineRule="auto"/>
        <w:ind w:right="126" w:firstLine="284"/>
        <w:jc w:val="both"/>
        <w:rPr>
          <w:sz w:val="21"/>
        </w:rPr>
      </w:pPr>
      <w:r>
        <w:rPr>
          <w:color w:val="231F20"/>
          <w:sz w:val="21"/>
        </w:rPr>
        <w:t xml:space="preserve">поворотне прийняття, коли державний службовець, якого </w:t>
      </w:r>
      <w:r>
        <w:rPr>
          <w:color w:val="231F20"/>
          <w:spacing w:val="-3"/>
          <w:sz w:val="21"/>
        </w:rPr>
        <w:t xml:space="preserve">було </w:t>
      </w:r>
      <w:r>
        <w:rPr>
          <w:color w:val="231F20"/>
          <w:sz w:val="21"/>
        </w:rPr>
        <w:t xml:space="preserve">звільнено у зв’язку зі скороченням чисельності або штату державних службовців, ліквідації державного </w:t>
      </w:r>
      <w:r>
        <w:rPr>
          <w:color w:val="231F20"/>
          <w:spacing w:val="-3"/>
          <w:sz w:val="21"/>
        </w:rPr>
        <w:t xml:space="preserve">органу, </w:t>
      </w:r>
      <w:r>
        <w:rPr>
          <w:color w:val="231F20"/>
          <w:sz w:val="21"/>
        </w:rPr>
        <w:t>його</w:t>
      </w:r>
      <w:r>
        <w:rPr>
          <w:color w:val="231F20"/>
          <w:spacing w:val="-23"/>
          <w:sz w:val="21"/>
        </w:rPr>
        <w:t xml:space="preserve"> </w:t>
      </w:r>
      <w:r>
        <w:rPr>
          <w:color w:val="231F20"/>
          <w:sz w:val="21"/>
        </w:rPr>
        <w:t>реоргані-</w:t>
      </w:r>
    </w:p>
    <w:p w14:paraId="313C2944" w14:textId="554E6C42" w:rsidR="00DE575E" w:rsidRDefault="002E7560">
      <w:pPr>
        <w:pStyle w:val="BodyText"/>
        <w:spacing w:before="8"/>
        <w:rPr>
          <w:sz w:val="29"/>
        </w:rPr>
      </w:pPr>
      <w:r>
        <w:rPr>
          <w:noProof/>
        </w:rPr>
        <mc:AlternateContent>
          <mc:Choice Requires="wps">
            <w:drawing>
              <wp:anchor distT="0" distB="0" distL="0" distR="0" simplePos="0" relativeHeight="14440" behindDoc="0" locked="0" layoutInCell="1" allowOverlap="1" wp14:anchorId="549C707E" wp14:editId="15C8D98B">
                <wp:simplePos x="0" y="0"/>
                <wp:positionH relativeFrom="page">
                  <wp:posOffset>719455</wp:posOffset>
                </wp:positionH>
                <wp:positionV relativeFrom="paragraph">
                  <wp:posOffset>248920</wp:posOffset>
                </wp:positionV>
                <wp:extent cx="1080135" cy="0"/>
                <wp:effectExtent l="8255" t="7620" r="29210" b="30480"/>
                <wp:wrapTopAndBottom/>
                <wp:docPr id="48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2FB66" id="Line_x0020_481" o:spid="_x0000_s1026" style="position:absolute;z-index:14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6pt" to="141.7pt,1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" strokecolor="#231f20" strokeweight=".5pt">
                <w10:wrap type="topAndBottom" anchorx="page"/>
              </v:line>
            </w:pict>
          </mc:Fallback>
        </mc:AlternateContent>
      </w:r>
    </w:p>
    <w:p w14:paraId="6C07DB9C"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Після проведення співбесіди </w:t>
      </w:r>
      <w:r>
        <w:rPr>
          <w:color w:val="231F20"/>
          <w:spacing w:val="-3"/>
          <w:sz w:val="16"/>
        </w:rPr>
        <w:t xml:space="preserve">суб’єкт </w:t>
      </w:r>
      <w:r>
        <w:rPr>
          <w:color w:val="231F20"/>
          <w:sz w:val="16"/>
        </w:rPr>
        <w:t>призначення або керівник державної служби приймає</w:t>
      </w:r>
      <w:r>
        <w:rPr>
          <w:color w:val="231F20"/>
          <w:spacing w:val="-9"/>
          <w:sz w:val="16"/>
        </w:rPr>
        <w:t xml:space="preserve"> </w:t>
      </w:r>
      <w:r>
        <w:rPr>
          <w:color w:val="231F20"/>
          <w:sz w:val="16"/>
        </w:rPr>
        <w:t>рішення</w:t>
      </w:r>
      <w:r>
        <w:rPr>
          <w:color w:val="231F20"/>
          <w:spacing w:val="-9"/>
          <w:sz w:val="16"/>
        </w:rPr>
        <w:t xml:space="preserve"> </w:t>
      </w:r>
      <w:r>
        <w:rPr>
          <w:color w:val="231F20"/>
          <w:sz w:val="16"/>
        </w:rPr>
        <w:t>про</w:t>
      </w:r>
      <w:r>
        <w:rPr>
          <w:color w:val="231F20"/>
          <w:spacing w:val="-9"/>
          <w:sz w:val="16"/>
        </w:rPr>
        <w:t xml:space="preserve"> </w:t>
      </w:r>
      <w:r>
        <w:rPr>
          <w:color w:val="231F20"/>
          <w:sz w:val="16"/>
        </w:rPr>
        <w:t>визначення</w:t>
      </w:r>
      <w:r>
        <w:rPr>
          <w:color w:val="231F20"/>
          <w:spacing w:val="-9"/>
          <w:sz w:val="16"/>
        </w:rPr>
        <w:t xml:space="preserve"> </w:t>
      </w:r>
      <w:r>
        <w:rPr>
          <w:color w:val="231F20"/>
          <w:sz w:val="16"/>
        </w:rPr>
        <w:t>переможця</w:t>
      </w:r>
      <w:r>
        <w:rPr>
          <w:color w:val="231F20"/>
          <w:spacing w:val="-9"/>
          <w:sz w:val="16"/>
        </w:rPr>
        <w:t xml:space="preserve"> </w:t>
      </w:r>
      <w:r>
        <w:rPr>
          <w:color w:val="231F20"/>
          <w:sz w:val="16"/>
        </w:rPr>
        <w:t>(переможців)</w:t>
      </w:r>
      <w:r>
        <w:rPr>
          <w:color w:val="231F20"/>
          <w:spacing w:val="-9"/>
          <w:sz w:val="16"/>
        </w:rPr>
        <w:t xml:space="preserve"> </w:t>
      </w:r>
      <w:r>
        <w:rPr>
          <w:color w:val="231F20"/>
          <w:sz w:val="16"/>
        </w:rPr>
        <w:t>конкурсу</w:t>
      </w:r>
      <w:r>
        <w:rPr>
          <w:color w:val="231F20"/>
          <w:spacing w:val="-9"/>
          <w:sz w:val="16"/>
        </w:rPr>
        <w:t xml:space="preserve"> </w:t>
      </w:r>
      <w:r>
        <w:rPr>
          <w:color w:val="231F20"/>
          <w:sz w:val="16"/>
        </w:rPr>
        <w:t>або</w:t>
      </w:r>
      <w:r>
        <w:rPr>
          <w:color w:val="231F20"/>
          <w:spacing w:val="-9"/>
          <w:sz w:val="16"/>
        </w:rPr>
        <w:t xml:space="preserve"> </w:t>
      </w:r>
      <w:r>
        <w:rPr>
          <w:color w:val="231F20"/>
          <w:sz w:val="16"/>
        </w:rPr>
        <w:t>про</w:t>
      </w:r>
      <w:r>
        <w:rPr>
          <w:color w:val="231F20"/>
          <w:spacing w:val="-9"/>
          <w:sz w:val="16"/>
        </w:rPr>
        <w:t xml:space="preserve"> </w:t>
      </w:r>
      <w:r>
        <w:rPr>
          <w:color w:val="231F20"/>
          <w:sz w:val="16"/>
        </w:rPr>
        <w:t>його</w:t>
      </w:r>
      <w:r>
        <w:rPr>
          <w:color w:val="231F20"/>
          <w:spacing w:val="-9"/>
          <w:sz w:val="16"/>
        </w:rPr>
        <w:t xml:space="preserve"> </w:t>
      </w:r>
      <w:r>
        <w:rPr>
          <w:color w:val="231F20"/>
          <w:sz w:val="16"/>
        </w:rPr>
        <w:t>(їх)</w:t>
      </w:r>
      <w:r>
        <w:rPr>
          <w:color w:val="231F20"/>
          <w:spacing w:val="-9"/>
          <w:sz w:val="16"/>
        </w:rPr>
        <w:t xml:space="preserve"> </w:t>
      </w:r>
      <w:r>
        <w:rPr>
          <w:color w:val="231F20"/>
          <w:sz w:val="16"/>
        </w:rPr>
        <w:t>від- сутність.</w:t>
      </w:r>
      <w:r>
        <w:rPr>
          <w:color w:val="231F20"/>
          <w:spacing w:val="-9"/>
          <w:sz w:val="16"/>
        </w:rPr>
        <w:t xml:space="preserve"> </w:t>
      </w:r>
      <w:r>
        <w:rPr>
          <w:color w:val="231F20"/>
          <w:sz w:val="16"/>
        </w:rPr>
        <w:t>Зазначене</w:t>
      </w:r>
      <w:r>
        <w:rPr>
          <w:color w:val="231F20"/>
          <w:spacing w:val="-9"/>
          <w:sz w:val="16"/>
        </w:rPr>
        <w:t xml:space="preserve"> </w:t>
      </w:r>
      <w:r>
        <w:rPr>
          <w:color w:val="231F20"/>
          <w:sz w:val="16"/>
        </w:rPr>
        <w:t>рішення</w:t>
      </w:r>
      <w:r>
        <w:rPr>
          <w:color w:val="231F20"/>
          <w:spacing w:val="-9"/>
          <w:sz w:val="16"/>
        </w:rPr>
        <w:t xml:space="preserve"> </w:t>
      </w:r>
      <w:r>
        <w:rPr>
          <w:color w:val="231F20"/>
          <w:sz w:val="16"/>
        </w:rPr>
        <w:t>оформлюється</w:t>
      </w:r>
      <w:r>
        <w:rPr>
          <w:color w:val="231F20"/>
          <w:spacing w:val="-9"/>
          <w:sz w:val="16"/>
        </w:rPr>
        <w:t xml:space="preserve"> </w:t>
      </w:r>
      <w:r>
        <w:rPr>
          <w:color w:val="231F20"/>
          <w:sz w:val="16"/>
        </w:rPr>
        <w:t>шляхом</w:t>
      </w:r>
      <w:r>
        <w:rPr>
          <w:color w:val="231F20"/>
          <w:spacing w:val="-9"/>
          <w:sz w:val="16"/>
        </w:rPr>
        <w:t xml:space="preserve"> </w:t>
      </w:r>
      <w:r>
        <w:rPr>
          <w:color w:val="231F20"/>
          <w:sz w:val="16"/>
        </w:rPr>
        <w:t>видання</w:t>
      </w:r>
      <w:r>
        <w:rPr>
          <w:color w:val="231F20"/>
          <w:spacing w:val="-9"/>
          <w:sz w:val="16"/>
        </w:rPr>
        <w:t xml:space="preserve"> </w:t>
      </w:r>
      <w:r>
        <w:rPr>
          <w:color w:val="231F20"/>
          <w:sz w:val="16"/>
        </w:rPr>
        <w:t>наказу</w:t>
      </w:r>
      <w:r>
        <w:rPr>
          <w:color w:val="231F20"/>
          <w:spacing w:val="-9"/>
          <w:sz w:val="16"/>
        </w:rPr>
        <w:t xml:space="preserve"> </w:t>
      </w:r>
      <w:r>
        <w:rPr>
          <w:color w:val="231F20"/>
          <w:sz w:val="16"/>
        </w:rPr>
        <w:t>(розпорядження)</w:t>
      </w:r>
      <w:r>
        <w:rPr>
          <w:color w:val="231F20"/>
          <w:spacing w:val="-9"/>
          <w:sz w:val="16"/>
        </w:rPr>
        <w:t xml:space="preserve"> </w:t>
      </w:r>
      <w:r>
        <w:rPr>
          <w:color w:val="231F20"/>
          <w:sz w:val="16"/>
        </w:rPr>
        <w:t xml:space="preserve">або протокольного рішення. У разі коли </w:t>
      </w:r>
      <w:r>
        <w:rPr>
          <w:color w:val="231F20"/>
          <w:spacing w:val="-3"/>
          <w:sz w:val="16"/>
        </w:rPr>
        <w:t xml:space="preserve">суб’єкт </w:t>
      </w:r>
      <w:r>
        <w:rPr>
          <w:color w:val="231F20"/>
          <w:sz w:val="16"/>
        </w:rPr>
        <w:t>пр</w:t>
      </w:r>
      <w:r>
        <w:rPr>
          <w:color w:val="231F20"/>
          <w:sz w:val="16"/>
        </w:rPr>
        <w:t>изначення або керівник державної служби не прийняв рішення про визначення переможця (переможців) конкурсу або про його (їх) відсутність протягом 44 календарних днів з дня оприлюднення оголошення про прове- дення конкурсу, вважається, що переможець (перемож</w:t>
      </w:r>
      <w:r>
        <w:rPr>
          <w:color w:val="231F20"/>
          <w:sz w:val="16"/>
        </w:rPr>
        <w:t>ці) конкурсу</w:t>
      </w:r>
      <w:r>
        <w:rPr>
          <w:color w:val="231F20"/>
          <w:spacing w:val="-10"/>
          <w:sz w:val="16"/>
        </w:rPr>
        <w:t xml:space="preserve"> </w:t>
      </w:r>
      <w:r>
        <w:rPr>
          <w:color w:val="231F20"/>
          <w:sz w:val="16"/>
        </w:rPr>
        <w:t>відсутній.</w:t>
      </w:r>
    </w:p>
    <w:p w14:paraId="0480DB93" w14:textId="77777777" w:rsidR="00DE575E" w:rsidRDefault="002E7560">
      <w:pPr>
        <w:spacing w:before="29" w:line="204" w:lineRule="auto"/>
        <w:ind w:left="533" w:right="126"/>
        <w:jc w:val="both"/>
        <w:rPr>
          <w:sz w:val="16"/>
        </w:rPr>
      </w:pPr>
      <w:r>
        <w:rPr>
          <w:color w:val="231F20"/>
          <w:position w:val="5"/>
          <w:sz w:val="9"/>
        </w:rPr>
        <w:t xml:space="preserve">2 </w:t>
      </w:r>
      <w:r>
        <w:rPr>
          <w:color w:val="231F20"/>
          <w:sz w:val="16"/>
        </w:rPr>
        <w:t>Для забезпечення максимальної прозорості проведення конкурсу на зайняття посад категорії «А» здійснюється відеофіксація процедури проведення конкурсу (тестування, розв’язання кандидатами ситуаційних завдань (у разі їх розв’язання)</w:t>
      </w:r>
      <w:r>
        <w:rPr>
          <w:color w:val="231F20"/>
          <w:sz w:val="16"/>
        </w:rPr>
        <w:t xml:space="preserve"> та їх презентація    у передбачених випадках, проведення співбесіди). Відеозаписи публікуються на офіцій- ному</w:t>
      </w:r>
      <w:r>
        <w:rPr>
          <w:color w:val="231F20"/>
          <w:spacing w:val="-6"/>
          <w:sz w:val="16"/>
        </w:rPr>
        <w:t xml:space="preserve"> </w:t>
      </w:r>
      <w:r>
        <w:rPr>
          <w:color w:val="231F20"/>
          <w:sz w:val="16"/>
        </w:rPr>
        <w:t>веб-сайті</w:t>
      </w:r>
      <w:r>
        <w:rPr>
          <w:color w:val="231F20"/>
          <w:spacing w:val="-6"/>
          <w:sz w:val="16"/>
        </w:rPr>
        <w:t xml:space="preserve"> </w:t>
      </w:r>
      <w:r>
        <w:rPr>
          <w:color w:val="231F20"/>
          <w:sz w:val="16"/>
        </w:rPr>
        <w:t>НАДС</w:t>
      </w:r>
      <w:r>
        <w:rPr>
          <w:color w:val="231F20"/>
          <w:spacing w:val="-6"/>
          <w:sz w:val="16"/>
        </w:rPr>
        <w:t xml:space="preserve"> </w:t>
      </w:r>
      <w:r>
        <w:rPr>
          <w:color w:val="231F20"/>
          <w:sz w:val="16"/>
        </w:rPr>
        <w:t>не</w:t>
      </w:r>
      <w:r>
        <w:rPr>
          <w:color w:val="231F20"/>
          <w:spacing w:val="-6"/>
          <w:sz w:val="16"/>
        </w:rPr>
        <w:t xml:space="preserve"> </w:t>
      </w:r>
      <w:r>
        <w:rPr>
          <w:color w:val="231F20"/>
          <w:sz w:val="16"/>
        </w:rPr>
        <w:t>пізніше</w:t>
      </w:r>
      <w:r>
        <w:rPr>
          <w:color w:val="231F20"/>
          <w:spacing w:val="-6"/>
          <w:sz w:val="16"/>
        </w:rPr>
        <w:t xml:space="preserve"> </w:t>
      </w:r>
      <w:r>
        <w:rPr>
          <w:color w:val="231F20"/>
          <w:sz w:val="16"/>
        </w:rPr>
        <w:t>ніж</w:t>
      </w:r>
      <w:r>
        <w:rPr>
          <w:color w:val="231F20"/>
          <w:spacing w:val="-6"/>
          <w:sz w:val="16"/>
        </w:rPr>
        <w:t xml:space="preserve"> </w:t>
      </w:r>
      <w:r>
        <w:rPr>
          <w:color w:val="231F20"/>
          <w:sz w:val="16"/>
        </w:rPr>
        <w:t>упродовж</w:t>
      </w:r>
      <w:r>
        <w:rPr>
          <w:color w:val="231F20"/>
          <w:spacing w:val="-6"/>
          <w:sz w:val="16"/>
        </w:rPr>
        <w:t xml:space="preserve"> </w:t>
      </w:r>
      <w:r>
        <w:rPr>
          <w:color w:val="231F20"/>
          <w:sz w:val="16"/>
        </w:rPr>
        <w:t>наступного</w:t>
      </w:r>
      <w:r>
        <w:rPr>
          <w:color w:val="231F20"/>
          <w:spacing w:val="-6"/>
          <w:sz w:val="16"/>
        </w:rPr>
        <w:t xml:space="preserve"> </w:t>
      </w:r>
      <w:r>
        <w:rPr>
          <w:color w:val="231F20"/>
          <w:sz w:val="16"/>
        </w:rPr>
        <w:t>робочого</w:t>
      </w:r>
      <w:r>
        <w:rPr>
          <w:color w:val="231F20"/>
          <w:spacing w:val="-6"/>
          <w:sz w:val="16"/>
        </w:rPr>
        <w:t xml:space="preserve"> </w:t>
      </w:r>
      <w:r>
        <w:rPr>
          <w:color w:val="231F20"/>
          <w:sz w:val="16"/>
        </w:rPr>
        <w:t>дня</w:t>
      </w:r>
      <w:r>
        <w:rPr>
          <w:color w:val="231F20"/>
          <w:spacing w:val="-6"/>
          <w:sz w:val="16"/>
        </w:rPr>
        <w:t xml:space="preserve"> </w:t>
      </w:r>
      <w:r>
        <w:rPr>
          <w:color w:val="231F20"/>
          <w:sz w:val="16"/>
        </w:rPr>
        <w:t>після</w:t>
      </w:r>
      <w:r>
        <w:rPr>
          <w:color w:val="231F20"/>
          <w:spacing w:val="-6"/>
          <w:sz w:val="16"/>
        </w:rPr>
        <w:t xml:space="preserve"> </w:t>
      </w:r>
      <w:r>
        <w:rPr>
          <w:color w:val="231F20"/>
          <w:sz w:val="16"/>
        </w:rPr>
        <w:t xml:space="preserve">завершення відповідного </w:t>
      </w:r>
      <w:r>
        <w:rPr>
          <w:color w:val="231F20"/>
          <w:spacing w:val="-3"/>
          <w:sz w:val="16"/>
        </w:rPr>
        <w:t xml:space="preserve">етапу. </w:t>
      </w:r>
      <w:r>
        <w:rPr>
          <w:color w:val="231F20"/>
          <w:sz w:val="16"/>
        </w:rPr>
        <w:t>Під час проведення конкурсу на зайняття поса</w:t>
      </w:r>
      <w:r>
        <w:rPr>
          <w:color w:val="231F20"/>
          <w:sz w:val="16"/>
        </w:rPr>
        <w:t>д категорій «Б» і «В» за рішенням конкурсної комісії може здійснюватися відео- або аудіофіксація, якщо інше не передбачено</w:t>
      </w:r>
      <w:r>
        <w:rPr>
          <w:color w:val="231F20"/>
          <w:spacing w:val="-1"/>
          <w:sz w:val="16"/>
        </w:rPr>
        <w:t xml:space="preserve"> </w:t>
      </w:r>
      <w:r>
        <w:rPr>
          <w:color w:val="231F20"/>
          <w:sz w:val="16"/>
        </w:rPr>
        <w:t>законом.</w:t>
      </w:r>
    </w:p>
    <w:p w14:paraId="5E743918" w14:textId="77777777" w:rsidR="00DE575E" w:rsidRDefault="00DE575E">
      <w:pPr>
        <w:pStyle w:val="BodyText"/>
        <w:spacing w:before="8"/>
        <w:rPr>
          <w:sz w:val="12"/>
        </w:rPr>
      </w:pPr>
    </w:p>
    <w:p w14:paraId="2BBF2B61" w14:textId="77777777" w:rsidR="00DE575E" w:rsidRDefault="002E7560">
      <w:pPr>
        <w:spacing w:before="92"/>
        <w:ind w:left="533"/>
        <w:rPr>
          <w:rFonts w:ascii="Times New Roman"/>
          <w:sz w:val="20"/>
        </w:rPr>
      </w:pPr>
      <w:r>
        <w:rPr>
          <w:rFonts w:ascii="Times New Roman"/>
          <w:color w:val="231F20"/>
          <w:sz w:val="20"/>
        </w:rPr>
        <w:t>368</w:t>
      </w:r>
    </w:p>
    <w:p w14:paraId="5FF00406" w14:textId="77777777" w:rsidR="00DE575E" w:rsidRDefault="00DE575E">
      <w:pPr>
        <w:rPr>
          <w:rFonts w:ascii="Times New Roman"/>
          <w:sz w:val="20"/>
        </w:rPr>
        <w:sectPr w:rsidR="00DE575E">
          <w:pgSz w:w="8510" w:h="12760"/>
          <w:pgMar w:top="660" w:right="720" w:bottom="280" w:left="600" w:header="720" w:footer="720" w:gutter="0"/>
          <w:cols w:space="720"/>
        </w:sectPr>
      </w:pPr>
    </w:p>
    <w:p w14:paraId="15D74794"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7EE1B3BB" w14:textId="32069F5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0946852" wp14:editId="6EF7C327">
                <wp:extent cx="4140200" cy="6350"/>
                <wp:effectExtent l="0" t="0" r="12700" b="6350"/>
                <wp:docPr id="480"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81" name="Line 48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3226E" id="Group_x0020_47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qvFDE34CAACYBQAADgAA&#10;AAAAAAAAAAAAAAAsAgAAZHJzL2Uyb0RvYy54bWxQSwECLQAUAAYACAAAACEATKewkNkAAAADAQAA&#10;DwAAAAAAAAAAAAAAAADWBAAAZHJzL2Rvd25yZXYueG1sUEsFBgAAAAAEAAQA8wAAANwFAAAAAA==&#10;">
                <v:line id="Line_x0020_48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VMMMYAAADcAAAADwAAAGRycy9kb3ducmV2LnhtbESP0WrCQBRE3wv+w3IFX4purKVIdBUp&#10;FIoP2ho/4Jq9JsHduzG7mujXu0Khj8PMnGHmy84acaXGV44VjEcJCOLc6YoLBfvsazgF4QOyRuOY&#10;FNzIw3LRe5ljql3Lv3TdhUJECPsUFZQh1KmUPi/Joh+5mjh6R9dYDFE2hdQNthFujXxLkg9pseK4&#10;UGJNnyXlp93FKsjOr8H8bNemzbaHiTycN5P7ZaPUoN+tZiACdeE//Nf+1grep2N4nolHQC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1TDDGAAAA3AAAAA8AAAAAAAAA&#10;AAAAAAAAoQIAAGRycy9kb3ducmV2LnhtbFBLBQYAAAAABAAEAPkAAACUAwAAAAA=&#10;" strokecolor="#231f20" strokeweight=".5pt"/>
                <w10:anchorlock/>
              </v:group>
            </w:pict>
          </mc:Fallback>
        </mc:AlternateContent>
      </w:r>
    </w:p>
    <w:p w14:paraId="33B90B44" w14:textId="77777777" w:rsidR="00DE575E" w:rsidRDefault="00DE575E">
      <w:pPr>
        <w:pStyle w:val="BodyText"/>
        <w:spacing w:before="7"/>
        <w:rPr>
          <w:rFonts w:ascii="AdonisC"/>
          <w:i/>
          <w:sz w:val="19"/>
        </w:rPr>
      </w:pPr>
    </w:p>
    <w:p w14:paraId="5CF1ECC5" w14:textId="77777777" w:rsidR="00DE575E" w:rsidRDefault="002E7560">
      <w:pPr>
        <w:pStyle w:val="BodyText"/>
        <w:spacing w:before="1" w:line="252" w:lineRule="auto"/>
        <w:ind w:left="250" w:right="411"/>
        <w:jc w:val="both"/>
      </w:pPr>
      <w:r>
        <w:rPr>
          <w:color w:val="231F20"/>
        </w:rPr>
        <w:t>зації, або в разі відсутності можливості пропозиції іншої рівноцін- ної посади державної служби, наділяється правом (у разі створення в державному органі, з якого його звільнено, нової посади чи появи вакантної посади, що відповідає кваліфікації державного</w:t>
      </w:r>
      <w:r>
        <w:rPr>
          <w:color w:val="231F20"/>
        </w:rPr>
        <w:t xml:space="preserve"> служ- бовця)</w:t>
      </w:r>
      <w:r>
        <w:rPr>
          <w:color w:val="231F20"/>
          <w:spacing w:val="-7"/>
        </w:rPr>
        <w:t xml:space="preserve"> </w:t>
      </w:r>
      <w:r>
        <w:rPr>
          <w:color w:val="231F20"/>
        </w:rPr>
        <w:t>упродовж</w:t>
      </w:r>
      <w:r>
        <w:rPr>
          <w:color w:val="231F20"/>
          <w:spacing w:val="-7"/>
        </w:rPr>
        <w:t xml:space="preserve"> </w:t>
      </w:r>
      <w:r>
        <w:rPr>
          <w:color w:val="231F20"/>
        </w:rPr>
        <w:t>шести</w:t>
      </w:r>
      <w:r>
        <w:rPr>
          <w:color w:val="231F20"/>
          <w:spacing w:val="-7"/>
        </w:rPr>
        <w:t xml:space="preserve"> </w:t>
      </w:r>
      <w:r>
        <w:rPr>
          <w:color w:val="231F20"/>
        </w:rPr>
        <w:t>місяців</w:t>
      </w:r>
      <w:r>
        <w:rPr>
          <w:color w:val="231F20"/>
          <w:spacing w:val="-7"/>
        </w:rPr>
        <w:t xml:space="preserve"> </w:t>
      </w:r>
      <w:r>
        <w:rPr>
          <w:color w:val="231F20"/>
        </w:rPr>
        <w:t>з</w:t>
      </w:r>
      <w:r>
        <w:rPr>
          <w:color w:val="231F20"/>
          <w:spacing w:val="-7"/>
        </w:rPr>
        <w:t xml:space="preserve"> </w:t>
      </w:r>
      <w:r>
        <w:rPr>
          <w:color w:val="231F20"/>
        </w:rPr>
        <w:t>дня</w:t>
      </w:r>
      <w:r>
        <w:rPr>
          <w:color w:val="231F20"/>
          <w:spacing w:val="-7"/>
        </w:rPr>
        <w:t xml:space="preserve"> </w:t>
      </w:r>
      <w:r>
        <w:rPr>
          <w:color w:val="231F20"/>
        </w:rPr>
        <w:t>звільнення</w:t>
      </w:r>
      <w:r>
        <w:rPr>
          <w:color w:val="231F20"/>
          <w:spacing w:val="-7"/>
        </w:rPr>
        <w:t xml:space="preserve"> </w:t>
      </w:r>
      <w:r>
        <w:rPr>
          <w:color w:val="231F20"/>
        </w:rPr>
        <w:t>поворотного</w:t>
      </w:r>
      <w:r>
        <w:rPr>
          <w:color w:val="231F20"/>
          <w:spacing w:val="-7"/>
        </w:rPr>
        <w:t xml:space="preserve"> </w:t>
      </w:r>
      <w:r>
        <w:rPr>
          <w:color w:val="231F20"/>
        </w:rPr>
        <w:t>прий- няття на</w:t>
      </w:r>
      <w:r>
        <w:rPr>
          <w:color w:val="231F20"/>
          <w:spacing w:val="-1"/>
        </w:rPr>
        <w:t xml:space="preserve"> </w:t>
      </w:r>
      <w:r>
        <w:rPr>
          <w:color w:val="231F20"/>
        </w:rPr>
        <w:t>службу;</w:t>
      </w:r>
    </w:p>
    <w:p w14:paraId="48151CD4" w14:textId="77777777" w:rsidR="00DE575E" w:rsidRDefault="002E7560">
      <w:pPr>
        <w:pStyle w:val="BodyText"/>
        <w:spacing w:before="3" w:line="252" w:lineRule="auto"/>
        <w:ind w:left="250" w:right="412" w:firstLine="283"/>
        <w:jc w:val="both"/>
      </w:pPr>
      <w:r>
        <w:rPr>
          <w:color w:val="231F20"/>
          <w:spacing w:val="-3"/>
        </w:rPr>
        <w:t>3)</w:t>
      </w:r>
      <w:r>
        <w:rPr>
          <w:color w:val="231F20"/>
          <w:spacing w:val="5"/>
        </w:rPr>
        <w:t xml:space="preserve"> </w:t>
      </w:r>
      <w:r>
        <w:rPr>
          <w:color w:val="231F20"/>
          <w:spacing w:val="-3"/>
        </w:rPr>
        <w:t>за</w:t>
      </w:r>
      <w:r>
        <w:rPr>
          <w:color w:val="231F20"/>
          <w:spacing w:val="-27"/>
        </w:rPr>
        <w:t xml:space="preserve"> </w:t>
      </w:r>
      <w:r>
        <w:rPr>
          <w:color w:val="231F20"/>
          <w:spacing w:val="-5"/>
        </w:rPr>
        <w:t>наявності</w:t>
      </w:r>
      <w:r>
        <w:rPr>
          <w:color w:val="231F20"/>
          <w:spacing w:val="-27"/>
        </w:rPr>
        <w:t xml:space="preserve"> </w:t>
      </w:r>
      <w:r>
        <w:rPr>
          <w:color w:val="231F20"/>
          <w:spacing w:val="-4"/>
        </w:rPr>
        <w:t>інших</w:t>
      </w:r>
      <w:r>
        <w:rPr>
          <w:color w:val="231F20"/>
          <w:spacing w:val="-27"/>
        </w:rPr>
        <w:t xml:space="preserve"> </w:t>
      </w:r>
      <w:r>
        <w:rPr>
          <w:color w:val="231F20"/>
          <w:spacing w:val="-5"/>
        </w:rPr>
        <w:t>законних</w:t>
      </w:r>
      <w:r>
        <w:rPr>
          <w:color w:val="231F20"/>
          <w:spacing w:val="-27"/>
        </w:rPr>
        <w:t xml:space="preserve"> </w:t>
      </w:r>
      <w:r>
        <w:rPr>
          <w:color w:val="231F20"/>
          <w:spacing w:val="-5"/>
        </w:rPr>
        <w:t>підстав</w:t>
      </w:r>
      <w:r>
        <w:rPr>
          <w:color w:val="231F20"/>
          <w:spacing w:val="-27"/>
        </w:rPr>
        <w:t xml:space="preserve"> </w:t>
      </w:r>
      <w:r>
        <w:rPr>
          <w:color w:val="231F20"/>
          <w:spacing w:val="-5"/>
        </w:rPr>
        <w:t>призначення</w:t>
      </w:r>
      <w:r>
        <w:rPr>
          <w:color w:val="231F20"/>
          <w:spacing w:val="-27"/>
        </w:rPr>
        <w:t xml:space="preserve"> </w:t>
      </w:r>
      <w:r>
        <w:rPr>
          <w:color w:val="231F20"/>
          <w:spacing w:val="-4"/>
        </w:rPr>
        <w:t>особи</w:t>
      </w:r>
      <w:r>
        <w:rPr>
          <w:color w:val="231F20"/>
          <w:spacing w:val="-27"/>
        </w:rPr>
        <w:t xml:space="preserve"> </w:t>
      </w:r>
      <w:r>
        <w:rPr>
          <w:color w:val="231F20"/>
          <w:spacing w:val="-3"/>
        </w:rPr>
        <w:t>на</w:t>
      </w:r>
      <w:r>
        <w:rPr>
          <w:color w:val="231F20"/>
          <w:spacing w:val="-27"/>
        </w:rPr>
        <w:t xml:space="preserve"> </w:t>
      </w:r>
      <w:r>
        <w:rPr>
          <w:color w:val="231F20"/>
          <w:spacing w:val="-5"/>
        </w:rPr>
        <w:t xml:space="preserve">посаду державної служби </w:t>
      </w:r>
      <w:r>
        <w:rPr>
          <w:color w:val="231F20"/>
          <w:spacing w:val="-4"/>
        </w:rPr>
        <w:t xml:space="preserve">без </w:t>
      </w:r>
      <w:r>
        <w:rPr>
          <w:color w:val="231F20"/>
          <w:spacing w:val="-5"/>
        </w:rPr>
        <w:t xml:space="preserve">проведення конкурсу (наприклад, </w:t>
      </w:r>
      <w:r>
        <w:rPr>
          <w:color w:val="231F20"/>
          <w:spacing w:val="-6"/>
        </w:rPr>
        <w:t xml:space="preserve">призначення </w:t>
      </w:r>
      <w:r>
        <w:rPr>
          <w:color w:val="231F20"/>
          <w:spacing w:val="-4"/>
        </w:rPr>
        <w:t xml:space="preserve">особи </w:t>
      </w:r>
      <w:r>
        <w:rPr>
          <w:color w:val="231F20"/>
          <w:spacing w:val="-3"/>
        </w:rPr>
        <w:t xml:space="preserve">на </w:t>
      </w:r>
      <w:r>
        <w:rPr>
          <w:color w:val="231F20"/>
          <w:spacing w:val="-5"/>
        </w:rPr>
        <w:t xml:space="preserve">посаду дипломатичної служби </w:t>
      </w:r>
      <w:r>
        <w:rPr>
          <w:color w:val="231F20"/>
          <w:spacing w:val="-3"/>
        </w:rPr>
        <w:t xml:space="preserve">на </w:t>
      </w:r>
      <w:r>
        <w:rPr>
          <w:color w:val="231F20"/>
          <w:spacing w:val="-5"/>
        </w:rPr>
        <w:t>основі</w:t>
      </w:r>
      <w:r>
        <w:rPr>
          <w:color w:val="231F20"/>
          <w:spacing w:val="-34"/>
        </w:rPr>
        <w:t xml:space="preserve"> </w:t>
      </w:r>
      <w:r>
        <w:rPr>
          <w:color w:val="231F20"/>
          <w:spacing w:val="-6"/>
        </w:rPr>
        <w:t>ротації).</w:t>
      </w:r>
    </w:p>
    <w:p w14:paraId="6CFFD3FE" w14:textId="77777777" w:rsidR="00DE575E" w:rsidRDefault="002E7560">
      <w:pPr>
        <w:pStyle w:val="BodyText"/>
        <w:spacing w:before="1" w:line="252" w:lineRule="auto"/>
        <w:ind w:left="250" w:right="411" w:firstLine="283"/>
        <w:jc w:val="both"/>
      </w:pPr>
      <w:r>
        <w:rPr>
          <w:color w:val="231F20"/>
          <w:spacing w:val="-4"/>
        </w:rPr>
        <w:t xml:space="preserve">Суб’єкт </w:t>
      </w:r>
      <w:r>
        <w:rPr>
          <w:color w:val="231F20"/>
        </w:rPr>
        <w:t xml:space="preserve">призначення на підставі </w:t>
      </w:r>
      <w:r>
        <w:rPr>
          <w:color w:val="231F20"/>
          <w:spacing w:val="-3"/>
        </w:rPr>
        <w:t xml:space="preserve">результатів </w:t>
      </w:r>
      <w:r>
        <w:rPr>
          <w:color w:val="231F20"/>
        </w:rPr>
        <w:t>конкурсу або/та за наявності</w:t>
      </w:r>
      <w:r>
        <w:rPr>
          <w:color w:val="231F20"/>
          <w:spacing w:val="-9"/>
        </w:rPr>
        <w:t xml:space="preserve"> </w:t>
      </w:r>
      <w:r>
        <w:rPr>
          <w:color w:val="231F20"/>
        </w:rPr>
        <w:t>інших</w:t>
      </w:r>
      <w:r>
        <w:rPr>
          <w:color w:val="231F20"/>
          <w:spacing w:val="-9"/>
        </w:rPr>
        <w:t xml:space="preserve"> </w:t>
      </w:r>
      <w:r>
        <w:rPr>
          <w:color w:val="231F20"/>
        </w:rPr>
        <w:t>визначених</w:t>
      </w:r>
      <w:r>
        <w:rPr>
          <w:color w:val="231F20"/>
          <w:spacing w:val="-9"/>
        </w:rPr>
        <w:t xml:space="preserve"> </w:t>
      </w:r>
      <w:r>
        <w:rPr>
          <w:color w:val="231F20"/>
        </w:rPr>
        <w:t>законом</w:t>
      </w:r>
      <w:r>
        <w:rPr>
          <w:color w:val="231F20"/>
          <w:spacing w:val="-9"/>
        </w:rPr>
        <w:t xml:space="preserve"> </w:t>
      </w:r>
      <w:r>
        <w:rPr>
          <w:color w:val="231F20"/>
        </w:rPr>
        <w:t>підстав,</w:t>
      </w:r>
      <w:r>
        <w:rPr>
          <w:color w:val="231F20"/>
          <w:spacing w:val="-9"/>
        </w:rPr>
        <w:t xml:space="preserve"> </w:t>
      </w:r>
      <w:r>
        <w:rPr>
          <w:color w:val="231F20"/>
        </w:rPr>
        <w:t>з</w:t>
      </w:r>
      <w:r>
        <w:rPr>
          <w:color w:val="231F20"/>
          <w:spacing w:val="-9"/>
        </w:rPr>
        <w:t xml:space="preserve"> </w:t>
      </w:r>
      <w:r>
        <w:rPr>
          <w:color w:val="231F20"/>
        </w:rPr>
        <w:t>урахуванням</w:t>
      </w:r>
      <w:r>
        <w:rPr>
          <w:color w:val="231F20"/>
          <w:spacing w:val="-9"/>
        </w:rPr>
        <w:t xml:space="preserve"> </w:t>
      </w:r>
      <w:r>
        <w:rPr>
          <w:color w:val="231F20"/>
        </w:rPr>
        <w:t>резуль- татів  спеціальної  перевірки,   яку   передбачено   законодавством   у сфері з</w:t>
      </w:r>
      <w:r>
        <w:rPr>
          <w:color w:val="231F20"/>
        </w:rPr>
        <w:t>апобігання корупції, ухвалює рішення у формі наказу про призначення особи на зайняття посади державної</w:t>
      </w:r>
      <w:r>
        <w:rPr>
          <w:color w:val="231F20"/>
          <w:spacing w:val="-3"/>
        </w:rPr>
        <w:t xml:space="preserve"> </w:t>
      </w:r>
      <w:r>
        <w:rPr>
          <w:color w:val="231F20"/>
        </w:rPr>
        <w:t>служби.</w:t>
      </w:r>
    </w:p>
    <w:p w14:paraId="2D74B574" w14:textId="77777777" w:rsidR="00DE575E" w:rsidRDefault="002E7560">
      <w:pPr>
        <w:spacing w:before="3" w:line="252" w:lineRule="auto"/>
        <w:ind w:left="250" w:right="410" w:firstLine="283"/>
        <w:jc w:val="both"/>
        <w:rPr>
          <w:sz w:val="21"/>
        </w:rPr>
      </w:pPr>
      <w:r>
        <w:rPr>
          <w:i/>
          <w:color w:val="231F20"/>
          <w:sz w:val="21"/>
        </w:rPr>
        <w:t>Днем набуття статусу державного службовця є день складення Присяги державного службовця</w:t>
      </w:r>
      <w:r>
        <w:rPr>
          <w:color w:val="231F20"/>
          <w:sz w:val="21"/>
        </w:rPr>
        <w:t>, а не дата прийняття рішення про призначення особи на  за</w:t>
      </w:r>
      <w:r>
        <w:rPr>
          <w:color w:val="231F20"/>
          <w:sz w:val="21"/>
        </w:rPr>
        <w:t>йняття  посади  державної  служби.  Якщо в особовій справі особи міститься інформація про складення нею присяги державного службовця раніше, то день вступу її на посаду державної служби визначається наказом про</w:t>
      </w:r>
      <w:r>
        <w:rPr>
          <w:color w:val="231F20"/>
          <w:spacing w:val="-5"/>
          <w:sz w:val="21"/>
        </w:rPr>
        <w:t xml:space="preserve"> </w:t>
      </w:r>
      <w:r>
        <w:rPr>
          <w:color w:val="231F20"/>
          <w:sz w:val="21"/>
        </w:rPr>
        <w:t>призначення.</w:t>
      </w:r>
    </w:p>
    <w:p w14:paraId="7161F87B" w14:textId="77777777" w:rsidR="00DE575E" w:rsidRDefault="002E7560">
      <w:pPr>
        <w:pStyle w:val="BodyText"/>
        <w:spacing w:before="3" w:line="252" w:lineRule="auto"/>
        <w:ind w:left="250" w:right="410" w:firstLine="283"/>
        <w:jc w:val="both"/>
      </w:pPr>
      <w:r>
        <w:rPr>
          <w:color w:val="231F20"/>
        </w:rPr>
        <w:t>Служба управління персоналом у д</w:t>
      </w:r>
      <w:r>
        <w:rPr>
          <w:color w:val="231F20"/>
        </w:rPr>
        <w:t>ень призначення особи на посаду державної служби організовує складення Присяги держав- ного службовця особою, яка вперше призначена на посаду держав- ної служби, а також ознайомлює державного службовця під підпис із правилами внутрішнього службового розпор</w:t>
      </w:r>
      <w:r>
        <w:rPr>
          <w:color w:val="231F20"/>
        </w:rPr>
        <w:t>ядку та посадовою інструкцією.</w:t>
      </w:r>
    </w:p>
    <w:p w14:paraId="5686829D" w14:textId="77777777" w:rsidR="00DE575E" w:rsidRDefault="002E7560">
      <w:pPr>
        <w:pStyle w:val="BodyText"/>
        <w:spacing w:before="3" w:line="252" w:lineRule="auto"/>
        <w:ind w:left="250" w:right="409" w:firstLine="283"/>
        <w:jc w:val="both"/>
      </w:pPr>
      <w:r>
        <w:rPr>
          <w:color w:val="231F20"/>
        </w:rPr>
        <w:t>Якщо посада державної служби, на яку особа вступає належить до посад, призначення на які здійснюється з укладанням контр- акту про проходження державної служби (наприклад, у випадку відправлення дипломатичного службовця у дов</w:t>
      </w:r>
      <w:r>
        <w:rPr>
          <w:color w:val="231F20"/>
        </w:rPr>
        <w:t xml:space="preserve">гострокове відря- дження), має бути підписано контракт між державним службов- цем та </w:t>
      </w:r>
      <w:r>
        <w:rPr>
          <w:color w:val="231F20"/>
          <w:spacing w:val="-3"/>
        </w:rPr>
        <w:t xml:space="preserve">суб’єктом </w:t>
      </w:r>
      <w:r>
        <w:rPr>
          <w:color w:val="231F20"/>
        </w:rPr>
        <w:t>призначення або керівником державної служби. До істотних умов контракту належать: місце роботи і посада держав- ної служби; спеціальні вимоги до осіб, які претен</w:t>
      </w:r>
      <w:r>
        <w:rPr>
          <w:color w:val="231F20"/>
        </w:rPr>
        <w:t xml:space="preserve">дують на посаду державної служби; дата набрання чинності та строк дії контракту; права та обов’язки сторін; завдання і ключові показники </w:t>
      </w:r>
      <w:r>
        <w:rPr>
          <w:color w:val="231F20"/>
          <w:spacing w:val="-3"/>
        </w:rPr>
        <w:t xml:space="preserve">результа- </w:t>
      </w:r>
      <w:r>
        <w:rPr>
          <w:color w:val="231F20"/>
        </w:rPr>
        <w:t>тивності, ефективності та якості їх виконання, строки їх виконання; режим праці та відпочинку; умови оплати п</w:t>
      </w:r>
      <w:r>
        <w:rPr>
          <w:color w:val="231F20"/>
        </w:rPr>
        <w:t>раці; відповідальність сторін та вирішення спорів; підстави зміни умов, припинення дії</w:t>
      </w:r>
      <w:r>
        <w:rPr>
          <w:color w:val="231F20"/>
          <w:spacing w:val="5"/>
        </w:rPr>
        <w:t xml:space="preserve"> </w:t>
      </w:r>
      <w:r>
        <w:rPr>
          <w:color w:val="231F20"/>
        </w:rPr>
        <w:t>та</w:t>
      </w:r>
    </w:p>
    <w:p w14:paraId="014DABAA" w14:textId="77777777" w:rsidR="00DE575E" w:rsidRDefault="00DE575E">
      <w:pPr>
        <w:pStyle w:val="BodyText"/>
        <w:spacing w:before="10"/>
        <w:rPr>
          <w:sz w:val="12"/>
        </w:rPr>
      </w:pPr>
    </w:p>
    <w:p w14:paraId="1BBF3815" w14:textId="77777777" w:rsidR="00DE575E" w:rsidRDefault="002E7560">
      <w:pPr>
        <w:spacing w:before="92"/>
        <w:ind w:right="411"/>
        <w:jc w:val="right"/>
        <w:rPr>
          <w:rFonts w:ascii="Times New Roman"/>
          <w:sz w:val="20"/>
        </w:rPr>
      </w:pPr>
      <w:r>
        <w:rPr>
          <w:rFonts w:ascii="Times New Roman"/>
          <w:color w:val="231F20"/>
          <w:w w:val="90"/>
          <w:sz w:val="20"/>
        </w:rPr>
        <w:t>369</w:t>
      </w:r>
    </w:p>
    <w:p w14:paraId="11D72E4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7167AE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4758E61" w14:textId="4CF29F4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4D8C0F4" wp14:editId="39174659">
                <wp:extent cx="4140200" cy="6350"/>
                <wp:effectExtent l="0" t="0" r="12700" b="6350"/>
                <wp:docPr id="47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79" name="Line 47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9DB762" id="Group_x0020_47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6aSFm34CAACYBQAADgAA&#10;AAAAAAAAAAAAAAAsAgAAZHJzL2Uyb0RvYy54bWxQSwECLQAUAAYACAAAACEATKewkNkAAAADAQAA&#10;DwAAAAAAAAAAAAAAAADWBAAAZHJzL2Rvd25yZXYueG1sUEsFBgAAAAAEAAQA8wAAANwFAAAAAA==&#10;">
                <v:line id="Line_x0020_47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YwEccAAADcAAAADwAAAGRycy9kb3ducmV2LnhtbESP0WrCQBRE3wv+w3KFvkjdqKW1qauI&#10;UCg+qDV+wDV7m4Tu3o3Z1aR+fVcQ+jjMzBlmtuisERdqfOVYwWiYgCDOna64UHDIPp6mIHxA1mgc&#10;k4Jf8rCY9x5mmGrX8hdd9qEQEcI+RQVlCHUqpc9LsuiHriaO3rdrLIYom0LqBtsIt0aOk+RFWqw4&#10;LpRY06qk/Gd/tgqy0yCY3XZt2mx7nMjjaTO5njdKPfa75TuIQF34D9/bn1rB8+sb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1jARxwAAANwAAAAPAAAAAAAA&#10;AAAAAAAAAKECAABkcnMvZG93bnJldi54bWxQSwUGAAAAAAQABAD5AAAAlQMAAAAA&#10;" strokecolor="#231f20" strokeweight=".5pt"/>
                <w10:anchorlock/>
              </v:group>
            </w:pict>
          </mc:Fallback>
        </mc:AlternateContent>
      </w:r>
    </w:p>
    <w:p w14:paraId="2CE3DFA4" w14:textId="77777777" w:rsidR="00DE575E" w:rsidRDefault="00DE575E">
      <w:pPr>
        <w:pStyle w:val="BodyText"/>
        <w:spacing w:before="7"/>
        <w:rPr>
          <w:rFonts w:ascii="AdonisC"/>
          <w:i/>
          <w:sz w:val="11"/>
        </w:rPr>
      </w:pPr>
    </w:p>
    <w:p w14:paraId="3D0761D8" w14:textId="77777777" w:rsidR="00DE575E" w:rsidRDefault="002E7560">
      <w:pPr>
        <w:pStyle w:val="BodyText"/>
        <w:spacing w:before="101" w:line="252" w:lineRule="auto"/>
        <w:ind w:left="533" w:right="127"/>
        <w:jc w:val="both"/>
      </w:pPr>
      <w:r>
        <w:rPr>
          <w:color w:val="231F20"/>
        </w:rPr>
        <w:t xml:space="preserve">розірвання </w:t>
      </w:r>
      <w:r>
        <w:rPr>
          <w:color w:val="231F20"/>
          <w:spacing w:val="-3"/>
        </w:rPr>
        <w:t xml:space="preserve">контракту. </w:t>
      </w:r>
      <w:r>
        <w:rPr>
          <w:color w:val="231F20"/>
        </w:rPr>
        <w:t xml:space="preserve">За взаємною домовленістю сторони можуть визначити додаткові умови контракту про проходження держав- ної служби. </w:t>
      </w:r>
      <w:r>
        <w:rPr>
          <w:color w:val="231F20"/>
          <w:spacing w:val="-3"/>
        </w:rPr>
        <w:t xml:space="preserve">Умови </w:t>
      </w:r>
      <w:r>
        <w:rPr>
          <w:color w:val="231F20"/>
        </w:rPr>
        <w:t>контракту про проходження державної служби можуть передбачати виконання державн</w:t>
      </w:r>
      <w:r>
        <w:rPr>
          <w:color w:val="231F20"/>
        </w:rPr>
        <w:t>им службовцем роботи дистанційно (поза приміщенням державного органу), зокрема з можливістю</w:t>
      </w:r>
      <w:r>
        <w:rPr>
          <w:color w:val="231F20"/>
          <w:spacing w:val="-11"/>
        </w:rPr>
        <w:t xml:space="preserve"> </w:t>
      </w:r>
      <w:r>
        <w:rPr>
          <w:color w:val="231F20"/>
        </w:rPr>
        <w:t>віддаленого</w:t>
      </w:r>
      <w:r>
        <w:rPr>
          <w:color w:val="231F20"/>
          <w:spacing w:val="-11"/>
        </w:rPr>
        <w:t xml:space="preserve"> </w:t>
      </w:r>
      <w:r>
        <w:rPr>
          <w:color w:val="231F20"/>
        </w:rPr>
        <w:t>доступу</w:t>
      </w:r>
      <w:r>
        <w:rPr>
          <w:color w:val="231F20"/>
          <w:spacing w:val="-11"/>
        </w:rPr>
        <w:t xml:space="preserve"> </w:t>
      </w:r>
      <w:r>
        <w:rPr>
          <w:color w:val="231F20"/>
        </w:rPr>
        <w:t>за</w:t>
      </w:r>
      <w:r>
        <w:rPr>
          <w:color w:val="231F20"/>
          <w:spacing w:val="-11"/>
        </w:rPr>
        <w:t xml:space="preserve"> </w:t>
      </w:r>
      <w:r>
        <w:rPr>
          <w:color w:val="231F20"/>
        </w:rPr>
        <w:t>допомогою</w:t>
      </w:r>
      <w:r>
        <w:rPr>
          <w:color w:val="231F20"/>
          <w:spacing w:val="-11"/>
        </w:rPr>
        <w:t xml:space="preserve"> </w:t>
      </w:r>
      <w:r>
        <w:rPr>
          <w:color w:val="231F20"/>
        </w:rPr>
        <w:t>інформаційно-кому- нікаційних</w:t>
      </w:r>
      <w:r>
        <w:rPr>
          <w:color w:val="231F20"/>
          <w:spacing w:val="-1"/>
        </w:rPr>
        <w:t xml:space="preserve"> </w:t>
      </w:r>
      <w:r>
        <w:rPr>
          <w:color w:val="231F20"/>
        </w:rPr>
        <w:t>технологій.</w:t>
      </w:r>
    </w:p>
    <w:p w14:paraId="5F4173B2" w14:textId="77777777" w:rsidR="00DE575E" w:rsidRDefault="002E7560">
      <w:pPr>
        <w:spacing w:before="3" w:line="252" w:lineRule="auto"/>
        <w:ind w:left="533" w:right="128" w:firstLine="283"/>
        <w:jc w:val="both"/>
        <w:rPr>
          <w:sz w:val="21"/>
        </w:rPr>
      </w:pPr>
      <w:r>
        <w:rPr>
          <w:color w:val="231F20"/>
          <w:sz w:val="21"/>
        </w:rPr>
        <w:t xml:space="preserve">Під </w:t>
      </w:r>
      <w:r>
        <w:rPr>
          <w:i/>
          <w:color w:val="231F20"/>
          <w:sz w:val="21"/>
        </w:rPr>
        <w:t>вступом особи на посаду державної служби розуміється юридичний факт, що є підставою н</w:t>
      </w:r>
      <w:r>
        <w:rPr>
          <w:i/>
          <w:color w:val="231F20"/>
          <w:sz w:val="21"/>
        </w:rPr>
        <w:t xml:space="preserve">абуття особою статусу держав- ного службовця, який займає відповідну посаду державної  служби та опосередковує виникнення службових відносин між державним службовцем та його безпосереднім керівником. </w:t>
      </w:r>
      <w:r>
        <w:rPr>
          <w:color w:val="231F20"/>
          <w:sz w:val="21"/>
        </w:rPr>
        <w:t>Одночасно з цього моменту розпочинається проходження дер</w:t>
      </w:r>
      <w:r>
        <w:rPr>
          <w:color w:val="231F20"/>
          <w:sz w:val="21"/>
        </w:rPr>
        <w:t>жавної</w:t>
      </w:r>
      <w:r>
        <w:rPr>
          <w:color w:val="231F20"/>
          <w:spacing w:val="-7"/>
          <w:sz w:val="21"/>
        </w:rPr>
        <w:t xml:space="preserve"> </w:t>
      </w:r>
      <w:r>
        <w:rPr>
          <w:color w:val="231F20"/>
          <w:sz w:val="21"/>
        </w:rPr>
        <w:t>служби.</w:t>
      </w:r>
    </w:p>
    <w:p w14:paraId="6D005C1D" w14:textId="77777777" w:rsidR="00DE575E" w:rsidRDefault="002E7560">
      <w:pPr>
        <w:pStyle w:val="BodyText"/>
        <w:spacing w:before="3" w:line="252" w:lineRule="auto"/>
        <w:ind w:left="533" w:right="124" w:firstLine="283"/>
        <w:jc w:val="both"/>
      </w:pPr>
      <w:r>
        <w:rPr>
          <w:color w:val="231F20"/>
        </w:rPr>
        <w:t xml:space="preserve">З метою перевірки відповідності державного службовця посаді державної служби, яку він займає, може бути встановлено </w:t>
      </w:r>
      <w:r>
        <w:rPr>
          <w:b/>
          <w:i/>
          <w:color w:val="231F20"/>
        </w:rPr>
        <w:t xml:space="preserve">випро- бування </w:t>
      </w:r>
      <w:r>
        <w:rPr>
          <w:color w:val="231F20"/>
        </w:rPr>
        <w:t xml:space="preserve">(від одного до  шести  місяців).  При  призначенні  особи  на посаду державної служби  вперше  встановлення  випробу-  вання є </w:t>
      </w:r>
      <w:r>
        <w:rPr>
          <w:i/>
          <w:color w:val="231F20"/>
        </w:rPr>
        <w:t>обов’язковим</w:t>
      </w:r>
      <w:r>
        <w:rPr>
          <w:color w:val="231F20"/>
        </w:rPr>
        <w:t xml:space="preserve">. На державного службовця під час випробу- вання повністю поширюється дія Закону «Про державну </w:t>
      </w:r>
      <w:r>
        <w:rPr>
          <w:color w:val="231F20"/>
          <w:spacing w:val="1"/>
        </w:rPr>
        <w:t xml:space="preserve">службу»  </w:t>
      </w:r>
      <w:r>
        <w:rPr>
          <w:color w:val="231F20"/>
        </w:rPr>
        <w:t>та інших норм</w:t>
      </w:r>
      <w:r>
        <w:rPr>
          <w:color w:val="231F20"/>
        </w:rPr>
        <w:t xml:space="preserve">ативно-правових актів, які регулюють відносини державної служби. У випробувальний термін суб’єкт призначення має право звільнити державного службовця з посади в разі вста- новлення його невідповідності займаній посаді. </w:t>
      </w:r>
      <w:r>
        <w:rPr>
          <w:color w:val="231F20"/>
          <w:spacing w:val="-3"/>
        </w:rPr>
        <w:t xml:space="preserve">Суб’єкт </w:t>
      </w:r>
      <w:r>
        <w:rPr>
          <w:color w:val="231F20"/>
        </w:rPr>
        <w:t>призна- чення зобов’язаний по</w:t>
      </w:r>
      <w:r>
        <w:rPr>
          <w:color w:val="231F20"/>
        </w:rPr>
        <w:t>передити державного службовця про звіль- нення у письмовій формі не пізніш як за сім календарних днів із зазначенням підстави невідповідності займаній посаді. Обов’язко- вість такого попередження з обґрунтуванням звільнення спрямо- вані на захист державног</w:t>
      </w:r>
      <w:r>
        <w:rPr>
          <w:color w:val="231F20"/>
        </w:rPr>
        <w:t>о службовця від безпідставного припи- нення відносин державної</w:t>
      </w:r>
      <w:r>
        <w:rPr>
          <w:color w:val="231F20"/>
          <w:spacing w:val="13"/>
        </w:rPr>
        <w:t xml:space="preserve"> </w:t>
      </w:r>
      <w:r>
        <w:rPr>
          <w:color w:val="231F20"/>
        </w:rPr>
        <w:t>служби.</w:t>
      </w:r>
    </w:p>
    <w:p w14:paraId="41DAA651" w14:textId="77777777" w:rsidR="00DE575E" w:rsidRDefault="002E7560">
      <w:pPr>
        <w:pStyle w:val="BodyText"/>
        <w:spacing w:before="8" w:line="252" w:lineRule="auto"/>
        <w:ind w:left="533" w:right="127" w:firstLine="283"/>
        <w:jc w:val="both"/>
      </w:pPr>
      <w:r>
        <w:rPr>
          <w:color w:val="231F20"/>
        </w:rPr>
        <w:t xml:space="preserve">Якщо термін випробування закінчився, а державного службовця не ознайомлено з наказом про його звільнення, то </w:t>
      </w:r>
      <w:r>
        <w:rPr>
          <w:i/>
          <w:color w:val="231F20"/>
        </w:rPr>
        <w:t>державний служ- бовець вважається таким, що пройшов випробування</w:t>
      </w:r>
      <w:r>
        <w:rPr>
          <w:color w:val="231F20"/>
        </w:rPr>
        <w:t>. Якщо строк</w:t>
      </w:r>
      <w:r>
        <w:rPr>
          <w:color w:val="231F20"/>
        </w:rPr>
        <w:t xml:space="preserve"> випробування закінчився, і державний службовець вважається таким, що не пройшов випробування, його мають ознайомити з наказом про звільнення з посади державної служби.</w:t>
      </w:r>
    </w:p>
    <w:p w14:paraId="7C2B4CE9" w14:textId="77777777" w:rsidR="00DE575E" w:rsidRDefault="002E7560">
      <w:pPr>
        <w:pStyle w:val="BodyText"/>
        <w:spacing w:before="3" w:line="252" w:lineRule="auto"/>
        <w:ind w:left="533" w:right="127" w:firstLine="283"/>
        <w:jc w:val="both"/>
      </w:pPr>
      <w:r>
        <w:rPr>
          <w:i/>
          <w:color w:val="231F20"/>
        </w:rPr>
        <w:t xml:space="preserve">Стажування </w:t>
      </w:r>
      <w:r>
        <w:rPr>
          <w:color w:val="231F20"/>
        </w:rPr>
        <w:t xml:space="preserve">є основним видом практичної підготовки держав- них службовців для заміщення </w:t>
      </w:r>
      <w:r>
        <w:rPr>
          <w:color w:val="231F20"/>
        </w:rPr>
        <w:t>державних посад в державних орга- нах. Стажування можуть проходити як особи, що вперше претенду- ють на посаду, так і державні службовці, які бажають зайняти більш</w:t>
      </w:r>
    </w:p>
    <w:p w14:paraId="24327E88" w14:textId="77777777" w:rsidR="00DE575E" w:rsidRDefault="00DE575E">
      <w:pPr>
        <w:pStyle w:val="BodyText"/>
        <w:spacing w:before="6"/>
        <w:rPr>
          <w:sz w:val="12"/>
        </w:rPr>
      </w:pPr>
    </w:p>
    <w:p w14:paraId="402CF2DC" w14:textId="77777777" w:rsidR="00DE575E" w:rsidRDefault="002E7560">
      <w:pPr>
        <w:spacing w:before="92"/>
        <w:ind w:left="533"/>
        <w:rPr>
          <w:rFonts w:ascii="Times New Roman"/>
          <w:sz w:val="20"/>
        </w:rPr>
      </w:pPr>
      <w:r>
        <w:rPr>
          <w:rFonts w:ascii="Times New Roman"/>
          <w:color w:val="231F20"/>
          <w:sz w:val="20"/>
        </w:rPr>
        <w:t>370</w:t>
      </w:r>
    </w:p>
    <w:p w14:paraId="176DB864" w14:textId="77777777" w:rsidR="00DE575E" w:rsidRDefault="00DE575E">
      <w:pPr>
        <w:rPr>
          <w:rFonts w:ascii="Times New Roman"/>
          <w:sz w:val="20"/>
        </w:rPr>
        <w:sectPr w:rsidR="00DE575E">
          <w:pgSz w:w="8510" w:h="12760"/>
          <w:pgMar w:top="660" w:right="720" w:bottom="280" w:left="600" w:header="720" w:footer="720" w:gutter="0"/>
          <w:cols w:space="720"/>
        </w:sectPr>
      </w:pPr>
    </w:p>
    <w:p w14:paraId="67479F54"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w:t>
      </w:r>
      <w:r>
        <w:rPr>
          <w:rFonts w:ascii="AdonisC" w:hAnsi="AdonisC"/>
          <w:i/>
          <w:color w:val="231F20"/>
          <w:sz w:val="18"/>
        </w:rPr>
        <w:t>ус державного службовця</w:t>
      </w:r>
    </w:p>
    <w:p w14:paraId="41B852E6" w14:textId="3F04387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74750A3" wp14:editId="5E24A614">
                <wp:extent cx="4140200" cy="6350"/>
                <wp:effectExtent l="0" t="0" r="12700" b="6350"/>
                <wp:docPr id="47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77" name="Line 47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435DB" id="Group_x0020_47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v0zQZgAIAAJgFAAAO&#10;AAAAAAAAAAAAAAAAACwCAABkcnMvZTJvRG9jLnhtbFBLAQItABQABgAIAAAAIQBMp7CQ2QAAAAMB&#10;AAAPAAAAAAAAAAAAAAAAANgEAABkcnMvZG93bnJldi54bWxQSwUGAAAAAAQABADzAAAA3gUAAAAA&#10;">
                <v:line id="Line_x0020_47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UB+MYAAADcAAAADwAAAGRycy9kb3ducmV2LnhtbESP3WrCQBSE7wu+w3IEb0rdtJZaoqtI&#10;oSBe+Jc+wDF7TIK7Z2N2NdGndwuFXg4z8w0znXfWiCs1vnKs4HWYgCDOna64UPCTfb98gvABWaNx&#10;TApu5GE+6z1NMdWu5R1d96EQEcI+RQVlCHUqpc9LsuiHriaO3tE1FkOUTSF1g22EWyPfkuRDWqw4&#10;LpRY01dJ+Wl/sQqy83Mw283KtNnmMJKH83p0v6yVGvS7xQREoC78h//aS63gfTy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FAfjGAAAA3AAAAA8AAAAAAAAA&#10;AAAAAAAAoQIAAGRycy9kb3ducmV2LnhtbFBLBQYAAAAABAAEAPkAAACUAwAAAAA=&#10;" strokecolor="#231f20" strokeweight=".5pt"/>
                <w10:anchorlock/>
              </v:group>
            </w:pict>
          </mc:Fallback>
        </mc:AlternateContent>
      </w:r>
    </w:p>
    <w:p w14:paraId="57512548" w14:textId="77777777" w:rsidR="00DE575E" w:rsidRDefault="00DE575E">
      <w:pPr>
        <w:pStyle w:val="BodyText"/>
        <w:spacing w:before="7"/>
        <w:rPr>
          <w:rFonts w:ascii="AdonisC"/>
          <w:i/>
          <w:sz w:val="19"/>
        </w:rPr>
      </w:pPr>
    </w:p>
    <w:p w14:paraId="5F10324A" w14:textId="77777777" w:rsidR="00DE575E" w:rsidRDefault="002E7560">
      <w:pPr>
        <w:pStyle w:val="BodyText"/>
        <w:spacing w:before="1" w:line="252" w:lineRule="auto"/>
        <w:ind w:left="250" w:right="411"/>
        <w:jc w:val="both"/>
      </w:pPr>
      <w:r>
        <w:rPr>
          <w:color w:val="231F20"/>
        </w:rPr>
        <w:t xml:space="preserve">високу посаду. Добір кандидата на стажування проводиться з ініці- ативи органу, де має відбуватися стажування. Стажування прово- диться з відривом від основної служби строком від одного до шести місяців на іншій посаді державної служби в іншому державному </w:t>
      </w:r>
      <w:r>
        <w:rPr>
          <w:color w:val="231F20"/>
        </w:rPr>
        <w:t>органі або за кордоном.</w:t>
      </w:r>
    </w:p>
    <w:p w14:paraId="0B6639BF" w14:textId="77777777" w:rsidR="00DE575E" w:rsidRDefault="002E7560">
      <w:pPr>
        <w:pStyle w:val="BodyText"/>
        <w:spacing w:before="2" w:line="252" w:lineRule="auto"/>
        <w:ind w:left="250" w:right="410" w:firstLine="283"/>
        <w:jc w:val="both"/>
      </w:pPr>
      <w:r>
        <w:rPr>
          <w:b/>
          <w:i/>
          <w:color w:val="231F20"/>
        </w:rPr>
        <w:t xml:space="preserve">Проходження державної служби </w:t>
      </w:r>
      <w:r>
        <w:rPr>
          <w:color w:val="231F20"/>
        </w:rPr>
        <w:t>охоплює прийняття на державну службу, просування по службі державних службовців, вирішення інших питань, пов’язаних зі службою.</w:t>
      </w:r>
    </w:p>
    <w:p w14:paraId="6BC20756" w14:textId="77777777" w:rsidR="00DE575E" w:rsidRDefault="002E7560">
      <w:pPr>
        <w:pStyle w:val="BodyText"/>
        <w:spacing w:before="2" w:line="252" w:lineRule="auto"/>
        <w:ind w:left="250" w:right="410" w:firstLine="283"/>
        <w:jc w:val="both"/>
      </w:pPr>
      <w:r>
        <w:rPr>
          <w:color w:val="231F20"/>
        </w:rPr>
        <w:t>Поняття</w:t>
      </w:r>
      <w:r>
        <w:rPr>
          <w:color w:val="231F20"/>
          <w:spacing w:val="-8"/>
        </w:rPr>
        <w:t xml:space="preserve"> </w:t>
      </w:r>
      <w:r>
        <w:rPr>
          <w:color w:val="231F20"/>
        </w:rPr>
        <w:t>«службова</w:t>
      </w:r>
      <w:r>
        <w:rPr>
          <w:color w:val="231F20"/>
          <w:spacing w:val="-8"/>
        </w:rPr>
        <w:t xml:space="preserve"> </w:t>
      </w:r>
      <w:r>
        <w:rPr>
          <w:color w:val="231F20"/>
          <w:spacing w:val="-4"/>
        </w:rPr>
        <w:t>кар’єра»</w:t>
      </w:r>
      <w:r>
        <w:rPr>
          <w:color w:val="231F20"/>
          <w:spacing w:val="-8"/>
        </w:rPr>
        <w:t xml:space="preserve"> </w:t>
      </w:r>
      <w:r>
        <w:rPr>
          <w:color w:val="231F20"/>
        </w:rPr>
        <w:t>та</w:t>
      </w:r>
      <w:r>
        <w:rPr>
          <w:color w:val="231F20"/>
          <w:spacing w:val="-8"/>
        </w:rPr>
        <w:t xml:space="preserve"> </w:t>
      </w:r>
      <w:r>
        <w:rPr>
          <w:color w:val="231F20"/>
        </w:rPr>
        <w:t>«проходження</w:t>
      </w:r>
      <w:r>
        <w:rPr>
          <w:color w:val="231F20"/>
          <w:spacing w:val="-8"/>
        </w:rPr>
        <w:t xml:space="preserve"> </w:t>
      </w:r>
      <w:r>
        <w:rPr>
          <w:color w:val="231F20"/>
        </w:rPr>
        <w:t>державної</w:t>
      </w:r>
      <w:r>
        <w:rPr>
          <w:color w:val="231F20"/>
          <w:spacing w:val="-8"/>
        </w:rPr>
        <w:t xml:space="preserve"> </w:t>
      </w:r>
      <w:r>
        <w:rPr>
          <w:color w:val="231F20"/>
        </w:rPr>
        <w:t>служби» практично спів</w:t>
      </w:r>
      <w:r>
        <w:rPr>
          <w:color w:val="231F20"/>
        </w:rPr>
        <w:t xml:space="preserve">падають. Водночас якщо «службова </w:t>
      </w:r>
      <w:r>
        <w:rPr>
          <w:color w:val="231F20"/>
          <w:spacing w:val="-4"/>
        </w:rPr>
        <w:t xml:space="preserve">кар’єра» </w:t>
      </w:r>
      <w:r>
        <w:rPr>
          <w:color w:val="231F20"/>
        </w:rPr>
        <w:t>– це переважно суб’єктивно-індивідуальний аспект цього поняття,</w:t>
      </w:r>
      <w:r>
        <w:rPr>
          <w:color w:val="231F20"/>
          <w:spacing w:val="27"/>
        </w:rPr>
        <w:t xml:space="preserve"> </w:t>
      </w:r>
      <w:r>
        <w:rPr>
          <w:color w:val="231F20"/>
        </w:rPr>
        <w:t>то</w:t>
      </w:r>
    </w:p>
    <w:p w14:paraId="0DA05BDE" w14:textId="77777777" w:rsidR="00DE575E" w:rsidRDefault="002E7560">
      <w:pPr>
        <w:pStyle w:val="BodyText"/>
        <w:spacing w:before="1" w:line="252" w:lineRule="auto"/>
        <w:ind w:left="250" w:right="411"/>
        <w:jc w:val="both"/>
      </w:pPr>
      <w:r>
        <w:rPr>
          <w:color w:val="231F20"/>
        </w:rPr>
        <w:t>«проходження державної служби» – це об’єктивно-процедурний аспект цього поняття</w:t>
      </w:r>
      <w:r>
        <w:rPr>
          <w:color w:val="231F20"/>
          <w:position w:val="7"/>
          <w:sz w:val="12"/>
        </w:rPr>
        <w:t>1</w:t>
      </w:r>
      <w:r>
        <w:rPr>
          <w:color w:val="231F20"/>
        </w:rPr>
        <w:t xml:space="preserve">. Забезпечувальними елементами службової </w:t>
      </w:r>
      <w:r>
        <w:rPr>
          <w:color w:val="231F20"/>
          <w:spacing w:val="-5"/>
        </w:rPr>
        <w:t>кар’єри</w:t>
      </w:r>
      <w:r>
        <w:rPr>
          <w:color w:val="231F20"/>
          <w:spacing w:val="-7"/>
        </w:rPr>
        <w:t xml:space="preserve"> </w:t>
      </w:r>
      <w:r>
        <w:rPr>
          <w:color w:val="231F20"/>
        </w:rPr>
        <w:t>є</w:t>
      </w:r>
      <w:r>
        <w:rPr>
          <w:color w:val="231F20"/>
          <w:spacing w:val="-7"/>
        </w:rPr>
        <w:t xml:space="preserve"> </w:t>
      </w:r>
      <w:r>
        <w:rPr>
          <w:color w:val="231F20"/>
        </w:rPr>
        <w:t>стаж</w:t>
      </w:r>
      <w:r>
        <w:rPr>
          <w:color w:val="231F20"/>
          <w:spacing w:val="-7"/>
        </w:rPr>
        <w:t xml:space="preserve"> </w:t>
      </w:r>
      <w:r>
        <w:rPr>
          <w:color w:val="231F20"/>
        </w:rPr>
        <w:t>державної</w:t>
      </w:r>
      <w:r>
        <w:rPr>
          <w:color w:val="231F20"/>
          <w:spacing w:val="-7"/>
        </w:rPr>
        <w:t xml:space="preserve"> </w:t>
      </w:r>
      <w:r>
        <w:rPr>
          <w:color w:val="231F20"/>
        </w:rPr>
        <w:t>с</w:t>
      </w:r>
      <w:r>
        <w:rPr>
          <w:color w:val="231F20"/>
        </w:rPr>
        <w:t>лужби,</w:t>
      </w:r>
      <w:r>
        <w:rPr>
          <w:color w:val="231F20"/>
          <w:spacing w:val="-7"/>
        </w:rPr>
        <w:t xml:space="preserve"> </w:t>
      </w:r>
      <w:r>
        <w:rPr>
          <w:color w:val="231F20"/>
        </w:rPr>
        <w:t>правила</w:t>
      </w:r>
      <w:r>
        <w:rPr>
          <w:color w:val="231F20"/>
          <w:spacing w:val="-7"/>
        </w:rPr>
        <w:t xml:space="preserve"> </w:t>
      </w:r>
      <w:r>
        <w:rPr>
          <w:color w:val="231F20"/>
        </w:rPr>
        <w:t>внутрішнього</w:t>
      </w:r>
      <w:r>
        <w:rPr>
          <w:color w:val="231F20"/>
          <w:spacing w:val="-7"/>
        </w:rPr>
        <w:t xml:space="preserve"> </w:t>
      </w:r>
      <w:r>
        <w:rPr>
          <w:color w:val="231F20"/>
        </w:rPr>
        <w:t xml:space="preserve">службового розпорядку державного </w:t>
      </w:r>
      <w:r>
        <w:rPr>
          <w:color w:val="231F20"/>
          <w:spacing w:val="-3"/>
        </w:rPr>
        <w:t xml:space="preserve">органу, </w:t>
      </w:r>
      <w:r>
        <w:rPr>
          <w:color w:val="231F20"/>
        </w:rPr>
        <w:t>службове відрядження, підвищення кваліфікації державного службовця</w:t>
      </w:r>
      <w:r>
        <w:rPr>
          <w:color w:val="231F20"/>
          <w:spacing w:val="-4"/>
        </w:rPr>
        <w:t xml:space="preserve"> </w:t>
      </w:r>
      <w:r>
        <w:rPr>
          <w:color w:val="231F20"/>
        </w:rPr>
        <w:t>тощо.</w:t>
      </w:r>
    </w:p>
    <w:p w14:paraId="5BF0FD3B" w14:textId="77777777" w:rsidR="00DE575E" w:rsidRDefault="002E7560">
      <w:pPr>
        <w:pStyle w:val="BodyText"/>
        <w:spacing w:before="3" w:line="252" w:lineRule="auto"/>
        <w:ind w:left="250" w:right="411" w:firstLine="283"/>
        <w:jc w:val="both"/>
      </w:pPr>
      <w:r>
        <w:rPr>
          <w:i/>
          <w:color w:val="231F20"/>
        </w:rPr>
        <w:t xml:space="preserve">Під стажем державної служби </w:t>
      </w:r>
      <w:r>
        <w:rPr>
          <w:color w:val="231F20"/>
        </w:rPr>
        <w:t>розуміється темпоральне відо- браження служби особи в державному органі з моменту всту</w:t>
      </w:r>
      <w:r>
        <w:rPr>
          <w:color w:val="231F20"/>
        </w:rPr>
        <w:t>пу на державну</w:t>
      </w:r>
      <w:r>
        <w:rPr>
          <w:color w:val="231F20"/>
          <w:spacing w:val="-9"/>
        </w:rPr>
        <w:t xml:space="preserve"> </w:t>
      </w:r>
      <w:r>
        <w:rPr>
          <w:color w:val="231F20"/>
          <w:spacing w:val="-3"/>
        </w:rPr>
        <w:t>службу,</w:t>
      </w:r>
      <w:r>
        <w:rPr>
          <w:color w:val="231F20"/>
          <w:spacing w:val="-9"/>
        </w:rPr>
        <w:t xml:space="preserve"> </w:t>
      </w:r>
      <w:r>
        <w:rPr>
          <w:color w:val="231F20"/>
        </w:rPr>
        <w:t>включаючи</w:t>
      </w:r>
      <w:r>
        <w:rPr>
          <w:color w:val="231F20"/>
          <w:spacing w:val="-9"/>
        </w:rPr>
        <w:t xml:space="preserve"> </w:t>
      </w:r>
      <w:r>
        <w:rPr>
          <w:color w:val="231F20"/>
        </w:rPr>
        <w:t>час</w:t>
      </w:r>
      <w:r>
        <w:rPr>
          <w:color w:val="231F20"/>
          <w:spacing w:val="-9"/>
        </w:rPr>
        <w:t xml:space="preserve"> </w:t>
      </w:r>
      <w:r>
        <w:rPr>
          <w:color w:val="231F20"/>
        </w:rPr>
        <w:t>навчання</w:t>
      </w:r>
      <w:r>
        <w:rPr>
          <w:color w:val="231F20"/>
          <w:spacing w:val="-9"/>
        </w:rPr>
        <w:t xml:space="preserve"> </w:t>
      </w:r>
      <w:r>
        <w:rPr>
          <w:color w:val="231F20"/>
        </w:rPr>
        <w:t>та</w:t>
      </w:r>
      <w:r>
        <w:rPr>
          <w:color w:val="231F20"/>
          <w:spacing w:val="-9"/>
        </w:rPr>
        <w:t xml:space="preserve"> </w:t>
      </w:r>
      <w:r>
        <w:rPr>
          <w:color w:val="231F20"/>
        </w:rPr>
        <w:t>деякі</w:t>
      </w:r>
      <w:r>
        <w:rPr>
          <w:color w:val="231F20"/>
          <w:spacing w:val="-9"/>
        </w:rPr>
        <w:t xml:space="preserve"> </w:t>
      </w:r>
      <w:r>
        <w:rPr>
          <w:color w:val="231F20"/>
        </w:rPr>
        <w:t>інші</w:t>
      </w:r>
      <w:r>
        <w:rPr>
          <w:color w:val="231F20"/>
          <w:spacing w:val="-9"/>
        </w:rPr>
        <w:t xml:space="preserve"> </w:t>
      </w:r>
      <w:r>
        <w:rPr>
          <w:color w:val="231F20"/>
        </w:rPr>
        <w:t>періоди,</w:t>
      </w:r>
      <w:r>
        <w:rPr>
          <w:color w:val="231F20"/>
          <w:spacing w:val="-9"/>
        </w:rPr>
        <w:t xml:space="preserve"> </w:t>
      </w:r>
      <w:r>
        <w:rPr>
          <w:color w:val="231F20"/>
        </w:rPr>
        <w:t>які дають право на встановлення державному службовцю надбавки за вислугу років і додаткову оплачувану</w:t>
      </w:r>
      <w:r>
        <w:rPr>
          <w:color w:val="231F20"/>
          <w:spacing w:val="-5"/>
        </w:rPr>
        <w:t xml:space="preserve"> </w:t>
      </w:r>
      <w:r>
        <w:rPr>
          <w:color w:val="231F20"/>
          <w:spacing w:val="-3"/>
        </w:rPr>
        <w:t>відпустку.</w:t>
      </w:r>
    </w:p>
    <w:p w14:paraId="472FB95E" w14:textId="77777777" w:rsidR="00DE575E" w:rsidRDefault="002E7560">
      <w:pPr>
        <w:pStyle w:val="BodyText"/>
        <w:spacing w:before="2" w:line="252" w:lineRule="auto"/>
        <w:ind w:left="250" w:right="410" w:firstLine="283"/>
        <w:jc w:val="both"/>
      </w:pPr>
      <w:r>
        <w:rPr>
          <w:i/>
          <w:color w:val="231F20"/>
        </w:rPr>
        <w:t xml:space="preserve">Під правилами внутрішнього службового розпорядку </w:t>
      </w:r>
      <w:r>
        <w:rPr>
          <w:color w:val="231F20"/>
        </w:rPr>
        <w:t xml:space="preserve">розуміється сукупність </w:t>
      </w:r>
      <w:r>
        <w:rPr>
          <w:color w:val="231F20"/>
          <w:spacing w:val="-3"/>
        </w:rPr>
        <w:t xml:space="preserve">вимог, </w:t>
      </w:r>
      <w:r>
        <w:rPr>
          <w:color w:val="231F20"/>
        </w:rPr>
        <w:t>яких визначено локальним нормативним актом державного органу  та  затверджено  за  спеціальною  процедурою,  і які є обов’язковими до виконання всіма державними службовцями цього державного</w:t>
      </w:r>
      <w:r>
        <w:rPr>
          <w:color w:val="231F20"/>
          <w:spacing w:val="-1"/>
        </w:rPr>
        <w:t xml:space="preserve"> </w:t>
      </w:r>
      <w:r>
        <w:rPr>
          <w:color w:val="231F20"/>
          <w:spacing w:val="-3"/>
        </w:rPr>
        <w:t>органу.</w:t>
      </w:r>
    </w:p>
    <w:p w14:paraId="0CE72B6F" w14:textId="77777777" w:rsidR="00DE575E" w:rsidRDefault="002E7560">
      <w:pPr>
        <w:pStyle w:val="BodyText"/>
        <w:spacing w:before="3" w:line="252" w:lineRule="auto"/>
        <w:ind w:left="250" w:right="407" w:firstLine="283"/>
        <w:jc w:val="both"/>
      </w:pPr>
      <w:r>
        <w:rPr>
          <w:i/>
          <w:color w:val="231F20"/>
        </w:rPr>
        <w:t xml:space="preserve">Під службовим відрядженням службовців </w:t>
      </w:r>
      <w:r>
        <w:rPr>
          <w:color w:val="231F20"/>
        </w:rPr>
        <w:t>розуміється т</w:t>
      </w:r>
      <w:r>
        <w:rPr>
          <w:color w:val="231F20"/>
        </w:rPr>
        <w:t>имча- сове виконання державним службовцем своїх посадових обов’язків поза межами постійного  місця  служби,  тобто  населеного  пункту, в якому розташовано постійне/основне робоче місце службовця відповідно до основної функціональної складової служби держа</w:t>
      </w:r>
      <w:r>
        <w:rPr>
          <w:color w:val="231F20"/>
        </w:rPr>
        <w:t>в- ного</w:t>
      </w:r>
      <w:r>
        <w:rPr>
          <w:color w:val="231F20"/>
          <w:spacing w:val="3"/>
        </w:rPr>
        <w:t xml:space="preserve"> </w:t>
      </w:r>
      <w:r>
        <w:rPr>
          <w:color w:val="231F20"/>
        </w:rPr>
        <w:t>службовця.</w:t>
      </w:r>
    </w:p>
    <w:p w14:paraId="1B7A0476" w14:textId="77777777" w:rsidR="00DE575E" w:rsidRDefault="002E7560">
      <w:pPr>
        <w:pStyle w:val="BodyText"/>
        <w:spacing w:before="2" w:line="252" w:lineRule="auto"/>
        <w:ind w:left="250" w:right="409" w:firstLine="283"/>
        <w:jc w:val="both"/>
      </w:pPr>
      <w:r>
        <w:rPr>
          <w:i/>
          <w:color w:val="231F20"/>
        </w:rPr>
        <w:t xml:space="preserve">Під підвищенням рівня професійної компетенції </w:t>
      </w:r>
      <w:r>
        <w:rPr>
          <w:color w:val="231F20"/>
        </w:rPr>
        <w:t>розуміється сукупність</w:t>
      </w:r>
      <w:r>
        <w:rPr>
          <w:color w:val="231F20"/>
          <w:spacing w:val="-8"/>
        </w:rPr>
        <w:t xml:space="preserve"> </w:t>
      </w:r>
      <w:r>
        <w:rPr>
          <w:color w:val="231F20"/>
        </w:rPr>
        <w:t>дій</w:t>
      </w:r>
      <w:r>
        <w:rPr>
          <w:color w:val="231F20"/>
          <w:spacing w:val="-8"/>
        </w:rPr>
        <w:t xml:space="preserve"> </w:t>
      </w:r>
      <w:r>
        <w:rPr>
          <w:color w:val="231F20"/>
        </w:rPr>
        <w:t>щодо</w:t>
      </w:r>
      <w:r>
        <w:rPr>
          <w:color w:val="231F20"/>
          <w:spacing w:val="-8"/>
        </w:rPr>
        <w:t xml:space="preserve"> </w:t>
      </w:r>
      <w:r>
        <w:rPr>
          <w:color w:val="231F20"/>
        </w:rPr>
        <w:t>навчання</w:t>
      </w:r>
      <w:r>
        <w:rPr>
          <w:color w:val="231F20"/>
          <w:spacing w:val="-8"/>
        </w:rPr>
        <w:t xml:space="preserve"> </w:t>
      </w:r>
      <w:r>
        <w:rPr>
          <w:color w:val="231F20"/>
        </w:rPr>
        <w:t>з</w:t>
      </w:r>
      <w:r>
        <w:rPr>
          <w:color w:val="231F20"/>
          <w:spacing w:val="-8"/>
        </w:rPr>
        <w:t xml:space="preserve"> </w:t>
      </w:r>
      <w:r>
        <w:rPr>
          <w:color w:val="231F20"/>
        </w:rPr>
        <w:t>метою</w:t>
      </w:r>
      <w:r>
        <w:rPr>
          <w:color w:val="231F20"/>
          <w:spacing w:val="-8"/>
        </w:rPr>
        <w:t xml:space="preserve"> </w:t>
      </w:r>
      <w:r>
        <w:rPr>
          <w:color w:val="231F20"/>
        </w:rPr>
        <w:t>оновлення</w:t>
      </w:r>
      <w:r>
        <w:rPr>
          <w:color w:val="231F20"/>
          <w:spacing w:val="-8"/>
        </w:rPr>
        <w:t xml:space="preserve"> </w:t>
      </w:r>
      <w:r>
        <w:rPr>
          <w:color w:val="231F20"/>
        </w:rPr>
        <w:t>та</w:t>
      </w:r>
      <w:r>
        <w:rPr>
          <w:color w:val="231F20"/>
          <w:spacing w:val="-8"/>
        </w:rPr>
        <w:t xml:space="preserve"> </w:t>
      </w:r>
      <w:r>
        <w:rPr>
          <w:color w:val="231F20"/>
        </w:rPr>
        <w:t>розвитку</w:t>
      </w:r>
      <w:r>
        <w:rPr>
          <w:color w:val="231F20"/>
          <w:spacing w:val="-8"/>
        </w:rPr>
        <w:t xml:space="preserve"> </w:t>
      </w:r>
      <w:r>
        <w:rPr>
          <w:color w:val="231F20"/>
        </w:rPr>
        <w:t>знань і</w:t>
      </w:r>
      <w:r>
        <w:rPr>
          <w:color w:val="231F20"/>
          <w:spacing w:val="-12"/>
        </w:rPr>
        <w:t xml:space="preserve"> </w:t>
      </w:r>
      <w:r>
        <w:rPr>
          <w:color w:val="231F20"/>
        </w:rPr>
        <w:t>умінь,</w:t>
      </w:r>
      <w:r>
        <w:rPr>
          <w:color w:val="231F20"/>
          <w:spacing w:val="-12"/>
        </w:rPr>
        <w:t xml:space="preserve"> </w:t>
      </w:r>
      <w:r>
        <w:rPr>
          <w:color w:val="231F20"/>
        </w:rPr>
        <w:t>необхідних</w:t>
      </w:r>
      <w:r>
        <w:rPr>
          <w:color w:val="231F20"/>
          <w:spacing w:val="-12"/>
        </w:rPr>
        <w:t xml:space="preserve"> </w:t>
      </w:r>
      <w:r>
        <w:rPr>
          <w:color w:val="231F20"/>
        </w:rPr>
        <w:t>для</w:t>
      </w:r>
      <w:r>
        <w:rPr>
          <w:color w:val="231F20"/>
          <w:spacing w:val="-12"/>
        </w:rPr>
        <w:t xml:space="preserve"> </w:t>
      </w:r>
      <w:r>
        <w:rPr>
          <w:color w:val="231F20"/>
        </w:rPr>
        <w:t>ефективного</w:t>
      </w:r>
      <w:r>
        <w:rPr>
          <w:color w:val="231F20"/>
          <w:spacing w:val="-12"/>
        </w:rPr>
        <w:t xml:space="preserve"> </w:t>
      </w:r>
      <w:r>
        <w:rPr>
          <w:color w:val="231F20"/>
        </w:rPr>
        <w:t>вирішення</w:t>
      </w:r>
      <w:r>
        <w:rPr>
          <w:color w:val="231F20"/>
          <w:spacing w:val="-12"/>
        </w:rPr>
        <w:t xml:space="preserve"> </w:t>
      </w:r>
      <w:r>
        <w:rPr>
          <w:color w:val="231F20"/>
        </w:rPr>
        <w:t>завдань</w:t>
      </w:r>
      <w:r>
        <w:rPr>
          <w:color w:val="231F20"/>
          <w:spacing w:val="-12"/>
        </w:rPr>
        <w:t xml:space="preserve"> </w:t>
      </w:r>
      <w:r>
        <w:rPr>
          <w:color w:val="231F20"/>
        </w:rPr>
        <w:t>професійної діяльності на державній службі. Ключовим моменто</w:t>
      </w:r>
      <w:r>
        <w:rPr>
          <w:color w:val="231F20"/>
        </w:rPr>
        <w:t>м проходження державної служби є просування по службі. Воно здійснюється</w:t>
      </w:r>
      <w:r>
        <w:rPr>
          <w:color w:val="231F20"/>
          <w:spacing w:val="-31"/>
        </w:rPr>
        <w:t xml:space="preserve"> </w:t>
      </w:r>
      <w:r>
        <w:rPr>
          <w:color w:val="231F20"/>
        </w:rPr>
        <w:t>через:</w:t>
      </w:r>
    </w:p>
    <w:p w14:paraId="3309F31E" w14:textId="64FC9E31" w:rsidR="00DE575E" w:rsidRDefault="002E7560">
      <w:pPr>
        <w:pStyle w:val="BodyText"/>
        <w:spacing w:before="5"/>
        <w:rPr>
          <w:sz w:val="24"/>
        </w:rPr>
      </w:pPr>
      <w:r>
        <w:rPr>
          <w:noProof/>
        </w:rPr>
        <mc:AlternateContent>
          <mc:Choice Requires="wps">
            <w:drawing>
              <wp:anchor distT="0" distB="0" distL="0" distR="0" simplePos="0" relativeHeight="14536" behindDoc="0" locked="0" layoutInCell="1" allowOverlap="1" wp14:anchorId="3EC113C8" wp14:editId="35504F3D">
                <wp:simplePos x="0" y="0"/>
                <wp:positionH relativeFrom="page">
                  <wp:posOffset>539750</wp:posOffset>
                </wp:positionH>
                <wp:positionV relativeFrom="paragraph">
                  <wp:posOffset>210185</wp:posOffset>
                </wp:positionV>
                <wp:extent cx="1080135" cy="0"/>
                <wp:effectExtent l="6350" t="6985" r="31115" b="31115"/>
                <wp:wrapTopAndBottom/>
                <wp:docPr id="47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C7418" id="Line_x0020_474" o:spid="_x0000_s1026" style="position:absolute;z-index:14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5pt" to="127.55pt,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" strokecolor="#231f20" strokeweight=".5pt">
                <w10:wrap type="topAndBottom" anchorx="page"/>
              </v:line>
            </w:pict>
          </mc:Fallback>
        </mc:AlternateContent>
      </w:r>
    </w:p>
    <w:p w14:paraId="1FC08DFB" w14:textId="77777777" w:rsidR="00DE575E" w:rsidRDefault="002E7560">
      <w:pPr>
        <w:spacing w:line="162" w:lineRule="exact"/>
        <w:ind w:left="250"/>
        <w:rPr>
          <w:sz w:val="16"/>
        </w:rPr>
      </w:pPr>
      <w:r>
        <w:rPr>
          <w:color w:val="231F20"/>
          <w:position w:val="5"/>
          <w:sz w:val="9"/>
        </w:rPr>
        <w:t xml:space="preserve">1 </w:t>
      </w:r>
      <w:r>
        <w:rPr>
          <w:color w:val="231F20"/>
          <w:sz w:val="16"/>
        </w:rPr>
        <w:t>Біла-Тіунова Л.Р. Службова кар’єра в Україні : монографія. Одеса : Фенікс, 2011. 540 с.</w:t>
      </w:r>
    </w:p>
    <w:p w14:paraId="3913A5FC" w14:textId="77777777" w:rsidR="00DE575E" w:rsidRDefault="00DE575E">
      <w:pPr>
        <w:pStyle w:val="BodyText"/>
        <w:spacing w:before="10"/>
        <w:rPr>
          <w:sz w:val="11"/>
        </w:rPr>
      </w:pPr>
    </w:p>
    <w:p w14:paraId="41D3792E" w14:textId="77777777" w:rsidR="00DE575E" w:rsidRDefault="002E7560">
      <w:pPr>
        <w:spacing w:before="92"/>
        <w:ind w:right="411"/>
        <w:jc w:val="right"/>
        <w:rPr>
          <w:rFonts w:ascii="Times New Roman"/>
          <w:sz w:val="20"/>
        </w:rPr>
      </w:pPr>
      <w:r>
        <w:rPr>
          <w:rFonts w:ascii="Times New Roman"/>
          <w:color w:val="231F20"/>
          <w:w w:val="90"/>
          <w:sz w:val="20"/>
        </w:rPr>
        <w:t>371</w:t>
      </w:r>
    </w:p>
    <w:p w14:paraId="68DCC23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814608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0C8B227" w14:textId="54F6361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020BBAC" wp14:editId="54CCEEE9">
                <wp:extent cx="4140200" cy="6350"/>
                <wp:effectExtent l="0" t="0" r="12700" b="6350"/>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74" name="Line 47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D65E09" id="Group_x0020_47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b7RAd/AgAAmAUAAA4A&#10;AAAAAAAAAAAAAAAALAIAAGRycy9lMm9Eb2MueG1sUEsBAi0AFAAGAAgAAAAhAEynsJDZAAAAAwEA&#10;AA8AAAAAAAAAAAAAAAAA1wQAAGRycy9kb3ducmV2LnhtbFBLBQYAAAAABAAEAPMAAADdBQAAAAA=&#10;">
                <v:line id="Line_x0020_47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efj8cAAADcAAAADwAAAGRycy9kb3ducmV2LnhtbESP3WrCQBSE7wXfYTmCN6Vu/KGV6CpS&#10;KJReaGv6AMfsMQnuno3Z1aR9elcoeDnMzDfMct1ZI67U+MqxgvEoAUGcO11xoeAne3+eg/ABWaNx&#10;TAp+ycN61e8tMdWu5W+67kMhIoR9igrKEOpUSp+XZNGPXE0cvaNrLIYom0LqBtsIt0ZOkuRFWqw4&#10;LpRY01tJ+Wl/sQqy81MwX7tP02a7w1Qeztvp32Wr1HDQbRYgAnXhEf5vf2gFs9cZ3M/EIy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15+PxwAAANwAAAAPAAAAAAAA&#10;AAAAAAAAAKECAABkcnMvZG93bnJldi54bWxQSwUGAAAAAAQABAD5AAAAlQMAAAAA&#10;" strokecolor="#231f20" strokeweight=".5pt"/>
                <w10:anchorlock/>
              </v:group>
            </w:pict>
          </mc:Fallback>
        </mc:AlternateContent>
      </w:r>
    </w:p>
    <w:p w14:paraId="6E674D2B" w14:textId="77777777" w:rsidR="00DE575E" w:rsidRDefault="00DE575E">
      <w:pPr>
        <w:pStyle w:val="BodyText"/>
        <w:spacing w:before="7"/>
        <w:rPr>
          <w:rFonts w:ascii="AdonisC"/>
          <w:i/>
          <w:sz w:val="11"/>
        </w:rPr>
      </w:pPr>
    </w:p>
    <w:p w14:paraId="0C086402" w14:textId="77777777" w:rsidR="00DE575E" w:rsidRDefault="002E7560">
      <w:pPr>
        <w:pStyle w:val="ListParagraph"/>
        <w:numPr>
          <w:ilvl w:val="0"/>
          <w:numId w:val="100"/>
        </w:numPr>
        <w:tabs>
          <w:tab w:val="left" w:pos="1101"/>
        </w:tabs>
        <w:spacing w:before="101"/>
        <w:ind w:hanging="283"/>
        <w:rPr>
          <w:sz w:val="21"/>
        </w:rPr>
      </w:pPr>
      <w:r>
        <w:rPr>
          <w:color w:val="231F20"/>
          <w:sz w:val="21"/>
        </w:rPr>
        <w:t>зайняття більш високої категорії посади державної</w:t>
      </w:r>
      <w:r>
        <w:rPr>
          <w:color w:val="231F20"/>
          <w:spacing w:val="-8"/>
          <w:sz w:val="21"/>
        </w:rPr>
        <w:t xml:space="preserve"> </w:t>
      </w:r>
      <w:r>
        <w:rPr>
          <w:color w:val="231F20"/>
          <w:sz w:val="21"/>
        </w:rPr>
        <w:t>служби;</w:t>
      </w:r>
    </w:p>
    <w:p w14:paraId="38F15E18" w14:textId="77777777" w:rsidR="00DE575E" w:rsidRDefault="002E7560">
      <w:pPr>
        <w:pStyle w:val="ListParagraph"/>
        <w:numPr>
          <w:ilvl w:val="0"/>
          <w:numId w:val="100"/>
        </w:numPr>
        <w:tabs>
          <w:tab w:val="left" w:pos="1101"/>
        </w:tabs>
        <w:spacing w:before="12"/>
        <w:ind w:hanging="283"/>
        <w:rPr>
          <w:sz w:val="21"/>
        </w:rPr>
      </w:pPr>
      <w:r>
        <w:rPr>
          <w:color w:val="231F20"/>
          <w:sz w:val="21"/>
        </w:rPr>
        <w:t>присвоєння державному службовцю більш високого</w:t>
      </w:r>
      <w:r>
        <w:rPr>
          <w:color w:val="231F20"/>
          <w:spacing w:val="-6"/>
          <w:sz w:val="21"/>
        </w:rPr>
        <w:t xml:space="preserve"> </w:t>
      </w:r>
      <w:r>
        <w:rPr>
          <w:color w:val="231F20"/>
          <w:spacing w:val="-4"/>
          <w:sz w:val="21"/>
        </w:rPr>
        <w:t>рангу.</w:t>
      </w:r>
    </w:p>
    <w:p w14:paraId="1EB38F7E" w14:textId="77777777" w:rsidR="00DE575E" w:rsidRDefault="002E7560">
      <w:pPr>
        <w:pStyle w:val="BodyText"/>
        <w:spacing w:before="13" w:line="252" w:lineRule="auto"/>
        <w:ind w:left="533" w:right="126" w:firstLine="283"/>
        <w:jc w:val="both"/>
      </w:pPr>
      <w:r>
        <w:rPr>
          <w:color w:val="231F20"/>
        </w:rPr>
        <w:t>Просування</w:t>
      </w:r>
      <w:r>
        <w:rPr>
          <w:color w:val="231F20"/>
          <w:spacing w:val="-14"/>
        </w:rPr>
        <w:t xml:space="preserve"> </w:t>
      </w:r>
      <w:r>
        <w:rPr>
          <w:color w:val="231F20"/>
        </w:rPr>
        <w:t>державного</w:t>
      </w:r>
      <w:r>
        <w:rPr>
          <w:color w:val="231F20"/>
          <w:spacing w:val="-14"/>
        </w:rPr>
        <w:t xml:space="preserve"> </w:t>
      </w:r>
      <w:r>
        <w:rPr>
          <w:color w:val="231F20"/>
        </w:rPr>
        <w:t>службовця</w:t>
      </w:r>
      <w:r>
        <w:rPr>
          <w:color w:val="231F20"/>
          <w:spacing w:val="-14"/>
        </w:rPr>
        <w:t xml:space="preserve"> </w:t>
      </w:r>
      <w:r>
        <w:rPr>
          <w:color w:val="231F20"/>
        </w:rPr>
        <w:t>по</w:t>
      </w:r>
      <w:r>
        <w:rPr>
          <w:color w:val="231F20"/>
          <w:spacing w:val="-14"/>
        </w:rPr>
        <w:t xml:space="preserve"> </w:t>
      </w:r>
      <w:r>
        <w:rPr>
          <w:color w:val="231F20"/>
        </w:rPr>
        <w:t>службі</w:t>
      </w:r>
      <w:r>
        <w:rPr>
          <w:color w:val="231F20"/>
          <w:spacing w:val="-14"/>
        </w:rPr>
        <w:t xml:space="preserve"> </w:t>
      </w:r>
      <w:r>
        <w:rPr>
          <w:color w:val="231F20"/>
        </w:rPr>
        <w:t>за</w:t>
      </w:r>
      <w:r>
        <w:rPr>
          <w:color w:val="231F20"/>
          <w:spacing w:val="-14"/>
        </w:rPr>
        <w:t xml:space="preserve"> </w:t>
      </w:r>
      <w:r>
        <w:rPr>
          <w:color w:val="231F20"/>
        </w:rPr>
        <w:t>категорією</w:t>
      </w:r>
      <w:r>
        <w:rPr>
          <w:color w:val="231F20"/>
          <w:spacing w:val="-14"/>
        </w:rPr>
        <w:t xml:space="preserve"> </w:t>
      </w:r>
      <w:r>
        <w:rPr>
          <w:color w:val="231F20"/>
        </w:rPr>
        <w:t xml:space="preserve">посад державної служби </w:t>
      </w:r>
      <w:r>
        <w:rPr>
          <w:color w:val="231F20"/>
        </w:rPr>
        <w:t>можливе за таких умов: наявності вакантної державної посади; наявності необхідної професійної освіти, спеціа- лізації, досвіду роботи, знання Конституції та законодавства; наяв- ності необхідного стажу державної служби; проходження конкурсу тощо.</w:t>
      </w:r>
    </w:p>
    <w:p w14:paraId="6994A744" w14:textId="77777777" w:rsidR="00DE575E" w:rsidRDefault="002E7560">
      <w:pPr>
        <w:pStyle w:val="BodyText"/>
        <w:spacing w:before="3" w:line="252" w:lineRule="auto"/>
        <w:ind w:left="533" w:right="126" w:firstLine="283"/>
        <w:jc w:val="both"/>
      </w:pPr>
      <w:r>
        <w:rPr>
          <w:color w:val="231F20"/>
        </w:rPr>
        <w:t>Просуванн</w:t>
      </w:r>
      <w:r>
        <w:rPr>
          <w:color w:val="231F20"/>
        </w:rPr>
        <w:t>я</w:t>
      </w:r>
      <w:r>
        <w:rPr>
          <w:color w:val="231F20"/>
          <w:spacing w:val="-12"/>
        </w:rPr>
        <w:t xml:space="preserve"> </w:t>
      </w:r>
      <w:r>
        <w:rPr>
          <w:color w:val="231F20"/>
        </w:rPr>
        <w:t>державного</w:t>
      </w:r>
      <w:r>
        <w:rPr>
          <w:color w:val="231F20"/>
          <w:spacing w:val="-11"/>
        </w:rPr>
        <w:t xml:space="preserve"> </w:t>
      </w:r>
      <w:r>
        <w:rPr>
          <w:color w:val="231F20"/>
        </w:rPr>
        <w:t>службовця</w:t>
      </w:r>
      <w:r>
        <w:rPr>
          <w:color w:val="231F20"/>
          <w:spacing w:val="-11"/>
        </w:rPr>
        <w:t xml:space="preserve"> </w:t>
      </w:r>
      <w:r>
        <w:rPr>
          <w:color w:val="231F20"/>
        </w:rPr>
        <w:t>по</w:t>
      </w:r>
      <w:r>
        <w:rPr>
          <w:color w:val="231F20"/>
          <w:spacing w:val="-11"/>
        </w:rPr>
        <w:t xml:space="preserve"> </w:t>
      </w:r>
      <w:r>
        <w:rPr>
          <w:color w:val="231F20"/>
        </w:rPr>
        <w:t>службі</w:t>
      </w:r>
      <w:r>
        <w:rPr>
          <w:color w:val="231F20"/>
          <w:spacing w:val="-11"/>
        </w:rPr>
        <w:t xml:space="preserve"> </w:t>
      </w:r>
      <w:r>
        <w:rPr>
          <w:color w:val="231F20"/>
        </w:rPr>
        <w:t>за</w:t>
      </w:r>
      <w:r>
        <w:rPr>
          <w:color w:val="231F20"/>
          <w:spacing w:val="-11"/>
        </w:rPr>
        <w:t xml:space="preserve"> </w:t>
      </w:r>
      <w:r>
        <w:rPr>
          <w:color w:val="231F20"/>
        </w:rPr>
        <w:t>рангами</w:t>
      </w:r>
      <w:r>
        <w:rPr>
          <w:color w:val="231F20"/>
          <w:spacing w:val="-12"/>
        </w:rPr>
        <w:t xml:space="preserve"> </w:t>
      </w:r>
      <w:r>
        <w:rPr>
          <w:color w:val="231F20"/>
        </w:rPr>
        <w:t>відбува- ється за умови успішного виконання своїх службових обов’язків та наявності відповідного</w:t>
      </w:r>
      <w:r>
        <w:rPr>
          <w:color w:val="231F20"/>
          <w:spacing w:val="-1"/>
        </w:rPr>
        <w:t xml:space="preserve"> </w:t>
      </w:r>
      <w:r>
        <w:rPr>
          <w:color w:val="231F20"/>
          <w:spacing w:val="-3"/>
        </w:rPr>
        <w:t>стажу.</w:t>
      </w:r>
    </w:p>
    <w:p w14:paraId="06E1DB62" w14:textId="77777777" w:rsidR="00DE575E" w:rsidRDefault="002E7560">
      <w:pPr>
        <w:pStyle w:val="BodyText"/>
        <w:spacing w:before="2" w:line="252" w:lineRule="auto"/>
        <w:ind w:left="533" w:right="128" w:firstLine="283"/>
        <w:jc w:val="both"/>
      </w:pPr>
      <w:r>
        <w:rPr>
          <w:color w:val="231F20"/>
          <w:spacing w:val="-4"/>
        </w:rPr>
        <w:t xml:space="preserve">Щодо </w:t>
      </w:r>
      <w:r>
        <w:rPr>
          <w:color w:val="231F20"/>
          <w:spacing w:val="-3"/>
        </w:rPr>
        <w:t xml:space="preserve">державних службовців спеціалізованої служби, </w:t>
      </w:r>
      <w:r>
        <w:rPr>
          <w:color w:val="231F20"/>
        </w:rPr>
        <w:t xml:space="preserve">то їм </w:t>
      </w:r>
      <w:r>
        <w:rPr>
          <w:color w:val="231F20"/>
          <w:spacing w:val="-3"/>
        </w:rPr>
        <w:t xml:space="preserve">присво- юються встановлені відповідно </w:t>
      </w:r>
      <w:r>
        <w:rPr>
          <w:color w:val="231F20"/>
        </w:rPr>
        <w:t xml:space="preserve">до </w:t>
      </w:r>
      <w:r>
        <w:rPr>
          <w:color w:val="231F20"/>
          <w:spacing w:val="-3"/>
        </w:rPr>
        <w:t xml:space="preserve">закону військові звання, </w:t>
      </w:r>
      <w:r>
        <w:rPr>
          <w:color w:val="231F20"/>
        </w:rPr>
        <w:t xml:space="preserve">а </w:t>
      </w:r>
      <w:r>
        <w:rPr>
          <w:color w:val="231F20"/>
          <w:spacing w:val="-3"/>
        </w:rPr>
        <w:t xml:space="preserve">особам, </w:t>
      </w:r>
      <w:r>
        <w:rPr>
          <w:color w:val="231F20"/>
        </w:rPr>
        <w:t xml:space="preserve">що </w:t>
      </w:r>
      <w:r>
        <w:rPr>
          <w:color w:val="231F20"/>
          <w:spacing w:val="-4"/>
        </w:rPr>
        <w:t xml:space="preserve">проходять </w:t>
      </w:r>
      <w:r>
        <w:rPr>
          <w:color w:val="231F20"/>
          <w:spacing w:val="-3"/>
        </w:rPr>
        <w:t xml:space="preserve">іншу мілітаризовану </w:t>
      </w:r>
      <w:r>
        <w:rPr>
          <w:color w:val="231F20"/>
        </w:rPr>
        <w:t xml:space="preserve">або </w:t>
      </w:r>
      <w:r>
        <w:rPr>
          <w:color w:val="231F20"/>
          <w:spacing w:val="-3"/>
        </w:rPr>
        <w:t xml:space="preserve">цивільну державну </w:t>
      </w:r>
      <w:r>
        <w:rPr>
          <w:color w:val="231F20"/>
          <w:spacing w:val="-5"/>
        </w:rPr>
        <w:t xml:space="preserve">службу, </w:t>
      </w:r>
      <w:r>
        <w:rPr>
          <w:color w:val="231F20"/>
        </w:rPr>
        <w:t xml:space="preserve">– </w:t>
      </w:r>
      <w:r>
        <w:rPr>
          <w:color w:val="231F20"/>
          <w:spacing w:val="-3"/>
        </w:rPr>
        <w:t xml:space="preserve">спеціальні звання. </w:t>
      </w:r>
      <w:r>
        <w:rPr>
          <w:color w:val="231F20"/>
        </w:rPr>
        <w:t xml:space="preserve">Для </w:t>
      </w:r>
      <w:r>
        <w:rPr>
          <w:color w:val="231F20"/>
          <w:spacing w:val="-3"/>
        </w:rPr>
        <w:t xml:space="preserve">мілітаризованої державної служби спеці- альними званнями </w:t>
      </w:r>
      <w:r>
        <w:rPr>
          <w:color w:val="231F20"/>
        </w:rPr>
        <w:t xml:space="preserve">є </w:t>
      </w:r>
      <w:r>
        <w:rPr>
          <w:color w:val="231F20"/>
          <w:spacing w:val="-3"/>
        </w:rPr>
        <w:t xml:space="preserve">звання </w:t>
      </w:r>
      <w:r>
        <w:rPr>
          <w:color w:val="231F20"/>
        </w:rPr>
        <w:t xml:space="preserve">осіб </w:t>
      </w:r>
      <w:r>
        <w:rPr>
          <w:color w:val="231F20"/>
          <w:spacing w:val="-3"/>
        </w:rPr>
        <w:t xml:space="preserve">рядового </w:t>
      </w:r>
      <w:r>
        <w:rPr>
          <w:color w:val="231F20"/>
        </w:rPr>
        <w:t xml:space="preserve">і </w:t>
      </w:r>
      <w:r>
        <w:rPr>
          <w:color w:val="231F20"/>
          <w:spacing w:val="-4"/>
        </w:rPr>
        <w:t xml:space="preserve">начальницького </w:t>
      </w:r>
      <w:r>
        <w:rPr>
          <w:color w:val="231F20"/>
          <w:spacing w:val="-3"/>
        </w:rPr>
        <w:t xml:space="preserve">складу Служби цивільного </w:t>
      </w:r>
      <w:r>
        <w:rPr>
          <w:color w:val="231F20"/>
          <w:spacing w:val="-5"/>
        </w:rPr>
        <w:t xml:space="preserve">захисту, </w:t>
      </w:r>
      <w:r>
        <w:rPr>
          <w:color w:val="231F20"/>
          <w:spacing w:val="-3"/>
        </w:rPr>
        <w:t>На</w:t>
      </w:r>
      <w:r>
        <w:rPr>
          <w:color w:val="231F20"/>
          <w:spacing w:val="-3"/>
        </w:rPr>
        <w:t xml:space="preserve">ціональної поліції, </w:t>
      </w:r>
      <w:r>
        <w:rPr>
          <w:color w:val="231F20"/>
          <w:spacing w:val="-9"/>
        </w:rPr>
        <w:t xml:space="preserve">НАБУ, </w:t>
      </w:r>
      <w:r>
        <w:rPr>
          <w:color w:val="231F20"/>
        </w:rPr>
        <w:t xml:space="preserve">ДБР та </w:t>
      </w:r>
      <w:r>
        <w:rPr>
          <w:color w:val="231F20"/>
          <w:spacing w:val="-3"/>
        </w:rPr>
        <w:t xml:space="preserve">деяких інших державних органів </w:t>
      </w:r>
      <w:r>
        <w:rPr>
          <w:color w:val="231F20"/>
        </w:rPr>
        <w:t xml:space="preserve">– </w:t>
      </w:r>
      <w:r>
        <w:rPr>
          <w:color w:val="231F20"/>
          <w:spacing w:val="-3"/>
        </w:rPr>
        <w:t xml:space="preserve">згідно </w:t>
      </w:r>
      <w:r>
        <w:rPr>
          <w:color w:val="231F20"/>
        </w:rPr>
        <w:t xml:space="preserve">зі </w:t>
      </w:r>
      <w:r>
        <w:rPr>
          <w:color w:val="231F20"/>
          <w:spacing w:val="-3"/>
        </w:rPr>
        <w:t xml:space="preserve">спеціальними </w:t>
      </w:r>
      <w:r>
        <w:rPr>
          <w:color w:val="231F20"/>
          <w:spacing w:val="-4"/>
        </w:rPr>
        <w:t>законами.</w:t>
      </w:r>
    </w:p>
    <w:p w14:paraId="21AA05DC" w14:textId="77777777" w:rsidR="00DE575E" w:rsidRDefault="002E7560">
      <w:pPr>
        <w:spacing w:before="3" w:line="252" w:lineRule="auto"/>
        <w:ind w:left="533" w:right="127" w:firstLine="283"/>
        <w:jc w:val="both"/>
        <w:rPr>
          <w:sz w:val="21"/>
        </w:rPr>
      </w:pPr>
      <w:r>
        <w:rPr>
          <w:i/>
          <w:color w:val="231F20"/>
          <w:sz w:val="21"/>
        </w:rPr>
        <w:t>Державному</w:t>
      </w:r>
      <w:r>
        <w:rPr>
          <w:i/>
          <w:color w:val="231F20"/>
          <w:spacing w:val="-23"/>
          <w:sz w:val="21"/>
        </w:rPr>
        <w:t xml:space="preserve"> </w:t>
      </w:r>
      <w:r>
        <w:rPr>
          <w:i/>
          <w:color w:val="231F20"/>
          <w:sz w:val="21"/>
        </w:rPr>
        <w:t>службовцю,</w:t>
      </w:r>
      <w:r>
        <w:rPr>
          <w:i/>
          <w:color w:val="231F20"/>
          <w:spacing w:val="-23"/>
          <w:sz w:val="21"/>
        </w:rPr>
        <w:t xml:space="preserve"> </w:t>
      </w:r>
      <w:r>
        <w:rPr>
          <w:i/>
          <w:color w:val="231F20"/>
          <w:sz w:val="21"/>
        </w:rPr>
        <w:t>який</w:t>
      </w:r>
      <w:r>
        <w:rPr>
          <w:i/>
          <w:color w:val="231F20"/>
          <w:spacing w:val="-23"/>
          <w:sz w:val="21"/>
        </w:rPr>
        <w:t xml:space="preserve"> </w:t>
      </w:r>
      <w:r>
        <w:rPr>
          <w:i/>
          <w:color w:val="231F20"/>
          <w:sz w:val="21"/>
        </w:rPr>
        <w:t>призначається</w:t>
      </w:r>
      <w:r>
        <w:rPr>
          <w:i/>
          <w:color w:val="231F20"/>
          <w:spacing w:val="-23"/>
          <w:sz w:val="21"/>
        </w:rPr>
        <w:t xml:space="preserve"> </w:t>
      </w:r>
      <w:r>
        <w:rPr>
          <w:i/>
          <w:color w:val="231F20"/>
          <w:sz w:val="21"/>
        </w:rPr>
        <w:t>на</w:t>
      </w:r>
      <w:r>
        <w:rPr>
          <w:i/>
          <w:color w:val="231F20"/>
          <w:spacing w:val="-23"/>
          <w:sz w:val="21"/>
        </w:rPr>
        <w:t xml:space="preserve"> </w:t>
      </w:r>
      <w:r>
        <w:rPr>
          <w:i/>
          <w:color w:val="231F20"/>
          <w:sz w:val="21"/>
        </w:rPr>
        <w:t>посаду</w:t>
      </w:r>
      <w:r>
        <w:rPr>
          <w:i/>
          <w:color w:val="231F20"/>
          <w:spacing w:val="-23"/>
          <w:sz w:val="21"/>
        </w:rPr>
        <w:t xml:space="preserve"> </w:t>
      </w:r>
      <w:r>
        <w:rPr>
          <w:i/>
          <w:color w:val="231F20"/>
          <w:sz w:val="21"/>
        </w:rPr>
        <w:t>більш</w:t>
      </w:r>
      <w:r>
        <w:rPr>
          <w:i/>
          <w:color w:val="231F20"/>
          <w:spacing w:val="-23"/>
          <w:sz w:val="21"/>
        </w:rPr>
        <w:t xml:space="preserve"> </w:t>
      </w:r>
      <w:r>
        <w:rPr>
          <w:i/>
          <w:color w:val="231F20"/>
          <w:sz w:val="21"/>
        </w:rPr>
        <w:t xml:space="preserve">висо- кої категорії </w:t>
      </w:r>
      <w:r>
        <w:rPr>
          <w:color w:val="231F20"/>
          <w:sz w:val="21"/>
        </w:rPr>
        <w:t xml:space="preserve">і має ранг у межах такої категорії, може бути </w:t>
      </w:r>
      <w:r>
        <w:rPr>
          <w:i/>
          <w:color w:val="231F20"/>
          <w:sz w:val="21"/>
        </w:rPr>
        <w:t>залишено попередній</w:t>
      </w:r>
      <w:r>
        <w:rPr>
          <w:i/>
          <w:color w:val="231F20"/>
          <w:spacing w:val="-14"/>
          <w:sz w:val="21"/>
        </w:rPr>
        <w:t xml:space="preserve"> </w:t>
      </w:r>
      <w:r>
        <w:rPr>
          <w:i/>
          <w:color w:val="231F20"/>
          <w:sz w:val="21"/>
        </w:rPr>
        <w:t>або</w:t>
      </w:r>
      <w:r>
        <w:rPr>
          <w:i/>
          <w:color w:val="231F20"/>
          <w:spacing w:val="-14"/>
          <w:sz w:val="21"/>
        </w:rPr>
        <w:t xml:space="preserve"> </w:t>
      </w:r>
      <w:r>
        <w:rPr>
          <w:i/>
          <w:color w:val="231F20"/>
          <w:sz w:val="21"/>
        </w:rPr>
        <w:t>присвоєно</w:t>
      </w:r>
      <w:r>
        <w:rPr>
          <w:i/>
          <w:color w:val="231F20"/>
          <w:spacing w:val="-14"/>
          <w:sz w:val="21"/>
        </w:rPr>
        <w:t xml:space="preserve"> </w:t>
      </w:r>
      <w:r>
        <w:rPr>
          <w:i/>
          <w:color w:val="231F20"/>
          <w:sz w:val="21"/>
        </w:rPr>
        <w:t>черговий</w:t>
      </w:r>
      <w:r>
        <w:rPr>
          <w:i/>
          <w:color w:val="231F20"/>
          <w:spacing w:val="-14"/>
          <w:sz w:val="21"/>
        </w:rPr>
        <w:t xml:space="preserve"> </w:t>
      </w:r>
      <w:r>
        <w:rPr>
          <w:i/>
          <w:color w:val="231F20"/>
          <w:sz w:val="21"/>
        </w:rPr>
        <w:t>ранг</w:t>
      </w:r>
      <w:r>
        <w:rPr>
          <w:i/>
          <w:color w:val="231F20"/>
          <w:spacing w:val="-14"/>
          <w:sz w:val="21"/>
        </w:rPr>
        <w:t xml:space="preserve"> </w:t>
      </w:r>
      <w:r>
        <w:rPr>
          <w:i/>
          <w:color w:val="231F20"/>
          <w:sz w:val="21"/>
        </w:rPr>
        <w:t>в</w:t>
      </w:r>
      <w:r>
        <w:rPr>
          <w:i/>
          <w:color w:val="231F20"/>
          <w:spacing w:val="-14"/>
          <w:sz w:val="21"/>
        </w:rPr>
        <w:t xml:space="preserve"> </w:t>
      </w:r>
      <w:r>
        <w:rPr>
          <w:i/>
          <w:color w:val="231F20"/>
          <w:sz w:val="21"/>
        </w:rPr>
        <w:t>межах</w:t>
      </w:r>
      <w:r>
        <w:rPr>
          <w:i/>
          <w:color w:val="231F20"/>
          <w:spacing w:val="-14"/>
          <w:sz w:val="21"/>
        </w:rPr>
        <w:t xml:space="preserve"> </w:t>
      </w:r>
      <w:r>
        <w:rPr>
          <w:i/>
          <w:color w:val="231F20"/>
          <w:sz w:val="21"/>
        </w:rPr>
        <w:t>відповідної</w:t>
      </w:r>
      <w:r>
        <w:rPr>
          <w:i/>
          <w:color w:val="231F20"/>
          <w:spacing w:val="-14"/>
          <w:sz w:val="21"/>
        </w:rPr>
        <w:t xml:space="preserve"> </w:t>
      </w:r>
      <w:r>
        <w:rPr>
          <w:i/>
          <w:color w:val="231F20"/>
          <w:sz w:val="21"/>
        </w:rPr>
        <w:t>категорії посад</w:t>
      </w:r>
      <w:r>
        <w:rPr>
          <w:color w:val="231F20"/>
          <w:sz w:val="21"/>
        </w:rPr>
        <w:t xml:space="preserve">. При цьому черговий ранг може бути присвоєно лише в разі, коли попередній ранг присвоєно державному службовцю більше ніж рік тому з урахуванням </w:t>
      </w:r>
      <w:r>
        <w:rPr>
          <w:color w:val="231F20"/>
          <w:spacing w:val="-3"/>
          <w:sz w:val="21"/>
        </w:rPr>
        <w:t xml:space="preserve">результатів </w:t>
      </w:r>
      <w:r>
        <w:rPr>
          <w:color w:val="231F20"/>
          <w:sz w:val="21"/>
        </w:rPr>
        <w:t>оцінювання його службо- вої діяльності. У разі зал</w:t>
      </w:r>
      <w:r>
        <w:rPr>
          <w:color w:val="231F20"/>
          <w:sz w:val="21"/>
        </w:rPr>
        <w:t>ишення попереднього рангу черговий ранг присвоюється державним службовцям з урахуванням часу присво- єння попереднього</w:t>
      </w:r>
      <w:r>
        <w:rPr>
          <w:color w:val="231F20"/>
          <w:spacing w:val="-1"/>
          <w:sz w:val="21"/>
        </w:rPr>
        <w:t xml:space="preserve"> </w:t>
      </w:r>
      <w:r>
        <w:rPr>
          <w:color w:val="231F20"/>
          <w:spacing w:val="-4"/>
          <w:sz w:val="21"/>
        </w:rPr>
        <w:t>рангу.</w:t>
      </w:r>
    </w:p>
    <w:p w14:paraId="12AF98CC" w14:textId="77777777" w:rsidR="00DE575E" w:rsidRDefault="002E7560">
      <w:pPr>
        <w:pStyle w:val="BodyText"/>
        <w:spacing w:before="5" w:line="252" w:lineRule="auto"/>
        <w:ind w:left="533" w:right="128" w:firstLine="283"/>
        <w:jc w:val="both"/>
      </w:pPr>
      <w:r>
        <w:rPr>
          <w:i/>
          <w:color w:val="231F20"/>
          <w:spacing w:val="-4"/>
        </w:rPr>
        <w:t xml:space="preserve">Державному </w:t>
      </w:r>
      <w:r>
        <w:rPr>
          <w:i/>
          <w:color w:val="231F20"/>
          <w:spacing w:val="-3"/>
        </w:rPr>
        <w:t xml:space="preserve">службовцю, який був звільнений </w:t>
      </w:r>
      <w:r>
        <w:rPr>
          <w:i/>
          <w:color w:val="231F20"/>
        </w:rPr>
        <w:t xml:space="preserve">з </w:t>
      </w:r>
      <w:r>
        <w:rPr>
          <w:i/>
          <w:color w:val="231F20"/>
          <w:spacing w:val="-4"/>
        </w:rPr>
        <w:t xml:space="preserve">державної служби </w:t>
      </w:r>
      <w:r>
        <w:rPr>
          <w:i/>
          <w:color w:val="231F20"/>
        </w:rPr>
        <w:t xml:space="preserve">та </w:t>
      </w:r>
      <w:r>
        <w:rPr>
          <w:i/>
          <w:color w:val="231F20"/>
          <w:spacing w:val="-3"/>
        </w:rPr>
        <w:t xml:space="preserve">повернувся </w:t>
      </w:r>
      <w:r>
        <w:rPr>
          <w:i/>
          <w:color w:val="231F20"/>
        </w:rPr>
        <w:t xml:space="preserve">на </w:t>
      </w:r>
      <w:r>
        <w:rPr>
          <w:i/>
          <w:color w:val="231F20"/>
          <w:spacing w:val="-4"/>
        </w:rPr>
        <w:t xml:space="preserve">державну </w:t>
      </w:r>
      <w:r>
        <w:rPr>
          <w:i/>
          <w:color w:val="231F20"/>
          <w:spacing w:val="-3"/>
        </w:rPr>
        <w:t>службу</w:t>
      </w:r>
      <w:r>
        <w:rPr>
          <w:color w:val="231F20"/>
          <w:spacing w:val="-3"/>
        </w:rPr>
        <w:t xml:space="preserve">, черговий </w:t>
      </w:r>
      <w:r>
        <w:rPr>
          <w:color w:val="231F20"/>
        </w:rPr>
        <w:t xml:space="preserve">ранг має бути </w:t>
      </w:r>
      <w:r>
        <w:rPr>
          <w:color w:val="231F20"/>
          <w:spacing w:val="-3"/>
        </w:rPr>
        <w:t xml:space="preserve">присво- </w:t>
      </w:r>
      <w:r>
        <w:rPr>
          <w:color w:val="231F20"/>
        </w:rPr>
        <w:t xml:space="preserve">єно </w:t>
      </w:r>
      <w:r>
        <w:rPr>
          <w:color w:val="231F20"/>
        </w:rPr>
        <w:t xml:space="preserve">через три </w:t>
      </w:r>
      <w:r>
        <w:rPr>
          <w:color w:val="231F20"/>
          <w:spacing w:val="-3"/>
        </w:rPr>
        <w:t xml:space="preserve">роки </w:t>
      </w:r>
      <w:r>
        <w:rPr>
          <w:color w:val="231F20"/>
        </w:rPr>
        <w:t xml:space="preserve">з дня </w:t>
      </w:r>
      <w:r>
        <w:rPr>
          <w:color w:val="231F20"/>
          <w:spacing w:val="-3"/>
        </w:rPr>
        <w:t xml:space="preserve">поновлення </w:t>
      </w:r>
      <w:r>
        <w:rPr>
          <w:color w:val="231F20"/>
        </w:rPr>
        <w:t xml:space="preserve">на </w:t>
      </w:r>
      <w:r>
        <w:rPr>
          <w:color w:val="231F20"/>
          <w:spacing w:val="-3"/>
        </w:rPr>
        <w:t xml:space="preserve">посаді державної служби. </w:t>
      </w:r>
      <w:r>
        <w:rPr>
          <w:color w:val="231F20"/>
          <w:spacing w:val="-4"/>
        </w:rPr>
        <w:t>Період</w:t>
      </w:r>
      <w:r>
        <w:rPr>
          <w:color w:val="231F20"/>
          <w:spacing w:val="-10"/>
        </w:rPr>
        <w:t xml:space="preserve"> </w:t>
      </w:r>
      <w:r>
        <w:rPr>
          <w:color w:val="231F20"/>
          <w:spacing w:val="-3"/>
        </w:rPr>
        <w:t>перебування</w:t>
      </w:r>
      <w:r>
        <w:rPr>
          <w:color w:val="231F20"/>
          <w:spacing w:val="-10"/>
        </w:rPr>
        <w:t xml:space="preserve"> </w:t>
      </w:r>
      <w:r>
        <w:rPr>
          <w:color w:val="231F20"/>
          <w:spacing w:val="-3"/>
        </w:rPr>
        <w:t>державного</w:t>
      </w:r>
      <w:r>
        <w:rPr>
          <w:color w:val="231F20"/>
          <w:spacing w:val="-10"/>
        </w:rPr>
        <w:t xml:space="preserve"> </w:t>
      </w:r>
      <w:r>
        <w:rPr>
          <w:color w:val="231F20"/>
          <w:spacing w:val="-3"/>
        </w:rPr>
        <w:t>службовця</w:t>
      </w:r>
      <w:r>
        <w:rPr>
          <w:color w:val="231F20"/>
          <w:spacing w:val="-10"/>
        </w:rPr>
        <w:t xml:space="preserve"> </w:t>
      </w:r>
      <w:r>
        <w:rPr>
          <w:color w:val="231F20"/>
        </w:rPr>
        <w:t>у</w:t>
      </w:r>
      <w:r>
        <w:rPr>
          <w:color w:val="231F20"/>
          <w:spacing w:val="-11"/>
        </w:rPr>
        <w:t xml:space="preserve"> </w:t>
      </w:r>
      <w:r>
        <w:rPr>
          <w:color w:val="231F20"/>
          <w:spacing w:val="-4"/>
        </w:rPr>
        <w:t>відпустці</w:t>
      </w:r>
      <w:r>
        <w:rPr>
          <w:color w:val="231F20"/>
          <w:spacing w:val="-10"/>
        </w:rPr>
        <w:t xml:space="preserve"> </w:t>
      </w:r>
      <w:r>
        <w:rPr>
          <w:color w:val="231F20"/>
        </w:rPr>
        <w:t>для</w:t>
      </w:r>
      <w:r>
        <w:rPr>
          <w:color w:val="231F20"/>
          <w:spacing w:val="-10"/>
        </w:rPr>
        <w:t xml:space="preserve"> </w:t>
      </w:r>
      <w:r>
        <w:rPr>
          <w:color w:val="231F20"/>
          <w:spacing w:val="-4"/>
        </w:rPr>
        <w:t>догляду</w:t>
      </w:r>
      <w:r>
        <w:rPr>
          <w:color w:val="231F20"/>
          <w:spacing w:val="-10"/>
        </w:rPr>
        <w:t xml:space="preserve"> </w:t>
      </w:r>
      <w:r>
        <w:rPr>
          <w:color w:val="231F20"/>
          <w:spacing w:val="-3"/>
        </w:rPr>
        <w:t xml:space="preserve">за дитиною </w:t>
      </w:r>
      <w:r>
        <w:rPr>
          <w:color w:val="231F20"/>
        </w:rPr>
        <w:t xml:space="preserve">до </w:t>
      </w:r>
      <w:r>
        <w:rPr>
          <w:color w:val="231F20"/>
          <w:spacing w:val="-3"/>
        </w:rPr>
        <w:t xml:space="preserve">досягнення </w:t>
      </w:r>
      <w:r>
        <w:rPr>
          <w:color w:val="231F20"/>
        </w:rPr>
        <w:t xml:space="preserve">нею </w:t>
      </w:r>
      <w:r>
        <w:rPr>
          <w:color w:val="231F20"/>
          <w:spacing w:val="-3"/>
        </w:rPr>
        <w:t xml:space="preserve">трирічного віку </w:t>
      </w:r>
      <w:r>
        <w:rPr>
          <w:color w:val="231F20"/>
        </w:rPr>
        <w:t xml:space="preserve">та у </w:t>
      </w:r>
      <w:r>
        <w:rPr>
          <w:color w:val="231F20"/>
          <w:spacing w:val="-4"/>
        </w:rPr>
        <w:t xml:space="preserve">відпустці </w:t>
      </w:r>
      <w:r>
        <w:rPr>
          <w:color w:val="231F20"/>
        </w:rPr>
        <w:t xml:space="preserve">без </w:t>
      </w:r>
      <w:r>
        <w:rPr>
          <w:color w:val="231F20"/>
          <w:spacing w:val="-3"/>
        </w:rPr>
        <w:t xml:space="preserve">збере- ження заробітної плати </w:t>
      </w:r>
      <w:r>
        <w:rPr>
          <w:color w:val="231F20"/>
        </w:rPr>
        <w:t xml:space="preserve">для </w:t>
      </w:r>
      <w:r>
        <w:rPr>
          <w:color w:val="231F20"/>
          <w:spacing w:val="-4"/>
        </w:rPr>
        <w:t xml:space="preserve">догляду </w:t>
      </w:r>
      <w:r>
        <w:rPr>
          <w:color w:val="231F20"/>
        </w:rPr>
        <w:t xml:space="preserve">за </w:t>
      </w:r>
      <w:r>
        <w:rPr>
          <w:color w:val="231F20"/>
          <w:spacing w:val="-3"/>
        </w:rPr>
        <w:t xml:space="preserve">дитиною </w:t>
      </w:r>
      <w:r>
        <w:rPr>
          <w:color w:val="231F20"/>
        </w:rPr>
        <w:t xml:space="preserve">до </w:t>
      </w:r>
      <w:r>
        <w:rPr>
          <w:color w:val="231F20"/>
          <w:spacing w:val="-3"/>
        </w:rPr>
        <w:t xml:space="preserve">досягнення нею шестирічного віку </w:t>
      </w:r>
      <w:r>
        <w:rPr>
          <w:color w:val="231F20"/>
        </w:rPr>
        <w:t xml:space="preserve">не </w:t>
      </w:r>
      <w:r>
        <w:rPr>
          <w:color w:val="231F20"/>
          <w:spacing w:val="-4"/>
        </w:rPr>
        <w:t xml:space="preserve">зараховується </w:t>
      </w:r>
      <w:r>
        <w:rPr>
          <w:color w:val="231F20"/>
        </w:rPr>
        <w:t xml:space="preserve">до </w:t>
      </w:r>
      <w:r>
        <w:rPr>
          <w:color w:val="231F20"/>
          <w:spacing w:val="-3"/>
        </w:rPr>
        <w:t xml:space="preserve">стажу роботи </w:t>
      </w:r>
      <w:r>
        <w:rPr>
          <w:color w:val="231F20"/>
        </w:rPr>
        <w:t xml:space="preserve">для </w:t>
      </w:r>
      <w:r>
        <w:rPr>
          <w:color w:val="231F20"/>
          <w:spacing w:val="-3"/>
        </w:rPr>
        <w:t>присвоєння чергового</w:t>
      </w:r>
      <w:r>
        <w:rPr>
          <w:color w:val="231F20"/>
          <w:spacing w:val="-9"/>
        </w:rPr>
        <w:t xml:space="preserve"> </w:t>
      </w:r>
      <w:r>
        <w:rPr>
          <w:color w:val="231F20"/>
          <w:spacing w:val="-6"/>
        </w:rPr>
        <w:t>рангу.</w:t>
      </w:r>
      <w:r>
        <w:rPr>
          <w:color w:val="231F20"/>
          <w:spacing w:val="-9"/>
        </w:rPr>
        <w:t xml:space="preserve"> </w:t>
      </w:r>
      <w:r>
        <w:rPr>
          <w:color w:val="231F20"/>
        </w:rPr>
        <w:t>У</w:t>
      </w:r>
      <w:r>
        <w:rPr>
          <w:color w:val="231F20"/>
          <w:spacing w:val="-9"/>
        </w:rPr>
        <w:t xml:space="preserve"> </w:t>
      </w:r>
      <w:r>
        <w:rPr>
          <w:color w:val="231F20"/>
          <w:spacing w:val="-3"/>
        </w:rPr>
        <w:t>такому</w:t>
      </w:r>
      <w:r>
        <w:rPr>
          <w:color w:val="231F20"/>
          <w:spacing w:val="-9"/>
        </w:rPr>
        <w:t xml:space="preserve"> </w:t>
      </w:r>
      <w:r>
        <w:rPr>
          <w:color w:val="231F20"/>
        </w:rPr>
        <w:t>разі</w:t>
      </w:r>
      <w:r>
        <w:rPr>
          <w:color w:val="231F20"/>
          <w:spacing w:val="-9"/>
        </w:rPr>
        <w:t xml:space="preserve"> </w:t>
      </w:r>
      <w:r>
        <w:rPr>
          <w:color w:val="231F20"/>
          <w:spacing w:val="-3"/>
        </w:rPr>
        <w:t>стаж</w:t>
      </w:r>
      <w:r>
        <w:rPr>
          <w:color w:val="231F20"/>
          <w:spacing w:val="-9"/>
        </w:rPr>
        <w:t xml:space="preserve"> </w:t>
      </w:r>
      <w:r>
        <w:rPr>
          <w:color w:val="231F20"/>
          <w:spacing w:val="-3"/>
        </w:rPr>
        <w:t>роботи</w:t>
      </w:r>
      <w:r>
        <w:rPr>
          <w:color w:val="231F20"/>
          <w:spacing w:val="-9"/>
        </w:rPr>
        <w:t xml:space="preserve"> </w:t>
      </w:r>
      <w:r>
        <w:rPr>
          <w:color w:val="231F20"/>
        </w:rPr>
        <w:t>для</w:t>
      </w:r>
      <w:r>
        <w:rPr>
          <w:color w:val="231F20"/>
          <w:spacing w:val="-9"/>
        </w:rPr>
        <w:t xml:space="preserve"> </w:t>
      </w:r>
      <w:r>
        <w:rPr>
          <w:color w:val="231F20"/>
          <w:spacing w:val="-3"/>
        </w:rPr>
        <w:t>присвоєння</w:t>
      </w:r>
      <w:r>
        <w:rPr>
          <w:color w:val="231F20"/>
          <w:spacing w:val="-9"/>
        </w:rPr>
        <w:t xml:space="preserve"> </w:t>
      </w:r>
      <w:r>
        <w:rPr>
          <w:color w:val="231F20"/>
          <w:spacing w:val="-3"/>
        </w:rPr>
        <w:t xml:space="preserve">чергового рангу обчислюється </w:t>
      </w:r>
      <w:r>
        <w:rPr>
          <w:color w:val="231F20"/>
        </w:rPr>
        <w:t xml:space="preserve">з </w:t>
      </w:r>
      <w:r>
        <w:rPr>
          <w:color w:val="231F20"/>
          <w:spacing w:val="-3"/>
        </w:rPr>
        <w:t xml:space="preserve">урахуванням сумарно </w:t>
      </w:r>
      <w:r>
        <w:rPr>
          <w:color w:val="231F20"/>
          <w:spacing w:val="-4"/>
        </w:rPr>
        <w:t xml:space="preserve">періоду </w:t>
      </w:r>
      <w:r>
        <w:rPr>
          <w:color w:val="231F20"/>
          <w:spacing w:val="-3"/>
        </w:rPr>
        <w:t xml:space="preserve">роботи </w:t>
      </w:r>
      <w:r>
        <w:rPr>
          <w:color w:val="231F20"/>
        </w:rPr>
        <w:t xml:space="preserve">до </w:t>
      </w:r>
      <w:r>
        <w:rPr>
          <w:color w:val="231F20"/>
          <w:spacing w:val="-3"/>
        </w:rPr>
        <w:t xml:space="preserve">зазна- </w:t>
      </w:r>
      <w:r>
        <w:rPr>
          <w:color w:val="231F20"/>
        </w:rPr>
        <w:t xml:space="preserve">чених </w:t>
      </w:r>
      <w:r>
        <w:rPr>
          <w:color w:val="231F20"/>
          <w:spacing w:val="-3"/>
        </w:rPr>
        <w:t xml:space="preserve">відпусток </w:t>
      </w:r>
      <w:r>
        <w:rPr>
          <w:color w:val="231F20"/>
        </w:rPr>
        <w:t xml:space="preserve">та </w:t>
      </w:r>
      <w:r>
        <w:rPr>
          <w:color w:val="231F20"/>
          <w:spacing w:val="-4"/>
        </w:rPr>
        <w:t xml:space="preserve">періоду </w:t>
      </w:r>
      <w:r>
        <w:rPr>
          <w:color w:val="231F20"/>
          <w:spacing w:val="-3"/>
        </w:rPr>
        <w:t xml:space="preserve">роботи після </w:t>
      </w:r>
      <w:r>
        <w:rPr>
          <w:color w:val="231F20"/>
          <w:spacing w:val="-4"/>
        </w:rPr>
        <w:t>в</w:t>
      </w:r>
      <w:r>
        <w:rPr>
          <w:color w:val="231F20"/>
          <w:spacing w:val="-4"/>
        </w:rPr>
        <w:t xml:space="preserve">иходу </w:t>
      </w:r>
      <w:r>
        <w:rPr>
          <w:color w:val="231F20"/>
        </w:rPr>
        <w:t>з</w:t>
      </w:r>
      <w:r>
        <w:rPr>
          <w:color w:val="231F20"/>
          <w:spacing w:val="-24"/>
        </w:rPr>
        <w:t xml:space="preserve"> </w:t>
      </w:r>
      <w:r>
        <w:rPr>
          <w:color w:val="231F20"/>
          <w:spacing w:val="-3"/>
        </w:rPr>
        <w:t>них.</w:t>
      </w:r>
    </w:p>
    <w:p w14:paraId="758595B6" w14:textId="77777777" w:rsidR="00DE575E" w:rsidRDefault="002E7560">
      <w:pPr>
        <w:spacing w:before="5" w:line="252" w:lineRule="auto"/>
        <w:ind w:left="533" w:right="128" w:firstLine="283"/>
        <w:jc w:val="both"/>
        <w:rPr>
          <w:i/>
          <w:sz w:val="21"/>
        </w:rPr>
      </w:pPr>
      <w:r>
        <w:rPr>
          <w:i/>
          <w:color w:val="231F20"/>
          <w:sz w:val="21"/>
        </w:rPr>
        <w:t>Державному службовцю, увільненому від виконання обов’язків на період</w:t>
      </w:r>
      <w:r>
        <w:rPr>
          <w:i/>
          <w:color w:val="231F20"/>
          <w:spacing w:val="-9"/>
          <w:sz w:val="21"/>
        </w:rPr>
        <w:t xml:space="preserve"> </w:t>
      </w:r>
      <w:r>
        <w:rPr>
          <w:i/>
          <w:color w:val="231F20"/>
          <w:sz w:val="21"/>
        </w:rPr>
        <w:t>проходження</w:t>
      </w:r>
      <w:r>
        <w:rPr>
          <w:i/>
          <w:color w:val="231F20"/>
          <w:spacing w:val="-9"/>
          <w:sz w:val="21"/>
        </w:rPr>
        <w:t xml:space="preserve"> </w:t>
      </w:r>
      <w:r>
        <w:rPr>
          <w:i/>
          <w:color w:val="231F20"/>
          <w:sz w:val="21"/>
        </w:rPr>
        <w:t>військової</w:t>
      </w:r>
      <w:r>
        <w:rPr>
          <w:i/>
          <w:color w:val="231F20"/>
          <w:spacing w:val="-9"/>
          <w:sz w:val="21"/>
        </w:rPr>
        <w:t xml:space="preserve"> </w:t>
      </w:r>
      <w:r>
        <w:rPr>
          <w:i/>
          <w:color w:val="231F20"/>
          <w:sz w:val="21"/>
        </w:rPr>
        <w:t>служби</w:t>
      </w:r>
      <w:r>
        <w:rPr>
          <w:i/>
          <w:color w:val="231F20"/>
          <w:spacing w:val="-9"/>
          <w:sz w:val="21"/>
        </w:rPr>
        <w:t xml:space="preserve"> </w:t>
      </w:r>
      <w:r>
        <w:rPr>
          <w:i/>
          <w:color w:val="231F20"/>
          <w:sz w:val="21"/>
        </w:rPr>
        <w:t>за</w:t>
      </w:r>
      <w:r>
        <w:rPr>
          <w:i/>
          <w:color w:val="231F20"/>
          <w:spacing w:val="-9"/>
          <w:sz w:val="21"/>
        </w:rPr>
        <w:t xml:space="preserve"> </w:t>
      </w:r>
      <w:r>
        <w:rPr>
          <w:i/>
          <w:color w:val="231F20"/>
          <w:sz w:val="21"/>
        </w:rPr>
        <w:t>призовом</w:t>
      </w:r>
      <w:r>
        <w:rPr>
          <w:i/>
          <w:color w:val="231F20"/>
          <w:spacing w:val="-9"/>
          <w:sz w:val="21"/>
        </w:rPr>
        <w:t xml:space="preserve"> </w:t>
      </w:r>
      <w:r>
        <w:rPr>
          <w:i/>
          <w:color w:val="231F20"/>
          <w:sz w:val="21"/>
        </w:rPr>
        <w:t>під</w:t>
      </w:r>
      <w:r>
        <w:rPr>
          <w:i/>
          <w:color w:val="231F20"/>
          <w:spacing w:val="-9"/>
          <w:sz w:val="21"/>
        </w:rPr>
        <w:t xml:space="preserve"> </w:t>
      </w:r>
      <w:r>
        <w:rPr>
          <w:i/>
          <w:color w:val="231F20"/>
          <w:sz w:val="21"/>
        </w:rPr>
        <w:t>час</w:t>
      </w:r>
      <w:r>
        <w:rPr>
          <w:i/>
          <w:color w:val="231F20"/>
          <w:spacing w:val="-9"/>
          <w:sz w:val="21"/>
        </w:rPr>
        <w:t xml:space="preserve"> </w:t>
      </w:r>
      <w:r>
        <w:rPr>
          <w:i/>
          <w:color w:val="231F20"/>
          <w:sz w:val="21"/>
        </w:rPr>
        <w:t>мобілізації</w:t>
      </w:r>
    </w:p>
    <w:p w14:paraId="20CD4B86" w14:textId="77777777" w:rsidR="00DE575E" w:rsidRDefault="00DE575E">
      <w:pPr>
        <w:pStyle w:val="BodyText"/>
        <w:spacing w:before="5"/>
        <w:rPr>
          <w:i/>
          <w:sz w:val="12"/>
        </w:rPr>
      </w:pPr>
    </w:p>
    <w:p w14:paraId="7ED71670" w14:textId="77777777" w:rsidR="00DE575E" w:rsidRDefault="002E7560">
      <w:pPr>
        <w:spacing w:before="92"/>
        <w:ind w:left="533"/>
        <w:rPr>
          <w:rFonts w:ascii="Times New Roman"/>
          <w:sz w:val="20"/>
        </w:rPr>
      </w:pPr>
      <w:r>
        <w:rPr>
          <w:rFonts w:ascii="Times New Roman"/>
          <w:color w:val="231F20"/>
          <w:sz w:val="20"/>
        </w:rPr>
        <w:t>372</w:t>
      </w:r>
    </w:p>
    <w:p w14:paraId="1C84C0D3" w14:textId="77777777" w:rsidR="00DE575E" w:rsidRDefault="00DE575E">
      <w:pPr>
        <w:rPr>
          <w:rFonts w:ascii="Times New Roman"/>
          <w:sz w:val="20"/>
        </w:rPr>
        <w:sectPr w:rsidR="00DE575E">
          <w:pgSz w:w="8510" w:h="12760"/>
          <w:pgMar w:top="660" w:right="720" w:bottom="280" w:left="600" w:header="720" w:footer="720" w:gutter="0"/>
          <w:cols w:space="720"/>
        </w:sectPr>
      </w:pPr>
    </w:p>
    <w:p w14:paraId="2BE61520"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 xml:space="preserve">Глава ІІ Особливе адміністративне право/ Книга І </w:t>
      </w:r>
      <w:r>
        <w:rPr>
          <w:rFonts w:ascii="AdonisC" w:hAnsi="AdonisC"/>
          <w:i/>
          <w:color w:val="231F20"/>
          <w:sz w:val="18"/>
        </w:rPr>
        <w:t>Розділ 2. Юридичний статус державного службовця</w:t>
      </w:r>
    </w:p>
    <w:p w14:paraId="34C5487D" w14:textId="6D55AF7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733F36C" wp14:editId="16BD0AD8">
                <wp:extent cx="4140200" cy="6350"/>
                <wp:effectExtent l="0" t="0" r="12700" b="6350"/>
                <wp:docPr id="47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72" name="Line 4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93CB0" id="Group_x0020_4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PaRJuX4CAACYBQAADgAA&#10;AAAAAAAAAAAAAAAsAgAAZHJzL2Uyb0RvYy54bWxQSwECLQAUAAYACAAAACEATKewkNkAAAADAQAA&#10;DwAAAAAAAAAAAAAAAADWBAAAZHJzL2Rvd25yZXYueG1sUEsFBgAAAAAEAAQA8wAAANwFAAAAAA==&#10;">
                <v:line id="Line_x0020_4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KiYMYAAADcAAAADwAAAGRycy9kb3ducmV2LnhtbESP0WrCQBRE3wX/YblCX4pu1KISXUUK&#10;hdIHbY0fcM1ek+Du3ZhdTdqv7xYKPg4zc4ZZbTprxJ0aXzlWMB4lIIhzpysuFByzt+EChA/IGo1j&#10;UvBNHjbrfm+FqXYtf9H9EAoRIexTVFCGUKdS+rwki37kauLonV1jMUTZFFI32Ea4NXKSJDNpseK4&#10;UGJNryXll8PNKsiuz8F87j9Mm+1PU3m67qY/t51ST4NuuwQRqAuP8H/7XSt4mU/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1yomDGAAAA3AAAAA8AAAAAAAAA&#10;AAAAAAAAoQIAAGRycy9kb3ducmV2LnhtbFBLBQYAAAAABAAEAPkAAACUAwAAAAA=&#10;" strokecolor="#231f20" strokeweight=".5pt"/>
                <w10:anchorlock/>
              </v:group>
            </w:pict>
          </mc:Fallback>
        </mc:AlternateContent>
      </w:r>
    </w:p>
    <w:p w14:paraId="0F7AB16A" w14:textId="77777777" w:rsidR="00DE575E" w:rsidRDefault="00DE575E">
      <w:pPr>
        <w:pStyle w:val="BodyText"/>
        <w:spacing w:before="7"/>
        <w:rPr>
          <w:rFonts w:ascii="AdonisC"/>
          <w:i/>
          <w:sz w:val="19"/>
        </w:rPr>
      </w:pPr>
    </w:p>
    <w:p w14:paraId="70F4E65A" w14:textId="77777777" w:rsidR="00DE575E" w:rsidRDefault="002E7560">
      <w:pPr>
        <w:pStyle w:val="BodyText"/>
        <w:spacing w:before="1" w:line="252" w:lineRule="auto"/>
        <w:ind w:left="250"/>
      </w:pPr>
      <w:r>
        <w:rPr>
          <w:i/>
          <w:color w:val="231F20"/>
        </w:rPr>
        <w:t>або</w:t>
      </w:r>
      <w:r>
        <w:rPr>
          <w:i/>
          <w:color w:val="231F20"/>
          <w:spacing w:val="-15"/>
        </w:rPr>
        <w:t xml:space="preserve"> </w:t>
      </w:r>
      <w:r>
        <w:rPr>
          <w:i/>
          <w:color w:val="231F20"/>
        </w:rPr>
        <w:t>на</w:t>
      </w:r>
      <w:r>
        <w:rPr>
          <w:i/>
          <w:color w:val="231F20"/>
          <w:spacing w:val="-15"/>
        </w:rPr>
        <w:t xml:space="preserve"> </w:t>
      </w:r>
      <w:r>
        <w:rPr>
          <w:i/>
          <w:color w:val="231F20"/>
        </w:rPr>
        <w:t>особливий</w:t>
      </w:r>
      <w:r>
        <w:rPr>
          <w:i/>
          <w:color w:val="231F20"/>
          <w:spacing w:val="-15"/>
        </w:rPr>
        <w:t xml:space="preserve"> </w:t>
      </w:r>
      <w:r>
        <w:rPr>
          <w:i/>
          <w:color w:val="231F20"/>
        </w:rPr>
        <w:t>період</w:t>
      </w:r>
      <w:r>
        <w:rPr>
          <w:color w:val="231F20"/>
        </w:rPr>
        <w:t>,</w:t>
      </w:r>
      <w:r>
        <w:rPr>
          <w:color w:val="231F20"/>
          <w:spacing w:val="-15"/>
        </w:rPr>
        <w:t xml:space="preserve"> </w:t>
      </w:r>
      <w:r>
        <w:rPr>
          <w:color w:val="231F20"/>
        </w:rPr>
        <w:t>період</w:t>
      </w:r>
      <w:r>
        <w:rPr>
          <w:color w:val="231F20"/>
          <w:spacing w:val="-15"/>
        </w:rPr>
        <w:t xml:space="preserve"> </w:t>
      </w:r>
      <w:r>
        <w:rPr>
          <w:color w:val="231F20"/>
        </w:rPr>
        <w:t>проходження</w:t>
      </w:r>
      <w:r>
        <w:rPr>
          <w:color w:val="231F20"/>
          <w:spacing w:val="-15"/>
        </w:rPr>
        <w:t xml:space="preserve"> </w:t>
      </w:r>
      <w:r>
        <w:rPr>
          <w:color w:val="231F20"/>
        </w:rPr>
        <w:t>такої</w:t>
      </w:r>
      <w:r>
        <w:rPr>
          <w:color w:val="231F20"/>
          <w:spacing w:val="-15"/>
        </w:rPr>
        <w:t xml:space="preserve"> </w:t>
      </w:r>
      <w:r>
        <w:rPr>
          <w:color w:val="231F20"/>
        </w:rPr>
        <w:t>військової</w:t>
      </w:r>
      <w:r>
        <w:rPr>
          <w:color w:val="231F20"/>
          <w:spacing w:val="-15"/>
        </w:rPr>
        <w:t xml:space="preserve"> </w:t>
      </w:r>
      <w:r>
        <w:rPr>
          <w:color w:val="231F20"/>
        </w:rPr>
        <w:t>служби зараховується до стажу роботи для присвоєння чергового</w:t>
      </w:r>
      <w:r>
        <w:rPr>
          <w:color w:val="231F20"/>
          <w:spacing w:val="-16"/>
        </w:rPr>
        <w:t xml:space="preserve"> </w:t>
      </w:r>
      <w:r>
        <w:rPr>
          <w:color w:val="231F20"/>
        </w:rPr>
        <w:t>рангу</w:t>
      </w:r>
      <w:r>
        <w:rPr>
          <w:color w:val="231F20"/>
          <w:position w:val="7"/>
          <w:sz w:val="12"/>
        </w:rPr>
        <w:t>1</w:t>
      </w:r>
      <w:r>
        <w:rPr>
          <w:color w:val="231F20"/>
        </w:rPr>
        <w:t>.</w:t>
      </w:r>
    </w:p>
    <w:p w14:paraId="7E360965" w14:textId="77777777" w:rsidR="00DE575E" w:rsidRDefault="002E7560">
      <w:pPr>
        <w:spacing w:before="1" w:line="252" w:lineRule="auto"/>
        <w:ind w:left="250" w:right="410" w:firstLine="283"/>
        <w:jc w:val="both"/>
        <w:rPr>
          <w:sz w:val="21"/>
        </w:rPr>
      </w:pPr>
      <w:r>
        <w:rPr>
          <w:i/>
          <w:color w:val="231F20"/>
          <w:sz w:val="21"/>
        </w:rPr>
        <w:t>У</w:t>
      </w:r>
      <w:r>
        <w:rPr>
          <w:i/>
          <w:color w:val="231F20"/>
          <w:spacing w:val="-14"/>
          <w:sz w:val="21"/>
        </w:rPr>
        <w:t xml:space="preserve"> </w:t>
      </w:r>
      <w:r>
        <w:rPr>
          <w:i/>
          <w:color w:val="231F20"/>
          <w:sz w:val="21"/>
        </w:rPr>
        <w:t>разі</w:t>
      </w:r>
      <w:r>
        <w:rPr>
          <w:i/>
          <w:color w:val="231F20"/>
          <w:spacing w:val="-14"/>
          <w:sz w:val="21"/>
        </w:rPr>
        <w:t xml:space="preserve"> </w:t>
      </w:r>
      <w:r>
        <w:rPr>
          <w:i/>
          <w:color w:val="231F20"/>
          <w:sz w:val="21"/>
        </w:rPr>
        <w:t>присвоєння</w:t>
      </w:r>
      <w:r>
        <w:rPr>
          <w:i/>
          <w:color w:val="231F20"/>
          <w:spacing w:val="-14"/>
          <w:sz w:val="21"/>
        </w:rPr>
        <w:t xml:space="preserve"> </w:t>
      </w:r>
      <w:r>
        <w:rPr>
          <w:i/>
          <w:color w:val="231F20"/>
          <w:sz w:val="21"/>
        </w:rPr>
        <w:t>державному</w:t>
      </w:r>
      <w:r>
        <w:rPr>
          <w:i/>
          <w:color w:val="231F20"/>
          <w:spacing w:val="-14"/>
          <w:sz w:val="21"/>
        </w:rPr>
        <w:t xml:space="preserve"> </w:t>
      </w:r>
      <w:r>
        <w:rPr>
          <w:i/>
          <w:color w:val="231F20"/>
          <w:sz w:val="21"/>
        </w:rPr>
        <w:t>службовцю,</w:t>
      </w:r>
      <w:r>
        <w:rPr>
          <w:i/>
          <w:color w:val="231F20"/>
          <w:spacing w:val="-14"/>
          <w:sz w:val="21"/>
        </w:rPr>
        <w:t xml:space="preserve"> </w:t>
      </w:r>
      <w:r>
        <w:rPr>
          <w:i/>
          <w:color w:val="231F20"/>
          <w:sz w:val="21"/>
        </w:rPr>
        <w:t>який</w:t>
      </w:r>
      <w:r>
        <w:rPr>
          <w:i/>
          <w:color w:val="231F20"/>
          <w:spacing w:val="-14"/>
          <w:sz w:val="21"/>
        </w:rPr>
        <w:t xml:space="preserve"> </w:t>
      </w:r>
      <w:r>
        <w:rPr>
          <w:i/>
          <w:color w:val="231F20"/>
          <w:sz w:val="21"/>
        </w:rPr>
        <w:t>не</w:t>
      </w:r>
      <w:r>
        <w:rPr>
          <w:i/>
          <w:color w:val="231F20"/>
          <w:spacing w:val="-14"/>
          <w:sz w:val="21"/>
        </w:rPr>
        <w:t xml:space="preserve"> </w:t>
      </w:r>
      <w:r>
        <w:rPr>
          <w:i/>
          <w:color w:val="231F20"/>
          <w:sz w:val="21"/>
        </w:rPr>
        <w:t>проходив</w:t>
      </w:r>
      <w:r>
        <w:rPr>
          <w:i/>
          <w:color w:val="231F20"/>
          <w:spacing w:val="-14"/>
          <w:sz w:val="21"/>
        </w:rPr>
        <w:t xml:space="preserve"> </w:t>
      </w:r>
      <w:r>
        <w:rPr>
          <w:i/>
          <w:color w:val="231F20"/>
          <w:sz w:val="21"/>
        </w:rPr>
        <w:t>оціню- вання</w:t>
      </w:r>
      <w:r>
        <w:rPr>
          <w:i/>
          <w:color w:val="231F20"/>
          <w:spacing w:val="-8"/>
          <w:sz w:val="21"/>
        </w:rPr>
        <w:t xml:space="preserve"> </w:t>
      </w:r>
      <w:r>
        <w:rPr>
          <w:i/>
          <w:color w:val="231F20"/>
          <w:sz w:val="21"/>
        </w:rPr>
        <w:t>результатів</w:t>
      </w:r>
      <w:r>
        <w:rPr>
          <w:i/>
          <w:color w:val="231F20"/>
          <w:spacing w:val="-8"/>
          <w:sz w:val="21"/>
        </w:rPr>
        <w:t xml:space="preserve"> </w:t>
      </w:r>
      <w:r>
        <w:rPr>
          <w:i/>
          <w:color w:val="231F20"/>
          <w:sz w:val="21"/>
        </w:rPr>
        <w:t>службової</w:t>
      </w:r>
      <w:r>
        <w:rPr>
          <w:i/>
          <w:color w:val="231F20"/>
          <w:spacing w:val="-8"/>
          <w:sz w:val="21"/>
        </w:rPr>
        <w:t xml:space="preserve"> </w:t>
      </w:r>
      <w:r>
        <w:rPr>
          <w:i/>
          <w:color w:val="231F20"/>
          <w:sz w:val="21"/>
        </w:rPr>
        <w:t>діяльності</w:t>
      </w:r>
      <w:r>
        <w:rPr>
          <w:i/>
          <w:color w:val="231F20"/>
          <w:spacing w:val="-8"/>
          <w:sz w:val="21"/>
        </w:rPr>
        <w:t xml:space="preserve"> </w:t>
      </w:r>
      <w:r>
        <w:rPr>
          <w:i/>
          <w:color w:val="231F20"/>
          <w:sz w:val="21"/>
        </w:rPr>
        <w:t>у</w:t>
      </w:r>
      <w:r>
        <w:rPr>
          <w:i/>
          <w:color w:val="231F20"/>
          <w:spacing w:val="-8"/>
          <w:sz w:val="21"/>
        </w:rPr>
        <w:t xml:space="preserve"> </w:t>
      </w:r>
      <w:r>
        <w:rPr>
          <w:i/>
          <w:color w:val="231F20"/>
          <w:sz w:val="21"/>
        </w:rPr>
        <w:t>відповідному</w:t>
      </w:r>
      <w:r>
        <w:rPr>
          <w:i/>
          <w:color w:val="231F20"/>
          <w:spacing w:val="-8"/>
          <w:sz w:val="21"/>
        </w:rPr>
        <w:t xml:space="preserve"> </w:t>
      </w:r>
      <w:r>
        <w:rPr>
          <w:i/>
          <w:color w:val="231F20"/>
          <w:sz w:val="21"/>
        </w:rPr>
        <w:t>державному органі</w:t>
      </w:r>
      <w:r>
        <w:rPr>
          <w:color w:val="231F20"/>
          <w:sz w:val="21"/>
        </w:rPr>
        <w:t xml:space="preserve">, чергового рангу враховується інформація про оцінювання </w:t>
      </w:r>
      <w:r>
        <w:rPr>
          <w:color w:val="231F20"/>
          <w:spacing w:val="-3"/>
          <w:sz w:val="21"/>
        </w:rPr>
        <w:t>результатів</w:t>
      </w:r>
      <w:r>
        <w:rPr>
          <w:color w:val="231F20"/>
          <w:spacing w:val="-6"/>
          <w:sz w:val="21"/>
        </w:rPr>
        <w:t xml:space="preserve"> </w:t>
      </w:r>
      <w:r>
        <w:rPr>
          <w:color w:val="231F20"/>
          <w:sz w:val="21"/>
        </w:rPr>
        <w:t>його</w:t>
      </w:r>
      <w:r>
        <w:rPr>
          <w:color w:val="231F20"/>
          <w:spacing w:val="-6"/>
          <w:sz w:val="21"/>
        </w:rPr>
        <w:t xml:space="preserve"> </w:t>
      </w:r>
      <w:r>
        <w:rPr>
          <w:color w:val="231F20"/>
          <w:sz w:val="21"/>
        </w:rPr>
        <w:t>службової</w:t>
      </w:r>
      <w:r>
        <w:rPr>
          <w:color w:val="231F20"/>
          <w:spacing w:val="-7"/>
          <w:sz w:val="21"/>
        </w:rPr>
        <w:t xml:space="preserve"> </w:t>
      </w:r>
      <w:r>
        <w:rPr>
          <w:color w:val="231F20"/>
          <w:sz w:val="21"/>
        </w:rPr>
        <w:t>діяльності</w:t>
      </w:r>
      <w:r>
        <w:rPr>
          <w:color w:val="231F20"/>
          <w:spacing w:val="-7"/>
          <w:sz w:val="21"/>
        </w:rPr>
        <w:t xml:space="preserve"> </w:t>
      </w:r>
      <w:r>
        <w:rPr>
          <w:color w:val="231F20"/>
          <w:sz w:val="21"/>
        </w:rPr>
        <w:t>за</w:t>
      </w:r>
      <w:r>
        <w:rPr>
          <w:color w:val="231F20"/>
          <w:spacing w:val="-6"/>
          <w:sz w:val="21"/>
        </w:rPr>
        <w:t xml:space="preserve"> </w:t>
      </w:r>
      <w:r>
        <w:rPr>
          <w:color w:val="231F20"/>
          <w:sz w:val="21"/>
        </w:rPr>
        <w:t>попереднім</w:t>
      </w:r>
      <w:r>
        <w:rPr>
          <w:color w:val="231F20"/>
          <w:spacing w:val="-7"/>
          <w:sz w:val="21"/>
        </w:rPr>
        <w:t xml:space="preserve"> </w:t>
      </w:r>
      <w:r>
        <w:rPr>
          <w:color w:val="231F20"/>
          <w:sz w:val="21"/>
        </w:rPr>
        <w:t>місцем</w:t>
      </w:r>
      <w:r>
        <w:rPr>
          <w:color w:val="231F20"/>
          <w:spacing w:val="-7"/>
          <w:sz w:val="21"/>
        </w:rPr>
        <w:t xml:space="preserve"> </w:t>
      </w:r>
      <w:r>
        <w:rPr>
          <w:color w:val="231F20"/>
          <w:sz w:val="21"/>
        </w:rPr>
        <w:t xml:space="preserve">роботи, яка </w:t>
      </w:r>
      <w:r>
        <w:rPr>
          <w:color w:val="231F20"/>
          <w:sz w:val="21"/>
        </w:rPr>
        <w:t>надається на запит служби управління</w:t>
      </w:r>
      <w:r>
        <w:rPr>
          <w:color w:val="231F20"/>
          <w:spacing w:val="-6"/>
          <w:sz w:val="21"/>
        </w:rPr>
        <w:t xml:space="preserve"> </w:t>
      </w:r>
      <w:r>
        <w:rPr>
          <w:color w:val="231F20"/>
          <w:sz w:val="21"/>
        </w:rPr>
        <w:t>персоналом.</w:t>
      </w:r>
    </w:p>
    <w:p w14:paraId="7A136DE2" w14:textId="77777777" w:rsidR="00DE575E" w:rsidRDefault="002E7560">
      <w:pPr>
        <w:pStyle w:val="BodyText"/>
        <w:spacing w:before="2" w:line="252" w:lineRule="auto"/>
        <w:ind w:left="250" w:right="410" w:firstLine="283"/>
        <w:jc w:val="both"/>
      </w:pPr>
      <w:r>
        <w:rPr>
          <w:color w:val="231F20"/>
        </w:rPr>
        <w:t xml:space="preserve">Прямих заборон на просування по службі в законодавстві не передбачено. </w:t>
      </w:r>
      <w:r>
        <w:rPr>
          <w:i/>
          <w:color w:val="231F20"/>
        </w:rPr>
        <w:t>Державний службовець не має права  на  просування по службі</w:t>
      </w:r>
      <w:r>
        <w:rPr>
          <w:color w:val="231F20"/>
        </w:rPr>
        <w:t>: під час випробування при  заміщенні державної посади;  у</w:t>
      </w:r>
      <w:r>
        <w:rPr>
          <w:color w:val="231F20"/>
          <w:spacing w:val="-16"/>
        </w:rPr>
        <w:t xml:space="preserve"> </w:t>
      </w:r>
      <w:r>
        <w:rPr>
          <w:color w:val="231F20"/>
        </w:rPr>
        <w:t>період</w:t>
      </w:r>
      <w:r>
        <w:rPr>
          <w:color w:val="231F20"/>
          <w:spacing w:val="-16"/>
        </w:rPr>
        <w:t xml:space="preserve"> </w:t>
      </w:r>
      <w:r>
        <w:rPr>
          <w:color w:val="231F20"/>
        </w:rPr>
        <w:t>покладення</w:t>
      </w:r>
      <w:r>
        <w:rPr>
          <w:color w:val="231F20"/>
          <w:spacing w:val="-16"/>
        </w:rPr>
        <w:t xml:space="preserve"> </w:t>
      </w:r>
      <w:r>
        <w:rPr>
          <w:color w:val="231F20"/>
        </w:rPr>
        <w:t>на</w:t>
      </w:r>
      <w:r>
        <w:rPr>
          <w:color w:val="231F20"/>
          <w:spacing w:val="-16"/>
        </w:rPr>
        <w:t xml:space="preserve"> </w:t>
      </w:r>
      <w:r>
        <w:rPr>
          <w:color w:val="231F20"/>
        </w:rPr>
        <w:t>нього</w:t>
      </w:r>
      <w:r>
        <w:rPr>
          <w:color w:val="231F20"/>
          <w:spacing w:val="-16"/>
        </w:rPr>
        <w:t xml:space="preserve"> </w:t>
      </w:r>
      <w:r>
        <w:rPr>
          <w:color w:val="231F20"/>
        </w:rPr>
        <w:t>дисциплінарного</w:t>
      </w:r>
      <w:r>
        <w:rPr>
          <w:color w:val="231F20"/>
          <w:spacing w:val="-16"/>
        </w:rPr>
        <w:t xml:space="preserve"> </w:t>
      </w:r>
      <w:r>
        <w:rPr>
          <w:color w:val="231F20"/>
        </w:rPr>
        <w:t>стягнення,</w:t>
      </w:r>
      <w:r>
        <w:rPr>
          <w:color w:val="231F20"/>
          <w:spacing w:val="-16"/>
        </w:rPr>
        <w:t xml:space="preserve"> </w:t>
      </w:r>
      <w:r>
        <w:rPr>
          <w:color w:val="231F20"/>
        </w:rPr>
        <w:t xml:space="preserve">упродовж шести місяців з дня отримання державним службовцем негативної оцінки за </w:t>
      </w:r>
      <w:r>
        <w:rPr>
          <w:color w:val="231F20"/>
          <w:spacing w:val="-3"/>
        </w:rPr>
        <w:t xml:space="preserve">результатами </w:t>
      </w:r>
      <w:r>
        <w:rPr>
          <w:color w:val="231F20"/>
        </w:rPr>
        <w:t>оцінювання службової діяльності, у період порушення</w:t>
      </w:r>
      <w:r>
        <w:rPr>
          <w:color w:val="231F20"/>
          <w:spacing w:val="-12"/>
        </w:rPr>
        <w:t xml:space="preserve"> </w:t>
      </w:r>
      <w:r>
        <w:rPr>
          <w:color w:val="231F20"/>
        </w:rPr>
        <w:t>кримінальної</w:t>
      </w:r>
      <w:r>
        <w:rPr>
          <w:color w:val="231F20"/>
          <w:spacing w:val="-12"/>
        </w:rPr>
        <w:t xml:space="preserve"> </w:t>
      </w:r>
      <w:r>
        <w:rPr>
          <w:color w:val="231F20"/>
        </w:rPr>
        <w:t>справи</w:t>
      </w:r>
      <w:r>
        <w:rPr>
          <w:color w:val="231F20"/>
          <w:spacing w:val="-12"/>
        </w:rPr>
        <w:t xml:space="preserve"> </w:t>
      </w:r>
      <w:r>
        <w:rPr>
          <w:color w:val="231F20"/>
        </w:rPr>
        <w:t>або</w:t>
      </w:r>
      <w:r>
        <w:rPr>
          <w:color w:val="231F20"/>
          <w:spacing w:val="-12"/>
        </w:rPr>
        <w:t xml:space="preserve"> </w:t>
      </w:r>
      <w:r>
        <w:rPr>
          <w:color w:val="231F20"/>
        </w:rPr>
        <w:t>проведення</w:t>
      </w:r>
      <w:r>
        <w:rPr>
          <w:color w:val="231F20"/>
          <w:spacing w:val="-12"/>
        </w:rPr>
        <w:t xml:space="preserve"> </w:t>
      </w:r>
      <w:r>
        <w:rPr>
          <w:color w:val="231F20"/>
        </w:rPr>
        <w:t>службового</w:t>
      </w:r>
      <w:r>
        <w:rPr>
          <w:color w:val="231F20"/>
          <w:spacing w:val="-12"/>
        </w:rPr>
        <w:t xml:space="preserve"> </w:t>
      </w:r>
      <w:r>
        <w:rPr>
          <w:color w:val="231F20"/>
        </w:rPr>
        <w:t xml:space="preserve">розслі- дування щодо нього; </w:t>
      </w:r>
      <w:r>
        <w:rPr>
          <w:color w:val="231F20"/>
        </w:rPr>
        <w:t>після досягнення граничного віку для перебу- вання на державній службі</w:t>
      </w:r>
      <w:r>
        <w:rPr>
          <w:color w:val="231F20"/>
          <w:spacing w:val="-3"/>
        </w:rPr>
        <w:t xml:space="preserve"> </w:t>
      </w:r>
      <w:r>
        <w:rPr>
          <w:color w:val="231F20"/>
        </w:rPr>
        <w:t>тощо.</w:t>
      </w:r>
    </w:p>
    <w:p w14:paraId="566B8397" w14:textId="77777777" w:rsidR="00DE575E" w:rsidRDefault="002E7560">
      <w:pPr>
        <w:pStyle w:val="BodyText"/>
        <w:spacing w:before="5" w:line="252" w:lineRule="auto"/>
        <w:ind w:left="250" w:right="410" w:firstLine="283"/>
        <w:jc w:val="both"/>
      </w:pPr>
      <w:r>
        <w:rPr>
          <w:color w:val="231F20"/>
        </w:rPr>
        <w:t>Для</w:t>
      </w:r>
      <w:r>
        <w:rPr>
          <w:color w:val="231F20"/>
          <w:spacing w:val="-12"/>
        </w:rPr>
        <w:t xml:space="preserve"> </w:t>
      </w:r>
      <w:r>
        <w:rPr>
          <w:color w:val="231F20"/>
        </w:rPr>
        <w:t>того,</w:t>
      </w:r>
      <w:r>
        <w:rPr>
          <w:color w:val="231F20"/>
          <w:spacing w:val="-12"/>
        </w:rPr>
        <w:t xml:space="preserve"> </w:t>
      </w:r>
      <w:r>
        <w:rPr>
          <w:color w:val="231F20"/>
        </w:rPr>
        <w:t>щоб</w:t>
      </w:r>
      <w:r>
        <w:rPr>
          <w:color w:val="231F20"/>
          <w:spacing w:val="-12"/>
        </w:rPr>
        <w:t xml:space="preserve"> </w:t>
      </w:r>
      <w:r>
        <w:rPr>
          <w:color w:val="231F20"/>
        </w:rPr>
        <w:t>визначити</w:t>
      </w:r>
      <w:r>
        <w:rPr>
          <w:color w:val="231F20"/>
          <w:spacing w:val="-12"/>
        </w:rPr>
        <w:t xml:space="preserve"> </w:t>
      </w:r>
      <w:r>
        <w:rPr>
          <w:color w:val="231F20"/>
        </w:rPr>
        <w:t>напрямок</w:t>
      </w:r>
      <w:r>
        <w:rPr>
          <w:color w:val="231F20"/>
          <w:spacing w:val="-12"/>
        </w:rPr>
        <w:t xml:space="preserve"> </w:t>
      </w:r>
      <w:r>
        <w:rPr>
          <w:color w:val="231F20"/>
        </w:rPr>
        <w:t>планування</w:t>
      </w:r>
      <w:r>
        <w:rPr>
          <w:color w:val="231F20"/>
          <w:spacing w:val="-12"/>
        </w:rPr>
        <w:t xml:space="preserve"> </w:t>
      </w:r>
      <w:r>
        <w:rPr>
          <w:color w:val="231F20"/>
        </w:rPr>
        <w:t>службової</w:t>
      </w:r>
      <w:r>
        <w:rPr>
          <w:color w:val="231F20"/>
          <w:spacing w:val="-12"/>
        </w:rPr>
        <w:t xml:space="preserve"> </w:t>
      </w:r>
      <w:r>
        <w:rPr>
          <w:color w:val="231F20"/>
          <w:spacing w:val="-5"/>
        </w:rPr>
        <w:t xml:space="preserve">кар’єри </w:t>
      </w:r>
      <w:r>
        <w:rPr>
          <w:color w:val="231F20"/>
        </w:rPr>
        <w:t xml:space="preserve">та ухвалити рішення про преміювання державного службовця щорічно проводиться </w:t>
      </w:r>
      <w:r>
        <w:rPr>
          <w:b/>
          <w:i/>
          <w:color w:val="231F20"/>
        </w:rPr>
        <w:t xml:space="preserve">оцінювання результатів службової діяль- </w:t>
      </w:r>
      <w:r>
        <w:rPr>
          <w:b/>
          <w:i/>
          <w:color w:val="231F20"/>
        </w:rPr>
        <w:t xml:space="preserve">ності державних службовці </w:t>
      </w:r>
      <w:r>
        <w:rPr>
          <w:color w:val="231F20"/>
        </w:rPr>
        <w:t xml:space="preserve">для визначення якості виконання поставлених завдань. Це </w:t>
      </w:r>
      <w:r>
        <w:rPr>
          <w:color w:val="231F20"/>
          <w:spacing w:val="-3"/>
        </w:rPr>
        <w:t xml:space="preserve">невід’ємна </w:t>
      </w:r>
      <w:r>
        <w:rPr>
          <w:color w:val="231F20"/>
        </w:rPr>
        <w:t xml:space="preserve">складова проходження держав- ної служби. Статтею 44 Закону «Про державну службу» встанов- лено, що оцінювання </w:t>
      </w:r>
      <w:r>
        <w:rPr>
          <w:color w:val="231F20"/>
          <w:spacing w:val="-3"/>
        </w:rPr>
        <w:t xml:space="preserve">результатів </w:t>
      </w:r>
      <w:r>
        <w:rPr>
          <w:color w:val="231F20"/>
        </w:rPr>
        <w:t>службової діяльності проводиться на підст</w:t>
      </w:r>
      <w:r>
        <w:rPr>
          <w:color w:val="231F20"/>
        </w:rPr>
        <w:t>аві показників результативності, ефективності та якості, яких визначено з урахуванням посадових обов’язків державного службовця, а також дотримання ним правил етичної поведінки та вимог законодавства у сфері запобігання корупції, виконання інди- відуальної</w:t>
      </w:r>
      <w:r>
        <w:rPr>
          <w:color w:val="231F20"/>
        </w:rPr>
        <w:t xml:space="preserve"> програми професійного </w:t>
      </w:r>
      <w:r>
        <w:rPr>
          <w:color w:val="231F20"/>
          <w:spacing w:val="-3"/>
        </w:rPr>
        <w:t xml:space="preserve">розвитку, </w:t>
      </w:r>
      <w:r>
        <w:rPr>
          <w:color w:val="231F20"/>
        </w:rPr>
        <w:t>а також показників, визначених у контракті про проходження державної служби (у разі укладення).</w:t>
      </w:r>
    </w:p>
    <w:p w14:paraId="75A427DF" w14:textId="77777777" w:rsidR="00DE575E" w:rsidRDefault="002E7560">
      <w:pPr>
        <w:pStyle w:val="BodyText"/>
        <w:spacing w:before="6" w:line="252" w:lineRule="auto"/>
        <w:ind w:left="250" w:right="411" w:firstLine="283"/>
        <w:jc w:val="both"/>
      </w:pPr>
      <w:r>
        <w:rPr>
          <w:color w:val="231F20"/>
        </w:rPr>
        <w:t>Проходження державної служби відображається в особовій справі</w:t>
      </w:r>
      <w:r>
        <w:rPr>
          <w:color w:val="231F20"/>
          <w:spacing w:val="-11"/>
        </w:rPr>
        <w:t xml:space="preserve"> </w:t>
      </w:r>
      <w:r>
        <w:rPr>
          <w:color w:val="231F20"/>
        </w:rPr>
        <w:t>державного</w:t>
      </w:r>
      <w:r>
        <w:rPr>
          <w:color w:val="231F20"/>
          <w:spacing w:val="-11"/>
        </w:rPr>
        <w:t xml:space="preserve"> </w:t>
      </w:r>
      <w:r>
        <w:rPr>
          <w:color w:val="231F20"/>
        </w:rPr>
        <w:t>службовця</w:t>
      </w:r>
      <w:r>
        <w:rPr>
          <w:color w:val="231F20"/>
          <w:spacing w:val="-11"/>
        </w:rPr>
        <w:t xml:space="preserve"> </w:t>
      </w:r>
      <w:r>
        <w:rPr>
          <w:color w:val="231F20"/>
        </w:rPr>
        <w:t>відповідно</w:t>
      </w:r>
      <w:r>
        <w:rPr>
          <w:color w:val="231F20"/>
          <w:spacing w:val="-11"/>
        </w:rPr>
        <w:t xml:space="preserve"> </w:t>
      </w:r>
      <w:r>
        <w:rPr>
          <w:color w:val="231F20"/>
        </w:rPr>
        <w:t>до</w:t>
      </w:r>
      <w:r>
        <w:rPr>
          <w:color w:val="231F20"/>
          <w:spacing w:val="-11"/>
        </w:rPr>
        <w:t xml:space="preserve"> </w:t>
      </w:r>
      <w:r>
        <w:rPr>
          <w:color w:val="231F20"/>
        </w:rPr>
        <w:t>Порядку</w:t>
      </w:r>
      <w:r>
        <w:rPr>
          <w:color w:val="231F20"/>
          <w:spacing w:val="-11"/>
        </w:rPr>
        <w:t xml:space="preserve"> </w:t>
      </w:r>
      <w:r>
        <w:rPr>
          <w:color w:val="231F20"/>
        </w:rPr>
        <w:t>ведення</w:t>
      </w:r>
      <w:r>
        <w:rPr>
          <w:color w:val="231F20"/>
          <w:spacing w:val="-11"/>
        </w:rPr>
        <w:t xml:space="preserve"> </w:t>
      </w:r>
      <w:r>
        <w:rPr>
          <w:color w:val="231F20"/>
        </w:rPr>
        <w:t>особо- вих спр</w:t>
      </w:r>
      <w:r>
        <w:rPr>
          <w:color w:val="231F20"/>
        </w:rPr>
        <w:t>ав державних службовців в органах виконавчої влади, скла- довою якої є особова картка встановленого зразка, в якій зазнача- ються:</w:t>
      </w:r>
      <w:r>
        <w:rPr>
          <w:color w:val="231F20"/>
          <w:spacing w:val="-15"/>
        </w:rPr>
        <w:t xml:space="preserve"> </w:t>
      </w:r>
      <w:r>
        <w:rPr>
          <w:color w:val="231F20"/>
        </w:rPr>
        <w:t>прізвище,</w:t>
      </w:r>
      <w:r>
        <w:rPr>
          <w:color w:val="231F20"/>
          <w:spacing w:val="-15"/>
        </w:rPr>
        <w:t xml:space="preserve"> </w:t>
      </w:r>
      <w:r>
        <w:rPr>
          <w:color w:val="231F20"/>
        </w:rPr>
        <w:t>ім’я,</w:t>
      </w:r>
      <w:r>
        <w:rPr>
          <w:color w:val="231F20"/>
          <w:spacing w:val="-15"/>
        </w:rPr>
        <w:t xml:space="preserve"> </w:t>
      </w:r>
      <w:r>
        <w:rPr>
          <w:color w:val="231F20"/>
        </w:rPr>
        <w:t>по</w:t>
      </w:r>
      <w:r>
        <w:rPr>
          <w:color w:val="231F20"/>
          <w:spacing w:val="-15"/>
        </w:rPr>
        <w:t xml:space="preserve"> </w:t>
      </w:r>
      <w:r>
        <w:rPr>
          <w:color w:val="231F20"/>
        </w:rPr>
        <w:t>батькові;</w:t>
      </w:r>
      <w:r>
        <w:rPr>
          <w:color w:val="231F20"/>
          <w:spacing w:val="-15"/>
        </w:rPr>
        <w:t xml:space="preserve"> </w:t>
      </w:r>
      <w:r>
        <w:rPr>
          <w:color w:val="231F20"/>
        </w:rPr>
        <w:t>дата</w:t>
      </w:r>
      <w:r>
        <w:rPr>
          <w:color w:val="231F20"/>
          <w:spacing w:val="-14"/>
        </w:rPr>
        <w:t xml:space="preserve"> </w:t>
      </w:r>
      <w:r>
        <w:rPr>
          <w:color w:val="231F20"/>
        </w:rPr>
        <w:t>і</w:t>
      </w:r>
      <w:r>
        <w:rPr>
          <w:color w:val="231F20"/>
          <w:spacing w:val="-16"/>
        </w:rPr>
        <w:t xml:space="preserve"> </w:t>
      </w:r>
      <w:r>
        <w:rPr>
          <w:color w:val="231F20"/>
        </w:rPr>
        <w:t>місце</w:t>
      </w:r>
      <w:r>
        <w:rPr>
          <w:color w:val="231F20"/>
          <w:spacing w:val="-15"/>
        </w:rPr>
        <w:t xml:space="preserve"> </w:t>
      </w:r>
      <w:r>
        <w:rPr>
          <w:color w:val="231F20"/>
        </w:rPr>
        <w:t>народження;</w:t>
      </w:r>
      <w:r>
        <w:rPr>
          <w:color w:val="231F20"/>
          <w:spacing w:val="-15"/>
        </w:rPr>
        <w:t xml:space="preserve"> </w:t>
      </w:r>
      <w:r>
        <w:rPr>
          <w:color w:val="231F20"/>
        </w:rPr>
        <w:t>сімейний</w:t>
      </w:r>
    </w:p>
    <w:p w14:paraId="359A850E" w14:textId="20BEB637" w:rsidR="00DE575E" w:rsidRDefault="002E7560">
      <w:pPr>
        <w:pStyle w:val="BodyText"/>
        <w:spacing w:before="8"/>
        <w:rPr>
          <w:sz w:val="27"/>
        </w:rPr>
      </w:pPr>
      <w:r>
        <w:rPr>
          <w:noProof/>
        </w:rPr>
        <mc:AlternateContent>
          <mc:Choice Requires="wps">
            <w:drawing>
              <wp:anchor distT="0" distB="0" distL="0" distR="0" simplePos="0" relativeHeight="14608" behindDoc="0" locked="0" layoutInCell="1" allowOverlap="1" wp14:anchorId="0D463E16" wp14:editId="08C8F72A">
                <wp:simplePos x="0" y="0"/>
                <wp:positionH relativeFrom="page">
                  <wp:posOffset>539750</wp:posOffset>
                </wp:positionH>
                <wp:positionV relativeFrom="paragraph">
                  <wp:posOffset>234315</wp:posOffset>
                </wp:positionV>
                <wp:extent cx="1080135" cy="0"/>
                <wp:effectExtent l="6350" t="18415" r="31115" b="19685"/>
                <wp:wrapTopAndBottom/>
                <wp:docPr id="470"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F782D" id="Line_x0020_469" o:spid="_x0000_s1026" style="position:absolute;z-index:1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45pt" to="127.55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" strokecolor="#231f20" strokeweight=".5pt">
                <w10:wrap type="topAndBottom" anchorx="page"/>
              </v:line>
            </w:pict>
          </mc:Fallback>
        </mc:AlternateContent>
      </w:r>
    </w:p>
    <w:p w14:paraId="03EF4B6C" w14:textId="77777777" w:rsidR="00DE575E" w:rsidRDefault="002E7560">
      <w:pPr>
        <w:spacing w:line="204" w:lineRule="auto"/>
        <w:ind w:left="250" w:right="408"/>
        <w:jc w:val="both"/>
        <w:rPr>
          <w:sz w:val="16"/>
        </w:rPr>
      </w:pPr>
      <w:r>
        <w:rPr>
          <w:color w:val="231F20"/>
          <w:position w:val="5"/>
          <w:sz w:val="9"/>
        </w:rPr>
        <w:t xml:space="preserve">1   </w:t>
      </w:r>
      <w:r>
        <w:rPr>
          <w:color w:val="231F20"/>
          <w:sz w:val="16"/>
        </w:rPr>
        <w:t>Науково-практичний   коментар   до   Закону   України   «Про   державну   службу»   /   рд. кол.: К.О. Ващенко, І.Б. Коліушко, В.П. Тимощук, В.А. Дерець (відп. ред.). К.: ФОП Москаленко О.М., 2017. 796 с. URL: https://pravo.org.ua/img/books/files/151308295</w:t>
      </w:r>
      <w:r>
        <w:rPr>
          <w:color w:val="231F20"/>
          <w:sz w:val="16"/>
        </w:rPr>
        <w:t>1 commentary%20_layout_web.pdf</w:t>
      </w:r>
    </w:p>
    <w:p w14:paraId="0E2D1FD7" w14:textId="77777777" w:rsidR="00DE575E" w:rsidRDefault="00DE575E">
      <w:pPr>
        <w:pStyle w:val="BodyText"/>
        <w:spacing w:before="2"/>
        <w:rPr>
          <w:sz w:val="12"/>
        </w:rPr>
      </w:pPr>
    </w:p>
    <w:p w14:paraId="742B3805" w14:textId="77777777" w:rsidR="00DE575E" w:rsidRDefault="002E7560">
      <w:pPr>
        <w:spacing w:before="92"/>
        <w:ind w:right="411"/>
        <w:jc w:val="right"/>
        <w:rPr>
          <w:rFonts w:ascii="Times New Roman"/>
          <w:sz w:val="20"/>
        </w:rPr>
      </w:pPr>
      <w:r>
        <w:rPr>
          <w:rFonts w:ascii="Times New Roman"/>
          <w:color w:val="231F20"/>
          <w:w w:val="90"/>
          <w:sz w:val="20"/>
        </w:rPr>
        <w:t>373</w:t>
      </w:r>
    </w:p>
    <w:p w14:paraId="39110B8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DF33F1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7C8060F" w14:textId="5449797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AC887DD" wp14:editId="2BB18509">
                <wp:extent cx="4140200" cy="6350"/>
                <wp:effectExtent l="0" t="0" r="12700" b="6350"/>
                <wp:docPr id="468"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69" name="Line 46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551EFC" id="Group_x0020_46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UiaWl/AgAAmAUAAA4A&#10;AAAAAAAAAAAAAAAALAIAAGRycy9lMm9Eb2MueG1sUEsBAi0AFAAGAAgAAAAhAEynsJDZAAAAAwEA&#10;AA8AAAAAAAAAAAAAAAAA1wQAAGRycy9kb3ducmV2LnhtbFBLBQYAAAAABAAEAPMAAADdBQAAAAA=&#10;">
                <v:line id="Line_x0020_46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mzMYAAADcAAAADwAAAGRycy9kb3ducmV2LnhtbESP0WrCQBRE3wv+w3IFX0rdqEVqdBUp&#10;FEoftDX9gGv2mgR378bsaqJf7wqFPg4zc4ZZrDprxIUaXzlWMBomIIhzpysuFPxmHy9vIHxA1mgc&#10;k4IreVgte08LTLVr+Ycuu1CICGGfooIyhDqV0uclWfRDVxNH7+AaiyHKppC6wTbCrZHjJJlKixXH&#10;hRJrei8pP+7OVkF2eg7me/tl2my7n8j9aTO5nTdKDfrdeg4iUBf+w3/tT63gdTqD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YPpszGAAAA3AAAAA8AAAAAAAAA&#10;AAAAAAAAoQIAAGRycy9kb3ducmV2LnhtbFBLBQYAAAAABAAEAPkAAACUAwAAAAA=&#10;" strokecolor="#231f20" strokeweight=".5pt"/>
                <w10:anchorlock/>
              </v:group>
            </w:pict>
          </mc:Fallback>
        </mc:AlternateContent>
      </w:r>
    </w:p>
    <w:p w14:paraId="2F9D49D6" w14:textId="77777777" w:rsidR="00DE575E" w:rsidRDefault="00DE575E">
      <w:pPr>
        <w:pStyle w:val="BodyText"/>
        <w:spacing w:before="7"/>
        <w:rPr>
          <w:rFonts w:ascii="AdonisC"/>
          <w:i/>
          <w:sz w:val="11"/>
        </w:rPr>
      </w:pPr>
    </w:p>
    <w:p w14:paraId="40266F28" w14:textId="77777777" w:rsidR="00DE575E" w:rsidRDefault="002E7560">
      <w:pPr>
        <w:pStyle w:val="BodyText"/>
        <w:spacing w:before="101" w:line="252" w:lineRule="auto"/>
        <w:ind w:left="533" w:right="127"/>
        <w:jc w:val="both"/>
      </w:pPr>
      <w:r>
        <w:rPr>
          <w:color w:val="231F20"/>
        </w:rPr>
        <w:t>стан;</w:t>
      </w:r>
      <w:r>
        <w:rPr>
          <w:color w:val="231F20"/>
          <w:spacing w:val="-10"/>
        </w:rPr>
        <w:t xml:space="preserve"> </w:t>
      </w:r>
      <w:r>
        <w:rPr>
          <w:color w:val="231F20"/>
        </w:rPr>
        <w:t>освіта</w:t>
      </w:r>
      <w:r>
        <w:rPr>
          <w:color w:val="231F20"/>
          <w:spacing w:val="-10"/>
        </w:rPr>
        <w:t xml:space="preserve"> </w:t>
      </w:r>
      <w:r>
        <w:rPr>
          <w:color w:val="231F20"/>
        </w:rPr>
        <w:t>і</w:t>
      </w:r>
      <w:r>
        <w:rPr>
          <w:color w:val="231F20"/>
          <w:spacing w:val="-11"/>
        </w:rPr>
        <w:t xml:space="preserve"> </w:t>
      </w:r>
      <w:r>
        <w:rPr>
          <w:color w:val="231F20"/>
        </w:rPr>
        <w:t>спеціальність;</w:t>
      </w:r>
      <w:r>
        <w:rPr>
          <w:color w:val="231F20"/>
          <w:spacing w:val="-10"/>
        </w:rPr>
        <w:t xml:space="preserve"> </w:t>
      </w:r>
      <w:r>
        <w:rPr>
          <w:color w:val="231F20"/>
          <w:spacing w:val="-3"/>
        </w:rPr>
        <w:t>результати</w:t>
      </w:r>
      <w:r>
        <w:rPr>
          <w:color w:val="231F20"/>
          <w:spacing w:val="-10"/>
        </w:rPr>
        <w:t xml:space="preserve"> </w:t>
      </w:r>
      <w:r>
        <w:rPr>
          <w:color w:val="231F20"/>
        </w:rPr>
        <w:t>конкурсу;</w:t>
      </w:r>
      <w:r>
        <w:rPr>
          <w:color w:val="231F20"/>
          <w:spacing w:val="-10"/>
        </w:rPr>
        <w:t xml:space="preserve"> </w:t>
      </w:r>
      <w:r>
        <w:rPr>
          <w:color w:val="231F20"/>
        </w:rPr>
        <w:t>реквізити</w:t>
      </w:r>
      <w:r>
        <w:rPr>
          <w:color w:val="231F20"/>
          <w:spacing w:val="-10"/>
        </w:rPr>
        <w:t xml:space="preserve"> </w:t>
      </w:r>
      <w:r>
        <w:rPr>
          <w:color w:val="231F20"/>
        </w:rPr>
        <w:t>акта</w:t>
      </w:r>
      <w:r>
        <w:rPr>
          <w:color w:val="231F20"/>
          <w:spacing w:val="-10"/>
        </w:rPr>
        <w:t xml:space="preserve"> </w:t>
      </w:r>
      <w:r>
        <w:rPr>
          <w:color w:val="231F20"/>
        </w:rPr>
        <w:t>про призначення на посаду; дата і місце (державний орган) складення Присяги</w:t>
      </w:r>
      <w:r>
        <w:rPr>
          <w:color w:val="231F20"/>
          <w:spacing w:val="-19"/>
        </w:rPr>
        <w:t xml:space="preserve"> </w:t>
      </w:r>
      <w:r>
        <w:rPr>
          <w:color w:val="231F20"/>
        </w:rPr>
        <w:t>державного</w:t>
      </w:r>
      <w:r>
        <w:rPr>
          <w:color w:val="231F20"/>
          <w:spacing w:val="-19"/>
        </w:rPr>
        <w:t xml:space="preserve"> </w:t>
      </w:r>
      <w:r>
        <w:rPr>
          <w:color w:val="231F20"/>
        </w:rPr>
        <w:t>службовця;</w:t>
      </w:r>
      <w:r>
        <w:rPr>
          <w:color w:val="231F20"/>
          <w:spacing w:val="-19"/>
        </w:rPr>
        <w:t xml:space="preserve"> </w:t>
      </w:r>
      <w:r>
        <w:rPr>
          <w:color w:val="231F20"/>
        </w:rPr>
        <w:t>відомості</w:t>
      </w:r>
      <w:r>
        <w:rPr>
          <w:color w:val="231F20"/>
          <w:spacing w:val="-19"/>
        </w:rPr>
        <w:t xml:space="preserve"> </w:t>
      </w:r>
      <w:r>
        <w:rPr>
          <w:color w:val="231F20"/>
        </w:rPr>
        <w:t>про</w:t>
      </w:r>
      <w:r>
        <w:rPr>
          <w:color w:val="231F20"/>
          <w:spacing w:val="-19"/>
        </w:rPr>
        <w:t xml:space="preserve"> </w:t>
      </w:r>
      <w:r>
        <w:rPr>
          <w:color w:val="231F20"/>
        </w:rPr>
        <w:t>проходження</w:t>
      </w:r>
      <w:r>
        <w:rPr>
          <w:color w:val="231F20"/>
          <w:spacing w:val="-19"/>
        </w:rPr>
        <w:t xml:space="preserve"> </w:t>
      </w:r>
      <w:r>
        <w:rPr>
          <w:color w:val="231F20"/>
        </w:rPr>
        <w:t>держав- ної служби в державному органі (посада, категорія посади та ранг державного службовця, відомості про професійне навчання, ст</w:t>
      </w:r>
      <w:r>
        <w:rPr>
          <w:color w:val="231F20"/>
        </w:rPr>
        <w:t>ажу- вання, відрядження за кордон, переведення в цьому державному органі);</w:t>
      </w:r>
      <w:r>
        <w:rPr>
          <w:color w:val="231F20"/>
          <w:spacing w:val="-11"/>
        </w:rPr>
        <w:t xml:space="preserve"> </w:t>
      </w:r>
      <w:r>
        <w:rPr>
          <w:color w:val="231F20"/>
        </w:rPr>
        <w:t>відомості</w:t>
      </w:r>
      <w:r>
        <w:rPr>
          <w:color w:val="231F20"/>
          <w:spacing w:val="-10"/>
        </w:rPr>
        <w:t xml:space="preserve"> </w:t>
      </w:r>
      <w:r>
        <w:rPr>
          <w:color w:val="231F20"/>
        </w:rPr>
        <w:t>про</w:t>
      </w:r>
      <w:r>
        <w:rPr>
          <w:color w:val="231F20"/>
          <w:spacing w:val="-10"/>
        </w:rPr>
        <w:t xml:space="preserve"> </w:t>
      </w:r>
      <w:r>
        <w:rPr>
          <w:color w:val="231F20"/>
        </w:rPr>
        <w:t>оцінювання</w:t>
      </w:r>
      <w:r>
        <w:rPr>
          <w:color w:val="231F20"/>
          <w:spacing w:val="-11"/>
        </w:rPr>
        <w:t xml:space="preserve"> </w:t>
      </w:r>
      <w:r>
        <w:rPr>
          <w:color w:val="231F20"/>
          <w:spacing w:val="-3"/>
        </w:rPr>
        <w:t>результатів</w:t>
      </w:r>
      <w:r>
        <w:rPr>
          <w:color w:val="231F20"/>
          <w:spacing w:val="-10"/>
        </w:rPr>
        <w:t xml:space="preserve"> </w:t>
      </w:r>
      <w:r>
        <w:rPr>
          <w:color w:val="231F20"/>
        </w:rPr>
        <w:t>службової</w:t>
      </w:r>
      <w:r>
        <w:rPr>
          <w:color w:val="231F20"/>
          <w:spacing w:val="-11"/>
        </w:rPr>
        <w:t xml:space="preserve"> </w:t>
      </w:r>
      <w:r>
        <w:rPr>
          <w:color w:val="231F20"/>
        </w:rPr>
        <w:t>діяльності; вид і строки надання відпустки; інформація про заохочення; інфор- мація</w:t>
      </w:r>
      <w:r>
        <w:rPr>
          <w:color w:val="231F20"/>
          <w:spacing w:val="-14"/>
        </w:rPr>
        <w:t xml:space="preserve"> </w:t>
      </w:r>
      <w:r>
        <w:rPr>
          <w:color w:val="231F20"/>
        </w:rPr>
        <w:t>про</w:t>
      </w:r>
      <w:r>
        <w:rPr>
          <w:color w:val="231F20"/>
          <w:spacing w:val="-14"/>
        </w:rPr>
        <w:t xml:space="preserve"> </w:t>
      </w:r>
      <w:r>
        <w:rPr>
          <w:color w:val="231F20"/>
        </w:rPr>
        <w:t>дисциплінарні</w:t>
      </w:r>
      <w:r>
        <w:rPr>
          <w:color w:val="231F20"/>
          <w:spacing w:val="-14"/>
        </w:rPr>
        <w:t xml:space="preserve"> </w:t>
      </w:r>
      <w:r>
        <w:rPr>
          <w:color w:val="231F20"/>
        </w:rPr>
        <w:t>стягнення</w:t>
      </w:r>
      <w:r>
        <w:rPr>
          <w:color w:val="231F20"/>
          <w:spacing w:val="-14"/>
        </w:rPr>
        <w:t xml:space="preserve"> </w:t>
      </w:r>
      <w:r>
        <w:rPr>
          <w:color w:val="231F20"/>
        </w:rPr>
        <w:t>та</w:t>
      </w:r>
      <w:r>
        <w:rPr>
          <w:color w:val="231F20"/>
          <w:spacing w:val="-14"/>
        </w:rPr>
        <w:t xml:space="preserve"> </w:t>
      </w:r>
      <w:r>
        <w:rPr>
          <w:color w:val="231F20"/>
        </w:rPr>
        <w:t>їх</w:t>
      </w:r>
      <w:r>
        <w:rPr>
          <w:color w:val="231F20"/>
          <w:spacing w:val="-14"/>
        </w:rPr>
        <w:t xml:space="preserve"> </w:t>
      </w:r>
      <w:r>
        <w:rPr>
          <w:color w:val="231F20"/>
        </w:rPr>
        <w:t>зняття;</w:t>
      </w:r>
      <w:r>
        <w:rPr>
          <w:color w:val="231F20"/>
          <w:spacing w:val="-14"/>
        </w:rPr>
        <w:t xml:space="preserve"> </w:t>
      </w:r>
      <w:r>
        <w:rPr>
          <w:color w:val="231F20"/>
        </w:rPr>
        <w:t>підстава</w:t>
      </w:r>
      <w:r>
        <w:rPr>
          <w:color w:val="231F20"/>
          <w:spacing w:val="-14"/>
        </w:rPr>
        <w:t xml:space="preserve"> </w:t>
      </w:r>
      <w:r>
        <w:rPr>
          <w:color w:val="231F20"/>
        </w:rPr>
        <w:t>звільнення з</w:t>
      </w:r>
      <w:r>
        <w:rPr>
          <w:color w:val="231F20"/>
          <w:spacing w:val="-9"/>
        </w:rPr>
        <w:t xml:space="preserve"> </w:t>
      </w:r>
      <w:r>
        <w:rPr>
          <w:color w:val="231F20"/>
        </w:rPr>
        <w:t>посади</w:t>
      </w:r>
      <w:r>
        <w:rPr>
          <w:color w:val="231F20"/>
          <w:spacing w:val="-9"/>
        </w:rPr>
        <w:t xml:space="preserve"> </w:t>
      </w:r>
      <w:r>
        <w:rPr>
          <w:color w:val="231F20"/>
        </w:rPr>
        <w:t>державної</w:t>
      </w:r>
      <w:r>
        <w:rPr>
          <w:color w:val="231F20"/>
          <w:spacing w:val="-9"/>
        </w:rPr>
        <w:t xml:space="preserve"> </w:t>
      </w:r>
      <w:r>
        <w:rPr>
          <w:color w:val="231F20"/>
        </w:rPr>
        <w:t>служби</w:t>
      </w:r>
      <w:r>
        <w:rPr>
          <w:color w:val="231F20"/>
          <w:spacing w:val="-9"/>
        </w:rPr>
        <w:t xml:space="preserve"> </w:t>
      </w:r>
      <w:r>
        <w:rPr>
          <w:color w:val="231F20"/>
        </w:rPr>
        <w:t>з</w:t>
      </w:r>
      <w:r>
        <w:rPr>
          <w:color w:val="231F20"/>
          <w:spacing w:val="-9"/>
        </w:rPr>
        <w:t xml:space="preserve"> </w:t>
      </w:r>
      <w:r>
        <w:rPr>
          <w:color w:val="231F20"/>
        </w:rPr>
        <w:t>посиланням</w:t>
      </w:r>
      <w:r>
        <w:rPr>
          <w:color w:val="231F20"/>
          <w:spacing w:val="-9"/>
        </w:rPr>
        <w:t xml:space="preserve"> </w:t>
      </w:r>
      <w:r>
        <w:rPr>
          <w:color w:val="231F20"/>
        </w:rPr>
        <w:t>на</w:t>
      </w:r>
      <w:r>
        <w:rPr>
          <w:color w:val="231F20"/>
          <w:spacing w:val="-9"/>
        </w:rPr>
        <w:t xml:space="preserve"> </w:t>
      </w:r>
      <w:r>
        <w:rPr>
          <w:color w:val="231F20"/>
        </w:rPr>
        <w:t>відповідну</w:t>
      </w:r>
      <w:r>
        <w:rPr>
          <w:color w:val="231F20"/>
          <w:spacing w:val="-9"/>
        </w:rPr>
        <w:t xml:space="preserve"> </w:t>
      </w:r>
      <w:r>
        <w:rPr>
          <w:color w:val="231F20"/>
        </w:rPr>
        <w:t>норму</w:t>
      </w:r>
      <w:r>
        <w:rPr>
          <w:color w:val="231F20"/>
          <w:spacing w:val="-9"/>
        </w:rPr>
        <w:t xml:space="preserve"> </w:t>
      </w:r>
      <w:r>
        <w:rPr>
          <w:color w:val="231F20"/>
        </w:rPr>
        <w:t>права.</w:t>
      </w:r>
    </w:p>
    <w:p w14:paraId="1D833843" w14:textId="77777777" w:rsidR="00DE575E" w:rsidRDefault="00DE575E">
      <w:pPr>
        <w:pStyle w:val="BodyText"/>
        <w:rPr>
          <w:sz w:val="24"/>
        </w:rPr>
      </w:pPr>
    </w:p>
    <w:p w14:paraId="4E1216F0" w14:textId="77777777" w:rsidR="00DE575E" w:rsidRDefault="00DE575E">
      <w:pPr>
        <w:pStyle w:val="BodyText"/>
        <w:spacing w:before="8"/>
        <w:rPr>
          <w:sz w:val="19"/>
        </w:rPr>
      </w:pPr>
    </w:p>
    <w:p w14:paraId="2706E2A9" w14:textId="77777777" w:rsidR="00DE575E" w:rsidRDefault="002E7560">
      <w:pPr>
        <w:pStyle w:val="Heading4"/>
        <w:ind w:left="2551" w:right="588" w:hanging="1543"/>
      </w:pPr>
      <w:r>
        <w:rPr>
          <w:color w:val="231F20"/>
        </w:rPr>
        <w:t>2.4. Дисциплінарна та матеріальна відповідальність державного службовця</w:t>
      </w:r>
    </w:p>
    <w:p w14:paraId="4E322F55" w14:textId="77777777" w:rsidR="00DE575E" w:rsidRDefault="00DE575E">
      <w:pPr>
        <w:pStyle w:val="BodyText"/>
        <w:rPr>
          <w:b/>
          <w:sz w:val="26"/>
        </w:rPr>
      </w:pPr>
    </w:p>
    <w:p w14:paraId="764EA3B8" w14:textId="77777777" w:rsidR="00DE575E" w:rsidRDefault="002E7560">
      <w:pPr>
        <w:pStyle w:val="BodyText"/>
        <w:spacing w:before="224" w:line="252" w:lineRule="auto"/>
        <w:ind w:left="533" w:right="128" w:firstLine="283"/>
        <w:jc w:val="both"/>
      </w:pPr>
      <w:r>
        <w:rPr>
          <w:b/>
          <w:i/>
          <w:color w:val="231F20"/>
        </w:rPr>
        <w:t xml:space="preserve">Дисциплінарна відповідальність державного службовця </w:t>
      </w:r>
      <w:r>
        <w:rPr>
          <w:color w:val="231F20"/>
        </w:rPr>
        <w:t xml:space="preserve">– це вид і міра обов’язку державного службовця зазнавати відповідних негативних наслідків примусового й обмежувального характеру за вчинення дисциплінарного проступку, яка накладається визначе- ними органами чи посадовими особами на підставі та в порядку, </w:t>
      </w:r>
      <w:r>
        <w:rPr>
          <w:color w:val="231F20"/>
        </w:rPr>
        <w:t>установлених законом.</w:t>
      </w:r>
    </w:p>
    <w:p w14:paraId="41EBD3DD" w14:textId="77777777" w:rsidR="00DE575E" w:rsidRDefault="002E7560">
      <w:pPr>
        <w:pStyle w:val="BodyText"/>
        <w:spacing w:before="3" w:line="252" w:lineRule="auto"/>
        <w:ind w:left="533" w:right="126" w:firstLine="283"/>
        <w:jc w:val="both"/>
      </w:pPr>
      <w:r>
        <w:rPr>
          <w:color w:val="231F20"/>
        </w:rPr>
        <w:t xml:space="preserve">Дисциплінарна відповідальність державного службовця має загальні та спеціальні ознаки. </w:t>
      </w:r>
      <w:r>
        <w:rPr>
          <w:i/>
          <w:color w:val="231F20"/>
        </w:rPr>
        <w:t xml:space="preserve">Загальні ознаки </w:t>
      </w:r>
      <w:r>
        <w:rPr>
          <w:color w:val="231F20"/>
        </w:rPr>
        <w:t xml:space="preserve">є характерними для дисциплінарної відповідальності загалом: має зовнішній характер; пов’язана з державним примусом; установлюється </w:t>
      </w:r>
      <w:r>
        <w:rPr>
          <w:color w:val="231F20"/>
        </w:rPr>
        <w:t>нормативно- правовими актами; застосовується лише за вчинення дисциплінар- ного проступку тощо.</w:t>
      </w:r>
    </w:p>
    <w:p w14:paraId="0F2B8F3E" w14:textId="77777777" w:rsidR="00DE575E" w:rsidRDefault="002E7560">
      <w:pPr>
        <w:pStyle w:val="BodyText"/>
        <w:spacing w:before="3" w:line="252" w:lineRule="auto"/>
        <w:ind w:left="533" w:right="126" w:firstLine="283"/>
        <w:jc w:val="both"/>
      </w:pPr>
      <w:r>
        <w:rPr>
          <w:i/>
          <w:color w:val="231F20"/>
        </w:rPr>
        <w:t>Спеціальні ознаки</w:t>
      </w:r>
      <w:r>
        <w:rPr>
          <w:color w:val="231F20"/>
        </w:rPr>
        <w:t>, які притаманні лише дисциплінарній відпові- дальності державного службовця такі: урегульовано законодавст- вом про державну службу; застосову</w:t>
      </w:r>
      <w:r>
        <w:rPr>
          <w:color w:val="231F20"/>
        </w:rPr>
        <w:t>ється лише до державних служ- бовців; дисциплінарним проступком уважається невиконання або неналежне виконання посадових обов’язків, порушення правил етичної</w:t>
      </w:r>
      <w:r>
        <w:rPr>
          <w:color w:val="231F20"/>
          <w:spacing w:val="-12"/>
        </w:rPr>
        <w:t xml:space="preserve"> </w:t>
      </w:r>
      <w:r>
        <w:rPr>
          <w:color w:val="231F20"/>
        </w:rPr>
        <w:t>поведінки</w:t>
      </w:r>
      <w:r>
        <w:rPr>
          <w:color w:val="231F20"/>
          <w:spacing w:val="-12"/>
        </w:rPr>
        <w:t xml:space="preserve"> </w:t>
      </w:r>
      <w:r>
        <w:rPr>
          <w:color w:val="231F20"/>
        </w:rPr>
        <w:t>та</w:t>
      </w:r>
      <w:r>
        <w:rPr>
          <w:color w:val="231F20"/>
          <w:spacing w:val="-11"/>
        </w:rPr>
        <w:t xml:space="preserve"> </w:t>
      </w:r>
      <w:r>
        <w:rPr>
          <w:color w:val="231F20"/>
        </w:rPr>
        <w:t>інше</w:t>
      </w:r>
      <w:r>
        <w:rPr>
          <w:color w:val="231F20"/>
          <w:spacing w:val="-12"/>
        </w:rPr>
        <w:t xml:space="preserve"> </w:t>
      </w:r>
      <w:r>
        <w:rPr>
          <w:color w:val="231F20"/>
        </w:rPr>
        <w:t>порушення</w:t>
      </w:r>
      <w:r>
        <w:rPr>
          <w:color w:val="231F20"/>
          <w:spacing w:val="-12"/>
        </w:rPr>
        <w:t xml:space="preserve"> </w:t>
      </w:r>
      <w:r>
        <w:rPr>
          <w:color w:val="231F20"/>
        </w:rPr>
        <w:t>службової</w:t>
      </w:r>
      <w:r>
        <w:rPr>
          <w:color w:val="231F20"/>
          <w:spacing w:val="-12"/>
        </w:rPr>
        <w:t xml:space="preserve"> </w:t>
      </w:r>
      <w:r>
        <w:rPr>
          <w:color w:val="231F20"/>
        </w:rPr>
        <w:t>дисципліни;</w:t>
      </w:r>
      <w:r>
        <w:rPr>
          <w:color w:val="231F20"/>
          <w:spacing w:val="-12"/>
        </w:rPr>
        <w:t xml:space="preserve"> </w:t>
      </w:r>
      <w:r>
        <w:rPr>
          <w:color w:val="231F20"/>
        </w:rPr>
        <w:t>дисци- плінарне провадження порушується через ви</w:t>
      </w:r>
      <w:r>
        <w:rPr>
          <w:color w:val="231F20"/>
        </w:rPr>
        <w:t xml:space="preserve">дання відповідного наказу (розпорядження) міністром стосовно державного секретаря відповідного міністерства та </w:t>
      </w:r>
      <w:r>
        <w:rPr>
          <w:color w:val="231F20"/>
          <w:spacing w:val="-3"/>
        </w:rPr>
        <w:t xml:space="preserve">суб’єктом </w:t>
      </w:r>
      <w:r>
        <w:rPr>
          <w:color w:val="231F20"/>
        </w:rPr>
        <w:t>призначення стосовно</w:t>
      </w:r>
      <w:r>
        <w:rPr>
          <w:color w:val="231F20"/>
          <w:spacing w:val="-22"/>
        </w:rPr>
        <w:t xml:space="preserve"> </w:t>
      </w:r>
      <w:r>
        <w:rPr>
          <w:color w:val="231F20"/>
        </w:rPr>
        <w:t xml:space="preserve">інших державних службовців; особливий перелік дисциплінарних стяг- нень, які можуть застосовуватись до державного </w:t>
      </w:r>
      <w:r>
        <w:rPr>
          <w:color w:val="231F20"/>
        </w:rPr>
        <w:t>службовця</w:t>
      </w:r>
      <w:r>
        <w:rPr>
          <w:color w:val="231F20"/>
          <w:spacing w:val="-11"/>
        </w:rPr>
        <w:t xml:space="preserve"> </w:t>
      </w:r>
      <w:r>
        <w:rPr>
          <w:color w:val="231F20"/>
        </w:rPr>
        <w:t>тощо.</w:t>
      </w:r>
    </w:p>
    <w:p w14:paraId="1522FBB8" w14:textId="77777777" w:rsidR="00DE575E" w:rsidRDefault="00DE575E">
      <w:pPr>
        <w:pStyle w:val="BodyText"/>
        <w:rPr>
          <w:sz w:val="13"/>
        </w:rPr>
      </w:pPr>
    </w:p>
    <w:p w14:paraId="7A1F6C2D" w14:textId="77777777" w:rsidR="00DE575E" w:rsidRDefault="002E7560">
      <w:pPr>
        <w:spacing w:before="91"/>
        <w:ind w:left="533"/>
        <w:rPr>
          <w:rFonts w:ascii="Times New Roman"/>
          <w:sz w:val="20"/>
        </w:rPr>
      </w:pPr>
      <w:r>
        <w:rPr>
          <w:rFonts w:ascii="Times New Roman"/>
          <w:color w:val="231F20"/>
          <w:sz w:val="20"/>
        </w:rPr>
        <w:t>374</w:t>
      </w:r>
    </w:p>
    <w:p w14:paraId="2285EC3E" w14:textId="77777777" w:rsidR="00DE575E" w:rsidRDefault="00DE575E">
      <w:pPr>
        <w:rPr>
          <w:rFonts w:ascii="Times New Roman"/>
          <w:sz w:val="20"/>
        </w:rPr>
        <w:sectPr w:rsidR="00DE575E">
          <w:pgSz w:w="8510" w:h="12760"/>
          <w:pgMar w:top="660" w:right="720" w:bottom="280" w:left="600" w:header="720" w:footer="720" w:gutter="0"/>
          <w:cols w:space="720"/>
        </w:sectPr>
      </w:pPr>
    </w:p>
    <w:p w14:paraId="06C4BD99"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44AA5D77" w14:textId="5DA063C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D242C98" wp14:editId="65D2A8BE">
                <wp:extent cx="4140200" cy="6350"/>
                <wp:effectExtent l="0" t="0" r="12700" b="6350"/>
                <wp:docPr id="46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67" name="Line 46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153AFE" id="Group_x0020_46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NV2Ot/AgAAmAUAAA4A&#10;AAAAAAAAAAAAAAAALAIAAGRycy9lMm9Eb2MueG1sUEsBAi0AFAAGAAgAAAAhAEynsJDZAAAAAwEA&#10;AA8AAAAAAAAAAAAAAAAA1wQAAGRycy9kb3ducmV2LnhtbFBLBQYAAAAABAAEAPMAAADdBQAAAAA=&#10;">
                <v:line id="Line_x0020_46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XJcYAAADcAAAADwAAAGRycy9kb3ducmV2LnhtbESP0WrCQBRE3wv+w3IFX0rdqMVKdBUp&#10;FEoftDX9gGv2mgR378bsaqJf7wqFPg4zc4ZZrDprxIUaXzlWMBomIIhzpysuFPxmHy8zED4gazSO&#10;ScGVPKyWvacFptq1/EOXXShEhLBPUUEZQp1K6fOSLPqhq4mjd3CNxRBlU0jdYBvh1shxkkylxYrj&#10;Qok1vZeUH3dnqyA7PQfzvf0ybbbdT+T+tJnczhulBv1uPQcRqAv/4b/2p1bwOn2D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clyXGAAAA3AAAAA8AAAAAAAAA&#10;AAAAAAAAoQIAAGRycy9kb3ducmV2LnhtbFBLBQYAAAAABAAEAPkAAACUAwAAAAA=&#10;" strokecolor="#231f20" strokeweight=".5pt"/>
                <w10:anchorlock/>
              </v:group>
            </w:pict>
          </mc:Fallback>
        </mc:AlternateContent>
      </w:r>
    </w:p>
    <w:p w14:paraId="56D071A0" w14:textId="77777777" w:rsidR="00DE575E" w:rsidRDefault="00DE575E">
      <w:pPr>
        <w:pStyle w:val="BodyText"/>
        <w:spacing w:before="7"/>
        <w:rPr>
          <w:rFonts w:ascii="AdonisC"/>
          <w:i/>
          <w:sz w:val="19"/>
        </w:rPr>
      </w:pPr>
    </w:p>
    <w:p w14:paraId="15A3E756" w14:textId="77777777" w:rsidR="00DE575E" w:rsidRDefault="002E7560">
      <w:pPr>
        <w:pStyle w:val="BodyText"/>
        <w:spacing w:before="1" w:line="252" w:lineRule="auto"/>
        <w:ind w:left="250" w:right="411" w:firstLine="283"/>
        <w:jc w:val="both"/>
      </w:pPr>
      <w:r>
        <w:rPr>
          <w:color w:val="231F20"/>
        </w:rPr>
        <w:t>У</w:t>
      </w:r>
      <w:r>
        <w:rPr>
          <w:color w:val="231F20"/>
          <w:spacing w:val="-12"/>
        </w:rPr>
        <w:t xml:space="preserve"> </w:t>
      </w:r>
      <w:r>
        <w:rPr>
          <w:color w:val="231F20"/>
        </w:rPr>
        <w:t>науці</w:t>
      </w:r>
      <w:r>
        <w:rPr>
          <w:color w:val="231F20"/>
          <w:spacing w:val="-12"/>
        </w:rPr>
        <w:t xml:space="preserve"> </w:t>
      </w:r>
      <w:r>
        <w:rPr>
          <w:color w:val="231F20"/>
        </w:rPr>
        <w:t>адміністративного</w:t>
      </w:r>
      <w:r>
        <w:rPr>
          <w:color w:val="231F20"/>
          <w:spacing w:val="-12"/>
        </w:rPr>
        <w:t xml:space="preserve"> </w:t>
      </w:r>
      <w:r>
        <w:rPr>
          <w:color w:val="231F20"/>
        </w:rPr>
        <w:t>права</w:t>
      </w:r>
      <w:r>
        <w:rPr>
          <w:color w:val="231F20"/>
          <w:spacing w:val="-12"/>
        </w:rPr>
        <w:t xml:space="preserve"> </w:t>
      </w:r>
      <w:r>
        <w:rPr>
          <w:color w:val="231F20"/>
        </w:rPr>
        <w:t>прийнято</w:t>
      </w:r>
      <w:r>
        <w:rPr>
          <w:color w:val="231F20"/>
          <w:spacing w:val="-12"/>
        </w:rPr>
        <w:t xml:space="preserve"> </w:t>
      </w:r>
      <w:r>
        <w:rPr>
          <w:color w:val="231F20"/>
        </w:rPr>
        <w:t>виділяти</w:t>
      </w:r>
      <w:r>
        <w:rPr>
          <w:color w:val="231F20"/>
          <w:spacing w:val="-12"/>
        </w:rPr>
        <w:t xml:space="preserve"> </w:t>
      </w:r>
      <w:r>
        <w:rPr>
          <w:color w:val="231F20"/>
        </w:rPr>
        <w:t>три</w:t>
      </w:r>
      <w:r>
        <w:rPr>
          <w:color w:val="231F20"/>
          <w:spacing w:val="-12"/>
        </w:rPr>
        <w:t xml:space="preserve"> </w:t>
      </w:r>
      <w:r>
        <w:rPr>
          <w:color w:val="231F20"/>
        </w:rPr>
        <w:t xml:space="preserve">підстави дисциплінарної відповідальності – нормативну, фактичну та проце- </w:t>
      </w:r>
      <w:r>
        <w:rPr>
          <w:color w:val="231F20"/>
          <w:spacing w:val="-4"/>
        </w:rPr>
        <w:t>суальну.</w:t>
      </w:r>
    </w:p>
    <w:p w14:paraId="4BEE8A69" w14:textId="77777777" w:rsidR="00DE575E" w:rsidRDefault="002E7560">
      <w:pPr>
        <w:pStyle w:val="BodyText"/>
        <w:spacing w:before="1" w:line="252" w:lineRule="auto"/>
        <w:ind w:left="250" w:right="411" w:firstLine="283"/>
        <w:jc w:val="both"/>
      </w:pPr>
      <w:r>
        <w:rPr>
          <w:i/>
          <w:color w:val="231F20"/>
        </w:rPr>
        <w:t xml:space="preserve">Під нормативною підставою </w:t>
      </w:r>
      <w:r>
        <w:rPr>
          <w:color w:val="231F20"/>
        </w:rPr>
        <w:t>дисциплінарної відповідальності державного службовця розуміють систему правових норм, що закріплюють: а) загальні аспекти дисциплінарної відповідал</w:t>
      </w:r>
      <w:r>
        <w:rPr>
          <w:color w:val="231F20"/>
        </w:rPr>
        <w:t xml:space="preserve">ьності державного службовця </w:t>
      </w:r>
      <w:r>
        <w:rPr>
          <w:color w:val="231F20"/>
          <w:spacing w:val="-3"/>
        </w:rPr>
        <w:t xml:space="preserve">(суб’єкти </w:t>
      </w:r>
      <w:r>
        <w:rPr>
          <w:color w:val="231F20"/>
        </w:rPr>
        <w:t xml:space="preserve">відповідальності, система дисци- плінарних стягнень тощо); б) склади дисциплінарних проступків; в) коло </w:t>
      </w:r>
      <w:r>
        <w:rPr>
          <w:color w:val="231F20"/>
          <w:spacing w:val="-3"/>
        </w:rPr>
        <w:t xml:space="preserve">суб’єктів, </w:t>
      </w:r>
      <w:r>
        <w:rPr>
          <w:color w:val="231F20"/>
        </w:rPr>
        <w:t>уповноважених притягувати до дисциплінарної відповідальності; г) процедуру притягнення до дисциплінарно</w:t>
      </w:r>
      <w:r>
        <w:rPr>
          <w:color w:val="231F20"/>
        </w:rPr>
        <w:t xml:space="preserve">ї відповідальності. Правові норми, що </w:t>
      </w:r>
      <w:r>
        <w:rPr>
          <w:color w:val="231F20"/>
          <w:spacing w:val="-2"/>
        </w:rPr>
        <w:t xml:space="preserve">регулюють </w:t>
      </w:r>
      <w:r>
        <w:rPr>
          <w:color w:val="231F20"/>
        </w:rPr>
        <w:t xml:space="preserve">питання дисциплі- нарної відповідальності містяться передусім у Законі </w:t>
      </w:r>
      <w:r>
        <w:rPr>
          <w:color w:val="231F20"/>
          <w:spacing w:val="-3"/>
        </w:rPr>
        <w:t xml:space="preserve">України </w:t>
      </w:r>
      <w:r>
        <w:rPr>
          <w:color w:val="231F20"/>
        </w:rPr>
        <w:t>«Про державну службу», а також в інших нормативно-правових актах різної юридичної</w:t>
      </w:r>
      <w:r>
        <w:rPr>
          <w:color w:val="231F20"/>
          <w:spacing w:val="-3"/>
        </w:rPr>
        <w:t xml:space="preserve"> </w:t>
      </w:r>
      <w:r>
        <w:rPr>
          <w:color w:val="231F20"/>
        </w:rPr>
        <w:t>сили.</w:t>
      </w:r>
    </w:p>
    <w:p w14:paraId="1940B284" w14:textId="77777777" w:rsidR="00DE575E" w:rsidRDefault="002E7560">
      <w:pPr>
        <w:pStyle w:val="BodyText"/>
        <w:spacing w:before="6" w:line="252" w:lineRule="auto"/>
        <w:ind w:left="250" w:right="410" w:firstLine="283"/>
        <w:jc w:val="both"/>
      </w:pPr>
      <w:r>
        <w:rPr>
          <w:i/>
          <w:color w:val="231F20"/>
        </w:rPr>
        <w:t xml:space="preserve">Фактичною підставою </w:t>
      </w:r>
      <w:r>
        <w:rPr>
          <w:color w:val="231F20"/>
        </w:rPr>
        <w:t>дисциплінарної відпов</w:t>
      </w:r>
      <w:r>
        <w:rPr>
          <w:color w:val="231F20"/>
        </w:rPr>
        <w:t>ідальності держав- ного службовця є дисциплінарний проступок.</w:t>
      </w:r>
      <w:r>
        <w:rPr>
          <w:color w:val="231F20"/>
          <w:position w:val="7"/>
          <w:sz w:val="12"/>
        </w:rPr>
        <w:t xml:space="preserve">1 </w:t>
      </w:r>
      <w:r>
        <w:rPr>
          <w:color w:val="231F20"/>
        </w:rPr>
        <w:t xml:space="preserve">Дисциплінарним проступком є суспільно шкідливий протиправний винний вчинок (дія чи бездіяльність), який полягає в невиконанні або неналеж- ному виконанні своїх службових обов’язків чи в іншому </w:t>
      </w:r>
      <w:r>
        <w:rPr>
          <w:color w:val="231F20"/>
        </w:rPr>
        <w:t>порушенні службової дисципліни, за яке згідно із законом передбачено дисци- плінарну відповідальність.</w:t>
      </w:r>
    </w:p>
    <w:p w14:paraId="620D39A8" w14:textId="77777777" w:rsidR="00DE575E" w:rsidRDefault="002E7560">
      <w:pPr>
        <w:pStyle w:val="BodyText"/>
        <w:spacing w:before="3" w:line="252" w:lineRule="auto"/>
        <w:ind w:left="250" w:right="410" w:firstLine="283"/>
        <w:jc w:val="both"/>
      </w:pPr>
      <w:r>
        <w:rPr>
          <w:i/>
          <w:color w:val="231F20"/>
        </w:rPr>
        <w:t xml:space="preserve">Процесуальною підставою </w:t>
      </w:r>
      <w:r>
        <w:rPr>
          <w:color w:val="231F20"/>
        </w:rPr>
        <w:t>дисциплінарної відповідальності державного службовця є акт компетентного суб’єкта про накла- дення конкретного дисциплінарного ст</w:t>
      </w:r>
      <w:r>
        <w:rPr>
          <w:color w:val="231F20"/>
        </w:rPr>
        <w:t>ягнення за конкретний дисциплінарний проступок на конкретну винну особу.</w:t>
      </w:r>
    </w:p>
    <w:p w14:paraId="3069DBB7" w14:textId="3967AF50" w:rsidR="00DE575E" w:rsidRDefault="002E7560">
      <w:pPr>
        <w:pStyle w:val="BodyText"/>
        <w:spacing w:before="6"/>
        <w:rPr>
          <w:sz w:val="16"/>
        </w:rPr>
      </w:pPr>
      <w:r>
        <w:rPr>
          <w:noProof/>
        </w:rPr>
        <mc:AlternateContent>
          <mc:Choice Requires="wps">
            <w:drawing>
              <wp:anchor distT="0" distB="0" distL="0" distR="0" simplePos="0" relativeHeight="14680" behindDoc="0" locked="0" layoutInCell="1" allowOverlap="1" wp14:anchorId="6AD77979" wp14:editId="696DEE9B">
                <wp:simplePos x="0" y="0"/>
                <wp:positionH relativeFrom="page">
                  <wp:posOffset>539750</wp:posOffset>
                </wp:positionH>
                <wp:positionV relativeFrom="paragraph">
                  <wp:posOffset>151130</wp:posOffset>
                </wp:positionV>
                <wp:extent cx="1080135" cy="0"/>
                <wp:effectExtent l="6350" t="11430" r="31115" b="26670"/>
                <wp:wrapTopAndBottom/>
                <wp:docPr id="465"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B5CC" id="Line_x0020_464" o:spid="_x0000_s1026" style="position:absolute;z-index:14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9pt" to="127.55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sfSE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" strokecolor="#231f20" strokeweight=".5pt">
                <w10:wrap type="topAndBottom" anchorx="page"/>
              </v:line>
            </w:pict>
          </mc:Fallback>
        </mc:AlternateContent>
      </w:r>
    </w:p>
    <w:p w14:paraId="681ED4B8" w14:textId="77777777" w:rsidR="00DE575E" w:rsidRDefault="002E7560">
      <w:pPr>
        <w:spacing w:line="204" w:lineRule="auto"/>
        <w:ind w:left="250" w:right="409"/>
        <w:jc w:val="both"/>
        <w:rPr>
          <w:sz w:val="16"/>
        </w:rPr>
      </w:pPr>
      <w:r>
        <w:rPr>
          <w:color w:val="231F20"/>
          <w:position w:val="5"/>
          <w:sz w:val="9"/>
        </w:rPr>
        <w:t xml:space="preserve">1 </w:t>
      </w:r>
      <w:r>
        <w:rPr>
          <w:color w:val="231F20"/>
          <w:sz w:val="16"/>
        </w:rPr>
        <w:t xml:space="preserve">Згідно зі </w:t>
      </w:r>
      <w:r>
        <w:rPr>
          <w:color w:val="231F20"/>
          <w:spacing w:val="-6"/>
          <w:sz w:val="16"/>
        </w:rPr>
        <w:t xml:space="preserve">ст. </w:t>
      </w:r>
      <w:r>
        <w:rPr>
          <w:color w:val="231F20"/>
          <w:sz w:val="16"/>
        </w:rPr>
        <w:t xml:space="preserve">65 </w:t>
      </w:r>
      <w:r>
        <w:rPr>
          <w:color w:val="231F20"/>
          <w:spacing w:val="-2"/>
          <w:sz w:val="16"/>
        </w:rPr>
        <w:t xml:space="preserve">Закону </w:t>
      </w:r>
      <w:r>
        <w:rPr>
          <w:color w:val="231F20"/>
          <w:sz w:val="16"/>
        </w:rPr>
        <w:t xml:space="preserve">«Про державну службу» дисциплінарними проступками є: </w:t>
      </w:r>
      <w:r>
        <w:rPr>
          <w:color w:val="231F20"/>
          <w:spacing w:val="-3"/>
          <w:sz w:val="16"/>
        </w:rPr>
        <w:t xml:space="preserve">пору- </w:t>
      </w:r>
      <w:r>
        <w:rPr>
          <w:color w:val="231F20"/>
          <w:sz w:val="16"/>
        </w:rPr>
        <w:t xml:space="preserve">шення Присяги державного службовця; порушення правил етичної поведінки </w:t>
      </w:r>
      <w:r>
        <w:rPr>
          <w:color w:val="231F20"/>
          <w:spacing w:val="-3"/>
          <w:sz w:val="16"/>
        </w:rPr>
        <w:t xml:space="preserve">державних </w:t>
      </w:r>
      <w:r>
        <w:rPr>
          <w:color w:val="231F20"/>
          <w:sz w:val="16"/>
        </w:rPr>
        <w:t>службовців;</w:t>
      </w:r>
      <w:r>
        <w:rPr>
          <w:color w:val="231F20"/>
          <w:spacing w:val="-8"/>
          <w:sz w:val="16"/>
        </w:rPr>
        <w:t xml:space="preserve"> </w:t>
      </w:r>
      <w:r>
        <w:rPr>
          <w:color w:val="231F20"/>
          <w:sz w:val="16"/>
        </w:rPr>
        <w:t>вияв</w:t>
      </w:r>
      <w:r>
        <w:rPr>
          <w:color w:val="231F20"/>
          <w:spacing w:val="-8"/>
          <w:sz w:val="16"/>
        </w:rPr>
        <w:t xml:space="preserve"> </w:t>
      </w:r>
      <w:r>
        <w:rPr>
          <w:color w:val="231F20"/>
          <w:sz w:val="16"/>
        </w:rPr>
        <w:t>неповаги</w:t>
      </w:r>
      <w:r>
        <w:rPr>
          <w:color w:val="231F20"/>
          <w:spacing w:val="-8"/>
          <w:sz w:val="16"/>
        </w:rPr>
        <w:t xml:space="preserve"> </w:t>
      </w:r>
      <w:r>
        <w:rPr>
          <w:color w:val="231F20"/>
          <w:sz w:val="16"/>
        </w:rPr>
        <w:t>до</w:t>
      </w:r>
      <w:r>
        <w:rPr>
          <w:color w:val="231F20"/>
          <w:spacing w:val="-8"/>
          <w:sz w:val="16"/>
        </w:rPr>
        <w:t xml:space="preserve"> </w:t>
      </w:r>
      <w:r>
        <w:rPr>
          <w:color w:val="231F20"/>
          <w:sz w:val="16"/>
        </w:rPr>
        <w:t>держави,</w:t>
      </w:r>
      <w:r>
        <w:rPr>
          <w:color w:val="231F20"/>
          <w:spacing w:val="-8"/>
          <w:sz w:val="16"/>
        </w:rPr>
        <w:t xml:space="preserve"> </w:t>
      </w:r>
      <w:r>
        <w:rPr>
          <w:color w:val="231F20"/>
          <w:sz w:val="16"/>
        </w:rPr>
        <w:t>державних</w:t>
      </w:r>
      <w:r>
        <w:rPr>
          <w:color w:val="231F20"/>
          <w:spacing w:val="-8"/>
          <w:sz w:val="16"/>
        </w:rPr>
        <w:t xml:space="preserve"> </w:t>
      </w:r>
      <w:r>
        <w:rPr>
          <w:color w:val="231F20"/>
          <w:sz w:val="16"/>
        </w:rPr>
        <w:t>символів</w:t>
      </w:r>
      <w:r>
        <w:rPr>
          <w:color w:val="231F20"/>
          <w:spacing w:val="-8"/>
          <w:sz w:val="16"/>
        </w:rPr>
        <w:t xml:space="preserve"> </w:t>
      </w:r>
      <w:r>
        <w:rPr>
          <w:color w:val="231F20"/>
          <w:spacing w:val="-3"/>
          <w:sz w:val="16"/>
        </w:rPr>
        <w:t>України,</w:t>
      </w:r>
      <w:r>
        <w:rPr>
          <w:color w:val="231F20"/>
          <w:spacing w:val="-9"/>
          <w:sz w:val="16"/>
        </w:rPr>
        <w:t xml:space="preserve"> </w:t>
      </w:r>
      <w:r>
        <w:rPr>
          <w:color w:val="231F20"/>
          <w:spacing w:val="-3"/>
          <w:sz w:val="16"/>
        </w:rPr>
        <w:t>Українського</w:t>
      </w:r>
      <w:r>
        <w:rPr>
          <w:color w:val="231F20"/>
          <w:spacing w:val="-8"/>
          <w:sz w:val="16"/>
        </w:rPr>
        <w:t xml:space="preserve"> </w:t>
      </w:r>
      <w:r>
        <w:rPr>
          <w:color w:val="231F20"/>
          <w:spacing w:val="-3"/>
          <w:sz w:val="16"/>
        </w:rPr>
        <w:t xml:space="preserve">народу; </w:t>
      </w:r>
      <w:r>
        <w:rPr>
          <w:color w:val="231F20"/>
          <w:sz w:val="16"/>
        </w:rPr>
        <w:t xml:space="preserve">дії, що </w:t>
      </w:r>
      <w:r>
        <w:rPr>
          <w:color w:val="231F20"/>
          <w:spacing w:val="-3"/>
          <w:sz w:val="16"/>
        </w:rPr>
        <w:t xml:space="preserve">шкодять </w:t>
      </w:r>
      <w:r>
        <w:rPr>
          <w:color w:val="231F20"/>
          <w:sz w:val="16"/>
        </w:rPr>
        <w:t xml:space="preserve">авторитету державної служби; невиконання або неналежне </w:t>
      </w:r>
      <w:r>
        <w:rPr>
          <w:color w:val="231F20"/>
          <w:spacing w:val="-3"/>
          <w:sz w:val="16"/>
        </w:rPr>
        <w:t xml:space="preserve">виконання </w:t>
      </w:r>
      <w:r>
        <w:rPr>
          <w:color w:val="231F20"/>
          <w:sz w:val="16"/>
        </w:rPr>
        <w:t>посадових</w:t>
      </w:r>
      <w:r>
        <w:rPr>
          <w:color w:val="231F20"/>
          <w:spacing w:val="-4"/>
          <w:sz w:val="16"/>
        </w:rPr>
        <w:t xml:space="preserve"> </w:t>
      </w:r>
      <w:r>
        <w:rPr>
          <w:color w:val="231F20"/>
          <w:sz w:val="16"/>
        </w:rPr>
        <w:t>обов’язків,</w:t>
      </w:r>
      <w:r>
        <w:rPr>
          <w:color w:val="231F20"/>
          <w:spacing w:val="-4"/>
          <w:sz w:val="16"/>
        </w:rPr>
        <w:t xml:space="preserve"> </w:t>
      </w:r>
      <w:r>
        <w:rPr>
          <w:color w:val="231F20"/>
          <w:sz w:val="16"/>
        </w:rPr>
        <w:t>актів</w:t>
      </w:r>
      <w:r>
        <w:rPr>
          <w:color w:val="231F20"/>
          <w:spacing w:val="-4"/>
          <w:sz w:val="16"/>
        </w:rPr>
        <w:t xml:space="preserve"> </w:t>
      </w:r>
      <w:r>
        <w:rPr>
          <w:color w:val="231F20"/>
          <w:sz w:val="16"/>
        </w:rPr>
        <w:t>органів</w:t>
      </w:r>
      <w:r>
        <w:rPr>
          <w:color w:val="231F20"/>
          <w:spacing w:val="-4"/>
          <w:sz w:val="16"/>
        </w:rPr>
        <w:t xml:space="preserve"> </w:t>
      </w:r>
      <w:r>
        <w:rPr>
          <w:color w:val="231F20"/>
          <w:sz w:val="16"/>
        </w:rPr>
        <w:t>державної</w:t>
      </w:r>
      <w:r>
        <w:rPr>
          <w:color w:val="231F20"/>
          <w:spacing w:val="-4"/>
          <w:sz w:val="16"/>
        </w:rPr>
        <w:t xml:space="preserve"> </w:t>
      </w:r>
      <w:r>
        <w:rPr>
          <w:color w:val="231F20"/>
          <w:sz w:val="16"/>
        </w:rPr>
        <w:t>влади,</w:t>
      </w:r>
      <w:r>
        <w:rPr>
          <w:color w:val="231F20"/>
          <w:spacing w:val="-4"/>
          <w:sz w:val="16"/>
        </w:rPr>
        <w:t xml:space="preserve"> </w:t>
      </w:r>
      <w:r>
        <w:rPr>
          <w:color w:val="231F20"/>
          <w:sz w:val="16"/>
        </w:rPr>
        <w:t>наказів</w:t>
      </w:r>
      <w:r>
        <w:rPr>
          <w:color w:val="231F20"/>
          <w:spacing w:val="-4"/>
          <w:sz w:val="16"/>
        </w:rPr>
        <w:t xml:space="preserve"> </w:t>
      </w:r>
      <w:r>
        <w:rPr>
          <w:color w:val="231F20"/>
          <w:sz w:val="16"/>
        </w:rPr>
        <w:t>(розпоряджень)</w:t>
      </w:r>
      <w:r>
        <w:rPr>
          <w:color w:val="231F20"/>
          <w:spacing w:val="-4"/>
          <w:sz w:val="16"/>
        </w:rPr>
        <w:t xml:space="preserve"> </w:t>
      </w:r>
      <w:r>
        <w:rPr>
          <w:color w:val="231F20"/>
          <w:sz w:val="16"/>
        </w:rPr>
        <w:t>та</w:t>
      </w:r>
      <w:r>
        <w:rPr>
          <w:color w:val="231F20"/>
          <w:spacing w:val="-4"/>
          <w:sz w:val="16"/>
        </w:rPr>
        <w:t xml:space="preserve"> </w:t>
      </w:r>
      <w:r>
        <w:rPr>
          <w:color w:val="231F20"/>
          <w:spacing w:val="-3"/>
          <w:sz w:val="16"/>
        </w:rPr>
        <w:t xml:space="preserve">доручень </w:t>
      </w:r>
      <w:r>
        <w:rPr>
          <w:color w:val="231F20"/>
          <w:sz w:val="16"/>
        </w:rPr>
        <w:t xml:space="preserve">керівників, </w:t>
      </w:r>
      <w:r>
        <w:rPr>
          <w:color w:val="231F20"/>
          <w:sz w:val="16"/>
        </w:rPr>
        <w:t xml:space="preserve">прийнятих у межах їхніх </w:t>
      </w:r>
      <w:r>
        <w:rPr>
          <w:color w:val="231F20"/>
          <w:spacing w:val="-2"/>
          <w:sz w:val="16"/>
        </w:rPr>
        <w:t xml:space="preserve">повноважень; недотримання </w:t>
      </w:r>
      <w:r>
        <w:rPr>
          <w:color w:val="231F20"/>
          <w:sz w:val="16"/>
        </w:rPr>
        <w:t xml:space="preserve">правил внутрішнього службового розпорядку; перевищення службових </w:t>
      </w:r>
      <w:r>
        <w:rPr>
          <w:color w:val="231F20"/>
          <w:spacing w:val="-2"/>
          <w:sz w:val="16"/>
        </w:rPr>
        <w:t xml:space="preserve">повноважень, </w:t>
      </w:r>
      <w:r>
        <w:rPr>
          <w:color w:val="231F20"/>
          <w:sz w:val="16"/>
        </w:rPr>
        <w:t xml:space="preserve">якщо воно не містить складу злочину або адміністративного </w:t>
      </w:r>
      <w:r>
        <w:rPr>
          <w:color w:val="231F20"/>
          <w:spacing w:val="-3"/>
          <w:sz w:val="16"/>
        </w:rPr>
        <w:t xml:space="preserve">правопорушення; </w:t>
      </w:r>
      <w:r>
        <w:rPr>
          <w:color w:val="231F20"/>
          <w:sz w:val="16"/>
        </w:rPr>
        <w:t xml:space="preserve">невиконання вимог </w:t>
      </w:r>
      <w:r>
        <w:rPr>
          <w:color w:val="231F20"/>
          <w:spacing w:val="-3"/>
          <w:sz w:val="16"/>
        </w:rPr>
        <w:t xml:space="preserve">щодо </w:t>
      </w:r>
      <w:r>
        <w:rPr>
          <w:color w:val="231F20"/>
          <w:sz w:val="16"/>
        </w:rPr>
        <w:t xml:space="preserve">полі- тичної </w:t>
      </w:r>
      <w:r>
        <w:rPr>
          <w:color w:val="231F20"/>
          <w:spacing w:val="-3"/>
          <w:sz w:val="16"/>
        </w:rPr>
        <w:t xml:space="preserve">неупередженості </w:t>
      </w:r>
      <w:r>
        <w:rPr>
          <w:color w:val="231F20"/>
          <w:sz w:val="16"/>
        </w:rPr>
        <w:t>де</w:t>
      </w:r>
      <w:r>
        <w:rPr>
          <w:color w:val="231F20"/>
          <w:sz w:val="16"/>
        </w:rPr>
        <w:t xml:space="preserve">ржавного службовця; використання повноважень в особистих (приватних) інтересах або в неправомірних особистих інтересах інших осіб; </w:t>
      </w:r>
      <w:r>
        <w:rPr>
          <w:color w:val="231F20"/>
          <w:spacing w:val="-3"/>
          <w:sz w:val="16"/>
        </w:rPr>
        <w:t xml:space="preserve">подання </w:t>
      </w:r>
      <w:r>
        <w:rPr>
          <w:color w:val="231F20"/>
          <w:spacing w:val="-2"/>
          <w:sz w:val="16"/>
        </w:rPr>
        <w:t xml:space="preserve">під </w:t>
      </w:r>
      <w:r>
        <w:rPr>
          <w:color w:val="231F20"/>
          <w:sz w:val="16"/>
        </w:rPr>
        <w:t xml:space="preserve">час вступу на державну службу недостовірної інформації про обставини, що </w:t>
      </w:r>
      <w:r>
        <w:rPr>
          <w:color w:val="231F20"/>
          <w:spacing w:val="-3"/>
          <w:sz w:val="16"/>
        </w:rPr>
        <w:t xml:space="preserve">перешкоджа- </w:t>
      </w:r>
      <w:r>
        <w:rPr>
          <w:color w:val="231F20"/>
          <w:spacing w:val="-2"/>
          <w:sz w:val="16"/>
        </w:rPr>
        <w:t>ють</w:t>
      </w:r>
      <w:r>
        <w:rPr>
          <w:color w:val="231F20"/>
          <w:spacing w:val="-12"/>
          <w:sz w:val="16"/>
        </w:rPr>
        <w:t xml:space="preserve"> </w:t>
      </w:r>
      <w:r>
        <w:rPr>
          <w:color w:val="231F20"/>
          <w:sz w:val="16"/>
        </w:rPr>
        <w:t>реалізації</w:t>
      </w:r>
      <w:r>
        <w:rPr>
          <w:color w:val="231F20"/>
          <w:spacing w:val="-12"/>
          <w:sz w:val="16"/>
        </w:rPr>
        <w:t xml:space="preserve"> </w:t>
      </w:r>
      <w:r>
        <w:rPr>
          <w:color w:val="231F20"/>
          <w:sz w:val="16"/>
        </w:rPr>
        <w:t>права</w:t>
      </w:r>
      <w:r>
        <w:rPr>
          <w:color w:val="231F20"/>
          <w:spacing w:val="-12"/>
          <w:sz w:val="16"/>
        </w:rPr>
        <w:t xml:space="preserve"> </w:t>
      </w:r>
      <w:r>
        <w:rPr>
          <w:color w:val="231F20"/>
          <w:sz w:val="16"/>
        </w:rPr>
        <w:t>на</w:t>
      </w:r>
      <w:r>
        <w:rPr>
          <w:color w:val="231F20"/>
          <w:spacing w:val="-12"/>
          <w:sz w:val="16"/>
        </w:rPr>
        <w:t xml:space="preserve"> </w:t>
      </w:r>
      <w:r>
        <w:rPr>
          <w:color w:val="231F20"/>
          <w:sz w:val="16"/>
        </w:rPr>
        <w:t>держ</w:t>
      </w:r>
      <w:r>
        <w:rPr>
          <w:color w:val="231F20"/>
          <w:sz w:val="16"/>
        </w:rPr>
        <w:t>авну</w:t>
      </w:r>
      <w:r>
        <w:rPr>
          <w:color w:val="231F20"/>
          <w:spacing w:val="-12"/>
          <w:sz w:val="16"/>
        </w:rPr>
        <w:t xml:space="preserve"> </w:t>
      </w:r>
      <w:r>
        <w:rPr>
          <w:color w:val="231F20"/>
          <w:spacing w:val="-4"/>
          <w:sz w:val="16"/>
        </w:rPr>
        <w:t>службу,</w:t>
      </w:r>
      <w:r>
        <w:rPr>
          <w:color w:val="231F20"/>
          <w:spacing w:val="-12"/>
          <w:sz w:val="16"/>
        </w:rPr>
        <w:t xml:space="preserve"> </w:t>
      </w:r>
      <w:r>
        <w:rPr>
          <w:color w:val="231F20"/>
          <w:sz w:val="16"/>
        </w:rPr>
        <w:t>а</w:t>
      </w:r>
      <w:r>
        <w:rPr>
          <w:color w:val="231F20"/>
          <w:spacing w:val="-11"/>
          <w:sz w:val="16"/>
        </w:rPr>
        <w:t xml:space="preserve"> </w:t>
      </w:r>
      <w:r>
        <w:rPr>
          <w:color w:val="231F20"/>
          <w:spacing w:val="-3"/>
          <w:sz w:val="16"/>
        </w:rPr>
        <w:t>також</w:t>
      </w:r>
      <w:r>
        <w:rPr>
          <w:color w:val="231F20"/>
          <w:spacing w:val="-12"/>
          <w:sz w:val="16"/>
        </w:rPr>
        <w:t xml:space="preserve"> </w:t>
      </w:r>
      <w:r>
        <w:rPr>
          <w:color w:val="231F20"/>
          <w:spacing w:val="-3"/>
          <w:sz w:val="16"/>
        </w:rPr>
        <w:t>неподання</w:t>
      </w:r>
      <w:r>
        <w:rPr>
          <w:color w:val="231F20"/>
          <w:spacing w:val="-12"/>
          <w:sz w:val="16"/>
        </w:rPr>
        <w:t xml:space="preserve"> </w:t>
      </w:r>
      <w:r>
        <w:rPr>
          <w:color w:val="231F20"/>
          <w:sz w:val="16"/>
        </w:rPr>
        <w:t>необхідної</w:t>
      </w:r>
      <w:r>
        <w:rPr>
          <w:color w:val="231F20"/>
          <w:spacing w:val="-12"/>
          <w:sz w:val="16"/>
        </w:rPr>
        <w:t xml:space="preserve"> </w:t>
      </w:r>
      <w:r>
        <w:rPr>
          <w:color w:val="231F20"/>
          <w:sz w:val="16"/>
        </w:rPr>
        <w:t>інформації</w:t>
      </w:r>
      <w:r>
        <w:rPr>
          <w:color w:val="231F20"/>
          <w:spacing w:val="-12"/>
          <w:sz w:val="16"/>
        </w:rPr>
        <w:t xml:space="preserve"> </w:t>
      </w:r>
      <w:r>
        <w:rPr>
          <w:color w:val="231F20"/>
          <w:sz w:val="16"/>
        </w:rPr>
        <w:t>про</w:t>
      </w:r>
      <w:r>
        <w:rPr>
          <w:color w:val="231F20"/>
          <w:spacing w:val="-12"/>
          <w:sz w:val="16"/>
        </w:rPr>
        <w:t xml:space="preserve"> </w:t>
      </w:r>
      <w:r>
        <w:rPr>
          <w:color w:val="231F20"/>
          <w:sz w:val="16"/>
        </w:rPr>
        <w:t>такі обставини,</w:t>
      </w:r>
      <w:r>
        <w:rPr>
          <w:color w:val="231F20"/>
          <w:spacing w:val="-12"/>
          <w:sz w:val="16"/>
        </w:rPr>
        <w:t xml:space="preserve"> </w:t>
      </w:r>
      <w:r>
        <w:rPr>
          <w:color w:val="231F20"/>
          <w:sz w:val="16"/>
        </w:rPr>
        <w:t>що</w:t>
      </w:r>
      <w:r>
        <w:rPr>
          <w:color w:val="231F20"/>
          <w:spacing w:val="-12"/>
          <w:sz w:val="16"/>
        </w:rPr>
        <w:t xml:space="preserve"> </w:t>
      </w:r>
      <w:r>
        <w:rPr>
          <w:color w:val="231F20"/>
          <w:sz w:val="16"/>
        </w:rPr>
        <w:t>виникли</w:t>
      </w:r>
      <w:r>
        <w:rPr>
          <w:color w:val="231F20"/>
          <w:spacing w:val="-12"/>
          <w:sz w:val="16"/>
        </w:rPr>
        <w:t xml:space="preserve"> </w:t>
      </w:r>
      <w:r>
        <w:rPr>
          <w:color w:val="231F20"/>
          <w:sz w:val="16"/>
        </w:rPr>
        <w:t>під</w:t>
      </w:r>
      <w:r>
        <w:rPr>
          <w:color w:val="231F20"/>
          <w:spacing w:val="-12"/>
          <w:sz w:val="16"/>
        </w:rPr>
        <w:t xml:space="preserve"> </w:t>
      </w:r>
      <w:r>
        <w:rPr>
          <w:color w:val="231F20"/>
          <w:sz w:val="16"/>
        </w:rPr>
        <w:t>час</w:t>
      </w:r>
      <w:r>
        <w:rPr>
          <w:color w:val="231F20"/>
          <w:spacing w:val="-12"/>
          <w:sz w:val="16"/>
        </w:rPr>
        <w:t xml:space="preserve"> </w:t>
      </w:r>
      <w:r>
        <w:rPr>
          <w:color w:val="231F20"/>
          <w:spacing w:val="-3"/>
          <w:sz w:val="16"/>
        </w:rPr>
        <w:t>проходження</w:t>
      </w:r>
      <w:r>
        <w:rPr>
          <w:color w:val="231F20"/>
          <w:spacing w:val="-12"/>
          <w:sz w:val="16"/>
        </w:rPr>
        <w:t xml:space="preserve"> </w:t>
      </w:r>
      <w:r>
        <w:rPr>
          <w:color w:val="231F20"/>
          <w:sz w:val="16"/>
        </w:rPr>
        <w:t>служби;</w:t>
      </w:r>
      <w:r>
        <w:rPr>
          <w:color w:val="231F20"/>
          <w:spacing w:val="-12"/>
          <w:sz w:val="16"/>
        </w:rPr>
        <w:t xml:space="preserve"> </w:t>
      </w:r>
      <w:r>
        <w:rPr>
          <w:color w:val="231F20"/>
          <w:sz w:val="16"/>
        </w:rPr>
        <w:t>неповідомлення</w:t>
      </w:r>
      <w:r>
        <w:rPr>
          <w:color w:val="231F20"/>
          <w:spacing w:val="-12"/>
          <w:sz w:val="16"/>
        </w:rPr>
        <w:t xml:space="preserve"> </w:t>
      </w:r>
      <w:r>
        <w:rPr>
          <w:color w:val="231F20"/>
          <w:spacing w:val="-2"/>
          <w:sz w:val="16"/>
        </w:rPr>
        <w:t>керівнику</w:t>
      </w:r>
      <w:r>
        <w:rPr>
          <w:color w:val="231F20"/>
          <w:spacing w:val="-12"/>
          <w:sz w:val="16"/>
        </w:rPr>
        <w:t xml:space="preserve"> </w:t>
      </w:r>
      <w:r>
        <w:rPr>
          <w:color w:val="231F20"/>
          <w:spacing w:val="-3"/>
          <w:sz w:val="16"/>
        </w:rPr>
        <w:t xml:space="preserve">державної </w:t>
      </w:r>
      <w:r>
        <w:rPr>
          <w:color w:val="231F20"/>
          <w:sz w:val="16"/>
        </w:rPr>
        <w:t xml:space="preserve">служби про виникнення відносин прямої підпорядкованості між державним службовцем та близькими особами у 15-денний строк з дня їх виникнення; </w:t>
      </w:r>
      <w:r>
        <w:rPr>
          <w:color w:val="231F20"/>
          <w:spacing w:val="-3"/>
          <w:sz w:val="16"/>
        </w:rPr>
        <w:t xml:space="preserve">прогул </w:t>
      </w:r>
      <w:r>
        <w:rPr>
          <w:color w:val="231F20"/>
          <w:sz w:val="16"/>
        </w:rPr>
        <w:t xml:space="preserve">державного служ- бовця (у тому числі відсутність на службі більше </w:t>
      </w:r>
      <w:r>
        <w:rPr>
          <w:color w:val="231F20"/>
          <w:spacing w:val="-3"/>
          <w:sz w:val="16"/>
        </w:rPr>
        <w:t xml:space="preserve">трьох годин протягом </w:t>
      </w:r>
      <w:r>
        <w:rPr>
          <w:color w:val="231F20"/>
          <w:sz w:val="16"/>
        </w:rPr>
        <w:t xml:space="preserve">робочого дня) </w:t>
      </w:r>
      <w:r>
        <w:rPr>
          <w:color w:val="231F20"/>
          <w:spacing w:val="-2"/>
          <w:sz w:val="16"/>
        </w:rPr>
        <w:t xml:space="preserve">без </w:t>
      </w:r>
      <w:r>
        <w:rPr>
          <w:color w:val="231F20"/>
          <w:sz w:val="16"/>
        </w:rPr>
        <w:t>пов</w:t>
      </w:r>
      <w:r>
        <w:rPr>
          <w:color w:val="231F20"/>
          <w:sz w:val="16"/>
        </w:rPr>
        <w:t>ажних</w:t>
      </w:r>
      <w:r>
        <w:rPr>
          <w:color w:val="231F20"/>
          <w:spacing w:val="-12"/>
          <w:sz w:val="16"/>
        </w:rPr>
        <w:t xml:space="preserve"> </w:t>
      </w:r>
      <w:r>
        <w:rPr>
          <w:color w:val="231F20"/>
          <w:sz w:val="16"/>
        </w:rPr>
        <w:t>причин;</w:t>
      </w:r>
      <w:r>
        <w:rPr>
          <w:color w:val="231F20"/>
          <w:spacing w:val="-12"/>
          <w:sz w:val="16"/>
        </w:rPr>
        <w:t xml:space="preserve"> </w:t>
      </w:r>
      <w:r>
        <w:rPr>
          <w:color w:val="231F20"/>
          <w:sz w:val="16"/>
        </w:rPr>
        <w:t>поява</w:t>
      </w:r>
      <w:r>
        <w:rPr>
          <w:color w:val="231F20"/>
          <w:spacing w:val="-12"/>
          <w:sz w:val="16"/>
        </w:rPr>
        <w:t xml:space="preserve"> </w:t>
      </w:r>
      <w:r>
        <w:rPr>
          <w:color w:val="231F20"/>
          <w:sz w:val="16"/>
        </w:rPr>
        <w:t>державного</w:t>
      </w:r>
      <w:r>
        <w:rPr>
          <w:color w:val="231F20"/>
          <w:spacing w:val="-12"/>
          <w:sz w:val="16"/>
        </w:rPr>
        <w:t xml:space="preserve"> </w:t>
      </w:r>
      <w:r>
        <w:rPr>
          <w:color w:val="231F20"/>
          <w:sz w:val="16"/>
        </w:rPr>
        <w:t>службовця</w:t>
      </w:r>
      <w:r>
        <w:rPr>
          <w:color w:val="231F20"/>
          <w:spacing w:val="-12"/>
          <w:sz w:val="16"/>
        </w:rPr>
        <w:t xml:space="preserve"> </w:t>
      </w:r>
      <w:r>
        <w:rPr>
          <w:color w:val="231F20"/>
          <w:sz w:val="16"/>
        </w:rPr>
        <w:t>на</w:t>
      </w:r>
      <w:r>
        <w:rPr>
          <w:color w:val="231F20"/>
          <w:spacing w:val="-12"/>
          <w:sz w:val="16"/>
        </w:rPr>
        <w:t xml:space="preserve"> </w:t>
      </w:r>
      <w:r>
        <w:rPr>
          <w:color w:val="231F20"/>
          <w:sz w:val="16"/>
        </w:rPr>
        <w:t>службі</w:t>
      </w:r>
      <w:r>
        <w:rPr>
          <w:color w:val="231F20"/>
          <w:spacing w:val="-12"/>
          <w:sz w:val="16"/>
        </w:rPr>
        <w:t xml:space="preserve"> </w:t>
      </w:r>
      <w:r>
        <w:rPr>
          <w:color w:val="231F20"/>
          <w:sz w:val="16"/>
        </w:rPr>
        <w:t>в</w:t>
      </w:r>
      <w:r>
        <w:rPr>
          <w:color w:val="231F20"/>
          <w:spacing w:val="-13"/>
          <w:sz w:val="16"/>
        </w:rPr>
        <w:t xml:space="preserve"> </w:t>
      </w:r>
      <w:r>
        <w:rPr>
          <w:color w:val="231F20"/>
          <w:sz w:val="16"/>
        </w:rPr>
        <w:t>нетверезому</w:t>
      </w:r>
      <w:r>
        <w:rPr>
          <w:color w:val="231F20"/>
          <w:spacing w:val="-12"/>
          <w:sz w:val="16"/>
        </w:rPr>
        <w:t xml:space="preserve"> </w:t>
      </w:r>
      <w:r>
        <w:rPr>
          <w:color w:val="231F20"/>
          <w:sz w:val="16"/>
        </w:rPr>
        <w:t>стані,</w:t>
      </w:r>
      <w:r>
        <w:rPr>
          <w:color w:val="231F20"/>
          <w:spacing w:val="-12"/>
          <w:sz w:val="16"/>
        </w:rPr>
        <w:t xml:space="preserve"> </w:t>
      </w:r>
      <w:r>
        <w:rPr>
          <w:color w:val="231F20"/>
          <w:sz w:val="16"/>
        </w:rPr>
        <w:t>у</w:t>
      </w:r>
      <w:r>
        <w:rPr>
          <w:color w:val="231F20"/>
          <w:spacing w:val="-13"/>
          <w:sz w:val="16"/>
        </w:rPr>
        <w:t xml:space="preserve"> </w:t>
      </w:r>
      <w:r>
        <w:rPr>
          <w:color w:val="231F20"/>
          <w:sz w:val="16"/>
        </w:rPr>
        <w:t>стані</w:t>
      </w:r>
      <w:r>
        <w:rPr>
          <w:color w:val="231F20"/>
          <w:spacing w:val="-12"/>
          <w:sz w:val="16"/>
        </w:rPr>
        <w:t xml:space="preserve"> </w:t>
      </w:r>
      <w:r>
        <w:rPr>
          <w:color w:val="231F20"/>
          <w:sz w:val="16"/>
        </w:rPr>
        <w:t xml:space="preserve">нар- </w:t>
      </w:r>
      <w:r>
        <w:rPr>
          <w:color w:val="231F20"/>
          <w:spacing w:val="-3"/>
          <w:sz w:val="16"/>
        </w:rPr>
        <w:t>котичного</w:t>
      </w:r>
      <w:r>
        <w:rPr>
          <w:color w:val="231F20"/>
          <w:spacing w:val="-19"/>
          <w:sz w:val="16"/>
        </w:rPr>
        <w:t xml:space="preserve"> </w:t>
      </w:r>
      <w:r>
        <w:rPr>
          <w:color w:val="231F20"/>
          <w:sz w:val="16"/>
        </w:rPr>
        <w:t>або</w:t>
      </w:r>
      <w:r>
        <w:rPr>
          <w:color w:val="231F20"/>
          <w:spacing w:val="-19"/>
          <w:sz w:val="16"/>
        </w:rPr>
        <w:t xml:space="preserve"> </w:t>
      </w:r>
      <w:r>
        <w:rPr>
          <w:color w:val="231F20"/>
          <w:sz w:val="16"/>
        </w:rPr>
        <w:t>токсичного</w:t>
      </w:r>
      <w:r>
        <w:rPr>
          <w:color w:val="231F20"/>
          <w:spacing w:val="-19"/>
          <w:sz w:val="16"/>
        </w:rPr>
        <w:t xml:space="preserve"> </w:t>
      </w:r>
      <w:r>
        <w:rPr>
          <w:color w:val="231F20"/>
          <w:sz w:val="16"/>
        </w:rPr>
        <w:t>сп’яніння;</w:t>
      </w:r>
      <w:r>
        <w:rPr>
          <w:color w:val="231F20"/>
          <w:spacing w:val="-19"/>
          <w:sz w:val="16"/>
        </w:rPr>
        <w:t xml:space="preserve"> </w:t>
      </w:r>
      <w:r>
        <w:rPr>
          <w:color w:val="231F20"/>
          <w:spacing w:val="-3"/>
          <w:sz w:val="16"/>
        </w:rPr>
        <w:t>прийняття</w:t>
      </w:r>
      <w:r>
        <w:rPr>
          <w:color w:val="231F20"/>
          <w:spacing w:val="-19"/>
          <w:sz w:val="16"/>
        </w:rPr>
        <w:t xml:space="preserve"> </w:t>
      </w:r>
      <w:r>
        <w:rPr>
          <w:color w:val="231F20"/>
          <w:sz w:val="16"/>
        </w:rPr>
        <w:t>державним</w:t>
      </w:r>
      <w:r>
        <w:rPr>
          <w:color w:val="231F20"/>
          <w:spacing w:val="-19"/>
          <w:sz w:val="16"/>
        </w:rPr>
        <w:t xml:space="preserve"> </w:t>
      </w:r>
      <w:r>
        <w:rPr>
          <w:color w:val="231F20"/>
          <w:sz w:val="16"/>
        </w:rPr>
        <w:t>службовцем</w:t>
      </w:r>
      <w:r>
        <w:rPr>
          <w:color w:val="231F20"/>
          <w:spacing w:val="-19"/>
          <w:sz w:val="16"/>
        </w:rPr>
        <w:t xml:space="preserve"> </w:t>
      </w:r>
      <w:r>
        <w:rPr>
          <w:color w:val="231F20"/>
          <w:sz w:val="16"/>
        </w:rPr>
        <w:t>необґрунтованого рішення,</w:t>
      </w:r>
      <w:r>
        <w:rPr>
          <w:color w:val="231F20"/>
          <w:spacing w:val="-14"/>
          <w:sz w:val="16"/>
        </w:rPr>
        <w:t xml:space="preserve"> </w:t>
      </w:r>
      <w:r>
        <w:rPr>
          <w:color w:val="231F20"/>
          <w:sz w:val="16"/>
        </w:rPr>
        <w:t>що</w:t>
      </w:r>
      <w:r>
        <w:rPr>
          <w:color w:val="231F20"/>
          <w:spacing w:val="-14"/>
          <w:sz w:val="16"/>
        </w:rPr>
        <w:t xml:space="preserve"> </w:t>
      </w:r>
      <w:r>
        <w:rPr>
          <w:color w:val="231F20"/>
          <w:sz w:val="16"/>
        </w:rPr>
        <w:t>спричинило</w:t>
      </w:r>
      <w:r>
        <w:rPr>
          <w:color w:val="231F20"/>
          <w:spacing w:val="-14"/>
          <w:sz w:val="16"/>
        </w:rPr>
        <w:t xml:space="preserve"> </w:t>
      </w:r>
      <w:r>
        <w:rPr>
          <w:color w:val="231F20"/>
          <w:sz w:val="16"/>
        </w:rPr>
        <w:t>порушення</w:t>
      </w:r>
      <w:r>
        <w:rPr>
          <w:color w:val="231F20"/>
          <w:spacing w:val="-14"/>
          <w:sz w:val="16"/>
        </w:rPr>
        <w:t xml:space="preserve"> </w:t>
      </w:r>
      <w:r>
        <w:rPr>
          <w:color w:val="231F20"/>
          <w:sz w:val="16"/>
        </w:rPr>
        <w:t>цілісності</w:t>
      </w:r>
      <w:r>
        <w:rPr>
          <w:color w:val="231F20"/>
          <w:spacing w:val="-14"/>
          <w:sz w:val="16"/>
        </w:rPr>
        <w:t xml:space="preserve"> </w:t>
      </w:r>
      <w:r>
        <w:rPr>
          <w:color w:val="231F20"/>
          <w:sz w:val="16"/>
        </w:rPr>
        <w:t>державного</w:t>
      </w:r>
      <w:r>
        <w:rPr>
          <w:color w:val="231F20"/>
          <w:spacing w:val="-14"/>
          <w:sz w:val="16"/>
        </w:rPr>
        <w:t xml:space="preserve"> </w:t>
      </w:r>
      <w:r>
        <w:rPr>
          <w:color w:val="231F20"/>
          <w:sz w:val="16"/>
        </w:rPr>
        <w:t>або</w:t>
      </w:r>
      <w:r>
        <w:rPr>
          <w:color w:val="231F20"/>
          <w:spacing w:val="-14"/>
          <w:sz w:val="16"/>
        </w:rPr>
        <w:t xml:space="preserve"> </w:t>
      </w:r>
      <w:r>
        <w:rPr>
          <w:color w:val="231F20"/>
          <w:sz w:val="16"/>
        </w:rPr>
        <w:t>комунального</w:t>
      </w:r>
      <w:r>
        <w:rPr>
          <w:color w:val="231F20"/>
          <w:spacing w:val="-14"/>
          <w:sz w:val="16"/>
        </w:rPr>
        <w:t xml:space="preserve"> </w:t>
      </w:r>
      <w:r>
        <w:rPr>
          <w:color w:val="231F20"/>
          <w:sz w:val="16"/>
        </w:rPr>
        <w:t>майна,</w:t>
      </w:r>
      <w:r>
        <w:rPr>
          <w:color w:val="231F20"/>
          <w:spacing w:val="-14"/>
          <w:sz w:val="16"/>
        </w:rPr>
        <w:t xml:space="preserve"> </w:t>
      </w:r>
      <w:r>
        <w:rPr>
          <w:color w:val="231F20"/>
          <w:sz w:val="16"/>
        </w:rPr>
        <w:t xml:space="preserve">неза- конне їх використання або інше </w:t>
      </w:r>
      <w:r>
        <w:rPr>
          <w:color w:val="231F20"/>
          <w:spacing w:val="-3"/>
          <w:sz w:val="16"/>
        </w:rPr>
        <w:t xml:space="preserve">заподіяння шкоди </w:t>
      </w:r>
      <w:r>
        <w:rPr>
          <w:color w:val="231F20"/>
          <w:sz w:val="16"/>
        </w:rPr>
        <w:t xml:space="preserve">державному чи комунальному </w:t>
      </w:r>
      <w:r>
        <w:rPr>
          <w:color w:val="231F20"/>
          <w:spacing w:val="-4"/>
          <w:sz w:val="16"/>
        </w:rPr>
        <w:t xml:space="preserve">майну, </w:t>
      </w:r>
      <w:r>
        <w:rPr>
          <w:color w:val="231F20"/>
          <w:sz w:val="16"/>
        </w:rPr>
        <w:t>якщо</w:t>
      </w:r>
      <w:r>
        <w:rPr>
          <w:color w:val="231F20"/>
          <w:spacing w:val="-6"/>
          <w:sz w:val="16"/>
        </w:rPr>
        <w:t xml:space="preserve"> </w:t>
      </w:r>
      <w:r>
        <w:rPr>
          <w:color w:val="231F20"/>
          <w:sz w:val="16"/>
        </w:rPr>
        <w:t>такі</w:t>
      </w:r>
      <w:r>
        <w:rPr>
          <w:color w:val="231F20"/>
          <w:spacing w:val="-6"/>
          <w:sz w:val="16"/>
        </w:rPr>
        <w:t xml:space="preserve"> </w:t>
      </w:r>
      <w:r>
        <w:rPr>
          <w:color w:val="231F20"/>
          <w:sz w:val="16"/>
        </w:rPr>
        <w:t>дії</w:t>
      </w:r>
      <w:r>
        <w:rPr>
          <w:color w:val="231F20"/>
          <w:spacing w:val="-6"/>
          <w:sz w:val="16"/>
        </w:rPr>
        <w:t xml:space="preserve"> </w:t>
      </w:r>
      <w:r>
        <w:rPr>
          <w:color w:val="231F20"/>
          <w:sz w:val="16"/>
        </w:rPr>
        <w:t>не</w:t>
      </w:r>
      <w:r>
        <w:rPr>
          <w:color w:val="231F20"/>
          <w:spacing w:val="-6"/>
          <w:sz w:val="16"/>
        </w:rPr>
        <w:t xml:space="preserve"> </w:t>
      </w:r>
      <w:r>
        <w:rPr>
          <w:color w:val="231F20"/>
          <w:spacing w:val="-3"/>
          <w:sz w:val="16"/>
        </w:rPr>
        <w:t>містять</w:t>
      </w:r>
      <w:r>
        <w:rPr>
          <w:color w:val="231F20"/>
          <w:spacing w:val="-6"/>
          <w:sz w:val="16"/>
        </w:rPr>
        <w:t xml:space="preserve"> </w:t>
      </w:r>
      <w:r>
        <w:rPr>
          <w:color w:val="231F20"/>
          <w:sz w:val="16"/>
        </w:rPr>
        <w:t>складу</w:t>
      </w:r>
      <w:r>
        <w:rPr>
          <w:color w:val="231F20"/>
          <w:spacing w:val="-6"/>
          <w:sz w:val="16"/>
        </w:rPr>
        <w:t xml:space="preserve"> </w:t>
      </w:r>
      <w:r>
        <w:rPr>
          <w:color w:val="231F20"/>
          <w:sz w:val="16"/>
        </w:rPr>
        <w:t>злочину</w:t>
      </w:r>
      <w:r>
        <w:rPr>
          <w:color w:val="231F20"/>
          <w:spacing w:val="-6"/>
          <w:sz w:val="16"/>
        </w:rPr>
        <w:t xml:space="preserve"> </w:t>
      </w:r>
      <w:r>
        <w:rPr>
          <w:color w:val="231F20"/>
          <w:sz w:val="16"/>
        </w:rPr>
        <w:t>або</w:t>
      </w:r>
      <w:r>
        <w:rPr>
          <w:color w:val="231F20"/>
          <w:spacing w:val="-6"/>
          <w:sz w:val="16"/>
        </w:rPr>
        <w:t xml:space="preserve"> </w:t>
      </w:r>
      <w:r>
        <w:rPr>
          <w:color w:val="231F20"/>
          <w:sz w:val="16"/>
        </w:rPr>
        <w:t>адміністративного</w:t>
      </w:r>
      <w:r>
        <w:rPr>
          <w:color w:val="231F20"/>
          <w:spacing w:val="-6"/>
          <w:sz w:val="16"/>
        </w:rPr>
        <w:t xml:space="preserve"> </w:t>
      </w:r>
      <w:r>
        <w:rPr>
          <w:color w:val="231F20"/>
          <w:spacing w:val="-3"/>
          <w:sz w:val="16"/>
        </w:rPr>
        <w:t>правопорушення.</w:t>
      </w:r>
    </w:p>
    <w:p w14:paraId="01D37D80" w14:textId="77777777" w:rsidR="00DE575E" w:rsidRDefault="00DE575E">
      <w:pPr>
        <w:pStyle w:val="BodyText"/>
        <w:rPr>
          <w:sz w:val="13"/>
        </w:rPr>
      </w:pPr>
    </w:p>
    <w:p w14:paraId="29824522" w14:textId="77777777" w:rsidR="00DE575E" w:rsidRDefault="002E7560">
      <w:pPr>
        <w:spacing w:before="92"/>
        <w:ind w:right="411"/>
        <w:jc w:val="right"/>
        <w:rPr>
          <w:rFonts w:ascii="Times New Roman"/>
          <w:sz w:val="20"/>
        </w:rPr>
      </w:pPr>
      <w:r>
        <w:rPr>
          <w:rFonts w:ascii="Times New Roman"/>
          <w:color w:val="231F20"/>
          <w:w w:val="90"/>
          <w:sz w:val="20"/>
        </w:rPr>
        <w:t>375</w:t>
      </w:r>
    </w:p>
    <w:p w14:paraId="05A2F49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78DD0B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68C0AF6" w14:textId="2A0FE99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75C021A" wp14:editId="0C18AF76">
                <wp:extent cx="4140200" cy="6350"/>
                <wp:effectExtent l="0" t="0" r="12700" b="6350"/>
                <wp:docPr id="46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64" name="Line 4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0E7893" id="Group_x0020_4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p9qPV/AgAAmAUAAA4A&#10;AAAAAAAAAAAAAAAALAIAAGRycy9lMm9Eb2MueG1sUEsBAi0AFAAGAAgAAAAhAEynsJDZAAAAAwEA&#10;AA8AAAAAAAAAAAAAAAAA1wQAAGRycy9kb3ducmV2LnhtbFBLBQYAAAAABAAEAPMAAADdBQAAAAA=&#10;">
                <v:line id="Line_x0020_4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4JUsYAAADcAAAADwAAAGRycy9kb3ducmV2LnhtbESP3WrCQBSE7wt9h+UUvCl14w9SUlcR&#10;QRAv/Esf4Jg9TUJ3z8bsaqJP3y0IXg4z8w0znXfWiCs1vnKsYNBPQBDnTldcKPjOVh+fIHxA1mgc&#10;k4IbeZjPXl+mmGrX8oGux1CICGGfooIyhDqV0uclWfR9VxNH78c1FkOUTSF1g22EWyOHSTKRFiuO&#10;CyXWtCwp/z1erILs/B7MfrcxbbY7jeTpvB3dL1ulem/d4gtEoC48w4/2WisYT8bwfyYe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OCVLGAAAA3AAAAA8AAAAAAAAA&#10;AAAAAAAAoQIAAGRycy9kb3ducmV2LnhtbFBLBQYAAAAABAAEAPkAAACUAwAAAAA=&#10;" strokecolor="#231f20" strokeweight=".5pt"/>
                <w10:anchorlock/>
              </v:group>
            </w:pict>
          </mc:Fallback>
        </mc:AlternateContent>
      </w:r>
    </w:p>
    <w:p w14:paraId="758D7873" w14:textId="77777777" w:rsidR="00DE575E" w:rsidRDefault="00DE575E">
      <w:pPr>
        <w:pStyle w:val="BodyText"/>
        <w:spacing w:before="7"/>
        <w:rPr>
          <w:rFonts w:ascii="AdonisC"/>
          <w:i/>
          <w:sz w:val="11"/>
        </w:rPr>
      </w:pPr>
    </w:p>
    <w:p w14:paraId="4F52C1FF" w14:textId="77777777" w:rsidR="00DE575E" w:rsidRDefault="002E7560">
      <w:pPr>
        <w:spacing w:before="101" w:line="252" w:lineRule="auto"/>
        <w:ind w:left="533" w:right="125" w:firstLine="283"/>
        <w:jc w:val="both"/>
        <w:rPr>
          <w:sz w:val="21"/>
        </w:rPr>
      </w:pPr>
      <w:r>
        <w:rPr>
          <w:color w:val="231F20"/>
          <w:sz w:val="21"/>
        </w:rPr>
        <w:t xml:space="preserve">Загалом </w:t>
      </w:r>
      <w:r>
        <w:rPr>
          <w:i/>
          <w:color w:val="231F20"/>
          <w:sz w:val="21"/>
        </w:rPr>
        <w:t xml:space="preserve">під дисциплінарним провадженням розуміється врегу- </w:t>
      </w:r>
      <w:r>
        <w:rPr>
          <w:i/>
          <w:color w:val="231F20"/>
          <w:sz w:val="21"/>
        </w:rPr>
        <w:t xml:space="preserve">льована законодавством діяльність уповноважених суб’єктів із застосування дисциплінарних стягнень і така, що гарантує забез- печення прав і законних інтересів державних службовців. </w:t>
      </w:r>
      <w:r>
        <w:rPr>
          <w:color w:val="231F20"/>
          <w:sz w:val="21"/>
        </w:rPr>
        <w:t xml:space="preserve">Дисци- плінарне провадження складається з таких </w:t>
      </w:r>
      <w:r>
        <w:rPr>
          <w:i/>
          <w:color w:val="231F20"/>
          <w:sz w:val="21"/>
        </w:rPr>
        <w:t>стадій</w:t>
      </w:r>
      <w:r>
        <w:rPr>
          <w:color w:val="231F20"/>
          <w:sz w:val="21"/>
        </w:rPr>
        <w:t>: 1) порушення дисцип</w:t>
      </w:r>
      <w:r>
        <w:rPr>
          <w:color w:val="231F20"/>
          <w:sz w:val="21"/>
        </w:rPr>
        <w:t>лінарного провадження</w:t>
      </w:r>
      <w:r>
        <w:rPr>
          <w:color w:val="231F20"/>
          <w:position w:val="7"/>
          <w:sz w:val="12"/>
        </w:rPr>
        <w:t>1</w:t>
      </w:r>
      <w:r>
        <w:rPr>
          <w:color w:val="231F20"/>
          <w:sz w:val="21"/>
        </w:rPr>
        <w:t>; 2) дисциплінарна перевірка (розслідування)</w:t>
      </w:r>
      <w:r>
        <w:rPr>
          <w:color w:val="231F20"/>
          <w:position w:val="7"/>
          <w:sz w:val="12"/>
        </w:rPr>
        <w:t>2</w:t>
      </w:r>
      <w:r>
        <w:rPr>
          <w:color w:val="231F20"/>
          <w:sz w:val="21"/>
        </w:rPr>
        <w:t>; 3) розгляд дисциплінарної справи і винесення рішення відносно неї; 4) виконання рішення у справі; 5) перегляд рішення по скарзі.</w:t>
      </w:r>
    </w:p>
    <w:p w14:paraId="34E934F8" w14:textId="77777777" w:rsidR="00DE575E" w:rsidRDefault="002E7560">
      <w:pPr>
        <w:spacing w:before="4" w:line="252" w:lineRule="auto"/>
        <w:ind w:left="533" w:right="127" w:firstLine="283"/>
        <w:jc w:val="both"/>
        <w:rPr>
          <w:sz w:val="21"/>
        </w:rPr>
      </w:pPr>
      <w:r>
        <w:rPr>
          <w:i/>
          <w:color w:val="231F20"/>
          <w:sz w:val="21"/>
        </w:rPr>
        <w:t xml:space="preserve">Державний службовець не </w:t>
      </w:r>
      <w:r>
        <w:rPr>
          <w:i/>
          <w:color w:val="231F20"/>
          <w:spacing w:val="-3"/>
          <w:sz w:val="21"/>
        </w:rPr>
        <w:t xml:space="preserve">може </w:t>
      </w:r>
      <w:r>
        <w:rPr>
          <w:i/>
          <w:color w:val="231F20"/>
          <w:sz w:val="21"/>
        </w:rPr>
        <w:t>бути притягнутий до дисци- пл</w:t>
      </w:r>
      <w:r>
        <w:rPr>
          <w:i/>
          <w:color w:val="231F20"/>
          <w:sz w:val="21"/>
        </w:rPr>
        <w:t>інарної відповідальності</w:t>
      </w:r>
      <w:r>
        <w:rPr>
          <w:color w:val="231F20"/>
          <w:sz w:val="21"/>
        </w:rPr>
        <w:t>, якщо минуло шість місяців з дня, коли керівник</w:t>
      </w:r>
      <w:r>
        <w:rPr>
          <w:color w:val="231F20"/>
          <w:spacing w:val="-17"/>
          <w:sz w:val="21"/>
        </w:rPr>
        <w:t xml:space="preserve"> </w:t>
      </w:r>
      <w:r>
        <w:rPr>
          <w:color w:val="231F20"/>
          <w:sz w:val="21"/>
        </w:rPr>
        <w:t>державної</w:t>
      </w:r>
      <w:r>
        <w:rPr>
          <w:color w:val="231F20"/>
          <w:spacing w:val="-17"/>
          <w:sz w:val="21"/>
        </w:rPr>
        <w:t xml:space="preserve"> </w:t>
      </w:r>
      <w:r>
        <w:rPr>
          <w:color w:val="231F20"/>
          <w:sz w:val="21"/>
        </w:rPr>
        <w:t>служби</w:t>
      </w:r>
      <w:r>
        <w:rPr>
          <w:color w:val="231F20"/>
          <w:spacing w:val="-17"/>
          <w:sz w:val="21"/>
        </w:rPr>
        <w:t xml:space="preserve"> </w:t>
      </w:r>
      <w:r>
        <w:rPr>
          <w:color w:val="231F20"/>
          <w:sz w:val="21"/>
        </w:rPr>
        <w:t>дізнався</w:t>
      </w:r>
      <w:r>
        <w:rPr>
          <w:color w:val="231F20"/>
          <w:spacing w:val="-17"/>
          <w:sz w:val="21"/>
        </w:rPr>
        <w:t xml:space="preserve"> </w:t>
      </w:r>
      <w:r>
        <w:rPr>
          <w:color w:val="231F20"/>
          <w:sz w:val="21"/>
        </w:rPr>
        <w:t>або</w:t>
      </w:r>
      <w:r>
        <w:rPr>
          <w:color w:val="231F20"/>
          <w:spacing w:val="-17"/>
          <w:sz w:val="21"/>
        </w:rPr>
        <w:t xml:space="preserve"> </w:t>
      </w:r>
      <w:r>
        <w:rPr>
          <w:color w:val="231F20"/>
          <w:sz w:val="21"/>
        </w:rPr>
        <w:t>мав</w:t>
      </w:r>
      <w:r>
        <w:rPr>
          <w:color w:val="231F20"/>
          <w:spacing w:val="-17"/>
          <w:sz w:val="21"/>
        </w:rPr>
        <w:t xml:space="preserve"> </w:t>
      </w:r>
      <w:r>
        <w:rPr>
          <w:color w:val="231F20"/>
          <w:sz w:val="21"/>
        </w:rPr>
        <w:t>дізнатися</w:t>
      </w:r>
      <w:r>
        <w:rPr>
          <w:color w:val="231F20"/>
          <w:spacing w:val="-17"/>
          <w:sz w:val="21"/>
        </w:rPr>
        <w:t xml:space="preserve"> </w:t>
      </w:r>
      <w:r>
        <w:rPr>
          <w:color w:val="231F20"/>
          <w:sz w:val="21"/>
        </w:rPr>
        <w:t>про</w:t>
      </w:r>
      <w:r>
        <w:rPr>
          <w:color w:val="231F20"/>
          <w:spacing w:val="-17"/>
          <w:sz w:val="21"/>
        </w:rPr>
        <w:t xml:space="preserve"> </w:t>
      </w:r>
      <w:r>
        <w:rPr>
          <w:color w:val="231F20"/>
          <w:sz w:val="21"/>
        </w:rPr>
        <w:t>вчинення дисциплінарного проступку, не враховуючи час тимчасової непра- цездатності</w:t>
      </w:r>
      <w:r>
        <w:rPr>
          <w:color w:val="231F20"/>
          <w:spacing w:val="-10"/>
          <w:sz w:val="21"/>
        </w:rPr>
        <w:t xml:space="preserve"> </w:t>
      </w:r>
      <w:r>
        <w:rPr>
          <w:color w:val="231F20"/>
          <w:sz w:val="21"/>
        </w:rPr>
        <w:t>державного</w:t>
      </w:r>
      <w:r>
        <w:rPr>
          <w:color w:val="231F20"/>
          <w:spacing w:val="-10"/>
          <w:sz w:val="21"/>
        </w:rPr>
        <w:t xml:space="preserve"> </w:t>
      </w:r>
      <w:r>
        <w:rPr>
          <w:color w:val="231F20"/>
          <w:sz w:val="21"/>
        </w:rPr>
        <w:t>службовця</w:t>
      </w:r>
      <w:r>
        <w:rPr>
          <w:color w:val="231F20"/>
          <w:spacing w:val="-10"/>
          <w:sz w:val="21"/>
        </w:rPr>
        <w:t xml:space="preserve"> </w:t>
      </w:r>
      <w:r>
        <w:rPr>
          <w:color w:val="231F20"/>
          <w:sz w:val="21"/>
        </w:rPr>
        <w:t>чи</w:t>
      </w:r>
      <w:r>
        <w:rPr>
          <w:color w:val="231F20"/>
          <w:spacing w:val="-10"/>
          <w:sz w:val="21"/>
        </w:rPr>
        <w:t xml:space="preserve"> </w:t>
      </w:r>
      <w:r>
        <w:rPr>
          <w:color w:val="231F20"/>
          <w:sz w:val="21"/>
        </w:rPr>
        <w:t>перебування</w:t>
      </w:r>
      <w:r>
        <w:rPr>
          <w:color w:val="231F20"/>
          <w:spacing w:val="-10"/>
          <w:sz w:val="21"/>
        </w:rPr>
        <w:t xml:space="preserve"> </w:t>
      </w:r>
      <w:r>
        <w:rPr>
          <w:color w:val="231F20"/>
          <w:sz w:val="21"/>
        </w:rPr>
        <w:t>його</w:t>
      </w:r>
      <w:r>
        <w:rPr>
          <w:color w:val="231F20"/>
          <w:spacing w:val="-10"/>
          <w:sz w:val="21"/>
        </w:rPr>
        <w:t xml:space="preserve"> </w:t>
      </w:r>
      <w:r>
        <w:rPr>
          <w:color w:val="231F20"/>
          <w:sz w:val="21"/>
        </w:rPr>
        <w:t>у</w:t>
      </w:r>
      <w:r>
        <w:rPr>
          <w:color w:val="231F20"/>
          <w:spacing w:val="-11"/>
          <w:sz w:val="21"/>
        </w:rPr>
        <w:t xml:space="preserve"> </w:t>
      </w:r>
      <w:r>
        <w:rPr>
          <w:color w:val="231F20"/>
          <w:sz w:val="21"/>
        </w:rPr>
        <w:t>відпустц</w:t>
      </w:r>
      <w:r>
        <w:rPr>
          <w:color w:val="231F20"/>
          <w:sz w:val="21"/>
        </w:rPr>
        <w:t>і, або якщо минув один рік після його</w:t>
      </w:r>
      <w:r>
        <w:rPr>
          <w:color w:val="231F20"/>
          <w:spacing w:val="-5"/>
          <w:sz w:val="21"/>
        </w:rPr>
        <w:t xml:space="preserve"> </w:t>
      </w:r>
      <w:r>
        <w:rPr>
          <w:color w:val="231F20"/>
          <w:sz w:val="21"/>
        </w:rPr>
        <w:t>вчинення.</w:t>
      </w:r>
    </w:p>
    <w:p w14:paraId="71A1E60F" w14:textId="77777777" w:rsidR="00DE575E" w:rsidRDefault="002E7560">
      <w:pPr>
        <w:pStyle w:val="BodyText"/>
        <w:spacing w:before="3" w:line="252" w:lineRule="auto"/>
        <w:ind w:left="533" w:right="127" w:firstLine="283"/>
        <w:jc w:val="both"/>
      </w:pPr>
      <w:r>
        <w:rPr>
          <w:color w:val="231F20"/>
        </w:rPr>
        <w:t xml:space="preserve">До державних службовців застосовується один із таких </w:t>
      </w:r>
      <w:r>
        <w:rPr>
          <w:i/>
          <w:color w:val="231F20"/>
        </w:rPr>
        <w:t>видів дисциплінарного стягнення</w:t>
      </w:r>
      <w:r>
        <w:rPr>
          <w:color w:val="231F20"/>
        </w:rPr>
        <w:t>: 1) зауваження; 2) догана; 3) поперед- ження про неповну службову відповідність; 4) звільнення з посади державної служби.</w:t>
      </w:r>
    </w:p>
    <w:p w14:paraId="6B03B0BA" w14:textId="77777777" w:rsidR="00DE575E" w:rsidRDefault="002E7560">
      <w:pPr>
        <w:pStyle w:val="BodyText"/>
        <w:spacing w:before="2" w:line="252" w:lineRule="auto"/>
        <w:ind w:left="533" w:right="127" w:firstLine="283"/>
        <w:jc w:val="both"/>
      </w:pPr>
      <w:r>
        <w:rPr>
          <w:color w:val="231F20"/>
        </w:rPr>
        <w:t xml:space="preserve">Зауваження як дисциплінарне стягнення є найбільш м’яким видом </w:t>
      </w:r>
      <w:r>
        <w:rPr>
          <w:color w:val="231F20"/>
          <w:spacing w:val="-3"/>
        </w:rPr>
        <w:t xml:space="preserve">впливу, </w:t>
      </w:r>
      <w:r>
        <w:rPr>
          <w:color w:val="231F20"/>
        </w:rPr>
        <w:t>що може бути застосовано до державного службовця. Зауваження</w:t>
      </w:r>
      <w:r>
        <w:rPr>
          <w:color w:val="231F20"/>
          <w:spacing w:val="-11"/>
        </w:rPr>
        <w:t xml:space="preserve"> </w:t>
      </w:r>
      <w:r>
        <w:rPr>
          <w:color w:val="231F20"/>
        </w:rPr>
        <w:t>має</w:t>
      </w:r>
      <w:r>
        <w:rPr>
          <w:color w:val="231F20"/>
          <w:spacing w:val="-11"/>
        </w:rPr>
        <w:t xml:space="preserve"> </w:t>
      </w:r>
      <w:r>
        <w:rPr>
          <w:color w:val="231F20"/>
        </w:rPr>
        <w:t>на</w:t>
      </w:r>
      <w:r>
        <w:rPr>
          <w:color w:val="231F20"/>
          <w:spacing w:val="-11"/>
        </w:rPr>
        <w:t xml:space="preserve"> </w:t>
      </w:r>
      <w:r>
        <w:rPr>
          <w:color w:val="231F20"/>
        </w:rPr>
        <w:t>меті</w:t>
      </w:r>
      <w:r>
        <w:rPr>
          <w:color w:val="231F20"/>
          <w:spacing w:val="-11"/>
        </w:rPr>
        <w:t xml:space="preserve"> </w:t>
      </w:r>
      <w:r>
        <w:rPr>
          <w:color w:val="231F20"/>
        </w:rPr>
        <w:t>акцентування</w:t>
      </w:r>
      <w:r>
        <w:rPr>
          <w:color w:val="231F20"/>
          <w:spacing w:val="-11"/>
        </w:rPr>
        <w:t xml:space="preserve"> </w:t>
      </w:r>
      <w:r>
        <w:rPr>
          <w:color w:val="231F20"/>
        </w:rPr>
        <w:t>уваги</w:t>
      </w:r>
      <w:r>
        <w:rPr>
          <w:color w:val="231F20"/>
          <w:spacing w:val="-11"/>
        </w:rPr>
        <w:t xml:space="preserve"> </w:t>
      </w:r>
      <w:r>
        <w:rPr>
          <w:color w:val="231F20"/>
        </w:rPr>
        <w:t>на</w:t>
      </w:r>
      <w:r>
        <w:rPr>
          <w:color w:val="231F20"/>
          <w:spacing w:val="-11"/>
        </w:rPr>
        <w:t xml:space="preserve"> </w:t>
      </w:r>
      <w:r>
        <w:rPr>
          <w:color w:val="231F20"/>
        </w:rPr>
        <w:t>професійних</w:t>
      </w:r>
      <w:r>
        <w:rPr>
          <w:color w:val="231F20"/>
          <w:spacing w:val="-11"/>
        </w:rPr>
        <w:t xml:space="preserve"> </w:t>
      </w:r>
      <w:r>
        <w:rPr>
          <w:color w:val="231F20"/>
        </w:rPr>
        <w:t>обов’яз- ках та статусові державного службовця, неприпустимості пору- шення слу</w:t>
      </w:r>
      <w:r>
        <w:rPr>
          <w:color w:val="231F20"/>
        </w:rPr>
        <w:t>жбової дисципліни. Застосування зауваження є можли- вим у разі вчинення державним службовцем незначного проступку, що не має практичних</w:t>
      </w:r>
      <w:r>
        <w:rPr>
          <w:color w:val="231F20"/>
          <w:spacing w:val="-2"/>
        </w:rPr>
        <w:t xml:space="preserve"> </w:t>
      </w:r>
      <w:r>
        <w:rPr>
          <w:color w:val="231F20"/>
        </w:rPr>
        <w:t>наслідків.</w:t>
      </w:r>
    </w:p>
    <w:p w14:paraId="079FC357" w14:textId="77777777" w:rsidR="00DE575E" w:rsidRDefault="002E7560">
      <w:pPr>
        <w:pStyle w:val="BodyText"/>
        <w:spacing w:before="3" w:line="252" w:lineRule="auto"/>
        <w:ind w:left="533" w:right="126" w:firstLine="283"/>
        <w:jc w:val="both"/>
      </w:pPr>
      <w:r>
        <w:rPr>
          <w:color w:val="231F20"/>
        </w:rPr>
        <w:t>Догана є видом стягнення, який може бути застосовано у разі невиконання або неналежного виконання державним с</w:t>
      </w:r>
      <w:r>
        <w:rPr>
          <w:color w:val="231F20"/>
        </w:rPr>
        <w:t>лужбовцем посадових обов’язків, порушення ним правил внутрішнього служ- бового розпорядку або правил професійної етики державного служ- бовця, інших вимог законодавства про державну службу.</w:t>
      </w:r>
    </w:p>
    <w:p w14:paraId="17158626" w14:textId="77777777" w:rsidR="00DE575E" w:rsidRDefault="00DE575E">
      <w:pPr>
        <w:pStyle w:val="BodyText"/>
        <w:rPr>
          <w:sz w:val="20"/>
        </w:rPr>
      </w:pPr>
    </w:p>
    <w:p w14:paraId="2FC8135B" w14:textId="0799F4B1" w:rsidR="00DE575E" w:rsidRDefault="002E7560">
      <w:pPr>
        <w:pStyle w:val="BodyText"/>
        <w:spacing w:before="9"/>
        <w:rPr>
          <w:sz w:val="11"/>
        </w:rPr>
      </w:pPr>
      <w:r>
        <w:rPr>
          <w:noProof/>
        </w:rPr>
        <mc:AlternateContent>
          <mc:Choice Requires="wps">
            <w:drawing>
              <wp:anchor distT="0" distB="0" distL="0" distR="0" simplePos="0" relativeHeight="14728" behindDoc="0" locked="0" layoutInCell="1" allowOverlap="1" wp14:anchorId="038E8589" wp14:editId="4B5E9C2B">
                <wp:simplePos x="0" y="0"/>
                <wp:positionH relativeFrom="page">
                  <wp:posOffset>719455</wp:posOffset>
                </wp:positionH>
                <wp:positionV relativeFrom="paragraph">
                  <wp:posOffset>115570</wp:posOffset>
                </wp:positionV>
                <wp:extent cx="1080135" cy="0"/>
                <wp:effectExtent l="8255" t="13970" r="29210" b="24130"/>
                <wp:wrapTopAndBottom/>
                <wp:docPr id="46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D28A7" id="Line_x0020_461" o:spid="_x0000_s1026" style="position:absolute;z-index:14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141.7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" strokecolor="#231f20" strokeweight=".5pt">
                <w10:wrap type="topAndBottom" anchorx="page"/>
              </v:line>
            </w:pict>
          </mc:Fallback>
        </mc:AlternateContent>
      </w:r>
    </w:p>
    <w:p w14:paraId="299B62B3"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Дисциплінарне провадження порушується шляхом видання відповід</w:t>
      </w:r>
      <w:r>
        <w:rPr>
          <w:color w:val="231F20"/>
          <w:sz w:val="16"/>
        </w:rPr>
        <w:t>ного наказу (роз- порядження): міністром – стосовно державного секретаря відповідного міністерства; суб’єктом призначення – стосовно інших державних службовці.</w:t>
      </w:r>
    </w:p>
    <w:p w14:paraId="4926424C" w14:textId="77777777" w:rsidR="00DE575E" w:rsidRDefault="002E7560">
      <w:pPr>
        <w:spacing w:before="26" w:line="204" w:lineRule="auto"/>
        <w:ind w:left="533" w:right="127"/>
        <w:jc w:val="both"/>
        <w:rPr>
          <w:sz w:val="16"/>
        </w:rPr>
      </w:pPr>
      <w:r>
        <w:rPr>
          <w:color w:val="231F20"/>
          <w:position w:val="5"/>
          <w:sz w:val="9"/>
        </w:rPr>
        <w:t xml:space="preserve">2 </w:t>
      </w:r>
      <w:r>
        <w:rPr>
          <w:color w:val="231F20"/>
          <w:sz w:val="16"/>
        </w:rPr>
        <w:t>Для здійснення дисциплінарного провадження з метою визначення ступеня вини, характеру і тяжкос</w:t>
      </w:r>
      <w:r>
        <w:rPr>
          <w:color w:val="231F20"/>
          <w:sz w:val="16"/>
        </w:rPr>
        <w:t xml:space="preserve">ті вчиненого дисциплінарного проступку утворюється дисциплінарна комісія з розгляду дисциплінарних справ. Результатом розгляду дисциплінарної справи є пропозиція Комісії або подання дисциплінарної комісії, які мають рекомендаційний характер для </w:t>
      </w:r>
      <w:r>
        <w:rPr>
          <w:color w:val="231F20"/>
          <w:spacing w:val="-3"/>
          <w:sz w:val="16"/>
        </w:rPr>
        <w:t xml:space="preserve">суб’єкта </w:t>
      </w:r>
      <w:r>
        <w:rPr>
          <w:color w:val="231F20"/>
          <w:sz w:val="16"/>
        </w:rPr>
        <w:t>пр</w:t>
      </w:r>
      <w:r>
        <w:rPr>
          <w:color w:val="231F20"/>
          <w:sz w:val="16"/>
        </w:rPr>
        <w:t xml:space="preserve">изначення. </w:t>
      </w:r>
      <w:r>
        <w:rPr>
          <w:color w:val="231F20"/>
          <w:spacing w:val="-3"/>
          <w:sz w:val="16"/>
        </w:rPr>
        <w:t xml:space="preserve">Суб’єкт </w:t>
      </w:r>
      <w:r>
        <w:rPr>
          <w:color w:val="231F20"/>
          <w:sz w:val="16"/>
        </w:rPr>
        <w:t>призначення упродовж 10 календарних днів зобов’язаний ухвалити рішення на підставі пропозиції Комісії або подання дисциплінар- ної комісії або надати вмотивовану відмову протягом цього</w:t>
      </w:r>
      <w:r>
        <w:rPr>
          <w:color w:val="231F20"/>
          <w:spacing w:val="-9"/>
          <w:sz w:val="16"/>
        </w:rPr>
        <w:t xml:space="preserve"> </w:t>
      </w:r>
      <w:r>
        <w:rPr>
          <w:color w:val="231F20"/>
          <w:sz w:val="16"/>
        </w:rPr>
        <w:t>строку.</w:t>
      </w:r>
    </w:p>
    <w:p w14:paraId="5BCA2C35" w14:textId="77777777" w:rsidR="00DE575E" w:rsidRDefault="00DE575E">
      <w:pPr>
        <w:pStyle w:val="BodyText"/>
        <w:spacing w:before="8"/>
        <w:rPr>
          <w:sz w:val="12"/>
        </w:rPr>
      </w:pPr>
    </w:p>
    <w:p w14:paraId="760EDBD8" w14:textId="77777777" w:rsidR="00DE575E" w:rsidRDefault="002E7560">
      <w:pPr>
        <w:spacing w:before="92"/>
        <w:ind w:left="533"/>
        <w:rPr>
          <w:rFonts w:ascii="Times New Roman"/>
          <w:sz w:val="20"/>
        </w:rPr>
      </w:pPr>
      <w:r>
        <w:rPr>
          <w:rFonts w:ascii="Times New Roman"/>
          <w:color w:val="231F20"/>
          <w:sz w:val="20"/>
        </w:rPr>
        <w:t>376</w:t>
      </w:r>
    </w:p>
    <w:p w14:paraId="3314F192" w14:textId="77777777" w:rsidR="00DE575E" w:rsidRDefault="00DE575E">
      <w:pPr>
        <w:rPr>
          <w:rFonts w:ascii="Times New Roman"/>
          <w:sz w:val="20"/>
        </w:rPr>
        <w:sectPr w:rsidR="00DE575E">
          <w:pgSz w:w="8510" w:h="12760"/>
          <w:pgMar w:top="660" w:right="720" w:bottom="280" w:left="600" w:header="720" w:footer="720" w:gutter="0"/>
          <w:cols w:space="720"/>
        </w:sectPr>
      </w:pPr>
    </w:p>
    <w:p w14:paraId="45842A82"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7A5F871A" w14:textId="1A2EC17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DA58235" wp14:editId="229DC8D8">
                <wp:extent cx="4140200" cy="6350"/>
                <wp:effectExtent l="0" t="0" r="12700" b="6350"/>
                <wp:docPr id="460"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61" name="Line 46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980D99" id="Group_x0020_45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6OWi+n4CAACYBQAADgAA&#10;AAAAAAAAAAAAAAAsAgAAZHJzL2Uyb0RvYy54bWxQSwECLQAUAAYACAAAACEATKewkNkAAAADAQAA&#10;DwAAAAAAAAAAAAAAAADWBAAAZHJzL2Rvd25yZXYueG1sUEsFBgAAAAAEAAQA8wAAANwFAAAAAA==&#10;">
                <v:line id="Line_x0020_46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mqysYAAADcAAAADwAAAGRycy9kb3ducmV2LnhtbESP0WrCQBRE3wX/YblCX0Q3VpESXUUE&#10;Qfqg1vQDrtnbJHT3bsyuJu3XdwWhj8PMnGGW684acafGV44VTMYJCOLc6YoLBZ/ZbvQGwgdkjcYx&#10;KfghD+tVv7fEVLuWP+h+DoWIEPYpKihDqFMpfV6SRT92NXH0vlxjMUTZFFI32Ea4NfI1SebSYsVx&#10;ocSatiXl3+ebVZBdh8Gcju+mzY6XqbxcD9Pf20Gpl0G3WYAI1IX/8LO91wpm8w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h5qsrGAAAA3AAAAA8AAAAAAAAA&#10;AAAAAAAAoQIAAGRycy9kb3ducmV2LnhtbFBLBQYAAAAABAAEAPkAAACUAwAAAAA=&#10;" strokecolor="#231f20" strokeweight=".5pt"/>
                <w10:anchorlock/>
              </v:group>
            </w:pict>
          </mc:Fallback>
        </mc:AlternateContent>
      </w:r>
    </w:p>
    <w:p w14:paraId="3DCEF465" w14:textId="77777777" w:rsidR="00DE575E" w:rsidRDefault="00DE575E">
      <w:pPr>
        <w:pStyle w:val="BodyText"/>
        <w:spacing w:before="7"/>
        <w:rPr>
          <w:rFonts w:ascii="AdonisC"/>
          <w:i/>
          <w:sz w:val="19"/>
        </w:rPr>
      </w:pPr>
    </w:p>
    <w:p w14:paraId="47829B96" w14:textId="77777777" w:rsidR="00DE575E" w:rsidRDefault="002E7560">
      <w:pPr>
        <w:pStyle w:val="BodyText"/>
        <w:spacing w:before="1" w:line="252" w:lineRule="auto"/>
        <w:ind w:left="250" w:right="409" w:firstLine="283"/>
        <w:jc w:val="both"/>
      </w:pPr>
      <w:r>
        <w:rPr>
          <w:color w:val="231F20"/>
        </w:rPr>
        <w:t>Попередження</w:t>
      </w:r>
      <w:r>
        <w:rPr>
          <w:color w:val="231F20"/>
          <w:spacing w:val="-6"/>
        </w:rPr>
        <w:t xml:space="preserve"> </w:t>
      </w:r>
      <w:r>
        <w:rPr>
          <w:color w:val="231F20"/>
        </w:rPr>
        <w:t>про</w:t>
      </w:r>
      <w:r>
        <w:rPr>
          <w:color w:val="231F20"/>
          <w:spacing w:val="-6"/>
        </w:rPr>
        <w:t xml:space="preserve"> </w:t>
      </w:r>
      <w:r>
        <w:rPr>
          <w:color w:val="231F20"/>
        </w:rPr>
        <w:t>неповну</w:t>
      </w:r>
      <w:r>
        <w:rPr>
          <w:color w:val="231F20"/>
          <w:spacing w:val="-6"/>
        </w:rPr>
        <w:t xml:space="preserve"> </w:t>
      </w:r>
      <w:r>
        <w:rPr>
          <w:color w:val="231F20"/>
        </w:rPr>
        <w:t>службову</w:t>
      </w:r>
      <w:r>
        <w:rPr>
          <w:color w:val="231F20"/>
          <w:spacing w:val="-6"/>
        </w:rPr>
        <w:t xml:space="preserve"> </w:t>
      </w:r>
      <w:r>
        <w:rPr>
          <w:color w:val="231F20"/>
        </w:rPr>
        <w:t>відповідність</w:t>
      </w:r>
      <w:r>
        <w:rPr>
          <w:color w:val="231F20"/>
          <w:spacing w:val="-6"/>
        </w:rPr>
        <w:t xml:space="preserve"> </w:t>
      </w:r>
      <w:r>
        <w:rPr>
          <w:color w:val="231F20"/>
        </w:rPr>
        <w:t>є</w:t>
      </w:r>
      <w:r>
        <w:rPr>
          <w:color w:val="231F20"/>
          <w:spacing w:val="-6"/>
        </w:rPr>
        <w:t xml:space="preserve"> </w:t>
      </w:r>
      <w:r>
        <w:rPr>
          <w:color w:val="231F20"/>
        </w:rPr>
        <w:t>видом</w:t>
      </w:r>
      <w:r>
        <w:rPr>
          <w:color w:val="231F20"/>
          <w:spacing w:val="-6"/>
        </w:rPr>
        <w:t xml:space="preserve"> </w:t>
      </w:r>
      <w:r>
        <w:rPr>
          <w:color w:val="231F20"/>
        </w:rPr>
        <w:t>стяг- нення, який може бути застосова</w:t>
      </w:r>
      <w:r>
        <w:rPr>
          <w:color w:val="231F20"/>
        </w:rPr>
        <w:t xml:space="preserve">но у разі систематичного неви- конання або систематичного неналежного виконання посадових обов’язків, рішень державного органу або органу влади АРК, нака- зів, розпоряджень та доручень керівників, прийнятих у межах їхніх повноважень, перевищення службових </w:t>
      </w:r>
      <w:r>
        <w:rPr>
          <w:color w:val="231F20"/>
        </w:rPr>
        <w:t>повноважень; систематич- ного порушення правил внутрішнього службового розпорядку або правил професійної етики державного</w:t>
      </w:r>
      <w:r>
        <w:rPr>
          <w:color w:val="231F20"/>
          <w:spacing w:val="-2"/>
        </w:rPr>
        <w:t xml:space="preserve"> </w:t>
      </w:r>
      <w:r>
        <w:rPr>
          <w:color w:val="231F20"/>
        </w:rPr>
        <w:t>службовця.</w:t>
      </w:r>
    </w:p>
    <w:p w14:paraId="78979B9C" w14:textId="77777777" w:rsidR="00DE575E" w:rsidRDefault="002E7560">
      <w:pPr>
        <w:pStyle w:val="BodyText"/>
        <w:spacing w:before="4" w:line="252" w:lineRule="auto"/>
        <w:ind w:left="250" w:right="410" w:firstLine="283"/>
        <w:jc w:val="both"/>
      </w:pPr>
      <w:r>
        <w:rPr>
          <w:color w:val="231F20"/>
        </w:rPr>
        <w:t xml:space="preserve">Звільнення з посади державної служби є видом стягнення, який може бути застосовано у разі найбільш шкідливих та повторюва- </w:t>
      </w:r>
      <w:r>
        <w:rPr>
          <w:color w:val="231F20"/>
        </w:rPr>
        <w:t>них дисциплінарних проступків (наприклад, порушення Присяги державного службовця, вияв неповаги до держави, державних символів України, Українського народу, перевищення службових повноважень, якщо воно не містить складу злочину або адміністра- тивного прав</w:t>
      </w:r>
      <w:r>
        <w:rPr>
          <w:color w:val="231F20"/>
        </w:rPr>
        <w:t>опорушення тощо).</w:t>
      </w:r>
    </w:p>
    <w:p w14:paraId="6B39B2DE" w14:textId="77777777" w:rsidR="00DE575E" w:rsidRDefault="002E7560">
      <w:pPr>
        <w:pStyle w:val="BodyText"/>
        <w:spacing w:before="3" w:line="252" w:lineRule="auto"/>
        <w:ind w:left="250" w:right="411" w:firstLine="283"/>
        <w:jc w:val="both"/>
      </w:pPr>
      <w:r>
        <w:rPr>
          <w:color w:val="231F20"/>
        </w:rPr>
        <w:t xml:space="preserve">У </w:t>
      </w:r>
      <w:r>
        <w:rPr>
          <w:color w:val="231F20"/>
          <w:spacing w:val="-4"/>
        </w:rPr>
        <w:t xml:space="preserve">тому разі, </w:t>
      </w:r>
      <w:r>
        <w:rPr>
          <w:color w:val="231F20"/>
          <w:spacing w:val="-5"/>
        </w:rPr>
        <w:t xml:space="preserve">коли </w:t>
      </w:r>
      <w:r>
        <w:rPr>
          <w:color w:val="231F20"/>
          <w:spacing w:val="-6"/>
        </w:rPr>
        <w:t xml:space="preserve">шкода </w:t>
      </w:r>
      <w:r>
        <w:rPr>
          <w:color w:val="231F20"/>
          <w:spacing w:val="-5"/>
        </w:rPr>
        <w:t xml:space="preserve">завдана фізичній </w:t>
      </w:r>
      <w:r>
        <w:rPr>
          <w:color w:val="231F20"/>
          <w:spacing w:val="-4"/>
        </w:rPr>
        <w:t xml:space="preserve">або </w:t>
      </w:r>
      <w:r>
        <w:rPr>
          <w:color w:val="231F20"/>
          <w:spacing w:val="-5"/>
        </w:rPr>
        <w:t xml:space="preserve">юридичній </w:t>
      </w:r>
      <w:r>
        <w:rPr>
          <w:color w:val="231F20"/>
          <w:spacing w:val="-4"/>
        </w:rPr>
        <w:t xml:space="preserve">особі неза- </w:t>
      </w:r>
      <w:r>
        <w:rPr>
          <w:color w:val="231F20"/>
          <w:spacing w:val="-5"/>
        </w:rPr>
        <w:t xml:space="preserve">конним рішеннями, </w:t>
      </w:r>
      <w:r>
        <w:rPr>
          <w:color w:val="231F20"/>
          <w:spacing w:val="-4"/>
        </w:rPr>
        <w:t xml:space="preserve">діями </w:t>
      </w:r>
      <w:r>
        <w:rPr>
          <w:color w:val="231F20"/>
          <w:spacing w:val="-3"/>
        </w:rPr>
        <w:t xml:space="preserve">чи </w:t>
      </w:r>
      <w:r>
        <w:rPr>
          <w:color w:val="231F20"/>
          <w:spacing w:val="-5"/>
        </w:rPr>
        <w:t xml:space="preserve">бездіяльністю державного службовця, </w:t>
      </w:r>
      <w:r>
        <w:rPr>
          <w:color w:val="231F20"/>
          <w:spacing w:val="-4"/>
        </w:rPr>
        <w:t xml:space="preserve">вона </w:t>
      </w:r>
      <w:r>
        <w:rPr>
          <w:color w:val="231F20"/>
          <w:spacing w:val="-6"/>
        </w:rPr>
        <w:t xml:space="preserve">відшкодовується </w:t>
      </w:r>
      <w:r>
        <w:rPr>
          <w:color w:val="231F20"/>
          <w:spacing w:val="-5"/>
        </w:rPr>
        <w:t xml:space="preserve">державою незалежно </w:t>
      </w:r>
      <w:r>
        <w:rPr>
          <w:color w:val="231F20"/>
          <w:spacing w:val="-4"/>
        </w:rPr>
        <w:t xml:space="preserve">від форми вини цієї </w:t>
      </w:r>
      <w:r>
        <w:rPr>
          <w:color w:val="231F20"/>
          <w:spacing w:val="-5"/>
        </w:rPr>
        <w:t xml:space="preserve">особи. </w:t>
      </w:r>
      <w:r>
        <w:rPr>
          <w:color w:val="231F20"/>
          <w:spacing w:val="-3"/>
        </w:rPr>
        <w:t>Це</w:t>
      </w:r>
      <w:r>
        <w:rPr>
          <w:color w:val="231F20"/>
          <w:spacing w:val="-16"/>
        </w:rPr>
        <w:t xml:space="preserve"> </w:t>
      </w:r>
      <w:r>
        <w:rPr>
          <w:color w:val="231F20"/>
          <w:spacing w:val="-5"/>
        </w:rPr>
        <w:t>зумовлено,</w:t>
      </w:r>
      <w:r>
        <w:rPr>
          <w:color w:val="231F20"/>
          <w:spacing w:val="-16"/>
        </w:rPr>
        <w:t xml:space="preserve"> </w:t>
      </w:r>
      <w:r>
        <w:rPr>
          <w:color w:val="231F20"/>
          <w:spacing w:val="-5"/>
        </w:rPr>
        <w:t>по-перше,</w:t>
      </w:r>
      <w:r>
        <w:rPr>
          <w:color w:val="231F20"/>
          <w:spacing w:val="-16"/>
        </w:rPr>
        <w:t xml:space="preserve"> </w:t>
      </w:r>
      <w:r>
        <w:rPr>
          <w:color w:val="231F20"/>
          <w:spacing w:val="-4"/>
        </w:rPr>
        <w:t>тим,</w:t>
      </w:r>
      <w:r>
        <w:rPr>
          <w:color w:val="231F20"/>
          <w:spacing w:val="-17"/>
        </w:rPr>
        <w:t xml:space="preserve"> </w:t>
      </w:r>
      <w:r>
        <w:rPr>
          <w:color w:val="231F20"/>
          <w:spacing w:val="-3"/>
        </w:rPr>
        <w:t>що</w:t>
      </w:r>
      <w:r>
        <w:rPr>
          <w:color w:val="231F20"/>
          <w:spacing w:val="-16"/>
        </w:rPr>
        <w:t xml:space="preserve"> </w:t>
      </w:r>
      <w:r>
        <w:rPr>
          <w:color w:val="231F20"/>
          <w:spacing w:val="-5"/>
        </w:rPr>
        <w:t>державний</w:t>
      </w:r>
      <w:r>
        <w:rPr>
          <w:color w:val="231F20"/>
          <w:spacing w:val="-16"/>
        </w:rPr>
        <w:t xml:space="preserve"> </w:t>
      </w:r>
      <w:r>
        <w:rPr>
          <w:color w:val="231F20"/>
          <w:spacing w:val="-5"/>
        </w:rPr>
        <w:t>службовець</w:t>
      </w:r>
      <w:r>
        <w:rPr>
          <w:color w:val="231F20"/>
          <w:spacing w:val="-16"/>
        </w:rPr>
        <w:t xml:space="preserve"> </w:t>
      </w:r>
      <w:r>
        <w:rPr>
          <w:color w:val="231F20"/>
          <w:spacing w:val="-5"/>
        </w:rPr>
        <w:t>здійснює</w:t>
      </w:r>
      <w:r>
        <w:rPr>
          <w:color w:val="231F20"/>
          <w:spacing w:val="-16"/>
        </w:rPr>
        <w:t xml:space="preserve"> </w:t>
      </w:r>
      <w:r>
        <w:rPr>
          <w:color w:val="231F20"/>
          <w:spacing w:val="-5"/>
        </w:rPr>
        <w:t xml:space="preserve">свою діяльність </w:t>
      </w:r>
      <w:r>
        <w:rPr>
          <w:color w:val="231F20"/>
          <w:spacing w:val="-3"/>
        </w:rPr>
        <w:t xml:space="preserve">не </w:t>
      </w:r>
      <w:r>
        <w:rPr>
          <w:color w:val="231F20"/>
          <w:spacing w:val="-4"/>
        </w:rPr>
        <w:t xml:space="preserve">від свого </w:t>
      </w:r>
      <w:r>
        <w:rPr>
          <w:color w:val="231F20"/>
          <w:spacing w:val="-5"/>
        </w:rPr>
        <w:t xml:space="preserve">імені, </w:t>
      </w:r>
      <w:r>
        <w:rPr>
          <w:color w:val="231F20"/>
        </w:rPr>
        <w:t xml:space="preserve">а </w:t>
      </w:r>
      <w:r>
        <w:rPr>
          <w:color w:val="231F20"/>
          <w:spacing w:val="-4"/>
        </w:rPr>
        <w:t xml:space="preserve">від імені </w:t>
      </w:r>
      <w:r>
        <w:rPr>
          <w:color w:val="231F20"/>
          <w:spacing w:val="-5"/>
        </w:rPr>
        <w:t xml:space="preserve">держави; по-друге, відповідні правовідносини виникають </w:t>
      </w:r>
      <w:r>
        <w:rPr>
          <w:color w:val="231F20"/>
          <w:spacing w:val="-4"/>
        </w:rPr>
        <w:t xml:space="preserve">між </w:t>
      </w:r>
      <w:r>
        <w:rPr>
          <w:color w:val="231F20"/>
          <w:spacing w:val="-5"/>
        </w:rPr>
        <w:t xml:space="preserve">державою </w:t>
      </w:r>
      <w:r>
        <w:rPr>
          <w:color w:val="231F20"/>
        </w:rPr>
        <w:t xml:space="preserve">в </w:t>
      </w:r>
      <w:r>
        <w:rPr>
          <w:color w:val="231F20"/>
          <w:spacing w:val="-4"/>
        </w:rPr>
        <w:t xml:space="preserve">особі </w:t>
      </w:r>
      <w:r>
        <w:rPr>
          <w:color w:val="231F20"/>
          <w:spacing w:val="-5"/>
        </w:rPr>
        <w:t xml:space="preserve">державного органу   </w:t>
      </w:r>
      <w:r>
        <w:rPr>
          <w:color w:val="231F20"/>
        </w:rPr>
        <w:t>і</w:t>
      </w:r>
      <w:r>
        <w:rPr>
          <w:color w:val="231F20"/>
          <w:spacing w:val="-9"/>
        </w:rPr>
        <w:t xml:space="preserve"> </w:t>
      </w:r>
      <w:r>
        <w:rPr>
          <w:color w:val="231F20"/>
          <w:spacing w:val="-5"/>
        </w:rPr>
        <w:t>потерпілим,</w:t>
      </w:r>
      <w:r>
        <w:rPr>
          <w:color w:val="231F20"/>
          <w:spacing w:val="-9"/>
        </w:rPr>
        <w:t xml:space="preserve"> </w:t>
      </w:r>
      <w:r>
        <w:rPr>
          <w:color w:val="231F20"/>
        </w:rPr>
        <w:t>а</w:t>
      </w:r>
      <w:r>
        <w:rPr>
          <w:color w:val="231F20"/>
          <w:spacing w:val="-9"/>
        </w:rPr>
        <w:t xml:space="preserve"> </w:t>
      </w:r>
      <w:r>
        <w:rPr>
          <w:color w:val="231F20"/>
          <w:spacing w:val="-3"/>
        </w:rPr>
        <w:t>не</w:t>
      </w:r>
      <w:r>
        <w:rPr>
          <w:color w:val="231F20"/>
          <w:spacing w:val="-9"/>
        </w:rPr>
        <w:t xml:space="preserve"> </w:t>
      </w:r>
      <w:r>
        <w:rPr>
          <w:color w:val="231F20"/>
          <w:spacing w:val="-4"/>
        </w:rPr>
        <w:t>між</w:t>
      </w:r>
      <w:r>
        <w:rPr>
          <w:color w:val="231F20"/>
          <w:spacing w:val="-9"/>
        </w:rPr>
        <w:t xml:space="preserve"> </w:t>
      </w:r>
      <w:r>
        <w:rPr>
          <w:color w:val="231F20"/>
          <w:spacing w:val="-5"/>
        </w:rPr>
        <w:t>державним</w:t>
      </w:r>
      <w:r>
        <w:rPr>
          <w:color w:val="231F20"/>
          <w:spacing w:val="-9"/>
        </w:rPr>
        <w:t xml:space="preserve"> </w:t>
      </w:r>
      <w:r>
        <w:rPr>
          <w:color w:val="231F20"/>
          <w:spacing w:val="-5"/>
        </w:rPr>
        <w:t>службовцем</w:t>
      </w:r>
      <w:r>
        <w:rPr>
          <w:color w:val="231F20"/>
          <w:spacing w:val="-9"/>
        </w:rPr>
        <w:t xml:space="preserve"> </w:t>
      </w:r>
      <w:r>
        <w:rPr>
          <w:color w:val="231F20"/>
        </w:rPr>
        <w:t>і</w:t>
      </w:r>
      <w:r>
        <w:rPr>
          <w:color w:val="231F20"/>
          <w:spacing w:val="-9"/>
        </w:rPr>
        <w:t xml:space="preserve"> </w:t>
      </w:r>
      <w:r>
        <w:rPr>
          <w:color w:val="231F20"/>
          <w:spacing w:val="-6"/>
        </w:rPr>
        <w:t>потерпілим.</w:t>
      </w:r>
    </w:p>
    <w:p w14:paraId="1F8FF0F3" w14:textId="77777777" w:rsidR="00DE575E" w:rsidRDefault="002E7560">
      <w:pPr>
        <w:pStyle w:val="BodyText"/>
        <w:spacing w:before="4" w:line="252" w:lineRule="auto"/>
        <w:ind w:left="250" w:right="411" w:firstLine="283"/>
        <w:jc w:val="both"/>
      </w:pPr>
      <w:r>
        <w:rPr>
          <w:color w:val="231F20"/>
        </w:rPr>
        <w:t>Обов’язок державного службовця ві</w:t>
      </w:r>
      <w:r>
        <w:rPr>
          <w:color w:val="231F20"/>
        </w:rPr>
        <w:t>дшкодувати завдану ним матеріальну шкоду виникає як наслідок зворотної вимоги від держави,</w:t>
      </w:r>
      <w:r>
        <w:rPr>
          <w:color w:val="231F20"/>
          <w:spacing w:val="-9"/>
        </w:rPr>
        <w:t xml:space="preserve"> </w:t>
      </w:r>
      <w:r>
        <w:rPr>
          <w:color w:val="231F20"/>
        </w:rPr>
        <w:t>але</w:t>
      </w:r>
      <w:r>
        <w:rPr>
          <w:color w:val="231F20"/>
          <w:spacing w:val="-10"/>
        </w:rPr>
        <w:t xml:space="preserve"> </w:t>
      </w:r>
      <w:r>
        <w:rPr>
          <w:color w:val="231F20"/>
        </w:rPr>
        <w:t>виключно</w:t>
      </w:r>
      <w:r>
        <w:rPr>
          <w:color w:val="231F20"/>
          <w:spacing w:val="-10"/>
        </w:rPr>
        <w:t xml:space="preserve"> </w:t>
      </w:r>
      <w:r>
        <w:rPr>
          <w:color w:val="231F20"/>
        </w:rPr>
        <w:t>в</w:t>
      </w:r>
      <w:r>
        <w:rPr>
          <w:color w:val="231F20"/>
          <w:spacing w:val="-9"/>
        </w:rPr>
        <w:t xml:space="preserve"> </w:t>
      </w:r>
      <w:r>
        <w:rPr>
          <w:color w:val="231F20"/>
        </w:rPr>
        <w:t>межах</w:t>
      </w:r>
      <w:r>
        <w:rPr>
          <w:color w:val="231F20"/>
          <w:spacing w:val="-9"/>
        </w:rPr>
        <w:t xml:space="preserve"> </w:t>
      </w:r>
      <w:r>
        <w:rPr>
          <w:color w:val="231F20"/>
        </w:rPr>
        <w:t>шкоди,</w:t>
      </w:r>
      <w:r>
        <w:rPr>
          <w:color w:val="231F20"/>
          <w:spacing w:val="-10"/>
        </w:rPr>
        <w:t xml:space="preserve"> </w:t>
      </w:r>
      <w:r>
        <w:rPr>
          <w:color w:val="231F20"/>
        </w:rPr>
        <w:t>яка</w:t>
      </w:r>
      <w:r>
        <w:rPr>
          <w:color w:val="231F20"/>
          <w:spacing w:val="-9"/>
        </w:rPr>
        <w:t xml:space="preserve"> </w:t>
      </w:r>
      <w:r>
        <w:rPr>
          <w:color w:val="231F20"/>
        </w:rPr>
        <w:t>умисно</w:t>
      </w:r>
      <w:r>
        <w:rPr>
          <w:color w:val="231F20"/>
          <w:spacing w:val="-10"/>
        </w:rPr>
        <w:t xml:space="preserve"> </w:t>
      </w:r>
      <w:r>
        <w:rPr>
          <w:color w:val="231F20"/>
        </w:rPr>
        <w:t>заподіяна</w:t>
      </w:r>
      <w:r>
        <w:rPr>
          <w:color w:val="231F20"/>
          <w:spacing w:val="-10"/>
        </w:rPr>
        <w:t xml:space="preserve"> </w:t>
      </w:r>
      <w:r>
        <w:rPr>
          <w:color w:val="231F20"/>
        </w:rPr>
        <w:t>проти- правними діями або бездіяльністю. Державні службовці за неви- конання або неналежне виконання посадових обов’</w:t>
      </w:r>
      <w:r>
        <w:rPr>
          <w:color w:val="231F20"/>
        </w:rPr>
        <w:t xml:space="preserve">язків притягу- ються до </w:t>
      </w:r>
      <w:r>
        <w:rPr>
          <w:b/>
          <w:i/>
          <w:color w:val="231F20"/>
        </w:rPr>
        <w:t>матеріальної</w:t>
      </w:r>
      <w:r>
        <w:rPr>
          <w:b/>
          <w:i/>
          <w:color w:val="231F20"/>
          <w:spacing w:val="-3"/>
        </w:rPr>
        <w:t xml:space="preserve"> </w:t>
      </w:r>
      <w:r>
        <w:rPr>
          <w:b/>
          <w:i/>
          <w:color w:val="231F20"/>
        </w:rPr>
        <w:t>відповідальності</w:t>
      </w:r>
      <w:r>
        <w:rPr>
          <w:color w:val="231F20"/>
        </w:rPr>
        <w:t>.</w:t>
      </w:r>
    </w:p>
    <w:p w14:paraId="701B6F51" w14:textId="77777777" w:rsidR="00DE575E" w:rsidRDefault="002E7560">
      <w:pPr>
        <w:spacing w:before="2" w:line="252" w:lineRule="auto"/>
        <w:ind w:left="250" w:right="411" w:firstLine="283"/>
        <w:jc w:val="both"/>
        <w:rPr>
          <w:sz w:val="21"/>
        </w:rPr>
      </w:pPr>
      <w:r>
        <w:rPr>
          <w:i/>
          <w:color w:val="231F20"/>
          <w:sz w:val="21"/>
        </w:rPr>
        <w:t xml:space="preserve">Порядок застосування матеріальної відповідальності до держав- них службовців </w:t>
      </w:r>
      <w:r>
        <w:rPr>
          <w:color w:val="231F20"/>
          <w:sz w:val="21"/>
        </w:rPr>
        <w:t>складається з таких етапів:</w:t>
      </w:r>
    </w:p>
    <w:p w14:paraId="678A7CD8" w14:textId="77777777" w:rsidR="00DE575E" w:rsidRDefault="002E7560">
      <w:pPr>
        <w:pStyle w:val="ListParagraph"/>
        <w:numPr>
          <w:ilvl w:val="0"/>
          <w:numId w:val="99"/>
        </w:numPr>
        <w:tabs>
          <w:tab w:val="left" w:pos="818"/>
        </w:tabs>
        <w:spacing w:line="252" w:lineRule="auto"/>
        <w:ind w:right="410" w:firstLine="283"/>
        <w:jc w:val="both"/>
        <w:rPr>
          <w:sz w:val="21"/>
        </w:rPr>
      </w:pPr>
      <w:r>
        <w:rPr>
          <w:color w:val="231F20"/>
          <w:sz w:val="21"/>
        </w:rPr>
        <w:t>керівник державної служби вносить державному службовцю письмову пропозицію, в якій зазначаються розмір, порядок і строки відшкодування шкоди, а також обставини, що стали підставою для відшкодування</w:t>
      </w:r>
      <w:r>
        <w:rPr>
          <w:color w:val="231F20"/>
          <w:spacing w:val="-15"/>
          <w:sz w:val="21"/>
        </w:rPr>
        <w:t xml:space="preserve"> </w:t>
      </w:r>
      <w:r>
        <w:rPr>
          <w:color w:val="231F20"/>
          <w:sz w:val="21"/>
        </w:rPr>
        <w:t>(пропозиція</w:t>
      </w:r>
      <w:r>
        <w:rPr>
          <w:color w:val="231F20"/>
          <w:spacing w:val="-16"/>
          <w:sz w:val="21"/>
        </w:rPr>
        <w:t xml:space="preserve"> </w:t>
      </w:r>
      <w:r>
        <w:rPr>
          <w:color w:val="231F20"/>
          <w:sz w:val="21"/>
        </w:rPr>
        <w:t>може</w:t>
      </w:r>
      <w:r>
        <w:rPr>
          <w:color w:val="231F20"/>
          <w:spacing w:val="-15"/>
          <w:sz w:val="21"/>
        </w:rPr>
        <w:t xml:space="preserve"> </w:t>
      </w:r>
      <w:r>
        <w:rPr>
          <w:color w:val="231F20"/>
          <w:sz w:val="21"/>
        </w:rPr>
        <w:t>бути</w:t>
      </w:r>
      <w:r>
        <w:rPr>
          <w:color w:val="231F20"/>
          <w:spacing w:val="-15"/>
          <w:sz w:val="21"/>
        </w:rPr>
        <w:t xml:space="preserve"> </w:t>
      </w:r>
      <w:r>
        <w:rPr>
          <w:color w:val="231F20"/>
          <w:sz w:val="21"/>
        </w:rPr>
        <w:t>внесена</w:t>
      </w:r>
      <w:r>
        <w:rPr>
          <w:color w:val="231F20"/>
          <w:spacing w:val="-15"/>
          <w:sz w:val="21"/>
        </w:rPr>
        <w:t xml:space="preserve"> </w:t>
      </w:r>
      <w:r>
        <w:rPr>
          <w:color w:val="231F20"/>
          <w:sz w:val="21"/>
        </w:rPr>
        <w:t>протягом</w:t>
      </w:r>
      <w:r>
        <w:rPr>
          <w:color w:val="231F20"/>
          <w:spacing w:val="-15"/>
          <w:sz w:val="21"/>
        </w:rPr>
        <w:t xml:space="preserve"> </w:t>
      </w:r>
      <w:r>
        <w:rPr>
          <w:color w:val="231F20"/>
          <w:sz w:val="21"/>
        </w:rPr>
        <w:t>трьох</w:t>
      </w:r>
      <w:r>
        <w:rPr>
          <w:color w:val="231F20"/>
          <w:spacing w:val="-15"/>
          <w:sz w:val="21"/>
        </w:rPr>
        <w:t xml:space="preserve"> </w:t>
      </w:r>
      <w:r>
        <w:rPr>
          <w:color w:val="231F20"/>
          <w:sz w:val="21"/>
        </w:rPr>
        <w:t>міся- ців з д</w:t>
      </w:r>
      <w:r>
        <w:rPr>
          <w:color w:val="231F20"/>
          <w:sz w:val="21"/>
        </w:rPr>
        <w:t>ня, коли керівник державної служби дізнався чи мав дізна- тися про обставини, що є підставою для пред’явлення вимоги, але не пізніше ніж через три роки з дня заподіяння</w:t>
      </w:r>
      <w:r>
        <w:rPr>
          <w:color w:val="231F20"/>
          <w:spacing w:val="-13"/>
          <w:sz w:val="21"/>
        </w:rPr>
        <w:t xml:space="preserve"> </w:t>
      </w:r>
      <w:r>
        <w:rPr>
          <w:color w:val="231F20"/>
          <w:sz w:val="21"/>
        </w:rPr>
        <w:t>шкоди);</w:t>
      </w:r>
    </w:p>
    <w:p w14:paraId="46E46593" w14:textId="77777777" w:rsidR="00DE575E" w:rsidRDefault="002E7560">
      <w:pPr>
        <w:pStyle w:val="ListParagraph"/>
        <w:numPr>
          <w:ilvl w:val="0"/>
          <w:numId w:val="99"/>
        </w:numPr>
        <w:tabs>
          <w:tab w:val="left" w:pos="818"/>
        </w:tabs>
        <w:spacing w:before="4" w:line="252" w:lineRule="auto"/>
        <w:ind w:right="411" w:firstLine="283"/>
        <w:jc w:val="both"/>
        <w:rPr>
          <w:sz w:val="21"/>
        </w:rPr>
      </w:pPr>
      <w:r>
        <w:rPr>
          <w:color w:val="231F20"/>
          <w:sz w:val="21"/>
        </w:rPr>
        <w:t>надання відповіді  на  пропозицію  про  відшкодування  шкоди</w:t>
      </w:r>
      <w:r>
        <w:rPr>
          <w:color w:val="231F20"/>
          <w:spacing w:val="25"/>
          <w:sz w:val="21"/>
        </w:rPr>
        <w:t xml:space="preserve"> </w:t>
      </w:r>
      <w:r>
        <w:rPr>
          <w:color w:val="231F20"/>
          <w:sz w:val="21"/>
        </w:rPr>
        <w:t>в</w:t>
      </w:r>
      <w:r>
        <w:rPr>
          <w:color w:val="231F20"/>
          <w:spacing w:val="25"/>
          <w:sz w:val="21"/>
        </w:rPr>
        <w:t xml:space="preserve"> </w:t>
      </w:r>
      <w:r>
        <w:rPr>
          <w:color w:val="231F20"/>
          <w:sz w:val="21"/>
        </w:rPr>
        <w:t>письмовій</w:t>
      </w:r>
      <w:r>
        <w:rPr>
          <w:color w:val="231F20"/>
          <w:spacing w:val="25"/>
          <w:sz w:val="21"/>
        </w:rPr>
        <w:t xml:space="preserve"> </w:t>
      </w:r>
      <w:r>
        <w:rPr>
          <w:color w:val="231F20"/>
          <w:sz w:val="21"/>
        </w:rPr>
        <w:t>формі</w:t>
      </w:r>
      <w:r>
        <w:rPr>
          <w:color w:val="231F20"/>
          <w:spacing w:val="25"/>
          <w:sz w:val="21"/>
        </w:rPr>
        <w:t xml:space="preserve"> </w:t>
      </w:r>
      <w:r>
        <w:rPr>
          <w:color w:val="231F20"/>
          <w:sz w:val="21"/>
        </w:rPr>
        <w:t>протягом</w:t>
      </w:r>
      <w:r>
        <w:rPr>
          <w:color w:val="231F20"/>
          <w:spacing w:val="25"/>
          <w:sz w:val="21"/>
        </w:rPr>
        <w:t xml:space="preserve"> </w:t>
      </w:r>
      <w:r>
        <w:rPr>
          <w:color w:val="231F20"/>
          <w:sz w:val="21"/>
        </w:rPr>
        <w:t>двох</w:t>
      </w:r>
      <w:r>
        <w:rPr>
          <w:color w:val="231F20"/>
          <w:spacing w:val="25"/>
          <w:sz w:val="21"/>
        </w:rPr>
        <w:t xml:space="preserve"> </w:t>
      </w:r>
      <w:r>
        <w:rPr>
          <w:color w:val="231F20"/>
          <w:sz w:val="21"/>
        </w:rPr>
        <w:t>тижнів</w:t>
      </w:r>
      <w:r>
        <w:rPr>
          <w:color w:val="231F20"/>
          <w:spacing w:val="25"/>
          <w:sz w:val="21"/>
        </w:rPr>
        <w:t xml:space="preserve"> </w:t>
      </w:r>
      <w:r>
        <w:rPr>
          <w:color w:val="231F20"/>
          <w:sz w:val="21"/>
        </w:rPr>
        <w:t>з</w:t>
      </w:r>
      <w:r>
        <w:rPr>
          <w:color w:val="231F20"/>
          <w:spacing w:val="25"/>
          <w:sz w:val="21"/>
        </w:rPr>
        <w:t xml:space="preserve"> </w:t>
      </w:r>
      <w:r>
        <w:rPr>
          <w:color w:val="231F20"/>
          <w:sz w:val="21"/>
        </w:rPr>
        <w:t>дня</w:t>
      </w:r>
      <w:r>
        <w:rPr>
          <w:color w:val="231F20"/>
          <w:spacing w:val="25"/>
          <w:sz w:val="21"/>
        </w:rPr>
        <w:t xml:space="preserve"> </w:t>
      </w:r>
      <w:r>
        <w:rPr>
          <w:color w:val="231F20"/>
          <w:sz w:val="21"/>
        </w:rPr>
        <w:t>отримання</w:t>
      </w:r>
    </w:p>
    <w:p w14:paraId="4319A2F3" w14:textId="77777777" w:rsidR="00DE575E" w:rsidRDefault="00DE575E">
      <w:pPr>
        <w:pStyle w:val="BodyText"/>
        <w:spacing w:before="5"/>
        <w:rPr>
          <w:sz w:val="12"/>
        </w:rPr>
      </w:pPr>
    </w:p>
    <w:p w14:paraId="498D295B" w14:textId="77777777" w:rsidR="00DE575E" w:rsidRDefault="002E7560">
      <w:pPr>
        <w:spacing w:before="92"/>
        <w:ind w:right="411"/>
        <w:jc w:val="right"/>
        <w:rPr>
          <w:rFonts w:ascii="Times New Roman"/>
          <w:sz w:val="20"/>
        </w:rPr>
      </w:pPr>
      <w:r>
        <w:rPr>
          <w:rFonts w:ascii="Times New Roman"/>
          <w:color w:val="231F20"/>
          <w:w w:val="90"/>
          <w:sz w:val="20"/>
        </w:rPr>
        <w:t>377</w:t>
      </w:r>
    </w:p>
    <w:p w14:paraId="4778632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081640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EE7409A" w14:textId="22C37B0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A7FBFFD" wp14:editId="1022D148">
                <wp:extent cx="4140200" cy="6350"/>
                <wp:effectExtent l="0" t="0" r="12700" b="6350"/>
                <wp:docPr id="45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59" name="Line 45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6FE07" id="Group_x0020_45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EK8tpX4CAACYBQAADgAA&#10;AAAAAAAAAAAAAAAsAgAAZHJzL2Uyb0RvYy54bWxQSwECLQAUAAYACAAAACEATKewkNkAAAADAQAA&#10;DwAAAAAAAAAAAAAAAADWBAAAZHJzL2Rvd25yZXYueG1sUEsFBgAAAAAEAAQA8wAAANwFAAAAAA==&#10;">
                <v:line id="Line_x0020_45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NscccAAADcAAAADwAAAGRycy9kb3ducmV2LnhtbESP0WrCQBRE3wv+w3KFvkjdqG2xqauI&#10;UCg+qDV+wDV7m4Tu3o3Z1aR+fVcQ+jjMzBlmtuisERdqfOVYwWiYgCDOna64UHDIPp6mIHxA1mgc&#10;k4Jf8rCY9x5mmGrX8hdd9qEQEcI+RQVlCHUqpc9LsuiHriaO3rdrLIYom0LqBtsIt0aOk+RVWqw4&#10;LpRY06qk/Gd/tgqy0yCY3XZt2mx7nMjjaTO5njdKPfa75TuIQF34D9/bn1rB88sb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Y2xxxwAAANwAAAAPAAAAAAAA&#10;AAAAAAAAAKECAABkcnMvZG93bnJldi54bWxQSwUGAAAAAAQABAD5AAAAlQMAAAAA&#10;" strokecolor="#231f20" strokeweight=".5pt"/>
                <w10:anchorlock/>
              </v:group>
            </w:pict>
          </mc:Fallback>
        </mc:AlternateContent>
      </w:r>
    </w:p>
    <w:p w14:paraId="78A628B0" w14:textId="77777777" w:rsidR="00DE575E" w:rsidRDefault="00DE575E">
      <w:pPr>
        <w:pStyle w:val="BodyText"/>
        <w:spacing w:before="7"/>
        <w:rPr>
          <w:rFonts w:ascii="AdonisC"/>
          <w:i/>
          <w:sz w:val="11"/>
        </w:rPr>
      </w:pPr>
    </w:p>
    <w:p w14:paraId="1973D27D" w14:textId="77777777" w:rsidR="00DE575E" w:rsidRDefault="002E7560">
      <w:pPr>
        <w:pStyle w:val="BodyText"/>
        <w:spacing w:before="101" w:line="252" w:lineRule="auto"/>
        <w:ind w:left="533" w:right="127"/>
        <w:jc w:val="both"/>
      </w:pPr>
      <w:r>
        <w:rPr>
          <w:color w:val="231F20"/>
        </w:rPr>
        <w:t>пропозиції. У разі ненадання державним службовцем відповіді на пропозицію про добровільне відшкодування шкоди, відмови від відшкодування чи невідшкодування шкоди до зазначеного у пропо- зиції строку керівник державної с</w:t>
      </w:r>
      <w:r>
        <w:rPr>
          <w:color w:val="231F20"/>
        </w:rPr>
        <w:t>лужби може звернутися з позовом про таке відшкодування до суду.</w:t>
      </w:r>
    </w:p>
    <w:p w14:paraId="0B5EC447" w14:textId="77777777" w:rsidR="00DE575E" w:rsidRDefault="002E7560">
      <w:pPr>
        <w:pStyle w:val="BodyText"/>
        <w:spacing w:before="2" w:line="252" w:lineRule="auto"/>
        <w:ind w:left="533" w:right="126" w:firstLine="283"/>
        <w:jc w:val="both"/>
      </w:pPr>
      <w:r>
        <w:rPr>
          <w:i/>
          <w:color w:val="231F20"/>
          <w:spacing w:val="-5"/>
        </w:rPr>
        <w:t xml:space="preserve">Визначення розміру матеріальної шкоди </w:t>
      </w:r>
      <w:r>
        <w:rPr>
          <w:color w:val="231F20"/>
          <w:spacing w:val="-5"/>
        </w:rPr>
        <w:t xml:space="preserve">відбувається </w:t>
      </w:r>
      <w:r>
        <w:rPr>
          <w:color w:val="231F20"/>
          <w:spacing w:val="-3"/>
        </w:rPr>
        <w:t xml:space="preserve">на </w:t>
      </w:r>
      <w:r>
        <w:rPr>
          <w:color w:val="231F20"/>
          <w:spacing w:val="-5"/>
        </w:rPr>
        <w:t xml:space="preserve">основі майнового становища державного службовця, співвідношення розміру заподіяної </w:t>
      </w:r>
      <w:r>
        <w:rPr>
          <w:color w:val="231F20"/>
          <w:spacing w:val="-6"/>
        </w:rPr>
        <w:t xml:space="preserve">шкоди </w:t>
      </w:r>
      <w:r>
        <w:rPr>
          <w:color w:val="231F20"/>
          <w:spacing w:val="-3"/>
        </w:rPr>
        <w:t xml:space="preserve">до </w:t>
      </w:r>
      <w:r>
        <w:rPr>
          <w:color w:val="231F20"/>
          <w:spacing w:val="-4"/>
        </w:rPr>
        <w:t xml:space="preserve">його </w:t>
      </w:r>
      <w:r>
        <w:rPr>
          <w:color w:val="231F20"/>
          <w:spacing w:val="-5"/>
        </w:rPr>
        <w:t xml:space="preserve">заробітної плати, </w:t>
      </w:r>
      <w:r>
        <w:rPr>
          <w:color w:val="231F20"/>
          <w:spacing w:val="-4"/>
        </w:rPr>
        <w:t xml:space="preserve">ризик </w:t>
      </w:r>
      <w:r>
        <w:rPr>
          <w:color w:val="231F20"/>
          <w:spacing w:val="-5"/>
        </w:rPr>
        <w:t xml:space="preserve">виникнення </w:t>
      </w:r>
      <w:r>
        <w:rPr>
          <w:color w:val="231F20"/>
          <w:spacing w:val="-7"/>
        </w:rPr>
        <w:t>шкоди,</w:t>
      </w:r>
      <w:r>
        <w:rPr>
          <w:color w:val="231F20"/>
          <w:spacing w:val="-7"/>
        </w:rPr>
        <w:t xml:space="preserve"> </w:t>
      </w:r>
      <w:r>
        <w:rPr>
          <w:color w:val="231F20"/>
          <w:spacing w:val="-5"/>
        </w:rPr>
        <w:t xml:space="preserve">досвід державної служби, надані державному службовцю накази (розпорядження), </w:t>
      </w:r>
      <w:r>
        <w:rPr>
          <w:color w:val="231F20"/>
        </w:rPr>
        <w:t xml:space="preserve">а </w:t>
      </w:r>
      <w:r>
        <w:rPr>
          <w:color w:val="231F20"/>
          <w:spacing w:val="-5"/>
        </w:rPr>
        <w:t xml:space="preserve">також </w:t>
      </w:r>
      <w:r>
        <w:rPr>
          <w:color w:val="231F20"/>
          <w:spacing w:val="-4"/>
        </w:rPr>
        <w:t xml:space="preserve">інші </w:t>
      </w:r>
      <w:r>
        <w:rPr>
          <w:color w:val="231F20"/>
          <w:spacing w:val="-5"/>
        </w:rPr>
        <w:t xml:space="preserve">обставини, </w:t>
      </w:r>
      <w:r>
        <w:rPr>
          <w:color w:val="231F20"/>
        </w:rPr>
        <w:t xml:space="preserve">у </w:t>
      </w:r>
      <w:r>
        <w:rPr>
          <w:color w:val="231F20"/>
          <w:spacing w:val="-5"/>
        </w:rPr>
        <w:t xml:space="preserve">зв’язку </w:t>
      </w:r>
      <w:r>
        <w:rPr>
          <w:color w:val="231F20"/>
        </w:rPr>
        <w:t xml:space="preserve">з </w:t>
      </w:r>
      <w:r>
        <w:rPr>
          <w:color w:val="231F20"/>
          <w:spacing w:val="-4"/>
        </w:rPr>
        <w:t xml:space="preserve">якими </w:t>
      </w:r>
      <w:r>
        <w:rPr>
          <w:color w:val="231F20"/>
          <w:spacing w:val="-5"/>
        </w:rPr>
        <w:t xml:space="preserve">повне </w:t>
      </w:r>
      <w:r>
        <w:rPr>
          <w:color w:val="231F20"/>
          <w:spacing w:val="-6"/>
        </w:rPr>
        <w:t xml:space="preserve">відшкодування </w:t>
      </w:r>
      <w:r>
        <w:rPr>
          <w:color w:val="231F20"/>
          <w:spacing w:val="-5"/>
        </w:rPr>
        <w:t xml:space="preserve">державним службовцем </w:t>
      </w:r>
      <w:r>
        <w:rPr>
          <w:color w:val="231F20"/>
          <w:spacing w:val="-6"/>
        </w:rPr>
        <w:t xml:space="preserve">шкоди </w:t>
      </w:r>
      <w:r>
        <w:rPr>
          <w:color w:val="231F20"/>
          <w:spacing w:val="-7"/>
        </w:rPr>
        <w:t xml:space="preserve">буде </w:t>
      </w:r>
      <w:r>
        <w:rPr>
          <w:color w:val="231F20"/>
          <w:spacing w:val="-6"/>
        </w:rPr>
        <w:t>необґрунтованим.</w:t>
      </w:r>
    </w:p>
    <w:p w14:paraId="4D9C9A7B" w14:textId="77777777" w:rsidR="00DE575E" w:rsidRDefault="00DE575E">
      <w:pPr>
        <w:pStyle w:val="BodyText"/>
        <w:rPr>
          <w:sz w:val="24"/>
        </w:rPr>
      </w:pPr>
    </w:p>
    <w:p w14:paraId="0BDF2D7D" w14:textId="77777777" w:rsidR="00DE575E" w:rsidRDefault="00DE575E">
      <w:pPr>
        <w:pStyle w:val="BodyText"/>
        <w:spacing w:before="6"/>
        <w:rPr>
          <w:sz w:val="19"/>
        </w:rPr>
      </w:pPr>
    </w:p>
    <w:p w14:paraId="0BE0CEDC" w14:textId="77777777" w:rsidR="00DE575E" w:rsidRDefault="002E7560">
      <w:pPr>
        <w:pStyle w:val="Heading4"/>
        <w:ind w:left="2551" w:right="1087" w:hanging="1044"/>
      </w:pPr>
      <w:r>
        <w:rPr>
          <w:color w:val="231F20"/>
        </w:rPr>
        <w:t>2.5. Матеріальне й соціальне забезпечення державного службовця</w:t>
      </w:r>
    </w:p>
    <w:p w14:paraId="4A6C751C" w14:textId="77777777" w:rsidR="00DE575E" w:rsidRDefault="00DE575E">
      <w:pPr>
        <w:pStyle w:val="BodyText"/>
        <w:rPr>
          <w:b/>
          <w:sz w:val="26"/>
        </w:rPr>
      </w:pPr>
    </w:p>
    <w:p w14:paraId="3DD58CF0" w14:textId="77777777" w:rsidR="00DE575E" w:rsidRDefault="002E7560">
      <w:pPr>
        <w:spacing w:before="224" w:line="252" w:lineRule="auto"/>
        <w:ind w:left="533" w:right="128" w:firstLine="283"/>
        <w:jc w:val="both"/>
        <w:rPr>
          <w:i/>
          <w:sz w:val="21"/>
        </w:rPr>
      </w:pPr>
      <w:r>
        <w:rPr>
          <w:color w:val="231F20"/>
          <w:sz w:val="21"/>
        </w:rPr>
        <w:t>До</w:t>
      </w:r>
      <w:r>
        <w:rPr>
          <w:color w:val="231F20"/>
          <w:spacing w:val="-16"/>
          <w:sz w:val="21"/>
        </w:rPr>
        <w:t xml:space="preserve"> </w:t>
      </w:r>
      <w:r>
        <w:rPr>
          <w:color w:val="231F20"/>
          <w:sz w:val="21"/>
        </w:rPr>
        <w:t>функціональних</w:t>
      </w:r>
      <w:r>
        <w:rPr>
          <w:color w:val="231F20"/>
          <w:spacing w:val="-16"/>
          <w:sz w:val="21"/>
        </w:rPr>
        <w:t xml:space="preserve"> </w:t>
      </w:r>
      <w:r>
        <w:rPr>
          <w:color w:val="231F20"/>
          <w:sz w:val="21"/>
        </w:rPr>
        <w:t>гарантій</w:t>
      </w:r>
      <w:r>
        <w:rPr>
          <w:color w:val="231F20"/>
          <w:spacing w:val="-16"/>
          <w:sz w:val="21"/>
        </w:rPr>
        <w:t xml:space="preserve"> </w:t>
      </w:r>
      <w:r>
        <w:rPr>
          <w:color w:val="231F20"/>
          <w:sz w:val="21"/>
        </w:rPr>
        <w:t>правового</w:t>
      </w:r>
      <w:r>
        <w:rPr>
          <w:color w:val="231F20"/>
          <w:spacing w:val="-16"/>
          <w:sz w:val="21"/>
        </w:rPr>
        <w:t xml:space="preserve"> </w:t>
      </w:r>
      <w:r>
        <w:rPr>
          <w:color w:val="231F20"/>
          <w:sz w:val="21"/>
        </w:rPr>
        <w:t>статусу</w:t>
      </w:r>
      <w:r>
        <w:rPr>
          <w:color w:val="231F20"/>
          <w:spacing w:val="-16"/>
          <w:sz w:val="21"/>
        </w:rPr>
        <w:t xml:space="preserve"> </w:t>
      </w:r>
      <w:r>
        <w:rPr>
          <w:color w:val="231F20"/>
          <w:sz w:val="21"/>
        </w:rPr>
        <w:t>державного</w:t>
      </w:r>
      <w:r>
        <w:rPr>
          <w:color w:val="231F20"/>
          <w:spacing w:val="-16"/>
          <w:sz w:val="21"/>
        </w:rPr>
        <w:t xml:space="preserve"> </w:t>
      </w:r>
      <w:r>
        <w:rPr>
          <w:color w:val="231F20"/>
          <w:sz w:val="21"/>
        </w:rPr>
        <w:t xml:space="preserve">служ- бовця віднесено його </w:t>
      </w:r>
      <w:r>
        <w:rPr>
          <w:i/>
          <w:color w:val="231F20"/>
          <w:sz w:val="21"/>
        </w:rPr>
        <w:t>матеріальне та соціальне</w:t>
      </w:r>
      <w:r>
        <w:rPr>
          <w:i/>
          <w:color w:val="231F20"/>
          <w:spacing w:val="-11"/>
          <w:sz w:val="21"/>
        </w:rPr>
        <w:t xml:space="preserve"> </w:t>
      </w:r>
      <w:r>
        <w:rPr>
          <w:i/>
          <w:color w:val="231F20"/>
          <w:sz w:val="21"/>
        </w:rPr>
        <w:t>забезпечення.</w:t>
      </w:r>
    </w:p>
    <w:p w14:paraId="448C9DE4" w14:textId="77777777" w:rsidR="00DE575E" w:rsidRDefault="002E7560">
      <w:pPr>
        <w:pStyle w:val="BodyText"/>
        <w:spacing w:before="1" w:line="252" w:lineRule="auto"/>
        <w:ind w:left="533" w:right="127" w:firstLine="283"/>
        <w:jc w:val="both"/>
      </w:pPr>
      <w:r>
        <w:rPr>
          <w:color w:val="231F20"/>
        </w:rPr>
        <w:t xml:space="preserve">Під </w:t>
      </w:r>
      <w:r>
        <w:rPr>
          <w:b/>
          <w:i/>
          <w:color w:val="231F20"/>
        </w:rPr>
        <w:t xml:space="preserve">матеріальним забезпеченням державного службовця </w:t>
      </w:r>
      <w:r>
        <w:rPr>
          <w:color w:val="231F20"/>
        </w:rPr>
        <w:t>розуміється сукупність принципів, методів, законодавчо установле- них державою гарантій, заходів і закладів, які забезпечують достат- ній рівень оплати праці державних службовців для професійного виконання посадових обов’язків, заохочують їх до результатив</w:t>
      </w:r>
      <w:r>
        <w:rPr>
          <w:color w:val="231F20"/>
        </w:rPr>
        <w:t>ної, доброчесної та ініціативної роботи.</w:t>
      </w:r>
    </w:p>
    <w:p w14:paraId="61921156" w14:textId="77777777" w:rsidR="00DE575E" w:rsidRDefault="002E7560">
      <w:pPr>
        <w:pStyle w:val="BodyText"/>
        <w:spacing w:before="3" w:line="252" w:lineRule="auto"/>
        <w:ind w:left="533" w:right="126" w:firstLine="283"/>
        <w:jc w:val="both"/>
      </w:pPr>
      <w:r>
        <w:rPr>
          <w:color w:val="231F20"/>
        </w:rPr>
        <w:t>Оплата праці державних службовців має диференційований характер і залежить від посади, яку займає державний службовець, результатів його службової діяльності і стажу державної служби. Визначені критерії оплати праці</w:t>
      </w:r>
      <w:r>
        <w:rPr>
          <w:color w:val="231F20"/>
        </w:rPr>
        <w:t xml:space="preserve"> є надійним стимулом для держав- ного службовця у просуванні його по службі, якщо при цьому він виявляє сумлінне й відповідальне ставлення до виконання своїх обов’язків. Стимулювання в оплаті праці з урахуванням стажу державної служби спрямовано на стабіль</w:t>
      </w:r>
      <w:r>
        <w:rPr>
          <w:color w:val="231F20"/>
        </w:rPr>
        <w:t>ність державної служби, професійність діяльності державного органу й державних службов- ців, запобігає плинності кадрів</w:t>
      </w:r>
      <w:r>
        <w:rPr>
          <w:color w:val="231F20"/>
          <w:position w:val="7"/>
          <w:sz w:val="12"/>
        </w:rPr>
        <w:t>1</w:t>
      </w:r>
      <w:r>
        <w:rPr>
          <w:color w:val="231F20"/>
        </w:rPr>
        <w:t>.</w:t>
      </w:r>
    </w:p>
    <w:p w14:paraId="3BB00475" w14:textId="71367F75" w:rsidR="00DE575E" w:rsidRDefault="002E7560">
      <w:pPr>
        <w:pStyle w:val="BodyText"/>
        <w:spacing w:before="1"/>
        <w:rPr>
          <w:sz w:val="28"/>
        </w:rPr>
      </w:pPr>
      <w:r>
        <w:rPr>
          <w:noProof/>
        </w:rPr>
        <mc:AlternateContent>
          <mc:Choice Requires="wps">
            <w:drawing>
              <wp:anchor distT="0" distB="0" distL="0" distR="0" simplePos="0" relativeHeight="14800" behindDoc="0" locked="0" layoutInCell="1" allowOverlap="1" wp14:anchorId="77186BAF" wp14:editId="6A343DDF">
                <wp:simplePos x="0" y="0"/>
                <wp:positionH relativeFrom="page">
                  <wp:posOffset>719455</wp:posOffset>
                </wp:positionH>
                <wp:positionV relativeFrom="paragraph">
                  <wp:posOffset>236855</wp:posOffset>
                </wp:positionV>
                <wp:extent cx="1080135" cy="0"/>
                <wp:effectExtent l="8255" t="8255" r="29210" b="29845"/>
                <wp:wrapTopAndBottom/>
                <wp:docPr id="457"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71FCA" id="Line_x0020_456" o:spid="_x0000_s1026" style="position:absolute;z-index:1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65pt" to="141.7pt,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" strokecolor="#231f20" strokeweight=".5pt">
                <w10:wrap type="topAndBottom" anchorx="page"/>
              </v:line>
            </w:pict>
          </mc:Fallback>
        </mc:AlternateContent>
      </w:r>
    </w:p>
    <w:p w14:paraId="6AA7CBC7" w14:textId="77777777" w:rsidR="00DE575E" w:rsidRDefault="002E7560">
      <w:pPr>
        <w:spacing w:line="204" w:lineRule="auto"/>
        <w:ind w:left="533" w:right="126"/>
        <w:jc w:val="both"/>
        <w:rPr>
          <w:sz w:val="16"/>
        </w:rPr>
      </w:pPr>
      <w:r>
        <w:rPr>
          <w:color w:val="231F20"/>
          <w:position w:val="5"/>
          <w:sz w:val="9"/>
        </w:rPr>
        <w:t xml:space="preserve">1  </w:t>
      </w:r>
      <w:r>
        <w:rPr>
          <w:color w:val="231F20"/>
          <w:sz w:val="16"/>
        </w:rPr>
        <w:t xml:space="preserve">Науково-практичний  коментар   до   Закону   України   «Про   державну   службу»   /   ред. кол.: </w:t>
      </w:r>
      <w:r>
        <w:rPr>
          <w:color w:val="231F20"/>
          <w:spacing w:val="-3"/>
          <w:sz w:val="16"/>
        </w:rPr>
        <w:t xml:space="preserve">К.О. </w:t>
      </w:r>
      <w:r>
        <w:rPr>
          <w:color w:val="231F20"/>
          <w:sz w:val="16"/>
        </w:rPr>
        <w:t>Ващенко, І.Б. Коліушко, В.</w:t>
      </w:r>
      <w:r>
        <w:rPr>
          <w:color w:val="231F20"/>
          <w:sz w:val="16"/>
        </w:rPr>
        <w:t>П. Тимощук, В.А. Дерець (відп. ред.). К.: ФОП Москаленко О.М., 2017. 796 с. URL: https://pravo.org.ua/img/books/files/1513082951 commentary%20_layout_web.pdf</w:t>
      </w:r>
    </w:p>
    <w:p w14:paraId="424171E0" w14:textId="77777777" w:rsidR="00DE575E" w:rsidRDefault="00DE575E">
      <w:pPr>
        <w:pStyle w:val="BodyText"/>
        <w:spacing w:before="2"/>
        <w:rPr>
          <w:sz w:val="12"/>
        </w:rPr>
      </w:pPr>
    </w:p>
    <w:p w14:paraId="63BA7D62" w14:textId="77777777" w:rsidR="00DE575E" w:rsidRDefault="002E7560">
      <w:pPr>
        <w:spacing w:before="92"/>
        <w:ind w:left="533"/>
        <w:rPr>
          <w:rFonts w:ascii="Times New Roman"/>
          <w:sz w:val="20"/>
        </w:rPr>
      </w:pPr>
      <w:r>
        <w:rPr>
          <w:rFonts w:ascii="Times New Roman"/>
          <w:color w:val="231F20"/>
          <w:sz w:val="20"/>
        </w:rPr>
        <w:t>378</w:t>
      </w:r>
    </w:p>
    <w:p w14:paraId="0468FEBC" w14:textId="77777777" w:rsidR="00DE575E" w:rsidRDefault="00DE575E">
      <w:pPr>
        <w:rPr>
          <w:rFonts w:ascii="Times New Roman"/>
          <w:sz w:val="20"/>
        </w:rPr>
        <w:sectPr w:rsidR="00DE575E">
          <w:pgSz w:w="8510" w:h="12760"/>
          <w:pgMar w:top="660" w:right="720" w:bottom="280" w:left="600" w:header="720" w:footer="720" w:gutter="0"/>
          <w:cols w:space="720"/>
        </w:sectPr>
      </w:pPr>
    </w:p>
    <w:p w14:paraId="4B011583"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w:t>
      </w:r>
      <w:r>
        <w:rPr>
          <w:rFonts w:ascii="AdonisC" w:hAnsi="AdonisC"/>
          <w:i/>
          <w:color w:val="231F20"/>
          <w:sz w:val="18"/>
        </w:rPr>
        <w:t>жавного службовця</w:t>
      </w:r>
    </w:p>
    <w:p w14:paraId="03A32AAB" w14:textId="7F062A4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EE809DD" wp14:editId="32479404">
                <wp:extent cx="4140200" cy="6350"/>
                <wp:effectExtent l="0" t="0" r="12700" b="6350"/>
                <wp:docPr id="455"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56" name="Line 4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E3DF9A" id="Group_x0020_4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vsaNB/AgAAmAUAAA4A&#10;AAAAAAAAAAAAAAAALAIAAGRycy9lMm9Eb2MueG1sUEsBAi0AFAAGAAgAAAAhAEynsJDZAAAAAwEA&#10;AA8AAAAAAAAAAAAAAAAA1wQAAGRycy9kb3ducmV2LnhtbFBLBQYAAAAABAAEAPMAAADdBQAAAAA=&#10;">
                <v:line id="Line_x0020_4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z4A8YAAADcAAAADwAAAGRycy9kb3ducmV2LnhtbESP3WrCQBSE7wu+w3IEb0rdtLZSoqtI&#10;oSBe+Jc+wDF7TIK7Z2N2NdGndwuFXg4z8w0znXfWiCs1vnKs4HWYgCDOna64UPCTfb98gvABWaNx&#10;TApu5GE+6z1NMdWu5R1d96EQEcI+RQVlCHUqpc9LsuiHriaO3tE1FkOUTSF1g22EWyPfkmQsLVYc&#10;F0qs6auk/LS/WAXZ+TmY7WZl2mxzGMnDeT26X9ZKDfrdYgIiUBf+w3/tpVbw/jGG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8+APGAAAA3AAAAA8AAAAAAAAA&#10;AAAAAAAAoQIAAGRycy9kb3ducmV2LnhtbFBLBQYAAAAABAAEAPkAAACUAwAAAAA=&#10;" strokecolor="#231f20" strokeweight=".5pt"/>
                <w10:anchorlock/>
              </v:group>
            </w:pict>
          </mc:Fallback>
        </mc:AlternateContent>
      </w:r>
    </w:p>
    <w:p w14:paraId="25A8A110" w14:textId="77777777" w:rsidR="00DE575E" w:rsidRDefault="00DE575E">
      <w:pPr>
        <w:pStyle w:val="BodyText"/>
        <w:spacing w:before="7"/>
        <w:rPr>
          <w:rFonts w:ascii="AdonisC"/>
          <w:i/>
          <w:sz w:val="19"/>
        </w:rPr>
      </w:pPr>
    </w:p>
    <w:p w14:paraId="5137AC77" w14:textId="77777777" w:rsidR="00DE575E" w:rsidRDefault="002E7560">
      <w:pPr>
        <w:pStyle w:val="BodyText"/>
        <w:spacing w:before="1" w:line="252" w:lineRule="auto"/>
        <w:ind w:left="250" w:right="408" w:firstLine="283"/>
        <w:jc w:val="both"/>
      </w:pPr>
      <w:r>
        <w:rPr>
          <w:color w:val="231F20"/>
        </w:rPr>
        <w:t xml:space="preserve">Матеріальне  забезпечення  державного   службовця   виражено  у відповідній </w:t>
      </w:r>
      <w:r>
        <w:rPr>
          <w:i/>
          <w:color w:val="231F20"/>
        </w:rPr>
        <w:t>оплаті праці</w:t>
      </w:r>
      <w:r>
        <w:rPr>
          <w:color w:val="231F20"/>
        </w:rPr>
        <w:t>, яка формується з посадового окладу</w:t>
      </w:r>
      <w:r>
        <w:rPr>
          <w:color w:val="231F20"/>
          <w:position w:val="7"/>
          <w:sz w:val="12"/>
        </w:rPr>
        <w:t>1</w:t>
      </w:r>
      <w:r>
        <w:rPr>
          <w:color w:val="231F20"/>
        </w:rPr>
        <w:t>, надбавки за вислугу років</w:t>
      </w:r>
      <w:r>
        <w:rPr>
          <w:color w:val="231F20"/>
          <w:position w:val="7"/>
          <w:sz w:val="12"/>
        </w:rPr>
        <w:t>2</w:t>
      </w:r>
      <w:r>
        <w:rPr>
          <w:color w:val="231F20"/>
        </w:rPr>
        <w:t>, надбавки за ранг державного служ- бовця</w:t>
      </w:r>
      <w:r>
        <w:rPr>
          <w:color w:val="231F20"/>
          <w:position w:val="7"/>
          <w:sz w:val="12"/>
        </w:rPr>
        <w:t>3</w:t>
      </w:r>
      <w:r>
        <w:rPr>
          <w:color w:val="231F20"/>
        </w:rPr>
        <w:t xml:space="preserve">, премії в разі встановлення; </w:t>
      </w:r>
      <w:r>
        <w:rPr>
          <w:i/>
          <w:color w:val="231F20"/>
        </w:rPr>
        <w:t>преміюванні праці</w:t>
      </w:r>
      <w:r>
        <w:rPr>
          <w:color w:val="231F20"/>
        </w:rPr>
        <w:t>, яке вста- новлюється за результатами щорічного оцінювання службової діяльності,  унаслідок  особистого  внеску  державного  службовця  в загальний результат роботи державного органу, за результатами виконанн</w:t>
      </w:r>
      <w:r>
        <w:rPr>
          <w:color w:val="231F20"/>
        </w:rPr>
        <w:t>я контракту про проходження державної</w:t>
      </w:r>
      <w:r>
        <w:rPr>
          <w:color w:val="231F20"/>
          <w:spacing w:val="35"/>
        </w:rPr>
        <w:t xml:space="preserve"> </w:t>
      </w:r>
      <w:r>
        <w:rPr>
          <w:color w:val="231F20"/>
        </w:rPr>
        <w:t>служби.</w:t>
      </w:r>
    </w:p>
    <w:p w14:paraId="5FE04046" w14:textId="77777777" w:rsidR="00DE575E" w:rsidRDefault="002E7560">
      <w:pPr>
        <w:pStyle w:val="BodyText"/>
        <w:spacing w:before="4" w:line="252" w:lineRule="auto"/>
        <w:ind w:left="250" w:right="410" w:firstLine="283"/>
        <w:jc w:val="both"/>
      </w:pPr>
      <w:r>
        <w:rPr>
          <w:color w:val="231F20"/>
        </w:rPr>
        <w:t xml:space="preserve">Під </w:t>
      </w:r>
      <w:r>
        <w:rPr>
          <w:b/>
          <w:i/>
          <w:color w:val="231F20"/>
        </w:rPr>
        <w:t xml:space="preserve">соціальним забезпеченням державного службовця </w:t>
      </w:r>
      <w:r>
        <w:rPr>
          <w:color w:val="231F20"/>
        </w:rPr>
        <w:t>розу- міється сукупність принципів, методів, законодавчо установлених державою гарантій, заходів і закладів, які забезпечують умови для нормальної життєдіяльнос</w:t>
      </w:r>
      <w:r>
        <w:rPr>
          <w:color w:val="231F20"/>
        </w:rPr>
        <w:t>ті державного службовця.</w:t>
      </w:r>
    </w:p>
    <w:p w14:paraId="390E9E9D" w14:textId="77777777" w:rsidR="00DE575E" w:rsidRDefault="002E7560">
      <w:pPr>
        <w:pStyle w:val="BodyText"/>
        <w:spacing w:before="2" w:line="252" w:lineRule="auto"/>
        <w:ind w:left="250" w:right="408" w:firstLine="283"/>
        <w:jc w:val="both"/>
      </w:pPr>
      <w:r>
        <w:rPr>
          <w:color w:val="231F20"/>
        </w:rPr>
        <w:t>Основи соціального забезпечення державних службовців стосу- ються таких напрямків: підвищення престижності державної служби; достатньо високе, регулярно виплачуване грошове забез- печення, розміри якого мають підвищуватися з ростом</w:t>
      </w:r>
      <w:r>
        <w:rPr>
          <w:color w:val="231F20"/>
        </w:rPr>
        <w:t xml:space="preserve"> кваліфіка- ції, збільшенням стажу службово-трудової діяльності; створення нормальних умов служби, забезпечення приміщенням, транспор- том, телефонами, правильна організація розпорядку й режиму робочого дня; державне страхування, гарантоване високе пенсійн</w:t>
      </w:r>
      <w:r>
        <w:rPr>
          <w:color w:val="231F20"/>
        </w:rPr>
        <w:t>е та медичне забезпечення; безперервне забезпечення службової перспективи, стабільність службово-трудових відносин, підви- щення рівня кваліфікації.</w:t>
      </w:r>
    </w:p>
    <w:p w14:paraId="00E7B712" w14:textId="77777777" w:rsidR="00DE575E" w:rsidRDefault="002E7560">
      <w:pPr>
        <w:pStyle w:val="Heading6"/>
        <w:spacing w:before="5"/>
        <w:ind w:firstLine="0"/>
        <w:rPr>
          <w:b w:val="0"/>
          <w:i w:val="0"/>
        </w:rPr>
      </w:pPr>
      <w:r>
        <w:rPr>
          <w:color w:val="231F20"/>
        </w:rPr>
        <w:t xml:space="preserve">Соціальне забезпечення державного службовця </w:t>
      </w:r>
      <w:r>
        <w:rPr>
          <w:b w:val="0"/>
          <w:i w:val="0"/>
          <w:color w:val="231F20"/>
        </w:rPr>
        <w:t>включає:</w:t>
      </w:r>
    </w:p>
    <w:p w14:paraId="5466CC55" w14:textId="77777777" w:rsidR="00DE575E" w:rsidRDefault="002E7560">
      <w:pPr>
        <w:pStyle w:val="ListParagraph"/>
        <w:numPr>
          <w:ilvl w:val="0"/>
          <w:numId w:val="98"/>
        </w:numPr>
        <w:tabs>
          <w:tab w:val="left" w:pos="818"/>
        </w:tabs>
        <w:spacing w:before="13"/>
        <w:ind w:firstLine="283"/>
        <w:jc w:val="left"/>
        <w:rPr>
          <w:sz w:val="21"/>
        </w:rPr>
      </w:pPr>
      <w:r>
        <w:rPr>
          <w:color w:val="231F20"/>
          <w:sz w:val="21"/>
        </w:rPr>
        <w:t>пенсійне</w:t>
      </w:r>
      <w:r>
        <w:rPr>
          <w:color w:val="231F20"/>
          <w:spacing w:val="-1"/>
          <w:sz w:val="21"/>
        </w:rPr>
        <w:t xml:space="preserve"> </w:t>
      </w:r>
      <w:r>
        <w:rPr>
          <w:color w:val="231F20"/>
          <w:sz w:val="21"/>
        </w:rPr>
        <w:t>забезпечення;</w:t>
      </w:r>
    </w:p>
    <w:p w14:paraId="06B9CBD3" w14:textId="77777777" w:rsidR="00DE575E" w:rsidRDefault="002E7560">
      <w:pPr>
        <w:pStyle w:val="ListParagraph"/>
        <w:numPr>
          <w:ilvl w:val="0"/>
          <w:numId w:val="98"/>
        </w:numPr>
        <w:tabs>
          <w:tab w:val="left" w:pos="818"/>
        </w:tabs>
        <w:spacing w:before="13"/>
        <w:ind w:firstLine="283"/>
        <w:jc w:val="left"/>
        <w:rPr>
          <w:sz w:val="21"/>
        </w:rPr>
      </w:pPr>
      <w:r>
        <w:rPr>
          <w:color w:val="231F20"/>
          <w:sz w:val="21"/>
        </w:rPr>
        <w:t>соціальну</w:t>
      </w:r>
      <w:r>
        <w:rPr>
          <w:color w:val="231F20"/>
          <w:spacing w:val="-2"/>
          <w:sz w:val="21"/>
        </w:rPr>
        <w:t xml:space="preserve"> </w:t>
      </w:r>
      <w:r>
        <w:rPr>
          <w:color w:val="231F20"/>
          <w:sz w:val="21"/>
        </w:rPr>
        <w:t>допомогу;</w:t>
      </w:r>
    </w:p>
    <w:p w14:paraId="20CD0EA8" w14:textId="77777777" w:rsidR="00DE575E" w:rsidRDefault="002E7560">
      <w:pPr>
        <w:pStyle w:val="ListParagraph"/>
        <w:numPr>
          <w:ilvl w:val="0"/>
          <w:numId w:val="98"/>
        </w:numPr>
        <w:tabs>
          <w:tab w:val="left" w:pos="818"/>
        </w:tabs>
        <w:spacing w:before="12"/>
        <w:ind w:firstLine="283"/>
        <w:jc w:val="left"/>
        <w:rPr>
          <w:sz w:val="21"/>
        </w:rPr>
      </w:pPr>
      <w:r>
        <w:rPr>
          <w:color w:val="231F20"/>
          <w:sz w:val="21"/>
        </w:rPr>
        <w:t>соціальне</w:t>
      </w:r>
      <w:r>
        <w:rPr>
          <w:color w:val="231F20"/>
          <w:spacing w:val="-1"/>
          <w:sz w:val="21"/>
        </w:rPr>
        <w:t xml:space="preserve"> </w:t>
      </w:r>
      <w:r>
        <w:rPr>
          <w:color w:val="231F20"/>
          <w:sz w:val="21"/>
        </w:rPr>
        <w:t>о</w:t>
      </w:r>
      <w:r>
        <w:rPr>
          <w:color w:val="231F20"/>
          <w:sz w:val="21"/>
        </w:rPr>
        <w:t>бслуговування;</w:t>
      </w:r>
    </w:p>
    <w:p w14:paraId="75B814ED" w14:textId="77777777" w:rsidR="00DE575E" w:rsidRDefault="002E7560">
      <w:pPr>
        <w:pStyle w:val="ListParagraph"/>
        <w:numPr>
          <w:ilvl w:val="0"/>
          <w:numId w:val="98"/>
        </w:numPr>
        <w:tabs>
          <w:tab w:val="left" w:pos="818"/>
        </w:tabs>
        <w:spacing w:before="13"/>
        <w:ind w:firstLine="283"/>
        <w:jc w:val="left"/>
        <w:rPr>
          <w:sz w:val="21"/>
        </w:rPr>
      </w:pPr>
      <w:r>
        <w:rPr>
          <w:color w:val="231F20"/>
          <w:sz w:val="21"/>
        </w:rPr>
        <w:t>медичне</w:t>
      </w:r>
      <w:r>
        <w:rPr>
          <w:color w:val="231F20"/>
          <w:spacing w:val="-1"/>
          <w:sz w:val="21"/>
        </w:rPr>
        <w:t xml:space="preserve"> </w:t>
      </w:r>
      <w:r>
        <w:rPr>
          <w:color w:val="231F20"/>
          <w:sz w:val="21"/>
        </w:rPr>
        <w:t>страхування;</w:t>
      </w:r>
    </w:p>
    <w:p w14:paraId="3207B665" w14:textId="77777777" w:rsidR="00DE575E" w:rsidRDefault="002E7560">
      <w:pPr>
        <w:pStyle w:val="ListParagraph"/>
        <w:numPr>
          <w:ilvl w:val="0"/>
          <w:numId w:val="98"/>
        </w:numPr>
        <w:tabs>
          <w:tab w:val="left" w:pos="818"/>
        </w:tabs>
        <w:spacing w:before="13"/>
        <w:ind w:firstLine="283"/>
        <w:jc w:val="left"/>
        <w:rPr>
          <w:sz w:val="21"/>
        </w:rPr>
      </w:pPr>
      <w:r>
        <w:rPr>
          <w:color w:val="231F20"/>
          <w:sz w:val="21"/>
        </w:rPr>
        <w:t>державну підтримку сім’ї, материнства й</w:t>
      </w:r>
      <w:r>
        <w:rPr>
          <w:color w:val="231F20"/>
          <w:spacing w:val="-4"/>
          <w:sz w:val="21"/>
        </w:rPr>
        <w:t xml:space="preserve"> </w:t>
      </w:r>
      <w:r>
        <w:rPr>
          <w:color w:val="231F20"/>
          <w:sz w:val="21"/>
        </w:rPr>
        <w:t>дитинства;</w:t>
      </w:r>
    </w:p>
    <w:p w14:paraId="6CED028D" w14:textId="77777777" w:rsidR="00DE575E" w:rsidRDefault="002E7560">
      <w:pPr>
        <w:pStyle w:val="ListParagraph"/>
        <w:numPr>
          <w:ilvl w:val="0"/>
          <w:numId w:val="98"/>
        </w:numPr>
        <w:tabs>
          <w:tab w:val="left" w:pos="818"/>
        </w:tabs>
        <w:spacing w:before="13"/>
        <w:ind w:firstLine="283"/>
        <w:jc w:val="left"/>
        <w:rPr>
          <w:sz w:val="21"/>
        </w:rPr>
      </w:pPr>
      <w:r>
        <w:rPr>
          <w:color w:val="231F20"/>
          <w:sz w:val="21"/>
        </w:rPr>
        <w:t>соціальне</w:t>
      </w:r>
      <w:r>
        <w:rPr>
          <w:color w:val="231F20"/>
          <w:spacing w:val="-2"/>
          <w:sz w:val="21"/>
        </w:rPr>
        <w:t xml:space="preserve"> </w:t>
      </w:r>
      <w:r>
        <w:rPr>
          <w:color w:val="231F20"/>
          <w:sz w:val="21"/>
        </w:rPr>
        <w:t>страхування.</w:t>
      </w:r>
    </w:p>
    <w:p w14:paraId="5B87CE76" w14:textId="77777777" w:rsidR="00DE575E" w:rsidRDefault="002E7560">
      <w:pPr>
        <w:pStyle w:val="BodyText"/>
        <w:spacing w:before="13" w:line="252" w:lineRule="auto"/>
        <w:ind w:left="250" w:right="409" w:firstLine="283"/>
        <w:jc w:val="both"/>
      </w:pPr>
      <w:r>
        <w:rPr>
          <w:color w:val="231F20"/>
        </w:rPr>
        <w:t>Для окремих категорій державних службовців передбачено надання службових житлових приміщень, які призначаються для</w:t>
      </w:r>
    </w:p>
    <w:p w14:paraId="04086CCC" w14:textId="75600B6A" w:rsidR="00DE575E" w:rsidRDefault="002E7560">
      <w:pPr>
        <w:pStyle w:val="BodyText"/>
        <w:spacing w:before="8"/>
        <w:rPr>
          <w:sz w:val="20"/>
        </w:rPr>
      </w:pPr>
      <w:r>
        <w:rPr>
          <w:noProof/>
        </w:rPr>
        <mc:AlternateContent>
          <mc:Choice Requires="wps">
            <w:drawing>
              <wp:anchor distT="0" distB="0" distL="0" distR="0" simplePos="0" relativeHeight="14848" behindDoc="0" locked="0" layoutInCell="1" allowOverlap="1" wp14:anchorId="7B179BF3" wp14:editId="76855D7A">
                <wp:simplePos x="0" y="0"/>
                <wp:positionH relativeFrom="page">
                  <wp:posOffset>539750</wp:posOffset>
                </wp:positionH>
                <wp:positionV relativeFrom="paragraph">
                  <wp:posOffset>182245</wp:posOffset>
                </wp:positionV>
                <wp:extent cx="1080135" cy="0"/>
                <wp:effectExtent l="6350" t="17145" r="31115" b="20955"/>
                <wp:wrapTopAndBottom/>
                <wp:docPr id="454"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3CD5" id="Line_x0020_453" o:spid="_x0000_s1026" style="position:absolute;z-index: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35pt" to="127.55pt,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hnliI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" strokecolor="#231f20" strokeweight=".5pt">
                <w10:wrap type="topAndBottom" anchorx="page"/>
              </v:line>
            </w:pict>
          </mc:Fallback>
        </mc:AlternateContent>
      </w:r>
    </w:p>
    <w:p w14:paraId="52427F1D"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Винагорода за виконану роботу відповідно до встановлених норм праці та посадових обов’язків.</w:t>
      </w:r>
    </w:p>
    <w:p w14:paraId="5C134D6E" w14:textId="77777777" w:rsidR="00DE575E" w:rsidRDefault="002E7560">
      <w:pPr>
        <w:spacing w:before="26" w:line="204" w:lineRule="auto"/>
        <w:ind w:left="250" w:right="410"/>
        <w:jc w:val="both"/>
        <w:rPr>
          <w:sz w:val="16"/>
        </w:rPr>
      </w:pPr>
      <w:r>
        <w:rPr>
          <w:color w:val="231F20"/>
          <w:position w:val="5"/>
          <w:sz w:val="9"/>
        </w:rPr>
        <w:t xml:space="preserve">2 </w:t>
      </w:r>
      <w:r>
        <w:rPr>
          <w:color w:val="231F20"/>
          <w:sz w:val="16"/>
        </w:rPr>
        <w:t>Винагорода за виконану роботу понад встановлені норми праці (посадові обов’язки), яка стимулює державного службовця на державній службі та посилює його матеріаль</w:t>
      </w:r>
      <w:r>
        <w:rPr>
          <w:color w:val="231F20"/>
          <w:sz w:val="16"/>
        </w:rPr>
        <w:t>ну заінтересованість у подальшій роботі.</w:t>
      </w:r>
    </w:p>
    <w:p w14:paraId="6B8E6341" w14:textId="77777777" w:rsidR="00DE575E" w:rsidRDefault="002E7560">
      <w:pPr>
        <w:spacing w:before="30" w:line="204" w:lineRule="auto"/>
        <w:ind w:left="250" w:right="410"/>
        <w:jc w:val="both"/>
        <w:rPr>
          <w:sz w:val="16"/>
        </w:rPr>
      </w:pPr>
      <w:r>
        <w:rPr>
          <w:color w:val="231F20"/>
          <w:position w:val="5"/>
          <w:sz w:val="9"/>
        </w:rPr>
        <w:t xml:space="preserve">3 </w:t>
      </w:r>
      <w:r>
        <w:rPr>
          <w:color w:val="231F20"/>
          <w:spacing w:val="-4"/>
          <w:sz w:val="16"/>
        </w:rPr>
        <w:t xml:space="preserve">Винагорода понад установлені норми праці (посадові обов’язки) </w:t>
      </w:r>
      <w:r>
        <w:rPr>
          <w:color w:val="231F20"/>
          <w:sz w:val="16"/>
        </w:rPr>
        <w:t xml:space="preserve">за </w:t>
      </w:r>
      <w:r>
        <w:rPr>
          <w:color w:val="231F20"/>
          <w:spacing w:val="-3"/>
          <w:sz w:val="16"/>
        </w:rPr>
        <w:t xml:space="preserve">вид  </w:t>
      </w:r>
      <w:r>
        <w:rPr>
          <w:color w:val="231F20"/>
          <w:spacing w:val="-4"/>
          <w:sz w:val="16"/>
        </w:rPr>
        <w:t xml:space="preserve">спеціального звання, </w:t>
      </w:r>
      <w:r>
        <w:rPr>
          <w:color w:val="231F20"/>
          <w:spacing w:val="-3"/>
          <w:sz w:val="16"/>
        </w:rPr>
        <w:t xml:space="preserve">яке </w:t>
      </w:r>
      <w:r>
        <w:rPr>
          <w:color w:val="231F20"/>
          <w:spacing w:val="-4"/>
          <w:sz w:val="16"/>
        </w:rPr>
        <w:t xml:space="preserve">присвоюється державним службовцям відповідно </w:t>
      </w:r>
      <w:r>
        <w:rPr>
          <w:color w:val="231F20"/>
          <w:sz w:val="16"/>
        </w:rPr>
        <w:t xml:space="preserve">до </w:t>
      </w:r>
      <w:r>
        <w:rPr>
          <w:color w:val="231F20"/>
          <w:spacing w:val="-4"/>
          <w:sz w:val="16"/>
        </w:rPr>
        <w:t xml:space="preserve">вимог статті </w:t>
      </w:r>
      <w:r>
        <w:rPr>
          <w:color w:val="231F20"/>
          <w:sz w:val="16"/>
        </w:rPr>
        <w:t xml:space="preserve">39 </w:t>
      </w:r>
      <w:r>
        <w:rPr>
          <w:color w:val="231F20"/>
          <w:spacing w:val="-4"/>
          <w:sz w:val="16"/>
        </w:rPr>
        <w:t xml:space="preserve">Закону </w:t>
      </w:r>
      <w:r>
        <w:rPr>
          <w:color w:val="231F20"/>
          <w:sz w:val="16"/>
        </w:rPr>
        <w:t xml:space="preserve">і </w:t>
      </w:r>
      <w:r>
        <w:rPr>
          <w:color w:val="231F20"/>
          <w:spacing w:val="-3"/>
          <w:sz w:val="16"/>
        </w:rPr>
        <w:t xml:space="preserve">сти- </w:t>
      </w:r>
      <w:r>
        <w:rPr>
          <w:color w:val="231F20"/>
          <w:spacing w:val="-5"/>
          <w:sz w:val="16"/>
        </w:rPr>
        <w:t xml:space="preserve">мулює </w:t>
      </w:r>
      <w:r>
        <w:rPr>
          <w:color w:val="231F20"/>
          <w:spacing w:val="-4"/>
          <w:sz w:val="16"/>
        </w:rPr>
        <w:t>службове просування державного слу</w:t>
      </w:r>
      <w:r>
        <w:rPr>
          <w:color w:val="231F20"/>
          <w:spacing w:val="-4"/>
          <w:sz w:val="16"/>
        </w:rPr>
        <w:t xml:space="preserve">жбовця </w:t>
      </w:r>
      <w:r>
        <w:rPr>
          <w:color w:val="231F20"/>
          <w:sz w:val="16"/>
        </w:rPr>
        <w:t xml:space="preserve">та </w:t>
      </w:r>
      <w:r>
        <w:rPr>
          <w:color w:val="231F20"/>
          <w:spacing w:val="-4"/>
          <w:sz w:val="16"/>
        </w:rPr>
        <w:t xml:space="preserve">посилює </w:t>
      </w:r>
      <w:r>
        <w:rPr>
          <w:color w:val="231F20"/>
          <w:spacing w:val="-3"/>
          <w:sz w:val="16"/>
        </w:rPr>
        <w:t xml:space="preserve">його </w:t>
      </w:r>
      <w:r>
        <w:rPr>
          <w:color w:val="231F20"/>
          <w:spacing w:val="-4"/>
          <w:sz w:val="16"/>
        </w:rPr>
        <w:t xml:space="preserve">заінтересованість (біль- </w:t>
      </w:r>
      <w:r>
        <w:rPr>
          <w:color w:val="231F20"/>
          <w:spacing w:val="-3"/>
          <w:sz w:val="16"/>
        </w:rPr>
        <w:t xml:space="preserve">шою </w:t>
      </w:r>
      <w:r>
        <w:rPr>
          <w:color w:val="231F20"/>
          <w:spacing w:val="-4"/>
          <w:sz w:val="16"/>
        </w:rPr>
        <w:t xml:space="preserve">мірою </w:t>
      </w:r>
      <w:r>
        <w:rPr>
          <w:color w:val="231F20"/>
          <w:spacing w:val="-5"/>
          <w:sz w:val="16"/>
        </w:rPr>
        <w:t xml:space="preserve">моральну, </w:t>
      </w:r>
      <w:r>
        <w:rPr>
          <w:color w:val="231F20"/>
          <w:spacing w:val="-3"/>
          <w:sz w:val="16"/>
        </w:rPr>
        <w:t xml:space="preserve">ніж </w:t>
      </w:r>
      <w:r>
        <w:rPr>
          <w:color w:val="231F20"/>
          <w:spacing w:val="-4"/>
          <w:sz w:val="16"/>
        </w:rPr>
        <w:t xml:space="preserve">матеріальну) </w:t>
      </w:r>
      <w:r>
        <w:rPr>
          <w:color w:val="231F20"/>
          <w:sz w:val="16"/>
        </w:rPr>
        <w:t>в</w:t>
      </w:r>
      <w:r>
        <w:rPr>
          <w:color w:val="231F20"/>
          <w:spacing w:val="-24"/>
          <w:sz w:val="16"/>
        </w:rPr>
        <w:t xml:space="preserve"> </w:t>
      </w:r>
      <w:r>
        <w:rPr>
          <w:color w:val="231F20"/>
          <w:spacing w:val="-4"/>
          <w:sz w:val="16"/>
        </w:rPr>
        <w:t xml:space="preserve">офіційному визнанні </w:t>
      </w:r>
      <w:r>
        <w:rPr>
          <w:color w:val="231F20"/>
          <w:spacing w:val="-3"/>
          <w:sz w:val="16"/>
        </w:rPr>
        <w:t xml:space="preserve">його </w:t>
      </w:r>
      <w:r>
        <w:rPr>
          <w:color w:val="231F20"/>
          <w:spacing w:val="-4"/>
          <w:sz w:val="16"/>
        </w:rPr>
        <w:t>службових досягнень.</w:t>
      </w:r>
    </w:p>
    <w:p w14:paraId="50829CD6" w14:textId="77777777" w:rsidR="00DE575E" w:rsidRDefault="00DE575E">
      <w:pPr>
        <w:pStyle w:val="BodyText"/>
        <w:spacing w:before="6"/>
        <w:rPr>
          <w:sz w:val="12"/>
        </w:rPr>
      </w:pPr>
    </w:p>
    <w:p w14:paraId="3DC7B10F" w14:textId="77777777" w:rsidR="00DE575E" w:rsidRDefault="002E7560">
      <w:pPr>
        <w:spacing w:before="92"/>
        <w:ind w:right="411"/>
        <w:jc w:val="right"/>
        <w:rPr>
          <w:rFonts w:ascii="Times New Roman"/>
          <w:sz w:val="20"/>
        </w:rPr>
      </w:pPr>
      <w:r>
        <w:rPr>
          <w:rFonts w:ascii="Times New Roman"/>
          <w:color w:val="231F20"/>
          <w:w w:val="90"/>
          <w:sz w:val="20"/>
        </w:rPr>
        <w:t>379</w:t>
      </w:r>
    </w:p>
    <w:p w14:paraId="30E054D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92334B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6A91E73" w14:textId="484FC95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3C6B702" wp14:editId="30FBD60F">
                <wp:extent cx="4140200" cy="6350"/>
                <wp:effectExtent l="0" t="0" r="12700" b="6350"/>
                <wp:docPr id="45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53" name="Line 45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5F169D" id="Group_x0020_45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ZmxVwfQIAAJgFAAAOAAAA&#10;AAAAAAAAAAAAACwCAABkcnMvZTJvRG9jLnhtbFBLAQItABQABgAIAAAAIQBMp7CQ2QAAAAMBAAAP&#10;AAAAAAAAAAAAAAAAANUEAABkcnMvZG93bnJldi54bWxQSwUGAAAAAAQABADzAAAA2wUAAAAA&#10;">
                <v:line id="Line_x0020_45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tbm8cAAADcAAAADwAAAGRycy9kb3ducmV2LnhtbESP3WrCQBSE7wXfYTkFb0rdtKlFoqtI&#10;oSC98C8+wDF7TEJ3z8bsatI+fbdQ8HKYmW+Y+bK3Rtyo9bVjBc/jBARx4XTNpYJj/vE0BeEDskbj&#10;mBR8k4flYjiYY6Zdx3u6HUIpIoR9hgqqEJpMSl9UZNGPXUMcvbNrLYYo21LqFrsIt0a+JMmbtFhz&#10;XKiwofeKiq/D1SrIL4/B7Lafpsu3p1SeLpv057pRavTQr2YgAvXhHv5vr7WC10k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i1ubxwAAANwAAAAPAAAAAAAA&#10;AAAAAAAAAKECAABkcnMvZG93bnJldi54bWxQSwUGAAAAAAQABAD5AAAAlQMAAAAA&#10;" strokecolor="#231f20" strokeweight=".5pt"/>
                <w10:anchorlock/>
              </v:group>
            </w:pict>
          </mc:Fallback>
        </mc:AlternateContent>
      </w:r>
    </w:p>
    <w:p w14:paraId="61020BCD" w14:textId="77777777" w:rsidR="00DE575E" w:rsidRDefault="00DE575E">
      <w:pPr>
        <w:pStyle w:val="BodyText"/>
        <w:spacing w:before="7"/>
        <w:rPr>
          <w:rFonts w:ascii="AdonisC"/>
          <w:i/>
          <w:sz w:val="11"/>
        </w:rPr>
      </w:pPr>
    </w:p>
    <w:p w14:paraId="268B9223" w14:textId="77777777" w:rsidR="00DE575E" w:rsidRDefault="002E7560">
      <w:pPr>
        <w:pStyle w:val="BodyText"/>
        <w:spacing w:before="101" w:line="252" w:lineRule="auto"/>
        <w:ind w:left="533"/>
      </w:pPr>
      <w:r>
        <w:rPr>
          <w:color w:val="231F20"/>
        </w:rPr>
        <w:t>заселення</w:t>
      </w:r>
      <w:r>
        <w:rPr>
          <w:color w:val="231F20"/>
          <w:spacing w:val="-13"/>
        </w:rPr>
        <w:t xml:space="preserve"> </w:t>
      </w:r>
      <w:r>
        <w:rPr>
          <w:color w:val="231F20"/>
        </w:rPr>
        <w:t>осіб,</w:t>
      </w:r>
      <w:r>
        <w:rPr>
          <w:color w:val="231F20"/>
          <w:spacing w:val="-13"/>
        </w:rPr>
        <w:t xml:space="preserve"> </w:t>
      </w:r>
      <w:r>
        <w:rPr>
          <w:color w:val="231F20"/>
        </w:rPr>
        <w:t>які</w:t>
      </w:r>
      <w:r>
        <w:rPr>
          <w:color w:val="231F20"/>
          <w:spacing w:val="-13"/>
        </w:rPr>
        <w:t xml:space="preserve"> </w:t>
      </w:r>
      <w:r>
        <w:rPr>
          <w:color w:val="231F20"/>
        </w:rPr>
        <w:t>у</w:t>
      </w:r>
      <w:r>
        <w:rPr>
          <w:color w:val="231F20"/>
          <w:spacing w:val="-13"/>
        </w:rPr>
        <w:t xml:space="preserve"> </w:t>
      </w:r>
      <w:r>
        <w:rPr>
          <w:color w:val="231F20"/>
        </w:rPr>
        <w:t>зв’язку</w:t>
      </w:r>
      <w:r>
        <w:rPr>
          <w:color w:val="231F20"/>
          <w:spacing w:val="-13"/>
        </w:rPr>
        <w:t xml:space="preserve"> </w:t>
      </w:r>
      <w:r>
        <w:rPr>
          <w:color w:val="231F20"/>
        </w:rPr>
        <w:t>з</w:t>
      </w:r>
      <w:r>
        <w:rPr>
          <w:color w:val="231F20"/>
          <w:spacing w:val="-13"/>
        </w:rPr>
        <w:t xml:space="preserve"> </w:t>
      </w:r>
      <w:r>
        <w:rPr>
          <w:color w:val="231F20"/>
        </w:rPr>
        <w:t>характером</w:t>
      </w:r>
      <w:r>
        <w:rPr>
          <w:color w:val="231F20"/>
          <w:spacing w:val="-13"/>
        </w:rPr>
        <w:t xml:space="preserve"> </w:t>
      </w:r>
      <w:r>
        <w:rPr>
          <w:color w:val="231F20"/>
        </w:rPr>
        <w:t>їх</w:t>
      </w:r>
      <w:r>
        <w:rPr>
          <w:color w:val="231F20"/>
          <w:spacing w:val="-13"/>
        </w:rPr>
        <w:t xml:space="preserve"> </w:t>
      </w:r>
      <w:r>
        <w:rPr>
          <w:color w:val="231F20"/>
        </w:rPr>
        <w:t>діяльності</w:t>
      </w:r>
      <w:r>
        <w:rPr>
          <w:color w:val="231F20"/>
          <w:spacing w:val="-13"/>
        </w:rPr>
        <w:t xml:space="preserve"> </w:t>
      </w:r>
      <w:r>
        <w:rPr>
          <w:color w:val="231F20"/>
        </w:rPr>
        <w:t>мають</w:t>
      </w:r>
      <w:r>
        <w:rPr>
          <w:color w:val="231F20"/>
          <w:spacing w:val="-13"/>
        </w:rPr>
        <w:t xml:space="preserve"> </w:t>
      </w:r>
      <w:r>
        <w:rPr>
          <w:color w:val="231F20"/>
        </w:rPr>
        <w:t>прожи- вати за місцем роботи або поблизу від</w:t>
      </w:r>
      <w:r>
        <w:rPr>
          <w:color w:val="231F20"/>
          <w:spacing w:val="-7"/>
        </w:rPr>
        <w:t xml:space="preserve"> </w:t>
      </w:r>
      <w:r>
        <w:rPr>
          <w:color w:val="231F20"/>
        </w:rPr>
        <w:t>нього.</w:t>
      </w:r>
    </w:p>
    <w:p w14:paraId="53721A50" w14:textId="77777777" w:rsidR="00DE575E" w:rsidRDefault="002E7560">
      <w:pPr>
        <w:pStyle w:val="BodyText"/>
        <w:spacing w:before="1" w:line="252" w:lineRule="auto"/>
        <w:ind w:left="533" w:right="125" w:firstLine="283"/>
        <w:jc w:val="both"/>
      </w:pPr>
      <w:r>
        <w:rPr>
          <w:color w:val="231F20"/>
        </w:rPr>
        <w:t xml:space="preserve">Для державних службовців передбачено надання </w:t>
      </w:r>
      <w:r>
        <w:rPr>
          <w:i/>
          <w:color w:val="231F20"/>
        </w:rPr>
        <w:t>додаткових відпусток</w:t>
      </w:r>
      <w:r>
        <w:rPr>
          <w:i/>
          <w:color w:val="231F20"/>
          <w:position w:val="7"/>
          <w:sz w:val="12"/>
        </w:rPr>
        <w:t>1</w:t>
      </w:r>
      <w:r>
        <w:rPr>
          <w:i/>
          <w:color w:val="231F20"/>
        </w:rPr>
        <w:t xml:space="preserve">. </w:t>
      </w:r>
      <w:r>
        <w:rPr>
          <w:color w:val="231F20"/>
        </w:rPr>
        <w:t>Відповідно для державних службовців,</w:t>
      </w:r>
      <w:r>
        <w:rPr>
          <w:color w:val="231F20"/>
        </w:rPr>
        <w:t xml:space="preserve"> які мають стаж державної служби понад п’ять років, надається додаткова відпустка тривалістю один календарний день. Починаючи з шостого року стажу державної служби ця відпустка збільшується на один кален- дарний день за кожний наступний рік. Тривалість дод</w:t>
      </w:r>
      <w:r>
        <w:rPr>
          <w:color w:val="231F20"/>
        </w:rPr>
        <w:t>аткової відпустки не може перевищувати 15 календарних днів.</w:t>
      </w:r>
    </w:p>
    <w:p w14:paraId="5B68417B" w14:textId="77777777" w:rsidR="00DE575E" w:rsidRDefault="002E7560">
      <w:pPr>
        <w:pStyle w:val="BodyText"/>
        <w:spacing w:before="3" w:line="252" w:lineRule="auto"/>
        <w:ind w:left="533" w:right="123" w:firstLine="283"/>
        <w:jc w:val="both"/>
      </w:pPr>
      <w:r>
        <w:rPr>
          <w:color w:val="231F20"/>
        </w:rPr>
        <w:t xml:space="preserve">Під час звільнення  державного  службовця  йому  виплачу-  ється грошова компенсація за всі невикористані ним дні додат- кової відпустки. За бажанням державного службовця додаткова відпустка або її частина може бути замінена грошовою компенса- цією. </w:t>
      </w:r>
      <w:r>
        <w:rPr>
          <w:i/>
          <w:color w:val="231F20"/>
        </w:rPr>
        <w:t>Додатк</w:t>
      </w:r>
      <w:r>
        <w:rPr>
          <w:i/>
          <w:color w:val="231F20"/>
        </w:rPr>
        <w:t xml:space="preserve">ова відпустка не надається  державному  службовцю </w:t>
      </w:r>
      <w:r>
        <w:rPr>
          <w:color w:val="231F20"/>
        </w:rPr>
        <w:t>за час перебування: у відпустці для догляду за дитиною до досяг- нення нею трирічного віку; у відпустках без збереження заробітної плати: у разі, коли дитина потребує домашнього догляду (з трива- лістю, визначеною у медичному висновку, але не більш як до д</w:t>
      </w:r>
      <w:r>
        <w:rPr>
          <w:color w:val="231F20"/>
        </w:rPr>
        <w:t>осяг- нення дитиною шестирічного віку); у разі, коли дитина хвора на цукровий діабет I типу (інсулінозалежна), не більш як до досяг- нення дитиною шістнадцятирічного віку; у разі, коли дитині вста- новлено категорію «дитина-інвалід підгрупи А» (до досягнен</w:t>
      </w:r>
      <w:r>
        <w:rPr>
          <w:color w:val="231F20"/>
        </w:rPr>
        <w:t>ня дитиною вісімнадцятирічного віку); за час навчання у навчаль- ному закладі, установі, організації незалежно від  форми  власно- сті, що має право надавати освітні послуги, зокрема за кордоном, для підвищення рівня професійної компетентності з відривом в</w:t>
      </w:r>
      <w:r>
        <w:rPr>
          <w:color w:val="231F20"/>
        </w:rPr>
        <w:t>ід виробництва.</w:t>
      </w:r>
    </w:p>
    <w:p w14:paraId="49A50465" w14:textId="77777777" w:rsidR="00DE575E" w:rsidRDefault="002E7560">
      <w:pPr>
        <w:pStyle w:val="BodyText"/>
        <w:spacing w:before="9" w:line="252" w:lineRule="auto"/>
        <w:ind w:left="533" w:right="127" w:firstLine="283"/>
        <w:jc w:val="both"/>
      </w:pPr>
      <w:r>
        <w:rPr>
          <w:color w:val="231F20"/>
        </w:rPr>
        <w:t>Державним службовцям надаються відповідно до закону: додат- кова відпустка у зв’язку з навчанням, творчі відпустки, соціальні відпустки, відпустки без збереження заробітної плати та інші види відпусток.</w:t>
      </w:r>
    </w:p>
    <w:p w14:paraId="5AA66211" w14:textId="77777777" w:rsidR="00DE575E" w:rsidRDefault="002E7560">
      <w:pPr>
        <w:pStyle w:val="BodyText"/>
        <w:spacing w:before="2" w:line="252" w:lineRule="auto"/>
        <w:ind w:left="533" w:right="128" w:firstLine="283"/>
        <w:jc w:val="both"/>
      </w:pPr>
      <w:r>
        <w:rPr>
          <w:color w:val="231F20"/>
        </w:rPr>
        <w:t>Пенсійне забезпечення державних служб</w:t>
      </w:r>
      <w:r>
        <w:rPr>
          <w:color w:val="231F20"/>
        </w:rPr>
        <w:t>овців передбачає можливість призначення пенсій у більших розмірах, ніж іншим працівникам, які зайняті в бюджетному секторі.</w:t>
      </w:r>
    </w:p>
    <w:p w14:paraId="3C0D1C0A" w14:textId="77777777" w:rsidR="00DE575E" w:rsidRDefault="00DE575E">
      <w:pPr>
        <w:pStyle w:val="BodyText"/>
        <w:rPr>
          <w:sz w:val="20"/>
        </w:rPr>
      </w:pPr>
    </w:p>
    <w:p w14:paraId="5DF97AC1" w14:textId="77777777" w:rsidR="00DE575E" w:rsidRDefault="00DE575E">
      <w:pPr>
        <w:pStyle w:val="BodyText"/>
        <w:rPr>
          <w:sz w:val="20"/>
        </w:rPr>
      </w:pPr>
    </w:p>
    <w:p w14:paraId="46E7371F" w14:textId="77777777" w:rsidR="00DE575E" w:rsidRDefault="00DE575E">
      <w:pPr>
        <w:pStyle w:val="BodyText"/>
        <w:rPr>
          <w:sz w:val="20"/>
        </w:rPr>
      </w:pPr>
    </w:p>
    <w:p w14:paraId="2F3A8784" w14:textId="4AF8014B" w:rsidR="00DE575E" w:rsidRDefault="002E7560">
      <w:pPr>
        <w:pStyle w:val="BodyText"/>
        <w:spacing w:before="11"/>
        <w:rPr>
          <w:sz w:val="16"/>
        </w:rPr>
      </w:pPr>
      <w:r>
        <w:rPr>
          <w:noProof/>
        </w:rPr>
        <mc:AlternateContent>
          <mc:Choice Requires="wps">
            <w:drawing>
              <wp:anchor distT="0" distB="0" distL="0" distR="0" simplePos="0" relativeHeight="14896" behindDoc="0" locked="0" layoutInCell="1" allowOverlap="1" wp14:anchorId="668316CC" wp14:editId="3001AA88">
                <wp:simplePos x="0" y="0"/>
                <wp:positionH relativeFrom="page">
                  <wp:posOffset>719455</wp:posOffset>
                </wp:positionH>
                <wp:positionV relativeFrom="paragraph">
                  <wp:posOffset>154305</wp:posOffset>
                </wp:positionV>
                <wp:extent cx="1080135" cy="0"/>
                <wp:effectExtent l="8255" t="14605" r="29210" b="23495"/>
                <wp:wrapTopAndBottom/>
                <wp:docPr id="45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8B17D" id="Line_x0020_450" o:spid="_x0000_s1026" style="position:absolute;z-index:1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15pt" to="141.7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" strokecolor="#231f20" strokeweight=".5pt">
                <w10:wrap type="topAndBottom" anchorx="page"/>
              </v:line>
            </w:pict>
          </mc:Fallback>
        </mc:AlternateContent>
      </w:r>
    </w:p>
    <w:p w14:paraId="736D91F7" w14:textId="77777777" w:rsidR="00DE575E" w:rsidRDefault="002E7560">
      <w:pPr>
        <w:spacing w:line="204" w:lineRule="auto"/>
        <w:ind w:left="533" w:right="339"/>
        <w:rPr>
          <w:sz w:val="16"/>
        </w:rPr>
      </w:pPr>
      <w:r>
        <w:rPr>
          <w:color w:val="231F20"/>
          <w:position w:val="5"/>
          <w:sz w:val="9"/>
        </w:rPr>
        <w:t xml:space="preserve">1 </w:t>
      </w:r>
      <w:r>
        <w:rPr>
          <w:color w:val="231F20"/>
          <w:sz w:val="16"/>
        </w:rPr>
        <w:t>Про затвердження Порядку надання державним службовцям  додаткових  оплачува- них відпусток: Постанова КМУ від 6 квітня 2016 р</w:t>
      </w:r>
      <w:r>
        <w:rPr>
          <w:color w:val="231F20"/>
          <w:sz w:val="16"/>
        </w:rPr>
        <w:t>. №</w:t>
      </w:r>
      <w:r>
        <w:rPr>
          <w:color w:val="231F20"/>
          <w:spacing w:val="-14"/>
          <w:sz w:val="16"/>
        </w:rPr>
        <w:t xml:space="preserve"> </w:t>
      </w:r>
      <w:r>
        <w:rPr>
          <w:color w:val="231F20"/>
          <w:sz w:val="16"/>
        </w:rPr>
        <w:t>551.</w:t>
      </w:r>
    </w:p>
    <w:p w14:paraId="4D85A7B7" w14:textId="77777777" w:rsidR="00DE575E" w:rsidRDefault="00DE575E">
      <w:pPr>
        <w:pStyle w:val="BodyText"/>
        <w:spacing w:before="1"/>
        <w:rPr>
          <w:sz w:val="12"/>
        </w:rPr>
      </w:pPr>
    </w:p>
    <w:p w14:paraId="1B800268" w14:textId="77777777" w:rsidR="00DE575E" w:rsidRDefault="002E7560">
      <w:pPr>
        <w:spacing w:before="92"/>
        <w:ind w:left="533"/>
        <w:rPr>
          <w:rFonts w:ascii="Times New Roman"/>
          <w:sz w:val="20"/>
        </w:rPr>
      </w:pPr>
      <w:r>
        <w:rPr>
          <w:rFonts w:ascii="Times New Roman"/>
          <w:color w:val="231F20"/>
          <w:sz w:val="20"/>
        </w:rPr>
        <w:t>380</w:t>
      </w:r>
    </w:p>
    <w:p w14:paraId="18E90AFA" w14:textId="77777777" w:rsidR="00DE575E" w:rsidRDefault="00DE575E">
      <w:pPr>
        <w:rPr>
          <w:rFonts w:ascii="Times New Roman"/>
          <w:sz w:val="20"/>
        </w:rPr>
        <w:sectPr w:rsidR="00DE575E">
          <w:pgSz w:w="8510" w:h="12760"/>
          <w:pgMar w:top="660" w:right="720" w:bottom="280" w:left="600" w:header="720" w:footer="720" w:gutter="0"/>
          <w:cols w:space="720"/>
        </w:sectPr>
      </w:pPr>
    </w:p>
    <w:p w14:paraId="3F56DF54"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02C27070" w14:textId="0EB5052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E0E7018" wp14:editId="6A77BDB0">
                <wp:extent cx="4140200" cy="6350"/>
                <wp:effectExtent l="0" t="0" r="12700" b="6350"/>
                <wp:docPr id="44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50" name="Line 4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025D2E" id="Group_x0020_4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q6D+1/AgAAmAUAAA4A&#10;AAAAAAAAAAAAAAAALAIAAGRycy9lMm9Eb2MueG1sUEsBAi0AFAAGAAgAAAAhAEynsJDZAAAAAwEA&#10;AA8AAAAAAAAAAAAAAAAA1wQAAGRycy9kb3ducmV2LnhtbFBLBQYAAAAABAAEAPMAAADdBQAAAAA=&#10;">
                <v:line id="Line_x0020_4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nF7MQAAADcAAAADwAAAGRycy9kb3ducmV2LnhtbERP3WrCMBS+H+wdwhnsZmjqnCK1UWQw&#10;EC90sz7AaXNsi8lJbaLt9vTLxWCXH99/th6sEXfqfONYwWScgCAunW64UnDKP0YLED4gazSOScE3&#10;eVivHh8yTLXr+Yvux1CJGMI+RQV1CG0qpS9rsujHriWO3Nl1FkOEXSV1h30Mt0a+JslcWmw4NtTY&#10;0ntN5eV4swry60swn4ed6fNDMZXFdT/9ue2Ven4aNksQgYbwL/5zb7WCt1m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WcXsxAAAANwAAAAPAAAAAAAAAAAA&#10;AAAAAKECAABkcnMvZG93bnJldi54bWxQSwUGAAAAAAQABAD5AAAAkgMAAAAA&#10;" strokecolor="#231f20" strokeweight=".5pt"/>
                <w10:anchorlock/>
              </v:group>
            </w:pict>
          </mc:Fallback>
        </mc:AlternateContent>
      </w:r>
    </w:p>
    <w:p w14:paraId="786020C5" w14:textId="77777777" w:rsidR="00DE575E" w:rsidRDefault="00DE575E">
      <w:pPr>
        <w:pStyle w:val="BodyText"/>
        <w:spacing w:before="6"/>
        <w:rPr>
          <w:rFonts w:ascii="AdonisC"/>
          <w:i/>
          <w:sz w:val="19"/>
        </w:rPr>
      </w:pPr>
    </w:p>
    <w:p w14:paraId="1AD62C98" w14:textId="77777777" w:rsidR="00DE575E" w:rsidRDefault="002E7560">
      <w:pPr>
        <w:pStyle w:val="Heading4"/>
        <w:ind w:left="1627"/>
      </w:pPr>
      <w:r>
        <w:rPr>
          <w:color w:val="231F20"/>
        </w:rPr>
        <w:t>2.6. Припинення державної служби</w:t>
      </w:r>
    </w:p>
    <w:p w14:paraId="2579738D" w14:textId="77777777" w:rsidR="00DE575E" w:rsidRDefault="00DE575E">
      <w:pPr>
        <w:pStyle w:val="BodyText"/>
        <w:rPr>
          <w:b/>
          <w:sz w:val="26"/>
        </w:rPr>
      </w:pPr>
    </w:p>
    <w:p w14:paraId="3F52A1C5" w14:textId="77777777" w:rsidR="00DE575E" w:rsidRDefault="002E7560">
      <w:pPr>
        <w:pStyle w:val="BodyText"/>
        <w:spacing w:before="224" w:line="252" w:lineRule="auto"/>
        <w:ind w:left="250" w:right="410" w:firstLine="283"/>
        <w:jc w:val="both"/>
      </w:pPr>
      <w:r>
        <w:rPr>
          <w:b/>
          <w:i/>
          <w:color w:val="231F20"/>
        </w:rPr>
        <w:t xml:space="preserve">Припиненням державної служби </w:t>
      </w:r>
      <w:r>
        <w:rPr>
          <w:color w:val="231F20"/>
        </w:rPr>
        <w:t>є закінчення відносин державної служби, які виникли між громадянином та державним органом з моменту набуття статусу державного службовця.</w:t>
      </w:r>
    </w:p>
    <w:p w14:paraId="6014C939" w14:textId="77777777" w:rsidR="00DE575E" w:rsidRDefault="002E7560">
      <w:pPr>
        <w:pStyle w:val="BodyText"/>
        <w:spacing w:before="1" w:line="252" w:lineRule="auto"/>
        <w:ind w:left="250" w:right="410" w:firstLine="283"/>
        <w:jc w:val="both"/>
      </w:pPr>
      <w:r>
        <w:rPr>
          <w:color w:val="231F20"/>
        </w:rPr>
        <w:t>Підставами      припинення       державно-службових       відносин  є настання умов, що визначені законодавством, відп</w:t>
      </w:r>
      <w:r>
        <w:rPr>
          <w:color w:val="231F20"/>
        </w:rPr>
        <w:t>овідно до яких державний  службовець   припиняє   свою   професійну   діяльність   і перестає реалізувати статус державного</w:t>
      </w:r>
      <w:r>
        <w:rPr>
          <w:color w:val="231F20"/>
          <w:spacing w:val="-6"/>
        </w:rPr>
        <w:t xml:space="preserve"> </w:t>
      </w:r>
      <w:r>
        <w:rPr>
          <w:color w:val="231F20"/>
        </w:rPr>
        <w:t>службовця.</w:t>
      </w:r>
    </w:p>
    <w:p w14:paraId="18787490" w14:textId="77777777" w:rsidR="00DE575E" w:rsidRDefault="002E7560">
      <w:pPr>
        <w:spacing w:before="2"/>
        <w:ind w:left="533"/>
        <w:rPr>
          <w:sz w:val="21"/>
        </w:rPr>
      </w:pPr>
      <w:r>
        <w:rPr>
          <w:i/>
          <w:color w:val="231F20"/>
          <w:sz w:val="21"/>
        </w:rPr>
        <w:t>До підстав припинення державної служби належать такі</w:t>
      </w:r>
      <w:r>
        <w:rPr>
          <w:color w:val="231F20"/>
          <w:sz w:val="21"/>
        </w:rPr>
        <w:t>:</w:t>
      </w:r>
    </w:p>
    <w:p w14:paraId="601C7E85" w14:textId="77777777" w:rsidR="00DE575E" w:rsidRDefault="002E7560">
      <w:pPr>
        <w:pStyle w:val="ListParagraph"/>
        <w:numPr>
          <w:ilvl w:val="0"/>
          <w:numId w:val="97"/>
        </w:numPr>
        <w:tabs>
          <w:tab w:val="left" w:pos="818"/>
        </w:tabs>
        <w:spacing w:before="13" w:line="252" w:lineRule="auto"/>
        <w:ind w:right="405" w:firstLine="283"/>
        <w:jc w:val="both"/>
        <w:rPr>
          <w:sz w:val="21"/>
        </w:rPr>
      </w:pPr>
      <w:r>
        <w:rPr>
          <w:color w:val="231F20"/>
          <w:spacing w:val="1"/>
          <w:sz w:val="21"/>
        </w:rPr>
        <w:t xml:space="preserve">утрата права </w:t>
      </w:r>
      <w:r>
        <w:rPr>
          <w:color w:val="231F20"/>
          <w:sz w:val="21"/>
        </w:rPr>
        <w:t xml:space="preserve">на </w:t>
      </w:r>
      <w:r>
        <w:rPr>
          <w:color w:val="231F20"/>
          <w:spacing w:val="1"/>
          <w:sz w:val="21"/>
        </w:rPr>
        <w:t xml:space="preserve">державну службу </w:t>
      </w:r>
      <w:r>
        <w:rPr>
          <w:color w:val="231F20"/>
          <w:sz w:val="21"/>
        </w:rPr>
        <w:t xml:space="preserve">або </w:t>
      </w:r>
      <w:r>
        <w:rPr>
          <w:color w:val="231F20"/>
          <w:spacing w:val="1"/>
          <w:sz w:val="21"/>
        </w:rPr>
        <w:t xml:space="preserve">його обмеження, </w:t>
      </w:r>
      <w:r>
        <w:rPr>
          <w:color w:val="231F20"/>
          <w:spacing w:val="2"/>
          <w:sz w:val="21"/>
        </w:rPr>
        <w:t xml:space="preserve">що </w:t>
      </w:r>
      <w:r>
        <w:rPr>
          <w:color w:val="231F20"/>
          <w:spacing w:val="1"/>
          <w:sz w:val="21"/>
        </w:rPr>
        <w:t xml:space="preserve">пов’язано </w:t>
      </w:r>
      <w:r>
        <w:rPr>
          <w:color w:val="231F20"/>
          <w:sz w:val="21"/>
        </w:rPr>
        <w:t xml:space="preserve">з </w:t>
      </w:r>
      <w:r>
        <w:rPr>
          <w:color w:val="231F20"/>
          <w:spacing w:val="1"/>
          <w:sz w:val="21"/>
        </w:rPr>
        <w:t xml:space="preserve">припиненням громадянства </w:t>
      </w:r>
      <w:r>
        <w:rPr>
          <w:color w:val="231F20"/>
          <w:sz w:val="21"/>
        </w:rPr>
        <w:t xml:space="preserve">України або </w:t>
      </w:r>
      <w:r>
        <w:rPr>
          <w:color w:val="231F20"/>
          <w:spacing w:val="1"/>
          <w:sz w:val="21"/>
        </w:rPr>
        <w:t xml:space="preserve">виїздом </w:t>
      </w:r>
      <w:r>
        <w:rPr>
          <w:color w:val="231F20"/>
          <w:spacing w:val="2"/>
          <w:sz w:val="21"/>
        </w:rPr>
        <w:t xml:space="preserve">на </w:t>
      </w:r>
      <w:r>
        <w:rPr>
          <w:color w:val="231F20"/>
          <w:spacing w:val="1"/>
          <w:sz w:val="21"/>
        </w:rPr>
        <w:t xml:space="preserve">постійне проживання </w:t>
      </w:r>
      <w:r>
        <w:rPr>
          <w:color w:val="231F20"/>
          <w:sz w:val="21"/>
        </w:rPr>
        <w:t xml:space="preserve">за </w:t>
      </w:r>
      <w:r>
        <w:rPr>
          <w:color w:val="231F20"/>
          <w:spacing w:val="1"/>
          <w:sz w:val="21"/>
        </w:rPr>
        <w:t xml:space="preserve">межі </w:t>
      </w:r>
      <w:r>
        <w:rPr>
          <w:color w:val="231F20"/>
          <w:sz w:val="21"/>
        </w:rPr>
        <w:t xml:space="preserve">України; </w:t>
      </w:r>
      <w:r>
        <w:rPr>
          <w:color w:val="231F20"/>
          <w:spacing w:val="1"/>
          <w:sz w:val="21"/>
        </w:rPr>
        <w:t xml:space="preserve">установлення факту наяв- ності </w:t>
      </w:r>
      <w:r>
        <w:rPr>
          <w:color w:val="231F20"/>
          <w:sz w:val="21"/>
        </w:rPr>
        <w:t xml:space="preserve">в </w:t>
      </w:r>
      <w:r>
        <w:rPr>
          <w:color w:val="231F20"/>
          <w:spacing w:val="1"/>
          <w:sz w:val="21"/>
        </w:rPr>
        <w:t xml:space="preserve">державного службовця громадянства іноземної держави </w:t>
      </w:r>
      <w:r>
        <w:rPr>
          <w:color w:val="231F20"/>
          <w:sz w:val="21"/>
        </w:rPr>
        <w:t xml:space="preserve">або </w:t>
      </w:r>
      <w:r>
        <w:rPr>
          <w:color w:val="231F20"/>
          <w:spacing w:val="1"/>
          <w:sz w:val="21"/>
        </w:rPr>
        <w:t xml:space="preserve">набуття </w:t>
      </w:r>
      <w:r>
        <w:rPr>
          <w:color w:val="231F20"/>
          <w:sz w:val="21"/>
        </w:rPr>
        <w:t xml:space="preserve">ним </w:t>
      </w:r>
      <w:r>
        <w:rPr>
          <w:color w:val="231F20"/>
          <w:spacing w:val="1"/>
          <w:sz w:val="21"/>
        </w:rPr>
        <w:t xml:space="preserve">громадянства іноземної держави </w:t>
      </w:r>
      <w:r>
        <w:rPr>
          <w:color w:val="231F20"/>
          <w:sz w:val="21"/>
        </w:rPr>
        <w:t xml:space="preserve">під час проход- ження </w:t>
      </w:r>
      <w:r>
        <w:rPr>
          <w:color w:val="231F20"/>
          <w:spacing w:val="1"/>
          <w:sz w:val="21"/>
        </w:rPr>
        <w:t>державної служби;</w:t>
      </w:r>
      <w:r>
        <w:rPr>
          <w:color w:val="231F20"/>
          <w:spacing w:val="1"/>
          <w:sz w:val="21"/>
        </w:rPr>
        <w:t xml:space="preserve">  набрання  законної  сили  </w:t>
      </w:r>
      <w:r>
        <w:rPr>
          <w:color w:val="231F20"/>
          <w:spacing w:val="2"/>
          <w:sz w:val="21"/>
        </w:rPr>
        <w:t xml:space="preserve">рішенням </w:t>
      </w:r>
      <w:r>
        <w:rPr>
          <w:color w:val="231F20"/>
          <w:sz w:val="21"/>
        </w:rPr>
        <w:t xml:space="preserve">суду щодо </w:t>
      </w:r>
      <w:r>
        <w:rPr>
          <w:color w:val="231F20"/>
          <w:spacing w:val="1"/>
          <w:sz w:val="21"/>
        </w:rPr>
        <w:t xml:space="preserve">притягнення державного службовця </w:t>
      </w:r>
      <w:r>
        <w:rPr>
          <w:color w:val="231F20"/>
          <w:sz w:val="21"/>
        </w:rPr>
        <w:t xml:space="preserve">до </w:t>
      </w:r>
      <w:r>
        <w:rPr>
          <w:color w:val="231F20"/>
          <w:spacing w:val="1"/>
          <w:sz w:val="21"/>
        </w:rPr>
        <w:t xml:space="preserve">адміністра- тивної відповідальності </w:t>
      </w:r>
      <w:r>
        <w:rPr>
          <w:color w:val="231F20"/>
          <w:sz w:val="21"/>
        </w:rPr>
        <w:t xml:space="preserve">за </w:t>
      </w:r>
      <w:r>
        <w:rPr>
          <w:color w:val="231F20"/>
          <w:spacing w:val="1"/>
          <w:sz w:val="21"/>
        </w:rPr>
        <w:t xml:space="preserve">пов’язане </w:t>
      </w:r>
      <w:r>
        <w:rPr>
          <w:color w:val="231F20"/>
          <w:sz w:val="21"/>
        </w:rPr>
        <w:t xml:space="preserve">з </w:t>
      </w:r>
      <w:r>
        <w:rPr>
          <w:color w:val="231F20"/>
          <w:spacing w:val="1"/>
          <w:sz w:val="21"/>
        </w:rPr>
        <w:t xml:space="preserve">корупцією правопору- шення, яким </w:t>
      </w:r>
      <w:r>
        <w:rPr>
          <w:color w:val="231F20"/>
          <w:sz w:val="21"/>
        </w:rPr>
        <w:t xml:space="preserve">на </w:t>
      </w:r>
      <w:r>
        <w:rPr>
          <w:color w:val="231F20"/>
          <w:spacing w:val="1"/>
          <w:sz w:val="21"/>
        </w:rPr>
        <w:t xml:space="preserve">особу </w:t>
      </w:r>
      <w:r>
        <w:rPr>
          <w:color w:val="231F20"/>
          <w:spacing w:val="2"/>
          <w:sz w:val="21"/>
        </w:rPr>
        <w:t xml:space="preserve">накладено </w:t>
      </w:r>
      <w:r>
        <w:rPr>
          <w:color w:val="231F20"/>
          <w:spacing w:val="1"/>
          <w:sz w:val="21"/>
        </w:rPr>
        <w:t xml:space="preserve">стягнення </w:t>
      </w:r>
      <w:r>
        <w:rPr>
          <w:color w:val="231F20"/>
          <w:sz w:val="21"/>
        </w:rPr>
        <w:t xml:space="preserve">у </w:t>
      </w:r>
      <w:r>
        <w:rPr>
          <w:color w:val="231F20"/>
          <w:spacing w:val="1"/>
          <w:sz w:val="21"/>
        </w:rPr>
        <w:t xml:space="preserve">формі </w:t>
      </w:r>
      <w:r>
        <w:rPr>
          <w:color w:val="231F20"/>
          <w:spacing w:val="2"/>
          <w:sz w:val="21"/>
        </w:rPr>
        <w:t xml:space="preserve">позбавлення </w:t>
      </w:r>
      <w:r>
        <w:rPr>
          <w:color w:val="231F20"/>
          <w:spacing w:val="1"/>
          <w:sz w:val="21"/>
        </w:rPr>
        <w:t xml:space="preserve">права обіймати певні посади </w:t>
      </w:r>
      <w:r>
        <w:rPr>
          <w:color w:val="231F20"/>
          <w:sz w:val="21"/>
        </w:rPr>
        <w:t xml:space="preserve">або </w:t>
      </w:r>
      <w:r>
        <w:rPr>
          <w:color w:val="231F20"/>
          <w:spacing w:val="1"/>
          <w:sz w:val="21"/>
        </w:rPr>
        <w:t>займатис</w:t>
      </w:r>
      <w:r>
        <w:rPr>
          <w:color w:val="231F20"/>
          <w:spacing w:val="1"/>
          <w:sz w:val="21"/>
        </w:rPr>
        <w:t xml:space="preserve">я певною </w:t>
      </w:r>
      <w:r>
        <w:rPr>
          <w:color w:val="231F20"/>
          <w:spacing w:val="2"/>
          <w:sz w:val="21"/>
        </w:rPr>
        <w:t xml:space="preserve">діяльністю, </w:t>
      </w:r>
      <w:r>
        <w:rPr>
          <w:color w:val="231F20"/>
          <w:sz w:val="21"/>
        </w:rPr>
        <w:t xml:space="preserve">що </w:t>
      </w:r>
      <w:r>
        <w:rPr>
          <w:color w:val="231F20"/>
          <w:spacing w:val="1"/>
          <w:sz w:val="21"/>
        </w:rPr>
        <w:t xml:space="preserve">пов’язані </w:t>
      </w:r>
      <w:r>
        <w:rPr>
          <w:color w:val="231F20"/>
          <w:sz w:val="21"/>
        </w:rPr>
        <w:t xml:space="preserve">з </w:t>
      </w:r>
      <w:r>
        <w:rPr>
          <w:color w:val="231F20"/>
          <w:spacing w:val="1"/>
          <w:sz w:val="21"/>
        </w:rPr>
        <w:t xml:space="preserve">виконанням функцій держави </w:t>
      </w:r>
      <w:r>
        <w:rPr>
          <w:color w:val="231F20"/>
          <w:sz w:val="21"/>
        </w:rPr>
        <w:t xml:space="preserve">або </w:t>
      </w:r>
      <w:r>
        <w:rPr>
          <w:color w:val="231F20"/>
          <w:spacing w:val="1"/>
          <w:sz w:val="21"/>
        </w:rPr>
        <w:t xml:space="preserve">місцевого </w:t>
      </w:r>
      <w:r>
        <w:rPr>
          <w:color w:val="231F20"/>
          <w:sz w:val="21"/>
        </w:rPr>
        <w:t xml:space="preserve">само- </w:t>
      </w:r>
      <w:r>
        <w:rPr>
          <w:color w:val="231F20"/>
          <w:spacing w:val="1"/>
          <w:sz w:val="21"/>
        </w:rPr>
        <w:t xml:space="preserve">врядування; набрання законної сили обвинувальним вироком </w:t>
      </w:r>
      <w:r>
        <w:rPr>
          <w:color w:val="231F20"/>
          <w:sz w:val="21"/>
        </w:rPr>
        <w:t xml:space="preserve">суду щодо </w:t>
      </w:r>
      <w:r>
        <w:rPr>
          <w:color w:val="231F20"/>
          <w:spacing w:val="1"/>
          <w:sz w:val="21"/>
        </w:rPr>
        <w:t xml:space="preserve">державного службовця </w:t>
      </w:r>
      <w:r>
        <w:rPr>
          <w:color w:val="231F20"/>
          <w:sz w:val="21"/>
        </w:rPr>
        <w:t xml:space="preserve">за </w:t>
      </w:r>
      <w:r>
        <w:rPr>
          <w:color w:val="231F20"/>
          <w:spacing w:val="1"/>
          <w:sz w:val="21"/>
        </w:rPr>
        <w:t xml:space="preserve">вчинення умисного </w:t>
      </w:r>
      <w:r>
        <w:rPr>
          <w:color w:val="231F20"/>
          <w:spacing w:val="2"/>
          <w:sz w:val="21"/>
        </w:rPr>
        <w:t xml:space="preserve">злочину </w:t>
      </w:r>
      <w:r>
        <w:rPr>
          <w:color w:val="231F20"/>
          <w:spacing w:val="1"/>
          <w:sz w:val="21"/>
        </w:rPr>
        <w:t xml:space="preserve">та/або встановлення заборони займатися діяльністю, </w:t>
      </w:r>
      <w:r>
        <w:rPr>
          <w:color w:val="231F20"/>
          <w:spacing w:val="2"/>
          <w:sz w:val="21"/>
        </w:rPr>
        <w:t>пов’я</w:t>
      </w:r>
      <w:r>
        <w:rPr>
          <w:color w:val="231F20"/>
          <w:spacing w:val="2"/>
          <w:sz w:val="21"/>
        </w:rPr>
        <w:t xml:space="preserve">заною </w:t>
      </w:r>
      <w:r>
        <w:rPr>
          <w:color w:val="231F20"/>
          <w:sz w:val="21"/>
        </w:rPr>
        <w:t xml:space="preserve">з </w:t>
      </w:r>
      <w:r>
        <w:rPr>
          <w:color w:val="231F20"/>
          <w:spacing w:val="1"/>
          <w:sz w:val="21"/>
        </w:rPr>
        <w:t>виконанням функцій держави; наявність відносин прямої підпо- рядкованості близьких</w:t>
      </w:r>
      <w:r>
        <w:rPr>
          <w:color w:val="231F20"/>
          <w:spacing w:val="13"/>
          <w:sz w:val="21"/>
        </w:rPr>
        <w:t xml:space="preserve"> </w:t>
      </w:r>
      <w:r>
        <w:rPr>
          <w:color w:val="231F20"/>
          <w:spacing w:val="2"/>
          <w:sz w:val="21"/>
        </w:rPr>
        <w:t>осіб;</w:t>
      </w:r>
    </w:p>
    <w:p w14:paraId="402E95B9" w14:textId="77777777" w:rsidR="00DE575E" w:rsidRDefault="002E7560">
      <w:pPr>
        <w:pStyle w:val="ListParagraph"/>
        <w:numPr>
          <w:ilvl w:val="0"/>
          <w:numId w:val="97"/>
        </w:numPr>
        <w:tabs>
          <w:tab w:val="left" w:pos="818"/>
        </w:tabs>
        <w:spacing w:before="8" w:line="252" w:lineRule="auto"/>
        <w:ind w:right="410" w:firstLine="283"/>
        <w:jc w:val="both"/>
        <w:rPr>
          <w:sz w:val="21"/>
        </w:rPr>
      </w:pPr>
      <w:r>
        <w:rPr>
          <w:color w:val="231F20"/>
          <w:sz w:val="21"/>
        </w:rPr>
        <w:t xml:space="preserve">у разі закінчення строку призначення на посаду державної служби, що пов’язано із закінченням строку дії контракту (у разі укладання контракту про проходження державної служби); </w:t>
      </w:r>
      <w:r>
        <w:rPr>
          <w:color w:val="231F20"/>
          <w:spacing w:val="-3"/>
          <w:sz w:val="21"/>
        </w:rPr>
        <w:t xml:space="preserve">виходу </w:t>
      </w:r>
      <w:r>
        <w:rPr>
          <w:color w:val="231F20"/>
          <w:sz w:val="21"/>
        </w:rPr>
        <w:t>на службу тимчасово відсутнього державного службовця (у разі призначення</w:t>
      </w:r>
      <w:r>
        <w:rPr>
          <w:color w:val="231F20"/>
          <w:sz w:val="21"/>
        </w:rPr>
        <w:t xml:space="preserve"> на посаду державної служби на період заміщення тимчасово відсутнього державного службовця, за яким зберігалася посада державної</w:t>
      </w:r>
      <w:r>
        <w:rPr>
          <w:color w:val="231F20"/>
          <w:spacing w:val="-1"/>
          <w:sz w:val="21"/>
        </w:rPr>
        <w:t xml:space="preserve"> </w:t>
      </w:r>
      <w:r>
        <w:rPr>
          <w:color w:val="231F20"/>
          <w:sz w:val="21"/>
        </w:rPr>
        <w:t>служби);</w:t>
      </w:r>
    </w:p>
    <w:p w14:paraId="5632B924" w14:textId="77777777" w:rsidR="00DE575E" w:rsidRDefault="002E7560">
      <w:pPr>
        <w:pStyle w:val="ListParagraph"/>
        <w:numPr>
          <w:ilvl w:val="0"/>
          <w:numId w:val="97"/>
        </w:numPr>
        <w:tabs>
          <w:tab w:val="left" w:pos="818"/>
        </w:tabs>
        <w:spacing w:before="3" w:line="252" w:lineRule="auto"/>
        <w:ind w:right="410" w:firstLine="283"/>
        <w:jc w:val="both"/>
        <w:rPr>
          <w:sz w:val="21"/>
        </w:rPr>
      </w:pPr>
      <w:r>
        <w:rPr>
          <w:color w:val="231F20"/>
          <w:sz w:val="21"/>
        </w:rPr>
        <w:t>за ініціативою державного службовця або за угодою сторін, що пов’язано з можливістю державного службовця звільнитися з</w:t>
      </w:r>
      <w:r>
        <w:rPr>
          <w:color w:val="231F20"/>
          <w:sz w:val="21"/>
        </w:rPr>
        <w:t xml:space="preserve">і служби за власним бажанням, попередивши про це </w:t>
      </w:r>
      <w:r>
        <w:rPr>
          <w:color w:val="231F20"/>
          <w:spacing w:val="-3"/>
          <w:sz w:val="21"/>
        </w:rPr>
        <w:t xml:space="preserve">суб’єкта </w:t>
      </w:r>
      <w:r>
        <w:rPr>
          <w:color w:val="231F20"/>
          <w:sz w:val="21"/>
        </w:rPr>
        <w:t>призна- чення</w:t>
      </w:r>
      <w:r>
        <w:rPr>
          <w:color w:val="231F20"/>
          <w:spacing w:val="-4"/>
          <w:sz w:val="21"/>
        </w:rPr>
        <w:t xml:space="preserve"> </w:t>
      </w:r>
      <w:r>
        <w:rPr>
          <w:color w:val="231F20"/>
          <w:sz w:val="21"/>
        </w:rPr>
        <w:t>в</w:t>
      </w:r>
      <w:r>
        <w:rPr>
          <w:color w:val="231F20"/>
          <w:spacing w:val="-4"/>
          <w:sz w:val="21"/>
        </w:rPr>
        <w:t xml:space="preserve"> </w:t>
      </w:r>
      <w:r>
        <w:rPr>
          <w:color w:val="231F20"/>
          <w:sz w:val="21"/>
        </w:rPr>
        <w:t>письмовій</w:t>
      </w:r>
      <w:r>
        <w:rPr>
          <w:color w:val="231F20"/>
          <w:spacing w:val="-4"/>
          <w:sz w:val="21"/>
        </w:rPr>
        <w:t xml:space="preserve"> </w:t>
      </w:r>
      <w:r>
        <w:rPr>
          <w:color w:val="231F20"/>
          <w:sz w:val="21"/>
        </w:rPr>
        <w:t>формі</w:t>
      </w:r>
      <w:r>
        <w:rPr>
          <w:color w:val="231F20"/>
          <w:spacing w:val="-4"/>
          <w:sz w:val="21"/>
        </w:rPr>
        <w:t xml:space="preserve"> </w:t>
      </w:r>
      <w:r>
        <w:rPr>
          <w:color w:val="231F20"/>
          <w:sz w:val="21"/>
        </w:rPr>
        <w:t>не</w:t>
      </w:r>
      <w:r>
        <w:rPr>
          <w:color w:val="231F20"/>
          <w:spacing w:val="-4"/>
          <w:sz w:val="21"/>
        </w:rPr>
        <w:t xml:space="preserve"> </w:t>
      </w:r>
      <w:r>
        <w:rPr>
          <w:color w:val="231F20"/>
          <w:sz w:val="21"/>
        </w:rPr>
        <w:t>пізніш</w:t>
      </w:r>
      <w:r>
        <w:rPr>
          <w:color w:val="231F20"/>
          <w:spacing w:val="-4"/>
          <w:sz w:val="21"/>
        </w:rPr>
        <w:t xml:space="preserve"> </w:t>
      </w:r>
      <w:r>
        <w:rPr>
          <w:color w:val="231F20"/>
          <w:sz w:val="21"/>
        </w:rPr>
        <w:t>як</w:t>
      </w:r>
      <w:r>
        <w:rPr>
          <w:color w:val="231F20"/>
          <w:spacing w:val="-4"/>
          <w:sz w:val="21"/>
        </w:rPr>
        <w:t xml:space="preserve"> </w:t>
      </w:r>
      <w:r>
        <w:rPr>
          <w:color w:val="231F20"/>
          <w:sz w:val="21"/>
        </w:rPr>
        <w:t>за</w:t>
      </w:r>
      <w:r>
        <w:rPr>
          <w:color w:val="231F20"/>
          <w:spacing w:val="-4"/>
          <w:sz w:val="21"/>
        </w:rPr>
        <w:t xml:space="preserve"> </w:t>
      </w:r>
      <w:r>
        <w:rPr>
          <w:color w:val="231F20"/>
          <w:sz w:val="21"/>
        </w:rPr>
        <w:t>14</w:t>
      </w:r>
      <w:r>
        <w:rPr>
          <w:color w:val="231F20"/>
          <w:spacing w:val="-4"/>
          <w:sz w:val="21"/>
        </w:rPr>
        <w:t xml:space="preserve"> </w:t>
      </w:r>
      <w:r>
        <w:rPr>
          <w:color w:val="231F20"/>
          <w:sz w:val="21"/>
        </w:rPr>
        <w:t>календарних</w:t>
      </w:r>
      <w:r>
        <w:rPr>
          <w:color w:val="231F20"/>
          <w:spacing w:val="-4"/>
          <w:sz w:val="21"/>
        </w:rPr>
        <w:t xml:space="preserve"> </w:t>
      </w:r>
      <w:r>
        <w:rPr>
          <w:color w:val="231F20"/>
          <w:sz w:val="21"/>
        </w:rPr>
        <w:t>днів</w:t>
      </w:r>
      <w:r>
        <w:rPr>
          <w:color w:val="231F20"/>
          <w:spacing w:val="-4"/>
          <w:sz w:val="21"/>
        </w:rPr>
        <w:t xml:space="preserve"> </w:t>
      </w:r>
      <w:r>
        <w:rPr>
          <w:color w:val="231F20"/>
          <w:sz w:val="21"/>
        </w:rPr>
        <w:t>до</w:t>
      </w:r>
      <w:r>
        <w:rPr>
          <w:color w:val="231F20"/>
          <w:spacing w:val="-4"/>
          <w:sz w:val="21"/>
        </w:rPr>
        <w:t xml:space="preserve"> </w:t>
      </w:r>
      <w:r>
        <w:rPr>
          <w:color w:val="231F20"/>
          <w:sz w:val="21"/>
        </w:rPr>
        <w:t>дня звільнення;</w:t>
      </w:r>
    </w:p>
    <w:p w14:paraId="72F5793C" w14:textId="77777777" w:rsidR="00DE575E" w:rsidRDefault="00DE575E">
      <w:pPr>
        <w:pStyle w:val="BodyText"/>
        <w:spacing w:before="11"/>
        <w:rPr>
          <w:sz w:val="11"/>
        </w:rPr>
      </w:pPr>
    </w:p>
    <w:p w14:paraId="4E38E6DC" w14:textId="77777777" w:rsidR="00DE575E" w:rsidRDefault="002E7560">
      <w:pPr>
        <w:spacing w:before="92"/>
        <w:ind w:right="411"/>
        <w:jc w:val="right"/>
        <w:rPr>
          <w:rFonts w:ascii="Times New Roman"/>
          <w:sz w:val="20"/>
        </w:rPr>
      </w:pPr>
      <w:r>
        <w:rPr>
          <w:rFonts w:ascii="Times New Roman"/>
          <w:color w:val="231F20"/>
          <w:w w:val="90"/>
          <w:sz w:val="20"/>
        </w:rPr>
        <w:t>381</w:t>
      </w:r>
    </w:p>
    <w:p w14:paraId="77FD6DB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066357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C1DA3A4" w14:textId="01CF3F8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1390EB3" wp14:editId="364B4CD4">
                <wp:extent cx="4140200" cy="6350"/>
                <wp:effectExtent l="0" t="0" r="12700" b="6350"/>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48" name="Line 4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F4615" id="Group_x0020_4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0z2tsgAIAAJgFAAAO&#10;AAAAAAAAAAAAAAAAACwCAABkcnMvZTJvRG9jLnhtbFBLAQItABQABgAIAAAAIQBMp7CQ2QAAAAMB&#10;AAAPAAAAAAAAAAAAAAAAANgEAABkcnMvZG93bnJldi54bWxQSwUGAAAAAAQABADzAAAA3gUAAAAA&#10;">
                <v:line id="Line_x0020_4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ZfN8MAAADcAAAADwAAAGRycy9kb3ducmV2LnhtbERP3WrCMBS+F/YO4Qy8GZr6g4xqlDEQ&#10;xAuddg9wbM7asuSkNtFWn95cCF5+fP+LVWeNuFLjK8cKRsMEBHHudMWFgt9sPfgE4QOyRuOYFNzI&#10;w2r51ltgql3LB7oeQyFiCPsUFZQh1KmUPi/Joh+6mjhyf66xGCJsCqkbbGO4NXKcJDNpseLYUGJN&#10;3yXl/8eLVZCdP4L52W9Nm+1PE3k67yb3y06p/nv3NQcRqAsv8dO90Qqm07g2nolH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L2XzfDAAAA3AAAAA8AAAAAAAAAAAAA&#10;AAAAoQIAAGRycy9kb3ducmV2LnhtbFBLBQYAAAAABAAEAPkAAACRAwAAAAA=&#10;" strokecolor="#231f20" strokeweight=".5pt"/>
                <w10:anchorlock/>
              </v:group>
            </w:pict>
          </mc:Fallback>
        </mc:AlternateContent>
      </w:r>
    </w:p>
    <w:p w14:paraId="181BB820" w14:textId="77777777" w:rsidR="00DE575E" w:rsidRDefault="00DE575E">
      <w:pPr>
        <w:pStyle w:val="BodyText"/>
        <w:spacing w:before="7"/>
        <w:rPr>
          <w:rFonts w:ascii="AdonisC"/>
          <w:i/>
          <w:sz w:val="11"/>
        </w:rPr>
      </w:pPr>
    </w:p>
    <w:p w14:paraId="7A736CAD" w14:textId="77777777" w:rsidR="00DE575E" w:rsidRDefault="002E7560">
      <w:pPr>
        <w:pStyle w:val="ListParagraph"/>
        <w:numPr>
          <w:ilvl w:val="0"/>
          <w:numId w:val="96"/>
        </w:numPr>
        <w:tabs>
          <w:tab w:val="left" w:pos="1101"/>
        </w:tabs>
        <w:spacing w:before="101" w:line="252" w:lineRule="auto"/>
        <w:ind w:right="126" w:firstLine="284"/>
        <w:jc w:val="both"/>
        <w:rPr>
          <w:sz w:val="21"/>
        </w:rPr>
      </w:pPr>
      <w:r>
        <w:rPr>
          <w:color w:val="231F20"/>
          <w:sz w:val="21"/>
        </w:rPr>
        <w:t xml:space="preserve">за ініціативою </w:t>
      </w:r>
      <w:r>
        <w:rPr>
          <w:color w:val="231F20"/>
          <w:spacing w:val="-3"/>
          <w:sz w:val="21"/>
        </w:rPr>
        <w:t xml:space="preserve">суб’єкта </w:t>
      </w:r>
      <w:r>
        <w:rPr>
          <w:color w:val="231F20"/>
          <w:sz w:val="21"/>
        </w:rPr>
        <w:t>призначення, що пов’язано зі зміною структури або штатного розпису державного органу без скоро- чення</w:t>
      </w:r>
      <w:r>
        <w:rPr>
          <w:color w:val="231F20"/>
          <w:spacing w:val="-10"/>
          <w:sz w:val="21"/>
        </w:rPr>
        <w:t xml:space="preserve"> </w:t>
      </w:r>
      <w:r>
        <w:rPr>
          <w:color w:val="231F20"/>
          <w:sz w:val="21"/>
        </w:rPr>
        <w:t>чисельності</w:t>
      </w:r>
      <w:r>
        <w:rPr>
          <w:color w:val="231F20"/>
          <w:spacing w:val="-10"/>
          <w:sz w:val="21"/>
        </w:rPr>
        <w:t xml:space="preserve"> </w:t>
      </w:r>
      <w:r>
        <w:rPr>
          <w:color w:val="231F20"/>
          <w:sz w:val="21"/>
        </w:rPr>
        <w:t>або</w:t>
      </w:r>
      <w:r>
        <w:rPr>
          <w:color w:val="231F20"/>
          <w:spacing w:val="-10"/>
          <w:sz w:val="21"/>
        </w:rPr>
        <w:t xml:space="preserve"> </w:t>
      </w:r>
      <w:r>
        <w:rPr>
          <w:color w:val="231F20"/>
          <w:sz w:val="21"/>
        </w:rPr>
        <w:t>штату</w:t>
      </w:r>
      <w:r>
        <w:rPr>
          <w:color w:val="231F20"/>
          <w:spacing w:val="-10"/>
          <w:sz w:val="21"/>
        </w:rPr>
        <w:t xml:space="preserve"> </w:t>
      </w:r>
      <w:r>
        <w:rPr>
          <w:color w:val="231F20"/>
          <w:sz w:val="21"/>
        </w:rPr>
        <w:t>державних</w:t>
      </w:r>
      <w:r>
        <w:rPr>
          <w:color w:val="231F20"/>
          <w:spacing w:val="-10"/>
          <w:sz w:val="21"/>
        </w:rPr>
        <w:t xml:space="preserve"> </w:t>
      </w:r>
      <w:r>
        <w:rPr>
          <w:color w:val="231F20"/>
          <w:sz w:val="21"/>
        </w:rPr>
        <w:t>службовців,</w:t>
      </w:r>
      <w:r>
        <w:rPr>
          <w:color w:val="231F20"/>
          <w:spacing w:val="-10"/>
          <w:sz w:val="21"/>
        </w:rPr>
        <w:t xml:space="preserve"> </w:t>
      </w:r>
      <w:r>
        <w:rPr>
          <w:color w:val="231F20"/>
          <w:sz w:val="21"/>
        </w:rPr>
        <w:t>реорганізацією державного органу; ліквідацією дер</w:t>
      </w:r>
      <w:r>
        <w:rPr>
          <w:color w:val="231F20"/>
          <w:sz w:val="21"/>
        </w:rPr>
        <w:t xml:space="preserve">жавного органу; установленням невідповідності державного службовця займаній посаді впродовж строку випробування; отриманням державним службовцем нега- тивної оцінки за </w:t>
      </w:r>
      <w:r>
        <w:rPr>
          <w:color w:val="231F20"/>
          <w:spacing w:val="-3"/>
          <w:sz w:val="21"/>
        </w:rPr>
        <w:t xml:space="preserve">результатами </w:t>
      </w:r>
      <w:r>
        <w:rPr>
          <w:color w:val="231F20"/>
          <w:sz w:val="21"/>
        </w:rPr>
        <w:t>оцінювання службової діяльності; учиненням державним службовцем дисциплінар</w:t>
      </w:r>
      <w:r>
        <w:rPr>
          <w:color w:val="231F20"/>
          <w:sz w:val="21"/>
        </w:rPr>
        <w:t>ного проступку, який передбачає</w:t>
      </w:r>
      <w:r>
        <w:rPr>
          <w:color w:val="231F20"/>
          <w:spacing w:val="-1"/>
          <w:sz w:val="21"/>
        </w:rPr>
        <w:t xml:space="preserve"> </w:t>
      </w:r>
      <w:r>
        <w:rPr>
          <w:color w:val="231F20"/>
          <w:sz w:val="21"/>
        </w:rPr>
        <w:t>звільнення;</w:t>
      </w:r>
    </w:p>
    <w:p w14:paraId="391D2CDF" w14:textId="77777777" w:rsidR="00DE575E" w:rsidRDefault="002E7560">
      <w:pPr>
        <w:pStyle w:val="ListParagraph"/>
        <w:numPr>
          <w:ilvl w:val="0"/>
          <w:numId w:val="96"/>
        </w:numPr>
        <w:tabs>
          <w:tab w:val="left" w:pos="1101"/>
        </w:tabs>
        <w:spacing w:before="4" w:line="252" w:lineRule="auto"/>
        <w:ind w:right="125" w:firstLine="284"/>
        <w:jc w:val="both"/>
        <w:rPr>
          <w:sz w:val="21"/>
        </w:rPr>
      </w:pPr>
      <w:r>
        <w:rPr>
          <w:color w:val="231F20"/>
          <w:sz w:val="21"/>
        </w:rPr>
        <w:t>у</w:t>
      </w:r>
      <w:r>
        <w:rPr>
          <w:color w:val="231F20"/>
          <w:spacing w:val="-13"/>
          <w:sz w:val="21"/>
        </w:rPr>
        <w:t xml:space="preserve"> </w:t>
      </w:r>
      <w:r>
        <w:rPr>
          <w:color w:val="231F20"/>
          <w:sz w:val="21"/>
        </w:rPr>
        <w:t>разі</w:t>
      </w:r>
      <w:r>
        <w:rPr>
          <w:color w:val="231F20"/>
          <w:spacing w:val="-13"/>
          <w:sz w:val="21"/>
        </w:rPr>
        <w:t xml:space="preserve"> </w:t>
      </w:r>
      <w:r>
        <w:rPr>
          <w:color w:val="231F20"/>
          <w:sz w:val="21"/>
        </w:rPr>
        <w:t>незгоди</w:t>
      </w:r>
      <w:r>
        <w:rPr>
          <w:color w:val="231F20"/>
          <w:spacing w:val="-13"/>
          <w:sz w:val="21"/>
        </w:rPr>
        <w:t xml:space="preserve"> </w:t>
      </w:r>
      <w:r>
        <w:rPr>
          <w:color w:val="231F20"/>
          <w:sz w:val="21"/>
        </w:rPr>
        <w:t>державного</w:t>
      </w:r>
      <w:r>
        <w:rPr>
          <w:color w:val="231F20"/>
          <w:spacing w:val="-13"/>
          <w:sz w:val="21"/>
        </w:rPr>
        <w:t xml:space="preserve"> </w:t>
      </w:r>
      <w:r>
        <w:rPr>
          <w:color w:val="231F20"/>
          <w:sz w:val="21"/>
        </w:rPr>
        <w:t>службовця</w:t>
      </w:r>
      <w:r>
        <w:rPr>
          <w:color w:val="231F20"/>
          <w:spacing w:val="-13"/>
          <w:sz w:val="21"/>
        </w:rPr>
        <w:t xml:space="preserve"> </w:t>
      </w:r>
      <w:r>
        <w:rPr>
          <w:color w:val="231F20"/>
          <w:sz w:val="21"/>
        </w:rPr>
        <w:t>на</w:t>
      </w:r>
      <w:r>
        <w:rPr>
          <w:color w:val="231F20"/>
          <w:spacing w:val="-13"/>
          <w:sz w:val="21"/>
        </w:rPr>
        <w:t xml:space="preserve"> </w:t>
      </w:r>
      <w:r>
        <w:rPr>
          <w:color w:val="231F20"/>
          <w:sz w:val="21"/>
        </w:rPr>
        <w:t>проходження</w:t>
      </w:r>
      <w:r>
        <w:rPr>
          <w:color w:val="231F20"/>
          <w:spacing w:val="-13"/>
          <w:sz w:val="21"/>
        </w:rPr>
        <w:t xml:space="preserve"> </w:t>
      </w:r>
      <w:r>
        <w:rPr>
          <w:color w:val="231F20"/>
          <w:sz w:val="21"/>
        </w:rPr>
        <w:t>держав- ної</w:t>
      </w:r>
      <w:r>
        <w:rPr>
          <w:color w:val="231F20"/>
          <w:spacing w:val="-11"/>
          <w:sz w:val="21"/>
        </w:rPr>
        <w:t xml:space="preserve"> </w:t>
      </w:r>
      <w:r>
        <w:rPr>
          <w:color w:val="231F20"/>
          <w:sz w:val="21"/>
        </w:rPr>
        <w:t>служби</w:t>
      </w:r>
      <w:r>
        <w:rPr>
          <w:color w:val="231F20"/>
          <w:spacing w:val="-11"/>
          <w:sz w:val="21"/>
        </w:rPr>
        <w:t xml:space="preserve"> </w:t>
      </w:r>
      <w:r>
        <w:rPr>
          <w:color w:val="231F20"/>
          <w:sz w:val="21"/>
        </w:rPr>
        <w:t>у</w:t>
      </w:r>
      <w:r>
        <w:rPr>
          <w:color w:val="231F20"/>
          <w:spacing w:val="-11"/>
          <w:sz w:val="21"/>
        </w:rPr>
        <w:t xml:space="preserve"> </w:t>
      </w:r>
      <w:r>
        <w:rPr>
          <w:color w:val="231F20"/>
          <w:sz w:val="21"/>
        </w:rPr>
        <w:t>зв’язку</w:t>
      </w:r>
      <w:r>
        <w:rPr>
          <w:color w:val="231F20"/>
          <w:spacing w:val="-11"/>
          <w:sz w:val="21"/>
        </w:rPr>
        <w:t xml:space="preserve"> </w:t>
      </w:r>
      <w:r>
        <w:rPr>
          <w:color w:val="231F20"/>
          <w:sz w:val="21"/>
        </w:rPr>
        <w:t>зі</w:t>
      </w:r>
      <w:r>
        <w:rPr>
          <w:color w:val="231F20"/>
          <w:spacing w:val="-11"/>
          <w:sz w:val="21"/>
        </w:rPr>
        <w:t xml:space="preserve"> </w:t>
      </w:r>
      <w:r>
        <w:rPr>
          <w:color w:val="231F20"/>
          <w:sz w:val="21"/>
        </w:rPr>
        <w:t>зміною</w:t>
      </w:r>
      <w:r>
        <w:rPr>
          <w:color w:val="231F20"/>
          <w:spacing w:val="-11"/>
          <w:sz w:val="21"/>
        </w:rPr>
        <w:t xml:space="preserve"> </w:t>
      </w:r>
      <w:r>
        <w:rPr>
          <w:color w:val="231F20"/>
          <w:sz w:val="21"/>
        </w:rPr>
        <w:t>її</w:t>
      </w:r>
      <w:r>
        <w:rPr>
          <w:color w:val="231F20"/>
          <w:spacing w:val="-11"/>
          <w:sz w:val="21"/>
        </w:rPr>
        <w:t xml:space="preserve"> </w:t>
      </w:r>
      <w:r>
        <w:rPr>
          <w:color w:val="231F20"/>
          <w:sz w:val="21"/>
        </w:rPr>
        <w:t>істотних</w:t>
      </w:r>
      <w:r>
        <w:rPr>
          <w:color w:val="231F20"/>
          <w:spacing w:val="-11"/>
          <w:sz w:val="21"/>
        </w:rPr>
        <w:t xml:space="preserve"> </w:t>
      </w:r>
      <w:r>
        <w:rPr>
          <w:color w:val="231F20"/>
          <w:sz w:val="21"/>
        </w:rPr>
        <w:t>умов</w:t>
      </w:r>
      <w:r>
        <w:rPr>
          <w:color w:val="231F20"/>
          <w:spacing w:val="-11"/>
          <w:sz w:val="21"/>
        </w:rPr>
        <w:t xml:space="preserve"> </w:t>
      </w:r>
      <w:r>
        <w:rPr>
          <w:color w:val="231F20"/>
          <w:sz w:val="21"/>
        </w:rPr>
        <w:t>(зміною</w:t>
      </w:r>
      <w:r>
        <w:rPr>
          <w:color w:val="231F20"/>
          <w:spacing w:val="-11"/>
          <w:sz w:val="21"/>
        </w:rPr>
        <w:t xml:space="preserve"> </w:t>
      </w:r>
      <w:r>
        <w:rPr>
          <w:color w:val="231F20"/>
          <w:sz w:val="21"/>
        </w:rPr>
        <w:t>істотних</w:t>
      </w:r>
      <w:r>
        <w:rPr>
          <w:color w:val="231F20"/>
          <w:spacing w:val="-11"/>
          <w:sz w:val="21"/>
        </w:rPr>
        <w:t xml:space="preserve"> </w:t>
      </w:r>
      <w:r>
        <w:rPr>
          <w:color w:val="231F20"/>
          <w:sz w:val="21"/>
        </w:rPr>
        <w:t>умов державної служби вважається зміна: належності посади державної служби до певної категорії посад; основних посадових обов’язків; умов (системи та розмірів) оплати праці або соціально-побутового забезпечення; режиму служби, встановлення або скасування н</w:t>
      </w:r>
      <w:r>
        <w:rPr>
          <w:color w:val="231F20"/>
          <w:sz w:val="21"/>
        </w:rPr>
        <w:t>епов- ного робочого часу; місця розташування державного органу (в разі його переміщення до іншого населеного</w:t>
      </w:r>
      <w:r>
        <w:rPr>
          <w:color w:val="231F20"/>
          <w:spacing w:val="-1"/>
          <w:sz w:val="21"/>
        </w:rPr>
        <w:t xml:space="preserve"> </w:t>
      </w:r>
      <w:r>
        <w:rPr>
          <w:color w:val="231F20"/>
          <w:sz w:val="21"/>
        </w:rPr>
        <w:t>пункту);</w:t>
      </w:r>
    </w:p>
    <w:p w14:paraId="2F4F42F3" w14:textId="77777777" w:rsidR="00DE575E" w:rsidRDefault="002E7560">
      <w:pPr>
        <w:pStyle w:val="ListParagraph"/>
        <w:numPr>
          <w:ilvl w:val="0"/>
          <w:numId w:val="96"/>
        </w:numPr>
        <w:tabs>
          <w:tab w:val="left" w:pos="1101"/>
        </w:tabs>
        <w:spacing w:before="4" w:line="252" w:lineRule="auto"/>
        <w:ind w:right="128" w:firstLine="284"/>
        <w:jc w:val="both"/>
        <w:rPr>
          <w:sz w:val="21"/>
        </w:rPr>
      </w:pPr>
      <w:r>
        <w:rPr>
          <w:color w:val="231F20"/>
          <w:sz w:val="21"/>
        </w:rPr>
        <w:t xml:space="preserve">у разі досягнення державним службовцем 65-річного </w:t>
      </w:r>
      <w:r>
        <w:rPr>
          <w:color w:val="231F20"/>
          <w:spacing w:val="-4"/>
          <w:sz w:val="21"/>
        </w:rPr>
        <w:t xml:space="preserve">віку, </w:t>
      </w:r>
      <w:r>
        <w:rPr>
          <w:color w:val="231F20"/>
          <w:sz w:val="21"/>
        </w:rPr>
        <w:t>якщо інше не передбачено</w:t>
      </w:r>
      <w:r>
        <w:rPr>
          <w:color w:val="231F20"/>
          <w:spacing w:val="-1"/>
          <w:sz w:val="21"/>
        </w:rPr>
        <w:t xml:space="preserve"> </w:t>
      </w:r>
      <w:r>
        <w:rPr>
          <w:color w:val="231F20"/>
          <w:sz w:val="21"/>
        </w:rPr>
        <w:t>законом;</w:t>
      </w:r>
    </w:p>
    <w:p w14:paraId="0EC83940" w14:textId="77777777" w:rsidR="00DE575E" w:rsidRDefault="002E7560">
      <w:pPr>
        <w:pStyle w:val="ListParagraph"/>
        <w:numPr>
          <w:ilvl w:val="0"/>
          <w:numId w:val="96"/>
        </w:numPr>
        <w:tabs>
          <w:tab w:val="left" w:pos="1101"/>
        </w:tabs>
        <w:ind w:firstLine="284"/>
        <w:rPr>
          <w:sz w:val="21"/>
        </w:rPr>
      </w:pPr>
      <w:r>
        <w:rPr>
          <w:color w:val="231F20"/>
          <w:sz w:val="21"/>
        </w:rPr>
        <w:t>у</w:t>
      </w:r>
      <w:r>
        <w:rPr>
          <w:color w:val="231F20"/>
          <w:spacing w:val="18"/>
          <w:sz w:val="21"/>
        </w:rPr>
        <w:t xml:space="preserve"> </w:t>
      </w:r>
      <w:r>
        <w:rPr>
          <w:color w:val="231F20"/>
          <w:sz w:val="21"/>
        </w:rPr>
        <w:t>разі</w:t>
      </w:r>
      <w:r>
        <w:rPr>
          <w:color w:val="231F20"/>
          <w:spacing w:val="18"/>
          <w:sz w:val="21"/>
        </w:rPr>
        <w:t xml:space="preserve"> </w:t>
      </w:r>
      <w:r>
        <w:rPr>
          <w:color w:val="231F20"/>
          <w:sz w:val="21"/>
        </w:rPr>
        <w:t>застосування</w:t>
      </w:r>
      <w:r>
        <w:rPr>
          <w:color w:val="231F20"/>
          <w:spacing w:val="18"/>
          <w:sz w:val="21"/>
        </w:rPr>
        <w:t xml:space="preserve"> </w:t>
      </w:r>
      <w:r>
        <w:rPr>
          <w:color w:val="231F20"/>
          <w:sz w:val="21"/>
        </w:rPr>
        <w:t>заборони,</w:t>
      </w:r>
      <w:r>
        <w:rPr>
          <w:color w:val="231F20"/>
          <w:spacing w:val="18"/>
          <w:sz w:val="21"/>
        </w:rPr>
        <w:t xml:space="preserve"> </w:t>
      </w:r>
      <w:r>
        <w:rPr>
          <w:color w:val="231F20"/>
          <w:sz w:val="21"/>
        </w:rPr>
        <w:t>передбаченої</w:t>
      </w:r>
      <w:r>
        <w:rPr>
          <w:color w:val="231F20"/>
          <w:spacing w:val="18"/>
          <w:sz w:val="21"/>
        </w:rPr>
        <w:t xml:space="preserve"> </w:t>
      </w:r>
      <w:r>
        <w:rPr>
          <w:color w:val="231F20"/>
          <w:sz w:val="21"/>
        </w:rPr>
        <w:t>Закон</w:t>
      </w:r>
      <w:r>
        <w:rPr>
          <w:color w:val="231F20"/>
          <w:sz w:val="21"/>
        </w:rPr>
        <w:t>ом</w:t>
      </w:r>
      <w:r>
        <w:rPr>
          <w:color w:val="231F20"/>
          <w:spacing w:val="18"/>
          <w:sz w:val="21"/>
        </w:rPr>
        <w:t xml:space="preserve"> </w:t>
      </w:r>
      <w:r>
        <w:rPr>
          <w:color w:val="231F20"/>
          <w:spacing w:val="-3"/>
          <w:sz w:val="21"/>
        </w:rPr>
        <w:t>України</w:t>
      </w:r>
    </w:p>
    <w:p w14:paraId="3248FEFA" w14:textId="77777777" w:rsidR="00DE575E" w:rsidRDefault="002E7560">
      <w:pPr>
        <w:pStyle w:val="BodyText"/>
        <w:spacing w:before="13"/>
        <w:ind w:left="533"/>
      </w:pPr>
      <w:r>
        <w:rPr>
          <w:color w:val="231F20"/>
        </w:rPr>
        <w:t>«Про очищення влади»;</w:t>
      </w:r>
    </w:p>
    <w:p w14:paraId="356A9589" w14:textId="77777777" w:rsidR="00DE575E" w:rsidRDefault="002E7560">
      <w:pPr>
        <w:pStyle w:val="ListParagraph"/>
        <w:numPr>
          <w:ilvl w:val="0"/>
          <w:numId w:val="96"/>
        </w:numPr>
        <w:tabs>
          <w:tab w:val="left" w:pos="1101"/>
        </w:tabs>
        <w:spacing w:before="13" w:line="252" w:lineRule="auto"/>
        <w:ind w:right="126" w:firstLine="284"/>
        <w:jc w:val="both"/>
        <w:rPr>
          <w:sz w:val="21"/>
        </w:rPr>
      </w:pPr>
      <w:r>
        <w:rPr>
          <w:color w:val="231F20"/>
          <w:sz w:val="21"/>
        </w:rPr>
        <w:t>з підстав, які передбачено контрактом про проходження державної служби (у разі</w:t>
      </w:r>
      <w:r>
        <w:rPr>
          <w:color w:val="231F20"/>
          <w:spacing w:val="-3"/>
          <w:sz w:val="21"/>
        </w:rPr>
        <w:t xml:space="preserve"> </w:t>
      </w:r>
      <w:r>
        <w:rPr>
          <w:color w:val="231F20"/>
          <w:sz w:val="21"/>
        </w:rPr>
        <w:t>укладення);</w:t>
      </w:r>
    </w:p>
    <w:p w14:paraId="54F78501" w14:textId="77777777" w:rsidR="00DE575E" w:rsidRDefault="002E7560">
      <w:pPr>
        <w:pStyle w:val="ListParagraph"/>
        <w:numPr>
          <w:ilvl w:val="0"/>
          <w:numId w:val="96"/>
        </w:numPr>
        <w:tabs>
          <w:tab w:val="left" w:pos="1101"/>
        </w:tabs>
        <w:spacing w:line="252" w:lineRule="auto"/>
        <w:ind w:right="127" w:firstLine="284"/>
        <w:jc w:val="both"/>
        <w:rPr>
          <w:sz w:val="21"/>
        </w:rPr>
      </w:pPr>
      <w:r>
        <w:rPr>
          <w:color w:val="231F20"/>
          <w:sz w:val="21"/>
        </w:rPr>
        <w:t>незалежно від волі сторін (наприклад, поновлення на посаді державної служби особи, яка раніше її займала; неможливість вико- нання державним службовцем службових обов’язків за станом здоров’я за наявності медичного висновку, порядок надання якого визначаєт</w:t>
      </w:r>
      <w:r>
        <w:rPr>
          <w:color w:val="231F20"/>
          <w:sz w:val="21"/>
        </w:rPr>
        <w:t>ься центральним органом виконавчої влади, що забезпе- чує формування та реалізує державну політику у сфері державної служби, та центральним органом виконавчої влади, що забезпечує формування</w:t>
      </w:r>
      <w:r>
        <w:rPr>
          <w:color w:val="231F20"/>
          <w:spacing w:val="-20"/>
          <w:sz w:val="21"/>
        </w:rPr>
        <w:t xml:space="preserve"> </w:t>
      </w:r>
      <w:r>
        <w:rPr>
          <w:color w:val="231F20"/>
          <w:sz w:val="21"/>
        </w:rPr>
        <w:t>та</w:t>
      </w:r>
      <w:r>
        <w:rPr>
          <w:color w:val="231F20"/>
          <w:spacing w:val="-20"/>
          <w:sz w:val="21"/>
        </w:rPr>
        <w:t xml:space="preserve"> </w:t>
      </w:r>
      <w:r>
        <w:rPr>
          <w:color w:val="231F20"/>
          <w:sz w:val="21"/>
        </w:rPr>
        <w:t>реалізує</w:t>
      </w:r>
      <w:r>
        <w:rPr>
          <w:color w:val="231F20"/>
          <w:spacing w:val="-20"/>
          <w:sz w:val="21"/>
        </w:rPr>
        <w:t xml:space="preserve"> </w:t>
      </w:r>
      <w:r>
        <w:rPr>
          <w:color w:val="231F20"/>
          <w:sz w:val="21"/>
        </w:rPr>
        <w:t>державну</w:t>
      </w:r>
      <w:r>
        <w:rPr>
          <w:color w:val="231F20"/>
          <w:spacing w:val="-20"/>
          <w:sz w:val="21"/>
        </w:rPr>
        <w:t xml:space="preserve"> </w:t>
      </w:r>
      <w:r>
        <w:rPr>
          <w:color w:val="231F20"/>
          <w:sz w:val="21"/>
        </w:rPr>
        <w:t>політику</w:t>
      </w:r>
      <w:r>
        <w:rPr>
          <w:color w:val="231F20"/>
          <w:spacing w:val="-20"/>
          <w:sz w:val="21"/>
        </w:rPr>
        <w:t xml:space="preserve"> </w:t>
      </w:r>
      <w:r>
        <w:rPr>
          <w:color w:val="231F20"/>
          <w:sz w:val="21"/>
        </w:rPr>
        <w:t>у</w:t>
      </w:r>
      <w:r>
        <w:rPr>
          <w:color w:val="231F20"/>
          <w:spacing w:val="-20"/>
          <w:sz w:val="21"/>
        </w:rPr>
        <w:t xml:space="preserve"> </w:t>
      </w:r>
      <w:r>
        <w:rPr>
          <w:color w:val="231F20"/>
          <w:sz w:val="21"/>
        </w:rPr>
        <w:t>сфері</w:t>
      </w:r>
      <w:r>
        <w:rPr>
          <w:color w:val="231F20"/>
          <w:spacing w:val="-20"/>
          <w:sz w:val="21"/>
        </w:rPr>
        <w:t xml:space="preserve"> </w:t>
      </w:r>
      <w:r>
        <w:rPr>
          <w:color w:val="231F20"/>
          <w:sz w:val="21"/>
        </w:rPr>
        <w:t>охорони</w:t>
      </w:r>
      <w:r>
        <w:rPr>
          <w:color w:val="231F20"/>
          <w:spacing w:val="-20"/>
          <w:sz w:val="21"/>
        </w:rPr>
        <w:t xml:space="preserve"> </w:t>
      </w:r>
      <w:r>
        <w:rPr>
          <w:color w:val="231F20"/>
          <w:sz w:val="21"/>
        </w:rPr>
        <w:t xml:space="preserve">здоров’я; набрання </w:t>
      </w:r>
      <w:r>
        <w:rPr>
          <w:color w:val="231F20"/>
          <w:sz w:val="21"/>
        </w:rPr>
        <w:t xml:space="preserve">законної сили рішенням </w:t>
      </w:r>
      <w:r>
        <w:rPr>
          <w:color w:val="231F20"/>
          <w:spacing w:val="-4"/>
          <w:sz w:val="21"/>
        </w:rPr>
        <w:t xml:space="preserve">суду </w:t>
      </w:r>
      <w:r>
        <w:rPr>
          <w:color w:val="231F20"/>
          <w:sz w:val="21"/>
        </w:rPr>
        <w:t>про визнання особи недієз- датною або про обмеження дієздатності особи; визнання держав- ного службовця безвісно відсутнім чи оголошення його померлим; обрання на виборну посаду до органу державної влади або органу місцевого сам</w:t>
      </w:r>
      <w:r>
        <w:rPr>
          <w:color w:val="231F20"/>
          <w:sz w:val="21"/>
        </w:rPr>
        <w:t>оврядування з дня набуття повноважень; смерть державного</w:t>
      </w:r>
      <w:r>
        <w:rPr>
          <w:color w:val="231F20"/>
          <w:spacing w:val="-1"/>
          <w:sz w:val="21"/>
        </w:rPr>
        <w:t xml:space="preserve"> </w:t>
      </w:r>
      <w:r>
        <w:rPr>
          <w:color w:val="231F20"/>
          <w:sz w:val="21"/>
        </w:rPr>
        <w:t>службовця).</w:t>
      </w:r>
    </w:p>
    <w:p w14:paraId="36B66835" w14:textId="77777777" w:rsidR="00DE575E" w:rsidRDefault="002E7560">
      <w:pPr>
        <w:pStyle w:val="BodyText"/>
        <w:spacing w:before="7" w:line="252" w:lineRule="auto"/>
        <w:ind w:left="533" w:right="128" w:firstLine="283"/>
        <w:jc w:val="both"/>
      </w:pPr>
      <w:r>
        <w:rPr>
          <w:color w:val="231F20"/>
        </w:rPr>
        <w:t>Загалом для правовідносин, пов’язаних із припиненням держав- ної служби, характерним є те, що для них застосовується виключно</w:t>
      </w:r>
    </w:p>
    <w:p w14:paraId="0EC881DD" w14:textId="77777777" w:rsidR="00DE575E" w:rsidRDefault="00DE575E">
      <w:pPr>
        <w:pStyle w:val="BodyText"/>
        <w:spacing w:before="5"/>
        <w:rPr>
          <w:sz w:val="12"/>
        </w:rPr>
      </w:pPr>
    </w:p>
    <w:p w14:paraId="3D2AAF23" w14:textId="77777777" w:rsidR="00DE575E" w:rsidRDefault="002E7560">
      <w:pPr>
        <w:spacing w:before="92"/>
        <w:ind w:left="533"/>
        <w:rPr>
          <w:rFonts w:ascii="Times New Roman"/>
          <w:sz w:val="20"/>
        </w:rPr>
      </w:pPr>
      <w:r>
        <w:rPr>
          <w:rFonts w:ascii="Times New Roman"/>
          <w:color w:val="231F20"/>
          <w:sz w:val="20"/>
        </w:rPr>
        <w:t>382</w:t>
      </w:r>
    </w:p>
    <w:p w14:paraId="298D9FDE" w14:textId="77777777" w:rsidR="00DE575E" w:rsidRDefault="00DE575E">
      <w:pPr>
        <w:rPr>
          <w:rFonts w:ascii="Times New Roman"/>
          <w:sz w:val="20"/>
        </w:rPr>
        <w:sectPr w:rsidR="00DE575E">
          <w:pgSz w:w="8510" w:h="12760"/>
          <w:pgMar w:top="660" w:right="720" w:bottom="280" w:left="600" w:header="720" w:footer="720" w:gutter="0"/>
          <w:cols w:space="720"/>
        </w:sectPr>
      </w:pPr>
    </w:p>
    <w:p w14:paraId="393ACC6F" w14:textId="77777777" w:rsidR="00DE575E" w:rsidRDefault="002E7560">
      <w:pPr>
        <w:spacing w:before="72" w:line="249" w:lineRule="auto"/>
        <w:ind w:left="2523" w:right="391" w:firstLine="226"/>
        <w:rPr>
          <w:rFonts w:ascii="AdonisC" w:hAnsi="AdonisC"/>
          <w:i/>
          <w:sz w:val="18"/>
        </w:rPr>
      </w:pPr>
      <w:r>
        <w:rPr>
          <w:rFonts w:ascii="AdonisC" w:hAnsi="AdonisC"/>
          <w:i/>
          <w:color w:val="231F20"/>
          <w:sz w:val="18"/>
        </w:rPr>
        <w:t>Глава ІІ Особливе адміністративне право/ Книга І Розділ 2. Юридичний статус державного службовця</w:t>
      </w:r>
    </w:p>
    <w:p w14:paraId="1FC18E6D" w14:textId="260F2EF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61E8F58" wp14:editId="21E33FB1">
                <wp:extent cx="4140200" cy="6350"/>
                <wp:effectExtent l="0" t="0" r="12700" b="6350"/>
                <wp:docPr id="44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46" name="Line 4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7AA808" id="Group_x0020_4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dqhCJ/AgAAmAUAAA4A&#10;AAAAAAAAAAAAAAAALAIAAGRycy9lMm9Eb2MueG1sUEsBAi0AFAAGAAgAAAAhAEynsJDZAAAAAwEA&#10;AA8AAAAAAAAAAAAAAAAA1wQAAGRycy9kb3ducmV2LnhtbFBLBQYAAAAABAAEAPMAAADdBQAAAAA=&#10;">
                <v:line id="Line_x0020_4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Vu3sYAAADcAAAADwAAAGRycy9kb3ducmV2LnhtbESP3WrCQBSE7wt9h+UUvCl14w9SUlcR&#10;QRAv/Esf4Jg9TUJ3z8bsaqJP3y0IXg4z8w0znXfWiCs1vnKsYNBPQBDnTldcKPjOVh+fIHxA1mgc&#10;k4IbeZjPXl+mmGrX8oGux1CICGGfooIyhDqV0uclWfR9VxNH78c1FkOUTSF1g22EWyOHSTKRFiuO&#10;CyXWtCwp/z1erILs/B7MfrcxbbY7jeTpvB3dL1ulem/d4gtEoC48w4/2WisYjyfwfyYe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lbt7GAAAA3AAAAA8AAAAAAAAA&#10;AAAAAAAAoQIAAGRycy9kb3ducmV2LnhtbFBLBQYAAAAABAAEAPkAAACUAwAAAAA=&#10;" strokecolor="#231f20" strokeweight=".5pt"/>
                <w10:anchorlock/>
              </v:group>
            </w:pict>
          </mc:Fallback>
        </mc:AlternateContent>
      </w:r>
    </w:p>
    <w:p w14:paraId="5F81A5BE" w14:textId="77777777" w:rsidR="00DE575E" w:rsidRDefault="00DE575E">
      <w:pPr>
        <w:pStyle w:val="BodyText"/>
        <w:spacing w:before="7"/>
        <w:rPr>
          <w:rFonts w:ascii="AdonisC"/>
          <w:i/>
          <w:sz w:val="19"/>
        </w:rPr>
      </w:pPr>
    </w:p>
    <w:p w14:paraId="0BC04211" w14:textId="77777777" w:rsidR="00DE575E" w:rsidRDefault="002E7560">
      <w:pPr>
        <w:pStyle w:val="BodyText"/>
        <w:spacing w:before="1" w:line="252" w:lineRule="auto"/>
        <w:ind w:left="250" w:right="410"/>
        <w:jc w:val="both"/>
      </w:pPr>
      <w:r>
        <w:rPr>
          <w:color w:val="231F20"/>
        </w:rPr>
        <w:t>метод нормативного регулювання, а не метод договірного регулю- вання;</w:t>
      </w:r>
      <w:r>
        <w:rPr>
          <w:color w:val="231F20"/>
          <w:spacing w:val="-10"/>
        </w:rPr>
        <w:t xml:space="preserve"> </w:t>
      </w:r>
      <w:r>
        <w:rPr>
          <w:color w:val="231F20"/>
        </w:rPr>
        <w:t>державний</w:t>
      </w:r>
      <w:r>
        <w:rPr>
          <w:color w:val="231F20"/>
          <w:spacing w:val="-10"/>
        </w:rPr>
        <w:t xml:space="preserve"> </w:t>
      </w:r>
      <w:r>
        <w:rPr>
          <w:color w:val="231F20"/>
        </w:rPr>
        <w:t>службовець,</w:t>
      </w:r>
      <w:r>
        <w:rPr>
          <w:color w:val="231F20"/>
          <w:spacing w:val="-10"/>
        </w:rPr>
        <w:t xml:space="preserve"> </w:t>
      </w:r>
      <w:r>
        <w:rPr>
          <w:color w:val="231F20"/>
        </w:rPr>
        <w:t>в</w:t>
      </w:r>
      <w:r>
        <w:rPr>
          <w:color w:val="231F20"/>
        </w:rPr>
        <w:t>ирішуючи</w:t>
      </w:r>
      <w:r>
        <w:rPr>
          <w:color w:val="231F20"/>
          <w:spacing w:val="-10"/>
        </w:rPr>
        <w:t xml:space="preserve"> </w:t>
      </w:r>
      <w:r>
        <w:rPr>
          <w:color w:val="231F20"/>
        </w:rPr>
        <w:t>питання</w:t>
      </w:r>
      <w:r>
        <w:rPr>
          <w:color w:val="231F20"/>
          <w:spacing w:val="-10"/>
        </w:rPr>
        <w:t xml:space="preserve"> </w:t>
      </w:r>
      <w:r>
        <w:rPr>
          <w:color w:val="231F20"/>
        </w:rPr>
        <w:t>про</w:t>
      </w:r>
      <w:r>
        <w:rPr>
          <w:color w:val="231F20"/>
          <w:spacing w:val="-10"/>
        </w:rPr>
        <w:t xml:space="preserve"> </w:t>
      </w:r>
      <w:r>
        <w:rPr>
          <w:color w:val="231F20"/>
        </w:rPr>
        <w:t>припинення державної служби, водночас вирішує питання щодо припинення виконання ним завдань і функцій держави; їх зумовлює наявність обов’язкових</w:t>
      </w:r>
      <w:r>
        <w:rPr>
          <w:color w:val="231F20"/>
          <w:spacing w:val="-7"/>
        </w:rPr>
        <w:t xml:space="preserve"> </w:t>
      </w:r>
      <w:r>
        <w:rPr>
          <w:color w:val="231F20"/>
        </w:rPr>
        <w:t>сторін,</w:t>
      </w:r>
      <w:r>
        <w:rPr>
          <w:color w:val="231F20"/>
          <w:spacing w:val="-7"/>
        </w:rPr>
        <w:t xml:space="preserve"> </w:t>
      </w:r>
      <w:r>
        <w:rPr>
          <w:color w:val="231F20"/>
        </w:rPr>
        <w:t>якими</w:t>
      </w:r>
      <w:r>
        <w:rPr>
          <w:color w:val="231F20"/>
          <w:spacing w:val="-7"/>
        </w:rPr>
        <w:t xml:space="preserve"> </w:t>
      </w:r>
      <w:r>
        <w:rPr>
          <w:color w:val="231F20"/>
        </w:rPr>
        <w:t>є</w:t>
      </w:r>
      <w:r>
        <w:rPr>
          <w:color w:val="231F20"/>
          <w:spacing w:val="-9"/>
        </w:rPr>
        <w:t xml:space="preserve"> </w:t>
      </w:r>
      <w:r>
        <w:rPr>
          <w:color w:val="231F20"/>
          <w:spacing w:val="-4"/>
        </w:rPr>
        <w:t>суб’єкт</w:t>
      </w:r>
      <w:r>
        <w:rPr>
          <w:color w:val="231F20"/>
          <w:spacing w:val="-7"/>
        </w:rPr>
        <w:t xml:space="preserve"> </w:t>
      </w:r>
      <w:r>
        <w:rPr>
          <w:color w:val="231F20"/>
        </w:rPr>
        <w:t>призначення</w:t>
      </w:r>
      <w:r>
        <w:rPr>
          <w:color w:val="231F20"/>
          <w:spacing w:val="-8"/>
        </w:rPr>
        <w:t xml:space="preserve"> </w:t>
      </w:r>
      <w:r>
        <w:rPr>
          <w:color w:val="231F20"/>
        </w:rPr>
        <w:t>і</w:t>
      </w:r>
      <w:r>
        <w:rPr>
          <w:color w:val="231F20"/>
          <w:spacing w:val="-8"/>
        </w:rPr>
        <w:t xml:space="preserve"> </w:t>
      </w:r>
      <w:r>
        <w:rPr>
          <w:color w:val="231F20"/>
        </w:rPr>
        <w:t>державний</w:t>
      </w:r>
      <w:r>
        <w:rPr>
          <w:color w:val="231F20"/>
          <w:spacing w:val="-7"/>
        </w:rPr>
        <w:t xml:space="preserve"> </w:t>
      </w:r>
      <w:r>
        <w:rPr>
          <w:color w:val="231F20"/>
        </w:rPr>
        <w:t>служ- бовець; вони можуть виникати за іні</w:t>
      </w:r>
      <w:r>
        <w:rPr>
          <w:color w:val="231F20"/>
        </w:rPr>
        <w:t xml:space="preserve">ціативи </w:t>
      </w:r>
      <w:r>
        <w:rPr>
          <w:color w:val="231F20"/>
          <w:spacing w:val="-3"/>
        </w:rPr>
        <w:t xml:space="preserve">суб’єкта </w:t>
      </w:r>
      <w:r>
        <w:rPr>
          <w:color w:val="231F20"/>
        </w:rPr>
        <w:t>призначення; державного</w:t>
      </w:r>
      <w:r>
        <w:rPr>
          <w:color w:val="231F20"/>
          <w:spacing w:val="-9"/>
        </w:rPr>
        <w:t xml:space="preserve"> </w:t>
      </w:r>
      <w:r>
        <w:rPr>
          <w:color w:val="231F20"/>
        </w:rPr>
        <w:t>службовця;</w:t>
      </w:r>
      <w:r>
        <w:rPr>
          <w:color w:val="231F20"/>
          <w:spacing w:val="-9"/>
        </w:rPr>
        <w:t xml:space="preserve"> </w:t>
      </w:r>
      <w:r>
        <w:rPr>
          <w:color w:val="231F20"/>
        </w:rPr>
        <w:t>іншого</w:t>
      </w:r>
      <w:r>
        <w:rPr>
          <w:color w:val="231F20"/>
          <w:spacing w:val="-8"/>
        </w:rPr>
        <w:t xml:space="preserve"> </w:t>
      </w:r>
      <w:r>
        <w:rPr>
          <w:color w:val="231F20"/>
        </w:rPr>
        <w:t>державного</w:t>
      </w:r>
      <w:r>
        <w:rPr>
          <w:color w:val="231F20"/>
          <w:spacing w:val="-9"/>
        </w:rPr>
        <w:t xml:space="preserve"> </w:t>
      </w:r>
      <w:r>
        <w:rPr>
          <w:color w:val="231F20"/>
          <w:spacing w:val="-3"/>
        </w:rPr>
        <w:t>органу,</w:t>
      </w:r>
      <w:r>
        <w:rPr>
          <w:color w:val="231F20"/>
          <w:spacing w:val="-9"/>
        </w:rPr>
        <w:t xml:space="preserve"> </w:t>
      </w:r>
      <w:r>
        <w:rPr>
          <w:color w:val="231F20"/>
        </w:rPr>
        <w:t>до</w:t>
      </w:r>
      <w:r>
        <w:rPr>
          <w:color w:val="231F20"/>
          <w:spacing w:val="-9"/>
        </w:rPr>
        <w:t xml:space="preserve"> </w:t>
      </w:r>
      <w:r>
        <w:rPr>
          <w:color w:val="231F20"/>
        </w:rPr>
        <w:t>кола</w:t>
      </w:r>
      <w:r>
        <w:rPr>
          <w:color w:val="231F20"/>
          <w:spacing w:val="-8"/>
        </w:rPr>
        <w:t xml:space="preserve"> </w:t>
      </w:r>
      <w:r>
        <w:rPr>
          <w:color w:val="231F20"/>
        </w:rPr>
        <w:t>повнова- жень якого віднесено питання припинення державної служби; та за інших обставин, визначених чинним</w:t>
      </w:r>
      <w:r>
        <w:rPr>
          <w:color w:val="231F20"/>
          <w:spacing w:val="-3"/>
        </w:rPr>
        <w:t xml:space="preserve"> </w:t>
      </w:r>
      <w:r>
        <w:rPr>
          <w:color w:val="231F20"/>
        </w:rPr>
        <w:t>законодавством.</w:t>
      </w:r>
    </w:p>
    <w:p w14:paraId="69B34A0F" w14:textId="77777777" w:rsidR="00DE575E" w:rsidRDefault="00DE575E">
      <w:pPr>
        <w:pStyle w:val="BodyText"/>
        <w:rPr>
          <w:sz w:val="24"/>
        </w:rPr>
      </w:pPr>
    </w:p>
    <w:p w14:paraId="1E2D1105" w14:textId="77777777" w:rsidR="00DE575E" w:rsidRDefault="00DE575E">
      <w:pPr>
        <w:pStyle w:val="BodyText"/>
        <w:spacing w:before="6"/>
        <w:rPr>
          <w:sz w:val="20"/>
        </w:rPr>
      </w:pPr>
    </w:p>
    <w:p w14:paraId="41F2B20D" w14:textId="77777777" w:rsidR="00DE575E" w:rsidRDefault="002E7560">
      <w:pPr>
        <w:pStyle w:val="Heading5"/>
        <w:ind w:left="496" w:right="658"/>
        <w:jc w:val="center"/>
      </w:pPr>
      <w:r>
        <w:rPr>
          <w:color w:val="231F20"/>
        </w:rPr>
        <w:t>Запитання і завдання</w:t>
      </w:r>
    </w:p>
    <w:p w14:paraId="16A57045" w14:textId="77777777" w:rsidR="00DE575E" w:rsidRDefault="00DE575E">
      <w:pPr>
        <w:pStyle w:val="BodyText"/>
        <w:spacing w:before="2"/>
        <w:rPr>
          <w:b/>
          <w:sz w:val="23"/>
        </w:rPr>
      </w:pPr>
    </w:p>
    <w:p w14:paraId="63D0CED9" w14:textId="77777777" w:rsidR="00DE575E" w:rsidRDefault="002E7560">
      <w:pPr>
        <w:pStyle w:val="ListParagraph"/>
        <w:numPr>
          <w:ilvl w:val="0"/>
          <w:numId w:val="95"/>
        </w:numPr>
        <w:tabs>
          <w:tab w:val="left" w:pos="818"/>
        </w:tabs>
        <w:spacing w:before="0"/>
        <w:ind w:firstLine="283"/>
        <w:rPr>
          <w:sz w:val="21"/>
        </w:rPr>
      </w:pPr>
      <w:r>
        <w:rPr>
          <w:color w:val="231F20"/>
          <w:sz w:val="21"/>
        </w:rPr>
        <w:t>У чому полягає зміст поняття «посада державної</w:t>
      </w:r>
      <w:r>
        <w:rPr>
          <w:color w:val="231F20"/>
          <w:spacing w:val="-6"/>
          <w:sz w:val="21"/>
        </w:rPr>
        <w:t xml:space="preserve"> </w:t>
      </w:r>
      <w:r>
        <w:rPr>
          <w:color w:val="231F20"/>
          <w:sz w:val="21"/>
        </w:rPr>
        <w:t>служби»?</w:t>
      </w:r>
    </w:p>
    <w:p w14:paraId="5C9C351F" w14:textId="77777777" w:rsidR="00DE575E" w:rsidRDefault="002E7560">
      <w:pPr>
        <w:pStyle w:val="ListParagraph"/>
        <w:numPr>
          <w:ilvl w:val="0"/>
          <w:numId w:val="95"/>
        </w:numPr>
        <w:tabs>
          <w:tab w:val="left" w:pos="818"/>
        </w:tabs>
        <w:spacing w:before="13"/>
        <w:ind w:firstLine="283"/>
        <w:rPr>
          <w:sz w:val="21"/>
        </w:rPr>
      </w:pPr>
      <w:r>
        <w:rPr>
          <w:color w:val="231F20"/>
          <w:sz w:val="21"/>
        </w:rPr>
        <w:t>У чому особливість прав та обов’язків державного</w:t>
      </w:r>
      <w:r>
        <w:rPr>
          <w:color w:val="231F20"/>
          <w:spacing w:val="-17"/>
          <w:sz w:val="21"/>
        </w:rPr>
        <w:t xml:space="preserve"> </w:t>
      </w:r>
      <w:r>
        <w:rPr>
          <w:color w:val="231F20"/>
          <w:sz w:val="21"/>
        </w:rPr>
        <w:t>службовця?</w:t>
      </w:r>
    </w:p>
    <w:p w14:paraId="6FAEBB61" w14:textId="77777777" w:rsidR="00DE575E" w:rsidRDefault="002E7560">
      <w:pPr>
        <w:pStyle w:val="ListParagraph"/>
        <w:numPr>
          <w:ilvl w:val="0"/>
          <w:numId w:val="95"/>
        </w:numPr>
        <w:tabs>
          <w:tab w:val="left" w:pos="818"/>
        </w:tabs>
        <w:spacing w:before="13" w:line="252" w:lineRule="auto"/>
        <w:ind w:right="411" w:firstLine="283"/>
        <w:rPr>
          <w:sz w:val="21"/>
        </w:rPr>
      </w:pPr>
      <w:r>
        <w:rPr>
          <w:color w:val="231F20"/>
          <w:sz w:val="21"/>
        </w:rPr>
        <w:t>З якого моменту особа набуває правового статусу державного службовця?</w:t>
      </w:r>
    </w:p>
    <w:p w14:paraId="1D575F44" w14:textId="77777777" w:rsidR="00DE575E" w:rsidRDefault="002E7560">
      <w:pPr>
        <w:pStyle w:val="ListParagraph"/>
        <w:numPr>
          <w:ilvl w:val="0"/>
          <w:numId w:val="95"/>
        </w:numPr>
        <w:tabs>
          <w:tab w:val="left" w:pos="818"/>
        </w:tabs>
        <w:spacing w:line="252" w:lineRule="auto"/>
        <w:ind w:right="411" w:firstLine="283"/>
        <w:rPr>
          <w:sz w:val="21"/>
        </w:rPr>
      </w:pPr>
      <w:r>
        <w:rPr>
          <w:color w:val="231F20"/>
          <w:sz w:val="21"/>
        </w:rPr>
        <w:t>Які</w:t>
      </w:r>
      <w:r>
        <w:rPr>
          <w:color w:val="231F20"/>
          <w:spacing w:val="-12"/>
          <w:sz w:val="21"/>
        </w:rPr>
        <w:t xml:space="preserve"> </w:t>
      </w:r>
      <w:r>
        <w:rPr>
          <w:color w:val="231F20"/>
          <w:sz w:val="21"/>
        </w:rPr>
        <w:t>підстави</w:t>
      </w:r>
      <w:r>
        <w:rPr>
          <w:color w:val="231F20"/>
          <w:spacing w:val="-12"/>
          <w:sz w:val="21"/>
        </w:rPr>
        <w:t xml:space="preserve"> </w:t>
      </w:r>
      <w:r>
        <w:rPr>
          <w:color w:val="231F20"/>
          <w:sz w:val="21"/>
        </w:rPr>
        <w:t>притягнення</w:t>
      </w:r>
      <w:r>
        <w:rPr>
          <w:color w:val="231F20"/>
          <w:spacing w:val="-12"/>
          <w:sz w:val="21"/>
        </w:rPr>
        <w:t xml:space="preserve"> </w:t>
      </w:r>
      <w:r>
        <w:rPr>
          <w:color w:val="231F20"/>
          <w:sz w:val="21"/>
        </w:rPr>
        <w:t>державного</w:t>
      </w:r>
      <w:r>
        <w:rPr>
          <w:color w:val="231F20"/>
          <w:spacing w:val="-12"/>
          <w:sz w:val="21"/>
        </w:rPr>
        <w:t xml:space="preserve"> </w:t>
      </w:r>
      <w:r>
        <w:rPr>
          <w:color w:val="231F20"/>
          <w:sz w:val="21"/>
        </w:rPr>
        <w:t>службовця</w:t>
      </w:r>
      <w:r>
        <w:rPr>
          <w:color w:val="231F20"/>
          <w:spacing w:val="-12"/>
          <w:sz w:val="21"/>
        </w:rPr>
        <w:t xml:space="preserve"> </w:t>
      </w:r>
      <w:r>
        <w:rPr>
          <w:color w:val="231F20"/>
          <w:sz w:val="21"/>
        </w:rPr>
        <w:t>до</w:t>
      </w:r>
      <w:r>
        <w:rPr>
          <w:color w:val="231F20"/>
          <w:spacing w:val="-12"/>
          <w:sz w:val="21"/>
        </w:rPr>
        <w:t xml:space="preserve"> </w:t>
      </w:r>
      <w:r>
        <w:rPr>
          <w:color w:val="231F20"/>
          <w:sz w:val="21"/>
        </w:rPr>
        <w:t>дисциплі- нарної відп</w:t>
      </w:r>
      <w:r>
        <w:rPr>
          <w:color w:val="231F20"/>
          <w:sz w:val="21"/>
        </w:rPr>
        <w:t>овідальності?</w:t>
      </w:r>
    </w:p>
    <w:p w14:paraId="3BEE8440" w14:textId="77777777" w:rsidR="00DE575E" w:rsidRDefault="002E7560">
      <w:pPr>
        <w:pStyle w:val="ListParagraph"/>
        <w:numPr>
          <w:ilvl w:val="0"/>
          <w:numId w:val="95"/>
        </w:numPr>
        <w:tabs>
          <w:tab w:val="left" w:pos="818"/>
        </w:tabs>
        <w:spacing w:line="252" w:lineRule="auto"/>
        <w:ind w:right="411" w:firstLine="283"/>
        <w:rPr>
          <w:sz w:val="21"/>
        </w:rPr>
      </w:pPr>
      <w:r>
        <w:rPr>
          <w:color w:val="231F20"/>
          <w:sz w:val="21"/>
        </w:rPr>
        <w:t>Які підстави притягнення державного службовця до матері- альної</w:t>
      </w:r>
      <w:r>
        <w:rPr>
          <w:color w:val="231F20"/>
          <w:spacing w:val="-2"/>
          <w:sz w:val="21"/>
        </w:rPr>
        <w:t xml:space="preserve"> </w:t>
      </w:r>
      <w:r>
        <w:rPr>
          <w:color w:val="231F20"/>
          <w:sz w:val="21"/>
        </w:rPr>
        <w:t>відповідальності?</w:t>
      </w:r>
    </w:p>
    <w:p w14:paraId="48546F34" w14:textId="77777777" w:rsidR="00DE575E" w:rsidRDefault="002E7560">
      <w:pPr>
        <w:pStyle w:val="ListParagraph"/>
        <w:numPr>
          <w:ilvl w:val="0"/>
          <w:numId w:val="95"/>
        </w:numPr>
        <w:tabs>
          <w:tab w:val="left" w:pos="818"/>
        </w:tabs>
        <w:ind w:firstLine="283"/>
        <w:rPr>
          <w:sz w:val="21"/>
        </w:rPr>
      </w:pPr>
      <w:r>
        <w:rPr>
          <w:color w:val="231F20"/>
          <w:sz w:val="21"/>
        </w:rPr>
        <w:t>У чому полягає сутність припинення державної</w:t>
      </w:r>
      <w:r>
        <w:rPr>
          <w:color w:val="231F20"/>
          <w:spacing w:val="-5"/>
          <w:sz w:val="21"/>
        </w:rPr>
        <w:t xml:space="preserve"> </w:t>
      </w:r>
      <w:r>
        <w:rPr>
          <w:color w:val="231F20"/>
          <w:sz w:val="21"/>
        </w:rPr>
        <w:t>служби.</w:t>
      </w:r>
    </w:p>
    <w:p w14:paraId="6A3B0391" w14:textId="77777777" w:rsidR="00DE575E" w:rsidRDefault="00DE575E">
      <w:pPr>
        <w:pStyle w:val="BodyText"/>
        <w:spacing w:before="2"/>
        <w:rPr>
          <w:sz w:val="23"/>
        </w:rPr>
      </w:pPr>
    </w:p>
    <w:p w14:paraId="7504BE2B" w14:textId="77777777" w:rsidR="00DE575E" w:rsidRDefault="002E7560">
      <w:pPr>
        <w:pStyle w:val="Heading5"/>
        <w:ind w:left="1494"/>
      </w:pPr>
      <w:r>
        <w:rPr>
          <w:color w:val="231F20"/>
        </w:rPr>
        <w:t>Література для поглибленого вивчення</w:t>
      </w:r>
    </w:p>
    <w:p w14:paraId="5200786C" w14:textId="77777777" w:rsidR="00DE575E" w:rsidRDefault="00DE575E">
      <w:pPr>
        <w:pStyle w:val="BodyText"/>
        <w:spacing w:before="2"/>
        <w:rPr>
          <w:b/>
          <w:sz w:val="23"/>
        </w:rPr>
      </w:pPr>
    </w:p>
    <w:p w14:paraId="7718AA5D" w14:textId="77777777" w:rsidR="00DE575E" w:rsidRDefault="002E7560">
      <w:pPr>
        <w:pStyle w:val="ListParagraph"/>
        <w:numPr>
          <w:ilvl w:val="0"/>
          <w:numId w:val="94"/>
        </w:numPr>
        <w:tabs>
          <w:tab w:val="left" w:pos="818"/>
        </w:tabs>
        <w:spacing w:before="0" w:line="252" w:lineRule="auto"/>
        <w:ind w:right="412" w:firstLine="283"/>
        <w:rPr>
          <w:sz w:val="21"/>
        </w:rPr>
      </w:pPr>
      <w:r>
        <w:rPr>
          <w:color w:val="231F20"/>
          <w:spacing w:val="-3"/>
          <w:sz w:val="21"/>
        </w:rPr>
        <w:t xml:space="preserve">Біла-Тіунова </w:t>
      </w:r>
      <w:r>
        <w:rPr>
          <w:color w:val="231F20"/>
          <w:spacing w:val="-7"/>
          <w:sz w:val="21"/>
        </w:rPr>
        <w:t>Л.Р.</w:t>
      </w:r>
      <w:r>
        <w:rPr>
          <w:color w:val="231F20"/>
          <w:spacing w:val="31"/>
          <w:sz w:val="21"/>
        </w:rPr>
        <w:t xml:space="preserve"> </w:t>
      </w:r>
      <w:r>
        <w:rPr>
          <w:color w:val="231F20"/>
          <w:sz w:val="21"/>
        </w:rPr>
        <w:t xml:space="preserve">Службова </w:t>
      </w:r>
      <w:r>
        <w:rPr>
          <w:color w:val="231F20"/>
          <w:spacing w:val="-5"/>
          <w:sz w:val="21"/>
        </w:rPr>
        <w:t xml:space="preserve">кар’єра </w:t>
      </w:r>
      <w:r>
        <w:rPr>
          <w:color w:val="231F20"/>
          <w:sz w:val="21"/>
        </w:rPr>
        <w:t xml:space="preserve">в </w:t>
      </w:r>
      <w:r>
        <w:rPr>
          <w:color w:val="231F20"/>
          <w:spacing w:val="-3"/>
          <w:sz w:val="21"/>
        </w:rPr>
        <w:t xml:space="preserve">Україні </w:t>
      </w:r>
      <w:r>
        <w:rPr>
          <w:color w:val="231F20"/>
          <w:sz w:val="21"/>
        </w:rPr>
        <w:t xml:space="preserve">: монографія / </w:t>
      </w:r>
      <w:r>
        <w:rPr>
          <w:color w:val="231F20"/>
          <w:spacing w:val="-3"/>
          <w:sz w:val="21"/>
        </w:rPr>
        <w:t xml:space="preserve">Біла-Тіунова </w:t>
      </w:r>
      <w:r>
        <w:rPr>
          <w:color w:val="231F20"/>
          <w:spacing w:val="-7"/>
          <w:sz w:val="21"/>
        </w:rPr>
        <w:t xml:space="preserve">Л.Р. </w:t>
      </w:r>
      <w:r>
        <w:rPr>
          <w:color w:val="231F20"/>
          <w:spacing w:val="-3"/>
          <w:sz w:val="21"/>
        </w:rPr>
        <w:t xml:space="preserve">О. </w:t>
      </w:r>
      <w:r>
        <w:rPr>
          <w:color w:val="231F20"/>
          <w:sz w:val="21"/>
        </w:rPr>
        <w:t>: Фенікс, 2011. 540</w:t>
      </w:r>
      <w:r>
        <w:rPr>
          <w:color w:val="231F20"/>
          <w:spacing w:val="8"/>
          <w:sz w:val="21"/>
        </w:rPr>
        <w:t xml:space="preserve"> </w:t>
      </w:r>
      <w:r>
        <w:rPr>
          <w:color w:val="231F20"/>
          <w:sz w:val="21"/>
        </w:rPr>
        <w:t>с.</w:t>
      </w:r>
    </w:p>
    <w:p w14:paraId="084C978B" w14:textId="77777777" w:rsidR="00DE575E" w:rsidRDefault="002E7560">
      <w:pPr>
        <w:pStyle w:val="ListParagraph"/>
        <w:numPr>
          <w:ilvl w:val="0"/>
          <w:numId w:val="94"/>
        </w:numPr>
        <w:tabs>
          <w:tab w:val="left" w:pos="818"/>
        </w:tabs>
        <w:spacing w:line="252" w:lineRule="auto"/>
        <w:ind w:right="411" w:firstLine="283"/>
        <w:jc w:val="both"/>
        <w:rPr>
          <w:sz w:val="21"/>
        </w:rPr>
      </w:pPr>
      <w:r>
        <w:rPr>
          <w:color w:val="231F20"/>
          <w:sz w:val="21"/>
        </w:rPr>
        <w:t xml:space="preserve">Даниленко  </w:t>
      </w:r>
      <w:r>
        <w:rPr>
          <w:color w:val="231F20"/>
          <w:spacing w:val="-3"/>
          <w:sz w:val="21"/>
        </w:rPr>
        <w:t xml:space="preserve">Ю.   </w:t>
      </w:r>
      <w:r>
        <w:rPr>
          <w:color w:val="231F20"/>
          <w:sz w:val="21"/>
        </w:rPr>
        <w:t>С.  Оцінювання  у  державній  службі:  теорія     і правове регулювання: дис.. … канд.. юрид наук : 12.00.07. Одеса, 2017. 200 с.</w:t>
      </w:r>
    </w:p>
    <w:p w14:paraId="7D5E5661" w14:textId="77777777" w:rsidR="00DE575E" w:rsidRDefault="002E7560">
      <w:pPr>
        <w:pStyle w:val="ListParagraph"/>
        <w:numPr>
          <w:ilvl w:val="0"/>
          <w:numId w:val="94"/>
        </w:numPr>
        <w:tabs>
          <w:tab w:val="left" w:pos="818"/>
        </w:tabs>
        <w:spacing w:before="2" w:line="252" w:lineRule="auto"/>
        <w:ind w:right="409" w:firstLine="283"/>
        <w:jc w:val="both"/>
        <w:rPr>
          <w:sz w:val="21"/>
        </w:rPr>
      </w:pPr>
      <w:r>
        <w:rPr>
          <w:color w:val="231F20"/>
          <w:sz w:val="21"/>
        </w:rPr>
        <w:t xml:space="preserve">Науково-практичний коментар до Закону </w:t>
      </w:r>
      <w:r>
        <w:rPr>
          <w:color w:val="231F20"/>
          <w:spacing w:val="-3"/>
          <w:sz w:val="21"/>
        </w:rPr>
        <w:t xml:space="preserve">України </w:t>
      </w:r>
      <w:r>
        <w:rPr>
          <w:color w:val="231F20"/>
          <w:sz w:val="21"/>
        </w:rPr>
        <w:t xml:space="preserve">«Про державну службу» / ред. кол.: </w:t>
      </w:r>
      <w:r>
        <w:rPr>
          <w:color w:val="231F20"/>
          <w:spacing w:val="-3"/>
          <w:sz w:val="21"/>
        </w:rPr>
        <w:t xml:space="preserve">К.О. </w:t>
      </w:r>
      <w:r>
        <w:rPr>
          <w:color w:val="231F20"/>
          <w:sz w:val="21"/>
        </w:rPr>
        <w:t>Ващенко, І.Б. Коліушко, В.П. Тимо- щук, В.А. Дерець (відп. ред.). К.: ФОП Москаленко О.М., 2017. 796 с. URL: https://pravo.org.ua/img/books/files/1513082951commentary% 20_layout_web.pdf</w:t>
      </w:r>
    </w:p>
    <w:p w14:paraId="2724D1DC" w14:textId="77777777" w:rsidR="00DE575E" w:rsidRDefault="00DE575E">
      <w:pPr>
        <w:pStyle w:val="BodyText"/>
        <w:rPr>
          <w:sz w:val="20"/>
        </w:rPr>
      </w:pPr>
    </w:p>
    <w:p w14:paraId="4A9399E5" w14:textId="77777777" w:rsidR="00DE575E" w:rsidRDefault="00DE575E">
      <w:pPr>
        <w:pStyle w:val="BodyText"/>
        <w:rPr>
          <w:sz w:val="20"/>
        </w:rPr>
      </w:pPr>
    </w:p>
    <w:p w14:paraId="1B83D024" w14:textId="77777777" w:rsidR="00DE575E" w:rsidRDefault="00DE575E">
      <w:pPr>
        <w:pStyle w:val="BodyText"/>
        <w:rPr>
          <w:sz w:val="20"/>
        </w:rPr>
      </w:pPr>
    </w:p>
    <w:p w14:paraId="2AD4C8C6" w14:textId="77777777" w:rsidR="00DE575E" w:rsidRDefault="00DE575E">
      <w:pPr>
        <w:pStyle w:val="BodyText"/>
        <w:rPr>
          <w:sz w:val="20"/>
        </w:rPr>
      </w:pPr>
    </w:p>
    <w:p w14:paraId="402729A6" w14:textId="77777777" w:rsidR="00DE575E" w:rsidRDefault="00DE575E">
      <w:pPr>
        <w:pStyle w:val="BodyText"/>
        <w:spacing w:before="11"/>
        <w:rPr>
          <w:sz w:val="20"/>
        </w:rPr>
      </w:pPr>
    </w:p>
    <w:p w14:paraId="3975975A" w14:textId="77777777" w:rsidR="00DE575E" w:rsidRDefault="002E7560">
      <w:pPr>
        <w:spacing w:before="92"/>
        <w:ind w:right="411"/>
        <w:jc w:val="right"/>
        <w:rPr>
          <w:rFonts w:ascii="Times New Roman"/>
          <w:sz w:val="20"/>
        </w:rPr>
      </w:pPr>
      <w:r>
        <w:rPr>
          <w:rFonts w:ascii="Times New Roman"/>
          <w:color w:val="231F20"/>
          <w:w w:val="90"/>
          <w:sz w:val="20"/>
        </w:rPr>
        <w:t>383</w:t>
      </w:r>
    </w:p>
    <w:p w14:paraId="6F3C2D9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2ACCD4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w:t>
      </w:r>
      <w:r>
        <w:rPr>
          <w:rFonts w:ascii="AdonisC" w:hAnsi="AdonisC"/>
          <w:i/>
          <w:color w:val="231F20"/>
          <w:sz w:val="18"/>
        </w:rPr>
        <w:t>тративне право України. Повний курс</w:t>
      </w:r>
    </w:p>
    <w:p w14:paraId="6A4CAA4F" w14:textId="022D0CB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D355DA5" wp14:editId="2FF9187C">
                <wp:extent cx="4140200" cy="6350"/>
                <wp:effectExtent l="0" t="0" r="12700" b="6350"/>
                <wp:docPr id="44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44" name="Line 4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41301" id="Group_x0020_4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g3YAy34CAACYBQAADgAA&#10;AAAAAAAAAAAAAAAsAgAAZHJzL2Uyb0RvYy54bWxQSwECLQAUAAYACAAAACEATKewkNkAAAADAQAA&#10;DwAAAAAAAAAAAAAAAADWBAAAZHJzL2Rvd25yZXYueG1sUEsFBgAAAAAEAAQA8wAAANwFAAAAAA==&#10;">
                <v:line id="Line_x0020_4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tVMsYAAADcAAAADwAAAGRycy9kb3ducmV2LnhtbESP3WrCQBSE7wu+w3KE3pS6aQ1SUleR&#10;giBe+Bcf4Jg9TYK7Z2N2NbFP3xUKvRxm5htmOu+tETdqfe1YwdsoAUFcOF1zqeCYL18/QPiArNE4&#10;JgV38jCfDZ6mmGnX8Z5uh1CKCGGfoYIqhCaT0hcVWfQj1xBH79u1FkOUbSl1i12EWyPfk2QiLdYc&#10;Fyps6Kui4ny4WgX55SWY3XZtunx7GsvTZTP+uW6Ueh72i08QgfrwH/5rr7SCNE3hcSYe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7VTLGAAAA3AAAAA8AAAAAAAAA&#10;AAAAAAAAoQIAAGRycy9kb3ducmV2LnhtbFBLBQYAAAAABAAEAPkAAACUAwAAAAA=&#10;" strokecolor="#231f20" strokeweight=".5pt"/>
                <w10:anchorlock/>
              </v:group>
            </w:pict>
          </mc:Fallback>
        </mc:AlternateContent>
      </w:r>
    </w:p>
    <w:p w14:paraId="1A2E807A" w14:textId="77777777" w:rsidR="00DE575E" w:rsidRDefault="00DE575E">
      <w:pPr>
        <w:pStyle w:val="BodyText"/>
        <w:rPr>
          <w:rFonts w:ascii="AdonisC"/>
          <w:i/>
          <w:sz w:val="18"/>
        </w:rPr>
      </w:pPr>
    </w:p>
    <w:p w14:paraId="050391C1" w14:textId="77777777" w:rsidR="00DE575E" w:rsidRDefault="002E7560">
      <w:pPr>
        <w:pStyle w:val="Heading2"/>
        <w:spacing w:before="1" w:line="300" w:lineRule="exact"/>
        <w:ind w:right="292"/>
        <w:jc w:val="center"/>
      </w:pPr>
      <w:r>
        <w:rPr>
          <w:color w:val="231F20"/>
        </w:rPr>
        <w:t>Розділ 3</w:t>
      </w:r>
    </w:p>
    <w:p w14:paraId="74FB4CE3" w14:textId="77777777" w:rsidR="00DE575E" w:rsidRDefault="002E7560">
      <w:pPr>
        <w:spacing w:line="314" w:lineRule="exact"/>
        <w:ind w:left="1630"/>
        <w:rPr>
          <w:b/>
          <w:sz w:val="28"/>
        </w:rPr>
      </w:pPr>
      <w:r>
        <w:rPr>
          <w:b/>
          <w:color w:val="231F20"/>
          <w:sz w:val="28"/>
        </w:rPr>
        <w:t>ПРАВОВИЙ СТАТУС СЛУЖБОВЦЯ</w:t>
      </w:r>
    </w:p>
    <w:p w14:paraId="67C18E02" w14:textId="77777777" w:rsidR="00DE575E" w:rsidRDefault="002E7560">
      <w:pPr>
        <w:spacing w:line="314" w:lineRule="exact"/>
        <w:ind w:left="970"/>
        <w:rPr>
          <w:b/>
          <w:sz w:val="16"/>
        </w:rPr>
      </w:pPr>
      <w:r>
        <w:rPr>
          <w:b/>
          <w:color w:val="231F20"/>
          <w:sz w:val="28"/>
        </w:rPr>
        <w:t>В ОРГАНІ МІСЦЕВОГО САМОВРЯДУВАННЯ</w:t>
      </w:r>
      <w:r>
        <w:rPr>
          <w:b/>
          <w:color w:val="231F20"/>
          <w:position w:val="9"/>
          <w:sz w:val="16"/>
        </w:rPr>
        <w:t>1</w:t>
      </w:r>
    </w:p>
    <w:p w14:paraId="0771D226" w14:textId="77777777" w:rsidR="00DE575E" w:rsidRDefault="00DE575E">
      <w:pPr>
        <w:pStyle w:val="BodyText"/>
        <w:rPr>
          <w:b/>
          <w:sz w:val="43"/>
        </w:rPr>
      </w:pPr>
    </w:p>
    <w:p w14:paraId="3497B31A" w14:textId="77777777" w:rsidR="00DE575E" w:rsidRDefault="002E7560">
      <w:pPr>
        <w:pStyle w:val="Heading4"/>
        <w:numPr>
          <w:ilvl w:val="1"/>
          <w:numId w:val="93"/>
        </w:numPr>
        <w:tabs>
          <w:tab w:val="left" w:pos="1014"/>
        </w:tabs>
        <w:ind w:right="195" w:hanging="49"/>
        <w:jc w:val="left"/>
      </w:pPr>
      <w:r>
        <w:rPr>
          <w:color w:val="231F20"/>
        </w:rPr>
        <w:t>Поняття службовця в органі місцевого</w:t>
      </w:r>
      <w:r>
        <w:rPr>
          <w:color w:val="231F20"/>
          <w:spacing w:val="-26"/>
        </w:rPr>
        <w:t xml:space="preserve"> </w:t>
      </w:r>
      <w:r>
        <w:rPr>
          <w:color w:val="231F20"/>
        </w:rPr>
        <w:t>самоврядування. Посади</w:t>
      </w:r>
      <w:r>
        <w:rPr>
          <w:color w:val="231F20"/>
          <w:spacing w:val="-6"/>
        </w:rPr>
        <w:t xml:space="preserve"> </w:t>
      </w:r>
      <w:r>
        <w:rPr>
          <w:color w:val="231F20"/>
        </w:rPr>
        <w:t>в</w:t>
      </w:r>
      <w:r>
        <w:rPr>
          <w:color w:val="231F20"/>
          <w:spacing w:val="-5"/>
        </w:rPr>
        <w:t xml:space="preserve"> </w:t>
      </w:r>
      <w:r>
        <w:rPr>
          <w:color w:val="231F20"/>
        </w:rPr>
        <w:t>органах</w:t>
      </w:r>
      <w:r>
        <w:rPr>
          <w:color w:val="231F20"/>
          <w:spacing w:val="-6"/>
        </w:rPr>
        <w:t xml:space="preserve"> </w:t>
      </w:r>
      <w:r>
        <w:rPr>
          <w:color w:val="231F20"/>
        </w:rPr>
        <w:t>місцевого</w:t>
      </w:r>
      <w:r>
        <w:rPr>
          <w:color w:val="231F20"/>
          <w:spacing w:val="-6"/>
        </w:rPr>
        <w:t xml:space="preserve"> </w:t>
      </w:r>
      <w:r>
        <w:rPr>
          <w:color w:val="231F20"/>
        </w:rPr>
        <w:t>самоврядування</w:t>
      </w:r>
      <w:r>
        <w:rPr>
          <w:color w:val="231F20"/>
          <w:spacing w:val="-5"/>
        </w:rPr>
        <w:t xml:space="preserve"> </w:t>
      </w:r>
      <w:r>
        <w:rPr>
          <w:color w:val="231F20"/>
        </w:rPr>
        <w:t>та</w:t>
      </w:r>
      <w:r>
        <w:rPr>
          <w:color w:val="231F20"/>
          <w:spacing w:val="-6"/>
        </w:rPr>
        <w:t xml:space="preserve"> </w:t>
      </w:r>
      <w:r>
        <w:rPr>
          <w:color w:val="231F20"/>
        </w:rPr>
        <w:t>їх</w:t>
      </w:r>
      <w:r>
        <w:rPr>
          <w:color w:val="231F20"/>
          <w:spacing w:val="-6"/>
        </w:rPr>
        <w:t xml:space="preserve"> </w:t>
      </w:r>
      <w:r>
        <w:rPr>
          <w:color w:val="231F20"/>
        </w:rPr>
        <w:t>категорії</w:t>
      </w:r>
    </w:p>
    <w:p w14:paraId="3ABEC83C" w14:textId="77777777" w:rsidR="00DE575E" w:rsidRDefault="00DE575E">
      <w:pPr>
        <w:pStyle w:val="BodyText"/>
        <w:rPr>
          <w:b/>
          <w:sz w:val="26"/>
        </w:rPr>
      </w:pPr>
    </w:p>
    <w:p w14:paraId="44146CD4" w14:textId="77777777" w:rsidR="00DE575E" w:rsidRDefault="002E7560">
      <w:pPr>
        <w:pStyle w:val="BodyText"/>
        <w:spacing w:before="224" w:line="252" w:lineRule="auto"/>
        <w:ind w:left="533" w:right="126" w:firstLine="283"/>
        <w:jc w:val="both"/>
      </w:pPr>
      <w:r>
        <w:rPr>
          <w:color w:val="231F20"/>
        </w:rPr>
        <w:t xml:space="preserve">Окремим видом публічної служби є служба в органах місцевого самоврядування (муніципальна служба). Практичну реалізацію цього виду публічної служби здійснюють муніципальні службовці. Серед </w:t>
      </w:r>
      <w:r>
        <w:rPr>
          <w:i/>
          <w:color w:val="231F20"/>
        </w:rPr>
        <w:t>основних законодавчих актів</w:t>
      </w:r>
      <w:r>
        <w:rPr>
          <w:color w:val="231F20"/>
        </w:rPr>
        <w:t>, які регламентують питання статусу служб</w:t>
      </w:r>
      <w:r>
        <w:rPr>
          <w:color w:val="231F20"/>
        </w:rPr>
        <w:t xml:space="preserve">овців органів місцевого самоврядування, слід назвати Конституцію </w:t>
      </w:r>
      <w:r>
        <w:rPr>
          <w:color w:val="231F20"/>
          <w:spacing w:val="-3"/>
        </w:rPr>
        <w:t xml:space="preserve">України, </w:t>
      </w:r>
      <w:r>
        <w:rPr>
          <w:color w:val="231F20"/>
        </w:rPr>
        <w:t xml:space="preserve">закони </w:t>
      </w:r>
      <w:r>
        <w:rPr>
          <w:color w:val="231F20"/>
          <w:spacing w:val="-3"/>
        </w:rPr>
        <w:t xml:space="preserve">України </w:t>
      </w:r>
      <w:r>
        <w:rPr>
          <w:color w:val="231F20"/>
        </w:rPr>
        <w:t>«Про місцеве самоврядування в</w:t>
      </w:r>
      <w:r>
        <w:rPr>
          <w:color w:val="231F20"/>
          <w:spacing w:val="-13"/>
        </w:rPr>
        <w:t xml:space="preserve"> </w:t>
      </w:r>
      <w:r>
        <w:rPr>
          <w:color w:val="231F20"/>
          <w:spacing w:val="-3"/>
        </w:rPr>
        <w:t>Україні»</w:t>
      </w:r>
      <w:r>
        <w:rPr>
          <w:color w:val="231F20"/>
          <w:spacing w:val="-14"/>
        </w:rPr>
        <w:t xml:space="preserve"> </w:t>
      </w:r>
      <w:r>
        <w:rPr>
          <w:color w:val="231F20"/>
        </w:rPr>
        <w:t>1997</w:t>
      </w:r>
      <w:r>
        <w:rPr>
          <w:color w:val="231F20"/>
          <w:spacing w:val="-5"/>
        </w:rPr>
        <w:t xml:space="preserve"> </w:t>
      </w:r>
      <w:r>
        <w:rPr>
          <w:color w:val="231F20"/>
        </w:rPr>
        <w:t>р.,</w:t>
      </w:r>
      <w:r>
        <w:rPr>
          <w:color w:val="231F20"/>
          <w:spacing w:val="-14"/>
        </w:rPr>
        <w:t xml:space="preserve"> </w:t>
      </w:r>
      <w:r>
        <w:rPr>
          <w:color w:val="231F20"/>
        </w:rPr>
        <w:t>«Про</w:t>
      </w:r>
      <w:r>
        <w:rPr>
          <w:color w:val="231F20"/>
          <w:spacing w:val="-13"/>
        </w:rPr>
        <w:t xml:space="preserve"> </w:t>
      </w:r>
      <w:r>
        <w:rPr>
          <w:color w:val="231F20"/>
        </w:rPr>
        <w:t>службу</w:t>
      </w:r>
      <w:r>
        <w:rPr>
          <w:color w:val="231F20"/>
          <w:spacing w:val="-13"/>
        </w:rPr>
        <w:t xml:space="preserve"> </w:t>
      </w:r>
      <w:r>
        <w:rPr>
          <w:color w:val="231F20"/>
        </w:rPr>
        <w:t>в</w:t>
      </w:r>
      <w:r>
        <w:rPr>
          <w:color w:val="231F20"/>
          <w:spacing w:val="-13"/>
        </w:rPr>
        <w:t xml:space="preserve"> </w:t>
      </w:r>
      <w:r>
        <w:rPr>
          <w:color w:val="231F20"/>
        </w:rPr>
        <w:t>органах</w:t>
      </w:r>
      <w:r>
        <w:rPr>
          <w:color w:val="231F20"/>
          <w:spacing w:val="-13"/>
        </w:rPr>
        <w:t xml:space="preserve"> </w:t>
      </w:r>
      <w:r>
        <w:rPr>
          <w:color w:val="231F20"/>
        </w:rPr>
        <w:t>місцевого</w:t>
      </w:r>
      <w:r>
        <w:rPr>
          <w:color w:val="231F20"/>
          <w:spacing w:val="-13"/>
        </w:rPr>
        <w:t xml:space="preserve"> </w:t>
      </w:r>
      <w:r>
        <w:rPr>
          <w:color w:val="231F20"/>
        </w:rPr>
        <w:t>самоврядування» 2001 р., «Про статус депутатів місцевих рад» 2002 р., «Про місцеві вибори» 2015 р., «Про зайнятість населення» 2012 р., «Про запобі- гання</w:t>
      </w:r>
      <w:r>
        <w:rPr>
          <w:color w:val="231F20"/>
          <w:spacing w:val="-6"/>
        </w:rPr>
        <w:t xml:space="preserve"> </w:t>
      </w:r>
      <w:r>
        <w:rPr>
          <w:color w:val="231F20"/>
        </w:rPr>
        <w:t>корупції»</w:t>
      </w:r>
      <w:r>
        <w:rPr>
          <w:color w:val="231F20"/>
          <w:spacing w:val="-6"/>
        </w:rPr>
        <w:t xml:space="preserve"> </w:t>
      </w:r>
      <w:r>
        <w:rPr>
          <w:color w:val="231F20"/>
        </w:rPr>
        <w:t>2014</w:t>
      </w:r>
      <w:r>
        <w:rPr>
          <w:color w:val="231F20"/>
          <w:spacing w:val="-7"/>
        </w:rPr>
        <w:t xml:space="preserve"> </w:t>
      </w:r>
      <w:r>
        <w:rPr>
          <w:color w:val="231F20"/>
        </w:rPr>
        <w:t>р.,</w:t>
      </w:r>
      <w:r>
        <w:rPr>
          <w:color w:val="231F20"/>
          <w:spacing w:val="-6"/>
        </w:rPr>
        <w:t xml:space="preserve"> </w:t>
      </w:r>
      <w:r>
        <w:rPr>
          <w:color w:val="231F20"/>
          <w:spacing w:val="-3"/>
        </w:rPr>
        <w:t>Кодекс</w:t>
      </w:r>
      <w:r>
        <w:rPr>
          <w:color w:val="231F20"/>
          <w:spacing w:val="-6"/>
        </w:rPr>
        <w:t xml:space="preserve"> </w:t>
      </w:r>
      <w:r>
        <w:rPr>
          <w:color w:val="231F20"/>
        </w:rPr>
        <w:t>законів</w:t>
      </w:r>
      <w:r>
        <w:rPr>
          <w:color w:val="231F20"/>
          <w:spacing w:val="-6"/>
        </w:rPr>
        <w:t xml:space="preserve"> </w:t>
      </w:r>
      <w:r>
        <w:rPr>
          <w:color w:val="231F20"/>
        </w:rPr>
        <w:t>про</w:t>
      </w:r>
      <w:r>
        <w:rPr>
          <w:color w:val="231F20"/>
          <w:spacing w:val="-6"/>
        </w:rPr>
        <w:t xml:space="preserve"> </w:t>
      </w:r>
      <w:r>
        <w:rPr>
          <w:color w:val="231F20"/>
        </w:rPr>
        <w:t>працю</w:t>
      </w:r>
      <w:r>
        <w:rPr>
          <w:color w:val="231F20"/>
          <w:spacing w:val="-6"/>
        </w:rPr>
        <w:t xml:space="preserve"> </w:t>
      </w:r>
      <w:r>
        <w:rPr>
          <w:color w:val="231F20"/>
          <w:spacing w:val="-3"/>
        </w:rPr>
        <w:t>України</w:t>
      </w:r>
      <w:r>
        <w:rPr>
          <w:color w:val="231F20"/>
          <w:spacing w:val="-6"/>
        </w:rPr>
        <w:t xml:space="preserve"> </w:t>
      </w:r>
      <w:r>
        <w:rPr>
          <w:color w:val="231F20"/>
        </w:rPr>
        <w:t>1971</w:t>
      </w:r>
      <w:r>
        <w:rPr>
          <w:color w:val="231F20"/>
          <w:spacing w:val="-7"/>
        </w:rPr>
        <w:t xml:space="preserve"> </w:t>
      </w:r>
      <w:r>
        <w:rPr>
          <w:color w:val="231F20"/>
        </w:rPr>
        <w:t>р.</w:t>
      </w:r>
      <w:r>
        <w:rPr>
          <w:color w:val="231F20"/>
          <w:spacing w:val="-6"/>
        </w:rPr>
        <w:t xml:space="preserve"> </w:t>
      </w:r>
      <w:r>
        <w:rPr>
          <w:color w:val="231F20"/>
        </w:rPr>
        <w:t xml:space="preserve">та ін. До </w:t>
      </w:r>
      <w:r>
        <w:rPr>
          <w:i/>
          <w:color w:val="231F20"/>
        </w:rPr>
        <w:t>підзаконних актів</w:t>
      </w:r>
      <w:r>
        <w:rPr>
          <w:color w:val="231F20"/>
        </w:rPr>
        <w:t xml:space="preserve">, які </w:t>
      </w:r>
      <w:r>
        <w:rPr>
          <w:color w:val="231F20"/>
          <w:spacing w:val="-2"/>
        </w:rPr>
        <w:t>регулюют</w:t>
      </w:r>
      <w:r>
        <w:rPr>
          <w:color w:val="231F20"/>
          <w:spacing w:val="-2"/>
        </w:rPr>
        <w:t xml:space="preserve">ь </w:t>
      </w:r>
      <w:r>
        <w:rPr>
          <w:color w:val="231F20"/>
        </w:rPr>
        <w:t>порядок проходження муні- ципальної</w:t>
      </w:r>
      <w:r>
        <w:rPr>
          <w:color w:val="231F20"/>
          <w:spacing w:val="-7"/>
        </w:rPr>
        <w:t xml:space="preserve"> </w:t>
      </w:r>
      <w:r>
        <w:rPr>
          <w:color w:val="231F20"/>
        </w:rPr>
        <w:t>служби,</w:t>
      </w:r>
      <w:r>
        <w:rPr>
          <w:color w:val="231F20"/>
          <w:spacing w:val="-7"/>
        </w:rPr>
        <w:t xml:space="preserve"> </w:t>
      </w:r>
      <w:r>
        <w:rPr>
          <w:color w:val="231F20"/>
        </w:rPr>
        <w:t>може</w:t>
      </w:r>
      <w:r>
        <w:rPr>
          <w:color w:val="231F20"/>
          <w:spacing w:val="-7"/>
        </w:rPr>
        <w:t xml:space="preserve"> </w:t>
      </w:r>
      <w:r>
        <w:rPr>
          <w:color w:val="231F20"/>
        </w:rPr>
        <w:t>бути</w:t>
      </w:r>
      <w:r>
        <w:rPr>
          <w:color w:val="231F20"/>
          <w:spacing w:val="-7"/>
        </w:rPr>
        <w:t xml:space="preserve"> </w:t>
      </w:r>
      <w:r>
        <w:rPr>
          <w:color w:val="231F20"/>
        </w:rPr>
        <w:t>віднесено:</w:t>
      </w:r>
      <w:r>
        <w:rPr>
          <w:color w:val="231F20"/>
          <w:spacing w:val="-7"/>
        </w:rPr>
        <w:t xml:space="preserve"> </w:t>
      </w:r>
      <w:r>
        <w:rPr>
          <w:color w:val="231F20"/>
        </w:rPr>
        <w:t>Постанову</w:t>
      </w:r>
      <w:r>
        <w:rPr>
          <w:color w:val="231F20"/>
          <w:spacing w:val="-7"/>
        </w:rPr>
        <w:t xml:space="preserve"> </w:t>
      </w:r>
      <w:r>
        <w:rPr>
          <w:color w:val="231F20"/>
        </w:rPr>
        <w:t>Кабінету</w:t>
      </w:r>
      <w:r>
        <w:rPr>
          <w:color w:val="231F20"/>
          <w:spacing w:val="-7"/>
        </w:rPr>
        <w:t xml:space="preserve"> </w:t>
      </w:r>
      <w:r>
        <w:rPr>
          <w:color w:val="231F20"/>
        </w:rPr>
        <w:t xml:space="preserve">Мініст- рів </w:t>
      </w:r>
      <w:r>
        <w:rPr>
          <w:color w:val="231F20"/>
          <w:spacing w:val="-3"/>
        </w:rPr>
        <w:t xml:space="preserve">України </w:t>
      </w:r>
      <w:r>
        <w:rPr>
          <w:color w:val="231F20"/>
        </w:rPr>
        <w:t xml:space="preserve">«Про затвердження Типового порядку формування кадрового резерву в органах місцевого самоврядування» 2001 р., Постанову Кабінету Міністрів </w:t>
      </w:r>
      <w:r>
        <w:rPr>
          <w:color w:val="231F20"/>
          <w:spacing w:val="-3"/>
        </w:rPr>
        <w:t xml:space="preserve">України </w:t>
      </w:r>
      <w:r>
        <w:rPr>
          <w:color w:val="231F20"/>
        </w:rPr>
        <w:t>«Про</w:t>
      </w:r>
      <w:r>
        <w:rPr>
          <w:color w:val="231F20"/>
        </w:rPr>
        <w:t xml:space="preserve"> віднесення посад орга- нів місцевого самоврядування до відповідних категорій посад» 2001 р. та</w:t>
      </w:r>
      <w:r>
        <w:rPr>
          <w:color w:val="231F20"/>
          <w:spacing w:val="-8"/>
        </w:rPr>
        <w:t xml:space="preserve"> </w:t>
      </w:r>
      <w:r>
        <w:rPr>
          <w:color w:val="231F20"/>
        </w:rPr>
        <w:t>ін.</w:t>
      </w:r>
    </w:p>
    <w:p w14:paraId="5E9FE259" w14:textId="77777777" w:rsidR="00DE575E" w:rsidRDefault="002E7560">
      <w:pPr>
        <w:pStyle w:val="BodyText"/>
        <w:spacing w:before="9" w:line="252" w:lineRule="auto"/>
        <w:ind w:left="533" w:right="126" w:firstLine="283"/>
        <w:jc w:val="both"/>
      </w:pPr>
      <w:r>
        <w:rPr>
          <w:color w:val="231F20"/>
        </w:rPr>
        <w:t>Служба в органах місцевого самоврядування реалізується упов- новаженими особами – службовцями в органах місцевого самовря- дування (як окремим видом публічн</w:t>
      </w:r>
      <w:r>
        <w:rPr>
          <w:color w:val="231F20"/>
        </w:rPr>
        <w:t>их службовців)</w:t>
      </w:r>
      <w:r>
        <w:rPr>
          <w:color w:val="231F20"/>
          <w:position w:val="7"/>
          <w:sz w:val="12"/>
        </w:rPr>
        <w:t>2</w:t>
      </w:r>
      <w:r>
        <w:rPr>
          <w:color w:val="231F20"/>
        </w:rPr>
        <w:t>. Поняття ж муніципального</w:t>
      </w:r>
      <w:r>
        <w:rPr>
          <w:color w:val="231F20"/>
          <w:spacing w:val="-12"/>
        </w:rPr>
        <w:t xml:space="preserve"> </w:t>
      </w:r>
      <w:r>
        <w:rPr>
          <w:color w:val="231F20"/>
        </w:rPr>
        <w:t>службовця</w:t>
      </w:r>
      <w:r>
        <w:rPr>
          <w:color w:val="231F20"/>
          <w:spacing w:val="-12"/>
        </w:rPr>
        <w:t xml:space="preserve"> </w:t>
      </w:r>
      <w:r>
        <w:rPr>
          <w:color w:val="231F20"/>
        </w:rPr>
        <w:t>є</w:t>
      </w:r>
      <w:r>
        <w:rPr>
          <w:color w:val="231F20"/>
          <w:spacing w:val="-12"/>
        </w:rPr>
        <w:t xml:space="preserve"> </w:t>
      </w:r>
      <w:r>
        <w:rPr>
          <w:color w:val="231F20"/>
        </w:rPr>
        <w:t>похідним</w:t>
      </w:r>
      <w:r>
        <w:rPr>
          <w:color w:val="231F20"/>
          <w:spacing w:val="-12"/>
        </w:rPr>
        <w:t xml:space="preserve"> </w:t>
      </w:r>
      <w:r>
        <w:rPr>
          <w:color w:val="231F20"/>
        </w:rPr>
        <w:t>від</w:t>
      </w:r>
      <w:r>
        <w:rPr>
          <w:color w:val="231F20"/>
          <w:spacing w:val="-12"/>
        </w:rPr>
        <w:t xml:space="preserve"> </w:t>
      </w:r>
      <w:r>
        <w:rPr>
          <w:color w:val="231F20"/>
        </w:rPr>
        <w:t>поняття</w:t>
      </w:r>
      <w:r>
        <w:rPr>
          <w:color w:val="231F20"/>
          <w:spacing w:val="-12"/>
        </w:rPr>
        <w:t xml:space="preserve"> </w:t>
      </w:r>
      <w:r>
        <w:rPr>
          <w:color w:val="231F20"/>
        </w:rPr>
        <w:t>служби</w:t>
      </w:r>
      <w:r>
        <w:rPr>
          <w:color w:val="231F20"/>
          <w:spacing w:val="-12"/>
        </w:rPr>
        <w:t xml:space="preserve"> </w:t>
      </w:r>
      <w:r>
        <w:rPr>
          <w:color w:val="231F20"/>
        </w:rPr>
        <w:t>в</w:t>
      </w:r>
      <w:r>
        <w:rPr>
          <w:color w:val="231F20"/>
          <w:spacing w:val="-11"/>
        </w:rPr>
        <w:t xml:space="preserve"> </w:t>
      </w:r>
      <w:r>
        <w:rPr>
          <w:color w:val="231F20"/>
        </w:rPr>
        <w:t>органах місцевого</w:t>
      </w:r>
      <w:r>
        <w:rPr>
          <w:color w:val="231F20"/>
          <w:spacing w:val="-14"/>
        </w:rPr>
        <w:t xml:space="preserve"> </w:t>
      </w:r>
      <w:r>
        <w:rPr>
          <w:color w:val="231F20"/>
        </w:rPr>
        <w:t>самоврядування.</w:t>
      </w:r>
      <w:r>
        <w:rPr>
          <w:color w:val="231F20"/>
          <w:spacing w:val="-15"/>
        </w:rPr>
        <w:t xml:space="preserve"> </w:t>
      </w:r>
      <w:r>
        <w:rPr>
          <w:b/>
          <w:i/>
          <w:color w:val="231F20"/>
        </w:rPr>
        <w:t>Службовці</w:t>
      </w:r>
      <w:r>
        <w:rPr>
          <w:b/>
          <w:i/>
          <w:color w:val="231F20"/>
          <w:spacing w:val="-14"/>
        </w:rPr>
        <w:t xml:space="preserve"> </w:t>
      </w:r>
      <w:r>
        <w:rPr>
          <w:b/>
          <w:i/>
          <w:color w:val="231F20"/>
        </w:rPr>
        <w:t>органів</w:t>
      </w:r>
      <w:r>
        <w:rPr>
          <w:b/>
          <w:i/>
          <w:color w:val="231F20"/>
          <w:spacing w:val="-14"/>
        </w:rPr>
        <w:t xml:space="preserve"> </w:t>
      </w:r>
      <w:r>
        <w:rPr>
          <w:b/>
          <w:i/>
          <w:color w:val="231F20"/>
        </w:rPr>
        <w:t>місцевого</w:t>
      </w:r>
      <w:r>
        <w:rPr>
          <w:b/>
          <w:i/>
          <w:color w:val="231F20"/>
          <w:spacing w:val="-14"/>
        </w:rPr>
        <w:t xml:space="preserve"> </w:t>
      </w:r>
      <w:r>
        <w:rPr>
          <w:b/>
          <w:i/>
          <w:color w:val="231F20"/>
        </w:rPr>
        <w:t xml:space="preserve">самовря- дування </w:t>
      </w:r>
      <w:r>
        <w:rPr>
          <w:color w:val="231F20"/>
        </w:rPr>
        <w:t>– це особи, які на професійній, постійній основі займають посади в органах місцевого самоврядування і наділені повноважен- нями, що спрямовані на реалізацію територіальною громадою</w:t>
      </w:r>
      <w:r>
        <w:rPr>
          <w:color w:val="231F20"/>
          <w:spacing w:val="-30"/>
        </w:rPr>
        <w:t xml:space="preserve"> </w:t>
      </w:r>
      <w:r>
        <w:rPr>
          <w:color w:val="231F20"/>
        </w:rPr>
        <w:t>свого права</w:t>
      </w:r>
      <w:r>
        <w:rPr>
          <w:color w:val="231F20"/>
          <w:spacing w:val="11"/>
        </w:rPr>
        <w:t xml:space="preserve"> </w:t>
      </w:r>
      <w:r>
        <w:rPr>
          <w:color w:val="231F20"/>
        </w:rPr>
        <w:t>на</w:t>
      </w:r>
      <w:r>
        <w:rPr>
          <w:color w:val="231F20"/>
          <w:spacing w:val="12"/>
        </w:rPr>
        <w:t xml:space="preserve"> </w:t>
      </w:r>
      <w:r>
        <w:rPr>
          <w:color w:val="231F20"/>
        </w:rPr>
        <w:t>місцеве</w:t>
      </w:r>
      <w:r>
        <w:rPr>
          <w:color w:val="231F20"/>
          <w:spacing w:val="11"/>
        </w:rPr>
        <w:t xml:space="preserve"> </w:t>
      </w:r>
      <w:r>
        <w:rPr>
          <w:color w:val="231F20"/>
        </w:rPr>
        <w:t>самоврядування</w:t>
      </w:r>
      <w:r>
        <w:rPr>
          <w:color w:val="231F20"/>
          <w:spacing w:val="11"/>
        </w:rPr>
        <w:t xml:space="preserve"> </w:t>
      </w:r>
      <w:r>
        <w:rPr>
          <w:color w:val="231F20"/>
        </w:rPr>
        <w:t>та</w:t>
      </w:r>
      <w:r>
        <w:rPr>
          <w:color w:val="231F20"/>
          <w:spacing w:val="12"/>
        </w:rPr>
        <w:t xml:space="preserve"> </w:t>
      </w:r>
      <w:r>
        <w:rPr>
          <w:color w:val="231F20"/>
        </w:rPr>
        <w:t>окремих</w:t>
      </w:r>
      <w:r>
        <w:rPr>
          <w:color w:val="231F20"/>
          <w:spacing w:val="12"/>
        </w:rPr>
        <w:t xml:space="preserve"> </w:t>
      </w:r>
      <w:r>
        <w:rPr>
          <w:color w:val="231F20"/>
        </w:rPr>
        <w:t>повноважень</w:t>
      </w:r>
      <w:r>
        <w:rPr>
          <w:color w:val="231F20"/>
          <w:spacing w:val="12"/>
        </w:rPr>
        <w:t xml:space="preserve"> </w:t>
      </w:r>
      <w:r>
        <w:rPr>
          <w:color w:val="231F20"/>
        </w:rPr>
        <w:t>органів</w:t>
      </w:r>
    </w:p>
    <w:p w14:paraId="36BB484C" w14:textId="6CC22CE2" w:rsidR="00DE575E" w:rsidRDefault="002E7560">
      <w:pPr>
        <w:pStyle w:val="BodyText"/>
        <w:spacing w:before="6"/>
        <w:rPr>
          <w:sz w:val="27"/>
        </w:rPr>
      </w:pPr>
      <w:r>
        <w:rPr>
          <w:noProof/>
        </w:rPr>
        <mc:AlternateContent>
          <mc:Choice Requires="wps">
            <w:drawing>
              <wp:anchor distT="0" distB="0" distL="0" distR="0" simplePos="0" relativeHeight="15016" behindDoc="0" locked="0" layoutInCell="1" allowOverlap="1" wp14:anchorId="3EBD09AC" wp14:editId="4F4D8A5F">
                <wp:simplePos x="0" y="0"/>
                <wp:positionH relativeFrom="page">
                  <wp:posOffset>719455</wp:posOffset>
                </wp:positionH>
                <wp:positionV relativeFrom="paragraph">
                  <wp:posOffset>233045</wp:posOffset>
                </wp:positionV>
                <wp:extent cx="1080135" cy="0"/>
                <wp:effectExtent l="8255" t="17145" r="29210" b="20955"/>
                <wp:wrapTopAndBottom/>
                <wp:docPr id="442"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8855C" id="Line_x0020_441" o:spid="_x0000_s1026" style="position:absolute;z-index:15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5pt" to="141.7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" strokecolor="#231f20" strokeweight=".5pt">
                <w10:wrap type="topAndBottom" anchorx="page"/>
              </v:line>
            </w:pict>
          </mc:Fallback>
        </mc:AlternateContent>
      </w:r>
    </w:p>
    <w:p w14:paraId="49D16EE4" w14:textId="77777777" w:rsidR="00DE575E" w:rsidRDefault="002E7560">
      <w:pPr>
        <w:spacing w:line="162" w:lineRule="exact"/>
        <w:ind w:left="533"/>
        <w:rPr>
          <w:b/>
          <w:sz w:val="16"/>
        </w:rPr>
      </w:pPr>
      <w:r>
        <w:rPr>
          <w:color w:val="231F20"/>
          <w:position w:val="5"/>
          <w:sz w:val="9"/>
        </w:rPr>
        <w:t xml:space="preserve">1 </w:t>
      </w:r>
      <w:r>
        <w:rPr>
          <w:color w:val="231F20"/>
          <w:sz w:val="16"/>
        </w:rPr>
        <w:t>Ав</w:t>
      </w:r>
      <w:r>
        <w:rPr>
          <w:color w:val="231F20"/>
          <w:sz w:val="16"/>
        </w:rPr>
        <w:t xml:space="preserve">тор: </w:t>
      </w:r>
      <w:r>
        <w:rPr>
          <w:b/>
          <w:color w:val="231F20"/>
          <w:sz w:val="16"/>
        </w:rPr>
        <w:t>Людмила Корнута.</w:t>
      </w:r>
    </w:p>
    <w:p w14:paraId="0297EE28" w14:textId="77777777" w:rsidR="00DE575E" w:rsidRDefault="002E7560">
      <w:pPr>
        <w:spacing w:before="23" w:line="204" w:lineRule="auto"/>
        <w:ind w:left="533" w:right="128"/>
        <w:rPr>
          <w:sz w:val="16"/>
        </w:rPr>
      </w:pPr>
      <w:r>
        <w:rPr>
          <w:color w:val="231F20"/>
          <w:position w:val="5"/>
          <w:sz w:val="9"/>
        </w:rPr>
        <w:t xml:space="preserve">2 </w:t>
      </w:r>
      <w:r>
        <w:rPr>
          <w:color w:val="231F20"/>
          <w:sz w:val="16"/>
        </w:rPr>
        <w:t>Мельник Р.С., Бевзенко В.М. Загальне адміністративне право: навчальний посібник; за заг. ред. Р.С. Мельника. Київ: Ваіте, 2014. 376 с.</w:t>
      </w:r>
    </w:p>
    <w:p w14:paraId="19983965" w14:textId="77777777" w:rsidR="00DE575E" w:rsidRDefault="00DE575E">
      <w:pPr>
        <w:pStyle w:val="BodyText"/>
        <w:spacing w:before="5"/>
        <w:rPr>
          <w:sz w:val="12"/>
        </w:rPr>
      </w:pPr>
    </w:p>
    <w:p w14:paraId="7FDE8865" w14:textId="77777777" w:rsidR="00DE575E" w:rsidRDefault="002E7560">
      <w:pPr>
        <w:spacing w:before="92"/>
        <w:ind w:left="533"/>
        <w:rPr>
          <w:rFonts w:ascii="Times New Roman"/>
          <w:sz w:val="20"/>
        </w:rPr>
      </w:pPr>
      <w:r>
        <w:rPr>
          <w:rFonts w:ascii="Times New Roman"/>
          <w:color w:val="231F20"/>
          <w:sz w:val="20"/>
        </w:rPr>
        <w:t>384</w:t>
      </w:r>
    </w:p>
    <w:p w14:paraId="17237E15" w14:textId="77777777" w:rsidR="00DE575E" w:rsidRDefault="00DE575E">
      <w:pPr>
        <w:rPr>
          <w:rFonts w:ascii="Times New Roman"/>
          <w:sz w:val="20"/>
        </w:rPr>
        <w:sectPr w:rsidR="00DE575E">
          <w:pgSz w:w="8510" w:h="12760"/>
          <w:pgMar w:top="660" w:right="720" w:bottom="280" w:left="600" w:header="720" w:footer="720" w:gutter="0"/>
          <w:cols w:space="720"/>
        </w:sectPr>
      </w:pPr>
    </w:p>
    <w:p w14:paraId="47A8BAFA"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 xml:space="preserve">Глава ІІ Особливе адміністративне право/ Книга І </w:t>
      </w:r>
      <w:r>
        <w:rPr>
          <w:rFonts w:ascii="AdonisC" w:hAnsi="AdonisC"/>
          <w:i/>
          <w:color w:val="231F20"/>
          <w:sz w:val="18"/>
        </w:rPr>
        <w:t>Розділ 3. Правовий статус службовця в органі місцевого самоврядування</w:t>
      </w:r>
    </w:p>
    <w:p w14:paraId="2F19F05F" w14:textId="48AA0CF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528D74F" wp14:editId="30019B28">
                <wp:extent cx="4140200" cy="6350"/>
                <wp:effectExtent l="0" t="0" r="12700" b="6350"/>
                <wp:docPr id="44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41" name="Line 44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01F007" id="Group_x0020_43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xi9H4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igxi9H4CAACYBQAADgAA&#10;AAAAAAAAAAAAAAAsAgAAZHJzL2Uyb0RvYy54bWxQSwECLQAUAAYACAAAACEATKewkNkAAAADAQAA&#10;DwAAAAAAAAAAAAAAAADWBAAAZHJzL2Rvd25yZXYueG1sUEsFBgAAAAAEAAQA8wAAANwFAAAAAA==&#10;">
                <v:line id="Line_x0020_44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z2qsYAAADcAAAADwAAAGRycy9kb3ducmV2LnhtbESP0WrCQBRE3wX/YblCX0Q3VikluooI&#10;gvRBrekHXLO3Seju3ZhdTdqv7wqCj8PMnGEWq84acaPGV44VTMYJCOLc6YoLBV/ZdvQOwgdkjcYx&#10;KfglD6tlv7fAVLuWP+l2CoWIEPYpKihDqFMpfV6SRT92NXH0vl1jMUTZFFI32Ea4NfI1Sd6kxYrj&#10;Qok1bUrKf05XqyC7DIM5Hj5Mmx3OU3m+7Kd/171SL4NuPQcRqAvP8KO90wpmswncz8QjI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PM9qrGAAAA3AAAAA8AAAAAAAAA&#10;AAAAAAAAoQIAAGRycy9kb3ducmV2LnhtbFBLBQYAAAAABAAEAPkAAACUAwAAAAA=&#10;" strokecolor="#231f20" strokeweight=".5pt"/>
                <w10:anchorlock/>
              </v:group>
            </w:pict>
          </mc:Fallback>
        </mc:AlternateContent>
      </w:r>
    </w:p>
    <w:p w14:paraId="11274767" w14:textId="77777777" w:rsidR="00DE575E" w:rsidRDefault="00DE575E">
      <w:pPr>
        <w:pStyle w:val="BodyText"/>
        <w:spacing w:before="7"/>
        <w:rPr>
          <w:rFonts w:ascii="AdonisC"/>
          <w:i/>
          <w:sz w:val="19"/>
        </w:rPr>
      </w:pPr>
    </w:p>
    <w:p w14:paraId="2AEAFA8F" w14:textId="77777777" w:rsidR="00DE575E" w:rsidRDefault="002E7560">
      <w:pPr>
        <w:pStyle w:val="BodyText"/>
        <w:spacing w:before="1" w:line="252" w:lineRule="auto"/>
        <w:ind w:left="250" w:right="410"/>
        <w:jc w:val="both"/>
      </w:pPr>
      <w:r>
        <w:rPr>
          <w:color w:val="231F20"/>
        </w:rPr>
        <w:t>виконавчої влади, наданих законом. Такі службовці мають відпо- відну освіту та професійну підготовку, пройшли в установленому порядку конкурсний відбір або прийняті на посаду за іншою перед- баченою законодавством процедурою. Варто пам’ятати, що особа, яка</w:t>
      </w:r>
      <w:r>
        <w:rPr>
          <w:color w:val="231F20"/>
        </w:rPr>
        <w:t xml:space="preserve"> займає відповідну посаду в органах місцевого самоврядування, має діяти від імені та в інтересах колективного суб’єкта публічної адміністрації – органу місцевого самоврядування.</w:t>
      </w:r>
    </w:p>
    <w:p w14:paraId="139B0603" w14:textId="77777777" w:rsidR="00DE575E" w:rsidRDefault="002E7560">
      <w:pPr>
        <w:pStyle w:val="BodyText"/>
        <w:spacing w:before="3" w:line="252" w:lineRule="auto"/>
        <w:ind w:left="250" w:right="410" w:firstLine="283"/>
        <w:jc w:val="both"/>
      </w:pPr>
      <w:r>
        <w:rPr>
          <w:color w:val="231F20"/>
        </w:rPr>
        <w:t>Організаційною основою служби в органах місцевого самовря- дування є система м</w:t>
      </w:r>
      <w:r>
        <w:rPr>
          <w:color w:val="231F20"/>
        </w:rPr>
        <w:t>ісцевого самоврядування. У той же час набуття статусу публічного службовця органу місцевого самоврядування, початок проходження публічної служби (повноцінний вступ особи у правовідносини в органі місцевого самоврядування) відбува- ються лише за чітко визна</w:t>
      </w:r>
      <w:r>
        <w:rPr>
          <w:color w:val="231F20"/>
        </w:rPr>
        <w:t>ченої в законодавстві послідовної сукуп- ності відповідних дій. Слід зазначити, що служба в органах місце- вого самоврядування багато в чому має спільні риси з державною</w:t>
      </w:r>
      <w:r>
        <w:rPr>
          <w:color w:val="231F20"/>
          <w:position w:val="7"/>
          <w:sz w:val="12"/>
        </w:rPr>
        <w:t>1</w:t>
      </w:r>
      <w:r>
        <w:rPr>
          <w:color w:val="231F20"/>
        </w:rPr>
        <w:t>. Водночас особливості її організації, функціонування і проходження зумовили потребу у</w:t>
      </w:r>
      <w:r>
        <w:rPr>
          <w:color w:val="231F20"/>
        </w:rPr>
        <w:t>хвалення Закону «Про службу в органах місце- вого самоврядування», який є основним законодавчим актом, що регулює порядок проходження цього виду служби. При цьому дія профільного</w:t>
      </w:r>
      <w:r>
        <w:rPr>
          <w:color w:val="231F20"/>
          <w:spacing w:val="-11"/>
        </w:rPr>
        <w:t xml:space="preserve"> </w:t>
      </w:r>
      <w:r>
        <w:rPr>
          <w:color w:val="231F20"/>
        </w:rPr>
        <w:t>законодавства</w:t>
      </w:r>
      <w:r>
        <w:rPr>
          <w:color w:val="231F20"/>
          <w:spacing w:val="-11"/>
        </w:rPr>
        <w:t xml:space="preserve"> </w:t>
      </w:r>
      <w:r>
        <w:rPr>
          <w:color w:val="231F20"/>
        </w:rPr>
        <w:t>не</w:t>
      </w:r>
      <w:r>
        <w:rPr>
          <w:color w:val="231F20"/>
          <w:spacing w:val="-11"/>
        </w:rPr>
        <w:t xml:space="preserve"> </w:t>
      </w:r>
      <w:r>
        <w:rPr>
          <w:color w:val="231F20"/>
        </w:rPr>
        <w:t>поширюється</w:t>
      </w:r>
      <w:r>
        <w:rPr>
          <w:color w:val="231F20"/>
          <w:spacing w:val="-11"/>
        </w:rPr>
        <w:t xml:space="preserve"> </w:t>
      </w:r>
      <w:r>
        <w:rPr>
          <w:color w:val="231F20"/>
        </w:rPr>
        <w:t>на</w:t>
      </w:r>
      <w:r>
        <w:rPr>
          <w:color w:val="231F20"/>
          <w:spacing w:val="-11"/>
        </w:rPr>
        <w:t xml:space="preserve"> </w:t>
      </w:r>
      <w:r>
        <w:rPr>
          <w:color w:val="231F20"/>
        </w:rPr>
        <w:t>технічних</w:t>
      </w:r>
      <w:r>
        <w:rPr>
          <w:color w:val="231F20"/>
          <w:spacing w:val="-11"/>
        </w:rPr>
        <w:t xml:space="preserve"> </w:t>
      </w:r>
      <w:r>
        <w:rPr>
          <w:color w:val="231F20"/>
        </w:rPr>
        <w:t>працівни- ків та обслуговуючий перс</w:t>
      </w:r>
      <w:r>
        <w:rPr>
          <w:color w:val="231F20"/>
        </w:rPr>
        <w:t>онал муніципальних органів, а визначає особливості правового статусу саме посадових осіб органів місце- вого</w:t>
      </w:r>
      <w:r>
        <w:rPr>
          <w:color w:val="231F20"/>
          <w:spacing w:val="-1"/>
        </w:rPr>
        <w:t xml:space="preserve"> </w:t>
      </w:r>
      <w:r>
        <w:rPr>
          <w:color w:val="231F20"/>
        </w:rPr>
        <w:t>самоврядування.</w:t>
      </w:r>
    </w:p>
    <w:p w14:paraId="3D424E32" w14:textId="77777777" w:rsidR="00DE575E" w:rsidRDefault="002E7560">
      <w:pPr>
        <w:pStyle w:val="BodyText"/>
        <w:spacing w:before="8" w:line="252" w:lineRule="auto"/>
        <w:ind w:left="250" w:right="410" w:firstLine="283"/>
        <w:jc w:val="both"/>
      </w:pPr>
      <w:r>
        <w:rPr>
          <w:color w:val="231F20"/>
          <w:spacing w:val="-5"/>
        </w:rPr>
        <w:t>Так</w:t>
      </w:r>
      <w:r>
        <w:rPr>
          <w:b/>
          <w:color w:val="231F20"/>
          <w:spacing w:val="-5"/>
        </w:rPr>
        <w:t xml:space="preserve">, </w:t>
      </w:r>
      <w:r>
        <w:rPr>
          <w:b/>
          <w:i/>
          <w:color w:val="231F20"/>
        </w:rPr>
        <w:t xml:space="preserve">посадовою особою місцевого самоврядування </w:t>
      </w:r>
      <w:r>
        <w:rPr>
          <w:color w:val="231F20"/>
        </w:rPr>
        <w:t>є особа, яка працює в органах місцевого самоврядування, має відповідні поса- дові  повноваження  щодо  здійснення  організаційно-розпорядчих  і консультативно-дорадчих функцій і отримує заробітну плату за рахунок місцевого</w:t>
      </w:r>
      <w:r>
        <w:rPr>
          <w:color w:val="231F20"/>
          <w:spacing w:val="-2"/>
        </w:rPr>
        <w:t xml:space="preserve"> </w:t>
      </w:r>
      <w:r>
        <w:rPr>
          <w:color w:val="231F20"/>
        </w:rPr>
        <w:t>бюджету</w:t>
      </w:r>
      <w:r>
        <w:rPr>
          <w:color w:val="231F20"/>
          <w:position w:val="7"/>
          <w:sz w:val="12"/>
        </w:rPr>
        <w:t>2</w:t>
      </w:r>
      <w:r>
        <w:rPr>
          <w:color w:val="231F20"/>
        </w:rPr>
        <w:t>.</w:t>
      </w:r>
    </w:p>
    <w:p w14:paraId="33BEBB57" w14:textId="77777777" w:rsidR="00DE575E" w:rsidRDefault="002E7560">
      <w:pPr>
        <w:pStyle w:val="BodyText"/>
        <w:spacing w:before="2" w:line="252" w:lineRule="auto"/>
        <w:ind w:left="250" w:right="409" w:firstLine="283"/>
        <w:jc w:val="both"/>
      </w:pPr>
      <w:r>
        <w:rPr>
          <w:color w:val="231F20"/>
        </w:rPr>
        <w:t>Загалом слід пам’ятати,</w:t>
      </w:r>
      <w:r>
        <w:rPr>
          <w:color w:val="231F20"/>
        </w:rPr>
        <w:t xml:space="preserve"> що право на службу в органах місце- вого самоврядування мають громадяни </w:t>
      </w:r>
      <w:r>
        <w:rPr>
          <w:color w:val="231F20"/>
          <w:spacing w:val="-3"/>
        </w:rPr>
        <w:t xml:space="preserve">України </w:t>
      </w:r>
      <w:r>
        <w:rPr>
          <w:color w:val="231F20"/>
        </w:rPr>
        <w:t xml:space="preserve">незалежно від  раси, кольору шкіри, політичних, релігійних та інших  переко-  нань, статі, етнічного та соціального походження, майнового </w:t>
      </w:r>
      <w:r>
        <w:rPr>
          <w:color w:val="231F20"/>
          <w:spacing w:val="-3"/>
        </w:rPr>
        <w:t xml:space="preserve">стану, </w:t>
      </w:r>
      <w:r>
        <w:rPr>
          <w:color w:val="231F20"/>
        </w:rPr>
        <w:t>терміну проживання на відповід</w:t>
      </w:r>
      <w:r>
        <w:rPr>
          <w:color w:val="231F20"/>
        </w:rPr>
        <w:t>ній території. На посаду можуть бути призначені особи, які мають відповідну освіту і</w:t>
      </w:r>
      <w:r>
        <w:rPr>
          <w:color w:val="231F20"/>
          <w:spacing w:val="13"/>
        </w:rPr>
        <w:t xml:space="preserve"> </w:t>
      </w:r>
      <w:r>
        <w:rPr>
          <w:color w:val="231F20"/>
        </w:rPr>
        <w:t>професійну</w:t>
      </w:r>
    </w:p>
    <w:p w14:paraId="3725D704" w14:textId="77777777" w:rsidR="00DE575E" w:rsidRDefault="00DE575E">
      <w:pPr>
        <w:pStyle w:val="BodyText"/>
        <w:rPr>
          <w:sz w:val="20"/>
        </w:rPr>
      </w:pPr>
    </w:p>
    <w:p w14:paraId="41B68932" w14:textId="67E71269" w:rsidR="00DE575E" w:rsidRDefault="002E7560">
      <w:pPr>
        <w:pStyle w:val="BodyText"/>
        <w:spacing w:before="9"/>
        <w:rPr>
          <w:sz w:val="13"/>
        </w:rPr>
      </w:pPr>
      <w:r>
        <w:rPr>
          <w:noProof/>
        </w:rPr>
        <mc:AlternateContent>
          <mc:Choice Requires="wps">
            <w:drawing>
              <wp:anchor distT="0" distB="0" distL="0" distR="0" simplePos="0" relativeHeight="15064" behindDoc="0" locked="0" layoutInCell="1" allowOverlap="1" wp14:anchorId="2EBC8890" wp14:editId="646A951B">
                <wp:simplePos x="0" y="0"/>
                <wp:positionH relativeFrom="page">
                  <wp:posOffset>539750</wp:posOffset>
                </wp:positionH>
                <wp:positionV relativeFrom="paragraph">
                  <wp:posOffset>130175</wp:posOffset>
                </wp:positionV>
                <wp:extent cx="1080135" cy="0"/>
                <wp:effectExtent l="6350" t="15875" r="31115" b="22225"/>
                <wp:wrapTopAndBottom/>
                <wp:docPr id="43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CCCF7" id="Line_x0020_438" o:spid="_x0000_s1026" style="position:absolute;z-index:15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0.25pt" to="127.5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OLlS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" strokecolor="#231f20" strokeweight=".5pt">
                <w10:wrap type="topAndBottom" anchorx="page"/>
              </v:line>
            </w:pict>
          </mc:Fallback>
        </mc:AlternateContent>
      </w:r>
    </w:p>
    <w:p w14:paraId="12BA2DB7" w14:textId="77777777" w:rsidR="00DE575E" w:rsidRDefault="002E7560">
      <w:pPr>
        <w:spacing w:line="204" w:lineRule="auto"/>
        <w:ind w:left="250" w:right="521"/>
        <w:rPr>
          <w:sz w:val="16"/>
        </w:rPr>
      </w:pPr>
      <w:r>
        <w:rPr>
          <w:color w:val="231F20"/>
          <w:position w:val="5"/>
          <w:sz w:val="9"/>
        </w:rPr>
        <w:t xml:space="preserve">1 </w:t>
      </w:r>
      <w:r>
        <w:rPr>
          <w:color w:val="231F20"/>
          <w:sz w:val="16"/>
        </w:rPr>
        <w:t xml:space="preserve">Ківалов С.В. </w:t>
      </w:r>
      <w:r>
        <w:rPr>
          <w:color w:val="231F20"/>
          <w:spacing w:val="-3"/>
          <w:sz w:val="16"/>
        </w:rPr>
        <w:t xml:space="preserve">Біла-Тіунова </w:t>
      </w:r>
      <w:r>
        <w:rPr>
          <w:color w:val="231F20"/>
          <w:spacing w:val="-6"/>
          <w:sz w:val="16"/>
        </w:rPr>
        <w:t xml:space="preserve">Л.Р.  </w:t>
      </w:r>
      <w:r>
        <w:rPr>
          <w:color w:val="231F20"/>
          <w:sz w:val="16"/>
        </w:rPr>
        <w:t>Публічна служба в Україні : підручник. Одеса : Фенікс,  2009. 688 с.</w:t>
      </w:r>
    </w:p>
    <w:p w14:paraId="0B788433" w14:textId="77777777" w:rsidR="00DE575E" w:rsidRDefault="002E7560">
      <w:pPr>
        <w:spacing w:before="3" w:line="174" w:lineRule="exact"/>
        <w:ind w:left="250"/>
        <w:rPr>
          <w:sz w:val="16"/>
        </w:rPr>
      </w:pPr>
      <w:r>
        <w:rPr>
          <w:color w:val="231F20"/>
          <w:position w:val="5"/>
          <w:sz w:val="9"/>
        </w:rPr>
        <w:t xml:space="preserve">2 </w:t>
      </w:r>
      <w:r>
        <w:rPr>
          <w:color w:val="231F20"/>
          <w:sz w:val="16"/>
        </w:rPr>
        <w:t>Про службу в органах місцевого самоврядування: Закон</w:t>
      </w:r>
      <w:r>
        <w:rPr>
          <w:color w:val="231F20"/>
          <w:sz w:val="16"/>
        </w:rPr>
        <w:t xml:space="preserve"> України від 07.06.2001 р.</w:t>
      </w:r>
    </w:p>
    <w:p w14:paraId="29744D47" w14:textId="77777777" w:rsidR="00DE575E" w:rsidRDefault="002E7560">
      <w:pPr>
        <w:spacing w:before="9" w:line="204" w:lineRule="auto"/>
        <w:ind w:left="250" w:right="521"/>
        <w:rPr>
          <w:sz w:val="16"/>
        </w:rPr>
      </w:pPr>
      <w:r>
        <w:rPr>
          <w:color w:val="231F20"/>
          <w:sz w:val="16"/>
        </w:rPr>
        <w:t xml:space="preserve">№ 2493-III </w:t>
      </w:r>
      <w:r>
        <w:rPr>
          <w:b/>
          <w:color w:val="231F20"/>
          <w:sz w:val="16"/>
        </w:rPr>
        <w:t xml:space="preserve">/ </w:t>
      </w:r>
      <w:r>
        <w:rPr>
          <w:i/>
          <w:color w:val="231F20"/>
          <w:sz w:val="16"/>
        </w:rPr>
        <w:t>Верховна Рада України</w:t>
      </w:r>
      <w:r>
        <w:rPr>
          <w:color w:val="231F20"/>
          <w:sz w:val="16"/>
        </w:rPr>
        <w:t>. URL: https://zakon.rada.gov.ua/laws/show/2493-14 (дата звернення: 30.01.2020 р.)</w:t>
      </w:r>
    </w:p>
    <w:p w14:paraId="6DC571D6" w14:textId="77777777" w:rsidR="00DE575E" w:rsidRDefault="00DE575E">
      <w:pPr>
        <w:pStyle w:val="BodyText"/>
        <w:spacing w:before="5"/>
        <w:rPr>
          <w:sz w:val="12"/>
        </w:rPr>
      </w:pPr>
    </w:p>
    <w:p w14:paraId="4AACFECD" w14:textId="77777777" w:rsidR="00DE575E" w:rsidRDefault="002E7560">
      <w:pPr>
        <w:spacing w:before="92"/>
        <w:ind w:right="411"/>
        <w:jc w:val="right"/>
        <w:rPr>
          <w:rFonts w:ascii="Times New Roman"/>
          <w:sz w:val="20"/>
        </w:rPr>
      </w:pPr>
      <w:r>
        <w:rPr>
          <w:rFonts w:ascii="Times New Roman"/>
          <w:color w:val="231F20"/>
          <w:w w:val="90"/>
          <w:sz w:val="20"/>
        </w:rPr>
        <w:t>385</w:t>
      </w:r>
    </w:p>
    <w:p w14:paraId="69B7D33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C2ECF8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ADC531F" w14:textId="436F992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1CFD82D" wp14:editId="0AB7ACDF">
                <wp:extent cx="4140200" cy="6350"/>
                <wp:effectExtent l="0" t="0" r="12700" b="6350"/>
                <wp:docPr id="43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38" name="Line 4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2BDC6" id="Group_x0020_4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jVX/dgAIAAJgFAAAO&#10;AAAAAAAAAAAAAAAAACwCAABkcnMvZTJvRG9jLnhtbFBLAQItABQABgAIAAAAIQBMp7CQ2QAAAAMB&#10;AAAPAAAAAAAAAAAAAAAAANgEAABkcnMvZG93bnJldi54bWxQSwUGAAAAAAQABADzAAAA3gUAAAAA&#10;">
                <v:line id="Line_x0020_4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AsSsMAAADcAAAADwAAAGRycy9kb3ducmV2LnhtbERP3WrCMBS+H/gO4Qi7GZpuHSLVKDIQ&#10;ZBf+1Qc4Nse2mJzUJtpuT79cCLv8+P7ny94a8aDW144VvI8TEMSF0zWXCk75ejQF4QOyRuOYFPyQ&#10;h+Vi8DLHTLuOD/Q4hlLEEPYZKqhCaDIpfVGRRT92DXHkLq61GCJsS6lb7GK4NfIjSSbSYs2xocKG&#10;vioqrse7VZDf3oLZ775Nl+/OqTzftunvfavU67BfzUAE6sO/+OneaAWfaVwbz8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wLErDAAAA3AAAAA8AAAAAAAAAAAAA&#10;AAAAoQIAAGRycy9kb3ducmV2LnhtbFBLBQYAAAAABAAEAPkAAACRAwAAAAA=&#10;" strokecolor="#231f20" strokeweight=".5pt"/>
                <w10:anchorlock/>
              </v:group>
            </w:pict>
          </mc:Fallback>
        </mc:AlternateContent>
      </w:r>
    </w:p>
    <w:p w14:paraId="316DA760" w14:textId="77777777" w:rsidR="00DE575E" w:rsidRDefault="00DE575E">
      <w:pPr>
        <w:pStyle w:val="BodyText"/>
        <w:spacing w:before="7"/>
        <w:rPr>
          <w:rFonts w:ascii="AdonisC"/>
          <w:i/>
          <w:sz w:val="11"/>
        </w:rPr>
      </w:pPr>
    </w:p>
    <w:p w14:paraId="56BAE2EB" w14:textId="77777777" w:rsidR="00DE575E" w:rsidRDefault="002E7560">
      <w:pPr>
        <w:pStyle w:val="BodyText"/>
        <w:spacing w:before="101" w:line="252" w:lineRule="auto"/>
        <w:ind w:left="533"/>
      </w:pPr>
      <w:r>
        <w:rPr>
          <w:color w:val="231F20"/>
        </w:rPr>
        <w:t>підготовку, а також володіють державною мовою в обсязі, достат- ньому для виконання службових обов’язків.</w:t>
      </w:r>
    </w:p>
    <w:p w14:paraId="5AA0316E" w14:textId="77777777" w:rsidR="00DE575E" w:rsidRDefault="002E7560">
      <w:pPr>
        <w:spacing w:before="1" w:line="252" w:lineRule="auto"/>
        <w:ind w:left="533" w:right="128" w:firstLine="283"/>
        <w:jc w:val="both"/>
        <w:rPr>
          <w:sz w:val="21"/>
        </w:rPr>
      </w:pPr>
      <w:r>
        <w:rPr>
          <w:color w:val="231F20"/>
          <w:sz w:val="21"/>
        </w:rPr>
        <w:t xml:space="preserve">Власне, </w:t>
      </w:r>
      <w:r>
        <w:rPr>
          <w:b/>
          <w:i/>
          <w:color w:val="231F20"/>
          <w:sz w:val="21"/>
        </w:rPr>
        <w:t xml:space="preserve">посади в органах місцевого самоврядування </w:t>
      </w:r>
      <w:r>
        <w:rPr>
          <w:color w:val="231F20"/>
          <w:sz w:val="21"/>
        </w:rPr>
        <w:t>можна класифікувати залежно від засобів їх заміщення на такі ви</w:t>
      </w:r>
      <w:r>
        <w:rPr>
          <w:color w:val="231F20"/>
          <w:sz w:val="21"/>
        </w:rPr>
        <w:t>ди:</w:t>
      </w:r>
    </w:p>
    <w:p w14:paraId="4E951D8E" w14:textId="77777777" w:rsidR="00DE575E" w:rsidRDefault="002E7560">
      <w:pPr>
        <w:pStyle w:val="ListParagraph"/>
        <w:numPr>
          <w:ilvl w:val="0"/>
          <w:numId w:val="92"/>
        </w:numPr>
        <w:tabs>
          <w:tab w:val="left" w:pos="1101"/>
        </w:tabs>
        <w:ind w:firstLine="284"/>
        <w:jc w:val="left"/>
        <w:rPr>
          <w:sz w:val="21"/>
        </w:rPr>
      </w:pPr>
      <w:r>
        <w:rPr>
          <w:color w:val="231F20"/>
          <w:sz w:val="21"/>
        </w:rPr>
        <w:t>виборні посади, на які особи обираються на місцевих</w:t>
      </w:r>
      <w:r>
        <w:rPr>
          <w:color w:val="231F20"/>
          <w:spacing w:val="-15"/>
          <w:sz w:val="21"/>
        </w:rPr>
        <w:t xml:space="preserve"> </w:t>
      </w:r>
      <w:r>
        <w:rPr>
          <w:color w:val="231F20"/>
          <w:sz w:val="21"/>
        </w:rPr>
        <w:t>виборах;</w:t>
      </w:r>
    </w:p>
    <w:p w14:paraId="499BAD32" w14:textId="77777777" w:rsidR="00DE575E" w:rsidRDefault="002E7560">
      <w:pPr>
        <w:pStyle w:val="ListParagraph"/>
        <w:numPr>
          <w:ilvl w:val="0"/>
          <w:numId w:val="92"/>
        </w:numPr>
        <w:tabs>
          <w:tab w:val="left" w:pos="1101"/>
        </w:tabs>
        <w:spacing w:before="12" w:line="252" w:lineRule="auto"/>
        <w:ind w:right="127" w:firstLine="284"/>
        <w:rPr>
          <w:sz w:val="21"/>
        </w:rPr>
      </w:pPr>
      <w:r>
        <w:rPr>
          <w:color w:val="231F20"/>
          <w:sz w:val="21"/>
        </w:rPr>
        <w:t>виборні посади, на які особи обираються або затверджуються відповідною</w:t>
      </w:r>
      <w:r>
        <w:rPr>
          <w:color w:val="231F20"/>
          <w:spacing w:val="-2"/>
          <w:sz w:val="21"/>
        </w:rPr>
        <w:t xml:space="preserve"> </w:t>
      </w:r>
      <w:r>
        <w:rPr>
          <w:color w:val="231F20"/>
          <w:sz w:val="21"/>
        </w:rPr>
        <w:t>радою;</w:t>
      </w:r>
    </w:p>
    <w:p w14:paraId="7450447B" w14:textId="77777777" w:rsidR="00DE575E" w:rsidRDefault="002E7560">
      <w:pPr>
        <w:pStyle w:val="ListParagraph"/>
        <w:numPr>
          <w:ilvl w:val="0"/>
          <w:numId w:val="92"/>
        </w:numPr>
        <w:tabs>
          <w:tab w:val="left" w:pos="1101"/>
        </w:tabs>
        <w:spacing w:line="252" w:lineRule="auto"/>
        <w:ind w:right="126" w:firstLine="284"/>
        <w:rPr>
          <w:sz w:val="21"/>
        </w:rPr>
      </w:pPr>
      <w:r>
        <w:rPr>
          <w:color w:val="231F20"/>
          <w:sz w:val="21"/>
        </w:rPr>
        <w:t>посади, на які особи призначаються сільським, селищним, міським головою, головою районної, районної у місті, обла</w:t>
      </w:r>
      <w:r>
        <w:rPr>
          <w:color w:val="231F20"/>
          <w:sz w:val="21"/>
        </w:rPr>
        <w:t>сної ради на конкурсній основі чи за іншою процедурою, передбаченою зако- нодавством</w:t>
      </w:r>
      <w:r>
        <w:rPr>
          <w:color w:val="231F20"/>
          <w:spacing w:val="-2"/>
          <w:sz w:val="21"/>
        </w:rPr>
        <w:t xml:space="preserve"> </w:t>
      </w:r>
      <w:r>
        <w:rPr>
          <w:color w:val="231F20"/>
          <w:spacing w:val="-3"/>
          <w:sz w:val="21"/>
        </w:rPr>
        <w:t>України.</w:t>
      </w:r>
    </w:p>
    <w:p w14:paraId="46602369" w14:textId="77777777" w:rsidR="00DE575E" w:rsidRDefault="002E7560">
      <w:pPr>
        <w:spacing w:before="2" w:line="252" w:lineRule="auto"/>
        <w:ind w:left="533" w:right="128" w:firstLine="283"/>
        <w:jc w:val="both"/>
        <w:rPr>
          <w:sz w:val="21"/>
        </w:rPr>
      </w:pPr>
      <w:r>
        <w:rPr>
          <w:color w:val="231F20"/>
          <w:sz w:val="21"/>
        </w:rPr>
        <w:t>В</w:t>
      </w:r>
      <w:r>
        <w:rPr>
          <w:color w:val="231F20"/>
          <w:spacing w:val="-9"/>
          <w:sz w:val="21"/>
        </w:rPr>
        <w:t xml:space="preserve"> </w:t>
      </w:r>
      <w:r>
        <w:rPr>
          <w:color w:val="231F20"/>
          <w:sz w:val="21"/>
        </w:rPr>
        <w:t>органах</w:t>
      </w:r>
      <w:r>
        <w:rPr>
          <w:color w:val="231F20"/>
          <w:spacing w:val="-9"/>
          <w:sz w:val="21"/>
        </w:rPr>
        <w:t xml:space="preserve"> </w:t>
      </w:r>
      <w:r>
        <w:rPr>
          <w:color w:val="231F20"/>
          <w:sz w:val="21"/>
        </w:rPr>
        <w:t>місцевого</w:t>
      </w:r>
      <w:r>
        <w:rPr>
          <w:color w:val="231F20"/>
          <w:spacing w:val="-9"/>
          <w:sz w:val="21"/>
        </w:rPr>
        <w:t xml:space="preserve"> </w:t>
      </w:r>
      <w:r>
        <w:rPr>
          <w:color w:val="231F20"/>
          <w:sz w:val="21"/>
        </w:rPr>
        <w:t>самоврядування</w:t>
      </w:r>
      <w:r>
        <w:rPr>
          <w:color w:val="231F20"/>
          <w:spacing w:val="-9"/>
          <w:sz w:val="21"/>
        </w:rPr>
        <w:t xml:space="preserve"> </w:t>
      </w:r>
      <w:r>
        <w:rPr>
          <w:color w:val="231F20"/>
          <w:sz w:val="21"/>
        </w:rPr>
        <w:t>встановлюються</w:t>
      </w:r>
      <w:r>
        <w:rPr>
          <w:color w:val="231F20"/>
          <w:spacing w:val="-9"/>
          <w:sz w:val="21"/>
        </w:rPr>
        <w:t xml:space="preserve"> </w:t>
      </w:r>
      <w:r>
        <w:rPr>
          <w:color w:val="231F20"/>
          <w:sz w:val="21"/>
        </w:rPr>
        <w:t>такі</w:t>
      </w:r>
      <w:r>
        <w:rPr>
          <w:color w:val="231F20"/>
          <w:spacing w:val="-9"/>
          <w:sz w:val="21"/>
        </w:rPr>
        <w:t xml:space="preserve"> </w:t>
      </w:r>
      <w:r>
        <w:rPr>
          <w:b/>
          <w:i/>
          <w:color w:val="231F20"/>
          <w:sz w:val="21"/>
        </w:rPr>
        <w:t>кате- горії</w:t>
      </w:r>
      <w:r>
        <w:rPr>
          <w:b/>
          <w:i/>
          <w:color w:val="231F20"/>
          <w:spacing w:val="-2"/>
          <w:sz w:val="21"/>
        </w:rPr>
        <w:t xml:space="preserve"> </w:t>
      </w:r>
      <w:r>
        <w:rPr>
          <w:b/>
          <w:i/>
          <w:color w:val="231F20"/>
          <w:sz w:val="21"/>
        </w:rPr>
        <w:t>посад</w:t>
      </w:r>
      <w:r>
        <w:rPr>
          <w:color w:val="231F20"/>
          <w:sz w:val="21"/>
        </w:rPr>
        <w:t>:</w:t>
      </w:r>
    </w:p>
    <w:p w14:paraId="713B4F61" w14:textId="77777777" w:rsidR="00DE575E" w:rsidRDefault="002E7560">
      <w:pPr>
        <w:pStyle w:val="ListParagraph"/>
        <w:numPr>
          <w:ilvl w:val="2"/>
          <w:numId w:val="93"/>
        </w:numPr>
        <w:tabs>
          <w:tab w:val="left" w:pos="1101"/>
        </w:tabs>
        <w:spacing w:line="252" w:lineRule="auto"/>
        <w:ind w:right="127" w:firstLine="284"/>
        <w:rPr>
          <w:sz w:val="21"/>
        </w:rPr>
      </w:pPr>
      <w:r>
        <w:rPr>
          <w:i/>
          <w:color w:val="231F20"/>
          <w:sz w:val="21"/>
        </w:rPr>
        <w:t xml:space="preserve">перша категорія </w:t>
      </w:r>
      <w:r>
        <w:rPr>
          <w:color w:val="231F20"/>
          <w:sz w:val="21"/>
        </w:rPr>
        <w:t>– посади Київського міського голови, голів обласних рад та Севастопольського міського</w:t>
      </w:r>
      <w:r>
        <w:rPr>
          <w:color w:val="231F20"/>
          <w:spacing w:val="-3"/>
          <w:sz w:val="21"/>
        </w:rPr>
        <w:t xml:space="preserve"> </w:t>
      </w:r>
      <w:r>
        <w:rPr>
          <w:color w:val="231F20"/>
          <w:sz w:val="21"/>
        </w:rPr>
        <w:t>голови;</w:t>
      </w:r>
    </w:p>
    <w:p w14:paraId="0B612D15" w14:textId="77777777" w:rsidR="00DE575E" w:rsidRDefault="002E7560">
      <w:pPr>
        <w:pStyle w:val="ListParagraph"/>
        <w:numPr>
          <w:ilvl w:val="2"/>
          <w:numId w:val="93"/>
        </w:numPr>
        <w:tabs>
          <w:tab w:val="left" w:pos="1101"/>
        </w:tabs>
        <w:spacing w:line="252" w:lineRule="auto"/>
        <w:ind w:right="126" w:firstLine="284"/>
        <w:rPr>
          <w:sz w:val="21"/>
        </w:rPr>
      </w:pPr>
      <w:r>
        <w:rPr>
          <w:i/>
          <w:color w:val="231F20"/>
          <w:sz w:val="21"/>
        </w:rPr>
        <w:t xml:space="preserve">друга категорія </w:t>
      </w:r>
      <w:r>
        <w:rPr>
          <w:color w:val="231F20"/>
          <w:sz w:val="21"/>
        </w:rPr>
        <w:t>– посади Сімферопольського міського голови, міських (міст – обласних центрів) голів; заступників голів облас- них рад та Севастопольського міського голови, заступника міського голови – секретаря Київської міської</w:t>
      </w:r>
      <w:r>
        <w:rPr>
          <w:color w:val="231F20"/>
          <w:spacing w:val="-3"/>
          <w:sz w:val="21"/>
        </w:rPr>
        <w:t xml:space="preserve"> </w:t>
      </w:r>
      <w:r>
        <w:rPr>
          <w:color w:val="231F20"/>
          <w:sz w:val="21"/>
        </w:rPr>
        <w:t>ради;</w:t>
      </w:r>
    </w:p>
    <w:p w14:paraId="2A0B4763" w14:textId="77777777" w:rsidR="00DE575E" w:rsidRDefault="002E7560">
      <w:pPr>
        <w:pStyle w:val="ListParagraph"/>
        <w:numPr>
          <w:ilvl w:val="2"/>
          <w:numId w:val="93"/>
        </w:numPr>
        <w:tabs>
          <w:tab w:val="left" w:pos="1101"/>
        </w:tabs>
        <w:spacing w:before="2" w:line="252" w:lineRule="auto"/>
        <w:ind w:right="128" w:firstLine="284"/>
        <w:rPr>
          <w:sz w:val="21"/>
        </w:rPr>
      </w:pPr>
      <w:r>
        <w:rPr>
          <w:i/>
          <w:color w:val="231F20"/>
          <w:spacing w:val="-4"/>
          <w:sz w:val="21"/>
        </w:rPr>
        <w:t xml:space="preserve">третя </w:t>
      </w:r>
      <w:r>
        <w:rPr>
          <w:i/>
          <w:color w:val="231F20"/>
          <w:spacing w:val="-5"/>
          <w:sz w:val="21"/>
        </w:rPr>
        <w:t xml:space="preserve">категорія </w:t>
      </w:r>
      <w:r>
        <w:rPr>
          <w:color w:val="231F20"/>
          <w:sz w:val="21"/>
        </w:rPr>
        <w:t xml:space="preserve">– </w:t>
      </w:r>
      <w:r>
        <w:rPr>
          <w:color w:val="231F20"/>
          <w:spacing w:val="-5"/>
          <w:sz w:val="21"/>
        </w:rPr>
        <w:t>посади перших засту</w:t>
      </w:r>
      <w:r>
        <w:rPr>
          <w:color w:val="231F20"/>
          <w:spacing w:val="-5"/>
          <w:sz w:val="21"/>
        </w:rPr>
        <w:t xml:space="preserve">пників </w:t>
      </w:r>
      <w:r>
        <w:rPr>
          <w:color w:val="231F20"/>
          <w:spacing w:val="-3"/>
          <w:sz w:val="21"/>
        </w:rPr>
        <w:t xml:space="preserve">та </w:t>
      </w:r>
      <w:r>
        <w:rPr>
          <w:color w:val="231F20"/>
          <w:spacing w:val="-5"/>
          <w:sz w:val="21"/>
        </w:rPr>
        <w:t xml:space="preserve">заступників міських </w:t>
      </w:r>
      <w:r>
        <w:rPr>
          <w:color w:val="231F20"/>
          <w:spacing w:val="-4"/>
          <w:sz w:val="21"/>
        </w:rPr>
        <w:t xml:space="preserve">голів (міст </w:t>
      </w:r>
      <w:r>
        <w:rPr>
          <w:color w:val="231F20"/>
          <w:sz w:val="21"/>
        </w:rPr>
        <w:t xml:space="preserve">– </w:t>
      </w:r>
      <w:r>
        <w:rPr>
          <w:color w:val="231F20"/>
          <w:spacing w:val="-5"/>
          <w:sz w:val="21"/>
        </w:rPr>
        <w:t xml:space="preserve">обласних центрів) </w:t>
      </w:r>
      <w:r>
        <w:rPr>
          <w:color w:val="231F20"/>
          <w:sz w:val="21"/>
        </w:rPr>
        <w:t xml:space="preserve">з </w:t>
      </w:r>
      <w:r>
        <w:rPr>
          <w:color w:val="231F20"/>
          <w:spacing w:val="-5"/>
          <w:sz w:val="21"/>
        </w:rPr>
        <w:t xml:space="preserve">питань діяльності виконав- </w:t>
      </w:r>
      <w:r>
        <w:rPr>
          <w:color w:val="231F20"/>
          <w:spacing w:val="-4"/>
          <w:sz w:val="21"/>
        </w:rPr>
        <w:t xml:space="preserve">чих </w:t>
      </w:r>
      <w:r>
        <w:rPr>
          <w:color w:val="231F20"/>
          <w:spacing w:val="-5"/>
          <w:sz w:val="21"/>
        </w:rPr>
        <w:t xml:space="preserve">органів </w:t>
      </w:r>
      <w:r>
        <w:rPr>
          <w:color w:val="231F20"/>
          <w:spacing w:val="-4"/>
          <w:sz w:val="21"/>
        </w:rPr>
        <w:t xml:space="preserve">ради; </w:t>
      </w:r>
      <w:r>
        <w:rPr>
          <w:color w:val="231F20"/>
          <w:spacing w:val="-5"/>
          <w:sz w:val="21"/>
        </w:rPr>
        <w:t xml:space="preserve">секретарів міських </w:t>
      </w:r>
      <w:r>
        <w:rPr>
          <w:color w:val="231F20"/>
          <w:spacing w:val="-4"/>
          <w:sz w:val="21"/>
        </w:rPr>
        <w:t xml:space="preserve">(міст </w:t>
      </w:r>
      <w:r>
        <w:rPr>
          <w:color w:val="231F20"/>
          <w:sz w:val="21"/>
        </w:rPr>
        <w:t xml:space="preserve">– </w:t>
      </w:r>
      <w:r>
        <w:rPr>
          <w:color w:val="231F20"/>
          <w:spacing w:val="-5"/>
          <w:sz w:val="21"/>
        </w:rPr>
        <w:t xml:space="preserve">обласних центрів </w:t>
      </w:r>
      <w:r>
        <w:rPr>
          <w:color w:val="231F20"/>
          <w:spacing w:val="-3"/>
          <w:sz w:val="21"/>
        </w:rPr>
        <w:t xml:space="preserve">та </w:t>
      </w:r>
      <w:r>
        <w:rPr>
          <w:color w:val="231F20"/>
          <w:spacing w:val="-5"/>
          <w:sz w:val="21"/>
        </w:rPr>
        <w:t xml:space="preserve">міста Сімферополя) </w:t>
      </w:r>
      <w:r>
        <w:rPr>
          <w:color w:val="231F20"/>
          <w:spacing w:val="-4"/>
          <w:sz w:val="21"/>
        </w:rPr>
        <w:t xml:space="preserve">рад, </w:t>
      </w:r>
      <w:r>
        <w:rPr>
          <w:color w:val="231F20"/>
          <w:spacing w:val="-5"/>
          <w:sz w:val="21"/>
        </w:rPr>
        <w:t xml:space="preserve">міських </w:t>
      </w:r>
      <w:r>
        <w:rPr>
          <w:color w:val="231F20"/>
          <w:spacing w:val="-4"/>
          <w:sz w:val="21"/>
        </w:rPr>
        <w:t xml:space="preserve">голів  (міст  </w:t>
      </w:r>
      <w:r>
        <w:rPr>
          <w:color w:val="231F20"/>
          <w:spacing w:val="-5"/>
          <w:sz w:val="21"/>
        </w:rPr>
        <w:t xml:space="preserve">обласного  </w:t>
      </w:r>
      <w:r>
        <w:rPr>
          <w:color w:val="231F20"/>
          <w:sz w:val="21"/>
        </w:rPr>
        <w:t xml:space="preserve">і </w:t>
      </w:r>
      <w:r>
        <w:rPr>
          <w:color w:val="231F20"/>
          <w:spacing w:val="-5"/>
          <w:sz w:val="21"/>
        </w:rPr>
        <w:t xml:space="preserve">республіканського </w:t>
      </w:r>
      <w:r>
        <w:rPr>
          <w:color w:val="231F20"/>
          <w:sz w:val="21"/>
        </w:rPr>
        <w:t xml:space="preserve">в </w:t>
      </w:r>
      <w:r>
        <w:rPr>
          <w:color w:val="231F20"/>
          <w:spacing w:val="-5"/>
          <w:sz w:val="21"/>
        </w:rPr>
        <w:t>Автономній Республіці</w:t>
      </w:r>
      <w:r>
        <w:rPr>
          <w:color w:val="231F20"/>
          <w:spacing w:val="-5"/>
          <w:sz w:val="21"/>
        </w:rPr>
        <w:t xml:space="preserve"> </w:t>
      </w:r>
      <w:r>
        <w:rPr>
          <w:color w:val="231F20"/>
          <w:spacing w:val="-4"/>
          <w:sz w:val="21"/>
        </w:rPr>
        <w:t xml:space="preserve">Крим </w:t>
      </w:r>
      <w:r>
        <w:rPr>
          <w:color w:val="231F20"/>
          <w:spacing w:val="-5"/>
          <w:sz w:val="21"/>
        </w:rPr>
        <w:t xml:space="preserve">значення, </w:t>
      </w:r>
      <w:r>
        <w:rPr>
          <w:color w:val="231F20"/>
          <w:spacing w:val="-4"/>
          <w:sz w:val="21"/>
        </w:rPr>
        <w:t xml:space="preserve">крім міст </w:t>
      </w:r>
      <w:r>
        <w:rPr>
          <w:color w:val="231F20"/>
          <w:sz w:val="21"/>
        </w:rPr>
        <w:t xml:space="preserve">– </w:t>
      </w:r>
      <w:r>
        <w:rPr>
          <w:color w:val="231F20"/>
          <w:spacing w:val="-5"/>
          <w:sz w:val="21"/>
        </w:rPr>
        <w:t xml:space="preserve">обласних центрів), </w:t>
      </w:r>
      <w:r>
        <w:rPr>
          <w:color w:val="231F20"/>
          <w:spacing w:val="-4"/>
          <w:sz w:val="21"/>
        </w:rPr>
        <w:t xml:space="preserve">голів </w:t>
      </w:r>
      <w:r>
        <w:rPr>
          <w:color w:val="231F20"/>
          <w:spacing w:val="-5"/>
          <w:sz w:val="21"/>
        </w:rPr>
        <w:t xml:space="preserve">районних, районних </w:t>
      </w:r>
      <w:r>
        <w:rPr>
          <w:color w:val="231F20"/>
          <w:sz w:val="21"/>
        </w:rPr>
        <w:t xml:space="preserve">у </w:t>
      </w:r>
      <w:r>
        <w:rPr>
          <w:color w:val="231F20"/>
          <w:spacing w:val="-5"/>
          <w:sz w:val="21"/>
        </w:rPr>
        <w:t xml:space="preserve">містах </w:t>
      </w:r>
      <w:r>
        <w:rPr>
          <w:color w:val="231F20"/>
          <w:spacing w:val="-4"/>
          <w:sz w:val="21"/>
        </w:rPr>
        <w:t xml:space="preserve">рад; </w:t>
      </w:r>
      <w:r>
        <w:rPr>
          <w:color w:val="231F20"/>
          <w:sz w:val="21"/>
        </w:rPr>
        <w:t xml:space="preserve">а </w:t>
      </w:r>
      <w:r>
        <w:rPr>
          <w:color w:val="231F20"/>
          <w:spacing w:val="-5"/>
          <w:sz w:val="21"/>
        </w:rPr>
        <w:t xml:space="preserve">також керуючих справами виконавчих апаратів обласних </w:t>
      </w:r>
      <w:r>
        <w:rPr>
          <w:color w:val="231F20"/>
          <w:sz w:val="21"/>
        </w:rPr>
        <w:t xml:space="preserve">і </w:t>
      </w:r>
      <w:r>
        <w:rPr>
          <w:color w:val="231F20"/>
          <w:spacing w:val="-5"/>
          <w:sz w:val="21"/>
        </w:rPr>
        <w:t>Севастопольської міської</w:t>
      </w:r>
      <w:r>
        <w:rPr>
          <w:color w:val="231F20"/>
          <w:spacing w:val="-30"/>
          <w:sz w:val="21"/>
        </w:rPr>
        <w:t xml:space="preserve"> </w:t>
      </w:r>
      <w:r>
        <w:rPr>
          <w:color w:val="231F20"/>
          <w:spacing w:val="-5"/>
          <w:sz w:val="21"/>
        </w:rPr>
        <w:t>рад;</w:t>
      </w:r>
    </w:p>
    <w:p w14:paraId="0DBE62C1" w14:textId="77777777" w:rsidR="00DE575E" w:rsidRDefault="002E7560">
      <w:pPr>
        <w:pStyle w:val="ListParagraph"/>
        <w:numPr>
          <w:ilvl w:val="2"/>
          <w:numId w:val="93"/>
        </w:numPr>
        <w:tabs>
          <w:tab w:val="left" w:pos="1101"/>
        </w:tabs>
        <w:spacing w:before="4" w:line="252" w:lineRule="auto"/>
        <w:ind w:right="126" w:firstLine="284"/>
        <w:rPr>
          <w:sz w:val="21"/>
        </w:rPr>
      </w:pPr>
      <w:r>
        <w:rPr>
          <w:i/>
          <w:color w:val="231F20"/>
          <w:sz w:val="21"/>
        </w:rPr>
        <w:t>четверта</w:t>
      </w:r>
      <w:r>
        <w:rPr>
          <w:i/>
          <w:color w:val="231F20"/>
          <w:spacing w:val="-5"/>
          <w:sz w:val="21"/>
        </w:rPr>
        <w:t xml:space="preserve"> </w:t>
      </w:r>
      <w:r>
        <w:rPr>
          <w:i/>
          <w:color w:val="231F20"/>
          <w:sz w:val="21"/>
        </w:rPr>
        <w:t>категорія</w:t>
      </w:r>
      <w:r>
        <w:rPr>
          <w:i/>
          <w:color w:val="231F20"/>
          <w:spacing w:val="-6"/>
          <w:sz w:val="21"/>
        </w:rPr>
        <w:t xml:space="preserve"> </w:t>
      </w:r>
      <w:r>
        <w:rPr>
          <w:color w:val="231F20"/>
          <w:sz w:val="21"/>
        </w:rPr>
        <w:t>–</w:t>
      </w:r>
      <w:r>
        <w:rPr>
          <w:color w:val="231F20"/>
          <w:spacing w:val="-6"/>
          <w:sz w:val="21"/>
        </w:rPr>
        <w:t xml:space="preserve"> </w:t>
      </w:r>
      <w:r>
        <w:rPr>
          <w:color w:val="231F20"/>
          <w:sz w:val="21"/>
        </w:rPr>
        <w:t>посади</w:t>
      </w:r>
      <w:r>
        <w:rPr>
          <w:color w:val="231F20"/>
          <w:spacing w:val="-6"/>
          <w:sz w:val="21"/>
        </w:rPr>
        <w:t xml:space="preserve"> </w:t>
      </w:r>
      <w:r>
        <w:rPr>
          <w:color w:val="231F20"/>
          <w:sz w:val="21"/>
        </w:rPr>
        <w:t>голів</w:t>
      </w:r>
      <w:r>
        <w:rPr>
          <w:color w:val="231F20"/>
          <w:spacing w:val="-6"/>
          <w:sz w:val="21"/>
        </w:rPr>
        <w:t xml:space="preserve"> </w:t>
      </w:r>
      <w:r>
        <w:rPr>
          <w:color w:val="231F20"/>
          <w:sz w:val="21"/>
        </w:rPr>
        <w:t>постійних</w:t>
      </w:r>
      <w:r>
        <w:rPr>
          <w:color w:val="231F20"/>
          <w:spacing w:val="-6"/>
          <w:sz w:val="21"/>
        </w:rPr>
        <w:t xml:space="preserve"> </w:t>
      </w:r>
      <w:r>
        <w:rPr>
          <w:color w:val="231F20"/>
          <w:sz w:val="21"/>
        </w:rPr>
        <w:t>комісій</w:t>
      </w:r>
      <w:r>
        <w:rPr>
          <w:color w:val="231F20"/>
          <w:spacing w:val="-6"/>
          <w:sz w:val="21"/>
        </w:rPr>
        <w:t xml:space="preserve"> </w:t>
      </w:r>
      <w:r>
        <w:rPr>
          <w:color w:val="231F20"/>
          <w:sz w:val="21"/>
        </w:rPr>
        <w:t>з</w:t>
      </w:r>
      <w:r>
        <w:rPr>
          <w:color w:val="231F20"/>
          <w:spacing w:val="-6"/>
          <w:sz w:val="21"/>
        </w:rPr>
        <w:t xml:space="preserve"> </w:t>
      </w:r>
      <w:r>
        <w:rPr>
          <w:color w:val="231F20"/>
          <w:sz w:val="21"/>
        </w:rPr>
        <w:t>питань бюджету</w:t>
      </w:r>
      <w:r>
        <w:rPr>
          <w:color w:val="231F20"/>
          <w:spacing w:val="-11"/>
          <w:sz w:val="21"/>
        </w:rPr>
        <w:t xml:space="preserve"> </w:t>
      </w:r>
      <w:r>
        <w:rPr>
          <w:color w:val="231F20"/>
          <w:sz w:val="21"/>
        </w:rPr>
        <w:t>обласних,</w:t>
      </w:r>
      <w:r>
        <w:rPr>
          <w:color w:val="231F20"/>
          <w:spacing w:val="-11"/>
          <w:sz w:val="21"/>
        </w:rPr>
        <w:t xml:space="preserve"> </w:t>
      </w:r>
      <w:r>
        <w:rPr>
          <w:color w:val="231F20"/>
          <w:sz w:val="21"/>
        </w:rPr>
        <w:t>Київської</w:t>
      </w:r>
      <w:r>
        <w:rPr>
          <w:color w:val="231F20"/>
          <w:spacing w:val="-11"/>
          <w:sz w:val="21"/>
        </w:rPr>
        <w:t xml:space="preserve"> </w:t>
      </w:r>
      <w:r>
        <w:rPr>
          <w:color w:val="231F20"/>
          <w:sz w:val="21"/>
        </w:rPr>
        <w:t>та</w:t>
      </w:r>
      <w:r>
        <w:rPr>
          <w:color w:val="231F20"/>
          <w:spacing w:val="-11"/>
          <w:sz w:val="21"/>
        </w:rPr>
        <w:t xml:space="preserve"> </w:t>
      </w:r>
      <w:r>
        <w:rPr>
          <w:color w:val="231F20"/>
          <w:sz w:val="21"/>
        </w:rPr>
        <w:t>Севастопольської</w:t>
      </w:r>
      <w:r>
        <w:rPr>
          <w:color w:val="231F20"/>
          <w:spacing w:val="-11"/>
          <w:sz w:val="21"/>
        </w:rPr>
        <w:t xml:space="preserve"> </w:t>
      </w:r>
      <w:r>
        <w:rPr>
          <w:color w:val="231F20"/>
          <w:sz w:val="21"/>
        </w:rPr>
        <w:t>міських</w:t>
      </w:r>
      <w:r>
        <w:rPr>
          <w:color w:val="231F20"/>
          <w:spacing w:val="-11"/>
          <w:sz w:val="21"/>
        </w:rPr>
        <w:t xml:space="preserve"> </w:t>
      </w:r>
      <w:r>
        <w:rPr>
          <w:color w:val="231F20"/>
          <w:sz w:val="21"/>
        </w:rPr>
        <w:t>рад</w:t>
      </w:r>
      <w:r>
        <w:rPr>
          <w:color w:val="231F20"/>
          <w:spacing w:val="-11"/>
          <w:sz w:val="21"/>
        </w:rPr>
        <w:t xml:space="preserve"> </w:t>
      </w:r>
      <w:r>
        <w:rPr>
          <w:color w:val="231F20"/>
          <w:sz w:val="21"/>
        </w:rPr>
        <w:t>(у</w:t>
      </w:r>
      <w:r>
        <w:rPr>
          <w:color w:val="231F20"/>
          <w:spacing w:val="-11"/>
          <w:sz w:val="21"/>
        </w:rPr>
        <w:t xml:space="preserve"> </w:t>
      </w:r>
      <w:r>
        <w:rPr>
          <w:color w:val="231F20"/>
          <w:sz w:val="21"/>
        </w:rPr>
        <w:t>разі коли вони працюють у раді на постійній основі), керівників управ- лінь і відділів виконавчого апарату обласних, Севастопольської міської та секретаріату Київської міської рад, секретарів міських (міст облас</w:t>
      </w:r>
      <w:r>
        <w:rPr>
          <w:color w:val="231F20"/>
          <w:sz w:val="21"/>
        </w:rPr>
        <w:t>ного і республіканського в Автономній Республіці Крим значення) рад, заступників міських (міст обласного і республікан- ського в АРК значення) голів з питань діяльності виконавчих орга- нів ради, керуючих справами (секретарів) виконавчих комітетів, директо</w:t>
      </w:r>
      <w:r>
        <w:rPr>
          <w:color w:val="231F20"/>
          <w:sz w:val="21"/>
        </w:rPr>
        <w:t>рів, перших заступників, заступників директорів департа- ментів</w:t>
      </w:r>
      <w:r>
        <w:rPr>
          <w:color w:val="231F20"/>
          <w:spacing w:val="-5"/>
          <w:sz w:val="21"/>
        </w:rPr>
        <w:t xml:space="preserve"> </w:t>
      </w:r>
      <w:r>
        <w:rPr>
          <w:color w:val="231F20"/>
          <w:sz w:val="21"/>
        </w:rPr>
        <w:t>міських</w:t>
      </w:r>
      <w:r>
        <w:rPr>
          <w:color w:val="231F20"/>
          <w:spacing w:val="-5"/>
          <w:sz w:val="21"/>
        </w:rPr>
        <w:t xml:space="preserve"> </w:t>
      </w:r>
      <w:r>
        <w:rPr>
          <w:color w:val="231F20"/>
          <w:sz w:val="21"/>
        </w:rPr>
        <w:t>(міст</w:t>
      </w:r>
      <w:r>
        <w:rPr>
          <w:color w:val="231F20"/>
          <w:spacing w:val="-5"/>
          <w:sz w:val="21"/>
        </w:rPr>
        <w:t xml:space="preserve"> </w:t>
      </w:r>
      <w:r>
        <w:rPr>
          <w:color w:val="231F20"/>
          <w:sz w:val="21"/>
        </w:rPr>
        <w:t>обласного</w:t>
      </w:r>
      <w:r>
        <w:rPr>
          <w:color w:val="231F20"/>
          <w:spacing w:val="-5"/>
          <w:sz w:val="21"/>
        </w:rPr>
        <w:t xml:space="preserve"> </w:t>
      </w:r>
      <w:r>
        <w:rPr>
          <w:color w:val="231F20"/>
          <w:sz w:val="21"/>
        </w:rPr>
        <w:t>і</w:t>
      </w:r>
      <w:r>
        <w:rPr>
          <w:color w:val="231F20"/>
          <w:spacing w:val="-6"/>
          <w:sz w:val="21"/>
        </w:rPr>
        <w:t xml:space="preserve"> </w:t>
      </w:r>
      <w:r>
        <w:rPr>
          <w:color w:val="231F20"/>
          <w:sz w:val="21"/>
        </w:rPr>
        <w:t>республіканського</w:t>
      </w:r>
      <w:r>
        <w:rPr>
          <w:color w:val="231F20"/>
          <w:spacing w:val="-5"/>
          <w:sz w:val="21"/>
        </w:rPr>
        <w:t xml:space="preserve"> </w:t>
      </w:r>
      <w:r>
        <w:rPr>
          <w:color w:val="231F20"/>
          <w:sz w:val="21"/>
        </w:rPr>
        <w:t>в</w:t>
      </w:r>
      <w:r>
        <w:rPr>
          <w:color w:val="231F20"/>
          <w:spacing w:val="-4"/>
          <w:sz w:val="21"/>
        </w:rPr>
        <w:t xml:space="preserve"> </w:t>
      </w:r>
      <w:r>
        <w:rPr>
          <w:color w:val="231F20"/>
          <w:sz w:val="21"/>
        </w:rPr>
        <w:t>АРК</w:t>
      </w:r>
      <w:r>
        <w:rPr>
          <w:color w:val="231F20"/>
          <w:spacing w:val="-5"/>
          <w:sz w:val="21"/>
        </w:rPr>
        <w:t xml:space="preserve"> </w:t>
      </w:r>
      <w:r>
        <w:rPr>
          <w:color w:val="231F20"/>
          <w:sz w:val="21"/>
        </w:rPr>
        <w:t>значення) рад, міських (міст районного значення) голів, селищних і сільських голів, посади заступників голів районних</w:t>
      </w:r>
      <w:r>
        <w:rPr>
          <w:color w:val="231F20"/>
          <w:spacing w:val="-3"/>
          <w:sz w:val="21"/>
        </w:rPr>
        <w:t xml:space="preserve"> </w:t>
      </w:r>
      <w:r>
        <w:rPr>
          <w:color w:val="231F20"/>
          <w:sz w:val="21"/>
        </w:rPr>
        <w:t>рад;</w:t>
      </w:r>
    </w:p>
    <w:p w14:paraId="5BDF4C05" w14:textId="77777777" w:rsidR="00DE575E" w:rsidRDefault="00DE575E">
      <w:pPr>
        <w:pStyle w:val="BodyText"/>
        <w:spacing w:before="10"/>
        <w:rPr>
          <w:sz w:val="12"/>
        </w:rPr>
      </w:pPr>
    </w:p>
    <w:p w14:paraId="207447B7" w14:textId="77777777" w:rsidR="00DE575E" w:rsidRDefault="002E7560">
      <w:pPr>
        <w:spacing w:before="92"/>
        <w:ind w:left="533"/>
        <w:rPr>
          <w:rFonts w:ascii="Times New Roman"/>
          <w:sz w:val="20"/>
        </w:rPr>
      </w:pPr>
      <w:r>
        <w:rPr>
          <w:rFonts w:ascii="Times New Roman"/>
          <w:color w:val="231F20"/>
          <w:sz w:val="20"/>
        </w:rPr>
        <w:t>386</w:t>
      </w:r>
    </w:p>
    <w:p w14:paraId="27F0008A" w14:textId="77777777" w:rsidR="00DE575E" w:rsidRDefault="00DE575E">
      <w:pPr>
        <w:rPr>
          <w:rFonts w:ascii="Times New Roman"/>
          <w:sz w:val="20"/>
        </w:rPr>
        <w:sectPr w:rsidR="00DE575E">
          <w:pgSz w:w="8510" w:h="12760"/>
          <w:pgMar w:top="660" w:right="720" w:bottom="280" w:left="600" w:header="720" w:footer="720" w:gutter="0"/>
          <w:cols w:space="720"/>
        </w:sectPr>
      </w:pPr>
    </w:p>
    <w:p w14:paraId="3D51656E"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самоврядування</w:t>
      </w:r>
    </w:p>
    <w:p w14:paraId="76AD08BF" w14:textId="5B26363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EA4A78A" wp14:editId="7BADF1E7">
                <wp:extent cx="4140200" cy="6350"/>
                <wp:effectExtent l="0" t="0" r="12700" b="6350"/>
                <wp:docPr id="435"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36" name="Line 4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9AFB4" id="Group_x0020_4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DwkJN/AgAAmAUAAA4A&#10;AAAAAAAAAAAAAAAALAIAAGRycy9lMm9Eb2MueG1sUEsBAi0AFAAGAAgAAAAhAEynsJDZAAAAAwEA&#10;AA8AAAAAAAAAAAAAAAAA1wQAAGRycy9kb3ducmV2LnhtbFBLBQYAAAAABAAEAPMAAADdBQAAAAA=&#10;">
                <v:line id="Line_x0020_4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Mdo8YAAADcAAAADwAAAGRycy9kb3ducmV2LnhtbESP3WrCQBSE74W+w3IKvRHdtBGR6Cql&#10;UCi98C8+wDF7TEJ3z8bsatI+fVcQvBxm5htmseqtEVdqfe1Ywes4AUFcOF1zqeCQf45mIHxA1mgc&#10;k4Jf8rBaPg0WmGnX8Y6u+1CKCGGfoYIqhCaT0hcVWfRj1xBH7+RaiyHKtpS6xS7CrZFvSTKVFmuO&#10;CxU29FFR8bO/WAX5eRjMdvNtunxzTOXxvE7/LmulXp779zmIQH14hO/tL61gkk7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QjHaPGAAAA3AAAAA8AAAAAAAAA&#10;AAAAAAAAoQIAAGRycy9kb3ducmV2LnhtbFBLBQYAAAAABAAEAPkAAACUAwAAAAA=&#10;" strokecolor="#231f20" strokeweight=".5pt"/>
                <w10:anchorlock/>
              </v:group>
            </w:pict>
          </mc:Fallback>
        </mc:AlternateContent>
      </w:r>
    </w:p>
    <w:p w14:paraId="673574C8" w14:textId="77777777" w:rsidR="00DE575E" w:rsidRDefault="00DE575E">
      <w:pPr>
        <w:pStyle w:val="BodyText"/>
        <w:spacing w:before="7"/>
        <w:rPr>
          <w:rFonts w:ascii="AdonisC"/>
          <w:i/>
          <w:sz w:val="19"/>
        </w:rPr>
      </w:pPr>
    </w:p>
    <w:p w14:paraId="08CDFDFE" w14:textId="77777777" w:rsidR="00DE575E" w:rsidRDefault="002E7560">
      <w:pPr>
        <w:pStyle w:val="ListParagraph"/>
        <w:numPr>
          <w:ilvl w:val="0"/>
          <w:numId w:val="98"/>
        </w:numPr>
        <w:tabs>
          <w:tab w:val="left" w:pos="818"/>
        </w:tabs>
        <w:spacing w:line="252" w:lineRule="auto"/>
        <w:ind w:right="409" w:firstLine="283"/>
        <w:rPr>
          <w:sz w:val="21"/>
        </w:rPr>
      </w:pPr>
      <w:r>
        <w:rPr>
          <w:i/>
          <w:color w:val="231F20"/>
          <w:sz w:val="21"/>
        </w:rPr>
        <w:t xml:space="preserve">п’ята категорія </w:t>
      </w:r>
      <w:r>
        <w:rPr>
          <w:color w:val="231F20"/>
          <w:sz w:val="21"/>
        </w:rPr>
        <w:t>– керуючих справами виконавчих апаратів районних рад, к</w:t>
      </w:r>
      <w:r>
        <w:rPr>
          <w:color w:val="231F20"/>
          <w:sz w:val="21"/>
        </w:rPr>
        <w:t xml:space="preserve">еруючих справами (секретарів) виконавчих коміте- тів районних у містах рад, помічників голів, радників </w:t>
      </w:r>
      <w:r>
        <w:rPr>
          <w:color w:val="231F20"/>
          <w:spacing w:val="-2"/>
          <w:sz w:val="21"/>
        </w:rPr>
        <w:t xml:space="preserve">(консультан- </w:t>
      </w:r>
      <w:r>
        <w:rPr>
          <w:color w:val="231F20"/>
          <w:sz w:val="21"/>
        </w:rPr>
        <w:t>тів),</w:t>
      </w:r>
      <w:r>
        <w:rPr>
          <w:color w:val="231F20"/>
          <w:spacing w:val="-9"/>
          <w:sz w:val="21"/>
        </w:rPr>
        <w:t xml:space="preserve"> </w:t>
      </w:r>
      <w:r>
        <w:rPr>
          <w:color w:val="231F20"/>
          <w:sz w:val="21"/>
        </w:rPr>
        <w:t>спеціалістів,</w:t>
      </w:r>
      <w:r>
        <w:rPr>
          <w:color w:val="231F20"/>
          <w:spacing w:val="-9"/>
          <w:sz w:val="21"/>
        </w:rPr>
        <w:t xml:space="preserve"> </w:t>
      </w:r>
      <w:r>
        <w:rPr>
          <w:color w:val="231F20"/>
          <w:sz w:val="21"/>
        </w:rPr>
        <w:t>головних</w:t>
      </w:r>
      <w:r>
        <w:rPr>
          <w:color w:val="231F20"/>
          <w:spacing w:val="-9"/>
          <w:sz w:val="21"/>
        </w:rPr>
        <w:t xml:space="preserve"> </w:t>
      </w:r>
      <w:r>
        <w:rPr>
          <w:color w:val="231F20"/>
          <w:sz w:val="21"/>
        </w:rPr>
        <w:t>бухгалтерів</w:t>
      </w:r>
      <w:r>
        <w:rPr>
          <w:color w:val="231F20"/>
          <w:spacing w:val="-9"/>
          <w:sz w:val="21"/>
        </w:rPr>
        <w:t xml:space="preserve"> </w:t>
      </w:r>
      <w:r>
        <w:rPr>
          <w:color w:val="231F20"/>
          <w:sz w:val="21"/>
        </w:rPr>
        <w:t>управлінь</w:t>
      </w:r>
      <w:r>
        <w:rPr>
          <w:color w:val="231F20"/>
          <w:spacing w:val="-9"/>
          <w:sz w:val="21"/>
        </w:rPr>
        <w:t xml:space="preserve"> </w:t>
      </w:r>
      <w:r>
        <w:rPr>
          <w:color w:val="231F20"/>
          <w:sz w:val="21"/>
        </w:rPr>
        <w:t>і</w:t>
      </w:r>
      <w:r>
        <w:rPr>
          <w:color w:val="231F20"/>
          <w:spacing w:val="-8"/>
          <w:sz w:val="21"/>
        </w:rPr>
        <w:t xml:space="preserve"> </w:t>
      </w:r>
      <w:r>
        <w:rPr>
          <w:color w:val="231F20"/>
          <w:sz w:val="21"/>
        </w:rPr>
        <w:t>відділів</w:t>
      </w:r>
      <w:r>
        <w:rPr>
          <w:color w:val="231F20"/>
          <w:spacing w:val="-9"/>
          <w:sz w:val="21"/>
        </w:rPr>
        <w:t xml:space="preserve"> </w:t>
      </w:r>
      <w:r>
        <w:rPr>
          <w:color w:val="231F20"/>
          <w:sz w:val="21"/>
        </w:rPr>
        <w:t>виконав- чого апарату обласних, секретаріатів Київської та Севастопольської мі</w:t>
      </w:r>
      <w:r>
        <w:rPr>
          <w:color w:val="231F20"/>
          <w:sz w:val="21"/>
        </w:rPr>
        <w:t>ських рад, керівників управлінь, відділів та інших виконавчих органів міських (міст обласного і республіканського в Автономній Республіці Крим значення) рад та їх заступників, керівників відді- лів (підвідділів) у складі самостійних управлінь, відділів вик</w:t>
      </w:r>
      <w:r>
        <w:rPr>
          <w:color w:val="231F20"/>
          <w:sz w:val="21"/>
        </w:rPr>
        <w:t>онав- чих органів міських (міст обласного значення) рад, посади заступ- ників міських (міст районного значення), сільських, селищних голів з питань діяльності виконавчих органів ради, секретарів міських (міст районного значення), сільських, селищних</w:t>
      </w:r>
      <w:r>
        <w:rPr>
          <w:color w:val="231F20"/>
          <w:spacing w:val="-5"/>
          <w:sz w:val="21"/>
        </w:rPr>
        <w:t xml:space="preserve"> </w:t>
      </w:r>
      <w:r>
        <w:rPr>
          <w:color w:val="231F20"/>
          <w:sz w:val="21"/>
        </w:rPr>
        <w:t>рад;</w:t>
      </w:r>
    </w:p>
    <w:p w14:paraId="6195AAE0" w14:textId="77777777" w:rsidR="00DE575E" w:rsidRDefault="002E7560">
      <w:pPr>
        <w:pStyle w:val="ListParagraph"/>
        <w:numPr>
          <w:ilvl w:val="0"/>
          <w:numId w:val="98"/>
        </w:numPr>
        <w:tabs>
          <w:tab w:val="left" w:pos="818"/>
        </w:tabs>
        <w:spacing w:before="6" w:line="252" w:lineRule="auto"/>
        <w:ind w:right="408" w:firstLine="283"/>
        <w:rPr>
          <w:sz w:val="21"/>
        </w:rPr>
      </w:pPr>
      <w:r>
        <w:rPr>
          <w:i/>
          <w:color w:val="231F20"/>
          <w:sz w:val="21"/>
        </w:rPr>
        <w:t>ш</w:t>
      </w:r>
      <w:r>
        <w:rPr>
          <w:i/>
          <w:color w:val="231F20"/>
          <w:sz w:val="21"/>
        </w:rPr>
        <w:t xml:space="preserve">оста категорія </w:t>
      </w:r>
      <w:r>
        <w:rPr>
          <w:color w:val="231F20"/>
          <w:sz w:val="21"/>
        </w:rPr>
        <w:t>– посади керуючих справами (секретарів) виконавчих комітетів міських (міст районного значення), сільсь- ких, селищних рад, керівників структурних підрозділів виконав- чого апарату районних та секретаріатів районних  у  містах  Києві та Севас</w:t>
      </w:r>
      <w:r>
        <w:rPr>
          <w:color w:val="231F20"/>
          <w:sz w:val="21"/>
        </w:rPr>
        <w:t xml:space="preserve">тополі рад та їх заступників, керівників управлінь, відді-  лів та інших структурних підрозділів виконавчих органів міських (міст районного значення), районних у містах рад та їх заступни- ків, помічників голів, радників, консультантів, начальників секто- </w:t>
      </w:r>
      <w:r>
        <w:rPr>
          <w:color w:val="231F20"/>
          <w:sz w:val="21"/>
        </w:rPr>
        <w:t>рів, головних бухгалтерів, спеціалістів управлінь, відділів, інших структурних підрозділів виконавчих органів міських (міст облас- ного значення та міста Сімферополя) рад,</w:t>
      </w:r>
      <w:r>
        <w:rPr>
          <w:color w:val="231F20"/>
          <w:spacing w:val="33"/>
          <w:sz w:val="21"/>
        </w:rPr>
        <w:t xml:space="preserve"> </w:t>
      </w:r>
      <w:r>
        <w:rPr>
          <w:color w:val="231F20"/>
          <w:sz w:val="21"/>
        </w:rPr>
        <w:t>старост;</w:t>
      </w:r>
    </w:p>
    <w:p w14:paraId="45C936A8" w14:textId="77777777" w:rsidR="00DE575E" w:rsidRDefault="002E7560">
      <w:pPr>
        <w:pStyle w:val="ListParagraph"/>
        <w:numPr>
          <w:ilvl w:val="0"/>
          <w:numId w:val="98"/>
        </w:numPr>
        <w:tabs>
          <w:tab w:val="left" w:pos="818"/>
        </w:tabs>
        <w:spacing w:before="6" w:line="252" w:lineRule="auto"/>
        <w:ind w:right="408" w:firstLine="283"/>
        <w:rPr>
          <w:sz w:val="21"/>
        </w:rPr>
      </w:pPr>
      <w:r>
        <w:rPr>
          <w:i/>
          <w:color w:val="231F20"/>
          <w:sz w:val="21"/>
        </w:rPr>
        <w:t xml:space="preserve">сьома категорія </w:t>
      </w:r>
      <w:r>
        <w:rPr>
          <w:color w:val="231F20"/>
          <w:sz w:val="21"/>
        </w:rPr>
        <w:t>– посади радників, консультантів секретарі- атів районних у містах рад, спеціалістів виконавчих органів район- них у містах, міських (міст районного значення) рад, спеціалістів виконавчих органів сільських, селищних</w:t>
      </w:r>
      <w:r>
        <w:rPr>
          <w:color w:val="231F20"/>
          <w:spacing w:val="20"/>
          <w:sz w:val="21"/>
        </w:rPr>
        <w:t xml:space="preserve"> </w:t>
      </w:r>
      <w:r>
        <w:rPr>
          <w:color w:val="231F20"/>
          <w:sz w:val="21"/>
        </w:rPr>
        <w:t>рад.</w:t>
      </w:r>
    </w:p>
    <w:p w14:paraId="5342985B" w14:textId="77777777" w:rsidR="00DE575E" w:rsidRDefault="002E7560">
      <w:pPr>
        <w:pStyle w:val="BodyText"/>
        <w:spacing w:before="1" w:line="252" w:lineRule="auto"/>
        <w:ind w:left="250" w:right="409" w:firstLine="283"/>
        <w:jc w:val="both"/>
      </w:pPr>
      <w:r>
        <w:rPr>
          <w:color w:val="231F20"/>
        </w:rPr>
        <w:t>Віднесення інших посад органів місцевого самоврядування до відповідної категорії посад в органах місцевого самоврядування здійснюється Кабінетом Міністрів України за поданням  керівни- ків відповідних органів місцевого самоврядування</w:t>
      </w:r>
      <w:r>
        <w:rPr>
          <w:color w:val="231F20"/>
          <w:position w:val="7"/>
          <w:sz w:val="12"/>
        </w:rPr>
        <w:t>1</w:t>
      </w:r>
      <w:r>
        <w:rPr>
          <w:color w:val="231F20"/>
        </w:rPr>
        <w:t xml:space="preserve">. Варто звер- нути </w:t>
      </w:r>
      <w:r>
        <w:rPr>
          <w:color w:val="231F20"/>
          <w:spacing w:val="-2"/>
        </w:rPr>
        <w:t>ува</w:t>
      </w:r>
      <w:r>
        <w:rPr>
          <w:color w:val="231F20"/>
          <w:spacing w:val="-2"/>
        </w:rPr>
        <w:t xml:space="preserve">гу, </w:t>
      </w:r>
      <w:r>
        <w:rPr>
          <w:color w:val="231F20"/>
        </w:rPr>
        <w:t>що наведена класифікація категорій посад органів місцевого самоврядування є нормативною та визначається Зако- ном «Про службу в органах місцевого самоврядування». Не виклю- чено,</w:t>
      </w:r>
      <w:r>
        <w:rPr>
          <w:color w:val="231F20"/>
          <w:spacing w:val="11"/>
        </w:rPr>
        <w:t xml:space="preserve"> </w:t>
      </w:r>
      <w:r>
        <w:rPr>
          <w:color w:val="231F20"/>
        </w:rPr>
        <w:t>що</w:t>
      </w:r>
      <w:r>
        <w:rPr>
          <w:color w:val="231F20"/>
          <w:spacing w:val="11"/>
        </w:rPr>
        <w:t xml:space="preserve"> </w:t>
      </w:r>
      <w:r>
        <w:rPr>
          <w:color w:val="231F20"/>
        </w:rPr>
        <w:t>у</w:t>
      </w:r>
      <w:r>
        <w:rPr>
          <w:color w:val="231F20"/>
          <w:spacing w:val="10"/>
        </w:rPr>
        <w:t xml:space="preserve"> </w:t>
      </w:r>
      <w:r>
        <w:rPr>
          <w:color w:val="231F20"/>
        </w:rPr>
        <w:t>процесі</w:t>
      </w:r>
      <w:r>
        <w:rPr>
          <w:color w:val="231F20"/>
          <w:spacing w:val="11"/>
        </w:rPr>
        <w:t xml:space="preserve"> </w:t>
      </w:r>
      <w:r>
        <w:rPr>
          <w:color w:val="231F20"/>
        </w:rPr>
        <w:t>нормотворчості</w:t>
      </w:r>
      <w:r>
        <w:rPr>
          <w:color w:val="231F20"/>
          <w:spacing w:val="11"/>
        </w:rPr>
        <w:t xml:space="preserve"> </w:t>
      </w:r>
      <w:r>
        <w:rPr>
          <w:color w:val="231F20"/>
        </w:rPr>
        <w:t>такий</w:t>
      </w:r>
      <w:r>
        <w:rPr>
          <w:color w:val="231F20"/>
          <w:spacing w:val="11"/>
        </w:rPr>
        <w:t xml:space="preserve"> </w:t>
      </w:r>
      <w:r>
        <w:rPr>
          <w:color w:val="231F20"/>
        </w:rPr>
        <w:t>підхід</w:t>
      </w:r>
      <w:r>
        <w:rPr>
          <w:color w:val="231F20"/>
          <w:spacing w:val="11"/>
        </w:rPr>
        <w:t xml:space="preserve"> </w:t>
      </w:r>
      <w:r>
        <w:rPr>
          <w:color w:val="231F20"/>
        </w:rPr>
        <w:t>може</w:t>
      </w:r>
      <w:r>
        <w:rPr>
          <w:color w:val="231F20"/>
          <w:spacing w:val="11"/>
        </w:rPr>
        <w:t xml:space="preserve"> </w:t>
      </w:r>
      <w:r>
        <w:rPr>
          <w:color w:val="231F20"/>
        </w:rPr>
        <w:t>бути</w:t>
      </w:r>
      <w:r>
        <w:rPr>
          <w:color w:val="231F20"/>
          <w:spacing w:val="11"/>
        </w:rPr>
        <w:t xml:space="preserve"> </w:t>
      </w:r>
      <w:r>
        <w:rPr>
          <w:color w:val="231F20"/>
        </w:rPr>
        <w:t>змінено</w:t>
      </w:r>
    </w:p>
    <w:p w14:paraId="3CDBC648" w14:textId="1A93AA74" w:rsidR="00DE575E" w:rsidRDefault="002E7560">
      <w:pPr>
        <w:pStyle w:val="BodyText"/>
        <w:spacing w:before="4"/>
        <w:rPr>
          <w:sz w:val="19"/>
        </w:rPr>
      </w:pPr>
      <w:r>
        <w:rPr>
          <w:noProof/>
        </w:rPr>
        <mc:AlternateContent>
          <mc:Choice Requires="wps">
            <w:drawing>
              <wp:anchor distT="0" distB="0" distL="0" distR="0" simplePos="0" relativeHeight="15136" behindDoc="0" locked="0" layoutInCell="1" allowOverlap="1" wp14:anchorId="7D828C92" wp14:editId="512F31BB">
                <wp:simplePos x="0" y="0"/>
                <wp:positionH relativeFrom="page">
                  <wp:posOffset>539750</wp:posOffset>
                </wp:positionH>
                <wp:positionV relativeFrom="paragraph">
                  <wp:posOffset>172085</wp:posOffset>
                </wp:positionV>
                <wp:extent cx="1080135" cy="0"/>
                <wp:effectExtent l="6350" t="6985" r="31115" b="31115"/>
                <wp:wrapTopAndBottom/>
                <wp:docPr id="434"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EA61D" id="Line_x0020_433" o:spid="_x0000_s1026" style="position:absolute;z-index: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55pt" to="127.5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" strokecolor="#231f20" strokeweight=".5pt">
                <w10:wrap type="topAndBottom" anchorx="page"/>
              </v:line>
            </w:pict>
          </mc:Fallback>
        </mc:AlternateContent>
      </w:r>
    </w:p>
    <w:p w14:paraId="56528F39" w14:textId="77777777" w:rsidR="00DE575E" w:rsidRDefault="002E7560">
      <w:pPr>
        <w:spacing w:line="148" w:lineRule="exact"/>
        <w:ind w:left="250"/>
        <w:rPr>
          <w:sz w:val="16"/>
        </w:rPr>
      </w:pPr>
      <w:r>
        <w:rPr>
          <w:color w:val="231F20"/>
          <w:position w:val="5"/>
          <w:sz w:val="9"/>
        </w:rPr>
        <w:t xml:space="preserve">1 </w:t>
      </w:r>
      <w:r>
        <w:rPr>
          <w:color w:val="231F20"/>
          <w:sz w:val="16"/>
        </w:rPr>
        <w:t>Про службу</w:t>
      </w:r>
      <w:r>
        <w:rPr>
          <w:color w:val="231F20"/>
          <w:sz w:val="16"/>
        </w:rPr>
        <w:t xml:space="preserve"> в органах місцевого самоврядування: Закон України від 07.06.2001 р.</w:t>
      </w:r>
    </w:p>
    <w:p w14:paraId="384D5A18" w14:textId="77777777" w:rsidR="00DE575E" w:rsidRDefault="002E7560">
      <w:pPr>
        <w:spacing w:before="9" w:line="204" w:lineRule="auto"/>
        <w:ind w:left="250" w:right="521"/>
        <w:rPr>
          <w:sz w:val="16"/>
        </w:rPr>
      </w:pPr>
      <w:r>
        <w:rPr>
          <w:color w:val="231F20"/>
          <w:sz w:val="16"/>
        </w:rPr>
        <w:t xml:space="preserve">№ 2493-III </w:t>
      </w:r>
      <w:r>
        <w:rPr>
          <w:b/>
          <w:color w:val="231F20"/>
          <w:sz w:val="16"/>
        </w:rPr>
        <w:t xml:space="preserve">/ </w:t>
      </w:r>
      <w:r>
        <w:rPr>
          <w:i/>
          <w:color w:val="231F20"/>
          <w:sz w:val="16"/>
        </w:rPr>
        <w:t>Верховна Рада України</w:t>
      </w:r>
      <w:r>
        <w:rPr>
          <w:color w:val="231F20"/>
          <w:sz w:val="16"/>
        </w:rPr>
        <w:t>. URL: https://zakon.rada.gov.ua/laws/show/2493-14 (дата звернення: 30.01.2020 р.)</w:t>
      </w:r>
    </w:p>
    <w:p w14:paraId="0A862323" w14:textId="77777777" w:rsidR="00DE575E" w:rsidRDefault="00DE575E">
      <w:pPr>
        <w:pStyle w:val="BodyText"/>
        <w:spacing w:before="4"/>
        <w:rPr>
          <w:sz w:val="12"/>
        </w:rPr>
      </w:pPr>
    </w:p>
    <w:p w14:paraId="56FEB614" w14:textId="77777777" w:rsidR="00DE575E" w:rsidRDefault="002E7560">
      <w:pPr>
        <w:spacing w:before="92"/>
        <w:ind w:right="411"/>
        <w:jc w:val="right"/>
        <w:rPr>
          <w:rFonts w:ascii="Times New Roman"/>
          <w:sz w:val="20"/>
        </w:rPr>
      </w:pPr>
      <w:r>
        <w:rPr>
          <w:rFonts w:ascii="Times New Roman"/>
          <w:color w:val="231F20"/>
          <w:w w:val="90"/>
          <w:sz w:val="20"/>
        </w:rPr>
        <w:t>387</w:t>
      </w:r>
    </w:p>
    <w:p w14:paraId="049BF83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E8EB68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3FDB46E" w14:textId="1220FBF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457C975" wp14:editId="524091AA">
                <wp:extent cx="4140200" cy="6350"/>
                <wp:effectExtent l="0" t="0" r="12700" b="6350"/>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33" name="Line 43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D1879E" id="Group_x0020_43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Sh+0zfQIAAJgFAAAOAAAA&#10;AAAAAAAAAAAAACwCAABkcnMvZTJvRG9jLnhtbFBLAQItABQABgAIAAAAIQBMp7CQ2QAAAAMBAAAP&#10;AAAAAAAAAAAAAAAAANUEAABkcnMvZG93bnJldi54bWxQSwUGAAAAAAQABADzAAAA2wUAAAAA&#10;">
                <v:line id="Line_x0020_43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S+O8YAAADcAAAADwAAAGRycy9kb3ducmV2LnhtbESP3WrCQBSE7wt9h+UUelN0oxEp0VVE&#10;EKQX/qUPcMyeJqG7Z2N2NWmf3hUKvRxm5htmvuytETdqfe1YwWiYgCAunK65VPCZbwbvIHxA1mgc&#10;k4If8rBcPD/NMdOu4yPdTqEUEcI+QwVVCE0mpS8qsuiHriGO3pdrLYYo21LqFrsIt0aOk2QqLdYc&#10;FypsaF1R8X26WgX55S2Yw/7DdPn+nMrzZZf+XndKvb70qxmIQH34D/+1t1rBJE3hcS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UvjvGAAAA3AAAAA8AAAAAAAAA&#10;AAAAAAAAoQIAAGRycy9kb3ducmV2LnhtbFBLBQYAAAAABAAEAPkAAACUAwAAAAA=&#10;" strokecolor="#231f20" strokeweight=".5pt"/>
                <w10:anchorlock/>
              </v:group>
            </w:pict>
          </mc:Fallback>
        </mc:AlternateContent>
      </w:r>
    </w:p>
    <w:p w14:paraId="66FFDA2B" w14:textId="77777777" w:rsidR="00DE575E" w:rsidRDefault="00DE575E">
      <w:pPr>
        <w:pStyle w:val="BodyText"/>
        <w:spacing w:before="7"/>
        <w:rPr>
          <w:rFonts w:ascii="AdonisC"/>
          <w:i/>
          <w:sz w:val="11"/>
        </w:rPr>
      </w:pPr>
    </w:p>
    <w:p w14:paraId="0061875B" w14:textId="77777777" w:rsidR="00DE575E" w:rsidRDefault="002E7560">
      <w:pPr>
        <w:pStyle w:val="BodyText"/>
        <w:spacing w:before="101" w:line="252" w:lineRule="auto"/>
        <w:ind w:left="533" w:right="128"/>
      </w:pPr>
      <w:r>
        <w:rPr>
          <w:color w:val="231F20"/>
        </w:rPr>
        <w:t>(перспективний варіант – гармонізація з кількістю та характер- ними рисами категорій посад державної служби).</w:t>
      </w:r>
    </w:p>
    <w:p w14:paraId="38925878" w14:textId="77777777" w:rsidR="00DE575E" w:rsidRDefault="00DE575E">
      <w:pPr>
        <w:pStyle w:val="BodyText"/>
        <w:rPr>
          <w:sz w:val="24"/>
        </w:rPr>
      </w:pPr>
    </w:p>
    <w:p w14:paraId="6158C617" w14:textId="77777777" w:rsidR="00DE575E" w:rsidRDefault="00DE575E">
      <w:pPr>
        <w:pStyle w:val="BodyText"/>
        <w:spacing w:before="4"/>
        <w:rPr>
          <w:sz w:val="19"/>
        </w:rPr>
      </w:pPr>
    </w:p>
    <w:p w14:paraId="25B4480F" w14:textId="77777777" w:rsidR="00DE575E" w:rsidRDefault="002E7560">
      <w:pPr>
        <w:pStyle w:val="Heading4"/>
        <w:numPr>
          <w:ilvl w:val="1"/>
          <w:numId w:val="93"/>
        </w:numPr>
        <w:tabs>
          <w:tab w:val="left" w:pos="2381"/>
        </w:tabs>
        <w:ind w:left="1910" w:right="1504" w:firstLine="59"/>
        <w:jc w:val="left"/>
      </w:pPr>
      <w:r>
        <w:rPr>
          <w:color w:val="231F20"/>
        </w:rPr>
        <w:t>Обов’язки та права службовця в органі місцевого</w:t>
      </w:r>
      <w:r>
        <w:rPr>
          <w:color w:val="231F20"/>
          <w:spacing w:val="-19"/>
        </w:rPr>
        <w:t xml:space="preserve"> </w:t>
      </w:r>
      <w:r>
        <w:rPr>
          <w:color w:val="231F20"/>
        </w:rPr>
        <w:t>самоврядування</w:t>
      </w:r>
    </w:p>
    <w:p w14:paraId="103D29EA" w14:textId="77777777" w:rsidR="00DE575E" w:rsidRDefault="00DE575E">
      <w:pPr>
        <w:pStyle w:val="BodyText"/>
        <w:rPr>
          <w:b/>
          <w:sz w:val="26"/>
        </w:rPr>
      </w:pPr>
    </w:p>
    <w:p w14:paraId="157DADE8" w14:textId="77777777" w:rsidR="00DE575E" w:rsidRDefault="002E7560">
      <w:pPr>
        <w:pStyle w:val="BodyText"/>
        <w:spacing w:before="224" w:line="252" w:lineRule="auto"/>
        <w:ind w:left="533" w:right="128" w:firstLine="283"/>
        <w:jc w:val="both"/>
      </w:pPr>
      <w:r>
        <w:rPr>
          <w:color w:val="231F20"/>
          <w:spacing w:val="-3"/>
        </w:rPr>
        <w:t xml:space="preserve">Публічний службовець органу місцевого самоврядування </w:t>
      </w:r>
      <w:r>
        <w:rPr>
          <w:color w:val="231F20"/>
          <w:spacing w:val="-4"/>
        </w:rPr>
        <w:t xml:space="preserve">виконує </w:t>
      </w:r>
      <w:r>
        <w:rPr>
          <w:color w:val="231F20"/>
          <w:spacing w:val="-3"/>
        </w:rPr>
        <w:t xml:space="preserve">покладені </w:t>
      </w:r>
      <w:r>
        <w:rPr>
          <w:color w:val="231F20"/>
        </w:rPr>
        <w:t xml:space="preserve">на нього обов’язки та </w:t>
      </w:r>
      <w:r>
        <w:rPr>
          <w:color w:val="231F20"/>
          <w:spacing w:val="-3"/>
        </w:rPr>
        <w:t xml:space="preserve">користується правами, </w:t>
      </w:r>
      <w:r>
        <w:rPr>
          <w:color w:val="231F20"/>
        </w:rPr>
        <w:t xml:space="preserve">що </w:t>
      </w:r>
      <w:r>
        <w:rPr>
          <w:color w:val="231F20"/>
          <w:spacing w:val="-4"/>
        </w:rPr>
        <w:t xml:space="preserve">визначені </w:t>
      </w:r>
      <w:r>
        <w:rPr>
          <w:color w:val="231F20"/>
          <w:spacing w:val="-3"/>
        </w:rPr>
        <w:t xml:space="preserve">законодавчо. Посадова </w:t>
      </w:r>
      <w:r>
        <w:rPr>
          <w:color w:val="231F20"/>
        </w:rPr>
        <w:t xml:space="preserve">особа </w:t>
      </w:r>
      <w:r>
        <w:rPr>
          <w:color w:val="231F20"/>
          <w:spacing w:val="-3"/>
        </w:rPr>
        <w:t xml:space="preserve">місцевого самоврядування </w:t>
      </w:r>
      <w:r>
        <w:rPr>
          <w:color w:val="231F20"/>
        </w:rPr>
        <w:t xml:space="preserve">має </w:t>
      </w:r>
      <w:r>
        <w:rPr>
          <w:color w:val="231F20"/>
          <w:spacing w:val="-3"/>
        </w:rPr>
        <w:t xml:space="preserve">певний правовий статус, </w:t>
      </w:r>
      <w:r>
        <w:rPr>
          <w:color w:val="231F20"/>
        </w:rPr>
        <w:t xml:space="preserve">який </w:t>
      </w:r>
      <w:r>
        <w:rPr>
          <w:color w:val="231F20"/>
          <w:spacing w:val="-3"/>
        </w:rPr>
        <w:t xml:space="preserve">становить собою сутність службових відно- </w:t>
      </w:r>
      <w:r>
        <w:rPr>
          <w:color w:val="231F20"/>
          <w:spacing w:val="-3"/>
        </w:rPr>
        <w:t>син.</w:t>
      </w:r>
      <w:r>
        <w:rPr>
          <w:color w:val="231F20"/>
          <w:spacing w:val="-10"/>
        </w:rPr>
        <w:t xml:space="preserve"> </w:t>
      </w:r>
      <w:r>
        <w:rPr>
          <w:color w:val="231F20"/>
        </w:rPr>
        <w:t>Він</w:t>
      </w:r>
      <w:r>
        <w:rPr>
          <w:color w:val="231F20"/>
          <w:spacing w:val="-10"/>
        </w:rPr>
        <w:t xml:space="preserve"> </w:t>
      </w:r>
      <w:r>
        <w:rPr>
          <w:color w:val="231F20"/>
          <w:spacing w:val="-3"/>
        </w:rPr>
        <w:t>складається</w:t>
      </w:r>
      <w:r>
        <w:rPr>
          <w:color w:val="231F20"/>
          <w:spacing w:val="-10"/>
        </w:rPr>
        <w:t xml:space="preserve"> </w:t>
      </w:r>
      <w:r>
        <w:rPr>
          <w:color w:val="231F20"/>
        </w:rPr>
        <w:t>із</w:t>
      </w:r>
      <w:r>
        <w:rPr>
          <w:color w:val="231F20"/>
          <w:spacing w:val="-10"/>
        </w:rPr>
        <w:t xml:space="preserve"> </w:t>
      </w:r>
      <w:r>
        <w:rPr>
          <w:color w:val="231F20"/>
          <w:spacing w:val="-3"/>
        </w:rPr>
        <w:t>сукупності</w:t>
      </w:r>
      <w:r>
        <w:rPr>
          <w:color w:val="231F20"/>
          <w:spacing w:val="-10"/>
        </w:rPr>
        <w:t xml:space="preserve"> </w:t>
      </w:r>
      <w:r>
        <w:rPr>
          <w:color w:val="231F20"/>
          <w:spacing w:val="-3"/>
        </w:rPr>
        <w:t>прав,</w:t>
      </w:r>
      <w:r>
        <w:rPr>
          <w:color w:val="231F20"/>
          <w:spacing w:val="-10"/>
        </w:rPr>
        <w:t xml:space="preserve"> </w:t>
      </w:r>
      <w:r>
        <w:rPr>
          <w:color w:val="231F20"/>
        </w:rPr>
        <w:t>обов’язків,</w:t>
      </w:r>
      <w:r>
        <w:rPr>
          <w:color w:val="231F20"/>
          <w:spacing w:val="-10"/>
        </w:rPr>
        <w:t xml:space="preserve"> </w:t>
      </w:r>
      <w:r>
        <w:rPr>
          <w:color w:val="231F20"/>
          <w:spacing w:val="-3"/>
        </w:rPr>
        <w:t>обмежень,</w:t>
      </w:r>
      <w:r>
        <w:rPr>
          <w:color w:val="231F20"/>
          <w:spacing w:val="-10"/>
        </w:rPr>
        <w:t xml:space="preserve"> </w:t>
      </w:r>
      <w:r>
        <w:rPr>
          <w:color w:val="231F20"/>
          <w:spacing w:val="-3"/>
        </w:rPr>
        <w:t xml:space="preserve">заборон </w:t>
      </w:r>
      <w:r>
        <w:rPr>
          <w:color w:val="231F20"/>
        </w:rPr>
        <w:t xml:space="preserve">і </w:t>
      </w:r>
      <w:r>
        <w:rPr>
          <w:color w:val="231F20"/>
          <w:spacing w:val="-3"/>
        </w:rPr>
        <w:t xml:space="preserve">відповідальності посадових </w:t>
      </w:r>
      <w:r>
        <w:rPr>
          <w:color w:val="231F20"/>
        </w:rPr>
        <w:t xml:space="preserve">осіб </w:t>
      </w:r>
      <w:r>
        <w:rPr>
          <w:color w:val="231F20"/>
          <w:spacing w:val="-3"/>
        </w:rPr>
        <w:t xml:space="preserve">місцевого самоврядування, перед- бачених </w:t>
      </w:r>
      <w:r>
        <w:rPr>
          <w:color w:val="231F20"/>
        </w:rPr>
        <w:t xml:space="preserve">чинним </w:t>
      </w:r>
      <w:r>
        <w:rPr>
          <w:color w:val="231F20"/>
          <w:spacing w:val="-4"/>
        </w:rPr>
        <w:t xml:space="preserve">законодавством </w:t>
      </w:r>
      <w:r>
        <w:rPr>
          <w:color w:val="231F20"/>
        </w:rPr>
        <w:t xml:space="preserve">і </w:t>
      </w:r>
      <w:r>
        <w:rPr>
          <w:color w:val="231F20"/>
          <w:spacing w:val="-3"/>
        </w:rPr>
        <w:t>гарантованих</w:t>
      </w:r>
      <w:r>
        <w:rPr>
          <w:color w:val="231F20"/>
          <w:spacing w:val="-14"/>
        </w:rPr>
        <w:t xml:space="preserve"> </w:t>
      </w:r>
      <w:r>
        <w:rPr>
          <w:color w:val="231F20"/>
          <w:spacing w:val="-4"/>
        </w:rPr>
        <w:t>державою.</w:t>
      </w:r>
    </w:p>
    <w:p w14:paraId="11856417" w14:textId="77777777" w:rsidR="00DE575E" w:rsidRDefault="002E7560">
      <w:pPr>
        <w:pStyle w:val="BodyText"/>
        <w:spacing w:before="3" w:line="252" w:lineRule="auto"/>
        <w:ind w:left="533" w:right="127" w:firstLine="283"/>
        <w:jc w:val="right"/>
      </w:pPr>
      <w:r>
        <w:rPr>
          <w:color w:val="231F20"/>
          <w:spacing w:val="-3"/>
        </w:rPr>
        <w:t xml:space="preserve">Посадові </w:t>
      </w:r>
      <w:r>
        <w:rPr>
          <w:color w:val="231F20"/>
        </w:rPr>
        <w:t xml:space="preserve">особи </w:t>
      </w:r>
      <w:r>
        <w:rPr>
          <w:color w:val="231F20"/>
          <w:spacing w:val="-3"/>
        </w:rPr>
        <w:t>місцевого самоврядування діють лише</w:t>
      </w:r>
      <w:r>
        <w:rPr>
          <w:color w:val="231F20"/>
          <w:spacing w:val="7"/>
        </w:rPr>
        <w:t xml:space="preserve"> </w:t>
      </w:r>
      <w:r>
        <w:rPr>
          <w:color w:val="231F20"/>
        </w:rPr>
        <w:t>на</w:t>
      </w:r>
      <w:r>
        <w:rPr>
          <w:color w:val="231F20"/>
          <w:spacing w:val="-1"/>
        </w:rPr>
        <w:t xml:space="preserve"> </w:t>
      </w:r>
      <w:r>
        <w:rPr>
          <w:color w:val="231F20"/>
          <w:spacing w:val="-3"/>
        </w:rPr>
        <w:t xml:space="preserve">підставі, </w:t>
      </w:r>
      <w:r>
        <w:rPr>
          <w:color w:val="231F20"/>
        </w:rPr>
        <w:t xml:space="preserve">у </w:t>
      </w:r>
      <w:r>
        <w:rPr>
          <w:color w:val="231F20"/>
          <w:spacing w:val="-3"/>
        </w:rPr>
        <w:t xml:space="preserve">межах повноважень </w:t>
      </w:r>
      <w:r>
        <w:rPr>
          <w:color w:val="231F20"/>
        </w:rPr>
        <w:t xml:space="preserve">та у </w:t>
      </w:r>
      <w:r>
        <w:rPr>
          <w:color w:val="231F20"/>
          <w:spacing w:val="-3"/>
        </w:rPr>
        <w:t>спосіб, передбачені Конституцією</w:t>
      </w:r>
      <w:r>
        <w:rPr>
          <w:color w:val="231F20"/>
          <w:spacing w:val="-2"/>
        </w:rPr>
        <w:t xml:space="preserve"> </w:t>
      </w:r>
      <w:r>
        <w:rPr>
          <w:color w:val="231F20"/>
        </w:rPr>
        <w:t>і</w:t>
      </w:r>
      <w:r>
        <w:rPr>
          <w:color w:val="231F20"/>
          <w:spacing w:val="22"/>
        </w:rPr>
        <w:t xml:space="preserve"> </w:t>
      </w:r>
      <w:r>
        <w:rPr>
          <w:color w:val="231F20"/>
          <w:spacing w:val="-3"/>
        </w:rPr>
        <w:t>зако-</w:t>
      </w:r>
      <w:r>
        <w:rPr>
          <w:color w:val="231F20"/>
        </w:rPr>
        <w:t xml:space="preserve"> </w:t>
      </w:r>
      <w:r>
        <w:rPr>
          <w:color w:val="231F20"/>
          <w:spacing w:val="-3"/>
        </w:rPr>
        <w:t>нами</w:t>
      </w:r>
      <w:r>
        <w:rPr>
          <w:color w:val="231F20"/>
          <w:spacing w:val="5"/>
        </w:rPr>
        <w:t xml:space="preserve"> </w:t>
      </w:r>
      <w:r>
        <w:rPr>
          <w:color w:val="231F20"/>
          <w:spacing w:val="-4"/>
        </w:rPr>
        <w:t>України,</w:t>
      </w:r>
      <w:r>
        <w:rPr>
          <w:color w:val="231F20"/>
          <w:spacing w:val="5"/>
        </w:rPr>
        <w:t xml:space="preserve"> </w:t>
      </w:r>
      <w:r>
        <w:rPr>
          <w:color w:val="231F20"/>
        </w:rPr>
        <w:t>та</w:t>
      </w:r>
      <w:r>
        <w:rPr>
          <w:color w:val="231F20"/>
          <w:spacing w:val="5"/>
        </w:rPr>
        <w:t xml:space="preserve"> </w:t>
      </w:r>
      <w:r>
        <w:rPr>
          <w:color w:val="231F20"/>
          <w:spacing w:val="-4"/>
        </w:rPr>
        <w:t>керуються</w:t>
      </w:r>
      <w:r>
        <w:rPr>
          <w:color w:val="231F20"/>
          <w:spacing w:val="5"/>
        </w:rPr>
        <w:t xml:space="preserve"> </w:t>
      </w:r>
      <w:r>
        <w:rPr>
          <w:color w:val="231F20"/>
        </w:rPr>
        <w:t>у</w:t>
      </w:r>
      <w:r>
        <w:rPr>
          <w:color w:val="231F20"/>
          <w:spacing w:val="5"/>
        </w:rPr>
        <w:t xml:space="preserve"> </w:t>
      </w:r>
      <w:r>
        <w:rPr>
          <w:color w:val="231F20"/>
          <w:spacing w:val="-3"/>
        </w:rPr>
        <w:t>своїй</w:t>
      </w:r>
      <w:r>
        <w:rPr>
          <w:color w:val="231F20"/>
          <w:spacing w:val="5"/>
        </w:rPr>
        <w:t xml:space="preserve"> </w:t>
      </w:r>
      <w:r>
        <w:rPr>
          <w:color w:val="231F20"/>
          <w:spacing w:val="-3"/>
        </w:rPr>
        <w:t>діяльності</w:t>
      </w:r>
      <w:r>
        <w:rPr>
          <w:color w:val="231F20"/>
          <w:spacing w:val="5"/>
        </w:rPr>
        <w:t xml:space="preserve"> </w:t>
      </w:r>
      <w:r>
        <w:rPr>
          <w:color w:val="231F20"/>
          <w:spacing w:val="-3"/>
        </w:rPr>
        <w:t>Конституцією</w:t>
      </w:r>
      <w:r>
        <w:rPr>
          <w:color w:val="231F20"/>
          <w:spacing w:val="5"/>
        </w:rPr>
        <w:t xml:space="preserve"> </w:t>
      </w:r>
      <w:r>
        <w:rPr>
          <w:color w:val="231F20"/>
          <w:spacing w:val="-5"/>
        </w:rPr>
        <w:t>України</w:t>
      </w:r>
      <w:r>
        <w:rPr>
          <w:color w:val="231F20"/>
          <w:spacing w:val="-3"/>
        </w:rPr>
        <w:t xml:space="preserve"> </w:t>
      </w:r>
      <w:r>
        <w:rPr>
          <w:color w:val="231F20"/>
        </w:rPr>
        <w:t xml:space="preserve">і </w:t>
      </w:r>
      <w:r>
        <w:rPr>
          <w:color w:val="231F20"/>
          <w:spacing w:val="-3"/>
        </w:rPr>
        <w:t xml:space="preserve">законами </w:t>
      </w:r>
      <w:r>
        <w:rPr>
          <w:color w:val="231F20"/>
          <w:spacing w:val="-4"/>
        </w:rPr>
        <w:t xml:space="preserve">України, </w:t>
      </w:r>
      <w:r>
        <w:rPr>
          <w:color w:val="231F20"/>
          <w:spacing w:val="-3"/>
        </w:rPr>
        <w:t xml:space="preserve">актами Президента </w:t>
      </w:r>
      <w:r>
        <w:rPr>
          <w:color w:val="231F20"/>
          <w:spacing w:val="-5"/>
        </w:rPr>
        <w:t xml:space="preserve">України </w:t>
      </w:r>
      <w:r>
        <w:rPr>
          <w:color w:val="231F20"/>
        </w:rPr>
        <w:t>і</w:t>
      </w:r>
      <w:r>
        <w:rPr>
          <w:color w:val="231F20"/>
          <w:spacing w:val="41"/>
        </w:rPr>
        <w:t xml:space="preserve"> </w:t>
      </w:r>
      <w:r>
        <w:rPr>
          <w:color w:val="231F20"/>
          <w:spacing w:val="-3"/>
        </w:rPr>
        <w:t>Кабінету</w:t>
      </w:r>
      <w:r>
        <w:rPr>
          <w:color w:val="231F20"/>
          <w:spacing w:val="15"/>
        </w:rPr>
        <w:t xml:space="preserve"> </w:t>
      </w:r>
      <w:r>
        <w:rPr>
          <w:color w:val="231F20"/>
          <w:spacing w:val="-3"/>
        </w:rPr>
        <w:t xml:space="preserve">Міністрів </w:t>
      </w:r>
      <w:r>
        <w:rPr>
          <w:color w:val="231F20"/>
          <w:spacing w:val="-4"/>
        </w:rPr>
        <w:t xml:space="preserve">України, </w:t>
      </w:r>
      <w:r>
        <w:rPr>
          <w:color w:val="231F20"/>
          <w:spacing w:val="-3"/>
        </w:rPr>
        <w:t>актами органів місцевого самоврядуван</w:t>
      </w:r>
      <w:r>
        <w:rPr>
          <w:color w:val="231F20"/>
          <w:spacing w:val="-3"/>
        </w:rPr>
        <w:t>ня,</w:t>
      </w:r>
      <w:r>
        <w:rPr>
          <w:color w:val="231F20"/>
          <w:spacing w:val="2"/>
        </w:rPr>
        <w:t xml:space="preserve"> </w:t>
      </w:r>
      <w:r>
        <w:rPr>
          <w:color w:val="231F20"/>
        </w:rPr>
        <w:t>а в</w:t>
      </w:r>
      <w:r>
        <w:rPr>
          <w:color w:val="231F20"/>
          <w:spacing w:val="26"/>
        </w:rPr>
        <w:t xml:space="preserve"> </w:t>
      </w:r>
      <w:r>
        <w:rPr>
          <w:color w:val="231F20"/>
          <w:spacing w:val="-3"/>
        </w:rPr>
        <w:t xml:space="preserve">Автономній </w:t>
      </w:r>
      <w:r>
        <w:rPr>
          <w:color w:val="231F20"/>
          <w:spacing w:val="-4"/>
        </w:rPr>
        <w:t xml:space="preserve">Республіці </w:t>
      </w:r>
      <w:r>
        <w:rPr>
          <w:color w:val="231F20"/>
          <w:spacing w:val="-3"/>
        </w:rPr>
        <w:t xml:space="preserve">Крим </w:t>
      </w:r>
      <w:r>
        <w:rPr>
          <w:color w:val="231F20"/>
        </w:rPr>
        <w:t xml:space="preserve">– </w:t>
      </w:r>
      <w:r>
        <w:rPr>
          <w:color w:val="231F20"/>
          <w:spacing w:val="-3"/>
        </w:rPr>
        <w:t>також нормативно-правовими</w:t>
      </w:r>
      <w:r>
        <w:rPr>
          <w:color w:val="231F20"/>
          <w:spacing w:val="8"/>
        </w:rPr>
        <w:t xml:space="preserve"> </w:t>
      </w:r>
      <w:r>
        <w:rPr>
          <w:color w:val="231F20"/>
          <w:spacing w:val="-3"/>
        </w:rPr>
        <w:t>актами</w:t>
      </w:r>
      <w:r>
        <w:rPr>
          <w:color w:val="231F20"/>
          <w:spacing w:val="35"/>
        </w:rPr>
        <w:t xml:space="preserve"> </w:t>
      </w:r>
      <w:r>
        <w:rPr>
          <w:color w:val="231F20"/>
          <w:spacing w:val="-4"/>
        </w:rPr>
        <w:t>Верховної</w:t>
      </w:r>
      <w:r>
        <w:rPr>
          <w:color w:val="231F20"/>
          <w:spacing w:val="-3"/>
        </w:rPr>
        <w:t xml:space="preserve"> </w:t>
      </w:r>
      <w:r>
        <w:rPr>
          <w:color w:val="231F20"/>
          <w:spacing w:val="-4"/>
        </w:rPr>
        <w:t>Ради</w:t>
      </w:r>
      <w:r>
        <w:rPr>
          <w:color w:val="231F20"/>
          <w:spacing w:val="-12"/>
        </w:rPr>
        <w:t xml:space="preserve"> </w:t>
      </w:r>
      <w:r>
        <w:rPr>
          <w:color w:val="231F20"/>
        </w:rPr>
        <w:t>АРК</w:t>
      </w:r>
      <w:r>
        <w:rPr>
          <w:color w:val="231F20"/>
          <w:spacing w:val="-12"/>
        </w:rPr>
        <w:t xml:space="preserve"> </w:t>
      </w:r>
      <w:r>
        <w:rPr>
          <w:color w:val="231F20"/>
        </w:rPr>
        <w:t>і</w:t>
      </w:r>
      <w:r>
        <w:rPr>
          <w:color w:val="231F20"/>
          <w:spacing w:val="-11"/>
        </w:rPr>
        <w:t xml:space="preserve"> </w:t>
      </w:r>
      <w:r>
        <w:rPr>
          <w:color w:val="231F20"/>
          <w:spacing w:val="-4"/>
        </w:rPr>
        <w:t>Ради</w:t>
      </w:r>
      <w:r>
        <w:rPr>
          <w:color w:val="231F20"/>
          <w:spacing w:val="-12"/>
        </w:rPr>
        <w:t xml:space="preserve"> </w:t>
      </w:r>
      <w:r>
        <w:rPr>
          <w:color w:val="231F20"/>
          <w:spacing w:val="-3"/>
        </w:rPr>
        <w:t>міністрів</w:t>
      </w:r>
      <w:r>
        <w:rPr>
          <w:color w:val="231F20"/>
          <w:spacing w:val="-12"/>
        </w:rPr>
        <w:t xml:space="preserve"> </w:t>
      </w:r>
      <w:r>
        <w:rPr>
          <w:color w:val="231F20"/>
        </w:rPr>
        <w:t>АРК,</w:t>
      </w:r>
      <w:r>
        <w:rPr>
          <w:color w:val="231F20"/>
          <w:spacing w:val="-12"/>
        </w:rPr>
        <w:t xml:space="preserve"> </w:t>
      </w:r>
      <w:r>
        <w:rPr>
          <w:color w:val="231F20"/>
          <w:spacing w:val="-3"/>
        </w:rPr>
        <w:t>ухваленими</w:t>
      </w:r>
      <w:r>
        <w:rPr>
          <w:color w:val="231F20"/>
          <w:spacing w:val="-12"/>
        </w:rPr>
        <w:t xml:space="preserve"> </w:t>
      </w:r>
      <w:r>
        <w:rPr>
          <w:color w:val="231F20"/>
        </w:rPr>
        <w:t>у</w:t>
      </w:r>
      <w:r>
        <w:rPr>
          <w:color w:val="231F20"/>
          <w:spacing w:val="-12"/>
        </w:rPr>
        <w:t xml:space="preserve"> </w:t>
      </w:r>
      <w:r>
        <w:rPr>
          <w:color w:val="231F20"/>
          <w:spacing w:val="-3"/>
        </w:rPr>
        <w:t>межах</w:t>
      </w:r>
      <w:r>
        <w:rPr>
          <w:color w:val="231F20"/>
          <w:spacing w:val="-12"/>
        </w:rPr>
        <w:t xml:space="preserve"> </w:t>
      </w:r>
      <w:r>
        <w:rPr>
          <w:color w:val="231F20"/>
          <w:spacing w:val="-3"/>
        </w:rPr>
        <w:t>їхньої</w:t>
      </w:r>
      <w:r>
        <w:rPr>
          <w:color w:val="231F20"/>
          <w:spacing w:val="-11"/>
        </w:rPr>
        <w:t xml:space="preserve"> </w:t>
      </w:r>
      <w:r>
        <w:rPr>
          <w:color w:val="231F20"/>
          <w:spacing w:val="-3"/>
        </w:rPr>
        <w:t xml:space="preserve">компетенції. </w:t>
      </w:r>
      <w:r>
        <w:rPr>
          <w:color w:val="231F20"/>
        </w:rPr>
        <w:t>Посадова особа місцевого самоврядування має</w:t>
      </w:r>
      <w:r>
        <w:rPr>
          <w:color w:val="231F20"/>
          <w:spacing w:val="28"/>
        </w:rPr>
        <w:t xml:space="preserve"> </w:t>
      </w:r>
      <w:r>
        <w:rPr>
          <w:color w:val="231F20"/>
        </w:rPr>
        <w:t>певний</w:t>
      </w:r>
      <w:r>
        <w:rPr>
          <w:color w:val="231F20"/>
          <w:spacing w:val="5"/>
        </w:rPr>
        <w:t xml:space="preserve"> </w:t>
      </w:r>
      <w:r>
        <w:rPr>
          <w:color w:val="231F20"/>
        </w:rPr>
        <w:t>правовий</w:t>
      </w:r>
      <w:r>
        <w:rPr>
          <w:color w:val="231F20"/>
          <w:spacing w:val="-1"/>
        </w:rPr>
        <w:t xml:space="preserve"> </w:t>
      </w:r>
      <w:r>
        <w:rPr>
          <w:color w:val="231F20"/>
        </w:rPr>
        <w:t>статус,</w:t>
      </w:r>
      <w:r>
        <w:rPr>
          <w:color w:val="231F20"/>
          <w:spacing w:val="-12"/>
        </w:rPr>
        <w:t xml:space="preserve"> </w:t>
      </w:r>
      <w:r>
        <w:rPr>
          <w:color w:val="231F20"/>
        </w:rPr>
        <w:t>який</w:t>
      </w:r>
      <w:r>
        <w:rPr>
          <w:color w:val="231F20"/>
          <w:spacing w:val="-12"/>
        </w:rPr>
        <w:t xml:space="preserve"> </w:t>
      </w:r>
      <w:r>
        <w:rPr>
          <w:color w:val="231F20"/>
        </w:rPr>
        <w:t>становить</w:t>
      </w:r>
      <w:r>
        <w:rPr>
          <w:color w:val="231F20"/>
          <w:spacing w:val="-12"/>
        </w:rPr>
        <w:t xml:space="preserve"> </w:t>
      </w:r>
      <w:r>
        <w:rPr>
          <w:color w:val="231F20"/>
        </w:rPr>
        <w:t>собою</w:t>
      </w:r>
      <w:r>
        <w:rPr>
          <w:color w:val="231F20"/>
          <w:spacing w:val="-12"/>
        </w:rPr>
        <w:t xml:space="preserve"> </w:t>
      </w:r>
      <w:r>
        <w:rPr>
          <w:color w:val="231F20"/>
        </w:rPr>
        <w:t>сутність</w:t>
      </w:r>
      <w:r>
        <w:rPr>
          <w:color w:val="231F20"/>
          <w:spacing w:val="-12"/>
        </w:rPr>
        <w:t xml:space="preserve"> </w:t>
      </w:r>
      <w:r>
        <w:rPr>
          <w:color w:val="231F20"/>
        </w:rPr>
        <w:t>службових</w:t>
      </w:r>
      <w:r>
        <w:rPr>
          <w:color w:val="231F20"/>
          <w:spacing w:val="-12"/>
        </w:rPr>
        <w:t xml:space="preserve"> </w:t>
      </w:r>
      <w:r>
        <w:rPr>
          <w:color w:val="231F20"/>
        </w:rPr>
        <w:t>відносин.</w:t>
      </w:r>
      <w:r>
        <w:rPr>
          <w:color w:val="231F20"/>
          <w:spacing w:val="-12"/>
        </w:rPr>
        <w:t xml:space="preserve"> </w:t>
      </w:r>
      <w:r>
        <w:rPr>
          <w:color w:val="231F20"/>
        </w:rPr>
        <w:t>Він</w:t>
      </w:r>
      <w:r>
        <w:rPr>
          <w:color w:val="231F20"/>
          <w:spacing w:val="-12"/>
        </w:rPr>
        <w:t xml:space="preserve"> </w:t>
      </w:r>
      <w:r>
        <w:rPr>
          <w:color w:val="231F20"/>
        </w:rPr>
        <w:t>скла- дається</w:t>
      </w:r>
      <w:r>
        <w:rPr>
          <w:color w:val="231F20"/>
          <w:spacing w:val="33"/>
        </w:rPr>
        <w:t xml:space="preserve"> </w:t>
      </w:r>
      <w:r>
        <w:rPr>
          <w:color w:val="231F20"/>
        </w:rPr>
        <w:t>із</w:t>
      </w:r>
      <w:r>
        <w:rPr>
          <w:color w:val="231F20"/>
          <w:spacing w:val="33"/>
        </w:rPr>
        <w:t xml:space="preserve"> </w:t>
      </w:r>
      <w:r>
        <w:rPr>
          <w:color w:val="231F20"/>
        </w:rPr>
        <w:t>сукупності</w:t>
      </w:r>
      <w:r>
        <w:rPr>
          <w:color w:val="231F20"/>
          <w:spacing w:val="33"/>
        </w:rPr>
        <w:t xml:space="preserve"> </w:t>
      </w:r>
      <w:r>
        <w:rPr>
          <w:color w:val="231F20"/>
        </w:rPr>
        <w:t>прав,</w:t>
      </w:r>
      <w:r>
        <w:rPr>
          <w:color w:val="231F20"/>
          <w:spacing w:val="33"/>
        </w:rPr>
        <w:t xml:space="preserve"> </w:t>
      </w:r>
      <w:r>
        <w:rPr>
          <w:color w:val="231F20"/>
        </w:rPr>
        <w:t>обов’язків,</w:t>
      </w:r>
      <w:r>
        <w:rPr>
          <w:color w:val="231F20"/>
          <w:spacing w:val="33"/>
        </w:rPr>
        <w:t xml:space="preserve"> </w:t>
      </w:r>
      <w:r>
        <w:rPr>
          <w:color w:val="231F20"/>
        </w:rPr>
        <w:t>обмежень,</w:t>
      </w:r>
      <w:r>
        <w:rPr>
          <w:color w:val="231F20"/>
          <w:spacing w:val="33"/>
        </w:rPr>
        <w:t xml:space="preserve"> </w:t>
      </w:r>
      <w:r>
        <w:rPr>
          <w:color w:val="231F20"/>
        </w:rPr>
        <w:t>заборон</w:t>
      </w:r>
      <w:r>
        <w:rPr>
          <w:color w:val="231F20"/>
          <w:spacing w:val="33"/>
        </w:rPr>
        <w:t xml:space="preserve"> </w:t>
      </w:r>
      <w:r>
        <w:rPr>
          <w:color w:val="231F20"/>
        </w:rPr>
        <w:t>і</w:t>
      </w:r>
      <w:r>
        <w:rPr>
          <w:color w:val="231F20"/>
          <w:spacing w:val="32"/>
        </w:rPr>
        <w:t xml:space="preserve"> </w:t>
      </w:r>
      <w:r>
        <w:rPr>
          <w:color w:val="231F20"/>
        </w:rPr>
        <w:t>відпо- відальності посадових осіб місцевого</w:t>
      </w:r>
      <w:r>
        <w:rPr>
          <w:color w:val="231F20"/>
          <w:spacing w:val="12"/>
        </w:rPr>
        <w:t xml:space="preserve"> </w:t>
      </w:r>
      <w:r>
        <w:rPr>
          <w:color w:val="231F20"/>
        </w:rPr>
        <w:t>самоврядування,</w:t>
      </w:r>
      <w:r>
        <w:rPr>
          <w:color w:val="231F20"/>
          <w:spacing w:val="37"/>
        </w:rPr>
        <w:t xml:space="preserve"> </w:t>
      </w:r>
      <w:r>
        <w:rPr>
          <w:color w:val="231F20"/>
        </w:rPr>
        <w:t>передбаче- них</w:t>
      </w:r>
      <w:r>
        <w:rPr>
          <w:color w:val="231F20"/>
          <w:spacing w:val="22"/>
        </w:rPr>
        <w:t xml:space="preserve"> </w:t>
      </w:r>
      <w:r>
        <w:rPr>
          <w:color w:val="231F20"/>
        </w:rPr>
        <w:t>чинним</w:t>
      </w:r>
      <w:r>
        <w:rPr>
          <w:color w:val="231F20"/>
          <w:spacing w:val="22"/>
        </w:rPr>
        <w:t xml:space="preserve"> </w:t>
      </w:r>
      <w:r>
        <w:rPr>
          <w:color w:val="231F20"/>
        </w:rPr>
        <w:t>законодавством</w:t>
      </w:r>
      <w:r>
        <w:rPr>
          <w:color w:val="231F20"/>
          <w:spacing w:val="22"/>
        </w:rPr>
        <w:t xml:space="preserve"> </w:t>
      </w:r>
      <w:r>
        <w:rPr>
          <w:color w:val="231F20"/>
        </w:rPr>
        <w:t>і</w:t>
      </w:r>
      <w:r>
        <w:rPr>
          <w:color w:val="231F20"/>
          <w:spacing w:val="22"/>
        </w:rPr>
        <w:t xml:space="preserve"> </w:t>
      </w:r>
      <w:r>
        <w:rPr>
          <w:color w:val="231F20"/>
        </w:rPr>
        <w:t>гарантованих</w:t>
      </w:r>
      <w:r>
        <w:rPr>
          <w:color w:val="231F20"/>
          <w:spacing w:val="22"/>
        </w:rPr>
        <w:t xml:space="preserve"> </w:t>
      </w:r>
      <w:r>
        <w:rPr>
          <w:color w:val="231F20"/>
        </w:rPr>
        <w:t>державою.</w:t>
      </w:r>
      <w:r>
        <w:rPr>
          <w:color w:val="231F20"/>
          <w:spacing w:val="22"/>
        </w:rPr>
        <w:t xml:space="preserve"> </w:t>
      </w:r>
      <w:r>
        <w:rPr>
          <w:color w:val="231F20"/>
        </w:rPr>
        <w:t>При</w:t>
      </w:r>
      <w:r>
        <w:rPr>
          <w:color w:val="231F20"/>
          <w:spacing w:val="22"/>
        </w:rPr>
        <w:t xml:space="preserve"> </w:t>
      </w:r>
      <w:r>
        <w:rPr>
          <w:color w:val="231F20"/>
        </w:rPr>
        <w:t>цьому правовий статус окремого службовця</w:t>
      </w:r>
      <w:r>
        <w:rPr>
          <w:color w:val="231F20"/>
          <w:spacing w:val="5"/>
        </w:rPr>
        <w:t xml:space="preserve"> </w:t>
      </w:r>
      <w:r>
        <w:rPr>
          <w:color w:val="231F20"/>
        </w:rPr>
        <w:t>визначений</w:t>
      </w:r>
      <w:r>
        <w:rPr>
          <w:color w:val="231F20"/>
        </w:rPr>
        <w:t xml:space="preserve"> </w:t>
      </w:r>
      <w:r>
        <w:rPr>
          <w:color w:val="231F20"/>
        </w:rPr>
        <w:t>спеціальним законодавством</w:t>
      </w:r>
      <w:r>
        <w:rPr>
          <w:color w:val="231F20"/>
          <w:spacing w:val="-9"/>
        </w:rPr>
        <w:t xml:space="preserve"> </w:t>
      </w:r>
      <w:r>
        <w:rPr>
          <w:color w:val="231F20"/>
        </w:rPr>
        <w:t>й</w:t>
      </w:r>
      <w:r>
        <w:rPr>
          <w:color w:val="231F20"/>
          <w:spacing w:val="-8"/>
        </w:rPr>
        <w:t xml:space="preserve"> </w:t>
      </w:r>
      <w:r>
        <w:rPr>
          <w:color w:val="231F20"/>
        </w:rPr>
        <w:t>деталізований</w:t>
      </w:r>
      <w:r>
        <w:rPr>
          <w:color w:val="231F20"/>
          <w:spacing w:val="-9"/>
        </w:rPr>
        <w:t xml:space="preserve"> </w:t>
      </w:r>
      <w:r>
        <w:rPr>
          <w:color w:val="231F20"/>
        </w:rPr>
        <w:t>у</w:t>
      </w:r>
      <w:r>
        <w:rPr>
          <w:color w:val="231F20"/>
          <w:spacing w:val="-8"/>
        </w:rPr>
        <w:t xml:space="preserve"> </w:t>
      </w:r>
      <w:r>
        <w:rPr>
          <w:color w:val="231F20"/>
        </w:rPr>
        <w:t>його</w:t>
      </w:r>
      <w:r>
        <w:rPr>
          <w:color w:val="231F20"/>
          <w:spacing w:val="-9"/>
        </w:rPr>
        <w:t xml:space="preserve"> </w:t>
      </w:r>
      <w:r>
        <w:rPr>
          <w:color w:val="231F20"/>
        </w:rPr>
        <w:t>функціональних</w:t>
      </w:r>
      <w:r>
        <w:rPr>
          <w:color w:val="231F20"/>
          <w:spacing w:val="-8"/>
        </w:rPr>
        <w:t xml:space="preserve"> </w:t>
      </w:r>
      <w:r>
        <w:rPr>
          <w:color w:val="231F20"/>
        </w:rPr>
        <w:t>обов’язках, затверджених</w:t>
      </w:r>
      <w:r>
        <w:rPr>
          <w:color w:val="231F20"/>
          <w:spacing w:val="-14"/>
        </w:rPr>
        <w:t xml:space="preserve"> </w:t>
      </w:r>
      <w:r>
        <w:rPr>
          <w:color w:val="231F20"/>
        </w:rPr>
        <w:t>керівником</w:t>
      </w:r>
      <w:r>
        <w:rPr>
          <w:color w:val="231F20"/>
          <w:spacing w:val="-14"/>
        </w:rPr>
        <w:t xml:space="preserve"> </w:t>
      </w:r>
      <w:r>
        <w:rPr>
          <w:color w:val="231F20"/>
          <w:spacing w:val="-3"/>
        </w:rPr>
        <w:t>органу,</w:t>
      </w:r>
      <w:r>
        <w:rPr>
          <w:color w:val="231F20"/>
          <w:spacing w:val="-14"/>
        </w:rPr>
        <w:t xml:space="preserve"> </w:t>
      </w:r>
      <w:r>
        <w:rPr>
          <w:color w:val="231F20"/>
        </w:rPr>
        <w:t>де</w:t>
      </w:r>
      <w:r>
        <w:rPr>
          <w:color w:val="231F20"/>
          <w:spacing w:val="-14"/>
        </w:rPr>
        <w:t xml:space="preserve"> </w:t>
      </w:r>
      <w:r>
        <w:rPr>
          <w:color w:val="231F20"/>
        </w:rPr>
        <w:t>особа</w:t>
      </w:r>
      <w:r>
        <w:rPr>
          <w:color w:val="231F20"/>
          <w:spacing w:val="-14"/>
        </w:rPr>
        <w:t xml:space="preserve"> </w:t>
      </w:r>
      <w:r>
        <w:rPr>
          <w:color w:val="231F20"/>
        </w:rPr>
        <w:t>проходить</w:t>
      </w:r>
      <w:r>
        <w:rPr>
          <w:color w:val="231F20"/>
          <w:spacing w:val="-14"/>
        </w:rPr>
        <w:t xml:space="preserve"> </w:t>
      </w:r>
      <w:r>
        <w:rPr>
          <w:color w:val="231F20"/>
        </w:rPr>
        <w:t>службу</w:t>
      </w:r>
      <w:r>
        <w:rPr>
          <w:color w:val="231F20"/>
          <w:position w:val="7"/>
          <w:sz w:val="12"/>
        </w:rPr>
        <w:t>1</w:t>
      </w:r>
      <w:r>
        <w:rPr>
          <w:color w:val="231F20"/>
        </w:rPr>
        <w:t>.</w:t>
      </w:r>
      <w:r>
        <w:rPr>
          <w:color w:val="231F20"/>
          <w:spacing w:val="-14"/>
        </w:rPr>
        <w:t xml:space="preserve"> </w:t>
      </w:r>
      <w:r>
        <w:rPr>
          <w:color w:val="231F20"/>
        </w:rPr>
        <w:t>Варто зазначити, що основними складовими правого</w:t>
      </w:r>
      <w:r>
        <w:rPr>
          <w:color w:val="231F20"/>
          <w:spacing w:val="28"/>
        </w:rPr>
        <w:t xml:space="preserve"> </w:t>
      </w:r>
      <w:r>
        <w:rPr>
          <w:color w:val="231F20"/>
        </w:rPr>
        <w:t>статусу</w:t>
      </w:r>
      <w:r>
        <w:rPr>
          <w:color w:val="231F20"/>
          <w:spacing w:val="15"/>
        </w:rPr>
        <w:t xml:space="preserve"> </w:t>
      </w:r>
      <w:r>
        <w:rPr>
          <w:color w:val="231F20"/>
        </w:rPr>
        <w:t>службовців, а саме права та обов’язки посадових ос</w:t>
      </w:r>
      <w:r>
        <w:rPr>
          <w:color w:val="231F20"/>
        </w:rPr>
        <w:t>іб, визначено</w:t>
      </w:r>
      <w:r>
        <w:rPr>
          <w:color w:val="231F20"/>
          <w:spacing w:val="23"/>
        </w:rPr>
        <w:t xml:space="preserve"> </w:t>
      </w:r>
      <w:r>
        <w:rPr>
          <w:color w:val="231F20"/>
        </w:rPr>
        <w:t>в</w:t>
      </w:r>
      <w:r>
        <w:rPr>
          <w:color w:val="231F20"/>
          <w:spacing w:val="40"/>
        </w:rPr>
        <w:t xml:space="preserve"> </w:t>
      </w:r>
      <w:r>
        <w:rPr>
          <w:color w:val="231F20"/>
        </w:rPr>
        <w:t xml:space="preserve">окремому розділі Закону </w:t>
      </w:r>
      <w:r>
        <w:rPr>
          <w:color w:val="231F20"/>
          <w:spacing w:val="-3"/>
        </w:rPr>
        <w:t xml:space="preserve">України </w:t>
      </w:r>
      <w:r>
        <w:rPr>
          <w:color w:val="231F20"/>
        </w:rPr>
        <w:t>«Про службу в органах</w:t>
      </w:r>
      <w:r>
        <w:rPr>
          <w:color w:val="231F20"/>
          <w:spacing w:val="2"/>
        </w:rPr>
        <w:t xml:space="preserve"> </w:t>
      </w:r>
      <w:r>
        <w:rPr>
          <w:color w:val="231F20"/>
        </w:rPr>
        <w:t>місцевого самовряду- вання». Права та обов’язки публічного службовця</w:t>
      </w:r>
      <w:r>
        <w:rPr>
          <w:color w:val="231F20"/>
          <w:spacing w:val="-6"/>
        </w:rPr>
        <w:t xml:space="preserve"> </w:t>
      </w:r>
      <w:r>
        <w:rPr>
          <w:color w:val="231F20"/>
        </w:rPr>
        <w:t>органів</w:t>
      </w:r>
      <w:r>
        <w:rPr>
          <w:color w:val="231F20"/>
          <w:spacing w:val="-1"/>
        </w:rPr>
        <w:t xml:space="preserve"> </w:t>
      </w:r>
      <w:r>
        <w:rPr>
          <w:color w:val="231F20"/>
        </w:rPr>
        <w:t>місцевого самоврядування як обов’язкові складові правового статусу</w:t>
      </w:r>
      <w:r>
        <w:rPr>
          <w:color w:val="231F20"/>
          <w:spacing w:val="33"/>
        </w:rPr>
        <w:t xml:space="preserve"> </w:t>
      </w:r>
      <w:r>
        <w:rPr>
          <w:color w:val="231F20"/>
        </w:rPr>
        <w:t>служ-</w:t>
      </w:r>
    </w:p>
    <w:p w14:paraId="455D92C8" w14:textId="77777777" w:rsidR="00DE575E" w:rsidRDefault="002E7560">
      <w:pPr>
        <w:pStyle w:val="BodyText"/>
        <w:spacing w:before="10"/>
        <w:ind w:left="533"/>
      </w:pPr>
      <w:r>
        <w:rPr>
          <w:color w:val="231F20"/>
        </w:rPr>
        <w:t>бовця в конкретної особи з’являються після настання однієї умов:</w:t>
      </w:r>
    </w:p>
    <w:p w14:paraId="31D4E6FD" w14:textId="77777777" w:rsidR="00DE575E" w:rsidRDefault="00DE575E">
      <w:pPr>
        <w:pStyle w:val="BodyText"/>
        <w:rPr>
          <w:sz w:val="20"/>
        </w:rPr>
      </w:pPr>
    </w:p>
    <w:p w14:paraId="4FAE33B4" w14:textId="12F0C71A" w:rsidR="00DE575E" w:rsidRDefault="002E7560">
      <w:pPr>
        <w:pStyle w:val="BodyText"/>
        <w:spacing w:before="11"/>
        <w:rPr>
          <w:sz w:val="13"/>
        </w:rPr>
      </w:pPr>
      <w:r>
        <w:rPr>
          <w:noProof/>
        </w:rPr>
        <mc:AlternateContent>
          <mc:Choice Requires="wps">
            <w:drawing>
              <wp:anchor distT="0" distB="0" distL="0" distR="0" simplePos="0" relativeHeight="15184" behindDoc="0" locked="0" layoutInCell="1" allowOverlap="1" wp14:anchorId="338C1479" wp14:editId="66BA44DD">
                <wp:simplePos x="0" y="0"/>
                <wp:positionH relativeFrom="page">
                  <wp:posOffset>719455</wp:posOffset>
                </wp:positionH>
                <wp:positionV relativeFrom="paragraph">
                  <wp:posOffset>131445</wp:posOffset>
                </wp:positionV>
                <wp:extent cx="1080135" cy="0"/>
                <wp:effectExtent l="8255" t="17145" r="29210" b="20955"/>
                <wp:wrapTopAndBottom/>
                <wp:docPr id="43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C0F68" id="Line_x0020_430" o:spid="_x0000_s1026" style="position:absolute;z-index:1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5pt" to="141.7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" strokecolor="#231f20" strokeweight=".5pt">
                <w10:wrap type="topAndBottom" anchorx="page"/>
              </v:line>
            </w:pict>
          </mc:Fallback>
        </mc:AlternateContent>
      </w:r>
    </w:p>
    <w:p w14:paraId="69025848" w14:textId="77777777" w:rsidR="00DE575E" w:rsidRDefault="002E7560">
      <w:pPr>
        <w:spacing w:line="204" w:lineRule="auto"/>
        <w:ind w:left="533" w:right="128"/>
        <w:rPr>
          <w:sz w:val="16"/>
        </w:rPr>
      </w:pPr>
      <w:r>
        <w:rPr>
          <w:color w:val="231F20"/>
          <w:position w:val="5"/>
          <w:sz w:val="9"/>
        </w:rPr>
        <w:t xml:space="preserve">1 </w:t>
      </w:r>
      <w:r>
        <w:rPr>
          <w:color w:val="231F20"/>
          <w:sz w:val="16"/>
        </w:rPr>
        <w:t>Мельник Р.С., Бевзенко В.М. Загальне адміністративне право: навчальний посібник; за заг. ред. Р.С. Мельника. Київ: Ваіте, 2014. 376 с.</w:t>
      </w:r>
    </w:p>
    <w:p w14:paraId="1A019E78" w14:textId="77777777" w:rsidR="00DE575E" w:rsidRDefault="00DE575E">
      <w:pPr>
        <w:pStyle w:val="BodyText"/>
        <w:spacing w:before="1"/>
        <w:rPr>
          <w:sz w:val="12"/>
        </w:rPr>
      </w:pPr>
    </w:p>
    <w:p w14:paraId="4B29330A" w14:textId="77777777" w:rsidR="00DE575E" w:rsidRDefault="002E7560">
      <w:pPr>
        <w:spacing w:before="92"/>
        <w:ind w:left="533"/>
        <w:rPr>
          <w:rFonts w:ascii="Times New Roman"/>
          <w:sz w:val="20"/>
        </w:rPr>
      </w:pPr>
      <w:r>
        <w:rPr>
          <w:rFonts w:ascii="Times New Roman"/>
          <w:color w:val="231F20"/>
          <w:sz w:val="20"/>
        </w:rPr>
        <w:t>388</w:t>
      </w:r>
    </w:p>
    <w:p w14:paraId="0697F17C" w14:textId="77777777" w:rsidR="00DE575E" w:rsidRDefault="00DE575E">
      <w:pPr>
        <w:rPr>
          <w:rFonts w:ascii="Times New Roman"/>
          <w:sz w:val="20"/>
        </w:rPr>
        <w:sectPr w:rsidR="00DE575E">
          <w:pgSz w:w="8510" w:h="12760"/>
          <w:pgMar w:top="660" w:right="720" w:bottom="280" w:left="600" w:header="720" w:footer="720" w:gutter="0"/>
          <w:cols w:space="720"/>
        </w:sectPr>
      </w:pPr>
    </w:p>
    <w:p w14:paraId="0E17D646"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w:t>
      </w:r>
      <w:r>
        <w:rPr>
          <w:rFonts w:ascii="AdonisC" w:hAnsi="AdonisC"/>
          <w:i/>
          <w:color w:val="231F20"/>
          <w:sz w:val="18"/>
        </w:rPr>
        <w:t>е право/ Книга І Розділ 3. Правовий статус службовця в органі місцевого самоврядування</w:t>
      </w:r>
    </w:p>
    <w:p w14:paraId="4384060F" w14:textId="4268712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FFA42A5" wp14:editId="017A0D9A">
                <wp:extent cx="4140200" cy="6350"/>
                <wp:effectExtent l="0" t="0" r="12700" b="6350"/>
                <wp:docPr id="42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30" name="Line 4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D24AA" id="Group_x0020_4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xpveugAIAAJgFAAAO&#10;AAAAAAAAAAAAAAAAACwCAABkcnMvZTJvRG9jLnhtbFBLAQItABQABgAIAAAAIQBMp7CQ2QAAAAMB&#10;AAAPAAAAAAAAAAAAAAAAANgEAABkcnMvZG93bnJldi54bWxQSwUGAAAAAAQABADzAAAA3gUAAAAA&#10;">
                <v:line id="Line_x0020_4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YgTMMAAADcAAAADwAAAGRycy9kb3ducmV2LnhtbERP3WrCMBS+H/gO4Qi7GZpuHSLVKDIQ&#10;ZBf+1Qc4Nse2mJzUJtpuT79cCLv8+P7ny94a8aDW144VvI8TEMSF0zWXCk75ejQF4QOyRuOYFPyQ&#10;h+Vi8DLHTLuOD/Q4hlLEEPYZKqhCaDIpfVGRRT92DXHkLq61GCJsS6lb7GK4NfIjSSbSYs2xocKG&#10;vioqrse7VZDf3oLZ775Nl+/OqTzftunvfavU67BfzUAE6sO/+OneaAWfaZwfz8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GIEzDAAAA3AAAAA8AAAAAAAAAAAAA&#10;AAAAoQIAAGRycy9kb3ducmV2LnhtbFBLBQYAAAAABAAEAPkAAACRAwAAAAA=&#10;" strokecolor="#231f20" strokeweight=".5pt"/>
                <w10:anchorlock/>
              </v:group>
            </w:pict>
          </mc:Fallback>
        </mc:AlternateContent>
      </w:r>
    </w:p>
    <w:p w14:paraId="3AE943FE" w14:textId="77777777" w:rsidR="00DE575E" w:rsidRDefault="00DE575E">
      <w:pPr>
        <w:pStyle w:val="BodyText"/>
        <w:spacing w:before="7"/>
        <w:rPr>
          <w:rFonts w:ascii="AdonisC"/>
          <w:i/>
          <w:sz w:val="19"/>
        </w:rPr>
      </w:pPr>
    </w:p>
    <w:p w14:paraId="21E2393F" w14:textId="77777777" w:rsidR="00DE575E" w:rsidRDefault="002E7560">
      <w:pPr>
        <w:pStyle w:val="ListParagraph"/>
        <w:numPr>
          <w:ilvl w:val="0"/>
          <w:numId w:val="91"/>
        </w:numPr>
        <w:tabs>
          <w:tab w:val="left" w:pos="771"/>
        </w:tabs>
        <w:spacing w:line="252" w:lineRule="auto"/>
        <w:ind w:right="410" w:firstLine="283"/>
        <w:jc w:val="both"/>
        <w:rPr>
          <w:sz w:val="21"/>
        </w:rPr>
      </w:pPr>
      <w:r>
        <w:rPr>
          <w:color w:val="231F20"/>
          <w:sz w:val="21"/>
        </w:rPr>
        <w:t>складання присяги посадової особи місцевого</w:t>
      </w:r>
      <w:r>
        <w:rPr>
          <w:color w:val="231F20"/>
          <w:spacing w:val="-33"/>
          <w:sz w:val="21"/>
        </w:rPr>
        <w:t xml:space="preserve"> </w:t>
      </w:r>
      <w:r>
        <w:rPr>
          <w:color w:val="231F20"/>
          <w:sz w:val="21"/>
        </w:rPr>
        <w:t>самоврядування (якщо прийняття на муніципальну службу здійснюється</w:t>
      </w:r>
      <w:r>
        <w:rPr>
          <w:color w:val="231F20"/>
          <w:spacing w:val="-4"/>
          <w:sz w:val="21"/>
        </w:rPr>
        <w:t xml:space="preserve"> </w:t>
      </w:r>
      <w:r>
        <w:rPr>
          <w:color w:val="231F20"/>
          <w:sz w:val="21"/>
        </w:rPr>
        <w:t>вперше;</w:t>
      </w:r>
    </w:p>
    <w:p w14:paraId="7EBAF4C8" w14:textId="77777777" w:rsidR="00DE575E" w:rsidRDefault="002E7560">
      <w:pPr>
        <w:pStyle w:val="ListParagraph"/>
        <w:numPr>
          <w:ilvl w:val="0"/>
          <w:numId w:val="91"/>
        </w:numPr>
        <w:tabs>
          <w:tab w:val="left" w:pos="788"/>
        </w:tabs>
        <w:spacing w:line="252" w:lineRule="auto"/>
        <w:ind w:right="410" w:firstLine="283"/>
        <w:jc w:val="both"/>
        <w:rPr>
          <w:sz w:val="21"/>
        </w:rPr>
      </w:pPr>
      <w:r>
        <w:rPr>
          <w:color w:val="231F20"/>
          <w:sz w:val="21"/>
        </w:rPr>
        <w:t>ухвалення органом місцевого самоврядування адміністратив- ного акта про призначення особи на посаду (якщо прийняття на муніципальну службу здійснюється не вперше і присяга вже раніш</w:t>
      </w:r>
      <w:r>
        <w:rPr>
          <w:color w:val="231F20"/>
          <w:sz w:val="21"/>
        </w:rPr>
        <w:t>е складалась).</w:t>
      </w:r>
    </w:p>
    <w:p w14:paraId="654DA71F" w14:textId="77777777" w:rsidR="00DE575E" w:rsidRDefault="002E7560">
      <w:pPr>
        <w:pStyle w:val="BodyText"/>
        <w:spacing w:before="2" w:line="252" w:lineRule="auto"/>
        <w:ind w:left="250" w:right="411" w:firstLine="283"/>
        <w:jc w:val="both"/>
      </w:pPr>
      <w:r>
        <w:rPr>
          <w:color w:val="231F20"/>
        </w:rPr>
        <w:t>Набуті службовцем органу місцевого самоврядування права та обов’язки слід класифікувати на:</w:t>
      </w:r>
    </w:p>
    <w:p w14:paraId="6F1143E0" w14:textId="77777777" w:rsidR="00DE575E" w:rsidRDefault="002E7560">
      <w:pPr>
        <w:pStyle w:val="ListParagraph"/>
        <w:numPr>
          <w:ilvl w:val="0"/>
          <w:numId w:val="98"/>
        </w:numPr>
        <w:tabs>
          <w:tab w:val="left" w:pos="742"/>
        </w:tabs>
        <w:spacing w:line="252" w:lineRule="auto"/>
        <w:ind w:right="411" w:firstLine="283"/>
        <w:rPr>
          <w:sz w:val="21"/>
        </w:rPr>
      </w:pPr>
      <w:r>
        <w:rPr>
          <w:i/>
          <w:color w:val="231F20"/>
          <w:spacing w:val="-3"/>
          <w:sz w:val="21"/>
        </w:rPr>
        <w:t xml:space="preserve">загальні </w:t>
      </w:r>
      <w:r>
        <w:rPr>
          <w:color w:val="231F20"/>
          <w:sz w:val="21"/>
        </w:rPr>
        <w:t xml:space="preserve">– </w:t>
      </w:r>
      <w:r>
        <w:rPr>
          <w:color w:val="231F20"/>
          <w:spacing w:val="-3"/>
          <w:sz w:val="21"/>
        </w:rPr>
        <w:t xml:space="preserve">посадові </w:t>
      </w:r>
      <w:r>
        <w:rPr>
          <w:color w:val="231F20"/>
          <w:sz w:val="21"/>
        </w:rPr>
        <w:t xml:space="preserve">особи </w:t>
      </w:r>
      <w:r>
        <w:rPr>
          <w:color w:val="231F20"/>
          <w:spacing w:val="-3"/>
          <w:sz w:val="21"/>
        </w:rPr>
        <w:t xml:space="preserve">органів місцевого самоврядування користуються правами </w:t>
      </w:r>
      <w:r>
        <w:rPr>
          <w:color w:val="231F20"/>
          <w:sz w:val="21"/>
        </w:rPr>
        <w:t xml:space="preserve">та обов’язками </w:t>
      </w:r>
      <w:r>
        <w:rPr>
          <w:color w:val="231F20"/>
          <w:spacing w:val="-4"/>
          <w:sz w:val="21"/>
        </w:rPr>
        <w:t xml:space="preserve">людини </w:t>
      </w:r>
      <w:r>
        <w:rPr>
          <w:color w:val="231F20"/>
          <w:sz w:val="21"/>
        </w:rPr>
        <w:t xml:space="preserve">та </w:t>
      </w:r>
      <w:r>
        <w:rPr>
          <w:color w:val="231F20"/>
          <w:spacing w:val="-3"/>
          <w:sz w:val="21"/>
        </w:rPr>
        <w:t xml:space="preserve">громадянина, що закріплені </w:t>
      </w:r>
      <w:r>
        <w:rPr>
          <w:color w:val="231F20"/>
          <w:sz w:val="21"/>
        </w:rPr>
        <w:t xml:space="preserve">у </w:t>
      </w:r>
      <w:r>
        <w:rPr>
          <w:color w:val="231F20"/>
          <w:spacing w:val="-3"/>
          <w:sz w:val="21"/>
        </w:rPr>
        <w:t>нормах Конститу</w:t>
      </w:r>
      <w:r>
        <w:rPr>
          <w:color w:val="231F20"/>
          <w:spacing w:val="-3"/>
          <w:sz w:val="21"/>
        </w:rPr>
        <w:t xml:space="preserve">ції </w:t>
      </w:r>
      <w:r>
        <w:rPr>
          <w:color w:val="231F20"/>
          <w:spacing w:val="-5"/>
          <w:sz w:val="21"/>
        </w:rPr>
        <w:t xml:space="preserve">України </w:t>
      </w:r>
      <w:r>
        <w:rPr>
          <w:color w:val="231F20"/>
          <w:sz w:val="21"/>
        </w:rPr>
        <w:t xml:space="preserve">та </w:t>
      </w:r>
      <w:r>
        <w:rPr>
          <w:color w:val="231F20"/>
          <w:spacing w:val="-3"/>
          <w:sz w:val="21"/>
        </w:rPr>
        <w:t xml:space="preserve">загальних </w:t>
      </w:r>
      <w:r>
        <w:rPr>
          <w:color w:val="231F20"/>
          <w:spacing w:val="-4"/>
          <w:sz w:val="21"/>
        </w:rPr>
        <w:t xml:space="preserve">законодавчих </w:t>
      </w:r>
      <w:r>
        <w:rPr>
          <w:color w:val="231F20"/>
          <w:spacing w:val="-3"/>
          <w:sz w:val="21"/>
        </w:rPr>
        <w:t xml:space="preserve">актах, </w:t>
      </w:r>
      <w:r>
        <w:rPr>
          <w:color w:val="231F20"/>
          <w:sz w:val="21"/>
        </w:rPr>
        <w:t xml:space="preserve">що </w:t>
      </w:r>
      <w:r>
        <w:rPr>
          <w:color w:val="231F20"/>
          <w:spacing w:val="-4"/>
          <w:sz w:val="21"/>
        </w:rPr>
        <w:t xml:space="preserve">визначають </w:t>
      </w:r>
      <w:r>
        <w:rPr>
          <w:color w:val="231F20"/>
          <w:spacing w:val="-3"/>
          <w:sz w:val="21"/>
        </w:rPr>
        <w:t xml:space="preserve">порядок </w:t>
      </w:r>
      <w:r>
        <w:rPr>
          <w:color w:val="231F20"/>
          <w:spacing w:val="-4"/>
          <w:sz w:val="21"/>
        </w:rPr>
        <w:t xml:space="preserve">проходження </w:t>
      </w:r>
      <w:r>
        <w:rPr>
          <w:color w:val="231F20"/>
          <w:spacing w:val="-3"/>
          <w:sz w:val="21"/>
        </w:rPr>
        <w:t xml:space="preserve">служби </w:t>
      </w:r>
      <w:r>
        <w:rPr>
          <w:color w:val="231F20"/>
          <w:sz w:val="21"/>
        </w:rPr>
        <w:t xml:space="preserve">в </w:t>
      </w:r>
      <w:r>
        <w:rPr>
          <w:color w:val="231F20"/>
          <w:spacing w:val="-3"/>
          <w:sz w:val="21"/>
        </w:rPr>
        <w:t xml:space="preserve">органах місце- </w:t>
      </w:r>
      <w:r>
        <w:rPr>
          <w:color w:val="231F20"/>
          <w:sz w:val="21"/>
        </w:rPr>
        <w:t xml:space="preserve">вого </w:t>
      </w:r>
      <w:r>
        <w:rPr>
          <w:color w:val="231F20"/>
          <w:spacing w:val="-3"/>
          <w:sz w:val="21"/>
        </w:rPr>
        <w:t xml:space="preserve">самоврядування. Посадові </w:t>
      </w:r>
      <w:r>
        <w:rPr>
          <w:color w:val="231F20"/>
          <w:sz w:val="21"/>
        </w:rPr>
        <w:t xml:space="preserve">особи </w:t>
      </w:r>
      <w:r>
        <w:rPr>
          <w:color w:val="231F20"/>
          <w:spacing w:val="-3"/>
          <w:sz w:val="21"/>
        </w:rPr>
        <w:t xml:space="preserve">органу місцевого самовряду- вання відповідають перед </w:t>
      </w:r>
      <w:r>
        <w:rPr>
          <w:color w:val="231F20"/>
          <w:spacing w:val="-4"/>
          <w:sz w:val="21"/>
        </w:rPr>
        <w:t xml:space="preserve">людиною </w:t>
      </w:r>
      <w:r>
        <w:rPr>
          <w:color w:val="231F20"/>
          <w:sz w:val="21"/>
        </w:rPr>
        <w:t xml:space="preserve">за </w:t>
      </w:r>
      <w:r>
        <w:rPr>
          <w:color w:val="231F20"/>
          <w:spacing w:val="-3"/>
          <w:sz w:val="21"/>
        </w:rPr>
        <w:t xml:space="preserve">свою діяльність, </w:t>
      </w:r>
      <w:r>
        <w:rPr>
          <w:color w:val="231F20"/>
          <w:spacing w:val="-4"/>
          <w:sz w:val="21"/>
        </w:rPr>
        <w:t xml:space="preserve">утвердження </w:t>
      </w:r>
      <w:r>
        <w:rPr>
          <w:color w:val="231F20"/>
          <w:sz w:val="21"/>
        </w:rPr>
        <w:t xml:space="preserve">і </w:t>
      </w:r>
      <w:r>
        <w:rPr>
          <w:color w:val="231F20"/>
          <w:spacing w:val="-3"/>
          <w:sz w:val="21"/>
        </w:rPr>
        <w:t xml:space="preserve">забезпечення </w:t>
      </w:r>
      <w:r>
        <w:rPr>
          <w:color w:val="231F20"/>
          <w:sz w:val="21"/>
        </w:rPr>
        <w:t xml:space="preserve">прав і </w:t>
      </w:r>
      <w:r>
        <w:rPr>
          <w:color w:val="231F20"/>
          <w:spacing w:val="-4"/>
          <w:sz w:val="21"/>
        </w:rPr>
        <w:t>св</w:t>
      </w:r>
      <w:r>
        <w:rPr>
          <w:color w:val="231F20"/>
          <w:spacing w:val="-4"/>
          <w:sz w:val="21"/>
        </w:rPr>
        <w:t xml:space="preserve">обод людини </w:t>
      </w:r>
      <w:r>
        <w:rPr>
          <w:color w:val="231F20"/>
          <w:sz w:val="21"/>
        </w:rPr>
        <w:t xml:space="preserve">є основним </w:t>
      </w:r>
      <w:r>
        <w:rPr>
          <w:color w:val="231F20"/>
          <w:spacing w:val="-3"/>
          <w:sz w:val="21"/>
        </w:rPr>
        <w:t xml:space="preserve">обов’язком </w:t>
      </w:r>
      <w:r>
        <w:rPr>
          <w:color w:val="231F20"/>
          <w:spacing w:val="-4"/>
          <w:sz w:val="21"/>
        </w:rPr>
        <w:t xml:space="preserve">держави </w:t>
      </w:r>
      <w:r>
        <w:rPr>
          <w:color w:val="231F20"/>
          <w:sz w:val="21"/>
        </w:rPr>
        <w:t xml:space="preserve">в особі </w:t>
      </w:r>
      <w:r>
        <w:rPr>
          <w:color w:val="231F20"/>
          <w:spacing w:val="-3"/>
          <w:sz w:val="21"/>
        </w:rPr>
        <w:t>службовця органу місцевого самоврядування</w:t>
      </w:r>
      <w:r>
        <w:rPr>
          <w:color w:val="231F20"/>
          <w:spacing w:val="-20"/>
          <w:sz w:val="21"/>
        </w:rPr>
        <w:t xml:space="preserve"> </w:t>
      </w:r>
      <w:r>
        <w:rPr>
          <w:color w:val="231F20"/>
          <w:spacing w:val="-3"/>
          <w:sz w:val="21"/>
        </w:rPr>
        <w:t>зокрема;</w:t>
      </w:r>
    </w:p>
    <w:p w14:paraId="0465CCA2" w14:textId="77777777" w:rsidR="00DE575E" w:rsidRDefault="002E7560">
      <w:pPr>
        <w:pStyle w:val="ListParagraph"/>
        <w:numPr>
          <w:ilvl w:val="0"/>
          <w:numId w:val="98"/>
        </w:numPr>
        <w:tabs>
          <w:tab w:val="left" w:pos="703"/>
        </w:tabs>
        <w:spacing w:before="4" w:line="252" w:lineRule="auto"/>
        <w:ind w:right="411" w:firstLine="283"/>
        <w:rPr>
          <w:sz w:val="21"/>
        </w:rPr>
      </w:pPr>
      <w:r>
        <w:rPr>
          <w:i/>
          <w:color w:val="231F20"/>
          <w:sz w:val="21"/>
        </w:rPr>
        <w:t xml:space="preserve">спеціальні </w:t>
      </w:r>
      <w:r>
        <w:rPr>
          <w:color w:val="231F20"/>
          <w:sz w:val="21"/>
        </w:rPr>
        <w:t>– посадові особи органів місцевого самоврядування реалізують права та обов’язки через адміністративні процедури щодо</w:t>
      </w:r>
      <w:r>
        <w:rPr>
          <w:color w:val="231F20"/>
          <w:spacing w:val="-15"/>
          <w:sz w:val="21"/>
        </w:rPr>
        <w:t xml:space="preserve"> </w:t>
      </w:r>
      <w:r>
        <w:rPr>
          <w:color w:val="231F20"/>
          <w:sz w:val="21"/>
        </w:rPr>
        <w:t>втручальної,</w:t>
      </w:r>
      <w:r>
        <w:rPr>
          <w:color w:val="231F20"/>
          <w:spacing w:val="-15"/>
          <w:sz w:val="21"/>
        </w:rPr>
        <w:t xml:space="preserve"> </w:t>
      </w:r>
      <w:r>
        <w:rPr>
          <w:color w:val="231F20"/>
          <w:sz w:val="21"/>
        </w:rPr>
        <w:t>сприяючої</w:t>
      </w:r>
      <w:r>
        <w:rPr>
          <w:color w:val="231F20"/>
          <w:spacing w:val="-15"/>
          <w:sz w:val="21"/>
        </w:rPr>
        <w:t xml:space="preserve"> </w:t>
      </w:r>
      <w:r>
        <w:rPr>
          <w:color w:val="231F20"/>
          <w:sz w:val="21"/>
        </w:rPr>
        <w:t>та</w:t>
      </w:r>
      <w:r>
        <w:rPr>
          <w:color w:val="231F20"/>
          <w:spacing w:val="-15"/>
          <w:sz w:val="21"/>
        </w:rPr>
        <w:t xml:space="preserve"> </w:t>
      </w:r>
      <w:r>
        <w:rPr>
          <w:color w:val="231F20"/>
          <w:sz w:val="21"/>
        </w:rPr>
        <w:t>забезпечувальної</w:t>
      </w:r>
      <w:r>
        <w:rPr>
          <w:color w:val="231F20"/>
          <w:spacing w:val="-15"/>
          <w:sz w:val="21"/>
        </w:rPr>
        <w:t xml:space="preserve"> </w:t>
      </w:r>
      <w:r>
        <w:rPr>
          <w:color w:val="231F20"/>
          <w:sz w:val="21"/>
        </w:rPr>
        <w:t>діяльності.</w:t>
      </w:r>
      <w:r>
        <w:rPr>
          <w:color w:val="231F20"/>
          <w:spacing w:val="-15"/>
          <w:sz w:val="21"/>
        </w:rPr>
        <w:t xml:space="preserve"> </w:t>
      </w:r>
      <w:r>
        <w:rPr>
          <w:color w:val="231F20"/>
          <w:sz w:val="21"/>
        </w:rPr>
        <w:t>Сукуп- ність прав та обов’язків службовця залежить від виду органу місце- вого самоврядування, місця цього органу в загальній ієрархії орга- нів</w:t>
      </w:r>
      <w:r>
        <w:rPr>
          <w:color w:val="231F20"/>
          <w:spacing w:val="-12"/>
          <w:sz w:val="21"/>
        </w:rPr>
        <w:t xml:space="preserve"> </w:t>
      </w:r>
      <w:r>
        <w:rPr>
          <w:color w:val="231F20"/>
          <w:sz w:val="21"/>
        </w:rPr>
        <w:t>публічного</w:t>
      </w:r>
      <w:r>
        <w:rPr>
          <w:color w:val="231F20"/>
          <w:spacing w:val="-12"/>
          <w:sz w:val="21"/>
        </w:rPr>
        <w:t xml:space="preserve"> </w:t>
      </w:r>
      <w:r>
        <w:rPr>
          <w:color w:val="231F20"/>
          <w:sz w:val="21"/>
        </w:rPr>
        <w:t>управління,</w:t>
      </w:r>
      <w:r>
        <w:rPr>
          <w:color w:val="231F20"/>
          <w:spacing w:val="-12"/>
          <w:sz w:val="21"/>
        </w:rPr>
        <w:t xml:space="preserve"> </w:t>
      </w:r>
      <w:r>
        <w:rPr>
          <w:color w:val="231F20"/>
          <w:sz w:val="21"/>
        </w:rPr>
        <w:t>а</w:t>
      </w:r>
      <w:r>
        <w:rPr>
          <w:color w:val="231F20"/>
          <w:spacing w:val="-11"/>
          <w:sz w:val="21"/>
        </w:rPr>
        <w:t xml:space="preserve"> </w:t>
      </w:r>
      <w:r>
        <w:rPr>
          <w:color w:val="231F20"/>
          <w:sz w:val="21"/>
        </w:rPr>
        <w:t>також</w:t>
      </w:r>
      <w:r>
        <w:rPr>
          <w:color w:val="231F20"/>
          <w:spacing w:val="-12"/>
          <w:sz w:val="21"/>
        </w:rPr>
        <w:t xml:space="preserve"> </w:t>
      </w:r>
      <w:r>
        <w:rPr>
          <w:color w:val="231F20"/>
          <w:sz w:val="21"/>
        </w:rPr>
        <w:t>від</w:t>
      </w:r>
      <w:r>
        <w:rPr>
          <w:color w:val="231F20"/>
          <w:spacing w:val="-12"/>
          <w:sz w:val="21"/>
        </w:rPr>
        <w:t xml:space="preserve"> </w:t>
      </w:r>
      <w:r>
        <w:rPr>
          <w:color w:val="231F20"/>
          <w:sz w:val="21"/>
        </w:rPr>
        <w:t>посади</w:t>
      </w:r>
      <w:r>
        <w:rPr>
          <w:color w:val="231F20"/>
          <w:spacing w:val="-12"/>
          <w:sz w:val="21"/>
        </w:rPr>
        <w:t xml:space="preserve"> </w:t>
      </w:r>
      <w:r>
        <w:rPr>
          <w:color w:val="231F20"/>
          <w:sz w:val="21"/>
        </w:rPr>
        <w:t>публічного</w:t>
      </w:r>
      <w:r>
        <w:rPr>
          <w:color w:val="231F20"/>
          <w:spacing w:val="-12"/>
          <w:sz w:val="21"/>
        </w:rPr>
        <w:t xml:space="preserve"> </w:t>
      </w:r>
      <w:r>
        <w:rPr>
          <w:color w:val="231F20"/>
          <w:sz w:val="21"/>
        </w:rPr>
        <w:t>службовця на яку його</w:t>
      </w:r>
      <w:r>
        <w:rPr>
          <w:color w:val="231F20"/>
          <w:spacing w:val="-1"/>
          <w:sz w:val="21"/>
        </w:rPr>
        <w:t xml:space="preserve"> </w:t>
      </w:r>
      <w:r>
        <w:rPr>
          <w:color w:val="231F20"/>
          <w:sz w:val="21"/>
        </w:rPr>
        <w:t>признач</w:t>
      </w:r>
      <w:r>
        <w:rPr>
          <w:color w:val="231F20"/>
          <w:sz w:val="21"/>
        </w:rPr>
        <w:t>ено</w:t>
      </w:r>
      <w:r>
        <w:rPr>
          <w:color w:val="231F20"/>
          <w:position w:val="7"/>
          <w:sz w:val="12"/>
        </w:rPr>
        <w:t>1</w:t>
      </w:r>
      <w:r>
        <w:rPr>
          <w:color w:val="231F20"/>
          <w:sz w:val="21"/>
        </w:rPr>
        <w:t>.</w:t>
      </w:r>
    </w:p>
    <w:p w14:paraId="506817D3" w14:textId="77777777" w:rsidR="00DE575E" w:rsidRDefault="002E7560">
      <w:pPr>
        <w:pStyle w:val="BodyText"/>
        <w:spacing w:before="3" w:line="252" w:lineRule="auto"/>
        <w:ind w:left="250" w:right="410" w:firstLine="283"/>
        <w:jc w:val="both"/>
      </w:pPr>
      <w:r>
        <w:rPr>
          <w:color w:val="231F20"/>
        </w:rPr>
        <w:t xml:space="preserve">Однак варто звернути </w:t>
      </w:r>
      <w:r>
        <w:rPr>
          <w:color w:val="231F20"/>
          <w:spacing w:val="-3"/>
        </w:rPr>
        <w:t xml:space="preserve">увагу, </w:t>
      </w:r>
      <w:r>
        <w:rPr>
          <w:color w:val="231F20"/>
        </w:rPr>
        <w:t xml:space="preserve">що на сьогодні, у випадку з’ясу- вання правового статусу посадових осіб місцевого самоврядування, у Законі «Про службу в органах місцевого самоврядування» першо- чергово  законодавець  закріпив  саме  обов’язки,  а  лише  </w:t>
      </w:r>
      <w:r>
        <w:rPr>
          <w:color w:val="231F20"/>
        </w:rPr>
        <w:t xml:space="preserve">потім  –  у наступній статті – права службовців. </w:t>
      </w:r>
      <w:r>
        <w:rPr>
          <w:color w:val="231F20"/>
          <w:spacing w:val="-5"/>
        </w:rPr>
        <w:t xml:space="preserve">Тому </w:t>
      </w:r>
      <w:r>
        <w:rPr>
          <w:color w:val="231F20"/>
        </w:rPr>
        <w:t>вбачається слушним при вивченні прав та обов’язків муніципальних службовців дотри- муватися встановленої послідовності.  Однак  не  виключаємо,  що  у процесі правотворчості черговість (доволі абстрактн</w:t>
      </w:r>
      <w:r>
        <w:rPr>
          <w:color w:val="231F20"/>
        </w:rPr>
        <w:t>ий показ- них пріоритетності статусних елементів) може змінитися на проти- лежну (як це вже має місце стосовно державних</w:t>
      </w:r>
      <w:r>
        <w:rPr>
          <w:color w:val="231F20"/>
          <w:spacing w:val="-6"/>
        </w:rPr>
        <w:t xml:space="preserve"> </w:t>
      </w:r>
      <w:r>
        <w:rPr>
          <w:color w:val="231F20"/>
        </w:rPr>
        <w:t>службовців).</w:t>
      </w:r>
    </w:p>
    <w:p w14:paraId="4466E39A" w14:textId="77777777" w:rsidR="00DE575E" w:rsidRDefault="002E7560">
      <w:pPr>
        <w:spacing w:before="5" w:line="252" w:lineRule="auto"/>
        <w:ind w:left="250" w:right="409" w:firstLine="283"/>
        <w:jc w:val="both"/>
        <w:rPr>
          <w:sz w:val="21"/>
        </w:rPr>
      </w:pPr>
      <w:r>
        <w:rPr>
          <w:color w:val="231F20"/>
          <w:sz w:val="21"/>
        </w:rPr>
        <w:t xml:space="preserve">Під </w:t>
      </w:r>
      <w:r>
        <w:rPr>
          <w:b/>
          <w:i/>
          <w:color w:val="231F20"/>
          <w:sz w:val="21"/>
        </w:rPr>
        <w:t xml:space="preserve">обов’язками посадової особи місцевого самоврядування </w:t>
      </w:r>
      <w:r>
        <w:rPr>
          <w:color w:val="231F20"/>
          <w:sz w:val="21"/>
        </w:rPr>
        <w:t>розуміються зумовлені Конституцією України і чинним законо- давст</w:t>
      </w:r>
      <w:r>
        <w:rPr>
          <w:color w:val="231F20"/>
          <w:sz w:val="21"/>
        </w:rPr>
        <w:t>вом функції (основні дії), які складають у сукупності сутність</w:t>
      </w:r>
    </w:p>
    <w:p w14:paraId="3A365EA4" w14:textId="77777777" w:rsidR="00DE575E" w:rsidRDefault="00DE575E">
      <w:pPr>
        <w:pStyle w:val="BodyText"/>
        <w:rPr>
          <w:sz w:val="20"/>
        </w:rPr>
      </w:pPr>
    </w:p>
    <w:p w14:paraId="52D98F4C" w14:textId="0486D36F" w:rsidR="00DE575E" w:rsidRDefault="002E7560">
      <w:pPr>
        <w:pStyle w:val="BodyText"/>
        <w:spacing w:before="9"/>
        <w:rPr>
          <w:sz w:val="12"/>
        </w:rPr>
      </w:pPr>
      <w:r>
        <w:rPr>
          <w:noProof/>
        </w:rPr>
        <mc:AlternateContent>
          <mc:Choice Requires="wps">
            <w:drawing>
              <wp:anchor distT="0" distB="0" distL="0" distR="0" simplePos="0" relativeHeight="15232" behindDoc="0" locked="0" layoutInCell="1" allowOverlap="1" wp14:anchorId="2611F7E5" wp14:editId="02E7752C">
                <wp:simplePos x="0" y="0"/>
                <wp:positionH relativeFrom="page">
                  <wp:posOffset>539750</wp:posOffset>
                </wp:positionH>
                <wp:positionV relativeFrom="paragraph">
                  <wp:posOffset>123190</wp:posOffset>
                </wp:positionV>
                <wp:extent cx="1080135" cy="0"/>
                <wp:effectExtent l="6350" t="8890" r="31115" b="29210"/>
                <wp:wrapTopAndBottom/>
                <wp:docPr id="42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4E6AC" id="Line_x0020_427" o:spid="_x0000_s1026" style="position:absolute;z-index: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7pt" to="127.5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" strokecolor="#231f20" strokeweight=".5pt">
                <w10:wrap type="topAndBottom" anchorx="page"/>
              </v:line>
            </w:pict>
          </mc:Fallback>
        </mc:AlternateContent>
      </w:r>
    </w:p>
    <w:p w14:paraId="7F5B28A7" w14:textId="77777777" w:rsidR="00DE575E" w:rsidRDefault="002E7560">
      <w:pPr>
        <w:spacing w:line="204" w:lineRule="auto"/>
        <w:ind w:left="250" w:right="521"/>
        <w:rPr>
          <w:sz w:val="16"/>
        </w:rPr>
      </w:pPr>
      <w:r>
        <w:rPr>
          <w:color w:val="231F20"/>
          <w:position w:val="5"/>
          <w:sz w:val="9"/>
        </w:rPr>
        <w:t xml:space="preserve">1 </w:t>
      </w:r>
      <w:r>
        <w:rPr>
          <w:color w:val="231F20"/>
          <w:sz w:val="16"/>
        </w:rPr>
        <w:t>Мельник Р.С., Бевзенко В.М. Загальне адміністративне право: навчальний посібник; за заг. ред. Р.С. Мельника. Київ: Ваіте, 2014. 376 с.</w:t>
      </w:r>
    </w:p>
    <w:p w14:paraId="67338AE6" w14:textId="77777777" w:rsidR="00DE575E" w:rsidRDefault="00DE575E">
      <w:pPr>
        <w:pStyle w:val="BodyText"/>
        <w:spacing w:before="1"/>
        <w:rPr>
          <w:sz w:val="12"/>
        </w:rPr>
      </w:pPr>
    </w:p>
    <w:p w14:paraId="3F6479B0" w14:textId="77777777" w:rsidR="00DE575E" w:rsidRDefault="002E7560">
      <w:pPr>
        <w:spacing w:before="92"/>
        <w:ind w:right="411"/>
        <w:jc w:val="right"/>
        <w:rPr>
          <w:rFonts w:ascii="Times New Roman"/>
          <w:sz w:val="20"/>
        </w:rPr>
      </w:pPr>
      <w:r>
        <w:rPr>
          <w:rFonts w:ascii="Times New Roman"/>
          <w:color w:val="231F20"/>
          <w:w w:val="90"/>
          <w:sz w:val="20"/>
        </w:rPr>
        <w:t>389</w:t>
      </w:r>
    </w:p>
    <w:p w14:paraId="0C9D308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55A76FF"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7A93B59A" w14:textId="2C4B220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A5FC24B" wp14:editId="53317B11">
                <wp:extent cx="4140200" cy="6350"/>
                <wp:effectExtent l="0" t="0" r="12700" b="6350"/>
                <wp:docPr id="42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27" name="Line 42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245FA0" id="Group_x0020_42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FCiJZ/AgAAmAUAAA4A&#10;AAAAAAAAAAAAAAAALAIAAGRycy9lMm9Eb2MueG1sUEsBAi0AFAAGAAgAAAAhAEynsJDZAAAAAwEA&#10;AA8AAAAAAAAAAAAAAAAA1wQAAGRycy9kb3ducmV2LnhtbFBLBQYAAAAABAAEAPMAAADdBQAAAAA=&#10;">
                <v:line id="Line_x0020_42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Yu5cYAAADcAAAADwAAAGRycy9kb3ducmV2LnhtbESP0WrCQBRE3wX/YblCX4pu1KISXUUK&#10;hdIHbY0fcM1ek+Du3ZhdTdqv7xYKPg4zc4ZZbTprxJ0aXzlWMB4lIIhzpysuFByzt+EChA/IGo1j&#10;UvBNHjbrfm+FqXYtf9H9EAoRIexTVFCGUKdS+rwki37kauLonV1jMUTZFFI32Ea4NXKSJDNpseK4&#10;UGJNryXll8PNKsiuz8F87j9Mm+1PU3m67qY/t51ST4NuuwQRqAuP8H/7XSt4mczh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2LuXGAAAA3AAAAA8AAAAAAAAA&#10;AAAAAAAAoQIAAGRycy9kb3ducmV2LnhtbFBLBQYAAAAABAAEAPkAAACUAwAAAAA=&#10;" strokecolor="#231f20" strokeweight=".5pt"/>
                <w10:anchorlock/>
              </v:group>
            </w:pict>
          </mc:Fallback>
        </mc:AlternateContent>
      </w:r>
    </w:p>
    <w:p w14:paraId="0FAAD227" w14:textId="77777777" w:rsidR="00DE575E" w:rsidRDefault="00DE575E">
      <w:pPr>
        <w:pStyle w:val="BodyText"/>
        <w:spacing w:before="7"/>
        <w:rPr>
          <w:rFonts w:ascii="AdonisC"/>
          <w:i/>
          <w:sz w:val="11"/>
        </w:rPr>
      </w:pPr>
    </w:p>
    <w:p w14:paraId="274CE9BA" w14:textId="77777777" w:rsidR="00DE575E" w:rsidRDefault="002E7560">
      <w:pPr>
        <w:pStyle w:val="BodyText"/>
        <w:spacing w:before="101" w:line="252" w:lineRule="auto"/>
        <w:ind w:left="533" w:right="127"/>
        <w:jc w:val="both"/>
      </w:pPr>
      <w:r>
        <w:rPr>
          <w:color w:val="231F20"/>
        </w:rPr>
        <w:t xml:space="preserve">професійної діяльності щодо забезпечення виконання повнова- жень органів місцевого самоврядування. </w:t>
      </w:r>
      <w:r>
        <w:rPr>
          <w:color w:val="231F20"/>
          <w:spacing w:val="-4"/>
        </w:rPr>
        <w:t xml:space="preserve">Так, </w:t>
      </w:r>
      <w:r>
        <w:rPr>
          <w:color w:val="231F20"/>
        </w:rPr>
        <w:t>складовою право- вого статусу службовців є існування правообмежень і забо</w:t>
      </w:r>
      <w:r>
        <w:rPr>
          <w:color w:val="231F20"/>
        </w:rPr>
        <w:t>рон, що зумовлюються специфікою виконуваних ними завдань та функцій держави й службових</w:t>
      </w:r>
      <w:r>
        <w:rPr>
          <w:color w:val="231F20"/>
          <w:spacing w:val="-3"/>
        </w:rPr>
        <w:t xml:space="preserve"> </w:t>
      </w:r>
      <w:r>
        <w:rPr>
          <w:color w:val="231F20"/>
        </w:rPr>
        <w:t>повноважень.</w:t>
      </w:r>
    </w:p>
    <w:p w14:paraId="4CAF49F4" w14:textId="77777777" w:rsidR="00DE575E" w:rsidRDefault="002E7560">
      <w:pPr>
        <w:pStyle w:val="Heading6"/>
        <w:spacing w:before="2" w:line="252" w:lineRule="auto"/>
        <w:ind w:right="128"/>
        <w:jc w:val="both"/>
      </w:pPr>
      <w:r>
        <w:rPr>
          <w:color w:val="231F20"/>
        </w:rPr>
        <w:t xml:space="preserve">Основними обов’язками посадових осіб місцевого самовряду- </w:t>
      </w:r>
      <w:r>
        <w:rPr>
          <w:color w:val="231F20"/>
        </w:rPr>
        <w:t>вання є:</w:t>
      </w:r>
    </w:p>
    <w:p w14:paraId="7BB4F71E" w14:textId="77777777" w:rsidR="00DE575E" w:rsidRDefault="002E7560">
      <w:pPr>
        <w:pStyle w:val="ListParagraph"/>
        <w:numPr>
          <w:ilvl w:val="0"/>
          <w:numId w:val="90"/>
        </w:numPr>
        <w:tabs>
          <w:tab w:val="left" w:pos="1101"/>
        </w:tabs>
        <w:spacing w:line="252" w:lineRule="auto"/>
        <w:ind w:right="128" w:firstLine="284"/>
        <w:rPr>
          <w:sz w:val="21"/>
        </w:rPr>
      </w:pPr>
      <w:r>
        <w:rPr>
          <w:color w:val="231F20"/>
          <w:sz w:val="21"/>
        </w:rPr>
        <w:t xml:space="preserve">додержання Конституції та законів </w:t>
      </w:r>
      <w:r>
        <w:rPr>
          <w:color w:val="231F20"/>
          <w:spacing w:val="-3"/>
          <w:sz w:val="21"/>
        </w:rPr>
        <w:t xml:space="preserve">України, </w:t>
      </w:r>
      <w:r>
        <w:rPr>
          <w:color w:val="231F20"/>
          <w:sz w:val="21"/>
        </w:rPr>
        <w:t>інших норма- тивно-правових актів, актів орга</w:t>
      </w:r>
      <w:r>
        <w:rPr>
          <w:color w:val="231F20"/>
          <w:sz w:val="21"/>
        </w:rPr>
        <w:t>нів місцевого самоврядування; забезпечення відповідно до їх повноважень ефективної діяльності органів місцевого</w:t>
      </w:r>
      <w:r>
        <w:rPr>
          <w:color w:val="231F20"/>
          <w:spacing w:val="-2"/>
          <w:sz w:val="21"/>
        </w:rPr>
        <w:t xml:space="preserve"> </w:t>
      </w:r>
      <w:r>
        <w:rPr>
          <w:color w:val="231F20"/>
          <w:sz w:val="21"/>
        </w:rPr>
        <w:t>самоврядування;</w:t>
      </w:r>
    </w:p>
    <w:p w14:paraId="68794629" w14:textId="77777777" w:rsidR="00DE575E" w:rsidRDefault="002E7560">
      <w:pPr>
        <w:pStyle w:val="ListParagraph"/>
        <w:numPr>
          <w:ilvl w:val="0"/>
          <w:numId w:val="90"/>
        </w:numPr>
        <w:tabs>
          <w:tab w:val="left" w:pos="1101"/>
        </w:tabs>
        <w:spacing w:before="2"/>
        <w:ind w:firstLine="284"/>
        <w:jc w:val="left"/>
        <w:rPr>
          <w:sz w:val="21"/>
        </w:rPr>
      </w:pPr>
      <w:r>
        <w:rPr>
          <w:color w:val="231F20"/>
          <w:sz w:val="21"/>
        </w:rPr>
        <w:t>додержання прав та свобод людини і</w:t>
      </w:r>
      <w:r>
        <w:rPr>
          <w:color w:val="231F20"/>
          <w:spacing w:val="-11"/>
          <w:sz w:val="21"/>
        </w:rPr>
        <w:t xml:space="preserve"> </w:t>
      </w:r>
      <w:r>
        <w:rPr>
          <w:color w:val="231F20"/>
          <w:sz w:val="21"/>
        </w:rPr>
        <w:t>громадянина;</w:t>
      </w:r>
    </w:p>
    <w:p w14:paraId="0F85944D" w14:textId="77777777" w:rsidR="00DE575E" w:rsidRDefault="002E7560">
      <w:pPr>
        <w:pStyle w:val="ListParagraph"/>
        <w:numPr>
          <w:ilvl w:val="0"/>
          <w:numId w:val="90"/>
        </w:numPr>
        <w:tabs>
          <w:tab w:val="left" w:pos="1101"/>
        </w:tabs>
        <w:spacing w:before="13" w:line="252" w:lineRule="auto"/>
        <w:ind w:right="127" w:firstLine="284"/>
        <w:rPr>
          <w:sz w:val="21"/>
        </w:rPr>
      </w:pPr>
      <w:r>
        <w:rPr>
          <w:color w:val="231F20"/>
          <w:sz w:val="21"/>
        </w:rPr>
        <w:t>збереження державної таємниці, інформації про громадян, що стала</w:t>
      </w:r>
      <w:r>
        <w:rPr>
          <w:color w:val="231F20"/>
          <w:spacing w:val="-13"/>
          <w:sz w:val="21"/>
        </w:rPr>
        <w:t xml:space="preserve"> </w:t>
      </w:r>
      <w:r>
        <w:rPr>
          <w:color w:val="231F20"/>
          <w:sz w:val="21"/>
        </w:rPr>
        <w:t>їм</w:t>
      </w:r>
      <w:r>
        <w:rPr>
          <w:color w:val="231F20"/>
          <w:spacing w:val="-13"/>
          <w:sz w:val="21"/>
        </w:rPr>
        <w:t xml:space="preserve"> </w:t>
      </w:r>
      <w:r>
        <w:rPr>
          <w:color w:val="231F20"/>
          <w:sz w:val="21"/>
        </w:rPr>
        <w:t>відома</w:t>
      </w:r>
      <w:r>
        <w:rPr>
          <w:color w:val="231F20"/>
          <w:spacing w:val="-13"/>
          <w:sz w:val="21"/>
        </w:rPr>
        <w:t xml:space="preserve"> </w:t>
      </w:r>
      <w:r>
        <w:rPr>
          <w:color w:val="231F20"/>
          <w:sz w:val="21"/>
        </w:rPr>
        <w:t>у</w:t>
      </w:r>
      <w:r>
        <w:rPr>
          <w:color w:val="231F20"/>
          <w:spacing w:val="-13"/>
          <w:sz w:val="21"/>
        </w:rPr>
        <w:t xml:space="preserve"> </w:t>
      </w:r>
      <w:r>
        <w:rPr>
          <w:color w:val="231F20"/>
          <w:sz w:val="21"/>
        </w:rPr>
        <w:t>зв’язку</w:t>
      </w:r>
      <w:r>
        <w:rPr>
          <w:color w:val="231F20"/>
          <w:spacing w:val="-13"/>
          <w:sz w:val="21"/>
        </w:rPr>
        <w:t xml:space="preserve"> </w:t>
      </w:r>
      <w:r>
        <w:rPr>
          <w:color w:val="231F20"/>
          <w:sz w:val="21"/>
        </w:rPr>
        <w:t>з</w:t>
      </w:r>
      <w:r>
        <w:rPr>
          <w:color w:val="231F20"/>
          <w:spacing w:val="-13"/>
          <w:sz w:val="21"/>
        </w:rPr>
        <w:t xml:space="preserve"> </w:t>
      </w:r>
      <w:r>
        <w:rPr>
          <w:color w:val="231F20"/>
          <w:sz w:val="21"/>
        </w:rPr>
        <w:t>виконанням</w:t>
      </w:r>
      <w:r>
        <w:rPr>
          <w:color w:val="231F20"/>
          <w:spacing w:val="-13"/>
          <w:sz w:val="21"/>
        </w:rPr>
        <w:t xml:space="preserve"> </w:t>
      </w:r>
      <w:r>
        <w:rPr>
          <w:color w:val="231F20"/>
          <w:sz w:val="21"/>
        </w:rPr>
        <w:t>службових</w:t>
      </w:r>
      <w:r>
        <w:rPr>
          <w:color w:val="231F20"/>
          <w:spacing w:val="-13"/>
          <w:sz w:val="21"/>
        </w:rPr>
        <w:t xml:space="preserve"> </w:t>
      </w:r>
      <w:r>
        <w:rPr>
          <w:color w:val="231F20"/>
          <w:sz w:val="21"/>
        </w:rPr>
        <w:t>обов’язків,</w:t>
      </w:r>
      <w:r>
        <w:rPr>
          <w:color w:val="231F20"/>
          <w:spacing w:val="-13"/>
          <w:sz w:val="21"/>
        </w:rPr>
        <w:t xml:space="preserve"> </w:t>
      </w:r>
      <w:r>
        <w:rPr>
          <w:color w:val="231F20"/>
          <w:sz w:val="21"/>
        </w:rPr>
        <w:t>а</w:t>
      </w:r>
      <w:r>
        <w:rPr>
          <w:color w:val="231F20"/>
          <w:spacing w:val="-15"/>
          <w:sz w:val="21"/>
        </w:rPr>
        <w:t xml:space="preserve"> </w:t>
      </w:r>
      <w:r>
        <w:rPr>
          <w:color w:val="231F20"/>
          <w:sz w:val="21"/>
        </w:rPr>
        <w:t>також іншої інформації, яка згідно із законом не підлягає</w:t>
      </w:r>
      <w:r>
        <w:rPr>
          <w:color w:val="231F20"/>
          <w:spacing w:val="-10"/>
          <w:sz w:val="21"/>
        </w:rPr>
        <w:t xml:space="preserve"> </w:t>
      </w:r>
      <w:r>
        <w:rPr>
          <w:color w:val="231F20"/>
          <w:sz w:val="21"/>
        </w:rPr>
        <w:t>розголошенню;</w:t>
      </w:r>
    </w:p>
    <w:p w14:paraId="1296F5B0" w14:textId="77777777" w:rsidR="00DE575E" w:rsidRDefault="002E7560">
      <w:pPr>
        <w:pStyle w:val="ListParagraph"/>
        <w:numPr>
          <w:ilvl w:val="0"/>
          <w:numId w:val="90"/>
        </w:numPr>
        <w:tabs>
          <w:tab w:val="left" w:pos="1101"/>
        </w:tabs>
        <w:spacing w:line="252" w:lineRule="auto"/>
        <w:ind w:right="128" w:firstLine="284"/>
        <w:rPr>
          <w:sz w:val="21"/>
        </w:rPr>
      </w:pPr>
      <w:r>
        <w:rPr>
          <w:color w:val="231F20"/>
          <w:sz w:val="21"/>
        </w:rPr>
        <w:t>постійне вдосконалення організації своєї роботи, підвищення професійної</w:t>
      </w:r>
      <w:r>
        <w:rPr>
          <w:color w:val="231F20"/>
          <w:spacing w:val="-1"/>
          <w:sz w:val="21"/>
        </w:rPr>
        <w:t xml:space="preserve"> </w:t>
      </w:r>
      <w:r>
        <w:rPr>
          <w:color w:val="231F20"/>
          <w:sz w:val="21"/>
        </w:rPr>
        <w:t>кваліфікації;</w:t>
      </w:r>
    </w:p>
    <w:p w14:paraId="445C1EC1" w14:textId="77777777" w:rsidR="00DE575E" w:rsidRDefault="002E7560">
      <w:pPr>
        <w:pStyle w:val="ListParagraph"/>
        <w:numPr>
          <w:ilvl w:val="0"/>
          <w:numId w:val="90"/>
        </w:numPr>
        <w:tabs>
          <w:tab w:val="left" w:pos="1101"/>
        </w:tabs>
        <w:spacing w:line="252" w:lineRule="auto"/>
        <w:ind w:right="128" w:firstLine="284"/>
        <w:rPr>
          <w:sz w:val="21"/>
        </w:rPr>
      </w:pPr>
      <w:r>
        <w:rPr>
          <w:color w:val="231F20"/>
          <w:sz w:val="21"/>
        </w:rPr>
        <w:t>сумлінне ставлення до виконання службових обов’язків,</w:t>
      </w:r>
      <w:r>
        <w:rPr>
          <w:color w:val="231F20"/>
          <w:sz w:val="21"/>
        </w:rPr>
        <w:t xml:space="preserve"> ініці- ативність і творчість у</w:t>
      </w:r>
      <w:r>
        <w:rPr>
          <w:color w:val="231F20"/>
          <w:spacing w:val="-6"/>
          <w:sz w:val="21"/>
        </w:rPr>
        <w:t xml:space="preserve"> </w:t>
      </w:r>
      <w:r>
        <w:rPr>
          <w:color w:val="231F20"/>
          <w:sz w:val="21"/>
        </w:rPr>
        <w:t>роботі;</w:t>
      </w:r>
    </w:p>
    <w:p w14:paraId="1D14A656" w14:textId="77777777" w:rsidR="00DE575E" w:rsidRDefault="002E7560">
      <w:pPr>
        <w:pStyle w:val="ListParagraph"/>
        <w:numPr>
          <w:ilvl w:val="0"/>
          <w:numId w:val="90"/>
        </w:numPr>
        <w:tabs>
          <w:tab w:val="left" w:pos="1101"/>
        </w:tabs>
        <w:spacing w:line="252" w:lineRule="auto"/>
        <w:ind w:right="127" w:firstLine="284"/>
        <w:rPr>
          <w:sz w:val="21"/>
        </w:rPr>
      </w:pPr>
      <w:r>
        <w:rPr>
          <w:color w:val="231F20"/>
          <w:sz w:val="21"/>
        </w:rPr>
        <w:t xml:space="preserve">шанобливе ставлення до громадян та їх звернень до органів місцевого самоврядування, турбота про високий рівень </w:t>
      </w:r>
      <w:r>
        <w:rPr>
          <w:color w:val="231F20"/>
          <w:spacing w:val="-3"/>
          <w:sz w:val="21"/>
        </w:rPr>
        <w:t xml:space="preserve">культури, </w:t>
      </w:r>
      <w:r>
        <w:rPr>
          <w:color w:val="231F20"/>
          <w:sz w:val="21"/>
        </w:rPr>
        <w:t>спілкування і поведінки, підтримання авторитету органів та поса- дових осіб місцевого</w:t>
      </w:r>
      <w:r>
        <w:rPr>
          <w:color w:val="231F20"/>
          <w:spacing w:val="-2"/>
          <w:sz w:val="21"/>
        </w:rPr>
        <w:t xml:space="preserve"> </w:t>
      </w:r>
      <w:r>
        <w:rPr>
          <w:color w:val="231F20"/>
          <w:sz w:val="21"/>
        </w:rPr>
        <w:t>самовряду</w:t>
      </w:r>
      <w:r>
        <w:rPr>
          <w:color w:val="231F20"/>
          <w:sz w:val="21"/>
        </w:rPr>
        <w:t>вання;</w:t>
      </w:r>
    </w:p>
    <w:p w14:paraId="3C3DEB03" w14:textId="77777777" w:rsidR="00DE575E" w:rsidRDefault="002E7560">
      <w:pPr>
        <w:pStyle w:val="ListParagraph"/>
        <w:numPr>
          <w:ilvl w:val="0"/>
          <w:numId w:val="90"/>
        </w:numPr>
        <w:tabs>
          <w:tab w:val="left" w:pos="1101"/>
        </w:tabs>
        <w:spacing w:before="2" w:line="252" w:lineRule="auto"/>
        <w:ind w:right="128" w:firstLine="284"/>
        <w:rPr>
          <w:sz w:val="21"/>
        </w:rPr>
      </w:pPr>
      <w:r>
        <w:rPr>
          <w:color w:val="231F20"/>
          <w:sz w:val="21"/>
        </w:rPr>
        <w:t>недопущення дій чи бездіяльності, які можуть зашкодити інтересам місцевого самоврядування та</w:t>
      </w:r>
      <w:r>
        <w:rPr>
          <w:color w:val="231F20"/>
          <w:spacing w:val="-3"/>
          <w:sz w:val="21"/>
        </w:rPr>
        <w:t xml:space="preserve"> </w:t>
      </w:r>
      <w:r>
        <w:rPr>
          <w:color w:val="231F20"/>
          <w:sz w:val="21"/>
        </w:rPr>
        <w:t>держави</w:t>
      </w:r>
      <w:r>
        <w:rPr>
          <w:color w:val="231F20"/>
          <w:position w:val="7"/>
          <w:sz w:val="12"/>
        </w:rPr>
        <w:t>1</w:t>
      </w:r>
      <w:r>
        <w:rPr>
          <w:color w:val="231F20"/>
          <w:sz w:val="21"/>
        </w:rPr>
        <w:t>.</w:t>
      </w:r>
    </w:p>
    <w:p w14:paraId="2E6DADA7" w14:textId="77777777" w:rsidR="00DE575E" w:rsidRDefault="002E7560">
      <w:pPr>
        <w:pStyle w:val="BodyText"/>
        <w:spacing w:before="1" w:line="252" w:lineRule="auto"/>
        <w:ind w:left="533" w:right="127" w:firstLine="283"/>
        <w:jc w:val="both"/>
      </w:pPr>
      <w:r>
        <w:rPr>
          <w:color w:val="231F20"/>
        </w:rPr>
        <w:t>Посадова особа місцевого самоврядування при виконанні своїх обов’язків</w:t>
      </w:r>
      <w:r>
        <w:rPr>
          <w:color w:val="231F20"/>
          <w:spacing w:val="-4"/>
        </w:rPr>
        <w:t xml:space="preserve"> </w:t>
      </w:r>
      <w:r>
        <w:rPr>
          <w:color w:val="231F20"/>
        </w:rPr>
        <w:t>має</w:t>
      </w:r>
      <w:r>
        <w:rPr>
          <w:color w:val="231F20"/>
          <w:spacing w:val="-4"/>
        </w:rPr>
        <w:t xml:space="preserve"> </w:t>
      </w:r>
      <w:r>
        <w:rPr>
          <w:color w:val="231F20"/>
        </w:rPr>
        <w:t>діяти</w:t>
      </w:r>
      <w:r>
        <w:rPr>
          <w:color w:val="231F20"/>
          <w:spacing w:val="-4"/>
        </w:rPr>
        <w:t xml:space="preserve"> </w:t>
      </w:r>
      <w:r>
        <w:rPr>
          <w:color w:val="231F20"/>
        </w:rPr>
        <w:t>в</w:t>
      </w:r>
      <w:r>
        <w:rPr>
          <w:color w:val="231F20"/>
          <w:spacing w:val="-4"/>
        </w:rPr>
        <w:t xml:space="preserve"> </w:t>
      </w:r>
      <w:r>
        <w:rPr>
          <w:color w:val="231F20"/>
        </w:rPr>
        <w:t>межах</w:t>
      </w:r>
      <w:r>
        <w:rPr>
          <w:color w:val="231F20"/>
          <w:spacing w:val="-4"/>
        </w:rPr>
        <w:t xml:space="preserve"> </w:t>
      </w:r>
      <w:r>
        <w:rPr>
          <w:color w:val="231F20"/>
        </w:rPr>
        <w:t>своїх</w:t>
      </w:r>
      <w:r>
        <w:rPr>
          <w:color w:val="231F20"/>
          <w:spacing w:val="-4"/>
        </w:rPr>
        <w:t xml:space="preserve"> </w:t>
      </w:r>
      <w:r>
        <w:rPr>
          <w:color w:val="231F20"/>
        </w:rPr>
        <w:t>повноважень</w:t>
      </w:r>
      <w:r>
        <w:rPr>
          <w:color w:val="231F20"/>
          <w:spacing w:val="-4"/>
        </w:rPr>
        <w:t xml:space="preserve"> </w:t>
      </w:r>
      <w:r>
        <w:rPr>
          <w:color w:val="231F20"/>
        </w:rPr>
        <w:t>і</w:t>
      </w:r>
      <w:r>
        <w:rPr>
          <w:color w:val="231F20"/>
          <w:spacing w:val="-4"/>
        </w:rPr>
        <w:t xml:space="preserve"> </w:t>
      </w:r>
      <w:r>
        <w:rPr>
          <w:color w:val="231F20"/>
        </w:rPr>
        <w:t>не</w:t>
      </w:r>
      <w:r>
        <w:rPr>
          <w:color w:val="231F20"/>
          <w:spacing w:val="-4"/>
        </w:rPr>
        <w:t xml:space="preserve"> </w:t>
      </w:r>
      <w:r>
        <w:rPr>
          <w:color w:val="231F20"/>
        </w:rPr>
        <w:t>може</w:t>
      </w:r>
      <w:r>
        <w:rPr>
          <w:color w:val="231F20"/>
          <w:spacing w:val="-4"/>
        </w:rPr>
        <w:t xml:space="preserve"> </w:t>
      </w:r>
      <w:r>
        <w:rPr>
          <w:color w:val="231F20"/>
        </w:rPr>
        <w:t>допускати їх перевищення.</w:t>
      </w:r>
    </w:p>
    <w:p w14:paraId="40ABB829" w14:textId="77777777" w:rsidR="00DE575E" w:rsidRDefault="002E7560">
      <w:pPr>
        <w:pStyle w:val="Heading6"/>
        <w:spacing w:before="2"/>
        <w:ind w:left="817" w:firstLine="0"/>
      </w:pPr>
      <w:r>
        <w:rPr>
          <w:color w:val="231F20"/>
        </w:rPr>
        <w:t>Посадова особа місцевого самоврядування має право:</w:t>
      </w:r>
    </w:p>
    <w:p w14:paraId="16C4C43B" w14:textId="77777777" w:rsidR="00DE575E" w:rsidRDefault="002E7560">
      <w:pPr>
        <w:pStyle w:val="ListParagraph"/>
        <w:numPr>
          <w:ilvl w:val="0"/>
          <w:numId w:val="90"/>
        </w:numPr>
        <w:tabs>
          <w:tab w:val="left" w:pos="1101"/>
        </w:tabs>
        <w:spacing w:before="13" w:line="252" w:lineRule="auto"/>
        <w:ind w:right="128" w:firstLine="284"/>
        <w:rPr>
          <w:sz w:val="21"/>
        </w:rPr>
      </w:pPr>
      <w:r>
        <w:rPr>
          <w:color w:val="231F20"/>
          <w:sz w:val="21"/>
        </w:rPr>
        <w:t>на повагу особистої гідності, справедливе і шанобливе став- лення до себе з боку керівників, співробітників і</w:t>
      </w:r>
      <w:r>
        <w:rPr>
          <w:color w:val="231F20"/>
          <w:spacing w:val="-10"/>
          <w:sz w:val="21"/>
        </w:rPr>
        <w:t xml:space="preserve"> </w:t>
      </w:r>
      <w:r>
        <w:rPr>
          <w:color w:val="231F20"/>
          <w:sz w:val="21"/>
        </w:rPr>
        <w:t>громадян;</w:t>
      </w:r>
    </w:p>
    <w:p w14:paraId="15A8BBEA" w14:textId="77777777" w:rsidR="00DE575E" w:rsidRDefault="002E7560">
      <w:pPr>
        <w:pStyle w:val="ListParagraph"/>
        <w:numPr>
          <w:ilvl w:val="0"/>
          <w:numId w:val="90"/>
        </w:numPr>
        <w:tabs>
          <w:tab w:val="left" w:pos="1101"/>
        </w:tabs>
        <w:spacing w:line="252" w:lineRule="auto"/>
        <w:ind w:right="127" w:firstLine="284"/>
        <w:rPr>
          <w:sz w:val="21"/>
        </w:rPr>
      </w:pPr>
      <w:r>
        <w:rPr>
          <w:color w:val="231F20"/>
          <w:sz w:val="21"/>
        </w:rPr>
        <w:t xml:space="preserve">на оплату праці залежно від посади, яку вона займає, </w:t>
      </w:r>
      <w:r>
        <w:rPr>
          <w:color w:val="231F20"/>
          <w:spacing w:val="-4"/>
          <w:sz w:val="21"/>
        </w:rPr>
        <w:t xml:space="preserve">рангу, </w:t>
      </w:r>
      <w:r>
        <w:rPr>
          <w:color w:val="231F20"/>
          <w:sz w:val="21"/>
        </w:rPr>
        <w:t>який їй присвоєно, якості</w:t>
      </w:r>
      <w:r>
        <w:rPr>
          <w:color w:val="231F20"/>
          <w:sz w:val="21"/>
        </w:rPr>
        <w:t>, досвіду та стажу</w:t>
      </w:r>
      <w:r>
        <w:rPr>
          <w:color w:val="231F20"/>
          <w:spacing w:val="-6"/>
          <w:sz w:val="21"/>
        </w:rPr>
        <w:t xml:space="preserve"> </w:t>
      </w:r>
      <w:r>
        <w:rPr>
          <w:color w:val="231F20"/>
          <w:sz w:val="21"/>
        </w:rPr>
        <w:t>роботи;</w:t>
      </w:r>
    </w:p>
    <w:p w14:paraId="053DC77E" w14:textId="77777777" w:rsidR="00DE575E" w:rsidRDefault="002E7560">
      <w:pPr>
        <w:pStyle w:val="ListParagraph"/>
        <w:numPr>
          <w:ilvl w:val="0"/>
          <w:numId w:val="90"/>
        </w:numPr>
        <w:tabs>
          <w:tab w:val="left" w:pos="1101"/>
        </w:tabs>
        <w:spacing w:line="252" w:lineRule="auto"/>
        <w:ind w:right="126" w:firstLine="284"/>
        <w:rPr>
          <w:sz w:val="21"/>
        </w:rPr>
      </w:pPr>
      <w:r>
        <w:rPr>
          <w:color w:val="231F20"/>
          <w:sz w:val="21"/>
        </w:rPr>
        <w:t xml:space="preserve">на просування по службі відповідно до професійної освіти, </w:t>
      </w:r>
      <w:r>
        <w:rPr>
          <w:color w:val="231F20"/>
          <w:spacing w:val="-3"/>
          <w:sz w:val="21"/>
        </w:rPr>
        <w:t xml:space="preserve">результатів </w:t>
      </w:r>
      <w:r>
        <w:rPr>
          <w:color w:val="231F20"/>
          <w:sz w:val="21"/>
        </w:rPr>
        <w:t>роботи та</w:t>
      </w:r>
      <w:r>
        <w:rPr>
          <w:color w:val="231F20"/>
          <w:spacing w:val="-1"/>
          <w:sz w:val="21"/>
        </w:rPr>
        <w:t xml:space="preserve"> </w:t>
      </w:r>
      <w:r>
        <w:rPr>
          <w:color w:val="231F20"/>
          <w:sz w:val="21"/>
        </w:rPr>
        <w:t>атестації;</w:t>
      </w:r>
    </w:p>
    <w:p w14:paraId="2E1AEB31" w14:textId="77777777" w:rsidR="00DE575E" w:rsidRDefault="002E7560">
      <w:pPr>
        <w:pStyle w:val="ListParagraph"/>
        <w:numPr>
          <w:ilvl w:val="0"/>
          <w:numId w:val="90"/>
        </w:numPr>
        <w:tabs>
          <w:tab w:val="left" w:pos="1101"/>
        </w:tabs>
        <w:spacing w:line="252" w:lineRule="auto"/>
        <w:ind w:right="129" w:firstLine="284"/>
        <w:rPr>
          <w:sz w:val="21"/>
        </w:rPr>
      </w:pPr>
      <w:r>
        <w:rPr>
          <w:color w:val="231F20"/>
          <w:sz w:val="21"/>
        </w:rPr>
        <w:t>на безпечні та необхідні для високопродуктивної роботи умови</w:t>
      </w:r>
      <w:r>
        <w:rPr>
          <w:color w:val="231F20"/>
          <w:spacing w:val="-2"/>
          <w:sz w:val="21"/>
        </w:rPr>
        <w:t xml:space="preserve"> </w:t>
      </w:r>
      <w:r>
        <w:rPr>
          <w:color w:val="231F20"/>
          <w:sz w:val="21"/>
        </w:rPr>
        <w:t>праці;</w:t>
      </w:r>
    </w:p>
    <w:p w14:paraId="59BD760A" w14:textId="42AF0F6C" w:rsidR="00DE575E" w:rsidRDefault="002E7560">
      <w:pPr>
        <w:pStyle w:val="BodyText"/>
        <w:spacing w:before="3"/>
        <w:rPr>
          <w:sz w:val="24"/>
        </w:rPr>
      </w:pPr>
      <w:r>
        <w:rPr>
          <w:noProof/>
        </w:rPr>
        <mc:AlternateContent>
          <mc:Choice Requires="wps">
            <w:drawing>
              <wp:anchor distT="0" distB="0" distL="0" distR="0" simplePos="0" relativeHeight="15280" behindDoc="0" locked="0" layoutInCell="1" allowOverlap="1" wp14:anchorId="26B8C350" wp14:editId="567E3473">
                <wp:simplePos x="0" y="0"/>
                <wp:positionH relativeFrom="page">
                  <wp:posOffset>719455</wp:posOffset>
                </wp:positionH>
                <wp:positionV relativeFrom="paragraph">
                  <wp:posOffset>208280</wp:posOffset>
                </wp:positionV>
                <wp:extent cx="1080135" cy="0"/>
                <wp:effectExtent l="8255" t="17780" r="29210" b="20320"/>
                <wp:wrapTopAndBottom/>
                <wp:docPr id="425"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8F451" id="Line_x0020_424" o:spid="_x0000_s1026" style="position:absolute;z-index:1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4pt" to="141.7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" strokecolor="#231f20" strokeweight=".5pt">
                <w10:wrap type="topAndBottom" anchorx="page"/>
              </v:line>
            </w:pict>
          </mc:Fallback>
        </mc:AlternateContent>
      </w:r>
    </w:p>
    <w:p w14:paraId="54664329" w14:textId="77777777" w:rsidR="00DE575E" w:rsidRDefault="002E7560">
      <w:pPr>
        <w:spacing w:line="162" w:lineRule="exact"/>
        <w:ind w:left="533"/>
        <w:rPr>
          <w:sz w:val="16"/>
        </w:rPr>
      </w:pPr>
      <w:r>
        <w:rPr>
          <w:color w:val="231F20"/>
          <w:position w:val="5"/>
          <w:sz w:val="9"/>
        </w:rPr>
        <w:t xml:space="preserve">1 </w:t>
      </w:r>
      <w:r>
        <w:rPr>
          <w:color w:val="231F20"/>
          <w:sz w:val="16"/>
        </w:rPr>
        <w:t>Про службу в органах місцевого самоврядування: Там само.</w:t>
      </w:r>
    </w:p>
    <w:p w14:paraId="722B5A74" w14:textId="77777777" w:rsidR="00DE575E" w:rsidRDefault="00DE575E">
      <w:pPr>
        <w:pStyle w:val="BodyText"/>
        <w:spacing w:before="10"/>
        <w:rPr>
          <w:sz w:val="11"/>
        </w:rPr>
      </w:pPr>
    </w:p>
    <w:p w14:paraId="0439F6D3" w14:textId="77777777" w:rsidR="00DE575E" w:rsidRDefault="002E7560">
      <w:pPr>
        <w:spacing w:before="92"/>
        <w:ind w:left="533"/>
        <w:rPr>
          <w:rFonts w:ascii="Times New Roman"/>
          <w:sz w:val="20"/>
        </w:rPr>
      </w:pPr>
      <w:r>
        <w:rPr>
          <w:rFonts w:ascii="Times New Roman"/>
          <w:color w:val="231F20"/>
          <w:sz w:val="20"/>
        </w:rPr>
        <w:t>390</w:t>
      </w:r>
    </w:p>
    <w:p w14:paraId="3EBEB8AC" w14:textId="77777777" w:rsidR="00DE575E" w:rsidRDefault="00DE575E">
      <w:pPr>
        <w:rPr>
          <w:rFonts w:ascii="Times New Roman"/>
          <w:sz w:val="20"/>
        </w:rPr>
        <w:sectPr w:rsidR="00DE575E">
          <w:pgSz w:w="8510" w:h="12760"/>
          <w:pgMar w:top="660" w:right="720" w:bottom="280" w:left="600" w:header="720" w:footer="720" w:gutter="0"/>
          <w:cols w:space="720"/>
        </w:sectPr>
      </w:pPr>
    </w:p>
    <w:p w14:paraId="35BF64EB"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самоврядування</w:t>
      </w:r>
    </w:p>
    <w:p w14:paraId="0A8F5B53" w14:textId="4FE7CF3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929890A" wp14:editId="36CF75D2">
                <wp:extent cx="4140200" cy="6350"/>
                <wp:effectExtent l="0" t="0" r="12700" b="6350"/>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24" name="Line 42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1D866F" id="Group_x0020_42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iGr4iH4CAACYBQAADgAA&#10;AAAAAAAAAAAAAAAsAgAAZHJzL2Uyb0RvYy54bWxQSwECLQAUAAYACAAAACEATKewkNkAAAADAQAA&#10;DwAAAAAAAAAAAAAAAADWBAAAZHJzL2Rvd25yZXYueG1sUEsFBgAAAAAEAAQA8wAAANwFAAAAAA==&#10;">
                <v:line id="Line_x0020_42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SwksYAAADcAAAADwAAAGRycy9kb3ducmV2LnhtbESP3WrCQBSE7wu+w3KE3hTdVEVKdBUR&#10;CsUL/9IHOGZPk9DdszG7mujTu0Khl8PMfMPMl5014kqNrxwreB8mIIhzpysuFHxnn4MPED4gazSO&#10;ScGNPCwXvZc5ptq1fKDrMRQiQtinqKAMoU6l9HlJFv3Q1cTR+3GNxRBlU0jdYBvh1shRkkylxYrj&#10;Qok1rUvKf48XqyA7vwWz321Mm+1OY3k6b8f3y1ap1363moEI1IX/8F/7SyuYjCb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5ksJLGAAAA3AAAAA8AAAAAAAAA&#10;AAAAAAAAoQIAAGRycy9kb3ducmV2LnhtbFBLBQYAAAAABAAEAPkAAACUAwAAAAA=&#10;" strokecolor="#231f20" strokeweight=".5pt"/>
                <w10:anchorlock/>
              </v:group>
            </w:pict>
          </mc:Fallback>
        </mc:AlternateContent>
      </w:r>
    </w:p>
    <w:p w14:paraId="38AF2B5C" w14:textId="77777777" w:rsidR="00DE575E" w:rsidRDefault="00DE575E">
      <w:pPr>
        <w:pStyle w:val="BodyText"/>
        <w:spacing w:before="7"/>
        <w:rPr>
          <w:rFonts w:ascii="AdonisC"/>
          <w:i/>
          <w:sz w:val="19"/>
        </w:rPr>
      </w:pPr>
    </w:p>
    <w:p w14:paraId="331F48B5" w14:textId="77777777" w:rsidR="00DE575E" w:rsidRDefault="002E7560">
      <w:pPr>
        <w:pStyle w:val="ListParagraph"/>
        <w:numPr>
          <w:ilvl w:val="0"/>
          <w:numId w:val="105"/>
        </w:numPr>
        <w:tabs>
          <w:tab w:val="left" w:pos="818"/>
        </w:tabs>
        <w:ind w:left="817"/>
        <w:jc w:val="left"/>
        <w:rPr>
          <w:sz w:val="21"/>
        </w:rPr>
      </w:pPr>
      <w:r>
        <w:rPr>
          <w:color w:val="231F20"/>
          <w:sz w:val="21"/>
        </w:rPr>
        <w:t>на соціальний і правовий</w:t>
      </w:r>
      <w:r>
        <w:rPr>
          <w:color w:val="231F20"/>
          <w:spacing w:val="-4"/>
          <w:sz w:val="21"/>
        </w:rPr>
        <w:t xml:space="preserve"> </w:t>
      </w:r>
      <w:r>
        <w:rPr>
          <w:color w:val="231F20"/>
          <w:sz w:val="21"/>
        </w:rPr>
        <w:t>захист;</w:t>
      </w:r>
    </w:p>
    <w:p w14:paraId="52350AE4" w14:textId="77777777" w:rsidR="00DE575E" w:rsidRDefault="002E7560">
      <w:pPr>
        <w:pStyle w:val="ListParagraph"/>
        <w:numPr>
          <w:ilvl w:val="0"/>
          <w:numId w:val="105"/>
        </w:numPr>
        <w:tabs>
          <w:tab w:val="left" w:pos="818"/>
        </w:tabs>
        <w:spacing w:before="12" w:line="252" w:lineRule="auto"/>
        <w:ind w:right="410" w:firstLine="283"/>
        <w:rPr>
          <w:sz w:val="21"/>
        </w:rPr>
      </w:pPr>
      <w:r>
        <w:rPr>
          <w:color w:val="231F20"/>
          <w:sz w:val="21"/>
        </w:rPr>
        <w:t xml:space="preserve">отримувати в </w:t>
      </w:r>
      <w:r>
        <w:rPr>
          <w:color w:val="231F20"/>
          <w:spacing w:val="-3"/>
          <w:sz w:val="21"/>
        </w:rPr>
        <w:t xml:space="preserve">порядку, </w:t>
      </w:r>
      <w:r>
        <w:rPr>
          <w:color w:val="231F20"/>
          <w:sz w:val="21"/>
        </w:rPr>
        <w:t>встановленому законодавством, від відповідних органів державної влади, органів влади Автономної Республіки</w:t>
      </w:r>
      <w:r>
        <w:rPr>
          <w:color w:val="231F20"/>
          <w:spacing w:val="-15"/>
          <w:sz w:val="21"/>
        </w:rPr>
        <w:t xml:space="preserve"> </w:t>
      </w:r>
      <w:r>
        <w:rPr>
          <w:color w:val="231F20"/>
          <w:sz w:val="21"/>
        </w:rPr>
        <w:t>Крим</w:t>
      </w:r>
      <w:r>
        <w:rPr>
          <w:color w:val="231F20"/>
          <w:spacing w:val="-15"/>
          <w:sz w:val="21"/>
        </w:rPr>
        <w:t xml:space="preserve"> </w:t>
      </w:r>
      <w:r>
        <w:rPr>
          <w:color w:val="231F20"/>
          <w:sz w:val="21"/>
        </w:rPr>
        <w:t>та</w:t>
      </w:r>
      <w:r>
        <w:rPr>
          <w:color w:val="231F20"/>
          <w:spacing w:val="-15"/>
          <w:sz w:val="21"/>
        </w:rPr>
        <w:t xml:space="preserve"> </w:t>
      </w:r>
      <w:r>
        <w:rPr>
          <w:color w:val="231F20"/>
          <w:sz w:val="21"/>
        </w:rPr>
        <w:t>органів</w:t>
      </w:r>
      <w:r>
        <w:rPr>
          <w:color w:val="231F20"/>
          <w:spacing w:val="-15"/>
          <w:sz w:val="21"/>
        </w:rPr>
        <w:t xml:space="preserve"> </w:t>
      </w:r>
      <w:r>
        <w:rPr>
          <w:color w:val="231F20"/>
          <w:sz w:val="21"/>
        </w:rPr>
        <w:t>місцевого</w:t>
      </w:r>
      <w:r>
        <w:rPr>
          <w:color w:val="231F20"/>
          <w:spacing w:val="-15"/>
          <w:sz w:val="21"/>
        </w:rPr>
        <w:t xml:space="preserve"> </w:t>
      </w:r>
      <w:r>
        <w:rPr>
          <w:color w:val="231F20"/>
          <w:sz w:val="21"/>
        </w:rPr>
        <w:t>самоврядування,</w:t>
      </w:r>
      <w:r>
        <w:rPr>
          <w:color w:val="231F20"/>
          <w:spacing w:val="-15"/>
          <w:sz w:val="21"/>
        </w:rPr>
        <w:t xml:space="preserve"> </w:t>
      </w:r>
      <w:r>
        <w:rPr>
          <w:color w:val="231F20"/>
          <w:sz w:val="21"/>
        </w:rPr>
        <w:t xml:space="preserve">підприємств, установ, організацій, незалежно від їх підпорядкування та форм власності, </w:t>
      </w:r>
      <w:r>
        <w:rPr>
          <w:color w:val="231F20"/>
          <w:spacing w:val="-3"/>
          <w:sz w:val="21"/>
        </w:rPr>
        <w:t xml:space="preserve">об’єднань </w:t>
      </w:r>
      <w:r>
        <w:rPr>
          <w:color w:val="231F20"/>
          <w:sz w:val="21"/>
        </w:rPr>
        <w:t xml:space="preserve">громадян, </w:t>
      </w:r>
      <w:r>
        <w:rPr>
          <w:color w:val="231F20"/>
          <w:sz w:val="21"/>
        </w:rPr>
        <w:t>окремих осіб матеріали та інформа- цію, необхідні для виконання своїх службових</w:t>
      </w:r>
      <w:r>
        <w:rPr>
          <w:color w:val="231F20"/>
          <w:spacing w:val="-3"/>
          <w:sz w:val="21"/>
        </w:rPr>
        <w:t xml:space="preserve"> </w:t>
      </w:r>
      <w:r>
        <w:rPr>
          <w:color w:val="231F20"/>
          <w:sz w:val="21"/>
        </w:rPr>
        <w:t>обов’язків;</w:t>
      </w:r>
    </w:p>
    <w:p w14:paraId="57EF9D13" w14:textId="77777777" w:rsidR="00DE575E" w:rsidRDefault="002E7560">
      <w:pPr>
        <w:pStyle w:val="ListParagraph"/>
        <w:numPr>
          <w:ilvl w:val="0"/>
          <w:numId w:val="105"/>
        </w:numPr>
        <w:tabs>
          <w:tab w:val="left" w:pos="818"/>
        </w:tabs>
        <w:spacing w:before="3" w:line="252" w:lineRule="auto"/>
        <w:ind w:right="409" w:firstLine="283"/>
        <w:rPr>
          <w:sz w:val="21"/>
        </w:rPr>
      </w:pPr>
      <w:r>
        <w:rPr>
          <w:color w:val="231F20"/>
          <w:sz w:val="21"/>
        </w:rPr>
        <w:t>у порядку і межах, установлених законом, отримувати інфор- мацію щодо матеріалів своєї особової справи та ознайомлюватися   з іншими документами, що стосуються прох</w:t>
      </w:r>
      <w:r>
        <w:rPr>
          <w:color w:val="231F20"/>
          <w:sz w:val="21"/>
        </w:rPr>
        <w:t>одження нею служби    в органах місцевого самоврядування, отримувати від керівників органу місцевого самоврядування відповідні пояснення та давати особисті пояснення;</w:t>
      </w:r>
    </w:p>
    <w:p w14:paraId="1E69D059" w14:textId="77777777" w:rsidR="00DE575E" w:rsidRDefault="002E7560">
      <w:pPr>
        <w:pStyle w:val="ListParagraph"/>
        <w:numPr>
          <w:ilvl w:val="0"/>
          <w:numId w:val="105"/>
        </w:numPr>
        <w:tabs>
          <w:tab w:val="left" w:pos="818"/>
        </w:tabs>
        <w:spacing w:before="3" w:line="252" w:lineRule="auto"/>
        <w:ind w:right="411" w:firstLine="283"/>
        <w:rPr>
          <w:sz w:val="21"/>
        </w:rPr>
      </w:pPr>
      <w:r>
        <w:rPr>
          <w:color w:val="231F20"/>
          <w:sz w:val="21"/>
        </w:rPr>
        <w:t xml:space="preserve">вимагати проведення службового розслідування з метою спростування безпідставних, на її </w:t>
      </w:r>
      <w:r>
        <w:rPr>
          <w:color w:val="231F20"/>
          <w:spacing w:val="-4"/>
          <w:sz w:val="21"/>
        </w:rPr>
        <w:t xml:space="preserve">думку, </w:t>
      </w:r>
      <w:r>
        <w:rPr>
          <w:color w:val="231F20"/>
          <w:sz w:val="21"/>
        </w:rPr>
        <w:t>звинувачень або підозри щодо</w:t>
      </w:r>
      <w:r>
        <w:rPr>
          <w:color w:val="231F20"/>
          <w:spacing w:val="-2"/>
          <w:sz w:val="21"/>
        </w:rPr>
        <w:t xml:space="preserve"> </w:t>
      </w:r>
      <w:r>
        <w:rPr>
          <w:color w:val="231F20"/>
          <w:sz w:val="21"/>
        </w:rPr>
        <w:t>неї;</w:t>
      </w:r>
    </w:p>
    <w:p w14:paraId="5C6AB621" w14:textId="77777777" w:rsidR="00DE575E" w:rsidRDefault="002E7560">
      <w:pPr>
        <w:pStyle w:val="ListParagraph"/>
        <w:numPr>
          <w:ilvl w:val="0"/>
          <w:numId w:val="105"/>
        </w:numPr>
        <w:tabs>
          <w:tab w:val="left" w:pos="818"/>
        </w:tabs>
        <w:spacing w:before="2" w:line="252" w:lineRule="auto"/>
        <w:ind w:right="411" w:firstLine="283"/>
        <w:rPr>
          <w:sz w:val="21"/>
        </w:rPr>
      </w:pPr>
      <w:r>
        <w:rPr>
          <w:color w:val="231F20"/>
          <w:sz w:val="21"/>
        </w:rPr>
        <w:t xml:space="preserve">захищати свої законні права та інтереси в органах державної влади, органах влади Автономної Республіки Крим, органах місце- вого самоврядування та в </w:t>
      </w:r>
      <w:r>
        <w:rPr>
          <w:color w:val="231F20"/>
          <w:spacing w:val="-3"/>
          <w:sz w:val="21"/>
        </w:rPr>
        <w:t>судовому</w:t>
      </w:r>
      <w:r>
        <w:rPr>
          <w:color w:val="231F20"/>
          <w:spacing w:val="-5"/>
          <w:sz w:val="21"/>
        </w:rPr>
        <w:t xml:space="preserve"> </w:t>
      </w:r>
      <w:r>
        <w:rPr>
          <w:color w:val="231F20"/>
          <w:sz w:val="21"/>
        </w:rPr>
        <w:t>порядку</w:t>
      </w:r>
      <w:r>
        <w:rPr>
          <w:color w:val="231F20"/>
          <w:position w:val="7"/>
          <w:sz w:val="12"/>
        </w:rPr>
        <w:t>1</w:t>
      </w:r>
      <w:r>
        <w:rPr>
          <w:color w:val="231F20"/>
          <w:sz w:val="21"/>
        </w:rPr>
        <w:t>.</w:t>
      </w:r>
    </w:p>
    <w:p w14:paraId="04D9FAFD" w14:textId="77777777" w:rsidR="00DE575E" w:rsidRDefault="002E7560">
      <w:pPr>
        <w:pStyle w:val="BodyText"/>
        <w:spacing w:before="1" w:line="252" w:lineRule="auto"/>
        <w:ind w:left="250" w:right="409" w:firstLine="283"/>
        <w:jc w:val="both"/>
      </w:pPr>
      <w:r>
        <w:rPr>
          <w:color w:val="231F20"/>
        </w:rPr>
        <w:t>Окрім загальних прав, службовець органу місцевого самовряду- вання отримує також права</w:t>
      </w:r>
      <w:r>
        <w:rPr>
          <w:b/>
          <w:color w:val="231F20"/>
        </w:rPr>
        <w:t xml:space="preserve">, </w:t>
      </w:r>
      <w:r>
        <w:rPr>
          <w:color w:val="231F20"/>
        </w:rPr>
        <w:t xml:space="preserve">які є похідними від завдань і функцій органу місцевого самоврядування, де він працює. Ці права визнача- ються в посадових інструкціях (документах, що видаються з метою </w:t>
      </w:r>
      <w:r>
        <w:rPr>
          <w:color w:val="231F20"/>
        </w:rPr>
        <w:t>регламентації організаційно-правового статусу службовця, його конкретних завдань та обов’язків, прав, відповідальності, забезпе- чують умови для його ефективної роботи).</w:t>
      </w:r>
    </w:p>
    <w:p w14:paraId="397E7E13" w14:textId="77777777" w:rsidR="00DE575E" w:rsidRDefault="00DE575E">
      <w:pPr>
        <w:pStyle w:val="BodyText"/>
        <w:rPr>
          <w:sz w:val="24"/>
        </w:rPr>
      </w:pPr>
    </w:p>
    <w:p w14:paraId="44B7614A" w14:textId="77777777" w:rsidR="00DE575E" w:rsidRDefault="00DE575E">
      <w:pPr>
        <w:pStyle w:val="BodyText"/>
        <w:spacing w:before="7"/>
        <w:rPr>
          <w:sz w:val="19"/>
        </w:rPr>
      </w:pPr>
    </w:p>
    <w:p w14:paraId="4A1C2B2D" w14:textId="77777777" w:rsidR="00DE575E" w:rsidRDefault="002E7560">
      <w:pPr>
        <w:pStyle w:val="Heading4"/>
        <w:numPr>
          <w:ilvl w:val="1"/>
          <w:numId w:val="93"/>
        </w:numPr>
        <w:tabs>
          <w:tab w:val="left" w:pos="918"/>
        </w:tabs>
        <w:ind w:left="917"/>
        <w:jc w:val="left"/>
      </w:pPr>
      <w:r>
        <w:rPr>
          <w:color w:val="231F20"/>
        </w:rPr>
        <w:t>Вступ на службу в органі місцевого</w:t>
      </w:r>
      <w:r>
        <w:rPr>
          <w:color w:val="231F20"/>
          <w:spacing w:val="-11"/>
        </w:rPr>
        <w:t xml:space="preserve"> </w:t>
      </w:r>
      <w:r>
        <w:rPr>
          <w:color w:val="231F20"/>
        </w:rPr>
        <w:t>самоврядування.</w:t>
      </w:r>
    </w:p>
    <w:p w14:paraId="35B12847" w14:textId="77777777" w:rsidR="00DE575E" w:rsidRDefault="002E7560">
      <w:pPr>
        <w:ind w:left="2535" w:right="578" w:hanging="2077"/>
        <w:rPr>
          <w:b/>
        </w:rPr>
      </w:pPr>
      <w:r>
        <w:rPr>
          <w:b/>
          <w:color w:val="231F20"/>
        </w:rPr>
        <w:t>Проходження служби в органі місце</w:t>
      </w:r>
      <w:r>
        <w:rPr>
          <w:b/>
          <w:color w:val="231F20"/>
        </w:rPr>
        <w:t>вого самоврядування і службова кар’єра</w:t>
      </w:r>
    </w:p>
    <w:p w14:paraId="6862F7D8" w14:textId="77777777" w:rsidR="00DE575E" w:rsidRDefault="00DE575E">
      <w:pPr>
        <w:pStyle w:val="BodyText"/>
        <w:rPr>
          <w:b/>
          <w:sz w:val="26"/>
        </w:rPr>
      </w:pPr>
    </w:p>
    <w:p w14:paraId="37CB0152" w14:textId="77777777" w:rsidR="00DE575E" w:rsidRDefault="002E7560">
      <w:pPr>
        <w:pStyle w:val="BodyText"/>
        <w:spacing w:before="224" w:line="252" w:lineRule="auto"/>
        <w:ind w:left="250" w:right="410" w:firstLine="283"/>
        <w:jc w:val="both"/>
      </w:pPr>
      <w:r>
        <w:rPr>
          <w:color w:val="231F20"/>
        </w:rPr>
        <w:t xml:space="preserve">Право на службу в органах місцевого самоврядування мають громадяни </w:t>
      </w:r>
      <w:r>
        <w:rPr>
          <w:color w:val="231F20"/>
          <w:spacing w:val="-3"/>
        </w:rPr>
        <w:t xml:space="preserve">України </w:t>
      </w:r>
      <w:r>
        <w:rPr>
          <w:color w:val="231F20"/>
        </w:rPr>
        <w:t>незалежно від раси, кольору шкіри, політич- них,</w:t>
      </w:r>
      <w:r>
        <w:rPr>
          <w:color w:val="231F20"/>
          <w:spacing w:val="-6"/>
        </w:rPr>
        <w:t xml:space="preserve"> </w:t>
      </w:r>
      <w:r>
        <w:rPr>
          <w:color w:val="231F20"/>
        </w:rPr>
        <w:t>релігійних</w:t>
      </w:r>
      <w:r>
        <w:rPr>
          <w:color w:val="231F20"/>
          <w:spacing w:val="-6"/>
        </w:rPr>
        <w:t xml:space="preserve"> </w:t>
      </w:r>
      <w:r>
        <w:rPr>
          <w:color w:val="231F20"/>
        </w:rPr>
        <w:t>та</w:t>
      </w:r>
      <w:r>
        <w:rPr>
          <w:color w:val="231F20"/>
          <w:spacing w:val="-6"/>
        </w:rPr>
        <w:t xml:space="preserve"> </w:t>
      </w:r>
      <w:r>
        <w:rPr>
          <w:color w:val="231F20"/>
        </w:rPr>
        <w:t>інших</w:t>
      </w:r>
      <w:r>
        <w:rPr>
          <w:color w:val="231F20"/>
          <w:spacing w:val="-6"/>
        </w:rPr>
        <w:t xml:space="preserve"> </w:t>
      </w:r>
      <w:r>
        <w:rPr>
          <w:color w:val="231F20"/>
        </w:rPr>
        <w:t>переконань,</w:t>
      </w:r>
      <w:r>
        <w:rPr>
          <w:color w:val="231F20"/>
          <w:spacing w:val="-6"/>
        </w:rPr>
        <w:t xml:space="preserve"> </w:t>
      </w:r>
      <w:r>
        <w:rPr>
          <w:color w:val="231F20"/>
        </w:rPr>
        <w:t>статі,</w:t>
      </w:r>
      <w:r>
        <w:rPr>
          <w:color w:val="231F20"/>
          <w:spacing w:val="-6"/>
        </w:rPr>
        <w:t xml:space="preserve"> </w:t>
      </w:r>
      <w:r>
        <w:rPr>
          <w:color w:val="231F20"/>
        </w:rPr>
        <w:t>етнічного</w:t>
      </w:r>
      <w:r>
        <w:rPr>
          <w:color w:val="231F20"/>
          <w:spacing w:val="-6"/>
        </w:rPr>
        <w:t xml:space="preserve"> </w:t>
      </w:r>
      <w:r>
        <w:rPr>
          <w:color w:val="231F20"/>
        </w:rPr>
        <w:t>та</w:t>
      </w:r>
      <w:r>
        <w:rPr>
          <w:color w:val="231F20"/>
          <w:spacing w:val="-6"/>
        </w:rPr>
        <w:t xml:space="preserve"> </w:t>
      </w:r>
      <w:r>
        <w:rPr>
          <w:color w:val="231F20"/>
        </w:rPr>
        <w:t>соціального</w:t>
      </w:r>
    </w:p>
    <w:p w14:paraId="01FE7731" w14:textId="3813A886" w:rsidR="00DE575E" w:rsidRDefault="002E7560">
      <w:pPr>
        <w:pStyle w:val="BodyText"/>
        <w:spacing w:before="5"/>
        <w:rPr>
          <w:sz w:val="19"/>
        </w:rPr>
      </w:pPr>
      <w:r>
        <w:rPr>
          <w:noProof/>
        </w:rPr>
        <mc:AlternateContent>
          <mc:Choice Requires="wps">
            <w:drawing>
              <wp:anchor distT="0" distB="0" distL="0" distR="0" simplePos="0" relativeHeight="15328" behindDoc="0" locked="0" layoutInCell="1" allowOverlap="1" wp14:anchorId="2FF7200A" wp14:editId="7BC10CC4">
                <wp:simplePos x="0" y="0"/>
                <wp:positionH relativeFrom="page">
                  <wp:posOffset>539750</wp:posOffset>
                </wp:positionH>
                <wp:positionV relativeFrom="paragraph">
                  <wp:posOffset>172085</wp:posOffset>
                </wp:positionV>
                <wp:extent cx="1080135" cy="0"/>
                <wp:effectExtent l="6350" t="6985" r="31115" b="31115"/>
                <wp:wrapTopAndBottom/>
                <wp:docPr id="422"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21D3" id="Line_x0020_421" o:spid="_x0000_s1026" style="position:absolute;z-index: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55pt" to="127.5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" strokecolor="#231f20" strokeweight=".5pt">
                <w10:wrap type="topAndBottom" anchorx="page"/>
              </v:line>
            </w:pict>
          </mc:Fallback>
        </mc:AlternateContent>
      </w:r>
    </w:p>
    <w:p w14:paraId="1A2F4275" w14:textId="77777777" w:rsidR="00DE575E" w:rsidRDefault="002E7560">
      <w:pPr>
        <w:spacing w:line="148" w:lineRule="exact"/>
        <w:ind w:left="250"/>
        <w:rPr>
          <w:sz w:val="16"/>
        </w:rPr>
      </w:pPr>
      <w:r>
        <w:rPr>
          <w:color w:val="231F20"/>
          <w:position w:val="5"/>
          <w:sz w:val="9"/>
        </w:rPr>
        <w:t xml:space="preserve">1 </w:t>
      </w:r>
      <w:r>
        <w:rPr>
          <w:color w:val="231F20"/>
          <w:sz w:val="16"/>
        </w:rPr>
        <w:t>Про службу в органах місцевого самоврядування: Закон України від 07.06.2001 р.</w:t>
      </w:r>
    </w:p>
    <w:p w14:paraId="22154A11" w14:textId="77777777" w:rsidR="00DE575E" w:rsidRDefault="002E7560">
      <w:pPr>
        <w:spacing w:before="9" w:line="204" w:lineRule="auto"/>
        <w:ind w:left="250" w:right="521"/>
        <w:rPr>
          <w:sz w:val="16"/>
        </w:rPr>
      </w:pPr>
      <w:r>
        <w:rPr>
          <w:color w:val="231F20"/>
          <w:sz w:val="16"/>
        </w:rPr>
        <w:t xml:space="preserve">№ 2493-III </w:t>
      </w:r>
      <w:r>
        <w:rPr>
          <w:b/>
          <w:color w:val="231F20"/>
          <w:sz w:val="16"/>
        </w:rPr>
        <w:t xml:space="preserve">/ </w:t>
      </w:r>
      <w:r>
        <w:rPr>
          <w:i/>
          <w:color w:val="231F20"/>
          <w:sz w:val="16"/>
        </w:rPr>
        <w:t>Верховна Рада України</w:t>
      </w:r>
      <w:r>
        <w:rPr>
          <w:color w:val="231F20"/>
          <w:sz w:val="16"/>
        </w:rPr>
        <w:t>. URL: https://zakon.rada.gov.ua/laws/show/2493-14 (дата звернення: 01.02.2020 р.)</w:t>
      </w:r>
    </w:p>
    <w:p w14:paraId="25C72433" w14:textId="77777777" w:rsidR="00DE575E" w:rsidRDefault="00DE575E">
      <w:pPr>
        <w:pStyle w:val="BodyText"/>
        <w:spacing w:before="4"/>
        <w:rPr>
          <w:sz w:val="12"/>
        </w:rPr>
      </w:pPr>
    </w:p>
    <w:p w14:paraId="63C490F1" w14:textId="77777777" w:rsidR="00DE575E" w:rsidRDefault="002E7560">
      <w:pPr>
        <w:spacing w:before="92"/>
        <w:ind w:right="411"/>
        <w:jc w:val="right"/>
        <w:rPr>
          <w:rFonts w:ascii="Times New Roman"/>
          <w:sz w:val="20"/>
        </w:rPr>
      </w:pPr>
      <w:r>
        <w:rPr>
          <w:rFonts w:ascii="Times New Roman"/>
          <w:color w:val="231F20"/>
          <w:w w:val="90"/>
          <w:sz w:val="20"/>
        </w:rPr>
        <w:t>391</w:t>
      </w:r>
    </w:p>
    <w:p w14:paraId="06F9544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62302C2"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282D9396" w14:textId="4E88245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694F55A" wp14:editId="7370EEDA">
                <wp:extent cx="4140200" cy="6350"/>
                <wp:effectExtent l="0" t="0" r="12700" b="6350"/>
                <wp:docPr id="420"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21" name="Line 42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7C62E" id="Group_x0020_41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ry8od/AgAAmAUAAA4A&#10;AAAAAAAAAAAAAAAALAIAAGRycy9lMm9Eb2MueG1sUEsBAi0AFAAGAAgAAAAhAEynsJDZAAAAAwEA&#10;AA8AAAAAAAAAAAAAAAAA1wQAAGRycy9kb3ducmV2LnhtbFBLBQYAAAAABAAEAPMAAADdBQAAAAA=&#10;">
                <v:line id="Line_x0020_42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MTCscAAADcAAAADwAAAGRycy9kb3ducmV2LnhtbESP0WrCQBRE3wv9h+UWfJG6UUspqZsg&#10;giA+aGv6AdfsbRK6ezdmVxP9+m5B6OMwM2eYRT5YIy7U+caxgukkAUFcOt1wpeCrWD+/gfABWaNx&#10;TAqu5CHPHh8WmGrX8yddDqESEcI+RQV1CG0qpS9rsugnriWO3rfrLIYou0rqDvsIt0bOkuRVWmw4&#10;LtTY0qqm8udwtgqK0ziYj/3W9MX+OJfH025+O++UGj0Ny3cQgYbwH763N1rBy2wK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ExMKxwAAANwAAAAPAAAAAAAA&#10;AAAAAAAAAKECAABkcnMvZG93bnJldi54bWxQSwUGAAAAAAQABAD5AAAAlQMAAAAA&#10;" strokecolor="#231f20" strokeweight=".5pt"/>
                <w10:anchorlock/>
              </v:group>
            </w:pict>
          </mc:Fallback>
        </mc:AlternateContent>
      </w:r>
    </w:p>
    <w:p w14:paraId="7783A36D" w14:textId="77777777" w:rsidR="00DE575E" w:rsidRDefault="00DE575E">
      <w:pPr>
        <w:pStyle w:val="BodyText"/>
        <w:spacing w:before="7"/>
        <w:rPr>
          <w:rFonts w:ascii="AdonisC"/>
          <w:i/>
          <w:sz w:val="11"/>
        </w:rPr>
      </w:pPr>
    </w:p>
    <w:p w14:paraId="102186CF" w14:textId="77777777" w:rsidR="00DE575E" w:rsidRDefault="002E7560">
      <w:pPr>
        <w:pStyle w:val="BodyText"/>
        <w:spacing w:before="101" w:line="252" w:lineRule="auto"/>
        <w:ind w:left="533" w:right="126"/>
        <w:jc w:val="both"/>
      </w:pPr>
      <w:r>
        <w:rPr>
          <w:color w:val="231F20"/>
        </w:rPr>
        <w:t xml:space="preserve">походження, майнового </w:t>
      </w:r>
      <w:r>
        <w:rPr>
          <w:color w:val="231F20"/>
          <w:spacing w:val="-3"/>
        </w:rPr>
        <w:t xml:space="preserve">стану, </w:t>
      </w:r>
      <w:r>
        <w:rPr>
          <w:color w:val="231F20"/>
        </w:rPr>
        <w:t>терміну проживання на відповідній території.</w:t>
      </w:r>
      <w:r>
        <w:rPr>
          <w:color w:val="231F20"/>
          <w:spacing w:val="-10"/>
        </w:rPr>
        <w:t xml:space="preserve"> </w:t>
      </w:r>
      <w:r>
        <w:rPr>
          <w:color w:val="231F20"/>
        </w:rPr>
        <w:t>На</w:t>
      </w:r>
      <w:r>
        <w:rPr>
          <w:color w:val="231F20"/>
          <w:spacing w:val="-10"/>
        </w:rPr>
        <w:t xml:space="preserve"> </w:t>
      </w:r>
      <w:r>
        <w:rPr>
          <w:color w:val="231F20"/>
        </w:rPr>
        <w:t>посаду</w:t>
      </w:r>
      <w:r>
        <w:rPr>
          <w:color w:val="231F20"/>
          <w:spacing w:val="-10"/>
        </w:rPr>
        <w:t xml:space="preserve"> </w:t>
      </w:r>
      <w:r>
        <w:rPr>
          <w:color w:val="231F20"/>
        </w:rPr>
        <w:t>можуть</w:t>
      </w:r>
      <w:r>
        <w:rPr>
          <w:color w:val="231F20"/>
          <w:spacing w:val="-10"/>
        </w:rPr>
        <w:t xml:space="preserve"> </w:t>
      </w:r>
      <w:r>
        <w:rPr>
          <w:color w:val="231F20"/>
        </w:rPr>
        <w:t>бути</w:t>
      </w:r>
      <w:r>
        <w:rPr>
          <w:color w:val="231F20"/>
          <w:spacing w:val="-10"/>
        </w:rPr>
        <w:t xml:space="preserve"> </w:t>
      </w:r>
      <w:r>
        <w:rPr>
          <w:color w:val="231F20"/>
        </w:rPr>
        <w:t>призначені</w:t>
      </w:r>
      <w:r>
        <w:rPr>
          <w:color w:val="231F20"/>
          <w:spacing w:val="-10"/>
        </w:rPr>
        <w:t xml:space="preserve"> </w:t>
      </w:r>
      <w:r>
        <w:rPr>
          <w:color w:val="231F20"/>
        </w:rPr>
        <w:t>особи,</w:t>
      </w:r>
      <w:r>
        <w:rPr>
          <w:color w:val="231F20"/>
          <w:spacing w:val="-10"/>
        </w:rPr>
        <w:t xml:space="preserve"> </w:t>
      </w:r>
      <w:r>
        <w:rPr>
          <w:color w:val="231F20"/>
        </w:rPr>
        <w:t>які</w:t>
      </w:r>
      <w:r>
        <w:rPr>
          <w:color w:val="231F20"/>
          <w:spacing w:val="-10"/>
        </w:rPr>
        <w:t xml:space="preserve"> </w:t>
      </w:r>
      <w:r>
        <w:rPr>
          <w:color w:val="231F20"/>
        </w:rPr>
        <w:t>мають</w:t>
      </w:r>
      <w:r>
        <w:rPr>
          <w:color w:val="231F20"/>
          <w:spacing w:val="-10"/>
        </w:rPr>
        <w:t xml:space="preserve"> </w:t>
      </w:r>
      <w:r>
        <w:rPr>
          <w:color w:val="231F20"/>
        </w:rPr>
        <w:t>відпо- відну освіту і професійну підготовку, володіють державною мовою в обсягах, достатніх для виконання службових</w:t>
      </w:r>
      <w:r>
        <w:rPr>
          <w:color w:val="231F20"/>
          <w:spacing w:val="-6"/>
        </w:rPr>
        <w:t xml:space="preserve"> </w:t>
      </w:r>
      <w:r>
        <w:rPr>
          <w:color w:val="231F20"/>
        </w:rPr>
        <w:t>обов’язків.</w:t>
      </w:r>
    </w:p>
    <w:p w14:paraId="713D7090" w14:textId="77777777" w:rsidR="00DE575E" w:rsidRDefault="002E7560">
      <w:pPr>
        <w:pStyle w:val="BodyText"/>
        <w:spacing w:before="2" w:line="252" w:lineRule="auto"/>
        <w:ind w:left="533" w:right="127" w:firstLine="283"/>
        <w:jc w:val="both"/>
      </w:pPr>
      <w:r>
        <w:rPr>
          <w:color w:val="231F20"/>
        </w:rPr>
        <w:t>Прийняття на службу в органи місцевого самоврядування має низку особливостей та безпосередньо здійснюється:</w:t>
      </w:r>
    </w:p>
    <w:p w14:paraId="5D143B72" w14:textId="77777777" w:rsidR="00DE575E" w:rsidRDefault="002E7560">
      <w:pPr>
        <w:pStyle w:val="ListParagraph"/>
        <w:numPr>
          <w:ilvl w:val="0"/>
          <w:numId w:val="89"/>
        </w:numPr>
        <w:tabs>
          <w:tab w:val="left" w:pos="1101"/>
        </w:tabs>
        <w:ind w:firstLine="284"/>
        <w:jc w:val="left"/>
        <w:rPr>
          <w:sz w:val="21"/>
        </w:rPr>
      </w:pPr>
      <w:r>
        <w:rPr>
          <w:color w:val="231F20"/>
          <w:sz w:val="21"/>
        </w:rPr>
        <w:t>на</w:t>
      </w:r>
      <w:r>
        <w:rPr>
          <w:color w:val="231F20"/>
          <w:spacing w:val="15"/>
          <w:sz w:val="21"/>
        </w:rPr>
        <w:t xml:space="preserve"> </w:t>
      </w:r>
      <w:r>
        <w:rPr>
          <w:color w:val="231F20"/>
          <w:sz w:val="21"/>
        </w:rPr>
        <w:t>посаду</w:t>
      </w:r>
      <w:r>
        <w:rPr>
          <w:color w:val="231F20"/>
          <w:spacing w:val="15"/>
          <w:sz w:val="21"/>
        </w:rPr>
        <w:t xml:space="preserve"> </w:t>
      </w:r>
      <w:r>
        <w:rPr>
          <w:color w:val="231F20"/>
          <w:sz w:val="21"/>
        </w:rPr>
        <w:t>сільського</w:t>
      </w:r>
      <w:r>
        <w:rPr>
          <w:color w:val="231F20"/>
          <w:sz w:val="21"/>
        </w:rPr>
        <w:t>,</w:t>
      </w:r>
      <w:r>
        <w:rPr>
          <w:color w:val="231F20"/>
          <w:spacing w:val="15"/>
          <w:sz w:val="21"/>
        </w:rPr>
        <w:t xml:space="preserve"> </w:t>
      </w:r>
      <w:r>
        <w:rPr>
          <w:color w:val="231F20"/>
          <w:sz w:val="21"/>
        </w:rPr>
        <w:t>селищного,</w:t>
      </w:r>
      <w:r>
        <w:rPr>
          <w:color w:val="231F20"/>
          <w:spacing w:val="15"/>
          <w:sz w:val="21"/>
        </w:rPr>
        <w:t xml:space="preserve"> </w:t>
      </w:r>
      <w:r>
        <w:rPr>
          <w:color w:val="231F20"/>
          <w:sz w:val="21"/>
        </w:rPr>
        <w:t>міського</w:t>
      </w:r>
      <w:r>
        <w:rPr>
          <w:color w:val="231F20"/>
          <w:spacing w:val="15"/>
          <w:sz w:val="21"/>
        </w:rPr>
        <w:t xml:space="preserve"> </w:t>
      </w:r>
      <w:r>
        <w:rPr>
          <w:color w:val="231F20"/>
          <w:sz w:val="21"/>
        </w:rPr>
        <w:t>голови,</w:t>
      </w:r>
      <w:r>
        <w:rPr>
          <w:color w:val="231F20"/>
          <w:spacing w:val="15"/>
          <w:sz w:val="21"/>
        </w:rPr>
        <w:t xml:space="preserve"> </w:t>
      </w:r>
      <w:r>
        <w:rPr>
          <w:color w:val="231F20"/>
          <w:sz w:val="21"/>
        </w:rPr>
        <w:t>старости</w:t>
      </w:r>
      <w:r>
        <w:rPr>
          <w:color w:val="231F20"/>
          <w:spacing w:val="13"/>
          <w:sz w:val="21"/>
        </w:rPr>
        <w:t xml:space="preserve"> </w:t>
      </w:r>
      <w:r>
        <w:rPr>
          <w:color w:val="231F20"/>
          <w:sz w:val="21"/>
        </w:rPr>
        <w:t>–</w:t>
      </w:r>
    </w:p>
    <w:p w14:paraId="6C397D6C" w14:textId="77777777" w:rsidR="00DE575E" w:rsidRDefault="002E7560">
      <w:pPr>
        <w:spacing w:before="12"/>
        <w:ind w:left="533"/>
        <w:rPr>
          <w:sz w:val="21"/>
        </w:rPr>
      </w:pPr>
      <w:r>
        <w:rPr>
          <w:i/>
          <w:color w:val="231F20"/>
          <w:sz w:val="21"/>
        </w:rPr>
        <w:t>через обрання жителями (місцеві вибори)</w:t>
      </w:r>
      <w:r>
        <w:rPr>
          <w:color w:val="231F20"/>
          <w:sz w:val="21"/>
        </w:rPr>
        <w:t>;</w:t>
      </w:r>
    </w:p>
    <w:p w14:paraId="748D7F7C" w14:textId="77777777" w:rsidR="00DE575E" w:rsidRDefault="002E7560">
      <w:pPr>
        <w:pStyle w:val="ListParagraph"/>
        <w:numPr>
          <w:ilvl w:val="0"/>
          <w:numId w:val="89"/>
        </w:numPr>
        <w:tabs>
          <w:tab w:val="left" w:pos="1101"/>
        </w:tabs>
        <w:spacing w:before="13" w:line="252" w:lineRule="auto"/>
        <w:ind w:right="126" w:firstLine="284"/>
        <w:rPr>
          <w:sz w:val="21"/>
        </w:rPr>
      </w:pPr>
      <w:r>
        <w:rPr>
          <w:color w:val="231F20"/>
          <w:sz w:val="21"/>
        </w:rPr>
        <w:t>на посаду голови та заступників  голови  районної,  район-  ної у місті, обласної ради, заступника міського голови – секретаря Київської міської ради, секретаря сільської, се</w:t>
      </w:r>
      <w:r>
        <w:rPr>
          <w:color w:val="231F20"/>
          <w:sz w:val="21"/>
        </w:rPr>
        <w:t xml:space="preserve">лищної, міської ради, голови постійної комісії з питань бюджету обласної, Київської та Севастопольської міських рад – </w:t>
      </w:r>
      <w:r>
        <w:rPr>
          <w:i/>
          <w:color w:val="231F20"/>
          <w:sz w:val="21"/>
        </w:rPr>
        <w:t>через обрання відповідною</w:t>
      </w:r>
      <w:r>
        <w:rPr>
          <w:i/>
          <w:color w:val="231F20"/>
          <w:spacing w:val="-15"/>
          <w:sz w:val="21"/>
        </w:rPr>
        <w:t xml:space="preserve"> </w:t>
      </w:r>
      <w:r>
        <w:rPr>
          <w:i/>
          <w:color w:val="231F20"/>
          <w:sz w:val="21"/>
        </w:rPr>
        <w:t>радою</w:t>
      </w:r>
      <w:r>
        <w:rPr>
          <w:color w:val="231F20"/>
          <w:sz w:val="21"/>
        </w:rPr>
        <w:t>;</w:t>
      </w:r>
    </w:p>
    <w:p w14:paraId="73609D92" w14:textId="77777777" w:rsidR="00DE575E" w:rsidRDefault="002E7560">
      <w:pPr>
        <w:pStyle w:val="ListParagraph"/>
        <w:numPr>
          <w:ilvl w:val="0"/>
          <w:numId w:val="89"/>
        </w:numPr>
        <w:tabs>
          <w:tab w:val="left" w:pos="1101"/>
        </w:tabs>
        <w:spacing w:before="3" w:line="252" w:lineRule="auto"/>
        <w:ind w:right="126" w:firstLine="284"/>
        <w:rPr>
          <w:sz w:val="21"/>
        </w:rPr>
      </w:pPr>
      <w:r>
        <w:rPr>
          <w:color w:val="231F20"/>
          <w:sz w:val="21"/>
        </w:rPr>
        <w:t xml:space="preserve">на посади заступників сільського, селищного, міського голови з питань діяльності виконавчих органів ради, керуючого справами (секретаря) виконавчого комітету сільської, селищної, міської, районної у місті ради – </w:t>
      </w:r>
      <w:r>
        <w:rPr>
          <w:i/>
          <w:color w:val="231F20"/>
          <w:sz w:val="21"/>
        </w:rPr>
        <w:t>через затвердження відповідною</w:t>
      </w:r>
      <w:r>
        <w:rPr>
          <w:i/>
          <w:color w:val="231F20"/>
          <w:spacing w:val="-18"/>
          <w:sz w:val="21"/>
        </w:rPr>
        <w:t xml:space="preserve"> </w:t>
      </w:r>
      <w:r>
        <w:rPr>
          <w:i/>
          <w:color w:val="231F20"/>
          <w:sz w:val="21"/>
        </w:rPr>
        <w:t>радою</w:t>
      </w:r>
      <w:r>
        <w:rPr>
          <w:color w:val="231F20"/>
          <w:sz w:val="21"/>
        </w:rPr>
        <w:t>;</w:t>
      </w:r>
    </w:p>
    <w:p w14:paraId="5C89EF09" w14:textId="77777777" w:rsidR="00DE575E" w:rsidRDefault="002E7560">
      <w:pPr>
        <w:pStyle w:val="ListParagraph"/>
        <w:numPr>
          <w:ilvl w:val="0"/>
          <w:numId w:val="89"/>
        </w:numPr>
        <w:tabs>
          <w:tab w:val="left" w:pos="1101"/>
        </w:tabs>
        <w:spacing w:before="2" w:line="252" w:lineRule="auto"/>
        <w:ind w:right="127" w:firstLine="284"/>
        <w:rPr>
          <w:sz w:val="21"/>
        </w:rPr>
      </w:pPr>
      <w:r>
        <w:rPr>
          <w:color w:val="231F20"/>
          <w:sz w:val="21"/>
        </w:rPr>
        <w:t>на пос</w:t>
      </w:r>
      <w:r>
        <w:rPr>
          <w:color w:val="231F20"/>
          <w:sz w:val="21"/>
        </w:rPr>
        <w:t xml:space="preserve">ади керівника секретаріату (керуючого справами) районної, обласної ради, керуючого справами виконавчого апарату обласних і районних рад, керівників відділів, управлінь та інших працівників органів місцевого самоврядування – </w:t>
      </w:r>
      <w:r>
        <w:rPr>
          <w:i/>
          <w:color w:val="231F20"/>
          <w:sz w:val="21"/>
        </w:rPr>
        <w:t>через призначення відповідно сіл</w:t>
      </w:r>
      <w:r>
        <w:rPr>
          <w:i/>
          <w:color w:val="231F20"/>
          <w:sz w:val="21"/>
        </w:rPr>
        <w:t>ьським, селищним, міським головою, головою район- ної, районної у місті, обласної ради на конкурсній основі чи за іншою процедурою</w:t>
      </w:r>
      <w:r>
        <w:rPr>
          <w:color w:val="231F20"/>
          <w:sz w:val="21"/>
        </w:rPr>
        <w:t>, передбаченою законодавством</w:t>
      </w:r>
      <w:r>
        <w:rPr>
          <w:color w:val="231F20"/>
          <w:spacing w:val="-5"/>
          <w:sz w:val="21"/>
        </w:rPr>
        <w:t xml:space="preserve"> </w:t>
      </w:r>
      <w:r>
        <w:rPr>
          <w:color w:val="231F20"/>
          <w:spacing w:val="-2"/>
          <w:sz w:val="21"/>
        </w:rPr>
        <w:t>України</w:t>
      </w:r>
      <w:r>
        <w:rPr>
          <w:color w:val="231F20"/>
          <w:spacing w:val="-2"/>
          <w:position w:val="7"/>
          <w:sz w:val="12"/>
        </w:rPr>
        <w:t>1</w:t>
      </w:r>
      <w:r>
        <w:rPr>
          <w:color w:val="231F20"/>
          <w:spacing w:val="-2"/>
          <w:sz w:val="21"/>
        </w:rPr>
        <w:t>.</w:t>
      </w:r>
    </w:p>
    <w:p w14:paraId="32A415FF" w14:textId="77777777" w:rsidR="00DE575E" w:rsidRDefault="002E7560">
      <w:pPr>
        <w:pStyle w:val="BodyText"/>
        <w:spacing w:before="3" w:line="252" w:lineRule="auto"/>
        <w:ind w:left="533" w:right="126" w:firstLine="283"/>
        <w:jc w:val="both"/>
      </w:pPr>
      <w:r>
        <w:rPr>
          <w:color w:val="231F20"/>
        </w:rPr>
        <w:t>Аналізуючи норму законодавства, варто зазначити, що</w:t>
      </w:r>
      <w:r>
        <w:rPr>
          <w:color w:val="231F20"/>
          <w:spacing w:val="-28"/>
        </w:rPr>
        <w:t xml:space="preserve"> </w:t>
      </w:r>
      <w:r>
        <w:rPr>
          <w:color w:val="231F20"/>
        </w:rPr>
        <w:t xml:space="preserve">основним способом заміщення  посад  в  органах  місцевого  самоврядування  є </w:t>
      </w:r>
      <w:r>
        <w:rPr>
          <w:b/>
          <w:color w:val="231F20"/>
        </w:rPr>
        <w:t>конкурс</w:t>
      </w:r>
      <w:r>
        <w:rPr>
          <w:color w:val="231F20"/>
        </w:rPr>
        <w:t xml:space="preserve">. Конкурс на заміщення вакантної посади посадової особи місцевого самоврядування має забезпечувати конституційне право рівного доступу громадян </w:t>
      </w:r>
      <w:r>
        <w:rPr>
          <w:color w:val="231F20"/>
          <w:spacing w:val="-3"/>
        </w:rPr>
        <w:t xml:space="preserve">України </w:t>
      </w:r>
      <w:r>
        <w:rPr>
          <w:color w:val="231F20"/>
        </w:rPr>
        <w:t xml:space="preserve">до служби в органах </w:t>
      </w:r>
      <w:r>
        <w:rPr>
          <w:color w:val="231F20"/>
        </w:rPr>
        <w:t>місцевого самоврядування. Для проведення відбору кандидатів на заміщення вакантних посад посадових осіб місцевого самоврядування розпо- рядженням сільського, селищного, міського голови, голови район- ної, обласної ради утворюється конкурсна комісія у склад</w:t>
      </w:r>
      <w:r>
        <w:rPr>
          <w:color w:val="231F20"/>
        </w:rPr>
        <w:t>і голови, секретаря і членів</w:t>
      </w:r>
      <w:r>
        <w:rPr>
          <w:color w:val="231F20"/>
          <w:spacing w:val="-3"/>
        </w:rPr>
        <w:t xml:space="preserve"> </w:t>
      </w:r>
      <w:r>
        <w:rPr>
          <w:color w:val="231F20"/>
        </w:rPr>
        <w:t>комісії.</w:t>
      </w:r>
    </w:p>
    <w:p w14:paraId="5BEC966D" w14:textId="77777777" w:rsidR="00DE575E" w:rsidRDefault="002E7560">
      <w:pPr>
        <w:pStyle w:val="BodyText"/>
        <w:spacing w:before="5" w:line="252" w:lineRule="auto"/>
        <w:ind w:left="533" w:right="126" w:firstLine="283"/>
        <w:jc w:val="both"/>
      </w:pPr>
      <w:r>
        <w:rPr>
          <w:color w:val="231F20"/>
        </w:rPr>
        <w:t>Очолює конкурсну комісію заступник керівника органу місце- вого</w:t>
      </w:r>
      <w:r>
        <w:rPr>
          <w:color w:val="231F20"/>
          <w:spacing w:val="-9"/>
        </w:rPr>
        <w:t xml:space="preserve"> </w:t>
      </w:r>
      <w:r>
        <w:rPr>
          <w:color w:val="231F20"/>
        </w:rPr>
        <w:t>самоврядування.</w:t>
      </w:r>
      <w:r>
        <w:rPr>
          <w:color w:val="231F20"/>
          <w:spacing w:val="-9"/>
        </w:rPr>
        <w:t xml:space="preserve"> </w:t>
      </w:r>
      <w:r>
        <w:rPr>
          <w:color w:val="231F20"/>
        </w:rPr>
        <w:t>До</w:t>
      </w:r>
      <w:r>
        <w:rPr>
          <w:color w:val="231F20"/>
          <w:spacing w:val="-9"/>
        </w:rPr>
        <w:t xml:space="preserve"> </w:t>
      </w:r>
      <w:r>
        <w:rPr>
          <w:color w:val="231F20"/>
        </w:rPr>
        <w:t>складу</w:t>
      </w:r>
      <w:r>
        <w:rPr>
          <w:color w:val="231F20"/>
          <w:spacing w:val="-9"/>
        </w:rPr>
        <w:t xml:space="preserve"> </w:t>
      </w:r>
      <w:r>
        <w:rPr>
          <w:color w:val="231F20"/>
        </w:rPr>
        <w:t>конкурсної</w:t>
      </w:r>
      <w:r>
        <w:rPr>
          <w:color w:val="231F20"/>
          <w:spacing w:val="-9"/>
        </w:rPr>
        <w:t xml:space="preserve"> </w:t>
      </w:r>
      <w:r>
        <w:rPr>
          <w:color w:val="231F20"/>
        </w:rPr>
        <w:t>комісії</w:t>
      </w:r>
      <w:r>
        <w:rPr>
          <w:color w:val="231F20"/>
          <w:spacing w:val="-9"/>
        </w:rPr>
        <w:t xml:space="preserve"> </w:t>
      </w:r>
      <w:r>
        <w:rPr>
          <w:color w:val="231F20"/>
        </w:rPr>
        <w:t>входять</w:t>
      </w:r>
      <w:r>
        <w:rPr>
          <w:color w:val="231F20"/>
          <w:spacing w:val="-9"/>
        </w:rPr>
        <w:t xml:space="preserve"> </w:t>
      </w:r>
      <w:r>
        <w:rPr>
          <w:color w:val="231F20"/>
        </w:rPr>
        <w:t>посадові особи</w:t>
      </w:r>
      <w:r>
        <w:rPr>
          <w:color w:val="231F20"/>
          <w:spacing w:val="27"/>
        </w:rPr>
        <w:t xml:space="preserve"> </w:t>
      </w:r>
      <w:r>
        <w:rPr>
          <w:color w:val="231F20"/>
        </w:rPr>
        <w:t>органу</w:t>
      </w:r>
      <w:r>
        <w:rPr>
          <w:color w:val="231F20"/>
          <w:spacing w:val="27"/>
        </w:rPr>
        <w:t xml:space="preserve"> </w:t>
      </w:r>
      <w:r>
        <w:rPr>
          <w:color w:val="231F20"/>
        </w:rPr>
        <w:t>місцевого</w:t>
      </w:r>
      <w:r>
        <w:rPr>
          <w:color w:val="231F20"/>
          <w:spacing w:val="27"/>
        </w:rPr>
        <w:t xml:space="preserve"> </w:t>
      </w:r>
      <w:r>
        <w:rPr>
          <w:color w:val="231F20"/>
        </w:rPr>
        <w:t>самоврядування.</w:t>
      </w:r>
      <w:r>
        <w:rPr>
          <w:color w:val="231F20"/>
          <w:spacing w:val="27"/>
        </w:rPr>
        <w:t xml:space="preserve"> </w:t>
      </w:r>
      <w:r>
        <w:rPr>
          <w:color w:val="231F20"/>
        </w:rPr>
        <w:t>Рішення</w:t>
      </w:r>
      <w:r>
        <w:rPr>
          <w:color w:val="231F20"/>
          <w:spacing w:val="27"/>
        </w:rPr>
        <w:t xml:space="preserve"> </w:t>
      </w:r>
      <w:r>
        <w:rPr>
          <w:color w:val="231F20"/>
        </w:rPr>
        <w:t>про</w:t>
      </w:r>
      <w:r>
        <w:rPr>
          <w:color w:val="231F20"/>
          <w:spacing w:val="27"/>
        </w:rPr>
        <w:t xml:space="preserve"> </w:t>
      </w:r>
      <w:r>
        <w:rPr>
          <w:color w:val="231F20"/>
        </w:rPr>
        <w:t>проведення</w:t>
      </w:r>
    </w:p>
    <w:p w14:paraId="1E53B5AE" w14:textId="74348168" w:rsidR="00DE575E" w:rsidRDefault="002E7560">
      <w:pPr>
        <w:pStyle w:val="BodyText"/>
        <w:spacing w:before="4"/>
        <w:rPr>
          <w:sz w:val="24"/>
        </w:rPr>
      </w:pPr>
      <w:r>
        <w:rPr>
          <w:noProof/>
        </w:rPr>
        <mc:AlternateContent>
          <mc:Choice Requires="wps">
            <w:drawing>
              <wp:anchor distT="0" distB="0" distL="0" distR="0" simplePos="0" relativeHeight="15376" behindDoc="0" locked="0" layoutInCell="1" allowOverlap="1" wp14:anchorId="7A2101E3" wp14:editId="1F755B19">
                <wp:simplePos x="0" y="0"/>
                <wp:positionH relativeFrom="page">
                  <wp:posOffset>719455</wp:posOffset>
                </wp:positionH>
                <wp:positionV relativeFrom="paragraph">
                  <wp:posOffset>208915</wp:posOffset>
                </wp:positionV>
                <wp:extent cx="1080135" cy="0"/>
                <wp:effectExtent l="8255" t="18415" r="29210" b="19685"/>
                <wp:wrapTopAndBottom/>
                <wp:docPr id="41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C6228" id="Line_x0020_418" o:spid="_x0000_s1026" style="position:absolute;z-index:1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45pt" to="141.7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HhV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" strokecolor="#231f20" strokeweight=".5pt">
                <w10:wrap type="topAndBottom" anchorx="page"/>
              </v:line>
            </w:pict>
          </mc:Fallback>
        </mc:AlternateContent>
      </w:r>
    </w:p>
    <w:p w14:paraId="0C6DA523" w14:textId="77777777" w:rsidR="00DE575E" w:rsidRDefault="002E7560">
      <w:pPr>
        <w:spacing w:line="162" w:lineRule="exact"/>
        <w:ind w:left="533"/>
        <w:rPr>
          <w:sz w:val="16"/>
        </w:rPr>
      </w:pPr>
      <w:r>
        <w:rPr>
          <w:color w:val="231F20"/>
          <w:position w:val="5"/>
          <w:sz w:val="9"/>
        </w:rPr>
        <w:t xml:space="preserve">1 </w:t>
      </w:r>
      <w:r>
        <w:rPr>
          <w:color w:val="231F20"/>
          <w:sz w:val="16"/>
        </w:rPr>
        <w:t>Про службу в органах місце</w:t>
      </w:r>
      <w:r>
        <w:rPr>
          <w:color w:val="231F20"/>
          <w:sz w:val="16"/>
        </w:rPr>
        <w:t>вого самоврядування: : Там само.</w:t>
      </w:r>
    </w:p>
    <w:p w14:paraId="6564E9C8" w14:textId="77777777" w:rsidR="00DE575E" w:rsidRDefault="00DE575E">
      <w:pPr>
        <w:pStyle w:val="BodyText"/>
        <w:spacing w:before="10"/>
        <w:rPr>
          <w:sz w:val="11"/>
        </w:rPr>
      </w:pPr>
    </w:p>
    <w:p w14:paraId="6B699517" w14:textId="77777777" w:rsidR="00DE575E" w:rsidRDefault="002E7560">
      <w:pPr>
        <w:spacing w:before="92"/>
        <w:ind w:left="533"/>
        <w:rPr>
          <w:rFonts w:ascii="Times New Roman"/>
          <w:sz w:val="20"/>
        </w:rPr>
      </w:pPr>
      <w:r>
        <w:rPr>
          <w:rFonts w:ascii="Times New Roman"/>
          <w:color w:val="231F20"/>
          <w:sz w:val="20"/>
        </w:rPr>
        <w:t>392</w:t>
      </w:r>
    </w:p>
    <w:p w14:paraId="4C8981B9" w14:textId="77777777" w:rsidR="00DE575E" w:rsidRDefault="00DE575E">
      <w:pPr>
        <w:rPr>
          <w:rFonts w:ascii="Times New Roman"/>
          <w:sz w:val="20"/>
        </w:rPr>
        <w:sectPr w:rsidR="00DE575E">
          <w:pgSz w:w="8510" w:h="12760"/>
          <w:pgMar w:top="660" w:right="720" w:bottom="280" w:left="600" w:header="720" w:footer="720" w:gutter="0"/>
          <w:cols w:space="720"/>
        </w:sectPr>
      </w:pPr>
    </w:p>
    <w:p w14:paraId="5242857A"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самоврядування</w:t>
      </w:r>
    </w:p>
    <w:p w14:paraId="5D07690B" w14:textId="644B03D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F5267CF" wp14:editId="1E8B6268">
                <wp:extent cx="4140200" cy="6350"/>
                <wp:effectExtent l="0" t="0" r="12700" b="6350"/>
                <wp:docPr id="41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18" name="Line 4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14A77C" id="Group_x0020_4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aXtfjgAIAAJgFAAAO&#10;AAAAAAAAAAAAAAAAACwCAABkcnMvZTJvRG9jLnhtbFBLAQItABQABgAIAAAAIQBMp7CQ2QAAAAMB&#10;AAAPAAAAAAAAAAAAAAAAANgEAABkcnMvZG93bnJldi54bWxQSwUGAAAAAAQABADzAAAA3gUAAAAA&#10;">
                <v:line id="Line_x0020_4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VwKsMAAADcAAAADwAAAGRycy9kb3ducmV2LnhtbERP3WrCMBS+F/YO4Qy8kZn6g4zOKGMg&#10;iBc62z3AsTlry5KT2kRbfXpzMfDy4/tfrntrxJVaXztWMBknIIgLp2suFfzkm7d3ED4gazSOScGN&#10;PKxXL4Mlptp1fKRrFkoRQ9inqKAKoUml9EVFFv3YNcSR+3WtxRBhW0rdYhfDrZHTJFlIizXHhgob&#10;+qqo+MsuVkF+HgXzfdiZLj+cZvJ03s/ul71Sw9f+8wNEoD48xf/urVYwn8S18Uw8AnL1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FFcCrDAAAA3AAAAA8AAAAAAAAAAAAA&#10;AAAAoQIAAGRycy9kb3ducmV2LnhtbFBLBQYAAAAABAAEAPkAAACRAwAAAAA=&#10;" strokecolor="#231f20" strokeweight=".5pt"/>
                <w10:anchorlock/>
              </v:group>
            </w:pict>
          </mc:Fallback>
        </mc:AlternateContent>
      </w:r>
    </w:p>
    <w:p w14:paraId="0055AF08" w14:textId="77777777" w:rsidR="00DE575E" w:rsidRDefault="00DE575E">
      <w:pPr>
        <w:pStyle w:val="BodyText"/>
        <w:spacing w:before="7"/>
        <w:rPr>
          <w:rFonts w:ascii="AdonisC"/>
          <w:i/>
          <w:sz w:val="19"/>
        </w:rPr>
      </w:pPr>
    </w:p>
    <w:p w14:paraId="722865D3" w14:textId="77777777" w:rsidR="00DE575E" w:rsidRDefault="002E7560">
      <w:pPr>
        <w:pStyle w:val="BodyText"/>
        <w:spacing w:before="1" w:line="252" w:lineRule="auto"/>
        <w:ind w:left="250" w:right="409"/>
        <w:jc w:val="both"/>
      </w:pPr>
      <w:r>
        <w:rPr>
          <w:color w:val="231F20"/>
        </w:rPr>
        <w:t xml:space="preserve">конкурсу ухвалюється керівником органу місцевого самовряду- вання або особою, яка здійснює його повноваження відповідно до Закону </w:t>
      </w:r>
      <w:r>
        <w:rPr>
          <w:color w:val="231F20"/>
          <w:spacing w:val="-3"/>
        </w:rPr>
        <w:t xml:space="preserve">України </w:t>
      </w:r>
      <w:r>
        <w:rPr>
          <w:color w:val="231F20"/>
        </w:rPr>
        <w:t xml:space="preserve">«Про місцеве самоврядування в </w:t>
      </w:r>
      <w:r>
        <w:rPr>
          <w:color w:val="231F20"/>
          <w:spacing w:val="-3"/>
        </w:rPr>
        <w:t xml:space="preserve">Україні» </w:t>
      </w:r>
      <w:r>
        <w:rPr>
          <w:color w:val="231F20"/>
        </w:rPr>
        <w:t>за наяв- ності вакантної посади посадової особи місцевого самоврядування в органах місцевого самоврядування. Особи, які подали необхідні документи</w:t>
      </w:r>
      <w:r>
        <w:rPr>
          <w:color w:val="231F20"/>
          <w:spacing w:val="-11"/>
        </w:rPr>
        <w:t xml:space="preserve"> </w:t>
      </w:r>
      <w:r>
        <w:rPr>
          <w:color w:val="231F20"/>
        </w:rPr>
        <w:t>для</w:t>
      </w:r>
      <w:r>
        <w:rPr>
          <w:color w:val="231F20"/>
          <w:spacing w:val="-11"/>
        </w:rPr>
        <w:t xml:space="preserve"> </w:t>
      </w:r>
      <w:r>
        <w:rPr>
          <w:color w:val="231F20"/>
        </w:rPr>
        <w:t>участі</w:t>
      </w:r>
      <w:r>
        <w:rPr>
          <w:color w:val="231F20"/>
          <w:spacing w:val="-11"/>
        </w:rPr>
        <w:t xml:space="preserve"> </w:t>
      </w:r>
      <w:r>
        <w:rPr>
          <w:color w:val="231F20"/>
        </w:rPr>
        <w:t>в</w:t>
      </w:r>
      <w:r>
        <w:rPr>
          <w:color w:val="231F20"/>
          <w:spacing w:val="-11"/>
        </w:rPr>
        <w:t xml:space="preserve"> </w:t>
      </w:r>
      <w:r>
        <w:rPr>
          <w:color w:val="231F20"/>
        </w:rPr>
        <w:t>конкурсі,</w:t>
      </w:r>
      <w:r>
        <w:rPr>
          <w:color w:val="231F20"/>
          <w:spacing w:val="-11"/>
        </w:rPr>
        <w:t xml:space="preserve"> </w:t>
      </w:r>
      <w:r>
        <w:rPr>
          <w:color w:val="231F20"/>
        </w:rPr>
        <w:t>є</w:t>
      </w:r>
      <w:r>
        <w:rPr>
          <w:color w:val="231F20"/>
          <w:spacing w:val="-12"/>
        </w:rPr>
        <w:t xml:space="preserve"> </w:t>
      </w:r>
      <w:r>
        <w:rPr>
          <w:color w:val="231F20"/>
        </w:rPr>
        <w:t>кандидатами</w:t>
      </w:r>
      <w:r>
        <w:rPr>
          <w:color w:val="231F20"/>
          <w:spacing w:val="-11"/>
        </w:rPr>
        <w:t xml:space="preserve"> </w:t>
      </w:r>
      <w:r>
        <w:rPr>
          <w:color w:val="231F20"/>
        </w:rPr>
        <w:t>на</w:t>
      </w:r>
      <w:r>
        <w:rPr>
          <w:color w:val="231F20"/>
          <w:spacing w:val="-11"/>
        </w:rPr>
        <w:t xml:space="preserve"> </w:t>
      </w:r>
      <w:r>
        <w:rPr>
          <w:color w:val="231F20"/>
        </w:rPr>
        <w:t>зайняття</w:t>
      </w:r>
      <w:r>
        <w:rPr>
          <w:color w:val="231F20"/>
          <w:spacing w:val="-11"/>
        </w:rPr>
        <w:t xml:space="preserve"> </w:t>
      </w:r>
      <w:r>
        <w:rPr>
          <w:color w:val="231F20"/>
        </w:rPr>
        <w:t>вакант- ної посади посадової особи місцевого</w:t>
      </w:r>
      <w:r>
        <w:rPr>
          <w:color w:val="231F20"/>
          <w:spacing w:val="-1"/>
        </w:rPr>
        <w:t xml:space="preserve"> </w:t>
      </w:r>
      <w:r>
        <w:rPr>
          <w:color w:val="231F20"/>
        </w:rPr>
        <w:t>самоврядування.</w:t>
      </w:r>
    </w:p>
    <w:p w14:paraId="12D73808" w14:textId="77777777" w:rsidR="00DE575E" w:rsidRDefault="002E7560">
      <w:pPr>
        <w:spacing w:before="3"/>
        <w:ind w:left="533"/>
        <w:rPr>
          <w:i/>
          <w:sz w:val="21"/>
        </w:rPr>
      </w:pPr>
      <w:r>
        <w:rPr>
          <w:i/>
          <w:color w:val="231F20"/>
          <w:sz w:val="21"/>
        </w:rPr>
        <w:t>Конкурс проводиться поетапно:</w:t>
      </w:r>
    </w:p>
    <w:p w14:paraId="658D4DD1" w14:textId="77777777" w:rsidR="00DE575E" w:rsidRDefault="002E7560">
      <w:pPr>
        <w:pStyle w:val="ListParagraph"/>
        <w:numPr>
          <w:ilvl w:val="0"/>
          <w:numId w:val="88"/>
        </w:numPr>
        <w:tabs>
          <w:tab w:val="left" w:pos="818"/>
        </w:tabs>
        <w:spacing w:before="13" w:line="252" w:lineRule="auto"/>
        <w:ind w:right="410" w:firstLine="283"/>
        <w:jc w:val="both"/>
        <w:rPr>
          <w:sz w:val="21"/>
        </w:rPr>
      </w:pPr>
      <w:r>
        <w:rPr>
          <w:color w:val="231F20"/>
          <w:sz w:val="21"/>
        </w:rPr>
        <w:t>публікація оголошення органу місцевого самоврядування про проведення конкурсу у засобах масової</w:t>
      </w:r>
      <w:r>
        <w:rPr>
          <w:color w:val="231F20"/>
          <w:spacing w:val="-4"/>
          <w:sz w:val="21"/>
        </w:rPr>
        <w:t xml:space="preserve"> </w:t>
      </w:r>
      <w:r>
        <w:rPr>
          <w:color w:val="231F20"/>
          <w:sz w:val="21"/>
        </w:rPr>
        <w:t>інформації;</w:t>
      </w:r>
    </w:p>
    <w:p w14:paraId="78EF2CA1" w14:textId="77777777" w:rsidR="00DE575E" w:rsidRDefault="002E7560">
      <w:pPr>
        <w:pStyle w:val="ListParagraph"/>
        <w:numPr>
          <w:ilvl w:val="0"/>
          <w:numId w:val="88"/>
        </w:numPr>
        <w:tabs>
          <w:tab w:val="left" w:pos="818"/>
        </w:tabs>
        <w:spacing w:line="252" w:lineRule="auto"/>
        <w:ind w:right="410" w:firstLine="283"/>
        <w:jc w:val="both"/>
        <w:rPr>
          <w:sz w:val="21"/>
        </w:rPr>
      </w:pPr>
      <w:r>
        <w:rPr>
          <w:color w:val="231F20"/>
          <w:sz w:val="21"/>
        </w:rPr>
        <w:t xml:space="preserve">прийом  документів   від   осіб,   які   бажають   взяти   участь   у конкурсі, та їх попередній </w:t>
      </w:r>
      <w:r>
        <w:rPr>
          <w:color w:val="231F20"/>
          <w:spacing w:val="-3"/>
          <w:sz w:val="21"/>
        </w:rPr>
        <w:t xml:space="preserve">розгляд </w:t>
      </w:r>
      <w:r>
        <w:rPr>
          <w:color w:val="231F20"/>
          <w:sz w:val="21"/>
        </w:rPr>
        <w:t>на відповідн</w:t>
      </w:r>
      <w:r>
        <w:rPr>
          <w:color w:val="231F20"/>
          <w:sz w:val="21"/>
        </w:rPr>
        <w:t>ість встановленим кваліфікаційним вимогам до відповідного рівня</w:t>
      </w:r>
      <w:r>
        <w:rPr>
          <w:color w:val="231F20"/>
          <w:spacing w:val="-9"/>
          <w:sz w:val="21"/>
        </w:rPr>
        <w:t xml:space="preserve"> </w:t>
      </w:r>
      <w:r>
        <w:rPr>
          <w:color w:val="231F20"/>
          <w:sz w:val="21"/>
        </w:rPr>
        <w:t>посади;</w:t>
      </w:r>
    </w:p>
    <w:p w14:paraId="0A90174D" w14:textId="77777777" w:rsidR="00DE575E" w:rsidRDefault="002E7560">
      <w:pPr>
        <w:pStyle w:val="ListParagraph"/>
        <w:numPr>
          <w:ilvl w:val="0"/>
          <w:numId w:val="88"/>
        </w:numPr>
        <w:tabs>
          <w:tab w:val="left" w:pos="818"/>
        </w:tabs>
        <w:ind w:firstLine="283"/>
        <w:rPr>
          <w:sz w:val="21"/>
        </w:rPr>
      </w:pPr>
      <w:r>
        <w:rPr>
          <w:color w:val="231F20"/>
          <w:sz w:val="21"/>
        </w:rPr>
        <w:t>проведення іспиту та відбір</w:t>
      </w:r>
      <w:r>
        <w:rPr>
          <w:color w:val="231F20"/>
          <w:spacing w:val="-4"/>
          <w:sz w:val="21"/>
        </w:rPr>
        <w:t xml:space="preserve"> </w:t>
      </w:r>
      <w:r>
        <w:rPr>
          <w:color w:val="231F20"/>
          <w:sz w:val="21"/>
        </w:rPr>
        <w:t>кандидатів</w:t>
      </w:r>
      <w:r>
        <w:rPr>
          <w:color w:val="231F20"/>
          <w:position w:val="7"/>
          <w:sz w:val="12"/>
        </w:rPr>
        <w:t>1</w:t>
      </w:r>
      <w:r>
        <w:rPr>
          <w:color w:val="231F20"/>
          <w:sz w:val="21"/>
        </w:rPr>
        <w:t>.</w:t>
      </w:r>
    </w:p>
    <w:p w14:paraId="54DA8D5C" w14:textId="77777777" w:rsidR="00DE575E" w:rsidRDefault="002E7560">
      <w:pPr>
        <w:pStyle w:val="BodyText"/>
        <w:spacing w:before="13" w:line="252" w:lineRule="auto"/>
        <w:ind w:left="250" w:right="410" w:firstLine="283"/>
        <w:jc w:val="both"/>
      </w:pPr>
      <w:r>
        <w:rPr>
          <w:i/>
          <w:color w:val="231F20"/>
        </w:rPr>
        <w:t xml:space="preserve">Публікація оголошення </w:t>
      </w:r>
      <w:r>
        <w:rPr>
          <w:color w:val="231F20"/>
        </w:rPr>
        <w:t>про проведення конкурсу в засобах масо- вої інформації, в пресі або поширення його через інші офіційні засоби масової інформації здійснюється не пізніше ніж за місяць до початку</w:t>
      </w:r>
      <w:r>
        <w:rPr>
          <w:color w:val="231F20"/>
          <w:spacing w:val="-14"/>
        </w:rPr>
        <w:t xml:space="preserve"> </w:t>
      </w:r>
      <w:r>
        <w:rPr>
          <w:color w:val="231F20"/>
        </w:rPr>
        <w:t>конкурсу</w:t>
      </w:r>
      <w:r>
        <w:rPr>
          <w:color w:val="231F20"/>
          <w:spacing w:val="-14"/>
        </w:rPr>
        <w:t xml:space="preserve"> </w:t>
      </w:r>
      <w:r>
        <w:rPr>
          <w:color w:val="231F20"/>
        </w:rPr>
        <w:t>та</w:t>
      </w:r>
      <w:r>
        <w:rPr>
          <w:color w:val="231F20"/>
          <w:spacing w:val="-14"/>
        </w:rPr>
        <w:t xml:space="preserve"> </w:t>
      </w:r>
      <w:r>
        <w:rPr>
          <w:color w:val="231F20"/>
        </w:rPr>
        <w:t>доводиться</w:t>
      </w:r>
      <w:r>
        <w:rPr>
          <w:color w:val="231F20"/>
          <w:spacing w:val="-14"/>
        </w:rPr>
        <w:t xml:space="preserve"> </w:t>
      </w:r>
      <w:r>
        <w:rPr>
          <w:color w:val="231F20"/>
        </w:rPr>
        <w:t>до</w:t>
      </w:r>
      <w:r>
        <w:rPr>
          <w:color w:val="231F20"/>
          <w:spacing w:val="-14"/>
        </w:rPr>
        <w:t xml:space="preserve"> </w:t>
      </w:r>
      <w:r>
        <w:rPr>
          <w:color w:val="231F20"/>
        </w:rPr>
        <w:t>відома</w:t>
      </w:r>
      <w:r>
        <w:rPr>
          <w:color w:val="231F20"/>
          <w:spacing w:val="-14"/>
        </w:rPr>
        <w:t xml:space="preserve"> </w:t>
      </w:r>
      <w:r>
        <w:rPr>
          <w:color w:val="231F20"/>
        </w:rPr>
        <w:t>працівників</w:t>
      </w:r>
      <w:r>
        <w:rPr>
          <w:color w:val="231F20"/>
          <w:spacing w:val="-14"/>
        </w:rPr>
        <w:t xml:space="preserve"> </w:t>
      </w:r>
      <w:r>
        <w:rPr>
          <w:color w:val="231F20"/>
        </w:rPr>
        <w:t>органу</w:t>
      </w:r>
      <w:r>
        <w:rPr>
          <w:color w:val="231F20"/>
          <w:spacing w:val="-14"/>
        </w:rPr>
        <w:t xml:space="preserve"> </w:t>
      </w:r>
      <w:r>
        <w:rPr>
          <w:color w:val="231F20"/>
        </w:rPr>
        <w:t>місце- вого</w:t>
      </w:r>
      <w:r>
        <w:rPr>
          <w:color w:val="231F20"/>
          <w:spacing w:val="-11"/>
        </w:rPr>
        <w:t xml:space="preserve"> </w:t>
      </w:r>
      <w:r>
        <w:rPr>
          <w:color w:val="231F20"/>
        </w:rPr>
        <w:t>самоврядування</w:t>
      </w:r>
      <w:r>
        <w:rPr>
          <w:color w:val="231F20"/>
        </w:rPr>
        <w:t>,</w:t>
      </w:r>
      <w:r>
        <w:rPr>
          <w:color w:val="231F20"/>
          <w:spacing w:val="-11"/>
        </w:rPr>
        <w:t xml:space="preserve"> </w:t>
      </w:r>
      <w:r>
        <w:rPr>
          <w:color w:val="231F20"/>
        </w:rPr>
        <w:t>у</w:t>
      </w:r>
      <w:r>
        <w:rPr>
          <w:color w:val="231F20"/>
          <w:spacing w:val="-11"/>
        </w:rPr>
        <w:t xml:space="preserve"> </w:t>
      </w:r>
      <w:r>
        <w:rPr>
          <w:color w:val="231F20"/>
        </w:rPr>
        <w:t>якому</w:t>
      </w:r>
      <w:r>
        <w:rPr>
          <w:color w:val="231F20"/>
          <w:spacing w:val="-11"/>
        </w:rPr>
        <w:t xml:space="preserve"> </w:t>
      </w:r>
      <w:r>
        <w:rPr>
          <w:color w:val="231F20"/>
        </w:rPr>
        <w:t>оголошується</w:t>
      </w:r>
      <w:r>
        <w:rPr>
          <w:color w:val="231F20"/>
          <w:spacing w:val="-11"/>
        </w:rPr>
        <w:t xml:space="preserve"> </w:t>
      </w:r>
      <w:r>
        <w:rPr>
          <w:color w:val="231F20"/>
        </w:rPr>
        <w:t>конкурс.</w:t>
      </w:r>
      <w:r>
        <w:rPr>
          <w:color w:val="231F20"/>
          <w:spacing w:val="-11"/>
        </w:rPr>
        <w:t xml:space="preserve"> </w:t>
      </w:r>
      <w:r>
        <w:rPr>
          <w:color w:val="231F20"/>
        </w:rPr>
        <w:t>При</w:t>
      </w:r>
      <w:r>
        <w:rPr>
          <w:color w:val="231F20"/>
          <w:spacing w:val="-11"/>
        </w:rPr>
        <w:t xml:space="preserve"> </w:t>
      </w:r>
      <w:r>
        <w:rPr>
          <w:color w:val="231F20"/>
        </w:rPr>
        <w:t xml:space="preserve">заміщенні вакантних посад, призначення на які відповідно до законів, актів Президента </w:t>
      </w:r>
      <w:r>
        <w:rPr>
          <w:color w:val="231F20"/>
          <w:spacing w:val="-3"/>
        </w:rPr>
        <w:t xml:space="preserve">України </w:t>
      </w:r>
      <w:r>
        <w:rPr>
          <w:color w:val="231F20"/>
        </w:rPr>
        <w:t xml:space="preserve">та  Кабінету  Міністрів  </w:t>
      </w:r>
      <w:r>
        <w:rPr>
          <w:color w:val="231F20"/>
          <w:spacing w:val="-3"/>
        </w:rPr>
        <w:t xml:space="preserve">України  </w:t>
      </w:r>
      <w:r>
        <w:rPr>
          <w:color w:val="231F20"/>
        </w:rPr>
        <w:t>здійснюється за іншою процедурою, а також у разі ухвалення сільським головою рішення про при</w:t>
      </w:r>
      <w:r>
        <w:rPr>
          <w:color w:val="231F20"/>
        </w:rPr>
        <w:t>значення осіб у межах одного органу місцевого самоврядування конкурс не</w:t>
      </w:r>
      <w:r>
        <w:rPr>
          <w:color w:val="231F20"/>
          <w:spacing w:val="-2"/>
        </w:rPr>
        <w:t xml:space="preserve"> </w:t>
      </w:r>
      <w:r>
        <w:rPr>
          <w:color w:val="231F20"/>
        </w:rPr>
        <w:t>оголошується.</w:t>
      </w:r>
    </w:p>
    <w:p w14:paraId="5F6DD896" w14:textId="77777777" w:rsidR="00DE575E" w:rsidRDefault="002E7560">
      <w:pPr>
        <w:pStyle w:val="BodyText"/>
        <w:spacing w:before="5" w:line="252" w:lineRule="auto"/>
        <w:ind w:left="250" w:right="410" w:firstLine="283"/>
        <w:jc w:val="both"/>
      </w:pPr>
      <w:r>
        <w:rPr>
          <w:color w:val="231F20"/>
        </w:rPr>
        <w:t xml:space="preserve">Іспит проводиться конкурсною комісією з метою </w:t>
      </w:r>
      <w:r>
        <w:rPr>
          <w:color w:val="231F20"/>
          <w:spacing w:val="-3"/>
        </w:rPr>
        <w:t xml:space="preserve">об’єктивного </w:t>
      </w:r>
      <w:r>
        <w:rPr>
          <w:color w:val="231F20"/>
        </w:rPr>
        <w:t>оцінювання знань і здібностей кандидатів на посаду посадової особи місцевого самоврядування. Кадрова служба орг</w:t>
      </w:r>
      <w:r>
        <w:rPr>
          <w:color w:val="231F20"/>
        </w:rPr>
        <w:t xml:space="preserve">ану місце- вого самоврядування за погодженням з головою конкурсної комі- сії визначає дату проведення іспиту та повідомляє кандидатів про місце і час його проведення. Під час іспиту перевіряються знання Конституції </w:t>
      </w:r>
      <w:r>
        <w:rPr>
          <w:color w:val="231F20"/>
          <w:spacing w:val="-3"/>
        </w:rPr>
        <w:t xml:space="preserve">України, </w:t>
      </w:r>
      <w:r>
        <w:rPr>
          <w:color w:val="231F20"/>
        </w:rPr>
        <w:t xml:space="preserve">законів </w:t>
      </w:r>
      <w:r>
        <w:rPr>
          <w:color w:val="231F20"/>
          <w:spacing w:val="-3"/>
        </w:rPr>
        <w:t xml:space="preserve">України </w:t>
      </w:r>
      <w:r>
        <w:rPr>
          <w:color w:val="231F20"/>
        </w:rPr>
        <w:t>«Про службу в ор</w:t>
      </w:r>
      <w:r>
        <w:rPr>
          <w:color w:val="231F20"/>
        </w:rPr>
        <w:t>ганах місце- вого самоврядування» та «Про запобігання корупції», а також зако- нодавства з урахуванням специфіки функціональних повноважень органу місцевого самоврядування та його структурних</w:t>
      </w:r>
      <w:r>
        <w:rPr>
          <w:color w:val="231F20"/>
          <w:spacing w:val="-8"/>
        </w:rPr>
        <w:t xml:space="preserve"> </w:t>
      </w:r>
      <w:r>
        <w:rPr>
          <w:color w:val="231F20"/>
        </w:rPr>
        <w:t>підрозділів.</w:t>
      </w:r>
    </w:p>
    <w:p w14:paraId="141AEE5A" w14:textId="77777777" w:rsidR="00DE575E" w:rsidRDefault="002E7560">
      <w:pPr>
        <w:pStyle w:val="BodyText"/>
        <w:spacing w:before="5" w:line="252" w:lineRule="auto"/>
        <w:ind w:left="250" w:right="412" w:firstLine="283"/>
        <w:jc w:val="both"/>
      </w:pPr>
      <w:r>
        <w:rPr>
          <w:i/>
          <w:color w:val="231F20"/>
        </w:rPr>
        <w:t xml:space="preserve">Конкурсна комісія </w:t>
      </w:r>
      <w:r>
        <w:rPr>
          <w:color w:val="231F20"/>
        </w:rPr>
        <w:t>на підставі розгляду поданих доку</w:t>
      </w:r>
      <w:r>
        <w:rPr>
          <w:color w:val="231F20"/>
        </w:rPr>
        <w:t>ментів, результатів іспиту та співбесіди з кандидатами, які успішно склали</w:t>
      </w:r>
    </w:p>
    <w:p w14:paraId="6836AFD6" w14:textId="77777777" w:rsidR="00DE575E" w:rsidRDefault="00DE575E">
      <w:pPr>
        <w:pStyle w:val="BodyText"/>
        <w:rPr>
          <w:sz w:val="20"/>
        </w:rPr>
      </w:pPr>
    </w:p>
    <w:p w14:paraId="150486FA" w14:textId="4C1CBDC5" w:rsidR="00DE575E" w:rsidRDefault="002E7560">
      <w:pPr>
        <w:pStyle w:val="BodyText"/>
        <w:spacing w:before="9"/>
        <w:rPr>
          <w:sz w:val="12"/>
        </w:rPr>
      </w:pPr>
      <w:r>
        <w:rPr>
          <w:noProof/>
        </w:rPr>
        <mc:AlternateContent>
          <mc:Choice Requires="wps">
            <w:drawing>
              <wp:anchor distT="0" distB="0" distL="0" distR="0" simplePos="0" relativeHeight="15424" behindDoc="0" locked="0" layoutInCell="1" allowOverlap="1" wp14:anchorId="07C4460B" wp14:editId="4A557956">
                <wp:simplePos x="0" y="0"/>
                <wp:positionH relativeFrom="page">
                  <wp:posOffset>539750</wp:posOffset>
                </wp:positionH>
                <wp:positionV relativeFrom="paragraph">
                  <wp:posOffset>122555</wp:posOffset>
                </wp:positionV>
                <wp:extent cx="1080135" cy="0"/>
                <wp:effectExtent l="6350" t="8255" r="31115" b="29845"/>
                <wp:wrapTopAndBottom/>
                <wp:docPr id="41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F5E20" id="Line_x0020_415" o:spid="_x0000_s1026" style="position:absolute;z-index:1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65pt" to="127.55pt,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TsbyI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" strokecolor="#231f20" strokeweight=".5pt">
                <w10:wrap type="topAndBottom" anchorx="page"/>
              </v:line>
            </w:pict>
          </mc:Fallback>
        </mc:AlternateContent>
      </w:r>
    </w:p>
    <w:p w14:paraId="69BADD50" w14:textId="77777777" w:rsidR="00DE575E" w:rsidRDefault="002E7560">
      <w:pPr>
        <w:spacing w:line="204" w:lineRule="auto"/>
        <w:ind w:left="250" w:right="521"/>
        <w:rPr>
          <w:sz w:val="16"/>
        </w:rPr>
      </w:pPr>
      <w:r>
        <w:rPr>
          <w:color w:val="231F20"/>
          <w:position w:val="5"/>
          <w:sz w:val="9"/>
        </w:rPr>
        <w:t xml:space="preserve">1 </w:t>
      </w:r>
      <w:r>
        <w:rPr>
          <w:color w:val="231F20"/>
          <w:sz w:val="16"/>
        </w:rPr>
        <w:t>Федченко Л. Служба в ОМС : прийняття та звільнення. Методичні рекомендації та зразки документів. Київ. 2018. 43</w:t>
      </w:r>
      <w:r>
        <w:rPr>
          <w:color w:val="231F20"/>
          <w:spacing w:val="-3"/>
          <w:sz w:val="16"/>
        </w:rPr>
        <w:t xml:space="preserve"> </w:t>
      </w:r>
      <w:r>
        <w:rPr>
          <w:color w:val="231F20"/>
          <w:sz w:val="16"/>
        </w:rPr>
        <w:t>с.</w:t>
      </w:r>
    </w:p>
    <w:p w14:paraId="40C9449E" w14:textId="77777777" w:rsidR="00DE575E" w:rsidRDefault="00DE575E">
      <w:pPr>
        <w:pStyle w:val="BodyText"/>
        <w:spacing w:before="1"/>
        <w:rPr>
          <w:sz w:val="12"/>
        </w:rPr>
      </w:pPr>
    </w:p>
    <w:p w14:paraId="045A3339" w14:textId="77777777" w:rsidR="00DE575E" w:rsidRDefault="002E7560">
      <w:pPr>
        <w:spacing w:before="92"/>
        <w:ind w:right="411"/>
        <w:jc w:val="right"/>
        <w:rPr>
          <w:rFonts w:ascii="Times New Roman"/>
          <w:sz w:val="20"/>
        </w:rPr>
      </w:pPr>
      <w:r>
        <w:rPr>
          <w:rFonts w:ascii="Times New Roman"/>
          <w:color w:val="231F20"/>
          <w:w w:val="90"/>
          <w:sz w:val="20"/>
        </w:rPr>
        <w:t>393</w:t>
      </w:r>
    </w:p>
    <w:p w14:paraId="136BD2A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A7DD67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8998619" w14:textId="39CB6E7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FBFD676" wp14:editId="4FCE5623">
                <wp:extent cx="4140200" cy="6350"/>
                <wp:effectExtent l="0" t="0" r="12700" b="6350"/>
                <wp:docPr id="414"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15" name="Line 4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2C2315" id="Group_x0020_4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tQX4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7J+tQX4CAACYBQAADgAA&#10;AAAAAAAAAAAAAAAsAgAAZHJzL2Uyb0RvYy54bWxQSwECLQAUAAYACAAAACEATKewkNkAAAADAQAA&#10;DwAAAAAAAAAAAAAAAADWBAAAZHJzL2Rvd25yZXYueG1sUEsFBgAAAAAEAAQA8wAAANwFAAAAAA==&#10;">
                <v:line id="Line_x0020_4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TftMYAAADcAAAADwAAAGRycy9kb3ducmV2LnhtbESP0WrCQBRE3wX/YblCX4purFUkuooI&#10;hdIHbY0fcM1ek+Du3ZhdTdqv7xYKPg4zc4ZZrjtrxJ0aXzlWMB4lIIhzpysuFByzt+EchA/IGo1j&#10;UvBNHtarfm+JqXYtf9H9EAoRIexTVFCGUKdS+rwki37kauLonV1jMUTZFFI32Ea4NfIlSWbSYsVx&#10;ocSatiXll8PNKsiuz8F87j9Mm+1PE3m67iY/t51ST4NuswARqAuP8H/7XSt4HU/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9E37TGAAAA3AAAAA8AAAAAAAAA&#10;AAAAAAAAoQIAAGRycy9kb3ducmV2LnhtbFBLBQYAAAAABAAEAPkAAACUAwAAAAA=&#10;" strokecolor="#231f20" strokeweight=".5pt"/>
                <w10:anchorlock/>
              </v:group>
            </w:pict>
          </mc:Fallback>
        </mc:AlternateContent>
      </w:r>
    </w:p>
    <w:p w14:paraId="74BA3203" w14:textId="77777777" w:rsidR="00DE575E" w:rsidRDefault="00DE575E">
      <w:pPr>
        <w:pStyle w:val="BodyText"/>
        <w:spacing w:before="7"/>
        <w:rPr>
          <w:rFonts w:ascii="AdonisC"/>
          <w:i/>
          <w:sz w:val="11"/>
        </w:rPr>
      </w:pPr>
    </w:p>
    <w:p w14:paraId="261DA17D" w14:textId="77777777" w:rsidR="00DE575E" w:rsidRDefault="002E7560">
      <w:pPr>
        <w:pStyle w:val="BodyText"/>
        <w:spacing w:before="101" w:line="252" w:lineRule="auto"/>
        <w:ind w:left="533" w:right="125"/>
        <w:jc w:val="both"/>
      </w:pPr>
      <w:r>
        <w:rPr>
          <w:color w:val="231F20"/>
          <w:spacing w:val="-3"/>
        </w:rPr>
        <w:t xml:space="preserve">іспит, </w:t>
      </w:r>
      <w:r>
        <w:rPr>
          <w:color w:val="231F20"/>
        </w:rPr>
        <w:t xml:space="preserve">на своєму засіданні здійснює відбір осіб для зайняття вакант- них посад посадових осіб місцевого самоврядування. Інші канди- дати, які успішно склали </w:t>
      </w:r>
      <w:r>
        <w:rPr>
          <w:color w:val="231F20"/>
          <w:spacing w:val="-3"/>
        </w:rPr>
        <w:t xml:space="preserve">іспит, </w:t>
      </w:r>
      <w:r>
        <w:rPr>
          <w:color w:val="231F20"/>
        </w:rPr>
        <w:t xml:space="preserve">але не </w:t>
      </w:r>
      <w:r>
        <w:rPr>
          <w:color w:val="231F20"/>
          <w:spacing w:val="-3"/>
        </w:rPr>
        <w:t xml:space="preserve">були </w:t>
      </w:r>
      <w:r>
        <w:rPr>
          <w:color w:val="231F20"/>
        </w:rPr>
        <w:t>відібрані для</w:t>
      </w:r>
      <w:r>
        <w:rPr>
          <w:color w:val="231F20"/>
        </w:rPr>
        <w:t xml:space="preserve"> призна- чення на посади, у разі їх згоди, за рішенням конкурсної комісії можуть бути рекомендовані для зарахування до кадрового резерву органу місцевого самоврядування і протягом року прийняті на вакантну рівнозначну або нижчу посаду без повторного </w:t>
      </w:r>
      <w:r>
        <w:rPr>
          <w:color w:val="231F20"/>
          <w:spacing w:val="-3"/>
        </w:rPr>
        <w:t>конкур</w:t>
      </w:r>
      <w:r>
        <w:rPr>
          <w:color w:val="231F20"/>
          <w:spacing w:val="-3"/>
        </w:rPr>
        <w:t xml:space="preserve">су. </w:t>
      </w:r>
      <w:r>
        <w:rPr>
          <w:color w:val="231F20"/>
        </w:rPr>
        <w:t xml:space="preserve">Якщо за </w:t>
      </w:r>
      <w:r>
        <w:rPr>
          <w:color w:val="231F20"/>
          <w:spacing w:val="-3"/>
        </w:rPr>
        <w:t xml:space="preserve">результатами </w:t>
      </w:r>
      <w:r>
        <w:rPr>
          <w:color w:val="231F20"/>
        </w:rPr>
        <w:t xml:space="preserve">конкурсу не відібрано жодного з кандидатів для призначення на </w:t>
      </w:r>
      <w:r>
        <w:rPr>
          <w:color w:val="231F20"/>
          <w:spacing w:val="-3"/>
        </w:rPr>
        <w:t xml:space="preserve">посаду, </w:t>
      </w:r>
      <w:r>
        <w:rPr>
          <w:color w:val="231F20"/>
        </w:rPr>
        <w:t>конкурсна комісія не може рекоменду- вати</w:t>
      </w:r>
      <w:r>
        <w:rPr>
          <w:color w:val="231F20"/>
          <w:spacing w:val="-10"/>
        </w:rPr>
        <w:t xml:space="preserve"> </w:t>
      </w:r>
      <w:r>
        <w:rPr>
          <w:color w:val="231F20"/>
        </w:rPr>
        <w:t>цих</w:t>
      </w:r>
      <w:r>
        <w:rPr>
          <w:color w:val="231F20"/>
          <w:spacing w:val="-10"/>
        </w:rPr>
        <w:t xml:space="preserve"> </w:t>
      </w:r>
      <w:r>
        <w:rPr>
          <w:color w:val="231F20"/>
        </w:rPr>
        <w:t>кандидатів</w:t>
      </w:r>
      <w:r>
        <w:rPr>
          <w:color w:val="231F20"/>
          <w:spacing w:val="-10"/>
        </w:rPr>
        <w:t xml:space="preserve"> </w:t>
      </w:r>
      <w:r>
        <w:rPr>
          <w:color w:val="231F20"/>
        </w:rPr>
        <w:t>до</w:t>
      </w:r>
      <w:r>
        <w:rPr>
          <w:color w:val="231F20"/>
          <w:spacing w:val="-10"/>
        </w:rPr>
        <w:t xml:space="preserve"> </w:t>
      </w:r>
      <w:r>
        <w:rPr>
          <w:color w:val="231F20"/>
        </w:rPr>
        <w:t>кадрового</w:t>
      </w:r>
      <w:r>
        <w:rPr>
          <w:color w:val="231F20"/>
          <w:spacing w:val="-10"/>
        </w:rPr>
        <w:t xml:space="preserve"> </w:t>
      </w:r>
      <w:r>
        <w:rPr>
          <w:color w:val="231F20"/>
          <w:spacing w:val="-3"/>
        </w:rPr>
        <w:t>резерву.</w:t>
      </w:r>
      <w:r>
        <w:rPr>
          <w:color w:val="231F20"/>
          <w:spacing w:val="-10"/>
        </w:rPr>
        <w:t xml:space="preserve"> </w:t>
      </w:r>
      <w:r>
        <w:rPr>
          <w:color w:val="231F20"/>
        </w:rPr>
        <w:t>Якщо</w:t>
      </w:r>
      <w:r>
        <w:rPr>
          <w:color w:val="231F20"/>
          <w:spacing w:val="-10"/>
        </w:rPr>
        <w:t xml:space="preserve"> </w:t>
      </w:r>
      <w:r>
        <w:rPr>
          <w:color w:val="231F20"/>
        </w:rPr>
        <w:t>жоден</w:t>
      </w:r>
      <w:r>
        <w:rPr>
          <w:color w:val="231F20"/>
          <w:spacing w:val="-10"/>
        </w:rPr>
        <w:t xml:space="preserve"> </w:t>
      </w:r>
      <w:r>
        <w:rPr>
          <w:color w:val="231F20"/>
        </w:rPr>
        <w:t>з</w:t>
      </w:r>
      <w:r>
        <w:rPr>
          <w:color w:val="231F20"/>
          <w:spacing w:val="-10"/>
        </w:rPr>
        <w:t xml:space="preserve"> </w:t>
      </w:r>
      <w:r>
        <w:rPr>
          <w:color w:val="231F20"/>
        </w:rPr>
        <w:t>кандидатів не рекомендований конкурсною комісією для зайняття вакантної посади посадової особи місцевого самоврядування, оголошується повторний конкурс. Слід наголосити, що рішення конкурсної</w:t>
      </w:r>
      <w:r>
        <w:rPr>
          <w:color w:val="231F20"/>
          <w:spacing w:val="-33"/>
        </w:rPr>
        <w:t xml:space="preserve"> </w:t>
      </w:r>
      <w:r>
        <w:rPr>
          <w:color w:val="231F20"/>
        </w:rPr>
        <w:t xml:space="preserve">комісії (як і в державній службі) не є юридичним імперативом, а </w:t>
      </w:r>
      <w:r>
        <w:rPr>
          <w:color w:val="231F20"/>
        </w:rPr>
        <w:t xml:space="preserve">має реко- мендаційний характер для </w:t>
      </w:r>
      <w:r>
        <w:rPr>
          <w:color w:val="231F20"/>
          <w:spacing w:val="-3"/>
        </w:rPr>
        <w:t xml:space="preserve">суб’єкта </w:t>
      </w:r>
      <w:r>
        <w:rPr>
          <w:color w:val="231F20"/>
        </w:rPr>
        <w:t>призначення.</w:t>
      </w:r>
    </w:p>
    <w:p w14:paraId="59C910C0" w14:textId="77777777" w:rsidR="00DE575E" w:rsidRDefault="002E7560">
      <w:pPr>
        <w:pStyle w:val="BodyText"/>
        <w:spacing w:before="7" w:line="252" w:lineRule="auto"/>
        <w:ind w:left="533" w:right="127" w:firstLine="283"/>
        <w:jc w:val="both"/>
      </w:pPr>
      <w:r>
        <w:rPr>
          <w:color w:val="231F20"/>
        </w:rPr>
        <w:t>У свою  чергу  переведення  на  рівнозначну  або  нижчу  посаду  в органах місцевого самоврядування, а також просування по службі посадових осіб місцевого самоврядування, які зараховані до кадро- вог</w:t>
      </w:r>
      <w:r>
        <w:rPr>
          <w:color w:val="231F20"/>
        </w:rPr>
        <w:t xml:space="preserve">о резерву чи успішно пройшли стажування у </w:t>
      </w:r>
      <w:r>
        <w:rPr>
          <w:color w:val="231F20"/>
          <w:spacing w:val="-3"/>
        </w:rPr>
        <w:t xml:space="preserve">порядку, </w:t>
      </w:r>
      <w:r>
        <w:rPr>
          <w:color w:val="231F20"/>
        </w:rPr>
        <w:t xml:space="preserve">визначе- ному Кабінетом Міністрів </w:t>
      </w:r>
      <w:r>
        <w:rPr>
          <w:color w:val="231F20"/>
          <w:spacing w:val="-3"/>
        </w:rPr>
        <w:t xml:space="preserve">України, </w:t>
      </w:r>
      <w:r>
        <w:rPr>
          <w:color w:val="231F20"/>
        </w:rPr>
        <w:t xml:space="preserve">може здійснюватися без конкур- сного </w:t>
      </w:r>
      <w:r>
        <w:rPr>
          <w:color w:val="231F20"/>
          <w:spacing w:val="-3"/>
        </w:rPr>
        <w:t xml:space="preserve">відбору. </w:t>
      </w:r>
      <w:r>
        <w:rPr>
          <w:color w:val="231F20"/>
        </w:rPr>
        <w:t>Поряд із зазначеним не слід забувати, що голови районних, районних у містах, обласних рад, Київський та Севасто- пол</w:t>
      </w:r>
      <w:r>
        <w:rPr>
          <w:color w:val="231F20"/>
        </w:rPr>
        <w:t>ьський міський голова та міські голови (міст обласного і респу- бліканського в Автономній Республіці Крим значення) мають право самостійно (без конкурсу) добирати та приймати на службу своїх помічників, радників, тобто патронатну</w:t>
      </w:r>
      <w:r>
        <w:rPr>
          <w:color w:val="231F20"/>
          <w:spacing w:val="-2"/>
        </w:rPr>
        <w:t xml:space="preserve"> </w:t>
      </w:r>
      <w:r>
        <w:rPr>
          <w:color w:val="231F20"/>
          <w:spacing w:val="-3"/>
        </w:rPr>
        <w:t>службу.</w:t>
      </w:r>
    </w:p>
    <w:p w14:paraId="11947583" w14:textId="77777777" w:rsidR="00DE575E" w:rsidRDefault="002E7560">
      <w:pPr>
        <w:pStyle w:val="BodyText"/>
        <w:spacing w:before="5" w:line="252" w:lineRule="auto"/>
        <w:ind w:left="533" w:right="127" w:firstLine="283"/>
        <w:jc w:val="both"/>
      </w:pPr>
      <w:r>
        <w:rPr>
          <w:color w:val="231F20"/>
        </w:rPr>
        <w:t>Слід також нагадат</w:t>
      </w:r>
      <w:r>
        <w:rPr>
          <w:color w:val="231F20"/>
        </w:rPr>
        <w:t>и, що особи, які вступають на службу в органи місцевого самоврядування вперше, мають скласти Присягу поса- дової особи місцевого самоврядування, і про цей факт має бути внесено відповідний запис в трудову книжку або відповідно відо- бражено в електронній б</w:t>
      </w:r>
      <w:r>
        <w:rPr>
          <w:color w:val="231F20"/>
        </w:rPr>
        <w:t>азі чи ліцензійній програмі загальнодер- жавного рівня.</w:t>
      </w:r>
    </w:p>
    <w:p w14:paraId="076CDB50" w14:textId="77777777" w:rsidR="00DE575E" w:rsidRDefault="002E7560">
      <w:pPr>
        <w:pStyle w:val="BodyText"/>
        <w:spacing w:before="3" w:line="252" w:lineRule="auto"/>
        <w:ind w:left="533" w:right="127" w:firstLine="283"/>
        <w:jc w:val="both"/>
      </w:pPr>
      <w:r>
        <w:rPr>
          <w:color w:val="231F20"/>
        </w:rPr>
        <w:t>Окрім</w:t>
      </w:r>
      <w:r>
        <w:rPr>
          <w:color w:val="231F20"/>
          <w:spacing w:val="-12"/>
        </w:rPr>
        <w:t xml:space="preserve"> </w:t>
      </w:r>
      <w:r>
        <w:rPr>
          <w:color w:val="231F20"/>
        </w:rPr>
        <w:t>власне</w:t>
      </w:r>
      <w:r>
        <w:rPr>
          <w:color w:val="231F20"/>
          <w:spacing w:val="-12"/>
        </w:rPr>
        <w:t xml:space="preserve"> </w:t>
      </w:r>
      <w:r>
        <w:rPr>
          <w:color w:val="231F20"/>
        </w:rPr>
        <w:t>конкурсної</w:t>
      </w:r>
      <w:r>
        <w:rPr>
          <w:color w:val="231F20"/>
          <w:spacing w:val="-12"/>
        </w:rPr>
        <w:t xml:space="preserve"> </w:t>
      </w:r>
      <w:r>
        <w:rPr>
          <w:color w:val="231F20"/>
        </w:rPr>
        <w:t>процедури</w:t>
      </w:r>
      <w:r>
        <w:rPr>
          <w:color w:val="231F20"/>
          <w:spacing w:val="-12"/>
        </w:rPr>
        <w:t xml:space="preserve"> </w:t>
      </w:r>
      <w:r>
        <w:rPr>
          <w:color w:val="231F20"/>
        </w:rPr>
        <w:t>в</w:t>
      </w:r>
      <w:r>
        <w:rPr>
          <w:color w:val="231F20"/>
          <w:spacing w:val="-12"/>
        </w:rPr>
        <w:t xml:space="preserve"> </w:t>
      </w:r>
      <w:r>
        <w:rPr>
          <w:color w:val="231F20"/>
        </w:rPr>
        <w:t>органах</w:t>
      </w:r>
      <w:r>
        <w:rPr>
          <w:color w:val="231F20"/>
          <w:spacing w:val="-12"/>
        </w:rPr>
        <w:t xml:space="preserve"> </w:t>
      </w:r>
      <w:r>
        <w:rPr>
          <w:color w:val="231F20"/>
        </w:rPr>
        <w:t>місцевого</w:t>
      </w:r>
      <w:r>
        <w:rPr>
          <w:color w:val="231F20"/>
          <w:spacing w:val="-12"/>
        </w:rPr>
        <w:t xml:space="preserve"> </w:t>
      </w:r>
      <w:r>
        <w:rPr>
          <w:color w:val="231F20"/>
        </w:rPr>
        <w:t>самовря- дування</w:t>
      </w:r>
      <w:r>
        <w:rPr>
          <w:color w:val="231F20"/>
          <w:spacing w:val="-7"/>
        </w:rPr>
        <w:t xml:space="preserve"> </w:t>
      </w:r>
      <w:r>
        <w:rPr>
          <w:color w:val="231F20"/>
        </w:rPr>
        <w:t>серед</w:t>
      </w:r>
      <w:r>
        <w:rPr>
          <w:color w:val="231F20"/>
          <w:spacing w:val="-7"/>
        </w:rPr>
        <w:t xml:space="preserve"> </w:t>
      </w:r>
      <w:r>
        <w:rPr>
          <w:color w:val="231F20"/>
        </w:rPr>
        <w:t>способів</w:t>
      </w:r>
      <w:r>
        <w:rPr>
          <w:color w:val="231F20"/>
          <w:spacing w:val="-7"/>
        </w:rPr>
        <w:t xml:space="preserve"> </w:t>
      </w:r>
      <w:r>
        <w:rPr>
          <w:color w:val="231F20"/>
        </w:rPr>
        <w:t>заміщення</w:t>
      </w:r>
      <w:r>
        <w:rPr>
          <w:color w:val="231F20"/>
          <w:spacing w:val="-7"/>
        </w:rPr>
        <w:t xml:space="preserve"> </w:t>
      </w:r>
      <w:r>
        <w:rPr>
          <w:color w:val="231F20"/>
        </w:rPr>
        <w:t>вакантних</w:t>
      </w:r>
      <w:r>
        <w:rPr>
          <w:color w:val="231F20"/>
          <w:spacing w:val="-7"/>
        </w:rPr>
        <w:t xml:space="preserve"> </w:t>
      </w:r>
      <w:r>
        <w:rPr>
          <w:color w:val="231F20"/>
        </w:rPr>
        <w:t>посад</w:t>
      </w:r>
      <w:r>
        <w:rPr>
          <w:color w:val="231F20"/>
          <w:spacing w:val="-7"/>
        </w:rPr>
        <w:t xml:space="preserve"> </w:t>
      </w:r>
      <w:r>
        <w:rPr>
          <w:color w:val="231F20"/>
        </w:rPr>
        <w:t>можна</w:t>
      </w:r>
      <w:r>
        <w:rPr>
          <w:color w:val="231F20"/>
          <w:spacing w:val="-7"/>
        </w:rPr>
        <w:t xml:space="preserve"> </w:t>
      </w:r>
      <w:r>
        <w:rPr>
          <w:color w:val="231F20"/>
        </w:rPr>
        <w:t>виділити вибори та безпосереднє</w:t>
      </w:r>
      <w:r>
        <w:rPr>
          <w:color w:val="231F20"/>
          <w:spacing w:val="-4"/>
        </w:rPr>
        <w:t xml:space="preserve"> </w:t>
      </w:r>
      <w:r>
        <w:rPr>
          <w:color w:val="231F20"/>
        </w:rPr>
        <w:t>призначення.</w:t>
      </w:r>
    </w:p>
    <w:p w14:paraId="762652CB" w14:textId="77777777" w:rsidR="00DE575E" w:rsidRDefault="002E7560">
      <w:pPr>
        <w:spacing w:before="2" w:line="252" w:lineRule="auto"/>
        <w:ind w:left="533" w:right="128" w:firstLine="283"/>
        <w:jc w:val="both"/>
        <w:rPr>
          <w:i/>
          <w:sz w:val="21"/>
        </w:rPr>
      </w:pPr>
      <w:r>
        <w:rPr>
          <w:i/>
          <w:color w:val="231F20"/>
          <w:sz w:val="21"/>
        </w:rPr>
        <w:t>Як уже зазначалося, спосіб прийняття на службу в органах місце- вого самоврядування залежить від виду посади:</w:t>
      </w:r>
    </w:p>
    <w:p w14:paraId="37432192" w14:textId="77777777" w:rsidR="00DE575E" w:rsidRDefault="002E7560">
      <w:pPr>
        <w:pStyle w:val="BodyText"/>
        <w:spacing w:before="1" w:line="252" w:lineRule="auto"/>
        <w:ind w:left="533" w:right="125" w:firstLine="283"/>
        <w:jc w:val="both"/>
      </w:pPr>
      <w:r>
        <w:rPr>
          <w:color w:val="231F20"/>
        </w:rPr>
        <w:t>1) виборна посада, на яку особу обирає територіальна громада (сільський, селищний, міський голова);</w:t>
      </w:r>
    </w:p>
    <w:p w14:paraId="256BA034" w14:textId="77777777" w:rsidR="00DE575E" w:rsidRDefault="00DE575E">
      <w:pPr>
        <w:pStyle w:val="BodyText"/>
        <w:spacing w:before="5"/>
        <w:rPr>
          <w:sz w:val="12"/>
        </w:rPr>
      </w:pPr>
    </w:p>
    <w:p w14:paraId="2CEDAD47" w14:textId="77777777" w:rsidR="00DE575E" w:rsidRDefault="002E7560">
      <w:pPr>
        <w:spacing w:before="92"/>
        <w:ind w:left="533"/>
        <w:rPr>
          <w:rFonts w:ascii="Times New Roman"/>
          <w:sz w:val="20"/>
        </w:rPr>
      </w:pPr>
      <w:r>
        <w:rPr>
          <w:rFonts w:ascii="Times New Roman"/>
          <w:color w:val="231F20"/>
          <w:sz w:val="20"/>
        </w:rPr>
        <w:t>394</w:t>
      </w:r>
    </w:p>
    <w:p w14:paraId="351D5416" w14:textId="77777777" w:rsidR="00DE575E" w:rsidRDefault="00DE575E">
      <w:pPr>
        <w:rPr>
          <w:rFonts w:ascii="Times New Roman"/>
          <w:sz w:val="20"/>
        </w:rPr>
        <w:sectPr w:rsidR="00DE575E">
          <w:pgSz w:w="8510" w:h="12760"/>
          <w:pgMar w:top="660" w:right="720" w:bottom="280" w:left="600" w:header="720" w:footer="720" w:gutter="0"/>
          <w:cols w:space="720"/>
        </w:sectPr>
      </w:pPr>
    </w:p>
    <w:p w14:paraId="412F9AEC" w14:textId="77777777" w:rsidR="00DE575E" w:rsidRDefault="002E7560">
      <w:pPr>
        <w:spacing w:before="72" w:line="249" w:lineRule="auto"/>
        <w:ind w:left="801" w:right="411" w:firstLine="1907"/>
        <w:jc w:val="right"/>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самоврядування</w:t>
      </w:r>
    </w:p>
    <w:p w14:paraId="5A571BC9" w14:textId="5605205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0F63A03" wp14:editId="5A0A3E4E">
                <wp:extent cx="4140200" cy="6350"/>
                <wp:effectExtent l="0" t="0" r="12700" b="6350"/>
                <wp:docPr id="412"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13" name="Line 41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0F5ED" id="Group_x0020_41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rjEUNfQIAAJgFAAAOAAAA&#10;AAAAAAAAAAAAACwCAABkcnMvZTJvRG9jLnhtbFBLAQItABQABgAIAAAAIQBMp7CQ2QAAAAMBAAAP&#10;AAAAAAAAAAAAAAAAANUEAABkcnMvZG93bnJldi54bWxQSwUGAAAAAAQABADzAAAA2wUAAAAA&#10;">
                <v:line id="Line_x0020_41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iW8YAAADcAAAADwAAAGRycy9kb3ducmV2LnhtbESP0WrCQBRE3wv9h+UWfCm60RSR6CpF&#10;EMQHrcYPuGavSeju3ZhdTdqv7xYKfRxm5gyzWPXWiAe1vnasYDxKQBAXTtdcKjjnm+EMhA/IGo1j&#10;UvBFHlbL56cFZtp1fKTHKZQiQthnqKAKocmk9EVFFv3INcTRu7rWYoiyLaVusYtwa+QkSabSYs1x&#10;ocKG1hUVn6e7VZDfXoP5OOxMlx8uqbzc9un3fa/U4KV/n4MI1If/8F97qxW8jV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4lvGAAAA3AAAAA8AAAAAAAAA&#10;AAAAAAAAoQIAAGRycy9kb3ducmV2LnhtbFBLBQYAAAAABAAEAPkAAACUAwAAAAA=&#10;" strokecolor="#231f20" strokeweight=".5pt"/>
                <w10:anchorlock/>
              </v:group>
            </w:pict>
          </mc:Fallback>
        </mc:AlternateContent>
      </w:r>
    </w:p>
    <w:p w14:paraId="5AD1D5DE" w14:textId="77777777" w:rsidR="00DE575E" w:rsidRDefault="00DE575E">
      <w:pPr>
        <w:pStyle w:val="BodyText"/>
        <w:spacing w:before="7"/>
        <w:rPr>
          <w:rFonts w:ascii="AdonisC"/>
          <w:i/>
          <w:sz w:val="19"/>
        </w:rPr>
      </w:pPr>
    </w:p>
    <w:p w14:paraId="3F069C69" w14:textId="77777777" w:rsidR="00DE575E" w:rsidRDefault="002E7560">
      <w:pPr>
        <w:pStyle w:val="ListParagraph"/>
        <w:numPr>
          <w:ilvl w:val="0"/>
          <w:numId w:val="87"/>
        </w:numPr>
        <w:tabs>
          <w:tab w:val="left" w:pos="818"/>
        </w:tabs>
        <w:spacing w:line="252" w:lineRule="auto"/>
        <w:ind w:right="409" w:firstLine="283"/>
        <w:jc w:val="both"/>
        <w:rPr>
          <w:sz w:val="21"/>
        </w:rPr>
      </w:pPr>
      <w:r>
        <w:rPr>
          <w:color w:val="231F20"/>
          <w:sz w:val="21"/>
        </w:rPr>
        <w:t>виборна посада, на яку особу обирає (секретар сільської, селищної, місь</w:t>
      </w:r>
      <w:r>
        <w:rPr>
          <w:color w:val="231F20"/>
          <w:sz w:val="21"/>
        </w:rPr>
        <w:t>кої ради) або затверджує (заступник сільського, селищного,</w:t>
      </w:r>
      <w:r>
        <w:rPr>
          <w:color w:val="231F20"/>
          <w:spacing w:val="-7"/>
          <w:sz w:val="21"/>
        </w:rPr>
        <w:t xml:space="preserve"> </w:t>
      </w:r>
      <w:r>
        <w:rPr>
          <w:color w:val="231F20"/>
          <w:sz w:val="21"/>
        </w:rPr>
        <w:t>міського</w:t>
      </w:r>
      <w:r>
        <w:rPr>
          <w:color w:val="231F20"/>
          <w:spacing w:val="-7"/>
          <w:sz w:val="21"/>
        </w:rPr>
        <w:t xml:space="preserve"> </w:t>
      </w:r>
      <w:r>
        <w:rPr>
          <w:color w:val="231F20"/>
          <w:sz w:val="21"/>
        </w:rPr>
        <w:t>голови</w:t>
      </w:r>
      <w:r>
        <w:rPr>
          <w:color w:val="231F20"/>
          <w:spacing w:val="-7"/>
          <w:sz w:val="21"/>
        </w:rPr>
        <w:t xml:space="preserve"> </w:t>
      </w:r>
      <w:r>
        <w:rPr>
          <w:color w:val="231F20"/>
          <w:sz w:val="21"/>
        </w:rPr>
        <w:t>з</w:t>
      </w:r>
      <w:r>
        <w:rPr>
          <w:color w:val="231F20"/>
          <w:spacing w:val="-7"/>
          <w:sz w:val="21"/>
        </w:rPr>
        <w:t xml:space="preserve"> </w:t>
      </w:r>
      <w:r>
        <w:rPr>
          <w:color w:val="231F20"/>
          <w:sz w:val="21"/>
        </w:rPr>
        <w:t>питань</w:t>
      </w:r>
      <w:r>
        <w:rPr>
          <w:color w:val="231F20"/>
          <w:spacing w:val="-7"/>
          <w:sz w:val="21"/>
        </w:rPr>
        <w:t xml:space="preserve"> </w:t>
      </w:r>
      <w:r>
        <w:rPr>
          <w:color w:val="231F20"/>
          <w:sz w:val="21"/>
        </w:rPr>
        <w:t>діяльності</w:t>
      </w:r>
      <w:r>
        <w:rPr>
          <w:color w:val="231F20"/>
          <w:spacing w:val="-7"/>
          <w:sz w:val="21"/>
        </w:rPr>
        <w:t xml:space="preserve"> </w:t>
      </w:r>
      <w:r>
        <w:rPr>
          <w:color w:val="231F20"/>
          <w:sz w:val="21"/>
        </w:rPr>
        <w:t>виконавчих</w:t>
      </w:r>
      <w:r>
        <w:rPr>
          <w:color w:val="231F20"/>
          <w:spacing w:val="-7"/>
          <w:sz w:val="21"/>
        </w:rPr>
        <w:t xml:space="preserve"> </w:t>
      </w:r>
      <w:r>
        <w:rPr>
          <w:color w:val="231F20"/>
          <w:sz w:val="21"/>
        </w:rPr>
        <w:t>органів ради) сільська, селищна, міська</w:t>
      </w:r>
      <w:r>
        <w:rPr>
          <w:color w:val="231F20"/>
          <w:spacing w:val="-4"/>
          <w:sz w:val="21"/>
        </w:rPr>
        <w:t xml:space="preserve"> </w:t>
      </w:r>
      <w:r>
        <w:rPr>
          <w:color w:val="231F20"/>
          <w:sz w:val="21"/>
        </w:rPr>
        <w:t>рада;</w:t>
      </w:r>
    </w:p>
    <w:p w14:paraId="7BAB3E29" w14:textId="77777777" w:rsidR="00DE575E" w:rsidRDefault="002E7560">
      <w:pPr>
        <w:pStyle w:val="ListParagraph"/>
        <w:numPr>
          <w:ilvl w:val="0"/>
          <w:numId w:val="87"/>
        </w:numPr>
        <w:tabs>
          <w:tab w:val="left" w:pos="818"/>
        </w:tabs>
        <w:spacing w:before="2" w:line="252" w:lineRule="auto"/>
        <w:ind w:right="411" w:firstLine="283"/>
        <w:jc w:val="right"/>
        <w:rPr>
          <w:sz w:val="21"/>
        </w:rPr>
      </w:pPr>
      <w:r>
        <w:rPr>
          <w:color w:val="231F20"/>
          <w:sz w:val="21"/>
        </w:rPr>
        <w:t>посада,</w:t>
      </w:r>
      <w:r>
        <w:rPr>
          <w:color w:val="231F20"/>
          <w:spacing w:val="-10"/>
          <w:sz w:val="21"/>
        </w:rPr>
        <w:t xml:space="preserve"> </w:t>
      </w:r>
      <w:r>
        <w:rPr>
          <w:color w:val="231F20"/>
          <w:sz w:val="21"/>
        </w:rPr>
        <w:t>на</w:t>
      </w:r>
      <w:r>
        <w:rPr>
          <w:color w:val="231F20"/>
          <w:spacing w:val="-10"/>
          <w:sz w:val="21"/>
        </w:rPr>
        <w:t xml:space="preserve"> </w:t>
      </w:r>
      <w:r>
        <w:rPr>
          <w:color w:val="231F20"/>
          <w:sz w:val="21"/>
        </w:rPr>
        <w:t>яку</w:t>
      </w:r>
      <w:r>
        <w:rPr>
          <w:color w:val="231F20"/>
          <w:spacing w:val="-10"/>
          <w:sz w:val="21"/>
        </w:rPr>
        <w:t xml:space="preserve"> </w:t>
      </w:r>
      <w:r>
        <w:rPr>
          <w:color w:val="231F20"/>
          <w:sz w:val="21"/>
        </w:rPr>
        <w:t>особа</w:t>
      </w:r>
      <w:r>
        <w:rPr>
          <w:color w:val="231F20"/>
          <w:spacing w:val="-11"/>
          <w:sz w:val="21"/>
        </w:rPr>
        <w:t xml:space="preserve"> </w:t>
      </w:r>
      <w:r>
        <w:rPr>
          <w:color w:val="231F20"/>
          <w:sz w:val="21"/>
        </w:rPr>
        <w:t>призначається</w:t>
      </w:r>
      <w:r>
        <w:rPr>
          <w:color w:val="231F20"/>
          <w:spacing w:val="-11"/>
          <w:sz w:val="21"/>
        </w:rPr>
        <w:t xml:space="preserve"> </w:t>
      </w:r>
      <w:r>
        <w:rPr>
          <w:color w:val="231F20"/>
          <w:sz w:val="21"/>
        </w:rPr>
        <w:t>сільським,</w:t>
      </w:r>
      <w:r>
        <w:rPr>
          <w:color w:val="231F20"/>
          <w:spacing w:val="-11"/>
          <w:sz w:val="21"/>
        </w:rPr>
        <w:t xml:space="preserve"> </w:t>
      </w:r>
      <w:r>
        <w:rPr>
          <w:color w:val="231F20"/>
          <w:sz w:val="21"/>
        </w:rPr>
        <w:t>селищним,</w:t>
      </w:r>
      <w:r>
        <w:rPr>
          <w:color w:val="231F20"/>
          <w:spacing w:val="-11"/>
          <w:sz w:val="21"/>
        </w:rPr>
        <w:t xml:space="preserve"> </w:t>
      </w:r>
      <w:r>
        <w:rPr>
          <w:color w:val="231F20"/>
          <w:sz w:val="21"/>
        </w:rPr>
        <w:t>місь- ким головою, головою районної, районної у місті, обласної</w:t>
      </w:r>
      <w:r>
        <w:rPr>
          <w:color w:val="231F20"/>
          <w:spacing w:val="10"/>
          <w:sz w:val="21"/>
        </w:rPr>
        <w:t xml:space="preserve"> </w:t>
      </w:r>
      <w:r>
        <w:rPr>
          <w:color w:val="231F20"/>
          <w:sz w:val="21"/>
        </w:rPr>
        <w:t>ради</w:t>
      </w:r>
      <w:r>
        <w:rPr>
          <w:color w:val="231F20"/>
          <w:spacing w:val="12"/>
          <w:sz w:val="21"/>
        </w:rPr>
        <w:t xml:space="preserve"> </w:t>
      </w:r>
      <w:r>
        <w:rPr>
          <w:color w:val="231F20"/>
          <w:sz w:val="21"/>
        </w:rPr>
        <w:t>на конкурсній</w:t>
      </w:r>
      <w:r>
        <w:rPr>
          <w:color w:val="231F20"/>
          <w:spacing w:val="-8"/>
          <w:sz w:val="21"/>
        </w:rPr>
        <w:t xml:space="preserve"> </w:t>
      </w:r>
      <w:r>
        <w:rPr>
          <w:color w:val="231F20"/>
          <w:sz w:val="21"/>
        </w:rPr>
        <w:t>основі</w:t>
      </w:r>
      <w:r>
        <w:rPr>
          <w:color w:val="231F20"/>
          <w:spacing w:val="-8"/>
          <w:sz w:val="21"/>
        </w:rPr>
        <w:t xml:space="preserve"> </w:t>
      </w:r>
      <w:r>
        <w:rPr>
          <w:color w:val="231F20"/>
          <w:sz w:val="21"/>
        </w:rPr>
        <w:t>чи</w:t>
      </w:r>
      <w:r>
        <w:rPr>
          <w:color w:val="231F20"/>
          <w:spacing w:val="-8"/>
          <w:sz w:val="21"/>
        </w:rPr>
        <w:t xml:space="preserve"> </w:t>
      </w:r>
      <w:r>
        <w:rPr>
          <w:color w:val="231F20"/>
          <w:sz w:val="21"/>
        </w:rPr>
        <w:t>за</w:t>
      </w:r>
      <w:r>
        <w:rPr>
          <w:color w:val="231F20"/>
          <w:spacing w:val="-8"/>
          <w:sz w:val="21"/>
        </w:rPr>
        <w:t xml:space="preserve"> </w:t>
      </w:r>
      <w:r>
        <w:rPr>
          <w:color w:val="231F20"/>
          <w:sz w:val="21"/>
        </w:rPr>
        <w:t>процедурою</w:t>
      </w:r>
      <w:r>
        <w:rPr>
          <w:color w:val="231F20"/>
          <w:spacing w:val="-8"/>
          <w:sz w:val="21"/>
        </w:rPr>
        <w:t xml:space="preserve"> </w:t>
      </w:r>
      <w:r>
        <w:rPr>
          <w:color w:val="231F20"/>
          <w:sz w:val="21"/>
        </w:rPr>
        <w:t>безпосереднього</w:t>
      </w:r>
      <w:r>
        <w:rPr>
          <w:color w:val="231F20"/>
          <w:spacing w:val="-8"/>
          <w:sz w:val="21"/>
        </w:rPr>
        <w:t xml:space="preserve"> </w:t>
      </w:r>
      <w:r>
        <w:rPr>
          <w:color w:val="231F20"/>
          <w:sz w:val="21"/>
        </w:rPr>
        <w:t>(для</w:t>
      </w:r>
      <w:r>
        <w:rPr>
          <w:color w:val="231F20"/>
          <w:spacing w:val="-8"/>
          <w:sz w:val="21"/>
        </w:rPr>
        <w:t xml:space="preserve"> </w:t>
      </w:r>
      <w:r>
        <w:rPr>
          <w:color w:val="231F20"/>
          <w:sz w:val="21"/>
        </w:rPr>
        <w:t>службов- ців,</w:t>
      </w:r>
      <w:r>
        <w:rPr>
          <w:color w:val="231F20"/>
          <w:spacing w:val="-11"/>
          <w:sz w:val="21"/>
        </w:rPr>
        <w:t xml:space="preserve"> </w:t>
      </w:r>
      <w:r>
        <w:rPr>
          <w:color w:val="231F20"/>
          <w:sz w:val="21"/>
        </w:rPr>
        <w:t>що</w:t>
      </w:r>
      <w:r>
        <w:rPr>
          <w:color w:val="231F20"/>
          <w:spacing w:val="-11"/>
          <w:sz w:val="21"/>
        </w:rPr>
        <w:t xml:space="preserve"> </w:t>
      </w:r>
      <w:r>
        <w:rPr>
          <w:color w:val="231F20"/>
          <w:sz w:val="21"/>
        </w:rPr>
        <w:t>в</w:t>
      </w:r>
      <w:r>
        <w:rPr>
          <w:color w:val="231F20"/>
          <w:spacing w:val="-11"/>
          <w:sz w:val="21"/>
        </w:rPr>
        <w:t xml:space="preserve"> </w:t>
      </w:r>
      <w:r>
        <w:rPr>
          <w:color w:val="231F20"/>
          <w:sz w:val="21"/>
        </w:rPr>
        <w:t>кадровому</w:t>
      </w:r>
      <w:r>
        <w:rPr>
          <w:color w:val="231F20"/>
          <w:spacing w:val="-11"/>
          <w:sz w:val="21"/>
        </w:rPr>
        <w:t xml:space="preserve"> </w:t>
      </w:r>
      <w:r>
        <w:rPr>
          <w:color w:val="231F20"/>
          <w:sz w:val="21"/>
        </w:rPr>
        <w:t>резерві,</w:t>
      </w:r>
      <w:r>
        <w:rPr>
          <w:color w:val="231F20"/>
          <w:spacing w:val="-11"/>
          <w:sz w:val="21"/>
        </w:rPr>
        <w:t xml:space="preserve"> </w:t>
      </w:r>
      <w:r>
        <w:rPr>
          <w:color w:val="231F20"/>
          <w:sz w:val="21"/>
        </w:rPr>
        <w:t>або</w:t>
      </w:r>
      <w:r>
        <w:rPr>
          <w:color w:val="231F20"/>
          <w:spacing w:val="-11"/>
          <w:sz w:val="21"/>
        </w:rPr>
        <w:t xml:space="preserve"> </w:t>
      </w:r>
      <w:r>
        <w:rPr>
          <w:color w:val="231F20"/>
          <w:sz w:val="21"/>
        </w:rPr>
        <w:t>пройшли</w:t>
      </w:r>
      <w:r>
        <w:rPr>
          <w:color w:val="231F20"/>
          <w:spacing w:val="-11"/>
          <w:sz w:val="21"/>
        </w:rPr>
        <w:t xml:space="preserve"> </w:t>
      </w:r>
      <w:r>
        <w:rPr>
          <w:color w:val="231F20"/>
          <w:sz w:val="21"/>
        </w:rPr>
        <w:t>стажування)</w:t>
      </w:r>
      <w:r>
        <w:rPr>
          <w:color w:val="231F20"/>
          <w:spacing w:val="-11"/>
          <w:sz w:val="21"/>
        </w:rPr>
        <w:t xml:space="preserve"> </w:t>
      </w:r>
      <w:r>
        <w:rPr>
          <w:color w:val="231F20"/>
          <w:sz w:val="21"/>
        </w:rPr>
        <w:t xml:space="preserve">призначення. </w:t>
      </w:r>
      <w:r>
        <w:rPr>
          <w:color w:val="231F20"/>
          <w:spacing w:val="-5"/>
          <w:sz w:val="21"/>
        </w:rPr>
        <w:t>Також</w:t>
      </w:r>
      <w:r>
        <w:rPr>
          <w:color w:val="231F20"/>
          <w:spacing w:val="-13"/>
          <w:sz w:val="21"/>
        </w:rPr>
        <w:t xml:space="preserve"> </w:t>
      </w:r>
      <w:r>
        <w:rPr>
          <w:color w:val="231F20"/>
          <w:sz w:val="21"/>
        </w:rPr>
        <w:t>слід</w:t>
      </w:r>
      <w:r>
        <w:rPr>
          <w:color w:val="231F20"/>
          <w:spacing w:val="-12"/>
          <w:sz w:val="21"/>
        </w:rPr>
        <w:t xml:space="preserve"> </w:t>
      </w:r>
      <w:r>
        <w:rPr>
          <w:color w:val="231F20"/>
          <w:sz w:val="21"/>
        </w:rPr>
        <w:t>звернути</w:t>
      </w:r>
      <w:r>
        <w:rPr>
          <w:color w:val="231F20"/>
          <w:spacing w:val="-13"/>
          <w:sz w:val="21"/>
        </w:rPr>
        <w:t xml:space="preserve"> </w:t>
      </w:r>
      <w:r>
        <w:rPr>
          <w:color w:val="231F20"/>
          <w:spacing w:val="-3"/>
          <w:sz w:val="21"/>
        </w:rPr>
        <w:t>увагу,</w:t>
      </w:r>
      <w:r>
        <w:rPr>
          <w:color w:val="231F20"/>
          <w:spacing w:val="-13"/>
          <w:sz w:val="21"/>
        </w:rPr>
        <w:t xml:space="preserve"> </w:t>
      </w:r>
      <w:r>
        <w:rPr>
          <w:color w:val="231F20"/>
          <w:sz w:val="21"/>
        </w:rPr>
        <w:t>що</w:t>
      </w:r>
      <w:r>
        <w:rPr>
          <w:color w:val="231F20"/>
          <w:spacing w:val="-12"/>
          <w:sz w:val="21"/>
        </w:rPr>
        <w:t xml:space="preserve"> </w:t>
      </w:r>
      <w:r>
        <w:rPr>
          <w:color w:val="231F20"/>
          <w:sz w:val="21"/>
        </w:rPr>
        <w:t>складовою</w:t>
      </w:r>
      <w:r>
        <w:rPr>
          <w:color w:val="231F20"/>
          <w:spacing w:val="-13"/>
          <w:sz w:val="21"/>
        </w:rPr>
        <w:t xml:space="preserve"> </w:t>
      </w:r>
      <w:r>
        <w:rPr>
          <w:color w:val="231F20"/>
          <w:sz w:val="21"/>
        </w:rPr>
        <w:t>правового</w:t>
      </w:r>
      <w:r>
        <w:rPr>
          <w:color w:val="231F20"/>
          <w:spacing w:val="-13"/>
          <w:sz w:val="21"/>
        </w:rPr>
        <w:t xml:space="preserve"> </w:t>
      </w:r>
      <w:r>
        <w:rPr>
          <w:color w:val="231F20"/>
          <w:sz w:val="21"/>
        </w:rPr>
        <w:t>ста</w:t>
      </w:r>
      <w:r>
        <w:rPr>
          <w:color w:val="231F20"/>
          <w:sz w:val="21"/>
        </w:rPr>
        <w:t>тусу</w:t>
      </w:r>
      <w:r>
        <w:rPr>
          <w:color w:val="231F20"/>
          <w:spacing w:val="-13"/>
          <w:sz w:val="21"/>
        </w:rPr>
        <w:t xml:space="preserve"> </w:t>
      </w:r>
      <w:r>
        <w:rPr>
          <w:color w:val="231F20"/>
          <w:sz w:val="21"/>
        </w:rPr>
        <w:t>служ- бовців</w:t>
      </w:r>
      <w:r>
        <w:rPr>
          <w:color w:val="231F20"/>
          <w:spacing w:val="-11"/>
          <w:sz w:val="21"/>
        </w:rPr>
        <w:t xml:space="preserve"> </w:t>
      </w:r>
      <w:r>
        <w:rPr>
          <w:color w:val="231F20"/>
          <w:sz w:val="21"/>
        </w:rPr>
        <w:t>та</w:t>
      </w:r>
      <w:r>
        <w:rPr>
          <w:color w:val="231F20"/>
          <w:spacing w:val="-11"/>
          <w:sz w:val="21"/>
        </w:rPr>
        <w:t xml:space="preserve"> </w:t>
      </w:r>
      <w:r>
        <w:rPr>
          <w:color w:val="231F20"/>
          <w:sz w:val="21"/>
        </w:rPr>
        <w:t>важливою</w:t>
      </w:r>
      <w:r>
        <w:rPr>
          <w:color w:val="231F20"/>
          <w:spacing w:val="-11"/>
          <w:sz w:val="21"/>
        </w:rPr>
        <w:t xml:space="preserve"> </w:t>
      </w:r>
      <w:r>
        <w:rPr>
          <w:color w:val="231F20"/>
          <w:sz w:val="21"/>
        </w:rPr>
        <w:t>умовою</w:t>
      </w:r>
      <w:r>
        <w:rPr>
          <w:color w:val="231F20"/>
          <w:spacing w:val="-11"/>
          <w:sz w:val="21"/>
        </w:rPr>
        <w:t xml:space="preserve"> </w:t>
      </w:r>
      <w:r>
        <w:rPr>
          <w:color w:val="231F20"/>
          <w:sz w:val="21"/>
        </w:rPr>
        <w:t>при</w:t>
      </w:r>
      <w:r>
        <w:rPr>
          <w:color w:val="231F20"/>
          <w:spacing w:val="-11"/>
          <w:sz w:val="21"/>
        </w:rPr>
        <w:t xml:space="preserve"> </w:t>
      </w:r>
      <w:r>
        <w:rPr>
          <w:color w:val="231F20"/>
          <w:sz w:val="21"/>
        </w:rPr>
        <w:t>вступі</w:t>
      </w:r>
      <w:r>
        <w:rPr>
          <w:color w:val="231F20"/>
          <w:spacing w:val="-11"/>
          <w:sz w:val="21"/>
        </w:rPr>
        <w:t xml:space="preserve"> </w:t>
      </w:r>
      <w:r>
        <w:rPr>
          <w:color w:val="231F20"/>
          <w:sz w:val="21"/>
        </w:rPr>
        <w:t>на</w:t>
      </w:r>
      <w:r>
        <w:rPr>
          <w:color w:val="231F20"/>
          <w:spacing w:val="-11"/>
          <w:sz w:val="21"/>
        </w:rPr>
        <w:t xml:space="preserve"> </w:t>
      </w:r>
      <w:r>
        <w:rPr>
          <w:color w:val="231F20"/>
          <w:sz w:val="21"/>
        </w:rPr>
        <w:t>службу</w:t>
      </w:r>
      <w:r>
        <w:rPr>
          <w:color w:val="231F20"/>
          <w:spacing w:val="-11"/>
          <w:sz w:val="21"/>
        </w:rPr>
        <w:t xml:space="preserve"> </w:t>
      </w:r>
      <w:r>
        <w:rPr>
          <w:color w:val="231F20"/>
          <w:sz w:val="21"/>
        </w:rPr>
        <w:t>в</w:t>
      </w:r>
      <w:r>
        <w:rPr>
          <w:color w:val="231F20"/>
          <w:spacing w:val="-11"/>
          <w:sz w:val="21"/>
        </w:rPr>
        <w:t xml:space="preserve"> </w:t>
      </w:r>
      <w:r>
        <w:rPr>
          <w:color w:val="231F20"/>
          <w:sz w:val="21"/>
        </w:rPr>
        <w:t>органи</w:t>
      </w:r>
      <w:r>
        <w:rPr>
          <w:color w:val="231F20"/>
          <w:spacing w:val="-11"/>
          <w:sz w:val="21"/>
        </w:rPr>
        <w:t xml:space="preserve"> </w:t>
      </w:r>
      <w:r>
        <w:rPr>
          <w:color w:val="231F20"/>
          <w:sz w:val="21"/>
        </w:rPr>
        <w:t>місцевого самоврядування є існування правообмежень і заборон,</w:t>
      </w:r>
      <w:r>
        <w:rPr>
          <w:color w:val="231F20"/>
          <w:spacing w:val="-34"/>
          <w:sz w:val="21"/>
        </w:rPr>
        <w:t xml:space="preserve"> </w:t>
      </w:r>
      <w:r>
        <w:rPr>
          <w:color w:val="231F20"/>
          <w:sz w:val="21"/>
        </w:rPr>
        <w:t>що</w:t>
      </w:r>
      <w:r>
        <w:rPr>
          <w:color w:val="231F20"/>
          <w:spacing w:val="-6"/>
          <w:sz w:val="21"/>
        </w:rPr>
        <w:t xml:space="preserve"> </w:t>
      </w:r>
      <w:r>
        <w:rPr>
          <w:color w:val="231F20"/>
          <w:sz w:val="21"/>
        </w:rPr>
        <w:t>зумовлю- ються</w:t>
      </w:r>
      <w:r>
        <w:rPr>
          <w:color w:val="231F20"/>
          <w:spacing w:val="13"/>
          <w:sz w:val="21"/>
        </w:rPr>
        <w:t xml:space="preserve"> </w:t>
      </w:r>
      <w:r>
        <w:rPr>
          <w:color w:val="231F20"/>
          <w:sz w:val="21"/>
        </w:rPr>
        <w:t>специфікою</w:t>
      </w:r>
      <w:r>
        <w:rPr>
          <w:color w:val="231F20"/>
          <w:spacing w:val="13"/>
          <w:sz w:val="21"/>
        </w:rPr>
        <w:t xml:space="preserve"> </w:t>
      </w:r>
      <w:r>
        <w:rPr>
          <w:color w:val="231F20"/>
          <w:sz w:val="21"/>
        </w:rPr>
        <w:t>виконуваних</w:t>
      </w:r>
      <w:r>
        <w:rPr>
          <w:color w:val="231F20"/>
          <w:spacing w:val="13"/>
          <w:sz w:val="21"/>
        </w:rPr>
        <w:t xml:space="preserve"> </w:t>
      </w:r>
      <w:r>
        <w:rPr>
          <w:color w:val="231F20"/>
          <w:sz w:val="21"/>
        </w:rPr>
        <w:t>ними</w:t>
      </w:r>
      <w:r>
        <w:rPr>
          <w:color w:val="231F20"/>
          <w:spacing w:val="13"/>
          <w:sz w:val="21"/>
        </w:rPr>
        <w:t xml:space="preserve"> </w:t>
      </w:r>
      <w:r>
        <w:rPr>
          <w:color w:val="231F20"/>
          <w:sz w:val="21"/>
        </w:rPr>
        <w:t>завдань</w:t>
      </w:r>
      <w:r>
        <w:rPr>
          <w:color w:val="231F20"/>
          <w:spacing w:val="13"/>
          <w:sz w:val="21"/>
        </w:rPr>
        <w:t xml:space="preserve"> </w:t>
      </w:r>
      <w:r>
        <w:rPr>
          <w:color w:val="231F20"/>
          <w:sz w:val="21"/>
        </w:rPr>
        <w:t>та</w:t>
      </w:r>
      <w:r>
        <w:rPr>
          <w:color w:val="231F20"/>
          <w:spacing w:val="13"/>
          <w:sz w:val="21"/>
        </w:rPr>
        <w:t xml:space="preserve"> </w:t>
      </w:r>
      <w:r>
        <w:rPr>
          <w:color w:val="231F20"/>
          <w:sz w:val="21"/>
        </w:rPr>
        <w:t>функцій</w:t>
      </w:r>
      <w:r>
        <w:rPr>
          <w:color w:val="231F20"/>
          <w:spacing w:val="13"/>
          <w:sz w:val="21"/>
        </w:rPr>
        <w:t xml:space="preserve"> </w:t>
      </w:r>
      <w:r>
        <w:rPr>
          <w:color w:val="231F20"/>
          <w:sz w:val="21"/>
        </w:rPr>
        <w:t>держави</w:t>
      </w:r>
    </w:p>
    <w:p w14:paraId="737C98D0" w14:textId="77777777" w:rsidR="00DE575E" w:rsidRDefault="002E7560">
      <w:pPr>
        <w:pStyle w:val="BodyText"/>
        <w:spacing w:before="4"/>
        <w:ind w:left="250"/>
      </w:pPr>
      <w:r>
        <w:rPr>
          <w:color w:val="231F20"/>
        </w:rPr>
        <w:t>й службових повноважень.</w:t>
      </w:r>
    </w:p>
    <w:p w14:paraId="0DFF4F63" w14:textId="77777777" w:rsidR="00DE575E" w:rsidRDefault="002E7560">
      <w:pPr>
        <w:pStyle w:val="BodyText"/>
        <w:spacing w:before="12" w:line="252" w:lineRule="auto"/>
        <w:ind w:left="250" w:right="410" w:firstLine="283"/>
        <w:jc w:val="both"/>
      </w:pPr>
      <w:r>
        <w:rPr>
          <w:b/>
          <w:color w:val="231F20"/>
        </w:rPr>
        <w:t xml:space="preserve">Обмеження </w:t>
      </w:r>
      <w:r>
        <w:rPr>
          <w:color w:val="231F20"/>
        </w:rPr>
        <w:t xml:space="preserve">щодо посадових осіб місцевого самоврядування бувають </w:t>
      </w:r>
      <w:r>
        <w:rPr>
          <w:b/>
          <w:i/>
          <w:color w:val="231F20"/>
        </w:rPr>
        <w:t>двох видів</w:t>
      </w:r>
      <w:r>
        <w:rPr>
          <w:b/>
          <w:color w:val="231F20"/>
        </w:rPr>
        <w:t xml:space="preserve">: </w:t>
      </w:r>
      <w:r>
        <w:rPr>
          <w:color w:val="231F20"/>
        </w:rPr>
        <w:t xml:space="preserve">обмеження, </w:t>
      </w:r>
      <w:r>
        <w:rPr>
          <w:i/>
          <w:color w:val="231F20"/>
        </w:rPr>
        <w:t xml:space="preserve">пов’язані з прийняттям на службу </w:t>
      </w:r>
      <w:r>
        <w:rPr>
          <w:color w:val="231F20"/>
        </w:rPr>
        <w:t xml:space="preserve">в органи місцевого самоврядування, та обмеження, </w:t>
      </w:r>
      <w:r>
        <w:rPr>
          <w:i/>
          <w:color w:val="231F20"/>
        </w:rPr>
        <w:t xml:space="preserve">пов’язані з проходженням служби в </w:t>
      </w:r>
      <w:r>
        <w:rPr>
          <w:color w:val="231F20"/>
        </w:rPr>
        <w:t>органах місцевого самоврядування</w:t>
      </w:r>
      <w:r>
        <w:rPr>
          <w:i/>
          <w:color w:val="231F20"/>
        </w:rPr>
        <w:t xml:space="preserve">. Перша група обмежень </w:t>
      </w:r>
      <w:r>
        <w:rPr>
          <w:color w:val="231F20"/>
        </w:rPr>
        <w:t>передбача</w:t>
      </w:r>
      <w:r>
        <w:rPr>
          <w:color w:val="231F20"/>
        </w:rPr>
        <w:t>є, що на службу в органах місцевого</w:t>
      </w:r>
      <w:r>
        <w:rPr>
          <w:color w:val="231F20"/>
          <w:spacing w:val="-18"/>
        </w:rPr>
        <w:t xml:space="preserve"> </w:t>
      </w:r>
      <w:r>
        <w:rPr>
          <w:color w:val="231F20"/>
        </w:rPr>
        <w:t xml:space="preserve">само- врядування не можуть бути прийняті особи, які: визнані </w:t>
      </w:r>
      <w:r>
        <w:rPr>
          <w:color w:val="231F20"/>
          <w:spacing w:val="-3"/>
        </w:rPr>
        <w:t xml:space="preserve">судом </w:t>
      </w:r>
      <w:r>
        <w:rPr>
          <w:color w:val="231F20"/>
        </w:rPr>
        <w:t xml:space="preserve">неді- єздатними; мають судимість за вчинення умисного </w:t>
      </w:r>
      <w:r>
        <w:rPr>
          <w:color w:val="231F20"/>
          <w:spacing w:val="-3"/>
        </w:rPr>
        <w:t xml:space="preserve">злочину, </w:t>
      </w:r>
      <w:r>
        <w:rPr>
          <w:color w:val="231F20"/>
        </w:rPr>
        <w:t>якщо ця судимість не погашена або не знята в установленому законом порядку; які за  рішенн</w:t>
      </w:r>
      <w:r>
        <w:rPr>
          <w:color w:val="231F20"/>
        </w:rPr>
        <w:t xml:space="preserve">ям  </w:t>
      </w:r>
      <w:r>
        <w:rPr>
          <w:color w:val="231F20"/>
          <w:spacing w:val="-4"/>
        </w:rPr>
        <w:t xml:space="preserve">суду  </w:t>
      </w:r>
      <w:r>
        <w:rPr>
          <w:color w:val="231F20"/>
        </w:rPr>
        <w:t>позбавлені  права  займати  посади в</w:t>
      </w:r>
      <w:r>
        <w:rPr>
          <w:color w:val="231F20"/>
          <w:spacing w:val="-15"/>
        </w:rPr>
        <w:t xml:space="preserve"> </w:t>
      </w:r>
      <w:r>
        <w:rPr>
          <w:color w:val="231F20"/>
        </w:rPr>
        <w:t>органах</w:t>
      </w:r>
      <w:r>
        <w:rPr>
          <w:color w:val="231F20"/>
          <w:spacing w:val="-15"/>
        </w:rPr>
        <w:t xml:space="preserve"> </w:t>
      </w:r>
      <w:r>
        <w:rPr>
          <w:color w:val="231F20"/>
        </w:rPr>
        <w:t>державної</w:t>
      </w:r>
      <w:r>
        <w:rPr>
          <w:color w:val="231F20"/>
          <w:spacing w:val="-15"/>
        </w:rPr>
        <w:t xml:space="preserve"> </w:t>
      </w:r>
      <w:r>
        <w:rPr>
          <w:color w:val="231F20"/>
        </w:rPr>
        <w:t>влади</w:t>
      </w:r>
      <w:r>
        <w:rPr>
          <w:color w:val="231F20"/>
          <w:spacing w:val="-15"/>
        </w:rPr>
        <w:t xml:space="preserve"> </w:t>
      </w:r>
      <w:r>
        <w:rPr>
          <w:color w:val="231F20"/>
        </w:rPr>
        <w:t>та</w:t>
      </w:r>
      <w:r>
        <w:rPr>
          <w:color w:val="231F20"/>
          <w:spacing w:val="-15"/>
        </w:rPr>
        <w:t xml:space="preserve"> </w:t>
      </w:r>
      <w:r>
        <w:rPr>
          <w:color w:val="231F20"/>
        </w:rPr>
        <w:t>їх</w:t>
      </w:r>
      <w:r>
        <w:rPr>
          <w:color w:val="231F20"/>
          <w:spacing w:val="-15"/>
        </w:rPr>
        <w:t xml:space="preserve"> </w:t>
      </w:r>
      <w:r>
        <w:rPr>
          <w:color w:val="231F20"/>
        </w:rPr>
        <w:t>апараті</w:t>
      </w:r>
      <w:r>
        <w:rPr>
          <w:color w:val="231F20"/>
          <w:spacing w:val="-15"/>
        </w:rPr>
        <w:t xml:space="preserve"> </w:t>
      </w:r>
      <w:r>
        <w:rPr>
          <w:color w:val="231F20"/>
        </w:rPr>
        <w:t>або</w:t>
      </w:r>
      <w:r>
        <w:rPr>
          <w:color w:val="231F20"/>
          <w:spacing w:val="-15"/>
        </w:rPr>
        <w:t xml:space="preserve"> </w:t>
      </w:r>
      <w:r>
        <w:rPr>
          <w:color w:val="231F20"/>
        </w:rPr>
        <w:t>в</w:t>
      </w:r>
      <w:r>
        <w:rPr>
          <w:color w:val="231F20"/>
          <w:spacing w:val="-15"/>
        </w:rPr>
        <w:t xml:space="preserve"> </w:t>
      </w:r>
      <w:r>
        <w:rPr>
          <w:color w:val="231F20"/>
        </w:rPr>
        <w:t>органах</w:t>
      </w:r>
      <w:r>
        <w:rPr>
          <w:color w:val="231F20"/>
          <w:spacing w:val="-15"/>
        </w:rPr>
        <w:t xml:space="preserve"> </w:t>
      </w:r>
      <w:r>
        <w:rPr>
          <w:color w:val="231F20"/>
        </w:rPr>
        <w:t>місцевого</w:t>
      </w:r>
      <w:r>
        <w:rPr>
          <w:color w:val="231F20"/>
          <w:spacing w:val="-15"/>
        </w:rPr>
        <w:t xml:space="preserve"> </w:t>
      </w:r>
      <w:r>
        <w:rPr>
          <w:color w:val="231F20"/>
        </w:rPr>
        <w:t>само- врядування</w:t>
      </w:r>
      <w:r>
        <w:rPr>
          <w:color w:val="231F20"/>
          <w:spacing w:val="-8"/>
        </w:rPr>
        <w:t xml:space="preserve"> </w:t>
      </w:r>
      <w:r>
        <w:rPr>
          <w:color w:val="231F20"/>
        </w:rPr>
        <w:t>протягом</w:t>
      </w:r>
      <w:r>
        <w:rPr>
          <w:color w:val="231F20"/>
          <w:spacing w:val="-8"/>
        </w:rPr>
        <w:t xml:space="preserve"> </w:t>
      </w:r>
      <w:r>
        <w:rPr>
          <w:color w:val="231F20"/>
        </w:rPr>
        <w:t>установленого</w:t>
      </w:r>
      <w:r>
        <w:rPr>
          <w:color w:val="231F20"/>
          <w:spacing w:val="-8"/>
        </w:rPr>
        <w:t xml:space="preserve"> </w:t>
      </w:r>
      <w:r>
        <w:rPr>
          <w:color w:val="231F20"/>
        </w:rPr>
        <w:t>строку;</w:t>
      </w:r>
      <w:r>
        <w:rPr>
          <w:color w:val="231F20"/>
          <w:spacing w:val="-8"/>
        </w:rPr>
        <w:t xml:space="preserve"> </w:t>
      </w:r>
      <w:r>
        <w:rPr>
          <w:color w:val="231F20"/>
        </w:rPr>
        <w:t>які</w:t>
      </w:r>
      <w:r>
        <w:rPr>
          <w:color w:val="231F20"/>
          <w:spacing w:val="-8"/>
        </w:rPr>
        <w:t xml:space="preserve"> </w:t>
      </w:r>
      <w:r>
        <w:rPr>
          <w:color w:val="231F20"/>
        </w:rPr>
        <w:t>в</w:t>
      </w:r>
      <w:r>
        <w:rPr>
          <w:color w:val="231F20"/>
          <w:spacing w:val="-9"/>
        </w:rPr>
        <w:t xml:space="preserve"> </w:t>
      </w:r>
      <w:r>
        <w:rPr>
          <w:color w:val="231F20"/>
        </w:rPr>
        <w:t>разі</w:t>
      </w:r>
      <w:r>
        <w:rPr>
          <w:color w:val="231F20"/>
          <w:spacing w:val="-8"/>
        </w:rPr>
        <w:t xml:space="preserve"> </w:t>
      </w:r>
      <w:r>
        <w:rPr>
          <w:color w:val="231F20"/>
        </w:rPr>
        <w:t>прийняття</w:t>
      </w:r>
      <w:r>
        <w:rPr>
          <w:color w:val="231F20"/>
          <w:spacing w:val="-8"/>
        </w:rPr>
        <w:t xml:space="preserve"> </w:t>
      </w:r>
      <w:r>
        <w:rPr>
          <w:color w:val="231F20"/>
        </w:rPr>
        <w:t xml:space="preserve">на службу в органи місцевого самоврядування </w:t>
      </w:r>
      <w:r>
        <w:rPr>
          <w:color w:val="231F20"/>
          <w:spacing w:val="-3"/>
        </w:rPr>
        <w:t xml:space="preserve">будуть </w:t>
      </w:r>
      <w:r>
        <w:rPr>
          <w:color w:val="231F20"/>
        </w:rPr>
        <w:t xml:space="preserve">безпосередньо підпорядковані близьким особам. До </w:t>
      </w:r>
      <w:r>
        <w:rPr>
          <w:i/>
          <w:color w:val="231F20"/>
        </w:rPr>
        <w:t xml:space="preserve">другої групи обмежень </w:t>
      </w:r>
      <w:r>
        <w:rPr>
          <w:color w:val="231F20"/>
        </w:rPr>
        <w:t>нале- жать</w:t>
      </w:r>
      <w:r>
        <w:rPr>
          <w:color w:val="231F20"/>
          <w:spacing w:val="-13"/>
        </w:rPr>
        <w:t xml:space="preserve"> </w:t>
      </w:r>
      <w:r>
        <w:rPr>
          <w:color w:val="231F20"/>
        </w:rPr>
        <w:t>заборона</w:t>
      </w:r>
      <w:r>
        <w:rPr>
          <w:color w:val="231F20"/>
          <w:spacing w:val="-13"/>
        </w:rPr>
        <w:t xml:space="preserve"> </w:t>
      </w:r>
      <w:r>
        <w:rPr>
          <w:color w:val="231F20"/>
        </w:rPr>
        <w:t>підтримувати/організовувати</w:t>
      </w:r>
      <w:r>
        <w:rPr>
          <w:color w:val="231F20"/>
          <w:spacing w:val="-14"/>
        </w:rPr>
        <w:t xml:space="preserve"> </w:t>
      </w:r>
      <w:r>
        <w:rPr>
          <w:color w:val="231F20"/>
        </w:rPr>
        <w:t>страйки,</w:t>
      </w:r>
      <w:r>
        <w:rPr>
          <w:color w:val="231F20"/>
          <w:spacing w:val="-14"/>
        </w:rPr>
        <w:t xml:space="preserve"> </w:t>
      </w:r>
      <w:r>
        <w:rPr>
          <w:color w:val="231F20"/>
        </w:rPr>
        <w:t>а</w:t>
      </w:r>
      <w:r>
        <w:rPr>
          <w:color w:val="231F20"/>
          <w:spacing w:val="-12"/>
        </w:rPr>
        <w:t xml:space="preserve"> </w:t>
      </w:r>
      <w:r>
        <w:rPr>
          <w:color w:val="231F20"/>
        </w:rPr>
        <w:t>також</w:t>
      </w:r>
      <w:r>
        <w:rPr>
          <w:color w:val="231F20"/>
          <w:spacing w:val="-13"/>
        </w:rPr>
        <w:t xml:space="preserve"> </w:t>
      </w:r>
      <w:r>
        <w:rPr>
          <w:color w:val="231F20"/>
        </w:rPr>
        <w:t>анти- корупційні обмеження (щодо подарунків, сумісництва</w:t>
      </w:r>
      <w:r>
        <w:rPr>
          <w:color w:val="231F20"/>
          <w:spacing w:val="-11"/>
        </w:rPr>
        <w:t xml:space="preserve"> </w:t>
      </w:r>
      <w:r>
        <w:rPr>
          <w:color w:val="231F20"/>
        </w:rPr>
        <w:t>тощо).</w:t>
      </w:r>
    </w:p>
    <w:p w14:paraId="16954B21" w14:textId="77777777" w:rsidR="00DE575E" w:rsidRDefault="002E7560">
      <w:pPr>
        <w:pStyle w:val="BodyText"/>
        <w:spacing w:before="8" w:line="252" w:lineRule="auto"/>
        <w:ind w:left="250" w:right="410" w:firstLine="283"/>
        <w:jc w:val="both"/>
      </w:pPr>
      <w:r>
        <w:rPr>
          <w:color w:val="231F20"/>
        </w:rPr>
        <w:t>Варто зазначити, що проведення конкурсу, випробування та</w:t>
      </w:r>
      <w:r>
        <w:rPr>
          <w:color w:val="231F20"/>
        </w:rPr>
        <w:t xml:space="preserve"> стажування при прийнятті на службу в органи місцевого самовря- дування здійснюється в порядку, визначеному законодавством України про державну службу.</w:t>
      </w:r>
    </w:p>
    <w:p w14:paraId="786FF35F" w14:textId="77777777" w:rsidR="00DE575E" w:rsidRDefault="002E7560">
      <w:pPr>
        <w:pStyle w:val="BodyText"/>
        <w:spacing w:before="2" w:line="252" w:lineRule="auto"/>
        <w:ind w:left="250" w:right="410" w:firstLine="283"/>
        <w:jc w:val="both"/>
      </w:pPr>
      <w:r>
        <w:rPr>
          <w:b/>
          <w:color w:val="231F20"/>
        </w:rPr>
        <w:t xml:space="preserve">Службова </w:t>
      </w:r>
      <w:r>
        <w:rPr>
          <w:b/>
          <w:color w:val="231F20"/>
          <w:spacing w:val="-4"/>
        </w:rPr>
        <w:t xml:space="preserve">кар’єра </w:t>
      </w:r>
      <w:r>
        <w:rPr>
          <w:color w:val="231F20"/>
        </w:rPr>
        <w:t xml:space="preserve">– це просування по службі посадових осіб місцевого самоврядування через зайняття більш </w:t>
      </w:r>
      <w:r>
        <w:rPr>
          <w:color w:val="231F20"/>
        </w:rPr>
        <w:t xml:space="preserve"> високої  посади  на конкурсній основі або присвоєння йому більш високого </w:t>
      </w:r>
      <w:r>
        <w:rPr>
          <w:color w:val="231F20"/>
          <w:spacing w:val="-4"/>
        </w:rPr>
        <w:t xml:space="preserve">рангу. </w:t>
      </w:r>
      <w:r>
        <w:rPr>
          <w:b/>
          <w:i/>
          <w:color w:val="231F20"/>
        </w:rPr>
        <w:t xml:space="preserve">Ранги </w:t>
      </w:r>
      <w:r>
        <w:rPr>
          <w:color w:val="231F20"/>
        </w:rPr>
        <w:t>в органах місцевого самоврядування присвоюються в межах відповідної категорії посад. Закон «Про службу в органах місцевого самоврядування» передбачив 15 рангів (кожна ка</w:t>
      </w:r>
      <w:r>
        <w:rPr>
          <w:color w:val="231F20"/>
        </w:rPr>
        <w:t>тегорія охоплює три ранги). Ранги присвоюються відповідно до займаної</w:t>
      </w:r>
      <w:r>
        <w:rPr>
          <w:color w:val="231F20"/>
          <w:spacing w:val="1"/>
        </w:rPr>
        <w:t xml:space="preserve"> </w:t>
      </w:r>
      <w:r>
        <w:rPr>
          <w:color w:val="231F20"/>
        </w:rPr>
        <w:t>посади,</w:t>
      </w:r>
    </w:p>
    <w:p w14:paraId="79D8812A" w14:textId="77777777" w:rsidR="00DE575E" w:rsidRDefault="00DE575E">
      <w:pPr>
        <w:pStyle w:val="BodyText"/>
        <w:spacing w:before="8"/>
        <w:rPr>
          <w:sz w:val="12"/>
        </w:rPr>
      </w:pPr>
    </w:p>
    <w:p w14:paraId="01E019A1" w14:textId="77777777" w:rsidR="00DE575E" w:rsidRDefault="002E7560">
      <w:pPr>
        <w:spacing w:before="91"/>
        <w:ind w:right="411"/>
        <w:jc w:val="right"/>
        <w:rPr>
          <w:rFonts w:ascii="Times New Roman"/>
          <w:sz w:val="20"/>
        </w:rPr>
      </w:pPr>
      <w:r>
        <w:rPr>
          <w:rFonts w:ascii="Times New Roman"/>
          <w:color w:val="231F20"/>
          <w:w w:val="90"/>
          <w:sz w:val="20"/>
        </w:rPr>
        <w:t>395</w:t>
      </w:r>
    </w:p>
    <w:p w14:paraId="0D43E23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04A690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1ACAEA4" w14:textId="70384C6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6701948" wp14:editId="0A6217D0">
                <wp:extent cx="4140200" cy="6350"/>
                <wp:effectExtent l="0" t="0" r="12700" b="6350"/>
                <wp:docPr id="410"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11" name="Line 41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AFBB93" id="Group_x0020_40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Uo06vn4CAACYBQAADgAA&#10;AAAAAAAAAAAAAAAsAgAAZHJzL2Uyb0RvYy54bWxQSwECLQAUAAYACAAAACEATKewkNkAAAADAQAA&#10;DwAAAAAAAAAAAAAAAADWBAAAZHJzL2Rvd25yZXYueG1sUEsFBgAAAAAEAAQA8wAAANwFAAAAAA==&#10;">
                <v:line id="Line_x0020_41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Zt8YAAADcAAAADwAAAGRycy9kb3ducmV2LnhtbESP0WrCQBRE34X+w3ILfZG6iRYpqauU&#10;QkH6oDXxA67Z2yR0927Mribt17uC4OMwM2eYxWqwRpyp841jBekkAUFcOt1wpWBffD6/gvABWaNx&#10;TAr+yMNq+TBaYKZdzzs656ESEcI+QwV1CG0mpS9rsugnriWO3o/rLIYou0rqDvsIt0ZOk2QuLTYc&#10;F2ps6aOm8jc/WQXFcRzM9/bL9MX2MJOH42b2f9oo9fQ4vL+BCDSEe/jWXmsFL2kK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2bfGAAAA3AAAAA8AAAAAAAAA&#10;AAAAAAAAoQIAAGRycy9kb3ducmV2LnhtbFBLBQYAAAAABAAEAPkAAACUAwAAAAA=&#10;" strokecolor="#231f20" strokeweight=".5pt"/>
                <w10:anchorlock/>
              </v:group>
            </w:pict>
          </mc:Fallback>
        </mc:AlternateContent>
      </w:r>
    </w:p>
    <w:p w14:paraId="18B4AA7E" w14:textId="77777777" w:rsidR="00DE575E" w:rsidRDefault="00DE575E">
      <w:pPr>
        <w:pStyle w:val="BodyText"/>
        <w:spacing w:before="7"/>
        <w:rPr>
          <w:rFonts w:ascii="AdonisC"/>
          <w:i/>
          <w:sz w:val="11"/>
        </w:rPr>
      </w:pPr>
    </w:p>
    <w:p w14:paraId="65FD67BB" w14:textId="77777777" w:rsidR="00DE575E" w:rsidRDefault="002E7560">
      <w:pPr>
        <w:pStyle w:val="BodyText"/>
        <w:spacing w:before="101" w:line="252" w:lineRule="auto"/>
        <w:ind w:left="533" w:right="127"/>
        <w:jc w:val="both"/>
      </w:pPr>
      <w:r>
        <w:rPr>
          <w:color w:val="231F20"/>
        </w:rPr>
        <w:t>рівня професійної кваліфікації, результатів роботи. Черговий ранг присвоюється за умови, якщо посадова особа успішно відпрацювала на займаній посаді не менш як 2 роки. Посадова особа може бути позбавлена присвоєного ран</w:t>
      </w:r>
      <w:r>
        <w:rPr>
          <w:color w:val="231F20"/>
        </w:rPr>
        <w:t>гу лише за вироком суду.</w:t>
      </w:r>
    </w:p>
    <w:p w14:paraId="45816778" w14:textId="77777777" w:rsidR="00DE575E" w:rsidRDefault="002E7560">
      <w:pPr>
        <w:pStyle w:val="BodyText"/>
        <w:spacing w:before="2" w:line="252" w:lineRule="auto"/>
        <w:ind w:left="533" w:right="126" w:firstLine="283"/>
        <w:jc w:val="both"/>
      </w:pPr>
      <w:r>
        <w:rPr>
          <w:color w:val="231F20"/>
        </w:rPr>
        <w:t>З</w:t>
      </w:r>
      <w:r>
        <w:rPr>
          <w:color w:val="231F20"/>
          <w:spacing w:val="-18"/>
        </w:rPr>
        <w:t xml:space="preserve"> </w:t>
      </w:r>
      <w:r>
        <w:rPr>
          <w:color w:val="231F20"/>
        </w:rPr>
        <w:t>метою</w:t>
      </w:r>
      <w:r>
        <w:rPr>
          <w:color w:val="231F20"/>
          <w:spacing w:val="-18"/>
        </w:rPr>
        <w:t xml:space="preserve"> </w:t>
      </w:r>
      <w:r>
        <w:rPr>
          <w:color w:val="231F20"/>
        </w:rPr>
        <w:t>оцінювання</w:t>
      </w:r>
      <w:r>
        <w:rPr>
          <w:color w:val="231F20"/>
          <w:spacing w:val="-18"/>
        </w:rPr>
        <w:t xml:space="preserve"> </w:t>
      </w:r>
      <w:r>
        <w:rPr>
          <w:color w:val="231F20"/>
        </w:rPr>
        <w:t>ділових</w:t>
      </w:r>
      <w:r>
        <w:rPr>
          <w:color w:val="231F20"/>
          <w:spacing w:val="-18"/>
        </w:rPr>
        <w:t xml:space="preserve"> </w:t>
      </w:r>
      <w:r>
        <w:rPr>
          <w:color w:val="231F20"/>
        </w:rPr>
        <w:t>і</w:t>
      </w:r>
      <w:r>
        <w:rPr>
          <w:color w:val="231F20"/>
          <w:spacing w:val="-19"/>
        </w:rPr>
        <w:t xml:space="preserve"> </w:t>
      </w:r>
      <w:r>
        <w:rPr>
          <w:color w:val="231F20"/>
        </w:rPr>
        <w:t>професійних</w:t>
      </w:r>
      <w:r>
        <w:rPr>
          <w:color w:val="231F20"/>
          <w:spacing w:val="-18"/>
        </w:rPr>
        <w:t xml:space="preserve"> </w:t>
      </w:r>
      <w:r>
        <w:rPr>
          <w:color w:val="231F20"/>
        </w:rPr>
        <w:t>якостей,</w:t>
      </w:r>
      <w:r>
        <w:rPr>
          <w:color w:val="231F20"/>
          <w:spacing w:val="-18"/>
        </w:rPr>
        <w:t xml:space="preserve"> </w:t>
      </w:r>
      <w:r>
        <w:rPr>
          <w:color w:val="231F20"/>
        </w:rPr>
        <w:t>а</w:t>
      </w:r>
      <w:r>
        <w:rPr>
          <w:color w:val="231F20"/>
          <w:spacing w:val="-18"/>
        </w:rPr>
        <w:t xml:space="preserve"> </w:t>
      </w:r>
      <w:r>
        <w:rPr>
          <w:color w:val="231F20"/>
        </w:rPr>
        <w:t>також</w:t>
      </w:r>
      <w:r>
        <w:rPr>
          <w:color w:val="231F20"/>
          <w:spacing w:val="-18"/>
        </w:rPr>
        <w:t xml:space="preserve"> </w:t>
      </w:r>
      <w:r>
        <w:rPr>
          <w:color w:val="231F20"/>
        </w:rPr>
        <w:t>квалі- фікації посадових осіб місцевого самоврядування посадові особи місцевого самоврядування один раз на чотири роки підлягають атестації. Атестації не підлягають сільські</w:t>
      </w:r>
      <w:r>
        <w:rPr>
          <w:color w:val="231F20"/>
        </w:rPr>
        <w:t>, селищні, міські голови, голови</w:t>
      </w:r>
      <w:r>
        <w:rPr>
          <w:color w:val="231F20"/>
          <w:spacing w:val="-9"/>
        </w:rPr>
        <w:t xml:space="preserve"> </w:t>
      </w:r>
      <w:r>
        <w:rPr>
          <w:color w:val="231F20"/>
        </w:rPr>
        <w:t>районних</w:t>
      </w:r>
      <w:r>
        <w:rPr>
          <w:color w:val="231F20"/>
          <w:spacing w:val="-9"/>
        </w:rPr>
        <w:t xml:space="preserve"> </w:t>
      </w:r>
      <w:r>
        <w:rPr>
          <w:color w:val="231F20"/>
        </w:rPr>
        <w:t>у</w:t>
      </w:r>
      <w:r>
        <w:rPr>
          <w:color w:val="231F20"/>
          <w:spacing w:val="-8"/>
        </w:rPr>
        <w:t xml:space="preserve"> </w:t>
      </w:r>
      <w:r>
        <w:rPr>
          <w:color w:val="231F20"/>
        </w:rPr>
        <w:t>містах,</w:t>
      </w:r>
      <w:r>
        <w:rPr>
          <w:color w:val="231F20"/>
          <w:spacing w:val="-9"/>
        </w:rPr>
        <w:t xml:space="preserve"> </w:t>
      </w:r>
      <w:r>
        <w:rPr>
          <w:color w:val="231F20"/>
        </w:rPr>
        <w:t>районних</w:t>
      </w:r>
      <w:r>
        <w:rPr>
          <w:color w:val="231F20"/>
          <w:spacing w:val="-9"/>
        </w:rPr>
        <w:t xml:space="preserve"> </w:t>
      </w:r>
      <w:r>
        <w:rPr>
          <w:color w:val="231F20"/>
        </w:rPr>
        <w:t>і</w:t>
      </w:r>
      <w:r>
        <w:rPr>
          <w:color w:val="231F20"/>
          <w:spacing w:val="-9"/>
        </w:rPr>
        <w:t xml:space="preserve"> </w:t>
      </w:r>
      <w:r>
        <w:rPr>
          <w:color w:val="231F20"/>
        </w:rPr>
        <w:t>обласних</w:t>
      </w:r>
      <w:r>
        <w:rPr>
          <w:color w:val="231F20"/>
          <w:spacing w:val="-9"/>
        </w:rPr>
        <w:t xml:space="preserve"> </w:t>
      </w:r>
      <w:r>
        <w:rPr>
          <w:color w:val="231F20"/>
        </w:rPr>
        <w:t>рад,</w:t>
      </w:r>
      <w:r>
        <w:rPr>
          <w:color w:val="231F20"/>
          <w:spacing w:val="-9"/>
        </w:rPr>
        <w:t xml:space="preserve"> </w:t>
      </w:r>
      <w:r>
        <w:rPr>
          <w:color w:val="231F20"/>
        </w:rPr>
        <w:t>секретарі</w:t>
      </w:r>
      <w:r>
        <w:rPr>
          <w:color w:val="231F20"/>
          <w:spacing w:val="-9"/>
        </w:rPr>
        <w:t xml:space="preserve"> </w:t>
      </w:r>
      <w:r>
        <w:rPr>
          <w:color w:val="231F20"/>
        </w:rPr>
        <w:t>сільсь- ких, селищних, міських рад, працівники патронатної служби, особи, які</w:t>
      </w:r>
      <w:r>
        <w:rPr>
          <w:color w:val="231F20"/>
          <w:spacing w:val="-11"/>
        </w:rPr>
        <w:t xml:space="preserve"> </w:t>
      </w:r>
      <w:r>
        <w:rPr>
          <w:color w:val="231F20"/>
        </w:rPr>
        <w:t>перебувають</w:t>
      </w:r>
      <w:r>
        <w:rPr>
          <w:color w:val="231F20"/>
          <w:spacing w:val="-12"/>
        </w:rPr>
        <w:t xml:space="preserve"> </w:t>
      </w:r>
      <w:r>
        <w:rPr>
          <w:color w:val="231F20"/>
        </w:rPr>
        <w:t>на</w:t>
      </w:r>
      <w:r>
        <w:rPr>
          <w:color w:val="231F20"/>
          <w:spacing w:val="-11"/>
        </w:rPr>
        <w:t xml:space="preserve"> </w:t>
      </w:r>
      <w:r>
        <w:rPr>
          <w:color w:val="231F20"/>
        </w:rPr>
        <w:t>посаді</w:t>
      </w:r>
      <w:r>
        <w:rPr>
          <w:color w:val="231F20"/>
          <w:spacing w:val="-11"/>
        </w:rPr>
        <w:t xml:space="preserve"> </w:t>
      </w:r>
      <w:r>
        <w:rPr>
          <w:color w:val="231F20"/>
        </w:rPr>
        <w:t>менше</w:t>
      </w:r>
      <w:r>
        <w:rPr>
          <w:color w:val="231F20"/>
          <w:spacing w:val="-12"/>
        </w:rPr>
        <w:t xml:space="preserve"> </w:t>
      </w:r>
      <w:r>
        <w:rPr>
          <w:color w:val="231F20"/>
        </w:rPr>
        <w:t>одного</w:t>
      </w:r>
      <w:r>
        <w:rPr>
          <w:color w:val="231F20"/>
          <w:spacing w:val="-12"/>
        </w:rPr>
        <w:t xml:space="preserve"> </w:t>
      </w:r>
      <w:r>
        <w:rPr>
          <w:color w:val="231F20"/>
          <w:spacing w:val="-5"/>
        </w:rPr>
        <w:t>року,</w:t>
      </w:r>
      <w:r>
        <w:rPr>
          <w:color w:val="231F20"/>
          <w:spacing w:val="-12"/>
        </w:rPr>
        <w:t xml:space="preserve"> </w:t>
      </w:r>
      <w:r>
        <w:rPr>
          <w:color w:val="231F20"/>
        </w:rPr>
        <w:t>молоді</w:t>
      </w:r>
      <w:r>
        <w:rPr>
          <w:color w:val="231F20"/>
          <w:spacing w:val="-12"/>
        </w:rPr>
        <w:t xml:space="preserve"> </w:t>
      </w:r>
      <w:r>
        <w:rPr>
          <w:color w:val="231F20"/>
        </w:rPr>
        <w:t>фахівці,</w:t>
      </w:r>
      <w:r>
        <w:rPr>
          <w:color w:val="231F20"/>
          <w:spacing w:val="-12"/>
        </w:rPr>
        <w:t xml:space="preserve"> </w:t>
      </w:r>
      <w:r>
        <w:rPr>
          <w:color w:val="231F20"/>
        </w:rPr>
        <w:t xml:space="preserve">вагітні жінки чи жінки, які працюють менше одного року після </w:t>
      </w:r>
      <w:r>
        <w:rPr>
          <w:color w:val="231F20"/>
          <w:spacing w:val="-2"/>
        </w:rPr>
        <w:t xml:space="preserve">виходу </w:t>
      </w:r>
      <w:r>
        <w:rPr>
          <w:color w:val="231F20"/>
        </w:rPr>
        <w:t xml:space="preserve">на роботу з відпустки по вагітності й пологах чи </w:t>
      </w:r>
      <w:r>
        <w:rPr>
          <w:color w:val="231F20"/>
          <w:spacing w:val="-3"/>
        </w:rPr>
        <w:t xml:space="preserve">догляду </w:t>
      </w:r>
      <w:r>
        <w:rPr>
          <w:color w:val="231F20"/>
        </w:rPr>
        <w:t>за дитиною, особи, прийняті на посаду на визначений строк.</w:t>
      </w:r>
    </w:p>
    <w:p w14:paraId="106B4E13" w14:textId="77777777" w:rsidR="00DE575E" w:rsidRDefault="002E7560">
      <w:pPr>
        <w:pStyle w:val="BodyText"/>
        <w:spacing w:before="5" w:line="252" w:lineRule="auto"/>
        <w:ind w:left="533" w:right="126" w:firstLine="283"/>
        <w:jc w:val="both"/>
      </w:pPr>
      <w:r>
        <w:rPr>
          <w:color w:val="231F20"/>
        </w:rPr>
        <w:t>Порядок</w:t>
      </w:r>
      <w:r>
        <w:rPr>
          <w:color w:val="231F20"/>
          <w:spacing w:val="-11"/>
        </w:rPr>
        <w:t xml:space="preserve"> </w:t>
      </w:r>
      <w:r>
        <w:rPr>
          <w:color w:val="231F20"/>
        </w:rPr>
        <w:t>й</w:t>
      </w:r>
      <w:r>
        <w:rPr>
          <w:color w:val="231F20"/>
          <w:spacing w:val="-10"/>
        </w:rPr>
        <w:t xml:space="preserve"> </w:t>
      </w:r>
      <w:r>
        <w:rPr>
          <w:color w:val="231F20"/>
        </w:rPr>
        <w:t>особливості</w:t>
      </w:r>
      <w:r>
        <w:rPr>
          <w:color w:val="231F20"/>
          <w:spacing w:val="-11"/>
        </w:rPr>
        <w:t xml:space="preserve"> </w:t>
      </w:r>
      <w:r>
        <w:rPr>
          <w:color w:val="231F20"/>
        </w:rPr>
        <w:t>організації</w:t>
      </w:r>
      <w:r>
        <w:rPr>
          <w:color w:val="231F20"/>
          <w:spacing w:val="-11"/>
        </w:rPr>
        <w:t xml:space="preserve"> </w:t>
      </w:r>
      <w:r>
        <w:rPr>
          <w:color w:val="231F20"/>
        </w:rPr>
        <w:t>та</w:t>
      </w:r>
      <w:r>
        <w:rPr>
          <w:color w:val="231F20"/>
          <w:spacing w:val="-11"/>
        </w:rPr>
        <w:t xml:space="preserve"> </w:t>
      </w:r>
      <w:r>
        <w:rPr>
          <w:color w:val="231F20"/>
        </w:rPr>
        <w:t>проведення</w:t>
      </w:r>
      <w:r>
        <w:rPr>
          <w:color w:val="231F20"/>
          <w:spacing w:val="-11"/>
        </w:rPr>
        <w:t xml:space="preserve"> </w:t>
      </w:r>
      <w:r>
        <w:rPr>
          <w:color w:val="231F20"/>
        </w:rPr>
        <w:t>атестації</w:t>
      </w:r>
      <w:r>
        <w:rPr>
          <w:color w:val="231F20"/>
          <w:spacing w:val="-11"/>
        </w:rPr>
        <w:t xml:space="preserve"> </w:t>
      </w:r>
      <w:r>
        <w:rPr>
          <w:color w:val="231F20"/>
        </w:rPr>
        <w:t>визна- чає Типове положення про проведення атестації посадових осіб місцевого самоврядування, яке затверджується Кабінетом Мініст- рів України</w:t>
      </w:r>
      <w:r>
        <w:rPr>
          <w:color w:val="231F20"/>
          <w:position w:val="7"/>
          <w:sz w:val="12"/>
        </w:rPr>
        <w:t>1</w:t>
      </w:r>
      <w:r>
        <w:rPr>
          <w:color w:val="231F20"/>
        </w:rPr>
        <w:t xml:space="preserve">. Зокрема, атестаційна комісія створюється за рішенням сільського, селищного, міського голови, голови районної у </w:t>
      </w:r>
      <w:r>
        <w:rPr>
          <w:color w:val="231F20"/>
        </w:rPr>
        <w:t xml:space="preserve">місті, районної, обласної ради. </w:t>
      </w:r>
      <w:r>
        <w:rPr>
          <w:i/>
          <w:color w:val="231F20"/>
          <w:spacing w:val="-3"/>
        </w:rPr>
        <w:t xml:space="preserve">Головою </w:t>
      </w:r>
      <w:r>
        <w:rPr>
          <w:i/>
          <w:color w:val="231F20"/>
        </w:rPr>
        <w:t xml:space="preserve">атестаційної комісії </w:t>
      </w:r>
      <w:r>
        <w:rPr>
          <w:color w:val="231F20"/>
        </w:rPr>
        <w:t>признача- ється секретар сільської, селищної, міської ради, заступник голови районної у місті, районної, обласної ради. У сільських, селищних радах з нечисленними виконавчими органами (до 5 осіб)</w:t>
      </w:r>
      <w:r>
        <w:rPr>
          <w:color w:val="231F20"/>
        </w:rPr>
        <w:t xml:space="preserve"> атестацію може проводити сільський, селищний</w:t>
      </w:r>
      <w:r>
        <w:rPr>
          <w:color w:val="231F20"/>
          <w:spacing w:val="-4"/>
        </w:rPr>
        <w:t xml:space="preserve"> </w:t>
      </w:r>
      <w:r>
        <w:rPr>
          <w:color w:val="231F20"/>
        </w:rPr>
        <w:t>голова.</w:t>
      </w:r>
    </w:p>
    <w:p w14:paraId="7F9EDC75" w14:textId="77777777" w:rsidR="00DE575E" w:rsidRDefault="002E7560">
      <w:pPr>
        <w:pStyle w:val="BodyText"/>
        <w:spacing w:before="4" w:line="252" w:lineRule="auto"/>
        <w:ind w:left="533" w:right="126" w:firstLine="283"/>
        <w:jc w:val="both"/>
      </w:pPr>
      <w:r>
        <w:rPr>
          <w:color w:val="231F20"/>
        </w:rPr>
        <w:t xml:space="preserve">Атестаційна комісія працює </w:t>
      </w:r>
      <w:r>
        <w:rPr>
          <w:color w:val="231F20"/>
          <w:spacing w:val="-3"/>
        </w:rPr>
        <w:t xml:space="preserve">гласно. </w:t>
      </w:r>
      <w:r>
        <w:rPr>
          <w:color w:val="231F20"/>
        </w:rPr>
        <w:t>Посадова особа має право попередньо ознайомитися з матеріалами її атестації, брати участь  у засіданні комісії, на якому розглядається питання про її атесту- вання,</w:t>
      </w:r>
      <w:r>
        <w:rPr>
          <w:color w:val="231F20"/>
          <w:spacing w:val="-8"/>
        </w:rPr>
        <w:t xml:space="preserve"> </w:t>
      </w:r>
      <w:r>
        <w:rPr>
          <w:color w:val="231F20"/>
        </w:rPr>
        <w:t>ос</w:t>
      </w:r>
      <w:r>
        <w:rPr>
          <w:color w:val="231F20"/>
        </w:rPr>
        <w:t>каржувати</w:t>
      </w:r>
      <w:r>
        <w:rPr>
          <w:color w:val="231F20"/>
          <w:spacing w:val="-8"/>
        </w:rPr>
        <w:t xml:space="preserve"> </w:t>
      </w:r>
      <w:r>
        <w:rPr>
          <w:color w:val="231F20"/>
        </w:rPr>
        <w:t>в</w:t>
      </w:r>
      <w:r>
        <w:rPr>
          <w:color w:val="231F20"/>
          <w:spacing w:val="-9"/>
        </w:rPr>
        <w:t xml:space="preserve"> </w:t>
      </w:r>
      <w:r>
        <w:rPr>
          <w:color w:val="231F20"/>
        </w:rPr>
        <w:t>разі</w:t>
      </w:r>
      <w:r>
        <w:rPr>
          <w:color w:val="231F20"/>
          <w:spacing w:val="-8"/>
        </w:rPr>
        <w:t xml:space="preserve"> </w:t>
      </w:r>
      <w:r>
        <w:rPr>
          <w:color w:val="231F20"/>
        </w:rPr>
        <w:t>незгоди</w:t>
      </w:r>
      <w:r>
        <w:rPr>
          <w:color w:val="231F20"/>
          <w:spacing w:val="-8"/>
        </w:rPr>
        <w:t xml:space="preserve"> </w:t>
      </w:r>
      <w:r>
        <w:rPr>
          <w:color w:val="231F20"/>
        </w:rPr>
        <w:t>рішення</w:t>
      </w:r>
      <w:r>
        <w:rPr>
          <w:color w:val="231F20"/>
          <w:spacing w:val="-9"/>
        </w:rPr>
        <w:t xml:space="preserve"> </w:t>
      </w:r>
      <w:r>
        <w:rPr>
          <w:color w:val="231F20"/>
        </w:rPr>
        <w:t>атестаційної</w:t>
      </w:r>
      <w:r>
        <w:rPr>
          <w:color w:val="231F20"/>
          <w:spacing w:val="-8"/>
        </w:rPr>
        <w:t xml:space="preserve"> </w:t>
      </w:r>
      <w:r>
        <w:rPr>
          <w:color w:val="231F20"/>
        </w:rPr>
        <w:t>комісії</w:t>
      </w:r>
      <w:r>
        <w:rPr>
          <w:color w:val="231F20"/>
          <w:spacing w:val="-9"/>
        </w:rPr>
        <w:t xml:space="preserve"> </w:t>
      </w:r>
      <w:r>
        <w:rPr>
          <w:color w:val="231F20"/>
        </w:rPr>
        <w:t xml:space="preserve">сіль- </w:t>
      </w:r>
      <w:r>
        <w:rPr>
          <w:color w:val="231F20"/>
          <w:spacing w:val="-3"/>
        </w:rPr>
        <w:t xml:space="preserve">ському, </w:t>
      </w:r>
      <w:r>
        <w:rPr>
          <w:color w:val="231F20"/>
        </w:rPr>
        <w:t xml:space="preserve">селищному, міському голові, голові районної у місті, район- ної, обласної ради упродовж 10 днів з дня винесення її рішення або до </w:t>
      </w:r>
      <w:r>
        <w:rPr>
          <w:color w:val="231F20"/>
          <w:spacing w:val="-7"/>
        </w:rPr>
        <w:t xml:space="preserve">суду. </w:t>
      </w:r>
      <w:r>
        <w:rPr>
          <w:color w:val="231F20"/>
        </w:rPr>
        <w:t xml:space="preserve">За </w:t>
      </w:r>
      <w:r>
        <w:rPr>
          <w:color w:val="231F20"/>
          <w:spacing w:val="-3"/>
        </w:rPr>
        <w:t xml:space="preserve">результатами </w:t>
      </w:r>
      <w:r>
        <w:rPr>
          <w:color w:val="231F20"/>
        </w:rPr>
        <w:t xml:space="preserve">атестації атестаційна комісія робить </w:t>
      </w:r>
      <w:r>
        <w:rPr>
          <w:color w:val="231F20"/>
          <w:spacing w:val="-3"/>
        </w:rPr>
        <w:t xml:space="preserve">один </w:t>
      </w:r>
      <w:r>
        <w:rPr>
          <w:color w:val="231F20"/>
        </w:rPr>
        <w:t>із таких висновків: про відповідність займаній посаді; про відповід- ність</w:t>
      </w:r>
      <w:r>
        <w:rPr>
          <w:color w:val="231F20"/>
          <w:spacing w:val="-8"/>
        </w:rPr>
        <w:t xml:space="preserve"> </w:t>
      </w:r>
      <w:r>
        <w:rPr>
          <w:color w:val="231F20"/>
        </w:rPr>
        <w:t>займаній</w:t>
      </w:r>
      <w:r>
        <w:rPr>
          <w:color w:val="231F20"/>
          <w:spacing w:val="-8"/>
        </w:rPr>
        <w:t xml:space="preserve"> </w:t>
      </w:r>
      <w:r>
        <w:rPr>
          <w:color w:val="231F20"/>
        </w:rPr>
        <w:t>посаді</w:t>
      </w:r>
      <w:r>
        <w:rPr>
          <w:color w:val="231F20"/>
          <w:spacing w:val="-8"/>
        </w:rPr>
        <w:t xml:space="preserve"> </w:t>
      </w:r>
      <w:r>
        <w:rPr>
          <w:color w:val="231F20"/>
        </w:rPr>
        <w:t>за</w:t>
      </w:r>
      <w:r>
        <w:rPr>
          <w:color w:val="231F20"/>
          <w:spacing w:val="-8"/>
        </w:rPr>
        <w:t xml:space="preserve"> </w:t>
      </w:r>
      <w:r>
        <w:rPr>
          <w:color w:val="231F20"/>
        </w:rPr>
        <w:t>певних</w:t>
      </w:r>
      <w:r>
        <w:rPr>
          <w:color w:val="231F20"/>
          <w:spacing w:val="-8"/>
        </w:rPr>
        <w:t xml:space="preserve"> </w:t>
      </w:r>
      <w:r>
        <w:rPr>
          <w:color w:val="231F20"/>
        </w:rPr>
        <w:t>умов</w:t>
      </w:r>
      <w:r>
        <w:rPr>
          <w:color w:val="231F20"/>
          <w:spacing w:val="-8"/>
        </w:rPr>
        <w:t xml:space="preserve"> </w:t>
      </w:r>
      <w:r>
        <w:rPr>
          <w:color w:val="231F20"/>
        </w:rPr>
        <w:t>(здобуття</w:t>
      </w:r>
      <w:r>
        <w:rPr>
          <w:color w:val="231F20"/>
          <w:spacing w:val="-8"/>
        </w:rPr>
        <w:t xml:space="preserve"> </w:t>
      </w:r>
      <w:r>
        <w:rPr>
          <w:color w:val="231F20"/>
        </w:rPr>
        <w:t>освіти,</w:t>
      </w:r>
      <w:r>
        <w:rPr>
          <w:color w:val="231F20"/>
          <w:spacing w:val="-8"/>
        </w:rPr>
        <w:t xml:space="preserve"> </w:t>
      </w:r>
      <w:r>
        <w:rPr>
          <w:color w:val="231F20"/>
        </w:rPr>
        <w:t xml:space="preserve">проходження стажування, набуття відповідних навичок, підвищення кваліфіка- ції тощо); про </w:t>
      </w:r>
      <w:r>
        <w:rPr>
          <w:color w:val="231F20"/>
        </w:rPr>
        <w:t xml:space="preserve">невідповідність займаній посаді. </w:t>
      </w:r>
      <w:r>
        <w:rPr>
          <w:color w:val="231F20"/>
          <w:spacing w:val="-3"/>
        </w:rPr>
        <w:t xml:space="preserve">Результати </w:t>
      </w:r>
      <w:r>
        <w:rPr>
          <w:color w:val="231F20"/>
        </w:rPr>
        <w:t>атестації мають рекомендаційний</w:t>
      </w:r>
      <w:r>
        <w:rPr>
          <w:color w:val="231F20"/>
          <w:spacing w:val="-2"/>
        </w:rPr>
        <w:t xml:space="preserve"> </w:t>
      </w:r>
      <w:r>
        <w:rPr>
          <w:color w:val="231F20"/>
        </w:rPr>
        <w:t>характер.</w:t>
      </w:r>
    </w:p>
    <w:p w14:paraId="0C7C5F21" w14:textId="6073238C" w:rsidR="00DE575E" w:rsidRDefault="002E7560">
      <w:pPr>
        <w:pStyle w:val="BodyText"/>
        <w:spacing w:before="6"/>
        <w:rPr>
          <w:sz w:val="19"/>
        </w:rPr>
      </w:pPr>
      <w:r>
        <w:rPr>
          <w:noProof/>
        </w:rPr>
        <mc:AlternateContent>
          <mc:Choice Requires="wps">
            <w:drawing>
              <wp:anchor distT="0" distB="0" distL="0" distR="0" simplePos="0" relativeHeight="15520" behindDoc="0" locked="0" layoutInCell="1" allowOverlap="1" wp14:anchorId="3DB2F1F4" wp14:editId="66623409">
                <wp:simplePos x="0" y="0"/>
                <wp:positionH relativeFrom="page">
                  <wp:posOffset>719455</wp:posOffset>
                </wp:positionH>
                <wp:positionV relativeFrom="paragraph">
                  <wp:posOffset>173355</wp:posOffset>
                </wp:positionV>
                <wp:extent cx="1080135" cy="0"/>
                <wp:effectExtent l="8255" t="8255" r="29210" b="29845"/>
                <wp:wrapTopAndBottom/>
                <wp:docPr id="409"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A9ECC" id="Line_x0020_408" o:spid="_x0000_s1026" style="position:absolute;z-index: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65pt" to="141.7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ts2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" strokecolor="#231f20" strokeweight=".5pt">
                <w10:wrap type="topAndBottom" anchorx="page"/>
              </v:line>
            </w:pict>
          </mc:Fallback>
        </mc:AlternateContent>
      </w:r>
    </w:p>
    <w:p w14:paraId="1A5A3AC0" w14:textId="77777777" w:rsidR="00DE575E" w:rsidRDefault="002E7560">
      <w:pPr>
        <w:spacing w:line="204" w:lineRule="auto"/>
        <w:ind w:left="533" w:right="128"/>
        <w:rPr>
          <w:sz w:val="16"/>
        </w:rPr>
      </w:pPr>
      <w:r>
        <w:rPr>
          <w:color w:val="231F20"/>
          <w:position w:val="5"/>
          <w:sz w:val="9"/>
        </w:rPr>
        <w:t xml:space="preserve">1 </w:t>
      </w:r>
      <w:r>
        <w:rPr>
          <w:color w:val="231F20"/>
          <w:sz w:val="16"/>
        </w:rPr>
        <w:t>Про затвердження Типового положення про порядок проведення атестації посадових осіб місцевого самоврядування : Постанова Кабінету Міністрів України від 21.10.2001 р.</w:t>
      </w:r>
    </w:p>
    <w:p w14:paraId="128C8F5A" w14:textId="77777777" w:rsidR="00DE575E" w:rsidRDefault="002E7560">
      <w:pPr>
        <w:spacing w:line="166" w:lineRule="exact"/>
        <w:ind w:left="533"/>
        <w:rPr>
          <w:sz w:val="16"/>
        </w:rPr>
      </w:pPr>
      <w:r>
        <w:rPr>
          <w:color w:val="231F20"/>
          <w:sz w:val="16"/>
        </w:rPr>
        <w:t>№ 1440</w:t>
      </w:r>
    </w:p>
    <w:p w14:paraId="35641AA1" w14:textId="77777777" w:rsidR="00DE575E" w:rsidRDefault="00DE575E">
      <w:pPr>
        <w:pStyle w:val="BodyText"/>
        <w:spacing w:before="7"/>
        <w:rPr>
          <w:sz w:val="11"/>
        </w:rPr>
      </w:pPr>
    </w:p>
    <w:p w14:paraId="5C5E6F66" w14:textId="77777777" w:rsidR="00DE575E" w:rsidRDefault="002E7560">
      <w:pPr>
        <w:spacing w:before="92"/>
        <w:ind w:left="533"/>
        <w:rPr>
          <w:rFonts w:ascii="Times New Roman"/>
          <w:sz w:val="20"/>
        </w:rPr>
      </w:pPr>
      <w:r>
        <w:rPr>
          <w:rFonts w:ascii="Times New Roman"/>
          <w:color w:val="231F20"/>
          <w:sz w:val="20"/>
        </w:rPr>
        <w:t>396</w:t>
      </w:r>
    </w:p>
    <w:p w14:paraId="2DE47EE3" w14:textId="77777777" w:rsidR="00DE575E" w:rsidRDefault="00DE575E">
      <w:pPr>
        <w:rPr>
          <w:rFonts w:ascii="Times New Roman"/>
          <w:sz w:val="20"/>
        </w:rPr>
        <w:sectPr w:rsidR="00DE575E">
          <w:pgSz w:w="8510" w:h="12760"/>
          <w:pgMar w:top="660" w:right="720" w:bottom="280" w:left="600" w:header="720" w:footer="720" w:gutter="0"/>
          <w:cols w:space="720"/>
        </w:sectPr>
      </w:pPr>
    </w:p>
    <w:p w14:paraId="31E49458"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самоврядування</w:t>
      </w:r>
    </w:p>
    <w:p w14:paraId="291BD18E" w14:textId="186CE1A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F8F9F5" wp14:editId="071A5649">
                <wp:extent cx="4140200" cy="6350"/>
                <wp:effectExtent l="0" t="0" r="12700" b="6350"/>
                <wp:docPr id="40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08" name="Line 40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5DA577" id="Group_x0020_40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G2DsRgAIAAJgFAAAO&#10;AAAAAAAAAAAAAAAAACwCAABkcnMvZTJvRG9jLnhtbFBLAQItABQABgAIAAAAIQBMp7CQ2QAAAAMB&#10;AAAPAAAAAAAAAAAAAAAAANgEAABkcnMvZG93bnJldi54bWxQSwUGAAAAAAQABADzAAAA3gUAAAAA&#10;">
                <v:line id="Line_x0020_40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zm98QAAADcAAAADwAAAGRycy9kb3ducmV2LnhtbERP3WrCMBS+F/YO4Qy8kZn6wxhdUxnC&#10;YOxCZ7sHODZnbVlyUptoO5/eXAy8/Pj+s81ojbhQ71vHChbzBARx5XTLtYLv8v3pBYQPyBqNY1Lw&#10;Rx42+cMkw1S7gQ90KUItYgj7FBU0IXSplL5qyKKfu444cj+utxgi7GupexxiuDVymSTP0mLLsaHB&#10;jrYNVb/F2SooT7NgvvafZij3x5U8nnar63mn1PRxfHsFEWgMd/G/+0MrWCdxbTwTj4DM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nOb3xAAAANwAAAAPAAAAAAAAAAAA&#10;AAAAAKECAABkcnMvZG93bnJldi54bWxQSwUGAAAAAAQABAD5AAAAkgMAAAAA&#10;" strokecolor="#231f20" strokeweight=".5pt"/>
                <w10:anchorlock/>
              </v:group>
            </w:pict>
          </mc:Fallback>
        </mc:AlternateContent>
      </w:r>
    </w:p>
    <w:p w14:paraId="2B430968" w14:textId="77777777" w:rsidR="00DE575E" w:rsidRDefault="00DE575E">
      <w:pPr>
        <w:pStyle w:val="BodyText"/>
        <w:spacing w:before="7"/>
        <w:rPr>
          <w:rFonts w:ascii="AdonisC"/>
          <w:i/>
          <w:sz w:val="19"/>
        </w:rPr>
      </w:pPr>
    </w:p>
    <w:p w14:paraId="45CCA5EF" w14:textId="77777777" w:rsidR="00DE575E" w:rsidRDefault="002E7560">
      <w:pPr>
        <w:pStyle w:val="BodyText"/>
        <w:spacing w:before="1" w:line="252" w:lineRule="auto"/>
        <w:ind w:left="250" w:right="408" w:firstLine="283"/>
        <w:jc w:val="both"/>
      </w:pPr>
      <w:r>
        <w:rPr>
          <w:color w:val="231F20"/>
        </w:rPr>
        <w:t>У той же час відповідно до висновку атестаційна комісія пропо- нує  сільському,   селищному,   міському   голові,   голові   районної   у місті, районної, обласної ради: 1) визнати посадову особу атесто- ваною; 2) призн</w:t>
      </w:r>
      <w:r>
        <w:rPr>
          <w:color w:val="231F20"/>
        </w:rPr>
        <w:t>ачити упродовж року повторне атестування (за згодою посадової особи); 3) зарахувати посадову особу до кадро- вого резерву або призначити її на вищу посаду; 4) перевести поса- дову особу на іншу посаду, що відповідає її кваліфікації, або звіль- нити її з за</w:t>
      </w:r>
      <w:r>
        <w:rPr>
          <w:color w:val="231F20"/>
        </w:rPr>
        <w:t xml:space="preserve">йманої посади. Відповідно до ч. 7 </w:t>
      </w:r>
      <w:r>
        <w:rPr>
          <w:color w:val="231F20"/>
          <w:spacing w:val="-5"/>
        </w:rPr>
        <w:t xml:space="preserve">ст. </w:t>
      </w:r>
      <w:r>
        <w:rPr>
          <w:color w:val="231F20"/>
        </w:rPr>
        <w:t xml:space="preserve">17 Закону «Про службу в органах місцевого самоврядування» «спори, що виника- ють у зв’язку з  проведенням  атестації,  вирішуються  відповідно  до законодавства про порядок вирішення індивідуальних трудо- вих спорів». </w:t>
      </w:r>
      <w:r>
        <w:rPr>
          <w:color w:val="231F20"/>
        </w:rPr>
        <w:t>Додамо, що такі суперечки є спорами з питань проход- ження публічної служби, а тому їх вирішення можливе і в порядку адміністративного</w:t>
      </w:r>
      <w:r>
        <w:rPr>
          <w:color w:val="231F20"/>
          <w:spacing w:val="3"/>
        </w:rPr>
        <w:t xml:space="preserve"> </w:t>
      </w:r>
      <w:r>
        <w:rPr>
          <w:color w:val="231F20"/>
        </w:rPr>
        <w:t>судочинства.</w:t>
      </w:r>
    </w:p>
    <w:p w14:paraId="5706A2C8" w14:textId="77777777" w:rsidR="00DE575E" w:rsidRDefault="002E7560">
      <w:pPr>
        <w:pStyle w:val="BodyText"/>
        <w:spacing w:before="7" w:line="252" w:lineRule="auto"/>
        <w:ind w:left="250" w:right="410" w:firstLine="283"/>
        <w:jc w:val="both"/>
      </w:pPr>
      <w:r>
        <w:rPr>
          <w:i/>
          <w:color w:val="231F20"/>
        </w:rPr>
        <w:t>Граничний</w:t>
      </w:r>
      <w:r>
        <w:rPr>
          <w:i/>
          <w:color w:val="231F20"/>
          <w:spacing w:val="-8"/>
        </w:rPr>
        <w:t xml:space="preserve"> </w:t>
      </w:r>
      <w:r>
        <w:rPr>
          <w:i/>
          <w:color w:val="231F20"/>
        </w:rPr>
        <w:t>вік</w:t>
      </w:r>
      <w:r>
        <w:rPr>
          <w:i/>
          <w:color w:val="231F20"/>
          <w:spacing w:val="-8"/>
        </w:rPr>
        <w:t xml:space="preserve"> </w:t>
      </w:r>
      <w:r>
        <w:rPr>
          <w:i/>
          <w:color w:val="231F20"/>
        </w:rPr>
        <w:t>перебування</w:t>
      </w:r>
      <w:r>
        <w:rPr>
          <w:i/>
          <w:color w:val="231F20"/>
          <w:spacing w:val="-8"/>
        </w:rPr>
        <w:t xml:space="preserve"> </w:t>
      </w:r>
      <w:r>
        <w:rPr>
          <w:i/>
          <w:color w:val="231F20"/>
        </w:rPr>
        <w:t>на</w:t>
      </w:r>
      <w:r>
        <w:rPr>
          <w:i/>
          <w:color w:val="231F20"/>
          <w:spacing w:val="-8"/>
        </w:rPr>
        <w:t xml:space="preserve"> </w:t>
      </w:r>
      <w:r>
        <w:rPr>
          <w:i/>
          <w:color w:val="231F20"/>
        </w:rPr>
        <w:t>службі</w:t>
      </w:r>
      <w:r>
        <w:rPr>
          <w:i/>
          <w:color w:val="231F20"/>
          <w:spacing w:val="-8"/>
        </w:rPr>
        <w:t xml:space="preserve"> </w:t>
      </w:r>
      <w:r>
        <w:rPr>
          <w:i/>
          <w:color w:val="231F20"/>
        </w:rPr>
        <w:t>в</w:t>
      </w:r>
      <w:r>
        <w:rPr>
          <w:i/>
          <w:color w:val="231F20"/>
          <w:spacing w:val="-8"/>
        </w:rPr>
        <w:t xml:space="preserve"> </w:t>
      </w:r>
      <w:r>
        <w:rPr>
          <w:i/>
          <w:color w:val="231F20"/>
        </w:rPr>
        <w:t>органах</w:t>
      </w:r>
      <w:r>
        <w:rPr>
          <w:i/>
          <w:color w:val="231F20"/>
          <w:spacing w:val="-8"/>
        </w:rPr>
        <w:t xml:space="preserve"> </w:t>
      </w:r>
      <w:r>
        <w:rPr>
          <w:i/>
          <w:color w:val="231F20"/>
        </w:rPr>
        <w:t>місцевого</w:t>
      </w:r>
      <w:r>
        <w:rPr>
          <w:i/>
          <w:color w:val="231F20"/>
          <w:spacing w:val="-8"/>
        </w:rPr>
        <w:t xml:space="preserve"> </w:t>
      </w:r>
      <w:r>
        <w:rPr>
          <w:i/>
          <w:color w:val="231F20"/>
        </w:rPr>
        <w:t>самовря- дування</w:t>
      </w:r>
      <w:r>
        <w:rPr>
          <w:i/>
          <w:color w:val="231F20"/>
          <w:spacing w:val="-6"/>
        </w:rPr>
        <w:t xml:space="preserve"> </w:t>
      </w:r>
      <w:r>
        <w:rPr>
          <w:color w:val="231F20"/>
        </w:rPr>
        <w:t>становить</w:t>
      </w:r>
      <w:r>
        <w:rPr>
          <w:color w:val="231F20"/>
          <w:spacing w:val="-6"/>
        </w:rPr>
        <w:t xml:space="preserve"> </w:t>
      </w:r>
      <w:r>
        <w:rPr>
          <w:color w:val="231F20"/>
        </w:rPr>
        <w:t>65</w:t>
      </w:r>
      <w:r>
        <w:rPr>
          <w:color w:val="231F20"/>
          <w:spacing w:val="-7"/>
        </w:rPr>
        <w:t xml:space="preserve"> </w:t>
      </w:r>
      <w:r>
        <w:rPr>
          <w:color w:val="231F20"/>
        </w:rPr>
        <w:t>років.</w:t>
      </w:r>
      <w:r>
        <w:rPr>
          <w:color w:val="231F20"/>
          <w:spacing w:val="-7"/>
        </w:rPr>
        <w:t xml:space="preserve"> </w:t>
      </w:r>
      <w:r>
        <w:rPr>
          <w:color w:val="231F20"/>
        </w:rPr>
        <w:t>Ці</w:t>
      </w:r>
      <w:r>
        <w:rPr>
          <w:color w:val="231F20"/>
          <w:spacing w:val="-7"/>
        </w:rPr>
        <w:t xml:space="preserve"> </w:t>
      </w:r>
      <w:r>
        <w:rPr>
          <w:color w:val="231F20"/>
        </w:rPr>
        <w:t>обмеження</w:t>
      </w:r>
      <w:r>
        <w:rPr>
          <w:color w:val="231F20"/>
          <w:spacing w:val="-7"/>
        </w:rPr>
        <w:t xml:space="preserve"> </w:t>
      </w:r>
      <w:r>
        <w:rPr>
          <w:color w:val="231F20"/>
        </w:rPr>
        <w:t>не</w:t>
      </w:r>
      <w:r>
        <w:rPr>
          <w:color w:val="231F20"/>
          <w:spacing w:val="-7"/>
        </w:rPr>
        <w:t xml:space="preserve"> </w:t>
      </w:r>
      <w:r>
        <w:rPr>
          <w:color w:val="231F20"/>
        </w:rPr>
        <w:t>поширюються</w:t>
      </w:r>
      <w:r>
        <w:rPr>
          <w:color w:val="231F20"/>
          <w:spacing w:val="-7"/>
        </w:rPr>
        <w:t xml:space="preserve"> </w:t>
      </w:r>
      <w:r>
        <w:rPr>
          <w:color w:val="231F20"/>
        </w:rPr>
        <w:t>на</w:t>
      </w:r>
      <w:r>
        <w:rPr>
          <w:color w:val="231F20"/>
          <w:spacing w:val="-6"/>
        </w:rPr>
        <w:t xml:space="preserve"> </w:t>
      </w:r>
      <w:r>
        <w:rPr>
          <w:color w:val="231F20"/>
        </w:rPr>
        <w:t>поса- дових осіб місцевого самоврядування, які обираються на відповідні посади. Після досягнення граничного віку перебування на службі    в органах місцевого самоврядування посадові особи місцевого</w:t>
      </w:r>
      <w:r>
        <w:rPr>
          <w:color w:val="231F20"/>
          <w:spacing w:val="-33"/>
        </w:rPr>
        <w:t xml:space="preserve"> </w:t>
      </w:r>
      <w:r>
        <w:rPr>
          <w:color w:val="231F20"/>
        </w:rPr>
        <w:t>само- врядування</w:t>
      </w:r>
      <w:r>
        <w:rPr>
          <w:color w:val="231F20"/>
          <w:spacing w:val="-12"/>
        </w:rPr>
        <w:t xml:space="preserve"> </w:t>
      </w:r>
      <w:r>
        <w:rPr>
          <w:color w:val="231F20"/>
        </w:rPr>
        <w:t>за</w:t>
      </w:r>
      <w:r>
        <w:rPr>
          <w:color w:val="231F20"/>
          <w:spacing w:val="-12"/>
        </w:rPr>
        <w:t xml:space="preserve"> </w:t>
      </w:r>
      <w:r>
        <w:rPr>
          <w:color w:val="231F20"/>
        </w:rPr>
        <w:t>рішенням</w:t>
      </w:r>
      <w:r>
        <w:rPr>
          <w:color w:val="231F20"/>
          <w:spacing w:val="-12"/>
        </w:rPr>
        <w:t xml:space="preserve"> </w:t>
      </w:r>
      <w:r>
        <w:rPr>
          <w:color w:val="231F20"/>
        </w:rPr>
        <w:t>відповідного</w:t>
      </w:r>
      <w:r>
        <w:rPr>
          <w:color w:val="231F20"/>
          <w:spacing w:val="-12"/>
        </w:rPr>
        <w:t xml:space="preserve"> </w:t>
      </w:r>
      <w:r>
        <w:rPr>
          <w:color w:val="231F20"/>
        </w:rPr>
        <w:t>голови</w:t>
      </w:r>
      <w:r>
        <w:rPr>
          <w:color w:val="231F20"/>
          <w:spacing w:val="-12"/>
        </w:rPr>
        <w:t xml:space="preserve"> </w:t>
      </w:r>
      <w:r>
        <w:rPr>
          <w:color w:val="231F20"/>
        </w:rPr>
        <w:t>можуть</w:t>
      </w:r>
      <w:r>
        <w:rPr>
          <w:color w:val="231F20"/>
          <w:spacing w:val="-12"/>
        </w:rPr>
        <w:t xml:space="preserve"> </w:t>
      </w:r>
      <w:r>
        <w:rPr>
          <w:color w:val="231F20"/>
        </w:rPr>
        <w:t>бути</w:t>
      </w:r>
      <w:r>
        <w:rPr>
          <w:color w:val="231F20"/>
          <w:spacing w:val="-12"/>
        </w:rPr>
        <w:t xml:space="preserve"> </w:t>
      </w:r>
      <w:r>
        <w:rPr>
          <w:color w:val="231F20"/>
        </w:rPr>
        <w:t xml:space="preserve">залишені на посадах радників чи консультантів (патронатна служба), якщо такі посади передбачені штатним розписом, на умовах строкового </w:t>
      </w:r>
      <w:r>
        <w:rPr>
          <w:color w:val="231F20"/>
          <w:spacing w:val="-3"/>
        </w:rPr>
        <w:t>трудового</w:t>
      </w:r>
      <w:r>
        <w:rPr>
          <w:color w:val="231F20"/>
          <w:spacing w:val="-1"/>
        </w:rPr>
        <w:t xml:space="preserve"> </w:t>
      </w:r>
      <w:r>
        <w:rPr>
          <w:color w:val="231F20"/>
          <w:spacing w:val="-3"/>
        </w:rPr>
        <w:t>договору.</w:t>
      </w:r>
    </w:p>
    <w:p w14:paraId="349FAE25" w14:textId="77777777" w:rsidR="00DE575E" w:rsidRDefault="002E7560">
      <w:pPr>
        <w:pStyle w:val="BodyText"/>
        <w:spacing w:before="4" w:line="252" w:lineRule="auto"/>
        <w:ind w:left="250" w:right="410" w:firstLine="283"/>
        <w:jc w:val="both"/>
      </w:pPr>
      <w:r>
        <w:rPr>
          <w:color w:val="231F20"/>
        </w:rPr>
        <w:t>Сучасний період будівництва суверенної держави постійно потребує вдосконалення при</w:t>
      </w:r>
      <w:r>
        <w:rPr>
          <w:color w:val="231F20"/>
        </w:rPr>
        <w:t xml:space="preserve">нципів та критеріїв, які б забезпе- чували дотримання норм і вимог </w:t>
      </w:r>
      <w:r>
        <w:rPr>
          <w:color w:val="231F20"/>
          <w:spacing w:val="-3"/>
        </w:rPr>
        <w:t xml:space="preserve">закону, </w:t>
      </w:r>
      <w:r>
        <w:rPr>
          <w:color w:val="231F20"/>
        </w:rPr>
        <w:t>захищали загальнолюд- ські цінності, суспільні інтереси</w:t>
      </w:r>
      <w:r>
        <w:rPr>
          <w:color w:val="231F20"/>
          <w:position w:val="7"/>
          <w:sz w:val="12"/>
        </w:rPr>
        <w:t>1</w:t>
      </w:r>
      <w:r>
        <w:rPr>
          <w:color w:val="231F20"/>
        </w:rPr>
        <w:t xml:space="preserve">. Для цього законодавство </w:t>
      </w:r>
      <w:r>
        <w:rPr>
          <w:color w:val="231F20"/>
          <w:spacing w:val="-3"/>
        </w:rPr>
        <w:t xml:space="preserve">України </w:t>
      </w:r>
      <w:r>
        <w:rPr>
          <w:color w:val="231F20"/>
        </w:rPr>
        <w:t>передбачає оцінювання роботи посадових осіб органів місцевого самоврядування</w:t>
      </w:r>
      <w:r>
        <w:rPr>
          <w:color w:val="231F20"/>
          <w:spacing w:val="-16"/>
        </w:rPr>
        <w:t xml:space="preserve"> </w:t>
      </w:r>
      <w:r>
        <w:rPr>
          <w:color w:val="231F20"/>
        </w:rPr>
        <w:t>у</w:t>
      </w:r>
      <w:r>
        <w:rPr>
          <w:color w:val="231F20"/>
          <w:spacing w:val="-17"/>
        </w:rPr>
        <w:t xml:space="preserve"> </w:t>
      </w:r>
      <w:r>
        <w:rPr>
          <w:color w:val="231F20"/>
        </w:rPr>
        <w:t>вигляді</w:t>
      </w:r>
      <w:r>
        <w:rPr>
          <w:color w:val="231F20"/>
          <w:spacing w:val="-16"/>
        </w:rPr>
        <w:t xml:space="preserve"> </w:t>
      </w:r>
      <w:r>
        <w:rPr>
          <w:color w:val="231F20"/>
        </w:rPr>
        <w:t>щорі</w:t>
      </w:r>
      <w:r>
        <w:rPr>
          <w:color w:val="231F20"/>
        </w:rPr>
        <w:t>чної</w:t>
      </w:r>
      <w:r>
        <w:rPr>
          <w:color w:val="231F20"/>
          <w:spacing w:val="-16"/>
        </w:rPr>
        <w:t xml:space="preserve"> </w:t>
      </w:r>
      <w:r>
        <w:rPr>
          <w:color w:val="231F20"/>
        </w:rPr>
        <w:t>оцінки,</w:t>
      </w:r>
      <w:r>
        <w:rPr>
          <w:color w:val="231F20"/>
          <w:spacing w:val="-16"/>
        </w:rPr>
        <w:t xml:space="preserve"> </w:t>
      </w:r>
      <w:r>
        <w:rPr>
          <w:color w:val="231F20"/>
        </w:rPr>
        <w:t>яка</w:t>
      </w:r>
      <w:r>
        <w:rPr>
          <w:color w:val="231F20"/>
          <w:spacing w:val="-16"/>
        </w:rPr>
        <w:t xml:space="preserve"> </w:t>
      </w:r>
      <w:r>
        <w:rPr>
          <w:color w:val="231F20"/>
        </w:rPr>
        <w:t>проводиться</w:t>
      </w:r>
      <w:r>
        <w:rPr>
          <w:color w:val="231F20"/>
          <w:spacing w:val="-16"/>
        </w:rPr>
        <w:t xml:space="preserve"> </w:t>
      </w:r>
      <w:r>
        <w:rPr>
          <w:color w:val="231F20"/>
        </w:rPr>
        <w:t>в</w:t>
      </w:r>
      <w:r>
        <w:rPr>
          <w:color w:val="231F20"/>
          <w:spacing w:val="-17"/>
        </w:rPr>
        <w:t xml:space="preserve"> </w:t>
      </w:r>
      <w:r>
        <w:rPr>
          <w:color w:val="231F20"/>
        </w:rPr>
        <w:t>період між</w:t>
      </w:r>
      <w:r>
        <w:rPr>
          <w:color w:val="231F20"/>
          <w:spacing w:val="-1"/>
        </w:rPr>
        <w:t xml:space="preserve"> </w:t>
      </w:r>
      <w:r>
        <w:rPr>
          <w:color w:val="231F20"/>
        </w:rPr>
        <w:t>атестаціями.</w:t>
      </w:r>
    </w:p>
    <w:p w14:paraId="6CE892F6" w14:textId="77777777" w:rsidR="00DE575E" w:rsidRDefault="002E7560">
      <w:pPr>
        <w:pStyle w:val="BodyText"/>
        <w:spacing w:before="3" w:line="252" w:lineRule="auto"/>
        <w:ind w:left="250" w:right="410" w:firstLine="283"/>
        <w:jc w:val="both"/>
      </w:pPr>
      <w:r>
        <w:rPr>
          <w:color w:val="231F20"/>
        </w:rPr>
        <w:t xml:space="preserve">Питання організації навчання і підвищення кваліфікації посадо- вих осіб місцевого самоврядування, просування їх по службі, визна- чення тривалості робочого </w:t>
      </w:r>
      <w:r>
        <w:rPr>
          <w:color w:val="231F20"/>
          <w:spacing w:val="-4"/>
        </w:rPr>
        <w:t xml:space="preserve">часу, </w:t>
      </w:r>
      <w:r>
        <w:rPr>
          <w:color w:val="231F20"/>
        </w:rPr>
        <w:t>порядку здійснення ними службо- вих</w:t>
      </w:r>
      <w:r>
        <w:rPr>
          <w:color w:val="231F20"/>
          <w:spacing w:val="-10"/>
        </w:rPr>
        <w:t xml:space="preserve"> </w:t>
      </w:r>
      <w:r>
        <w:rPr>
          <w:color w:val="231F20"/>
        </w:rPr>
        <w:t>від</w:t>
      </w:r>
      <w:r>
        <w:rPr>
          <w:color w:val="231F20"/>
        </w:rPr>
        <w:t>ряджень</w:t>
      </w:r>
      <w:r>
        <w:rPr>
          <w:color w:val="231F20"/>
          <w:spacing w:val="-10"/>
        </w:rPr>
        <w:t xml:space="preserve"> </w:t>
      </w:r>
      <w:r>
        <w:rPr>
          <w:color w:val="231F20"/>
        </w:rPr>
        <w:t>та</w:t>
      </w:r>
      <w:r>
        <w:rPr>
          <w:color w:val="231F20"/>
          <w:spacing w:val="-10"/>
        </w:rPr>
        <w:t xml:space="preserve"> </w:t>
      </w:r>
      <w:r>
        <w:rPr>
          <w:color w:val="231F20"/>
        </w:rPr>
        <w:t>відшкодування</w:t>
      </w:r>
      <w:r>
        <w:rPr>
          <w:color w:val="231F20"/>
          <w:spacing w:val="-10"/>
        </w:rPr>
        <w:t xml:space="preserve"> </w:t>
      </w:r>
      <w:r>
        <w:rPr>
          <w:color w:val="231F20"/>
        </w:rPr>
        <w:t>витрат</w:t>
      </w:r>
      <w:r>
        <w:rPr>
          <w:color w:val="231F20"/>
          <w:spacing w:val="-10"/>
        </w:rPr>
        <w:t xml:space="preserve"> </w:t>
      </w:r>
      <w:r>
        <w:rPr>
          <w:color w:val="231F20"/>
        </w:rPr>
        <w:t>на</w:t>
      </w:r>
      <w:r>
        <w:rPr>
          <w:color w:val="231F20"/>
          <w:spacing w:val="-10"/>
        </w:rPr>
        <w:t xml:space="preserve"> </w:t>
      </w:r>
      <w:r>
        <w:rPr>
          <w:color w:val="231F20"/>
        </w:rPr>
        <w:t>ці</w:t>
      </w:r>
      <w:r>
        <w:rPr>
          <w:color w:val="231F20"/>
          <w:spacing w:val="-10"/>
        </w:rPr>
        <w:t xml:space="preserve"> </w:t>
      </w:r>
      <w:r>
        <w:rPr>
          <w:color w:val="231F20"/>
        </w:rPr>
        <w:t>відрядження,</w:t>
      </w:r>
      <w:r>
        <w:rPr>
          <w:color w:val="231F20"/>
          <w:spacing w:val="-10"/>
        </w:rPr>
        <w:t xml:space="preserve"> </w:t>
      </w:r>
      <w:r>
        <w:rPr>
          <w:color w:val="231F20"/>
        </w:rPr>
        <w:t>а</w:t>
      </w:r>
      <w:r>
        <w:rPr>
          <w:color w:val="231F20"/>
          <w:spacing w:val="-10"/>
        </w:rPr>
        <w:t xml:space="preserve"> </w:t>
      </w:r>
      <w:r>
        <w:rPr>
          <w:color w:val="231F20"/>
        </w:rPr>
        <w:t>також особливості їх дисциплінарної відповідальності, вирішення</w:t>
      </w:r>
      <w:r>
        <w:rPr>
          <w:color w:val="231F20"/>
          <w:spacing w:val="-10"/>
        </w:rPr>
        <w:t xml:space="preserve"> </w:t>
      </w:r>
      <w:r>
        <w:rPr>
          <w:color w:val="231F20"/>
        </w:rPr>
        <w:t>інших</w:t>
      </w:r>
    </w:p>
    <w:p w14:paraId="315AD92F" w14:textId="4A67C310" w:rsidR="00DE575E" w:rsidRDefault="002E7560">
      <w:pPr>
        <w:pStyle w:val="BodyText"/>
        <w:spacing w:before="8"/>
        <w:rPr>
          <w:sz w:val="27"/>
        </w:rPr>
      </w:pPr>
      <w:r>
        <w:rPr>
          <w:noProof/>
        </w:rPr>
        <mc:AlternateContent>
          <mc:Choice Requires="wps">
            <w:drawing>
              <wp:anchor distT="0" distB="0" distL="0" distR="0" simplePos="0" relativeHeight="15568" behindDoc="0" locked="0" layoutInCell="1" allowOverlap="1" wp14:anchorId="5EDD51D7" wp14:editId="327194D7">
                <wp:simplePos x="0" y="0"/>
                <wp:positionH relativeFrom="page">
                  <wp:posOffset>539750</wp:posOffset>
                </wp:positionH>
                <wp:positionV relativeFrom="paragraph">
                  <wp:posOffset>234315</wp:posOffset>
                </wp:positionV>
                <wp:extent cx="1080135" cy="0"/>
                <wp:effectExtent l="6350" t="18415" r="31115" b="19685"/>
                <wp:wrapTopAndBottom/>
                <wp:docPr id="40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9F4C" id="Line_x0020_405" o:spid="_x0000_s1026" style="position:absolute;z-index:1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45pt" to="127.55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5h4yI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" strokecolor="#231f20" strokeweight=".5pt">
                <w10:wrap type="topAndBottom" anchorx="page"/>
              </v:line>
            </w:pict>
          </mc:Fallback>
        </mc:AlternateContent>
      </w:r>
    </w:p>
    <w:p w14:paraId="054AB69F" w14:textId="77777777" w:rsidR="00DE575E" w:rsidRDefault="002E7560">
      <w:pPr>
        <w:spacing w:line="204" w:lineRule="auto"/>
        <w:ind w:left="250" w:right="409"/>
        <w:jc w:val="both"/>
        <w:rPr>
          <w:sz w:val="16"/>
        </w:rPr>
      </w:pPr>
      <w:r>
        <w:rPr>
          <w:color w:val="231F20"/>
          <w:position w:val="5"/>
          <w:sz w:val="9"/>
        </w:rPr>
        <w:t xml:space="preserve">1 </w:t>
      </w:r>
      <w:r>
        <w:rPr>
          <w:color w:val="231F20"/>
          <w:sz w:val="16"/>
        </w:rPr>
        <w:t xml:space="preserve">Куйбіда М.С., Росенко М.І. Деякі питання проходження служби в органах місцевого самоврядування та шляхи вдосконалення системи оцінювання якості  їх  діяльності.  URL: </w:t>
      </w:r>
      <w:hyperlink r:id="rId46">
        <w:r>
          <w:rPr>
            <w:color w:val="231F20"/>
            <w:sz w:val="16"/>
          </w:rPr>
          <w:t>http://www.</w:t>
        </w:r>
        <w:r>
          <w:rPr>
            <w:color w:val="231F20"/>
            <w:sz w:val="16"/>
          </w:rPr>
          <w:t>kbuapa.kharkov.ua/e-book/db/2007-2/doc/3/05.pdf</w:t>
        </w:r>
      </w:hyperlink>
      <w:r>
        <w:rPr>
          <w:color w:val="231F20"/>
          <w:sz w:val="16"/>
        </w:rPr>
        <w:t xml:space="preserve"> (дата звернення: 02.02.2020</w:t>
      </w:r>
      <w:r>
        <w:rPr>
          <w:color w:val="231F20"/>
          <w:spacing w:val="-4"/>
          <w:sz w:val="16"/>
        </w:rPr>
        <w:t xml:space="preserve"> </w:t>
      </w:r>
      <w:r>
        <w:rPr>
          <w:color w:val="231F20"/>
          <w:sz w:val="16"/>
        </w:rPr>
        <w:t>р.)</w:t>
      </w:r>
    </w:p>
    <w:p w14:paraId="1E4C9D5F" w14:textId="77777777" w:rsidR="00DE575E" w:rsidRDefault="00DE575E">
      <w:pPr>
        <w:pStyle w:val="BodyText"/>
        <w:spacing w:before="2"/>
        <w:rPr>
          <w:sz w:val="12"/>
        </w:rPr>
      </w:pPr>
    </w:p>
    <w:p w14:paraId="7C3E1468" w14:textId="77777777" w:rsidR="00DE575E" w:rsidRDefault="002E7560">
      <w:pPr>
        <w:spacing w:before="92"/>
        <w:ind w:right="411"/>
        <w:jc w:val="right"/>
        <w:rPr>
          <w:rFonts w:ascii="Times New Roman"/>
          <w:sz w:val="20"/>
        </w:rPr>
      </w:pPr>
      <w:r>
        <w:rPr>
          <w:rFonts w:ascii="Times New Roman"/>
          <w:color w:val="231F20"/>
          <w:w w:val="90"/>
          <w:sz w:val="20"/>
        </w:rPr>
        <w:t>397</w:t>
      </w:r>
    </w:p>
    <w:p w14:paraId="74A1E43F"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1BE388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98A6AD3" w14:textId="4B95E1C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B997FB1" wp14:editId="7554A6F4">
                <wp:extent cx="4140200" cy="6350"/>
                <wp:effectExtent l="0" t="0" r="12700" b="6350"/>
                <wp:docPr id="40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05" name="Line 4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A70F01" id="Group_x0020_4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MBlBs34CAACYBQAADgAA&#10;AAAAAAAAAAAAAAAsAgAAZHJzL2Uyb0RvYy54bWxQSwECLQAUAAYACAAAACEATKewkNkAAAADAQAA&#10;DwAAAAAAAAAAAAAAAADWBAAAZHJzL2Rvd25yZXYueG1sUEsFBgAAAAAEAAQA8wAAANwFAAAAAA==&#10;">
                <v:line id="Line_x0020_4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1JaccAAADcAAAADwAAAGRycy9kb3ducmV2LnhtbESP3WrCQBSE7wXfYTkFb0rdWGuR1FVE&#10;KEgv/El8gGP2NAndPRuzq0n79N1CwcthZr5hFqveGnGj1teOFUzGCQjiwumaSwWn/P1pDsIHZI3G&#10;MSn4Jg+r5XCwwFS7jo90y0IpIoR9igqqEJpUSl9UZNGPXUMcvU/XWgxRtqXULXYRbo18TpJXabHm&#10;uFBhQ5uKiq/sahXkl8dgDvsP0+X781SeL7vpz3Wn1OihX7+BCNSHe/i/vdUKXpIZ/J2JR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nUlpxwAAANwAAAAPAAAAAAAA&#10;AAAAAAAAAKECAABkcnMvZG93bnJldi54bWxQSwUGAAAAAAQABAD5AAAAlQMAAAAA&#10;" strokecolor="#231f20" strokeweight=".5pt"/>
                <w10:anchorlock/>
              </v:group>
            </w:pict>
          </mc:Fallback>
        </mc:AlternateContent>
      </w:r>
    </w:p>
    <w:p w14:paraId="4E31292C" w14:textId="77777777" w:rsidR="00DE575E" w:rsidRDefault="00DE575E">
      <w:pPr>
        <w:pStyle w:val="BodyText"/>
        <w:spacing w:before="7"/>
        <w:rPr>
          <w:rFonts w:ascii="AdonisC"/>
          <w:i/>
          <w:sz w:val="11"/>
        </w:rPr>
      </w:pPr>
    </w:p>
    <w:p w14:paraId="4F056BF4" w14:textId="77777777" w:rsidR="00DE575E" w:rsidRDefault="002E7560">
      <w:pPr>
        <w:pStyle w:val="BodyText"/>
        <w:spacing w:before="101" w:line="252" w:lineRule="auto"/>
        <w:ind w:left="533" w:right="127"/>
        <w:jc w:val="both"/>
      </w:pPr>
      <w:r>
        <w:rPr>
          <w:color w:val="231F20"/>
        </w:rPr>
        <w:t>питань, пов’язаних зі службою в органах місцевого самоврядування, забезпечуються в порядку, передбаченому законодавством про місцеве самоврядування та про державну службу.</w:t>
      </w:r>
    </w:p>
    <w:p w14:paraId="1E0B49DB" w14:textId="77777777" w:rsidR="00DE575E" w:rsidRDefault="00DE575E">
      <w:pPr>
        <w:pStyle w:val="BodyText"/>
        <w:rPr>
          <w:sz w:val="24"/>
        </w:rPr>
      </w:pPr>
    </w:p>
    <w:p w14:paraId="321D24B6" w14:textId="77777777" w:rsidR="00DE575E" w:rsidRDefault="00DE575E">
      <w:pPr>
        <w:pStyle w:val="BodyText"/>
        <w:spacing w:before="4"/>
        <w:rPr>
          <w:sz w:val="19"/>
        </w:rPr>
      </w:pPr>
    </w:p>
    <w:p w14:paraId="23161EE7" w14:textId="77777777" w:rsidR="00DE575E" w:rsidRDefault="002E7560">
      <w:pPr>
        <w:pStyle w:val="Heading4"/>
        <w:numPr>
          <w:ilvl w:val="1"/>
          <w:numId w:val="93"/>
        </w:numPr>
        <w:tabs>
          <w:tab w:val="left" w:pos="1420"/>
        </w:tabs>
        <w:spacing w:before="1"/>
        <w:ind w:left="1281" w:right="598" w:hanging="272"/>
        <w:jc w:val="left"/>
      </w:pPr>
      <w:r>
        <w:rPr>
          <w:color w:val="231F20"/>
        </w:rPr>
        <w:t>Дисциплінарна та матеріальна відповідальність службовця в органі місцевого</w:t>
      </w:r>
      <w:r>
        <w:rPr>
          <w:color w:val="231F20"/>
          <w:spacing w:val="-11"/>
        </w:rPr>
        <w:t xml:space="preserve"> </w:t>
      </w:r>
      <w:r>
        <w:rPr>
          <w:color w:val="231F20"/>
        </w:rPr>
        <w:t>самоврядування</w:t>
      </w:r>
    </w:p>
    <w:p w14:paraId="22AC5405" w14:textId="77777777" w:rsidR="00DE575E" w:rsidRDefault="00DE575E">
      <w:pPr>
        <w:pStyle w:val="BodyText"/>
        <w:rPr>
          <w:b/>
          <w:sz w:val="26"/>
        </w:rPr>
      </w:pPr>
    </w:p>
    <w:p w14:paraId="481FFDF6" w14:textId="77777777" w:rsidR="00DE575E" w:rsidRDefault="002E7560">
      <w:pPr>
        <w:pStyle w:val="BodyText"/>
        <w:spacing w:before="223" w:line="252" w:lineRule="auto"/>
        <w:ind w:left="533" w:right="128" w:firstLine="283"/>
        <w:jc w:val="both"/>
      </w:pPr>
      <w:r>
        <w:rPr>
          <w:color w:val="231F20"/>
          <w:spacing w:val="-5"/>
        </w:rPr>
        <w:t xml:space="preserve">Службовці, </w:t>
      </w:r>
      <w:r>
        <w:rPr>
          <w:color w:val="231F20"/>
          <w:spacing w:val="-3"/>
        </w:rPr>
        <w:t xml:space="preserve">що </w:t>
      </w:r>
      <w:r>
        <w:rPr>
          <w:color w:val="231F20"/>
          <w:spacing w:val="-6"/>
        </w:rPr>
        <w:t xml:space="preserve">порушують законодавство </w:t>
      </w:r>
      <w:r>
        <w:rPr>
          <w:color w:val="231F20"/>
          <w:spacing w:val="-4"/>
        </w:rPr>
        <w:t xml:space="preserve">про </w:t>
      </w:r>
      <w:r>
        <w:rPr>
          <w:color w:val="231F20"/>
          <w:spacing w:val="-5"/>
        </w:rPr>
        <w:t xml:space="preserve">службу </w:t>
      </w:r>
      <w:r>
        <w:rPr>
          <w:color w:val="231F20"/>
        </w:rPr>
        <w:t xml:space="preserve">в </w:t>
      </w:r>
      <w:r>
        <w:rPr>
          <w:color w:val="231F20"/>
          <w:spacing w:val="-5"/>
        </w:rPr>
        <w:t xml:space="preserve">органах місцевого самоврядування, можуть притягуватися </w:t>
      </w:r>
      <w:r>
        <w:rPr>
          <w:color w:val="231F20"/>
          <w:spacing w:val="-3"/>
        </w:rPr>
        <w:t xml:space="preserve">до </w:t>
      </w:r>
      <w:r>
        <w:rPr>
          <w:color w:val="231F20"/>
          <w:spacing w:val="-5"/>
        </w:rPr>
        <w:t xml:space="preserve">дисциплінарної, матеріальної (цивільної), адміністративної </w:t>
      </w:r>
      <w:r>
        <w:rPr>
          <w:color w:val="231F20"/>
          <w:spacing w:val="-4"/>
        </w:rPr>
        <w:t xml:space="preserve">або </w:t>
      </w:r>
      <w:r>
        <w:rPr>
          <w:color w:val="231F20"/>
          <w:spacing w:val="-5"/>
        </w:rPr>
        <w:t xml:space="preserve">кримінальної відпо- відальності згідно </w:t>
      </w:r>
      <w:r>
        <w:rPr>
          <w:color w:val="231F20"/>
          <w:spacing w:val="-3"/>
        </w:rPr>
        <w:t xml:space="preserve">із </w:t>
      </w:r>
      <w:r>
        <w:rPr>
          <w:color w:val="231F20"/>
          <w:spacing w:val="-5"/>
        </w:rPr>
        <w:t xml:space="preserve">законом. </w:t>
      </w:r>
      <w:r>
        <w:rPr>
          <w:color w:val="231F20"/>
          <w:spacing w:val="-4"/>
        </w:rPr>
        <w:t xml:space="preserve">Серед видів </w:t>
      </w:r>
      <w:r>
        <w:rPr>
          <w:color w:val="231F20"/>
          <w:spacing w:val="-5"/>
        </w:rPr>
        <w:t>юриди</w:t>
      </w:r>
      <w:r>
        <w:rPr>
          <w:color w:val="231F20"/>
          <w:spacing w:val="-5"/>
        </w:rPr>
        <w:t xml:space="preserve">чної відповідаль- ності, </w:t>
      </w:r>
      <w:r>
        <w:rPr>
          <w:color w:val="231F20"/>
          <w:spacing w:val="-3"/>
        </w:rPr>
        <w:t xml:space="preserve">що </w:t>
      </w:r>
      <w:r>
        <w:rPr>
          <w:color w:val="231F20"/>
          <w:spacing w:val="-5"/>
        </w:rPr>
        <w:t xml:space="preserve">застосовуються </w:t>
      </w:r>
      <w:r>
        <w:rPr>
          <w:color w:val="231F20"/>
          <w:spacing w:val="-3"/>
        </w:rPr>
        <w:t xml:space="preserve">до </w:t>
      </w:r>
      <w:r>
        <w:rPr>
          <w:color w:val="231F20"/>
          <w:spacing w:val="-5"/>
        </w:rPr>
        <w:t xml:space="preserve">посадових </w:t>
      </w:r>
      <w:r>
        <w:rPr>
          <w:color w:val="231F20"/>
          <w:spacing w:val="-4"/>
        </w:rPr>
        <w:t xml:space="preserve">осіб </w:t>
      </w:r>
      <w:r>
        <w:rPr>
          <w:color w:val="231F20"/>
          <w:spacing w:val="-5"/>
        </w:rPr>
        <w:t xml:space="preserve">місцевого самоврядування, </w:t>
      </w:r>
      <w:r>
        <w:rPr>
          <w:color w:val="231F20"/>
          <w:spacing w:val="-6"/>
        </w:rPr>
        <w:t xml:space="preserve">визначаються </w:t>
      </w:r>
      <w:r>
        <w:rPr>
          <w:color w:val="231F20"/>
          <w:spacing w:val="-5"/>
        </w:rPr>
        <w:t xml:space="preserve">дисциплінарна </w:t>
      </w:r>
      <w:r>
        <w:rPr>
          <w:color w:val="231F20"/>
          <w:spacing w:val="-3"/>
        </w:rPr>
        <w:t xml:space="preserve">та </w:t>
      </w:r>
      <w:r>
        <w:rPr>
          <w:color w:val="231F20"/>
          <w:spacing w:val="-5"/>
        </w:rPr>
        <w:t>матеріальна відповідальність.</w:t>
      </w:r>
    </w:p>
    <w:p w14:paraId="0E5E9E69" w14:textId="77777777" w:rsidR="00DE575E" w:rsidRDefault="002E7560">
      <w:pPr>
        <w:pStyle w:val="BodyText"/>
        <w:spacing w:before="3" w:line="252" w:lineRule="auto"/>
        <w:ind w:left="533" w:right="128" w:firstLine="283"/>
        <w:jc w:val="both"/>
      </w:pPr>
      <w:r>
        <w:rPr>
          <w:color w:val="231F20"/>
          <w:spacing w:val="-5"/>
        </w:rPr>
        <w:t xml:space="preserve">Відповідно </w:t>
      </w:r>
      <w:r>
        <w:rPr>
          <w:color w:val="231F20"/>
          <w:spacing w:val="-3"/>
        </w:rPr>
        <w:t xml:space="preserve">до </w:t>
      </w:r>
      <w:r>
        <w:rPr>
          <w:color w:val="231F20"/>
          <w:spacing w:val="-5"/>
        </w:rPr>
        <w:t xml:space="preserve">Закону </w:t>
      </w:r>
      <w:r>
        <w:rPr>
          <w:color w:val="231F20"/>
          <w:spacing w:val="-4"/>
        </w:rPr>
        <w:t xml:space="preserve">«Про </w:t>
      </w:r>
      <w:r>
        <w:rPr>
          <w:color w:val="231F20"/>
          <w:spacing w:val="-5"/>
        </w:rPr>
        <w:t xml:space="preserve">службу </w:t>
      </w:r>
      <w:r>
        <w:rPr>
          <w:color w:val="231F20"/>
        </w:rPr>
        <w:t xml:space="preserve">в </w:t>
      </w:r>
      <w:r>
        <w:rPr>
          <w:color w:val="231F20"/>
          <w:spacing w:val="-5"/>
        </w:rPr>
        <w:t xml:space="preserve">органах місцевого самовряду- вання» матеріальна </w:t>
      </w:r>
      <w:r>
        <w:rPr>
          <w:color w:val="231F20"/>
          <w:spacing w:val="-6"/>
        </w:rPr>
        <w:t xml:space="preserve">шкода, </w:t>
      </w:r>
      <w:r>
        <w:rPr>
          <w:color w:val="231F20"/>
          <w:spacing w:val="-5"/>
        </w:rPr>
        <w:t>завдана територіаль</w:t>
      </w:r>
      <w:r>
        <w:rPr>
          <w:color w:val="231F20"/>
          <w:spacing w:val="-5"/>
        </w:rPr>
        <w:t xml:space="preserve">ній громаді неправо- мірними рішеннями сільських, селищних, міських голів, </w:t>
      </w:r>
      <w:r>
        <w:rPr>
          <w:color w:val="231F20"/>
          <w:spacing w:val="-4"/>
        </w:rPr>
        <w:t xml:space="preserve">голів </w:t>
      </w:r>
      <w:r>
        <w:rPr>
          <w:color w:val="231F20"/>
          <w:spacing w:val="-5"/>
        </w:rPr>
        <w:t xml:space="preserve">район- </w:t>
      </w:r>
      <w:r>
        <w:rPr>
          <w:color w:val="231F20"/>
          <w:spacing w:val="-4"/>
        </w:rPr>
        <w:t xml:space="preserve">них </w:t>
      </w:r>
      <w:r>
        <w:rPr>
          <w:color w:val="231F20"/>
        </w:rPr>
        <w:t xml:space="preserve">у </w:t>
      </w:r>
      <w:r>
        <w:rPr>
          <w:color w:val="231F20"/>
          <w:spacing w:val="-5"/>
        </w:rPr>
        <w:t xml:space="preserve">місті, районних </w:t>
      </w:r>
      <w:r>
        <w:rPr>
          <w:color w:val="231F20"/>
          <w:spacing w:val="-3"/>
        </w:rPr>
        <w:t xml:space="preserve">та </w:t>
      </w:r>
      <w:r>
        <w:rPr>
          <w:color w:val="231F20"/>
          <w:spacing w:val="-5"/>
        </w:rPr>
        <w:t xml:space="preserve">обласних </w:t>
      </w:r>
      <w:r>
        <w:rPr>
          <w:color w:val="231F20"/>
          <w:spacing w:val="-4"/>
        </w:rPr>
        <w:t xml:space="preserve">рад, </w:t>
      </w:r>
      <w:r>
        <w:rPr>
          <w:color w:val="231F20"/>
          <w:spacing w:val="-3"/>
        </w:rPr>
        <w:t xml:space="preserve">їх </w:t>
      </w:r>
      <w:r>
        <w:rPr>
          <w:color w:val="231F20"/>
          <w:spacing w:val="-5"/>
        </w:rPr>
        <w:t xml:space="preserve">заступників, </w:t>
      </w:r>
      <w:r>
        <w:rPr>
          <w:color w:val="231F20"/>
          <w:spacing w:val="-6"/>
        </w:rPr>
        <w:t xml:space="preserve">керівників </w:t>
      </w:r>
      <w:r>
        <w:rPr>
          <w:color w:val="231F20"/>
          <w:spacing w:val="-5"/>
        </w:rPr>
        <w:t xml:space="preserve">управлінь, відділів, </w:t>
      </w:r>
      <w:r>
        <w:rPr>
          <w:color w:val="231F20"/>
          <w:spacing w:val="-4"/>
        </w:rPr>
        <w:t xml:space="preserve">інших </w:t>
      </w:r>
      <w:r>
        <w:rPr>
          <w:color w:val="231F20"/>
          <w:spacing w:val="-5"/>
        </w:rPr>
        <w:t xml:space="preserve">структурних підрозділів виконавчих </w:t>
      </w:r>
      <w:r>
        <w:rPr>
          <w:color w:val="231F20"/>
          <w:spacing w:val="-4"/>
        </w:rPr>
        <w:t xml:space="preserve">орга- нів </w:t>
      </w:r>
      <w:r>
        <w:rPr>
          <w:color w:val="231F20"/>
          <w:spacing w:val="-5"/>
        </w:rPr>
        <w:t xml:space="preserve">місцевого самоврядування, </w:t>
      </w:r>
      <w:r>
        <w:rPr>
          <w:color w:val="231F20"/>
          <w:spacing w:val="-4"/>
        </w:rPr>
        <w:t>діям</w:t>
      </w:r>
      <w:r>
        <w:rPr>
          <w:color w:val="231F20"/>
          <w:spacing w:val="-4"/>
        </w:rPr>
        <w:t xml:space="preserve">и </w:t>
      </w:r>
      <w:r>
        <w:rPr>
          <w:color w:val="231F20"/>
          <w:spacing w:val="-3"/>
        </w:rPr>
        <w:t xml:space="preserve">чи </w:t>
      </w:r>
      <w:r>
        <w:rPr>
          <w:color w:val="231F20"/>
          <w:spacing w:val="-5"/>
        </w:rPr>
        <w:t xml:space="preserve">бездіяльністю посадових осіб місцевого самоврядування </w:t>
      </w:r>
      <w:r>
        <w:rPr>
          <w:color w:val="231F20"/>
          <w:spacing w:val="-4"/>
        </w:rPr>
        <w:t xml:space="preserve">при </w:t>
      </w:r>
      <w:r>
        <w:rPr>
          <w:color w:val="231F20"/>
          <w:spacing w:val="-5"/>
        </w:rPr>
        <w:t xml:space="preserve">здійсненні </w:t>
      </w:r>
      <w:r>
        <w:rPr>
          <w:color w:val="231F20"/>
          <w:spacing w:val="-4"/>
        </w:rPr>
        <w:t xml:space="preserve">ними своїх </w:t>
      </w:r>
      <w:r>
        <w:rPr>
          <w:color w:val="231F20"/>
          <w:spacing w:val="-6"/>
        </w:rPr>
        <w:t xml:space="preserve">повноважень, відшкодовується </w:t>
      </w:r>
      <w:r>
        <w:rPr>
          <w:color w:val="231F20"/>
          <w:spacing w:val="-3"/>
        </w:rPr>
        <w:t xml:space="preserve">за </w:t>
      </w:r>
      <w:r>
        <w:rPr>
          <w:color w:val="231F20"/>
          <w:spacing w:val="-5"/>
        </w:rPr>
        <w:t xml:space="preserve">рахунок місцевого бюджету </w:t>
      </w:r>
      <w:r>
        <w:rPr>
          <w:color w:val="231F20"/>
        </w:rPr>
        <w:t xml:space="preserve">в </w:t>
      </w:r>
      <w:r>
        <w:rPr>
          <w:color w:val="231F20"/>
          <w:spacing w:val="-6"/>
        </w:rPr>
        <w:t xml:space="preserve">установленому </w:t>
      </w:r>
      <w:r>
        <w:rPr>
          <w:color w:val="231F20"/>
          <w:spacing w:val="-5"/>
        </w:rPr>
        <w:t xml:space="preserve">законом порядку (зокрема, алгоритм </w:t>
      </w:r>
      <w:r>
        <w:rPr>
          <w:color w:val="231F20"/>
          <w:spacing w:val="-6"/>
        </w:rPr>
        <w:t xml:space="preserve">відшкодування </w:t>
      </w:r>
      <w:r>
        <w:rPr>
          <w:color w:val="231F20"/>
          <w:spacing w:val="-5"/>
        </w:rPr>
        <w:t xml:space="preserve">завданої </w:t>
      </w:r>
      <w:r>
        <w:rPr>
          <w:color w:val="231F20"/>
          <w:spacing w:val="-7"/>
        </w:rPr>
        <w:t xml:space="preserve">шкоди </w:t>
      </w:r>
      <w:r>
        <w:rPr>
          <w:color w:val="231F20"/>
          <w:spacing w:val="-5"/>
        </w:rPr>
        <w:t xml:space="preserve">закріплений </w:t>
      </w:r>
      <w:r>
        <w:rPr>
          <w:color w:val="231F20"/>
        </w:rPr>
        <w:t xml:space="preserve">у </w:t>
      </w:r>
      <w:r>
        <w:rPr>
          <w:color w:val="231F20"/>
          <w:spacing w:val="-10"/>
        </w:rPr>
        <w:t xml:space="preserve">ст.ст. </w:t>
      </w:r>
      <w:r>
        <w:rPr>
          <w:color w:val="231F20"/>
          <w:spacing w:val="-5"/>
        </w:rPr>
        <w:t xml:space="preserve">1173–1175 Цивільного </w:t>
      </w:r>
      <w:r>
        <w:rPr>
          <w:color w:val="231F20"/>
          <w:spacing w:val="-6"/>
        </w:rPr>
        <w:t>кодексу</w:t>
      </w:r>
      <w:r>
        <w:rPr>
          <w:color w:val="231F20"/>
          <w:spacing w:val="-28"/>
        </w:rPr>
        <w:t xml:space="preserve"> </w:t>
      </w:r>
      <w:r>
        <w:rPr>
          <w:color w:val="231F20"/>
          <w:spacing w:val="-7"/>
        </w:rPr>
        <w:t>України).</w:t>
      </w:r>
    </w:p>
    <w:p w14:paraId="5EEFE607" w14:textId="77777777" w:rsidR="00DE575E" w:rsidRDefault="002E7560">
      <w:pPr>
        <w:pStyle w:val="BodyText"/>
        <w:spacing w:before="5" w:line="252" w:lineRule="auto"/>
        <w:ind w:left="533" w:right="127" w:firstLine="283"/>
        <w:jc w:val="both"/>
      </w:pPr>
      <w:r>
        <w:rPr>
          <w:color w:val="231F20"/>
        </w:rPr>
        <w:t>Сільські, селищні, міські, районні в місті, районні та обласні  ради, сільський, селищний, міський голова, голова районної в місті, районної та обласної ради мають право зворотної вимоги (регресу) до посадової особи м</w:t>
      </w:r>
      <w:r>
        <w:rPr>
          <w:color w:val="231F20"/>
        </w:rPr>
        <w:t xml:space="preserve">ісцевого самоврядування, яка заподіяла шкоду територіальній громаді, в розмірах і </w:t>
      </w:r>
      <w:r>
        <w:rPr>
          <w:color w:val="231F20"/>
          <w:spacing w:val="-3"/>
        </w:rPr>
        <w:t xml:space="preserve">порядку, </w:t>
      </w:r>
      <w:r>
        <w:rPr>
          <w:color w:val="231F20"/>
        </w:rPr>
        <w:t xml:space="preserve">визначених законами </w:t>
      </w:r>
      <w:r>
        <w:rPr>
          <w:color w:val="231F20"/>
          <w:spacing w:val="-3"/>
        </w:rPr>
        <w:t xml:space="preserve">України </w:t>
      </w:r>
      <w:r>
        <w:rPr>
          <w:color w:val="231F20"/>
        </w:rPr>
        <w:t xml:space="preserve">та статутами територіальних громад, прийнятими відпо- відно до законів </w:t>
      </w:r>
      <w:r>
        <w:rPr>
          <w:color w:val="231F20"/>
          <w:spacing w:val="-2"/>
        </w:rPr>
        <w:t>України</w:t>
      </w:r>
      <w:r>
        <w:rPr>
          <w:color w:val="231F20"/>
          <w:spacing w:val="-2"/>
          <w:position w:val="7"/>
          <w:sz w:val="12"/>
        </w:rPr>
        <w:t>1</w:t>
      </w:r>
      <w:r>
        <w:rPr>
          <w:color w:val="231F20"/>
          <w:spacing w:val="-2"/>
        </w:rPr>
        <w:t xml:space="preserve">. </w:t>
      </w:r>
      <w:r>
        <w:rPr>
          <w:color w:val="231F20"/>
        </w:rPr>
        <w:t>Відповідно під правом регресу розуміють право</w:t>
      </w:r>
      <w:r>
        <w:rPr>
          <w:color w:val="231F20"/>
          <w:spacing w:val="-15"/>
        </w:rPr>
        <w:t xml:space="preserve"> </w:t>
      </w:r>
      <w:r>
        <w:rPr>
          <w:color w:val="231F20"/>
        </w:rPr>
        <w:t>звернутися</w:t>
      </w:r>
      <w:r>
        <w:rPr>
          <w:color w:val="231F20"/>
          <w:spacing w:val="-15"/>
        </w:rPr>
        <w:t xml:space="preserve"> </w:t>
      </w:r>
      <w:r>
        <w:rPr>
          <w:color w:val="231F20"/>
        </w:rPr>
        <w:t>з</w:t>
      </w:r>
      <w:r>
        <w:rPr>
          <w:color w:val="231F20"/>
          <w:spacing w:val="-15"/>
        </w:rPr>
        <w:t xml:space="preserve"> </w:t>
      </w:r>
      <w:r>
        <w:rPr>
          <w:color w:val="231F20"/>
        </w:rPr>
        <w:t>вимогою</w:t>
      </w:r>
      <w:r>
        <w:rPr>
          <w:color w:val="231F20"/>
          <w:spacing w:val="-15"/>
        </w:rPr>
        <w:t xml:space="preserve"> </w:t>
      </w:r>
      <w:r>
        <w:rPr>
          <w:color w:val="231F20"/>
        </w:rPr>
        <w:t>про</w:t>
      </w:r>
      <w:r>
        <w:rPr>
          <w:color w:val="231F20"/>
          <w:spacing w:val="-15"/>
        </w:rPr>
        <w:t xml:space="preserve"> </w:t>
      </w:r>
      <w:r>
        <w:rPr>
          <w:color w:val="231F20"/>
        </w:rPr>
        <w:t>повернення</w:t>
      </w:r>
      <w:r>
        <w:rPr>
          <w:color w:val="231F20"/>
          <w:spacing w:val="-15"/>
        </w:rPr>
        <w:t xml:space="preserve"> </w:t>
      </w:r>
      <w:r>
        <w:rPr>
          <w:color w:val="231F20"/>
        </w:rPr>
        <w:t>виплаченого</w:t>
      </w:r>
      <w:r>
        <w:rPr>
          <w:color w:val="231F20"/>
          <w:spacing w:val="-15"/>
        </w:rPr>
        <w:t xml:space="preserve"> </w:t>
      </w:r>
      <w:r>
        <w:rPr>
          <w:color w:val="231F20"/>
        </w:rPr>
        <w:t xml:space="preserve">відшкоду- вання до посадової особи (боржника), з вини якого завдано шкоди. </w:t>
      </w:r>
      <w:r>
        <w:rPr>
          <w:color w:val="231F20"/>
          <w:spacing w:val="-4"/>
        </w:rPr>
        <w:t xml:space="preserve">Такий </w:t>
      </w:r>
      <w:r>
        <w:rPr>
          <w:color w:val="231F20"/>
        </w:rPr>
        <w:t>порядок теж встановлюється Цивільним кодексом</w:t>
      </w:r>
      <w:r>
        <w:rPr>
          <w:color w:val="231F20"/>
          <w:spacing w:val="-3"/>
        </w:rPr>
        <w:t xml:space="preserve"> України.</w:t>
      </w:r>
    </w:p>
    <w:p w14:paraId="34588A1D" w14:textId="77777777" w:rsidR="00DE575E" w:rsidRDefault="002E7560">
      <w:pPr>
        <w:pStyle w:val="BodyText"/>
        <w:spacing w:before="5" w:line="252" w:lineRule="auto"/>
        <w:ind w:left="533" w:right="127" w:firstLine="283"/>
        <w:jc w:val="both"/>
      </w:pPr>
      <w:r>
        <w:rPr>
          <w:color w:val="231F20"/>
        </w:rPr>
        <w:t>Досліджуючи питання дисциплінарної відповідальності, спочатку</w:t>
      </w:r>
      <w:r>
        <w:rPr>
          <w:color w:val="231F20"/>
          <w:spacing w:val="-11"/>
        </w:rPr>
        <w:t xml:space="preserve"> </w:t>
      </w:r>
      <w:r>
        <w:rPr>
          <w:color w:val="231F20"/>
        </w:rPr>
        <w:t>слід</w:t>
      </w:r>
      <w:r>
        <w:rPr>
          <w:color w:val="231F20"/>
          <w:spacing w:val="-11"/>
        </w:rPr>
        <w:t xml:space="preserve"> </w:t>
      </w:r>
      <w:r>
        <w:rPr>
          <w:color w:val="231F20"/>
        </w:rPr>
        <w:t>зазначити,</w:t>
      </w:r>
      <w:r>
        <w:rPr>
          <w:color w:val="231F20"/>
          <w:spacing w:val="-11"/>
        </w:rPr>
        <w:t xml:space="preserve"> </w:t>
      </w:r>
      <w:r>
        <w:rPr>
          <w:color w:val="231F20"/>
        </w:rPr>
        <w:t>що</w:t>
      </w:r>
      <w:r>
        <w:rPr>
          <w:color w:val="231F20"/>
          <w:spacing w:val="-11"/>
        </w:rPr>
        <w:t xml:space="preserve"> </w:t>
      </w:r>
      <w:r>
        <w:rPr>
          <w:color w:val="231F20"/>
        </w:rPr>
        <w:t>ц</w:t>
      </w:r>
      <w:r>
        <w:rPr>
          <w:color w:val="231F20"/>
        </w:rPr>
        <w:t>е</w:t>
      </w:r>
      <w:r>
        <w:rPr>
          <w:color w:val="231F20"/>
          <w:spacing w:val="-11"/>
        </w:rPr>
        <w:t xml:space="preserve"> </w:t>
      </w:r>
      <w:r>
        <w:rPr>
          <w:color w:val="231F20"/>
        </w:rPr>
        <w:t>один</w:t>
      </w:r>
      <w:r>
        <w:rPr>
          <w:color w:val="231F20"/>
          <w:spacing w:val="-11"/>
        </w:rPr>
        <w:t xml:space="preserve"> </w:t>
      </w:r>
      <w:r>
        <w:rPr>
          <w:color w:val="231F20"/>
        </w:rPr>
        <w:t>із</w:t>
      </w:r>
      <w:r>
        <w:rPr>
          <w:color w:val="231F20"/>
          <w:spacing w:val="-11"/>
        </w:rPr>
        <w:t xml:space="preserve"> </w:t>
      </w:r>
      <w:r>
        <w:rPr>
          <w:color w:val="231F20"/>
        </w:rPr>
        <w:t>видів</w:t>
      </w:r>
      <w:r>
        <w:rPr>
          <w:color w:val="231F20"/>
          <w:spacing w:val="-11"/>
        </w:rPr>
        <w:t xml:space="preserve"> </w:t>
      </w:r>
      <w:r>
        <w:rPr>
          <w:color w:val="231F20"/>
        </w:rPr>
        <w:t>юридичної</w:t>
      </w:r>
      <w:r>
        <w:rPr>
          <w:color w:val="231F20"/>
          <w:spacing w:val="-11"/>
        </w:rPr>
        <w:t xml:space="preserve"> </w:t>
      </w:r>
      <w:r>
        <w:rPr>
          <w:color w:val="231F20"/>
        </w:rPr>
        <w:t>відповідаль-</w:t>
      </w:r>
    </w:p>
    <w:p w14:paraId="43B73FC5" w14:textId="1C353A28" w:rsidR="00DE575E" w:rsidRDefault="002E7560">
      <w:pPr>
        <w:pStyle w:val="BodyText"/>
        <w:spacing w:before="5"/>
        <w:rPr>
          <w:sz w:val="24"/>
        </w:rPr>
      </w:pPr>
      <w:r>
        <w:rPr>
          <w:noProof/>
        </w:rPr>
        <mc:AlternateContent>
          <mc:Choice Requires="wps">
            <w:drawing>
              <wp:anchor distT="0" distB="0" distL="0" distR="0" simplePos="0" relativeHeight="15616" behindDoc="0" locked="0" layoutInCell="1" allowOverlap="1" wp14:anchorId="636005C9" wp14:editId="51CC0DAB">
                <wp:simplePos x="0" y="0"/>
                <wp:positionH relativeFrom="page">
                  <wp:posOffset>719455</wp:posOffset>
                </wp:positionH>
                <wp:positionV relativeFrom="paragraph">
                  <wp:posOffset>210185</wp:posOffset>
                </wp:positionV>
                <wp:extent cx="1080135" cy="0"/>
                <wp:effectExtent l="8255" t="6985" r="29210" b="31115"/>
                <wp:wrapTopAndBottom/>
                <wp:docPr id="40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651F" id="Line_x0020_402" o:spid="_x0000_s1026" style="position:absolute;z-index:1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55pt" to="141.7pt,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" strokecolor="#231f20" strokeweight=".5pt">
                <w10:wrap type="topAndBottom" anchorx="page"/>
              </v:line>
            </w:pict>
          </mc:Fallback>
        </mc:AlternateContent>
      </w:r>
    </w:p>
    <w:p w14:paraId="68163C1C" w14:textId="77777777" w:rsidR="00DE575E" w:rsidRDefault="002E7560">
      <w:pPr>
        <w:spacing w:line="162" w:lineRule="exact"/>
        <w:ind w:left="533"/>
        <w:rPr>
          <w:sz w:val="16"/>
        </w:rPr>
      </w:pPr>
      <w:r>
        <w:rPr>
          <w:color w:val="231F20"/>
          <w:position w:val="5"/>
          <w:sz w:val="9"/>
        </w:rPr>
        <w:t xml:space="preserve">1 </w:t>
      </w:r>
      <w:r>
        <w:rPr>
          <w:color w:val="231F20"/>
          <w:sz w:val="16"/>
        </w:rPr>
        <w:t>Про службу в органах місцевого самоврядування: Там само.</w:t>
      </w:r>
    </w:p>
    <w:p w14:paraId="380CEC51" w14:textId="77777777" w:rsidR="00DE575E" w:rsidRDefault="00DE575E">
      <w:pPr>
        <w:pStyle w:val="BodyText"/>
        <w:spacing w:before="10"/>
        <w:rPr>
          <w:sz w:val="11"/>
        </w:rPr>
      </w:pPr>
    </w:p>
    <w:p w14:paraId="62D2B9B6" w14:textId="77777777" w:rsidR="00DE575E" w:rsidRDefault="002E7560">
      <w:pPr>
        <w:spacing w:before="92"/>
        <w:ind w:left="533"/>
        <w:rPr>
          <w:rFonts w:ascii="Times New Roman"/>
          <w:sz w:val="20"/>
        </w:rPr>
      </w:pPr>
      <w:r>
        <w:rPr>
          <w:rFonts w:ascii="Times New Roman"/>
          <w:color w:val="231F20"/>
          <w:sz w:val="20"/>
        </w:rPr>
        <w:t>398</w:t>
      </w:r>
    </w:p>
    <w:p w14:paraId="492B7699" w14:textId="77777777" w:rsidR="00DE575E" w:rsidRDefault="00DE575E">
      <w:pPr>
        <w:rPr>
          <w:rFonts w:ascii="Times New Roman"/>
          <w:sz w:val="20"/>
        </w:rPr>
        <w:sectPr w:rsidR="00DE575E">
          <w:pgSz w:w="8510" w:h="12760"/>
          <w:pgMar w:top="660" w:right="720" w:bottom="280" w:left="600" w:header="720" w:footer="720" w:gutter="0"/>
          <w:cols w:space="720"/>
        </w:sectPr>
      </w:pPr>
    </w:p>
    <w:p w14:paraId="2371B29C"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самоврядування</w:t>
      </w:r>
    </w:p>
    <w:p w14:paraId="5BDDDB25" w14:textId="3AE34FF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5CAE86D" wp14:editId="1DFE2BCE">
                <wp:extent cx="4140200" cy="6350"/>
                <wp:effectExtent l="0" t="0" r="12700" b="6350"/>
                <wp:docPr id="40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02" name="Line 40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5229C" id="Group_x0020_40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6j5dCH4CAACYBQAADgAA&#10;AAAAAAAAAAAAAAAsAgAAZHJzL2Uyb0RvYy54bWxQSwECLQAUAAYACAAAACEATKewkNkAAAADAQAA&#10;DwAAAAAAAAAAAAAAAADWBAAAZHJzL2Rvd25yZXYueG1sUEsFBgAAAAAEAAQA8wAAANwFAAAAAA==&#10;">
                <v:line id="Line_x0020_40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TRHcYAAADcAAAADwAAAGRycy9kb3ducmV2LnhtbESP3WrCQBSE7wu+w3IKvZG68Qcp0VVE&#10;KJRe+Bcf4Jg9JqG7Z2N2NdGn7xaEXg4z8w0zX3bWiBs1vnKsYDhIQBDnTldcKDhmn+8fIHxA1mgc&#10;k4I7eVguei9zTLVreU+3QyhEhLBPUUEZQp1K6fOSLPqBq4mjd3aNxRBlU0jdYBvh1shRkkylxYrj&#10;Qok1rUvKfw5XqyC79IPZbb9Nm21PY3m6bMaP60apt9duNQMRqAv/4Wf7SyuYJCP4OxOP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V00R3GAAAA3AAAAA8AAAAAAAAA&#10;AAAAAAAAoQIAAGRycy9kb3ducmV2LnhtbFBLBQYAAAAABAAEAPkAAACUAwAAAAA=&#10;" strokecolor="#231f20" strokeweight=".5pt"/>
                <w10:anchorlock/>
              </v:group>
            </w:pict>
          </mc:Fallback>
        </mc:AlternateContent>
      </w:r>
    </w:p>
    <w:p w14:paraId="692CF76D" w14:textId="77777777" w:rsidR="00DE575E" w:rsidRDefault="00DE575E">
      <w:pPr>
        <w:pStyle w:val="BodyText"/>
        <w:spacing w:before="7"/>
        <w:rPr>
          <w:rFonts w:ascii="AdonisC"/>
          <w:i/>
          <w:sz w:val="19"/>
        </w:rPr>
      </w:pPr>
    </w:p>
    <w:p w14:paraId="7D1CFA65" w14:textId="77777777" w:rsidR="00DE575E" w:rsidRDefault="002E7560">
      <w:pPr>
        <w:spacing w:before="1" w:line="252" w:lineRule="auto"/>
        <w:ind w:left="250" w:right="411"/>
        <w:jc w:val="both"/>
        <w:rPr>
          <w:b/>
          <w:sz w:val="21"/>
        </w:rPr>
      </w:pPr>
      <w:r>
        <w:rPr>
          <w:color w:val="231F20"/>
          <w:sz w:val="21"/>
        </w:rPr>
        <w:t xml:space="preserve">ності, яка встановлена законодавством за протиправну поведінку працівника. Підставою для притягнення до дисциплінарної відпові- дальності є </w:t>
      </w:r>
      <w:r>
        <w:rPr>
          <w:b/>
          <w:i/>
          <w:color w:val="231F20"/>
          <w:sz w:val="21"/>
        </w:rPr>
        <w:t>дисциплінарний проступок</w:t>
      </w:r>
      <w:r>
        <w:rPr>
          <w:b/>
          <w:color w:val="231F20"/>
          <w:sz w:val="21"/>
        </w:rPr>
        <w:t xml:space="preserve">, </w:t>
      </w:r>
      <w:r>
        <w:rPr>
          <w:color w:val="231F20"/>
          <w:sz w:val="21"/>
        </w:rPr>
        <w:t xml:space="preserve">який можна визначити як </w:t>
      </w:r>
      <w:r>
        <w:rPr>
          <w:i/>
          <w:color w:val="231F20"/>
          <w:sz w:val="21"/>
        </w:rPr>
        <w:t>в</w:t>
      </w:r>
      <w:r>
        <w:rPr>
          <w:i/>
          <w:color w:val="231F20"/>
          <w:sz w:val="21"/>
        </w:rPr>
        <w:t>инне протиправне невиконання чи неналежне виконання службов- цем органу місцевого самоврядування своїх професійних обов’язків</w:t>
      </w:r>
      <w:r>
        <w:rPr>
          <w:b/>
          <w:color w:val="231F20"/>
          <w:sz w:val="21"/>
        </w:rPr>
        <w:t>.</w:t>
      </w:r>
    </w:p>
    <w:p w14:paraId="5BBEE0D0" w14:textId="77777777" w:rsidR="00DE575E" w:rsidRDefault="002E7560">
      <w:pPr>
        <w:pStyle w:val="BodyText"/>
        <w:spacing w:before="2" w:line="252" w:lineRule="auto"/>
        <w:ind w:left="250" w:right="411" w:firstLine="283"/>
        <w:jc w:val="both"/>
      </w:pPr>
      <w:r>
        <w:rPr>
          <w:color w:val="231F20"/>
        </w:rPr>
        <w:t>Дисциплінарному проступку, як і будь-якому іншому протиправ- ному діянню, властива класична єдність суб’єктивних та об’єктив- них</w:t>
      </w:r>
      <w:r>
        <w:rPr>
          <w:color w:val="231F20"/>
        </w:rPr>
        <w:t xml:space="preserve"> ознак, сукупність яких у теорії права називають складом право- порушення, а саме суб’єкт, суб’єктивна сторона, об’єкт, об’єктивна сторона.</w:t>
      </w:r>
    </w:p>
    <w:p w14:paraId="44C36999" w14:textId="77777777" w:rsidR="00DE575E" w:rsidRDefault="002E7560">
      <w:pPr>
        <w:spacing w:before="3" w:line="252" w:lineRule="auto"/>
        <w:ind w:left="250" w:right="411" w:firstLine="283"/>
        <w:jc w:val="both"/>
        <w:rPr>
          <w:b/>
          <w:sz w:val="21"/>
        </w:rPr>
      </w:pPr>
      <w:r>
        <w:rPr>
          <w:b/>
          <w:color w:val="231F20"/>
          <w:sz w:val="21"/>
        </w:rPr>
        <w:t xml:space="preserve">Суб’єктом </w:t>
      </w:r>
      <w:r>
        <w:rPr>
          <w:color w:val="231F20"/>
          <w:sz w:val="21"/>
        </w:rPr>
        <w:t>дисциплінарного проступку є фізично осудна особа, яка перебуває у трудових правовідносинах та вчинила дисц</w:t>
      </w:r>
      <w:r>
        <w:rPr>
          <w:color w:val="231F20"/>
          <w:sz w:val="21"/>
        </w:rPr>
        <w:t xml:space="preserve">иплі- нарний проступок. Виділяють загальних та спеціальних суб’єктів. </w:t>
      </w:r>
      <w:r>
        <w:rPr>
          <w:i/>
          <w:color w:val="231F20"/>
          <w:sz w:val="21"/>
        </w:rPr>
        <w:t>Так, посадові особи органів місцевого самоврядування належать до спеціальних суб’єктів</w:t>
      </w:r>
      <w:r>
        <w:rPr>
          <w:b/>
          <w:color w:val="231F20"/>
          <w:sz w:val="21"/>
        </w:rPr>
        <w:t>.</w:t>
      </w:r>
    </w:p>
    <w:p w14:paraId="17B6EADA" w14:textId="77777777" w:rsidR="00DE575E" w:rsidRDefault="002E7560">
      <w:pPr>
        <w:pStyle w:val="BodyText"/>
        <w:spacing w:before="2" w:line="252" w:lineRule="auto"/>
        <w:ind w:left="250" w:right="411" w:firstLine="283"/>
        <w:jc w:val="both"/>
      </w:pPr>
      <w:r>
        <w:rPr>
          <w:b/>
          <w:i/>
          <w:color w:val="231F20"/>
        </w:rPr>
        <w:t xml:space="preserve">Загальним  </w:t>
      </w:r>
      <w:r>
        <w:rPr>
          <w:b/>
          <w:i/>
          <w:color w:val="231F20"/>
          <w:spacing w:val="-3"/>
        </w:rPr>
        <w:t xml:space="preserve">об’єктом  </w:t>
      </w:r>
      <w:r>
        <w:rPr>
          <w:color w:val="231F20"/>
        </w:rPr>
        <w:t xml:space="preserve">дисциплінарного  проступку  службовця  в органах місцевого самоврядування є суспільні відносини, що виникають у процесі спільної праці. </w:t>
      </w:r>
      <w:r>
        <w:rPr>
          <w:b/>
          <w:i/>
          <w:color w:val="231F20"/>
        </w:rPr>
        <w:t xml:space="preserve">Безпосереднім </w:t>
      </w:r>
      <w:r>
        <w:rPr>
          <w:b/>
          <w:i/>
          <w:color w:val="231F20"/>
          <w:spacing w:val="-3"/>
        </w:rPr>
        <w:t xml:space="preserve">об’єктом </w:t>
      </w:r>
      <w:r>
        <w:rPr>
          <w:color w:val="231F20"/>
        </w:rPr>
        <w:t xml:space="preserve">пору- шення дисципліни муніципальним службовцем можуть бути окремі елементи внутрішнього </w:t>
      </w:r>
      <w:r>
        <w:rPr>
          <w:color w:val="231F20"/>
          <w:spacing w:val="-3"/>
        </w:rPr>
        <w:t>трудовог</w:t>
      </w:r>
      <w:r>
        <w:rPr>
          <w:color w:val="231F20"/>
          <w:spacing w:val="-3"/>
        </w:rPr>
        <w:t xml:space="preserve">о </w:t>
      </w:r>
      <w:r>
        <w:rPr>
          <w:color w:val="231F20"/>
        </w:rPr>
        <w:t>розпорядку (наприклад, режим роботи органу</w:t>
      </w:r>
      <w:r>
        <w:rPr>
          <w:color w:val="231F20"/>
          <w:spacing w:val="-3"/>
        </w:rPr>
        <w:t xml:space="preserve"> </w:t>
      </w:r>
      <w:r>
        <w:rPr>
          <w:color w:val="231F20"/>
        </w:rPr>
        <w:t>тощо).</w:t>
      </w:r>
    </w:p>
    <w:p w14:paraId="5F5C5F9F" w14:textId="77777777" w:rsidR="00DE575E" w:rsidRDefault="002E7560">
      <w:pPr>
        <w:pStyle w:val="BodyText"/>
        <w:spacing w:before="3" w:line="252" w:lineRule="auto"/>
        <w:ind w:left="250" w:right="412" w:firstLine="283"/>
        <w:jc w:val="both"/>
      </w:pPr>
      <w:r>
        <w:rPr>
          <w:b/>
          <w:color w:val="231F20"/>
        </w:rPr>
        <w:t xml:space="preserve">Суб’єктивною стороною </w:t>
      </w:r>
      <w:r>
        <w:rPr>
          <w:color w:val="231F20"/>
        </w:rPr>
        <w:t xml:space="preserve">дисциплінарного проступку є вина службовця органу місцевого самоврядування, тобто психічне став- лення службовця до вчинюваної дії чи бездіяльності та її наслідків, виражене у формі </w:t>
      </w:r>
      <w:r>
        <w:rPr>
          <w:i/>
          <w:color w:val="231F20"/>
        </w:rPr>
        <w:t xml:space="preserve">умислу </w:t>
      </w:r>
      <w:r>
        <w:rPr>
          <w:color w:val="231F20"/>
        </w:rPr>
        <w:t xml:space="preserve">або </w:t>
      </w:r>
      <w:r>
        <w:rPr>
          <w:i/>
          <w:color w:val="231F20"/>
        </w:rPr>
        <w:t>необережності</w:t>
      </w:r>
      <w:r>
        <w:rPr>
          <w:color w:val="231F20"/>
        </w:rPr>
        <w:t>.</w:t>
      </w:r>
    </w:p>
    <w:p w14:paraId="75CD39F7" w14:textId="77777777" w:rsidR="00DE575E" w:rsidRDefault="002E7560">
      <w:pPr>
        <w:pStyle w:val="BodyText"/>
        <w:spacing w:before="2" w:line="252" w:lineRule="auto"/>
        <w:ind w:left="250" w:right="411" w:firstLine="283"/>
        <w:jc w:val="both"/>
      </w:pPr>
      <w:r>
        <w:rPr>
          <w:b/>
          <w:color w:val="231F20"/>
          <w:spacing w:val="-3"/>
        </w:rPr>
        <w:t xml:space="preserve">Об’єктивна  </w:t>
      </w:r>
      <w:r>
        <w:rPr>
          <w:b/>
          <w:color w:val="231F20"/>
        </w:rPr>
        <w:t xml:space="preserve">сторона   </w:t>
      </w:r>
      <w:r>
        <w:rPr>
          <w:color w:val="231F20"/>
        </w:rPr>
        <w:t xml:space="preserve">дисциплінарного  проступку  складається з протиправної поведінки  муніципального  службовця,  шкідли- вих наслідків та причинного зв’язку між ними. Протиправною є дія або бездіяльність службовця, яка порушує </w:t>
      </w:r>
      <w:r>
        <w:rPr>
          <w:color w:val="231F20"/>
        </w:rPr>
        <w:t>загальні вимоги законо- давства</w:t>
      </w:r>
      <w:r>
        <w:rPr>
          <w:color w:val="231F20"/>
          <w:spacing w:val="-5"/>
        </w:rPr>
        <w:t xml:space="preserve"> </w:t>
      </w:r>
      <w:r>
        <w:rPr>
          <w:color w:val="231F20"/>
        </w:rPr>
        <w:t>про</w:t>
      </w:r>
      <w:r>
        <w:rPr>
          <w:color w:val="231F20"/>
          <w:spacing w:val="-5"/>
        </w:rPr>
        <w:t xml:space="preserve"> </w:t>
      </w:r>
      <w:r>
        <w:rPr>
          <w:color w:val="231F20"/>
        </w:rPr>
        <w:t>працю,</w:t>
      </w:r>
      <w:r>
        <w:rPr>
          <w:color w:val="231F20"/>
          <w:spacing w:val="-5"/>
        </w:rPr>
        <w:t xml:space="preserve"> </w:t>
      </w:r>
      <w:r>
        <w:rPr>
          <w:color w:val="231F20"/>
        </w:rPr>
        <w:t>приписи</w:t>
      </w:r>
      <w:r>
        <w:rPr>
          <w:color w:val="231F20"/>
          <w:spacing w:val="-5"/>
        </w:rPr>
        <w:t xml:space="preserve"> </w:t>
      </w:r>
      <w:r>
        <w:rPr>
          <w:color w:val="231F20"/>
        </w:rPr>
        <w:t>спеціальних</w:t>
      </w:r>
      <w:r>
        <w:rPr>
          <w:color w:val="231F20"/>
          <w:spacing w:val="-5"/>
        </w:rPr>
        <w:t xml:space="preserve"> </w:t>
      </w:r>
      <w:r>
        <w:rPr>
          <w:color w:val="231F20"/>
        </w:rPr>
        <w:t>актів,</w:t>
      </w:r>
      <w:r>
        <w:rPr>
          <w:color w:val="231F20"/>
          <w:spacing w:val="-5"/>
        </w:rPr>
        <w:t xml:space="preserve"> </w:t>
      </w:r>
      <w:r>
        <w:rPr>
          <w:color w:val="231F20"/>
        </w:rPr>
        <w:t>наказів</w:t>
      </w:r>
      <w:r>
        <w:rPr>
          <w:color w:val="231F20"/>
          <w:spacing w:val="-5"/>
        </w:rPr>
        <w:t xml:space="preserve"> </w:t>
      </w:r>
      <w:r>
        <w:rPr>
          <w:color w:val="231F20"/>
        </w:rPr>
        <w:t>або</w:t>
      </w:r>
      <w:r>
        <w:rPr>
          <w:color w:val="231F20"/>
          <w:spacing w:val="-5"/>
        </w:rPr>
        <w:t xml:space="preserve"> </w:t>
      </w:r>
      <w:r>
        <w:rPr>
          <w:color w:val="231F20"/>
        </w:rPr>
        <w:t>розпоря- дження керівника органу</w:t>
      </w:r>
      <w:r>
        <w:rPr>
          <w:color w:val="231F20"/>
          <w:spacing w:val="-2"/>
        </w:rPr>
        <w:t xml:space="preserve"> </w:t>
      </w:r>
      <w:r>
        <w:rPr>
          <w:color w:val="231F20"/>
        </w:rPr>
        <w:t>тощо.</w:t>
      </w:r>
    </w:p>
    <w:p w14:paraId="5D35A573" w14:textId="77777777" w:rsidR="00DE575E" w:rsidRDefault="002E7560">
      <w:pPr>
        <w:spacing w:before="3" w:line="252" w:lineRule="auto"/>
        <w:ind w:left="250" w:right="409" w:firstLine="283"/>
        <w:jc w:val="both"/>
        <w:rPr>
          <w:sz w:val="21"/>
        </w:rPr>
      </w:pPr>
      <w:r>
        <w:rPr>
          <w:color w:val="231F20"/>
          <w:sz w:val="21"/>
        </w:rPr>
        <w:t xml:space="preserve">Розглядаючи </w:t>
      </w:r>
      <w:r>
        <w:rPr>
          <w:color w:val="231F20"/>
          <w:spacing w:val="-3"/>
          <w:sz w:val="21"/>
        </w:rPr>
        <w:t xml:space="preserve">суб’єкта </w:t>
      </w:r>
      <w:r>
        <w:rPr>
          <w:color w:val="231F20"/>
          <w:sz w:val="21"/>
        </w:rPr>
        <w:t>дисциплінарного правопорушення, варто пам’ятати, що при дисциплінарній відповідальності обов’язковою   є</w:t>
      </w:r>
      <w:r>
        <w:rPr>
          <w:color w:val="231F20"/>
          <w:spacing w:val="-19"/>
          <w:sz w:val="21"/>
        </w:rPr>
        <w:t xml:space="preserve"> </w:t>
      </w:r>
      <w:r>
        <w:rPr>
          <w:color w:val="231F20"/>
          <w:sz w:val="21"/>
        </w:rPr>
        <w:t>службова</w:t>
      </w:r>
      <w:r>
        <w:rPr>
          <w:color w:val="231F20"/>
          <w:spacing w:val="-19"/>
          <w:sz w:val="21"/>
        </w:rPr>
        <w:t xml:space="preserve"> </w:t>
      </w:r>
      <w:r>
        <w:rPr>
          <w:color w:val="231F20"/>
          <w:sz w:val="21"/>
        </w:rPr>
        <w:t>підпорядкованість</w:t>
      </w:r>
      <w:r>
        <w:rPr>
          <w:color w:val="231F20"/>
          <w:spacing w:val="-19"/>
          <w:sz w:val="21"/>
        </w:rPr>
        <w:t xml:space="preserve"> </w:t>
      </w:r>
      <w:r>
        <w:rPr>
          <w:color w:val="231F20"/>
          <w:sz w:val="21"/>
        </w:rPr>
        <w:t>між</w:t>
      </w:r>
      <w:r>
        <w:rPr>
          <w:color w:val="231F20"/>
          <w:spacing w:val="-19"/>
          <w:sz w:val="21"/>
        </w:rPr>
        <w:t xml:space="preserve"> </w:t>
      </w:r>
      <w:r>
        <w:rPr>
          <w:color w:val="231F20"/>
          <w:sz w:val="21"/>
        </w:rPr>
        <w:t>особою,</w:t>
      </w:r>
      <w:r>
        <w:rPr>
          <w:color w:val="231F20"/>
          <w:spacing w:val="-19"/>
          <w:sz w:val="21"/>
        </w:rPr>
        <w:t xml:space="preserve"> </w:t>
      </w:r>
      <w:r>
        <w:rPr>
          <w:color w:val="231F20"/>
          <w:sz w:val="21"/>
        </w:rPr>
        <w:t>яка</w:t>
      </w:r>
      <w:r>
        <w:rPr>
          <w:color w:val="231F20"/>
          <w:spacing w:val="-19"/>
          <w:sz w:val="21"/>
        </w:rPr>
        <w:t xml:space="preserve"> </w:t>
      </w:r>
      <w:r>
        <w:rPr>
          <w:color w:val="231F20"/>
          <w:sz w:val="21"/>
        </w:rPr>
        <w:t>притягається</w:t>
      </w:r>
      <w:r>
        <w:rPr>
          <w:color w:val="231F20"/>
          <w:spacing w:val="-19"/>
          <w:sz w:val="21"/>
        </w:rPr>
        <w:t xml:space="preserve"> </w:t>
      </w:r>
      <w:r>
        <w:rPr>
          <w:color w:val="231F20"/>
          <w:sz w:val="21"/>
        </w:rPr>
        <w:t>до</w:t>
      </w:r>
      <w:r>
        <w:rPr>
          <w:color w:val="231F20"/>
          <w:spacing w:val="-19"/>
          <w:sz w:val="21"/>
        </w:rPr>
        <w:t xml:space="preserve"> </w:t>
      </w:r>
      <w:r>
        <w:rPr>
          <w:color w:val="231F20"/>
          <w:sz w:val="21"/>
        </w:rPr>
        <w:t xml:space="preserve">цього виду відповідальності, і особою, яка застосовує </w:t>
      </w:r>
      <w:r>
        <w:rPr>
          <w:color w:val="231F20"/>
          <w:spacing w:val="-2"/>
          <w:sz w:val="21"/>
        </w:rPr>
        <w:t xml:space="preserve">заходи </w:t>
      </w:r>
      <w:r>
        <w:rPr>
          <w:color w:val="231F20"/>
          <w:sz w:val="21"/>
        </w:rPr>
        <w:t xml:space="preserve">дисциплінар- ної відповідальності,  тобто  </w:t>
      </w:r>
      <w:r>
        <w:rPr>
          <w:i/>
          <w:color w:val="231F20"/>
          <w:spacing w:val="-3"/>
          <w:sz w:val="21"/>
        </w:rPr>
        <w:t xml:space="preserve">суб’єктом  </w:t>
      </w:r>
      <w:r>
        <w:rPr>
          <w:i/>
          <w:color w:val="231F20"/>
          <w:sz w:val="21"/>
        </w:rPr>
        <w:t xml:space="preserve">дисциплінарного  проступку </w:t>
      </w:r>
      <w:r>
        <w:rPr>
          <w:color w:val="231F20"/>
          <w:sz w:val="21"/>
        </w:rPr>
        <w:t xml:space="preserve">є член визначеного стійкого колективу, а </w:t>
      </w:r>
      <w:r>
        <w:rPr>
          <w:i/>
          <w:color w:val="231F20"/>
          <w:spacing w:val="-3"/>
          <w:sz w:val="21"/>
        </w:rPr>
        <w:t xml:space="preserve">суб’єктом, </w:t>
      </w:r>
      <w:r>
        <w:rPr>
          <w:i/>
          <w:color w:val="231F20"/>
          <w:sz w:val="21"/>
        </w:rPr>
        <w:t>уповноваженим на застосування дисциплінарної відповідальності</w:t>
      </w:r>
      <w:r>
        <w:rPr>
          <w:b/>
          <w:color w:val="231F20"/>
          <w:sz w:val="21"/>
        </w:rPr>
        <w:t xml:space="preserve">, </w:t>
      </w:r>
      <w:r>
        <w:rPr>
          <w:color w:val="231F20"/>
          <w:sz w:val="21"/>
        </w:rPr>
        <w:t>є керівник органу місцевого самоврядування.</w:t>
      </w:r>
    </w:p>
    <w:p w14:paraId="6E191C31" w14:textId="77777777" w:rsidR="00DE575E" w:rsidRDefault="00DE575E">
      <w:pPr>
        <w:pStyle w:val="BodyText"/>
        <w:spacing w:before="8"/>
        <w:rPr>
          <w:sz w:val="12"/>
        </w:rPr>
      </w:pPr>
    </w:p>
    <w:p w14:paraId="545B87D3" w14:textId="77777777" w:rsidR="00DE575E" w:rsidRDefault="002E7560">
      <w:pPr>
        <w:spacing w:before="92"/>
        <w:ind w:right="411"/>
        <w:jc w:val="right"/>
        <w:rPr>
          <w:rFonts w:ascii="Times New Roman"/>
          <w:sz w:val="20"/>
        </w:rPr>
      </w:pPr>
      <w:r>
        <w:rPr>
          <w:rFonts w:ascii="Times New Roman"/>
          <w:color w:val="231F20"/>
          <w:w w:val="90"/>
          <w:sz w:val="20"/>
        </w:rPr>
        <w:t>399</w:t>
      </w:r>
    </w:p>
    <w:p w14:paraId="5676859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BEFC6D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8AB65BE" w14:textId="6725E76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0713A26" wp14:editId="7A45E9C3">
                <wp:extent cx="4140200" cy="6350"/>
                <wp:effectExtent l="0" t="0" r="12700" b="6350"/>
                <wp:docPr id="39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00" name="Line 39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7F0585" id="Group_x0020_39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kvtUOgAIAAJgFAAAO&#10;AAAAAAAAAAAAAAAAACwCAABkcnMvZTJvRG9jLnhtbFBLAQItABQABgAIAAAAIQBMp7CQ2QAAAAMB&#10;AAAPAAAAAAAAAAAAAAAAANgEAABkcnMvZG93bnJldi54bWxQSwUGAAAAAAQABADzAAAA3gUAAAAA&#10;">
                <v:line id="Line_x0020_39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rq8cQAAADcAAAADwAAAGRycy9kb3ducmV2LnhtbERP3WrCMBS+F/YO4Qy8kZn6wxhdUxnC&#10;YOxCZ7sHODZnbVlyUptoO5/eXAy8/Pj+s81ojbhQ71vHChbzBARx5XTLtYLv8v3pBYQPyBqNY1Lw&#10;Rx42+cMkw1S7gQ90KUItYgj7FBU0IXSplL5qyKKfu444cj+utxgi7GupexxiuDVymSTP0mLLsaHB&#10;jrYNVb/F2SooT7NgvvafZij3x5U8nnar63mn1PRxfHsFEWgMd/G/+0MrWCdxfjwTj4DM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6urxxAAAANwAAAAPAAAAAAAAAAAA&#10;AAAAAKECAABkcnMvZG93bnJldi54bWxQSwUGAAAAAAQABAD5AAAAkgMAAAAA&#10;" strokecolor="#231f20" strokeweight=".5pt"/>
                <w10:anchorlock/>
              </v:group>
            </w:pict>
          </mc:Fallback>
        </mc:AlternateContent>
      </w:r>
    </w:p>
    <w:p w14:paraId="426B02BD" w14:textId="77777777" w:rsidR="00DE575E" w:rsidRDefault="00DE575E">
      <w:pPr>
        <w:pStyle w:val="BodyText"/>
        <w:spacing w:before="7"/>
        <w:rPr>
          <w:rFonts w:ascii="AdonisC"/>
          <w:i/>
          <w:sz w:val="11"/>
        </w:rPr>
      </w:pPr>
    </w:p>
    <w:p w14:paraId="1E54E8E6" w14:textId="77777777" w:rsidR="00DE575E" w:rsidRDefault="002E7560">
      <w:pPr>
        <w:spacing w:before="101" w:line="252" w:lineRule="auto"/>
        <w:ind w:left="533" w:right="126" w:firstLine="283"/>
        <w:jc w:val="both"/>
        <w:rPr>
          <w:sz w:val="21"/>
        </w:rPr>
      </w:pPr>
      <w:r>
        <w:rPr>
          <w:color w:val="231F20"/>
          <w:sz w:val="21"/>
        </w:rPr>
        <w:t xml:space="preserve">Варто  зазначити  при  </w:t>
      </w:r>
      <w:r>
        <w:rPr>
          <w:color w:val="231F20"/>
          <w:spacing w:val="-3"/>
          <w:sz w:val="21"/>
        </w:rPr>
        <w:t xml:space="preserve">цьому,  </w:t>
      </w:r>
      <w:r>
        <w:rPr>
          <w:color w:val="231F20"/>
          <w:sz w:val="21"/>
        </w:rPr>
        <w:t xml:space="preserve">що  Закон  </w:t>
      </w:r>
      <w:r>
        <w:rPr>
          <w:color w:val="231F20"/>
          <w:spacing w:val="-3"/>
          <w:sz w:val="21"/>
        </w:rPr>
        <w:t xml:space="preserve">України   </w:t>
      </w:r>
      <w:r>
        <w:rPr>
          <w:color w:val="231F20"/>
          <w:sz w:val="21"/>
        </w:rPr>
        <w:t xml:space="preserve">«Про  службу   в органах місцевого самоврядування» у </w:t>
      </w:r>
      <w:r>
        <w:rPr>
          <w:color w:val="231F20"/>
          <w:spacing w:val="-6"/>
          <w:sz w:val="21"/>
        </w:rPr>
        <w:t xml:space="preserve">ст. </w:t>
      </w:r>
      <w:r>
        <w:rPr>
          <w:color w:val="231F20"/>
          <w:sz w:val="21"/>
        </w:rPr>
        <w:t xml:space="preserve">23 визначає: особи, винні в порушенні законодавства про службу в органах місцевого само- врядування, </w:t>
      </w:r>
      <w:r>
        <w:rPr>
          <w:i/>
          <w:color w:val="231F20"/>
          <w:sz w:val="21"/>
        </w:rPr>
        <w:t xml:space="preserve">притягуються до цивільної, адміністративної або кримінальної відповідальності </w:t>
      </w:r>
      <w:r>
        <w:rPr>
          <w:b/>
          <w:i/>
          <w:color w:val="231F20"/>
          <w:sz w:val="21"/>
        </w:rPr>
        <w:t>з</w:t>
      </w:r>
      <w:r>
        <w:rPr>
          <w:i/>
          <w:color w:val="231F20"/>
          <w:sz w:val="21"/>
        </w:rPr>
        <w:t>гідно із законом</w:t>
      </w:r>
      <w:r>
        <w:rPr>
          <w:color w:val="231F20"/>
          <w:sz w:val="21"/>
        </w:rPr>
        <w:t xml:space="preserve">. При цьому дисци- плінарна відповідальність у переліку відсутня. У свою чергу </w:t>
      </w:r>
      <w:r>
        <w:rPr>
          <w:color w:val="231F20"/>
          <w:spacing w:val="-6"/>
          <w:sz w:val="21"/>
        </w:rPr>
        <w:t xml:space="preserve">ст. </w:t>
      </w:r>
      <w:r>
        <w:rPr>
          <w:color w:val="231F20"/>
          <w:sz w:val="21"/>
        </w:rPr>
        <w:t xml:space="preserve">19 Закону серед іншого передбачає, що </w:t>
      </w:r>
      <w:r>
        <w:rPr>
          <w:b/>
          <w:color w:val="231F20"/>
          <w:sz w:val="21"/>
        </w:rPr>
        <w:t>особливості дисциплінарної відповідально</w:t>
      </w:r>
      <w:r>
        <w:rPr>
          <w:b/>
          <w:color w:val="231F20"/>
          <w:sz w:val="21"/>
        </w:rPr>
        <w:t xml:space="preserve">сті посадових осіб місцевого самоврядування, </w:t>
      </w:r>
      <w:r>
        <w:rPr>
          <w:color w:val="231F20"/>
          <w:sz w:val="21"/>
        </w:rPr>
        <w:t xml:space="preserve">пов’язаних зі службою в органах місцевого самоврядування, </w:t>
      </w:r>
      <w:r>
        <w:rPr>
          <w:b/>
          <w:color w:val="231F20"/>
          <w:sz w:val="21"/>
        </w:rPr>
        <w:t xml:space="preserve">забез- печуються в </w:t>
      </w:r>
      <w:r>
        <w:rPr>
          <w:b/>
          <w:color w:val="231F20"/>
          <w:spacing w:val="-4"/>
          <w:sz w:val="21"/>
        </w:rPr>
        <w:t xml:space="preserve">порядку, </w:t>
      </w:r>
      <w:r>
        <w:rPr>
          <w:b/>
          <w:color w:val="231F20"/>
          <w:sz w:val="21"/>
        </w:rPr>
        <w:t>передбаченому законом</w:t>
      </w:r>
      <w:r>
        <w:rPr>
          <w:color w:val="231F20"/>
          <w:sz w:val="21"/>
        </w:rPr>
        <w:t xml:space="preserve">. Однак конкретно такий порядок законодавчо </w:t>
      </w:r>
      <w:r>
        <w:rPr>
          <w:b/>
          <w:color w:val="231F20"/>
          <w:sz w:val="21"/>
        </w:rPr>
        <w:t>не</w:t>
      </w:r>
      <w:r>
        <w:rPr>
          <w:b/>
          <w:color w:val="231F20"/>
          <w:spacing w:val="-4"/>
          <w:sz w:val="21"/>
        </w:rPr>
        <w:t xml:space="preserve"> </w:t>
      </w:r>
      <w:r>
        <w:rPr>
          <w:b/>
          <w:color w:val="231F20"/>
          <w:sz w:val="21"/>
        </w:rPr>
        <w:t>визначений</w:t>
      </w:r>
      <w:r>
        <w:rPr>
          <w:color w:val="231F20"/>
          <w:position w:val="7"/>
          <w:sz w:val="12"/>
        </w:rPr>
        <w:t>1</w:t>
      </w:r>
      <w:r>
        <w:rPr>
          <w:color w:val="231F20"/>
          <w:sz w:val="21"/>
        </w:rPr>
        <w:t>.</w:t>
      </w:r>
    </w:p>
    <w:p w14:paraId="3A778A09" w14:textId="77777777" w:rsidR="00DE575E" w:rsidRDefault="002E7560">
      <w:pPr>
        <w:pStyle w:val="BodyText"/>
        <w:spacing w:before="5" w:line="252" w:lineRule="auto"/>
        <w:ind w:left="533" w:right="128" w:firstLine="283"/>
        <w:jc w:val="both"/>
      </w:pPr>
      <w:r>
        <w:rPr>
          <w:color w:val="231F20"/>
          <w:spacing w:val="-6"/>
        </w:rPr>
        <w:t xml:space="preserve">Отже, </w:t>
      </w:r>
      <w:r>
        <w:rPr>
          <w:color w:val="231F20"/>
          <w:spacing w:val="-7"/>
        </w:rPr>
        <w:t xml:space="preserve">вбачається, </w:t>
      </w:r>
      <w:r>
        <w:rPr>
          <w:color w:val="231F20"/>
          <w:spacing w:val="-4"/>
        </w:rPr>
        <w:t xml:space="preserve">що </w:t>
      </w:r>
      <w:r>
        <w:rPr>
          <w:color w:val="231F20"/>
          <w:spacing w:val="-7"/>
        </w:rPr>
        <w:t xml:space="preserve">законодавство </w:t>
      </w:r>
      <w:r>
        <w:rPr>
          <w:color w:val="231F20"/>
        </w:rPr>
        <w:t xml:space="preserve">з </w:t>
      </w:r>
      <w:r>
        <w:rPr>
          <w:color w:val="231F20"/>
          <w:spacing w:val="-6"/>
        </w:rPr>
        <w:t>питання</w:t>
      </w:r>
      <w:r>
        <w:rPr>
          <w:color w:val="231F20"/>
          <w:spacing w:val="-6"/>
        </w:rPr>
        <w:t xml:space="preserve"> </w:t>
      </w:r>
      <w:r>
        <w:rPr>
          <w:color w:val="231F20"/>
          <w:spacing w:val="-7"/>
        </w:rPr>
        <w:t xml:space="preserve">дисциплінарної </w:t>
      </w:r>
      <w:r>
        <w:rPr>
          <w:color w:val="231F20"/>
          <w:spacing w:val="-6"/>
        </w:rPr>
        <w:t xml:space="preserve">відпо- </w:t>
      </w:r>
      <w:r>
        <w:rPr>
          <w:color w:val="231F20"/>
          <w:spacing w:val="-7"/>
        </w:rPr>
        <w:t xml:space="preserve">відальності посадових </w:t>
      </w:r>
      <w:r>
        <w:rPr>
          <w:color w:val="231F20"/>
          <w:spacing w:val="-6"/>
        </w:rPr>
        <w:t xml:space="preserve">осіб </w:t>
      </w:r>
      <w:r>
        <w:rPr>
          <w:color w:val="231F20"/>
          <w:spacing w:val="-7"/>
        </w:rPr>
        <w:t xml:space="preserve">місцевого самоврядування </w:t>
      </w:r>
      <w:r>
        <w:rPr>
          <w:color w:val="231F20"/>
        </w:rPr>
        <w:t xml:space="preserve">є </w:t>
      </w:r>
      <w:r>
        <w:rPr>
          <w:color w:val="231F20"/>
          <w:spacing w:val="-8"/>
        </w:rPr>
        <w:t xml:space="preserve">незлагодженим. </w:t>
      </w:r>
      <w:r>
        <w:rPr>
          <w:color w:val="231F20"/>
          <w:spacing w:val="-7"/>
        </w:rPr>
        <w:t xml:space="preserve">Механізм застосування </w:t>
      </w:r>
      <w:r>
        <w:rPr>
          <w:color w:val="231F20"/>
          <w:spacing w:val="-6"/>
        </w:rPr>
        <w:t xml:space="preserve">цього виду </w:t>
      </w:r>
      <w:r>
        <w:rPr>
          <w:color w:val="231F20"/>
          <w:spacing w:val="-7"/>
        </w:rPr>
        <w:t xml:space="preserve">відповідальності </w:t>
      </w:r>
      <w:r>
        <w:rPr>
          <w:color w:val="231F20"/>
          <w:spacing w:val="-4"/>
        </w:rPr>
        <w:t xml:space="preserve">до </w:t>
      </w:r>
      <w:r>
        <w:rPr>
          <w:color w:val="231F20"/>
          <w:spacing w:val="-7"/>
        </w:rPr>
        <w:t xml:space="preserve">такого спеціаль- </w:t>
      </w:r>
      <w:r>
        <w:rPr>
          <w:color w:val="231F20"/>
          <w:spacing w:val="-6"/>
        </w:rPr>
        <w:t xml:space="preserve">ного </w:t>
      </w:r>
      <w:r>
        <w:rPr>
          <w:color w:val="231F20"/>
          <w:spacing w:val="-9"/>
        </w:rPr>
        <w:t xml:space="preserve">суб’єкта, </w:t>
      </w:r>
      <w:r>
        <w:rPr>
          <w:color w:val="231F20"/>
          <w:spacing w:val="-4"/>
        </w:rPr>
        <w:t xml:space="preserve">як </w:t>
      </w:r>
      <w:r>
        <w:rPr>
          <w:color w:val="231F20"/>
          <w:spacing w:val="-7"/>
        </w:rPr>
        <w:t xml:space="preserve">посадова </w:t>
      </w:r>
      <w:r>
        <w:rPr>
          <w:color w:val="231F20"/>
          <w:spacing w:val="-6"/>
        </w:rPr>
        <w:t xml:space="preserve">особа </w:t>
      </w:r>
      <w:r>
        <w:rPr>
          <w:color w:val="231F20"/>
          <w:spacing w:val="-7"/>
        </w:rPr>
        <w:t xml:space="preserve">місцевого самоврядування, </w:t>
      </w:r>
      <w:r>
        <w:rPr>
          <w:color w:val="231F20"/>
        </w:rPr>
        <w:t xml:space="preserve">у </w:t>
      </w:r>
      <w:r>
        <w:rPr>
          <w:color w:val="231F20"/>
          <w:spacing w:val="-7"/>
        </w:rPr>
        <w:t xml:space="preserve">законодав- </w:t>
      </w:r>
      <w:r>
        <w:rPr>
          <w:color w:val="231F20"/>
          <w:spacing w:val="-6"/>
        </w:rPr>
        <w:t xml:space="preserve">стві </w:t>
      </w:r>
      <w:r>
        <w:rPr>
          <w:color w:val="231F20"/>
          <w:spacing w:val="-4"/>
        </w:rPr>
        <w:t xml:space="preserve">не </w:t>
      </w:r>
      <w:r>
        <w:rPr>
          <w:color w:val="231F20"/>
          <w:spacing w:val="-7"/>
        </w:rPr>
        <w:t xml:space="preserve">встановлено. </w:t>
      </w:r>
      <w:r>
        <w:rPr>
          <w:color w:val="231F20"/>
          <w:spacing w:val="-6"/>
        </w:rPr>
        <w:t>О</w:t>
      </w:r>
      <w:r>
        <w:rPr>
          <w:color w:val="231F20"/>
          <w:spacing w:val="-6"/>
        </w:rPr>
        <w:t xml:space="preserve">крім того, </w:t>
      </w:r>
      <w:r>
        <w:rPr>
          <w:color w:val="231F20"/>
        </w:rPr>
        <w:t xml:space="preserve">у </w:t>
      </w:r>
      <w:r>
        <w:rPr>
          <w:color w:val="231F20"/>
          <w:spacing w:val="-7"/>
        </w:rPr>
        <w:t xml:space="preserve">законодавстві щодо місцевого </w:t>
      </w:r>
      <w:r>
        <w:rPr>
          <w:color w:val="231F20"/>
          <w:spacing w:val="-6"/>
        </w:rPr>
        <w:t xml:space="preserve">само- </w:t>
      </w:r>
      <w:r>
        <w:rPr>
          <w:color w:val="231F20"/>
          <w:spacing w:val="-7"/>
        </w:rPr>
        <w:t xml:space="preserve">врядування </w:t>
      </w:r>
      <w:r>
        <w:rPr>
          <w:color w:val="231F20"/>
          <w:spacing w:val="-4"/>
        </w:rPr>
        <w:t xml:space="preserve">не </w:t>
      </w:r>
      <w:r>
        <w:rPr>
          <w:color w:val="231F20"/>
          <w:spacing w:val="-7"/>
        </w:rPr>
        <w:t xml:space="preserve">передбачено спеціальних дисциплінарних стягнень, що </w:t>
      </w:r>
      <w:r>
        <w:rPr>
          <w:color w:val="231F20"/>
          <w:spacing w:val="-6"/>
        </w:rPr>
        <w:t xml:space="preserve">можуть </w:t>
      </w:r>
      <w:r>
        <w:rPr>
          <w:color w:val="231F20"/>
          <w:spacing w:val="-7"/>
        </w:rPr>
        <w:t xml:space="preserve">застосовуватися </w:t>
      </w:r>
      <w:r>
        <w:rPr>
          <w:color w:val="231F20"/>
          <w:spacing w:val="-4"/>
        </w:rPr>
        <w:t xml:space="preserve">до </w:t>
      </w:r>
      <w:r>
        <w:rPr>
          <w:color w:val="231F20"/>
          <w:spacing w:val="-7"/>
        </w:rPr>
        <w:t xml:space="preserve">посадових </w:t>
      </w:r>
      <w:r>
        <w:rPr>
          <w:color w:val="231F20"/>
          <w:spacing w:val="-6"/>
        </w:rPr>
        <w:t xml:space="preserve">осіб органів </w:t>
      </w:r>
      <w:r>
        <w:rPr>
          <w:color w:val="231F20"/>
          <w:spacing w:val="-7"/>
        </w:rPr>
        <w:t xml:space="preserve">місцевого самовряду- </w:t>
      </w:r>
      <w:r>
        <w:rPr>
          <w:color w:val="231F20"/>
          <w:spacing w:val="-6"/>
        </w:rPr>
        <w:t>вання,</w:t>
      </w:r>
      <w:r>
        <w:rPr>
          <w:color w:val="231F20"/>
          <w:spacing w:val="-16"/>
        </w:rPr>
        <w:t xml:space="preserve"> </w:t>
      </w:r>
      <w:r>
        <w:rPr>
          <w:color w:val="231F20"/>
          <w:spacing w:val="-4"/>
        </w:rPr>
        <w:t>як</w:t>
      </w:r>
      <w:r>
        <w:rPr>
          <w:color w:val="231F20"/>
          <w:spacing w:val="-16"/>
        </w:rPr>
        <w:t xml:space="preserve"> </w:t>
      </w:r>
      <w:r>
        <w:rPr>
          <w:color w:val="231F20"/>
          <w:spacing w:val="-4"/>
        </w:rPr>
        <w:t>це</w:t>
      </w:r>
      <w:r>
        <w:rPr>
          <w:color w:val="231F20"/>
          <w:spacing w:val="-16"/>
        </w:rPr>
        <w:t xml:space="preserve"> </w:t>
      </w:r>
      <w:r>
        <w:rPr>
          <w:color w:val="231F20"/>
          <w:spacing w:val="-7"/>
        </w:rPr>
        <w:t>передбачено</w:t>
      </w:r>
      <w:r>
        <w:rPr>
          <w:color w:val="231F20"/>
          <w:spacing w:val="-16"/>
        </w:rPr>
        <w:t xml:space="preserve"> </w:t>
      </w:r>
      <w:r>
        <w:rPr>
          <w:color w:val="231F20"/>
        </w:rPr>
        <w:t>в</w:t>
      </w:r>
      <w:r>
        <w:rPr>
          <w:color w:val="231F20"/>
          <w:spacing w:val="-17"/>
        </w:rPr>
        <w:t xml:space="preserve"> </w:t>
      </w:r>
      <w:r>
        <w:rPr>
          <w:color w:val="231F20"/>
          <w:spacing w:val="-7"/>
        </w:rPr>
        <w:t>Законі</w:t>
      </w:r>
      <w:r>
        <w:rPr>
          <w:color w:val="231F20"/>
          <w:spacing w:val="-16"/>
        </w:rPr>
        <w:t xml:space="preserve"> </w:t>
      </w:r>
      <w:r>
        <w:rPr>
          <w:color w:val="231F20"/>
          <w:spacing w:val="-8"/>
        </w:rPr>
        <w:t>України</w:t>
      </w:r>
      <w:r>
        <w:rPr>
          <w:color w:val="231F20"/>
          <w:spacing w:val="-16"/>
        </w:rPr>
        <w:t xml:space="preserve"> </w:t>
      </w:r>
      <w:r>
        <w:rPr>
          <w:color w:val="231F20"/>
          <w:spacing w:val="-6"/>
        </w:rPr>
        <w:t>«Про</w:t>
      </w:r>
      <w:r>
        <w:rPr>
          <w:color w:val="231F20"/>
          <w:spacing w:val="-16"/>
        </w:rPr>
        <w:t xml:space="preserve"> </w:t>
      </w:r>
      <w:r>
        <w:rPr>
          <w:color w:val="231F20"/>
          <w:spacing w:val="-7"/>
        </w:rPr>
        <w:t>державну</w:t>
      </w:r>
      <w:r>
        <w:rPr>
          <w:color w:val="231F20"/>
          <w:spacing w:val="-16"/>
        </w:rPr>
        <w:t xml:space="preserve"> </w:t>
      </w:r>
      <w:r>
        <w:rPr>
          <w:color w:val="231F20"/>
          <w:spacing w:val="-5"/>
        </w:rPr>
        <w:t>службу»</w:t>
      </w:r>
      <w:r>
        <w:rPr>
          <w:color w:val="231F20"/>
          <w:spacing w:val="-5"/>
          <w:position w:val="7"/>
          <w:sz w:val="12"/>
        </w:rPr>
        <w:t>2</w:t>
      </w:r>
      <w:r>
        <w:rPr>
          <w:color w:val="231F20"/>
          <w:spacing w:val="-5"/>
        </w:rPr>
        <w:t>.</w:t>
      </w:r>
      <w:r>
        <w:rPr>
          <w:color w:val="231F20"/>
          <w:spacing w:val="-16"/>
        </w:rPr>
        <w:t xml:space="preserve"> </w:t>
      </w:r>
      <w:r>
        <w:rPr>
          <w:color w:val="231F20"/>
          <w:spacing w:val="-12"/>
        </w:rPr>
        <w:t xml:space="preserve">Тому </w:t>
      </w:r>
      <w:r>
        <w:rPr>
          <w:color w:val="231F20"/>
          <w:spacing w:val="-4"/>
        </w:rPr>
        <w:t xml:space="preserve">до </w:t>
      </w:r>
      <w:r>
        <w:rPr>
          <w:color w:val="231F20"/>
          <w:spacing w:val="-7"/>
        </w:rPr>
        <w:t xml:space="preserve">посадових </w:t>
      </w:r>
      <w:r>
        <w:rPr>
          <w:color w:val="231F20"/>
          <w:spacing w:val="-6"/>
        </w:rPr>
        <w:t xml:space="preserve">осіб органів </w:t>
      </w:r>
      <w:r>
        <w:rPr>
          <w:color w:val="231F20"/>
          <w:spacing w:val="-7"/>
        </w:rPr>
        <w:t xml:space="preserve">місцевого самоврядування </w:t>
      </w:r>
      <w:r>
        <w:rPr>
          <w:color w:val="231F20"/>
          <w:spacing w:val="-6"/>
        </w:rPr>
        <w:t xml:space="preserve">можуть </w:t>
      </w:r>
      <w:r>
        <w:rPr>
          <w:color w:val="231F20"/>
          <w:spacing w:val="-7"/>
        </w:rPr>
        <w:t xml:space="preserve">застосову- </w:t>
      </w:r>
      <w:r>
        <w:rPr>
          <w:color w:val="231F20"/>
          <w:spacing w:val="-6"/>
        </w:rPr>
        <w:t xml:space="preserve">ватися лише </w:t>
      </w:r>
      <w:r>
        <w:rPr>
          <w:color w:val="231F20"/>
          <w:spacing w:val="-7"/>
        </w:rPr>
        <w:t xml:space="preserve">загальні дисциплінарні стягнення, передбачені </w:t>
      </w:r>
      <w:r>
        <w:rPr>
          <w:color w:val="231F20"/>
          <w:spacing w:val="-9"/>
        </w:rPr>
        <w:t xml:space="preserve">Кодексом </w:t>
      </w:r>
      <w:r>
        <w:rPr>
          <w:color w:val="231F20"/>
          <w:spacing w:val="-7"/>
        </w:rPr>
        <w:t xml:space="preserve">законів </w:t>
      </w:r>
      <w:r>
        <w:rPr>
          <w:color w:val="231F20"/>
          <w:spacing w:val="-5"/>
        </w:rPr>
        <w:t xml:space="preserve">про </w:t>
      </w:r>
      <w:r>
        <w:rPr>
          <w:color w:val="231F20"/>
          <w:spacing w:val="-6"/>
        </w:rPr>
        <w:t xml:space="preserve">працю </w:t>
      </w:r>
      <w:r>
        <w:rPr>
          <w:color w:val="231F20"/>
          <w:spacing w:val="-8"/>
        </w:rPr>
        <w:t xml:space="preserve">України, </w:t>
      </w:r>
      <w:r>
        <w:rPr>
          <w:color w:val="231F20"/>
        </w:rPr>
        <w:t xml:space="preserve">а </w:t>
      </w:r>
      <w:r>
        <w:rPr>
          <w:color w:val="231F20"/>
          <w:spacing w:val="-6"/>
        </w:rPr>
        <w:t xml:space="preserve">саме </w:t>
      </w:r>
      <w:r>
        <w:rPr>
          <w:b/>
          <w:i/>
          <w:color w:val="231F20"/>
          <w:spacing w:val="-6"/>
        </w:rPr>
        <w:t xml:space="preserve">догана </w:t>
      </w:r>
      <w:r>
        <w:rPr>
          <w:color w:val="231F20"/>
          <w:spacing w:val="-4"/>
        </w:rPr>
        <w:t xml:space="preserve">та </w:t>
      </w:r>
      <w:r>
        <w:rPr>
          <w:b/>
          <w:i/>
          <w:color w:val="231F20"/>
          <w:spacing w:val="-6"/>
        </w:rPr>
        <w:t>звільнення</w:t>
      </w:r>
      <w:r>
        <w:rPr>
          <w:b/>
          <w:i/>
          <w:color w:val="231F20"/>
          <w:spacing w:val="-6"/>
          <w:position w:val="7"/>
          <w:sz w:val="12"/>
        </w:rPr>
        <w:t>3</w:t>
      </w:r>
      <w:r>
        <w:rPr>
          <w:b/>
          <w:color w:val="231F20"/>
          <w:spacing w:val="-6"/>
        </w:rPr>
        <w:t xml:space="preserve">. </w:t>
      </w:r>
      <w:r>
        <w:rPr>
          <w:color w:val="231F20"/>
          <w:spacing w:val="-10"/>
        </w:rPr>
        <w:t xml:space="preserve">Також </w:t>
      </w:r>
      <w:r>
        <w:rPr>
          <w:color w:val="231F20"/>
          <w:spacing w:val="-6"/>
        </w:rPr>
        <w:t xml:space="preserve">відсут- </w:t>
      </w:r>
      <w:r>
        <w:rPr>
          <w:color w:val="231F20"/>
          <w:spacing w:val="-5"/>
        </w:rPr>
        <w:t xml:space="preserve">ній </w:t>
      </w:r>
      <w:r>
        <w:rPr>
          <w:color w:val="231F20"/>
        </w:rPr>
        <w:t xml:space="preserve">і </w:t>
      </w:r>
      <w:r>
        <w:rPr>
          <w:color w:val="231F20"/>
          <w:spacing w:val="-6"/>
        </w:rPr>
        <w:t xml:space="preserve">перелік </w:t>
      </w:r>
      <w:r>
        <w:rPr>
          <w:color w:val="231F20"/>
          <w:spacing w:val="-7"/>
        </w:rPr>
        <w:t xml:space="preserve">дисциплінарних проступків, </w:t>
      </w:r>
      <w:r>
        <w:rPr>
          <w:color w:val="231F20"/>
          <w:spacing w:val="-4"/>
        </w:rPr>
        <w:t xml:space="preserve">за </w:t>
      </w:r>
      <w:r>
        <w:rPr>
          <w:color w:val="231F20"/>
          <w:spacing w:val="-5"/>
        </w:rPr>
        <w:t xml:space="preserve">які </w:t>
      </w:r>
      <w:r>
        <w:rPr>
          <w:color w:val="231F20"/>
          <w:spacing w:val="-7"/>
        </w:rPr>
        <w:t xml:space="preserve">може притягатися </w:t>
      </w:r>
      <w:r>
        <w:rPr>
          <w:color w:val="231F20"/>
          <w:spacing w:val="-6"/>
        </w:rPr>
        <w:t>поса- дова</w:t>
      </w:r>
      <w:r>
        <w:rPr>
          <w:color w:val="231F20"/>
          <w:spacing w:val="-13"/>
        </w:rPr>
        <w:t xml:space="preserve"> </w:t>
      </w:r>
      <w:r>
        <w:rPr>
          <w:color w:val="231F20"/>
          <w:spacing w:val="-6"/>
        </w:rPr>
        <w:t>особа</w:t>
      </w:r>
      <w:r>
        <w:rPr>
          <w:color w:val="231F20"/>
          <w:spacing w:val="-13"/>
        </w:rPr>
        <w:t xml:space="preserve"> </w:t>
      </w:r>
      <w:r>
        <w:rPr>
          <w:color w:val="231F20"/>
          <w:spacing w:val="-7"/>
        </w:rPr>
        <w:t>місцевого</w:t>
      </w:r>
      <w:r>
        <w:rPr>
          <w:color w:val="231F20"/>
          <w:spacing w:val="-13"/>
        </w:rPr>
        <w:t xml:space="preserve"> </w:t>
      </w:r>
      <w:r>
        <w:rPr>
          <w:color w:val="231F20"/>
          <w:spacing w:val="-7"/>
        </w:rPr>
        <w:t>самоврядування</w:t>
      </w:r>
      <w:r>
        <w:rPr>
          <w:color w:val="231F20"/>
          <w:spacing w:val="-13"/>
        </w:rPr>
        <w:t xml:space="preserve"> </w:t>
      </w:r>
      <w:r>
        <w:rPr>
          <w:color w:val="231F20"/>
          <w:spacing w:val="-4"/>
        </w:rPr>
        <w:t>до</w:t>
      </w:r>
      <w:r>
        <w:rPr>
          <w:color w:val="231F20"/>
          <w:spacing w:val="-13"/>
        </w:rPr>
        <w:t xml:space="preserve"> </w:t>
      </w:r>
      <w:r>
        <w:rPr>
          <w:color w:val="231F20"/>
          <w:spacing w:val="-7"/>
        </w:rPr>
        <w:t>відповідальності.</w:t>
      </w:r>
    </w:p>
    <w:p w14:paraId="16F743E1" w14:textId="77777777" w:rsidR="00DE575E" w:rsidRDefault="00DE575E">
      <w:pPr>
        <w:pStyle w:val="BodyText"/>
        <w:rPr>
          <w:sz w:val="24"/>
        </w:rPr>
      </w:pPr>
    </w:p>
    <w:p w14:paraId="26F3C297" w14:textId="77777777" w:rsidR="00DE575E" w:rsidRDefault="00DE575E">
      <w:pPr>
        <w:pStyle w:val="BodyText"/>
        <w:spacing w:before="10"/>
        <w:rPr>
          <w:sz w:val="19"/>
        </w:rPr>
      </w:pPr>
    </w:p>
    <w:p w14:paraId="707CE901" w14:textId="77777777" w:rsidR="00DE575E" w:rsidRDefault="002E7560">
      <w:pPr>
        <w:pStyle w:val="Heading4"/>
        <w:numPr>
          <w:ilvl w:val="1"/>
          <w:numId w:val="93"/>
        </w:numPr>
        <w:tabs>
          <w:tab w:val="left" w:pos="1315"/>
        </w:tabs>
        <w:ind w:left="1910" w:right="501" w:hanging="1006"/>
        <w:jc w:val="left"/>
      </w:pPr>
      <w:r>
        <w:rPr>
          <w:color w:val="231F20"/>
        </w:rPr>
        <w:t>Матеріальне й соціальне забезпечення</w:t>
      </w:r>
      <w:r>
        <w:rPr>
          <w:color w:val="231F20"/>
          <w:spacing w:val="-27"/>
        </w:rPr>
        <w:t xml:space="preserve"> </w:t>
      </w:r>
      <w:r>
        <w:rPr>
          <w:color w:val="231F20"/>
        </w:rPr>
        <w:t>службовця в органі місцевого</w:t>
      </w:r>
      <w:r>
        <w:rPr>
          <w:color w:val="231F20"/>
          <w:spacing w:val="-5"/>
        </w:rPr>
        <w:t xml:space="preserve"> </w:t>
      </w:r>
      <w:r>
        <w:rPr>
          <w:color w:val="231F20"/>
        </w:rPr>
        <w:t>самоврядування</w:t>
      </w:r>
    </w:p>
    <w:p w14:paraId="0303B684" w14:textId="77777777" w:rsidR="00DE575E" w:rsidRDefault="00DE575E">
      <w:pPr>
        <w:pStyle w:val="BodyText"/>
        <w:rPr>
          <w:b/>
          <w:sz w:val="26"/>
        </w:rPr>
      </w:pPr>
    </w:p>
    <w:p w14:paraId="407D8FD7" w14:textId="77777777" w:rsidR="00DE575E" w:rsidRDefault="002E7560">
      <w:pPr>
        <w:pStyle w:val="BodyText"/>
        <w:spacing w:before="224" w:line="252" w:lineRule="auto"/>
        <w:ind w:left="533" w:right="127" w:firstLine="283"/>
        <w:jc w:val="right"/>
      </w:pPr>
      <w:r>
        <w:rPr>
          <w:color w:val="231F20"/>
        </w:rPr>
        <w:t>Режим</w:t>
      </w:r>
      <w:r>
        <w:rPr>
          <w:color w:val="231F20"/>
          <w:spacing w:val="20"/>
        </w:rPr>
        <w:t xml:space="preserve"> </w:t>
      </w:r>
      <w:r>
        <w:rPr>
          <w:color w:val="231F20"/>
        </w:rPr>
        <w:t>служби</w:t>
      </w:r>
      <w:r>
        <w:rPr>
          <w:color w:val="231F20"/>
          <w:spacing w:val="20"/>
        </w:rPr>
        <w:t xml:space="preserve"> </w:t>
      </w:r>
      <w:r>
        <w:rPr>
          <w:color w:val="231F20"/>
        </w:rPr>
        <w:t xml:space="preserve">в </w:t>
      </w:r>
      <w:r>
        <w:rPr>
          <w:color w:val="231F20"/>
          <w:spacing w:val="20"/>
        </w:rPr>
        <w:t xml:space="preserve"> </w:t>
      </w:r>
      <w:r>
        <w:rPr>
          <w:color w:val="231F20"/>
        </w:rPr>
        <w:t xml:space="preserve">органах </w:t>
      </w:r>
      <w:r>
        <w:rPr>
          <w:color w:val="231F20"/>
          <w:spacing w:val="20"/>
        </w:rPr>
        <w:t xml:space="preserve"> </w:t>
      </w:r>
      <w:r>
        <w:rPr>
          <w:color w:val="231F20"/>
        </w:rPr>
        <w:t xml:space="preserve">місцевого </w:t>
      </w:r>
      <w:r>
        <w:rPr>
          <w:color w:val="231F20"/>
          <w:spacing w:val="20"/>
        </w:rPr>
        <w:t xml:space="preserve"> </w:t>
      </w:r>
      <w:r>
        <w:rPr>
          <w:color w:val="231F20"/>
        </w:rPr>
        <w:t xml:space="preserve">самоврядування </w:t>
      </w:r>
      <w:r>
        <w:rPr>
          <w:color w:val="231F20"/>
          <w:spacing w:val="20"/>
        </w:rPr>
        <w:t xml:space="preserve"> </w:t>
      </w:r>
      <w:r>
        <w:rPr>
          <w:color w:val="231F20"/>
        </w:rPr>
        <w:t>включає</w:t>
      </w:r>
      <w:r>
        <w:rPr>
          <w:color w:val="231F20"/>
          <w:spacing w:val="-1"/>
        </w:rPr>
        <w:t xml:space="preserve"> </w:t>
      </w:r>
      <w:r>
        <w:rPr>
          <w:color w:val="231F20"/>
        </w:rPr>
        <w:t>в</w:t>
      </w:r>
      <w:r>
        <w:rPr>
          <w:color w:val="231F20"/>
          <w:spacing w:val="12"/>
        </w:rPr>
        <w:t xml:space="preserve"> </w:t>
      </w:r>
      <w:r>
        <w:rPr>
          <w:color w:val="231F20"/>
        </w:rPr>
        <w:t>себе</w:t>
      </w:r>
      <w:r>
        <w:rPr>
          <w:color w:val="231F20"/>
          <w:spacing w:val="12"/>
        </w:rPr>
        <w:t xml:space="preserve"> </w:t>
      </w:r>
      <w:r>
        <w:rPr>
          <w:color w:val="231F20"/>
        </w:rPr>
        <w:t>матеріальне</w:t>
      </w:r>
      <w:r>
        <w:rPr>
          <w:color w:val="231F20"/>
          <w:spacing w:val="12"/>
        </w:rPr>
        <w:t xml:space="preserve"> </w:t>
      </w:r>
      <w:r>
        <w:rPr>
          <w:color w:val="231F20"/>
        </w:rPr>
        <w:t>та</w:t>
      </w:r>
      <w:r>
        <w:rPr>
          <w:color w:val="231F20"/>
          <w:spacing w:val="12"/>
        </w:rPr>
        <w:t xml:space="preserve"> </w:t>
      </w:r>
      <w:r>
        <w:rPr>
          <w:color w:val="231F20"/>
        </w:rPr>
        <w:t>соціальне</w:t>
      </w:r>
      <w:r>
        <w:rPr>
          <w:color w:val="231F20"/>
          <w:spacing w:val="12"/>
        </w:rPr>
        <w:t xml:space="preserve"> </w:t>
      </w:r>
      <w:r>
        <w:rPr>
          <w:color w:val="231F20"/>
        </w:rPr>
        <w:t>забезпечення</w:t>
      </w:r>
      <w:r>
        <w:rPr>
          <w:color w:val="231F20"/>
          <w:spacing w:val="12"/>
        </w:rPr>
        <w:t xml:space="preserve"> </w:t>
      </w:r>
      <w:r>
        <w:rPr>
          <w:color w:val="231F20"/>
        </w:rPr>
        <w:t>службовців.</w:t>
      </w:r>
      <w:r>
        <w:rPr>
          <w:color w:val="231F20"/>
          <w:spacing w:val="12"/>
        </w:rPr>
        <w:t xml:space="preserve"> </w:t>
      </w:r>
      <w:r>
        <w:rPr>
          <w:color w:val="231F20"/>
        </w:rPr>
        <w:t>Зокрема це питання заробітної плати, відпустки та</w:t>
      </w:r>
      <w:r>
        <w:rPr>
          <w:color w:val="231F20"/>
          <w:spacing w:val="-26"/>
        </w:rPr>
        <w:t xml:space="preserve"> </w:t>
      </w:r>
      <w:r>
        <w:rPr>
          <w:color w:val="231F20"/>
        </w:rPr>
        <w:t>пенсійного</w:t>
      </w:r>
      <w:r>
        <w:rPr>
          <w:color w:val="231F20"/>
          <w:spacing w:val="-5"/>
        </w:rPr>
        <w:t xml:space="preserve"> </w:t>
      </w:r>
      <w:r>
        <w:rPr>
          <w:color w:val="231F20"/>
        </w:rPr>
        <w:t>забезпечення. Посадові особи органу місцевого</w:t>
      </w:r>
      <w:r>
        <w:rPr>
          <w:color w:val="231F20"/>
          <w:spacing w:val="-11"/>
        </w:rPr>
        <w:t xml:space="preserve"> </w:t>
      </w:r>
      <w:r>
        <w:rPr>
          <w:color w:val="231F20"/>
        </w:rPr>
        <w:t>самоврядування</w:t>
      </w:r>
      <w:r>
        <w:rPr>
          <w:color w:val="231F20"/>
          <w:spacing w:val="20"/>
        </w:rPr>
        <w:t xml:space="preserve"> </w:t>
      </w:r>
      <w:r>
        <w:rPr>
          <w:color w:val="231F20"/>
        </w:rPr>
        <w:t>одержують</w:t>
      </w:r>
      <w:r>
        <w:rPr>
          <w:color w:val="231F20"/>
          <w:spacing w:val="-1"/>
        </w:rPr>
        <w:t xml:space="preserve"> </w:t>
      </w:r>
      <w:r>
        <w:rPr>
          <w:b/>
          <w:i/>
          <w:color w:val="231F20"/>
        </w:rPr>
        <w:t>заробітну плату</w:t>
      </w:r>
      <w:r>
        <w:rPr>
          <w:color w:val="231F20"/>
        </w:rPr>
        <w:t>, розмір якої має забезпечувати достатній</w:t>
      </w:r>
      <w:r>
        <w:rPr>
          <w:color w:val="231F20"/>
          <w:spacing w:val="45"/>
        </w:rPr>
        <w:t xml:space="preserve"> </w:t>
      </w:r>
      <w:r>
        <w:rPr>
          <w:color w:val="231F20"/>
        </w:rPr>
        <w:t>життє-</w:t>
      </w:r>
    </w:p>
    <w:p w14:paraId="2C03F331" w14:textId="6F1F1169" w:rsidR="00DE575E" w:rsidRDefault="002E7560">
      <w:pPr>
        <w:pStyle w:val="BodyText"/>
        <w:rPr>
          <w:sz w:val="23"/>
        </w:rPr>
      </w:pPr>
      <w:r>
        <w:rPr>
          <w:noProof/>
        </w:rPr>
        <mc:AlternateContent>
          <mc:Choice Requires="wps">
            <w:drawing>
              <wp:anchor distT="0" distB="0" distL="0" distR="0" simplePos="0" relativeHeight="15688" behindDoc="0" locked="0" layoutInCell="1" allowOverlap="1" wp14:anchorId="187EB1A4" wp14:editId="56C217FC">
                <wp:simplePos x="0" y="0"/>
                <wp:positionH relativeFrom="page">
                  <wp:posOffset>719455</wp:posOffset>
                </wp:positionH>
                <wp:positionV relativeFrom="paragraph">
                  <wp:posOffset>198755</wp:posOffset>
                </wp:positionV>
                <wp:extent cx="1080135" cy="0"/>
                <wp:effectExtent l="8255" t="8255" r="29210" b="29845"/>
                <wp:wrapTopAndBottom/>
                <wp:docPr id="39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18A4A" id="Line_x0020_397" o:spid="_x0000_s1026" style="position:absolute;z-index:15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65pt" to="141.7pt,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" strokecolor="#231f20" strokeweight=".5pt">
                <w10:wrap type="topAndBottom" anchorx="page"/>
              </v:line>
            </w:pict>
          </mc:Fallback>
        </mc:AlternateContent>
      </w:r>
    </w:p>
    <w:p w14:paraId="2E955F3E" w14:textId="77777777" w:rsidR="00DE575E" w:rsidRDefault="002E7560">
      <w:pPr>
        <w:spacing w:line="148" w:lineRule="exact"/>
        <w:ind w:left="533"/>
        <w:rPr>
          <w:sz w:val="16"/>
        </w:rPr>
      </w:pPr>
      <w:r>
        <w:rPr>
          <w:color w:val="231F20"/>
          <w:position w:val="5"/>
          <w:sz w:val="9"/>
        </w:rPr>
        <w:t xml:space="preserve">1 </w:t>
      </w:r>
      <w:r>
        <w:rPr>
          <w:color w:val="231F20"/>
          <w:sz w:val="16"/>
        </w:rPr>
        <w:t>Про службу в органах місцевого самоврядування: Закон України від 07.06.2001 р.</w:t>
      </w:r>
    </w:p>
    <w:p w14:paraId="33738918" w14:textId="77777777" w:rsidR="00DE575E" w:rsidRDefault="002E7560">
      <w:pPr>
        <w:spacing w:line="174" w:lineRule="exact"/>
        <w:ind w:left="533"/>
        <w:rPr>
          <w:sz w:val="16"/>
        </w:rPr>
      </w:pPr>
      <w:r>
        <w:rPr>
          <w:color w:val="231F20"/>
          <w:sz w:val="16"/>
        </w:rPr>
        <w:t>№ 2493-III.</w:t>
      </w:r>
    </w:p>
    <w:p w14:paraId="725F20B4" w14:textId="77777777" w:rsidR="00DE575E" w:rsidRDefault="002E7560">
      <w:pPr>
        <w:ind w:left="533"/>
        <w:rPr>
          <w:sz w:val="16"/>
        </w:rPr>
      </w:pPr>
      <w:r>
        <w:rPr>
          <w:color w:val="231F20"/>
          <w:position w:val="5"/>
          <w:sz w:val="9"/>
        </w:rPr>
        <w:t xml:space="preserve">2 </w:t>
      </w:r>
      <w:r>
        <w:rPr>
          <w:color w:val="231F20"/>
          <w:sz w:val="16"/>
        </w:rPr>
        <w:t>Про державну службу : Закон України від 10.12.2015 р. № 889-VIII.</w:t>
      </w:r>
    </w:p>
    <w:p w14:paraId="46768211" w14:textId="77777777" w:rsidR="00DE575E" w:rsidRDefault="002E7560">
      <w:pPr>
        <w:spacing w:before="1"/>
        <w:ind w:left="533"/>
        <w:rPr>
          <w:sz w:val="16"/>
        </w:rPr>
      </w:pPr>
      <w:r>
        <w:rPr>
          <w:color w:val="231F20"/>
          <w:position w:val="5"/>
          <w:sz w:val="9"/>
        </w:rPr>
        <w:t xml:space="preserve">3 </w:t>
      </w:r>
      <w:r>
        <w:rPr>
          <w:color w:val="231F20"/>
          <w:sz w:val="16"/>
        </w:rPr>
        <w:t>Кодекс законів про працю України від 10.12.1971 р. № 322-VIII.</w:t>
      </w:r>
    </w:p>
    <w:p w14:paraId="4B689693" w14:textId="77777777" w:rsidR="00DE575E" w:rsidRDefault="00DE575E">
      <w:pPr>
        <w:pStyle w:val="BodyText"/>
        <w:spacing w:before="11"/>
        <w:rPr>
          <w:sz w:val="11"/>
        </w:rPr>
      </w:pPr>
    </w:p>
    <w:p w14:paraId="06655B6D" w14:textId="77777777" w:rsidR="00DE575E" w:rsidRDefault="002E7560">
      <w:pPr>
        <w:spacing w:before="92"/>
        <w:ind w:left="533"/>
        <w:rPr>
          <w:rFonts w:ascii="Times New Roman"/>
          <w:sz w:val="20"/>
        </w:rPr>
      </w:pPr>
      <w:r>
        <w:rPr>
          <w:rFonts w:ascii="Times New Roman"/>
          <w:color w:val="231F20"/>
          <w:sz w:val="20"/>
        </w:rPr>
        <w:t>400</w:t>
      </w:r>
    </w:p>
    <w:p w14:paraId="797105CA" w14:textId="77777777" w:rsidR="00DE575E" w:rsidRDefault="00DE575E">
      <w:pPr>
        <w:rPr>
          <w:rFonts w:ascii="Times New Roman"/>
          <w:sz w:val="20"/>
        </w:rPr>
        <w:sectPr w:rsidR="00DE575E">
          <w:pgSz w:w="8510" w:h="12760"/>
          <w:pgMar w:top="660" w:right="720" w:bottom="280" w:left="600" w:header="720" w:footer="720" w:gutter="0"/>
          <w:cols w:space="720"/>
        </w:sectPr>
      </w:pPr>
    </w:p>
    <w:p w14:paraId="7FF80220" w14:textId="77777777" w:rsidR="00DE575E" w:rsidRDefault="002E7560">
      <w:pPr>
        <w:spacing w:before="72" w:line="249" w:lineRule="auto"/>
        <w:ind w:left="801" w:right="411" w:firstLine="1907"/>
        <w:jc w:val="right"/>
        <w:rPr>
          <w:rFonts w:ascii="AdonisC" w:hAnsi="AdonisC"/>
          <w:i/>
          <w:sz w:val="18"/>
        </w:rPr>
      </w:pPr>
      <w:r>
        <w:rPr>
          <w:rFonts w:ascii="AdonisC" w:hAnsi="AdonisC"/>
          <w:i/>
          <w:color w:val="231F20"/>
          <w:sz w:val="18"/>
        </w:rPr>
        <w:t>Глава ІІ Особ</w:t>
      </w:r>
      <w:r>
        <w:rPr>
          <w:rFonts w:ascii="AdonisC" w:hAnsi="AdonisC"/>
          <w:i/>
          <w:color w:val="231F20"/>
          <w:sz w:val="18"/>
        </w:rPr>
        <w:t>ливе адміністративне право/ Книга І Розділ 3. Правовий статус службовця в органі місцевого самоврядування</w:t>
      </w:r>
    </w:p>
    <w:p w14:paraId="68768D9E" w14:textId="45157CC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F71A7E9" wp14:editId="533C22F2">
                <wp:extent cx="4140200" cy="6350"/>
                <wp:effectExtent l="0" t="0" r="12700" b="6350"/>
                <wp:docPr id="39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97" name="Line 3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563C06" id="Group_x0020_3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ts2q4gAIAAJgFAAAO&#10;AAAAAAAAAAAAAAAAACwCAABkcnMvZTJvRG9jLnhtbFBLAQItABQABgAIAAAAIQBMp7CQ2QAAAAMB&#10;AAAPAAAAAAAAAAAAAAAAANgEAABkcnMvZG93bnJldi54bWxQSwUGAAAAAAQABADzAAAA3gUAAAAA&#10;">
                <v:line id="Line_x0020_3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MqZ8cAAADcAAAADwAAAGRycy9kb3ducmV2LnhtbESP3WrCQBSE7wXfYTkFb0rdtIFao6tI&#10;oSC98C8+wDF7TEJ3z8bsatI+fbdQ8HKYmW+Y+bK3Rtyo9bVjBc/jBARx4XTNpYJj/vH0BsIHZI3G&#10;MSn4Jg/LxXAwx0y7jvd0O4RSRAj7DBVUITSZlL6oyKIfu4Y4emfXWgxRtqXULXYRbo18SZJXabHm&#10;uFBhQ+8VFV+Hq1WQXx6D2W0/TZdvT6k8XTbpz3Wj1OihX81ABOrDPfzfXmsF6XQC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oypnxwAAANwAAAAPAAAAAAAA&#10;AAAAAAAAAKECAABkcnMvZG93bnJldi54bWxQSwUGAAAAAAQABAD5AAAAlQMAAAAA&#10;" strokecolor="#231f20" strokeweight=".5pt"/>
                <w10:anchorlock/>
              </v:group>
            </w:pict>
          </mc:Fallback>
        </mc:AlternateContent>
      </w:r>
    </w:p>
    <w:p w14:paraId="2723DA50" w14:textId="77777777" w:rsidR="00DE575E" w:rsidRDefault="00DE575E">
      <w:pPr>
        <w:pStyle w:val="BodyText"/>
        <w:spacing w:before="7"/>
        <w:rPr>
          <w:rFonts w:ascii="AdonisC"/>
          <w:i/>
          <w:sz w:val="19"/>
        </w:rPr>
      </w:pPr>
    </w:p>
    <w:p w14:paraId="257B08D4" w14:textId="77777777" w:rsidR="00DE575E" w:rsidRDefault="002E7560">
      <w:pPr>
        <w:pStyle w:val="BodyText"/>
        <w:spacing w:before="1" w:line="249" w:lineRule="auto"/>
        <w:ind w:left="250" w:right="521"/>
      </w:pPr>
      <w:r>
        <w:rPr>
          <w:color w:val="231F20"/>
        </w:rPr>
        <w:t>вий рівень. Джерелом формування фонду оплати праці посадових осіб місцевого самоврядування є місцевий бюджет.</w:t>
      </w:r>
    </w:p>
    <w:p w14:paraId="7C0E77B7" w14:textId="77777777" w:rsidR="00DE575E" w:rsidRDefault="002E7560">
      <w:pPr>
        <w:pStyle w:val="BodyText"/>
        <w:spacing w:line="249" w:lineRule="auto"/>
        <w:ind w:left="204" w:right="411" w:firstLine="283"/>
        <w:jc w:val="right"/>
      </w:pPr>
      <w:r>
        <w:rPr>
          <w:color w:val="231F20"/>
        </w:rPr>
        <w:t xml:space="preserve">Посадовим особам органу місцевого самоврядування надається </w:t>
      </w:r>
      <w:r>
        <w:rPr>
          <w:b/>
          <w:i/>
          <w:color w:val="231F20"/>
        </w:rPr>
        <w:t xml:space="preserve">щорічна відпустка </w:t>
      </w:r>
      <w:r>
        <w:rPr>
          <w:color w:val="231F20"/>
        </w:rPr>
        <w:t xml:space="preserve">тривалістю 30 календарних днів, </w:t>
      </w:r>
      <w:r>
        <w:rPr>
          <w:color w:val="231F20"/>
        </w:rPr>
        <w:t xml:space="preserve">якщо зако- нами України не передбачено тривалішої відпустки, з виплатою допомоги на оздоровлення в розмірі посадового окладу. У той же час посадовим особам, які мають стаж служби в органах місцевого самоврядування понад 10 років, надається </w:t>
      </w:r>
      <w:r>
        <w:rPr>
          <w:b/>
          <w:i/>
          <w:color w:val="231F20"/>
        </w:rPr>
        <w:t>додаткова оплачу</w:t>
      </w:r>
      <w:r>
        <w:rPr>
          <w:b/>
          <w:i/>
          <w:color w:val="231F20"/>
        </w:rPr>
        <w:t xml:space="preserve">вана відпустка </w:t>
      </w:r>
      <w:r>
        <w:rPr>
          <w:color w:val="231F20"/>
        </w:rPr>
        <w:t>тривалістю до 15 календарних днів. Додаткові оплачу- вані відпустки державним службовцям, посадовим особам місце- вого самоврядування надаються одночасно зі щорічною відпусткою згідно з установленим графіком або за згодою сторін окремо від н</w:t>
      </w:r>
      <w:r>
        <w:rPr>
          <w:color w:val="231F20"/>
        </w:rPr>
        <w:t xml:space="preserve">еї. </w:t>
      </w:r>
      <w:r>
        <w:rPr>
          <w:b/>
          <w:i/>
          <w:color w:val="231F20"/>
        </w:rPr>
        <w:t xml:space="preserve">Пенсійне забезпечення </w:t>
      </w:r>
      <w:r>
        <w:rPr>
          <w:color w:val="231F20"/>
        </w:rPr>
        <w:t>посадових осіб місцевого самовряду- вання здійснюється відповідно до Закону України «Про загально-</w:t>
      </w:r>
    </w:p>
    <w:p w14:paraId="5213AB5A" w14:textId="77777777" w:rsidR="00DE575E" w:rsidRDefault="002E7560">
      <w:pPr>
        <w:pStyle w:val="BodyText"/>
        <w:spacing w:line="246" w:lineRule="exact"/>
        <w:ind w:left="250"/>
      </w:pPr>
      <w:r>
        <w:rPr>
          <w:color w:val="231F20"/>
        </w:rPr>
        <w:t>обов’язкове державне пенсійне страхування»</w:t>
      </w:r>
      <w:r>
        <w:rPr>
          <w:color w:val="231F20"/>
          <w:position w:val="7"/>
          <w:sz w:val="12"/>
        </w:rPr>
        <w:t>1</w:t>
      </w:r>
      <w:r>
        <w:rPr>
          <w:color w:val="231F20"/>
        </w:rPr>
        <w:t>.</w:t>
      </w:r>
    </w:p>
    <w:p w14:paraId="57A18FE8" w14:textId="77777777" w:rsidR="00DE575E" w:rsidRDefault="002E7560">
      <w:pPr>
        <w:pStyle w:val="BodyText"/>
        <w:spacing w:before="9" w:line="249" w:lineRule="auto"/>
        <w:ind w:left="250" w:right="411" w:firstLine="283"/>
        <w:jc w:val="both"/>
      </w:pPr>
      <w:r>
        <w:rPr>
          <w:color w:val="231F20"/>
          <w:spacing w:val="-4"/>
        </w:rPr>
        <w:t xml:space="preserve">Групи </w:t>
      </w:r>
      <w:r>
        <w:rPr>
          <w:color w:val="231F20"/>
        </w:rPr>
        <w:t xml:space="preserve">за </w:t>
      </w:r>
      <w:r>
        <w:rPr>
          <w:color w:val="231F20"/>
          <w:spacing w:val="-3"/>
        </w:rPr>
        <w:t xml:space="preserve">оплатою праці працівників виконавчих апаратів облас- </w:t>
      </w:r>
      <w:r>
        <w:rPr>
          <w:color w:val="231F20"/>
        </w:rPr>
        <w:t xml:space="preserve">них рад, </w:t>
      </w:r>
      <w:r>
        <w:rPr>
          <w:color w:val="231F20"/>
          <w:spacing w:val="-3"/>
        </w:rPr>
        <w:t xml:space="preserve">виконавчих органів міських </w:t>
      </w:r>
      <w:r>
        <w:rPr>
          <w:color w:val="231F20"/>
        </w:rPr>
        <w:t xml:space="preserve">рад </w:t>
      </w:r>
      <w:r>
        <w:rPr>
          <w:color w:val="231F20"/>
          <w:spacing w:val="-4"/>
        </w:rPr>
        <w:t xml:space="preserve">установлюються </w:t>
      </w:r>
      <w:r>
        <w:rPr>
          <w:color w:val="231F20"/>
          <w:spacing w:val="-3"/>
        </w:rPr>
        <w:t xml:space="preserve">Кабінетом Міністрів </w:t>
      </w:r>
      <w:r>
        <w:rPr>
          <w:color w:val="231F20"/>
          <w:spacing w:val="-4"/>
        </w:rPr>
        <w:t xml:space="preserve">України. </w:t>
      </w:r>
      <w:r>
        <w:rPr>
          <w:color w:val="231F20"/>
          <w:spacing w:val="-3"/>
        </w:rPr>
        <w:t xml:space="preserve">Посадовим </w:t>
      </w:r>
      <w:r>
        <w:rPr>
          <w:color w:val="231F20"/>
        </w:rPr>
        <w:t xml:space="preserve">особам </w:t>
      </w:r>
      <w:r>
        <w:rPr>
          <w:color w:val="231F20"/>
          <w:spacing w:val="-3"/>
        </w:rPr>
        <w:t xml:space="preserve">органів місцевого самовряду- вання, </w:t>
      </w:r>
      <w:r>
        <w:rPr>
          <w:color w:val="231F20"/>
        </w:rPr>
        <w:t xml:space="preserve">які в </w:t>
      </w:r>
      <w:r>
        <w:rPr>
          <w:color w:val="231F20"/>
          <w:spacing w:val="-4"/>
        </w:rPr>
        <w:t xml:space="preserve">період </w:t>
      </w:r>
      <w:r>
        <w:rPr>
          <w:color w:val="231F20"/>
          <w:spacing w:val="-3"/>
        </w:rPr>
        <w:t xml:space="preserve">перебування </w:t>
      </w:r>
      <w:r>
        <w:rPr>
          <w:color w:val="231F20"/>
        </w:rPr>
        <w:t xml:space="preserve">на </w:t>
      </w:r>
      <w:r>
        <w:rPr>
          <w:color w:val="231F20"/>
          <w:spacing w:val="-3"/>
        </w:rPr>
        <w:t xml:space="preserve">службі </w:t>
      </w:r>
      <w:r>
        <w:rPr>
          <w:color w:val="231F20"/>
        </w:rPr>
        <w:t xml:space="preserve">у цих </w:t>
      </w:r>
      <w:r>
        <w:rPr>
          <w:color w:val="231F20"/>
          <w:spacing w:val="-3"/>
        </w:rPr>
        <w:t xml:space="preserve">органах визнані інва- лідами </w:t>
      </w:r>
      <w:r>
        <w:rPr>
          <w:color w:val="231F20"/>
        </w:rPr>
        <w:t xml:space="preserve">I та II </w:t>
      </w:r>
      <w:r>
        <w:rPr>
          <w:color w:val="231F20"/>
          <w:spacing w:val="-3"/>
        </w:rPr>
        <w:t xml:space="preserve">груп, незалежно </w:t>
      </w:r>
      <w:r>
        <w:rPr>
          <w:color w:val="231F20"/>
        </w:rPr>
        <w:t xml:space="preserve">від </w:t>
      </w:r>
      <w:r>
        <w:rPr>
          <w:color w:val="231F20"/>
          <w:spacing w:val="-3"/>
        </w:rPr>
        <w:t xml:space="preserve">причини інвалідності пенсії </w:t>
      </w:r>
      <w:r>
        <w:rPr>
          <w:color w:val="231F20"/>
        </w:rPr>
        <w:t xml:space="preserve">з </w:t>
      </w:r>
      <w:r>
        <w:rPr>
          <w:color w:val="231F20"/>
          <w:spacing w:val="-3"/>
        </w:rPr>
        <w:t xml:space="preserve">інва- лідності </w:t>
      </w:r>
      <w:r>
        <w:rPr>
          <w:color w:val="231F20"/>
          <w:spacing w:val="-4"/>
        </w:rPr>
        <w:t xml:space="preserve">призначаються </w:t>
      </w:r>
      <w:r>
        <w:rPr>
          <w:color w:val="231F20"/>
        </w:rPr>
        <w:t xml:space="preserve">в </w:t>
      </w:r>
      <w:r>
        <w:rPr>
          <w:color w:val="231F20"/>
          <w:spacing w:val="-3"/>
        </w:rPr>
        <w:t xml:space="preserve">розмірах, передбачених </w:t>
      </w:r>
      <w:r>
        <w:rPr>
          <w:color w:val="231F20"/>
          <w:spacing w:val="-4"/>
        </w:rPr>
        <w:t xml:space="preserve">законодавством </w:t>
      </w:r>
      <w:r>
        <w:rPr>
          <w:color w:val="231F20"/>
          <w:spacing w:val="-5"/>
        </w:rPr>
        <w:t xml:space="preserve">України </w:t>
      </w:r>
      <w:r>
        <w:rPr>
          <w:color w:val="231F20"/>
        </w:rPr>
        <w:t xml:space="preserve">про </w:t>
      </w:r>
      <w:r>
        <w:rPr>
          <w:color w:val="231F20"/>
          <w:spacing w:val="-3"/>
        </w:rPr>
        <w:t xml:space="preserve">державну </w:t>
      </w:r>
      <w:r>
        <w:rPr>
          <w:color w:val="231F20"/>
          <w:spacing w:val="-5"/>
        </w:rPr>
        <w:t xml:space="preserve">службу, </w:t>
      </w:r>
      <w:r>
        <w:rPr>
          <w:color w:val="231F20"/>
          <w:spacing w:val="-3"/>
        </w:rPr>
        <w:t xml:space="preserve">після припинення ними служби </w:t>
      </w:r>
      <w:r>
        <w:rPr>
          <w:color w:val="231F20"/>
        </w:rPr>
        <w:t xml:space="preserve">в </w:t>
      </w:r>
      <w:r>
        <w:rPr>
          <w:color w:val="231F20"/>
          <w:spacing w:val="-3"/>
        </w:rPr>
        <w:t xml:space="preserve">орга- </w:t>
      </w:r>
      <w:r>
        <w:rPr>
          <w:color w:val="231F20"/>
        </w:rPr>
        <w:t xml:space="preserve">нах </w:t>
      </w:r>
      <w:r>
        <w:rPr>
          <w:color w:val="231F20"/>
          <w:spacing w:val="-3"/>
        </w:rPr>
        <w:t xml:space="preserve">місцевого самоврядування, </w:t>
      </w:r>
      <w:r>
        <w:rPr>
          <w:color w:val="231F20"/>
        </w:rPr>
        <w:t xml:space="preserve">за </w:t>
      </w:r>
      <w:r>
        <w:rPr>
          <w:color w:val="231F20"/>
          <w:spacing w:val="-3"/>
        </w:rPr>
        <w:t xml:space="preserve">наявності стажу служби  </w:t>
      </w:r>
      <w:r>
        <w:rPr>
          <w:color w:val="231F20"/>
        </w:rPr>
        <w:t xml:space="preserve">в  </w:t>
      </w:r>
      <w:r>
        <w:rPr>
          <w:color w:val="231F20"/>
          <w:spacing w:val="-3"/>
        </w:rPr>
        <w:t xml:space="preserve">орга- </w:t>
      </w:r>
      <w:r>
        <w:rPr>
          <w:color w:val="231F20"/>
        </w:rPr>
        <w:t xml:space="preserve">нах </w:t>
      </w:r>
      <w:r>
        <w:rPr>
          <w:color w:val="231F20"/>
          <w:spacing w:val="-3"/>
        </w:rPr>
        <w:t xml:space="preserve">місцевого самоврядування та/або державної служби </w:t>
      </w:r>
      <w:r>
        <w:rPr>
          <w:color w:val="231F20"/>
        </w:rPr>
        <w:t>не</w:t>
      </w:r>
      <w:r>
        <w:rPr>
          <w:color w:val="231F20"/>
        </w:rPr>
        <w:t xml:space="preserve">  </w:t>
      </w:r>
      <w:r>
        <w:rPr>
          <w:color w:val="231F20"/>
          <w:spacing w:val="-3"/>
        </w:rPr>
        <w:t xml:space="preserve">менше </w:t>
      </w:r>
      <w:r>
        <w:rPr>
          <w:color w:val="231F20"/>
        </w:rPr>
        <w:t xml:space="preserve">10 </w:t>
      </w:r>
      <w:r>
        <w:rPr>
          <w:color w:val="231F20"/>
          <w:spacing w:val="-3"/>
        </w:rPr>
        <w:t xml:space="preserve">років </w:t>
      </w:r>
      <w:r>
        <w:rPr>
          <w:color w:val="231F20"/>
        </w:rPr>
        <w:t xml:space="preserve">та </w:t>
      </w:r>
      <w:r>
        <w:rPr>
          <w:color w:val="231F20"/>
          <w:spacing w:val="-6"/>
        </w:rPr>
        <w:t xml:space="preserve">стажу, </w:t>
      </w:r>
      <w:r>
        <w:rPr>
          <w:color w:val="231F20"/>
          <w:spacing w:val="-3"/>
        </w:rPr>
        <w:t xml:space="preserve">установленого </w:t>
      </w:r>
      <w:r>
        <w:rPr>
          <w:color w:val="231F20"/>
        </w:rPr>
        <w:t xml:space="preserve">для </w:t>
      </w:r>
      <w:r>
        <w:rPr>
          <w:color w:val="231F20"/>
          <w:spacing w:val="-3"/>
        </w:rPr>
        <w:t xml:space="preserve">призначення пенсії </w:t>
      </w:r>
      <w:r>
        <w:rPr>
          <w:color w:val="231F20"/>
        </w:rPr>
        <w:t xml:space="preserve">з </w:t>
      </w:r>
      <w:r>
        <w:rPr>
          <w:color w:val="231F20"/>
          <w:spacing w:val="-3"/>
        </w:rPr>
        <w:t xml:space="preserve">інвалідно- </w:t>
      </w:r>
      <w:r>
        <w:rPr>
          <w:color w:val="231F20"/>
        </w:rPr>
        <w:t xml:space="preserve">сті </w:t>
      </w:r>
      <w:r>
        <w:rPr>
          <w:color w:val="231F20"/>
          <w:spacing w:val="-3"/>
        </w:rPr>
        <w:t xml:space="preserve">відповідно </w:t>
      </w:r>
      <w:r>
        <w:rPr>
          <w:color w:val="231F20"/>
        </w:rPr>
        <w:t xml:space="preserve">до </w:t>
      </w:r>
      <w:r>
        <w:rPr>
          <w:color w:val="231F20"/>
          <w:spacing w:val="-3"/>
        </w:rPr>
        <w:t xml:space="preserve">Закону </w:t>
      </w:r>
      <w:r>
        <w:rPr>
          <w:color w:val="231F20"/>
          <w:spacing w:val="-5"/>
        </w:rPr>
        <w:t xml:space="preserve">України </w:t>
      </w:r>
      <w:r>
        <w:rPr>
          <w:color w:val="231F20"/>
          <w:spacing w:val="-3"/>
        </w:rPr>
        <w:t xml:space="preserve">«Про загальнообов’язкове </w:t>
      </w:r>
      <w:r>
        <w:rPr>
          <w:color w:val="231F20"/>
          <w:spacing w:val="-4"/>
        </w:rPr>
        <w:t xml:space="preserve">державне </w:t>
      </w:r>
      <w:r>
        <w:rPr>
          <w:color w:val="231F20"/>
          <w:spacing w:val="-3"/>
        </w:rPr>
        <w:t xml:space="preserve">пенсійне страхування». </w:t>
      </w:r>
      <w:r>
        <w:rPr>
          <w:color w:val="231F20"/>
        </w:rPr>
        <w:t xml:space="preserve">У разі </w:t>
      </w:r>
      <w:r>
        <w:rPr>
          <w:color w:val="231F20"/>
          <w:spacing w:val="-3"/>
        </w:rPr>
        <w:t xml:space="preserve">повернення зазначених </w:t>
      </w:r>
      <w:r>
        <w:rPr>
          <w:color w:val="231F20"/>
        </w:rPr>
        <w:t xml:space="preserve">осіб на </w:t>
      </w:r>
      <w:r>
        <w:rPr>
          <w:color w:val="231F20"/>
          <w:spacing w:val="-3"/>
        </w:rPr>
        <w:t xml:space="preserve">службу </w:t>
      </w:r>
      <w:r>
        <w:rPr>
          <w:color w:val="231F20"/>
        </w:rPr>
        <w:t xml:space="preserve">в </w:t>
      </w:r>
      <w:r>
        <w:rPr>
          <w:color w:val="231F20"/>
          <w:spacing w:val="-3"/>
        </w:rPr>
        <w:t xml:space="preserve">органи місцевого самоврядування </w:t>
      </w:r>
      <w:r>
        <w:rPr>
          <w:color w:val="231F20"/>
        </w:rPr>
        <w:t xml:space="preserve">чи на </w:t>
      </w:r>
      <w:r>
        <w:rPr>
          <w:color w:val="231F20"/>
          <w:spacing w:val="-3"/>
        </w:rPr>
        <w:t xml:space="preserve">державну службу виплата пенсії відповідно </w:t>
      </w:r>
      <w:r>
        <w:rPr>
          <w:color w:val="231F20"/>
        </w:rPr>
        <w:t xml:space="preserve">до </w:t>
      </w:r>
      <w:r>
        <w:rPr>
          <w:color w:val="231F20"/>
          <w:spacing w:val="-3"/>
        </w:rPr>
        <w:t xml:space="preserve">вказаного Закону зупиняється </w:t>
      </w:r>
      <w:r>
        <w:rPr>
          <w:color w:val="231F20"/>
        </w:rPr>
        <w:t xml:space="preserve">до </w:t>
      </w:r>
      <w:r>
        <w:rPr>
          <w:color w:val="231F20"/>
          <w:spacing w:val="-3"/>
        </w:rPr>
        <w:t xml:space="preserve">звільнення </w:t>
      </w:r>
      <w:r>
        <w:rPr>
          <w:color w:val="231F20"/>
        </w:rPr>
        <w:t xml:space="preserve">з </w:t>
      </w:r>
      <w:r>
        <w:rPr>
          <w:color w:val="231F20"/>
          <w:spacing w:val="-3"/>
        </w:rPr>
        <w:t xml:space="preserve">роботи </w:t>
      </w:r>
      <w:r>
        <w:rPr>
          <w:color w:val="231F20"/>
        </w:rPr>
        <w:t xml:space="preserve">або </w:t>
      </w:r>
      <w:r>
        <w:rPr>
          <w:color w:val="231F20"/>
          <w:spacing w:val="-3"/>
        </w:rPr>
        <w:t xml:space="preserve">досягнення ними граничного віку перебування </w:t>
      </w:r>
      <w:r>
        <w:rPr>
          <w:color w:val="231F20"/>
        </w:rPr>
        <w:t xml:space="preserve">на </w:t>
      </w:r>
      <w:r>
        <w:rPr>
          <w:color w:val="231F20"/>
          <w:spacing w:val="-3"/>
        </w:rPr>
        <w:t xml:space="preserve">службі </w:t>
      </w:r>
      <w:r>
        <w:rPr>
          <w:color w:val="231F20"/>
        </w:rPr>
        <w:t xml:space="preserve">в </w:t>
      </w:r>
      <w:r>
        <w:rPr>
          <w:color w:val="231F20"/>
          <w:spacing w:val="-3"/>
        </w:rPr>
        <w:t xml:space="preserve">органах місцевого самоврядування. </w:t>
      </w:r>
      <w:r>
        <w:rPr>
          <w:color w:val="231F20"/>
        </w:rPr>
        <w:t xml:space="preserve">У цей час </w:t>
      </w:r>
      <w:r>
        <w:rPr>
          <w:color w:val="231F20"/>
          <w:spacing w:val="-3"/>
        </w:rPr>
        <w:t xml:space="preserve">вони мають право на </w:t>
      </w:r>
      <w:r>
        <w:rPr>
          <w:color w:val="231F20"/>
          <w:spacing w:val="-4"/>
        </w:rPr>
        <w:t xml:space="preserve">одержання </w:t>
      </w:r>
      <w:r>
        <w:rPr>
          <w:color w:val="231F20"/>
          <w:spacing w:val="-3"/>
        </w:rPr>
        <w:t xml:space="preserve">пенсії, призначеної </w:t>
      </w:r>
      <w:r>
        <w:rPr>
          <w:color w:val="231F20"/>
        </w:rPr>
        <w:t xml:space="preserve">на </w:t>
      </w:r>
      <w:r>
        <w:rPr>
          <w:color w:val="231F20"/>
          <w:spacing w:val="-3"/>
        </w:rPr>
        <w:t>за</w:t>
      </w:r>
      <w:r>
        <w:rPr>
          <w:color w:val="231F20"/>
          <w:spacing w:val="-3"/>
        </w:rPr>
        <w:t>гальних</w:t>
      </w:r>
      <w:r>
        <w:rPr>
          <w:color w:val="231F20"/>
          <w:spacing w:val="-14"/>
        </w:rPr>
        <w:t xml:space="preserve"> </w:t>
      </w:r>
      <w:r>
        <w:rPr>
          <w:color w:val="231F20"/>
          <w:spacing w:val="-3"/>
        </w:rPr>
        <w:t>підставах.</w:t>
      </w:r>
    </w:p>
    <w:p w14:paraId="6C1AACEB" w14:textId="77777777" w:rsidR="00DE575E" w:rsidRDefault="002E7560">
      <w:pPr>
        <w:spacing w:line="249" w:lineRule="auto"/>
        <w:ind w:left="250" w:right="411" w:firstLine="283"/>
        <w:jc w:val="both"/>
        <w:rPr>
          <w:b/>
          <w:i/>
          <w:sz w:val="21"/>
        </w:rPr>
      </w:pPr>
      <w:r>
        <w:rPr>
          <w:i/>
          <w:color w:val="231F20"/>
          <w:sz w:val="21"/>
        </w:rPr>
        <w:t xml:space="preserve">У разі смерті особи в період перебування на службі в органах місцевого самоврядування </w:t>
      </w:r>
      <w:r>
        <w:rPr>
          <w:color w:val="231F20"/>
          <w:sz w:val="21"/>
        </w:rPr>
        <w:t>непрацездатним членам сім’ї померлого годувальника, які були на його утриманні (при цьому дітям пенсія призначається незалежно від того, чи були вони н</w:t>
      </w:r>
      <w:r>
        <w:rPr>
          <w:color w:val="231F20"/>
          <w:sz w:val="21"/>
        </w:rPr>
        <w:t xml:space="preserve">а утриманні году- вальника), призначається </w:t>
      </w:r>
      <w:r>
        <w:rPr>
          <w:b/>
          <w:i/>
          <w:color w:val="231F20"/>
          <w:sz w:val="21"/>
        </w:rPr>
        <w:t>пенсія в разі втрати годувальника</w:t>
      </w:r>
    </w:p>
    <w:p w14:paraId="566893F4" w14:textId="7F9A4015" w:rsidR="00DE575E" w:rsidRDefault="002E7560">
      <w:pPr>
        <w:pStyle w:val="BodyText"/>
        <w:rPr>
          <w:b/>
          <w:i/>
          <w:sz w:val="20"/>
        </w:rPr>
      </w:pPr>
      <w:r>
        <w:rPr>
          <w:noProof/>
        </w:rPr>
        <mc:AlternateContent>
          <mc:Choice Requires="wps">
            <w:drawing>
              <wp:anchor distT="0" distB="0" distL="0" distR="0" simplePos="0" relativeHeight="15736" behindDoc="0" locked="0" layoutInCell="1" allowOverlap="1" wp14:anchorId="77183730" wp14:editId="57980F92">
                <wp:simplePos x="0" y="0"/>
                <wp:positionH relativeFrom="page">
                  <wp:posOffset>539750</wp:posOffset>
                </wp:positionH>
                <wp:positionV relativeFrom="paragraph">
                  <wp:posOffset>176530</wp:posOffset>
                </wp:positionV>
                <wp:extent cx="1080135" cy="0"/>
                <wp:effectExtent l="6350" t="11430" r="31115" b="26670"/>
                <wp:wrapTopAndBottom/>
                <wp:docPr id="395"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3E4B" id="Line_x0020_394" o:spid="_x0000_s1026" style="position:absolute;z-index:15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9pt" to="127.55pt,1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2zqy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" strokecolor="#231f20" strokeweight=".5pt">
                <w10:wrap type="topAndBottom" anchorx="page"/>
              </v:line>
            </w:pict>
          </mc:Fallback>
        </mc:AlternateContent>
      </w:r>
    </w:p>
    <w:p w14:paraId="0500D6BB" w14:textId="77777777" w:rsidR="00DE575E" w:rsidRDefault="002E7560">
      <w:pPr>
        <w:spacing w:line="204" w:lineRule="auto"/>
        <w:ind w:left="250" w:right="521"/>
        <w:rPr>
          <w:sz w:val="16"/>
        </w:rPr>
      </w:pPr>
      <w:r>
        <w:rPr>
          <w:color w:val="231F20"/>
          <w:position w:val="5"/>
          <w:sz w:val="9"/>
        </w:rPr>
        <w:t xml:space="preserve">1 </w:t>
      </w:r>
      <w:r>
        <w:rPr>
          <w:color w:val="231F20"/>
          <w:sz w:val="16"/>
        </w:rPr>
        <w:t>Про загальнообов’язкове державне пенсійне страхування : Закон України  від 09.07.2003 р. №</w:t>
      </w:r>
      <w:r>
        <w:rPr>
          <w:color w:val="231F20"/>
          <w:spacing w:val="-9"/>
          <w:sz w:val="16"/>
        </w:rPr>
        <w:t xml:space="preserve"> </w:t>
      </w:r>
      <w:r>
        <w:rPr>
          <w:color w:val="231F20"/>
          <w:spacing w:val="-3"/>
          <w:sz w:val="16"/>
        </w:rPr>
        <w:t>1058-IV.</w:t>
      </w:r>
    </w:p>
    <w:p w14:paraId="0C3A644E" w14:textId="77777777" w:rsidR="00DE575E" w:rsidRDefault="00DE575E">
      <w:pPr>
        <w:pStyle w:val="BodyText"/>
        <w:spacing w:before="1"/>
        <w:rPr>
          <w:sz w:val="12"/>
        </w:rPr>
      </w:pPr>
    </w:p>
    <w:p w14:paraId="3726C9CC" w14:textId="77777777" w:rsidR="00DE575E" w:rsidRDefault="002E7560">
      <w:pPr>
        <w:spacing w:before="92"/>
        <w:ind w:right="411"/>
        <w:jc w:val="right"/>
        <w:rPr>
          <w:rFonts w:ascii="Times New Roman"/>
          <w:sz w:val="20"/>
        </w:rPr>
      </w:pPr>
      <w:r>
        <w:rPr>
          <w:rFonts w:ascii="Times New Roman"/>
          <w:color w:val="231F20"/>
          <w:w w:val="90"/>
          <w:sz w:val="20"/>
        </w:rPr>
        <w:t>401</w:t>
      </w:r>
    </w:p>
    <w:p w14:paraId="6618593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F22B4F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1848355" w14:textId="0E861EA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70A120A" wp14:editId="59D2FECF">
                <wp:extent cx="4140200" cy="6350"/>
                <wp:effectExtent l="0" t="0" r="12700" b="6350"/>
                <wp:docPr id="39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94" name="Line 39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F104FC" id="Group_x0020_39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SbGqZ/AgAAmAUAAA4A&#10;AAAAAAAAAAAAAAAALAIAAGRycy9lMm9Eb2MueG1sUEsBAi0AFAAGAAgAAAAhAEynsJDZAAAAAwEA&#10;AA8AAAAAAAAAAAAAAAAA1wQAAGRycy9kb3ducmV2LnhtbFBLBQYAAAAABAAEAPMAAADdBQAAAAA=&#10;">
                <v:line id="Line_x0020_39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0EMcAAADcAAAADwAAAGRycy9kb3ducmV2LnhtbESP3WrCQBSE7wXfYTkFb0rdtClSo6tI&#10;oSC98C8+wDF7TEJ3z8bsatI+fbdQ8HKYmW+Y+bK3Rtyo9bVjBc/jBARx4XTNpYJj/vH0BsIHZI3G&#10;MSn4Jg/LxXAwx0y7jvd0O4RSRAj7DBVUITSZlL6oyKIfu4Y4emfXWgxRtqXULXYRbo18SZKJtFhz&#10;XKiwofeKiq/D1SrIL4/B7Lafpsu3p1SeLpv057pRavTQr2YgAvXhHv5vr7WCdPo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9cbQQxwAAANwAAAAPAAAAAAAA&#10;AAAAAAAAAKECAABkcnMvZG93bnJldi54bWxQSwUGAAAAAAQABAD5AAAAlQMAAAAA&#10;" strokecolor="#231f20" strokeweight=".5pt"/>
                <w10:anchorlock/>
              </v:group>
            </w:pict>
          </mc:Fallback>
        </mc:AlternateContent>
      </w:r>
    </w:p>
    <w:p w14:paraId="53AEF812" w14:textId="77777777" w:rsidR="00DE575E" w:rsidRDefault="00DE575E">
      <w:pPr>
        <w:pStyle w:val="BodyText"/>
        <w:spacing w:before="7"/>
        <w:rPr>
          <w:rFonts w:ascii="AdonisC"/>
          <w:i/>
          <w:sz w:val="11"/>
        </w:rPr>
      </w:pPr>
    </w:p>
    <w:p w14:paraId="7A6F9A1C" w14:textId="77777777" w:rsidR="00DE575E" w:rsidRDefault="002E7560">
      <w:pPr>
        <w:pStyle w:val="BodyText"/>
        <w:spacing w:before="101" w:line="249" w:lineRule="auto"/>
        <w:ind w:left="533" w:right="127"/>
        <w:jc w:val="both"/>
      </w:pPr>
      <w:r>
        <w:rPr>
          <w:color w:val="231F20"/>
        </w:rPr>
        <w:t xml:space="preserve">в розмірі 70% заробітку годувальника на одного непрацездатного члена сім’ї та 90% – на двох і більше членів сім’ї за наявності в </w:t>
      </w:r>
      <w:r>
        <w:rPr>
          <w:color w:val="231F20"/>
          <w:spacing w:val="-3"/>
        </w:rPr>
        <w:t xml:space="preserve">году- </w:t>
      </w:r>
      <w:r>
        <w:rPr>
          <w:color w:val="231F20"/>
        </w:rPr>
        <w:t>вальника стажу служби в органах місцевого самоврядування</w:t>
      </w:r>
      <w:r>
        <w:rPr>
          <w:color w:val="231F20"/>
        </w:rPr>
        <w:t xml:space="preserve"> та/або державної</w:t>
      </w:r>
      <w:r>
        <w:rPr>
          <w:color w:val="231F20"/>
          <w:spacing w:val="-6"/>
        </w:rPr>
        <w:t xml:space="preserve"> </w:t>
      </w:r>
      <w:r>
        <w:rPr>
          <w:color w:val="231F20"/>
        </w:rPr>
        <w:t>служби</w:t>
      </w:r>
      <w:r>
        <w:rPr>
          <w:color w:val="231F20"/>
          <w:spacing w:val="-6"/>
        </w:rPr>
        <w:t xml:space="preserve"> </w:t>
      </w:r>
      <w:r>
        <w:rPr>
          <w:color w:val="231F20"/>
        </w:rPr>
        <w:t>не</w:t>
      </w:r>
      <w:r>
        <w:rPr>
          <w:color w:val="231F20"/>
          <w:spacing w:val="-6"/>
        </w:rPr>
        <w:t xml:space="preserve"> </w:t>
      </w:r>
      <w:r>
        <w:rPr>
          <w:color w:val="231F20"/>
        </w:rPr>
        <w:t>менше</w:t>
      </w:r>
      <w:r>
        <w:rPr>
          <w:color w:val="231F20"/>
          <w:spacing w:val="-6"/>
        </w:rPr>
        <w:t xml:space="preserve"> </w:t>
      </w:r>
      <w:r>
        <w:rPr>
          <w:color w:val="231F20"/>
        </w:rPr>
        <w:t>10</w:t>
      </w:r>
      <w:r>
        <w:rPr>
          <w:color w:val="231F20"/>
          <w:spacing w:val="-6"/>
        </w:rPr>
        <w:t xml:space="preserve"> </w:t>
      </w:r>
      <w:r>
        <w:rPr>
          <w:color w:val="231F20"/>
        </w:rPr>
        <w:t>років.</w:t>
      </w:r>
      <w:r>
        <w:rPr>
          <w:color w:val="231F20"/>
          <w:spacing w:val="-6"/>
        </w:rPr>
        <w:t xml:space="preserve"> </w:t>
      </w:r>
      <w:r>
        <w:rPr>
          <w:color w:val="231F20"/>
        </w:rPr>
        <w:t>До</w:t>
      </w:r>
      <w:r>
        <w:rPr>
          <w:color w:val="231F20"/>
          <w:spacing w:val="-6"/>
        </w:rPr>
        <w:t xml:space="preserve"> </w:t>
      </w:r>
      <w:r>
        <w:rPr>
          <w:i/>
          <w:color w:val="231F20"/>
        </w:rPr>
        <w:t>непрацездатних</w:t>
      </w:r>
      <w:r>
        <w:rPr>
          <w:i/>
          <w:color w:val="231F20"/>
          <w:spacing w:val="-7"/>
        </w:rPr>
        <w:t xml:space="preserve"> </w:t>
      </w:r>
      <w:r>
        <w:rPr>
          <w:i/>
          <w:color w:val="231F20"/>
        </w:rPr>
        <w:t>членів</w:t>
      </w:r>
      <w:r>
        <w:rPr>
          <w:i/>
          <w:color w:val="231F20"/>
          <w:spacing w:val="-6"/>
        </w:rPr>
        <w:t xml:space="preserve"> </w:t>
      </w:r>
      <w:r>
        <w:rPr>
          <w:i/>
          <w:color w:val="231F20"/>
        </w:rPr>
        <w:t xml:space="preserve">сім’ї </w:t>
      </w:r>
      <w:r>
        <w:rPr>
          <w:color w:val="231F20"/>
        </w:rPr>
        <w:t xml:space="preserve">належать особи, зазначені у </w:t>
      </w:r>
      <w:r>
        <w:rPr>
          <w:color w:val="231F20"/>
          <w:spacing w:val="-6"/>
        </w:rPr>
        <w:t xml:space="preserve">ст. </w:t>
      </w:r>
      <w:r>
        <w:rPr>
          <w:color w:val="231F20"/>
        </w:rPr>
        <w:t xml:space="preserve">36 Закону </w:t>
      </w:r>
      <w:r>
        <w:rPr>
          <w:color w:val="231F20"/>
          <w:spacing w:val="-3"/>
        </w:rPr>
        <w:t xml:space="preserve">України </w:t>
      </w:r>
      <w:r>
        <w:rPr>
          <w:color w:val="231F20"/>
        </w:rPr>
        <w:t xml:space="preserve">«Про загально- обов’язкове державне пенсійне страхування», зокрема це: 1) чоло- вік (дружина), батько, мати, якщо вони є особами з інвалідністю або </w:t>
      </w:r>
      <w:r>
        <w:rPr>
          <w:color w:val="231F20"/>
          <w:spacing w:val="-3"/>
        </w:rPr>
        <w:t xml:space="preserve">досягли </w:t>
      </w:r>
      <w:r>
        <w:rPr>
          <w:color w:val="231F20"/>
        </w:rPr>
        <w:t>пенсійного віку; 2) діти (зокрема діти, які народилися до спливу 10 місяців з дня смерті годувальник</w:t>
      </w:r>
      <w:r>
        <w:rPr>
          <w:color w:val="231F20"/>
        </w:rPr>
        <w:t xml:space="preserve">а) померлого годуваль- ника, які не </w:t>
      </w:r>
      <w:r>
        <w:rPr>
          <w:color w:val="231F20"/>
          <w:spacing w:val="-3"/>
        </w:rPr>
        <w:t xml:space="preserve">досягли </w:t>
      </w:r>
      <w:r>
        <w:rPr>
          <w:color w:val="231F20"/>
        </w:rPr>
        <w:t xml:space="preserve">18 років або старші цього </w:t>
      </w:r>
      <w:r>
        <w:rPr>
          <w:color w:val="231F20"/>
          <w:spacing w:val="-4"/>
        </w:rPr>
        <w:t xml:space="preserve">віку, </w:t>
      </w:r>
      <w:r>
        <w:rPr>
          <w:color w:val="231F20"/>
        </w:rPr>
        <w:t>якщо вони стали особами з інвалідністю до досягнення 18</w:t>
      </w:r>
      <w:r>
        <w:rPr>
          <w:color w:val="231F20"/>
          <w:spacing w:val="-5"/>
        </w:rPr>
        <w:t xml:space="preserve"> </w:t>
      </w:r>
      <w:r>
        <w:rPr>
          <w:color w:val="231F20"/>
        </w:rPr>
        <w:t>років.</w:t>
      </w:r>
    </w:p>
    <w:p w14:paraId="26782C18" w14:textId="77777777" w:rsidR="00DE575E" w:rsidRDefault="002E7560">
      <w:pPr>
        <w:spacing w:line="249" w:lineRule="auto"/>
        <w:ind w:left="533" w:right="127" w:firstLine="283"/>
        <w:jc w:val="both"/>
        <w:rPr>
          <w:sz w:val="21"/>
        </w:rPr>
      </w:pPr>
      <w:r>
        <w:rPr>
          <w:i/>
          <w:color w:val="231F20"/>
          <w:sz w:val="21"/>
        </w:rPr>
        <w:t xml:space="preserve">У разі звільнення з роботи в органах місцевого  самоврядування    у зв’язку з виходом на пенсію </w:t>
      </w:r>
      <w:r>
        <w:rPr>
          <w:color w:val="231F20"/>
          <w:sz w:val="21"/>
        </w:rPr>
        <w:t>посадовим особам місц</w:t>
      </w:r>
      <w:r>
        <w:rPr>
          <w:color w:val="231F20"/>
          <w:sz w:val="21"/>
        </w:rPr>
        <w:t xml:space="preserve">евого самовря- дування виплачується </w:t>
      </w:r>
      <w:r>
        <w:rPr>
          <w:b/>
          <w:i/>
          <w:color w:val="231F20"/>
          <w:sz w:val="21"/>
        </w:rPr>
        <w:t xml:space="preserve">одноразова грошова допомога  </w:t>
      </w:r>
      <w:r>
        <w:rPr>
          <w:color w:val="231F20"/>
          <w:sz w:val="21"/>
        </w:rPr>
        <w:t>в  розмірі 10 місячних посадових окладів за наявності не менше 10 років стажу</w:t>
      </w:r>
      <w:r>
        <w:rPr>
          <w:color w:val="231F20"/>
          <w:spacing w:val="-8"/>
          <w:sz w:val="21"/>
        </w:rPr>
        <w:t xml:space="preserve"> </w:t>
      </w:r>
      <w:r>
        <w:rPr>
          <w:color w:val="231F20"/>
          <w:sz w:val="21"/>
        </w:rPr>
        <w:t>на</w:t>
      </w:r>
      <w:r>
        <w:rPr>
          <w:color w:val="231F20"/>
          <w:spacing w:val="-8"/>
          <w:sz w:val="21"/>
        </w:rPr>
        <w:t xml:space="preserve"> </w:t>
      </w:r>
      <w:r>
        <w:rPr>
          <w:color w:val="231F20"/>
          <w:sz w:val="21"/>
        </w:rPr>
        <w:t>посадах</w:t>
      </w:r>
      <w:r>
        <w:rPr>
          <w:color w:val="231F20"/>
          <w:spacing w:val="-8"/>
          <w:sz w:val="21"/>
        </w:rPr>
        <w:t xml:space="preserve"> </w:t>
      </w:r>
      <w:r>
        <w:rPr>
          <w:color w:val="231F20"/>
          <w:sz w:val="21"/>
        </w:rPr>
        <w:t>в</w:t>
      </w:r>
      <w:r>
        <w:rPr>
          <w:color w:val="231F20"/>
          <w:spacing w:val="-9"/>
          <w:sz w:val="21"/>
        </w:rPr>
        <w:t xml:space="preserve"> </w:t>
      </w:r>
      <w:r>
        <w:rPr>
          <w:color w:val="231F20"/>
          <w:sz w:val="21"/>
        </w:rPr>
        <w:t>органах</w:t>
      </w:r>
      <w:r>
        <w:rPr>
          <w:color w:val="231F20"/>
          <w:spacing w:val="-8"/>
          <w:sz w:val="21"/>
        </w:rPr>
        <w:t xml:space="preserve"> </w:t>
      </w:r>
      <w:r>
        <w:rPr>
          <w:color w:val="231F20"/>
          <w:sz w:val="21"/>
        </w:rPr>
        <w:t>місцевого</w:t>
      </w:r>
      <w:r>
        <w:rPr>
          <w:color w:val="231F20"/>
          <w:spacing w:val="-8"/>
          <w:sz w:val="21"/>
        </w:rPr>
        <w:t xml:space="preserve"> </w:t>
      </w:r>
      <w:r>
        <w:rPr>
          <w:color w:val="231F20"/>
          <w:sz w:val="21"/>
        </w:rPr>
        <w:t>самоврядування</w:t>
      </w:r>
      <w:r>
        <w:rPr>
          <w:color w:val="231F20"/>
          <w:spacing w:val="-9"/>
          <w:sz w:val="21"/>
        </w:rPr>
        <w:t xml:space="preserve"> </w:t>
      </w:r>
      <w:r>
        <w:rPr>
          <w:color w:val="231F20"/>
          <w:sz w:val="21"/>
        </w:rPr>
        <w:t>чи</w:t>
      </w:r>
      <w:r>
        <w:rPr>
          <w:color w:val="231F20"/>
          <w:spacing w:val="-8"/>
          <w:sz w:val="21"/>
        </w:rPr>
        <w:t xml:space="preserve"> </w:t>
      </w:r>
      <w:r>
        <w:rPr>
          <w:color w:val="231F20"/>
          <w:sz w:val="21"/>
        </w:rPr>
        <w:t>на</w:t>
      </w:r>
      <w:r>
        <w:rPr>
          <w:color w:val="231F20"/>
          <w:spacing w:val="-8"/>
          <w:sz w:val="21"/>
        </w:rPr>
        <w:t xml:space="preserve"> </w:t>
      </w:r>
      <w:r>
        <w:rPr>
          <w:color w:val="231F20"/>
          <w:sz w:val="21"/>
        </w:rPr>
        <w:t>посадах, віднесених до відповідних категорій посад державних</w:t>
      </w:r>
      <w:r>
        <w:rPr>
          <w:color w:val="231F20"/>
          <w:spacing w:val="-8"/>
          <w:sz w:val="21"/>
        </w:rPr>
        <w:t xml:space="preserve"> </w:t>
      </w:r>
      <w:r>
        <w:rPr>
          <w:color w:val="231F20"/>
          <w:sz w:val="21"/>
        </w:rPr>
        <w:t>службовців.</w:t>
      </w:r>
    </w:p>
    <w:p w14:paraId="6B405B60" w14:textId="77777777" w:rsidR="00DE575E" w:rsidRDefault="002E7560">
      <w:pPr>
        <w:pStyle w:val="BodyText"/>
        <w:spacing w:line="249" w:lineRule="auto"/>
        <w:ind w:left="533" w:right="124" w:firstLine="283"/>
        <w:jc w:val="both"/>
      </w:pPr>
      <w:r>
        <w:rPr>
          <w:color w:val="231F20"/>
          <w:spacing w:val="-3"/>
        </w:rPr>
        <w:t xml:space="preserve">Також </w:t>
      </w:r>
      <w:r>
        <w:rPr>
          <w:color w:val="231F20"/>
        </w:rPr>
        <w:t xml:space="preserve">слід звернути </w:t>
      </w:r>
      <w:r>
        <w:rPr>
          <w:color w:val="231F20"/>
          <w:spacing w:val="-2"/>
        </w:rPr>
        <w:t xml:space="preserve">увагу, </w:t>
      </w:r>
      <w:r>
        <w:rPr>
          <w:color w:val="231F20"/>
        </w:rPr>
        <w:t>що до стажу служби в органах місце- вого самоврядування зараховується період роботи на посадах, на які поширюється дія Закону «Про службу в органах місцевого само- врядування», а також на посадах і в органах, час роботи в яких зара- ховується до стажу держ</w:t>
      </w:r>
      <w:r>
        <w:rPr>
          <w:color w:val="231F20"/>
        </w:rPr>
        <w:t>авної служби (напр., час перебування на посадах суддів, прокурорів, народних депутатів, дипломатичних посадах</w:t>
      </w:r>
      <w:r>
        <w:rPr>
          <w:color w:val="231F20"/>
          <w:spacing w:val="3"/>
        </w:rPr>
        <w:t xml:space="preserve"> </w:t>
      </w:r>
      <w:r>
        <w:rPr>
          <w:color w:val="231F20"/>
        </w:rPr>
        <w:t>тощо).</w:t>
      </w:r>
    </w:p>
    <w:p w14:paraId="1EFE56BB" w14:textId="77777777" w:rsidR="00DE575E" w:rsidRDefault="00DE575E">
      <w:pPr>
        <w:pStyle w:val="BodyText"/>
        <w:rPr>
          <w:sz w:val="24"/>
        </w:rPr>
      </w:pPr>
    </w:p>
    <w:p w14:paraId="1E520A4B" w14:textId="77777777" w:rsidR="00DE575E" w:rsidRDefault="00DE575E">
      <w:pPr>
        <w:pStyle w:val="BodyText"/>
        <w:spacing w:before="8"/>
        <w:rPr>
          <w:sz w:val="18"/>
        </w:rPr>
      </w:pPr>
    </w:p>
    <w:p w14:paraId="4C61A83A" w14:textId="77777777" w:rsidR="00DE575E" w:rsidRDefault="002E7560">
      <w:pPr>
        <w:pStyle w:val="Heading4"/>
        <w:numPr>
          <w:ilvl w:val="1"/>
          <w:numId w:val="93"/>
        </w:numPr>
        <w:tabs>
          <w:tab w:val="left" w:pos="2906"/>
        </w:tabs>
        <w:spacing w:before="1" w:line="257" w:lineRule="exact"/>
        <w:ind w:left="2905" w:hanging="410"/>
        <w:jc w:val="left"/>
      </w:pPr>
      <w:r>
        <w:rPr>
          <w:color w:val="231F20"/>
        </w:rPr>
        <w:t>Припинення</w:t>
      </w:r>
      <w:r>
        <w:rPr>
          <w:color w:val="231F20"/>
          <w:spacing w:val="-2"/>
        </w:rPr>
        <w:t xml:space="preserve"> </w:t>
      </w:r>
      <w:r>
        <w:rPr>
          <w:color w:val="231F20"/>
        </w:rPr>
        <w:t>служби</w:t>
      </w:r>
    </w:p>
    <w:p w14:paraId="597F8FC3" w14:textId="77777777" w:rsidR="00DE575E" w:rsidRDefault="002E7560">
      <w:pPr>
        <w:spacing w:line="257" w:lineRule="exact"/>
        <w:ind w:left="1910"/>
        <w:rPr>
          <w:b/>
        </w:rPr>
      </w:pPr>
      <w:r>
        <w:rPr>
          <w:b/>
          <w:color w:val="231F20"/>
        </w:rPr>
        <w:t>в органі місцевого самоврядування</w:t>
      </w:r>
    </w:p>
    <w:p w14:paraId="0DBB0BC0" w14:textId="77777777" w:rsidR="00DE575E" w:rsidRDefault="00DE575E">
      <w:pPr>
        <w:pStyle w:val="BodyText"/>
        <w:rPr>
          <w:b/>
          <w:sz w:val="26"/>
        </w:rPr>
      </w:pPr>
    </w:p>
    <w:p w14:paraId="5BBE8B68" w14:textId="77777777" w:rsidR="00DE575E" w:rsidRDefault="002E7560">
      <w:pPr>
        <w:pStyle w:val="BodyText"/>
        <w:spacing w:before="214" w:line="249" w:lineRule="auto"/>
        <w:ind w:left="533" w:right="125" w:firstLine="283"/>
        <w:jc w:val="both"/>
      </w:pPr>
      <w:r>
        <w:rPr>
          <w:color w:val="231F20"/>
        </w:rPr>
        <w:t>Насамперед</w:t>
      </w:r>
      <w:r>
        <w:rPr>
          <w:color w:val="231F20"/>
          <w:spacing w:val="-14"/>
        </w:rPr>
        <w:t xml:space="preserve"> </w:t>
      </w:r>
      <w:r>
        <w:rPr>
          <w:color w:val="231F20"/>
        </w:rPr>
        <w:t>потрібно</w:t>
      </w:r>
      <w:r>
        <w:rPr>
          <w:color w:val="231F20"/>
          <w:spacing w:val="-14"/>
        </w:rPr>
        <w:t xml:space="preserve"> </w:t>
      </w:r>
      <w:r>
        <w:rPr>
          <w:color w:val="231F20"/>
        </w:rPr>
        <w:t>зазначити,</w:t>
      </w:r>
      <w:r>
        <w:rPr>
          <w:color w:val="231F20"/>
          <w:spacing w:val="-14"/>
        </w:rPr>
        <w:t xml:space="preserve"> </w:t>
      </w:r>
      <w:r>
        <w:rPr>
          <w:color w:val="231F20"/>
        </w:rPr>
        <w:t>що</w:t>
      </w:r>
      <w:r>
        <w:rPr>
          <w:color w:val="231F20"/>
          <w:spacing w:val="-14"/>
        </w:rPr>
        <w:t xml:space="preserve"> </w:t>
      </w:r>
      <w:r>
        <w:rPr>
          <w:color w:val="231F20"/>
        </w:rPr>
        <w:t>підстави</w:t>
      </w:r>
      <w:r>
        <w:rPr>
          <w:color w:val="231F20"/>
          <w:spacing w:val="-14"/>
        </w:rPr>
        <w:t xml:space="preserve"> </w:t>
      </w:r>
      <w:r>
        <w:rPr>
          <w:color w:val="231F20"/>
        </w:rPr>
        <w:t>припинення</w:t>
      </w:r>
      <w:r>
        <w:rPr>
          <w:color w:val="231F20"/>
          <w:spacing w:val="-14"/>
        </w:rPr>
        <w:t xml:space="preserve"> </w:t>
      </w:r>
      <w:r>
        <w:rPr>
          <w:color w:val="231F20"/>
        </w:rPr>
        <w:t xml:space="preserve">служби в органі місцевого самоврядування закріплені в </w:t>
      </w:r>
      <w:r>
        <w:rPr>
          <w:color w:val="231F20"/>
          <w:spacing w:val="-3"/>
        </w:rPr>
        <w:t xml:space="preserve">Кодексі </w:t>
      </w:r>
      <w:r>
        <w:rPr>
          <w:color w:val="231F20"/>
        </w:rPr>
        <w:t>законів про працю</w:t>
      </w:r>
      <w:r>
        <w:rPr>
          <w:color w:val="231F20"/>
          <w:spacing w:val="-17"/>
        </w:rPr>
        <w:t xml:space="preserve"> </w:t>
      </w:r>
      <w:r>
        <w:rPr>
          <w:color w:val="231F20"/>
          <w:spacing w:val="-3"/>
        </w:rPr>
        <w:t>України</w:t>
      </w:r>
      <w:r>
        <w:rPr>
          <w:color w:val="231F20"/>
          <w:spacing w:val="-17"/>
        </w:rPr>
        <w:t xml:space="preserve"> </w:t>
      </w:r>
      <w:r>
        <w:rPr>
          <w:color w:val="231F20"/>
        </w:rPr>
        <w:t>як</w:t>
      </w:r>
      <w:r>
        <w:rPr>
          <w:color w:val="231F20"/>
          <w:spacing w:val="-17"/>
        </w:rPr>
        <w:t xml:space="preserve"> </w:t>
      </w:r>
      <w:r>
        <w:rPr>
          <w:color w:val="231F20"/>
        </w:rPr>
        <w:t>головному</w:t>
      </w:r>
      <w:r>
        <w:rPr>
          <w:color w:val="231F20"/>
          <w:spacing w:val="-17"/>
        </w:rPr>
        <w:t xml:space="preserve"> </w:t>
      </w:r>
      <w:r>
        <w:rPr>
          <w:color w:val="231F20"/>
        </w:rPr>
        <w:t>нормативно-правовому</w:t>
      </w:r>
      <w:r>
        <w:rPr>
          <w:color w:val="231F20"/>
          <w:spacing w:val="-17"/>
        </w:rPr>
        <w:t xml:space="preserve"> </w:t>
      </w:r>
      <w:r>
        <w:rPr>
          <w:color w:val="231F20"/>
          <w:spacing w:val="-5"/>
        </w:rPr>
        <w:t>акт,</w:t>
      </w:r>
      <w:r>
        <w:rPr>
          <w:color w:val="231F20"/>
          <w:spacing w:val="-17"/>
        </w:rPr>
        <w:t xml:space="preserve"> </w:t>
      </w:r>
      <w:r>
        <w:rPr>
          <w:color w:val="231F20"/>
        </w:rPr>
        <w:t>що</w:t>
      </w:r>
      <w:r>
        <w:rPr>
          <w:color w:val="231F20"/>
          <w:spacing w:val="-17"/>
        </w:rPr>
        <w:t xml:space="preserve"> </w:t>
      </w:r>
      <w:r>
        <w:rPr>
          <w:color w:val="231F20"/>
          <w:spacing w:val="-3"/>
        </w:rPr>
        <w:t xml:space="preserve">регулює трудові </w:t>
      </w:r>
      <w:r>
        <w:rPr>
          <w:color w:val="231F20"/>
        </w:rPr>
        <w:t>відносини роботодавця та найманого працівника. А також  у</w:t>
      </w:r>
      <w:r>
        <w:rPr>
          <w:color w:val="231F20"/>
          <w:spacing w:val="-7"/>
        </w:rPr>
        <w:t xml:space="preserve"> </w:t>
      </w:r>
      <w:r>
        <w:rPr>
          <w:color w:val="231F20"/>
        </w:rPr>
        <w:t>спеціальному</w:t>
      </w:r>
      <w:r>
        <w:rPr>
          <w:color w:val="231F20"/>
          <w:spacing w:val="-7"/>
        </w:rPr>
        <w:t xml:space="preserve"> </w:t>
      </w:r>
      <w:r>
        <w:rPr>
          <w:color w:val="231F20"/>
        </w:rPr>
        <w:t>законодавстві,</w:t>
      </w:r>
      <w:r>
        <w:rPr>
          <w:color w:val="231F20"/>
          <w:spacing w:val="-7"/>
        </w:rPr>
        <w:t xml:space="preserve"> </w:t>
      </w:r>
      <w:r>
        <w:rPr>
          <w:color w:val="231F20"/>
        </w:rPr>
        <w:t>що</w:t>
      </w:r>
      <w:r>
        <w:rPr>
          <w:color w:val="231F20"/>
          <w:spacing w:val="-7"/>
        </w:rPr>
        <w:t xml:space="preserve"> </w:t>
      </w:r>
      <w:r>
        <w:rPr>
          <w:color w:val="231F20"/>
        </w:rPr>
        <w:t>передбачає</w:t>
      </w:r>
      <w:r>
        <w:rPr>
          <w:color w:val="231F20"/>
          <w:spacing w:val="-7"/>
        </w:rPr>
        <w:t xml:space="preserve"> </w:t>
      </w:r>
      <w:r>
        <w:rPr>
          <w:color w:val="231F20"/>
        </w:rPr>
        <w:t>порядок</w:t>
      </w:r>
      <w:r>
        <w:rPr>
          <w:color w:val="231F20"/>
          <w:spacing w:val="-7"/>
        </w:rPr>
        <w:t xml:space="preserve"> </w:t>
      </w:r>
      <w:r>
        <w:rPr>
          <w:color w:val="231F20"/>
        </w:rPr>
        <w:t>пр</w:t>
      </w:r>
      <w:r>
        <w:rPr>
          <w:color w:val="231F20"/>
        </w:rPr>
        <w:t>оходження служби в органах місцевого самоврядування</w:t>
      </w:r>
      <w:r>
        <w:rPr>
          <w:color w:val="231F20"/>
          <w:position w:val="7"/>
          <w:sz w:val="12"/>
        </w:rPr>
        <w:t>1</w:t>
      </w:r>
      <w:r>
        <w:rPr>
          <w:color w:val="231F20"/>
        </w:rPr>
        <w:t xml:space="preserve">. </w:t>
      </w:r>
      <w:r>
        <w:rPr>
          <w:color w:val="231F20"/>
          <w:spacing w:val="-5"/>
        </w:rPr>
        <w:t xml:space="preserve">Тому </w:t>
      </w:r>
      <w:r>
        <w:rPr>
          <w:color w:val="231F20"/>
        </w:rPr>
        <w:t xml:space="preserve">підстави припи- нення служби можна поділити на </w:t>
      </w:r>
      <w:r>
        <w:rPr>
          <w:i/>
          <w:color w:val="231F20"/>
        </w:rPr>
        <w:t xml:space="preserve">загальні </w:t>
      </w:r>
      <w:r>
        <w:rPr>
          <w:color w:val="231F20"/>
        </w:rPr>
        <w:t>та</w:t>
      </w:r>
      <w:r>
        <w:rPr>
          <w:color w:val="231F20"/>
          <w:spacing w:val="-9"/>
        </w:rPr>
        <w:t xml:space="preserve"> </w:t>
      </w:r>
      <w:r>
        <w:rPr>
          <w:i/>
          <w:color w:val="231F20"/>
        </w:rPr>
        <w:t>спеціальні</w:t>
      </w:r>
      <w:r>
        <w:rPr>
          <w:color w:val="231F20"/>
        </w:rPr>
        <w:t>.</w:t>
      </w:r>
    </w:p>
    <w:p w14:paraId="37F6F9A3" w14:textId="257F3738" w:rsidR="00DE575E" w:rsidRDefault="002E7560">
      <w:pPr>
        <w:pStyle w:val="BodyText"/>
        <w:rPr>
          <w:sz w:val="20"/>
        </w:rPr>
      </w:pPr>
      <w:r>
        <w:rPr>
          <w:noProof/>
        </w:rPr>
        <mc:AlternateContent>
          <mc:Choice Requires="wps">
            <w:drawing>
              <wp:anchor distT="0" distB="0" distL="0" distR="0" simplePos="0" relativeHeight="15784" behindDoc="0" locked="0" layoutInCell="1" allowOverlap="1" wp14:anchorId="667DD687" wp14:editId="07460D77">
                <wp:simplePos x="0" y="0"/>
                <wp:positionH relativeFrom="page">
                  <wp:posOffset>719455</wp:posOffset>
                </wp:positionH>
                <wp:positionV relativeFrom="paragraph">
                  <wp:posOffset>177165</wp:posOffset>
                </wp:positionV>
                <wp:extent cx="1080135" cy="0"/>
                <wp:effectExtent l="8255" t="12065" r="29210" b="26035"/>
                <wp:wrapTopAndBottom/>
                <wp:docPr id="39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913B2" id="Line_x0020_391" o:spid="_x0000_s1026" style="position:absolute;z-index:15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95pt" to="141.7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" strokecolor="#231f20" strokeweight=".5pt">
                <w10:wrap type="topAndBottom" anchorx="page"/>
              </v:line>
            </w:pict>
          </mc:Fallback>
        </mc:AlternateContent>
      </w:r>
    </w:p>
    <w:p w14:paraId="18D3A86D" w14:textId="77777777" w:rsidR="00DE575E" w:rsidRDefault="002E7560">
      <w:pPr>
        <w:spacing w:line="204" w:lineRule="auto"/>
        <w:ind w:left="533"/>
        <w:rPr>
          <w:sz w:val="16"/>
        </w:rPr>
      </w:pPr>
      <w:r>
        <w:rPr>
          <w:color w:val="231F20"/>
          <w:position w:val="5"/>
          <w:sz w:val="9"/>
        </w:rPr>
        <w:t xml:space="preserve">1 </w:t>
      </w:r>
      <w:r>
        <w:rPr>
          <w:color w:val="231F20"/>
          <w:sz w:val="16"/>
        </w:rPr>
        <w:t>Муніципальне право України. URL: https://pidruchniki.com/15950210/pravo/pripinen- nya_sluzhbi_organah_mistsevogo_samovryaduvannya</w:t>
      </w:r>
    </w:p>
    <w:p w14:paraId="0AF118A5" w14:textId="77777777" w:rsidR="00DE575E" w:rsidRDefault="00DE575E">
      <w:pPr>
        <w:pStyle w:val="BodyText"/>
        <w:spacing w:before="1"/>
        <w:rPr>
          <w:sz w:val="12"/>
        </w:rPr>
      </w:pPr>
    </w:p>
    <w:p w14:paraId="5E4B2A83" w14:textId="77777777" w:rsidR="00DE575E" w:rsidRDefault="002E7560">
      <w:pPr>
        <w:spacing w:before="92"/>
        <w:ind w:left="533"/>
        <w:rPr>
          <w:rFonts w:ascii="Times New Roman"/>
          <w:sz w:val="20"/>
        </w:rPr>
      </w:pPr>
      <w:r>
        <w:rPr>
          <w:rFonts w:ascii="Times New Roman"/>
          <w:color w:val="231F20"/>
          <w:sz w:val="20"/>
        </w:rPr>
        <w:t>402</w:t>
      </w:r>
    </w:p>
    <w:p w14:paraId="04AAC2C1" w14:textId="77777777" w:rsidR="00DE575E" w:rsidRDefault="00DE575E">
      <w:pPr>
        <w:rPr>
          <w:rFonts w:ascii="Times New Roman"/>
          <w:sz w:val="20"/>
        </w:rPr>
        <w:sectPr w:rsidR="00DE575E">
          <w:pgSz w:w="8510" w:h="12760"/>
          <w:pgMar w:top="660" w:right="720" w:bottom="280" w:left="600" w:header="720" w:footer="720" w:gutter="0"/>
          <w:cols w:space="720"/>
        </w:sectPr>
      </w:pPr>
    </w:p>
    <w:p w14:paraId="25FE0D74" w14:textId="77777777" w:rsidR="00DE575E" w:rsidRDefault="002E7560">
      <w:pPr>
        <w:spacing w:before="72" w:line="249" w:lineRule="auto"/>
        <w:ind w:left="842" w:right="391" w:firstLine="1907"/>
        <w:rPr>
          <w:rFonts w:ascii="AdonisC" w:hAnsi="AdonisC"/>
          <w:i/>
          <w:sz w:val="18"/>
        </w:rPr>
      </w:pPr>
      <w:r>
        <w:rPr>
          <w:rFonts w:ascii="AdonisC" w:hAnsi="AdonisC"/>
          <w:i/>
          <w:color w:val="231F20"/>
          <w:sz w:val="18"/>
        </w:rPr>
        <w:t>Глава ІІ Особливе адміністративне право/ Книга І Розділ 3. Правовий статус службовця в органі місцевого сам</w:t>
      </w:r>
      <w:r>
        <w:rPr>
          <w:rFonts w:ascii="AdonisC" w:hAnsi="AdonisC"/>
          <w:i/>
          <w:color w:val="231F20"/>
          <w:sz w:val="18"/>
        </w:rPr>
        <w:t>оврядування</w:t>
      </w:r>
    </w:p>
    <w:p w14:paraId="1E56DC7B" w14:textId="57007F4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49BE2B2" wp14:editId="3A6BDCC0">
                <wp:extent cx="4140200" cy="6350"/>
                <wp:effectExtent l="0" t="0" r="12700" b="6350"/>
                <wp:docPr id="39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91" name="Line 39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2A59E7" id="Group_x0020_38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vxnFx/AgAAmAUAAA4A&#10;AAAAAAAAAAAAAAAALAIAAGRycy9lMm9Eb2MueG1sUEsBAi0AFAAGAAgAAAAhAEynsJDZAAAAAwEA&#10;AA8AAAAAAAAAAAAAAAAA1wQAAGRycy9kb3ducmV2LnhtbFBLBQYAAAAABAAEAPMAAADdBQAAAAA=&#10;">
                <v:line id="Line_x0020_39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YXiMYAAADcAAAADwAAAGRycy9kb3ducmV2LnhtbESP0WrCQBRE3wv9h+UWfCm60UDR6CpF&#10;EMQHrcYPuGavSeju3ZhdTdqv7xYKfRxm5gyzWPXWiAe1vnasYDxKQBAXTtdcKjjnm+EUhA/IGo1j&#10;UvBFHlbL56cFZtp1fKTHKZQiQthnqKAKocmk9EVFFv3INcTRu7rWYoiyLaVusYtwa+QkSd6kxZrj&#10;QoUNrSsqPk93qyC/vQbzcdiZLj9cUnm57dPv+16pwUv/PgcRqA//4b/2VitIZ2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GF4jGAAAA3AAAAA8AAAAAAAAA&#10;AAAAAAAAoQIAAGRycy9kb3ducmV2LnhtbFBLBQYAAAAABAAEAPkAAACUAwAAAAA=&#10;" strokecolor="#231f20" strokeweight=".5pt"/>
                <w10:anchorlock/>
              </v:group>
            </w:pict>
          </mc:Fallback>
        </mc:AlternateContent>
      </w:r>
    </w:p>
    <w:p w14:paraId="05551D26" w14:textId="77777777" w:rsidR="00DE575E" w:rsidRDefault="00DE575E">
      <w:pPr>
        <w:pStyle w:val="BodyText"/>
        <w:spacing w:before="7"/>
        <w:rPr>
          <w:rFonts w:ascii="AdonisC"/>
          <w:i/>
          <w:sz w:val="19"/>
        </w:rPr>
      </w:pPr>
    </w:p>
    <w:p w14:paraId="2D4BF2B4" w14:textId="77777777" w:rsidR="00DE575E" w:rsidRDefault="002E7560">
      <w:pPr>
        <w:pStyle w:val="BodyText"/>
        <w:spacing w:before="1" w:line="252" w:lineRule="auto"/>
        <w:ind w:left="250" w:right="410" w:firstLine="283"/>
        <w:jc w:val="both"/>
      </w:pPr>
      <w:r>
        <w:rPr>
          <w:b/>
          <w:i/>
          <w:color w:val="231F20"/>
          <w:spacing w:val="-5"/>
        </w:rPr>
        <w:t xml:space="preserve">Загальні підстави </w:t>
      </w:r>
      <w:r>
        <w:rPr>
          <w:color w:val="231F20"/>
          <w:spacing w:val="-5"/>
        </w:rPr>
        <w:t xml:space="preserve">передбачені </w:t>
      </w:r>
      <w:r>
        <w:rPr>
          <w:color w:val="231F20"/>
          <w:spacing w:val="-6"/>
        </w:rPr>
        <w:t xml:space="preserve">Кодексом </w:t>
      </w:r>
      <w:r>
        <w:rPr>
          <w:color w:val="231F20"/>
          <w:spacing w:val="-5"/>
        </w:rPr>
        <w:t xml:space="preserve">законів </w:t>
      </w:r>
      <w:r>
        <w:rPr>
          <w:color w:val="231F20"/>
          <w:spacing w:val="-4"/>
        </w:rPr>
        <w:t xml:space="preserve">про </w:t>
      </w:r>
      <w:r>
        <w:rPr>
          <w:color w:val="231F20"/>
          <w:spacing w:val="-5"/>
        </w:rPr>
        <w:t xml:space="preserve">працю </w:t>
      </w:r>
      <w:r>
        <w:rPr>
          <w:color w:val="231F20"/>
          <w:spacing w:val="-6"/>
        </w:rPr>
        <w:t xml:space="preserve">України  </w:t>
      </w:r>
      <w:r>
        <w:rPr>
          <w:color w:val="231F20"/>
          <w:spacing w:val="-8"/>
        </w:rPr>
        <w:t xml:space="preserve">(ст. </w:t>
      </w:r>
      <w:r>
        <w:rPr>
          <w:color w:val="231F20"/>
          <w:spacing w:val="-9"/>
        </w:rPr>
        <w:t xml:space="preserve">ст. </w:t>
      </w:r>
      <w:r>
        <w:rPr>
          <w:color w:val="231F20"/>
          <w:spacing w:val="-4"/>
        </w:rPr>
        <w:t xml:space="preserve">36,  38,  39,  40,  41).  </w:t>
      </w:r>
      <w:r>
        <w:rPr>
          <w:color w:val="231F20"/>
          <w:spacing w:val="-5"/>
        </w:rPr>
        <w:t xml:space="preserve">Зокрема,   </w:t>
      </w:r>
      <w:r>
        <w:rPr>
          <w:color w:val="231F20"/>
          <w:spacing w:val="-3"/>
        </w:rPr>
        <w:t xml:space="preserve">це  </w:t>
      </w:r>
      <w:r>
        <w:rPr>
          <w:color w:val="231F20"/>
          <w:spacing w:val="-5"/>
        </w:rPr>
        <w:t xml:space="preserve">припинення   служби  </w:t>
      </w:r>
      <w:r>
        <w:rPr>
          <w:color w:val="231F20"/>
        </w:rPr>
        <w:t>у</w:t>
      </w:r>
      <w:r>
        <w:rPr>
          <w:color w:val="231F20"/>
          <w:spacing w:val="-14"/>
        </w:rPr>
        <w:t xml:space="preserve"> </w:t>
      </w:r>
      <w:r>
        <w:rPr>
          <w:color w:val="231F20"/>
          <w:spacing w:val="-5"/>
        </w:rPr>
        <w:t>звязку</w:t>
      </w:r>
      <w:r>
        <w:rPr>
          <w:color w:val="231F20"/>
          <w:spacing w:val="-14"/>
        </w:rPr>
        <w:t xml:space="preserve"> </w:t>
      </w:r>
      <w:r>
        <w:rPr>
          <w:color w:val="231F20"/>
          <w:spacing w:val="-3"/>
        </w:rPr>
        <w:t>із</w:t>
      </w:r>
      <w:r>
        <w:rPr>
          <w:color w:val="231F20"/>
          <w:spacing w:val="-14"/>
        </w:rPr>
        <w:t xml:space="preserve"> </w:t>
      </w:r>
      <w:r>
        <w:rPr>
          <w:color w:val="231F20"/>
          <w:spacing w:val="-5"/>
        </w:rPr>
        <w:t>закінченням</w:t>
      </w:r>
      <w:r>
        <w:rPr>
          <w:color w:val="231F20"/>
          <w:spacing w:val="-14"/>
        </w:rPr>
        <w:t xml:space="preserve"> </w:t>
      </w:r>
      <w:r>
        <w:rPr>
          <w:color w:val="231F20"/>
          <w:spacing w:val="-5"/>
        </w:rPr>
        <w:t>строку</w:t>
      </w:r>
      <w:r>
        <w:rPr>
          <w:color w:val="231F20"/>
          <w:spacing w:val="-14"/>
        </w:rPr>
        <w:t xml:space="preserve"> </w:t>
      </w:r>
      <w:r>
        <w:rPr>
          <w:color w:val="231F20"/>
          <w:spacing w:val="-6"/>
        </w:rPr>
        <w:t>трудового</w:t>
      </w:r>
      <w:r>
        <w:rPr>
          <w:color w:val="231F20"/>
          <w:spacing w:val="-14"/>
        </w:rPr>
        <w:t xml:space="preserve"> </w:t>
      </w:r>
      <w:r>
        <w:rPr>
          <w:color w:val="231F20"/>
          <w:spacing w:val="-7"/>
        </w:rPr>
        <w:t>договору,</w:t>
      </w:r>
      <w:r>
        <w:rPr>
          <w:color w:val="231F20"/>
          <w:spacing w:val="-14"/>
        </w:rPr>
        <w:t xml:space="preserve"> </w:t>
      </w:r>
      <w:r>
        <w:rPr>
          <w:color w:val="231F20"/>
          <w:spacing w:val="-5"/>
        </w:rPr>
        <w:t>призов</w:t>
      </w:r>
      <w:r>
        <w:rPr>
          <w:color w:val="231F20"/>
          <w:spacing w:val="-14"/>
        </w:rPr>
        <w:t xml:space="preserve"> </w:t>
      </w:r>
      <w:r>
        <w:rPr>
          <w:color w:val="231F20"/>
          <w:spacing w:val="-3"/>
        </w:rPr>
        <w:t>на</w:t>
      </w:r>
      <w:r>
        <w:rPr>
          <w:color w:val="231F20"/>
          <w:spacing w:val="-14"/>
        </w:rPr>
        <w:t xml:space="preserve"> </w:t>
      </w:r>
      <w:r>
        <w:rPr>
          <w:color w:val="231F20"/>
          <w:spacing w:val="-6"/>
        </w:rPr>
        <w:t xml:space="preserve">військову </w:t>
      </w:r>
      <w:r>
        <w:rPr>
          <w:color w:val="231F20"/>
          <w:spacing w:val="-7"/>
        </w:rPr>
        <w:t xml:space="preserve">службу, </w:t>
      </w:r>
      <w:r>
        <w:rPr>
          <w:color w:val="231F20"/>
          <w:spacing w:val="-5"/>
        </w:rPr>
        <w:t xml:space="preserve">переведення службовця, набрання законної </w:t>
      </w:r>
      <w:r>
        <w:rPr>
          <w:color w:val="231F20"/>
          <w:spacing w:val="-4"/>
        </w:rPr>
        <w:t xml:space="preserve">сили </w:t>
      </w:r>
      <w:r>
        <w:rPr>
          <w:color w:val="231F20"/>
          <w:spacing w:val="-5"/>
        </w:rPr>
        <w:t xml:space="preserve">вироком </w:t>
      </w:r>
      <w:r>
        <w:rPr>
          <w:color w:val="231F20"/>
          <w:spacing w:val="-10"/>
        </w:rPr>
        <w:t xml:space="preserve">суду, </w:t>
      </w:r>
      <w:r>
        <w:rPr>
          <w:color w:val="231F20"/>
          <w:spacing w:val="-4"/>
        </w:rPr>
        <w:t xml:space="preserve">яким </w:t>
      </w:r>
      <w:r>
        <w:rPr>
          <w:color w:val="231F20"/>
          <w:spacing w:val="-5"/>
        </w:rPr>
        <w:t xml:space="preserve">службовця </w:t>
      </w:r>
      <w:r>
        <w:rPr>
          <w:color w:val="231F20"/>
          <w:spacing w:val="-6"/>
        </w:rPr>
        <w:t xml:space="preserve">засуджено </w:t>
      </w:r>
      <w:r>
        <w:rPr>
          <w:color w:val="231F20"/>
          <w:spacing w:val="-3"/>
        </w:rPr>
        <w:t xml:space="preserve">до </w:t>
      </w:r>
      <w:r>
        <w:rPr>
          <w:color w:val="231F20"/>
          <w:spacing w:val="-5"/>
        </w:rPr>
        <w:t xml:space="preserve">позбавлення </w:t>
      </w:r>
      <w:r>
        <w:rPr>
          <w:color w:val="231F20"/>
          <w:spacing w:val="-4"/>
        </w:rPr>
        <w:t xml:space="preserve">волі або </w:t>
      </w:r>
      <w:r>
        <w:rPr>
          <w:color w:val="231F20"/>
          <w:spacing w:val="-3"/>
        </w:rPr>
        <w:t xml:space="preserve">до </w:t>
      </w:r>
      <w:r>
        <w:rPr>
          <w:color w:val="231F20"/>
          <w:spacing w:val="-4"/>
        </w:rPr>
        <w:t xml:space="preserve">іншого </w:t>
      </w:r>
      <w:r>
        <w:rPr>
          <w:color w:val="231F20"/>
          <w:spacing w:val="-5"/>
        </w:rPr>
        <w:t xml:space="preserve">пока- </w:t>
      </w:r>
      <w:r>
        <w:rPr>
          <w:color w:val="231F20"/>
          <w:spacing w:val="-4"/>
        </w:rPr>
        <w:t xml:space="preserve">рання, яке виключає </w:t>
      </w:r>
      <w:r>
        <w:rPr>
          <w:color w:val="231F20"/>
          <w:spacing w:val="-5"/>
        </w:rPr>
        <w:t xml:space="preserve">можливість </w:t>
      </w:r>
      <w:r>
        <w:rPr>
          <w:color w:val="231F20"/>
          <w:spacing w:val="-6"/>
        </w:rPr>
        <w:t xml:space="preserve">продовження </w:t>
      </w:r>
      <w:r>
        <w:rPr>
          <w:color w:val="231F20"/>
          <w:spacing w:val="-5"/>
        </w:rPr>
        <w:t xml:space="preserve">професійної діяльності, порушення </w:t>
      </w:r>
      <w:r>
        <w:rPr>
          <w:color w:val="231F20"/>
          <w:spacing w:val="-4"/>
        </w:rPr>
        <w:t xml:space="preserve">норм </w:t>
      </w:r>
      <w:r>
        <w:rPr>
          <w:color w:val="231F20"/>
          <w:spacing w:val="-5"/>
        </w:rPr>
        <w:t xml:space="preserve">Закону </w:t>
      </w:r>
      <w:r>
        <w:rPr>
          <w:color w:val="231F20"/>
          <w:spacing w:val="-4"/>
        </w:rPr>
        <w:t>«Пр</w:t>
      </w:r>
      <w:r>
        <w:rPr>
          <w:color w:val="231F20"/>
          <w:spacing w:val="-4"/>
        </w:rPr>
        <w:t xml:space="preserve">о </w:t>
      </w:r>
      <w:r>
        <w:rPr>
          <w:color w:val="231F20"/>
          <w:spacing w:val="-5"/>
        </w:rPr>
        <w:t>запобігання корупції»</w:t>
      </w:r>
      <w:r>
        <w:rPr>
          <w:color w:val="231F20"/>
          <w:spacing w:val="-29"/>
        </w:rPr>
        <w:t xml:space="preserve"> </w:t>
      </w:r>
      <w:r>
        <w:rPr>
          <w:color w:val="231F20"/>
          <w:spacing w:val="-5"/>
        </w:rPr>
        <w:t>тощо.</w:t>
      </w:r>
    </w:p>
    <w:p w14:paraId="55AAAA32" w14:textId="77777777" w:rsidR="00DE575E" w:rsidRDefault="002E7560">
      <w:pPr>
        <w:pStyle w:val="Heading6"/>
        <w:spacing w:before="3"/>
        <w:ind w:firstLine="0"/>
      </w:pPr>
      <w:r>
        <w:rPr>
          <w:color w:val="231F20"/>
        </w:rPr>
        <w:t>Спеціальні підстави:</w:t>
      </w:r>
    </w:p>
    <w:p w14:paraId="0F5032F5" w14:textId="77777777" w:rsidR="00DE575E" w:rsidRDefault="002E7560">
      <w:pPr>
        <w:pStyle w:val="ListParagraph"/>
        <w:numPr>
          <w:ilvl w:val="0"/>
          <w:numId w:val="86"/>
        </w:numPr>
        <w:tabs>
          <w:tab w:val="left" w:pos="818"/>
        </w:tabs>
        <w:spacing w:before="13" w:line="252" w:lineRule="auto"/>
        <w:ind w:right="409" w:firstLine="283"/>
        <w:jc w:val="both"/>
        <w:rPr>
          <w:sz w:val="21"/>
        </w:rPr>
      </w:pPr>
      <w:r>
        <w:rPr>
          <w:color w:val="231F20"/>
          <w:sz w:val="21"/>
        </w:rPr>
        <w:t xml:space="preserve">визначені  Законом  </w:t>
      </w:r>
      <w:r>
        <w:rPr>
          <w:color w:val="231F20"/>
          <w:spacing w:val="-3"/>
          <w:sz w:val="21"/>
        </w:rPr>
        <w:t xml:space="preserve">України  </w:t>
      </w:r>
      <w:r>
        <w:rPr>
          <w:color w:val="231F20"/>
          <w:sz w:val="21"/>
        </w:rPr>
        <w:t xml:space="preserve">«Про  місцеве  самоврядування   в </w:t>
      </w:r>
      <w:r>
        <w:rPr>
          <w:color w:val="231F20"/>
          <w:spacing w:val="-3"/>
          <w:sz w:val="21"/>
        </w:rPr>
        <w:t xml:space="preserve">Україні». </w:t>
      </w:r>
      <w:r>
        <w:rPr>
          <w:color w:val="231F20"/>
          <w:sz w:val="21"/>
        </w:rPr>
        <w:t>Зокрема, повноваження сільського, селищного, міського голови,</w:t>
      </w:r>
      <w:r>
        <w:rPr>
          <w:color w:val="231F20"/>
          <w:spacing w:val="-12"/>
          <w:sz w:val="21"/>
        </w:rPr>
        <w:t xml:space="preserve"> </w:t>
      </w:r>
      <w:r>
        <w:rPr>
          <w:color w:val="231F20"/>
          <w:sz w:val="21"/>
        </w:rPr>
        <w:t>голови</w:t>
      </w:r>
      <w:r>
        <w:rPr>
          <w:color w:val="231F20"/>
          <w:spacing w:val="-12"/>
          <w:sz w:val="21"/>
        </w:rPr>
        <w:t xml:space="preserve"> </w:t>
      </w:r>
      <w:r>
        <w:rPr>
          <w:color w:val="231F20"/>
          <w:sz w:val="21"/>
        </w:rPr>
        <w:t>районної</w:t>
      </w:r>
      <w:r>
        <w:rPr>
          <w:color w:val="231F20"/>
          <w:spacing w:val="-13"/>
          <w:sz w:val="21"/>
        </w:rPr>
        <w:t xml:space="preserve"> </w:t>
      </w:r>
      <w:r>
        <w:rPr>
          <w:color w:val="231F20"/>
          <w:sz w:val="21"/>
        </w:rPr>
        <w:t>в</w:t>
      </w:r>
      <w:r>
        <w:rPr>
          <w:color w:val="231F20"/>
          <w:spacing w:val="-12"/>
          <w:sz w:val="21"/>
        </w:rPr>
        <w:t xml:space="preserve"> </w:t>
      </w:r>
      <w:r>
        <w:rPr>
          <w:color w:val="231F20"/>
          <w:sz w:val="21"/>
        </w:rPr>
        <w:t>місті,</w:t>
      </w:r>
      <w:r>
        <w:rPr>
          <w:color w:val="231F20"/>
          <w:spacing w:val="-12"/>
          <w:sz w:val="21"/>
        </w:rPr>
        <w:t xml:space="preserve"> </w:t>
      </w:r>
      <w:r>
        <w:rPr>
          <w:color w:val="231F20"/>
          <w:sz w:val="21"/>
        </w:rPr>
        <w:t>районної,</w:t>
      </w:r>
      <w:r>
        <w:rPr>
          <w:color w:val="231F20"/>
          <w:spacing w:val="-13"/>
          <w:sz w:val="21"/>
        </w:rPr>
        <w:t xml:space="preserve"> </w:t>
      </w:r>
      <w:r>
        <w:rPr>
          <w:color w:val="231F20"/>
          <w:sz w:val="21"/>
        </w:rPr>
        <w:t>обласної</w:t>
      </w:r>
      <w:r>
        <w:rPr>
          <w:color w:val="231F20"/>
          <w:spacing w:val="-12"/>
          <w:sz w:val="21"/>
        </w:rPr>
        <w:t xml:space="preserve"> </w:t>
      </w:r>
      <w:r>
        <w:rPr>
          <w:color w:val="231F20"/>
          <w:sz w:val="21"/>
        </w:rPr>
        <w:t>ради</w:t>
      </w:r>
      <w:r>
        <w:rPr>
          <w:color w:val="231F20"/>
          <w:spacing w:val="-13"/>
          <w:sz w:val="21"/>
        </w:rPr>
        <w:t xml:space="preserve"> </w:t>
      </w:r>
      <w:r>
        <w:rPr>
          <w:color w:val="231F20"/>
          <w:sz w:val="21"/>
        </w:rPr>
        <w:t>вважаються достроково</w:t>
      </w:r>
      <w:r>
        <w:rPr>
          <w:color w:val="231F20"/>
          <w:spacing w:val="-16"/>
          <w:sz w:val="21"/>
        </w:rPr>
        <w:t xml:space="preserve"> </w:t>
      </w:r>
      <w:r>
        <w:rPr>
          <w:color w:val="231F20"/>
          <w:sz w:val="21"/>
        </w:rPr>
        <w:t>припиненими</w:t>
      </w:r>
      <w:r>
        <w:rPr>
          <w:color w:val="231F20"/>
          <w:spacing w:val="-16"/>
          <w:sz w:val="21"/>
        </w:rPr>
        <w:t xml:space="preserve"> </w:t>
      </w:r>
      <w:r>
        <w:rPr>
          <w:color w:val="231F20"/>
          <w:sz w:val="21"/>
        </w:rPr>
        <w:t>в</w:t>
      </w:r>
      <w:r>
        <w:rPr>
          <w:color w:val="231F20"/>
          <w:spacing w:val="-16"/>
          <w:sz w:val="21"/>
        </w:rPr>
        <w:t xml:space="preserve"> </w:t>
      </w:r>
      <w:r>
        <w:rPr>
          <w:color w:val="231F20"/>
          <w:sz w:val="21"/>
        </w:rPr>
        <w:t>разі:</w:t>
      </w:r>
      <w:r>
        <w:rPr>
          <w:color w:val="231F20"/>
          <w:spacing w:val="-16"/>
          <w:sz w:val="21"/>
        </w:rPr>
        <w:t xml:space="preserve"> </w:t>
      </w:r>
      <w:r>
        <w:rPr>
          <w:color w:val="231F20"/>
          <w:sz w:val="21"/>
        </w:rPr>
        <w:t>його</w:t>
      </w:r>
      <w:r>
        <w:rPr>
          <w:color w:val="231F20"/>
          <w:spacing w:val="-16"/>
          <w:sz w:val="21"/>
        </w:rPr>
        <w:t xml:space="preserve"> </w:t>
      </w:r>
      <w:r>
        <w:rPr>
          <w:color w:val="231F20"/>
          <w:sz w:val="21"/>
        </w:rPr>
        <w:t>звернення</w:t>
      </w:r>
      <w:r>
        <w:rPr>
          <w:color w:val="231F20"/>
          <w:spacing w:val="-16"/>
          <w:sz w:val="21"/>
        </w:rPr>
        <w:t xml:space="preserve"> </w:t>
      </w:r>
      <w:r>
        <w:rPr>
          <w:color w:val="231F20"/>
          <w:sz w:val="21"/>
        </w:rPr>
        <w:t>з</w:t>
      </w:r>
      <w:r>
        <w:rPr>
          <w:color w:val="231F20"/>
          <w:spacing w:val="-16"/>
          <w:sz w:val="21"/>
        </w:rPr>
        <w:t xml:space="preserve"> </w:t>
      </w:r>
      <w:r>
        <w:rPr>
          <w:color w:val="231F20"/>
          <w:sz w:val="21"/>
        </w:rPr>
        <w:t>особистою</w:t>
      </w:r>
      <w:r>
        <w:rPr>
          <w:color w:val="231F20"/>
          <w:spacing w:val="-16"/>
          <w:sz w:val="21"/>
        </w:rPr>
        <w:t xml:space="preserve"> </w:t>
      </w:r>
      <w:r>
        <w:rPr>
          <w:color w:val="231F20"/>
          <w:sz w:val="21"/>
        </w:rPr>
        <w:t>заявою до</w:t>
      </w:r>
      <w:r>
        <w:rPr>
          <w:color w:val="231F20"/>
          <w:spacing w:val="-8"/>
          <w:sz w:val="21"/>
        </w:rPr>
        <w:t xml:space="preserve"> </w:t>
      </w:r>
      <w:r>
        <w:rPr>
          <w:color w:val="231F20"/>
          <w:sz w:val="21"/>
        </w:rPr>
        <w:t>відповідної</w:t>
      </w:r>
      <w:r>
        <w:rPr>
          <w:color w:val="231F20"/>
          <w:spacing w:val="-8"/>
          <w:sz w:val="21"/>
        </w:rPr>
        <w:t xml:space="preserve"> </w:t>
      </w:r>
      <w:r>
        <w:rPr>
          <w:color w:val="231F20"/>
          <w:sz w:val="21"/>
        </w:rPr>
        <w:t>ради</w:t>
      </w:r>
      <w:r>
        <w:rPr>
          <w:color w:val="231F20"/>
          <w:spacing w:val="-8"/>
          <w:sz w:val="21"/>
        </w:rPr>
        <w:t xml:space="preserve"> </w:t>
      </w:r>
      <w:r>
        <w:rPr>
          <w:color w:val="231F20"/>
          <w:sz w:val="21"/>
        </w:rPr>
        <w:t>про</w:t>
      </w:r>
      <w:r>
        <w:rPr>
          <w:color w:val="231F20"/>
          <w:spacing w:val="-8"/>
          <w:sz w:val="21"/>
        </w:rPr>
        <w:t xml:space="preserve"> </w:t>
      </w:r>
      <w:r>
        <w:rPr>
          <w:color w:val="231F20"/>
          <w:sz w:val="21"/>
        </w:rPr>
        <w:t>складення</w:t>
      </w:r>
      <w:r>
        <w:rPr>
          <w:color w:val="231F20"/>
          <w:spacing w:val="-8"/>
          <w:sz w:val="21"/>
        </w:rPr>
        <w:t xml:space="preserve"> </w:t>
      </w:r>
      <w:r>
        <w:rPr>
          <w:color w:val="231F20"/>
          <w:sz w:val="21"/>
        </w:rPr>
        <w:t>ним</w:t>
      </w:r>
      <w:r>
        <w:rPr>
          <w:color w:val="231F20"/>
          <w:spacing w:val="-8"/>
          <w:sz w:val="21"/>
        </w:rPr>
        <w:t xml:space="preserve"> </w:t>
      </w:r>
      <w:r>
        <w:rPr>
          <w:color w:val="231F20"/>
          <w:sz w:val="21"/>
        </w:rPr>
        <w:t>повноважень</w:t>
      </w:r>
      <w:r>
        <w:rPr>
          <w:color w:val="231F20"/>
          <w:spacing w:val="-8"/>
          <w:sz w:val="21"/>
        </w:rPr>
        <w:t xml:space="preserve"> </w:t>
      </w:r>
      <w:r>
        <w:rPr>
          <w:color w:val="231F20"/>
          <w:sz w:val="21"/>
        </w:rPr>
        <w:t>голови;</w:t>
      </w:r>
      <w:r>
        <w:rPr>
          <w:color w:val="231F20"/>
          <w:spacing w:val="-8"/>
          <w:sz w:val="21"/>
        </w:rPr>
        <w:t xml:space="preserve"> </w:t>
      </w:r>
      <w:r>
        <w:rPr>
          <w:color w:val="231F20"/>
          <w:sz w:val="21"/>
        </w:rPr>
        <w:t>припи- нення його громадянства; набрання законної сили обвинувальним вироком щодо нього; порушення ним вимог щодо обмеження суміс- ності його д</w:t>
      </w:r>
      <w:r>
        <w:rPr>
          <w:color w:val="231F20"/>
          <w:sz w:val="21"/>
        </w:rPr>
        <w:t xml:space="preserve">іяльності з іншою роботою (діяльністю), установлених Законом; визнання його </w:t>
      </w:r>
      <w:r>
        <w:rPr>
          <w:color w:val="231F20"/>
          <w:spacing w:val="-3"/>
          <w:sz w:val="21"/>
        </w:rPr>
        <w:t xml:space="preserve">судом </w:t>
      </w:r>
      <w:r>
        <w:rPr>
          <w:color w:val="231F20"/>
          <w:sz w:val="21"/>
        </w:rPr>
        <w:t xml:space="preserve">недієздатним, безвісно відсутнім або оголошення таким, що помер; його смерті; порушення Конституції або законів </w:t>
      </w:r>
      <w:r>
        <w:rPr>
          <w:color w:val="231F20"/>
          <w:spacing w:val="-3"/>
          <w:sz w:val="21"/>
        </w:rPr>
        <w:t xml:space="preserve">України, </w:t>
      </w:r>
      <w:r>
        <w:rPr>
          <w:color w:val="231F20"/>
          <w:sz w:val="21"/>
        </w:rPr>
        <w:t>прав і свобод громадян, незабезпечення здійс- нення н</w:t>
      </w:r>
      <w:r>
        <w:rPr>
          <w:color w:val="231F20"/>
          <w:sz w:val="21"/>
        </w:rPr>
        <w:t>аданих йому</w:t>
      </w:r>
      <w:r>
        <w:rPr>
          <w:color w:val="231F20"/>
          <w:spacing w:val="-1"/>
          <w:sz w:val="21"/>
        </w:rPr>
        <w:t xml:space="preserve"> </w:t>
      </w:r>
      <w:r>
        <w:rPr>
          <w:color w:val="231F20"/>
          <w:sz w:val="21"/>
        </w:rPr>
        <w:t>повноважень</w:t>
      </w:r>
      <w:r>
        <w:rPr>
          <w:color w:val="231F20"/>
          <w:position w:val="7"/>
          <w:sz w:val="12"/>
        </w:rPr>
        <w:t>1</w:t>
      </w:r>
      <w:r>
        <w:rPr>
          <w:color w:val="231F20"/>
          <w:sz w:val="21"/>
        </w:rPr>
        <w:t>;</w:t>
      </w:r>
    </w:p>
    <w:p w14:paraId="12BF9EF9" w14:textId="77777777" w:rsidR="00DE575E" w:rsidRDefault="002E7560">
      <w:pPr>
        <w:pStyle w:val="ListParagraph"/>
        <w:numPr>
          <w:ilvl w:val="0"/>
          <w:numId w:val="86"/>
        </w:numPr>
        <w:tabs>
          <w:tab w:val="left" w:pos="818"/>
        </w:tabs>
        <w:spacing w:before="6" w:line="252" w:lineRule="auto"/>
        <w:ind w:right="409" w:firstLine="283"/>
        <w:jc w:val="both"/>
        <w:rPr>
          <w:sz w:val="21"/>
        </w:rPr>
      </w:pPr>
      <w:r>
        <w:rPr>
          <w:color w:val="231F20"/>
          <w:sz w:val="21"/>
        </w:rPr>
        <w:t xml:space="preserve">визначені Законом </w:t>
      </w:r>
      <w:r>
        <w:rPr>
          <w:color w:val="231F20"/>
          <w:spacing w:val="-3"/>
          <w:sz w:val="21"/>
        </w:rPr>
        <w:t xml:space="preserve">України </w:t>
      </w:r>
      <w:r>
        <w:rPr>
          <w:color w:val="231F20"/>
          <w:sz w:val="21"/>
        </w:rPr>
        <w:t xml:space="preserve">«Про службу в органах місцевого самоврядування»: за відмову посадової особи місцевого самовря- дування від складання Присяги </w:t>
      </w:r>
      <w:r>
        <w:rPr>
          <w:color w:val="231F20"/>
          <w:spacing w:val="-5"/>
          <w:sz w:val="21"/>
        </w:rPr>
        <w:t xml:space="preserve">(ст. </w:t>
      </w:r>
      <w:r>
        <w:rPr>
          <w:color w:val="231F20"/>
          <w:sz w:val="21"/>
        </w:rPr>
        <w:t xml:space="preserve">11 Закону); порушення умов реалізації права на службу в органах місцевого </w:t>
      </w:r>
      <w:r>
        <w:rPr>
          <w:color w:val="231F20"/>
          <w:sz w:val="21"/>
        </w:rPr>
        <w:t xml:space="preserve">самоврядування, наприклад, уведення в оману щодо наявності відповідної професій- ної освіти чи підготовки </w:t>
      </w:r>
      <w:r>
        <w:rPr>
          <w:color w:val="231F20"/>
          <w:spacing w:val="-5"/>
          <w:sz w:val="21"/>
        </w:rPr>
        <w:t xml:space="preserve">(ст. </w:t>
      </w:r>
      <w:r>
        <w:rPr>
          <w:color w:val="231F20"/>
          <w:sz w:val="21"/>
        </w:rPr>
        <w:t>5 Закону); неподання відомостей або подання</w:t>
      </w:r>
      <w:r>
        <w:rPr>
          <w:color w:val="231F20"/>
          <w:spacing w:val="-9"/>
          <w:sz w:val="21"/>
        </w:rPr>
        <w:t xml:space="preserve"> </w:t>
      </w:r>
      <w:r>
        <w:rPr>
          <w:color w:val="231F20"/>
          <w:sz w:val="21"/>
        </w:rPr>
        <w:t>посадовою</w:t>
      </w:r>
      <w:r>
        <w:rPr>
          <w:color w:val="231F20"/>
          <w:spacing w:val="-9"/>
          <w:sz w:val="21"/>
        </w:rPr>
        <w:t xml:space="preserve"> </w:t>
      </w:r>
      <w:r>
        <w:rPr>
          <w:color w:val="231F20"/>
          <w:sz w:val="21"/>
        </w:rPr>
        <w:t>особою</w:t>
      </w:r>
      <w:r>
        <w:rPr>
          <w:color w:val="231F20"/>
          <w:spacing w:val="-9"/>
          <w:sz w:val="21"/>
        </w:rPr>
        <w:t xml:space="preserve"> </w:t>
      </w:r>
      <w:r>
        <w:rPr>
          <w:color w:val="231F20"/>
          <w:sz w:val="21"/>
        </w:rPr>
        <w:t>місцевого</w:t>
      </w:r>
      <w:r>
        <w:rPr>
          <w:color w:val="231F20"/>
          <w:spacing w:val="-9"/>
          <w:sz w:val="21"/>
        </w:rPr>
        <w:t xml:space="preserve"> </w:t>
      </w:r>
      <w:r>
        <w:rPr>
          <w:color w:val="231F20"/>
          <w:sz w:val="21"/>
        </w:rPr>
        <w:t>самоврядування</w:t>
      </w:r>
      <w:r>
        <w:rPr>
          <w:color w:val="231F20"/>
          <w:spacing w:val="-9"/>
          <w:sz w:val="21"/>
        </w:rPr>
        <w:t xml:space="preserve"> </w:t>
      </w:r>
      <w:r>
        <w:rPr>
          <w:color w:val="231F20"/>
          <w:sz w:val="21"/>
        </w:rPr>
        <w:t xml:space="preserve">неправдивих відомостей щодо її </w:t>
      </w:r>
      <w:r>
        <w:rPr>
          <w:color w:val="231F20"/>
          <w:spacing w:val="-3"/>
          <w:sz w:val="21"/>
        </w:rPr>
        <w:t xml:space="preserve">доходів </w:t>
      </w:r>
      <w:r>
        <w:rPr>
          <w:color w:val="231F20"/>
          <w:sz w:val="21"/>
        </w:rPr>
        <w:t xml:space="preserve">у встановлений термін </w:t>
      </w:r>
      <w:r>
        <w:rPr>
          <w:color w:val="231F20"/>
          <w:spacing w:val="-5"/>
          <w:sz w:val="21"/>
        </w:rPr>
        <w:t xml:space="preserve">(ст. </w:t>
      </w:r>
      <w:r>
        <w:rPr>
          <w:color w:val="231F20"/>
          <w:sz w:val="21"/>
        </w:rPr>
        <w:t xml:space="preserve">13 Закону); виявлення або виникнення обставин, що перешкоджають перебу- ванню на службі, чи недотримання </w:t>
      </w:r>
      <w:r>
        <w:rPr>
          <w:color w:val="231F20"/>
          <w:spacing w:val="-3"/>
          <w:sz w:val="21"/>
        </w:rPr>
        <w:t xml:space="preserve">вимог, </w:t>
      </w:r>
      <w:r>
        <w:rPr>
          <w:color w:val="231F20"/>
          <w:sz w:val="21"/>
        </w:rPr>
        <w:t>пов’язаних із проходжен- ням</w:t>
      </w:r>
      <w:r>
        <w:rPr>
          <w:color w:val="231F20"/>
          <w:spacing w:val="-12"/>
          <w:sz w:val="21"/>
        </w:rPr>
        <w:t xml:space="preserve"> </w:t>
      </w:r>
      <w:r>
        <w:rPr>
          <w:color w:val="231F20"/>
          <w:sz w:val="21"/>
        </w:rPr>
        <w:t>служби</w:t>
      </w:r>
      <w:r>
        <w:rPr>
          <w:color w:val="231F20"/>
          <w:spacing w:val="-12"/>
          <w:sz w:val="21"/>
        </w:rPr>
        <w:t xml:space="preserve"> </w:t>
      </w:r>
      <w:r>
        <w:rPr>
          <w:color w:val="231F20"/>
          <w:sz w:val="21"/>
        </w:rPr>
        <w:t>в</w:t>
      </w:r>
      <w:r>
        <w:rPr>
          <w:color w:val="231F20"/>
          <w:spacing w:val="-12"/>
          <w:sz w:val="21"/>
        </w:rPr>
        <w:t xml:space="preserve"> </w:t>
      </w:r>
      <w:r>
        <w:rPr>
          <w:color w:val="231F20"/>
          <w:sz w:val="21"/>
        </w:rPr>
        <w:t>органах</w:t>
      </w:r>
      <w:r>
        <w:rPr>
          <w:color w:val="231F20"/>
          <w:spacing w:val="-12"/>
          <w:sz w:val="21"/>
        </w:rPr>
        <w:t xml:space="preserve"> </w:t>
      </w:r>
      <w:r>
        <w:rPr>
          <w:color w:val="231F20"/>
          <w:sz w:val="21"/>
        </w:rPr>
        <w:t>місцевого</w:t>
      </w:r>
      <w:r>
        <w:rPr>
          <w:color w:val="231F20"/>
          <w:spacing w:val="-12"/>
          <w:sz w:val="21"/>
        </w:rPr>
        <w:t xml:space="preserve"> </w:t>
      </w:r>
      <w:r>
        <w:rPr>
          <w:color w:val="231F20"/>
          <w:sz w:val="21"/>
        </w:rPr>
        <w:t>самоврядування,</w:t>
      </w:r>
      <w:r>
        <w:rPr>
          <w:color w:val="231F20"/>
          <w:spacing w:val="-12"/>
          <w:sz w:val="21"/>
        </w:rPr>
        <w:t xml:space="preserve"> </w:t>
      </w:r>
      <w:r>
        <w:rPr>
          <w:color w:val="231F20"/>
          <w:sz w:val="21"/>
        </w:rPr>
        <w:t>зокрема:</w:t>
      </w:r>
      <w:r>
        <w:rPr>
          <w:color w:val="231F20"/>
          <w:spacing w:val="-12"/>
          <w:sz w:val="21"/>
        </w:rPr>
        <w:t xml:space="preserve"> </w:t>
      </w:r>
      <w:r>
        <w:rPr>
          <w:color w:val="231F20"/>
          <w:sz w:val="21"/>
        </w:rPr>
        <w:t xml:space="preserve">визнання особи недієздатною </w:t>
      </w:r>
      <w:r>
        <w:rPr>
          <w:color w:val="231F20"/>
          <w:spacing w:val="-5"/>
          <w:sz w:val="21"/>
        </w:rPr>
        <w:t xml:space="preserve">(ст. </w:t>
      </w:r>
      <w:r>
        <w:rPr>
          <w:color w:val="231F20"/>
          <w:sz w:val="21"/>
        </w:rPr>
        <w:t xml:space="preserve">12 </w:t>
      </w:r>
      <w:r>
        <w:rPr>
          <w:color w:val="231F20"/>
          <w:sz w:val="21"/>
        </w:rPr>
        <w:t xml:space="preserve">Закону); досягнення посадовою особою місцевого самоврядування граничного віку перебування на службі в органах місцевого самоврядування </w:t>
      </w:r>
      <w:r>
        <w:rPr>
          <w:color w:val="231F20"/>
          <w:spacing w:val="-5"/>
          <w:sz w:val="21"/>
        </w:rPr>
        <w:t xml:space="preserve">(ст. </w:t>
      </w:r>
      <w:r>
        <w:rPr>
          <w:color w:val="231F20"/>
          <w:sz w:val="21"/>
        </w:rPr>
        <w:t>18</w:t>
      </w:r>
      <w:r>
        <w:rPr>
          <w:color w:val="231F20"/>
          <w:spacing w:val="-4"/>
          <w:sz w:val="21"/>
        </w:rPr>
        <w:t xml:space="preserve"> </w:t>
      </w:r>
      <w:r>
        <w:rPr>
          <w:color w:val="231F20"/>
          <w:sz w:val="21"/>
        </w:rPr>
        <w:t>Закону)</w:t>
      </w:r>
      <w:r>
        <w:rPr>
          <w:color w:val="231F20"/>
          <w:position w:val="7"/>
          <w:sz w:val="12"/>
        </w:rPr>
        <w:t>2</w:t>
      </w:r>
      <w:r>
        <w:rPr>
          <w:color w:val="231F20"/>
          <w:sz w:val="21"/>
        </w:rPr>
        <w:t>.</w:t>
      </w:r>
    </w:p>
    <w:p w14:paraId="5C427240" w14:textId="77777777" w:rsidR="00DE575E" w:rsidRDefault="002E7560">
      <w:pPr>
        <w:pStyle w:val="BodyText"/>
        <w:spacing w:before="7" w:line="252" w:lineRule="auto"/>
        <w:ind w:left="250" w:right="410" w:firstLine="283"/>
        <w:jc w:val="both"/>
      </w:pPr>
      <w:r>
        <w:rPr>
          <w:color w:val="231F20"/>
        </w:rPr>
        <w:t>Окрім того в Законі «Про службу в органах місцевого самовря- дування» зазначено, що посадові особи місц</w:t>
      </w:r>
      <w:r>
        <w:rPr>
          <w:color w:val="231F20"/>
        </w:rPr>
        <w:t>евого самоврядування,</w:t>
      </w:r>
    </w:p>
    <w:p w14:paraId="7C25D923" w14:textId="77777777" w:rsidR="00DE575E" w:rsidRDefault="00DE575E">
      <w:pPr>
        <w:pStyle w:val="BodyText"/>
        <w:rPr>
          <w:sz w:val="20"/>
        </w:rPr>
      </w:pPr>
    </w:p>
    <w:p w14:paraId="53081664" w14:textId="1025F052" w:rsidR="00DE575E" w:rsidRDefault="002E7560">
      <w:pPr>
        <w:pStyle w:val="BodyText"/>
        <w:spacing w:before="3"/>
        <w:rPr>
          <w:sz w:val="10"/>
        </w:rPr>
      </w:pPr>
      <w:r>
        <w:rPr>
          <w:noProof/>
        </w:rPr>
        <mc:AlternateContent>
          <mc:Choice Requires="wps">
            <w:drawing>
              <wp:anchor distT="0" distB="0" distL="0" distR="0" simplePos="0" relativeHeight="15832" behindDoc="0" locked="0" layoutInCell="1" allowOverlap="1" wp14:anchorId="23854140" wp14:editId="62667867">
                <wp:simplePos x="0" y="0"/>
                <wp:positionH relativeFrom="page">
                  <wp:posOffset>539750</wp:posOffset>
                </wp:positionH>
                <wp:positionV relativeFrom="paragraph">
                  <wp:posOffset>104775</wp:posOffset>
                </wp:positionV>
                <wp:extent cx="1080135" cy="0"/>
                <wp:effectExtent l="6350" t="15875" r="31115" b="22225"/>
                <wp:wrapTopAndBottom/>
                <wp:docPr id="38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304AA" id="Line_x0020_388" o:spid="_x0000_s1026" style="position:absolute;z-index:15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25pt" to="127.55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" strokecolor="#231f20" strokeweight=".5pt">
                <w10:wrap type="topAndBottom" anchorx="page"/>
              </v:line>
            </w:pict>
          </mc:Fallback>
        </mc:AlternateContent>
      </w:r>
    </w:p>
    <w:p w14:paraId="784FCBC6" w14:textId="77777777" w:rsidR="00DE575E" w:rsidRDefault="002E7560">
      <w:pPr>
        <w:spacing w:line="162" w:lineRule="exact"/>
        <w:ind w:left="250"/>
        <w:rPr>
          <w:sz w:val="16"/>
        </w:rPr>
      </w:pPr>
      <w:r>
        <w:rPr>
          <w:color w:val="231F20"/>
          <w:position w:val="5"/>
          <w:sz w:val="9"/>
        </w:rPr>
        <w:t xml:space="preserve">1 </w:t>
      </w:r>
      <w:r>
        <w:rPr>
          <w:color w:val="231F20"/>
          <w:sz w:val="16"/>
        </w:rPr>
        <w:t>Про місцеве самоврядування в Україні : Там само.</w:t>
      </w:r>
    </w:p>
    <w:p w14:paraId="284955C7" w14:textId="77777777" w:rsidR="00DE575E" w:rsidRDefault="002E7560">
      <w:pPr>
        <w:ind w:left="250"/>
        <w:rPr>
          <w:sz w:val="16"/>
        </w:rPr>
      </w:pPr>
      <w:r>
        <w:rPr>
          <w:color w:val="231F20"/>
          <w:position w:val="5"/>
          <w:sz w:val="9"/>
        </w:rPr>
        <w:t xml:space="preserve">2 </w:t>
      </w:r>
      <w:r>
        <w:rPr>
          <w:color w:val="231F20"/>
          <w:sz w:val="16"/>
        </w:rPr>
        <w:t>Про службу в органах місцевого самоврядування: Там само.</w:t>
      </w:r>
    </w:p>
    <w:p w14:paraId="206C8E09" w14:textId="77777777" w:rsidR="00DE575E" w:rsidRDefault="00DE575E">
      <w:pPr>
        <w:pStyle w:val="BodyText"/>
        <w:spacing w:before="11"/>
        <w:rPr>
          <w:sz w:val="11"/>
        </w:rPr>
      </w:pPr>
    </w:p>
    <w:p w14:paraId="7F91A178" w14:textId="77777777" w:rsidR="00DE575E" w:rsidRDefault="002E7560">
      <w:pPr>
        <w:spacing w:before="92"/>
        <w:ind w:right="411"/>
        <w:jc w:val="right"/>
        <w:rPr>
          <w:rFonts w:ascii="Times New Roman"/>
          <w:sz w:val="20"/>
        </w:rPr>
      </w:pPr>
      <w:r>
        <w:rPr>
          <w:rFonts w:ascii="Times New Roman"/>
          <w:color w:val="231F20"/>
          <w:w w:val="90"/>
          <w:sz w:val="20"/>
        </w:rPr>
        <w:t>403</w:t>
      </w:r>
    </w:p>
    <w:p w14:paraId="10EC6D4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9284FC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A892DC0" w14:textId="2F8B6FA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A2504CC" wp14:editId="5D054DED">
                <wp:extent cx="4140200" cy="6350"/>
                <wp:effectExtent l="0" t="0" r="12700" b="6350"/>
                <wp:docPr id="38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88" name="Line 3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83D384" id="Group_x0020_3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PpJ3zgAIAAJgFAAAO&#10;AAAAAAAAAAAAAAAAACwCAABkcnMvZTJvRG9jLnhtbFBLAQItABQABgAIAAAAIQBMp7CQ2QAAAAMB&#10;AAAPAAAAAAAAAAAAAAAAANgEAABkcnMvZG93bnJldi54bWxQSwUGAAAAAAQABADzAAAA3gUAAAAA&#10;">
                <v:line id="Line_x0020_3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oyMIAAADcAAAADwAAAGRycy9kb3ducmV2LnhtbERP3WrCMBS+H/gO4Qi7GZpuhSHVKCIM&#10;xAt11gc4Nse2mJzUJtpuT28uBC8/vv/ZordG3Kn1tWMFn+MEBHHhdM2lgmP+M5qA8AFZo3FMCv7I&#10;w2I+eJthpl3Hv3Q/hFLEEPYZKqhCaDIpfVGRRT92DXHkzq61GCJsS6lb7GK4NfIrSb6lxZpjQ4UN&#10;rSoqLoebVZBfP4LZ7zamy3enVJ6u2/T/tlXqfdgvpyAC9eElfrrXWkE6iWvjmXgE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UoyMIAAADcAAAADwAAAAAAAAAAAAAA&#10;AAChAgAAZHJzL2Rvd25yZXYueG1sUEsFBgAAAAAEAAQA+QAAAJADAAAAAA==&#10;" strokecolor="#231f20" strokeweight=".5pt"/>
                <w10:anchorlock/>
              </v:group>
            </w:pict>
          </mc:Fallback>
        </mc:AlternateContent>
      </w:r>
    </w:p>
    <w:p w14:paraId="7BAD223F" w14:textId="77777777" w:rsidR="00DE575E" w:rsidRDefault="00DE575E">
      <w:pPr>
        <w:pStyle w:val="BodyText"/>
        <w:spacing w:before="7"/>
        <w:rPr>
          <w:rFonts w:ascii="AdonisC"/>
          <w:i/>
          <w:sz w:val="11"/>
        </w:rPr>
      </w:pPr>
    </w:p>
    <w:p w14:paraId="3C07C2B3" w14:textId="77777777" w:rsidR="00DE575E" w:rsidRDefault="002E7560">
      <w:pPr>
        <w:pStyle w:val="BodyText"/>
        <w:spacing w:before="101" w:line="252" w:lineRule="auto"/>
        <w:ind w:left="533" w:right="128"/>
        <w:jc w:val="both"/>
      </w:pPr>
      <w:r>
        <w:rPr>
          <w:color w:val="231F20"/>
        </w:rPr>
        <w:t xml:space="preserve">яких притягнуто до відповідальності за корупційні правопору- шення або стосовно яких набрало законної сили рішення </w:t>
      </w:r>
      <w:r>
        <w:rPr>
          <w:color w:val="231F20"/>
          <w:spacing w:val="-4"/>
        </w:rPr>
        <w:t xml:space="preserve">суду </w:t>
      </w:r>
      <w:r>
        <w:rPr>
          <w:color w:val="231F20"/>
        </w:rPr>
        <w:t>щодо визнання</w:t>
      </w:r>
      <w:r>
        <w:rPr>
          <w:color w:val="231F20"/>
          <w:spacing w:val="-10"/>
        </w:rPr>
        <w:t xml:space="preserve"> </w:t>
      </w:r>
      <w:r>
        <w:rPr>
          <w:color w:val="231F20"/>
        </w:rPr>
        <w:t>активів</w:t>
      </w:r>
      <w:r>
        <w:rPr>
          <w:color w:val="231F20"/>
          <w:spacing w:val="-10"/>
        </w:rPr>
        <w:t xml:space="preserve"> </w:t>
      </w:r>
      <w:r>
        <w:rPr>
          <w:color w:val="231F20"/>
        </w:rPr>
        <w:t>необґрунтованими,</w:t>
      </w:r>
      <w:r>
        <w:rPr>
          <w:color w:val="231F20"/>
          <w:spacing w:val="-10"/>
        </w:rPr>
        <w:t xml:space="preserve"> </w:t>
      </w:r>
      <w:r>
        <w:rPr>
          <w:color w:val="231F20"/>
        </w:rPr>
        <w:t>також</w:t>
      </w:r>
      <w:r>
        <w:rPr>
          <w:color w:val="231F20"/>
          <w:spacing w:val="-10"/>
        </w:rPr>
        <w:t xml:space="preserve"> </w:t>
      </w:r>
      <w:r>
        <w:rPr>
          <w:color w:val="231F20"/>
        </w:rPr>
        <w:t>підлягають</w:t>
      </w:r>
      <w:r>
        <w:rPr>
          <w:color w:val="231F20"/>
          <w:spacing w:val="-10"/>
        </w:rPr>
        <w:t xml:space="preserve"> </w:t>
      </w:r>
      <w:r>
        <w:rPr>
          <w:color w:val="231F20"/>
        </w:rPr>
        <w:t xml:space="preserve">звільненню з посади </w:t>
      </w:r>
      <w:r>
        <w:rPr>
          <w:color w:val="231F20"/>
          <w:spacing w:val="-5"/>
        </w:rPr>
        <w:t>(ст.</w:t>
      </w:r>
      <w:r>
        <w:rPr>
          <w:color w:val="231F20"/>
          <w:spacing w:val="-6"/>
        </w:rPr>
        <w:t xml:space="preserve"> </w:t>
      </w:r>
      <w:r>
        <w:rPr>
          <w:color w:val="231F20"/>
        </w:rPr>
        <w:t>20).</w:t>
      </w:r>
    </w:p>
    <w:p w14:paraId="10C51197" w14:textId="77777777" w:rsidR="00DE575E" w:rsidRDefault="002E7560">
      <w:pPr>
        <w:pStyle w:val="BodyText"/>
        <w:spacing w:before="2" w:line="252" w:lineRule="auto"/>
        <w:ind w:left="533" w:right="125" w:firstLine="283"/>
        <w:jc w:val="both"/>
      </w:pPr>
      <w:r>
        <w:rPr>
          <w:color w:val="231F20"/>
        </w:rPr>
        <w:t xml:space="preserve">Рішення про </w:t>
      </w:r>
      <w:r>
        <w:rPr>
          <w:color w:val="231F20"/>
        </w:rPr>
        <w:t>припинення служби в органах місцевого</w:t>
      </w:r>
      <w:r>
        <w:rPr>
          <w:color w:val="231F20"/>
          <w:spacing w:val="-22"/>
        </w:rPr>
        <w:t xml:space="preserve"> </w:t>
      </w:r>
      <w:r>
        <w:rPr>
          <w:color w:val="231F20"/>
        </w:rPr>
        <w:t>самовряду- вання може бути оскаржено посадовою особою місцевого самовря- дування у порядку адміністративного судочинства. Своєю чергою перевибори сільських, селищних, міських голів, зміна керівників органів місцевого с</w:t>
      </w:r>
      <w:r>
        <w:rPr>
          <w:color w:val="231F20"/>
        </w:rPr>
        <w:t>амоврядування не є підставою для припинення служби посадовими особами виконавчих органів рад, їх секретаріа- тів, крім працівників патронатної</w:t>
      </w:r>
      <w:r>
        <w:rPr>
          <w:color w:val="231F20"/>
          <w:spacing w:val="-4"/>
        </w:rPr>
        <w:t xml:space="preserve"> </w:t>
      </w:r>
      <w:r>
        <w:rPr>
          <w:color w:val="231F20"/>
        </w:rPr>
        <w:t>служби.</w:t>
      </w:r>
    </w:p>
    <w:p w14:paraId="7340890C" w14:textId="77777777" w:rsidR="00DE575E" w:rsidRDefault="00DE575E">
      <w:pPr>
        <w:pStyle w:val="BodyText"/>
        <w:rPr>
          <w:sz w:val="24"/>
        </w:rPr>
      </w:pPr>
    </w:p>
    <w:p w14:paraId="0DD67E3C" w14:textId="77777777" w:rsidR="00DE575E" w:rsidRDefault="00DE575E">
      <w:pPr>
        <w:pStyle w:val="BodyText"/>
        <w:spacing w:before="5"/>
        <w:rPr>
          <w:sz w:val="20"/>
        </w:rPr>
      </w:pPr>
    </w:p>
    <w:p w14:paraId="78B5746C" w14:textId="77777777" w:rsidR="00DE575E" w:rsidRDefault="002E7560">
      <w:pPr>
        <w:ind w:left="2281"/>
        <w:rPr>
          <w:b/>
          <w:sz w:val="21"/>
        </w:rPr>
      </w:pPr>
      <w:r>
        <w:rPr>
          <w:b/>
          <w:color w:val="231F20"/>
          <w:sz w:val="21"/>
        </w:rPr>
        <w:t>Питання контролю засвоєння</w:t>
      </w:r>
    </w:p>
    <w:p w14:paraId="64404F04" w14:textId="77777777" w:rsidR="00DE575E" w:rsidRDefault="00DE575E">
      <w:pPr>
        <w:pStyle w:val="BodyText"/>
        <w:spacing w:before="2"/>
        <w:rPr>
          <w:b/>
          <w:sz w:val="23"/>
        </w:rPr>
      </w:pPr>
    </w:p>
    <w:p w14:paraId="122428FE" w14:textId="77777777" w:rsidR="00DE575E" w:rsidRDefault="002E7560">
      <w:pPr>
        <w:pStyle w:val="ListParagraph"/>
        <w:numPr>
          <w:ilvl w:val="0"/>
          <w:numId w:val="85"/>
        </w:numPr>
        <w:tabs>
          <w:tab w:val="left" w:pos="1101"/>
        </w:tabs>
        <w:spacing w:before="0" w:line="252" w:lineRule="auto"/>
        <w:ind w:right="128" w:firstLine="284"/>
        <w:jc w:val="both"/>
        <w:rPr>
          <w:sz w:val="21"/>
        </w:rPr>
      </w:pPr>
      <w:r>
        <w:rPr>
          <w:color w:val="231F20"/>
          <w:sz w:val="21"/>
        </w:rPr>
        <w:t>Визначте види посад в органах місцевого самоврядування.</w:t>
      </w:r>
      <w:r>
        <w:rPr>
          <w:color w:val="231F20"/>
          <w:spacing w:val="-28"/>
          <w:sz w:val="21"/>
        </w:rPr>
        <w:t xml:space="preserve"> </w:t>
      </w:r>
      <w:r>
        <w:rPr>
          <w:color w:val="231F20"/>
          <w:sz w:val="21"/>
        </w:rPr>
        <w:t>Від чого залежить їх</w:t>
      </w:r>
      <w:r>
        <w:rPr>
          <w:color w:val="231F20"/>
          <w:spacing w:val="-2"/>
          <w:sz w:val="21"/>
        </w:rPr>
        <w:t xml:space="preserve"> </w:t>
      </w:r>
      <w:r>
        <w:rPr>
          <w:color w:val="231F20"/>
          <w:sz w:val="21"/>
        </w:rPr>
        <w:t>класифікація?</w:t>
      </w:r>
    </w:p>
    <w:p w14:paraId="10455844" w14:textId="77777777" w:rsidR="00DE575E" w:rsidRDefault="002E7560">
      <w:pPr>
        <w:pStyle w:val="ListParagraph"/>
        <w:numPr>
          <w:ilvl w:val="0"/>
          <w:numId w:val="85"/>
        </w:numPr>
        <w:tabs>
          <w:tab w:val="left" w:pos="1101"/>
        </w:tabs>
        <w:spacing w:line="252" w:lineRule="auto"/>
        <w:ind w:right="129" w:firstLine="284"/>
        <w:jc w:val="both"/>
        <w:rPr>
          <w:sz w:val="21"/>
        </w:rPr>
      </w:pPr>
      <w:r>
        <w:rPr>
          <w:color w:val="231F20"/>
          <w:sz w:val="21"/>
        </w:rPr>
        <w:t>Визначте складові правового статусу посадової особи органу місцевого самоврядування.</w:t>
      </w:r>
    </w:p>
    <w:p w14:paraId="4F57E0D3" w14:textId="77777777" w:rsidR="00DE575E" w:rsidRDefault="002E7560">
      <w:pPr>
        <w:pStyle w:val="ListParagraph"/>
        <w:numPr>
          <w:ilvl w:val="0"/>
          <w:numId w:val="85"/>
        </w:numPr>
        <w:tabs>
          <w:tab w:val="left" w:pos="1101"/>
        </w:tabs>
        <w:spacing w:line="252" w:lineRule="auto"/>
        <w:ind w:right="128" w:firstLine="284"/>
        <w:jc w:val="both"/>
        <w:rPr>
          <w:sz w:val="21"/>
        </w:rPr>
      </w:pPr>
      <w:r>
        <w:rPr>
          <w:color w:val="231F20"/>
          <w:sz w:val="21"/>
        </w:rPr>
        <w:t>Які способи заміщення вакантних посад в органах місцевого самоврядування передбачено</w:t>
      </w:r>
      <w:r>
        <w:rPr>
          <w:color w:val="231F20"/>
          <w:spacing w:val="-2"/>
          <w:sz w:val="21"/>
        </w:rPr>
        <w:t xml:space="preserve"> </w:t>
      </w:r>
      <w:r>
        <w:rPr>
          <w:color w:val="231F20"/>
          <w:sz w:val="21"/>
        </w:rPr>
        <w:t>законодавством?</w:t>
      </w:r>
    </w:p>
    <w:p w14:paraId="7958DA5D" w14:textId="77777777" w:rsidR="00DE575E" w:rsidRDefault="002E7560">
      <w:pPr>
        <w:pStyle w:val="ListParagraph"/>
        <w:numPr>
          <w:ilvl w:val="0"/>
          <w:numId w:val="85"/>
        </w:numPr>
        <w:tabs>
          <w:tab w:val="left" w:pos="1101"/>
        </w:tabs>
        <w:spacing w:line="252" w:lineRule="auto"/>
        <w:ind w:right="128" w:firstLine="284"/>
        <w:jc w:val="both"/>
        <w:rPr>
          <w:sz w:val="21"/>
        </w:rPr>
      </w:pPr>
      <w:r>
        <w:rPr>
          <w:color w:val="231F20"/>
          <w:sz w:val="21"/>
        </w:rPr>
        <w:t>Визначте поняття та склад дисциплінарного проступку поса- дової особи органу місцевого</w:t>
      </w:r>
      <w:r>
        <w:rPr>
          <w:color w:val="231F20"/>
          <w:spacing w:val="-2"/>
          <w:sz w:val="21"/>
        </w:rPr>
        <w:t xml:space="preserve"> </w:t>
      </w:r>
      <w:r>
        <w:rPr>
          <w:color w:val="231F20"/>
          <w:sz w:val="21"/>
        </w:rPr>
        <w:t>самоврядування.</w:t>
      </w:r>
    </w:p>
    <w:p w14:paraId="60BE0836" w14:textId="77777777" w:rsidR="00DE575E" w:rsidRDefault="002E7560">
      <w:pPr>
        <w:pStyle w:val="ListParagraph"/>
        <w:numPr>
          <w:ilvl w:val="0"/>
          <w:numId w:val="85"/>
        </w:numPr>
        <w:tabs>
          <w:tab w:val="left" w:pos="1101"/>
        </w:tabs>
        <w:spacing w:line="252" w:lineRule="auto"/>
        <w:ind w:right="127" w:firstLine="284"/>
        <w:jc w:val="both"/>
        <w:rPr>
          <w:sz w:val="21"/>
        </w:rPr>
      </w:pPr>
      <w:r>
        <w:rPr>
          <w:color w:val="231F20"/>
          <w:sz w:val="21"/>
        </w:rPr>
        <w:t>Які види відпусток передбачено нормами законодавства для посадових осіб органів місцевого самоврядування?</w:t>
      </w:r>
    </w:p>
    <w:p w14:paraId="754DE524" w14:textId="77777777" w:rsidR="00DE575E" w:rsidRDefault="002E7560">
      <w:pPr>
        <w:pStyle w:val="ListParagraph"/>
        <w:numPr>
          <w:ilvl w:val="0"/>
          <w:numId w:val="85"/>
        </w:numPr>
        <w:tabs>
          <w:tab w:val="left" w:pos="1101"/>
        </w:tabs>
        <w:spacing w:line="252" w:lineRule="auto"/>
        <w:ind w:right="128" w:firstLine="284"/>
        <w:jc w:val="both"/>
        <w:rPr>
          <w:sz w:val="21"/>
        </w:rPr>
      </w:pPr>
      <w:r>
        <w:rPr>
          <w:color w:val="231F20"/>
          <w:sz w:val="21"/>
        </w:rPr>
        <w:t>Визначте підстави припинення служби в органах м</w:t>
      </w:r>
      <w:r>
        <w:rPr>
          <w:color w:val="231F20"/>
          <w:sz w:val="21"/>
        </w:rPr>
        <w:t>ісцевого самоврядування, що закріплені в Законі «Про службу в органах місцевого самоврядування.</w:t>
      </w:r>
    </w:p>
    <w:p w14:paraId="485C9B00" w14:textId="77777777" w:rsidR="00DE575E" w:rsidRDefault="00DE575E">
      <w:pPr>
        <w:pStyle w:val="BodyText"/>
        <w:spacing w:before="3"/>
        <w:rPr>
          <w:sz w:val="22"/>
        </w:rPr>
      </w:pPr>
    </w:p>
    <w:p w14:paraId="23B331D5" w14:textId="77777777" w:rsidR="00DE575E" w:rsidRDefault="002E7560">
      <w:pPr>
        <w:pStyle w:val="Heading5"/>
        <w:ind w:left="1778"/>
      </w:pPr>
      <w:r>
        <w:rPr>
          <w:color w:val="231F20"/>
        </w:rPr>
        <w:t>Література для поглибленого вивчення</w:t>
      </w:r>
    </w:p>
    <w:p w14:paraId="2C8B8242" w14:textId="77777777" w:rsidR="00DE575E" w:rsidRDefault="00DE575E">
      <w:pPr>
        <w:pStyle w:val="BodyText"/>
        <w:spacing w:before="2"/>
        <w:rPr>
          <w:b/>
          <w:sz w:val="23"/>
        </w:rPr>
      </w:pPr>
    </w:p>
    <w:p w14:paraId="7F10FB8F" w14:textId="77777777" w:rsidR="00DE575E" w:rsidRDefault="002E7560">
      <w:pPr>
        <w:pStyle w:val="ListParagraph"/>
        <w:numPr>
          <w:ilvl w:val="0"/>
          <w:numId w:val="84"/>
        </w:numPr>
        <w:tabs>
          <w:tab w:val="left" w:pos="1101"/>
        </w:tabs>
        <w:spacing w:before="0" w:line="252" w:lineRule="auto"/>
        <w:ind w:right="120" w:firstLine="284"/>
        <w:jc w:val="both"/>
        <w:rPr>
          <w:sz w:val="21"/>
        </w:rPr>
      </w:pPr>
      <w:r>
        <w:rPr>
          <w:color w:val="231F20"/>
          <w:sz w:val="21"/>
        </w:rPr>
        <w:t xml:space="preserve">Муніципальне право </w:t>
      </w:r>
      <w:r>
        <w:rPr>
          <w:color w:val="231F20"/>
          <w:spacing w:val="-3"/>
          <w:sz w:val="21"/>
        </w:rPr>
        <w:t xml:space="preserve">України. </w:t>
      </w:r>
      <w:r>
        <w:rPr>
          <w:color w:val="231F20"/>
          <w:sz w:val="21"/>
        </w:rPr>
        <w:t xml:space="preserve">URL: https://pidruchniki. </w:t>
      </w:r>
      <w:r>
        <w:rPr>
          <w:color w:val="231F20"/>
          <w:spacing w:val="8"/>
          <w:sz w:val="21"/>
        </w:rPr>
        <w:t xml:space="preserve">com/15950210/pravo/pripinennya_sluzhbi_organah_mistsevogo_ </w:t>
      </w:r>
      <w:r>
        <w:rPr>
          <w:color w:val="231F20"/>
          <w:spacing w:val="-3"/>
          <w:sz w:val="21"/>
        </w:rPr>
        <w:t>samovrya</w:t>
      </w:r>
      <w:r>
        <w:rPr>
          <w:color w:val="231F20"/>
          <w:spacing w:val="-3"/>
          <w:sz w:val="21"/>
        </w:rPr>
        <w:t>duvannya</w:t>
      </w:r>
    </w:p>
    <w:p w14:paraId="498F9822" w14:textId="77777777" w:rsidR="00DE575E" w:rsidRDefault="002E7560">
      <w:pPr>
        <w:pStyle w:val="ListParagraph"/>
        <w:numPr>
          <w:ilvl w:val="0"/>
          <w:numId w:val="84"/>
        </w:numPr>
        <w:tabs>
          <w:tab w:val="left" w:pos="1101"/>
        </w:tabs>
        <w:spacing w:before="2" w:line="252" w:lineRule="auto"/>
        <w:ind w:right="128" w:firstLine="284"/>
        <w:jc w:val="both"/>
        <w:rPr>
          <w:sz w:val="21"/>
        </w:rPr>
      </w:pPr>
      <w:r>
        <w:rPr>
          <w:color w:val="231F20"/>
          <w:sz w:val="21"/>
        </w:rPr>
        <w:t>Федченко Л. Служба в ОМС : прийняття та звільнення. Мето- дичні рекомендації та зразки документів. Київ. 2018. 43 с. URL: https://decentralization.gov.ua/uploads/library/file/187/Методичка_ служба_в_ОМС_final.pdf</w:t>
      </w:r>
    </w:p>
    <w:p w14:paraId="24CC1B82" w14:textId="77777777" w:rsidR="00DE575E" w:rsidRDefault="00DE575E">
      <w:pPr>
        <w:pStyle w:val="BodyText"/>
        <w:rPr>
          <w:sz w:val="20"/>
        </w:rPr>
      </w:pPr>
    </w:p>
    <w:p w14:paraId="454804D2" w14:textId="77777777" w:rsidR="00DE575E" w:rsidRDefault="00DE575E">
      <w:pPr>
        <w:pStyle w:val="BodyText"/>
        <w:spacing w:before="5"/>
        <w:rPr>
          <w:sz w:val="22"/>
        </w:rPr>
      </w:pPr>
    </w:p>
    <w:p w14:paraId="76EDC7C6" w14:textId="77777777" w:rsidR="00DE575E" w:rsidRDefault="002E7560">
      <w:pPr>
        <w:ind w:left="533"/>
        <w:rPr>
          <w:rFonts w:ascii="Times New Roman"/>
          <w:sz w:val="20"/>
        </w:rPr>
      </w:pPr>
      <w:r>
        <w:rPr>
          <w:rFonts w:ascii="Times New Roman"/>
          <w:color w:val="231F20"/>
          <w:sz w:val="20"/>
        </w:rPr>
        <w:t>404</w:t>
      </w:r>
    </w:p>
    <w:p w14:paraId="1B15EED1" w14:textId="77777777" w:rsidR="00DE575E" w:rsidRDefault="00DE575E">
      <w:pPr>
        <w:rPr>
          <w:rFonts w:ascii="Times New Roman"/>
          <w:sz w:val="20"/>
        </w:rPr>
        <w:sectPr w:rsidR="00DE575E">
          <w:pgSz w:w="8510" w:h="12760"/>
          <w:pgMar w:top="660" w:right="720" w:bottom="280" w:left="600" w:header="720" w:footer="720" w:gutter="0"/>
          <w:cols w:space="720"/>
        </w:sectPr>
      </w:pPr>
    </w:p>
    <w:p w14:paraId="33779361"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0D5DC6B5" w14:textId="1CD50A4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4614D7D" wp14:editId="4837B985">
                <wp:extent cx="4140200" cy="6350"/>
                <wp:effectExtent l="0" t="0" r="12700" b="6350"/>
                <wp:docPr id="38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86" name="Line 3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276AB4" id="Group_x0020_3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GwBcr1/AgAAmAUAAA4A&#10;AAAAAAAAAAAAAAAALAIAAGRycy9lMm9Eb2MueG1sUEsBAi0AFAAGAAgAAAAhAEynsJDZAAAAAwEA&#10;AA8AAAAAAAAAAAAAAAAA1wQAAGRycy9kb3ducmV2LnhtbFBLBQYAAAAABAAEAPMAAADdBQAAAAA=&#10;">
                <v:line id="Line_x0020_3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YZIcYAAADcAAAADwAAAGRycy9kb3ducmV2LnhtbESP0WrCQBRE34X+w3ILvohu2oBIdJUi&#10;CKUPWo0fcM1ek9DduzG7mtiv7xYEH4eZOcMsVr014katrx0reJskIIgLp2suFRzzzXgGwgdkjcYx&#10;KbiTh9XyZbDATLuO93Q7hFJECPsMFVQhNJmUvqjIop+4hjh6Z9daDFG2pdQtdhFujXxPkqm0WHNc&#10;qLChdUXFz+FqFeSXUTDfuy/T5btTKk+Xbfp73So1fO0/5iAC9eEZfrQ/tYJ0NoX/M/EI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2GSHGAAAA3AAAAA8AAAAAAAAA&#10;AAAAAAAAoQIAAGRycy9kb3ducmV2LnhtbFBLBQYAAAAABAAEAPkAAACUAwAAAAA=&#10;" strokecolor="#231f20" strokeweight=".5pt"/>
                <w10:anchorlock/>
              </v:group>
            </w:pict>
          </mc:Fallback>
        </mc:AlternateContent>
      </w:r>
    </w:p>
    <w:p w14:paraId="619CD8C1" w14:textId="77777777" w:rsidR="00DE575E" w:rsidRDefault="00DE575E">
      <w:pPr>
        <w:pStyle w:val="BodyText"/>
        <w:spacing w:before="6"/>
        <w:rPr>
          <w:rFonts w:ascii="AdonisC"/>
          <w:i/>
          <w:sz w:val="18"/>
        </w:rPr>
      </w:pPr>
    </w:p>
    <w:p w14:paraId="59345D7F" w14:textId="77777777" w:rsidR="00DE575E" w:rsidRDefault="002E7560">
      <w:pPr>
        <w:pStyle w:val="Heading2"/>
        <w:spacing w:line="314" w:lineRule="exact"/>
        <w:ind w:left="497" w:right="658"/>
        <w:jc w:val="center"/>
      </w:pPr>
      <w:r>
        <w:rPr>
          <w:color w:val="231F20"/>
        </w:rPr>
        <w:t>Розділ 4</w:t>
      </w:r>
    </w:p>
    <w:p w14:paraId="48F3B4DE" w14:textId="77777777" w:rsidR="00DE575E" w:rsidRDefault="002E7560">
      <w:pPr>
        <w:spacing w:before="10" w:line="218" w:lineRule="auto"/>
        <w:ind w:left="761" w:right="923"/>
        <w:jc w:val="center"/>
        <w:rPr>
          <w:b/>
          <w:sz w:val="16"/>
        </w:rPr>
      </w:pPr>
      <w:r>
        <w:rPr>
          <w:b/>
          <w:color w:val="231F20"/>
          <w:sz w:val="28"/>
        </w:rPr>
        <w:t>ЗАПОБІГАННЯ КОРУПЦІЙНИМ ПРОЯВАМ У ПУБЛІЧНІЙ СЛУЖБІ</w:t>
      </w:r>
      <w:r>
        <w:rPr>
          <w:b/>
          <w:color w:val="231F20"/>
          <w:position w:val="9"/>
          <w:sz w:val="16"/>
        </w:rPr>
        <w:t>1</w:t>
      </w:r>
    </w:p>
    <w:p w14:paraId="486E796C" w14:textId="77777777" w:rsidR="00DE575E" w:rsidRDefault="00DE575E">
      <w:pPr>
        <w:pStyle w:val="BodyText"/>
        <w:rPr>
          <w:b/>
          <w:sz w:val="45"/>
        </w:rPr>
      </w:pPr>
    </w:p>
    <w:p w14:paraId="5134F6BB" w14:textId="77777777" w:rsidR="00DE575E" w:rsidRDefault="002E7560">
      <w:pPr>
        <w:pStyle w:val="Heading4"/>
        <w:numPr>
          <w:ilvl w:val="1"/>
          <w:numId w:val="83"/>
        </w:numPr>
        <w:tabs>
          <w:tab w:val="left" w:pos="674"/>
        </w:tabs>
        <w:spacing w:line="244" w:lineRule="auto"/>
        <w:ind w:right="424" w:hanging="2189"/>
        <w:jc w:val="left"/>
      </w:pPr>
      <w:r>
        <w:rPr>
          <w:color w:val="231F20"/>
        </w:rPr>
        <w:t xml:space="preserve">Обмеження </w:t>
      </w:r>
      <w:r>
        <w:rPr>
          <w:color w:val="231F20"/>
          <w:spacing w:val="-3"/>
        </w:rPr>
        <w:t xml:space="preserve">щодо </w:t>
      </w:r>
      <w:r>
        <w:rPr>
          <w:color w:val="231F20"/>
        </w:rPr>
        <w:t>використання службових</w:t>
      </w:r>
      <w:r>
        <w:rPr>
          <w:color w:val="231F20"/>
          <w:spacing w:val="-28"/>
        </w:rPr>
        <w:t xml:space="preserve"> </w:t>
      </w:r>
      <w:r>
        <w:rPr>
          <w:color w:val="231F20"/>
        </w:rPr>
        <w:t>повноважень чи свого</w:t>
      </w:r>
      <w:r>
        <w:rPr>
          <w:color w:val="231F20"/>
          <w:spacing w:val="-2"/>
        </w:rPr>
        <w:t xml:space="preserve"> </w:t>
      </w:r>
      <w:r>
        <w:rPr>
          <w:color w:val="231F20"/>
        </w:rPr>
        <w:t>становища</w:t>
      </w:r>
    </w:p>
    <w:p w14:paraId="77EA3D3F" w14:textId="77777777" w:rsidR="00DE575E" w:rsidRDefault="00DE575E">
      <w:pPr>
        <w:pStyle w:val="BodyText"/>
        <w:rPr>
          <w:b/>
          <w:sz w:val="26"/>
        </w:rPr>
      </w:pPr>
    </w:p>
    <w:p w14:paraId="703C8781" w14:textId="77777777" w:rsidR="00DE575E" w:rsidRDefault="00DE575E">
      <w:pPr>
        <w:pStyle w:val="BodyText"/>
        <w:rPr>
          <w:b/>
          <w:sz w:val="20"/>
        </w:rPr>
      </w:pPr>
    </w:p>
    <w:p w14:paraId="5D27562C" w14:textId="77777777" w:rsidR="00DE575E" w:rsidRDefault="002E7560">
      <w:pPr>
        <w:pStyle w:val="BodyText"/>
        <w:spacing w:line="256" w:lineRule="auto"/>
        <w:ind w:left="250" w:right="410" w:firstLine="283"/>
        <w:jc w:val="both"/>
      </w:pPr>
      <w:r>
        <w:rPr>
          <w:color w:val="231F20"/>
        </w:rPr>
        <w:t>Система заходів запобігання корупційним проявам у публічній службі регулюється насампе</w:t>
      </w:r>
      <w:r>
        <w:rPr>
          <w:color w:val="231F20"/>
        </w:rPr>
        <w:t>ред Законом «Про запобігання коруп- ції», вимоги якого відтворюються та/або деталізуються в спеціаль- них для окремих видів публічної служби актах вищої юридичної сили та в численних підзаконних актах. Антикорупційне законо- давство закріплює комплекс обме</w:t>
      </w:r>
      <w:r>
        <w:rPr>
          <w:color w:val="231F20"/>
        </w:rPr>
        <w:t>жень і зобов’язань для публічних службовців,</w:t>
      </w:r>
      <w:r>
        <w:rPr>
          <w:color w:val="231F20"/>
          <w:spacing w:val="-8"/>
        </w:rPr>
        <w:t xml:space="preserve"> </w:t>
      </w:r>
      <w:r>
        <w:rPr>
          <w:color w:val="231F20"/>
        </w:rPr>
        <w:t>які</w:t>
      </w:r>
      <w:r>
        <w:rPr>
          <w:color w:val="231F20"/>
          <w:spacing w:val="-8"/>
        </w:rPr>
        <w:t xml:space="preserve"> </w:t>
      </w:r>
      <w:r>
        <w:rPr>
          <w:color w:val="231F20"/>
        </w:rPr>
        <w:t>сукупно</w:t>
      </w:r>
      <w:r>
        <w:rPr>
          <w:color w:val="231F20"/>
          <w:spacing w:val="-8"/>
        </w:rPr>
        <w:t xml:space="preserve"> </w:t>
      </w:r>
      <w:r>
        <w:rPr>
          <w:color w:val="231F20"/>
        </w:rPr>
        <w:t>створюють</w:t>
      </w:r>
      <w:r>
        <w:rPr>
          <w:color w:val="231F20"/>
          <w:spacing w:val="-9"/>
        </w:rPr>
        <w:t xml:space="preserve"> </w:t>
      </w:r>
      <w:r>
        <w:rPr>
          <w:i/>
          <w:color w:val="231F20"/>
        </w:rPr>
        <w:t>первинний</w:t>
      </w:r>
      <w:r>
        <w:rPr>
          <w:i/>
          <w:color w:val="231F20"/>
          <w:spacing w:val="-8"/>
        </w:rPr>
        <w:t xml:space="preserve"> </w:t>
      </w:r>
      <w:r>
        <w:rPr>
          <w:i/>
          <w:color w:val="231F20"/>
        </w:rPr>
        <w:t>рубіж</w:t>
      </w:r>
      <w:r>
        <w:rPr>
          <w:i/>
          <w:color w:val="231F20"/>
          <w:spacing w:val="-8"/>
        </w:rPr>
        <w:t xml:space="preserve"> </w:t>
      </w:r>
      <w:r>
        <w:rPr>
          <w:i/>
          <w:color w:val="231F20"/>
        </w:rPr>
        <w:t>протидії</w:t>
      </w:r>
      <w:r>
        <w:rPr>
          <w:i/>
          <w:color w:val="231F20"/>
          <w:spacing w:val="-8"/>
        </w:rPr>
        <w:t xml:space="preserve"> </w:t>
      </w:r>
      <w:r>
        <w:rPr>
          <w:i/>
          <w:color w:val="231F20"/>
        </w:rPr>
        <w:t>коруп- ції</w:t>
      </w:r>
      <w:r>
        <w:rPr>
          <w:color w:val="231F20"/>
        </w:rPr>
        <w:t>, що має превентивно убезпечувати суспільство від корупційних правопорушень. Його безпосередньою метою є не притягнення до кримінальної відповідальності, а запобігання виникненню переду- мов</w:t>
      </w:r>
      <w:r>
        <w:rPr>
          <w:color w:val="231F20"/>
          <w:spacing w:val="-13"/>
        </w:rPr>
        <w:t xml:space="preserve"> </w:t>
      </w:r>
      <w:r>
        <w:rPr>
          <w:color w:val="231F20"/>
        </w:rPr>
        <w:t>корупції</w:t>
      </w:r>
      <w:r>
        <w:rPr>
          <w:color w:val="231F20"/>
          <w:spacing w:val="-13"/>
        </w:rPr>
        <w:t xml:space="preserve"> </w:t>
      </w:r>
      <w:r>
        <w:rPr>
          <w:color w:val="231F20"/>
        </w:rPr>
        <w:t>(протиправному</w:t>
      </w:r>
      <w:r>
        <w:rPr>
          <w:color w:val="231F20"/>
          <w:spacing w:val="-13"/>
        </w:rPr>
        <w:t xml:space="preserve"> </w:t>
      </w:r>
      <w:r>
        <w:rPr>
          <w:color w:val="231F20"/>
        </w:rPr>
        <w:t>зв’язку</w:t>
      </w:r>
      <w:r>
        <w:rPr>
          <w:color w:val="231F20"/>
          <w:spacing w:val="-13"/>
        </w:rPr>
        <w:t xml:space="preserve"> </w:t>
      </w:r>
      <w:r>
        <w:rPr>
          <w:color w:val="231F20"/>
        </w:rPr>
        <w:t>з</w:t>
      </w:r>
      <w:r>
        <w:rPr>
          <w:color w:val="231F20"/>
          <w:spacing w:val="-13"/>
        </w:rPr>
        <w:t xml:space="preserve"> </w:t>
      </w:r>
      <w:r>
        <w:rPr>
          <w:color w:val="231F20"/>
        </w:rPr>
        <w:t>приватними</w:t>
      </w:r>
      <w:r>
        <w:rPr>
          <w:color w:val="231F20"/>
          <w:spacing w:val="-13"/>
        </w:rPr>
        <w:t xml:space="preserve"> </w:t>
      </w:r>
      <w:r>
        <w:rPr>
          <w:color w:val="231F20"/>
        </w:rPr>
        <w:t>особами,</w:t>
      </w:r>
      <w:r>
        <w:rPr>
          <w:color w:val="231F20"/>
          <w:spacing w:val="-13"/>
        </w:rPr>
        <w:t xml:space="preserve"> </w:t>
      </w:r>
      <w:r>
        <w:rPr>
          <w:color w:val="231F20"/>
        </w:rPr>
        <w:t>матері- аль</w:t>
      </w:r>
      <w:r>
        <w:rPr>
          <w:color w:val="231F20"/>
        </w:rPr>
        <w:t>ній чи моральній залежності публічного службовця тощо), змен- шення латентності корупційних діянь і сприяння виявленню їхніх ознак у поведінці та житті</w:t>
      </w:r>
      <w:r>
        <w:rPr>
          <w:color w:val="231F20"/>
          <w:spacing w:val="-4"/>
        </w:rPr>
        <w:t xml:space="preserve"> </w:t>
      </w:r>
      <w:r>
        <w:rPr>
          <w:color w:val="231F20"/>
        </w:rPr>
        <w:t>посадовців.</w:t>
      </w:r>
    </w:p>
    <w:p w14:paraId="4921CEFE" w14:textId="77777777" w:rsidR="00DE575E" w:rsidRDefault="002E7560">
      <w:pPr>
        <w:pStyle w:val="BodyText"/>
        <w:spacing w:before="8" w:line="256" w:lineRule="auto"/>
        <w:ind w:left="250" w:right="409" w:firstLine="283"/>
        <w:jc w:val="both"/>
      </w:pPr>
      <w:r>
        <w:rPr>
          <w:color w:val="231F20"/>
        </w:rPr>
        <w:t xml:space="preserve">Значна частина антикорупційних заборон та зобов’язань поши- рюється і на деяких осіб, що не </w:t>
      </w:r>
      <w:r>
        <w:rPr>
          <w:color w:val="231F20"/>
        </w:rPr>
        <w:t xml:space="preserve">є публічними службовцями, а тому їх подальше висвітлення в контексті тематики  публічної  служби не звужує </w:t>
      </w:r>
      <w:r>
        <w:rPr>
          <w:color w:val="231F20"/>
          <w:spacing w:val="-3"/>
        </w:rPr>
        <w:t xml:space="preserve">об’єктивного </w:t>
      </w:r>
      <w:r>
        <w:rPr>
          <w:color w:val="231F20"/>
        </w:rPr>
        <w:t xml:space="preserve">прикладного змісту антикорупційних засо- бів. </w:t>
      </w:r>
      <w:r>
        <w:rPr>
          <w:color w:val="231F20"/>
          <w:spacing w:val="-4"/>
        </w:rPr>
        <w:t xml:space="preserve">Так, </w:t>
      </w:r>
      <w:r>
        <w:rPr>
          <w:color w:val="231F20"/>
        </w:rPr>
        <w:t xml:space="preserve">обмеження щодо використання службових  повноважень чи свого становища відповідно до </w:t>
      </w:r>
      <w:r>
        <w:rPr>
          <w:color w:val="231F20"/>
          <w:spacing w:val="-6"/>
        </w:rPr>
        <w:t>с</w:t>
      </w:r>
      <w:r>
        <w:rPr>
          <w:color w:val="231F20"/>
          <w:spacing w:val="-6"/>
        </w:rPr>
        <w:t xml:space="preserve">т. </w:t>
      </w:r>
      <w:r>
        <w:rPr>
          <w:color w:val="231F20"/>
        </w:rPr>
        <w:t xml:space="preserve">22 Закону «Про запобігання корупції» передбачає заборону «використовувати свої службові повноваження або своє становище та пов’язані з цим можливості     з метою одержання неправомірної вигоди для себе чи інших осіб, зокрема використовувати </w:t>
      </w:r>
      <w:r>
        <w:rPr>
          <w:color w:val="231F20"/>
          <w:spacing w:val="-3"/>
        </w:rPr>
        <w:t xml:space="preserve">будь-яке </w:t>
      </w:r>
      <w:r>
        <w:rPr>
          <w:color w:val="231F20"/>
        </w:rPr>
        <w:t>дер</w:t>
      </w:r>
      <w:r>
        <w:rPr>
          <w:color w:val="231F20"/>
        </w:rPr>
        <w:t>жавне чи комунальне майно або кошти в приватних інтересах»</w:t>
      </w:r>
      <w:r>
        <w:rPr>
          <w:color w:val="231F20"/>
          <w:position w:val="7"/>
          <w:sz w:val="12"/>
        </w:rPr>
        <w:t>2</w:t>
      </w:r>
      <w:r>
        <w:rPr>
          <w:color w:val="231F20"/>
        </w:rPr>
        <w:t xml:space="preserve">. </w:t>
      </w:r>
      <w:r>
        <w:rPr>
          <w:color w:val="231F20"/>
          <w:spacing w:val="-5"/>
        </w:rPr>
        <w:t xml:space="preserve">Така </w:t>
      </w:r>
      <w:r>
        <w:rPr>
          <w:color w:val="231F20"/>
        </w:rPr>
        <w:t>заборона поширюється</w:t>
      </w:r>
      <w:r>
        <w:rPr>
          <w:color w:val="231F20"/>
          <w:spacing w:val="41"/>
        </w:rPr>
        <w:t xml:space="preserve"> </w:t>
      </w:r>
      <w:r>
        <w:rPr>
          <w:color w:val="231F20"/>
        </w:rPr>
        <w:t>на</w:t>
      </w:r>
    </w:p>
    <w:p w14:paraId="310ECD87" w14:textId="77777777" w:rsidR="00DE575E" w:rsidRDefault="00DE575E">
      <w:pPr>
        <w:pStyle w:val="BodyText"/>
        <w:rPr>
          <w:sz w:val="20"/>
        </w:rPr>
      </w:pPr>
    </w:p>
    <w:p w14:paraId="1FEF730F" w14:textId="42A3F783" w:rsidR="00DE575E" w:rsidRDefault="002E7560">
      <w:pPr>
        <w:pStyle w:val="BodyText"/>
        <w:spacing w:before="11"/>
        <w:rPr>
          <w:sz w:val="10"/>
        </w:rPr>
      </w:pPr>
      <w:r>
        <w:rPr>
          <w:noProof/>
        </w:rPr>
        <mc:AlternateContent>
          <mc:Choice Requires="wps">
            <w:drawing>
              <wp:anchor distT="0" distB="0" distL="0" distR="0" simplePos="0" relativeHeight="15904" behindDoc="0" locked="0" layoutInCell="1" allowOverlap="1" wp14:anchorId="51B7BEB8" wp14:editId="11213968">
                <wp:simplePos x="0" y="0"/>
                <wp:positionH relativeFrom="page">
                  <wp:posOffset>539750</wp:posOffset>
                </wp:positionH>
                <wp:positionV relativeFrom="paragraph">
                  <wp:posOffset>109220</wp:posOffset>
                </wp:positionV>
                <wp:extent cx="1080135" cy="0"/>
                <wp:effectExtent l="6350" t="7620" r="31115" b="30480"/>
                <wp:wrapTopAndBottom/>
                <wp:docPr id="384"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ADCA" id="Line_x0020_383" o:spid="_x0000_s1026" style="position:absolute;z-index: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6pt" to="127.5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" strokecolor="#231f20" strokeweight=".5pt">
                <w10:wrap type="topAndBottom" anchorx="page"/>
              </v:line>
            </w:pict>
          </mc:Fallback>
        </mc:AlternateContent>
      </w:r>
    </w:p>
    <w:p w14:paraId="401DD713" w14:textId="77777777" w:rsidR="00DE575E" w:rsidRDefault="002E7560">
      <w:pPr>
        <w:spacing w:line="182" w:lineRule="exact"/>
        <w:ind w:left="250"/>
        <w:rPr>
          <w:b/>
          <w:sz w:val="16"/>
        </w:rPr>
      </w:pPr>
      <w:r>
        <w:rPr>
          <w:color w:val="231F20"/>
          <w:position w:val="5"/>
          <w:sz w:val="9"/>
        </w:rPr>
        <w:t xml:space="preserve">1 </w:t>
      </w:r>
      <w:r>
        <w:rPr>
          <w:color w:val="231F20"/>
          <w:sz w:val="16"/>
        </w:rPr>
        <w:t xml:space="preserve">Автор: </w:t>
      </w:r>
      <w:r>
        <w:rPr>
          <w:b/>
          <w:color w:val="231F20"/>
          <w:sz w:val="16"/>
        </w:rPr>
        <w:t>Олег Хамходера</w:t>
      </w:r>
    </w:p>
    <w:p w14:paraId="53D0B876" w14:textId="77777777" w:rsidR="00DE575E" w:rsidRDefault="002E7560">
      <w:pPr>
        <w:spacing w:before="27" w:line="230" w:lineRule="auto"/>
        <w:ind w:left="250" w:right="412"/>
        <w:rPr>
          <w:sz w:val="16"/>
        </w:rPr>
      </w:pPr>
      <w:r>
        <w:rPr>
          <w:color w:val="231F20"/>
          <w:position w:val="5"/>
          <w:sz w:val="9"/>
        </w:rPr>
        <w:t xml:space="preserve">2 </w:t>
      </w:r>
      <w:r>
        <w:rPr>
          <w:color w:val="231F20"/>
          <w:sz w:val="16"/>
        </w:rPr>
        <w:t xml:space="preserve">Про запобігання корупції: Закон України від 14.10.2014 р. № 1700-VII. URL: </w:t>
      </w:r>
      <w:hyperlink r:id="rId47">
        <w:r>
          <w:rPr>
            <w:color w:val="231F20"/>
            <w:sz w:val="16"/>
          </w:rPr>
          <w:t>http://zakon0.rada.gov.ua/laws/show/1700-18/page</w:t>
        </w:r>
      </w:hyperlink>
    </w:p>
    <w:p w14:paraId="0941686D" w14:textId="77777777" w:rsidR="00DE575E" w:rsidRDefault="00DE575E">
      <w:pPr>
        <w:pStyle w:val="BodyText"/>
        <w:rPr>
          <w:sz w:val="12"/>
        </w:rPr>
      </w:pPr>
    </w:p>
    <w:p w14:paraId="2D4FE41B" w14:textId="77777777" w:rsidR="00DE575E" w:rsidRDefault="002E7560">
      <w:pPr>
        <w:spacing w:before="91"/>
        <w:ind w:right="411"/>
        <w:jc w:val="right"/>
        <w:rPr>
          <w:rFonts w:ascii="Times New Roman"/>
          <w:sz w:val="20"/>
        </w:rPr>
      </w:pPr>
      <w:r>
        <w:rPr>
          <w:rFonts w:ascii="Times New Roman"/>
          <w:color w:val="231F20"/>
          <w:w w:val="90"/>
          <w:sz w:val="20"/>
        </w:rPr>
        <w:t>405</w:t>
      </w:r>
    </w:p>
    <w:p w14:paraId="6CEEB6B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CE4CC0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073BC8D" w14:textId="2547FE0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11C7BE7" wp14:editId="5A05A2EB">
                <wp:extent cx="4140200" cy="6350"/>
                <wp:effectExtent l="0" t="0" r="12700" b="6350"/>
                <wp:docPr id="38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83" name="Line 38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9EAE30" id="Group_x0020_38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dg8dfQIAAJgFAAAOAAAA&#10;AAAAAAAAAAAAACwCAABkcnMvZTJvRG9jLnhtbFBLAQItABQABgAIAAAAIQBMp7CQ2QAAAAMBAAAP&#10;AAAAAAAAAAAAAAAAANUEAABkcnMvZG93bnJldi54bWxQSwUGAAAAAAQABADzAAAA2wUAAAAA&#10;">
                <v:line id="Line_x0020_38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G6ucUAAADcAAAADwAAAGRycy9kb3ducmV2LnhtbESP0WrCQBRE3wv+w3KFvhTd2ECR6Coi&#10;COKDtqYfcM1ek+Du3ZhdTdqv7wpCH4eZOcPMl7014k6trx0rmIwTEMSF0zWXCr7zzWgKwgdkjcYx&#10;KfghD8vF4GWOmXYdf9H9GEoRIewzVFCF0GRS+qIii37sGuLonV1rMUTZllK32EW4NfI9ST6kxZrj&#10;QoUNrSsqLsebVZBf34L5POxMlx9OqTxd9+nvba/U67BfzUAE6sN/+NneagXpNIXHmXg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0G6ucUAAADcAAAADwAAAAAAAAAA&#10;AAAAAAChAgAAZHJzL2Rvd25yZXYueG1sUEsFBgAAAAAEAAQA+QAAAJMDAAAAAA==&#10;" strokecolor="#231f20" strokeweight=".5pt"/>
                <w10:anchorlock/>
              </v:group>
            </w:pict>
          </mc:Fallback>
        </mc:AlternateContent>
      </w:r>
    </w:p>
    <w:p w14:paraId="431533CE" w14:textId="77777777" w:rsidR="00DE575E" w:rsidRDefault="00DE575E">
      <w:pPr>
        <w:pStyle w:val="BodyText"/>
        <w:spacing w:before="7"/>
        <w:rPr>
          <w:rFonts w:ascii="AdonisC"/>
          <w:i/>
          <w:sz w:val="11"/>
        </w:rPr>
      </w:pPr>
    </w:p>
    <w:p w14:paraId="1F7143B9" w14:textId="77777777" w:rsidR="00DE575E" w:rsidRDefault="002E7560">
      <w:pPr>
        <w:pStyle w:val="BodyText"/>
        <w:spacing w:before="101" w:line="252" w:lineRule="auto"/>
        <w:ind w:left="533" w:right="126"/>
        <w:jc w:val="both"/>
      </w:pPr>
      <w:r>
        <w:rPr>
          <w:color w:val="231F20"/>
        </w:rPr>
        <w:t>чотири групи</w:t>
      </w:r>
      <w:r>
        <w:rPr>
          <w:color w:val="231F20"/>
          <w:position w:val="7"/>
          <w:sz w:val="12"/>
        </w:rPr>
        <w:t xml:space="preserve">1 </w:t>
      </w:r>
      <w:r>
        <w:rPr>
          <w:color w:val="231F20"/>
          <w:spacing w:val="-3"/>
        </w:rPr>
        <w:t xml:space="preserve">суб’єктів, </w:t>
      </w:r>
      <w:r>
        <w:rPr>
          <w:color w:val="231F20"/>
        </w:rPr>
        <w:t>серед яких визначаються публічні служ- бовці,</w:t>
      </w:r>
      <w:r>
        <w:rPr>
          <w:color w:val="231F20"/>
          <w:spacing w:val="-5"/>
        </w:rPr>
        <w:t xml:space="preserve"> </w:t>
      </w:r>
      <w:r>
        <w:rPr>
          <w:color w:val="231F20"/>
        </w:rPr>
        <w:t>а</w:t>
      </w:r>
      <w:r>
        <w:rPr>
          <w:color w:val="231F20"/>
          <w:spacing w:val="-5"/>
        </w:rPr>
        <w:t xml:space="preserve"> </w:t>
      </w:r>
      <w:r>
        <w:rPr>
          <w:color w:val="231F20"/>
        </w:rPr>
        <w:t>також</w:t>
      </w:r>
      <w:r>
        <w:rPr>
          <w:color w:val="231F20"/>
          <w:spacing w:val="-5"/>
        </w:rPr>
        <w:t xml:space="preserve"> </w:t>
      </w:r>
      <w:r>
        <w:rPr>
          <w:color w:val="231F20"/>
        </w:rPr>
        <w:t>посадові</w:t>
      </w:r>
      <w:r>
        <w:rPr>
          <w:color w:val="231F20"/>
          <w:spacing w:val="-5"/>
        </w:rPr>
        <w:t xml:space="preserve"> </w:t>
      </w:r>
      <w:r>
        <w:rPr>
          <w:color w:val="231F20"/>
        </w:rPr>
        <w:t>особи</w:t>
      </w:r>
      <w:r>
        <w:rPr>
          <w:color w:val="231F20"/>
          <w:spacing w:val="-5"/>
        </w:rPr>
        <w:t xml:space="preserve"> </w:t>
      </w:r>
      <w:r>
        <w:rPr>
          <w:color w:val="231F20"/>
        </w:rPr>
        <w:t>юридичних</w:t>
      </w:r>
      <w:r>
        <w:rPr>
          <w:color w:val="231F20"/>
          <w:spacing w:val="-5"/>
        </w:rPr>
        <w:t xml:space="preserve"> </w:t>
      </w:r>
      <w:r>
        <w:rPr>
          <w:color w:val="231F20"/>
        </w:rPr>
        <w:t>осіб</w:t>
      </w:r>
      <w:r>
        <w:rPr>
          <w:color w:val="231F20"/>
          <w:spacing w:val="-5"/>
        </w:rPr>
        <w:t xml:space="preserve"> </w:t>
      </w:r>
      <w:r>
        <w:rPr>
          <w:color w:val="231F20"/>
        </w:rPr>
        <w:t>публічного</w:t>
      </w:r>
      <w:r>
        <w:rPr>
          <w:color w:val="231F20"/>
          <w:spacing w:val="-5"/>
        </w:rPr>
        <w:t xml:space="preserve"> </w:t>
      </w:r>
      <w:r>
        <w:rPr>
          <w:color w:val="231F20"/>
        </w:rPr>
        <w:t>та</w:t>
      </w:r>
      <w:r>
        <w:rPr>
          <w:color w:val="231F20"/>
          <w:spacing w:val="-5"/>
        </w:rPr>
        <w:t xml:space="preserve"> </w:t>
      </w:r>
      <w:r>
        <w:rPr>
          <w:color w:val="231F20"/>
        </w:rPr>
        <w:t>приват- ного права, надавачі публічних послуг (нотаріуси, приватні вико- навці</w:t>
      </w:r>
      <w:r>
        <w:rPr>
          <w:color w:val="231F20"/>
          <w:spacing w:val="-5"/>
        </w:rPr>
        <w:t xml:space="preserve"> </w:t>
      </w:r>
      <w:r>
        <w:rPr>
          <w:color w:val="231F20"/>
        </w:rPr>
        <w:t>тощо),</w:t>
      </w:r>
      <w:r>
        <w:rPr>
          <w:color w:val="231F20"/>
          <w:spacing w:val="-5"/>
        </w:rPr>
        <w:t xml:space="preserve"> </w:t>
      </w:r>
      <w:r>
        <w:rPr>
          <w:color w:val="231F20"/>
        </w:rPr>
        <w:t>представни</w:t>
      </w:r>
      <w:r>
        <w:rPr>
          <w:color w:val="231F20"/>
        </w:rPr>
        <w:t>ки</w:t>
      </w:r>
      <w:r>
        <w:rPr>
          <w:color w:val="231F20"/>
          <w:spacing w:val="-5"/>
        </w:rPr>
        <w:t xml:space="preserve"> </w:t>
      </w:r>
      <w:r>
        <w:rPr>
          <w:color w:val="231F20"/>
        </w:rPr>
        <w:t>громадськості</w:t>
      </w:r>
      <w:r>
        <w:rPr>
          <w:color w:val="231F20"/>
          <w:spacing w:val="-5"/>
        </w:rPr>
        <w:t xml:space="preserve"> </w:t>
      </w:r>
      <w:r>
        <w:rPr>
          <w:color w:val="231F20"/>
        </w:rPr>
        <w:t>та</w:t>
      </w:r>
      <w:r>
        <w:rPr>
          <w:color w:val="231F20"/>
          <w:spacing w:val="-5"/>
        </w:rPr>
        <w:t xml:space="preserve"> </w:t>
      </w:r>
      <w:r>
        <w:rPr>
          <w:color w:val="231F20"/>
        </w:rPr>
        <w:t>фізичні</w:t>
      </w:r>
      <w:r>
        <w:rPr>
          <w:color w:val="231F20"/>
          <w:spacing w:val="-5"/>
        </w:rPr>
        <w:t xml:space="preserve"> </w:t>
      </w:r>
      <w:r>
        <w:rPr>
          <w:color w:val="231F20"/>
        </w:rPr>
        <w:t>особи,</w:t>
      </w:r>
      <w:r>
        <w:rPr>
          <w:color w:val="231F20"/>
          <w:spacing w:val="-5"/>
        </w:rPr>
        <w:t xml:space="preserve"> </w:t>
      </w:r>
      <w:r>
        <w:rPr>
          <w:color w:val="231F20"/>
        </w:rPr>
        <w:t>які</w:t>
      </w:r>
      <w:r>
        <w:rPr>
          <w:color w:val="231F20"/>
          <w:spacing w:val="-5"/>
        </w:rPr>
        <w:t xml:space="preserve"> </w:t>
      </w:r>
      <w:r>
        <w:rPr>
          <w:color w:val="231F20"/>
        </w:rPr>
        <w:t>лише планують стати публічними</w:t>
      </w:r>
      <w:r>
        <w:rPr>
          <w:color w:val="231F20"/>
          <w:spacing w:val="-3"/>
        </w:rPr>
        <w:t xml:space="preserve"> </w:t>
      </w:r>
      <w:r>
        <w:rPr>
          <w:color w:val="231F20"/>
        </w:rPr>
        <w:t>службовцями.</w:t>
      </w:r>
    </w:p>
    <w:p w14:paraId="573FDA89" w14:textId="77777777" w:rsidR="00DE575E" w:rsidRDefault="002E7560">
      <w:pPr>
        <w:pStyle w:val="BodyText"/>
        <w:spacing w:before="2" w:line="252" w:lineRule="auto"/>
        <w:ind w:left="533" w:right="125" w:firstLine="283"/>
        <w:jc w:val="both"/>
      </w:pPr>
      <w:r>
        <w:rPr>
          <w:color w:val="231F20"/>
        </w:rPr>
        <w:t>Нас при цьому цікавлять обмеження саме стосовно публічних службовців, коло яких майже</w:t>
      </w:r>
      <w:r>
        <w:rPr>
          <w:color w:val="231F20"/>
          <w:position w:val="7"/>
          <w:sz w:val="12"/>
        </w:rPr>
        <w:t xml:space="preserve">2 </w:t>
      </w:r>
      <w:r>
        <w:rPr>
          <w:color w:val="231F20"/>
        </w:rPr>
        <w:t>повністю охоплюється змістом анти- корупційної категорії «особи, уповноважені на виконання функцій держави або місцевого самоврядування». Повертаючись до цитова- ного вище обмеження щодо використання службових повноважень чи свого становища, наголосимо про</w:t>
      </w:r>
      <w:r>
        <w:rPr>
          <w:color w:val="231F20"/>
        </w:rPr>
        <w:t xml:space="preserve"> таке:</w:t>
      </w:r>
    </w:p>
    <w:p w14:paraId="47AF9ACD" w14:textId="77777777" w:rsidR="00DE575E" w:rsidRDefault="002E7560">
      <w:pPr>
        <w:spacing w:before="3" w:line="252" w:lineRule="auto"/>
        <w:ind w:left="533" w:right="128" w:firstLine="283"/>
        <w:jc w:val="both"/>
        <w:rPr>
          <w:sz w:val="21"/>
        </w:rPr>
      </w:pPr>
      <w:r>
        <w:rPr>
          <w:color w:val="231F20"/>
          <w:sz w:val="21"/>
        </w:rPr>
        <w:t xml:space="preserve">1) </w:t>
      </w:r>
      <w:r>
        <w:rPr>
          <w:i/>
          <w:color w:val="231F20"/>
          <w:sz w:val="21"/>
        </w:rPr>
        <w:t>воно стосується заборони протиправного використання трьох</w:t>
      </w:r>
      <w:r>
        <w:rPr>
          <w:i/>
          <w:color w:val="231F20"/>
          <w:spacing w:val="-2"/>
          <w:sz w:val="21"/>
        </w:rPr>
        <w:t xml:space="preserve"> </w:t>
      </w:r>
      <w:r>
        <w:rPr>
          <w:i/>
          <w:color w:val="231F20"/>
          <w:sz w:val="21"/>
        </w:rPr>
        <w:t>ресурсів</w:t>
      </w:r>
      <w:r>
        <w:rPr>
          <w:color w:val="231F20"/>
          <w:sz w:val="21"/>
        </w:rPr>
        <w:t>:</w:t>
      </w:r>
    </w:p>
    <w:p w14:paraId="36D28CEE" w14:textId="77777777" w:rsidR="00DE575E" w:rsidRDefault="002E7560">
      <w:pPr>
        <w:pStyle w:val="ListParagraph"/>
        <w:numPr>
          <w:ilvl w:val="2"/>
          <w:numId w:val="83"/>
        </w:numPr>
        <w:tabs>
          <w:tab w:val="left" w:pos="1101"/>
        </w:tabs>
        <w:spacing w:line="252" w:lineRule="auto"/>
        <w:ind w:right="128" w:firstLine="284"/>
        <w:rPr>
          <w:sz w:val="21"/>
        </w:rPr>
      </w:pPr>
      <w:r>
        <w:rPr>
          <w:color w:val="231F20"/>
          <w:spacing w:val="-7"/>
          <w:sz w:val="21"/>
        </w:rPr>
        <w:t>службових</w:t>
      </w:r>
      <w:r>
        <w:rPr>
          <w:color w:val="231F20"/>
          <w:spacing w:val="-18"/>
          <w:sz w:val="21"/>
        </w:rPr>
        <w:t xml:space="preserve"> </w:t>
      </w:r>
      <w:r>
        <w:rPr>
          <w:color w:val="231F20"/>
          <w:spacing w:val="-7"/>
          <w:sz w:val="21"/>
        </w:rPr>
        <w:t>повноважень</w:t>
      </w:r>
      <w:r>
        <w:rPr>
          <w:color w:val="231F20"/>
          <w:spacing w:val="-18"/>
          <w:sz w:val="21"/>
        </w:rPr>
        <w:t xml:space="preserve"> </w:t>
      </w:r>
      <w:r>
        <w:rPr>
          <w:color w:val="231F20"/>
          <w:spacing w:val="-7"/>
          <w:sz w:val="21"/>
        </w:rPr>
        <w:t>(сукупності</w:t>
      </w:r>
      <w:r>
        <w:rPr>
          <w:color w:val="231F20"/>
          <w:spacing w:val="-18"/>
          <w:sz w:val="21"/>
        </w:rPr>
        <w:t xml:space="preserve"> </w:t>
      </w:r>
      <w:r>
        <w:rPr>
          <w:color w:val="231F20"/>
          <w:spacing w:val="-6"/>
          <w:sz w:val="21"/>
        </w:rPr>
        <w:t>прав,</w:t>
      </w:r>
      <w:r>
        <w:rPr>
          <w:color w:val="231F20"/>
          <w:spacing w:val="-18"/>
          <w:sz w:val="21"/>
        </w:rPr>
        <w:t xml:space="preserve"> </w:t>
      </w:r>
      <w:r>
        <w:rPr>
          <w:color w:val="231F20"/>
          <w:spacing w:val="-7"/>
          <w:sz w:val="21"/>
        </w:rPr>
        <w:t>обов’язків</w:t>
      </w:r>
      <w:r>
        <w:rPr>
          <w:color w:val="231F20"/>
          <w:spacing w:val="-18"/>
          <w:sz w:val="21"/>
        </w:rPr>
        <w:t xml:space="preserve"> </w:t>
      </w:r>
      <w:r>
        <w:rPr>
          <w:color w:val="231F20"/>
          <w:spacing w:val="-4"/>
          <w:sz w:val="21"/>
        </w:rPr>
        <w:t>та</w:t>
      </w:r>
      <w:r>
        <w:rPr>
          <w:color w:val="231F20"/>
          <w:spacing w:val="-18"/>
          <w:sz w:val="21"/>
        </w:rPr>
        <w:t xml:space="preserve"> </w:t>
      </w:r>
      <w:r>
        <w:rPr>
          <w:color w:val="231F20"/>
          <w:spacing w:val="-7"/>
          <w:sz w:val="21"/>
        </w:rPr>
        <w:t xml:space="preserve">поєднаних </w:t>
      </w:r>
      <w:r>
        <w:rPr>
          <w:color w:val="231F20"/>
          <w:sz w:val="21"/>
        </w:rPr>
        <w:t xml:space="preserve">в </w:t>
      </w:r>
      <w:r>
        <w:rPr>
          <w:color w:val="231F20"/>
          <w:spacing w:val="-7"/>
          <w:sz w:val="21"/>
        </w:rPr>
        <w:t xml:space="preserve">одну правомочність правообов’язків службовця, </w:t>
      </w:r>
      <w:r>
        <w:rPr>
          <w:color w:val="231F20"/>
          <w:spacing w:val="-4"/>
          <w:sz w:val="21"/>
        </w:rPr>
        <w:t xml:space="preserve">що </w:t>
      </w:r>
      <w:r>
        <w:rPr>
          <w:color w:val="231F20"/>
          <w:spacing w:val="-7"/>
          <w:sz w:val="21"/>
        </w:rPr>
        <w:t xml:space="preserve">пов’язані </w:t>
      </w:r>
      <w:r>
        <w:rPr>
          <w:color w:val="231F20"/>
          <w:sz w:val="21"/>
        </w:rPr>
        <w:t xml:space="preserve">з </w:t>
      </w:r>
      <w:r>
        <w:rPr>
          <w:color w:val="231F20"/>
          <w:spacing w:val="-6"/>
          <w:sz w:val="21"/>
        </w:rPr>
        <w:t>вико- нанням</w:t>
      </w:r>
      <w:r>
        <w:rPr>
          <w:color w:val="231F20"/>
          <w:spacing w:val="-13"/>
          <w:sz w:val="21"/>
        </w:rPr>
        <w:t xml:space="preserve"> </w:t>
      </w:r>
      <w:r>
        <w:rPr>
          <w:color w:val="231F20"/>
          <w:spacing w:val="-7"/>
          <w:sz w:val="21"/>
        </w:rPr>
        <w:t>передбачених</w:t>
      </w:r>
      <w:r>
        <w:rPr>
          <w:color w:val="231F20"/>
          <w:spacing w:val="-13"/>
          <w:sz w:val="21"/>
        </w:rPr>
        <w:t xml:space="preserve"> </w:t>
      </w:r>
      <w:r>
        <w:rPr>
          <w:color w:val="231F20"/>
          <w:spacing w:val="-3"/>
          <w:sz w:val="21"/>
        </w:rPr>
        <w:t>для</w:t>
      </w:r>
      <w:r>
        <w:rPr>
          <w:color w:val="231F20"/>
          <w:spacing w:val="-13"/>
          <w:sz w:val="21"/>
        </w:rPr>
        <w:t xml:space="preserve"> </w:t>
      </w:r>
      <w:r>
        <w:rPr>
          <w:color w:val="231F20"/>
          <w:spacing w:val="-6"/>
          <w:sz w:val="21"/>
        </w:rPr>
        <w:t>його</w:t>
      </w:r>
      <w:r>
        <w:rPr>
          <w:color w:val="231F20"/>
          <w:spacing w:val="-13"/>
          <w:sz w:val="21"/>
        </w:rPr>
        <w:t xml:space="preserve"> </w:t>
      </w:r>
      <w:r>
        <w:rPr>
          <w:color w:val="231F20"/>
          <w:spacing w:val="-6"/>
          <w:sz w:val="21"/>
        </w:rPr>
        <w:t>посади</w:t>
      </w:r>
      <w:r>
        <w:rPr>
          <w:color w:val="231F20"/>
          <w:spacing w:val="-13"/>
          <w:sz w:val="21"/>
        </w:rPr>
        <w:t xml:space="preserve"> </w:t>
      </w:r>
      <w:r>
        <w:rPr>
          <w:color w:val="231F20"/>
          <w:spacing w:val="-7"/>
          <w:sz w:val="21"/>
        </w:rPr>
        <w:t>публічних</w:t>
      </w:r>
      <w:r>
        <w:rPr>
          <w:color w:val="231F20"/>
          <w:spacing w:val="-13"/>
          <w:sz w:val="21"/>
        </w:rPr>
        <w:t xml:space="preserve"> </w:t>
      </w:r>
      <w:r>
        <w:rPr>
          <w:color w:val="231F20"/>
          <w:spacing w:val="-6"/>
          <w:sz w:val="21"/>
        </w:rPr>
        <w:t>завдань</w:t>
      </w:r>
      <w:r>
        <w:rPr>
          <w:color w:val="231F20"/>
          <w:spacing w:val="-13"/>
          <w:sz w:val="21"/>
        </w:rPr>
        <w:t xml:space="preserve"> </w:t>
      </w:r>
      <w:r>
        <w:rPr>
          <w:color w:val="231F20"/>
          <w:sz w:val="21"/>
        </w:rPr>
        <w:t>і</w:t>
      </w:r>
      <w:r>
        <w:rPr>
          <w:color w:val="231F20"/>
          <w:spacing w:val="-13"/>
          <w:sz w:val="21"/>
        </w:rPr>
        <w:t xml:space="preserve"> </w:t>
      </w:r>
      <w:r>
        <w:rPr>
          <w:color w:val="231F20"/>
          <w:spacing w:val="-7"/>
          <w:sz w:val="21"/>
        </w:rPr>
        <w:t>функцій);</w:t>
      </w:r>
    </w:p>
    <w:p w14:paraId="467553DD" w14:textId="77777777" w:rsidR="00DE575E" w:rsidRDefault="002E7560">
      <w:pPr>
        <w:pStyle w:val="ListParagraph"/>
        <w:numPr>
          <w:ilvl w:val="2"/>
          <w:numId w:val="83"/>
        </w:numPr>
        <w:tabs>
          <w:tab w:val="left" w:pos="1101"/>
        </w:tabs>
        <w:spacing w:before="2" w:line="252" w:lineRule="auto"/>
        <w:ind w:right="128" w:firstLine="284"/>
        <w:rPr>
          <w:sz w:val="21"/>
        </w:rPr>
      </w:pPr>
      <w:r>
        <w:rPr>
          <w:color w:val="231F20"/>
          <w:sz w:val="21"/>
        </w:rPr>
        <w:t>службового становища (пов’язаних із зайняттям посади служ- бовий впливу чи авторитету, спроможності давати вказівки підлег- лим особам чи організаціям і контролювати їх</w:t>
      </w:r>
      <w:r>
        <w:rPr>
          <w:color w:val="231F20"/>
          <w:spacing w:val="-7"/>
          <w:sz w:val="21"/>
        </w:rPr>
        <w:t xml:space="preserve"> </w:t>
      </w:r>
      <w:r>
        <w:rPr>
          <w:color w:val="231F20"/>
          <w:sz w:val="21"/>
        </w:rPr>
        <w:t>діяльність);</w:t>
      </w:r>
    </w:p>
    <w:p w14:paraId="1E1F111D" w14:textId="77777777" w:rsidR="00DE575E" w:rsidRDefault="002E7560">
      <w:pPr>
        <w:pStyle w:val="ListParagraph"/>
        <w:numPr>
          <w:ilvl w:val="2"/>
          <w:numId w:val="83"/>
        </w:numPr>
        <w:tabs>
          <w:tab w:val="left" w:pos="1101"/>
        </w:tabs>
        <w:spacing w:line="252" w:lineRule="auto"/>
        <w:ind w:right="128" w:firstLine="284"/>
        <w:rPr>
          <w:sz w:val="21"/>
        </w:rPr>
      </w:pPr>
      <w:r>
        <w:rPr>
          <w:color w:val="231F20"/>
          <w:sz w:val="21"/>
        </w:rPr>
        <w:t xml:space="preserve">службових можливостей (вони не пов’язані з використан- ням службових повноважень чи службового становища, яке дозво- ляє впливати на підлеглих, але зумовлюються статусно-репутацій- ним значенням займаної посади). </w:t>
      </w:r>
      <w:r>
        <w:rPr>
          <w:color w:val="231F20"/>
          <w:spacing w:val="-4"/>
          <w:sz w:val="21"/>
        </w:rPr>
        <w:t xml:space="preserve">Так, </w:t>
      </w:r>
      <w:r>
        <w:rPr>
          <w:color w:val="231F20"/>
          <w:sz w:val="21"/>
        </w:rPr>
        <w:t>службові можливості</w:t>
      </w:r>
      <w:r>
        <w:rPr>
          <w:color w:val="231F20"/>
          <w:spacing w:val="27"/>
          <w:sz w:val="21"/>
        </w:rPr>
        <w:t xml:space="preserve"> </w:t>
      </w:r>
      <w:r>
        <w:rPr>
          <w:color w:val="231F20"/>
          <w:sz w:val="21"/>
        </w:rPr>
        <w:t>можуть</w:t>
      </w:r>
    </w:p>
    <w:p w14:paraId="28E0587C" w14:textId="77777777" w:rsidR="00DE575E" w:rsidRDefault="00DE575E">
      <w:pPr>
        <w:pStyle w:val="BodyText"/>
        <w:rPr>
          <w:sz w:val="20"/>
        </w:rPr>
      </w:pPr>
    </w:p>
    <w:p w14:paraId="41AF4372" w14:textId="2A3F6817" w:rsidR="00DE575E" w:rsidRDefault="002E7560">
      <w:pPr>
        <w:pStyle w:val="BodyText"/>
        <w:rPr>
          <w:sz w:val="11"/>
        </w:rPr>
      </w:pPr>
      <w:r>
        <w:rPr>
          <w:noProof/>
        </w:rPr>
        <mc:AlternateContent>
          <mc:Choice Requires="wps">
            <w:drawing>
              <wp:anchor distT="0" distB="0" distL="0" distR="0" simplePos="0" relativeHeight="15952" behindDoc="0" locked="0" layoutInCell="1" allowOverlap="1" wp14:anchorId="3D3BABD4" wp14:editId="3E359FC7">
                <wp:simplePos x="0" y="0"/>
                <wp:positionH relativeFrom="page">
                  <wp:posOffset>719455</wp:posOffset>
                </wp:positionH>
                <wp:positionV relativeFrom="paragraph">
                  <wp:posOffset>109855</wp:posOffset>
                </wp:positionV>
                <wp:extent cx="1080135" cy="0"/>
                <wp:effectExtent l="8255" t="8255" r="29210" b="29845"/>
                <wp:wrapTopAndBottom/>
                <wp:docPr id="38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3BE05" id="Line_x0020_380" o:spid="_x0000_s1026" style="position:absolute;z-index:1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65pt" to="141.7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" strokecolor="#231f20" strokeweight=".5pt">
                <w10:wrap type="topAndBottom" anchorx="page"/>
              </v:line>
            </w:pict>
          </mc:Fallback>
        </mc:AlternateContent>
      </w:r>
    </w:p>
    <w:p w14:paraId="7BBB414E"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До 201</w:t>
      </w:r>
      <w:r>
        <w:rPr>
          <w:color w:val="231F20"/>
          <w:sz w:val="16"/>
        </w:rPr>
        <w:t xml:space="preserve">9 року таких груп </w:t>
      </w:r>
      <w:r>
        <w:rPr>
          <w:color w:val="231F20"/>
          <w:spacing w:val="-3"/>
          <w:sz w:val="16"/>
        </w:rPr>
        <w:t xml:space="preserve">було </w:t>
      </w:r>
      <w:r>
        <w:rPr>
          <w:color w:val="231F20"/>
          <w:sz w:val="16"/>
        </w:rPr>
        <w:t>п’ять. Зобов’язальні приписи Закону додатково поши- рювалися на членів громадських формувань антикорупційного спрямування (за сукуп- ності умов: систематичність діяльності, отримання зарубіжної матеріальної підтримки, входження до ке</w:t>
      </w:r>
      <w:r>
        <w:rPr>
          <w:color w:val="231F20"/>
          <w:sz w:val="16"/>
        </w:rPr>
        <w:t>рівних органів громадського утворення). Це піддавалося обґрунтованій критиці з боку теоретиків і практиків, оскільки суперечило природі антикорупційного законодавства (його спрямованості на носіїв повноважень) та засадам рівності (вибірко- вість</w:t>
      </w:r>
      <w:r>
        <w:rPr>
          <w:color w:val="231F20"/>
          <w:spacing w:val="-10"/>
          <w:sz w:val="16"/>
        </w:rPr>
        <w:t xml:space="preserve"> </w:t>
      </w:r>
      <w:r>
        <w:rPr>
          <w:color w:val="231F20"/>
          <w:sz w:val="16"/>
        </w:rPr>
        <w:t>поширення</w:t>
      </w:r>
      <w:r>
        <w:rPr>
          <w:color w:val="231F20"/>
          <w:spacing w:val="-10"/>
          <w:sz w:val="16"/>
        </w:rPr>
        <w:t xml:space="preserve"> </w:t>
      </w:r>
      <w:r>
        <w:rPr>
          <w:color w:val="231F20"/>
          <w:sz w:val="16"/>
        </w:rPr>
        <w:t>вимог</w:t>
      </w:r>
      <w:r>
        <w:rPr>
          <w:color w:val="231F20"/>
          <w:spacing w:val="-10"/>
          <w:sz w:val="16"/>
        </w:rPr>
        <w:t xml:space="preserve"> </w:t>
      </w:r>
      <w:r>
        <w:rPr>
          <w:color w:val="231F20"/>
          <w:sz w:val="16"/>
        </w:rPr>
        <w:t>саме</w:t>
      </w:r>
      <w:r>
        <w:rPr>
          <w:color w:val="231F20"/>
          <w:spacing w:val="-10"/>
          <w:sz w:val="16"/>
        </w:rPr>
        <w:t xml:space="preserve"> </w:t>
      </w:r>
      <w:r>
        <w:rPr>
          <w:color w:val="231F20"/>
          <w:sz w:val="16"/>
        </w:rPr>
        <w:t>на</w:t>
      </w:r>
      <w:r>
        <w:rPr>
          <w:color w:val="231F20"/>
          <w:spacing w:val="-10"/>
          <w:sz w:val="16"/>
        </w:rPr>
        <w:t xml:space="preserve"> </w:t>
      </w:r>
      <w:r>
        <w:rPr>
          <w:color w:val="231F20"/>
          <w:sz w:val="16"/>
        </w:rPr>
        <w:t>антикорупційних</w:t>
      </w:r>
      <w:r>
        <w:rPr>
          <w:color w:val="231F20"/>
          <w:spacing w:val="-10"/>
          <w:sz w:val="16"/>
        </w:rPr>
        <w:t xml:space="preserve"> </w:t>
      </w:r>
      <w:r>
        <w:rPr>
          <w:color w:val="231F20"/>
          <w:sz w:val="16"/>
        </w:rPr>
        <w:t>активістів,</w:t>
      </w:r>
      <w:r>
        <w:rPr>
          <w:color w:val="231F20"/>
          <w:spacing w:val="-10"/>
          <w:sz w:val="16"/>
        </w:rPr>
        <w:t xml:space="preserve"> </w:t>
      </w:r>
      <w:r>
        <w:rPr>
          <w:color w:val="231F20"/>
          <w:sz w:val="16"/>
        </w:rPr>
        <w:t>не</w:t>
      </w:r>
      <w:r>
        <w:rPr>
          <w:color w:val="231F20"/>
          <w:spacing w:val="-10"/>
          <w:sz w:val="16"/>
        </w:rPr>
        <w:t xml:space="preserve"> </w:t>
      </w:r>
      <w:r>
        <w:rPr>
          <w:color w:val="231F20"/>
          <w:sz w:val="16"/>
        </w:rPr>
        <w:t>екологічних,</w:t>
      </w:r>
      <w:r>
        <w:rPr>
          <w:color w:val="231F20"/>
          <w:spacing w:val="-10"/>
          <w:sz w:val="16"/>
        </w:rPr>
        <w:t xml:space="preserve"> </w:t>
      </w:r>
      <w:r>
        <w:rPr>
          <w:color w:val="231F20"/>
          <w:sz w:val="16"/>
        </w:rPr>
        <w:t>не</w:t>
      </w:r>
      <w:r>
        <w:rPr>
          <w:color w:val="231F20"/>
          <w:spacing w:val="-10"/>
          <w:sz w:val="16"/>
        </w:rPr>
        <w:t xml:space="preserve"> </w:t>
      </w:r>
      <w:r>
        <w:rPr>
          <w:color w:val="231F20"/>
          <w:sz w:val="16"/>
        </w:rPr>
        <w:t>гендерних тощо),</w:t>
      </w:r>
      <w:r>
        <w:rPr>
          <w:color w:val="231F20"/>
          <w:spacing w:val="-10"/>
          <w:sz w:val="16"/>
        </w:rPr>
        <w:t xml:space="preserve"> </w:t>
      </w:r>
      <w:r>
        <w:rPr>
          <w:color w:val="231F20"/>
          <w:sz w:val="16"/>
        </w:rPr>
        <w:t>маючи</w:t>
      </w:r>
      <w:r>
        <w:rPr>
          <w:color w:val="231F20"/>
          <w:spacing w:val="-10"/>
          <w:sz w:val="16"/>
        </w:rPr>
        <w:t xml:space="preserve"> </w:t>
      </w:r>
      <w:r>
        <w:rPr>
          <w:color w:val="231F20"/>
          <w:sz w:val="16"/>
        </w:rPr>
        <w:t>ознаки</w:t>
      </w:r>
      <w:r>
        <w:rPr>
          <w:color w:val="231F20"/>
          <w:spacing w:val="-10"/>
          <w:sz w:val="16"/>
        </w:rPr>
        <w:t xml:space="preserve"> </w:t>
      </w:r>
      <w:r>
        <w:rPr>
          <w:color w:val="231F20"/>
          <w:sz w:val="16"/>
        </w:rPr>
        <w:t>не</w:t>
      </w:r>
      <w:r>
        <w:rPr>
          <w:color w:val="231F20"/>
          <w:spacing w:val="-10"/>
          <w:sz w:val="16"/>
        </w:rPr>
        <w:t xml:space="preserve"> </w:t>
      </w:r>
      <w:r>
        <w:rPr>
          <w:color w:val="231F20"/>
          <w:sz w:val="16"/>
        </w:rPr>
        <w:t>зваженого</w:t>
      </w:r>
      <w:r>
        <w:rPr>
          <w:color w:val="231F20"/>
          <w:spacing w:val="-10"/>
          <w:sz w:val="16"/>
        </w:rPr>
        <w:t xml:space="preserve"> </w:t>
      </w:r>
      <w:r>
        <w:rPr>
          <w:color w:val="231F20"/>
          <w:sz w:val="16"/>
        </w:rPr>
        <w:t>державобудівничого</w:t>
      </w:r>
      <w:r>
        <w:rPr>
          <w:color w:val="231F20"/>
          <w:spacing w:val="-10"/>
          <w:sz w:val="16"/>
        </w:rPr>
        <w:t xml:space="preserve"> </w:t>
      </w:r>
      <w:r>
        <w:rPr>
          <w:color w:val="231F20"/>
          <w:spacing w:val="-3"/>
          <w:sz w:val="16"/>
        </w:rPr>
        <w:t>кроку,</w:t>
      </w:r>
      <w:r>
        <w:rPr>
          <w:color w:val="231F20"/>
          <w:spacing w:val="-10"/>
          <w:sz w:val="16"/>
        </w:rPr>
        <w:t xml:space="preserve"> </w:t>
      </w:r>
      <w:r>
        <w:rPr>
          <w:color w:val="231F20"/>
          <w:sz w:val="16"/>
        </w:rPr>
        <w:t>а</w:t>
      </w:r>
      <w:r>
        <w:rPr>
          <w:color w:val="231F20"/>
          <w:spacing w:val="-10"/>
          <w:sz w:val="16"/>
        </w:rPr>
        <w:t xml:space="preserve"> </w:t>
      </w:r>
      <w:r>
        <w:rPr>
          <w:color w:val="231F20"/>
          <w:sz w:val="16"/>
        </w:rPr>
        <w:t>нормотворчого</w:t>
      </w:r>
      <w:r>
        <w:rPr>
          <w:color w:val="231F20"/>
          <w:spacing w:val="-10"/>
          <w:sz w:val="16"/>
        </w:rPr>
        <w:t xml:space="preserve"> </w:t>
      </w:r>
      <w:r>
        <w:rPr>
          <w:color w:val="231F20"/>
          <w:sz w:val="16"/>
        </w:rPr>
        <w:t xml:space="preserve">тиску-ре- ваншизму. </w:t>
      </w:r>
      <w:r>
        <w:rPr>
          <w:color w:val="231F20"/>
          <w:spacing w:val="-4"/>
          <w:sz w:val="16"/>
        </w:rPr>
        <w:t xml:space="preserve">Тому </w:t>
      </w:r>
      <w:r>
        <w:rPr>
          <w:color w:val="231F20"/>
          <w:sz w:val="16"/>
        </w:rPr>
        <w:t xml:space="preserve">позитивно, що в червні 2019 року КСУ визнав відповідну норму (п. 5 ч. 1 </w:t>
      </w:r>
      <w:r>
        <w:rPr>
          <w:color w:val="231F20"/>
          <w:spacing w:val="-5"/>
          <w:sz w:val="16"/>
        </w:rPr>
        <w:t xml:space="preserve">ст. </w:t>
      </w:r>
      <w:r>
        <w:rPr>
          <w:color w:val="231F20"/>
          <w:sz w:val="16"/>
        </w:rPr>
        <w:t>3) антикорупційного Закону</w:t>
      </w:r>
      <w:r>
        <w:rPr>
          <w:color w:val="231F20"/>
          <w:spacing w:val="-1"/>
          <w:sz w:val="16"/>
        </w:rPr>
        <w:t xml:space="preserve"> </w:t>
      </w:r>
      <w:r>
        <w:rPr>
          <w:color w:val="231F20"/>
          <w:sz w:val="16"/>
        </w:rPr>
        <w:t>неконституційною.</w:t>
      </w:r>
    </w:p>
    <w:p w14:paraId="59C545D2" w14:textId="77777777" w:rsidR="00DE575E" w:rsidRDefault="002E7560">
      <w:pPr>
        <w:spacing w:before="30" w:line="204" w:lineRule="auto"/>
        <w:ind w:left="533" w:right="127"/>
        <w:jc w:val="both"/>
        <w:rPr>
          <w:sz w:val="16"/>
        </w:rPr>
      </w:pPr>
      <w:r>
        <w:rPr>
          <w:color w:val="231F20"/>
          <w:position w:val="5"/>
          <w:sz w:val="9"/>
        </w:rPr>
        <w:t xml:space="preserve">2 </w:t>
      </w:r>
      <w:r>
        <w:rPr>
          <w:color w:val="231F20"/>
          <w:sz w:val="16"/>
        </w:rPr>
        <w:t xml:space="preserve">Слово «майже» зумовлено потребою застереження про те, що окремі публічні служ- бовці взагалі не належать до </w:t>
      </w:r>
      <w:r>
        <w:rPr>
          <w:color w:val="231F20"/>
          <w:spacing w:val="-4"/>
          <w:sz w:val="16"/>
        </w:rPr>
        <w:t xml:space="preserve">суб’єктів, </w:t>
      </w:r>
      <w:r>
        <w:rPr>
          <w:color w:val="231F20"/>
          <w:sz w:val="16"/>
        </w:rPr>
        <w:t xml:space="preserve">на яких поширюються </w:t>
      </w:r>
      <w:r>
        <w:rPr>
          <w:color w:val="231F20"/>
          <w:spacing w:val="-3"/>
          <w:sz w:val="16"/>
        </w:rPr>
        <w:t xml:space="preserve">антикорупційні обмеження </w:t>
      </w:r>
      <w:r>
        <w:rPr>
          <w:color w:val="231F20"/>
          <w:sz w:val="16"/>
        </w:rPr>
        <w:t>(це, наприклад, діючі «на громадських засадах</w:t>
      </w:r>
      <w:r>
        <w:rPr>
          <w:color w:val="231F20"/>
          <w:sz w:val="16"/>
        </w:rPr>
        <w:t xml:space="preserve">» патронатні службовці). Цікаво, що </w:t>
      </w:r>
      <w:r>
        <w:rPr>
          <w:color w:val="231F20"/>
          <w:spacing w:val="-2"/>
          <w:sz w:val="16"/>
        </w:rPr>
        <w:t xml:space="preserve">раніше </w:t>
      </w:r>
      <w:r>
        <w:rPr>
          <w:color w:val="231F20"/>
          <w:sz w:val="16"/>
        </w:rPr>
        <w:t xml:space="preserve">поза межами впливу </w:t>
      </w:r>
      <w:r>
        <w:rPr>
          <w:color w:val="231F20"/>
          <w:spacing w:val="-3"/>
          <w:sz w:val="16"/>
        </w:rPr>
        <w:t xml:space="preserve">розглядуваного законодавства </w:t>
      </w:r>
      <w:r>
        <w:rPr>
          <w:color w:val="231F20"/>
          <w:sz w:val="16"/>
        </w:rPr>
        <w:t>перебувала більшість патронатних службовців.</w:t>
      </w:r>
      <w:r>
        <w:rPr>
          <w:color w:val="231F20"/>
          <w:spacing w:val="-4"/>
          <w:sz w:val="16"/>
        </w:rPr>
        <w:t xml:space="preserve"> </w:t>
      </w:r>
      <w:r>
        <w:rPr>
          <w:color w:val="231F20"/>
          <w:sz w:val="16"/>
        </w:rPr>
        <w:t>Проте</w:t>
      </w:r>
      <w:r>
        <w:rPr>
          <w:color w:val="231F20"/>
          <w:spacing w:val="-4"/>
          <w:sz w:val="16"/>
        </w:rPr>
        <w:t xml:space="preserve"> </w:t>
      </w:r>
      <w:r>
        <w:rPr>
          <w:color w:val="231F20"/>
          <w:sz w:val="16"/>
        </w:rPr>
        <w:t>в</w:t>
      </w:r>
      <w:r>
        <w:rPr>
          <w:color w:val="231F20"/>
          <w:spacing w:val="-4"/>
          <w:sz w:val="16"/>
        </w:rPr>
        <w:t xml:space="preserve"> </w:t>
      </w:r>
      <w:r>
        <w:rPr>
          <w:color w:val="231F20"/>
          <w:spacing w:val="-2"/>
          <w:sz w:val="16"/>
        </w:rPr>
        <w:t>жовтні</w:t>
      </w:r>
      <w:r>
        <w:rPr>
          <w:color w:val="231F20"/>
          <w:spacing w:val="-4"/>
          <w:sz w:val="16"/>
        </w:rPr>
        <w:t xml:space="preserve"> </w:t>
      </w:r>
      <w:r>
        <w:rPr>
          <w:color w:val="231F20"/>
          <w:sz w:val="16"/>
        </w:rPr>
        <w:t>2019</w:t>
      </w:r>
      <w:r>
        <w:rPr>
          <w:color w:val="231F20"/>
          <w:spacing w:val="-4"/>
          <w:sz w:val="16"/>
        </w:rPr>
        <w:t xml:space="preserve"> </w:t>
      </w:r>
      <w:r>
        <w:rPr>
          <w:color w:val="231F20"/>
          <w:sz w:val="16"/>
        </w:rPr>
        <w:t>року</w:t>
      </w:r>
      <w:r>
        <w:rPr>
          <w:color w:val="231F20"/>
          <w:spacing w:val="-4"/>
          <w:sz w:val="16"/>
        </w:rPr>
        <w:t xml:space="preserve"> </w:t>
      </w:r>
      <w:r>
        <w:rPr>
          <w:color w:val="231F20"/>
          <w:sz w:val="16"/>
        </w:rPr>
        <w:t>ті</w:t>
      </w:r>
      <w:r>
        <w:rPr>
          <w:color w:val="231F20"/>
          <w:spacing w:val="-4"/>
          <w:sz w:val="16"/>
        </w:rPr>
        <w:t xml:space="preserve"> </w:t>
      </w:r>
      <w:r>
        <w:rPr>
          <w:color w:val="231F20"/>
          <w:sz w:val="16"/>
        </w:rPr>
        <w:t>з</w:t>
      </w:r>
      <w:r>
        <w:rPr>
          <w:color w:val="231F20"/>
          <w:spacing w:val="-4"/>
          <w:sz w:val="16"/>
        </w:rPr>
        <w:t xml:space="preserve"> </w:t>
      </w:r>
      <w:r>
        <w:rPr>
          <w:color w:val="231F20"/>
          <w:sz w:val="16"/>
        </w:rPr>
        <w:t>них,</w:t>
      </w:r>
      <w:r>
        <w:rPr>
          <w:color w:val="231F20"/>
          <w:spacing w:val="-4"/>
          <w:sz w:val="16"/>
        </w:rPr>
        <w:t xml:space="preserve"> </w:t>
      </w:r>
      <w:r>
        <w:rPr>
          <w:color w:val="231F20"/>
          <w:sz w:val="16"/>
        </w:rPr>
        <w:t>які</w:t>
      </w:r>
      <w:r>
        <w:rPr>
          <w:color w:val="231F20"/>
          <w:spacing w:val="-4"/>
          <w:sz w:val="16"/>
        </w:rPr>
        <w:t xml:space="preserve"> </w:t>
      </w:r>
      <w:r>
        <w:rPr>
          <w:color w:val="231F20"/>
          <w:spacing w:val="-3"/>
          <w:sz w:val="16"/>
        </w:rPr>
        <w:t>виконують</w:t>
      </w:r>
      <w:r>
        <w:rPr>
          <w:color w:val="231F20"/>
          <w:spacing w:val="-4"/>
          <w:sz w:val="16"/>
        </w:rPr>
        <w:t xml:space="preserve"> </w:t>
      </w:r>
      <w:r>
        <w:rPr>
          <w:color w:val="231F20"/>
          <w:sz w:val="16"/>
        </w:rPr>
        <w:t>свої</w:t>
      </w:r>
      <w:r>
        <w:rPr>
          <w:color w:val="231F20"/>
          <w:spacing w:val="-4"/>
          <w:sz w:val="16"/>
        </w:rPr>
        <w:t xml:space="preserve"> </w:t>
      </w:r>
      <w:r>
        <w:rPr>
          <w:color w:val="231F20"/>
          <w:spacing w:val="-2"/>
          <w:sz w:val="16"/>
        </w:rPr>
        <w:t>повноваження</w:t>
      </w:r>
      <w:r>
        <w:rPr>
          <w:color w:val="231F20"/>
          <w:spacing w:val="-4"/>
          <w:sz w:val="16"/>
        </w:rPr>
        <w:t xml:space="preserve"> </w:t>
      </w:r>
      <w:r>
        <w:rPr>
          <w:color w:val="231F20"/>
          <w:sz w:val="16"/>
        </w:rPr>
        <w:t>на</w:t>
      </w:r>
      <w:r>
        <w:rPr>
          <w:color w:val="231F20"/>
          <w:spacing w:val="-4"/>
          <w:sz w:val="16"/>
        </w:rPr>
        <w:t xml:space="preserve"> </w:t>
      </w:r>
      <w:r>
        <w:rPr>
          <w:color w:val="231F20"/>
          <w:sz w:val="16"/>
        </w:rPr>
        <w:t>оплат- ній</w:t>
      </w:r>
      <w:r>
        <w:rPr>
          <w:color w:val="231F20"/>
          <w:spacing w:val="-10"/>
          <w:sz w:val="16"/>
        </w:rPr>
        <w:t xml:space="preserve"> </w:t>
      </w:r>
      <w:r>
        <w:rPr>
          <w:color w:val="231F20"/>
          <w:sz w:val="16"/>
        </w:rPr>
        <w:t>основі</w:t>
      </w:r>
      <w:r>
        <w:rPr>
          <w:color w:val="231F20"/>
          <w:spacing w:val="-10"/>
          <w:sz w:val="16"/>
        </w:rPr>
        <w:t xml:space="preserve"> </w:t>
      </w:r>
      <w:r>
        <w:rPr>
          <w:color w:val="231F20"/>
          <w:sz w:val="16"/>
        </w:rPr>
        <w:t>(зокрема</w:t>
      </w:r>
      <w:r>
        <w:rPr>
          <w:color w:val="231F20"/>
          <w:spacing w:val="-10"/>
          <w:sz w:val="16"/>
        </w:rPr>
        <w:t xml:space="preserve"> </w:t>
      </w:r>
      <w:r>
        <w:rPr>
          <w:color w:val="231F20"/>
          <w:sz w:val="16"/>
        </w:rPr>
        <w:t>й</w:t>
      </w:r>
      <w:r>
        <w:rPr>
          <w:color w:val="231F20"/>
          <w:spacing w:val="-11"/>
          <w:sz w:val="16"/>
        </w:rPr>
        <w:t xml:space="preserve"> </w:t>
      </w:r>
      <w:r>
        <w:rPr>
          <w:color w:val="231F20"/>
          <w:sz w:val="16"/>
        </w:rPr>
        <w:t>помічники</w:t>
      </w:r>
      <w:r>
        <w:rPr>
          <w:color w:val="231F20"/>
          <w:spacing w:val="-10"/>
          <w:sz w:val="16"/>
        </w:rPr>
        <w:t xml:space="preserve"> </w:t>
      </w:r>
      <w:r>
        <w:rPr>
          <w:color w:val="231F20"/>
          <w:spacing w:val="-3"/>
          <w:sz w:val="16"/>
        </w:rPr>
        <w:t>суддів),</w:t>
      </w:r>
      <w:r>
        <w:rPr>
          <w:color w:val="231F20"/>
          <w:spacing w:val="-10"/>
          <w:sz w:val="16"/>
        </w:rPr>
        <w:t xml:space="preserve"> </w:t>
      </w:r>
      <w:r>
        <w:rPr>
          <w:color w:val="231F20"/>
          <w:spacing w:val="-3"/>
          <w:sz w:val="16"/>
        </w:rPr>
        <w:t>бу</w:t>
      </w:r>
      <w:r>
        <w:rPr>
          <w:color w:val="231F20"/>
          <w:spacing w:val="-3"/>
          <w:sz w:val="16"/>
        </w:rPr>
        <w:t>ли</w:t>
      </w:r>
      <w:r>
        <w:rPr>
          <w:color w:val="231F20"/>
          <w:spacing w:val="-10"/>
          <w:sz w:val="16"/>
        </w:rPr>
        <w:t xml:space="preserve"> </w:t>
      </w:r>
      <w:r>
        <w:rPr>
          <w:color w:val="231F20"/>
          <w:spacing w:val="-3"/>
          <w:sz w:val="16"/>
        </w:rPr>
        <w:t>зараховані</w:t>
      </w:r>
      <w:r>
        <w:rPr>
          <w:color w:val="231F20"/>
          <w:spacing w:val="-10"/>
          <w:sz w:val="16"/>
        </w:rPr>
        <w:t xml:space="preserve"> </w:t>
      </w:r>
      <w:r>
        <w:rPr>
          <w:color w:val="231F20"/>
          <w:sz w:val="16"/>
        </w:rPr>
        <w:t>до</w:t>
      </w:r>
      <w:r>
        <w:rPr>
          <w:color w:val="231F20"/>
          <w:spacing w:val="-10"/>
          <w:sz w:val="16"/>
        </w:rPr>
        <w:t xml:space="preserve"> </w:t>
      </w:r>
      <w:r>
        <w:rPr>
          <w:color w:val="231F20"/>
          <w:spacing w:val="-4"/>
          <w:sz w:val="16"/>
        </w:rPr>
        <w:t>суб’єктів,</w:t>
      </w:r>
      <w:r>
        <w:rPr>
          <w:color w:val="231F20"/>
          <w:spacing w:val="-10"/>
          <w:sz w:val="16"/>
        </w:rPr>
        <w:t xml:space="preserve"> </w:t>
      </w:r>
      <w:r>
        <w:rPr>
          <w:color w:val="231F20"/>
          <w:sz w:val="16"/>
        </w:rPr>
        <w:t>на</w:t>
      </w:r>
      <w:r>
        <w:rPr>
          <w:color w:val="231F20"/>
          <w:spacing w:val="-10"/>
          <w:sz w:val="16"/>
        </w:rPr>
        <w:t xml:space="preserve"> </w:t>
      </w:r>
      <w:r>
        <w:rPr>
          <w:color w:val="231F20"/>
          <w:sz w:val="16"/>
        </w:rPr>
        <w:t>яких</w:t>
      </w:r>
      <w:r>
        <w:rPr>
          <w:color w:val="231F20"/>
          <w:spacing w:val="-10"/>
          <w:sz w:val="16"/>
        </w:rPr>
        <w:t xml:space="preserve"> </w:t>
      </w:r>
      <w:r>
        <w:rPr>
          <w:color w:val="231F20"/>
          <w:sz w:val="16"/>
        </w:rPr>
        <w:t xml:space="preserve">поширюється дія </w:t>
      </w:r>
      <w:r>
        <w:rPr>
          <w:color w:val="231F20"/>
          <w:spacing w:val="-2"/>
          <w:sz w:val="16"/>
        </w:rPr>
        <w:t xml:space="preserve">Закону </w:t>
      </w:r>
      <w:r>
        <w:rPr>
          <w:color w:val="231F20"/>
          <w:sz w:val="16"/>
        </w:rPr>
        <w:t xml:space="preserve">«Про запобігання </w:t>
      </w:r>
      <w:r>
        <w:rPr>
          <w:color w:val="231F20"/>
          <w:spacing w:val="-3"/>
          <w:sz w:val="16"/>
        </w:rPr>
        <w:t xml:space="preserve">корупції». Подібна </w:t>
      </w:r>
      <w:r>
        <w:rPr>
          <w:color w:val="231F20"/>
          <w:sz w:val="16"/>
        </w:rPr>
        <w:t xml:space="preserve">вибірковість оновлення </w:t>
      </w:r>
      <w:r>
        <w:rPr>
          <w:color w:val="231F20"/>
          <w:spacing w:val="-3"/>
          <w:sz w:val="16"/>
        </w:rPr>
        <w:t xml:space="preserve">хоча </w:t>
      </w:r>
      <w:r>
        <w:rPr>
          <w:color w:val="231F20"/>
          <w:sz w:val="16"/>
        </w:rPr>
        <w:t>й зумовлена службовою</w:t>
      </w:r>
      <w:r>
        <w:rPr>
          <w:color w:val="231F20"/>
          <w:spacing w:val="-14"/>
          <w:sz w:val="16"/>
        </w:rPr>
        <w:t xml:space="preserve"> </w:t>
      </w:r>
      <w:r>
        <w:rPr>
          <w:color w:val="231F20"/>
          <w:sz w:val="16"/>
        </w:rPr>
        <w:t>специфікою,</w:t>
      </w:r>
      <w:r>
        <w:rPr>
          <w:color w:val="231F20"/>
          <w:spacing w:val="-14"/>
          <w:sz w:val="16"/>
        </w:rPr>
        <w:t xml:space="preserve"> </w:t>
      </w:r>
      <w:r>
        <w:rPr>
          <w:color w:val="231F20"/>
          <w:sz w:val="16"/>
        </w:rPr>
        <w:t>але</w:t>
      </w:r>
      <w:r>
        <w:rPr>
          <w:color w:val="231F20"/>
          <w:spacing w:val="-14"/>
          <w:sz w:val="16"/>
        </w:rPr>
        <w:t xml:space="preserve"> </w:t>
      </w:r>
      <w:r>
        <w:rPr>
          <w:color w:val="231F20"/>
          <w:spacing w:val="-3"/>
          <w:sz w:val="16"/>
        </w:rPr>
        <w:t>все-одно</w:t>
      </w:r>
      <w:r>
        <w:rPr>
          <w:color w:val="231F20"/>
          <w:spacing w:val="-14"/>
          <w:sz w:val="16"/>
        </w:rPr>
        <w:t xml:space="preserve"> </w:t>
      </w:r>
      <w:r>
        <w:rPr>
          <w:color w:val="231F20"/>
          <w:sz w:val="16"/>
        </w:rPr>
        <w:t>викликає</w:t>
      </w:r>
      <w:r>
        <w:rPr>
          <w:color w:val="231F20"/>
          <w:spacing w:val="-14"/>
          <w:sz w:val="16"/>
        </w:rPr>
        <w:t xml:space="preserve"> </w:t>
      </w:r>
      <w:r>
        <w:rPr>
          <w:color w:val="231F20"/>
          <w:sz w:val="16"/>
        </w:rPr>
        <w:t>заперечення:</w:t>
      </w:r>
      <w:r>
        <w:rPr>
          <w:color w:val="231F20"/>
          <w:spacing w:val="-14"/>
          <w:sz w:val="16"/>
        </w:rPr>
        <w:t xml:space="preserve"> </w:t>
      </w:r>
      <w:r>
        <w:rPr>
          <w:color w:val="231F20"/>
          <w:sz w:val="16"/>
        </w:rPr>
        <w:t>якщо</w:t>
      </w:r>
      <w:r>
        <w:rPr>
          <w:color w:val="231F20"/>
          <w:spacing w:val="-14"/>
          <w:sz w:val="16"/>
        </w:rPr>
        <w:t xml:space="preserve"> </w:t>
      </w:r>
      <w:r>
        <w:rPr>
          <w:color w:val="231F20"/>
          <w:sz w:val="16"/>
        </w:rPr>
        <w:t>в</w:t>
      </w:r>
      <w:r>
        <w:rPr>
          <w:color w:val="231F20"/>
          <w:spacing w:val="-14"/>
          <w:sz w:val="16"/>
        </w:rPr>
        <w:t xml:space="preserve"> </w:t>
      </w:r>
      <w:r>
        <w:rPr>
          <w:color w:val="231F20"/>
          <w:sz w:val="16"/>
        </w:rPr>
        <w:t>публічного</w:t>
      </w:r>
      <w:r>
        <w:rPr>
          <w:color w:val="231F20"/>
          <w:spacing w:val="-14"/>
          <w:sz w:val="16"/>
        </w:rPr>
        <w:t xml:space="preserve"> </w:t>
      </w:r>
      <w:r>
        <w:rPr>
          <w:color w:val="231F20"/>
          <w:sz w:val="16"/>
        </w:rPr>
        <w:t>службовця є</w:t>
      </w:r>
      <w:r>
        <w:rPr>
          <w:color w:val="231F20"/>
          <w:spacing w:val="-14"/>
          <w:sz w:val="16"/>
        </w:rPr>
        <w:t xml:space="preserve"> </w:t>
      </w:r>
      <w:r>
        <w:rPr>
          <w:color w:val="231F20"/>
          <w:sz w:val="16"/>
        </w:rPr>
        <w:t>певні</w:t>
      </w:r>
      <w:r>
        <w:rPr>
          <w:color w:val="231F20"/>
          <w:spacing w:val="-14"/>
          <w:sz w:val="16"/>
        </w:rPr>
        <w:t xml:space="preserve"> </w:t>
      </w:r>
      <w:r>
        <w:rPr>
          <w:color w:val="231F20"/>
          <w:sz w:val="16"/>
        </w:rPr>
        <w:t>владні</w:t>
      </w:r>
      <w:r>
        <w:rPr>
          <w:color w:val="231F20"/>
          <w:spacing w:val="-14"/>
          <w:sz w:val="16"/>
        </w:rPr>
        <w:t xml:space="preserve"> </w:t>
      </w:r>
      <w:r>
        <w:rPr>
          <w:color w:val="231F20"/>
          <w:sz w:val="16"/>
        </w:rPr>
        <w:t>можливості,</w:t>
      </w:r>
      <w:r>
        <w:rPr>
          <w:color w:val="231F20"/>
          <w:spacing w:val="-14"/>
          <w:sz w:val="16"/>
        </w:rPr>
        <w:t xml:space="preserve"> </w:t>
      </w:r>
      <w:r>
        <w:rPr>
          <w:color w:val="231F20"/>
          <w:sz w:val="16"/>
        </w:rPr>
        <w:t>то</w:t>
      </w:r>
      <w:r>
        <w:rPr>
          <w:color w:val="231F20"/>
          <w:spacing w:val="-14"/>
          <w:sz w:val="16"/>
        </w:rPr>
        <w:t xml:space="preserve"> </w:t>
      </w:r>
      <w:r>
        <w:rPr>
          <w:color w:val="231F20"/>
          <w:sz w:val="16"/>
        </w:rPr>
        <w:t>потенційна</w:t>
      </w:r>
      <w:r>
        <w:rPr>
          <w:color w:val="231F20"/>
          <w:spacing w:val="-14"/>
          <w:sz w:val="16"/>
        </w:rPr>
        <w:t xml:space="preserve"> </w:t>
      </w:r>
      <w:r>
        <w:rPr>
          <w:color w:val="231F20"/>
          <w:sz w:val="16"/>
        </w:rPr>
        <w:t>ймовірність</w:t>
      </w:r>
      <w:r>
        <w:rPr>
          <w:color w:val="231F20"/>
          <w:spacing w:val="-14"/>
          <w:sz w:val="16"/>
        </w:rPr>
        <w:t xml:space="preserve"> </w:t>
      </w:r>
      <w:r>
        <w:rPr>
          <w:color w:val="231F20"/>
          <w:sz w:val="16"/>
        </w:rPr>
        <w:t>їх</w:t>
      </w:r>
      <w:r>
        <w:rPr>
          <w:color w:val="231F20"/>
          <w:spacing w:val="-14"/>
          <w:sz w:val="16"/>
        </w:rPr>
        <w:t xml:space="preserve"> </w:t>
      </w:r>
      <w:r>
        <w:rPr>
          <w:color w:val="231F20"/>
          <w:spacing w:val="-3"/>
          <w:sz w:val="16"/>
        </w:rPr>
        <w:t>корупційного</w:t>
      </w:r>
      <w:r>
        <w:rPr>
          <w:color w:val="231F20"/>
          <w:spacing w:val="-14"/>
          <w:sz w:val="16"/>
        </w:rPr>
        <w:t xml:space="preserve"> </w:t>
      </w:r>
      <w:r>
        <w:rPr>
          <w:color w:val="231F20"/>
          <w:sz w:val="16"/>
        </w:rPr>
        <w:t>використання</w:t>
      </w:r>
      <w:r>
        <w:rPr>
          <w:color w:val="231F20"/>
          <w:spacing w:val="-14"/>
          <w:sz w:val="16"/>
        </w:rPr>
        <w:t xml:space="preserve"> </w:t>
      </w:r>
      <w:r>
        <w:rPr>
          <w:color w:val="231F20"/>
          <w:spacing w:val="-2"/>
          <w:sz w:val="16"/>
        </w:rPr>
        <w:t xml:space="preserve">зовсім </w:t>
      </w:r>
      <w:r>
        <w:rPr>
          <w:color w:val="231F20"/>
          <w:sz w:val="16"/>
        </w:rPr>
        <w:t>не</w:t>
      </w:r>
      <w:r>
        <w:rPr>
          <w:color w:val="231F20"/>
          <w:spacing w:val="-8"/>
          <w:sz w:val="16"/>
        </w:rPr>
        <w:t xml:space="preserve"> </w:t>
      </w:r>
      <w:r>
        <w:rPr>
          <w:color w:val="231F20"/>
          <w:sz w:val="16"/>
        </w:rPr>
        <w:t>залежить</w:t>
      </w:r>
      <w:r>
        <w:rPr>
          <w:color w:val="231F20"/>
          <w:spacing w:val="-8"/>
          <w:sz w:val="16"/>
        </w:rPr>
        <w:t xml:space="preserve"> </w:t>
      </w:r>
      <w:r>
        <w:rPr>
          <w:color w:val="231F20"/>
          <w:sz w:val="16"/>
        </w:rPr>
        <w:t>від</w:t>
      </w:r>
      <w:r>
        <w:rPr>
          <w:color w:val="231F20"/>
          <w:spacing w:val="-8"/>
          <w:sz w:val="16"/>
        </w:rPr>
        <w:t xml:space="preserve"> </w:t>
      </w:r>
      <w:r>
        <w:rPr>
          <w:color w:val="231F20"/>
          <w:spacing w:val="-3"/>
          <w:sz w:val="16"/>
        </w:rPr>
        <w:t>організаційно-трудових</w:t>
      </w:r>
      <w:r>
        <w:rPr>
          <w:color w:val="231F20"/>
          <w:spacing w:val="-8"/>
          <w:sz w:val="16"/>
        </w:rPr>
        <w:t xml:space="preserve"> </w:t>
      </w:r>
      <w:r>
        <w:rPr>
          <w:color w:val="231F20"/>
          <w:sz w:val="16"/>
        </w:rPr>
        <w:t>засад</w:t>
      </w:r>
      <w:r>
        <w:rPr>
          <w:color w:val="231F20"/>
          <w:spacing w:val="-8"/>
          <w:sz w:val="16"/>
        </w:rPr>
        <w:t xml:space="preserve"> </w:t>
      </w:r>
      <w:r>
        <w:rPr>
          <w:color w:val="231F20"/>
          <w:sz w:val="16"/>
        </w:rPr>
        <w:t>здійснюваної</w:t>
      </w:r>
      <w:r>
        <w:rPr>
          <w:color w:val="231F20"/>
          <w:spacing w:val="-8"/>
          <w:sz w:val="16"/>
        </w:rPr>
        <w:t xml:space="preserve"> </w:t>
      </w:r>
      <w:r>
        <w:rPr>
          <w:color w:val="231F20"/>
          <w:sz w:val="16"/>
        </w:rPr>
        <w:t>роботи.</w:t>
      </w:r>
      <w:r>
        <w:rPr>
          <w:color w:val="231F20"/>
          <w:spacing w:val="-8"/>
          <w:sz w:val="16"/>
        </w:rPr>
        <w:t xml:space="preserve"> </w:t>
      </w:r>
      <w:r>
        <w:rPr>
          <w:color w:val="231F20"/>
          <w:sz w:val="16"/>
        </w:rPr>
        <w:t>Поставимо</w:t>
      </w:r>
      <w:r>
        <w:rPr>
          <w:color w:val="231F20"/>
          <w:spacing w:val="-8"/>
          <w:sz w:val="16"/>
        </w:rPr>
        <w:t xml:space="preserve"> </w:t>
      </w:r>
      <w:r>
        <w:rPr>
          <w:color w:val="231F20"/>
          <w:sz w:val="16"/>
        </w:rPr>
        <w:t xml:space="preserve">риторичне запитання: чи той </w:t>
      </w:r>
      <w:r>
        <w:rPr>
          <w:color w:val="231F20"/>
          <w:spacing w:val="-5"/>
          <w:sz w:val="16"/>
        </w:rPr>
        <w:t xml:space="preserve">факт, </w:t>
      </w:r>
      <w:r>
        <w:rPr>
          <w:color w:val="231F20"/>
          <w:sz w:val="16"/>
        </w:rPr>
        <w:t xml:space="preserve">що патронатна діяльність відбувається на громадських засадах, повністю </w:t>
      </w:r>
      <w:r>
        <w:rPr>
          <w:color w:val="231F20"/>
          <w:spacing w:val="-3"/>
          <w:sz w:val="16"/>
        </w:rPr>
        <w:t xml:space="preserve">убезпечує  </w:t>
      </w:r>
      <w:r>
        <w:rPr>
          <w:color w:val="231F20"/>
          <w:sz w:val="16"/>
        </w:rPr>
        <w:t xml:space="preserve">від використання посади з метою </w:t>
      </w:r>
      <w:r>
        <w:rPr>
          <w:color w:val="231F20"/>
          <w:spacing w:val="-2"/>
          <w:sz w:val="16"/>
        </w:rPr>
        <w:t xml:space="preserve">отримання </w:t>
      </w:r>
      <w:r>
        <w:rPr>
          <w:color w:val="231F20"/>
          <w:sz w:val="16"/>
        </w:rPr>
        <w:t xml:space="preserve">неправомірної </w:t>
      </w:r>
      <w:r>
        <w:rPr>
          <w:color w:val="231F20"/>
          <w:spacing w:val="-3"/>
          <w:sz w:val="16"/>
        </w:rPr>
        <w:t xml:space="preserve">вигоди?  </w:t>
      </w:r>
      <w:r>
        <w:rPr>
          <w:color w:val="231F20"/>
          <w:sz w:val="16"/>
        </w:rPr>
        <w:t>і</w:t>
      </w:r>
      <w:r>
        <w:rPr>
          <w:color w:val="231F20"/>
          <w:spacing w:val="-5"/>
          <w:sz w:val="16"/>
        </w:rPr>
        <w:t xml:space="preserve"> </w:t>
      </w:r>
      <w:r>
        <w:rPr>
          <w:color w:val="231F20"/>
          <w:sz w:val="16"/>
        </w:rPr>
        <w:t>чи</w:t>
      </w:r>
      <w:r>
        <w:rPr>
          <w:color w:val="231F20"/>
          <w:spacing w:val="-5"/>
          <w:sz w:val="16"/>
        </w:rPr>
        <w:t xml:space="preserve"> </w:t>
      </w:r>
      <w:r>
        <w:rPr>
          <w:color w:val="231F20"/>
          <w:sz w:val="16"/>
        </w:rPr>
        <w:t>взагалі</w:t>
      </w:r>
      <w:r>
        <w:rPr>
          <w:color w:val="231F20"/>
          <w:spacing w:val="-5"/>
          <w:sz w:val="16"/>
        </w:rPr>
        <w:t xml:space="preserve"> </w:t>
      </w:r>
      <w:r>
        <w:rPr>
          <w:color w:val="231F20"/>
          <w:sz w:val="16"/>
        </w:rPr>
        <w:t>названий</w:t>
      </w:r>
      <w:r>
        <w:rPr>
          <w:color w:val="231F20"/>
          <w:spacing w:val="-5"/>
          <w:sz w:val="16"/>
        </w:rPr>
        <w:t xml:space="preserve"> </w:t>
      </w:r>
      <w:r>
        <w:rPr>
          <w:color w:val="231F20"/>
          <w:sz w:val="16"/>
        </w:rPr>
        <w:t>факт</w:t>
      </w:r>
      <w:r>
        <w:rPr>
          <w:color w:val="231F20"/>
          <w:spacing w:val="-5"/>
          <w:sz w:val="16"/>
        </w:rPr>
        <w:t xml:space="preserve"> </w:t>
      </w:r>
      <w:r>
        <w:rPr>
          <w:color w:val="231F20"/>
          <w:spacing w:val="-3"/>
          <w:sz w:val="16"/>
        </w:rPr>
        <w:t>володіє</w:t>
      </w:r>
      <w:r>
        <w:rPr>
          <w:color w:val="231F20"/>
          <w:spacing w:val="-5"/>
          <w:sz w:val="16"/>
        </w:rPr>
        <w:t xml:space="preserve"> </w:t>
      </w:r>
      <w:r>
        <w:rPr>
          <w:color w:val="231F20"/>
          <w:sz w:val="16"/>
        </w:rPr>
        <w:t>суттєвим</w:t>
      </w:r>
      <w:r>
        <w:rPr>
          <w:color w:val="231F20"/>
          <w:spacing w:val="-5"/>
          <w:sz w:val="16"/>
        </w:rPr>
        <w:t xml:space="preserve"> </w:t>
      </w:r>
      <w:r>
        <w:rPr>
          <w:color w:val="231F20"/>
          <w:spacing w:val="-3"/>
          <w:sz w:val="16"/>
        </w:rPr>
        <w:t>антикорупційним</w:t>
      </w:r>
      <w:r>
        <w:rPr>
          <w:color w:val="231F20"/>
          <w:spacing w:val="-5"/>
          <w:sz w:val="16"/>
        </w:rPr>
        <w:t xml:space="preserve"> </w:t>
      </w:r>
      <w:r>
        <w:rPr>
          <w:color w:val="231F20"/>
          <w:sz w:val="16"/>
        </w:rPr>
        <w:t>ефектом?</w:t>
      </w:r>
    </w:p>
    <w:p w14:paraId="00146621" w14:textId="77777777" w:rsidR="00DE575E" w:rsidRDefault="00DE575E">
      <w:pPr>
        <w:pStyle w:val="BodyText"/>
        <w:rPr>
          <w:sz w:val="13"/>
        </w:rPr>
      </w:pPr>
    </w:p>
    <w:p w14:paraId="299EB57D" w14:textId="77777777" w:rsidR="00DE575E" w:rsidRDefault="002E7560">
      <w:pPr>
        <w:spacing w:before="91"/>
        <w:ind w:left="533"/>
        <w:rPr>
          <w:rFonts w:ascii="Times New Roman"/>
          <w:sz w:val="20"/>
        </w:rPr>
      </w:pPr>
      <w:r>
        <w:rPr>
          <w:rFonts w:ascii="Times New Roman"/>
          <w:color w:val="231F20"/>
          <w:sz w:val="20"/>
        </w:rPr>
        <w:t>406</w:t>
      </w:r>
    </w:p>
    <w:p w14:paraId="48A54A69" w14:textId="77777777" w:rsidR="00DE575E" w:rsidRDefault="00DE575E">
      <w:pPr>
        <w:rPr>
          <w:rFonts w:ascii="Times New Roman"/>
          <w:sz w:val="20"/>
        </w:rPr>
        <w:sectPr w:rsidR="00DE575E">
          <w:pgSz w:w="8510" w:h="12760"/>
          <w:pgMar w:top="660" w:right="720" w:bottom="280" w:left="600" w:header="720" w:footer="720" w:gutter="0"/>
          <w:cols w:space="720"/>
        </w:sectPr>
      </w:pPr>
    </w:p>
    <w:p w14:paraId="082488FF"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 xml:space="preserve">Глава ІІ Особливе адміністративне право/ Книга І Розділ 4. Запобігання корупційним проявам у публічній </w:t>
      </w:r>
      <w:r>
        <w:rPr>
          <w:rFonts w:ascii="AdonisC" w:hAnsi="AdonisC"/>
          <w:i/>
          <w:color w:val="231F20"/>
          <w:sz w:val="18"/>
        </w:rPr>
        <w:t>службі</w:t>
      </w:r>
    </w:p>
    <w:p w14:paraId="7CA852DC" w14:textId="1BB1EFC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53BB9F6" wp14:editId="48FC8CCA">
                <wp:extent cx="4140200" cy="6350"/>
                <wp:effectExtent l="0" t="0" r="12700" b="6350"/>
                <wp:docPr id="37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80" name="Line 3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D6D8BF" id="Group_x0020_3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ORb1/4ECAACYBQAA&#10;DgAAAAAAAAAAAAAAAAAsAgAAZHJzL2Uyb0RvYy54bWxQSwECLQAUAAYACAAAACEATKewkNkAAAAD&#10;AQAADwAAAAAAAAAAAAAAAADZBAAAZHJzL2Rvd25yZXYueG1sUEsFBgAAAAAEAAQA8wAAAN8FAAAA&#10;AA==&#10;">
                <v:line id="Line_x0020_3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MkzsIAAADcAAAADwAAAGRycy9kb3ducmV2LnhtbERP3WrCMBS+H/gO4Qi7GZpuhSHVKCIM&#10;xAt11gc4Nse2mJzUJtpuT28uBC8/vv/ZordG3Kn1tWMFn+MEBHHhdM2lgmP+M5qA8AFZo3FMCv7I&#10;w2I+eJthpl3Hv3Q/hFLEEPYZKqhCaDIpfVGRRT92DXHkzq61GCJsS6lb7GK4NfIrSb6lxZpjQ4UN&#10;rSoqLoebVZBfP4LZ7zamy3enVJ6u2/T/tlXqfdgvpyAC9eElfrrXWkE6ifPjmXgE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5MkzsIAAADcAAAADwAAAAAAAAAAAAAA&#10;AAChAgAAZHJzL2Rvd25yZXYueG1sUEsFBgAAAAAEAAQA+QAAAJADAAAAAA==&#10;" strokecolor="#231f20" strokeweight=".5pt"/>
                <w10:anchorlock/>
              </v:group>
            </w:pict>
          </mc:Fallback>
        </mc:AlternateContent>
      </w:r>
    </w:p>
    <w:p w14:paraId="607FB2E9" w14:textId="77777777" w:rsidR="00DE575E" w:rsidRDefault="00DE575E">
      <w:pPr>
        <w:pStyle w:val="BodyText"/>
        <w:spacing w:before="7"/>
        <w:rPr>
          <w:rFonts w:ascii="AdonisC"/>
          <w:i/>
          <w:sz w:val="19"/>
        </w:rPr>
      </w:pPr>
    </w:p>
    <w:p w14:paraId="1DFF918D" w14:textId="77777777" w:rsidR="00DE575E" w:rsidRDefault="002E7560">
      <w:pPr>
        <w:pStyle w:val="BodyText"/>
        <w:spacing w:before="1" w:line="252" w:lineRule="auto"/>
        <w:ind w:left="250" w:right="409"/>
        <w:jc w:val="both"/>
      </w:pPr>
      <w:r>
        <w:rPr>
          <w:color w:val="231F20"/>
        </w:rPr>
        <w:t>виражатися у спроможності керівника центрального органу вико- навчої влади схилити не підпорядковану, не підконтрольну та не підзвітну йому службову особу державного підприємства до ухва- лення певного рішення</w:t>
      </w:r>
      <w:r>
        <w:rPr>
          <w:color w:val="231F20"/>
          <w:position w:val="7"/>
          <w:sz w:val="12"/>
        </w:rPr>
        <w:t>1</w:t>
      </w:r>
      <w:r>
        <w:rPr>
          <w:color w:val="231F20"/>
        </w:rPr>
        <w:t>;</w:t>
      </w:r>
    </w:p>
    <w:p w14:paraId="707FA031" w14:textId="77777777" w:rsidR="00DE575E" w:rsidRDefault="002E7560">
      <w:pPr>
        <w:pStyle w:val="ListParagraph"/>
        <w:numPr>
          <w:ilvl w:val="0"/>
          <w:numId w:val="82"/>
        </w:numPr>
        <w:tabs>
          <w:tab w:val="left" w:pos="818"/>
        </w:tabs>
        <w:spacing w:before="2" w:line="252" w:lineRule="auto"/>
        <w:ind w:right="409" w:firstLine="283"/>
        <w:jc w:val="both"/>
        <w:rPr>
          <w:sz w:val="21"/>
        </w:rPr>
      </w:pPr>
      <w:r>
        <w:rPr>
          <w:i/>
          <w:color w:val="231F20"/>
          <w:sz w:val="21"/>
        </w:rPr>
        <w:t>воно стосується протидії протиправній меті – одержання неправомірної вигоди для себе чи інших осіб</w:t>
      </w:r>
      <w:r>
        <w:rPr>
          <w:color w:val="231F20"/>
          <w:sz w:val="21"/>
        </w:rPr>
        <w:t xml:space="preserve">. Під неправомірною вигодою відповідно до ч. 1 </w:t>
      </w:r>
      <w:r>
        <w:rPr>
          <w:color w:val="231F20"/>
          <w:spacing w:val="-6"/>
          <w:sz w:val="21"/>
        </w:rPr>
        <w:t xml:space="preserve">ст. </w:t>
      </w:r>
      <w:r>
        <w:rPr>
          <w:color w:val="231F20"/>
          <w:sz w:val="21"/>
        </w:rPr>
        <w:t>1 Закону «Про  запобігання  коруп- ції» розуміються грошові кошти або інше майно, переваги, пільги, послуги</w:t>
      </w:r>
      <w:r>
        <w:rPr>
          <w:color w:val="231F20"/>
          <w:sz w:val="21"/>
        </w:rPr>
        <w:t xml:space="preserve">, нематеріальні активи, </w:t>
      </w:r>
      <w:r>
        <w:rPr>
          <w:color w:val="231F20"/>
          <w:spacing w:val="-3"/>
          <w:sz w:val="21"/>
        </w:rPr>
        <w:t xml:space="preserve">будь-які </w:t>
      </w:r>
      <w:r>
        <w:rPr>
          <w:color w:val="231F20"/>
          <w:sz w:val="21"/>
        </w:rPr>
        <w:t xml:space="preserve">інші вигоди нематеріаль- ного чи негрошового </w:t>
      </w:r>
      <w:r>
        <w:rPr>
          <w:color w:val="231F20"/>
          <w:spacing w:val="-3"/>
          <w:sz w:val="21"/>
        </w:rPr>
        <w:t xml:space="preserve">характеру, </w:t>
      </w:r>
      <w:r>
        <w:rPr>
          <w:color w:val="231F20"/>
          <w:sz w:val="21"/>
        </w:rPr>
        <w:t>які обіцяють, пропонують, надають або одержують без законних на те підстав. Для правильного розу- міння неправомірної вигоди слід наголосити, що вона: а) може</w:t>
      </w:r>
      <w:r>
        <w:rPr>
          <w:color w:val="231F20"/>
          <w:spacing w:val="-28"/>
          <w:sz w:val="21"/>
        </w:rPr>
        <w:t xml:space="preserve"> </w:t>
      </w:r>
      <w:r>
        <w:rPr>
          <w:color w:val="231F20"/>
          <w:sz w:val="21"/>
        </w:rPr>
        <w:t>мати як</w:t>
      </w:r>
      <w:r>
        <w:rPr>
          <w:color w:val="231F20"/>
          <w:spacing w:val="-8"/>
          <w:sz w:val="21"/>
        </w:rPr>
        <w:t xml:space="preserve"> </w:t>
      </w:r>
      <w:r>
        <w:rPr>
          <w:color w:val="231F20"/>
          <w:sz w:val="21"/>
        </w:rPr>
        <w:t>майновий,</w:t>
      </w:r>
      <w:r>
        <w:rPr>
          <w:color w:val="231F20"/>
          <w:spacing w:val="-8"/>
          <w:sz w:val="21"/>
        </w:rPr>
        <w:t xml:space="preserve"> </w:t>
      </w:r>
      <w:r>
        <w:rPr>
          <w:color w:val="231F20"/>
          <w:sz w:val="21"/>
        </w:rPr>
        <w:t>так</w:t>
      </w:r>
      <w:r>
        <w:rPr>
          <w:color w:val="231F20"/>
          <w:spacing w:val="-8"/>
          <w:sz w:val="21"/>
        </w:rPr>
        <w:t xml:space="preserve"> </w:t>
      </w:r>
      <w:r>
        <w:rPr>
          <w:color w:val="231F20"/>
          <w:sz w:val="21"/>
        </w:rPr>
        <w:t>і</w:t>
      </w:r>
      <w:r>
        <w:rPr>
          <w:color w:val="231F20"/>
          <w:spacing w:val="-9"/>
          <w:sz w:val="21"/>
        </w:rPr>
        <w:t xml:space="preserve"> </w:t>
      </w:r>
      <w:r>
        <w:rPr>
          <w:color w:val="231F20"/>
          <w:sz w:val="21"/>
        </w:rPr>
        <w:t>немайновий</w:t>
      </w:r>
      <w:r>
        <w:rPr>
          <w:color w:val="231F20"/>
          <w:spacing w:val="-8"/>
          <w:sz w:val="21"/>
        </w:rPr>
        <w:t xml:space="preserve"> </w:t>
      </w:r>
      <w:r>
        <w:rPr>
          <w:color w:val="231F20"/>
          <w:sz w:val="21"/>
        </w:rPr>
        <w:t>характер</w:t>
      </w:r>
      <w:r>
        <w:rPr>
          <w:color w:val="231F20"/>
          <w:spacing w:val="-8"/>
          <w:sz w:val="21"/>
        </w:rPr>
        <w:t xml:space="preserve"> </w:t>
      </w:r>
      <w:r>
        <w:rPr>
          <w:color w:val="231F20"/>
          <w:sz w:val="21"/>
        </w:rPr>
        <w:t>(урядова</w:t>
      </w:r>
      <w:r>
        <w:rPr>
          <w:color w:val="231F20"/>
          <w:spacing w:val="-8"/>
          <w:sz w:val="21"/>
        </w:rPr>
        <w:t xml:space="preserve"> </w:t>
      </w:r>
      <w:r>
        <w:rPr>
          <w:color w:val="231F20"/>
          <w:sz w:val="21"/>
        </w:rPr>
        <w:t>відзнака,</w:t>
      </w:r>
      <w:r>
        <w:rPr>
          <w:color w:val="231F20"/>
          <w:spacing w:val="-8"/>
          <w:sz w:val="21"/>
        </w:rPr>
        <w:t xml:space="preserve"> </w:t>
      </w:r>
      <w:r>
        <w:rPr>
          <w:color w:val="231F20"/>
          <w:sz w:val="21"/>
        </w:rPr>
        <w:t>грамота, обіцянка одружитися тощо), адже чинне раніше антикорупційне поняття «хабар» стосувалося лише майнової вигоди; б) відповідні вигоди</w:t>
      </w:r>
      <w:r>
        <w:rPr>
          <w:color w:val="231F20"/>
          <w:spacing w:val="-15"/>
          <w:sz w:val="21"/>
        </w:rPr>
        <w:t xml:space="preserve"> </w:t>
      </w:r>
      <w:r>
        <w:rPr>
          <w:color w:val="231F20"/>
          <w:sz w:val="21"/>
        </w:rPr>
        <w:t>обіцяють,</w:t>
      </w:r>
      <w:r>
        <w:rPr>
          <w:color w:val="231F20"/>
          <w:spacing w:val="-15"/>
          <w:sz w:val="21"/>
        </w:rPr>
        <w:t xml:space="preserve"> </w:t>
      </w:r>
      <w:r>
        <w:rPr>
          <w:color w:val="231F20"/>
          <w:sz w:val="21"/>
        </w:rPr>
        <w:t>пропонують,</w:t>
      </w:r>
      <w:r>
        <w:rPr>
          <w:color w:val="231F20"/>
          <w:spacing w:val="-15"/>
          <w:sz w:val="21"/>
        </w:rPr>
        <w:t xml:space="preserve"> </w:t>
      </w:r>
      <w:r>
        <w:rPr>
          <w:color w:val="231F20"/>
          <w:sz w:val="21"/>
        </w:rPr>
        <w:t>надають</w:t>
      </w:r>
      <w:r>
        <w:rPr>
          <w:color w:val="231F20"/>
          <w:spacing w:val="-15"/>
          <w:sz w:val="21"/>
        </w:rPr>
        <w:t xml:space="preserve"> </w:t>
      </w:r>
      <w:r>
        <w:rPr>
          <w:color w:val="231F20"/>
          <w:sz w:val="21"/>
        </w:rPr>
        <w:t>або</w:t>
      </w:r>
      <w:r>
        <w:rPr>
          <w:color w:val="231F20"/>
          <w:spacing w:val="-15"/>
          <w:sz w:val="21"/>
        </w:rPr>
        <w:t xml:space="preserve"> </w:t>
      </w:r>
      <w:r>
        <w:rPr>
          <w:color w:val="231F20"/>
          <w:sz w:val="21"/>
        </w:rPr>
        <w:t>одержують</w:t>
      </w:r>
      <w:r>
        <w:rPr>
          <w:color w:val="231F20"/>
          <w:spacing w:val="-15"/>
          <w:sz w:val="21"/>
        </w:rPr>
        <w:t xml:space="preserve"> </w:t>
      </w:r>
      <w:r>
        <w:rPr>
          <w:color w:val="231F20"/>
          <w:sz w:val="21"/>
        </w:rPr>
        <w:t>без</w:t>
      </w:r>
      <w:r>
        <w:rPr>
          <w:color w:val="231F20"/>
          <w:spacing w:val="-15"/>
          <w:sz w:val="21"/>
        </w:rPr>
        <w:t xml:space="preserve"> </w:t>
      </w:r>
      <w:r>
        <w:rPr>
          <w:color w:val="231F20"/>
          <w:sz w:val="21"/>
        </w:rPr>
        <w:t>законних на т</w:t>
      </w:r>
      <w:r>
        <w:rPr>
          <w:color w:val="231F20"/>
          <w:sz w:val="21"/>
        </w:rPr>
        <w:t>е підстав</w:t>
      </w:r>
      <w:r>
        <w:rPr>
          <w:color w:val="231F20"/>
          <w:position w:val="7"/>
          <w:sz w:val="12"/>
        </w:rPr>
        <w:t>2</w:t>
      </w:r>
      <w:r>
        <w:rPr>
          <w:color w:val="231F20"/>
          <w:sz w:val="21"/>
        </w:rPr>
        <w:t>; в) неправомірна вигода завжди пов’язана із проти- правним використанням наданих особі службових повноважень чи пов’язаних із цим можливостей (що дозволяє відрізнити неправо- мірну вигоду від антикорупційного поняття</w:t>
      </w:r>
      <w:r>
        <w:rPr>
          <w:color w:val="231F20"/>
          <w:spacing w:val="-9"/>
          <w:sz w:val="21"/>
        </w:rPr>
        <w:t xml:space="preserve"> </w:t>
      </w:r>
      <w:r>
        <w:rPr>
          <w:color w:val="231F20"/>
          <w:sz w:val="21"/>
        </w:rPr>
        <w:t>подарунку);</w:t>
      </w:r>
    </w:p>
    <w:p w14:paraId="6B316D10" w14:textId="77777777" w:rsidR="00DE575E" w:rsidRDefault="002E7560">
      <w:pPr>
        <w:pStyle w:val="ListParagraph"/>
        <w:numPr>
          <w:ilvl w:val="0"/>
          <w:numId w:val="82"/>
        </w:numPr>
        <w:tabs>
          <w:tab w:val="left" w:pos="818"/>
        </w:tabs>
        <w:spacing w:before="8" w:line="252" w:lineRule="auto"/>
        <w:ind w:right="410" w:firstLine="283"/>
        <w:jc w:val="both"/>
        <w:rPr>
          <w:sz w:val="21"/>
        </w:rPr>
      </w:pPr>
      <w:r>
        <w:rPr>
          <w:i/>
          <w:color w:val="231F20"/>
          <w:sz w:val="21"/>
        </w:rPr>
        <w:t>безпосередньо за</w:t>
      </w:r>
      <w:r>
        <w:rPr>
          <w:i/>
          <w:color w:val="231F20"/>
          <w:sz w:val="21"/>
        </w:rPr>
        <w:t xml:space="preserve">бороненою формою </w:t>
      </w:r>
      <w:r>
        <w:rPr>
          <w:color w:val="231F20"/>
          <w:sz w:val="21"/>
        </w:rPr>
        <w:t>використання своїх службових повноважень або свого становища та пов’язаних із цим можливостей є використання будь-якого державного чи комуналь- ного</w:t>
      </w:r>
      <w:r>
        <w:rPr>
          <w:color w:val="231F20"/>
          <w:spacing w:val="-6"/>
          <w:sz w:val="21"/>
        </w:rPr>
        <w:t xml:space="preserve"> </w:t>
      </w:r>
      <w:r>
        <w:rPr>
          <w:color w:val="231F20"/>
          <w:sz w:val="21"/>
        </w:rPr>
        <w:t>майна</w:t>
      </w:r>
      <w:r>
        <w:rPr>
          <w:color w:val="231F20"/>
          <w:spacing w:val="-6"/>
          <w:sz w:val="21"/>
        </w:rPr>
        <w:t xml:space="preserve"> </w:t>
      </w:r>
      <w:r>
        <w:rPr>
          <w:color w:val="231F20"/>
          <w:sz w:val="21"/>
        </w:rPr>
        <w:t>або</w:t>
      </w:r>
      <w:r>
        <w:rPr>
          <w:color w:val="231F20"/>
          <w:spacing w:val="-6"/>
          <w:sz w:val="21"/>
        </w:rPr>
        <w:t xml:space="preserve"> </w:t>
      </w:r>
      <w:r>
        <w:rPr>
          <w:color w:val="231F20"/>
          <w:sz w:val="21"/>
        </w:rPr>
        <w:t>коштів</w:t>
      </w:r>
      <w:r>
        <w:rPr>
          <w:color w:val="231F20"/>
          <w:spacing w:val="-6"/>
          <w:sz w:val="21"/>
        </w:rPr>
        <w:t xml:space="preserve"> </w:t>
      </w:r>
      <w:r>
        <w:rPr>
          <w:color w:val="231F20"/>
          <w:sz w:val="21"/>
        </w:rPr>
        <w:t>у</w:t>
      </w:r>
      <w:r>
        <w:rPr>
          <w:color w:val="231F20"/>
          <w:spacing w:val="-7"/>
          <w:sz w:val="21"/>
        </w:rPr>
        <w:t xml:space="preserve"> </w:t>
      </w:r>
      <w:r>
        <w:rPr>
          <w:color w:val="231F20"/>
          <w:sz w:val="21"/>
        </w:rPr>
        <w:t>приватних</w:t>
      </w:r>
      <w:r>
        <w:rPr>
          <w:color w:val="231F20"/>
          <w:spacing w:val="-6"/>
          <w:sz w:val="21"/>
        </w:rPr>
        <w:t xml:space="preserve"> </w:t>
      </w:r>
      <w:r>
        <w:rPr>
          <w:color w:val="231F20"/>
          <w:sz w:val="21"/>
        </w:rPr>
        <w:t>інтересах.</w:t>
      </w:r>
      <w:r>
        <w:rPr>
          <w:color w:val="231F20"/>
          <w:spacing w:val="-6"/>
          <w:sz w:val="21"/>
        </w:rPr>
        <w:t xml:space="preserve"> </w:t>
      </w:r>
      <w:r>
        <w:rPr>
          <w:color w:val="231F20"/>
          <w:sz w:val="21"/>
        </w:rPr>
        <w:t>У</w:t>
      </w:r>
      <w:r>
        <w:rPr>
          <w:color w:val="231F20"/>
          <w:spacing w:val="-6"/>
          <w:sz w:val="21"/>
        </w:rPr>
        <w:t xml:space="preserve"> </w:t>
      </w:r>
      <w:r>
        <w:rPr>
          <w:color w:val="231F20"/>
          <w:sz w:val="21"/>
        </w:rPr>
        <w:t>попередньому</w:t>
      </w:r>
      <w:r>
        <w:rPr>
          <w:color w:val="231F20"/>
          <w:spacing w:val="-6"/>
          <w:sz w:val="21"/>
        </w:rPr>
        <w:t xml:space="preserve"> </w:t>
      </w:r>
      <w:r>
        <w:rPr>
          <w:color w:val="231F20"/>
          <w:sz w:val="21"/>
        </w:rPr>
        <w:t>анти- корупційному законодавстві наводився більш розгорнутий перелік форм протиправного використання особою своїх службових повно- важень (або становища, або</w:t>
      </w:r>
      <w:r>
        <w:rPr>
          <w:color w:val="231F20"/>
          <w:spacing w:val="-3"/>
          <w:sz w:val="21"/>
        </w:rPr>
        <w:t xml:space="preserve"> </w:t>
      </w:r>
      <w:r>
        <w:rPr>
          <w:color w:val="231F20"/>
          <w:sz w:val="21"/>
        </w:rPr>
        <w:t>можливостей).</w:t>
      </w:r>
    </w:p>
    <w:p w14:paraId="6231E2FD" w14:textId="77777777" w:rsidR="00DE575E" w:rsidRDefault="002E7560">
      <w:pPr>
        <w:pStyle w:val="BodyText"/>
        <w:spacing w:before="3" w:line="252" w:lineRule="auto"/>
        <w:ind w:left="250" w:right="410" w:firstLine="283"/>
        <w:jc w:val="both"/>
      </w:pPr>
      <w:r>
        <w:rPr>
          <w:color w:val="231F20"/>
        </w:rPr>
        <w:t>Законом «Про боротьбу з корупцією»</w:t>
      </w:r>
      <w:r>
        <w:rPr>
          <w:color w:val="231F20"/>
          <w:position w:val="7"/>
          <w:sz w:val="12"/>
        </w:rPr>
        <w:t xml:space="preserve">3 </w:t>
      </w:r>
      <w:r>
        <w:rPr>
          <w:color w:val="231F20"/>
        </w:rPr>
        <w:t>[втратив чинність] перед- бачалися для осіб, упо</w:t>
      </w:r>
      <w:r>
        <w:rPr>
          <w:color w:val="231F20"/>
        </w:rPr>
        <w:t>вноважених на виконання функцій держави, також заборони:</w:t>
      </w:r>
    </w:p>
    <w:p w14:paraId="2EDDFE92" w14:textId="77777777" w:rsidR="00DE575E" w:rsidRDefault="002E7560">
      <w:pPr>
        <w:pStyle w:val="BodyText"/>
        <w:spacing w:before="1" w:line="252" w:lineRule="auto"/>
        <w:ind w:left="250" w:right="411" w:firstLine="283"/>
        <w:jc w:val="both"/>
      </w:pPr>
      <w:r>
        <w:rPr>
          <w:color w:val="231F20"/>
        </w:rPr>
        <w:t>а) сприяти фізичним і юридичним особам у здійсненні ними підприємницької діяльності, в отриманні субсидій, субвенцій, дота- цій, кредитів тощо;</w:t>
      </w:r>
    </w:p>
    <w:p w14:paraId="157BE7C8" w14:textId="652E5E79" w:rsidR="00DE575E" w:rsidRDefault="002E7560">
      <w:pPr>
        <w:pStyle w:val="BodyText"/>
        <w:rPr>
          <w:sz w:val="26"/>
        </w:rPr>
      </w:pPr>
      <w:r>
        <w:rPr>
          <w:noProof/>
        </w:rPr>
        <mc:AlternateContent>
          <mc:Choice Requires="wps">
            <w:drawing>
              <wp:anchor distT="0" distB="0" distL="0" distR="0" simplePos="0" relativeHeight="16000" behindDoc="0" locked="0" layoutInCell="1" allowOverlap="1" wp14:anchorId="43FECA82" wp14:editId="3315C4DF">
                <wp:simplePos x="0" y="0"/>
                <wp:positionH relativeFrom="page">
                  <wp:posOffset>539750</wp:posOffset>
                </wp:positionH>
                <wp:positionV relativeFrom="paragraph">
                  <wp:posOffset>221615</wp:posOffset>
                </wp:positionV>
                <wp:extent cx="1080135" cy="0"/>
                <wp:effectExtent l="6350" t="18415" r="31115" b="19685"/>
                <wp:wrapTopAndBottom/>
                <wp:docPr id="37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B6AF6" id="Line_x0020_377" o:spid="_x0000_s1026" style="position:absolute;z-index: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45pt" to="127.55pt,1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" strokecolor="#231f20" strokeweight=".5pt">
                <w10:wrap type="topAndBottom" anchorx="page"/>
              </v:line>
            </w:pict>
          </mc:Fallback>
        </mc:AlternateContent>
      </w:r>
    </w:p>
    <w:p w14:paraId="4D7794BC" w14:textId="77777777" w:rsidR="00DE575E" w:rsidRDefault="002E7560">
      <w:pPr>
        <w:spacing w:line="204" w:lineRule="auto"/>
        <w:ind w:left="250" w:right="412"/>
        <w:jc w:val="both"/>
        <w:rPr>
          <w:sz w:val="16"/>
        </w:rPr>
      </w:pPr>
      <w:r>
        <w:rPr>
          <w:color w:val="231F20"/>
          <w:position w:val="5"/>
          <w:sz w:val="9"/>
        </w:rPr>
        <w:t xml:space="preserve">1 </w:t>
      </w:r>
      <w:r>
        <w:rPr>
          <w:color w:val="231F20"/>
          <w:sz w:val="16"/>
        </w:rPr>
        <w:t xml:space="preserve">Науково-практичний коментар до Закону України «Про </w:t>
      </w:r>
      <w:r>
        <w:rPr>
          <w:color w:val="231F20"/>
          <w:sz w:val="16"/>
        </w:rPr>
        <w:t>запобігання  корупції»  /  Банчук О. та ін.; наук. ред. Хавронюк. Київ: Ваіте, 2018. С.</w:t>
      </w:r>
      <w:r>
        <w:rPr>
          <w:color w:val="231F20"/>
          <w:spacing w:val="-10"/>
          <w:sz w:val="16"/>
        </w:rPr>
        <w:t xml:space="preserve"> </w:t>
      </w:r>
      <w:r>
        <w:rPr>
          <w:color w:val="231F20"/>
          <w:sz w:val="16"/>
        </w:rPr>
        <w:t>168.</w:t>
      </w:r>
    </w:p>
    <w:p w14:paraId="7F91C929" w14:textId="77777777" w:rsidR="00DE575E" w:rsidRDefault="002E7560">
      <w:pPr>
        <w:spacing w:before="26" w:line="204" w:lineRule="auto"/>
        <w:ind w:left="250" w:right="412"/>
        <w:jc w:val="both"/>
        <w:rPr>
          <w:sz w:val="16"/>
        </w:rPr>
      </w:pPr>
      <w:r>
        <w:rPr>
          <w:color w:val="231F20"/>
          <w:position w:val="5"/>
          <w:sz w:val="9"/>
        </w:rPr>
        <w:t xml:space="preserve">2 </w:t>
      </w:r>
      <w:r>
        <w:rPr>
          <w:color w:val="231F20"/>
          <w:sz w:val="16"/>
        </w:rPr>
        <w:t>Не вважаються законними підставами правочини, які вчиняються для приховання неправомірної вигоди та її формалізації у вигляді договору дарування, договору обміну</w:t>
      </w:r>
      <w:r>
        <w:rPr>
          <w:color w:val="231F20"/>
          <w:sz w:val="16"/>
        </w:rPr>
        <w:t xml:space="preserve"> велосипеда на автомобіль тощо.</w:t>
      </w:r>
    </w:p>
    <w:p w14:paraId="16DF1412" w14:textId="77777777" w:rsidR="00DE575E" w:rsidRDefault="002E7560">
      <w:pPr>
        <w:spacing w:before="30" w:line="204" w:lineRule="auto"/>
        <w:ind w:left="250" w:right="411"/>
        <w:jc w:val="both"/>
        <w:rPr>
          <w:sz w:val="16"/>
        </w:rPr>
      </w:pPr>
      <w:r>
        <w:rPr>
          <w:color w:val="231F20"/>
          <w:position w:val="5"/>
          <w:sz w:val="9"/>
        </w:rPr>
        <w:t xml:space="preserve">3 </w:t>
      </w:r>
      <w:r>
        <w:rPr>
          <w:color w:val="231F20"/>
          <w:sz w:val="16"/>
        </w:rPr>
        <w:t>Про боротьбу з корупцією: Закон України від 05.10.1995 р. № 356/95-ВР (втратив чинність).</w:t>
      </w:r>
    </w:p>
    <w:p w14:paraId="0711B8DB" w14:textId="77777777" w:rsidR="00DE575E" w:rsidRDefault="00DE575E">
      <w:pPr>
        <w:pStyle w:val="BodyText"/>
        <w:spacing w:before="5"/>
        <w:rPr>
          <w:sz w:val="12"/>
        </w:rPr>
      </w:pPr>
    </w:p>
    <w:p w14:paraId="4DED5385" w14:textId="77777777" w:rsidR="00DE575E" w:rsidRDefault="002E7560">
      <w:pPr>
        <w:spacing w:before="91"/>
        <w:ind w:right="411"/>
        <w:jc w:val="right"/>
        <w:rPr>
          <w:rFonts w:ascii="Times New Roman"/>
          <w:sz w:val="20"/>
        </w:rPr>
      </w:pPr>
      <w:r>
        <w:rPr>
          <w:rFonts w:ascii="Times New Roman"/>
          <w:color w:val="231F20"/>
          <w:w w:val="90"/>
          <w:sz w:val="20"/>
        </w:rPr>
        <w:t>407</w:t>
      </w:r>
    </w:p>
    <w:p w14:paraId="24A9E45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4AAB5D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40E4B06" w14:textId="141AF571"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0ABBE56" wp14:editId="4B36E5CE">
                <wp:extent cx="4140200" cy="6350"/>
                <wp:effectExtent l="0" t="0" r="12700" b="6350"/>
                <wp:docPr id="37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77" name="Line 37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69495C" id="Group_x0020_37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CgDIBgAIAAJgFAAAO&#10;AAAAAAAAAAAAAAAAACwCAABkcnMvZTJvRG9jLnhtbFBLAQItABQABgAIAAAAIQBMp7CQ2QAAAAMB&#10;AAAPAAAAAAAAAAAAAAAAANgEAABkcnMvZG93bnJldi54bWxQSwUGAAAAAAQABADzAAAA3gUAAAAA&#10;">
                <v:line id="Line_x0020_37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MncYAAADcAAAADwAAAGRycy9kb3ducmV2LnhtbESP3WrCQBSE74W+w3IKvRHdtAGV6Cql&#10;UCi98C8+wDF7TEJ3z8bsatI+fVcQvBxm5htmseqtEVdqfe1Ywes4AUFcOF1zqeCQf45mIHxA1mgc&#10;k4Jf8rBaPg0WmGnX8Y6u+1CKCGGfoYIqhCaT0hcVWfRj1xBH7+RaiyHKtpS6xS7CrZFvSTKRFmuO&#10;CxU29FFR8bO/WAX5eRjMdvNtunxzTOXxvE7/LmulXp779zmIQH14hO/tL60gnU7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2vzJ3GAAAA3AAAAA8AAAAAAAAA&#10;AAAAAAAAoQIAAGRycy9kb3ducmV2LnhtbFBLBQYAAAAABAAEAPkAAACUAwAAAAA=&#10;" strokecolor="#231f20" strokeweight=".5pt"/>
                <w10:anchorlock/>
              </v:group>
            </w:pict>
          </mc:Fallback>
        </mc:AlternateContent>
      </w:r>
    </w:p>
    <w:p w14:paraId="73610A2E" w14:textId="77777777" w:rsidR="00DE575E" w:rsidRDefault="00DE575E">
      <w:pPr>
        <w:pStyle w:val="BodyText"/>
        <w:spacing w:before="7"/>
        <w:rPr>
          <w:rFonts w:ascii="AdonisC"/>
          <w:i/>
          <w:sz w:val="11"/>
        </w:rPr>
      </w:pPr>
    </w:p>
    <w:p w14:paraId="6CD08137" w14:textId="77777777" w:rsidR="00DE575E" w:rsidRDefault="002E7560">
      <w:pPr>
        <w:pStyle w:val="BodyText"/>
        <w:spacing w:before="101" w:line="252" w:lineRule="auto"/>
        <w:ind w:left="533" w:right="128" w:firstLine="283"/>
        <w:jc w:val="both"/>
      </w:pPr>
      <w:r>
        <w:rPr>
          <w:color w:val="231F20"/>
        </w:rPr>
        <w:t xml:space="preserve">б)  бути  повіреним  третіх  осіб  у  справах  державного  </w:t>
      </w:r>
      <w:r>
        <w:rPr>
          <w:color w:val="231F20"/>
          <w:spacing w:val="-3"/>
        </w:rPr>
        <w:t xml:space="preserve">органу,   </w:t>
      </w:r>
      <w:r>
        <w:rPr>
          <w:color w:val="231F20"/>
        </w:rPr>
        <w:t>в якому вони</w:t>
      </w:r>
      <w:r>
        <w:rPr>
          <w:color w:val="231F20"/>
          <w:spacing w:val="-3"/>
        </w:rPr>
        <w:t xml:space="preserve"> </w:t>
      </w:r>
      <w:r>
        <w:rPr>
          <w:color w:val="231F20"/>
        </w:rPr>
        <w:t>працюють;</w:t>
      </w:r>
    </w:p>
    <w:p w14:paraId="15FA1A96" w14:textId="77777777" w:rsidR="00DE575E" w:rsidRDefault="002E7560">
      <w:pPr>
        <w:pStyle w:val="BodyText"/>
        <w:spacing w:before="1" w:line="252" w:lineRule="auto"/>
        <w:ind w:left="533" w:right="128" w:firstLine="283"/>
        <w:jc w:val="both"/>
      </w:pPr>
      <w:r>
        <w:rPr>
          <w:color w:val="231F20"/>
        </w:rPr>
        <w:t>в) сприяти фізичним і юридичним особам у досягненні перемоги в процедурі закупівлі всупереч вимогам закону;</w:t>
      </w:r>
    </w:p>
    <w:p w14:paraId="36DAACDB" w14:textId="77777777" w:rsidR="00DE575E" w:rsidRDefault="002E7560">
      <w:pPr>
        <w:pStyle w:val="BodyText"/>
        <w:spacing w:before="1" w:line="252" w:lineRule="auto"/>
        <w:ind w:left="533" w:right="126" w:firstLine="283"/>
        <w:jc w:val="both"/>
      </w:pPr>
      <w:r>
        <w:rPr>
          <w:color w:val="231F20"/>
        </w:rPr>
        <w:t>г) сприяти фізичним</w:t>
      </w:r>
      <w:r>
        <w:rPr>
          <w:color w:val="231F20"/>
        </w:rPr>
        <w:t xml:space="preserve"> та юридичним особам у здійсненні ними зовнішньоекономічної, кредитно-банківської  та  іншої  діяльності  з метою незаконного одержання за це матеріальних </w:t>
      </w:r>
      <w:r>
        <w:rPr>
          <w:color w:val="231F20"/>
          <w:spacing w:val="-4"/>
        </w:rPr>
        <w:t xml:space="preserve">благ, </w:t>
      </w:r>
      <w:r>
        <w:rPr>
          <w:color w:val="231F20"/>
          <w:spacing w:val="-3"/>
        </w:rPr>
        <w:t xml:space="preserve">послуг, </w:t>
      </w:r>
      <w:r>
        <w:rPr>
          <w:color w:val="231F20"/>
        </w:rPr>
        <w:t>пільг або інших</w:t>
      </w:r>
      <w:r>
        <w:rPr>
          <w:color w:val="231F20"/>
          <w:spacing w:val="-2"/>
        </w:rPr>
        <w:t xml:space="preserve"> </w:t>
      </w:r>
      <w:r>
        <w:rPr>
          <w:color w:val="231F20"/>
        </w:rPr>
        <w:t>переваг;</w:t>
      </w:r>
    </w:p>
    <w:p w14:paraId="7E262885" w14:textId="77777777" w:rsidR="00DE575E" w:rsidRDefault="002E7560">
      <w:pPr>
        <w:pStyle w:val="BodyText"/>
        <w:spacing w:before="2" w:line="252" w:lineRule="auto"/>
        <w:ind w:left="533" w:right="127" w:firstLine="283"/>
        <w:jc w:val="both"/>
      </w:pPr>
      <w:r>
        <w:rPr>
          <w:color w:val="231F20"/>
        </w:rPr>
        <w:t>ґ) неправомірно втручатися, використовуючи своє посадове стано</w:t>
      </w:r>
      <w:r>
        <w:rPr>
          <w:color w:val="231F20"/>
        </w:rPr>
        <w:t>вище, у діяльність інших державних органів чи посадових осіб з метою перешкодити виконанню ними своїх повноважень;</w:t>
      </w:r>
    </w:p>
    <w:p w14:paraId="18ED63CA" w14:textId="77777777" w:rsidR="00DE575E" w:rsidRDefault="002E7560">
      <w:pPr>
        <w:pStyle w:val="BodyText"/>
        <w:spacing w:before="1" w:line="252" w:lineRule="auto"/>
        <w:ind w:left="533" w:right="128" w:firstLine="283"/>
        <w:jc w:val="both"/>
      </w:pPr>
      <w:r>
        <w:rPr>
          <w:color w:val="231F20"/>
        </w:rPr>
        <w:t>д) бути повіреними третіх осіб у справах державного органу, діяльність якого вони контролюють;</w:t>
      </w:r>
    </w:p>
    <w:p w14:paraId="6619FE65" w14:textId="77777777" w:rsidR="00DE575E" w:rsidRDefault="002E7560">
      <w:pPr>
        <w:pStyle w:val="BodyText"/>
        <w:spacing w:before="1" w:line="252" w:lineRule="auto"/>
        <w:ind w:left="533" w:right="126" w:firstLine="283"/>
        <w:jc w:val="right"/>
      </w:pPr>
      <w:r>
        <w:rPr>
          <w:color w:val="231F20"/>
        </w:rPr>
        <w:t xml:space="preserve">е) </w:t>
      </w:r>
      <w:r>
        <w:rPr>
          <w:color w:val="231F20"/>
          <w:spacing w:val="-3"/>
        </w:rPr>
        <w:t xml:space="preserve">надавати незаконні переваги фізичним </w:t>
      </w:r>
      <w:r>
        <w:rPr>
          <w:color w:val="231F20"/>
        </w:rPr>
        <w:t>або</w:t>
      </w:r>
      <w:r>
        <w:rPr>
          <w:color w:val="231F20"/>
          <w:spacing w:val="15"/>
        </w:rPr>
        <w:t xml:space="preserve"> </w:t>
      </w:r>
      <w:r>
        <w:rPr>
          <w:color w:val="231F20"/>
          <w:spacing w:val="-3"/>
        </w:rPr>
        <w:t>юридичним</w:t>
      </w:r>
      <w:r>
        <w:rPr>
          <w:color w:val="231F20"/>
          <w:spacing w:val="-2"/>
        </w:rPr>
        <w:t xml:space="preserve"> </w:t>
      </w:r>
      <w:r>
        <w:rPr>
          <w:color w:val="231F20"/>
          <w:spacing w:val="-3"/>
        </w:rPr>
        <w:t xml:space="preserve">особам </w:t>
      </w:r>
      <w:r>
        <w:rPr>
          <w:color w:val="231F20"/>
        </w:rPr>
        <w:t>під</w:t>
      </w:r>
      <w:r>
        <w:rPr>
          <w:color w:val="231F20"/>
          <w:spacing w:val="-15"/>
        </w:rPr>
        <w:t xml:space="preserve"> </w:t>
      </w:r>
      <w:r>
        <w:rPr>
          <w:color w:val="231F20"/>
        </w:rPr>
        <w:t>час</w:t>
      </w:r>
      <w:r>
        <w:rPr>
          <w:color w:val="231F20"/>
          <w:spacing w:val="-15"/>
        </w:rPr>
        <w:t xml:space="preserve"> </w:t>
      </w:r>
      <w:r>
        <w:rPr>
          <w:color w:val="231F20"/>
          <w:spacing w:val="-3"/>
        </w:rPr>
        <w:t>підготовки</w:t>
      </w:r>
      <w:r>
        <w:rPr>
          <w:color w:val="231F20"/>
          <w:spacing w:val="-15"/>
        </w:rPr>
        <w:t xml:space="preserve"> </w:t>
      </w:r>
      <w:r>
        <w:rPr>
          <w:color w:val="231F20"/>
        </w:rPr>
        <w:t>й</w:t>
      </w:r>
      <w:r>
        <w:rPr>
          <w:color w:val="231F20"/>
          <w:spacing w:val="-16"/>
        </w:rPr>
        <w:t xml:space="preserve"> </w:t>
      </w:r>
      <w:r>
        <w:rPr>
          <w:color w:val="231F20"/>
          <w:spacing w:val="-3"/>
        </w:rPr>
        <w:t>ухвалення</w:t>
      </w:r>
      <w:r>
        <w:rPr>
          <w:color w:val="231F20"/>
          <w:spacing w:val="-15"/>
        </w:rPr>
        <w:t xml:space="preserve"> </w:t>
      </w:r>
      <w:r>
        <w:rPr>
          <w:color w:val="231F20"/>
          <w:spacing w:val="-3"/>
        </w:rPr>
        <w:t>нормативно-правових</w:t>
      </w:r>
      <w:r>
        <w:rPr>
          <w:color w:val="231F20"/>
          <w:spacing w:val="-15"/>
        </w:rPr>
        <w:t xml:space="preserve"> </w:t>
      </w:r>
      <w:r>
        <w:rPr>
          <w:color w:val="231F20"/>
          <w:spacing w:val="-3"/>
        </w:rPr>
        <w:t>актів</w:t>
      </w:r>
      <w:r>
        <w:rPr>
          <w:color w:val="231F20"/>
          <w:spacing w:val="-15"/>
        </w:rPr>
        <w:t xml:space="preserve"> </w:t>
      </w:r>
      <w:r>
        <w:rPr>
          <w:color w:val="231F20"/>
        </w:rPr>
        <w:t>чи</w:t>
      </w:r>
      <w:r>
        <w:rPr>
          <w:color w:val="231F20"/>
          <w:spacing w:val="-15"/>
        </w:rPr>
        <w:t xml:space="preserve"> </w:t>
      </w:r>
      <w:r>
        <w:rPr>
          <w:color w:val="231F20"/>
          <w:spacing w:val="-3"/>
        </w:rPr>
        <w:t xml:space="preserve">рішень. </w:t>
      </w:r>
      <w:r>
        <w:rPr>
          <w:color w:val="231F20"/>
        </w:rPr>
        <w:t>Оскільки чинне антикорупційне</w:t>
      </w:r>
      <w:r>
        <w:rPr>
          <w:color w:val="231F20"/>
          <w:spacing w:val="28"/>
        </w:rPr>
        <w:t xml:space="preserve"> </w:t>
      </w:r>
      <w:r>
        <w:rPr>
          <w:color w:val="231F20"/>
        </w:rPr>
        <w:t>законодавство,</w:t>
      </w:r>
      <w:r>
        <w:rPr>
          <w:color w:val="231F20"/>
          <w:spacing w:val="8"/>
        </w:rPr>
        <w:t xml:space="preserve"> </w:t>
      </w:r>
      <w:r>
        <w:rPr>
          <w:color w:val="231F20"/>
        </w:rPr>
        <w:t>визначаючи протиправне використання службових повноважень</w:t>
      </w:r>
      <w:r>
        <w:rPr>
          <w:color w:val="231F20"/>
          <w:spacing w:val="3"/>
        </w:rPr>
        <w:t xml:space="preserve"> </w:t>
      </w:r>
      <w:r>
        <w:rPr>
          <w:color w:val="231F20"/>
        </w:rPr>
        <w:t>(або</w:t>
      </w:r>
      <w:r>
        <w:rPr>
          <w:color w:val="231F20"/>
          <w:spacing w:val="23"/>
        </w:rPr>
        <w:t xml:space="preserve"> </w:t>
      </w:r>
      <w:r>
        <w:rPr>
          <w:color w:val="231F20"/>
        </w:rPr>
        <w:t>стано- вища, або можливостей), зокрема</w:t>
      </w:r>
      <w:r>
        <w:rPr>
          <w:color w:val="231F20"/>
          <w:spacing w:val="10"/>
        </w:rPr>
        <w:t xml:space="preserve"> </w:t>
      </w:r>
      <w:r>
        <w:rPr>
          <w:color w:val="231F20"/>
        </w:rPr>
        <w:t>забороняє</w:t>
      </w:r>
      <w:r>
        <w:rPr>
          <w:color w:val="231F20"/>
          <w:spacing w:val="13"/>
        </w:rPr>
        <w:t xml:space="preserve"> </w:t>
      </w:r>
      <w:r>
        <w:rPr>
          <w:color w:val="231F20"/>
        </w:rPr>
        <w:t>використовувати публічне</w:t>
      </w:r>
      <w:r>
        <w:rPr>
          <w:color w:val="231F20"/>
          <w:spacing w:val="15"/>
        </w:rPr>
        <w:t xml:space="preserve"> </w:t>
      </w:r>
      <w:r>
        <w:rPr>
          <w:color w:val="231F20"/>
        </w:rPr>
        <w:t>майно</w:t>
      </w:r>
      <w:r>
        <w:rPr>
          <w:color w:val="231F20"/>
          <w:spacing w:val="15"/>
        </w:rPr>
        <w:t xml:space="preserve"> </w:t>
      </w:r>
      <w:r>
        <w:rPr>
          <w:color w:val="231F20"/>
        </w:rPr>
        <w:t>або</w:t>
      </w:r>
      <w:r>
        <w:rPr>
          <w:color w:val="231F20"/>
          <w:spacing w:val="15"/>
        </w:rPr>
        <w:t xml:space="preserve"> </w:t>
      </w:r>
      <w:r>
        <w:rPr>
          <w:color w:val="231F20"/>
        </w:rPr>
        <w:t>кошти</w:t>
      </w:r>
      <w:r>
        <w:rPr>
          <w:color w:val="231F20"/>
          <w:spacing w:val="15"/>
        </w:rPr>
        <w:t xml:space="preserve"> </w:t>
      </w:r>
      <w:r>
        <w:rPr>
          <w:color w:val="231F20"/>
        </w:rPr>
        <w:t>в</w:t>
      </w:r>
      <w:r>
        <w:rPr>
          <w:color w:val="231F20"/>
          <w:spacing w:val="15"/>
        </w:rPr>
        <w:t xml:space="preserve"> </w:t>
      </w:r>
      <w:r>
        <w:rPr>
          <w:color w:val="231F20"/>
        </w:rPr>
        <w:t>приватних</w:t>
      </w:r>
      <w:r>
        <w:rPr>
          <w:color w:val="231F20"/>
          <w:spacing w:val="15"/>
        </w:rPr>
        <w:t xml:space="preserve"> </w:t>
      </w:r>
      <w:r>
        <w:rPr>
          <w:color w:val="231F20"/>
        </w:rPr>
        <w:t>інтересах,</w:t>
      </w:r>
      <w:r>
        <w:rPr>
          <w:color w:val="231F20"/>
          <w:spacing w:val="15"/>
        </w:rPr>
        <w:t xml:space="preserve"> </w:t>
      </w:r>
      <w:r>
        <w:rPr>
          <w:color w:val="231F20"/>
        </w:rPr>
        <w:t>то</w:t>
      </w:r>
      <w:r>
        <w:rPr>
          <w:color w:val="231F20"/>
          <w:spacing w:val="15"/>
        </w:rPr>
        <w:t xml:space="preserve"> </w:t>
      </w:r>
      <w:r>
        <w:rPr>
          <w:color w:val="231F20"/>
        </w:rPr>
        <w:t>очевидно,</w:t>
      </w:r>
      <w:r>
        <w:rPr>
          <w:color w:val="231F20"/>
          <w:spacing w:val="15"/>
        </w:rPr>
        <w:t xml:space="preserve"> </w:t>
      </w:r>
      <w:r>
        <w:rPr>
          <w:color w:val="231F20"/>
        </w:rPr>
        <w:t xml:space="preserve">що </w:t>
      </w:r>
      <w:r>
        <w:rPr>
          <w:i/>
          <w:color w:val="231F20"/>
        </w:rPr>
        <w:t>названа</w:t>
      </w:r>
      <w:r>
        <w:rPr>
          <w:i/>
          <w:color w:val="231F20"/>
          <w:spacing w:val="-8"/>
        </w:rPr>
        <w:t xml:space="preserve"> </w:t>
      </w:r>
      <w:r>
        <w:rPr>
          <w:i/>
          <w:color w:val="231F20"/>
        </w:rPr>
        <w:t>форма</w:t>
      </w:r>
      <w:r>
        <w:rPr>
          <w:i/>
          <w:color w:val="231F20"/>
          <w:spacing w:val="-7"/>
        </w:rPr>
        <w:t xml:space="preserve"> </w:t>
      </w:r>
      <w:r>
        <w:rPr>
          <w:i/>
          <w:color w:val="231F20"/>
        </w:rPr>
        <w:t>не</w:t>
      </w:r>
      <w:r>
        <w:rPr>
          <w:i/>
          <w:color w:val="231F20"/>
          <w:spacing w:val="-7"/>
        </w:rPr>
        <w:t xml:space="preserve"> </w:t>
      </w:r>
      <w:r>
        <w:rPr>
          <w:i/>
          <w:color w:val="231F20"/>
        </w:rPr>
        <w:t>є</w:t>
      </w:r>
      <w:r>
        <w:rPr>
          <w:i/>
          <w:color w:val="231F20"/>
          <w:spacing w:val="-7"/>
        </w:rPr>
        <w:t xml:space="preserve"> </w:t>
      </w:r>
      <w:r>
        <w:rPr>
          <w:i/>
          <w:color w:val="231F20"/>
        </w:rPr>
        <w:t>єдиною</w:t>
      </w:r>
      <w:r>
        <w:rPr>
          <w:color w:val="231F20"/>
        </w:rPr>
        <w:t>;</w:t>
      </w:r>
      <w:r>
        <w:rPr>
          <w:color w:val="231F20"/>
          <w:spacing w:val="-7"/>
        </w:rPr>
        <w:t xml:space="preserve"> </w:t>
      </w:r>
      <w:r>
        <w:rPr>
          <w:color w:val="231F20"/>
        </w:rPr>
        <w:t>як</w:t>
      </w:r>
      <w:r>
        <w:rPr>
          <w:color w:val="231F20"/>
          <w:spacing w:val="-7"/>
        </w:rPr>
        <w:t xml:space="preserve"> </w:t>
      </w:r>
      <w:r>
        <w:rPr>
          <w:color w:val="231F20"/>
        </w:rPr>
        <w:t>приклади</w:t>
      </w:r>
      <w:r>
        <w:rPr>
          <w:color w:val="231F20"/>
          <w:spacing w:val="-7"/>
        </w:rPr>
        <w:t xml:space="preserve"> </w:t>
      </w:r>
      <w:r>
        <w:rPr>
          <w:color w:val="231F20"/>
        </w:rPr>
        <w:t>інших</w:t>
      </w:r>
      <w:r>
        <w:rPr>
          <w:color w:val="231F20"/>
          <w:spacing w:val="-7"/>
        </w:rPr>
        <w:t xml:space="preserve"> </w:t>
      </w:r>
      <w:r>
        <w:rPr>
          <w:color w:val="231F20"/>
        </w:rPr>
        <w:t>форм</w:t>
      </w:r>
      <w:r>
        <w:rPr>
          <w:color w:val="231F20"/>
          <w:spacing w:val="-7"/>
        </w:rPr>
        <w:t xml:space="preserve"> </w:t>
      </w:r>
      <w:r>
        <w:rPr>
          <w:color w:val="231F20"/>
        </w:rPr>
        <w:t>протиправного використання службових повноважень (або становища,</w:t>
      </w:r>
      <w:r>
        <w:rPr>
          <w:color w:val="231F20"/>
          <w:spacing w:val="31"/>
        </w:rPr>
        <w:t xml:space="preserve"> </w:t>
      </w:r>
      <w:r>
        <w:rPr>
          <w:color w:val="231F20"/>
        </w:rPr>
        <w:t>або</w:t>
      </w:r>
      <w:r>
        <w:rPr>
          <w:color w:val="231F20"/>
          <w:spacing w:val="5"/>
        </w:rPr>
        <w:t xml:space="preserve"> </w:t>
      </w:r>
      <w:r>
        <w:rPr>
          <w:color w:val="231F20"/>
        </w:rPr>
        <w:t>можли- востей)</w:t>
      </w:r>
      <w:r>
        <w:rPr>
          <w:color w:val="231F20"/>
          <w:spacing w:val="-23"/>
        </w:rPr>
        <w:t xml:space="preserve"> </w:t>
      </w:r>
      <w:r>
        <w:rPr>
          <w:color w:val="231F20"/>
        </w:rPr>
        <w:t>можна</w:t>
      </w:r>
      <w:r>
        <w:rPr>
          <w:color w:val="231F20"/>
          <w:spacing w:val="-23"/>
        </w:rPr>
        <w:t xml:space="preserve"> </w:t>
      </w:r>
      <w:r>
        <w:rPr>
          <w:color w:val="231F20"/>
        </w:rPr>
        <w:t>вважати</w:t>
      </w:r>
      <w:r>
        <w:rPr>
          <w:color w:val="231F20"/>
          <w:spacing w:val="-23"/>
        </w:rPr>
        <w:t xml:space="preserve"> </w:t>
      </w:r>
      <w:r>
        <w:rPr>
          <w:color w:val="231F20"/>
        </w:rPr>
        <w:t>згадані</w:t>
      </w:r>
      <w:r>
        <w:rPr>
          <w:color w:val="231F20"/>
          <w:spacing w:val="-23"/>
        </w:rPr>
        <w:t xml:space="preserve"> </w:t>
      </w:r>
      <w:r>
        <w:rPr>
          <w:i/>
          <w:color w:val="231F20"/>
        </w:rPr>
        <w:t>заборони</w:t>
      </w:r>
      <w:r>
        <w:rPr>
          <w:i/>
          <w:color w:val="231F20"/>
          <w:spacing w:val="-23"/>
        </w:rPr>
        <w:t xml:space="preserve"> </w:t>
      </w:r>
      <w:r>
        <w:rPr>
          <w:i/>
          <w:color w:val="231F20"/>
        </w:rPr>
        <w:t>попередньог</w:t>
      </w:r>
      <w:r>
        <w:rPr>
          <w:i/>
          <w:color w:val="231F20"/>
        </w:rPr>
        <w:t>о</w:t>
      </w:r>
      <w:r>
        <w:rPr>
          <w:i/>
          <w:color w:val="231F20"/>
          <w:spacing w:val="-22"/>
        </w:rPr>
        <w:t xml:space="preserve"> </w:t>
      </w:r>
      <w:r>
        <w:rPr>
          <w:i/>
          <w:color w:val="231F20"/>
        </w:rPr>
        <w:t>антикорупцій- ного</w:t>
      </w:r>
      <w:r>
        <w:rPr>
          <w:i/>
          <w:color w:val="231F20"/>
          <w:spacing w:val="7"/>
        </w:rPr>
        <w:t xml:space="preserve"> </w:t>
      </w:r>
      <w:r>
        <w:rPr>
          <w:i/>
          <w:color w:val="231F20"/>
        </w:rPr>
        <w:t>акта</w:t>
      </w:r>
      <w:r>
        <w:rPr>
          <w:i/>
          <w:color w:val="231F20"/>
          <w:spacing w:val="7"/>
        </w:rPr>
        <w:t xml:space="preserve"> </w:t>
      </w:r>
      <w:r>
        <w:rPr>
          <w:i/>
          <w:color w:val="231F20"/>
        </w:rPr>
        <w:t>вищої</w:t>
      </w:r>
      <w:r>
        <w:rPr>
          <w:i/>
          <w:color w:val="231F20"/>
          <w:spacing w:val="7"/>
        </w:rPr>
        <w:t xml:space="preserve"> </w:t>
      </w:r>
      <w:r>
        <w:rPr>
          <w:i/>
          <w:color w:val="231F20"/>
        </w:rPr>
        <w:t>юридичної</w:t>
      </w:r>
      <w:r>
        <w:rPr>
          <w:i/>
          <w:color w:val="231F20"/>
          <w:spacing w:val="7"/>
        </w:rPr>
        <w:t xml:space="preserve"> </w:t>
      </w:r>
      <w:r>
        <w:rPr>
          <w:i/>
          <w:color w:val="231F20"/>
        </w:rPr>
        <w:t>сили</w:t>
      </w:r>
      <w:r>
        <w:rPr>
          <w:color w:val="231F20"/>
        </w:rPr>
        <w:t>;</w:t>
      </w:r>
      <w:r>
        <w:rPr>
          <w:color w:val="231F20"/>
          <w:spacing w:val="7"/>
        </w:rPr>
        <w:t xml:space="preserve"> </w:t>
      </w:r>
      <w:r>
        <w:rPr>
          <w:color w:val="231F20"/>
        </w:rPr>
        <w:t>можливі</w:t>
      </w:r>
      <w:r>
        <w:rPr>
          <w:color w:val="231F20"/>
          <w:spacing w:val="7"/>
        </w:rPr>
        <w:t xml:space="preserve"> </w:t>
      </w:r>
      <w:r>
        <w:rPr>
          <w:color w:val="231F20"/>
        </w:rPr>
        <w:t>й</w:t>
      </w:r>
      <w:r>
        <w:rPr>
          <w:color w:val="231F20"/>
          <w:spacing w:val="7"/>
        </w:rPr>
        <w:t xml:space="preserve"> </w:t>
      </w:r>
      <w:r>
        <w:rPr>
          <w:color w:val="231F20"/>
        </w:rPr>
        <w:t>інші</w:t>
      </w:r>
      <w:r>
        <w:rPr>
          <w:color w:val="231F20"/>
          <w:spacing w:val="7"/>
        </w:rPr>
        <w:t xml:space="preserve"> </w:t>
      </w:r>
      <w:r>
        <w:rPr>
          <w:color w:val="231F20"/>
        </w:rPr>
        <w:t>форми</w:t>
      </w:r>
      <w:r>
        <w:rPr>
          <w:color w:val="231F20"/>
          <w:spacing w:val="7"/>
        </w:rPr>
        <w:t xml:space="preserve"> </w:t>
      </w:r>
      <w:r>
        <w:rPr>
          <w:color w:val="231F20"/>
        </w:rPr>
        <w:t>протиправ- ного використання службових повноважень, зокрема</w:t>
      </w:r>
      <w:r>
        <w:rPr>
          <w:color w:val="231F20"/>
          <w:spacing w:val="16"/>
        </w:rPr>
        <w:t xml:space="preserve"> </w:t>
      </w:r>
      <w:r>
        <w:rPr>
          <w:color w:val="231F20"/>
        </w:rPr>
        <w:t>неправомірне</w:t>
      </w:r>
    </w:p>
    <w:p w14:paraId="0E414382" w14:textId="77777777" w:rsidR="00DE575E" w:rsidRDefault="002E7560">
      <w:pPr>
        <w:pStyle w:val="BodyText"/>
        <w:spacing w:before="5"/>
        <w:ind w:left="533"/>
      </w:pPr>
      <w:r>
        <w:rPr>
          <w:color w:val="231F20"/>
        </w:rPr>
        <w:t>сприяння призначенню на посаду.</w:t>
      </w:r>
    </w:p>
    <w:p w14:paraId="78C78B65" w14:textId="77777777" w:rsidR="00DE575E" w:rsidRDefault="00DE575E">
      <w:pPr>
        <w:pStyle w:val="BodyText"/>
        <w:rPr>
          <w:sz w:val="24"/>
        </w:rPr>
      </w:pPr>
    </w:p>
    <w:p w14:paraId="1A3B923D" w14:textId="77777777" w:rsidR="00DE575E" w:rsidRDefault="00DE575E">
      <w:pPr>
        <w:pStyle w:val="BodyText"/>
        <w:spacing w:before="5"/>
        <w:rPr>
          <w:sz w:val="20"/>
        </w:rPr>
      </w:pPr>
    </w:p>
    <w:p w14:paraId="7A65DB0A" w14:textId="77777777" w:rsidR="00DE575E" w:rsidRDefault="002E7560">
      <w:pPr>
        <w:pStyle w:val="Heading4"/>
        <w:numPr>
          <w:ilvl w:val="1"/>
          <w:numId w:val="83"/>
        </w:numPr>
        <w:tabs>
          <w:tab w:val="left" w:pos="1813"/>
        </w:tabs>
        <w:ind w:left="1812" w:hanging="410"/>
        <w:jc w:val="left"/>
      </w:pPr>
      <w:r>
        <w:rPr>
          <w:color w:val="231F20"/>
        </w:rPr>
        <w:t xml:space="preserve">Обмеження </w:t>
      </w:r>
      <w:r>
        <w:rPr>
          <w:color w:val="231F20"/>
          <w:spacing w:val="-3"/>
        </w:rPr>
        <w:t xml:space="preserve">щодо </w:t>
      </w:r>
      <w:r>
        <w:rPr>
          <w:color w:val="231F20"/>
        </w:rPr>
        <w:t>одержання</w:t>
      </w:r>
      <w:r>
        <w:rPr>
          <w:color w:val="231F20"/>
          <w:spacing w:val="-3"/>
        </w:rPr>
        <w:t xml:space="preserve"> </w:t>
      </w:r>
      <w:r>
        <w:rPr>
          <w:color w:val="231F20"/>
        </w:rPr>
        <w:t>подарунків.</w:t>
      </w:r>
    </w:p>
    <w:p w14:paraId="30910745" w14:textId="77777777" w:rsidR="00DE575E" w:rsidRDefault="002E7560">
      <w:pPr>
        <w:ind w:left="1819" w:right="521" w:hanging="521"/>
        <w:rPr>
          <w:b/>
        </w:rPr>
      </w:pPr>
      <w:r>
        <w:rPr>
          <w:b/>
          <w:color w:val="231F20"/>
        </w:rPr>
        <w:t>Запобігання одержанню неправомірної вигоди або подарунка та поводження з ними</w:t>
      </w:r>
    </w:p>
    <w:p w14:paraId="46D0A6A0" w14:textId="77777777" w:rsidR="00DE575E" w:rsidRDefault="00DE575E">
      <w:pPr>
        <w:pStyle w:val="BodyText"/>
        <w:rPr>
          <w:b/>
          <w:sz w:val="26"/>
        </w:rPr>
      </w:pPr>
    </w:p>
    <w:p w14:paraId="4D9529AE" w14:textId="77777777" w:rsidR="00DE575E" w:rsidRDefault="002E7560">
      <w:pPr>
        <w:spacing w:before="224" w:line="252" w:lineRule="auto"/>
        <w:ind w:left="533" w:right="128" w:firstLine="283"/>
        <w:jc w:val="both"/>
        <w:rPr>
          <w:i/>
          <w:sz w:val="21"/>
        </w:rPr>
      </w:pPr>
      <w:r>
        <w:rPr>
          <w:color w:val="231F20"/>
          <w:sz w:val="21"/>
        </w:rPr>
        <w:t xml:space="preserve">Відповідно до ч. 1 ст. 1 Закону «Про запобігання корупції» </w:t>
      </w:r>
      <w:r>
        <w:rPr>
          <w:b/>
          <w:i/>
          <w:color w:val="231F20"/>
          <w:sz w:val="21"/>
        </w:rPr>
        <w:t xml:space="preserve">пода- рунком </w:t>
      </w:r>
      <w:r>
        <w:rPr>
          <w:i/>
          <w:color w:val="231F20"/>
          <w:sz w:val="21"/>
        </w:rPr>
        <w:t>є грошові кошти або інше майно, переваги, пільги, послуги, нематеріальні активи</w:t>
      </w:r>
      <w:r>
        <w:rPr>
          <w:color w:val="231F20"/>
          <w:position w:val="7"/>
          <w:sz w:val="12"/>
        </w:rPr>
        <w:t>1</w:t>
      </w:r>
      <w:r>
        <w:rPr>
          <w:i/>
          <w:color w:val="231F20"/>
          <w:sz w:val="21"/>
        </w:rPr>
        <w:t>, які надають/одержують б</w:t>
      </w:r>
      <w:r>
        <w:rPr>
          <w:i/>
          <w:color w:val="231F20"/>
          <w:sz w:val="21"/>
        </w:rPr>
        <w:t>езоплатно або</w:t>
      </w:r>
    </w:p>
    <w:p w14:paraId="6E6CE514" w14:textId="3B2CAE67" w:rsidR="00DE575E" w:rsidRDefault="002E7560">
      <w:pPr>
        <w:pStyle w:val="BodyText"/>
        <w:spacing w:before="8"/>
        <w:rPr>
          <w:i/>
          <w:sz w:val="22"/>
        </w:rPr>
      </w:pPr>
      <w:r>
        <w:rPr>
          <w:noProof/>
        </w:rPr>
        <mc:AlternateContent>
          <mc:Choice Requires="wps">
            <w:drawing>
              <wp:anchor distT="0" distB="0" distL="0" distR="0" simplePos="0" relativeHeight="16048" behindDoc="0" locked="0" layoutInCell="1" allowOverlap="1" wp14:anchorId="762BF59D" wp14:editId="46EADCFD">
                <wp:simplePos x="0" y="0"/>
                <wp:positionH relativeFrom="page">
                  <wp:posOffset>719455</wp:posOffset>
                </wp:positionH>
                <wp:positionV relativeFrom="paragraph">
                  <wp:posOffset>196850</wp:posOffset>
                </wp:positionV>
                <wp:extent cx="1080135" cy="0"/>
                <wp:effectExtent l="8255" t="19050" r="29210" b="19050"/>
                <wp:wrapTopAndBottom/>
                <wp:docPr id="375"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810E0" id="Line_x0020_374" o:spid="_x0000_s1026" style="position:absolute;z-index:1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5pt" to="141.7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" strokecolor="#231f20" strokeweight=".5pt">
                <w10:wrap type="topAndBottom" anchorx="page"/>
              </v:line>
            </w:pict>
          </mc:Fallback>
        </mc:AlternateContent>
      </w:r>
    </w:p>
    <w:p w14:paraId="629D2D8B" w14:textId="77777777" w:rsidR="00DE575E" w:rsidRDefault="002E7560">
      <w:pPr>
        <w:spacing w:line="118" w:lineRule="exact"/>
        <w:ind w:left="533"/>
        <w:rPr>
          <w:sz w:val="16"/>
        </w:rPr>
      </w:pPr>
      <w:r>
        <w:rPr>
          <w:color w:val="231F20"/>
          <w:position w:val="5"/>
          <w:sz w:val="9"/>
        </w:rPr>
        <w:t xml:space="preserve">1 </w:t>
      </w:r>
      <w:r>
        <w:rPr>
          <w:color w:val="231F20"/>
          <w:sz w:val="16"/>
        </w:rPr>
        <w:t>До нематеріальних активів включаються не лише традиційні права інтелектуальної</w:t>
      </w:r>
    </w:p>
    <w:p w14:paraId="42E9224F" w14:textId="77777777" w:rsidR="00DE575E" w:rsidRDefault="002E7560">
      <w:pPr>
        <w:spacing w:before="14" w:line="180" w:lineRule="auto"/>
        <w:ind w:left="533" w:right="127"/>
        <w:jc w:val="both"/>
        <w:rPr>
          <w:sz w:val="16"/>
        </w:rPr>
      </w:pPr>
      <w:r>
        <w:rPr>
          <w:color w:val="231F20"/>
          <w:sz w:val="16"/>
        </w:rPr>
        <w:t>власності,</w:t>
      </w:r>
      <w:r>
        <w:rPr>
          <w:color w:val="231F20"/>
          <w:spacing w:val="-9"/>
          <w:sz w:val="16"/>
        </w:rPr>
        <w:t xml:space="preserve"> </w:t>
      </w:r>
      <w:r>
        <w:rPr>
          <w:color w:val="231F20"/>
          <w:sz w:val="16"/>
        </w:rPr>
        <w:t>але</w:t>
      </w:r>
      <w:r>
        <w:rPr>
          <w:color w:val="231F20"/>
          <w:spacing w:val="-9"/>
          <w:sz w:val="16"/>
        </w:rPr>
        <w:t xml:space="preserve"> </w:t>
      </w:r>
      <w:r>
        <w:rPr>
          <w:color w:val="231F20"/>
          <w:sz w:val="16"/>
        </w:rPr>
        <w:t>й</w:t>
      </w:r>
      <w:r>
        <w:rPr>
          <w:color w:val="231F20"/>
          <w:spacing w:val="-9"/>
          <w:sz w:val="16"/>
        </w:rPr>
        <w:t xml:space="preserve"> </w:t>
      </w:r>
      <w:r>
        <w:rPr>
          <w:color w:val="231F20"/>
          <w:sz w:val="16"/>
        </w:rPr>
        <w:t>(з</w:t>
      </w:r>
      <w:r>
        <w:rPr>
          <w:color w:val="231F20"/>
          <w:spacing w:val="-9"/>
          <w:sz w:val="16"/>
        </w:rPr>
        <w:t xml:space="preserve"> </w:t>
      </w:r>
      <w:r>
        <w:rPr>
          <w:color w:val="231F20"/>
          <w:sz w:val="16"/>
        </w:rPr>
        <w:t>огляду</w:t>
      </w:r>
      <w:r>
        <w:rPr>
          <w:color w:val="231F20"/>
          <w:spacing w:val="-9"/>
          <w:sz w:val="16"/>
        </w:rPr>
        <w:t xml:space="preserve"> </w:t>
      </w:r>
      <w:r>
        <w:rPr>
          <w:color w:val="231F20"/>
          <w:sz w:val="16"/>
        </w:rPr>
        <w:t>на</w:t>
      </w:r>
      <w:r>
        <w:rPr>
          <w:color w:val="231F20"/>
          <w:spacing w:val="-9"/>
          <w:sz w:val="16"/>
        </w:rPr>
        <w:t xml:space="preserve"> </w:t>
      </w:r>
      <w:r>
        <w:rPr>
          <w:color w:val="231F20"/>
          <w:sz w:val="16"/>
        </w:rPr>
        <w:t>оновлений</w:t>
      </w:r>
      <w:r>
        <w:rPr>
          <w:color w:val="231F20"/>
          <w:spacing w:val="-9"/>
          <w:sz w:val="16"/>
        </w:rPr>
        <w:t xml:space="preserve"> </w:t>
      </w:r>
      <w:r>
        <w:rPr>
          <w:color w:val="231F20"/>
          <w:sz w:val="16"/>
        </w:rPr>
        <w:t>в</w:t>
      </w:r>
      <w:r>
        <w:rPr>
          <w:color w:val="231F20"/>
          <w:spacing w:val="-10"/>
          <w:sz w:val="16"/>
        </w:rPr>
        <w:t xml:space="preserve"> </w:t>
      </w:r>
      <w:r>
        <w:rPr>
          <w:color w:val="231F20"/>
          <w:sz w:val="16"/>
        </w:rPr>
        <w:t>жовтні</w:t>
      </w:r>
      <w:r>
        <w:rPr>
          <w:color w:val="231F20"/>
          <w:spacing w:val="-9"/>
          <w:sz w:val="16"/>
        </w:rPr>
        <w:t xml:space="preserve"> </w:t>
      </w:r>
      <w:r>
        <w:rPr>
          <w:color w:val="231F20"/>
          <w:sz w:val="16"/>
        </w:rPr>
        <w:t>2019</w:t>
      </w:r>
      <w:r>
        <w:rPr>
          <w:color w:val="231F20"/>
          <w:spacing w:val="-9"/>
          <w:sz w:val="16"/>
        </w:rPr>
        <w:t xml:space="preserve"> </w:t>
      </w:r>
      <w:r>
        <w:rPr>
          <w:color w:val="231F20"/>
          <w:sz w:val="16"/>
        </w:rPr>
        <w:t>року</w:t>
      </w:r>
      <w:r>
        <w:rPr>
          <w:color w:val="231F20"/>
          <w:spacing w:val="-9"/>
          <w:sz w:val="16"/>
        </w:rPr>
        <w:t xml:space="preserve"> </w:t>
      </w:r>
      <w:r>
        <w:rPr>
          <w:color w:val="231F20"/>
          <w:sz w:val="16"/>
        </w:rPr>
        <w:t>зміст</w:t>
      </w:r>
      <w:r>
        <w:rPr>
          <w:color w:val="231F20"/>
          <w:spacing w:val="-9"/>
          <w:sz w:val="16"/>
        </w:rPr>
        <w:t xml:space="preserve"> </w:t>
      </w:r>
      <w:r>
        <w:rPr>
          <w:color w:val="231F20"/>
          <w:sz w:val="16"/>
        </w:rPr>
        <w:t>п.</w:t>
      </w:r>
      <w:r>
        <w:rPr>
          <w:color w:val="231F20"/>
          <w:spacing w:val="-6"/>
          <w:sz w:val="16"/>
        </w:rPr>
        <w:t xml:space="preserve"> </w:t>
      </w:r>
      <w:r>
        <w:rPr>
          <w:color w:val="231F20"/>
          <w:sz w:val="16"/>
        </w:rPr>
        <w:t>6</w:t>
      </w:r>
      <w:r>
        <w:rPr>
          <w:color w:val="231F20"/>
          <w:spacing w:val="-9"/>
          <w:sz w:val="16"/>
        </w:rPr>
        <w:t xml:space="preserve"> </w:t>
      </w:r>
      <w:r>
        <w:rPr>
          <w:color w:val="231F20"/>
          <w:sz w:val="16"/>
        </w:rPr>
        <w:t>ч.</w:t>
      </w:r>
      <w:r>
        <w:rPr>
          <w:color w:val="231F20"/>
          <w:spacing w:val="-6"/>
          <w:sz w:val="16"/>
        </w:rPr>
        <w:t xml:space="preserve"> </w:t>
      </w:r>
      <w:r>
        <w:rPr>
          <w:color w:val="231F20"/>
          <w:sz w:val="16"/>
        </w:rPr>
        <w:t>1</w:t>
      </w:r>
      <w:r>
        <w:rPr>
          <w:color w:val="231F20"/>
          <w:spacing w:val="-9"/>
          <w:sz w:val="16"/>
        </w:rPr>
        <w:t xml:space="preserve"> </w:t>
      </w:r>
      <w:r>
        <w:rPr>
          <w:color w:val="231F20"/>
          <w:spacing w:val="-5"/>
          <w:sz w:val="16"/>
        </w:rPr>
        <w:t>ст.</w:t>
      </w:r>
      <w:r>
        <w:rPr>
          <w:color w:val="231F20"/>
          <w:spacing w:val="-6"/>
          <w:sz w:val="16"/>
        </w:rPr>
        <w:t xml:space="preserve"> </w:t>
      </w:r>
      <w:r>
        <w:rPr>
          <w:color w:val="231F20"/>
          <w:sz w:val="16"/>
        </w:rPr>
        <w:t>46</w:t>
      </w:r>
      <w:r>
        <w:rPr>
          <w:color w:val="231F20"/>
          <w:spacing w:val="-9"/>
          <w:sz w:val="16"/>
        </w:rPr>
        <w:t xml:space="preserve"> </w:t>
      </w:r>
      <w:r>
        <w:rPr>
          <w:color w:val="231F20"/>
          <w:sz w:val="16"/>
        </w:rPr>
        <w:t>Закону</w:t>
      </w:r>
      <w:r>
        <w:rPr>
          <w:color w:val="231F20"/>
          <w:spacing w:val="-9"/>
          <w:sz w:val="16"/>
        </w:rPr>
        <w:t xml:space="preserve"> </w:t>
      </w:r>
      <w:r>
        <w:rPr>
          <w:color w:val="231F20"/>
          <w:sz w:val="16"/>
        </w:rPr>
        <w:t xml:space="preserve">«Про запобігання корупції») </w:t>
      </w:r>
      <w:r>
        <w:rPr>
          <w:i/>
          <w:color w:val="231F20"/>
          <w:sz w:val="16"/>
        </w:rPr>
        <w:t>криптовалюти</w:t>
      </w:r>
      <w:r>
        <w:rPr>
          <w:color w:val="231F20"/>
          <w:sz w:val="16"/>
        </w:rPr>
        <w:t xml:space="preserve">. Відповідне нормативне уточнення </w:t>
      </w:r>
      <w:r>
        <w:rPr>
          <w:color w:val="231F20"/>
          <w:spacing w:val="-3"/>
          <w:sz w:val="16"/>
        </w:rPr>
        <w:t xml:space="preserve">було </w:t>
      </w:r>
      <w:r>
        <w:rPr>
          <w:color w:val="231F20"/>
          <w:sz w:val="16"/>
        </w:rPr>
        <w:t>затребу- ване практикою, дозволило виключити термінологічні різнотрактування і навіть спроби обійти антикорупційні</w:t>
      </w:r>
      <w:r>
        <w:rPr>
          <w:color w:val="231F20"/>
          <w:spacing w:val="-2"/>
          <w:sz w:val="16"/>
        </w:rPr>
        <w:t xml:space="preserve"> </w:t>
      </w:r>
      <w:r>
        <w:rPr>
          <w:color w:val="231F20"/>
          <w:sz w:val="16"/>
        </w:rPr>
        <w:t>приписи.</w:t>
      </w:r>
    </w:p>
    <w:p w14:paraId="04D6115C" w14:textId="77777777" w:rsidR="00DE575E" w:rsidRDefault="00DE575E">
      <w:pPr>
        <w:pStyle w:val="BodyText"/>
        <w:spacing w:before="6"/>
        <w:rPr>
          <w:sz w:val="12"/>
        </w:rPr>
      </w:pPr>
    </w:p>
    <w:p w14:paraId="2364B60A" w14:textId="77777777" w:rsidR="00DE575E" w:rsidRDefault="002E7560">
      <w:pPr>
        <w:spacing w:before="91"/>
        <w:ind w:left="533"/>
        <w:rPr>
          <w:rFonts w:ascii="Times New Roman"/>
          <w:sz w:val="20"/>
        </w:rPr>
      </w:pPr>
      <w:r>
        <w:rPr>
          <w:rFonts w:ascii="Times New Roman"/>
          <w:color w:val="231F20"/>
          <w:sz w:val="20"/>
        </w:rPr>
        <w:t>408</w:t>
      </w:r>
    </w:p>
    <w:p w14:paraId="69A85946" w14:textId="77777777" w:rsidR="00DE575E" w:rsidRDefault="00DE575E">
      <w:pPr>
        <w:rPr>
          <w:rFonts w:ascii="Times New Roman"/>
          <w:sz w:val="20"/>
        </w:rPr>
        <w:sectPr w:rsidR="00DE575E">
          <w:pgSz w:w="8510" w:h="12760"/>
          <w:pgMar w:top="660" w:right="720" w:bottom="280" w:left="600" w:header="720" w:footer="720" w:gutter="0"/>
          <w:cols w:space="720"/>
        </w:sectPr>
      </w:pPr>
    </w:p>
    <w:p w14:paraId="7A75C2BE"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 xml:space="preserve">Глава ІІ Особливе адміністративне право/ Книга І </w:t>
      </w:r>
      <w:r>
        <w:rPr>
          <w:rFonts w:ascii="AdonisC" w:hAnsi="AdonisC"/>
          <w:i/>
          <w:color w:val="231F20"/>
          <w:sz w:val="18"/>
        </w:rPr>
        <w:t>Розділ 4. Запобігання корупційним проявам  у публічній службі</w:t>
      </w:r>
    </w:p>
    <w:p w14:paraId="12BCFDF2" w14:textId="0326965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F7A7AC1" wp14:editId="627D7CB8">
                <wp:extent cx="4140200" cy="6350"/>
                <wp:effectExtent l="0" t="0" r="12700" b="6350"/>
                <wp:docPr id="373"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74" name="Line 37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5588E6" id="Group_x0020_37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uoQh9/AgAAmAUAAA4A&#10;AAAAAAAAAAAAAAAALAIAAGRycy9lMm9Eb2MueG1sUEsBAi0AFAAGAAgAAAAhAEynsJDZAAAAAwEA&#10;AA8AAAAAAAAAAAAAAAAA1wQAAGRycy9kb3ducmV2LnhtbFBLBQYAAAAABAAEAPMAAADdBQAAAAA=&#10;">
                <v:line id="Line_x0020_37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1S6scAAADcAAAADwAAAGRycy9kb3ducmV2LnhtbESP3WrCQBSE7wXfYTkFb0rdtClWoqtI&#10;oSC98C8+wDF7TEJ3z8bsatI+fbdQ8HKYmW+Y+bK3Rtyo9bVjBc/jBARx4XTNpYJj/vE0BeEDskbj&#10;mBR8k4flYjiYY6Zdx3u6HUIpIoR9hgqqEJpMSl9UZNGPXUMcvbNrLYYo21LqFrsIt0a+JMlEWqw5&#10;LlTY0HtFxdfhahXkl8dgdttP0+XbUypPl036c90oNXroVzMQgfpwD/+311pB+vY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fVLqxwAAANwAAAAPAAAAAAAA&#10;AAAAAAAAAKECAABkcnMvZG93bnJldi54bWxQSwUGAAAAAAQABAD5AAAAlQMAAAAA&#10;" strokecolor="#231f20" strokeweight=".5pt"/>
                <w10:anchorlock/>
              </v:group>
            </w:pict>
          </mc:Fallback>
        </mc:AlternateContent>
      </w:r>
    </w:p>
    <w:p w14:paraId="7766D765" w14:textId="77777777" w:rsidR="00DE575E" w:rsidRDefault="00DE575E">
      <w:pPr>
        <w:pStyle w:val="BodyText"/>
        <w:spacing w:before="7"/>
        <w:rPr>
          <w:rFonts w:ascii="AdonisC"/>
          <w:i/>
          <w:sz w:val="19"/>
        </w:rPr>
      </w:pPr>
    </w:p>
    <w:p w14:paraId="3F623D85" w14:textId="77777777" w:rsidR="00DE575E" w:rsidRDefault="002E7560">
      <w:pPr>
        <w:spacing w:before="1" w:line="252" w:lineRule="auto"/>
        <w:ind w:left="250" w:right="411"/>
        <w:jc w:val="both"/>
        <w:rPr>
          <w:sz w:val="21"/>
        </w:rPr>
      </w:pPr>
      <w:r>
        <w:rPr>
          <w:i/>
          <w:color w:val="231F20"/>
          <w:sz w:val="21"/>
        </w:rPr>
        <w:t xml:space="preserve">за ціною, нижчою за мінімальну ринкову. </w:t>
      </w:r>
      <w:r>
        <w:rPr>
          <w:color w:val="231F20"/>
          <w:spacing w:val="-5"/>
          <w:sz w:val="21"/>
        </w:rPr>
        <w:t xml:space="preserve">Таке </w:t>
      </w:r>
      <w:r>
        <w:rPr>
          <w:color w:val="231F20"/>
          <w:sz w:val="21"/>
        </w:rPr>
        <w:t>розуміння подарунку є  значно  ширшим  від  передбаченого  в  цивільному</w:t>
      </w:r>
      <w:r>
        <w:rPr>
          <w:color w:val="231F20"/>
          <w:spacing w:val="-6"/>
          <w:sz w:val="21"/>
        </w:rPr>
        <w:t xml:space="preserve"> </w:t>
      </w:r>
      <w:r>
        <w:rPr>
          <w:color w:val="231F20"/>
          <w:sz w:val="21"/>
        </w:rPr>
        <w:t>законодав</w:t>
      </w:r>
      <w:r>
        <w:rPr>
          <w:color w:val="231F20"/>
          <w:sz w:val="21"/>
        </w:rPr>
        <w:t>стві</w:t>
      </w:r>
    </w:p>
    <w:p w14:paraId="36DEECA9" w14:textId="77777777" w:rsidR="00DE575E" w:rsidRDefault="002E7560">
      <w:pPr>
        <w:pStyle w:val="BodyText"/>
        <w:spacing w:before="1" w:line="252" w:lineRule="auto"/>
        <w:ind w:left="250" w:right="411"/>
        <w:jc w:val="both"/>
      </w:pPr>
      <w:r>
        <w:rPr>
          <w:color w:val="231F20"/>
        </w:rPr>
        <w:t>«дарунку»</w:t>
      </w:r>
      <w:r>
        <w:rPr>
          <w:color w:val="231F20"/>
          <w:position w:val="7"/>
          <w:sz w:val="12"/>
        </w:rPr>
        <w:t>1</w:t>
      </w:r>
      <w:r>
        <w:rPr>
          <w:color w:val="231F20"/>
        </w:rPr>
        <w:t>, яким можуть бути лише рухомі речі, зокрема гроші та цінні папери, нерухомі речі та майнові права (тобто перша складова антикорупційного подарунку – «майно»).</w:t>
      </w:r>
    </w:p>
    <w:p w14:paraId="2129E4F7" w14:textId="77777777" w:rsidR="00DE575E" w:rsidRDefault="002E7560">
      <w:pPr>
        <w:pStyle w:val="BodyText"/>
        <w:spacing w:before="1" w:line="252" w:lineRule="auto"/>
        <w:ind w:left="250" w:right="410" w:firstLine="283"/>
        <w:jc w:val="both"/>
      </w:pPr>
      <w:r>
        <w:rPr>
          <w:color w:val="231F20"/>
        </w:rPr>
        <w:t xml:space="preserve">Відповідні </w:t>
      </w:r>
      <w:r>
        <w:rPr>
          <w:color w:val="231F20"/>
          <w:spacing w:val="-4"/>
        </w:rPr>
        <w:t xml:space="preserve">об’єкти </w:t>
      </w:r>
      <w:r>
        <w:rPr>
          <w:color w:val="231F20"/>
        </w:rPr>
        <w:t xml:space="preserve">мають бути </w:t>
      </w:r>
      <w:r>
        <w:rPr>
          <w:i/>
          <w:color w:val="231F20"/>
        </w:rPr>
        <w:t>одержані безоплатно або за ціною, нижчою за мінімал</w:t>
      </w:r>
      <w:r>
        <w:rPr>
          <w:i/>
          <w:color w:val="231F20"/>
        </w:rPr>
        <w:t>ьну ринкову</w:t>
      </w:r>
      <w:r>
        <w:rPr>
          <w:color w:val="231F20"/>
        </w:rPr>
        <w:t xml:space="preserve">, щоб кваліфікуватися як </w:t>
      </w:r>
      <w:r>
        <w:rPr>
          <w:b/>
          <w:i/>
          <w:color w:val="231F20"/>
        </w:rPr>
        <w:t>подарунок</w:t>
      </w:r>
      <w:r>
        <w:rPr>
          <w:color w:val="231F20"/>
        </w:rPr>
        <w:t>. При цьому поняття мінімальної ринкової ціни не отримало законо- давчого</w:t>
      </w:r>
      <w:r>
        <w:rPr>
          <w:color w:val="231F20"/>
          <w:spacing w:val="-7"/>
        </w:rPr>
        <w:t xml:space="preserve"> </w:t>
      </w:r>
      <w:r>
        <w:rPr>
          <w:color w:val="231F20"/>
        </w:rPr>
        <w:t>закріплення</w:t>
      </w:r>
      <w:r>
        <w:rPr>
          <w:color w:val="231F20"/>
          <w:position w:val="7"/>
          <w:sz w:val="12"/>
        </w:rPr>
        <w:t>2</w:t>
      </w:r>
      <w:r>
        <w:rPr>
          <w:color w:val="231F20"/>
        </w:rPr>
        <w:t>.</w:t>
      </w:r>
      <w:r>
        <w:rPr>
          <w:color w:val="231F20"/>
          <w:spacing w:val="-7"/>
        </w:rPr>
        <w:t xml:space="preserve"> </w:t>
      </w:r>
      <w:r>
        <w:rPr>
          <w:color w:val="231F20"/>
        </w:rPr>
        <w:t>В</w:t>
      </w:r>
      <w:r>
        <w:rPr>
          <w:color w:val="231F20"/>
          <w:spacing w:val="-7"/>
        </w:rPr>
        <w:t xml:space="preserve"> </w:t>
      </w:r>
      <w:r>
        <w:rPr>
          <w:color w:val="231F20"/>
        </w:rPr>
        <w:t>економічній</w:t>
      </w:r>
      <w:r>
        <w:rPr>
          <w:color w:val="231F20"/>
          <w:spacing w:val="-7"/>
        </w:rPr>
        <w:t xml:space="preserve"> </w:t>
      </w:r>
      <w:r>
        <w:rPr>
          <w:color w:val="231F20"/>
        </w:rPr>
        <w:t>теорії</w:t>
      </w:r>
      <w:r>
        <w:rPr>
          <w:color w:val="231F20"/>
          <w:spacing w:val="-8"/>
        </w:rPr>
        <w:t xml:space="preserve"> </w:t>
      </w:r>
      <w:r>
        <w:rPr>
          <w:i/>
          <w:color w:val="231F20"/>
        </w:rPr>
        <w:t>мінімальна</w:t>
      </w:r>
      <w:r>
        <w:rPr>
          <w:i/>
          <w:color w:val="231F20"/>
          <w:spacing w:val="-7"/>
        </w:rPr>
        <w:t xml:space="preserve"> </w:t>
      </w:r>
      <w:r>
        <w:rPr>
          <w:i/>
          <w:color w:val="231F20"/>
        </w:rPr>
        <w:t>ціна</w:t>
      </w:r>
      <w:r>
        <w:rPr>
          <w:i/>
          <w:color w:val="231F20"/>
          <w:spacing w:val="-7"/>
        </w:rPr>
        <w:t xml:space="preserve"> </w:t>
      </w:r>
      <w:r>
        <w:rPr>
          <w:color w:val="231F20"/>
        </w:rPr>
        <w:t xml:space="preserve">визнача- ється як така, що дає можливість виробникові (продавцю) відшко- дувати собівартість виробництва та реалізації </w:t>
      </w:r>
      <w:r>
        <w:rPr>
          <w:color w:val="231F20"/>
          <w:spacing w:val="-4"/>
        </w:rPr>
        <w:t xml:space="preserve">товару, </w:t>
      </w:r>
      <w:r>
        <w:rPr>
          <w:color w:val="231F20"/>
        </w:rPr>
        <w:t xml:space="preserve">а також змінити своє конкурентне становище на ринку відповідно до ціно- вої політики. Хоча собівартість і може бути </w:t>
      </w:r>
      <w:r>
        <w:rPr>
          <w:color w:val="231F20"/>
          <w:spacing w:val="-3"/>
        </w:rPr>
        <w:t xml:space="preserve">об’єктивним </w:t>
      </w:r>
      <w:r>
        <w:rPr>
          <w:color w:val="231F20"/>
        </w:rPr>
        <w:t>к</w:t>
      </w:r>
      <w:r>
        <w:rPr>
          <w:color w:val="231F20"/>
        </w:rPr>
        <w:t xml:space="preserve">ритерієм мінімальної ринкової ціни, фахівці відзначають, що за певних умов (надлишки </w:t>
      </w:r>
      <w:r>
        <w:rPr>
          <w:color w:val="231F20"/>
          <w:spacing w:val="-4"/>
        </w:rPr>
        <w:t xml:space="preserve">товару, </w:t>
      </w:r>
      <w:r>
        <w:rPr>
          <w:color w:val="231F20"/>
        </w:rPr>
        <w:t>нестача попиту та ін.) ринкова ціна стає навіть нижчою за</w:t>
      </w:r>
      <w:r>
        <w:rPr>
          <w:color w:val="231F20"/>
          <w:spacing w:val="-2"/>
        </w:rPr>
        <w:t xml:space="preserve"> </w:t>
      </w:r>
      <w:r>
        <w:rPr>
          <w:color w:val="231F20"/>
        </w:rPr>
        <w:t>собівартість</w:t>
      </w:r>
      <w:r>
        <w:rPr>
          <w:color w:val="231F20"/>
          <w:position w:val="7"/>
          <w:sz w:val="12"/>
        </w:rPr>
        <w:t>3</w:t>
      </w:r>
      <w:r>
        <w:rPr>
          <w:color w:val="231F20"/>
        </w:rPr>
        <w:t>.</w:t>
      </w:r>
    </w:p>
    <w:p w14:paraId="5F419BD7" w14:textId="77777777" w:rsidR="00DE575E" w:rsidRDefault="002E7560">
      <w:pPr>
        <w:pStyle w:val="BodyText"/>
        <w:spacing w:before="6" w:line="252" w:lineRule="auto"/>
        <w:ind w:left="250" w:right="411" w:firstLine="283"/>
        <w:jc w:val="both"/>
      </w:pPr>
      <w:r>
        <w:rPr>
          <w:color w:val="231F20"/>
        </w:rPr>
        <w:t>Усі подарунки для державних службовців слід класифікувати на три групи:</w:t>
      </w:r>
    </w:p>
    <w:p w14:paraId="73046536" w14:textId="77777777" w:rsidR="00DE575E" w:rsidRDefault="002E7560">
      <w:pPr>
        <w:pStyle w:val="ListParagraph"/>
        <w:numPr>
          <w:ilvl w:val="0"/>
          <w:numId w:val="81"/>
        </w:numPr>
        <w:tabs>
          <w:tab w:val="left" w:pos="818"/>
        </w:tabs>
        <w:spacing w:line="252" w:lineRule="auto"/>
        <w:ind w:right="411" w:firstLine="283"/>
        <w:jc w:val="both"/>
        <w:rPr>
          <w:sz w:val="21"/>
        </w:rPr>
      </w:pPr>
      <w:r>
        <w:rPr>
          <w:b/>
          <w:i/>
          <w:color w:val="231F20"/>
          <w:sz w:val="21"/>
        </w:rPr>
        <w:t>заборонені за будь</w:t>
      </w:r>
      <w:r>
        <w:rPr>
          <w:b/>
          <w:i/>
          <w:color w:val="231F20"/>
          <w:sz w:val="21"/>
        </w:rPr>
        <w:t>-яких умов</w:t>
      </w:r>
      <w:r>
        <w:rPr>
          <w:color w:val="231F20"/>
          <w:sz w:val="21"/>
        </w:rPr>
        <w:t>. Це подарунки, що вимага- ються, просяться, одержуються службовцем для себе чи близьких йому осіб</w:t>
      </w:r>
      <w:r>
        <w:rPr>
          <w:color w:val="231F20"/>
          <w:position w:val="7"/>
          <w:sz w:val="12"/>
        </w:rPr>
        <w:t xml:space="preserve">4 </w:t>
      </w:r>
      <w:r>
        <w:rPr>
          <w:color w:val="231F20"/>
          <w:sz w:val="21"/>
        </w:rPr>
        <w:t>від юридичних або фізичних</w:t>
      </w:r>
      <w:r>
        <w:rPr>
          <w:color w:val="231F20"/>
          <w:spacing w:val="-6"/>
          <w:sz w:val="21"/>
        </w:rPr>
        <w:t xml:space="preserve"> </w:t>
      </w:r>
      <w:r>
        <w:rPr>
          <w:color w:val="231F20"/>
          <w:sz w:val="21"/>
        </w:rPr>
        <w:t>осіб:</w:t>
      </w:r>
    </w:p>
    <w:p w14:paraId="0AABCE38" w14:textId="77777777" w:rsidR="00DE575E" w:rsidRDefault="002E7560">
      <w:pPr>
        <w:spacing w:before="1" w:line="252" w:lineRule="auto"/>
        <w:ind w:left="1100" w:right="334" w:hanging="284"/>
        <w:rPr>
          <w:sz w:val="21"/>
        </w:rPr>
      </w:pPr>
      <w:r>
        <w:rPr>
          <w:color w:val="231F20"/>
          <w:sz w:val="21"/>
        </w:rPr>
        <w:t xml:space="preserve">а) </w:t>
      </w:r>
      <w:r>
        <w:rPr>
          <w:i/>
          <w:color w:val="231F20"/>
          <w:sz w:val="21"/>
        </w:rPr>
        <w:t xml:space="preserve">у зв’язку зі здійсненням діяльності, пов’язаної з виконанням функцій держави або місцевого самоврядування </w:t>
      </w:r>
      <w:r>
        <w:rPr>
          <w:color w:val="231F20"/>
          <w:sz w:val="21"/>
        </w:rPr>
        <w:t>(нап</w:t>
      </w:r>
      <w:r>
        <w:rPr>
          <w:color w:val="231F20"/>
          <w:sz w:val="21"/>
        </w:rPr>
        <w:t>риклад,</w:t>
      </w:r>
    </w:p>
    <w:p w14:paraId="7C12E8B9" w14:textId="707C34FF" w:rsidR="00DE575E" w:rsidRDefault="002E7560">
      <w:pPr>
        <w:pStyle w:val="BodyText"/>
        <w:spacing w:before="1"/>
        <w:rPr>
          <w:sz w:val="26"/>
        </w:rPr>
      </w:pPr>
      <w:r>
        <w:rPr>
          <w:noProof/>
        </w:rPr>
        <mc:AlternateContent>
          <mc:Choice Requires="wps">
            <w:drawing>
              <wp:anchor distT="0" distB="0" distL="0" distR="0" simplePos="0" relativeHeight="16096" behindDoc="0" locked="0" layoutInCell="1" allowOverlap="1" wp14:anchorId="40A1F952" wp14:editId="6EACA67E">
                <wp:simplePos x="0" y="0"/>
                <wp:positionH relativeFrom="page">
                  <wp:posOffset>539750</wp:posOffset>
                </wp:positionH>
                <wp:positionV relativeFrom="paragraph">
                  <wp:posOffset>222250</wp:posOffset>
                </wp:positionV>
                <wp:extent cx="1080135" cy="0"/>
                <wp:effectExtent l="6350" t="19050" r="31115" b="19050"/>
                <wp:wrapTopAndBottom/>
                <wp:docPr id="37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1A4F6" id="Line_x0020_371" o:spid="_x0000_s1026" style="position:absolute;z-index: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5pt" to="127.5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" strokecolor="#231f20" strokeweight=".5pt">
                <w10:wrap type="topAndBottom" anchorx="page"/>
              </v:line>
            </w:pict>
          </mc:Fallback>
        </mc:AlternateContent>
      </w:r>
    </w:p>
    <w:p w14:paraId="7C76EBC0"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Це не єдиний випадок специфічного трактування антикорупційними приписами уста- лених в інших галузях законодавства положень. Зокрема: а) визначене антикорупційним законом коло близьких осіб є значно ширшим від кола таких осіб за ПК України, а коло членів с</w:t>
      </w:r>
      <w:r>
        <w:rPr>
          <w:color w:val="231F20"/>
          <w:sz w:val="16"/>
        </w:rPr>
        <w:t>ім’ї – від кола таких осіб за процесуальними кодексами; б) вимоги ст. ст. 205, 218, 220, 719 ЦК України щодо форми договору не враховуються при виявленні порушення обмежень щодо одержання подарунків тощо.</w:t>
      </w:r>
    </w:p>
    <w:p w14:paraId="793F3057" w14:textId="77777777" w:rsidR="00DE575E" w:rsidRDefault="002E7560">
      <w:pPr>
        <w:spacing w:before="28" w:line="204" w:lineRule="auto"/>
        <w:ind w:left="250" w:right="410"/>
        <w:jc w:val="both"/>
        <w:rPr>
          <w:sz w:val="16"/>
        </w:rPr>
      </w:pPr>
      <w:r>
        <w:rPr>
          <w:color w:val="231F20"/>
          <w:position w:val="5"/>
          <w:sz w:val="9"/>
        </w:rPr>
        <w:t xml:space="preserve">2 </w:t>
      </w:r>
      <w:r>
        <w:rPr>
          <w:color w:val="231F20"/>
          <w:sz w:val="16"/>
        </w:rPr>
        <w:t xml:space="preserve">У п.п. 14.1.219 п. 14.1 </w:t>
      </w:r>
      <w:r>
        <w:rPr>
          <w:color w:val="231F20"/>
          <w:spacing w:val="-5"/>
          <w:sz w:val="16"/>
        </w:rPr>
        <w:t xml:space="preserve">ст. </w:t>
      </w:r>
      <w:r>
        <w:rPr>
          <w:color w:val="231F20"/>
          <w:sz w:val="16"/>
        </w:rPr>
        <w:t>14 ПК України є лише визначення ринкової ціни як ціни,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 вільній</w:t>
      </w:r>
      <w:r>
        <w:rPr>
          <w:color w:val="231F20"/>
          <w:spacing w:val="-7"/>
          <w:sz w:val="16"/>
        </w:rPr>
        <w:t xml:space="preserve"> </w:t>
      </w:r>
      <w:r>
        <w:rPr>
          <w:color w:val="231F20"/>
          <w:sz w:val="16"/>
        </w:rPr>
        <w:t>основі,</w:t>
      </w:r>
      <w:r>
        <w:rPr>
          <w:color w:val="231F20"/>
          <w:spacing w:val="-7"/>
          <w:sz w:val="16"/>
        </w:rPr>
        <w:t xml:space="preserve"> </w:t>
      </w:r>
      <w:r>
        <w:rPr>
          <w:color w:val="231F20"/>
          <w:sz w:val="16"/>
        </w:rPr>
        <w:t>обидві</w:t>
      </w:r>
      <w:r>
        <w:rPr>
          <w:color w:val="231F20"/>
          <w:spacing w:val="-7"/>
          <w:sz w:val="16"/>
        </w:rPr>
        <w:t xml:space="preserve"> </w:t>
      </w:r>
      <w:r>
        <w:rPr>
          <w:color w:val="231F20"/>
          <w:sz w:val="16"/>
        </w:rPr>
        <w:t>сторони</w:t>
      </w:r>
      <w:r>
        <w:rPr>
          <w:color w:val="231F20"/>
          <w:spacing w:val="-7"/>
          <w:sz w:val="16"/>
        </w:rPr>
        <w:t xml:space="preserve"> </w:t>
      </w:r>
      <w:r>
        <w:rPr>
          <w:color w:val="231F20"/>
          <w:sz w:val="16"/>
        </w:rPr>
        <w:t>є</w:t>
      </w:r>
      <w:r>
        <w:rPr>
          <w:color w:val="231F20"/>
          <w:spacing w:val="-8"/>
          <w:sz w:val="16"/>
        </w:rPr>
        <w:t xml:space="preserve"> </w:t>
      </w:r>
      <w:r>
        <w:rPr>
          <w:color w:val="231F20"/>
          <w:sz w:val="16"/>
        </w:rPr>
        <w:t>взаємно</w:t>
      </w:r>
      <w:r>
        <w:rPr>
          <w:color w:val="231F20"/>
          <w:spacing w:val="-7"/>
          <w:sz w:val="16"/>
        </w:rPr>
        <w:t xml:space="preserve"> </w:t>
      </w:r>
      <w:r>
        <w:rPr>
          <w:color w:val="231F20"/>
          <w:sz w:val="16"/>
        </w:rPr>
        <w:t>незалежними</w:t>
      </w:r>
      <w:r>
        <w:rPr>
          <w:color w:val="231F20"/>
          <w:spacing w:val="-7"/>
          <w:sz w:val="16"/>
        </w:rPr>
        <w:t xml:space="preserve"> </w:t>
      </w:r>
      <w:r>
        <w:rPr>
          <w:color w:val="231F20"/>
          <w:sz w:val="16"/>
        </w:rPr>
        <w:t>юридично</w:t>
      </w:r>
      <w:r>
        <w:rPr>
          <w:color w:val="231F20"/>
          <w:spacing w:val="-7"/>
          <w:sz w:val="16"/>
        </w:rPr>
        <w:t xml:space="preserve"> </w:t>
      </w:r>
      <w:r>
        <w:rPr>
          <w:color w:val="231F20"/>
          <w:sz w:val="16"/>
        </w:rPr>
        <w:t>та</w:t>
      </w:r>
      <w:r>
        <w:rPr>
          <w:color w:val="231F20"/>
          <w:spacing w:val="-7"/>
          <w:sz w:val="16"/>
        </w:rPr>
        <w:t xml:space="preserve"> </w:t>
      </w:r>
      <w:r>
        <w:rPr>
          <w:color w:val="231F20"/>
          <w:sz w:val="16"/>
        </w:rPr>
        <w:t>фактично,</w:t>
      </w:r>
      <w:r>
        <w:rPr>
          <w:color w:val="231F20"/>
          <w:spacing w:val="-7"/>
          <w:sz w:val="16"/>
        </w:rPr>
        <w:t xml:space="preserve"> </w:t>
      </w:r>
      <w:r>
        <w:rPr>
          <w:color w:val="231F20"/>
          <w:sz w:val="16"/>
        </w:rPr>
        <w:t>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w:t>
      </w:r>
      <w:r>
        <w:rPr>
          <w:color w:val="231F20"/>
          <w:spacing w:val="-1"/>
          <w:sz w:val="16"/>
        </w:rPr>
        <w:t xml:space="preserve"> </w:t>
      </w:r>
      <w:r>
        <w:rPr>
          <w:color w:val="231F20"/>
          <w:sz w:val="16"/>
        </w:rPr>
        <w:t>умовах.</w:t>
      </w:r>
    </w:p>
    <w:p w14:paraId="082E62BC" w14:textId="77777777" w:rsidR="00DE575E" w:rsidRDefault="002E7560">
      <w:pPr>
        <w:spacing w:before="32" w:line="204" w:lineRule="auto"/>
        <w:ind w:left="250" w:right="411"/>
        <w:jc w:val="both"/>
        <w:rPr>
          <w:sz w:val="16"/>
        </w:rPr>
      </w:pPr>
      <w:r>
        <w:rPr>
          <w:color w:val="231F20"/>
          <w:position w:val="5"/>
          <w:sz w:val="9"/>
        </w:rPr>
        <w:t xml:space="preserve">3  </w:t>
      </w:r>
      <w:r>
        <w:rPr>
          <w:color w:val="231F20"/>
          <w:sz w:val="16"/>
        </w:rPr>
        <w:t xml:space="preserve">Кадигроб С. Антикорупційні обмеження: подарунки. Визначення мінімальної ринко-  вої ціни. </w:t>
      </w:r>
      <w:r>
        <w:rPr>
          <w:i/>
          <w:color w:val="231F20"/>
          <w:sz w:val="16"/>
        </w:rPr>
        <w:t>Держслужбовець</w:t>
      </w:r>
      <w:r>
        <w:rPr>
          <w:color w:val="231F20"/>
          <w:sz w:val="16"/>
        </w:rPr>
        <w:t>. 2015. № 5. URL: https://i.factor.ua/ukr/journals/ds/2015/may/ issue-5/article-7888.html</w:t>
      </w:r>
    </w:p>
    <w:p w14:paraId="768E73C6" w14:textId="77777777" w:rsidR="00DE575E" w:rsidRDefault="002E7560">
      <w:pPr>
        <w:spacing w:before="30" w:line="204" w:lineRule="auto"/>
        <w:ind w:left="250" w:right="411"/>
        <w:jc w:val="both"/>
        <w:rPr>
          <w:sz w:val="16"/>
        </w:rPr>
      </w:pPr>
      <w:r>
        <w:rPr>
          <w:color w:val="231F20"/>
          <w:position w:val="5"/>
          <w:sz w:val="9"/>
        </w:rPr>
        <w:t xml:space="preserve">4 </w:t>
      </w:r>
      <w:r>
        <w:rPr>
          <w:color w:val="231F20"/>
          <w:sz w:val="16"/>
        </w:rPr>
        <w:t xml:space="preserve">Слід розрізняти </w:t>
      </w:r>
      <w:r>
        <w:rPr>
          <w:color w:val="231F20"/>
          <w:spacing w:val="-3"/>
          <w:sz w:val="16"/>
        </w:rPr>
        <w:t xml:space="preserve">прийняття </w:t>
      </w:r>
      <w:r>
        <w:rPr>
          <w:color w:val="231F20"/>
          <w:sz w:val="16"/>
        </w:rPr>
        <w:t xml:space="preserve">службовцем </w:t>
      </w:r>
      <w:r>
        <w:rPr>
          <w:color w:val="231F20"/>
          <w:spacing w:val="-3"/>
          <w:sz w:val="16"/>
        </w:rPr>
        <w:t xml:space="preserve">подарунку </w:t>
      </w:r>
      <w:r>
        <w:rPr>
          <w:i/>
          <w:color w:val="231F20"/>
          <w:sz w:val="16"/>
        </w:rPr>
        <w:t>дл</w:t>
      </w:r>
      <w:r>
        <w:rPr>
          <w:i/>
          <w:color w:val="231F20"/>
          <w:sz w:val="16"/>
        </w:rPr>
        <w:t xml:space="preserve">я близької особи </w:t>
      </w:r>
      <w:r>
        <w:rPr>
          <w:color w:val="231F20"/>
          <w:sz w:val="16"/>
        </w:rPr>
        <w:t>(на що поширю- ються</w:t>
      </w:r>
      <w:r>
        <w:rPr>
          <w:color w:val="231F20"/>
          <w:spacing w:val="-10"/>
          <w:sz w:val="16"/>
        </w:rPr>
        <w:t xml:space="preserve"> </w:t>
      </w:r>
      <w:r>
        <w:rPr>
          <w:color w:val="231F20"/>
          <w:sz w:val="16"/>
        </w:rPr>
        <w:t>відповідні</w:t>
      </w:r>
      <w:r>
        <w:rPr>
          <w:color w:val="231F20"/>
          <w:spacing w:val="-10"/>
          <w:sz w:val="16"/>
        </w:rPr>
        <w:t xml:space="preserve"> </w:t>
      </w:r>
      <w:r>
        <w:rPr>
          <w:color w:val="231F20"/>
          <w:sz w:val="16"/>
        </w:rPr>
        <w:t>обмеження)</w:t>
      </w:r>
      <w:r>
        <w:rPr>
          <w:color w:val="231F20"/>
          <w:spacing w:val="-9"/>
          <w:sz w:val="16"/>
        </w:rPr>
        <w:t xml:space="preserve"> </w:t>
      </w:r>
      <w:r>
        <w:rPr>
          <w:color w:val="231F20"/>
          <w:sz w:val="16"/>
        </w:rPr>
        <w:t>та</w:t>
      </w:r>
      <w:r>
        <w:rPr>
          <w:color w:val="231F20"/>
          <w:spacing w:val="-10"/>
          <w:sz w:val="16"/>
        </w:rPr>
        <w:t xml:space="preserve"> </w:t>
      </w:r>
      <w:r>
        <w:rPr>
          <w:color w:val="231F20"/>
          <w:spacing w:val="-3"/>
          <w:sz w:val="16"/>
        </w:rPr>
        <w:t>прийняття</w:t>
      </w:r>
      <w:r>
        <w:rPr>
          <w:color w:val="231F20"/>
          <w:spacing w:val="-9"/>
          <w:sz w:val="16"/>
        </w:rPr>
        <w:t xml:space="preserve"> </w:t>
      </w:r>
      <w:r>
        <w:rPr>
          <w:color w:val="231F20"/>
          <w:sz w:val="16"/>
        </w:rPr>
        <w:t>службовцем</w:t>
      </w:r>
      <w:r>
        <w:rPr>
          <w:color w:val="231F20"/>
          <w:spacing w:val="-10"/>
          <w:sz w:val="16"/>
        </w:rPr>
        <w:t xml:space="preserve"> </w:t>
      </w:r>
      <w:r>
        <w:rPr>
          <w:color w:val="231F20"/>
          <w:spacing w:val="-3"/>
          <w:sz w:val="16"/>
        </w:rPr>
        <w:t>подарунку</w:t>
      </w:r>
      <w:r>
        <w:rPr>
          <w:color w:val="231F20"/>
          <w:spacing w:val="-10"/>
          <w:sz w:val="16"/>
        </w:rPr>
        <w:t xml:space="preserve"> </w:t>
      </w:r>
      <w:r>
        <w:rPr>
          <w:i/>
          <w:color w:val="231F20"/>
          <w:sz w:val="16"/>
        </w:rPr>
        <w:t>від</w:t>
      </w:r>
      <w:r>
        <w:rPr>
          <w:i/>
          <w:color w:val="231F20"/>
          <w:spacing w:val="-10"/>
          <w:sz w:val="16"/>
        </w:rPr>
        <w:t xml:space="preserve"> </w:t>
      </w:r>
      <w:r>
        <w:rPr>
          <w:i/>
          <w:color w:val="231F20"/>
          <w:sz w:val="16"/>
        </w:rPr>
        <w:t>імені</w:t>
      </w:r>
      <w:r>
        <w:rPr>
          <w:i/>
          <w:color w:val="231F20"/>
          <w:spacing w:val="-9"/>
          <w:sz w:val="16"/>
        </w:rPr>
        <w:t xml:space="preserve"> </w:t>
      </w:r>
      <w:r>
        <w:rPr>
          <w:i/>
          <w:color w:val="231F20"/>
          <w:sz w:val="16"/>
        </w:rPr>
        <w:t>близької</w:t>
      </w:r>
      <w:r>
        <w:rPr>
          <w:i/>
          <w:color w:val="231F20"/>
          <w:spacing w:val="-10"/>
          <w:sz w:val="16"/>
        </w:rPr>
        <w:t xml:space="preserve"> </w:t>
      </w:r>
      <w:r>
        <w:rPr>
          <w:i/>
          <w:color w:val="231F20"/>
          <w:sz w:val="16"/>
        </w:rPr>
        <w:t>особи</w:t>
      </w:r>
      <w:r>
        <w:rPr>
          <w:color w:val="231F20"/>
          <w:sz w:val="16"/>
        </w:rPr>
        <w:t>, якщо</w:t>
      </w:r>
      <w:r>
        <w:rPr>
          <w:color w:val="231F20"/>
          <w:spacing w:val="-16"/>
          <w:sz w:val="16"/>
        </w:rPr>
        <w:t xml:space="preserve"> </w:t>
      </w:r>
      <w:r>
        <w:rPr>
          <w:color w:val="231F20"/>
          <w:sz w:val="16"/>
        </w:rPr>
        <w:t>він</w:t>
      </w:r>
      <w:r>
        <w:rPr>
          <w:color w:val="231F20"/>
          <w:spacing w:val="-16"/>
          <w:sz w:val="16"/>
        </w:rPr>
        <w:t xml:space="preserve"> </w:t>
      </w:r>
      <w:r>
        <w:rPr>
          <w:color w:val="231F20"/>
          <w:sz w:val="16"/>
        </w:rPr>
        <w:t>діє</w:t>
      </w:r>
      <w:r>
        <w:rPr>
          <w:color w:val="231F20"/>
          <w:spacing w:val="-16"/>
          <w:sz w:val="16"/>
        </w:rPr>
        <w:t xml:space="preserve"> </w:t>
      </w:r>
      <w:r>
        <w:rPr>
          <w:color w:val="231F20"/>
          <w:sz w:val="16"/>
        </w:rPr>
        <w:t>як</w:t>
      </w:r>
      <w:r>
        <w:rPr>
          <w:color w:val="231F20"/>
          <w:spacing w:val="-16"/>
          <w:sz w:val="16"/>
        </w:rPr>
        <w:t xml:space="preserve"> </w:t>
      </w:r>
      <w:r>
        <w:rPr>
          <w:color w:val="231F20"/>
          <w:sz w:val="16"/>
        </w:rPr>
        <w:t>її</w:t>
      </w:r>
      <w:r>
        <w:rPr>
          <w:color w:val="231F20"/>
          <w:spacing w:val="-16"/>
          <w:sz w:val="16"/>
        </w:rPr>
        <w:t xml:space="preserve"> </w:t>
      </w:r>
      <w:r>
        <w:rPr>
          <w:color w:val="231F20"/>
          <w:sz w:val="16"/>
        </w:rPr>
        <w:t>законний</w:t>
      </w:r>
      <w:r>
        <w:rPr>
          <w:color w:val="231F20"/>
          <w:spacing w:val="-16"/>
          <w:sz w:val="16"/>
        </w:rPr>
        <w:t xml:space="preserve"> </w:t>
      </w:r>
      <w:r>
        <w:rPr>
          <w:color w:val="231F20"/>
          <w:sz w:val="16"/>
        </w:rPr>
        <w:t>представник.</w:t>
      </w:r>
      <w:r>
        <w:rPr>
          <w:color w:val="231F20"/>
          <w:spacing w:val="-16"/>
          <w:sz w:val="16"/>
        </w:rPr>
        <w:t xml:space="preserve"> </w:t>
      </w:r>
      <w:r>
        <w:rPr>
          <w:color w:val="231F20"/>
          <w:spacing w:val="-5"/>
          <w:sz w:val="16"/>
        </w:rPr>
        <w:t>Тобто</w:t>
      </w:r>
      <w:r>
        <w:rPr>
          <w:color w:val="231F20"/>
          <w:spacing w:val="-16"/>
          <w:sz w:val="16"/>
        </w:rPr>
        <w:t xml:space="preserve"> </w:t>
      </w:r>
      <w:r>
        <w:rPr>
          <w:color w:val="231F20"/>
          <w:sz w:val="16"/>
        </w:rPr>
        <w:t>коли</w:t>
      </w:r>
      <w:r>
        <w:rPr>
          <w:color w:val="231F20"/>
          <w:spacing w:val="-16"/>
          <w:sz w:val="16"/>
        </w:rPr>
        <w:t xml:space="preserve"> </w:t>
      </w:r>
      <w:r>
        <w:rPr>
          <w:color w:val="231F20"/>
          <w:spacing w:val="-3"/>
          <w:sz w:val="16"/>
        </w:rPr>
        <w:t>подарунок</w:t>
      </w:r>
      <w:r>
        <w:rPr>
          <w:color w:val="231F20"/>
          <w:spacing w:val="-16"/>
          <w:sz w:val="16"/>
        </w:rPr>
        <w:t xml:space="preserve"> </w:t>
      </w:r>
      <w:r>
        <w:rPr>
          <w:color w:val="231F20"/>
          <w:spacing w:val="-3"/>
          <w:sz w:val="16"/>
        </w:rPr>
        <w:t>дарується</w:t>
      </w:r>
      <w:r>
        <w:rPr>
          <w:color w:val="231F20"/>
          <w:spacing w:val="-16"/>
          <w:sz w:val="16"/>
        </w:rPr>
        <w:t xml:space="preserve"> </w:t>
      </w:r>
      <w:r>
        <w:rPr>
          <w:color w:val="231F20"/>
          <w:sz w:val="16"/>
        </w:rPr>
        <w:t>малолітній</w:t>
      </w:r>
      <w:r>
        <w:rPr>
          <w:color w:val="231F20"/>
          <w:spacing w:val="-16"/>
          <w:sz w:val="16"/>
        </w:rPr>
        <w:t xml:space="preserve"> </w:t>
      </w:r>
      <w:r>
        <w:rPr>
          <w:color w:val="231F20"/>
          <w:spacing w:val="-2"/>
          <w:sz w:val="16"/>
        </w:rPr>
        <w:t xml:space="preserve">дитині </w:t>
      </w:r>
      <w:r>
        <w:rPr>
          <w:color w:val="231F20"/>
          <w:sz w:val="16"/>
        </w:rPr>
        <w:t>на</w:t>
      </w:r>
      <w:r>
        <w:rPr>
          <w:color w:val="231F20"/>
          <w:spacing w:val="-5"/>
          <w:sz w:val="16"/>
        </w:rPr>
        <w:t xml:space="preserve"> </w:t>
      </w:r>
      <w:r>
        <w:rPr>
          <w:color w:val="231F20"/>
          <w:sz w:val="16"/>
        </w:rPr>
        <w:t>її</w:t>
      </w:r>
      <w:r>
        <w:rPr>
          <w:color w:val="231F20"/>
          <w:spacing w:val="-5"/>
          <w:sz w:val="16"/>
        </w:rPr>
        <w:t xml:space="preserve"> </w:t>
      </w:r>
      <w:r>
        <w:rPr>
          <w:color w:val="231F20"/>
          <w:sz w:val="16"/>
        </w:rPr>
        <w:t>особисте</w:t>
      </w:r>
      <w:r>
        <w:rPr>
          <w:color w:val="231F20"/>
          <w:spacing w:val="-5"/>
          <w:sz w:val="16"/>
        </w:rPr>
        <w:t xml:space="preserve"> </w:t>
      </w:r>
      <w:r>
        <w:rPr>
          <w:color w:val="231F20"/>
          <w:sz w:val="16"/>
        </w:rPr>
        <w:t>свято</w:t>
      </w:r>
      <w:r>
        <w:rPr>
          <w:color w:val="231F20"/>
          <w:spacing w:val="-5"/>
          <w:sz w:val="16"/>
        </w:rPr>
        <w:t xml:space="preserve"> </w:t>
      </w:r>
      <w:r>
        <w:rPr>
          <w:color w:val="231F20"/>
          <w:spacing w:val="-3"/>
          <w:sz w:val="16"/>
        </w:rPr>
        <w:t>підлеглою</w:t>
      </w:r>
      <w:r>
        <w:rPr>
          <w:color w:val="231F20"/>
          <w:spacing w:val="-5"/>
          <w:sz w:val="16"/>
        </w:rPr>
        <w:t xml:space="preserve"> </w:t>
      </w:r>
      <w:r>
        <w:rPr>
          <w:color w:val="231F20"/>
          <w:sz w:val="16"/>
        </w:rPr>
        <w:t>батькові/матері</w:t>
      </w:r>
      <w:r>
        <w:rPr>
          <w:color w:val="231F20"/>
          <w:spacing w:val="-5"/>
          <w:sz w:val="16"/>
        </w:rPr>
        <w:t xml:space="preserve"> </w:t>
      </w:r>
      <w:r>
        <w:rPr>
          <w:color w:val="231F20"/>
          <w:sz w:val="16"/>
        </w:rPr>
        <w:t>особою,</w:t>
      </w:r>
      <w:r>
        <w:rPr>
          <w:color w:val="231F20"/>
          <w:spacing w:val="-5"/>
          <w:sz w:val="16"/>
        </w:rPr>
        <w:t xml:space="preserve"> </w:t>
      </w:r>
      <w:r>
        <w:rPr>
          <w:color w:val="231F20"/>
          <w:sz w:val="16"/>
        </w:rPr>
        <w:t>то</w:t>
      </w:r>
      <w:r>
        <w:rPr>
          <w:color w:val="231F20"/>
          <w:spacing w:val="-5"/>
          <w:sz w:val="16"/>
        </w:rPr>
        <w:t xml:space="preserve"> </w:t>
      </w:r>
      <w:r>
        <w:rPr>
          <w:color w:val="231F20"/>
          <w:sz w:val="16"/>
        </w:rPr>
        <w:t>батько/мати</w:t>
      </w:r>
      <w:r>
        <w:rPr>
          <w:color w:val="231F20"/>
          <w:spacing w:val="-5"/>
          <w:sz w:val="16"/>
        </w:rPr>
        <w:t xml:space="preserve"> </w:t>
      </w:r>
      <w:r>
        <w:rPr>
          <w:color w:val="231F20"/>
          <w:sz w:val="16"/>
        </w:rPr>
        <w:t>приймають</w:t>
      </w:r>
      <w:r>
        <w:rPr>
          <w:color w:val="231F20"/>
          <w:spacing w:val="-5"/>
          <w:sz w:val="16"/>
        </w:rPr>
        <w:t xml:space="preserve"> </w:t>
      </w:r>
      <w:r>
        <w:rPr>
          <w:color w:val="231F20"/>
          <w:sz w:val="16"/>
        </w:rPr>
        <w:t xml:space="preserve">такий </w:t>
      </w:r>
      <w:r>
        <w:rPr>
          <w:color w:val="231F20"/>
          <w:spacing w:val="-3"/>
          <w:sz w:val="16"/>
        </w:rPr>
        <w:t xml:space="preserve">подарунок </w:t>
      </w:r>
      <w:r>
        <w:rPr>
          <w:color w:val="231F20"/>
          <w:sz w:val="16"/>
        </w:rPr>
        <w:t xml:space="preserve">не «для», а «від імені» близької особи. Відмовитись від </w:t>
      </w:r>
      <w:r>
        <w:rPr>
          <w:color w:val="231F20"/>
          <w:spacing w:val="-3"/>
          <w:sz w:val="16"/>
        </w:rPr>
        <w:t xml:space="preserve">подарунку </w:t>
      </w:r>
      <w:r>
        <w:rPr>
          <w:color w:val="231F20"/>
          <w:sz w:val="16"/>
        </w:rPr>
        <w:t xml:space="preserve">в </w:t>
      </w:r>
      <w:r>
        <w:rPr>
          <w:color w:val="231F20"/>
          <w:spacing w:val="-3"/>
          <w:sz w:val="16"/>
        </w:rPr>
        <w:t xml:space="preserve">подібній </w:t>
      </w:r>
      <w:r>
        <w:rPr>
          <w:color w:val="231F20"/>
          <w:sz w:val="16"/>
        </w:rPr>
        <w:t>ситуації</w:t>
      </w:r>
      <w:r>
        <w:rPr>
          <w:color w:val="231F20"/>
          <w:spacing w:val="-8"/>
          <w:sz w:val="16"/>
        </w:rPr>
        <w:t xml:space="preserve"> </w:t>
      </w:r>
      <w:r>
        <w:rPr>
          <w:color w:val="231F20"/>
          <w:sz w:val="16"/>
        </w:rPr>
        <w:t>батьки</w:t>
      </w:r>
      <w:r>
        <w:rPr>
          <w:color w:val="231F20"/>
          <w:spacing w:val="-8"/>
          <w:sz w:val="16"/>
        </w:rPr>
        <w:t xml:space="preserve"> </w:t>
      </w:r>
      <w:r>
        <w:rPr>
          <w:color w:val="231F20"/>
          <w:sz w:val="16"/>
        </w:rPr>
        <w:t>не</w:t>
      </w:r>
      <w:r>
        <w:rPr>
          <w:color w:val="231F20"/>
          <w:spacing w:val="-8"/>
          <w:sz w:val="16"/>
        </w:rPr>
        <w:t xml:space="preserve"> </w:t>
      </w:r>
      <w:r>
        <w:rPr>
          <w:color w:val="231F20"/>
          <w:sz w:val="16"/>
        </w:rPr>
        <w:t>мають</w:t>
      </w:r>
      <w:r>
        <w:rPr>
          <w:color w:val="231F20"/>
          <w:spacing w:val="-8"/>
          <w:sz w:val="16"/>
        </w:rPr>
        <w:t xml:space="preserve"> </w:t>
      </w:r>
      <w:r>
        <w:rPr>
          <w:color w:val="231F20"/>
          <w:sz w:val="16"/>
        </w:rPr>
        <w:t>права,</w:t>
      </w:r>
      <w:r>
        <w:rPr>
          <w:color w:val="231F20"/>
          <w:spacing w:val="-8"/>
          <w:sz w:val="16"/>
        </w:rPr>
        <w:t xml:space="preserve"> </w:t>
      </w:r>
      <w:r>
        <w:rPr>
          <w:color w:val="231F20"/>
          <w:sz w:val="16"/>
        </w:rPr>
        <w:t>адже</w:t>
      </w:r>
      <w:r>
        <w:rPr>
          <w:color w:val="231F20"/>
          <w:spacing w:val="-8"/>
          <w:sz w:val="16"/>
        </w:rPr>
        <w:t xml:space="preserve"> </w:t>
      </w:r>
      <w:r>
        <w:rPr>
          <w:color w:val="231F20"/>
          <w:spacing w:val="-3"/>
          <w:sz w:val="16"/>
        </w:rPr>
        <w:t>будь-які</w:t>
      </w:r>
      <w:r>
        <w:rPr>
          <w:color w:val="231F20"/>
          <w:spacing w:val="-8"/>
          <w:sz w:val="16"/>
        </w:rPr>
        <w:t xml:space="preserve"> </w:t>
      </w:r>
      <w:r>
        <w:rPr>
          <w:color w:val="231F20"/>
          <w:sz w:val="16"/>
        </w:rPr>
        <w:t>правочини</w:t>
      </w:r>
      <w:r>
        <w:rPr>
          <w:color w:val="231F20"/>
          <w:spacing w:val="-8"/>
          <w:sz w:val="16"/>
        </w:rPr>
        <w:t xml:space="preserve"> </w:t>
      </w:r>
      <w:r>
        <w:rPr>
          <w:color w:val="231F20"/>
          <w:spacing w:val="-3"/>
          <w:sz w:val="16"/>
        </w:rPr>
        <w:t>щодо</w:t>
      </w:r>
      <w:r>
        <w:rPr>
          <w:color w:val="231F20"/>
          <w:spacing w:val="-8"/>
          <w:sz w:val="16"/>
        </w:rPr>
        <w:t xml:space="preserve"> </w:t>
      </w:r>
      <w:r>
        <w:rPr>
          <w:color w:val="231F20"/>
          <w:sz w:val="16"/>
        </w:rPr>
        <w:t>відмови</w:t>
      </w:r>
      <w:r>
        <w:rPr>
          <w:color w:val="231F20"/>
          <w:spacing w:val="-8"/>
          <w:sz w:val="16"/>
        </w:rPr>
        <w:t xml:space="preserve"> </w:t>
      </w:r>
      <w:r>
        <w:rPr>
          <w:color w:val="231F20"/>
          <w:sz w:val="16"/>
        </w:rPr>
        <w:t>від</w:t>
      </w:r>
      <w:r>
        <w:rPr>
          <w:color w:val="231F20"/>
          <w:spacing w:val="-8"/>
          <w:sz w:val="16"/>
        </w:rPr>
        <w:t xml:space="preserve"> </w:t>
      </w:r>
      <w:r>
        <w:rPr>
          <w:color w:val="231F20"/>
          <w:sz w:val="16"/>
        </w:rPr>
        <w:t>майнових</w:t>
      </w:r>
      <w:r>
        <w:rPr>
          <w:color w:val="231F20"/>
          <w:spacing w:val="-8"/>
          <w:sz w:val="16"/>
        </w:rPr>
        <w:t xml:space="preserve"> </w:t>
      </w:r>
      <w:r>
        <w:rPr>
          <w:color w:val="231F20"/>
          <w:sz w:val="16"/>
        </w:rPr>
        <w:t>прав дитини</w:t>
      </w:r>
      <w:r>
        <w:rPr>
          <w:color w:val="231F20"/>
          <w:spacing w:val="-10"/>
          <w:sz w:val="16"/>
        </w:rPr>
        <w:t xml:space="preserve"> </w:t>
      </w:r>
      <w:r>
        <w:rPr>
          <w:color w:val="231F20"/>
          <w:sz w:val="16"/>
        </w:rPr>
        <w:t>не</w:t>
      </w:r>
      <w:r>
        <w:rPr>
          <w:color w:val="231F20"/>
          <w:spacing w:val="-10"/>
          <w:sz w:val="16"/>
        </w:rPr>
        <w:t xml:space="preserve"> </w:t>
      </w:r>
      <w:r>
        <w:rPr>
          <w:color w:val="231F20"/>
          <w:sz w:val="16"/>
        </w:rPr>
        <w:t>можуть</w:t>
      </w:r>
      <w:r>
        <w:rPr>
          <w:color w:val="231F20"/>
          <w:spacing w:val="-10"/>
          <w:sz w:val="16"/>
        </w:rPr>
        <w:t xml:space="preserve"> </w:t>
      </w:r>
      <w:r>
        <w:rPr>
          <w:color w:val="231F20"/>
          <w:sz w:val="16"/>
        </w:rPr>
        <w:t>вчинятися</w:t>
      </w:r>
      <w:r>
        <w:rPr>
          <w:color w:val="231F20"/>
          <w:spacing w:val="-10"/>
          <w:sz w:val="16"/>
        </w:rPr>
        <w:t xml:space="preserve"> </w:t>
      </w:r>
      <w:r>
        <w:rPr>
          <w:color w:val="231F20"/>
          <w:sz w:val="16"/>
        </w:rPr>
        <w:t>без</w:t>
      </w:r>
      <w:r>
        <w:rPr>
          <w:color w:val="231F20"/>
          <w:spacing w:val="-10"/>
          <w:sz w:val="16"/>
        </w:rPr>
        <w:t xml:space="preserve"> </w:t>
      </w:r>
      <w:r>
        <w:rPr>
          <w:color w:val="231F20"/>
          <w:sz w:val="16"/>
        </w:rPr>
        <w:t>дозволу</w:t>
      </w:r>
      <w:r>
        <w:rPr>
          <w:color w:val="231F20"/>
          <w:spacing w:val="-10"/>
          <w:sz w:val="16"/>
        </w:rPr>
        <w:t xml:space="preserve"> </w:t>
      </w:r>
      <w:r>
        <w:rPr>
          <w:color w:val="231F20"/>
          <w:sz w:val="16"/>
        </w:rPr>
        <w:t>органу</w:t>
      </w:r>
      <w:r>
        <w:rPr>
          <w:color w:val="231F20"/>
          <w:spacing w:val="-10"/>
          <w:sz w:val="16"/>
        </w:rPr>
        <w:t xml:space="preserve"> </w:t>
      </w:r>
      <w:r>
        <w:rPr>
          <w:color w:val="231F20"/>
          <w:sz w:val="16"/>
        </w:rPr>
        <w:t>опіки</w:t>
      </w:r>
      <w:r>
        <w:rPr>
          <w:color w:val="231F20"/>
          <w:spacing w:val="-10"/>
          <w:sz w:val="16"/>
        </w:rPr>
        <w:t xml:space="preserve"> </w:t>
      </w:r>
      <w:r>
        <w:rPr>
          <w:color w:val="231F20"/>
          <w:sz w:val="16"/>
        </w:rPr>
        <w:t>та</w:t>
      </w:r>
      <w:r>
        <w:rPr>
          <w:color w:val="231F20"/>
          <w:spacing w:val="-10"/>
          <w:sz w:val="16"/>
        </w:rPr>
        <w:t xml:space="preserve"> </w:t>
      </w:r>
      <w:r>
        <w:rPr>
          <w:color w:val="231F20"/>
          <w:sz w:val="16"/>
        </w:rPr>
        <w:t>піклування</w:t>
      </w:r>
      <w:r>
        <w:rPr>
          <w:color w:val="231F20"/>
          <w:spacing w:val="-10"/>
          <w:sz w:val="16"/>
        </w:rPr>
        <w:t xml:space="preserve"> </w:t>
      </w:r>
      <w:r>
        <w:rPr>
          <w:color w:val="231F20"/>
          <w:spacing w:val="-5"/>
          <w:sz w:val="16"/>
        </w:rPr>
        <w:t>(ст.</w:t>
      </w:r>
      <w:r>
        <w:rPr>
          <w:color w:val="231F20"/>
          <w:spacing w:val="-12"/>
          <w:sz w:val="16"/>
        </w:rPr>
        <w:t xml:space="preserve"> </w:t>
      </w:r>
      <w:r>
        <w:rPr>
          <w:color w:val="231F20"/>
          <w:sz w:val="16"/>
        </w:rPr>
        <w:t>177</w:t>
      </w:r>
      <w:r>
        <w:rPr>
          <w:color w:val="231F20"/>
          <w:spacing w:val="-10"/>
          <w:sz w:val="16"/>
        </w:rPr>
        <w:t xml:space="preserve"> </w:t>
      </w:r>
      <w:r>
        <w:rPr>
          <w:color w:val="231F20"/>
          <w:sz w:val="16"/>
        </w:rPr>
        <w:t>СК</w:t>
      </w:r>
      <w:r>
        <w:rPr>
          <w:color w:val="231F20"/>
          <w:spacing w:val="-10"/>
          <w:sz w:val="16"/>
        </w:rPr>
        <w:t xml:space="preserve"> </w:t>
      </w:r>
      <w:r>
        <w:rPr>
          <w:color w:val="231F20"/>
          <w:spacing w:val="-4"/>
          <w:sz w:val="16"/>
        </w:rPr>
        <w:t>України).</w:t>
      </w:r>
    </w:p>
    <w:p w14:paraId="51FC7CF2" w14:textId="77777777" w:rsidR="00DE575E" w:rsidRDefault="00DE575E">
      <w:pPr>
        <w:pStyle w:val="BodyText"/>
        <w:spacing w:before="8"/>
        <w:rPr>
          <w:sz w:val="12"/>
        </w:rPr>
      </w:pPr>
    </w:p>
    <w:p w14:paraId="5E52403B" w14:textId="77777777" w:rsidR="00DE575E" w:rsidRDefault="002E7560">
      <w:pPr>
        <w:spacing w:before="92"/>
        <w:ind w:right="411"/>
        <w:jc w:val="right"/>
        <w:rPr>
          <w:rFonts w:ascii="Times New Roman"/>
          <w:sz w:val="20"/>
        </w:rPr>
      </w:pPr>
      <w:r>
        <w:rPr>
          <w:rFonts w:ascii="Times New Roman"/>
          <w:color w:val="231F20"/>
          <w:w w:val="90"/>
          <w:sz w:val="20"/>
        </w:rPr>
        <w:t>409</w:t>
      </w:r>
    </w:p>
    <w:p w14:paraId="1476FBF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3ADE99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1E7D133" w14:textId="1493FC0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0E69230" wp14:editId="2D724A2A">
                <wp:extent cx="4140200" cy="6350"/>
                <wp:effectExtent l="0" t="0" r="12700" b="6350"/>
                <wp:docPr id="37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71" name="Line 37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DE52D7" id="Group_x0020_36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tMLE5X4CAACYBQAADgAA&#10;AAAAAAAAAAAAAAAsAgAAZHJzL2Uyb0RvYy54bWxQSwECLQAUAAYACAAAACEATKewkNkAAAADAQAA&#10;DwAAAAAAAAAAAAAAAADWBAAAZHJzL2Rvd25yZXYueG1sUEsFBgAAAAAEAAQA8wAAANwFAAAAAA==&#10;">
                <v:line id="Line_x0020_37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rxcsYAAADcAAAADwAAAGRycy9kb3ducmV2LnhtbESP0WrCQBRE3wv9h+UWfCm60UCV6CpF&#10;EMQHrcYPuGavSeju3ZhdTdqv7xYKfRxm5gyzWPXWiAe1vnasYDxKQBAXTtdcKjjnm+EMhA/IGo1j&#10;UvBFHlbL56cFZtp1fKTHKZQiQthnqKAKocmk9EVFFv3INcTRu7rWYoiyLaVusYtwa+QkSd6kxZrj&#10;QoUNrSsqPk93qyC/vQbzcdiZLj9cUnm57dPv+16pwUv/PgcRqA//4b/2VitIp2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0K8XLGAAAA3AAAAA8AAAAAAAAA&#10;AAAAAAAAoQIAAGRycy9kb3ducmV2LnhtbFBLBQYAAAAABAAEAPkAAACUAwAAAAA=&#10;" strokecolor="#231f20" strokeweight=".5pt"/>
                <w10:anchorlock/>
              </v:group>
            </w:pict>
          </mc:Fallback>
        </mc:AlternateContent>
      </w:r>
    </w:p>
    <w:p w14:paraId="25516EF7" w14:textId="77777777" w:rsidR="00DE575E" w:rsidRDefault="00DE575E">
      <w:pPr>
        <w:pStyle w:val="BodyText"/>
        <w:spacing w:before="7"/>
        <w:rPr>
          <w:rFonts w:ascii="AdonisC"/>
          <w:i/>
          <w:sz w:val="11"/>
        </w:rPr>
      </w:pPr>
    </w:p>
    <w:p w14:paraId="401AC09D" w14:textId="77777777" w:rsidR="00DE575E" w:rsidRDefault="002E7560">
      <w:pPr>
        <w:pStyle w:val="BodyText"/>
        <w:spacing w:before="101" w:line="252" w:lineRule="auto"/>
        <w:ind w:left="1384" w:right="127"/>
        <w:jc w:val="both"/>
      </w:pPr>
      <w:r>
        <w:rPr>
          <w:color w:val="231F20"/>
        </w:rPr>
        <w:t>якщо після надання в установленому законом порядку адміністративної послуги приватна особа вирішила «подя- кувати» службовцю у вигляді того чи іншого подарунку);</w:t>
      </w:r>
    </w:p>
    <w:p w14:paraId="5D5C1A6E" w14:textId="77777777" w:rsidR="00DE575E" w:rsidRDefault="002E7560">
      <w:pPr>
        <w:pStyle w:val="BodyText"/>
        <w:spacing w:before="1" w:line="252" w:lineRule="auto"/>
        <w:ind w:left="1384" w:right="124" w:hanging="284"/>
        <w:jc w:val="both"/>
      </w:pPr>
      <w:r>
        <w:rPr>
          <w:color w:val="231F20"/>
        </w:rPr>
        <w:t xml:space="preserve">б) </w:t>
      </w:r>
      <w:r>
        <w:rPr>
          <w:i/>
          <w:color w:val="231F20"/>
        </w:rPr>
        <w:t xml:space="preserve">якщо особа, яка дарує, перебуває в підпорядкуванні публіч- ного службовця </w:t>
      </w:r>
      <w:r>
        <w:rPr>
          <w:color w:val="231F20"/>
        </w:rPr>
        <w:t>(так, протиправним буде отримання пода- рунку від підлеглого на особисте свято незалежно від  того, що дарування відбувається в позаробочий час і поза приміщенням органу, де працюють</w:t>
      </w:r>
      <w:r>
        <w:rPr>
          <w:color w:val="231F20"/>
        </w:rPr>
        <w:t xml:space="preserve"> особи). З огляду на відсутність зворотної заборони,  отримання  подарунків від керівників (за умови дотримання ситуаційних і кіль- кісних застережень) є</w:t>
      </w:r>
      <w:r>
        <w:rPr>
          <w:color w:val="231F20"/>
          <w:spacing w:val="13"/>
        </w:rPr>
        <w:t xml:space="preserve"> </w:t>
      </w:r>
      <w:r>
        <w:rPr>
          <w:color w:val="231F20"/>
        </w:rPr>
        <w:t>допустимим;</w:t>
      </w:r>
    </w:p>
    <w:p w14:paraId="316ECE2C" w14:textId="77777777" w:rsidR="00DE575E" w:rsidRDefault="002E7560">
      <w:pPr>
        <w:pStyle w:val="ListParagraph"/>
        <w:numPr>
          <w:ilvl w:val="1"/>
          <w:numId w:val="82"/>
        </w:numPr>
        <w:tabs>
          <w:tab w:val="left" w:pos="1101"/>
        </w:tabs>
        <w:spacing w:before="4"/>
        <w:ind w:firstLine="567"/>
        <w:jc w:val="left"/>
        <w:rPr>
          <w:sz w:val="21"/>
        </w:rPr>
      </w:pPr>
      <w:r>
        <w:rPr>
          <w:b/>
          <w:i/>
          <w:color w:val="231F20"/>
          <w:sz w:val="21"/>
        </w:rPr>
        <w:t xml:space="preserve">дозволені без будь-яких застережень </w:t>
      </w:r>
      <w:r>
        <w:rPr>
          <w:color w:val="231F20"/>
          <w:sz w:val="21"/>
        </w:rPr>
        <w:t>– подарунки,</w:t>
      </w:r>
      <w:r>
        <w:rPr>
          <w:color w:val="231F20"/>
          <w:spacing w:val="-14"/>
          <w:sz w:val="21"/>
        </w:rPr>
        <w:t xml:space="preserve"> </w:t>
      </w:r>
      <w:r>
        <w:rPr>
          <w:color w:val="231F20"/>
          <w:sz w:val="21"/>
        </w:rPr>
        <w:t>які:</w:t>
      </w:r>
    </w:p>
    <w:p w14:paraId="02E82A28" w14:textId="77777777" w:rsidR="00DE575E" w:rsidRDefault="002E7560">
      <w:pPr>
        <w:pStyle w:val="ListParagraph"/>
        <w:numPr>
          <w:ilvl w:val="2"/>
          <w:numId w:val="82"/>
        </w:numPr>
        <w:tabs>
          <w:tab w:val="left" w:pos="1385"/>
        </w:tabs>
        <w:spacing w:before="13" w:line="252" w:lineRule="auto"/>
        <w:ind w:right="129"/>
        <w:rPr>
          <w:sz w:val="21"/>
        </w:rPr>
      </w:pPr>
      <w:r>
        <w:rPr>
          <w:i/>
          <w:color w:val="231F20"/>
          <w:sz w:val="21"/>
        </w:rPr>
        <w:t>даруються близькими особами</w:t>
      </w:r>
      <w:r>
        <w:rPr>
          <w:color w:val="231F20"/>
          <w:sz w:val="21"/>
        </w:rPr>
        <w:t>. Відпові</w:t>
      </w:r>
      <w:r>
        <w:rPr>
          <w:color w:val="231F20"/>
          <w:sz w:val="21"/>
        </w:rPr>
        <w:t xml:space="preserve">дно до ч. 1 </w:t>
      </w:r>
      <w:r>
        <w:rPr>
          <w:color w:val="231F20"/>
          <w:spacing w:val="-6"/>
          <w:sz w:val="21"/>
        </w:rPr>
        <w:t xml:space="preserve">ст. </w:t>
      </w:r>
      <w:r>
        <w:rPr>
          <w:color w:val="231F20"/>
          <w:sz w:val="21"/>
        </w:rPr>
        <w:t>1 Закону «Про запобігання корупції» такими особами</w:t>
      </w:r>
      <w:r>
        <w:rPr>
          <w:color w:val="231F20"/>
          <w:spacing w:val="-12"/>
          <w:sz w:val="21"/>
        </w:rPr>
        <w:t xml:space="preserve"> </w:t>
      </w:r>
      <w:r>
        <w:rPr>
          <w:color w:val="231F20"/>
          <w:sz w:val="21"/>
        </w:rPr>
        <w:t>є:</w:t>
      </w:r>
    </w:p>
    <w:p w14:paraId="1FA5EE8A" w14:textId="77777777" w:rsidR="00DE575E" w:rsidRDefault="002E7560">
      <w:pPr>
        <w:pStyle w:val="BodyText"/>
        <w:spacing w:before="1"/>
        <w:ind w:left="1384"/>
      </w:pPr>
      <w:r>
        <w:rPr>
          <w:color w:val="231F20"/>
        </w:rPr>
        <w:t>а) члени сім’ї, до кола яких входять дві підгрупи суб’єктів:</w:t>
      </w:r>
    </w:p>
    <w:p w14:paraId="3BBCEBD8" w14:textId="77777777" w:rsidR="00DE575E" w:rsidRDefault="002E7560">
      <w:pPr>
        <w:pStyle w:val="ListParagraph"/>
        <w:numPr>
          <w:ilvl w:val="3"/>
          <w:numId w:val="82"/>
        </w:numPr>
        <w:tabs>
          <w:tab w:val="left" w:pos="1952"/>
        </w:tabs>
        <w:spacing w:before="13" w:line="252" w:lineRule="auto"/>
        <w:ind w:right="127"/>
        <w:rPr>
          <w:sz w:val="21"/>
        </w:rPr>
      </w:pPr>
      <w:r>
        <w:rPr>
          <w:color w:val="231F20"/>
          <w:sz w:val="21"/>
        </w:rPr>
        <w:t>особи, які перебувають у шлюбі із публічним служ- бовцем та його неповнолітні діти (незалежно від того, чи спільно</w:t>
      </w:r>
      <w:r>
        <w:rPr>
          <w:color w:val="231F20"/>
          <w:spacing w:val="-2"/>
          <w:sz w:val="21"/>
        </w:rPr>
        <w:t xml:space="preserve"> </w:t>
      </w:r>
      <w:r>
        <w:rPr>
          <w:color w:val="231F20"/>
          <w:sz w:val="21"/>
        </w:rPr>
        <w:t>проживають</w:t>
      </w:r>
      <w:r>
        <w:rPr>
          <w:color w:val="231F20"/>
          <w:sz w:val="21"/>
        </w:rPr>
        <w:t>);</w:t>
      </w:r>
    </w:p>
    <w:p w14:paraId="59B0816D" w14:textId="77777777" w:rsidR="00DE575E" w:rsidRDefault="002E7560">
      <w:pPr>
        <w:pStyle w:val="ListParagraph"/>
        <w:numPr>
          <w:ilvl w:val="3"/>
          <w:numId w:val="82"/>
        </w:numPr>
        <w:tabs>
          <w:tab w:val="left" w:pos="1952"/>
        </w:tabs>
        <w:spacing w:line="252" w:lineRule="auto"/>
        <w:ind w:right="127"/>
        <w:rPr>
          <w:sz w:val="21"/>
        </w:rPr>
      </w:pPr>
      <w:r>
        <w:rPr>
          <w:color w:val="231F20"/>
          <w:spacing w:val="-3"/>
          <w:sz w:val="21"/>
        </w:rPr>
        <w:t xml:space="preserve">будь-які </w:t>
      </w:r>
      <w:r>
        <w:rPr>
          <w:color w:val="231F20"/>
          <w:sz w:val="21"/>
        </w:rPr>
        <w:t>інші особи, які спільно проживають (не менше 183 днів упродовж року), пов’язані спільним побутом і мають взаємні права та обов’язки сімей- ного характеру із публічним службовцем, зокрема особи, які спільно проживають, але не перебувають  у шлюб</w:t>
      </w:r>
      <w:r>
        <w:rPr>
          <w:color w:val="231F20"/>
          <w:sz w:val="21"/>
        </w:rPr>
        <w:t>і. Уточнення про «сімейний характер» взаєм- них прав і обов’язків має важливе значення, адже відсутність такого положення в Законі «Про засади запобігання і протидії корупції» від 07 квітня 2011 р. [втратив чинність] створювала підстави розглядати як близь</w:t>
      </w:r>
      <w:r>
        <w:rPr>
          <w:color w:val="231F20"/>
          <w:sz w:val="21"/>
        </w:rPr>
        <w:t xml:space="preserve">ких осіб таких </w:t>
      </w:r>
      <w:r>
        <w:rPr>
          <w:color w:val="231F20"/>
          <w:spacing w:val="-3"/>
          <w:sz w:val="21"/>
        </w:rPr>
        <w:t xml:space="preserve">суб’єктів, </w:t>
      </w:r>
      <w:r>
        <w:rPr>
          <w:color w:val="231F20"/>
          <w:sz w:val="21"/>
        </w:rPr>
        <w:t>що лише спільно проживали в кімнаті</w:t>
      </w:r>
      <w:r>
        <w:rPr>
          <w:color w:val="231F20"/>
          <w:spacing w:val="-3"/>
          <w:sz w:val="21"/>
        </w:rPr>
        <w:t xml:space="preserve"> </w:t>
      </w:r>
      <w:r>
        <w:rPr>
          <w:color w:val="231F20"/>
          <w:sz w:val="21"/>
        </w:rPr>
        <w:t>гуртожитку;</w:t>
      </w:r>
    </w:p>
    <w:p w14:paraId="63622922" w14:textId="77777777" w:rsidR="00DE575E" w:rsidRDefault="002E7560">
      <w:pPr>
        <w:pStyle w:val="BodyText"/>
        <w:spacing w:before="6" w:line="252" w:lineRule="auto"/>
        <w:ind w:left="1667" w:right="127" w:hanging="284"/>
        <w:jc w:val="both"/>
      </w:pPr>
      <w:r>
        <w:rPr>
          <w:color w:val="231F20"/>
        </w:rPr>
        <w:t>б) чоловік, дружина, батько, мати, вітчим, мачуха, син, дочка, пасинок, падчерка, рідний та двоюрідний брати, рідна</w:t>
      </w:r>
      <w:r>
        <w:rPr>
          <w:color w:val="231F20"/>
          <w:spacing w:val="-9"/>
        </w:rPr>
        <w:t xml:space="preserve"> </w:t>
      </w:r>
      <w:r>
        <w:rPr>
          <w:color w:val="231F20"/>
        </w:rPr>
        <w:t>та</w:t>
      </w:r>
      <w:r>
        <w:rPr>
          <w:color w:val="231F20"/>
          <w:spacing w:val="-9"/>
        </w:rPr>
        <w:t xml:space="preserve"> </w:t>
      </w:r>
      <w:r>
        <w:rPr>
          <w:color w:val="231F20"/>
        </w:rPr>
        <w:t>двоюрідна</w:t>
      </w:r>
      <w:r>
        <w:rPr>
          <w:color w:val="231F20"/>
          <w:spacing w:val="-9"/>
        </w:rPr>
        <w:t xml:space="preserve"> </w:t>
      </w:r>
      <w:r>
        <w:rPr>
          <w:color w:val="231F20"/>
        </w:rPr>
        <w:t>сестри,</w:t>
      </w:r>
      <w:r>
        <w:rPr>
          <w:color w:val="231F20"/>
          <w:spacing w:val="-9"/>
        </w:rPr>
        <w:t xml:space="preserve"> </w:t>
      </w:r>
      <w:r>
        <w:rPr>
          <w:color w:val="231F20"/>
        </w:rPr>
        <w:t>рідний</w:t>
      </w:r>
      <w:r>
        <w:rPr>
          <w:color w:val="231F20"/>
          <w:spacing w:val="-9"/>
        </w:rPr>
        <w:t xml:space="preserve"> </w:t>
      </w:r>
      <w:r>
        <w:rPr>
          <w:color w:val="231F20"/>
        </w:rPr>
        <w:t>брат</w:t>
      </w:r>
      <w:r>
        <w:rPr>
          <w:color w:val="231F20"/>
          <w:spacing w:val="-9"/>
        </w:rPr>
        <w:t xml:space="preserve"> </w:t>
      </w:r>
      <w:r>
        <w:rPr>
          <w:color w:val="231F20"/>
        </w:rPr>
        <w:t>і</w:t>
      </w:r>
      <w:r>
        <w:rPr>
          <w:color w:val="231F20"/>
          <w:spacing w:val="-8"/>
        </w:rPr>
        <w:t xml:space="preserve"> </w:t>
      </w:r>
      <w:r>
        <w:rPr>
          <w:color w:val="231F20"/>
        </w:rPr>
        <w:t>сестра</w:t>
      </w:r>
      <w:r>
        <w:rPr>
          <w:color w:val="231F20"/>
          <w:spacing w:val="-9"/>
        </w:rPr>
        <w:t xml:space="preserve"> </w:t>
      </w:r>
      <w:r>
        <w:rPr>
          <w:color w:val="231F20"/>
        </w:rPr>
        <w:t>дружини (чоловіка),</w:t>
      </w:r>
      <w:r>
        <w:rPr>
          <w:color w:val="231F20"/>
          <w:spacing w:val="-12"/>
        </w:rPr>
        <w:t xml:space="preserve"> </w:t>
      </w:r>
      <w:r>
        <w:rPr>
          <w:color w:val="231F20"/>
        </w:rPr>
        <w:t>племінник,</w:t>
      </w:r>
      <w:r>
        <w:rPr>
          <w:color w:val="231F20"/>
          <w:spacing w:val="-12"/>
        </w:rPr>
        <w:t xml:space="preserve"> </w:t>
      </w:r>
      <w:r>
        <w:rPr>
          <w:color w:val="231F20"/>
        </w:rPr>
        <w:t>племінниця,</w:t>
      </w:r>
      <w:r>
        <w:rPr>
          <w:color w:val="231F20"/>
          <w:spacing w:val="-12"/>
        </w:rPr>
        <w:t xml:space="preserve"> </w:t>
      </w:r>
      <w:r>
        <w:rPr>
          <w:color w:val="231F20"/>
        </w:rPr>
        <w:t>рідний</w:t>
      </w:r>
      <w:r>
        <w:rPr>
          <w:color w:val="231F20"/>
          <w:spacing w:val="-12"/>
        </w:rPr>
        <w:t xml:space="preserve"> </w:t>
      </w:r>
      <w:r>
        <w:rPr>
          <w:color w:val="231F20"/>
        </w:rPr>
        <w:t>дядько,</w:t>
      </w:r>
      <w:r>
        <w:rPr>
          <w:color w:val="231F20"/>
          <w:spacing w:val="-12"/>
        </w:rPr>
        <w:t xml:space="preserve"> </w:t>
      </w:r>
      <w:r>
        <w:rPr>
          <w:color w:val="231F20"/>
        </w:rPr>
        <w:t>рідна тітка, дід, баба, прадід, прабаба, внук, внучка, правнук, правнучка, зять, невістка, тесть, теща, свекор, свекруха, батько</w:t>
      </w:r>
      <w:r>
        <w:rPr>
          <w:color w:val="231F20"/>
          <w:spacing w:val="-16"/>
        </w:rPr>
        <w:t xml:space="preserve"> </w:t>
      </w:r>
      <w:r>
        <w:rPr>
          <w:color w:val="231F20"/>
        </w:rPr>
        <w:t>та</w:t>
      </w:r>
      <w:r>
        <w:rPr>
          <w:color w:val="231F20"/>
          <w:spacing w:val="-16"/>
        </w:rPr>
        <w:t xml:space="preserve"> </w:t>
      </w:r>
      <w:r>
        <w:rPr>
          <w:color w:val="231F20"/>
        </w:rPr>
        <w:t>мати</w:t>
      </w:r>
      <w:r>
        <w:rPr>
          <w:color w:val="231F20"/>
          <w:spacing w:val="-16"/>
        </w:rPr>
        <w:t xml:space="preserve"> </w:t>
      </w:r>
      <w:r>
        <w:rPr>
          <w:color w:val="231F20"/>
        </w:rPr>
        <w:t>дружини</w:t>
      </w:r>
      <w:r>
        <w:rPr>
          <w:color w:val="231F20"/>
          <w:spacing w:val="-16"/>
        </w:rPr>
        <w:t xml:space="preserve"> </w:t>
      </w:r>
      <w:r>
        <w:rPr>
          <w:color w:val="231F20"/>
        </w:rPr>
        <w:t>(чоловіка)</w:t>
      </w:r>
      <w:r>
        <w:rPr>
          <w:color w:val="231F20"/>
          <w:spacing w:val="-16"/>
        </w:rPr>
        <w:t xml:space="preserve"> </w:t>
      </w:r>
      <w:r>
        <w:rPr>
          <w:color w:val="231F20"/>
        </w:rPr>
        <w:t>сина</w:t>
      </w:r>
      <w:r>
        <w:rPr>
          <w:color w:val="231F20"/>
          <w:spacing w:val="-16"/>
        </w:rPr>
        <w:t xml:space="preserve"> </w:t>
      </w:r>
      <w:r>
        <w:rPr>
          <w:color w:val="231F20"/>
        </w:rPr>
        <w:t>(дочки),</w:t>
      </w:r>
      <w:r>
        <w:rPr>
          <w:color w:val="231F20"/>
          <w:spacing w:val="-16"/>
        </w:rPr>
        <w:t xml:space="preserve"> </w:t>
      </w:r>
      <w:r>
        <w:rPr>
          <w:color w:val="231F20"/>
        </w:rPr>
        <w:t>усинов- лювач чи усиновлений, опікун чи піклувал</w:t>
      </w:r>
      <w:r>
        <w:rPr>
          <w:color w:val="231F20"/>
        </w:rPr>
        <w:t>ьник, особа, яка перебуває під опікою або піклуванням</w:t>
      </w:r>
      <w:r>
        <w:rPr>
          <w:color w:val="231F20"/>
          <w:spacing w:val="11"/>
        </w:rPr>
        <w:t xml:space="preserve"> </w:t>
      </w:r>
      <w:r>
        <w:rPr>
          <w:color w:val="231F20"/>
        </w:rPr>
        <w:t>(названі</w:t>
      </w:r>
    </w:p>
    <w:p w14:paraId="47D0E4D4" w14:textId="77777777" w:rsidR="00DE575E" w:rsidRDefault="00DE575E">
      <w:pPr>
        <w:pStyle w:val="BodyText"/>
        <w:spacing w:before="9"/>
        <w:rPr>
          <w:sz w:val="12"/>
        </w:rPr>
      </w:pPr>
    </w:p>
    <w:p w14:paraId="33E76CF0" w14:textId="77777777" w:rsidR="00DE575E" w:rsidRDefault="002E7560">
      <w:pPr>
        <w:spacing w:before="92"/>
        <w:ind w:left="533"/>
        <w:rPr>
          <w:rFonts w:ascii="Times New Roman"/>
          <w:sz w:val="20"/>
        </w:rPr>
      </w:pPr>
      <w:r>
        <w:rPr>
          <w:rFonts w:ascii="Times New Roman"/>
          <w:color w:val="231F20"/>
          <w:sz w:val="20"/>
        </w:rPr>
        <w:t>410</w:t>
      </w:r>
    </w:p>
    <w:p w14:paraId="504AF772" w14:textId="77777777" w:rsidR="00DE575E" w:rsidRDefault="00DE575E">
      <w:pPr>
        <w:rPr>
          <w:rFonts w:ascii="Times New Roman"/>
          <w:sz w:val="20"/>
        </w:rPr>
        <w:sectPr w:rsidR="00DE575E">
          <w:pgSz w:w="8510" w:h="12760"/>
          <w:pgMar w:top="660" w:right="720" w:bottom="280" w:left="600" w:header="720" w:footer="720" w:gutter="0"/>
          <w:cols w:space="720"/>
        </w:sectPr>
      </w:pPr>
    </w:p>
    <w:p w14:paraId="6703BC75"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1561D1DD" w14:textId="1745862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308ADAF" wp14:editId="6BFB0040">
                <wp:extent cx="4140200" cy="6350"/>
                <wp:effectExtent l="0" t="0" r="12700" b="6350"/>
                <wp:docPr id="368"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69" name="Line 36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BCC842" id="Group_x0020_36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hxb3F/AgAAmAUAAA4A&#10;AAAAAAAAAAAAAAAALAIAAGRycy9lMm9Eb2MueG1sUEsBAi0AFAAGAAgAAAAhAEynsJDZAAAAAwEA&#10;AA8AAAAAAAAAAAAAAAAA1wQAAGRycy9kb3ducmV2LnhtbFBLBQYAAAAABAAEAPMAAADdBQAAAAA=&#10;">
                <v:line id="Line_x0020_36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VrqcYAAADcAAAADwAAAGRycy9kb3ducmV2LnhtbESP3WrCQBSE74W+w3IKvRHdtAHR6Cql&#10;UCi98C8+wDF7TEJ3z8bsatI+fVcQvBxm5htmseqtEVdqfe1Ywes4AUFcOF1zqeCQf46mIHxA1mgc&#10;k4Jf8rBaPg0WmGnX8Y6u+1CKCGGfoYIqhCaT0hcVWfRj1xBH7+RaiyHKtpS6xS7CrZFvSTKRFmuO&#10;CxU29FFR8bO/WAX5eRjMdvNtunxzTOXxvE7/LmulXp779zmIQH14hO/tL60gncz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ala6nGAAAA3AAAAA8AAAAAAAAA&#10;AAAAAAAAoQIAAGRycy9kb3ducmV2LnhtbFBLBQYAAAAABAAEAPkAAACUAwAAAAA=&#10;" strokecolor="#231f20" strokeweight=".5pt"/>
                <w10:anchorlock/>
              </v:group>
            </w:pict>
          </mc:Fallback>
        </mc:AlternateContent>
      </w:r>
    </w:p>
    <w:p w14:paraId="64BCBA57" w14:textId="77777777" w:rsidR="00DE575E" w:rsidRDefault="00DE575E">
      <w:pPr>
        <w:pStyle w:val="BodyText"/>
        <w:spacing w:before="7"/>
        <w:rPr>
          <w:rFonts w:ascii="AdonisC"/>
          <w:i/>
          <w:sz w:val="19"/>
        </w:rPr>
      </w:pPr>
    </w:p>
    <w:p w14:paraId="37457825" w14:textId="77777777" w:rsidR="00DE575E" w:rsidRDefault="002E7560">
      <w:pPr>
        <w:pStyle w:val="BodyText"/>
        <w:spacing w:before="1" w:line="252" w:lineRule="auto"/>
        <w:ind w:left="1384"/>
      </w:pPr>
      <w:r>
        <w:rPr>
          <w:color w:val="231F20"/>
        </w:rPr>
        <w:t>особи є близькими незалежно від того, чи спільно вони проживають та чи об’єднані спільним побутом)</w:t>
      </w:r>
      <w:r>
        <w:rPr>
          <w:color w:val="231F20"/>
          <w:position w:val="7"/>
          <w:sz w:val="12"/>
        </w:rPr>
        <w:t>1</w:t>
      </w:r>
      <w:r>
        <w:rPr>
          <w:color w:val="231F20"/>
        </w:rPr>
        <w:t>;</w:t>
      </w:r>
    </w:p>
    <w:p w14:paraId="7F1EE36D" w14:textId="77777777" w:rsidR="00DE575E" w:rsidRDefault="002E7560">
      <w:pPr>
        <w:pStyle w:val="ListParagraph"/>
        <w:numPr>
          <w:ilvl w:val="0"/>
          <w:numId w:val="80"/>
        </w:numPr>
        <w:tabs>
          <w:tab w:val="left" w:pos="1101"/>
        </w:tabs>
        <w:spacing w:line="252" w:lineRule="auto"/>
        <w:ind w:right="410" w:hanging="283"/>
        <w:rPr>
          <w:sz w:val="21"/>
        </w:rPr>
      </w:pPr>
      <w:r>
        <w:rPr>
          <w:color w:val="231F20"/>
          <w:sz w:val="21"/>
        </w:rPr>
        <w:t xml:space="preserve">одержуються як </w:t>
      </w:r>
      <w:r>
        <w:rPr>
          <w:i/>
          <w:color w:val="231F20"/>
          <w:sz w:val="21"/>
        </w:rPr>
        <w:t>загальнодоступні знижки на товари, послуги, загальнодоступні виграші, призи, премії, бонуси</w:t>
      </w:r>
      <w:r>
        <w:rPr>
          <w:color w:val="231F20"/>
          <w:sz w:val="21"/>
        </w:rPr>
        <w:t xml:space="preserve">. Загальнодоступність означає, що відповідною перевагою (знижкою) може скористуватися </w:t>
      </w:r>
      <w:r>
        <w:rPr>
          <w:color w:val="231F20"/>
          <w:spacing w:val="-3"/>
          <w:sz w:val="21"/>
        </w:rPr>
        <w:t xml:space="preserve">будь-яка </w:t>
      </w:r>
      <w:r>
        <w:rPr>
          <w:color w:val="231F20"/>
          <w:sz w:val="21"/>
        </w:rPr>
        <w:t xml:space="preserve">особа за рівних для всіх бажаючих умов, або </w:t>
      </w:r>
      <w:r>
        <w:rPr>
          <w:color w:val="231F20"/>
          <w:spacing w:val="-3"/>
          <w:sz w:val="21"/>
        </w:rPr>
        <w:t xml:space="preserve">будь-яка </w:t>
      </w:r>
      <w:r>
        <w:rPr>
          <w:color w:val="231F20"/>
          <w:sz w:val="21"/>
        </w:rPr>
        <w:t>особа за рівних умов може</w:t>
      </w:r>
      <w:r>
        <w:rPr>
          <w:color w:val="231F20"/>
          <w:spacing w:val="-9"/>
          <w:sz w:val="21"/>
        </w:rPr>
        <w:t xml:space="preserve"> </w:t>
      </w:r>
      <w:r>
        <w:rPr>
          <w:color w:val="231F20"/>
          <w:sz w:val="21"/>
        </w:rPr>
        <w:t>взяти</w:t>
      </w:r>
      <w:r>
        <w:rPr>
          <w:color w:val="231F20"/>
          <w:spacing w:val="-9"/>
          <w:sz w:val="21"/>
        </w:rPr>
        <w:t xml:space="preserve"> </w:t>
      </w:r>
      <w:r>
        <w:rPr>
          <w:color w:val="231F20"/>
          <w:sz w:val="21"/>
        </w:rPr>
        <w:t>участь</w:t>
      </w:r>
      <w:r>
        <w:rPr>
          <w:color w:val="231F20"/>
          <w:spacing w:val="-9"/>
          <w:sz w:val="21"/>
        </w:rPr>
        <w:t xml:space="preserve"> </w:t>
      </w:r>
      <w:r>
        <w:rPr>
          <w:color w:val="231F20"/>
          <w:sz w:val="21"/>
        </w:rPr>
        <w:t>у</w:t>
      </w:r>
      <w:r>
        <w:rPr>
          <w:color w:val="231F20"/>
          <w:spacing w:val="-9"/>
          <w:sz w:val="21"/>
        </w:rPr>
        <w:t xml:space="preserve"> </w:t>
      </w:r>
      <w:r>
        <w:rPr>
          <w:color w:val="231F20"/>
          <w:sz w:val="21"/>
        </w:rPr>
        <w:t>розіграші</w:t>
      </w:r>
      <w:r>
        <w:rPr>
          <w:color w:val="231F20"/>
          <w:spacing w:val="-9"/>
          <w:sz w:val="21"/>
        </w:rPr>
        <w:t xml:space="preserve"> </w:t>
      </w:r>
      <w:r>
        <w:rPr>
          <w:color w:val="231F20"/>
          <w:sz w:val="21"/>
        </w:rPr>
        <w:t>призів,</w:t>
      </w:r>
      <w:r>
        <w:rPr>
          <w:color w:val="231F20"/>
          <w:spacing w:val="-9"/>
          <w:sz w:val="21"/>
        </w:rPr>
        <w:t xml:space="preserve"> </w:t>
      </w:r>
      <w:r>
        <w:rPr>
          <w:color w:val="231F20"/>
          <w:sz w:val="21"/>
        </w:rPr>
        <w:t>премій,</w:t>
      </w:r>
      <w:r>
        <w:rPr>
          <w:color w:val="231F20"/>
          <w:spacing w:val="-9"/>
          <w:sz w:val="21"/>
        </w:rPr>
        <w:t xml:space="preserve"> </w:t>
      </w:r>
      <w:r>
        <w:rPr>
          <w:color w:val="231F20"/>
          <w:sz w:val="21"/>
        </w:rPr>
        <w:t>бонусів</w:t>
      </w:r>
      <w:r>
        <w:rPr>
          <w:color w:val="231F20"/>
          <w:spacing w:val="-9"/>
          <w:sz w:val="21"/>
        </w:rPr>
        <w:t xml:space="preserve"> </w:t>
      </w:r>
      <w:r>
        <w:rPr>
          <w:color w:val="231F20"/>
          <w:sz w:val="21"/>
        </w:rPr>
        <w:t>тощо;</w:t>
      </w:r>
    </w:p>
    <w:p w14:paraId="5F07D172" w14:textId="77777777" w:rsidR="00DE575E" w:rsidRDefault="002E7560">
      <w:pPr>
        <w:pStyle w:val="ListParagraph"/>
        <w:numPr>
          <w:ilvl w:val="1"/>
          <w:numId w:val="82"/>
        </w:numPr>
        <w:tabs>
          <w:tab w:val="left" w:pos="818"/>
        </w:tabs>
        <w:spacing w:before="3" w:line="252" w:lineRule="auto"/>
        <w:ind w:right="414" w:firstLine="283"/>
        <w:jc w:val="both"/>
        <w:rPr>
          <w:sz w:val="21"/>
        </w:rPr>
      </w:pPr>
      <w:r>
        <w:rPr>
          <w:b/>
          <w:i/>
          <w:color w:val="231F20"/>
          <w:spacing w:val="-5"/>
          <w:sz w:val="21"/>
        </w:rPr>
        <w:t xml:space="preserve">подарунки, </w:t>
      </w:r>
      <w:r>
        <w:rPr>
          <w:b/>
          <w:i/>
          <w:color w:val="231F20"/>
          <w:spacing w:val="-3"/>
          <w:sz w:val="21"/>
        </w:rPr>
        <w:t xml:space="preserve">що </w:t>
      </w:r>
      <w:r>
        <w:rPr>
          <w:b/>
          <w:i/>
          <w:color w:val="231F20"/>
          <w:spacing w:val="-5"/>
          <w:sz w:val="21"/>
        </w:rPr>
        <w:t xml:space="preserve">дозволені </w:t>
      </w:r>
      <w:r>
        <w:rPr>
          <w:b/>
          <w:i/>
          <w:color w:val="231F20"/>
          <w:spacing w:val="-3"/>
          <w:sz w:val="21"/>
        </w:rPr>
        <w:t xml:space="preserve">за </w:t>
      </w:r>
      <w:r>
        <w:rPr>
          <w:b/>
          <w:i/>
          <w:color w:val="231F20"/>
          <w:spacing w:val="-4"/>
          <w:sz w:val="21"/>
        </w:rPr>
        <w:t xml:space="preserve">умови </w:t>
      </w:r>
      <w:r>
        <w:rPr>
          <w:b/>
          <w:i/>
          <w:color w:val="231F20"/>
          <w:spacing w:val="-5"/>
          <w:sz w:val="21"/>
        </w:rPr>
        <w:t xml:space="preserve">дотримання </w:t>
      </w:r>
      <w:r>
        <w:rPr>
          <w:b/>
          <w:i/>
          <w:color w:val="231F20"/>
          <w:spacing w:val="-6"/>
          <w:sz w:val="21"/>
        </w:rPr>
        <w:t xml:space="preserve">ситуаційно- </w:t>
      </w:r>
      <w:r>
        <w:rPr>
          <w:b/>
          <w:i/>
          <w:color w:val="231F20"/>
          <w:spacing w:val="-5"/>
          <w:sz w:val="21"/>
        </w:rPr>
        <w:t>кількісних застережень</w:t>
      </w:r>
      <w:r>
        <w:rPr>
          <w:color w:val="231F20"/>
          <w:spacing w:val="-5"/>
          <w:sz w:val="21"/>
        </w:rPr>
        <w:t xml:space="preserve">. </w:t>
      </w:r>
      <w:r>
        <w:rPr>
          <w:color w:val="231F20"/>
          <w:spacing w:val="-3"/>
          <w:sz w:val="21"/>
        </w:rPr>
        <w:t xml:space="preserve">До </w:t>
      </w:r>
      <w:r>
        <w:rPr>
          <w:color w:val="231F20"/>
          <w:spacing w:val="-4"/>
          <w:sz w:val="21"/>
        </w:rPr>
        <w:t xml:space="preserve">цієї </w:t>
      </w:r>
      <w:r>
        <w:rPr>
          <w:color w:val="231F20"/>
          <w:spacing w:val="-5"/>
          <w:sz w:val="21"/>
        </w:rPr>
        <w:t xml:space="preserve">групи належать </w:t>
      </w:r>
      <w:r>
        <w:rPr>
          <w:color w:val="231F20"/>
          <w:spacing w:val="-6"/>
          <w:sz w:val="21"/>
        </w:rPr>
        <w:t xml:space="preserve">подарунки </w:t>
      </w:r>
      <w:r>
        <w:rPr>
          <w:color w:val="231F20"/>
          <w:spacing w:val="-5"/>
          <w:sz w:val="21"/>
        </w:rPr>
        <w:t xml:space="preserve">від неблизьких </w:t>
      </w:r>
      <w:r>
        <w:rPr>
          <w:color w:val="231F20"/>
          <w:spacing w:val="-4"/>
          <w:sz w:val="21"/>
        </w:rPr>
        <w:t xml:space="preserve">осіб, які </w:t>
      </w:r>
      <w:r>
        <w:rPr>
          <w:color w:val="231F20"/>
          <w:spacing w:val="-5"/>
          <w:sz w:val="21"/>
        </w:rPr>
        <w:t xml:space="preserve">можуть </w:t>
      </w:r>
      <w:r>
        <w:rPr>
          <w:color w:val="231F20"/>
          <w:spacing w:val="-4"/>
          <w:sz w:val="21"/>
        </w:rPr>
        <w:t xml:space="preserve">бути </w:t>
      </w:r>
      <w:r>
        <w:rPr>
          <w:color w:val="231F20"/>
          <w:spacing w:val="-5"/>
          <w:sz w:val="21"/>
        </w:rPr>
        <w:t xml:space="preserve">прийняті </w:t>
      </w:r>
      <w:r>
        <w:rPr>
          <w:color w:val="231F20"/>
          <w:sz w:val="21"/>
        </w:rPr>
        <w:t xml:space="preserve">з </w:t>
      </w:r>
      <w:r>
        <w:rPr>
          <w:color w:val="231F20"/>
          <w:spacing w:val="-5"/>
          <w:sz w:val="21"/>
        </w:rPr>
        <w:t>дотриманням трьох</w:t>
      </w:r>
      <w:r>
        <w:rPr>
          <w:color w:val="231F20"/>
          <w:spacing w:val="-29"/>
          <w:sz w:val="21"/>
        </w:rPr>
        <w:t xml:space="preserve"> </w:t>
      </w:r>
      <w:r>
        <w:rPr>
          <w:color w:val="231F20"/>
          <w:spacing w:val="-5"/>
          <w:sz w:val="21"/>
        </w:rPr>
        <w:t>умов:</w:t>
      </w:r>
    </w:p>
    <w:p w14:paraId="49FADE33" w14:textId="77777777" w:rsidR="00DE575E" w:rsidRDefault="002E7560">
      <w:pPr>
        <w:pStyle w:val="ListParagraph"/>
        <w:numPr>
          <w:ilvl w:val="1"/>
          <w:numId w:val="81"/>
        </w:numPr>
        <w:tabs>
          <w:tab w:val="left" w:pos="1101"/>
        </w:tabs>
        <w:spacing w:line="252" w:lineRule="auto"/>
        <w:ind w:right="413" w:hanging="283"/>
        <w:rPr>
          <w:sz w:val="21"/>
        </w:rPr>
      </w:pPr>
      <w:r>
        <w:rPr>
          <w:color w:val="231F20"/>
          <w:sz w:val="21"/>
        </w:rPr>
        <w:t>вони відповідають загальновизнаним уявленням про гостинність</w:t>
      </w:r>
      <w:r>
        <w:rPr>
          <w:color w:val="231F20"/>
          <w:position w:val="7"/>
          <w:sz w:val="12"/>
        </w:rPr>
        <w:t>2</w:t>
      </w:r>
      <w:r>
        <w:rPr>
          <w:color w:val="231F20"/>
          <w:sz w:val="21"/>
        </w:rPr>
        <w:t>;</w:t>
      </w:r>
    </w:p>
    <w:p w14:paraId="382B37EC" w14:textId="77777777" w:rsidR="00DE575E" w:rsidRDefault="002E7560">
      <w:pPr>
        <w:pStyle w:val="ListParagraph"/>
        <w:numPr>
          <w:ilvl w:val="1"/>
          <w:numId w:val="81"/>
        </w:numPr>
        <w:tabs>
          <w:tab w:val="left" w:pos="1101"/>
        </w:tabs>
        <w:spacing w:line="252" w:lineRule="auto"/>
        <w:ind w:right="411" w:hanging="283"/>
        <w:rPr>
          <w:sz w:val="21"/>
        </w:rPr>
      </w:pPr>
      <w:r>
        <w:rPr>
          <w:color w:val="231F20"/>
          <w:sz w:val="21"/>
        </w:rPr>
        <w:t>вартість таких подарунків не перевищує одного прожит- кового мінімуму для працездатних осіб, установленого на день прийняття</w:t>
      </w:r>
      <w:r>
        <w:rPr>
          <w:color w:val="231F20"/>
          <w:position w:val="7"/>
          <w:sz w:val="12"/>
        </w:rPr>
        <w:t xml:space="preserve">3 </w:t>
      </w:r>
      <w:r>
        <w:rPr>
          <w:color w:val="231F20"/>
          <w:sz w:val="21"/>
        </w:rPr>
        <w:t>подарунка,</w:t>
      </w:r>
      <w:r>
        <w:rPr>
          <w:color w:val="231F20"/>
          <w:spacing w:val="-4"/>
          <w:sz w:val="21"/>
        </w:rPr>
        <w:t xml:space="preserve"> </w:t>
      </w:r>
      <w:r>
        <w:rPr>
          <w:color w:val="231F20"/>
          <w:sz w:val="21"/>
        </w:rPr>
        <w:t>одноразово;</w:t>
      </w:r>
    </w:p>
    <w:p w14:paraId="6D0D3A10" w14:textId="77777777" w:rsidR="00DE575E" w:rsidRDefault="002E7560">
      <w:pPr>
        <w:pStyle w:val="ListParagraph"/>
        <w:numPr>
          <w:ilvl w:val="1"/>
          <w:numId w:val="81"/>
        </w:numPr>
        <w:tabs>
          <w:tab w:val="left" w:pos="1101"/>
        </w:tabs>
        <w:spacing w:before="2" w:line="252" w:lineRule="auto"/>
        <w:ind w:right="412" w:hanging="283"/>
        <w:rPr>
          <w:sz w:val="21"/>
        </w:rPr>
      </w:pPr>
      <w:r>
        <w:rPr>
          <w:color w:val="231F20"/>
          <w:sz w:val="21"/>
        </w:rPr>
        <w:t>сукупна вартість таких подарунків, отриманих від однієї особи</w:t>
      </w:r>
      <w:r>
        <w:rPr>
          <w:color w:val="231F20"/>
          <w:spacing w:val="23"/>
          <w:sz w:val="21"/>
        </w:rPr>
        <w:t xml:space="preserve"> </w:t>
      </w:r>
      <w:r>
        <w:rPr>
          <w:color w:val="231F20"/>
          <w:sz w:val="21"/>
        </w:rPr>
        <w:t>(групи</w:t>
      </w:r>
      <w:r>
        <w:rPr>
          <w:color w:val="231F20"/>
          <w:spacing w:val="23"/>
          <w:sz w:val="21"/>
        </w:rPr>
        <w:t xml:space="preserve"> </w:t>
      </w:r>
      <w:r>
        <w:rPr>
          <w:color w:val="231F20"/>
          <w:sz w:val="21"/>
        </w:rPr>
        <w:t>осіб</w:t>
      </w:r>
      <w:r>
        <w:rPr>
          <w:color w:val="231F20"/>
          <w:position w:val="7"/>
          <w:sz w:val="12"/>
        </w:rPr>
        <w:t>4</w:t>
      </w:r>
      <w:r>
        <w:rPr>
          <w:color w:val="231F20"/>
          <w:sz w:val="21"/>
        </w:rPr>
        <w:t>)</w:t>
      </w:r>
      <w:r>
        <w:rPr>
          <w:color w:val="231F20"/>
          <w:spacing w:val="23"/>
          <w:sz w:val="21"/>
        </w:rPr>
        <w:t xml:space="preserve"> </w:t>
      </w:r>
      <w:r>
        <w:rPr>
          <w:color w:val="231F20"/>
          <w:sz w:val="21"/>
        </w:rPr>
        <w:t>упродовж</w:t>
      </w:r>
      <w:r>
        <w:rPr>
          <w:color w:val="231F20"/>
          <w:spacing w:val="23"/>
          <w:sz w:val="21"/>
        </w:rPr>
        <w:t xml:space="preserve"> </w:t>
      </w:r>
      <w:r>
        <w:rPr>
          <w:color w:val="231F20"/>
          <w:spacing w:val="-5"/>
          <w:sz w:val="21"/>
        </w:rPr>
        <w:t>року,</w:t>
      </w:r>
      <w:r>
        <w:rPr>
          <w:color w:val="231F20"/>
          <w:spacing w:val="28"/>
          <w:sz w:val="21"/>
        </w:rPr>
        <w:t xml:space="preserve"> </w:t>
      </w:r>
      <w:r>
        <w:rPr>
          <w:color w:val="231F20"/>
          <w:sz w:val="21"/>
        </w:rPr>
        <w:t>не</w:t>
      </w:r>
      <w:r>
        <w:rPr>
          <w:color w:val="231F20"/>
          <w:spacing w:val="23"/>
          <w:sz w:val="21"/>
        </w:rPr>
        <w:t xml:space="preserve"> </w:t>
      </w:r>
      <w:r>
        <w:rPr>
          <w:color w:val="231F20"/>
          <w:sz w:val="21"/>
        </w:rPr>
        <w:t>перевищує</w:t>
      </w:r>
      <w:r>
        <w:rPr>
          <w:color w:val="231F20"/>
          <w:spacing w:val="23"/>
          <w:sz w:val="21"/>
        </w:rPr>
        <w:t xml:space="preserve"> </w:t>
      </w:r>
      <w:r>
        <w:rPr>
          <w:color w:val="231F20"/>
          <w:sz w:val="21"/>
        </w:rPr>
        <w:t>дво</w:t>
      </w:r>
      <w:r>
        <w:rPr>
          <w:color w:val="231F20"/>
          <w:sz w:val="21"/>
        </w:rPr>
        <w:t>х</w:t>
      </w:r>
    </w:p>
    <w:p w14:paraId="2F797625" w14:textId="77777777" w:rsidR="00DE575E" w:rsidRDefault="00DE575E">
      <w:pPr>
        <w:pStyle w:val="BodyText"/>
        <w:rPr>
          <w:sz w:val="20"/>
        </w:rPr>
      </w:pPr>
    </w:p>
    <w:p w14:paraId="61B62682" w14:textId="5CA89DE2" w:rsidR="00DE575E" w:rsidRDefault="002E7560">
      <w:pPr>
        <w:pStyle w:val="BodyText"/>
        <w:spacing w:before="8"/>
        <w:rPr>
          <w:sz w:val="10"/>
        </w:rPr>
      </w:pPr>
      <w:r>
        <w:rPr>
          <w:noProof/>
        </w:rPr>
        <mc:AlternateContent>
          <mc:Choice Requires="wps">
            <w:drawing>
              <wp:anchor distT="0" distB="0" distL="0" distR="0" simplePos="0" relativeHeight="16168" behindDoc="0" locked="0" layoutInCell="1" allowOverlap="1" wp14:anchorId="06975769" wp14:editId="291D1B2F">
                <wp:simplePos x="0" y="0"/>
                <wp:positionH relativeFrom="page">
                  <wp:posOffset>539750</wp:posOffset>
                </wp:positionH>
                <wp:positionV relativeFrom="paragraph">
                  <wp:posOffset>107950</wp:posOffset>
                </wp:positionV>
                <wp:extent cx="1080135" cy="0"/>
                <wp:effectExtent l="6350" t="19050" r="31115" b="19050"/>
                <wp:wrapTopAndBottom/>
                <wp:docPr id="367"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A6FE7" id="Line_x0020_366" o:spid="_x0000_s1026" style="position:absolute;z-index:16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5pt" to="127.5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" strokecolor="#231f20" strokeweight=".5pt">
                <w10:wrap type="topAndBottom" anchorx="page"/>
              </v:line>
            </w:pict>
          </mc:Fallback>
        </mc:AlternateContent>
      </w:r>
    </w:p>
    <w:p w14:paraId="23F0247E" w14:textId="77777777" w:rsidR="00DE575E" w:rsidRDefault="002E7560">
      <w:pPr>
        <w:spacing w:line="192" w:lineRule="auto"/>
        <w:ind w:left="250" w:right="410"/>
        <w:jc w:val="both"/>
        <w:rPr>
          <w:sz w:val="16"/>
        </w:rPr>
      </w:pPr>
      <w:r>
        <w:rPr>
          <w:color w:val="231F20"/>
          <w:position w:val="5"/>
          <w:sz w:val="9"/>
        </w:rPr>
        <w:t xml:space="preserve">1 </w:t>
      </w:r>
      <w:r>
        <w:rPr>
          <w:color w:val="231F20"/>
          <w:sz w:val="16"/>
        </w:rPr>
        <w:t xml:space="preserve">Відносно </w:t>
      </w:r>
      <w:r>
        <w:rPr>
          <w:color w:val="231F20"/>
          <w:spacing w:val="-3"/>
          <w:sz w:val="16"/>
        </w:rPr>
        <w:t xml:space="preserve">антикорупційного </w:t>
      </w:r>
      <w:r>
        <w:rPr>
          <w:color w:val="231F20"/>
          <w:sz w:val="16"/>
        </w:rPr>
        <w:t xml:space="preserve">терміна  «близькі  особи»  слід  </w:t>
      </w:r>
      <w:r>
        <w:rPr>
          <w:color w:val="231F20"/>
          <w:spacing w:val="-3"/>
          <w:sz w:val="16"/>
        </w:rPr>
        <w:t xml:space="preserve">відзначити:  </w:t>
      </w:r>
      <w:r>
        <w:rPr>
          <w:color w:val="231F20"/>
          <w:sz w:val="16"/>
        </w:rPr>
        <w:t xml:space="preserve">а)  в  його  змі- сті деякі </w:t>
      </w:r>
      <w:r>
        <w:rPr>
          <w:color w:val="231F20"/>
          <w:spacing w:val="-4"/>
          <w:sz w:val="16"/>
        </w:rPr>
        <w:t xml:space="preserve">суб’єкти  </w:t>
      </w:r>
      <w:r>
        <w:rPr>
          <w:color w:val="231F20"/>
          <w:sz w:val="16"/>
        </w:rPr>
        <w:t xml:space="preserve">дублюються – «особи, які перебувають у шлюбі» як вид членів сім’ї      та «чоловік, </w:t>
      </w:r>
      <w:r>
        <w:rPr>
          <w:color w:val="231F20"/>
          <w:spacing w:val="-3"/>
          <w:sz w:val="16"/>
        </w:rPr>
        <w:t xml:space="preserve">дружина» </w:t>
      </w:r>
      <w:r>
        <w:rPr>
          <w:color w:val="231F20"/>
          <w:sz w:val="16"/>
        </w:rPr>
        <w:t xml:space="preserve">в переліку прямо названих близьких осіб </w:t>
      </w:r>
      <w:r>
        <w:rPr>
          <w:color w:val="231F20"/>
          <w:spacing w:val="-3"/>
          <w:sz w:val="16"/>
        </w:rPr>
        <w:t xml:space="preserve">(подібне </w:t>
      </w:r>
      <w:r>
        <w:rPr>
          <w:color w:val="231F20"/>
          <w:sz w:val="16"/>
        </w:rPr>
        <w:t xml:space="preserve">є </w:t>
      </w:r>
      <w:r>
        <w:rPr>
          <w:color w:val="231F20"/>
          <w:spacing w:val="-3"/>
          <w:sz w:val="16"/>
        </w:rPr>
        <w:t xml:space="preserve">недоліком </w:t>
      </w:r>
      <w:r>
        <w:rPr>
          <w:color w:val="231F20"/>
          <w:sz w:val="16"/>
        </w:rPr>
        <w:t xml:space="preserve">юридичної </w:t>
      </w:r>
      <w:r>
        <w:rPr>
          <w:color w:val="231F20"/>
          <w:spacing w:val="-2"/>
          <w:sz w:val="16"/>
        </w:rPr>
        <w:t xml:space="preserve">техніки); </w:t>
      </w:r>
      <w:r>
        <w:rPr>
          <w:color w:val="231F20"/>
          <w:sz w:val="16"/>
        </w:rPr>
        <w:t xml:space="preserve">б) коло близьких осіб </w:t>
      </w:r>
      <w:r>
        <w:rPr>
          <w:color w:val="231F20"/>
          <w:spacing w:val="-3"/>
          <w:sz w:val="16"/>
        </w:rPr>
        <w:t xml:space="preserve">може </w:t>
      </w:r>
      <w:r>
        <w:rPr>
          <w:color w:val="231F20"/>
          <w:sz w:val="16"/>
        </w:rPr>
        <w:t xml:space="preserve">зазнавати динаміки – лише в </w:t>
      </w:r>
      <w:r>
        <w:rPr>
          <w:color w:val="231F20"/>
          <w:spacing w:val="-3"/>
          <w:sz w:val="16"/>
        </w:rPr>
        <w:t xml:space="preserve">жовтні </w:t>
      </w:r>
      <w:r>
        <w:rPr>
          <w:color w:val="231F20"/>
          <w:sz w:val="16"/>
        </w:rPr>
        <w:t xml:space="preserve">2019 року до нього </w:t>
      </w:r>
      <w:r>
        <w:rPr>
          <w:color w:val="231F20"/>
          <w:spacing w:val="-3"/>
          <w:sz w:val="16"/>
        </w:rPr>
        <w:t xml:space="preserve">були </w:t>
      </w:r>
      <w:r>
        <w:rPr>
          <w:color w:val="231F20"/>
          <w:sz w:val="16"/>
        </w:rPr>
        <w:t>зараховані двоюрідні брати/сестри, рідні брати/сестри іншого  з подружжя, рідні племінники, рідні дядько/тітка, батьки дружини (ч</w:t>
      </w:r>
      <w:r>
        <w:rPr>
          <w:color w:val="231F20"/>
          <w:sz w:val="16"/>
        </w:rPr>
        <w:t>оловіка) сина (дочки). Подібне розширення може свідчити про більш загальну тенденцію – збільшення сфери впорядкувального / регулювального впливу антикорупційного</w:t>
      </w:r>
      <w:r>
        <w:rPr>
          <w:color w:val="231F20"/>
          <w:spacing w:val="21"/>
          <w:sz w:val="16"/>
        </w:rPr>
        <w:t xml:space="preserve"> </w:t>
      </w:r>
      <w:r>
        <w:rPr>
          <w:color w:val="231F20"/>
          <w:sz w:val="16"/>
        </w:rPr>
        <w:t>законодавства.</w:t>
      </w:r>
    </w:p>
    <w:p w14:paraId="4EB4B264" w14:textId="77777777" w:rsidR="00DE575E" w:rsidRDefault="002E7560">
      <w:pPr>
        <w:spacing w:before="24" w:line="204" w:lineRule="auto"/>
        <w:ind w:left="250" w:right="409"/>
        <w:jc w:val="both"/>
        <w:rPr>
          <w:sz w:val="16"/>
        </w:rPr>
      </w:pPr>
      <w:r>
        <w:rPr>
          <w:color w:val="231F20"/>
          <w:position w:val="5"/>
          <w:sz w:val="9"/>
        </w:rPr>
        <w:t xml:space="preserve">2 </w:t>
      </w:r>
      <w:r>
        <w:rPr>
          <w:color w:val="231F20"/>
          <w:sz w:val="16"/>
        </w:rPr>
        <w:t>Дотримання умов гостинності слід розцінювати як самостійну й первинну кваліфі- каційну ознаку допустимості отримання подарунку від неблизької особи (незалежно від його</w:t>
      </w:r>
      <w:r>
        <w:rPr>
          <w:color w:val="231F20"/>
          <w:spacing w:val="-5"/>
          <w:sz w:val="16"/>
        </w:rPr>
        <w:t xml:space="preserve"> </w:t>
      </w:r>
      <w:r>
        <w:rPr>
          <w:color w:val="231F20"/>
          <w:sz w:val="16"/>
        </w:rPr>
        <w:t>грошового</w:t>
      </w:r>
      <w:r>
        <w:rPr>
          <w:color w:val="231F20"/>
          <w:spacing w:val="-5"/>
          <w:sz w:val="16"/>
        </w:rPr>
        <w:t xml:space="preserve"> </w:t>
      </w:r>
      <w:r>
        <w:rPr>
          <w:color w:val="231F20"/>
          <w:sz w:val="16"/>
        </w:rPr>
        <w:t>виміру).</w:t>
      </w:r>
      <w:r>
        <w:rPr>
          <w:color w:val="231F20"/>
          <w:spacing w:val="-5"/>
          <w:sz w:val="16"/>
        </w:rPr>
        <w:t xml:space="preserve"> </w:t>
      </w:r>
      <w:r>
        <w:rPr>
          <w:color w:val="231F20"/>
          <w:spacing w:val="-4"/>
          <w:sz w:val="16"/>
        </w:rPr>
        <w:t>Таким</w:t>
      </w:r>
      <w:r>
        <w:rPr>
          <w:color w:val="231F20"/>
          <w:spacing w:val="-5"/>
          <w:sz w:val="16"/>
        </w:rPr>
        <w:t xml:space="preserve"> </w:t>
      </w:r>
      <w:r>
        <w:rPr>
          <w:color w:val="231F20"/>
          <w:sz w:val="16"/>
        </w:rPr>
        <w:t>чином,</w:t>
      </w:r>
      <w:r>
        <w:rPr>
          <w:color w:val="231F20"/>
          <w:spacing w:val="-5"/>
          <w:sz w:val="16"/>
        </w:rPr>
        <w:t xml:space="preserve"> </w:t>
      </w:r>
      <w:r>
        <w:rPr>
          <w:color w:val="231F20"/>
          <w:sz w:val="16"/>
        </w:rPr>
        <w:t>протиправним</w:t>
      </w:r>
      <w:r>
        <w:rPr>
          <w:color w:val="231F20"/>
          <w:spacing w:val="-6"/>
          <w:sz w:val="16"/>
        </w:rPr>
        <w:t xml:space="preserve"> </w:t>
      </w:r>
      <w:r>
        <w:rPr>
          <w:color w:val="231F20"/>
          <w:sz w:val="16"/>
        </w:rPr>
        <w:t>слід</w:t>
      </w:r>
      <w:r>
        <w:rPr>
          <w:color w:val="231F20"/>
          <w:spacing w:val="-5"/>
          <w:sz w:val="16"/>
        </w:rPr>
        <w:t xml:space="preserve"> </w:t>
      </w:r>
      <w:r>
        <w:rPr>
          <w:color w:val="231F20"/>
          <w:sz w:val="16"/>
        </w:rPr>
        <w:t>уважати</w:t>
      </w:r>
      <w:r>
        <w:rPr>
          <w:color w:val="231F20"/>
          <w:spacing w:val="-5"/>
          <w:sz w:val="16"/>
        </w:rPr>
        <w:t xml:space="preserve"> </w:t>
      </w:r>
      <w:r>
        <w:rPr>
          <w:color w:val="231F20"/>
          <w:sz w:val="16"/>
        </w:rPr>
        <w:t>отримання</w:t>
      </w:r>
      <w:r>
        <w:rPr>
          <w:color w:val="231F20"/>
          <w:spacing w:val="-6"/>
          <w:sz w:val="16"/>
        </w:rPr>
        <w:t xml:space="preserve"> </w:t>
      </w:r>
      <w:r>
        <w:rPr>
          <w:color w:val="231F20"/>
          <w:sz w:val="16"/>
        </w:rPr>
        <w:t>публічним службовцем</w:t>
      </w:r>
      <w:r>
        <w:rPr>
          <w:color w:val="231F20"/>
          <w:sz w:val="16"/>
        </w:rPr>
        <w:t xml:space="preserve"> на особисте свято подарунку від неблизької особи, яка не перебуває з ним    у жодних соціальних зв’язках і, наприклад, не запрошена на відповідну урочистість. Пер- винне значення тут має відсутність умови «гостинності», а не вартість набутого</w:t>
      </w:r>
      <w:r>
        <w:rPr>
          <w:color w:val="231F20"/>
          <w:spacing w:val="-15"/>
          <w:sz w:val="16"/>
        </w:rPr>
        <w:t xml:space="preserve"> </w:t>
      </w:r>
      <w:r>
        <w:rPr>
          <w:color w:val="231F20"/>
          <w:sz w:val="16"/>
        </w:rPr>
        <w:t>майна.</w:t>
      </w:r>
    </w:p>
    <w:p w14:paraId="052C7E26" w14:textId="77777777" w:rsidR="00DE575E" w:rsidRDefault="002E7560">
      <w:pPr>
        <w:spacing w:before="32" w:line="204" w:lineRule="auto"/>
        <w:ind w:left="250" w:right="410"/>
        <w:jc w:val="both"/>
        <w:rPr>
          <w:sz w:val="16"/>
        </w:rPr>
      </w:pPr>
      <w:r>
        <w:rPr>
          <w:color w:val="231F20"/>
          <w:position w:val="5"/>
          <w:sz w:val="9"/>
        </w:rPr>
        <w:t xml:space="preserve">3 </w:t>
      </w:r>
      <w:r>
        <w:rPr>
          <w:color w:val="231F20"/>
          <w:sz w:val="16"/>
        </w:rPr>
        <w:t>У з</w:t>
      </w:r>
      <w:r>
        <w:rPr>
          <w:color w:val="231F20"/>
          <w:sz w:val="16"/>
        </w:rPr>
        <w:t xml:space="preserve">аконодавстві відсутнє чітке регламентування поведінки службовця в разі одер- жання від неблизької особи </w:t>
      </w:r>
      <w:r>
        <w:rPr>
          <w:color w:val="231F20"/>
          <w:spacing w:val="-3"/>
          <w:sz w:val="16"/>
        </w:rPr>
        <w:t xml:space="preserve">подарунку, </w:t>
      </w:r>
      <w:r>
        <w:rPr>
          <w:color w:val="231F20"/>
          <w:sz w:val="16"/>
        </w:rPr>
        <w:t xml:space="preserve">що перевищує допустиму вартість, якщо встанов- лення цього факту відбулося після прийняття </w:t>
      </w:r>
      <w:r>
        <w:rPr>
          <w:color w:val="231F20"/>
          <w:spacing w:val="-3"/>
          <w:sz w:val="16"/>
        </w:rPr>
        <w:t xml:space="preserve">подарунку. </w:t>
      </w:r>
      <w:r>
        <w:rPr>
          <w:color w:val="231F20"/>
          <w:sz w:val="16"/>
        </w:rPr>
        <w:t>Відповідно до цивільно-право- вих</w:t>
      </w:r>
      <w:r>
        <w:rPr>
          <w:color w:val="231F20"/>
          <w:spacing w:val="-13"/>
          <w:sz w:val="16"/>
        </w:rPr>
        <w:t xml:space="preserve"> </w:t>
      </w:r>
      <w:r>
        <w:rPr>
          <w:color w:val="231F20"/>
          <w:sz w:val="16"/>
        </w:rPr>
        <w:t>припи</w:t>
      </w:r>
      <w:r>
        <w:rPr>
          <w:color w:val="231F20"/>
          <w:sz w:val="16"/>
        </w:rPr>
        <w:t>сів</w:t>
      </w:r>
      <w:r>
        <w:rPr>
          <w:color w:val="231F20"/>
          <w:spacing w:val="-13"/>
          <w:sz w:val="16"/>
        </w:rPr>
        <w:t xml:space="preserve"> </w:t>
      </w:r>
      <w:r>
        <w:rPr>
          <w:color w:val="231F20"/>
          <w:sz w:val="16"/>
        </w:rPr>
        <w:t>дарування</w:t>
      </w:r>
      <w:r>
        <w:rPr>
          <w:color w:val="231F20"/>
          <w:spacing w:val="-13"/>
          <w:sz w:val="16"/>
        </w:rPr>
        <w:t xml:space="preserve"> </w:t>
      </w:r>
      <w:r>
        <w:rPr>
          <w:color w:val="231F20"/>
          <w:sz w:val="16"/>
        </w:rPr>
        <w:t>вважається</w:t>
      </w:r>
      <w:r>
        <w:rPr>
          <w:color w:val="231F20"/>
          <w:spacing w:val="-13"/>
          <w:sz w:val="16"/>
        </w:rPr>
        <w:t xml:space="preserve"> </w:t>
      </w:r>
      <w:r>
        <w:rPr>
          <w:color w:val="231F20"/>
          <w:sz w:val="16"/>
        </w:rPr>
        <w:t>таким,</w:t>
      </w:r>
      <w:r>
        <w:rPr>
          <w:color w:val="231F20"/>
          <w:spacing w:val="-13"/>
          <w:sz w:val="16"/>
        </w:rPr>
        <w:t xml:space="preserve"> </w:t>
      </w:r>
      <w:r>
        <w:rPr>
          <w:color w:val="231F20"/>
          <w:sz w:val="16"/>
        </w:rPr>
        <w:t>що</w:t>
      </w:r>
      <w:r>
        <w:rPr>
          <w:color w:val="231F20"/>
          <w:spacing w:val="-13"/>
          <w:sz w:val="16"/>
        </w:rPr>
        <w:t xml:space="preserve"> </w:t>
      </w:r>
      <w:r>
        <w:rPr>
          <w:color w:val="231F20"/>
          <w:sz w:val="16"/>
        </w:rPr>
        <w:t>відбулося,</w:t>
      </w:r>
      <w:r>
        <w:rPr>
          <w:color w:val="231F20"/>
          <w:spacing w:val="-13"/>
          <w:sz w:val="16"/>
        </w:rPr>
        <w:t xml:space="preserve"> </w:t>
      </w:r>
      <w:r>
        <w:rPr>
          <w:color w:val="231F20"/>
          <w:sz w:val="16"/>
        </w:rPr>
        <w:t>з</w:t>
      </w:r>
      <w:r>
        <w:rPr>
          <w:color w:val="231F20"/>
          <w:spacing w:val="-13"/>
          <w:sz w:val="16"/>
        </w:rPr>
        <w:t xml:space="preserve"> </w:t>
      </w:r>
      <w:r>
        <w:rPr>
          <w:color w:val="231F20"/>
          <w:sz w:val="16"/>
        </w:rPr>
        <w:t>моменту</w:t>
      </w:r>
      <w:r>
        <w:rPr>
          <w:color w:val="231F20"/>
          <w:spacing w:val="-13"/>
          <w:sz w:val="16"/>
        </w:rPr>
        <w:t xml:space="preserve"> </w:t>
      </w:r>
      <w:r>
        <w:rPr>
          <w:color w:val="231F20"/>
          <w:sz w:val="16"/>
        </w:rPr>
        <w:t>прийняття</w:t>
      </w:r>
      <w:r>
        <w:rPr>
          <w:color w:val="231F20"/>
          <w:spacing w:val="-13"/>
          <w:sz w:val="16"/>
        </w:rPr>
        <w:t xml:space="preserve"> </w:t>
      </w:r>
      <w:r>
        <w:rPr>
          <w:color w:val="231F20"/>
          <w:sz w:val="16"/>
        </w:rPr>
        <w:t xml:space="preserve">подарунку; це вимагає від публічного службовця визначати вартість подарунків, які даруються йому неблизькими особами, до того, як вони </w:t>
      </w:r>
      <w:r>
        <w:rPr>
          <w:color w:val="231F20"/>
          <w:spacing w:val="-2"/>
          <w:sz w:val="16"/>
        </w:rPr>
        <w:t>будуть</w:t>
      </w:r>
      <w:r>
        <w:rPr>
          <w:color w:val="231F20"/>
          <w:spacing w:val="-4"/>
          <w:sz w:val="16"/>
        </w:rPr>
        <w:t xml:space="preserve"> </w:t>
      </w:r>
      <w:r>
        <w:rPr>
          <w:color w:val="231F20"/>
          <w:sz w:val="16"/>
        </w:rPr>
        <w:t>прийняті.</w:t>
      </w:r>
    </w:p>
    <w:p w14:paraId="16F026CA" w14:textId="77777777" w:rsidR="00DE575E" w:rsidRDefault="002E7560">
      <w:pPr>
        <w:spacing w:before="29" w:line="192" w:lineRule="auto"/>
        <w:ind w:left="250" w:right="411"/>
        <w:jc w:val="both"/>
        <w:rPr>
          <w:sz w:val="16"/>
        </w:rPr>
      </w:pPr>
      <w:r>
        <w:rPr>
          <w:color w:val="231F20"/>
          <w:position w:val="5"/>
          <w:sz w:val="9"/>
        </w:rPr>
        <w:t xml:space="preserve">4 </w:t>
      </w:r>
      <w:r>
        <w:rPr>
          <w:color w:val="231F20"/>
          <w:sz w:val="16"/>
        </w:rPr>
        <w:t xml:space="preserve">Відсутня </w:t>
      </w:r>
      <w:r>
        <w:rPr>
          <w:color w:val="231F20"/>
          <w:spacing w:val="-3"/>
          <w:sz w:val="16"/>
        </w:rPr>
        <w:t xml:space="preserve">законодавча </w:t>
      </w:r>
      <w:r>
        <w:rPr>
          <w:color w:val="231F20"/>
          <w:sz w:val="16"/>
        </w:rPr>
        <w:t xml:space="preserve">деталізація стосовно способів розрахунку вартості при </w:t>
      </w:r>
      <w:r>
        <w:rPr>
          <w:color w:val="231F20"/>
          <w:spacing w:val="-3"/>
          <w:sz w:val="16"/>
        </w:rPr>
        <w:t xml:space="preserve">отриманні подарунку </w:t>
      </w:r>
      <w:r>
        <w:rPr>
          <w:color w:val="231F20"/>
          <w:sz w:val="16"/>
        </w:rPr>
        <w:t xml:space="preserve">від групи осіб, тому ускладненою стає кваліфікація випадків, коли </w:t>
      </w:r>
      <w:r>
        <w:rPr>
          <w:color w:val="231F20"/>
          <w:spacing w:val="-3"/>
          <w:sz w:val="16"/>
        </w:rPr>
        <w:t xml:space="preserve">упродовж </w:t>
      </w:r>
      <w:r>
        <w:rPr>
          <w:color w:val="231F20"/>
          <w:sz w:val="16"/>
        </w:rPr>
        <w:t xml:space="preserve">року </w:t>
      </w:r>
      <w:r>
        <w:rPr>
          <w:color w:val="231F20"/>
          <w:spacing w:val="-3"/>
          <w:sz w:val="16"/>
        </w:rPr>
        <w:t xml:space="preserve">одна </w:t>
      </w:r>
      <w:r>
        <w:rPr>
          <w:color w:val="231F20"/>
          <w:sz w:val="16"/>
        </w:rPr>
        <w:t xml:space="preserve">особа </w:t>
      </w:r>
      <w:r>
        <w:rPr>
          <w:color w:val="231F20"/>
          <w:spacing w:val="-3"/>
          <w:sz w:val="16"/>
        </w:rPr>
        <w:t xml:space="preserve">дарувала подарунки </w:t>
      </w:r>
      <w:r>
        <w:rPr>
          <w:color w:val="231F20"/>
          <w:sz w:val="16"/>
        </w:rPr>
        <w:t xml:space="preserve">(з різних </w:t>
      </w:r>
      <w:r>
        <w:rPr>
          <w:color w:val="231F20"/>
          <w:spacing w:val="-3"/>
          <w:sz w:val="16"/>
        </w:rPr>
        <w:t xml:space="preserve">нагод) </w:t>
      </w:r>
      <w:r>
        <w:rPr>
          <w:color w:val="231F20"/>
          <w:sz w:val="16"/>
        </w:rPr>
        <w:t>у складі окремих груп або декілька разів у групі та дек</w:t>
      </w:r>
      <w:r>
        <w:rPr>
          <w:color w:val="231F20"/>
          <w:sz w:val="16"/>
        </w:rPr>
        <w:t xml:space="preserve">ілька разів </w:t>
      </w:r>
      <w:r>
        <w:rPr>
          <w:color w:val="231F20"/>
          <w:spacing w:val="-3"/>
          <w:sz w:val="16"/>
        </w:rPr>
        <w:t xml:space="preserve">індивідуально. </w:t>
      </w:r>
      <w:r>
        <w:rPr>
          <w:color w:val="231F20"/>
          <w:sz w:val="16"/>
        </w:rPr>
        <w:t xml:space="preserve">Як видається, первинне </w:t>
      </w:r>
      <w:r>
        <w:rPr>
          <w:color w:val="231F20"/>
          <w:spacing w:val="-3"/>
          <w:sz w:val="16"/>
        </w:rPr>
        <w:t xml:space="preserve">значення </w:t>
      </w:r>
      <w:r>
        <w:rPr>
          <w:color w:val="231F20"/>
          <w:sz w:val="16"/>
        </w:rPr>
        <w:t>має харак- тер</w:t>
      </w:r>
      <w:r>
        <w:rPr>
          <w:color w:val="231F20"/>
          <w:spacing w:val="-7"/>
          <w:sz w:val="16"/>
        </w:rPr>
        <w:t xml:space="preserve"> </w:t>
      </w:r>
      <w:r>
        <w:rPr>
          <w:color w:val="231F20"/>
          <w:sz w:val="16"/>
        </w:rPr>
        <w:t>«групи».</w:t>
      </w:r>
      <w:r>
        <w:rPr>
          <w:color w:val="231F20"/>
          <w:spacing w:val="-8"/>
          <w:sz w:val="16"/>
        </w:rPr>
        <w:t xml:space="preserve"> </w:t>
      </w:r>
      <w:r>
        <w:rPr>
          <w:color w:val="231F20"/>
          <w:sz w:val="16"/>
        </w:rPr>
        <w:t>Якщо</w:t>
      </w:r>
      <w:r>
        <w:rPr>
          <w:color w:val="231F20"/>
          <w:spacing w:val="-8"/>
          <w:sz w:val="16"/>
        </w:rPr>
        <w:t xml:space="preserve"> </w:t>
      </w:r>
      <w:r>
        <w:rPr>
          <w:color w:val="231F20"/>
          <w:sz w:val="16"/>
        </w:rPr>
        <w:t>певна</w:t>
      </w:r>
      <w:r>
        <w:rPr>
          <w:color w:val="231F20"/>
          <w:spacing w:val="-7"/>
          <w:sz w:val="16"/>
        </w:rPr>
        <w:t xml:space="preserve"> </w:t>
      </w:r>
      <w:r>
        <w:rPr>
          <w:color w:val="231F20"/>
          <w:sz w:val="16"/>
        </w:rPr>
        <w:t>кількість</w:t>
      </w:r>
      <w:r>
        <w:rPr>
          <w:color w:val="231F20"/>
          <w:spacing w:val="-8"/>
          <w:sz w:val="16"/>
        </w:rPr>
        <w:t xml:space="preserve"> </w:t>
      </w:r>
      <w:r>
        <w:rPr>
          <w:color w:val="231F20"/>
          <w:sz w:val="16"/>
        </w:rPr>
        <w:t>осіб</w:t>
      </w:r>
      <w:r>
        <w:rPr>
          <w:color w:val="231F20"/>
          <w:spacing w:val="-7"/>
          <w:sz w:val="16"/>
        </w:rPr>
        <w:t xml:space="preserve"> </w:t>
      </w:r>
      <w:r>
        <w:rPr>
          <w:color w:val="231F20"/>
          <w:sz w:val="16"/>
        </w:rPr>
        <w:t>формалізована</w:t>
      </w:r>
      <w:r>
        <w:rPr>
          <w:color w:val="231F20"/>
          <w:spacing w:val="-8"/>
          <w:sz w:val="16"/>
        </w:rPr>
        <w:t xml:space="preserve"> </w:t>
      </w:r>
      <w:r>
        <w:rPr>
          <w:color w:val="231F20"/>
          <w:sz w:val="16"/>
        </w:rPr>
        <w:t>у</w:t>
      </w:r>
      <w:r>
        <w:rPr>
          <w:color w:val="231F20"/>
          <w:spacing w:val="-8"/>
          <w:sz w:val="16"/>
        </w:rPr>
        <w:t xml:space="preserve"> </w:t>
      </w:r>
      <w:r>
        <w:rPr>
          <w:color w:val="231F20"/>
          <w:spacing w:val="-3"/>
          <w:sz w:val="16"/>
        </w:rPr>
        <w:t>вигляді</w:t>
      </w:r>
      <w:r>
        <w:rPr>
          <w:color w:val="231F20"/>
          <w:spacing w:val="-8"/>
          <w:sz w:val="16"/>
        </w:rPr>
        <w:t xml:space="preserve"> </w:t>
      </w:r>
      <w:r>
        <w:rPr>
          <w:color w:val="231F20"/>
          <w:sz w:val="16"/>
        </w:rPr>
        <w:t>політичної</w:t>
      </w:r>
      <w:r>
        <w:rPr>
          <w:color w:val="231F20"/>
          <w:spacing w:val="-8"/>
          <w:sz w:val="16"/>
        </w:rPr>
        <w:t xml:space="preserve"> </w:t>
      </w:r>
      <w:r>
        <w:rPr>
          <w:color w:val="231F20"/>
          <w:sz w:val="16"/>
        </w:rPr>
        <w:t>партії,</w:t>
      </w:r>
      <w:r>
        <w:rPr>
          <w:color w:val="231F20"/>
          <w:spacing w:val="-8"/>
          <w:sz w:val="16"/>
        </w:rPr>
        <w:t xml:space="preserve"> </w:t>
      </w:r>
      <w:r>
        <w:rPr>
          <w:color w:val="231F20"/>
          <w:sz w:val="16"/>
        </w:rPr>
        <w:t xml:space="preserve">громад- ського </w:t>
      </w:r>
      <w:r>
        <w:rPr>
          <w:color w:val="231F20"/>
          <w:spacing w:val="-4"/>
          <w:sz w:val="16"/>
        </w:rPr>
        <w:t xml:space="preserve">об’єднання, </w:t>
      </w:r>
      <w:r>
        <w:rPr>
          <w:color w:val="231F20"/>
          <w:sz w:val="16"/>
        </w:rPr>
        <w:t xml:space="preserve">релігійної громади тощо, то </w:t>
      </w:r>
      <w:r>
        <w:rPr>
          <w:color w:val="231F20"/>
          <w:spacing w:val="-3"/>
          <w:sz w:val="16"/>
        </w:rPr>
        <w:t xml:space="preserve">подарунок(-и) </w:t>
      </w:r>
      <w:r>
        <w:rPr>
          <w:color w:val="231F20"/>
          <w:sz w:val="16"/>
        </w:rPr>
        <w:t>від такої групи слід тракту- вати</w:t>
      </w:r>
      <w:r>
        <w:rPr>
          <w:color w:val="231F20"/>
          <w:spacing w:val="-12"/>
          <w:sz w:val="16"/>
        </w:rPr>
        <w:t xml:space="preserve"> </w:t>
      </w:r>
      <w:r>
        <w:rPr>
          <w:color w:val="231F20"/>
          <w:sz w:val="16"/>
        </w:rPr>
        <w:t>я</w:t>
      </w:r>
      <w:r>
        <w:rPr>
          <w:color w:val="231F20"/>
          <w:sz w:val="16"/>
        </w:rPr>
        <w:t>к</w:t>
      </w:r>
      <w:r>
        <w:rPr>
          <w:color w:val="231F20"/>
          <w:spacing w:val="-12"/>
          <w:sz w:val="16"/>
        </w:rPr>
        <w:t xml:space="preserve"> </w:t>
      </w:r>
      <w:r>
        <w:rPr>
          <w:color w:val="231F20"/>
          <w:sz w:val="16"/>
        </w:rPr>
        <w:t>від</w:t>
      </w:r>
      <w:r>
        <w:rPr>
          <w:color w:val="231F20"/>
          <w:spacing w:val="-12"/>
          <w:sz w:val="16"/>
        </w:rPr>
        <w:t xml:space="preserve"> </w:t>
      </w:r>
      <w:r>
        <w:rPr>
          <w:color w:val="231F20"/>
          <w:spacing w:val="-3"/>
          <w:sz w:val="16"/>
        </w:rPr>
        <w:t>одного</w:t>
      </w:r>
      <w:r>
        <w:rPr>
          <w:color w:val="231F20"/>
          <w:spacing w:val="-12"/>
          <w:sz w:val="16"/>
        </w:rPr>
        <w:t xml:space="preserve"> </w:t>
      </w:r>
      <w:r>
        <w:rPr>
          <w:color w:val="231F20"/>
          <w:sz w:val="16"/>
        </w:rPr>
        <w:t>джерела,</w:t>
      </w:r>
      <w:r>
        <w:rPr>
          <w:color w:val="231F20"/>
          <w:spacing w:val="-12"/>
          <w:sz w:val="16"/>
        </w:rPr>
        <w:t xml:space="preserve"> </w:t>
      </w:r>
      <w:r>
        <w:rPr>
          <w:color w:val="231F20"/>
          <w:sz w:val="16"/>
        </w:rPr>
        <w:t>оскільки</w:t>
      </w:r>
      <w:r>
        <w:rPr>
          <w:color w:val="231F20"/>
          <w:spacing w:val="-12"/>
          <w:sz w:val="16"/>
        </w:rPr>
        <w:t xml:space="preserve"> </w:t>
      </w:r>
      <w:r>
        <w:rPr>
          <w:color w:val="231F20"/>
          <w:sz w:val="16"/>
        </w:rPr>
        <w:t>такі</w:t>
      </w:r>
      <w:r>
        <w:rPr>
          <w:color w:val="231F20"/>
          <w:spacing w:val="-12"/>
          <w:sz w:val="16"/>
        </w:rPr>
        <w:t xml:space="preserve"> </w:t>
      </w:r>
      <w:r>
        <w:rPr>
          <w:color w:val="231F20"/>
          <w:spacing w:val="-2"/>
          <w:sz w:val="16"/>
        </w:rPr>
        <w:t>колективи</w:t>
      </w:r>
      <w:r>
        <w:rPr>
          <w:color w:val="231F20"/>
          <w:spacing w:val="-12"/>
          <w:sz w:val="16"/>
        </w:rPr>
        <w:t xml:space="preserve"> </w:t>
      </w:r>
      <w:r>
        <w:rPr>
          <w:color w:val="231F20"/>
          <w:sz w:val="16"/>
        </w:rPr>
        <w:t>є</w:t>
      </w:r>
      <w:r>
        <w:rPr>
          <w:color w:val="231F20"/>
          <w:spacing w:val="-13"/>
          <w:sz w:val="16"/>
        </w:rPr>
        <w:t xml:space="preserve"> </w:t>
      </w:r>
      <w:r>
        <w:rPr>
          <w:color w:val="231F20"/>
          <w:spacing w:val="-3"/>
          <w:sz w:val="16"/>
        </w:rPr>
        <w:t>одиничним</w:t>
      </w:r>
      <w:r>
        <w:rPr>
          <w:color w:val="231F20"/>
          <w:spacing w:val="-12"/>
          <w:sz w:val="16"/>
        </w:rPr>
        <w:t xml:space="preserve"> </w:t>
      </w:r>
      <w:r>
        <w:rPr>
          <w:color w:val="231F20"/>
          <w:spacing w:val="-4"/>
          <w:sz w:val="16"/>
        </w:rPr>
        <w:t>суб’єктом</w:t>
      </w:r>
      <w:r>
        <w:rPr>
          <w:color w:val="231F20"/>
          <w:spacing w:val="-12"/>
          <w:sz w:val="16"/>
        </w:rPr>
        <w:t xml:space="preserve"> </w:t>
      </w:r>
      <w:r>
        <w:rPr>
          <w:color w:val="231F20"/>
          <w:sz w:val="16"/>
        </w:rPr>
        <w:t xml:space="preserve">правовідносин. Наступні </w:t>
      </w:r>
      <w:r>
        <w:rPr>
          <w:color w:val="231F20"/>
          <w:spacing w:val="-3"/>
          <w:sz w:val="16"/>
        </w:rPr>
        <w:t xml:space="preserve">подарунки </w:t>
      </w:r>
      <w:r>
        <w:rPr>
          <w:color w:val="231F20"/>
          <w:sz w:val="16"/>
        </w:rPr>
        <w:t xml:space="preserve">від члена </w:t>
      </w:r>
      <w:r>
        <w:rPr>
          <w:color w:val="231F20"/>
          <w:spacing w:val="-2"/>
          <w:sz w:val="16"/>
        </w:rPr>
        <w:t xml:space="preserve">такого </w:t>
      </w:r>
      <w:r>
        <w:rPr>
          <w:color w:val="231F20"/>
          <w:sz w:val="16"/>
        </w:rPr>
        <w:t>колективу варто оцінювати окремо, без урахування його</w:t>
      </w:r>
      <w:r>
        <w:rPr>
          <w:color w:val="231F20"/>
          <w:spacing w:val="-6"/>
          <w:sz w:val="16"/>
        </w:rPr>
        <w:t xml:space="preserve"> </w:t>
      </w:r>
      <w:r>
        <w:rPr>
          <w:color w:val="231F20"/>
          <w:sz w:val="16"/>
        </w:rPr>
        <w:t>ймовірної</w:t>
      </w:r>
      <w:r>
        <w:rPr>
          <w:color w:val="231F20"/>
          <w:spacing w:val="-6"/>
          <w:sz w:val="16"/>
        </w:rPr>
        <w:t xml:space="preserve"> </w:t>
      </w:r>
      <w:r>
        <w:rPr>
          <w:color w:val="231F20"/>
          <w:sz w:val="16"/>
        </w:rPr>
        <w:t>участі</w:t>
      </w:r>
      <w:r>
        <w:rPr>
          <w:color w:val="231F20"/>
          <w:spacing w:val="-6"/>
          <w:sz w:val="16"/>
        </w:rPr>
        <w:t xml:space="preserve"> </w:t>
      </w:r>
      <w:r>
        <w:rPr>
          <w:color w:val="231F20"/>
          <w:sz w:val="16"/>
        </w:rPr>
        <w:t>в</w:t>
      </w:r>
      <w:r>
        <w:rPr>
          <w:color w:val="231F20"/>
          <w:spacing w:val="-7"/>
          <w:sz w:val="16"/>
        </w:rPr>
        <w:t xml:space="preserve"> </w:t>
      </w:r>
      <w:r>
        <w:rPr>
          <w:color w:val="231F20"/>
          <w:sz w:val="16"/>
        </w:rPr>
        <w:t>колективному</w:t>
      </w:r>
      <w:r>
        <w:rPr>
          <w:color w:val="231F20"/>
          <w:spacing w:val="-6"/>
          <w:sz w:val="16"/>
        </w:rPr>
        <w:t xml:space="preserve"> </w:t>
      </w:r>
      <w:r>
        <w:rPr>
          <w:color w:val="231F20"/>
          <w:spacing w:val="-4"/>
          <w:sz w:val="16"/>
        </w:rPr>
        <w:t>подарунку.</w:t>
      </w:r>
      <w:r>
        <w:rPr>
          <w:color w:val="231F20"/>
          <w:spacing w:val="-6"/>
          <w:sz w:val="16"/>
        </w:rPr>
        <w:t xml:space="preserve"> </w:t>
      </w:r>
      <w:r>
        <w:rPr>
          <w:color w:val="231F20"/>
          <w:spacing w:val="-3"/>
          <w:sz w:val="16"/>
        </w:rPr>
        <w:t>Подарунки</w:t>
      </w:r>
      <w:r>
        <w:rPr>
          <w:color w:val="231F20"/>
          <w:spacing w:val="-6"/>
          <w:sz w:val="16"/>
        </w:rPr>
        <w:t xml:space="preserve"> </w:t>
      </w:r>
      <w:r>
        <w:rPr>
          <w:color w:val="231F20"/>
          <w:sz w:val="16"/>
        </w:rPr>
        <w:t>ж</w:t>
      </w:r>
      <w:r>
        <w:rPr>
          <w:color w:val="231F20"/>
          <w:spacing w:val="-6"/>
          <w:sz w:val="16"/>
        </w:rPr>
        <w:t xml:space="preserve"> </w:t>
      </w:r>
      <w:r>
        <w:rPr>
          <w:color w:val="231F20"/>
          <w:sz w:val="16"/>
        </w:rPr>
        <w:t>від</w:t>
      </w:r>
      <w:r>
        <w:rPr>
          <w:color w:val="231F20"/>
          <w:spacing w:val="-6"/>
          <w:sz w:val="16"/>
        </w:rPr>
        <w:t xml:space="preserve"> </w:t>
      </w:r>
      <w:r>
        <w:rPr>
          <w:color w:val="231F20"/>
          <w:sz w:val="16"/>
        </w:rPr>
        <w:t>неформалізованих</w:t>
      </w:r>
      <w:r>
        <w:rPr>
          <w:color w:val="231F20"/>
          <w:spacing w:val="-6"/>
          <w:sz w:val="16"/>
        </w:rPr>
        <w:t xml:space="preserve"> </w:t>
      </w:r>
      <w:r>
        <w:rPr>
          <w:color w:val="231F20"/>
          <w:spacing w:val="-3"/>
          <w:sz w:val="16"/>
        </w:rPr>
        <w:t xml:space="preserve">груп </w:t>
      </w:r>
      <w:r>
        <w:rPr>
          <w:color w:val="231F20"/>
          <w:sz w:val="16"/>
        </w:rPr>
        <w:t xml:space="preserve">(певна кількість друзів, </w:t>
      </w:r>
      <w:r>
        <w:rPr>
          <w:color w:val="231F20"/>
          <w:spacing w:val="-3"/>
          <w:sz w:val="16"/>
        </w:rPr>
        <w:t xml:space="preserve">сусідів, </w:t>
      </w:r>
      <w:r>
        <w:rPr>
          <w:color w:val="231F20"/>
          <w:sz w:val="16"/>
        </w:rPr>
        <w:t xml:space="preserve">товаришів по спортивній секції тощо) більш виправдано трактувати як сукупність </w:t>
      </w:r>
      <w:r>
        <w:rPr>
          <w:color w:val="231F20"/>
          <w:spacing w:val="-3"/>
          <w:sz w:val="16"/>
        </w:rPr>
        <w:t xml:space="preserve">індивідуальних подарунків </w:t>
      </w:r>
      <w:r>
        <w:rPr>
          <w:color w:val="231F20"/>
          <w:sz w:val="16"/>
        </w:rPr>
        <w:t xml:space="preserve">та оцінювати їх </w:t>
      </w:r>
      <w:r>
        <w:rPr>
          <w:color w:val="231F20"/>
          <w:spacing w:val="-3"/>
          <w:sz w:val="16"/>
        </w:rPr>
        <w:t xml:space="preserve">допустиму вартість, </w:t>
      </w:r>
      <w:r>
        <w:rPr>
          <w:color w:val="231F20"/>
          <w:sz w:val="16"/>
        </w:rPr>
        <w:t>базуючись</w:t>
      </w:r>
      <w:r>
        <w:rPr>
          <w:color w:val="231F20"/>
          <w:spacing w:val="-11"/>
          <w:sz w:val="16"/>
        </w:rPr>
        <w:t xml:space="preserve"> </w:t>
      </w:r>
      <w:r>
        <w:rPr>
          <w:color w:val="231F20"/>
          <w:sz w:val="16"/>
        </w:rPr>
        <w:t>на</w:t>
      </w:r>
      <w:r>
        <w:rPr>
          <w:color w:val="231F20"/>
          <w:spacing w:val="-11"/>
          <w:sz w:val="16"/>
        </w:rPr>
        <w:t xml:space="preserve"> </w:t>
      </w:r>
      <w:r>
        <w:rPr>
          <w:color w:val="231F20"/>
          <w:sz w:val="16"/>
        </w:rPr>
        <w:t>розмірі</w:t>
      </w:r>
      <w:r>
        <w:rPr>
          <w:color w:val="231F20"/>
          <w:spacing w:val="-11"/>
          <w:sz w:val="16"/>
        </w:rPr>
        <w:t xml:space="preserve"> </w:t>
      </w:r>
      <w:r>
        <w:rPr>
          <w:color w:val="231F20"/>
          <w:sz w:val="16"/>
        </w:rPr>
        <w:t>внеску</w:t>
      </w:r>
      <w:r>
        <w:rPr>
          <w:color w:val="231F20"/>
          <w:spacing w:val="-11"/>
          <w:sz w:val="16"/>
        </w:rPr>
        <w:t xml:space="preserve"> </w:t>
      </w:r>
      <w:r>
        <w:rPr>
          <w:color w:val="231F20"/>
          <w:spacing w:val="-3"/>
          <w:sz w:val="16"/>
        </w:rPr>
        <w:t>одного</w:t>
      </w:r>
      <w:r>
        <w:rPr>
          <w:color w:val="231F20"/>
          <w:spacing w:val="-11"/>
          <w:sz w:val="16"/>
        </w:rPr>
        <w:t xml:space="preserve"> </w:t>
      </w:r>
      <w:r>
        <w:rPr>
          <w:color w:val="231F20"/>
          <w:sz w:val="16"/>
        </w:rPr>
        <w:t>учасника</w:t>
      </w:r>
      <w:r>
        <w:rPr>
          <w:color w:val="231F20"/>
          <w:spacing w:val="-11"/>
          <w:sz w:val="16"/>
        </w:rPr>
        <w:t xml:space="preserve"> </w:t>
      </w:r>
      <w:r>
        <w:rPr>
          <w:color w:val="231F20"/>
          <w:sz w:val="16"/>
        </w:rPr>
        <w:t>такої</w:t>
      </w:r>
      <w:r>
        <w:rPr>
          <w:color w:val="231F20"/>
          <w:spacing w:val="-11"/>
          <w:sz w:val="16"/>
        </w:rPr>
        <w:t xml:space="preserve"> </w:t>
      </w:r>
      <w:r>
        <w:rPr>
          <w:color w:val="231F20"/>
          <w:sz w:val="16"/>
        </w:rPr>
        <w:t>стихійної,</w:t>
      </w:r>
      <w:r>
        <w:rPr>
          <w:color w:val="231F20"/>
          <w:spacing w:val="-11"/>
          <w:sz w:val="16"/>
        </w:rPr>
        <w:t xml:space="preserve"> </w:t>
      </w:r>
      <w:r>
        <w:rPr>
          <w:color w:val="231F20"/>
          <w:sz w:val="16"/>
        </w:rPr>
        <w:t>разово</w:t>
      </w:r>
      <w:r>
        <w:rPr>
          <w:color w:val="231F20"/>
          <w:spacing w:val="-11"/>
          <w:sz w:val="16"/>
        </w:rPr>
        <w:t xml:space="preserve"> </w:t>
      </w:r>
      <w:r>
        <w:rPr>
          <w:color w:val="231F20"/>
          <w:sz w:val="16"/>
        </w:rPr>
        <w:t>сформованої,</w:t>
      </w:r>
      <w:r>
        <w:rPr>
          <w:color w:val="231F20"/>
          <w:spacing w:val="-11"/>
          <w:sz w:val="16"/>
        </w:rPr>
        <w:t xml:space="preserve"> </w:t>
      </w:r>
      <w:r>
        <w:rPr>
          <w:color w:val="231F20"/>
          <w:spacing w:val="-3"/>
          <w:sz w:val="16"/>
        </w:rPr>
        <w:t>групи.</w:t>
      </w:r>
    </w:p>
    <w:p w14:paraId="160CC297" w14:textId="77777777" w:rsidR="00DE575E" w:rsidRDefault="00DE575E">
      <w:pPr>
        <w:pStyle w:val="BodyText"/>
        <w:spacing w:before="6"/>
        <w:rPr>
          <w:sz w:val="12"/>
        </w:rPr>
      </w:pPr>
    </w:p>
    <w:p w14:paraId="0291DEF8" w14:textId="77777777" w:rsidR="00DE575E" w:rsidRDefault="002E7560">
      <w:pPr>
        <w:spacing w:before="91"/>
        <w:ind w:right="418"/>
        <w:jc w:val="right"/>
        <w:rPr>
          <w:rFonts w:ascii="Times New Roman"/>
          <w:sz w:val="20"/>
        </w:rPr>
      </w:pPr>
      <w:r>
        <w:rPr>
          <w:rFonts w:ascii="Times New Roman"/>
          <w:color w:val="231F20"/>
          <w:w w:val="90"/>
          <w:sz w:val="20"/>
        </w:rPr>
        <w:t>411</w:t>
      </w:r>
    </w:p>
    <w:p w14:paraId="312387D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B1F225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4754F47" w14:textId="65DF2AF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7010419" wp14:editId="57A4BC78">
                <wp:extent cx="4140200" cy="6350"/>
                <wp:effectExtent l="0" t="0" r="12700" b="6350"/>
                <wp:docPr id="36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66" name="Line 3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F4FFAB" id="Group_x0020_3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MyKgR/AgAAmAUAAA4A&#10;AAAAAAAAAAAAAAAALAIAAGRycy9lMm9Eb2MueG1sUEsBAi0AFAAGAAgAAAAhAEynsJDZAAAAAwEA&#10;AA8AAAAAAAAAAAAAAAAA1wQAAGRycy9kb3ducmV2LnhtbFBLBQYAAAAABAAEAPMAAADdBQAAAAA=&#10;">
                <v:line id="Line_x0020_3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r/28YAAADcAAAADwAAAGRycy9kb3ducmV2LnhtbESP0WrCQBRE3wX/YbmCL1I3bSBIdJUi&#10;CKUP2pp+wDV7TUJ378bsamK/vlso+DjMzBlmtRmsETfqfONYwfM8AUFcOt1wpeCr2D0tQPiArNE4&#10;JgV38rBZj0crzLXr+ZNux1CJCGGfo4I6hDaX0pc1WfRz1xJH7+w6iyHKrpK6wz7CrZEvSZJJiw3H&#10;hRpb2tZUfh+vVkFxmQXzcXg3fXE4pfJ02ac/171S08nwugQRaAiP8H/7TStIswz+zsQj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6/9vGAAAA3AAAAA8AAAAAAAAA&#10;AAAAAAAAoQIAAGRycy9kb3ducmV2LnhtbFBLBQYAAAAABAAEAPkAAACUAwAAAAA=&#10;" strokecolor="#231f20" strokeweight=".5pt"/>
                <w10:anchorlock/>
              </v:group>
            </w:pict>
          </mc:Fallback>
        </mc:AlternateContent>
      </w:r>
    </w:p>
    <w:p w14:paraId="136F314F" w14:textId="77777777" w:rsidR="00DE575E" w:rsidRDefault="00DE575E">
      <w:pPr>
        <w:pStyle w:val="BodyText"/>
        <w:spacing w:before="7"/>
        <w:rPr>
          <w:rFonts w:ascii="AdonisC"/>
          <w:i/>
          <w:sz w:val="11"/>
        </w:rPr>
      </w:pPr>
    </w:p>
    <w:p w14:paraId="2BC3675C" w14:textId="77777777" w:rsidR="00DE575E" w:rsidRDefault="002E7560">
      <w:pPr>
        <w:pStyle w:val="BodyText"/>
        <w:spacing w:before="101" w:line="252" w:lineRule="auto"/>
        <w:ind w:left="1384"/>
      </w:pPr>
      <w:r>
        <w:rPr>
          <w:color w:val="231F20"/>
        </w:rPr>
        <w:t>прожиткових мінімумів, установлених для працездатної особи на 1 січня того року, в якому прийнято подарунки.</w:t>
      </w:r>
    </w:p>
    <w:p w14:paraId="02610F17" w14:textId="77777777" w:rsidR="00DE575E" w:rsidRDefault="002E7560">
      <w:pPr>
        <w:pStyle w:val="BodyText"/>
        <w:spacing w:before="1" w:line="252" w:lineRule="auto"/>
        <w:ind w:left="533" w:right="127" w:firstLine="283"/>
        <w:jc w:val="both"/>
      </w:pPr>
      <w:r>
        <w:rPr>
          <w:color w:val="231F20"/>
        </w:rPr>
        <w:t>Якщо</w:t>
      </w:r>
      <w:r>
        <w:rPr>
          <w:color w:val="231F20"/>
          <w:spacing w:val="-9"/>
        </w:rPr>
        <w:t xml:space="preserve"> </w:t>
      </w:r>
      <w:r>
        <w:rPr>
          <w:color w:val="231F20"/>
        </w:rPr>
        <w:t>отримання</w:t>
      </w:r>
      <w:r>
        <w:rPr>
          <w:color w:val="231F20"/>
          <w:spacing w:val="-9"/>
        </w:rPr>
        <w:t xml:space="preserve"> </w:t>
      </w:r>
      <w:r>
        <w:rPr>
          <w:color w:val="231F20"/>
        </w:rPr>
        <w:t>такого</w:t>
      </w:r>
      <w:r>
        <w:rPr>
          <w:color w:val="231F20"/>
          <w:spacing w:val="-9"/>
        </w:rPr>
        <w:t xml:space="preserve"> </w:t>
      </w:r>
      <w:r>
        <w:rPr>
          <w:color w:val="231F20"/>
        </w:rPr>
        <w:t>подарунку</w:t>
      </w:r>
      <w:r>
        <w:rPr>
          <w:color w:val="231F20"/>
          <w:spacing w:val="-9"/>
        </w:rPr>
        <w:t xml:space="preserve"> </w:t>
      </w:r>
      <w:r>
        <w:rPr>
          <w:color w:val="231F20"/>
        </w:rPr>
        <w:t>відбувається</w:t>
      </w:r>
      <w:r>
        <w:rPr>
          <w:color w:val="231F20"/>
          <w:spacing w:val="-9"/>
        </w:rPr>
        <w:t xml:space="preserve"> </w:t>
      </w:r>
      <w:r>
        <w:rPr>
          <w:color w:val="231F20"/>
        </w:rPr>
        <w:t>2</w:t>
      </w:r>
      <w:r>
        <w:rPr>
          <w:color w:val="231F20"/>
          <w:spacing w:val="-9"/>
        </w:rPr>
        <w:t xml:space="preserve"> </w:t>
      </w:r>
      <w:r>
        <w:rPr>
          <w:color w:val="231F20"/>
          <w:spacing w:val="-3"/>
        </w:rPr>
        <w:t>грудня</w:t>
      </w:r>
      <w:r>
        <w:rPr>
          <w:color w:val="231F20"/>
          <w:spacing w:val="-9"/>
        </w:rPr>
        <w:t xml:space="preserve"> </w:t>
      </w:r>
      <w:r>
        <w:rPr>
          <w:color w:val="231F20"/>
        </w:rPr>
        <w:t>2019</w:t>
      </w:r>
      <w:r>
        <w:rPr>
          <w:color w:val="231F20"/>
          <w:spacing w:val="-9"/>
        </w:rPr>
        <w:t xml:space="preserve"> </w:t>
      </w:r>
      <w:r>
        <w:rPr>
          <w:color w:val="231F20"/>
        </w:rPr>
        <w:t>р., то його вартість (одноразово) не може перевищув</w:t>
      </w:r>
      <w:r>
        <w:rPr>
          <w:color w:val="231F20"/>
        </w:rPr>
        <w:t>ати 2102 грн (розмір прожиткового мінімуму для працездатних осіб, установле- ний на час прийняття), але сукупна вартість подарунків із відповід- ного джерела за рік не може перевищувати 3842 грн. (подвійний розмір прожиткового мінімуму для працездатних осі</w:t>
      </w:r>
      <w:r>
        <w:rPr>
          <w:color w:val="231F20"/>
        </w:rPr>
        <w:t>б станом на початок 2019 року –</w:t>
      </w:r>
      <w:r>
        <w:rPr>
          <w:color w:val="231F20"/>
          <w:spacing w:val="-3"/>
        </w:rPr>
        <w:t xml:space="preserve"> </w:t>
      </w:r>
      <w:r>
        <w:rPr>
          <w:color w:val="231F20"/>
        </w:rPr>
        <w:t>1921).</w:t>
      </w:r>
    </w:p>
    <w:p w14:paraId="608C9096" w14:textId="77777777" w:rsidR="00DE575E" w:rsidRDefault="002E7560">
      <w:pPr>
        <w:pStyle w:val="BodyText"/>
        <w:spacing w:before="3" w:line="252" w:lineRule="auto"/>
        <w:ind w:left="533" w:right="126" w:firstLine="283"/>
        <w:jc w:val="both"/>
      </w:pPr>
      <w:r>
        <w:rPr>
          <w:color w:val="231F20"/>
        </w:rPr>
        <w:t xml:space="preserve">Рішення, ухвалені публічним службовцем на користь особи, від якої він чи його близькі особи отримали подарунок, уважаються такими, що ухвалені в умовах конфлікту інтересів, а тому підляга- ють скасуванню (ч. 4 </w:t>
      </w:r>
      <w:r>
        <w:rPr>
          <w:color w:val="231F20"/>
          <w:spacing w:val="-6"/>
        </w:rPr>
        <w:t xml:space="preserve">ст. </w:t>
      </w:r>
      <w:r>
        <w:rPr>
          <w:color w:val="231F20"/>
        </w:rPr>
        <w:t xml:space="preserve">23 антикорупційного закону). При цьому прикладне значення відповідного припису є доволі абстрактним, адже: а) службовець не може і не має знати всіх </w:t>
      </w:r>
      <w:r>
        <w:rPr>
          <w:color w:val="231F20"/>
          <w:spacing w:val="-3"/>
        </w:rPr>
        <w:t xml:space="preserve">суб’єктів, </w:t>
      </w:r>
      <w:r>
        <w:rPr>
          <w:color w:val="231F20"/>
        </w:rPr>
        <w:t>від яких його</w:t>
      </w:r>
      <w:r>
        <w:rPr>
          <w:color w:val="231F20"/>
          <w:spacing w:val="-13"/>
        </w:rPr>
        <w:t xml:space="preserve"> </w:t>
      </w:r>
      <w:r>
        <w:rPr>
          <w:color w:val="231F20"/>
        </w:rPr>
        <w:t>близькі</w:t>
      </w:r>
      <w:r>
        <w:rPr>
          <w:color w:val="231F20"/>
          <w:spacing w:val="-13"/>
        </w:rPr>
        <w:t xml:space="preserve"> </w:t>
      </w:r>
      <w:r>
        <w:rPr>
          <w:color w:val="231F20"/>
        </w:rPr>
        <w:t>особи</w:t>
      </w:r>
      <w:r>
        <w:rPr>
          <w:color w:val="231F20"/>
          <w:spacing w:val="-13"/>
        </w:rPr>
        <w:t xml:space="preserve"> </w:t>
      </w:r>
      <w:r>
        <w:rPr>
          <w:color w:val="231F20"/>
        </w:rPr>
        <w:t>(зокрема</w:t>
      </w:r>
      <w:r>
        <w:rPr>
          <w:color w:val="231F20"/>
          <w:spacing w:val="-13"/>
        </w:rPr>
        <w:t xml:space="preserve"> </w:t>
      </w:r>
      <w:r>
        <w:rPr>
          <w:color w:val="231F20"/>
        </w:rPr>
        <w:t>і</w:t>
      </w:r>
      <w:r>
        <w:rPr>
          <w:color w:val="231F20"/>
          <w:spacing w:val="-13"/>
        </w:rPr>
        <w:t xml:space="preserve"> </w:t>
      </w:r>
      <w:r>
        <w:rPr>
          <w:color w:val="231F20"/>
        </w:rPr>
        <w:t>нечлени</w:t>
      </w:r>
      <w:r>
        <w:rPr>
          <w:color w:val="231F20"/>
          <w:spacing w:val="-13"/>
        </w:rPr>
        <w:t xml:space="preserve"> </w:t>
      </w:r>
      <w:r>
        <w:rPr>
          <w:color w:val="231F20"/>
        </w:rPr>
        <w:t>сім’ї</w:t>
      </w:r>
      <w:r>
        <w:rPr>
          <w:color w:val="231F20"/>
          <w:spacing w:val="-13"/>
        </w:rPr>
        <w:t xml:space="preserve"> </w:t>
      </w:r>
      <w:r>
        <w:rPr>
          <w:color w:val="231F20"/>
        </w:rPr>
        <w:t>–</w:t>
      </w:r>
      <w:r>
        <w:rPr>
          <w:color w:val="231F20"/>
          <w:spacing w:val="-13"/>
        </w:rPr>
        <w:t xml:space="preserve"> </w:t>
      </w:r>
      <w:r>
        <w:rPr>
          <w:color w:val="231F20"/>
        </w:rPr>
        <w:t>правнук,</w:t>
      </w:r>
      <w:r>
        <w:rPr>
          <w:color w:val="231F20"/>
          <w:spacing w:val="-13"/>
        </w:rPr>
        <w:t xml:space="preserve"> </w:t>
      </w:r>
      <w:r>
        <w:rPr>
          <w:color w:val="231F20"/>
        </w:rPr>
        <w:t>теща,</w:t>
      </w:r>
      <w:r>
        <w:rPr>
          <w:color w:val="231F20"/>
          <w:spacing w:val="-13"/>
        </w:rPr>
        <w:t xml:space="preserve"> </w:t>
      </w:r>
      <w:r>
        <w:rPr>
          <w:color w:val="231F20"/>
        </w:rPr>
        <w:t>невістка, дядько…)</w:t>
      </w:r>
      <w:r>
        <w:rPr>
          <w:color w:val="231F20"/>
          <w:spacing w:val="-13"/>
        </w:rPr>
        <w:t xml:space="preserve"> </w:t>
      </w:r>
      <w:r>
        <w:rPr>
          <w:color w:val="231F20"/>
        </w:rPr>
        <w:t>отримували</w:t>
      </w:r>
      <w:r>
        <w:rPr>
          <w:color w:val="231F20"/>
          <w:spacing w:val="-13"/>
        </w:rPr>
        <w:t xml:space="preserve"> </w:t>
      </w:r>
      <w:r>
        <w:rPr>
          <w:color w:val="231F20"/>
        </w:rPr>
        <w:t>подарунки;</w:t>
      </w:r>
      <w:r>
        <w:rPr>
          <w:color w:val="231F20"/>
          <w:spacing w:val="-13"/>
        </w:rPr>
        <w:t xml:space="preserve"> </w:t>
      </w:r>
      <w:r>
        <w:rPr>
          <w:color w:val="231F20"/>
        </w:rPr>
        <w:t>б)</w:t>
      </w:r>
      <w:r>
        <w:rPr>
          <w:color w:val="231F20"/>
          <w:spacing w:val="-10"/>
        </w:rPr>
        <w:t xml:space="preserve"> </w:t>
      </w:r>
      <w:r>
        <w:rPr>
          <w:color w:val="231F20"/>
        </w:rPr>
        <w:t>законом</w:t>
      </w:r>
      <w:r>
        <w:rPr>
          <w:color w:val="231F20"/>
          <w:spacing w:val="-13"/>
        </w:rPr>
        <w:t xml:space="preserve"> </w:t>
      </w:r>
      <w:r>
        <w:rPr>
          <w:color w:val="231F20"/>
        </w:rPr>
        <w:t>не</w:t>
      </w:r>
      <w:r>
        <w:rPr>
          <w:color w:val="231F20"/>
          <w:spacing w:val="-13"/>
        </w:rPr>
        <w:t xml:space="preserve"> </w:t>
      </w:r>
      <w:r>
        <w:rPr>
          <w:color w:val="231F20"/>
        </w:rPr>
        <w:t>визначається</w:t>
      </w:r>
      <w:r>
        <w:rPr>
          <w:color w:val="231F20"/>
          <w:spacing w:val="-13"/>
        </w:rPr>
        <w:t xml:space="preserve"> </w:t>
      </w:r>
      <w:r>
        <w:rPr>
          <w:color w:val="231F20"/>
        </w:rPr>
        <w:t xml:space="preserve">строк, упродовж якого в минулому отримувався подарунок (буквальне трактування заборони вимагає її поширення на осіб, від яких </w:t>
      </w:r>
      <w:r>
        <w:rPr>
          <w:color w:val="231F20"/>
          <w:spacing w:val="-4"/>
        </w:rPr>
        <w:t xml:space="preserve">будь- </w:t>
      </w:r>
      <w:r>
        <w:rPr>
          <w:color w:val="231F20"/>
        </w:rPr>
        <w:t>коли отримувалися</w:t>
      </w:r>
      <w:r>
        <w:rPr>
          <w:color w:val="231F20"/>
          <w:spacing w:val="-2"/>
        </w:rPr>
        <w:t xml:space="preserve"> </w:t>
      </w:r>
      <w:r>
        <w:rPr>
          <w:color w:val="231F20"/>
        </w:rPr>
        <w:t>подарунки).</w:t>
      </w:r>
    </w:p>
    <w:p w14:paraId="0B93C348" w14:textId="77777777" w:rsidR="00DE575E" w:rsidRDefault="002E7560">
      <w:pPr>
        <w:pStyle w:val="BodyText"/>
        <w:spacing w:before="6" w:line="252" w:lineRule="auto"/>
        <w:ind w:left="533" w:right="127" w:firstLine="283"/>
        <w:jc w:val="both"/>
      </w:pPr>
      <w:r>
        <w:rPr>
          <w:color w:val="231F20"/>
        </w:rPr>
        <w:t>Обмеження щодо подарунків не поширюється на б</w:t>
      </w:r>
      <w:r>
        <w:rPr>
          <w:color w:val="231F20"/>
        </w:rPr>
        <w:t xml:space="preserve">лагодійну </w:t>
      </w:r>
      <w:r>
        <w:rPr>
          <w:color w:val="231F20"/>
          <w:spacing w:val="-3"/>
        </w:rPr>
        <w:t xml:space="preserve">допомогу, </w:t>
      </w:r>
      <w:r>
        <w:rPr>
          <w:color w:val="231F20"/>
        </w:rPr>
        <w:t>яка може надаватися публічним службовцям відповідно до Закону «Про благодійну діяльність та благодійні організації» на цілі</w:t>
      </w:r>
      <w:r>
        <w:rPr>
          <w:color w:val="231F20"/>
          <w:spacing w:val="-6"/>
        </w:rPr>
        <w:t xml:space="preserve"> </w:t>
      </w:r>
      <w:r>
        <w:rPr>
          <w:color w:val="231F20"/>
        </w:rPr>
        <w:t>та</w:t>
      </w:r>
      <w:r>
        <w:rPr>
          <w:color w:val="231F20"/>
          <w:spacing w:val="-6"/>
        </w:rPr>
        <w:t xml:space="preserve"> </w:t>
      </w:r>
      <w:r>
        <w:rPr>
          <w:color w:val="231F20"/>
        </w:rPr>
        <w:t>за</w:t>
      </w:r>
      <w:r>
        <w:rPr>
          <w:color w:val="231F20"/>
          <w:spacing w:val="-6"/>
        </w:rPr>
        <w:t xml:space="preserve"> </w:t>
      </w:r>
      <w:r>
        <w:rPr>
          <w:color w:val="231F20"/>
        </w:rPr>
        <w:t>умов,</w:t>
      </w:r>
      <w:r>
        <w:rPr>
          <w:color w:val="231F20"/>
          <w:spacing w:val="-6"/>
        </w:rPr>
        <w:t xml:space="preserve"> </w:t>
      </w:r>
      <w:r>
        <w:rPr>
          <w:color w:val="231F20"/>
        </w:rPr>
        <w:t>передбачених</w:t>
      </w:r>
      <w:r>
        <w:rPr>
          <w:color w:val="231F20"/>
          <w:spacing w:val="-6"/>
        </w:rPr>
        <w:t xml:space="preserve"> </w:t>
      </w:r>
      <w:r>
        <w:rPr>
          <w:color w:val="231F20"/>
        </w:rPr>
        <w:t>цим</w:t>
      </w:r>
      <w:r>
        <w:rPr>
          <w:color w:val="231F20"/>
          <w:spacing w:val="-6"/>
        </w:rPr>
        <w:t xml:space="preserve"> </w:t>
      </w:r>
      <w:r>
        <w:rPr>
          <w:color w:val="231F20"/>
        </w:rPr>
        <w:t>Законом,</w:t>
      </w:r>
      <w:r>
        <w:rPr>
          <w:color w:val="231F20"/>
          <w:spacing w:val="-6"/>
        </w:rPr>
        <w:t xml:space="preserve"> </w:t>
      </w:r>
      <w:r>
        <w:rPr>
          <w:color w:val="231F20"/>
        </w:rPr>
        <w:t>від</w:t>
      </w:r>
      <w:r>
        <w:rPr>
          <w:color w:val="231F20"/>
          <w:spacing w:val="-6"/>
        </w:rPr>
        <w:t xml:space="preserve"> </w:t>
      </w:r>
      <w:r>
        <w:rPr>
          <w:color w:val="231F20"/>
        </w:rPr>
        <w:t>юридичних</w:t>
      </w:r>
      <w:r>
        <w:rPr>
          <w:color w:val="231F20"/>
          <w:spacing w:val="-6"/>
        </w:rPr>
        <w:t xml:space="preserve"> </w:t>
      </w:r>
      <w:r>
        <w:rPr>
          <w:color w:val="231F20"/>
        </w:rPr>
        <w:t>чи</w:t>
      </w:r>
      <w:r>
        <w:rPr>
          <w:color w:val="231F20"/>
          <w:spacing w:val="-6"/>
        </w:rPr>
        <w:t xml:space="preserve"> </w:t>
      </w:r>
      <w:r>
        <w:rPr>
          <w:color w:val="231F20"/>
        </w:rPr>
        <w:t>фізич- них осіб (зокрема у формі благодійних пожертв). За</w:t>
      </w:r>
      <w:r>
        <w:rPr>
          <w:color w:val="231F20"/>
        </w:rPr>
        <w:t xml:space="preserve">конність прий- няття такої допомоги опосередковано виходить зі змісту п. 7 ч. 1   </w:t>
      </w:r>
      <w:r>
        <w:rPr>
          <w:color w:val="231F20"/>
          <w:spacing w:val="-6"/>
        </w:rPr>
        <w:t xml:space="preserve">ст. </w:t>
      </w:r>
      <w:r>
        <w:rPr>
          <w:color w:val="231F20"/>
        </w:rPr>
        <w:t xml:space="preserve">46 та п. 1 ч. 2 </w:t>
      </w:r>
      <w:r>
        <w:rPr>
          <w:color w:val="231F20"/>
          <w:spacing w:val="-6"/>
        </w:rPr>
        <w:t xml:space="preserve">ст. </w:t>
      </w:r>
      <w:r>
        <w:rPr>
          <w:color w:val="231F20"/>
        </w:rPr>
        <w:t>60 Закону «Про запобігання корупції». В остан- ньому приписі зокрема зазначається про те, що не може бути відне- сена до інформації з обмеженим доступ</w:t>
      </w:r>
      <w:r>
        <w:rPr>
          <w:color w:val="231F20"/>
        </w:rPr>
        <w:t>ом інформація про розміри, види благодійної та іншої допомоги, що одержується публічними службовцями від фізичних та юридичних</w:t>
      </w:r>
      <w:r>
        <w:rPr>
          <w:color w:val="231F20"/>
          <w:spacing w:val="-7"/>
        </w:rPr>
        <w:t xml:space="preserve"> </w:t>
      </w:r>
      <w:r>
        <w:rPr>
          <w:color w:val="231F20"/>
        </w:rPr>
        <w:t>осіб.</w:t>
      </w:r>
    </w:p>
    <w:p w14:paraId="3EB76424" w14:textId="77777777" w:rsidR="00DE575E" w:rsidRDefault="002E7560">
      <w:pPr>
        <w:spacing w:before="5" w:line="252" w:lineRule="auto"/>
        <w:ind w:left="533" w:right="126" w:firstLine="283"/>
        <w:jc w:val="both"/>
        <w:rPr>
          <w:sz w:val="21"/>
        </w:rPr>
      </w:pPr>
      <w:r>
        <w:rPr>
          <w:color w:val="231F20"/>
          <w:sz w:val="21"/>
        </w:rPr>
        <w:t xml:space="preserve">Окремим видом подарунків, що можуть прийматися службов- цем, є </w:t>
      </w:r>
      <w:r>
        <w:rPr>
          <w:b/>
          <w:i/>
          <w:color w:val="231F20"/>
          <w:sz w:val="21"/>
        </w:rPr>
        <w:t>подарунки державі</w:t>
      </w:r>
      <w:r>
        <w:rPr>
          <w:color w:val="231F20"/>
          <w:sz w:val="21"/>
        </w:rPr>
        <w:t>, територіальній громаді, державним або ком</w:t>
      </w:r>
      <w:r>
        <w:rPr>
          <w:color w:val="231F20"/>
          <w:sz w:val="21"/>
        </w:rPr>
        <w:t>унальним</w:t>
      </w:r>
      <w:r>
        <w:rPr>
          <w:color w:val="231F20"/>
          <w:spacing w:val="-16"/>
          <w:sz w:val="21"/>
        </w:rPr>
        <w:t xml:space="preserve"> </w:t>
      </w:r>
      <w:r>
        <w:rPr>
          <w:color w:val="231F20"/>
          <w:sz w:val="21"/>
        </w:rPr>
        <w:t>підприємствам,</w:t>
      </w:r>
      <w:r>
        <w:rPr>
          <w:color w:val="231F20"/>
          <w:spacing w:val="-15"/>
          <w:sz w:val="21"/>
        </w:rPr>
        <w:t xml:space="preserve"> </w:t>
      </w:r>
      <w:r>
        <w:rPr>
          <w:color w:val="231F20"/>
          <w:sz w:val="21"/>
        </w:rPr>
        <w:t>установам</w:t>
      </w:r>
      <w:r>
        <w:rPr>
          <w:color w:val="231F20"/>
          <w:spacing w:val="-15"/>
          <w:sz w:val="21"/>
        </w:rPr>
        <w:t xml:space="preserve"> </w:t>
      </w:r>
      <w:r>
        <w:rPr>
          <w:color w:val="231F20"/>
          <w:sz w:val="21"/>
        </w:rPr>
        <w:t>чи</w:t>
      </w:r>
      <w:r>
        <w:rPr>
          <w:color w:val="231F20"/>
          <w:spacing w:val="-15"/>
          <w:sz w:val="21"/>
        </w:rPr>
        <w:t xml:space="preserve"> </w:t>
      </w:r>
      <w:r>
        <w:rPr>
          <w:color w:val="231F20"/>
          <w:sz w:val="21"/>
        </w:rPr>
        <w:t>організаціям.</w:t>
      </w:r>
      <w:r>
        <w:rPr>
          <w:color w:val="231F20"/>
          <w:spacing w:val="-16"/>
          <w:sz w:val="21"/>
        </w:rPr>
        <w:t xml:space="preserve"> </w:t>
      </w:r>
      <w:r>
        <w:rPr>
          <w:color w:val="231F20"/>
          <w:sz w:val="21"/>
        </w:rPr>
        <w:t>Вони</w:t>
      </w:r>
      <w:r>
        <w:rPr>
          <w:color w:val="231F20"/>
          <w:spacing w:val="-16"/>
          <w:sz w:val="21"/>
        </w:rPr>
        <w:t xml:space="preserve"> </w:t>
      </w:r>
      <w:r>
        <w:rPr>
          <w:color w:val="231F20"/>
          <w:sz w:val="21"/>
        </w:rPr>
        <w:t xml:space="preserve">дару- ються </w:t>
      </w:r>
      <w:r>
        <w:rPr>
          <w:i/>
          <w:color w:val="231F20"/>
          <w:sz w:val="21"/>
        </w:rPr>
        <w:t xml:space="preserve">з офіційної нагоди </w:t>
      </w:r>
      <w:r>
        <w:rPr>
          <w:color w:val="231F20"/>
          <w:sz w:val="21"/>
        </w:rPr>
        <w:t xml:space="preserve">(державне свято тощо); </w:t>
      </w:r>
      <w:r>
        <w:rPr>
          <w:i/>
          <w:color w:val="231F20"/>
          <w:sz w:val="21"/>
        </w:rPr>
        <w:t>у публічній обста- новці</w:t>
      </w:r>
      <w:r>
        <w:rPr>
          <w:color w:val="231F20"/>
          <w:sz w:val="21"/>
        </w:rPr>
        <w:t xml:space="preserve">; </w:t>
      </w:r>
      <w:r>
        <w:rPr>
          <w:i/>
          <w:color w:val="231F20"/>
          <w:sz w:val="21"/>
        </w:rPr>
        <w:t xml:space="preserve">приймаються лише особою, уповноваженою діяти від імені </w:t>
      </w:r>
      <w:r>
        <w:rPr>
          <w:color w:val="231F20"/>
          <w:sz w:val="21"/>
        </w:rPr>
        <w:t xml:space="preserve">держави, територіальної громади, органу та ін.; є публічною влас- ністю, а тому впродовж місяця </w:t>
      </w:r>
      <w:r>
        <w:rPr>
          <w:i/>
          <w:color w:val="231F20"/>
          <w:sz w:val="21"/>
        </w:rPr>
        <w:t xml:space="preserve">передаються </w:t>
      </w:r>
      <w:r>
        <w:rPr>
          <w:color w:val="231F20"/>
          <w:spacing w:val="-3"/>
          <w:sz w:val="21"/>
        </w:rPr>
        <w:t xml:space="preserve">органу, </w:t>
      </w:r>
      <w:r>
        <w:rPr>
          <w:color w:val="231F20"/>
          <w:sz w:val="21"/>
        </w:rPr>
        <w:t>підприємству, установі чи</w:t>
      </w:r>
      <w:r>
        <w:rPr>
          <w:color w:val="231F20"/>
          <w:spacing w:val="-2"/>
          <w:sz w:val="21"/>
        </w:rPr>
        <w:t xml:space="preserve"> </w:t>
      </w:r>
      <w:r>
        <w:rPr>
          <w:color w:val="231F20"/>
          <w:sz w:val="21"/>
        </w:rPr>
        <w:t>організації.</w:t>
      </w:r>
    </w:p>
    <w:p w14:paraId="1C89A1C1" w14:textId="77777777" w:rsidR="00DE575E" w:rsidRDefault="00DE575E">
      <w:pPr>
        <w:pStyle w:val="BodyText"/>
        <w:spacing w:before="8"/>
        <w:rPr>
          <w:sz w:val="12"/>
        </w:rPr>
      </w:pPr>
    </w:p>
    <w:p w14:paraId="670F396F" w14:textId="77777777" w:rsidR="00DE575E" w:rsidRDefault="002E7560">
      <w:pPr>
        <w:spacing w:before="92"/>
        <w:ind w:left="533"/>
        <w:rPr>
          <w:rFonts w:ascii="Times New Roman"/>
          <w:sz w:val="20"/>
        </w:rPr>
      </w:pPr>
      <w:r>
        <w:rPr>
          <w:rFonts w:ascii="Times New Roman"/>
          <w:color w:val="231F20"/>
          <w:sz w:val="20"/>
        </w:rPr>
        <w:t>412</w:t>
      </w:r>
    </w:p>
    <w:p w14:paraId="4E1B4CBC" w14:textId="77777777" w:rsidR="00DE575E" w:rsidRDefault="00DE575E">
      <w:pPr>
        <w:rPr>
          <w:rFonts w:ascii="Times New Roman"/>
          <w:sz w:val="20"/>
        </w:rPr>
        <w:sectPr w:rsidR="00DE575E">
          <w:pgSz w:w="8510" w:h="12760"/>
          <w:pgMar w:top="660" w:right="720" w:bottom="280" w:left="600" w:header="720" w:footer="720" w:gutter="0"/>
          <w:cols w:space="720"/>
        </w:sectPr>
      </w:pPr>
    </w:p>
    <w:p w14:paraId="085BBA57"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w:t>
      </w:r>
      <w:r>
        <w:rPr>
          <w:rFonts w:ascii="AdonisC" w:hAnsi="AdonisC"/>
          <w:i/>
          <w:color w:val="231F20"/>
          <w:sz w:val="18"/>
        </w:rPr>
        <w:t xml:space="preserve"> проявам у публічній службі</w:t>
      </w:r>
    </w:p>
    <w:p w14:paraId="4208609D" w14:textId="561F3C4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8304A4E" wp14:editId="26EC6659">
                <wp:extent cx="4140200" cy="6350"/>
                <wp:effectExtent l="0" t="0" r="12700" b="6350"/>
                <wp:docPr id="36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64" name="Line 3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6B8A37" id="Group_x0020_3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curu1/AgAAmAUAAA4A&#10;AAAAAAAAAAAAAAAALAIAAGRycy9lMm9Eb2MueG1sUEsBAi0AFAAGAAgAAAAhAEynsJDZAAAAAwEA&#10;AA8AAAAAAAAAAAAAAAAA1wQAAGRycy9kb3ducmV2LnhtbFBLBQYAAAAABAAEAPMAAADdBQAAAAA=&#10;">
                <v:line id="Line_x0020_3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TEN8YAAADcAAAADwAAAGRycy9kb3ducmV2LnhtbESP3WrCQBSE74W+w3IKvRHdtBGR6Cql&#10;UCi98C8+wDF7TEJ3z8bsatI+fVcQvBxm5htmseqtEVdqfe1Ywes4AUFcOF1zqeCQf45mIHxA1mgc&#10;k4Jf8rBaPg0WmGnX8Y6u+1CKCGGfoYIqhCaT0hcVWfRj1xBH7+RaiyHKtpS6xS7CrZFvSTKVFmuO&#10;CxU29FFR8bO/WAX5eRjMdvNtunxzTOXxvE7/LmulXp779zmIQH14hO/tL60gnU7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kxDfGAAAA3AAAAA8AAAAAAAAA&#10;AAAAAAAAoQIAAGRycy9kb3ducmV2LnhtbFBLBQYAAAAABAAEAPkAAACUAwAAAAA=&#10;" strokecolor="#231f20" strokeweight=".5pt"/>
                <w10:anchorlock/>
              </v:group>
            </w:pict>
          </mc:Fallback>
        </mc:AlternateContent>
      </w:r>
    </w:p>
    <w:p w14:paraId="566F4C0A" w14:textId="77777777" w:rsidR="00DE575E" w:rsidRDefault="00DE575E">
      <w:pPr>
        <w:pStyle w:val="BodyText"/>
        <w:spacing w:before="7"/>
        <w:rPr>
          <w:rFonts w:ascii="AdonisC"/>
          <w:i/>
          <w:sz w:val="19"/>
        </w:rPr>
      </w:pPr>
    </w:p>
    <w:p w14:paraId="06C4EFC8" w14:textId="77777777" w:rsidR="00DE575E" w:rsidRDefault="002E7560">
      <w:pPr>
        <w:pStyle w:val="BodyText"/>
        <w:spacing w:before="1" w:line="252" w:lineRule="auto"/>
        <w:ind w:left="250" w:right="411" w:firstLine="283"/>
        <w:jc w:val="both"/>
      </w:pPr>
      <w:r>
        <w:rPr>
          <w:color w:val="231F20"/>
        </w:rPr>
        <w:t>Згідно з правилами запобігання одержанню неправомірної вигоди або подарунка публічний службовець у разі надходження відповідної пропозиції зобов’язаний невідкладно вжити чотирьох заходів:</w:t>
      </w:r>
    </w:p>
    <w:p w14:paraId="4C2F7E75" w14:textId="77777777" w:rsidR="00DE575E" w:rsidRDefault="002E7560">
      <w:pPr>
        <w:pStyle w:val="ListParagraph"/>
        <w:numPr>
          <w:ilvl w:val="0"/>
          <w:numId w:val="79"/>
        </w:numPr>
        <w:tabs>
          <w:tab w:val="left" w:pos="818"/>
        </w:tabs>
        <w:spacing w:before="2"/>
        <w:ind w:firstLine="283"/>
        <w:rPr>
          <w:sz w:val="21"/>
        </w:rPr>
      </w:pPr>
      <w:r>
        <w:rPr>
          <w:color w:val="231F20"/>
          <w:sz w:val="21"/>
        </w:rPr>
        <w:t>відмовитися від</w:t>
      </w:r>
      <w:r>
        <w:rPr>
          <w:color w:val="231F20"/>
          <w:spacing w:val="-3"/>
          <w:sz w:val="21"/>
        </w:rPr>
        <w:t xml:space="preserve"> </w:t>
      </w:r>
      <w:r>
        <w:rPr>
          <w:color w:val="231F20"/>
          <w:sz w:val="21"/>
        </w:rPr>
        <w:t>пропозиції;</w:t>
      </w:r>
    </w:p>
    <w:p w14:paraId="55132E30" w14:textId="77777777" w:rsidR="00DE575E" w:rsidRDefault="002E7560">
      <w:pPr>
        <w:pStyle w:val="ListParagraph"/>
        <w:numPr>
          <w:ilvl w:val="0"/>
          <w:numId w:val="79"/>
        </w:numPr>
        <w:tabs>
          <w:tab w:val="left" w:pos="818"/>
        </w:tabs>
        <w:spacing w:before="12"/>
        <w:ind w:firstLine="283"/>
        <w:rPr>
          <w:sz w:val="21"/>
        </w:rPr>
      </w:pPr>
      <w:r>
        <w:rPr>
          <w:color w:val="231F20"/>
          <w:sz w:val="21"/>
        </w:rPr>
        <w:t xml:space="preserve">за можливості ідентифікувати </w:t>
      </w:r>
      <w:r>
        <w:rPr>
          <w:color w:val="231F20"/>
          <w:spacing w:val="-3"/>
          <w:sz w:val="21"/>
        </w:rPr>
        <w:t xml:space="preserve">особу, </w:t>
      </w:r>
      <w:r>
        <w:rPr>
          <w:color w:val="231F20"/>
          <w:sz w:val="21"/>
        </w:rPr>
        <w:t>яка її</w:t>
      </w:r>
      <w:r>
        <w:rPr>
          <w:color w:val="231F20"/>
          <w:spacing w:val="-2"/>
          <w:sz w:val="21"/>
        </w:rPr>
        <w:t xml:space="preserve"> </w:t>
      </w:r>
      <w:r>
        <w:rPr>
          <w:color w:val="231F20"/>
          <w:sz w:val="21"/>
        </w:rPr>
        <w:t>зробила;</w:t>
      </w:r>
    </w:p>
    <w:p w14:paraId="5BDFBF8D" w14:textId="77777777" w:rsidR="00DE575E" w:rsidRDefault="002E7560">
      <w:pPr>
        <w:pStyle w:val="ListParagraph"/>
        <w:numPr>
          <w:ilvl w:val="0"/>
          <w:numId w:val="79"/>
        </w:numPr>
        <w:tabs>
          <w:tab w:val="left" w:pos="818"/>
        </w:tabs>
        <w:spacing w:before="13"/>
        <w:ind w:firstLine="283"/>
        <w:rPr>
          <w:sz w:val="21"/>
        </w:rPr>
      </w:pPr>
      <w:r>
        <w:rPr>
          <w:color w:val="231F20"/>
          <w:sz w:val="21"/>
        </w:rPr>
        <w:t>залучити свідків, якщо це можливо, зокрема зі</w:t>
      </w:r>
      <w:r>
        <w:rPr>
          <w:color w:val="231F20"/>
          <w:spacing w:val="-22"/>
          <w:sz w:val="21"/>
        </w:rPr>
        <w:t xml:space="preserve"> </w:t>
      </w:r>
      <w:r>
        <w:rPr>
          <w:color w:val="231F20"/>
          <w:sz w:val="21"/>
        </w:rPr>
        <w:t>співробітників;</w:t>
      </w:r>
    </w:p>
    <w:p w14:paraId="31C47571" w14:textId="77777777" w:rsidR="00DE575E" w:rsidRDefault="002E7560">
      <w:pPr>
        <w:pStyle w:val="ListParagraph"/>
        <w:numPr>
          <w:ilvl w:val="0"/>
          <w:numId w:val="79"/>
        </w:numPr>
        <w:tabs>
          <w:tab w:val="left" w:pos="818"/>
        </w:tabs>
        <w:spacing w:before="13" w:line="252" w:lineRule="auto"/>
        <w:ind w:right="410" w:firstLine="283"/>
        <w:jc w:val="both"/>
        <w:rPr>
          <w:sz w:val="21"/>
        </w:rPr>
      </w:pPr>
      <w:r>
        <w:rPr>
          <w:color w:val="231F20"/>
          <w:sz w:val="21"/>
        </w:rPr>
        <w:t xml:space="preserve">письмово повідомити про пропозицію безпосереднього керів- ника (за наявності) або керівника відповідного </w:t>
      </w:r>
      <w:r>
        <w:rPr>
          <w:color w:val="231F20"/>
          <w:spacing w:val="-3"/>
          <w:sz w:val="21"/>
        </w:rPr>
        <w:t xml:space="preserve">органу, </w:t>
      </w:r>
      <w:r>
        <w:rPr>
          <w:color w:val="231F20"/>
          <w:sz w:val="21"/>
        </w:rPr>
        <w:t xml:space="preserve">спеціально уповноважених </w:t>
      </w:r>
      <w:r>
        <w:rPr>
          <w:color w:val="231F20"/>
          <w:spacing w:val="-3"/>
          <w:sz w:val="21"/>
        </w:rPr>
        <w:t xml:space="preserve">суб’єктів </w:t>
      </w:r>
      <w:r>
        <w:rPr>
          <w:color w:val="231F20"/>
          <w:sz w:val="21"/>
        </w:rPr>
        <w:t>у сфері протидії</w:t>
      </w:r>
      <w:r>
        <w:rPr>
          <w:color w:val="231F20"/>
          <w:spacing w:val="-3"/>
          <w:sz w:val="21"/>
        </w:rPr>
        <w:t xml:space="preserve"> </w:t>
      </w:r>
      <w:r>
        <w:rPr>
          <w:color w:val="231F20"/>
          <w:sz w:val="21"/>
        </w:rPr>
        <w:t>корупції.</w:t>
      </w:r>
    </w:p>
    <w:p w14:paraId="58DA3522" w14:textId="77777777" w:rsidR="00DE575E" w:rsidRDefault="002E7560">
      <w:pPr>
        <w:pStyle w:val="BodyText"/>
        <w:spacing w:before="2" w:line="252" w:lineRule="auto"/>
        <w:ind w:left="250" w:right="411" w:firstLine="283"/>
        <w:jc w:val="both"/>
      </w:pPr>
      <w:r>
        <w:rPr>
          <w:color w:val="231F20"/>
        </w:rPr>
        <w:t>Якщ</w:t>
      </w:r>
      <w:r>
        <w:rPr>
          <w:color w:val="231F20"/>
        </w:rPr>
        <w:t xml:space="preserve">о ж службовець виявив у своєму службовому приміщенні чи отримав майно, що може бути неправомірною вигодою або заборо- неним подарунком, він зобов’язаний невідкладно, але не пізніше одного робочого дня письмово повідомити про цей факт свого безпосереднього </w:t>
      </w:r>
      <w:r>
        <w:rPr>
          <w:color w:val="231F20"/>
        </w:rPr>
        <w:t>керівника або керівника відповідного органу.</w:t>
      </w:r>
    </w:p>
    <w:p w14:paraId="46354553" w14:textId="77777777" w:rsidR="00DE575E" w:rsidRDefault="002E7560">
      <w:pPr>
        <w:pStyle w:val="BodyText"/>
        <w:spacing w:before="2" w:line="252" w:lineRule="auto"/>
        <w:ind w:left="250" w:right="410" w:firstLine="283"/>
        <w:jc w:val="both"/>
      </w:pPr>
      <w:r>
        <w:rPr>
          <w:b/>
          <w:i/>
          <w:color w:val="231F20"/>
        </w:rPr>
        <w:t xml:space="preserve">Відповідальність за порушення обмежень щодо одержання подарунків </w:t>
      </w:r>
      <w:r>
        <w:rPr>
          <w:color w:val="231F20"/>
        </w:rPr>
        <w:t xml:space="preserve">публічними службовцями передбачена </w:t>
      </w:r>
      <w:r>
        <w:rPr>
          <w:color w:val="231F20"/>
          <w:spacing w:val="-6"/>
        </w:rPr>
        <w:t xml:space="preserve">ст. </w:t>
      </w:r>
      <w:r>
        <w:rPr>
          <w:color w:val="231F20"/>
        </w:rPr>
        <w:t xml:space="preserve">172-5 </w:t>
      </w:r>
      <w:r>
        <w:rPr>
          <w:color w:val="231F20"/>
          <w:spacing w:val="-3"/>
        </w:rPr>
        <w:t xml:space="preserve">КУпАП. </w:t>
      </w:r>
      <w:r>
        <w:rPr>
          <w:color w:val="231F20"/>
        </w:rPr>
        <w:t>За вчинення правопорушення вперше до публічного службовця застосовується штраф і конфіскація о</w:t>
      </w:r>
      <w:r>
        <w:rPr>
          <w:color w:val="231F20"/>
        </w:rPr>
        <w:t xml:space="preserve">держаного подарунку (ч. 1); за повторне (упродовж року) вчинення проступку: підвищений розмір </w:t>
      </w:r>
      <w:r>
        <w:rPr>
          <w:color w:val="231F20"/>
          <w:spacing w:val="-3"/>
        </w:rPr>
        <w:t xml:space="preserve">штрафу, </w:t>
      </w:r>
      <w:r>
        <w:rPr>
          <w:color w:val="231F20"/>
        </w:rPr>
        <w:t>конфіскація одержаного подарунку та позбавлення права обіймати</w:t>
      </w:r>
      <w:r>
        <w:rPr>
          <w:color w:val="231F20"/>
          <w:spacing w:val="-9"/>
        </w:rPr>
        <w:t xml:space="preserve"> </w:t>
      </w:r>
      <w:r>
        <w:rPr>
          <w:color w:val="231F20"/>
        </w:rPr>
        <w:t>певні</w:t>
      </w:r>
      <w:r>
        <w:rPr>
          <w:color w:val="231F20"/>
          <w:spacing w:val="-9"/>
        </w:rPr>
        <w:t xml:space="preserve"> </w:t>
      </w:r>
      <w:r>
        <w:rPr>
          <w:color w:val="231F20"/>
        </w:rPr>
        <w:t>посади</w:t>
      </w:r>
      <w:r>
        <w:rPr>
          <w:color w:val="231F20"/>
          <w:spacing w:val="-9"/>
        </w:rPr>
        <w:t xml:space="preserve"> </w:t>
      </w:r>
      <w:r>
        <w:rPr>
          <w:color w:val="231F20"/>
        </w:rPr>
        <w:t>або</w:t>
      </w:r>
      <w:r>
        <w:rPr>
          <w:color w:val="231F20"/>
          <w:spacing w:val="-9"/>
        </w:rPr>
        <w:t xml:space="preserve"> </w:t>
      </w:r>
      <w:r>
        <w:rPr>
          <w:color w:val="231F20"/>
        </w:rPr>
        <w:t>займатися</w:t>
      </w:r>
      <w:r>
        <w:rPr>
          <w:color w:val="231F20"/>
          <w:spacing w:val="-9"/>
        </w:rPr>
        <w:t xml:space="preserve"> </w:t>
      </w:r>
      <w:r>
        <w:rPr>
          <w:color w:val="231F20"/>
        </w:rPr>
        <w:t>певною</w:t>
      </w:r>
      <w:r>
        <w:rPr>
          <w:color w:val="231F20"/>
          <w:spacing w:val="-9"/>
        </w:rPr>
        <w:t xml:space="preserve"> </w:t>
      </w:r>
      <w:r>
        <w:rPr>
          <w:color w:val="231F20"/>
        </w:rPr>
        <w:t>діяльністю</w:t>
      </w:r>
      <w:r>
        <w:rPr>
          <w:color w:val="231F20"/>
          <w:spacing w:val="-9"/>
        </w:rPr>
        <w:t xml:space="preserve"> </w:t>
      </w:r>
      <w:r>
        <w:rPr>
          <w:color w:val="231F20"/>
        </w:rPr>
        <w:t>строком</w:t>
      </w:r>
      <w:r>
        <w:rPr>
          <w:color w:val="231F20"/>
          <w:spacing w:val="-9"/>
        </w:rPr>
        <w:t xml:space="preserve"> </w:t>
      </w:r>
      <w:r>
        <w:rPr>
          <w:color w:val="231F20"/>
        </w:rPr>
        <w:t>на один рік (ч.</w:t>
      </w:r>
      <w:r>
        <w:rPr>
          <w:color w:val="231F20"/>
          <w:spacing w:val="-8"/>
        </w:rPr>
        <w:t xml:space="preserve"> </w:t>
      </w:r>
      <w:r>
        <w:rPr>
          <w:color w:val="231F20"/>
        </w:rPr>
        <w:t>2).</w:t>
      </w:r>
    </w:p>
    <w:p w14:paraId="04B1512E" w14:textId="77777777" w:rsidR="00DE575E" w:rsidRDefault="002E7560">
      <w:pPr>
        <w:pStyle w:val="BodyText"/>
        <w:spacing w:before="4"/>
        <w:ind w:left="533"/>
      </w:pPr>
      <w:r>
        <w:rPr>
          <w:color w:val="231F20"/>
        </w:rPr>
        <w:t>Щодо цього слід ві</w:t>
      </w:r>
      <w:r>
        <w:rPr>
          <w:color w:val="231F20"/>
        </w:rPr>
        <w:t>дзначити таке:</w:t>
      </w:r>
    </w:p>
    <w:p w14:paraId="218404E4" w14:textId="77777777" w:rsidR="00DE575E" w:rsidRDefault="002E7560">
      <w:pPr>
        <w:pStyle w:val="BodyText"/>
        <w:spacing w:before="13" w:line="252" w:lineRule="auto"/>
        <w:ind w:left="250" w:right="409" w:firstLine="283"/>
        <w:jc w:val="both"/>
      </w:pPr>
      <w:r>
        <w:rPr>
          <w:b/>
          <w:color w:val="231F20"/>
        </w:rPr>
        <w:t>По-перше</w:t>
      </w:r>
      <w:r>
        <w:rPr>
          <w:color w:val="231F20"/>
        </w:rPr>
        <w:t xml:space="preserve">, конфіскація подарунку не завжди може бути застосо- вана, адже якщо подарованими </w:t>
      </w:r>
      <w:r>
        <w:rPr>
          <w:color w:val="231F20"/>
          <w:spacing w:val="-3"/>
        </w:rPr>
        <w:t xml:space="preserve">були </w:t>
      </w:r>
      <w:r>
        <w:rPr>
          <w:color w:val="231F20"/>
        </w:rPr>
        <w:t xml:space="preserve">споживчі товари, то на момент </w:t>
      </w:r>
      <w:r>
        <w:rPr>
          <w:color w:val="231F20"/>
          <w:spacing w:val="-3"/>
        </w:rPr>
        <w:t xml:space="preserve">розгляду </w:t>
      </w:r>
      <w:r>
        <w:rPr>
          <w:color w:val="231F20"/>
        </w:rPr>
        <w:t>й вирішення справи вони часто вже не існують, а адміні- стративно-деліктне законодавство не передбачає меха</w:t>
      </w:r>
      <w:r>
        <w:rPr>
          <w:color w:val="231F20"/>
        </w:rPr>
        <w:t xml:space="preserve">нізму заміни конфіскації сплатою вартості речей, що  мали  бути  конфісковані  (у таких випадках </w:t>
      </w:r>
      <w:r>
        <w:rPr>
          <w:color w:val="231F20"/>
          <w:spacing w:val="-4"/>
        </w:rPr>
        <w:t xml:space="preserve">суд </w:t>
      </w:r>
      <w:r>
        <w:rPr>
          <w:color w:val="231F20"/>
        </w:rPr>
        <w:t>зазначає про відсутність можливості застосу- вати один із видів</w:t>
      </w:r>
      <w:r>
        <w:rPr>
          <w:color w:val="231F20"/>
          <w:spacing w:val="-4"/>
        </w:rPr>
        <w:t xml:space="preserve"> </w:t>
      </w:r>
      <w:r>
        <w:rPr>
          <w:color w:val="231F20"/>
        </w:rPr>
        <w:t>стягнення).</w:t>
      </w:r>
    </w:p>
    <w:p w14:paraId="60BC54A0" w14:textId="77777777" w:rsidR="00DE575E" w:rsidRDefault="002E7560">
      <w:pPr>
        <w:pStyle w:val="BodyText"/>
        <w:spacing w:before="3" w:line="252" w:lineRule="auto"/>
        <w:ind w:left="250" w:right="410" w:firstLine="283"/>
        <w:jc w:val="both"/>
      </w:pPr>
      <w:r>
        <w:rPr>
          <w:b/>
          <w:color w:val="231F20"/>
        </w:rPr>
        <w:t>По-друге</w:t>
      </w:r>
      <w:r>
        <w:rPr>
          <w:color w:val="231F20"/>
        </w:rPr>
        <w:t xml:space="preserve">, ч. 2 </w:t>
      </w:r>
      <w:r>
        <w:rPr>
          <w:color w:val="231F20"/>
          <w:spacing w:val="-6"/>
        </w:rPr>
        <w:t xml:space="preserve">ст. </w:t>
      </w:r>
      <w:r>
        <w:rPr>
          <w:color w:val="231F20"/>
        </w:rPr>
        <w:t xml:space="preserve">172-5 </w:t>
      </w:r>
      <w:r>
        <w:rPr>
          <w:color w:val="231F20"/>
          <w:spacing w:val="-3"/>
        </w:rPr>
        <w:t xml:space="preserve">КУпАП </w:t>
      </w:r>
      <w:r>
        <w:rPr>
          <w:color w:val="231F20"/>
        </w:rPr>
        <w:t xml:space="preserve">передбачає одночасне безальтер- нативне застосування трьох стягнень за  одне  правопорушення,  що прямо суперечить змісту ч. 2 </w:t>
      </w:r>
      <w:r>
        <w:rPr>
          <w:color w:val="231F20"/>
          <w:spacing w:val="-6"/>
        </w:rPr>
        <w:t xml:space="preserve">ст. </w:t>
      </w:r>
      <w:r>
        <w:rPr>
          <w:color w:val="231F20"/>
        </w:rPr>
        <w:t xml:space="preserve">25 </w:t>
      </w:r>
      <w:r>
        <w:rPr>
          <w:color w:val="231F20"/>
          <w:spacing w:val="-3"/>
        </w:rPr>
        <w:t xml:space="preserve">КУпАП: </w:t>
      </w:r>
      <w:r>
        <w:rPr>
          <w:color w:val="231F20"/>
        </w:rPr>
        <w:t>«за одне адміністра- тивне правопорушення може бути накладено основне або основне  і додаткове стягнення». Зазначен</w:t>
      </w:r>
      <w:r>
        <w:rPr>
          <w:color w:val="231F20"/>
        </w:rPr>
        <w:t>е ілюструє недоліки нормотворчої техніки та фрагментарність розвитку адміністративно-деліктного законодавства, але не нівелює потреби застосування такої потрій- ної санкції.</w:t>
      </w:r>
    </w:p>
    <w:p w14:paraId="34076800" w14:textId="77777777" w:rsidR="00DE575E" w:rsidRDefault="00DE575E">
      <w:pPr>
        <w:pStyle w:val="BodyText"/>
        <w:spacing w:before="8"/>
        <w:rPr>
          <w:sz w:val="12"/>
        </w:rPr>
      </w:pPr>
    </w:p>
    <w:p w14:paraId="1B2D94BB" w14:textId="77777777" w:rsidR="00DE575E" w:rsidRDefault="002E7560">
      <w:pPr>
        <w:spacing w:before="92"/>
        <w:ind w:right="411"/>
        <w:jc w:val="right"/>
        <w:rPr>
          <w:rFonts w:ascii="Times New Roman"/>
          <w:sz w:val="20"/>
        </w:rPr>
      </w:pPr>
      <w:r>
        <w:rPr>
          <w:rFonts w:ascii="Times New Roman"/>
          <w:color w:val="231F20"/>
          <w:w w:val="90"/>
          <w:sz w:val="20"/>
        </w:rPr>
        <w:t>413</w:t>
      </w:r>
    </w:p>
    <w:p w14:paraId="3EAF7D6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D6AF6D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B8B8951" w14:textId="7CB1253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C740C2A" wp14:editId="4FD0148C">
                <wp:extent cx="4140200" cy="6350"/>
                <wp:effectExtent l="0" t="0" r="12700" b="6350"/>
                <wp:docPr id="361"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62" name="Line 3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25CA71" id="Group_x0020_3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DHGjU34CAACYBQAADgAA&#10;AAAAAAAAAAAAAAAsAgAAZHJzL2Uyb0RvYy54bWxQSwECLQAUAAYACAAAACEATKewkNkAAAADAQAA&#10;DwAAAAAAAAAAAAAAAADWBAAAZHJzL2Rvd25yZXYueG1sUEsFBgAAAAAEAAQA8wAAANwFAAAAAA==&#10;">
                <v:line id="Line_x0020_3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H52MYAAADcAAAADwAAAGRycy9kb3ducmV2LnhtbESP0WrCQBRE3wX/YblCX6RuakAkdRUR&#10;CuKDWuMHXLO3Seju3ZhdTdqv7woFH4eZOcMsVr014k6trx0reJskIIgLp2suFZzzj9c5CB+QNRrH&#10;pOCHPKyWw8ECM+06/qT7KZQiQthnqKAKocmk9EVFFv3ENcTR+3KtxRBlW0rdYhfh1shpksykxZrj&#10;QoUNbSoqvk83qyC/joM5Hnamyw+XVF6u+/T3tlfqZdSv30EE6sMz/N/eagXpbAqPM/EI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gB+djGAAAA3AAAAA8AAAAAAAAA&#10;AAAAAAAAoQIAAGRycy9kb3ducmV2LnhtbFBLBQYAAAAABAAEAPkAAACUAwAAAAA=&#10;" strokecolor="#231f20" strokeweight=".5pt"/>
                <w10:anchorlock/>
              </v:group>
            </w:pict>
          </mc:Fallback>
        </mc:AlternateContent>
      </w:r>
    </w:p>
    <w:p w14:paraId="731FB6B9" w14:textId="77777777" w:rsidR="00DE575E" w:rsidRDefault="00DE575E">
      <w:pPr>
        <w:pStyle w:val="BodyText"/>
        <w:spacing w:before="7"/>
        <w:rPr>
          <w:rFonts w:ascii="AdonisC"/>
          <w:i/>
          <w:sz w:val="11"/>
        </w:rPr>
      </w:pPr>
    </w:p>
    <w:p w14:paraId="22B1D04B" w14:textId="77777777" w:rsidR="00DE575E" w:rsidRDefault="002E7560">
      <w:pPr>
        <w:pStyle w:val="BodyText"/>
        <w:spacing w:before="101" w:line="252" w:lineRule="auto"/>
        <w:ind w:left="533" w:right="127" w:firstLine="283"/>
        <w:jc w:val="both"/>
      </w:pPr>
      <w:r>
        <w:rPr>
          <w:b/>
          <w:color w:val="231F20"/>
        </w:rPr>
        <w:t>По-третє</w:t>
      </w:r>
      <w:r>
        <w:rPr>
          <w:color w:val="231F20"/>
        </w:rPr>
        <w:t>, позбавлення права обіймати певні посади або займа- тися певною діяльністю може бути застосоване не до всіх видів публічних службовців. Адже державні службовці при первинному вчиненн</w:t>
      </w:r>
      <w:r>
        <w:rPr>
          <w:color w:val="231F20"/>
        </w:rPr>
        <w:t>і</w:t>
      </w:r>
      <w:r>
        <w:rPr>
          <w:color w:val="231F20"/>
          <w:spacing w:val="-10"/>
        </w:rPr>
        <w:t xml:space="preserve"> </w:t>
      </w:r>
      <w:r>
        <w:rPr>
          <w:color w:val="231F20"/>
        </w:rPr>
        <w:t>розглядуваного</w:t>
      </w:r>
      <w:r>
        <w:rPr>
          <w:color w:val="231F20"/>
          <w:spacing w:val="-10"/>
        </w:rPr>
        <w:t xml:space="preserve"> </w:t>
      </w:r>
      <w:r>
        <w:rPr>
          <w:color w:val="231F20"/>
        </w:rPr>
        <w:t>виду</w:t>
      </w:r>
      <w:r>
        <w:rPr>
          <w:color w:val="231F20"/>
          <w:spacing w:val="-10"/>
        </w:rPr>
        <w:t xml:space="preserve"> </w:t>
      </w:r>
      <w:r>
        <w:rPr>
          <w:color w:val="231F20"/>
        </w:rPr>
        <w:t>адміністративного</w:t>
      </w:r>
      <w:r>
        <w:rPr>
          <w:color w:val="231F20"/>
          <w:spacing w:val="-10"/>
        </w:rPr>
        <w:t xml:space="preserve"> </w:t>
      </w:r>
      <w:r>
        <w:rPr>
          <w:color w:val="231F20"/>
        </w:rPr>
        <w:t xml:space="preserve">правопорушення, пов’язаного з корупцією, </w:t>
      </w:r>
      <w:r>
        <w:rPr>
          <w:color w:val="231F20"/>
          <w:spacing w:val="-3"/>
        </w:rPr>
        <w:t xml:space="preserve">будуть  </w:t>
      </w:r>
      <w:r>
        <w:rPr>
          <w:color w:val="231F20"/>
        </w:rPr>
        <w:t>звільнені  зі  служби  та  обмежені в</w:t>
      </w:r>
      <w:r>
        <w:rPr>
          <w:color w:val="231F20"/>
          <w:spacing w:val="-19"/>
        </w:rPr>
        <w:t xml:space="preserve"> </w:t>
      </w:r>
      <w:r>
        <w:rPr>
          <w:color w:val="231F20"/>
        </w:rPr>
        <w:t>реалізації</w:t>
      </w:r>
      <w:r>
        <w:rPr>
          <w:color w:val="231F20"/>
          <w:spacing w:val="-19"/>
        </w:rPr>
        <w:t xml:space="preserve"> </w:t>
      </w:r>
      <w:r>
        <w:rPr>
          <w:color w:val="231F20"/>
        </w:rPr>
        <w:t>права</w:t>
      </w:r>
      <w:r>
        <w:rPr>
          <w:color w:val="231F20"/>
          <w:spacing w:val="-19"/>
        </w:rPr>
        <w:t xml:space="preserve"> </w:t>
      </w:r>
      <w:r>
        <w:rPr>
          <w:color w:val="231F20"/>
        </w:rPr>
        <w:t>на</w:t>
      </w:r>
      <w:r>
        <w:rPr>
          <w:color w:val="231F20"/>
          <w:spacing w:val="-19"/>
        </w:rPr>
        <w:t xml:space="preserve"> </w:t>
      </w:r>
      <w:r>
        <w:rPr>
          <w:color w:val="231F20"/>
        </w:rPr>
        <w:t>державну</w:t>
      </w:r>
      <w:r>
        <w:rPr>
          <w:color w:val="231F20"/>
          <w:spacing w:val="-19"/>
        </w:rPr>
        <w:t xml:space="preserve"> </w:t>
      </w:r>
      <w:r>
        <w:rPr>
          <w:color w:val="231F20"/>
        </w:rPr>
        <w:t>службу</w:t>
      </w:r>
      <w:r>
        <w:rPr>
          <w:color w:val="231F20"/>
          <w:spacing w:val="-19"/>
        </w:rPr>
        <w:t xml:space="preserve"> </w:t>
      </w:r>
      <w:r>
        <w:rPr>
          <w:color w:val="231F20"/>
        </w:rPr>
        <w:t>строком</w:t>
      </w:r>
      <w:r>
        <w:rPr>
          <w:color w:val="231F20"/>
          <w:spacing w:val="-19"/>
        </w:rPr>
        <w:t xml:space="preserve"> </w:t>
      </w:r>
      <w:r>
        <w:rPr>
          <w:color w:val="231F20"/>
        </w:rPr>
        <w:t>та</w:t>
      </w:r>
      <w:r>
        <w:rPr>
          <w:color w:val="231F20"/>
          <w:spacing w:val="-19"/>
        </w:rPr>
        <w:t xml:space="preserve"> </w:t>
      </w:r>
      <w:r>
        <w:rPr>
          <w:color w:val="231F20"/>
        </w:rPr>
        <w:t>три</w:t>
      </w:r>
      <w:r>
        <w:rPr>
          <w:color w:val="231F20"/>
          <w:spacing w:val="-19"/>
        </w:rPr>
        <w:t xml:space="preserve"> </w:t>
      </w:r>
      <w:r>
        <w:rPr>
          <w:color w:val="231F20"/>
        </w:rPr>
        <w:t>роки.</w:t>
      </w:r>
      <w:r>
        <w:rPr>
          <w:color w:val="231F20"/>
          <w:spacing w:val="-19"/>
        </w:rPr>
        <w:t xml:space="preserve"> </w:t>
      </w:r>
      <w:r>
        <w:rPr>
          <w:color w:val="231F20"/>
          <w:spacing w:val="-4"/>
        </w:rPr>
        <w:t>Тобто</w:t>
      </w:r>
      <w:r>
        <w:rPr>
          <w:color w:val="231F20"/>
          <w:spacing w:val="-19"/>
        </w:rPr>
        <w:t xml:space="preserve"> </w:t>
      </w:r>
      <w:r>
        <w:rPr>
          <w:color w:val="231F20"/>
        </w:rPr>
        <w:t>для таких осіб повторне вчинення упродовж року проступку є виключе- ним,</w:t>
      </w:r>
      <w:r>
        <w:rPr>
          <w:color w:val="231F20"/>
          <w:spacing w:val="-17"/>
        </w:rPr>
        <w:t xml:space="preserve"> </w:t>
      </w:r>
      <w:r>
        <w:rPr>
          <w:color w:val="231F20"/>
        </w:rPr>
        <w:t>адже</w:t>
      </w:r>
      <w:r>
        <w:rPr>
          <w:color w:val="231F20"/>
          <w:spacing w:val="-17"/>
        </w:rPr>
        <w:t xml:space="preserve"> </w:t>
      </w:r>
      <w:r>
        <w:rPr>
          <w:color w:val="231F20"/>
        </w:rPr>
        <w:t>вже</w:t>
      </w:r>
      <w:r>
        <w:rPr>
          <w:color w:val="231F20"/>
          <w:spacing w:val="-17"/>
        </w:rPr>
        <w:t xml:space="preserve"> </w:t>
      </w:r>
      <w:r>
        <w:rPr>
          <w:color w:val="231F20"/>
        </w:rPr>
        <w:t>після</w:t>
      </w:r>
      <w:r>
        <w:rPr>
          <w:color w:val="231F20"/>
          <w:spacing w:val="-17"/>
        </w:rPr>
        <w:t xml:space="preserve"> </w:t>
      </w:r>
      <w:r>
        <w:rPr>
          <w:color w:val="231F20"/>
        </w:rPr>
        <w:t>первинного</w:t>
      </w:r>
      <w:r>
        <w:rPr>
          <w:color w:val="231F20"/>
          <w:spacing w:val="-17"/>
        </w:rPr>
        <w:t xml:space="preserve"> </w:t>
      </w:r>
      <w:r>
        <w:rPr>
          <w:color w:val="231F20"/>
        </w:rPr>
        <w:t>правопорушення</w:t>
      </w:r>
      <w:r>
        <w:rPr>
          <w:color w:val="231F20"/>
          <w:spacing w:val="-17"/>
        </w:rPr>
        <w:t xml:space="preserve"> </w:t>
      </w:r>
      <w:r>
        <w:rPr>
          <w:color w:val="231F20"/>
        </w:rPr>
        <w:t>вони</w:t>
      </w:r>
      <w:r>
        <w:rPr>
          <w:color w:val="231F20"/>
          <w:spacing w:val="-17"/>
        </w:rPr>
        <w:t xml:space="preserve"> </w:t>
      </w:r>
      <w:r>
        <w:rPr>
          <w:color w:val="231F20"/>
        </w:rPr>
        <w:t>втратять</w:t>
      </w:r>
      <w:r>
        <w:rPr>
          <w:color w:val="231F20"/>
          <w:spacing w:val="-17"/>
        </w:rPr>
        <w:t xml:space="preserve"> </w:t>
      </w:r>
      <w:r>
        <w:rPr>
          <w:color w:val="231F20"/>
        </w:rPr>
        <w:t xml:space="preserve">свій статус публічного службовця. Виходячи з цього, ч. 2 </w:t>
      </w:r>
      <w:r>
        <w:rPr>
          <w:color w:val="231F20"/>
          <w:spacing w:val="-6"/>
        </w:rPr>
        <w:t xml:space="preserve">ст. </w:t>
      </w:r>
      <w:r>
        <w:rPr>
          <w:color w:val="231F20"/>
        </w:rPr>
        <w:t xml:space="preserve">172-5 </w:t>
      </w:r>
      <w:r>
        <w:rPr>
          <w:color w:val="231F20"/>
          <w:spacing w:val="-3"/>
        </w:rPr>
        <w:t xml:space="preserve">КУпАП </w:t>
      </w:r>
      <w:r>
        <w:rPr>
          <w:color w:val="231F20"/>
        </w:rPr>
        <w:t>може застосовуватися лише щодо публічних службовців, дл</w:t>
      </w:r>
      <w:r>
        <w:rPr>
          <w:color w:val="231F20"/>
        </w:rPr>
        <w:t>я яких не передбачено припису про безумовне звільнення вразі вчинення адміністративного</w:t>
      </w:r>
      <w:r>
        <w:rPr>
          <w:color w:val="231F20"/>
          <w:spacing w:val="-12"/>
        </w:rPr>
        <w:t xml:space="preserve"> </w:t>
      </w:r>
      <w:r>
        <w:rPr>
          <w:color w:val="231F20"/>
        </w:rPr>
        <w:t>проступку,</w:t>
      </w:r>
      <w:r>
        <w:rPr>
          <w:color w:val="231F20"/>
          <w:spacing w:val="-12"/>
        </w:rPr>
        <w:t xml:space="preserve"> </w:t>
      </w:r>
      <w:r>
        <w:rPr>
          <w:color w:val="231F20"/>
        </w:rPr>
        <w:t>що</w:t>
      </w:r>
      <w:r>
        <w:rPr>
          <w:color w:val="231F20"/>
          <w:spacing w:val="-12"/>
        </w:rPr>
        <w:t xml:space="preserve"> </w:t>
      </w:r>
      <w:r>
        <w:rPr>
          <w:color w:val="231F20"/>
        </w:rPr>
        <w:t>пов’язаний</w:t>
      </w:r>
      <w:r>
        <w:rPr>
          <w:color w:val="231F20"/>
          <w:spacing w:val="-12"/>
        </w:rPr>
        <w:t xml:space="preserve"> </w:t>
      </w:r>
      <w:r>
        <w:rPr>
          <w:color w:val="231F20"/>
        </w:rPr>
        <w:t>з</w:t>
      </w:r>
      <w:r>
        <w:rPr>
          <w:color w:val="231F20"/>
          <w:spacing w:val="-12"/>
        </w:rPr>
        <w:t xml:space="preserve"> </w:t>
      </w:r>
      <w:r>
        <w:rPr>
          <w:color w:val="231F20"/>
        </w:rPr>
        <w:t>корупцією</w:t>
      </w:r>
      <w:r>
        <w:rPr>
          <w:color w:val="231F20"/>
          <w:spacing w:val="-12"/>
        </w:rPr>
        <w:t xml:space="preserve"> </w:t>
      </w:r>
      <w:r>
        <w:rPr>
          <w:color w:val="231F20"/>
        </w:rPr>
        <w:t>(напр.,</w:t>
      </w:r>
      <w:r>
        <w:rPr>
          <w:color w:val="231F20"/>
          <w:spacing w:val="-12"/>
        </w:rPr>
        <w:t xml:space="preserve"> </w:t>
      </w:r>
      <w:r>
        <w:rPr>
          <w:color w:val="231F20"/>
        </w:rPr>
        <w:t>для депутатів місцевих</w:t>
      </w:r>
      <w:r>
        <w:rPr>
          <w:color w:val="231F20"/>
          <w:spacing w:val="-2"/>
        </w:rPr>
        <w:t xml:space="preserve"> </w:t>
      </w:r>
      <w:r>
        <w:rPr>
          <w:color w:val="231F20"/>
        </w:rPr>
        <w:t>рад).</w:t>
      </w:r>
    </w:p>
    <w:p w14:paraId="1A90951B" w14:textId="77777777" w:rsidR="00DE575E" w:rsidRDefault="00DE575E">
      <w:pPr>
        <w:pStyle w:val="BodyText"/>
        <w:rPr>
          <w:sz w:val="24"/>
        </w:rPr>
      </w:pPr>
    </w:p>
    <w:p w14:paraId="37B4E7B4" w14:textId="77777777" w:rsidR="00DE575E" w:rsidRDefault="00DE575E">
      <w:pPr>
        <w:pStyle w:val="BodyText"/>
        <w:spacing w:before="9"/>
        <w:rPr>
          <w:sz w:val="19"/>
        </w:rPr>
      </w:pPr>
    </w:p>
    <w:p w14:paraId="3229B564" w14:textId="77777777" w:rsidR="00DE575E" w:rsidRDefault="002E7560">
      <w:pPr>
        <w:pStyle w:val="Heading4"/>
        <w:numPr>
          <w:ilvl w:val="1"/>
          <w:numId w:val="83"/>
        </w:numPr>
        <w:tabs>
          <w:tab w:val="left" w:pos="2395"/>
        </w:tabs>
        <w:ind w:left="2394" w:hanging="410"/>
        <w:jc w:val="left"/>
      </w:pPr>
      <w:r>
        <w:rPr>
          <w:color w:val="231F20"/>
        </w:rPr>
        <w:t xml:space="preserve">Обмеження </w:t>
      </w:r>
      <w:r>
        <w:rPr>
          <w:color w:val="231F20"/>
          <w:spacing w:val="-3"/>
        </w:rPr>
        <w:t>щодо</w:t>
      </w:r>
      <w:r>
        <w:rPr>
          <w:color w:val="231F20"/>
          <w:spacing w:val="-1"/>
        </w:rPr>
        <w:t xml:space="preserve"> </w:t>
      </w:r>
      <w:r>
        <w:rPr>
          <w:color w:val="231F20"/>
        </w:rPr>
        <w:t>сумісництва</w:t>
      </w:r>
    </w:p>
    <w:p w14:paraId="05207E5F" w14:textId="77777777" w:rsidR="00DE575E" w:rsidRDefault="002E7560">
      <w:pPr>
        <w:spacing w:before="1"/>
        <w:ind w:left="1545"/>
        <w:rPr>
          <w:b/>
        </w:rPr>
      </w:pPr>
      <w:r>
        <w:rPr>
          <w:b/>
          <w:color w:val="231F20"/>
        </w:rPr>
        <w:t>та суміщення з іншими видами діяльності</w:t>
      </w:r>
    </w:p>
    <w:p w14:paraId="4A9CA919" w14:textId="77777777" w:rsidR="00DE575E" w:rsidRDefault="00DE575E">
      <w:pPr>
        <w:pStyle w:val="BodyText"/>
        <w:rPr>
          <w:b/>
          <w:sz w:val="26"/>
        </w:rPr>
      </w:pPr>
    </w:p>
    <w:p w14:paraId="771012D3" w14:textId="77777777" w:rsidR="00DE575E" w:rsidRDefault="002E7560">
      <w:pPr>
        <w:pStyle w:val="BodyText"/>
        <w:spacing w:before="223" w:line="252" w:lineRule="auto"/>
        <w:ind w:left="533" w:right="128" w:firstLine="283"/>
        <w:jc w:val="both"/>
      </w:pPr>
      <w:r>
        <w:rPr>
          <w:color w:val="231F20"/>
        </w:rPr>
        <w:t>Відповідно до ст. 25 Закону «Про запобігання корупції» публіч- ним службовцям забороняється:</w:t>
      </w:r>
    </w:p>
    <w:p w14:paraId="3EAF1453" w14:textId="77777777" w:rsidR="00DE575E" w:rsidRDefault="002E7560">
      <w:pPr>
        <w:pStyle w:val="ListParagraph"/>
        <w:numPr>
          <w:ilvl w:val="0"/>
          <w:numId w:val="78"/>
        </w:numPr>
        <w:tabs>
          <w:tab w:val="left" w:pos="1101"/>
        </w:tabs>
        <w:spacing w:line="252" w:lineRule="auto"/>
        <w:ind w:right="126" w:firstLine="284"/>
        <w:rPr>
          <w:sz w:val="21"/>
        </w:rPr>
      </w:pPr>
      <w:r>
        <w:rPr>
          <w:color w:val="231F20"/>
          <w:sz w:val="21"/>
        </w:rPr>
        <w:t>займатися іншою оплачуваною (крім викладацької, наукової та</w:t>
      </w:r>
      <w:r>
        <w:rPr>
          <w:color w:val="231F20"/>
          <w:spacing w:val="-10"/>
          <w:sz w:val="21"/>
        </w:rPr>
        <w:t xml:space="preserve"> </w:t>
      </w:r>
      <w:r>
        <w:rPr>
          <w:color w:val="231F20"/>
          <w:sz w:val="21"/>
        </w:rPr>
        <w:t>творчої</w:t>
      </w:r>
      <w:r>
        <w:rPr>
          <w:color w:val="231F20"/>
          <w:spacing w:val="-10"/>
          <w:sz w:val="21"/>
        </w:rPr>
        <w:t xml:space="preserve"> </w:t>
      </w:r>
      <w:r>
        <w:rPr>
          <w:color w:val="231F20"/>
          <w:sz w:val="21"/>
        </w:rPr>
        <w:t>діяльності,</w:t>
      </w:r>
      <w:r>
        <w:rPr>
          <w:color w:val="231F20"/>
          <w:spacing w:val="-10"/>
          <w:sz w:val="21"/>
        </w:rPr>
        <w:t xml:space="preserve"> </w:t>
      </w:r>
      <w:r>
        <w:rPr>
          <w:color w:val="231F20"/>
          <w:sz w:val="21"/>
        </w:rPr>
        <w:t>медичної</w:t>
      </w:r>
      <w:r>
        <w:rPr>
          <w:color w:val="231F20"/>
          <w:spacing w:val="-10"/>
          <w:sz w:val="21"/>
        </w:rPr>
        <w:t xml:space="preserve"> </w:t>
      </w:r>
      <w:r>
        <w:rPr>
          <w:color w:val="231F20"/>
          <w:sz w:val="21"/>
        </w:rPr>
        <w:t>практики,</w:t>
      </w:r>
      <w:r>
        <w:rPr>
          <w:color w:val="231F20"/>
          <w:spacing w:val="-10"/>
          <w:sz w:val="21"/>
        </w:rPr>
        <w:t xml:space="preserve"> </w:t>
      </w:r>
      <w:r>
        <w:rPr>
          <w:color w:val="231F20"/>
          <w:sz w:val="21"/>
        </w:rPr>
        <w:t>інструкторської</w:t>
      </w:r>
      <w:r>
        <w:rPr>
          <w:color w:val="231F20"/>
          <w:spacing w:val="-10"/>
          <w:sz w:val="21"/>
        </w:rPr>
        <w:t xml:space="preserve"> </w:t>
      </w:r>
      <w:r>
        <w:rPr>
          <w:color w:val="231F20"/>
          <w:sz w:val="21"/>
        </w:rPr>
        <w:t>та</w:t>
      </w:r>
      <w:r>
        <w:rPr>
          <w:color w:val="231F20"/>
          <w:spacing w:val="-10"/>
          <w:sz w:val="21"/>
        </w:rPr>
        <w:t xml:space="preserve"> </w:t>
      </w:r>
      <w:r>
        <w:rPr>
          <w:color w:val="231F20"/>
          <w:spacing w:val="-3"/>
          <w:sz w:val="21"/>
        </w:rPr>
        <w:t xml:space="preserve">суддів- </w:t>
      </w:r>
      <w:r>
        <w:rPr>
          <w:color w:val="231F20"/>
          <w:sz w:val="21"/>
        </w:rPr>
        <w:t>ської практики зі спорту) або підприє</w:t>
      </w:r>
      <w:r>
        <w:rPr>
          <w:color w:val="231F20"/>
          <w:sz w:val="21"/>
        </w:rPr>
        <w:t>мницькою</w:t>
      </w:r>
      <w:r>
        <w:rPr>
          <w:color w:val="231F20"/>
          <w:spacing w:val="-11"/>
          <w:sz w:val="21"/>
        </w:rPr>
        <w:t xml:space="preserve"> </w:t>
      </w:r>
      <w:r>
        <w:rPr>
          <w:color w:val="231F20"/>
          <w:sz w:val="21"/>
        </w:rPr>
        <w:t>діяльністю;</w:t>
      </w:r>
    </w:p>
    <w:p w14:paraId="5DAB8EBD" w14:textId="77777777" w:rsidR="00DE575E" w:rsidRDefault="002E7560">
      <w:pPr>
        <w:pStyle w:val="ListParagraph"/>
        <w:numPr>
          <w:ilvl w:val="0"/>
          <w:numId w:val="78"/>
        </w:numPr>
        <w:tabs>
          <w:tab w:val="left" w:pos="1101"/>
        </w:tabs>
        <w:spacing w:before="2" w:line="252" w:lineRule="auto"/>
        <w:ind w:right="125" w:firstLine="284"/>
        <w:rPr>
          <w:sz w:val="21"/>
        </w:rPr>
      </w:pPr>
      <w:r>
        <w:rPr>
          <w:color w:val="231F20"/>
          <w:sz w:val="21"/>
        </w:rPr>
        <w:t>входити до складу правління, інших виконавчих чи контроль- них органів, наглядової ради підприємства або організації, що має на меті одержання прибутку (крім випадків, коли особи здійсню- ють функції з управління акціями (частками, паями), що належать держ</w:t>
      </w:r>
      <w:r>
        <w:rPr>
          <w:color w:val="231F20"/>
          <w:sz w:val="21"/>
        </w:rPr>
        <w:t>аві чи територіальній громаді, та представляють інтереси держави</w:t>
      </w:r>
      <w:r>
        <w:rPr>
          <w:color w:val="231F20"/>
          <w:spacing w:val="-8"/>
          <w:sz w:val="21"/>
        </w:rPr>
        <w:t xml:space="preserve"> </w:t>
      </w:r>
      <w:r>
        <w:rPr>
          <w:color w:val="231F20"/>
          <w:sz w:val="21"/>
        </w:rPr>
        <w:t>чи</w:t>
      </w:r>
      <w:r>
        <w:rPr>
          <w:color w:val="231F20"/>
          <w:spacing w:val="-8"/>
          <w:sz w:val="21"/>
        </w:rPr>
        <w:t xml:space="preserve"> </w:t>
      </w:r>
      <w:r>
        <w:rPr>
          <w:color w:val="231F20"/>
          <w:sz w:val="21"/>
        </w:rPr>
        <w:t>територіальної</w:t>
      </w:r>
      <w:r>
        <w:rPr>
          <w:color w:val="231F20"/>
          <w:spacing w:val="-8"/>
          <w:sz w:val="21"/>
        </w:rPr>
        <w:t xml:space="preserve"> </w:t>
      </w:r>
      <w:r>
        <w:rPr>
          <w:color w:val="231F20"/>
          <w:sz w:val="21"/>
        </w:rPr>
        <w:t>громади</w:t>
      </w:r>
      <w:r>
        <w:rPr>
          <w:color w:val="231F20"/>
          <w:spacing w:val="-8"/>
          <w:sz w:val="21"/>
        </w:rPr>
        <w:t xml:space="preserve"> </w:t>
      </w:r>
      <w:r>
        <w:rPr>
          <w:color w:val="231F20"/>
          <w:sz w:val="21"/>
        </w:rPr>
        <w:t>в</w:t>
      </w:r>
      <w:r>
        <w:rPr>
          <w:color w:val="231F20"/>
          <w:spacing w:val="-10"/>
          <w:sz w:val="21"/>
        </w:rPr>
        <w:t xml:space="preserve"> </w:t>
      </w:r>
      <w:r>
        <w:rPr>
          <w:color w:val="231F20"/>
          <w:sz w:val="21"/>
        </w:rPr>
        <w:t>раді</w:t>
      </w:r>
      <w:r>
        <w:rPr>
          <w:color w:val="231F20"/>
          <w:spacing w:val="-8"/>
          <w:sz w:val="21"/>
        </w:rPr>
        <w:t xml:space="preserve"> </w:t>
      </w:r>
      <w:r>
        <w:rPr>
          <w:color w:val="231F20"/>
          <w:sz w:val="21"/>
        </w:rPr>
        <w:t>(спостережній</w:t>
      </w:r>
      <w:r>
        <w:rPr>
          <w:color w:val="231F20"/>
          <w:spacing w:val="-8"/>
          <w:sz w:val="21"/>
        </w:rPr>
        <w:t xml:space="preserve"> </w:t>
      </w:r>
      <w:r>
        <w:rPr>
          <w:color w:val="231F20"/>
          <w:sz w:val="21"/>
        </w:rPr>
        <w:t>раді),</w:t>
      </w:r>
      <w:r>
        <w:rPr>
          <w:color w:val="231F20"/>
          <w:spacing w:val="-8"/>
          <w:sz w:val="21"/>
        </w:rPr>
        <w:t xml:space="preserve"> </w:t>
      </w:r>
      <w:r>
        <w:rPr>
          <w:color w:val="231F20"/>
          <w:sz w:val="21"/>
        </w:rPr>
        <w:t>реві- зійній комісії господарської</w:t>
      </w:r>
      <w:r>
        <w:rPr>
          <w:color w:val="231F20"/>
          <w:spacing w:val="-2"/>
          <w:sz w:val="21"/>
        </w:rPr>
        <w:t xml:space="preserve"> </w:t>
      </w:r>
      <w:r>
        <w:rPr>
          <w:color w:val="231F20"/>
          <w:sz w:val="21"/>
        </w:rPr>
        <w:t>організації).</w:t>
      </w:r>
    </w:p>
    <w:p w14:paraId="198FD9A8" w14:textId="77777777" w:rsidR="00DE575E" w:rsidRDefault="002E7560">
      <w:pPr>
        <w:pStyle w:val="BodyText"/>
        <w:spacing w:before="3" w:line="252" w:lineRule="auto"/>
        <w:ind w:left="533" w:right="127" w:firstLine="283"/>
        <w:jc w:val="both"/>
      </w:pPr>
      <w:r>
        <w:rPr>
          <w:color w:val="231F20"/>
        </w:rPr>
        <w:t xml:space="preserve">Із цих </w:t>
      </w:r>
      <w:r>
        <w:rPr>
          <w:color w:val="231F20"/>
          <w:spacing w:val="-3"/>
        </w:rPr>
        <w:t xml:space="preserve">правил </w:t>
      </w:r>
      <w:r>
        <w:rPr>
          <w:color w:val="231F20"/>
          <w:spacing w:val="-4"/>
        </w:rPr>
        <w:t xml:space="preserve">існує </w:t>
      </w:r>
      <w:r>
        <w:rPr>
          <w:i/>
          <w:color w:val="231F20"/>
        </w:rPr>
        <w:t xml:space="preserve">два </w:t>
      </w:r>
      <w:r>
        <w:rPr>
          <w:i/>
          <w:color w:val="231F20"/>
          <w:spacing w:val="-3"/>
        </w:rPr>
        <w:t>винятки</w:t>
      </w:r>
      <w:r>
        <w:rPr>
          <w:color w:val="231F20"/>
          <w:spacing w:val="-3"/>
        </w:rPr>
        <w:t xml:space="preserve">. По-перше, вони </w:t>
      </w:r>
      <w:r>
        <w:rPr>
          <w:color w:val="231F20"/>
        </w:rPr>
        <w:t xml:space="preserve">не </w:t>
      </w:r>
      <w:r>
        <w:rPr>
          <w:color w:val="231F20"/>
          <w:spacing w:val="-3"/>
        </w:rPr>
        <w:t xml:space="preserve">поширю- ються </w:t>
      </w:r>
      <w:r>
        <w:rPr>
          <w:color w:val="231F20"/>
        </w:rPr>
        <w:t xml:space="preserve">на </w:t>
      </w:r>
      <w:r>
        <w:rPr>
          <w:color w:val="231F20"/>
          <w:spacing w:val="-3"/>
        </w:rPr>
        <w:t xml:space="preserve">депутатів Верховної </w:t>
      </w:r>
      <w:r>
        <w:rPr>
          <w:color w:val="231F20"/>
          <w:spacing w:val="-4"/>
        </w:rPr>
        <w:t xml:space="preserve">Ради </w:t>
      </w:r>
      <w:r>
        <w:rPr>
          <w:color w:val="231F20"/>
        </w:rPr>
        <w:t xml:space="preserve">Автономної </w:t>
      </w:r>
      <w:r>
        <w:rPr>
          <w:color w:val="231F20"/>
          <w:spacing w:val="-4"/>
        </w:rPr>
        <w:t xml:space="preserve">Республіки </w:t>
      </w:r>
      <w:r>
        <w:rPr>
          <w:color w:val="231F20"/>
          <w:spacing w:val="-3"/>
        </w:rPr>
        <w:t xml:space="preserve">Крим, депутатів місцевих </w:t>
      </w:r>
      <w:r>
        <w:rPr>
          <w:color w:val="231F20"/>
        </w:rPr>
        <w:t xml:space="preserve">рад </w:t>
      </w:r>
      <w:r>
        <w:rPr>
          <w:color w:val="231F20"/>
          <w:spacing w:val="-3"/>
        </w:rPr>
        <w:t xml:space="preserve">(крім тих, </w:t>
      </w:r>
      <w:r>
        <w:rPr>
          <w:color w:val="231F20"/>
        </w:rPr>
        <w:t xml:space="preserve">які </w:t>
      </w:r>
      <w:r>
        <w:rPr>
          <w:color w:val="231F20"/>
          <w:spacing w:val="-3"/>
        </w:rPr>
        <w:t xml:space="preserve">здійснюють свої </w:t>
      </w:r>
      <w:r>
        <w:rPr>
          <w:color w:val="231F20"/>
          <w:spacing w:val="-4"/>
        </w:rPr>
        <w:t xml:space="preserve">повноваження </w:t>
      </w:r>
      <w:r>
        <w:rPr>
          <w:color w:val="231F20"/>
        </w:rPr>
        <w:t xml:space="preserve">у </w:t>
      </w:r>
      <w:r>
        <w:rPr>
          <w:color w:val="231F20"/>
          <w:spacing w:val="-3"/>
        </w:rPr>
        <w:t xml:space="preserve">відповідній </w:t>
      </w:r>
      <w:r>
        <w:rPr>
          <w:color w:val="231F20"/>
        </w:rPr>
        <w:t xml:space="preserve">раді на </w:t>
      </w:r>
      <w:r>
        <w:rPr>
          <w:color w:val="231F20"/>
          <w:spacing w:val="-3"/>
        </w:rPr>
        <w:t xml:space="preserve">постійній </w:t>
      </w:r>
      <w:r>
        <w:rPr>
          <w:color w:val="231F20"/>
        </w:rPr>
        <w:t xml:space="preserve">основі), </w:t>
      </w:r>
      <w:r>
        <w:rPr>
          <w:color w:val="231F20"/>
          <w:spacing w:val="-3"/>
        </w:rPr>
        <w:t xml:space="preserve">присяжних </w:t>
      </w:r>
      <w:r>
        <w:rPr>
          <w:color w:val="231F20"/>
        </w:rPr>
        <w:t xml:space="preserve">і </w:t>
      </w:r>
      <w:r>
        <w:rPr>
          <w:color w:val="231F20"/>
          <w:spacing w:val="-3"/>
        </w:rPr>
        <w:t xml:space="preserve">патронатних парламентських службовців </w:t>
      </w:r>
      <w:r>
        <w:rPr>
          <w:color w:val="231F20"/>
          <w:spacing w:val="-4"/>
        </w:rPr>
        <w:t xml:space="preserve">(консультантів народних </w:t>
      </w:r>
      <w:r>
        <w:rPr>
          <w:color w:val="231F20"/>
          <w:spacing w:val="-3"/>
        </w:rPr>
        <w:t xml:space="preserve">депутатів, працівників секретаріатів спікера </w:t>
      </w:r>
      <w:r>
        <w:rPr>
          <w:color w:val="231F20"/>
        </w:rPr>
        <w:t xml:space="preserve">чи  його  </w:t>
      </w:r>
      <w:r>
        <w:rPr>
          <w:color w:val="231F20"/>
          <w:spacing w:val="-3"/>
        </w:rPr>
        <w:t xml:space="preserve">заступників,  працівни- </w:t>
      </w:r>
      <w:r>
        <w:rPr>
          <w:color w:val="231F20"/>
        </w:rPr>
        <w:t xml:space="preserve">ків </w:t>
      </w:r>
      <w:r>
        <w:rPr>
          <w:color w:val="231F20"/>
          <w:spacing w:val="-3"/>
        </w:rPr>
        <w:t xml:space="preserve">секретаріатів депутатських фракцій/груп). По-друге, </w:t>
      </w:r>
      <w:r>
        <w:rPr>
          <w:color w:val="231F20"/>
          <w:spacing w:val="-4"/>
        </w:rPr>
        <w:t xml:space="preserve">Конститу- </w:t>
      </w:r>
      <w:r>
        <w:rPr>
          <w:color w:val="231F20"/>
        </w:rPr>
        <w:t>ція</w:t>
      </w:r>
      <w:r>
        <w:rPr>
          <w:color w:val="231F20"/>
          <w:spacing w:val="26"/>
        </w:rPr>
        <w:t xml:space="preserve"> </w:t>
      </w:r>
      <w:r>
        <w:rPr>
          <w:color w:val="231F20"/>
          <w:spacing w:val="-5"/>
        </w:rPr>
        <w:t>України</w:t>
      </w:r>
      <w:r>
        <w:rPr>
          <w:color w:val="231F20"/>
          <w:spacing w:val="26"/>
        </w:rPr>
        <w:t xml:space="preserve"> </w:t>
      </w:r>
      <w:r>
        <w:rPr>
          <w:color w:val="231F20"/>
          <w:spacing w:val="-7"/>
        </w:rPr>
        <w:t>(ст.</w:t>
      </w:r>
      <w:r>
        <w:rPr>
          <w:color w:val="231F20"/>
          <w:spacing w:val="-11"/>
        </w:rPr>
        <w:t xml:space="preserve"> </w:t>
      </w:r>
      <w:r>
        <w:rPr>
          <w:color w:val="231F20"/>
          <w:spacing w:val="-8"/>
        </w:rPr>
        <w:t>ст.</w:t>
      </w:r>
      <w:r>
        <w:rPr>
          <w:color w:val="231F20"/>
          <w:spacing w:val="-11"/>
        </w:rPr>
        <w:t xml:space="preserve"> </w:t>
      </w:r>
      <w:r>
        <w:rPr>
          <w:color w:val="231F20"/>
        </w:rPr>
        <w:t>78,</w:t>
      </w:r>
      <w:r>
        <w:rPr>
          <w:color w:val="231F20"/>
          <w:spacing w:val="26"/>
        </w:rPr>
        <w:t xml:space="preserve"> </w:t>
      </w:r>
      <w:r>
        <w:rPr>
          <w:color w:val="231F20"/>
        </w:rPr>
        <w:t>120,</w:t>
      </w:r>
      <w:r>
        <w:rPr>
          <w:color w:val="231F20"/>
          <w:spacing w:val="26"/>
        </w:rPr>
        <w:t xml:space="preserve"> </w:t>
      </w:r>
      <w:r>
        <w:rPr>
          <w:color w:val="231F20"/>
        </w:rPr>
        <w:t>127,</w:t>
      </w:r>
      <w:r>
        <w:rPr>
          <w:color w:val="231F20"/>
          <w:spacing w:val="26"/>
        </w:rPr>
        <w:t xml:space="preserve"> </w:t>
      </w:r>
      <w:r>
        <w:rPr>
          <w:color w:val="231F20"/>
        </w:rPr>
        <w:t>131,</w:t>
      </w:r>
      <w:r>
        <w:rPr>
          <w:color w:val="231F20"/>
          <w:spacing w:val="26"/>
        </w:rPr>
        <w:t xml:space="preserve"> </w:t>
      </w:r>
      <w:r>
        <w:rPr>
          <w:color w:val="231F20"/>
        </w:rPr>
        <w:t>148)</w:t>
      </w:r>
      <w:r>
        <w:rPr>
          <w:color w:val="231F20"/>
          <w:spacing w:val="26"/>
        </w:rPr>
        <w:t xml:space="preserve"> </w:t>
      </w:r>
      <w:r>
        <w:rPr>
          <w:color w:val="231F20"/>
          <w:spacing w:val="-3"/>
        </w:rPr>
        <w:t>передбачає</w:t>
      </w:r>
      <w:r>
        <w:rPr>
          <w:color w:val="231F20"/>
          <w:spacing w:val="26"/>
        </w:rPr>
        <w:t xml:space="preserve"> </w:t>
      </w:r>
      <w:r>
        <w:rPr>
          <w:color w:val="231F20"/>
          <w:spacing w:val="-3"/>
        </w:rPr>
        <w:t>обмежувальне</w:t>
      </w:r>
    </w:p>
    <w:p w14:paraId="3E9DB236" w14:textId="77777777" w:rsidR="00DE575E" w:rsidRDefault="00DE575E">
      <w:pPr>
        <w:pStyle w:val="BodyText"/>
        <w:spacing w:before="10"/>
        <w:rPr>
          <w:sz w:val="12"/>
        </w:rPr>
      </w:pPr>
    </w:p>
    <w:p w14:paraId="42CA9397" w14:textId="77777777" w:rsidR="00DE575E" w:rsidRDefault="002E7560">
      <w:pPr>
        <w:spacing w:before="92"/>
        <w:ind w:left="533"/>
        <w:rPr>
          <w:rFonts w:ascii="Times New Roman"/>
          <w:sz w:val="20"/>
        </w:rPr>
      </w:pPr>
      <w:r>
        <w:rPr>
          <w:rFonts w:ascii="Times New Roman"/>
          <w:color w:val="231F20"/>
          <w:sz w:val="20"/>
        </w:rPr>
        <w:t>414</w:t>
      </w:r>
    </w:p>
    <w:p w14:paraId="708CD6C1" w14:textId="77777777" w:rsidR="00DE575E" w:rsidRDefault="00DE575E">
      <w:pPr>
        <w:rPr>
          <w:rFonts w:ascii="Times New Roman"/>
          <w:sz w:val="20"/>
        </w:rPr>
        <w:sectPr w:rsidR="00DE575E">
          <w:pgSz w:w="8510" w:h="12760"/>
          <w:pgMar w:top="660" w:right="720" w:bottom="280" w:left="600" w:header="720" w:footer="720" w:gutter="0"/>
          <w:cols w:space="720"/>
        </w:sectPr>
      </w:pPr>
    </w:p>
    <w:p w14:paraId="66178E37"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w:t>
      </w:r>
      <w:r>
        <w:rPr>
          <w:rFonts w:ascii="AdonisC" w:hAnsi="AdonisC"/>
          <w:i/>
          <w:color w:val="231F20"/>
          <w:sz w:val="18"/>
        </w:rPr>
        <w:t>істративне право/ Книга І Розділ 4. Запобігання корупційним проявам у публічній службі</w:t>
      </w:r>
    </w:p>
    <w:p w14:paraId="30B7C799" w14:textId="785DDE6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2091BFC" wp14:editId="7ADFD791">
                <wp:extent cx="4140200" cy="6350"/>
                <wp:effectExtent l="0" t="0" r="12700" b="6350"/>
                <wp:docPr id="35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60" name="Line 35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9383D2" id="Group_x0020_35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fskAK4ECAACYBQAA&#10;DgAAAAAAAAAAAAAAAAAsAgAAZHJzL2Uyb0RvYy54bWxQSwECLQAUAAYACAAAACEATKewkNkAAAAD&#10;AQAADwAAAAAAAAAAAAAAAADZBAAAZHJzL2Rvd25yZXYueG1sUEsFBgAAAAAEAAQA8wAAAN8FAAAA&#10;AA==&#10;">
                <v:line id="Line_x0020_35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CNMIAAADcAAAADwAAAGRycy9kb3ducmV2LnhtbERP3WrCMBS+H/gO4QjeDE23gkg1igjC&#10;2IVu1gc4Nse2mJzUJtrq05uLwS4/vv/FqrdG3Kn1tWMFH5MEBHHhdM2lgmO+Hc9A+ICs0TgmBQ/y&#10;sFoO3haYadfxL90PoRQxhH2GCqoQmkxKX1Rk0U9cQxy5s2sthgjbUuoWuxhujfxMkqm0WHNsqLCh&#10;TUXF5XCzCvLrezA/+2/T5ftTKk/XXfq87ZQaDfv1HESgPvyL/9xfWkE6jfPj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5/CNMIAAADcAAAADwAAAAAAAAAAAAAA&#10;AAChAgAAZHJzL2Rvd25yZXYueG1sUEsFBgAAAAAEAAQA+QAAAJADAAAAAA==&#10;" strokecolor="#231f20" strokeweight=".5pt"/>
                <w10:anchorlock/>
              </v:group>
            </w:pict>
          </mc:Fallback>
        </mc:AlternateContent>
      </w:r>
    </w:p>
    <w:p w14:paraId="1570F67A" w14:textId="77777777" w:rsidR="00DE575E" w:rsidRDefault="00DE575E">
      <w:pPr>
        <w:pStyle w:val="BodyText"/>
        <w:spacing w:before="7"/>
        <w:rPr>
          <w:rFonts w:ascii="AdonisC"/>
          <w:i/>
          <w:sz w:val="19"/>
        </w:rPr>
      </w:pPr>
    </w:p>
    <w:p w14:paraId="29AC5B25" w14:textId="77777777" w:rsidR="00DE575E" w:rsidRDefault="002E7560">
      <w:pPr>
        <w:pStyle w:val="BodyText"/>
        <w:spacing w:before="1" w:line="252" w:lineRule="auto"/>
        <w:ind w:left="250" w:right="411"/>
        <w:jc w:val="both"/>
      </w:pPr>
      <w:r>
        <w:rPr>
          <w:color w:val="231F20"/>
          <w:spacing w:val="-3"/>
        </w:rPr>
        <w:t xml:space="preserve">(без права </w:t>
      </w:r>
      <w:r>
        <w:rPr>
          <w:color w:val="231F20"/>
        </w:rPr>
        <w:t xml:space="preserve">на </w:t>
      </w:r>
      <w:r>
        <w:rPr>
          <w:color w:val="231F20"/>
          <w:spacing w:val="-3"/>
        </w:rPr>
        <w:t xml:space="preserve">медичну </w:t>
      </w:r>
      <w:r>
        <w:rPr>
          <w:color w:val="231F20"/>
          <w:spacing w:val="-5"/>
        </w:rPr>
        <w:t xml:space="preserve">практику, </w:t>
      </w:r>
      <w:r>
        <w:rPr>
          <w:color w:val="231F20"/>
          <w:spacing w:val="-3"/>
        </w:rPr>
        <w:t xml:space="preserve">спортивне інструкторство </w:t>
      </w:r>
      <w:r>
        <w:rPr>
          <w:color w:val="231F20"/>
        </w:rPr>
        <w:t xml:space="preserve">та </w:t>
      </w:r>
      <w:r>
        <w:rPr>
          <w:color w:val="231F20"/>
          <w:spacing w:val="-5"/>
        </w:rPr>
        <w:t xml:space="preserve">суддів- </w:t>
      </w:r>
      <w:r>
        <w:rPr>
          <w:color w:val="231F20"/>
          <w:spacing w:val="-3"/>
        </w:rPr>
        <w:t xml:space="preserve">ство) </w:t>
      </w:r>
      <w:r>
        <w:rPr>
          <w:color w:val="231F20"/>
          <w:spacing w:val="-4"/>
        </w:rPr>
        <w:t xml:space="preserve">формулювання </w:t>
      </w:r>
      <w:r>
        <w:rPr>
          <w:color w:val="231F20"/>
          <w:spacing w:val="-3"/>
        </w:rPr>
        <w:t xml:space="preserve">сумісництва </w:t>
      </w:r>
      <w:r>
        <w:rPr>
          <w:color w:val="231F20"/>
        </w:rPr>
        <w:t xml:space="preserve">для </w:t>
      </w:r>
      <w:r>
        <w:rPr>
          <w:color w:val="231F20"/>
          <w:spacing w:val="-4"/>
        </w:rPr>
        <w:t xml:space="preserve">народних </w:t>
      </w:r>
      <w:r>
        <w:rPr>
          <w:color w:val="231F20"/>
          <w:spacing w:val="-3"/>
        </w:rPr>
        <w:t xml:space="preserve">депутатів, членів </w:t>
      </w:r>
      <w:r>
        <w:rPr>
          <w:color w:val="231F20"/>
          <w:spacing w:val="-7"/>
        </w:rPr>
        <w:t xml:space="preserve">Уряду, </w:t>
      </w:r>
      <w:r>
        <w:rPr>
          <w:color w:val="231F20"/>
          <w:spacing w:val="-3"/>
        </w:rPr>
        <w:t xml:space="preserve">керівників центральних </w:t>
      </w:r>
      <w:r>
        <w:rPr>
          <w:color w:val="231F20"/>
        </w:rPr>
        <w:t xml:space="preserve">та </w:t>
      </w:r>
      <w:r>
        <w:rPr>
          <w:color w:val="231F20"/>
          <w:spacing w:val="-3"/>
        </w:rPr>
        <w:t xml:space="preserve">місцевих органів виконавчої влади, </w:t>
      </w:r>
      <w:r>
        <w:rPr>
          <w:color w:val="231F20"/>
          <w:spacing w:val="-5"/>
        </w:rPr>
        <w:t xml:space="preserve">суддів, </w:t>
      </w:r>
      <w:r>
        <w:rPr>
          <w:color w:val="231F20"/>
        </w:rPr>
        <w:t xml:space="preserve">членів </w:t>
      </w:r>
      <w:r>
        <w:rPr>
          <w:color w:val="231F20"/>
          <w:spacing w:val="-3"/>
        </w:rPr>
        <w:t xml:space="preserve">Вищої </w:t>
      </w:r>
      <w:r>
        <w:rPr>
          <w:color w:val="231F20"/>
        </w:rPr>
        <w:t xml:space="preserve">ради </w:t>
      </w:r>
      <w:r>
        <w:rPr>
          <w:color w:val="231F20"/>
          <w:spacing w:val="-4"/>
        </w:rPr>
        <w:t xml:space="preserve">правосуддя, </w:t>
      </w:r>
      <w:r>
        <w:rPr>
          <w:color w:val="231F20"/>
          <w:spacing w:val="-5"/>
        </w:rPr>
        <w:t xml:space="preserve">суддів </w:t>
      </w:r>
      <w:r>
        <w:rPr>
          <w:color w:val="231F20"/>
          <w:spacing w:val="-12"/>
        </w:rPr>
        <w:t xml:space="preserve">КСУ. </w:t>
      </w:r>
      <w:r>
        <w:rPr>
          <w:color w:val="231F20"/>
          <w:spacing w:val="-3"/>
        </w:rPr>
        <w:t xml:space="preserve">Здійснення зазначе- </w:t>
      </w:r>
      <w:r>
        <w:rPr>
          <w:color w:val="231F20"/>
        </w:rPr>
        <w:t xml:space="preserve">них </w:t>
      </w:r>
      <w:r>
        <w:rPr>
          <w:color w:val="231F20"/>
          <w:spacing w:val="-3"/>
        </w:rPr>
        <w:t xml:space="preserve">видів медичної </w:t>
      </w:r>
      <w:r>
        <w:rPr>
          <w:color w:val="231F20"/>
        </w:rPr>
        <w:t xml:space="preserve">та </w:t>
      </w:r>
      <w:r>
        <w:rPr>
          <w:color w:val="231F20"/>
          <w:spacing w:val="-3"/>
        </w:rPr>
        <w:t xml:space="preserve">спортивної активності </w:t>
      </w:r>
      <w:r>
        <w:rPr>
          <w:color w:val="231F20"/>
        </w:rPr>
        <w:t xml:space="preserve">на </w:t>
      </w:r>
      <w:r>
        <w:rPr>
          <w:color w:val="231F20"/>
          <w:spacing w:val="-3"/>
        </w:rPr>
        <w:t xml:space="preserve">оплачуваній основі вказаними </w:t>
      </w:r>
      <w:r>
        <w:rPr>
          <w:color w:val="231F20"/>
        </w:rPr>
        <w:t xml:space="preserve">особами </w:t>
      </w:r>
      <w:r>
        <w:rPr>
          <w:color w:val="231F20"/>
          <w:spacing w:val="-5"/>
        </w:rPr>
        <w:t xml:space="preserve">буде </w:t>
      </w:r>
      <w:r>
        <w:rPr>
          <w:color w:val="231F20"/>
          <w:spacing w:val="-3"/>
        </w:rPr>
        <w:t xml:space="preserve">порушенням вимог </w:t>
      </w:r>
      <w:r>
        <w:rPr>
          <w:color w:val="231F20"/>
          <w:spacing w:val="-4"/>
        </w:rPr>
        <w:t xml:space="preserve">щодо </w:t>
      </w:r>
      <w:r>
        <w:rPr>
          <w:color w:val="231F20"/>
          <w:spacing w:val="-3"/>
        </w:rPr>
        <w:t xml:space="preserve">сумісництва. </w:t>
      </w:r>
      <w:r>
        <w:rPr>
          <w:color w:val="231F20"/>
          <w:spacing w:val="-4"/>
        </w:rPr>
        <w:t xml:space="preserve">Водночас подібна </w:t>
      </w:r>
      <w:r>
        <w:rPr>
          <w:color w:val="231F20"/>
          <w:spacing w:val="-3"/>
        </w:rPr>
        <w:t xml:space="preserve">відмінність </w:t>
      </w:r>
      <w:r>
        <w:rPr>
          <w:color w:val="231F20"/>
        </w:rPr>
        <w:t xml:space="preserve">у </w:t>
      </w:r>
      <w:r>
        <w:rPr>
          <w:color w:val="231F20"/>
          <w:spacing w:val="-3"/>
        </w:rPr>
        <w:t xml:space="preserve">наділенні правами базується </w:t>
      </w:r>
      <w:r>
        <w:rPr>
          <w:color w:val="231F20"/>
        </w:rPr>
        <w:t xml:space="preserve">не </w:t>
      </w:r>
      <w:r>
        <w:rPr>
          <w:color w:val="231F20"/>
          <w:spacing w:val="-3"/>
        </w:rPr>
        <w:t>на значущій/сутнісній</w:t>
      </w:r>
      <w:r>
        <w:rPr>
          <w:color w:val="231F20"/>
          <w:spacing w:val="-3"/>
        </w:rPr>
        <w:t xml:space="preserve"> підставі, зумовлена першочергово проблемами </w:t>
      </w:r>
      <w:r>
        <w:rPr>
          <w:color w:val="231F20"/>
          <w:spacing w:val="-4"/>
        </w:rPr>
        <w:t xml:space="preserve">законотворчості  </w:t>
      </w:r>
      <w:r>
        <w:rPr>
          <w:color w:val="231F20"/>
        </w:rPr>
        <w:t xml:space="preserve">та  </w:t>
      </w:r>
      <w:r>
        <w:rPr>
          <w:color w:val="231F20"/>
          <w:spacing w:val="-3"/>
        </w:rPr>
        <w:t xml:space="preserve">важкістю  внесення  змін  </w:t>
      </w:r>
      <w:r>
        <w:rPr>
          <w:color w:val="231F20"/>
        </w:rPr>
        <w:t xml:space="preserve">до  </w:t>
      </w:r>
      <w:r>
        <w:rPr>
          <w:color w:val="231F20"/>
          <w:spacing w:val="-3"/>
        </w:rPr>
        <w:t xml:space="preserve">Основного  </w:t>
      </w:r>
      <w:r>
        <w:rPr>
          <w:color w:val="231F20"/>
          <w:spacing w:val="-6"/>
        </w:rPr>
        <w:t xml:space="preserve">Закону,  </w:t>
      </w:r>
      <w:r>
        <w:rPr>
          <w:color w:val="231F20"/>
        </w:rPr>
        <w:t xml:space="preserve">а тому (з </w:t>
      </w:r>
      <w:r>
        <w:rPr>
          <w:color w:val="231F20"/>
          <w:spacing w:val="-4"/>
        </w:rPr>
        <w:t xml:space="preserve">природно </w:t>
      </w:r>
      <w:r>
        <w:rPr>
          <w:color w:val="231F20"/>
          <w:spacing w:val="-3"/>
        </w:rPr>
        <w:t xml:space="preserve">правового </w:t>
      </w:r>
      <w:r>
        <w:rPr>
          <w:color w:val="231F20"/>
          <w:spacing w:val="-4"/>
        </w:rPr>
        <w:t xml:space="preserve">погляду) </w:t>
      </w:r>
      <w:r>
        <w:rPr>
          <w:color w:val="231F20"/>
        </w:rPr>
        <w:t>має бути</w:t>
      </w:r>
      <w:r>
        <w:rPr>
          <w:color w:val="231F20"/>
          <w:spacing w:val="-30"/>
        </w:rPr>
        <w:t xml:space="preserve"> </w:t>
      </w:r>
      <w:r>
        <w:rPr>
          <w:color w:val="231F20"/>
          <w:spacing w:val="-3"/>
        </w:rPr>
        <w:t>усунута</w:t>
      </w:r>
      <w:r>
        <w:rPr>
          <w:color w:val="231F20"/>
          <w:spacing w:val="-3"/>
          <w:position w:val="7"/>
          <w:sz w:val="12"/>
        </w:rPr>
        <w:t>1</w:t>
      </w:r>
      <w:r>
        <w:rPr>
          <w:color w:val="231F20"/>
          <w:spacing w:val="-3"/>
        </w:rPr>
        <w:t>.</w:t>
      </w:r>
    </w:p>
    <w:p w14:paraId="54317674" w14:textId="77777777" w:rsidR="00DE575E" w:rsidRDefault="002E7560">
      <w:pPr>
        <w:pStyle w:val="BodyText"/>
        <w:spacing w:before="5" w:line="252" w:lineRule="auto"/>
        <w:ind w:left="250" w:right="413" w:firstLine="283"/>
        <w:jc w:val="both"/>
      </w:pPr>
      <w:r>
        <w:rPr>
          <w:color w:val="231F20"/>
        </w:rPr>
        <w:t>Для правильного розуміння заборонених видів сумісництва та суміщення слід ураховувати, що:</w:t>
      </w:r>
    </w:p>
    <w:p w14:paraId="089A1C15" w14:textId="77777777" w:rsidR="00DE575E" w:rsidRDefault="002E7560">
      <w:pPr>
        <w:pStyle w:val="ListParagraph"/>
        <w:numPr>
          <w:ilvl w:val="0"/>
          <w:numId w:val="77"/>
        </w:numPr>
        <w:tabs>
          <w:tab w:val="left" w:pos="713"/>
        </w:tabs>
        <w:spacing w:line="252" w:lineRule="auto"/>
        <w:ind w:right="410" w:firstLine="283"/>
        <w:rPr>
          <w:sz w:val="21"/>
        </w:rPr>
      </w:pPr>
      <w:r>
        <w:rPr>
          <w:color w:val="231F20"/>
          <w:sz w:val="21"/>
        </w:rPr>
        <w:t xml:space="preserve">забороненою є саме </w:t>
      </w:r>
      <w:r>
        <w:rPr>
          <w:i/>
          <w:color w:val="231F20"/>
          <w:sz w:val="21"/>
        </w:rPr>
        <w:t xml:space="preserve">оплачувана </w:t>
      </w:r>
      <w:r>
        <w:rPr>
          <w:color w:val="231F20"/>
          <w:sz w:val="21"/>
        </w:rPr>
        <w:t>діяльність, тобто така актив- ність, за яку передбачено отримання винагороди  (систематично  чи одноразово, у грошовому чи натуральному</w:t>
      </w:r>
      <w:r>
        <w:rPr>
          <w:color w:val="231F20"/>
          <w:sz w:val="21"/>
        </w:rPr>
        <w:t xml:space="preserve"> виразі); ідентич-  ним чином і входження до складу правління, інших виконавчих чи контрольних органів, наглядової ради організації </w:t>
      </w:r>
      <w:r>
        <w:rPr>
          <w:color w:val="231F20"/>
          <w:spacing w:val="-4"/>
          <w:sz w:val="21"/>
        </w:rPr>
        <w:t xml:space="preserve">буде </w:t>
      </w:r>
      <w:r>
        <w:rPr>
          <w:color w:val="231F20"/>
          <w:sz w:val="21"/>
        </w:rPr>
        <w:t xml:space="preserve">протиправ- ним, лише якщо остання має на меті </w:t>
      </w:r>
      <w:r>
        <w:rPr>
          <w:i/>
          <w:color w:val="231F20"/>
          <w:sz w:val="21"/>
        </w:rPr>
        <w:t>отримання</w:t>
      </w:r>
      <w:r>
        <w:rPr>
          <w:i/>
          <w:color w:val="231F20"/>
          <w:spacing w:val="-8"/>
          <w:sz w:val="21"/>
        </w:rPr>
        <w:t xml:space="preserve"> </w:t>
      </w:r>
      <w:r>
        <w:rPr>
          <w:i/>
          <w:color w:val="231F20"/>
          <w:sz w:val="21"/>
        </w:rPr>
        <w:t>прибутку</w:t>
      </w:r>
      <w:r>
        <w:rPr>
          <w:color w:val="231F20"/>
          <w:sz w:val="21"/>
        </w:rPr>
        <w:t>;</w:t>
      </w:r>
    </w:p>
    <w:p w14:paraId="1B34003D" w14:textId="77777777" w:rsidR="00DE575E" w:rsidRDefault="002E7560">
      <w:pPr>
        <w:pStyle w:val="ListParagraph"/>
        <w:numPr>
          <w:ilvl w:val="0"/>
          <w:numId w:val="77"/>
        </w:numPr>
        <w:tabs>
          <w:tab w:val="left" w:pos="818"/>
        </w:tabs>
        <w:spacing w:before="3" w:line="252" w:lineRule="auto"/>
        <w:ind w:right="411" w:firstLine="283"/>
        <w:rPr>
          <w:sz w:val="21"/>
        </w:rPr>
      </w:pPr>
      <w:r>
        <w:rPr>
          <w:color w:val="231F20"/>
          <w:sz w:val="21"/>
        </w:rPr>
        <w:t xml:space="preserve">заборонено займатися саме оплачуваною </w:t>
      </w:r>
      <w:r>
        <w:rPr>
          <w:i/>
          <w:color w:val="231F20"/>
          <w:sz w:val="21"/>
        </w:rPr>
        <w:t>діяльністю</w:t>
      </w:r>
      <w:r>
        <w:rPr>
          <w:color w:val="231F20"/>
          <w:sz w:val="21"/>
        </w:rPr>
        <w:t xml:space="preserve">, а тому отримання </w:t>
      </w:r>
      <w:r>
        <w:rPr>
          <w:color w:val="231F20"/>
          <w:spacing w:val="-3"/>
          <w:sz w:val="21"/>
        </w:rPr>
        <w:t xml:space="preserve">доходів </w:t>
      </w:r>
      <w:r>
        <w:rPr>
          <w:color w:val="231F20"/>
          <w:sz w:val="21"/>
        </w:rPr>
        <w:t xml:space="preserve">у вигляді дивідендів, роялті, відсотків на депо- зитний рахунок (інших пасивних </w:t>
      </w:r>
      <w:r>
        <w:rPr>
          <w:color w:val="231F20"/>
          <w:spacing w:val="-3"/>
          <w:sz w:val="21"/>
        </w:rPr>
        <w:t xml:space="preserve">доходів) </w:t>
      </w:r>
      <w:r>
        <w:rPr>
          <w:color w:val="231F20"/>
          <w:sz w:val="21"/>
        </w:rPr>
        <w:t>є</w:t>
      </w:r>
      <w:r>
        <w:rPr>
          <w:color w:val="231F20"/>
          <w:spacing w:val="-5"/>
          <w:sz w:val="21"/>
        </w:rPr>
        <w:t xml:space="preserve"> </w:t>
      </w:r>
      <w:r>
        <w:rPr>
          <w:color w:val="231F20"/>
          <w:sz w:val="21"/>
        </w:rPr>
        <w:t>дозволеним;</w:t>
      </w:r>
    </w:p>
    <w:p w14:paraId="34F9D6E3" w14:textId="77777777" w:rsidR="00DE575E" w:rsidRDefault="002E7560">
      <w:pPr>
        <w:pStyle w:val="ListParagraph"/>
        <w:numPr>
          <w:ilvl w:val="0"/>
          <w:numId w:val="77"/>
        </w:numPr>
        <w:tabs>
          <w:tab w:val="left" w:pos="818"/>
        </w:tabs>
        <w:spacing w:line="252" w:lineRule="auto"/>
        <w:ind w:right="413" w:firstLine="283"/>
        <w:rPr>
          <w:sz w:val="21"/>
        </w:rPr>
      </w:pPr>
      <w:r>
        <w:rPr>
          <w:color w:val="231F20"/>
          <w:spacing w:val="-3"/>
          <w:sz w:val="21"/>
        </w:rPr>
        <w:t>заборона</w:t>
      </w:r>
      <w:r>
        <w:rPr>
          <w:color w:val="231F20"/>
          <w:spacing w:val="-13"/>
          <w:sz w:val="21"/>
        </w:rPr>
        <w:t xml:space="preserve"> </w:t>
      </w:r>
      <w:r>
        <w:rPr>
          <w:color w:val="231F20"/>
          <w:spacing w:val="-3"/>
          <w:sz w:val="21"/>
        </w:rPr>
        <w:t>поширюється</w:t>
      </w:r>
      <w:r>
        <w:rPr>
          <w:color w:val="231F20"/>
          <w:spacing w:val="-13"/>
          <w:sz w:val="21"/>
        </w:rPr>
        <w:t xml:space="preserve"> </w:t>
      </w:r>
      <w:r>
        <w:rPr>
          <w:color w:val="231F20"/>
          <w:sz w:val="21"/>
        </w:rPr>
        <w:t>на</w:t>
      </w:r>
      <w:r>
        <w:rPr>
          <w:color w:val="231F20"/>
          <w:spacing w:val="-14"/>
          <w:sz w:val="21"/>
        </w:rPr>
        <w:t xml:space="preserve"> </w:t>
      </w:r>
      <w:r>
        <w:rPr>
          <w:i/>
          <w:color w:val="231F20"/>
          <w:spacing w:val="-3"/>
          <w:sz w:val="21"/>
        </w:rPr>
        <w:t>увесь</w:t>
      </w:r>
      <w:r>
        <w:rPr>
          <w:i/>
          <w:color w:val="231F20"/>
          <w:spacing w:val="-13"/>
          <w:sz w:val="21"/>
        </w:rPr>
        <w:t xml:space="preserve"> </w:t>
      </w:r>
      <w:r>
        <w:rPr>
          <w:i/>
          <w:color w:val="231F20"/>
          <w:sz w:val="21"/>
        </w:rPr>
        <w:t>час</w:t>
      </w:r>
      <w:r>
        <w:rPr>
          <w:i/>
          <w:color w:val="231F20"/>
          <w:spacing w:val="-13"/>
          <w:sz w:val="21"/>
        </w:rPr>
        <w:t xml:space="preserve"> </w:t>
      </w:r>
      <w:r>
        <w:rPr>
          <w:i/>
          <w:color w:val="231F20"/>
          <w:spacing w:val="-3"/>
          <w:sz w:val="21"/>
        </w:rPr>
        <w:t>перебування</w:t>
      </w:r>
      <w:r>
        <w:rPr>
          <w:i/>
          <w:color w:val="231F20"/>
          <w:spacing w:val="-13"/>
          <w:sz w:val="21"/>
        </w:rPr>
        <w:t xml:space="preserve"> </w:t>
      </w:r>
      <w:r>
        <w:rPr>
          <w:i/>
          <w:color w:val="231F20"/>
          <w:spacing w:val="-3"/>
          <w:sz w:val="21"/>
        </w:rPr>
        <w:t>особи</w:t>
      </w:r>
      <w:r>
        <w:rPr>
          <w:i/>
          <w:color w:val="231F20"/>
          <w:spacing w:val="-14"/>
          <w:sz w:val="21"/>
        </w:rPr>
        <w:t xml:space="preserve"> </w:t>
      </w:r>
      <w:r>
        <w:rPr>
          <w:i/>
          <w:color w:val="231F20"/>
          <w:sz w:val="21"/>
        </w:rPr>
        <w:t>у</w:t>
      </w:r>
      <w:r>
        <w:rPr>
          <w:i/>
          <w:color w:val="231F20"/>
          <w:spacing w:val="-13"/>
          <w:sz w:val="21"/>
        </w:rPr>
        <w:t xml:space="preserve"> </w:t>
      </w:r>
      <w:r>
        <w:rPr>
          <w:i/>
          <w:color w:val="231F20"/>
          <w:spacing w:val="-4"/>
          <w:sz w:val="21"/>
        </w:rPr>
        <w:t xml:space="preserve">статусі </w:t>
      </w:r>
      <w:r>
        <w:rPr>
          <w:color w:val="231F20"/>
          <w:spacing w:val="-3"/>
          <w:sz w:val="21"/>
        </w:rPr>
        <w:t>публічного</w:t>
      </w:r>
      <w:r>
        <w:rPr>
          <w:color w:val="231F20"/>
          <w:spacing w:val="-11"/>
          <w:sz w:val="21"/>
        </w:rPr>
        <w:t xml:space="preserve"> </w:t>
      </w:r>
      <w:r>
        <w:rPr>
          <w:color w:val="231F20"/>
          <w:spacing w:val="-3"/>
          <w:sz w:val="21"/>
        </w:rPr>
        <w:t>службовця</w:t>
      </w:r>
      <w:r>
        <w:rPr>
          <w:color w:val="231F20"/>
          <w:spacing w:val="-11"/>
          <w:sz w:val="21"/>
        </w:rPr>
        <w:t xml:space="preserve"> </w:t>
      </w:r>
      <w:r>
        <w:rPr>
          <w:color w:val="231F20"/>
          <w:spacing w:val="-3"/>
          <w:sz w:val="21"/>
        </w:rPr>
        <w:t>(зокрема</w:t>
      </w:r>
      <w:r>
        <w:rPr>
          <w:color w:val="231F20"/>
          <w:spacing w:val="-11"/>
          <w:sz w:val="21"/>
        </w:rPr>
        <w:t xml:space="preserve"> </w:t>
      </w:r>
      <w:r>
        <w:rPr>
          <w:color w:val="231F20"/>
          <w:sz w:val="21"/>
        </w:rPr>
        <w:t>і</w:t>
      </w:r>
      <w:r>
        <w:rPr>
          <w:color w:val="231F20"/>
          <w:spacing w:val="-12"/>
          <w:sz w:val="21"/>
        </w:rPr>
        <w:t xml:space="preserve"> </w:t>
      </w:r>
      <w:r>
        <w:rPr>
          <w:color w:val="231F20"/>
          <w:sz w:val="21"/>
        </w:rPr>
        <w:t>на</w:t>
      </w:r>
      <w:r>
        <w:rPr>
          <w:color w:val="231F20"/>
          <w:spacing w:val="-11"/>
          <w:sz w:val="21"/>
        </w:rPr>
        <w:t xml:space="preserve"> </w:t>
      </w:r>
      <w:r>
        <w:rPr>
          <w:color w:val="231F20"/>
          <w:spacing w:val="-3"/>
          <w:sz w:val="21"/>
        </w:rPr>
        <w:t>вихідні</w:t>
      </w:r>
      <w:r>
        <w:rPr>
          <w:color w:val="231F20"/>
          <w:spacing w:val="-11"/>
          <w:sz w:val="21"/>
        </w:rPr>
        <w:t xml:space="preserve"> </w:t>
      </w:r>
      <w:r>
        <w:rPr>
          <w:color w:val="231F20"/>
          <w:sz w:val="21"/>
        </w:rPr>
        <w:t>дні</w:t>
      </w:r>
      <w:r>
        <w:rPr>
          <w:color w:val="231F20"/>
          <w:spacing w:val="-11"/>
          <w:sz w:val="21"/>
        </w:rPr>
        <w:t xml:space="preserve"> </w:t>
      </w:r>
      <w:r>
        <w:rPr>
          <w:color w:val="231F20"/>
          <w:sz w:val="21"/>
        </w:rPr>
        <w:t>та</w:t>
      </w:r>
      <w:r>
        <w:rPr>
          <w:color w:val="231F20"/>
          <w:spacing w:val="-11"/>
          <w:sz w:val="21"/>
        </w:rPr>
        <w:t xml:space="preserve"> </w:t>
      </w:r>
      <w:r>
        <w:rPr>
          <w:color w:val="231F20"/>
          <w:spacing w:val="-4"/>
          <w:sz w:val="21"/>
        </w:rPr>
        <w:t>період</w:t>
      </w:r>
      <w:r>
        <w:rPr>
          <w:color w:val="231F20"/>
          <w:spacing w:val="-11"/>
          <w:sz w:val="21"/>
        </w:rPr>
        <w:t xml:space="preserve"> </w:t>
      </w:r>
      <w:r>
        <w:rPr>
          <w:color w:val="231F20"/>
          <w:spacing w:val="-3"/>
          <w:sz w:val="21"/>
        </w:rPr>
        <w:t xml:space="preserve">перебування </w:t>
      </w:r>
      <w:r>
        <w:rPr>
          <w:color w:val="231F20"/>
          <w:sz w:val="21"/>
        </w:rPr>
        <w:t xml:space="preserve">в </w:t>
      </w:r>
      <w:r>
        <w:rPr>
          <w:color w:val="231F20"/>
          <w:spacing w:val="-4"/>
          <w:sz w:val="21"/>
        </w:rPr>
        <w:t xml:space="preserve">будь-яких </w:t>
      </w:r>
      <w:r>
        <w:rPr>
          <w:color w:val="231F20"/>
          <w:sz w:val="21"/>
        </w:rPr>
        <w:t xml:space="preserve">із </w:t>
      </w:r>
      <w:r>
        <w:rPr>
          <w:color w:val="231F20"/>
          <w:spacing w:val="-3"/>
          <w:sz w:val="21"/>
        </w:rPr>
        <w:t xml:space="preserve">передбачених </w:t>
      </w:r>
      <w:r>
        <w:rPr>
          <w:color w:val="231F20"/>
          <w:spacing w:val="-4"/>
          <w:sz w:val="21"/>
        </w:rPr>
        <w:t xml:space="preserve">законодавством </w:t>
      </w:r>
      <w:r>
        <w:rPr>
          <w:color w:val="231F20"/>
          <w:spacing w:val="-3"/>
          <w:sz w:val="21"/>
        </w:rPr>
        <w:t>видів</w:t>
      </w:r>
      <w:r>
        <w:rPr>
          <w:color w:val="231F20"/>
          <w:spacing w:val="-14"/>
          <w:sz w:val="21"/>
        </w:rPr>
        <w:t xml:space="preserve"> </w:t>
      </w:r>
      <w:r>
        <w:rPr>
          <w:color w:val="231F20"/>
          <w:spacing w:val="-4"/>
          <w:sz w:val="21"/>
        </w:rPr>
        <w:t>відпусток);</w:t>
      </w:r>
    </w:p>
    <w:p w14:paraId="6FB59B2D" w14:textId="77777777" w:rsidR="00DE575E" w:rsidRDefault="002E7560">
      <w:pPr>
        <w:pStyle w:val="ListParagraph"/>
        <w:numPr>
          <w:ilvl w:val="0"/>
          <w:numId w:val="77"/>
        </w:numPr>
        <w:tabs>
          <w:tab w:val="left" w:pos="818"/>
        </w:tabs>
        <w:spacing w:before="2" w:line="252" w:lineRule="auto"/>
        <w:ind w:right="407" w:firstLine="283"/>
        <w:rPr>
          <w:sz w:val="21"/>
        </w:rPr>
      </w:pPr>
      <w:r>
        <w:rPr>
          <w:color w:val="231F20"/>
          <w:sz w:val="21"/>
        </w:rPr>
        <w:t xml:space="preserve">не важливо, якою діяльністю особа почала займатися раніше (іншою оплачуваною чи публічною службою), інша оплачувана діяльність (якщо вона не віднесена до дозволених видів) </w:t>
      </w:r>
      <w:r>
        <w:rPr>
          <w:i/>
          <w:color w:val="231F20"/>
          <w:sz w:val="21"/>
        </w:rPr>
        <w:t>має бути пр</w:t>
      </w:r>
      <w:r>
        <w:rPr>
          <w:i/>
          <w:color w:val="231F20"/>
          <w:sz w:val="21"/>
        </w:rPr>
        <w:t>ипинена</w:t>
      </w:r>
      <w:r>
        <w:rPr>
          <w:color w:val="231F20"/>
          <w:sz w:val="21"/>
        </w:rPr>
        <w:t>;</w:t>
      </w:r>
    </w:p>
    <w:p w14:paraId="250F0FF3" w14:textId="77777777" w:rsidR="00DE575E" w:rsidRDefault="002E7560">
      <w:pPr>
        <w:pStyle w:val="ListParagraph"/>
        <w:numPr>
          <w:ilvl w:val="0"/>
          <w:numId w:val="77"/>
        </w:numPr>
        <w:tabs>
          <w:tab w:val="left" w:pos="818"/>
        </w:tabs>
        <w:spacing w:line="252" w:lineRule="auto"/>
        <w:ind w:right="411" w:firstLine="283"/>
        <w:rPr>
          <w:sz w:val="21"/>
        </w:rPr>
      </w:pPr>
      <w:r>
        <w:rPr>
          <w:color w:val="231F20"/>
          <w:sz w:val="21"/>
        </w:rPr>
        <w:t xml:space="preserve">потрібно широко трактувати </w:t>
      </w:r>
      <w:r>
        <w:rPr>
          <w:i/>
          <w:color w:val="231F20"/>
          <w:sz w:val="21"/>
        </w:rPr>
        <w:t xml:space="preserve">зміст сумісництва </w:t>
      </w:r>
      <w:r>
        <w:rPr>
          <w:color w:val="231F20"/>
          <w:sz w:val="21"/>
        </w:rPr>
        <w:t>та</w:t>
      </w:r>
      <w:r>
        <w:rPr>
          <w:color w:val="231F20"/>
          <w:spacing w:val="-34"/>
          <w:sz w:val="21"/>
        </w:rPr>
        <w:t xml:space="preserve"> </w:t>
      </w:r>
      <w:r>
        <w:rPr>
          <w:i/>
          <w:color w:val="231F20"/>
          <w:sz w:val="21"/>
        </w:rPr>
        <w:t>суміщення</w:t>
      </w:r>
      <w:r>
        <w:rPr>
          <w:color w:val="231F20"/>
          <w:sz w:val="21"/>
        </w:rPr>
        <w:t xml:space="preserve">, які (на відміну від їх визначення у </w:t>
      </w:r>
      <w:r>
        <w:rPr>
          <w:color w:val="231F20"/>
          <w:spacing w:val="-3"/>
          <w:sz w:val="21"/>
        </w:rPr>
        <w:t xml:space="preserve">трудовому </w:t>
      </w:r>
      <w:r>
        <w:rPr>
          <w:color w:val="231F20"/>
          <w:sz w:val="21"/>
        </w:rPr>
        <w:t xml:space="preserve">законодавстві) не обмежуються єдиною формою закріплення – </w:t>
      </w:r>
      <w:r>
        <w:rPr>
          <w:color w:val="231F20"/>
          <w:spacing w:val="-3"/>
          <w:sz w:val="21"/>
        </w:rPr>
        <w:t>трудовим</w:t>
      </w:r>
      <w:r>
        <w:rPr>
          <w:color w:val="231F20"/>
          <w:spacing w:val="-20"/>
          <w:sz w:val="21"/>
        </w:rPr>
        <w:t xml:space="preserve"> </w:t>
      </w:r>
      <w:r>
        <w:rPr>
          <w:color w:val="231F20"/>
          <w:sz w:val="21"/>
        </w:rPr>
        <w:t>договором;</w:t>
      </w:r>
    </w:p>
    <w:p w14:paraId="4DE3A7D5" w14:textId="77777777" w:rsidR="00DE575E" w:rsidRDefault="002E7560">
      <w:pPr>
        <w:pStyle w:val="ListParagraph"/>
        <w:numPr>
          <w:ilvl w:val="0"/>
          <w:numId w:val="77"/>
        </w:numPr>
        <w:tabs>
          <w:tab w:val="left" w:pos="818"/>
        </w:tabs>
        <w:spacing w:before="2" w:line="252" w:lineRule="auto"/>
        <w:ind w:right="411" w:firstLine="283"/>
        <w:rPr>
          <w:sz w:val="21"/>
        </w:rPr>
      </w:pPr>
      <w:r>
        <w:rPr>
          <w:color w:val="231F20"/>
          <w:sz w:val="21"/>
        </w:rPr>
        <w:t>дозволені види діяльності (викладацька, наукова і творча, медичн</w:t>
      </w:r>
      <w:r>
        <w:rPr>
          <w:color w:val="231F20"/>
          <w:sz w:val="21"/>
        </w:rPr>
        <w:t>а</w:t>
      </w:r>
      <w:r>
        <w:rPr>
          <w:color w:val="231F20"/>
          <w:spacing w:val="-11"/>
          <w:sz w:val="21"/>
        </w:rPr>
        <w:t xml:space="preserve"> </w:t>
      </w:r>
      <w:r>
        <w:rPr>
          <w:color w:val="231F20"/>
          <w:sz w:val="21"/>
        </w:rPr>
        <w:t>практика,</w:t>
      </w:r>
      <w:r>
        <w:rPr>
          <w:color w:val="231F20"/>
          <w:spacing w:val="-11"/>
          <w:sz w:val="21"/>
        </w:rPr>
        <w:t xml:space="preserve"> </w:t>
      </w:r>
      <w:r>
        <w:rPr>
          <w:color w:val="231F20"/>
          <w:sz w:val="21"/>
        </w:rPr>
        <w:t>інструкторська</w:t>
      </w:r>
      <w:r>
        <w:rPr>
          <w:color w:val="231F20"/>
          <w:spacing w:val="-11"/>
          <w:sz w:val="21"/>
        </w:rPr>
        <w:t xml:space="preserve"> </w:t>
      </w:r>
      <w:r>
        <w:rPr>
          <w:color w:val="231F20"/>
          <w:sz w:val="21"/>
        </w:rPr>
        <w:t>та</w:t>
      </w:r>
      <w:r>
        <w:rPr>
          <w:color w:val="231F20"/>
          <w:spacing w:val="-11"/>
          <w:sz w:val="21"/>
        </w:rPr>
        <w:t xml:space="preserve"> </w:t>
      </w:r>
      <w:r>
        <w:rPr>
          <w:color w:val="231F20"/>
          <w:sz w:val="21"/>
        </w:rPr>
        <w:t>суддівська</w:t>
      </w:r>
      <w:r>
        <w:rPr>
          <w:color w:val="231F20"/>
          <w:spacing w:val="-11"/>
          <w:sz w:val="21"/>
        </w:rPr>
        <w:t xml:space="preserve"> </w:t>
      </w:r>
      <w:r>
        <w:rPr>
          <w:color w:val="231F20"/>
          <w:sz w:val="21"/>
        </w:rPr>
        <w:t>практика</w:t>
      </w:r>
      <w:r>
        <w:rPr>
          <w:color w:val="231F20"/>
          <w:spacing w:val="-11"/>
          <w:sz w:val="21"/>
        </w:rPr>
        <w:t xml:space="preserve"> </w:t>
      </w:r>
      <w:r>
        <w:rPr>
          <w:color w:val="231F20"/>
          <w:sz w:val="21"/>
        </w:rPr>
        <w:t>зі</w:t>
      </w:r>
      <w:r>
        <w:rPr>
          <w:color w:val="231F20"/>
          <w:spacing w:val="-11"/>
          <w:sz w:val="21"/>
        </w:rPr>
        <w:t xml:space="preserve"> </w:t>
      </w:r>
      <w:r>
        <w:rPr>
          <w:color w:val="231F20"/>
          <w:sz w:val="21"/>
        </w:rPr>
        <w:t xml:space="preserve">спорту) є дозволеними, якщо втілюються на основі </w:t>
      </w:r>
      <w:r>
        <w:rPr>
          <w:color w:val="231F20"/>
          <w:spacing w:val="-3"/>
          <w:sz w:val="21"/>
        </w:rPr>
        <w:t xml:space="preserve">трудового </w:t>
      </w:r>
      <w:r>
        <w:rPr>
          <w:color w:val="231F20"/>
          <w:sz w:val="21"/>
        </w:rPr>
        <w:t>договору або цивільно-правової  угоди,  але  вони  не  можуть  реалізовуватися</w:t>
      </w:r>
      <w:r>
        <w:rPr>
          <w:color w:val="231F20"/>
          <w:spacing w:val="-15"/>
          <w:sz w:val="21"/>
        </w:rPr>
        <w:t xml:space="preserve"> </w:t>
      </w:r>
      <w:r>
        <w:rPr>
          <w:color w:val="231F20"/>
          <w:sz w:val="21"/>
        </w:rPr>
        <w:t>як</w:t>
      </w:r>
    </w:p>
    <w:p w14:paraId="31AA65F4" w14:textId="02D50B27" w:rsidR="00DE575E" w:rsidRDefault="002E7560">
      <w:pPr>
        <w:pStyle w:val="BodyText"/>
        <w:spacing w:before="3"/>
        <w:rPr>
          <w:sz w:val="18"/>
        </w:rPr>
      </w:pPr>
      <w:r>
        <w:rPr>
          <w:noProof/>
        </w:rPr>
        <mc:AlternateContent>
          <mc:Choice Requires="wps">
            <w:drawing>
              <wp:anchor distT="0" distB="0" distL="0" distR="0" simplePos="0" relativeHeight="16288" behindDoc="0" locked="0" layoutInCell="1" allowOverlap="1" wp14:anchorId="031EEEF7" wp14:editId="42CE63BC">
                <wp:simplePos x="0" y="0"/>
                <wp:positionH relativeFrom="page">
                  <wp:posOffset>539750</wp:posOffset>
                </wp:positionH>
                <wp:positionV relativeFrom="paragraph">
                  <wp:posOffset>163830</wp:posOffset>
                </wp:positionV>
                <wp:extent cx="1080135" cy="0"/>
                <wp:effectExtent l="6350" t="11430" r="31115" b="26670"/>
                <wp:wrapTopAndBottom/>
                <wp:docPr id="35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BF677" id="Line_x0020_357" o:spid="_x0000_s1026" style="position:absolute;z-index:1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9pt" to="127.5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" strokecolor="#231f20" strokeweight=".5pt">
                <w10:wrap type="topAndBottom" anchorx="page"/>
              </v:line>
            </w:pict>
          </mc:Fallback>
        </mc:AlternateContent>
      </w:r>
    </w:p>
    <w:p w14:paraId="711617BB" w14:textId="77777777" w:rsidR="00DE575E" w:rsidRDefault="002E7560">
      <w:pPr>
        <w:spacing w:line="192" w:lineRule="auto"/>
        <w:ind w:left="250" w:right="410"/>
        <w:jc w:val="both"/>
        <w:rPr>
          <w:sz w:val="16"/>
        </w:rPr>
      </w:pPr>
      <w:r>
        <w:rPr>
          <w:color w:val="231F20"/>
          <w:position w:val="5"/>
          <w:sz w:val="9"/>
        </w:rPr>
        <w:t xml:space="preserve">1 </w:t>
      </w:r>
      <w:r>
        <w:rPr>
          <w:color w:val="231F20"/>
          <w:sz w:val="16"/>
        </w:rPr>
        <w:t>Обмежувальні переліки дозволеного сумісництва можуть  починатися  і  безпосеред- ньо</w:t>
      </w:r>
      <w:r>
        <w:rPr>
          <w:color w:val="231F20"/>
          <w:spacing w:val="-5"/>
          <w:sz w:val="16"/>
        </w:rPr>
        <w:t xml:space="preserve"> </w:t>
      </w:r>
      <w:r>
        <w:rPr>
          <w:color w:val="231F20"/>
          <w:sz w:val="16"/>
        </w:rPr>
        <w:t>з</w:t>
      </w:r>
      <w:r>
        <w:rPr>
          <w:color w:val="231F20"/>
          <w:spacing w:val="-5"/>
          <w:sz w:val="16"/>
        </w:rPr>
        <w:t xml:space="preserve"> </w:t>
      </w:r>
      <w:r>
        <w:rPr>
          <w:color w:val="231F20"/>
          <w:sz w:val="16"/>
        </w:rPr>
        <w:t>рівня</w:t>
      </w:r>
      <w:r>
        <w:rPr>
          <w:color w:val="231F20"/>
          <w:spacing w:val="-5"/>
          <w:sz w:val="16"/>
        </w:rPr>
        <w:t xml:space="preserve"> </w:t>
      </w:r>
      <w:r>
        <w:rPr>
          <w:color w:val="231F20"/>
          <w:sz w:val="16"/>
        </w:rPr>
        <w:t>законів</w:t>
      </w:r>
      <w:r>
        <w:rPr>
          <w:color w:val="231F20"/>
          <w:spacing w:val="-5"/>
          <w:sz w:val="16"/>
        </w:rPr>
        <w:t xml:space="preserve"> </w:t>
      </w:r>
      <w:r>
        <w:rPr>
          <w:color w:val="231F20"/>
          <w:sz w:val="16"/>
        </w:rPr>
        <w:t>(а</w:t>
      </w:r>
      <w:r>
        <w:rPr>
          <w:color w:val="231F20"/>
          <w:spacing w:val="-5"/>
          <w:sz w:val="16"/>
        </w:rPr>
        <w:t xml:space="preserve"> </w:t>
      </w:r>
      <w:r>
        <w:rPr>
          <w:color w:val="231F20"/>
          <w:sz w:val="16"/>
        </w:rPr>
        <w:t>не</w:t>
      </w:r>
      <w:r>
        <w:rPr>
          <w:color w:val="231F20"/>
          <w:spacing w:val="-5"/>
          <w:sz w:val="16"/>
        </w:rPr>
        <w:t xml:space="preserve"> </w:t>
      </w:r>
      <w:r>
        <w:rPr>
          <w:color w:val="231F20"/>
          <w:sz w:val="16"/>
        </w:rPr>
        <w:t>як</w:t>
      </w:r>
      <w:r>
        <w:rPr>
          <w:color w:val="231F20"/>
          <w:spacing w:val="-5"/>
          <w:sz w:val="16"/>
        </w:rPr>
        <w:t xml:space="preserve"> </w:t>
      </w:r>
      <w:r>
        <w:rPr>
          <w:color w:val="231F20"/>
          <w:sz w:val="16"/>
        </w:rPr>
        <w:t>кореляція</w:t>
      </w:r>
      <w:r>
        <w:rPr>
          <w:color w:val="231F20"/>
          <w:spacing w:val="-5"/>
          <w:sz w:val="16"/>
        </w:rPr>
        <w:t xml:space="preserve"> </w:t>
      </w:r>
      <w:r>
        <w:rPr>
          <w:color w:val="231F20"/>
          <w:sz w:val="16"/>
        </w:rPr>
        <w:t>до</w:t>
      </w:r>
      <w:r>
        <w:rPr>
          <w:color w:val="231F20"/>
          <w:spacing w:val="-5"/>
          <w:sz w:val="16"/>
        </w:rPr>
        <w:t xml:space="preserve"> </w:t>
      </w:r>
      <w:r>
        <w:rPr>
          <w:color w:val="231F20"/>
          <w:sz w:val="16"/>
        </w:rPr>
        <w:t>конституційних</w:t>
      </w:r>
      <w:r>
        <w:rPr>
          <w:color w:val="231F20"/>
          <w:spacing w:val="-5"/>
          <w:sz w:val="16"/>
        </w:rPr>
        <w:t xml:space="preserve"> </w:t>
      </w:r>
      <w:r>
        <w:rPr>
          <w:color w:val="231F20"/>
          <w:sz w:val="16"/>
        </w:rPr>
        <w:t>вимог).</w:t>
      </w:r>
      <w:r>
        <w:rPr>
          <w:color w:val="231F20"/>
          <w:spacing w:val="-5"/>
          <w:sz w:val="16"/>
        </w:rPr>
        <w:t xml:space="preserve"> </w:t>
      </w:r>
      <w:r>
        <w:rPr>
          <w:color w:val="231F20"/>
          <w:sz w:val="16"/>
        </w:rPr>
        <w:t>Наприклад,</w:t>
      </w:r>
      <w:r>
        <w:rPr>
          <w:color w:val="231F20"/>
          <w:spacing w:val="-5"/>
          <w:sz w:val="16"/>
        </w:rPr>
        <w:t xml:space="preserve"> ст. </w:t>
      </w:r>
      <w:r>
        <w:rPr>
          <w:color w:val="231F20"/>
          <w:sz w:val="16"/>
        </w:rPr>
        <w:t>66</w:t>
      </w:r>
      <w:r>
        <w:rPr>
          <w:color w:val="231F20"/>
          <w:spacing w:val="-5"/>
          <w:sz w:val="16"/>
        </w:rPr>
        <w:t xml:space="preserve"> </w:t>
      </w:r>
      <w:r>
        <w:rPr>
          <w:color w:val="231F20"/>
          <w:sz w:val="16"/>
        </w:rPr>
        <w:t>Закону</w:t>
      </w:r>
    </w:p>
    <w:p w14:paraId="779955D2" w14:textId="77777777" w:rsidR="00DE575E" w:rsidRDefault="002E7560">
      <w:pPr>
        <w:spacing w:line="192" w:lineRule="auto"/>
        <w:ind w:left="250" w:right="411"/>
        <w:jc w:val="both"/>
        <w:rPr>
          <w:sz w:val="16"/>
        </w:rPr>
      </w:pPr>
      <w:r>
        <w:rPr>
          <w:color w:val="231F20"/>
          <w:sz w:val="16"/>
        </w:rPr>
        <w:t xml:space="preserve">«Про національну поліцію» зараховує до дозволених видів службового сумісництва полі- </w:t>
      </w:r>
      <w:r>
        <w:rPr>
          <w:color w:val="231F20"/>
          <w:sz w:val="16"/>
        </w:rPr>
        <w:t>цейських</w:t>
      </w:r>
      <w:r>
        <w:rPr>
          <w:color w:val="231F20"/>
          <w:spacing w:val="-6"/>
          <w:sz w:val="16"/>
        </w:rPr>
        <w:t xml:space="preserve"> </w:t>
      </w:r>
      <w:r>
        <w:rPr>
          <w:color w:val="231F20"/>
          <w:sz w:val="16"/>
        </w:rPr>
        <w:t>лише</w:t>
      </w:r>
      <w:r>
        <w:rPr>
          <w:color w:val="231F20"/>
          <w:spacing w:val="-6"/>
          <w:sz w:val="16"/>
        </w:rPr>
        <w:t xml:space="preserve"> </w:t>
      </w:r>
      <w:r>
        <w:rPr>
          <w:color w:val="231F20"/>
          <w:sz w:val="16"/>
        </w:rPr>
        <w:t>науково-педагогічну,</w:t>
      </w:r>
      <w:r>
        <w:rPr>
          <w:color w:val="231F20"/>
          <w:spacing w:val="-6"/>
          <w:sz w:val="16"/>
        </w:rPr>
        <w:t xml:space="preserve"> </w:t>
      </w:r>
      <w:r>
        <w:rPr>
          <w:color w:val="231F20"/>
          <w:sz w:val="16"/>
        </w:rPr>
        <w:t>наукову</w:t>
      </w:r>
      <w:r>
        <w:rPr>
          <w:color w:val="231F20"/>
          <w:spacing w:val="-6"/>
          <w:sz w:val="16"/>
        </w:rPr>
        <w:t xml:space="preserve"> </w:t>
      </w:r>
      <w:r>
        <w:rPr>
          <w:color w:val="231F20"/>
          <w:sz w:val="16"/>
        </w:rPr>
        <w:t>та</w:t>
      </w:r>
      <w:r>
        <w:rPr>
          <w:color w:val="231F20"/>
          <w:spacing w:val="-6"/>
          <w:sz w:val="16"/>
        </w:rPr>
        <w:t xml:space="preserve"> </w:t>
      </w:r>
      <w:r>
        <w:rPr>
          <w:color w:val="231F20"/>
          <w:sz w:val="16"/>
        </w:rPr>
        <w:t>творчу</w:t>
      </w:r>
      <w:r>
        <w:rPr>
          <w:color w:val="231F20"/>
          <w:spacing w:val="-6"/>
          <w:sz w:val="16"/>
        </w:rPr>
        <w:t xml:space="preserve"> </w:t>
      </w:r>
      <w:r>
        <w:rPr>
          <w:color w:val="231F20"/>
          <w:sz w:val="16"/>
        </w:rPr>
        <w:t>діяльність.</w:t>
      </w:r>
      <w:r>
        <w:rPr>
          <w:color w:val="231F20"/>
          <w:spacing w:val="-6"/>
          <w:sz w:val="16"/>
        </w:rPr>
        <w:t xml:space="preserve"> </w:t>
      </w:r>
      <w:r>
        <w:rPr>
          <w:color w:val="231F20"/>
          <w:sz w:val="16"/>
        </w:rPr>
        <w:t>У</w:t>
      </w:r>
      <w:r>
        <w:rPr>
          <w:color w:val="231F20"/>
          <w:spacing w:val="-6"/>
          <w:sz w:val="16"/>
        </w:rPr>
        <w:t xml:space="preserve"> </w:t>
      </w:r>
      <w:r>
        <w:rPr>
          <w:color w:val="231F20"/>
          <w:sz w:val="16"/>
        </w:rPr>
        <w:t>зв’язку</w:t>
      </w:r>
      <w:r>
        <w:rPr>
          <w:color w:val="231F20"/>
          <w:spacing w:val="-6"/>
          <w:sz w:val="16"/>
        </w:rPr>
        <w:t xml:space="preserve"> </w:t>
      </w:r>
      <w:r>
        <w:rPr>
          <w:color w:val="231F20"/>
          <w:sz w:val="16"/>
        </w:rPr>
        <w:t>з</w:t>
      </w:r>
      <w:r>
        <w:rPr>
          <w:color w:val="231F20"/>
          <w:spacing w:val="-6"/>
          <w:sz w:val="16"/>
        </w:rPr>
        <w:t xml:space="preserve"> </w:t>
      </w:r>
      <w:r>
        <w:rPr>
          <w:color w:val="231F20"/>
          <w:sz w:val="16"/>
        </w:rPr>
        <w:t>цим</w:t>
      </w:r>
      <w:r>
        <w:rPr>
          <w:color w:val="231F20"/>
          <w:spacing w:val="-6"/>
          <w:sz w:val="16"/>
        </w:rPr>
        <w:t xml:space="preserve"> </w:t>
      </w:r>
      <w:r>
        <w:rPr>
          <w:color w:val="231F20"/>
          <w:sz w:val="16"/>
        </w:rPr>
        <w:t>відзна- чена проблема негармонійності вимог є ще більш</w:t>
      </w:r>
      <w:r>
        <w:rPr>
          <w:color w:val="231F20"/>
          <w:spacing w:val="-4"/>
          <w:sz w:val="16"/>
        </w:rPr>
        <w:t xml:space="preserve"> </w:t>
      </w:r>
      <w:r>
        <w:rPr>
          <w:color w:val="231F20"/>
          <w:sz w:val="16"/>
        </w:rPr>
        <w:t>широкою.</w:t>
      </w:r>
    </w:p>
    <w:p w14:paraId="507E40EA" w14:textId="77777777" w:rsidR="00DE575E" w:rsidRDefault="00DE575E">
      <w:pPr>
        <w:pStyle w:val="BodyText"/>
        <w:rPr>
          <w:sz w:val="12"/>
        </w:rPr>
      </w:pPr>
    </w:p>
    <w:p w14:paraId="168D32F1" w14:textId="77777777" w:rsidR="00DE575E" w:rsidRDefault="002E7560">
      <w:pPr>
        <w:spacing w:before="92"/>
        <w:ind w:right="411"/>
        <w:jc w:val="right"/>
        <w:rPr>
          <w:rFonts w:ascii="Times New Roman"/>
          <w:sz w:val="20"/>
        </w:rPr>
      </w:pPr>
      <w:r>
        <w:rPr>
          <w:rFonts w:ascii="Times New Roman"/>
          <w:color w:val="231F20"/>
          <w:w w:val="90"/>
          <w:sz w:val="20"/>
        </w:rPr>
        <w:t>415</w:t>
      </w:r>
    </w:p>
    <w:p w14:paraId="41E80A8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DE9127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1756FBC" w14:textId="310106F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4C22C3C" wp14:editId="30A47AA0">
                <wp:extent cx="4140200" cy="6350"/>
                <wp:effectExtent l="0" t="0" r="12700" b="6350"/>
                <wp:docPr id="35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57" name="Line 35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A45F6" id="Group_x0020_35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7i5o/gAIAAJgFAAAO&#10;AAAAAAAAAAAAAAAAACwCAABkcnMvZTJvRG9jLnhtbFBLAQItABQABgAIAAAAIQBMp7CQ2QAAAAMB&#10;AAAPAAAAAAAAAAAAAAAAANgEAABkcnMvZG93bnJldi54bWxQSwUGAAAAAAQABADzAAAA3gUAAAAA&#10;">
                <v:line id="Line_x0020_35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qQ/ccAAADcAAAADwAAAGRycy9kb3ducmV2LnhtbESP3WrCQBSE7wXfYTkFb0rdtKFWoqtI&#10;oSC98C8+wDF7TEJ3z8bsatI+fbdQ8HKYmW+Y+bK3Rtyo9bVjBc/jBARx4XTNpYJj/vE0BeEDskbj&#10;mBR8k4flYjiYY6Zdx3u6HUIpIoR9hgqqEJpMSl9UZNGPXUMcvbNrLYYo21LqFrsIt0a+JMlEWqw5&#10;LlTY0HtFxdfhahXkl8dgdttP0+XbUypPl036c90oNXroVzMQgfpwD/+311pB+voG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2GpD9xwAAANwAAAAPAAAAAAAA&#10;AAAAAAAAAKECAABkcnMvZG93bnJldi54bWxQSwUGAAAAAAQABAD5AAAAlQMAAAAA&#10;" strokecolor="#231f20" strokeweight=".5pt"/>
                <w10:anchorlock/>
              </v:group>
            </w:pict>
          </mc:Fallback>
        </mc:AlternateContent>
      </w:r>
    </w:p>
    <w:p w14:paraId="414C74B6" w14:textId="77777777" w:rsidR="00DE575E" w:rsidRDefault="00DE575E">
      <w:pPr>
        <w:pStyle w:val="BodyText"/>
        <w:spacing w:before="7"/>
        <w:rPr>
          <w:rFonts w:ascii="AdonisC"/>
          <w:i/>
          <w:sz w:val="11"/>
        </w:rPr>
      </w:pPr>
    </w:p>
    <w:p w14:paraId="2D2635DF" w14:textId="77777777" w:rsidR="00DE575E" w:rsidRDefault="002E7560">
      <w:pPr>
        <w:spacing w:before="101" w:line="252" w:lineRule="auto"/>
        <w:ind w:left="533"/>
        <w:rPr>
          <w:sz w:val="21"/>
        </w:rPr>
      </w:pPr>
      <w:r>
        <w:rPr>
          <w:color w:val="231F20"/>
          <w:sz w:val="21"/>
        </w:rPr>
        <w:t>вид підприємництва у відповідній сфері (</w:t>
      </w:r>
      <w:r>
        <w:rPr>
          <w:i/>
          <w:color w:val="231F20"/>
          <w:sz w:val="21"/>
        </w:rPr>
        <w:t>підприємництво є заборо- неним у будь-якому вигляді</w:t>
      </w:r>
      <w:r>
        <w:rPr>
          <w:color w:val="231F20"/>
          <w:sz w:val="21"/>
        </w:rPr>
        <w:t>).</w:t>
      </w:r>
    </w:p>
    <w:p w14:paraId="2DED77FE" w14:textId="77777777" w:rsidR="00DE575E" w:rsidRDefault="002E7560">
      <w:pPr>
        <w:pStyle w:val="BodyText"/>
        <w:spacing w:before="1"/>
        <w:ind w:left="817"/>
      </w:pPr>
      <w:r>
        <w:rPr>
          <w:color w:val="231F20"/>
        </w:rPr>
        <w:t>Деталізуємо зміст дозволених видів сумісництва:</w:t>
      </w:r>
    </w:p>
    <w:p w14:paraId="0A2105CC" w14:textId="77777777" w:rsidR="00DE575E" w:rsidRDefault="002E7560">
      <w:pPr>
        <w:pStyle w:val="ListParagraph"/>
        <w:numPr>
          <w:ilvl w:val="0"/>
          <w:numId w:val="76"/>
        </w:numPr>
        <w:tabs>
          <w:tab w:val="left" w:pos="1101"/>
        </w:tabs>
        <w:spacing w:before="12" w:line="252" w:lineRule="auto"/>
        <w:ind w:right="126" w:firstLine="284"/>
        <w:jc w:val="both"/>
        <w:rPr>
          <w:sz w:val="21"/>
        </w:rPr>
      </w:pPr>
      <w:r>
        <w:rPr>
          <w:b/>
          <w:i/>
          <w:color w:val="231F20"/>
          <w:sz w:val="21"/>
        </w:rPr>
        <w:t xml:space="preserve">викладацька діяльність </w:t>
      </w:r>
      <w:r>
        <w:rPr>
          <w:color w:val="231F20"/>
          <w:sz w:val="21"/>
        </w:rPr>
        <w:t>– діяльність, що спрямована на формування знань,  інши</w:t>
      </w:r>
      <w:r>
        <w:rPr>
          <w:color w:val="231F20"/>
          <w:sz w:val="21"/>
        </w:rPr>
        <w:t xml:space="preserve">х  компетентностей,  </w:t>
      </w:r>
      <w:r>
        <w:rPr>
          <w:color w:val="231F20"/>
          <w:spacing w:val="-3"/>
          <w:sz w:val="21"/>
        </w:rPr>
        <w:t xml:space="preserve">світогляду,  </w:t>
      </w:r>
      <w:r>
        <w:rPr>
          <w:color w:val="231F20"/>
          <w:sz w:val="21"/>
        </w:rPr>
        <w:t xml:space="preserve">розви- ток інтелектуальних і творчих здібностей, емоційно-вольових та/ або фізичних якостей здобувачів освіти (лекція, семінар, </w:t>
      </w:r>
      <w:r>
        <w:rPr>
          <w:color w:val="231F20"/>
          <w:spacing w:val="-3"/>
          <w:sz w:val="21"/>
        </w:rPr>
        <w:t xml:space="preserve">тренінг, </w:t>
      </w:r>
      <w:r>
        <w:rPr>
          <w:color w:val="231F20"/>
          <w:sz w:val="21"/>
        </w:rPr>
        <w:t>курси, майстер-клас, вебінар тощо) та провадиться педагогічним (науково-педагогічним)</w:t>
      </w:r>
      <w:r>
        <w:rPr>
          <w:color w:val="231F20"/>
          <w:sz w:val="21"/>
        </w:rPr>
        <w:t xml:space="preserve"> працівником, самозайнятою особою (крім осіб,</w:t>
      </w:r>
      <w:r>
        <w:rPr>
          <w:color w:val="231F20"/>
          <w:spacing w:val="-11"/>
          <w:sz w:val="21"/>
        </w:rPr>
        <w:t xml:space="preserve"> </w:t>
      </w:r>
      <w:r>
        <w:rPr>
          <w:color w:val="231F20"/>
          <w:sz w:val="21"/>
        </w:rPr>
        <w:t>яким</w:t>
      </w:r>
      <w:r>
        <w:rPr>
          <w:color w:val="231F20"/>
          <w:spacing w:val="-11"/>
          <w:sz w:val="21"/>
        </w:rPr>
        <w:t xml:space="preserve"> </w:t>
      </w:r>
      <w:r>
        <w:rPr>
          <w:color w:val="231F20"/>
          <w:sz w:val="21"/>
        </w:rPr>
        <w:t>така</w:t>
      </w:r>
      <w:r>
        <w:rPr>
          <w:color w:val="231F20"/>
          <w:spacing w:val="-11"/>
          <w:sz w:val="21"/>
        </w:rPr>
        <w:t xml:space="preserve"> </w:t>
      </w:r>
      <w:r>
        <w:rPr>
          <w:color w:val="231F20"/>
          <w:sz w:val="21"/>
        </w:rPr>
        <w:t>форма</w:t>
      </w:r>
      <w:r>
        <w:rPr>
          <w:color w:val="231F20"/>
          <w:spacing w:val="-11"/>
          <w:sz w:val="21"/>
        </w:rPr>
        <w:t xml:space="preserve"> </w:t>
      </w:r>
      <w:r>
        <w:rPr>
          <w:color w:val="231F20"/>
          <w:sz w:val="21"/>
        </w:rPr>
        <w:t>викладацької</w:t>
      </w:r>
      <w:r>
        <w:rPr>
          <w:color w:val="231F20"/>
          <w:spacing w:val="-11"/>
          <w:sz w:val="21"/>
        </w:rPr>
        <w:t xml:space="preserve"> </w:t>
      </w:r>
      <w:r>
        <w:rPr>
          <w:color w:val="231F20"/>
          <w:sz w:val="21"/>
        </w:rPr>
        <w:t>діяльності</w:t>
      </w:r>
      <w:r>
        <w:rPr>
          <w:color w:val="231F20"/>
          <w:spacing w:val="-11"/>
          <w:sz w:val="21"/>
        </w:rPr>
        <w:t xml:space="preserve"> </w:t>
      </w:r>
      <w:r>
        <w:rPr>
          <w:color w:val="231F20"/>
          <w:sz w:val="21"/>
        </w:rPr>
        <w:t>заборонена</w:t>
      </w:r>
      <w:r>
        <w:rPr>
          <w:color w:val="231F20"/>
          <w:spacing w:val="-11"/>
          <w:sz w:val="21"/>
        </w:rPr>
        <w:t xml:space="preserve"> </w:t>
      </w:r>
      <w:r>
        <w:rPr>
          <w:color w:val="231F20"/>
          <w:sz w:val="21"/>
        </w:rPr>
        <w:t xml:space="preserve">законом) або іншою фізичною особою на основі відповідного </w:t>
      </w:r>
      <w:r>
        <w:rPr>
          <w:color w:val="231F20"/>
          <w:spacing w:val="-3"/>
          <w:sz w:val="21"/>
        </w:rPr>
        <w:t xml:space="preserve">трудового </w:t>
      </w:r>
      <w:r>
        <w:rPr>
          <w:color w:val="231F20"/>
          <w:sz w:val="21"/>
        </w:rPr>
        <w:t xml:space="preserve">або цивільно-правового </w:t>
      </w:r>
      <w:r>
        <w:rPr>
          <w:color w:val="231F20"/>
          <w:spacing w:val="-3"/>
          <w:sz w:val="21"/>
        </w:rPr>
        <w:t xml:space="preserve">договору. </w:t>
      </w:r>
      <w:r>
        <w:rPr>
          <w:color w:val="231F20"/>
          <w:spacing w:val="-5"/>
          <w:sz w:val="21"/>
        </w:rPr>
        <w:t xml:space="preserve">Така </w:t>
      </w:r>
      <w:r>
        <w:rPr>
          <w:color w:val="231F20"/>
          <w:sz w:val="21"/>
        </w:rPr>
        <w:t xml:space="preserve">дефініція закріплена в п. 4 ч. 1  </w:t>
      </w:r>
      <w:r>
        <w:rPr>
          <w:color w:val="231F20"/>
          <w:spacing w:val="-6"/>
          <w:sz w:val="21"/>
        </w:rPr>
        <w:t xml:space="preserve">ст. </w:t>
      </w:r>
      <w:r>
        <w:rPr>
          <w:color w:val="231F20"/>
          <w:sz w:val="21"/>
        </w:rPr>
        <w:t>1 Закону «Про освіту»</w:t>
      </w:r>
      <w:r>
        <w:rPr>
          <w:color w:val="231F20"/>
          <w:position w:val="7"/>
          <w:sz w:val="12"/>
        </w:rPr>
        <w:t xml:space="preserve">1 </w:t>
      </w:r>
      <w:r>
        <w:rPr>
          <w:color w:val="231F20"/>
          <w:sz w:val="21"/>
        </w:rPr>
        <w:t xml:space="preserve">від 05 вересня 2017 р., яким </w:t>
      </w:r>
      <w:r>
        <w:rPr>
          <w:color w:val="231F20"/>
          <w:spacing w:val="-3"/>
          <w:sz w:val="21"/>
        </w:rPr>
        <w:t xml:space="preserve">було </w:t>
      </w:r>
      <w:r>
        <w:rPr>
          <w:color w:val="231F20"/>
          <w:sz w:val="21"/>
        </w:rPr>
        <w:t>усунуто більшість</w:t>
      </w:r>
      <w:r>
        <w:rPr>
          <w:color w:val="231F20"/>
          <w:spacing w:val="-13"/>
          <w:sz w:val="21"/>
        </w:rPr>
        <w:t xml:space="preserve"> </w:t>
      </w:r>
      <w:r>
        <w:rPr>
          <w:color w:val="231F20"/>
          <w:sz w:val="21"/>
        </w:rPr>
        <w:t>наявних</w:t>
      </w:r>
      <w:r>
        <w:rPr>
          <w:color w:val="231F20"/>
          <w:spacing w:val="-13"/>
          <w:sz w:val="21"/>
        </w:rPr>
        <w:t xml:space="preserve"> </w:t>
      </w:r>
      <w:r>
        <w:rPr>
          <w:color w:val="231F20"/>
          <w:sz w:val="21"/>
        </w:rPr>
        <w:t>раніше</w:t>
      </w:r>
      <w:r>
        <w:rPr>
          <w:color w:val="231F20"/>
          <w:spacing w:val="-14"/>
          <w:sz w:val="21"/>
        </w:rPr>
        <w:t xml:space="preserve"> </w:t>
      </w:r>
      <w:r>
        <w:rPr>
          <w:color w:val="231F20"/>
          <w:sz w:val="21"/>
        </w:rPr>
        <w:t>суперечностей</w:t>
      </w:r>
      <w:r>
        <w:rPr>
          <w:color w:val="231F20"/>
          <w:spacing w:val="-14"/>
          <w:sz w:val="21"/>
        </w:rPr>
        <w:t xml:space="preserve"> </w:t>
      </w:r>
      <w:r>
        <w:rPr>
          <w:color w:val="231F20"/>
          <w:sz w:val="21"/>
        </w:rPr>
        <w:t>стосовно</w:t>
      </w:r>
      <w:r>
        <w:rPr>
          <w:color w:val="231F20"/>
          <w:spacing w:val="-14"/>
          <w:sz w:val="21"/>
        </w:rPr>
        <w:t xml:space="preserve"> </w:t>
      </w:r>
      <w:r>
        <w:rPr>
          <w:color w:val="231F20"/>
          <w:sz w:val="21"/>
        </w:rPr>
        <w:t>розуміння</w:t>
      </w:r>
      <w:r>
        <w:rPr>
          <w:color w:val="231F20"/>
          <w:spacing w:val="-14"/>
          <w:sz w:val="21"/>
        </w:rPr>
        <w:t xml:space="preserve"> </w:t>
      </w:r>
      <w:r>
        <w:rPr>
          <w:color w:val="231F20"/>
          <w:sz w:val="21"/>
        </w:rPr>
        <w:t>викла- дацької діяльності та розширено її зміст до активності, що може здійснюватися як у навчальному закладі, так і поза його межами</w:t>
      </w:r>
      <w:r>
        <w:rPr>
          <w:color w:val="231F20"/>
          <w:sz w:val="21"/>
        </w:rPr>
        <w:t xml:space="preserve">; не обов’язково пов’язана зі здобуттям певного освітнього ступеня та отриманням офіційного документа про освіту; втілюється не лише педагогічним чи науково-педагогічним працівником, але й іншими фізичними особами; втілюється не лише на основі </w:t>
      </w:r>
      <w:r>
        <w:rPr>
          <w:color w:val="231F20"/>
          <w:spacing w:val="-3"/>
          <w:sz w:val="21"/>
        </w:rPr>
        <w:t xml:space="preserve">трудового </w:t>
      </w:r>
      <w:r>
        <w:rPr>
          <w:color w:val="231F20"/>
          <w:sz w:val="21"/>
        </w:rPr>
        <w:t>до</w:t>
      </w:r>
      <w:r>
        <w:rPr>
          <w:color w:val="231F20"/>
          <w:sz w:val="21"/>
        </w:rPr>
        <w:t>го- вору; не завжди вимагає наявності у відповідної особи фахової освіти з тематики викладацької</w:t>
      </w:r>
      <w:r>
        <w:rPr>
          <w:color w:val="231F20"/>
          <w:spacing w:val="-3"/>
          <w:sz w:val="21"/>
        </w:rPr>
        <w:t xml:space="preserve"> </w:t>
      </w:r>
      <w:r>
        <w:rPr>
          <w:color w:val="231F20"/>
          <w:sz w:val="21"/>
        </w:rPr>
        <w:t>діяльності</w:t>
      </w:r>
      <w:r>
        <w:rPr>
          <w:color w:val="231F20"/>
          <w:position w:val="7"/>
          <w:sz w:val="12"/>
        </w:rPr>
        <w:t>2</w:t>
      </w:r>
      <w:r>
        <w:rPr>
          <w:color w:val="231F20"/>
          <w:sz w:val="21"/>
        </w:rPr>
        <w:t>;</w:t>
      </w:r>
    </w:p>
    <w:p w14:paraId="2FE81144" w14:textId="77777777" w:rsidR="00DE575E" w:rsidRDefault="002E7560">
      <w:pPr>
        <w:pStyle w:val="ListParagraph"/>
        <w:numPr>
          <w:ilvl w:val="0"/>
          <w:numId w:val="76"/>
        </w:numPr>
        <w:tabs>
          <w:tab w:val="left" w:pos="1101"/>
        </w:tabs>
        <w:spacing w:before="10" w:line="252" w:lineRule="auto"/>
        <w:ind w:right="124" w:firstLine="284"/>
        <w:jc w:val="both"/>
        <w:rPr>
          <w:sz w:val="21"/>
        </w:rPr>
      </w:pPr>
      <w:r>
        <w:rPr>
          <w:b/>
          <w:i/>
          <w:color w:val="231F20"/>
          <w:sz w:val="21"/>
        </w:rPr>
        <w:t xml:space="preserve">наукова діяльність </w:t>
      </w:r>
      <w:r>
        <w:rPr>
          <w:color w:val="231F20"/>
          <w:sz w:val="21"/>
        </w:rPr>
        <w:t>– інтелектуальна творча діяльність, спрямована  на  одержання  нових  знань  та  (або)  пошук  шляхів   їх застосування, основн</w:t>
      </w:r>
      <w:r>
        <w:rPr>
          <w:color w:val="231F20"/>
          <w:sz w:val="21"/>
        </w:rPr>
        <w:t>ими видами якої є фундаментальні та прикладні наукові дослідження; результатом перших є гіпотези, теорії, нові методи пізнання, відкриття законів природи, невідомих раніше явищ і властивостей матерії тощо, а результатом других – нові знання, призначені для</w:t>
      </w:r>
      <w:r>
        <w:rPr>
          <w:color w:val="231F20"/>
          <w:sz w:val="21"/>
        </w:rPr>
        <w:t xml:space="preserve"> створення нових або вдосконалення існуючих матеріалів, продуктів, пропозиції щодо виконання акту- альних науково-технічних завдань тощо </w:t>
      </w:r>
      <w:r>
        <w:rPr>
          <w:color w:val="231F20"/>
          <w:spacing w:val="-4"/>
          <w:sz w:val="21"/>
        </w:rPr>
        <w:t xml:space="preserve">(ст. </w:t>
      </w:r>
      <w:r>
        <w:rPr>
          <w:color w:val="231F20"/>
          <w:sz w:val="21"/>
        </w:rPr>
        <w:t>1 Закону «Про наукову і науково-технічну</w:t>
      </w:r>
      <w:r>
        <w:rPr>
          <w:color w:val="231F20"/>
          <w:spacing w:val="7"/>
          <w:sz w:val="21"/>
        </w:rPr>
        <w:t xml:space="preserve"> </w:t>
      </w:r>
      <w:r>
        <w:rPr>
          <w:color w:val="231F20"/>
          <w:sz w:val="21"/>
        </w:rPr>
        <w:t>діяльність»</w:t>
      </w:r>
      <w:r>
        <w:rPr>
          <w:color w:val="231F20"/>
          <w:position w:val="7"/>
          <w:sz w:val="12"/>
        </w:rPr>
        <w:t>3</w:t>
      </w:r>
      <w:r>
        <w:rPr>
          <w:color w:val="231F20"/>
          <w:sz w:val="21"/>
        </w:rPr>
        <w:t>);</w:t>
      </w:r>
    </w:p>
    <w:p w14:paraId="74EB3358" w14:textId="2E4A4EA0" w:rsidR="00DE575E" w:rsidRDefault="002E7560">
      <w:pPr>
        <w:pStyle w:val="BodyText"/>
        <w:spacing w:before="1"/>
      </w:pPr>
      <w:r>
        <w:rPr>
          <w:noProof/>
        </w:rPr>
        <mc:AlternateContent>
          <mc:Choice Requires="wps">
            <w:drawing>
              <wp:anchor distT="0" distB="0" distL="0" distR="0" simplePos="0" relativeHeight="16336" behindDoc="0" locked="0" layoutInCell="1" allowOverlap="1" wp14:anchorId="6B141632" wp14:editId="1BA1EE93">
                <wp:simplePos x="0" y="0"/>
                <wp:positionH relativeFrom="page">
                  <wp:posOffset>719455</wp:posOffset>
                </wp:positionH>
                <wp:positionV relativeFrom="paragraph">
                  <wp:posOffset>184785</wp:posOffset>
                </wp:positionV>
                <wp:extent cx="1080135" cy="0"/>
                <wp:effectExtent l="8255" t="6985" r="29210" b="31115"/>
                <wp:wrapTopAndBottom/>
                <wp:docPr id="35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469E4" id="Line_x0020_354" o:spid="_x0000_s1026" style="position:absolute;z-index:1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55pt" to="141.7pt,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tdSyI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" strokecolor="#231f20" strokeweight=".5pt">
                <w10:wrap type="topAndBottom" anchorx="page"/>
              </v:line>
            </w:pict>
          </mc:Fallback>
        </mc:AlternateContent>
      </w:r>
    </w:p>
    <w:p w14:paraId="7E1DA868" w14:textId="77777777" w:rsidR="00DE575E" w:rsidRDefault="002E7560">
      <w:pPr>
        <w:spacing w:line="162" w:lineRule="exact"/>
        <w:ind w:left="533"/>
        <w:rPr>
          <w:sz w:val="16"/>
        </w:rPr>
      </w:pPr>
      <w:r>
        <w:rPr>
          <w:color w:val="231F20"/>
          <w:position w:val="5"/>
          <w:sz w:val="9"/>
        </w:rPr>
        <w:t xml:space="preserve">1 </w:t>
      </w:r>
      <w:r>
        <w:rPr>
          <w:color w:val="231F20"/>
          <w:sz w:val="16"/>
        </w:rPr>
        <w:t>Про освіту: Закону України від 05.09.2017 р. № 2145-VI</w:t>
      </w:r>
      <w:r>
        <w:rPr>
          <w:color w:val="231F20"/>
          <w:sz w:val="16"/>
        </w:rPr>
        <w:t>II.</w:t>
      </w:r>
    </w:p>
    <w:p w14:paraId="52D29E48" w14:textId="77777777" w:rsidR="00DE575E" w:rsidRDefault="002E7560">
      <w:pPr>
        <w:spacing w:before="23" w:line="204" w:lineRule="auto"/>
        <w:ind w:left="533" w:right="127"/>
        <w:jc w:val="both"/>
        <w:rPr>
          <w:sz w:val="16"/>
        </w:rPr>
      </w:pPr>
      <w:r>
        <w:rPr>
          <w:color w:val="231F20"/>
          <w:position w:val="5"/>
          <w:sz w:val="9"/>
        </w:rPr>
        <w:t xml:space="preserve">2 </w:t>
      </w:r>
      <w:r>
        <w:rPr>
          <w:color w:val="231F20"/>
          <w:sz w:val="16"/>
        </w:rPr>
        <w:t xml:space="preserve">Якщо публічний службовець на підставі цивільного правочину виконував функції модератора або лектора на заході, організованому громадською організацією та присвя- ченому питанням рибальства, то подібна оплачувана діяльність має бути визнана викла- дацькою. </w:t>
      </w:r>
      <w:r>
        <w:rPr>
          <w:color w:val="231F20"/>
          <w:sz w:val="16"/>
        </w:rPr>
        <w:t>Висхідним критерієм ідентифікації останньої є спрямованість на «формування знань, інших компетентностей, світогляду, розвиток інтелектуальних і творчих здібнос- тей, емоційно-вольових та/або фізичних якостей».</w:t>
      </w:r>
    </w:p>
    <w:p w14:paraId="750F1DC6" w14:textId="77777777" w:rsidR="00DE575E" w:rsidRDefault="002E7560">
      <w:pPr>
        <w:spacing w:before="9" w:line="174" w:lineRule="exact"/>
        <w:ind w:left="533"/>
        <w:jc w:val="both"/>
        <w:rPr>
          <w:sz w:val="16"/>
        </w:rPr>
      </w:pPr>
      <w:r>
        <w:rPr>
          <w:color w:val="231F20"/>
          <w:position w:val="5"/>
          <w:sz w:val="9"/>
        </w:rPr>
        <w:t xml:space="preserve">3 </w:t>
      </w:r>
      <w:r>
        <w:rPr>
          <w:color w:val="231F20"/>
          <w:sz w:val="16"/>
        </w:rPr>
        <w:t>Про наукову і науково-технічну діяльність: З</w:t>
      </w:r>
      <w:r>
        <w:rPr>
          <w:color w:val="231F20"/>
          <w:sz w:val="16"/>
        </w:rPr>
        <w:t>акон України від 25.11.2015 р.</w:t>
      </w:r>
    </w:p>
    <w:p w14:paraId="5FF62B2A" w14:textId="77777777" w:rsidR="00DE575E" w:rsidRDefault="002E7560">
      <w:pPr>
        <w:spacing w:line="174" w:lineRule="exact"/>
        <w:ind w:left="533"/>
        <w:jc w:val="both"/>
        <w:rPr>
          <w:sz w:val="16"/>
        </w:rPr>
      </w:pPr>
      <w:r>
        <w:rPr>
          <w:color w:val="231F20"/>
          <w:sz w:val="16"/>
        </w:rPr>
        <w:t>№ 848-VIII.</w:t>
      </w:r>
    </w:p>
    <w:p w14:paraId="01E2DC61" w14:textId="77777777" w:rsidR="00DE575E" w:rsidRDefault="00DE575E">
      <w:pPr>
        <w:pStyle w:val="BodyText"/>
        <w:spacing w:before="11"/>
        <w:rPr>
          <w:sz w:val="11"/>
        </w:rPr>
      </w:pPr>
    </w:p>
    <w:p w14:paraId="772D1AD9" w14:textId="77777777" w:rsidR="00DE575E" w:rsidRDefault="002E7560">
      <w:pPr>
        <w:spacing w:before="91"/>
        <w:ind w:left="533"/>
        <w:rPr>
          <w:rFonts w:ascii="Times New Roman"/>
          <w:sz w:val="20"/>
        </w:rPr>
      </w:pPr>
      <w:r>
        <w:rPr>
          <w:rFonts w:ascii="Times New Roman"/>
          <w:color w:val="231F20"/>
          <w:sz w:val="20"/>
        </w:rPr>
        <w:t>416</w:t>
      </w:r>
    </w:p>
    <w:p w14:paraId="186BFE15" w14:textId="77777777" w:rsidR="00DE575E" w:rsidRDefault="00DE575E">
      <w:pPr>
        <w:rPr>
          <w:rFonts w:ascii="Times New Roman"/>
          <w:sz w:val="20"/>
        </w:rPr>
        <w:sectPr w:rsidR="00DE575E">
          <w:pgSz w:w="8510" w:h="12760"/>
          <w:pgMar w:top="660" w:right="720" w:bottom="280" w:left="600" w:header="720" w:footer="720" w:gutter="0"/>
          <w:cols w:space="720"/>
        </w:sectPr>
      </w:pPr>
    </w:p>
    <w:p w14:paraId="01FF30CB"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35FF81F6" w14:textId="710AFD0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CA47ED6" wp14:editId="58E1FF46">
                <wp:extent cx="4140200" cy="6350"/>
                <wp:effectExtent l="0" t="0" r="12700" b="6350"/>
                <wp:docPr id="35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54" name="Line 35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AA2DB" id="Group_x0020_35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Kj6iF/AgAAmAUAAA4A&#10;AAAAAAAAAAAAAAAALAIAAGRycy9lMm9Eb2MueG1sUEsBAi0AFAAGAAgAAAAhAEynsJDZAAAAAwEA&#10;AA8AAAAAAAAAAAAAAAAA1wQAAGRycy9kb3ducmV2LnhtbFBLBQYAAAAABAAEAPMAAADdBQAAAAA=&#10;">
                <v:line id="Line_x0020_35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gOiscAAADcAAAADwAAAGRycy9kb3ducmV2LnhtbESP3WrCQBSE7wXfYTkFb0rdtKlFoqtI&#10;oSC98C8+wDF7TEJ3z8bsatI+fbdQ8HKYmW+Y+bK3Rtyo9bVjBc/jBARx4XTNpYJj/vE0BeEDskbj&#10;mBR8k4flYjiYY6Zdx3u6HUIpIoR9hgqqEJpMSl9UZNGPXUMcvbNrLYYo21LqFrsIt0a+JMmbtFhz&#10;XKiwofeKiq/D1SrIL4/B7Lafpsu3p1SeLpv057pRavTQr2YgAvXhHv5vr7WCdPI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yA6KxwAAANwAAAAPAAAAAAAA&#10;AAAAAAAAAKECAABkcnMvZG93bnJldi54bWxQSwUGAAAAAAQABAD5AAAAlQMAAAAA&#10;" strokecolor="#231f20" strokeweight=".5pt"/>
                <w10:anchorlock/>
              </v:group>
            </w:pict>
          </mc:Fallback>
        </mc:AlternateContent>
      </w:r>
    </w:p>
    <w:p w14:paraId="26298646" w14:textId="77777777" w:rsidR="00DE575E" w:rsidRDefault="00DE575E">
      <w:pPr>
        <w:pStyle w:val="BodyText"/>
        <w:spacing w:before="7"/>
        <w:rPr>
          <w:rFonts w:ascii="AdonisC"/>
          <w:i/>
          <w:sz w:val="19"/>
        </w:rPr>
      </w:pPr>
    </w:p>
    <w:p w14:paraId="2210F5FC" w14:textId="77777777" w:rsidR="00DE575E" w:rsidRDefault="002E7560">
      <w:pPr>
        <w:pStyle w:val="ListParagraph"/>
        <w:numPr>
          <w:ilvl w:val="0"/>
          <w:numId w:val="75"/>
        </w:numPr>
        <w:tabs>
          <w:tab w:val="left" w:pos="818"/>
        </w:tabs>
        <w:spacing w:line="252" w:lineRule="auto"/>
        <w:ind w:right="410" w:firstLine="283"/>
        <w:jc w:val="both"/>
        <w:rPr>
          <w:sz w:val="21"/>
        </w:rPr>
      </w:pPr>
      <w:r>
        <w:rPr>
          <w:b/>
          <w:i/>
          <w:color w:val="231F20"/>
          <w:sz w:val="21"/>
        </w:rPr>
        <w:t xml:space="preserve">творча діяльність </w:t>
      </w:r>
      <w:r>
        <w:rPr>
          <w:color w:val="231F20"/>
          <w:sz w:val="21"/>
        </w:rPr>
        <w:t xml:space="preserve">– індивідуальна чи колективна творчість, </w:t>
      </w:r>
      <w:r>
        <w:rPr>
          <w:color w:val="231F20"/>
          <w:spacing w:val="-3"/>
          <w:sz w:val="21"/>
        </w:rPr>
        <w:t xml:space="preserve">результатом </w:t>
      </w:r>
      <w:r>
        <w:rPr>
          <w:color w:val="231F20"/>
          <w:sz w:val="21"/>
        </w:rPr>
        <w:t xml:space="preserve">якої є створення або інтерпретація творів, що мають </w:t>
      </w:r>
      <w:r>
        <w:rPr>
          <w:color w:val="231F20"/>
          <w:spacing w:val="-3"/>
          <w:sz w:val="21"/>
        </w:rPr>
        <w:t xml:space="preserve">культурну </w:t>
      </w:r>
      <w:r>
        <w:rPr>
          <w:color w:val="231F20"/>
          <w:sz w:val="21"/>
        </w:rPr>
        <w:t xml:space="preserve">цінність </w:t>
      </w:r>
      <w:r>
        <w:rPr>
          <w:color w:val="231F20"/>
          <w:spacing w:val="-5"/>
          <w:sz w:val="21"/>
        </w:rPr>
        <w:t xml:space="preserve">(ст. </w:t>
      </w:r>
      <w:r>
        <w:rPr>
          <w:color w:val="231F20"/>
          <w:sz w:val="21"/>
        </w:rPr>
        <w:t>1 Закону «Про професійних творчих праців- ників та творчі спілки»</w:t>
      </w:r>
      <w:r>
        <w:rPr>
          <w:color w:val="231F20"/>
          <w:position w:val="7"/>
          <w:sz w:val="12"/>
        </w:rPr>
        <w:t>1</w:t>
      </w:r>
      <w:r>
        <w:rPr>
          <w:color w:val="231F20"/>
          <w:sz w:val="21"/>
        </w:rPr>
        <w:t xml:space="preserve">). </w:t>
      </w:r>
      <w:r>
        <w:rPr>
          <w:color w:val="231F20"/>
          <w:spacing w:val="-3"/>
          <w:sz w:val="21"/>
        </w:rPr>
        <w:t xml:space="preserve">Культурна </w:t>
      </w:r>
      <w:r>
        <w:rPr>
          <w:color w:val="231F20"/>
          <w:sz w:val="21"/>
        </w:rPr>
        <w:t>цінність визнається за твором, який має художнє, історичне, етнографічне, наукове, освітнє або естетичне</w:t>
      </w:r>
      <w:r>
        <w:rPr>
          <w:color w:val="231F20"/>
          <w:spacing w:val="-1"/>
          <w:sz w:val="21"/>
        </w:rPr>
        <w:t xml:space="preserve"> </w:t>
      </w:r>
      <w:r>
        <w:rPr>
          <w:color w:val="231F20"/>
          <w:sz w:val="21"/>
        </w:rPr>
        <w:t>значення;</w:t>
      </w:r>
    </w:p>
    <w:p w14:paraId="7FB9941E" w14:textId="77777777" w:rsidR="00DE575E" w:rsidRDefault="002E7560">
      <w:pPr>
        <w:pStyle w:val="ListParagraph"/>
        <w:numPr>
          <w:ilvl w:val="0"/>
          <w:numId w:val="75"/>
        </w:numPr>
        <w:tabs>
          <w:tab w:val="left" w:pos="818"/>
        </w:tabs>
        <w:spacing w:before="3" w:line="252" w:lineRule="auto"/>
        <w:ind w:right="411" w:firstLine="283"/>
        <w:jc w:val="both"/>
        <w:rPr>
          <w:sz w:val="21"/>
        </w:rPr>
      </w:pPr>
      <w:r>
        <w:rPr>
          <w:b/>
          <w:i/>
          <w:color w:val="231F20"/>
          <w:sz w:val="21"/>
        </w:rPr>
        <w:t xml:space="preserve">медична практика </w:t>
      </w:r>
      <w:r>
        <w:rPr>
          <w:color w:val="231F20"/>
          <w:sz w:val="21"/>
        </w:rPr>
        <w:t>– це діяльність у сфері охорони здоров’я, що здійснюється з метою надання медичної допомоги та</w:t>
      </w:r>
      <w:r>
        <w:rPr>
          <w:color w:val="231F20"/>
          <w:spacing w:val="-24"/>
          <w:sz w:val="21"/>
        </w:rPr>
        <w:t xml:space="preserve"> </w:t>
      </w:r>
      <w:r>
        <w:rPr>
          <w:color w:val="231F20"/>
          <w:sz w:val="21"/>
        </w:rPr>
        <w:t>медичного обслугову</w:t>
      </w:r>
      <w:r>
        <w:rPr>
          <w:color w:val="231F20"/>
          <w:sz w:val="21"/>
        </w:rPr>
        <w:t>вання професійно підготовленими медичними працівни- ками на підставі отриманої відповідними закладами або фізичними особами-підприємцями (за наймом яких втілюється медична прак- тика)</w:t>
      </w:r>
      <w:r>
        <w:rPr>
          <w:color w:val="231F20"/>
          <w:spacing w:val="-2"/>
          <w:sz w:val="21"/>
        </w:rPr>
        <w:t xml:space="preserve"> </w:t>
      </w:r>
      <w:r>
        <w:rPr>
          <w:color w:val="231F20"/>
          <w:sz w:val="21"/>
        </w:rPr>
        <w:t>ліцензії;</w:t>
      </w:r>
    </w:p>
    <w:p w14:paraId="0D743F5C" w14:textId="77777777" w:rsidR="00DE575E" w:rsidRDefault="002E7560">
      <w:pPr>
        <w:pStyle w:val="ListParagraph"/>
        <w:numPr>
          <w:ilvl w:val="0"/>
          <w:numId w:val="75"/>
        </w:numPr>
        <w:tabs>
          <w:tab w:val="left" w:pos="818"/>
        </w:tabs>
        <w:spacing w:before="3" w:line="252" w:lineRule="auto"/>
        <w:ind w:right="410" w:firstLine="283"/>
        <w:jc w:val="both"/>
        <w:rPr>
          <w:sz w:val="21"/>
        </w:rPr>
      </w:pPr>
      <w:r>
        <w:rPr>
          <w:b/>
          <w:i/>
          <w:color w:val="231F20"/>
          <w:sz w:val="21"/>
        </w:rPr>
        <w:t xml:space="preserve">спортивне суддівство </w:t>
      </w:r>
      <w:r>
        <w:rPr>
          <w:color w:val="231F20"/>
          <w:sz w:val="21"/>
        </w:rPr>
        <w:t xml:space="preserve">є діяльністю спортивних </w:t>
      </w:r>
      <w:r>
        <w:rPr>
          <w:color w:val="231F20"/>
          <w:spacing w:val="-3"/>
          <w:sz w:val="21"/>
        </w:rPr>
        <w:t xml:space="preserve">суддів </w:t>
      </w:r>
      <w:r>
        <w:rPr>
          <w:color w:val="231F20"/>
          <w:sz w:val="21"/>
        </w:rPr>
        <w:t>– фізичних</w:t>
      </w:r>
      <w:r>
        <w:rPr>
          <w:color w:val="231F20"/>
          <w:spacing w:val="-11"/>
          <w:sz w:val="21"/>
        </w:rPr>
        <w:t xml:space="preserve"> </w:t>
      </w:r>
      <w:r>
        <w:rPr>
          <w:color w:val="231F20"/>
          <w:sz w:val="21"/>
        </w:rPr>
        <w:t>осіб,</w:t>
      </w:r>
      <w:r>
        <w:rPr>
          <w:color w:val="231F20"/>
          <w:spacing w:val="-11"/>
          <w:sz w:val="21"/>
        </w:rPr>
        <w:t xml:space="preserve"> </w:t>
      </w:r>
      <w:r>
        <w:rPr>
          <w:color w:val="231F20"/>
          <w:sz w:val="21"/>
        </w:rPr>
        <w:t>які</w:t>
      </w:r>
      <w:r>
        <w:rPr>
          <w:color w:val="231F20"/>
          <w:spacing w:val="-11"/>
          <w:sz w:val="21"/>
        </w:rPr>
        <w:t xml:space="preserve"> </w:t>
      </w:r>
      <w:r>
        <w:rPr>
          <w:color w:val="231F20"/>
          <w:sz w:val="21"/>
        </w:rPr>
        <w:t>пройшли</w:t>
      </w:r>
      <w:r>
        <w:rPr>
          <w:color w:val="231F20"/>
          <w:spacing w:val="-11"/>
          <w:sz w:val="21"/>
        </w:rPr>
        <w:t xml:space="preserve"> </w:t>
      </w:r>
      <w:r>
        <w:rPr>
          <w:color w:val="231F20"/>
          <w:sz w:val="21"/>
        </w:rPr>
        <w:t>спеціальну</w:t>
      </w:r>
      <w:r>
        <w:rPr>
          <w:color w:val="231F20"/>
          <w:spacing w:val="-11"/>
          <w:sz w:val="21"/>
        </w:rPr>
        <w:t xml:space="preserve"> </w:t>
      </w:r>
      <w:r>
        <w:rPr>
          <w:color w:val="231F20"/>
          <w:sz w:val="21"/>
        </w:rPr>
        <w:t>підготовку</w:t>
      </w:r>
      <w:r>
        <w:rPr>
          <w:color w:val="231F20"/>
          <w:spacing w:val="-11"/>
          <w:sz w:val="21"/>
        </w:rPr>
        <w:t xml:space="preserve"> </w:t>
      </w:r>
      <w:r>
        <w:rPr>
          <w:color w:val="231F20"/>
          <w:sz w:val="21"/>
        </w:rPr>
        <w:t>й</w:t>
      </w:r>
      <w:r>
        <w:rPr>
          <w:color w:val="231F20"/>
          <w:spacing w:val="-12"/>
          <w:sz w:val="21"/>
        </w:rPr>
        <w:t xml:space="preserve"> </w:t>
      </w:r>
      <w:r>
        <w:rPr>
          <w:color w:val="231F20"/>
          <w:sz w:val="21"/>
        </w:rPr>
        <w:t>отримали</w:t>
      </w:r>
      <w:r>
        <w:rPr>
          <w:color w:val="231F20"/>
          <w:spacing w:val="-11"/>
          <w:sz w:val="21"/>
        </w:rPr>
        <w:t xml:space="preserve"> </w:t>
      </w:r>
      <w:r>
        <w:rPr>
          <w:color w:val="231F20"/>
          <w:sz w:val="21"/>
        </w:rPr>
        <w:t xml:space="preserve">відпо- відну кваліфікаційну категорію та уповноважені забезпечувати дотримання правил спортивних змагань, положень (регламентів) про змагання, а також забезпечувати достовірність зафіксованих </w:t>
      </w:r>
      <w:r>
        <w:rPr>
          <w:color w:val="231F20"/>
          <w:spacing w:val="-3"/>
          <w:sz w:val="21"/>
        </w:rPr>
        <w:t xml:space="preserve">результатів </w:t>
      </w:r>
      <w:r>
        <w:rPr>
          <w:color w:val="231F20"/>
          <w:spacing w:val="-5"/>
          <w:sz w:val="21"/>
        </w:rPr>
        <w:t xml:space="preserve">(ст. </w:t>
      </w:r>
      <w:r>
        <w:rPr>
          <w:color w:val="231F20"/>
          <w:sz w:val="21"/>
        </w:rPr>
        <w:t xml:space="preserve">41 Закону «Про фізичну </w:t>
      </w:r>
      <w:r>
        <w:rPr>
          <w:color w:val="231F20"/>
          <w:spacing w:val="-3"/>
          <w:sz w:val="21"/>
        </w:rPr>
        <w:t xml:space="preserve">культуру </w:t>
      </w:r>
      <w:r>
        <w:rPr>
          <w:color w:val="231F20"/>
          <w:sz w:val="21"/>
        </w:rPr>
        <w:t>і спорт»</w:t>
      </w:r>
      <w:r>
        <w:rPr>
          <w:color w:val="231F20"/>
          <w:position w:val="7"/>
          <w:sz w:val="12"/>
        </w:rPr>
        <w:t>2</w:t>
      </w:r>
      <w:r>
        <w:rPr>
          <w:color w:val="231F20"/>
          <w:sz w:val="21"/>
        </w:rPr>
        <w:t xml:space="preserve">). Чинний в </w:t>
      </w:r>
      <w:r>
        <w:rPr>
          <w:color w:val="231F20"/>
          <w:spacing w:val="-3"/>
          <w:sz w:val="21"/>
        </w:rPr>
        <w:t xml:space="preserve">Україні </w:t>
      </w:r>
      <w:r>
        <w:rPr>
          <w:color w:val="231F20"/>
          <w:sz w:val="21"/>
        </w:rPr>
        <w:t>порядок допускає присвоєння кваліфікаційних категорій спортивним</w:t>
      </w:r>
      <w:r>
        <w:rPr>
          <w:color w:val="231F20"/>
          <w:spacing w:val="-6"/>
          <w:sz w:val="21"/>
        </w:rPr>
        <w:t xml:space="preserve"> </w:t>
      </w:r>
      <w:r>
        <w:rPr>
          <w:color w:val="231F20"/>
          <w:spacing w:val="-3"/>
          <w:sz w:val="21"/>
        </w:rPr>
        <w:t>суддям</w:t>
      </w:r>
      <w:r>
        <w:rPr>
          <w:color w:val="231F20"/>
          <w:spacing w:val="-6"/>
          <w:sz w:val="21"/>
        </w:rPr>
        <w:t xml:space="preserve"> </w:t>
      </w:r>
      <w:r>
        <w:rPr>
          <w:color w:val="231F20"/>
          <w:sz w:val="21"/>
        </w:rPr>
        <w:t>лише</w:t>
      </w:r>
      <w:r>
        <w:rPr>
          <w:color w:val="231F20"/>
          <w:spacing w:val="-6"/>
          <w:sz w:val="21"/>
        </w:rPr>
        <w:t xml:space="preserve"> </w:t>
      </w:r>
      <w:r>
        <w:rPr>
          <w:color w:val="231F20"/>
          <w:sz w:val="21"/>
        </w:rPr>
        <w:t>з</w:t>
      </w:r>
      <w:r>
        <w:rPr>
          <w:color w:val="231F20"/>
          <w:spacing w:val="-6"/>
          <w:sz w:val="21"/>
        </w:rPr>
        <w:t xml:space="preserve"> </w:t>
      </w:r>
      <w:r>
        <w:rPr>
          <w:color w:val="231F20"/>
          <w:sz w:val="21"/>
        </w:rPr>
        <w:t>визнаних</w:t>
      </w:r>
      <w:r>
        <w:rPr>
          <w:color w:val="231F20"/>
          <w:spacing w:val="-6"/>
          <w:sz w:val="21"/>
        </w:rPr>
        <w:t xml:space="preserve"> </w:t>
      </w:r>
      <w:r>
        <w:rPr>
          <w:color w:val="231F20"/>
          <w:sz w:val="21"/>
        </w:rPr>
        <w:t>видів</w:t>
      </w:r>
      <w:r>
        <w:rPr>
          <w:color w:val="231F20"/>
          <w:spacing w:val="-6"/>
          <w:sz w:val="21"/>
        </w:rPr>
        <w:t xml:space="preserve"> </w:t>
      </w:r>
      <w:r>
        <w:rPr>
          <w:color w:val="231F20"/>
          <w:spacing w:val="-3"/>
          <w:sz w:val="21"/>
        </w:rPr>
        <w:t>спорту,</w:t>
      </w:r>
      <w:r>
        <w:rPr>
          <w:color w:val="231F20"/>
          <w:spacing w:val="-6"/>
          <w:sz w:val="21"/>
        </w:rPr>
        <w:t xml:space="preserve"> </w:t>
      </w:r>
      <w:r>
        <w:rPr>
          <w:color w:val="231F20"/>
          <w:sz w:val="21"/>
        </w:rPr>
        <w:t>а</w:t>
      </w:r>
      <w:r>
        <w:rPr>
          <w:color w:val="231F20"/>
          <w:spacing w:val="-5"/>
          <w:sz w:val="21"/>
        </w:rPr>
        <w:t xml:space="preserve"> </w:t>
      </w:r>
      <w:r>
        <w:rPr>
          <w:color w:val="231F20"/>
          <w:sz w:val="21"/>
        </w:rPr>
        <w:t>тому</w:t>
      </w:r>
      <w:r>
        <w:rPr>
          <w:color w:val="231F20"/>
          <w:spacing w:val="-6"/>
          <w:sz w:val="21"/>
        </w:rPr>
        <w:t xml:space="preserve"> </w:t>
      </w:r>
      <w:r>
        <w:rPr>
          <w:color w:val="231F20"/>
          <w:sz w:val="21"/>
        </w:rPr>
        <w:t xml:space="preserve">суддівська діяльність із невизнаних видів </w:t>
      </w:r>
      <w:r>
        <w:rPr>
          <w:color w:val="231F20"/>
          <w:spacing w:val="-3"/>
          <w:sz w:val="21"/>
        </w:rPr>
        <w:t xml:space="preserve">спорту, </w:t>
      </w:r>
      <w:r>
        <w:rPr>
          <w:color w:val="231F20"/>
          <w:sz w:val="21"/>
        </w:rPr>
        <w:t xml:space="preserve">яка здійснюється на оплат- них умовах, </w:t>
      </w:r>
      <w:r>
        <w:rPr>
          <w:color w:val="231F20"/>
          <w:spacing w:val="-4"/>
          <w:sz w:val="21"/>
        </w:rPr>
        <w:t xml:space="preserve">буде </w:t>
      </w:r>
      <w:r>
        <w:rPr>
          <w:color w:val="231F20"/>
          <w:sz w:val="21"/>
        </w:rPr>
        <w:t>кваліфікуватися як порушення антикорупційних обмежень;</w:t>
      </w:r>
    </w:p>
    <w:p w14:paraId="3FAF54A9" w14:textId="77777777" w:rsidR="00DE575E" w:rsidRDefault="002E7560">
      <w:pPr>
        <w:pStyle w:val="ListParagraph"/>
        <w:numPr>
          <w:ilvl w:val="0"/>
          <w:numId w:val="75"/>
        </w:numPr>
        <w:tabs>
          <w:tab w:val="left" w:pos="818"/>
        </w:tabs>
        <w:spacing w:before="5" w:line="252" w:lineRule="auto"/>
        <w:ind w:right="410" w:firstLine="283"/>
        <w:jc w:val="both"/>
        <w:rPr>
          <w:sz w:val="21"/>
        </w:rPr>
      </w:pPr>
      <w:r>
        <w:rPr>
          <w:b/>
          <w:i/>
          <w:color w:val="231F20"/>
          <w:sz w:val="21"/>
        </w:rPr>
        <w:t>інструкторська</w:t>
      </w:r>
      <w:r>
        <w:rPr>
          <w:b/>
          <w:i/>
          <w:color w:val="231F20"/>
          <w:spacing w:val="-9"/>
          <w:sz w:val="21"/>
        </w:rPr>
        <w:t xml:space="preserve"> </w:t>
      </w:r>
      <w:r>
        <w:rPr>
          <w:b/>
          <w:i/>
          <w:color w:val="231F20"/>
          <w:sz w:val="21"/>
        </w:rPr>
        <w:t>практика</w:t>
      </w:r>
      <w:r>
        <w:rPr>
          <w:b/>
          <w:i/>
          <w:color w:val="231F20"/>
          <w:spacing w:val="-9"/>
          <w:sz w:val="21"/>
        </w:rPr>
        <w:t xml:space="preserve"> </w:t>
      </w:r>
      <w:r>
        <w:rPr>
          <w:b/>
          <w:i/>
          <w:color w:val="231F20"/>
          <w:sz w:val="21"/>
        </w:rPr>
        <w:t>зі</w:t>
      </w:r>
      <w:r>
        <w:rPr>
          <w:b/>
          <w:i/>
          <w:color w:val="231F20"/>
          <w:spacing w:val="-9"/>
          <w:sz w:val="21"/>
        </w:rPr>
        <w:t xml:space="preserve"> </w:t>
      </w:r>
      <w:r>
        <w:rPr>
          <w:b/>
          <w:i/>
          <w:color w:val="231F20"/>
          <w:sz w:val="21"/>
        </w:rPr>
        <w:t>спорту</w:t>
      </w:r>
      <w:r>
        <w:rPr>
          <w:b/>
          <w:i/>
          <w:color w:val="231F20"/>
          <w:spacing w:val="-9"/>
          <w:sz w:val="21"/>
        </w:rPr>
        <w:t xml:space="preserve"> </w:t>
      </w:r>
      <w:r>
        <w:rPr>
          <w:color w:val="231F20"/>
          <w:sz w:val="21"/>
        </w:rPr>
        <w:t>(нормативна</w:t>
      </w:r>
      <w:r>
        <w:rPr>
          <w:color w:val="231F20"/>
          <w:spacing w:val="-9"/>
          <w:sz w:val="21"/>
        </w:rPr>
        <w:t xml:space="preserve"> </w:t>
      </w:r>
      <w:r>
        <w:rPr>
          <w:color w:val="231F20"/>
          <w:sz w:val="21"/>
        </w:rPr>
        <w:t>дефініція відсутня)</w:t>
      </w:r>
      <w:r>
        <w:rPr>
          <w:color w:val="231F20"/>
          <w:spacing w:val="-10"/>
          <w:sz w:val="21"/>
        </w:rPr>
        <w:t xml:space="preserve"> </w:t>
      </w:r>
      <w:r>
        <w:rPr>
          <w:color w:val="231F20"/>
          <w:sz w:val="21"/>
        </w:rPr>
        <w:t>–</w:t>
      </w:r>
      <w:r>
        <w:rPr>
          <w:color w:val="231F20"/>
          <w:spacing w:val="-10"/>
          <w:sz w:val="21"/>
        </w:rPr>
        <w:t xml:space="preserve"> </w:t>
      </w:r>
      <w:r>
        <w:rPr>
          <w:color w:val="231F20"/>
          <w:sz w:val="21"/>
        </w:rPr>
        <w:t>професійна</w:t>
      </w:r>
      <w:r>
        <w:rPr>
          <w:color w:val="231F20"/>
          <w:spacing w:val="-10"/>
          <w:sz w:val="21"/>
        </w:rPr>
        <w:t xml:space="preserve"> </w:t>
      </w:r>
      <w:r>
        <w:rPr>
          <w:color w:val="231F20"/>
          <w:sz w:val="21"/>
        </w:rPr>
        <w:t>діяльність</w:t>
      </w:r>
      <w:r>
        <w:rPr>
          <w:color w:val="231F20"/>
          <w:spacing w:val="-10"/>
          <w:sz w:val="21"/>
        </w:rPr>
        <w:t xml:space="preserve"> </w:t>
      </w:r>
      <w:r>
        <w:rPr>
          <w:color w:val="231F20"/>
          <w:sz w:val="21"/>
        </w:rPr>
        <w:t>фізичної</w:t>
      </w:r>
      <w:r>
        <w:rPr>
          <w:color w:val="231F20"/>
          <w:spacing w:val="-10"/>
          <w:sz w:val="21"/>
        </w:rPr>
        <w:t xml:space="preserve"> </w:t>
      </w:r>
      <w:r>
        <w:rPr>
          <w:color w:val="231F20"/>
          <w:sz w:val="21"/>
        </w:rPr>
        <w:t>особи,</w:t>
      </w:r>
      <w:r>
        <w:rPr>
          <w:color w:val="231F20"/>
          <w:spacing w:val="-10"/>
          <w:sz w:val="21"/>
        </w:rPr>
        <w:t xml:space="preserve"> </w:t>
      </w:r>
      <w:r>
        <w:rPr>
          <w:color w:val="231F20"/>
          <w:sz w:val="21"/>
        </w:rPr>
        <w:t>яка</w:t>
      </w:r>
      <w:r>
        <w:rPr>
          <w:color w:val="231F20"/>
          <w:spacing w:val="-10"/>
          <w:sz w:val="21"/>
        </w:rPr>
        <w:t xml:space="preserve"> </w:t>
      </w:r>
      <w:r>
        <w:rPr>
          <w:color w:val="231F20"/>
          <w:sz w:val="21"/>
        </w:rPr>
        <w:t>має</w:t>
      </w:r>
      <w:r>
        <w:rPr>
          <w:color w:val="231F20"/>
          <w:spacing w:val="-10"/>
          <w:sz w:val="21"/>
        </w:rPr>
        <w:t xml:space="preserve"> </w:t>
      </w:r>
      <w:r>
        <w:rPr>
          <w:color w:val="231F20"/>
          <w:sz w:val="21"/>
        </w:rPr>
        <w:t>спеціальні знання</w:t>
      </w:r>
      <w:r>
        <w:rPr>
          <w:color w:val="231F20"/>
          <w:spacing w:val="-6"/>
          <w:sz w:val="21"/>
        </w:rPr>
        <w:t xml:space="preserve"> </w:t>
      </w:r>
      <w:r>
        <w:rPr>
          <w:color w:val="231F20"/>
          <w:sz w:val="21"/>
        </w:rPr>
        <w:t>та</w:t>
      </w:r>
      <w:r>
        <w:rPr>
          <w:color w:val="231F20"/>
          <w:spacing w:val="-6"/>
          <w:sz w:val="21"/>
        </w:rPr>
        <w:t xml:space="preserve"> </w:t>
      </w:r>
      <w:r>
        <w:rPr>
          <w:color w:val="231F20"/>
          <w:sz w:val="21"/>
        </w:rPr>
        <w:t>навички</w:t>
      </w:r>
      <w:r>
        <w:rPr>
          <w:color w:val="231F20"/>
          <w:spacing w:val="-6"/>
          <w:sz w:val="21"/>
        </w:rPr>
        <w:t xml:space="preserve"> </w:t>
      </w:r>
      <w:r>
        <w:rPr>
          <w:color w:val="231F20"/>
          <w:sz w:val="21"/>
        </w:rPr>
        <w:t>у</w:t>
      </w:r>
      <w:r>
        <w:rPr>
          <w:color w:val="231F20"/>
          <w:spacing w:val="-6"/>
          <w:sz w:val="21"/>
        </w:rPr>
        <w:t xml:space="preserve"> </w:t>
      </w:r>
      <w:r>
        <w:rPr>
          <w:color w:val="231F20"/>
          <w:sz w:val="21"/>
        </w:rPr>
        <w:t>сфері</w:t>
      </w:r>
      <w:r>
        <w:rPr>
          <w:color w:val="231F20"/>
          <w:spacing w:val="-6"/>
          <w:sz w:val="21"/>
        </w:rPr>
        <w:t xml:space="preserve"> </w:t>
      </w:r>
      <w:r>
        <w:rPr>
          <w:color w:val="231F20"/>
          <w:sz w:val="21"/>
        </w:rPr>
        <w:t>фізичн</w:t>
      </w:r>
      <w:r>
        <w:rPr>
          <w:color w:val="231F20"/>
          <w:sz w:val="21"/>
        </w:rPr>
        <w:t>ої</w:t>
      </w:r>
      <w:r>
        <w:rPr>
          <w:color w:val="231F20"/>
          <w:spacing w:val="-7"/>
          <w:sz w:val="21"/>
        </w:rPr>
        <w:t xml:space="preserve"> </w:t>
      </w:r>
      <w:r>
        <w:rPr>
          <w:color w:val="231F20"/>
          <w:spacing w:val="-3"/>
          <w:sz w:val="21"/>
        </w:rPr>
        <w:t>культури</w:t>
      </w:r>
      <w:r>
        <w:rPr>
          <w:color w:val="231F20"/>
          <w:spacing w:val="-6"/>
          <w:sz w:val="21"/>
        </w:rPr>
        <w:t xml:space="preserve"> </w:t>
      </w:r>
      <w:r>
        <w:rPr>
          <w:color w:val="231F20"/>
          <w:sz w:val="21"/>
        </w:rPr>
        <w:t>і</w:t>
      </w:r>
      <w:r>
        <w:rPr>
          <w:color w:val="231F20"/>
          <w:spacing w:val="-6"/>
          <w:sz w:val="21"/>
        </w:rPr>
        <w:t xml:space="preserve"> </w:t>
      </w:r>
      <w:r>
        <w:rPr>
          <w:color w:val="231F20"/>
          <w:sz w:val="21"/>
        </w:rPr>
        <w:t>спорту</w:t>
      </w:r>
      <w:r>
        <w:rPr>
          <w:color w:val="231F20"/>
          <w:spacing w:val="-6"/>
          <w:sz w:val="21"/>
        </w:rPr>
        <w:t xml:space="preserve"> </w:t>
      </w:r>
      <w:r>
        <w:rPr>
          <w:color w:val="231F20"/>
          <w:sz w:val="21"/>
        </w:rPr>
        <w:t>та</w:t>
      </w:r>
      <w:r>
        <w:rPr>
          <w:color w:val="231F20"/>
          <w:spacing w:val="-6"/>
          <w:sz w:val="21"/>
        </w:rPr>
        <w:t xml:space="preserve"> </w:t>
      </w:r>
      <w:r>
        <w:rPr>
          <w:color w:val="231F20"/>
          <w:sz w:val="21"/>
        </w:rPr>
        <w:t>безпосеред- ньо здійснює фізичне виховання спортсменів у процесі їх спортив- ної підготовки, інших фізичних осіб у процесі проведення фізкуль- турно-оздоровчої, спортивно-масової роботи, проведення інших заходів,</w:t>
      </w:r>
      <w:r>
        <w:rPr>
          <w:color w:val="231F20"/>
          <w:spacing w:val="-7"/>
          <w:sz w:val="21"/>
        </w:rPr>
        <w:t xml:space="preserve"> </w:t>
      </w:r>
      <w:r>
        <w:rPr>
          <w:color w:val="231F20"/>
          <w:sz w:val="21"/>
        </w:rPr>
        <w:t>необхідних</w:t>
      </w:r>
      <w:r>
        <w:rPr>
          <w:color w:val="231F20"/>
          <w:spacing w:val="-7"/>
          <w:sz w:val="21"/>
        </w:rPr>
        <w:t xml:space="preserve"> </w:t>
      </w:r>
      <w:r>
        <w:rPr>
          <w:color w:val="231F20"/>
          <w:sz w:val="21"/>
        </w:rPr>
        <w:t>для</w:t>
      </w:r>
      <w:r>
        <w:rPr>
          <w:color w:val="231F20"/>
          <w:spacing w:val="-7"/>
          <w:sz w:val="21"/>
        </w:rPr>
        <w:t xml:space="preserve"> </w:t>
      </w:r>
      <w:r>
        <w:rPr>
          <w:color w:val="231F20"/>
          <w:sz w:val="21"/>
        </w:rPr>
        <w:t>спор</w:t>
      </w:r>
      <w:r>
        <w:rPr>
          <w:color w:val="231F20"/>
          <w:sz w:val="21"/>
        </w:rPr>
        <w:t>тивної</w:t>
      </w:r>
      <w:r>
        <w:rPr>
          <w:color w:val="231F20"/>
          <w:spacing w:val="-8"/>
          <w:sz w:val="21"/>
        </w:rPr>
        <w:t xml:space="preserve"> </w:t>
      </w:r>
      <w:r>
        <w:rPr>
          <w:color w:val="231F20"/>
          <w:sz w:val="21"/>
        </w:rPr>
        <w:t>підготовки</w:t>
      </w:r>
      <w:r>
        <w:rPr>
          <w:color w:val="231F20"/>
          <w:spacing w:val="-7"/>
          <w:sz w:val="21"/>
        </w:rPr>
        <w:t xml:space="preserve"> </w:t>
      </w:r>
      <w:r>
        <w:rPr>
          <w:color w:val="231F20"/>
          <w:sz w:val="21"/>
        </w:rPr>
        <w:t>спортсменів</w:t>
      </w:r>
      <w:r>
        <w:rPr>
          <w:color w:val="231F20"/>
          <w:spacing w:val="-7"/>
          <w:sz w:val="21"/>
        </w:rPr>
        <w:t xml:space="preserve"> </w:t>
      </w:r>
      <w:r>
        <w:rPr>
          <w:color w:val="231F20"/>
          <w:sz w:val="21"/>
        </w:rPr>
        <w:t>(команд спортсменів), а також здійснення керівництва тренувальною і (чи) змагальною роботою спортсменів (команд спортсменів)</w:t>
      </w:r>
      <w:r>
        <w:rPr>
          <w:color w:val="231F20"/>
          <w:position w:val="7"/>
          <w:sz w:val="12"/>
        </w:rPr>
        <w:t>3</w:t>
      </w:r>
      <w:r>
        <w:rPr>
          <w:color w:val="231F20"/>
          <w:sz w:val="21"/>
        </w:rPr>
        <w:t>. Заува- жимо, що до офіційного закріплення 2017 року поняття виклада- цької</w:t>
      </w:r>
      <w:r>
        <w:rPr>
          <w:color w:val="231F20"/>
          <w:spacing w:val="-11"/>
          <w:sz w:val="21"/>
        </w:rPr>
        <w:t xml:space="preserve"> </w:t>
      </w:r>
      <w:r>
        <w:rPr>
          <w:color w:val="231F20"/>
          <w:sz w:val="21"/>
        </w:rPr>
        <w:t>діяльності</w:t>
      </w:r>
      <w:r>
        <w:rPr>
          <w:color w:val="231F20"/>
          <w:spacing w:val="-11"/>
          <w:sz w:val="21"/>
        </w:rPr>
        <w:t xml:space="preserve"> </w:t>
      </w:r>
      <w:r>
        <w:rPr>
          <w:color w:val="231F20"/>
          <w:sz w:val="21"/>
        </w:rPr>
        <w:t>існувала</w:t>
      </w:r>
      <w:r>
        <w:rPr>
          <w:color w:val="231F20"/>
          <w:spacing w:val="-11"/>
          <w:sz w:val="21"/>
        </w:rPr>
        <w:t xml:space="preserve"> </w:t>
      </w:r>
      <w:r>
        <w:rPr>
          <w:color w:val="231F20"/>
          <w:sz w:val="21"/>
        </w:rPr>
        <w:t>невизначеність</w:t>
      </w:r>
      <w:r>
        <w:rPr>
          <w:color w:val="231F20"/>
          <w:spacing w:val="-11"/>
          <w:sz w:val="21"/>
        </w:rPr>
        <w:t xml:space="preserve"> </w:t>
      </w:r>
      <w:r>
        <w:rPr>
          <w:color w:val="231F20"/>
          <w:sz w:val="21"/>
        </w:rPr>
        <w:t>стосовно</w:t>
      </w:r>
      <w:r>
        <w:rPr>
          <w:color w:val="231F20"/>
          <w:spacing w:val="-11"/>
          <w:sz w:val="21"/>
        </w:rPr>
        <w:t xml:space="preserve"> </w:t>
      </w:r>
      <w:r>
        <w:rPr>
          <w:color w:val="231F20"/>
          <w:sz w:val="21"/>
        </w:rPr>
        <w:t>можливості</w:t>
      </w:r>
      <w:r>
        <w:rPr>
          <w:color w:val="231F20"/>
          <w:spacing w:val="-11"/>
          <w:sz w:val="21"/>
        </w:rPr>
        <w:t xml:space="preserve"> </w:t>
      </w:r>
      <w:r>
        <w:rPr>
          <w:color w:val="231F20"/>
          <w:sz w:val="21"/>
        </w:rPr>
        <w:t>зара-</w:t>
      </w:r>
    </w:p>
    <w:p w14:paraId="444F9FA0" w14:textId="6426BF57" w:rsidR="00DE575E" w:rsidRDefault="002E7560">
      <w:pPr>
        <w:pStyle w:val="BodyText"/>
        <w:spacing w:before="10"/>
        <w:rPr>
          <w:sz w:val="17"/>
        </w:rPr>
      </w:pPr>
      <w:r>
        <w:rPr>
          <w:noProof/>
        </w:rPr>
        <mc:AlternateContent>
          <mc:Choice Requires="wps">
            <w:drawing>
              <wp:anchor distT="0" distB="0" distL="0" distR="0" simplePos="0" relativeHeight="16384" behindDoc="0" locked="0" layoutInCell="1" allowOverlap="1" wp14:anchorId="7A013F24" wp14:editId="550CB91F">
                <wp:simplePos x="0" y="0"/>
                <wp:positionH relativeFrom="page">
                  <wp:posOffset>539750</wp:posOffset>
                </wp:positionH>
                <wp:positionV relativeFrom="paragraph">
                  <wp:posOffset>160655</wp:posOffset>
                </wp:positionV>
                <wp:extent cx="1080135" cy="0"/>
                <wp:effectExtent l="6350" t="8255" r="31115" b="29845"/>
                <wp:wrapTopAndBottom/>
                <wp:docPr id="35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CE3CE" id="Line_x0020_351" o:spid="_x0000_s1026" style="position:absolute;z-index:1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65pt" to="127.55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" strokecolor="#231f20" strokeweight=".5pt">
                <w10:wrap type="topAndBottom" anchorx="page"/>
              </v:line>
            </w:pict>
          </mc:Fallback>
        </mc:AlternateContent>
      </w:r>
    </w:p>
    <w:p w14:paraId="3DAB9ADC" w14:textId="77777777" w:rsidR="00DE575E" w:rsidRDefault="002E7560">
      <w:pPr>
        <w:spacing w:line="148" w:lineRule="exact"/>
        <w:ind w:left="250"/>
        <w:rPr>
          <w:sz w:val="16"/>
        </w:rPr>
      </w:pPr>
      <w:r>
        <w:rPr>
          <w:color w:val="231F20"/>
          <w:position w:val="5"/>
          <w:sz w:val="9"/>
        </w:rPr>
        <w:t xml:space="preserve">1 </w:t>
      </w:r>
      <w:r>
        <w:rPr>
          <w:color w:val="231F20"/>
          <w:sz w:val="16"/>
        </w:rPr>
        <w:t>Про професійних творчих працівників та творчі спілки: Закон України від 07.10.1997 р.</w:t>
      </w:r>
    </w:p>
    <w:p w14:paraId="7B60CCAD" w14:textId="77777777" w:rsidR="00DE575E" w:rsidRDefault="002E7560">
      <w:pPr>
        <w:spacing w:line="174" w:lineRule="exact"/>
        <w:ind w:left="250"/>
        <w:rPr>
          <w:sz w:val="16"/>
        </w:rPr>
      </w:pPr>
      <w:r>
        <w:rPr>
          <w:color w:val="231F20"/>
          <w:sz w:val="16"/>
        </w:rPr>
        <w:t>№ 554/97-ВР</w:t>
      </w:r>
    </w:p>
    <w:p w14:paraId="4B98F21F" w14:textId="77777777" w:rsidR="00DE575E" w:rsidRDefault="002E7560">
      <w:pPr>
        <w:ind w:left="250"/>
        <w:rPr>
          <w:sz w:val="16"/>
        </w:rPr>
      </w:pPr>
      <w:r>
        <w:rPr>
          <w:color w:val="231F20"/>
          <w:position w:val="5"/>
          <w:sz w:val="9"/>
        </w:rPr>
        <w:t xml:space="preserve">2 </w:t>
      </w:r>
      <w:r>
        <w:rPr>
          <w:color w:val="231F20"/>
          <w:sz w:val="16"/>
        </w:rPr>
        <w:t>Про фізичну культуру і спорт: Закон України від 24.12.1993 р. № 3808-XII.</w:t>
      </w:r>
    </w:p>
    <w:p w14:paraId="458D710B" w14:textId="77777777" w:rsidR="00DE575E" w:rsidRDefault="002E7560">
      <w:pPr>
        <w:spacing w:before="24" w:line="204" w:lineRule="auto"/>
        <w:ind w:left="250" w:right="411"/>
        <w:jc w:val="both"/>
        <w:rPr>
          <w:sz w:val="16"/>
        </w:rPr>
      </w:pPr>
      <w:r>
        <w:rPr>
          <w:color w:val="231F20"/>
          <w:position w:val="5"/>
          <w:sz w:val="9"/>
        </w:rPr>
        <w:t xml:space="preserve">3 </w:t>
      </w:r>
      <w:r>
        <w:rPr>
          <w:color w:val="231F20"/>
          <w:spacing w:val="-4"/>
          <w:sz w:val="16"/>
        </w:rPr>
        <w:t xml:space="preserve">Годуєва </w:t>
      </w:r>
      <w:r>
        <w:rPr>
          <w:color w:val="231F20"/>
          <w:sz w:val="16"/>
        </w:rPr>
        <w:t>К. Поняття інструкторської та суддівської практик зі спорту в антикорупцій- ному</w:t>
      </w:r>
      <w:r>
        <w:rPr>
          <w:color w:val="231F20"/>
          <w:spacing w:val="-15"/>
          <w:sz w:val="16"/>
        </w:rPr>
        <w:t xml:space="preserve"> </w:t>
      </w:r>
      <w:r>
        <w:rPr>
          <w:color w:val="231F20"/>
          <w:sz w:val="16"/>
        </w:rPr>
        <w:t>законодавстві</w:t>
      </w:r>
      <w:r>
        <w:rPr>
          <w:color w:val="231F20"/>
          <w:spacing w:val="-15"/>
          <w:sz w:val="16"/>
        </w:rPr>
        <w:t xml:space="preserve"> </w:t>
      </w:r>
      <w:r>
        <w:rPr>
          <w:color w:val="231F20"/>
          <w:sz w:val="16"/>
        </w:rPr>
        <w:t>України.</w:t>
      </w:r>
      <w:r>
        <w:rPr>
          <w:color w:val="231F20"/>
          <w:spacing w:val="-15"/>
          <w:sz w:val="16"/>
        </w:rPr>
        <w:t xml:space="preserve"> </w:t>
      </w:r>
      <w:r>
        <w:rPr>
          <w:i/>
          <w:color w:val="231F20"/>
          <w:sz w:val="16"/>
        </w:rPr>
        <w:t>Науковий</w:t>
      </w:r>
      <w:r>
        <w:rPr>
          <w:i/>
          <w:color w:val="231F20"/>
          <w:spacing w:val="-15"/>
          <w:sz w:val="16"/>
        </w:rPr>
        <w:t xml:space="preserve"> </w:t>
      </w:r>
      <w:r>
        <w:rPr>
          <w:i/>
          <w:color w:val="231F20"/>
          <w:sz w:val="16"/>
        </w:rPr>
        <w:t>часопис</w:t>
      </w:r>
      <w:r>
        <w:rPr>
          <w:i/>
          <w:color w:val="231F20"/>
          <w:spacing w:val="-15"/>
          <w:sz w:val="16"/>
        </w:rPr>
        <w:t xml:space="preserve"> </w:t>
      </w:r>
      <w:r>
        <w:rPr>
          <w:i/>
          <w:color w:val="231F20"/>
          <w:sz w:val="16"/>
        </w:rPr>
        <w:t>Національної</w:t>
      </w:r>
      <w:r>
        <w:rPr>
          <w:i/>
          <w:color w:val="231F20"/>
          <w:spacing w:val="-15"/>
          <w:sz w:val="16"/>
        </w:rPr>
        <w:t xml:space="preserve"> </w:t>
      </w:r>
      <w:r>
        <w:rPr>
          <w:i/>
          <w:color w:val="231F20"/>
          <w:sz w:val="16"/>
        </w:rPr>
        <w:t>академії</w:t>
      </w:r>
      <w:r>
        <w:rPr>
          <w:i/>
          <w:color w:val="231F20"/>
          <w:spacing w:val="-15"/>
          <w:sz w:val="16"/>
        </w:rPr>
        <w:t xml:space="preserve"> </w:t>
      </w:r>
      <w:r>
        <w:rPr>
          <w:i/>
          <w:color w:val="231F20"/>
          <w:sz w:val="16"/>
        </w:rPr>
        <w:t>прокуратури</w:t>
      </w:r>
      <w:r>
        <w:rPr>
          <w:i/>
          <w:color w:val="231F20"/>
          <w:spacing w:val="-15"/>
          <w:sz w:val="16"/>
        </w:rPr>
        <w:t xml:space="preserve"> </w:t>
      </w:r>
      <w:r>
        <w:rPr>
          <w:i/>
          <w:color w:val="231F20"/>
          <w:sz w:val="16"/>
        </w:rPr>
        <w:t>України</w:t>
      </w:r>
      <w:r>
        <w:rPr>
          <w:color w:val="231F20"/>
          <w:sz w:val="16"/>
        </w:rPr>
        <w:t>. 2016. № 4 (12). С.</w:t>
      </w:r>
      <w:r>
        <w:rPr>
          <w:color w:val="231F20"/>
          <w:spacing w:val="-4"/>
          <w:sz w:val="16"/>
        </w:rPr>
        <w:t xml:space="preserve"> </w:t>
      </w:r>
      <w:r>
        <w:rPr>
          <w:color w:val="231F20"/>
          <w:sz w:val="16"/>
        </w:rPr>
        <w:t>49–50.</w:t>
      </w:r>
    </w:p>
    <w:p w14:paraId="5E368E68" w14:textId="77777777" w:rsidR="00DE575E" w:rsidRDefault="00DE575E">
      <w:pPr>
        <w:pStyle w:val="BodyText"/>
        <w:spacing w:before="5"/>
        <w:rPr>
          <w:sz w:val="12"/>
        </w:rPr>
      </w:pPr>
    </w:p>
    <w:p w14:paraId="6E021CB2" w14:textId="77777777" w:rsidR="00DE575E" w:rsidRDefault="002E7560">
      <w:pPr>
        <w:spacing w:before="92"/>
        <w:ind w:right="411"/>
        <w:jc w:val="right"/>
        <w:rPr>
          <w:rFonts w:ascii="Times New Roman"/>
          <w:sz w:val="20"/>
        </w:rPr>
      </w:pPr>
      <w:r>
        <w:rPr>
          <w:rFonts w:ascii="Times New Roman"/>
          <w:color w:val="231F20"/>
          <w:w w:val="90"/>
          <w:sz w:val="20"/>
        </w:rPr>
        <w:t>417</w:t>
      </w:r>
    </w:p>
    <w:p w14:paraId="6213CE99"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CE9C03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E7ECDE7" w14:textId="2BE5B4A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CE05000" wp14:editId="4CC4906E">
                <wp:extent cx="4140200" cy="6350"/>
                <wp:effectExtent l="0" t="0" r="12700" b="6350"/>
                <wp:docPr id="350"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51" name="Line 35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1B25EF" id="Group_x0020_34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E3JbNt8AgAAmAUAAA4AAAAA&#10;AAAAAAAAAAAALAIAAGRycy9lMm9Eb2MueG1sUEsBAi0AFAAGAAgAAAAhAEynsJDZAAAAAwEAAA8A&#10;AAAAAAAAAAAAAAAA1AQAAGRycy9kb3ducmV2LnhtbFBLBQYAAAAABAAEAPMAAADaBQAAAAA=&#10;">
                <v:line id="Line_x0020_35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tEsYAAADcAAAADwAAAGRycy9kb3ducmV2LnhtbESP0WrCQBRE3wv9h+UWfCm60VCR6CpF&#10;EMQHrcYPuGavSeju3ZhdTdqv7xYKfRxm5gyzWPXWiAe1vnasYDxKQBAXTtdcKjjnm+EMhA/IGo1j&#10;UvBFHlbL56cFZtp1fKTHKZQiQthnqKAKocmk9EVFFv3INcTRu7rWYoiyLaVusYtwa+QkSabSYs1x&#10;ocKG1hUVn6e7VZDfXoP5OOxMlx8uqbzc9un3fa/U4KV/n4MI1If/8F97qxWkb2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a/rRLGAAAA3AAAAA8AAAAAAAAA&#10;AAAAAAAAoQIAAGRycy9kb3ducmV2LnhtbFBLBQYAAAAABAAEAPkAAACUAwAAAAA=&#10;" strokecolor="#231f20" strokeweight=".5pt"/>
                <w10:anchorlock/>
              </v:group>
            </w:pict>
          </mc:Fallback>
        </mc:AlternateContent>
      </w:r>
    </w:p>
    <w:p w14:paraId="01ADCFF1" w14:textId="77777777" w:rsidR="00DE575E" w:rsidRDefault="00DE575E">
      <w:pPr>
        <w:pStyle w:val="BodyText"/>
        <w:spacing w:before="7"/>
        <w:rPr>
          <w:rFonts w:ascii="AdonisC"/>
          <w:i/>
          <w:sz w:val="11"/>
        </w:rPr>
      </w:pPr>
    </w:p>
    <w:p w14:paraId="040F0CCC" w14:textId="77777777" w:rsidR="00DE575E" w:rsidRDefault="002E7560">
      <w:pPr>
        <w:pStyle w:val="BodyText"/>
        <w:spacing w:before="101" w:line="252" w:lineRule="auto"/>
        <w:ind w:left="533" w:right="127"/>
        <w:jc w:val="both"/>
      </w:pPr>
      <w:r>
        <w:rPr>
          <w:color w:val="231F20"/>
        </w:rPr>
        <w:t xml:space="preserve">хування інструкторської практики до видів такої діяльності (слід </w:t>
      </w:r>
      <w:r>
        <w:rPr>
          <w:color w:val="231F20"/>
          <w:spacing w:val="-3"/>
        </w:rPr>
        <w:t xml:space="preserve">було </w:t>
      </w:r>
      <w:r>
        <w:rPr>
          <w:color w:val="231F20"/>
        </w:rPr>
        <w:t xml:space="preserve">враховувати умови відповідної практики, спосіб її юридичного оформлення, статус </w:t>
      </w:r>
      <w:r>
        <w:rPr>
          <w:color w:val="231F20"/>
          <w:spacing w:val="-3"/>
        </w:rPr>
        <w:t xml:space="preserve">закладу, </w:t>
      </w:r>
      <w:r>
        <w:rPr>
          <w:color w:val="231F20"/>
        </w:rPr>
        <w:t>в якому вона здійснювалася, осві</w:t>
      </w:r>
      <w:r>
        <w:rPr>
          <w:color w:val="231F20"/>
        </w:rPr>
        <w:t>ту інструктора</w:t>
      </w:r>
      <w:r>
        <w:rPr>
          <w:color w:val="231F20"/>
          <w:spacing w:val="-12"/>
        </w:rPr>
        <w:t xml:space="preserve"> </w:t>
      </w:r>
      <w:r>
        <w:rPr>
          <w:color w:val="231F20"/>
        </w:rPr>
        <w:t>тощо).</w:t>
      </w:r>
      <w:r>
        <w:rPr>
          <w:color w:val="231F20"/>
          <w:spacing w:val="-12"/>
        </w:rPr>
        <w:t xml:space="preserve"> </w:t>
      </w:r>
      <w:r>
        <w:rPr>
          <w:color w:val="231F20"/>
        </w:rPr>
        <w:t>Сьогодні</w:t>
      </w:r>
      <w:r>
        <w:rPr>
          <w:color w:val="231F20"/>
          <w:spacing w:val="-12"/>
        </w:rPr>
        <w:t xml:space="preserve"> </w:t>
      </w:r>
      <w:r>
        <w:rPr>
          <w:color w:val="231F20"/>
        </w:rPr>
        <w:t>відповідне</w:t>
      </w:r>
      <w:r>
        <w:rPr>
          <w:color w:val="231F20"/>
          <w:spacing w:val="-12"/>
        </w:rPr>
        <w:t xml:space="preserve"> </w:t>
      </w:r>
      <w:r>
        <w:rPr>
          <w:color w:val="231F20"/>
        </w:rPr>
        <w:t>зарахування</w:t>
      </w:r>
      <w:r>
        <w:rPr>
          <w:color w:val="231F20"/>
          <w:spacing w:val="-12"/>
        </w:rPr>
        <w:t xml:space="preserve"> </w:t>
      </w:r>
      <w:r>
        <w:rPr>
          <w:color w:val="231F20"/>
        </w:rPr>
        <w:t>є</w:t>
      </w:r>
      <w:r>
        <w:rPr>
          <w:color w:val="231F20"/>
          <w:spacing w:val="-11"/>
        </w:rPr>
        <w:t xml:space="preserve"> </w:t>
      </w:r>
      <w:r>
        <w:rPr>
          <w:color w:val="231F20"/>
        </w:rPr>
        <w:t>цілком</w:t>
      </w:r>
      <w:r>
        <w:rPr>
          <w:color w:val="231F20"/>
          <w:spacing w:val="-12"/>
        </w:rPr>
        <w:t xml:space="preserve"> </w:t>
      </w:r>
      <w:r>
        <w:rPr>
          <w:color w:val="231F20"/>
        </w:rPr>
        <w:t>припу- стимим і значно</w:t>
      </w:r>
      <w:r>
        <w:rPr>
          <w:color w:val="231F20"/>
          <w:spacing w:val="-3"/>
        </w:rPr>
        <w:t xml:space="preserve"> </w:t>
      </w:r>
      <w:r>
        <w:rPr>
          <w:color w:val="231F20"/>
        </w:rPr>
        <w:t>простішим.</w:t>
      </w:r>
    </w:p>
    <w:p w14:paraId="506AA316" w14:textId="77777777" w:rsidR="00DE575E" w:rsidRDefault="00DE575E">
      <w:pPr>
        <w:pStyle w:val="BodyText"/>
        <w:rPr>
          <w:sz w:val="24"/>
        </w:rPr>
      </w:pPr>
    </w:p>
    <w:p w14:paraId="25FF5D93" w14:textId="77777777" w:rsidR="00DE575E" w:rsidRDefault="00DE575E">
      <w:pPr>
        <w:pStyle w:val="BodyText"/>
        <w:spacing w:before="5"/>
        <w:rPr>
          <w:sz w:val="19"/>
        </w:rPr>
      </w:pPr>
    </w:p>
    <w:p w14:paraId="50B58BBF" w14:textId="77777777" w:rsidR="00DE575E" w:rsidRDefault="002E7560">
      <w:pPr>
        <w:pStyle w:val="Heading4"/>
        <w:numPr>
          <w:ilvl w:val="1"/>
          <w:numId w:val="83"/>
        </w:numPr>
        <w:tabs>
          <w:tab w:val="left" w:pos="2270"/>
        </w:tabs>
        <w:ind w:left="2387" w:right="1452" w:hanging="528"/>
        <w:jc w:val="left"/>
      </w:pPr>
      <w:r>
        <w:rPr>
          <w:color w:val="231F20"/>
        </w:rPr>
        <w:t>Інші антикорупційні</w:t>
      </w:r>
      <w:r>
        <w:rPr>
          <w:color w:val="231F20"/>
          <w:spacing w:val="-20"/>
        </w:rPr>
        <w:t xml:space="preserve"> </w:t>
      </w:r>
      <w:r>
        <w:rPr>
          <w:color w:val="231F20"/>
        </w:rPr>
        <w:t>обмеження для публічних</w:t>
      </w:r>
      <w:r>
        <w:rPr>
          <w:color w:val="231F20"/>
          <w:spacing w:val="-3"/>
        </w:rPr>
        <w:t xml:space="preserve"> </w:t>
      </w:r>
      <w:r>
        <w:rPr>
          <w:color w:val="231F20"/>
        </w:rPr>
        <w:t>службовців</w:t>
      </w:r>
    </w:p>
    <w:p w14:paraId="5FBEF2D4" w14:textId="77777777" w:rsidR="00DE575E" w:rsidRDefault="00DE575E">
      <w:pPr>
        <w:pStyle w:val="BodyText"/>
        <w:rPr>
          <w:b/>
          <w:sz w:val="26"/>
        </w:rPr>
      </w:pPr>
    </w:p>
    <w:p w14:paraId="3B76A40E" w14:textId="77777777" w:rsidR="00DE575E" w:rsidRDefault="002E7560">
      <w:pPr>
        <w:pStyle w:val="BodyText"/>
        <w:spacing w:before="224" w:line="252" w:lineRule="auto"/>
        <w:ind w:left="533" w:right="126" w:firstLine="283"/>
        <w:jc w:val="both"/>
      </w:pPr>
      <w:r>
        <w:rPr>
          <w:b/>
          <w:i/>
          <w:color w:val="231F20"/>
        </w:rPr>
        <w:t>Обмеження</w:t>
      </w:r>
      <w:r>
        <w:rPr>
          <w:b/>
          <w:i/>
          <w:color w:val="231F20"/>
          <w:spacing w:val="-15"/>
        </w:rPr>
        <w:t xml:space="preserve"> </w:t>
      </w:r>
      <w:r>
        <w:rPr>
          <w:b/>
          <w:i/>
          <w:color w:val="231F20"/>
        </w:rPr>
        <w:t>спільної</w:t>
      </w:r>
      <w:r>
        <w:rPr>
          <w:b/>
          <w:i/>
          <w:color w:val="231F20"/>
          <w:spacing w:val="-15"/>
        </w:rPr>
        <w:t xml:space="preserve"> </w:t>
      </w:r>
      <w:r>
        <w:rPr>
          <w:b/>
          <w:i/>
          <w:color w:val="231F20"/>
        </w:rPr>
        <w:t>роботи</w:t>
      </w:r>
      <w:r>
        <w:rPr>
          <w:b/>
          <w:i/>
          <w:color w:val="231F20"/>
          <w:spacing w:val="-15"/>
        </w:rPr>
        <w:t xml:space="preserve"> </w:t>
      </w:r>
      <w:r>
        <w:rPr>
          <w:b/>
          <w:i/>
          <w:color w:val="231F20"/>
        </w:rPr>
        <w:t>близьких</w:t>
      </w:r>
      <w:r>
        <w:rPr>
          <w:b/>
          <w:i/>
          <w:color w:val="231F20"/>
          <w:spacing w:val="-15"/>
        </w:rPr>
        <w:t xml:space="preserve"> </w:t>
      </w:r>
      <w:r>
        <w:rPr>
          <w:b/>
          <w:i/>
          <w:color w:val="231F20"/>
        </w:rPr>
        <w:t>осіб</w:t>
      </w:r>
      <w:r>
        <w:rPr>
          <w:b/>
          <w:i/>
          <w:color w:val="231F20"/>
          <w:spacing w:val="-14"/>
        </w:rPr>
        <w:t xml:space="preserve"> </w:t>
      </w:r>
      <w:r>
        <w:rPr>
          <w:color w:val="231F20"/>
        </w:rPr>
        <w:t>для</w:t>
      </w:r>
      <w:r>
        <w:rPr>
          <w:color w:val="231F20"/>
          <w:spacing w:val="-15"/>
        </w:rPr>
        <w:t xml:space="preserve"> </w:t>
      </w:r>
      <w:r>
        <w:rPr>
          <w:color w:val="231F20"/>
        </w:rPr>
        <w:t>публічних</w:t>
      </w:r>
      <w:r>
        <w:rPr>
          <w:color w:val="231F20"/>
          <w:spacing w:val="-15"/>
        </w:rPr>
        <w:t xml:space="preserve"> </w:t>
      </w:r>
      <w:r>
        <w:rPr>
          <w:color w:val="231F20"/>
        </w:rPr>
        <w:t>служ- бовців</w:t>
      </w:r>
      <w:r>
        <w:rPr>
          <w:color w:val="231F20"/>
          <w:spacing w:val="-5"/>
        </w:rPr>
        <w:t xml:space="preserve"> </w:t>
      </w:r>
      <w:r>
        <w:rPr>
          <w:color w:val="231F20"/>
        </w:rPr>
        <w:t>полягає</w:t>
      </w:r>
      <w:r>
        <w:rPr>
          <w:color w:val="231F20"/>
          <w:spacing w:val="-5"/>
        </w:rPr>
        <w:t xml:space="preserve"> </w:t>
      </w:r>
      <w:r>
        <w:rPr>
          <w:color w:val="231F20"/>
        </w:rPr>
        <w:t>в</w:t>
      </w:r>
      <w:r>
        <w:rPr>
          <w:color w:val="231F20"/>
          <w:spacing w:val="-5"/>
        </w:rPr>
        <w:t xml:space="preserve"> </w:t>
      </w:r>
      <w:r>
        <w:rPr>
          <w:color w:val="231F20"/>
          <w:spacing w:val="-4"/>
        </w:rPr>
        <w:t>тому,</w:t>
      </w:r>
      <w:r>
        <w:rPr>
          <w:color w:val="231F20"/>
          <w:spacing w:val="-5"/>
        </w:rPr>
        <w:t xml:space="preserve"> </w:t>
      </w:r>
      <w:r>
        <w:rPr>
          <w:color w:val="231F20"/>
        </w:rPr>
        <w:t>що</w:t>
      </w:r>
      <w:r>
        <w:rPr>
          <w:color w:val="231F20"/>
          <w:spacing w:val="-5"/>
        </w:rPr>
        <w:t xml:space="preserve"> </w:t>
      </w:r>
      <w:r>
        <w:rPr>
          <w:color w:val="231F20"/>
        </w:rPr>
        <w:t>вони</w:t>
      </w:r>
      <w:r>
        <w:rPr>
          <w:color w:val="231F20"/>
          <w:spacing w:val="-5"/>
        </w:rPr>
        <w:t xml:space="preserve"> </w:t>
      </w:r>
      <w:r>
        <w:rPr>
          <w:color w:val="231F20"/>
        </w:rPr>
        <w:t>не</w:t>
      </w:r>
      <w:r>
        <w:rPr>
          <w:color w:val="231F20"/>
          <w:spacing w:val="-5"/>
        </w:rPr>
        <w:t xml:space="preserve"> </w:t>
      </w:r>
      <w:r>
        <w:rPr>
          <w:color w:val="231F20"/>
        </w:rPr>
        <w:t>можуть</w:t>
      </w:r>
      <w:r>
        <w:rPr>
          <w:color w:val="231F20"/>
          <w:spacing w:val="-5"/>
        </w:rPr>
        <w:t xml:space="preserve"> </w:t>
      </w:r>
      <w:r>
        <w:rPr>
          <w:color w:val="231F20"/>
        </w:rPr>
        <w:t>мати</w:t>
      </w:r>
      <w:r>
        <w:rPr>
          <w:color w:val="231F20"/>
          <w:spacing w:val="-4"/>
        </w:rPr>
        <w:t xml:space="preserve"> </w:t>
      </w:r>
      <w:r>
        <w:rPr>
          <w:color w:val="231F20"/>
        </w:rPr>
        <w:t>у</w:t>
      </w:r>
      <w:r>
        <w:rPr>
          <w:color w:val="231F20"/>
          <w:spacing w:val="-5"/>
        </w:rPr>
        <w:t xml:space="preserve"> </w:t>
      </w:r>
      <w:r>
        <w:rPr>
          <w:color w:val="231F20"/>
        </w:rPr>
        <w:t>прямому</w:t>
      </w:r>
      <w:r>
        <w:rPr>
          <w:color w:val="231F20"/>
          <w:spacing w:val="-5"/>
        </w:rPr>
        <w:t xml:space="preserve"> </w:t>
      </w:r>
      <w:r>
        <w:rPr>
          <w:color w:val="231F20"/>
        </w:rPr>
        <w:t>підпоряд- куванні</w:t>
      </w:r>
      <w:r>
        <w:rPr>
          <w:color w:val="231F20"/>
          <w:spacing w:val="-14"/>
        </w:rPr>
        <w:t xml:space="preserve"> </w:t>
      </w:r>
      <w:r>
        <w:rPr>
          <w:color w:val="231F20"/>
        </w:rPr>
        <w:t>близьких</w:t>
      </w:r>
      <w:r>
        <w:rPr>
          <w:color w:val="231F20"/>
          <w:spacing w:val="-14"/>
        </w:rPr>
        <w:t xml:space="preserve"> </w:t>
      </w:r>
      <w:r>
        <w:rPr>
          <w:color w:val="231F20"/>
        </w:rPr>
        <w:t>їм</w:t>
      </w:r>
      <w:r>
        <w:rPr>
          <w:color w:val="231F20"/>
          <w:spacing w:val="-14"/>
        </w:rPr>
        <w:t xml:space="preserve"> </w:t>
      </w:r>
      <w:r>
        <w:rPr>
          <w:color w:val="231F20"/>
        </w:rPr>
        <w:t>осіб</w:t>
      </w:r>
      <w:r>
        <w:rPr>
          <w:color w:val="231F20"/>
          <w:spacing w:val="-14"/>
        </w:rPr>
        <w:t xml:space="preserve"> </w:t>
      </w:r>
      <w:r>
        <w:rPr>
          <w:color w:val="231F20"/>
        </w:rPr>
        <w:t>або</w:t>
      </w:r>
      <w:r>
        <w:rPr>
          <w:color w:val="231F20"/>
          <w:spacing w:val="-14"/>
        </w:rPr>
        <w:t xml:space="preserve"> </w:t>
      </w:r>
      <w:r>
        <w:rPr>
          <w:color w:val="231F20"/>
        </w:rPr>
        <w:t>бути</w:t>
      </w:r>
      <w:r>
        <w:rPr>
          <w:color w:val="231F20"/>
          <w:spacing w:val="-14"/>
        </w:rPr>
        <w:t xml:space="preserve"> </w:t>
      </w:r>
      <w:r>
        <w:rPr>
          <w:color w:val="231F20"/>
        </w:rPr>
        <w:t>прямо</w:t>
      </w:r>
      <w:r>
        <w:rPr>
          <w:color w:val="231F20"/>
          <w:spacing w:val="-14"/>
        </w:rPr>
        <w:t xml:space="preserve"> </w:t>
      </w:r>
      <w:r>
        <w:rPr>
          <w:color w:val="231F20"/>
        </w:rPr>
        <w:t>підпорядкованими</w:t>
      </w:r>
      <w:r>
        <w:rPr>
          <w:color w:val="231F20"/>
          <w:spacing w:val="-14"/>
        </w:rPr>
        <w:t xml:space="preserve"> </w:t>
      </w:r>
      <w:r>
        <w:rPr>
          <w:color w:val="231F20"/>
        </w:rPr>
        <w:t>у</w:t>
      </w:r>
      <w:r>
        <w:rPr>
          <w:color w:val="231F20"/>
          <w:spacing w:val="-14"/>
        </w:rPr>
        <w:t xml:space="preserve"> </w:t>
      </w:r>
      <w:r>
        <w:rPr>
          <w:color w:val="231F20"/>
        </w:rPr>
        <w:t xml:space="preserve">зв’язку з виконанням повноважень близьким їм особам. Під прямим підпо- рядкуванням слід розуміти відносини прямої організаційної чи правової залежності підлеглої особи від </w:t>
      </w:r>
      <w:r>
        <w:rPr>
          <w:color w:val="231F20"/>
        </w:rPr>
        <w:t xml:space="preserve">її керівника, зокрема через вирішення (участь у вирішенні) питань прийняття на </w:t>
      </w:r>
      <w:r>
        <w:rPr>
          <w:color w:val="231F20"/>
          <w:spacing w:val="-4"/>
        </w:rPr>
        <w:t xml:space="preserve">роботу, </w:t>
      </w:r>
      <w:r>
        <w:rPr>
          <w:color w:val="231F20"/>
        </w:rPr>
        <w:t xml:space="preserve">звіль- нення з роботи, застосування заохочень, дисциплінарних стягнень, надання вказівок, доручень тощо, контролю за їх виконанням </w:t>
      </w:r>
      <w:r>
        <w:rPr>
          <w:color w:val="231F20"/>
          <w:spacing w:val="-5"/>
        </w:rPr>
        <w:t xml:space="preserve">(ст. </w:t>
      </w:r>
      <w:r>
        <w:rPr>
          <w:color w:val="231F20"/>
        </w:rPr>
        <w:t>1 Закону «Про запобігання корупці</w:t>
      </w:r>
      <w:r>
        <w:rPr>
          <w:color w:val="231F20"/>
        </w:rPr>
        <w:t>ї»). Прямих керівників (як і відно- син прямого підпорядкування) може бути декілька; той керівник, що є найближчим до публічного службовця, називається безпосе- реднім. Для правильного трактування відносин прямого підпоряд- кування слід ураховувати,</w:t>
      </w:r>
      <w:r>
        <w:rPr>
          <w:color w:val="231F20"/>
          <w:spacing w:val="-3"/>
        </w:rPr>
        <w:t xml:space="preserve"> </w:t>
      </w:r>
      <w:r>
        <w:rPr>
          <w:color w:val="231F20"/>
        </w:rPr>
        <w:t>що:</w:t>
      </w:r>
    </w:p>
    <w:p w14:paraId="51807C49" w14:textId="77777777" w:rsidR="00DE575E" w:rsidRDefault="002E7560">
      <w:pPr>
        <w:pStyle w:val="BodyText"/>
        <w:spacing w:before="7" w:line="252" w:lineRule="auto"/>
        <w:ind w:left="533" w:right="126" w:firstLine="283"/>
        <w:jc w:val="both"/>
      </w:pPr>
      <w:r>
        <w:rPr>
          <w:color w:val="231F20"/>
        </w:rPr>
        <w:t>а)</w:t>
      </w:r>
      <w:r>
        <w:rPr>
          <w:color w:val="231F20"/>
        </w:rPr>
        <w:t xml:space="preserve"> пряме підпорядкування має місце за наявності відносин прямої організаційної або правової залежності службовця від керів- ника;</w:t>
      </w:r>
      <w:r>
        <w:rPr>
          <w:color w:val="231F20"/>
          <w:spacing w:val="-10"/>
        </w:rPr>
        <w:t xml:space="preserve"> </w:t>
      </w:r>
      <w:r>
        <w:rPr>
          <w:color w:val="231F20"/>
        </w:rPr>
        <w:t>якщо</w:t>
      </w:r>
      <w:r>
        <w:rPr>
          <w:color w:val="231F20"/>
          <w:spacing w:val="-10"/>
        </w:rPr>
        <w:t xml:space="preserve"> </w:t>
      </w:r>
      <w:r>
        <w:rPr>
          <w:color w:val="231F20"/>
        </w:rPr>
        <w:t>залежність</w:t>
      </w:r>
      <w:r>
        <w:rPr>
          <w:color w:val="231F20"/>
          <w:spacing w:val="-10"/>
        </w:rPr>
        <w:t xml:space="preserve"> </w:t>
      </w:r>
      <w:r>
        <w:rPr>
          <w:color w:val="231F20"/>
        </w:rPr>
        <w:t>є,</w:t>
      </w:r>
      <w:r>
        <w:rPr>
          <w:color w:val="231F20"/>
          <w:spacing w:val="-10"/>
        </w:rPr>
        <w:t xml:space="preserve"> </w:t>
      </w:r>
      <w:r>
        <w:rPr>
          <w:color w:val="231F20"/>
        </w:rPr>
        <w:t>але</w:t>
      </w:r>
      <w:r>
        <w:rPr>
          <w:color w:val="231F20"/>
          <w:spacing w:val="-10"/>
        </w:rPr>
        <w:t xml:space="preserve"> </w:t>
      </w:r>
      <w:r>
        <w:rPr>
          <w:color w:val="231F20"/>
        </w:rPr>
        <w:t>вона</w:t>
      </w:r>
      <w:r>
        <w:rPr>
          <w:color w:val="231F20"/>
          <w:spacing w:val="-10"/>
        </w:rPr>
        <w:t xml:space="preserve"> </w:t>
      </w:r>
      <w:r>
        <w:rPr>
          <w:color w:val="231F20"/>
        </w:rPr>
        <w:t>непряма,</w:t>
      </w:r>
      <w:r>
        <w:rPr>
          <w:color w:val="231F20"/>
          <w:spacing w:val="-10"/>
        </w:rPr>
        <w:t xml:space="preserve"> </w:t>
      </w:r>
      <w:r>
        <w:rPr>
          <w:color w:val="231F20"/>
        </w:rPr>
        <w:t>то</w:t>
      </w:r>
      <w:r>
        <w:rPr>
          <w:color w:val="231F20"/>
          <w:spacing w:val="-10"/>
        </w:rPr>
        <w:t xml:space="preserve"> </w:t>
      </w:r>
      <w:r>
        <w:rPr>
          <w:color w:val="231F20"/>
        </w:rPr>
        <w:t>антикорупційне</w:t>
      </w:r>
      <w:r>
        <w:rPr>
          <w:color w:val="231F20"/>
          <w:spacing w:val="-10"/>
        </w:rPr>
        <w:t xml:space="preserve"> </w:t>
      </w:r>
      <w:r>
        <w:rPr>
          <w:color w:val="231F20"/>
        </w:rPr>
        <w:t>обме- ження</w:t>
      </w:r>
      <w:r>
        <w:rPr>
          <w:color w:val="231F20"/>
          <w:spacing w:val="-5"/>
        </w:rPr>
        <w:t xml:space="preserve"> </w:t>
      </w:r>
      <w:r>
        <w:rPr>
          <w:color w:val="231F20"/>
        </w:rPr>
        <w:t>щодо</w:t>
      </w:r>
      <w:r>
        <w:rPr>
          <w:color w:val="231F20"/>
          <w:spacing w:val="-5"/>
        </w:rPr>
        <w:t xml:space="preserve"> </w:t>
      </w:r>
      <w:r>
        <w:rPr>
          <w:color w:val="231F20"/>
        </w:rPr>
        <w:t>спільної</w:t>
      </w:r>
      <w:r>
        <w:rPr>
          <w:color w:val="231F20"/>
          <w:spacing w:val="-5"/>
        </w:rPr>
        <w:t xml:space="preserve"> </w:t>
      </w:r>
      <w:r>
        <w:rPr>
          <w:color w:val="231F20"/>
        </w:rPr>
        <w:t>роботи</w:t>
      </w:r>
      <w:r>
        <w:rPr>
          <w:color w:val="231F20"/>
          <w:spacing w:val="-5"/>
        </w:rPr>
        <w:t xml:space="preserve"> </w:t>
      </w:r>
      <w:r>
        <w:rPr>
          <w:color w:val="231F20"/>
        </w:rPr>
        <w:t>близьких</w:t>
      </w:r>
      <w:r>
        <w:rPr>
          <w:color w:val="231F20"/>
          <w:spacing w:val="-5"/>
        </w:rPr>
        <w:t xml:space="preserve"> </w:t>
      </w:r>
      <w:r>
        <w:rPr>
          <w:color w:val="231F20"/>
        </w:rPr>
        <w:t>осіб</w:t>
      </w:r>
      <w:r>
        <w:rPr>
          <w:color w:val="231F20"/>
          <w:spacing w:val="-5"/>
        </w:rPr>
        <w:t xml:space="preserve"> </w:t>
      </w:r>
      <w:r>
        <w:rPr>
          <w:color w:val="231F20"/>
        </w:rPr>
        <w:t>не</w:t>
      </w:r>
      <w:r>
        <w:rPr>
          <w:color w:val="231F20"/>
          <w:spacing w:val="-5"/>
        </w:rPr>
        <w:t xml:space="preserve"> </w:t>
      </w:r>
      <w:r>
        <w:rPr>
          <w:color w:val="231F20"/>
        </w:rPr>
        <w:t>застосовується</w:t>
      </w:r>
      <w:r>
        <w:rPr>
          <w:color w:val="231F20"/>
          <w:spacing w:val="-5"/>
        </w:rPr>
        <w:t xml:space="preserve"> </w:t>
      </w:r>
      <w:r>
        <w:rPr>
          <w:color w:val="231F20"/>
        </w:rPr>
        <w:t>(напр., не є прямим керівником для працівника юридичного управління керівник управління документообігу або для працівника господар- ського відділу – керівник відділу</w:t>
      </w:r>
      <w:r>
        <w:rPr>
          <w:color w:val="231F20"/>
          <w:spacing w:val="-4"/>
        </w:rPr>
        <w:t xml:space="preserve"> </w:t>
      </w:r>
      <w:r>
        <w:rPr>
          <w:color w:val="231F20"/>
        </w:rPr>
        <w:t>кадрів</w:t>
      </w:r>
      <w:r>
        <w:rPr>
          <w:color w:val="231F20"/>
          <w:position w:val="7"/>
          <w:sz w:val="12"/>
        </w:rPr>
        <w:t>1</w:t>
      </w:r>
      <w:r>
        <w:rPr>
          <w:color w:val="231F20"/>
        </w:rPr>
        <w:t>);</w:t>
      </w:r>
    </w:p>
    <w:p w14:paraId="492CD622" w14:textId="77777777" w:rsidR="00DE575E" w:rsidRDefault="002E7560">
      <w:pPr>
        <w:pStyle w:val="BodyText"/>
        <w:spacing w:before="4" w:line="252" w:lineRule="auto"/>
        <w:ind w:left="533" w:right="128" w:firstLine="283"/>
        <w:jc w:val="both"/>
      </w:pPr>
      <w:r>
        <w:rPr>
          <w:color w:val="231F20"/>
        </w:rPr>
        <w:t xml:space="preserve">б) вирішення (участь у вирішенні) питань прийняття на </w:t>
      </w:r>
      <w:r>
        <w:rPr>
          <w:color w:val="231F20"/>
          <w:spacing w:val="-4"/>
        </w:rPr>
        <w:t xml:space="preserve">роботу, </w:t>
      </w:r>
      <w:r>
        <w:rPr>
          <w:color w:val="231F20"/>
        </w:rPr>
        <w:t>звільнення з робот</w:t>
      </w:r>
      <w:r>
        <w:rPr>
          <w:color w:val="231F20"/>
        </w:rPr>
        <w:t>и, застосування заохочень, дисциплінарних стяг- нень,</w:t>
      </w:r>
      <w:r>
        <w:rPr>
          <w:color w:val="231F20"/>
          <w:spacing w:val="-7"/>
        </w:rPr>
        <w:t xml:space="preserve"> </w:t>
      </w:r>
      <w:r>
        <w:rPr>
          <w:color w:val="231F20"/>
        </w:rPr>
        <w:t>надання</w:t>
      </w:r>
      <w:r>
        <w:rPr>
          <w:color w:val="231F20"/>
          <w:spacing w:val="-7"/>
        </w:rPr>
        <w:t xml:space="preserve"> </w:t>
      </w:r>
      <w:r>
        <w:rPr>
          <w:color w:val="231F20"/>
        </w:rPr>
        <w:t>вказівок,</w:t>
      </w:r>
      <w:r>
        <w:rPr>
          <w:color w:val="231F20"/>
          <w:spacing w:val="-8"/>
        </w:rPr>
        <w:t xml:space="preserve"> </w:t>
      </w:r>
      <w:r>
        <w:rPr>
          <w:color w:val="231F20"/>
        </w:rPr>
        <w:t>доручень</w:t>
      </w:r>
      <w:r>
        <w:rPr>
          <w:color w:val="231F20"/>
          <w:spacing w:val="-8"/>
        </w:rPr>
        <w:t xml:space="preserve"> </w:t>
      </w:r>
      <w:r>
        <w:rPr>
          <w:color w:val="231F20"/>
        </w:rPr>
        <w:t>тощо,</w:t>
      </w:r>
      <w:r>
        <w:rPr>
          <w:color w:val="231F20"/>
          <w:spacing w:val="-8"/>
        </w:rPr>
        <w:t xml:space="preserve"> </w:t>
      </w:r>
      <w:r>
        <w:rPr>
          <w:color w:val="231F20"/>
        </w:rPr>
        <w:t>контроль</w:t>
      </w:r>
      <w:r>
        <w:rPr>
          <w:color w:val="231F20"/>
          <w:spacing w:val="-7"/>
        </w:rPr>
        <w:t xml:space="preserve"> </w:t>
      </w:r>
      <w:r>
        <w:rPr>
          <w:color w:val="231F20"/>
        </w:rPr>
        <w:t>за</w:t>
      </w:r>
      <w:r>
        <w:rPr>
          <w:color w:val="231F20"/>
          <w:spacing w:val="-7"/>
        </w:rPr>
        <w:t xml:space="preserve"> </w:t>
      </w:r>
      <w:r>
        <w:rPr>
          <w:color w:val="231F20"/>
        </w:rPr>
        <w:t>їх</w:t>
      </w:r>
      <w:r>
        <w:rPr>
          <w:color w:val="231F20"/>
          <w:spacing w:val="-7"/>
        </w:rPr>
        <w:t xml:space="preserve"> </w:t>
      </w:r>
      <w:r>
        <w:rPr>
          <w:color w:val="231F20"/>
        </w:rPr>
        <w:t>виконанням</w:t>
      </w:r>
      <w:r>
        <w:rPr>
          <w:color w:val="231F20"/>
          <w:spacing w:val="-10"/>
        </w:rPr>
        <w:t xml:space="preserve"> </w:t>
      </w:r>
      <w:r>
        <w:rPr>
          <w:color w:val="231F20"/>
        </w:rPr>
        <w:t>– це</w:t>
      </w:r>
      <w:r>
        <w:rPr>
          <w:color w:val="231F20"/>
          <w:spacing w:val="21"/>
        </w:rPr>
        <w:t xml:space="preserve"> </w:t>
      </w:r>
      <w:r>
        <w:rPr>
          <w:color w:val="231F20"/>
        </w:rPr>
        <w:t>перелік</w:t>
      </w:r>
      <w:r>
        <w:rPr>
          <w:color w:val="231F20"/>
          <w:spacing w:val="20"/>
        </w:rPr>
        <w:t xml:space="preserve"> </w:t>
      </w:r>
      <w:r>
        <w:rPr>
          <w:color w:val="231F20"/>
        </w:rPr>
        <w:t>можливих</w:t>
      </w:r>
      <w:r>
        <w:rPr>
          <w:color w:val="231F20"/>
          <w:spacing w:val="21"/>
        </w:rPr>
        <w:t xml:space="preserve"> </w:t>
      </w:r>
      <w:r>
        <w:rPr>
          <w:color w:val="231F20"/>
        </w:rPr>
        <w:t>форм</w:t>
      </w:r>
      <w:r>
        <w:rPr>
          <w:color w:val="231F20"/>
          <w:spacing w:val="21"/>
        </w:rPr>
        <w:t xml:space="preserve"> </w:t>
      </w:r>
      <w:r>
        <w:rPr>
          <w:color w:val="231F20"/>
        </w:rPr>
        <w:t>прямої</w:t>
      </w:r>
      <w:r>
        <w:rPr>
          <w:color w:val="231F20"/>
          <w:spacing w:val="20"/>
        </w:rPr>
        <w:t xml:space="preserve"> </w:t>
      </w:r>
      <w:r>
        <w:rPr>
          <w:color w:val="231F20"/>
        </w:rPr>
        <w:t>залежності,</w:t>
      </w:r>
      <w:r>
        <w:rPr>
          <w:color w:val="231F20"/>
          <w:spacing w:val="20"/>
        </w:rPr>
        <w:t xml:space="preserve"> </w:t>
      </w:r>
      <w:r>
        <w:rPr>
          <w:color w:val="231F20"/>
        </w:rPr>
        <w:t>що</w:t>
      </w:r>
      <w:r>
        <w:rPr>
          <w:color w:val="231F20"/>
          <w:spacing w:val="21"/>
        </w:rPr>
        <w:t xml:space="preserve"> </w:t>
      </w:r>
      <w:r>
        <w:rPr>
          <w:color w:val="231F20"/>
        </w:rPr>
        <w:t>не</w:t>
      </w:r>
      <w:r>
        <w:rPr>
          <w:color w:val="231F20"/>
          <w:spacing w:val="21"/>
        </w:rPr>
        <w:t xml:space="preserve"> </w:t>
      </w:r>
      <w:r>
        <w:rPr>
          <w:color w:val="231F20"/>
        </w:rPr>
        <w:t>є</w:t>
      </w:r>
      <w:r>
        <w:rPr>
          <w:color w:val="231F20"/>
          <w:spacing w:val="20"/>
        </w:rPr>
        <w:t xml:space="preserve"> </w:t>
      </w:r>
      <w:r>
        <w:rPr>
          <w:color w:val="231F20"/>
        </w:rPr>
        <w:t>вичерпним</w:t>
      </w:r>
    </w:p>
    <w:p w14:paraId="581FB97B" w14:textId="77777777" w:rsidR="00DE575E" w:rsidRDefault="00DE575E">
      <w:pPr>
        <w:pStyle w:val="BodyText"/>
        <w:rPr>
          <w:sz w:val="20"/>
        </w:rPr>
      </w:pPr>
    </w:p>
    <w:p w14:paraId="541B896F" w14:textId="501FBC2F" w:rsidR="00DE575E" w:rsidRDefault="002E7560">
      <w:pPr>
        <w:pStyle w:val="BodyText"/>
        <w:spacing w:before="11"/>
        <w:rPr>
          <w:sz w:val="12"/>
        </w:rPr>
      </w:pPr>
      <w:r>
        <w:rPr>
          <w:noProof/>
        </w:rPr>
        <mc:AlternateContent>
          <mc:Choice Requires="wps">
            <w:drawing>
              <wp:anchor distT="0" distB="0" distL="0" distR="0" simplePos="0" relativeHeight="16432" behindDoc="0" locked="0" layoutInCell="1" allowOverlap="1" wp14:anchorId="4B5CCFE2" wp14:editId="39AA2A26">
                <wp:simplePos x="0" y="0"/>
                <wp:positionH relativeFrom="page">
                  <wp:posOffset>719455</wp:posOffset>
                </wp:positionH>
                <wp:positionV relativeFrom="paragraph">
                  <wp:posOffset>124460</wp:posOffset>
                </wp:positionV>
                <wp:extent cx="1080135" cy="0"/>
                <wp:effectExtent l="8255" t="10160" r="29210" b="27940"/>
                <wp:wrapTopAndBottom/>
                <wp:docPr id="34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41453" id="Line_x0020_348" o:spid="_x0000_s1026" style="position:absolute;z-index:1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8pt" to="141.7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Lf/CI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" strokecolor="#231f20" strokeweight=".5pt">
                <w10:wrap type="topAndBottom" anchorx="page"/>
              </v:line>
            </w:pict>
          </mc:Fallback>
        </mc:AlternateContent>
      </w:r>
    </w:p>
    <w:p w14:paraId="3F745ACA" w14:textId="77777777" w:rsidR="00DE575E" w:rsidRDefault="002E7560">
      <w:pPr>
        <w:spacing w:line="204" w:lineRule="auto"/>
        <w:ind w:left="533" w:right="339"/>
        <w:rPr>
          <w:sz w:val="16"/>
        </w:rPr>
      </w:pPr>
      <w:r>
        <w:rPr>
          <w:color w:val="231F20"/>
          <w:position w:val="5"/>
          <w:sz w:val="9"/>
        </w:rPr>
        <w:t xml:space="preserve">1 </w:t>
      </w:r>
      <w:r>
        <w:rPr>
          <w:color w:val="231F20"/>
          <w:sz w:val="16"/>
        </w:rPr>
        <w:t>Науково-практичний коментар до Закону України «Про запобігання корупції» / Бан-  чук О. та ін.; наук. ред. Хавронюк М. Київ: Ваіте, 2018. С.</w:t>
      </w:r>
      <w:r>
        <w:rPr>
          <w:color w:val="231F20"/>
          <w:spacing w:val="-10"/>
          <w:sz w:val="16"/>
        </w:rPr>
        <w:t xml:space="preserve"> </w:t>
      </w:r>
      <w:r>
        <w:rPr>
          <w:color w:val="231F20"/>
          <w:sz w:val="16"/>
        </w:rPr>
        <w:t>37.</w:t>
      </w:r>
    </w:p>
    <w:p w14:paraId="6DCBCDB3" w14:textId="77777777" w:rsidR="00DE575E" w:rsidRDefault="00DE575E">
      <w:pPr>
        <w:pStyle w:val="BodyText"/>
        <w:spacing w:before="1"/>
        <w:rPr>
          <w:sz w:val="12"/>
        </w:rPr>
      </w:pPr>
    </w:p>
    <w:p w14:paraId="3E9F2F75" w14:textId="77777777" w:rsidR="00DE575E" w:rsidRDefault="002E7560">
      <w:pPr>
        <w:spacing w:before="92"/>
        <w:ind w:left="533"/>
        <w:rPr>
          <w:rFonts w:ascii="Times New Roman"/>
          <w:sz w:val="20"/>
        </w:rPr>
      </w:pPr>
      <w:r>
        <w:rPr>
          <w:rFonts w:ascii="Times New Roman"/>
          <w:color w:val="231F20"/>
          <w:sz w:val="20"/>
        </w:rPr>
        <w:t>418</w:t>
      </w:r>
    </w:p>
    <w:p w14:paraId="7BEC76D7" w14:textId="77777777" w:rsidR="00DE575E" w:rsidRDefault="00DE575E">
      <w:pPr>
        <w:rPr>
          <w:rFonts w:ascii="Times New Roman"/>
          <w:sz w:val="20"/>
        </w:rPr>
        <w:sectPr w:rsidR="00DE575E">
          <w:pgSz w:w="8510" w:h="12760"/>
          <w:pgMar w:top="660" w:right="720" w:bottom="280" w:left="600" w:header="720" w:footer="720" w:gutter="0"/>
          <w:cols w:space="720"/>
        </w:sectPr>
      </w:pPr>
    </w:p>
    <w:p w14:paraId="3998000E"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w:t>
      </w:r>
      <w:r>
        <w:rPr>
          <w:rFonts w:ascii="AdonisC" w:hAnsi="AdonisC"/>
          <w:i/>
          <w:color w:val="231F20"/>
          <w:sz w:val="18"/>
        </w:rPr>
        <w:t xml:space="preserve"> публічній службі</w:t>
      </w:r>
    </w:p>
    <w:p w14:paraId="1746ECEF" w14:textId="311F146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29FFDAC" wp14:editId="42C24007">
                <wp:extent cx="4140200" cy="6350"/>
                <wp:effectExtent l="0" t="0" r="12700" b="6350"/>
                <wp:docPr id="34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48" name="Line 3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01A955" id="Group_x0020_3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ZnG10gAIAAJgFAAAO&#10;AAAAAAAAAAAAAAAAACwCAABkcnMvZTJvRG9jLnhtbFBLAQItABQABgAIAAAAIQBMp7CQ2QAAAAMB&#10;AAAPAAAAAAAAAAAAAAAAANgEAABkcnMvZG93bnJldi54bWxQSwUGAAAAAAQABADzAAAA3gUAAAAA&#10;">
                <v:line id="Line_x0020_3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ySUsMAAADcAAAADwAAAGRycy9kb3ducmV2LnhtbERP3WrCMBS+H/gO4Qi7GZpuHSLVKDIQ&#10;ZBf+1Qc4Nse2mJzUJtpuT79cCLv8+P7ny94a8aDW144VvI8TEMSF0zWXCk75ejQF4QOyRuOYFPyQ&#10;h+Vi8DLHTLuOD/Q4hlLEEPYZKqhCaDIpfVGRRT92DXHkLq61GCJsS6lb7GK4NfIjSSbSYs2xocKG&#10;vioqrse7VZDf3oLZ775Nl+/OqTzftunvfavU67BfzUAE6sO/+OneaAXpZ1wbz8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cklLDAAAA3AAAAA8AAAAAAAAAAAAA&#10;AAAAoQIAAGRycy9kb3ducmV2LnhtbFBLBQYAAAAABAAEAPkAAACRAwAAAAA=&#10;" strokecolor="#231f20" strokeweight=".5pt"/>
                <w10:anchorlock/>
              </v:group>
            </w:pict>
          </mc:Fallback>
        </mc:AlternateContent>
      </w:r>
    </w:p>
    <w:p w14:paraId="16FC4A1E" w14:textId="77777777" w:rsidR="00DE575E" w:rsidRDefault="00DE575E">
      <w:pPr>
        <w:pStyle w:val="BodyText"/>
        <w:spacing w:before="7"/>
        <w:rPr>
          <w:rFonts w:ascii="AdonisC"/>
          <w:i/>
          <w:sz w:val="19"/>
        </w:rPr>
      </w:pPr>
    </w:p>
    <w:p w14:paraId="67B42AB3" w14:textId="77777777" w:rsidR="00DE575E" w:rsidRDefault="002E7560">
      <w:pPr>
        <w:pStyle w:val="BodyText"/>
        <w:spacing w:before="1" w:line="252" w:lineRule="auto"/>
        <w:ind w:left="250" w:right="411"/>
        <w:jc w:val="both"/>
      </w:pPr>
      <w:r>
        <w:rPr>
          <w:color w:val="231F20"/>
        </w:rPr>
        <w:t>(напр.,</w:t>
      </w:r>
      <w:r>
        <w:rPr>
          <w:color w:val="231F20"/>
          <w:spacing w:val="-6"/>
        </w:rPr>
        <w:t xml:space="preserve"> </w:t>
      </w:r>
      <w:r>
        <w:rPr>
          <w:color w:val="231F20"/>
        </w:rPr>
        <w:t>про</w:t>
      </w:r>
      <w:r>
        <w:rPr>
          <w:color w:val="231F20"/>
          <w:spacing w:val="-6"/>
        </w:rPr>
        <w:t xml:space="preserve"> </w:t>
      </w:r>
      <w:r>
        <w:rPr>
          <w:color w:val="231F20"/>
        </w:rPr>
        <w:t>пряме</w:t>
      </w:r>
      <w:r>
        <w:rPr>
          <w:color w:val="231F20"/>
          <w:spacing w:val="-6"/>
        </w:rPr>
        <w:t xml:space="preserve"> </w:t>
      </w:r>
      <w:r>
        <w:rPr>
          <w:color w:val="231F20"/>
        </w:rPr>
        <w:t>підпорядкування</w:t>
      </w:r>
      <w:r>
        <w:rPr>
          <w:color w:val="231F20"/>
          <w:spacing w:val="-6"/>
        </w:rPr>
        <w:t xml:space="preserve"> </w:t>
      </w:r>
      <w:r>
        <w:rPr>
          <w:color w:val="231F20"/>
        </w:rPr>
        <w:t>може</w:t>
      </w:r>
      <w:r>
        <w:rPr>
          <w:color w:val="231F20"/>
          <w:spacing w:val="-6"/>
        </w:rPr>
        <w:t xml:space="preserve"> </w:t>
      </w:r>
      <w:r>
        <w:rPr>
          <w:color w:val="231F20"/>
        </w:rPr>
        <w:t>свідчити</w:t>
      </w:r>
      <w:r>
        <w:rPr>
          <w:color w:val="231F20"/>
          <w:spacing w:val="-6"/>
        </w:rPr>
        <w:t xml:space="preserve"> </w:t>
      </w:r>
      <w:r>
        <w:rPr>
          <w:color w:val="231F20"/>
        </w:rPr>
        <w:t>наявність</w:t>
      </w:r>
      <w:r>
        <w:rPr>
          <w:color w:val="231F20"/>
          <w:spacing w:val="-6"/>
        </w:rPr>
        <w:t xml:space="preserve"> </w:t>
      </w:r>
      <w:r>
        <w:rPr>
          <w:color w:val="231F20"/>
        </w:rPr>
        <w:t>у</w:t>
      </w:r>
      <w:r>
        <w:rPr>
          <w:color w:val="231F20"/>
          <w:spacing w:val="-8"/>
        </w:rPr>
        <w:t xml:space="preserve"> </w:t>
      </w:r>
      <w:r>
        <w:rPr>
          <w:color w:val="231F20"/>
        </w:rPr>
        <w:t>керів- ника правомочності на визначення та перегляд обсягу посадових повноважень);</w:t>
      </w:r>
    </w:p>
    <w:p w14:paraId="05D71203" w14:textId="77777777" w:rsidR="00DE575E" w:rsidRDefault="002E7560">
      <w:pPr>
        <w:pStyle w:val="BodyText"/>
        <w:spacing w:before="1" w:line="252" w:lineRule="auto"/>
        <w:ind w:left="250" w:right="408" w:firstLine="283"/>
        <w:jc w:val="both"/>
      </w:pPr>
      <w:r>
        <w:rPr>
          <w:color w:val="231F20"/>
        </w:rPr>
        <w:t xml:space="preserve">в) участь у вирішенні питань  прийняття  на  </w:t>
      </w:r>
      <w:r>
        <w:rPr>
          <w:color w:val="231F20"/>
          <w:spacing w:val="-4"/>
        </w:rPr>
        <w:t xml:space="preserve">роботу,  </w:t>
      </w:r>
      <w:r>
        <w:rPr>
          <w:color w:val="231F20"/>
        </w:rPr>
        <w:t>звіль- нення з роботи, застосування заохочень, дисциплінарних стягнень, надання</w:t>
      </w:r>
      <w:r>
        <w:rPr>
          <w:color w:val="231F20"/>
          <w:spacing w:val="-8"/>
        </w:rPr>
        <w:t xml:space="preserve"> </w:t>
      </w:r>
      <w:r>
        <w:rPr>
          <w:color w:val="231F20"/>
        </w:rPr>
        <w:t>вказівок,</w:t>
      </w:r>
      <w:r>
        <w:rPr>
          <w:color w:val="231F20"/>
          <w:spacing w:val="-8"/>
        </w:rPr>
        <w:t xml:space="preserve"> </w:t>
      </w:r>
      <w:r>
        <w:rPr>
          <w:color w:val="231F20"/>
        </w:rPr>
        <w:t>доручень</w:t>
      </w:r>
      <w:r>
        <w:rPr>
          <w:color w:val="231F20"/>
          <w:spacing w:val="-8"/>
        </w:rPr>
        <w:t xml:space="preserve"> </w:t>
      </w:r>
      <w:r>
        <w:rPr>
          <w:color w:val="231F20"/>
        </w:rPr>
        <w:t>тощо,</w:t>
      </w:r>
      <w:r>
        <w:rPr>
          <w:color w:val="231F20"/>
          <w:spacing w:val="-8"/>
        </w:rPr>
        <w:t xml:space="preserve"> </w:t>
      </w:r>
      <w:r>
        <w:rPr>
          <w:color w:val="231F20"/>
        </w:rPr>
        <w:t>контроль</w:t>
      </w:r>
      <w:r>
        <w:rPr>
          <w:color w:val="231F20"/>
          <w:spacing w:val="-8"/>
        </w:rPr>
        <w:t xml:space="preserve"> </w:t>
      </w:r>
      <w:r>
        <w:rPr>
          <w:color w:val="231F20"/>
        </w:rPr>
        <w:t>за</w:t>
      </w:r>
      <w:r>
        <w:rPr>
          <w:color w:val="231F20"/>
          <w:spacing w:val="-8"/>
        </w:rPr>
        <w:t xml:space="preserve"> </w:t>
      </w:r>
      <w:r>
        <w:rPr>
          <w:color w:val="231F20"/>
        </w:rPr>
        <w:t>їх</w:t>
      </w:r>
      <w:r>
        <w:rPr>
          <w:color w:val="231F20"/>
          <w:spacing w:val="-8"/>
        </w:rPr>
        <w:t xml:space="preserve"> </w:t>
      </w:r>
      <w:r>
        <w:rPr>
          <w:color w:val="231F20"/>
        </w:rPr>
        <w:t>виконанням,</w:t>
      </w:r>
      <w:r>
        <w:rPr>
          <w:color w:val="231F20"/>
          <w:spacing w:val="-8"/>
        </w:rPr>
        <w:t xml:space="preserve"> </w:t>
      </w:r>
      <w:r>
        <w:rPr>
          <w:color w:val="231F20"/>
        </w:rPr>
        <w:t>зазви- чай (але не завжди) свідчить про наявність відносин прямого</w:t>
      </w:r>
      <w:r>
        <w:rPr>
          <w:color w:val="231F20"/>
          <w:spacing w:val="-27"/>
        </w:rPr>
        <w:t xml:space="preserve"> </w:t>
      </w:r>
      <w:r>
        <w:rPr>
          <w:color w:val="231F20"/>
        </w:rPr>
        <w:t>підпо- рядкування; інколи такі повноваження можуть мати м</w:t>
      </w:r>
      <w:r>
        <w:rPr>
          <w:color w:val="231F20"/>
        </w:rPr>
        <w:t>ісце і без відносин прямого підпорядкування (так, кандидатури на посади керівників</w:t>
      </w:r>
      <w:r>
        <w:rPr>
          <w:color w:val="231F20"/>
          <w:spacing w:val="-13"/>
        </w:rPr>
        <w:t xml:space="preserve"> </w:t>
      </w:r>
      <w:r>
        <w:rPr>
          <w:color w:val="231F20"/>
        </w:rPr>
        <w:t>територіальних</w:t>
      </w:r>
      <w:r>
        <w:rPr>
          <w:color w:val="231F20"/>
          <w:spacing w:val="-12"/>
        </w:rPr>
        <w:t xml:space="preserve"> </w:t>
      </w:r>
      <w:r>
        <w:rPr>
          <w:color w:val="231F20"/>
        </w:rPr>
        <w:t>органів</w:t>
      </w:r>
      <w:r>
        <w:rPr>
          <w:color w:val="231F20"/>
          <w:spacing w:val="-13"/>
        </w:rPr>
        <w:t xml:space="preserve"> </w:t>
      </w:r>
      <w:r>
        <w:rPr>
          <w:color w:val="231F20"/>
        </w:rPr>
        <w:t>центрального</w:t>
      </w:r>
      <w:r>
        <w:rPr>
          <w:color w:val="231F20"/>
          <w:spacing w:val="-12"/>
        </w:rPr>
        <w:t xml:space="preserve"> </w:t>
      </w:r>
      <w:r>
        <w:rPr>
          <w:color w:val="231F20"/>
        </w:rPr>
        <w:t>органу</w:t>
      </w:r>
      <w:r>
        <w:rPr>
          <w:color w:val="231F20"/>
          <w:spacing w:val="-13"/>
        </w:rPr>
        <w:t xml:space="preserve"> </w:t>
      </w:r>
      <w:r>
        <w:rPr>
          <w:color w:val="231F20"/>
        </w:rPr>
        <w:t xml:space="preserve">виконавчої влади погоджуються з головами місцевих державних адміністрацій, тобто останні беруть участь у процедурі прийняття на </w:t>
      </w:r>
      <w:r>
        <w:rPr>
          <w:color w:val="231F20"/>
          <w:spacing w:val="-3"/>
        </w:rPr>
        <w:t>сл</w:t>
      </w:r>
      <w:r>
        <w:rPr>
          <w:color w:val="231F20"/>
          <w:spacing w:val="-3"/>
        </w:rPr>
        <w:t xml:space="preserve">ужбу, </w:t>
      </w:r>
      <w:r>
        <w:rPr>
          <w:color w:val="231F20"/>
        </w:rPr>
        <w:t>але не є прямими керівниками для очільників вказаних</w:t>
      </w:r>
      <w:r>
        <w:rPr>
          <w:color w:val="231F20"/>
          <w:spacing w:val="-20"/>
        </w:rPr>
        <w:t xml:space="preserve"> </w:t>
      </w:r>
      <w:r>
        <w:rPr>
          <w:color w:val="231F20"/>
        </w:rPr>
        <w:t xml:space="preserve">територіальних органів). </w:t>
      </w:r>
      <w:r>
        <w:rPr>
          <w:color w:val="231F20"/>
          <w:spacing w:val="-3"/>
        </w:rPr>
        <w:t xml:space="preserve">Голови </w:t>
      </w:r>
      <w:r>
        <w:rPr>
          <w:color w:val="231F20"/>
        </w:rPr>
        <w:t xml:space="preserve">місцевих державних адміністрацій координують діяльність територіальних органів центральних органів виконав- чої влади, а «координація» (як і «спрямування») фактично </w:t>
      </w:r>
      <w:r>
        <w:rPr>
          <w:color w:val="231F20"/>
        </w:rPr>
        <w:t>є посла- бленою формою відносин підпорядкування, яке доцільно назвати непрямим підпорядкуванням.</w:t>
      </w:r>
    </w:p>
    <w:p w14:paraId="26DAAFAB" w14:textId="77777777" w:rsidR="00DE575E" w:rsidRDefault="002E7560">
      <w:pPr>
        <w:pStyle w:val="Heading6"/>
        <w:spacing w:before="8" w:line="252" w:lineRule="auto"/>
        <w:ind w:left="250" w:right="411"/>
        <w:jc w:val="both"/>
      </w:pPr>
      <w:r>
        <w:rPr>
          <w:color w:val="231F20"/>
        </w:rPr>
        <w:t xml:space="preserve">Обмеження щодо спільної роботи близьких осіб не поширю- </w:t>
      </w:r>
      <w:r>
        <w:rPr>
          <w:color w:val="231F20"/>
        </w:rPr>
        <w:t>ються на:</w:t>
      </w:r>
    </w:p>
    <w:p w14:paraId="2E91FDE7" w14:textId="77777777" w:rsidR="00DE575E" w:rsidRDefault="002E7560">
      <w:pPr>
        <w:pStyle w:val="ListParagraph"/>
        <w:numPr>
          <w:ilvl w:val="0"/>
          <w:numId w:val="74"/>
        </w:numPr>
        <w:tabs>
          <w:tab w:val="left" w:pos="818"/>
        </w:tabs>
        <w:spacing w:line="252" w:lineRule="auto"/>
        <w:ind w:right="410" w:firstLine="283"/>
        <w:jc w:val="both"/>
        <w:rPr>
          <w:sz w:val="21"/>
        </w:rPr>
      </w:pPr>
      <w:r>
        <w:rPr>
          <w:i/>
          <w:color w:val="231F20"/>
          <w:sz w:val="21"/>
        </w:rPr>
        <w:t xml:space="preserve">присяжних </w:t>
      </w:r>
      <w:r>
        <w:rPr>
          <w:color w:val="231F20"/>
          <w:sz w:val="21"/>
        </w:rPr>
        <w:t>(антикорупційний закон поряд із присяжними називає</w:t>
      </w:r>
      <w:r>
        <w:rPr>
          <w:color w:val="231F20"/>
          <w:spacing w:val="-7"/>
          <w:sz w:val="21"/>
        </w:rPr>
        <w:t xml:space="preserve"> </w:t>
      </w:r>
      <w:r>
        <w:rPr>
          <w:color w:val="231F20"/>
          <w:sz w:val="21"/>
        </w:rPr>
        <w:t>і</w:t>
      </w:r>
      <w:r>
        <w:rPr>
          <w:color w:val="231F20"/>
          <w:spacing w:val="-7"/>
          <w:sz w:val="21"/>
        </w:rPr>
        <w:t xml:space="preserve"> </w:t>
      </w:r>
      <w:r>
        <w:rPr>
          <w:color w:val="231F20"/>
          <w:sz w:val="21"/>
        </w:rPr>
        <w:t>народних</w:t>
      </w:r>
      <w:r>
        <w:rPr>
          <w:color w:val="231F20"/>
          <w:spacing w:val="-7"/>
          <w:sz w:val="21"/>
        </w:rPr>
        <w:t xml:space="preserve"> </w:t>
      </w:r>
      <w:r>
        <w:rPr>
          <w:color w:val="231F20"/>
          <w:sz w:val="21"/>
        </w:rPr>
        <w:t>засідателів,</w:t>
      </w:r>
      <w:r>
        <w:rPr>
          <w:color w:val="231F20"/>
          <w:spacing w:val="-7"/>
          <w:sz w:val="21"/>
        </w:rPr>
        <w:t xml:space="preserve"> </w:t>
      </w:r>
      <w:r>
        <w:rPr>
          <w:color w:val="231F20"/>
          <w:sz w:val="21"/>
        </w:rPr>
        <w:t>однак</w:t>
      </w:r>
      <w:r>
        <w:rPr>
          <w:color w:val="231F20"/>
          <w:spacing w:val="-7"/>
          <w:sz w:val="21"/>
        </w:rPr>
        <w:t xml:space="preserve"> </w:t>
      </w:r>
      <w:r>
        <w:rPr>
          <w:color w:val="231F20"/>
          <w:sz w:val="21"/>
        </w:rPr>
        <w:t>на</w:t>
      </w:r>
      <w:r>
        <w:rPr>
          <w:color w:val="231F20"/>
          <w:spacing w:val="-7"/>
          <w:sz w:val="21"/>
        </w:rPr>
        <w:t xml:space="preserve"> </w:t>
      </w:r>
      <w:r>
        <w:rPr>
          <w:color w:val="231F20"/>
          <w:sz w:val="21"/>
        </w:rPr>
        <w:t>сьогодні</w:t>
      </w:r>
      <w:r>
        <w:rPr>
          <w:color w:val="231F20"/>
          <w:spacing w:val="-7"/>
          <w:sz w:val="21"/>
        </w:rPr>
        <w:t xml:space="preserve"> </w:t>
      </w:r>
      <w:r>
        <w:rPr>
          <w:color w:val="231F20"/>
          <w:sz w:val="21"/>
        </w:rPr>
        <w:t>цей</w:t>
      </w:r>
      <w:r>
        <w:rPr>
          <w:color w:val="231F20"/>
          <w:spacing w:val="-7"/>
          <w:sz w:val="21"/>
        </w:rPr>
        <w:t xml:space="preserve"> </w:t>
      </w:r>
      <w:r>
        <w:rPr>
          <w:color w:val="231F20"/>
          <w:spacing w:val="-3"/>
          <w:sz w:val="21"/>
        </w:rPr>
        <w:t>судовий</w:t>
      </w:r>
      <w:r>
        <w:rPr>
          <w:color w:val="231F20"/>
          <w:spacing w:val="-7"/>
          <w:sz w:val="21"/>
        </w:rPr>
        <w:t xml:space="preserve"> </w:t>
      </w:r>
      <w:r>
        <w:rPr>
          <w:color w:val="231F20"/>
          <w:sz w:val="21"/>
        </w:rPr>
        <w:t>інсти- тут уже</w:t>
      </w:r>
      <w:r>
        <w:rPr>
          <w:color w:val="231F20"/>
          <w:spacing w:val="-2"/>
          <w:sz w:val="21"/>
        </w:rPr>
        <w:t xml:space="preserve"> </w:t>
      </w:r>
      <w:r>
        <w:rPr>
          <w:color w:val="231F20"/>
          <w:sz w:val="21"/>
        </w:rPr>
        <w:t>ліквідований);</w:t>
      </w:r>
    </w:p>
    <w:p w14:paraId="31C64509" w14:textId="77777777" w:rsidR="00DE575E" w:rsidRDefault="002E7560">
      <w:pPr>
        <w:pStyle w:val="ListParagraph"/>
        <w:numPr>
          <w:ilvl w:val="0"/>
          <w:numId w:val="74"/>
        </w:numPr>
        <w:tabs>
          <w:tab w:val="left" w:pos="818"/>
        </w:tabs>
        <w:spacing w:line="252" w:lineRule="auto"/>
        <w:ind w:right="410" w:firstLine="283"/>
        <w:jc w:val="both"/>
        <w:rPr>
          <w:sz w:val="21"/>
        </w:rPr>
      </w:pPr>
      <w:r>
        <w:rPr>
          <w:i/>
          <w:color w:val="231F20"/>
          <w:sz w:val="21"/>
        </w:rPr>
        <w:t>близьких осіб</w:t>
      </w:r>
      <w:r>
        <w:rPr>
          <w:color w:val="231F20"/>
          <w:sz w:val="21"/>
        </w:rPr>
        <w:t xml:space="preserve">, які прямо підпорядковані один одному у зв’язку з набуттям одним із них статусу виборної особи (обрання головою ради, головою </w:t>
      </w:r>
      <w:r>
        <w:rPr>
          <w:color w:val="231F20"/>
          <w:spacing w:val="-4"/>
          <w:sz w:val="21"/>
        </w:rPr>
        <w:t>суду</w:t>
      </w:r>
      <w:r>
        <w:rPr>
          <w:color w:val="231F20"/>
          <w:spacing w:val="-2"/>
          <w:sz w:val="21"/>
        </w:rPr>
        <w:t xml:space="preserve"> </w:t>
      </w:r>
      <w:r>
        <w:rPr>
          <w:color w:val="231F20"/>
          <w:sz w:val="21"/>
        </w:rPr>
        <w:t>тощо);</w:t>
      </w:r>
    </w:p>
    <w:p w14:paraId="1E533400" w14:textId="77777777" w:rsidR="00DE575E" w:rsidRDefault="002E7560">
      <w:pPr>
        <w:pStyle w:val="ListParagraph"/>
        <w:numPr>
          <w:ilvl w:val="0"/>
          <w:numId w:val="74"/>
        </w:numPr>
        <w:tabs>
          <w:tab w:val="left" w:pos="818"/>
        </w:tabs>
        <w:spacing w:before="2" w:line="252" w:lineRule="auto"/>
        <w:ind w:right="408" w:firstLine="283"/>
        <w:jc w:val="both"/>
        <w:rPr>
          <w:sz w:val="21"/>
        </w:rPr>
      </w:pPr>
      <w:r>
        <w:rPr>
          <w:color w:val="231F20"/>
          <w:sz w:val="21"/>
        </w:rPr>
        <w:t>осіб,</w:t>
      </w:r>
      <w:r>
        <w:rPr>
          <w:color w:val="231F20"/>
          <w:spacing w:val="-11"/>
          <w:sz w:val="21"/>
        </w:rPr>
        <w:t xml:space="preserve"> </w:t>
      </w:r>
      <w:r>
        <w:rPr>
          <w:i/>
          <w:color w:val="231F20"/>
          <w:sz w:val="21"/>
        </w:rPr>
        <w:t>які</w:t>
      </w:r>
      <w:r>
        <w:rPr>
          <w:i/>
          <w:color w:val="231F20"/>
          <w:spacing w:val="-11"/>
          <w:sz w:val="21"/>
        </w:rPr>
        <w:t xml:space="preserve"> </w:t>
      </w:r>
      <w:r>
        <w:rPr>
          <w:i/>
          <w:color w:val="231F20"/>
          <w:sz w:val="21"/>
        </w:rPr>
        <w:t>працюють</w:t>
      </w:r>
      <w:r>
        <w:rPr>
          <w:i/>
          <w:color w:val="231F20"/>
          <w:spacing w:val="-11"/>
          <w:sz w:val="21"/>
        </w:rPr>
        <w:t xml:space="preserve"> </w:t>
      </w:r>
      <w:r>
        <w:rPr>
          <w:i/>
          <w:color w:val="231F20"/>
          <w:sz w:val="21"/>
        </w:rPr>
        <w:t>у</w:t>
      </w:r>
      <w:r>
        <w:rPr>
          <w:i/>
          <w:color w:val="231F20"/>
          <w:spacing w:val="-11"/>
          <w:sz w:val="21"/>
        </w:rPr>
        <w:t xml:space="preserve"> </w:t>
      </w:r>
      <w:r>
        <w:rPr>
          <w:i/>
          <w:color w:val="231F20"/>
          <w:sz w:val="21"/>
        </w:rPr>
        <w:t>сільських</w:t>
      </w:r>
      <w:r>
        <w:rPr>
          <w:i/>
          <w:color w:val="231F20"/>
          <w:spacing w:val="-11"/>
          <w:sz w:val="21"/>
        </w:rPr>
        <w:t xml:space="preserve"> </w:t>
      </w:r>
      <w:r>
        <w:rPr>
          <w:i/>
          <w:color w:val="231F20"/>
          <w:sz w:val="21"/>
        </w:rPr>
        <w:t>населених</w:t>
      </w:r>
      <w:r>
        <w:rPr>
          <w:i/>
          <w:color w:val="231F20"/>
          <w:spacing w:val="-11"/>
          <w:sz w:val="21"/>
        </w:rPr>
        <w:t xml:space="preserve"> </w:t>
      </w:r>
      <w:r>
        <w:rPr>
          <w:i/>
          <w:color w:val="231F20"/>
          <w:sz w:val="21"/>
        </w:rPr>
        <w:t>пунктах</w:t>
      </w:r>
      <w:r>
        <w:rPr>
          <w:i/>
          <w:color w:val="231F20"/>
          <w:spacing w:val="-11"/>
          <w:sz w:val="21"/>
        </w:rPr>
        <w:t xml:space="preserve"> </w:t>
      </w:r>
      <w:r>
        <w:rPr>
          <w:i/>
          <w:color w:val="231F20"/>
          <w:sz w:val="21"/>
        </w:rPr>
        <w:t>(кр</w:t>
      </w:r>
      <w:r>
        <w:rPr>
          <w:i/>
          <w:color w:val="231F20"/>
          <w:sz w:val="21"/>
        </w:rPr>
        <w:t>ім</w:t>
      </w:r>
      <w:r>
        <w:rPr>
          <w:i/>
          <w:color w:val="231F20"/>
          <w:spacing w:val="-11"/>
          <w:sz w:val="21"/>
        </w:rPr>
        <w:t xml:space="preserve"> </w:t>
      </w:r>
      <w:r>
        <w:rPr>
          <w:i/>
          <w:color w:val="231F20"/>
          <w:sz w:val="21"/>
        </w:rPr>
        <w:t>тих,</w:t>
      </w:r>
      <w:r>
        <w:rPr>
          <w:i/>
          <w:color w:val="231F20"/>
          <w:spacing w:val="-11"/>
          <w:sz w:val="21"/>
        </w:rPr>
        <w:t xml:space="preserve"> </w:t>
      </w:r>
      <w:r>
        <w:rPr>
          <w:i/>
          <w:color w:val="231F20"/>
          <w:sz w:val="21"/>
        </w:rPr>
        <w:t>що є районними центрами), а також гірських населених пунктах</w:t>
      </w:r>
      <w:r>
        <w:rPr>
          <w:color w:val="231F20"/>
          <w:sz w:val="21"/>
        </w:rPr>
        <w:t>. Сіль- ські</w:t>
      </w:r>
      <w:r>
        <w:rPr>
          <w:color w:val="231F20"/>
          <w:spacing w:val="-16"/>
          <w:sz w:val="21"/>
        </w:rPr>
        <w:t xml:space="preserve"> </w:t>
      </w:r>
      <w:r>
        <w:rPr>
          <w:color w:val="231F20"/>
          <w:sz w:val="21"/>
        </w:rPr>
        <w:t>населені</w:t>
      </w:r>
      <w:r>
        <w:rPr>
          <w:color w:val="231F20"/>
          <w:spacing w:val="-16"/>
          <w:sz w:val="21"/>
        </w:rPr>
        <w:t xml:space="preserve"> </w:t>
      </w:r>
      <w:r>
        <w:rPr>
          <w:color w:val="231F20"/>
          <w:sz w:val="21"/>
        </w:rPr>
        <w:t>пункти</w:t>
      </w:r>
      <w:r>
        <w:rPr>
          <w:color w:val="231F20"/>
          <w:spacing w:val="-17"/>
          <w:sz w:val="21"/>
        </w:rPr>
        <w:t xml:space="preserve"> </w:t>
      </w:r>
      <w:r>
        <w:rPr>
          <w:color w:val="231F20"/>
          <w:sz w:val="21"/>
        </w:rPr>
        <w:t>–</w:t>
      </w:r>
      <w:r>
        <w:rPr>
          <w:color w:val="231F20"/>
          <w:spacing w:val="-16"/>
          <w:sz w:val="21"/>
        </w:rPr>
        <w:t xml:space="preserve"> </w:t>
      </w:r>
      <w:r>
        <w:rPr>
          <w:color w:val="231F20"/>
          <w:sz w:val="21"/>
        </w:rPr>
        <w:t>це</w:t>
      </w:r>
      <w:r>
        <w:rPr>
          <w:color w:val="231F20"/>
          <w:spacing w:val="-16"/>
          <w:sz w:val="21"/>
        </w:rPr>
        <w:t xml:space="preserve"> </w:t>
      </w:r>
      <w:r>
        <w:rPr>
          <w:color w:val="231F20"/>
          <w:sz w:val="21"/>
        </w:rPr>
        <w:t>села</w:t>
      </w:r>
      <w:r>
        <w:rPr>
          <w:color w:val="231F20"/>
          <w:spacing w:val="-16"/>
          <w:sz w:val="21"/>
        </w:rPr>
        <w:t xml:space="preserve"> </w:t>
      </w:r>
      <w:r>
        <w:rPr>
          <w:color w:val="231F20"/>
          <w:sz w:val="21"/>
        </w:rPr>
        <w:t>і</w:t>
      </w:r>
      <w:r>
        <w:rPr>
          <w:color w:val="231F20"/>
          <w:spacing w:val="-16"/>
          <w:sz w:val="21"/>
        </w:rPr>
        <w:t xml:space="preserve"> </w:t>
      </w:r>
      <w:r>
        <w:rPr>
          <w:color w:val="231F20"/>
          <w:sz w:val="21"/>
        </w:rPr>
        <w:t>селища</w:t>
      </w:r>
      <w:r>
        <w:rPr>
          <w:color w:val="231F20"/>
          <w:spacing w:val="-16"/>
          <w:sz w:val="21"/>
        </w:rPr>
        <w:t xml:space="preserve"> </w:t>
      </w:r>
      <w:r>
        <w:rPr>
          <w:color w:val="231F20"/>
          <w:sz w:val="21"/>
        </w:rPr>
        <w:t>(але</w:t>
      </w:r>
      <w:r>
        <w:rPr>
          <w:color w:val="231F20"/>
          <w:spacing w:val="-16"/>
          <w:sz w:val="21"/>
        </w:rPr>
        <w:t xml:space="preserve"> </w:t>
      </w:r>
      <w:r>
        <w:rPr>
          <w:color w:val="231F20"/>
          <w:sz w:val="21"/>
        </w:rPr>
        <w:t>не</w:t>
      </w:r>
      <w:r>
        <w:rPr>
          <w:color w:val="231F20"/>
          <w:spacing w:val="-16"/>
          <w:sz w:val="21"/>
        </w:rPr>
        <w:t xml:space="preserve"> </w:t>
      </w:r>
      <w:r>
        <w:rPr>
          <w:color w:val="231F20"/>
          <w:sz w:val="21"/>
        </w:rPr>
        <w:t>селища</w:t>
      </w:r>
      <w:r>
        <w:rPr>
          <w:color w:val="231F20"/>
          <w:spacing w:val="-16"/>
          <w:sz w:val="21"/>
        </w:rPr>
        <w:t xml:space="preserve"> </w:t>
      </w:r>
      <w:r>
        <w:rPr>
          <w:color w:val="231F20"/>
          <w:sz w:val="21"/>
        </w:rPr>
        <w:t>міського</w:t>
      </w:r>
      <w:r>
        <w:rPr>
          <w:color w:val="231F20"/>
          <w:spacing w:val="-16"/>
          <w:sz w:val="21"/>
        </w:rPr>
        <w:t xml:space="preserve"> </w:t>
      </w:r>
      <w:r>
        <w:rPr>
          <w:color w:val="231F20"/>
          <w:sz w:val="21"/>
        </w:rPr>
        <w:t xml:space="preserve">типу). Гірські населені пункти – міста, селища міського </w:t>
      </w:r>
      <w:r>
        <w:rPr>
          <w:color w:val="231F20"/>
          <w:spacing w:val="-5"/>
          <w:sz w:val="21"/>
        </w:rPr>
        <w:t xml:space="preserve">типу, </w:t>
      </w:r>
      <w:r>
        <w:rPr>
          <w:color w:val="231F20"/>
          <w:sz w:val="21"/>
        </w:rPr>
        <w:t>селища, сіль- ські населені пункти, які розташовані у гірській місцевості, мають недостатньо</w:t>
      </w:r>
      <w:r>
        <w:rPr>
          <w:color w:val="231F20"/>
          <w:spacing w:val="-13"/>
          <w:sz w:val="21"/>
        </w:rPr>
        <w:t xml:space="preserve"> </w:t>
      </w:r>
      <w:r>
        <w:rPr>
          <w:color w:val="231F20"/>
          <w:sz w:val="21"/>
        </w:rPr>
        <w:t>розвинуті</w:t>
      </w:r>
      <w:r>
        <w:rPr>
          <w:color w:val="231F20"/>
          <w:spacing w:val="-14"/>
          <w:sz w:val="21"/>
        </w:rPr>
        <w:t xml:space="preserve"> </w:t>
      </w:r>
      <w:r>
        <w:rPr>
          <w:color w:val="231F20"/>
          <w:sz w:val="21"/>
        </w:rPr>
        <w:t>сферу</w:t>
      </w:r>
      <w:r>
        <w:rPr>
          <w:color w:val="231F20"/>
          <w:spacing w:val="-13"/>
          <w:sz w:val="21"/>
        </w:rPr>
        <w:t xml:space="preserve"> </w:t>
      </w:r>
      <w:r>
        <w:rPr>
          <w:color w:val="231F20"/>
          <w:sz w:val="21"/>
        </w:rPr>
        <w:t>застосування</w:t>
      </w:r>
      <w:r>
        <w:rPr>
          <w:color w:val="231F20"/>
          <w:spacing w:val="-14"/>
          <w:sz w:val="21"/>
        </w:rPr>
        <w:t xml:space="preserve"> </w:t>
      </w:r>
      <w:r>
        <w:rPr>
          <w:color w:val="231F20"/>
          <w:sz w:val="21"/>
        </w:rPr>
        <w:t>праці</w:t>
      </w:r>
      <w:r>
        <w:rPr>
          <w:color w:val="231F20"/>
          <w:spacing w:val="-14"/>
          <w:sz w:val="21"/>
        </w:rPr>
        <w:t xml:space="preserve"> </w:t>
      </w:r>
      <w:r>
        <w:rPr>
          <w:color w:val="231F20"/>
          <w:sz w:val="21"/>
        </w:rPr>
        <w:t>та</w:t>
      </w:r>
      <w:r>
        <w:rPr>
          <w:color w:val="231F20"/>
          <w:spacing w:val="-13"/>
          <w:sz w:val="21"/>
        </w:rPr>
        <w:t xml:space="preserve"> </w:t>
      </w:r>
      <w:r>
        <w:rPr>
          <w:color w:val="231F20"/>
          <w:sz w:val="21"/>
        </w:rPr>
        <w:t>систему</w:t>
      </w:r>
      <w:r>
        <w:rPr>
          <w:color w:val="231F20"/>
          <w:spacing w:val="-14"/>
          <w:sz w:val="21"/>
        </w:rPr>
        <w:t xml:space="preserve"> </w:t>
      </w:r>
      <w:r>
        <w:rPr>
          <w:color w:val="231F20"/>
          <w:sz w:val="21"/>
        </w:rPr>
        <w:t xml:space="preserve">соціаль- но-побутового обслуговування, обмежену транспортну доступність </w:t>
      </w:r>
      <w:r>
        <w:rPr>
          <w:color w:val="231F20"/>
          <w:spacing w:val="-5"/>
          <w:sz w:val="21"/>
        </w:rPr>
        <w:t xml:space="preserve">(ст. </w:t>
      </w:r>
      <w:r>
        <w:rPr>
          <w:color w:val="231F20"/>
          <w:sz w:val="21"/>
        </w:rPr>
        <w:t xml:space="preserve">1 Закону «Про статус гірських населених </w:t>
      </w:r>
      <w:r>
        <w:rPr>
          <w:color w:val="231F20"/>
          <w:sz w:val="21"/>
        </w:rPr>
        <w:t>пунктів»). Критеріями надання статусу гірського населеного пункту є: висота розташу- вання (понад 400 м над рівнем моря), рельєф (байраки, водотоки), крутизна схилів (12 градусів і більше), обсяг сільськогосподарських угідь (менше 0.6 га  на  одного  жител</w:t>
      </w:r>
      <w:r>
        <w:rPr>
          <w:color w:val="231F20"/>
          <w:sz w:val="21"/>
        </w:rPr>
        <w:t xml:space="preserve">я),  суворі  кліматичні  умови. В </w:t>
      </w:r>
      <w:r>
        <w:rPr>
          <w:color w:val="231F20"/>
          <w:spacing w:val="-3"/>
          <w:sz w:val="21"/>
        </w:rPr>
        <w:t xml:space="preserve">Україні </w:t>
      </w:r>
      <w:r>
        <w:rPr>
          <w:color w:val="231F20"/>
          <w:sz w:val="21"/>
        </w:rPr>
        <w:t>715 населених пунктів мають статус</w:t>
      </w:r>
      <w:r>
        <w:rPr>
          <w:color w:val="231F20"/>
          <w:spacing w:val="-2"/>
          <w:sz w:val="21"/>
        </w:rPr>
        <w:t xml:space="preserve"> </w:t>
      </w:r>
      <w:r>
        <w:rPr>
          <w:color w:val="231F20"/>
          <w:sz w:val="21"/>
        </w:rPr>
        <w:t>гірських.</w:t>
      </w:r>
    </w:p>
    <w:p w14:paraId="78FEB3A5" w14:textId="77777777" w:rsidR="00DE575E" w:rsidRDefault="00DE575E">
      <w:pPr>
        <w:pStyle w:val="BodyText"/>
        <w:spacing w:before="10"/>
        <w:rPr>
          <w:sz w:val="12"/>
        </w:rPr>
      </w:pPr>
    </w:p>
    <w:p w14:paraId="5E3EC45D" w14:textId="77777777" w:rsidR="00DE575E" w:rsidRDefault="002E7560">
      <w:pPr>
        <w:spacing w:before="92"/>
        <w:ind w:right="411"/>
        <w:jc w:val="right"/>
        <w:rPr>
          <w:rFonts w:ascii="Times New Roman"/>
          <w:sz w:val="20"/>
        </w:rPr>
      </w:pPr>
      <w:r>
        <w:rPr>
          <w:rFonts w:ascii="Times New Roman"/>
          <w:color w:val="231F20"/>
          <w:w w:val="90"/>
          <w:sz w:val="20"/>
        </w:rPr>
        <w:t>419</w:t>
      </w:r>
    </w:p>
    <w:p w14:paraId="290014B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3270CF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C2935D4" w14:textId="38C6E9D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56A59C3" wp14:editId="113BA8C9">
                <wp:extent cx="4140200" cy="6350"/>
                <wp:effectExtent l="0" t="0" r="12700" b="6350"/>
                <wp:docPr id="345"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46" name="Line 3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627C15" id="Group_x0020_3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o5gjp/AgAAmAUAAA4A&#10;AAAAAAAAAAAAAAAALAIAAGRycy9lMm9Eb2MueG1sUEsBAi0AFAAGAAgAAAAhAEynsJDZAAAAAwEA&#10;AA8AAAAAAAAAAAAAAAAA1wQAAGRycy9kb3ducmV2LnhtbFBLBQYAAAAABAAEAPMAAADdBQAAAAA=&#10;">
                <v:line id="Line_x0020_3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ju8YAAADcAAAADwAAAGRycy9kb3ducmV2LnhtbESP3WrCQBSE74W+w3IKvRHdtBGR6Cql&#10;UCi98C8+wDF7TEJ3z8bsatI+fVcQvBxm5htmseqtEVdqfe1Ywes4AUFcOF1zqeCQf45mIHxA1mgc&#10;k4Jf8rBaPg0WmGnX8Y6u+1CKCGGfoYIqhCaT0hcVWfRj1xBH7+RaiyHKtpS6xS7CrZFvSTKVFmuO&#10;CxU29FFR8bO/WAX5eRjMdvNtunxzTOXxvE7/LmulXp779zmIQH14hO/tL60gnUz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Po7vGAAAA3AAAAA8AAAAAAAAA&#10;AAAAAAAAoQIAAGRycy9kb3ducmV2LnhtbFBLBQYAAAAABAAEAPkAAACUAwAAAAA=&#10;" strokecolor="#231f20" strokeweight=".5pt"/>
                <w10:anchorlock/>
              </v:group>
            </w:pict>
          </mc:Fallback>
        </mc:AlternateContent>
      </w:r>
    </w:p>
    <w:p w14:paraId="2402AE2E" w14:textId="77777777" w:rsidR="00DE575E" w:rsidRDefault="00DE575E">
      <w:pPr>
        <w:pStyle w:val="BodyText"/>
        <w:spacing w:before="7"/>
        <w:rPr>
          <w:rFonts w:ascii="AdonisC"/>
          <w:i/>
          <w:sz w:val="11"/>
        </w:rPr>
      </w:pPr>
    </w:p>
    <w:p w14:paraId="15E0F2F8" w14:textId="77777777" w:rsidR="00DE575E" w:rsidRDefault="002E7560">
      <w:pPr>
        <w:pStyle w:val="Heading6"/>
        <w:spacing w:before="101" w:line="252" w:lineRule="auto"/>
        <w:ind w:right="128"/>
        <w:jc w:val="both"/>
      </w:pPr>
      <w:r>
        <w:rPr>
          <w:color w:val="231F20"/>
        </w:rPr>
        <w:t xml:space="preserve">Для дотримання обмежень щодо спільної роботи близьких </w:t>
      </w:r>
      <w:r>
        <w:rPr>
          <w:color w:val="231F20"/>
        </w:rPr>
        <w:t>осіб передбачено такі зобов’язання:</w:t>
      </w:r>
    </w:p>
    <w:p w14:paraId="71D5DDA2" w14:textId="77777777" w:rsidR="00DE575E" w:rsidRDefault="002E7560">
      <w:pPr>
        <w:pStyle w:val="ListParagraph"/>
        <w:numPr>
          <w:ilvl w:val="0"/>
          <w:numId w:val="73"/>
        </w:numPr>
        <w:tabs>
          <w:tab w:val="left" w:pos="1101"/>
        </w:tabs>
        <w:spacing w:line="252" w:lineRule="auto"/>
        <w:ind w:right="127" w:firstLine="284"/>
        <w:rPr>
          <w:sz w:val="21"/>
        </w:rPr>
      </w:pPr>
      <w:r>
        <w:rPr>
          <w:color w:val="231F20"/>
          <w:sz w:val="21"/>
        </w:rPr>
        <w:t xml:space="preserve">для претендентів на посаду публічної служби – повідомити керівництво </w:t>
      </w:r>
      <w:r>
        <w:rPr>
          <w:color w:val="231F20"/>
          <w:spacing w:val="-3"/>
          <w:sz w:val="21"/>
        </w:rPr>
        <w:t xml:space="preserve">органу, </w:t>
      </w:r>
      <w:r>
        <w:rPr>
          <w:color w:val="231F20"/>
          <w:sz w:val="21"/>
        </w:rPr>
        <w:t>на посаду в якому вони претендують, про працюючих у цьому органі близьких їм</w:t>
      </w:r>
      <w:r>
        <w:rPr>
          <w:color w:val="231F20"/>
          <w:spacing w:val="-5"/>
          <w:sz w:val="21"/>
        </w:rPr>
        <w:t xml:space="preserve"> </w:t>
      </w:r>
      <w:r>
        <w:rPr>
          <w:color w:val="231F20"/>
          <w:sz w:val="21"/>
        </w:rPr>
        <w:t>осіб;</w:t>
      </w:r>
    </w:p>
    <w:p w14:paraId="34A487A0" w14:textId="77777777" w:rsidR="00DE575E" w:rsidRDefault="002E7560">
      <w:pPr>
        <w:pStyle w:val="ListParagraph"/>
        <w:numPr>
          <w:ilvl w:val="0"/>
          <w:numId w:val="73"/>
        </w:numPr>
        <w:tabs>
          <w:tab w:val="left" w:pos="1101"/>
        </w:tabs>
        <w:spacing w:line="252" w:lineRule="auto"/>
        <w:ind w:right="127" w:firstLine="284"/>
        <w:rPr>
          <w:sz w:val="21"/>
        </w:rPr>
      </w:pPr>
      <w:r>
        <w:rPr>
          <w:color w:val="231F20"/>
          <w:sz w:val="21"/>
        </w:rPr>
        <w:t>для публічних службовців у разі виникнення обставин, якими порушуються обмеження щодо  спільної  роботи  близьких  осіб,  –  у п’ятнадцятиденний строк вжити заходів щодо усу</w:t>
      </w:r>
      <w:r>
        <w:rPr>
          <w:color w:val="231F20"/>
          <w:sz w:val="21"/>
        </w:rPr>
        <w:t>нення таких обставин.</w:t>
      </w:r>
    </w:p>
    <w:p w14:paraId="26F3D96C" w14:textId="77777777" w:rsidR="00DE575E" w:rsidRDefault="002E7560">
      <w:pPr>
        <w:pStyle w:val="BodyText"/>
        <w:spacing w:before="2" w:line="252" w:lineRule="auto"/>
        <w:ind w:left="533" w:right="127" w:firstLine="283"/>
        <w:jc w:val="both"/>
      </w:pPr>
      <w:r>
        <w:rPr>
          <w:color w:val="231F20"/>
        </w:rPr>
        <w:t xml:space="preserve">Якщо ж факт спільної роботи близьких осіб не </w:t>
      </w:r>
      <w:r>
        <w:rPr>
          <w:color w:val="231F20"/>
          <w:spacing w:val="-4"/>
        </w:rPr>
        <w:t xml:space="preserve">буде  </w:t>
      </w:r>
      <w:r>
        <w:rPr>
          <w:color w:val="231F20"/>
        </w:rPr>
        <w:t>усунуто, то  в</w:t>
      </w:r>
      <w:r>
        <w:rPr>
          <w:color w:val="231F20"/>
          <w:spacing w:val="-9"/>
        </w:rPr>
        <w:t xml:space="preserve"> </w:t>
      </w:r>
      <w:r>
        <w:rPr>
          <w:color w:val="231F20"/>
        </w:rPr>
        <w:t>місячний</w:t>
      </w:r>
      <w:r>
        <w:rPr>
          <w:color w:val="231F20"/>
          <w:spacing w:val="-9"/>
        </w:rPr>
        <w:t xml:space="preserve"> </w:t>
      </w:r>
      <w:r>
        <w:rPr>
          <w:color w:val="231F20"/>
        </w:rPr>
        <w:t>строк</w:t>
      </w:r>
      <w:r>
        <w:rPr>
          <w:color w:val="231F20"/>
          <w:spacing w:val="-9"/>
        </w:rPr>
        <w:t xml:space="preserve"> </w:t>
      </w:r>
      <w:r>
        <w:rPr>
          <w:color w:val="231F20"/>
        </w:rPr>
        <w:t>з</w:t>
      </w:r>
      <w:r>
        <w:rPr>
          <w:color w:val="231F20"/>
          <w:spacing w:val="-9"/>
        </w:rPr>
        <w:t xml:space="preserve"> </w:t>
      </w:r>
      <w:r>
        <w:rPr>
          <w:color w:val="231F20"/>
        </w:rPr>
        <w:t>моменту</w:t>
      </w:r>
      <w:r>
        <w:rPr>
          <w:color w:val="231F20"/>
          <w:spacing w:val="-9"/>
        </w:rPr>
        <w:t xml:space="preserve"> </w:t>
      </w:r>
      <w:r>
        <w:rPr>
          <w:color w:val="231F20"/>
        </w:rPr>
        <w:t>його</w:t>
      </w:r>
      <w:r>
        <w:rPr>
          <w:color w:val="231F20"/>
          <w:spacing w:val="-9"/>
        </w:rPr>
        <w:t xml:space="preserve"> </w:t>
      </w:r>
      <w:r>
        <w:rPr>
          <w:color w:val="231F20"/>
        </w:rPr>
        <w:t>виникнення</w:t>
      </w:r>
      <w:r>
        <w:rPr>
          <w:color w:val="231F20"/>
          <w:spacing w:val="-9"/>
        </w:rPr>
        <w:t xml:space="preserve"> </w:t>
      </w:r>
      <w:r>
        <w:rPr>
          <w:color w:val="231F20"/>
        </w:rPr>
        <w:t>публічний</w:t>
      </w:r>
      <w:r>
        <w:rPr>
          <w:color w:val="231F20"/>
          <w:spacing w:val="-9"/>
        </w:rPr>
        <w:t xml:space="preserve"> </w:t>
      </w:r>
      <w:r>
        <w:rPr>
          <w:color w:val="231F20"/>
        </w:rPr>
        <w:t>службовець підлягає:</w:t>
      </w:r>
    </w:p>
    <w:p w14:paraId="73E8C4F8" w14:textId="77777777" w:rsidR="00DE575E" w:rsidRDefault="002E7560">
      <w:pPr>
        <w:pStyle w:val="ListParagraph"/>
        <w:numPr>
          <w:ilvl w:val="1"/>
          <w:numId w:val="74"/>
        </w:numPr>
        <w:tabs>
          <w:tab w:val="left" w:pos="1101"/>
        </w:tabs>
        <w:spacing w:before="2" w:line="252" w:lineRule="auto"/>
        <w:ind w:right="128" w:firstLine="284"/>
        <w:rPr>
          <w:sz w:val="21"/>
        </w:rPr>
      </w:pPr>
      <w:r>
        <w:rPr>
          <w:i/>
          <w:color w:val="231F20"/>
          <w:sz w:val="21"/>
        </w:rPr>
        <w:t xml:space="preserve">переведенню </w:t>
      </w:r>
      <w:r>
        <w:rPr>
          <w:color w:val="231F20"/>
          <w:sz w:val="21"/>
        </w:rPr>
        <w:t xml:space="preserve">за його згодою на іншу </w:t>
      </w:r>
      <w:r>
        <w:rPr>
          <w:color w:val="231F20"/>
          <w:spacing w:val="-3"/>
          <w:sz w:val="21"/>
        </w:rPr>
        <w:t xml:space="preserve">посаду, </w:t>
      </w:r>
      <w:r>
        <w:rPr>
          <w:color w:val="231F20"/>
          <w:sz w:val="21"/>
        </w:rPr>
        <w:t>яка виключає пряме підпорядкування близьких</w:t>
      </w:r>
      <w:r>
        <w:rPr>
          <w:color w:val="231F20"/>
          <w:spacing w:val="-2"/>
          <w:sz w:val="21"/>
        </w:rPr>
        <w:t xml:space="preserve"> </w:t>
      </w:r>
      <w:r>
        <w:rPr>
          <w:color w:val="231F20"/>
          <w:sz w:val="21"/>
        </w:rPr>
        <w:t>осіб;</w:t>
      </w:r>
    </w:p>
    <w:p w14:paraId="43D95BE6" w14:textId="77777777" w:rsidR="00DE575E" w:rsidRDefault="002E7560">
      <w:pPr>
        <w:pStyle w:val="ListParagraph"/>
        <w:numPr>
          <w:ilvl w:val="1"/>
          <w:numId w:val="74"/>
        </w:numPr>
        <w:tabs>
          <w:tab w:val="left" w:pos="1101"/>
        </w:tabs>
        <w:spacing w:line="252" w:lineRule="auto"/>
        <w:ind w:right="127" w:firstLine="284"/>
        <w:rPr>
          <w:sz w:val="21"/>
        </w:rPr>
      </w:pPr>
      <w:r>
        <w:rPr>
          <w:i/>
          <w:color w:val="231F20"/>
          <w:sz w:val="21"/>
        </w:rPr>
        <w:t>зві</w:t>
      </w:r>
      <w:r>
        <w:rPr>
          <w:i/>
          <w:color w:val="231F20"/>
          <w:sz w:val="21"/>
        </w:rPr>
        <w:t>льненню</w:t>
      </w:r>
      <w:r>
        <w:rPr>
          <w:i/>
          <w:color w:val="231F20"/>
          <w:spacing w:val="-10"/>
          <w:sz w:val="21"/>
        </w:rPr>
        <w:t xml:space="preserve"> </w:t>
      </w:r>
      <w:r>
        <w:rPr>
          <w:color w:val="231F20"/>
          <w:sz w:val="21"/>
        </w:rPr>
        <w:t>(якщо</w:t>
      </w:r>
      <w:r>
        <w:rPr>
          <w:color w:val="231F20"/>
          <w:spacing w:val="-10"/>
          <w:sz w:val="21"/>
        </w:rPr>
        <w:t xml:space="preserve"> </w:t>
      </w:r>
      <w:r>
        <w:rPr>
          <w:color w:val="231F20"/>
          <w:sz w:val="21"/>
        </w:rPr>
        <w:t>переведення</w:t>
      </w:r>
      <w:r>
        <w:rPr>
          <w:color w:val="231F20"/>
          <w:spacing w:val="-10"/>
          <w:sz w:val="21"/>
        </w:rPr>
        <w:t xml:space="preserve"> </w:t>
      </w:r>
      <w:r>
        <w:rPr>
          <w:color w:val="231F20"/>
          <w:sz w:val="21"/>
        </w:rPr>
        <w:t>не</w:t>
      </w:r>
      <w:r>
        <w:rPr>
          <w:color w:val="231F20"/>
          <w:spacing w:val="-9"/>
          <w:sz w:val="21"/>
        </w:rPr>
        <w:t xml:space="preserve"> </w:t>
      </w:r>
      <w:r>
        <w:rPr>
          <w:color w:val="231F20"/>
          <w:sz w:val="21"/>
        </w:rPr>
        <w:t>є</w:t>
      </w:r>
      <w:r>
        <w:rPr>
          <w:color w:val="231F20"/>
          <w:spacing w:val="-10"/>
          <w:sz w:val="21"/>
        </w:rPr>
        <w:t xml:space="preserve"> </w:t>
      </w:r>
      <w:r>
        <w:rPr>
          <w:color w:val="231F20"/>
          <w:sz w:val="21"/>
        </w:rPr>
        <w:t>можливим).</w:t>
      </w:r>
      <w:r>
        <w:rPr>
          <w:color w:val="231F20"/>
          <w:spacing w:val="-10"/>
          <w:sz w:val="21"/>
        </w:rPr>
        <w:t xml:space="preserve"> </w:t>
      </w:r>
      <w:r>
        <w:rPr>
          <w:color w:val="231F20"/>
          <w:sz w:val="21"/>
        </w:rPr>
        <w:t>Із</w:t>
      </w:r>
      <w:r>
        <w:rPr>
          <w:color w:val="231F20"/>
          <w:spacing w:val="-10"/>
          <w:sz w:val="21"/>
        </w:rPr>
        <w:t xml:space="preserve"> </w:t>
      </w:r>
      <w:r>
        <w:rPr>
          <w:color w:val="231F20"/>
          <w:sz w:val="21"/>
        </w:rPr>
        <w:t>двох</w:t>
      </w:r>
      <w:r>
        <w:rPr>
          <w:color w:val="231F20"/>
          <w:spacing w:val="-10"/>
          <w:sz w:val="21"/>
        </w:rPr>
        <w:t xml:space="preserve"> </w:t>
      </w:r>
      <w:r>
        <w:rPr>
          <w:color w:val="231F20"/>
          <w:sz w:val="21"/>
        </w:rPr>
        <w:t>публіч- них службовців, що є близькими особами, звільняється той, хто перебуває у</w:t>
      </w:r>
      <w:r>
        <w:rPr>
          <w:color w:val="231F20"/>
          <w:spacing w:val="-1"/>
          <w:sz w:val="21"/>
        </w:rPr>
        <w:t xml:space="preserve"> </w:t>
      </w:r>
      <w:r>
        <w:rPr>
          <w:color w:val="231F20"/>
          <w:sz w:val="21"/>
        </w:rPr>
        <w:t>підпорядкуванні.</w:t>
      </w:r>
    </w:p>
    <w:p w14:paraId="04A75F80" w14:textId="77777777" w:rsidR="00DE575E" w:rsidRDefault="002E7560">
      <w:pPr>
        <w:pStyle w:val="BodyText"/>
        <w:spacing w:before="1" w:line="252" w:lineRule="auto"/>
        <w:ind w:left="533" w:right="127" w:firstLine="283"/>
        <w:jc w:val="both"/>
      </w:pPr>
      <w:r>
        <w:rPr>
          <w:color w:val="231F20"/>
        </w:rPr>
        <w:t xml:space="preserve">Відповідно до п. е ч. 2 </w:t>
      </w:r>
      <w:r>
        <w:rPr>
          <w:color w:val="231F20"/>
          <w:spacing w:val="-6"/>
        </w:rPr>
        <w:t xml:space="preserve">ст. </w:t>
      </w:r>
      <w:r>
        <w:rPr>
          <w:color w:val="231F20"/>
        </w:rPr>
        <w:t xml:space="preserve">12 Конвенції ООН проти корупції </w:t>
      </w:r>
      <w:r>
        <w:rPr>
          <w:color w:val="231F20"/>
          <w:spacing w:val="-3"/>
        </w:rPr>
        <w:t xml:space="preserve">заходи </w:t>
      </w:r>
      <w:r>
        <w:rPr>
          <w:color w:val="231F20"/>
        </w:rPr>
        <w:t>запобігання корупції можуть уключати, inter alia (серед іншого), установлення обмежень, у належних випадках й на обґрунтований строк, стосовно професійної діяльності колишніх державних поса- дових</w:t>
      </w:r>
      <w:r>
        <w:rPr>
          <w:color w:val="231F20"/>
          <w:spacing w:val="-9"/>
        </w:rPr>
        <w:t xml:space="preserve"> </w:t>
      </w:r>
      <w:r>
        <w:rPr>
          <w:color w:val="231F20"/>
        </w:rPr>
        <w:t>осіб</w:t>
      </w:r>
      <w:r>
        <w:rPr>
          <w:color w:val="231F20"/>
          <w:spacing w:val="-9"/>
        </w:rPr>
        <w:t xml:space="preserve"> </w:t>
      </w:r>
      <w:r>
        <w:rPr>
          <w:color w:val="231F20"/>
        </w:rPr>
        <w:t>у</w:t>
      </w:r>
      <w:r>
        <w:rPr>
          <w:color w:val="231F20"/>
          <w:spacing w:val="-9"/>
        </w:rPr>
        <w:t xml:space="preserve"> </w:t>
      </w:r>
      <w:r>
        <w:rPr>
          <w:color w:val="231F20"/>
        </w:rPr>
        <w:t>приватному</w:t>
      </w:r>
      <w:r>
        <w:rPr>
          <w:color w:val="231F20"/>
          <w:spacing w:val="-9"/>
        </w:rPr>
        <w:t xml:space="preserve"> </w:t>
      </w:r>
      <w:r>
        <w:rPr>
          <w:color w:val="231F20"/>
        </w:rPr>
        <w:t>секторі</w:t>
      </w:r>
      <w:r>
        <w:rPr>
          <w:color w:val="231F20"/>
          <w:spacing w:val="-9"/>
        </w:rPr>
        <w:t xml:space="preserve"> </w:t>
      </w:r>
      <w:r>
        <w:rPr>
          <w:color w:val="231F20"/>
        </w:rPr>
        <w:t>після</w:t>
      </w:r>
      <w:r>
        <w:rPr>
          <w:color w:val="231F20"/>
          <w:spacing w:val="-9"/>
        </w:rPr>
        <w:t xml:space="preserve"> </w:t>
      </w:r>
      <w:r>
        <w:rPr>
          <w:color w:val="231F20"/>
        </w:rPr>
        <w:t>їхнього</w:t>
      </w:r>
      <w:r>
        <w:rPr>
          <w:color w:val="231F20"/>
          <w:spacing w:val="-9"/>
        </w:rPr>
        <w:t xml:space="preserve"> </w:t>
      </w:r>
      <w:r>
        <w:rPr>
          <w:color w:val="231F20"/>
          <w:spacing w:val="-2"/>
        </w:rPr>
        <w:t>виходу</w:t>
      </w:r>
      <w:r>
        <w:rPr>
          <w:color w:val="231F20"/>
          <w:spacing w:val="-9"/>
        </w:rPr>
        <w:t xml:space="preserve"> </w:t>
      </w:r>
      <w:r>
        <w:rPr>
          <w:color w:val="231F20"/>
        </w:rPr>
        <w:t>у</w:t>
      </w:r>
      <w:r>
        <w:rPr>
          <w:color w:val="231F20"/>
          <w:spacing w:val="-10"/>
        </w:rPr>
        <w:t xml:space="preserve"> </w:t>
      </w:r>
      <w:r>
        <w:rPr>
          <w:color w:val="231F20"/>
        </w:rPr>
        <w:t>відставку</w:t>
      </w:r>
      <w:r>
        <w:rPr>
          <w:color w:val="231F20"/>
          <w:spacing w:val="-8"/>
        </w:rPr>
        <w:t xml:space="preserve"> </w:t>
      </w:r>
      <w:r>
        <w:rPr>
          <w:color w:val="231F20"/>
        </w:rPr>
        <w:t>або на</w:t>
      </w:r>
      <w:r>
        <w:rPr>
          <w:color w:val="231F20"/>
          <w:spacing w:val="-9"/>
        </w:rPr>
        <w:t xml:space="preserve"> </w:t>
      </w:r>
      <w:r>
        <w:rPr>
          <w:color w:val="231F20"/>
        </w:rPr>
        <w:t>пенсію,</w:t>
      </w:r>
      <w:r>
        <w:rPr>
          <w:color w:val="231F20"/>
          <w:spacing w:val="-9"/>
        </w:rPr>
        <w:t xml:space="preserve"> </w:t>
      </w:r>
      <w:r>
        <w:rPr>
          <w:color w:val="231F20"/>
        </w:rPr>
        <w:t>якщо</w:t>
      </w:r>
      <w:r>
        <w:rPr>
          <w:color w:val="231F20"/>
          <w:spacing w:val="-9"/>
        </w:rPr>
        <w:t xml:space="preserve"> </w:t>
      </w:r>
      <w:r>
        <w:rPr>
          <w:color w:val="231F20"/>
        </w:rPr>
        <w:t>така</w:t>
      </w:r>
      <w:r>
        <w:rPr>
          <w:color w:val="231F20"/>
          <w:spacing w:val="-9"/>
        </w:rPr>
        <w:t xml:space="preserve"> </w:t>
      </w:r>
      <w:r>
        <w:rPr>
          <w:color w:val="231F20"/>
        </w:rPr>
        <w:t>діяльність</w:t>
      </w:r>
      <w:r>
        <w:rPr>
          <w:color w:val="231F20"/>
          <w:spacing w:val="-9"/>
        </w:rPr>
        <w:t xml:space="preserve"> </w:t>
      </w:r>
      <w:r>
        <w:rPr>
          <w:color w:val="231F20"/>
        </w:rPr>
        <w:t>або</w:t>
      </w:r>
      <w:r>
        <w:rPr>
          <w:color w:val="231F20"/>
          <w:spacing w:val="-9"/>
        </w:rPr>
        <w:t xml:space="preserve"> </w:t>
      </w:r>
      <w:r>
        <w:rPr>
          <w:color w:val="231F20"/>
        </w:rPr>
        <w:t>робота</w:t>
      </w:r>
      <w:r>
        <w:rPr>
          <w:color w:val="231F20"/>
          <w:spacing w:val="-9"/>
        </w:rPr>
        <w:t xml:space="preserve"> </w:t>
      </w:r>
      <w:r>
        <w:rPr>
          <w:color w:val="231F20"/>
        </w:rPr>
        <w:t>безпосередньо</w:t>
      </w:r>
      <w:r>
        <w:rPr>
          <w:color w:val="231F20"/>
          <w:spacing w:val="-9"/>
        </w:rPr>
        <w:t xml:space="preserve"> </w:t>
      </w:r>
      <w:r>
        <w:rPr>
          <w:color w:val="231F20"/>
        </w:rPr>
        <w:t>пов’язана з функціями, що такі державні посадові особи виконували в період їхнього перебування на посаді або за виконанням яких вони здій- снювали</w:t>
      </w:r>
      <w:r>
        <w:rPr>
          <w:color w:val="231F20"/>
          <w:spacing w:val="-2"/>
        </w:rPr>
        <w:t xml:space="preserve"> </w:t>
      </w:r>
      <w:r>
        <w:rPr>
          <w:color w:val="231F20"/>
        </w:rPr>
        <w:t>нагляд</w:t>
      </w:r>
      <w:r>
        <w:rPr>
          <w:color w:val="231F20"/>
          <w:position w:val="7"/>
          <w:sz w:val="12"/>
        </w:rPr>
        <w:t>1</w:t>
      </w:r>
      <w:r>
        <w:rPr>
          <w:color w:val="231F20"/>
        </w:rPr>
        <w:t>.</w:t>
      </w:r>
    </w:p>
    <w:p w14:paraId="240755EB" w14:textId="77777777" w:rsidR="00DE575E" w:rsidRDefault="002E7560">
      <w:pPr>
        <w:spacing w:before="4" w:line="252" w:lineRule="auto"/>
        <w:ind w:left="533" w:right="127" w:firstLine="283"/>
        <w:jc w:val="both"/>
        <w:rPr>
          <w:sz w:val="21"/>
        </w:rPr>
      </w:pPr>
      <w:r>
        <w:rPr>
          <w:color w:val="231F20"/>
          <w:sz w:val="21"/>
        </w:rPr>
        <w:t xml:space="preserve">Відповідне положення виражено в передбаченій національним законодавством групі </w:t>
      </w:r>
      <w:r>
        <w:rPr>
          <w:b/>
          <w:i/>
          <w:color w:val="231F20"/>
          <w:sz w:val="21"/>
        </w:rPr>
        <w:t>обмежень після припинення публічної служби</w:t>
      </w:r>
      <w:r>
        <w:rPr>
          <w:color w:val="231F20"/>
          <w:sz w:val="21"/>
        </w:rPr>
        <w:t>, яка включає заборони:</w:t>
      </w:r>
    </w:p>
    <w:p w14:paraId="4877D67D" w14:textId="77777777" w:rsidR="00DE575E" w:rsidRDefault="002E7560">
      <w:pPr>
        <w:pStyle w:val="ListParagraph"/>
        <w:numPr>
          <w:ilvl w:val="0"/>
          <w:numId w:val="73"/>
        </w:numPr>
        <w:tabs>
          <w:tab w:val="left" w:pos="1101"/>
        </w:tabs>
        <w:spacing w:before="2" w:line="252" w:lineRule="auto"/>
        <w:ind w:right="124" w:firstLine="284"/>
        <w:rPr>
          <w:sz w:val="21"/>
        </w:rPr>
      </w:pPr>
      <w:r>
        <w:rPr>
          <w:color w:val="231F20"/>
          <w:sz w:val="21"/>
        </w:rPr>
        <w:t>укладати трудові договори (контракти) або вчиняти право- чини у сфері підприємницької діяльності з юридичними особами приватного права або фізичними особами-підприємцями, якщо публічні службовці упродовж року до дня припинення служби здійснювали повноважен</w:t>
      </w:r>
      <w:r>
        <w:rPr>
          <w:color w:val="231F20"/>
          <w:sz w:val="21"/>
        </w:rPr>
        <w:t xml:space="preserve">ня з контролю, нагляду або  підготовки  чи прийняття відповідних рішень щодо діяльності цих юридич-  них осіб або фізичних осіб-підприємців. </w:t>
      </w:r>
      <w:r>
        <w:rPr>
          <w:color w:val="231F20"/>
          <w:spacing w:val="-4"/>
          <w:sz w:val="21"/>
        </w:rPr>
        <w:t xml:space="preserve">Така </w:t>
      </w:r>
      <w:r>
        <w:rPr>
          <w:color w:val="231F20"/>
          <w:sz w:val="21"/>
        </w:rPr>
        <w:t>заборона діє упро- довж року з дня припинення публічної служби. Її</w:t>
      </w:r>
      <w:r>
        <w:rPr>
          <w:color w:val="231F20"/>
          <w:spacing w:val="1"/>
          <w:sz w:val="21"/>
        </w:rPr>
        <w:t xml:space="preserve"> </w:t>
      </w:r>
      <w:r>
        <w:rPr>
          <w:color w:val="231F20"/>
          <w:sz w:val="21"/>
        </w:rPr>
        <w:t>порушення</w:t>
      </w:r>
    </w:p>
    <w:p w14:paraId="386C4324" w14:textId="40DF48FB" w:rsidR="00DE575E" w:rsidRDefault="002E7560">
      <w:pPr>
        <w:pStyle w:val="BodyText"/>
        <w:spacing w:before="6"/>
        <w:rPr>
          <w:sz w:val="24"/>
        </w:rPr>
      </w:pPr>
      <w:r>
        <w:rPr>
          <w:noProof/>
        </w:rPr>
        <mc:AlternateContent>
          <mc:Choice Requires="wps">
            <w:drawing>
              <wp:anchor distT="0" distB="0" distL="0" distR="0" simplePos="0" relativeHeight="16504" behindDoc="0" locked="0" layoutInCell="1" allowOverlap="1" wp14:anchorId="441C66B3" wp14:editId="5B96BD0B">
                <wp:simplePos x="0" y="0"/>
                <wp:positionH relativeFrom="page">
                  <wp:posOffset>719455</wp:posOffset>
                </wp:positionH>
                <wp:positionV relativeFrom="paragraph">
                  <wp:posOffset>210820</wp:posOffset>
                </wp:positionV>
                <wp:extent cx="1080135" cy="0"/>
                <wp:effectExtent l="8255" t="7620" r="29210" b="30480"/>
                <wp:wrapTopAndBottom/>
                <wp:docPr id="34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A997" id="Line_x0020_343" o:spid="_x0000_s1026" style="position:absolute;z-index:16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pt" to="141.7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" strokecolor="#231f20" strokeweight=".5pt">
                <w10:wrap type="topAndBottom" anchorx="page"/>
              </v:line>
            </w:pict>
          </mc:Fallback>
        </mc:AlternateContent>
      </w:r>
    </w:p>
    <w:p w14:paraId="2C588BBA" w14:textId="77777777" w:rsidR="00DE575E" w:rsidRDefault="002E7560">
      <w:pPr>
        <w:spacing w:line="162" w:lineRule="exact"/>
        <w:ind w:left="533"/>
        <w:rPr>
          <w:sz w:val="16"/>
        </w:rPr>
      </w:pPr>
      <w:r>
        <w:rPr>
          <w:color w:val="231F20"/>
          <w:position w:val="5"/>
          <w:sz w:val="9"/>
        </w:rPr>
        <w:t xml:space="preserve">1 </w:t>
      </w:r>
      <w:r>
        <w:rPr>
          <w:color w:val="231F20"/>
          <w:sz w:val="16"/>
        </w:rPr>
        <w:t>Конвенція Організації Об’єдна</w:t>
      </w:r>
      <w:r>
        <w:rPr>
          <w:color w:val="231F20"/>
          <w:sz w:val="16"/>
        </w:rPr>
        <w:t>них Націй проти корупції від 31.10.2003.</w:t>
      </w:r>
    </w:p>
    <w:p w14:paraId="5BF53BA1" w14:textId="77777777" w:rsidR="00DE575E" w:rsidRDefault="00DE575E">
      <w:pPr>
        <w:pStyle w:val="BodyText"/>
        <w:spacing w:before="10"/>
        <w:rPr>
          <w:sz w:val="11"/>
        </w:rPr>
      </w:pPr>
    </w:p>
    <w:p w14:paraId="69FD8041" w14:textId="77777777" w:rsidR="00DE575E" w:rsidRDefault="002E7560">
      <w:pPr>
        <w:spacing w:before="92"/>
        <w:ind w:left="533"/>
        <w:rPr>
          <w:rFonts w:ascii="Times New Roman"/>
          <w:sz w:val="20"/>
        </w:rPr>
      </w:pPr>
      <w:r>
        <w:rPr>
          <w:rFonts w:ascii="Times New Roman"/>
          <w:color w:val="231F20"/>
          <w:sz w:val="20"/>
        </w:rPr>
        <w:t>420</w:t>
      </w:r>
    </w:p>
    <w:p w14:paraId="3D2E259D" w14:textId="77777777" w:rsidR="00DE575E" w:rsidRDefault="00DE575E">
      <w:pPr>
        <w:rPr>
          <w:rFonts w:ascii="Times New Roman"/>
          <w:sz w:val="20"/>
        </w:rPr>
        <w:sectPr w:rsidR="00DE575E">
          <w:pgSz w:w="8510" w:h="12760"/>
          <w:pgMar w:top="660" w:right="720" w:bottom="280" w:left="600" w:header="720" w:footer="720" w:gutter="0"/>
          <w:cols w:space="720"/>
        </w:sectPr>
      </w:pPr>
    </w:p>
    <w:p w14:paraId="2E65D65F"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13DDC84A" w14:textId="3BDFF13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09CC8BB" wp14:editId="3AB48F08">
                <wp:extent cx="4140200" cy="6350"/>
                <wp:effectExtent l="0" t="0" r="12700" b="6350"/>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43" name="Line 34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9D67D4" id="Group_x0020_34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oTv+afQIAAJgFAAAOAAAA&#10;AAAAAAAAAAAAACwCAABkcnMvZTJvRG9jLnhtbFBLAQItABQABgAIAAAAIQBMp7CQ2QAAAAMBAAAP&#10;AAAAAAAAAAAAAAAAANUEAABkcnMvZG93bnJldi54bWxQSwUGAAAAAAQABADzAAAA2wUAAAAA&#10;">
                <v:line id="Line_x0020_34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gAI8YAAADcAAAADwAAAGRycy9kb3ducmV2LnhtbESP3WrCQBSE7wt9h+UUelN0oxEp0VVE&#10;EKQX/qUPcMyeJqG7Z2N2NWmf3hUKvRxm5htmvuytETdqfe1YwWiYgCAunK65VPCZbwbvIHxA1mgc&#10;k4If8rBcPD/NMdOu4yPdTqEUEcI+QwVVCE0mpS8qsuiHriGO3pdrLYYo21LqFrsIt0aOk2QqLdYc&#10;FypsaF1R8X26WgX55S2Yw/7DdPn+nMrzZZf+XndKvb70qxmIQH34D/+1t1pBOknhcS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4ACPGAAAA3AAAAA8AAAAAAAAA&#10;AAAAAAAAoQIAAGRycy9kb3ducmV2LnhtbFBLBQYAAAAABAAEAPkAAACUAwAAAAA=&#10;" strokecolor="#231f20" strokeweight=".5pt"/>
                <w10:anchorlock/>
              </v:group>
            </w:pict>
          </mc:Fallback>
        </mc:AlternateContent>
      </w:r>
    </w:p>
    <w:p w14:paraId="3E598730" w14:textId="77777777" w:rsidR="00DE575E" w:rsidRDefault="00DE575E">
      <w:pPr>
        <w:pStyle w:val="BodyText"/>
        <w:spacing w:before="7"/>
        <w:rPr>
          <w:rFonts w:ascii="AdonisC"/>
          <w:i/>
          <w:sz w:val="19"/>
        </w:rPr>
      </w:pPr>
    </w:p>
    <w:p w14:paraId="0BA42125" w14:textId="77777777" w:rsidR="00DE575E" w:rsidRDefault="002E7560">
      <w:pPr>
        <w:pStyle w:val="BodyText"/>
        <w:spacing w:before="1" w:line="252" w:lineRule="auto"/>
        <w:ind w:left="250" w:right="404"/>
        <w:jc w:val="both"/>
      </w:pPr>
      <w:r>
        <w:rPr>
          <w:color w:val="231F20"/>
        </w:rPr>
        <w:t>є підставою для припинення укладеного трудового договору та визнання недійним вчиненого правочину. Окрім звичайних пози- вачів, публічно уповноваженим на звернення до суду  в  такому  разі є Національне агентство з питань запобігання корупції (далі – НАЗК)</w:t>
      </w:r>
      <w:r>
        <w:rPr>
          <w:color w:val="231F20"/>
        </w:rPr>
        <w:t>. Наприкінці 2019 року з’явилося фрагментарне (для одного спеціального виду служби) деліктне забезпечення відповідної заборони укладати договори/правочини – КУпАП було доповнено статтею 172-8-1 «Порушення встановлених законом обмежень після припинення повн</w:t>
      </w:r>
      <w:r>
        <w:rPr>
          <w:color w:val="231F20"/>
        </w:rPr>
        <w:t>оважень члена Національної комісії, що здійснює державне регулювання у сферах енергетики та комуналь- них</w:t>
      </w:r>
      <w:r>
        <w:rPr>
          <w:color w:val="231F20"/>
          <w:spacing w:val="3"/>
        </w:rPr>
        <w:t xml:space="preserve"> </w:t>
      </w:r>
      <w:r>
        <w:rPr>
          <w:color w:val="231F20"/>
        </w:rPr>
        <w:t>послуг»;</w:t>
      </w:r>
    </w:p>
    <w:p w14:paraId="329840B7" w14:textId="77777777" w:rsidR="00DE575E" w:rsidRDefault="002E7560">
      <w:pPr>
        <w:pStyle w:val="ListParagraph"/>
        <w:numPr>
          <w:ilvl w:val="0"/>
          <w:numId w:val="72"/>
        </w:numPr>
        <w:tabs>
          <w:tab w:val="left" w:pos="818"/>
        </w:tabs>
        <w:spacing w:before="5" w:line="252" w:lineRule="auto"/>
        <w:ind w:right="407" w:firstLine="283"/>
        <w:rPr>
          <w:sz w:val="21"/>
        </w:rPr>
      </w:pPr>
      <w:r>
        <w:rPr>
          <w:color w:val="231F20"/>
          <w:sz w:val="21"/>
        </w:rPr>
        <w:t>розголошувати або використовувати в інший спосіб у своїх інтересах інформацію, яка стала їм відома у зв’язку з виконанням службових повноваже</w:t>
      </w:r>
      <w:r>
        <w:rPr>
          <w:color w:val="231F20"/>
          <w:sz w:val="21"/>
        </w:rPr>
        <w:t>нь (крім випадків, якщо відповідна інфор- мація з обмеженим доступом є суспільно необхідною). Часові межі застосування заборони не передбачені позитивним правом, а тому слід вважати, що вона діє на невизначений строк (постійно). Слід наголосити, що нехтува</w:t>
      </w:r>
      <w:r>
        <w:rPr>
          <w:color w:val="231F20"/>
          <w:sz w:val="21"/>
        </w:rPr>
        <w:t xml:space="preserve">ння цією забороною не може мати наслід- ком притягнення до відповідальності за </w:t>
      </w:r>
      <w:r>
        <w:rPr>
          <w:color w:val="231F20"/>
          <w:spacing w:val="-5"/>
          <w:sz w:val="21"/>
        </w:rPr>
        <w:t xml:space="preserve">ст. </w:t>
      </w:r>
      <w:r>
        <w:rPr>
          <w:color w:val="231F20"/>
          <w:sz w:val="21"/>
        </w:rPr>
        <w:t>172-8 КУпАП «Неза- конне використання  інформації,  що  стала  відома  особі  у  зв’язку з виконанням службових або інших визначених законом повнова- жень», оскільки  суб’єк</w:t>
      </w:r>
      <w:r>
        <w:rPr>
          <w:color w:val="231F20"/>
          <w:sz w:val="21"/>
        </w:rPr>
        <w:t>тами  передбаченого  нею  правопорушення  є діючі (а не колишні) публічні</w:t>
      </w:r>
      <w:r>
        <w:rPr>
          <w:color w:val="231F20"/>
          <w:spacing w:val="30"/>
          <w:sz w:val="21"/>
        </w:rPr>
        <w:t xml:space="preserve"> </w:t>
      </w:r>
      <w:r>
        <w:rPr>
          <w:color w:val="231F20"/>
          <w:sz w:val="21"/>
        </w:rPr>
        <w:t>функціонери;</w:t>
      </w:r>
    </w:p>
    <w:p w14:paraId="15F76FC5" w14:textId="77777777" w:rsidR="00DE575E" w:rsidRDefault="002E7560">
      <w:pPr>
        <w:pStyle w:val="ListParagraph"/>
        <w:numPr>
          <w:ilvl w:val="0"/>
          <w:numId w:val="72"/>
        </w:numPr>
        <w:tabs>
          <w:tab w:val="left" w:pos="818"/>
        </w:tabs>
        <w:spacing w:before="6" w:line="252" w:lineRule="auto"/>
        <w:ind w:right="408" w:firstLine="283"/>
        <w:rPr>
          <w:sz w:val="21"/>
        </w:rPr>
      </w:pPr>
      <w:r>
        <w:rPr>
          <w:color w:val="231F20"/>
          <w:sz w:val="21"/>
        </w:rPr>
        <w:t>представляти інтереси будь-якої  особи  у  справах  (зокрема  в тих, що розглядаються в  судах), в  яких іншою стороною є орган,  у якому особа працювала на момент припинення  публічної  служби. Заборона діє упродовж року з дня  припинення  служ-  бової ді</w:t>
      </w:r>
      <w:r>
        <w:rPr>
          <w:color w:val="231F20"/>
          <w:sz w:val="21"/>
        </w:rPr>
        <w:t>яльності. Її забезпечення відбувається через звернення Національного агентства  з  питань  запобігання  корупції  до  суду  з вимогою про визнання договору на  представництво</w:t>
      </w:r>
      <w:r>
        <w:rPr>
          <w:color w:val="231F20"/>
          <w:spacing w:val="25"/>
          <w:sz w:val="21"/>
        </w:rPr>
        <w:t xml:space="preserve"> </w:t>
      </w:r>
      <w:r>
        <w:rPr>
          <w:color w:val="231F20"/>
          <w:sz w:val="21"/>
        </w:rPr>
        <w:t>недійсним та  (за  наявності  підстав)  про  визнання   недійними   досягну-   ти</w:t>
      </w:r>
      <w:r>
        <w:rPr>
          <w:color w:val="231F20"/>
          <w:sz w:val="21"/>
        </w:rPr>
        <w:t xml:space="preserve">х  під  час  такого  представництва  домовленостей  (наприклад,   у разі представництва інтересів у комерційних операціях тощо). Слід вести мову і про нагальність певних процедурно-проце- суальних наслідків і процедурно-процесуальних перешкод </w:t>
      </w:r>
      <w:r>
        <w:rPr>
          <w:color w:val="231F20"/>
          <w:spacing w:val="1"/>
          <w:sz w:val="21"/>
        </w:rPr>
        <w:t xml:space="preserve">для </w:t>
      </w:r>
      <w:r>
        <w:rPr>
          <w:color w:val="231F20"/>
          <w:sz w:val="21"/>
        </w:rPr>
        <w:t>доступу д</w:t>
      </w:r>
      <w:r>
        <w:rPr>
          <w:color w:val="231F20"/>
          <w:sz w:val="21"/>
        </w:rPr>
        <w:t>о розгляду справи відповідного  представника,  однак  такі   наслідки   та   перешкоди   чинним   законодавством    прямо не</w:t>
      </w:r>
      <w:r>
        <w:rPr>
          <w:color w:val="231F20"/>
          <w:spacing w:val="3"/>
          <w:sz w:val="21"/>
        </w:rPr>
        <w:t xml:space="preserve"> </w:t>
      </w:r>
      <w:r>
        <w:rPr>
          <w:color w:val="231F20"/>
          <w:sz w:val="21"/>
        </w:rPr>
        <w:t>закріплюються.</w:t>
      </w:r>
    </w:p>
    <w:p w14:paraId="50879063" w14:textId="77777777" w:rsidR="00DE575E" w:rsidRDefault="00DE575E">
      <w:pPr>
        <w:pStyle w:val="BodyText"/>
        <w:rPr>
          <w:sz w:val="20"/>
        </w:rPr>
      </w:pPr>
    </w:p>
    <w:p w14:paraId="7BBB0C2A" w14:textId="77777777" w:rsidR="00DE575E" w:rsidRDefault="00DE575E">
      <w:pPr>
        <w:pStyle w:val="BodyText"/>
        <w:spacing w:before="11"/>
        <w:rPr>
          <w:sz w:val="22"/>
        </w:rPr>
      </w:pPr>
    </w:p>
    <w:p w14:paraId="51CE9E2B" w14:textId="77777777" w:rsidR="00DE575E" w:rsidRDefault="002E7560">
      <w:pPr>
        <w:ind w:right="411"/>
        <w:jc w:val="right"/>
        <w:rPr>
          <w:rFonts w:ascii="Times New Roman"/>
          <w:sz w:val="20"/>
        </w:rPr>
      </w:pPr>
      <w:r>
        <w:rPr>
          <w:rFonts w:ascii="Times New Roman"/>
          <w:color w:val="231F20"/>
          <w:w w:val="90"/>
          <w:sz w:val="20"/>
        </w:rPr>
        <w:t>421</w:t>
      </w:r>
    </w:p>
    <w:p w14:paraId="7E96BBA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7A9BBF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59C41CD" w14:textId="4641A65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95DB0F4" wp14:editId="1524F7C3">
                <wp:extent cx="4140200" cy="6350"/>
                <wp:effectExtent l="0" t="0" r="12700" b="6350"/>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41" name="Line 34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7352BB" id="Group_x0020_33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9k7H4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Z19k7H4CAACYBQAADgAA&#10;AAAAAAAAAAAAAAAsAgAAZHJzL2Uyb0RvYy54bWxQSwECLQAUAAYACAAAACEATKewkNkAAAADAQAA&#10;DwAAAAAAAAAAAAAAAADWBAAAZHJzL2Rvd25yZXYueG1sUEsFBgAAAAAEAAQA8wAAANwFAAAAAA==&#10;">
                <v:line id="Line_x0020_34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Y7z8YAAADcAAAADwAAAGRycy9kb3ducmV2LnhtbESP0WrCQBRE3wv9h+UWfCm60RSR6CpF&#10;EMQHrcYPuGavSeju3ZhdTdqv7xYKfRxm5gyzWPXWiAe1vnasYDxKQBAXTtdcKjjnm+EMhA/IGo1j&#10;UvBFHlbL56cFZtp1fKTHKZQiQthnqKAKocmk9EVFFv3INcTRu7rWYoiyLaVusYtwa+QkSabSYs1x&#10;ocKG1hUVn6e7VZDfXoP5OOxMlx8uqbzc9un3fa/U4KV/n4MI1If/8F97qxWkb2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mO8/GAAAA3AAAAA8AAAAAAAAA&#10;AAAAAAAAoQIAAGRycy9kb3ducmV2LnhtbFBLBQYAAAAABAAEAPkAAACUAwAAAAA=&#10;" strokecolor="#231f20" strokeweight=".5pt"/>
                <w10:anchorlock/>
              </v:group>
            </w:pict>
          </mc:Fallback>
        </mc:AlternateContent>
      </w:r>
    </w:p>
    <w:p w14:paraId="16953E4D" w14:textId="77777777" w:rsidR="00DE575E" w:rsidRDefault="00DE575E">
      <w:pPr>
        <w:pStyle w:val="BodyText"/>
        <w:rPr>
          <w:rFonts w:ascii="AdonisC"/>
          <w:i/>
          <w:sz w:val="19"/>
        </w:rPr>
      </w:pPr>
    </w:p>
    <w:p w14:paraId="7683C7DE" w14:textId="77777777" w:rsidR="00DE575E" w:rsidRDefault="002E7560">
      <w:pPr>
        <w:pStyle w:val="Heading4"/>
        <w:numPr>
          <w:ilvl w:val="1"/>
          <w:numId w:val="83"/>
        </w:numPr>
        <w:tabs>
          <w:tab w:val="left" w:pos="1328"/>
        </w:tabs>
        <w:ind w:left="1327"/>
        <w:jc w:val="left"/>
      </w:pPr>
      <w:r>
        <w:rPr>
          <w:color w:val="231F20"/>
        </w:rPr>
        <w:t>Запобігання та врегулювання конфлікту</w:t>
      </w:r>
      <w:r>
        <w:rPr>
          <w:color w:val="231F20"/>
          <w:spacing w:val="-16"/>
        </w:rPr>
        <w:t xml:space="preserve"> </w:t>
      </w:r>
      <w:r>
        <w:rPr>
          <w:color w:val="231F20"/>
        </w:rPr>
        <w:t>інтересів</w:t>
      </w:r>
    </w:p>
    <w:p w14:paraId="38977CD2" w14:textId="77777777" w:rsidR="00DE575E" w:rsidRDefault="00DE575E">
      <w:pPr>
        <w:pStyle w:val="BodyText"/>
        <w:rPr>
          <w:b/>
          <w:sz w:val="26"/>
        </w:rPr>
      </w:pPr>
    </w:p>
    <w:p w14:paraId="269C50CB" w14:textId="77777777" w:rsidR="00DE575E" w:rsidRDefault="002E7560">
      <w:pPr>
        <w:pStyle w:val="BodyText"/>
        <w:spacing w:before="224" w:line="252" w:lineRule="auto"/>
        <w:ind w:left="533" w:right="127" w:firstLine="283"/>
        <w:jc w:val="both"/>
      </w:pPr>
      <w:r>
        <w:rPr>
          <w:color w:val="231F20"/>
        </w:rPr>
        <w:t xml:space="preserve">Відповідно до ч. 4 </w:t>
      </w:r>
      <w:r>
        <w:rPr>
          <w:color w:val="231F20"/>
          <w:spacing w:val="-6"/>
        </w:rPr>
        <w:t xml:space="preserve">ст. </w:t>
      </w:r>
      <w:r>
        <w:rPr>
          <w:color w:val="231F20"/>
        </w:rPr>
        <w:t>7 Конвенції ООН проти корупції кожна держава-учасниця прагне згідно з основоположними принципами свого внутрішнього права створювати, підтримувати й зміцнювати такі системи, які сприяють прозорості та запобігають виникненню конфлікту</w:t>
      </w:r>
      <w:r>
        <w:rPr>
          <w:color w:val="231F20"/>
          <w:spacing w:val="-8"/>
        </w:rPr>
        <w:t xml:space="preserve"> </w:t>
      </w:r>
      <w:r>
        <w:rPr>
          <w:color w:val="231F20"/>
        </w:rPr>
        <w:t>інтересів.</w:t>
      </w:r>
      <w:r>
        <w:rPr>
          <w:color w:val="231F20"/>
          <w:spacing w:val="-8"/>
        </w:rPr>
        <w:t xml:space="preserve"> </w:t>
      </w:r>
      <w:r>
        <w:rPr>
          <w:color w:val="231F20"/>
        </w:rPr>
        <w:t>Закон</w:t>
      </w:r>
      <w:r>
        <w:rPr>
          <w:color w:val="231F20"/>
          <w:spacing w:val="-8"/>
        </w:rPr>
        <w:t xml:space="preserve"> </w:t>
      </w:r>
      <w:r>
        <w:rPr>
          <w:color w:val="231F20"/>
          <w:spacing w:val="-3"/>
        </w:rPr>
        <w:t>Украї</w:t>
      </w:r>
      <w:r>
        <w:rPr>
          <w:color w:val="231F20"/>
          <w:spacing w:val="-3"/>
        </w:rPr>
        <w:t>ни</w:t>
      </w:r>
      <w:r>
        <w:rPr>
          <w:color w:val="231F20"/>
          <w:spacing w:val="-8"/>
        </w:rPr>
        <w:t xml:space="preserve"> </w:t>
      </w:r>
      <w:r>
        <w:rPr>
          <w:color w:val="231F20"/>
        </w:rPr>
        <w:t>«Про</w:t>
      </w:r>
      <w:r>
        <w:rPr>
          <w:color w:val="231F20"/>
          <w:spacing w:val="-8"/>
        </w:rPr>
        <w:t xml:space="preserve"> </w:t>
      </w:r>
      <w:r>
        <w:rPr>
          <w:color w:val="231F20"/>
        </w:rPr>
        <w:t>запобігання</w:t>
      </w:r>
      <w:r>
        <w:rPr>
          <w:color w:val="231F20"/>
          <w:spacing w:val="-8"/>
        </w:rPr>
        <w:t xml:space="preserve"> </w:t>
      </w:r>
      <w:r>
        <w:rPr>
          <w:color w:val="231F20"/>
        </w:rPr>
        <w:t>корупції»</w:t>
      </w:r>
      <w:r>
        <w:rPr>
          <w:color w:val="231F20"/>
          <w:spacing w:val="-8"/>
        </w:rPr>
        <w:t xml:space="preserve"> </w:t>
      </w:r>
      <w:r>
        <w:rPr>
          <w:color w:val="231F20"/>
        </w:rPr>
        <w:t xml:space="preserve">виді- ляє два види конфлікту інтересів, щодо яких здійснюються </w:t>
      </w:r>
      <w:r>
        <w:rPr>
          <w:color w:val="231F20"/>
          <w:spacing w:val="-3"/>
        </w:rPr>
        <w:t xml:space="preserve">заходи </w:t>
      </w:r>
      <w:r>
        <w:rPr>
          <w:color w:val="231F20"/>
        </w:rPr>
        <w:t xml:space="preserve">запобігання та врегулювання, – </w:t>
      </w:r>
      <w:r>
        <w:rPr>
          <w:i/>
          <w:color w:val="231F20"/>
        </w:rPr>
        <w:t xml:space="preserve">потенційний </w:t>
      </w:r>
      <w:r>
        <w:rPr>
          <w:color w:val="231F20"/>
        </w:rPr>
        <w:t>і</w:t>
      </w:r>
      <w:r>
        <w:rPr>
          <w:color w:val="231F20"/>
          <w:spacing w:val="-9"/>
        </w:rPr>
        <w:t xml:space="preserve"> </w:t>
      </w:r>
      <w:r>
        <w:rPr>
          <w:i/>
          <w:color w:val="231F20"/>
        </w:rPr>
        <w:t>реальний</w:t>
      </w:r>
      <w:r>
        <w:rPr>
          <w:color w:val="231F20"/>
        </w:rPr>
        <w:t>.</w:t>
      </w:r>
    </w:p>
    <w:p w14:paraId="55D440AE" w14:textId="77777777" w:rsidR="00DE575E" w:rsidRDefault="002E7560">
      <w:pPr>
        <w:spacing w:before="3"/>
        <w:ind w:left="817"/>
        <w:rPr>
          <w:sz w:val="21"/>
        </w:rPr>
      </w:pPr>
      <w:r>
        <w:rPr>
          <w:b/>
          <w:i/>
          <w:color w:val="231F20"/>
          <w:sz w:val="21"/>
        </w:rPr>
        <w:t xml:space="preserve">Потенційний </w:t>
      </w:r>
      <w:r>
        <w:rPr>
          <w:color w:val="231F20"/>
          <w:sz w:val="21"/>
        </w:rPr>
        <w:t>характеризується такими ознаками:</w:t>
      </w:r>
    </w:p>
    <w:p w14:paraId="4AC2313F" w14:textId="77777777" w:rsidR="00DE575E" w:rsidRDefault="002E7560">
      <w:pPr>
        <w:pStyle w:val="ListParagraph"/>
        <w:numPr>
          <w:ilvl w:val="0"/>
          <w:numId w:val="71"/>
        </w:numPr>
        <w:tabs>
          <w:tab w:val="left" w:pos="1101"/>
        </w:tabs>
        <w:spacing w:before="13" w:line="252" w:lineRule="auto"/>
        <w:ind w:right="128" w:firstLine="284"/>
        <w:rPr>
          <w:sz w:val="21"/>
        </w:rPr>
      </w:pPr>
      <w:r>
        <w:rPr>
          <w:i/>
          <w:color w:val="231F20"/>
          <w:sz w:val="21"/>
        </w:rPr>
        <w:t>наявність</w:t>
      </w:r>
      <w:r>
        <w:rPr>
          <w:i/>
          <w:color w:val="231F20"/>
          <w:spacing w:val="-16"/>
          <w:sz w:val="21"/>
        </w:rPr>
        <w:t xml:space="preserve"> </w:t>
      </w:r>
      <w:r>
        <w:rPr>
          <w:i/>
          <w:color w:val="231F20"/>
          <w:sz w:val="21"/>
        </w:rPr>
        <w:t>у</w:t>
      </w:r>
      <w:r>
        <w:rPr>
          <w:i/>
          <w:color w:val="231F20"/>
          <w:spacing w:val="-15"/>
          <w:sz w:val="21"/>
        </w:rPr>
        <w:t xml:space="preserve"> </w:t>
      </w:r>
      <w:r>
        <w:rPr>
          <w:i/>
          <w:color w:val="231F20"/>
          <w:sz w:val="21"/>
        </w:rPr>
        <w:t>публічного</w:t>
      </w:r>
      <w:r>
        <w:rPr>
          <w:i/>
          <w:color w:val="231F20"/>
          <w:spacing w:val="-16"/>
          <w:sz w:val="21"/>
        </w:rPr>
        <w:t xml:space="preserve"> </w:t>
      </w:r>
      <w:r>
        <w:rPr>
          <w:i/>
          <w:color w:val="231F20"/>
          <w:sz w:val="21"/>
        </w:rPr>
        <w:t>службовця</w:t>
      </w:r>
      <w:r>
        <w:rPr>
          <w:i/>
          <w:color w:val="231F20"/>
          <w:spacing w:val="-15"/>
          <w:sz w:val="21"/>
        </w:rPr>
        <w:t xml:space="preserve"> </w:t>
      </w:r>
      <w:r>
        <w:rPr>
          <w:i/>
          <w:color w:val="231F20"/>
          <w:sz w:val="21"/>
        </w:rPr>
        <w:t>приватного</w:t>
      </w:r>
      <w:r>
        <w:rPr>
          <w:i/>
          <w:color w:val="231F20"/>
          <w:spacing w:val="-15"/>
          <w:sz w:val="21"/>
        </w:rPr>
        <w:t xml:space="preserve"> </w:t>
      </w:r>
      <w:r>
        <w:rPr>
          <w:i/>
          <w:color w:val="231F20"/>
          <w:sz w:val="21"/>
        </w:rPr>
        <w:t>інтересу</w:t>
      </w:r>
      <w:r>
        <w:rPr>
          <w:i/>
          <w:color w:val="231F20"/>
          <w:spacing w:val="-15"/>
          <w:sz w:val="21"/>
        </w:rPr>
        <w:t xml:space="preserve"> </w:t>
      </w:r>
      <w:r>
        <w:rPr>
          <w:color w:val="231F20"/>
          <w:sz w:val="21"/>
        </w:rPr>
        <w:t>у</w:t>
      </w:r>
      <w:r>
        <w:rPr>
          <w:color w:val="231F20"/>
          <w:spacing w:val="-15"/>
          <w:sz w:val="21"/>
        </w:rPr>
        <w:t xml:space="preserve"> </w:t>
      </w:r>
      <w:r>
        <w:rPr>
          <w:color w:val="231F20"/>
          <w:sz w:val="21"/>
        </w:rPr>
        <w:t>сфері, в якій він виконує свої службові чи представницькі</w:t>
      </w:r>
      <w:r>
        <w:rPr>
          <w:color w:val="231F20"/>
          <w:spacing w:val="-13"/>
          <w:sz w:val="21"/>
        </w:rPr>
        <w:t xml:space="preserve"> </w:t>
      </w:r>
      <w:r>
        <w:rPr>
          <w:color w:val="231F20"/>
          <w:sz w:val="21"/>
        </w:rPr>
        <w:t>повноваження;</w:t>
      </w:r>
    </w:p>
    <w:p w14:paraId="16E81628" w14:textId="77777777" w:rsidR="00DE575E" w:rsidRDefault="002E7560">
      <w:pPr>
        <w:pStyle w:val="ListParagraph"/>
        <w:numPr>
          <w:ilvl w:val="0"/>
          <w:numId w:val="71"/>
        </w:numPr>
        <w:tabs>
          <w:tab w:val="left" w:pos="1101"/>
        </w:tabs>
        <w:spacing w:line="252" w:lineRule="auto"/>
        <w:ind w:right="127" w:firstLine="284"/>
        <w:rPr>
          <w:sz w:val="21"/>
        </w:rPr>
      </w:pPr>
      <w:r>
        <w:rPr>
          <w:i/>
          <w:color w:val="231F20"/>
          <w:sz w:val="21"/>
        </w:rPr>
        <w:t>це</w:t>
      </w:r>
      <w:r>
        <w:rPr>
          <w:i/>
          <w:color w:val="231F20"/>
          <w:spacing w:val="-10"/>
          <w:sz w:val="21"/>
        </w:rPr>
        <w:t xml:space="preserve"> </w:t>
      </w:r>
      <w:r>
        <w:rPr>
          <w:i/>
          <w:color w:val="231F20"/>
          <w:spacing w:val="-3"/>
          <w:sz w:val="21"/>
        </w:rPr>
        <w:t>може</w:t>
      </w:r>
      <w:r>
        <w:rPr>
          <w:i/>
          <w:color w:val="231F20"/>
          <w:spacing w:val="-3"/>
          <w:position w:val="7"/>
          <w:sz w:val="12"/>
        </w:rPr>
        <w:t>1</w:t>
      </w:r>
      <w:r>
        <w:rPr>
          <w:i/>
          <w:color w:val="231F20"/>
          <w:spacing w:val="-6"/>
          <w:position w:val="7"/>
          <w:sz w:val="12"/>
        </w:rPr>
        <w:t xml:space="preserve"> </w:t>
      </w:r>
      <w:r>
        <w:rPr>
          <w:i/>
          <w:color w:val="231F20"/>
          <w:sz w:val="21"/>
        </w:rPr>
        <w:t>вплинути</w:t>
      </w:r>
      <w:r>
        <w:rPr>
          <w:i/>
          <w:color w:val="231F20"/>
          <w:spacing w:val="-10"/>
          <w:sz w:val="21"/>
        </w:rPr>
        <w:t xml:space="preserve"> </w:t>
      </w:r>
      <w:r>
        <w:rPr>
          <w:i/>
          <w:color w:val="231F20"/>
          <w:sz w:val="21"/>
        </w:rPr>
        <w:t>на</w:t>
      </w:r>
      <w:r>
        <w:rPr>
          <w:i/>
          <w:color w:val="231F20"/>
          <w:spacing w:val="-10"/>
          <w:sz w:val="21"/>
        </w:rPr>
        <w:t xml:space="preserve"> </w:t>
      </w:r>
      <w:r>
        <w:rPr>
          <w:i/>
          <w:color w:val="231F20"/>
          <w:sz w:val="21"/>
        </w:rPr>
        <w:t>об’єктивність</w:t>
      </w:r>
      <w:r>
        <w:rPr>
          <w:i/>
          <w:color w:val="231F20"/>
          <w:spacing w:val="-10"/>
          <w:sz w:val="21"/>
        </w:rPr>
        <w:t xml:space="preserve"> </w:t>
      </w:r>
      <w:r>
        <w:rPr>
          <w:color w:val="231F20"/>
          <w:sz w:val="21"/>
        </w:rPr>
        <w:t>чи</w:t>
      </w:r>
      <w:r>
        <w:rPr>
          <w:color w:val="231F20"/>
          <w:spacing w:val="-10"/>
          <w:sz w:val="21"/>
        </w:rPr>
        <w:t xml:space="preserve"> </w:t>
      </w:r>
      <w:r>
        <w:rPr>
          <w:color w:val="231F20"/>
          <w:sz w:val="21"/>
        </w:rPr>
        <w:t>неупередженість</w:t>
      </w:r>
      <w:r>
        <w:rPr>
          <w:color w:val="231F20"/>
          <w:spacing w:val="-10"/>
          <w:sz w:val="21"/>
        </w:rPr>
        <w:t xml:space="preserve"> </w:t>
      </w:r>
      <w:r>
        <w:rPr>
          <w:color w:val="231F20"/>
          <w:sz w:val="21"/>
        </w:rPr>
        <w:t>ухва- лення ним рішень або на вчинення чи невчинення ним дій під час виконання своїх</w:t>
      </w:r>
      <w:r>
        <w:rPr>
          <w:color w:val="231F20"/>
          <w:spacing w:val="-2"/>
          <w:sz w:val="21"/>
        </w:rPr>
        <w:t xml:space="preserve"> </w:t>
      </w:r>
      <w:r>
        <w:rPr>
          <w:color w:val="231F20"/>
          <w:sz w:val="21"/>
        </w:rPr>
        <w:t>повноважень.</w:t>
      </w:r>
    </w:p>
    <w:p w14:paraId="60A6AEF5" w14:textId="77777777" w:rsidR="00DE575E" w:rsidRDefault="002E7560">
      <w:pPr>
        <w:pStyle w:val="BodyText"/>
        <w:spacing w:before="2" w:line="252" w:lineRule="auto"/>
        <w:ind w:left="533" w:right="126" w:firstLine="283"/>
        <w:jc w:val="both"/>
      </w:pPr>
      <w:r>
        <w:rPr>
          <w:color w:val="231F20"/>
        </w:rPr>
        <w:t xml:space="preserve">При цьому під приватним інтересом розуміється </w:t>
      </w:r>
      <w:r>
        <w:rPr>
          <w:color w:val="231F20"/>
          <w:spacing w:val="-3"/>
        </w:rPr>
        <w:t xml:space="preserve">будь-який </w:t>
      </w:r>
      <w:r>
        <w:rPr>
          <w:color w:val="231F20"/>
        </w:rPr>
        <w:t>майновий</w:t>
      </w:r>
      <w:r>
        <w:rPr>
          <w:color w:val="231F20"/>
          <w:spacing w:val="-11"/>
        </w:rPr>
        <w:t xml:space="preserve"> </w:t>
      </w:r>
      <w:r>
        <w:rPr>
          <w:color w:val="231F20"/>
        </w:rPr>
        <w:t>чи</w:t>
      </w:r>
      <w:r>
        <w:rPr>
          <w:color w:val="231F20"/>
          <w:spacing w:val="-10"/>
        </w:rPr>
        <w:t xml:space="preserve"> </w:t>
      </w:r>
      <w:r>
        <w:rPr>
          <w:color w:val="231F20"/>
        </w:rPr>
        <w:t>немайновий</w:t>
      </w:r>
      <w:r>
        <w:rPr>
          <w:color w:val="231F20"/>
          <w:spacing w:val="-11"/>
        </w:rPr>
        <w:t xml:space="preserve"> </w:t>
      </w:r>
      <w:r>
        <w:rPr>
          <w:color w:val="231F20"/>
        </w:rPr>
        <w:t>інтерес</w:t>
      </w:r>
      <w:r>
        <w:rPr>
          <w:color w:val="231F20"/>
          <w:spacing w:val="-10"/>
        </w:rPr>
        <w:t xml:space="preserve"> </w:t>
      </w:r>
      <w:r>
        <w:rPr>
          <w:color w:val="231F20"/>
        </w:rPr>
        <w:t>особи,</w:t>
      </w:r>
      <w:r>
        <w:rPr>
          <w:color w:val="231F20"/>
          <w:spacing w:val="-10"/>
        </w:rPr>
        <w:t xml:space="preserve"> </w:t>
      </w:r>
      <w:r>
        <w:rPr>
          <w:color w:val="231F20"/>
        </w:rPr>
        <w:t>зокрема</w:t>
      </w:r>
      <w:r>
        <w:rPr>
          <w:color w:val="231F20"/>
          <w:spacing w:val="-10"/>
        </w:rPr>
        <w:t xml:space="preserve"> </w:t>
      </w:r>
      <w:r>
        <w:rPr>
          <w:color w:val="231F20"/>
        </w:rPr>
        <w:t>зумовлений</w:t>
      </w:r>
      <w:r>
        <w:rPr>
          <w:color w:val="231F20"/>
          <w:spacing w:val="-11"/>
        </w:rPr>
        <w:t xml:space="preserve"> </w:t>
      </w:r>
      <w:r>
        <w:rPr>
          <w:color w:val="231F20"/>
        </w:rPr>
        <w:t>особи- стими, сімейними, дружніми чи іншими позаслужбовими стосун- ками з фізичними чи юридичними особами, зокрема ті, що виника- ють</w:t>
      </w:r>
      <w:r>
        <w:rPr>
          <w:color w:val="231F20"/>
          <w:spacing w:val="-11"/>
        </w:rPr>
        <w:t xml:space="preserve"> </w:t>
      </w:r>
      <w:r>
        <w:rPr>
          <w:color w:val="231F20"/>
        </w:rPr>
        <w:t>у</w:t>
      </w:r>
      <w:r>
        <w:rPr>
          <w:color w:val="231F20"/>
          <w:spacing w:val="-11"/>
        </w:rPr>
        <w:t xml:space="preserve"> </w:t>
      </w:r>
      <w:r>
        <w:rPr>
          <w:color w:val="231F20"/>
        </w:rPr>
        <w:t>зв’язку</w:t>
      </w:r>
      <w:r>
        <w:rPr>
          <w:color w:val="231F20"/>
          <w:spacing w:val="-11"/>
        </w:rPr>
        <w:t xml:space="preserve"> </w:t>
      </w:r>
      <w:r>
        <w:rPr>
          <w:color w:val="231F20"/>
        </w:rPr>
        <w:t>з</w:t>
      </w:r>
      <w:r>
        <w:rPr>
          <w:color w:val="231F20"/>
          <w:spacing w:val="-11"/>
        </w:rPr>
        <w:t xml:space="preserve"> </w:t>
      </w:r>
      <w:r>
        <w:rPr>
          <w:color w:val="231F20"/>
        </w:rPr>
        <w:t>членством</w:t>
      </w:r>
      <w:r>
        <w:rPr>
          <w:color w:val="231F20"/>
          <w:spacing w:val="-11"/>
        </w:rPr>
        <w:t xml:space="preserve"> </w:t>
      </w:r>
      <w:r>
        <w:rPr>
          <w:color w:val="231F20"/>
        </w:rPr>
        <w:t>або</w:t>
      </w:r>
      <w:r>
        <w:rPr>
          <w:color w:val="231F20"/>
          <w:spacing w:val="-11"/>
        </w:rPr>
        <w:t xml:space="preserve"> </w:t>
      </w:r>
      <w:r>
        <w:rPr>
          <w:color w:val="231F20"/>
        </w:rPr>
        <w:t>діяльністю</w:t>
      </w:r>
      <w:r>
        <w:rPr>
          <w:color w:val="231F20"/>
          <w:spacing w:val="-11"/>
        </w:rPr>
        <w:t xml:space="preserve"> </w:t>
      </w:r>
      <w:r>
        <w:rPr>
          <w:color w:val="231F20"/>
        </w:rPr>
        <w:t>в</w:t>
      </w:r>
      <w:r>
        <w:rPr>
          <w:color w:val="231F20"/>
          <w:spacing w:val="-11"/>
        </w:rPr>
        <w:t xml:space="preserve"> </w:t>
      </w:r>
      <w:r>
        <w:rPr>
          <w:color w:val="231F20"/>
        </w:rPr>
        <w:t>громадських,</w:t>
      </w:r>
      <w:r>
        <w:rPr>
          <w:color w:val="231F20"/>
          <w:spacing w:val="-11"/>
        </w:rPr>
        <w:t xml:space="preserve"> </w:t>
      </w:r>
      <w:r>
        <w:rPr>
          <w:color w:val="231F20"/>
        </w:rPr>
        <w:t xml:space="preserve">політичних, релігійних чи інших організаціях (ч. 1 </w:t>
      </w:r>
      <w:r>
        <w:rPr>
          <w:color w:val="231F20"/>
          <w:spacing w:val="-6"/>
        </w:rPr>
        <w:t xml:space="preserve">ст. </w:t>
      </w:r>
      <w:r>
        <w:rPr>
          <w:color w:val="231F20"/>
        </w:rPr>
        <w:t>1 Закону «Про запобігання корупції»).</w:t>
      </w:r>
    </w:p>
    <w:p w14:paraId="7592D035" w14:textId="77777777" w:rsidR="00DE575E" w:rsidRDefault="002E7560">
      <w:pPr>
        <w:spacing w:before="3"/>
        <w:ind w:left="817"/>
        <w:rPr>
          <w:sz w:val="21"/>
        </w:rPr>
      </w:pPr>
      <w:r>
        <w:rPr>
          <w:b/>
          <w:i/>
          <w:color w:val="231F20"/>
          <w:sz w:val="21"/>
        </w:rPr>
        <w:t xml:space="preserve">Реальний конфлікт </w:t>
      </w:r>
      <w:r>
        <w:rPr>
          <w:color w:val="231F20"/>
          <w:sz w:val="21"/>
        </w:rPr>
        <w:t>інтересів має місце, якщо:</w:t>
      </w:r>
    </w:p>
    <w:p w14:paraId="1C4A6DFA" w14:textId="77777777" w:rsidR="00DE575E" w:rsidRDefault="002E7560">
      <w:pPr>
        <w:pStyle w:val="ListParagraph"/>
        <w:numPr>
          <w:ilvl w:val="0"/>
          <w:numId w:val="71"/>
        </w:numPr>
        <w:tabs>
          <w:tab w:val="left" w:pos="1101"/>
        </w:tabs>
        <w:spacing w:before="13" w:line="252" w:lineRule="auto"/>
        <w:ind w:right="128" w:firstLine="284"/>
        <w:rPr>
          <w:sz w:val="21"/>
        </w:rPr>
      </w:pPr>
      <w:r>
        <w:rPr>
          <w:i/>
          <w:color w:val="231F20"/>
          <w:sz w:val="21"/>
        </w:rPr>
        <w:t xml:space="preserve">існує суперечність </w:t>
      </w:r>
      <w:r>
        <w:rPr>
          <w:color w:val="231F20"/>
          <w:sz w:val="21"/>
        </w:rPr>
        <w:t>між приватним інтересом публічного служ- бовця та його с</w:t>
      </w:r>
      <w:r>
        <w:rPr>
          <w:color w:val="231F20"/>
          <w:sz w:val="21"/>
        </w:rPr>
        <w:t>лужбовими чи представницькими</w:t>
      </w:r>
      <w:r>
        <w:rPr>
          <w:color w:val="231F20"/>
          <w:spacing w:val="-10"/>
          <w:sz w:val="21"/>
        </w:rPr>
        <w:t xml:space="preserve"> </w:t>
      </w:r>
      <w:r>
        <w:rPr>
          <w:color w:val="231F20"/>
          <w:sz w:val="21"/>
        </w:rPr>
        <w:t>повноваженнями;</w:t>
      </w:r>
    </w:p>
    <w:p w14:paraId="6E69D8DF" w14:textId="77777777" w:rsidR="00DE575E" w:rsidRDefault="002E7560">
      <w:pPr>
        <w:pStyle w:val="ListParagraph"/>
        <w:numPr>
          <w:ilvl w:val="0"/>
          <w:numId w:val="71"/>
        </w:numPr>
        <w:tabs>
          <w:tab w:val="left" w:pos="1101"/>
        </w:tabs>
        <w:spacing w:line="252" w:lineRule="auto"/>
        <w:ind w:right="128" w:firstLine="284"/>
        <w:rPr>
          <w:sz w:val="21"/>
        </w:rPr>
      </w:pPr>
      <w:r>
        <w:rPr>
          <w:i/>
          <w:color w:val="231F20"/>
          <w:sz w:val="21"/>
        </w:rPr>
        <w:t xml:space="preserve">це впливає </w:t>
      </w:r>
      <w:r>
        <w:rPr>
          <w:color w:val="231F20"/>
          <w:sz w:val="21"/>
        </w:rPr>
        <w:t xml:space="preserve">на </w:t>
      </w:r>
      <w:r>
        <w:rPr>
          <w:color w:val="231F20"/>
          <w:spacing w:val="-3"/>
          <w:sz w:val="21"/>
        </w:rPr>
        <w:t xml:space="preserve">об’єктивність </w:t>
      </w:r>
      <w:r>
        <w:rPr>
          <w:color w:val="231F20"/>
          <w:sz w:val="21"/>
        </w:rPr>
        <w:t>або неупередженість ухвалення ним рішень або на вчинення чи невчинення ним дій під час вико- нання своїх</w:t>
      </w:r>
      <w:r>
        <w:rPr>
          <w:color w:val="231F20"/>
          <w:spacing w:val="-2"/>
          <w:sz w:val="21"/>
        </w:rPr>
        <w:t xml:space="preserve"> </w:t>
      </w:r>
      <w:r>
        <w:rPr>
          <w:color w:val="231F20"/>
          <w:sz w:val="21"/>
        </w:rPr>
        <w:t>повноважень.</w:t>
      </w:r>
    </w:p>
    <w:p w14:paraId="6DB1E708" w14:textId="77777777" w:rsidR="00DE575E" w:rsidRDefault="002E7560">
      <w:pPr>
        <w:pStyle w:val="Heading6"/>
        <w:spacing w:line="252" w:lineRule="auto"/>
        <w:ind w:right="128"/>
        <w:jc w:val="both"/>
      </w:pPr>
      <w:r>
        <w:rPr>
          <w:b w:val="0"/>
          <w:i w:val="0"/>
          <w:color w:val="231F20"/>
          <w:spacing w:val="-5"/>
        </w:rPr>
        <w:t xml:space="preserve">Отже, </w:t>
      </w:r>
      <w:r>
        <w:rPr>
          <w:color w:val="231F20"/>
          <w:spacing w:val="-5"/>
        </w:rPr>
        <w:t xml:space="preserve">перехід </w:t>
      </w:r>
      <w:r>
        <w:rPr>
          <w:color w:val="231F20"/>
          <w:spacing w:val="-4"/>
        </w:rPr>
        <w:t xml:space="preserve">від </w:t>
      </w:r>
      <w:r>
        <w:rPr>
          <w:color w:val="231F20"/>
          <w:spacing w:val="-5"/>
        </w:rPr>
        <w:t xml:space="preserve">потенційного конфлікту інтересів </w:t>
      </w:r>
      <w:r>
        <w:rPr>
          <w:color w:val="231F20"/>
          <w:spacing w:val="-3"/>
        </w:rPr>
        <w:t xml:space="preserve">до </w:t>
      </w:r>
      <w:r>
        <w:rPr>
          <w:color w:val="231F20"/>
          <w:spacing w:val="-4"/>
        </w:rPr>
        <w:t xml:space="preserve">реаль- </w:t>
      </w:r>
      <w:r>
        <w:rPr>
          <w:color w:val="231F20"/>
          <w:spacing w:val="-4"/>
        </w:rPr>
        <w:t>ног</w:t>
      </w:r>
      <w:r>
        <w:rPr>
          <w:color w:val="231F20"/>
          <w:spacing w:val="-4"/>
        </w:rPr>
        <w:t xml:space="preserve">о </w:t>
      </w:r>
      <w:r>
        <w:rPr>
          <w:color w:val="231F20"/>
          <w:spacing w:val="-5"/>
        </w:rPr>
        <w:t xml:space="preserve">відбувається </w:t>
      </w:r>
      <w:r>
        <w:rPr>
          <w:color w:val="231F20"/>
          <w:spacing w:val="-4"/>
        </w:rPr>
        <w:t xml:space="preserve">тоді, </w:t>
      </w:r>
      <w:r>
        <w:rPr>
          <w:color w:val="231F20"/>
          <w:spacing w:val="-5"/>
        </w:rPr>
        <w:t xml:space="preserve">коли наявний </w:t>
      </w:r>
      <w:r>
        <w:rPr>
          <w:color w:val="231F20"/>
        </w:rPr>
        <w:t xml:space="preserve">у </w:t>
      </w:r>
      <w:r>
        <w:rPr>
          <w:color w:val="231F20"/>
          <w:spacing w:val="-5"/>
        </w:rPr>
        <w:t xml:space="preserve">сфері службової діяль- </w:t>
      </w:r>
      <w:r>
        <w:rPr>
          <w:color w:val="231F20"/>
          <w:spacing w:val="-4"/>
        </w:rPr>
        <w:t xml:space="preserve">ності </w:t>
      </w:r>
      <w:r>
        <w:rPr>
          <w:color w:val="231F20"/>
          <w:spacing w:val="-5"/>
        </w:rPr>
        <w:t xml:space="preserve">приватний інтерес суперечить службовим </w:t>
      </w:r>
      <w:r>
        <w:rPr>
          <w:color w:val="231F20"/>
          <w:spacing w:val="-3"/>
        </w:rPr>
        <w:t xml:space="preserve">чи </w:t>
      </w:r>
      <w:r>
        <w:rPr>
          <w:color w:val="231F20"/>
          <w:spacing w:val="-4"/>
        </w:rPr>
        <w:t xml:space="preserve">представ- </w:t>
      </w:r>
      <w:r>
        <w:rPr>
          <w:color w:val="231F20"/>
          <w:spacing w:val="-5"/>
        </w:rPr>
        <w:t>ницьким</w:t>
      </w:r>
      <w:r>
        <w:rPr>
          <w:color w:val="231F20"/>
          <w:spacing w:val="-12"/>
        </w:rPr>
        <w:t xml:space="preserve"> </w:t>
      </w:r>
      <w:r>
        <w:rPr>
          <w:color w:val="231F20"/>
          <w:spacing w:val="-5"/>
        </w:rPr>
        <w:t>повноваженням</w:t>
      </w:r>
      <w:r>
        <w:rPr>
          <w:color w:val="231F20"/>
          <w:spacing w:val="-12"/>
        </w:rPr>
        <w:t xml:space="preserve"> </w:t>
      </w:r>
      <w:r>
        <w:rPr>
          <w:color w:val="231F20"/>
        </w:rPr>
        <w:t>і</w:t>
      </w:r>
      <w:r>
        <w:rPr>
          <w:color w:val="231F20"/>
          <w:spacing w:val="-10"/>
        </w:rPr>
        <w:t xml:space="preserve"> </w:t>
      </w:r>
      <w:r>
        <w:rPr>
          <w:color w:val="231F20"/>
          <w:spacing w:val="-3"/>
        </w:rPr>
        <w:t>це</w:t>
      </w:r>
      <w:r>
        <w:rPr>
          <w:color w:val="231F20"/>
          <w:spacing w:val="-12"/>
        </w:rPr>
        <w:t xml:space="preserve"> </w:t>
      </w:r>
      <w:r>
        <w:rPr>
          <w:color w:val="231F20"/>
          <w:spacing w:val="-5"/>
        </w:rPr>
        <w:t>реально</w:t>
      </w:r>
      <w:r>
        <w:rPr>
          <w:color w:val="231F20"/>
          <w:spacing w:val="-12"/>
        </w:rPr>
        <w:t xml:space="preserve"> </w:t>
      </w:r>
      <w:r>
        <w:rPr>
          <w:color w:val="231F20"/>
          <w:spacing w:val="-5"/>
        </w:rPr>
        <w:t>впливає</w:t>
      </w:r>
      <w:r>
        <w:rPr>
          <w:color w:val="231F20"/>
          <w:spacing w:val="-12"/>
        </w:rPr>
        <w:t xml:space="preserve"> </w:t>
      </w:r>
      <w:r>
        <w:rPr>
          <w:color w:val="231F20"/>
          <w:spacing w:val="-3"/>
        </w:rPr>
        <w:t>(а</w:t>
      </w:r>
      <w:r>
        <w:rPr>
          <w:color w:val="231F20"/>
          <w:spacing w:val="-12"/>
        </w:rPr>
        <w:t xml:space="preserve"> </w:t>
      </w:r>
      <w:r>
        <w:rPr>
          <w:color w:val="231F20"/>
          <w:spacing w:val="-3"/>
        </w:rPr>
        <w:t>не</w:t>
      </w:r>
      <w:r>
        <w:rPr>
          <w:color w:val="231F20"/>
          <w:spacing w:val="-12"/>
        </w:rPr>
        <w:t xml:space="preserve"> </w:t>
      </w:r>
      <w:r>
        <w:rPr>
          <w:color w:val="231F20"/>
          <w:spacing w:val="-5"/>
        </w:rPr>
        <w:t>просто</w:t>
      </w:r>
      <w:r>
        <w:rPr>
          <w:color w:val="231F20"/>
          <w:spacing w:val="-12"/>
        </w:rPr>
        <w:t xml:space="preserve"> </w:t>
      </w:r>
      <w:r>
        <w:rPr>
          <w:color w:val="231F20"/>
          <w:spacing w:val="-6"/>
        </w:rPr>
        <w:t xml:space="preserve">«може </w:t>
      </w:r>
      <w:r>
        <w:rPr>
          <w:color w:val="231F20"/>
          <w:spacing w:val="-5"/>
        </w:rPr>
        <w:t xml:space="preserve">вплинути») </w:t>
      </w:r>
      <w:r>
        <w:rPr>
          <w:color w:val="231F20"/>
          <w:spacing w:val="-3"/>
        </w:rPr>
        <w:t xml:space="preserve">на </w:t>
      </w:r>
      <w:r>
        <w:rPr>
          <w:color w:val="231F20"/>
          <w:spacing w:val="-5"/>
        </w:rPr>
        <w:t>належне здійснення публічних владних</w:t>
      </w:r>
      <w:r>
        <w:rPr>
          <w:color w:val="231F20"/>
          <w:spacing w:val="-21"/>
        </w:rPr>
        <w:t xml:space="preserve"> </w:t>
      </w:r>
      <w:r>
        <w:rPr>
          <w:color w:val="231F20"/>
          <w:spacing w:val="-6"/>
        </w:rPr>
        <w:t>функцій.</w:t>
      </w:r>
    </w:p>
    <w:p w14:paraId="5CF92035" w14:textId="77777777" w:rsidR="00DE575E" w:rsidRDefault="00DE575E">
      <w:pPr>
        <w:pStyle w:val="BodyText"/>
        <w:rPr>
          <w:b/>
          <w:i/>
          <w:sz w:val="20"/>
        </w:rPr>
      </w:pPr>
    </w:p>
    <w:p w14:paraId="5C55664C" w14:textId="233CFC57" w:rsidR="00DE575E" w:rsidRDefault="002E7560">
      <w:pPr>
        <w:pStyle w:val="BodyText"/>
        <w:spacing w:before="5"/>
        <w:rPr>
          <w:b/>
          <w:i/>
          <w:sz w:val="15"/>
        </w:rPr>
      </w:pPr>
      <w:r>
        <w:rPr>
          <w:noProof/>
        </w:rPr>
        <mc:AlternateContent>
          <mc:Choice Requires="wps">
            <w:drawing>
              <wp:anchor distT="0" distB="0" distL="0" distR="0" simplePos="0" relativeHeight="16576" behindDoc="0" locked="0" layoutInCell="1" allowOverlap="1" wp14:anchorId="2473D335" wp14:editId="74740DA9">
                <wp:simplePos x="0" y="0"/>
                <wp:positionH relativeFrom="page">
                  <wp:posOffset>719455</wp:posOffset>
                </wp:positionH>
                <wp:positionV relativeFrom="paragraph">
                  <wp:posOffset>142875</wp:posOffset>
                </wp:positionV>
                <wp:extent cx="1080135" cy="0"/>
                <wp:effectExtent l="8255" t="15875" r="29210" b="22225"/>
                <wp:wrapTopAndBottom/>
                <wp:docPr id="33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80BE" id="Line_x0020_338" o:spid="_x0000_s1026" style="position:absolute;z-index: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25pt" to="141.7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id7SICAABFBAAADgAAAGRycy9lMm9Eb2MueG1srFPBjtowEL1X6j9YvkMSAh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" strokecolor="#231f20" strokeweight=".5pt">
                <w10:wrap type="topAndBottom" anchorx="page"/>
              </v:line>
            </w:pict>
          </mc:Fallback>
        </mc:AlternateContent>
      </w:r>
    </w:p>
    <w:p w14:paraId="534251AB"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Слід розрізняти дві можливості: можливість виникнення потенційного конфлікту інтересів (коли за певних умов ймовірним є входження приватного інтересу до сфери службових повноважень) і можливість впливу приватного інтересу (що вже існує у сфері службових по</w:t>
      </w:r>
      <w:r>
        <w:rPr>
          <w:color w:val="231F20"/>
          <w:sz w:val="16"/>
        </w:rPr>
        <w:t>вноважень) на об’єктивність та неупередженість публічного службовця. Лише у другому разі має місце конфлікт інтересів (потенційний).</w:t>
      </w:r>
    </w:p>
    <w:p w14:paraId="3243E1B7" w14:textId="77777777" w:rsidR="00DE575E" w:rsidRDefault="00DE575E">
      <w:pPr>
        <w:pStyle w:val="BodyText"/>
        <w:spacing w:before="3"/>
        <w:rPr>
          <w:sz w:val="12"/>
        </w:rPr>
      </w:pPr>
    </w:p>
    <w:p w14:paraId="71370617" w14:textId="77777777" w:rsidR="00DE575E" w:rsidRDefault="002E7560">
      <w:pPr>
        <w:spacing w:before="92"/>
        <w:ind w:left="533"/>
        <w:rPr>
          <w:rFonts w:ascii="Times New Roman"/>
          <w:sz w:val="20"/>
        </w:rPr>
      </w:pPr>
      <w:r>
        <w:rPr>
          <w:rFonts w:ascii="Times New Roman"/>
          <w:color w:val="231F20"/>
          <w:sz w:val="20"/>
        </w:rPr>
        <w:t>422</w:t>
      </w:r>
    </w:p>
    <w:p w14:paraId="66F18DAC" w14:textId="77777777" w:rsidR="00DE575E" w:rsidRDefault="00DE575E">
      <w:pPr>
        <w:rPr>
          <w:rFonts w:ascii="Times New Roman"/>
          <w:sz w:val="20"/>
        </w:rPr>
        <w:sectPr w:rsidR="00DE575E">
          <w:pgSz w:w="8510" w:h="12760"/>
          <w:pgMar w:top="660" w:right="720" w:bottom="280" w:left="600" w:header="720" w:footer="720" w:gutter="0"/>
          <w:cols w:space="720"/>
        </w:sectPr>
      </w:pPr>
    </w:p>
    <w:p w14:paraId="5BD50049"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 xml:space="preserve">Глава ІІ Особливе адміністративне право/ Книга І </w:t>
      </w:r>
      <w:r>
        <w:rPr>
          <w:rFonts w:ascii="AdonisC" w:hAnsi="AdonisC"/>
          <w:i/>
          <w:color w:val="231F20"/>
          <w:sz w:val="18"/>
        </w:rPr>
        <w:t>Розділ 4. Запобігання корупційним проявам у публічній службі</w:t>
      </w:r>
    </w:p>
    <w:p w14:paraId="1578D394" w14:textId="49547F3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A7A5639" wp14:editId="3CD16D22">
                <wp:extent cx="4140200" cy="6350"/>
                <wp:effectExtent l="0" t="0" r="12700" b="6350"/>
                <wp:docPr id="337"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38" name="Line 3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066FCA" id="Group_x0020_3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OBnnFgAIAAJgFAAAO&#10;AAAAAAAAAAAAAAAAACwCAABkcnMvZTJvRG9jLnhtbFBLAQItABQABgAIAAAAIQBMp7CQ2QAAAAMB&#10;AAAPAAAAAAAAAAAAAAAAANgEAABkcnMvZG93bnJldi54bWxQSwUGAAAAAAQABADzAAAA3gUAAAAA&#10;">
                <v:line id="Line_x0020_3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rhL8MAAADcAAAADwAAAGRycy9kb3ducmV2LnhtbERP3WrCMBS+H+wdwhl4MzTVwpBqlDEQ&#10;xi7UtT7AsTm2xeSkNtF2e3pzIXj58f0v14M14kadbxwrmE4SEMSl0w1XCg7FZjwH4QOyRuOYFPyR&#10;h/Xq9WWJmXY9/9ItD5WIIewzVFCH0GZS+rImi37iWuLInVxnMUTYVVJ32Mdwa+QsST6kxYZjQ40t&#10;fdVUnvOrVVBc3oPZ735MX+yOqTxetun/davU6G34XIAINISn+OH+1grSNK6NZ+IRkK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a4S/DAAAA3AAAAA8AAAAAAAAAAAAA&#10;AAAAoQIAAGRycy9kb3ducmV2LnhtbFBLBQYAAAAABAAEAPkAAACRAwAAAAA=&#10;" strokecolor="#231f20" strokeweight=".5pt"/>
                <w10:anchorlock/>
              </v:group>
            </w:pict>
          </mc:Fallback>
        </mc:AlternateContent>
      </w:r>
    </w:p>
    <w:p w14:paraId="57598D2F" w14:textId="77777777" w:rsidR="00DE575E" w:rsidRDefault="00DE575E">
      <w:pPr>
        <w:pStyle w:val="BodyText"/>
        <w:spacing w:before="7"/>
        <w:rPr>
          <w:rFonts w:ascii="AdonisC"/>
          <w:i/>
          <w:sz w:val="19"/>
        </w:rPr>
      </w:pPr>
    </w:p>
    <w:p w14:paraId="218A3BA9" w14:textId="77777777" w:rsidR="00DE575E" w:rsidRDefault="002E7560">
      <w:pPr>
        <w:pStyle w:val="BodyText"/>
        <w:spacing w:before="1" w:line="252" w:lineRule="auto"/>
        <w:ind w:left="250" w:right="409" w:firstLine="283"/>
        <w:jc w:val="both"/>
      </w:pPr>
      <w:r>
        <w:rPr>
          <w:color w:val="231F20"/>
        </w:rPr>
        <w:t xml:space="preserve">З </w:t>
      </w:r>
      <w:r>
        <w:rPr>
          <w:color w:val="231F20"/>
          <w:spacing w:val="-3"/>
        </w:rPr>
        <w:t xml:space="preserve">огляду </w:t>
      </w:r>
      <w:r>
        <w:rPr>
          <w:color w:val="231F20"/>
        </w:rPr>
        <w:t xml:space="preserve">на потреби правозастосування, у Листі Вищого спеці- алізованого </w:t>
      </w:r>
      <w:r>
        <w:rPr>
          <w:color w:val="231F20"/>
          <w:spacing w:val="-4"/>
        </w:rPr>
        <w:t xml:space="preserve">суду </w:t>
      </w:r>
      <w:r>
        <w:rPr>
          <w:color w:val="231F20"/>
        </w:rPr>
        <w:t xml:space="preserve">з </w:t>
      </w:r>
      <w:r>
        <w:rPr>
          <w:color w:val="231F20"/>
          <w:spacing w:val="-3"/>
        </w:rPr>
        <w:t xml:space="preserve">розгляду </w:t>
      </w:r>
      <w:r>
        <w:rPr>
          <w:color w:val="231F20"/>
        </w:rPr>
        <w:t>цивільних  і  кримінальних  справ  від 2</w:t>
      </w:r>
      <w:r>
        <w:rPr>
          <w:color w:val="231F20"/>
        </w:rPr>
        <w:t>2 травня 2017 р. «Щодо притягнення до адміністративної відпові- дальності за окремі правопорушення, пов’язані з корупцією»</w:t>
      </w:r>
      <w:r>
        <w:rPr>
          <w:color w:val="231F20"/>
          <w:position w:val="7"/>
          <w:sz w:val="12"/>
        </w:rPr>
        <w:t xml:space="preserve">1 </w:t>
      </w:r>
      <w:r>
        <w:rPr>
          <w:color w:val="231F20"/>
        </w:rPr>
        <w:t>дета- лізуються ознаки реального конфлікту інтересів, для ідентифікації якого необхідно встановити одночасну сукупність таких</w:t>
      </w:r>
      <w:r>
        <w:rPr>
          <w:color w:val="231F20"/>
          <w:spacing w:val="-15"/>
        </w:rPr>
        <w:t xml:space="preserve"> </w:t>
      </w:r>
      <w:r>
        <w:rPr>
          <w:color w:val="231F20"/>
        </w:rPr>
        <w:t>фактів</w:t>
      </w:r>
      <w:r>
        <w:rPr>
          <w:color w:val="231F20"/>
        </w:rPr>
        <w:t>:</w:t>
      </w:r>
    </w:p>
    <w:p w14:paraId="4F1F9856" w14:textId="77777777" w:rsidR="00DE575E" w:rsidRDefault="002E7560">
      <w:pPr>
        <w:pStyle w:val="ListParagraph"/>
        <w:numPr>
          <w:ilvl w:val="0"/>
          <w:numId w:val="70"/>
        </w:numPr>
        <w:tabs>
          <w:tab w:val="left" w:pos="818"/>
        </w:tabs>
        <w:spacing w:before="3" w:line="252" w:lineRule="auto"/>
        <w:ind w:right="410" w:firstLine="283"/>
        <w:rPr>
          <w:sz w:val="21"/>
        </w:rPr>
      </w:pPr>
      <w:r>
        <w:rPr>
          <w:color w:val="231F20"/>
          <w:sz w:val="21"/>
        </w:rPr>
        <w:t>наявність у публічного службовця приватного інтересу, який має бути сформульований (артикульований) та</w:t>
      </w:r>
      <w:r>
        <w:rPr>
          <w:color w:val="231F20"/>
          <w:spacing w:val="-10"/>
          <w:sz w:val="21"/>
        </w:rPr>
        <w:t xml:space="preserve"> </w:t>
      </w:r>
      <w:r>
        <w:rPr>
          <w:color w:val="231F20"/>
          <w:sz w:val="21"/>
        </w:rPr>
        <w:t>визначений;</w:t>
      </w:r>
    </w:p>
    <w:p w14:paraId="0A240233" w14:textId="77777777" w:rsidR="00DE575E" w:rsidRDefault="002E7560">
      <w:pPr>
        <w:pStyle w:val="ListParagraph"/>
        <w:numPr>
          <w:ilvl w:val="0"/>
          <w:numId w:val="70"/>
        </w:numPr>
        <w:tabs>
          <w:tab w:val="left" w:pos="818"/>
        </w:tabs>
        <w:spacing w:line="252" w:lineRule="auto"/>
        <w:ind w:right="410" w:firstLine="283"/>
        <w:rPr>
          <w:sz w:val="21"/>
        </w:rPr>
      </w:pPr>
      <w:r>
        <w:rPr>
          <w:color w:val="231F20"/>
          <w:sz w:val="21"/>
        </w:rPr>
        <w:t>наявність  факту   суперечності   між   приватним   інтересом   і службовими чи представницькими повноваженнями із зазначен- ням того, в чо</w:t>
      </w:r>
      <w:r>
        <w:rPr>
          <w:color w:val="231F20"/>
          <w:sz w:val="21"/>
        </w:rPr>
        <w:t>му саме ця суперечність виявляється або впливає на ухвалення</w:t>
      </w:r>
      <w:r>
        <w:rPr>
          <w:color w:val="231F20"/>
          <w:spacing w:val="-2"/>
          <w:sz w:val="21"/>
        </w:rPr>
        <w:t xml:space="preserve"> </w:t>
      </w:r>
      <w:r>
        <w:rPr>
          <w:color w:val="231F20"/>
          <w:sz w:val="21"/>
        </w:rPr>
        <w:t>рішення;</w:t>
      </w:r>
    </w:p>
    <w:p w14:paraId="227501AC" w14:textId="77777777" w:rsidR="00DE575E" w:rsidRDefault="002E7560">
      <w:pPr>
        <w:pStyle w:val="ListParagraph"/>
        <w:numPr>
          <w:ilvl w:val="0"/>
          <w:numId w:val="70"/>
        </w:numPr>
        <w:tabs>
          <w:tab w:val="left" w:pos="818"/>
        </w:tabs>
        <w:spacing w:before="2"/>
        <w:ind w:firstLine="283"/>
        <w:jc w:val="left"/>
        <w:rPr>
          <w:sz w:val="21"/>
        </w:rPr>
      </w:pPr>
      <w:r>
        <w:rPr>
          <w:color w:val="231F20"/>
          <w:sz w:val="21"/>
        </w:rPr>
        <w:t>наявність повноважень на ухвалення</w:t>
      </w:r>
      <w:r>
        <w:rPr>
          <w:color w:val="231F20"/>
          <w:spacing w:val="-2"/>
          <w:sz w:val="21"/>
        </w:rPr>
        <w:t xml:space="preserve"> </w:t>
      </w:r>
      <w:r>
        <w:rPr>
          <w:color w:val="231F20"/>
          <w:sz w:val="21"/>
        </w:rPr>
        <w:t>рішення</w:t>
      </w:r>
      <w:r>
        <w:rPr>
          <w:color w:val="231F20"/>
          <w:position w:val="7"/>
          <w:sz w:val="12"/>
        </w:rPr>
        <w:t>2</w:t>
      </w:r>
      <w:r>
        <w:rPr>
          <w:color w:val="231F20"/>
          <w:sz w:val="21"/>
        </w:rPr>
        <w:t>;</w:t>
      </w:r>
    </w:p>
    <w:p w14:paraId="7DCDDE3A" w14:textId="77777777" w:rsidR="00DE575E" w:rsidRDefault="002E7560">
      <w:pPr>
        <w:pStyle w:val="ListParagraph"/>
        <w:numPr>
          <w:ilvl w:val="0"/>
          <w:numId w:val="70"/>
        </w:numPr>
        <w:tabs>
          <w:tab w:val="left" w:pos="818"/>
        </w:tabs>
        <w:spacing w:before="12" w:line="252" w:lineRule="auto"/>
        <w:ind w:right="411" w:firstLine="283"/>
        <w:rPr>
          <w:sz w:val="21"/>
        </w:rPr>
      </w:pPr>
      <w:r>
        <w:rPr>
          <w:color w:val="231F20"/>
          <w:sz w:val="21"/>
        </w:rPr>
        <w:t xml:space="preserve">наявність факту реального впливу суперечності між приват- ним та службовим чи представницьким інтересом на </w:t>
      </w:r>
      <w:r>
        <w:rPr>
          <w:color w:val="231F20"/>
          <w:spacing w:val="-3"/>
          <w:sz w:val="21"/>
        </w:rPr>
        <w:t xml:space="preserve">об’єктивність </w:t>
      </w:r>
      <w:r>
        <w:rPr>
          <w:color w:val="231F20"/>
          <w:sz w:val="21"/>
        </w:rPr>
        <w:t>або неупередженість</w:t>
      </w:r>
      <w:r>
        <w:rPr>
          <w:color w:val="231F20"/>
          <w:spacing w:val="-2"/>
          <w:sz w:val="21"/>
        </w:rPr>
        <w:t xml:space="preserve"> </w:t>
      </w:r>
      <w:r>
        <w:rPr>
          <w:color w:val="231F20"/>
          <w:sz w:val="21"/>
        </w:rPr>
        <w:t>рішення.</w:t>
      </w:r>
    </w:p>
    <w:p w14:paraId="5DD3407E" w14:textId="77777777" w:rsidR="00DE575E" w:rsidRDefault="002E7560">
      <w:pPr>
        <w:pStyle w:val="BodyText"/>
        <w:spacing w:before="2" w:line="252" w:lineRule="auto"/>
        <w:ind w:left="250" w:right="410" w:firstLine="283"/>
        <w:jc w:val="both"/>
      </w:pPr>
      <w:r>
        <w:rPr>
          <w:color w:val="231F20"/>
        </w:rPr>
        <w:t xml:space="preserve">При </w:t>
      </w:r>
      <w:r>
        <w:rPr>
          <w:color w:val="231F20"/>
          <w:spacing w:val="-3"/>
        </w:rPr>
        <w:t xml:space="preserve">цьому, </w:t>
      </w:r>
      <w:r>
        <w:rPr>
          <w:color w:val="231F20"/>
        </w:rPr>
        <w:t>якщо у службовця виникають сумніви щодо наяв- ності в нього конфлікту інтересів, він має право звернутися за роз’ясненнями до Національного агентства з питань запобігання корупції</w:t>
      </w:r>
      <w:r>
        <w:rPr>
          <w:color w:val="231F20"/>
          <w:position w:val="7"/>
          <w:sz w:val="12"/>
        </w:rPr>
        <w:t>3</w:t>
      </w:r>
      <w:r>
        <w:rPr>
          <w:color w:val="231F20"/>
        </w:rPr>
        <w:t xml:space="preserve">. Щодо такого звернення діє </w:t>
      </w:r>
      <w:r>
        <w:rPr>
          <w:b/>
          <w:i/>
          <w:color w:val="231F20"/>
        </w:rPr>
        <w:t>принцип «мовчазного запе- ре</w:t>
      </w:r>
      <w:r>
        <w:rPr>
          <w:b/>
          <w:i/>
          <w:color w:val="231F20"/>
        </w:rPr>
        <w:t xml:space="preserve">чення» </w:t>
      </w:r>
      <w:r>
        <w:rPr>
          <w:color w:val="231F20"/>
        </w:rPr>
        <w:t>(на противагу відомому в публічному адмініструванні принципу «мовчазної згоди»), адже якщо службовець не отримав підтвердження про відсутність конфлікту інтересів (або не отри- мав відповіді), то він має вважати, що конфлікт інтересів існує, та зобо</w:t>
      </w:r>
      <w:r>
        <w:rPr>
          <w:color w:val="231F20"/>
        </w:rPr>
        <w:t>в’язаний вжити заходів для врегулювання відповідної ситуа- ції. При отриманні публічним службовцем підтвердження стосовно відсутності конфлікту інтересів він звільняється від відповідаль- ності</w:t>
      </w:r>
      <w:r>
        <w:rPr>
          <w:color w:val="231F20"/>
          <w:spacing w:val="-8"/>
        </w:rPr>
        <w:t xml:space="preserve"> </w:t>
      </w:r>
      <w:r>
        <w:rPr>
          <w:color w:val="231F20"/>
        </w:rPr>
        <w:t>в</w:t>
      </w:r>
      <w:r>
        <w:rPr>
          <w:color w:val="231F20"/>
          <w:spacing w:val="-8"/>
        </w:rPr>
        <w:t xml:space="preserve"> </w:t>
      </w:r>
      <w:r>
        <w:rPr>
          <w:color w:val="231F20"/>
        </w:rPr>
        <w:t>разі</w:t>
      </w:r>
      <w:r>
        <w:rPr>
          <w:color w:val="231F20"/>
          <w:spacing w:val="-8"/>
        </w:rPr>
        <w:t xml:space="preserve"> </w:t>
      </w:r>
      <w:r>
        <w:rPr>
          <w:color w:val="231F20"/>
        </w:rPr>
        <w:t>подальшого</w:t>
      </w:r>
      <w:r>
        <w:rPr>
          <w:color w:val="231F20"/>
          <w:spacing w:val="-8"/>
        </w:rPr>
        <w:t xml:space="preserve"> </w:t>
      </w:r>
      <w:r>
        <w:rPr>
          <w:color w:val="231F20"/>
        </w:rPr>
        <w:t>виявлення</w:t>
      </w:r>
      <w:r>
        <w:rPr>
          <w:color w:val="231F20"/>
          <w:spacing w:val="-8"/>
        </w:rPr>
        <w:t xml:space="preserve"> </w:t>
      </w:r>
      <w:r>
        <w:rPr>
          <w:color w:val="231F20"/>
        </w:rPr>
        <w:t>у</w:t>
      </w:r>
      <w:r>
        <w:rPr>
          <w:color w:val="231F20"/>
          <w:spacing w:val="-8"/>
        </w:rPr>
        <w:t xml:space="preserve"> </w:t>
      </w:r>
      <w:r>
        <w:rPr>
          <w:color w:val="231F20"/>
        </w:rPr>
        <w:t>його</w:t>
      </w:r>
      <w:r>
        <w:rPr>
          <w:color w:val="231F20"/>
          <w:spacing w:val="-8"/>
        </w:rPr>
        <w:t xml:space="preserve"> </w:t>
      </w:r>
      <w:r>
        <w:rPr>
          <w:color w:val="231F20"/>
        </w:rPr>
        <w:t>діях</w:t>
      </w:r>
      <w:r>
        <w:rPr>
          <w:color w:val="231F20"/>
          <w:spacing w:val="-8"/>
        </w:rPr>
        <w:t xml:space="preserve"> </w:t>
      </w:r>
      <w:r>
        <w:rPr>
          <w:color w:val="231F20"/>
        </w:rPr>
        <w:t>(щодо</w:t>
      </w:r>
      <w:r>
        <w:rPr>
          <w:color w:val="231F20"/>
          <w:spacing w:val="-8"/>
        </w:rPr>
        <w:t xml:space="preserve"> </w:t>
      </w:r>
      <w:r>
        <w:rPr>
          <w:color w:val="231F20"/>
        </w:rPr>
        <w:t>яких</w:t>
      </w:r>
      <w:r>
        <w:rPr>
          <w:color w:val="231F20"/>
          <w:spacing w:val="-8"/>
        </w:rPr>
        <w:t xml:space="preserve"> </w:t>
      </w:r>
      <w:r>
        <w:rPr>
          <w:color w:val="231F20"/>
          <w:spacing w:val="-3"/>
        </w:rPr>
        <w:t>було</w:t>
      </w:r>
      <w:r>
        <w:rPr>
          <w:color w:val="231F20"/>
          <w:spacing w:val="-8"/>
        </w:rPr>
        <w:t xml:space="preserve"> </w:t>
      </w:r>
      <w:r>
        <w:rPr>
          <w:color w:val="231F20"/>
        </w:rPr>
        <w:t xml:space="preserve">звер- </w:t>
      </w:r>
      <w:r>
        <w:rPr>
          <w:color w:val="231F20"/>
        </w:rPr>
        <w:t>нення) конфлікту</w:t>
      </w:r>
      <w:r>
        <w:rPr>
          <w:color w:val="231F20"/>
          <w:spacing w:val="-2"/>
        </w:rPr>
        <w:t xml:space="preserve"> </w:t>
      </w:r>
      <w:r>
        <w:rPr>
          <w:color w:val="231F20"/>
        </w:rPr>
        <w:t>інтересів.</w:t>
      </w:r>
    </w:p>
    <w:p w14:paraId="0C5E117F" w14:textId="77777777" w:rsidR="00DE575E" w:rsidRDefault="002E7560">
      <w:pPr>
        <w:pStyle w:val="BodyText"/>
        <w:spacing w:before="6"/>
        <w:ind w:left="533"/>
      </w:pPr>
      <w:r>
        <w:rPr>
          <w:color w:val="231F20"/>
        </w:rPr>
        <w:t>Щодо конфлікту інтересів у публічних службовців існують</w:t>
      </w:r>
    </w:p>
    <w:p w14:paraId="0FD1E1F2" w14:textId="77777777" w:rsidR="00DE575E" w:rsidRDefault="002E7560">
      <w:pPr>
        <w:pStyle w:val="Heading6"/>
        <w:spacing w:before="13"/>
        <w:ind w:left="250" w:firstLine="0"/>
        <w:rPr>
          <w:b w:val="0"/>
          <w:i w:val="0"/>
        </w:rPr>
      </w:pPr>
      <w:r>
        <w:rPr>
          <w:color w:val="231F20"/>
        </w:rPr>
        <w:t>зобов’язання</w:t>
      </w:r>
      <w:r>
        <w:rPr>
          <w:b w:val="0"/>
          <w:i w:val="0"/>
          <w:color w:val="231F20"/>
        </w:rPr>
        <w:t>:</w:t>
      </w:r>
    </w:p>
    <w:p w14:paraId="01D5CC39" w14:textId="550A0E3F" w:rsidR="00DE575E" w:rsidRDefault="002E7560">
      <w:pPr>
        <w:pStyle w:val="BodyText"/>
        <w:spacing w:before="6"/>
        <w:rPr>
          <w:sz w:val="16"/>
        </w:rPr>
      </w:pPr>
      <w:r>
        <w:rPr>
          <w:noProof/>
        </w:rPr>
        <mc:AlternateContent>
          <mc:Choice Requires="wps">
            <w:drawing>
              <wp:anchor distT="0" distB="0" distL="0" distR="0" simplePos="0" relativeHeight="16624" behindDoc="0" locked="0" layoutInCell="1" allowOverlap="1" wp14:anchorId="4FC9FA64" wp14:editId="04052932">
                <wp:simplePos x="0" y="0"/>
                <wp:positionH relativeFrom="page">
                  <wp:posOffset>539750</wp:posOffset>
                </wp:positionH>
                <wp:positionV relativeFrom="paragraph">
                  <wp:posOffset>151130</wp:posOffset>
                </wp:positionV>
                <wp:extent cx="1080135" cy="0"/>
                <wp:effectExtent l="6350" t="11430" r="31115" b="26670"/>
                <wp:wrapTopAndBottom/>
                <wp:docPr id="33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1298" id="Line_x0020_335" o:spid="_x0000_s1026" style="position:absolute;z-index:1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9pt" to="127.55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2Q1SECAABFBAAADgAAAGRycy9lMm9Eb2MueG1srFPBjtowEL1X6j9YvkMSAp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" strokecolor="#231f20" strokeweight=".5pt">
                <w10:wrap type="topAndBottom" anchorx="page"/>
              </v:line>
            </w:pict>
          </mc:Fallback>
        </mc:AlternateContent>
      </w:r>
    </w:p>
    <w:p w14:paraId="020848E1"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Щодо притягнення до адміністративної відповідальності за окремі правопорушення, пов’язані з корупцією: Лист Вищого спеціалізованого суду з розгляду цивільних і кримі- нальних справ від 22.05.2017 р.</w:t>
      </w:r>
    </w:p>
    <w:p w14:paraId="12E08CA0" w14:textId="77777777" w:rsidR="00DE575E" w:rsidRDefault="002E7560">
      <w:pPr>
        <w:spacing w:before="26" w:line="204" w:lineRule="auto"/>
        <w:ind w:left="250" w:right="411"/>
        <w:jc w:val="both"/>
        <w:rPr>
          <w:sz w:val="16"/>
        </w:rPr>
      </w:pPr>
      <w:r>
        <w:rPr>
          <w:color w:val="231F20"/>
          <w:position w:val="5"/>
          <w:sz w:val="9"/>
        </w:rPr>
        <w:t xml:space="preserve">2 </w:t>
      </w:r>
      <w:r>
        <w:rPr>
          <w:i/>
          <w:color w:val="231F20"/>
          <w:sz w:val="16"/>
          <w:u w:val="single" w:color="231F20"/>
        </w:rPr>
        <w:t>Наприклад</w:t>
      </w:r>
      <w:r>
        <w:rPr>
          <w:i/>
          <w:color w:val="231F20"/>
          <w:sz w:val="16"/>
        </w:rPr>
        <w:t>, конфлікт інтересів відсутній у особи, яка здійснює лише попередню підго- товку проєкту рішення або збирає статистичну чи іншу інформацію, що ляже в основу майбутнього рішення компетентного суб’єкта</w:t>
      </w:r>
      <w:r>
        <w:rPr>
          <w:color w:val="231F20"/>
          <w:sz w:val="16"/>
        </w:rPr>
        <w:t>.</w:t>
      </w:r>
    </w:p>
    <w:p w14:paraId="4B7F9908" w14:textId="77777777" w:rsidR="00DE575E" w:rsidRDefault="002E7560">
      <w:pPr>
        <w:spacing w:before="31" w:line="204" w:lineRule="auto"/>
        <w:ind w:left="250" w:right="410"/>
        <w:jc w:val="both"/>
        <w:rPr>
          <w:sz w:val="16"/>
        </w:rPr>
      </w:pPr>
      <w:r>
        <w:rPr>
          <w:color w:val="231F20"/>
          <w:position w:val="5"/>
          <w:sz w:val="9"/>
        </w:rPr>
        <w:t xml:space="preserve">3  </w:t>
      </w:r>
      <w:r>
        <w:rPr>
          <w:color w:val="231F20"/>
          <w:sz w:val="16"/>
        </w:rPr>
        <w:t>До жовтня 2019 року таке звернення визначалося як об</w:t>
      </w:r>
      <w:r>
        <w:rPr>
          <w:color w:val="231F20"/>
          <w:sz w:val="16"/>
        </w:rPr>
        <w:t>ов’язок службовця (що див-  ним чином поєднувало міру необхідної поведінки із суб’єктозалежним абстрактним поняттям «сумніви) та мало направлятися до територіальних органів НАЗК (у зв’язку з тим, що вони фактично не створені, компетентним у розгляді зверне</w:t>
      </w:r>
      <w:r>
        <w:rPr>
          <w:color w:val="231F20"/>
          <w:sz w:val="16"/>
        </w:rPr>
        <w:t xml:space="preserve">нь </w:t>
      </w:r>
      <w:r>
        <w:rPr>
          <w:color w:val="231F20"/>
          <w:spacing w:val="-3"/>
          <w:sz w:val="16"/>
        </w:rPr>
        <w:t xml:space="preserve">було </w:t>
      </w:r>
      <w:r>
        <w:rPr>
          <w:color w:val="231F20"/>
          <w:sz w:val="16"/>
        </w:rPr>
        <w:t>визначено сам центральний</w:t>
      </w:r>
      <w:r>
        <w:rPr>
          <w:color w:val="231F20"/>
          <w:spacing w:val="-3"/>
          <w:sz w:val="16"/>
        </w:rPr>
        <w:t xml:space="preserve"> </w:t>
      </w:r>
      <w:r>
        <w:rPr>
          <w:color w:val="231F20"/>
          <w:sz w:val="16"/>
        </w:rPr>
        <w:t>орган).</w:t>
      </w:r>
    </w:p>
    <w:p w14:paraId="791EA1FC" w14:textId="77777777" w:rsidR="00DE575E" w:rsidRDefault="00DE575E">
      <w:pPr>
        <w:pStyle w:val="BodyText"/>
        <w:spacing w:before="6"/>
        <w:rPr>
          <w:sz w:val="12"/>
        </w:rPr>
      </w:pPr>
    </w:p>
    <w:p w14:paraId="2739459F" w14:textId="77777777" w:rsidR="00DE575E" w:rsidRDefault="002E7560">
      <w:pPr>
        <w:spacing w:before="92"/>
        <w:ind w:right="411"/>
        <w:jc w:val="right"/>
        <w:rPr>
          <w:rFonts w:ascii="Times New Roman"/>
          <w:sz w:val="20"/>
        </w:rPr>
      </w:pPr>
      <w:r>
        <w:rPr>
          <w:rFonts w:ascii="Times New Roman"/>
          <w:color w:val="231F20"/>
          <w:w w:val="90"/>
          <w:sz w:val="20"/>
        </w:rPr>
        <w:t>423</w:t>
      </w:r>
    </w:p>
    <w:p w14:paraId="5B30AF0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5B7068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981DC89" w14:textId="2F4D2B6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297AAA5" wp14:editId="3F8A14CF">
                <wp:extent cx="4140200" cy="6350"/>
                <wp:effectExtent l="0" t="0" r="12700" b="6350"/>
                <wp:docPr id="33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35" name="Line 33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5AD6B0" id="Group_x0020_33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jHA2d/AgAAmAUAAA4A&#10;AAAAAAAAAAAAAAAALAIAAGRycy9lMm9Eb2MueG1sUEsBAi0AFAAGAAgAAAAhAEynsJDZAAAAAwEA&#10;AA8AAAAAAAAAAAAAAAAA1wQAAGRycy9kb3ducmV2LnhtbFBLBQYAAAAABAAEAPMAAADdBQAAAAA=&#10;">
                <v:line id="Line_x0020_33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tOscYAAADcAAAADwAAAGRycy9kb3ducmV2LnhtbESP3WrCQBSE7wt9h+UUelN0o0Ep0VVE&#10;EKQX/qUPcMyeJqG7Z2N2NWmf3hUKvRxm5htmvuytETdqfe1YwWiYgCAunK65VPCZbwbvIHxA1mgc&#10;k4If8rBcPD/NMdOu4yPdTqEUEcI+QwVVCE0mpS8qsuiHriGO3pdrLYYo21LqFrsIt0aOk2QqLdYc&#10;FypsaF1R8X26WgX55S2Yw/7DdPn+nMrzZZf+XndKvb70qxmIQH34D/+1t1pBmk7gcS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bTrHGAAAA3AAAAA8AAAAAAAAA&#10;AAAAAAAAoQIAAGRycy9kb3ducmV2LnhtbFBLBQYAAAAABAAEAPkAAACUAwAAAAA=&#10;" strokecolor="#231f20" strokeweight=".5pt"/>
                <w10:anchorlock/>
              </v:group>
            </w:pict>
          </mc:Fallback>
        </mc:AlternateContent>
      </w:r>
    </w:p>
    <w:p w14:paraId="55F61A82" w14:textId="77777777" w:rsidR="00DE575E" w:rsidRDefault="00DE575E">
      <w:pPr>
        <w:pStyle w:val="BodyText"/>
        <w:spacing w:before="7"/>
        <w:rPr>
          <w:rFonts w:ascii="AdonisC"/>
          <w:i/>
          <w:sz w:val="11"/>
        </w:rPr>
      </w:pPr>
    </w:p>
    <w:p w14:paraId="5D63C38B" w14:textId="77777777" w:rsidR="00DE575E" w:rsidRDefault="002E7560">
      <w:pPr>
        <w:pStyle w:val="ListParagraph"/>
        <w:numPr>
          <w:ilvl w:val="0"/>
          <w:numId w:val="69"/>
        </w:numPr>
        <w:tabs>
          <w:tab w:val="left" w:pos="1101"/>
        </w:tabs>
        <w:spacing w:before="101" w:line="252" w:lineRule="auto"/>
        <w:ind w:right="127" w:firstLine="284"/>
        <w:rPr>
          <w:sz w:val="21"/>
        </w:rPr>
      </w:pPr>
      <w:r>
        <w:rPr>
          <w:color w:val="231F20"/>
          <w:sz w:val="21"/>
        </w:rPr>
        <w:t>вживати заходів щодо недопущення виникнення конфлікту інтересів;</w:t>
      </w:r>
    </w:p>
    <w:p w14:paraId="57518EED" w14:textId="77777777" w:rsidR="00DE575E" w:rsidRDefault="002E7560">
      <w:pPr>
        <w:pStyle w:val="ListParagraph"/>
        <w:numPr>
          <w:ilvl w:val="0"/>
          <w:numId w:val="69"/>
        </w:numPr>
        <w:tabs>
          <w:tab w:val="left" w:pos="1101"/>
        </w:tabs>
        <w:spacing w:line="252" w:lineRule="auto"/>
        <w:ind w:right="127" w:firstLine="284"/>
        <w:rPr>
          <w:sz w:val="21"/>
        </w:rPr>
      </w:pPr>
      <w:r>
        <w:rPr>
          <w:color w:val="231F20"/>
          <w:sz w:val="21"/>
        </w:rPr>
        <w:t xml:space="preserve">повідомляти не пізніше наступного робочого дня з </w:t>
      </w:r>
      <w:r>
        <w:rPr>
          <w:color w:val="231F20"/>
          <w:spacing w:val="-3"/>
          <w:sz w:val="21"/>
        </w:rPr>
        <w:t xml:space="preserve">моменту, </w:t>
      </w:r>
      <w:r>
        <w:rPr>
          <w:color w:val="231F20"/>
          <w:sz w:val="21"/>
        </w:rPr>
        <w:t>коли службовець дізнався чи мав дізнатися про наявність у нього будь-якого</w:t>
      </w:r>
      <w:r>
        <w:rPr>
          <w:color w:val="231F20"/>
          <w:spacing w:val="-7"/>
          <w:sz w:val="21"/>
        </w:rPr>
        <w:t xml:space="preserve"> </w:t>
      </w:r>
      <w:r>
        <w:rPr>
          <w:color w:val="231F20"/>
          <w:sz w:val="21"/>
        </w:rPr>
        <w:t>конфлікту</w:t>
      </w:r>
      <w:r>
        <w:rPr>
          <w:color w:val="231F20"/>
          <w:spacing w:val="-7"/>
          <w:sz w:val="21"/>
        </w:rPr>
        <w:t xml:space="preserve"> </w:t>
      </w:r>
      <w:r>
        <w:rPr>
          <w:color w:val="231F20"/>
          <w:sz w:val="21"/>
        </w:rPr>
        <w:t>інтересів.</w:t>
      </w:r>
      <w:r>
        <w:rPr>
          <w:color w:val="231F20"/>
          <w:spacing w:val="-7"/>
          <w:sz w:val="21"/>
        </w:rPr>
        <w:t xml:space="preserve"> </w:t>
      </w:r>
      <w:r>
        <w:rPr>
          <w:color w:val="231F20"/>
          <w:sz w:val="21"/>
        </w:rPr>
        <w:t>Повідомлення</w:t>
      </w:r>
      <w:r>
        <w:rPr>
          <w:color w:val="231F20"/>
          <w:spacing w:val="-8"/>
          <w:sz w:val="21"/>
        </w:rPr>
        <w:t xml:space="preserve"> </w:t>
      </w:r>
      <w:r>
        <w:rPr>
          <w:color w:val="231F20"/>
          <w:sz w:val="21"/>
        </w:rPr>
        <w:t>адресується</w:t>
      </w:r>
      <w:r>
        <w:rPr>
          <w:color w:val="231F20"/>
          <w:spacing w:val="-7"/>
          <w:sz w:val="21"/>
        </w:rPr>
        <w:t xml:space="preserve"> </w:t>
      </w:r>
      <w:r>
        <w:rPr>
          <w:color w:val="231F20"/>
          <w:sz w:val="21"/>
        </w:rPr>
        <w:t>безпосе- редньому керівникові, а якщо посада публічної служби не передба- чає наявності безпосереднього керівника або мова йде про посаду  в колегіальному органі, – НАЗК або колегіальному</w:t>
      </w:r>
      <w:r>
        <w:rPr>
          <w:color w:val="231F20"/>
          <w:spacing w:val="-5"/>
          <w:sz w:val="21"/>
        </w:rPr>
        <w:t xml:space="preserve"> </w:t>
      </w:r>
      <w:r>
        <w:rPr>
          <w:color w:val="231F20"/>
          <w:sz w:val="21"/>
        </w:rPr>
        <w:t>органу</w:t>
      </w:r>
      <w:r>
        <w:rPr>
          <w:color w:val="231F20"/>
          <w:position w:val="7"/>
          <w:sz w:val="12"/>
        </w:rPr>
        <w:t>1</w:t>
      </w:r>
      <w:r>
        <w:rPr>
          <w:color w:val="231F20"/>
          <w:sz w:val="21"/>
        </w:rPr>
        <w:t>;</w:t>
      </w:r>
    </w:p>
    <w:p w14:paraId="6EE4F55C" w14:textId="77777777" w:rsidR="00DE575E" w:rsidRDefault="002E7560">
      <w:pPr>
        <w:pStyle w:val="ListParagraph"/>
        <w:numPr>
          <w:ilvl w:val="0"/>
          <w:numId w:val="69"/>
        </w:numPr>
        <w:tabs>
          <w:tab w:val="left" w:pos="1101"/>
        </w:tabs>
        <w:spacing w:before="3" w:line="252" w:lineRule="auto"/>
        <w:ind w:right="128" w:firstLine="284"/>
        <w:rPr>
          <w:sz w:val="21"/>
        </w:rPr>
      </w:pPr>
      <w:r>
        <w:rPr>
          <w:color w:val="231F20"/>
          <w:sz w:val="21"/>
        </w:rPr>
        <w:t>не вчиняти дій та не ухвалювати рішень в умовах реального к</w:t>
      </w:r>
      <w:r>
        <w:rPr>
          <w:color w:val="231F20"/>
          <w:sz w:val="21"/>
        </w:rPr>
        <w:t xml:space="preserve">онфлікту інтересів, а також не спонукати підлеглих до </w:t>
      </w:r>
      <w:r>
        <w:rPr>
          <w:color w:val="231F20"/>
          <w:spacing w:val="-3"/>
          <w:sz w:val="21"/>
        </w:rPr>
        <w:t xml:space="preserve">будь-яких </w:t>
      </w:r>
      <w:r>
        <w:rPr>
          <w:color w:val="231F20"/>
          <w:sz w:val="21"/>
        </w:rPr>
        <w:t>протиправних діянь на користь своїх приватних інтересів або інте- ресів третьої</w:t>
      </w:r>
      <w:r>
        <w:rPr>
          <w:color w:val="231F20"/>
          <w:spacing w:val="-2"/>
          <w:sz w:val="21"/>
        </w:rPr>
        <w:t xml:space="preserve"> </w:t>
      </w:r>
      <w:r>
        <w:rPr>
          <w:color w:val="231F20"/>
          <w:sz w:val="21"/>
        </w:rPr>
        <w:t>особи;</w:t>
      </w:r>
    </w:p>
    <w:p w14:paraId="60A5AD67" w14:textId="77777777" w:rsidR="00DE575E" w:rsidRDefault="002E7560">
      <w:pPr>
        <w:pStyle w:val="ListParagraph"/>
        <w:numPr>
          <w:ilvl w:val="0"/>
          <w:numId w:val="69"/>
        </w:numPr>
        <w:tabs>
          <w:tab w:val="left" w:pos="1101"/>
        </w:tabs>
        <w:spacing w:before="2"/>
        <w:ind w:firstLine="284"/>
        <w:jc w:val="left"/>
        <w:rPr>
          <w:sz w:val="21"/>
        </w:rPr>
      </w:pPr>
      <w:r>
        <w:rPr>
          <w:color w:val="231F20"/>
          <w:sz w:val="21"/>
        </w:rPr>
        <w:t>ужити заходів щодо врегулювання</w:t>
      </w:r>
      <w:r>
        <w:rPr>
          <w:color w:val="231F20"/>
          <w:position w:val="7"/>
          <w:sz w:val="12"/>
        </w:rPr>
        <w:t xml:space="preserve">2 </w:t>
      </w:r>
      <w:r>
        <w:rPr>
          <w:color w:val="231F20"/>
          <w:sz w:val="21"/>
        </w:rPr>
        <w:t>конфлікту</w:t>
      </w:r>
      <w:r>
        <w:rPr>
          <w:color w:val="231F20"/>
          <w:spacing w:val="-12"/>
          <w:sz w:val="21"/>
        </w:rPr>
        <w:t xml:space="preserve"> </w:t>
      </w:r>
      <w:r>
        <w:rPr>
          <w:color w:val="231F20"/>
          <w:sz w:val="21"/>
        </w:rPr>
        <w:t>інтересів.</w:t>
      </w:r>
    </w:p>
    <w:p w14:paraId="4EFA204F" w14:textId="77777777" w:rsidR="00DE575E" w:rsidRDefault="002E7560">
      <w:pPr>
        <w:pStyle w:val="Heading6"/>
        <w:spacing w:before="12"/>
        <w:ind w:left="817" w:firstLine="0"/>
        <w:rPr>
          <w:b w:val="0"/>
          <w:i w:val="0"/>
        </w:rPr>
      </w:pPr>
      <w:r>
        <w:rPr>
          <w:color w:val="231F20"/>
        </w:rPr>
        <w:t>Захід самостійного врегулювання конфлікту інтересів</w:t>
      </w:r>
      <w:r>
        <w:rPr>
          <w:b w:val="0"/>
          <w:i w:val="0"/>
          <w:color w:val="231F20"/>
        </w:rPr>
        <w:t>:</w:t>
      </w:r>
    </w:p>
    <w:p w14:paraId="6CB65302" w14:textId="77777777" w:rsidR="00DE575E" w:rsidRDefault="002E7560">
      <w:pPr>
        <w:pStyle w:val="ListParagraph"/>
        <w:numPr>
          <w:ilvl w:val="1"/>
          <w:numId w:val="70"/>
        </w:numPr>
        <w:tabs>
          <w:tab w:val="left" w:pos="1101"/>
        </w:tabs>
        <w:spacing w:before="13" w:line="252" w:lineRule="auto"/>
        <w:ind w:right="127" w:firstLine="284"/>
        <w:rPr>
          <w:sz w:val="21"/>
        </w:rPr>
      </w:pPr>
      <w:r>
        <w:rPr>
          <w:color w:val="231F20"/>
          <w:sz w:val="21"/>
        </w:rPr>
        <w:t>відбувається способом позбавлення відповідного приватного інтересу (якщо природа інтересу допускає можливість позбавитися від</w:t>
      </w:r>
      <w:r>
        <w:rPr>
          <w:color w:val="231F20"/>
          <w:spacing w:val="-1"/>
          <w:sz w:val="21"/>
        </w:rPr>
        <w:t xml:space="preserve"> </w:t>
      </w:r>
      <w:r>
        <w:rPr>
          <w:color w:val="231F20"/>
          <w:sz w:val="21"/>
        </w:rPr>
        <w:t>нього);</w:t>
      </w:r>
    </w:p>
    <w:p w14:paraId="299B6B8A" w14:textId="77777777" w:rsidR="00DE575E" w:rsidRDefault="002E7560">
      <w:pPr>
        <w:pStyle w:val="ListParagraph"/>
        <w:numPr>
          <w:ilvl w:val="1"/>
          <w:numId w:val="70"/>
        </w:numPr>
        <w:tabs>
          <w:tab w:val="left" w:pos="1101"/>
        </w:tabs>
        <w:spacing w:before="2" w:line="252" w:lineRule="auto"/>
        <w:ind w:right="127" w:firstLine="284"/>
        <w:rPr>
          <w:sz w:val="21"/>
        </w:rPr>
      </w:pPr>
      <w:r>
        <w:rPr>
          <w:color w:val="231F20"/>
          <w:sz w:val="21"/>
        </w:rPr>
        <w:t xml:space="preserve">пов’язаний з потребою надати керівникові документи, що підтверджують факт позбавлення приватного інтересу (якщо природа </w:t>
      </w:r>
      <w:r>
        <w:rPr>
          <w:color w:val="231F20"/>
          <w:sz w:val="21"/>
        </w:rPr>
        <w:t>інтересу та спосіб позбавлення від нього передбачають ймовірність документального</w:t>
      </w:r>
      <w:r>
        <w:rPr>
          <w:color w:val="231F20"/>
          <w:spacing w:val="-2"/>
          <w:sz w:val="21"/>
        </w:rPr>
        <w:t xml:space="preserve"> </w:t>
      </w:r>
      <w:r>
        <w:rPr>
          <w:color w:val="231F20"/>
          <w:sz w:val="21"/>
        </w:rPr>
        <w:t>підтвердження).</w:t>
      </w:r>
    </w:p>
    <w:p w14:paraId="4A7951B1" w14:textId="77777777" w:rsidR="00DE575E" w:rsidRDefault="002E7560">
      <w:pPr>
        <w:spacing w:before="2" w:line="252" w:lineRule="auto"/>
        <w:ind w:left="533" w:right="128" w:firstLine="283"/>
        <w:jc w:val="both"/>
        <w:rPr>
          <w:sz w:val="21"/>
        </w:rPr>
      </w:pPr>
      <w:r>
        <w:rPr>
          <w:color w:val="231F20"/>
          <w:sz w:val="21"/>
        </w:rPr>
        <w:t xml:space="preserve">У разі коли із суб’єктивних або об’єктивних причин позбавлення приватного інтересу не відбулося, застосовуються </w:t>
      </w:r>
      <w:r>
        <w:rPr>
          <w:b/>
          <w:i/>
          <w:color w:val="231F20"/>
          <w:sz w:val="21"/>
        </w:rPr>
        <w:t>заходи зовніш- нього врегулювання конфлікту ін</w:t>
      </w:r>
      <w:r>
        <w:rPr>
          <w:b/>
          <w:i/>
          <w:color w:val="231F20"/>
          <w:sz w:val="21"/>
        </w:rPr>
        <w:t>тересів</w:t>
      </w:r>
      <w:r>
        <w:rPr>
          <w:color w:val="231F20"/>
          <w:sz w:val="21"/>
        </w:rPr>
        <w:t>, яких існує шість:</w:t>
      </w:r>
    </w:p>
    <w:p w14:paraId="2B3FD4DC" w14:textId="77777777" w:rsidR="00DE575E" w:rsidRDefault="002E7560">
      <w:pPr>
        <w:pStyle w:val="ListParagraph"/>
        <w:numPr>
          <w:ilvl w:val="0"/>
          <w:numId w:val="68"/>
        </w:numPr>
        <w:tabs>
          <w:tab w:val="left" w:pos="1101"/>
        </w:tabs>
        <w:spacing w:line="252" w:lineRule="auto"/>
        <w:ind w:right="128" w:firstLine="284"/>
        <w:jc w:val="both"/>
        <w:rPr>
          <w:sz w:val="21"/>
        </w:rPr>
      </w:pPr>
      <w:r>
        <w:rPr>
          <w:i/>
          <w:color w:val="231F20"/>
          <w:sz w:val="21"/>
        </w:rPr>
        <w:t xml:space="preserve">усунення особи </w:t>
      </w:r>
      <w:r>
        <w:rPr>
          <w:color w:val="231F20"/>
          <w:sz w:val="21"/>
        </w:rPr>
        <w:t>від виконання завдання, учинення дій, ухва- лення рішення чи участі в його</w:t>
      </w:r>
      <w:r>
        <w:rPr>
          <w:color w:val="231F20"/>
          <w:spacing w:val="-6"/>
          <w:sz w:val="21"/>
        </w:rPr>
        <w:t xml:space="preserve"> </w:t>
      </w:r>
      <w:r>
        <w:rPr>
          <w:color w:val="231F20"/>
          <w:sz w:val="21"/>
        </w:rPr>
        <w:t>ухваленні;</w:t>
      </w:r>
    </w:p>
    <w:p w14:paraId="4AD5C26E" w14:textId="77777777" w:rsidR="00DE575E" w:rsidRDefault="002E7560">
      <w:pPr>
        <w:pStyle w:val="ListParagraph"/>
        <w:numPr>
          <w:ilvl w:val="0"/>
          <w:numId w:val="68"/>
        </w:numPr>
        <w:tabs>
          <w:tab w:val="left" w:pos="1101"/>
        </w:tabs>
        <w:spacing w:line="252" w:lineRule="auto"/>
        <w:ind w:right="127" w:firstLine="284"/>
        <w:jc w:val="both"/>
        <w:rPr>
          <w:sz w:val="21"/>
        </w:rPr>
      </w:pPr>
      <w:r>
        <w:rPr>
          <w:i/>
          <w:color w:val="231F20"/>
          <w:sz w:val="21"/>
        </w:rPr>
        <w:t xml:space="preserve">застосування зовнішнього контролю </w:t>
      </w:r>
      <w:r>
        <w:rPr>
          <w:color w:val="231F20"/>
          <w:sz w:val="21"/>
        </w:rPr>
        <w:t xml:space="preserve">за виконанням особою владних повноважень (утілюється у формі перевірки іншим праців- ником органу стану чи </w:t>
      </w:r>
      <w:r>
        <w:rPr>
          <w:color w:val="231F20"/>
          <w:spacing w:val="-3"/>
          <w:sz w:val="21"/>
        </w:rPr>
        <w:t xml:space="preserve">результатів </w:t>
      </w:r>
      <w:r>
        <w:rPr>
          <w:color w:val="231F20"/>
          <w:sz w:val="21"/>
        </w:rPr>
        <w:t>виконання завдань, перевірки рішень</w:t>
      </w:r>
      <w:r>
        <w:rPr>
          <w:color w:val="231F20"/>
          <w:spacing w:val="-10"/>
          <w:sz w:val="21"/>
        </w:rPr>
        <w:t xml:space="preserve"> </w:t>
      </w:r>
      <w:r>
        <w:rPr>
          <w:color w:val="231F20"/>
          <w:sz w:val="21"/>
        </w:rPr>
        <w:t>чи</w:t>
      </w:r>
      <w:r>
        <w:rPr>
          <w:color w:val="231F20"/>
          <w:spacing w:val="-10"/>
          <w:sz w:val="21"/>
        </w:rPr>
        <w:t xml:space="preserve"> </w:t>
      </w:r>
      <w:r>
        <w:rPr>
          <w:color w:val="231F20"/>
          <w:sz w:val="21"/>
        </w:rPr>
        <w:t>проєктів</w:t>
      </w:r>
      <w:r>
        <w:rPr>
          <w:color w:val="231F20"/>
          <w:spacing w:val="-10"/>
          <w:sz w:val="21"/>
        </w:rPr>
        <w:t xml:space="preserve"> </w:t>
      </w:r>
      <w:r>
        <w:rPr>
          <w:color w:val="231F20"/>
          <w:sz w:val="21"/>
        </w:rPr>
        <w:t>рішень,</w:t>
      </w:r>
      <w:r>
        <w:rPr>
          <w:color w:val="231F20"/>
          <w:spacing w:val="-10"/>
          <w:sz w:val="21"/>
        </w:rPr>
        <w:t xml:space="preserve"> </w:t>
      </w:r>
      <w:r>
        <w:rPr>
          <w:color w:val="231F20"/>
          <w:sz w:val="21"/>
        </w:rPr>
        <w:t>виконання</w:t>
      </w:r>
      <w:r>
        <w:rPr>
          <w:color w:val="231F20"/>
          <w:spacing w:val="-10"/>
          <w:sz w:val="21"/>
        </w:rPr>
        <w:t xml:space="preserve"> </w:t>
      </w:r>
      <w:r>
        <w:rPr>
          <w:color w:val="231F20"/>
          <w:sz w:val="21"/>
        </w:rPr>
        <w:t>завдань</w:t>
      </w:r>
      <w:r>
        <w:rPr>
          <w:color w:val="231F20"/>
          <w:spacing w:val="-10"/>
          <w:sz w:val="21"/>
        </w:rPr>
        <w:t xml:space="preserve"> </w:t>
      </w:r>
      <w:r>
        <w:rPr>
          <w:color w:val="231F20"/>
          <w:sz w:val="21"/>
        </w:rPr>
        <w:t>у</w:t>
      </w:r>
      <w:r>
        <w:rPr>
          <w:color w:val="231F20"/>
          <w:spacing w:val="-10"/>
          <w:sz w:val="21"/>
        </w:rPr>
        <w:t xml:space="preserve"> </w:t>
      </w:r>
      <w:r>
        <w:rPr>
          <w:color w:val="231F20"/>
          <w:sz w:val="21"/>
        </w:rPr>
        <w:t>присутності</w:t>
      </w:r>
      <w:r>
        <w:rPr>
          <w:color w:val="231F20"/>
          <w:spacing w:val="-10"/>
          <w:sz w:val="21"/>
        </w:rPr>
        <w:t xml:space="preserve"> </w:t>
      </w:r>
      <w:r>
        <w:rPr>
          <w:color w:val="231F20"/>
          <w:sz w:val="21"/>
        </w:rPr>
        <w:t>іншого</w:t>
      </w:r>
    </w:p>
    <w:p w14:paraId="0590CCE2" w14:textId="4C6433F5" w:rsidR="00DE575E" w:rsidRDefault="002E7560">
      <w:pPr>
        <w:pStyle w:val="BodyText"/>
        <w:spacing w:before="6"/>
        <w:rPr>
          <w:sz w:val="26"/>
        </w:rPr>
      </w:pPr>
      <w:r>
        <w:rPr>
          <w:noProof/>
        </w:rPr>
        <mc:AlternateContent>
          <mc:Choice Requires="wps">
            <w:drawing>
              <wp:anchor distT="0" distB="0" distL="0" distR="0" simplePos="0" relativeHeight="16672" behindDoc="0" locked="0" layoutInCell="1" allowOverlap="1" wp14:anchorId="6C37FC06" wp14:editId="6E0B8E6F">
                <wp:simplePos x="0" y="0"/>
                <wp:positionH relativeFrom="page">
                  <wp:posOffset>719455</wp:posOffset>
                </wp:positionH>
                <wp:positionV relativeFrom="paragraph">
                  <wp:posOffset>224790</wp:posOffset>
                </wp:positionV>
                <wp:extent cx="1080135" cy="0"/>
                <wp:effectExtent l="8255" t="8890" r="29210" b="29210"/>
                <wp:wrapTopAndBottom/>
                <wp:docPr id="33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EEEF0" id="Line_x0020_332" o:spid="_x0000_s1026" style="position:absolute;z-index: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7pt" to="141.7pt,1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" strokecolor="#231f20" strokeweight=".5pt">
                <w10:wrap type="topAndBottom" anchorx="page"/>
              </v:line>
            </w:pict>
          </mc:Fallback>
        </mc:AlternateContent>
      </w:r>
    </w:p>
    <w:p w14:paraId="1F10A231" w14:textId="77777777" w:rsidR="00DE575E" w:rsidRDefault="002E7560">
      <w:pPr>
        <w:spacing w:line="204" w:lineRule="auto"/>
        <w:ind w:left="533" w:right="123"/>
        <w:jc w:val="both"/>
        <w:rPr>
          <w:sz w:val="16"/>
        </w:rPr>
      </w:pPr>
      <w:r>
        <w:rPr>
          <w:color w:val="231F20"/>
          <w:position w:val="5"/>
          <w:sz w:val="9"/>
        </w:rPr>
        <w:t xml:space="preserve">1 </w:t>
      </w:r>
      <w:r>
        <w:rPr>
          <w:color w:val="231F20"/>
          <w:sz w:val="16"/>
        </w:rPr>
        <w:t>Суб’єкти, які отримали повідомлення пу</w:t>
      </w:r>
      <w:r>
        <w:rPr>
          <w:color w:val="231F20"/>
          <w:sz w:val="16"/>
        </w:rPr>
        <w:t>блічного службовця про наявність у нього конфлікту інтересів, мусять зробити таке: а) безпосередній керівник або керівник органу –  ухвалити  рішення  про  врегулювання  конфлікту  інтересів  та  повідомити  про нього службовця (упродовж двох робочих днів)</w:t>
      </w:r>
      <w:r>
        <w:rPr>
          <w:color w:val="231F20"/>
          <w:sz w:val="16"/>
        </w:rPr>
        <w:t xml:space="preserve">; б) НАЗК  –  роз’яснити  </w:t>
      </w:r>
      <w:r>
        <w:rPr>
          <w:color w:val="231F20"/>
          <w:spacing w:val="1"/>
          <w:sz w:val="16"/>
        </w:rPr>
        <w:t xml:space="preserve">служ-  </w:t>
      </w:r>
      <w:r>
        <w:rPr>
          <w:color w:val="231F20"/>
          <w:sz w:val="16"/>
        </w:rPr>
        <w:t>бовцеві порядок його дій щодо врегулювання конфлікту інтересів (упродовж семи робочих</w:t>
      </w:r>
      <w:r>
        <w:rPr>
          <w:color w:val="231F20"/>
          <w:spacing w:val="5"/>
          <w:sz w:val="16"/>
        </w:rPr>
        <w:t xml:space="preserve"> </w:t>
      </w:r>
      <w:r>
        <w:rPr>
          <w:color w:val="231F20"/>
          <w:spacing w:val="1"/>
          <w:sz w:val="16"/>
        </w:rPr>
        <w:t>днів).</w:t>
      </w:r>
    </w:p>
    <w:p w14:paraId="5C2AEC18" w14:textId="77777777" w:rsidR="00DE575E" w:rsidRDefault="002E7560">
      <w:pPr>
        <w:spacing w:before="28" w:line="204" w:lineRule="auto"/>
        <w:ind w:left="533" w:right="123"/>
        <w:jc w:val="both"/>
        <w:rPr>
          <w:sz w:val="16"/>
        </w:rPr>
      </w:pPr>
      <w:r>
        <w:rPr>
          <w:color w:val="231F20"/>
          <w:position w:val="5"/>
          <w:sz w:val="9"/>
        </w:rPr>
        <w:t xml:space="preserve">2 </w:t>
      </w:r>
      <w:r>
        <w:rPr>
          <w:color w:val="231F20"/>
          <w:sz w:val="16"/>
        </w:rPr>
        <w:t>Ужиття  заходів  щодо  врегулювання  конфлікту  інтересів  є  значною  мірою  умов- ним «</w:t>
      </w:r>
      <w:r>
        <w:rPr>
          <w:color w:val="231F20"/>
          <w:sz w:val="16"/>
          <w:u w:val="single" w:color="231F20"/>
        </w:rPr>
        <w:t>обов’язком</w:t>
      </w:r>
      <w:r>
        <w:rPr>
          <w:color w:val="231F20"/>
          <w:sz w:val="16"/>
        </w:rPr>
        <w:t xml:space="preserve">» (п. 4 ч. 1 </w:t>
      </w:r>
      <w:r>
        <w:rPr>
          <w:color w:val="231F20"/>
          <w:spacing w:val="-3"/>
          <w:sz w:val="16"/>
        </w:rPr>
        <w:t xml:space="preserve">ст. </w:t>
      </w:r>
      <w:r>
        <w:rPr>
          <w:color w:val="231F20"/>
          <w:sz w:val="16"/>
        </w:rPr>
        <w:t>28 Закону «П</w:t>
      </w:r>
      <w:r>
        <w:rPr>
          <w:color w:val="231F20"/>
          <w:sz w:val="16"/>
        </w:rPr>
        <w:t xml:space="preserve">ро запобігання корупції») публічного служ- бовця, оскільки самостійне врегулювання ним свого конфлікту  інтересів  </w:t>
      </w:r>
      <w:r>
        <w:rPr>
          <w:color w:val="231F20"/>
          <w:spacing w:val="1"/>
          <w:sz w:val="16"/>
        </w:rPr>
        <w:t xml:space="preserve">можливе  </w:t>
      </w:r>
      <w:r>
        <w:rPr>
          <w:color w:val="231F20"/>
          <w:sz w:val="16"/>
        </w:rPr>
        <w:t xml:space="preserve">лише в один спосіб – через відмову від приватного інтересу, яка цілком </w:t>
      </w:r>
      <w:r>
        <w:rPr>
          <w:color w:val="231F20"/>
          <w:spacing w:val="1"/>
          <w:sz w:val="16"/>
        </w:rPr>
        <w:t xml:space="preserve">справедливо       </w:t>
      </w:r>
      <w:r>
        <w:rPr>
          <w:color w:val="231F20"/>
          <w:sz w:val="16"/>
        </w:rPr>
        <w:t>(і більш слушно) визнається як право функці</w:t>
      </w:r>
      <w:r>
        <w:rPr>
          <w:color w:val="231F20"/>
          <w:sz w:val="16"/>
        </w:rPr>
        <w:t xml:space="preserve">онера (ч. 2 </w:t>
      </w:r>
      <w:r>
        <w:rPr>
          <w:color w:val="231F20"/>
          <w:spacing w:val="-3"/>
          <w:sz w:val="16"/>
        </w:rPr>
        <w:t xml:space="preserve">ст. </w:t>
      </w:r>
      <w:r>
        <w:rPr>
          <w:color w:val="231F20"/>
          <w:sz w:val="16"/>
        </w:rPr>
        <w:t>29 Закону «Про запобігання корупції»).</w:t>
      </w:r>
    </w:p>
    <w:p w14:paraId="75B03AB1" w14:textId="77777777" w:rsidR="00DE575E" w:rsidRDefault="00DE575E">
      <w:pPr>
        <w:pStyle w:val="BodyText"/>
        <w:spacing w:before="7"/>
        <w:rPr>
          <w:sz w:val="12"/>
        </w:rPr>
      </w:pPr>
    </w:p>
    <w:p w14:paraId="04C8A0AD" w14:textId="77777777" w:rsidR="00DE575E" w:rsidRDefault="002E7560">
      <w:pPr>
        <w:spacing w:before="92"/>
        <w:ind w:left="533"/>
        <w:rPr>
          <w:rFonts w:ascii="Times New Roman"/>
          <w:sz w:val="20"/>
        </w:rPr>
      </w:pPr>
      <w:r>
        <w:rPr>
          <w:rFonts w:ascii="Times New Roman"/>
          <w:color w:val="231F20"/>
          <w:sz w:val="20"/>
        </w:rPr>
        <w:t>424</w:t>
      </w:r>
    </w:p>
    <w:p w14:paraId="1FC8B071" w14:textId="77777777" w:rsidR="00DE575E" w:rsidRDefault="00DE575E">
      <w:pPr>
        <w:rPr>
          <w:rFonts w:ascii="Times New Roman"/>
          <w:sz w:val="20"/>
        </w:rPr>
        <w:sectPr w:rsidR="00DE575E">
          <w:pgSz w:w="8510" w:h="12760"/>
          <w:pgMar w:top="660" w:right="720" w:bottom="280" w:left="600" w:header="720" w:footer="720" w:gutter="0"/>
          <w:cols w:space="720"/>
        </w:sectPr>
      </w:pPr>
    </w:p>
    <w:p w14:paraId="71259D3D"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4B0E2439" w14:textId="69D78C1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ACC7322" wp14:editId="56468134">
                <wp:extent cx="4140200" cy="6350"/>
                <wp:effectExtent l="0" t="0" r="12700" b="6350"/>
                <wp:docPr id="33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32" name="Line 33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626767" id="Group_x0020_33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IuAf3H4CAACYBQAADgAA&#10;AAAAAAAAAAAAAAAsAgAAZHJzL2Uyb0RvYy54bWxQSwECLQAUAAYACAAAACEATKewkNkAAAADAQAA&#10;DwAAAAAAAAAAAAAAAADWBAAAZHJzL2Rvd25yZXYueG1sUEsFBgAAAAAEAAQA8wAAANwFAAAAAA==&#10;">
                <v:line id="Line_x0020_33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LWxcUAAADcAAAADwAAAGRycy9kb3ducmV2LnhtbESP0WrCQBRE3wv9h+UW+lLqRgMi0VVE&#10;EKQPWk0/4Jq9JsHduzG7mujXdwsFH4eZOcPMFr014katrx0rGA4SEMSF0zWXCn7y9ecEhA/IGo1j&#10;UnAnD4v568sMM+063tPtEEoRIewzVFCF0GRS+qIii37gGuLonVxrMUTZllK32EW4NXKUJGNpsea4&#10;UGFDq4qK8+FqFeSXj2C+d1+my3fHVB4v2/Rx3Sr1/tYvpyAC9eEZ/m9vtII0HcHfmXgE5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7LWxcUAAADcAAAADwAAAAAAAAAA&#10;AAAAAAChAgAAZHJzL2Rvd25yZXYueG1sUEsFBgAAAAAEAAQA+QAAAJMDAAAAAA==&#10;" strokecolor="#231f20" strokeweight=".5pt"/>
                <w10:anchorlock/>
              </v:group>
            </w:pict>
          </mc:Fallback>
        </mc:AlternateContent>
      </w:r>
    </w:p>
    <w:p w14:paraId="78906A4E" w14:textId="77777777" w:rsidR="00DE575E" w:rsidRDefault="00DE575E">
      <w:pPr>
        <w:pStyle w:val="BodyText"/>
        <w:spacing w:before="7"/>
        <w:rPr>
          <w:rFonts w:ascii="AdonisC"/>
          <w:i/>
          <w:sz w:val="19"/>
        </w:rPr>
      </w:pPr>
    </w:p>
    <w:p w14:paraId="574B3D1A" w14:textId="77777777" w:rsidR="00DE575E" w:rsidRDefault="002E7560">
      <w:pPr>
        <w:pStyle w:val="BodyText"/>
        <w:spacing w:before="1" w:line="252" w:lineRule="auto"/>
        <w:ind w:left="250"/>
      </w:pPr>
      <w:r>
        <w:rPr>
          <w:color w:val="231F20"/>
        </w:rPr>
        <w:t>працівника органу або участі уповноваженої особи НАЗК у роботі колегіального органу у статусі спостерігача та без права голосу</w:t>
      </w:r>
      <w:r>
        <w:rPr>
          <w:color w:val="231F20"/>
          <w:position w:val="7"/>
          <w:sz w:val="12"/>
        </w:rPr>
        <w:t>1</w:t>
      </w:r>
      <w:r>
        <w:rPr>
          <w:color w:val="231F20"/>
        </w:rPr>
        <w:t>);</w:t>
      </w:r>
    </w:p>
    <w:p w14:paraId="7C73F791" w14:textId="77777777" w:rsidR="00DE575E" w:rsidRDefault="002E7560">
      <w:pPr>
        <w:pStyle w:val="ListParagraph"/>
        <w:numPr>
          <w:ilvl w:val="0"/>
          <w:numId w:val="67"/>
        </w:numPr>
        <w:tabs>
          <w:tab w:val="left" w:pos="818"/>
        </w:tabs>
        <w:ind w:firstLine="283"/>
        <w:rPr>
          <w:sz w:val="21"/>
        </w:rPr>
      </w:pPr>
      <w:r>
        <w:rPr>
          <w:i/>
          <w:color w:val="231F20"/>
          <w:sz w:val="21"/>
        </w:rPr>
        <w:t>обмеження доступу особи до певної</w:t>
      </w:r>
      <w:r>
        <w:rPr>
          <w:i/>
          <w:color w:val="231F20"/>
          <w:spacing w:val="-7"/>
          <w:sz w:val="21"/>
        </w:rPr>
        <w:t xml:space="preserve"> </w:t>
      </w:r>
      <w:r>
        <w:rPr>
          <w:i/>
          <w:color w:val="231F20"/>
          <w:sz w:val="21"/>
        </w:rPr>
        <w:t>інформації</w:t>
      </w:r>
      <w:r>
        <w:rPr>
          <w:color w:val="231F20"/>
          <w:sz w:val="21"/>
        </w:rPr>
        <w:t>;</w:t>
      </w:r>
    </w:p>
    <w:p w14:paraId="07ED6FD0" w14:textId="77777777" w:rsidR="00DE575E" w:rsidRDefault="002E7560">
      <w:pPr>
        <w:pStyle w:val="ListParagraph"/>
        <w:numPr>
          <w:ilvl w:val="0"/>
          <w:numId w:val="67"/>
        </w:numPr>
        <w:tabs>
          <w:tab w:val="left" w:pos="818"/>
        </w:tabs>
        <w:spacing w:before="12"/>
        <w:ind w:firstLine="283"/>
        <w:rPr>
          <w:sz w:val="21"/>
        </w:rPr>
      </w:pPr>
      <w:r>
        <w:rPr>
          <w:i/>
          <w:color w:val="231F20"/>
          <w:sz w:val="21"/>
        </w:rPr>
        <w:t>перегляд обсягу службових</w:t>
      </w:r>
      <w:r>
        <w:rPr>
          <w:i/>
          <w:color w:val="231F20"/>
          <w:spacing w:val="-5"/>
          <w:sz w:val="21"/>
        </w:rPr>
        <w:t xml:space="preserve"> </w:t>
      </w:r>
      <w:r>
        <w:rPr>
          <w:i/>
          <w:color w:val="231F20"/>
          <w:sz w:val="21"/>
        </w:rPr>
        <w:t>повноважень</w:t>
      </w:r>
      <w:r>
        <w:rPr>
          <w:color w:val="231F20"/>
          <w:sz w:val="21"/>
        </w:rPr>
        <w:t>;</w:t>
      </w:r>
    </w:p>
    <w:p w14:paraId="3AE73509" w14:textId="77777777" w:rsidR="00DE575E" w:rsidRDefault="002E7560">
      <w:pPr>
        <w:pStyle w:val="ListParagraph"/>
        <w:numPr>
          <w:ilvl w:val="0"/>
          <w:numId w:val="67"/>
        </w:numPr>
        <w:tabs>
          <w:tab w:val="left" w:pos="818"/>
        </w:tabs>
        <w:spacing w:before="13" w:line="252" w:lineRule="auto"/>
        <w:ind w:right="411" w:firstLine="283"/>
        <w:jc w:val="both"/>
        <w:rPr>
          <w:sz w:val="21"/>
        </w:rPr>
      </w:pPr>
      <w:r>
        <w:rPr>
          <w:i/>
          <w:color w:val="231F20"/>
          <w:sz w:val="21"/>
        </w:rPr>
        <w:t xml:space="preserve">переведення особи на іншу посаду </w:t>
      </w:r>
      <w:r>
        <w:rPr>
          <w:color w:val="231F20"/>
          <w:sz w:val="21"/>
        </w:rPr>
        <w:t>(якщо вона відповідає її особистим і професійним якостям та є</w:t>
      </w:r>
      <w:r>
        <w:rPr>
          <w:color w:val="231F20"/>
          <w:spacing w:val="-5"/>
          <w:sz w:val="21"/>
        </w:rPr>
        <w:t xml:space="preserve"> </w:t>
      </w:r>
      <w:r>
        <w:rPr>
          <w:color w:val="231F20"/>
          <w:sz w:val="21"/>
        </w:rPr>
        <w:t>вакантною);</w:t>
      </w:r>
    </w:p>
    <w:p w14:paraId="52EA7621" w14:textId="77777777" w:rsidR="00DE575E" w:rsidRDefault="002E7560">
      <w:pPr>
        <w:pStyle w:val="ListParagraph"/>
        <w:numPr>
          <w:ilvl w:val="0"/>
          <w:numId w:val="67"/>
        </w:numPr>
        <w:tabs>
          <w:tab w:val="left" w:pos="818"/>
        </w:tabs>
        <w:ind w:firstLine="283"/>
        <w:rPr>
          <w:sz w:val="21"/>
        </w:rPr>
      </w:pPr>
      <w:r>
        <w:rPr>
          <w:i/>
          <w:color w:val="231F20"/>
          <w:sz w:val="21"/>
        </w:rPr>
        <w:t>звільнення</w:t>
      </w:r>
      <w:r>
        <w:rPr>
          <w:color w:val="231F20"/>
          <w:sz w:val="21"/>
        </w:rPr>
        <w:t>.</w:t>
      </w:r>
    </w:p>
    <w:p w14:paraId="07C2C45B" w14:textId="77777777" w:rsidR="00DE575E" w:rsidRDefault="002E7560">
      <w:pPr>
        <w:pStyle w:val="BodyText"/>
        <w:spacing w:before="13"/>
        <w:ind w:left="533"/>
      </w:pPr>
      <w:r>
        <w:rPr>
          <w:color w:val="231F20"/>
        </w:rPr>
        <w:t>Щодо умов застосування цих заходів варто зауважити таке:</w:t>
      </w:r>
    </w:p>
    <w:p w14:paraId="55F38DE8" w14:textId="77777777" w:rsidR="00DE575E" w:rsidRDefault="002E7560">
      <w:pPr>
        <w:pStyle w:val="ListParagraph"/>
        <w:numPr>
          <w:ilvl w:val="0"/>
          <w:numId w:val="66"/>
        </w:numPr>
        <w:tabs>
          <w:tab w:val="left" w:pos="818"/>
        </w:tabs>
        <w:spacing w:before="13" w:line="252" w:lineRule="auto"/>
        <w:ind w:right="410" w:firstLine="283"/>
        <w:rPr>
          <w:sz w:val="21"/>
        </w:rPr>
      </w:pPr>
      <w:r>
        <w:rPr>
          <w:color w:val="231F20"/>
          <w:sz w:val="21"/>
        </w:rPr>
        <w:t>кожен із них може застосовуватися для врегулювання як потенційного, так і реального конфлікту</w:t>
      </w:r>
      <w:r>
        <w:rPr>
          <w:color w:val="231F20"/>
          <w:spacing w:val="-5"/>
          <w:sz w:val="21"/>
        </w:rPr>
        <w:t xml:space="preserve"> </w:t>
      </w:r>
      <w:r>
        <w:rPr>
          <w:color w:val="231F20"/>
          <w:sz w:val="21"/>
        </w:rPr>
        <w:t>інтересів;</w:t>
      </w:r>
    </w:p>
    <w:p w14:paraId="7B97D59E" w14:textId="77777777" w:rsidR="00DE575E" w:rsidRDefault="002E7560">
      <w:pPr>
        <w:pStyle w:val="ListParagraph"/>
        <w:numPr>
          <w:ilvl w:val="0"/>
          <w:numId w:val="66"/>
        </w:numPr>
        <w:tabs>
          <w:tab w:val="left" w:pos="818"/>
        </w:tabs>
        <w:spacing w:line="252" w:lineRule="auto"/>
        <w:ind w:right="410" w:firstLine="283"/>
        <w:rPr>
          <w:sz w:val="21"/>
        </w:rPr>
      </w:pPr>
      <w:r>
        <w:rPr>
          <w:color w:val="231F20"/>
          <w:sz w:val="21"/>
        </w:rPr>
        <w:t xml:space="preserve">перші два </w:t>
      </w:r>
      <w:r>
        <w:rPr>
          <w:color w:val="231F20"/>
          <w:spacing w:val="-2"/>
          <w:sz w:val="21"/>
        </w:rPr>
        <w:t xml:space="preserve">заходи </w:t>
      </w:r>
      <w:r>
        <w:rPr>
          <w:color w:val="231F20"/>
          <w:sz w:val="21"/>
        </w:rPr>
        <w:t>застосовуються у випадках, коли конфлікт інтересів</w:t>
      </w:r>
      <w:r>
        <w:rPr>
          <w:color w:val="231F20"/>
          <w:spacing w:val="-6"/>
          <w:sz w:val="21"/>
        </w:rPr>
        <w:t xml:space="preserve"> </w:t>
      </w:r>
      <w:r>
        <w:rPr>
          <w:color w:val="231F20"/>
          <w:sz w:val="21"/>
        </w:rPr>
        <w:t>має</w:t>
      </w:r>
      <w:r>
        <w:rPr>
          <w:color w:val="231F20"/>
          <w:spacing w:val="-5"/>
          <w:sz w:val="21"/>
        </w:rPr>
        <w:t xml:space="preserve"> </w:t>
      </w:r>
      <w:r>
        <w:rPr>
          <w:color w:val="231F20"/>
          <w:sz w:val="21"/>
        </w:rPr>
        <w:t>тимчасовий</w:t>
      </w:r>
      <w:r>
        <w:rPr>
          <w:color w:val="231F20"/>
          <w:spacing w:val="-6"/>
          <w:sz w:val="21"/>
        </w:rPr>
        <w:t xml:space="preserve"> </w:t>
      </w:r>
      <w:r>
        <w:rPr>
          <w:color w:val="231F20"/>
          <w:sz w:val="21"/>
        </w:rPr>
        <w:t>характер</w:t>
      </w:r>
      <w:r>
        <w:rPr>
          <w:color w:val="231F20"/>
          <w:position w:val="7"/>
          <w:sz w:val="12"/>
        </w:rPr>
        <w:t>2</w:t>
      </w:r>
      <w:r>
        <w:rPr>
          <w:color w:val="231F20"/>
          <w:sz w:val="21"/>
        </w:rPr>
        <w:t>,</w:t>
      </w:r>
      <w:r>
        <w:rPr>
          <w:color w:val="231F20"/>
          <w:spacing w:val="-6"/>
          <w:sz w:val="21"/>
        </w:rPr>
        <w:t xml:space="preserve"> </w:t>
      </w:r>
      <w:r>
        <w:rPr>
          <w:color w:val="231F20"/>
          <w:sz w:val="21"/>
        </w:rPr>
        <w:t>а</w:t>
      </w:r>
      <w:r>
        <w:rPr>
          <w:color w:val="231F20"/>
          <w:spacing w:val="-5"/>
          <w:sz w:val="21"/>
        </w:rPr>
        <w:t xml:space="preserve"> </w:t>
      </w:r>
      <w:r>
        <w:rPr>
          <w:color w:val="231F20"/>
          <w:sz w:val="21"/>
        </w:rPr>
        <w:t>чотири</w:t>
      </w:r>
      <w:r>
        <w:rPr>
          <w:color w:val="231F20"/>
          <w:spacing w:val="-6"/>
          <w:sz w:val="21"/>
        </w:rPr>
        <w:t xml:space="preserve"> </w:t>
      </w:r>
      <w:r>
        <w:rPr>
          <w:color w:val="231F20"/>
          <w:sz w:val="21"/>
        </w:rPr>
        <w:t>інших</w:t>
      </w:r>
      <w:r>
        <w:rPr>
          <w:color w:val="231F20"/>
          <w:spacing w:val="-5"/>
          <w:sz w:val="21"/>
        </w:rPr>
        <w:t xml:space="preserve"> </w:t>
      </w:r>
      <w:r>
        <w:rPr>
          <w:color w:val="231F20"/>
          <w:sz w:val="21"/>
        </w:rPr>
        <w:t>–</w:t>
      </w:r>
      <w:r>
        <w:rPr>
          <w:color w:val="231F20"/>
          <w:spacing w:val="-5"/>
          <w:sz w:val="21"/>
        </w:rPr>
        <w:t xml:space="preserve"> </w:t>
      </w:r>
      <w:r>
        <w:rPr>
          <w:color w:val="231F20"/>
          <w:sz w:val="21"/>
        </w:rPr>
        <w:t>лише</w:t>
      </w:r>
      <w:r>
        <w:rPr>
          <w:color w:val="231F20"/>
          <w:spacing w:val="-6"/>
          <w:sz w:val="21"/>
        </w:rPr>
        <w:t xml:space="preserve"> </w:t>
      </w:r>
      <w:r>
        <w:rPr>
          <w:color w:val="231F20"/>
          <w:sz w:val="21"/>
        </w:rPr>
        <w:t>коли</w:t>
      </w:r>
      <w:r>
        <w:rPr>
          <w:color w:val="231F20"/>
          <w:spacing w:val="-5"/>
          <w:sz w:val="21"/>
        </w:rPr>
        <w:t xml:space="preserve"> </w:t>
      </w:r>
      <w:r>
        <w:rPr>
          <w:color w:val="231F20"/>
          <w:sz w:val="21"/>
        </w:rPr>
        <w:t>він є</w:t>
      </w:r>
      <w:r>
        <w:rPr>
          <w:color w:val="231F20"/>
          <w:spacing w:val="-1"/>
          <w:sz w:val="21"/>
        </w:rPr>
        <w:t xml:space="preserve"> </w:t>
      </w:r>
      <w:r>
        <w:rPr>
          <w:color w:val="231F20"/>
          <w:sz w:val="21"/>
        </w:rPr>
        <w:t>постійним;</w:t>
      </w:r>
    </w:p>
    <w:p w14:paraId="0AEB1486" w14:textId="77777777" w:rsidR="00DE575E" w:rsidRDefault="002E7560">
      <w:pPr>
        <w:pStyle w:val="ListParagraph"/>
        <w:numPr>
          <w:ilvl w:val="0"/>
          <w:numId w:val="66"/>
        </w:numPr>
        <w:tabs>
          <w:tab w:val="left" w:pos="818"/>
        </w:tabs>
        <w:spacing w:line="252" w:lineRule="auto"/>
        <w:ind w:right="410" w:firstLine="283"/>
        <w:rPr>
          <w:sz w:val="21"/>
        </w:rPr>
      </w:pPr>
      <w:r>
        <w:rPr>
          <w:color w:val="231F20"/>
          <w:sz w:val="21"/>
        </w:rPr>
        <w:t>здійснення пу</w:t>
      </w:r>
      <w:r>
        <w:rPr>
          <w:color w:val="231F20"/>
          <w:sz w:val="21"/>
        </w:rPr>
        <w:t xml:space="preserve">блічних повноважень під зовнішнім контролем, переведення на іншу посаду та звільнення – це заходи, що застосо- вуються за відсутності можливості використати інші </w:t>
      </w:r>
      <w:r>
        <w:rPr>
          <w:color w:val="231F20"/>
          <w:spacing w:val="-2"/>
          <w:sz w:val="21"/>
        </w:rPr>
        <w:t xml:space="preserve">заходи </w:t>
      </w:r>
      <w:r>
        <w:rPr>
          <w:color w:val="231F20"/>
          <w:sz w:val="21"/>
        </w:rPr>
        <w:t>врегу- лювання; при цьому диференціювати їх потрібно саме на основі характеру конфлікту</w:t>
      </w:r>
      <w:r>
        <w:rPr>
          <w:color w:val="231F20"/>
          <w:sz w:val="21"/>
        </w:rPr>
        <w:t xml:space="preserve"> (тимчасовий – зовнішній контроль; постій- ний – переведення або</w:t>
      </w:r>
      <w:r>
        <w:rPr>
          <w:color w:val="231F20"/>
          <w:spacing w:val="-4"/>
          <w:sz w:val="21"/>
        </w:rPr>
        <w:t xml:space="preserve"> </w:t>
      </w:r>
      <w:r>
        <w:rPr>
          <w:color w:val="231F20"/>
          <w:sz w:val="21"/>
        </w:rPr>
        <w:t>звільнення);</w:t>
      </w:r>
    </w:p>
    <w:p w14:paraId="777F118C" w14:textId="77777777" w:rsidR="00DE575E" w:rsidRDefault="002E7560">
      <w:pPr>
        <w:pStyle w:val="ListParagraph"/>
        <w:numPr>
          <w:ilvl w:val="0"/>
          <w:numId w:val="66"/>
        </w:numPr>
        <w:tabs>
          <w:tab w:val="left" w:pos="818"/>
        </w:tabs>
        <w:spacing w:before="3" w:line="252" w:lineRule="auto"/>
        <w:ind w:right="411" w:firstLine="283"/>
        <w:rPr>
          <w:sz w:val="21"/>
        </w:rPr>
      </w:pPr>
      <w:r>
        <w:rPr>
          <w:color w:val="231F20"/>
          <w:sz w:val="21"/>
        </w:rPr>
        <w:t>усунення</w:t>
      </w:r>
      <w:r>
        <w:rPr>
          <w:color w:val="231F20"/>
          <w:spacing w:val="-15"/>
          <w:sz w:val="21"/>
        </w:rPr>
        <w:t xml:space="preserve"> </w:t>
      </w:r>
      <w:r>
        <w:rPr>
          <w:color w:val="231F20"/>
          <w:sz w:val="21"/>
        </w:rPr>
        <w:t>від</w:t>
      </w:r>
      <w:r>
        <w:rPr>
          <w:color w:val="231F20"/>
          <w:spacing w:val="-15"/>
          <w:sz w:val="21"/>
        </w:rPr>
        <w:t xml:space="preserve"> </w:t>
      </w:r>
      <w:r>
        <w:rPr>
          <w:color w:val="231F20"/>
          <w:sz w:val="21"/>
        </w:rPr>
        <w:t>виконання</w:t>
      </w:r>
      <w:r>
        <w:rPr>
          <w:color w:val="231F20"/>
          <w:spacing w:val="-15"/>
          <w:sz w:val="21"/>
        </w:rPr>
        <w:t xml:space="preserve"> </w:t>
      </w:r>
      <w:r>
        <w:rPr>
          <w:color w:val="231F20"/>
          <w:sz w:val="21"/>
        </w:rPr>
        <w:t>завдань,</w:t>
      </w:r>
      <w:r>
        <w:rPr>
          <w:color w:val="231F20"/>
          <w:spacing w:val="-15"/>
          <w:sz w:val="21"/>
        </w:rPr>
        <w:t xml:space="preserve"> </w:t>
      </w:r>
      <w:r>
        <w:rPr>
          <w:color w:val="231F20"/>
          <w:sz w:val="21"/>
        </w:rPr>
        <w:t>обмеження</w:t>
      </w:r>
      <w:r>
        <w:rPr>
          <w:color w:val="231F20"/>
          <w:spacing w:val="-15"/>
          <w:sz w:val="21"/>
        </w:rPr>
        <w:t xml:space="preserve"> </w:t>
      </w:r>
      <w:r>
        <w:rPr>
          <w:color w:val="231F20"/>
          <w:sz w:val="21"/>
        </w:rPr>
        <w:t>доступу</w:t>
      </w:r>
      <w:r>
        <w:rPr>
          <w:color w:val="231F20"/>
          <w:spacing w:val="-15"/>
          <w:sz w:val="21"/>
        </w:rPr>
        <w:t xml:space="preserve"> </w:t>
      </w:r>
      <w:r>
        <w:rPr>
          <w:color w:val="231F20"/>
          <w:sz w:val="21"/>
        </w:rPr>
        <w:t>до</w:t>
      </w:r>
      <w:r>
        <w:rPr>
          <w:color w:val="231F20"/>
          <w:spacing w:val="-15"/>
          <w:sz w:val="21"/>
        </w:rPr>
        <w:t xml:space="preserve"> </w:t>
      </w:r>
      <w:r>
        <w:rPr>
          <w:color w:val="231F20"/>
          <w:sz w:val="21"/>
        </w:rPr>
        <w:t>інфор- мації або перегляд обсягу повноважень застосовується, лише якщо існує можливість покладення відповідних функцій на інш</w:t>
      </w:r>
      <w:r>
        <w:rPr>
          <w:color w:val="231F20"/>
          <w:sz w:val="21"/>
        </w:rPr>
        <w:t>ого служ- бовця.</w:t>
      </w:r>
    </w:p>
    <w:p w14:paraId="60D122E4" w14:textId="77777777" w:rsidR="00DE575E" w:rsidRDefault="002E7560">
      <w:pPr>
        <w:pStyle w:val="BodyText"/>
        <w:spacing w:before="2" w:line="252" w:lineRule="auto"/>
        <w:ind w:left="250" w:right="410" w:firstLine="283"/>
        <w:jc w:val="both"/>
      </w:pPr>
      <w:r>
        <w:rPr>
          <w:color w:val="231F20"/>
        </w:rPr>
        <w:t>Оскільки наявність у публічного службовця</w:t>
      </w:r>
      <w:r>
        <w:rPr>
          <w:color w:val="231F20"/>
          <w:position w:val="7"/>
          <w:sz w:val="12"/>
        </w:rPr>
        <w:t xml:space="preserve">3 </w:t>
      </w:r>
      <w:r>
        <w:rPr>
          <w:color w:val="231F20"/>
        </w:rPr>
        <w:t xml:space="preserve">підприємства або корпоративних прав також може породжувати конфлікт інтересів, для недопущення останнього Закон «Про запобігання  корупції»  </w:t>
      </w:r>
      <w:r>
        <w:rPr>
          <w:color w:val="231F20"/>
          <w:spacing w:val="-5"/>
        </w:rPr>
        <w:t xml:space="preserve">(ст. </w:t>
      </w:r>
      <w:r>
        <w:rPr>
          <w:color w:val="231F20"/>
        </w:rPr>
        <w:t>36) вимагає передати їх в</w:t>
      </w:r>
      <w:r>
        <w:rPr>
          <w:color w:val="231F20"/>
          <w:spacing w:val="-3"/>
        </w:rPr>
        <w:t xml:space="preserve"> </w:t>
      </w:r>
      <w:r>
        <w:rPr>
          <w:color w:val="231F20"/>
        </w:rPr>
        <w:t>управління.</w:t>
      </w:r>
    </w:p>
    <w:p w14:paraId="5234688F" w14:textId="77777777" w:rsidR="00DE575E" w:rsidRDefault="002E7560">
      <w:pPr>
        <w:pStyle w:val="BodyText"/>
        <w:spacing w:before="2"/>
        <w:ind w:left="533"/>
      </w:pPr>
      <w:r>
        <w:rPr>
          <w:color w:val="231F20"/>
        </w:rPr>
        <w:t>При цьому слід дотримуватися вимог щодо:</w:t>
      </w:r>
    </w:p>
    <w:p w14:paraId="3F9C06B9" w14:textId="77777777" w:rsidR="00DE575E" w:rsidRDefault="002E7560">
      <w:pPr>
        <w:pStyle w:val="ListParagraph"/>
        <w:numPr>
          <w:ilvl w:val="0"/>
          <w:numId w:val="70"/>
        </w:numPr>
        <w:tabs>
          <w:tab w:val="left" w:pos="818"/>
        </w:tabs>
        <w:spacing w:before="13" w:line="252" w:lineRule="auto"/>
        <w:ind w:right="411" w:firstLine="283"/>
        <w:rPr>
          <w:sz w:val="21"/>
        </w:rPr>
      </w:pPr>
      <w:r>
        <w:rPr>
          <w:i/>
          <w:color w:val="231F20"/>
          <w:sz w:val="21"/>
        </w:rPr>
        <w:t>строків</w:t>
      </w:r>
      <w:r>
        <w:rPr>
          <w:color w:val="231F20"/>
          <w:sz w:val="21"/>
        </w:rPr>
        <w:t>: здійснити передання упродовж 30 днів після призна- чення на посаду;</w:t>
      </w:r>
    </w:p>
    <w:p w14:paraId="5FBAB9B4" w14:textId="077C91C2" w:rsidR="00DE575E" w:rsidRDefault="002E7560">
      <w:pPr>
        <w:pStyle w:val="BodyText"/>
        <w:rPr>
          <w:sz w:val="24"/>
        </w:rPr>
      </w:pPr>
      <w:r>
        <w:rPr>
          <w:noProof/>
        </w:rPr>
        <mc:AlternateContent>
          <mc:Choice Requires="wps">
            <w:drawing>
              <wp:anchor distT="0" distB="0" distL="0" distR="0" simplePos="0" relativeHeight="16720" behindDoc="0" locked="0" layoutInCell="1" allowOverlap="1" wp14:anchorId="00ADB89A" wp14:editId="51F38D32">
                <wp:simplePos x="0" y="0"/>
                <wp:positionH relativeFrom="page">
                  <wp:posOffset>539750</wp:posOffset>
                </wp:positionH>
                <wp:positionV relativeFrom="paragraph">
                  <wp:posOffset>206375</wp:posOffset>
                </wp:positionV>
                <wp:extent cx="1080135" cy="0"/>
                <wp:effectExtent l="6350" t="15875" r="31115" b="22225"/>
                <wp:wrapTopAndBottom/>
                <wp:docPr id="33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E7720" id="Line_x0020_329" o:spid="_x0000_s1026" style="position:absolute;z-index:1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25pt" to="127.55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" strokecolor="#231f20" strokeweight=".5pt">
                <w10:wrap type="topAndBottom" anchorx="page"/>
              </v:line>
            </w:pict>
          </mc:Fallback>
        </mc:AlternateContent>
      </w:r>
    </w:p>
    <w:p w14:paraId="197307B5"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Остання форма застосовується за рішенням колегіального органу в разі, коли неу-  часть особи, яка має конфлікт інтересів, призведе до втрати правомочності такого органу.</w:t>
      </w:r>
    </w:p>
    <w:p w14:paraId="6CFB7202" w14:textId="77777777" w:rsidR="00DE575E" w:rsidRDefault="002E7560">
      <w:pPr>
        <w:spacing w:before="26" w:line="204" w:lineRule="auto"/>
        <w:ind w:left="250" w:right="410"/>
        <w:jc w:val="both"/>
        <w:rPr>
          <w:sz w:val="16"/>
        </w:rPr>
      </w:pPr>
      <w:r>
        <w:rPr>
          <w:color w:val="231F20"/>
          <w:position w:val="5"/>
          <w:sz w:val="9"/>
        </w:rPr>
        <w:t xml:space="preserve">2     </w:t>
      </w:r>
      <w:r>
        <w:rPr>
          <w:color w:val="231F20"/>
          <w:sz w:val="16"/>
        </w:rPr>
        <w:t xml:space="preserve">НАЗК 2017 року роз’яснювало, що захід «зовнішній контроль» може застосовуватися </w:t>
      </w:r>
      <w:r>
        <w:rPr>
          <w:color w:val="231F20"/>
          <w:sz w:val="16"/>
        </w:rPr>
        <w:t>як за тимчасового, так і постійного характеру конфлікту інтересів. Ми ж підтримуємо позицію професора О. Дудорова про те, що природа заходу корелює саме з тимчасовим конфліктом інтересів (Науково-практичний коментар до Закону України «Про запобі- гання кор</w:t>
      </w:r>
      <w:r>
        <w:rPr>
          <w:color w:val="231F20"/>
          <w:sz w:val="16"/>
        </w:rPr>
        <w:t>упції» / Банчук О. та ін.; наук. ред. Хавронюк М.</w:t>
      </w:r>
      <w:r>
        <w:rPr>
          <w:color w:val="231F20"/>
          <w:spacing w:val="-25"/>
          <w:sz w:val="16"/>
        </w:rPr>
        <w:t xml:space="preserve"> </w:t>
      </w:r>
      <w:r>
        <w:rPr>
          <w:color w:val="231F20"/>
          <w:sz w:val="16"/>
        </w:rPr>
        <w:t>Київ: Ваіте, 2018. С. 247).</w:t>
      </w:r>
    </w:p>
    <w:p w14:paraId="0551ACF8" w14:textId="77777777" w:rsidR="00DE575E" w:rsidRDefault="002E7560">
      <w:pPr>
        <w:spacing w:before="32" w:line="204" w:lineRule="auto"/>
        <w:ind w:left="250" w:right="411"/>
        <w:jc w:val="both"/>
        <w:rPr>
          <w:sz w:val="16"/>
        </w:rPr>
      </w:pPr>
      <w:r>
        <w:rPr>
          <w:color w:val="231F20"/>
          <w:position w:val="5"/>
          <w:sz w:val="9"/>
        </w:rPr>
        <w:t xml:space="preserve">3 </w:t>
      </w:r>
      <w:r>
        <w:rPr>
          <w:color w:val="231F20"/>
          <w:sz w:val="16"/>
        </w:rPr>
        <w:t>Відповідна вимога не поширюється на депутатів місцевих рад (крім тих, які здійсню- ють</w:t>
      </w:r>
      <w:r>
        <w:rPr>
          <w:color w:val="231F20"/>
          <w:spacing w:val="-8"/>
          <w:sz w:val="16"/>
        </w:rPr>
        <w:t xml:space="preserve"> </w:t>
      </w:r>
      <w:r>
        <w:rPr>
          <w:color w:val="231F20"/>
          <w:sz w:val="16"/>
        </w:rPr>
        <w:t>свої</w:t>
      </w:r>
      <w:r>
        <w:rPr>
          <w:color w:val="231F20"/>
          <w:spacing w:val="-8"/>
          <w:sz w:val="16"/>
        </w:rPr>
        <w:t xml:space="preserve"> </w:t>
      </w:r>
      <w:r>
        <w:rPr>
          <w:color w:val="231F20"/>
          <w:sz w:val="16"/>
        </w:rPr>
        <w:t>повноваження</w:t>
      </w:r>
      <w:r>
        <w:rPr>
          <w:color w:val="231F20"/>
          <w:spacing w:val="-8"/>
          <w:sz w:val="16"/>
        </w:rPr>
        <w:t xml:space="preserve"> </w:t>
      </w:r>
      <w:r>
        <w:rPr>
          <w:color w:val="231F20"/>
          <w:sz w:val="16"/>
        </w:rPr>
        <w:t>у</w:t>
      </w:r>
      <w:r>
        <w:rPr>
          <w:color w:val="231F20"/>
          <w:spacing w:val="-8"/>
          <w:sz w:val="16"/>
        </w:rPr>
        <w:t xml:space="preserve"> </w:t>
      </w:r>
      <w:r>
        <w:rPr>
          <w:color w:val="231F20"/>
          <w:sz w:val="16"/>
        </w:rPr>
        <w:t>відповідній</w:t>
      </w:r>
      <w:r>
        <w:rPr>
          <w:color w:val="231F20"/>
          <w:spacing w:val="-8"/>
          <w:sz w:val="16"/>
        </w:rPr>
        <w:t xml:space="preserve"> </w:t>
      </w:r>
      <w:r>
        <w:rPr>
          <w:color w:val="231F20"/>
          <w:sz w:val="16"/>
        </w:rPr>
        <w:t>раді</w:t>
      </w:r>
      <w:r>
        <w:rPr>
          <w:color w:val="231F20"/>
          <w:spacing w:val="-8"/>
          <w:sz w:val="16"/>
        </w:rPr>
        <w:t xml:space="preserve"> </w:t>
      </w:r>
      <w:r>
        <w:rPr>
          <w:color w:val="231F20"/>
          <w:sz w:val="16"/>
        </w:rPr>
        <w:t>на</w:t>
      </w:r>
      <w:r>
        <w:rPr>
          <w:color w:val="231F20"/>
          <w:spacing w:val="-7"/>
          <w:sz w:val="16"/>
        </w:rPr>
        <w:t xml:space="preserve"> </w:t>
      </w:r>
      <w:r>
        <w:rPr>
          <w:color w:val="231F20"/>
          <w:sz w:val="16"/>
        </w:rPr>
        <w:t>постійній</w:t>
      </w:r>
      <w:r>
        <w:rPr>
          <w:color w:val="231F20"/>
          <w:spacing w:val="-8"/>
          <w:sz w:val="16"/>
        </w:rPr>
        <w:t xml:space="preserve"> </w:t>
      </w:r>
      <w:r>
        <w:rPr>
          <w:color w:val="231F20"/>
          <w:sz w:val="16"/>
        </w:rPr>
        <w:t>основі)</w:t>
      </w:r>
      <w:r>
        <w:rPr>
          <w:color w:val="231F20"/>
          <w:spacing w:val="-8"/>
          <w:sz w:val="16"/>
        </w:rPr>
        <w:t xml:space="preserve"> </w:t>
      </w:r>
      <w:r>
        <w:rPr>
          <w:color w:val="231F20"/>
          <w:sz w:val="16"/>
        </w:rPr>
        <w:t>та</w:t>
      </w:r>
      <w:r>
        <w:rPr>
          <w:color w:val="231F20"/>
          <w:spacing w:val="-8"/>
          <w:sz w:val="16"/>
        </w:rPr>
        <w:t xml:space="preserve"> </w:t>
      </w:r>
      <w:r>
        <w:rPr>
          <w:color w:val="231F20"/>
          <w:sz w:val="16"/>
        </w:rPr>
        <w:t>патронатних</w:t>
      </w:r>
      <w:r>
        <w:rPr>
          <w:color w:val="231F20"/>
          <w:spacing w:val="-7"/>
          <w:sz w:val="16"/>
        </w:rPr>
        <w:t xml:space="preserve"> </w:t>
      </w:r>
      <w:r>
        <w:rPr>
          <w:color w:val="231F20"/>
          <w:sz w:val="16"/>
        </w:rPr>
        <w:t>парламент- ських</w:t>
      </w:r>
      <w:r>
        <w:rPr>
          <w:color w:val="231F20"/>
          <w:sz w:val="16"/>
        </w:rPr>
        <w:t xml:space="preserve"> службовців (консультантів народних депутатів, працівників секретаріатів спікера чи його заступників, працівників секретаріатів депутатських</w:t>
      </w:r>
      <w:r>
        <w:rPr>
          <w:color w:val="231F20"/>
          <w:spacing w:val="-9"/>
          <w:sz w:val="16"/>
        </w:rPr>
        <w:t xml:space="preserve"> </w:t>
      </w:r>
      <w:r>
        <w:rPr>
          <w:color w:val="231F20"/>
          <w:sz w:val="16"/>
        </w:rPr>
        <w:t>фракцій/груп).</w:t>
      </w:r>
    </w:p>
    <w:p w14:paraId="29654B7C" w14:textId="77777777" w:rsidR="00DE575E" w:rsidRDefault="00DE575E">
      <w:pPr>
        <w:pStyle w:val="BodyText"/>
        <w:spacing w:before="6"/>
        <w:rPr>
          <w:sz w:val="12"/>
        </w:rPr>
      </w:pPr>
    </w:p>
    <w:p w14:paraId="2E0DA007" w14:textId="77777777" w:rsidR="00DE575E" w:rsidRDefault="002E7560">
      <w:pPr>
        <w:spacing w:before="91"/>
        <w:ind w:right="411"/>
        <w:jc w:val="right"/>
        <w:rPr>
          <w:rFonts w:ascii="Times New Roman"/>
          <w:sz w:val="20"/>
        </w:rPr>
      </w:pPr>
      <w:r>
        <w:rPr>
          <w:rFonts w:ascii="Times New Roman"/>
          <w:color w:val="231F20"/>
          <w:w w:val="90"/>
          <w:sz w:val="20"/>
        </w:rPr>
        <w:t>425</w:t>
      </w:r>
    </w:p>
    <w:p w14:paraId="5BC0E71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26D255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03E0387" w14:textId="11D9CDC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38F936F" wp14:editId="7B83FEFB">
                <wp:extent cx="4140200" cy="6350"/>
                <wp:effectExtent l="0" t="0" r="12700" b="6350"/>
                <wp:docPr id="32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29" name="Line 32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B331E3" id="Group_x0020_32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mY/DH4CAACYBQAADgAA&#10;AAAAAAAAAAAAAAAsAgAAZHJzL2Uyb0RvYy54bWxQSwECLQAUAAYACAAAACEATKewkNkAAAADAQAA&#10;DwAAAAAAAAAAAAAAAADWBAAAZHJzL2Rvd25yZXYueG1sUEsFBgAAAAAEAAQA8wAAANwFAAAAAA==&#10;">
                <v:line id="Line_x0020_32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SacYAAADcAAAADwAAAGRycy9kb3ducmV2LnhtbESP0WrCQBRE3wv9h+UWfCm60UDR6CpF&#10;EMQHrcYPuGavSeju3ZhdTdqv7xYKfRxm5gyzWPXWiAe1vnasYDxKQBAXTtdcKjjnm+EUhA/IGo1j&#10;UvBFHlbL56cFZtp1fKTHKZQiQthnqKAKocmk9EVFFv3INcTRu7rWYoiyLaVusYtwa+QkSd6kxZrj&#10;QoUNrSsqPk93qyC/vQbzcdiZLj9cUnm57dPv+16pwUv/PgcRqA//4b/2VitIJz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DP0mnGAAAA3AAAAA8AAAAAAAAA&#10;AAAAAAAAoQIAAGRycy9kb3ducmV2LnhtbFBLBQYAAAAABAAEAPkAAACUAwAAAAA=&#10;" strokecolor="#231f20" strokeweight=".5pt"/>
                <w10:anchorlock/>
              </v:group>
            </w:pict>
          </mc:Fallback>
        </mc:AlternateContent>
      </w:r>
    </w:p>
    <w:p w14:paraId="6619F6C1" w14:textId="77777777" w:rsidR="00DE575E" w:rsidRDefault="00DE575E">
      <w:pPr>
        <w:pStyle w:val="BodyText"/>
        <w:spacing w:before="7"/>
        <w:rPr>
          <w:rFonts w:ascii="AdonisC"/>
          <w:i/>
          <w:sz w:val="11"/>
        </w:rPr>
      </w:pPr>
    </w:p>
    <w:p w14:paraId="0D1C4A78" w14:textId="77777777" w:rsidR="00DE575E" w:rsidRDefault="002E7560">
      <w:pPr>
        <w:pStyle w:val="ListParagraph"/>
        <w:numPr>
          <w:ilvl w:val="0"/>
          <w:numId w:val="65"/>
        </w:numPr>
        <w:tabs>
          <w:tab w:val="left" w:pos="1101"/>
        </w:tabs>
        <w:spacing w:before="101" w:line="252" w:lineRule="auto"/>
        <w:ind w:right="126" w:firstLine="284"/>
        <w:rPr>
          <w:sz w:val="21"/>
        </w:rPr>
      </w:pPr>
      <w:r>
        <w:rPr>
          <w:i/>
          <w:color w:val="231F20"/>
          <w:spacing w:val="-3"/>
          <w:sz w:val="21"/>
        </w:rPr>
        <w:t>суб’єкта</w:t>
      </w:r>
      <w:r>
        <w:rPr>
          <w:color w:val="231F20"/>
          <w:spacing w:val="-3"/>
          <w:sz w:val="21"/>
        </w:rPr>
        <w:t xml:space="preserve">: </w:t>
      </w:r>
      <w:r>
        <w:rPr>
          <w:color w:val="231F20"/>
          <w:sz w:val="21"/>
        </w:rPr>
        <w:t xml:space="preserve">не передавати належні службовцеві підприємства або корпоративні права в управління членам сім’ї або </w:t>
      </w:r>
      <w:r>
        <w:rPr>
          <w:color w:val="231F20"/>
          <w:spacing w:val="-3"/>
          <w:sz w:val="21"/>
        </w:rPr>
        <w:t xml:space="preserve">суб’єктам </w:t>
      </w:r>
      <w:r>
        <w:rPr>
          <w:color w:val="231F20"/>
          <w:sz w:val="21"/>
        </w:rPr>
        <w:t>господарювання, в яких працюють члени їх</w:t>
      </w:r>
      <w:r>
        <w:rPr>
          <w:color w:val="231F20"/>
          <w:spacing w:val="-6"/>
          <w:sz w:val="21"/>
        </w:rPr>
        <w:t xml:space="preserve"> </w:t>
      </w:r>
      <w:r>
        <w:rPr>
          <w:color w:val="231F20"/>
          <w:sz w:val="21"/>
        </w:rPr>
        <w:t>сім’ї;</w:t>
      </w:r>
    </w:p>
    <w:p w14:paraId="1161A53A" w14:textId="77777777" w:rsidR="00DE575E" w:rsidRDefault="002E7560">
      <w:pPr>
        <w:pStyle w:val="ListParagraph"/>
        <w:numPr>
          <w:ilvl w:val="0"/>
          <w:numId w:val="65"/>
        </w:numPr>
        <w:tabs>
          <w:tab w:val="left" w:pos="1101"/>
        </w:tabs>
        <w:spacing w:line="252" w:lineRule="auto"/>
        <w:ind w:right="129" w:firstLine="284"/>
        <w:rPr>
          <w:sz w:val="21"/>
        </w:rPr>
      </w:pPr>
      <w:r>
        <w:rPr>
          <w:i/>
          <w:color w:val="231F20"/>
          <w:sz w:val="21"/>
        </w:rPr>
        <w:t>форми</w:t>
      </w:r>
      <w:r>
        <w:rPr>
          <w:color w:val="231F20"/>
          <w:sz w:val="21"/>
        </w:rPr>
        <w:t>:</w:t>
      </w:r>
      <w:r>
        <w:rPr>
          <w:color w:val="231F20"/>
          <w:spacing w:val="-15"/>
          <w:sz w:val="21"/>
        </w:rPr>
        <w:t xml:space="preserve"> </w:t>
      </w:r>
      <w:r>
        <w:rPr>
          <w:color w:val="231F20"/>
          <w:sz w:val="21"/>
        </w:rPr>
        <w:t>за</w:t>
      </w:r>
      <w:r>
        <w:rPr>
          <w:color w:val="231F20"/>
          <w:spacing w:val="-15"/>
          <w:sz w:val="21"/>
        </w:rPr>
        <w:t xml:space="preserve"> </w:t>
      </w:r>
      <w:r>
        <w:rPr>
          <w:color w:val="231F20"/>
          <w:sz w:val="21"/>
        </w:rPr>
        <w:t>допомогою</w:t>
      </w:r>
      <w:r>
        <w:rPr>
          <w:color w:val="231F20"/>
          <w:spacing w:val="-15"/>
          <w:sz w:val="21"/>
        </w:rPr>
        <w:t xml:space="preserve"> </w:t>
      </w:r>
      <w:r>
        <w:rPr>
          <w:color w:val="231F20"/>
          <w:sz w:val="21"/>
        </w:rPr>
        <w:t>укладення</w:t>
      </w:r>
      <w:r>
        <w:rPr>
          <w:color w:val="231F20"/>
          <w:spacing w:val="-15"/>
          <w:sz w:val="21"/>
        </w:rPr>
        <w:t xml:space="preserve"> </w:t>
      </w:r>
      <w:r>
        <w:rPr>
          <w:color w:val="231F20"/>
          <w:sz w:val="21"/>
        </w:rPr>
        <w:t>договору</w:t>
      </w:r>
      <w:r>
        <w:rPr>
          <w:color w:val="231F20"/>
          <w:spacing w:val="-15"/>
          <w:sz w:val="21"/>
        </w:rPr>
        <w:t xml:space="preserve"> </w:t>
      </w:r>
      <w:r>
        <w:rPr>
          <w:color w:val="231F20"/>
          <w:sz w:val="21"/>
        </w:rPr>
        <w:t>управління</w:t>
      </w:r>
      <w:r>
        <w:rPr>
          <w:color w:val="231F20"/>
          <w:spacing w:val="-15"/>
          <w:sz w:val="21"/>
        </w:rPr>
        <w:t xml:space="preserve"> </w:t>
      </w:r>
      <w:r>
        <w:rPr>
          <w:color w:val="231F20"/>
          <w:sz w:val="21"/>
        </w:rPr>
        <w:t>м</w:t>
      </w:r>
      <w:r>
        <w:rPr>
          <w:color w:val="231F20"/>
          <w:sz w:val="21"/>
        </w:rPr>
        <w:t>айном, договору про управління цінними паперами, іншими фінансовими інструментами і грошовими активами або договору про створення венчурного пайового інвестиційного</w:t>
      </w:r>
      <w:r>
        <w:rPr>
          <w:color w:val="231F20"/>
          <w:spacing w:val="-2"/>
          <w:sz w:val="21"/>
        </w:rPr>
        <w:t xml:space="preserve"> </w:t>
      </w:r>
      <w:r>
        <w:rPr>
          <w:color w:val="231F20"/>
          <w:sz w:val="21"/>
        </w:rPr>
        <w:t>фонду;</w:t>
      </w:r>
    </w:p>
    <w:p w14:paraId="6A0C6E6C" w14:textId="77777777" w:rsidR="00DE575E" w:rsidRDefault="002E7560">
      <w:pPr>
        <w:pStyle w:val="ListParagraph"/>
        <w:numPr>
          <w:ilvl w:val="0"/>
          <w:numId w:val="65"/>
        </w:numPr>
        <w:tabs>
          <w:tab w:val="left" w:pos="1101"/>
        </w:tabs>
        <w:spacing w:before="2" w:line="252" w:lineRule="auto"/>
        <w:ind w:right="128" w:firstLine="284"/>
        <w:rPr>
          <w:sz w:val="21"/>
        </w:rPr>
      </w:pPr>
      <w:r>
        <w:rPr>
          <w:i/>
          <w:color w:val="231F20"/>
          <w:sz w:val="21"/>
        </w:rPr>
        <w:t>повідомлення</w:t>
      </w:r>
      <w:r>
        <w:rPr>
          <w:color w:val="231F20"/>
          <w:sz w:val="21"/>
        </w:rPr>
        <w:t xml:space="preserve">: упродовж одного дня після передання підпри- ємства або корпоративних прав в управління слід письмово повідо- мити про це НАЗК, надавши нотаріально засвідчену копію укладе- ного </w:t>
      </w:r>
      <w:r>
        <w:rPr>
          <w:color w:val="231F20"/>
          <w:spacing w:val="-3"/>
          <w:sz w:val="21"/>
        </w:rPr>
        <w:t>договору.</w:t>
      </w:r>
    </w:p>
    <w:p w14:paraId="79F50298" w14:textId="77777777" w:rsidR="00DE575E" w:rsidRDefault="00DE575E">
      <w:pPr>
        <w:pStyle w:val="BodyText"/>
        <w:rPr>
          <w:sz w:val="24"/>
        </w:rPr>
      </w:pPr>
    </w:p>
    <w:p w14:paraId="4771677F" w14:textId="77777777" w:rsidR="00DE575E" w:rsidRDefault="00DE575E">
      <w:pPr>
        <w:pStyle w:val="BodyText"/>
        <w:spacing w:before="5"/>
        <w:rPr>
          <w:sz w:val="19"/>
        </w:rPr>
      </w:pPr>
    </w:p>
    <w:p w14:paraId="649C4ABA" w14:textId="77777777" w:rsidR="00DE575E" w:rsidRDefault="002E7560">
      <w:pPr>
        <w:pStyle w:val="Heading4"/>
        <w:numPr>
          <w:ilvl w:val="1"/>
          <w:numId w:val="83"/>
        </w:numPr>
        <w:tabs>
          <w:tab w:val="left" w:pos="1314"/>
        </w:tabs>
        <w:ind w:left="1313" w:hanging="410"/>
        <w:jc w:val="left"/>
      </w:pPr>
      <w:r>
        <w:rPr>
          <w:color w:val="231F20"/>
        </w:rPr>
        <w:t>Правила етичної поведінки публічних</w:t>
      </w:r>
      <w:r>
        <w:rPr>
          <w:color w:val="231F20"/>
          <w:spacing w:val="-9"/>
        </w:rPr>
        <w:t xml:space="preserve"> </w:t>
      </w:r>
      <w:r>
        <w:rPr>
          <w:color w:val="231F20"/>
        </w:rPr>
        <w:t>службовців</w:t>
      </w:r>
    </w:p>
    <w:p w14:paraId="5AEBA85F" w14:textId="77777777" w:rsidR="00DE575E" w:rsidRDefault="00DE575E">
      <w:pPr>
        <w:pStyle w:val="BodyText"/>
        <w:rPr>
          <w:b/>
          <w:sz w:val="26"/>
        </w:rPr>
      </w:pPr>
    </w:p>
    <w:p w14:paraId="1DA72672" w14:textId="77777777" w:rsidR="00DE575E" w:rsidRDefault="002E7560">
      <w:pPr>
        <w:pStyle w:val="BodyText"/>
        <w:spacing w:before="224" w:line="252" w:lineRule="auto"/>
        <w:ind w:left="533" w:right="128" w:firstLine="283"/>
        <w:jc w:val="both"/>
      </w:pPr>
      <w:r>
        <w:rPr>
          <w:b/>
          <w:i/>
          <w:color w:val="231F20"/>
        </w:rPr>
        <w:t xml:space="preserve">Етика </w:t>
      </w:r>
      <w:r>
        <w:rPr>
          <w:color w:val="231F20"/>
        </w:rPr>
        <w:t>– учення пр</w:t>
      </w:r>
      <w:r>
        <w:rPr>
          <w:color w:val="231F20"/>
        </w:rPr>
        <w:t>о мораль та моральність, їх сутність і  місце    в житті людини. Звернення до вказаної філософської дисципліни    в цьому розділі зумовлене двома</w:t>
      </w:r>
      <w:r>
        <w:rPr>
          <w:color w:val="231F20"/>
          <w:spacing w:val="-6"/>
        </w:rPr>
        <w:t xml:space="preserve"> </w:t>
      </w:r>
      <w:r>
        <w:rPr>
          <w:color w:val="231F20"/>
        </w:rPr>
        <w:t>чинниками:</w:t>
      </w:r>
    </w:p>
    <w:p w14:paraId="307AA667" w14:textId="77777777" w:rsidR="00DE575E" w:rsidRDefault="002E7560">
      <w:pPr>
        <w:pStyle w:val="ListParagraph"/>
        <w:numPr>
          <w:ilvl w:val="0"/>
          <w:numId w:val="64"/>
        </w:numPr>
        <w:tabs>
          <w:tab w:val="left" w:pos="1101"/>
        </w:tabs>
        <w:spacing w:before="2" w:line="252" w:lineRule="auto"/>
        <w:ind w:right="127" w:firstLine="284"/>
        <w:rPr>
          <w:sz w:val="21"/>
        </w:rPr>
      </w:pPr>
      <w:r>
        <w:rPr>
          <w:color w:val="231F20"/>
          <w:sz w:val="21"/>
        </w:rPr>
        <w:t xml:space="preserve">по-перше, значною превентивною антикорупційною роллю етичних </w:t>
      </w:r>
      <w:r>
        <w:rPr>
          <w:color w:val="231F20"/>
          <w:spacing w:val="-3"/>
          <w:sz w:val="21"/>
        </w:rPr>
        <w:t xml:space="preserve">вимог, </w:t>
      </w:r>
      <w:r>
        <w:rPr>
          <w:color w:val="231F20"/>
          <w:sz w:val="21"/>
        </w:rPr>
        <w:t xml:space="preserve">адже зазвичай лише сам факт їх </w:t>
      </w:r>
      <w:r>
        <w:rPr>
          <w:color w:val="231F20"/>
          <w:sz w:val="21"/>
        </w:rPr>
        <w:t xml:space="preserve">дотримання убез- печує публічного службовця від учинення корупційних або пов’я- заних  із  корупцією  правопорушень.  </w:t>
      </w:r>
      <w:r>
        <w:rPr>
          <w:color w:val="231F20"/>
          <w:spacing w:val="-5"/>
          <w:sz w:val="21"/>
        </w:rPr>
        <w:t xml:space="preserve">Тому  </w:t>
      </w:r>
      <w:r>
        <w:rPr>
          <w:color w:val="231F20"/>
          <w:sz w:val="21"/>
        </w:rPr>
        <w:t>цілком  справедливим   є віднесення правил етичної поведінки до юридичних засобів запобігання корупції міжнародними та національними</w:t>
      </w:r>
      <w:r>
        <w:rPr>
          <w:color w:val="231F20"/>
          <w:sz w:val="21"/>
        </w:rPr>
        <w:t xml:space="preserve"> правовими актами </w:t>
      </w:r>
      <w:r>
        <w:rPr>
          <w:color w:val="231F20"/>
          <w:spacing w:val="-5"/>
          <w:sz w:val="21"/>
        </w:rPr>
        <w:t xml:space="preserve">(ст. </w:t>
      </w:r>
      <w:r>
        <w:rPr>
          <w:color w:val="231F20"/>
          <w:spacing w:val="-6"/>
          <w:sz w:val="21"/>
        </w:rPr>
        <w:t xml:space="preserve">ст. </w:t>
      </w:r>
      <w:r>
        <w:rPr>
          <w:color w:val="231F20"/>
          <w:sz w:val="21"/>
        </w:rPr>
        <w:t xml:space="preserve">8, 11 Конвенції ООН проти корупції, розділ 6 Закону </w:t>
      </w:r>
      <w:r>
        <w:rPr>
          <w:color w:val="231F20"/>
          <w:spacing w:val="-3"/>
          <w:sz w:val="21"/>
        </w:rPr>
        <w:t xml:space="preserve">України </w:t>
      </w:r>
      <w:r>
        <w:rPr>
          <w:color w:val="231F20"/>
          <w:sz w:val="21"/>
        </w:rPr>
        <w:t xml:space="preserve">«Про запобігання корупції»). Водночас слід визнати більш широку прикладну сферу впорядкувального впливу етичних </w:t>
      </w:r>
      <w:r>
        <w:rPr>
          <w:color w:val="231F20"/>
          <w:spacing w:val="-3"/>
          <w:sz w:val="21"/>
        </w:rPr>
        <w:t xml:space="preserve">вимог, </w:t>
      </w:r>
      <w:r>
        <w:rPr>
          <w:color w:val="231F20"/>
          <w:sz w:val="21"/>
        </w:rPr>
        <w:t>які протистоять учиненню більшості правопорушень н</w:t>
      </w:r>
      <w:r>
        <w:rPr>
          <w:color w:val="231F20"/>
          <w:sz w:val="21"/>
        </w:rPr>
        <w:t>а публічній службі та забезпечують дотримання службової</w:t>
      </w:r>
      <w:r>
        <w:rPr>
          <w:color w:val="231F20"/>
          <w:spacing w:val="-11"/>
          <w:sz w:val="21"/>
        </w:rPr>
        <w:t xml:space="preserve"> </w:t>
      </w:r>
      <w:r>
        <w:rPr>
          <w:color w:val="231F20"/>
          <w:sz w:val="21"/>
        </w:rPr>
        <w:t>дисципліни;</w:t>
      </w:r>
    </w:p>
    <w:p w14:paraId="6C4E7FBA" w14:textId="77777777" w:rsidR="00DE575E" w:rsidRDefault="002E7560">
      <w:pPr>
        <w:pStyle w:val="ListParagraph"/>
        <w:numPr>
          <w:ilvl w:val="0"/>
          <w:numId w:val="64"/>
        </w:numPr>
        <w:tabs>
          <w:tab w:val="left" w:pos="1101"/>
        </w:tabs>
        <w:spacing w:before="5" w:line="252" w:lineRule="auto"/>
        <w:ind w:right="132" w:firstLine="284"/>
        <w:rPr>
          <w:sz w:val="21"/>
        </w:rPr>
      </w:pPr>
      <w:r>
        <w:rPr>
          <w:color w:val="231F20"/>
          <w:spacing w:val="-5"/>
          <w:sz w:val="21"/>
        </w:rPr>
        <w:t xml:space="preserve">по-друге, існує </w:t>
      </w:r>
      <w:r>
        <w:rPr>
          <w:color w:val="231F20"/>
          <w:spacing w:val="-4"/>
          <w:sz w:val="21"/>
        </w:rPr>
        <w:t xml:space="preserve">низка </w:t>
      </w:r>
      <w:r>
        <w:rPr>
          <w:color w:val="231F20"/>
          <w:spacing w:val="-5"/>
          <w:sz w:val="21"/>
        </w:rPr>
        <w:t xml:space="preserve">організаційно-професійних чинників, які зумовлюють підвищене морально-етичне навантаження </w:t>
      </w:r>
      <w:r>
        <w:rPr>
          <w:color w:val="231F20"/>
          <w:spacing w:val="-3"/>
          <w:sz w:val="21"/>
        </w:rPr>
        <w:t xml:space="preserve">на </w:t>
      </w:r>
      <w:r>
        <w:rPr>
          <w:color w:val="231F20"/>
          <w:spacing w:val="-5"/>
          <w:sz w:val="21"/>
        </w:rPr>
        <w:t xml:space="preserve">публічних службовців, вимагаючи окремої </w:t>
      </w:r>
      <w:r>
        <w:rPr>
          <w:color w:val="231F20"/>
          <w:spacing w:val="-4"/>
          <w:sz w:val="21"/>
        </w:rPr>
        <w:t xml:space="preserve">уваги </w:t>
      </w:r>
      <w:r>
        <w:rPr>
          <w:color w:val="231F20"/>
          <w:spacing w:val="-3"/>
          <w:sz w:val="21"/>
        </w:rPr>
        <w:t xml:space="preserve">до </w:t>
      </w:r>
      <w:r>
        <w:rPr>
          <w:color w:val="231F20"/>
          <w:spacing w:val="-4"/>
          <w:sz w:val="21"/>
        </w:rPr>
        <w:t xml:space="preserve">правил </w:t>
      </w:r>
      <w:r>
        <w:rPr>
          <w:color w:val="231F20"/>
          <w:spacing w:val="-3"/>
          <w:sz w:val="21"/>
        </w:rPr>
        <w:t xml:space="preserve">їх </w:t>
      </w:r>
      <w:r>
        <w:rPr>
          <w:color w:val="231F20"/>
          <w:spacing w:val="-5"/>
          <w:sz w:val="21"/>
        </w:rPr>
        <w:t>етичної</w:t>
      </w:r>
      <w:r>
        <w:rPr>
          <w:color w:val="231F20"/>
          <w:spacing w:val="-29"/>
          <w:sz w:val="21"/>
        </w:rPr>
        <w:t xml:space="preserve"> </w:t>
      </w:r>
      <w:r>
        <w:rPr>
          <w:color w:val="231F20"/>
          <w:spacing w:val="-5"/>
          <w:sz w:val="21"/>
        </w:rPr>
        <w:t>поведі</w:t>
      </w:r>
      <w:r>
        <w:rPr>
          <w:color w:val="231F20"/>
          <w:spacing w:val="-5"/>
          <w:sz w:val="21"/>
        </w:rPr>
        <w:t>нки.</w:t>
      </w:r>
    </w:p>
    <w:p w14:paraId="1A86F942" w14:textId="77777777" w:rsidR="00DE575E" w:rsidRDefault="002E7560">
      <w:pPr>
        <w:pStyle w:val="BodyText"/>
        <w:spacing w:before="2" w:line="252" w:lineRule="auto"/>
        <w:ind w:left="533" w:right="127" w:firstLine="283"/>
        <w:jc w:val="both"/>
      </w:pPr>
      <w:r>
        <w:rPr>
          <w:color w:val="231F20"/>
        </w:rPr>
        <w:t>Серед відповідних чинників – «ефект акваріуму»</w:t>
      </w:r>
      <w:r>
        <w:rPr>
          <w:color w:val="231F20"/>
          <w:position w:val="7"/>
          <w:sz w:val="12"/>
        </w:rPr>
        <w:t>1</w:t>
      </w:r>
      <w:r>
        <w:rPr>
          <w:color w:val="231F20"/>
        </w:rPr>
        <w:t>; негативні соціальні стереотипи у сприйнятті публічної служби та значна</w:t>
      </w:r>
    </w:p>
    <w:p w14:paraId="47152807" w14:textId="640DA8D2" w:rsidR="00DE575E" w:rsidRDefault="002E7560">
      <w:pPr>
        <w:pStyle w:val="BodyText"/>
        <w:spacing w:before="7"/>
        <w:rPr>
          <w:sz w:val="27"/>
        </w:rPr>
      </w:pPr>
      <w:r>
        <w:rPr>
          <w:noProof/>
        </w:rPr>
        <mc:AlternateContent>
          <mc:Choice Requires="wps">
            <w:drawing>
              <wp:anchor distT="0" distB="0" distL="0" distR="0" simplePos="0" relativeHeight="16768" behindDoc="0" locked="0" layoutInCell="1" allowOverlap="1" wp14:anchorId="6BDD51AA" wp14:editId="73BE3BEB">
                <wp:simplePos x="0" y="0"/>
                <wp:positionH relativeFrom="page">
                  <wp:posOffset>719455</wp:posOffset>
                </wp:positionH>
                <wp:positionV relativeFrom="paragraph">
                  <wp:posOffset>233045</wp:posOffset>
                </wp:positionV>
                <wp:extent cx="1080135" cy="0"/>
                <wp:effectExtent l="8255" t="17145" r="29210" b="20955"/>
                <wp:wrapTopAndBottom/>
                <wp:docPr id="32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37F58" id="Line_x0020_326" o:spid="_x0000_s1026" style="position:absolute;z-index: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5pt" to="141.7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" strokecolor="#231f20" strokeweight=".5pt">
                <w10:wrap type="topAndBottom" anchorx="page"/>
              </v:line>
            </w:pict>
          </mc:Fallback>
        </mc:AlternateContent>
      </w:r>
    </w:p>
    <w:p w14:paraId="11AD6039"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Полягає в постійній увазі соціуму до публічних службовці, що часто виявляється у спостереженні за їх поведінкою в позаслужбовий період, супроводжується більш висо- кими критеріями оцінювання їх моральності та призводить до стабільної психологічної напруги </w:t>
      </w:r>
      <w:r>
        <w:rPr>
          <w:color w:val="231F20"/>
          <w:sz w:val="16"/>
        </w:rPr>
        <w:t>(зумовленої потребою повсякчасного самоконтролю).</w:t>
      </w:r>
    </w:p>
    <w:p w14:paraId="43512FB7" w14:textId="77777777" w:rsidR="00DE575E" w:rsidRDefault="00DE575E">
      <w:pPr>
        <w:pStyle w:val="BodyText"/>
        <w:spacing w:before="2"/>
        <w:rPr>
          <w:sz w:val="12"/>
        </w:rPr>
      </w:pPr>
    </w:p>
    <w:p w14:paraId="1CA0647C" w14:textId="77777777" w:rsidR="00DE575E" w:rsidRDefault="002E7560">
      <w:pPr>
        <w:spacing w:before="92"/>
        <w:ind w:left="533"/>
        <w:rPr>
          <w:rFonts w:ascii="Times New Roman"/>
          <w:sz w:val="20"/>
        </w:rPr>
      </w:pPr>
      <w:r>
        <w:rPr>
          <w:rFonts w:ascii="Times New Roman"/>
          <w:color w:val="231F20"/>
          <w:sz w:val="20"/>
        </w:rPr>
        <w:t>426</w:t>
      </w:r>
    </w:p>
    <w:p w14:paraId="503BBD31" w14:textId="77777777" w:rsidR="00DE575E" w:rsidRDefault="00DE575E">
      <w:pPr>
        <w:rPr>
          <w:rFonts w:ascii="Times New Roman"/>
          <w:sz w:val="20"/>
        </w:rPr>
        <w:sectPr w:rsidR="00DE575E">
          <w:pgSz w:w="8510" w:h="12760"/>
          <w:pgMar w:top="660" w:right="720" w:bottom="280" w:left="600" w:header="720" w:footer="720" w:gutter="0"/>
          <w:cols w:space="720"/>
        </w:sectPr>
      </w:pPr>
    </w:p>
    <w:p w14:paraId="1ED5D9F8"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0D17B86B" w14:textId="1BED558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492D474" wp14:editId="4B65D01A">
                <wp:extent cx="4140200" cy="6350"/>
                <wp:effectExtent l="0" t="0" r="12700" b="6350"/>
                <wp:docPr id="32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26" name="Line 3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CFEC98" id="Group_x0020_3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Elenl/AgAAmAUAAA4A&#10;AAAAAAAAAAAAAAAALAIAAGRycy9lMm9Eb2MueG1sUEsBAi0AFAAGAAgAAAAhAEynsJDZAAAAAwEA&#10;AA8AAAAAAAAAAAAAAAAA1wQAAGRycy9kb3ducmV2LnhtbFBLBQYAAAAABAAEAPMAAADdBQAAAAA=&#10;">
                <v:line id="Line_x0020_3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BGG8YAAADcAAAADwAAAGRycy9kb3ducmV2LnhtbESP0WrCQBRE3wX/YblCX6RuakAkdRUR&#10;CuKDWuMHXLO3Seju3ZhdTdqv7woFH4eZOcMsVr014k6trx0reJskIIgLp2suFZzzj9c5CB+QNRrH&#10;pOCHPKyWw8ECM+06/qT7KZQiQthnqKAKocmk9EVFFv3ENcTR+3KtxRBlW0rdYhfh1shpksykxZrj&#10;QoUNbSoqvk83qyC/joM5Hnamyw+XVF6u+/T3tlfqZdSv30EE6sMz/N/eagXpdAaPM/EI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FQRhvGAAAA3AAAAA8AAAAAAAAA&#10;AAAAAAAAoQIAAGRycy9kb3ducmV2LnhtbFBLBQYAAAAABAAEAPkAAACUAwAAAAA=&#10;" strokecolor="#231f20" strokeweight=".5pt"/>
                <w10:anchorlock/>
              </v:group>
            </w:pict>
          </mc:Fallback>
        </mc:AlternateContent>
      </w:r>
    </w:p>
    <w:p w14:paraId="620A929F" w14:textId="77777777" w:rsidR="00DE575E" w:rsidRDefault="00DE575E">
      <w:pPr>
        <w:pStyle w:val="BodyText"/>
        <w:spacing w:before="7"/>
        <w:rPr>
          <w:rFonts w:ascii="AdonisC"/>
          <w:i/>
          <w:sz w:val="19"/>
        </w:rPr>
      </w:pPr>
    </w:p>
    <w:p w14:paraId="4AA7CEFA" w14:textId="77777777" w:rsidR="00DE575E" w:rsidRDefault="002E7560">
      <w:pPr>
        <w:pStyle w:val="BodyText"/>
        <w:spacing w:before="1" w:line="252" w:lineRule="auto"/>
        <w:ind w:left="250" w:right="410"/>
        <w:jc w:val="both"/>
      </w:pPr>
      <w:r>
        <w:rPr>
          <w:color w:val="231F20"/>
        </w:rPr>
        <w:t>конфліктність професійної честі; неспеціалізовані звернення та надмірні очікування з боку приватних осіб; можливість суперечно- стей</w:t>
      </w:r>
      <w:r>
        <w:rPr>
          <w:color w:val="231F20"/>
          <w:spacing w:val="-4"/>
        </w:rPr>
        <w:t xml:space="preserve"> </w:t>
      </w:r>
      <w:r>
        <w:rPr>
          <w:color w:val="231F20"/>
        </w:rPr>
        <w:t>між</w:t>
      </w:r>
      <w:r>
        <w:rPr>
          <w:color w:val="231F20"/>
          <w:spacing w:val="-4"/>
        </w:rPr>
        <w:t xml:space="preserve"> </w:t>
      </w:r>
      <w:r>
        <w:rPr>
          <w:color w:val="231F20"/>
        </w:rPr>
        <w:t>постконвенційною</w:t>
      </w:r>
      <w:r>
        <w:rPr>
          <w:color w:val="231F20"/>
          <w:spacing w:val="-5"/>
        </w:rPr>
        <w:t xml:space="preserve"> </w:t>
      </w:r>
      <w:r>
        <w:rPr>
          <w:color w:val="231F20"/>
        </w:rPr>
        <w:t>моральністю</w:t>
      </w:r>
      <w:r>
        <w:rPr>
          <w:color w:val="231F20"/>
          <w:spacing w:val="-4"/>
        </w:rPr>
        <w:t xml:space="preserve"> </w:t>
      </w:r>
      <w:r>
        <w:rPr>
          <w:color w:val="231F20"/>
        </w:rPr>
        <w:t>(за</w:t>
      </w:r>
      <w:r>
        <w:rPr>
          <w:color w:val="231F20"/>
          <w:spacing w:val="-4"/>
        </w:rPr>
        <w:t xml:space="preserve"> </w:t>
      </w:r>
      <w:r>
        <w:rPr>
          <w:color w:val="231F20"/>
        </w:rPr>
        <w:t>Л.</w:t>
      </w:r>
      <w:r>
        <w:rPr>
          <w:color w:val="231F20"/>
          <w:spacing w:val="-4"/>
        </w:rPr>
        <w:t xml:space="preserve"> </w:t>
      </w:r>
      <w:r>
        <w:rPr>
          <w:color w:val="231F20"/>
        </w:rPr>
        <w:t>Колбергом)</w:t>
      </w:r>
      <w:r>
        <w:rPr>
          <w:color w:val="231F20"/>
          <w:spacing w:val="-4"/>
        </w:rPr>
        <w:t xml:space="preserve"> </w:t>
      </w:r>
      <w:r>
        <w:rPr>
          <w:color w:val="231F20"/>
        </w:rPr>
        <w:t>і</w:t>
      </w:r>
      <w:r>
        <w:rPr>
          <w:color w:val="231F20"/>
          <w:spacing w:val="-6"/>
        </w:rPr>
        <w:t xml:space="preserve"> </w:t>
      </w:r>
      <w:r>
        <w:rPr>
          <w:color w:val="231F20"/>
        </w:rPr>
        <w:t>публіч- ним обов’язком; невідповідність соціальної місії публічної служби рівню її престижу</w:t>
      </w:r>
      <w:r>
        <w:rPr>
          <w:color w:val="231F20"/>
          <w:spacing w:val="-2"/>
        </w:rPr>
        <w:t xml:space="preserve"> </w:t>
      </w:r>
      <w:r>
        <w:rPr>
          <w:color w:val="231F20"/>
        </w:rPr>
        <w:t>тощо.</w:t>
      </w:r>
    </w:p>
    <w:p w14:paraId="22BC3845" w14:textId="77777777" w:rsidR="00DE575E" w:rsidRDefault="002E7560">
      <w:pPr>
        <w:pStyle w:val="BodyText"/>
        <w:spacing w:before="2" w:line="252" w:lineRule="auto"/>
        <w:ind w:left="250" w:right="409" w:firstLine="283"/>
        <w:jc w:val="both"/>
      </w:pPr>
      <w:r>
        <w:rPr>
          <w:color w:val="231F20"/>
        </w:rPr>
        <w:t>Загальні вимоги до поведінки публічних службовців встанов- люються Законом «Про запобігання корупції», який є правовою основою для кодексів чи стандартів проф</w:t>
      </w:r>
      <w:r>
        <w:rPr>
          <w:color w:val="231F20"/>
        </w:rPr>
        <w:t xml:space="preserve">есійної етики. Цей Закон уповноважив Національне агентство з питань  державної  служби на затвердження загальних правила етичної поведінки державних службовців та посадових осіб місцевого самоврядування, що </w:t>
      </w:r>
      <w:r>
        <w:rPr>
          <w:color w:val="231F20"/>
          <w:spacing w:val="-3"/>
        </w:rPr>
        <w:t xml:space="preserve">було </w:t>
      </w:r>
      <w:r>
        <w:rPr>
          <w:color w:val="231F20"/>
        </w:rPr>
        <w:t>здійснено</w:t>
      </w:r>
      <w:r>
        <w:rPr>
          <w:color w:val="231F20"/>
          <w:spacing w:val="-6"/>
        </w:rPr>
        <w:t xml:space="preserve"> </w:t>
      </w:r>
      <w:r>
        <w:rPr>
          <w:color w:val="231F20"/>
        </w:rPr>
        <w:t>Наказом</w:t>
      </w:r>
      <w:r>
        <w:rPr>
          <w:color w:val="231F20"/>
          <w:spacing w:val="-5"/>
        </w:rPr>
        <w:t xml:space="preserve"> </w:t>
      </w:r>
      <w:r>
        <w:rPr>
          <w:color w:val="231F20"/>
        </w:rPr>
        <w:t>від</w:t>
      </w:r>
      <w:r>
        <w:rPr>
          <w:color w:val="231F20"/>
          <w:spacing w:val="-5"/>
        </w:rPr>
        <w:t xml:space="preserve"> </w:t>
      </w:r>
      <w:r>
        <w:rPr>
          <w:color w:val="231F20"/>
        </w:rPr>
        <w:t>05</w:t>
      </w:r>
      <w:r>
        <w:rPr>
          <w:color w:val="231F20"/>
          <w:spacing w:val="-6"/>
        </w:rPr>
        <w:t xml:space="preserve"> </w:t>
      </w:r>
      <w:r>
        <w:rPr>
          <w:color w:val="231F20"/>
        </w:rPr>
        <w:t>серпня</w:t>
      </w:r>
      <w:r>
        <w:rPr>
          <w:color w:val="231F20"/>
          <w:spacing w:val="-6"/>
        </w:rPr>
        <w:t xml:space="preserve"> </w:t>
      </w:r>
      <w:r>
        <w:rPr>
          <w:color w:val="231F20"/>
        </w:rPr>
        <w:t>2016</w:t>
      </w:r>
      <w:r>
        <w:rPr>
          <w:color w:val="231F20"/>
          <w:spacing w:val="-8"/>
        </w:rPr>
        <w:t xml:space="preserve"> </w:t>
      </w:r>
      <w:r>
        <w:rPr>
          <w:color w:val="231F20"/>
        </w:rPr>
        <w:t>р.</w:t>
      </w:r>
      <w:r>
        <w:rPr>
          <w:color w:val="231F20"/>
          <w:position w:val="7"/>
          <w:sz w:val="12"/>
        </w:rPr>
        <w:t>1</w:t>
      </w:r>
      <w:r>
        <w:rPr>
          <w:color w:val="231F20"/>
        </w:rPr>
        <w:t>.</w:t>
      </w:r>
      <w:r>
        <w:rPr>
          <w:color w:val="231F20"/>
          <w:spacing w:val="-6"/>
        </w:rPr>
        <w:t xml:space="preserve"> </w:t>
      </w:r>
      <w:r>
        <w:rPr>
          <w:color w:val="231F20"/>
        </w:rPr>
        <w:t>Ок</w:t>
      </w:r>
      <w:r>
        <w:rPr>
          <w:color w:val="231F20"/>
        </w:rPr>
        <w:t>рім</w:t>
      </w:r>
      <w:r>
        <w:rPr>
          <w:color w:val="231F20"/>
          <w:spacing w:val="-6"/>
        </w:rPr>
        <w:t xml:space="preserve"> </w:t>
      </w:r>
      <w:r>
        <w:rPr>
          <w:color w:val="231F20"/>
        </w:rPr>
        <w:t>цих</w:t>
      </w:r>
      <w:r>
        <w:rPr>
          <w:color w:val="231F20"/>
          <w:spacing w:val="-5"/>
        </w:rPr>
        <w:t xml:space="preserve"> </w:t>
      </w:r>
      <w:r>
        <w:rPr>
          <w:color w:val="231F20"/>
        </w:rPr>
        <w:t>правил,</w:t>
      </w:r>
      <w:r>
        <w:rPr>
          <w:color w:val="231F20"/>
          <w:spacing w:val="-6"/>
        </w:rPr>
        <w:t xml:space="preserve"> </w:t>
      </w:r>
      <w:r>
        <w:rPr>
          <w:color w:val="231F20"/>
        </w:rPr>
        <w:t xml:space="preserve">існують етичні кодекси для окремих видів публічних службовців (поліцей- ських, </w:t>
      </w:r>
      <w:r>
        <w:rPr>
          <w:color w:val="231F20"/>
          <w:spacing w:val="-3"/>
        </w:rPr>
        <w:t xml:space="preserve">суддів, </w:t>
      </w:r>
      <w:r>
        <w:rPr>
          <w:color w:val="231F20"/>
        </w:rPr>
        <w:t>прокурорів та ін.).</w:t>
      </w:r>
    </w:p>
    <w:p w14:paraId="29C774AD" w14:textId="77777777" w:rsidR="00DE575E" w:rsidRDefault="002E7560">
      <w:pPr>
        <w:pStyle w:val="BodyText"/>
        <w:spacing w:before="5" w:line="252" w:lineRule="auto"/>
        <w:ind w:left="250" w:right="410" w:firstLine="283"/>
        <w:jc w:val="both"/>
      </w:pPr>
      <w:r>
        <w:rPr>
          <w:color w:val="231F20"/>
        </w:rPr>
        <w:t>Розглядаючи принципи етичної поведінки публічних</w:t>
      </w:r>
      <w:r>
        <w:rPr>
          <w:color w:val="231F20"/>
          <w:spacing w:val="-21"/>
        </w:rPr>
        <w:t xml:space="preserve"> </w:t>
      </w:r>
      <w:r>
        <w:rPr>
          <w:color w:val="231F20"/>
        </w:rPr>
        <w:t>службовців як</w:t>
      </w:r>
      <w:r>
        <w:rPr>
          <w:color w:val="231F20"/>
          <w:spacing w:val="-14"/>
        </w:rPr>
        <w:t xml:space="preserve"> </w:t>
      </w:r>
      <w:r>
        <w:rPr>
          <w:color w:val="231F20"/>
        </w:rPr>
        <w:t>її</w:t>
      </w:r>
      <w:r>
        <w:rPr>
          <w:color w:val="231F20"/>
          <w:spacing w:val="-14"/>
        </w:rPr>
        <w:t xml:space="preserve"> </w:t>
      </w:r>
      <w:r>
        <w:rPr>
          <w:color w:val="231F20"/>
        </w:rPr>
        <w:t>основну</w:t>
      </w:r>
      <w:r>
        <w:rPr>
          <w:color w:val="231F20"/>
          <w:spacing w:val="-14"/>
        </w:rPr>
        <w:t xml:space="preserve"> </w:t>
      </w:r>
      <w:r>
        <w:rPr>
          <w:color w:val="231F20"/>
        </w:rPr>
        <w:t>змістовну</w:t>
      </w:r>
      <w:r>
        <w:rPr>
          <w:color w:val="231F20"/>
          <w:spacing w:val="-14"/>
        </w:rPr>
        <w:t xml:space="preserve"> </w:t>
      </w:r>
      <w:r>
        <w:rPr>
          <w:color w:val="231F20"/>
        </w:rPr>
        <w:t>характеристику,</w:t>
      </w:r>
      <w:r>
        <w:rPr>
          <w:color w:val="231F20"/>
          <w:spacing w:val="-14"/>
        </w:rPr>
        <w:t xml:space="preserve"> </w:t>
      </w:r>
      <w:r>
        <w:rPr>
          <w:color w:val="231F20"/>
        </w:rPr>
        <w:t>слід</w:t>
      </w:r>
      <w:r>
        <w:rPr>
          <w:color w:val="231F20"/>
          <w:spacing w:val="-14"/>
        </w:rPr>
        <w:t xml:space="preserve"> </w:t>
      </w:r>
      <w:r>
        <w:rPr>
          <w:color w:val="231F20"/>
        </w:rPr>
        <w:t>ураховувати</w:t>
      </w:r>
      <w:r>
        <w:rPr>
          <w:color w:val="231F20"/>
          <w:spacing w:val="-14"/>
        </w:rPr>
        <w:t xml:space="preserve"> </w:t>
      </w:r>
      <w:r>
        <w:rPr>
          <w:color w:val="231F20"/>
        </w:rPr>
        <w:t>два</w:t>
      </w:r>
      <w:r>
        <w:rPr>
          <w:color w:val="231F20"/>
          <w:spacing w:val="-14"/>
        </w:rPr>
        <w:t xml:space="preserve"> </w:t>
      </w:r>
      <w:r>
        <w:rPr>
          <w:color w:val="231F20"/>
        </w:rPr>
        <w:t>загаль- них</w:t>
      </w:r>
      <w:r>
        <w:rPr>
          <w:color w:val="231F20"/>
          <w:spacing w:val="-1"/>
        </w:rPr>
        <w:t xml:space="preserve"> </w:t>
      </w:r>
      <w:r>
        <w:rPr>
          <w:color w:val="231F20"/>
        </w:rPr>
        <w:t>аспекти:</w:t>
      </w:r>
    </w:p>
    <w:p w14:paraId="63D3E0DF" w14:textId="77777777" w:rsidR="00DE575E" w:rsidRDefault="002E7560">
      <w:pPr>
        <w:pStyle w:val="ListParagraph"/>
        <w:numPr>
          <w:ilvl w:val="0"/>
          <w:numId w:val="63"/>
        </w:numPr>
        <w:tabs>
          <w:tab w:val="left" w:pos="818"/>
        </w:tabs>
        <w:spacing w:line="252" w:lineRule="auto"/>
        <w:ind w:right="411" w:firstLine="283"/>
        <w:jc w:val="both"/>
        <w:rPr>
          <w:sz w:val="21"/>
        </w:rPr>
      </w:pPr>
      <w:r>
        <w:rPr>
          <w:color w:val="231F20"/>
          <w:sz w:val="21"/>
        </w:rPr>
        <w:t>деякі з висвітлених у цьому розділі антикорупційних обме- жень та зобов’язань зараховуються до правил етичної поведінки публічних</w:t>
      </w:r>
      <w:r>
        <w:rPr>
          <w:color w:val="231F20"/>
          <w:spacing w:val="-6"/>
          <w:sz w:val="21"/>
        </w:rPr>
        <w:t xml:space="preserve"> </w:t>
      </w:r>
      <w:r>
        <w:rPr>
          <w:color w:val="231F20"/>
          <w:sz w:val="21"/>
        </w:rPr>
        <w:t>службовців</w:t>
      </w:r>
      <w:r>
        <w:rPr>
          <w:color w:val="231F20"/>
          <w:spacing w:val="-6"/>
          <w:sz w:val="21"/>
        </w:rPr>
        <w:t xml:space="preserve"> </w:t>
      </w:r>
      <w:r>
        <w:rPr>
          <w:color w:val="231F20"/>
          <w:sz w:val="21"/>
        </w:rPr>
        <w:t>(це</w:t>
      </w:r>
      <w:r>
        <w:rPr>
          <w:color w:val="231F20"/>
          <w:spacing w:val="-6"/>
          <w:sz w:val="21"/>
        </w:rPr>
        <w:t xml:space="preserve"> </w:t>
      </w:r>
      <w:r>
        <w:rPr>
          <w:color w:val="231F20"/>
          <w:sz w:val="21"/>
        </w:rPr>
        <w:t>приписи</w:t>
      </w:r>
      <w:r>
        <w:rPr>
          <w:color w:val="231F20"/>
          <w:spacing w:val="-6"/>
          <w:sz w:val="21"/>
        </w:rPr>
        <w:t xml:space="preserve"> </w:t>
      </w:r>
      <w:r>
        <w:rPr>
          <w:color w:val="231F20"/>
          <w:sz w:val="21"/>
        </w:rPr>
        <w:t>щодо</w:t>
      </w:r>
      <w:r>
        <w:rPr>
          <w:color w:val="231F20"/>
          <w:spacing w:val="-6"/>
          <w:sz w:val="21"/>
        </w:rPr>
        <w:t xml:space="preserve"> </w:t>
      </w:r>
      <w:r>
        <w:rPr>
          <w:color w:val="231F20"/>
          <w:sz w:val="21"/>
        </w:rPr>
        <w:t>конфлікту</w:t>
      </w:r>
      <w:r>
        <w:rPr>
          <w:color w:val="231F20"/>
          <w:spacing w:val="-6"/>
          <w:sz w:val="21"/>
        </w:rPr>
        <w:t xml:space="preserve"> </w:t>
      </w:r>
      <w:r>
        <w:rPr>
          <w:color w:val="231F20"/>
          <w:sz w:val="21"/>
        </w:rPr>
        <w:t>інтересів,</w:t>
      </w:r>
      <w:r>
        <w:rPr>
          <w:color w:val="231F20"/>
          <w:spacing w:val="-6"/>
          <w:sz w:val="21"/>
        </w:rPr>
        <w:t xml:space="preserve"> </w:t>
      </w:r>
      <w:r>
        <w:rPr>
          <w:color w:val="231F20"/>
          <w:sz w:val="21"/>
        </w:rPr>
        <w:t xml:space="preserve">нероз- голошення інформації, подання декларації тощо). При цьому подіб- ний підхід характерний не лише для </w:t>
      </w:r>
      <w:r>
        <w:rPr>
          <w:color w:val="231F20"/>
          <w:spacing w:val="-3"/>
          <w:sz w:val="21"/>
        </w:rPr>
        <w:t xml:space="preserve">України, </w:t>
      </w:r>
      <w:r>
        <w:rPr>
          <w:color w:val="231F20"/>
          <w:sz w:val="21"/>
        </w:rPr>
        <w:t>але й для більшості інших країн Центральної та Східної</w:t>
      </w:r>
      <w:r>
        <w:rPr>
          <w:color w:val="231F20"/>
          <w:spacing w:val="-4"/>
          <w:sz w:val="21"/>
        </w:rPr>
        <w:t xml:space="preserve"> </w:t>
      </w:r>
      <w:r>
        <w:rPr>
          <w:color w:val="231F20"/>
          <w:sz w:val="21"/>
        </w:rPr>
        <w:t>Європи.</w:t>
      </w:r>
      <w:r>
        <w:rPr>
          <w:color w:val="231F20"/>
          <w:position w:val="7"/>
          <w:sz w:val="12"/>
        </w:rPr>
        <w:t>2</w:t>
      </w:r>
      <w:r>
        <w:rPr>
          <w:color w:val="231F20"/>
          <w:sz w:val="21"/>
        </w:rPr>
        <w:t>;</w:t>
      </w:r>
    </w:p>
    <w:p w14:paraId="5266A48D" w14:textId="77777777" w:rsidR="00DE575E" w:rsidRDefault="002E7560">
      <w:pPr>
        <w:pStyle w:val="ListParagraph"/>
        <w:numPr>
          <w:ilvl w:val="0"/>
          <w:numId w:val="63"/>
        </w:numPr>
        <w:tabs>
          <w:tab w:val="left" w:pos="818"/>
        </w:tabs>
        <w:spacing w:before="3" w:line="252" w:lineRule="auto"/>
        <w:ind w:right="409" w:firstLine="283"/>
        <w:jc w:val="both"/>
        <w:rPr>
          <w:sz w:val="21"/>
        </w:rPr>
      </w:pPr>
      <w:r>
        <w:rPr>
          <w:color w:val="231F20"/>
          <w:sz w:val="21"/>
        </w:rPr>
        <w:t xml:space="preserve">значна частина етичних вимог поширюється на позаслуж- бове життя публічних </w:t>
      </w:r>
      <w:r>
        <w:rPr>
          <w:color w:val="231F20"/>
          <w:sz w:val="21"/>
        </w:rPr>
        <w:t xml:space="preserve">службовців. </w:t>
      </w:r>
      <w:r>
        <w:rPr>
          <w:color w:val="231F20"/>
          <w:spacing w:val="-3"/>
          <w:sz w:val="21"/>
        </w:rPr>
        <w:t xml:space="preserve">Так, </w:t>
      </w:r>
      <w:r>
        <w:rPr>
          <w:color w:val="231F20"/>
          <w:sz w:val="21"/>
        </w:rPr>
        <w:t>відповідно до Правил етич- ної поведінки поліцейських (п. 3 розділу 4) за  будь-яких  обста-  вин і відносно будь-якої людини як у робочий, так і в неробочий  час поліцейський зобов’язаний дотримуватися норм професійної етики</w:t>
      </w:r>
      <w:r>
        <w:rPr>
          <w:color w:val="231F20"/>
          <w:position w:val="7"/>
          <w:sz w:val="12"/>
        </w:rPr>
        <w:t>3</w:t>
      </w:r>
      <w:r>
        <w:rPr>
          <w:color w:val="231F20"/>
          <w:sz w:val="21"/>
        </w:rPr>
        <w:t>.</w:t>
      </w:r>
    </w:p>
    <w:p w14:paraId="46C39162" w14:textId="77777777" w:rsidR="00DE575E" w:rsidRDefault="002E7560">
      <w:pPr>
        <w:pStyle w:val="BodyText"/>
        <w:spacing w:before="3" w:line="252" w:lineRule="auto"/>
        <w:ind w:left="250" w:right="411" w:firstLine="283"/>
        <w:jc w:val="both"/>
      </w:pPr>
      <w:r>
        <w:rPr>
          <w:color w:val="231F20"/>
        </w:rPr>
        <w:t xml:space="preserve">Виходячи зі змісту чинних в </w:t>
      </w:r>
      <w:r>
        <w:rPr>
          <w:color w:val="231F20"/>
          <w:spacing w:val="-3"/>
        </w:rPr>
        <w:t xml:space="preserve">Україні </w:t>
      </w:r>
      <w:r>
        <w:rPr>
          <w:color w:val="231F20"/>
        </w:rPr>
        <w:t>кодексів професійної етики, можемо</w:t>
      </w:r>
      <w:r>
        <w:rPr>
          <w:color w:val="231F20"/>
          <w:spacing w:val="-12"/>
        </w:rPr>
        <w:t xml:space="preserve"> </w:t>
      </w:r>
      <w:r>
        <w:rPr>
          <w:color w:val="231F20"/>
        </w:rPr>
        <w:t>виділити</w:t>
      </w:r>
      <w:r>
        <w:rPr>
          <w:color w:val="231F20"/>
          <w:spacing w:val="-12"/>
        </w:rPr>
        <w:t xml:space="preserve"> </w:t>
      </w:r>
      <w:r>
        <w:rPr>
          <w:color w:val="231F20"/>
        </w:rPr>
        <w:t>групу</w:t>
      </w:r>
      <w:r>
        <w:rPr>
          <w:color w:val="231F20"/>
          <w:spacing w:val="-12"/>
        </w:rPr>
        <w:t xml:space="preserve"> </w:t>
      </w:r>
      <w:r>
        <w:rPr>
          <w:color w:val="231F20"/>
        </w:rPr>
        <w:t>загальноправових</w:t>
      </w:r>
      <w:r>
        <w:rPr>
          <w:color w:val="231F20"/>
          <w:spacing w:val="-12"/>
        </w:rPr>
        <w:t xml:space="preserve"> </w:t>
      </w:r>
      <w:r>
        <w:rPr>
          <w:color w:val="231F20"/>
        </w:rPr>
        <w:t>принципів,</w:t>
      </w:r>
      <w:r>
        <w:rPr>
          <w:color w:val="231F20"/>
          <w:spacing w:val="-12"/>
        </w:rPr>
        <w:t xml:space="preserve"> </w:t>
      </w:r>
      <w:r>
        <w:rPr>
          <w:color w:val="231F20"/>
        </w:rPr>
        <w:t>які</w:t>
      </w:r>
      <w:r>
        <w:rPr>
          <w:color w:val="231F20"/>
          <w:spacing w:val="-12"/>
        </w:rPr>
        <w:t xml:space="preserve"> </w:t>
      </w:r>
      <w:r>
        <w:rPr>
          <w:color w:val="231F20"/>
        </w:rPr>
        <w:t>зараховані</w:t>
      </w:r>
    </w:p>
    <w:p w14:paraId="57AD4679" w14:textId="4C19F754" w:rsidR="00DE575E" w:rsidRDefault="002E7560">
      <w:pPr>
        <w:pStyle w:val="BodyText"/>
        <w:spacing w:before="6"/>
        <w:rPr>
          <w:sz w:val="15"/>
        </w:rPr>
      </w:pPr>
      <w:r>
        <w:rPr>
          <w:noProof/>
        </w:rPr>
        <mc:AlternateContent>
          <mc:Choice Requires="wps">
            <w:drawing>
              <wp:anchor distT="0" distB="0" distL="0" distR="0" simplePos="0" relativeHeight="16816" behindDoc="0" locked="0" layoutInCell="1" allowOverlap="1" wp14:anchorId="3B495707" wp14:editId="27ADA830">
                <wp:simplePos x="0" y="0"/>
                <wp:positionH relativeFrom="page">
                  <wp:posOffset>539750</wp:posOffset>
                </wp:positionH>
                <wp:positionV relativeFrom="paragraph">
                  <wp:posOffset>143510</wp:posOffset>
                </wp:positionV>
                <wp:extent cx="1080135" cy="0"/>
                <wp:effectExtent l="6350" t="16510" r="31115" b="21590"/>
                <wp:wrapTopAndBottom/>
                <wp:docPr id="32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E74B" id="Line_x0020_323" o:spid="_x0000_s1026" style="position:absolute;z-index:1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3pt" to="127.5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" strokecolor="#231f20" strokeweight=".5pt">
                <w10:wrap type="topAndBottom" anchorx="page"/>
              </v:line>
            </w:pict>
          </mc:Fallback>
        </mc:AlternateContent>
      </w:r>
    </w:p>
    <w:p w14:paraId="2D75830C" w14:textId="77777777" w:rsidR="00DE575E" w:rsidRDefault="002E7560">
      <w:pPr>
        <w:spacing w:line="204" w:lineRule="auto"/>
        <w:ind w:left="250" w:right="410"/>
        <w:jc w:val="both"/>
        <w:rPr>
          <w:sz w:val="16"/>
        </w:rPr>
      </w:pPr>
      <w:r>
        <w:rPr>
          <w:color w:val="231F20"/>
          <w:position w:val="5"/>
          <w:sz w:val="9"/>
        </w:rPr>
        <w:t xml:space="preserve">1 </w:t>
      </w:r>
      <w:r>
        <w:rPr>
          <w:color w:val="231F20"/>
          <w:sz w:val="16"/>
        </w:rPr>
        <w:t xml:space="preserve">Постановою </w:t>
      </w:r>
      <w:r>
        <w:rPr>
          <w:color w:val="231F20"/>
          <w:spacing w:val="-3"/>
          <w:sz w:val="16"/>
        </w:rPr>
        <w:t xml:space="preserve">Уряду </w:t>
      </w:r>
      <w:r>
        <w:rPr>
          <w:color w:val="231F20"/>
          <w:sz w:val="16"/>
        </w:rPr>
        <w:t xml:space="preserve">від 11 лютого 2016 р. </w:t>
      </w:r>
      <w:r>
        <w:rPr>
          <w:color w:val="231F20"/>
          <w:spacing w:val="-3"/>
          <w:sz w:val="16"/>
        </w:rPr>
        <w:t xml:space="preserve">було </w:t>
      </w:r>
      <w:r>
        <w:rPr>
          <w:color w:val="231F20"/>
          <w:sz w:val="16"/>
        </w:rPr>
        <w:t>затверджено Правила етичної поведінки державних службовців, які діяли до 23 бер</w:t>
      </w:r>
      <w:r>
        <w:rPr>
          <w:color w:val="231F20"/>
          <w:sz w:val="16"/>
        </w:rPr>
        <w:t xml:space="preserve">езня 2017 </w:t>
      </w:r>
      <w:r>
        <w:rPr>
          <w:color w:val="231F20"/>
          <w:spacing w:val="-4"/>
          <w:sz w:val="16"/>
        </w:rPr>
        <w:t xml:space="preserve">року. Таким </w:t>
      </w:r>
      <w:r>
        <w:rPr>
          <w:color w:val="231F20"/>
          <w:sz w:val="16"/>
        </w:rPr>
        <w:t>чином, упродовж більше семи місяців (05.08.2016 р. – 23.03.2017 р.) в Україні діяло два зводи етичних правил для державних службовців; незважаючи на вищу юридичну силу постанов Кабміну, право- застосовним пріоритетом у цей період володіли етичні правила, п</w:t>
      </w:r>
      <w:r>
        <w:rPr>
          <w:color w:val="231F20"/>
          <w:sz w:val="16"/>
        </w:rPr>
        <w:t>рийняті центральним органом виконавчої влади з питань державної служби, оскільки саме на нього законом покладено відповідну правотворчу функцію.</w:t>
      </w:r>
    </w:p>
    <w:p w14:paraId="10313D34" w14:textId="77777777" w:rsidR="00DE575E" w:rsidRDefault="002E7560">
      <w:pPr>
        <w:spacing w:before="29" w:line="204" w:lineRule="auto"/>
        <w:ind w:left="250" w:right="411"/>
        <w:jc w:val="both"/>
        <w:rPr>
          <w:sz w:val="16"/>
        </w:rPr>
      </w:pPr>
      <w:r>
        <w:rPr>
          <w:color w:val="231F20"/>
          <w:position w:val="5"/>
          <w:sz w:val="9"/>
        </w:rPr>
        <w:t xml:space="preserve">2 </w:t>
      </w:r>
      <w:r>
        <w:rPr>
          <w:color w:val="231F20"/>
          <w:sz w:val="16"/>
        </w:rPr>
        <w:t xml:space="preserve">Кукуля А. Система впровадження норм службової етики: міжнародний досвід. </w:t>
      </w:r>
      <w:r>
        <w:rPr>
          <w:i/>
          <w:color w:val="231F20"/>
          <w:sz w:val="16"/>
        </w:rPr>
        <w:t xml:space="preserve">Центр адаптації державної служби до </w:t>
      </w:r>
      <w:r>
        <w:rPr>
          <w:i/>
          <w:color w:val="231F20"/>
          <w:sz w:val="16"/>
        </w:rPr>
        <w:t>стандартів Європейського Союзу</w:t>
      </w:r>
      <w:r>
        <w:rPr>
          <w:color w:val="231F20"/>
          <w:sz w:val="16"/>
        </w:rPr>
        <w:t>. С. 10.</w:t>
      </w:r>
    </w:p>
    <w:p w14:paraId="4C059F33" w14:textId="77777777" w:rsidR="00DE575E" w:rsidRDefault="002E7560">
      <w:pPr>
        <w:spacing w:before="29" w:line="204" w:lineRule="auto"/>
        <w:ind w:left="250" w:right="411"/>
        <w:jc w:val="both"/>
        <w:rPr>
          <w:sz w:val="16"/>
        </w:rPr>
      </w:pPr>
      <w:r>
        <w:rPr>
          <w:color w:val="231F20"/>
          <w:position w:val="5"/>
          <w:sz w:val="9"/>
        </w:rPr>
        <w:t xml:space="preserve">3 </w:t>
      </w:r>
      <w:r>
        <w:rPr>
          <w:color w:val="231F20"/>
          <w:sz w:val="16"/>
        </w:rPr>
        <w:t>Про затвердження Правил етичної поведінки поліцейських: Наказ Міністерства вну- трішніх справ України від 09.11.2016 № 1179.</w:t>
      </w:r>
    </w:p>
    <w:p w14:paraId="0EB940EC" w14:textId="77777777" w:rsidR="00DE575E" w:rsidRDefault="00DE575E">
      <w:pPr>
        <w:pStyle w:val="BodyText"/>
        <w:spacing w:before="5"/>
        <w:rPr>
          <w:sz w:val="12"/>
        </w:rPr>
      </w:pPr>
    </w:p>
    <w:p w14:paraId="73FC4598" w14:textId="77777777" w:rsidR="00DE575E" w:rsidRDefault="002E7560">
      <w:pPr>
        <w:spacing w:before="92"/>
        <w:ind w:right="411"/>
        <w:jc w:val="right"/>
        <w:rPr>
          <w:rFonts w:ascii="Times New Roman"/>
          <w:sz w:val="20"/>
        </w:rPr>
      </w:pPr>
      <w:r>
        <w:rPr>
          <w:rFonts w:ascii="Times New Roman"/>
          <w:color w:val="231F20"/>
          <w:w w:val="90"/>
          <w:sz w:val="20"/>
        </w:rPr>
        <w:t>427</w:t>
      </w:r>
    </w:p>
    <w:p w14:paraId="3006CA5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F8D114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1DD5219" w14:textId="0882761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9C8C53" wp14:editId="61A4C0B9">
                <wp:extent cx="4140200" cy="6350"/>
                <wp:effectExtent l="0" t="0" r="12700" b="6350"/>
                <wp:docPr id="32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23" name="Line 32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095244" id="Group_x0020_32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jUgfZfQIAAJgFAAAOAAAA&#10;AAAAAAAAAAAAACwCAABkcnMvZTJvRG9jLnhtbFBLAQItABQABgAIAAAAIQBMp7CQ2QAAAAMBAAAP&#10;AAAAAAAAAAAAAAAAANUEAABkcnMvZG93bnJldi54bWxQSwUGAAAAAAQABADzAAAA2wUAAAAA&#10;">
                <v:line id="Line_x0020_32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flg8UAAADcAAAADwAAAGRycy9kb3ducmV2LnhtbESP0WrCQBRE3wv9h+UW+lLqRgMi0VVE&#10;EKQPWk0/4Jq9JsHduzG7mujXdwsFH4eZOcPMFr014katrx0rGA4SEMSF0zWXCn7y9ecEhA/IGo1j&#10;UnAnD4v568sMM+063tPtEEoRIewzVFCF0GRS+qIii37gGuLonVxrMUTZllK32EW4NXKUJGNpsea4&#10;UGFDq4qK8+FqFeSXj2C+d1+my3fHVB4v2/Rx3Sr1/tYvpyAC9eEZ/m9vtIJ0lMLfmXgE5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Sflg8UAAADcAAAADwAAAAAAAAAA&#10;AAAAAAChAgAAZHJzL2Rvd25yZXYueG1sUEsFBgAAAAAEAAQA+QAAAJMDAAAAAA==&#10;" strokecolor="#231f20" strokeweight=".5pt"/>
                <w10:anchorlock/>
              </v:group>
            </w:pict>
          </mc:Fallback>
        </mc:AlternateContent>
      </w:r>
    </w:p>
    <w:p w14:paraId="12A3597C" w14:textId="77777777" w:rsidR="00DE575E" w:rsidRDefault="00DE575E">
      <w:pPr>
        <w:pStyle w:val="BodyText"/>
        <w:spacing w:before="7"/>
        <w:rPr>
          <w:rFonts w:ascii="AdonisC"/>
          <w:i/>
          <w:sz w:val="11"/>
        </w:rPr>
      </w:pPr>
    </w:p>
    <w:p w14:paraId="1FAC99B4" w14:textId="77777777" w:rsidR="00DE575E" w:rsidRDefault="002E7560">
      <w:pPr>
        <w:pStyle w:val="BodyText"/>
        <w:spacing w:before="101" w:line="252" w:lineRule="auto"/>
        <w:ind w:left="533"/>
      </w:pPr>
      <w:r>
        <w:rPr>
          <w:color w:val="231F20"/>
        </w:rPr>
        <w:t>до змісту етики (верховенство права, законність тощо) та власне етичних принципів.</w:t>
      </w:r>
    </w:p>
    <w:p w14:paraId="3B9155F3" w14:textId="77777777" w:rsidR="00DE575E" w:rsidRDefault="002E7560">
      <w:pPr>
        <w:pStyle w:val="BodyText"/>
        <w:spacing w:before="1"/>
        <w:ind w:left="817"/>
      </w:pPr>
      <w:r>
        <w:rPr>
          <w:color w:val="231F20"/>
        </w:rPr>
        <w:t>До переліку</w:t>
      </w:r>
      <w:r>
        <w:rPr>
          <w:color w:val="231F20"/>
          <w:position w:val="7"/>
          <w:sz w:val="12"/>
        </w:rPr>
        <w:t xml:space="preserve">1 </w:t>
      </w:r>
      <w:r>
        <w:rPr>
          <w:color w:val="231F20"/>
        </w:rPr>
        <w:t>останніх слід відносити принципи:</w:t>
      </w:r>
    </w:p>
    <w:p w14:paraId="519B10A9" w14:textId="77777777" w:rsidR="00DE575E" w:rsidRDefault="002E7560">
      <w:pPr>
        <w:pStyle w:val="ListParagraph"/>
        <w:numPr>
          <w:ilvl w:val="0"/>
          <w:numId w:val="62"/>
        </w:numPr>
        <w:tabs>
          <w:tab w:val="left" w:pos="1101"/>
        </w:tabs>
        <w:spacing w:before="12" w:line="252" w:lineRule="auto"/>
        <w:ind w:right="128" w:firstLine="284"/>
        <w:rPr>
          <w:sz w:val="21"/>
        </w:rPr>
      </w:pPr>
      <w:r>
        <w:rPr>
          <w:i/>
          <w:color w:val="231F20"/>
          <w:sz w:val="21"/>
        </w:rPr>
        <w:t xml:space="preserve">служіння державі та суспільству </w:t>
      </w:r>
      <w:r>
        <w:rPr>
          <w:color w:val="231F20"/>
          <w:sz w:val="21"/>
        </w:rPr>
        <w:t>(чесне служіння і вірність державі, сприяння реалізації прав людини, сприяння у формуванні позитивного іміджу</w:t>
      </w:r>
      <w:r>
        <w:rPr>
          <w:color w:val="231F20"/>
          <w:spacing w:val="-1"/>
          <w:sz w:val="21"/>
        </w:rPr>
        <w:t xml:space="preserve"> </w:t>
      </w:r>
      <w:r>
        <w:rPr>
          <w:color w:val="231F20"/>
          <w:sz w:val="21"/>
        </w:rPr>
        <w:t>держави);</w:t>
      </w:r>
    </w:p>
    <w:p w14:paraId="44DB04E0" w14:textId="77777777" w:rsidR="00DE575E" w:rsidRDefault="002E7560">
      <w:pPr>
        <w:pStyle w:val="ListParagraph"/>
        <w:numPr>
          <w:ilvl w:val="0"/>
          <w:numId w:val="62"/>
        </w:numPr>
        <w:tabs>
          <w:tab w:val="left" w:pos="1101"/>
        </w:tabs>
        <w:spacing w:before="2" w:line="252" w:lineRule="auto"/>
        <w:ind w:right="126" w:firstLine="284"/>
        <w:rPr>
          <w:sz w:val="21"/>
        </w:rPr>
      </w:pPr>
      <w:r>
        <w:rPr>
          <w:i/>
          <w:color w:val="231F20"/>
          <w:sz w:val="21"/>
        </w:rPr>
        <w:t xml:space="preserve">гідна  поведінка  </w:t>
      </w:r>
      <w:r>
        <w:rPr>
          <w:color w:val="231F20"/>
          <w:sz w:val="21"/>
        </w:rPr>
        <w:t>(повага  до  гідності  інших  осіб,  увічливість  і</w:t>
      </w:r>
      <w:r>
        <w:rPr>
          <w:color w:val="231F20"/>
          <w:spacing w:val="-9"/>
          <w:sz w:val="21"/>
        </w:rPr>
        <w:t xml:space="preserve"> </w:t>
      </w:r>
      <w:r>
        <w:rPr>
          <w:color w:val="231F20"/>
          <w:sz w:val="21"/>
        </w:rPr>
        <w:t>дотримання</w:t>
      </w:r>
      <w:r>
        <w:rPr>
          <w:color w:val="231F20"/>
          <w:spacing w:val="-9"/>
          <w:sz w:val="21"/>
        </w:rPr>
        <w:t xml:space="preserve"> </w:t>
      </w:r>
      <w:r>
        <w:rPr>
          <w:color w:val="231F20"/>
          <w:sz w:val="21"/>
        </w:rPr>
        <w:t>високої</w:t>
      </w:r>
      <w:r>
        <w:rPr>
          <w:color w:val="231F20"/>
          <w:spacing w:val="-9"/>
          <w:sz w:val="21"/>
        </w:rPr>
        <w:t xml:space="preserve"> </w:t>
      </w:r>
      <w:r>
        <w:rPr>
          <w:color w:val="231F20"/>
          <w:spacing w:val="-3"/>
          <w:sz w:val="21"/>
        </w:rPr>
        <w:t>культури</w:t>
      </w:r>
      <w:r>
        <w:rPr>
          <w:color w:val="231F20"/>
          <w:spacing w:val="-9"/>
          <w:sz w:val="21"/>
        </w:rPr>
        <w:t xml:space="preserve"> </w:t>
      </w:r>
      <w:r>
        <w:rPr>
          <w:color w:val="231F20"/>
          <w:sz w:val="21"/>
        </w:rPr>
        <w:t>спілкування,</w:t>
      </w:r>
      <w:r>
        <w:rPr>
          <w:color w:val="231F20"/>
          <w:spacing w:val="-9"/>
          <w:sz w:val="21"/>
        </w:rPr>
        <w:t xml:space="preserve"> </w:t>
      </w:r>
      <w:r>
        <w:rPr>
          <w:color w:val="231F20"/>
          <w:sz w:val="21"/>
        </w:rPr>
        <w:t>доброзичливість</w:t>
      </w:r>
      <w:r>
        <w:rPr>
          <w:color w:val="231F20"/>
          <w:spacing w:val="-9"/>
          <w:sz w:val="21"/>
        </w:rPr>
        <w:t xml:space="preserve"> </w:t>
      </w:r>
      <w:r>
        <w:rPr>
          <w:color w:val="231F20"/>
          <w:sz w:val="21"/>
        </w:rPr>
        <w:t>і</w:t>
      </w:r>
      <w:r>
        <w:rPr>
          <w:color w:val="231F20"/>
          <w:spacing w:val="-8"/>
          <w:sz w:val="21"/>
        </w:rPr>
        <w:t xml:space="preserve"> </w:t>
      </w:r>
      <w:r>
        <w:rPr>
          <w:color w:val="231F20"/>
          <w:sz w:val="21"/>
        </w:rPr>
        <w:t>запо- б</w:t>
      </w:r>
      <w:r>
        <w:rPr>
          <w:color w:val="231F20"/>
          <w:sz w:val="21"/>
        </w:rPr>
        <w:t>ігання виникненню конфліктів у стосунках з громадянами, недо- пущення дій і вчинків, які можуть зашкодити інтересам публічної служби</w:t>
      </w:r>
      <w:r>
        <w:rPr>
          <w:color w:val="231F20"/>
          <w:spacing w:val="-18"/>
          <w:sz w:val="21"/>
        </w:rPr>
        <w:t xml:space="preserve"> </w:t>
      </w:r>
      <w:r>
        <w:rPr>
          <w:color w:val="231F20"/>
          <w:sz w:val="21"/>
        </w:rPr>
        <w:t>чи</w:t>
      </w:r>
      <w:r>
        <w:rPr>
          <w:color w:val="231F20"/>
          <w:spacing w:val="-18"/>
          <w:sz w:val="21"/>
        </w:rPr>
        <w:t xml:space="preserve"> </w:t>
      </w:r>
      <w:r>
        <w:rPr>
          <w:color w:val="231F20"/>
          <w:sz w:val="21"/>
        </w:rPr>
        <w:t>негативно</w:t>
      </w:r>
      <w:r>
        <w:rPr>
          <w:color w:val="231F20"/>
          <w:spacing w:val="-18"/>
          <w:sz w:val="21"/>
        </w:rPr>
        <w:t xml:space="preserve"> </w:t>
      </w:r>
      <w:r>
        <w:rPr>
          <w:color w:val="231F20"/>
          <w:sz w:val="21"/>
        </w:rPr>
        <w:t>вплинути</w:t>
      </w:r>
      <w:r>
        <w:rPr>
          <w:color w:val="231F20"/>
          <w:spacing w:val="-18"/>
          <w:sz w:val="21"/>
        </w:rPr>
        <w:t xml:space="preserve"> </w:t>
      </w:r>
      <w:r>
        <w:rPr>
          <w:color w:val="231F20"/>
          <w:sz w:val="21"/>
        </w:rPr>
        <w:t>на</w:t>
      </w:r>
      <w:r>
        <w:rPr>
          <w:color w:val="231F20"/>
          <w:spacing w:val="-18"/>
          <w:sz w:val="21"/>
        </w:rPr>
        <w:t xml:space="preserve"> </w:t>
      </w:r>
      <w:r>
        <w:rPr>
          <w:color w:val="231F20"/>
          <w:sz w:val="21"/>
        </w:rPr>
        <w:t>репутацію</w:t>
      </w:r>
      <w:r>
        <w:rPr>
          <w:color w:val="231F20"/>
          <w:spacing w:val="-18"/>
          <w:sz w:val="21"/>
        </w:rPr>
        <w:t xml:space="preserve"> </w:t>
      </w:r>
      <w:r>
        <w:rPr>
          <w:color w:val="231F20"/>
          <w:sz w:val="21"/>
        </w:rPr>
        <w:t>публічного</w:t>
      </w:r>
      <w:r>
        <w:rPr>
          <w:color w:val="231F20"/>
          <w:spacing w:val="-18"/>
          <w:sz w:val="21"/>
        </w:rPr>
        <w:t xml:space="preserve"> </w:t>
      </w:r>
      <w:r>
        <w:rPr>
          <w:color w:val="231F20"/>
          <w:sz w:val="21"/>
        </w:rPr>
        <w:t>службовця). До змісту цього принципу зараховується і закріплена Загальними пр</w:t>
      </w:r>
      <w:r>
        <w:rPr>
          <w:color w:val="231F20"/>
          <w:sz w:val="21"/>
        </w:rPr>
        <w:t>авилами етичної поведінки державних службовців і посадових осіб місцевого самоврядування вимога не допускати використання нецензурної лексики чи підвищеної</w:t>
      </w:r>
      <w:r>
        <w:rPr>
          <w:color w:val="231F20"/>
          <w:spacing w:val="-2"/>
          <w:sz w:val="21"/>
        </w:rPr>
        <w:t xml:space="preserve"> </w:t>
      </w:r>
      <w:r>
        <w:rPr>
          <w:color w:val="231F20"/>
          <w:sz w:val="21"/>
        </w:rPr>
        <w:t>інтонації</w:t>
      </w:r>
      <w:r>
        <w:rPr>
          <w:color w:val="231F20"/>
          <w:position w:val="7"/>
          <w:sz w:val="12"/>
        </w:rPr>
        <w:t>2</w:t>
      </w:r>
      <w:r>
        <w:rPr>
          <w:color w:val="231F20"/>
          <w:sz w:val="21"/>
        </w:rPr>
        <w:t>;</w:t>
      </w:r>
    </w:p>
    <w:p w14:paraId="2156EB48" w14:textId="77777777" w:rsidR="00DE575E" w:rsidRDefault="00DE575E">
      <w:pPr>
        <w:pStyle w:val="BodyText"/>
        <w:rPr>
          <w:sz w:val="20"/>
        </w:rPr>
      </w:pPr>
    </w:p>
    <w:p w14:paraId="1E8CDDD5" w14:textId="14567434" w:rsidR="00DE575E" w:rsidRDefault="002E7560">
      <w:pPr>
        <w:pStyle w:val="BodyText"/>
        <w:spacing w:before="6"/>
        <w:rPr>
          <w:sz w:val="10"/>
        </w:rPr>
      </w:pPr>
      <w:r>
        <w:rPr>
          <w:noProof/>
        </w:rPr>
        <mc:AlternateContent>
          <mc:Choice Requires="wps">
            <w:drawing>
              <wp:anchor distT="0" distB="0" distL="0" distR="0" simplePos="0" relativeHeight="16864" behindDoc="0" locked="0" layoutInCell="1" allowOverlap="1" wp14:anchorId="3181E0DB" wp14:editId="3310533F">
                <wp:simplePos x="0" y="0"/>
                <wp:positionH relativeFrom="page">
                  <wp:posOffset>719455</wp:posOffset>
                </wp:positionH>
                <wp:positionV relativeFrom="paragraph">
                  <wp:posOffset>106045</wp:posOffset>
                </wp:positionV>
                <wp:extent cx="1080135" cy="0"/>
                <wp:effectExtent l="8255" t="17145" r="29210" b="20955"/>
                <wp:wrapTopAndBottom/>
                <wp:docPr id="32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9A610" id="Line_x0020_320" o:spid="_x0000_s1026" style="position:absolute;z-index: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35pt" to="141.7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" strokecolor="#231f20" strokeweight=".5pt">
                <w10:wrap type="topAndBottom" anchorx="page"/>
              </v:line>
            </w:pict>
          </mc:Fallback>
        </mc:AlternateContent>
      </w:r>
    </w:p>
    <w:p w14:paraId="1D270275"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Для </w:t>
      </w:r>
      <w:r>
        <w:rPr>
          <w:color w:val="231F20"/>
          <w:spacing w:val="-3"/>
          <w:sz w:val="16"/>
        </w:rPr>
        <w:t xml:space="preserve">розкриття </w:t>
      </w:r>
      <w:r>
        <w:rPr>
          <w:color w:val="231F20"/>
          <w:sz w:val="16"/>
        </w:rPr>
        <w:t xml:space="preserve">переліку та змісту цих принципів за основу </w:t>
      </w:r>
      <w:r>
        <w:rPr>
          <w:color w:val="231F20"/>
          <w:spacing w:val="-3"/>
          <w:sz w:val="16"/>
        </w:rPr>
        <w:t xml:space="preserve">було </w:t>
      </w:r>
      <w:r>
        <w:rPr>
          <w:color w:val="231F20"/>
          <w:sz w:val="16"/>
        </w:rPr>
        <w:t>взято Правила етичної поведінки</w:t>
      </w:r>
      <w:r>
        <w:rPr>
          <w:color w:val="231F20"/>
          <w:spacing w:val="-5"/>
          <w:sz w:val="16"/>
        </w:rPr>
        <w:t xml:space="preserve"> </w:t>
      </w:r>
      <w:r>
        <w:rPr>
          <w:color w:val="231F20"/>
          <w:sz w:val="16"/>
        </w:rPr>
        <w:t>державних</w:t>
      </w:r>
      <w:r>
        <w:rPr>
          <w:color w:val="231F20"/>
          <w:spacing w:val="-5"/>
          <w:sz w:val="16"/>
        </w:rPr>
        <w:t xml:space="preserve"> </w:t>
      </w:r>
      <w:r>
        <w:rPr>
          <w:color w:val="231F20"/>
          <w:sz w:val="16"/>
        </w:rPr>
        <w:t>службовців</w:t>
      </w:r>
      <w:r>
        <w:rPr>
          <w:color w:val="231F20"/>
          <w:spacing w:val="-5"/>
          <w:sz w:val="16"/>
        </w:rPr>
        <w:t xml:space="preserve"> </w:t>
      </w:r>
      <w:r>
        <w:rPr>
          <w:color w:val="231F20"/>
          <w:sz w:val="16"/>
        </w:rPr>
        <w:t>від</w:t>
      </w:r>
      <w:r>
        <w:rPr>
          <w:color w:val="231F20"/>
          <w:spacing w:val="-5"/>
          <w:sz w:val="16"/>
        </w:rPr>
        <w:t xml:space="preserve"> </w:t>
      </w:r>
      <w:r>
        <w:rPr>
          <w:color w:val="231F20"/>
          <w:sz w:val="16"/>
        </w:rPr>
        <w:t>11</w:t>
      </w:r>
      <w:r>
        <w:rPr>
          <w:color w:val="231F20"/>
          <w:spacing w:val="-5"/>
          <w:sz w:val="16"/>
        </w:rPr>
        <w:t xml:space="preserve"> </w:t>
      </w:r>
      <w:r>
        <w:rPr>
          <w:color w:val="231F20"/>
          <w:spacing w:val="-2"/>
          <w:sz w:val="16"/>
        </w:rPr>
        <w:t>лютого</w:t>
      </w:r>
      <w:r>
        <w:rPr>
          <w:color w:val="231F20"/>
          <w:spacing w:val="-5"/>
          <w:sz w:val="16"/>
        </w:rPr>
        <w:t xml:space="preserve"> </w:t>
      </w:r>
      <w:r>
        <w:rPr>
          <w:color w:val="231F20"/>
          <w:sz w:val="16"/>
        </w:rPr>
        <w:t>2016</w:t>
      </w:r>
      <w:r>
        <w:rPr>
          <w:color w:val="231F20"/>
          <w:spacing w:val="-13"/>
          <w:sz w:val="16"/>
        </w:rPr>
        <w:t xml:space="preserve"> </w:t>
      </w:r>
      <w:r>
        <w:rPr>
          <w:color w:val="231F20"/>
          <w:sz w:val="16"/>
        </w:rPr>
        <w:t>р.</w:t>
      </w:r>
      <w:r>
        <w:rPr>
          <w:color w:val="231F20"/>
          <w:spacing w:val="-5"/>
          <w:sz w:val="16"/>
        </w:rPr>
        <w:t xml:space="preserve"> </w:t>
      </w:r>
      <w:r>
        <w:rPr>
          <w:color w:val="231F20"/>
          <w:sz w:val="16"/>
        </w:rPr>
        <w:t>Незважаючи</w:t>
      </w:r>
      <w:r>
        <w:rPr>
          <w:color w:val="231F20"/>
          <w:spacing w:val="-5"/>
          <w:sz w:val="16"/>
        </w:rPr>
        <w:t xml:space="preserve"> </w:t>
      </w:r>
      <w:r>
        <w:rPr>
          <w:color w:val="231F20"/>
          <w:sz w:val="16"/>
        </w:rPr>
        <w:t>на</w:t>
      </w:r>
      <w:r>
        <w:rPr>
          <w:color w:val="231F20"/>
          <w:spacing w:val="-5"/>
          <w:sz w:val="16"/>
        </w:rPr>
        <w:t xml:space="preserve"> </w:t>
      </w:r>
      <w:r>
        <w:rPr>
          <w:color w:val="231F20"/>
          <w:sz w:val="16"/>
        </w:rPr>
        <w:t>те,</w:t>
      </w:r>
      <w:r>
        <w:rPr>
          <w:color w:val="231F20"/>
          <w:spacing w:val="-5"/>
          <w:sz w:val="16"/>
        </w:rPr>
        <w:t xml:space="preserve"> </w:t>
      </w:r>
      <w:r>
        <w:rPr>
          <w:color w:val="231F20"/>
          <w:sz w:val="16"/>
        </w:rPr>
        <w:t>що</w:t>
      </w:r>
      <w:r>
        <w:rPr>
          <w:color w:val="231F20"/>
          <w:spacing w:val="-5"/>
          <w:sz w:val="16"/>
        </w:rPr>
        <w:t xml:space="preserve"> </w:t>
      </w:r>
      <w:r>
        <w:rPr>
          <w:color w:val="231F20"/>
          <w:sz w:val="16"/>
        </w:rPr>
        <w:t>вказані</w:t>
      </w:r>
      <w:r>
        <w:rPr>
          <w:color w:val="231F20"/>
          <w:spacing w:val="-5"/>
          <w:sz w:val="16"/>
        </w:rPr>
        <w:t xml:space="preserve"> </w:t>
      </w:r>
      <w:r>
        <w:rPr>
          <w:color w:val="231F20"/>
          <w:spacing w:val="-3"/>
          <w:sz w:val="16"/>
        </w:rPr>
        <w:t xml:space="preserve">пра- </w:t>
      </w:r>
      <w:r>
        <w:rPr>
          <w:color w:val="231F20"/>
          <w:sz w:val="16"/>
        </w:rPr>
        <w:t>вила</w:t>
      </w:r>
      <w:r>
        <w:rPr>
          <w:color w:val="231F20"/>
          <w:spacing w:val="-14"/>
          <w:sz w:val="16"/>
        </w:rPr>
        <w:t xml:space="preserve"> </w:t>
      </w:r>
      <w:r>
        <w:rPr>
          <w:color w:val="231F20"/>
          <w:sz w:val="16"/>
        </w:rPr>
        <w:t>втратили</w:t>
      </w:r>
      <w:r>
        <w:rPr>
          <w:color w:val="231F20"/>
          <w:spacing w:val="-14"/>
          <w:sz w:val="16"/>
        </w:rPr>
        <w:t xml:space="preserve"> </w:t>
      </w:r>
      <w:r>
        <w:rPr>
          <w:color w:val="231F20"/>
          <w:sz w:val="16"/>
        </w:rPr>
        <w:t>чинність,</w:t>
      </w:r>
      <w:r>
        <w:rPr>
          <w:color w:val="231F20"/>
          <w:spacing w:val="-14"/>
          <w:sz w:val="16"/>
        </w:rPr>
        <w:t xml:space="preserve"> </w:t>
      </w:r>
      <w:r>
        <w:rPr>
          <w:color w:val="231F20"/>
          <w:sz w:val="16"/>
        </w:rPr>
        <w:t>ними</w:t>
      </w:r>
      <w:r>
        <w:rPr>
          <w:color w:val="231F20"/>
          <w:spacing w:val="-14"/>
          <w:sz w:val="16"/>
        </w:rPr>
        <w:t xml:space="preserve"> </w:t>
      </w:r>
      <w:r>
        <w:rPr>
          <w:color w:val="231F20"/>
          <w:sz w:val="16"/>
        </w:rPr>
        <w:t>закріплювалася</w:t>
      </w:r>
      <w:r>
        <w:rPr>
          <w:color w:val="231F20"/>
          <w:spacing w:val="-14"/>
          <w:sz w:val="16"/>
        </w:rPr>
        <w:t xml:space="preserve"> </w:t>
      </w:r>
      <w:r>
        <w:rPr>
          <w:color w:val="231F20"/>
          <w:sz w:val="16"/>
        </w:rPr>
        <w:t>змістовно</w:t>
      </w:r>
      <w:r>
        <w:rPr>
          <w:color w:val="231F20"/>
          <w:spacing w:val="-14"/>
          <w:sz w:val="16"/>
        </w:rPr>
        <w:t xml:space="preserve"> </w:t>
      </w:r>
      <w:r>
        <w:rPr>
          <w:color w:val="231F20"/>
          <w:spacing w:val="-3"/>
          <w:sz w:val="16"/>
        </w:rPr>
        <w:t>узгоджена</w:t>
      </w:r>
      <w:r>
        <w:rPr>
          <w:color w:val="231F20"/>
          <w:spacing w:val="-14"/>
          <w:sz w:val="16"/>
        </w:rPr>
        <w:t xml:space="preserve"> </w:t>
      </w:r>
      <w:r>
        <w:rPr>
          <w:color w:val="231F20"/>
          <w:sz w:val="16"/>
        </w:rPr>
        <w:t>та</w:t>
      </w:r>
      <w:r>
        <w:rPr>
          <w:color w:val="231F20"/>
          <w:spacing w:val="-14"/>
          <w:sz w:val="16"/>
        </w:rPr>
        <w:t xml:space="preserve"> </w:t>
      </w:r>
      <w:r>
        <w:rPr>
          <w:color w:val="231F20"/>
          <w:sz w:val="16"/>
        </w:rPr>
        <w:t>гармонійна</w:t>
      </w:r>
      <w:r>
        <w:rPr>
          <w:color w:val="231F20"/>
          <w:spacing w:val="-14"/>
          <w:sz w:val="16"/>
        </w:rPr>
        <w:t xml:space="preserve"> </w:t>
      </w:r>
      <w:r>
        <w:rPr>
          <w:color w:val="231F20"/>
          <w:sz w:val="16"/>
        </w:rPr>
        <w:t>система етичних</w:t>
      </w:r>
      <w:r>
        <w:rPr>
          <w:color w:val="231F20"/>
          <w:spacing w:val="-18"/>
          <w:sz w:val="16"/>
        </w:rPr>
        <w:t xml:space="preserve"> </w:t>
      </w:r>
      <w:r>
        <w:rPr>
          <w:color w:val="231F20"/>
          <w:sz w:val="16"/>
        </w:rPr>
        <w:t>принципів,</w:t>
      </w:r>
      <w:r>
        <w:rPr>
          <w:color w:val="231F20"/>
          <w:spacing w:val="-18"/>
          <w:sz w:val="16"/>
        </w:rPr>
        <w:t xml:space="preserve"> </w:t>
      </w:r>
      <w:r>
        <w:rPr>
          <w:color w:val="231F20"/>
          <w:sz w:val="16"/>
        </w:rPr>
        <w:t>зміст</w:t>
      </w:r>
      <w:r>
        <w:rPr>
          <w:color w:val="231F20"/>
          <w:spacing w:val="-18"/>
          <w:sz w:val="16"/>
        </w:rPr>
        <w:t xml:space="preserve"> </w:t>
      </w:r>
      <w:r>
        <w:rPr>
          <w:color w:val="231F20"/>
          <w:sz w:val="16"/>
        </w:rPr>
        <w:t>більшості</w:t>
      </w:r>
      <w:r>
        <w:rPr>
          <w:color w:val="231F20"/>
          <w:spacing w:val="-18"/>
          <w:sz w:val="16"/>
        </w:rPr>
        <w:t xml:space="preserve"> </w:t>
      </w:r>
      <w:r>
        <w:rPr>
          <w:color w:val="231F20"/>
          <w:sz w:val="16"/>
        </w:rPr>
        <w:t>з</w:t>
      </w:r>
      <w:r>
        <w:rPr>
          <w:color w:val="231F20"/>
          <w:spacing w:val="-18"/>
          <w:sz w:val="16"/>
        </w:rPr>
        <w:t xml:space="preserve"> </w:t>
      </w:r>
      <w:r>
        <w:rPr>
          <w:color w:val="231F20"/>
          <w:sz w:val="16"/>
        </w:rPr>
        <w:t>яких</w:t>
      </w:r>
      <w:r>
        <w:rPr>
          <w:color w:val="231F20"/>
          <w:spacing w:val="-18"/>
          <w:sz w:val="16"/>
        </w:rPr>
        <w:t xml:space="preserve"> </w:t>
      </w:r>
      <w:r>
        <w:rPr>
          <w:color w:val="231F20"/>
          <w:sz w:val="16"/>
        </w:rPr>
        <w:t>відображено</w:t>
      </w:r>
      <w:r>
        <w:rPr>
          <w:color w:val="231F20"/>
          <w:spacing w:val="-18"/>
          <w:sz w:val="16"/>
        </w:rPr>
        <w:t xml:space="preserve"> </w:t>
      </w:r>
      <w:r>
        <w:rPr>
          <w:color w:val="231F20"/>
          <w:sz w:val="16"/>
        </w:rPr>
        <w:t>в</w:t>
      </w:r>
      <w:r>
        <w:rPr>
          <w:color w:val="231F20"/>
          <w:spacing w:val="-19"/>
          <w:sz w:val="16"/>
        </w:rPr>
        <w:t xml:space="preserve"> </w:t>
      </w:r>
      <w:r>
        <w:rPr>
          <w:color w:val="231F20"/>
          <w:sz w:val="16"/>
        </w:rPr>
        <w:t>чинни</w:t>
      </w:r>
      <w:r>
        <w:rPr>
          <w:color w:val="231F20"/>
          <w:sz w:val="16"/>
        </w:rPr>
        <w:t>х</w:t>
      </w:r>
      <w:r>
        <w:rPr>
          <w:color w:val="231F20"/>
          <w:spacing w:val="-18"/>
          <w:sz w:val="16"/>
        </w:rPr>
        <w:t xml:space="preserve"> </w:t>
      </w:r>
      <w:r>
        <w:rPr>
          <w:color w:val="231F20"/>
          <w:sz w:val="16"/>
        </w:rPr>
        <w:t>Загальних</w:t>
      </w:r>
      <w:r>
        <w:rPr>
          <w:color w:val="231F20"/>
          <w:spacing w:val="-18"/>
          <w:sz w:val="16"/>
        </w:rPr>
        <w:t xml:space="preserve"> </w:t>
      </w:r>
      <w:r>
        <w:rPr>
          <w:color w:val="231F20"/>
          <w:sz w:val="16"/>
        </w:rPr>
        <w:t>правил</w:t>
      </w:r>
      <w:r>
        <w:rPr>
          <w:color w:val="231F20"/>
          <w:spacing w:val="-18"/>
          <w:sz w:val="16"/>
        </w:rPr>
        <w:t xml:space="preserve"> </w:t>
      </w:r>
      <w:r>
        <w:rPr>
          <w:color w:val="231F20"/>
          <w:sz w:val="16"/>
        </w:rPr>
        <w:t>етичної поведінки</w:t>
      </w:r>
      <w:r>
        <w:rPr>
          <w:color w:val="231F20"/>
          <w:spacing w:val="-9"/>
          <w:sz w:val="16"/>
        </w:rPr>
        <w:t xml:space="preserve"> </w:t>
      </w:r>
      <w:r>
        <w:rPr>
          <w:color w:val="231F20"/>
          <w:sz w:val="16"/>
        </w:rPr>
        <w:t>державних</w:t>
      </w:r>
      <w:r>
        <w:rPr>
          <w:color w:val="231F20"/>
          <w:spacing w:val="-9"/>
          <w:sz w:val="16"/>
        </w:rPr>
        <w:t xml:space="preserve"> </w:t>
      </w:r>
      <w:r>
        <w:rPr>
          <w:color w:val="231F20"/>
          <w:sz w:val="16"/>
        </w:rPr>
        <w:t>службовців</w:t>
      </w:r>
      <w:r>
        <w:rPr>
          <w:color w:val="231F20"/>
          <w:spacing w:val="-9"/>
          <w:sz w:val="16"/>
        </w:rPr>
        <w:t xml:space="preserve"> </w:t>
      </w:r>
      <w:r>
        <w:rPr>
          <w:color w:val="231F20"/>
          <w:sz w:val="16"/>
        </w:rPr>
        <w:t>та</w:t>
      </w:r>
      <w:r>
        <w:rPr>
          <w:color w:val="231F20"/>
          <w:spacing w:val="-9"/>
          <w:sz w:val="16"/>
        </w:rPr>
        <w:t xml:space="preserve"> </w:t>
      </w:r>
      <w:r>
        <w:rPr>
          <w:color w:val="231F20"/>
          <w:sz w:val="16"/>
        </w:rPr>
        <w:t>посадових</w:t>
      </w:r>
      <w:r>
        <w:rPr>
          <w:color w:val="231F20"/>
          <w:spacing w:val="-9"/>
          <w:sz w:val="16"/>
        </w:rPr>
        <w:t xml:space="preserve"> </w:t>
      </w:r>
      <w:r>
        <w:rPr>
          <w:color w:val="231F20"/>
          <w:sz w:val="16"/>
        </w:rPr>
        <w:t>осіб</w:t>
      </w:r>
      <w:r>
        <w:rPr>
          <w:color w:val="231F20"/>
          <w:spacing w:val="-9"/>
          <w:sz w:val="16"/>
        </w:rPr>
        <w:t xml:space="preserve"> </w:t>
      </w:r>
      <w:r>
        <w:rPr>
          <w:color w:val="231F20"/>
          <w:sz w:val="16"/>
        </w:rPr>
        <w:t>місцевого</w:t>
      </w:r>
      <w:r>
        <w:rPr>
          <w:color w:val="231F20"/>
          <w:spacing w:val="-9"/>
          <w:sz w:val="16"/>
        </w:rPr>
        <w:t xml:space="preserve"> </w:t>
      </w:r>
      <w:r>
        <w:rPr>
          <w:color w:val="231F20"/>
          <w:sz w:val="16"/>
        </w:rPr>
        <w:t>самоврядування;</w:t>
      </w:r>
      <w:r>
        <w:rPr>
          <w:color w:val="231F20"/>
          <w:spacing w:val="-9"/>
          <w:sz w:val="16"/>
        </w:rPr>
        <w:t xml:space="preserve"> </w:t>
      </w:r>
      <w:r>
        <w:rPr>
          <w:color w:val="231F20"/>
          <w:sz w:val="16"/>
        </w:rPr>
        <w:t>при</w:t>
      </w:r>
      <w:r>
        <w:rPr>
          <w:color w:val="231F20"/>
          <w:spacing w:val="-9"/>
          <w:sz w:val="16"/>
        </w:rPr>
        <w:t xml:space="preserve"> </w:t>
      </w:r>
      <w:r>
        <w:rPr>
          <w:color w:val="231F20"/>
          <w:sz w:val="16"/>
        </w:rPr>
        <w:t>цьому останні</w:t>
      </w:r>
      <w:r>
        <w:rPr>
          <w:color w:val="231F20"/>
          <w:spacing w:val="-10"/>
          <w:sz w:val="16"/>
        </w:rPr>
        <w:t xml:space="preserve"> </w:t>
      </w:r>
      <w:r>
        <w:rPr>
          <w:color w:val="231F20"/>
          <w:spacing w:val="-3"/>
          <w:sz w:val="16"/>
        </w:rPr>
        <w:t>формулюються</w:t>
      </w:r>
      <w:r>
        <w:rPr>
          <w:color w:val="231F20"/>
          <w:spacing w:val="-10"/>
          <w:sz w:val="16"/>
        </w:rPr>
        <w:t xml:space="preserve"> </w:t>
      </w:r>
      <w:r>
        <w:rPr>
          <w:color w:val="231F20"/>
          <w:sz w:val="16"/>
        </w:rPr>
        <w:t>як</w:t>
      </w:r>
      <w:r>
        <w:rPr>
          <w:color w:val="231F20"/>
          <w:spacing w:val="-10"/>
          <w:sz w:val="16"/>
        </w:rPr>
        <w:t xml:space="preserve"> </w:t>
      </w:r>
      <w:r>
        <w:rPr>
          <w:color w:val="231F20"/>
          <w:sz w:val="16"/>
        </w:rPr>
        <w:t>сукупність</w:t>
      </w:r>
      <w:r>
        <w:rPr>
          <w:color w:val="231F20"/>
          <w:spacing w:val="-10"/>
          <w:sz w:val="16"/>
        </w:rPr>
        <w:t xml:space="preserve"> </w:t>
      </w:r>
      <w:r>
        <w:rPr>
          <w:color w:val="231F20"/>
          <w:sz w:val="16"/>
        </w:rPr>
        <w:t>вимог</w:t>
      </w:r>
      <w:r>
        <w:rPr>
          <w:color w:val="231F20"/>
          <w:spacing w:val="-10"/>
          <w:sz w:val="16"/>
        </w:rPr>
        <w:t xml:space="preserve"> </w:t>
      </w:r>
      <w:r>
        <w:rPr>
          <w:color w:val="231F20"/>
          <w:sz w:val="16"/>
        </w:rPr>
        <w:t>і</w:t>
      </w:r>
      <w:r>
        <w:rPr>
          <w:color w:val="231F20"/>
          <w:spacing w:val="-10"/>
          <w:sz w:val="16"/>
        </w:rPr>
        <w:t xml:space="preserve"> </w:t>
      </w:r>
      <w:r>
        <w:rPr>
          <w:color w:val="231F20"/>
          <w:sz w:val="16"/>
        </w:rPr>
        <w:t>правил,</w:t>
      </w:r>
      <w:r>
        <w:rPr>
          <w:color w:val="231F20"/>
          <w:spacing w:val="-10"/>
          <w:sz w:val="16"/>
        </w:rPr>
        <w:t xml:space="preserve"> </w:t>
      </w:r>
      <w:r>
        <w:rPr>
          <w:color w:val="231F20"/>
          <w:sz w:val="16"/>
        </w:rPr>
        <w:t>без</w:t>
      </w:r>
      <w:r>
        <w:rPr>
          <w:color w:val="231F20"/>
          <w:spacing w:val="-10"/>
          <w:sz w:val="16"/>
        </w:rPr>
        <w:t xml:space="preserve"> </w:t>
      </w:r>
      <w:r>
        <w:rPr>
          <w:color w:val="231F20"/>
          <w:sz w:val="16"/>
        </w:rPr>
        <w:t>найменування</w:t>
      </w:r>
      <w:r>
        <w:rPr>
          <w:color w:val="231F20"/>
          <w:spacing w:val="-10"/>
          <w:sz w:val="16"/>
        </w:rPr>
        <w:t xml:space="preserve"> </w:t>
      </w:r>
      <w:r>
        <w:rPr>
          <w:color w:val="231F20"/>
          <w:sz w:val="16"/>
        </w:rPr>
        <w:t xml:space="preserve">фундаментальних етичних засад та без систематизації існуючих етико-правових приписів за змістом таких засад. Із </w:t>
      </w:r>
      <w:r>
        <w:rPr>
          <w:color w:val="231F20"/>
          <w:spacing w:val="-3"/>
          <w:sz w:val="16"/>
        </w:rPr>
        <w:t xml:space="preserve">передбаченого </w:t>
      </w:r>
      <w:r>
        <w:rPr>
          <w:color w:val="231F20"/>
          <w:sz w:val="16"/>
        </w:rPr>
        <w:t>Правилами етичної поведінки державних службовців переліку принципів</w:t>
      </w:r>
      <w:r>
        <w:rPr>
          <w:color w:val="231F20"/>
          <w:spacing w:val="-7"/>
          <w:sz w:val="16"/>
        </w:rPr>
        <w:t xml:space="preserve"> </w:t>
      </w:r>
      <w:r>
        <w:rPr>
          <w:color w:val="231F20"/>
          <w:sz w:val="16"/>
        </w:rPr>
        <w:t>зроблено</w:t>
      </w:r>
      <w:r>
        <w:rPr>
          <w:color w:val="231F20"/>
          <w:spacing w:val="-7"/>
          <w:sz w:val="16"/>
        </w:rPr>
        <w:t xml:space="preserve"> </w:t>
      </w:r>
      <w:r>
        <w:rPr>
          <w:color w:val="231F20"/>
          <w:sz w:val="16"/>
        </w:rPr>
        <w:t>два</w:t>
      </w:r>
      <w:r>
        <w:rPr>
          <w:color w:val="231F20"/>
          <w:spacing w:val="-7"/>
          <w:sz w:val="16"/>
        </w:rPr>
        <w:t xml:space="preserve"> </w:t>
      </w:r>
      <w:r>
        <w:rPr>
          <w:color w:val="231F20"/>
          <w:sz w:val="16"/>
        </w:rPr>
        <w:t>винятки:</w:t>
      </w:r>
      <w:r>
        <w:rPr>
          <w:color w:val="231F20"/>
          <w:spacing w:val="-7"/>
          <w:sz w:val="16"/>
        </w:rPr>
        <w:t xml:space="preserve"> </w:t>
      </w:r>
      <w:r>
        <w:rPr>
          <w:color w:val="231F20"/>
          <w:sz w:val="16"/>
        </w:rPr>
        <w:t>1)</w:t>
      </w:r>
      <w:r>
        <w:rPr>
          <w:color w:val="231F20"/>
          <w:spacing w:val="-7"/>
          <w:sz w:val="16"/>
        </w:rPr>
        <w:t xml:space="preserve"> </w:t>
      </w:r>
      <w:r>
        <w:rPr>
          <w:color w:val="231F20"/>
          <w:sz w:val="16"/>
        </w:rPr>
        <w:t>виключено</w:t>
      </w:r>
      <w:r>
        <w:rPr>
          <w:color w:val="231F20"/>
          <w:spacing w:val="-7"/>
          <w:sz w:val="16"/>
        </w:rPr>
        <w:t xml:space="preserve"> </w:t>
      </w:r>
      <w:r>
        <w:rPr>
          <w:color w:val="231F20"/>
          <w:sz w:val="16"/>
        </w:rPr>
        <w:t>принцип</w:t>
      </w:r>
      <w:r>
        <w:rPr>
          <w:color w:val="231F20"/>
          <w:spacing w:val="-7"/>
          <w:sz w:val="16"/>
        </w:rPr>
        <w:t xml:space="preserve"> </w:t>
      </w:r>
      <w:r>
        <w:rPr>
          <w:color w:val="231F20"/>
          <w:sz w:val="16"/>
        </w:rPr>
        <w:t>прозорості</w:t>
      </w:r>
      <w:r>
        <w:rPr>
          <w:color w:val="231F20"/>
          <w:spacing w:val="-7"/>
          <w:sz w:val="16"/>
        </w:rPr>
        <w:t xml:space="preserve"> </w:t>
      </w:r>
      <w:r>
        <w:rPr>
          <w:color w:val="231F20"/>
          <w:sz w:val="16"/>
        </w:rPr>
        <w:t>та</w:t>
      </w:r>
      <w:r>
        <w:rPr>
          <w:color w:val="231F20"/>
          <w:spacing w:val="-7"/>
          <w:sz w:val="16"/>
        </w:rPr>
        <w:t xml:space="preserve"> </w:t>
      </w:r>
      <w:r>
        <w:rPr>
          <w:color w:val="231F20"/>
          <w:sz w:val="16"/>
        </w:rPr>
        <w:t>підзв</w:t>
      </w:r>
      <w:r>
        <w:rPr>
          <w:color w:val="231F20"/>
          <w:sz w:val="16"/>
        </w:rPr>
        <w:t>ітності,</w:t>
      </w:r>
      <w:r>
        <w:rPr>
          <w:color w:val="231F20"/>
          <w:spacing w:val="-7"/>
          <w:sz w:val="16"/>
        </w:rPr>
        <w:t xml:space="preserve"> </w:t>
      </w:r>
      <w:r>
        <w:rPr>
          <w:color w:val="231F20"/>
          <w:sz w:val="16"/>
        </w:rPr>
        <w:t>який є</w:t>
      </w:r>
      <w:r>
        <w:rPr>
          <w:color w:val="231F20"/>
          <w:spacing w:val="-11"/>
          <w:sz w:val="16"/>
        </w:rPr>
        <w:t xml:space="preserve"> </w:t>
      </w:r>
      <w:r>
        <w:rPr>
          <w:color w:val="231F20"/>
          <w:sz w:val="16"/>
        </w:rPr>
        <w:t>більше</w:t>
      </w:r>
      <w:r>
        <w:rPr>
          <w:color w:val="231F20"/>
          <w:spacing w:val="-11"/>
          <w:sz w:val="16"/>
        </w:rPr>
        <w:t xml:space="preserve"> </w:t>
      </w:r>
      <w:r>
        <w:rPr>
          <w:color w:val="231F20"/>
          <w:sz w:val="16"/>
        </w:rPr>
        <w:t>загальноправовим,</w:t>
      </w:r>
      <w:r>
        <w:rPr>
          <w:color w:val="231F20"/>
          <w:spacing w:val="-11"/>
          <w:sz w:val="16"/>
        </w:rPr>
        <w:t xml:space="preserve"> </w:t>
      </w:r>
      <w:r>
        <w:rPr>
          <w:color w:val="231F20"/>
          <w:sz w:val="16"/>
        </w:rPr>
        <w:t>ніж</w:t>
      </w:r>
      <w:r>
        <w:rPr>
          <w:color w:val="231F20"/>
          <w:spacing w:val="-11"/>
          <w:sz w:val="16"/>
        </w:rPr>
        <w:t xml:space="preserve"> </w:t>
      </w:r>
      <w:r>
        <w:rPr>
          <w:color w:val="231F20"/>
          <w:sz w:val="16"/>
        </w:rPr>
        <w:t>етичним;</w:t>
      </w:r>
      <w:r>
        <w:rPr>
          <w:color w:val="231F20"/>
          <w:spacing w:val="-11"/>
          <w:sz w:val="16"/>
        </w:rPr>
        <w:t xml:space="preserve"> </w:t>
      </w:r>
      <w:r>
        <w:rPr>
          <w:color w:val="231F20"/>
          <w:sz w:val="16"/>
        </w:rPr>
        <w:t>2)</w:t>
      </w:r>
      <w:r>
        <w:rPr>
          <w:color w:val="231F20"/>
          <w:spacing w:val="-11"/>
          <w:sz w:val="16"/>
        </w:rPr>
        <w:t xml:space="preserve"> </w:t>
      </w:r>
      <w:r>
        <w:rPr>
          <w:color w:val="231F20"/>
          <w:sz w:val="16"/>
        </w:rPr>
        <w:t>виключено</w:t>
      </w:r>
      <w:r>
        <w:rPr>
          <w:color w:val="231F20"/>
          <w:spacing w:val="-11"/>
          <w:sz w:val="16"/>
        </w:rPr>
        <w:t xml:space="preserve"> </w:t>
      </w:r>
      <w:r>
        <w:rPr>
          <w:color w:val="231F20"/>
          <w:sz w:val="16"/>
        </w:rPr>
        <w:t>принцип</w:t>
      </w:r>
      <w:r>
        <w:rPr>
          <w:color w:val="231F20"/>
          <w:spacing w:val="-11"/>
          <w:sz w:val="16"/>
        </w:rPr>
        <w:t xml:space="preserve"> </w:t>
      </w:r>
      <w:r>
        <w:rPr>
          <w:color w:val="231F20"/>
          <w:sz w:val="16"/>
        </w:rPr>
        <w:t>лояльності,</w:t>
      </w:r>
      <w:r>
        <w:rPr>
          <w:color w:val="231F20"/>
          <w:spacing w:val="-11"/>
          <w:sz w:val="16"/>
        </w:rPr>
        <w:t xml:space="preserve"> </w:t>
      </w:r>
      <w:r>
        <w:rPr>
          <w:color w:val="231F20"/>
          <w:sz w:val="16"/>
        </w:rPr>
        <w:t>який</w:t>
      </w:r>
      <w:r>
        <w:rPr>
          <w:color w:val="231F20"/>
          <w:spacing w:val="-11"/>
          <w:sz w:val="16"/>
        </w:rPr>
        <w:t xml:space="preserve"> </w:t>
      </w:r>
      <w:r>
        <w:rPr>
          <w:color w:val="231F20"/>
          <w:spacing w:val="-2"/>
          <w:sz w:val="16"/>
        </w:rPr>
        <w:t xml:space="preserve">єдиний </w:t>
      </w:r>
      <w:r>
        <w:rPr>
          <w:color w:val="231F20"/>
          <w:sz w:val="16"/>
        </w:rPr>
        <w:t>не</w:t>
      </w:r>
      <w:r>
        <w:rPr>
          <w:color w:val="231F20"/>
          <w:spacing w:val="-5"/>
          <w:sz w:val="16"/>
        </w:rPr>
        <w:t xml:space="preserve"> </w:t>
      </w:r>
      <w:r>
        <w:rPr>
          <w:color w:val="231F20"/>
          <w:sz w:val="16"/>
        </w:rPr>
        <w:t>був</w:t>
      </w:r>
      <w:r>
        <w:rPr>
          <w:color w:val="231F20"/>
          <w:spacing w:val="-5"/>
          <w:sz w:val="16"/>
        </w:rPr>
        <w:t xml:space="preserve"> </w:t>
      </w:r>
      <w:r>
        <w:rPr>
          <w:color w:val="231F20"/>
          <w:sz w:val="16"/>
        </w:rPr>
        <w:t>відтворений</w:t>
      </w:r>
      <w:r>
        <w:rPr>
          <w:color w:val="231F20"/>
          <w:spacing w:val="-5"/>
          <w:sz w:val="16"/>
        </w:rPr>
        <w:t xml:space="preserve"> </w:t>
      </w:r>
      <w:r>
        <w:rPr>
          <w:color w:val="231F20"/>
          <w:sz w:val="16"/>
        </w:rPr>
        <w:t>у</w:t>
      </w:r>
      <w:r>
        <w:rPr>
          <w:color w:val="231F20"/>
          <w:spacing w:val="-5"/>
          <w:sz w:val="16"/>
        </w:rPr>
        <w:t xml:space="preserve"> </w:t>
      </w:r>
      <w:r>
        <w:rPr>
          <w:color w:val="231F20"/>
          <w:sz w:val="16"/>
        </w:rPr>
        <w:t>чинних</w:t>
      </w:r>
      <w:r>
        <w:rPr>
          <w:color w:val="231F20"/>
          <w:spacing w:val="-5"/>
          <w:sz w:val="16"/>
        </w:rPr>
        <w:t xml:space="preserve"> </w:t>
      </w:r>
      <w:r>
        <w:rPr>
          <w:color w:val="231F20"/>
          <w:sz w:val="16"/>
        </w:rPr>
        <w:t>Загальних</w:t>
      </w:r>
      <w:r>
        <w:rPr>
          <w:color w:val="231F20"/>
          <w:spacing w:val="-5"/>
          <w:sz w:val="16"/>
        </w:rPr>
        <w:t xml:space="preserve"> </w:t>
      </w:r>
      <w:r>
        <w:rPr>
          <w:color w:val="231F20"/>
          <w:sz w:val="16"/>
        </w:rPr>
        <w:t>правилах.</w:t>
      </w:r>
      <w:r>
        <w:rPr>
          <w:color w:val="231F20"/>
          <w:spacing w:val="-5"/>
          <w:sz w:val="16"/>
        </w:rPr>
        <w:t xml:space="preserve"> </w:t>
      </w:r>
      <w:r>
        <w:rPr>
          <w:color w:val="231F20"/>
          <w:sz w:val="16"/>
        </w:rPr>
        <w:t>Принцип</w:t>
      </w:r>
      <w:r>
        <w:rPr>
          <w:color w:val="231F20"/>
          <w:spacing w:val="-5"/>
          <w:sz w:val="16"/>
        </w:rPr>
        <w:t xml:space="preserve"> </w:t>
      </w:r>
      <w:r>
        <w:rPr>
          <w:color w:val="231F20"/>
          <w:sz w:val="16"/>
        </w:rPr>
        <w:t>лояльності</w:t>
      </w:r>
      <w:r>
        <w:rPr>
          <w:color w:val="231F20"/>
          <w:spacing w:val="-5"/>
          <w:sz w:val="16"/>
        </w:rPr>
        <w:t xml:space="preserve"> </w:t>
      </w:r>
      <w:r>
        <w:rPr>
          <w:color w:val="231F20"/>
          <w:sz w:val="16"/>
        </w:rPr>
        <w:t>містив</w:t>
      </w:r>
      <w:r>
        <w:rPr>
          <w:color w:val="231F20"/>
          <w:spacing w:val="-5"/>
          <w:sz w:val="16"/>
        </w:rPr>
        <w:t xml:space="preserve"> </w:t>
      </w:r>
      <w:r>
        <w:rPr>
          <w:color w:val="231F20"/>
          <w:sz w:val="16"/>
        </w:rPr>
        <w:t>вимогу</w:t>
      </w:r>
      <w:r>
        <w:rPr>
          <w:color w:val="231F20"/>
          <w:spacing w:val="-5"/>
          <w:sz w:val="16"/>
        </w:rPr>
        <w:t xml:space="preserve"> </w:t>
      </w:r>
      <w:r>
        <w:rPr>
          <w:color w:val="231F20"/>
          <w:spacing w:val="-2"/>
          <w:sz w:val="16"/>
        </w:rPr>
        <w:t xml:space="preserve">про </w:t>
      </w:r>
      <w:r>
        <w:rPr>
          <w:color w:val="231F20"/>
          <w:sz w:val="16"/>
        </w:rPr>
        <w:t>утримання</w:t>
      </w:r>
      <w:r>
        <w:rPr>
          <w:color w:val="231F20"/>
          <w:spacing w:val="-12"/>
          <w:sz w:val="16"/>
        </w:rPr>
        <w:t xml:space="preserve"> </w:t>
      </w:r>
      <w:r>
        <w:rPr>
          <w:color w:val="231F20"/>
          <w:sz w:val="16"/>
        </w:rPr>
        <w:t>від</w:t>
      </w:r>
      <w:r>
        <w:rPr>
          <w:color w:val="231F20"/>
          <w:spacing w:val="-12"/>
          <w:sz w:val="16"/>
        </w:rPr>
        <w:t xml:space="preserve"> </w:t>
      </w:r>
      <w:r>
        <w:rPr>
          <w:color w:val="231F20"/>
          <w:spacing w:val="-3"/>
          <w:sz w:val="16"/>
        </w:rPr>
        <w:t>будь-яких</w:t>
      </w:r>
      <w:r>
        <w:rPr>
          <w:color w:val="231F20"/>
          <w:spacing w:val="-12"/>
          <w:sz w:val="16"/>
        </w:rPr>
        <w:t xml:space="preserve"> </w:t>
      </w:r>
      <w:r>
        <w:rPr>
          <w:color w:val="231F20"/>
          <w:sz w:val="16"/>
        </w:rPr>
        <w:t>проявів</w:t>
      </w:r>
      <w:r>
        <w:rPr>
          <w:color w:val="231F20"/>
          <w:spacing w:val="-12"/>
          <w:sz w:val="16"/>
        </w:rPr>
        <w:t xml:space="preserve"> </w:t>
      </w:r>
      <w:r>
        <w:rPr>
          <w:color w:val="231F20"/>
          <w:sz w:val="16"/>
        </w:rPr>
        <w:t>публічної</w:t>
      </w:r>
      <w:r>
        <w:rPr>
          <w:color w:val="231F20"/>
          <w:spacing w:val="-12"/>
          <w:sz w:val="16"/>
        </w:rPr>
        <w:t xml:space="preserve"> </w:t>
      </w:r>
      <w:r>
        <w:rPr>
          <w:color w:val="231F20"/>
          <w:sz w:val="16"/>
        </w:rPr>
        <w:t>критики</w:t>
      </w:r>
      <w:r>
        <w:rPr>
          <w:color w:val="231F20"/>
          <w:spacing w:val="-12"/>
          <w:sz w:val="16"/>
        </w:rPr>
        <w:t xml:space="preserve"> </w:t>
      </w:r>
      <w:r>
        <w:rPr>
          <w:color w:val="231F20"/>
          <w:sz w:val="16"/>
        </w:rPr>
        <w:t>діяльності</w:t>
      </w:r>
      <w:r>
        <w:rPr>
          <w:color w:val="231F20"/>
          <w:spacing w:val="-12"/>
          <w:sz w:val="16"/>
        </w:rPr>
        <w:t xml:space="preserve"> </w:t>
      </w:r>
      <w:r>
        <w:rPr>
          <w:color w:val="231F20"/>
          <w:sz w:val="16"/>
        </w:rPr>
        <w:t>державних</w:t>
      </w:r>
      <w:r>
        <w:rPr>
          <w:color w:val="231F20"/>
          <w:spacing w:val="-12"/>
          <w:sz w:val="16"/>
        </w:rPr>
        <w:t xml:space="preserve"> </w:t>
      </w:r>
      <w:r>
        <w:rPr>
          <w:color w:val="231F20"/>
          <w:sz w:val="16"/>
        </w:rPr>
        <w:t>органів,</w:t>
      </w:r>
      <w:r>
        <w:rPr>
          <w:color w:val="231F20"/>
          <w:spacing w:val="-12"/>
          <w:sz w:val="16"/>
        </w:rPr>
        <w:t xml:space="preserve"> </w:t>
      </w:r>
      <w:r>
        <w:rPr>
          <w:color w:val="231F20"/>
          <w:sz w:val="16"/>
        </w:rPr>
        <w:t>їх</w:t>
      </w:r>
      <w:r>
        <w:rPr>
          <w:color w:val="231F20"/>
          <w:spacing w:val="-12"/>
          <w:sz w:val="16"/>
        </w:rPr>
        <w:t xml:space="preserve"> </w:t>
      </w:r>
      <w:r>
        <w:rPr>
          <w:color w:val="231F20"/>
          <w:sz w:val="16"/>
        </w:rPr>
        <w:t xml:space="preserve">поса- дових осіб. Це небезпідставно </w:t>
      </w:r>
      <w:r>
        <w:rPr>
          <w:color w:val="231F20"/>
          <w:spacing w:val="-3"/>
          <w:sz w:val="16"/>
        </w:rPr>
        <w:t xml:space="preserve">було </w:t>
      </w:r>
      <w:r>
        <w:rPr>
          <w:color w:val="231F20"/>
          <w:sz w:val="16"/>
        </w:rPr>
        <w:t xml:space="preserve">розцінено більшістю фахівців як відступ від </w:t>
      </w:r>
      <w:r>
        <w:rPr>
          <w:color w:val="231F20"/>
          <w:spacing w:val="-3"/>
          <w:sz w:val="16"/>
        </w:rPr>
        <w:t xml:space="preserve">положень </w:t>
      </w:r>
      <w:r>
        <w:rPr>
          <w:color w:val="231F20"/>
          <w:spacing w:val="-6"/>
          <w:sz w:val="16"/>
        </w:rPr>
        <w:t xml:space="preserve">ст. </w:t>
      </w:r>
      <w:r>
        <w:rPr>
          <w:color w:val="231F20"/>
          <w:sz w:val="16"/>
        </w:rPr>
        <w:t xml:space="preserve">34 </w:t>
      </w:r>
      <w:r>
        <w:rPr>
          <w:color w:val="231F20"/>
          <w:spacing w:val="-3"/>
          <w:sz w:val="16"/>
        </w:rPr>
        <w:t xml:space="preserve">Конституції </w:t>
      </w:r>
      <w:r>
        <w:rPr>
          <w:color w:val="231F20"/>
          <w:spacing w:val="-4"/>
          <w:sz w:val="16"/>
        </w:rPr>
        <w:t xml:space="preserve">України </w:t>
      </w:r>
      <w:r>
        <w:rPr>
          <w:color w:val="231F20"/>
          <w:sz w:val="16"/>
        </w:rPr>
        <w:t xml:space="preserve">та </w:t>
      </w:r>
      <w:r>
        <w:rPr>
          <w:color w:val="231F20"/>
          <w:spacing w:val="-6"/>
          <w:sz w:val="16"/>
        </w:rPr>
        <w:t xml:space="preserve">ст. </w:t>
      </w:r>
      <w:r>
        <w:rPr>
          <w:color w:val="231F20"/>
          <w:sz w:val="16"/>
        </w:rPr>
        <w:t xml:space="preserve">10 </w:t>
      </w:r>
      <w:r>
        <w:rPr>
          <w:color w:val="231F20"/>
          <w:spacing w:val="-3"/>
          <w:sz w:val="16"/>
        </w:rPr>
        <w:t xml:space="preserve">Конвенції </w:t>
      </w:r>
      <w:r>
        <w:rPr>
          <w:color w:val="231F20"/>
          <w:sz w:val="16"/>
        </w:rPr>
        <w:t xml:space="preserve">про захист прав </w:t>
      </w:r>
      <w:r>
        <w:rPr>
          <w:color w:val="231F20"/>
          <w:spacing w:val="-3"/>
          <w:sz w:val="16"/>
        </w:rPr>
        <w:t xml:space="preserve">людини </w:t>
      </w:r>
      <w:r>
        <w:rPr>
          <w:color w:val="231F20"/>
          <w:sz w:val="16"/>
        </w:rPr>
        <w:t xml:space="preserve">і </w:t>
      </w:r>
      <w:r>
        <w:rPr>
          <w:color w:val="231F20"/>
          <w:spacing w:val="-3"/>
          <w:sz w:val="16"/>
        </w:rPr>
        <w:t xml:space="preserve">основоположних свобод. Водночас </w:t>
      </w:r>
      <w:r>
        <w:rPr>
          <w:color w:val="231F20"/>
          <w:sz w:val="16"/>
        </w:rPr>
        <w:t xml:space="preserve">слід </w:t>
      </w:r>
      <w:r>
        <w:rPr>
          <w:color w:val="231F20"/>
          <w:spacing w:val="-3"/>
          <w:sz w:val="16"/>
        </w:rPr>
        <w:t xml:space="preserve">враховувати </w:t>
      </w:r>
      <w:r>
        <w:rPr>
          <w:color w:val="231F20"/>
          <w:sz w:val="16"/>
        </w:rPr>
        <w:t xml:space="preserve">що: а) принцип лояльності </w:t>
      </w:r>
      <w:r>
        <w:rPr>
          <w:color w:val="231F20"/>
          <w:spacing w:val="-3"/>
          <w:sz w:val="16"/>
        </w:rPr>
        <w:t>зас</w:t>
      </w:r>
      <w:r>
        <w:rPr>
          <w:color w:val="231F20"/>
          <w:spacing w:val="-3"/>
          <w:sz w:val="16"/>
        </w:rPr>
        <w:t xml:space="preserve">тосовується </w:t>
      </w:r>
      <w:r>
        <w:rPr>
          <w:color w:val="231F20"/>
          <w:sz w:val="16"/>
        </w:rPr>
        <w:t xml:space="preserve">в </w:t>
      </w:r>
      <w:r>
        <w:rPr>
          <w:color w:val="231F20"/>
          <w:spacing w:val="-3"/>
          <w:sz w:val="16"/>
        </w:rPr>
        <w:t xml:space="preserve">багатьох </w:t>
      </w:r>
      <w:r>
        <w:rPr>
          <w:color w:val="231F20"/>
          <w:sz w:val="16"/>
        </w:rPr>
        <w:t xml:space="preserve">країнах розвинутої демократії (наприклад, Франція і США) та </w:t>
      </w:r>
      <w:r>
        <w:rPr>
          <w:color w:val="231F20"/>
          <w:spacing w:val="-3"/>
          <w:sz w:val="16"/>
        </w:rPr>
        <w:t xml:space="preserve">передбачений Модельним кодексом </w:t>
      </w:r>
      <w:r>
        <w:rPr>
          <w:color w:val="231F20"/>
          <w:sz w:val="16"/>
        </w:rPr>
        <w:t xml:space="preserve">поведінки державних службовців </w:t>
      </w:r>
      <w:r>
        <w:rPr>
          <w:color w:val="231F20"/>
          <w:spacing w:val="-3"/>
          <w:sz w:val="16"/>
        </w:rPr>
        <w:t xml:space="preserve">Ради </w:t>
      </w:r>
      <w:r>
        <w:rPr>
          <w:color w:val="231F20"/>
          <w:sz w:val="16"/>
        </w:rPr>
        <w:t xml:space="preserve">Європи; б) лояльність до державного </w:t>
      </w:r>
      <w:r>
        <w:rPr>
          <w:color w:val="231F20"/>
          <w:spacing w:val="-3"/>
          <w:sz w:val="16"/>
        </w:rPr>
        <w:t xml:space="preserve">устрою, </w:t>
      </w:r>
      <w:r>
        <w:rPr>
          <w:color w:val="231F20"/>
          <w:sz w:val="16"/>
        </w:rPr>
        <w:t xml:space="preserve">уряду та офіційної державної політики не </w:t>
      </w:r>
      <w:r>
        <w:rPr>
          <w:color w:val="231F20"/>
          <w:spacing w:val="-3"/>
          <w:sz w:val="16"/>
        </w:rPr>
        <w:t xml:space="preserve">передбачає </w:t>
      </w:r>
      <w:r>
        <w:rPr>
          <w:color w:val="231F20"/>
          <w:sz w:val="16"/>
        </w:rPr>
        <w:t>лояльност</w:t>
      </w:r>
      <w:r>
        <w:rPr>
          <w:color w:val="231F20"/>
          <w:sz w:val="16"/>
        </w:rPr>
        <w:t>і до правлячої політичної</w:t>
      </w:r>
      <w:r>
        <w:rPr>
          <w:color w:val="231F20"/>
          <w:spacing w:val="-14"/>
          <w:sz w:val="16"/>
        </w:rPr>
        <w:t xml:space="preserve"> </w:t>
      </w:r>
      <w:r>
        <w:rPr>
          <w:color w:val="231F20"/>
          <w:sz w:val="16"/>
        </w:rPr>
        <w:t>сили;</w:t>
      </w:r>
      <w:r>
        <w:rPr>
          <w:color w:val="231F20"/>
          <w:spacing w:val="-14"/>
          <w:sz w:val="16"/>
        </w:rPr>
        <w:t xml:space="preserve"> </w:t>
      </w:r>
      <w:r>
        <w:rPr>
          <w:color w:val="231F20"/>
          <w:sz w:val="16"/>
        </w:rPr>
        <w:t>в)</w:t>
      </w:r>
      <w:r>
        <w:rPr>
          <w:color w:val="231F20"/>
          <w:spacing w:val="-14"/>
          <w:sz w:val="16"/>
        </w:rPr>
        <w:t xml:space="preserve"> </w:t>
      </w:r>
      <w:r>
        <w:rPr>
          <w:color w:val="231F20"/>
          <w:sz w:val="16"/>
        </w:rPr>
        <w:t>публічні</w:t>
      </w:r>
      <w:r>
        <w:rPr>
          <w:color w:val="231F20"/>
          <w:spacing w:val="-14"/>
          <w:sz w:val="16"/>
        </w:rPr>
        <w:t xml:space="preserve"> </w:t>
      </w:r>
      <w:r>
        <w:rPr>
          <w:color w:val="231F20"/>
          <w:sz w:val="16"/>
        </w:rPr>
        <w:t>службовці</w:t>
      </w:r>
      <w:r>
        <w:rPr>
          <w:color w:val="231F20"/>
          <w:spacing w:val="-14"/>
          <w:sz w:val="16"/>
        </w:rPr>
        <w:t xml:space="preserve"> </w:t>
      </w:r>
      <w:r>
        <w:rPr>
          <w:color w:val="231F20"/>
          <w:sz w:val="16"/>
        </w:rPr>
        <w:t>мають</w:t>
      </w:r>
      <w:r>
        <w:rPr>
          <w:color w:val="231F20"/>
          <w:spacing w:val="-14"/>
          <w:sz w:val="16"/>
        </w:rPr>
        <w:t xml:space="preserve"> </w:t>
      </w:r>
      <w:r>
        <w:rPr>
          <w:color w:val="231F20"/>
          <w:sz w:val="16"/>
        </w:rPr>
        <w:t>організаційно-процедурні</w:t>
      </w:r>
      <w:r>
        <w:rPr>
          <w:color w:val="231F20"/>
          <w:spacing w:val="-14"/>
          <w:sz w:val="16"/>
        </w:rPr>
        <w:t xml:space="preserve"> </w:t>
      </w:r>
      <w:r>
        <w:rPr>
          <w:color w:val="231F20"/>
          <w:sz w:val="16"/>
        </w:rPr>
        <w:t>можливості</w:t>
      </w:r>
      <w:r>
        <w:rPr>
          <w:color w:val="231F20"/>
          <w:spacing w:val="-14"/>
          <w:sz w:val="16"/>
        </w:rPr>
        <w:t xml:space="preserve"> </w:t>
      </w:r>
      <w:r>
        <w:rPr>
          <w:color w:val="231F20"/>
          <w:sz w:val="16"/>
        </w:rPr>
        <w:t>доне- сення</w:t>
      </w:r>
      <w:r>
        <w:rPr>
          <w:color w:val="231F20"/>
          <w:spacing w:val="-12"/>
          <w:sz w:val="16"/>
        </w:rPr>
        <w:t xml:space="preserve"> </w:t>
      </w:r>
      <w:r>
        <w:rPr>
          <w:color w:val="231F20"/>
          <w:sz w:val="16"/>
        </w:rPr>
        <w:t>своєї</w:t>
      </w:r>
      <w:r>
        <w:rPr>
          <w:color w:val="231F20"/>
          <w:spacing w:val="-12"/>
          <w:sz w:val="16"/>
        </w:rPr>
        <w:t xml:space="preserve"> </w:t>
      </w:r>
      <w:r>
        <w:rPr>
          <w:color w:val="231F20"/>
          <w:spacing w:val="-3"/>
          <w:sz w:val="16"/>
        </w:rPr>
        <w:t>конструктивної</w:t>
      </w:r>
      <w:r>
        <w:rPr>
          <w:color w:val="231F20"/>
          <w:spacing w:val="-12"/>
          <w:sz w:val="16"/>
        </w:rPr>
        <w:t xml:space="preserve"> </w:t>
      </w:r>
      <w:r>
        <w:rPr>
          <w:color w:val="231F20"/>
          <w:sz w:val="16"/>
        </w:rPr>
        <w:t>критики</w:t>
      </w:r>
      <w:r>
        <w:rPr>
          <w:color w:val="231F20"/>
          <w:spacing w:val="-12"/>
          <w:sz w:val="16"/>
        </w:rPr>
        <w:t xml:space="preserve"> </w:t>
      </w:r>
      <w:r>
        <w:rPr>
          <w:color w:val="231F20"/>
          <w:sz w:val="16"/>
        </w:rPr>
        <w:t>до</w:t>
      </w:r>
      <w:r>
        <w:rPr>
          <w:color w:val="231F20"/>
          <w:spacing w:val="-12"/>
          <w:sz w:val="16"/>
        </w:rPr>
        <w:t xml:space="preserve"> </w:t>
      </w:r>
      <w:r>
        <w:rPr>
          <w:color w:val="231F20"/>
          <w:sz w:val="16"/>
        </w:rPr>
        <w:t>вищого</w:t>
      </w:r>
      <w:r>
        <w:rPr>
          <w:color w:val="231F20"/>
          <w:spacing w:val="-12"/>
          <w:sz w:val="16"/>
        </w:rPr>
        <w:t xml:space="preserve"> </w:t>
      </w:r>
      <w:r>
        <w:rPr>
          <w:color w:val="231F20"/>
          <w:sz w:val="16"/>
        </w:rPr>
        <w:t>керівництва</w:t>
      </w:r>
      <w:r>
        <w:rPr>
          <w:color w:val="231F20"/>
          <w:spacing w:val="-12"/>
          <w:sz w:val="16"/>
        </w:rPr>
        <w:t xml:space="preserve"> </w:t>
      </w:r>
      <w:r>
        <w:rPr>
          <w:color w:val="231F20"/>
          <w:sz w:val="16"/>
        </w:rPr>
        <w:t>у</w:t>
      </w:r>
      <w:r>
        <w:rPr>
          <w:color w:val="231F20"/>
          <w:spacing w:val="-13"/>
          <w:sz w:val="16"/>
        </w:rPr>
        <w:t xml:space="preserve"> </w:t>
      </w:r>
      <w:r>
        <w:rPr>
          <w:color w:val="231F20"/>
          <w:spacing w:val="-3"/>
          <w:sz w:val="16"/>
        </w:rPr>
        <w:t>вигляді</w:t>
      </w:r>
      <w:r>
        <w:rPr>
          <w:color w:val="231F20"/>
          <w:spacing w:val="-12"/>
          <w:sz w:val="16"/>
        </w:rPr>
        <w:t xml:space="preserve"> </w:t>
      </w:r>
      <w:r>
        <w:rPr>
          <w:color w:val="231F20"/>
          <w:sz w:val="16"/>
        </w:rPr>
        <w:t>пропозицій</w:t>
      </w:r>
      <w:r>
        <w:rPr>
          <w:color w:val="231F20"/>
          <w:spacing w:val="-12"/>
          <w:sz w:val="16"/>
        </w:rPr>
        <w:t xml:space="preserve"> </w:t>
      </w:r>
      <w:r>
        <w:rPr>
          <w:color w:val="231F20"/>
          <w:sz w:val="16"/>
        </w:rPr>
        <w:t xml:space="preserve">стосовно </w:t>
      </w:r>
      <w:r>
        <w:rPr>
          <w:color w:val="231F20"/>
          <w:spacing w:val="-3"/>
          <w:sz w:val="16"/>
        </w:rPr>
        <w:t xml:space="preserve">удосконалення </w:t>
      </w:r>
      <w:r>
        <w:rPr>
          <w:color w:val="231F20"/>
          <w:sz w:val="16"/>
        </w:rPr>
        <w:t xml:space="preserve">діючого </w:t>
      </w:r>
      <w:r>
        <w:rPr>
          <w:color w:val="231F20"/>
          <w:spacing w:val="-3"/>
          <w:sz w:val="16"/>
        </w:rPr>
        <w:t xml:space="preserve">законодавства </w:t>
      </w:r>
      <w:r>
        <w:rPr>
          <w:color w:val="231F20"/>
          <w:sz w:val="16"/>
        </w:rPr>
        <w:t xml:space="preserve">та ін.; г) </w:t>
      </w:r>
      <w:r>
        <w:rPr>
          <w:color w:val="231F20"/>
          <w:spacing w:val="-3"/>
          <w:sz w:val="16"/>
        </w:rPr>
        <w:t xml:space="preserve">подолання </w:t>
      </w:r>
      <w:r>
        <w:rPr>
          <w:color w:val="231F20"/>
          <w:sz w:val="16"/>
        </w:rPr>
        <w:t xml:space="preserve">негативних стереотипів сприй- </w:t>
      </w:r>
      <w:r>
        <w:rPr>
          <w:color w:val="231F20"/>
          <w:spacing w:val="-3"/>
          <w:sz w:val="16"/>
        </w:rPr>
        <w:t>няття</w:t>
      </w:r>
      <w:r>
        <w:rPr>
          <w:color w:val="231F20"/>
          <w:spacing w:val="-7"/>
          <w:sz w:val="16"/>
        </w:rPr>
        <w:t xml:space="preserve"> </w:t>
      </w:r>
      <w:r>
        <w:rPr>
          <w:color w:val="231F20"/>
          <w:spacing w:val="-3"/>
          <w:sz w:val="16"/>
        </w:rPr>
        <w:t>суспільством</w:t>
      </w:r>
      <w:r>
        <w:rPr>
          <w:color w:val="231F20"/>
          <w:spacing w:val="-7"/>
          <w:sz w:val="16"/>
        </w:rPr>
        <w:t xml:space="preserve"> </w:t>
      </w:r>
      <w:r>
        <w:rPr>
          <w:color w:val="231F20"/>
          <w:sz w:val="16"/>
        </w:rPr>
        <w:t>публічної</w:t>
      </w:r>
      <w:r>
        <w:rPr>
          <w:color w:val="231F20"/>
          <w:spacing w:val="-7"/>
          <w:sz w:val="16"/>
        </w:rPr>
        <w:t xml:space="preserve"> </w:t>
      </w:r>
      <w:r>
        <w:rPr>
          <w:color w:val="231F20"/>
          <w:sz w:val="16"/>
        </w:rPr>
        <w:t>служби</w:t>
      </w:r>
      <w:r>
        <w:rPr>
          <w:color w:val="231F20"/>
          <w:spacing w:val="-7"/>
          <w:sz w:val="16"/>
        </w:rPr>
        <w:t xml:space="preserve"> </w:t>
      </w:r>
      <w:r>
        <w:rPr>
          <w:color w:val="231F20"/>
          <w:sz w:val="16"/>
        </w:rPr>
        <w:t>стає</w:t>
      </w:r>
      <w:r>
        <w:rPr>
          <w:color w:val="231F20"/>
          <w:spacing w:val="-7"/>
          <w:sz w:val="16"/>
        </w:rPr>
        <w:t xml:space="preserve"> </w:t>
      </w:r>
      <w:r>
        <w:rPr>
          <w:color w:val="231F20"/>
          <w:sz w:val="16"/>
        </w:rPr>
        <w:t>можливим</w:t>
      </w:r>
      <w:r>
        <w:rPr>
          <w:color w:val="231F20"/>
          <w:spacing w:val="-7"/>
          <w:sz w:val="16"/>
        </w:rPr>
        <w:t xml:space="preserve"> </w:t>
      </w:r>
      <w:r>
        <w:rPr>
          <w:color w:val="231F20"/>
          <w:sz w:val="16"/>
        </w:rPr>
        <w:t>лише</w:t>
      </w:r>
      <w:r>
        <w:rPr>
          <w:color w:val="231F20"/>
          <w:spacing w:val="-7"/>
          <w:sz w:val="16"/>
        </w:rPr>
        <w:t xml:space="preserve"> </w:t>
      </w:r>
      <w:r>
        <w:rPr>
          <w:color w:val="231F20"/>
          <w:sz w:val="16"/>
        </w:rPr>
        <w:t>при</w:t>
      </w:r>
      <w:r>
        <w:rPr>
          <w:color w:val="231F20"/>
          <w:spacing w:val="-7"/>
          <w:sz w:val="16"/>
        </w:rPr>
        <w:t xml:space="preserve"> </w:t>
      </w:r>
      <w:r>
        <w:rPr>
          <w:color w:val="231F20"/>
          <w:sz w:val="16"/>
        </w:rPr>
        <w:t>згуртованості</w:t>
      </w:r>
      <w:r>
        <w:rPr>
          <w:color w:val="231F20"/>
          <w:spacing w:val="-7"/>
          <w:sz w:val="16"/>
        </w:rPr>
        <w:t xml:space="preserve"> </w:t>
      </w:r>
      <w:r>
        <w:rPr>
          <w:color w:val="231F20"/>
          <w:sz w:val="16"/>
        </w:rPr>
        <w:t>та</w:t>
      </w:r>
      <w:r>
        <w:rPr>
          <w:color w:val="231F20"/>
          <w:spacing w:val="-7"/>
          <w:sz w:val="16"/>
        </w:rPr>
        <w:t xml:space="preserve"> </w:t>
      </w:r>
      <w:r>
        <w:rPr>
          <w:color w:val="231F20"/>
          <w:sz w:val="16"/>
        </w:rPr>
        <w:t>цілісності публічного</w:t>
      </w:r>
      <w:r>
        <w:rPr>
          <w:color w:val="231F20"/>
          <w:spacing w:val="-13"/>
          <w:sz w:val="16"/>
        </w:rPr>
        <w:t xml:space="preserve"> </w:t>
      </w:r>
      <w:r>
        <w:rPr>
          <w:color w:val="231F20"/>
          <w:spacing w:val="-4"/>
          <w:sz w:val="16"/>
        </w:rPr>
        <w:t>сектору,</w:t>
      </w:r>
      <w:r>
        <w:rPr>
          <w:color w:val="231F20"/>
          <w:spacing w:val="-13"/>
          <w:sz w:val="16"/>
        </w:rPr>
        <w:t xml:space="preserve"> </w:t>
      </w:r>
      <w:r>
        <w:rPr>
          <w:color w:val="231F20"/>
          <w:sz w:val="16"/>
        </w:rPr>
        <w:t>недопущенні</w:t>
      </w:r>
      <w:r>
        <w:rPr>
          <w:color w:val="231F20"/>
          <w:spacing w:val="-13"/>
          <w:sz w:val="16"/>
        </w:rPr>
        <w:t xml:space="preserve"> </w:t>
      </w:r>
      <w:r>
        <w:rPr>
          <w:color w:val="231F20"/>
          <w:sz w:val="16"/>
        </w:rPr>
        <w:t>взаємного</w:t>
      </w:r>
      <w:r>
        <w:rPr>
          <w:color w:val="231F20"/>
          <w:spacing w:val="-13"/>
          <w:sz w:val="16"/>
        </w:rPr>
        <w:t xml:space="preserve"> </w:t>
      </w:r>
      <w:r>
        <w:rPr>
          <w:color w:val="231F20"/>
          <w:sz w:val="16"/>
        </w:rPr>
        <w:t>критиканства.</w:t>
      </w:r>
      <w:r>
        <w:rPr>
          <w:color w:val="231F20"/>
          <w:spacing w:val="-13"/>
          <w:sz w:val="16"/>
        </w:rPr>
        <w:t xml:space="preserve"> </w:t>
      </w:r>
      <w:r>
        <w:rPr>
          <w:color w:val="231F20"/>
          <w:spacing w:val="-3"/>
          <w:sz w:val="16"/>
        </w:rPr>
        <w:t>Зазначене</w:t>
      </w:r>
      <w:r>
        <w:rPr>
          <w:color w:val="231F20"/>
          <w:spacing w:val="-13"/>
          <w:sz w:val="16"/>
        </w:rPr>
        <w:t xml:space="preserve"> </w:t>
      </w:r>
      <w:r>
        <w:rPr>
          <w:color w:val="231F20"/>
          <w:sz w:val="16"/>
        </w:rPr>
        <w:t>дозволяє</w:t>
      </w:r>
      <w:r>
        <w:rPr>
          <w:color w:val="231F20"/>
          <w:spacing w:val="-13"/>
          <w:sz w:val="16"/>
        </w:rPr>
        <w:t xml:space="preserve"> </w:t>
      </w:r>
      <w:r>
        <w:rPr>
          <w:color w:val="231F20"/>
          <w:spacing w:val="-3"/>
          <w:sz w:val="16"/>
        </w:rPr>
        <w:t xml:space="preserve">розглядати </w:t>
      </w:r>
      <w:r>
        <w:rPr>
          <w:color w:val="231F20"/>
          <w:sz w:val="16"/>
        </w:rPr>
        <w:t>принцип</w:t>
      </w:r>
      <w:r>
        <w:rPr>
          <w:color w:val="231F20"/>
          <w:spacing w:val="-5"/>
          <w:sz w:val="16"/>
        </w:rPr>
        <w:t xml:space="preserve"> </w:t>
      </w:r>
      <w:r>
        <w:rPr>
          <w:color w:val="231F20"/>
          <w:sz w:val="16"/>
        </w:rPr>
        <w:t>лояльності</w:t>
      </w:r>
      <w:r>
        <w:rPr>
          <w:color w:val="231F20"/>
          <w:spacing w:val="-5"/>
          <w:sz w:val="16"/>
        </w:rPr>
        <w:t xml:space="preserve"> </w:t>
      </w:r>
      <w:r>
        <w:rPr>
          <w:color w:val="231F20"/>
          <w:sz w:val="16"/>
        </w:rPr>
        <w:t>як</w:t>
      </w:r>
      <w:r>
        <w:rPr>
          <w:color w:val="231F20"/>
          <w:spacing w:val="-5"/>
          <w:sz w:val="16"/>
        </w:rPr>
        <w:t xml:space="preserve"> </w:t>
      </w:r>
      <w:r>
        <w:rPr>
          <w:color w:val="231F20"/>
          <w:sz w:val="16"/>
        </w:rPr>
        <w:t>такий,</w:t>
      </w:r>
      <w:r>
        <w:rPr>
          <w:color w:val="231F20"/>
          <w:spacing w:val="-5"/>
          <w:sz w:val="16"/>
        </w:rPr>
        <w:t xml:space="preserve"> </w:t>
      </w:r>
      <w:r>
        <w:rPr>
          <w:color w:val="231F20"/>
          <w:sz w:val="16"/>
        </w:rPr>
        <w:t>що</w:t>
      </w:r>
      <w:r>
        <w:rPr>
          <w:color w:val="231F20"/>
          <w:spacing w:val="-5"/>
          <w:sz w:val="16"/>
        </w:rPr>
        <w:t xml:space="preserve"> </w:t>
      </w:r>
      <w:r>
        <w:rPr>
          <w:color w:val="231F20"/>
          <w:sz w:val="16"/>
        </w:rPr>
        <w:t>не</w:t>
      </w:r>
      <w:r>
        <w:rPr>
          <w:color w:val="231F20"/>
          <w:spacing w:val="-5"/>
          <w:sz w:val="16"/>
        </w:rPr>
        <w:t xml:space="preserve"> </w:t>
      </w:r>
      <w:r>
        <w:rPr>
          <w:color w:val="231F20"/>
          <w:sz w:val="16"/>
        </w:rPr>
        <w:t>є</w:t>
      </w:r>
      <w:r>
        <w:rPr>
          <w:color w:val="231F20"/>
          <w:spacing w:val="-5"/>
          <w:sz w:val="16"/>
        </w:rPr>
        <w:t xml:space="preserve"> </w:t>
      </w:r>
      <w:r>
        <w:rPr>
          <w:color w:val="231F20"/>
          <w:sz w:val="16"/>
        </w:rPr>
        <w:t>остаточно</w:t>
      </w:r>
      <w:r>
        <w:rPr>
          <w:color w:val="231F20"/>
          <w:spacing w:val="-5"/>
          <w:sz w:val="16"/>
        </w:rPr>
        <w:t xml:space="preserve"> </w:t>
      </w:r>
      <w:r>
        <w:rPr>
          <w:color w:val="231F20"/>
          <w:sz w:val="16"/>
        </w:rPr>
        <w:t>відхиленим</w:t>
      </w:r>
      <w:r>
        <w:rPr>
          <w:color w:val="231F20"/>
          <w:spacing w:val="-5"/>
          <w:sz w:val="16"/>
        </w:rPr>
        <w:t xml:space="preserve"> </w:t>
      </w:r>
      <w:r>
        <w:rPr>
          <w:color w:val="231F20"/>
          <w:sz w:val="16"/>
        </w:rPr>
        <w:t>вітчизняною</w:t>
      </w:r>
      <w:r>
        <w:rPr>
          <w:color w:val="231F20"/>
          <w:spacing w:val="-5"/>
          <w:sz w:val="16"/>
        </w:rPr>
        <w:t xml:space="preserve"> </w:t>
      </w:r>
      <w:r>
        <w:rPr>
          <w:color w:val="231F20"/>
          <w:sz w:val="16"/>
        </w:rPr>
        <w:t xml:space="preserve">публічно-етич- ною практикою, </w:t>
      </w:r>
      <w:r>
        <w:rPr>
          <w:color w:val="231F20"/>
          <w:spacing w:val="-3"/>
          <w:sz w:val="16"/>
        </w:rPr>
        <w:t xml:space="preserve">допускати </w:t>
      </w:r>
      <w:r>
        <w:rPr>
          <w:color w:val="231F20"/>
          <w:sz w:val="16"/>
        </w:rPr>
        <w:t xml:space="preserve">відновлення інтересу </w:t>
      </w:r>
      <w:r>
        <w:rPr>
          <w:color w:val="231F20"/>
          <w:spacing w:val="-3"/>
          <w:sz w:val="16"/>
        </w:rPr>
        <w:t xml:space="preserve">щодо </w:t>
      </w:r>
      <w:r>
        <w:rPr>
          <w:color w:val="231F20"/>
          <w:sz w:val="16"/>
        </w:rPr>
        <w:t xml:space="preserve">нього і навіть </w:t>
      </w:r>
      <w:r>
        <w:rPr>
          <w:color w:val="231F20"/>
          <w:spacing w:val="-3"/>
          <w:sz w:val="16"/>
        </w:rPr>
        <w:t xml:space="preserve">стверджувати </w:t>
      </w:r>
      <w:r>
        <w:rPr>
          <w:color w:val="231F20"/>
          <w:spacing w:val="-2"/>
          <w:sz w:val="16"/>
        </w:rPr>
        <w:t>про</w:t>
      </w:r>
      <w:r>
        <w:rPr>
          <w:color w:val="231F20"/>
          <w:spacing w:val="30"/>
          <w:sz w:val="16"/>
        </w:rPr>
        <w:t xml:space="preserve"> </w:t>
      </w:r>
      <w:r>
        <w:rPr>
          <w:color w:val="231F20"/>
          <w:sz w:val="16"/>
        </w:rPr>
        <w:t>перспективність</w:t>
      </w:r>
      <w:r>
        <w:rPr>
          <w:color w:val="231F20"/>
          <w:spacing w:val="-17"/>
          <w:sz w:val="16"/>
        </w:rPr>
        <w:t xml:space="preserve"> </w:t>
      </w:r>
      <w:r>
        <w:rPr>
          <w:color w:val="231F20"/>
          <w:sz w:val="16"/>
        </w:rPr>
        <w:t>його</w:t>
      </w:r>
      <w:r>
        <w:rPr>
          <w:color w:val="231F20"/>
          <w:spacing w:val="-17"/>
          <w:sz w:val="16"/>
        </w:rPr>
        <w:t xml:space="preserve"> </w:t>
      </w:r>
      <w:r>
        <w:rPr>
          <w:color w:val="231F20"/>
          <w:sz w:val="16"/>
        </w:rPr>
        <w:t>юридичного</w:t>
      </w:r>
      <w:r>
        <w:rPr>
          <w:color w:val="231F20"/>
          <w:spacing w:val="-17"/>
          <w:sz w:val="16"/>
        </w:rPr>
        <w:t xml:space="preserve"> </w:t>
      </w:r>
      <w:r>
        <w:rPr>
          <w:color w:val="231F20"/>
          <w:sz w:val="16"/>
        </w:rPr>
        <w:t>закріплення</w:t>
      </w:r>
      <w:r>
        <w:rPr>
          <w:color w:val="231F20"/>
          <w:spacing w:val="-17"/>
          <w:sz w:val="16"/>
        </w:rPr>
        <w:t xml:space="preserve"> </w:t>
      </w:r>
      <w:r>
        <w:rPr>
          <w:color w:val="231F20"/>
          <w:sz w:val="16"/>
        </w:rPr>
        <w:t>(звичайно,</w:t>
      </w:r>
      <w:r>
        <w:rPr>
          <w:color w:val="231F20"/>
          <w:spacing w:val="-17"/>
          <w:sz w:val="16"/>
        </w:rPr>
        <w:t xml:space="preserve"> </w:t>
      </w:r>
      <w:r>
        <w:rPr>
          <w:color w:val="231F20"/>
          <w:sz w:val="16"/>
        </w:rPr>
        <w:t>у</w:t>
      </w:r>
      <w:r>
        <w:rPr>
          <w:color w:val="231F20"/>
          <w:spacing w:val="-18"/>
          <w:sz w:val="16"/>
        </w:rPr>
        <w:t xml:space="preserve"> </w:t>
      </w:r>
      <w:r>
        <w:rPr>
          <w:color w:val="231F20"/>
          <w:sz w:val="16"/>
        </w:rPr>
        <w:t>більш</w:t>
      </w:r>
      <w:r>
        <w:rPr>
          <w:color w:val="231F20"/>
          <w:spacing w:val="-17"/>
          <w:sz w:val="16"/>
        </w:rPr>
        <w:t xml:space="preserve"> </w:t>
      </w:r>
      <w:r>
        <w:rPr>
          <w:color w:val="231F20"/>
          <w:sz w:val="16"/>
        </w:rPr>
        <w:t>вивірених</w:t>
      </w:r>
      <w:r>
        <w:rPr>
          <w:color w:val="231F20"/>
          <w:spacing w:val="-17"/>
          <w:sz w:val="16"/>
        </w:rPr>
        <w:t xml:space="preserve"> </w:t>
      </w:r>
      <w:r>
        <w:rPr>
          <w:color w:val="231F20"/>
          <w:spacing w:val="-3"/>
          <w:sz w:val="16"/>
        </w:rPr>
        <w:t xml:space="preserve">формулюван- </w:t>
      </w:r>
      <w:r>
        <w:rPr>
          <w:color w:val="231F20"/>
          <w:sz w:val="16"/>
        </w:rPr>
        <w:t>нях</w:t>
      </w:r>
      <w:r>
        <w:rPr>
          <w:color w:val="231F20"/>
          <w:spacing w:val="-5"/>
          <w:sz w:val="16"/>
        </w:rPr>
        <w:t xml:space="preserve"> </w:t>
      </w:r>
      <w:r>
        <w:rPr>
          <w:color w:val="231F20"/>
          <w:sz w:val="16"/>
        </w:rPr>
        <w:t>та</w:t>
      </w:r>
      <w:r>
        <w:rPr>
          <w:color w:val="231F20"/>
          <w:spacing w:val="-5"/>
          <w:sz w:val="16"/>
        </w:rPr>
        <w:t xml:space="preserve"> </w:t>
      </w:r>
      <w:r>
        <w:rPr>
          <w:color w:val="231F20"/>
          <w:sz w:val="16"/>
        </w:rPr>
        <w:t>більш</w:t>
      </w:r>
      <w:r>
        <w:rPr>
          <w:color w:val="231F20"/>
          <w:spacing w:val="-5"/>
          <w:sz w:val="16"/>
        </w:rPr>
        <w:t xml:space="preserve"> </w:t>
      </w:r>
      <w:r>
        <w:rPr>
          <w:color w:val="231F20"/>
          <w:sz w:val="16"/>
        </w:rPr>
        <w:t>деталізованому</w:t>
      </w:r>
      <w:r>
        <w:rPr>
          <w:color w:val="231F20"/>
          <w:spacing w:val="-5"/>
          <w:sz w:val="16"/>
        </w:rPr>
        <w:t xml:space="preserve"> </w:t>
      </w:r>
      <w:r>
        <w:rPr>
          <w:color w:val="231F20"/>
          <w:sz w:val="16"/>
        </w:rPr>
        <w:t>і</w:t>
      </w:r>
      <w:r>
        <w:rPr>
          <w:color w:val="231F20"/>
          <w:spacing w:val="-5"/>
          <w:sz w:val="16"/>
        </w:rPr>
        <w:t xml:space="preserve"> </w:t>
      </w:r>
      <w:r>
        <w:rPr>
          <w:color w:val="231F20"/>
          <w:sz w:val="16"/>
        </w:rPr>
        <w:t>чіткому</w:t>
      </w:r>
      <w:r>
        <w:rPr>
          <w:color w:val="231F20"/>
          <w:spacing w:val="-5"/>
          <w:sz w:val="16"/>
        </w:rPr>
        <w:t xml:space="preserve"> </w:t>
      </w:r>
      <w:r>
        <w:rPr>
          <w:color w:val="231F20"/>
          <w:sz w:val="16"/>
        </w:rPr>
        <w:t>змісті).</w:t>
      </w:r>
    </w:p>
    <w:p w14:paraId="7C960051" w14:textId="77777777" w:rsidR="00DE575E" w:rsidRDefault="002E7560">
      <w:pPr>
        <w:spacing w:before="40" w:line="204" w:lineRule="auto"/>
        <w:ind w:left="533" w:right="128"/>
        <w:jc w:val="both"/>
        <w:rPr>
          <w:sz w:val="16"/>
        </w:rPr>
      </w:pPr>
      <w:r>
        <w:rPr>
          <w:color w:val="231F20"/>
          <w:position w:val="5"/>
          <w:sz w:val="9"/>
        </w:rPr>
        <w:t xml:space="preserve">2 </w:t>
      </w:r>
      <w:r>
        <w:rPr>
          <w:color w:val="231F20"/>
          <w:sz w:val="16"/>
        </w:rPr>
        <w:t>З</w:t>
      </w:r>
      <w:r>
        <w:rPr>
          <w:color w:val="231F20"/>
          <w:sz w:val="16"/>
        </w:rPr>
        <w:t>аборона використання нецензурної лексики  чи  підвищеної  інтонації,  як  і  вимога про офіційно-діловий стиль одягу публічного службовця, який має відповідати загально- прийнятим вимогам пристойності (п. 11 розділу 2 Загальних правил), є швидше прави- лам</w:t>
      </w:r>
      <w:r>
        <w:rPr>
          <w:color w:val="231F20"/>
          <w:sz w:val="16"/>
        </w:rPr>
        <w:t>и службового етикету, ніж етики. Етикет – це зовнішньоповедінковий аспект взаємо- дії</w:t>
      </w:r>
      <w:r>
        <w:rPr>
          <w:color w:val="231F20"/>
          <w:spacing w:val="-11"/>
          <w:sz w:val="16"/>
        </w:rPr>
        <w:t xml:space="preserve"> </w:t>
      </w:r>
      <w:r>
        <w:rPr>
          <w:color w:val="231F20"/>
          <w:sz w:val="16"/>
        </w:rPr>
        <w:t>між</w:t>
      </w:r>
      <w:r>
        <w:rPr>
          <w:color w:val="231F20"/>
          <w:spacing w:val="-11"/>
          <w:sz w:val="16"/>
        </w:rPr>
        <w:t xml:space="preserve"> </w:t>
      </w:r>
      <w:r>
        <w:rPr>
          <w:color w:val="231F20"/>
          <w:sz w:val="16"/>
        </w:rPr>
        <w:t>людьми;</w:t>
      </w:r>
      <w:r>
        <w:rPr>
          <w:color w:val="231F20"/>
          <w:spacing w:val="-11"/>
          <w:sz w:val="16"/>
        </w:rPr>
        <w:t xml:space="preserve"> </w:t>
      </w:r>
      <w:r>
        <w:rPr>
          <w:color w:val="231F20"/>
          <w:sz w:val="16"/>
        </w:rPr>
        <w:t>етика</w:t>
      </w:r>
      <w:r>
        <w:rPr>
          <w:color w:val="231F20"/>
          <w:spacing w:val="-11"/>
          <w:sz w:val="16"/>
        </w:rPr>
        <w:t xml:space="preserve"> </w:t>
      </w:r>
      <w:r>
        <w:rPr>
          <w:color w:val="231F20"/>
          <w:sz w:val="16"/>
        </w:rPr>
        <w:t>ж</w:t>
      </w:r>
      <w:r>
        <w:rPr>
          <w:color w:val="231F20"/>
          <w:spacing w:val="-11"/>
          <w:sz w:val="16"/>
        </w:rPr>
        <w:t xml:space="preserve"> </w:t>
      </w:r>
      <w:r>
        <w:rPr>
          <w:color w:val="231F20"/>
          <w:sz w:val="16"/>
        </w:rPr>
        <w:t>стосується</w:t>
      </w:r>
      <w:r>
        <w:rPr>
          <w:color w:val="231F20"/>
          <w:spacing w:val="-11"/>
          <w:sz w:val="16"/>
        </w:rPr>
        <w:t xml:space="preserve"> </w:t>
      </w:r>
      <w:r>
        <w:rPr>
          <w:color w:val="231F20"/>
          <w:sz w:val="16"/>
        </w:rPr>
        <w:t>внутрішньоморальних</w:t>
      </w:r>
      <w:r>
        <w:rPr>
          <w:color w:val="231F20"/>
          <w:spacing w:val="-11"/>
          <w:sz w:val="16"/>
        </w:rPr>
        <w:t xml:space="preserve"> </w:t>
      </w:r>
      <w:r>
        <w:rPr>
          <w:color w:val="231F20"/>
          <w:sz w:val="16"/>
        </w:rPr>
        <w:t>засад</w:t>
      </w:r>
      <w:r>
        <w:rPr>
          <w:color w:val="231F20"/>
          <w:spacing w:val="-11"/>
          <w:sz w:val="16"/>
        </w:rPr>
        <w:t xml:space="preserve"> </w:t>
      </w:r>
      <w:r>
        <w:rPr>
          <w:color w:val="231F20"/>
          <w:sz w:val="16"/>
        </w:rPr>
        <w:t>такої</w:t>
      </w:r>
      <w:r>
        <w:rPr>
          <w:color w:val="231F20"/>
          <w:spacing w:val="-11"/>
          <w:sz w:val="16"/>
        </w:rPr>
        <w:t xml:space="preserve"> </w:t>
      </w:r>
      <w:r>
        <w:rPr>
          <w:color w:val="231F20"/>
          <w:sz w:val="16"/>
        </w:rPr>
        <w:t>взаємодії.</w:t>
      </w:r>
      <w:r>
        <w:rPr>
          <w:color w:val="231F20"/>
          <w:spacing w:val="-11"/>
          <w:sz w:val="16"/>
        </w:rPr>
        <w:t xml:space="preserve"> </w:t>
      </w:r>
      <w:r>
        <w:rPr>
          <w:color w:val="231F20"/>
          <w:sz w:val="16"/>
        </w:rPr>
        <w:t>Потрібно, щоб етикет публічного службовця базувався на високій етиці його поведінки; і навпаки – абсолютно неприйнятною є ситуація, коли вимоги етикету дотримуються як своєрідний формальний «церемоніал» та не ґрунтуються на стійких морально-етичних світогл</w:t>
      </w:r>
      <w:r>
        <w:rPr>
          <w:color w:val="231F20"/>
          <w:sz w:val="16"/>
        </w:rPr>
        <w:t>ядних позиціях службовця.</w:t>
      </w:r>
    </w:p>
    <w:p w14:paraId="21971E03" w14:textId="77777777" w:rsidR="00DE575E" w:rsidRDefault="00DE575E">
      <w:pPr>
        <w:pStyle w:val="BodyText"/>
        <w:spacing w:before="9"/>
        <w:rPr>
          <w:sz w:val="12"/>
        </w:rPr>
      </w:pPr>
    </w:p>
    <w:p w14:paraId="3D6712DC" w14:textId="77777777" w:rsidR="00DE575E" w:rsidRDefault="002E7560">
      <w:pPr>
        <w:spacing w:before="91"/>
        <w:ind w:left="533"/>
        <w:rPr>
          <w:rFonts w:ascii="Times New Roman"/>
          <w:sz w:val="20"/>
        </w:rPr>
      </w:pPr>
      <w:r>
        <w:rPr>
          <w:rFonts w:ascii="Times New Roman"/>
          <w:color w:val="231F20"/>
          <w:sz w:val="20"/>
        </w:rPr>
        <w:t>428</w:t>
      </w:r>
    </w:p>
    <w:p w14:paraId="364B5D7C" w14:textId="77777777" w:rsidR="00DE575E" w:rsidRDefault="00DE575E">
      <w:pPr>
        <w:rPr>
          <w:rFonts w:ascii="Times New Roman"/>
          <w:sz w:val="20"/>
        </w:rPr>
        <w:sectPr w:rsidR="00DE575E">
          <w:pgSz w:w="8510" w:h="12760"/>
          <w:pgMar w:top="660" w:right="720" w:bottom="280" w:left="600" w:header="720" w:footer="720" w:gutter="0"/>
          <w:cols w:space="720"/>
        </w:sectPr>
      </w:pPr>
    </w:p>
    <w:p w14:paraId="044E368B"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478F1377" w14:textId="6F55A36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E9C101E" wp14:editId="5B9E9F64">
                <wp:extent cx="4140200" cy="6350"/>
                <wp:effectExtent l="0" t="0" r="12700" b="6350"/>
                <wp:docPr id="31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20" name="Line 31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FD4ADD" id="Group_x0020_31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M3lBWgAIAAJgFAAAO&#10;AAAAAAAAAAAAAAAAACwCAABkcnMvZTJvRG9jLnhtbFBLAQItABQABgAIAAAAIQBMp7CQ2QAAAAMB&#10;AAAPAAAAAAAAAAAAAAAAANgEAABkcnMvZG93bnJldi54bWxQSwUGAAAAAAQABADzAAAA3gUAAAAA&#10;">
                <v:line id="Line_x0020_31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V79MMAAADcAAAADwAAAGRycy9kb3ducmV2LnhtbERP3WrCMBS+F/YO4Qx2I5rOwpDaVIYg&#10;jF3o1voAx+bYliUntYm229MvF4Ndfnz/+XayRtxp8J1jBc/LBARx7XTHjYJTtV+sQfiArNE4JgXf&#10;5GFbPMxyzLQb+ZPuZWhEDGGfoYI2hD6T0tctWfRL1xNH7uIGiyHCoZF6wDGGWyNXSfIiLXYcG1rs&#10;addS/VXerILqOg/m4/huxup4TuX5ekh/bgelnh6n1w2IQFP4F/+537SCdBXnxzPxCMj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1e/TDAAAA3AAAAA8AAAAAAAAAAAAA&#10;AAAAoQIAAGRycy9kb3ducmV2LnhtbFBLBQYAAAAABAAEAPkAAACRAwAAAAA=&#10;" strokecolor="#231f20" strokeweight=".5pt"/>
                <w10:anchorlock/>
              </v:group>
            </w:pict>
          </mc:Fallback>
        </mc:AlternateContent>
      </w:r>
    </w:p>
    <w:p w14:paraId="56EA9312" w14:textId="77777777" w:rsidR="00DE575E" w:rsidRDefault="00DE575E">
      <w:pPr>
        <w:pStyle w:val="BodyText"/>
        <w:spacing w:before="7"/>
        <w:rPr>
          <w:rFonts w:ascii="AdonisC"/>
          <w:i/>
          <w:sz w:val="19"/>
        </w:rPr>
      </w:pPr>
    </w:p>
    <w:p w14:paraId="00190763" w14:textId="77777777" w:rsidR="00DE575E" w:rsidRDefault="002E7560">
      <w:pPr>
        <w:pStyle w:val="ListParagraph"/>
        <w:numPr>
          <w:ilvl w:val="0"/>
          <w:numId w:val="61"/>
        </w:numPr>
        <w:tabs>
          <w:tab w:val="left" w:pos="818"/>
        </w:tabs>
        <w:spacing w:line="252" w:lineRule="auto"/>
        <w:ind w:right="409" w:firstLine="283"/>
        <w:rPr>
          <w:sz w:val="21"/>
        </w:rPr>
      </w:pPr>
      <w:r>
        <w:rPr>
          <w:i/>
          <w:color w:val="231F20"/>
          <w:sz w:val="21"/>
        </w:rPr>
        <w:t xml:space="preserve">доброчесність </w:t>
      </w:r>
      <w:r>
        <w:rPr>
          <w:color w:val="231F20"/>
          <w:sz w:val="21"/>
        </w:rPr>
        <w:t>(спрямованість дій на захист публічних інтере- сів,</w:t>
      </w:r>
      <w:r>
        <w:rPr>
          <w:color w:val="231F20"/>
          <w:spacing w:val="-15"/>
          <w:sz w:val="21"/>
        </w:rPr>
        <w:t xml:space="preserve"> </w:t>
      </w:r>
      <w:r>
        <w:rPr>
          <w:color w:val="231F20"/>
          <w:sz w:val="21"/>
        </w:rPr>
        <w:t>забезпечення</w:t>
      </w:r>
      <w:r>
        <w:rPr>
          <w:color w:val="231F20"/>
          <w:spacing w:val="-15"/>
          <w:sz w:val="21"/>
        </w:rPr>
        <w:t xml:space="preserve"> </w:t>
      </w:r>
      <w:r>
        <w:rPr>
          <w:color w:val="231F20"/>
          <w:sz w:val="21"/>
        </w:rPr>
        <w:t>пріоритету</w:t>
      </w:r>
      <w:r>
        <w:rPr>
          <w:color w:val="231F20"/>
          <w:spacing w:val="-15"/>
          <w:sz w:val="21"/>
        </w:rPr>
        <w:t xml:space="preserve"> </w:t>
      </w:r>
      <w:r>
        <w:rPr>
          <w:color w:val="231F20"/>
          <w:sz w:val="21"/>
        </w:rPr>
        <w:t>загального</w:t>
      </w:r>
      <w:r>
        <w:rPr>
          <w:color w:val="231F20"/>
          <w:spacing w:val="-15"/>
          <w:sz w:val="21"/>
        </w:rPr>
        <w:t xml:space="preserve"> </w:t>
      </w:r>
      <w:r>
        <w:rPr>
          <w:color w:val="231F20"/>
          <w:sz w:val="21"/>
        </w:rPr>
        <w:t>блага</w:t>
      </w:r>
      <w:r>
        <w:rPr>
          <w:color w:val="231F20"/>
          <w:spacing w:val="-15"/>
          <w:sz w:val="21"/>
        </w:rPr>
        <w:t xml:space="preserve"> </w:t>
      </w:r>
      <w:r>
        <w:rPr>
          <w:color w:val="231F20"/>
          <w:sz w:val="21"/>
        </w:rPr>
        <w:t>громадян</w:t>
      </w:r>
      <w:r>
        <w:rPr>
          <w:color w:val="231F20"/>
          <w:spacing w:val="-15"/>
          <w:sz w:val="21"/>
        </w:rPr>
        <w:t xml:space="preserve"> </w:t>
      </w:r>
      <w:r>
        <w:rPr>
          <w:color w:val="231F20"/>
          <w:sz w:val="21"/>
        </w:rPr>
        <w:t>над</w:t>
      </w:r>
      <w:r>
        <w:rPr>
          <w:color w:val="231F20"/>
          <w:spacing w:val="-15"/>
          <w:sz w:val="21"/>
        </w:rPr>
        <w:t xml:space="preserve"> </w:t>
      </w:r>
      <w:r>
        <w:rPr>
          <w:color w:val="231F20"/>
          <w:sz w:val="21"/>
        </w:rPr>
        <w:t xml:space="preserve">приват- ними або корпоративними інтересами, неприпустимість викорис- тання державного майна в особистих цілях, недопущення наявності конфлікту між публічними й особистими інтересами, нерозголо- шення та невикористання інформації, що стала відома у зв’язку </w:t>
      </w:r>
      <w:r>
        <w:rPr>
          <w:color w:val="231F20"/>
          <w:sz w:val="21"/>
        </w:rPr>
        <w:t xml:space="preserve">з виконанням службових повноважень, недопущення надання </w:t>
      </w:r>
      <w:r>
        <w:rPr>
          <w:color w:val="231F20"/>
          <w:spacing w:val="-4"/>
          <w:sz w:val="21"/>
        </w:rPr>
        <w:t xml:space="preserve">будь- </w:t>
      </w:r>
      <w:r>
        <w:rPr>
          <w:color w:val="231F20"/>
          <w:sz w:val="21"/>
        </w:rPr>
        <w:t>яких переваг і виявлення прихильності до окремих</w:t>
      </w:r>
      <w:r>
        <w:rPr>
          <w:color w:val="231F20"/>
          <w:spacing w:val="-4"/>
          <w:sz w:val="21"/>
        </w:rPr>
        <w:t xml:space="preserve"> </w:t>
      </w:r>
      <w:r>
        <w:rPr>
          <w:color w:val="231F20"/>
          <w:sz w:val="21"/>
        </w:rPr>
        <w:t>осіб);</w:t>
      </w:r>
    </w:p>
    <w:p w14:paraId="5B3D1F61" w14:textId="77777777" w:rsidR="00DE575E" w:rsidRDefault="002E7560">
      <w:pPr>
        <w:pStyle w:val="ListParagraph"/>
        <w:numPr>
          <w:ilvl w:val="0"/>
          <w:numId w:val="61"/>
        </w:numPr>
        <w:tabs>
          <w:tab w:val="left" w:pos="818"/>
        </w:tabs>
        <w:spacing w:before="4" w:line="252" w:lineRule="auto"/>
        <w:ind w:right="409" w:firstLine="283"/>
        <w:rPr>
          <w:sz w:val="21"/>
        </w:rPr>
      </w:pPr>
      <w:r>
        <w:rPr>
          <w:i/>
          <w:color w:val="231F20"/>
          <w:sz w:val="21"/>
        </w:rPr>
        <w:t xml:space="preserve">політична нейтральність </w:t>
      </w:r>
      <w:r>
        <w:rPr>
          <w:color w:val="231F20"/>
          <w:sz w:val="21"/>
        </w:rPr>
        <w:t>(недопущення впливу  політич- них інтересів на дії та рішення публічного службовця, відмова від публічної демонстр</w:t>
      </w:r>
      <w:r>
        <w:rPr>
          <w:color w:val="231F20"/>
          <w:sz w:val="21"/>
        </w:rPr>
        <w:t>ації політичних поглядів і симпатій, уникнення використання символіки політичних партій під час виконання своїх службових обов’язків тощо). Принцип політичної  нейтральності  не поширюється на виборних осіб та осіб, які обіймають політичні посади;</w:t>
      </w:r>
    </w:p>
    <w:p w14:paraId="52E9B1D7" w14:textId="77777777" w:rsidR="00DE575E" w:rsidRDefault="002E7560">
      <w:pPr>
        <w:pStyle w:val="ListParagraph"/>
        <w:numPr>
          <w:ilvl w:val="0"/>
          <w:numId w:val="61"/>
        </w:numPr>
        <w:tabs>
          <w:tab w:val="left" w:pos="818"/>
        </w:tabs>
        <w:spacing w:before="3" w:line="252" w:lineRule="auto"/>
        <w:ind w:right="409" w:firstLine="283"/>
        <w:rPr>
          <w:sz w:val="21"/>
        </w:rPr>
      </w:pPr>
      <w:r>
        <w:rPr>
          <w:i/>
          <w:color w:val="231F20"/>
          <w:sz w:val="21"/>
        </w:rPr>
        <w:t>сумлінні</w:t>
      </w:r>
      <w:r>
        <w:rPr>
          <w:i/>
          <w:color w:val="231F20"/>
          <w:sz w:val="21"/>
        </w:rPr>
        <w:t xml:space="preserve">сть </w:t>
      </w:r>
      <w:r>
        <w:rPr>
          <w:color w:val="231F20"/>
          <w:sz w:val="21"/>
        </w:rPr>
        <w:t>(добросовісне, чесне та професійне виконання публічним  службовцем   своїх   обов’язків,   виявлення   ініціативи   і творчих здібностей, постійне підвищення рівня своєї професійної компетентності та вдосконалення організації службової діяльності, недо</w:t>
      </w:r>
      <w:r>
        <w:rPr>
          <w:color w:val="231F20"/>
          <w:sz w:val="21"/>
        </w:rPr>
        <w:t>пущення ухилення від ухвалення рішень та відповідальність</w:t>
      </w:r>
      <w:r>
        <w:rPr>
          <w:color w:val="231F20"/>
          <w:spacing w:val="-22"/>
          <w:sz w:val="21"/>
        </w:rPr>
        <w:t xml:space="preserve"> </w:t>
      </w:r>
      <w:r>
        <w:rPr>
          <w:color w:val="231F20"/>
          <w:sz w:val="21"/>
        </w:rPr>
        <w:t>за свої</w:t>
      </w:r>
      <w:r>
        <w:rPr>
          <w:color w:val="231F20"/>
          <w:spacing w:val="-2"/>
          <w:sz w:val="21"/>
        </w:rPr>
        <w:t xml:space="preserve"> </w:t>
      </w:r>
      <w:r>
        <w:rPr>
          <w:color w:val="231F20"/>
          <w:sz w:val="21"/>
        </w:rPr>
        <w:t>дії).</w:t>
      </w:r>
    </w:p>
    <w:p w14:paraId="6A587845" w14:textId="77777777" w:rsidR="00DE575E" w:rsidRDefault="002E7560">
      <w:pPr>
        <w:pStyle w:val="BodyText"/>
        <w:spacing w:before="3" w:line="252" w:lineRule="auto"/>
        <w:ind w:left="250" w:right="409" w:firstLine="283"/>
        <w:jc w:val="both"/>
      </w:pPr>
      <w:r>
        <w:rPr>
          <w:color w:val="231F20"/>
        </w:rPr>
        <w:t>Закон</w:t>
      </w:r>
      <w:r>
        <w:rPr>
          <w:color w:val="231F20"/>
          <w:spacing w:val="-7"/>
        </w:rPr>
        <w:t xml:space="preserve"> </w:t>
      </w:r>
      <w:r>
        <w:rPr>
          <w:color w:val="231F20"/>
        </w:rPr>
        <w:t>«Про</w:t>
      </w:r>
      <w:r>
        <w:rPr>
          <w:color w:val="231F20"/>
          <w:spacing w:val="-7"/>
        </w:rPr>
        <w:t xml:space="preserve"> </w:t>
      </w:r>
      <w:r>
        <w:rPr>
          <w:color w:val="231F20"/>
        </w:rPr>
        <w:t>запобігання</w:t>
      </w:r>
      <w:r>
        <w:rPr>
          <w:color w:val="231F20"/>
          <w:spacing w:val="-7"/>
        </w:rPr>
        <w:t xml:space="preserve"> </w:t>
      </w:r>
      <w:r>
        <w:rPr>
          <w:color w:val="231F20"/>
        </w:rPr>
        <w:t>корупції»</w:t>
      </w:r>
      <w:r>
        <w:rPr>
          <w:color w:val="231F20"/>
          <w:spacing w:val="-8"/>
        </w:rPr>
        <w:t xml:space="preserve"> </w:t>
      </w:r>
      <w:r>
        <w:rPr>
          <w:color w:val="231F20"/>
        </w:rPr>
        <w:t>в</w:t>
      </w:r>
      <w:r>
        <w:rPr>
          <w:color w:val="231F20"/>
          <w:spacing w:val="-8"/>
        </w:rPr>
        <w:t xml:space="preserve"> </w:t>
      </w:r>
      <w:r>
        <w:rPr>
          <w:color w:val="231F20"/>
        </w:rPr>
        <w:t>розділі,</w:t>
      </w:r>
      <w:r>
        <w:rPr>
          <w:color w:val="231F20"/>
          <w:spacing w:val="-7"/>
        </w:rPr>
        <w:t xml:space="preserve"> </w:t>
      </w:r>
      <w:r>
        <w:rPr>
          <w:color w:val="231F20"/>
        </w:rPr>
        <w:t>присвяченому</w:t>
      </w:r>
      <w:r>
        <w:rPr>
          <w:color w:val="231F20"/>
          <w:spacing w:val="-7"/>
        </w:rPr>
        <w:t xml:space="preserve"> </w:t>
      </w:r>
      <w:r>
        <w:rPr>
          <w:color w:val="231F20"/>
        </w:rPr>
        <w:t>прави- лам етичної поведінки, установлює для публічних службовців вимоги щодо дотримання загальновизнаних етичних норм пове- ді</w:t>
      </w:r>
      <w:r>
        <w:rPr>
          <w:color w:val="231F20"/>
        </w:rPr>
        <w:t xml:space="preserve">нки, ввічливості у стосунках з громадянами, керівниками, коле- гами і підлеглими </w:t>
      </w:r>
      <w:r>
        <w:rPr>
          <w:color w:val="231F20"/>
          <w:spacing w:val="-5"/>
        </w:rPr>
        <w:t xml:space="preserve">(ст. </w:t>
      </w:r>
      <w:r>
        <w:rPr>
          <w:color w:val="231F20"/>
        </w:rPr>
        <w:t xml:space="preserve">38), пріоритету публічного інтересу </w:t>
      </w:r>
      <w:r>
        <w:rPr>
          <w:color w:val="231F20"/>
          <w:spacing w:val="-5"/>
        </w:rPr>
        <w:t xml:space="preserve">(ст. </w:t>
      </w:r>
      <w:r>
        <w:rPr>
          <w:color w:val="231F20"/>
        </w:rPr>
        <w:t xml:space="preserve">39), політичної нейтральності </w:t>
      </w:r>
      <w:r>
        <w:rPr>
          <w:color w:val="231F20"/>
          <w:spacing w:val="-5"/>
        </w:rPr>
        <w:t xml:space="preserve">(ст. </w:t>
      </w:r>
      <w:r>
        <w:rPr>
          <w:color w:val="231F20"/>
        </w:rPr>
        <w:t xml:space="preserve">40), неупередженості </w:t>
      </w:r>
      <w:r>
        <w:rPr>
          <w:color w:val="231F20"/>
          <w:spacing w:val="-5"/>
        </w:rPr>
        <w:t xml:space="preserve">(ст. </w:t>
      </w:r>
      <w:r>
        <w:rPr>
          <w:color w:val="231F20"/>
        </w:rPr>
        <w:t xml:space="preserve">41), компе- тентності  й  ефективності  </w:t>
      </w:r>
      <w:r>
        <w:rPr>
          <w:color w:val="231F20"/>
          <w:spacing w:val="-5"/>
        </w:rPr>
        <w:t xml:space="preserve">(ст. </w:t>
      </w:r>
      <w:r>
        <w:rPr>
          <w:color w:val="231F20"/>
        </w:rPr>
        <w:t>42),  нерозголошення  і</w:t>
      </w:r>
      <w:r>
        <w:rPr>
          <w:color w:val="231F20"/>
        </w:rPr>
        <w:t xml:space="preserve">нформації  </w:t>
      </w:r>
      <w:r>
        <w:rPr>
          <w:color w:val="231F20"/>
          <w:spacing w:val="-5"/>
        </w:rPr>
        <w:t>(ст.</w:t>
      </w:r>
      <w:r>
        <w:rPr>
          <w:color w:val="231F20"/>
          <w:spacing w:val="-7"/>
        </w:rPr>
        <w:t xml:space="preserve"> </w:t>
      </w:r>
      <w:r>
        <w:rPr>
          <w:color w:val="231F20"/>
        </w:rPr>
        <w:t>43)</w:t>
      </w:r>
      <w:r>
        <w:rPr>
          <w:color w:val="231F20"/>
          <w:spacing w:val="-7"/>
        </w:rPr>
        <w:t xml:space="preserve"> </w:t>
      </w:r>
      <w:r>
        <w:rPr>
          <w:color w:val="231F20"/>
        </w:rPr>
        <w:t>та</w:t>
      </w:r>
      <w:r>
        <w:rPr>
          <w:color w:val="231F20"/>
          <w:spacing w:val="-7"/>
        </w:rPr>
        <w:t xml:space="preserve"> </w:t>
      </w:r>
      <w:r>
        <w:rPr>
          <w:color w:val="231F20"/>
        </w:rPr>
        <w:t>утримання</w:t>
      </w:r>
      <w:r>
        <w:rPr>
          <w:color w:val="231F20"/>
          <w:spacing w:val="-7"/>
        </w:rPr>
        <w:t xml:space="preserve"> </w:t>
      </w:r>
      <w:r>
        <w:rPr>
          <w:color w:val="231F20"/>
        </w:rPr>
        <w:t>від</w:t>
      </w:r>
      <w:r>
        <w:rPr>
          <w:color w:val="231F20"/>
          <w:spacing w:val="-7"/>
        </w:rPr>
        <w:t xml:space="preserve"> </w:t>
      </w:r>
      <w:r>
        <w:rPr>
          <w:color w:val="231F20"/>
        </w:rPr>
        <w:t>виконання</w:t>
      </w:r>
      <w:r>
        <w:rPr>
          <w:color w:val="231F20"/>
          <w:spacing w:val="-7"/>
        </w:rPr>
        <w:t xml:space="preserve"> </w:t>
      </w:r>
      <w:r>
        <w:rPr>
          <w:color w:val="231F20"/>
        </w:rPr>
        <w:t>незаконних</w:t>
      </w:r>
      <w:r>
        <w:rPr>
          <w:color w:val="231F20"/>
          <w:spacing w:val="-7"/>
        </w:rPr>
        <w:t xml:space="preserve"> </w:t>
      </w:r>
      <w:r>
        <w:rPr>
          <w:color w:val="231F20"/>
        </w:rPr>
        <w:t>рішень</w:t>
      </w:r>
      <w:r>
        <w:rPr>
          <w:color w:val="231F20"/>
          <w:spacing w:val="-7"/>
        </w:rPr>
        <w:t xml:space="preserve"> </w:t>
      </w:r>
      <w:r>
        <w:rPr>
          <w:color w:val="231F20"/>
        </w:rPr>
        <w:t>чи</w:t>
      </w:r>
      <w:r>
        <w:rPr>
          <w:color w:val="231F20"/>
          <w:spacing w:val="-7"/>
        </w:rPr>
        <w:t xml:space="preserve"> </w:t>
      </w:r>
      <w:r>
        <w:rPr>
          <w:color w:val="231F20"/>
        </w:rPr>
        <w:t xml:space="preserve">доручень </w:t>
      </w:r>
      <w:r>
        <w:rPr>
          <w:color w:val="231F20"/>
          <w:spacing w:val="-5"/>
        </w:rPr>
        <w:t>(ст.</w:t>
      </w:r>
      <w:r>
        <w:rPr>
          <w:color w:val="231F20"/>
          <w:spacing w:val="-8"/>
        </w:rPr>
        <w:t xml:space="preserve"> </w:t>
      </w:r>
      <w:r>
        <w:rPr>
          <w:color w:val="231F20"/>
        </w:rPr>
        <w:t>44).</w:t>
      </w:r>
      <w:r>
        <w:rPr>
          <w:color w:val="231F20"/>
          <w:spacing w:val="-19"/>
        </w:rPr>
        <w:t xml:space="preserve"> </w:t>
      </w:r>
      <w:r>
        <w:rPr>
          <w:color w:val="231F20"/>
        </w:rPr>
        <w:t>Ці</w:t>
      </w:r>
      <w:r>
        <w:rPr>
          <w:color w:val="231F20"/>
          <w:spacing w:val="-19"/>
        </w:rPr>
        <w:t xml:space="preserve"> </w:t>
      </w:r>
      <w:r>
        <w:rPr>
          <w:color w:val="231F20"/>
        </w:rPr>
        <w:t>вимоги</w:t>
      </w:r>
      <w:r>
        <w:rPr>
          <w:color w:val="231F20"/>
          <w:spacing w:val="-20"/>
        </w:rPr>
        <w:t xml:space="preserve"> </w:t>
      </w:r>
      <w:r>
        <w:rPr>
          <w:color w:val="231F20"/>
        </w:rPr>
        <w:t>охоплюються</w:t>
      </w:r>
      <w:r>
        <w:rPr>
          <w:color w:val="231F20"/>
          <w:spacing w:val="-19"/>
        </w:rPr>
        <w:t xml:space="preserve"> </w:t>
      </w:r>
      <w:r>
        <w:rPr>
          <w:color w:val="231F20"/>
        </w:rPr>
        <w:t>розкритими</w:t>
      </w:r>
      <w:r>
        <w:rPr>
          <w:color w:val="231F20"/>
          <w:spacing w:val="-20"/>
        </w:rPr>
        <w:t xml:space="preserve"> </w:t>
      </w:r>
      <w:r>
        <w:rPr>
          <w:color w:val="231F20"/>
        </w:rPr>
        <w:t>вище</w:t>
      </w:r>
      <w:r>
        <w:rPr>
          <w:color w:val="231F20"/>
          <w:spacing w:val="-20"/>
        </w:rPr>
        <w:t xml:space="preserve"> </w:t>
      </w:r>
      <w:r>
        <w:rPr>
          <w:color w:val="231F20"/>
        </w:rPr>
        <w:t>принципами</w:t>
      </w:r>
      <w:r>
        <w:rPr>
          <w:color w:val="231F20"/>
          <w:spacing w:val="-20"/>
        </w:rPr>
        <w:t xml:space="preserve"> </w:t>
      </w:r>
      <w:r>
        <w:rPr>
          <w:color w:val="231F20"/>
        </w:rPr>
        <w:t>етич- ної поведінки. Лише утримання від виконання незаконних рішень чи доручень прямо не названо у змісті якогось із принципів. Проте відповідна</w:t>
      </w:r>
      <w:r>
        <w:rPr>
          <w:color w:val="231F20"/>
          <w:spacing w:val="-12"/>
        </w:rPr>
        <w:t xml:space="preserve"> </w:t>
      </w:r>
      <w:r>
        <w:rPr>
          <w:color w:val="231F20"/>
        </w:rPr>
        <w:t>вимога</w:t>
      </w:r>
      <w:r>
        <w:rPr>
          <w:color w:val="231F20"/>
          <w:spacing w:val="-12"/>
        </w:rPr>
        <w:t xml:space="preserve"> </w:t>
      </w:r>
      <w:r>
        <w:rPr>
          <w:color w:val="231F20"/>
        </w:rPr>
        <w:t>не</w:t>
      </w:r>
      <w:r>
        <w:rPr>
          <w:color w:val="231F20"/>
          <w:spacing w:val="-12"/>
        </w:rPr>
        <w:t xml:space="preserve"> </w:t>
      </w:r>
      <w:r>
        <w:rPr>
          <w:color w:val="231F20"/>
        </w:rPr>
        <w:t>досягає</w:t>
      </w:r>
      <w:r>
        <w:rPr>
          <w:color w:val="231F20"/>
          <w:spacing w:val="-12"/>
        </w:rPr>
        <w:t xml:space="preserve"> </w:t>
      </w:r>
      <w:r>
        <w:rPr>
          <w:color w:val="231F20"/>
        </w:rPr>
        <w:t>рівня</w:t>
      </w:r>
      <w:r>
        <w:rPr>
          <w:color w:val="231F20"/>
          <w:spacing w:val="-12"/>
        </w:rPr>
        <w:t xml:space="preserve"> </w:t>
      </w:r>
      <w:r>
        <w:rPr>
          <w:color w:val="231F20"/>
        </w:rPr>
        <w:t>фундаментальної</w:t>
      </w:r>
      <w:r>
        <w:rPr>
          <w:color w:val="231F20"/>
          <w:spacing w:val="-12"/>
        </w:rPr>
        <w:t xml:space="preserve"> </w:t>
      </w:r>
      <w:r>
        <w:rPr>
          <w:color w:val="231F20"/>
        </w:rPr>
        <w:t>етичної</w:t>
      </w:r>
      <w:r>
        <w:rPr>
          <w:color w:val="231F20"/>
          <w:spacing w:val="-12"/>
        </w:rPr>
        <w:t xml:space="preserve"> </w:t>
      </w:r>
      <w:r>
        <w:rPr>
          <w:color w:val="231F20"/>
        </w:rPr>
        <w:t xml:space="preserve">засади публічної служби, </w:t>
      </w:r>
      <w:r>
        <w:rPr>
          <w:color w:val="231F20"/>
          <w:spacing w:val="-3"/>
        </w:rPr>
        <w:t xml:space="preserve">будучи </w:t>
      </w:r>
      <w:r>
        <w:rPr>
          <w:color w:val="231F20"/>
        </w:rPr>
        <w:t>більш як одним із прикладних ас</w:t>
      </w:r>
      <w:r>
        <w:rPr>
          <w:color w:val="231F20"/>
        </w:rPr>
        <w:t>пектів доброчесності та сумлінності, що виявляється через зобов’язання службовця</w:t>
      </w:r>
      <w:r>
        <w:rPr>
          <w:color w:val="231F20"/>
          <w:spacing w:val="-14"/>
        </w:rPr>
        <w:t xml:space="preserve"> </w:t>
      </w:r>
      <w:r>
        <w:rPr>
          <w:color w:val="231F20"/>
        </w:rPr>
        <w:t>в</w:t>
      </w:r>
      <w:r>
        <w:rPr>
          <w:color w:val="231F20"/>
          <w:spacing w:val="-13"/>
        </w:rPr>
        <w:t xml:space="preserve"> </w:t>
      </w:r>
      <w:r>
        <w:rPr>
          <w:color w:val="231F20"/>
        </w:rPr>
        <w:t>разі</w:t>
      </w:r>
      <w:r>
        <w:rPr>
          <w:color w:val="231F20"/>
          <w:spacing w:val="-13"/>
        </w:rPr>
        <w:t xml:space="preserve"> </w:t>
      </w:r>
      <w:r>
        <w:rPr>
          <w:color w:val="231F20"/>
        </w:rPr>
        <w:t>отримання</w:t>
      </w:r>
      <w:r>
        <w:rPr>
          <w:color w:val="231F20"/>
          <w:spacing w:val="-13"/>
        </w:rPr>
        <w:t xml:space="preserve"> </w:t>
      </w:r>
      <w:r>
        <w:rPr>
          <w:color w:val="231F20"/>
        </w:rPr>
        <w:t>рішення</w:t>
      </w:r>
      <w:r>
        <w:rPr>
          <w:color w:val="231F20"/>
          <w:spacing w:val="-14"/>
        </w:rPr>
        <w:t xml:space="preserve"> </w:t>
      </w:r>
      <w:r>
        <w:rPr>
          <w:color w:val="231F20"/>
        </w:rPr>
        <w:t>чи</w:t>
      </w:r>
      <w:r>
        <w:rPr>
          <w:color w:val="231F20"/>
          <w:spacing w:val="-13"/>
        </w:rPr>
        <w:t xml:space="preserve"> </w:t>
      </w:r>
      <w:r>
        <w:rPr>
          <w:color w:val="231F20"/>
        </w:rPr>
        <w:t>доручення,</w:t>
      </w:r>
      <w:r>
        <w:rPr>
          <w:color w:val="231F20"/>
          <w:spacing w:val="-14"/>
        </w:rPr>
        <w:t xml:space="preserve"> </w:t>
      </w:r>
      <w:r>
        <w:rPr>
          <w:color w:val="231F20"/>
        </w:rPr>
        <w:t>щодо</w:t>
      </w:r>
      <w:r>
        <w:rPr>
          <w:color w:val="231F20"/>
          <w:spacing w:val="-13"/>
        </w:rPr>
        <w:t xml:space="preserve"> </w:t>
      </w:r>
      <w:r>
        <w:rPr>
          <w:color w:val="231F20"/>
        </w:rPr>
        <w:t>законності якого виникає сумнів, вчинити дві</w:t>
      </w:r>
      <w:r>
        <w:rPr>
          <w:color w:val="231F20"/>
          <w:spacing w:val="-4"/>
        </w:rPr>
        <w:t xml:space="preserve"> </w:t>
      </w:r>
      <w:r>
        <w:rPr>
          <w:color w:val="231F20"/>
        </w:rPr>
        <w:t>дії:</w:t>
      </w:r>
    </w:p>
    <w:p w14:paraId="5F0ACFDF" w14:textId="77777777" w:rsidR="00DE575E" w:rsidRDefault="002E7560">
      <w:pPr>
        <w:pStyle w:val="BodyText"/>
        <w:spacing w:before="8" w:line="252" w:lineRule="auto"/>
        <w:ind w:left="250" w:right="411" w:firstLine="283"/>
        <w:jc w:val="both"/>
      </w:pPr>
      <w:r>
        <w:rPr>
          <w:color w:val="231F20"/>
        </w:rPr>
        <w:t xml:space="preserve">– вимагати письмового оформлення рішення чи доручення (якщо воно було виражено в </w:t>
      </w:r>
      <w:r>
        <w:rPr>
          <w:color w:val="231F20"/>
        </w:rPr>
        <w:t>усній формі);</w:t>
      </w:r>
    </w:p>
    <w:p w14:paraId="3CD591ED" w14:textId="77777777" w:rsidR="00DE575E" w:rsidRDefault="00DE575E">
      <w:pPr>
        <w:pStyle w:val="BodyText"/>
        <w:spacing w:before="5"/>
        <w:rPr>
          <w:sz w:val="12"/>
        </w:rPr>
      </w:pPr>
    </w:p>
    <w:p w14:paraId="684C0ADC" w14:textId="77777777" w:rsidR="00DE575E" w:rsidRDefault="002E7560">
      <w:pPr>
        <w:spacing w:before="92"/>
        <w:ind w:right="411"/>
        <w:jc w:val="right"/>
        <w:rPr>
          <w:rFonts w:ascii="Times New Roman"/>
          <w:sz w:val="20"/>
        </w:rPr>
      </w:pPr>
      <w:r>
        <w:rPr>
          <w:rFonts w:ascii="Times New Roman"/>
          <w:color w:val="231F20"/>
          <w:w w:val="90"/>
          <w:sz w:val="20"/>
        </w:rPr>
        <w:t>429</w:t>
      </w:r>
    </w:p>
    <w:p w14:paraId="48498AF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865E96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8B8A217" w14:textId="179FCAE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531DD12" wp14:editId="010E2B4D">
                <wp:extent cx="4140200" cy="6350"/>
                <wp:effectExtent l="0" t="0" r="12700" b="6350"/>
                <wp:docPr id="31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18" name="Line 3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DB7F25" id="Group_x0020_3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3DdH7gAIAAJgFAAAO&#10;AAAAAAAAAAAAAAAAACwCAABkcnMvZTJvRG9jLnhtbFBLAQItABQABgAIAAAAIQBMp7CQ2QAAAAMB&#10;AAAPAAAAAAAAAAAAAAAAANgEAABkcnMvZG93bnJldi54bWxQSwUGAAAAAAQABADzAAAA3gUAAAAA&#10;">
                <v:line id="Line_x0020_3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9T8IAAADcAAAADwAAAGRycy9kb3ducmV2LnhtbERP3WrCMBS+H/gO4QjeDE21MKQaRQRh&#10;7EI36wMcm2NbTE5qE2316ZeLwS4/vv/lurdGPKj1tWMF00kCgrhwuuZSwSnfjecgfEDWaByTgid5&#10;WK8Gb0vMtOv4hx7HUIoYwj5DBVUITSalLyqy6CeuIY7cxbUWQ4RtKXWLXQy3Rs6S5ENarDk2VNjQ&#10;tqLierxbBfntPZjvw5fp8sM5lefbPn3d90qNhv1mASJQH/7Ff+5PrSCdxrXxTDw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e+9T8IAAADcAAAADwAAAAAAAAAAAAAA&#10;AAChAgAAZHJzL2Rvd25yZXYueG1sUEsFBgAAAAAEAAQA+QAAAJADAAAAAA==&#10;" strokecolor="#231f20" strokeweight=".5pt"/>
                <w10:anchorlock/>
              </v:group>
            </w:pict>
          </mc:Fallback>
        </mc:AlternateContent>
      </w:r>
    </w:p>
    <w:p w14:paraId="2E2EF545" w14:textId="77777777" w:rsidR="00DE575E" w:rsidRDefault="00DE575E">
      <w:pPr>
        <w:pStyle w:val="BodyText"/>
        <w:spacing w:before="7"/>
        <w:rPr>
          <w:rFonts w:ascii="AdonisC"/>
          <w:i/>
          <w:sz w:val="11"/>
        </w:rPr>
      </w:pPr>
    </w:p>
    <w:p w14:paraId="5A841249" w14:textId="77777777" w:rsidR="00DE575E" w:rsidRDefault="002E7560">
      <w:pPr>
        <w:pStyle w:val="BodyText"/>
        <w:spacing w:before="101" w:line="252" w:lineRule="auto"/>
        <w:ind w:left="533" w:right="127" w:firstLine="283"/>
        <w:jc w:val="both"/>
      </w:pPr>
      <w:r>
        <w:rPr>
          <w:color w:val="231F20"/>
        </w:rPr>
        <w:t xml:space="preserve">–   негайно  в  письмовій  формі  повідомити  керівника  </w:t>
      </w:r>
      <w:r>
        <w:rPr>
          <w:color w:val="231F20"/>
          <w:spacing w:val="-3"/>
        </w:rPr>
        <w:t xml:space="preserve">органу,   </w:t>
      </w:r>
      <w:r>
        <w:rPr>
          <w:color w:val="231F20"/>
        </w:rPr>
        <w:t>в</w:t>
      </w:r>
      <w:r>
        <w:rPr>
          <w:color w:val="231F20"/>
          <w:spacing w:val="-12"/>
        </w:rPr>
        <w:t xml:space="preserve"> </w:t>
      </w:r>
      <w:r>
        <w:rPr>
          <w:color w:val="231F20"/>
        </w:rPr>
        <w:t>якому</w:t>
      </w:r>
      <w:r>
        <w:rPr>
          <w:color w:val="231F20"/>
          <w:spacing w:val="-12"/>
        </w:rPr>
        <w:t xml:space="preserve"> </w:t>
      </w:r>
      <w:r>
        <w:rPr>
          <w:color w:val="231F20"/>
        </w:rPr>
        <w:t>він</w:t>
      </w:r>
      <w:r>
        <w:rPr>
          <w:color w:val="231F20"/>
          <w:spacing w:val="-12"/>
        </w:rPr>
        <w:t xml:space="preserve"> </w:t>
      </w:r>
      <w:r>
        <w:rPr>
          <w:color w:val="231F20"/>
        </w:rPr>
        <w:t>працює,</w:t>
      </w:r>
      <w:r>
        <w:rPr>
          <w:color w:val="231F20"/>
          <w:spacing w:val="-12"/>
        </w:rPr>
        <w:t xml:space="preserve"> </w:t>
      </w:r>
      <w:r>
        <w:rPr>
          <w:color w:val="231F20"/>
        </w:rPr>
        <w:t>або</w:t>
      </w:r>
      <w:r>
        <w:rPr>
          <w:color w:val="231F20"/>
          <w:spacing w:val="-12"/>
        </w:rPr>
        <w:t xml:space="preserve"> </w:t>
      </w:r>
      <w:r>
        <w:rPr>
          <w:color w:val="231F20"/>
        </w:rPr>
        <w:t>органу</w:t>
      </w:r>
      <w:r>
        <w:rPr>
          <w:color w:val="231F20"/>
          <w:spacing w:val="-12"/>
        </w:rPr>
        <w:t xml:space="preserve"> </w:t>
      </w:r>
      <w:r>
        <w:rPr>
          <w:color w:val="231F20"/>
        </w:rPr>
        <w:t>вищого</w:t>
      </w:r>
      <w:r>
        <w:rPr>
          <w:color w:val="231F20"/>
          <w:spacing w:val="-12"/>
        </w:rPr>
        <w:t xml:space="preserve"> </w:t>
      </w:r>
      <w:r>
        <w:rPr>
          <w:color w:val="231F20"/>
        </w:rPr>
        <w:t>рівня</w:t>
      </w:r>
      <w:r>
        <w:rPr>
          <w:color w:val="231F20"/>
          <w:spacing w:val="-12"/>
        </w:rPr>
        <w:t xml:space="preserve"> </w:t>
      </w:r>
      <w:r>
        <w:rPr>
          <w:color w:val="231F20"/>
        </w:rPr>
        <w:t>(якщо</w:t>
      </w:r>
      <w:r>
        <w:rPr>
          <w:color w:val="231F20"/>
          <w:spacing w:val="-12"/>
        </w:rPr>
        <w:t xml:space="preserve"> </w:t>
      </w:r>
      <w:r>
        <w:rPr>
          <w:color w:val="231F20"/>
        </w:rPr>
        <w:t>рішення</w:t>
      </w:r>
      <w:r>
        <w:rPr>
          <w:color w:val="231F20"/>
          <w:spacing w:val="-12"/>
        </w:rPr>
        <w:t xml:space="preserve"> </w:t>
      </w:r>
      <w:r>
        <w:rPr>
          <w:color w:val="231F20"/>
        </w:rPr>
        <w:t>чи</w:t>
      </w:r>
      <w:r>
        <w:rPr>
          <w:color w:val="231F20"/>
          <w:spacing w:val="-12"/>
        </w:rPr>
        <w:t xml:space="preserve"> </w:t>
      </w:r>
      <w:r>
        <w:rPr>
          <w:color w:val="231F20"/>
        </w:rPr>
        <w:t xml:space="preserve">дору- чення видане керівником </w:t>
      </w:r>
      <w:r>
        <w:rPr>
          <w:color w:val="231F20"/>
          <w:spacing w:val="-3"/>
        </w:rPr>
        <w:t xml:space="preserve">органу, </w:t>
      </w:r>
      <w:r>
        <w:rPr>
          <w:color w:val="231F20"/>
        </w:rPr>
        <w:t>де працює службовець), або НАЗК (якщо публічний службовець є виборною</w:t>
      </w:r>
      <w:r>
        <w:rPr>
          <w:color w:val="231F20"/>
          <w:spacing w:val="-3"/>
        </w:rPr>
        <w:t xml:space="preserve"> </w:t>
      </w:r>
      <w:r>
        <w:rPr>
          <w:color w:val="231F20"/>
        </w:rPr>
        <w:t>особою).</w:t>
      </w:r>
    </w:p>
    <w:p w14:paraId="17BE5988" w14:textId="77777777" w:rsidR="00DE575E" w:rsidRDefault="002E7560">
      <w:pPr>
        <w:pStyle w:val="BodyText"/>
        <w:spacing w:before="2" w:line="252" w:lineRule="auto"/>
        <w:ind w:left="533" w:right="127" w:firstLine="283"/>
        <w:jc w:val="both"/>
      </w:pPr>
      <w:r>
        <w:rPr>
          <w:color w:val="231F20"/>
        </w:rPr>
        <w:t>Порушення правил етичної поведінки публічних службовців може призводити до різних правових наслідків:</w:t>
      </w:r>
    </w:p>
    <w:p w14:paraId="7C7D762B" w14:textId="77777777" w:rsidR="00DE575E" w:rsidRDefault="002E7560">
      <w:pPr>
        <w:pStyle w:val="ListParagraph"/>
        <w:numPr>
          <w:ilvl w:val="1"/>
          <w:numId w:val="63"/>
        </w:numPr>
        <w:tabs>
          <w:tab w:val="left" w:pos="1101"/>
        </w:tabs>
        <w:spacing w:line="252" w:lineRule="auto"/>
        <w:ind w:right="126" w:firstLine="284"/>
        <w:jc w:val="both"/>
        <w:rPr>
          <w:sz w:val="21"/>
        </w:rPr>
      </w:pPr>
      <w:r>
        <w:rPr>
          <w:b/>
          <w:i/>
          <w:color w:val="231F20"/>
          <w:sz w:val="21"/>
        </w:rPr>
        <w:t xml:space="preserve">адміністративної відповідальності </w:t>
      </w:r>
      <w:r>
        <w:rPr>
          <w:color w:val="231F20"/>
          <w:sz w:val="21"/>
        </w:rPr>
        <w:t>за порушення анти- корупційних обмежень т</w:t>
      </w:r>
      <w:r>
        <w:rPr>
          <w:color w:val="231F20"/>
          <w:sz w:val="21"/>
        </w:rPr>
        <w:t xml:space="preserve">а зобов’язань, які водночас включені до правил етичної поведінки (КУпАП: </w:t>
      </w:r>
      <w:r>
        <w:rPr>
          <w:color w:val="231F20"/>
          <w:spacing w:val="-6"/>
          <w:sz w:val="21"/>
        </w:rPr>
        <w:t xml:space="preserve">ст. </w:t>
      </w:r>
      <w:r>
        <w:rPr>
          <w:color w:val="231F20"/>
          <w:sz w:val="21"/>
        </w:rPr>
        <w:t xml:space="preserve">172-6 «Порушення вимог фінансового контролю», </w:t>
      </w:r>
      <w:r>
        <w:rPr>
          <w:color w:val="231F20"/>
          <w:spacing w:val="-6"/>
          <w:sz w:val="21"/>
        </w:rPr>
        <w:t xml:space="preserve">ст. </w:t>
      </w:r>
      <w:r>
        <w:rPr>
          <w:color w:val="231F20"/>
          <w:sz w:val="21"/>
        </w:rPr>
        <w:t xml:space="preserve">172-7 «Порушення вимог щодо запобі- гання та врегулювання конфлікту інтересів», </w:t>
      </w:r>
      <w:r>
        <w:rPr>
          <w:color w:val="231F20"/>
          <w:spacing w:val="-6"/>
          <w:sz w:val="21"/>
        </w:rPr>
        <w:t xml:space="preserve">ст. </w:t>
      </w:r>
      <w:r>
        <w:rPr>
          <w:color w:val="231F20"/>
          <w:sz w:val="21"/>
        </w:rPr>
        <w:t xml:space="preserve">172-8 «Незаконне використання інформації, що </w:t>
      </w:r>
      <w:r>
        <w:rPr>
          <w:color w:val="231F20"/>
          <w:sz w:val="21"/>
        </w:rPr>
        <w:t xml:space="preserve">стала відома особі у зв’язку з вико- нанням службових повноважень», </w:t>
      </w:r>
      <w:r>
        <w:rPr>
          <w:color w:val="231F20"/>
          <w:spacing w:val="-6"/>
          <w:sz w:val="21"/>
        </w:rPr>
        <w:t xml:space="preserve">ст. </w:t>
      </w:r>
      <w:r>
        <w:rPr>
          <w:color w:val="231F20"/>
          <w:sz w:val="21"/>
        </w:rPr>
        <w:t>172-9 «Невжиття заходів щодо протидії</w:t>
      </w:r>
      <w:r>
        <w:rPr>
          <w:color w:val="231F20"/>
          <w:spacing w:val="-2"/>
          <w:sz w:val="21"/>
        </w:rPr>
        <w:t xml:space="preserve"> </w:t>
      </w:r>
      <w:r>
        <w:rPr>
          <w:color w:val="231F20"/>
          <w:sz w:val="21"/>
        </w:rPr>
        <w:t>корупції»);</w:t>
      </w:r>
    </w:p>
    <w:p w14:paraId="742B3F90" w14:textId="77777777" w:rsidR="00DE575E" w:rsidRDefault="002E7560">
      <w:pPr>
        <w:pStyle w:val="ListParagraph"/>
        <w:numPr>
          <w:ilvl w:val="1"/>
          <w:numId w:val="63"/>
        </w:numPr>
        <w:tabs>
          <w:tab w:val="left" w:pos="1101"/>
        </w:tabs>
        <w:spacing w:before="4" w:line="252" w:lineRule="auto"/>
        <w:ind w:right="126" w:firstLine="284"/>
        <w:jc w:val="both"/>
        <w:rPr>
          <w:sz w:val="21"/>
        </w:rPr>
      </w:pPr>
      <w:r>
        <w:rPr>
          <w:b/>
          <w:i/>
          <w:color w:val="231F20"/>
          <w:sz w:val="21"/>
        </w:rPr>
        <w:t>дисциплінарної відповідальності</w:t>
      </w:r>
      <w:r>
        <w:rPr>
          <w:color w:val="231F20"/>
          <w:sz w:val="21"/>
        </w:rPr>
        <w:t xml:space="preserve">, що є основним правовим наслідком порушення правил етичної поведінки публічних служ- бовців. При цьому з’ясування змісту етичних вимог і відповідно визначення випадків їх порушення не є юридично формалізованим, воно зазвичай пов’язане із </w:t>
      </w:r>
      <w:r>
        <w:rPr>
          <w:color w:val="231F20"/>
          <w:spacing w:val="-3"/>
          <w:sz w:val="21"/>
        </w:rPr>
        <w:t xml:space="preserve">суб’єктивним </w:t>
      </w:r>
      <w:r>
        <w:rPr>
          <w:color w:val="231F20"/>
          <w:sz w:val="21"/>
        </w:rPr>
        <w:t>трак</w:t>
      </w:r>
      <w:r>
        <w:rPr>
          <w:color w:val="231F20"/>
          <w:sz w:val="21"/>
        </w:rPr>
        <w:t xml:space="preserve">туванням керівни- ком публічного службовця таких оціночних понять як «загальнови- знані етичні норми поведінки», «загальновизнані вимоги пристой- ності», «дія, що шкодить авторитету служби» тощо. І навіть якщо певне діяння </w:t>
      </w:r>
      <w:r>
        <w:rPr>
          <w:color w:val="231F20"/>
          <w:spacing w:val="-4"/>
          <w:sz w:val="21"/>
        </w:rPr>
        <w:t xml:space="preserve">буде </w:t>
      </w:r>
      <w:r>
        <w:rPr>
          <w:color w:val="231F20"/>
          <w:sz w:val="21"/>
        </w:rPr>
        <w:t xml:space="preserve">визнане порушенням етичних </w:t>
      </w:r>
      <w:r>
        <w:rPr>
          <w:color w:val="231F20"/>
          <w:spacing w:val="-3"/>
          <w:sz w:val="21"/>
        </w:rPr>
        <w:t>в</w:t>
      </w:r>
      <w:r>
        <w:rPr>
          <w:color w:val="231F20"/>
          <w:spacing w:val="-3"/>
          <w:sz w:val="21"/>
        </w:rPr>
        <w:t xml:space="preserve">имог, </w:t>
      </w:r>
      <w:r>
        <w:rPr>
          <w:color w:val="231F20"/>
          <w:sz w:val="21"/>
        </w:rPr>
        <w:t>воно може кваліфікуватися за декількома видами дисциплінарних проступків. Наприклад, неетична поведінка державного службовця у позаслуж- бовий</w:t>
      </w:r>
      <w:r>
        <w:rPr>
          <w:color w:val="231F20"/>
          <w:spacing w:val="-13"/>
          <w:sz w:val="21"/>
        </w:rPr>
        <w:t xml:space="preserve"> </w:t>
      </w:r>
      <w:r>
        <w:rPr>
          <w:color w:val="231F20"/>
          <w:sz w:val="21"/>
        </w:rPr>
        <w:t>час,</w:t>
      </w:r>
      <w:r>
        <w:rPr>
          <w:color w:val="231F20"/>
          <w:spacing w:val="-12"/>
          <w:sz w:val="21"/>
        </w:rPr>
        <w:t xml:space="preserve"> </w:t>
      </w:r>
      <w:r>
        <w:rPr>
          <w:color w:val="231F20"/>
          <w:sz w:val="21"/>
        </w:rPr>
        <w:t>що</w:t>
      </w:r>
      <w:r>
        <w:rPr>
          <w:color w:val="231F20"/>
          <w:spacing w:val="-12"/>
          <w:sz w:val="21"/>
        </w:rPr>
        <w:t xml:space="preserve"> </w:t>
      </w:r>
      <w:r>
        <w:rPr>
          <w:color w:val="231F20"/>
          <w:sz w:val="21"/>
        </w:rPr>
        <w:t>супроводжується</w:t>
      </w:r>
      <w:r>
        <w:rPr>
          <w:color w:val="231F20"/>
          <w:spacing w:val="-12"/>
          <w:sz w:val="21"/>
        </w:rPr>
        <w:t xml:space="preserve"> </w:t>
      </w:r>
      <w:r>
        <w:rPr>
          <w:color w:val="231F20"/>
          <w:sz w:val="21"/>
        </w:rPr>
        <w:t>нецензурною</w:t>
      </w:r>
      <w:r>
        <w:rPr>
          <w:color w:val="231F20"/>
          <w:spacing w:val="-13"/>
          <w:sz w:val="21"/>
        </w:rPr>
        <w:t xml:space="preserve"> </w:t>
      </w:r>
      <w:r>
        <w:rPr>
          <w:color w:val="231F20"/>
          <w:sz w:val="21"/>
        </w:rPr>
        <w:t>лексикою,</w:t>
      </w:r>
      <w:r>
        <w:rPr>
          <w:color w:val="231F20"/>
          <w:spacing w:val="-12"/>
          <w:sz w:val="21"/>
        </w:rPr>
        <w:t xml:space="preserve"> </w:t>
      </w:r>
      <w:r>
        <w:rPr>
          <w:color w:val="231F20"/>
          <w:sz w:val="21"/>
        </w:rPr>
        <w:t>посиланням на важливість своєї посади, застосуванням погроз і</w:t>
      </w:r>
      <w:r>
        <w:rPr>
          <w:color w:val="231F20"/>
          <w:sz w:val="21"/>
        </w:rPr>
        <w:t xml:space="preserve"> приниженням людської гідності, підпадає під ознаки трьох окремих видів дисци- плінарних правопорушень (передбачених ч. 2 </w:t>
      </w:r>
      <w:r>
        <w:rPr>
          <w:color w:val="231F20"/>
          <w:spacing w:val="-6"/>
          <w:sz w:val="21"/>
        </w:rPr>
        <w:t xml:space="preserve">ст. </w:t>
      </w:r>
      <w:r>
        <w:rPr>
          <w:color w:val="231F20"/>
          <w:sz w:val="21"/>
        </w:rPr>
        <w:t>65 Закону «Про державну службу»):</w:t>
      </w:r>
    </w:p>
    <w:p w14:paraId="3A325F8A" w14:textId="77777777" w:rsidR="00DE575E" w:rsidRDefault="002E7560">
      <w:pPr>
        <w:pStyle w:val="ListParagraph"/>
        <w:numPr>
          <w:ilvl w:val="2"/>
          <w:numId w:val="63"/>
        </w:numPr>
        <w:tabs>
          <w:tab w:val="left" w:pos="1385"/>
        </w:tabs>
        <w:spacing w:before="7"/>
        <w:jc w:val="left"/>
        <w:rPr>
          <w:sz w:val="21"/>
        </w:rPr>
      </w:pPr>
      <w:r>
        <w:rPr>
          <w:color w:val="231F20"/>
          <w:sz w:val="21"/>
        </w:rPr>
        <w:t>учинення дії, що шкодить авторитету державної</w:t>
      </w:r>
      <w:r>
        <w:rPr>
          <w:color w:val="231F20"/>
          <w:spacing w:val="-10"/>
          <w:sz w:val="21"/>
        </w:rPr>
        <w:t xml:space="preserve"> </w:t>
      </w:r>
      <w:r>
        <w:rPr>
          <w:color w:val="231F20"/>
          <w:sz w:val="21"/>
        </w:rPr>
        <w:t>служби;</w:t>
      </w:r>
    </w:p>
    <w:p w14:paraId="3987FE16" w14:textId="77777777" w:rsidR="00DE575E" w:rsidRDefault="002E7560">
      <w:pPr>
        <w:pStyle w:val="ListParagraph"/>
        <w:numPr>
          <w:ilvl w:val="2"/>
          <w:numId w:val="63"/>
        </w:numPr>
        <w:tabs>
          <w:tab w:val="left" w:pos="1385"/>
        </w:tabs>
        <w:spacing w:before="13"/>
        <w:jc w:val="left"/>
        <w:rPr>
          <w:sz w:val="21"/>
        </w:rPr>
      </w:pPr>
      <w:r>
        <w:rPr>
          <w:color w:val="231F20"/>
          <w:sz w:val="21"/>
        </w:rPr>
        <w:t>порушення правил етичної поведінки</w:t>
      </w:r>
      <w:r>
        <w:rPr>
          <w:color w:val="231F20"/>
          <w:spacing w:val="-4"/>
          <w:sz w:val="21"/>
        </w:rPr>
        <w:t xml:space="preserve"> </w:t>
      </w:r>
      <w:r>
        <w:rPr>
          <w:color w:val="231F20"/>
          <w:sz w:val="21"/>
        </w:rPr>
        <w:t>службов</w:t>
      </w:r>
      <w:r>
        <w:rPr>
          <w:color w:val="231F20"/>
          <w:sz w:val="21"/>
        </w:rPr>
        <w:t>ців;</w:t>
      </w:r>
    </w:p>
    <w:p w14:paraId="312B5A60" w14:textId="77777777" w:rsidR="00DE575E" w:rsidRDefault="002E7560">
      <w:pPr>
        <w:pStyle w:val="ListParagraph"/>
        <w:numPr>
          <w:ilvl w:val="2"/>
          <w:numId w:val="63"/>
        </w:numPr>
        <w:tabs>
          <w:tab w:val="left" w:pos="1385"/>
        </w:tabs>
        <w:spacing w:before="13"/>
        <w:jc w:val="left"/>
        <w:rPr>
          <w:sz w:val="21"/>
        </w:rPr>
      </w:pPr>
      <w:r>
        <w:rPr>
          <w:color w:val="231F20"/>
          <w:sz w:val="21"/>
        </w:rPr>
        <w:t>порушення Присяги державного</w:t>
      </w:r>
      <w:r>
        <w:rPr>
          <w:color w:val="231F20"/>
          <w:spacing w:val="-15"/>
          <w:sz w:val="21"/>
        </w:rPr>
        <w:t xml:space="preserve"> </w:t>
      </w:r>
      <w:r>
        <w:rPr>
          <w:color w:val="231F20"/>
          <w:sz w:val="21"/>
        </w:rPr>
        <w:t>службовця</w:t>
      </w:r>
      <w:r>
        <w:rPr>
          <w:color w:val="231F20"/>
          <w:position w:val="7"/>
          <w:sz w:val="12"/>
        </w:rPr>
        <w:t>1</w:t>
      </w:r>
      <w:r>
        <w:rPr>
          <w:color w:val="231F20"/>
          <w:sz w:val="21"/>
        </w:rPr>
        <w:t>.</w:t>
      </w:r>
    </w:p>
    <w:p w14:paraId="6736DA2E" w14:textId="77777777" w:rsidR="00DE575E" w:rsidRDefault="002E7560">
      <w:pPr>
        <w:pStyle w:val="BodyText"/>
        <w:spacing w:before="13" w:line="252" w:lineRule="auto"/>
        <w:ind w:left="533" w:right="128" w:firstLine="283"/>
        <w:jc w:val="both"/>
      </w:pPr>
      <w:r>
        <w:rPr>
          <w:color w:val="231F20"/>
        </w:rPr>
        <w:t>Учинення таких проступків передбачає застосування до служ- бовця різних видів стягнення – догани, попередження про неповну службову  відповідність,  звільнення  з  державної  служби.  Адміні-</w:t>
      </w:r>
    </w:p>
    <w:p w14:paraId="3E5D1797" w14:textId="77777777" w:rsidR="00DE575E" w:rsidRDefault="00DE575E">
      <w:pPr>
        <w:pStyle w:val="BodyText"/>
        <w:rPr>
          <w:sz w:val="20"/>
        </w:rPr>
      </w:pPr>
    </w:p>
    <w:p w14:paraId="145EBF85" w14:textId="3C91D104" w:rsidR="00DE575E" w:rsidRDefault="002E7560">
      <w:pPr>
        <w:pStyle w:val="BodyText"/>
        <w:spacing w:before="9"/>
        <w:rPr>
          <w:sz w:val="12"/>
        </w:rPr>
      </w:pPr>
      <w:r>
        <w:rPr>
          <w:noProof/>
        </w:rPr>
        <mc:AlternateContent>
          <mc:Choice Requires="wps">
            <w:drawing>
              <wp:anchor distT="0" distB="0" distL="0" distR="0" simplePos="0" relativeHeight="16936" behindDoc="0" locked="0" layoutInCell="1" allowOverlap="1" wp14:anchorId="77A4A74A" wp14:editId="604B1C84">
                <wp:simplePos x="0" y="0"/>
                <wp:positionH relativeFrom="page">
                  <wp:posOffset>719455</wp:posOffset>
                </wp:positionH>
                <wp:positionV relativeFrom="paragraph">
                  <wp:posOffset>123190</wp:posOffset>
                </wp:positionV>
                <wp:extent cx="1080135" cy="0"/>
                <wp:effectExtent l="8255" t="8890" r="29210" b="29210"/>
                <wp:wrapTopAndBottom/>
                <wp:docPr id="31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225FC" id="Line_x0020_315" o:spid="_x0000_s1026" style="position:absolute;z-index:16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7pt" to="141.7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" strokecolor="#231f20" strokeweight=".5pt">
                <w10:wrap type="topAndBottom" anchorx="page"/>
              </v:line>
            </w:pict>
          </mc:Fallback>
        </mc:AlternateContent>
      </w:r>
    </w:p>
    <w:p w14:paraId="11E6059F" w14:textId="77777777" w:rsidR="00DE575E" w:rsidRDefault="002E7560">
      <w:pPr>
        <w:spacing w:line="204" w:lineRule="auto"/>
        <w:ind w:left="533"/>
        <w:rPr>
          <w:sz w:val="16"/>
        </w:rPr>
      </w:pPr>
      <w:r>
        <w:rPr>
          <w:color w:val="231F20"/>
          <w:position w:val="5"/>
          <w:sz w:val="9"/>
        </w:rPr>
        <w:t xml:space="preserve">1 </w:t>
      </w:r>
      <w:r>
        <w:rPr>
          <w:color w:val="231F20"/>
          <w:sz w:val="16"/>
        </w:rPr>
        <w:t>Як порушення Присяги подібна ситуація кваліфікується, наприклад, у Постанові Вер- ховного Суду України від 14 березня 2017 р. № 21-3968а16, п/800/160/16.</w:t>
      </w:r>
    </w:p>
    <w:p w14:paraId="40724FFF" w14:textId="77777777" w:rsidR="00DE575E" w:rsidRDefault="00DE575E">
      <w:pPr>
        <w:pStyle w:val="BodyText"/>
        <w:spacing w:before="1"/>
        <w:rPr>
          <w:sz w:val="12"/>
        </w:rPr>
      </w:pPr>
    </w:p>
    <w:p w14:paraId="7C73BC0E" w14:textId="77777777" w:rsidR="00DE575E" w:rsidRDefault="002E7560">
      <w:pPr>
        <w:spacing w:before="92"/>
        <w:ind w:left="533"/>
        <w:rPr>
          <w:rFonts w:ascii="Times New Roman"/>
          <w:sz w:val="20"/>
        </w:rPr>
      </w:pPr>
      <w:r>
        <w:rPr>
          <w:rFonts w:ascii="Times New Roman"/>
          <w:color w:val="231F20"/>
          <w:sz w:val="20"/>
        </w:rPr>
        <w:t>430</w:t>
      </w:r>
    </w:p>
    <w:p w14:paraId="7F025DCB" w14:textId="77777777" w:rsidR="00DE575E" w:rsidRDefault="00DE575E">
      <w:pPr>
        <w:rPr>
          <w:rFonts w:ascii="Times New Roman"/>
          <w:sz w:val="20"/>
        </w:rPr>
        <w:sectPr w:rsidR="00DE575E">
          <w:pgSz w:w="8510" w:h="12760"/>
          <w:pgMar w:top="660" w:right="720" w:bottom="280" w:left="600" w:header="720" w:footer="720" w:gutter="0"/>
          <w:cols w:space="720"/>
        </w:sectPr>
      </w:pPr>
    </w:p>
    <w:p w14:paraId="18D52691"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 xml:space="preserve">Глава ІІ Особливе адміністративне право/ Книга І </w:t>
      </w:r>
      <w:r>
        <w:rPr>
          <w:rFonts w:ascii="AdonisC" w:hAnsi="AdonisC"/>
          <w:i/>
          <w:color w:val="231F20"/>
          <w:sz w:val="18"/>
        </w:rPr>
        <w:t>Розділ 4. Запобігання корупційним проявам у публічній службі</w:t>
      </w:r>
    </w:p>
    <w:p w14:paraId="443538DB" w14:textId="3243002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2B2C16A" wp14:editId="16E6E099">
                <wp:extent cx="4140200" cy="6350"/>
                <wp:effectExtent l="0" t="0" r="12700" b="6350"/>
                <wp:docPr id="31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15" name="Line 31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1A6C6E" id="Group_x0020_31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AcyrWX4CAACYBQAADgAA&#10;AAAAAAAAAAAAAAAsAgAAZHJzL2Uyb0RvYy54bWxQSwECLQAUAAYACAAAACEATKewkNkAAAADAQAA&#10;DwAAAAAAAAAAAAAAAADWBAAAZHJzL2Rvd25yZXYueG1sUEsFBgAAAAAEAAQA8wAAANwFAAAAAA==&#10;">
                <v:line id="Line_x0020_31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0cYAAADcAAAADwAAAGRycy9kb3ducmV2LnhtbESP0WrCQBRE3wv9h+UWfCm60VCR6CpF&#10;EMQHrcYPuGavSeju3ZhdTdqv7xYKfRxm5gyzWPXWiAe1vnasYDxKQBAXTtdcKjjnm+EMhA/IGo1j&#10;UvBFHlbL56cFZtp1fKTHKZQiQthnqKAKocmk9EVFFv3INcTRu7rWYoiyLaVusYtwa+QkSabSYs1x&#10;ocKG1hUVn6e7VZDfXoP5OOxMlx8uqbzc9un3fa/U4KV/n4MI1If/8F97qxWk4zf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EtHGAAAA3AAAAA8AAAAAAAAA&#10;AAAAAAAAoQIAAGRycy9kb3ducmV2LnhtbFBLBQYAAAAABAAEAPkAAACUAwAAAAA=&#10;" strokecolor="#231f20" strokeweight=".5pt"/>
                <w10:anchorlock/>
              </v:group>
            </w:pict>
          </mc:Fallback>
        </mc:AlternateContent>
      </w:r>
    </w:p>
    <w:p w14:paraId="48D2FB88" w14:textId="77777777" w:rsidR="00DE575E" w:rsidRDefault="00DE575E">
      <w:pPr>
        <w:pStyle w:val="BodyText"/>
        <w:spacing w:before="7"/>
        <w:rPr>
          <w:rFonts w:ascii="AdonisC"/>
          <w:i/>
          <w:sz w:val="19"/>
        </w:rPr>
      </w:pPr>
    </w:p>
    <w:p w14:paraId="61085F4E" w14:textId="77777777" w:rsidR="00DE575E" w:rsidRDefault="002E7560">
      <w:pPr>
        <w:pStyle w:val="BodyText"/>
        <w:spacing w:before="1" w:line="252" w:lineRule="auto"/>
        <w:ind w:left="250" w:right="411"/>
        <w:jc w:val="both"/>
      </w:pPr>
      <w:r>
        <w:rPr>
          <w:color w:val="231F20"/>
        </w:rPr>
        <w:t>стративний розсуд щодо кваліфікації діяння за різними видами проступків (відповідно і щодо застосування різних санкцій) містить о</w:t>
      </w:r>
      <w:r>
        <w:rPr>
          <w:color w:val="231F20"/>
        </w:rPr>
        <w:t>знаки надмірної дискреції;</w:t>
      </w:r>
    </w:p>
    <w:p w14:paraId="193D1771" w14:textId="77777777" w:rsidR="00DE575E" w:rsidRDefault="002E7560">
      <w:pPr>
        <w:pStyle w:val="ListParagraph"/>
        <w:numPr>
          <w:ilvl w:val="0"/>
          <w:numId w:val="60"/>
        </w:numPr>
        <w:tabs>
          <w:tab w:val="left" w:pos="838"/>
        </w:tabs>
        <w:spacing w:line="252" w:lineRule="auto"/>
        <w:ind w:right="411" w:firstLine="283"/>
        <w:jc w:val="both"/>
        <w:rPr>
          <w:sz w:val="21"/>
        </w:rPr>
      </w:pPr>
      <w:r>
        <w:rPr>
          <w:b/>
          <w:i/>
          <w:color w:val="231F20"/>
          <w:sz w:val="21"/>
        </w:rPr>
        <w:t xml:space="preserve">інших наслідків </w:t>
      </w:r>
      <w:r>
        <w:rPr>
          <w:color w:val="231F20"/>
          <w:sz w:val="21"/>
        </w:rPr>
        <w:t>порушення правил етичної поведінки, не пов’язаних із юридичною відповідальністю, але які також можуть мати правове значення. Це</w:t>
      </w:r>
      <w:r>
        <w:rPr>
          <w:color w:val="231F20"/>
          <w:spacing w:val="-2"/>
          <w:sz w:val="21"/>
        </w:rPr>
        <w:t xml:space="preserve"> </w:t>
      </w:r>
      <w:r>
        <w:rPr>
          <w:color w:val="231F20"/>
          <w:sz w:val="21"/>
        </w:rPr>
        <w:t>зокрема:</w:t>
      </w:r>
    </w:p>
    <w:p w14:paraId="57B9174D" w14:textId="77777777" w:rsidR="00DE575E" w:rsidRDefault="002E7560">
      <w:pPr>
        <w:pStyle w:val="ListParagraph"/>
        <w:numPr>
          <w:ilvl w:val="1"/>
          <w:numId w:val="60"/>
        </w:numPr>
        <w:tabs>
          <w:tab w:val="left" w:pos="1101"/>
        </w:tabs>
        <w:spacing w:before="2" w:line="252" w:lineRule="auto"/>
        <w:ind w:right="411" w:hanging="283"/>
        <w:rPr>
          <w:sz w:val="21"/>
        </w:rPr>
      </w:pPr>
      <w:r>
        <w:rPr>
          <w:i/>
          <w:color w:val="231F20"/>
          <w:sz w:val="21"/>
        </w:rPr>
        <w:t xml:space="preserve">організаційно-процедурний </w:t>
      </w:r>
      <w:r>
        <w:rPr>
          <w:color w:val="231F20"/>
          <w:sz w:val="21"/>
        </w:rPr>
        <w:t>наслідок у вигляді відводу (наприклад, члена Вищої</w:t>
      </w:r>
      <w:r>
        <w:rPr>
          <w:color w:val="231F20"/>
          <w:sz w:val="21"/>
        </w:rPr>
        <w:t xml:space="preserve"> кваліфікаційної комісії </w:t>
      </w:r>
      <w:r>
        <w:rPr>
          <w:color w:val="231F20"/>
          <w:spacing w:val="-3"/>
          <w:sz w:val="21"/>
        </w:rPr>
        <w:t xml:space="preserve">суддів України, </w:t>
      </w:r>
      <w:r>
        <w:rPr>
          <w:color w:val="231F20"/>
          <w:sz w:val="21"/>
        </w:rPr>
        <w:t>поведінка якого викликає сумнів у його безсто- ронності);</w:t>
      </w:r>
    </w:p>
    <w:p w14:paraId="72BFC939" w14:textId="77777777" w:rsidR="00DE575E" w:rsidRDefault="002E7560">
      <w:pPr>
        <w:pStyle w:val="ListParagraph"/>
        <w:numPr>
          <w:ilvl w:val="1"/>
          <w:numId w:val="60"/>
        </w:numPr>
        <w:tabs>
          <w:tab w:val="left" w:pos="1101"/>
        </w:tabs>
        <w:spacing w:before="2" w:line="252" w:lineRule="auto"/>
        <w:ind w:right="410" w:hanging="283"/>
        <w:rPr>
          <w:sz w:val="21"/>
        </w:rPr>
      </w:pPr>
      <w:r>
        <w:rPr>
          <w:i/>
          <w:color w:val="231F20"/>
          <w:sz w:val="21"/>
        </w:rPr>
        <w:t xml:space="preserve">урахування дотримання правил етичної поведінки </w:t>
      </w:r>
      <w:r>
        <w:rPr>
          <w:color w:val="231F20"/>
          <w:sz w:val="21"/>
        </w:rPr>
        <w:t xml:space="preserve">держав- ного службовця під час щорічного оцінювання </w:t>
      </w:r>
      <w:r>
        <w:rPr>
          <w:color w:val="231F20"/>
          <w:spacing w:val="-3"/>
          <w:sz w:val="21"/>
        </w:rPr>
        <w:t xml:space="preserve">результатів </w:t>
      </w:r>
      <w:r>
        <w:rPr>
          <w:color w:val="231F20"/>
          <w:sz w:val="21"/>
        </w:rPr>
        <w:t xml:space="preserve">його діяльності, що впливає на преміювання, планування </w:t>
      </w:r>
      <w:r>
        <w:rPr>
          <w:color w:val="231F20"/>
          <w:spacing w:val="-5"/>
          <w:sz w:val="21"/>
        </w:rPr>
        <w:t xml:space="preserve">кар’єри </w:t>
      </w:r>
      <w:r>
        <w:rPr>
          <w:color w:val="231F20"/>
          <w:sz w:val="21"/>
        </w:rPr>
        <w:t xml:space="preserve">та виявлення потреби у професійному навчанні (ч.ч. 1 і 2 </w:t>
      </w:r>
      <w:r>
        <w:rPr>
          <w:color w:val="231F20"/>
          <w:spacing w:val="-6"/>
          <w:sz w:val="21"/>
        </w:rPr>
        <w:t xml:space="preserve">ст. </w:t>
      </w:r>
      <w:r>
        <w:rPr>
          <w:color w:val="231F20"/>
          <w:sz w:val="21"/>
        </w:rPr>
        <w:t>44 Закону «Про державну</w:t>
      </w:r>
      <w:r>
        <w:rPr>
          <w:color w:val="231F20"/>
          <w:spacing w:val="-5"/>
          <w:sz w:val="21"/>
        </w:rPr>
        <w:t xml:space="preserve"> </w:t>
      </w:r>
      <w:r>
        <w:rPr>
          <w:color w:val="231F20"/>
          <w:sz w:val="21"/>
        </w:rPr>
        <w:t>службу»).</w:t>
      </w:r>
    </w:p>
    <w:p w14:paraId="42979142" w14:textId="77777777" w:rsidR="00DE575E" w:rsidRDefault="002E7560">
      <w:pPr>
        <w:pStyle w:val="BodyText"/>
        <w:spacing w:before="2" w:line="252" w:lineRule="auto"/>
        <w:ind w:left="250" w:right="411" w:firstLine="283"/>
        <w:jc w:val="both"/>
      </w:pPr>
      <w:r>
        <w:rPr>
          <w:color w:val="231F20"/>
        </w:rPr>
        <w:t>Слід</w:t>
      </w:r>
      <w:r>
        <w:rPr>
          <w:color w:val="231F20"/>
          <w:spacing w:val="-20"/>
        </w:rPr>
        <w:t xml:space="preserve"> </w:t>
      </w:r>
      <w:r>
        <w:rPr>
          <w:color w:val="231F20"/>
        </w:rPr>
        <w:t>звернути</w:t>
      </w:r>
      <w:r>
        <w:rPr>
          <w:color w:val="231F20"/>
          <w:spacing w:val="-20"/>
        </w:rPr>
        <w:t xml:space="preserve"> </w:t>
      </w:r>
      <w:r>
        <w:rPr>
          <w:color w:val="231F20"/>
        </w:rPr>
        <w:t>увагу</w:t>
      </w:r>
      <w:r>
        <w:rPr>
          <w:color w:val="231F20"/>
          <w:spacing w:val="-20"/>
        </w:rPr>
        <w:t xml:space="preserve"> </w:t>
      </w:r>
      <w:r>
        <w:rPr>
          <w:color w:val="231F20"/>
        </w:rPr>
        <w:t>й</w:t>
      </w:r>
      <w:r>
        <w:rPr>
          <w:color w:val="231F20"/>
          <w:spacing w:val="-20"/>
        </w:rPr>
        <w:t xml:space="preserve"> </w:t>
      </w:r>
      <w:r>
        <w:rPr>
          <w:color w:val="231F20"/>
        </w:rPr>
        <w:t>на</w:t>
      </w:r>
      <w:r>
        <w:rPr>
          <w:color w:val="231F20"/>
          <w:spacing w:val="-20"/>
        </w:rPr>
        <w:t xml:space="preserve"> </w:t>
      </w:r>
      <w:r>
        <w:rPr>
          <w:color w:val="231F20"/>
        </w:rPr>
        <w:t>деяку</w:t>
      </w:r>
      <w:r>
        <w:rPr>
          <w:color w:val="231F20"/>
          <w:spacing w:val="-20"/>
        </w:rPr>
        <w:t xml:space="preserve"> </w:t>
      </w:r>
      <w:r>
        <w:rPr>
          <w:color w:val="231F20"/>
        </w:rPr>
        <w:t>негармонійність</w:t>
      </w:r>
      <w:r>
        <w:rPr>
          <w:color w:val="231F20"/>
          <w:spacing w:val="-20"/>
        </w:rPr>
        <w:t xml:space="preserve"> </w:t>
      </w:r>
      <w:r>
        <w:rPr>
          <w:color w:val="231F20"/>
        </w:rPr>
        <w:t>правового</w:t>
      </w:r>
      <w:r>
        <w:rPr>
          <w:color w:val="231F20"/>
          <w:spacing w:val="-20"/>
        </w:rPr>
        <w:t xml:space="preserve"> </w:t>
      </w:r>
      <w:r>
        <w:rPr>
          <w:color w:val="231F20"/>
        </w:rPr>
        <w:t xml:space="preserve">статусу публічних службовців у контексті </w:t>
      </w:r>
      <w:r>
        <w:rPr>
          <w:color w:val="231F20"/>
        </w:rPr>
        <w:t>етики. Етичними вимогами ство- рюється образ публічного службовця, що є взірцевим представни- ком нашого суспільства, «кращим з кращих» поряд зі звичайним, не завжди етичним,</w:t>
      </w:r>
      <w:r>
        <w:rPr>
          <w:color w:val="231F20"/>
          <w:spacing w:val="-1"/>
        </w:rPr>
        <w:t xml:space="preserve"> </w:t>
      </w:r>
      <w:r>
        <w:rPr>
          <w:color w:val="231F20"/>
        </w:rPr>
        <w:t>населенням.</w:t>
      </w:r>
    </w:p>
    <w:p w14:paraId="4BAC6D10" w14:textId="77777777" w:rsidR="00DE575E" w:rsidRDefault="002E7560">
      <w:pPr>
        <w:pStyle w:val="BodyText"/>
        <w:spacing w:before="3" w:line="252" w:lineRule="auto"/>
        <w:ind w:left="250" w:right="412" w:firstLine="283"/>
        <w:jc w:val="both"/>
      </w:pPr>
      <w:r>
        <w:rPr>
          <w:color w:val="231F20"/>
        </w:rPr>
        <w:t>Реальність подібного «ідеального» суб’єкта можлива лише за умов:</w:t>
      </w:r>
    </w:p>
    <w:p w14:paraId="30E0E1B8" w14:textId="77777777" w:rsidR="00DE575E" w:rsidRDefault="002E7560">
      <w:pPr>
        <w:pStyle w:val="ListParagraph"/>
        <w:numPr>
          <w:ilvl w:val="0"/>
          <w:numId w:val="61"/>
        </w:numPr>
        <w:tabs>
          <w:tab w:val="left" w:pos="818"/>
        </w:tabs>
        <w:spacing w:line="252" w:lineRule="auto"/>
        <w:ind w:right="413" w:firstLine="283"/>
        <w:rPr>
          <w:sz w:val="21"/>
        </w:rPr>
      </w:pPr>
      <w:r>
        <w:rPr>
          <w:color w:val="231F20"/>
          <w:sz w:val="21"/>
        </w:rPr>
        <w:t xml:space="preserve">адекватності вимог до нього, що не можуть кардинально розходитися із загальним рівнем </w:t>
      </w:r>
      <w:r>
        <w:rPr>
          <w:color w:val="231F20"/>
          <w:spacing w:val="-3"/>
          <w:sz w:val="21"/>
        </w:rPr>
        <w:t>культури</w:t>
      </w:r>
      <w:r>
        <w:rPr>
          <w:color w:val="231F20"/>
          <w:spacing w:val="-8"/>
          <w:sz w:val="21"/>
        </w:rPr>
        <w:t xml:space="preserve"> </w:t>
      </w:r>
      <w:r>
        <w:rPr>
          <w:color w:val="231F20"/>
          <w:sz w:val="21"/>
        </w:rPr>
        <w:t>соціуму;</w:t>
      </w:r>
    </w:p>
    <w:p w14:paraId="3E4020B1" w14:textId="77777777" w:rsidR="00DE575E" w:rsidRDefault="002E7560">
      <w:pPr>
        <w:pStyle w:val="ListParagraph"/>
        <w:numPr>
          <w:ilvl w:val="0"/>
          <w:numId w:val="61"/>
        </w:numPr>
        <w:tabs>
          <w:tab w:val="left" w:pos="818"/>
        </w:tabs>
        <w:spacing w:line="252" w:lineRule="auto"/>
        <w:ind w:right="411" w:firstLine="283"/>
        <w:rPr>
          <w:sz w:val="21"/>
        </w:rPr>
      </w:pPr>
      <w:r>
        <w:rPr>
          <w:color w:val="231F20"/>
          <w:sz w:val="21"/>
        </w:rPr>
        <w:t>гармонійності статусу публічного службовця та його елемен- тів, пов’язаних з етикою. Правове буття носія владних повноважень має будуватися, виходячи із</w:t>
      </w:r>
      <w:r>
        <w:rPr>
          <w:color w:val="231F20"/>
          <w:sz w:val="21"/>
        </w:rPr>
        <w:t xml:space="preserve"> засад єдності прав і обов’язків, невід- дільності останніх від зважених механізмів правового</w:t>
      </w:r>
      <w:r>
        <w:rPr>
          <w:color w:val="231F20"/>
          <w:spacing w:val="-11"/>
          <w:sz w:val="21"/>
        </w:rPr>
        <w:t xml:space="preserve"> </w:t>
      </w:r>
      <w:r>
        <w:rPr>
          <w:color w:val="231F20"/>
          <w:spacing w:val="-3"/>
          <w:sz w:val="21"/>
        </w:rPr>
        <w:t>захисту.</w:t>
      </w:r>
    </w:p>
    <w:p w14:paraId="3D32FFC4" w14:textId="77777777" w:rsidR="00DE575E" w:rsidRDefault="002E7560">
      <w:pPr>
        <w:pStyle w:val="BodyText"/>
        <w:spacing w:before="1" w:line="252" w:lineRule="auto"/>
        <w:ind w:left="250" w:right="407" w:firstLine="283"/>
        <w:jc w:val="both"/>
      </w:pPr>
      <w:r>
        <w:rPr>
          <w:color w:val="231F20"/>
        </w:rPr>
        <w:t>Публічні  службовці  володіють  правами  і  свободами  людини,  а тому вправі розраховувати на належну етичну поведінку, іден- тично до будь-якої іншої о</w:t>
      </w:r>
      <w:r>
        <w:rPr>
          <w:color w:val="231F20"/>
        </w:rPr>
        <w:t>соби. Можливо, навіть більше,  адже  мова йде про представника публічної влади, що мусить відстою- вати загальний інтерес. Проте достатні та дієві засоби впливу на неетичну активність приватної особи відсутні. Зокрема, фрагмен- тарно утвердженою залишаєтьс</w:t>
      </w:r>
      <w:r>
        <w:rPr>
          <w:color w:val="231F20"/>
        </w:rPr>
        <w:t xml:space="preserve">я адміністративна відповідаль- ність за неетичну поведінку приватної особи щодо публічних службовців. </w:t>
      </w:r>
      <w:r>
        <w:rPr>
          <w:color w:val="231F20"/>
          <w:spacing w:val="-5"/>
        </w:rPr>
        <w:t xml:space="preserve">Ст. </w:t>
      </w:r>
      <w:r>
        <w:rPr>
          <w:color w:val="231F20"/>
        </w:rPr>
        <w:t xml:space="preserve">185-3 КУпАП передбачає стягнення за виявлення неповаги до суду; </w:t>
      </w:r>
      <w:r>
        <w:rPr>
          <w:color w:val="231F20"/>
          <w:spacing w:val="-5"/>
        </w:rPr>
        <w:t xml:space="preserve">ст. </w:t>
      </w:r>
      <w:r>
        <w:rPr>
          <w:color w:val="231F20"/>
        </w:rPr>
        <w:t>185-9 – за злісну непокору законному розпо- рядженню або вимозі працівника транспо</w:t>
      </w:r>
      <w:r>
        <w:rPr>
          <w:color w:val="231F20"/>
        </w:rPr>
        <w:t>рту, пов’язану з</w:t>
      </w:r>
      <w:r>
        <w:rPr>
          <w:color w:val="231F20"/>
          <w:spacing w:val="16"/>
        </w:rPr>
        <w:t xml:space="preserve"> </w:t>
      </w:r>
      <w:r>
        <w:rPr>
          <w:color w:val="231F20"/>
        </w:rPr>
        <w:t>фізичним</w:t>
      </w:r>
    </w:p>
    <w:p w14:paraId="688AD765" w14:textId="77777777" w:rsidR="00DE575E" w:rsidRDefault="00DE575E">
      <w:pPr>
        <w:pStyle w:val="BodyText"/>
        <w:spacing w:before="10"/>
        <w:rPr>
          <w:sz w:val="12"/>
        </w:rPr>
      </w:pPr>
    </w:p>
    <w:p w14:paraId="31762BB0" w14:textId="77777777" w:rsidR="00DE575E" w:rsidRDefault="002E7560">
      <w:pPr>
        <w:spacing w:before="92"/>
        <w:ind w:right="411"/>
        <w:jc w:val="right"/>
        <w:rPr>
          <w:rFonts w:ascii="Times New Roman"/>
          <w:sz w:val="20"/>
        </w:rPr>
      </w:pPr>
      <w:r>
        <w:rPr>
          <w:rFonts w:ascii="Times New Roman"/>
          <w:color w:val="231F20"/>
          <w:w w:val="90"/>
          <w:sz w:val="20"/>
        </w:rPr>
        <w:t>431</w:t>
      </w:r>
    </w:p>
    <w:p w14:paraId="1D76CB4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161B33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C2637CD" w14:textId="70138E2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96F34E0" wp14:editId="24446CED">
                <wp:extent cx="4140200" cy="6350"/>
                <wp:effectExtent l="0" t="0" r="12700" b="6350"/>
                <wp:docPr id="31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13" name="Line 31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3BC4B" id="Group_x0020_31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G30MVfQIAAJgFAAAOAAAA&#10;AAAAAAAAAAAAACwCAABkcnMvZTJvRG9jLnhtbFBLAQItABQABgAIAAAAIQBMp7CQ2QAAAAMBAAAP&#10;AAAAAAAAAAAAAAAAANUEAABkcnMvZG93bnJldi54bWxQSwUGAAAAAAQABADzAAAA2wUAAAAA&#10;">
                <v:line id="Line_x0020_31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svPsUAAADcAAAADwAAAGRycy9kb3ducmV2LnhtbESP0WrCQBRE3wv+w3IFX4puNFBKdBUR&#10;hNIHbY0fcM1ek+Du3ZhdTfTru4VCH4eZOcMsVr014k6trx0rmE4SEMSF0zWXCo75dvwOwgdkjcYx&#10;KXiQh9Vy8LLATLuOv+l+CKWIEPYZKqhCaDIpfVGRRT9xDXH0zq61GKJsS6lb7CLcGjlLkjdpsea4&#10;UGFDm4qKy+FmFeTX12C+9p+my/enVJ6uu/R52yk1GvbrOYhAffgP/7U/tIJ0msLvmXgE5P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0svPsUAAADcAAAADwAAAAAAAAAA&#10;AAAAAAChAgAAZHJzL2Rvd25yZXYueG1sUEsFBgAAAAAEAAQA+QAAAJMDAAAAAA==&#10;" strokecolor="#231f20" strokeweight=".5pt"/>
                <w10:anchorlock/>
              </v:group>
            </w:pict>
          </mc:Fallback>
        </mc:AlternateContent>
      </w:r>
    </w:p>
    <w:p w14:paraId="71378B10" w14:textId="77777777" w:rsidR="00DE575E" w:rsidRDefault="00DE575E">
      <w:pPr>
        <w:pStyle w:val="BodyText"/>
        <w:spacing w:before="7"/>
        <w:rPr>
          <w:rFonts w:ascii="AdonisC"/>
          <w:i/>
          <w:sz w:val="11"/>
        </w:rPr>
      </w:pPr>
    </w:p>
    <w:p w14:paraId="7ADECB9C" w14:textId="77777777" w:rsidR="00DE575E" w:rsidRDefault="002E7560">
      <w:pPr>
        <w:pStyle w:val="BodyText"/>
        <w:spacing w:before="101" w:line="252" w:lineRule="auto"/>
        <w:ind w:left="533" w:right="123"/>
        <w:jc w:val="both"/>
      </w:pPr>
      <w:r>
        <w:rPr>
          <w:color w:val="231F20"/>
        </w:rPr>
        <w:t>опором або образою. Якщо неетична поведінка здійснюється при особистому прийомі громадян, вона може містити також ознаки правопорушення, встановленого в ст. 173 «Дрібне хуліганство»:</w:t>
      </w:r>
    </w:p>
    <w:p w14:paraId="503627F7" w14:textId="77777777" w:rsidR="00DE575E" w:rsidRDefault="002E7560">
      <w:pPr>
        <w:pStyle w:val="BodyText"/>
        <w:spacing w:before="1" w:line="252" w:lineRule="auto"/>
        <w:ind w:left="533" w:right="124"/>
        <w:jc w:val="both"/>
      </w:pPr>
      <w:r>
        <w:rPr>
          <w:color w:val="231F20"/>
        </w:rPr>
        <w:t>«нецензурна лайка в громадських місцях, образливе чіпляння до громадян та інші подібні дії, що порушують громадський порядок    і спокій</w:t>
      </w:r>
      <w:r>
        <w:rPr>
          <w:color w:val="231F20"/>
          <w:spacing w:val="7"/>
        </w:rPr>
        <w:t xml:space="preserve"> </w:t>
      </w:r>
      <w:r>
        <w:rPr>
          <w:color w:val="231F20"/>
        </w:rPr>
        <w:t>громадян…».</w:t>
      </w:r>
    </w:p>
    <w:p w14:paraId="48A81828" w14:textId="77777777" w:rsidR="00DE575E" w:rsidRDefault="002E7560">
      <w:pPr>
        <w:pStyle w:val="BodyText"/>
        <w:spacing w:before="2" w:line="252" w:lineRule="auto"/>
        <w:ind w:left="533" w:right="126" w:firstLine="283"/>
        <w:jc w:val="both"/>
      </w:pPr>
      <w:r>
        <w:rPr>
          <w:color w:val="231F20"/>
        </w:rPr>
        <w:t xml:space="preserve">Видається необхідним запровадження адміністративної відпо- відальності за виявлення неповаги стосовно всіх </w:t>
      </w:r>
      <w:r>
        <w:rPr>
          <w:color w:val="231F20"/>
        </w:rPr>
        <w:t xml:space="preserve">публічних служ- бовців (а не лише </w:t>
      </w:r>
      <w:r>
        <w:rPr>
          <w:color w:val="231F20"/>
          <w:spacing w:val="-3"/>
        </w:rPr>
        <w:t xml:space="preserve">суддів). </w:t>
      </w:r>
      <w:r>
        <w:rPr>
          <w:color w:val="231F20"/>
        </w:rPr>
        <w:t xml:space="preserve">Д. Лученко та </w:t>
      </w:r>
      <w:r>
        <w:rPr>
          <w:color w:val="231F20"/>
          <w:spacing w:val="-3"/>
        </w:rPr>
        <w:t xml:space="preserve">О. </w:t>
      </w:r>
      <w:r>
        <w:rPr>
          <w:color w:val="231F20"/>
        </w:rPr>
        <w:t xml:space="preserve">Крестьянінов, вирішуючи питання про характер правомочності </w:t>
      </w:r>
      <w:r>
        <w:rPr>
          <w:color w:val="231F20"/>
          <w:spacing w:val="-3"/>
        </w:rPr>
        <w:t xml:space="preserve">судді </w:t>
      </w:r>
      <w:r>
        <w:rPr>
          <w:color w:val="231F20"/>
        </w:rPr>
        <w:t>щодо притягнення до відповідальності за виявлення неповаги, наголошують на потребі говорити</w:t>
      </w:r>
      <w:r>
        <w:rPr>
          <w:color w:val="231F20"/>
          <w:spacing w:val="-12"/>
        </w:rPr>
        <w:t xml:space="preserve"> </w:t>
      </w:r>
      <w:r>
        <w:rPr>
          <w:color w:val="231F20"/>
        </w:rPr>
        <w:t>не</w:t>
      </w:r>
      <w:r>
        <w:rPr>
          <w:color w:val="231F20"/>
          <w:spacing w:val="-12"/>
        </w:rPr>
        <w:t xml:space="preserve"> </w:t>
      </w:r>
      <w:r>
        <w:rPr>
          <w:color w:val="231F20"/>
        </w:rPr>
        <w:t>про</w:t>
      </w:r>
      <w:r>
        <w:rPr>
          <w:color w:val="231F20"/>
          <w:spacing w:val="-12"/>
        </w:rPr>
        <w:t xml:space="preserve"> </w:t>
      </w:r>
      <w:r>
        <w:rPr>
          <w:color w:val="231F20"/>
        </w:rPr>
        <w:t>право,</w:t>
      </w:r>
      <w:r>
        <w:rPr>
          <w:color w:val="231F20"/>
          <w:spacing w:val="-12"/>
        </w:rPr>
        <w:t xml:space="preserve"> </w:t>
      </w:r>
      <w:r>
        <w:rPr>
          <w:color w:val="231F20"/>
        </w:rPr>
        <w:t>а</w:t>
      </w:r>
      <w:r>
        <w:rPr>
          <w:color w:val="231F20"/>
          <w:spacing w:val="-12"/>
        </w:rPr>
        <w:t xml:space="preserve"> </w:t>
      </w:r>
      <w:r>
        <w:rPr>
          <w:color w:val="231F20"/>
        </w:rPr>
        <w:t>про</w:t>
      </w:r>
      <w:r>
        <w:rPr>
          <w:color w:val="231F20"/>
          <w:spacing w:val="-12"/>
        </w:rPr>
        <w:t xml:space="preserve"> </w:t>
      </w:r>
      <w:r>
        <w:rPr>
          <w:color w:val="231F20"/>
        </w:rPr>
        <w:t>прямий</w:t>
      </w:r>
      <w:r>
        <w:rPr>
          <w:color w:val="231F20"/>
          <w:spacing w:val="-12"/>
        </w:rPr>
        <w:t xml:space="preserve"> </w:t>
      </w:r>
      <w:r>
        <w:rPr>
          <w:color w:val="231F20"/>
        </w:rPr>
        <w:t>обов’язок</w:t>
      </w:r>
      <w:r>
        <w:rPr>
          <w:color w:val="231F20"/>
          <w:spacing w:val="-12"/>
        </w:rPr>
        <w:t xml:space="preserve"> </w:t>
      </w:r>
      <w:r>
        <w:rPr>
          <w:color w:val="231F20"/>
          <w:spacing w:val="-3"/>
        </w:rPr>
        <w:t>су</w:t>
      </w:r>
      <w:r>
        <w:rPr>
          <w:color w:val="231F20"/>
          <w:spacing w:val="-3"/>
        </w:rPr>
        <w:t>дді.</w:t>
      </w:r>
      <w:r>
        <w:rPr>
          <w:color w:val="231F20"/>
          <w:spacing w:val="-12"/>
        </w:rPr>
        <w:t xml:space="preserve"> </w:t>
      </w:r>
      <w:r>
        <w:rPr>
          <w:color w:val="231F20"/>
        </w:rPr>
        <w:t>Науковці</w:t>
      </w:r>
      <w:r>
        <w:rPr>
          <w:color w:val="231F20"/>
          <w:spacing w:val="-12"/>
        </w:rPr>
        <w:t xml:space="preserve"> </w:t>
      </w:r>
      <w:r>
        <w:rPr>
          <w:color w:val="231F20"/>
        </w:rPr>
        <w:t xml:space="preserve">також додають, що дуже важливо, щоб у кожному конкретному випадку виявлення неповаги до </w:t>
      </w:r>
      <w:r>
        <w:rPr>
          <w:color w:val="231F20"/>
          <w:spacing w:val="-7"/>
        </w:rPr>
        <w:t>суду,</w:t>
      </w:r>
      <w:r>
        <w:rPr>
          <w:color w:val="231F20"/>
          <w:spacing w:val="31"/>
        </w:rPr>
        <w:t xml:space="preserve"> </w:t>
      </w:r>
      <w:r>
        <w:rPr>
          <w:color w:val="231F20"/>
        </w:rPr>
        <w:t xml:space="preserve">винна особа зазнавала негативних наслідків у </w:t>
      </w:r>
      <w:r>
        <w:rPr>
          <w:color w:val="231F20"/>
          <w:spacing w:val="-3"/>
        </w:rPr>
        <w:t xml:space="preserve">результаті </w:t>
      </w:r>
      <w:r>
        <w:rPr>
          <w:color w:val="231F20"/>
        </w:rPr>
        <w:t>своєї протиправної поведінки. Тільки так можна зупинити стрімке зростання кількості випадків прояву</w:t>
      </w:r>
      <w:r>
        <w:rPr>
          <w:color w:val="231F20"/>
          <w:spacing w:val="-27"/>
        </w:rPr>
        <w:t xml:space="preserve"> </w:t>
      </w:r>
      <w:r>
        <w:rPr>
          <w:color w:val="231F20"/>
        </w:rPr>
        <w:t xml:space="preserve">непо- ваги до </w:t>
      </w:r>
      <w:r>
        <w:rPr>
          <w:color w:val="231F20"/>
          <w:spacing w:val="-7"/>
        </w:rPr>
        <w:t xml:space="preserve">суду, </w:t>
      </w:r>
      <w:r>
        <w:rPr>
          <w:color w:val="231F20"/>
        </w:rPr>
        <w:t>що спостерігається на сучасному етапі</w:t>
      </w:r>
      <w:r>
        <w:rPr>
          <w:color w:val="231F20"/>
          <w:position w:val="7"/>
          <w:sz w:val="12"/>
        </w:rPr>
        <w:t>1</w:t>
      </w:r>
      <w:r>
        <w:rPr>
          <w:color w:val="231F20"/>
        </w:rPr>
        <w:t xml:space="preserve">. Подібна пози- ція є не менш актуальною і стосовно інших видів публічної служби, стосовно яких у </w:t>
      </w:r>
      <w:r>
        <w:rPr>
          <w:color w:val="231F20"/>
          <w:spacing w:val="-3"/>
        </w:rPr>
        <w:t xml:space="preserve">КУпАП </w:t>
      </w:r>
      <w:r>
        <w:rPr>
          <w:color w:val="231F20"/>
        </w:rPr>
        <w:t xml:space="preserve">взагалі відсутні статті, що закріплювали б відповідну юрисдикційну </w:t>
      </w:r>
      <w:r>
        <w:rPr>
          <w:color w:val="231F20"/>
          <w:spacing w:val="-3"/>
        </w:rPr>
        <w:t xml:space="preserve">загрозу, </w:t>
      </w:r>
      <w:r>
        <w:rPr>
          <w:color w:val="231F20"/>
        </w:rPr>
        <w:t>гарантуючи етичну паритетність публічно-приватної</w:t>
      </w:r>
      <w:r>
        <w:rPr>
          <w:color w:val="231F20"/>
          <w:spacing w:val="-1"/>
        </w:rPr>
        <w:t xml:space="preserve"> </w:t>
      </w:r>
      <w:r>
        <w:rPr>
          <w:color w:val="231F20"/>
        </w:rPr>
        <w:t>взаємодії.</w:t>
      </w:r>
    </w:p>
    <w:p w14:paraId="73B37FCF" w14:textId="77777777" w:rsidR="00DE575E" w:rsidRDefault="00DE575E">
      <w:pPr>
        <w:pStyle w:val="BodyText"/>
        <w:rPr>
          <w:sz w:val="24"/>
        </w:rPr>
      </w:pPr>
    </w:p>
    <w:p w14:paraId="483B1AC4" w14:textId="77777777" w:rsidR="00DE575E" w:rsidRDefault="00DE575E">
      <w:pPr>
        <w:pStyle w:val="BodyText"/>
        <w:spacing w:before="10"/>
        <w:rPr>
          <w:sz w:val="19"/>
        </w:rPr>
      </w:pPr>
    </w:p>
    <w:p w14:paraId="1E7EA0B4" w14:textId="77777777" w:rsidR="00DE575E" w:rsidRDefault="002E7560">
      <w:pPr>
        <w:pStyle w:val="Heading4"/>
        <w:numPr>
          <w:ilvl w:val="1"/>
          <w:numId w:val="83"/>
        </w:numPr>
        <w:tabs>
          <w:tab w:val="left" w:pos="1322"/>
        </w:tabs>
        <w:ind w:left="1321"/>
        <w:jc w:val="left"/>
      </w:pPr>
      <w:r>
        <w:rPr>
          <w:color w:val="231F20"/>
        </w:rPr>
        <w:t xml:space="preserve">Фінансовий контроль </w:t>
      </w:r>
      <w:r>
        <w:rPr>
          <w:color w:val="231F20"/>
          <w:spacing w:val="-3"/>
        </w:rPr>
        <w:t xml:space="preserve">щодо </w:t>
      </w:r>
      <w:r>
        <w:rPr>
          <w:color w:val="231F20"/>
        </w:rPr>
        <w:t>публічних</w:t>
      </w:r>
      <w:r>
        <w:rPr>
          <w:color w:val="231F20"/>
          <w:spacing w:val="-7"/>
        </w:rPr>
        <w:t xml:space="preserve"> </w:t>
      </w:r>
      <w:r>
        <w:rPr>
          <w:color w:val="231F20"/>
        </w:rPr>
        <w:t>службовців</w:t>
      </w:r>
    </w:p>
    <w:p w14:paraId="7AE7E883" w14:textId="77777777" w:rsidR="00DE575E" w:rsidRDefault="00DE575E">
      <w:pPr>
        <w:pStyle w:val="BodyText"/>
        <w:rPr>
          <w:b/>
          <w:sz w:val="26"/>
        </w:rPr>
      </w:pPr>
    </w:p>
    <w:p w14:paraId="2DCFE29A" w14:textId="77777777" w:rsidR="00DE575E" w:rsidRDefault="002E7560">
      <w:pPr>
        <w:pStyle w:val="BodyText"/>
        <w:spacing w:before="224" w:line="252" w:lineRule="auto"/>
        <w:ind w:left="533" w:right="127" w:firstLine="283"/>
        <w:jc w:val="both"/>
      </w:pPr>
      <w:r>
        <w:rPr>
          <w:color w:val="231F20"/>
        </w:rPr>
        <w:t xml:space="preserve">Основний захід фінансового контролю щодо публічних службов- ців </w:t>
      </w:r>
      <w:r>
        <w:rPr>
          <w:color w:val="231F20"/>
        </w:rPr>
        <w:t>пов’язаний із поданням ними декларацій особи,  уповноваже- ної на виконання функцій держави або місцевого самоврядування (далі – декларація). Антикорупційний закон передбачає чотири види (типи) декларацій, які подаються в різний термін та охоплю- ють різні</w:t>
      </w:r>
      <w:r>
        <w:rPr>
          <w:color w:val="231F20"/>
          <w:spacing w:val="-3"/>
        </w:rPr>
        <w:t xml:space="preserve"> </w:t>
      </w:r>
      <w:r>
        <w:rPr>
          <w:color w:val="231F20"/>
        </w:rPr>
        <w:t>періоди:</w:t>
      </w:r>
    </w:p>
    <w:p w14:paraId="1B34EEE9" w14:textId="77777777" w:rsidR="00DE575E" w:rsidRDefault="002E7560">
      <w:pPr>
        <w:pStyle w:val="BodyText"/>
        <w:spacing w:before="3" w:line="252" w:lineRule="auto"/>
        <w:ind w:left="533" w:right="127" w:firstLine="283"/>
        <w:jc w:val="both"/>
      </w:pPr>
      <w:r>
        <w:rPr>
          <w:color w:val="231F20"/>
        </w:rPr>
        <w:t xml:space="preserve">1.  </w:t>
      </w:r>
      <w:r>
        <w:rPr>
          <w:i/>
          <w:color w:val="231F20"/>
        </w:rPr>
        <w:t xml:space="preserve">Щорічна  декларація  </w:t>
      </w:r>
      <w:r>
        <w:rPr>
          <w:color w:val="231F20"/>
        </w:rPr>
        <w:t xml:space="preserve">за   минулий   рік,   яка   охоплює   період з 1 січня до 31  </w:t>
      </w:r>
      <w:r>
        <w:rPr>
          <w:color w:val="231F20"/>
          <w:spacing w:val="-3"/>
        </w:rPr>
        <w:t xml:space="preserve">грудня  </w:t>
      </w:r>
      <w:r>
        <w:rPr>
          <w:color w:val="231F20"/>
        </w:rPr>
        <w:t xml:space="preserve">включно.  </w:t>
      </w:r>
      <w:r>
        <w:rPr>
          <w:color w:val="231F20"/>
          <w:spacing w:val="-3"/>
        </w:rPr>
        <w:t xml:space="preserve">Терміни  </w:t>
      </w:r>
      <w:r>
        <w:rPr>
          <w:color w:val="231F20"/>
        </w:rPr>
        <w:t>її  подання:  з  00  годин 00</w:t>
      </w:r>
      <w:r>
        <w:rPr>
          <w:color w:val="231F20"/>
          <w:spacing w:val="-15"/>
        </w:rPr>
        <w:t xml:space="preserve"> </w:t>
      </w:r>
      <w:r>
        <w:rPr>
          <w:color w:val="231F20"/>
        </w:rPr>
        <w:t>хвилин</w:t>
      </w:r>
      <w:r>
        <w:rPr>
          <w:color w:val="231F20"/>
          <w:spacing w:val="-15"/>
        </w:rPr>
        <w:t xml:space="preserve"> </w:t>
      </w:r>
      <w:r>
        <w:rPr>
          <w:color w:val="231F20"/>
        </w:rPr>
        <w:t>1</w:t>
      </w:r>
      <w:r>
        <w:rPr>
          <w:color w:val="231F20"/>
          <w:spacing w:val="-15"/>
        </w:rPr>
        <w:t xml:space="preserve"> </w:t>
      </w:r>
      <w:r>
        <w:rPr>
          <w:color w:val="231F20"/>
        </w:rPr>
        <w:t>січня</w:t>
      </w:r>
      <w:r>
        <w:rPr>
          <w:color w:val="231F20"/>
          <w:spacing w:val="-15"/>
        </w:rPr>
        <w:t xml:space="preserve"> </w:t>
      </w:r>
      <w:r>
        <w:rPr>
          <w:color w:val="231F20"/>
        </w:rPr>
        <w:t>до</w:t>
      </w:r>
      <w:r>
        <w:rPr>
          <w:color w:val="231F20"/>
          <w:spacing w:val="-15"/>
        </w:rPr>
        <w:t xml:space="preserve"> </w:t>
      </w:r>
      <w:r>
        <w:rPr>
          <w:color w:val="231F20"/>
        </w:rPr>
        <w:t>00</w:t>
      </w:r>
      <w:r>
        <w:rPr>
          <w:color w:val="231F20"/>
          <w:spacing w:val="-15"/>
        </w:rPr>
        <w:t xml:space="preserve"> </w:t>
      </w:r>
      <w:r>
        <w:rPr>
          <w:color w:val="231F20"/>
        </w:rPr>
        <w:t>годин</w:t>
      </w:r>
      <w:r>
        <w:rPr>
          <w:color w:val="231F20"/>
          <w:spacing w:val="-15"/>
        </w:rPr>
        <w:t xml:space="preserve"> </w:t>
      </w:r>
      <w:r>
        <w:rPr>
          <w:color w:val="231F20"/>
        </w:rPr>
        <w:t>00</w:t>
      </w:r>
      <w:r>
        <w:rPr>
          <w:color w:val="231F20"/>
          <w:spacing w:val="-15"/>
        </w:rPr>
        <w:t xml:space="preserve"> </w:t>
      </w:r>
      <w:r>
        <w:rPr>
          <w:color w:val="231F20"/>
        </w:rPr>
        <w:t>хвилин</w:t>
      </w:r>
      <w:r>
        <w:rPr>
          <w:color w:val="231F20"/>
          <w:spacing w:val="-15"/>
        </w:rPr>
        <w:t xml:space="preserve"> </w:t>
      </w:r>
      <w:r>
        <w:rPr>
          <w:color w:val="231F20"/>
        </w:rPr>
        <w:t>1</w:t>
      </w:r>
      <w:r>
        <w:rPr>
          <w:color w:val="231F20"/>
          <w:spacing w:val="-15"/>
        </w:rPr>
        <w:t xml:space="preserve"> </w:t>
      </w:r>
      <w:r>
        <w:rPr>
          <w:color w:val="231F20"/>
        </w:rPr>
        <w:t>квітня</w:t>
      </w:r>
      <w:r>
        <w:rPr>
          <w:color w:val="231F20"/>
          <w:spacing w:val="-15"/>
        </w:rPr>
        <w:t xml:space="preserve"> </w:t>
      </w:r>
      <w:r>
        <w:rPr>
          <w:color w:val="231F20"/>
        </w:rPr>
        <w:t>(тобто</w:t>
      </w:r>
      <w:r>
        <w:rPr>
          <w:color w:val="231F20"/>
          <w:spacing w:val="-15"/>
        </w:rPr>
        <w:t xml:space="preserve"> </w:t>
      </w:r>
      <w:r>
        <w:rPr>
          <w:color w:val="231F20"/>
        </w:rPr>
        <w:t>до</w:t>
      </w:r>
      <w:r>
        <w:rPr>
          <w:color w:val="231F20"/>
          <w:spacing w:val="-15"/>
        </w:rPr>
        <w:t xml:space="preserve"> </w:t>
      </w:r>
      <w:r>
        <w:rPr>
          <w:color w:val="231F20"/>
        </w:rPr>
        <w:t>24</w:t>
      </w:r>
      <w:r>
        <w:rPr>
          <w:color w:val="231F20"/>
          <w:spacing w:val="-15"/>
        </w:rPr>
        <w:t xml:space="preserve"> </w:t>
      </w:r>
      <w:r>
        <w:rPr>
          <w:color w:val="231F20"/>
        </w:rPr>
        <w:t>години 00</w:t>
      </w:r>
      <w:r>
        <w:rPr>
          <w:color w:val="231F20"/>
          <w:spacing w:val="-12"/>
        </w:rPr>
        <w:t xml:space="preserve"> </w:t>
      </w:r>
      <w:r>
        <w:rPr>
          <w:color w:val="231F20"/>
        </w:rPr>
        <w:t>хвилин</w:t>
      </w:r>
      <w:r>
        <w:rPr>
          <w:color w:val="231F20"/>
          <w:spacing w:val="-12"/>
        </w:rPr>
        <w:t xml:space="preserve"> </w:t>
      </w:r>
      <w:r>
        <w:rPr>
          <w:color w:val="231F20"/>
        </w:rPr>
        <w:t>31</w:t>
      </w:r>
      <w:r>
        <w:rPr>
          <w:color w:val="231F20"/>
          <w:spacing w:val="-12"/>
        </w:rPr>
        <w:t xml:space="preserve"> </w:t>
      </w:r>
      <w:r>
        <w:rPr>
          <w:color w:val="231F20"/>
        </w:rPr>
        <w:t>березня)</w:t>
      </w:r>
      <w:r>
        <w:rPr>
          <w:color w:val="231F20"/>
          <w:spacing w:val="-12"/>
        </w:rPr>
        <w:t xml:space="preserve"> </w:t>
      </w:r>
      <w:r>
        <w:rPr>
          <w:color w:val="231F20"/>
          <w:spacing w:val="-5"/>
        </w:rPr>
        <w:t>року,</w:t>
      </w:r>
      <w:r>
        <w:rPr>
          <w:color w:val="231F20"/>
          <w:spacing w:val="-12"/>
        </w:rPr>
        <w:t xml:space="preserve"> </w:t>
      </w:r>
      <w:r>
        <w:rPr>
          <w:color w:val="231F20"/>
        </w:rPr>
        <w:t>наступного</w:t>
      </w:r>
      <w:r>
        <w:rPr>
          <w:color w:val="231F20"/>
          <w:spacing w:val="-12"/>
        </w:rPr>
        <w:t xml:space="preserve"> </w:t>
      </w:r>
      <w:r>
        <w:rPr>
          <w:color w:val="231F20"/>
        </w:rPr>
        <w:t>за</w:t>
      </w:r>
      <w:r>
        <w:rPr>
          <w:color w:val="231F20"/>
          <w:spacing w:val="-12"/>
        </w:rPr>
        <w:t xml:space="preserve"> </w:t>
      </w:r>
      <w:r>
        <w:rPr>
          <w:color w:val="231F20"/>
        </w:rPr>
        <w:t>звітним.</w:t>
      </w:r>
      <w:r>
        <w:rPr>
          <w:color w:val="231F20"/>
          <w:spacing w:val="-12"/>
        </w:rPr>
        <w:t xml:space="preserve"> </w:t>
      </w:r>
      <w:r>
        <w:rPr>
          <w:color w:val="231F20"/>
        </w:rPr>
        <w:t>Декларація</w:t>
      </w:r>
      <w:r>
        <w:rPr>
          <w:color w:val="231F20"/>
          <w:spacing w:val="-12"/>
        </w:rPr>
        <w:t xml:space="preserve"> </w:t>
      </w:r>
      <w:r>
        <w:rPr>
          <w:color w:val="231F20"/>
        </w:rPr>
        <w:t>пода-</w:t>
      </w:r>
    </w:p>
    <w:p w14:paraId="58BE26A0" w14:textId="2D42518B" w:rsidR="00DE575E" w:rsidRDefault="002E7560">
      <w:pPr>
        <w:pStyle w:val="BodyText"/>
        <w:spacing w:before="3"/>
        <w:rPr>
          <w:sz w:val="19"/>
        </w:rPr>
      </w:pPr>
      <w:r>
        <w:rPr>
          <w:noProof/>
        </w:rPr>
        <mc:AlternateContent>
          <mc:Choice Requires="wps">
            <w:drawing>
              <wp:anchor distT="0" distB="0" distL="0" distR="0" simplePos="0" relativeHeight="17008" behindDoc="0" locked="0" layoutInCell="1" allowOverlap="1" wp14:anchorId="6C7F230A" wp14:editId="1FD79A2C">
                <wp:simplePos x="0" y="0"/>
                <wp:positionH relativeFrom="page">
                  <wp:posOffset>719455</wp:posOffset>
                </wp:positionH>
                <wp:positionV relativeFrom="paragraph">
                  <wp:posOffset>171450</wp:posOffset>
                </wp:positionV>
                <wp:extent cx="1080135" cy="0"/>
                <wp:effectExtent l="8255" t="19050" r="29210" b="19050"/>
                <wp:wrapTopAndBottom/>
                <wp:docPr id="3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8E53D" id="Line_x0020_310" o:spid="_x0000_s1026" style="position:absolute;z-index:1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5pt" to="141.7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" strokecolor="#231f20" strokeweight=".5pt">
                <w10:wrap type="topAndBottom" anchorx="page"/>
              </v:line>
            </w:pict>
          </mc:Fallback>
        </mc:AlternateContent>
      </w:r>
    </w:p>
    <w:p w14:paraId="11DCBAFE"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Лученко Д., Крестьянінов О. Прояв неповаги до суду: проблематика застосування господарськими судами заходів адміністративної відповідальності: науково-практичний посібник. Х.: Юрайт, 2015. С. 12.</w:t>
      </w:r>
    </w:p>
    <w:p w14:paraId="5BFE6735" w14:textId="77777777" w:rsidR="00DE575E" w:rsidRDefault="00DE575E">
      <w:pPr>
        <w:pStyle w:val="BodyText"/>
        <w:spacing w:before="2"/>
        <w:rPr>
          <w:sz w:val="12"/>
        </w:rPr>
      </w:pPr>
    </w:p>
    <w:p w14:paraId="49CA3A4A" w14:textId="77777777" w:rsidR="00DE575E" w:rsidRDefault="002E7560">
      <w:pPr>
        <w:spacing w:before="92"/>
        <w:ind w:left="533"/>
        <w:rPr>
          <w:rFonts w:ascii="Times New Roman"/>
          <w:sz w:val="20"/>
        </w:rPr>
      </w:pPr>
      <w:r>
        <w:rPr>
          <w:rFonts w:ascii="Times New Roman"/>
          <w:color w:val="231F20"/>
          <w:sz w:val="20"/>
        </w:rPr>
        <w:t>432</w:t>
      </w:r>
    </w:p>
    <w:p w14:paraId="6E2B0125" w14:textId="77777777" w:rsidR="00DE575E" w:rsidRDefault="00DE575E">
      <w:pPr>
        <w:rPr>
          <w:rFonts w:ascii="Times New Roman"/>
          <w:sz w:val="20"/>
        </w:rPr>
        <w:sectPr w:rsidR="00DE575E">
          <w:pgSz w:w="8510" w:h="12760"/>
          <w:pgMar w:top="660" w:right="720" w:bottom="280" w:left="600" w:header="720" w:footer="720" w:gutter="0"/>
          <w:cols w:space="720"/>
        </w:sectPr>
      </w:pPr>
    </w:p>
    <w:p w14:paraId="02D7E799"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2FDC9580" w14:textId="4CCFD94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4701C62" wp14:editId="4575A1E0">
                <wp:extent cx="4140200" cy="6350"/>
                <wp:effectExtent l="0" t="0" r="12700" b="6350"/>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10" name="Line 30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3BFFC2" id="Group_x0020_30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l/lmIgAIAAJgFAAAO&#10;AAAAAAAAAAAAAAAAACwCAABkcnMvZTJvRG9jLnhtbFBLAQItABQABgAIAAAAIQBMp7CQ2QAAAAMB&#10;AAAPAAAAAAAAAAAAAAAAANgEAABkcnMvZG93bnJldi54bWxQSwUGAAAAAAQABADzAAAA3gUAAAAA&#10;">
                <v:line id="Line_x0020_30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mxScIAAADcAAAADwAAAGRycy9kb3ducmV2LnhtbERP3WrCMBS+H/gO4QjeDE21MKQaRQRh&#10;7EI36wMcm2NbTE5qE2316ZeLwS4/vv/lurdGPKj1tWMF00kCgrhwuuZSwSnfjecgfEDWaByTgid5&#10;WK8Gb0vMtOv4hx7HUIoYwj5DBVUITSalLyqy6CeuIY7cxbUWQ4RtKXWLXQy3Rs6S5ENarDk2VNjQ&#10;tqLierxbBfntPZjvw5fp8sM5lefbPn3d90qNhv1mASJQH/7Ff+5PrSCdxvnxTDw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5mxScIAAADcAAAADwAAAAAAAAAAAAAA&#10;AAChAgAAZHJzL2Rvd25yZXYueG1sUEsFBgAAAAAEAAQA+QAAAJADAAAAAA==&#10;" strokecolor="#231f20" strokeweight=".5pt"/>
                <w10:anchorlock/>
              </v:group>
            </w:pict>
          </mc:Fallback>
        </mc:AlternateContent>
      </w:r>
    </w:p>
    <w:p w14:paraId="3C601CD4" w14:textId="77777777" w:rsidR="00DE575E" w:rsidRDefault="00DE575E">
      <w:pPr>
        <w:pStyle w:val="BodyText"/>
        <w:spacing w:before="7"/>
        <w:rPr>
          <w:rFonts w:ascii="AdonisC"/>
          <w:i/>
          <w:sz w:val="19"/>
        </w:rPr>
      </w:pPr>
    </w:p>
    <w:p w14:paraId="4E3ECCE1" w14:textId="77777777" w:rsidR="00DE575E" w:rsidRDefault="002E7560">
      <w:pPr>
        <w:pStyle w:val="BodyText"/>
        <w:spacing w:before="1" w:line="252" w:lineRule="auto"/>
        <w:ind w:left="250" w:right="410"/>
        <w:jc w:val="both"/>
      </w:pPr>
      <w:r>
        <w:rPr>
          <w:color w:val="231F20"/>
        </w:rPr>
        <w:t>ється незалежно від тривалості перебування особи у статусі публіч- ного службовця (навіть один або декілька останніх днів звітного року), а також, якщо призначення на посаду відбулося до 1 квітня наступного за звітним року («якщо декларація кандидата на по</w:t>
      </w:r>
      <w:r>
        <w:rPr>
          <w:color w:val="231F20"/>
        </w:rPr>
        <w:t xml:space="preserve">саду </w:t>
      </w:r>
      <w:r>
        <w:rPr>
          <w:color w:val="231F20"/>
          <w:spacing w:val="-3"/>
        </w:rPr>
        <w:t xml:space="preserve">була </w:t>
      </w:r>
      <w:r>
        <w:rPr>
          <w:color w:val="231F20"/>
        </w:rPr>
        <w:t>подана, наприклад, у січні 2020 року й охоплювала попередній звітний</w:t>
      </w:r>
      <w:r>
        <w:rPr>
          <w:color w:val="231F20"/>
          <w:spacing w:val="-10"/>
        </w:rPr>
        <w:t xml:space="preserve"> </w:t>
      </w:r>
      <w:r>
        <w:rPr>
          <w:color w:val="231F20"/>
        </w:rPr>
        <w:t>рік,</w:t>
      </w:r>
      <w:r>
        <w:rPr>
          <w:color w:val="231F20"/>
          <w:spacing w:val="-10"/>
        </w:rPr>
        <w:t xml:space="preserve"> </w:t>
      </w:r>
      <w:r>
        <w:rPr>
          <w:color w:val="231F20"/>
        </w:rPr>
        <w:t>а</w:t>
      </w:r>
      <w:r>
        <w:rPr>
          <w:color w:val="231F20"/>
          <w:spacing w:val="-10"/>
        </w:rPr>
        <w:t xml:space="preserve"> </w:t>
      </w:r>
      <w:r>
        <w:rPr>
          <w:color w:val="231F20"/>
        </w:rPr>
        <w:t>особу</w:t>
      </w:r>
      <w:r>
        <w:rPr>
          <w:color w:val="231F20"/>
          <w:spacing w:val="-10"/>
        </w:rPr>
        <w:t xml:space="preserve"> </w:t>
      </w:r>
      <w:r>
        <w:rPr>
          <w:color w:val="231F20"/>
          <w:spacing w:val="-3"/>
        </w:rPr>
        <w:t>було</w:t>
      </w:r>
      <w:r>
        <w:rPr>
          <w:color w:val="231F20"/>
          <w:spacing w:val="-10"/>
        </w:rPr>
        <w:t xml:space="preserve"> </w:t>
      </w:r>
      <w:r>
        <w:rPr>
          <w:color w:val="231F20"/>
        </w:rPr>
        <w:t>призначено</w:t>
      </w:r>
      <w:r>
        <w:rPr>
          <w:color w:val="231F20"/>
          <w:spacing w:val="-10"/>
        </w:rPr>
        <w:t xml:space="preserve"> </w:t>
      </w:r>
      <w:r>
        <w:rPr>
          <w:color w:val="231F20"/>
        </w:rPr>
        <w:t>на</w:t>
      </w:r>
      <w:r>
        <w:rPr>
          <w:color w:val="231F20"/>
          <w:spacing w:val="-10"/>
        </w:rPr>
        <w:t xml:space="preserve"> </w:t>
      </w:r>
      <w:r>
        <w:rPr>
          <w:color w:val="231F20"/>
        </w:rPr>
        <w:t>посаду</w:t>
      </w:r>
      <w:r>
        <w:rPr>
          <w:color w:val="231F20"/>
          <w:spacing w:val="-10"/>
        </w:rPr>
        <w:t xml:space="preserve"> </w:t>
      </w:r>
      <w:r>
        <w:rPr>
          <w:color w:val="231F20"/>
        </w:rPr>
        <w:t>до</w:t>
      </w:r>
      <w:r>
        <w:rPr>
          <w:color w:val="231F20"/>
          <w:spacing w:val="-10"/>
        </w:rPr>
        <w:t xml:space="preserve"> </w:t>
      </w:r>
      <w:r>
        <w:rPr>
          <w:color w:val="231F20"/>
        </w:rPr>
        <w:t>1</w:t>
      </w:r>
      <w:r>
        <w:rPr>
          <w:color w:val="231F20"/>
          <w:spacing w:val="-10"/>
        </w:rPr>
        <w:t xml:space="preserve"> </w:t>
      </w:r>
      <w:r>
        <w:rPr>
          <w:color w:val="231F20"/>
        </w:rPr>
        <w:t>квітня</w:t>
      </w:r>
      <w:r>
        <w:rPr>
          <w:color w:val="231F20"/>
          <w:spacing w:val="-10"/>
        </w:rPr>
        <w:t xml:space="preserve"> </w:t>
      </w:r>
      <w:r>
        <w:rPr>
          <w:color w:val="231F20"/>
        </w:rPr>
        <w:t>2020</w:t>
      </w:r>
      <w:r>
        <w:rPr>
          <w:color w:val="231F20"/>
          <w:spacing w:val="-10"/>
        </w:rPr>
        <w:t xml:space="preserve"> </w:t>
      </w:r>
      <w:r>
        <w:rPr>
          <w:color w:val="231F20"/>
          <w:spacing w:val="-5"/>
        </w:rPr>
        <w:t xml:space="preserve">року, </w:t>
      </w:r>
      <w:r>
        <w:rPr>
          <w:color w:val="231F20"/>
        </w:rPr>
        <w:t>то особа має обов’язок подати щорічну декларацію за 2019</w:t>
      </w:r>
      <w:r>
        <w:rPr>
          <w:color w:val="231F20"/>
          <w:spacing w:val="-14"/>
        </w:rPr>
        <w:t xml:space="preserve"> </w:t>
      </w:r>
      <w:r>
        <w:rPr>
          <w:color w:val="231F20"/>
        </w:rPr>
        <w:t>рік»</w:t>
      </w:r>
      <w:r>
        <w:rPr>
          <w:color w:val="231F20"/>
          <w:position w:val="7"/>
          <w:sz w:val="12"/>
        </w:rPr>
        <w:t>1</w:t>
      </w:r>
      <w:r>
        <w:rPr>
          <w:color w:val="231F20"/>
        </w:rPr>
        <w:t>).</w:t>
      </w:r>
    </w:p>
    <w:p w14:paraId="5A46A1BD" w14:textId="77777777" w:rsidR="00DE575E" w:rsidRDefault="002E7560">
      <w:pPr>
        <w:pStyle w:val="ListParagraph"/>
        <w:numPr>
          <w:ilvl w:val="0"/>
          <w:numId w:val="59"/>
        </w:numPr>
        <w:tabs>
          <w:tab w:val="left" w:pos="818"/>
        </w:tabs>
        <w:spacing w:before="3" w:line="252" w:lineRule="auto"/>
        <w:ind w:right="407" w:firstLine="283"/>
        <w:jc w:val="both"/>
        <w:rPr>
          <w:sz w:val="21"/>
        </w:rPr>
      </w:pPr>
      <w:r>
        <w:rPr>
          <w:i/>
          <w:color w:val="231F20"/>
          <w:spacing w:val="2"/>
          <w:sz w:val="21"/>
        </w:rPr>
        <w:t xml:space="preserve">Декларація </w:t>
      </w:r>
      <w:r>
        <w:rPr>
          <w:i/>
          <w:color w:val="231F20"/>
          <w:sz w:val="21"/>
        </w:rPr>
        <w:t xml:space="preserve">у </w:t>
      </w:r>
      <w:r>
        <w:rPr>
          <w:i/>
          <w:color w:val="231F20"/>
          <w:spacing w:val="1"/>
          <w:sz w:val="21"/>
        </w:rPr>
        <w:t xml:space="preserve">зв’язку </w:t>
      </w:r>
      <w:r>
        <w:rPr>
          <w:i/>
          <w:color w:val="231F20"/>
          <w:sz w:val="21"/>
        </w:rPr>
        <w:t xml:space="preserve">з </w:t>
      </w:r>
      <w:r>
        <w:rPr>
          <w:i/>
          <w:color w:val="231F20"/>
          <w:spacing w:val="1"/>
          <w:sz w:val="21"/>
        </w:rPr>
        <w:t>припиненням</w:t>
      </w:r>
      <w:r>
        <w:rPr>
          <w:i/>
          <w:color w:val="231F20"/>
          <w:spacing w:val="1"/>
          <w:position w:val="7"/>
          <w:sz w:val="12"/>
        </w:rPr>
        <w:t xml:space="preserve">2 </w:t>
      </w:r>
      <w:r>
        <w:rPr>
          <w:i/>
          <w:color w:val="231F20"/>
          <w:spacing w:val="1"/>
          <w:sz w:val="21"/>
        </w:rPr>
        <w:t>публічної служ</w:t>
      </w:r>
      <w:r>
        <w:rPr>
          <w:i/>
          <w:color w:val="231F20"/>
          <w:spacing w:val="1"/>
          <w:sz w:val="21"/>
        </w:rPr>
        <w:t xml:space="preserve">би </w:t>
      </w:r>
      <w:r>
        <w:rPr>
          <w:color w:val="231F20"/>
          <w:spacing w:val="2"/>
          <w:sz w:val="21"/>
        </w:rPr>
        <w:t xml:space="preserve">(декла- </w:t>
      </w:r>
      <w:r>
        <w:rPr>
          <w:color w:val="231F20"/>
          <w:spacing w:val="1"/>
          <w:sz w:val="21"/>
        </w:rPr>
        <w:t xml:space="preserve">рація перед звільненням), </w:t>
      </w:r>
      <w:r>
        <w:rPr>
          <w:color w:val="231F20"/>
          <w:sz w:val="21"/>
        </w:rPr>
        <w:t xml:space="preserve">яка </w:t>
      </w:r>
      <w:r>
        <w:rPr>
          <w:color w:val="231F20"/>
          <w:spacing w:val="1"/>
          <w:sz w:val="21"/>
        </w:rPr>
        <w:t xml:space="preserve">подається </w:t>
      </w:r>
      <w:r>
        <w:rPr>
          <w:color w:val="231F20"/>
          <w:sz w:val="21"/>
        </w:rPr>
        <w:t xml:space="preserve">за період, не </w:t>
      </w:r>
      <w:r>
        <w:rPr>
          <w:color w:val="231F20"/>
          <w:spacing w:val="1"/>
          <w:sz w:val="21"/>
        </w:rPr>
        <w:t xml:space="preserve">охоплений раніше поданими </w:t>
      </w:r>
      <w:r>
        <w:rPr>
          <w:color w:val="231F20"/>
          <w:spacing w:val="2"/>
          <w:sz w:val="21"/>
        </w:rPr>
        <w:t xml:space="preserve">деклараціями. </w:t>
      </w:r>
      <w:r>
        <w:rPr>
          <w:color w:val="231F20"/>
          <w:sz w:val="21"/>
        </w:rPr>
        <w:t>Термін її подання – не</w:t>
      </w:r>
      <w:r>
        <w:rPr>
          <w:color w:val="231F20"/>
          <w:spacing w:val="10"/>
          <w:sz w:val="21"/>
        </w:rPr>
        <w:t xml:space="preserve"> </w:t>
      </w:r>
      <w:r>
        <w:rPr>
          <w:color w:val="231F20"/>
          <w:spacing w:val="2"/>
          <w:sz w:val="21"/>
        </w:rPr>
        <w:t>пізніше</w:t>
      </w:r>
    </w:p>
    <w:p w14:paraId="62B7ACDF" w14:textId="77777777" w:rsidR="00DE575E" w:rsidRDefault="002E7560">
      <w:pPr>
        <w:pStyle w:val="BodyText"/>
        <w:spacing w:before="2" w:line="252" w:lineRule="auto"/>
        <w:ind w:left="250" w:right="407"/>
        <w:jc w:val="both"/>
      </w:pPr>
      <w:r>
        <w:rPr>
          <w:color w:val="231F20"/>
        </w:rPr>
        <w:t>20 робочих днів із дня припинення публічної служби (в усіх випадках</w:t>
      </w:r>
      <w:r>
        <w:rPr>
          <w:color w:val="231F20"/>
          <w:position w:val="7"/>
          <w:sz w:val="12"/>
        </w:rPr>
        <w:t>3</w:t>
      </w:r>
      <w:r>
        <w:rPr>
          <w:color w:val="231F20"/>
        </w:rPr>
        <w:t>).</w:t>
      </w:r>
    </w:p>
    <w:p w14:paraId="3B6FBF5A" w14:textId="77777777" w:rsidR="00DE575E" w:rsidRDefault="002E7560">
      <w:pPr>
        <w:pStyle w:val="ListParagraph"/>
        <w:numPr>
          <w:ilvl w:val="0"/>
          <w:numId w:val="59"/>
        </w:numPr>
        <w:tabs>
          <w:tab w:val="left" w:pos="818"/>
        </w:tabs>
        <w:spacing w:line="252" w:lineRule="auto"/>
        <w:ind w:right="410" w:firstLine="283"/>
        <w:jc w:val="both"/>
        <w:rPr>
          <w:sz w:val="21"/>
        </w:rPr>
      </w:pPr>
      <w:r>
        <w:rPr>
          <w:i/>
          <w:color w:val="231F20"/>
          <w:sz w:val="21"/>
        </w:rPr>
        <w:t>Декларація після звільнення</w:t>
      </w:r>
      <w:r>
        <w:rPr>
          <w:color w:val="231F20"/>
          <w:sz w:val="21"/>
        </w:rPr>
        <w:t xml:space="preserve">, що охоплює період з 1 січня до  31 </w:t>
      </w:r>
      <w:r>
        <w:rPr>
          <w:color w:val="231F20"/>
          <w:spacing w:val="-3"/>
          <w:sz w:val="21"/>
        </w:rPr>
        <w:t xml:space="preserve">грудня </w:t>
      </w:r>
      <w:r>
        <w:rPr>
          <w:color w:val="231F20"/>
          <w:spacing w:val="-5"/>
          <w:sz w:val="21"/>
        </w:rPr>
        <w:t xml:space="preserve">року, </w:t>
      </w:r>
      <w:r>
        <w:rPr>
          <w:color w:val="231F20"/>
          <w:sz w:val="21"/>
        </w:rPr>
        <w:t xml:space="preserve">в якому </w:t>
      </w:r>
      <w:r>
        <w:rPr>
          <w:color w:val="231F20"/>
          <w:spacing w:val="-3"/>
          <w:sz w:val="21"/>
        </w:rPr>
        <w:t xml:space="preserve">було </w:t>
      </w:r>
      <w:r>
        <w:rPr>
          <w:color w:val="231F20"/>
          <w:sz w:val="21"/>
        </w:rPr>
        <w:t xml:space="preserve">припинено службу </w:t>
      </w:r>
      <w:r>
        <w:rPr>
          <w:color w:val="231F20"/>
          <w:spacing w:val="-3"/>
          <w:sz w:val="21"/>
        </w:rPr>
        <w:t xml:space="preserve">(суб’єктом </w:t>
      </w:r>
      <w:r>
        <w:rPr>
          <w:color w:val="231F20"/>
          <w:sz w:val="21"/>
        </w:rPr>
        <w:t xml:space="preserve">подання фактично є особа, яка вже перестала бути публічним службовцем). </w:t>
      </w:r>
      <w:r>
        <w:rPr>
          <w:color w:val="231F20"/>
          <w:spacing w:val="-3"/>
          <w:sz w:val="21"/>
        </w:rPr>
        <w:t xml:space="preserve">Термін </w:t>
      </w:r>
      <w:r>
        <w:rPr>
          <w:color w:val="231F20"/>
          <w:sz w:val="21"/>
        </w:rPr>
        <w:t xml:space="preserve">подання такої декларації – до 1 квітня </w:t>
      </w:r>
      <w:r>
        <w:rPr>
          <w:color w:val="231F20"/>
          <w:spacing w:val="-5"/>
          <w:sz w:val="21"/>
        </w:rPr>
        <w:t xml:space="preserve">року, </w:t>
      </w:r>
      <w:r>
        <w:rPr>
          <w:color w:val="231F20"/>
          <w:sz w:val="21"/>
        </w:rPr>
        <w:t>наступного за роком припинення службової</w:t>
      </w:r>
      <w:r>
        <w:rPr>
          <w:color w:val="231F20"/>
          <w:spacing w:val="-2"/>
          <w:sz w:val="21"/>
        </w:rPr>
        <w:t xml:space="preserve"> </w:t>
      </w:r>
      <w:r>
        <w:rPr>
          <w:color w:val="231F20"/>
          <w:sz w:val="21"/>
        </w:rPr>
        <w:t>діяльність.</w:t>
      </w:r>
    </w:p>
    <w:p w14:paraId="490CBF74" w14:textId="77777777" w:rsidR="00DE575E" w:rsidRDefault="002E7560">
      <w:pPr>
        <w:pStyle w:val="ListParagraph"/>
        <w:numPr>
          <w:ilvl w:val="0"/>
          <w:numId w:val="59"/>
        </w:numPr>
        <w:tabs>
          <w:tab w:val="left" w:pos="818"/>
        </w:tabs>
        <w:spacing w:before="2" w:line="252" w:lineRule="auto"/>
        <w:ind w:right="410" w:firstLine="283"/>
        <w:jc w:val="both"/>
        <w:rPr>
          <w:sz w:val="21"/>
        </w:rPr>
      </w:pPr>
      <w:r>
        <w:rPr>
          <w:i/>
          <w:color w:val="231F20"/>
          <w:sz w:val="21"/>
        </w:rPr>
        <w:t xml:space="preserve">Декларація особи, що претендує на зайняття посади публіч- ної служби </w:t>
      </w:r>
      <w:r>
        <w:rPr>
          <w:color w:val="231F20"/>
          <w:sz w:val="21"/>
        </w:rPr>
        <w:t>(декларантом є особа, яка не має статусу публічного службовця, але планує його набути), за минулий рік. Подається до моменту призначення або обрання на відповідну</w:t>
      </w:r>
      <w:r>
        <w:rPr>
          <w:color w:val="231F20"/>
          <w:spacing w:val="-4"/>
          <w:sz w:val="21"/>
        </w:rPr>
        <w:t xml:space="preserve"> </w:t>
      </w:r>
      <w:r>
        <w:rPr>
          <w:color w:val="231F20"/>
          <w:spacing w:val="-3"/>
          <w:sz w:val="21"/>
        </w:rPr>
        <w:t>посаду.</w:t>
      </w:r>
    </w:p>
    <w:p w14:paraId="0919A43A" w14:textId="77777777" w:rsidR="00DE575E" w:rsidRDefault="002E7560">
      <w:pPr>
        <w:pStyle w:val="BodyText"/>
        <w:spacing w:before="2" w:line="252" w:lineRule="auto"/>
        <w:ind w:left="250" w:right="411" w:firstLine="283"/>
        <w:jc w:val="both"/>
      </w:pPr>
      <w:r>
        <w:rPr>
          <w:color w:val="231F20"/>
          <w:spacing w:val="-3"/>
        </w:rPr>
        <w:t>Упро</w:t>
      </w:r>
      <w:r>
        <w:rPr>
          <w:color w:val="231F20"/>
          <w:spacing w:val="-3"/>
        </w:rPr>
        <w:t xml:space="preserve">довж </w:t>
      </w:r>
      <w:r>
        <w:rPr>
          <w:color w:val="231F20"/>
        </w:rPr>
        <w:t xml:space="preserve">семи днів після своєчасного подання </w:t>
      </w:r>
      <w:r>
        <w:rPr>
          <w:color w:val="231F20"/>
          <w:spacing w:val="-3"/>
        </w:rPr>
        <w:t xml:space="preserve">будь-якої </w:t>
      </w:r>
      <w:r>
        <w:rPr>
          <w:color w:val="231F20"/>
        </w:rPr>
        <w:t>з декла- рацій особа має право подати виправлену декларацію (не більше трьох разів).</w:t>
      </w:r>
    </w:p>
    <w:p w14:paraId="37BE0BCE" w14:textId="77777777" w:rsidR="00DE575E" w:rsidRDefault="002E7560">
      <w:pPr>
        <w:pStyle w:val="BodyText"/>
        <w:spacing w:before="2" w:line="252" w:lineRule="auto"/>
        <w:ind w:left="250" w:right="411" w:firstLine="283"/>
        <w:jc w:val="both"/>
      </w:pPr>
      <w:r>
        <w:rPr>
          <w:color w:val="231F20"/>
        </w:rPr>
        <w:t>Від обов’язку декларування звільняються військовослужбовці</w:t>
      </w:r>
      <w:r>
        <w:rPr>
          <w:color w:val="231F20"/>
          <w:position w:val="7"/>
          <w:sz w:val="12"/>
        </w:rPr>
        <w:t>4</w:t>
      </w:r>
      <w:r>
        <w:rPr>
          <w:color w:val="231F20"/>
        </w:rPr>
        <w:t xml:space="preserve">, </w:t>
      </w:r>
      <w:r>
        <w:rPr>
          <w:color w:val="231F20"/>
          <w:spacing w:val="-4"/>
        </w:rPr>
        <w:t xml:space="preserve">якщо вони </w:t>
      </w:r>
      <w:r>
        <w:rPr>
          <w:color w:val="231F20"/>
          <w:spacing w:val="-3"/>
        </w:rPr>
        <w:t xml:space="preserve">не </w:t>
      </w:r>
      <w:r>
        <w:rPr>
          <w:color w:val="231F20"/>
          <w:spacing w:val="-6"/>
        </w:rPr>
        <w:t xml:space="preserve">проходять </w:t>
      </w:r>
      <w:r>
        <w:rPr>
          <w:color w:val="231F20"/>
          <w:spacing w:val="-5"/>
        </w:rPr>
        <w:t xml:space="preserve">військову службу </w:t>
      </w:r>
      <w:r>
        <w:rPr>
          <w:color w:val="231F20"/>
        </w:rPr>
        <w:t xml:space="preserve">у </w:t>
      </w:r>
      <w:r>
        <w:rPr>
          <w:color w:val="231F20"/>
          <w:spacing w:val="-5"/>
        </w:rPr>
        <w:t xml:space="preserve">військових </w:t>
      </w:r>
      <w:r>
        <w:rPr>
          <w:color w:val="231F20"/>
          <w:spacing w:val="-6"/>
        </w:rPr>
        <w:t>коміса</w:t>
      </w:r>
      <w:r>
        <w:rPr>
          <w:color w:val="231F20"/>
          <w:spacing w:val="-6"/>
        </w:rPr>
        <w:t>ріатах</w:t>
      </w:r>
    </w:p>
    <w:p w14:paraId="10D7A34C" w14:textId="5E321164" w:rsidR="00DE575E" w:rsidRDefault="002E7560">
      <w:pPr>
        <w:pStyle w:val="BodyText"/>
        <w:rPr>
          <w:sz w:val="28"/>
        </w:rPr>
      </w:pPr>
      <w:r>
        <w:rPr>
          <w:noProof/>
        </w:rPr>
        <mc:AlternateContent>
          <mc:Choice Requires="wps">
            <w:drawing>
              <wp:anchor distT="0" distB="0" distL="0" distR="0" simplePos="0" relativeHeight="17056" behindDoc="0" locked="0" layoutInCell="1" allowOverlap="1" wp14:anchorId="1303553D" wp14:editId="5ADFFE77">
                <wp:simplePos x="0" y="0"/>
                <wp:positionH relativeFrom="page">
                  <wp:posOffset>539750</wp:posOffset>
                </wp:positionH>
                <wp:positionV relativeFrom="paragraph">
                  <wp:posOffset>236220</wp:posOffset>
                </wp:positionV>
                <wp:extent cx="1080135" cy="0"/>
                <wp:effectExtent l="6350" t="7620" r="31115" b="30480"/>
                <wp:wrapTopAndBottom/>
                <wp:docPr id="30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E05E3" id="Line_x0020_307" o:spid="_x0000_s1026" style="position:absolute;z-index:1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6pt" to="127.55pt,1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" strokecolor="#231f20" strokeweight=".5pt">
                <w10:wrap type="topAndBottom" anchorx="page"/>
              </v:line>
            </w:pict>
          </mc:Fallback>
        </mc:AlternateContent>
      </w:r>
    </w:p>
    <w:p w14:paraId="3BA05CB2"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Роз’яснення НАЗК «Щодо застосування окремих положень Закону України «Про запо- бігання корупції» стосовно заходів фінансового контролю» від 13.02.2020 р. С. 2-3.</w:t>
      </w:r>
    </w:p>
    <w:p w14:paraId="1210FA73" w14:textId="77777777" w:rsidR="00DE575E" w:rsidRDefault="002E7560">
      <w:pPr>
        <w:spacing w:before="3" w:line="174" w:lineRule="exact"/>
        <w:ind w:left="250"/>
        <w:jc w:val="both"/>
        <w:rPr>
          <w:sz w:val="16"/>
        </w:rPr>
      </w:pPr>
      <w:r>
        <w:rPr>
          <w:color w:val="231F20"/>
          <w:position w:val="5"/>
          <w:sz w:val="9"/>
        </w:rPr>
        <w:t xml:space="preserve">2 </w:t>
      </w:r>
      <w:r>
        <w:rPr>
          <w:color w:val="231F20"/>
          <w:sz w:val="16"/>
        </w:rPr>
        <w:t>«Припинення» публічної служби зазвичай охоплює собою зміст вужчої категорії –</w:t>
      </w:r>
    </w:p>
    <w:p w14:paraId="3064C2D4" w14:textId="77777777" w:rsidR="00DE575E" w:rsidRDefault="002E7560">
      <w:pPr>
        <w:spacing w:before="9" w:line="204" w:lineRule="auto"/>
        <w:ind w:left="250" w:right="410"/>
        <w:jc w:val="both"/>
        <w:rPr>
          <w:sz w:val="16"/>
        </w:rPr>
      </w:pPr>
      <w:r>
        <w:rPr>
          <w:color w:val="231F20"/>
          <w:sz w:val="16"/>
        </w:rPr>
        <w:t xml:space="preserve">«звільнення». Проте щодо </w:t>
      </w:r>
      <w:r>
        <w:rPr>
          <w:color w:val="231F20"/>
          <w:spacing w:val="-2"/>
          <w:sz w:val="16"/>
        </w:rPr>
        <w:t xml:space="preserve">суддів </w:t>
      </w:r>
      <w:r>
        <w:rPr>
          <w:color w:val="231F20"/>
          <w:spacing w:val="-5"/>
          <w:sz w:val="16"/>
        </w:rPr>
        <w:t xml:space="preserve">ст. </w:t>
      </w:r>
      <w:r>
        <w:rPr>
          <w:color w:val="231F20"/>
          <w:sz w:val="16"/>
        </w:rPr>
        <w:t>126 Конституції України чітко розмежовує підстави для звільнення (неспроможність виконувати повноваження за станом здоров’я…) та підстави для припинення повноважень (досягнення 65 років…). Це стало передумовою обґрунтува</w:t>
      </w:r>
      <w:r>
        <w:rPr>
          <w:color w:val="231F20"/>
          <w:sz w:val="16"/>
        </w:rPr>
        <w:t>ння</w:t>
      </w:r>
      <w:r>
        <w:rPr>
          <w:color w:val="231F20"/>
          <w:spacing w:val="-5"/>
          <w:sz w:val="16"/>
        </w:rPr>
        <w:t xml:space="preserve"> </w:t>
      </w:r>
      <w:r>
        <w:rPr>
          <w:color w:val="231F20"/>
          <w:sz w:val="16"/>
        </w:rPr>
        <w:t>Вищим</w:t>
      </w:r>
      <w:r>
        <w:rPr>
          <w:color w:val="231F20"/>
          <w:spacing w:val="-5"/>
          <w:sz w:val="16"/>
        </w:rPr>
        <w:t xml:space="preserve"> </w:t>
      </w:r>
      <w:r>
        <w:rPr>
          <w:color w:val="231F20"/>
          <w:sz w:val="16"/>
        </w:rPr>
        <w:t>спеціалізованим</w:t>
      </w:r>
      <w:r>
        <w:rPr>
          <w:color w:val="231F20"/>
          <w:spacing w:val="-5"/>
          <w:sz w:val="16"/>
        </w:rPr>
        <w:t xml:space="preserve"> </w:t>
      </w:r>
      <w:r>
        <w:rPr>
          <w:color w:val="231F20"/>
          <w:spacing w:val="-3"/>
          <w:sz w:val="16"/>
        </w:rPr>
        <w:t>судом</w:t>
      </w:r>
      <w:r>
        <w:rPr>
          <w:color w:val="231F20"/>
          <w:spacing w:val="-5"/>
          <w:sz w:val="16"/>
        </w:rPr>
        <w:t xml:space="preserve"> </w:t>
      </w:r>
      <w:r>
        <w:rPr>
          <w:color w:val="231F20"/>
          <w:sz w:val="16"/>
        </w:rPr>
        <w:t>з</w:t>
      </w:r>
      <w:r>
        <w:rPr>
          <w:color w:val="231F20"/>
          <w:spacing w:val="-5"/>
          <w:sz w:val="16"/>
        </w:rPr>
        <w:t xml:space="preserve"> </w:t>
      </w:r>
      <w:r>
        <w:rPr>
          <w:color w:val="231F20"/>
          <w:sz w:val="16"/>
        </w:rPr>
        <w:t>розгляду</w:t>
      </w:r>
      <w:r>
        <w:rPr>
          <w:color w:val="231F20"/>
          <w:spacing w:val="-5"/>
          <w:sz w:val="16"/>
        </w:rPr>
        <w:t xml:space="preserve"> </w:t>
      </w:r>
      <w:r>
        <w:rPr>
          <w:color w:val="231F20"/>
          <w:sz w:val="16"/>
        </w:rPr>
        <w:t>цивільних</w:t>
      </w:r>
      <w:r>
        <w:rPr>
          <w:color w:val="231F20"/>
          <w:spacing w:val="-5"/>
          <w:sz w:val="16"/>
        </w:rPr>
        <w:t xml:space="preserve"> </w:t>
      </w:r>
      <w:r>
        <w:rPr>
          <w:color w:val="231F20"/>
          <w:sz w:val="16"/>
        </w:rPr>
        <w:t>і</w:t>
      </w:r>
      <w:r>
        <w:rPr>
          <w:color w:val="231F20"/>
          <w:spacing w:val="-5"/>
          <w:sz w:val="16"/>
        </w:rPr>
        <w:t xml:space="preserve"> </w:t>
      </w:r>
      <w:r>
        <w:rPr>
          <w:color w:val="231F20"/>
          <w:sz w:val="16"/>
        </w:rPr>
        <w:t>кримінальних</w:t>
      </w:r>
      <w:r>
        <w:rPr>
          <w:color w:val="231F20"/>
          <w:spacing w:val="-5"/>
          <w:sz w:val="16"/>
        </w:rPr>
        <w:t xml:space="preserve"> </w:t>
      </w:r>
      <w:r>
        <w:rPr>
          <w:color w:val="231F20"/>
          <w:sz w:val="16"/>
        </w:rPr>
        <w:t xml:space="preserve">справ позиції про те, що </w:t>
      </w:r>
      <w:r>
        <w:rPr>
          <w:color w:val="231F20"/>
          <w:spacing w:val="-3"/>
          <w:sz w:val="16"/>
        </w:rPr>
        <w:t xml:space="preserve">суддя </w:t>
      </w:r>
      <w:r>
        <w:rPr>
          <w:color w:val="231F20"/>
          <w:sz w:val="16"/>
        </w:rPr>
        <w:t xml:space="preserve">може бути суб’єктом відповідальності за несвоєчасне подання декларації саме у випадках припинення його повноважень, а звільнення </w:t>
      </w:r>
      <w:r>
        <w:rPr>
          <w:color w:val="231F20"/>
          <w:spacing w:val="-3"/>
          <w:sz w:val="16"/>
        </w:rPr>
        <w:t xml:space="preserve">судді </w:t>
      </w:r>
      <w:r>
        <w:rPr>
          <w:color w:val="231F20"/>
          <w:sz w:val="16"/>
        </w:rPr>
        <w:t xml:space="preserve">(як і </w:t>
      </w:r>
      <w:r>
        <w:rPr>
          <w:color w:val="231F20"/>
          <w:spacing w:val="-3"/>
          <w:sz w:val="16"/>
        </w:rPr>
        <w:t xml:space="preserve">судді </w:t>
      </w:r>
      <w:r>
        <w:rPr>
          <w:color w:val="231F20"/>
          <w:sz w:val="16"/>
        </w:rPr>
        <w:t xml:space="preserve">КСУ), </w:t>
      </w:r>
      <w:r>
        <w:rPr>
          <w:color w:val="231F20"/>
          <w:spacing w:val="-3"/>
          <w:sz w:val="16"/>
        </w:rPr>
        <w:t>буду</w:t>
      </w:r>
      <w:r>
        <w:rPr>
          <w:color w:val="231F20"/>
          <w:spacing w:val="-3"/>
          <w:sz w:val="16"/>
        </w:rPr>
        <w:t xml:space="preserve">чи </w:t>
      </w:r>
      <w:r>
        <w:rPr>
          <w:color w:val="231F20"/>
          <w:sz w:val="16"/>
        </w:rPr>
        <w:t>іншим юридичним механізмом, не породжує відповідного</w:t>
      </w:r>
      <w:r>
        <w:rPr>
          <w:color w:val="231F20"/>
          <w:spacing w:val="-15"/>
          <w:sz w:val="16"/>
        </w:rPr>
        <w:t xml:space="preserve"> </w:t>
      </w:r>
      <w:r>
        <w:rPr>
          <w:color w:val="231F20"/>
          <w:sz w:val="16"/>
        </w:rPr>
        <w:t>наслідку.</w:t>
      </w:r>
    </w:p>
    <w:p w14:paraId="24930992" w14:textId="77777777" w:rsidR="00DE575E" w:rsidRDefault="002E7560">
      <w:pPr>
        <w:spacing w:before="32" w:line="204" w:lineRule="auto"/>
        <w:ind w:left="250" w:right="411"/>
        <w:jc w:val="both"/>
        <w:rPr>
          <w:sz w:val="16"/>
        </w:rPr>
      </w:pPr>
      <w:r>
        <w:rPr>
          <w:color w:val="231F20"/>
          <w:position w:val="5"/>
          <w:sz w:val="9"/>
        </w:rPr>
        <w:t xml:space="preserve">3 </w:t>
      </w:r>
      <w:r>
        <w:rPr>
          <w:color w:val="231F20"/>
          <w:sz w:val="16"/>
        </w:rPr>
        <w:t xml:space="preserve">До 12 </w:t>
      </w:r>
      <w:r>
        <w:rPr>
          <w:color w:val="231F20"/>
          <w:spacing w:val="-3"/>
          <w:sz w:val="16"/>
        </w:rPr>
        <w:t xml:space="preserve">грудня </w:t>
      </w:r>
      <w:r>
        <w:rPr>
          <w:color w:val="231F20"/>
          <w:sz w:val="16"/>
        </w:rPr>
        <w:t>2019 року термін подання декларації перед звільненням залежав від підстав припинення служби: а) не пізніше 20 робочих днів із дня припинення публіч-   ної служби – якщо це від</w:t>
      </w:r>
      <w:r>
        <w:rPr>
          <w:color w:val="231F20"/>
          <w:sz w:val="16"/>
        </w:rPr>
        <w:t>булося з ініціативи роботодавця; б) не пізніше дня припинення публічної служби – в інших</w:t>
      </w:r>
      <w:r>
        <w:rPr>
          <w:color w:val="231F20"/>
          <w:spacing w:val="-3"/>
          <w:sz w:val="16"/>
        </w:rPr>
        <w:t xml:space="preserve"> </w:t>
      </w:r>
      <w:r>
        <w:rPr>
          <w:color w:val="231F20"/>
          <w:sz w:val="16"/>
        </w:rPr>
        <w:t>випадках.</w:t>
      </w:r>
    </w:p>
    <w:p w14:paraId="37E2F59D" w14:textId="77777777" w:rsidR="00DE575E" w:rsidRDefault="002E7560">
      <w:pPr>
        <w:spacing w:before="31" w:line="204" w:lineRule="auto"/>
        <w:ind w:left="250" w:right="411"/>
        <w:jc w:val="both"/>
        <w:rPr>
          <w:sz w:val="16"/>
        </w:rPr>
      </w:pPr>
      <w:r>
        <w:rPr>
          <w:color w:val="231F20"/>
          <w:position w:val="5"/>
          <w:sz w:val="9"/>
        </w:rPr>
        <w:t xml:space="preserve">4 </w:t>
      </w:r>
      <w:r>
        <w:rPr>
          <w:color w:val="231F20"/>
          <w:sz w:val="16"/>
        </w:rPr>
        <w:t xml:space="preserve">Військовослужбовці військової служби за призовом під час мобілізації, на особливий період, військової служби за призовом осіб офіцерського складу, а також </w:t>
      </w:r>
      <w:r>
        <w:rPr>
          <w:color w:val="231F20"/>
          <w:sz w:val="16"/>
        </w:rPr>
        <w:t>військові поса- дові особи з військовослужбовців військової служби за контрактом осіб рядового, сер- жантського і старшинського складу, молодшого офіцерського складу.</w:t>
      </w:r>
    </w:p>
    <w:p w14:paraId="18F55E21" w14:textId="77777777" w:rsidR="00DE575E" w:rsidRDefault="00DE575E">
      <w:pPr>
        <w:pStyle w:val="BodyText"/>
        <w:spacing w:before="6"/>
        <w:rPr>
          <w:sz w:val="12"/>
        </w:rPr>
      </w:pPr>
    </w:p>
    <w:p w14:paraId="1828E684" w14:textId="77777777" w:rsidR="00DE575E" w:rsidRDefault="002E7560">
      <w:pPr>
        <w:spacing w:before="92"/>
        <w:ind w:right="411"/>
        <w:jc w:val="right"/>
        <w:rPr>
          <w:rFonts w:ascii="Times New Roman"/>
          <w:sz w:val="20"/>
        </w:rPr>
      </w:pPr>
      <w:r>
        <w:rPr>
          <w:rFonts w:ascii="Times New Roman"/>
          <w:color w:val="231F20"/>
          <w:w w:val="90"/>
          <w:sz w:val="20"/>
        </w:rPr>
        <w:t>433</w:t>
      </w:r>
    </w:p>
    <w:p w14:paraId="7420173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E277AD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BA04647" w14:textId="5942CE4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1E9B9FD" wp14:editId="5C919D0C">
                <wp:extent cx="4140200" cy="6350"/>
                <wp:effectExtent l="0" t="0" r="12700" b="6350"/>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07" name="Line 30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6A9512" id="Group_x0020_30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UaJrB/AgAAmAUAAA4A&#10;AAAAAAAAAAAAAAAALAIAAGRycy9lMm9Eb2MueG1sUEsBAi0AFAAGAAgAAAAhAEynsJDZAAAAAwEA&#10;AA8AAAAAAAAAAAAAAAAA1wQAAGRycy9kb3ducmV2LnhtbFBLBQYAAAAABAAEAPMAAADdBQAAAAA=&#10;">
                <v:line id="Line_x0020_30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m/4MYAAADcAAAADwAAAGRycy9kb3ducmV2LnhtbESP3WrCQBSE7wt9h+UUelN0owEt0VVE&#10;EKQX/qUPcMyeJqG7Z2N2NWmf3hUKvRxm5htmvuytETdqfe1YwWiYgCAunK65VPCZbwbvIHxA1mgc&#10;k4If8rBcPD/NMdOu4yPdTqEUEcI+QwVVCE0mpS8qsuiHriGO3pdrLYYo21LqFrsIt0aOk2QiLdYc&#10;FypsaF1R8X26WgX55S2Yw/7DdPn+nMrzZZf+XndKvb70qxmIQH34D/+1t1pBmkzhcS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Wpv+DGAAAA3AAAAA8AAAAAAAAA&#10;AAAAAAAAoQIAAGRycy9kb3ducmV2LnhtbFBLBQYAAAAABAAEAPkAAACUAwAAAAA=&#10;" strokecolor="#231f20" strokeweight=".5pt"/>
                <w10:anchorlock/>
              </v:group>
            </w:pict>
          </mc:Fallback>
        </mc:AlternateContent>
      </w:r>
    </w:p>
    <w:p w14:paraId="6EB4BFCC" w14:textId="77777777" w:rsidR="00DE575E" w:rsidRDefault="00DE575E">
      <w:pPr>
        <w:pStyle w:val="BodyText"/>
        <w:spacing w:before="7"/>
        <w:rPr>
          <w:rFonts w:ascii="AdonisC"/>
          <w:i/>
          <w:sz w:val="11"/>
        </w:rPr>
      </w:pPr>
    </w:p>
    <w:p w14:paraId="272EE32E" w14:textId="77777777" w:rsidR="00DE575E" w:rsidRDefault="002E7560">
      <w:pPr>
        <w:pStyle w:val="BodyText"/>
        <w:spacing w:before="101" w:line="252" w:lineRule="auto"/>
        <w:ind w:left="533" w:right="126"/>
        <w:jc w:val="both"/>
      </w:pPr>
      <w:r>
        <w:rPr>
          <w:color w:val="231F20"/>
        </w:rPr>
        <w:t>і не займають інших посад публічної служби. Якщо ж особа все-таки зобов’язана  подати  декларацію,  але  не  може  зробити  цього  до   1</w:t>
      </w:r>
      <w:r>
        <w:rPr>
          <w:color w:val="231F20"/>
          <w:spacing w:val="-13"/>
        </w:rPr>
        <w:t xml:space="preserve"> </w:t>
      </w:r>
      <w:r>
        <w:rPr>
          <w:color w:val="231F20"/>
        </w:rPr>
        <w:t>квітня</w:t>
      </w:r>
      <w:r>
        <w:rPr>
          <w:color w:val="231F20"/>
          <w:spacing w:val="-13"/>
        </w:rPr>
        <w:t xml:space="preserve"> </w:t>
      </w:r>
      <w:r>
        <w:rPr>
          <w:color w:val="231F20"/>
        </w:rPr>
        <w:t>у</w:t>
      </w:r>
      <w:r>
        <w:rPr>
          <w:color w:val="231F20"/>
          <w:spacing w:val="-13"/>
        </w:rPr>
        <w:t xml:space="preserve"> </w:t>
      </w:r>
      <w:r>
        <w:rPr>
          <w:color w:val="231F20"/>
        </w:rPr>
        <w:t>зв’язку</w:t>
      </w:r>
      <w:r>
        <w:rPr>
          <w:color w:val="231F20"/>
          <w:spacing w:val="-13"/>
        </w:rPr>
        <w:t xml:space="preserve"> </w:t>
      </w:r>
      <w:r>
        <w:rPr>
          <w:color w:val="231F20"/>
        </w:rPr>
        <w:t>з</w:t>
      </w:r>
      <w:r>
        <w:rPr>
          <w:color w:val="231F20"/>
          <w:spacing w:val="-13"/>
        </w:rPr>
        <w:t xml:space="preserve"> </w:t>
      </w:r>
      <w:r>
        <w:rPr>
          <w:color w:val="231F20"/>
        </w:rPr>
        <w:t>виконанням</w:t>
      </w:r>
      <w:r>
        <w:rPr>
          <w:color w:val="231F20"/>
          <w:spacing w:val="-13"/>
        </w:rPr>
        <w:t xml:space="preserve"> </w:t>
      </w:r>
      <w:r>
        <w:rPr>
          <w:color w:val="231F20"/>
        </w:rPr>
        <w:t>завдання</w:t>
      </w:r>
      <w:r>
        <w:rPr>
          <w:color w:val="231F20"/>
          <w:spacing w:val="-13"/>
        </w:rPr>
        <w:t xml:space="preserve"> </w:t>
      </w:r>
      <w:r>
        <w:rPr>
          <w:color w:val="231F20"/>
        </w:rPr>
        <w:t>в</w:t>
      </w:r>
      <w:r>
        <w:rPr>
          <w:color w:val="231F20"/>
          <w:spacing w:val="-13"/>
        </w:rPr>
        <w:t xml:space="preserve"> </w:t>
      </w:r>
      <w:r>
        <w:rPr>
          <w:color w:val="231F20"/>
        </w:rPr>
        <w:t>інтересах</w:t>
      </w:r>
      <w:r>
        <w:rPr>
          <w:color w:val="231F20"/>
          <w:spacing w:val="-13"/>
        </w:rPr>
        <w:t xml:space="preserve"> </w:t>
      </w:r>
      <w:r>
        <w:rPr>
          <w:color w:val="231F20"/>
        </w:rPr>
        <w:t>оборони</w:t>
      </w:r>
      <w:r>
        <w:rPr>
          <w:color w:val="231F20"/>
          <w:spacing w:val="-13"/>
        </w:rPr>
        <w:t xml:space="preserve"> </w:t>
      </w:r>
      <w:r>
        <w:rPr>
          <w:color w:val="231F20"/>
        </w:rPr>
        <w:t>під</w:t>
      </w:r>
      <w:r>
        <w:rPr>
          <w:color w:val="231F20"/>
          <w:spacing w:val="-13"/>
        </w:rPr>
        <w:t xml:space="preserve"> </w:t>
      </w:r>
      <w:r>
        <w:rPr>
          <w:color w:val="231F20"/>
        </w:rPr>
        <w:t xml:space="preserve">час дії особливого </w:t>
      </w:r>
      <w:r>
        <w:rPr>
          <w:color w:val="231F20"/>
          <w:spacing w:val="-4"/>
        </w:rPr>
        <w:t xml:space="preserve">періоду, </w:t>
      </w:r>
      <w:r>
        <w:rPr>
          <w:color w:val="231F20"/>
        </w:rPr>
        <w:t>безпосередньою участю у веденні воєнних (бойових) дій, направленням до інших держав для участі в міжна- родних операціях, для неї передбачено особливий строк деклару- вання – упродовж 90 календарних днів із дня прибуття до місця</w:t>
      </w:r>
      <w:r>
        <w:rPr>
          <w:color w:val="231F20"/>
        </w:rPr>
        <w:t xml:space="preserve"> проходження служби чи дня її</w:t>
      </w:r>
      <w:r>
        <w:rPr>
          <w:color w:val="231F20"/>
          <w:spacing w:val="-5"/>
        </w:rPr>
        <w:t xml:space="preserve"> </w:t>
      </w:r>
      <w:r>
        <w:rPr>
          <w:color w:val="231F20"/>
        </w:rPr>
        <w:t>закінчення.</w:t>
      </w:r>
    </w:p>
    <w:p w14:paraId="4CCE2F1B" w14:textId="77777777" w:rsidR="00DE575E" w:rsidRDefault="002E7560">
      <w:pPr>
        <w:pStyle w:val="BodyText"/>
        <w:spacing w:before="4" w:line="252" w:lineRule="auto"/>
        <w:ind w:left="533" w:right="125" w:firstLine="283"/>
        <w:jc w:val="both"/>
      </w:pPr>
      <w:r>
        <w:rPr>
          <w:color w:val="231F20"/>
        </w:rPr>
        <w:t>Декларація подається за допомогою особистого заповнення особою відповідної форми на офіційному сайті НАЗК через власний персональний</w:t>
      </w:r>
      <w:r>
        <w:rPr>
          <w:color w:val="231F20"/>
          <w:spacing w:val="-10"/>
        </w:rPr>
        <w:t xml:space="preserve"> </w:t>
      </w:r>
      <w:r>
        <w:rPr>
          <w:color w:val="231F20"/>
        </w:rPr>
        <w:t>електронний</w:t>
      </w:r>
      <w:r>
        <w:rPr>
          <w:color w:val="231F20"/>
          <w:spacing w:val="-10"/>
        </w:rPr>
        <w:t xml:space="preserve"> </w:t>
      </w:r>
      <w:r>
        <w:rPr>
          <w:color w:val="231F20"/>
        </w:rPr>
        <w:t>кабінет</w:t>
      </w:r>
      <w:r>
        <w:rPr>
          <w:color w:val="231F20"/>
          <w:spacing w:val="-10"/>
        </w:rPr>
        <w:t xml:space="preserve"> </w:t>
      </w:r>
      <w:r>
        <w:rPr>
          <w:color w:val="231F20"/>
          <w:spacing w:val="-3"/>
        </w:rPr>
        <w:t>суб’єкта</w:t>
      </w:r>
      <w:r>
        <w:rPr>
          <w:color w:val="231F20"/>
          <w:spacing w:val="-10"/>
        </w:rPr>
        <w:t xml:space="preserve"> </w:t>
      </w:r>
      <w:r>
        <w:rPr>
          <w:color w:val="231F20"/>
        </w:rPr>
        <w:t>декларування</w:t>
      </w:r>
      <w:r>
        <w:rPr>
          <w:color w:val="231F20"/>
          <w:spacing w:val="-10"/>
        </w:rPr>
        <w:t xml:space="preserve"> </w:t>
      </w:r>
      <w:r>
        <w:rPr>
          <w:color w:val="231F20"/>
        </w:rPr>
        <w:t>в</w:t>
      </w:r>
      <w:r>
        <w:rPr>
          <w:color w:val="231F20"/>
          <w:spacing w:val="-11"/>
        </w:rPr>
        <w:t xml:space="preserve"> </w:t>
      </w:r>
      <w:r>
        <w:rPr>
          <w:color w:val="231F20"/>
        </w:rPr>
        <w:t>системі Єдиного державного реєстру де</w:t>
      </w:r>
      <w:r>
        <w:rPr>
          <w:color w:val="231F20"/>
        </w:rPr>
        <w:t xml:space="preserve">кларацій осіб, уповноважених на виконання функцій держави або місцевого самоврядування (далі – </w:t>
      </w:r>
      <w:r>
        <w:rPr>
          <w:color w:val="231F20"/>
          <w:spacing w:val="-3"/>
        </w:rPr>
        <w:t xml:space="preserve">ЄДРД); </w:t>
      </w:r>
      <w:r>
        <w:rPr>
          <w:color w:val="231F20"/>
        </w:rPr>
        <w:t>входження до реєстру відбувається з використання особи- стого кваліфікованого електронного</w:t>
      </w:r>
      <w:r>
        <w:rPr>
          <w:color w:val="231F20"/>
          <w:spacing w:val="-1"/>
        </w:rPr>
        <w:t xml:space="preserve"> </w:t>
      </w:r>
      <w:r>
        <w:rPr>
          <w:color w:val="231F20"/>
          <w:spacing w:val="-3"/>
        </w:rPr>
        <w:t>підпису.</w:t>
      </w:r>
    </w:p>
    <w:p w14:paraId="1CF1FF05" w14:textId="77777777" w:rsidR="00DE575E" w:rsidRDefault="002E7560">
      <w:pPr>
        <w:pStyle w:val="BodyText"/>
        <w:spacing w:before="3" w:line="252" w:lineRule="auto"/>
        <w:ind w:left="533" w:right="126" w:firstLine="283"/>
        <w:jc w:val="both"/>
      </w:pPr>
      <w:r>
        <w:rPr>
          <w:color w:val="231F20"/>
        </w:rPr>
        <w:t>НАЗК</w:t>
      </w:r>
      <w:r>
        <w:rPr>
          <w:color w:val="231F20"/>
          <w:spacing w:val="-21"/>
        </w:rPr>
        <w:t xml:space="preserve"> </w:t>
      </w:r>
      <w:r>
        <w:rPr>
          <w:color w:val="231F20"/>
        </w:rPr>
        <w:t>забезпечує</w:t>
      </w:r>
      <w:r>
        <w:rPr>
          <w:color w:val="231F20"/>
          <w:spacing w:val="-22"/>
        </w:rPr>
        <w:t xml:space="preserve"> </w:t>
      </w:r>
      <w:r>
        <w:rPr>
          <w:color w:val="231F20"/>
        </w:rPr>
        <w:t>відкритийцілодобовий</w:t>
      </w:r>
      <w:r>
        <w:rPr>
          <w:color w:val="231F20"/>
          <w:spacing w:val="-22"/>
        </w:rPr>
        <w:t xml:space="preserve"> </w:t>
      </w:r>
      <w:r>
        <w:rPr>
          <w:color w:val="231F20"/>
        </w:rPr>
        <w:t>доступ</w:t>
      </w:r>
      <w:r>
        <w:rPr>
          <w:color w:val="231F20"/>
          <w:spacing w:val="-21"/>
        </w:rPr>
        <w:t xml:space="preserve"> </w:t>
      </w:r>
      <w:r>
        <w:rPr>
          <w:color w:val="231F20"/>
        </w:rPr>
        <w:t>до</w:t>
      </w:r>
      <w:r>
        <w:rPr>
          <w:color w:val="231F20"/>
          <w:spacing w:val="-22"/>
        </w:rPr>
        <w:t xml:space="preserve"> </w:t>
      </w:r>
      <w:r>
        <w:rPr>
          <w:color w:val="231F20"/>
          <w:spacing w:val="-4"/>
        </w:rPr>
        <w:t>ЄДРД;</w:t>
      </w:r>
      <w:r>
        <w:rPr>
          <w:color w:val="231F20"/>
          <w:spacing w:val="-22"/>
        </w:rPr>
        <w:t xml:space="preserve"> </w:t>
      </w:r>
      <w:r>
        <w:rPr>
          <w:color w:val="231F20"/>
        </w:rPr>
        <w:t>публічна частина реєстру обмежує відкритість деяких даних для захисту конфіденційної</w:t>
      </w:r>
      <w:r>
        <w:rPr>
          <w:color w:val="231F20"/>
          <w:spacing w:val="-10"/>
        </w:rPr>
        <w:t xml:space="preserve"> </w:t>
      </w:r>
      <w:r>
        <w:rPr>
          <w:color w:val="231F20"/>
        </w:rPr>
        <w:t>інформації</w:t>
      </w:r>
      <w:r>
        <w:rPr>
          <w:color w:val="231F20"/>
          <w:spacing w:val="-10"/>
        </w:rPr>
        <w:t xml:space="preserve"> </w:t>
      </w:r>
      <w:r>
        <w:rPr>
          <w:color w:val="231F20"/>
        </w:rPr>
        <w:t>про</w:t>
      </w:r>
      <w:r>
        <w:rPr>
          <w:color w:val="231F20"/>
          <w:spacing w:val="-10"/>
        </w:rPr>
        <w:t xml:space="preserve"> </w:t>
      </w:r>
      <w:r>
        <w:rPr>
          <w:color w:val="231F20"/>
          <w:spacing w:val="-3"/>
        </w:rPr>
        <w:t>суб’єкта</w:t>
      </w:r>
      <w:r>
        <w:rPr>
          <w:color w:val="231F20"/>
          <w:spacing w:val="-10"/>
        </w:rPr>
        <w:t xml:space="preserve"> </w:t>
      </w:r>
      <w:r>
        <w:rPr>
          <w:color w:val="231F20"/>
        </w:rPr>
        <w:t>декларування</w:t>
      </w:r>
      <w:r>
        <w:rPr>
          <w:color w:val="231F20"/>
          <w:spacing w:val="-10"/>
        </w:rPr>
        <w:t xml:space="preserve"> </w:t>
      </w:r>
      <w:r>
        <w:rPr>
          <w:color w:val="231F20"/>
        </w:rPr>
        <w:t>та</w:t>
      </w:r>
      <w:r>
        <w:rPr>
          <w:color w:val="231F20"/>
          <w:spacing w:val="-10"/>
        </w:rPr>
        <w:t xml:space="preserve"> </w:t>
      </w:r>
      <w:r>
        <w:rPr>
          <w:color w:val="231F20"/>
        </w:rPr>
        <w:t>членів</w:t>
      </w:r>
      <w:r>
        <w:rPr>
          <w:color w:val="231F20"/>
          <w:spacing w:val="-10"/>
        </w:rPr>
        <w:t xml:space="preserve"> </w:t>
      </w:r>
      <w:r>
        <w:rPr>
          <w:color w:val="231F20"/>
        </w:rPr>
        <w:t>його сім’ї. Задекларована інформація про публічного службовця зберіга- ється упродовж усього часу виконання публічних функці</w:t>
      </w:r>
      <w:r>
        <w:rPr>
          <w:color w:val="231F20"/>
        </w:rPr>
        <w:t>й, а також упродовж п’яти років після припинення служби; остання деклара- ція, подана публічним службовцем, зберігається</w:t>
      </w:r>
      <w:r>
        <w:rPr>
          <w:color w:val="231F20"/>
          <w:spacing w:val="-8"/>
        </w:rPr>
        <w:t xml:space="preserve"> </w:t>
      </w:r>
      <w:r>
        <w:rPr>
          <w:color w:val="231F20"/>
        </w:rPr>
        <w:t>безстроково.</w:t>
      </w:r>
    </w:p>
    <w:p w14:paraId="0AD11EFD" w14:textId="77777777" w:rsidR="00DE575E" w:rsidRDefault="002E7560">
      <w:pPr>
        <w:pStyle w:val="Heading6"/>
        <w:spacing w:before="4"/>
        <w:ind w:left="817" w:firstLine="0"/>
        <w:rPr>
          <w:b w:val="0"/>
          <w:i w:val="0"/>
        </w:rPr>
      </w:pPr>
      <w:r>
        <w:rPr>
          <w:color w:val="231F20"/>
        </w:rPr>
        <w:t>Стосовно декларацій здійснюється три види контролю</w:t>
      </w:r>
      <w:r>
        <w:rPr>
          <w:b w:val="0"/>
          <w:i w:val="0"/>
          <w:color w:val="231F20"/>
        </w:rPr>
        <w:t>:</w:t>
      </w:r>
    </w:p>
    <w:p w14:paraId="139E7DEB" w14:textId="77777777" w:rsidR="00DE575E" w:rsidRDefault="002E7560">
      <w:pPr>
        <w:pStyle w:val="ListParagraph"/>
        <w:numPr>
          <w:ilvl w:val="0"/>
          <w:numId w:val="1"/>
        </w:numPr>
        <w:tabs>
          <w:tab w:val="left" w:pos="1101"/>
        </w:tabs>
        <w:spacing w:before="12" w:line="252" w:lineRule="auto"/>
        <w:ind w:right="128" w:firstLine="284"/>
        <w:jc w:val="both"/>
        <w:rPr>
          <w:sz w:val="21"/>
        </w:rPr>
      </w:pPr>
      <w:r>
        <w:rPr>
          <w:i/>
          <w:color w:val="231F20"/>
          <w:sz w:val="21"/>
        </w:rPr>
        <w:t xml:space="preserve">щодо своєчасності подання </w:t>
      </w:r>
      <w:r>
        <w:rPr>
          <w:color w:val="231F20"/>
          <w:sz w:val="21"/>
        </w:rPr>
        <w:t>(до цього контролю залуча-  ються органи, де</w:t>
      </w:r>
      <w:r>
        <w:rPr>
          <w:color w:val="231F20"/>
          <w:sz w:val="21"/>
        </w:rPr>
        <w:t xml:space="preserve"> працюють </w:t>
      </w:r>
      <w:r>
        <w:rPr>
          <w:color w:val="231F20"/>
          <w:spacing w:val="-3"/>
          <w:sz w:val="21"/>
        </w:rPr>
        <w:t xml:space="preserve">суб’єкти </w:t>
      </w:r>
      <w:r>
        <w:rPr>
          <w:color w:val="231F20"/>
          <w:sz w:val="21"/>
        </w:rPr>
        <w:t>декларування, на яких покла- дено обов’язок упродовж 10 робочих днів після завершення строку подання щорічної декларації перевірити, чи всі їх службовці подали декларації та повідомити упродовж 3 робочих днів НАЗК про вияв- лені</w:t>
      </w:r>
      <w:r>
        <w:rPr>
          <w:color w:val="231F20"/>
          <w:spacing w:val="-2"/>
          <w:sz w:val="21"/>
        </w:rPr>
        <w:t xml:space="preserve"> </w:t>
      </w:r>
      <w:r>
        <w:rPr>
          <w:color w:val="231F20"/>
          <w:sz w:val="21"/>
        </w:rPr>
        <w:t>порушенн</w:t>
      </w:r>
      <w:r>
        <w:rPr>
          <w:color w:val="231F20"/>
          <w:sz w:val="21"/>
        </w:rPr>
        <w:t>я);</w:t>
      </w:r>
    </w:p>
    <w:p w14:paraId="42516814" w14:textId="77777777" w:rsidR="00DE575E" w:rsidRDefault="002E7560">
      <w:pPr>
        <w:pStyle w:val="ListParagraph"/>
        <w:numPr>
          <w:ilvl w:val="0"/>
          <w:numId w:val="1"/>
        </w:numPr>
        <w:tabs>
          <w:tab w:val="left" w:pos="1101"/>
        </w:tabs>
        <w:spacing w:before="3" w:line="252" w:lineRule="auto"/>
        <w:ind w:right="128" w:firstLine="284"/>
        <w:jc w:val="both"/>
        <w:rPr>
          <w:sz w:val="21"/>
        </w:rPr>
      </w:pPr>
      <w:r>
        <w:rPr>
          <w:i/>
          <w:color w:val="231F20"/>
          <w:sz w:val="21"/>
        </w:rPr>
        <w:t xml:space="preserve">щодо правильності й повноти заповнення </w:t>
      </w:r>
      <w:r>
        <w:rPr>
          <w:color w:val="231F20"/>
          <w:sz w:val="21"/>
        </w:rPr>
        <w:t xml:space="preserve">(здійснюється авто- матично засобами </w:t>
      </w:r>
      <w:r>
        <w:rPr>
          <w:color w:val="231F20"/>
          <w:spacing w:val="-5"/>
          <w:sz w:val="21"/>
        </w:rPr>
        <w:t xml:space="preserve">ЄДРД </w:t>
      </w:r>
      <w:r>
        <w:rPr>
          <w:color w:val="231F20"/>
          <w:sz w:val="21"/>
        </w:rPr>
        <w:t>під час</w:t>
      </w:r>
      <w:r>
        <w:rPr>
          <w:color w:val="231F20"/>
          <w:spacing w:val="2"/>
          <w:sz w:val="21"/>
        </w:rPr>
        <w:t xml:space="preserve"> </w:t>
      </w:r>
      <w:r>
        <w:rPr>
          <w:color w:val="231F20"/>
          <w:sz w:val="21"/>
        </w:rPr>
        <w:t>декларування);</w:t>
      </w:r>
    </w:p>
    <w:p w14:paraId="48129A96" w14:textId="77777777" w:rsidR="00DE575E" w:rsidRDefault="002E7560">
      <w:pPr>
        <w:pStyle w:val="ListParagraph"/>
        <w:numPr>
          <w:ilvl w:val="0"/>
          <w:numId w:val="1"/>
        </w:numPr>
        <w:tabs>
          <w:tab w:val="left" w:pos="1101"/>
        </w:tabs>
        <w:spacing w:line="252" w:lineRule="auto"/>
        <w:ind w:right="127" w:firstLine="284"/>
        <w:jc w:val="both"/>
        <w:rPr>
          <w:sz w:val="21"/>
        </w:rPr>
      </w:pPr>
      <w:r>
        <w:rPr>
          <w:i/>
          <w:color w:val="231F20"/>
          <w:sz w:val="21"/>
        </w:rPr>
        <w:t>логічний та арифметичний контроль</w:t>
      </w:r>
      <w:r>
        <w:rPr>
          <w:color w:val="231F20"/>
          <w:sz w:val="21"/>
        </w:rPr>
        <w:t>, який передбачає дві складові: а) контроль відповідності відомостей декларації (порів- няння складових інформації, що зазначена в декларації, з метою встановлення їх відповідності одна одній); б) контроль відповід- ності відомостей декларації відомостям р</w:t>
      </w:r>
      <w:r>
        <w:rPr>
          <w:color w:val="231F20"/>
          <w:sz w:val="21"/>
        </w:rPr>
        <w:t>еєстрів та баз даних. Для прикладної реалізації кожної з названих складових НАЗК затвер- дило відповідні правила і 26 вересня 2018 р. увело в експлуатацію систему</w:t>
      </w:r>
      <w:r>
        <w:rPr>
          <w:color w:val="231F20"/>
          <w:spacing w:val="27"/>
          <w:sz w:val="21"/>
        </w:rPr>
        <w:t xml:space="preserve"> </w:t>
      </w:r>
      <w:r>
        <w:rPr>
          <w:color w:val="231F20"/>
          <w:sz w:val="21"/>
        </w:rPr>
        <w:t>логічного</w:t>
      </w:r>
      <w:r>
        <w:rPr>
          <w:color w:val="231F20"/>
          <w:spacing w:val="27"/>
          <w:sz w:val="21"/>
        </w:rPr>
        <w:t xml:space="preserve"> </w:t>
      </w:r>
      <w:r>
        <w:rPr>
          <w:color w:val="231F20"/>
          <w:sz w:val="21"/>
        </w:rPr>
        <w:t>та</w:t>
      </w:r>
      <w:r>
        <w:rPr>
          <w:color w:val="231F20"/>
          <w:spacing w:val="27"/>
          <w:sz w:val="21"/>
        </w:rPr>
        <w:t xml:space="preserve"> </w:t>
      </w:r>
      <w:r>
        <w:rPr>
          <w:color w:val="231F20"/>
          <w:sz w:val="21"/>
        </w:rPr>
        <w:t>арифметичного</w:t>
      </w:r>
      <w:r>
        <w:rPr>
          <w:color w:val="231F20"/>
          <w:spacing w:val="26"/>
          <w:sz w:val="21"/>
        </w:rPr>
        <w:t xml:space="preserve"> </w:t>
      </w:r>
      <w:r>
        <w:rPr>
          <w:color w:val="231F20"/>
          <w:sz w:val="21"/>
        </w:rPr>
        <w:t>контролю;</w:t>
      </w:r>
      <w:r>
        <w:rPr>
          <w:color w:val="231F20"/>
          <w:spacing w:val="27"/>
          <w:sz w:val="21"/>
        </w:rPr>
        <w:t xml:space="preserve"> </w:t>
      </w:r>
      <w:r>
        <w:rPr>
          <w:color w:val="231F20"/>
          <w:sz w:val="21"/>
        </w:rPr>
        <w:t>станом</w:t>
      </w:r>
      <w:r>
        <w:rPr>
          <w:color w:val="231F20"/>
          <w:spacing w:val="26"/>
          <w:sz w:val="21"/>
        </w:rPr>
        <w:t xml:space="preserve"> </w:t>
      </w:r>
      <w:r>
        <w:rPr>
          <w:color w:val="231F20"/>
          <w:sz w:val="21"/>
        </w:rPr>
        <w:t>на</w:t>
      </w:r>
      <w:r>
        <w:rPr>
          <w:color w:val="231F20"/>
          <w:spacing w:val="27"/>
          <w:sz w:val="21"/>
        </w:rPr>
        <w:t xml:space="preserve"> </w:t>
      </w:r>
      <w:r>
        <w:rPr>
          <w:color w:val="231F20"/>
          <w:sz w:val="21"/>
        </w:rPr>
        <w:t>кінець</w:t>
      </w:r>
    </w:p>
    <w:p w14:paraId="0CC145BC" w14:textId="77777777" w:rsidR="00DE575E" w:rsidRDefault="00DE575E">
      <w:pPr>
        <w:pStyle w:val="BodyText"/>
        <w:spacing w:before="8"/>
        <w:rPr>
          <w:sz w:val="12"/>
        </w:rPr>
      </w:pPr>
    </w:p>
    <w:p w14:paraId="6D9CFD95" w14:textId="77777777" w:rsidR="00DE575E" w:rsidRDefault="002E7560">
      <w:pPr>
        <w:spacing w:before="92"/>
        <w:ind w:left="533"/>
        <w:rPr>
          <w:rFonts w:ascii="Times New Roman"/>
          <w:sz w:val="20"/>
        </w:rPr>
      </w:pPr>
      <w:r>
        <w:rPr>
          <w:rFonts w:ascii="Times New Roman"/>
          <w:color w:val="231F20"/>
          <w:sz w:val="20"/>
        </w:rPr>
        <w:t>434</w:t>
      </w:r>
    </w:p>
    <w:p w14:paraId="3AB9377D" w14:textId="77777777" w:rsidR="00DE575E" w:rsidRDefault="00DE575E">
      <w:pPr>
        <w:rPr>
          <w:rFonts w:ascii="Times New Roman"/>
          <w:sz w:val="20"/>
        </w:rPr>
        <w:sectPr w:rsidR="00DE575E">
          <w:pgSz w:w="8510" w:h="12760"/>
          <w:pgMar w:top="660" w:right="720" w:bottom="280" w:left="600" w:header="720" w:footer="720" w:gutter="0"/>
          <w:cols w:space="720"/>
        </w:sectPr>
      </w:pPr>
    </w:p>
    <w:p w14:paraId="6E9281B6"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 право/ Книга І Розділ 4. Запобігання корупційним проявам у публічній службі</w:t>
      </w:r>
    </w:p>
    <w:p w14:paraId="05871204" w14:textId="500BCF5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374DE4" wp14:editId="4F88D979">
                <wp:extent cx="4140200" cy="6350"/>
                <wp:effectExtent l="0" t="0" r="12700" b="6350"/>
                <wp:docPr id="30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05" name="Line 30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CCFFFF" id="Group_x0020_30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3UpHq34CAACYBQAADgAA&#10;AAAAAAAAAAAAAAAsAgAAZHJzL2Uyb0RvYy54bWxQSwECLQAUAAYACAAAACEATKewkNkAAAADAQAA&#10;DwAAAAAAAAAAAAAAAADWBAAAZHJzL2Rvd25yZXYueG1sUEsFBgAAAAAEAAQA8wAAANwFAAAAAA==&#10;">
                <v:line id="Line_x0020_30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eEDMYAAADcAAAADwAAAGRycy9kb3ducmV2LnhtbESP3WrCQBSE7wt9h+UUelN0o0Ep0VVE&#10;EKQX/qUPcMyeJqG7Z2N2NWmf3hUKvRxm5htmvuytETdqfe1YwWiYgCAunK65VPCZbwbvIHxA1mgc&#10;k4If8rBcPD/NMdOu4yPdTqEUEcI+QwVVCE0mpS8qsuiHriGO3pdrLYYo21LqFrsIt0aOk2QqLdYc&#10;FypsaF1R8X26WgX55S2Yw/7DdPn+nMrzZZf+XndKvb70qxmIQH34D/+1t1pBmkzgcS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3hAzGAAAA3AAAAA8AAAAAAAAA&#10;AAAAAAAAoQIAAGRycy9kb3ducmV2LnhtbFBLBQYAAAAABAAEAPkAAACUAwAAAAA=&#10;" strokecolor="#231f20" strokeweight=".5pt"/>
                <w10:anchorlock/>
              </v:group>
            </w:pict>
          </mc:Fallback>
        </mc:AlternateContent>
      </w:r>
    </w:p>
    <w:p w14:paraId="29CAD056" w14:textId="77777777" w:rsidR="00DE575E" w:rsidRDefault="00DE575E">
      <w:pPr>
        <w:pStyle w:val="BodyText"/>
        <w:spacing w:before="7"/>
        <w:rPr>
          <w:rFonts w:ascii="AdonisC"/>
          <w:i/>
          <w:sz w:val="19"/>
        </w:rPr>
      </w:pPr>
    </w:p>
    <w:p w14:paraId="64A74583" w14:textId="77777777" w:rsidR="00DE575E" w:rsidRDefault="002E7560">
      <w:pPr>
        <w:pStyle w:val="BodyText"/>
        <w:spacing w:before="1" w:line="252" w:lineRule="auto"/>
        <w:ind w:left="250" w:right="411"/>
        <w:jc w:val="both"/>
      </w:pPr>
      <w:r>
        <w:rPr>
          <w:color w:val="231F20"/>
        </w:rPr>
        <w:t xml:space="preserve">2019 року агентство отримало автоматичний доступ до всіх необ- хідних реєстрів </w:t>
      </w:r>
      <w:r>
        <w:rPr>
          <w:color w:val="231F20"/>
        </w:rPr>
        <w:t>та баз даних (їх 16), чим забезпечило дієвість остан- нього (і, як видається, основного) виду контролю декларацій.</w:t>
      </w:r>
    </w:p>
    <w:p w14:paraId="00229D5E" w14:textId="77777777" w:rsidR="00DE575E" w:rsidRDefault="002E7560">
      <w:pPr>
        <w:pStyle w:val="BodyText"/>
        <w:spacing w:before="1" w:line="252" w:lineRule="auto"/>
        <w:ind w:left="250" w:right="408" w:firstLine="283"/>
        <w:jc w:val="both"/>
      </w:pPr>
      <w:r>
        <w:rPr>
          <w:color w:val="231F20"/>
        </w:rPr>
        <w:t>Деякі декларації</w:t>
      </w:r>
      <w:r>
        <w:rPr>
          <w:color w:val="231F20"/>
          <w:position w:val="7"/>
          <w:sz w:val="12"/>
        </w:rPr>
        <w:t xml:space="preserve">1 </w:t>
      </w:r>
      <w:r>
        <w:rPr>
          <w:color w:val="231F20"/>
        </w:rPr>
        <w:t>підлягають повній перевірці, яка включає: з’ясування достовірності задекларованих відомостей; з’ясування точності оцінки задекларованих активів; перевірку на наявність конфлікту інтересів; перевірку на наявність ознак незаконного збагачення</w:t>
      </w:r>
      <w:r>
        <w:rPr>
          <w:color w:val="231F20"/>
          <w:position w:val="7"/>
          <w:sz w:val="12"/>
        </w:rPr>
        <w:t>2</w:t>
      </w:r>
      <w:r>
        <w:rPr>
          <w:color w:val="231F20"/>
        </w:rPr>
        <w:t>. НАЗК проводит</w:t>
      </w:r>
      <w:r>
        <w:rPr>
          <w:color w:val="231F20"/>
        </w:rPr>
        <w:t>ь таку перевірку на підставі інформації, отриманої від фізичних та юридичних осіб, із засобів масової інфор- мації</w:t>
      </w:r>
      <w:r>
        <w:rPr>
          <w:color w:val="231F20"/>
          <w:spacing w:val="-13"/>
        </w:rPr>
        <w:t xml:space="preserve"> </w:t>
      </w:r>
      <w:r>
        <w:rPr>
          <w:color w:val="231F20"/>
        </w:rPr>
        <w:t>та</w:t>
      </w:r>
      <w:r>
        <w:rPr>
          <w:color w:val="231F20"/>
          <w:spacing w:val="-13"/>
        </w:rPr>
        <w:t xml:space="preserve"> </w:t>
      </w:r>
      <w:r>
        <w:rPr>
          <w:color w:val="231F20"/>
        </w:rPr>
        <w:t>інших</w:t>
      </w:r>
      <w:r>
        <w:rPr>
          <w:color w:val="231F20"/>
          <w:spacing w:val="-13"/>
        </w:rPr>
        <w:t xml:space="preserve"> </w:t>
      </w:r>
      <w:r>
        <w:rPr>
          <w:color w:val="231F20"/>
        </w:rPr>
        <w:t>джерел,</w:t>
      </w:r>
      <w:r>
        <w:rPr>
          <w:color w:val="231F20"/>
          <w:spacing w:val="-13"/>
        </w:rPr>
        <w:t xml:space="preserve"> </w:t>
      </w:r>
      <w:r>
        <w:rPr>
          <w:color w:val="231F20"/>
        </w:rPr>
        <w:t>про</w:t>
      </w:r>
      <w:r>
        <w:rPr>
          <w:color w:val="231F20"/>
          <w:spacing w:val="-13"/>
        </w:rPr>
        <w:t xml:space="preserve"> </w:t>
      </w:r>
      <w:r>
        <w:rPr>
          <w:color w:val="231F20"/>
        </w:rPr>
        <w:t>можливе</w:t>
      </w:r>
      <w:r>
        <w:rPr>
          <w:color w:val="231F20"/>
          <w:spacing w:val="-13"/>
        </w:rPr>
        <w:t xml:space="preserve"> </w:t>
      </w:r>
      <w:r>
        <w:rPr>
          <w:color w:val="231F20"/>
        </w:rPr>
        <w:t>відображення</w:t>
      </w:r>
      <w:r>
        <w:rPr>
          <w:color w:val="231F20"/>
          <w:spacing w:val="-13"/>
        </w:rPr>
        <w:t xml:space="preserve"> </w:t>
      </w:r>
      <w:r>
        <w:rPr>
          <w:color w:val="231F20"/>
        </w:rPr>
        <w:t>у</w:t>
      </w:r>
      <w:r>
        <w:rPr>
          <w:color w:val="231F20"/>
          <w:spacing w:val="-14"/>
        </w:rPr>
        <w:t xml:space="preserve"> </w:t>
      </w:r>
      <w:r>
        <w:rPr>
          <w:color w:val="231F20"/>
        </w:rPr>
        <w:t>декларації</w:t>
      </w:r>
      <w:r>
        <w:rPr>
          <w:color w:val="231F20"/>
          <w:spacing w:val="-13"/>
        </w:rPr>
        <w:t xml:space="preserve"> </w:t>
      </w:r>
      <w:r>
        <w:rPr>
          <w:color w:val="231F20"/>
        </w:rPr>
        <w:t>недо- стовірних відомостей.</w:t>
      </w:r>
    </w:p>
    <w:p w14:paraId="4AFBCC68" w14:textId="77777777" w:rsidR="00DE575E" w:rsidRDefault="002E7560">
      <w:pPr>
        <w:pStyle w:val="BodyText"/>
        <w:spacing w:before="4" w:line="252" w:lineRule="auto"/>
        <w:ind w:left="250" w:right="411" w:firstLine="283"/>
        <w:jc w:val="both"/>
      </w:pPr>
      <w:r>
        <w:rPr>
          <w:color w:val="231F20"/>
        </w:rPr>
        <w:t xml:space="preserve">Окрім основного заходу антикорупційного фінансового конт- </w:t>
      </w:r>
      <w:r>
        <w:rPr>
          <w:color w:val="231F20"/>
        </w:rPr>
        <w:t xml:space="preserve">ролю (декларування), існує </w:t>
      </w:r>
      <w:r>
        <w:rPr>
          <w:b/>
          <w:i/>
          <w:color w:val="231F20"/>
        </w:rPr>
        <w:t>два додаткових</w:t>
      </w:r>
      <w:r>
        <w:rPr>
          <w:color w:val="231F20"/>
        </w:rPr>
        <w:t>:</w:t>
      </w:r>
    </w:p>
    <w:p w14:paraId="38DD8088" w14:textId="77777777" w:rsidR="00DE575E" w:rsidRDefault="002E7560">
      <w:pPr>
        <w:pStyle w:val="ListParagraph"/>
        <w:numPr>
          <w:ilvl w:val="0"/>
          <w:numId w:val="58"/>
        </w:numPr>
        <w:tabs>
          <w:tab w:val="left" w:pos="818"/>
        </w:tabs>
        <w:spacing w:line="252" w:lineRule="auto"/>
        <w:ind w:right="411" w:firstLine="283"/>
        <w:jc w:val="both"/>
        <w:rPr>
          <w:sz w:val="21"/>
        </w:rPr>
      </w:pPr>
      <w:r>
        <w:rPr>
          <w:color w:val="231F20"/>
          <w:sz w:val="21"/>
        </w:rPr>
        <w:t>повідомлення про відкриття валютного рахунка в установі банку-нерезидента</w:t>
      </w:r>
      <w:r>
        <w:rPr>
          <w:color w:val="231F20"/>
          <w:spacing w:val="-18"/>
          <w:sz w:val="21"/>
        </w:rPr>
        <w:t xml:space="preserve"> </w:t>
      </w:r>
      <w:r>
        <w:rPr>
          <w:color w:val="231F20"/>
          <w:spacing w:val="-3"/>
          <w:sz w:val="21"/>
        </w:rPr>
        <w:t>суб’єктом</w:t>
      </w:r>
      <w:r>
        <w:rPr>
          <w:color w:val="231F20"/>
          <w:spacing w:val="-18"/>
          <w:sz w:val="21"/>
        </w:rPr>
        <w:t xml:space="preserve"> </w:t>
      </w:r>
      <w:r>
        <w:rPr>
          <w:color w:val="231F20"/>
          <w:sz w:val="21"/>
        </w:rPr>
        <w:t>декларування</w:t>
      </w:r>
      <w:r>
        <w:rPr>
          <w:color w:val="231F20"/>
          <w:spacing w:val="-18"/>
          <w:sz w:val="21"/>
        </w:rPr>
        <w:t xml:space="preserve"> </w:t>
      </w:r>
      <w:r>
        <w:rPr>
          <w:color w:val="231F20"/>
          <w:sz w:val="21"/>
        </w:rPr>
        <w:t>або</w:t>
      </w:r>
      <w:r>
        <w:rPr>
          <w:color w:val="231F20"/>
          <w:spacing w:val="-18"/>
          <w:sz w:val="21"/>
        </w:rPr>
        <w:t xml:space="preserve"> </w:t>
      </w:r>
      <w:r>
        <w:rPr>
          <w:color w:val="231F20"/>
          <w:sz w:val="21"/>
        </w:rPr>
        <w:t>членом</w:t>
      </w:r>
      <w:r>
        <w:rPr>
          <w:color w:val="231F20"/>
          <w:spacing w:val="-18"/>
          <w:sz w:val="21"/>
        </w:rPr>
        <w:t xml:space="preserve"> </w:t>
      </w:r>
      <w:r>
        <w:rPr>
          <w:color w:val="231F20"/>
          <w:sz w:val="21"/>
        </w:rPr>
        <w:t>його</w:t>
      </w:r>
      <w:r>
        <w:rPr>
          <w:color w:val="231F20"/>
          <w:spacing w:val="-18"/>
          <w:sz w:val="21"/>
        </w:rPr>
        <w:t xml:space="preserve"> </w:t>
      </w:r>
      <w:r>
        <w:rPr>
          <w:color w:val="231F20"/>
          <w:sz w:val="21"/>
        </w:rPr>
        <w:t>сім’ї,</w:t>
      </w:r>
      <w:r>
        <w:rPr>
          <w:color w:val="231F20"/>
          <w:spacing w:val="-18"/>
          <w:sz w:val="21"/>
        </w:rPr>
        <w:t xml:space="preserve"> </w:t>
      </w:r>
      <w:r>
        <w:rPr>
          <w:color w:val="231F20"/>
          <w:sz w:val="21"/>
        </w:rPr>
        <w:t>що подається до НАЗК у письмовій формі упродовж 10 днів із моменту відкриття</w:t>
      </w:r>
      <w:r>
        <w:rPr>
          <w:color w:val="231F20"/>
          <w:spacing w:val="-1"/>
          <w:sz w:val="21"/>
        </w:rPr>
        <w:t xml:space="preserve"> </w:t>
      </w:r>
      <w:r>
        <w:rPr>
          <w:color w:val="231F20"/>
          <w:sz w:val="21"/>
        </w:rPr>
        <w:t>рахунку;</w:t>
      </w:r>
    </w:p>
    <w:p w14:paraId="2498C5F6" w14:textId="77777777" w:rsidR="00DE575E" w:rsidRDefault="002E7560">
      <w:pPr>
        <w:pStyle w:val="ListParagraph"/>
        <w:numPr>
          <w:ilvl w:val="0"/>
          <w:numId w:val="58"/>
        </w:numPr>
        <w:tabs>
          <w:tab w:val="left" w:pos="818"/>
        </w:tabs>
        <w:spacing w:before="2" w:line="252" w:lineRule="auto"/>
        <w:ind w:right="411" w:firstLine="283"/>
        <w:jc w:val="both"/>
        <w:rPr>
          <w:sz w:val="21"/>
        </w:rPr>
      </w:pPr>
      <w:r>
        <w:rPr>
          <w:color w:val="231F20"/>
          <w:sz w:val="21"/>
        </w:rPr>
        <w:t>повідом</w:t>
      </w:r>
      <w:r>
        <w:rPr>
          <w:color w:val="231F20"/>
          <w:sz w:val="21"/>
        </w:rPr>
        <w:t>лення про суттєві зміни у майновому стані</w:t>
      </w:r>
      <w:r>
        <w:rPr>
          <w:color w:val="231F20"/>
          <w:position w:val="7"/>
          <w:sz w:val="12"/>
        </w:rPr>
        <w:t xml:space="preserve">3 </w:t>
      </w:r>
      <w:r>
        <w:rPr>
          <w:color w:val="231F20"/>
          <w:spacing w:val="-4"/>
          <w:sz w:val="21"/>
        </w:rPr>
        <w:t xml:space="preserve">суб’єкта </w:t>
      </w:r>
      <w:r>
        <w:rPr>
          <w:color w:val="231F20"/>
          <w:sz w:val="21"/>
        </w:rPr>
        <w:t>декларування,</w:t>
      </w:r>
      <w:r>
        <w:rPr>
          <w:color w:val="231F20"/>
          <w:spacing w:val="-8"/>
          <w:sz w:val="21"/>
        </w:rPr>
        <w:t xml:space="preserve"> </w:t>
      </w:r>
      <w:r>
        <w:rPr>
          <w:color w:val="231F20"/>
          <w:sz w:val="21"/>
        </w:rPr>
        <w:t>що</w:t>
      </w:r>
      <w:r>
        <w:rPr>
          <w:color w:val="231F20"/>
          <w:spacing w:val="-8"/>
          <w:sz w:val="21"/>
        </w:rPr>
        <w:t xml:space="preserve"> </w:t>
      </w:r>
      <w:r>
        <w:rPr>
          <w:color w:val="231F20"/>
          <w:sz w:val="21"/>
        </w:rPr>
        <w:t>подається</w:t>
      </w:r>
      <w:r>
        <w:rPr>
          <w:color w:val="231F20"/>
          <w:spacing w:val="-8"/>
          <w:sz w:val="21"/>
        </w:rPr>
        <w:t xml:space="preserve"> </w:t>
      </w:r>
      <w:r>
        <w:rPr>
          <w:color w:val="231F20"/>
          <w:sz w:val="21"/>
        </w:rPr>
        <w:t>до</w:t>
      </w:r>
      <w:r>
        <w:rPr>
          <w:color w:val="231F20"/>
          <w:spacing w:val="-8"/>
          <w:sz w:val="21"/>
        </w:rPr>
        <w:t xml:space="preserve"> </w:t>
      </w:r>
      <w:r>
        <w:rPr>
          <w:color w:val="231F20"/>
          <w:sz w:val="21"/>
        </w:rPr>
        <w:t>НАЗК</w:t>
      </w:r>
      <w:r>
        <w:rPr>
          <w:color w:val="231F20"/>
          <w:spacing w:val="-8"/>
          <w:sz w:val="21"/>
        </w:rPr>
        <w:t xml:space="preserve"> </w:t>
      </w:r>
      <w:r>
        <w:rPr>
          <w:color w:val="231F20"/>
          <w:sz w:val="21"/>
        </w:rPr>
        <w:t>через</w:t>
      </w:r>
      <w:r>
        <w:rPr>
          <w:color w:val="231F20"/>
          <w:spacing w:val="-8"/>
          <w:sz w:val="21"/>
        </w:rPr>
        <w:t xml:space="preserve"> </w:t>
      </w:r>
      <w:r>
        <w:rPr>
          <w:color w:val="231F20"/>
          <w:sz w:val="21"/>
        </w:rPr>
        <w:t>заповнення</w:t>
      </w:r>
      <w:r>
        <w:rPr>
          <w:color w:val="231F20"/>
          <w:spacing w:val="-8"/>
          <w:sz w:val="21"/>
        </w:rPr>
        <w:t xml:space="preserve"> </w:t>
      </w:r>
      <w:r>
        <w:rPr>
          <w:color w:val="231F20"/>
          <w:sz w:val="21"/>
        </w:rPr>
        <w:t>в</w:t>
      </w:r>
      <w:r>
        <w:rPr>
          <w:color w:val="231F20"/>
          <w:spacing w:val="-9"/>
          <w:sz w:val="21"/>
        </w:rPr>
        <w:t xml:space="preserve"> </w:t>
      </w:r>
      <w:r>
        <w:rPr>
          <w:color w:val="231F20"/>
          <w:spacing w:val="-5"/>
          <w:sz w:val="21"/>
        </w:rPr>
        <w:t>ЄДРД</w:t>
      </w:r>
      <w:r>
        <w:rPr>
          <w:color w:val="231F20"/>
          <w:spacing w:val="-8"/>
          <w:sz w:val="21"/>
        </w:rPr>
        <w:t xml:space="preserve"> </w:t>
      </w:r>
      <w:r>
        <w:rPr>
          <w:color w:val="231F20"/>
          <w:sz w:val="21"/>
        </w:rPr>
        <w:t xml:space="preserve">елек- тронної форми упродовж 10 днів. З 1 січня 2020 року цей вид анти- корупційного фінансового контролю зазнав  двох  суттєвих  змін:  а) під «зміною» у майновому стані розуміється не лише отримання </w:t>
      </w:r>
      <w:r>
        <w:rPr>
          <w:color w:val="231F20"/>
          <w:spacing w:val="-3"/>
          <w:sz w:val="21"/>
        </w:rPr>
        <w:t xml:space="preserve">доходу </w:t>
      </w:r>
      <w:r>
        <w:rPr>
          <w:color w:val="231F20"/>
          <w:sz w:val="21"/>
        </w:rPr>
        <w:t xml:space="preserve">чи придбання майна (як раніше), </w:t>
      </w:r>
      <w:r>
        <w:rPr>
          <w:i/>
          <w:color w:val="231F20"/>
          <w:sz w:val="21"/>
        </w:rPr>
        <w:t>але й здійснення</w:t>
      </w:r>
      <w:r>
        <w:rPr>
          <w:i/>
          <w:color w:val="231F20"/>
          <w:sz w:val="21"/>
        </w:rPr>
        <w:t xml:space="preserve"> видатку </w:t>
      </w:r>
      <w:r>
        <w:rPr>
          <w:color w:val="231F20"/>
          <w:sz w:val="21"/>
        </w:rPr>
        <w:t xml:space="preserve">(наприклад, дарування) на суттєву суму; б) тепер подавати відпо- відне повідомлення зобов’язані </w:t>
      </w:r>
      <w:r>
        <w:rPr>
          <w:i/>
          <w:color w:val="231F20"/>
          <w:sz w:val="21"/>
        </w:rPr>
        <w:t xml:space="preserve">лише службовці які </w:t>
      </w:r>
      <w:r>
        <w:rPr>
          <w:color w:val="231F20"/>
          <w:sz w:val="21"/>
        </w:rPr>
        <w:t>або займають відповідальне та особливо відповідальне становище, або займають посади, пов’язані з високим рівнем корупційних</w:t>
      </w:r>
      <w:r>
        <w:rPr>
          <w:color w:val="231F20"/>
          <w:spacing w:val="-8"/>
          <w:sz w:val="21"/>
        </w:rPr>
        <w:t xml:space="preserve"> </w:t>
      </w:r>
      <w:r>
        <w:rPr>
          <w:color w:val="231F20"/>
          <w:sz w:val="21"/>
        </w:rPr>
        <w:t>ризиків.</w:t>
      </w:r>
    </w:p>
    <w:p w14:paraId="13EF3F11" w14:textId="77777777" w:rsidR="00DE575E" w:rsidRDefault="00DE575E">
      <w:pPr>
        <w:pStyle w:val="BodyText"/>
        <w:rPr>
          <w:sz w:val="20"/>
        </w:rPr>
      </w:pPr>
    </w:p>
    <w:p w14:paraId="5C533AB4" w14:textId="6A9D4938" w:rsidR="00DE575E" w:rsidRDefault="002E7560">
      <w:pPr>
        <w:pStyle w:val="BodyText"/>
        <w:rPr>
          <w:sz w:val="16"/>
        </w:rPr>
      </w:pPr>
      <w:r>
        <w:rPr>
          <w:noProof/>
        </w:rPr>
        <mc:AlternateContent>
          <mc:Choice Requires="wps">
            <w:drawing>
              <wp:anchor distT="0" distB="0" distL="0" distR="0" simplePos="0" relativeHeight="17128" behindDoc="0" locked="0" layoutInCell="1" allowOverlap="1" wp14:anchorId="620F3DB6" wp14:editId="09039CA6">
                <wp:simplePos x="0" y="0"/>
                <wp:positionH relativeFrom="page">
                  <wp:posOffset>539750</wp:posOffset>
                </wp:positionH>
                <wp:positionV relativeFrom="paragraph">
                  <wp:posOffset>146685</wp:posOffset>
                </wp:positionV>
                <wp:extent cx="1080135" cy="0"/>
                <wp:effectExtent l="6350" t="6985" r="31115" b="31115"/>
                <wp:wrapTopAndBottom/>
                <wp:docPr id="30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5DFE8" id="Line_x0020_302" o:spid="_x0000_s1026" style="position:absolute;z-index:17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55pt" to="127.5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" strokecolor="#231f20" strokeweight=".5pt">
                <w10:wrap type="topAndBottom" anchorx="page"/>
              </v:line>
            </w:pict>
          </mc:Fallback>
        </mc:AlternateContent>
      </w:r>
    </w:p>
    <w:p w14:paraId="7FFFE8D3" w14:textId="77777777" w:rsidR="00DE575E" w:rsidRDefault="002E7560">
      <w:pPr>
        <w:spacing w:line="204" w:lineRule="auto"/>
        <w:ind w:left="250" w:right="409"/>
        <w:jc w:val="both"/>
        <w:rPr>
          <w:sz w:val="16"/>
        </w:rPr>
      </w:pPr>
      <w:r>
        <w:rPr>
          <w:color w:val="231F20"/>
          <w:position w:val="5"/>
          <w:sz w:val="9"/>
        </w:rPr>
        <w:t xml:space="preserve">1 </w:t>
      </w:r>
      <w:r>
        <w:rPr>
          <w:color w:val="231F20"/>
          <w:sz w:val="16"/>
        </w:rPr>
        <w:t xml:space="preserve">Обов’язковій повній перевірці підлягають декларації: а) осіб, які займають відпові- дальне та особливо відповідальне становище (їх перелік зазначений у примітці до </w:t>
      </w:r>
      <w:r>
        <w:rPr>
          <w:color w:val="231F20"/>
          <w:spacing w:val="-5"/>
          <w:sz w:val="16"/>
        </w:rPr>
        <w:t xml:space="preserve">ст. </w:t>
      </w:r>
      <w:r>
        <w:rPr>
          <w:color w:val="231F20"/>
          <w:sz w:val="16"/>
        </w:rPr>
        <w:t>50 Закону «Про запобігання корупції»); б) які займають посади, пов’язані з високим рів-  нем корупційних ризиків (їх перелік затверджений Рішенням НАЗК від 17.06.2016 № 2); в)</w:t>
      </w:r>
      <w:r>
        <w:rPr>
          <w:color w:val="231F20"/>
          <w:spacing w:val="-9"/>
          <w:sz w:val="16"/>
        </w:rPr>
        <w:t xml:space="preserve"> </w:t>
      </w:r>
      <w:r>
        <w:rPr>
          <w:color w:val="231F20"/>
          <w:sz w:val="16"/>
        </w:rPr>
        <w:t>щодо</w:t>
      </w:r>
      <w:r>
        <w:rPr>
          <w:color w:val="231F20"/>
          <w:spacing w:val="-9"/>
          <w:sz w:val="16"/>
        </w:rPr>
        <w:t xml:space="preserve"> </w:t>
      </w:r>
      <w:r>
        <w:rPr>
          <w:color w:val="231F20"/>
          <w:sz w:val="16"/>
        </w:rPr>
        <w:t>яких</w:t>
      </w:r>
      <w:r>
        <w:rPr>
          <w:color w:val="231F20"/>
          <w:spacing w:val="-9"/>
          <w:sz w:val="16"/>
        </w:rPr>
        <w:t xml:space="preserve"> </w:t>
      </w:r>
      <w:r>
        <w:rPr>
          <w:color w:val="231F20"/>
          <w:spacing w:val="-3"/>
          <w:sz w:val="16"/>
        </w:rPr>
        <w:t>були</w:t>
      </w:r>
      <w:r>
        <w:rPr>
          <w:color w:val="231F20"/>
          <w:spacing w:val="-9"/>
          <w:sz w:val="16"/>
        </w:rPr>
        <w:t xml:space="preserve"> </w:t>
      </w:r>
      <w:r>
        <w:rPr>
          <w:color w:val="231F20"/>
          <w:sz w:val="16"/>
        </w:rPr>
        <w:t>виявлені</w:t>
      </w:r>
      <w:r>
        <w:rPr>
          <w:color w:val="231F20"/>
          <w:spacing w:val="-9"/>
          <w:sz w:val="16"/>
        </w:rPr>
        <w:t xml:space="preserve"> </w:t>
      </w:r>
      <w:r>
        <w:rPr>
          <w:color w:val="231F20"/>
          <w:sz w:val="16"/>
        </w:rPr>
        <w:t>невідповідності</w:t>
      </w:r>
      <w:r>
        <w:rPr>
          <w:color w:val="231F20"/>
          <w:spacing w:val="-9"/>
          <w:sz w:val="16"/>
        </w:rPr>
        <w:t xml:space="preserve"> </w:t>
      </w:r>
      <w:r>
        <w:rPr>
          <w:color w:val="231F20"/>
          <w:sz w:val="16"/>
        </w:rPr>
        <w:t>за</w:t>
      </w:r>
      <w:r>
        <w:rPr>
          <w:color w:val="231F20"/>
          <w:spacing w:val="-9"/>
          <w:sz w:val="16"/>
        </w:rPr>
        <w:t xml:space="preserve"> </w:t>
      </w:r>
      <w:r>
        <w:rPr>
          <w:color w:val="231F20"/>
          <w:sz w:val="16"/>
        </w:rPr>
        <w:t>результатами</w:t>
      </w:r>
      <w:r>
        <w:rPr>
          <w:color w:val="231F20"/>
          <w:spacing w:val="-9"/>
          <w:sz w:val="16"/>
        </w:rPr>
        <w:t xml:space="preserve"> </w:t>
      </w:r>
      <w:r>
        <w:rPr>
          <w:color w:val="231F20"/>
          <w:sz w:val="16"/>
        </w:rPr>
        <w:t>логічного</w:t>
      </w:r>
      <w:r>
        <w:rPr>
          <w:color w:val="231F20"/>
          <w:spacing w:val="-9"/>
          <w:sz w:val="16"/>
        </w:rPr>
        <w:t xml:space="preserve"> </w:t>
      </w:r>
      <w:r>
        <w:rPr>
          <w:color w:val="231F20"/>
          <w:sz w:val="16"/>
        </w:rPr>
        <w:t>та</w:t>
      </w:r>
      <w:r>
        <w:rPr>
          <w:color w:val="231F20"/>
          <w:spacing w:val="-9"/>
          <w:sz w:val="16"/>
        </w:rPr>
        <w:t xml:space="preserve"> </w:t>
      </w:r>
      <w:r>
        <w:rPr>
          <w:color w:val="231F20"/>
          <w:sz w:val="16"/>
        </w:rPr>
        <w:t>арифметично</w:t>
      </w:r>
      <w:r>
        <w:rPr>
          <w:color w:val="231F20"/>
          <w:sz w:val="16"/>
        </w:rPr>
        <w:t xml:space="preserve">го контролю; г) в яких суб’єктом декларування не </w:t>
      </w:r>
      <w:r>
        <w:rPr>
          <w:color w:val="231F20"/>
          <w:spacing w:val="-3"/>
          <w:sz w:val="16"/>
        </w:rPr>
        <w:t xml:space="preserve">було </w:t>
      </w:r>
      <w:r>
        <w:rPr>
          <w:color w:val="231F20"/>
          <w:sz w:val="16"/>
        </w:rPr>
        <w:t>зазначено відомості про члена сім’ї  у зв’язку з відмовою останнього надати відповідну</w:t>
      </w:r>
      <w:r>
        <w:rPr>
          <w:color w:val="231F20"/>
          <w:spacing w:val="-6"/>
          <w:sz w:val="16"/>
        </w:rPr>
        <w:t xml:space="preserve"> </w:t>
      </w:r>
      <w:r>
        <w:rPr>
          <w:color w:val="231F20"/>
          <w:sz w:val="16"/>
        </w:rPr>
        <w:t>інформацію.</w:t>
      </w:r>
    </w:p>
    <w:p w14:paraId="1793D3E7" w14:textId="77777777" w:rsidR="00DE575E" w:rsidRDefault="002E7560">
      <w:pPr>
        <w:spacing w:before="29" w:line="204" w:lineRule="auto"/>
        <w:ind w:left="250" w:right="411"/>
        <w:jc w:val="both"/>
        <w:rPr>
          <w:sz w:val="16"/>
        </w:rPr>
      </w:pPr>
      <w:r>
        <w:rPr>
          <w:color w:val="231F20"/>
          <w:position w:val="5"/>
          <w:sz w:val="9"/>
        </w:rPr>
        <w:t xml:space="preserve">2 </w:t>
      </w:r>
      <w:r>
        <w:rPr>
          <w:color w:val="231F20"/>
          <w:sz w:val="16"/>
        </w:rPr>
        <w:t xml:space="preserve">Незаконним збагаченням відповідно до </w:t>
      </w:r>
      <w:r>
        <w:rPr>
          <w:color w:val="231F20"/>
          <w:spacing w:val="-5"/>
          <w:sz w:val="16"/>
        </w:rPr>
        <w:t xml:space="preserve">ст. </w:t>
      </w:r>
      <w:r>
        <w:rPr>
          <w:color w:val="231F20"/>
          <w:sz w:val="16"/>
        </w:rPr>
        <w:t xml:space="preserve">368-5 КК України є набуття публічним службовцем у власність активів, вартість яких більше  ніж  на  </w:t>
      </w:r>
      <w:r>
        <w:rPr>
          <w:color w:val="231F20"/>
          <w:sz w:val="16"/>
          <w:u w:val="single" w:color="231F20"/>
        </w:rPr>
        <w:t>6500</w:t>
      </w:r>
      <w:r>
        <w:rPr>
          <w:color w:val="231F20"/>
          <w:sz w:val="16"/>
        </w:rPr>
        <w:t xml:space="preserve">  неоподатковува-  них мінімумів доходів громадян перевищує її  законні  доходи.  Показово,  що  </w:t>
      </w:r>
      <w:r>
        <w:rPr>
          <w:color w:val="231F20"/>
          <w:spacing w:val="-5"/>
          <w:sz w:val="16"/>
        </w:rPr>
        <w:t xml:space="preserve">ст. </w:t>
      </w:r>
      <w:r>
        <w:rPr>
          <w:color w:val="231F20"/>
          <w:sz w:val="16"/>
        </w:rPr>
        <w:t>368-2 КК</w:t>
      </w:r>
      <w:r>
        <w:rPr>
          <w:color w:val="231F20"/>
          <w:spacing w:val="-7"/>
          <w:sz w:val="16"/>
        </w:rPr>
        <w:t xml:space="preserve"> </w:t>
      </w:r>
      <w:r>
        <w:rPr>
          <w:color w:val="231F20"/>
          <w:sz w:val="16"/>
        </w:rPr>
        <w:t>України</w:t>
      </w:r>
      <w:r>
        <w:rPr>
          <w:color w:val="231F20"/>
          <w:spacing w:val="-7"/>
          <w:sz w:val="16"/>
        </w:rPr>
        <w:t xml:space="preserve"> </w:t>
      </w:r>
      <w:r>
        <w:rPr>
          <w:color w:val="231F20"/>
          <w:sz w:val="16"/>
        </w:rPr>
        <w:t>(діяла</w:t>
      </w:r>
      <w:r>
        <w:rPr>
          <w:color w:val="231F20"/>
          <w:spacing w:val="-7"/>
          <w:sz w:val="16"/>
        </w:rPr>
        <w:t xml:space="preserve"> </w:t>
      </w:r>
      <w:r>
        <w:rPr>
          <w:color w:val="231F20"/>
          <w:sz w:val="16"/>
        </w:rPr>
        <w:t>до</w:t>
      </w:r>
      <w:r>
        <w:rPr>
          <w:color w:val="231F20"/>
          <w:spacing w:val="-7"/>
          <w:sz w:val="16"/>
        </w:rPr>
        <w:t xml:space="preserve"> </w:t>
      </w:r>
      <w:r>
        <w:rPr>
          <w:color w:val="231F20"/>
          <w:sz w:val="16"/>
        </w:rPr>
        <w:t>26</w:t>
      </w:r>
      <w:r>
        <w:rPr>
          <w:color w:val="231F20"/>
          <w:spacing w:val="-7"/>
          <w:sz w:val="16"/>
        </w:rPr>
        <w:t xml:space="preserve"> </w:t>
      </w:r>
      <w:r>
        <w:rPr>
          <w:color w:val="231F20"/>
          <w:sz w:val="16"/>
        </w:rPr>
        <w:t>лютого</w:t>
      </w:r>
      <w:r>
        <w:rPr>
          <w:color w:val="231F20"/>
          <w:spacing w:val="-7"/>
          <w:sz w:val="16"/>
        </w:rPr>
        <w:t xml:space="preserve"> </w:t>
      </w:r>
      <w:r>
        <w:rPr>
          <w:color w:val="231F20"/>
          <w:sz w:val="16"/>
        </w:rPr>
        <w:t>2019</w:t>
      </w:r>
      <w:r>
        <w:rPr>
          <w:color w:val="231F20"/>
          <w:spacing w:val="-7"/>
          <w:sz w:val="16"/>
        </w:rPr>
        <w:t xml:space="preserve"> </w:t>
      </w:r>
      <w:r>
        <w:rPr>
          <w:color w:val="231F20"/>
          <w:sz w:val="16"/>
        </w:rPr>
        <w:t>року)</w:t>
      </w:r>
      <w:r>
        <w:rPr>
          <w:color w:val="231F20"/>
          <w:spacing w:val="-7"/>
          <w:sz w:val="16"/>
        </w:rPr>
        <w:t xml:space="preserve"> </w:t>
      </w:r>
      <w:r>
        <w:rPr>
          <w:color w:val="231F20"/>
          <w:sz w:val="16"/>
        </w:rPr>
        <w:t>поч</w:t>
      </w:r>
      <w:r>
        <w:rPr>
          <w:color w:val="231F20"/>
          <w:sz w:val="16"/>
        </w:rPr>
        <w:t>инала</w:t>
      </w:r>
      <w:r>
        <w:rPr>
          <w:color w:val="231F20"/>
          <w:spacing w:val="-7"/>
          <w:sz w:val="16"/>
        </w:rPr>
        <w:t xml:space="preserve"> </w:t>
      </w:r>
      <w:r>
        <w:rPr>
          <w:color w:val="231F20"/>
          <w:sz w:val="16"/>
        </w:rPr>
        <w:t>кількісний</w:t>
      </w:r>
      <w:r>
        <w:rPr>
          <w:color w:val="231F20"/>
          <w:spacing w:val="-7"/>
          <w:sz w:val="16"/>
        </w:rPr>
        <w:t xml:space="preserve"> </w:t>
      </w:r>
      <w:r>
        <w:rPr>
          <w:color w:val="231F20"/>
          <w:sz w:val="16"/>
        </w:rPr>
        <w:t>вимір</w:t>
      </w:r>
      <w:r>
        <w:rPr>
          <w:color w:val="231F20"/>
          <w:spacing w:val="-7"/>
          <w:sz w:val="16"/>
        </w:rPr>
        <w:t xml:space="preserve"> </w:t>
      </w:r>
      <w:r>
        <w:rPr>
          <w:color w:val="231F20"/>
          <w:sz w:val="16"/>
        </w:rPr>
        <w:t>незаконного</w:t>
      </w:r>
      <w:r>
        <w:rPr>
          <w:color w:val="231F20"/>
          <w:spacing w:val="-7"/>
          <w:sz w:val="16"/>
        </w:rPr>
        <w:t xml:space="preserve"> </w:t>
      </w:r>
      <w:r>
        <w:rPr>
          <w:color w:val="231F20"/>
          <w:sz w:val="16"/>
        </w:rPr>
        <w:t>збага- чення</w:t>
      </w:r>
      <w:r>
        <w:rPr>
          <w:color w:val="231F20"/>
          <w:spacing w:val="-7"/>
          <w:sz w:val="16"/>
        </w:rPr>
        <w:t xml:space="preserve"> </w:t>
      </w:r>
      <w:r>
        <w:rPr>
          <w:color w:val="231F20"/>
          <w:sz w:val="16"/>
        </w:rPr>
        <w:t>з</w:t>
      </w:r>
      <w:r>
        <w:rPr>
          <w:color w:val="231F20"/>
          <w:spacing w:val="-7"/>
          <w:sz w:val="16"/>
        </w:rPr>
        <w:t xml:space="preserve"> </w:t>
      </w:r>
      <w:r>
        <w:rPr>
          <w:color w:val="231F20"/>
          <w:sz w:val="16"/>
          <w:u w:val="single" w:color="231F20"/>
        </w:rPr>
        <w:t>1000</w:t>
      </w:r>
      <w:r>
        <w:rPr>
          <w:color w:val="231F20"/>
          <w:spacing w:val="-7"/>
          <w:sz w:val="16"/>
        </w:rPr>
        <w:t xml:space="preserve"> </w:t>
      </w:r>
      <w:r>
        <w:rPr>
          <w:color w:val="231F20"/>
          <w:sz w:val="16"/>
        </w:rPr>
        <w:t>неоподатковуваних</w:t>
      </w:r>
      <w:r>
        <w:rPr>
          <w:color w:val="231F20"/>
          <w:spacing w:val="-7"/>
          <w:sz w:val="16"/>
        </w:rPr>
        <w:t xml:space="preserve"> </w:t>
      </w:r>
      <w:r>
        <w:rPr>
          <w:color w:val="231F20"/>
          <w:sz w:val="16"/>
        </w:rPr>
        <w:t>мінімумів</w:t>
      </w:r>
      <w:r>
        <w:rPr>
          <w:color w:val="231F20"/>
          <w:spacing w:val="-7"/>
          <w:sz w:val="16"/>
        </w:rPr>
        <w:t xml:space="preserve"> </w:t>
      </w:r>
      <w:r>
        <w:rPr>
          <w:color w:val="231F20"/>
          <w:sz w:val="16"/>
        </w:rPr>
        <w:t>доходів</w:t>
      </w:r>
      <w:r>
        <w:rPr>
          <w:color w:val="231F20"/>
          <w:spacing w:val="-7"/>
          <w:sz w:val="16"/>
        </w:rPr>
        <w:t xml:space="preserve"> </w:t>
      </w:r>
      <w:r>
        <w:rPr>
          <w:color w:val="231F20"/>
          <w:sz w:val="16"/>
        </w:rPr>
        <w:t>громадян.</w:t>
      </w:r>
      <w:r>
        <w:rPr>
          <w:color w:val="231F20"/>
          <w:spacing w:val="-7"/>
          <w:sz w:val="16"/>
        </w:rPr>
        <w:t xml:space="preserve"> </w:t>
      </w:r>
      <w:r>
        <w:rPr>
          <w:color w:val="231F20"/>
          <w:sz w:val="16"/>
        </w:rPr>
        <w:t>Кратне</w:t>
      </w:r>
      <w:r>
        <w:rPr>
          <w:color w:val="231F20"/>
          <w:spacing w:val="-7"/>
          <w:sz w:val="16"/>
        </w:rPr>
        <w:t xml:space="preserve"> </w:t>
      </w:r>
      <w:r>
        <w:rPr>
          <w:color w:val="231F20"/>
          <w:sz w:val="16"/>
        </w:rPr>
        <w:t>збільшення</w:t>
      </w:r>
      <w:r>
        <w:rPr>
          <w:color w:val="231F20"/>
          <w:spacing w:val="-7"/>
          <w:sz w:val="16"/>
        </w:rPr>
        <w:t xml:space="preserve"> </w:t>
      </w:r>
      <w:r>
        <w:rPr>
          <w:color w:val="231F20"/>
          <w:sz w:val="16"/>
        </w:rPr>
        <w:t xml:space="preserve">«дозво- леного» (не караного кримінально) збагачення понад законні </w:t>
      </w:r>
      <w:r>
        <w:rPr>
          <w:color w:val="231F20"/>
          <w:spacing w:val="-3"/>
          <w:sz w:val="16"/>
        </w:rPr>
        <w:t xml:space="preserve">доходи </w:t>
      </w:r>
      <w:r>
        <w:rPr>
          <w:color w:val="231F20"/>
          <w:sz w:val="16"/>
        </w:rPr>
        <w:t>вважаємо негатив- ною законодавчою</w:t>
      </w:r>
      <w:r>
        <w:rPr>
          <w:color w:val="231F20"/>
          <w:spacing w:val="-1"/>
          <w:sz w:val="16"/>
        </w:rPr>
        <w:t xml:space="preserve"> </w:t>
      </w:r>
      <w:r>
        <w:rPr>
          <w:color w:val="231F20"/>
          <w:sz w:val="16"/>
        </w:rPr>
        <w:t>тенденцією.</w:t>
      </w:r>
    </w:p>
    <w:p w14:paraId="1D34F21A" w14:textId="77777777" w:rsidR="00DE575E" w:rsidRDefault="002E7560">
      <w:pPr>
        <w:spacing w:before="32" w:line="204" w:lineRule="auto"/>
        <w:ind w:left="250" w:right="411"/>
        <w:jc w:val="both"/>
        <w:rPr>
          <w:sz w:val="16"/>
        </w:rPr>
      </w:pPr>
      <w:r>
        <w:rPr>
          <w:color w:val="231F20"/>
          <w:position w:val="5"/>
          <w:sz w:val="9"/>
        </w:rPr>
        <w:t xml:space="preserve">3 </w:t>
      </w:r>
      <w:r>
        <w:rPr>
          <w:color w:val="231F20"/>
          <w:sz w:val="16"/>
        </w:rPr>
        <w:t>Зміна майновог</w:t>
      </w:r>
      <w:r>
        <w:rPr>
          <w:color w:val="231F20"/>
          <w:sz w:val="16"/>
        </w:rPr>
        <w:t>о стану вважається суттєвою, якщо її розмір перевищує 50 прожитко- вих мінімумів для працездатних осіб на 1 січня відповідного року.</w:t>
      </w:r>
    </w:p>
    <w:p w14:paraId="1338973B" w14:textId="77777777" w:rsidR="00DE575E" w:rsidRDefault="00DE575E">
      <w:pPr>
        <w:pStyle w:val="BodyText"/>
        <w:spacing w:before="5"/>
        <w:rPr>
          <w:sz w:val="12"/>
        </w:rPr>
      </w:pPr>
    </w:p>
    <w:p w14:paraId="7D0E665B" w14:textId="77777777" w:rsidR="00DE575E" w:rsidRDefault="002E7560">
      <w:pPr>
        <w:spacing w:before="91"/>
        <w:ind w:right="411"/>
        <w:jc w:val="right"/>
        <w:rPr>
          <w:rFonts w:ascii="Times New Roman"/>
          <w:sz w:val="20"/>
        </w:rPr>
      </w:pPr>
      <w:r>
        <w:rPr>
          <w:rFonts w:ascii="Times New Roman"/>
          <w:color w:val="231F20"/>
          <w:w w:val="90"/>
          <w:sz w:val="20"/>
        </w:rPr>
        <w:t>435</w:t>
      </w:r>
    </w:p>
    <w:p w14:paraId="2C79AC8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2DD112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5E8225F" w14:textId="2D2B012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DBF48A7" wp14:editId="17B245C3">
                <wp:extent cx="4140200" cy="6350"/>
                <wp:effectExtent l="0" t="0" r="12700" b="6350"/>
                <wp:docPr id="30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02" name="Line 30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152E6B" id="Group_x0020_30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B21bEH4CAACYBQAADgAA&#10;AAAAAAAAAAAAAAAsAgAAZHJzL2Uyb0RvYy54bWxQSwECLQAUAAYACAAAACEATKewkNkAAAADAQAA&#10;DwAAAAAAAAAAAAAAAADWBAAAZHJzL2Rvd25yZXYueG1sUEsFBgAAAAAEAAQA8wAAANwFAAAAAA==&#10;">
                <v:line id="Line_x0020_30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4ceMUAAADcAAAADwAAAGRycy9kb3ducmV2LnhtbESP0WrCQBRE3wv9h+UWfCl1owGR1FWK&#10;IIgPWk0/4Jq9TUJ378bsaqJf3xUEH4eZOcPMFr014kKtrx0rGA0TEMSF0zWXCn7y1ccUhA/IGo1j&#10;UnAlD4v568sMM+063tPlEEoRIewzVFCF0GRS+qIii37oGuLo/brWYoiyLaVusYtwa+Q4SSbSYs1x&#10;ocKGlhUVf4ezVZCf3oP53m1Ml++OqTyetuntvFVq8NZ/fYII1Idn+NFeawVpMob7mXgE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d4ceMUAAADcAAAADwAAAAAAAAAA&#10;AAAAAAChAgAAZHJzL2Rvd25yZXYueG1sUEsFBgAAAAAEAAQA+QAAAJMDAAAAAA==&#10;" strokecolor="#231f20" strokeweight=".5pt"/>
                <w10:anchorlock/>
              </v:group>
            </w:pict>
          </mc:Fallback>
        </mc:AlternateContent>
      </w:r>
    </w:p>
    <w:p w14:paraId="357B4D23" w14:textId="77777777" w:rsidR="00DE575E" w:rsidRDefault="00DE575E">
      <w:pPr>
        <w:pStyle w:val="BodyText"/>
        <w:spacing w:before="7"/>
        <w:rPr>
          <w:rFonts w:ascii="AdonisC"/>
          <w:i/>
          <w:sz w:val="11"/>
        </w:rPr>
      </w:pPr>
    </w:p>
    <w:p w14:paraId="564AFB26" w14:textId="77777777" w:rsidR="00DE575E" w:rsidRDefault="002E7560">
      <w:pPr>
        <w:pStyle w:val="BodyText"/>
        <w:spacing w:before="101" w:line="252" w:lineRule="auto"/>
        <w:ind w:left="533" w:right="128" w:firstLine="283"/>
        <w:jc w:val="both"/>
      </w:pPr>
      <w:r>
        <w:rPr>
          <w:color w:val="231F20"/>
          <w:spacing w:val="-9"/>
        </w:rPr>
        <w:t xml:space="preserve">Ст. </w:t>
      </w:r>
      <w:r>
        <w:rPr>
          <w:color w:val="231F20"/>
          <w:spacing w:val="-4"/>
        </w:rPr>
        <w:t xml:space="preserve">172-6 </w:t>
      </w:r>
      <w:r>
        <w:rPr>
          <w:color w:val="231F20"/>
          <w:spacing w:val="-7"/>
        </w:rPr>
        <w:t xml:space="preserve">КУпАП </w:t>
      </w:r>
      <w:r>
        <w:rPr>
          <w:color w:val="231F20"/>
          <w:spacing w:val="-5"/>
        </w:rPr>
        <w:t xml:space="preserve">передбачає адміністративну відповідальність за несвоєчасне подання </w:t>
      </w:r>
      <w:r>
        <w:rPr>
          <w:color w:val="231F20"/>
          <w:spacing w:val="-4"/>
        </w:rPr>
        <w:t xml:space="preserve">без </w:t>
      </w:r>
      <w:r>
        <w:rPr>
          <w:color w:val="231F20"/>
          <w:spacing w:val="-5"/>
        </w:rPr>
        <w:t xml:space="preserve">поважних причин декларації, неповідом- </w:t>
      </w:r>
      <w:r>
        <w:rPr>
          <w:color w:val="231F20"/>
          <w:spacing w:val="-4"/>
        </w:rPr>
        <w:t>лення</w:t>
      </w:r>
      <w:r>
        <w:rPr>
          <w:color w:val="231F20"/>
          <w:spacing w:val="-17"/>
        </w:rPr>
        <w:t xml:space="preserve"> </w:t>
      </w:r>
      <w:r>
        <w:rPr>
          <w:color w:val="231F20"/>
          <w:spacing w:val="-4"/>
        </w:rPr>
        <w:t>або</w:t>
      </w:r>
      <w:r>
        <w:rPr>
          <w:color w:val="231F20"/>
          <w:spacing w:val="-17"/>
        </w:rPr>
        <w:t xml:space="preserve"> </w:t>
      </w:r>
      <w:r>
        <w:rPr>
          <w:color w:val="231F20"/>
          <w:spacing w:val="-5"/>
        </w:rPr>
        <w:t>несвоєчасне</w:t>
      </w:r>
      <w:r>
        <w:rPr>
          <w:color w:val="231F20"/>
          <w:spacing w:val="-16"/>
        </w:rPr>
        <w:t xml:space="preserve"> </w:t>
      </w:r>
      <w:r>
        <w:rPr>
          <w:color w:val="231F20"/>
          <w:spacing w:val="-5"/>
        </w:rPr>
        <w:t>повідомлення</w:t>
      </w:r>
      <w:r>
        <w:rPr>
          <w:color w:val="231F20"/>
          <w:spacing w:val="-16"/>
        </w:rPr>
        <w:t xml:space="preserve"> </w:t>
      </w:r>
      <w:r>
        <w:rPr>
          <w:color w:val="231F20"/>
          <w:spacing w:val="-4"/>
        </w:rPr>
        <w:t>про</w:t>
      </w:r>
      <w:r>
        <w:rPr>
          <w:color w:val="231F20"/>
          <w:spacing w:val="-16"/>
        </w:rPr>
        <w:t xml:space="preserve"> </w:t>
      </w:r>
      <w:r>
        <w:rPr>
          <w:color w:val="231F20"/>
          <w:spacing w:val="-5"/>
        </w:rPr>
        <w:t>відкриття</w:t>
      </w:r>
      <w:r>
        <w:rPr>
          <w:color w:val="231F20"/>
          <w:spacing w:val="-16"/>
        </w:rPr>
        <w:t xml:space="preserve"> </w:t>
      </w:r>
      <w:r>
        <w:rPr>
          <w:color w:val="231F20"/>
          <w:spacing w:val="-5"/>
        </w:rPr>
        <w:t>валютного</w:t>
      </w:r>
      <w:r>
        <w:rPr>
          <w:color w:val="231F20"/>
          <w:spacing w:val="-16"/>
        </w:rPr>
        <w:t xml:space="preserve"> </w:t>
      </w:r>
      <w:r>
        <w:rPr>
          <w:color w:val="231F20"/>
          <w:spacing w:val="-5"/>
        </w:rPr>
        <w:t xml:space="preserve">рахунка </w:t>
      </w:r>
      <w:r>
        <w:rPr>
          <w:color w:val="231F20"/>
        </w:rPr>
        <w:t xml:space="preserve">в </w:t>
      </w:r>
      <w:r>
        <w:rPr>
          <w:color w:val="231F20"/>
          <w:spacing w:val="-5"/>
        </w:rPr>
        <w:t>установі банку-нерезиден</w:t>
      </w:r>
      <w:r>
        <w:rPr>
          <w:color w:val="231F20"/>
          <w:spacing w:val="-5"/>
        </w:rPr>
        <w:t xml:space="preserve">та </w:t>
      </w:r>
      <w:r>
        <w:rPr>
          <w:color w:val="231F20"/>
          <w:spacing w:val="-4"/>
        </w:rPr>
        <w:t xml:space="preserve">або про суттєві зміни </w:t>
      </w:r>
      <w:r>
        <w:rPr>
          <w:color w:val="231F20"/>
        </w:rPr>
        <w:t xml:space="preserve">в </w:t>
      </w:r>
      <w:r>
        <w:rPr>
          <w:color w:val="231F20"/>
          <w:spacing w:val="-5"/>
        </w:rPr>
        <w:t xml:space="preserve">майновому стані </w:t>
      </w:r>
      <w:r>
        <w:rPr>
          <w:color w:val="231F20"/>
          <w:spacing w:val="-3"/>
        </w:rPr>
        <w:t xml:space="preserve">та за </w:t>
      </w:r>
      <w:r>
        <w:rPr>
          <w:color w:val="231F20"/>
          <w:spacing w:val="-5"/>
        </w:rPr>
        <w:t xml:space="preserve">подання завідомо недостовірних відомостей </w:t>
      </w:r>
      <w:r>
        <w:rPr>
          <w:color w:val="231F20"/>
        </w:rPr>
        <w:t xml:space="preserve">у </w:t>
      </w:r>
      <w:r>
        <w:rPr>
          <w:color w:val="231F20"/>
          <w:spacing w:val="-4"/>
        </w:rPr>
        <w:t xml:space="preserve">декларації </w:t>
      </w:r>
      <w:r>
        <w:rPr>
          <w:color w:val="231F20"/>
          <w:spacing w:val="-5"/>
        </w:rPr>
        <w:t xml:space="preserve">(якщо подані відомості відрізняються </w:t>
      </w:r>
      <w:r>
        <w:rPr>
          <w:color w:val="231F20"/>
          <w:spacing w:val="-4"/>
        </w:rPr>
        <w:t xml:space="preserve">від </w:t>
      </w:r>
      <w:r>
        <w:rPr>
          <w:color w:val="231F20"/>
          <w:spacing w:val="-5"/>
        </w:rPr>
        <w:t xml:space="preserve">достовірних </w:t>
      </w:r>
      <w:r>
        <w:rPr>
          <w:color w:val="231F20"/>
          <w:spacing w:val="-3"/>
        </w:rPr>
        <w:t xml:space="preserve">на </w:t>
      </w:r>
      <w:r>
        <w:rPr>
          <w:color w:val="231F20"/>
          <w:spacing w:val="-5"/>
        </w:rPr>
        <w:t>100-250</w:t>
      </w:r>
      <w:r>
        <w:rPr>
          <w:color w:val="231F20"/>
          <w:spacing w:val="-5"/>
          <w:position w:val="7"/>
          <w:sz w:val="12"/>
        </w:rPr>
        <w:t xml:space="preserve">1 </w:t>
      </w:r>
      <w:r>
        <w:rPr>
          <w:color w:val="231F20"/>
          <w:spacing w:val="-5"/>
        </w:rPr>
        <w:t xml:space="preserve">прожитко- </w:t>
      </w:r>
      <w:r>
        <w:rPr>
          <w:color w:val="231F20"/>
          <w:spacing w:val="-4"/>
        </w:rPr>
        <w:t>вих</w:t>
      </w:r>
      <w:r>
        <w:rPr>
          <w:color w:val="231F20"/>
          <w:spacing w:val="-9"/>
        </w:rPr>
        <w:t xml:space="preserve"> </w:t>
      </w:r>
      <w:r>
        <w:rPr>
          <w:color w:val="231F20"/>
          <w:spacing w:val="-5"/>
        </w:rPr>
        <w:t>мінімумів</w:t>
      </w:r>
      <w:r>
        <w:rPr>
          <w:color w:val="231F20"/>
          <w:spacing w:val="-9"/>
        </w:rPr>
        <w:t xml:space="preserve"> </w:t>
      </w:r>
      <w:r>
        <w:rPr>
          <w:color w:val="231F20"/>
        </w:rPr>
        <w:t>для</w:t>
      </w:r>
      <w:r>
        <w:rPr>
          <w:color w:val="231F20"/>
          <w:spacing w:val="-9"/>
        </w:rPr>
        <w:t xml:space="preserve"> </w:t>
      </w:r>
      <w:r>
        <w:rPr>
          <w:color w:val="231F20"/>
          <w:spacing w:val="-5"/>
        </w:rPr>
        <w:t>працездатних</w:t>
      </w:r>
      <w:r>
        <w:rPr>
          <w:color w:val="231F20"/>
          <w:spacing w:val="-9"/>
        </w:rPr>
        <w:t xml:space="preserve"> </w:t>
      </w:r>
      <w:r>
        <w:rPr>
          <w:color w:val="231F20"/>
          <w:spacing w:val="-4"/>
        </w:rPr>
        <w:t>осіб</w:t>
      </w:r>
      <w:r>
        <w:rPr>
          <w:color w:val="231F20"/>
          <w:spacing w:val="-9"/>
        </w:rPr>
        <w:t xml:space="preserve"> </w:t>
      </w:r>
      <w:r>
        <w:rPr>
          <w:color w:val="231F20"/>
          <w:spacing w:val="-3"/>
        </w:rPr>
        <w:t>на</w:t>
      </w:r>
      <w:r>
        <w:rPr>
          <w:color w:val="231F20"/>
          <w:spacing w:val="-9"/>
        </w:rPr>
        <w:t xml:space="preserve"> </w:t>
      </w:r>
      <w:r>
        <w:rPr>
          <w:color w:val="231F20"/>
        </w:rPr>
        <w:t>1</w:t>
      </w:r>
      <w:r>
        <w:rPr>
          <w:color w:val="231F20"/>
          <w:spacing w:val="-9"/>
        </w:rPr>
        <w:t xml:space="preserve"> </w:t>
      </w:r>
      <w:r>
        <w:rPr>
          <w:color w:val="231F20"/>
          <w:spacing w:val="-4"/>
        </w:rPr>
        <w:t>січня</w:t>
      </w:r>
      <w:r>
        <w:rPr>
          <w:color w:val="231F20"/>
          <w:spacing w:val="-9"/>
        </w:rPr>
        <w:t xml:space="preserve"> </w:t>
      </w:r>
      <w:r>
        <w:rPr>
          <w:color w:val="231F20"/>
          <w:spacing w:val="-5"/>
        </w:rPr>
        <w:t>звітного</w:t>
      </w:r>
      <w:r>
        <w:rPr>
          <w:color w:val="231F20"/>
          <w:spacing w:val="-9"/>
        </w:rPr>
        <w:t xml:space="preserve"> </w:t>
      </w:r>
      <w:r>
        <w:rPr>
          <w:color w:val="231F20"/>
          <w:spacing w:val="-5"/>
        </w:rPr>
        <w:t>року).</w:t>
      </w:r>
    </w:p>
    <w:p w14:paraId="1591CCEE" w14:textId="77777777" w:rsidR="00DE575E" w:rsidRDefault="002E7560">
      <w:pPr>
        <w:pStyle w:val="BodyText"/>
        <w:spacing w:before="3" w:line="252" w:lineRule="auto"/>
        <w:ind w:left="533" w:right="126" w:firstLine="283"/>
        <w:jc w:val="both"/>
      </w:pPr>
      <w:r>
        <w:rPr>
          <w:color w:val="231F20"/>
        </w:rPr>
        <w:t xml:space="preserve">Несвоєчасне подання декларації створює склад адміністратив- ного проступку лише </w:t>
      </w:r>
      <w:r>
        <w:rPr>
          <w:i/>
          <w:color w:val="231F20"/>
        </w:rPr>
        <w:t xml:space="preserve">за відсутності поважних причин </w:t>
      </w:r>
      <w:r>
        <w:rPr>
          <w:color w:val="231F20"/>
        </w:rPr>
        <w:t>такого непо- дання.</w:t>
      </w:r>
      <w:r>
        <w:rPr>
          <w:color w:val="231F20"/>
          <w:spacing w:val="-12"/>
        </w:rPr>
        <w:t xml:space="preserve"> </w:t>
      </w:r>
      <w:r>
        <w:rPr>
          <w:color w:val="231F20"/>
        </w:rPr>
        <w:t>«Поважні</w:t>
      </w:r>
      <w:r>
        <w:rPr>
          <w:color w:val="231F20"/>
          <w:spacing w:val="-12"/>
        </w:rPr>
        <w:t xml:space="preserve"> </w:t>
      </w:r>
      <w:r>
        <w:rPr>
          <w:color w:val="231F20"/>
        </w:rPr>
        <w:t>причини»</w:t>
      </w:r>
      <w:r>
        <w:rPr>
          <w:color w:val="231F20"/>
          <w:spacing w:val="-12"/>
        </w:rPr>
        <w:t xml:space="preserve"> </w:t>
      </w:r>
      <w:r>
        <w:rPr>
          <w:color w:val="231F20"/>
        </w:rPr>
        <w:t>–</w:t>
      </w:r>
      <w:r>
        <w:rPr>
          <w:color w:val="231F20"/>
          <w:spacing w:val="-12"/>
        </w:rPr>
        <w:t xml:space="preserve"> </w:t>
      </w:r>
      <w:r>
        <w:rPr>
          <w:color w:val="231F20"/>
        </w:rPr>
        <w:t>оцінне</w:t>
      </w:r>
      <w:r>
        <w:rPr>
          <w:color w:val="231F20"/>
          <w:spacing w:val="-12"/>
        </w:rPr>
        <w:t xml:space="preserve"> </w:t>
      </w:r>
      <w:r>
        <w:rPr>
          <w:color w:val="231F20"/>
        </w:rPr>
        <w:t>поняття,</w:t>
      </w:r>
      <w:r>
        <w:rPr>
          <w:color w:val="231F20"/>
          <w:spacing w:val="-12"/>
        </w:rPr>
        <w:t xml:space="preserve"> </w:t>
      </w:r>
      <w:r>
        <w:rPr>
          <w:color w:val="231F20"/>
        </w:rPr>
        <w:t>зміст</w:t>
      </w:r>
      <w:r>
        <w:rPr>
          <w:color w:val="231F20"/>
          <w:spacing w:val="-12"/>
        </w:rPr>
        <w:t xml:space="preserve"> </w:t>
      </w:r>
      <w:r>
        <w:rPr>
          <w:color w:val="231F20"/>
        </w:rPr>
        <w:t>якого</w:t>
      </w:r>
      <w:r>
        <w:rPr>
          <w:color w:val="231F20"/>
          <w:spacing w:val="-12"/>
        </w:rPr>
        <w:t xml:space="preserve"> </w:t>
      </w:r>
      <w:r>
        <w:rPr>
          <w:color w:val="231F20"/>
        </w:rPr>
        <w:t>не</w:t>
      </w:r>
      <w:r>
        <w:rPr>
          <w:color w:val="231F20"/>
          <w:spacing w:val="-12"/>
        </w:rPr>
        <w:t xml:space="preserve"> </w:t>
      </w:r>
      <w:r>
        <w:rPr>
          <w:color w:val="231F20"/>
        </w:rPr>
        <w:t xml:space="preserve">деталізу- ється в </w:t>
      </w:r>
      <w:r>
        <w:rPr>
          <w:color w:val="231F20"/>
          <w:spacing w:val="-3"/>
        </w:rPr>
        <w:t xml:space="preserve">КУпАП </w:t>
      </w:r>
      <w:r>
        <w:rPr>
          <w:color w:val="231F20"/>
        </w:rPr>
        <w:t>та законодавстві про запобігання корупції; його сл</w:t>
      </w:r>
      <w:r>
        <w:rPr>
          <w:color w:val="231F20"/>
        </w:rPr>
        <w:t xml:space="preserve">ід уважати таким, що віддане законодавцем на </w:t>
      </w:r>
      <w:r>
        <w:rPr>
          <w:color w:val="231F20"/>
          <w:spacing w:val="-3"/>
        </w:rPr>
        <w:t xml:space="preserve">розсуд </w:t>
      </w:r>
      <w:r>
        <w:rPr>
          <w:color w:val="231F20"/>
        </w:rPr>
        <w:t>правозастосов- ного</w:t>
      </w:r>
      <w:r>
        <w:rPr>
          <w:color w:val="231F20"/>
          <w:spacing w:val="-8"/>
        </w:rPr>
        <w:t xml:space="preserve"> </w:t>
      </w:r>
      <w:r>
        <w:rPr>
          <w:color w:val="231F20"/>
        </w:rPr>
        <w:t>органу</w:t>
      </w:r>
      <w:r>
        <w:rPr>
          <w:color w:val="231F20"/>
          <w:spacing w:val="-8"/>
        </w:rPr>
        <w:t xml:space="preserve"> </w:t>
      </w:r>
      <w:r>
        <w:rPr>
          <w:color w:val="231F20"/>
          <w:spacing w:val="-3"/>
        </w:rPr>
        <w:t>(суду)</w:t>
      </w:r>
      <w:r>
        <w:rPr>
          <w:color w:val="231F20"/>
          <w:spacing w:val="-8"/>
        </w:rPr>
        <w:t xml:space="preserve"> </w:t>
      </w:r>
      <w:r>
        <w:rPr>
          <w:color w:val="231F20"/>
        </w:rPr>
        <w:t>і</w:t>
      </w:r>
      <w:r>
        <w:rPr>
          <w:color w:val="231F20"/>
          <w:spacing w:val="-8"/>
        </w:rPr>
        <w:t xml:space="preserve"> </w:t>
      </w:r>
      <w:r>
        <w:rPr>
          <w:color w:val="231F20"/>
        </w:rPr>
        <w:t>має</w:t>
      </w:r>
      <w:r>
        <w:rPr>
          <w:color w:val="231F20"/>
          <w:spacing w:val="-8"/>
        </w:rPr>
        <w:t xml:space="preserve"> </w:t>
      </w:r>
      <w:r>
        <w:rPr>
          <w:color w:val="231F20"/>
        </w:rPr>
        <w:t>трактуватися</w:t>
      </w:r>
      <w:r>
        <w:rPr>
          <w:color w:val="231F20"/>
          <w:spacing w:val="-8"/>
        </w:rPr>
        <w:t xml:space="preserve"> </w:t>
      </w:r>
      <w:r>
        <w:rPr>
          <w:color w:val="231F20"/>
        </w:rPr>
        <w:t>останнім,</w:t>
      </w:r>
      <w:r>
        <w:rPr>
          <w:color w:val="231F20"/>
          <w:spacing w:val="-8"/>
        </w:rPr>
        <w:t xml:space="preserve"> </w:t>
      </w:r>
      <w:r>
        <w:rPr>
          <w:color w:val="231F20"/>
        </w:rPr>
        <w:t>виходячи</w:t>
      </w:r>
      <w:r>
        <w:rPr>
          <w:color w:val="231F20"/>
          <w:spacing w:val="-8"/>
        </w:rPr>
        <w:t xml:space="preserve"> </w:t>
      </w:r>
      <w:r>
        <w:rPr>
          <w:color w:val="231F20"/>
        </w:rPr>
        <w:t>з</w:t>
      </w:r>
      <w:r>
        <w:rPr>
          <w:color w:val="231F20"/>
          <w:spacing w:val="-8"/>
        </w:rPr>
        <w:t xml:space="preserve"> </w:t>
      </w:r>
      <w:r>
        <w:rPr>
          <w:color w:val="231F20"/>
        </w:rPr>
        <w:t>обставин розглядуваної справи. Загалом же поважною причиною може бути визнано неспроможність особи подати вчасно декларацію у зв’я</w:t>
      </w:r>
      <w:r>
        <w:rPr>
          <w:color w:val="231F20"/>
        </w:rPr>
        <w:t>зку з хворобою, перебуванням на лікуванні, унаслідок стихійного лиха, технічних збоїв офіційного веб-сайту НАЗК, витребуванням відомо- стей,</w:t>
      </w:r>
      <w:r>
        <w:rPr>
          <w:color w:val="231F20"/>
          <w:spacing w:val="-15"/>
        </w:rPr>
        <w:t xml:space="preserve"> </w:t>
      </w:r>
      <w:r>
        <w:rPr>
          <w:color w:val="231F20"/>
        </w:rPr>
        <w:t>необхідних</w:t>
      </w:r>
      <w:r>
        <w:rPr>
          <w:color w:val="231F20"/>
          <w:spacing w:val="-15"/>
        </w:rPr>
        <w:t xml:space="preserve"> </w:t>
      </w:r>
      <w:r>
        <w:rPr>
          <w:color w:val="231F20"/>
        </w:rPr>
        <w:t>для</w:t>
      </w:r>
      <w:r>
        <w:rPr>
          <w:color w:val="231F20"/>
          <w:spacing w:val="-15"/>
        </w:rPr>
        <w:t xml:space="preserve"> </w:t>
      </w:r>
      <w:r>
        <w:rPr>
          <w:color w:val="231F20"/>
        </w:rPr>
        <w:t>внесення</w:t>
      </w:r>
      <w:r>
        <w:rPr>
          <w:color w:val="231F20"/>
          <w:spacing w:val="-16"/>
        </w:rPr>
        <w:t xml:space="preserve"> </w:t>
      </w:r>
      <w:r>
        <w:rPr>
          <w:color w:val="231F20"/>
        </w:rPr>
        <w:t>в</w:t>
      </w:r>
      <w:r>
        <w:rPr>
          <w:color w:val="231F20"/>
          <w:spacing w:val="-16"/>
        </w:rPr>
        <w:t xml:space="preserve"> </w:t>
      </w:r>
      <w:r>
        <w:rPr>
          <w:color w:val="231F20"/>
        </w:rPr>
        <w:t>декларацію,</w:t>
      </w:r>
      <w:r>
        <w:rPr>
          <w:color w:val="231F20"/>
          <w:spacing w:val="-15"/>
        </w:rPr>
        <w:t xml:space="preserve"> </w:t>
      </w:r>
      <w:r>
        <w:rPr>
          <w:color w:val="231F20"/>
        </w:rPr>
        <w:t>перебуванням</w:t>
      </w:r>
      <w:r>
        <w:rPr>
          <w:color w:val="231F20"/>
          <w:spacing w:val="-15"/>
        </w:rPr>
        <w:t xml:space="preserve"> </w:t>
      </w:r>
      <w:r>
        <w:rPr>
          <w:color w:val="231F20"/>
        </w:rPr>
        <w:t>(триман- ням) під вартою</w:t>
      </w:r>
      <w:r>
        <w:rPr>
          <w:color w:val="231F20"/>
          <w:spacing w:val="-1"/>
        </w:rPr>
        <w:t xml:space="preserve"> </w:t>
      </w:r>
      <w:r>
        <w:rPr>
          <w:color w:val="231F20"/>
        </w:rPr>
        <w:t>тощо.</w:t>
      </w:r>
    </w:p>
    <w:p w14:paraId="156F7E10" w14:textId="77777777" w:rsidR="00DE575E" w:rsidRDefault="002E7560">
      <w:pPr>
        <w:pStyle w:val="BodyText"/>
        <w:spacing w:before="6" w:line="252" w:lineRule="auto"/>
        <w:ind w:left="533" w:right="127" w:firstLine="283"/>
        <w:jc w:val="both"/>
      </w:pPr>
      <w:r>
        <w:rPr>
          <w:color w:val="231F20"/>
        </w:rPr>
        <w:t>При цьому щодо кожної потенційно поважної причини під час правозастосування має бути встановлено:</w:t>
      </w:r>
    </w:p>
    <w:p w14:paraId="7143D6BE" w14:textId="77777777" w:rsidR="00DE575E" w:rsidRDefault="002E7560">
      <w:pPr>
        <w:pStyle w:val="ListParagraph"/>
        <w:numPr>
          <w:ilvl w:val="0"/>
          <w:numId w:val="57"/>
        </w:numPr>
        <w:tabs>
          <w:tab w:val="left" w:pos="1101"/>
        </w:tabs>
        <w:ind w:firstLine="284"/>
        <w:jc w:val="left"/>
        <w:rPr>
          <w:sz w:val="21"/>
        </w:rPr>
      </w:pPr>
      <w:r>
        <w:rPr>
          <w:color w:val="231F20"/>
          <w:sz w:val="21"/>
        </w:rPr>
        <w:t xml:space="preserve">її </w:t>
      </w:r>
      <w:r>
        <w:rPr>
          <w:i/>
          <w:color w:val="231F20"/>
          <w:sz w:val="21"/>
        </w:rPr>
        <w:t xml:space="preserve">реальну наявність </w:t>
      </w:r>
      <w:r>
        <w:rPr>
          <w:color w:val="231F20"/>
          <w:sz w:val="21"/>
        </w:rPr>
        <w:t>у конкретних життєвих</w:t>
      </w:r>
      <w:r>
        <w:rPr>
          <w:color w:val="231F20"/>
          <w:spacing w:val="-7"/>
          <w:sz w:val="21"/>
        </w:rPr>
        <w:t xml:space="preserve"> </w:t>
      </w:r>
      <w:r>
        <w:rPr>
          <w:color w:val="231F20"/>
          <w:sz w:val="21"/>
        </w:rPr>
        <w:t>обставинах;</w:t>
      </w:r>
    </w:p>
    <w:p w14:paraId="52923A4C" w14:textId="77777777" w:rsidR="00DE575E" w:rsidRDefault="002E7560">
      <w:pPr>
        <w:pStyle w:val="ListParagraph"/>
        <w:numPr>
          <w:ilvl w:val="0"/>
          <w:numId w:val="57"/>
        </w:numPr>
        <w:tabs>
          <w:tab w:val="left" w:pos="1101"/>
        </w:tabs>
        <w:spacing w:before="13" w:line="252" w:lineRule="auto"/>
        <w:ind w:right="128" w:firstLine="284"/>
        <w:rPr>
          <w:sz w:val="21"/>
        </w:rPr>
      </w:pPr>
      <w:r>
        <w:rPr>
          <w:color w:val="231F20"/>
          <w:sz w:val="21"/>
        </w:rPr>
        <w:t>її</w:t>
      </w:r>
      <w:r>
        <w:rPr>
          <w:color w:val="231F20"/>
          <w:spacing w:val="-18"/>
          <w:sz w:val="21"/>
        </w:rPr>
        <w:t xml:space="preserve"> </w:t>
      </w:r>
      <w:r>
        <w:rPr>
          <w:i/>
          <w:color w:val="231F20"/>
          <w:sz w:val="21"/>
        </w:rPr>
        <w:t>реальний</w:t>
      </w:r>
      <w:r>
        <w:rPr>
          <w:i/>
          <w:color w:val="231F20"/>
          <w:spacing w:val="-18"/>
          <w:sz w:val="21"/>
        </w:rPr>
        <w:t xml:space="preserve"> </w:t>
      </w:r>
      <w:r>
        <w:rPr>
          <w:i/>
          <w:color w:val="231F20"/>
          <w:sz w:val="21"/>
        </w:rPr>
        <w:t>вплив</w:t>
      </w:r>
      <w:r>
        <w:rPr>
          <w:i/>
          <w:color w:val="231F20"/>
          <w:spacing w:val="-18"/>
          <w:sz w:val="21"/>
        </w:rPr>
        <w:t xml:space="preserve"> </w:t>
      </w:r>
      <w:r>
        <w:rPr>
          <w:color w:val="231F20"/>
          <w:sz w:val="21"/>
        </w:rPr>
        <w:t>на</w:t>
      </w:r>
      <w:r>
        <w:rPr>
          <w:color w:val="231F20"/>
          <w:spacing w:val="-18"/>
          <w:sz w:val="21"/>
        </w:rPr>
        <w:t xml:space="preserve"> </w:t>
      </w:r>
      <w:r>
        <w:rPr>
          <w:color w:val="231F20"/>
          <w:sz w:val="21"/>
        </w:rPr>
        <w:t>можливість</w:t>
      </w:r>
      <w:r>
        <w:rPr>
          <w:color w:val="231F20"/>
          <w:spacing w:val="-18"/>
          <w:sz w:val="21"/>
        </w:rPr>
        <w:t xml:space="preserve"> </w:t>
      </w:r>
      <w:r>
        <w:rPr>
          <w:color w:val="231F20"/>
          <w:sz w:val="21"/>
        </w:rPr>
        <w:t>конкретної</w:t>
      </w:r>
      <w:r>
        <w:rPr>
          <w:color w:val="231F20"/>
          <w:spacing w:val="-18"/>
          <w:sz w:val="21"/>
        </w:rPr>
        <w:t xml:space="preserve"> </w:t>
      </w:r>
      <w:r>
        <w:rPr>
          <w:color w:val="231F20"/>
          <w:sz w:val="21"/>
        </w:rPr>
        <w:t>людини</w:t>
      </w:r>
      <w:r>
        <w:rPr>
          <w:color w:val="231F20"/>
          <w:spacing w:val="-18"/>
          <w:sz w:val="21"/>
        </w:rPr>
        <w:t xml:space="preserve"> </w:t>
      </w:r>
      <w:r>
        <w:rPr>
          <w:color w:val="231F20"/>
          <w:sz w:val="21"/>
        </w:rPr>
        <w:t>в</w:t>
      </w:r>
      <w:r>
        <w:rPr>
          <w:color w:val="231F20"/>
          <w:spacing w:val="-18"/>
          <w:sz w:val="21"/>
        </w:rPr>
        <w:t xml:space="preserve"> </w:t>
      </w:r>
      <w:r>
        <w:rPr>
          <w:color w:val="231F20"/>
          <w:sz w:val="21"/>
        </w:rPr>
        <w:t>конкрет- ний період часу подати</w:t>
      </w:r>
      <w:r>
        <w:rPr>
          <w:color w:val="231F20"/>
          <w:spacing w:val="-3"/>
          <w:sz w:val="21"/>
        </w:rPr>
        <w:t xml:space="preserve"> </w:t>
      </w:r>
      <w:r>
        <w:rPr>
          <w:color w:val="231F20"/>
          <w:sz w:val="21"/>
        </w:rPr>
        <w:t>декларацію</w:t>
      </w:r>
      <w:r>
        <w:rPr>
          <w:color w:val="231F20"/>
          <w:position w:val="7"/>
          <w:sz w:val="12"/>
        </w:rPr>
        <w:t>2</w:t>
      </w:r>
      <w:r>
        <w:rPr>
          <w:color w:val="231F20"/>
          <w:sz w:val="21"/>
        </w:rPr>
        <w:t>.</w:t>
      </w:r>
    </w:p>
    <w:p w14:paraId="4ED35870" w14:textId="77777777" w:rsidR="00DE575E" w:rsidRDefault="00DE575E">
      <w:pPr>
        <w:pStyle w:val="BodyText"/>
        <w:rPr>
          <w:sz w:val="24"/>
        </w:rPr>
      </w:pPr>
    </w:p>
    <w:p w14:paraId="1CF4B0EF" w14:textId="77777777" w:rsidR="00DE575E" w:rsidRDefault="00DE575E">
      <w:pPr>
        <w:pStyle w:val="BodyText"/>
        <w:spacing w:before="3"/>
        <w:rPr>
          <w:sz w:val="20"/>
        </w:rPr>
      </w:pPr>
    </w:p>
    <w:p w14:paraId="7234780B" w14:textId="77777777" w:rsidR="00DE575E" w:rsidRDefault="002E7560">
      <w:pPr>
        <w:ind w:left="2697"/>
        <w:rPr>
          <w:b/>
          <w:sz w:val="21"/>
        </w:rPr>
      </w:pPr>
      <w:r>
        <w:rPr>
          <w:b/>
          <w:color w:val="231F20"/>
          <w:sz w:val="21"/>
        </w:rPr>
        <w:t>Запи</w:t>
      </w:r>
      <w:r>
        <w:rPr>
          <w:b/>
          <w:color w:val="231F20"/>
          <w:sz w:val="21"/>
        </w:rPr>
        <w:t>тання і завдання</w:t>
      </w:r>
    </w:p>
    <w:p w14:paraId="61EE392D" w14:textId="77777777" w:rsidR="00DE575E" w:rsidRDefault="00DE575E">
      <w:pPr>
        <w:pStyle w:val="BodyText"/>
        <w:spacing w:before="2"/>
        <w:rPr>
          <w:b/>
          <w:sz w:val="23"/>
        </w:rPr>
      </w:pPr>
    </w:p>
    <w:p w14:paraId="0B1464DE" w14:textId="77777777" w:rsidR="00DE575E" w:rsidRDefault="002E7560">
      <w:pPr>
        <w:pStyle w:val="ListParagraph"/>
        <w:numPr>
          <w:ilvl w:val="1"/>
          <w:numId w:val="58"/>
        </w:numPr>
        <w:tabs>
          <w:tab w:val="left" w:pos="1101"/>
        </w:tabs>
        <w:spacing w:before="0" w:line="252" w:lineRule="auto"/>
        <w:ind w:right="128" w:firstLine="284"/>
        <w:jc w:val="both"/>
        <w:rPr>
          <w:sz w:val="21"/>
        </w:rPr>
      </w:pPr>
      <w:r>
        <w:rPr>
          <w:color w:val="231F20"/>
          <w:sz w:val="21"/>
        </w:rPr>
        <w:t>Як розрізняються службові повноваження, службове стано- вище та пов’язані з ними</w:t>
      </w:r>
      <w:r>
        <w:rPr>
          <w:color w:val="231F20"/>
          <w:spacing w:val="-4"/>
          <w:sz w:val="21"/>
        </w:rPr>
        <w:t xml:space="preserve"> </w:t>
      </w:r>
      <w:r>
        <w:rPr>
          <w:color w:val="231F20"/>
          <w:sz w:val="21"/>
        </w:rPr>
        <w:t>можливості?</w:t>
      </w:r>
    </w:p>
    <w:p w14:paraId="286E533E" w14:textId="77777777" w:rsidR="00DE575E" w:rsidRDefault="002E7560">
      <w:pPr>
        <w:pStyle w:val="ListParagraph"/>
        <w:numPr>
          <w:ilvl w:val="1"/>
          <w:numId w:val="58"/>
        </w:numPr>
        <w:tabs>
          <w:tab w:val="left" w:pos="1101"/>
        </w:tabs>
        <w:spacing w:line="252" w:lineRule="auto"/>
        <w:ind w:right="128" w:firstLine="284"/>
        <w:jc w:val="both"/>
        <w:rPr>
          <w:sz w:val="21"/>
        </w:rPr>
      </w:pPr>
      <w:r>
        <w:rPr>
          <w:color w:val="231F20"/>
          <w:sz w:val="21"/>
        </w:rPr>
        <w:t>Які критерії допустимості отримання публічним службовцем подарунка від особи, що не є</w:t>
      </w:r>
      <w:r>
        <w:rPr>
          <w:color w:val="231F20"/>
          <w:spacing w:val="-5"/>
          <w:sz w:val="21"/>
        </w:rPr>
        <w:t xml:space="preserve"> </w:t>
      </w:r>
      <w:r>
        <w:rPr>
          <w:color w:val="231F20"/>
          <w:sz w:val="21"/>
        </w:rPr>
        <w:t>близькою?</w:t>
      </w:r>
    </w:p>
    <w:p w14:paraId="2B7C4D03" w14:textId="6017547C" w:rsidR="00DE575E" w:rsidRDefault="002E7560">
      <w:pPr>
        <w:pStyle w:val="BodyText"/>
        <w:spacing w:before="2"/>
        <w:rPr>
          <w:sz w:val="23"/>
        </w:rPr>
      </w:pPr>
      <w:r>
        <w:rPr>
          <w:noProof/>
        </w:rPr>
        <mc:AlternateContent>
          <mc:Choice Requires="wps">
            <w:drawing>
              <wp:anchor distT="0" distB="0" distL="0" distR="0" simplePos="0" relativeHeight="17176" behindDoc="0" locked="0" layoutInCell="1" allowOverlap="1" wp14:anchorId="48930ED3" wp14:editId="0BB955A5">
                <wp:simplePos x="0" y="0"/>
                <wp:positionH relativeFrom="page">
                  <wp:posOffset>719455</wp:posOffset>
                </wp:positionH>
                <wp:positionV relativeFrom="paragraph">
                  <wp:posOffset>200025</wp:posOffset>
                </wp:positionV>
                <wp:extent cx="1080135" cy="0"/>
                <wp:effectExtent l="8255" t="9525" r="29210" b="28575"/>
                <wp:wrapTopAndBottom/>
                <wp:docPr id="300"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0F10" id="Line_x0020_299" o:spid="_x0000_s1026" style="position:absolute;z-index:17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75pt" to="141.7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" strokecolor="#231f20" strokeweight=".5pt">
                <w10:wrap type="topAndBottom" anchorx="page"/>
              </v:line>
            </w:pict>
          </mc:Fallback>
        </mc:AlternateContent>
      </w:r>
    </w:p>
    <w:p w14:paraId="5AA33D9C" w14:textId="77777777" w:rsidR="00DE575E" w:rsidRDefault="002E7560">
      <w:pPr>
        <w:spacing w:line="204" w:lineRule="auto"/>
        <w:ind w:left="533" w:right="127"/>
        <w:jc w:val="both"/>
        <w:rPr>
          <w:sz w:val="16"/>
        </w:rPr>
      </w:pPr>
      <w:r>
        <w:rPr>
          <w:color w:val="231F20"/>
          <w:position w:val="5"/>
          <w:sz w:val="9"/>
        </w:rPr>
        <w:t xml:space="preserve">1 </w:t>
      </w:r>
      <w:r>
        <w:rPr>
          <w:color w:val="231F20"/>
          <w:sz w:val="16"/>
        </w:rPr>
        <w:t xml:space="preserve">Якщо задекларовані відомості відрізняються від достовірних на суму понад 250 прожиткових мінімумів для працездатних осіб, то настає кримінальна відповідальність </w:t>
      </w:r>
      <w:r>
        <w:rPr>
          <w:color w:val="231F20"/>
          <w:spacing w:val="-4"/>
          <w:sz w:val="16"/>
        </w:rPr>
        <w:t>(ст.</w:t>
      </w:r>
      <w:r>
        <w:rPr>
          <w:color w:val="231F20"/>
          <w:spacing w:val="-6"/>
          <w:sz w:val="16"/>
        </w:rPr>
        <w:t xml:space="preserve"> </w:t>
      </w:r>
      <w:r>
        <w:rPr>
          <w:color w:val="231F20"/>
          <w:sz w:val="16"/>
        </w:rPr>
        <w:t>366-1</w:t>
      </w:r>
      <w:r>
        <w:rPr>
          <w:color w:val="231F20"/>
          <w:spacing w:val="-5"/>
          <w:sz w:val="16"/>
        </w:rPr>
        <w:t xml:space="preserve"> </w:t>
      </w:r>
      <w:r>
        <w:rPr>
          <w:color w:val="231F20"/>
          <w:sz w:val="16"/>
        </w:rPr>
        <w:t>КК</w:t>
      </w:r>
      <w:r>
        <w:rPr>
          <w:color w:val="231F20"/>
          <w:spacing w:val="-5"/>
          <w:sz w:val="16"/>
        </w:rPr>
        <w:t xml:space="preserve"> </w:t>
      </w:r>
      <w:r>
        <w:rPr>
          <w:color w:val="231F20"/>
          <w:sz w:val="16"/>
        </w:rPr>
        <w:t>України),</w:t>
      </w:r>
      <w:r>
        <w:rPr>
          <w:color w:val="231F20"/>
          <w:spacing w:val="-6"/>
          <w:sz w:val="16"/>
        </w:rPr>
        <w:t xml:space="preserve"> </w:t>
      </w:r>
      <w:r>
        <w:rPr>
          <w:color w:val="231F20"/>
          <w:sz w:val="16"/>
        </w:rPr>
        <w:t>а</w:t>
      </w:r>
      <w:r>
        <w:rPr>
          <w:color w:val="231F20"/>
          <w:spacing w:val="-5"/>
          <w:sz w:val="16"/>
        </w:rPr>
        <w:t xml:space="preserve"> </w:t>
      </w:r>
      <w:r>
        <w:rPr>
          <w:color w:val="231F20"/>
          <w:sz w:val="16"/>
        </w:rPr>
        <w:t>якщо</w:t>
      </w:r>
      <w:r>
        <w:rPr>
          <w:color w:val="231F20"/>
          <w:spacing w:val="-5"/>
          <w:sz w:val="16"/>
        </w:rPr>
        <w:t xml:space="preserve"> </w:t>
      </w:r>
      <w:r>
        <w:rPr>
          <w:color w:val="231F20"/>
          <w:sz w:val="16"/>
        </w:rPr>
        <w:t>на</w:t>
      </w:r>
      <w:r>
        <w:rPr>
          <w:color w:val="231F20"/>
          <w:spacing w:val="-5"/>
          <w:sz w:val="16"/>
        </w:rPr>
        <w:t xml:space="preserve"> </w:t>
      </w:r>
      <w:r>
        <w:rPr>
          <w:color w:val="231F20"/>
          <w:spacing w:val="-3"/>
          <w:sz w:val="16"/>
        </w:rPr>
        <w:t>суму,</w:t>
      </w:r>
      <w:r>
        <w:rPr>
          <w:color w:val="231F20"/>
          <w:spacing w:val="-5"/>
          <w:sz w:val="16"/>
        </w:rPr>
        <w:t xml:space="preserve"> </w:t>
      </w:r>
      <w:r>
        <w:rPr>
          <w:color w:val="231F20"/>
          <w:sz w:val="16"/>
        </w:rPr>
        <w:t>меншу</w:t>
      </w:r>
      <w:r>
        <w:rPr>
          <w:color w:val="231F20"/>
          <w:spacing w:val="-6"/>
          <w:sz w:val="16"/>
        </w:rPr>
        <w:t xml:space="preserve"> </w:t>
      </w:r>
      <w:r>
        <w:rPr>
          <w:color w:val="231F20"/>
          <w:sz w:val="16"/>
        </w:rPr>
        <w:t>за</w:t>
      </w:r>
      <w:r>
        <w:rPr>
          <w:color w:val="231F20"/>
          <w:spacing w:val="-5"/>
          <w:sz w:val="16"/>
        </w:rPr>
        <w:t xml:space="preserve"> </w:t>
      </w:r>
      <w:r>
        <w:rPr>
          <w:color w:val="231F20"/>
          <w:sz w:val="16"/>
        </w:rPr>
        <w:t>100</w:t>
      </w:r>
      <w:r>
        <w:rPr>
          <w:color w:val="231F20"/>
          <w:spacing w:val="-5"/>
          <w:sz w:val="16"/>
        </w:rPr>
        <w:t xml:space="preserve"> </w:t>
      </w:r>
      <w:r>
        <w:rPr>
          <w:color w:val="231F20"/>
          <w:sz w:val="16"/>
        </w:rPr>
        <w:t>прожиткових</w:t>
      </w:r>
      <w:r>
        <w:rPr>
          <w:color w:val="231F20"/>
          <w:spacing w:val="-5"/>
          <w:sz w:val="16"/>
        </w:rPr>
        <w:t xml:space="preserve"> </w:t>
      </w:r>
      <w:r>
        <w:rPr>
          <w:color w:val="231F20"/>
          <w:sz w:val="16"/>
        </w:rPr>
        <w:t>мінімумів,</w:t>
      </w:r>
      <w:r>
        <w:rPr>
          <w:color w:val="231F20"/>
          <w:spacing w:val="-5"/>
          <w:sz w:val="16"/>
        </w:rPr>
        <w:t xml:space="preserve"> </w:t>
      </w:r>
      <w:r>
        <w:rPr>
          <w:color w:val="231F20"/>
          <w:sz w:val="16"/>
        </w:rPr>
        <w:t>то</w:t>
      </w:r>
      <w:r>
        <w:rPr>
          <w:color w:val="231F20"/>
          <w:spacing w:val="-5"/>
          <w:sz w:val="16"/>
        </w:rPr>
        <w:t xml:space="preserve"> </w:t>
      </w:r>
      <w:r>
        <w:rPr>
          <w:color w:val="231F20"/>
          <w:sz w:val="16"/>
        </w:rPr>
        <w:t>може</w:t>
      </w:r>
      <w:r>
        <w:rPr>
          <w:color w:val="231F20"/>
          <w:spacing w:val="-5"/>
          <w:sz w:val="16"/>
        </w:rPr>
        <w:t xml:space="preserve"> </w:t>
      </w:r>
      <w:r>
        <w:rPr>
          <w:color w:val="231F20"/>
          <w:sz w:val="16"/>
        </w:rPr>
        <w:t>бути задіян</w:t>
      </w:r>
      <w:r>
        <w:rPr>
          <w:color w:val="231F20"/>
          <w:sz w:val="16"/>
        </w:rPr>
        <w:t>а лише дисциплінарна</w:t>
      </w:r>
      <w:r>
        <w:rPr>
          <w:color w:val="231F20"/>
          <w:spacing w:val="-4"/>
          <w:sz w:val="16"/>
        </w:rPr>
        <w:t xml:space="preserve"> </w:t>
      </w:r>
      <w:r>
        <w:rPr>
          <w:color w:val="231F20"/>
          <w:sz w:val="16"/>
        </w:rPr>
        <w:t>відповідальність.</w:t>
      </w:r>
    </w:p>
    <w:p w14:paraId="437F7B7D" w14:textId="77777777" w:rsidR="00DE575E" w:rsidRDefault="002E7560">
      <w:pPr>
        <w:spacing w:before="27" w:line="204" w:lineRule="auto"/>
        <w:ind w:left="533" w:right="128"/>
        <w:jc w:val="both"/>
        <w:rPr>
          <w:sz w:val="16"/>
        </w:rPr>
      </w:pPr>
      <w:r>
        <w:rPr>
          <w:color w:val="231F20"/>
          <w:position w:val="5"/>
          <w:sz w:val="9"/>
        </w:rPr>
        <w:t xml:space="preserve">2 </w:t>
      </w:r>
      <w:r>
        <w:rPr>
          <w:color w:val="231F20"/>
          <w:sz w:val="16"/>
        </w:rPr>
        <w:t>Практика містить випадки, коли аналогічна обставина в одній справі визнається поважною причиною пропуску строку подання декларації, а в іншій – ні. Однак подібна розрізненість</w:t>
      </w:r>
      <w:r>
        <w:rPr>
          <w:color w:val="231F20"/>
          <w:spacing w:val="-6"/>
          <w:sz w:val="16"/>
        </w:rPr>
        <w:t xml:space="preserve"> </w:t>
      </w:r>
      <w:r>
        <w:rPr>
          <w:color w:val="231F20"/>
          <w:sz w:val="16"/>
        </w:rPr>
        <w:t>правозастосування</w:t>
      </w:r>
      <w:r>
        <w:rPr>
          <w:color w:val="231F20"/>
          <w:spacing w:val="-6"/>
          <w:sz w:val="16"/>
        </w:rPr>
        <w:t xml:space="preserve"> </w:t>
      </w:r>
      <w:r>
        <w:rPr>
          <w:color w:val="231F20"/>
          <w:sz w:val="16"/>
        </w:rPr>
        <w:t>сама</w:t>
      </w:r>
      <w:r>
        <w:rPr>
          <w:color w:val="231F20"/>
          <w:spacing w:val="-6"/>
          <w:sz w:val="16"/>
        </w:rPr>
        <w:t xml:space="preserve"> </w:t>
      </w:r>
      <w:r>
        <w:rPr>
          <w:color w:val="231F20"/>
          <w:sz w:val="16"/>
        </w:rPr>
        <w:t>по</w:t>
      </w:r>
      <w:r>
        <w:rPr>
          <w:color w:val="231F20"/>
          <w:spacing w:val="-6"/>
          <w:sz w:val="16"/>
        </w:rPr>
        <w:t xml:space="preserve"> </w:t>
      </w:r>
      <w:r>
        <w:rPr>
          <w:color w:val="231F20"/>
          <w:sz w:val="16"/>
        </w:rPr>
        <w:t>собі</w:t>
      </w:r>
      <w:r>
        <w:rPr>
          <w:color w:val="231F20"/>
          <w:spacing w:val="-6"/>
          <w:sz w:val="16"/>
        </w:rPr>
        <w:t xml:space="preserve"> </w:t>
      </w:r>
      <w:r>
        <w:rPr>
          <w:color w:val="231F20"/>
          <w:sz w:val="16"/>
        </w:rPr>
        <w:t>не</w:t>
      </w:r>
      <w:r>
        <w:rPr>
          <w:color w:val="231F20"/>
          <w:spacing w:val="-6"/>
          <w:sz w:val="16"/>
        </w:rPr>
        <w:t xml:space="preserve"> </w:t>
      </w:r>
      <w:r>
        <w:rPr>
          <w:color w:val="231F20"/>
          <w:sz w:val="16"/>
        </w:rPr>
        <w:t>свідчить</w:t>
      </w:r>
      <w:r>
        <w:rPr>
          <w:color w:val="231F20"/>
          <w:spacing w:val="-6"/>
          <w:sz w:val="16"/>
        </w:rPr>
        <w:t xml:space="preserve"> </w:t>
      </w:r>
      <w:r>
        <w:rPr>
          <w:color w:val="231F20"/>
          <w:sz w:val="16"/>
        </w:rPr>
        <w:t>про</w:t>
      </w:r>
      <w:r>
        <w:rPr>
          <w:color w:val="231F20"/>
          <w:spacing w:val="-6"/>
          <w:sz w:val="16"/>
        </w:rPr>
        <w:t xml:space="preserve"> </w:t>
      </w:r>
      <w:r>
        <w:rPr>
          <w:color w:val="231F20"/>
          <w:sz w:val="16"/>
        </w:rPr>
        <w:t>дефектність</w:t>
      </w:r>
      <w:r>
        <w:rPr>
          <w:color w:val="231F20"/>
          <w:spacing w:val="-6"/>
          <w:sz w:val="16"/>
        </w:rPr>
        <w:t xml:space="preserve"> </w:t>
      </w:r>
      <w:r>
        <w:rPr>
          <w:color w:val="231F20"/>
          <w:sz w:val="16"/>
        </w:rPr>
        <w:t>реалізації</w:t>
      </w:r>
      <w:r>
        <w:rPr>
          <w:color w:val="231F20"/>
          <w:spacing w:val="-6"/>
          <w:sz w:val="16"/>
        </w:rPr>
        <w:t xml:space="preserve"> </w:t>
      </w:r>
      <w:r>
        <w:rPr>
          <w:color w:val="231F20"/>
          <w:sz w:val="16"/>
        </w:rPr>
        <w:t>пра- вового</w:t>
      </w:r>
      <w:r>
        <w:rPr>
          <w:color w:val="231F20"/>
          <w:spacing w:val="-5"/>
          <w:sz w:val="16"/>
        </w:rPr>
        <w:t xml:space="preserve"> </w:t>
      </w:r>
      <w:r>
        <w:rPr>
          <w:color w:val="231F20"/>
          <w:sz w:val="16"/>
        </w:rPr>
        <w:t>припису,</w:t>
      </w:r>
      <w:r>
        <w:rPr>
          <w:color w:val="231F20"/>
          <w:spacing w:val="-5"/>
          <w:sz w:val="16"/>
        </w:rPr>
        <w:t xml:space="preserve"> </w:t>
      </w:r>
      <w:r>
        <w:rPr>
          <w:color w:val="231F20"/>
          <w:sz w:val="16"/>
        </w:rPr>
        <w:t>якщо</w:t>
      </w:r>
      <w:r>
        <w:rPr>
          <w:color w:val="231F20"/>
          <w:spacing w:val="-5"/>
          <w:sz w:val="16"/>
        </w:rPr>
        <w:t xml:space="preserve"> </w:t>
      </w:r>
      <w:r>
        <w:rPr>
          <w:color w:val="231F20"/>
          <w:sz w:val="16"/>
        </w:rPr>
        <w:t>під</w:t>
      </w:r>
      <w:r>
        <w:rPr>
          <w:color w:val="231F20"/>
          <w:spacing w:val="-5"/>
          <w:sz w:val="16"/>
        </w:rPr>
        <w:t xml:space="preserve"> </w:t>
      </w:r>
      <w:r>
        <w:rPr>
          <w:color w:val="231F20"/>
          <w:sz w:val="16"/>
        </w:rPr>
        <w:t>час</w:t>
      </w:r>
      <w:r>
        <w:rPr>
          <w:color w:val="231F20"/>
          <w:spacing w:val="-5"/>
          <w:sz w:val="16"/>
        </w:rPr>
        <w:t xml:space="preserve"> </w:t>
      </w:r>
      <w:r>
        <w:rPr>
          <w:color w:val="231F20"/>
          <w:sz w:val="16"/>
        </w:rPr>
        <w:t>розгляду</w:t>
      </w:r>
      <w:r>
        <w:rPr>
          <w:color w:val="231F20"/>
          <w:spacing w:val="-5"/>
          <w:sz w:val="16"/>
        </w:rPr>
        <w:t xml:space="preserve"> </w:t>
      </w:r>
      <w:r>
        <w:rPr>
          <w:color w:val="231F20"/>
          <w:sz w:val="16"/>
        </w:rPr>
        <w:t>справ</w:t>
      </w:r>
      <w:r>
        <w:rPr>
          <w:color w:val="231F20"/>
          <w:spacing w:val="-5"/>
          <w:sz w:val="16"/>
        </w:rPr>
        <w:t xml:space="preserve"> </w:t>
      </w:r>
      <w:r>
        <w:rPr>
          <w:color w:val="231F20"/>
          <w:spacing w:val="-3"/>
          <w:sz w:val="16"/>
        </w:rPr>
        <w:t>було</w:t>
      </w:r>
      <w:r>
        <w:rPr>
          <w:color w:val="231F20"/>
          <w:spacing w:val="-5"/>
          <w:sz w:val="16"/>
        </w:rPr>
        <w:t xml:space="preserve"> </w:t>
      </w:r>
      <w:r>
        <w:rPr>
          <w:color w:val="231F20"/>
          <w:sz w:val="16"/>
        </w:rPr>
        <w:t>чітко</w:t>
      </w:r>
      <w:r>
        <w:rPr>
          <w:color w:val="231F20"/>
          <w:spacing w:val="-5"/>
          <w:sz w:val="16"/>
        </w:rPr>
        <w:t xml:space="preserve"> </w:t>
      </w:r>
      <w:r>
        <w:rPr>
          <w:color w:val="231F20"/>
          <w:sz w:val="16"/>
        </w:rPr>
        <w:t>встановлено,</w:t>
      </w:r>
      <w:r>
        <w:rPr>
          <w:color w:val="231F20"/>
          <w:spacing w:val="-5"/>
          <w:sz w:val="16"/>
        </w:rPr>
        <w:t xml:space="preserve"> </w:t>
      </w:r>
      <w:r>
        <w:rPr>
          <w:color w:val="231F20"/>
          <w:sz w:val="16"/>
        </w:rPr>
        <w:t>що</w:t>
      </w:r>
      <w:r>
        <w:rPr>
          <w:color w:val="231F20"/>
          <w:spacing w:val="-5"/>
          <w:sz w:val="16"/>
        </w:rPr>
        <w:t xml:space="preserve"> </w:t>
      </w:r>
      <w:r>
        <w:rPr>
          <w:color w:val="231F20"/>
          <w:sz w:val="16"/>
        </w:rPr>
        <w:t>ідентична</w:t>
      </w:r>
      <w:r>
        <w:rPr>
          <w:color w:val="231F20"/>
          <w:spacing w:val="-5"/>
          <w:sz w:val="16"/>
        </w:rPr>
        <w:t xml:space="preserve"> </w:t>
      </w:r>
      <w:r>
        <w:rPr>
          <w:color w:val="231F20"/>
          <w:sz w:val="16"/>
        </w:rPr>
        <w:t>обста- вина в одній ситуації унеможливлювала виконання обов’язку, а в іншій –</w:t>
      </w:r>
      <w:r>
        <w:rPr>
          <w:color w:val="231F20"/>
          <w:spacing w:val="-21"/>
          <w:sz w:val="16"/>
        </w:rPr>
        <w:t xml:space="preserve"> </w:t>
      </w:r>
      <w:r>
        <w:rPr>
          <w:color w:val="231F20"/>
          <w:sz w:val="16"/>
        </w:rPr>
        <w:t>ні.</w:t>
      </w:r>
    </w:p>
    <w:p w14:paraId="0CB140E2" w14:textId="77777777" w:rsidR="00DE575E" w:rsidRDefault="00DE575E">
      <w:pPr>
        <w:pStyle w:val="BodyText"/>
        <w:spacing w:before="7"/>
        <w:rPr>
          <w:sz w:val="12"/>
        </w:rPr>
      </w:pPr>
    </w:p>
    <w:p w14:paraId="0712C2BF" w14:textId="77777777" w:rsidR="00DE575E" w:rsidRDefault="002E7560">
      <w:pPr>
        <w:spacing w:before="91"/>
        <w:ind w:left="533"/>
        <w:rPr>
          <w:rFonts w:ascii="Times New Roman"/>
          <w:sz w:val="20"/>
        </w:rPr>
      </w:pPr>
      <w:r>
        <w:rPr>
          <w:rFonts w:ascii="Times New Roman"/>
          <w:color w:val="231F20"/>
          <w:sz w:val="20"/>
        </w:rPr>
        <w:t>436</w:t>
      </w:r>
    </w:p>
    <w:p w14:paraId="75C5C60B" w14:textId="77777777" w:rsidR="00DE575E" w:rsidRDefault="00DE575E">
      <w:pPr>
        <w:rPr>
          <w:rFonts w:ascii="Times New Roman"/>
          <w:sz w:val="20"/>
        </w:rPr>
        <w:sectPr w:rsidR="00DE575E">
          <w:pgSz w:w="8510" w:h="12760"/>
          <w:pgMar w:top="660" w:right="720" w:bottom="280" w:left="600" w:header="720" w:footer="720" w:gutter="0"/>
          <w:cols w:space="720"/>
        </w:sectPr>
      </w:pPr>
    </w:p>
    <w:p w14:paraId="3F4B77BA" w14:textId="77777777" w:rsidR="00DE575E" w:rsidRDefault="002E7560">
      <w:pPr>
        <w:spacing w:before="72" w:line="249" w:lineRule="auto"/>
        <w:ind w:left="1714" w:right="391" w:firstLine="1035"/>
        <w:rPr>
          <w:rFonts w:ascii="AdonisC" w:hAnsi="AdonisC"/>
          <w:i/>
          <w:sz w:val="18"/>
        </w:rPr>
      </w:pPr>
      <w:r>
        <w:rPr>
          <w:rFonts w:ascii="AdonisC" w:hAnsi="AdonisC"/>
          <w:i/>
          <w:color w:val="231F20"/>
          <w:sz w:val="18"/>
        </w:rPr>
        <w:t>Глава ІІ Особливе адміністративне</w:t>
      </w:r>
      <w:r>
        <w:rPr>
          <w:rFonts w:ascii="AdonisC" w:hAnsi="AdonisC"/>
          <w:i/>
          <w:color w:val="231F20"/>
          <w:sz w:val="18"/>
        </w:rPr>
        <w:t xml:space="preserve"> право/ Книга І Розділ 4. Запобігання корупційним проявам у публічній службі</w:t>
      </w:r>
    </w:p>
    <w:p w14:paraId="4D3CEB6B" w14:textId="004A14C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CAC8F51" wp14:editId="2D891DD4">
                <wp:extent cx="4140200" cy="6350"/>
                <wp:effectExtent l="0" t="0" r="12700" b="6350"/>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99" name="Line 29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70AB5F" id="Group_x0020_29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rZMtX4CAACYBQAADgAA&#10;AAAAAAAAAAAAAAAsAgAAZHJzL2Uyb0RvYy54bWxQSwECLQAUAAYACAAAACEATKewkNkAAAADAQAA&#10;DwAAAAAAAAAAAAAAAADWBAAAZHJzL2Rvd25yZXYueG1sUEsFBgAAAAAEAAQA8wAAANwFAAAAAA==&#10;">
                <v:line id="Line_x0020_29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EUE8YAAADcAAAADwAAAGRycy9kb3ducmV2LnhtbESP0WrCQBRE3wv+w3IFX0Q3VSg1uooU&#10;CsUHbY0fcM1ek+Du3ZhdTdqvdwWhj8PMnGEWq84acaPGV44VvI4TEMS50xUXCg7Z5+gdhA/IGo1j&#10;UvBLHlbL3ssCU+1a/qHbPhQiQtinqKAMoU6l9HlJFv3Y1cTRO7nGYoiyKaRusI1wa+QkSd6kxYrj&#10;Qok1fZSUn/dXqyC7DIP53m1Mm+2OU3m8bKd/161Sg363noMI1IX/8LP9pRVMZjN4nIlHQC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WRFBPGAAAA3AAAAA8AAAAAAAAA&#10;AAAAAAAAoQIAAGRycy9kb3ducmV2LnhtbFBLBQYAAAAABAAEAPkAAACUAwAAAAA=&#10;" strokecolor="#231f20" strokeweight=".5pt"/>
                <w10:anchorlock/>
              </v:group>
            </w:pict>
          </mc:Fallback>
        </mc:AlternateContent>
      </w:r>
    </w:p>
    <w:p w14:paraId="35204156" w14:textId="77777777" w:rsidR="00DE575E" w:rsidRDefault="00DE575E">
      <w:pPr>
        <w:pStyle w:val="BodyText"/>
        <w:spacing w:before="7"/>
        <w:rPr>
          <w:rFonts w:ascii="AdonisC"/>
          <w:i/>
          <w:sz w:val="19"/>
        </w:rPr>
      </w:pPr>
    </w:p>
    <w:p w14:paraId="31775570" w14:textId="77777777" w:rsidR="00DE575E" w:rsidRDefault="002E7560">
      <w:pPr>
        <w:pStyle w:val="ListParagraph"/>
        <w:numPr>
          <w:ilvl w:val="0"/>
          <w:numId w:val="56"/>
        </w:numPr>
        <w:tabs>
          <w:tab w:val="left" w:pos="818"/>
        </w:tabs>
        <w:spacing w:line="252" w:lineRule="auto"/>
        <w:ind w:right="411" w:firstLine="283"/>
        <w:jc w:val="both"/>
        <w:rPr>
          <w:sz w:val="21"/>
        </w:rPr>
      </w:pPr>
      <w:r>
        <w:rPr>
          <w:color w:val="231F20"/>
          <w:sz w:val="21"/>
        </w:rPr>
        <w:t>Чи може публічний службовець займатися медичною практи- кою на засадах підприємницької</w:t>
      </w:r>
      <w:r>
        <w:rPr>
          <w:color w:val="231F20"/>
          <w:spacing w:val="-3"/>
          <w:sz w:val="21"/>
        </w:rPr>
        <w:t xml:space="preserve"> </w:t>
      </w:r>
      <w:r>
        <w:rPr>
          <w:color w:val="231F20"/>
          <w:sz w:val="21"/>
        </w:rPr>
        <w:t>діяльності?</w:t>
      </w:r>
    </w:p>
    <w:p w14:paraId="4A157152" w14:textId="77777777" w:rsidR="00DE575E" w:rsidRDefault="002E7560">
      <w:pPr>
        <w:pStyle w:val="ListParagraph"/>
        <w:numPr>
          <w:ilvl w:val="0"/>
          <w:numId w:val="56"/>
        </w:numPr>
        <w:tabs>
          <w:tab w:val="left" w:pos="818"/>
        </w:tabs>
        <w:spacing w:line="252" w:lineRule="auto"/>
        <w:ind w:right="411" w:firstLine="283"/>
        <w:jc w:val="both"/>
        <w:rPr>
          <w:sz w:val="21"/>
        </w:rPr>
      </w:pPr>
      <w:r>
        <w:rPr>
          <w:color w:val="231F20"/>
          <w:sz w:val="21"/>
        </w:rPr>
        <w:t>На кого не поширюється обмеження щодо спільної роботи близьких</w:t>
      </w:r>
      <w:r>
        <w:rPr>
          <w:color w:val="231F20"/>
          <w:spacing w:val="-2"/>
          <w:sz w:val="21"/>
        </w:rPr>
        <w:t xml:space="preserve"> </w:t>
      </w:r>
      <w:r>
        <w:rPr>
          <w:color w:val="231F20"/>
          <w:sz w:val="21"/>
        </w:rPr>
        <w:t>осіб?</w:t>
      </w:r>
    </w:p>
    <w:p w14:paraId="33A92324" w14:textId="77777777" w:rsidR="00DE575E" w:rsidRDefault="002E7560">
      <w:pPr>
        <w:pStyle w:val="ListParagraph"/>
        <w:numPr>
          <w:ilvl w:val="0"/>
          <w:numId w:val="56"/>
        </w:numPr>
        <w:tabs>
          <w:tab w:val="left" w:pos="818"/>
        </w:tabs>
        <w:spacing w:line="252" w:lineRule="auto"/>
        <w:ind w:right="410" w:firstLine="283"/>
        <w:jc w:val="both"/>
        <w:rPr>
          <w:sz w:val="21"/>
        </w:rPr>
      </w:pPr>
      <w:r>
        <w:rPr>
          <w:color w:val="231F20"/>
          <w:sz w:val="21"/>
        </w:rPr>
        <w:t>Розмежуйте ознаки потенційного та реального конфлікту інтересів.</w:t>
      </w:r>
    </w:p>
    <w:p w14:paraId="7AB5F96F" w14:textId="77777777" w:rsidR="00DE575E" w:rsidRDefault="002E7560">
      <w:pPr>
        <w:pStyle w:val="ListParagraph"/>
        <w:numPr>
          <w:ilvl w:val="0"/>
          <w:numId w:val="56"/>
        </w:numPr>
        <w:tabs>
          <w:tab w:val="left" w:pos="818"/>
        </w:tabs>
        <w:ind w:firstLine="283"/>
        <w:rPr>
          <w:sz w:val="21"/>
        </w:rPr>
      </w:pPr>
      <w:r>
        <w:rPr>
          <w:color w:val="231F20"/>
          <w:sz w:val="21"/>
        </w:rPr>
        <w:t>Як співвідноситься службова етика та службовий</w:t>
      </w:r>
      <w:r>
        <w:rPr>
          <w:color w:val="231F20"/>
          <w:spacing w:val="-6"/>
          <w:sz w:val="21"/>
        </w:rPr>
        <w:t xml:space="preserve"> </w:t>
      </w:r>
      <w:r>
        <w:rPr>
          <w:color w:val="231F20"/>
          <w:sz w:val="21"/>
        </w:rPr>
        <w:t>етикет?</w:t>
      </w:r>
    </w:p>
    <w:p w14:paraId="322F23F7" w14:textId="77777777" w:rsidR="00DE575E" w:rsidRDefault="002E7560">
      <w:pPr>
        <w:pStyle w:val="ListParagraph"/>
        <w:numPr>
          <w:ilvl w:val="0"/>
          <w:numId w:val="56"/>
        </w:numPr>
        <w:tabs>
          <w:tab w:val="left" w:pos="818"/>
        </w:tabs>
        <w:spacing w:before="12" w:line="252" w:lineRule="auto"/>
        <w:ind w:right="410" w:firstLine="283"/>
        <w:jc w:val="both"/>
        <w:rPr>
          <w:sz w:val="21"/>
        </w:rPr>
      </w:pPr>
      <w:r>
        <w:rPr>
          <w:color w:val="231F20"/>
          <w:sz w:val="21"/>
        </w:rPr>
        <w:t>Які типи декларацій та в які терміни подаються публічними службовця</w:t>
      </w:r>
      <w:r>
        <w:rPr>
          <w:color w:val="231F20"/>
          <w:sz w:val="21"/>
        </w:rPr>
        <w:t>ми?</w:t>
      </w:r>
    </w:p>
    <w:p w14:paraId="55839252" w14:textId="77777777" w:rsidR="00DE575E" w:rsidRDefault="00DE575E">
      <w:pPr>
        <w:pStyle w:val="BodyText"/>
        <w:spacing w:before="2"/>
        <w:rPr>
          <w:sz w:val="22"/>
        </w:rPr>
      </w:pPr>
    </w:p>
    <w:p w14:paraId="33913A97" w14:textId="77777777" w:rsidR="00DE575E" w:rsidRDefault="002E7560">
      <w:pPr>
        <w:pStyle w:val="Heading5"/>
        <w:ind w:left="1494"/>
      </w:pPr>
      <w:r>
        <w:rPr>
          <w:color w:val="231F20"/>
        </w:rPr>
        <w:t>Література для поглибленого вивчення</w:t>
      </w:r>
    </w:p>
    <w:p w14:paraId="658194C9" w14:textId="77777777" w:rsidR="00DE575E" w:rsidRDefault="00DE575E">
      <w:pPr>
        <w:pStyle w:val="BodyText"/>
        <w:spacing w:before="2"/>
        <w:rPr>
          <w:b/>
          <w:sz w:val="23"/>
        </w:rPr>
      </w:pPr>
    </w:p>
    <w:p w14:paraId="3735CC5F" w14:textId="77777777" w:rsidR="00DE575E" w:rsidRDefault="002E7560">
      <w:pPr>
        <w:pStyle w:val="ListParagraph"/>
        <w:numPr>
          <w:ilvl w:val="0"/>
          <w:numId w:val="55"/>
        </w:numPr>
        <w:tabs>
          <w:tab w:val="left" w:pos="818"/>
        </w:tabs>
        <w:spacing w:line="252" w:lineRule="auto"/>
        <w:ind w:right="407" w:firstLine="283"/>
        <w:jc w:val="both"/>
        <w:rPr>
          <w:sz w:val="21"/>
        </w:rPr>
      </w:pPr>
      <w:r>
        <w:rPr>
          <w:color w:val="231F20"/>
          <w:spacing w:val="-3"/>
          <w:sz w:val="21"/>
        </w:rPr>
        <w:t xml:space="preserve">Дудоров </w:t>
      </w:r>
      <w:r>
        <w:rPr>
          <w:color w:val="231F20"/>
          <w:spacing w:val="-6"/>
          <w:sz w:val="21"/>
        </w:rPr>
        <w:t xml:space="preserve">О.О. </w:t>
      </w:r>
      <w:r>
        <w:rPr>
          <w:color w:val="231F20"/>
          <w:sz w:val="21"/>
        </w:rPr>
        <w:t xml:space="preserve">Узагальнення </w:t>
      </w:r>
      <w:r>
        <w:rPr>
          <w:color w:val="231F20"/>
          <w:spacing w:val="-3"/>
          <w:sz w:val="21"/>
        </w:rPr>
        <w:t xml:space="preserve">судової </w:t>
      </w:r>
      <w:r>
        <w:rPr>
          <w:color w:val="231F20"/>
          <w:sz w:val="21"/>
        </w:rPr>
        <w:t>практики у справах про адміністративні правопорушення, пов’язані з корупцією (статті 172-4</w:t>
      </w:r>
      <w:r>
        <w:rPr>
          <w:color w:val="231F20"/>
          <w:spacing w:val="-25"/>
          <w:sz w:val="21"/>
        </w:rPr>
        <w:t xml:space="preserve"> </w:t>
      </w:r>
      <w:r>
        <w:rPr>
          <w:color w:val="231F20"/>
          <w:sz w:val="21"/>
        </w:rPr>
        <w:t>–</w:t>
      </w:r>
      <w:r>
        <w:rPr>
          <w:color w:val="231F20"/>
          <w:spacing w:val="-25"/>
          <w:sz w:val="21"/>
        </w:rPr>
        <w:t xml:space="preserve"> </w:t>
      </w:r>
      <w:r>
        <w:rPr>
          <w:color w:val="231F20"/>
          <w:sz w:val="21"/>
        </w:rPr>
        <w:t>172-9</w:t>
      </w:r>
      <w:r>
        <w:rPr>
          <w:color w:val="231F20"/>
          <w:spacing w:val="-25"/>
          <w:sz w:val="21"/>
        </w:rPr>
        <w:t xml:space="preserve"> </w:t>
      </w:r>
      <w:r>
        <w:rPr>
          <w:color w:val="231F20"/>
          <w:sz w:val="21"/>
        </w:rPr>
        <w:t>КУпАП).</w:t>
      </w:r>
      <w:r>
        <w:rPr>
          <w:color w:val="231F20"/>
          <w:spacing w:val="-24"/>
          <w:sz w:val="21"/>
        </w:rPr>
        <w:t xml:space="preserve"> </w:t>
      </w:r>
      <w:r>
        <w:rPr>
          <w:color w:val="231F20"/>
          <w:sz w:val="21"/>
        </w:rPr>
        <w:t>2019.</w:t>
      </w:r>
      <w:r>
        <w:rPr>
          <w:color w:val="231F20"/>
          <w:spacing w:val="-25"/>
          <w:sz w:val="21"/>
        </w:rPr>
        <w:t xml:space="preserve"> </w:t>
      </w:r>
      <w:r>
        <w:rPr>
          <w:color w:val="231F20"/>
          <w:sz w:val="21"/>
        </w:rPr>
        <w:t>253</w:t>
      </w:r>
      <w:r>
        <w:rPr>
          <w:color w:val="231F20"/>
          <w:spacing w:val="-25"/>
          <w:sz w:val="21"/>
        </w:rPr>
        <w:t xml:space="preserve"> </w:t>
      </w:r>
      <w:r>
        <w:rPr>
          <w:color w:val="231F20"/>
          <w:sz w:val="21"/>
        </w:rPr>
        <w:t>с.</w:t>
      </w:r>
      <w:r>
        <w:rPr>
          <w:color w:val="231F20"/>
          <w:spacing w:val="-25"/>
          <w:sz w:val="21"/>
        </w:rPr>
        <w:t xml:space="preserve"> </w:t>
      </w:r>
      <w:r>
        <w:rPr>
          <w:color w:val="231F20"/>
          <w:sz w:val="21"/>
        </w:rPr>
        <w:t>URL:</w:t>
      </w:r>
      <w:r>
        <w:rPr>
          <w:color w:val="231F20"/>
          <w:spacing w:val="-25"/>
          <w:sz w:val="21"/>
        </w:rPr>
        <w:t xml:space="preserve"> </w:t>
      </w:r>
      <w:hyperlink r:id="rId48">
        <w:r>
          <w:rPr>
            <w:color w:val="231F20"/>
            <w:sz w:val="21"/>
          </w:rPr>
          <w:t>http://pravo.org.ua/img/books/</w:t>
        </w:r>
      </w:hyperlink>
      <w:r>
        <w:rPr>
          <w:color w:val="231F20"/>
          <w:sz w:val="21"/>
        </w:rPr>
        <w:t xml:space="preserve"> </w:t>
      </w:r>
      <w:r>
        <w:rPr>
          <w:color w:val="231F20"/>
          <w:spacing w:val="3"/>
          <w:sz w:val="21"/>
        </w:rPr>
        <w:t xml:space="preserve">files/1568817689cplr.%20consolidated%20judicial%20practice%20 </w:t>
      </w:r>
      <w:r>
        <w:rPr>
          <w:color w:val="231F20"/>
          <w:sz w:val="21"/>
        </w:rPr>
        <w:t>on%20administrative%20offenses%20related%20to%20corruption.pdf</w:t>
      </w:r>
    </w:p>
    <w:p w14:paraId="25EE1AD3" w14:textId="77777777" w:rsidR="00DE575E" w:rsidRDefault="002E7560">
      <w:pPr>
        <w:pStyle w:val="ListParagraph"/>
        <w:numPr>
          <w:ilvl w:val="0"/>
          <w:numId w:val="55"/>
        </w:numPr>
        <w:tabs>
          <w:tab w:val="left" w:pos="818"/>
        </w:tabs>
        <w:spacing w:before="2" w:line="252" w:lineRule="auto"/>
        <w:ind w:right="411" w:firstLine="283"/>
        <w:jc w:val="both"/>
        <w:rPr>
          <w:sz w:val="21"/>
        </w:rPr>
      </w:pPr>
      <w:r>
        <w:rPr>
          <w:color w:val="231F20"/>
          <w:spacing w:val="-3"/>
          <w:sz w:val="21"/>
        </w:rPr>
        <w:t xml:space="preserve">Культура </w:t>
      </w:r>
      <w:r>
        <w:rPr>
          <w:color w:val="231F20"/>
          <w:sz w:val="21"/>
        </w:rPr>
        <w:t xml:space="preserve">й етика в публічному адмініструванні : наук. розробка / С.М. Серьогін та iн. К.: </w:t>
      </w:r>
      <w:r>
        <w:rPr>
          <w:color w:val="231F20"/>
          <w:spacing w:val="-7"/>
          <w:sz w:val="21"/>
        </w:rPr>
        <w:t xml:space="preserve">НАДУ, </w:t>
      </w:r>
      <w:r>
        <w:rPr>
          <w:color w:val="231F20"/>
          <w:sz w:val="21"/>
        </w:rPr>
        <w:t>2010. 40</w:t>
      </w:r>
      <w:r>
        <w:rPr>
          <w:color w:val="231F20"/>
          <w:spacing w:val="1"/>
          <w:sz w:val="21"/>
        </w:rPr>
        <w:t xml:space="preserve"> </w:t>
      </w:r>
      <w:r>
        <w:rPr>
          <w:color w:val="231F20"/>
          <w:sz w:val="21"/>
        </w:rPr>
        <w:t>с.</w:t>
      </w:r>
    </w:p>
    <w:p w14:paraId="3A87E0FA" w14:textId="77777777" w:rsidR="00DE575E" w:rsidRDefault="002E7560">
      <w:pPr>
        <w:pStyle w:val="ListParagraph"/>
        <w:numPr>
          <w:ilvl w:val="0"/>
          <w:numId w:val="55"/>
        </w:numPr>
        <w:tabs>
          <w:tab w:val="left" w:pos="818"/>
        </w:tabs>
        <w:spacing w:line="252" w:lineRule="auto"/>
        <w:ind w:right="410" w:firstLine="283"/>
        <w:jc w:val="both"/>
        <w:rPr>
          <w:sz w:val="21"/>
        </w:rPr>
      </w:pPr>
      <w:r>
        <w:rPr>
          <w:color w:val="231F20"/>
          <w:sz w:val="21"/>
        </w:rPr>
        <w:t xml:space="preserve">Лученко Д., Крестьянінов </w:t>
      </w:r>
      <w:r>
        <w:rPr>
          <w:color w:val="231F20"/>
          <w:spacing w:val="-3"/>
          <w:sz w:val="21"/>
        </w:rPr>
        <w:t xml:space="preserve">О. </w:t>
      </w:r>
      <w:r>
        <w:rPr>
          <w:color w:val="231F20"/>
          <w:sz w:val="21"/>
        </w:rPr>
        <w:t xml:space="preserve">Прояв неповаги до </w:t>
      </w:r>
      <w:r>
        <w:rPr>
          <w:color w:val="231F20"/>
          <w:spacing w:val="-3"/>
          <w:sz w:val="21"/>
        </w:rPr>
        <w:t xml:space="preserve">суду: </w:t>
      </w:r>
      <w:r>
        <w:rPr>
          <w:color w:val="231F20"/>
          <w:sz w:val="21"/>
        </w:rPr>
        <w:t xml:space="preserve">пробле- матика застосування господарськими </w:t>
      </w:r>
      <w:r>
        <w:rPr>
          <w:color w:val="231F20"/>
          <w:spacing w:val="-3"/>
          <w:sz w:val="21"/>
        </w:rPr>
        <w:t xml:space="preserve">судами </w:t>
      </w:r>
      <w:r>
        <w:rPr>
          <w:color w:val="231F20"/>
          <w:sz w:val="21"/>
        </w:rPr>
        <w:t xml:space="preserve">заходів адміністра- тивної відповідальності: науково-практичний посібник. Х.: </w:t>
      </w:r>
      <w:r>
        <w:rPr>
          <w:color w:val="231F20"/>
          <w:spacing w:val="-4"/>
          <w:sz w:val="21"/>
        </w:rPr>
        <w:t xml:space="preserve">Юрайт, </w:t>
      </w:r>
      <w:r>
        <w:rPr>
          <w:color w:val="231F20"/>
          <w:sz w:val="21"/>
        </w:rPr>
        <w:t>2015. 96 с.</w:t>
      </w:r>
    </w:p>
    <w:p w14:paraId="09CEA5E0" w14:textId="77777777" w:rsidR="00DE575E" w:rsidRDefault="002E7560">
      <w:pPr>
        <w:pStyle w:val="ListParagraph"/>
        <w:numPr>
          <w:ilvl w:val="0"/>
          <w:numId w:val="55"/>
        </w:numPr>
        <w:tabs>
          <w:tab w:val="left" w:pos="818"/>
        </w:tabs>
        <w:spacing w:before="2" w:line="252" w:lineRule="auto"/>
        <w:ind w:right="411" w:firstLine="283"/>
        <w:jc w:val="both"/>
        <w:rPr>
          <w:sz w:val="21"/>
        </w:rPr>
      </w:pPr>
      <w:r>
        <w:rPr>
          <w:color w:val="231F20"/>
          <w:sz w:val="21"/>
        </w:rPr>
        <w:t xml:space="preserve">Мусієнко О.П. Адміністративно-правові </w:t>
      </w:r>
      <w:r>
        <w:rPr>
          <w:color w:val="231F20"/>
          <w:spacing w:val="-2"/>
          <w:sz w:val="21"/>
        </w:rPr>
        <w:t xml:space="preserve">заходи </w:t>
      </w:r>
      <w:r>
        <w:rPr>
          <w:color w:val="231F20"/>
          <w:sz w:val="21"/>
        </w:rPr>
        <w:t>запобігання та протидії</w:t>
      </w:r>
      <w:r>
        <w:rPr>
          <w:color w:val="231F20"/>
          <w:spacing w:val="-9"/>
          <w:sz w:val="21"/>
        </w:rPr>
        <w:t xml:space="preserve"> </w:t>
      </w:r>
      <w:r>
        <w:rPr>
          <w:color w:val="231F20"/>
          <w:sz w:val="21"/>
        </w:rPr>
        <w:t>корупції</w:t>
      </w:r>
      <w:r>
        <w:rPr>
          <w:color w:val="231F20"/>
          <w:spacing w:val="-9"/>
          <w:sz w:val="21"/>
        </w:rPr>
        <w:t xml:space="preserve"> </w:t>
      </w:r>
      <w:r>
        <w:rPr>
          <w:color w:val="231F20"/>
          <w:sz w:val="21"/>
        </w:rPr>
        <w:t>в</w:t>
      </w:r>
      <w:r>
        <w:rPr>
          <w:color w:val="231F20"/>
          <w:spacing w:val="-8"/>
          <w:sz w:val="21"/>
        </w:rPr>
        <w:t xml:space="preserve"> </w:t>
      </w:r>
      <w:r>
        <w:rPr>
          <w:color w:val="231F20"/>
          <w:sz w:val="21"/>
        </w:rPr>
        <w:t>органах</w:t>
      </w:r>
      <w:r>
        <w:rPr>
          <w:color w:val="231F20"/>
          <w:spacing w:val="-8"/>
          <w:sz w:val="21"/>
        </w:rPr>
        <w:t xml:space="preserve"> </w:t>
      </w:r>
      <w:r>
        <w:rPr>
          <w:color w:val="231F20"/>
          <w:sz w:val="21"/>
        </w:rPr>
        <w:t>виконавчої</w:t>
      </w:r>
      <w:r>
        <w:rPr>
          <w:color w:val="231F20"/>
          <w:spacing w:val="-9"/>
          <w:sz w:val="21"/>
        </w:rPr>
        <w:t xml:space="preserve"> </w:t>
      </w:r>
      <w:r>
        <w:rPr>
          <w:color w:val="231F20"/>
          <w:sz w:val="21"/>
        </w:rPr>
        <w:t>влади</w:t>
      </w:r>
      <w:r>
        <w:rPr>
          <w:color w:val="231F20"/>
          <w:spacing w:val="-8"/>
          <w:sz w:val="21"/>
        </w:rPr>
        <w:t xml:space="preserve"> </w:t>
      </w:r>
      <w:r>
        <w:rPr>
          <w:color w:val="231F20"/>
          <w:sz w:val="21"/>
        </w:rPr>
        <w:t>і</w:t>
      </w:r>
      <w:r>
        <w:rPr>
          <w:color w:val="231F20"/>
          <w:spacing w:val="-9"/>
          <w:sz w:val="21"/>
        </w:rPr>
        <w:t xml:space="preserve"> </w:t>
      </w:r>
      <w:r>
        <w:rPr>
          <w:color w:val="231F20"/>
          <w:sz w:val="21"/>
        </w:rPr>
        <w:t>місцевого</w:t>
      </w:r>
      <w:r>
        <w:rPr>
          <w:color w:val="231F20"/>
          <w:spacing w:val="-8"/>
          <w:sz w:val="21"/>
        </w:rPr>
        <w:t xml:space="preserve"> </w:t>
      </w:r>
      <w:r>
        <w:rPr>
          <w:color w:val="231F20"/>
          <w:sz w:val="21"/>
        </w:rPr>
        <w:t xml:space="preserve">самовряду- вання в </w:t>
      </w:r>
      <w:r>
        <w:rPr>
          <w:color w:val="231F20"/>
          <w:spacing w:val="-3"/>
          <w:sz w:val="21"/>
        </w:rPr>
        <w:t xml:space="preserve">Україні: </w:t>
      </w:r>
      <w:r>
        <w:rPr>
          <w:color w:val="231F20"/>
          <w:sz w:val="21"/>
        </w:rPr>
        <w:t>дис. … канд. юрид. наук. Київ, 2017. 242</w:t>
      </w:r>
      <w:r>
        <w:rPr>
          <w:color w:val="231F20"/>
          <w:spacing w:val="-7"/>
          <w:sz w:val="21"/>
        </w:rPr>
        <w:t xml:space="preserve"> </w:t>
      </w:r>
      <w:r>
        <w:rPr>
          <w:color w:val="231F20"/>
          <w:sz w:val="21"/>
        </w:rPr>
        <w:t>с.</w:t>
      </w:r>
    </w:p>
    <w:p w14:paraId="57BE27B0" w14:textId="77777777" w:rsidR="00DE575E" w:rsidRDefault="002E7560">
      <w:pPr>
        <w:pStyle w:val="ListParagraph"/>
        <w:numPr>
          <w:ilvl w:val="0"/>
          <w:numId w:val="55"/>
        </w:numPr>
        <w:tabs>
          <w:tab w:val="left" w:pos="818"/>
        </w:tabs>
        <w:spacing w:before="2" w:line="252" w:lineRule="auto"/>
        <w:ind w:right="411" w:firstLine="283"/>
        <w:jc w:val="both"/>
        <w:rPr>
          <w:sz w:val="21"/>
        </w:rPr>
      </w:pPr>
      <w:r>
        <w:rPr>
          <w:color w:val="231F20"/>
          <w:sz w:val="21"/>
        </w:rPr>
        <w:t xml:space="preserve">Науково-практичний коментар до Закону </w:t>
      </w:r>
      <w:r>
        <w:rPr>
          <w:color w:val="231F20"/>
          <w:spacing w:val="-3"/>
          <w:sz w:val="21"/>
        </w:rPr>
        <w:t xml:space="preserve">України </w:t>
      </w:r>
      <w:r>
        <w:rPr>
          <w:color w:val="231F20"/>
          <w:sz w:val="21"/>
        </w:rPr>
        <w:t xml:space="preserve">«Про запо- бігання корупції» / Банчук О.А.  та  ін.;  наук.  ред. </w:t>
      </w:r>
      <w:r>
        <w:rPr>
          <w:color w:val="231F20"/>
          <w:sz w:val="21"/>
        </w:rPr>
        <w:t xml:space="preserve"> Хавронюк  М.  І., К.: Ваіте, 2018. 472</w:t>
      </w:r>
      <w:r>
        <w:rPr>
          <w:color w:val="231F20"/>
          <w:spacing w:val="-1"/>
          <w:sz w:val="21"/>
        </w:rPr>
        <w:t xml:space="preserve"> </w:t>
      </w:r>
      <w:r>
        <w:rPr>
          <w:color w:val="231F20"/>
          <w:sz w:val="21"/>
        </w:rPr>
        <w:t>с.</w:t>
      </w:r>
    </w:p>
    <w:p w14:paraId="35057650" w14:textId="77777777" w:rsidR="00DE575E" w:rsidRDefault="002E7560">
      <w:pPr>
        <w:pStyle w:val="ListParagraph"/>
        <w:numPr>
          <w:ilvl w:val="0"/>
          <w:numId w:val="55"/>
        </w:numPr>
        <w:tabs>
          <w:tab w:val="left" w:pos="818"/>
        </w:tabs>
        <w:ind w:firstLine="283"/>
        <w:rPr>
          <w:sz w:val="21"/>
        </w:rPr>
      </w:pPr>
      <w:r>
        <w:rPr>
          <w:color w:val="231F20"/>
          <w:sz w:val="21"/>
        </w:rPr>
        <w:t xml:space="preserve">Про запобігання корупції: Закон </w:t>
      </w:r>
      <w:r>
        <w:rPr>
          <w:color w:val="231F20"/>
          <w:spacing w:val="-3"/>
          <w:sz w:val="21"/>
        </w:rPr>
        <w:t xml:space="preserve">України </w:t>
      </w:r>
      <w:r>
        <w:rPr>
          <w:color w:val="231F20"/>
          <w:sz w:val="21"/>
        </w:rPr>
        <w:t>від</w:t>
      </w:r>
      <w:r>
        <w:rPr>
          <w:color w:val="231F20"/>
          <w:spacing w:val="5"/>
          <w:sz w:val="21"/>
        </w:rPr>
        <w:t xml:space="preserve"> </w:t>
      </w:r>
      <w:r>
        <w:rPr>
          <w:color w:val="231F20"/>
          <w:sz w:val="21"/>
        </w:rPr>
        <w:t>14.10.2014 р.</w:t>
      </w:r>
    </w:p>
    <w:p w14:paraId="2D9899B4" w14:textId="77777777" w:rsidR="00DE575E" w:rsidRDefault="002E7560">
      <w:pPr>
        <w:pStyle w:val="BodyText"/>
        <w:spacing w:before="13"/>
        <w:ind w:left="250"/>
      </w:pPr>
      <w:r>
        <w:rPr>
          <w:color w:val="231F20"/>
        </w:rPr>
        <w:t xml:space="preserve">№ 1700-VII. URL: </w:t>
      </w:r>
      <w:hyperlink r:id="rId49">
        <w:r>
          <w:rPr>
            <w:color w:val="231F20"/>
          </w:rPr>
          <w:t>http://zakon0.rada.gov.ua/laws/show/1700-18/page</w:t>
        </w:r>
      </w:hyperlink>
    </w:p>
    <w:p w14:paraId="524D6289" w14:textId="77777777" w:rsidR="00DE575E" w:rsidRDefault="002E7560">
      <w:pPr>
        <w:pStyle w:val="ListParagraph"/>
        <w:numPr>
          <w:ilvl w:val="0"/>
          <w:numId w:val="55"/>
        </w:numPr>
        <w:tabs>
          <w:tab w:val="left" w:pos="818"/>
        </w:tabs>
        <w:spacing w:before="13" w:line="252" w:lineRule="auto"/>
        <w:ind w:right="407" w:firstLine="283"/>
        <w:jc w:val="both"/>
        <w:rPr>
          <w:sz w:val="21"/>
        </w:rPr>
      </w:pPr>
      <w:r>
        <w:rPr>
          <w:color w:val="231F20"/>
          <w:sz w:val="21"/>
        </w:rPr>
        <w:t>Про затвердження Мето</w:t>
      </w:r>
      <w:r>
        <w:rPr>
          <w:color w:val="231F20"/>
          <w:sz w:val="21"/>
        </w:rPr>
        <w:t>дичних рекомендацій щодо запобі- гання та врегулювання конфлікту інтересів: Рішення Національ- ного агентства з питань запобігання корупції від 29.09.2017 № 839. URL: https://mfa.gov.ua/mediafiles/files/misc/2017-10-30/2017-10- 30_2.pdf</w:t>
      </w:r>
    </w:p>
    <w:p w14:paraId="7DC9FAEE" w14:textId="77777777" w:rsidR="00DE575E" w:rsidRDefault="002E7560">
      <w:pPr>
        <w:pStyle w:val="ListParagraph"/>
        <w:numPr>
          <w:ilvl w:val="0"/>
          <w:numId w:val="55"/>
        </w:numPr>
        <w:tabs>
          <w:tab w:val="left" w:pos="818"/>
        </w:tabs>
        <w:spacing w:before="2" w:line="252" w:lineRule="auto"/>
        <w:ind w:right="405" w:firstLine="283"/>
        <w:jc w:val="both"/>
        <w:rPr>
          <w:sz w:val="21"/>
        </w:rPr>
      </w:pPr>
      <w:r>
        <w:rPr>
          <w:color w:val="231F20"/>
          <w:spacing w:val="1"/>
          <w:sz w:val="21"/>
        </w:rPr>
        <w:t xml:space="preserve">Роз’яснення НАЗК </w:t>
      </w:r>
      <w:r>
        <w:rPr>
          <w:color w:val="231F20"/>
          <w:sz w:val="21"/>
        </w:rPr>
        <w:t xml:space="preserve">«Щодо  </w:t>
      </w:r>
      <w:r>
        <w:rPr>
          <w:color w:val="231F20"/>
          <w:spacing w:val="1"/>
          <w:sz w:val="21"/>
        </w:rPr>
        <w:t xml:space="preserve">застосування  окремих  </w:t>
      </w:r>
      <w:r>
        <w:rPr>
          <w:color w:val="231F20"/>
          <w:sz w:val="21"/>
        </w:rPr>
        <w:t xml:space="preserve">поло-  жень </w:t>
      </w:r>
      <w:r>
        <w:rPr>
          <w:color w:val="231F20"/>
          <w:spacing w:val="1"/>
          <w:sz w:val="21"/>
        </w:rPr>
        <w:t xml:space="preserve">Закону </w:t>
      </w:r>
      <w:r>
        <w:rPr>
          <w:color w:val="231F20"/>
          <w:sz w:val="21"/>
        </w:rPr>
        <w:t xml:space="preserve">України </w:t>
      </w:r>
      <w:r>
        <w:rPr>
          <w:color w:val="231F20"/>
          <w:spacing w:val="1"/>
          <w:sz w:val="21"/>
        </w:rPr>
        <w:t xml:space="preserve">«Про запобігання  корупції»  </w:t>
      </w:r>
      <w:r>
        <w:rPr>
          <w:color w:val="231F20"/>
          <w:spacing w:val="2"/>
          <w:sz w:val="21"/>
        </w:rPr>
        <w:t>стосовно</w:t>
      </w:r>
      <w:r>
        <w:rPr>
          <w:color w:val="231F20"/>
          <w:spacing w:val="51"/>
          <w:sz w:val="21"/>
        </w:rPr>
        <w:t xml:space="preserve"> </w:t>
      </w:r>
      <w:r>
        <w:rPr>
          <w:color w:val="231F20"/>
          <w:sz w:val="21"/>
        </w:rPr>
        <w:t xml:space="preserve">заходів    </w:t>
      </w:r>
      <w:r>
        <w:rPr>
          <w:color w:val="231F20"/>
          <w:spacing w:val="1"/>
          <w:sz w:val="21"/>
        </w:rPr>
        <w:t xml:space="preserve">фінансового    контролю»    </w:t>
      </w:r>
      <w:r>
        <w:rPr>
          <w:color w:val="231F20"/>
          <w:sz w:val="21"/>
        </w:rPr>
        <w:t xml:space="preserve">від    </w:t>
      </w:r>
      <w:r>
        <w:rPr>
          <w:color w:val="231F20"/>
          <w:spacing w:val="1"/>
          <w:sz w:val="21"/>
        </w:rPr>
        <w:t xml:space="preserve">13.02.2020 </w:t>
      </w:r>
      <w:r>
        <w:rPr>
          <w:color w:val="231F20"/>
          <w:sz w:val="21"/>
        </w:rPr>
        <w:t>р.    79    с.</w:t>
      </w:r>
      <w:r>
        <w:rPr>
          <w:color w:val="231F20"/>
          <w:spacing w:val="10"/>
          <w:sz w:val="21"/>
        </w:rPr>
        <w:t xml:space="preserve"> </w:t>
      </w:r>
      <w:r>
        <w:rPr>
          <w:color w:val="231F20"/>
          <w:spacing w:val="2"/>
          <w:sz w:val="21"/>
        </w:rPr>
        <w:t>URL:</w:t>
      </w:r>
    </w:p>
    <w:p w14:paraId="48AC8282" w14:textId="77777777" w:rsidR="00DE575E" w:rsidRDefault="00DE575E">
      <w:pPr>
        <w:pStyle w:val="BodyText"/>
        <w:spacing w:before="6"/>
        <w:rPr>
          <w:sz w:val="12"/>
        </w:rPr>
      </w:pPr>
    </w:p>
    <w:p w14:paraId="1D178D6B" w14:textId="77777777" w:rsidR="00DE575E" w:rsidRDefault="002E7560">
      <w:pPr>
        <w:spacing w:before="92"/>
        <w:ind w:right="411"/>
        <w:jc w:val="right"/>
        <w:rPr>
          <w:rFonts w:ascii="Times New Roman"/>
          <w:sz w:val="20"/>
        </w:rPr>
      </w:pPr>
      <w:r>
        <w:rPr>
          <w:rFonts w:ascii="Times New Roman"/>
          <w:color w:val="231F20"/>
          <w:w w:val="90"/>
          <w:sz w:val="20"/>
        </w:rPr>
        <w:t>437</w:t>
      </w:r>
    </w:p>
    <w:p w14:paraId="2B9913B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A9554A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DDC6A79" w14:textId="1FE4A23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18C0099" wp14:editId="4E1893A3">
                <wp:extent cx="4140200" cy="6350"/>
                <wp:effectExtent l="0" t="0" r="12700" b="6350"/>
                <wp:docPr id="29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97" name="Line 2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BB976E" id="Group_x0020_2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Uwf03gAIAAJgFAAAO&#10;AAAAAAAAAAAAAAAAACwCAABkcnMvZTJvRG9jLnhtbFBLAQItABQABgAIAAAAIQBMp7CQ2QAAAAMB&#10;AAAPAAAAAAAAAAAAAAAAANgEAABkcnMvZG93bnJldi54bWxQSwUGAAAAAAQABADzAAAA3gUAAAAA&#10;">
                <v:line id="Line_x0020_2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Il+sYAAADcAAAADwAAAGRycy9kb3ducmV2LnhtbESP0WrCQBRE3wX/YblCX4puVKgaXUUK&#10;hdIHbY0fcM1ek+Du3ZhdTdqv7xYKPg4zc4ZZbTprxJ0aXzlWMB4lIIhzpysuFByzt+EchA/IGo1j&#10;UvBNHjbrfm+FqXYtf9H9EAoRIexTVFCGUKdS+rwki37kauLonV1jMUTZFFI32Ea4NXKSJC/SYsVx&#10;ocSaXkvKL4ebVZBdn4P53H+YNtufpvJ03U1/bjulngbddgkiUBce4f/2u1YwWcz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CJfrGAAAA3AAAAA8AAAAAAAAA&#10;AAAAAAAAoQIAAGRycy9kb3ducmV2LnhtbFBLBQYAAAAABAAEAPkAAACUAwAAAAA=&#10;" strokecolor="#231f20" strokeweight=".5pt"/>
                <w10:anchorlock/>
              </v:group>
            </w:pict>
          </mc:Fallback>
        </mc:AlternateContent>
      </w:r>
    </w:p>
    <w:p w14:paraId="4BED7075" w14:textId="77777777" w:rsidR="00DE575E" w:rsidRDefault="00DE575E">
      <w:pPr>
        <w:pStyle w:val="BodyText"/>
        <w:spacing w:before="7"/>
        <w:rPr>
          <w:rFonts w:ascii="AdonisC"/>
          <w:i/>
          <w:sz w:val="11"/>
        </w:rPr>
      </w:pPr>
    </w:p>
    <w:p w14:paraId="6F0023CC" w14:textId="77777777" w:rsidR="00DE575E" w:rsidRDefault="002E7560">
      <w:pPr>
        <w:pStyle w:val="BodyText"/>
        <w:spacing w:before="101" w:line="252" w:lineRule="auto"/>
        <w:ind w:left="533" w:right="119"/>
      </w:pPr>
      <w:r>
        <w:rPr>
          <w:color w:val="231F20"/>
        </w:rPr>
        <w:t>https://nazk.gov.ua/wp-content/uploads/2020/02/Rozyasnennya- 2020-finish-12.02.2020.pdf</w:t>
      </w:r>
    </w:p>
    <w:p w14:paraId="736A4D81" w14:textId="77777777" w:rsidR="00DE575E" w:rsidRDefault="002E7560">
      <w:pPr>
        <w:pStyle w:val="BodyText"/>
        <w:spacing w:before="1" w:line="252" w:lineRule="auto"/>
        <w:ind w:left="533" w:right="128" w:firstLine="283"/>
        <w:jc w:val="both"/>
      </w:pPr>
      <w:r>
        <w:rPr>
          <w:color w:val="231F20"/>
        </w:rPr>
        <w:t>9. Рудакевич М.І. Професійна етика державних службовців: теорія і практика формування в умовах демократизації державного уп</w:t>
      </w:r>
      <w:r>
        <w:rPr>
          <w:color w:val="231F20"/>
        </w:rPr>
        <w:t xml:space="preserve">равління: монографія. </w:t>
      </w:r>
      <w:r>
        <w:rPr>
          <w:color w:val="231F20"/>
          <w:spacing w:val="-9"/>
        </w:rPr>
        <w:t xml:space="preserve">Т.: </w:t>
      </w:r>
      <w:r>
        <w:rPr>
          <w:color w:val="231F20"/>
        </w:rPr>
        <w:t>АСТОН, 2007. 400</w:t>
      </w:r>
      <w:r>
        <w:rPr>
          <w:color w:val="231F20"/>
          <w:spacing w:val="3"/>
        </w:rPr>
        <w:t xml:space="preserve"> </w:t>
      </w:r>
      <w:r>
        <w:rPr>
          <w:color w:val="231F20"/>
        </w:rPr>
        <w:t>с.</w:t>
      </w:r>
    </w:p>
    <w:p w14:paraId="502C4C91" w14:textId="77777777" w:rsidR="00DE575E" w:rsidRDefault="002E7560">
      <w:pPr>
        <w:pStyle w:val="BodyText"/>
        <w:spacing w:before="1" w:line="252" w:lineRule="auto"/>
        <w:ind w:left="533" w:right="127" w:firstLine="283"/>
        <w:jc w:val="both"/>
      </w:pPr>
      <w:r>
        <w:rPr>
          <w:color w:val="231F20"/>
        </w:rPr>
        <w:t xml:space="preserve">10.Щодо  притягнення  до  адміністративної   відповідальності  за окремі правопорушення, пов’язані з корупцією: Лист Вищого спеціалізованого </w:t>
      </w:r>
      <w:r>
        <w:rPr>
          <w:color w:val="231F20"/>
          <w:spacing w:val="-4"/>
        </w:rPr>
        <w:t xml:space="preserve">суду </w:t>
      </w:r>
      <w:r>
        <w:rPr>
          <w:color w:val="231F20"/>
        </w:rPr>
        <w:t xml:space="preserve">з </w:t>
      </w:r>
      <w:r>
        <w:rPr>
          <w:color w:val="231F20"/>
          <w:spacing w:val="-3"/>
        </w:rPr>
        <w:t xml:space="preserve">розгляду </w:t>
      </w:r>
      <w:r>
        <w:rPr>
          <w:color w:val="231F20"/>
        </w:rPr>
        <w:t>цивільних і кримінальних справ від 22.05.2017 р. URL: https://ksa.court.gov.ua/sud2118/pres-centr/ news/351905/</w:t>
      </w:r>
    </w:p>
    <w:p w14:paraId="4E823682" w14:textId="77777777" w:rsidR="00DE575E" w:rsidRDefault="00DE575E">
      <w:pPr>
        <w:pStyle w:val="BodyText"/>
        <w:rPr>
          <w:sz w:val="20"/>
        </w:rPr>
      </w:pPr>
    </w:p>
    <w:p w14:paraId="7471FF47" w14:textId="77777777" w:rsidR="00DE575E" w:rsidRDefault="00DE575E">
      <w:pPr>
        <w:pStyle w:val="BodyText"/>
        <w:rPr>
          <w:sz w:val="20"/>
        </w:rPr>
      </w:pPr>
    </w:p>
    <w:p w14:paraId="545B2FC4" w14:textId="77777777" w:rsidR="00DE575E" w:rsidRDefault="00DE575E">
      <w:pPr>
        <w:pStyle w:val="BodyText"/>
        <w:rPr>
          <w:sz w:val="20"/>
        </w:rPr>
      </w:pPr>
    </w:p>
    <w:p w14:paraId="49445E79" w14:textId="77777777" w:rsidR="00DE575E" w:rsidRDefault="00DE575E">
      <w:pPr>
        <w:pStyle w:val="BodyText"/>
        <w:rPr>
          <w:sz w:val="20"/>
        </w:rPr>
      </w:pPr>
    </w:p>
    <w:p w14:paraId="5EE933DA" w14:textId="77777777" w:rsidR="00DE575E" w:rsidRDefault="00DE575E">
      <w:pPr>
        <w:pStyle w:val="BodyText"/>
        <w:rPr>
          <w:sz w:val="20"/>
        </w:rPr>
      </w:pPr>
    </w:p>
    <w:p w14:paraId="3377219D" w14:textId="77777777" w:rsidR="00DE575E" w:rsidRDefault="00DE575E">
      <w:pPr>
        <w:pStyle w:val="BodyText"/>
        <w:rPr>
          <w:sz w:val="20"/>
        </w:rPr>
      </w:pPr>
    </w:p>
    <w:p w14:paraId="7C5161B1" w14:textId="77777777" w:rsidR="00DE575E" w:rsidRDefault="00DE575E">
      <w:pPr>
        <w:pStyle w:val="BodyText"/>
        <w:rPr>
          <w:sz w:val="20"/>
        </w:rPr>
      </w:pPr>
    </w:p>
    <w:p w14:paraId="591DC573" w14:textId="77777777" w:rsidR="00DE575E" w:rsidRDefault="00DE575E">
      <w:pPr>
        <w:pStyle w:val="BodyText"/>
        <w:rPr>
          <w:sz w:val="20"/>
        </w:rPr>
      </w:pPr>
    </w:p>
    <w:p w14:paraId="662CBA3F" w14:textId="77777777" w:rsidR="00DE575E" w:rsidRDefault="00DE575E">
      <w:pPr>
        <w:pStyle w:val="BodyText"/>
        <w:rPr>
          <w:sz w:val="20"/>
        </w:rPr>
      </w:pPr>
    </w:p>
    <w:p w14:paraId="5CF1EB2F" w14:textId="77777777" w:rsidR="00DE575E" w:rsidRDefault="00DE575E">
      <w:pPr>
        <w:pStyle w:val="BodyText"/>
        <w:rPr>
          <w:sz w:val="20"/>
        </w:rPr>
      </w:pPr>
    </w:p>
    <w:p w14:paraId="47D86448" w14:textId="77777777" w:rsidR="00DE575E" w:rsidRDefault="00DE575E">
      <w:pPr>
        <w:pStyle w:val="BodyText"/>
        <w:rPr>
          <w:sz w:val="20"/>
        </w:rPr>
      </w:pPr>
    </w:p>
    <w:p w14:paraId="538C01CF" w14:textId="77777777" w:rsidR="00DE575E" w:rsidRDefault="00DE575E">
      <w:pPr>
        <w:pStyle w:val="BodyText"/>
        <w:rPr>
          <w:sz w:val="20"/>
        </w:rPr>
      </w:pPr>
    </w:p>
    <w:p w14:paraId="3D2E525E" w14:textId="77777777" w:rsidR="00DE575E" w:rsidRDefault="00DE575E">
      <w:pPr>
        <w:pStyle w:val="BodyText"/>
        <w:rPr>
          <w:sz w:val="20"/>
        </w:rPr>
      </w:pPr>
    </w:p>
    <w:p w14:paraId="351AB6C4" w14:textId="77777777" w:rsidR="00DE575E" w:rsidRDefault="00DE575E">
      <w:pPr>
        <w:pStyle w:val="BodyText"/>
        <w:rPr>
          <w:sz w:val="20"/>
        </w:rPr>
      </w:pPr>
    </w:p>
    <w:p w14:paraId="5CE25624" w14:textId="77777777" w:rsidR="00DE575E" w:rsidRDefault="00DE575E">
      <w:pPr>
        <w:pStyle w:val="BodyText"/>
        <w:rPr>
          <w:sz w:val="20"/>
        </w:rPr>
      </w:pPr>
    </w:p>
    <w:p w14:paraId="720F9438" w14:textId="77777777" w:rsidR="00DE575E" w:rsidRDefault="00DE575E">
      <w:pPr>
        <w:pStyle w:val="BodyText"/>
        <w:rPr>
          <w:sz w:val="20"/>
        </w:rPr>
      </w:pPr>
    </w:p>
    <w:p w14:paraId="5AB60CD2" w14:textId="77777777" w:rsidR="00DE575E" w:rsidRDefault="00DE575E">
      <w:pPr>
        <w:pStyle w:val="BodyText"/>
        <w:rPr>
          <w:sz w:val="20"/>
        </w:rPr>
      </w:pPr>
    </w:p>
    <w:p w14:paraId="1516C476" w14:textId="77777777" w:rsidR="00DE575E" w:rsidRDefault="00DE575E">
      <w:pPr>
        <w:pStyle w:val="BodyText"/>
        <w:rPr>
          <w:sz w:val="20"/>
        </w:rPr>
      </w:pPr>
    </w:p>
    <w:p w14:paraId="257B931F" w14:textId="77777777" w:rsidR="00DE575E" w:rsidRDefault="00DE575E">
      <w:pPr>
        <w:pStyle w:val="BodyText"/>
        <w:rPr>
          <w:sz w:val="20"/>
        </w:rPr>
      </w:pPr>
    </w:p>
    <w:p w14:paraId="10C7E534" w14:textId="77777777" w:rsidR="00DE575E" w:rsidRDefault="00DE575E">
      <w:pPr>
        <w:pStyle w:val="BodyText"/>
        <w:rPr>
          <w:sz w:val="20"/>
        </w:rPr>
      </w:pPr>
    </w:p>
    <w:p w14:paraId="5FB0C6AB" w14:textId="77777777" w:rsidR="00DE575E" w:rsidRDefault="00DE575E">
      <w:pPr>
        <w:pStyle w:val="BodyText"/>
        <w:rPr>
          <w:sz w:val="20"/>
        </w:rPr>
      </w:pPr>
    </w:p>
    <w:p w14:paraId="1BC2729A" w14:textId="77777777" w:rsidR="00DE575E" w:rsidRDefault="00DE575E">
      <w:pPr>
        <w:pStyle w:val="BodyText"/>
        <w:rPr>
          <w:sz w:val="20"/>
        </w:rPr>
      </w:pPr>
    </w:p>
    <w:p w14:paraId="0DB347AE" w14:textId="77777777" w:rsidR="00DE575E" w:rsidRDefault="00DE575E">
      <w:pPr>
        <w:pStyle w:val="BodyText"/>
        <w:rPr>
          <w:sz w:val="20"/>
        </w:rPr>
      </w:pPr>
    </w:p>
    <w:p w14:paraId="31D1877F" w14:textId="77777777" w:rsidR="00DE575E" w:rsidRDefault="00DE575E">
      <w:pPr>
        <w:pStyle w:val="BodyText"/>
        <w:rPr>
          <w:sz w:val="20"/>
        </w:rPr>
      </w:pPr>
    </w:p>
    <w:p w14:paraId="4E47F032" w14:textId="77777777" w:rsidR="00DE575E" w:rsidRDefault="00DE575E">
      <w:pPr>
        <w:pStyle w:val="BodyText"/>
        <w:rPr>
          <w:sz w:val="20"/>
        </w:rPr>
      </w:pPr>
    </w:p>
    <w:p w14:paraId="38D69EEF" w14:textId="77777777" w:rsidR="00DE575E" w:rsidRDefault="00DE575E">
      <w:pPr>
        <w:pStyle w:val="BodyText"/>
        <w:rPr>
          <w:sz w:val="20"/>
        </w:rPr>
      </w:pPr>
    </w:p>
    <w:p w14:paraId="1C9BF877" w14:textId="77777777" w:rsidR="00DE575E" w:rsidRDefault="00DE575E">
      <w:pPr>
        <w:pStyle w:val="BodyText"/>
        <w:rPr>
          <w:sz w:val="20"/>
        </w:rPr>
      </w:pPr>
    </w:p>
    <w:p w14:paraId="2697A534" w14:textId="77777777" w:rsidR="00DE575E" w:rsidRDefault="00DE575E">
      <w:pPr>
        <w:pStyle w:val="BodyText"/>
        <w:rPr>
          <w:sz w:val="20"/>
        </w:rPr>
      </w:pPr>
    </w:p>
    <w:p w14:paraId="22A989AB" w14:textId="77777777" w:rsidR="00DE575E" w:rsidRDefault="00DE575E">
      <w:pPr>
        <w:pStyle w:val="BodyText"/>
        <w:rPr>
          <w:sz w:val="20"/>
        </w:rPr>
      </w:pPr>
    </w:p>
    <w:p w14:paraId="5D132D6D" w14:textId="77777777" w:rsidR="00DE575E" w:rsidRDefault="00DE575E">
      <w:pPr>
        <w:pStyle w:val="BodyText"/>
        <w:rPr>
          <w:sz w:val="20"/>
        </w:rPr>
      </w:pPr>
    </w:p>
    <w:p w14:paraId="43C2934D" w14:textId="77777777" w:rsidR="00DE575E" w:rsidRDefault="00DE575E">
      <w:pPr>
        <w:pStyle w:val="BodyText"/>
        <w:rPr>
          <w:sz w:val="20"/>
        </w:rPr>
      </w:pPr>
    </w:p>
    <w:p w14:paraId="1A99CF9C" w14:textId="77777777" w:rsidR="00DE575E" w:rsidRDefault="00DE575E">
      <w:pPr>
        <w:pStyle w:val="BodyText"/>
        <w:rPr>
          <w:sz w:val="20"/>
        </w:rPr>
      </w:pPr>
    </w:p>
    <w:p w14:paraId="19BE56F6" w14:textId="77777777" w:rsidR="00DE575E" w:rsidRDefault="00DE575E">
      <w:pPr>
        <w:pStyle w:val="BodyText"/>
        <w:spacing w:before="1"/>
      </w:pPr>
    </w:p>
    <w:p w14:paraId="361AD331" w14:textId="77777777" w:rsidR="00DE575E" w:rsidRDefault="002E7560">
      <w:pPr>
        <w:ind w:left="533"/>
        <w:rPr>
          <w:rFonts w:ascii="Times New Roman"/>
          <w:sz w:val="20"/>
        </w:rPr>
      </w:pPr>
      <w:r>
        <w:rPr>
          <w:rFonts w:ascii="Times New Roman"/>
          <w:color w:val="231F20"/>
          <w:sz w:val="20"/>
        </w:rPr>
        <w:t>438</w:t>
      </w:r>
    </w:p>
    <w:p w14:paraId="3E24BEA4" w14:textId="77777777" w:rsidR="00DE575E" w:rsidRDefault="00DE575E">
      <w:pPr>
        <w:rPr>
          <w:rFonts w:ascii="Times New Roman"/>
          <w:sz w:val="20"/>
        </w:rPr>
        <w:sectPr w:rsidR="00DE575E">
          <w:pgSz w:w="8510" w:h="12760"/>
          <w:pgMar w:top="660" w:right="720" w:bottom="280" w:left="600" w:header="720" w:footer="720" w:gutter="0"/>
          <w:cols w:space="720"/>
        </w:sectPr>
      </w:pPr>
    </w:p>
    <w:p w14:paraId="22B26A21"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319E3195" w14:textId="745B414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E3296B3" wp14:editId="0693EF98">
                <wp:extent cx="4140200" cy="6350"/>
                <wp:effectExtent l="0" t="0" r="12700" b="6350"/>
                <wp:docPr id="29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95" name="Line 29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22E3DC" id="Group_x0020_29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yRnCx/AgAAmAUAAA4A&#10;AAAAAAAAAAAAAAAALAIAAGRycy9lMm9Eb2MueG1sUEsBAi0AFAAGAAgAAAAhAEynsJDZAAAAAwEA&#10;AA8AAAAAAAAAAAAAAAAA1wQAAGRycy9kb3ducmV2LnhtbFBLBQYAAAAABAAEAPMAAADdBQAAAAA=&#10;">
                <v:line id="Line_x0020_29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weFsYAAADcAAAADwAAAGRycy9kb3ducmV2LnhtbESP0WrCQBRE3wX/YblCX4puVCoaXUUK&#10;hdIHbY0fcM1ek+Du3ZhdTdqv7xYKPg4zc4ZZbTprxJ0aXzlWMB4lIIhzpysuFByzt+EchA/IGo1j&#10;UvBNHjbrfm+FqXYtf9H9EAoRIexTVFCGUKdS+rwki37kauLonV1jMUTZFFI32Ea4NXKSJDNpseK4&#10;UGJNryXll8PNKsiuz8F87j9Mm+1PU3m67qY/t51ST4NuuwQRqAuP8H/7XSuYLF7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cHhbGAAAA3AAAAA8AAAAAAAAA&#10;AAAAAAAAoQIAAGRycy9kb3ducmV2LnhtbFBLBQYAAAAABAAEAPkAAACUAwAAAAA=&#10;" strokecolor="#231f20" strokeweight=".5pt"/>
                <w10:anchorlock/>
              </v:group>
            </w:pict>
          </mc:Fallback>
        </mc:AlternateContent>
      </w:r>
    </w:p>
    <w:p w14:paraId="1CE0E072" w14:textId="77777777" w:rsidR="00DE575E" w:rsidRDefault="00DE575E">
      <w:pPr>
        <w:pStyle w:val="BodyText"/>
        <w:spacing w:before="6"/>
        <w:rPr>
          <w:rFonts w:ascii="AdonisC"/>
          <w:i/>
          <w:sz w:val="18"/>
        </w:rPr>
      </w:pPr>
    </w:p>
    <w:p w14:paraId="7A0F3B8B" w14:textId="77777777" w:rsidR="00DE575E" w:rsidRDefault="002E7560">
      <w:pPr>
        <w:pStyle w:val="Heading2"/>
        <w:spacing w:line="314" w:lineRule="exact"/>
        <w:ind w:left="497" w:right="658"/>
        <w:jc w:val="center"/>
      </w:pPr>
      <w:r>
        <w:rPr>
          <w:color w:val="231F20"/>
        </w:rPr>
        <w:t>Розділ 5</w:t>
      </w:r>
    </w:p>
    <w:p w14:paraId="356C444C" w14:textId="77777777" w:rsidR="00DE575E" w:rsidRDefault="002E7560">
      <w:pPr>
        <w:spacing w:line="314" w:lineRule="exact"/>
        <w:ind w:left="293"/>
        <w:rPr>
          <w:b/>
          <w:sz w:val="16"/>
        </w:rPr>
      </w:pPr>
      <w:r>
        <w:rPr>
          <w:b/>
          <w:color w:val="231F20"/>
          <w:sz w:val="28"/>
        </w:rPr>
        <w:t>ПРОХОДЖЕННЯ ПУБЛІЧНОЇ СЛУЖБИ В УКРАЇНІ</w:t>
      </w:r>
      <w:r>
        <w:rPr>
          <w:b/>
          <w:color w:val="231F20"/>
          <w:position w:val="9"/>
          <w:sz w:val="16"/>
        </w:rPr>
        <w:t>1</w:t>
      </w:r>
    </w:p>
    <w:p w14:paraId="1584FABE" w14:textId="77777777" w:rsidR="00DE575E" w:rsidRDefault="00DE575E">
      <w:pPr>
        <w:pStyle w:val="BodyText"/>
        <w:rPr>
          <w:b/>
          <w:sz w:val="44"/>
        </w:rPr>
      </w:pPr>
    </w:p>
    <w:p w14:paraId="29940A6A" w14:textId="77777777" w:rsidR="00DE575E" w:rsidRDefault="002E7560">
      <w:pPr>
        <w:pStyle w:val="BodyText"/>
        <w:spacing w:line="252" w:lineRule="auto"/>
        <w:ind w:left="250" w:right="409" w:firstLine="283"/>
        <w:jc w:val="both"/>
      </w:pPr>
      <w:r>
        <w:rPr>
          <w:color w:val="231F20"/>
        </w:rPr>
        <w:t>Процес проходження публічної служби в структурі такого склад- ного</w:t>
      </w:r>
      <w:r>
        <w:rPr>
          <w:color w:val="231F20"/>
          <w:spacing w:val="-7"/>
        </w:rPr>
        <w:t xml:space="preserve"> </w:t>
      </w:r>
      <w:r>
        <w:rPr>
          <w:color w:val="231F20"/>
        </w:rPr>
        <w:t>інтегрованого</w:t>
      </w:r>
      <w:r>
        <w:rPr>
          <w:color w:val="231F20"/>
          <w:spacing w:val="-7"/>
        </w:rPr>
        <w:t xml:space="preserve"> </w:t>
      </w:r>
      <w:r>
        <w:rPr>
          <w:color w:val="231F20"/>
        </w:rPr>
        <w:t>соціально-правового</w:t>
      </w:r>
      <w:r>
        <w:rPr>
          <w:color w:val="231F20"/>
          <w:spacing w:val="-7"/>
        </w:rPr>
        <w:t xml:space="preserve"> </w:t>
      </w:r>
      <w:r>
        <w:rPr>
          <w:color w:val="231F20"/>
        </w:rPr>
        <w:t>явища,</w:t>
      </w:r>
      <w:r>
        <w:rPr>
          <w:color w:val="231F20"/>
          <w:spacing w:val="-7"/>
        </w:rPr>
        <w:t xml:space="preserve"> </w:t>
      </w:r>
      <w:r>
        <w:rPr>
          <w:color w:val="231F20"/>
        </w:rPr>
        <w:t>як</w:t>
      </w:r>
      <w:r>
        <w:rPr>
          <w:color w:val="231F20"/>
          <w:spacing w:val="-7"/>
        </w:rPr>
        <w:t xml:space="preserve"> </w:t>
      </w:r>
      <w:r>
        <w:rPr>
          <w:color w:val="231F20"/>
        </w:rPr>
        <w:t>публічна</w:t>
      </w:r>
      <w:r>
        <w:rPr>
          <w:color w:val="231F20"/>
          <w:spacing w:val="-7"/>
        </w:rPr>
        <w:t xml:space="preserve"> </w:t>
      </w:r>
      <w:r>
        <w:rPr>
          <w:color w:val="231F20"/>
        </w:rPr>
        <w:t>служба, займає</w:t>
      </w:r>
      <w:r>
        <w:rPr>
          <w:color w:val="231F20"/>
          <w:spacing w:val="-10"/>
        </w:rPr>
        <w:t xml:space="preserve"> </w:t>
      </w:r>
      <w:r>
        <w:rPr>
          <w:color w:val="231F20"/>
        </w:rPr>
        <w:t>центральне</w:t>
      </w:r>
      <w:r>
        <w:rPr>
          <w:color w:val="231F20"/>
          <w:spacing w:val="-10"/>
        </w:rPr>
        <w:t xml:space="preserve"> </w:t>
      </w:r>
      <w:r>
        <w:rPr>
          <w:color w:val="231F20"/>
        </w:rPr>
        <w:t>місце.</w:t>
      </w:r>
      <w:r>
        <w:rPr>
          <w:color w:val="231F20"/>
          <w:spacing w:val="-10"/>
        </w:rPr>
        <w:t xml:space="preserve"> </w:t>
      </w:r>
      <w:r>
        <w:rPr>
          <w:color w:val="231F20"/>
        </w:rPr>
        <w:t>Водночас</w:t>
      </w:r>
      <w:r>
        <w:rPr>
          <w:color w:val="231F20"/>
          <w:spacing w:val="-10"/>
        </w:rPr>
        <w:t xml:space="preserve"> </w:t>
      </w:r>
      <w:r>
        <w:rPr>
          <w:color w:val="231F20"/>
        </w:rPr>
        <w:t>у</w:t>
      </w:r>
      <w:r>
        <w:rPr>
          <w:color w:val="231F20"/>
          <w:spacing w:val="-9"/>
        </w:rPr>
        <w:t xml:space="preserve"> </w:t>
      </w:r>
      <w:r>
        <w:rPr>
          <w:color w:val="231F20"/>
        </w:rPr>
        <w:t>зв’язку</w:t>
      </w:r>
      <w:r>
        <w:rPr>
          <w:color w:val="231F20"/>
          <w:spacing w:val="-10"/>
        </w:rPr>
        <w:t xml:space="preserve"> </w:t>
      </w:r>
      <w:r>
        <w:rPr>
          <w:color w:val="231F20"/>
        </w:rPr>
        <w:t>з</w:t>
      </w:r>
      <w:r>
        <w:rPr>
          <w:color w:val="231F20"/>
          <w:spacing w:val="-10"/>
        </w:rPr>
        <w:t xml:space="preserve"> </w:t>
      </w:r>
      <w:r>
        <w:rPr>
          <w:color w:val="231F20"/>
        </w:rPr>
        <w:t>багатофункціональні- стю публічної служби її багатопрофільним проявом в різних сферах публічно-владної</w:t>
      </w:r>
      <w:r>
        <w:rPr>
          <w:color w:val="231F20"/>
          <w:spacing w:val="-19"/>
        </w:rPr>
        <w:t xml:space="preserve"> </w:t>
      </w:r>
      <w:r>
        <w:rPr>
          <w:color w:val="231F20"/>
        </w:rPr>
        <w:t>діяльності,</w:t>
      </w:r>
      <w:r>
        <w:rPr>
          <w:color w:val="231F20"/>
          <w:spacing w:val="-19"/>
        </w:rPr>
        <w:t xml:space="preserve"> </w:t>
      </w:r>
      <w:r>
        <w:rPr>
          <w:color w:val="231F20"/>
        </w:rPr>
        <w:t>різноплановими</w:t>
      </w:r>
      <w:r>
        <w:rPr>
          <w:color w:val="231F20"/>
          <w:spacing w:val="-19"/>
        </w:rPr>
        <w:t xml:space="preserve"> </w:t>
      </w:r>
      <w:r>
        <w:rPr>
          <w:color w:val="231F20"/>
        </w:rPr>
        <w:t>змістовними</w:t>
      </w:r>
      <w:r>
        <w:rPr>
          <w:color w:val="231F20"/>
          <w:spacing w:val="-19"/>
        </w:rPr>
        <w:t xml:space="preserve"> </w:t>
      </w:r>
      <w:r>
        <w:rPr>
          <w:color w:val="231F20"/>
        </w:rPr>
        <w:t>та</w:t>
      </w:r>
      <w:r>
        <w:rPr>
          <w:color w:val="231F20"/>
          <w:spacing w:val="-19"/>
        </w:rPr>
        <w:t xml:space="preserve"> </w:t>
      </w:r>
      <w:r>
        <w:rPr>
          <w:color w:val="231F20"/>
          <w:spacing w:val="-3"/>
        </w:rPr>
        <w:t xml:space="preserve">суб’єк- </w:t>
      </w:r>
      <w:r>
        <w:rPr>
          <w:color w:val="231F20"/>
        </w:rPr>
        <w:t>тними формами реалізації, а також великою кількіс</w:t>
      </w:r>
      <w:r>
        <w:rPr>
          <w:color w:val="231F20"/>
        </w:rPr>
        <w:t>тю нормативно- правових</w:t>
      </w:r>
      <w:r>
        <w:rPr>
          <w:color w:val="231F20"/>
          <w:spacing w:val="-23"/>
        </w:rPr>
        <w:t xml:space="preserve"> </w:t>
      </w:r>
      <w:r>
        <w:rPr>
          <w:color w:val="231F20"/>
        </w:rPr>
        <w:t>актів,</w:t>
      </w:r>
      <w:r>
        <w:rPr>
          <w:color w:val="231F20"/>
          <w:spacing w:val="-23"/>
        </w:rPr>
        <w:t xml:space="preserve"> </w:t>
      </w:r>
      <w:r>
        <w:rPr>
          <w:color w:val="231F20"/>
        </w:rPr>
        <w:t>що</w:t>
      </w:r>
      <w:r>
        <w:rPr>
          <w:color w:val="231F20"/>
          <w:spacing w:val="-22"/>
        </w:rPr>
        <w:t xml:space="preserve"> </w:t>
      </w:r>
      <w:r>
        <w:rPr>
          <w:color w:val="231F20"/>
        </w:rPr>
        <w:t>регламентують</w:t>
      </w:r>
      <w:r>
        <w:rPr>
          <w:color w:val="231F20"/>
          <w:spacing w:val="-23"/>
        </w:rPr>
        <w:t xml:space="preserve"> </w:t>
      </w:r>
      <w:r>
        <w:rPr>
          <w:color w:val="231F20"/>
        </w:rPr>
        <w:t>різні</w:t>
      </w:r>
      <w:r>
        <w:rPr>
          <w:color w:val="231F20"/>
          <w:spacing w:val="-23"/>
        </w:rPr>
        <w:t xml:space="preserve"> </w:t>
      </w:r>
      <w:r>
        <w:rPr>
          <w:color w:val="231F20"/>
        </w:rPr>
        <w:t>публічніслужбові</w:t>
      </w:r>
      <w:r>
        <w:rPr>
          <w:color w:val="231F20"/>
          <w:spacing w:val="-23"/>
        </w:rPr>
        <w:t xml:space="preserve"> </w:t>
      </w:r>
      <w:r>
        <w:rPr>
          <w:color w:val="231F20"/>
        </w:rPr>
        <w:t>відносини, розглянути нормативно визначений порядок проходження публіч- ної служби в різних її проявах в цьому виданні неможливо. Напри- клад, порядок проходження публічної служби на де</w:t>
      </w:r>
      <w:r>
        <w:rPr>
          <w:color w:val="231F20"/>
        </w:rPr>
        <w:t xml:space="preserve">ржавних полі- тичних посадах відрізняється від державної служби, проходження мілітаризованої публічної служби значною мірою відрізняється від проходження цивільної публічної служби, проходження публічної служби, пов’язаної з професійною діяльністю </w:t>
      </w:r>
      <w:r>
        <w:rPr>
          <w:color w:val="231F20"/>
          <w:spacing w:val="-3"/>
        </w:rPr>
        <w:t xml:space="preserve">суддів, </w:t>
      </w:r>
      <w:r>
        <w:rPr>
          <w:color w:val="231F20"/>
        </w:rPr>
        <w:t xml:space="preserve">відрізняється від проходження такої служби в органах прокуратури і </w:t>
      </w:r>
      <w:r>
        <w:rPr>
          <w:color w:val="231F20"/>
          <w:spacing w:val="-9"/>
        </w:rPr>
        <w:t>т.</w:t>
      </w:r>
      <w:r>
        <w:rPr>
          <w:color w:val="231F20"/>
          <w:spacing w:val="-13"/>
        </w:rPr>
        <w:t xml:space="preserve"> </w:t>
      </w:r>
      <w:r>
        <w:rPr>
          <w:color w:val="231F20"/>
        </w:rPr>
        <w:t>ін.</w:t>
      </w:r>
    </w:p>
    <w:p w14:paraId="2F60519C" w14:textId="77777777" w:rsidR="00DE575E" w:rsidRDefault="002E7560">
      <w:pPr>
        <w:pStyle w:val="BodyText"/>
        <w:spacing w:before="7" w:line="252" w:lineRule="auto"/>
        <w:ind w:left="250" w:right="409" w:firstLine="283"/>
        <w:jc w:val="both"/>
      </w:pPr>
      <w:r>
        <w:rPr>
          <w:color w:val="231F20"/>
        </w:rPr>
        <w:t xml:space="preserve">При тому має свої характерні видові особливості правова </w:t>
      </w:r>
      <w:r>
        <w:rPr>
          <w:color w:val="231F20"/>
          <w:spacing w:val="-3"/>
        </w:rPr>
        <w:t xml:space="preserve">регла- </w:t>
      </w:r>
      <w:r>
        <w:rPr>
          <w:color w:val="231F20"/>
        </w:rPr>
        <w:t>ментація – наприклад, проходження мілітаризованої публічної служби. Зокрема, можна вказати на нормативно встановлені</w:t>
      </w:r>
      <w:r>
        <w:rPr>
          <w:color w:val="231F20"/>
          <w:spacing w:val="-19"/>
        </w:rPr>
        <w:t xml:space="preserve"> </w:t>
      </w:r>
      <w:r>
        <w:rPr>
          <w:color w:val="231F20"/>
        </w:rPr>
        <w:t xml:space="preserve">відмін- ності проходження публічної  служби  в  Збройних  Силах  </w:t>
      </w:r>
      <w:r>
        <w:rPr>
          <w:color w:val="231F20"/>
          <w:spacing w:val="-3"/>
        </w:rPr>
        <w:t xml:space="preserve">України,  </w:t>
      </w:r>
      <w:r>
        <w:rPr>
          <w:color w:val="231F20"/>
        </w:rPr>
        <w:t xml:space="preserve">в Національній поліції, у Службі безпеки </w:t>
      </w:r>
      <w:r>
        <w:rPr>
          <w:color w:val="231F20"/>
          <w:spacing w:val="-3"/>
        </w:rPr>
        <w:t xml:space="preserve">України, </w:t>
      </w:r>
      <w:r>
        <w:rPr>
          <w:color w:val="231F20"/>
        </w:rPr>
        <w:t xml:space="preserve">у Національній гвардії </w:t>
      </w:r>
      <w:r>
        <w:rPr>
          <w:color w:val="231F20"/>
          <w:spacing w:val="-3"/>
        </w:rPr>
        <w:t xml:space="preserve">України, </w:t>
      </w:r>
      <w:r>
        <w:rPr>
          <w:color w:val="231F20"/>
        </w:rPr>
        <w:t>у Державній прикордонній службі, у Державній пенітенціарній службі, у Державній службі з надзвичайн</w:t>
      </w:r>
      <w:r>
        <w:rPr>
          <w:color w:val="231F20"/>
        </w:rPr>
        <w:t>их ситуа- цій, Державній митній службі, Державній кримінально-виконавчій службі</w:t>
      </w:r>
      <w:r>
        <w:rPr>
          <w:color w:val="231F20"/>
          <w:spacing w:val="-7"/>
        </w:rPr>
        <w:t xml:space="preserve"> </w:t>
      </w:r>
      <w:r>
        <w:rPr>
          <w:color w:val="231F20"/>
          <w:spacing w:val="-3"/>
        </w:rPr>
        <w:t>України</w:t>
      </w:r>
      <w:r>
        <w:rPr>
          <w:color w:val="231F20"/>
          <w:spacing w:val="-7"/>
        </w:rPr>
        <w:t xml:space="preserve"> </w:t>
      </w:r>
      <w:r>
        <w:rPr>
          <w:color w:val="231F20"/>
        </w:rPr>
        <w:t>тощо.</w:t>
      </w:r>
      <w:r>
        <w:rPr>
          <w:color w:val="231F20"/>
          <w:spacing w:val="-7"/>
        </w:rPr>
        <w:t xml:space="preserve"> </w:t>
      </w:r>
      <w:r>
        <w:rPr>
          <w:color w:val="231F20"/>
        </w:rPr>
        <w:t>У</w:t>
      </w:r>
      <w:r>
        <w:rPr>
          <w:color w:val="231F20"/>
          <w:spacing w:val="-7"/>
        </w:rPr>
        <w:t xml:space="preserve"> </w:t>
      </w:r>
      <w:r>
        <w:rPr>
          <w:color w:val="231F20"/>
        </w:rPr>
        <w:t>цих</w:t>
      </w:r>
      <w:r>
        <w:rPr>
          <w:color w:val="231F20"/>
          <w:spacing w:val="-7"/>
        </w:rPr>
        <w:t xml:space="preserve"> </w:t>
      </w:r>
      <w:r>
        <w:rPr>
          <w:color w:val="231F20"/>
        </w:rPr>
        <w:t>структурах</w:t>
      </w:r>
      <w:r>
        <w:rPr>
          <w:color w:val="231F20"/>
          <w:spacing w:val="-7"/>
        </w:rPr>
        <w:t xml:space="preserve"> </w:t>
      </w:r>
      <w:r>
        <w:rPr>
          <w:color w:val="231F20"/>
        </w:rPr>
        <w:t>публічна</w:t>
      </w:r>
      <w:r>
        <w:rPr>
          <w:color w:val="231F20"/>
          <w:spacing w:val="-7"/>
        </w:rPr>
        <w:t xml:space="preserve"> </w:t>
      </w:r>
      <w:r>
        <w:rPr>
          <w:color w:val="231F20"/>
        </w:rPr>
        <w:t>служба</w:t>
      </w:r>
      <w:r>
        <w:rPr>
          <w:color w:val="231F20"/>
          <w:spacing w:val="-7"/>
        </w:rPr>
        <w:t xml:space="preserve"> </w:t>
      </w:r>
      <w:r>
        <w:rPr>
          <w:color w:val="231F20"/>
        </w:rPr>
        <w:t>регламенту- ється спеціальними законами, положеннями,</w:t>
      </w:r>
      <w:r>
        <w:rPr>
          <w:color w:val="231F20"/>
          <w:spacing w:val="-4"/>
        </w:rPr>
        <w:t xml:space="preserve"> </w:t>
      </w:r>
      <w:r>
        <w:rPr>
          <w:color w:val="231F20"/>
        </w:rPr>
        <w:t>статутами.</w:t>
      </w:r>
    </w:p>
    <w:p w14:paraId="1D27A3FE" w14:textId="77777777" w:rsidR="00DE575E" w:rsidRDefault="002E7560">
      <w:pPr>
        <w:pStyle w:val="BodyText"/>
        <w:spacing w:before="5" w:line="252" w:lineRule="auto"/>
        <w:ind w:left="250" w:right="407" w:firstLine="283"/>
        <w:jc w:val="both"/>
      </w:pPr>
      <w:r>
        <w:rPr>
          <w:color w:val="231F20"/>
        </w:rPr>
        <w:t>Отже, особливості проходження публічної служби в її різноп- лано</w:t>
      </w:r>
      <w:r>
        <w:rPr>
          <w:color w:val="231F20"/>
        </w:rPr>
        <w:t xml:space="preserve">вих формах потрібно розглядати у спеціальних тематичних публікаціях  галузево-профільного  призначення.  З  огляду  на  це   в цьому підручнику доцільно розглянути порядок проходження публічної служби насамперед стосовно таких найбільш поширених її видів, </w:t>
      </w:r>
      <w:r>
        <w:rPr>
          <w:color w:val="231F20"/>
        </w:rPr>
        <w:t>як державна служба та служба в органах місцевого само- врядування.</w:t>
      </w:r>
    </w:p>
    <w:p w14:paraId="14CB0458" w14:textId="77777777" w:rsidR="00DE575E" w:rsidRDefault="00DE575E">
      <w:pPr>
        <w:pStyle w:val="BodyText"/>
        <w:rPr>
          <w:sz w:val="20"/>
        </w:rPr>
      </w:pPr>
    </w:p>
    <w:p w14:paraId="4B7258DE" w14:textId="1BCB0D7F" w:rsidR="00DE575E" w:rsidRDefault="002E7560">
      <w:pPr>
        <w:pStyle w:val="BodyText"/>
        <w:spacing w:before="5"/>
        <w:rPr>
          <w:sz w:val="18"/>
        </w:rPr>
      </w:pPr>
      <w:r>
        <w:rPr>
          <w:noProof/>
        </w:rPr>
        <mc:AlternateContent>
          <mc:Choice Requires="wps">
            <w:drawing>
              <wp:anchor distT="0" distB="0" distL="0" distR="0" simplePos="0" relativeHeight="17272" behindDoc="0" locked="0" layoutInCell="1" allowOverlap="1" wp14:anchorId="0413FE25" wp14:editId="4603D339">
                <wp:simplePos x="0" y="0"/>
                <wp:positionH relativeFrom="page">
                  <wp:posOffset>539750</wp:posOffset>
                </wp:positionH>
                <wp:positionV relativeFrom="paragraph">
                  <wp:posOffset>165100</wp:posOffset>
                </wp:positionV>
                <wp:extent cx="1080135" cy="0"/>
                <wp:effectExtent l="6350" t="12700" r="31115" b="25400"/>
                <wp:wrapTopAndBottom/>
                <wp:docPr id="29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35E41" id="Line_x0020_292" o:spid="_x0000_s1026" style="position:absolute;z-index:17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pt" to="127.5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" strokecolor="#231f20" strokeweight=".5pt">
                <w10:wrap type="topAndBottom" anchorx="page"/>
              </v:line>
            </w:pict>
          </mc:Fallback>
        </mc:AlternateContent>
      </w:r>
    </w:p>
    <w:p w14:paraId="7CC81FA0" w14:textId="77777777" w:rsidR="00DE575E" w:rsidRDefault="002E7560">
      <w:pPr>
        <w:spacing w:line="162" w:lineRule="exact"/>
        <w:ind w:left="250"/>
        <w:rPr>
          <w:b/>
          <w:sz w:val="16"/>
        </w:rPr>
      </w:pPr>
      <w:r>
        <w:rPr>
          <w:color w:val="231F20"/>
          <w:position w:val="5"/>
          <w:sz w:val="9"/>
        </w:rPr>
        <w:t xml:space="preserve">1 </w:t>
      </w:r>
      <w:r>
        <w:rPr>
          <w:color w:val="231F20"/>
          <w:sz w:val="16"/>
        </w:rPr>
        <w:t xml:space="preserve">Автор: </w:t>
      </w:r>
      <w:r>
        <w:rPr>
          <w:b/>
          <w:color w:val="231F20"/>
          <w:sz w:val="16"/>
        </w:rPr>
        <w:t>Степан Гончарук.</w:t>
      </w:r>
    </w:p>
    <w:p w14:paraId="24723B4E" w14:textId="77777777" w:rsidR="00DE575E" w:rsidRDefault="00DE575E">
      <w:pPr>
        <w:pStyle w:val="BodyText"/>
        <w:spacing w:before="10"/>
        <w:rPr>
          <w:b/>
          <w:sz w:val="11"/>
        </w:rPr>
      </w:pPr>
    </w:p>
    <w:p w14:paraId="4D59F4AE" w14:textId="77777777" w:rsidR="00DE575E" w:rsidRDefault="002E7560">
      <w:pPr>
        <w:spacing w:before="92"/>
        <w:ind w:right="411"/>
        <w:jc w:val="right"/>
        <w:rPr>
          <w:rFonts w:ascii="Times New Roman"/>
          <w:sz w:val="20"/>
        </w:rPr>
      </w:pPr>
      <w:r>
        <w:rPr>
          <w:rFonts w:ascii="Times New Roman"/>
          <w:color w:val="231F20"/>
          <w:w w:val="90"/>
          <w:sz w:val="20"/>
        </w:rPr>
        <w:t>439</w:t>
      </w:r>
    </w:p>
    <w:p w14:paraId="0F0C8CC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F8198C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9CE7550" w14:textId="103C86B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E097E1A" wp14:editId="46323C35">
                <wp:extent cx="4140200" cy="6350"/>
                <wp:effectExtent l="0" t="0" r="12700" b="6350"/>
                <wp:docPr id="29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92" name="Line 29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D33DF8" id="Group_x0020_29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RraAl34CAACYBQAADgAA&#10;AAAAAAAAAAAAAAAsAgAAZHJzL2Uyb0RvYy54bWxQSwECLQAUAAYACAAAACEATKewkNkAAAADAQAA&#10;DwAAAAAAAAAAAAAAAADWBAAAZHJzL2Rvd25yZXYueG1sUEsFBgAAAAAEAAQA8wAAANwFAAAAAA==&#10;">
                <v:line id="Line_x0020_29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WGYsYAAADcAAAADwAAAGRycy9kb3ducmV2LnhtbESP0WrCQBRE3wv+w3KFvpS6aYRiU1eR&#10;giB90Gr8gGv2Ngnu3o3Z1US/3hUKfRxm5gwznffWiAu1vnas4G2UgCAunK65VLDPl68TED4gazSO&#10;ScGVPMxng6cpZtp1vKXLLpQiQthnqKAKocmk9EVFFv3INcTR+3WtxRBlW0rdYhfh1sg0Sd6lxZrj&#10;QoUNfVVUHHdnqyA/vQTzs/k2Xb45jOXhtB7fzmulnof94hNEoD78h//aK60g/Ujh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1hmLGAAAA3AAAAA8AAAAAAAAA&#10;AAAAAAAAoQIAAGRycy9kb3ducmV2LnhtbFBLBQYAAAAABAAEAPkAAACUAwAAAAA=&#10;" strokecolor="#231f20" strokeweight=".5pt"/>
                <w10:anchorlock/>
              </v:group>
            </w:pict>
          </mc:Fallback>
        </mc:AlternateContent>
      </w:r>
    </w:p>
    <w:p w14:paraId="60775D4B" w14:textId="77777777" w:rsidR="00DE575E" w:rsidRDefault="00DE575E">
      <w:pPr>
        <w:pStyle w:val="BodyText"/>
        <w:spacing w:before="6"/>
        <w:rPr>
          <w:rFonts w:ascii="AdonisC"/>
          <w:i/>
          <w:sz w:val="11"/>
        </w:rPr>
      </w:pPr>
    </w:p>
    <w:p w14:paraId="5E430147" w14:textId="77777777" w:rsidR="00DE575E" w:rsidRDefault="002E7560">
      <w:pPr>
        <w:pStyle w:val="Heading4"/>
        <w:numPr>
          <w:ilvl w:val="1"/>
          <w:numId w:val="54"/>
        </w:numPr>
        <w:tabs>
          <w:tab w:val="left" w:pos="2272"/>
        </w:tabs>
        <w:spacing w:before="100"/>
        <w:ind w:firstLine="34"/>
        <w:jc w:val="left"/>
      </w:pPr>
      <w:r>
        <w:rPr>
          <w:color w:val="231F20"/>
          <w:spacing w:val="-3"/>
        </w:rPr>
        <w:t xml:space="preserve">Проходження </w:t>
      </w:r>
      <w:r>
        <w:rPr>
          <w:color w:val="231F20"/>
        </w:rPr>
        <w:t>державної</w:t>
      </w:r>
      <w:r>
        <w:rPr>
          <w:color w:val="231F20"/>
          <w:spacing w:val="2"/>
        </w:rPr>
        <w:t xml:space="preserve"> </w:t>
      </w:r>
      <w:r>
        <w:rPr>
          <w:color w:val="231F20"/>
        </w:rPr>
        <w:t>служби</w:t>
      </w:r>
    </w:p>
    <w:p w14:paraId="4B94E45F" w14:textId="77777777" w:rsidR="00DE575E" w:rsidRDefault="00DE575E">
      <w:pPr>
        <w:pStyle w:val="BodyText"/>
        <w:rPr>
          <w:b/>
          <w:sz w:val="23"/>
        </w:rPr>
      </w:pPr>
    </w:p>
    <w:p w14:paraId="2A09F9B6" w14:textId="77777777" w:rsidR="00DE575E" w:rsidRDefault="002E7560">
      <w:pPr>
        <w:pStyle w:val="BodyText"/>
        <w:spacing w:line="252" w:lineRule="auto"/>
        <w:ind w:left="533" w:right="127" w:firstLine="283"/>
        <w:jc w:val="both"/>
      </w:pPr>
      <w:r>
        <w:rPr>
          <w:color w:val="231F20"/>
        </w:rPr>
        <w:t>Проходження державної служби є основним чинником інституту державної служби, під час якого, власне, й забезпечується право громадян на державну службу, реалізація основних завдань і функ- ц</w:t>
      </w:r>
      <w:r>
        <w:rPr>
          <w:color w:val="231F20"/>
        </w:rPr>
        <w:t>ій держави, надання адміністративних послуг, зростають автори- тет, стабільність і престижність державної служби як важливого інструментарію реального втілення в життя радикальних реформа- ційних змін на євроінтеграційному шляху нашої країни. Розглянемо бі</w:t>
      </w:r>
      <w:r>
        <w:rPr>
          <w:color w:val="231F20"/>
        </w:rPr>
        <w:t>льш детально етапи проходження державної служби в Україні.</w:t>
      </w:r>
    </w:p>
    <w:p w14:paraId="5BBD95DB" w14:textId="77777777" w:rsidR="00DE575E" w:rsidRDefault="002E7560">
      <w:pPr>
        <w:spacing w:before="4" w:line="252" w:lineRule="auto"/>
        <w:ind w:left="533" w:right="123" w:firstLine="283"/>
        <w:jc w:val="both"/>
        <w:rPr>
          <w:sz w:val="21"/>
        </w:rPr>
      </w:pPr>
      <w:r>
        <w:rPr>
          <w:i/>
          <w:color w:val="231F20"/>
          <w:sz w:val="21"/>
        </w:rPr>
        <w:t>Під проходженням державної служби розуміється сукупність юридичних фактів, пов’язаних із виникненням, зміною та припинен- ням державно-службових відносин, а саме зі вступом на державну службу, служ</w:t>
      </w:r>
      <w:r>
        <w:rPr>
          <w:i/>
          <w:color w:val="231F20"/>
          <w:sz w:val="21"/>
        </w:rPr>
        <w:t xml:space="preserve">бовою </w:t>
      </w:r>
      <w:r>
        <w:rPr>
          <w:i/>
          <w:color w:val="231F20"/>
          <w:spacing w:val="-3"/>
          <w:sz w:val="21"/>
        </w:rPr>
        <w:t xml:space="preserve">кар’єрою </w:t>
      </w:r>
      <w:r>
        <w:rPr>
          <w:i/>
          <w:color w:val="231F20"/>
          <w:sz w:val="21"/>
        </w:rPr>
        <w:t xml:space="preserve">(просуванням по службі) та припи- ненням державної служби. </w:t>
      </w:r>
      <w:r>
        <w:rPr>
          <w:color w:val="231F20"/>
          <w:sz w:val="21"/>
        </w:rPr>
        <w:t xml:space="preserve">Відносини, що виникають у зв’язку зі вступом, проходженням і припиненням державної служби, регу- люються Законом «Про державну службу», якщо інше не передба- чено законом. У частині </w:t>
      </w:r>
      <w:r>
        <w:rPr>
          <w:color w:val="231F20"/>
          <w:sz w:val="21"/>
        </w:rPr>
        <w:t>відносин, не врегульованих цим законом, на державних службовців поширюється дія норм законодавства  про</w:t>
      </w:r>
      <w:r>
        <w:rPr>
          <w:color w:val="231F20"/>
          <w:spacing w:val="3"/>
          <w:sz w:val="21"/>
        </w:rPr>
        <w:t xml:space="preserve"> </w:t>
      </w:r>
      <w:r>
        <w:rPr>
          <w:color w:val="231F20"/>
          <w:sz w:val="21"/>
        </w:rPr>
        <w:t>працю.</w:t>
      </w:r>
    </w:p>
    <w:p w14:paraId="132ACB20" w14:textId="77777777" w:rsidR="00DE575E" w:rsidRDefault="002E7560">
      <w:pPr>
        <w:pStyle w:val="BodyText"/>
        <w:spacing w:before="5" w:line="252" w:lineRule="auto"/>
        <w:ind w:left="533" w:right="128" w:firstLine="283"/>
        <w:jc w:val="both"/>
      </w:pPr>
      <w:r>
        <w:rPr>
          <w:color w:val="231F20"/>
        </w:rPr>
        <w:t>Розглянемо більш детально етапи проходження державної служби в Україні.</w:t>
      </w:r>
    </w:p>
    <w:p w14:paraId="6BBF58EC" w14:textId="77777777" w:rsidR="00DE575E" w:rsidRDefault="00DE575E">
      <w:pPr>
        <w:pStyle w:val="BodyText"/>
        <w:rPr>
          <w:sz w:val="24"/>
        </w:rPr>
      </w:pPr>
    </w:p>
    <w:p w14:paraId="26C34ED2" w14:textId="77777777" w:rsidR="00DE575E" w:rsidRDefault="00DE575E">
      <w:pPr>
        <w:pStyle w:val="BodyText"/>
        <w:spacing w:before="4"/>
        <w:rPr>
          <w:sz w:val="19"/>
        </w:rPr>
      </w:pPr>
    </w:p>
    <w:p w14:paraId="2DB39626" w14:textId="77777777" w:rsidR="00DE575E" w:rsidRDefault="002E7560">
      <w:pPr>
        <w:pStyle w:val="Heading4"/>
        <w:numPr>
          <w:ilvl w:val="1"/>
          <w:numId w:val="54"/>
        </w:numPr>
        <w:tabs>
          <w:tab w:val="left" w:pos="2590"/>
        </w:tabs>
        <w:ind w:left="2589"/>
        <w:jc w:val="left"/>
      </w:pPr>
      <w:r>
        <w:rPr>
          <w:color w:val="231F20"/>
        </w:rPr>
        <w:t>Вступ на державну</w:t>
      </w:r>
      <w:r>
        <w:rPr>
          <w:color w:val="231F20"/>
          <w:spacing w:val="-3"/>
        </w:rPr>
        <w:t xml:space="preserve"> </w:t>
      </w:r>
      <w:r>
        <w:rPr>
          <w:color w:val="231F20"/>
        </w:rPr>
        <w:t>службу</w:t>
      </w:r>
    </w:p>
    <w:p w14:paraId="5D93EAB2" w14:textId="77777777" w:rsidR="00DE575E" w:rsidRDefault="00DE575E">
      <w:pPr>
        <w:pStyle w:val="BodyText"/>
        <w:rPr>
          <w:b/>
          <w:sz w:val="26"/>
        </w:rPr>
      </w:pPr>
    </w:p>
    <w:p w14:paraId="0E9FA607" w14:textId="77777777" w:rsidR="00DE575E" w:rsidRDefault="002E7560">
      <w:pPr>
        <w:pStyle w:val="BodyText"/>
        <w:spacing w:before="224" w:line="252" w:lineRule="auto"/>
        <w:ind w:left="533" w:right="128" w:firstLine="283"/>
        <w:jc w:val="both"/>
      </w:pPr>
      <w:r>
        <w:rPr>
          <w:color w:val="231F20"/>
        </w:rPr>
        <w:t>Основні положення щодо вступу на державну службу визначено в розділі IV Закону України «Про державну службу».</w:t>
      </w:r>
    </w:p>
    <w:p w14:paraId="1DB11B95" w14:textId="77777777" w:rsidR="00DE575E" w:rsidRDefault="002E7560">
      <w:pPr>
        <w:pStyle w:val="BodyText"/>
        <w:spacing w:before="1" w:line="252" w:lineRule="auto"/>
        <w:ind w:left="533" w:right="126" w:firstLine="283"/>
        <w:jc w:val="both"/>
      </w:pPr>
      <w:r>
        <w:rPr>
          <w:b/>
          <w:i/>
          <w:color w:val="231F20"/>
        </w:rPr>
        <w:t xml:space="preserve">Право на державну службу </w:t>
      </w:r>
      <w:r>
        <w:rPr>
          <w:color w:val="231F20"/>
        </w:rPr>
        <w:t xml:space="preserve">є </w:t>
      </w:r>
      <w:r>
        <w:rPr>
          <w:color w:val="231F20"/>
          <w:spacing w:val="-3"/>
        </w:rPr>
        <w:t xml:space="preserve">невід’ємним </w:t>
      </w:r>
      <w:r>
        <w:rPr>
          <w:color w:val="231F20"/>
        </w:rPr>
        <w:t xml:space="preserve">правом громадянина </w:t>
      </w:r>
      <w:r>
        <w:rPr>
          <w:color w:val="231F20"/>
          <w:spacing w:val="-3"/>
        </w:rPr>
        <w:t xml:space="preserve">України. </w:t>
      </w:r>
      <w:r>
        <w:rPr>
          <w:color w:val="231F20"/>
        </w:rPr>
        <w:t xml:space="preserve">Стаття 38 Конституції </w:t>
      </w:r>
      <w:r>
        <w:rPr>
          <w:color w:val="231F20"/>
          <w:spacing w:val="-3"/>
        </w:rPr>
        <w:t xml:space="preserve">України </w:t>
      </w:r>
      <w:r>
        <w:rPr>
          <w:color w:val="231F20"/>
        </w:rPr>
        <w:t xml:space="preserve">встановила, що «громадяни </w:t>
      </w:r>
      <w:r>
        <w:rPr>
          <w:color w:val="231F20"/>
          <w:spacing w:val="-3"/>
        </w:rPr>
        <w:t xml:space="preserve">України </w:t>
      </w:r>
      <w:r>
        <w:rPr>
          <w:color w:val="231F20"/>
        </w:rPr>
        <w:t>користуються рі</w:t>
      </w:r>
      <w:r>
        <w:rPr>
          <w:color w:val="231F20"/>
        </w:rPr>
        <w:t>вним правом доступу до державної служби, а також до служби в органах місцевого самоврядування». Назване конституційне право знайшло своє подальше відображення й дета- лізацію</w:t>
      </w:r>
      <w:r>
        <w:rPr>
          <w:color w:val="231F20"/>
          <w:spacing w:val="-5"/>
        </w:rPr>
        <w:t xml:space="preserve"> </w:t>
      </w:r>
      <w:r>
        <w:rPr>
          <w:color w:val="231F20"/>
        </w:rPr>
        <w:t>в</w:t>
      </w:r>
      <w:r>
        <w:rPr>
          <w:color w:val="231F20"/>
          <w:spacing w:val="-4"/>
        </w:rPr>
        <w:t xml:space="preserve"> </w:t>
      </w:r>
      <w:r>
        <w:rPr>
          <w:color w:val="231F20"/>
          <w:spacing w:val="-6"/>
        </w:rPr>
        <w:t>ст.</w:t>
      </w:r>
      <w:r>
        <w:rPr>
          <w:color w:val="231F20"/>
          <w:spacing w:val="-5"/>
        </w:rPr>
        <w:t xml:space="preserve"> </w:t>
      </w:r>
      <w:r>
        <w:rPr>
          <w:color w:val="231F20"/>
        </w:rPr>
        <w:t>19</w:t>
      </w:r>
      <w:r>
        <w:rPr>
          <w:color w:val="231F20"/>
          <w:spacing w:val="-5"/>
        </w:rPr>
        <w:t xml:space="preserve"> </w:t>
      </w:r>
      <w:r>
        <w:rPr>
          <w:color w:val="231F20"/>
        </w:rPr>
        <w:t>Закону</w:t>
      </w:r>
      <w:r>
        <w:rPr>
          <w:color w:val="231F20"/>
          <w:spacing w:val="-4"/>
        </w:rPr>
        <w:t xml:space="preserve"> </w:t>
      </w:r>
      <w:r>
        <w:rPr>
          <w:color w:val="231F20"/>
        </w:rPr>
        <w:t>«Про</w:t>
      </w:r>
      <w:r>
        <w:rPr>
          <w:color w:val="231F20"/>
          <w:spacing w:val="-4"/>
        </w:rPr>
        <w:t xml:space="preserve"> </w:t>
      </w:r>
      <w:r>
        <w:rPr>
          <w:color w:val="231F20"/>
        </w:rPr>
        <w:t>державну</w:t>
      </w:r>
      <w:r>
        <w:rPr>
          <w:color w:val="231F20"/>
          <w:spacing w:val="-4"/>
        </w:rPr>
        <w:t xml:space="preserve"> </w:t>
      </w:r>
      <w:r>
        <w:rPr>
          <w:color w:val="231F20"/>
        </w:rPr>
        <w:t>службу»,</w:t>
      </w:r>
      <w:r>
        <w:rPr>
          <w:color w:val="231F20"/>
          <w:spacing w:val="-4"/>
        </w:rPr>
        <w:t xml:space="preserve"> </w:t>
      </w:r>
      <w:r>
        <w:rPr>
          <w:color w:val="231F20"/>
        </w:rPr>
        <w:t>згідно</w:t>
      </w:r>
      <w:r>
        <w:rPr>
          <w:color w:val="231F20"/>
          <w:spacing w:val="-5"/>
        </w:rPr>
        <w:t xml:space="preserve"> </w:t>
      </w:r>
      <w:r>
        <w:rPr>
          <w:color w:val="231F20"/>
        </w:rPr>
        <w:t>з</w:t>
      </w:r>
      <w:r>
        <w:rPr>
          <w:color w:val="231F20"/>
          <w:spacing w:val="-4"/>
        </w:rPr>
        <w:t xml:space="preserve"> </w:t>
      </w:r>
      <w:r>
        <w:rPr>
          <w:color w:val="231F20"/>
        </w:rPr>
        <w:t>якою</w:t>
      </w:r>
      <w:r>
        <w:rPr>
          <w:color w:val="231F20"/>
          <w:spacing w:val="-4"/>
        </w:rPr>
        <w:t xml:space="preserve"> </w:t>
      </w:r>
      <w:r>
        <w:rPr>
          <w:color w:val="231F20"/>
        </w:rPr>
        <w:t>«право на</w:t>
      </w:r>
      <w:r>
        <w:rPr>
          <w:color w:val="231F20"/>
          <w:spacing w:val="-13"/>
        </w:rPr>
        <w:t xml:space="preserve"> </w:t>
      </w:r>
      <w:r>
        <w:rPr>
          <w:color w:val="231F20"/>
        </w:rPr>
        <w:t>державну</w:t>
      </w:r>
      <w:r>
        <w:rPr>
          <w:color w:val="231F20"/>
          <w:spacing w:val="-13"/>
        </w:rPr>
        <w:t xml:space="preserve"> </w:t>
      </w:r>
      <w:r>
        <w:rPr>
          <w:color w:val="231F20"/>
        </w:rPr>
        <w:t>службу</w:t>
      </w:r>
      <w:r>
        <w:rPr>
          <w:color w:val="231F20"/>
          <w:spacing w:val="-13"/>
        </w:rPr>
        <w:t xml:space="preserve"> </w:t>
      </w:r>
      <w:r>
        <w:rPr>
          <w:color w:val="231F20"/>
        </w:rPr>
        <w:t>ма</w:t>
      </w:r>
      <w:r>
        <w:rPr>
          <w:color w:val="231F20"/>
        </w:rPr>
        <w:t>ють</w:t>
      </w:r>
      <w:r>
        <w:rPr>
          <w:color w:val="231F20"/>
          <w:spacing w:val="-13"/>
        </w:rPr>
        <w:t xml:space="preserve"> </w:t>
      </w:r>
      <w:r>
        <w:rPr>
          <w:color w:val="231F20"/>
        </w:rPr>
        <w:t>повнолітні</w:t>
      </w:r>
      <w:r>
        <w:rPr>
          <w:color w:val="231F20"/>
          <w:spacing w:val="-14"/>
        </w:rPr>
        <w:t xml:space="preserve"> </w:t>
      </w:r>
      <w:r>
        <w:rPr>
          <w:color w:val="231F20"/>
        </w:rPr>
        <w:t>громадяни</w:t>
      </w:r>
      <w:r>
        <w:rPr>
          <w:color w:val="231F20"/>
          <w:spacing w:val="-13"/>
        </w:rPr>
        <w:t xml:space="preserve"> </w:t>
      </w:r>
      <w:r>
        <w:rPr>
          <w:color w:val="231F20"/>
          <w:spacing w:val="-3"/>
        </w:rPr>
        <w:t>України,</w:t>
      </w:r>
      <w:r>
        <w:rPr>
          <w:color w:val="231F20"/>
          <w:spacing w:val="-14"/>
        </w:rPr>
        <w:t xml:space="preserve"> </w:t>
      </w:r>
      <w:r>
        <w:rPr>
          <w:color w:val="231F20"/>
        </w:rPr>
        <w:t>які</w:t>
      </w:r>
      <w:r>
        <w:rPr>
          <w:color w:val="231F20"/>
          <w:spacing w:val="-13"/>
        </w:rPr>
        <w:t xml:space="preserve"> </w:t>
      </w:r>
      <w:r>
        <w:rPr>
          <w:color w:val="231F20"/>
        </w:rPr>
        <w:t>вільно володіють державною мовою та яким присвоєно ступінь вищої освіти</w:t>
      </w:r>
      <w:r>
        <w:rPr>
          <w:color w:val="231F20"/>
          <w:spacing w:val="-4"/>
        </w:rPr>
        <w:t xml:space="preserve"> </w:t>
      </w:r>
      <w:r>
        <w:rPr>
          <w:color w:val="231F20"/>
        </w:rPr>
        <w:t>не</w:t>
      </w:r>
      <w:r>
        <w:rPr>
          <w:color w:val="231F20"/>
          <w:spacing w:val="-4"/>
        </w:rPr>
        <w:t xml:space="preserve"> </w:t>
      </w:r>
      <w:r>
        <w:rPr>
          <w:color w:val="231F20"/>
        </w:rPr>
        <w:t>нижче</w:t>
      </w:r>
      <w:r>
        <w:rPr>
          <w:color w:val="231F20"/>
          <w:spacing w:val="-4"/>
        </w:rPr>
        <w:t xml:space="preserve"> </w:t>
      </w:r>
      <w:r>
        <w:rPr>
          <w:color w:val="231F20"/>
        </w:rPr>
        <w:t>магістра</w:t>
      </w:r>
      <w:r>
        <w:rPr>
          <w:color w:val="231F20"/>
          <w:spacing w:val="-4"/>
        </w:rPr>
        <w:t xml:space="preserve"> </w:t>
      </w:r>
      <w:r>
        <w:rPr>
          <w:color w:val="231F20"/>
        </w:rPr>
        <w:t>для</w:t>
      </w:r>
      <w:r>
        <w:rPr>
          <w:color w:val="231F20"/>
          <w:spacing w:val="-4"/>
        </w:rPr>
        <w:t xml:space="preserve"> </w:t>
      </w:r>
      <w:r>
        <w:rPr>
          <w:color w:val="231F20"/>
        </w:rPr>
        <w:t>посад</w:t>
      </w:r>
      <w:r>
        <w:rPr>
          <w:color w:val="231F20"/>
          <w:spacing w:val="-4"/>
        </w:rPr>
        <w:t xml:space="preserve"> </w:t>
      </w:r>
      <w:r>
        <w:rPr>
          <w:color w:val="231F20"/>
        </w:rPr>
        <w:t>категорій</w:t>
      </w:r>
      <w:r>
        <w:rPr>
          <w:color w:val="231F20"/>
          <w:spacing w:val="-4"/>
        </w:rPr>
        <w:t xml:space="preserve"> </w:t>
      </w:r>
      <w:r>
        <w:rPr>
          <w:color w:val="231F20"/>
        </w:rPr>
        <w:t>«А»</w:t>
      </w:r>
      <w:r>
        <w:rPr>
          <w:color w:val="231F20"/>
          <w:spacing w:val="-4"/>
        </w:rPr>
        <w:t xml:space="preserve"> </w:t>
      </w:r>
      <w:r>
        <w:rPr>
          <w:color w:val="231F20"/>
        </w:rPr>
        <w:t>і</w:t>
      </w:r>
      <w:r>
        <w:rPr>
          <w:color w:val="231F20"/>
          <w:spacing w:val="-6"/>
        </w:rPr>
        <w:t xml:space="preserve"> </w:t>
      </w:r>
      <w:r>
        <w:rPr>
          <w:color w:val="231F20"/>
        </w:rPr>
        <w:t>«Б»</w:t>
      </w:r>
      <w:r>
        <w:rPr>
          <w:color w:val="231F20"/>
          <w:spacing w:val="-4"/>
        </w:rPr>
        <w:t xml:space="preserve"> </w:t>
      </w:r>
      <w:r>
        <w:rPr>
          <w:color w:val="231F20"/>
        </w:rPr>
        <w:t>та</w:t>
      </w:r>
      <w:r>
        <w:rPr>
          <w:color w:val="231F20"/>
          <w:spacing w:val="-4"/>
        </w:rPr>
        <w:t xml:space="preserve"> </w:t>
      </w:r>
      <w:r>
        <w:rPr>
          <w:color w:val="231F20"/>
        </w:rPr>
        <w:t>бакалавра, молодшого бакалавра – для посад категорії</w:t>
      </w:r>
      <w:r>
        <w:rPr>
          <w:color w:val="231F20"/>
          <w:spacing w:val="-6"/>
        </w:rPr>
        <w:t xml:space="preserve"> </w:t>
      </w:r>
      <w:r>
        <w:rPr>
          <w:color w:val="231F20"/>
        </w:rPr>
        <w:t>«В».</w:t>
      </w:r>
    </w:p>
    <w:p w14:paraId="2E7BF015" w14:textId="77777777" w:rsidR="00DE575E" w:rsidRDefault="00DE575E">
      <w:pPr>
        <w:pStyle w:val="BodyText"/>
        <w:spacing w:before="2"/>
        <w:rPr>
          <w:sz w:val="12"/>
        </w:rPr>
      </w:pPr>
    </w:p>
    <w:p w14:paraId="63B61E02" w14:textId="77777777" w:rsidR="00DE575E" w:rsidRDefault="002E7560">
      <w:pPr>
        <w:spacing w:before="92"/>
        <w:ind w:left="533"/>
        <w:rPr>
          <w:rFonts w:ascii="Times New Roman"/>
          <w:sz w:val="20"/>
        </w:rPr>
      </w:pPr>
      <w:r>
        <w:rPr>
          <w:rFonts w:ascii="Times New Roman"/>
          <w:color w:val="231F20"/>
          <w:sz w:val="20"/>
        </w:rPr>
        <w:t>440</w:t>
      </w:r>
    </w:p>
    <w:p w14:paraId="5CAA1E66" w14:textId="77777777" w:rsidR="00DE575E" w:rsidRDefault="00DE575E">
      <w:pPr>
        <w:rPr>
          <w:rFonts w:ascii="Times New Roman"/>
          <w:sz w:val="20"/>
        </w:rPr>
        <w:sectPr w:rsidR="00DE575E">
          <w:pgSz w:w="8510" w:h="12760"/>
          <w:pgMar w:top="660" w:right="720" w:bottom="280" w:left="600" w:header="720" w:footer="720" w:gutter="0"/>
          <w:cols w:space="720"/>
        </w:sectPr>
      </w:pPr>
    </w:p>
    <w:p w14:paraId="055D0992"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5D44E9B3" w14:textId="229654D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1BCC455" wp14:editId="0F64A18D">
                <wp:extent cx="4140200" cy="6350"/>
                <wp:effectExtent l="0" t="0" r="12700" b="6350"/>
                <wp:docPr id="2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90" name="Line 2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476846" id="Group_x0020_2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4o279gAIAAJgFAAAO&#10;AAAAAAAAAAAAAAAAACwCAABkcnMvZTJvRG9jLnhtbFBLAQItABQABgAIAAAAIQBMp7CQ2QAAAAMB&#10;AAAPAAAAAAAAAAAAAAAAANgEAABkcnMvZG93bnJldi54bWxQSwUGAAAAAAQABADzAAAA3gUAAAAA&#10;">
                <v:line id="Line_x0020_2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u9jsMAAADcAAAADwAAAGRycy9kb3ducmV2LnhtbERP3WrCMBS+F/YO4Qy8EU2nIFs1iggD&#10;8UK3dg9wbM7asuSkNtFWn95cDLz8+P6X694acaXW144VvE0SEMSF0zWXCn7yz/E7CB+QNRrHpOBG&#10;Htarl8ESU+06/qZrFkoRQ9inqKAKoUml9EVFFv3ENcSR+3WtxRBhW0rdYhfDrZHTJJlLizXHhgob&#10;2lZU/GUXqyA/j4L5Ou5Nlx9PM3k6H2b3y0Gp4Wu/WYAI1Ien+N+90wqmH3F+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rvY7DAAAA3AAAAA8AAAAAAAAAAAAA&#10;AAAAoQIAAGRycy9kb3ducmV2LnhtbFBLBQYAAAAABAAEAPkAAACRAwAAAAA=&#10;" strokecolor="#231f20" strokeweight=".5pt"/>
                <w10:anchorlock/>
              </v:group>
            </w:pict>
          </mc:Fallback>
        </mc:AlternateContent>
      </w:r>
    </w:p>
    <w:p w14:paraId="37C652B1" w14:textId="77777777" w:rsidR="00DE575E" w:rsidRDefault="00DE575E">
      <w:pPr>
        <w:pStyle w:val="BodyText"/>
        <w:spacing w:before="7"/>
        <w:rPr>
          <w:rFonts w:ascii="AdonisC"/>
          <w:i/>
          <w:sz w:val="19"/>
        </w:rPr>
      </w:pPr>
    </w:p>
    <w:p w14:paraId="4E5F21E6" w14:textId="77777777" w:rsidR="00DE575E" w:rsidRDefault="002E7560">
      <w:pPr>
        <w:pStyle w:val="BodyText"/>
        <w:spacing w:before="1" w:line="252" w:lineRule="auto"/>
        <w:ind w:left="250" w:right="409" w:firstLine="283"/>
        <w:jc w:val="both"/>
      </w:pPr>
      <w:r>
        <w:rPr>
          <w:color w:val="231F20"/>
        </w:rPr>
        <w:t xml:space="preserve">Закон установлює вимоги до осіб, які претендують на вступ на державну </w:t>
      </w:r>
      <w:r>
        <w:rPr>
          <w:color w:val="231F20"/>
          <w:spacing w:val="-3"/>
        </w:rPr>
        <w:t xml:space="preserve">службу, </w:t>
      </w:r>
      <w:r>
        <w:rPr>
          <w:color w:val="231F20"/>
        </w:rPr>
        <w:t>що стосуються їхньо</w:t>
      </w:r>
      <w:r>
        <w:rPr>
          <w:color w:val="231F20"/>
        </w:rPr>
        <w:t xml:space="preserve">ї професійної компетентності і складаються із </w:t>
      </w:r>
      <w:r>
        <w:rPr>
          <w:i/>
          <w:color w:val="231F20"/>
        </w:rPr>
        <w:t>загальних та спеціальних вимог</w:t>
      </w:r>
      <w:r>
        <w:rPr>
          <w:color w:val="231F20"/>
        </w:rPr>
        <w:t>.</w:t>
      </w:r>
    </w:p>
    <w:p w14:paraId="32A446FA" w14:textId="77777777" w:rsidR="00DE575E" w:rsidRDefault="002E7560">
      <w:pPr>
        <w:pStyle w:val="BodyText"/>
        <w:spacing w:before="1" w:line="252" w:lineRule="auto"/>
        <w:ind w:left="250" w:right="410" w:firstLine="283"/>
        <w:jc w:val="both"/>
      </w:pPr>
      <w:r>
        <w:rPr>
          <w:b/>
          <w:i/>
          <w:color w:val="231F20"/>
        </w:rPr>
        <w:t xml:space="preserve">Загальні вимоги </w:t>
      </w:r>
      <w:r>
        <w:rPr>
          <w:color w:val="231F20"/>
        </w:rPr>
        <w:t>до особи, яка претендує на зайняття посади державної служби, стосуються її відповідності певним критеріям залежно від категорії посади, а саме:</w:t>
      </w:r>
    </w:p>
    <w:p w14:paraId="6343B72A" w14:textId="77777777" w:rsidR="00DE575E" w:rsidRDefault="002E7560">
      <w:pPr>
        <w:pStyle w:val="ListParagraph"/>
        <w:numPr>
          <w:ilvl w:val="0"/>
          <w:numId w:val="53"/>
        </w:numPr>
        <w:tabs>
          <w:tab w:val="left" w:pos="818"/>
        </w:tabs>
        <w:spacing w:before="2" w:line="252" w:lineRule="auto"/>
        <w:ind w:right="411" w:firstLine="283"/>
        <w:jc w:val="both"/>
        <w:rPr>
          <w:sz w:val="21"/>
        </w:rPr>
      </w:pPr>
      <w:r>
        <w:rPr>
          <w:color w:val="231F20"/>
          <w:sz w:val="21"/>
        </w:rPr>
        <w:t>для посад категорії «А» – загальний стаж роботи не менше семи</w:t>
      </w:r>
      <w:r>
        <w:rPr>
          <w:color w:val="231F20"/>
          <w:spacing w:val="25"/>
          <w:sz w:val="21"/>
        </w:rPr>
        <w:t xml:space="preserve"> </w:t>
      </w:r>
      <w:r>
        <w:rPr>
          <w:color w:val="231F20"/>
          <w:sz w:val="21"/>
        </w:rPr>
        <w:t>років;</w:t>
      </w:r>
      <w:r>
        <w:rPr>
          <w:color w:val="231F20"/>
          <w:spacing w:val="25"/>
          <w:sz w:val="21"/>
        </w:rPr>
        <w:t xml:space="preserve"> </w:t>
      </w:r>
      <w:r>
        <w:rPr>
          <w:color w:val="231F20"/>
          <w:sz w:val="21"/>
        </w:rPr>
        <w:t>досвід</w:t>
      </w:r>
      <w:r>
        <w:rPr>
          <w:color w:val="231F20"/>
          <w:spacing w:val="25"/>
          <w:sz w:val="21"/>
        </w:rPr>
        <w:t xml:space="preserve"> </w:t>
      </w:r>
      <w:r>
        <w:rPr>
          <w:color w:val="231F20"/>
          <w:sz w:val="21"/>
        </w:rPr>
        <w:t>роботи</w:t>
      </w:r>
      <w:r>
        <w:rPr>
          <w:color w:val="231F20"/>
          <w:spacing w:val="25"/>
          <w:sz w:val="21"/>
        </w:rPr>
        <w:t xml:space="preserve"> </w:t>
      </w:r>
      <w:r>
        <w:rPr>
          <w:color w:val="231F20"/>
          <w:sz w:val="21"/>
        </w:rPr>
        <w:t>на</w:t>
      </w:r>
      <w:r>
        <w:rPr>
          <w:color w:val="231F20"/>
          <w:spacing w:val="25"/>
          <w:sz w:val="21"/>
        </w:rPr>
        <w:t xml:space="preserve"> </w:t>
      </w:r>
      <w:r>
        <w:rPr>
          <w:color w:val="231F20"/>
          <w:sz w:val="21"/>
        </w:rPr>
        <w:t>посадах</w:t>
      </w:r>
      <w:r>
        <w:rPr>
          <w:color w:val="231F20"/>
          <w:spacing w:val="25"/>
          <w:sz w:val="21"/>
        </w:rPr>
        <w:t xml:space="preserve"> </w:t>
      </w:r>
      <w:r>
        <w:rPr>
          <w:color w:val="231F20"/>
          <w:sz w:val="21"/>
        </w:rPr>
        <w:t>державної</w:t>
      </w:r>
      <w:r>
        <w:rPr>
          <w:color w:val="231F20"/>
          <w:spacing w:val="25"/>
          <w:sz w:val="21"/>
        </w:rPr>
        <w:t xml:space="preserve"> </w:t>
      </w:r>
      <w:r>
        <w:rPr>
          <w:color w:val="231F20"/>
          <w:sz w:val="21"/>
        </w:rPr>
        <w:t>служби</w:t>
      </w:r>
      <w:r>
        <w:rPr>
          <w:color w:val="231F20"/>
          <w:spacing w:val="25"/>
          <w:sz w:val="21"/>
        </w:rPr>
        <w:t xml:space="preserve"> </w:t>
      </w:r>
      <w:r>
        <w:rPr>
          <w:color w:val="231F20"/>
          <w:sz w:val="21"/>
        </w:rPr>
        <w:t>категорій</w:t>
      </w:r>
    </w:p>
    <w:p w14:paraId="37D6B800" w14:textId="77777777" w:rsidR="00DE575E" w:rsidRDefault="002E7560">
      <w:pPr>
        <w:pStyle w:val="BodyText"/>
        <w:spacing w:before="1" w:line="252" w:lineRule="auto"/>
        <w:ind w:left="250" w:right="411"/>
        <w:jc w:val="both"/>
      </w:pPr>
      <w:r>
        <w:rPr>
          <w:color w:val="231F20"/>
        </w:rPr>
        <w:t>«А»</w:t>
      </w:r>
      <w:r>
        <w:rPr>
          <w:color w:val="231F20"/>
          <w:spacing w:val="-11"/>
        </w:rPr>
        <w:t xml:space="preserve"> </w:t>
      </w:r>
      <w:r>
        <w:rPr>
          <w:color w:val="231F20"/>
        </w:rPr>
        <w:t>чи</w:t>
      </w:r>
      <w:r>
        <w:rPr>
          <w:color w:val="231F20"/>
          <w:spacing w:val="-11"/>
        </w:rPr>
        <w:t xml:space="preserve"> </w:t>
      </w:r>
      <w:r>
        <w:rPr>
          <w:color w:val="231F20"/>
        </w:rPr>
        <w:t>«Б»</w:t>
      </w:r>
      <w:r>
        <w:rPr>
          <w:color w:val="231F20"/>
          <w:spacing w:val="-11"/>
        </w:rPr>
        <w:t xml:space="preserve"> </w:t>
      </w:r>
      <w:r>
        <w:rPr>
          <w:color w:val="231F20"/>
        </w:rPr>
        <w:t>або</w:t>
      </w:r>
      <w:r>
        <w:rPr>
          <w:color w:val="231F20"/>
          <w:spacing w:val="-11"/>
        </w:rPr>
        <w:t xml:space="preserve"> </w:t>
      </w:r>
      <w:r>
        <w:rPr>
          <w:color w:val="231F20"/>
        </w:rPr>
        <w:t>на</w:t>
      </w:r>
      <w:r>
        <w:rPr>
          <w:color w:val="231F20"/>
          <w:spacing w:val="-11"/>
        </w:rPr>
        <w:t xml:space="preserve"> </w:t>
      </w:r>
      <w:r>
        <w:rPr>
          <w:color w:val="231F20"/>
        </w:rPr>
        <w:t>посадах</w:t>
      </w:r>
      <w:r>
        <w:rPr>
          <w:color w:val="231F20"/>
          <w:spacing w:val="-11"/>
        </w:rPr>
        <w:t xml:space="preserve"> </w:t>
      </w:r>
      <w:r>
        <w:rPr>
          <w:color w:val="231F20"/>
        </w:rPr>
        <w:t>не</w:t>
      </w:r>
      <w:r>
        <w:rPr>
          <w:color w:val="231F20"/>
          <w:spacing w:val="-11"/>
        </w:rPr>
        <w:t xml:space="preserve"> </w:t>
      </w:r>
      <w:r>
        <w:rPr>
          <w:color w:val="231F20"/>
        </w:rPr>
        <w:t>нижче</w:t>
      </w:r>
      <w:r>
        <w:rPr>
          <w:color w:val="231F20"/>
          <w:spacing w:val="-11"/>
        </w:rPr>
        <w:t xml:space="preserve"> </w:t>
      </w:r>
      <w:r>
        <w:rPr>
          <w:color w:val="231F20"/>
        </w:rPr>
        <w:t>керівників</w:t>
      </w:r>
      <w:r>
        <w:rPr>
          <w:color w:val="231F20"/>
          <w:spacing w:val="-11"/>
        </w:rPr>
        <w:t xml:space="preserve"> </w:t>
      </w:r>
      <w:r>
        <w:rPr>
          <w:color w:val="231F20"/>
        </w:rPr>
        <w:t>структурних</w:t>
      </w:r>
      <w:r>
        <w:rPr>
          <w:color w:val="231F20"/>
          <w:spacing w:val="-11"/>
        </w:rPr>
        <w:t xml:space="preserve"> </w:t>
      </w:r>
      <w:r>
        <w:rPr>
          <w:color w:val="231F20"/>
        </w:rPr>
        <w:t>підрозді- лів</w:t>
      </w:r>
      <w:r>
        <w:rPr>
          <w:color w:val="231F20"/>
          <w:spacing w:val="-6"/>
        </w:rPr>
        <w:t xml:space="preserve"> </w:t>
      </w:r>
      <w:r>
        <w:rPr>
          <w:color w:val="231F20"/>
        </w:rPr>
        <w:t>в</w:t>
      </w:r>
      <w:r>
        <w:rPr>
          <w:color w:val="231F20"/>
          <w:spacing w:val="-5"/>
        </w:rPr>
        <w:t xml:space="preserve"> </w:t>
      </w:r>
      <w:r>
        <w:rPr>
          <w:color w:val="231F20"/>
        </w:rPr>
        <w:t>органах</w:t>
      </w:r>
      <w:r>
        <w:rPr>
          <w:color w:val="231F20"/>
          <w:spacing w:val="-6"/>
        </w:rPr>
        <w:t xml:space="preserve"> </w:t>
      </w:r>
      <w:r>
        <w:rPr>
          <w:color w:val="231F20"/>
        </w:rPr>
        <w:t>місцевого</w:t>
      </w:r>
      <w:r>
        <w:rPr>
          <w:color w:val="231F20"/>
          <w:spacing w:val="-6"/>
        </w:rPr>
        <w:t xml:space="preserve"> </w:t>
      </w:r>
      <w:r>
        <w:rPr>
          <w:color w:val="231F20"/>
        </w:rPr>
        <w:t>самоврядування,</w:t>
      </w:r>
      <w:r>
        <w:rPr>
          <w:color w:val="231F20"/>
          <w:spacing w:val="-6"/>
        </w:rPr>
        <w:t xml:space="preserve"> </w:t>
      </w:r>
      <w:r>
        <w:rPr>
          <w:color w:val="231F20"/>
        </w:rPr>
        <w:t>або</w:t>
      </w:r>
      <w:r>
        <w:rPr>
          <w:color w:val="231F20"/>
          <w:spacing w:val="-6"/>
        </w:rPr>
        <w:t xml:space="preserve"> </w:t>
      </w:r>
      <w:r>
        <w:rPr>
          <w:color w:val="231F20"/>
        </w:rPr>
        <w:t>досвід</w:t>
      </w:r>
      <w:r>
        <w:rPr>
          <w:color w:val="231F20"/>
          <w:spacing w:val="-6"/>
        </w:rPr>
        <w:t xml:space="preserve"> </w:t>
      </w:r>
      <w:r>
        <w:rPr>
          <w:color w:val="231F20"/>
        </w:rPr>
        <w:t>роботи</w:t>
      </w:r>
      <w:r>
        <w:rPr>
          <w:color w:val="231F20"/>
          <w:spacing w:val="-6"/>
        </w:rPr>
        <w:t xml:space="preserve"> </w:t>
      </w:r>
      <w:r>
        <w:rPr>
          <w:color w:val="231F20"/>
        </w:rPr>
        <w:t>на</w:t>
      </w:r>
      <w:r>
        <w:rPr>
          <w:color w:val="231F20"/>
          <w:spacing w:val="-6"/>
        </w:rPr>
        <w:t xml:space="preserve"> </w:t>
      </w:r>
      <w:r>
        <w:rPr>
          <w:color w:val="231F20"/>
        </w:rPr>
        <w:t>керів-</w:t>
      </w:r>
      <w:r>
        <w:rPr>
          <w:color w:val="231F20"/>
        </w:rPr>
        <w:t xml:space="preserve"> них посадах у відповідній сфері не менш як три роки; вільне воло- діння державною мовою, володіння іноземною мовою, яка є однією з офіційних мов Ради</w:t>
      </w:r>
      <w:r>
        <w:rPr>
          <w:color w:val="231F20"/>
          <w:spacing w:val="-3"/>
        </w:rPr>
        <w:t xml:space="preserve"> </w:t>
      </w:r>
      <w:r>
        <w:rPr>
          <w:color w:val="231F20"/>
        </w:rPr>
        <w:t>Європи;</w:t>
      </w:r>
    </w:p>
    <w:p w14:paraId="435DA780" w14:textId="77777777" w:rsidR="00DE575E" w:rsidRDefault="002E7560">
      <w:pPr>
        <w:pStyle w:val="ListParagraph"/>
        <w:numPr>
          <w:ilvl w:val="0"/>
          <w:numId w:val="53"/>
        </w:numPr>
        <w:tabs>
          <w:tab w:val="left" w:pos="818"/>
        </w:tabs>
        <w:spacing w:before="2" w:line="252" w:lineRule="auto"/>
        <w:ind w:right="412" w:firstLine="283"/>
        <w:jc w:val="both"/>
        <w:rPr>
          <w:sz w:val="21"/>
        </w:rPr>
      </w:pPr>
      <w:r>
        <w:rPr>
          <w:color w:val="231F20"/>
          <w:sz w:val="21"/>
        </w:rPr>
        <w:t xml:space="preserve">для </w:t>
      </w:r>
      <w:r>
        <w:rPr>
          <w:color w:val="231F20"/>
          <w:spacing w:val="-4"/>
          <w:sz w:val="21"/>
        </w:rPr>
        <w:t xml:space="preserve">посад </w:t>
      </w:r>
      <w:r>
        <w:rPr>
          <w:color w:val="231F20"/>
          <w:spacing w:val="-5"/>
          <w:sz w:val="21"/>
        </w:rPr>
        <w:t xml:space="preserve">категорії </w:t>
      </w:r>
      <w:r>
        <w:rPr>
          <w:color w:val="231F20"/>
          <w:spacing w:val="-4"/>
          <w:sz w:val="21"/>
        </w:rPr>
        <w:t xml:space="preserve">«Б» </w:t>
      </w:r>
      <w:r>
        <w:rPr>
          <w:color w:val="231F20"/>
          <w:sz w:val="21"/>
        </w:rPr>
        <w:t xml:space="preserve">у </w:t>
      </w:r>
      <w:r>
        <w:rPr>
          <w:color w:val="231F20"/>
          <w:spacing w:val="-5"/>
          <w:sz w:val="21"/>
        </w:rPr>
        <w:t xml:space="preserve">державному органі, юрисдикція </w:t>
      </w:r>
      <w:r>
        <w:rPr>
          <w:color w:val="231F20"/>
          <w:spacing w:val="-4"/>
          <w:sz w:val="21"/>
        </w:rPr>
        <w:t xml:space="preserve">якого </w:t>
      </w:r>
      <w:r>
        <w:rPr>
          <w:color w:val="231F20"/>
          <w:spacing w:val="-5"/>
          <w:sz w:val="21"/>
        </w:rPr>
        <w:t>поширюється</w:t>
      </w:r>
      <w:r>
        <w:rPr>
          <w:color w:val="231F20"/>
          <w:spacing w:val="-19"/>
          <w:sz w:val="21"/>
        </w:rPr>
        <w:t xml:space="preserve"> </w:t>
      </w:r>
      <w:r>
        <w:rPr>
          <w:color w:val="231F20"/>
          <w:spacing w:val="-3"/>
          <w:sz w:val="21"/>
        </w:rPr>
        <w:t>на</w:t>
      </w:r>
      <w:r>
        <w:rPr>
          <w:color w:val="231F20"/>
          <w:spacing w:val="-19"/>
          <w:sz w:val="21"/>
        </w:rPr>
        <w:t xml:space="preserve"> </w:t>
      </w:r>
      <w:r>
        <w:rPr>
          <w:color w:val="231F20"/>
          <w:spacing w:val="-4"/>
          <w:sz w:val="21"/>
        </w:rPr>
        <w:t>всю</w:t>
      </w:r>
      <w:r>
        <w:rPr>
          <w:color w:val="231F20"/>
          <w:spacing w:val="-19"/>
          <w:sz w:val="21"/>
        </w:rPr>
        <w:t xml:space="preserve"> </w:t>
      </w:r>
      <w:r>
        <w:rPr>
          <w:color w:val="231F20"/>
          <w:spacing w:val="-5"/>
          <w:sz w:val="21"/>
        </w:rPr>
        <w:t>територію</w:t>
      </w:r>
      <w:r>
        <w:rPr>
          <w:color w:val="231F20"/>
          <w:spacing w:val="-19"/>
          <w:sz w:val="21"/>
        </w:rPr>
        <w:t xml:space="preserve"> </w:t>
      </w:r>
      <w:r>
        <w:rPr>
          <w:color w:val="231F20"/>
          <w:spacing w:val="-6"/>
          <w:sz w:val="21"/>
        </w:rPr>
        <w:t>України,</w:t>
      </w:r>
      <w:r>
        <w:rPr>
          <w:color w:val="231F20"/>
          <w:spacing w:val="-19"/>
          <w:sz w:val="21"/>
        </w:rPr>
        <w:t xml:space="preserve"> </w:t>
      </w:r>
      <w:r>
        <w:rPr>
          <w:color w:val="231F20"/>
          <w:spacing w:val="-3"/>
          <w:sz w:val="21"/>
        </w:rPr>
        <w:t>та</w:t>
      </w:r>
      <w:r>
        <w:rPr>
          <w:color w:val="231F20"/>
          <w:spacing w:val="-19"/>
          <w:sz w:val="21"/>
        </w:rPr>
        <w:t xml:space="preserve"> </w:t>
      </w:r>
      <w:r>
        <w:rPr>
          <w:color w:val="231F20"/>
          <w:spacing w:val="-4"/>
          <w:sz w:val="21"/>
        </w:rPr>
        <w:t>його</w:t>
      </w:r>
      <w:r>
        <w:rPr>
          <w:color w:val="231F20"/>
          <w:spacing w:val="-19"/>
          <w:sz w:val="21"/>
        </w:rPr>
        <w:t xml:space="preserve"> </w:t>
      </w:r>
      <w:r>
        <w:rPr>
          <w:color w:val="231F20"/>
          <w:spacing w:val="-5"/>
          <w:sz w:val="21"/>
        </w:rPr>
        <w:t>апараті</w:t>
      </w:r>
      <w:r>
        <w:rPr>
          <w:color w:val="231F20"/>
          <w:spacing w:val="-19"/>
          <w:sz w:val="21"/>
        </w:rPr>
        <w:t xml:space="preserve"> </w:t>
      </w:r>
      <w:r>
        <w:rPr>
          <w:color w:val="231F20"/>
          <w:sz w:val="21"/>
        </w:rPr>
        <w:t>–</w:t>
      </w:r>
      <w:r>
        <w:rPr>
          <w:color w:val="231F20"/>
          <w:spacing w:val="-19"/>
          <w:sz w:val="21"/>
        </w:rPr>
        <w:t xml:space="preserve"> </w:t>
      </w:r>
      <w:r>
        <w:rPr>
          <w:color w:val="231F20"/>
          <w:spacing w:val="-5"/>
          <w:sz w:val="21"/>
        </w:rPr>
        <w:t>досвід</w:t>
      </w:r>
      <w:r>
        <w:rPr>
          <w:color w:val="231F20"/>
          <w:spacing w:val="-19"/>
          <w:sz w:val="21"/>
        </w:rPr>
        <w:t xml:space="preserve"> </w:t>
      </w:r>
      <w:r>
        <w:rPr>
          <w:color w:val="231F20"/>
          <w:spacing w:val="-6"/>
          <w:sz w:val="21"/>
        </w:rPr>
        <w:t xml:space="preserve">роботи </w:t>
      </w:r>
      <w:r>
        <w:rPr>
          <w:color w:val="231F20"/>
          <w:spacing w:val="-3"/>
          <w:sz w:val="21"/>
        </w:rPr>
        <w:t xml:space="preserve">на </w:t>
      </w:r>
      <w:r>
        <w:rPr>
          <w:color w:val="231F20"/>
          <w:spacing w:val="-5"/>
          <w:sz w:val="21"/>
        </w:rPr>
        <w:t xml:space="preserve">посадах державної служби  категорій  </w:t>
      </w:r>
      <w:r>
        <w:rPr>
          <w:color w:val="231F20"/>
          <w:spacing w:val="-4"/>
          <w:sz w:val="21"/>
        </w:rPr>
        <w:t xml:space="preserve">«Б» </w:t>
      </w:r>
      <w:r>
        <w:rPr>
          <w:color w:val="231F20"/>
          <w:spacing w:val="-3"/>
          <w:sz w:val="21"/>
        </w:rPr>
        <w:t xml:space="preserve">чи </w:t>
      </w:r>
      <w:r>
        <w:rPr>
          <w:color w:val="231F20"/>
          <w:spacing w:val="-4"/>
          <w:sz w:val="21"/>
        </w:rPr>
        <w:t xml:space="preserve">«В» або </w:t>
      </w:r>
      <w:r>
        <w:rPr>
          <w:color w:val="231F20"/>
          <w:spacing w:val="-5"/>
          <w:sz w:val="21"/>
        </w:rPr>
        <w:t xml:space="preserve">досвід  служби </w:t>
      </w:r>
      <w:r>
        <w:rPr>
          <w:color w:val="231F20"/>
          <w:sz w:val="21"/>
        </w:rPr>
        <w:t xml:space="preserve">в </w:t>
      </w:r>
      <w:r>
        <w:rPr>
          <w:color w:val="231F20"/>
          <w:spacing w:val="-5"/>
          <w:sz w:val="21"/>
        </w:rPr>
        <w:t xml:space="preserve">органах місцевого самоврядування, </w:t>
      </w:r>
      <w:r>
        <w:rPr>
          <w:color w:val="231F20"/>
          <w:spacing w:val="-4"/>
          <w:sz w:val="21"/>
        </w:rPr>
        <w:t xml:space="preserve">або </w:t>
      </w:r>
      <w:r>
        <w:rPr>
          <w:color w:val="231F20"/>
          <w:spacing w:val="-5"/>
          <w:sz w:val="21"/>
        </w:rPr>
        <w:t xml:space="preserve">досвід роботи </w:t>
      </w:r>
      <w:r>
        <w:rPr>
          <w:color w:val="231F20"/>
          <w:spacing w:val="-3"/>
          <w:sz w:val="21"/>
        </w:rPr>
        <w:t xml:space="preserve">на </w:t>
      </w:r>
      <w:r>
        <w:rPr>
          <w:color w:val="231F20"/>
          <w:spacing w:val="-6"/>
          <w:sz w:val="21"/>
        </w:rPr>
        <w:t xml:space="preserve">керівних </w:t>
      </w:r>
      <w:r>
        <w:rPr>
          <w:color w:val="231F20"/>
          <w:spacing w:val="-5"/>
          <w:sz w:val="21"/>
        </w:rPr>
        <w:t xml:space="preserve">посадах підприємств, установ </w:t>
      </w:r>
      <w:r>
        <w:rPr>
          <w:color w:val="231F20"/>
          <w:spacing w:val="-3"/>
          <w:sz w:val="21"/>
        </w:rPr>
        <w:t xml:space="preserve">та </w:t>
      </w:r>
      <w:r>
        <w:rPr>
          <w:color w:val="231F20"/>
          <w:spacing w:val="-5"/>
          <w:sz w:val="21"/>
        </w:rPr>
        <w:t xml:space="preserve">організацій незалежно </w:t>
      </w:r>
      <w:r>
        <w:rPr>
          <w:color w:val="231F20"/>
          <w:spacing w:val="-4"/>
          <w:sz w:val="21"/>
        </w:rPr>
        <w:t xml:space="preserve">від </w:t>
      </w:r>
      <w:r>
        <w:rPr>
          <w:color w:val="231F20"/>
          <w:spacing w:val="-5"/>
          <w:sz w:val="21"/>
        </w:rPr>
        <w:t xml:space="preserve">форми власності </w:t>
      </w:r>
      <w:r>
        <w:rPr>
          <w:color w:val="231F20"/>
          <w:spacing w:val="-3"/>
          <w:sz w:val="21"/>
        </w:rPr>
        <w:t xml:space="preserve">не </w:t>
      </w:r>
      <w:r>
        <w:rPr>
          <w:color w:val="231F20"/>
          <w:spacing w:val="-4"/>
          <w:sz w:val="21"/>
        </w:rPr>
        <w:t>ме</w:t>
      </w:r>
      <w:r>
        <w:rPr>
          <w:color w:val="231F20"/>
          <w:spacing w:val="-4"/>
          <w:sz w:val="21"/>
        </w:rPr>
        <w:t xml:space="preserve">нше </w:t>
      </w:r>
      <w:r>
        <w:rPr>
          <w:color w:val="231F20"/>
          <w:spacing w:val="-5"/>
          <w:sz w:val="21"/>
        </w:rPr>
        <w:t>двох років, вільне володіння державною</w:t>
      </w:r>
      <w:r>
        <w:rPr>
          <w:color w:val="231F20"/>
          <w:spacing w:val="-30"/>
          <w:sz w:val="21"/>
        </w:rPr>
        <w:t xml:space="preserve"> </w:t>
      </w:r>
      <w:r>
        <w:rPr>
          <w:color w:val="231F20"/>
          <w:spacing w:val="-5"/>
          <w:sz w:val="21"/>
        </w:rPr>
        <w:t>мовою;</w:t>
      </w:r>
    </w:p>
    <w:p w14:paraId="7AEFA89F" w14:textId="77777777" w:rsidR="00DE575E" w:rsidRDefault="002E7560">
      <w:pPr>
        <w:pStyle w:val="ListParagraph"/>
        <w:numPr>
          <w:ilvl w:val="0"/>
          <w:numId w:val="53"/>
        </w:numPr>
        <w:tabs>
          <w:tab w:val="left" w:pos="818"/>
        </w:tabs>
        <w:spacing w:before="3" w:line="252" w:lineRule="auto"/>
        <w:ind w:right="410" w:firstLine="283"/>
        <w:jc w:val="both"/>
        <w:rPr>
          <w:sz w:val="21"/>
        </w:rPr>
      </w:pPr>
      <w:r>
        <w:rPr>
          <w:color w:val="231F20"/>
          <w:sz w:val="21"/>
        </w:rPr>
        <w:t>для</w:t>
      </w:r>
      <w:r>
        <w:rPr>
          <w:color w:val="231F20"/>
          <w:spacing w:val="-17"/>
          <w:sz w:val="21"/>
        </w:rPr>
        <w:t xml:space="preserve"> </w:t>
      </w:r>
      <w:r>
        <w:rPr>
          <w:color w:val="231F20"/>
          <w:sz w:val="21"/>
        </w:rPr>
        <w:t>посад</w:t>
      </w:r>
      <w:r>
        <w:rPr>
          <w:color w:val="231F20"/>
          <w:spacing w:val="-17"/>
          <w:sz w:val="21"/>
        </w:rPr>
        <w:t xml:space="preserve"> </w:t>
      </w:r>
      <w:r>
        <w:rPr>
          <w:color w:val="231F20"/>
          <w:sz w:val="21"/>
        </w:rPr>
        <w:t>категорії</w:t>
      </w:r>
      <w:r>
        <w:rPr>
          <w:color w:val="231F20"/>
          <w:spacing w:val="-17"/>
          <w:sz w:val="21"/>
        </w:rPr>
        <w:t xml:space="preserve"> </w:t>
      </w:r>
      <w:r>
        <w:rPr>
          <w:color w:val="231F20"/>
          <w:sz w:val="21"/>
        </w:rPr>
        <w:t>«Б»</w:t>
      </w:r>
      <w:r>
        <w:rPr>
          <w:color w:val="231F20"/>
          <w:spacing w:val="-17"/>
          <w:sz w:val="21"/>
        </w:rPr>
        <w:t xml:space="preserve"> </w:t>
      </w:r>
      <w:r>
        <w:rPr>
          <w:color w:val="231F20"/>
          <w:sz w:val="21"/>
        </w:rPr>
        <w:t>у</w:t>
      </w:r>
      <w:r>
        <w:rPr>
          <w:color w:val="231F20"/>
          <w:spacing w:val="-18"/>
          <w:sz w:val="21"/>
        </w:rPr>
        <w:t xml:space="preserve"> </w:t>
      </w:r>
      <w:r>
        <w:rPr>
          <w:color w:val="231F20"/>
          <w:sz w:val="21"/>
        </w:rPr>
        <w:t>державному</w:t>
      </w:r>
      <w:r>
        <w:rPr>
          <w:color w:val="231F20"/>
          <w:spacing w:val="-17"/>
          <w:sz w:val="21"/>
        </w:rPr>
        <w:t xml:space="preserve"> </w:t>
      </w:r>
      <w:r>
        <w:rPr>
          <w:color w:val="231F20"/>
          <w:sz w:val="21"/>
        </w:rPr>
        <w:t>органі,</w:t>
      </w:r>
      <w:r>
        <w:rPr>
          <w:color w:val="231F20"/>
          <w:spacing w:val="-18"/>
          <w:sz w:val="21"/>
        </w:rPr>
        <w:t xml:space="preserve"> </w:t>
      </w:r>
      <w:r>
        <w:rPr>
          <w:color w:val="231F20"/>
          <w:sz w:val="21"/>
        </w:rPr>
        <w:t>юрисдикція</w:t>
      </w:r>
      <w:r>
        <w:rPr>
          <w:color w:val="231F20"/>
          <w:spacing w:val="-18"/>
          <w:sz w:val="21"/>
        </w:rPr>
        <w:t xml:space="preserve"> </w:t>
      </w:r>
      <w:r>
        <w:rPr>
          <w:color w:val="231F20"/>
          <w:sz w:val="21"/>
        </w:rPr>
        <w:t>якого поширюється на територію однієї або кількох областей, м. Києва, та його</w:t>
      </w:r>
      <w:r>
        <w:rPr>
          <w:color w:val="231F20"/>
          <w:spacing w:val="-8"/>
          <w:sz w:val="21"/>
        </w:rPr>
        <w:t xml:space="preserve"> </w:t>
      </w:r>
      <w:r>
        <w:rPr>
          <w:color w:val="231F20"/>
          <w:sz w:val="21"/>
        </w:rPr>
        <w:t>апараті</w:t>
      </w:r>
      <w:r>
        <w:rPr>
          <w:color w:val="231F20"/>
          <w:spacing w:val="-7"/>
          <w:sz w:val="21"/>
        </w:rPr>
        <w:t xml:space="preserve"> </w:t>
      </w:r>
      <w:r>
        <w:rPr>
          <w:color w:val="231F20"/>
          <w:sz w:val="21"/>
        </w:rPr>
        <w:t>–</w:t>
      </w:r>
      <w:r>
        <w:rPr>
          <w:color w:val="231F20"/>
          <w:spacing w:val="-8"/>
          <w:sz w:val="21"/>
        </w:rPr>
        <w:t xml:space="preserve"> </w:t>
      </w:r>
      <w:r>
        <w:rPr>
          <w:color w:val="231F20"/>
          <w:sz w:val="21"/>
        </w:rPr>
        <w:t>досвід</w:t>
      </w:r>
      <w:r>
        <w:rPr>
          <w:color w:val="231F20"/>
          <w:spacing w:val="-8"/>
          <w:sz w:val="21"/>
        </w:rPr>
        <w:t xml:space="preserve"> </w:t>
      </w:r>
      <w:r>
        <w:rPr>
          <w:color w:val="231F20"/>
          <w:sz w:val="21"/>
        </w:rPr>
        <w:t>роботи</w:t>
      </w:r>
      <w:r>
        <w:rPr>
          <w:color w:val="231F20"/>
          <w:spacing w:val="-8"/>
          <w:sz w:val="21"/>
        </w:rPr>
        <w:t xml:space="preserve"> </w:t>
      </w:r>
      <w:r>
        <w:rPr>
          <w:color w:val="231F20"/>
          <w:sz w:val="21"/>
        </w:rPr>
        <w:t>на</w:t>
      </w:r>
      <w:r>
        <w:rPr>
          <w:color w:val="231F20"/>
          <w:spacing w:val="-8"/>
          <w:sz w:val="21"/>
        </w:rPr>
        <w:t xml:space="preserve"> </w:t>
      </w:r>
      <w:r>
        <w:rPr>
          <w:color w:val="231F20"/>
          <w:sz w:val="21"/>
        </w:rPr>
        <w:t>посадах</w:t>
      </w:r>
      <w:r>
        <w:rPr>
          <w:color w:val="231F20"/>
          <w:spacing w:val="-7"/>
          <w:sz w:val="21"/>
        </w:rPr>
        <w:t xml:space="preserve"> </w:t>
      </w:r>
      <w:r>
        <w:rPr>
          <w:color w:val="231F20"/>
          <w:sz w:val="21"/>
        </w:rPr>
        <w:t>державної</w:t>
      </w:r>
      <w:r>
        <w:rPr>
          <w:color w:val="231F20"/>
          <w:spacing w:val="-8"/>
          <w:sz w:val="21"/>
        </w:rPr>
        <w:t xml:space="preserve"> </w:t>
      </w:r>
      <w:r>
        <w:rPr>
          <w:color w:val="231F20"/>
          <w:sz w:val="21"/>
        </w:rPr>
        <w:t>служби</w:t>
      </w:r>
      <w:r>
        <w:rPr>
          <w:color w:val="231F20"/>
          <w:spacing w:val="-8"/>
          <w:sz w:val="21"/>
        </w:rPr>
        <w:t xml:space="preserve"> </w:t>
      </w:r>
      <w:r>
        <w:rPr>
          <w:color w:val="231F20"/>
          <w:sz w:val="21"/>
        </w:rPr>
        <w:t>категорій</w:t>
      </w:r>
    </w:p>
    <w:p w14:paraId="5724D4C5" w14:textId="77777777" w:rsidR="00DE575E" w:rsidRDefault="002E7560">
      <w:pPr>
        <w:pStyle w:val="BodyText"/>
        <w:spacing w:before="2" w:line="252" w:lineRule="auto"/>
        <w:ind w:left="250" w:right="411"/>
        <w:jc w:val="both"/>
      </w:pPr>
      <w:r>
        <w:rPr>
          <w:color w:val="231F20"/>
        </w:rPr>
        <w:t>«Б» чи «В» або досвід служби в органах місцевого самоврядування, або</w:t>
      </w:r>
      <w:r>
        <w:rPr>
          <w:color w:val="231F20"/>
          <w:spacing w:val="-7"/>
        </w:rPr>
        <w:t xml:space="preserve"> </w:t>
      </w:r>
      <w:r>
        <w:rPr>
          <w:color w:val="231F20"/>
        </w:rPr>
        <w:t>досвід</w:t>
      </w:r>
      <w:r>
        <w:rPr>
          <w:color w:val="231F20"/>
          <w:spacing w:val="-7"/>
        </w:rPr>
        <w:t xml:space="preserve"> </w:t>
      </w:r>
      <w:r>
        <w:rPr>
          <w:color w:val="231F20"/>
        </w:rPr>
        <w:t>роботи</w:t>
      </w:r>
      <w:r>
        <w:rPr>
          <w:color w:val="231F20"/>
          <w:spacing w:val="-7"/>
        </w:rPr>
        <w:t xml:space="preserve"> </w:t>
      </w:r>
      <w:r>
        <w:rPr>
          <w:color w:val="231F20"/>
        </w:rPr>
        <w:t>на</w:t>
      </w:r>
      <w:r>
        <w:rPr>
          <w:color w:val="231F20"/>
          <w:spacing w:val="-7"/>
        </w:rPr>
        <w:t xml:space="preserve"> </w:t>
      </w:r>
      <w:r>
        <w:rPr>
          <w:color w:val="231F20"/>
        </w:rPr>
        <w:t>керівних</w:t>
      </w:r>
      <w:r>
        <w:rPr>
          <w:color w:val="231F20"/>
          <w:spacing w:val="-7"/>
        </w:rPr>
        <w:t xml:space="preserve"> </w:t>
      </w:r>
      <w:r>
        <w:rPr>
          <w:color w:val="231F20"/>
        </w:rPr>
        <w:t>посадах</w:t>
      </w:r>
      <w:r>
        <w:rPr>
          <w:color w:val="231F20"/>
          <w:spacing w:val="-7"/>
        </w:rPr>
        <w:t xml:space="preserve"> </w:t>
      </w:r>
      <w:r>
        <w:rPr>
          <w:color w:val="231F20"/>
        </w:rPr>
        <w:t>підприємств,</w:t>
      </w:r>
      <w:r>
        <w:rPr>
          <w:color w:val="231F20"/>
          <w:spacing w:val="-7"/>
        </w:rPr>
        <w:t xml:space="preserve"> </w:t>
      </w:r>
      <w:r>
        <w:rPr>
          <w:color w:val="231F20"/>
        </w:rPr>
        <w:t>установ</w:t>
      </w:r>
      <w:r>
        <w:rPr>
          <w:color w:val="231F20"/>
          <w:spacing w:val="-7"/>
        </w:rPr>
        <w:t xml:space="preserve"> </w:t>
      </w:r>
      <w:r>
        <w:rPr>
          <w:color w:val="231F20"/>
        </w:rPr>
        <w:t>та</w:t>
      </w:r>
      <w:r>
        <w:rPr>
          <w:color w:val="231F20"/>
          <w:spacing w:val="-7"/>
        </w:rPr>
        <w:t xml:space="preserve"> </w:t>
      </w:r>
      <w:r>
        <w:rPr>
          <w:color w:val="231F20"/>
        </w:rPr>
        <w:t>орга- нізацій незалежно від форми власності не менше двох років, вільне володіння державною</w:t>
      </w:r>
      <w:r>
        <w:rPr>
          <w:color w:val="231F20"/>
          <w:spacing w:val="-2"/>
        </w:rPr>
        <w:t xml:space="preserve"> </w:t>
      </w:r>
      <w:r>
        <w:rPr>
          <w:color w:val="231F20"/>
        </w:rPr>
        <w:t>мовою;</w:t>
      </w:r>
    </w:p>
    <w:p w14:paraId="3B0370E5" w14:textId="77777777" w:rsidR="00DE575E" w:rsidRDefault="002E7560">
      <w:pPr>
        <w:pStyle w:val="ListParagraph"/>
        <w:numPr>
          <w:ilvl w:val="0"/>
          <w:numId w:val="53"/>
        </w:numPr>
        <w:tabs>
          <w:tab w:val="left" w:pos="818"/>
        </w:tabs>
        <w:spacing w:before="2" w:line="252" w:lineRule="auto"/>
        <w:ind w:right="411" w:firstLine="283"/>
        <w:jc w:val="both"/>
        <w:rPr>
          <w:sz w:val="21"/>
        </w:rPr>
      </w:pPr>
      <w:r>
        <w:rPr>
          <w:color w:val="231F20"/>
          <w:spacing w:val="-3"/>
          <w:sz w:val="21"/>
        </w:rPr>
        <w:t xml:space="preserve">для </w:t>
      </w:r>
      <w:r>
        <w:rPr>
          <w:color w:val="231F20"/>
          <w:spacing w:val="-6"/>
          <w:sz w:val="21"/>
        </w:rPr>
        <w:t xml:space="preserve">посад </w:t>
      </w:r>
      <w:r>
        <w:rPr>
          <w:color w:val="231F20"/>
          <w:spacing w:val="-7"/>
          <w:sz w:val="21"/>
        </w:rPr>
        <w:t>категорії</w:t>
      </w:r>
      <w:r>
        <w:rPr>
          <w:color w:val="231F20"/>
          <w:spacing w:val="31"/>
          <w:sz w:val="21"/>
        </w:rPr>
        <w:t xml:space="preserve"> </w:t>
      </w:r>
      <w:r>
        <w:rPr>
          <w:color w:val="231F20"/>
          <w:spacing w:val="-5"/>
          <w:sz w:val="21"/>
        </w:rPr>
        <w:t xml:space="preserve">«Б» </w:t>
      </w:r>
      <w:r>
        <w:rPr>
          <w:color w:val="231F20"/>
          <w:sz w:val="21"/>
        </w:rPr>
        <w:t xml:space="preserve">в </w:t>
      </w:r>
      <w:r>
        <w:rPr>
          <w:color w:val="231F20"/>
          <w:spacing w:val="-6"/>
          <w:sz w:val="21"/>
        </w:rPr>
        <w:t>іншо</w:t>
      </w:r>
      <w:r>
        <w:rPr>
          <w:color w:val="231F20"/>
          <w:spacing w:val="-6"/>
          <w:sz w:val="21"/>
        </w:rPr>
        <w:t xml:space="preserve">му </w:t>
      </w:r>
      <w:r>
        <w:rPr>
          <w:color w:val="231F20"/>
          <w:spacing w:val="-7"/>
          <w:sz w:val="21"/>
        </w:rPr>
        <w:t>державному</w:t>
      </w:r>
      <w:r>
        <w:rPr>
          <w:color w:val="231F20"/>
          <w:spacing w:val="31"/>
          <w:sz w:val="21"/>
        </w:rPr>
        <w:t xml:space="preserve"> </w:t>
      </w:r>
      <w:r>
        <w:rPr>
          <w:color w:val="231F20"/>
          <w:spacing w:val="-6"/>
          <w:sz w:val="21"/>
        </w:rPr>
        <w:t xml:space="preserve">органі </w:t>
      </w:r>
      <w:r>
        <w:rPr>
          <w:color w:val="231F20"/>
          <w:sz w:val="21"/>
        </w:rPr>
        <w:t xml:space="preserve">– </w:t>
      </w:r>
      <w:r>
        <w:rPr>
          <w:color w:val="231F20"/>
          <w:spacing w:val="-7"/>
          <w:sz w:val="21"/>
        </w:rPr>
        <w:t xml:space="preserve">досвід роботи </w:t>
      </w:r>
      <w:r>
        <w:rPr>
          <w:color w:val="231F20"/>
          <w:spacing w:val="-4"/>
          <w:sz w:val="21"/>
        </w:rPr>
        <w:t xml:space="preserve">на </w:t>
      </w:r>
      <w:r>
        <w:rPr>
          <w:color w:val="231F20"/>
          <w:spacing w:val="-6"/>
          <w:sz w:val="21"/>
        </w:rPr>
        <w:t xml:space="preserve">посадах </w:t>
      </w:r>
      <w:r>
        <w:rPr>
          <w:color w:val="231F20"/>
          <w:spacing w:val="-7"/>
          <w:sz w:val="21"/>
        </w:rPr>
        <w:t xml:space="preserve">державної </w:t>
      </w:r>
      <w:r>
        <w:rPr>
          <w:color w:val="231F20"/>
          <w:spacing w:val="-6"/>
          <w:sz w:val="21"/>
        </w:rPr>
        <w:t xml:space="preserve">служби </w:t>
      </w:r>
      <w:r>
        <w:rPr>
          <w:color w:val="231F20"/>
          <w:spacing w:val="-7"/>
          <w:sz w:val="21"/>
        </w:rPr>
        <w:t xml:space="preserve">категорій </w:t>
      </w:r>
      <w:r>
        <w:rPr>
          <w:color w:val="231F20"/>
          <w:spacing w:val="-5"/>
          <w:sz w:val="21"/>
        </w:rPr>
        <w:t xml:space="preserve">«Б» </w:t>
      </w:r>
      <w:r>
        <w:rPr>
          <w:color w:val="231F20"/>
          <w:spacing w:val="-4"/>
          <w:sz w:val="21"/>
        </w:rPr>
        <w:t xml:space="preserve">чи </w:t>
      </w:r>
      <w:r>
        <w:rPr>
          <w:color w:val="231F20"/>
          <w:spacing w:val="-5"/>
          <w:sz w:val="21"/>
        </w:rPr>
        <w:t xml:space="preserve">«В» або </w:t>
      </w:r>
      <w:r>
        <w:rPr>
          <w:color w:val="231F20"/>
          <w:spacing w:val="-7"/>
          <w:sz w:val="21"/>
        </w:rPr>
        <w:t>досвід</w:t>
      </w:r>
      <w:r>
        <w:rPr>
          <w:color w:val="231F20"/>
          <w:spacing w:val="31"/>
          <w:sz w:val="21"/>
        </w:rPr>
        <w:t xml:space="preserve"> </w:t>
      </w:r>
      <w:r>
        <w:rPr>
          <w:color w:val="231F20"/>
          <w:spacing w:val="-6"/>
          <w:sz w:val="21"/>
        </w:rPr>
        <w:t xml:space="preserve">служби </w:t>
      </w:r>
      <w:r>
        <w:rPr>
          <w:color w:val="231F20"/>
          <w:sz w:val="21"/>
        </w:rPr>
        <w:t xml:space="preserve">в </w:t>
      </w:r>
      <w:r>
        <w:rPr>
          <w:color w:val="231F20"/>
          <w:spacing w:val="-6"/>
          <w:sz w:val="21"/>
        </w:rPr>
        <w:t xml:space="preserve">органах </w:t>
      </w:r>
      <w:r>
        <w:rPr>
          <w:color w:val="231F20"/>
          <w:spacing w:val="-7"/>
          <w:sz w:val="21"/>
        </w:rPr>
        <w:t xml:space="preserve">місцевого самоврядування, </w:t>
      </w:r>
      <w:r>
        <w:rPr>
          <w:color w:val="231F20"/>
          <w:spacing w:val="-5"/>
          <w:sz w:val="21"/>
        </w:rPr>
        <w:t xml:space="preserve">або </w:t>
      </w:r>
      <w:r>
        <w:rPr>
          <w:color w:val="231F20"/>
          <w:spacing w:val="-6"/>
          <w:sz w:val="21"/>
        </w:rPr>
        <w:t xml:space="preserve">досвід </w:t>
      </w:r>
      <w:r>
        <w:rPr>
          <w:color w:val="231F20"/>
          <w:spacing w:val="-7"/>
          <w:sz w:val="21"/>
        </w:rPr>
        <w:t xml:space="preserve">роботи </w:t>
      </w:r>
      <w:r>
        <w:rPr>
          <w:color w:val="231F20"/>
          <w:spacing w:val="-4"/>
          <w:sz w:val="21"/>
        </w:rPr>
        <w:t xml:space="preserve">на </w:t>
      </w:r>
      <w:r>
        <w:rPr>
          <w:color w:val="231F20"/>
          <w:spacing w:val="-7"/>
          <w:sz w:val="21"/>
        </w:rPr>
        <w:t xml:space="preserve">керів- </w:t>
      </w:r>
      <w:r>
        <w:rPr>
          <w:color w:val="231F20"/>
          <w:spacing w:val="-5"/>
          <w:sz w:val="21"/>
        </w:rPr>
        <w:t xml:space="preserve">них </w:t>
      </w:r>
      <w:r>
        <w:rPr>
          <w:color w:val="231F20"/>
          <w:spacing w:val="-6"/>
          <w:sz w:val="21"/>
        </w:rPr>
        <w:t xml:space="preserve">посадах </w:t>
      </w:r>
      <w:r>
        <w:rPr>
          <w:color w:val="231F20"/>
          <w:spacing w:val="-7"/>
          <w:sz w:val="21"/>
        </w:rPr>
        <w:t xml:space="preserve">підприємств, установ </w:t>
      </w:r>
      <w:r>
        <w:rPr>
          <w:color w:val="231F20"/>
          <w:spacing w:val="-4"/>
          <w:sz w:val="21"/>
        </w:rPr>
        <w:t xml:space="preserve">та </w:t>
      </w:r>
      <w:r>
        <w:rPr>
          <w:color w:val="231F20"/>
          <w:spacing w:val="-7"/>
          <w:sz w:val="21"/>
        </w:rPr>
        <w:t xml:space="preserve">організацій незалежно </w:t>
      </w:r>
      <w:r>
        <w:rPr>
          <w:color w:val="231F20"/>
          <w:spacing w:val="-5"/>
          <w:sz w:val="21"/>
        </w:rPr>
        <w:t xml:space="preserve">від </w:t>
      </w:r>
      <w:r>
        <w:rPr>
          <w:color w:val="231F20"/>
          <w:spacing w:val="-7"/>
          <w:sz w:val="21"/>
        </w:rPr>
        <w:t>форми власності</w:t>
      </w:r>
      <w:r>
        <w:rPr>
          <w:color w:val="231F20"/>
          <w:spacing w:val="-12"/>
          <w:sz w:val="21"/>
        </w:rPr>
        <w:t xml:space="preserve"> </w:t>
      </w:r>
      <w:r>
        <w:rPr>
          <w:color w:val="231F20"/>
          <w:spacing w:val="-4"/>
          <w:sz w:val="21"/>
        </w:rPr>
        <w:t>не</w:t>
      </w:r>
      <w:r>
        <w:rPr>
          <w:color w:val="231F20"/>
          <w:spacing w:val="-12"/>
          <w:sz w:val="21"/>
        </w:rPr>
        <w:t xml:space="preserve"> </w:t>
      </w:r>
      <w:r>
        <w:rPr>
          <w:color w:val="231F20"/>
          <w:spacing w:val="-6"/>
          <w:sz w:val="21"/>
        </w:rPr>
        <w:t>менше</w:t>
      </w:r>
      <w:r>
        <w:rPr>
          <w:color w:val="231F20"/>
          <w:spacing w:val="-12"/>
          <w:sz w:val="21"/>
        </w:rPr>
        <w:t xml:space="preserve"> </w:t>
      </w:r>
      <w:r>
        <w:rPr>
          <w:color w:val="231F20"/>
          <w:spacing w:val="-7"/>
          <w:sz w:val="21"/>
        </w:rPr>
        <w:t>одного</w:t>
      </w:r>
      <w:r>
        <w:rPr>
          <w:color w:val="231F20"/>
          <w:spacing w:val="-12"/>
          <w:sz w:val="21"/>
        </w:rPr>
        <w:t xml:space="preserve"> </w:t>
      </w:r>
      <w:r>
        <w:rPr>
          <w:color w:val="231F20"/>
          <w:spacing w:val="-9"/>
          <w:sz w:val="21"/>
        </w:rPr>
        <w:t>року,</w:t>
      </w:r>
      <w:r>
        <w:rPr>
          <w:color w:val="231F20"/>
          <w:spacing w:val="-12"/>
          <w:sz w:val="21"/>
        </w:rPr>
        <w:t xml:space="preserve"> </w:t>
      </w:r>
      <w:r>
        <w:rPr>
          <w:color w:val="231F20"/>
          <w:spacing w:val="-6"/>
          <w:sz w:val="21"/>
        </w:rPr>
        <w:t>вільне</w:t>
      </w:r>
      <w:r>
        <w:rPr>
          <w:color w:val="231F20"/>
          <w:spacing w:val="-12"/>
          <w:sz w:val="21"/>
        </w:rPr>
        <w:t xml:space="preserve"> </w:t>
      </w:r>
      <w:r>
        <w:rPr>
          <w:color w:val="231F20"/>
          <w:spacing w:val="-7"/>
          <w:sz w:val="21"/>
        </w:rPr>
        <w:t>володіння</w:t>
      </w:r>
      <w:r>
        <w:rPr>
          <w:color w:val="231F20"/>
          <w:spacing w:val="-12"/>
          <w:sz w:val="21"/>
        </w:rPr>
        <w:t xml:space="preserve"> </w:t>
      </w:r>
      <w:r>
        <w:rPr>
          <w:color w:val="231F20"/>
          <w:spacing w:val="-7"/>
          <w:sz w:val="21"/>
        </w:rPr>
        <w:t>державною</w:t>
      </w:r>
      <w:r>
        <w:rPr>
          <w:color w:val="231F20"/>
          <w:spacing w:val="-12"/>
          <w:sz w:val="21"/>
        </w:rPr>
        <w:t xml:space="preserve"> </w:t>
      </w:r>
      <w:r>
        <w:rPr>
          <w:color w:val="231F20"/>
          <w:spacing w:val="-7"/>
          <w:sz w:val="21"/>
        </w:rPr>
        <w:t>мовою;</w:t>
      </w:r>
    </w:p>
    <w:p w14:paraId="0E0EC72E" w14:textId="77777777" w:rsidR="00DE575E" w:rsidRDefault="002E7560">
      <w:pPr>
        <w:pStyle w:val="ListParagraph"/>
        <w:numPr>
          <w:ilvl w:val="0"/>
          <w:numId w:val="53"/>
        </w:numPr>
        <w:tabs>
          <w:tab w:val="left" w:pos="818"/>
        </w:tabs>
        <w:spacing w:before="2" w:line="252" w:lineRule="auto"/>
        <w:ind w:right="411" w:firstLine="283"/>
        <w:jc w:val="both"/>
        <w:rPr>
          <w:sz w:val="21"/>
        </w:rPr>
      </w:pPr>
      <w:r>
        <w:rPr>
          <w:color w:val="231F20"/>
          <w:sz w:val="21"/>
        </w:rPr>
        <w:t xml:space="preserve">для посад категорії «В» – наявність вищої освіти ступеня молодшого бакалавра або бакалавра за рішенням </w:t>
      </w:r>
      <w:r>
        <w:rPr>
          <w:color w:val="231F20"/>
          <w:spacing w:val="-3"/>
          <w:sz w:val="21"/>
        </w:rPr>
        <w:t xml:space="preserve">суб’єкта </w:t>
      </w:r>
      <w:r>
        <w:rPr>
          <w:color w:val="231F20"/>
          <w:sz w:val="21"/>
        </w:rPr>
        <w:t>призна- чення, вільне володіння державною</w:t>
      </w:r>
      <w:r>
        <w:rPr>
          <w:color w:val="231F20"/>
          <w:spacing w:val="-3"/>
          <w:sz w:val="21"/>
        </w:rPr>
        <w:t xml:space="preserve"> </w:t>
      </w:r>
      <w:r>
        <w:rPr>
          <w:color w:val="231F20"/>
          <w:sz w:val="21"/>
        </w:rPr>
        <w:t>мовою.</w:t>
      </w:r>
    </w:p>
    <w:p w14:paraId="67FBD5D9" w14:textId="77777777" w:rsidR="00DE575E" w:rsidRDefault="002E7560">
      <w:pPr>
        <w:pStyle w:val="BodyText"/>
        <w:spacing w:before="1" w:line="252" w:lineRule="auto"/>
        <w:ind w:left="250" w:right="411" w:firstLine="283"/>
        <w:jc w:val="both"/>
      </w:pPr>
      <w:r>
        <w:rPr>
          <w:color w:val="231F20"/>
        </w:rPr>
        <w:t>Особи, які претендують на зайняття посад державн</w:t>
      </w:r>
      <w:r>
        <w:rPr>
          <w:color w:val="231F20"/>
        </w:rPr>
        <w:t>ої служби категорії «А», мають відповідати типовим вимогам (включаючи спеціальні), затвердженим Кабінетом Міністрів України.</w:t>
      </w:r>
    </w:p>
    <w:p w14:paraId="4347D121" w14:textId="77777777" w:rsidR="00DE575E" w:rsidRDefault="002E7560">
      <w:pPr>
        <w:pStyle w:val="BodyText"/>
        <w:spacing w:before="2" w:line="252" w:lineRule="auto"/>
        <w:ind w:left="250" w:right="411" w:firstLine="283"/>
        <w:jc w:val="both"/>
      </w:pPr>
      <w:r>
        <w:rPr>
          <w:b/>
          <w:i/>
          <w:color w:val="231F20"/>
        </w:rPr>
        <w:t xml:space="preserve">Спеціальні вимоги </w:t>
      </w:r>
      <w:r>
        <w:rPr>
          <w:color w:val="231F20"/>
        </w:rPr>
        <w:t>до осіб, які претендують на зайняття посад державної   служби   категорій   «Б»   і  «В»,   визначаються суб’єктом</w:t>
      </w:r>
    </w:p>
    <w:p w14:paraId="352EBD06" w14:textId="77777777" w:rsidR="00DE575E" w:rsidRDefault="00DE575E">
      <w:pPr>
        <w:pStyle w:val="BodyText"/>
        <w:spacing w:before="5"/>
        <w:rPr>
          <w:sz w:val="12"/>
        </w:rPr>
      </w:pPr>
    </w:p>
    <w:p w14:paraId="5D166772" w14:textId="77777777" w:rsidR="00DE575E" w:rsidRDefault="002E7560">
      <w:pPr>
        <w:spacing w:before="92"/>
        <w:ind w:right="411"/>
        <w:jc w:val="right"/>
        <w:rPr>
          <w:rFonts w:ascii="Times New Roman"/>
          <w:sz w:val="20"/>
        </w:rPr>
      </w:pPr>
      <w:r>
        <w:rPr>
          <w:rFonts w:ascii="Times New Roman"/>
          <w:color w:val="231F20"/>
          <w:w w:val="90"/>
          <w:sz w:val="20"/>
        </w:rPr>
        <w:t>441</w:t>
      </w:r>
    </w:p>
    <w:p w14:paraId="3F8B593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FEA031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F859C71" w14:textId="430D621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A47D10D" wp14:editId="6FFC747A">
                <wp:extent cx="4140200" cy="6350"/>
                <wp:effectExtent l="0" t="0" r="12700" b="6350"/>
                <wp:docPr id="28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88" name="Line 2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916459" id="Group_x0020_2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21gp8gAIAAJgFAAAO&#10;AAAAAAAAAAAAAAAAACwCAABkcnMvZTJvRG9jLnhtbFBLAQItABQABgAIAAAAIQBMp7CQ2QAAAAMB&#10;AAAPAAAAAAAAAAAAAAAAANgEAABkcnMvZG93bnJldi54bWxQSwUGAAAAAAQABADzAAAA3gUAAAAA&#10;">
                <v:line id="Line_x0020_2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QnVcIAAADcAAAADwAAAGRycy9kb3ducmV2LnhtbERPy4rCMBTdC/MP4Q7MRjRVQaQaRQYG&#10;ZBa+6gdcm2tbTG5qE231681iYJaH816sOmvEgxpfOVYwGiYgiHOnKy4UnLKfwQyED8gajWNS8CQP&#10;q+VHb4Gpdi0f6HEMhYgh7FNUUIZQp1L6vCSLfuhq4shdXGMxRNgUUjfYxnBr5DhJptJixbGhxJq+&#10;S8qvx7tVkN36wex3v6bNdueJPN+2k9d9q9TXZ7eegwjUhX/xn3ujFYxncW08E4+AXL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wQnVcIAAADcAAAADwAAAAAAAAAAAAAA&#10;AAChAgAAZHJzL2Rvd25yZXYueG1sUEsFBgAAAAAEAAQA+QAAAJADAAAAAA==&#10;" strokecolor="#231f20" strokeweight=".5pt"/>
                <w10:anchorlock/>
              </v:group>
            </w:pict>
          </mc:Fallback>
        </mc:AlternateContent>
      </w:r>
    </w:p>
    <w:p w14:paraId="33CF6408" w14:textId="77777777" w:rsidR="00DE575E" w:rsidRDefault="00DE575E">
      <w:pPr>
        <w:pStyle w:val="BodyText"/>
        <w:spacing w:before="7"/>
        <w:rPr>
          <w:rFonts w:ascii="AdonisC"/>
          <w:i/>
          <w:sz w:val="11"/>
        </w:rPr>
      </w:pPr>
    </w:p>
    <w:p w14:paraId="363D5D99" w14:textId="77777777" w:rsidR="00DE575E" w:rsidRDefault="002E7560">
      <w:pPr>
        <w:pStyle w:val="BodyText"/>
        <w:spacing w:before="101" w:line="252" w:lineRule="auto"/>
        <w:ind w:left="533" w:right="128"/>
        <w:jc w:val="both"/>
      </w:pPr>
      <w:r>
        <w:rPr>
          <w:color w:val="231F20"/>
        </w:rPr>
        <w:t>призначення з урахуванням вимог спеціальних законів, що регулю- ють діяльність відповідного державного органу, в порядку, затвер- дженому Нацагентством із питань держслужби.</w:t>
      </w:r>
    </w:p>
    <w:p w14:paraId="6B3C967D" w14:textId="77777777" w:rsidR="00DE575E" w:rsidRDefault="002E7560">
      <w:pPr>
        <w:pStyle w:val="BodyText"/>
        <w:spacing w:before="1" w:line="252" w:lineRule="auto"/>
        <w:ind w:left="533" w:right="125" w:firstLine="283"/>
        <w:jc w:val="both"/>
      </w:pPr>
      <w:r>
        <w:rPr>
          <w:color w:val="231F20"/>
        </w:rPr>
        <w:t>Спеціальні вимоги до осіб, які претендують на</w:t>
      </w:r>
      <w:r>
        <w:rPr>
          <w:color w:val="231F20"/>
        </w:rPr>
        <w:t xml:space="preserve"> зайняття посад державної служби, також можуть визначатися суб’єктом призна- чення в контракті про проходження державної служби (у разі його укладення) у порядку, передбаченому Кабінетом Міністрів України.</w:t>
      </w:r>
    </w:p>
    <w:p w14:paraId="0E66266F" w14:textId="77777777" w:rsidR="00DE575E" w:rsidRDefault="002E7560">
      <w:pPr>
        <w:pStyle w:val="BodyText"/>
        <w:spacing w:before="2" w:line="252" w:lineRule="auto"/>
        <w:ind w:left="533" w:right="123" w:firstLine="283"/>
        <w:jc w:val="both"/>
      </w:pPr>
      <w:r>
        <w:rPr>
          <w:color w:val="231F20"/>
        </w:rPr>
        <w:t xml:space="preserve">Законом визначені </w:t>
      </w:r>
      <w:r>
        <w:rPr>
          <w:i/>
          <w:color w:val="231F20"/>
        </w:rPr>
        <w:t>особи, які не мають права вступа</w:t>
      </w:r>
      <w:r>
        <w:rPr>
          <w:i/>
          <w:color w:val="231F20"/>
        </w:rPr>
        <w:t>ти на державну службу</w:t>
      </w:r>
      <w:r>
        <w:rPr>
          <w:color w:val="231F20"/>
        </w:rPr>
        <w:t>. Зокрема це особа, яка: досягла шістдесятип’я- тирічного віку; в установленому законом порядку визнана недієз- датною або дієздатність якої обмежена; має судимість за вчинення умисного злочину, якщо така судимість не погашена або не з</w:t>
      </w:r>
      <w:r>
        <w:rPr>
          <w:color w:val="231F20"/>
        </w:rPr>
        <w:t>нята    в установленому законом порядку; відповідно до рішення суду позбавлена права займатися діяльністю, пов’язаною з виконан-  ням функцій держави, або займати відповідні посади;  підда-  валася адміністративному стягненню за корупційне або  пов’я-  зан</w:t>
      </w:r>
      <w:r>
        <w:rPr>
          <w:color w:val="231F20"/>
        </w:rPr>
        <w:t xml:space="preserve">е з корупцією правопорушення – упродовж трьох років з </w:t>
      </w:r>
      <w:r>
        <w:rPr>
          <w:color w:val="231F20"/>
          <w:spacing w:val="1"/>
        </w:rPr>
        <w:t xml:space="preserve">дня </w:t>
      </w:r>
      <w:r>
        <w:rPr>
          <w:color w:val="231F20"/>
        </w:rPr>
        <w:t>набрання відповідним рішенням суду законної сили; має грома- дянство іншої держави; не пройшла спеціальну перевірку або не надала згоду на її проведення; підпадає під заборону, встановлену Законом У</w:t>
      </w:r>
      <w:r>
        <w:rPr>
          <w:color w:val="231F20"/>
        </w:rPr>
        <w:t>країни «Про очищення</w:t>
      </w:r>
      <w:r>
        <w:rPr>
          <w:color w:val="231F20"/>
          <w:spacing w:val="28"/>
        </w:rPr>
        <w:t xml:space="preserve"> </w:t>
      </w:r>
      <w:r>
        <w:rPr>
          <w:color w:val="231F20"/>
        </w:rPr>
        <w:t>влади».</w:t>
      </w:r>
    </w:p>
    <w:p w14:paraId="7FDD2EE3" w14:textId="77777777" w:rsidR="00DE575E" w:rsidRDefault="002E7560">
      <w:pPr>
        <w:pStyle w:val="BodyText"/>
        <w:spacing w:before="7" w:line="252" w:lineRule="auto"/>
        <w:ind w:left="533" w:right="127" w:firstLine="283"/>
        <w:jc w:val="both"/>
      </w:pPr>
      <w:r>
        <w:rPr>
          <w:color w:val="231F20"/>
        </w:rPr>
        <w:t>Аналізуючи чинне законодавство про державну службу та науково-теоретичні напрацювання з питань державної служби, можна зазначити, що вони передбачають:</w:t>
      </w:r>
    </w:p>
    <w:p w14:paraId="635CAE01" w14:textId="77777777" w:rsidR="00DE575E" w:rsidRDefault="002E7560">
      <w:pPr>
        <w:pStyle w:val="BodyText"/>
        <w:spacing w:before="1" w:line="252" w:lineRule="auto"/>
        <w:ind w:left="533" w:right="125" w:firstLine="283"/>
        <w:jc w:val="both"/>
      </w:pPr>
      <w:r>
        <w:rPr>
          <w:color w:val="231F20"/>
        </w:rPr>
        <w:t>а) критерії, яким має відповідати особа, яка претендує на посаду державного службовця, а саме:</w:t>
      </w:r>
    </w:p>
    <w:p w14:paraId="758C39CC" w14:textId="77777777" w:rsidR="00DE575E" w:rsidRDefault="002E7560">
      <w:pPr>
        <w:pStyle w:val="ListParagraph"/>
        <w:numPr>
          <w:ilvl w:val="0"/>
          <w:numId w:val="52"/>
        </w:numPr>
        <w:tabs>
          <w:tab w:val="left" w:pos="1385"/>
        </w:tabs>
        <w:jc w:val="left"/>
        <w:rPr>
          <w:sz w:val="21"/>
        </w:rPr>
      </w:pPr>
      <w:r>
        <w:rPr>
          <w:color w:val="231F20"/>
          <w:sz w:val="21"/>
        </w:rPr>
        <w:t xml:space="preserve">громадянство </w:t>
      </w:r>
      <w:r>
        <w:rPr>
          <w:color w:val="231F20"/>
          <w:spacing w:val="-3"/>
          <w:sz w:val="21"/>
        </w:rPr>
        <w:t xml:space="preserve">України, </w:t>
      </w:r>
      <w:r>
        <w:rPr>
          <w:color w:val="231F20"/>
          <w:sz w:val="21"/>
        </w:rPr>
        <w:t>відповідний</w:t>
      </w:r>
      <w:r>
        <w:rPr>
          <w:color w:val="231F20"/>
          <w:sz w:val="21"/>
        </w:rPr>
        <w:t xml:space="preserve"> </w:t>
      </w:r>
      <w:r>
        <w:rPr>
          <w:color w:val="231F20"/>
          <w:sz w:val="21"/>
        </w:rPr>
        <w:t>вік;</w:t>
      </w:r>
    </w:p>
    <w:p w14:paraId="1F92345B" w14:textId="77777777" w:rsidR="00DE575E" w:rsidRDefault="002E7560">
      <w:pPr>
        <w:pStyle w:val="ListParagraph"/>
        <w:numPr>
          <w:ilvl w:val="0"/>
          <w:numId w:val="52"/>
        </w:numPr>
        <w:tabs>
          <w:tab w:val="left" w:pos="1385"/>
        </w:tabs>
        <w:spacing w:before="13"/>
        <w:jc w:val="left"/>
        <w:rPr>
          <w:sz w:val="21"/>
        </w:rPr>
      </w:pPr>
      <w:r>
        <w:rPr>
          <w:color w:val="231F20"/>
          <w:sz w:val="21"/>
        </w:rPr>
        <w:t>відповідна освіта і професійна</w:t>
      </w:r>
      <w:r>
        <w:rPr>
          <w:color w:val="231F20"/>
          <w:spacing w:val="-3"/>
          <w:sz w:val="21"/>
        </w:rPr>
        <w:t xml:space="preserve"> </w:t>
      </w:r>
      <w:r>
        <w:rPr>
          <w:color w:val="231F20"/>
          <w:sz w:val="21"/>
        </w:rPr>
        <w:t>підготовка;</w:t>
      </w:r>
    </w:p>
    <w:p w14:paraId="46EF5A9B" w14:textId="77777777" w:rsidR="00DE575E" w:rsidRDefault="002E7560">
      <w:pPr>
        <w:pStyle w:val="ListParagraph"/>
        <w:numPr>
          <w:ilvl w:val="0"/>
          <w:numId w:val="52"/>
        </w:numPr>
        <w:tabs>
          <w:tab w:val="left" w:pos="1385"/>
        </w:tabs>
        <w:spacing w:before="13" w:line="252" w:lineRule="auto"/>
        <w:ind w:right="127"/>
        <w:jc w:val="left"/>
        <w:rPr>
          <w:sz w:val="21"/>
        </w:rPr>
      </w:pPr>
      <w:r>
        <w:rPr>
          <w:color w:val="231F20"/>
          <w:sz w:val="21"/>
        </w:rPr>
        <w:t>проходження встановленої процедури вступу на державну службу;</w:t>
      </w:r>
    </w:p>
    <w:p w14:paraId="6773B416" w14:textId="77777777" w:rsidR="00DE575E" w:rsidRDefault="002E7560">
      <w:pPr>
        <w:pStyle w:val="BodyText"/>
        <w:spacing w:before="1" w:line="252" w:lineRule="auto"/>
        <w:ind w:left="533" w:right="127" w:firstLine="283"/>
        <w:jc w:val="both"/>
      </w:pPr>
      <w:r>
        <w:rPr>
          <w:color w:val="231F20"/>
        </w:rPr>
        <w:t>б) особистісні ха</w:t>
      </w:r>
      <w:r>
        <w:rPr>
          <w:color w:val="231F20"/>
        </w:rPr>
        <w:t>рактеристики, які не мали братися до уваги при прийнятті особи на державну службу:</w:t>
      </w:r>
    </w:p>
    <w:p w14:paraId="5CD0B0A5" w14:textId="77777777" w:rsidR="00DE575E" w:rsidRDefault="002E7560">
      <w:pPr>
        <w:pStyle w:val="ListParagraph"/>
        <w:numPr>
          <w:ilvl w:val="0"/>
          <w:numId w:val="52"/>
        </w:numPr>
        <w:tabs>
          <w:tab w:val="left" w:pos="1385"/>
        </w:tabs>
        <w:jc w:val="left"/>
        <w:rPr>
          <w:sz w:val="21"/>
        </w:rPr>
      </w:pPr>
      <w:r>
        <w:rPr>
          <w:color w:val="231F20"/>
          <w:sz w:val="21"/>
        </w:rPr>
        <w:t>походження;</w:t>
      </w:r>
    </w:p>
    <w:p w14:paraId="4D157F0F" w14:textId="77777777" w:rsidR="00DE575E" w:rsidRDefault="002E7560">
      <w:pPr>
        <w:pStyle w:val="ListParagraph"/>
        <w:numPr>
          <w:ilvl w:val="0"/>
          <w:numId w:val="52"/>
        </w:numPr>
        <w:tabs>
          <w:tab w:val="left" w:pos="1385"/>
        </w:tabs>
        <w:spacing w:before="13"/>
        <w:jc w:val="left"/>
        <w:rPr>
          <w:sz w:val="21"/>
        </w:rPr>
      </w:pPr>
      <w:r>
        <w:rPr>
          <w:color w:val="231F20"/>
          <w:sz w:val="21"/>
        </w:rPr>
        <w:t>соціальний і майновий</w:t>
      </w:r>
      <w:r>
        <w:rPr>
          <w:color w:val="231F20"/>
          <w:spacing w:val="-2"/>
          <w:sz w:val="21"/>
        </w:rPr>
        <w:t xml:space="preserve"> </w:t>
      </w:r>
      <w:r>
        <w:rPr>
          <w:color w:val="231F20"/>
          <w:sz w:val="21"/>
        </w:rPr>
        <w:t>стан;</w:t>
      </w:r>
    </w:p>
    <w:p w14:paraId="4CB8497A" w14:textId="77777777" w:rsidR="00DE575E" w:rsidRDefault="002E7560">
      <w:pPr>
        <w:pStyle w:val="ListParagraph"/>
        <w:numPr>
          <w:ilvl w:val="0"/>
          <w:numId w:val="52"/>
        </w:numPr>
        <w:tabs>
          <w:tab w:val="left" w:pos="1385"/>
        </w:tabs>
        <w:spacing w:before="13"/>
        <w:jc w:val="left"/>
        <w:rPr>
          <w:sz w:val="21"/>
        </w:rPr>
      </w:pPr>
      <w:r>
        <w:rPr>
          <w:color w:val="231F20"/>
          <w:sz w:val="21"/>
        </w:rPr>
        <w:t>расова й національна</w:t>
      </w:r>
      <w:r>
        <w:rPr>
          <w:color w:val="231F20"/>
          <w:spacing w:val="-3"/>
          <w:sz w:val="21"/>
        </w:rPr>
        <w:t xml:space="preserve"> </w:t>
      </w:r>
      <w:r>
        <w:rPr>
          <w:color w:val="231F20"/>
          <w:sz w:val="21"/>
        </w:rPr>
        <w:t>приналежність;</w:t>
      </w:r>
    </w:p>
    <w:p w14:paraId="54E79DCB" w14:textId="77777777" w:rsidR="00DE575E" w:rsidRDefault="002E7560">
      <w:pPr>
        <w:pStyle w:val="ListParagraph"/>
        <w:numPr>
          <w:ilvl w:val="0"/>
          <w:numId w:val="52"/>
        </w:numPr>
        <w:tabs>
          <w:tab w:val="left" w:pos="1385"/>
        </w:tabs>
        <w:spacing w:before="12"/>
        <w:jc w:val="left"/>
        <w:rPr>
          <w:sz w:val="21"/>
        </w:rPr>
      </w:pPr>
      <w:r>
        <w:rPr>
          <w:color w:val="231F20"/>
          <w:sz w:val="21"/>
        </w:rPr>
        <w:t>стать;</w:t>
      </w:r>
    </w:p>
    <w:p w14:paraId="549D51BB" w14:textId="77777777" w:rsidR="00DE575E" w:rsidRDefault="002E7560">
      <w:pPr>
        <w:pStyle w:val="ListParagraph"/>
        <w:numPr>
          <w:ilvl w:val="0"/>
          <w:numId w:val="52"/>
        </w:numPr>
        <w:tabs>
          <w:tab w:val="left" w:pos="1385"/>
        </w:tabs>
        <w:spacing w:before="13"/>
        <w:jc w:val="left"/>
        <w:rPr>
          <w:sz w:val="21"/>
        </w:rPr>
      </w:pPr>
      <w:r>
        <w:rPr>
          <w:color w:val="231F20"/>
          <w:sz w:val="21"/>
        </w:rPr>
        <w:t xml:space="preserve">політичні </w:t>
      </w:r>
      <w:r>
        <w:rPr>
          <w:color w:val="231F20"/>
          <w:spacing w:val="-3"/>
          <w:sz w:val="21"/>
        </w:rPr>
        <w:t>погляди;</w:t>
      </w:r>
    </w:p>
    <w:p w14:paraId="32555CBC" w14:textId="77777777" w:rsidR="00DE575E" w:rsidRDefault="002E7560">
      <w:pPr>
        <w:pStyle w:val="ListParagraph"/>
        <w:numPr>
          <w:ilvl w:val="0"/>
          <w:numId w:val="52"/>
        </w:numPr>
        <w:tabs>
          <w:tab w:val="left" w:pos="1385"/>
        </w:tabs>
        <w:spacing w:before="13"/>
        <w:jc w:val="left"/>
        <w:rPr>
          <w:sz w:val="21"/>
        </w:rPr>
      </w:pPr>
      <w:r>
        <w:rPr>
          <w:color w:val="231F20"/>
          <w:sz w:val="21"/>
        </w:rPr>
        <w:t>релігійні</w:t>
      </w:r>
      <w:r>
        <w:rPr>
          <w:color w:val="231F20"/>
          <w:spacing w:val="-2"/>
          <w:sz w:val="21"/>
        </w:rPr>
        <w:t xml:space="preserve"> </w:t>
      </w:r>
      <w:r>
        <w:rPr>
          <w:color w:val="231F20"/>
          <w:sz w:val="21"/>
        </w:rPr>
        <w:t>переконання;</w:t>
      </w:r>
    </w:p>
    <w:p w14:paraId="0FD35E0F" w14:textId="77777777" w:rsidR="00DE575E" w:rsidRDefault="002E7560">
      <w:pPr>
        <w:pStyle w:val="ListParagraph"/>
        <w:numPr>
          <w:ilvl w:val="0"/>
          <w:numId w:val="52"/>
        </w:numPr>
        <w:tabs>
          <w:tab w:val="left" w:pos="1385"/>
        </w:tabs>
        <w:spacing w:before="13"/>
        <w:jc w:val="left"/>
        <w:rPr>
          <w:sz w:val="21"/>
        </w:rPr>
      </w:pPr>
      <w:r>
        <w:rPr>
          <w:color w:val="231F20"/>
          <w:sz w:val="21"/>
        </w:rPr>
        <w:t>місце</w:t>
      </w:r>
      <w:r>
        <w:rPr>
          <w:color w:val="231F20"/>
          <w:spacing w:val="-1"/>
          <w:sz w:val="21"/>
        </w:rPr>
        <w:t xml:space="preserve"> </w:t>
      </w:r>
      <w:r>
        <w:rPr>
          <w:color w:val="231F20"/>
          <w:sz w:val="21"/>
        </w:rPr>
        <w:t>проживання.</w:t>
      </w:r>
    </w:p>
    <w:p w14:paraId="3ACC1D0C" w14:textId="77777777" w:rsidR="00DE575E" w:rsidRDefault="00DE575E">
      <w:pPr>
        <w:pStyle w:val="BodyText"/>
        <w:spacing w:before="5"/>
        <w:rPr>
          <w:sz w:val="13"/>
        </w:rPr>
      </w:pPr>
    </w:p>
    <w:p w14:paraId="438326A8" w14:textId="77777777" w:rsidR="00DE575E" w:rsidRDefault="002E7560">
      <w:pPr>
        <w:spacing w:before="92"/>
        <w:ind w:left="533"/>
        <w:rPr>
          <w:rFonts w:ascii="Times New Roman"/>
          <w:sz w:val="20"/>
        </w:rPr>
      </w:pPr>
      <w:r>
        <w:rPr>
          <w:rFonts w:ascii="Times New Roman"/>
          <w:color w:val="231F20"/>
          <w:sz w:val="20"/>
        </w:rPr>
        <w:t>442</w:t>
      </w:r>
    </w:p>
    <w:p w14:paraId="196ED7F2" w14:textId="77777777" w:rsidR="00DE575E" w:rsidRDefault="00DE575E">
      <w:pPr>
        <w:rPr>
          <w:rFonts w:ascii="Times New Roman"/>
          <w:sz w:val="20"/>
        </w:rPr>
        <w:sectPr w:rsidR="00DE575E">
          <w:pgSz w:w="8510" w:h="12760"/>
          <w:pgMar w:top="660" w:right="720" w:bottom="280" w:left="600" w:header="720" w:footer="720" w:gutter="0"/>
          <w:cols w:space="720"/>
        </w:sectPr>
      </w:pPr>
    </w:p>
    <w:p w14:paraId="4C5F1B61"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77AA487A" w14:textId="2B92CF9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6BFEEE7" wp14:editId="2F53593A">
                <wp:extent cx="4140200" cy="6350"/>
                <wp:effectExtent l="0" t="0" r="12700" b="6350"/>
                <wp:docPr id="28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86" name="Line 2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0E7EB8" id="Group_x0020_2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Vz5TJ/AgAAmAUAAA4A&#10;AAAAAAAAAAAAAAAALAIAAGRycy9lMm9Eb2MueG1sUEsBAi0AFAAGAAgAAAAhAEynsJDZAAAAAwEA&#10;AA8AAAAAAAAAAAAAAAAA1wQAAGRycy9kb3ducmV2LnhtbFBLBQYAAAAABAAEAPMAAADdBQAAAAA=&#10;">
                <v:line id="Line_x0020_2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cWvMUAAADcAAAADwAAAGRycy9kb3ducmV2LnhtbESP0WrCQBRE3wv+w3KFvhTdVEEkuooI&#10;BfFBrekHXLPXJLh7N2ZXk/r1rlDo4zAzZ5j5srNG3KnxlWMFn8MEBHHudMWFgp/sazAF4QOyRuOY&#10;FPySh+Wi9zbHVLuWv+l+DIWIEPYpKihDqFMpfV6SRT90NXH0zq6xGKJsCqkbbCPcGjlKkom0WHFc&#10;KLGmdUn55XizCrLrRzCH/da02f40lqfrbvy47ZR673erGYhAXfgP/7U3WsFoOoHXmXgE5O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dcWvMUAAADcAAAADwAAAAAAAAAA&#10;AAAAAAChAgAAZHJzL2Rvd25yZXYueG1sUEsFBgAAAAAEAAQA+QAAAJMDAAAAAA==&#10;" strokecolor="#231f20" strokeweight=".5pt"/>
                <w10:anchorlock/>
              </v:group>
            </w:pict>
          </mc:Fallback>
        </mc:AlternateContent>
      </w:r>
    </w:p>
    <w:p w14:paraId="5AAB7445" w14:textId="77777777" w:rsidR="00DE575E" w:rsidRDefault="00DE575E">
      <w:pPr>
        <w:pStyle w:val="BodyText"/>
        <w:spacing w:before="7"/>
        <w:rPr>
          <w:rFonts w:ascii="AdonisC"/>
          <w:i/>
          <w:sz w:val="19"/>
        </w:rPr>
      </w:pPr>
    </w:p>
    <w:p w14:paraId="7E984FF5" w14:textId="77777777" w:rsidR="00DE575E" w:rsidRDefault="002E7560">
      <w:pPr>
        <w:pStyle w:val="BodyText"/>
        <w:spacing w:before="1" w:line="252" w:lineRule="auto"/>
        <w:ind w:left="250" w:right="409" w:firstLine="283"/>
        <w:jc w:val="both"/>
      </w:pPr>
      <w:r>
        <w:rPr>
          <w:color w:val="231F20"/>
        </w:rPr>
        <w:t>Відповідно до чинного антикорупційного законодавства особам, які</w:t>
      </w:r>
      <w:r>
        <w:rPr>
          <w:color w:val="231F20"/>
          <w:spacing w:val="-9"/>
        </w:rPr>
        <w:t xml:space="preserve"> </w:t>
      </w:r>
      <w:r>
        <w:rPr>
          <w:color w:val="231F20"/>
        </w:rPr>
        <w:t>претендують</w:t>
      </w:r>
      <w:r>
        <w:rPr>
          <w:color w:val="231F20"/>
          <w:spacing w:val="-9"/>
        </w:rPr>
        <w:t xml:space="preserve"> </w:t>
      </w:r>
      <w:r>
        <w:rPr>
          <w:color w:val="231F20"/>
        </w:rPr>
        <w:t>на</w:t>
      </w:r>
      <w:r>
        <w:rPr>
          <w:color w:val="231F20"/>
          <w:spacing w:val="-9"/>
        </w:rPr>
        <w:t xml:space="preserve"> </w:t>
      </w:r>
      <w:r>
        <w:rPr>
          <w:color w:val="231F20"/>
        </w:rPr>
        <w:t>зайняття</w:t>
      </w:r>
      <w:r>
        <w:rPr>
          <w:color w:val="231F20"/>
          <w:spacing w:val="-9"/>
        </w:rPr>
        <w:t xml:space="preserve"> </w:t>
      </w:r>
      <w:r>
        <w:rPr>
          <w:color w:val="231F20"/>
        </w:rPr>
        <w:t>посад</w:t>
      </w:r>
      <w:r>
        <w:rPr>
          <w:color w:val="231F20"/>
          <w:spacing w:val="-9"/>
        </w:rPr>
        <w:t xml:space="preserve"> </w:t>
      </w:r>
      <w:r>
        <w:rPr>
          <w:color w:val="231F20"/>
        </w:rPr>
        <w:t>державних</w:t>
      </w:r>
      <w:r>
        <w:rPr>
          <w:color w:val="231F20"/>
          <w:spacing w:val="-9"/>
        </w:rPr>
        <w:t xml:space="preserve"> </w:t>
      </w:r>
      <w:r>
        <w:rPr>
          <w:color w:val="231F20"/>
        </w:rPr>
        <w:t>службовців,</w:t>
      </w:r>
      <w:r>
        <w:rPr>
          <w:color w:val="231F20"/>
          <w:spacing w:val="-9"/>
        </w:rPr>
        <w:t xml:space="preserve"> </w:t>
      </w:r>
      <w:r>
        <w:rPr>
          <w:color w:val="231F20"/>
        </w:rPr>
        <w:t xml:space="preserve">потрібно подати за місцем майбутньої служби відомості про </w:t>
      </w:r>
      <w:r>
        <w:rPr>
          <w:color w:val="231F20"/>
          <w:spacing w:val="-3"/>
        </w:rPr>
        <w:t xml:space="preserve">доходи </w:t>
      </w:r>
      <w:r>
        <w:rPr>
          <w:color w:val="231F20"/>
        </w:rPr>
        <w:t xml:space="preserve">та зобов’язання фінансового </w:t>
      </w:r>
      <w:r>
        <w:rPr>
          <w:color w:val="231F20"/>
          <w:spacing w:val="-3"/>
        </w:rPr>
        <w:t>характеру</w:t>
      </w:r>
      <w:r>
        <w:rPr>
          <w:color w:val="231F20"/>
          <w:spacing w:val="-3"/>
        </w:rPr>
        <w:t xml:space="preserve">, </w:t>
      </w:r>
      <w:r>
        <w:rPr>
          <w:color w:val="231F20"/>
        </w:rPr>
        <w:t>а особам, які претендують на зайняття посад категорій «А» і «В», – крім того подати відомості</w:t>
      </w:r>
      <w:r>
        <w:rPr>
          <w:color w:val="231F20"/>
          <w:spacing w:val="-29"/>
        </w:rPr>
        <w:t xml:space="preserve"> </w:t>
      </w:r>
      <w:r>
        <w:rPr>
          <w:color w:val="231F20"/>
        </w:rPr>
        <w:t>про належні їм та членам їхніх сімей нерухоме та цінне рухоме майно, вклади</w:t>
      </w:r>
      <w:r>
        <w:rPr>
          <w:color w:val="231F20"/>
          <w:spacing w:val="-7"/>
        </w:rPr>
        <w:t xml:space="preserve"> </w:t>
      </w:r>
      <w:r>
        <w:rPr>
          <w:color w:val="231F20"/>
        </w:rPr>
        <w:t>у</w:t>
      </w:r>
      <w:r>
        <w:rPr>
          <w:color w:val="231F20"/>
          <w:spacing w:val="-7"/>
        </w:rPr>
        <w:t xml:space="preserve"> </w:t>
      </w:r>
      <w:r>
        <w:rPr>
          <w:color w:val="231F20"/>
        </w:rPr>
        <w:t>банках</w:t>
      </w:r>
      <w:r>
        <w:rPr>
          <w:color w:val="231F20"/>
          <w:spacing w:val="-7"/>
        </w:rPr>
        <w:t xml:space="preserve"> </w:t>
      </w:r>
      <w:r>
        <w:rPr>
          <w:color w:val="231F20"/>
        </w:rPr>
        <w:t>та</w:t>
      </w:r>
      <w:r>
        <w:rPr>
          <w:color w:val="231F20"/>
          <w:spacing w:val="-7"/>
        </w:rPr>
        <w:t xml:space="preserve"> </w:t>
      </w:r>
      <w:r>
        <w:rPr>
          <w:color w:val="231F20"/>
        </w:rPr>
        <w:t>цінні</w:t>
      </w:r>
      <w:r>
        <w:rPr>
          <w:color w:val="231F20"/>
          <w:spacing w:val="-7"/>
        </w:rPr>
        <w:t xml:space="preserve"> </w:t>
      </w:r>
      <w:r>
        <w:rPr>
          <w:color w:val="231F20"/>
        </w:rPr>
        <w:t>папери.</w:t>
      </w:r>
      <w:r>
        <w:rPr>
          <w:color w:val="231F20"/>
          <w:spacing w:val="-7"/>
        </w:rPr>
        <w:t xml:space="preserve"> </w:t>
      </w:r>
      <w:r>
        <w:rPr>
          <w:color w:val="231F20"/>
        </w:rPr>
        <w:t>Проведення</w:t>
      </w:r>
      <w:r>
        <w:rPr>
          <w:color w:val="231F20"/>
          <w:spacing w:val="-8"/>
        </w:rPr>
        <w:t xml:space="preserve"> </w:t>
      </w:r>
      <w:r>
        <w:rPr>
          <w:color w:val="231F20"/>
        </w:rPr>
        <w:t>такої</w:t>
      </w:r>
      <w:r>
        <w:rPr>
          <w:color w:val="231F20"/>
          <w:spacing w:val="-7"/>
        </w:rPr>
        <w:t xml:space="preserve"> </w:t>
      </w:r>
      <w:r>
        <w:rPr>
          <w:color w:val="231F20"/>
        </w:rPr>
        <w:t>перевірки</w:t>
      </w:r>
      <w:r>
        <w:rPr>
          <w:color w:val="231F20"/>
          <w:spacing w:val="-7"/>
        </w:rPr>
        <w:t xml:space="preserve"> </w:t>
      </w:r>
      <w:r>
        <w:rPr>
          <w:color w:val="231F20"/>
        </w:rPr>
        <w:t>є</w:t>
      </w:r>
      <w:r>
        <w:rPr>
          <w:color w:val="231F20"/>
          <w:spacing w:val="-7"/>
        </w:rPr>
        <w:t xml:space="preserve"> </w:t>
      </w:r>
      <w:r>
        <w:rPr>
          <w:color w:val="231F20"/>
        </w:rPr>
        <w:t>необ- хідним і виваженим крок</w:t>
      </w:r>
      <w:r>
        <w:rPr>
          <w:color w:val="231F20"/>
        </w:rPr>
        <w:t>ом на шляху реформування державної служби, оскільки основна мета спеціальної перевірки – удоскона- лення порядку прийняття та проходження державної служби, запо- бігання корупції та інших</w:t>
      </w:r>
      <w:r>
        <w:rPr>
          <w:color w:val="231F20"/>
          <w:spacing w:val="-5"/>
        </w:rPr>
        <w:t xml:space="preserve"> </w:t>
      </w:r>
      <w:r>
        <w:rPr>
          <w:color w:val="231F20"/>
        </w:rPr>
        <w:t>правопорушень.</w:t>
      </w:r>
    </w:p>
    <w:p w14:paraId="3440627D" w14:textId="77777777" w:rsidR="00DE575E" w:rsidRDefault="002E7560">
      <w:pPr>
        <w:spacing w:before="5" w:line="252" w:lineRule="auto"/>
        <w:ind w:left="250" w:right="411" w:firstLine="283"/>
        <w:jc w:val="both"/>
        <w:rPr>
          <w:sz w:val="21"/>
        </w:rPr>
      </w:pPr>
      <w:r>
        <w:rPr>
          <w:i/>
          <w:color w:val="231F20"/>
          <w:sz w:val="21"/>
        </w:rPr>
        <w:t xml:space="preserve">Вступ на державну службу </w:t>
      </w:r>
      <w:r>
        <w:rPr>
          <w:color w:val="231F20"/>
          <w:sz w:val="21"/>
        </w:rPr>
        <w:t xml:space="preserve">здійснюється </w:t>
      </w:r>
      <w:r>
        <w:rPr>
          <w:i/>
          <w:color w:val="231F20"/>
          <w:sz w:val="21"/>
        </w:rPr>
        <w:t>через призначен</w:t>
      </w:r>
      <w:r>
        <w:rPr>
          <w:i/>
          <w:color w:val="231F20"/>
          <w:sz w:val="21"/>
        </w:rPr>
        <w:t>ня громадянина України на посаду державної служби за результатами конкурсу</w:t>
      </w:r>
      <w:r>
        <w:rPr>
          <w:color w:val="231F20"/>
          <w:sz w:val="21"/>
        </w:rPr>
        <w:t>. Прийняття на посади державної служби без проведення конкурсу забороняється, крім окремих випадків.</w:t>
      </w:r>
    </w:p>
    <w:p w14:paraId="250F3240" w14:textId="77777777" w:rsidR="00DE575E" w:rsidRDefault="002E7560">
      <w:pPr>
        <w:pStyle w:val="BodyText"/>
        <w:spacing w:before="2" w:line="252" w:lineRule="auto"/>
        <w:ind w:left="250" w:right="410" w:firstLine="283"/>
        <w:jc w:val="both"/>
      </w:pPr>
      <w:r>
        <w:rPr>
          <w:color w:val="231F20"/>
        </w:rPr>
        <w:t>Особа, яка вступає на посаду державної служби вперше, набу-  ває статусу державно</w:t>
      </w:r>
      <w:r>
        <w:rPr>
          <w:color w:val="231F20"/>
        </w:rPr>
        <w:t xml:space="preserve">го службовця з дня публічного  складення  нею Присяги державного службовця, а особа, яка призначається на посаду державної служби повторно, </w:t>
      </w:r>
      <w:r>
        <w:rPr>
          <w:i/>
          <w:color w:val="231F20"/>
        </w:rPr>
        <w:t xml:space="preserve">– </w:t>
      </w:r>
      <w:r>
        <w:rPr>
          <w:color w:val="231F20"/>
        </w:rPr>
        <w:t>з дня призначення на</w:t>
      </w:r>
      <w:r>
        <w:rPr>
          <w:color w:val="231F20"/>
          <w:spacing w:val="-11"/>
        </w:rPr>
        <w:t xml:space="preserve"> </w:t>
      </w:r>
      <w:r>
        <w:rPr>
          <w:color w:val="231F20"/>
          <w:spacing w:val="-3"/>
        </w:rPr>
        <w:t>посаду.</w:t>
      </w:r>
    </w:p>
    <w:p w14:paraId="530776BF" w14:textId="77777777" w:rsidR="00DE575E" w:rsidRDefault="002E7560">
      <w:pPr>
        <w:spacing w:before="2" w:line="252" w:lineRule="auto"/>
        <w:ind w:left="250" w:right="409" w:firstLine="283"/>
        <w:jc w:val="both"/>
        <w:rPr>
          <w:sz w:val="21"/>
        </w:rPr>
      </w:pPr>
      <w:r>
        <w:rPr>
          <w:color w:val="231F20"/>
          <w:sz w:val="21"/>
        </w:rPr>
        <w:t xml:space="preserve">З метою добору осіб, здатних професійно виконувати посадові обов’язки, проводиться конкурс на зайняття вакантної посади державної служби відповідно до </w:t>
      </w:r>
      <w:r>
        <w:rPr>
          <w:i/>
          <w:color w:val="231F20"/>
          <w:sz w:val="21"/>
        </w:rPr>
        <w:t>Порядку проведення конкурсу на зайняття посад державної служби</w:t>
      </w:r>
      <w:r>
        <w:rPr>
          <w:color w:val="231F20"/>
          <w:sz w:val="21"/>
        </w:rPr>
        <w:t>, що затверджується Кабінетом Міністрів Укр</w:t>
      </w:r>
      <w:r>
        <w:rPr>
          <w:color w:val="231F20"/>
          <w:sz w:val="21"/>
        </w:rPr>
        <w:t>аїни.</w:t>
      </w:r>
    </w:p>
    <w:p w14:paraId="606371C0" w14:textId="77777777" w:rsidR="00DE575E" w:rsidRDefault="002E7560">
      <w:pPr>
        <w:pStyle w:val="BodyText"/>
        <w:spacing w:before="3" w:line="252" w:lineRule="auto"/>
        <w:ind w:left="250" w:right="409" w:firstLine="283"/>
        <w:jc w:val="both"/>
      </w:pPr>
      <w:r>
        <w:rPr>
          <w:color w:val="231F20"/>
          <w:spacing w:val="-4"/>
        </w:rPr>
        <w:t xml:space="preserve">Такий </w:t>
      </w:r>
      <w:r>
        <w:rPr>
          <w:color w:val="231F20"/>
        </w:rPr>
        <w:t>порядок визначає умови проведення конкурсу; вимоги щодо</w:t>
      </w:r>
      <w:r>
        <w:rPr>
          <w:color w:val="231F20"/>
          <w:spacing w:val="-12"/>
        </w:rPr>
        <w:t xml:space="preserve"> </w:t>
      </w:r>
      <w:r>
        <w:rPr>
          <w:color w:val="231F20"/>
        </w:rPr>
        <w:t>оприлюднення</w:t>
      </w:r>
      <w:r>
        <w:rPr>
          <w:color w:val="231F20"/>
          <w:spacing w:val="-12"/>
        </w:rPr>
        <w:t xml:space="preserve"> </w:t>
      </w:r>
      <w:r>
        <w:rPr>
          <w:color w:val="231F20"/>
        </w:rPr>
        <w:t>інформації</w:t>
      </w:r>
      <w:r>
        <w:rPr>
          <w:color w:val="231F20"/>
          <w:spacing w:val="-12"/>
        </w:rPr>
        <w:t xml:space="preserve"> </w:t>
      </w:r>
      <w:r>
        <w:rPr>
          <w:color w:val="231F20"/>
        </w:rPr>
        <w:t>про</w:t>
      </w:r>
      <w:r>
        <w:rPr>
          <w:color w:val="231F20"/>
          <w:spacing w:val="-12"/>
        </w:rPr>
        <w:t xml:space="preserve"> </w:t>
      </w:r>
      <w:r>
        <w:rPr>
          <w:color w:val="231F20"/>
        </w:rPr>
        <w:t>вакантну</w:t>
      </w:r>
      <w:r>
        <w:rPr>
          <w:color w:val="231F20"/>
          <w:spacing w:val="-12"/>
        </w:rPr>
        <w:t xml:space="preserve"> </w:t>
      </w:r>
      <w:r>
        <w:rPr>
          <w:color w:val="231F20"/>
        </w:rPr>
        <w:t>посаду</w:t>
      </w:r>
      <w:r>
        <w:rPr>
          <w:color w:val="231F20"/>
          <w:spacing w:val="-12"/>
        </w:rPr>
        <w:t xml:space="preserve"> </w:t>
      </w:r>
      <w:r>
        <w:rPr>
          <w:color w:val="231F20"/>
        </w:rPr>
        <w:t>та</w:t>
      </w:r>
      <w:r>
        <w:rPr>
          <w:color w:val="231F20"/>
          <w:spacing w:val="-12"/>
        </w:rPr>
        <w:t xml:space="preserve"> </w:t>
      </w:r>
      <w:r>
        <w:rPr>
          <w:color w:val="231F20"/>
        </w:rPr>
        <w:t xml:space="preserve">оголошення про проведення конкурсу; склад, порядок формування та повнова- ження конкурсної комісії; порядок прийняття та </w:t>
      </w:r>
      <w:r>
        <w:rPr>
          <w:color w:val="231F20"/>
          <w:spacing w:val="-3"/>
        </w:rPr>
        <w:t xml:space="preserve">розгляду </w:t>
      </w:r>
      <w:r>
        <w:rPr>
          <w:color w:val="231F20"/>
        </w:rPr>
        <w:t>інформа- ці</w:t>
      </w:r>
      <w:r>
        <w:rPr>
          <w:color w:val="231F20"/>
        </w:rPr>
        <w:t xml:space="preserve">ї для участі в конкурсі; етапи оцінювання кандидатів на зайняття посад державної служби та порядок їх проведення; методи оціню- вання кандидатів на зайняття вакантних посад державної служби. Зауважимо, що для зайняття посад державної служби, пов’язаних із </w:t>
      </w:r>
      <w:r>
        <w:rPr>
          <w:color w:val="231F20"/>
        </w:rPr>
        <w:t>питаннями державної таємниці, мобілізаційної підготовки,</w:t>
      </w:r>
      <w:r>
        <w:rPr>
          <w:color w:val="231F20"/>
          <w:spacing w:val="-24"/>
        </w:rPr>
        <w:t xml:space="preserve"> </w:t>
      </w:r>
      <w:r>
        <w:rPr>
          <w:color w:val="231F20"/>
        </w:rPr>
        <w:t>оборони та національної безпеки, може проводитися закритий</w:t>
      </w:r>
      <w:r>
        <w:rPr>
          <w:color w:val="231F20"/>
          <w:spacing w:val="-15"/>
        </w:rPr>
        <w:t xml:space="preserve"> </w:t>
      </w:r>
      <w:r>
        <w:rPr>
          <w:color w:val="231F20"/>
        </w:rPr>
        <w:t>конкурс.</w:t>
      </w:r>
    </w:p>
    <w:p w14:paraId="620FAFF6" w14:textId="77777777" w:rsidR="00DE575E" w:rsidRDefault="002E7560">
      <w:pPr>
        <w:pStyle w:val="BodyText"/>
        <w:spacing w:before="4" w:line="252" w:lineRule="auto"/>
        <w:ind w:left="250" w:right="409" w:firstLine="283"/>
        <w:jc w:val="both"/>
      </w:pPr>
      <w:r>
        <w:rPr>
          <w:color w:val="231F20"/>
        </w:rPr>
        <w:t>Закон передбачає порядок оприлюднення інформації про вакантну посаду державної служби та оголошення наказу (розпоря- дження)</w:t>
      </w:r>
      <w:r>
        <w:rPr>
          <w:color w:val="231F20"/>
          <w:spacing w:val="-13"/>
        </w:rPr>
        <w:t xml:space="preserve"> </w:t>
      </w:r>
      <w:r>
        <w:rPr>
          <w:color w:val="231F20"/>
        </w:rPr>
        <w:t>про</w:t>
      </w:r>
      <w:r>
        <w:rPr>
          <w:color w:val="231F20"/>
          <w:spacing w:val="-13"/>
        </w:rPr>
        <w:t xml:space="preserve"> </w:t>
      </w:r>
      <w:r>
        <w:rPr>
          <w:color w:val="231F20"/>
        </w:rPr>
        <w:t>пр</w:t>
      </w:r>
      <w:r>
        <w:rPr>
          <w:color w:val="231F20"/>
        </w:rPr>
        <w:t>оведення</w:t>
      </w:r>
      <w:r>
        <w:rPr>
          <w:color w:val="231F20"/>
          <w:spacing w:val="-13"/>
        </w:rPr>
        <w:t xml:space="preserve"> </w:t>
      </w:r>
      <w:r>
        <w:rPr>
          <w:color w:val="231F20"/>
          <w:spacing w:val="-3"/>
        </w:rPr>
        <w:t>конкурсу,</w:t>
      </w:r>
      <w:r>
        <w:rPr>
          <w:color w:val="231F20"/>
          <w:spacing w:val="-13"/>
        </w:rPr>
        <w:t xml:space="preserve"> </w:t>
      </w:r>
      <w:r>
        <w:rPr>
          <w:color w:val="231F20"/>
        </w:rPr>
        <w:t>його</w:t>
      </w:r>
      <w:r>
        <w:rPr>
          <w:color w:val="231F20"/>
          <w:spacing w:val="-13"/>
        </w:rPr>
        <w:t xml:space="preserve"> </w:t>
      </w:r>
      <w:r>
        <w:rPr>
          <w:color w:val="231F20"/>
        </w:rPr>
        <w:t>умови,</w:t>
      </w:r>
      <w:r>
        <w:rPr>
          <w:color w:val="231F20"/>
          <w:spacing w:val="-13"/>
        </w:rPr>
        <w:t xml:space="preserve"> </w:t>
      </w:r>
      <w:r>
        <w:rPr>
          <w:color w:val="231F20"/>
        </w:rPr>
        <w:t>а</w:t>
      </w:r>
      <w:r>
        <w:rPr>
          <w:color w:val="231F20"/>
          <w:spacing w:val="-13"/>
        </w:rPr>
        <w:t xml:space="preserve"> </w:t>
      </w:r>
      <w:r>
        <w:rPr>
          <w:color w:val="231F20"/>
        </w:rPr>
        <w:t>також</w:t>
      </w:r>
      <w:r>
        <w:rPr>
          <w:color w:val="231F20"/>
          <w:spacing w:val="-12"/>
        </w:rPr>
        <w:t xml:space="preserve"> </w:t>
      </w:r>
      <w:r>
        <w:rPr>
          <w:color w:val="231F20"/>
        </w:rPr>
        <w:t>перелік</w:t>
      </w:r>
      <w:r>
        <w:rPr>
          <w:color w:val="231F20"/>
          <w:spacing w:val="-13"/>
        </w:rPr>
        <w:t xml:space="preserve"> </w:t>
      </w:r>
      <w:r>
        <w:rPr>
          <w:color w:val="231F20"/>
        </w:rPr>
        <w:t xml:space="preserve">доку- ментів для участі особи в конкурсі. </w:t>
      </w:r>
      <w:r>
        <w:rPr>
          <w:color w:val="231F20"/>
          <w:spacing w:val="-5"/>
        </w:rPr>
        <w:t xml:space="preserve">Таке </w:t>
      </w:r>
      <w:r>
        <w:rPr>
          <w:color w:val="231F20"/>
        </w:rPr>
        <w:t xml:space="preserve">оголошення разом з інфор- мацією </w:t>
      </w:r>
      <w:r>
        <w:rPr>
          <w:color w:val="231F20"/>
          <w:spacing w:val="27"/>
        </w:rPr>
        <w:t xml:space="preserve"> </w:t>
      </w:r>
      <w:r>
        <w:rPr>
          <w:color w:val="231F20"/>
        </w:rPr>
        <w:t xml:space="preserve">про </w:t>
      </w:r>
      <w:r>
        <w:rPr>
          <w:color w:val="231F20"/>
          <w:spacing w:val="27"/>
        </w:rPr>
        <w:t xml:space="preserve"> </w:t>
      </w:r>
      <w:r>
        <w:rPr>
          <w:color w:val="231F20"/>
        </w:rPr>
        <w:t xml:space="preserve">проведення </w:t>
      </w:r>
      <w:r>
        <w:rPr>
          <w:color w:val="231F20"/>
          <w:spacing w:val="27"/>
        </w:rPr>
        <w:t xml:space="preserve"> </w:t>
      </w:r>
      <w:r>
        <w:rPr>
          <w:color w:val="231F20"/>
        </w:rPr>
        <w:t xml:space="preserve">конкурсу </w:t>
      </w:r>
      <w:r>
        <w:rPr>
          <w:color w:val="231F20"/>
          <w:spacing w:val="27"/>
        </w:rPr>
        <w:t xml:space="preserve"> </w:t>
      </w:r>
      <w:r>
        <w:rPr>
          <w:color w:val="231F20"/>
        </w:rPr>
        <w:t xml:space="preserve">оприлюднюється </w:t>
      </w:r>
      <w:r>
        <w:rPr>
          <w:color w:val="231F20"/>
          <w:spacing w:val="27"/>
        </w:rPr>
        <w:t xml:space="preserve"> </w:t>
      </w:r>
      <w:r>
        <w:rPr>
          <w:color w:val="231F20"/>
        </w:rPr>
        <w:t xml:space="preserve">на </w:t>
      </w:r>
      <w:r>
        <w:rPr>
          <w:color w:val="231F20"/>
          <w:spacing w:val="27"/>
        </w:rPr>
        <w:t xml:space="preserve"> </w:t>
      </w:r>
      <w:r>
        <w:rPr>
          <w:color w:val="231F20"/>
        </w:rPr>
        <w:t>Єдиному</w:t>
      </w:r>
    </w:p>
    <w:p w14:paraId="0EDE48B6" w14:textId="77777777" w:rsidR="00DE575E" w:rsidRDefault="00DE575E">
      <w:pPr>
        <w:pStyle w:val="BodyText"/>
        <w:spacing w:before="7"/>
        <w:rPr>
          <w:sz w:val="12"/>
        </w:rPr>
      </w:pPr>
    </w:p>
    <w:p w14:paraId="00982784" w14:textId="77777777" w:rsidR="00DE575E" w:rsidRDefault="002E7560">
      <w:pPr>
        <w:spacing w:before="92"/>
        <w:ind w:right="411"/>
        <w:jc w:val="right"/>
        <w:rPr>
          <w:rFonts w:ascii="Times New Roman"/>
          <w:sz w:val="20"/>
        </w:rPr>
      </w:pPr>
      <w:r>
        <w:rPr>
          <w:rFonts w:ascii="Times New Roman"/>
          <w:color w:val="231F20"/>
          <w:w w:val="90"/>
          <w:sz w:val="20"/>
        </w:rPr>
        <w:t>443</w:t>
      </w:r>
    </w:p>
    <w:p w14:paraId="6830ABA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E36D29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8396F0E" w14:textId="3B2A041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5C81C30" wp14:editId="24D5DA72">
                <wp:extent cx="4140200" cy="6350"/>
                <wp:effectExtent l="0" t="0" r="12700" b="6350"/>
                <wp:docPr id="28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84" name="Line 2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D2C44" id="Group_x0020_2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FvYdt/AgAAmAUAAA4A&#10;AAAAAAAAAAAAAAAALAIAAGRycy9lMm9Eb2MueG1sUEsBAi0AFAAGAAgAAAAhAEynsJDZAAAAAwEA&#10;AA8AAAAAAAAAAAAAAAAA1wQAAGRycy9kb3ducmV2LnhtbFBLBQYAAAAABAAEAPMAAADdBQAAAAA=&#10;">
                <v:line id="Line_x0020_2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ktUMYAAADcAAAADwAAAGRycy9kb3ducmV2LnhtbESP0WrCQBRE3wv+w3IFX0Q31VIkuooU&#10;CsUHbY0fcM1ek+Du3ZhdTdqvdwWhj8PMnGEWq84acaPGV44VvI4TEMS50xUXCg7Z52gGwgdkjcYx&#10;KfglD6tl72WBqXYt/9BtHwoRIexTVFCGUKdS+rwki37sauLonVxjMUTZFFI32Ea4NXKSJO/SYsVx&#10;ocSaPkrKz/urVZBdhsF87zamzXbHqTxettO/61apQb9bz0EE6sJ/+Nn+0gomszd4nIlHQC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5JLVDGAAAA3AAAAA8AAAAAAAAA&#10;AAAAAAAAoQIAAGRycy9kb3ducmV2LnhtbFBLBQYAAAAABAAEAPkAAACUAwAAAAA=&#10;" strokecolor="#231f20" strokeweight=".5pt"/>
                <w10:anchorlock/>
              </v:group>
            </w:pict>
          </mc:Fallback>
        </mc:AlternateContent>
      </w:r>
    </w:p>
    <w:p w14:paraId="1E662628" w14:textId="77777777" w:rsidR="00DE575E" w:rsidRDefault="00DE575E">
      <w:pPr>
        <w:pStyle w:val="BodyText"/>
        <w:spacing w:before="7"/>
        <w:rPr>
          <w:rFonts w:ascii="AdonisC"/>
          <w:i/>
          <w:sz w:val="11"/>
        </w:rPr>
      </w:pPr>
    </w:p>
    <w:p w14:paraId="4FD29D9A" w14:textId="77777777" w:rsidR="00DE575E" w:rsidRDefault="002E7560">
      <w:pPr>
        <w:pStyle w:val="BodyText"/>
        <w:spacing w:before="101" w:line="252" w:lineRule="auto"/>
        <w:ind w:left="533" w:right="125"/>
        <w:jc w:val="both"/>
      </w:pPr>
      <w:r>
        <w:rPr>
          <w:color w:val="231F20"/>
        </w:rPr>
        <w:t xml:space="preserve">порталі вакансій державної служби, а також може оприлюднюва- тися на веб-сайті державного </w:t>
      </w:r>
      <w:r>
        <w:rPr>
          <w:color w:val="231F20"/>
          <w:spacing w:val="-3"/>
        </w:rPr>
        <w:t xml:space="preserve">органу, </w:t>
      </w:r>
      <w:r>
        <w:rPr>
          <w:color w:val="231F20"/>
        </w:rPr>
        <w:t>у якому оголошено конкурс, та інших веб-сайтах. В оголошенні крім іншого зазначаються також і</w:t>
      </w:r>
      <w:r>
        <w:rPr>
          <w:color w:val="231F20"/>
        </w:rPr>
        <w:t xml:space="preserve">стотні  умови  контракту  про  проходження   державної   служби   (у разі його укладення); вичерпний перелік інформації, необхідної для участі в конкурсі, та строк її подання; дата і місце проведення </w:t>
      </w:r>
      <w:r>
        <w:rPr>
          <w:color w:val="231F20"/>
          <w:spacing w:val="-3"/>
        </w:rPr>
        <w:t xml:space="preserve">конкурсу, </w:t>
      </w:r>
      <w:r>
        <w:rPr>
          <w:color w:val="231F20"/>
        </w:rPr>
        <w:t>а також прізвище, номер телефону та адреса еле</w:t>
      </w:r>
      <w:r>
        <w:rPr>
          <w:color w:val="231F20"/>
        </w:rPr>
        <w:t xml:space="preserve">ктронної пошти особи, яка надає додаткову інформацію з питань проведення </w:t>
      </w:r>
      <w:r>
        <w:rPr>
          <w:color w:val="231F20"/>
          <w:spacing w:val="-3"/>
        </w:rPr>
        <w:t>конкурсу.</w:t>
      </w:r>
    </w:p>
    <w:p w14:paraId="5DF50B50" w14:textId="77777777" w:rsidR="00DE575E" w:rsidRDefault="002E7560">
      <w:pPr>
        <w:spacing w:before="4" w:line="252" w:lineRule="auto"/>
        <w:ind w:left="533" w:right="127" w:firstLine="283"/>
        <w:jc w:val="both"/>
        <w:rPr>
          <w:sz w:val="21"/>
        </w:rPr>
      </w:pPr>
      <w:r>
        <w:rPr>
          <w:color w:val="231F20"/>
          <w:sz w:val="21"/>
        </w:rPr>
        <w:t>Особа може додати до заяви про участь у конкурсі й інші доку- менти, зокрема документи про підтвердження досвіду роботи. При цьому</w:t>
      </w:r>
      <w:r>
        <w:rPr>
          <w:color w:val="231F20"/>
          <w:spacing w:val="-21"/>
          <w:sz w:val="21"/>
        </w:rPr>
        <w:t xml:space="preserve"> </w:t>
      </w:r>
      <w:r>
        <w:rPr>
          <w:i/>
          <w:color w:val="231F20"/>
          <w:sz w:val="21"/>
        </w:rPr>
        <w:t>забороняється</w:t>
      </w:r>
      <w:r>
        <w:rPr>
          <w:i/>
          <w:color w:val="231F20"/>
          <w:spacing w:val="-21"/>
          <w:sz w:val="21"/>
        </w:rPr>
        <w:t xml:space="preserve"> </w:t>
      </w:r>
      <w:r>
        <w:rPr>
          <w:i/>
          <w:color w:val="231F20"/>
          <w:sz w:val="21"/>
        </w:rPr>
        <w:t>вимагати</w:t>
      </w:r>
      <w:r>
        <w:rPr>
          <w:i/>
          <w:color w:val="231F20"/>
          <w:spacing w:val="-21"/>
          <w:sz w:val="21"/>
        </w:rPr>
        <w:t xml:space="preserve"> </w:t>
      </w:r>
      <w:r>
        <w:rPr>
          <w:i/>
          <w:color w:val="231F20"/>
          <w:sz w:val="21"/>
        </w:rPr>
        <w:t>від</w:t>
      </w:r>
      <w:r>
        <w:rPr>
          <w:i/>
          <w:color w:val="231F20"/>
          <w:spacing w:val="-21"/>
          <w:sz w:val="21"/>
        </w:rPr>
        <w:t xml:space="preserve"> </w:t>
      </w:r>
      <w:r>
        <w:rPr>
          <w:i/>
          <w:color w:val="231F20"/>
          <w:sz w:val="21"/>
        </w:rPr>
        <w:t>особи,</w:t>
      </w:r>
      <w:r>
        <w:rPr>
          <w:i/>
          <w:color w:val="231F20"/>
          <w:spacing w:val="-21"/>
          <w:sz w:val="21"/>
        </w:rPr>
        <w:t xml:space="preserve"> </w:t>
      </w:r>
      <w:r>
        <w:rPr>
          <w:i/>
          <w:color w:val="231F20"/>
          <w:sz w:val="21"/>
        </w:rPr>
        <w:t>яка</w:t>
      </w:r>
      <w:r>
        <w:rPr>
          <w:i/>
          <w:color w:val="231F20"/>
          <w:spacing w:val="-21"/>
          <w:sz w:val="21"/>
        </w:rPr>
        <w:t xml:space="preserve"> </w:t>
      </w:r>
      <w:r>
        <w:rPr>
          <w:i/>
          <w:color w:val="231F20"/>
          <w:sz w:val="21"/>
        </w:rPr>
        <w:t>претендує</w:t>
      </w:r>
      <w:r>
        <w:rPr>
          <w:i/>
          <w:color w:val="231F20"/>
          <w:spacing w:val="-21"/>
          <w:sz w:val="21"/>
        </w:rPr>
        <w:t xml:space="preserve"> </w:t>
      </w:r>
      <w:r>
        <w:rPr>
          <w:i/>
          <w:color w:val="231F20"/>
          <w:spacing w:val="1"/>
          <w:sz w:val="21"/>
        </w:rPr>
        <w:t xml:space="preserve">назайняття </w:t>
      </w:r>
      <w:r>
        <w:rPr>
          <w:i/>
          <w:color w:val="231F20"/>
          <w:sz w:val="21"/>
        </w:rPr>
        <w:t>вакантної посади державної служби, документи, не визначені зако- ном</w:t>
      </w:r>
      <w:r>
        <w:rPr>
          <w:color w:val="231F20"/>
          <w:sz w:val="21"/>
        </w:rPr>
        <w:t xml:space="preserve">. Державні службовці державного </w:t>
      </w:r>
      <w:r>
        <w:rPr>
          <w:color w:val="231F20"/>
          <w:spacing w:val="-3"/>
          <w:sz w:val="21"/>
        </w:rPr>
        <w:t xml:space="preserve">органу, </w:t>
      </w:r>
      <w:r>
        <w:rPr>
          <w:color w:val="231F20"/>
          <w:sz w:val="21"/>
        </w:rPr>
        <w:t>в якому проводиться конкурс, які бажають взяти участь у конкурсі, подають лише заяву про</w:t>
      </w:r>
      <w:r>
        <w:rPr>
          <w:color w:val="231F20"/>
          <w:spacing w:val="-4"/>
          <w:sz w:val="21"/>
        </w:rPr>
        <w:t xml:space="preserve"> </w:t>
      </w:r>
      <w:r>
        <w:rPr>
          <w:color w:val="231F20"/>
          <w:sz w:val="21"/>
        </w:rPr>
        <w:t>участь</w:t>
      </w:r>
      <w:r>
        <w:rPr>
          <w:color w:val="231F20"/>
          <w:spacing w:val="-4"/>
          <w:sz w:val="21"/>
        </w:rPr>
        <w:t xml:space="preserve"> </w:t>
      </w:r>
      <w:r>
        <w:rPr>
          <w:color w:val="231F20"/>
          <w:sz w:val="21"/>
        </w:rPr>
        <w:t>у</w:t>
      </w:r>
      <w:r>
        <w:rPr>
          <w:color w:val="231F20"/>
          <w:spacing w:val="-5"/>
          <w:sz w:val="21"/>
        </w:rPr>
        <w:t xml:space="preserve"> </w:t>
      </w:r>
      <w:r>
        <w:rPr>
          <w:color w:val="231F20"/>
          <w:sz w:val="21"/>
        </w:rPr>
        <w:t>конкурсі.</w:t>
      </w:r>
      <w:r>
        <w:rPr>
          <w:color w:val="231F20"/>
          <w:spacing w:val="-4"/>
          <w:sz w:val="21"/>
        </w:rPr>
        <w:t xml:space="preserve"> </w:t>
      </w:r>
      <w:r>
        <w:rPr>
          <w:color w:val="231F20"/>
          <w:sz w:val="21"/>
        </w:rPr>
        <w:t>Особа,</w:t>
      </w:r>
      <w:r>
        <w:rPr>
          <w:color w:val="231F20"/>
          <w:spacing w:val="-5"/>
          <w:sz w:val="21"/>
        </w:rPr>
        <w:t xml:space="preserve"> </w:t>
      </w:r>
      <w:r>
        <w:rPr>
          <w:color w:val="231F20"/>
          <w:sz w:val="21"/>
        </w:rPr>
        <w:t>яка</w:t>
      </w:r>
      <w:r>
        <w:rPr>
          <w:color w:val="231F20"/>
          <w:spacing w:val="-4"/>
          <w:sz w:val="21"/>
        </w:rPr>
        <w:t xml:space="preserve"> </w:t>
      </w:r>
      <w:r>
        <w:rPr>
          <w:color w:val="231F20"/>
          <w:sz w:val="21"/>
        </w:rPr>
        <w:t>бажає</w:t>
      </w:r>
      <w:r>
        <w:rPr>
          <w:color w:val="231F20"/>
          <w:spacing w:val="-4"/>
          <w:sz w:val="21"/>
        </w:rPr>
        <w:t xml:space="preserve"> </w:t>
      </w:r>
      <w:r>
        <w:rPr>
          <w:color w:val="231F20"/>
          <w:sz w:val="21"/>
        </w:rPr>
        <w:t>вз</w:t>
      </w:r>
      <w:r>
        <w:rPr>
          <w:color w:val="231F20"/>
          <w:sz w:val="21"/>
        </w:rPr>
        <w:t>яти</w:t>
      </w:r>
      <w:r>
        <w:rPr>
          <w:color w:val="231F20"/>
          <w:spacing w:val="-5"/>
          <w:sz w:val="21"/>
        </w:rPr>
        <w:t xml:space="preserve"> </w:t>
      </w:r>
      <w:r>
        <w:rPr>
          <w:color w:val="231F20"/>
          <w:sz w:val="21"/>
        </w:rPr>
        <w:t>участь</w:t>
      </w:r>
      <w:r>
        <w:rPr>
          <w:color w:val="231F20"/>
          <w:spacing w:val="-4"/>
          <w:sz w:val="21"/>
        </w:rPr>
        <w:t xml:space="preserve"> </w:t>
      </w:r>
      <w:r>
        <w:rPr>
          <w:color w:val="231F20"/>
          <w:sz w:val="21"/>
        </w:rPr>
        <w:t>у</w:t>
      </w:r>
      <w:r>
        <w:rPr>
          <w:color w:val="231F20"/>
          <w:spacing w:val="-5"/>
          <w:sz w:val="21"/>
        </w:rPr>
        <w:t xml:space="preserve"> </w:t>
      </w:r>
      <w:r>
        <w:rPr>
          <w:color w:val="231F20"/>
          <w:sz w:val="21"/>
        </w:rPr>
        <w:t>конкурсі,</w:t>
      </w:r>
      <w:r>
        <w:rPr>
          <w:color w:val="231F20"/>
          <w:spacing w:val="-4"/>
          <w:sz w:val="21"/>
        </w:rPr>
        <w:t xml:space="preserve"> </w:t>
      </w:r>
      <w:r>
        <w:rPr>
          <w:color w:val="231F20"/>
          <w:sz w:val="21"/>
        </w:rPr>
        <w:t>несе персональну відповідальність за достовірність наданої</w:t>
      </w:r>
      <w:r>
        <w:rPr>
          <w:color w:val="231F20"/>
          <w:spacing w:val="-5"/>
          <w:sz w:val="21"/>
        </w:rPr>
        <w:t xml:space="preserve"> </w:t>
      </w:r>
      <w:r>
        <w:rPr>
          <w:color w:val="231F20"/>
          <w:sz w:val="21"/>
        </w:rPr>
        <w:t>інформації.</w:t>
      </w:r>
    </w:p>
    <w:p w14:paraId="1CBFEB42" w14:textId="77777777" w:rsidR="00DE575E" w:rsidRDefault="002E7560">
      <w:pPr>
        <w:pStyle w:val="BodyText"/>
        <w:spacing w:before="4" w:line="252" w:lineRule="auto"/>
        <w:ind w:left="533" w:right="128" w:firstLine="283"/>
        <w:jc w:val="both"/>
      </w:pPr>
      <w:r>
        <w:rPr>
          <w:color w:val="231F20"/>
        </w:rPr>
        <w:t>Проведення конкурсу здійснюється з урахуванням рівня профе- сійної</w:t>
      </w:r>
      <w:r>
        <w:rPr>
          <w:color w:val="231F20"/>
          <w:spacing w:val="-6"/>
        </w:rPr>
        <w:t xml:space="preserve"> </w:t>
      </w:r>
      <w:r>
        <w:rPr>
          <w:color w:val="231F20"/>
        </w:rPr>
        <w:t>компетентності,</w:t>
      </w:r>
      <w:r>
        <w:rPr>
          <w:color w:val="231F20"/>
          <w:spacing w:val="-6"/>
        </w:rPr>
        <w:t xml:space="preserve"> </w:t>
      </w:r>
      <w:r>
        <w:rPr>
          <w:color w:val="231F20"/>
        </w:rPr>
        <w:t>особистих</w:t>
      </w:r>
      <w:r>
        <w:rPr>
          <w:color w:val="231F20"/>
          <w:spacing w:val="-6"/>
        </w:rPr>
        <w:t xml:space="preserve"> </w:t>
      </w:r>
      <w:r>
        <w:rPr>
          <w:color w:val="231F20"/>
        </w:rPr>
        <w:t>якостей</w:t>
      </w:r>
      <w:r>
        <w:rPr>
          <w:color w:val="231F20"/>
          <w:spacing w:val="-6"/>
        </w:rPr>
        <w:t xml:space="preserve"> </w:t>
      </w:r>
      <w:r>
        <w:rPr>
          <w:color w:val="231F20"/>
        </w:rPr>
        <w:t>і</w:t>
      </w:r>
      <w:r>
        <w:rPr>
          <w:color w:val="231F20"/>
          <w:spacing w:val="-8"/>
        </w:rPr>
        <w:t xml:space="preserve"> </w:t>
      </w:r>
      <w:r>
        <w:rPr>
          <w:color w:val="231F20"/>
        </w:rPr>
        <w:t>досягнень</w:t>
      </w:r>
      <w:r>
        <w:rPr>
          <w:color w:val="231F20"/>
          <w:spacing w:val="-7"/>
        </w:rPr>
        <w:t xml:space="preserve"> </w:t>
      </w:r>
      <w:r>
        <w:rPr>
          <w:color w:val="231F20"/>
        </w:rPr>
        <w:t>кандидатів</w:t>
      </w:r>
      <w:r>
        <w:rPr>
          <w:color w:val="231F20"/>
          <w:spacing w:val="-6"/>
        </w:rPr>
        <w:t xml:space="preserve"> </w:t>
      </w:r>
      <w:r>
        <w:rPr>
          <w:color w:val="231F20"/>
        </w:rPr>
        <w:t>на зайняття вакантної посади. Кандидат</w:t>
      </w:r>
      <w:r>
        <w:rPr>
          <w:color w:val="231F20"/>
        </w:rPr>
        <w:t>и проходять тестування, спів- бесіду</w:t>
      </w:r>
      <w:r>
        <w:rPr>
          <w:color w:val="231F20"/>
          <w:spacing w:val="-5"/>
        </w:rPr>
        <w:t xml:space="preserve"> </w:t>
      </w:r>
      <w:r>
        <w:rPr>
          <w:color w:val="231F20"/>
        </w:rPr>
        <w:t>або</w:t>
      </w:r>
      <w:r>
        <w:rPr>
          <w:color w:val="231F20"/>
          <w:spacing w:val="-5"/>
        </w:rPr>
        <w:t xml:space="preserve"> </w:t>
      </w:r>
      <w:r>
        <w:rPr>
          <w:color w:val="231F20"/>
        </w:rPr>
        <w:t>інші</w:t>
      </w:r>
      <w:r>
        <w:rPr>
          <w:color w:val="231F20"/>
          <w:spacing w:val="-5"/>
        </w:rPr>
        <w:t xml:space="preserve"> </w:t>
      </w:r>
      <w:r>
        <w:rPr>
          <w:color w:val="231F20"/>
        </w:rPr>
        <w:t>види</w:t>
      </w:r>
      <w:r>
        <w:rPr>
          <w:color w:val="231F20"/>
          <w:spacing w:val="-5"/>
        </w:rPr>
        <w:t xml:space="preserve"> </w:t>
      </w:r>
      <w:r>
        <w:rPr>
          <w:color w:val="231F20"/>
        </w:rPr>
        <w:t>оцінювання</w:t>
      </w:r>
      <w:r>
        <w:rPr>
          <w:color w:val="231F20"/>
          <w:spacing w:val="-5"/>
        </w:rPr>
        <w:t xml:space="preserve"> </w:t>
      </w:r>
      <w:r>
        <w:rPr>
          <w:color w:val="231F20"/>
        </w:rPr>
        <w:t>відповідно</w:t>
      </w:r>
      <w:r>
        <w:rPr>
          <w:color w:val="231F20"/>
          <w:spacing w:val="-5"/>
        </w:rPr>
        <w:t xml:space="preserve"> </w:t>
      </w:r>
      <w:r>
        <w:rPr>
          <w:color w:val="231F20"/>
        </w:rPr>
        <w:t>до</w:t>
      </w:r>
      <w:r>
        <w:rPr>
          <w:color w:val="231F20"/>
          <w:spacing w:val="-5"/>
        </w:rPr>
        <w:t xml:space="preserve"> </w:t>
      </w:r>
      <w:r>
        <w:rPr>
          <w:color w:val="231F20"/>
        </w:rPr>
        <w:t>Порядку</w:t>
      </w:r>
      <w:r>
        <w:rPr>
          <w:color w:val="231F20"/>
          <w:spacing w:val="-5"/>
        </w:rPr>
        <w:t xml:space="preserve"> </w:t>
      </w:r>
      <w:r>
        <w:rPr>
          <w:color w:val="231F20"/>
        </w:rPr>
        <w:t xml:space="preserve">проведення </w:t>
      </w:r>
      <w:r>
        <w:rPr>
          <w:color w:val="231F20"/>
          <w:spacing w:val="-3"/>
        </w:rPr>
        <w:t>конкурсу.</w:t>
      </w:r>
    </w:p>
    <w:p w14:paraId="09B10BBC" w14:textId="77777777" w:rsidR="00DE575E" w:rsidRDefault="002E7560">
      <w:pPr>
        <w:pStyle w:val="BodyText"/>
        <w:spacing w:before="3" w:line="252" w:lineRule="auto"/>
        <w:ind w:left="533" w:right="126" w:firstLine="283"/>
        <w:jc w:val="both"/>
      </w:pPr>
      <w:r>
        <w:rPr>
          <w:color w:val="231F20"/>
        </w:rPr>
        <w:t>Конкурси на зайняття вакантних посад державної служби окре- мих</w:t>
      </w:r>
      <w:r>
        <w:rPr>
          <w:color w:val="231F20"/>
          <w:spacing w:val="-14"/>
        </w:rPr>
        <w:t xml:space="preserve"> </w:t>
      </w:r>
      <w:r>
        <w:rPr>
          <w:color w:val="231F20"/>
        </w:rPr>
        <w:t>категорій</w:t>
      </w:r>
      <w:r>
        <w:rPr>
          <w:color w:val="231F20"/>
          <w:spacing w:val="-14"/>
        </w:rPr>
        <w:t xml:space="preserve"> </w:t>
      </w:r>
      <w:r>
        <w:rPr>
          <w:color w:val="231F20"/>
        </w:rPr>
        <w:t>проводять</w:t>
      </w:r>
      <w:r>
        <w:rPr>
          <w:color w:val="231F20"/>
          <w:spacing w:val="-14"/>
        </w:rPr>
        <w:t xml:space="preserve"> </w:t>
      </w:r>
      <w:r>
        <w:rPr>
          <w:color w:val="231F20"/>
        </w:rPr>
        <w:t>різні</w:t>
      </w:r>
      <w:r>
        <w:rPr>
          <w:color w:val="231F20"/>
          <w:spacing w:val="-15"/>
        </w:rPr>
        <w:t xml:space="preserve"> </w:t>
      </w:r>
      <w:r>
        <w:rPr>
          <w:color w:val="231F20"/>
        </w:rPr>
        <w:t>конкурсні</w:t>
      </w:r>
      <w:r>
        <w:rPr>
          <w:color w:val="231F20"/>
          <w:spacing w:val="-14"/>
        </w:rPr>
        <w:t xml:space="preserve"> </w:t>
      </w:r>
      <w:r>
        <w:rPr>
          <w:color w:val="231F20"/>
        </w:rPr>
        <w:t>комісії.</w:t>
      </w:r>
      <w:r>
        <w:rPr>
          <w:color w:val="231F20"/>
          <w:spacing w:val="-14"/>
        </w:rPr>
        <w:t xml:space="preserve"> </w:t>
      </w:r>
      <w:r>
        <w:rPr>
          <w:color w:val="231F20"/>
        </w:rPr>
        <w:t>Зокрема,</w:t>
      </w:r>
      <w:r>
        <w:rPr>
          <w:color w:val="231F20"/>
          <w:spacing w:val="-14"/>
        </w:rPr>
        <w:t xml:space="preserve"> </w:t>
      </w:r>
      <w:r>
        <w:rPr>
          <w:color w:val="231F20"/>
        </w:rPr>
        <w:t>конкурс</w:t>
      </w:r>
      <w:r>
        <w:rPr>
          <w:color w:val="231F20"/>
          <w:spacing w:val="-14"/>
        </w:rPr>
        <w:t xml:space="preserve"> </w:t>
      </w:r>
      <w:r>
        <w:rPr>
          <w:color w:val="231F20"/>
        </w:rPr>
        <w:t>на зайняття вакантної посади державної служби категорії «А» прово- дить</w:t>
      </w:r>
      <w:r>
        <w:rPr>
          <w:color w:val="231F20"/>
          <w:spacing w:val="-11"/>
        </w:rPr>
        <w:t xml:space="preserve"> </w:t>
      </w:r>
      <w:r>
        <w:rPr>
          <w:color w:val="231F20"/>
        </w:rPr>
        <w:t>Комісія</w:t>
      </w:r>
      <w:r>
        <w:rPr>
          <w:color w:val="231F20"/>
          <w:spacing w:val="-12"/>
        </w:rPr>
        <w:t xml:space="preserve"> </w:t>
      </w:r>
      <w:r>
        <w:rPr>
          <w:color w:val="231F20"/>
        </w:rPr>
        <w:t>з</w:t>
      </w:r>
      <w:r>
        <w:rPr>
          <w:color w:val="231F20"/>
          <w:spacing w:val="-12"/>
        </w:rPr>
        <w:t xml:space="preserve"> </w:t>
      </w:r>
      <w:r>
        <w:rPr>
          <w:color w:val="231F20"/>
        </w:rPr>
        <w:t>питань</w:t>
      </w:r>
      <w:r>
        <w:rPr>
          <w:color w:val="231F20"/>
          <w:spacing w:val="-11"/>
        </w:rPr>
        <w:t xml:space="preserve"> </w:t>
      </w:r>
      <w:r>
        <w:rPr>
          <w:color w:val="231F20"/>
        </w:rPr>
        <w:t>вищого</w:t>
      </w:r>
      <w:r>
        <w:rPr>
          <w:color w:val="231F20"/>
          <w:spacing w:val="-12"/>
        </w:rPr>
        <w:t xml:space="preserve"> </w:t>
      </w:r>
      <w:r>
        <w:rPr>
          <w:color w:val="231F20"/>
        </w:rPr>
        <w:t>корпусу</w:t>
      </w:r>
      <w:r>
        <w:rPr>
          <w:color w:val="231F20"/>
          <w:spacing w:val="-12"/>
        </w:rPr>
        <w:t xml:space="preserve"> </w:t>
      </w:r>
      <w:r>
        <w:rPr>
          <w:color w:val="231F20"/>
        </w:rPr>
        <w:t>державної</w:t>
      </w:r>
      <w:r>
        <w:rPr>
          <w:color w:val="231F20"/>
          <w:spacing w:val="-12"/>
        </w:rPr>
        <w:t xml:space="preserve"> </w:t>
      </w:r>
      <w:r>
        <w:rPr>
          <w:color w:val="231F20"/>
        </w:rPr>
        <w:t>служби.</w:t>
      </w:r>
      <w:r>
        <w:rPr>
          <w:color w:val="231F20"/>
          <w:spacing w:val="-12"/>
        </w:rPr>
        <w:t xml:space="preserve"> </w:t>
      </w:r>
      <w:r>
        <w:rPr>
          <w:color w:val="231F20"/>
        </w:rPr>
        <w:t>Конкурс</w:t>
      </w:r>
      <w:r>
        <w:rPr>
          <w:color w:val="231F20"/>
          <w:spacing w:val="-11"/>
        </w:rPr>
        <w:t xml:space="preserve"> </w:t>
      </w:r>
      <w:r>
        <w:rPr>
          <w:color w:val="231F20"/>
        </w:rPr>
        <w:t xml:space="preserve">на зайняття посад державної служби категорії «Б» або «В» проводить конкурсна комісія, утворена </w:t>
      </w:r>
      <w:r>
        <w:rPr>
          <w:color w:val="231F20"/>
          <w:spacing w:val="-3"/>
        </w:rPr>
        <w:t xml:space="preserve">суб’єктом </w:t>
      </w:r>
      <w:r>
        <w:rPr>
          <w:color w:val="231F20"/>
        </w:rPr>
        <w:t>призначення у державн</w:t>
      </w:r>
      <w:r>
        <w:rPr>
          <w:color w:val="231F20"/>
        </w:rPr>
        <w:t xml:space="preserve">ому органі. При цьому до складу конкурсної комісії можуть залучатися представники громадських </w:t>
      </w:r>
      <w:r>
        <w:rPr>
          <w:color w:val="231F20"/>
          <w:spacing w:val="-3"/>
        </w:rPr>
        <w:t>об’єднань.</w:t>
      </w:r>
    </w:p>
    <w:p w14:paraId="681BED15" w14:textId="77777777" w:rsidR="00DE575E" w:rsidRDefault="002E7560">
      <w:pPr>
        <w:pStyle w:val="BodyText"/>
        <w:spacing w:before="3" w:line="252" w:lineRule="auto"/>
        <w:ind w:left="533" w:right="127" w:firstLine="283"/>
        <w:jc w:val="both"/>
      </w:pPr>
      <w:r>
        <w:rPr>
          <w:color w:val="231F20"/>
        </w:rPr>
        <w:t>Результатами конкурсу є визначення суб’єктом призначення або керівником державної служби переможця (переможців) конкурсу.</w:t>
      </w:r>
    </w:p>
    <w:p w14:paraId="12632AE7" w14:textId="77777777" w:rsidR="00DE575E" w:rsidRDefault="002E7560">
      <w:pPr>
        <w:pStyle w:val="BodyText"/>
        <w:spacing w:before="1" w:line="252" w:lineRule="auto"/>
        <w:ind w:left="533" w:right="125" w:firstLine="283"/>
        <w:jc w:val="both"/>
      </w:pPr>
      <w:r>
        <w:rPr>
          <w:color w:val="231F20"/>
        </w:rPr>
        <w:t>Рішення конкурсної комісії оформляється протоколом, який підписується присутніми на засіданні членами комісії, не пізніше ніж</w:t>
      </w:r>
      <w:r>
        <w:rPr>
          <w:color w:val="231F20"/>
          <w:spacing w:val="-10"/>
        </w:rPr>
        <w:t xml:space="preserve"> </w:t>
      </w:r>
      <w:r>
        <w:rPr>
          <w:color w:val="231F20"/>
        </w:rPr>
        <w:t>упродовж</w:t>
      </w:r>
      <w:r>
        <w:rPr>
          <w:color w:val="231F20"/>
          <w:spacing w:val="-10"/>
        </w:rPr>
        <w:t xml:space="preserve"> </w:t>
      </w:r>
      <w:r>
        <w:rPr>
          <w:color w:val="231F20"/>
        </w:rPr>
        <w:t>трьох</w:t>
      </w:r>
      <w:r>
        <w:rPr>
          <w:color w:val="231F20"/>
          <w:spacing w:val="-10"/>
        </w:rPr>
        <w:t xml:space="preserve"> </w:t>
      </w:r>
      <w:r>
        <w:rPr>
          <w:color w:val="231F20"/>
        </w:rPr>
        <w:t>календарних</w:t>
      </w:r>
      <w:r>
        <w:rPr>
          <w:color w:val="231F20"/>
          <w:spacing w:val="-9"/>
        </w:rPr>
        <w:t xml:space="preserve"> </w:t>
      </w:r>
      <w:r>
        <w:rPr>
          <w:color w:val="231F20"/>
        </w:rPr>
        <w:t>днів</w:t>
      </w:r>
      <w:r>
        <w:rPr>
          <w:color w:val="231F20"/>
          <w:spacing w:val="-10"/>
        </w:rPr>
        <w:t xml:space="preserve"> </w:t>
      </w:r>
      <w:r>
        <w:rPr>
          <w:color w:val="231F20"/>
        </w:rPr>
        <w:t>після</w:t>
      </w:r>
      <w:r>
        <w:rPr>
          <w:color w:val="231F20"/>
          <w:spacing w:val="-10"/>
        </w:rPr>
        <w:t xml:space="preserve"> </w:t>
      </w:r>
      <w:r>
        <w:rPr>
          <w:color w:val="231F20"/>
        </w:rPr>
        <w:t>його</w:t>
      </w:r>
      <w:r>
        <w:rPr>
          <w:color w:val="231F20"/>
          <w:spacing w:val="-10"/>
        </w:rPr>
        <w:t xml:space="preserve"> </w:t>
      </w:r>
      <w:r>
        <w:rPr>
          <w:color w:val="231F20"/>
        </w:rPr>
        <w:t>проведення</w:t>
      </w:r>
      <w:r>
        <w:rPr>
          <w:color w:val="231F20"/>
          <w:spacing w:val="-10"/>
        </w:rPr>
        <w:t xml:space="preserve"> </w:t>
      </w:r>
      <w:r>
        <w:rPr>
          <w:color w:val="231F20"/>
        </w:rPr>
        <w:t>і</w:t>
      </w:r>
      <w:r>
        <w:rPr>
          <w:color w:val="231F20"/>
          <w:spacing w:val="-9"/>
        </w:rPr>
        <w:t xml:space="preserve"> </w:t>
      </w:r>
      <w:r>
        <w:rPr>
          <w:color w:val="231F20"/>
        </w:rPr>
        <w:t>збері- гається</w:t>
      </w:r>
      <w:r>
        <w:rPr>
          <w:color w:val="231F20"/>
          <w:spacing w:val="-13"/>
        </w:rPr>
        <w:t xml:space="preserve"> </w:t>
      </w:r>
      <w:r>
        <w:rPr>
          <w:color w:val="231F20"/>
        </w:rPr>
        <w:t>в</w:t>
      </w:r>
      <w:r>
        <w:rPr>
          <w:color w:val="231F20"/>
          <w:spacing w:val="-13"/>
        </w:rPr>
        <w:t xml:space="preserve"> </w:t>
      </w:r>
      <w:r>
        <w:rPr>
          <w:color w:val="231F20"/>
        </w:rPr>
        <w:t>державному</w:t>
      </w:r>
      <w:r>
        <w:rPr>
          <w:color w:val="231F20"/>
          <w:spacing w:val="-13"/>
        </w:rPr>
        <w:t xml:space="preserve"> </w:t>
      </w:r>
      <w:r>
        <w:rPr>
          <w:color w:val="231F20"/>
        </w:rPr>
        <w:t>органі,</w:t>
      </w:r>
      <w:r>
        <w:rPr>
          <w:color w:val="231F20"/>
          <w:spacing w:val="-13"/>
        </w:rPr>
        <w:t xml:space="preserve"> </w:t>
      </w:r>
      <w:r>
        <w:rPr>
          <w:color w:val="231F20"/>
        </w:rPr>
        <w:t>в</w:t>
      </w:r>
      <w:r>
        <w:rPr>
          <w:color w:val="231F20"/>
          <w:spacing w:val="-13"/>
        </w:rPr>
        <w:t xml:space="preserve"> </w:t>
      </w:r>
      <w:r>
        <w:rPr>
          <w:color w:val="231F20"/>
        </w:rPr>
        <w:t>якому</w:t>
      </w:r>
      <w:r>
        <w:rPr>
          <w:color w:val="231F20"/>
          <w:spacing w:val="-13"/>
        </w:rPr>
        <w:t xml:space="preserve"> </w:t>
      </w:r>
      <w:r>
        <w:rPr>
          <w:color w:val="231F20"/>
        </w:rPr>
        <w:t>проводився</w:t>
      </w:r>
      <w:r>
        <w:rPr>
          <w:color w:val="231F20"/>
          <w:spacing w:val="-13"/>
        </w:rPr>
        <w:t xml:space="preserve"> </w:t>
      </w:r>
      <w:r>
        <w:rPr>
          <w:color w:val="231F20"/>
        </w:rPr>
        <w:t>конкурс,</w:t>
      </w:r>
      <w:r>
        <w:rPr>
          <w:color w:val="231F20"/>
          <w:spacing w:val="-13"/>
        </w:rPr>
        <w:t xml:space="preserve"> </w:t>
      </w:r>
      <w:r>
        <w:rPr>
          <w:color w:val="231F20"/>
        </w:rPr>
        <w:t>упродовж трьох років. Витяг із протоколу засідання конкурсної комісії є скла- довою особової справи державного службовця, якого призначено</w:t>
      </w:r>
      <w:r>
        <w:rPr>
          <w:color w:val="231F20"/>
          <w:spacing w:val="-23"/>
        </w:rPr>
        <w:t xml:space="preserve"> </w:t>
      </w:r>
      <w:r>
        <w:rPr>
          <w:color w:val="231F20"/>
        </w:rPr>
        <w:t xml:space="preserve">на посаду за </w:t>
      </w:r>
      <w:r>
        <w:rPr>
          <w:color w:val="231F20"/>
          <w:spacing w:val="-3"/>
        </w:rPr>
        <w:t>результатами</w:t>
      </w:r>
      <w:r>
        <w:rPr>
          <w:color w:val="231F20"/>
          <w:spacing w:val="-2"/>
        </w:rPr>
        <w:t xml:space="preserve"> </w:t>
      </w:r>
      <w:r>
        <w:rPr>
          <w:color w:val="231F20"/>
          <w:spacing w:val="-3"/>
        </w:rPr>
        <w:t>конкурсу.</w:t>
      </w:r>
    </w:p>
    <w:p w14:paraId="0171A575" w14:textId="77777777" w:rsidR="00DE575E" w:rsidRDefault="00DE575E">
      <w:pPr>
        <w:pStyle w:val="BodyText"/>
        <w:spacing w:before="8"/>
        <w:rPr>
          <w:sz w:val="12"/>
        </w:rPr>
      </w:pPr>
    </w:p>
    <w:p w14:paraId="7FE51C31" w14:textId="77777777" w:rsidR="00DE575E" w:rsidRDefault="002E7560">
      <w:pPr>
        <w:spacing w:before="92"/>
        <w:ind w:left="533"/>
        <w:rPr>
          <w:rFonts w:ascii="Times New Roman"/>
          <w:sz w:val="20"/>
        </w:rPr>
      </w:pPr>
      <w:r>
        <w:rPr>
          <w:rFonts w:ascii="Times New Roman"/>
          <w:color w:val="231F20"/>
          <w:sz w:val="20"/>
        </w:rPr>
        <w:t>444</w:t>
      </w:r>
    </w:p>
    <w:p w14:paraId="137787D4" w14:textId="77777777" w:rsidR="00DE575E" w:rsidRDefault="00DE575E">
      <w:pPr>
        <w:rPr>
          <w:rFonts w:ascii="Times New Roman"/>
          <w:sz w:val="20"/>
        </w:rPr>
        <w:sectPr w:rsidR="00DE575E">
          <w:pgSz w:w="8510" w:h="12760"/>
          <w:pgMar w:top="660" w:right="720" w:bottom="280" w:left="600" w:header="720" w:footer="720" w:gutter="0"/>
          <w:cols w:space="720"/>
        </w:sectPr>
      </w:pPr>
    </w:p>
    <w:p w14:paraId="6BA290FA"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Про</w:t>
      </w:r>
      <w:r>
        <w:rPr>
          <w:rFonts w:ascii="AdonisC" w:hAnsi="AdonisC"/>
          <w:i/>
          <w:color w:val="231F20"/>
          <w:spacing w:val="-4"/>
          <w:sz w:val="18"/>
        </w:rPr>
        <w:t xml:space="preserve">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56A0B32A" w14:textId="47EABB5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4783FB9" wp14:editId="39608C14">
                <wp:extent cx="4140200" cy="6350"/>
                <wp:effectExtent l="0" t="0" r="12700" b="6350"/>
                <wp:docPr id="28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82" name="Line 2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499F3A" id="Group_x0020_2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mjBsZX4CAACYBQAADgAA&#10;AAAAAAAAAAAAAAAsAgAAZHJzL2Uyb0RvYy54bWxQSwECLQAUAAYACAAAACEATKewkNkAAAADAQAA&#10;DwAAAAAAAAAAAAAAAADWBAAAZHJzL2Rvd25yZXYueG1sUEsFBgAAAAAEAAQA8wAAANwFAAAAAA==&#10;">
                <v:line id="Line_x0020_2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wQv8YAAADcAAAADwAAAGRycy9kb3ducmV2LnhtbESP3WrCQBSE74W+w3IKvRHdGEEkdZUi&#10;CNIL/+IDHLOnSeju2ZhdTdqndwsFL4eZ+YZZrHprxJ1aXztWMBknIIgLp2suFZzzzWgOwgdkjcYx&#10;KfghD6vly2CBmXYdH+l+CqWIEPYZKqhCaDIpfVGRRT92DXH0vlxrMUTZllK32EW4NTJNkpm0WHNc&#10;qLChdUXF9+lmFeTXYTCH/afp8v1lKi/X3fT3tlPq7bX/eAcRqA/P8H97qxWk8xT+zsQjIJ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7sEL/GAAAA3AAAAA8AAAAAAAAA&#10;AAAAAAAAoQIAAGRycy9kb3ducmV2LnhtbFBLBQYAAAAABAAEAPkAAACUAwAAAAA=&#10;" strokecolor="#231f20" strokeweight=".5pt"/>
                <w10:anchorlock/>
              </v:group>
            </w:pict>
          </mc:Fallback>
        </mc:AlternateContent>
      </w:r>
    </w:p>
    <w:p w14:paraId="6E064545" w14:textId="77777777" w:rsidR="00DE575E" w:rsidRDefault="00DE575E">
      <w:pPr>
        <w:pStyle w:val="BodyText"/>
        <w:spacing w:before="7"/>
        <w:rPr>
          <w:rFonts w:ascii="AdonisC"/>
          <w:i/>
          <w:sz w:val="19"/>
        </w:rPr>
      </w:pPr>
    </w:p>
    <w:p w14:paraId="019C614E" w14:textId="77777777" w:rsidR="00DE575E" w:rsidRDefault="002E7560">
      <w:pPr>
        <w:pStyle w:val="BodyText"/>
        <w:spacing w:before="1" w:line="252" w:lineRule="auto"/>
        <w:ind w:left="250" w:right="407" w:firstLine="283"/>
        <w:jc w:val="both"/>
      </w:pPr>
      <w:r>
        <w:rPr>
          <w:color w:val="231F20"/>
        </w:rPr>
        <w:t>Кандидат, якого не визначено  переможцем  конкурсу,  має  право не пізніше ніж через 10 календарних днів з дня опри- люднення  результатів  конкурсу  оскаржити  рішення  конкурс-  ної комісії до суду з підстав, що могли</w:t>
      </w:r>
      <w:r>
        <w:rPr>
          <w:color w:val="231F20"/>
        </w:rPr>
        <w:t xml:space="preserve"> істотно вплинути на його результати.</w:t>
      </w:r>
    </w:p>
    <w:p w14:paraId="674D9CEA" w14:textId="77777777" w:rsidR="00DE575E" w:rsidRDefault="002E7560">
      <w:pPr>
        <w:pStyle w:val="BodyText"/>
        <w:spacing w:before="2" w:line="252" w:lineRule="auto"/>
        <w:ind w:left="250" w:right="408" w:firstLine="283"/>
        <w:jc w:val="both"/>
      </w:pPr>
      <w:r>
        <w:rPr>
          <w:color w:val="231F20"/>
        </w:rPr>
        <w:t>Інформація про переможця конкурсу або про відсутність пере- можця конкурсу оприлюднюється на Єдиному порталі вакансій державної служби, а також може оприлюднюватися на веб-сайті державного органу, в якому оголошено кон</w:t>
      </w:r>
      <w:r>
        <w:rPr>
          <w:color w:val="231F20"/>
        </w:rPr>
        <w:t>курс.</w:t>
      </w:r>
    </w:p>
    <w:p w14:paraId="2789A3F6" w14:textId="77777777" w:rsidR="00DE575E" w:rsidRDefault="002E7560">
      <w:pPr>
        <w:pStyle w:val="BodyText"/>
        <w:spacing w:before="2" w:line="252" w:lineRule="auto"/>
        <w:ind w:left="250" w:right="408" w:firstLine="283"/>
        <w:jc w:val="both"/>
      </w:pPr>
      <w:r>
        <w:rPr>
          <w:color w:val="231F20"/>
        </w:rPr>
        <w:t>У визначених законом випадках може проводитися повторний конкурс.</w:t>
      </w:r>
    </w:p>
    <w:p w14:paraId="6663E955" w14:textId="77777777" w:rsidR="00DE575E" w:rsidRDefault="002E7560">
      <w:pPr>
        <w:spacing w:before="1" w:line="252" w:lineRule="auto"/>
        <w:ind w:left="250" w:right="408" w:firstLine="283"/>
        <w:jc w:val="both"/>
        <w:rPr>
          <w:sz w:val="21"/>
        </w:rPr>
      </w:pPr>
      <w:r>
        <w:rPr>
          <w:i/>
          <w:color w:val="231F20"/>
          <w:sz w:val="21"/>
        </w:rPr>
        <w:t xml:space="preserve">Не допускається призначення на посаду державної служби </w:t>
      </w:r>
      <w:r>
        <w:rPr>
          <w:color w:val="231F20"/>
          <w:sz w:val="21"/>
        </w:rPr>
        <w:t>особа, яка буде прямо підпорядкована близькій особі або якій будуть прямо підпорядковані близькі особи.</w:t>
      </w:r>
    </w:p>
    <w:p w14:paraId="21FB6156" w14:textId="77777777" w:rsidR="00DE575E" w:rsidRDefault="002E7560">
      <w:pPr>
        <w:pStyle w:val="BodyText"/>
        <w:spacing w:before="2" w:line="252" w:lineRule="auto"/>
        <w:ind w:left="250" w:right="409" w:firstLine="283"/>
        <w:jc w:val="both"/>
      </w:pPr>
      <w:r>
        <w:rPr>
          <w:color w:val="231F20"/>
        </w:rPr>
        <w:t>Рішення про призначення на посаду державної служби ухва- люється суб’єктом призначення після проведення співбесіди з кандидатом і підписання з ним контракту (у разі укладення). Таке рішення приймається не пізніше 5 днів з дня надходження резуль- татів спец</w:t>
      </w:r>
      <w:r>
        <w:rPr>
          <w:color w:val="231F20"/>
        </w:rPr>
        <w:t>перевірки в разі та порядку, передбачених законодавст- вом у сфері запобігання корупції.</w:t>
      </w:r>
    </w:p>
    <w:p w14:paraId="43D1D298" w14:textId="77777777" w:rsidR="00DE575E" w:rsidRDefault="002E7560">
      <w:pPr>
        <w:pStyle w:val="BodyText"/>
        <w:spacing w:before="3" w:line="252" w:lineRule="auto"/>
        <w:ind w:left="250" w:right="411" w:firstLine="283"/>
        <w:jc w:val="both"/>
      </w:pPr>
      <w:r>
        <w:rPr>
          <w:color w:val="231F20"/>
        </w:rPr>
        <w:t xml:space="preserve">Про призначення на посаду ухвалюється </w:t>
      </w:r>
      <w:r>
        <w:rPr>
          <w:i/>
          <w:color w:val="231F20"/>
        </w:rPr>
        <w:t xml:space="preserve">відповідний акт </w:t>
      </w:r>
      <w:r>
        <w:rPr>
          <w:color w:val="231F20"/>
        </w:rPr>
        <w:t>суб’єк- том призначення у формі указу, постанови, наказу (розпоря- дження), рішення – залежно від категорії посад</w:t>
      </w:r>
      <w:r>
        <w:rPr>
          <w:color w:val="231F20"/>
        </w:rPr>
        <w:t>и.</w:t>
      </w:r>
    </w:p>
    <w:p w14:paraId="6388ED74" w14:textId="77777777" w:rsidR="00DE575E" w:rsidRDefault="002E7560">
      <w:pPr>
        <w:pStyle w:val="BodyText"/>
        <w:spacing w:before="1" w:line="252" w:lineRule="auto"/>
        <w:ind w:left="250" w:right="408" w:firstLine="283"/>
        <w:jc w:val="both"/>
      </w:pPr>
      <w:r>
        <w:rPr>
          <w:color w:val="231F20"/>
        </w:rPr>
        <w:t xml:space="preserve">З особою, яка призначається на посаду державної служби, може бути  </w:t>
      </w:r>
      <w:r>
        <w:rPr>
          <w:i/>
          <w:color w:val="231F20"/>
        </w:rPr>
        <w:t xml:space="preserve">укладено  контракт   </w:t>
      </w:r>
      <w:r>
        <w:rPr>
          <w:color w:val="231F20"/>
        </w:rPr>
        <w:t xml:space="preserve">про   проходження   державної   служби  в порядку, що затверджується Кабінетом Міністрів України. </w:t>
      </w:r>
      <w:r>
        <w:rPr>
          <w:color w:val="231F20"/>
          <w:spacing w:val="-3"/>
        </w:rPr>
        <w:t xml:space="preserve">Такий </w:t>
      </w:r>
      <w:r>
        <w:rPr>
          <w:color w:val="231F20"/>
        </w:rPr>
        <w:t xml:space="preserve">контракт здебільшого укладається при виконанні певних робіт, </w:t>
      </w:r>
      <w:r>
        <w:rPr>
          <w:color w:val="231F20"/>
        </w:rPr>
        <w:t>які мають тимчасовий характер. Контракт укладається в письмовій формі у двох примірниках на строк до трьох років і є невід’ємною частиною акта про призначення на</w:t>
      </w:r>
      <w:r>
        <w:rPr>
          <w:color w:val="231F20"/>
          <w:spacing w:val="22"/>
        </w:rPr>
        <w:t xml:space="preserve"> </w:t>
      </w:r>
      <w:r>
        <w:rPr>
          <w:color w:val="231F20"/>
        </w:rPr>
        <w:t>посаду.</w:t>
      </w:r>
    </w:p>
    <w:p w14:paraId="170A6BFC" w14:textId="77777777" w:rsidR="00DE575E" w:rsidRDefault="002E7560">
      <w:pPr>
        <w:pStyle w:val="BodyText"/>
        <w:spacing w:before="3" w:line="252" w:lineRule="auto"/>
        <w:ind w:left="250" w:right="408" w:firstLine="283"/>
        <w:jc w:val="both"/>
      </w:pPr>
      <w:r>
        <w:rPr>
          <w:color w:val="231F20"/>
        </w:rPr>
        <w:t xml:space="preserve">Призначення на посаду державного службовця здійснюється </w:t>
      </w:r>
      <w:r>
        <w:rPr>
          <w:i/>
          <w:color w:val="231F20"/>
        </w:rPr>
        <w:t>безстроково</w:t>
      </w:r>
      <w:r>
        <w:rPr>
          <w:color w:val="231F20"/>
        </w:rPr>
        <w:t>, крім визначених з</w:t>
      </w:r>
      <w:r>
        <w:rPr>
          <w:color w:val="231F20"/>
        </w:rPr>
        <w:t>аконом випадків. Наприклад, стро- кове призначення на посаду здійснюється у разі: призначення на посаду державної служби категорії «А» (на 5 років); заміщення посади на період відсутності державного службовця; необхідності забезпечення організації та викон</w:t>
      </w:r>
      <w:r>
        <w:rPr>
          <w:color w:val="231F20"/>
        </w:rPr>
        <w:t>ання завдань, що мають тимча- совий характер. Чисельність посад, на які здійснюється строкове призначення, не може перевищувати 7 відсотків загальної штатної чисельності посад в державному органі.</w:t>
      </w:r>
    </w:p>
    <w:p w14:paraId="05DD6B28" w14:textId="77777777" w:rsidR="00DE575E" w:rsidRDefault="00DE575E">
      <w:pPr>
        <w:pStyle w:val="BodyText"/>
        <w:spacing w:before="9"/>
        <w:rPr>
          <w:sz w:val="12"/>
        </w:rPr>
      </w:pPr>
    </w:p>
    <w:p w14:paraId="1A649162" w14:textId="77777777" w:rsidR="00DE575E" w:rsidRDefault="002E7560">
      <w:pPr>
        <w:spacing w:before="92"/>
        <w:ind w:right="411"/>
        <w:jc w:val="right"/>
        <w:rPr>
          <w:rFonts w:ascii="Times New Roman"/>
          <w:sz w:val="20"/>
        </w:rPr>
      </w:pPr>
      <w:r>
        <w:rPr>
          <w:rFonts w:ascii="Times New Roman"/>
          <w:color w:val="231F20"/>
          <w:w w:val="90"/>
          <w:sz w:val="20"/>
        </w:rPr>
        <w:t>445</w:t>
      </w:r>
    </w:p>
    <w:p w14:paraId="1F2A2AC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FB6F2E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w:t>
      </w:r>
      <w:r>
        <w:rPr>
          <w:rFonts w:ascii="AdonisC" w:hAnsi="AdonisC"/>
          <w:i/>
          <w:color w:val="231F20"/>
          <w:sz w:val="18"/>
        </w:rPr>
        <w:t>рс</w:t>
      </w:r>
    </w:p>
    <w:p w14:paraId="189131A8" w14:textId="5A6E2D1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C5BD010" wp14:editId="677A5079">
                <wp:extent cx="4140200" cy="6350"/>
                <wp:effectExtent l="0" t="0" r="12700" b="6350"/>
                <wp:docPr id="27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80" name="Line 2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F60216" id="Group_x0020_2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QGRicIECAACYBQAA&#10;DgAAAAAAAAAAAAAAAAAsAgAAZHJzL2Uyb0RvYy54bWxQSwECLQAUAAYACAAAACEATKewkNkAAAAD&#10;AQAADwAAAAAAAAAAAAAAAADZBAAAZHJzL2Rvd25yZXYueG1sUEsFBgAAAAAEAAQA8wAAAN8FAAAA&#10;AA==&#10;">
                <v:line id="Line_x0020_2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IrU8IAAADcAAAADwAAAGRycy9kb3ducmV2LnhtbERPy4rCMBTdC/MP4Q7MRjRVQaQaRQYG&#10;ZBa+6gdcm2tbTG5qE231681iYJaH816sOmvEgxpfOVYwGiYgiHOnKy4UnLKfwQyED8gajWNS8CQP&#10;q+VHb4Gpdi0f6HEMhYgh7FNUUIZQp1L6vCSLfuhq4shdXGMxRNgUUjfYxnBr5DhJptJixbGhxJq+&#10;S8qvx7tVkN36wex3v6bNdueJPN+2k9d9q9TXZ7eegwjUhX/xn3ujFYxncX48E4+AXL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XIrU8IAAADcAAAADwAAAAAAAAAAAAAA&#10;AAChAgAAZHJzL2Rvd25yZXYueG1sUEsFBgAAAAAEAAQA+QAAAJADAAAAAA==&#10;" strokecolor="#231f20" strokeweight=".5pt"/>
                <w10:anchorlock/>
              </v:group>
            </w:pict>
          </mc:Fallback>
        </mc:AlternateContent>
      </w:r>
    </w:p>
    <w:p w14:paraId="152AB42E" w14:textId="77777777" w:rsidR="00DE575E" w:rsidRDefault="00DE575E">
      <w:pPr>
        <w:pStyle w:val="BodyText"/>
        <w:spacing w:before="7"/>
        <w:rPr>
          <w:rFonts w:ascii="AdonisC"/>
          <w:i/>
          <w:sz w:val="11"/>
        </w:rPr>
      </w:pPr>
    </w:p>
    <w:p w14:paraId="224EFA64" w14:textId="77777777" w:rsidR="00DE575E" w:rsidRDefault="002E7560">
      <w:pPr>
        <w:pStyle w:val="BodyText"/>
        <w:spacing w:before="101" w:line="252" w:lineRule="auto"/>
        <w:ind w:left="533" w:right="126" w:firstLine="283"/>
        <w:jc w:val="both"/>
      </w:pPr>
      <w:r>
        <w:rPr>
          <w:color w:val="231F20"/>
        </w:rPr>
        <w:t>В</w:t>
      </w:r>
      <w:r>
        <w:rPr>
          <w:color w:val="231F20"/>
          <w:spacing w:val="-9"/>
        </w:rPr>
        <w:t xml:space="preserve"> </w:t>
      </w:r>
      <w:r>
        <w:rPr>
          <w:color w:val="231F20"/>
        </w:rPr>
        <w:t>акті</w:t>
      </w:r>
      <w:r>
        <w:rPr>
          <w:color w:val="231F20"/>
          <w:spacing w:val="-9"/>
        </w:rPr>
        <w:t xml:space="preserve"> </w:t>
      </w:r>
      <w:r>
        <w:rPr>
          <w:color w:val="231F20"/>
        </w:rPr>
        <w:t>про</w:t>
      </w:r>
      <w:r>
        <w:rPr>
          <w:color w:val="231F20"/>
          <w:spacing w:val="-9"/>
        </w:rPr>
        <w:t xml:space="preserve"> </w:t>
      </w:r>
      <w:r>
        <w:rPr>
          <w:color w:val="231F20"/>
        </w:rPr>
        <w:t>призначення</w:t>
      </w:r>
      <w:r>
        <w:rPr>
          <w:color w:val="231F20"/>
          <w:spacing w:val="-9"/>
        </w:rPr>
        <w:t xml:space="preserve"> </w:t>
      </w:r>
      <w:r>
        <w:rPr>
          <w:color w:val="231F20"/>
        </w:rPr>
        <w:t>на</w:t>
      </w:r>
      <w:r>
        <w:rPr>
          <w:color w:val="231F20"/>
          <w:spacing w:val="-8"/>
        </w:rPr>
        <w:t xml:space="preserve"> </w:t>
      </w:r>
      <w:r>
        <w:rPr>
          <w:color w:val="231F20"/>
        </w:rPr>
        <w:t>посаду</w:t>
      </w:r>
      <w:r>
        <w:rPr>
          <w:color w:val="231F20"/>
          <w:spacing w:val="-9"/>
        </w:rPr>
        <w:t xml:space="preserve"> </w:t>
      </w:r>
      <w:r>
        <w:rPr>
          <w:color w:val="231F20"/>
          <w:spacing w:val="-4"/>
        </w:rPr>
        <w:t>суб’єкт</w:t>
      </w:r>
      <w:r>
        <w:rPr>
          <w:color w:val="231F20"/>
          <w:spacing w:val="-9"/>
        </w:rPr>
        <w:t xml:space="preserve"> </w:t>
      </w:r>
      <w:r>
        <w:rPr>
          <w:color w:val="231F20"/>
        </w:rPr>
        <w:t>призначення</w:t>
      </w:r>
      <w:r>
        <w:rPr>
          <w:color w:val="231F20"/>
          <w:spacing w:val="-9"/>
        </w:rPr>
        <w:t xml:space="preserve"> </w:t>
      </w:r>
      <w:r>
        <w:rPr>
          <w:color w:val="231F20"/>
        </w:rPr>
        <w:t>може</w:t>
      </w:r>
      <w:r>
        <w:rPr>
          <w:color w:val="231F20"/>
          <w:spacing w:val="-8"/>
        </w:rPr>
        <w:t xml:space="preserve"> </w:t>
      </w:r>
      <w:r>
        <w:rPr>
          <w:color w:val="231F20"/>
        </w:rPr>
        <w:t xml:space="preserve">вста- новити </w:t>
      </w:r>
      <w:r>
        <w:rPr>
          <w:i/>
          <w:color w:val="231F20"/>
        </w:rPr>
        <w:t xml:space="preserve">випробування </w:t>
      </w:r>
      <w:r>
        <w:rPr>
          <w:color w:val="231F20"/>
        </w:rPr>
        <w:t>з метою перевірки відповідності державного службовця займаній посаді із  зазначенням  його  строку  (від  1  до 6 місяців). При цьому п</w:t>
      </w:r>
      <w:r>
        <w:rPr>
          <w:color w:val="231F20"/>
        </w:rPr>
        <w:t>ри призначенні особи на посаду державної служби вперше встановлення випробування є</w:t>
      </w:r>
      <w:r>
        <w:rPr>
          <w:color w:val="231F20"/>
          <w:spacing w:val="-6"/>
        </w:rPr>
        <w:t xml:space="preserve"> </w:t>
      </w:r>
      <w:r>
        <w:rPr>
          <w:color w:val="231F20"/>
        </w:rPr>
        <w:t>обов’язковим.</w:t>
      </w:r>
    </w:p>
    <w:p w14:paraId="4AE89236" w14:textId="77777777" w:rsidR="00DE575E" w:rsidRDefault="002E7560">
      <w:pPr>
        <w:pStyle w:val="BodyText"/>
        <w:spacing w:before="2" w:line="252" w:lineRule="auto"/>
        <w:ind w:left="533" w:right="126" w:firstLine="283"/>
        <w:jc w:val="both"/>
      </w:pPr>
      <w:r>
        <w:rPr>
          <w:color w:val="231F20"/>
        </w:rPr>
        <w:t>В акті про призначення може передбачатися обов’язок держав- ного органу забезпечити державному службовцю можливість проходження професійного навчання, необхідного державному службовцю для виконання своїх посадових обов’язків.</w:t>
      </w:r>
    </w:p>
    <w:p w14:paraId="573E112F" w14:textId="77777777" w:rsidR="00DE575E" w:rsidRDefault="002E7560">
      <w:pPr>
        <w:pStyle w:val="BodyText"/>
        <w:spacing w:before="2" w:line="252" w:lineRule="auto"/>
        <w:ind w:left="533" w:right="127" w:firstLine="283"/>
        <w:jc w:val="both"/>
      </w:pPr>
      <w:r>
        <w:rPr>
          <w:color w:val="231F20"/>
        </w:rPr>
        <w:t>Особа, призначена на посаду де</w:t>
      </w:r>
      <w:r>
        <w:rPr>
          <w:color w:val="231F20"/>
        </w:rPr>
        <w:t xml:space="preserve">ржавної служби вперше, публічно складає </w:t>
      </w:r>
      <w:r>
        <w:rPr>
          <w:b/>
          <w:i/>
          <w:color w:val="231F20"/>
        </w:rPr>
        <w:t>Присягу державного службовця</w:t>
      </w:r>
      <w:r>
        <w:rPr>
          <w:color w:val="231F20"/>
        </w:rPr>
        <w:t>. Підписаний текст Присяги є складовою особової справи державного службовця. Про складення Присяги державного службовця робиться запис у його трудовій книжці.</w:t>
      </w:r>
    </w:p>
    <w:p w14:paraId="032623AD" w14:textId="77777777" w:rsidR="00DE575E" w:rsidRDefault="002E7560">
      <w:pPr>
        <w:pStyle w:val="BodyText"/>
        <w:spacing w:before="3" w:line="252" w:lineRule="auto"/>
        <w:ind w:left="533" w:right="127" w:firstLine="283"/>
        <w:jc w:val="both"/>
      </w:pPr>
      <w:r>
        <w:rPr>
          <w:color w:val="231F20"/>
        </w:rPr>
        <w:t>Одночасно зі вступом на держа</w:t>
      </w:r>
      <w:r>
        <w:rPr>
          <w:color w:val="231F20"/>
        </w:rPr>
        <w:t xml:space="preserve">вну службу розпочинається ведення </w:t>
      </w:r>
      <w:r>
        <w:rPr>
          <w:i/>
          <w:color w:val="231F20"/>
        </w:rPr>
        <w:t>особової справи державного  службовця</w:t>
      </w:r>
      <w:r>
        <w:rPr>
          <w:color w:val="231F20"/>
        </w:rPr>
        <w:t>,  в  якій  переду-  сім відображаються всі відомості проходження особою державної служби – від вступу на державну службу і до її</w:t>
      </w:r>
      <w:r>
        <w:rPr>
          <w:color w:val="231F20"/>
          <w:spacing w:val="-8"/>
        </w:rPr>
        <w:t xml:space="preserve"> </w:t>
      </w:r>
      <w:r>
        <w:rPr>
          <w:color w:val="231F20"/>
        </w:rPr>
        <w:t>припинення.</w:t>
      </w:r>
    </w:p>
    <w:p w14:paraId="69335107" w14:textId="77777777" w:rsidR="00DE575E" w:rsidRDefault="00DE575E">
      <w:pPr>
        <w:pStyle w:val="BodyText"/>
        <w:rPr>
          <w:sz w:val="24"/>
        </w:rPr>
      </w:pPr>
    </w:p>
    <w:p w14:paraId="70B867B0" w14:textId="77777777" w:rsidR="00DE575E" w:rsidRDefault="00DE575E">
      <w:pPr>
        <w:pStyle w:val="BodyText"/>
        <w:spacing w:before="5"/>
        <w:rPr>
          <w:sz w:val="19"/>
        </w:rPr>
      </w:pPr>
    </w:p>
    <w:p w14:paraId="6D6EBC3A" w14:textId="77777777" w:rsidR="00DE575E" w:rsidRDefault="002E7560">
      <w:pPr>
        <w:pStyle w:val="Heading4"/>
        <w:numPr>
          <w:ilvl w:val="1"/>
          <w:numId w:val="54"/>
        </w:numPr>
        <w:tabs>
          <w:tab w:val="left" w:pos="3072"/>
        </w:tabs>
        <w:ind w:left="3071"/>
        <w:jc w:val="left"/>
      </w:pPr>
      <w:r>
        <w:rPr>
          <w:color w:val="231F20"/>
        </w:rPr>
        <w:t>Службова</w:t>
      </w:r>
      <w:r>
        <w:rPr>
          <w:color w:val="231F20"/>
          <w:spacing w:val="-8"/>
        </w:rPr>
        <w:t xml:space="preserve"> </w:t>
      </w:r>
      <w:r>
        <w:rPr>
          <w:color w:val="231F20"/>
          <w:spacing w:val="-4"/>
        </w:rPr>
        <w:t>кар’єра</w:t>
      </w:r>
    </w:p>
    <w:p w14:paraId="4C37EF7C" w14:textId="77777777" w:rsidR="00DE575E" w:rsidRDefault="00DE575E">
      <w:pPr>
        <w:pStyle w:val="BodyText"/>
        <w:rPr>
          <w:b/>
          <w:sz w:val="26"/>
        </w:rPr>
      </w:pPr>
    </w:p>
    <w:p w14:paraId="18EB4FFA" w14:textId="77777777" w:rsidR="00DE575E" w:rsidRDefault="002E7560">
      <w:pPr>
        <w:pStyle w:val="BodyText"/>
        <w:spacing w:before="224" w:line="252" w:lineRule="auto"/>
        <w:ind w:left="533" w:right="126" w:firstLine="283"/>
        <w:jc w:val="both"/>
      </w:pPr>
      <w:r>
        <w:rPr>
          <w:i/>
          <w:color w:val="231F20"/>
        </w:rPr>
        <w:t xml:space="preserve">Службова </w:t>
      </w:r>
      <w:r>
        <w:rPr>
          <w:i/>
          <w:color w:val="231F20"/>
          <w:spacing w:val="-5"/>
        </w:rPr>
        <w:t xml:space="preserve">кар’єра </w:t>
      </w:r>
      <w:r>
        <w:rPr>
          <w:color w:val="231F20"/>
        </w:rPr>
        <w:t xml:space="preserve">є одним із найважливіших етапів державної служби. Загалом державна служба в </w:t>
      </w:r>
      <w:r>
        <w:rPr>
          <w:color w:val="231F20"/>
          <w:spacing w:val="-3"/>
        </w:rPr>
        <w:t xml:space="preserve">Україні </w:t>
      </w:r>
      <w:r>
        <w:rPr>
          <w:color w:val="231F20"/>
        </w:rPr>
        <w:t xml:space="preserve">є </w:t>
      </w:r>
      <w:r>
        <w:rPr>
          <w:color w:val="231F20"/>
          <w:spacing w:val="-4"/>
        </w:rPr>
        <w:t xml:space="preserve">кар’єрною </w:t>
      </w:r>
      <w:r>
        <w:rPr>
          <w:color w:val="231F20"/>
        </w:rPr>
        <w:t xml:space="preserve">з елемен- тами посадової служби. </w:t>
      </w:r>
      <w:r>
        <w:rPr>
          <w:color w:val="231F20"/>
          <w:spacing w:val="-4"/>
        </w:rPr>
        <w:t xml:space="preserve">Тобто </w:t>
      </w:r>
      <w:r>
        <w:rPr>
          <w:color w:val="231F20"/>
        </w:rPr>
        <w:t xml:space="preserve">у процесі </w:t>
      </w:r>
      <w:r>
        <w:rPr>
          <w:color w:val="231F20"/>
          <w:spacing w:val="-4"/>
        </w:rPr>
        <w:t xml:space="preserve">кар’єрної </w:t>
      </w:r>
      <w:r>
        <w:rPr>
          <w:color w:val="231F20"/>
        </w:rPr>
        <w:t>служби держав- ний службовець, просуваючись службовими щаблями, займаючи відповідні посади, робить со</w:t>
      </w:r>
      <w:r>
        <w:rPr>
          <w:color w:val="231F20"/>
        </w:rPr>
        <w:t xml:space="preserve">бі службову </w:t>
      </w:r>
      <w:r>
        <w:rPr>
          <w:color w:val="231F20"/>
          <w:spacing w:val="-5"/>
        </w:rPr>
        <w:t xml:space="preserve">кар’єру </w:t>
      </w:r>
      <w:r>
        <w:rPr>
          <w:color w:val="231F20"/>
        </w:rPr>
        <w:t>упродовж всієї своєї службово-професійної діяльності. Посадова державна служба пере- дусім поєднується з певною посадою в державному апараті щодо виконання певної, як правило, обмеженої в часі, службової діяль- ності. Вона здебільшого з</w:t>
      </w:r>
      <w:r>
        <w:rPr>
          <w:color w:val="231F20"/>
        </w:rPr>
        <w:t xml:space="preserve">дійснюється через укладання тимчасових контрактів. Після внесення останніх змін до Закону «Про державну службу» це частково характеризує і вітчизняну державну </w:t>
      </w:r>
      <w:r>
        <w:rPr>
          <w:color w:val="231F20"/>
          <w:spacing w:val="-3"/>
        </w:rPr>
        <w:t>службу.</w:t>
      </w:r>
    </w:p>
    <w:p w14:paraId="1667DAD4" w14:textId="77777777" w:rsidR="00DE575E" w:rsidRDefault="002E7560">
      <w:pPr>
        <w:pStyle w:val="BodyText"/>
        <w:spacing w:before="5" w:line="252" w:lineRule="auto"/>
        <w:ind w:left="533" w:right="127" w:firstLine="283"/>
        <w:jc w:val="both"/>
      </w:pPr>
      <w:r>
        <w:rPr>
          <w:color w:val="231F20"/>
        </w:rPr>
        <w:t xml:space="preserve">Прийняття на державну </w:t>
      </w:r>
      <w:r>
        <w:rPr>
          <w:color w:val="231F20"/>
          <w:spacing w:val="-3"/>
        </w:rPr>
        <w:t xml:space="preserve">службу, </w:t>
      </w:r>
      <w:r>
        <w:rPr>
          <w:color w:val="231F20"/>
        </w:rPr>
        <w:t>просування по службі держав- них службовців, вирішення інши</w:t>
      </w:r>
      <w:r>
        <w:rPr>
          <w:color w:val="231F20"/>
        </w:rPr>
        <w:t>х питань, пов’язаних зі службою, здійснюються з урахуванням категорій посад  державної  служби  та рангів державних службовців як виду спеціальних звань, що їм присвоюються.</w:t>
      </w:r>
    </w:p>
    <w:p w14:paraId="2942A28D" w14:textId="77777777" w:rsidR="00DE575E" w:rsidRDefault="00DE575E">
      <w:pPr>
        <w:pStyle w:val="BodyText"/>
        <w:spacing w:before="8"/>
        <w:rPr>
          <w:sz w:val="12"/>
        </w:rPr>
      </w:pPr>
    </w:p>
    <w:p w14:paraId="7C62C327" w14:textId="77777777" w:rsidR="00DE575E" w:rsidRDefault="002E7560">
      <w:pPr>
        <w:spacing w:before="92"/>
        <w:ind w:left="533"/>
        <w:rPr>
          <w:rFonts w:ascii="Times New Roman"/>
          <w:sz w:val="20"/>
        </w:rPr>
      </w:pPr>
      <w:r>
        <w:rPr>
          <w:rFonts w:ascii="Times New Roman"/>
          <w:color w:val="231F20"/>
          <w:sz w:val="20"/>
        </w:rPr>
        <w:t>446</w:t>
      </w:r>
    </w:p>
    <w:p w14:paraId="73E59764" w14:textId="77777777" w:rsidR="00DE575E" w:rsidRDefault="00DE575E">
      <w:pPr>
        <w:rPr>
          <w:rFonts w:ascii="Times New Roman"/>
          <w:sz w:val="20"/>
        </w:rPr>
        <w:sectPr w:rsidR="00DE575E">
          <w:pgSz w:w="8510" w:h="12760"/>
          <w:pgMar w:top="660" w:right="720" w:bottom="280" w:left="600" w:header="720" w:footer="720" w:gutter="0"/>
          <w:cols w:space="720"/>
        </w:sectPr>
      </w:pPr>
    </w:p>
    <w:p w14:paraId="49EDCAA4"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4283E466" w14:textId="07E6902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CA22E83" wp14:editId="58E5EDF4">
                <wp:extent cx="4140200" cy="6350"/>
                <wp:effectExtent l="0" t="0" r="12700" b="6350"/>
                <wp:docPr id="27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78" name="Line 27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A54752" id="Group_x0020_27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FY743gAIAAJgFAAAO&#10;AAAAAAAAAAAAAAAAACwCAABkcnMvZTJvRG9jLnhtbFBLAQItABQABgAIAAAAIQBMp7CQ2QAAAAMB&#10;AAAPAAAAAAAAAAAAAAAAANgEAABkcnMvZG93bnJldi54bWxQSwUGAAAAAAQABADzAAAA3gUAAAAA&#10;">
                <v:line id="Line_x0020_27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FXcsMAAADcAAAADwAAAGRycy9kb3ducmV2LnhtbERP3WrCMBS+F/YO4Qy8EU2n4EY1iggD&#10;8UK3dg9wbM7asuSkNtFWn95cDLz8+P6X694acaXW144VvE0SEMSF0zWXCn7yz/EHCB+QNRrHpOBG&#10;Htarl8ESU+06/qZrFkoRQ9inqKAKoUml9EVFFv3ENcSR+3WtxRBhW0rdYhfDrZHTJJlLizXHhgob&#10;2lZU/GUXqyA/j4L5Ou5Nlx9PM3k6H2b3y0Gp4Wu/WYAI1Ien+N+90wqm73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RV3LDAAAA3AAAAA8AAAAAAAAAAAAA&#10;AAAAoQIAAGRycy9kb3ducmV2LnhtbFBLBQYAAAAABAAEAPkAAACRAwAAAAA=&#10;" strokecolor="#231f20" strokeweight=".5pt"/>
                <w10:anchorlock/>
              </v:group>
            </w:pict>
          </mc:Fallback>
        </mc:AlternateContent>
      </w:r>
    </w:p>
    <w:p w14:paraId="58DDE955" w14:textId="77777777" w:rsidR="00DE575E" w:rsidRDefault="00DE575E">
      <w:pPr>
        <w:pStyle w:val="BodyText"/>
        <w:spacing w:before="7"/>
        <w:rPr>
          <w:rFonts w:ascii="AdonisC"/>
          <w:i/>
          <w:sz w:val="19"/>
        </w:rPr>
      </w:pPr>
    </w:p>
    <w:p w14:paraId="544D3845" w14:textId="77777777" w:rsidR="00DE575E" w:rsidRDefault="002E7560">
      <w:pPr>
        <w:pStyle w:val="BodyText"/>
        <w:spacing w:before="1" w:line="252" w:lineRule="auto"/>
        <w:ind w:left="250" w:right="411" w:firstLine="283"/>
        <w:jc w:val="both"/>
      </w:pPr>
      <w:r>
        <w:rPr>
          <w:color w:val="231F20"/>
        </w:rPr>
        <w:t xml:space="preserve">Установлюється </w:t>
      </w:r>
      <w:r>
        <w:rPr>
          <w:i/>
          <w:color w:val="231F20"/>
        </w:rPr>
        <w:t>дев’ять рангів державних службовців</w:t>
      </w:r>
      <w:r>
        <w:rPr>
          <w:color w:val="231F20"/>
        </w:rPr>
        <w:t>. Порядок присвоєння рангів та співвідношення між рангами державних</w:t>
      </w:r>
      <w:r>
        <w:rPr>
          <w:color w:val="231F20"/>
          <w:spacing w:val="-32"/>
        </w:rPr>
        <w:t xml:space="preserve"> </w:t>
      </w:r>
      <w:r>
        <w:rPr>
          <w:color w:val="231F20"/>
        </w:rPr>
        <w:t xml:space="preserve">служ- бовців і рангами посадових осіб місцевого самоврядування, військо- вими званнями, дипломатичними рангами та іншими спеціальними званнями визначаються Кабінетом Міністрів </w:t>
      </w:r>
      <w:r>
        <w:rPr>
          <w:color w:val="231F20"/>
          <w:spacing w:val="-3"/>
        </w:rPr>
        <w:t xml:space="preserve">України. </w:t>
      </w:r>
      <w:r>
        <w:rPr>
          <w:color w:val="231F20"/>
        </w:rPr>
        <w:t>Присвою- ються такі</w:t>
      </w:r>
      <w:r>
        <w:rPr>
          <w:color w:val="231F20"/>
          <w:spacing w:val="-2"/>
        </w:rPr>
        <w:t xml:space="preserve"> </w:t>
      </w:r>
      <w:r>
        <w:rPr>
          <w:i/>
          <w:color w:val="231F20"/>
        </w:rPr>
        <w:t>ранги</w:t>
      </w:r>
      <w:r>
        <w:rPr>
          <w:color w:val="231F20"/>
        </w:rPr>
        <w:t>:</w:t>
      </w:r>
    </w:p>
    <w:p w14:paraId="31749977" w14:textId="77777777" w:rsidR="00DE575E" w:rsidRDefault="002E7560">
      <w:pPr>
        <w:pStyle w:val="ListParagraph"/>
        <w:numPr>
          <w:ilvl w:val="0"/>
          <w:numId w:val="51"/>
        </w:numPr>
        <w:tabs>
          <w:tab w:val="left" w:pos="818"/>
        </w:tabs>
        <w:spacing w:before="3" w:line="252" w:lineRule="auto"/>
        <w:ind w:right="411" w:firstLine="283"/>
        <w:rPr>
          <w:sz w:val="21"/>
        </w:rPr>
      </w:pPr>
      <w:r>
        <w:rPr>
          <w:color w:val="231F20"/>
          <w:sz w:val="21"/>
        </w:rPr>
        <w:t>державним службовцям, які займають посади де</w:t>
      </w:r>
      <w:r>
        <w:rPr>
          <w:color w:val="231F20"/>
          <w:sz w:val="21"/>
        </w:rPr>
        <w:t>ржавної служби категорії «А», – 1, 2, 3</w:t>
      </w:r>
      <w:r>
        <w:rPr>
          <w:color w:val="231F20"/>
          <w:spacing w:val="-3"/>
          <w:sz w:val="21"/>
        </w:rPr>
        <w:t xml:space="preserve"> </w:t>
      </w:r>
      <w:r>
        <w:rPr>
          <w:color w:val="231F20"/>
          <w:sz w:val="21"/>
        </w:rPr>
        <w:t>ранг;</w:t>
      </w:r>
    </w:p>
    <w:p w14:paraId="6130415F" w14:textId="77777777" w:rsidR="00DE575E" w:rsidRDefault="002E7560">
      <w:pPr>
        <w:pStyle w:val="ListParagraph"/>
        <w:numPr>
          <w:ilvl w:val="0"/>
          <w:numId w:val="51"/>
        </w:numPr>
        <w:tabs>
          <w:tab w:val="left" w:pos="818"/>
        </w:tabs>
        <w:spacing w:line="252" w:lineRule="auto"/>
        <w:ind w:right="411" w:firstLine="283"/>
        <w:rPr>
          <w:sz w:val="21"/>
        </w:rPr>
      </w:pPr>
      <w:r>
        <w:rPr>
          <w:color w:val="231F20"/>
          <w:sz w:val="21"/>
        </w:rPr>
        <w:t>державним службовцям, які займають посади державної служби категорії «Б», – 3, 4, 5, 6</w:t>
      </w:r>
      <w:r>
        <w:rPr>
          <w:color w:val="231F20"/>
          <w:spacing w:val="-3"/>
          <w:sz w:val="21"/>
        </w:rPr>
        <w:t xml:space="preserve"> </w:t>
      </w:r>
      <w:r>
        <w:rPr>
          <w:color w:val="231F20"/>
          <w:sz w:val="21"/>
        </w:rPr>
        <w:t>ранг;</w:t>
      </w:r>
    </w:p>
    <w:p w14:paraId="1348BCDF" w14:textId="77777777" w:rsidR="00DE575E" w:rsidRDefault="002E7560">
      <w:pPr>
        <w:pStyle w:val="ListParagraph"/>
        <w:numPr>
          <w:ilvl w:val="0"/>
          <w:numId w:val="51"/>
        </w:numPr>
        <w:tabs>
          <w:tab w:val="left" w:pos="818"/>
        </w:tabs>
        <w:spacing w:line="252" w:lineRule="auto"/>
        <w:ind w:right="411" w:firstLine="283"/>
        <w:rPr>
          <w:sz w:val="21"/>
        </w:rPr>
      </w:pPr>
      <w:r>
        <w:rPr>
          <w:color w:val="231F20"/>
          <w:sz w:val="21"/>
        </w:rPr>
        <w:t>державним службовцям, які займають посади державної служби категорії «В», – 6, 7, 8, 9</w:t>
      </w:r>
      <w:r>
        <w:rPr>
          <w:color w:val="231F20"/>
          <w:spacing w:val="-3"/>
          <w:sz w:val="21"/>
        </w:rPr>
        <w:t xml:space="preserve"> </w:t>
      </w:r>
      <w:r>
        <w:rPr>
          <w:color w:val="231F20"/>
          <w:spacing w:val="-4"/>
          <w:sz w:val="21"/>
        </w:rPr>
        <w:t>ранг.</w:t>
      </w:r>
    </w:p>
    <w:p w14:paraId="688264F1" w14:textId="77777777" w:rsidR="00DE575E" w:rsidRDefault="002E7560">
      <w:pPr>
        <w:pStyle w:val="BodyText"/>
        <w:spacing w:before="1" w:line="252" w:lineRule="auto"/>
        <w:ind w:left="250" w:right="411" w:firstLine="283"/>
        <w:jc w:val="both"/>
      </w:pPr>
      <w:r>
        <w:rPr>
          <w:color w:val="231F20"/>
          <w:spacing w:val="-4"/>
        </w:rPr>
        <w:t xml:space="preserve">Ранги </w:t>
      </w:r>
      <w:r>
        <w:rPr>
          <w:color w:val="231F20"/>
          <w:spacing w:val="-3"/>
        </w:rPr>
        <w:t>державним службовц</w:t>
      </w:r>
      <w:r>
        <w:rPr>
          <w:color w:val="231F20"/>
          <w:spacing w:val="-3"/>
        </w:rPr>
        <w:t xml:space="preserve">ям, </w:t>
      </w:r>
      <w:r>
        <w:rPr>
          <w:color w:val="231F20"/>
        </w:rPr>
        <w:t xml:space="preserve">як </w:t>
      </w:r>
      <w:r>
        <w:rPr>
          <w:color w:val="231F20"/>
          <w:spacing w:val="-3"/>
        </w:rPr>
        <w:t xml:space="preserve">правило, присвоює </w:t>
      </w:r>
      <w:r>
        <w:rPr>
          <w:color w:val="231F20"/>
          <w:spacing w:val="-6"/>
        </w:rPr>
        <w:t xml:space="preserve">суб’єкт </w:t>
      </w:r>
      <w:r>
        <w:rPr>
          <w:color w:val="231F20"/>
          <w:spacing w:val="-3"/>
        </w:rPr>
        <w:t xml:space="preserve">призначення </w:t>
      </w:r>
      <w:r>
        <w:rPr>
          <w:color w:val="231F20"/>
          <w:spacing w:val="-4"/>
        </w:rPr>
        <w:t xml:space="preserve">одночасно </w:t>
      </w:r>
      <w:r>
        <w:rPr>
          <w:color w:val="231F20"/>
        </w:rPr>
        <w:t xml:space="preserve">з </w:t>
      </w:r>
      <w:r>
        <w:rPr>
          <w:color w:val="231F20"/>
          <w:spacing w:val="-3"/>
        </w:rPr>
        <w:t xml:space="preserve">призначенням </w:t>
      </w:r>
      <w:r>
        <w:rPr>
          <w:color w:val="231F20"/>
        </w:rPr>
        <w:t xml:space="preserve">на </w:t>
      </w:r>
      <w:r>
        <w:rPr>
          <w:color w:val="231F20"/>
          <w:spacing w:val="-3"/>
        </w:rPr>
        <w:t xml:space="preserve">посаду державної служби. Державному службовцю, </w:t>
      </w:r>
      <w:r>
        <w:rPr>
          <w:color w:val="231F20"/>
        </w:rPr>
        <w:t xml:space="preserve">який </w:t>
      </w:r>
      <w:r>
        <w:rPr>
          <w:color w:val="231F20"/>
          <w:spacing w:val="-3"/>
        </w:rPr>
        <w:t xml:space="preserve">вперше призначається </w:t>
      </w:r>
      <w:r>
        <w:rPr>
          <w:color w:val="231F20"/>
        </w:rPr>
        <w:t xml:space="preserve">на </w:t>
      </w:r>
      <w:r>
        <w:rPr>
          <w:color w:val="231F20"/>
          <w:spacing w:val="-3"/>
        </w:rPr>
        <w:t xml:space="preserve">посаду державної служби, присвоюється найнижчий </w:t>
      </w:r>
      <w:r>
        <w:rPr>
          <w:color w:val="231F20"/>
        </w:rPr>
        <w:t xml:space="preserve">ранг у </w:t>
      </w:r>
      <w:r>
        <w:rPr>
          <w:color w:val="231F20"/>
          <w:spacing w:val="-3"/>
        </w:rPr>
        <w:t xml:space="preserve">межах відповід- </w:t>
      </w:r>
      <w:r>
        <w:rPr>
          <w:color w:val="231F20"/>
        </w:rPr>
        <w:t>ної</w:t>
      </w:r>
      <w:r>
        <w:rPr>
          <w:color w:val="231F20"/>
          <w:spacing w:val="-9"/>
        </w:rPr>
        <w:t xml:space="preserve"> </w:t>
      </w:r>
      <w:r>
        <w:rPr>
          <w:color w:val="231F20"/>
          <w:spacing w:val="-3"/>
        </w:rPr>
        <w:t>категорії</w:t>
      </w:r>
      <w:r>
        <w:rPr>
          <w:color w:val="231F20"/>
          <w:spacing w:val="-9"/>
        </w:rPr>
        <w:t xml:space="preserve"> </w:t>
      </w:r>
      <w:r>
        <w:rPr>
          <w:color w:val="231F20"/>
          <w:spacing w:val="-3"/>
        </w:rPr>
        <w:t>посад.</w:t>
      </w:r>
      <w:r>
        <w:rPr>
          <w:color w:val="231F20"/>
          <w:spacing w:val="-10"/>
        </w:rPr>
        <w:t xml:space="preserve"> </w:t>
      </w:r>
      <w:r>
        <w:rPr>
          <w:color w:val="231F20"/>
          <w:spacing w:val="-3"/>
        </w:rPr>
        <w:t>Черговий</w:t>
      </w:r>
      <w:r>
        <w:rPr>
          <w:color w:val="231F20"/>
          <w:spacing w:val="-9"/>
        </w:rPr>
        <w:t xml:space="preserve"> </w:t>
      </w:r>
      <w:r>
        <w:rPr>
          <w:color w:val="231F20"/>
        </w:rPr>
        <w:t>ранг</w:t>
      </w:r>
      <w:r>
        <w:rPr>
          <w:color w:val="231F20"/>
          <w:spacing w:val="-10"/>
        </w:rPr>
        <w:t xml:space="preserve"> </w:t>
      </w:r>
      <w:r>
        <w:rPr>
          <w:color w:val="231F20"/>
        </w:rPr>
        <w:t>у</w:t>
      </w:r>
      <w:r>
        <w:rPr>
          <w:color w:val="231F20"/>
          <w:spacing w:val="-11"/>
        </w:rPr>
        <w:t xml:space="preserve"> </w:t>
      </w:r>
      <w:r>
        <w:rPr>
          <w:color w:val="231F20"/>
          <w:spacing w:val="-3"/>
        </w:rPr>
        <w:t>межах</w:t>
      </w:r>
      <w:r>
        <w:rPr>
          <w:color w:val="231F20"/>
          <w:spacing w:val="-9"/>
        </w:rPr>
        <w:t xml:space="preserve"> </w:t>
      </w:r>
      <w:r>
        <w:rPr>
          <w:color w:val="231F20"/>
          <w:spacing w:val="-3"/>
        </w:rPr>
        <w:t>відповідної</w:t>
      </w:r>
      <w:r>
        <w:rPr>
          <w:color w:val="231F20"/>
          <w:spacing w:val="-10"/>
        </w:rPr>
        <w:t xml:space="preserve"> </w:t>
      </w:r>
      <w:r>
        <w:rPr>
          <w:color w:val="231F20"/>
          <w:spacing w:val="-3"/>
        </w:rPr>
        <w:t>категорії</w:t>
      </w:r>
      <w:r>
        <w:rPr>
          <w:color w:val="231F20"/>
          <w:spacing w:val="-9"/>
        </w:rPr>
        <w:t xml:space="preserve"> </w:t>
      </w:r>
      <w:r>
        <w:rPr>
          <w:color w:val="231F20"/>
          <w:spacing w:val="-3"/>
        </w:rPr>
        <w:t xml:space="preserve">посад присвоюється державному службовцю </w:t>
      </w:r>
      <w:r>
        <w:rPr>
          <w:i/>
          <w:color w:val="231F20"/>
          <w:spacing w:val="-3"/>
        </w:rPr>
        <w:t xml:space="preserve">через </w:t>
      </w:r>
      <w:r>
        <w:rPr>
          <w:i/>
          <w:color w:val="231F20"/>
          <w:spacing w:val="-4"/>
        </w:rPr>
        <w:t xml:space="preserve">кожні </w:t>
      </w:r>
      <w:r>
        <w:rPr>
          <w:i/>
          <w:color w:val="231F20"/>
        </w:rPr>
        <w:t xml:space="preserve">три </w:t>
      </w:r>
      <w:r>
        <w:rPr>
          <w:i/>
          <w:color w:val="231F20"/>
          <w:spacing w:val="-3"/>
        </w:rPr>
        <w:t xml:space="preserve">роки </w:t>
      </w:r>
      <w:r>
        <w:rPr>
          <w:color w:val="231F20"/>
        </w:rPr>
        <w:t xml:space="preserve">з </w:t>
      </w:r>
      <w:r>
        <w:rPr>
          <w:color w:val="231F20"/>
          <w:spacing w:val="-3"/>
        </w:rPr>
        <w:t xml:space="preserve">ураху- ванням </w:t>
      </w:r>
      <w:r>
        <w:rPr>
          <w:color w:val="231F20"/>
          <w:spacing w:val="-5"/>
        </w:rPr>
        <w:t xml:space="preserve">результатів </w:t>
      </w:r>
      <w:r>
        <w:rPr>
          <w:color w:val="231F20"/>
        </w:rPr>
        <w:t xml:space="preserve">оцінювання його </w:t>
      </w:r>
      <w:r>
        <w:rPr>
          <w:color w:val="231F20"/>
          <w:spacing w:val="-3"/>
        </w:rPr>
        <w:t>службової</w:t>
      </w:r>
      <w:r>
        <w:rPr>
          <w:color w:val="231F20"/>
          <w:spacing w:val="-19"/>
        </w:rPr>
        <w:t xml:space="preserve"> </w:t>
      </w:r>
      <w:r>
        <w:rPr>
          <w:color w:val="231F20"/>
          <w:spacing w:val="-3"/>
        </w:rPr>
        <w:t>діяльності.</w:t>
      </w:r>
    </w:p>
    <w:p w14:paraId="6D6758A6" w14:textId="77777777" w:rsidR="00DE575E" w:rsidRDefault="002E7560">
      <w:pPr>
        <w:pStyle w:val="BodyText"/>
        <w:spacing w:before="3" w:line="252" w:lineRule="auto"/>
        <w:ind w:left="250" w:right="411" w:firstLine="283"/>
        <w:jc w:val="both"/>
      </w:pPr>
      <w:r>
        <w:rPr>
          <w:color w:val="231F20"/>
          <w:spacing w:val="-7"/>
        </w:rPr>
        <w:t xml:space="preserve">Упродовж </w:t>
      </w:r>
      <w:r>
        <w:rPr>
          <w:color w:val="231F20"/>
          <w:spacing w:val="-5"/>
        </w:rPr>
        <w:t xml:space="preserve">строку застосування дисциплінарного стягнення, </w:t>
      </w:r>
      <w:r>
        <w:rPr>
          <w:color w:val="231F20"/>
        </w:rPr>
        <w:t xml:space="preserve">а </w:t>
      </w:r>
      <w:r>
        <w:rPr>
          <w:color w:val="231F20"/>
          <w:spacing w:val="-5"/>
        </w:rPr>
        <w:t xml:space="preserve">також упродовж </w:t>
      </w:r>
      <w:r>
        <w:rPr>
          <w:color w:val="231F20"/>
          <w:spacing w:val="-4"/>
        </w:rPr>
        <w:t xml:space="preserve">шести </w:t>
      </w:r>
      <w:r>
        <w:rPr>
          <w:color w:val="231F20"/>
          <w:spacing w:val="-5"/>
        </w:rPr>
        <w:t xml:space="preserve">місяців </w:t>
      </w:r>
      <w:r>
        <w:rPr>
          <w:color w:val="231F20"/>
        </w:rPr>
        <w:t xml:space="preserve">з </w:t>
      </w:r>
      <w:r>
        <w:rPr>
          <w:color w:val="231F20"/>
          <w:spacing w:val="-4"/>
        </w:rPr>
        <w:t xml:space="preserve">дня </w:t>
      </w:r>
      <w:r>
        <w:rPr>
          <w:color w:val="231F20"/>
          <w:spacing w:val="-5"/>
        </w:rPr>
        <w:t>отриман</w:t>
      </w:r>
      <w:r>
        <w:rPr>
          <w:color w:val="231F20"/>
          <w:spacing w:val="-5"/>
        </w:rPr>
        <w:t xml:space="preserve">ня державним службовцем негативної оцінки </w:t>
      </w:r>
      <w:r>
        <w:rPr>
          <w:color w:val="231F20"/>
          <w:spacing w:val="-3"/>
        </w:rPr>
        <w:t xml:space="preserve">за </w:t>
      </w:r>
      <w:r>
        <w:rPr>
          <w:color w:val="231F20"/>
          <w:spacing w:val="-6"/>
        </w:rPr>
        <w:t xml:space="preserve">результатами </w:t>
      </w:r>
      <w:r>
        <w:rPr>
          <w:color w:val="231F20"/>
          <w:spacing w:val="-5"/>
        </w:rPr>
        <w:t xml:space="preserve">оцінювання службової діяльності черговий </w:t>
      </w:r>
      <w:r>
        <w:rPr>
          <w:color w:val="231F20"/>
          <w:spacing w:val="-4"/>
        </w:rPr>
        <w:t xml:space="preserve">ранг </w:t>
      </w:r>
      <w:r>
        <w:rPr>
          <w:color w:val="231F20"/>
          <w:spacing w:val="-5"/>
        </w:rPr>
        <w:t xml:space="preserve">державному службовцю </w:t>
      </w:r>
      <w:r>
        <w:rPr>
          <w:color w:val="231F20"/>
          <w:spacing w:val="-3"/>
        </w:rPr>
        <w:t xml:space="preserve">не </w:t>
      </w:r>
      <w:r>
        <w:rPr>
          <w:color w:val="231F20"/>
          <w:spacing w:val="-5"/>
        </w:rPr>
        <w:t xml:space="preserve">присвоюється. </w:t>
      </w:r>
      <w:r>
        <w:rPr>
          <w:color w:val="231F20"/>
          <w:spacing w:val="-3"/>
        </w:rPr>
        <w:t xml:space="preserve">За </w:t>
      </w:r>
      <w:r>
        <w:rPr>
          <w:color w:val="231F20"/>
          <w:spacing w:val="-5"/>
        </w:rPr>
        <w:t xml:space="preserve">особливі досягнення </w:t>
      </w:r>
      <w:r>
        <w:rPr>
          <w:color w:val="231F20"/>
          <w:spacing w:val="-4"/>
        </w:rPr>
        <w:t xml:space="preserve">або </w:t>
      </w:r>
      <w:r>
        <w:rPr>
          <w:color w:val="231F20"/>
          <w:spacing w:val="-3"/>
        </w:rPr>
        <w:t xml:space="preserve">за </w:t>
      </w:r>
      <w:r>
        <w:rPr>
          <w:color w:val="231F20"/>
          <w:spacing w:val="-5"/>
        </w:rPr>
        <w:t xml:space="preserve">виконання особливо відповідальних завдань державному службовцю може </w:t>
      </w:r>
      <w:r>
        <w:rPr>
          <w:color w:val="231F20"/>
          <w:spacing w:val="-4"/>
        </w:rPr>
        <w:t xml:space="preserve">бути </w:t>
      </w:r>
      <w:r>
        <w:rPr>
          <w:color w:val="231F20"/>
          <w:spacing w:val="-5"/>
        </w:rPr>
        <w:t xml:space="preserve">достроково </w:t>
      </w:r>
      <w:r>
        <w:rPr>
          <w:color w:val="231F20"/>
          <w:spacing w:val="-5"/>
        </w:rPr>
        <w:t xml:space="preserve">присвоєно черговий </w:t>
      </w:r>
      <w:r>
        <w:rPr>
          <w:color w:val="231F20"/>
          <w:spacing w:val="-7"/>
        </w:rPr>
        <w:t>ранг.</w:t>
      </w:r>
      <w:r>
        <w:rPr>
          <w:color w:val="231F20"/>
          <w:spacing w:val="31"/>
        </w:rPr>
        <w:t xml:space="preserve"> </w:t>
      </w:r>
      <w:r>
        <w:rPr>
          <w:color w:val="231F20"/>
          <w:spacing w:val="-5"/>
        </w:rPr>
        <w:t xml:space="preserve">Дострокове присвоєння чергового </w:t>
      </w:r>
      <w:r>
        <w:rPr>
          <w:color w:val="231F20"/>
          <w:spacing w:val="-4"/>
        </w:rPr>
        <w:t xml:space="preserve">рангу  </w:t>
      </w:r>
      <w:r>
        <w:rPr>
          <w:color w:val="231F20"/>
          <w:spacing w:val="-5"/>
        </w:rPr>
        <w:t xml:space="preserve">може  здійснюватися  </w:t>
      </w:r>
      <w:r>
        <w:rPr>
          <w:color w:val="231F20"/>
          <w:spacing w:val="-3"/>
        </w:rPr>
        <w:t>не</w:t>
      </w:r>
      <w:r>
        <w:rPr>
          <w:color w:val="231F20"/>
          <w:spacing w:val="-9"/>
        </w:rPr>
        <w:t xml:space="preserve"> </w:t>
      </w:r>
      <w:r>
        <w:rPr>
          <w:color w:val="231F20"/>
          <w:spacing w:val="-4"/>
        </w:rPr>
        <w:t>раніше</w:t>
      </w:r>
      <w:r>
        <w:rPr>
          <w:color w:val="231F20"/>
          <w:spacing w:val="-9"/>
        </w:rPr>
        <w:t xml:space="preserve"> </w:t>
      </w:r>
      <w:r>
        <w:rPr>
          <w:color w:val="231F20"/>
          <w:spacing w:val="-4"/>
        </w:rPr>
        <w:t>ніж</w:t>
      </w:r>
      <w:r>
        <w:rPr>
          <w:color w:val="231F20"/>
          <w:spacing w:val="-9"/>
        </w:rPr>
        <w:t xml:space="preserve"> </w:t>
      </w:r>
      <w:r>
        <w:rPr>
          <w:color w:val="231F20"/>
          <w:spacing w:val="-4"/>
        </w:rPr>
        <w:t>через</w:t>
      </w:r>
      <w:r>
        <w:rPr>
          <w:color w:val="231F20"/>
          <w:spacing w:val="-9"/>
        </w:rPr>
        <w:t xml:space="preserve"> </w:t>
      </w:r>
      <w:r>
        <w:rPr>
          <w:color w:val="231F20"/>
          <w:spacing w:val="-5"/>
        </w:rPr>
        <w:t>один</w:t>
      </w:r>
      <w:r>
        <w:rPr>
          <w:color w:val="231F20"/>
          <w:spacing w:val="-9"/>
        </w:rPr>
        <w:t xml:space="preserve"> </w:t>
      </w:r>
      <w:r>
        <w:rPr>
          <w:color w:val="231F20"/>
          <w:spacing w:val="-4"/>
        </w:rPr>
        <w:t>рік</w:t>
      </w:r>
      <w:r>
        <w:rPr>
          <w:color w:val="231F20"/>
          <w:spacing w:val="-9"/>
        </w:rPr>
        <w:t xml:space="preserve"> </w:t>
      </w:r>
      <w:r>
        <w:rPr>
          <w:color w:val="231F20"/>
          <w:spacing w:val="-4"/>
        </w:rPr>
        <w:t>після</w:t>
      </w:r>
      <w:r>
        <w:rPr>
          <w:color w:val="231F20"/>
          <w:spacing w:val="-9"/>
        </w:rPr>
        <w:t xml:space="preserve"> </w:t>
      </w:r>
      <w:r>
        <w:rPr>
          <w:color w:val="231F20"/>
          <w:spacing w:val="-5"/>
        </w:rPr>
        <w:t>присвоєння</w:t>
      </w:r>
      <w:r>
        <w:rPr>
          <w:color w:val="231F20"/>
          <w:spacing w:val="-9"/>
        </w:rPr>
        <w:t xml:space="preserve"> </w:t>
      </w:r>
      <w:r>
        <w:rPr>
          <w:color w:val="231F20"/>
          <w:spacing w:val="-5"/>
        </w:rPr>
        <w:t>попереднього</w:t>
      </w:r>
      <w:r>
        <w:rPr>
          <w:color w:val="231F20"/>
          <w:spacing w:val="-9"/>
        </w:rPr>
        <w:t xml:space="preserve"> </w:t>
      </w:r>
      <w:r>
        <w:rPr>
          <w:color w:val="231F20"/>
          <w:spacing w:val="-7"/>
        </w:rPr>
        <w:t>рангу.</w:t>
      </w:r>
    </w:p>
    <w:p w14:paraId="30C0D61C" w14:textId="77777777" w:rsidR="00DE575E" w:rsidRDefault="002E7560">
      <w:pPr>
        <w:pStyle w:val="BodyText"/>
        <w:spacing w:before="4" w:line="252" w:lineRule="auto"/>
        <w:ind w:left="250" w:right="411" w:firstLine="283"/>
        <w:jc w:val="both"/>
      </w:pPr>
      <w:r>
        <w:rPr>
          <w:color w:val="231F20"/>
        </w:rPr>
        <w:t xml:space="preserve">У разі переходу на посаду нижчої категорії або звільнення з державної служби за державним службовцем зберігається раніше присвоєний йому ранг. Він може бути </w:t>
      </w:r>
      <w:r>
        <w:rPr>
          <w:i/>
          <w:color w:val="231F20"/>
        </w:rPr>
        <w:t>позбавлений рангу лише за рішенням суду</w:t>
      </w:r>
      <w:r>
        <w:rPr>
          <w:color w:val="231F20"/>
        </w:rPr>
        <w:t>.</w:t>
      </w:r>
    </w:p>
    <w:p w14:paraId="70E2C91C" w14:textId="77777777" w:rsidR="00DE575E" w:rsidRDefault="002E7560">
      <w:pPr>
        <w:spacing w:before="2" w:line="252" w:lineRule="auto"/>
        <w:ind w:left="250" w:right="411" w:firstLine="283"/>
        <w:jc w:val="both"/>
        <w:rPr>
          <w:sz w:val="21"/>
        </w:rPr>
      </w:pPr>
      <w:r>
        <w:rPr>
          <w:i/>
          <w:color w:val="231F20"/>
          <w:sz w:val="21"/>
        </w:rPr>
        <w:t xml:space="preserve">Просування державного службовця по службі </w:t>
      </w:r>
      <w:r>
        <w:rPr>
          <w:color w:val="231F20"/>
          <w:sz w:val="21"/>
        </w:rPr>
        <w:t>здійснюється з урахуванням професійної компетентності через зайняття вищої посади за результатами конкурсу відповідно до закону.</w:t>
      </w:r>
    </w:p>
    <w:p w14:paraId="474A2850" w14:textId="77777777" w:rsidR="00DE575E" w:rsidRDefault="002E7560">
      <w:pPr>
        <w:pStyle w:val="BodyText"/>
        <w:spacing w:before="1" w:line="252" w:lineRule="auto"/>
        <w:ind w:left="250" w:right="411" w:firstLine="283"/>
        <w:jc w:val="both"/>
      </w:pPr>
      <w:r>
        <w:rPr>
          <w:color w:val="231F20"/>
          <w:spacing w:val="-3"/>
        </w:rPr>
        <w:t xml:space="preserve">Результати </w:t>
      </w:r>
      <w:r>
        <w:rPr>
          <w:color w:val="231F20"/>
        </w:rPr>
        <w:t>службової діяльності державних службовців щороку підлягають оцінюванню для визначення якості виконання постав- лених</w:t>
      </w:r>
      <w:r>
        <w:rPr>
          <w:color w:val="231F20"/>
          <w:spacing w:val="-19"/>
        </w:rPr>
        <w:t xml:space="preserve"> </w:t>
      </w:r>
      <w:r>
        <w:rPr>
          <w:color w:val="231F20"/>
        </w:rPr>
        <w:t>завдань,</w:t>
      </w:r>
      <w:r>
        <w:rPr>
          <w:color w:val="231F20"/>
          <w:spacing w:val="-18"/>
        </w:rPr>
        <w:t xml:space="preserve"> </w:t>
      </w:r>
      <w:r>
        <w:rPr>
          <w:color w:val="231F20"/>
        </w:rPr>
        <w:t>а</w:t>
      </w:r>
      <w:r>
        <w:rPr>
          <w:color w:val="231F20"/>
          <w:spacing w:val="-18"/>
        </w:rPr>
        <w:t xml:space="preserve"> </w:t>
      </w:r>
      <w:r>
        <w:rPr>
          <w:color w:val="231F20"/>
        </w:rPr>
        <w:t>також</w:t>
      </w:r>
      <w:r>
        <w:rPr>
          <w:color w:val="231F20"/>
          <w:spacing w:val="-19"/>
        </w:rPr>
        <w:t xml:space="preserve"> </w:t>
      </w:r>
      <w:r>
        <w:rPr>
          <w:color w:val="231F20"/>
        </w:rPr>
        <w:t>з</w:t>
      </w:r>
      <w:r>
        <w:rPr>
          <w:color w:val="231F20"/>
          <w:spacing w:val="-19"/>
        </w:rPr>
        <w:t xml:space="preserve"> </w:t>
      </w:r>
      <w:r>
        <w:rPr>
          <w:color w:val="231F20"/>
        </w:rPr>
        <w:t>метою</w:t>
      </w:r>
      <w:r>
        <w:rPr>
          <w:color w:val="231F20"/>
          <w:spacing w:val="-18"/>
        </w:rPr>
        <w:t xml:space="preserve"> </w:t>
      </w:r>
      <w:r>
        <w:rPr>
          <w:color w:val="231F20"/>
        </w:rPr>
        <w:t>ухвалення</w:t>
      </w:r>
      <w:r>
        <w:rPr>
          <w:color w:val="231F20"/>
          <w:spacing w:val="-19"/>
        </w:rPr>
        <w:t xml:space="preserve"> </w:t>
      </w:r>
      <w:r>
        <w:rPr>
          <w:color w:val="231F20"/>
        </w:rPr>
        <w:t>рішення</w:t>
      </w:r>
      <w:r>
        <w:rPr>
          <w:color w:val="231F20"/>
          <w:spacing w:val="-19"/>
        </w:rPr>
        <w:t xml:space="preserve"> </w:t>
      </w:r>
      <w:r>
        <w:rPr>
          <w:color w:val="231F20"/>
        </w:rPr>
        <w:t>про</w:t>
      </w:r>
      <w:r>
        <w:rPr>
          <w:color w:val="231F20"/>
          <w:spacing w:val="-18"/>
        </w:rPr>
        <w:t xml:space="preserve"> </w:t>
      </w:r>
      <w:r>
        <w:rPr>
          <w:color w:val="231F20"/>
        </w:rPr>
        <w:t xml:space="preserve">преміювання, планування їхньої </w:t>
      </w:r>
      <w:r>
        <w:rPr>
          <w:color w:val="231F20"/>
          <w:spacing w:val="-4"/>
        </w:rPr>
        <w:t xml:space="preserve">кар’єри. </w:t>
      </w:r>
      <w:r>
        <w:rPr>
          <w:color w:val="231F20"/>
        </w:rPr>
        <w:t xml:space="preserve">Оцінювання </w:t>
      </w:r>
      <w:r>
        <w:rPr>
          <w:color w:val="231F20"/>
          <w:spacing w:val="-3"/>
        </w:rPr>
        <w:t xml:space="preserve">результатів </w:t>
      </w:r>
      <w:r>
        <w:rPr>
          <w:color w:val="231F20"/>
        </w:rPr>
        <w:t>здійснюється безпосереднім керівником  службовця та  керівником</w:t>
      </w:r>
      <w:r>
        <w:rPr>
          <w:color w:val="231F20"/>
          <w:spacing w:val="40"/>
        </w:rPr>
        <w:t xml:space="preserve"> </w:t>
      </w:r>
      <w:r>
        <w:rPr>
          <w:color w:val="231F20"/>
        </w:rPr>
        <w:t>самостійного</w:t>
      </w:r>
    </w:p>
    <w:p w14:paraId="02F969B2" w14:textId="77777777" w:rsidR="00DE575E" w:rsidRDefault="00DE575E">
      <w:pPr>
        <w:pStyle w:val="BodyText"/>
        <w:spacing w:before="7"/>
        <w:rPr>
          <w:sz w:val="12"/>
        </w:rPr>
      </w:pPr>
    </w:p>
    <w:p w14:paraId="355882F8" w14:textId="77777777" w:rsidR="00DE575E" w:rsidRDefault="002E7560">
      <w:pPr>
        <w:spacing w:before="92"/>
        <w:ind w:right="411"/>
        <w:jc w:val="right"/>
        <w:rPr>
          <w:rFonts w:ascii="Times New Roman"/>
          <w:sz w:val="20"/>
        </w:rPr>
      </w:pPr>
      <w:r>
        <w:rPr>
          <w:rFonts w:ascii="Times New Roman"/>
          <w:color w:val="231F20"/>
          <w:w w:val="90"/>
          <w:sz w:val="20"/>
        </w:rPr>
        <w:t>447</w:t>
      </w:r>
    </w:p>
    <w:p w14:paraId="1FA52B8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E82C25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96557B9" w14:textId="6C8F66A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8688AC9" wp14:editId="78DDB5AB">
                <wp:extent cx="4140200" cy="6350"/>
                <wp:effectExtent l="0" t="0" r="12700" b="6350"/>
                <wp:docPr id="27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76" name="Line 2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D4A374" id="Group_x0020_2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mxlF5gAIAAJgFAAAO&#10;AAAAAAAAAAAAAAAAACwCAABkcnMvZTJvRG9jLnhtbFBLAQItABQABgAIAAAAIQBMp7CQ2QAAAAMB&#10;AAAPAAAAAAAAAAAAAAAAANgEAABkcnMvZG93bnJldi54bWxQSwUGAAAAAAQABADzAAAA3gUAAAAA&#10;">
                <v:line id="Line_x0020_2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Jmm8YAAADcAAAADwAAAGRycy9kb3ducmV2LnhtbESP3WrCQBSE7wu+w3KE3hTdVEFLdBUR&#10;CsUL/9IHOGZPk9DdszG7mujTu0Khl8PMfMPMl5014kqNrxwreB8mIIhzpysuFHxnn4MPED4gazSO&#10;ScGNPCwXvZc5ptq1fKDrMRQiQtinqKAMoU6l9HlJFv3Q1cTR+3GNxRBlU0jdYBvh1shRkkykxYrj&#10;Qok1rUvKf48XqyA7vwWz321Mm+1OY3k6b8f3y1ap1363moEI1IX/8F/7SysYTSf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CZpvGAAAA3AAAAA8AAAAAAAAA&#10;AAAAAAAAoQIAAGRycy9kb3ducmV2LnhtbFBLBQYAAAAABAAEAPkAAACUAwAAAAA=&#10;" strokecolor="#231f20" strokeweight=".5pt"/>
                <w10:anchorlock/>
              </v:group>
            </w:pict>
          </mc:Fallback>
        </mc:AlternateContent>
      </w:r>
    </w:p>
    <w:p w14:paraId="5FE313D2" w14:textId="77777777" w:rsidR="00DE575E" w:rsidRDefault="00DE575E">
      <w:pPr>
        <w:pStyle w:val="BodyText"/>
        <w:spacing w:before="7"/>
        <w:rPr>
          <w:rFonts w:ascii="AdonisC"/>
          <w:i/>
          <w:sz w:val="11"/>
        </w:rPr>
      </w:pPr>
    </w:p>
    <w:p w14:paraId="257C414C" w14:textId="77777777" w:rsidR="00DE575E" w:rsidRDefault="002E7560">
      <w:pPr>
        <w:spacing w:before="101" w:line="252" w:lineRule="auto"/>
        <w:ind w:left="533" w:right="127"/>
        <w:jc w:val="both"/>
        <w:rPr>
          <w:sz w:val="21"/>
        </w:rPr>
      </w:pPr>
      <w:r>
        <w:rPr>
          <w:color w:val="231F20"/>
          <w:sz w:val="21"/>
        </w:rPr>
        <w:t xml:space="preserve">структурного підрозділу або суб’єктом призначення. За результа- тами такого оцінювання державному службовцю виставляється </w:t>
      </w:r>
      <w:r>
        <w:rPr>
          <w:i/>
          <w:color w:val="231F20"/>
          <w:sz w:val="21"/>
        </w:rPr>
        <w:t xml:space="preserve">негативна, позитивна </w:t>
      </w:r>
      <w:r>
        <w:rPr>
          <w:color w:val="231F20"/>
          <w:sz w:val="21"/>
        </w:rPr>
        <w:t xml:space="preserve">або </w:t>
      </w:r>
      <w:r>
        <w:rPr>
          <w:i/>
          <w:color w:val="231F20"/>
          <w:sz w:val="21"/>
        </w:rPr>
        <w:t xml:space="preserve">відмінна оцінка </w:t>
      </w:r>
      <w:r>
        <w:rPr>
          <w:color w:val="231F20"/>
          <w:sz w:val="21"/>
        </w:rPr>
        <w:t>з її обґрунтуванням.</w:t>
      </w:r>
    </w:p>
    <w:p w14:paraId="2AE1CA91" w14:textId="77777777" w:rsidR="00DE575E" w:rsidRDefault="002E7560">
      <w:pPr>
        <w:pStyle w:val="BodyText"/>
        <w:spacing w:before="1" w:line="252" w:lineRule="auto"/>
        <w:ind w:left="533" w:right="127" w:firstLine="283"/>
        <w:jc w:val="both"/>
      </w:pPr>
      <w:r>
        <w:rPr>
          <w:color w:val="231F20"/>
        </w:rPr>
        <w:t>У визна</w:t>
      </w:r>
      <w:r>
        <w:rPr>
          <w:color w:val="231F20"/>
        </w:rPr>
        <w:t xml:space="preserve">чених законом випадках з урахуванням його професій- ної підготовки та професійної компетентності державний службо- вець може бути переведений за його згодою на іншу рівнозначну або нижчу вакантну посаду без обов’язкового проведення </w:t>
      </w:r>
      <w:r>
        <w:rPr>
          <w:color w:val="231F20"/>
          <w:spacing w:val="-3"/>
        </w:rPr>
        <w:t xml:space="preserve">конкурсу. </w:t>
      </w:r>
      <w:r>
        <w:rPr>
          <w:color w:val="231F20"/>
        </w:rPr>
        <w:t>Водночас</w:t>
      </w:r>
      <w:r>
        <w:rPr>
          <w:color w:val="231F20"/>
          <w:spacing w:val="-16"/>
        </w:rPr>
        <w:t xml:space="preserve"> </w:t>
      </w:r>
      <w:r>
        <w:rPr>
          <w:color w:val="231F20"/>
        </w:rPr>
        <w:t>держа</w:t>
      </w:r>
      <w:r>
        <w:rPr>
          <w:color w:val="231F20"/>
        </w:rPr>
        <w:t>вний</w:t>
      </w:r>
      <w:r>
        <w:rPr>
          <w:color w:val="231F20"/>
          <w:spacing w:val="-16"/>
        </w:rPr>
        <w:t xml:space="preserve"> </w:t>
      </w:r>
      <w:r>
        <w:rPr>
          <w:color w:val="231F20"/>
        </w:rPr>
        <w:t>службовець</w:t>
      </w:r>
      <w:r>
        <w:rPr>
          <w:color w:val="231F20"/>
          <w:spacing w:val="-16"/>
        </w:rPr>
        <w:t xml:space="preserve"> </w:t>
      </w:r>
      <w:r>
        <w:rPr>
          <w:color w:val="231F20"/>
        </w:rPr>
        <w:t>не</w:t>
      </w:r>
      <w:r>
        <w:rPr>
          <w:color w:val="231F20"/>
          <w:spacing w:val="-16"/>
        </w:rPr>
        <w:t xml:space="preserve"> </w:t>
      </w:r>
      <w:r>
        <w:rPr>
          <w:color w:val="231F20"/>
        </w:rPr>
        <w:t>може</w:t>
      </w:r>
      <w:r>
        <w:rPr>
          <w:color w:val="231F20"/>
          <w:spacing w:val="-16"/>
        </w:rPr>
        <w:t xml:space="preserve"> </w:t>
      </w:r>
      <w:r>
        <w:rPr>
          <w:color w:val="231F20"/>
        </w:rPr>
        <w:t>бути</w:t>
      </w:r>
      <w:r>
        <w:rPr>
          <w:color w:val="231F20"/>
          <w:spacing w:val="-16"/>
        </w:rPr>
        <w:t xml:space="preserve"> </w:t>
      </w:r>
      <w:r>
        <w:rPr>
          <w:color w:val="231F20"/>
        </w:rPr>
        <w:t>переведений</w:t>
      </w:r>
      <w:r>
        <w:rPr>
          <w:color w:val="231F20"/>
          <w:spacing w:val="-16"/>
        </w:rPr>
        <w:t xml:space="preserve"> </w:t>
      </w:r>
      <w:r>
        <w:rPr>
          <w:color w:val="231F20"/>
        </w:rPr>
        <w:t>на</w:t>
      </w:r>
      <w:r>
        <w:rPr>
          <w:color w:val="231F20"/>
          <w:spacing w:val="-16"/>
        </w:rPr>
        <w:t xml:space="preserve"> </w:t>
      </w:r>
      <w:r>
        <w:rPr>
          <w:color w:val="231F20"/>
        </w:rPr>
        <w:t xml:space="preserve">вищу посаду без проведення </w:t>
      </w:r>
      <w:r>
        <w:rPr>
          <w:color w:val="231F20"/>
          <w:spacing w:val="-3"/>
        </w:rPr>
        <w:t xml:space="preserve">конкурсу. </w:t>
      </w:r>
      <w:r>
        <w:rPr>
          <w:color w:val="231F20"/>
        </w:rPr>
        <w:t>Переведення не має бути прихова- ним</w:t>
      </w:r>
      <w:r>
        <w:rPr>
          <w:color w:val="231F20"/>
          <w:spacing w:val="-1"/>
        </w:rPr>
        <w:t xml:space="preserve"> </w:t>
      </w:r>
      <w:r>
        <w:rPr>
          <w:color w:val="231F20"/>
        </w:rPr>
        <w:t>покаранням.</w:t>
      </w:r>
    </w:p>
    <w:p w14:paraId="3324DADE" w14:textId="77777777" w:rsidR="00DE575E" w:rsidRDefault="002E7560">
      <w:pPr>
        <w:pStyle w:val="BodyText"/>
        <w:spacing w:before="4" w:line="252" w:lineRule="auto"/>
        <w:ind w:left="533" w:right="126" w:firstLine="283"/>
        <w:jc w:val="right"/>
      </w:pPr>
      <w:r>
        <w:rPr>
          <w:color w:val="231F20"/>
        </w:rPr>
        <w:t xml:space="preserve">На </w:t>
      </w:r>
      <w:r>
        <w:rPr>
          <w:color w:val="231F20"/>
          <w:spacing w:val="-4"/>
        </w:rPr>
        <w:t xml:space="preserve">проходження </w:t>
      </w:r>
      <w:r>
        <w:rPr>
          <w:color w:val="231F20"/>
          <w:spacing w:val="-3"/>
        </w:rPr>
        <w:t xml:space="preserve">державної служби, </w:t>
      </w:r>
      <w:r>
        <w:rPr>
          <w:color w:val="231F20"/>
        </w:rPr>
        <w:t>її</w:t>
      </w:r>
      <w:r>
        <w:rPr>
          <w:color w:val="231F20"/>
          <w:spacing w:val="42"/>
        </w:rPr>
        <w:t xml:space="preserve"> </w:t>
      </w:r>
      <w:r>
        <w:rPr>
          <w:color w:val="231F20"/>
          <w:spacing w:val="-5"/>
        </w:rPr>
        <w:t>соціально-кар’єрний</w:t>
      </w:r>
      <w:r>
        <w:rPr>
          <w:color w:val="231F20"/>
          <w:spacing w:val="-1"/>
        </w:rPr>
        <w:t xml:space="preserve"> </w:t>
      </w:r>
      <w:r>
        <w:rPr>
          <w:color w:val="231F20"/>
          <w:spacing w:val="-3"/>
        </w:rPr>
        <w:t xml:space="preserve">зміст важливий вплив виявляє </w:t>
      </w:r>
      <w:r>
        <w:rPr>
          <w:i/>
          <w:color w:val="231F20"/>
          <w:spacing w:val="-3"/>
        </w:rPr>
        <w:t xml:space="preserve">стаж </w:t>
      </w:r>
      <w:r>
        <w:rPr>
          <w:i/>
          <w:color w:val="231F20"/>
          <w:spacing w:val="-4"/>
        </w:rPr>
        <w:t xml:space="preserve">державної </w:t>
      </w:r>
      <w:r>
        <w:rPr>
          <w:i/>
          <w:color w:val="231F20"/>
          <w:spacing w:val="-3"/>
        </w:rPr>
        <w:t>служби</w:t>
      </w:r>
      <w:r>
        <w:rPr>
          <w:color w:val="231F20"/>
          <w:spacing w:val="-3"/>
        </w:rPr>
        <w:t xml:space="preserve">,  </w:t>
      </w:r>
      <w:r>
        <w:rPr>
          <w:color w:val="231F20"/>
        </w:rPr>
        <w:t>який</w:t>
      </w:r>
      <w:r>
        <w:rPr>
          <w:color w:val="231F20"/>
          <w:spacing w:val="12"/>
        </w:rPr>
        <w:t xml:space="preserve"> </w:t>
      </w:r>
      <w:r>
        <w:rPr>
          <w:color w:val="231F20"/>
        </w:rPr>
        <w:t>дає</w:t>
      </w:r>
      <w:r>
        <w:rPr>
          <w:color w:val="231F20"/>
          <w:spacing w:val="35"/>
        </w:rPr>
        <w:t xml:space="preserve"> </w:t>
      </w:r>
      <w:r>
        <w:rPr>
          <w:color w:val="231F20"/>
          <w:spacing w:val="-3"/>
        </w:rPr>
        <w:t xml:space="preserve">право </w:t>
      </w:r>
      <w:r>
        <w:rPr>
          <w:color w:val="231F20"/>
        </w:rPr>
        <w:t>на</w:t>
      </w:r>
      <w:r>
        <w:rPr>
          <w:color w:val="231F20"/>
          <w:spacing w:val="10"/>
        </w:rPr>
        <w:t xml:space="preserve"> </w:t>
      </w:r>
      <w:r>
        <w:rPr>
          <w:color w:val="231F20"/>
          <w:spacing w:val="-3"/>
        </w:rPr>
        <w:t>встановлення</w:t>
      </w:r>
      <w:r>
        <w:rPr>
          <w:color w:val="231F20"/>
          <w:spacing w:val="10"/>
        </w:rPr>
        <w:t xml:space="preserve"> </w:t>
      </w:r>
      <w:r>
        <w:rPr>
          <w:color w:val="231F20"/>
          <w:spacing w:val="-3"/>
        </w:rPr>
        <w:t>державному</w:t>
      </w:r>
      <w:r>
        <w:rPr>
          <w:color w:val="231F20"/>
          <w:spacing w:val="10"/>
        </w:rPr>
        <w:t xml:space="preserve"> </w:t>
      </w:r>
      <w:r>
        <w:rPr>
          <w:color w:val="231F20"/>
          <w:spacing w:val="-3"/>
        </w:rPr>
        <w:t>службовцю</w:t>
      </w:r>
      <w:r>
        <w:rPr>
          <w:color w:val="231F20"/>
          <w:spacing w:val="10"/>
        </w:rPr>
        <w:t xml:space="preserve"> </w:t>
      </w:r>
      <w:r>
        <w:rPr>
          <w:color w:val="231F20"/>
          <w:spacing w:val="-3"/>
        </w:rPr>
        <w:t>надбавки</w:t>
      </w:r>
      <w:r>
        <w:rPr>
          <w:color w:val="231F20"/>
          <w:spacing w:val="10"/>
        </w:rPr>
        <w:t xml:space="preserve"> </w:t>
      </w:r>
      <w:r>
        <w:rPr>
          <w:color w:val="231F20"/>
        </w:rPr>
        <w:t>за</w:t>
      </w:r>
      <w:r>
        <w:rPr>
          <w:color w:val="231F20"/>
          <w:spacing w:val="10"/>
        </w:rPr>
        <w:t xml:space="preserve"> </w:t>
      </w:r>
      <w:r>
        <w:rPr>
          <w:color w:val="231F20"/>
          <w:spacing w:val="-3"/>
        </w:rPr>
        <w:t>вислугу</w:t>
      </w:r>
      <w:r>
        <w:rPr>
          <w:color w:val="231F20"/>
          <w:spacing w:val="10"/>
        </w:rPr>
        <w:t xml:space="preserve"> </w:t>
      </w:r>
      <w:r>
        <w:rPr>
          <w:color w:val="231F20"/>
          <w:spacing w:val="-3"/>
        </w:rPr>
        <w:t xml:space="preserve">років, надання додаткової оплачуваної </w:t>
      </w:r>
      <w:r>
        <w:rPr>
          <w:color w:val="231F20"/>
          <w:spacing w:val="-4"/>
        </w:rPr>
        <w:t xml:space="preserve">відпустки </w:t>
      </w:r>
      <w:r>
        <w:rPr>
          <w:color w:val="231F20"/>
        </w:rPr>
        <w:t>та ін.</w:t>
      </w:r>
      <w:r>
        <w:rPr>
          <w:color w:val="231F20"/>
          <w:spacing w:val="-31"/>
        </w:rPr>
        <w:t xml:space="preserve"> </w:t>
      </w:r>
      <w:r>
        <w:rPr>
          <w:color w:val="231F20"/>
          <w:spacing w:val="-3"/>
        </w:rPr>
        <w:t>Порядок</w:t>
      </w:r>
      <w:r>
        <w:rPr>
          <w:color w:val="231F20"/>
          <w:spacing w:val="-8"/>
        </w:rPr>
        <w:t xml:space="preserve"> </w:t>
      </w:r>
      <w:r>
        <w:rPr>
          <w:color w:val="231F20"/>
          <w:spacing w:val="-3"/>
        </w:rPr>
        <w:t>обчислення стажу</w:t>
      </w:r>
      <w:r>
        <w:rPr>
          <w:color w:val="231F20"/>
          <w:spacing w:val="-13"/>
        </w:rPr>
        <w:t xml:space="preserve"> </w:t>
      </w:r>
      <w:r>
        <w:rPr>
          <w:color w:val="231F20"/>
          <w:spacing w:val="-3"/>
        </w:rPr>
        <w:t>державної</w:t>
      </w:r>
      <w:r>
        <w:rPr>
          <w:color w:val="231F20"/>
          <w:spacing w:val="-13"/>
        </w:rPr>
        <w:t xml:space="preserve"> </w:t>
      </w:r>
      <w:r>
        <w:rPr>
          <w:color w:val="231F20"/>
          <w:spacing w:val="-3"/>
        </w:rPr>
        <w:t>служби</w:t>
      </w:r>
      <w:r>
        <w:rPr>
          <w:color w:val="231F20"/>
          <w:spacing w:val="-13"/>
        </w:rPr>
        <w:t xml:space="preserve"> </w:t>
      </w:r>
      <w:r>
        <w:rPr>
          <w:color w:val="231F20"/>
          <w:spacing w:val="-4"/>
        </w:rPr>
        <w:t>затверджується</w:t>
      </w:r>
      <w:r>
        <w:rPr>
          <w:color w:val="231F20"/>
          <w:spacing w:val="-13"/>
        </w:rPr>
        <w:t xml:space="preserve"> </w:t>
      </w:r>
      <w:r>
        <w:rPr>
          <w:color w:val="231F20"/>
          <w:spacing w:val="-3"/>
        </w:rPr>
        <w:t>Кабінетом</w:t>
      </w:r>
      <w:r>
        <w:rPr>
          <w:color w:val="231F20"/>
          <w:spacing w:val="-13"/>
        </w:rPr>
        <w:t xml:space="preserve"> </w:t>
      </w:r>
      <w:r>
        <w:rPr>
          <w:color w:val="231F20"/>
          <w:spacing w:val="-3"/>
        </w:rPr>
        <w:t>Міністрів</w:t>
      </w:r>
      <w:r>
        <w:rPr>
          <w:color w:val="231F20"/>
          <w:spacing w:val="-13"/>
        </w:rPr>
        <w:t xml:space="preserve"> </w:t>
      </w:r>
      <w:r>
        <w:rPr>
          <w:color w:val="231F20"/>
          <w:spacing w:val="-5"/>
        </w:rPr>
        <w:t>України.</w:t>
      </w:r>
      <w:r>
        <w:rPr>
          <w:color w:val="231F20"/>
          <w:spacing w:val="-3"/>
        </w:rPr>
        <w:t xml:space="preserve"> </w:t>
      </w:r>
      <w:r>
        <w:rPr>
          <w:color w:val="231F20"/>
        </w:rPr>
        <w:t>У</w:t>
      </w:r>
      <w:r>
        <w:rPr>
          <w:color w:val="231F20"/>
          <w:spacing w:val="-9"/>
        </w:rPr>
        <w:t xml:space="preserve"> </w:t>
      </w:r>
      <w:r>
        <w:rPr>
          <w:color w:val="231F20"/>
        </w:rPr>
        <w:t>процесі</w:t>
      </w:r>
      <w:r>
        <w:rPr>
          <w:color w:val="231F20"/>
          <w:spacing w:val="-9"/>
        </w:rPr>
        <w:t xml:space="preserve"> </w:t>
      </w:r>
      <w:r>
        <w:rPr>
          <w:color w:val="231F20"/>
        </w:rPr>
        <w:t>державної</w:t>
      </w:r>
      <w:r>
        <w:rPr>
          <w:color w:val="231F20"/>
          <w:spacing w:val="-9"/>
        </w:rPr>
        <w:t xml:space="preserve"> </w:t>
      </w:r>
      <w:r>
        <w:rPr>
          <w:color w:val="231F20"/>
        </w:rPr>
        <w:t>служби</w:t>
      </w:r>
      <w:r>
        <w:rPr>
          <w:color w:val="231F20"/>
          <w:spacing w:val="-9"/>
        </w:rPr>
        <w:t xml:space="preserve"> </w:t>
      </w:r>
      <w:r>
        <w:rPr>
          <w:color w:val="231F20"/>
        </w:rPr>
        <w:t>держава</w:t>
      </w:r>
      <w:r>
        <w:rPr>
          <w:color w:val="231F20"/>
          <w:spacing w:val="-9"/>
        </w:rPr>
        <w:t xml:space="preserve"> </w:t>
      </w:r>
      <w:r>
        <w:rPr>
          <w:color w:val="231F20"/>
        </w:rPr>
        <w:t>забезпечує</w:t>
      </w:r>
      <w:r>
        <w:rPr>
          <w:color w:val="231F20"/>
          <w:spacing w:val="-9"/>
        </w:rPr>
        <w:t xml:space="preserve"> </w:t>
      </w:r>
      <w:r>
        <w:rPr>
          <w:color w:val="231F20"/>
        </w:rPr>
        <w:t>достатній</w:t>
      </w:r>
      <w:r>
        <w:rPr>
          <w:color w:val="231F20"/>
          <w:spacing w:val="-10"/>
        </w:rPr>
        <w:t xml:space="preserve"> </w:t>
      </w:r>
      <w:r>
        <w:rPr>
          <w:color w:val="231F20"/>
        </w:rPr>
        <w:t>рівень</w:t>
      </w:r>
      <w:r>
        <w:rPr>
          <w:color w:val="231F20"/>
          <w:spacing w:val="-1"/>
        </w:rPr>
        <w:t xml:space="preserve"> </w:t>
      </w:r>
      <w:r>
        <w:rPr>
          <w:color w:val="231F20"/>
        </w:rPr>
        <w:t>оплати праці державних службовців для</w:t>
      </w:r>
      <w:r>
        <w:rPr>
          <w:color w:val="231F20"/>
          <w:spacing w:val="-19"/>
        </w:rPr>
        <w:t xml:space="preserve"> </w:t>
      </w:r>
      <w:r>
        <w:rPr>
          <w:color w:val="231F20"/>
        </w:rPr>
        <w:t>професійного</w:t>
      </w:r>
      <w:r>
        <w:rPr>
          <w:color w:val="231F20"/>
          <w:spacing w:val="32"/>
        </w:rPr>
        <w:t xml:space="preserve"> </w:t>
      </w:r>
      <w:r>
        <w:rPr>
          <w:color w:val="231F20"/>
        </w:rPr>
        <w:t>виконання посадових обов’язків. Заробітна плата державного</w:t>
      </w:r>
      <w:r>
        <w:rPr>
          <w:color w:val="231F20"/>
          <w:spacing w:val="45"/>
        </w:rPr>
        <w:t xml:space="preserve"> </w:t>
      </w:r>
      <w:r>
        <w:rPr>
          <w:color w:val="231F20"/>
        </w:rPr>
        <w:t>службовця</w:t>
      </w:r>
      <w:r>
        <w:rPr>
          <w:color w:val="231F20"/>
          <w:spacing w:val="7"/>
        </w:rPr>
        <w:t xml:space="preserve"> </w:t>
      </w:r>
      <w:r>
        <w:rPr>
          <w:color w:val="231F20"/>
        </w:rPr>
        <w:t>скла- дається</w:t>
      </w:r>
      <w:r>
        <w:rPr>
          <w:color w:val="231F20"/>
          <w:spacing w:val="25"/>
        </w:rPr>
        <w:t xml:space="preserve"> </w:t>
      </w:r>
      <w:r>
        <w:rPr>
          <w:color w:val="231F20"/>
        </w:rPr>
        <w:t>з</w:t>
      </w:r>
      <w:r>
        <w:rPr>
          <w:color w:val="231F20"/>
          <w:spacing w:val="25"/>
        </w:rPr>
        <w:t xml:space="preserve"> </w:t>
      </w:r>
      <w:r>
        <w:rPr>
          <w:color w:val="231F20"/>
        </w:rPr>
        <w:t>посадового</w:t>
      </w:r>
      <w:r>
        <w:rPr>
          <w:color w:val="231F20"/>
          <w:spacing w:val="25"/>
        </w:rPr>
        <w:t xml:space="preserve"> </w:t>
      </w:r>
      <w:r>
        <w:rPr>
          <w:color w:val="231F20"/>
          <w:spacing w:val="-3"/>
        </w:rPr>
        <w:t>окладу,</w:t>
      </w:r>
      <w:r>
        <w:rPr>
          <w:color w:val="231F20"/>
          <w:spacing w:val="25"/>
        </w:rPr>
        <w:t xml:space="preserve"> </w:t>
      </w:r>
      <w:r>
        <w:rPr>
          <w:color w:val="231F20"/>
        </w:rPr>
        <w:t>надбавки</w:t>
      </w:r>
      <w:r>
        <w:rPr>
          <w:color w:val="231F20"/>
          <w:spacing w:val="25"/>
        </w:rPr>
        <w:t xml:space="preserve"> </w:t>
      </w:r>
      <w:r>
        <w:rPr>
          <w:color w:val="231F20"/>
        </w:rPr>
        <w:t>за</w:t>
      </w:r>
      <w:r>
        <w:rPr>
          <w:color w:val="231F20"/>
          <w:spacing w:val="25"/>
        </w:rPr>
        <w:t xml:space="preserve"> </w:t>
      </w:r>
      <w:r>
        <w:rPr>
          <w:color w:val="231F20"/>
        </w:rPr>
        <w:t>вислугу</w:t>
      </w:r>
      <w:r>
        <w:rPr>
          <w:color w:val="231F20"/>
          <w:spacing w:val="25"/>
        </w:rPr>
        <w:t xml:space="preserve"> </w:t>
      </w:r>
      <w:r>
        <w:rPr>
          <w:color w:val="231F20"/>
        </w:rPr>
        <w:t>років,</w:t>
      </w:r>
      <w:r>
        <w:rPr>
          <w:color w:val="231F20"/>
          <w:spacing w:val="25"/>
        </w:rPr>
        <w:t xml:space="preserve"> </w:t>
      </w:r>
      <w:r>
        <w:rPr>
          <w:color w:val="231F20"/>
        </w:rPr>
        <w:t>надбавки за</w:t>
      </w:r>
      <w:r>
        <w:rPr>
          <w:color w:val="231F20"/>
          <w:spacing w:val="22"/>
        </w:rPr>
        <w:t xml:space="preserve"> </w:t>
      </w:r>
      <w:r>
        <w:rPr>
          <w:color w:val="231F20"/>
        </w:rPr>
        <w:t>ранг</w:t>
      </w:r>
      <w:r>
        <w:rPr>
          <w:color w:val="231F20"/>
          <w:spacing w:val="22"/>
        </w:rPr>
        <w:t xml:space="preserve"> </w:t>
      </w:r>
      <w:r>
        <w:rPr>
          <w:color w:val="231F20"/>
        </w:rPr>
        <w:t>державного</w:t>
      </w:r>
      <w:r>
        <w:rPr>
          <w:color w:val="231F20"/>
          <w:spacing w:val="22"/>
        </w:rPr>
        <w:t xml:space="preserve"> </w:t>
      </w:r>
      <w:r>
        <w:rPr>
          <w:color w:val="231F20"/>
        </w:rPr>
        <w:t>службовця,</w:t>
      </w:r>
      <w:r>
        <w:rPr>
          <w:color w:val="231F20"/>
          <w:spacing w:val="22"/>
        </w:rPr>
        <w:t xml:space="preserve"> </w:t>
      </w:r>
      <w:r>
        <w:rPr>
          <w:color w:val="231F20"/>
        </w:rPr>
        <w:t>премії</w:t>
      </w:r>
      <w:r>
        <w:rPr>
          <w:color w:val="231F20"/>
          <w:spacing w:val="22"/>
        </w:rPr>
        <w:t xml:space="preserve"> </w:t>
      </w:r>
      <w:r>
        <w:rPr>
          <w:color w:val="231F20"/>
        </w:rPr>
        <w:t>(у</w:t>
      </w:r>
      <w:r>
        <w:rPr>
          <w:color w:val="231F20"/>
          <w:spacing w:val="22"/>
        </w:rPr>
        <w:t xml:space="preserve"> </w:t>
      </w:r>
      <w:r>
        <w:rPr>
          <w:color w:val="231F20"/>
        </w:rPr>
        <w:t>разі</w:t>
      </w:r>
      <w:r>
        <w:rPr>
          <w:color w:val="231F20"/>
          <w:spacing w:val="22"/>
        </w:rPr>
        <w:t xml:space="preserve"> </w:t>
      </w:r>
      <w:r>
        <w:rPr>
          <w:color w:val="231F20"/>
        </w:rPr>
        <w:t>встановлення)</w:t>
      </w:r>
      <w:r>
        <w:rPr>
          <w:color w:val="231F20"/>
        </w:rPr>
        <w:t>.</w:t>
      </w:r>
      <w:r>
        <w:rPr>
          <w:color w:val="231F20"/>
          <w:spacing w:val="22"/>
        </w:rPr>
        <w:t xml:space="preserve"> </w:t>
      </w:r>
      <w:r>
        <w:rPr>
          <w:color w:val="231F20"/>
        </w:rPr>
        <w:t>Міні- мальний розмір посадового окладу в державних</w:t>
      </w:r>
      <w:r>
        <w:rPr>
          <w:color w:val="231F20"/>
          <w:spacing w:val="13"/>
        </w:rPr>
        <w:t xml:space="preserve"> </w:t>
      </w:r>
      <w:r>
        <w:rPr>
          <w:color w:val="231F20"/>
        </w:rPr>
        <w:t>органах,</w:t>
      </w:r>
      <w:r>
        <w:rPr>
          <w:color w:val="231F20"/>
          <w:spacing w:val="10"/>
        </w:rPr>
        <w:t xml:space="preserve"> </w:t>
      </w:r>
      <w:r>
        <w:rPr>
          <w:color w:val="231F20"/>
        </w:rPr>
        <w:t>юрисдик- ція яких поширюється на територію одного або кількох районів,</w:t>
      </w:r>
      <w:r>
        <w:rPr>
          <w:color w:val="231F20"/>
          <w:spacing w:val="5"/>
        </w:rPr>
        <w:t xml:space="preserve"> </w:t>
      </w:r>
      <w:r>
        <w:rPr>
          <w:color w:val="231F20"/>
        </w:rPr>
        <w:t>не може</w:t>
      </w:r>
      <w:r>
        <w:rPr>
          <w:color w:val="231F20"/>
          <w:spacing w:val="-6"/>
        </w:rPr>
        <w:t xml:space="preserve"> </w:t>
      </w:r>
      <w:r>
        <w:rPr>
          <w:color w:val="231F20"/>
        </w:rPr>
        <w:t>бути</w:t>
      </w:r>
      <w:r>
        <w:rPr>
          <w:color w:val="231F20"/>
          <w:spacing w:val="-6"/>
        </w:rPr>
        <w:t xml:space="preserve"> </w:t>
      </w:r>
      <w:r>
        <w:rPr>
          <w:color w:val="231F20"/>
        </w:rPr>
        <w:t>менше</w:t>
      </w:r>
      <w:r>
        <w:rPr>
          <w:color w:val="231F20"/>
          <w:spacing w:val="-6"/>
        </w:rPr>
        <w:t xml:space="preserve"> </w:t>
      </w:r>
      <w:r>
        <w:rPr>
          <w:color w:val="231F20"/>
        </w:rPr>
        <w:t>двох</w:t>
      </w:r>
      <w:r>
        <w:rPr>
          <w:color w:val="231F20"/>
          <w:spacing w:val="-6"/>
        </w:rPr>
        <w:t xml:space="preserve"> </w:t>
      </w:r>
      <w:r>
        <w:rPr>
          <w:color w:val="231F20"/>
        </w:rPr>
        <w:t>розмірів</w:t>
      </w:r>
      <w:r>
        <w:rPr>
          <w:color w:val="231F20"/>
          <w:spacing w:val="-6"/>
        </w:rPr>
        <w:t xml:space="preserve"> </w:t>
      </w:r>
      <w:r>
        <w:rPr>
          <w:color w:val="231F20"/>
        </w:rPr>
        <w:t>прожиткового</w:t>
      </w:r>
      <w:r>
        <w:rPr>
          <w:color w:val="231F20"/>
          <w:spacing w:val="-6"/>
        </w:rPr>
        <w:t xml:space="preserve"> </w:t>
      </w:r>
      <w:r>
        <w:rPr>
          <w:color w:val="231F20"/>
        </w:rPr>
        <w:t>мінімуму</w:t>
      </w:r>
      <w:r>
        <w:rPr>
          <w:color w:val="231F20"/>
          <w:spacing w:val="-6"/>
        </w:rPr>
        <w:t xml:space="preserve"> </w:t>
      </w:r>
      <w:r>
        <w:rPr>
          <w:color w:val="231F20"/>
        </w:rPr>
        <w:t>для</w:t>
      </w:r>
      <w:r>
        <w:rPr>
          <w:color w:val="231F20"/>
          <w:spacing w:val="-6"/>
        </w:rPr>
        <w:t xml:space="preserve"> </w:t>
      </w:r>
      <w:r>
        <w:rPr>
          <w:color w:val="231F20"/>
        </w:rPr>
        <w:t>працез- датних осіб, установленого законом. За додаткове</w:t>
      </w:r>
      <w:r>
        <w:rPr>
          <w:color w:val="231F20"/>
          <w:spacing w:val="5"/>
        </w:rPr>
        <w:t xml:space="preserve"> </w:t>
      </w:r>
      <w:r>
        <w:rPr>
          <w:color w:val="231F20"/>
        </w:rPr>
        <w:t>навантаження</w:t>
      </w:r>
      <w:r>
        <w:rPr>
          <w:color w:val="231F20"/>
        </w:rPr>
        <w:t xml:space="preserve"> </w:t>
      </w:r>
      <w:r>
        <w:rPr>
          <w:color w:val="231F20"/>
        </w:rPr>
        <w:t>до</w:t>
      </w:r>
      <w:r>
        <w:rPr>
          <w:color w:val="231F20"/>
          <w:spacing w:val="-1"/>
        </w:rPr>
        <w:t xml:space="preserve"> </w:t>
      </w:r>
      <w:r>
        <w:rPr>
          <w:color w:val="231F20"/>
        </w:rPr>
        <w:t>зарплати</w:t>
      </w:r>
      <w:r>
        <w:rPr>
          <w:color w:val="231F20"/>
          <w:spacing w:val="-22"/>
        </w:rPr>
        <w:t xml:space="preserve"> </w:t>
      </w:r>
      <w:r>
        <w:rPr>
          <w:color w:val="231F20"/>
        </w:rPr>
        <w:t>держслужбовця</w:t>
      </w:r>
      <w:r>
        <w:rPr>
          <w:color w:val="231F20"/>
          <w:spacing w:val="-22"/>
        </w:rPr>
        <w:t xml:space="preserve"> </w:t>
      </w:r>
      <w:r>
        <w:rPr>
          <w:color w:val="231F20"/>
        </w:rPr>
        <w:t>додається</w:t>
      </w:r>
      <w:r>
        <w:rPr>
          <w:color w:val="231F20"/>
          <w:spacing w:val="-22"/>
        </w:rPr>
        <w:t xml:space="preserve"> </w:t>
      </w:r>
      <w:r>
        <w:rPr>
          <w:color w:val="231F20"/>
        </w:rPr>
        <w:t>виплата.</w:t>
      </w:r>
      <w:r>
        <w:rPr>
          <w:color w:val="231F20"/>
          <w:spacing w:val="-22"/>
        </w:rPr>
        <w:t xml:space="preserve"> </w:t>
      </w:r>
      <w:r>
        <w:rPr>
          <w:color w:val="231F20"/>
        </w:rPr>
        <w:t>Джерелом</w:t>
      </w:r>
      <w:r>
        <w:rPr>
          <w:color w:val="231F20"/>
          <w:spacing w:val="-22"/>
        </w:rPr>
        <w:t xml:space="preserve"> </w:t>
      </w:r>
      <w:r>
        <w:rPr>
          <w:color w:val="231F20"/>
        </w:rPr>
        <w:t>формування</w:t>
      </w:r>
    </w:p>
    <w:p w14:paraId="27ED4759" w14:textId="77777777" w:rsidR="00DE575E" w:rsidRDefault="002E7560">
      <w:pPr>
        <w:pStyle w:val="BodyText"/>
        <w:spacing w:before="7"/>
        <w:ind w:left="533"/>
      </w:pPr>
      <w:r>
        <w:rPr>
          <w:color w:val="231F20"/>
        </w:rPr>
        <w:t>фонду оплати праці державних службовців є державний бюджет.</w:t>
      </w:r>
    </w:p>
    <w:p w14:paraId="54D6ECDC" w14:textId="77777777" w:rsidR="00DE575E" w:rsidRDefault="002E7560">
      <w:pPr>
        <w:pStyle w:val="BodyText"/>
        <w:spacing w:before="13" w:line="252" w:lineRule="auto"/>
        <w:ind w:left="533" w:right="126" w:firstLine="283"/>
        <w:jc w:val="right"/>
      </w:pPr>
      <w:r>
        <w:rPr>
          <w:color w:val="231F20"/>
        </w:rPr>
        <w:t>Державним</w:t>
      </w:r>
      <w:r>
        <w:rPr>
          <w:color w:val="231F20"/>
          <w:spacing w:val="23"/>
        </w:rPr>
        <w:t xml:space="preserve"> </w:t>
      </w:r>
      <w:r>
        <w:rPr>
          <w:color w:val="231F20"/>
        </w:rPr>
        <w:t>службовцям</w:t>
      </w:r>
      <w:r>
        <w:rPr>
          <w:color w:val="231F20"/>
          <w:spacing w:val="23"/>
        </w:rPr>
        <w:t xml:space="preserve"> </w:t>
      </w:r>
      <w:r>
        <w:rPr>
          <w:color w:val="231F20"/>
        </w:rPr>
        <w:t>створюються</w:t>
      </w:r>
      <w:r>
        <w:rPr>
          <w:color w:val="231F20"/>
          <w:spacing w:val="23"/>
        </w:rPr>
        <w:t xml:space="preserve"> </w:t>
      </w:r>
      <w:r>
        <w:rPr>
          <w:color w:val="231F20"/>
        </w:rPr>
        <w:t>належні</w:t>
      </w:r>
      <w:r>
        <w:rPr>
          <w:color w:val="231F20"/>
          <w:spacing w:val="23"/>
        </w:rPr>
        <w:t xml:space="preserve"> </w:t>
      </w:r>
      <w:r>
        <w:rPr>
          <w:color w:val="231F20"/>
        </w:rPr>
        <w:t>умови</w:t>
      </w:r>
      <w:r>
        <w:rPr>
          <w:color w:val="231F20"/>
          <w:spacing w:val="23"/>
        </w:rPr>
        <w:t xml:space="preserve"> </w:t>
      </w:r>
      <w:r>
        <w:rPr>
          <w:color w:val="231F20"/>
        </w:rPr>
        <w:t>для</w:t>
      </w:r>
      <w:r>
        <w:rPr>
          <w:color w:val="231F20"/>
          <w:spacing w:val="23"/>
        </w:rPr>
        <w:t xml:space="preserve"> </w:t>
      </w:r>
      <w:r>
        <w:rPr>
          <w:color w:val="231F20"/>
        </w:rPr>
        <w:t>вико- нання посадових обов’язків. Їм може надаватися службове</w:t>
      </w:r>
      <w:r>
        <w:rPr>
          <w:color w:val="231F20"/>
          <w:spacing w:val="23"/>
        </w:rPr>
        <w:t xml:space="preserve"> </w:t>
      </w:r>
      <w:r>
        <w:rPr>
          <w:color w:val="231F20"/>
          <w:spacing w:val="-3"/>
        </w:rPr>
        <w:t>житло</w:t>
      </w:r>
      <w:r>
        <w:rPr>
          <w:color w:val="231F20"/>
          <w:spacing w:val="2"/>
        </w:rPr>
        <w:t xml:space="preserve"> </w:t>
      </w:r>
      <w:r>
        <w:rPr>
          <w:color w:val="231F20"/>
        </w:rPr>
        <w:t>та</w:t>
      </w:r>
      <w:r>
        <w:rPr>
          <w:color w:val="231F20"/>
          <w:spacing w:val="-1"/>
        </w:rPr>
        <w:t xml:space="preserve"> </w:t>
      </w:r>
      <w:r>
        <w:rPr>
          <w:color w:val="231F20"/>
        </w:rPr>
        <w:t>матеріальна допомога для вирішення</w:t>
      </w:r>
      <w:r>
        <w:rPr>
          <w:color w:val="231F20"/>
          <w:spacing w:val="-6"/>
        </w:rPr>
        <w:t xml:space="preserve"> </w:t>
      </w:r>
      <w:r>
        <w:rPr>
          <w:color w:val="231F20"/>
        </w:rPr>
        <w:t>соціально-побутових</w:t>
      </w:r>
      <w:r>
        <w:rPr>
          <w:color w:val="231F20"/>
          <w:spacing w:val="-1"/>
        </w:rPr>
        <w:t xml:space="preserve"> </w:t>
      </w:r>
      <w:r>
        <w:rPr>
          <w:color w:val="231F20"/>
        </w:rPr>
        <w:t>питань. Для державних службовців установлюється</w:t>
      </w:r>
      <w:r>
        <w:rPr>
          <w:color w:val="231F20"/>
          <w:spacing w:val="17"/>
        </w:rPr>
        <w:t xml:space="preserve"> </w:t>
      </w:r>
      <w:r>
        <w:rPr>
          <w:color w:val="231F20"/>
        </w:rPr>
        <w:t>п’ятиденний</w:t>
      </w:r>
      <w:r>
        <w:rPr>
          <w:color w:val="231F20"/>
          <w:spacing w:val="38"/>
        </w:rPr>
        <w:t xml:space="preserve"> </w:t>
      </w:r>
      <w:r>
        <w:rPr>
          <w:color w:val="231F20"/>
        </w:rPr>
        <w:t>робо- чий</w:t>
      </w:r>
      <w:r>
        <w:rPr>
          <w:color w:val="231F20"/>
          <w:spacing w:val="25"/>
        </w:rPr>
        <w:t xml:space="preserve"> </w:t>
      </w:r>
      <w:r>
        <w:rPr>
          <w:color w:val="231F20"/>
        </w:rPr>
        <w:t>тиждень</w:t>
      </w:r>
      <w:r>
        <w:rPr>
          <w:color w:val="231F20"/>
          <w:spacing w:val="25"/>
        </w:rPr>
        <w:t xml:space="preserve"> </w:t>
      </w:r>
      <w:r>
        <w:rPr>
          <w:color w:val="231F20"/>
        </w:rPr>
        <w:t>з</w:t>
      </w:r>
      <w:r>
        <w:rPr>
          <w:color w:val="231F20"/>
          <w:spacing w:val="25"/>
        </w:rPr>
        <w:t xml:space="preserve"> </w:t>
      </w:r>
      <w:r>
        <w:rPr>
          <w:color w:val="231F20"/>
        </w:rPr>
        <w:t>двома</w:t>
      </w:r>
      <w:r>
        <w:rPr>
          <w:color w:val="231F20"/>
          <w:spacing w:val="25"/>
        </w:rPr>
        <w:t xml:space="preserve"> </w:t>
      </w:r>
      <w:r>
        <w:rPr>
          <w:color w:val="231F20"/>
        </w:rPr>
        <w:t>вихідними</w:t>
      </w:r>
      <w:r>
        <w:rPr>
          <w:color w:val="231F20"/>
          <w:spacing w:val="25"/>
        </w:rPr>
        <w:t xml:space="preserve"> </w:t>
      </w:r>
      <w:r>
        <w:rPr>
          <w:color w:val="231F20"/>
        </w:rPr>
        <w:t>днями.</w:t>
      </w:r>
      <w:r>
        <w:rPr>
          <w:color w:val="231F20"/>
          <w:spacing w:val="25"/>
        </w:rPr>
        <w:t xml:space="preserve"> </w:t>
      </w:r>
      <w:r>
        <w:rPr>
          <w:color w:val="231F20"/>
        </w:rPr>
        <w:t>Для</w:t>
      </w:r>
      <w:r>
        <w:rPr>
          <w:color w:val="231F20"/>
          <w:spacing w:val="25"/>
        </w:rPr>
        <w:t xml:space="preserve"> </w:t>
      </w:r>
      <w:r>
        <w:rPr>
          <w:color w:val="231F20"/>
        </w:rPr>
        <w:t>виконання</w:t>
      </w:r>
      <w:r>
        <w:rPr>
          <w:color w:val="231F20"/>
          <w:spacing w:val="25"/>
        </w:rPr>
        <w:t xml:space="preserve"> </w:t>
      </w:r>
      <w:r>
        <w:rPr>
          <w:color w:val="231F20"/>
        </w:rPr>
        <w:t>невід- кладних або непередбачуваних завдань державні</w:t>
      </w:r>
      <w:r>
        <w:rPr>
          <w:color w:val="231F20"/>
          <w:spacing w:val="23"/>
        </w:rPr>
        <w:t xml:space="preserve"> </w:t>
      </w:r>
      <w:r>
        <w:rPr>
          <w:color w:val="231F20"/>
        </w:rPr>
        <w:t>службовці,</w:t>
      </w:r>
      <w:r>
        <w:rPr>
          <w:color w:val="231F20"/>
          <w:spacing w:val="3"/>
        </w:rPr>
        <w:t xml:space="preserve"> </w:t>
      </w:r>
      <w:r>
        <w:rPr>
          <w:color w:val="231F20"/>
        </w:rPr>
        <w:t>для</w:t>
      </w:r>
      <w:r>
        <w:rPr>
          <w:color w:val="231F20"/>
          <w:spacing w:val="-1"/>
        </w:rPr>
        <w:t xml:space="preserve"> </w:t>
      </w:r>
      <w:r>
        <w:rPr>
          <w:color w:val="231F20"/>
        </w:rPr>
        <w:t>яких</w:t>
      </w:r>
      <w:r>
        <w:rPr>
          <w:color w:val="231F20"/>
          <w:spacing w:val="31"/>
        </w:rPr>
        <w:t xml:space="preserve"> </w:t>
      </w:r>
      <w:r>
        <w:rPr>
          <w:color w:val="231F20"/>
        </w:rPr>
        <w:t>законом</w:t>
      </w:r>
      <w:r>
        <w:rPr>
          <w:color w:val="231F20"/>
          <w:spacing w:val="31"/>
        </w:rPr>
        <w:t xml:space="preserve"> </w:t>
      </w:r>
      <w:r>
        <w:rPr>
          <w:color w:val="231F20"/>
        </w:rPr>
        <w:t>не</w:t>
      </w:r>
      <w:r>
        <w:rPr>
          <w:color w:val="231F20"/>
          <w:spacing w:val="31"/>
        </w:rPr>
        <w:t xml:space="preserve"> </w:t>
      </w:r>
      <w:r>
        <w:rPr>
          <w:color w:val="231F20"/>
        </w:rPr>
        <w:t>передбачено</w:t>
      </w:r>
      <w:r>
        <w:rPr>
          <w:color w:val="231F20"/>
          <w:spacing w:val="31"/>
        </w:rPr>
        <w:t xml:space="preserve"> </w:t>
      </w:r>
      <w:r>
        <w:rPr>
          <w:color w:val="231F20"/>
        </w:rPr>
        <w:t>обмежень</w:t>
      </w:r>
      <w:r>
        <w:rPr>
          <w:color w:val="231F20"/>
          <w:spacing w:val="31"/>
        </w:rPr>
        <w:t xml:space="preserve"> </w:t>
      </w:r>
      <w:r>
        <w:rPr>
          <w:color w:val="231F20"/>
        </w:rPr>
        <w:t>щодо</w:t>
      </w:r>
      <w:r>
        <w:rPr>
          <w:color w:val="231F20"/>
          <w:spacing w:val="31"/>
        </w:rPr>
        <w:t xml:space="preserve"> </w:t>
      </w:r>
      <w:r>
        <w:rPr>
          <w:color w:val="231F20"/>
        </w:rPr>
        <w:t>роботи,</w:t>
      </w:r>
      <w:r>
        <w:rPr>
          <w:color w:val="231F20"/>
          <w:spacing w:val="31"/>
        </w:rPr>
        <w:t xml:space="preserve"> </w:t>
      </w:r>
      <w:r>
        <w:rPr>
          <w:color w:val="231F20"/>
        </w:rPr>
        <w:t>на</w:t>
      </w:r>
      <w:r>
        <w:rPr>
          <w:color w:val="231F20"/>
          <w:spacing w:val="31"/>
        </w:rPr>
        <w:t xml:space="preserve"> </w:t>
      </w:r>
      <w:r>
        <w:rPr>
          <w:color w:val="231F20"/>
        </w:rPr>
        <w:t>підставі наказу</w:t>
      </w:r>
      <w:r>
        <w:rPr>
          <w:color w:val="231F20"/>
          <w:spacing w:val="-7"/>
        </w:rPr>
        <w:t xml:space="preserve"> </w:t>
      </w:r>
      <w:r>
        <w:rPr>
          <w:color w:val="231F20"/>
        </w:rPr>
        <w:t>керівника</w:t>
      </w:r>
      <w:r>
        <w:rPr>
          <w:color w:val="231F20"/>
          <w:spacing w:val="-7"/>
        </w:rPr>
        <w:t xml:space="preserve"> </w:t>
      </w:r>
      <w:r>
        <w:rPr>
          <w:color w:val="231F20"/>
        </w:rPr>
        <w:t>державної</w:t>
      </w:r>
      <w:r>
        <w:rPr>
          <w:color w:val="231F20"/>
          <w:spacing w:val="-7"/>
        </w:rPr>
        <w:t xml:space="preserve"> </w:t>
      </w:r>
      <w:r>
        <w:rPr>
          <w:color w:val="231F20"/>
        </w:rPr>
        <w:t>служби</w:t>
      </w:r>
      <w:r>
        <w:rPr>
          <w:color w:val="231F20"/>
          <w:spacing w:val="-7"/>
        </w:rPr>
        <w:t xml:space="preserve"> </w:t>
      </w:r>
      <w:r>
        <w:rPr>
          <w:color w:val="231F20"/>
        </w:rPr>
        <w:t>зобов’язані</w:t>
      </w:r>
      <w:r>
        <w:rPr>
          <w:color w:val="231F20"/>
          <w:spacing w:val="-7"/>
        </w:rPr>
        <w:t xml:space="preserve"> </w:t>
      </w:r>
      <w:r>
        <w:rPr>
          <w:color w:val="231F20"/>
        </w:rPr>
        <w:t>з’явитися</w:t>
      </w:r>
      <w:r>
        <w:rPr>
          <w:color w:val="231F20"/>
          <w:spacing w:val="-7"/>
        </w:rPr>
        <w:t xml:space="preserve"> </w:t>
      </w:r>
      <w:r>
        <w:rPr>
          <w:color w:val="231F20"/>
        </w:rPr>
        <w:t>на</w:t>
      </w:r>
      <w:r>
        <w:rPr>
          <w:color w:val="231F20"/>
          <w:spacing w:val="-7"/>
        </w:rPr>
        <w:t xml:space="preserve"> </w:t>
      </w:r>
      <w:r>
        <w:rPr>
          <w:color w:val="231F20"/>
        </w:rPr>
        <w:t>службу і</w:t>
      </w:r>
      <w:r>
        <w:rPr>
          <w:color w:val="231F20"/>
          <w:spacing w:val="25"/>
        </w:rPr>
        <w:t xml:space="preserve"> </w:t>
      </w:r>
      <w:r>
        <w:rPr>
          <w:color w:val="231F20"/>
        </w:rPr>
        <w:t>працювати</w:t>
      </w:r>
      <w:r>
        <w:rPr>
          <w:color w:val="231F20"/>
          <w:spacing w:val="25"/>
        </w:rPr>
        <w:t xml:space="preserve"> </w:t>
      </w:r>
      <w:r>
        <w:rPr>
          <w:color w:val="231F20"/>
        </w:rPr>
        <w:t>понад</w:t>
      </w:r>
      <w:r>
        <w:rPr>
          <w:color w:val="231F20"/>
          <w:spacing w:val="25"/>
        </w:rPr>
        <w:t xml:space="preserve"> </w:t>
      </w:r>
      <w:r>
        <w:rPr>
          <w:color w:val="231F20"/>
        </w:rPr>
        <w:t>установлену</w:t>
      </w:r>
      <w:r>
        <w:rPr>
          <w:color w:val="231F20"/>
          <w:spacing w:val="25"/>
        </w:rPr>
        <w:t xml:space="preserve"> </w:t>
      </w:r>
      <w:r>
        <w:rPr>
          <w:color w:val="231F20"/>
        </w:rPr>
        <w:t>тривалість</w:t>
      </w:r>
      <w:r>
        <w:rPr>
          <w:color w:val="231F20"/>
          <w:spacing w:val="25"/>
        </w:rPr>
        <w:t xml:space="preserve"> </w:t>
      </w:r>
      <w:r>
        <w:rPr>
          <w:color w:val="231F20"/>
        </w:rPr>
        <w:t>робочого</w:t>
      </w:r>
      <w:r>
        <w:rPr>
          <w:color w:val="231F20"/>
          <w:spacing w:val="25"/>
        </w:rPr>
        <w:t xml:space="preserve"> </w:t>
      </w:r>
      <w:r>
        <w:rPr>
          <w:color w:val="231F20"/>
        </w:rPr>
        <w:t>дня,</w:t>
      </w:r>
      <w:r>
        <w:rPr>
          <w:color w:val="231F20"/>
          <w:spacing w:val="25"/>
        </w:rPr>
        <w:t xml:space="preserve"> </w:t>
      </w:r>
      <w:r>
        <w:rPr>
          <w:color w:val="231F20"/>
        </w:rPr>
        <w:t>а</w:t>
      </w:r>
      <w:r>
        <w:rPr>
          <w:color w:val="231F20"/>
          <w:spacing w:val="27"/>
        </w:rPr>
        <w:t xml:space="preserve"> </w:t>
      </w:r>
      <w:r>
        <w:rPr>
          <w:color w:val="231F20"/>
        </w:rPr>
        <w:t>також у</w:t>
      </w:r>
      <w:r>
        <w:rPr>
          <w:color w:val="231F20"/>
          <w:spacing w:val="15"/>
        </w:rPr>
        <w:t xml:space="preserve"> </w:t>
      </w:r>
      <w:r>
        <w:rPr>
          <w:color w:val="231F20"/>
        </w:rPr>
        <w:t>вихідні,</w:t>
      </w:r>
      <w:r>
        <w:rPr>
          <w:color w:val="231F20"/>
          <w:spacing w:val="15"/>
        </w:rPr>
        <w:t xml:space="preserve"> </w:t>
      </w:r>
      <w:r>
        <w:rPr>
          <w:color w:val="231F20"/>
        </w:rPr>
        <w:t>святкові</w:t>
      </w:r>
      <w:r>
        <w:rPr>
          <w:color w:val="231F20"/>
          <w:spacing w:val="15"/>
        </w:rPr>
        <w:t xml:space="preserve"> </w:t>
      </w:r>
      <w:r>
        <w:rPr>
          <w:color w:val="231F20"/>
        </w:rPr>
        <w:t>та</w:t>
      </w:r>
      <w:r>
        <w:rPr>
          <w:color w:val="231F20"/>
          <w:spacing w:val="15"/>
        </w:rPr>
        <w:t xml:space="preserve"> </w:t>
      </w:r>
      <w:r>
        <w:rPr>
          <w:color w:val="231F20"/>
        </w:rPr>
        <w:t>неробочі</w:t>
      </w:r>
      <w:r>
        <w:rPr>
          <w:color w:val="231F20"/>
          <w:spacing w:val="15"/>
        </w:rPr>
        <w:t xml:space="preserve"> </w:t>
      </w:r>
      <w:r>
        <w:rPr>
          <w:color w:val="231F20"/>
        </w:rPr>
        <w:t>дні,</w:t>
      </w:r>
      <w:r>
        <w:rPr>
          <w:color w:val="231F20"/>
          <w:spacing w:val="15"/>
        </w:rPr>
        <w:t xml:space="preserve"> </w:t>
      </w:r>
      <w:r>
        <w:rPr>
          <w:color w:val="231F20"/>
        </w:rPr>
        <w:t>у</w:t>
      </w:r>
      <w:r>
        <w:rPr>
          <w:color w:val="231F20"/>
          <w:spacing w:val="15"/>
        </w:rPr>
        <w:t xml:space="preserve"> </w:t>
      </w:r>
      <w:r>
        <w:rPr>
          <w:color w:val="231F20"/>
        </w:rPr>
        <w:t>нічний</w:t>
      </w:r>
      <w:r>
        <w:rPr>
          <w:color w:val="231F20"/>
          <w:spacing w:val="15"/>
        </w:rPr>
        <w:t xml:space="preserve"> </w:t>
      </w:r>
      <w:r>
        <w:rPr>
          <w:color w:val="231F20"/>
        </w:rPr>
        <w:t>час.</w:t>
      </w:r>
      <w:r>
        <w:rPr>
          <w:color w:val="231F20"/>
          <w:spacing w:val="15"/>
        </w:rPr>
        <w:t xml:space="preserve"> </w:t>
      </w:r>
      <w:r>
        <w:rPr>
          <w:color w:val="231F20"/>
        </w:rPr>
        <w:t>За</w:t>
      </w:r>
      <w:r>
        <w:rPr>
          <w:color w:val="231F20"/>
          <w:spacing w:val="15"/>
        </w:rPr>
        <w:t xml:space="preserve"> </w:t>
      </w:r>
      <w:r>
        <w:rPr>
          <w:color w:val="231F20"/>
        </w:rPr>
        <w:t>роботу</w:t>
      </w:r>
      <w:r>
        <w:rPr>
          <w:color w:val="231F20"/>
          <w:spacing w:val="15"/>
        </w:rPr>
        <w:t xml:space="preserve"> </w:t>
      </w:r>
      <w:r>
        <w:rPr>
          <w:color w:val="231F20"/>
        </w:rPr>
        <w:t>в</w:t>
      </w:r>
      <w:r>
        <w:rPr>
          <w:color w:val="231F20"/>
          <w:spacing w:val="13"/>
        </w:rPr>
        <w:t xml:space="preserve"> </w:t>
      </w:r>
      <w:r>
        <w:rPr>
          <w:color w:val="231F20"/>
        </w:rPr>
        <w:t xml:space="preserve">зазна- чені дні державним  службовцям  надається </w:t>
      </w:r>
      <w:r>
        <w:rPr>
          <w:color w:val="231F20"/>
          <w:spacing w:val="21"/>
        </w:rPr>
        <w:t xml:space="preserve"> </w:t>
      </w:r>
      <w:r>
        <w:rPr>
          <w:color w:val="231F20"/>
        </w:rPr>
        <w:t xml:space="preserve">грошова </w:t>
      </w:r>
      <w:r>
        <w:rPr>
          <w:color w:val="231F20"/>
          <w:spacing w:val="3"/>
        </w:rPr>
        <w:t xml:space="preserve"> </w:t>
      </w:r>
      <w:r>
        <w:rPr>
          <w:color w:val="231F20"/>
        </w:rPr>
        <w:t>компенсація в</w:t>
      </w:r>
      <w:r>
        <w:rPr>
          <w:color w:val="231F20"/>
          <w:spacing w:val="35"/>
        </w:rPr>
        <w:t xml:space="preserve"> </w:t>
      </w:r>
      <w:r>
        <w:rPr>
          <w:color w:val="231F20"/>
        </w:rPr>
        <w:t>розмірі</w:t>
      </w:r>
      <w:r>
        <w:rPr>
          <w:color w:val="231F20"/>
          <w:spacing w:val="35"/>
        </w:rPr>
        <w:t xml:space="preserve"> </w:t>
      </w:r>
      <w:r>
        <w:rPr>
          <w:color w:val="231F20"/>
        </w:rPr>
        <w:t>та</w:t>
      </w:r>
      <w:r>
        <w:rPr>
          <w:color w:val="231F20"/>
          <w:spacing w:val="35"/>
        </w:rPr>
        <w:t xml:space="preserve"> </w:t>
      </w:r>
      <w:r>
        <w:rPr>
          <w:color w:val="231F20"/>
          <w:spacing w:val="-3"/>
        </w:rPr>
        <w:t>порядку,</w:t>
      </w:r>
      <w:r>
        <w:rPr>
          <w:color w:val="231F20"/>
          <w:spacing w:val="35"/>
        </w:rPr>
        <w:t xml:space="preserve"> </w:t>
      </w:r>
      <w:r>
        <w:rPr>
          <w:color w:val="231F20"/>
        </w:rPr>
        <w:t>визначених</w:t>
      </w:r>
      <w:r>
        <w:rPr>
          <w:color w:val="231F20"/>
          <w:spacing w:val="35"/>
        </w:rPr>
        <w:t xml:space="preserve"> </w:t>
      </w:r>
      <w:r>
        <w:rPr>
          <w:color w:val="231F20"/>
        </w:rPr>
        <w:t>законодавством</w:t>
      </w:r>
      <w:r>
        <w:rPr>
          <w:color w:val="231F20"/>
          <w:spacing w:val="35"/>
        </w:rPr>
        <w:t xml:space="preserve"> </w:t>
      </w:r>
      <w:r>
        <w:rPr>
          <w:color w:val="231F20"/>
        </w:rPr>
        <w:t>про</w:t>
      </w:r>
      <w:r>
        <w:rPr>
          <w:color w:val="231F20"/>
          <w:spacing w:val="35"/>
        </w:rPr>
        <w:t xml:space="preserve"> </w:t>
      </w:r>
      <w:r>
        <w:rPr>
          <w:color w:val="231F20"/>
        </w:rPr>
        <w:t>працю,</w:t>
      </w:r>
      <w:r>
        <w:rPr>
          <w:color w:val="231F20"/>
          <w:spacing w:val="35"/>
        </w:rPr>
        <w:t xml:space="preserve"> </w:t>
      </w:r>
      <w:r>
        <w:rPr>
          <w:color w:val="231F20"/>
        </w:rPr>
        <w:t>або</w:t>
      </w:r>
      <w:r>
        <w:rPr>
          <w:color w:val="231F20"/>
          <w:spacing w:val="-1"/>
        </w:rPr>
        <w:t xml:space="preserve"> </w:t>
      </w:r>
      <w:r>
        <w:rPr>
          <w:color w:val="231F20"/>
        </w:rPr>
        <w:t>упродовж</w:t>
      </w:r>
      <w:r>
        <w:rPr>
          <w:color w:val="231F20"/>
          <w:spacing w:val="-5"/>
        </w:rPr>
        <w:t xml:space="preserve"> </w:t>
      </w:r>
      <w:r>
        <w:rPr>
          <w:color w:val="231F20"/>
        </w:rPr>
        <w:t>місяця</w:t>
      </w:r>
      <w:r>
        <w:rPr>
          <w:color w:val="231F20"/>
          <w:spacing w:val="-5"/>
        </w:rPr>
        <w:t xml:space="preserve"> </w:t>
      </w:r>
      <w:r>
        <w:rPr>
          <w:color w:val="231F20"/>
        </w:rPr>
        <w:t>надаються</w:t>
      </w:r>
      <w:r>
        <w:rPr>
          <w:color w:val="231F20"/>
          <w:spacing w:val="-5"/>
        </w:rPr>
        <w:t xml:space="preserve"> </w:t>
      </w:r>
      <w:r>
        <w:rPr>
          <w:color w:val="231F20"/>
        </w:rPr>
        <w:t>відповідні</w:t>
      </w:r>
      <w:r>
        <w:rPr>
          <w:color w:val="231F20"/>
          <w:spacing w:val="-5"/>
        </w:rPr>
        <w:t xml:space="preserve"> </w:t>
      </w:r>
      <w:r>
        <w:rPr>
          <w:color w:val="231F20"/>
        </w:rPr>
        <w:t>дні</w:t>
      </w:r>
      <w:r>
        <w:rPr>
          <w:color w:val="231F20"/>
          <w:spacing w:val="-5"/>
        </w:rPr>
        <w:t xml:space="preserve"> </w:t>
      </w:r>
      <w:r>
        <w:rPr>
          <w:color w:val="231F20"/>
        </w:rPr>
        <w:t>відпочинку</w:t>
      </w:r>
      <w:r>
        <w:rPr>
          <w:color w:val="231F20"/>
          <w:spacing w:val="-5"/>
        </w:rPr>
        <w:t xml:space="preserve"> </w:t>
      </w:r>
      <w:r>
        <w:rPr>
          <w:color w:val="231F20"/>
        </w:rPr>
        <w:t>за</w:t>
      </w:r>
      <w:r>
        <w:rPr>
          <w:color w:val="231F20"/>
          <w:spacing w:val="-5"/>
        </w:rPr>
        <w:t xml:space="preserve"> </w:t>
      </w:r>
      <w:r>
        <w:rPr>
          <w:color w:val="231F20"/>
        </w:rPr>
        <w:t>їх</w:t>
      </w:r>
      <w:r>
        <w:rPr>
          <w:color w:val="231F20"/>
          <w:spacing w:val="-5"/>
        </w:rPr>
        <w:t xml:space="preserve"> </w:t>
      </w:r>
      <w:r>
        <w:rPr>
          <w:color w:val="231F20"/>
        </w:rPr>
        <w:t>заявами.</w:t>
      </w:r>
    </w:p>
    <w:p w14:paraId="5449915B" w14:textId="77777777" w:rsidR="00DE575E" w:rsidRDefault="00DE575E">
      <w:pPr>
        <w:pStyle w:val="BodyText"/>
        <w:spacing w:before="10"/>
        <w:rPr>
          <w:sz w:val="12"/>
        </w:rPr>
      </w:pPr>
    </w:p>
    <w:p w14:paraId="255A3D4E" w14:textId="77777777" w:rsidR="00DE575E" w:rsidRDefault="002E7560">
      <w:pPr>
        <w:spacing w:before="92"/>
        <w:ind w:left="533"/>
        <w:rPr>
          <w:rFonts w:ascii="Times New Roman"/>
          <w:sz w:val="20"/>
        </w:rPr>
      </w:pPr>
      <w:r>
        <w:rPr>
          <w:rFonts w:ascii="Times New Roman"/>
          <w:color w:val="231F20"/>
          <w:sz w:val="20"/>
        </w:rPr>
        <w:t>448</w:t>
      </w:r>
    </w:p>
    <w:p w14:paraId="11EEACBC" w14:textId="77777777" w:rsidR="00DE575E" w:rsidRDefault="00DE575E">
      <w:pPr>
        <w:rPr>
          <w:rFonts w:ascii="Times New Roman"/>
          <w:sz w:val="20"/>
        </w:rPr>
        <w:sectPr w:rsidR="00DE575E">
          <w:pgSz w:w="8510" w:h="12760"/>
          <w:pgMar w:top="660" w:right="720" w:bottom="280" w:left="600" w:header="720" w:footer="720" w:gutter="0"/>
          <w:cols w:space="720"/>
        </w:sectPr>
      </w:pPr>
    </w:p>
    <w:p w14:paraId="0C656225"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ІІ Особливе адміністративне пр</w:t>
      </w:r>
      <w:r>
        <w:rPr>
          <w:rFonts w:ascii="AdonisC" w:hAnsi="AdonisC"/>
          <w:i/>
          <w:color w:val="231F20"/>
          <w:sz w:val="18"/>
        </w:rPr>
        <w:t xml:space="preserve">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2872E19C" w14:textId="1A4E274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75409D2" wp14:editId="3B6E876D">
                <wp:extent cx="4140200" cy="6350"/>
                <wp:effectExtent l="0" t="0" r="12700" b="6350"/>
                <wp:docPr id="27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74" name="Line 27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2DAB6C" id="Group_x0020_27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La1ZB/AgAAmAUAAA4A&#10;AAAAAAAAAAAAAAAALAIAAGRycy9lMm9Eb2MueG1sUEsBAi0AFAAGAAgAAAAhAEynsJDZAAAAAwEA&#10;AA8AAAAAAAAAAAAAAAAA1wQAAGRycy9kb3ducmV2LnhtbFBLBQYAAAAABAAEAPMAAADdBQAAAAA=&#10;">
                <v:line id="Line_x0020_27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xdd8YAAADcAAAADwAAAGRycy9kb3ducmV2LnhtbESP0WrCQBRE3wX/YblCX4pu1KISXUUK&#10;hdIHbY0fcM1ek+Du3ZhdTdqv7xYKPg4zc4ZZbTprxJ0aXzlWMB4lIIhzpysuFByzt+EChA/IGo1j&#10;UvBNHjbrfm+FqXYtf9H9EAoRIexTVFCGUKdS+rwki37kauLonV1jMUTZFFI32Ea4NXKSJDNpseK4&#10;UGJNryXll8PNKsiuz8F87j9Mm+1PU3m67qY/t51ST4NuuwQRqAuP8H/7XSuYzF/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ucXXfGAAAA3AAAAA8AAAAAAAAA&#10;AAAAAAAAoQIAAGRycy9kb3ducmV2LnhtbFBLBQYAAAAABAAEAPkAAACUAwAAAAA=&#10;" strokecolor="#231f20" strokeweight=".5pt"/>
                <w10:anchorlock/>
              </v:group>
            </w:pict>
          </mc:Fallback>
        </mc:AlternateContent>
      </w:r>
    </w:p>
    <w:p w14:paraId="5A45F20A" w14:textId="77777777" w:rsidR="00DE575E" w:rsidRDefault="00DE575E">
      <w:pPr>
        <w:pStyle w:val="BodyText"/>
        <w:spacing w:before="7"/>
        <w:rPr>
          <w:rFonts w:ascii="AdonisC"/>
          <w:i/>
          <w:sz w:val="19"/>
        </w:rPr>
      </w:pPr>
    </w:p>
    <w:p w14:paraId="486357B4" w14:textId="77777777" w:rsidR="00DE575E" w:rsidRDefault="002E7560">
      <w:pPr>
        <w:pStyle w:val="BodyText"/>
        <w:spacing w:before="1" w:line="252" w:lineRule="auto"/>
        <w:ind w:left="250" w:right="410" w:firstLine="283"/>
        <w:jc w:val="both"/>
      </w:pPr>
      <w:r>
        <w:rPr>
          <w:color w:val="231F20"/>
        </w:rPr>
        <w:t>Держава також створює для державних службовців умови для підвищення рівня професійної компетентності через професійне навчання – через систему підготовки, перепідготовки, спеціалізації та підвищення кваліфікації, зокрем</w:t>
      </w:r>
      <w:r>
        <w:rPr>
          <w:color w:val="231F20"/>
        </w:rPr>
        <w:t>а у сфері публічного управління та адміністрування, у навчальних закладах, установах, організаціях незалежно від форми власності, які мають право надавати освітні послуги,</w:t>
      </w:r>
      <w:r>
        <w:rPr>
          <w:color w:val="231F20"/>
          <w:spacing w:val="-19"/>
        </w:rPr>
        <w:t xml:space="preserve"> </w:t>
      </w:r>
      <w:r>
        <w:rPr>
          <w:color w:val="231F20"/>
        </w:rPr>
        <w:t>зокрема</w:t>
      </w:r>
      <w:r>
        <w:rPr>
          <w:color w:val="231F20"/>
          <w:spacing w:val="-19"/>
        </w:rPr>
        <w:t xml:space="preserve"> </w:t>
      </w:r>
      <w:r>
        <w:rPr>
          <w:color w:val="231F20"/>
        </w:rPr>
        <w:t>за</w:t>
      </w:r>
      <w:r>
        <w:rPr>
          <w:color w:val="231F20"/>
          <w:spacing w:val="-19"/>
        </w:rPr>
        <w:t xml:space="preserve"> </w:t>
      </w:r>
      <w:r>
        <w:rPr>
          <w:color w:val="231F20"/>
        </w:rPr>
        <w:t>кордоном.</w:t>
      </w:r>
      <w:r>
        <w:rPr>
          <w:color w:val="231F20"/>
          <w:spacing w:val="-19"/>
        </w:rPr>
        <w:t xml:space="preserve"> </w:t>
      </w:r>
      <w:r>
        <w:rPr>
          <w:color w:val="231F20"/>
        </w:rPr>
        <w:t>Підвищення</w:t>
      </w:r>
      <w:r>
        <w:rPr>
          <w:color w:val="231F20"/>
          <w:spacing w:val="-19"/>
        </w:rPr>
        <w:t xml:space="preserve"> </w:t>
      </w:r>
      <w:r>
        <w:rPr>
          <w:color w:val="231F20"/>
        </w:rPr>
        <w:t>рівня</w:t>
      </w:r>
      <w:r>
        <w:rPr>
          <w:color w:val="231F20"/>
          <w:spacing w:val="-19"/>
        </w:rPr>
        <w:t xml:space="preserve"> </w:t>
      </w:r>
      <w:r>
        <w:rPr>
          <w:color w:val="231F20"/>
        </w:rPr>
        <w:t>професійної</w:t>
      </w:r>
      <w:r>
        <w:rPr>
          <w:color w:val="231F20"/>
          <w:spacing w:val="-19"/>
        </w:rPr>
        <w:t xml:space="preserve"> </w:t>
      </w:r>
      <w:r>
        <w:rPr>
          <w:color w:val="231F20"/>
        </w:rPr>
        <w:t>компе- тентності службовців провод</w:t>
      </w:r>
      <w:r>
        <w:rPr>
          <w:color w:val="231F20"/>
        </w:rPr>
        <w:t>иться упродовж проходження служби, а підвищення кваліфікації – не рідше одного разу на три</w:t>
      </w:r>
      <w:r>
        <w:rPr>
          <w:color w:val="231F20"/>
          <w:spacing w:val="-22"/>
        </w:rPr>
        <w:t xml:space="preserve"> </w:t>
      </w:r>
      <w:r>
        <w:rPr>
          <w:color w:val="231F20"/>
        </w:rPr>
        <w:t>роки.</w:t>
      </w:r>
    </w:p>
    <w:p w14:paraId="262867B6" w14:textId="77777777" w:rsidR="00DE575E" w:rsidRDefault="002E7560">
      <w:pPr>
        <w:pStyle w:val="BodyText"/>
        <w:spacing w:before="4" w:line="252" w:lineRule="auto"/>
        <w:ind w:left="250" w:right="410" w:firstLine="283"/>
        <w:jc w:val="both"/>
      </w:pPr>
      <w:r>
        <w:rPr>
          <w:color w:val="231F20"/>
        </w:rPr>
        <w:t xml:space="preserve">З метою підвищення рівня професійної компетентності держав- ного службовця може проводитися його </w:t>
      </w:r>
      <w:r>
        <w:rPr>
          <w:i/>
          <w:color w:val="231F20"/>
        </w:rPr>
        <w:t xml:space="preserve">стажування </w:t>
      </w:r>
      <w:r>
        <w:rPr>
          <w:color w:val="231F20"/>
        </w:rPr>
        <w:t>з відривом від служби строком від 1 до 6 місяців на</w:t>
      </w:r>
      <w:r>
        <w:rPr>
          <w:color w:val="231F20"/>
        </w:rPr>
        <w:t xml:space="preserve"> іншій посаді державної служби в іншому державному органі або за кордоном відповідно до законо- давства.</w:t>
      </w:r>
    </w:p>
    <w:p w14:paraId="771F8A5B" w14:textId="77777777" w:rsidR="00DE575E" w:rsidRDefault="002E7560">
      <w:pPr>
        <w:pStyle w:val="BodyText"/>
        <w:spacing w:before="3" w:line="252" w:lineRule="auto"/>
        <w:ind w:left="250" w:right="410" w:firstLine="283"/>
        <w:jc w:val="both"/>
        <w:rPr>
          <w:i/>
        </w:rPr>
      </w:pPr>
      <w:r>
        <w:rPr>
          <w:color w:val="231F20"/>
        </w:rPr>
        <w:t>Держава заохочує державних службовців до результативної, ефективної, доброчесної та ініціативної роботи. За бездоганну та ефективну державну службу або</w:t>
      </w:r>
      <w:r>
        <w:rPr>
          <w:color w:val="231F20"/>
        </w:rPr>
        <w:t xml:space="preserve"> за особливі заслуги до державних службовців застосовують такі </w:t>
      </w:r>
      <w:r>
        <w:rPr>
          <w:i/>
          <w:color w:val="231F20"/>
        </w:rPr>
        <w:t>види заохочень:</w:t>
      </w:r>
    </w:p>
    <w:p w14:paraId="100BABB7" w14:textId="77777777" w:rsidR="00DE575E" w:rsidRDefault="002E7560">
      <w:pPr>
        <w:pStyle w:val="ListParagraph"/>
        <w:numPr>
          <w:ilvl w:val="0"/>
          <w:numId w:val="50"/>
        </w:numPr>
        <w:tabs>
          <w:tab w:val="left" w:pos="818"/>
        </w:tabs>
        <w:spacing w:before="2"/>
        <w:ind w:firstLine="283"/>
        <w:rPr>
          <w:sz w:val="21"/>
        </w:rPr>
      </w:pPr>
      <w:r>
        <w:rPr>
          <w:color w:val="231F20"/>
          <w:sz w:val="21"/>
        </w:rPr>
        <w:t>оголошення</w:t>
      </w:r>
      <w:r>
        <w:rPr>
          <w:color w:val="231F20"/>
          <w:spacing w:val="-1"/>
          <w:sz w:val="21"/>
        </w:rPr>
        <w:t xml:space="preserve"> </w:t>
      </w:r>
      <w:r>
        <w:rPr>
          <w:color w:val="231F20"/>
          <w:sz w:val="21"/>
        </w:rPr>
        <w:t>подяки;</w:t>
      </w:r>
    </w:p>
    <w:p w14:paraId="2AC73943" w14:textId="77777777" w:rsidR="00DE575E" w:rsidRDefault="002E7560">
      <w:pPr>
        <w:pStyle w:val="ListParagraph"/>
        <w:numPr>
          <w:ilvl w:val="0"/>
          <w:numId w:val="50"/>
        </w:numPr>
        <w:tabs>
          <w:tab w:val="left" w:pos="818"/>
        </w:tabs>
        <w:spacing w:before="12" w:line="252" w:lineRule="auto"/>
        <w:ind w:right="411" w:firstLine="283"/>
        <w:jc w:val="both"/>
        <w:rPr>
          <w:sz w:val="21"/>
        </w:rPr>
      </w:pPr>
      <w:r>
        <w:rPr>
          <w:color w:val="231F20"/>
          <w:sz w:val="21"/>
        </w:rPr>
        <w:t>нагородження грамотою, почесною грамотою, іншими відом- чими відзнаками державного</w:t>
      </w:r>
      <w:r>
        <w:rPr>
          <w:color w:val="231F20"/>
          <w:spacing w:val="-2"/>
          <w:sz w:val="21"/>
        </w:rPr>
        <w:t xml:space="preserve"> </w:t>
      </w:r>
      <w:r>
        <w:rPr>
          <w:color w:val="231F20"/>
          <w:sz w:val="21"/>
        </w:rPr>
        <w:t>органу;</w:t>
      </w:r>
    </w:p>
    <w:p w14:paraId="37EC9881" w14:textId="77777777" w:rsidR="00DE575E" w:rsidRDefault="002E7560">
      <w:pPr>
        <w:pStyle w:val="ListParagraph"/>
        <w:numPr>
          <w:ilvl w:val="0"/>
          <w:numId w:val="50"/>
        </w:numPr>
        <w:tabs>
          <w:tab w:val="left" w:pos="818"/>
        </w:tabs>
        <w:ind w:firstLine="283"/>
        <w:rPr>
          <w:sz w:val="21"/>
        </w:rPr>
      </w:pPr>
      <w:r>
        <w:rPr>
          <w:color w:val="231F20"/>
          <w:spacing w:val="-3"/>
          <w:sz w:val="21"/>
        </w:rPr>
        <w:t xml:space="preserve">дострокове присвоєння рангу </w:t>
      </w:r>
      <w:r>
        <w:rPr>
          <w:color w:val="231F20"/>
          <w:sz w:val="21"/>
        </w:rPr>
        <w:t xml:space="preserve">в </w:t>
      </w:r>
      <w:r>
        <w:rPr>
          <w:color w:val="231F20"/>
          <w:spacing w:val="-5"/>
          <w:sz w:val="21"/>
        </w:rPr>
        <w:t xml:space="preserve">порядку, </w:t>
      </w:r>
      <w:r>
        <w:rPr>
          <w:color w:val="231F20"/>
          <w:spacing w:val="-3"/>
          <w:sz w:val="21"/>
        </w:rPr>
        <w:t>визначеному</w:t>
      </w:r>
      <w:r>
        <w:rPr>
          <w:color w:val="231F20"/>
          <w:spacing w:val="-8"/>
          <w:sz w:val="21"/>
        </w:rPr>
        <w:t xml:space="preserve"> </w:t>
      </w:r>
      <w:r>
        <w:rPr>
          <w:color w:val="231F20"/>
          <w:spacing w:val="-4"/>
          <w:sz w:val="21"/>
        </w:rPr>
        <w:t>законом;</w:t>
      </w:r>
    </w:p>
    <w:p w14:paraId="0AA36C8D" w14:textId="77777777" w:rsidR="00DE575E" w:rsidRDefault="002E7560">
      <w:pPr>
        <w:pStyle w:val="ListParagraph"/>
        <w:numPr>
          <w:ilvl w:val="0"/>
          <w:numId w:val="50"/>
        </w:numPr>
        <w:tabs>
          <w:tab w:val="left" w:pos="818"/>
        </w:tabs>
        <w:spacing w:before="13" w:line="252" w:lineRule="auto"/>
        <w:ind w:right="410" w:firstLine="283"/>
        <w:jc w:val="both"/>
        <w:rPr>
          <w:sz w:val="21"/>
        </w:rPr>
      </w:pPr>
      <w:r>
        <w:rPr>
          <w:color w:val="231F20"/>
          <w:sz w:val="21"/>
        </w:rPr>
        <w:t xml:space="preserve">представлення до нагородження урядовими відзнаками та відзначення урядовою нагородою (вітальний </w:t>
      </w:r>
      <w:r>
        <w:rPr>
          <w:color w:val="231F20"/>
          <w:spacing w:val="-4"/>
          <w:sz w:val="21"/>
        </w:rPr>
        <w:t xml:space="preserve">лист, </w:t>
      </w:r>
      <w:r>
        <w:rPr>
          <w:color w:val="231F20"/>
          <w:sz w:val="21"/>
        </w:rPr>
        <w:t>подяка, почесна грамота);</w:t>
      </w:r>
    </w:p>
    <w:p w14:paraId="3A880EFA" w14:textId="77777777" w:rsidR="00DE575E" w:rsidRDefault="002E7560">
      <w:pPr>
        <w:pStyle w:val="ListParagraph"/>
        <w:numPr>
          <w:ilvl w:val="0"/>
          <w:numId w:val="50"/>
        </w:numPr>
        <w:tabs>
          <w:tab w:val="left" w:pos="818"/>
        </w:tabs>
        <w:spacing w:before="2" w:line="252" w:lineRule="auto"/>
        <w:ind w:left="533" w:right="411" w:firstLine="0"/>
        <w:rPr>
          <w:sz w:val="21"/>
        </w:rPr>
      </w:pPr>
      <w:r>
        <w:rPr>
          <w:color w:val="231F20"/>
          <w:sz w:val="21"/>
        </w:rPr>
        <w:t>представлення до відзначення державними нагородами. Заохочення</w:t>
      </w:r>
      <w:r>
        <w:rPr>
          <w:color w:val="231F20"/>
          <w:spacing w:val="28"/>
          <w:sz w:val="21"/>
        </w:rPr>
        <w:t xml:space="preserve"> </w:t>
      </w:r>
      <w:r>
        <w:rPr>
          <w:color w:val="231F20"/>
          <w:sz w:val="21"/>
        </w:rPr>
        <w:t>не</w:t>
      </w:r>
      <w:r>
        <w:rPr>
          <w:color w:val="231F20"/>
          <w:spacing w:val="28"/>
          <w:sz w:val="21"/>
        </w:rPr>
        <w:t xml:space="preserve"> </w:t>
      </w:r>
      <w:r>
        <w:rPr>
          <w:color w:val="231F20"/>
          <w:sz w:val="21"/>
        </w:rPr>
        <w:t>застосовуються</w:t>
      </w:r>
      <w:r>
        <w:rPr>
          <w:color w:val="231F20"/>
          <w:spacing w:val="28"/>
          <w:sz w:val="21"/>
        </w:rPr>
        <w:t xml:space="preserve"> </w:t>
      </w:r>
      <w:r>
        <w:rPr>
          <w:color w:val="231F20"/>
          <w:sz w:val="21"/>
        </w:rPr>
        <w:t>до</w:t>
      </w:r>
      <w:r>
        <w:rPr>
          <w:color w:val="231F20"/>
          <w:spacing w:val="28"/>
          <w:sz w:val="21"/>
        </w:rPr>
        <w:t xml:space="preserve"> </w:t>
      </w:r>
      <w:r>
        <w:rPr>
          <w:color w:val="231F20"/>
          <w:sz w:val="21"/>
        </w:rPr>
        <w:t>державного</w:t>
      </w:r>
      <w:r>
        <w:rPr>
          <w:color w:val="231F20"/>
          <w:spacing w:val="28"/>
          <w:sz w:val="21"/>
        </w:rPr>
        <w:t xml:space="preserve"> </w:t>
      </w:r>
      <w:r>
        <w:rPr>
          <w:color w:val="231F20"/>
          <w:sz w:val="21"/>
        </w:rPr>
        <w:t>службовця</w:t>
      </w:r>
      <w:r>
        <w:rPr>
          <w:color w:val="231F20"/>
          <w:spacing w:val="28"/>
          <w:sz w:val="21"/>
        </w:rPr>
        <w:t xml:space="preserve"> </w:t>
      </w:r>
      <w:r>
        <w:rPr>
          <w:color w:val="231F20"/>
          <w:sz w:val="21"/>
        </w:rPr>
        <w:t>упро-</w:t>
      </w:r>
    </w:p>
    <w:p w14:paraId="10B357AD" w14:textId="77777777" w:rsidR="00DE575E" w:rsidRDefault="002E7560">
      <w:pPr>
        <w:pStyle w:val="BodyText"/>
        <w:spacing w:before="1"/>
        <w:ind w:left="250"/>
      </w:pPr>
      <w:r>
        <w:rPr>
          <w:color w:val="231F20"/>
        </w:rPr>
        <w:t>довж строку засто</w:t>
      </w:r>
      <w:r>
        <w:rPr>
          <w:color w:val="231F20"/>
        </w:rPr>
        <w:t>сування до нього дисциплінарного стягнення.</w:t>
      </w:r>
    </w:p>
    <w:p w14:paraId="4B374CEE" w14:textId="77777777" w:rsidR="00DE575E" w:rsidRDefault="00DE575E">
      <w:pPr>
        <w:pStyle w:val="BodyText"/>
        <w:rPr>
          <w:sz w:val="24"/>
        </w:rPr>
      </w:pPr>
    </w:p>
    <w:p w14:paraId="238F326F" w14:textId="77777777" w:rsidR="00DE575E" w:rsidRDefault="00DE575E">
      <w:pPr>
        <w:pStyle w:val="BodyText"/>
        <w:spacing w:before="4"/>
        <w:rPr>
          <w:sz w:val="20"/>
        </w:rPr>
      </w:pPr>
    </w:p>
    <w:p w14:paraId="478E9C59" w14:textId="77777777" w:rsidR="00DE575E" w:rsidRDefault="002E7560">
      <w:pPr>
        <w:pStyle w:val="Heading4"/>
        <w:numPr>
          <w:ilvl w:val="1"/>
          <w:numId w:val="54"/>
        </w:numPr>
        <w:tabs>
          <w:tab w:val="left" w:pos="2039"/>
        </w:tabs>
        <w:ind w:left="2038"/>
        <w:jc w:val="left"/>
      </w:pPr>
      <w:r>
        <w:rPr>
          <w:color w:val="231F20"/>
        </w:rPr>
        <w:t>Припинення державної</w:t>
      </w:r>
      <w:r>
        <w:rPr>
          <w:color w:val="231F20"/>
          <w:spacing w:val="-2"/>
        </w:rPr>
        <w:t xml:space="preserve"> </w:t>
      </w:r>
      <w:r>
        <w:rPr>
          <w:color w:val="231F20"/>
        </w:rPr>
        <w:t>служби</w:t>
      </w:r>
    </w:p>
    <w:p w14:paraId="4510DBDF" w14:textId="77777777" w:rsidR="00DE575E" w:rsidRDefault="00DE575E">
      <w:pPr>
        <w:pStyle w:val="BodyText"/>
        <w:rPr>
          <w:b/>
          <w:sz w:val="26"/>
        </w:rPr>
      </w:pPr>
    </w:p>
    <w:p w14:paraId="32CFD62D" w14:textId="77777777" w:rsidR="00DE575E" w:rsidRDefault="002E7560">
      <w:pPr>
        <w:pStyle w:val="BodyText"/>
        <w:spacing w:before="224" w:line="252" w:lineRule="auto"/>
        <w:ind w:left="250" w:right="411" w:firstLine="283"/>
        <w:jc w:val="both"/>
      </w:pPr>
      <w:r>
        <w:rPr>
          <w:color w:val="231F20"/>
        </w:rPr>
        <w:t>Службова кар’єра держаного службовця закінчується припинен- ням державної служби.</w:t>
      </w:r>
    </w:p>
    <w:p w14:paraId="6A583FDB" w14:textId="77777777" w:rsidR="00DE575E" w:rsidRDefault="002E7560">
      <w:pPr>
        <w:spacing w:before="1"/>
        <w:ind w:left="533"/>
        <w:rPr>
          <w:sz w:val="21"/>
        </w:rPr>
      </w:pPr>
      <w:r>
        <w:rPr>
          <w:i/>
          <w:color w:val="231F20"/>
          <w:sz w:val="21"/>
        </w:rPr>
        <w:t>Державна служба припиняється</w:t>
      </w:r>
      <w:r>
        <w:rPr>
          <w:color w:val="231F20"/>
          <w:sz w:val="21"/>
        </w:rPr>
        <w:t>:</w:t>
      </w:r>
    </w:p>
    <w:p w14:paraId="5696A7A6" w14:textId="77777777" w:rsidR="00DE575E" w:rsidRDefault="002E7560">
      <w:pPr>
        <w:pStyle w:val="ListParagraph"/>
        <w:numPr>
          <w:ilvl w:val="0"/>
          <w:numId w:val="49"/>
        </w:numPr>
        <w:tabs>
          <w:tab w:val="left" w:pos="818"/>
        </w:tabs>
        <w:spacing w:before="13"/>
        <w:ind w:firstLine="283"/>
        <w:rPr>
          <w:sz w:val="21"/>
        </w:rPr>
      </w:pPr>
      <w:r>
        <w:rPr>
          <w:color w:val="231F20"/>
          <w:sz w:val="21"/>
        </w:rPr>
        <w:t>у разі втрати права на державну службу або його</w:t>
      </w:r>
      <w:r>
        <w:rPr>
          <w:color w:val="231F20"/>
          <w:spacing w:val="-13"/>
          <w:sz w:val="21"/>
        </w:rPr>
        <w:t xml:space="preserve"> </w:t>
      </w:r>
      <w:r>
        <w:rPr>
          <w:color w:val="231F20"/>
          <w:sz w:val="21"/>
        </w:rPr>
        <w:t>обмеження;</w:t>
      </w:r>
    </w:p>
    <w:p w14:paraId="6CAA6524" w14:textId="77777777" w:rsidR="00DE575E" w:rsidRDefault="002E7560">
      <w:pPr>
        <w:pStyle w:val="ListParagraph"/>
        <w:numPr>
          <w:ilvl w:val="0"/>
          <w:numId w:val="49"/>
        </w:numPr>
        <w:tabs>
          <w:tab w:val="left" w:pos="818"/>
        </w:tabs>
        <w:spacing w:before="12" w:line="252" w:lineRule="auto"/>
        <w:ind w:right="411" w:firstLine="283"/>
        <w:jc w:val="both"/>
        <w:rPr>
          <w:sz w:val="21"/>
        </w:rPr>
      </w:pPr>
      <w:r>
        <w:rPr>
          <w:color w:val="231F20"/>
          <w:sz w:val="21"/>
        </w:rPr>
        <w:t>у разі закінчення строку призначення на посаду державної служби;</w:t>
      </w:r>
    </w:p>
    <w:p w14:paraId="5FF70E1D" w14:textId="77777777" w:rsidR="00DE575E" w:rsidRDefault="00DE575E">
      <w:pPr>
        <w:pStyle w:val="BodyText"/>
        <w:spacing w:before="7"/>
        <w:rPr>
          <w:sz w:val="12"/>
        </w:rPr>
      </w:pPr>
    </w:p>
    <w:p w14:paraId="23E54814" w14:textId="77777777" w:rsidR="00DE575E" w:rsidRDefault="002E7560">
      <w:pPr>
        <w:spacing w:before="91"/>
        <w:ind w:right="411"/>
        <w:jc w:val="right"/>
        <w:rPr>
          <w:rFonts w:ascii="Times New Roman"/>
          <w:sz w:val="20"/>
        </w:rPr>
      </w:pPr>
      <w:r>
        <w:rPr>
          <w:rFonts w:ascii="Times New Roman"/>
          <w:color w:val="231F20"/>
          <w:w w:val="90"/>
          <w:sz w:val="20"/>
        </w:rPr>
        <w:t>449</w:t>
      </w:r>
    </w:p>
    <w:p w14:paraId="2E0ADD1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1CF98A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42164AA" w14:textId="4881BFD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FD82B98" wp14:editId="2792DF00">
                <wp:extent cx="4140200" cy="6350"/>
                <wp:effectExtent l="0" t="0" r="12700" b="6350"/>
                <wp:docPr id="27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72" name="Line 2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0F6B86" id="Group_x0020_2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qYXYLn4CAACYBQAADgAA&#10;AAAAAAAAAAAAAAAsAgAAZHJzL2Uyb0RvYy54bWxQSwECLQAUAAYACAAAACEATKewkNkAAAADAQAA&#10;DwAAAAAAAAAAAAAAAADWBAAAZHJzL2Rvd25yZXYueG1sUEsFBgAAAAAEAAQA8wAAANwFAAAAAA==&#10;">
                <v:line id="Line_x0020_2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lgmMYAAADcAAAADwAAAGRycy9kb3ducmV2LnhtbESP0WrCQBRE3wv+w3KFvpS6aYRaUleR&#10;giB90Gr8gGv2Ngnu3o3Z1US/3hUKfRxm5gwznffWiAu1vnas4G2UgCAunK65VLDPl68fIHxA1mgc&#10;k4IreZjPBk9TzLTreEuXXShFhLDPUEEVQpNJ6YuKLPqRa4ij9+taiyHKtpS6xS7CrZFpkrxLizXH&#10;hQob+qqoOO7OVkF+egnmZ/NtunxzGMvDaT2+nddKPQ/7xSeIQH34D/+1V1pBOknh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5YJjGAAAA3AAAAA8AAAAAAAAA&#10;AAAAAAAAoQIAAGRycy9kb3ducmV2LnhtbFBLBQYAAAAABAAEAPkAAACUAwAAAAA=&#10;" strokecolor="#231f20" strokeweight=".5pt"/>
                <w10:anchorlock/>
              </v:group>
            </w:pict>
          </mc:Fallback>
        </mc:AlternateContent>
      </w:r>
    </w:p>
    <w:p w14:paraId="501FA799" w14:textId="77777777" w:rsidR="00DE575E" w:rsidRDefault="00DE575E">
      <w:pPr>
        <w:pStyle w:val="BodyText"/>
        <w:spacing w:before="7"/>
        <w:rPr>
          <w:rFonts w:ascii="AdonisC"/>
          <w:i/>
          <w:sz w:val="11"/>
        </w:rPr>
      </w:pPr>
    </w:p>
    <w:p w14:paraId="696D6A40" w14:textId="77777777" w:rsidR="00DE575E" w:rsidRDefault="002E7560">
      <w:pPr>
        <w:pStyle w:val="ListParagraph"/>
        <w:numPr>
          <w:ilvl w:val="1"/>
          <w:numId w:val="50"/>
        </w:numPr>
        <w:tabs>
          <w:tab w:val="left" w:pos="1101"/>
        </w:tabs>
        <w:spacing w:before="101"/>
        <w:ind w:firstLine="284"/>
        <w:rPr>
          <w:sz w:val="21"/>
        </w:rPr>
      </w:pPr>
      <w:r>
        <w:rPr>
          <w:color w:val="231F20"/>
          <w:sz w:val="21"/>
        </w:rPr>
        <w:t>за ініціативою державного службовця або за угодою</w:t>
      </w:r>
      <w:r>
        <w:rPr>
          <w:color w:val="231F20"/>
          <w:spacing w:val="-13"/>
          <w:sz w:val="21"/>
        </w:rPr>
        <w:t xml:space="preserve"> </w:t>
      </w:r>
      <w:r>
        <w:rPr>
          <w:color w:val="231F20"/>
          <w:sz w:val="21"/>
        </w:rPr>
        <w:t>сторін;</w:t>
      </w:r>
    </w:p>
    <w:p w14:paraId="25921901" w14:textId="77777777" w:rsidR="00DE575E" w:rsidRDefault="002E7560">
      <w:pPr>
        <w:pStyle w:val="ListParagraph"/>
        <w:numPr>
          <w:ilvl w:val="1"/>
          <w:numId w:val="50"/>
        </w:numPr>
        <w:tabs>
          <w:tab w:val="left" w:pos="1101"/>
        </w:tabs>
        <w:spacing w:before="12"/>
        <w:ind w:firstLine="284"/>
        <w:rPr>
          <w:sz w:val="21"/>
        </w:rPr>
      </w:pPr>
      <w:r>
        <w:rPr>
          <w:color w:val="231F20"/>
          <w:sz w:val="21"/>
        </w:rPr>
        <w:t>за ін</w:t>
      </w:r>
      <w:r>
        <w:rPr>
          <w:color w:val="231F20"/>
          <w:sz w:val="21"/>
        </w:rPr>
        <w:t xml:space="preserve">іціативою </w:t>
      </w:r>
      <w:r>
        <w:rPr>
          <w:color w:val="231F20"/>
          <w:spacing w:val="-3"/>
          <w:sz w:val="21"/>
        </w:rPr>
        <w:t xml:space="preserve">суб’єкта </w:t>
      </w:r>
      <w:r>
        <w:rPr>
          <w:color w:val="231F20"/>
          <w:sz w:val="21"/>
        </w:rPr>
        <w:t>призначення;</w:t>
      </w:r>
    </w:p>
    <w:p w14:paraId="70D60996" w14:textId="77777777" w:rsidR="00DE575E" w:rsidRDefault="002E7560">
      <w:pPr>
        <w:pStyle w:val="ListParagraph"/>
        <w:numPr>
          <w:ilvl w:val="1"/>
          <w:numId w:val="50"/>
        </w:numPr>
        <w:tabs>
          <w:tab w:val="left" w:pos="1101"/>
        </w:tabs>
        <w:spacing w:before="13"/>
        <w:ind w:firstLine="284"/>
        <w:rPr>
          <w:sz w:val="21"/>
        </w:rPr>
      </w:pPr>
      <w:r>
        <w:rPr>
          <w:color w:val="231F20"/>
          <w:sz w:val="21"/>
        </w:rPr>
        <w:t>у</w:t>
      </w:r>
      <w:r>
        <w:rPr>
          <w:color w:val="231F20"/>
          <w:spacing w:val="-11"/>
          <w:sz w:val="21"/>
        </w:rPr>
        <w:t xml:space="preserve"> </w:t>
      </w:r>
      <w:r>
        <w:rPr>
          <w:color w:val="231F20"/>
          <w:spacing w:val="-4"/>
          <w:sz w:val="21"/>
        </w:rPr>
        <w:t>разі</w:t>
      </w:r>
      <w:r>
        <w:rPr>
          <w:color w:val="231F20"/>
          <w:spacing w:val="-11"/>
          <w:sz w:val="21"/>
        </w:rPr>
        <w:t xml:space="preserve"> </w:t>
      </w:r>
      <w:r>
        <w:rPr>
          <w:color w:val="231F20"/>
          <w:spacing w:val="-5"/>
          <w:sz w:val="21"/>
        </w:rPr>
        <w:t>настання</w:t>
      </w:r>
      <w:r>
        <w:rPr>
          <w:color w:val="231F20"/>
          <w:spacing w:val="-11"/>
          <w:sz w:val="21"/>
        </w:rPr>
        <w:t xml:space="preserve"> </w:t>
      </w:r>
      <w:r>
        <w:rPr>
          <w:color w:val="231F20"/>
          <w:spacing w:val="-5"/>
          <w:sz w:val="21"/>
        </w:rPr>
        <w:t>обставин,</w:t>
      </w:r>
      <w:r>
        <w:rPr>
          <w:color w:val="231F20"/>
          <w:spacing w:val="-11"/>
          <w:sz w:val="21"/>
        </w:rPr>
        <w:t xml:space="preserve"> </w:t>
      </w:r>
      <w:r>
        <w:rPr>
          <w:color w:val="231F20"/>
          <w:spacing w:val="-3"/>
          <w:sz w:val="21"/>
        </w:rPr>
        <w:t>що</w:t>
      </w:r>
      <w:r>
        <w:rPr>
          <w:color w:val="231F20"/>
          <w:spacing w:val="-11"/>
          <w:sz w:val="21"/>
        </w:rPr>
        <w:t xml:space="preserve"> </w:t>
      </w:r>
      <w:r>
        <w:rPr>
          <w:color w:val="231F20"/>
          <w:spacing w:val="-4"/>
          <w:sz w:val="21"/>
        </w:rPr>
        <w:t>склалися</w:t>
      </w:r>
      <w:r>
        <w:rPr>
          <w:color w:val="231F20"/>
          <w:spacing w:val="-11"/>
          <w:sz w:val="21"/>
        </w:rPr>
        <w:t xml:space="preserve"> </w:t>
      </w:r>
      <w:r>
        <w:rPr>
          <w:color w:val="231F20"/>
          <w:spacing w:val="-5"/>
          <w:sz w:val="21"/>
        </w:rPr>
        <w:t>незалежно</w:t>
      </w:r>
      <w:r>
        <w:rPr>
          <w:color w:val="231F20"/>
          <w:spacing w:val="-11"/>
          <w:sz w:val="21"/>
        </w:rPr>
        <w:t xml:space="preserve"> </w:t>
      </w:r>
      <w:r>
        <w:rPr>
          <w:color w:val="231F20"/>
          <w:spacing w:val="-4"/>
          <w:sz w:val="21"/>
        </w:rPr>
        <w:t>від</w:t>
      </w:r>
      <w:r>
        <w:rPr>
          <w:color w:val="231F20"/>
          <w:spacing w:val="-11"/>
          <w:sz w:val="21"/>
        </w:rPr>
        <w:t xml:space="preserve"> </w:t>
      </w:r>
      <w:r>
        <w:rPr>
          <w:color w:val="231F20"/>
          <w:spacing w:val="-4"/>
          <w:sz w:val="21"/>
        </w:rPr>
        <w:t>волі</w:t>
      </w:r>
      <w:r>
        <w:rPr>
          <w:color w:val="231F20"/>
          <w:spacing w:val="-11"/>
          <w:sz w:val="21"/>
        </w:rPr>
        <w:t xml:space="preserve"> </w:t>
      </w:r>
      <w:r>
        <w:rPr>
          <w:color w:val="231F20"/>
          <w:spacing w:val="-5"/>
          <w:sz w:val="21"/>
        </w:rPr>
        <w:t>сторін;</w:t>
      </w:r>
    </w:p>
    <w:p w14:paraId="5E3AB19B" w14:textId="77777777" w:rsidR="00DE575E" w:rsidRDefault="002E7560">
      <w:pPr>
        <w:pStyle w:val="ListParagraph"/>
        <w:numPr>
          <w:ilvl w:val="1"/>
          <w:numId w:val="50"/>
        </w:numPr>
        <w:tabs>
          <w:tab w:val="left" w:pos="1101"/>
        </w:tabs>
        <w:spacing w:before="13" w:line="252" w:lineRule="auto"/>
        <w:ind w:right="128" w:firstLine="284"/>
        <w:jc w:val="both"/>
        <w:rPr>
          <w:sz w:val="21"/>
        </w:rPr>
      </w:pPr>
      <w:r>
        <w:rPr>
          <w:color w:val="231F20"/>
          <w:sz w:val="21"/>
        </w:rPr>
        <w:t>у</w:t>
      </w:r>
      <w:r>
        <w:rPr>
          <w:color w:val="231F20"/>
          <w:spacing w:val="-13"/>
          <w:sz w:val="21"/>
        </w:rPr>
        <w:t xml:space="preserve"> </w:t>
      </w:r>
      <w:r>
        <w:rPr>
          <w:color w:val="231F20"/>
          <w:sz w:val="21"/>
        </w:rPr>
        <w:t>разі</w:t>
      </w:r>
      <w:r>
        <w:rPr>
          <w:color w:val="231F20"/>
          <w:spacing w:val="-13"/>
          <w:sz w:val="21"/>
        </w:rPr>
        <w:t xml:space="preserve"> </w:t>
      </w:r>
      <w:r>
        <w:rPr>
          <w:color w:val="231F20"/>
          <w:sz w:val="21"/>
        </w:rPr>
        <w:t>незгоди</w:t>
      </w:r>
      <w:r>
        <w:rPr>
          <w:color w:val="231F20"/>
          <w:spacing w:val="-13"/>
          <w:sz w:val="21"/>
        </w:rPr>
        <w:t xml:space="preserve"> </w:t>
      </w:r>
      <w:r>
        <w:rPr>
          <w:color w:val="231F20"/>
          <w:sz w:val="21"/>
        </w:rPr>
        <w:t>державного</w:t>
      </w:r>
      <w:r>
        <w:rPr>
          <w:color w:val="231F20"/>
          <w:spacing w:val="-13"/>
          <w:sz w:val="21"/>
        </w:rPr>
        <w:t xml:space="preserve"> </w:t>
      </w:r>
      <w:r>
        <w:rPr>
          <w:color w:val="231F20"/>
          <w:sz w:val="21"/>
        </w:rPr>
        <w:t>службовця</w:t>
      </w:r>
      <w:r>
        <w:rPr>
          <w:color w:val="231F20"/>
          <w:spacing w:val="-13"/>
          <w:sz w:val="21"/>
        </w:rPr>
        <w:t xml:space="preserve"> </w:t>
      </w:r>
      <w:r>
        <w:rPr>
          <w:color w:val="231F20"/>
          <w:sz w:val="21"/>
        </w:rPr>
        <w:t>на</w:t>
      </w:r>
      <w:r>
        <w:rPr>
          <w:color w:val="231F20"/>
          <w:spacing w:val="-13"/>
          <w:sz w:val="21"/>
        </w:rPr>
        <w:t xml:space="preserve"> </w:t>
      </w:r>
      <w:r>
        <w:rPr>
          <w:color w:val="231F20"/>
          <w:sz w:val="21"/>
        </w:rPr>
        <w:t>проходження</w:t>
      </w:r>
      <w:r>
        <w:rPr>
          <w:color w:val="231F20"/>
          <w:spacing w:val="-13"/>
          <w:sz w:val="21"/>
        </w:rPr>
        <w:t xml:space="preserve"> </w:t>
      </w:r>
      <w:r>
        <w:rPr>
          <w:color w:val="231F20"/>
          <w:sz w:val="21"/>
        </w:rPr>
        <w:t>держав- ної служби у зв’язку із зміною її істотних</w:t>
      </w:r>
      <w:r>
        <w:rPr>
          <w:color w:val="231F20"/>
          <w:spacing w:val="-8"/>
          <w:sz w:val="21"/>
        </w:rPr>
        <w:t xml:space="preserve"> </w:t>
      </w:r>
      <w:r>
        <w:rPr>
          <w:color w:val="231F20"/>
          <w:sz w:val="21"/>
        </w:rPr>
        <w:t>умов;</w:t>
      </w:r>
    </w:p>
    <w:p w14:paraId="0CBC79BA" w14:textId="77777777" w:rsidR="00DE575E" w:rsidRDefault="002E7560">
      <w:pPr>
        <w:pStyle w:val="ListParagraph"/>
        <w:numPr>
          <w:ilvl w:val="1"/>
          <w:numId w:val="50"/>
        </w:numPr>
        <w:tabs>
          <w:tab w:val="left" w:pos="1101"/>
        </w:tabs>
        <w:spacing w:line="252" w:lineRule="auto"/>
        <w:ind w:right="128" w:firstLine="284"/>
        <w:jc w:val="both"/>
        <w:rPr>
          <w:sz w:val="21"/>
        </w:rPr>
      </w:pPr>
      <w:r>
        <w:rPr>
          <w:color w:val="231F20"/>
          <w:sz w:val="21"/>
        </w:rPr>
        <w:t xml:space="preserve">у разі досягнення державним службовцем 65-річного </w:t>
      </w:r>
      <w:r>
        <w:rPr>
          <w:color w:val="231F20"/>
          <w:spacing w:val="-4"/>
          <w:sz w:val="21"/>
        </w:rPr>
        <w:t xml:space="preserve">віку, </w:t>
      </w:r>
      <w:r>
        <w:rPr>
          <w:color w:val="231F20"/>
          <w:sz w:val="21"/>
        </w:rPr>
        <w:t>якщо інше не передбачено</w:t>
      </w:r>
      <w:r>
        <w:rPr>
          <w:color w:val="231F20"/>
          <w:spacing w:val="-1"/>
          <w:sz w:val="21"/>
        </w:rPr>
        <w:t xml:space="preserve"> </w:t>
      </w:r>
      <w:r>
        <w:rPr>
          <w:color w:val="231F20"/>
          <w:sz w:val="21"/>
        </w:rPr>
        <w:t>законом;</w:t>
      </w:r>
    </w:p>
    <w:p w14:paraId="3596960F" w14:textId="77777777" w:rsidR="00DE575E" w:rsidRDefault="002E7560">
      <w:pPr>
        <w:pStyle w:val="ListParagraph"/>
        <w:numPr>
          <w:ilvl w:val="1"/>
          <w:numId w:val="50"/>
        </w:numPr>
        <w:tabs>
          <w:tab w:val="left" w:pos="1101"/>
        </w:tabs>
        <w:ind w:firstLine="284"/>
        <w:rPr>
          <w:sz w:val="21"/>
        </w:rPr>
      </w:pPr>
      <w:r>
        <w:rPr>
          <w:color w:val="231F20"/>
          <w:sz w:val="21"/>
        </w:rPr>
        <w:t>у</w:t>
      </w:r>
      <w:r>
        <w:rPr>
          <w:color w:val="231F20"/>
          <w:spacing w:val="18"/>
          <w:sz w:val="21"/>
        </w:rPr>
        <w:t xml:space="preserve"> </w:t>
      </w:r>
      <w:r>
        <w:rPr>
          <w:color w:val="231F20"/>
          <w:sz w:val="21"/>
        </w:rPr>
        <w:t>разі</w:t>
      </w:r>
      <w:r>
        <w:rPr>
          <w:color w:val="231F20"/>
          <w:spacing w:val="18"/>
          <w:sz w:val="21"/>
        </w:rPr>
        <w:t xml:space="preserve"> </w:t>
      </w:r>
      <w:r>
        <w:rPr>
          <w:color w:val="231F20"/>
          <w:sz w:val="21"/>
        </w:rPr>
        <w:t>застосування</w:t>
      </w:r>
      <w:r>
        <w:rPr>
          <w:color w:val="231F20"/>
          <w:spacing w:val="18"/>
          <w:sz w:val="21"/>
        </w:rPr>
        <w:t xml:space="preserve"> </w:t>
      </w:r>
      <w:r>
        <w:rPr>
          <w:color w:val="231F20"/>
          <w:sz w:val="21"/>
        </w:rPr>
        <w:t>заборони,</w:t>
      </w:r>
      <w:r>
        <w:rPr>
          <w:color w:val="231F20"/>
          <w:spacing w:val="18"/>
          <w:sz w:val="21"/>
        </w:rPr>
        <w:t xml:space="preserve"> </w:t>
      </w:r>
      <w:r>
        <w:rPr>
          <w:color w:val="231F20"/>
          <w:sz w:val="21"/>
        </w:rPr>
        <w:t>передбаченої</w:t>
      </w:r>
      <w:r>
        <w:rPr>
          <w:color w:val="231F20"/>
          <w:spacing w:val="18"/>
          <w:sz w:val="21"/>
        </w:rPr>
        <w:t xml:space="preserve"> </w:t>
      </w:r>
      <w:r>
        <w:rPr>
          <w:color w:val="231F20"/>
          <w:sz w:val="21"/>
        </w:rPr>
        <w:t>Законом</w:t>
      </w:r>
      <w:r>
        <w:rPr>
          <w:color w:val="231F20"/>
          <w:spacing w:val="18"/>
          <w:sz w:val="21"/>
        </w:rPr>
        <w:t xml:space="preserve"> </w:t>
      </w:r>
      <w:r>
        <w:rPr>
          <w:color w:val="231F20"/>
          <w:spacing w:val="-3"/>
          <w:sz w:val="21"/>
        </w:rPr>
        <w:t>України</w:t>
      </w:r>
    </w:p>
    <w:p w14:paraId="6D078DD8" w14:textId="77777777" w:rsidR="00DE575E" w:rsidRDefault="002E7560">
      <w:pPr>
        <w:pStyle w:val="BodyText"/>
        <w:spacing w:before="13"/>
        <w:ind w:left="533"/>
      </w:pPr>
      <w:r>
        <w:rPr>
          <w:color w:val="231F20"/>
        </w:rPr>
        <w:t>«Про очищення влади»;</w:t>
      </w:r>
    </w:p>
    <w:p w14:paraId="55D993D9" w14:textId="77777777" w:rsidR="00DE575E" w:rsidRDefault="002E7560">
      <w:pPr>
        <w:pStyle w:val="ListParagraph"/>
        <w:numPr>
          <w:ilvl w:val="1"/>
          <w:numId w:val="50"/>
        </w:numPr>
        <w:tabs>
          <w:tab w:val="left" w:pos="1101"/>
        </w:tabs>
        <w:spacing w:before="13" w:line="252" w:lineRule="auto"/>
        <w:ind w:right="128" w:firstLine="284"/>
        <w:jc w:val="both"/>
        <w:rPr>
          <w:sz w:val="21"/>
        </w:rPr>
      </w:pPr>
      <w:r>
        <w:rPr>
          <w:color w:val="231F20"/>
          <w:sz w:val="21"/>
        </w:rPr>
        <w:t>з</w:t>
      </w:r>
      <w:r>
        <w:rPr>
          <w:color w:val="231F20"/>
          <w:spacing w:val="-12"/>
          <w:sz w:val="21"/>
        </w:rPr>
        <w:t xml:space="preserve"> </w:t>
      </w:r>
      <w:r>
        <w:rPr>
          <w:color w:val="231F20"/>
          <w:sz w:val="21"/>
        </w:rPr>
        <w:t>підстав,</w:t>
      </w:r>
      <w:r>
        <w:rPr>
          <w:color w:val="231F20"/>
          <w:spacing w:val="-12"/>
          <w:sz w:val="21"/>
        </w:rPr>
        <w:t xml:space="preserve"> </w:t>
      </w:r>
      <w:r>
        <w:rPr>
          <w:color w:val="231F20"/>
          <w:sz w:val="21"/>
        </w:rPr>
        <w:t>передбачених</w:t>
      </w:r>
      <w:r>
        <w:rPr>
          <w:color w:val="231F20"/>
          <w:spacing w:val="-12"/>
          <w:sz w:val="21"/>
        </w:rPr>
        <w:t xml:space="preserve"> </w:t>
      </w:r>
      <w:r>
        <w:rPr>
          <w:color w:val="231F20"/>
          <w:sz w:val="21"/>
        </w:rPr>
        <w:t>контрактом</w:t>
      </w:r>
      <w:r>
        <w:rPr>
          <w:color w:val="231F20"/>
          <w:spacing w:val="-12"/>
          <w:sz w:val="21"/>
        </w:rPr>
        <w:t xml:space="preserve"> </w:t>
      </w:r>
      <w:r>
        <w:rPr>
          <w:color w:val="231F20"/>
          <w:sz w:val="21"/>
        </w:rPr>
        <w:t>про</w:t>
      </w:r>
      <w:r>
        <w:rPr>
          <w:color w:val="231F20"/>
          <w:spacing w:val="-12"/>
          <w:sz w:val="21"/>
        </w:rPr>
        <w:t xml:space="preserve"> </w:t>
      </w:r>
      <w:r>
        <w:rPr>
          <w:color w:val="231F20"/>
          <w:sz w:val="21"/>
        </w:rPr>
        <w:t>проходження</w:t>
      </w:r>
      <w:r>
        <w:rPr>
          <w:color w:val="231F20"/>
          <w:spacing w:val="-12"/>
          <w:sz w:val="21"/>
        </w:rPr>
        <w:t xml:space="preserve"> </w:t>
      </w:r>
      <w:r>
        <w:rPr>
          <w:color w:val="231F20"/>
          <w:sz w:val="21"/>
        </w:rPr>
        <w:t>держав- ної служби (у разі його</w:t>
      </w:r>
      <w:r>
        <w:rPr>
          <w:color w:val="231F20"/>
          <w:spacing w:val="-3"/>
          <w:sz w:val="21"/>
        </w:rPr>
        <w:t xml:space="preserve"> </w:t>
      </w:r>
      <w:r>
        <w:rPr>
          <w:color w:val="231F20"/>
          <w:sz w:val="21"/>
        </w:rPr>
        <w:t>укладення).</w:t>
      </w:r>
    </w:p>
    <w:p w14:paraId="1709D9C1" w14:textId="77777777" w:rsidR="00DE575E" w:rsidRDefault="002E7560">
      <w:pPr>
        <w:spacing w:before="1" w:line="252" w:lineRule="auto"/>
        <w:ind w:left="533" w:right="128" w:firstLine="283"/>
        <w:jc w:val="both"/>
        <w:rPr>
          <w:sz w:val="21"/>
        </w:rPr>
      </w:pPr>
      <w:r>
        <w:rPr>
          <w:color w:val="231F20"/>
          <w:sz w:val="21"/>
        </w:rPr>
        <w:t xml:space="preserve">Зокрема, підставами для припинення державної служби </w:t>
      </w:r>
      <w:r>
        <w:rPr>
          <w:i/>
          <w:color w:val="231F20"/>
          <w:sz w:val="21"/>
        </w:rPr>
        <w:t xml:space="preserve">в разі втрати державним службовцем права на державну службу або його обмеження </w:t>
      </w:r>
      <w:r>
        <w:rPr>
          <w:color w:val="231F20"/>
          <w:sz w:val="21"/>
        </w:rPr>
        <w:t>є:</w:t>
      </w:r>
    </w:p>
    <w:p w14:paraId="6FF3867F" w14:textId="77777777" w:rsidR="00DE575E" w:rsidRDefault="002E7560">
      <w:pPr>
        <w:pStyle w:val="ListParagraph"/>
        <w:numPr>
          <w:ilvl w:val="0"/>
          <w:numId w:val="48"/>
        </w:numPr>
        <w:tabs>
          <w:tab w:val="left" w:pos="1101"/>
        </w:tabs>
        <w:spacing w:line="252" w:lineRule="auto"/>
        <w:ind w:right="127" w:firstLine="284"/>
        <w:jc w:val="both"/>
        <w:rPr>
          <w:sz w:val="21"/>
        </w:rPr>
      </w:pPr>
      <w:r>
        <w:rPr>
          <w:color w:val="231F20"/>
          <w:sz w:val="21"/>
        </w:rPr>
        <w:t xml:space="preserve">припинення громадянства </w:t>
      </w:r>
      <w:r>
        <w:rPr>
          <w:color w:val="231F20"/>
          <w:spacing w:val="-3"/>
          <w:sz w:val="21"/>
        </w:rPr>
        <w:t xml:space="preserve">України </w:t>
      </w:r>
      <w:r>
        <w:rPr>
          <w:color w:val="231F20"/>
          <w:sz w:val="21"/>
        </w:rPr>
        <w:t>або виїзд на постійне проживання за межі</w:t>
      </w:r>
      <w:r>
        <w:rPr>
          <w:color w:val="231F20"/>
          <w:spacing w:val="-1"/>
          <w:sz w:val="21"/>
        </w:rPr>
        <w:t xml:space="preserve"> </w:t>
      </w:r>
      <w:r>
        <w:rPr>
          <w:color w:val="231F20"/>
          <w:spacing w:val="-3"/>
          <w:sz w:val="21"/>
        </w:rPr>
        <w:t>України;</w:t>
      </w:r>
    </w:p>
    <w:p w14:paraId="6C7B979E" w14:textId="77777777" w:rsidR="00DE575E" w:rsidRDefault="002E7560">
      <w:pPr>
        <w:pStyle w:val="ListParagraph"/>
        <w:numPr>
          <w:ilvl w:val="0"/>
          <w:numId w:val="48"/>
        </w:numPr>
        <w:tabs>
          <w:tab w:val="left" w:pos="1101"/>
        </w:tabs>
        <w:spacing w:line="252" w:lineRule="auto"/>
        <w:ind w:right="127" w:firstLine="284"/>
        <w:jc w:val="both"/>
        <w:rPr>
          <w:sz w:val="21"/>
        </w:rPr>
      </w:pPr>
      <w:r>
        <w:rPr>
          <w:color w:val="231F20"/>
          <w:sz w:val="21"/>
        </w:rPr>
        <w:t>установлення факту наявності в державног</w:t>
      </w:r>
      <w:r>
        <w:rPr>
          <w:color w:val="231F20"/>
          <w:sz w:val="21"/>
        </w:rPr>
        <w:t>о службовця громадянства іноземної держави або набуття державним службов- цем громадянства іноземної держави під час проходження держав- ної служби;</w:t>
      </w:r>
    </w:p>
    <w:p w14:paraId="5C746E60" w14:textId="77777777" w:rsidR="00DE575E" w:rsidRDefault="002E7560">
      <w:pPr>
        <w:pStyle w:val="ListParagraph"/>
        <w:numPr>
          <w:ilvl w:val="0"/>
          <w:numId w:val="48"/>
        </w:numPr>
        <w:tabs>
          <w:tab w:val="left" w:pos="1101"/>
        </w:tabs>
        <w:spacing w:before="2" w:line="252" w:lineRule="auto"/>
        <w:ind w:right="127" w:firstLine="284"/>
        <w:jc w:val="both"/>
        <w:rPr>
          <w:sz w:val="21"/>
        </w:rPr>
      </w:pPr>
      <w:r>
        <w:rPr>
          <w:color w:val="231F20"/>
          <w:sz w:val="21"/>
        </w:rPr>
        <w:t xml:space="preserve">набрання законної сили рішенням </w:t>
      </w:r>
      <w:r>
        <w:rPr>
          <w:color w:val="231F20"/>
          <w:spacing w:val="-4"/>
          <w:sz w:val="21"/>
        </w:rPr>
        <w:t xml:space="preserve">суду </w:t>
      </w:r>
      <w:r>
        <w:rPr>
          <w:color w:val="231F20"/>
          <w:sz w:val="21"/>
        </w:rPr>
        <w:t>щодо притягнення державного службовця до адміністративної відповідальн</w:t>
      </w:r>
      <w:r>
        <w:rPr>
          <w:color w:val="231F20"/>
          <w:sz w:val="21"/>
        </w:rPr>
        <w:t>ості за пов’язане з корупцією правопорушення, яким на особу накладено стягнення у формі позбавлення права обіймати певні посади або займатися певною діяльністю, що пов’язані з виконанням функцій держави або місцевого</w:t>
      </w:r>
      <w:r>
        <w:rPr>
          <w:color w:val="231F20"/>
          <w:spacing w:val="-2"/>
          <w:sz w:val="21"/>
        </w:rPr>
        <w:t xml:space="preserve"> </w:t>
      </w:r>
      <w:r>
        <w:rPr>
          <w:color w:val="231F20"/>
          <w:sz w:val="21"/>
        </w:rPr>
        <w:t>самоврядування;</w:t>
      </w:r>
    </w:p>
    <w:p w14:paraId="79BB3AF4" w14:textId="77777777" w:rsidR="00DE575E" w:rsidRDefault="002E7560">
      <w:pPr>
        <w:pStyle w:val="ListParagraph"/>
        <w:numPr>
          <w:ilvl w:val="0"/>
          <w:numId w:val="48"/>
        </w:numPr>
        <w:tabs>
          <w:tab w:val="left" w:pos="1101"/>
        </w:tabs>
        <w:spacing w:before="3" w:line="252" w:lineRule="auto"/>
        <w:ind w:right="126" w:firstLine="284"/>
        <w:jc w:val="both"/>
        <w:rPr>
          <w:sz w:val="21"/>
        </w:rPr>
      </w:pPr>
      <w:r>
        <w:rPr>
          <w:color w:val="231F20"/>
          <w:sz w:val="21"/>
        </w:rPr>
        <w:t xml:space="preserve">набрання законної сили </w:t>
      </w:r>
      <w:r>
        <w:rPr>
          <w:color w:val="231F20"/>
          <w:sz w:val="21"/>
        </w:rPr>
        <w:t xml:space="preserve">обвинувальним вироком </w:t>
      </w:r>
      <w:r>
        <w:rPr>
          <w:color w:val="231F20"/>
          <w:spacing w:val="-4"/>
          <w:sz w:val="21"/>
        </w:rPr>
        <w:t xml:space="preserve">суду </w:t>
      </w:r>
      <w:r>
        <w:rPr>
          <w:color w:val="231F20"/>
          <w:sz w:val="21"/>
        </w:rPr>
        <w:t>щодо державного службовця за вчинення умисного злочину або встанов- лення заборони займатися діяльністю, пов’язаною з виконанням функцій</w:t>
      </w:r>
      <w:r>
        <w:rPr>
          <w:color w:val="231F20"/>
          <w:spacing w:val="-2"/>
          <w:sz w:val="21"/>
        </w:rPr>
        <w:t xml:space="preserve"> </w:t>
      </w:r>
      <w:r>
        <w:rPr>
          <w:color w:val="231F20"/>
          <w:sz w:val="21"/>
        </w:rPr>
        <w:t>держави;</w:t>
      </w:r>
    </w:p>
    <w:p w14:paraId="1ED199EE" w14:textId="77777777" w:rsidR="00DE575E" w:rsidRDefault="002E7560">
      <w:pPr>
        <w:pStyle w:val="BodyText"/>
        <w:spacing w:before="2" w:line="252" w:lineRule="auto"/>
        <w:ind w:left="533" w:right="127" w:firstLine="283"/>
        <w:jc w:val="both"/>
      </w:pPr>
      <w:r>
        <w:rPr>
          <w:color w:val="231F20"/>
        </w:rPr>
        <w:t>4</w:t>
      </w:r>
      <w:r>
        <w:rPr>
          <w:b/>
          <w:color w:val="231F20"/>
          <w:position w:val="7"/>
          <w:sz w:val="12"/>
        </w:rPr>
        <w:t>-1</w:t>
      </w:r>
      <w:r>
        <w:rPr>
          <w:color w:val="231F20"/>
        </w:rPr>
        <w:t>) набрання законної сили рішенням суду щодо такого держав- ного службовця про визнання його активів або активів, набутих за його дорученням іншими особами або в інших передбачених ст. 290 Цивільного процесуального кодексу України випадках, необґрунто- вани</w:t>
      </w:r>
      <w:r>
        <w:rPr>
          <w:color w:val="231F20"/>
        </w:rPr>
        <w:t>ми та їх стягнення в дохід держави;</w:t>
      </w:r>
    </w:p>
    <w:p w14:paraId="6A0AF987" w14:textId="77777777" w:rsidR="00DE575E" w:rsidRDefault="002E7560">
      <w:pPr>
        <w:pStyle w:val="ListParagraph"/>
        <w:numPr>
          <w:ilvl w:val="0"/>
          <w:numId w:val="48"/>
        </w:numPr>
        <w:tabs>
          <w:tab w:val="left" w:pos="1101"/>
        </w:tabs>
        <w:spacing w:before="2" w:line="252" w:lineRule="auto"/>
        <w:ind w:right="126" w:firstLine="284"/>
        <w:jc w:val="both"/>
        <w:rPr>
          <w:sz w:val="21"/>
        </w:rPr>
      </w:pPr>
      <w:r>
        <w:rPr>
          <w:color w:val="231F20"/>
          <w:sz w:val="21"/>
        </w:rPr>
        <w:t>наявність відносин прямої підпорядкованості  близьких  осіб у передбачених законом</w:t>
      </w:r>
      <w:r>
        <w:rPr>
          <w:color w:val="231F20"/>
          <w:spacing w:val="-2"/>
          <w:sz w:val="21"/>
        </w:rPr>
        <w:t xml:space="preserve"> </w:t>
      </w:r>
      <w:r>
        <w:rPr>
          <w:color w:val="231F20"/>
          <w:sz w:val="21"/>
        </w:rPr>
        <w:t>випадках.</w:t>
      </w:r>
    </w:p>
    <w:p w14:paraId="4213A77B" w14:textId="77777777" w:rsidR="00DE575E" w:rsidRDefault="002E7560">
      <w:pPr>
        <w:pStyle w:val="BodyText"/>
        <w:spacing w:before="1" w:line="252" w:lineRule="auto"/>
        <w:ind w:left="533" w:right="128" w:firstLine="283"/>
        <w:jc w:val="both"/>
      </w:pPr>
      <w:r>
        <w:rPr>
          <w:color w:val="231F20"/>
        </w:rPr>
        <w:t xml:space="preserve">Державний службовець має право звільнитися зі служби за влас- ним бажанням, попередивши про це </w:t>
      </w:r>
      <w:r>
        <w:rPr>
          <w:color w:val="231F20"/>
          <w:spacing w:val="-3"/>
        </w:rPr>
        <w:t xml:space="preserve">суб’єкта </w:t>
      </w:r>
      <w:r>
        <w:rPr>
          <w:color w:val="231F20"/>
        </w:rPr>
        <w:t>призначення в</w:t>
      </w:r>
      <w:r>
        <w:rPr>
          <w:color w:val="231F20"/>
          <w:spacing w:val="-34"/>
        </w:rPr>
        <w:t xml:space="preserve"> </w:t>
      </w:r>
      <w:r>
        <w:rPr>
          <w:color w:val="231F20"/>
        </w:rPr>
        <w:t>письмо-</w:t>
      </w:r>
    </w:p>
    <w:p w14:paraId="070CE1B2" w14:textId="77777777" w:rsidR="00DE575E" w:rsidRDefault="00DE575E">
      <w:pPr>
        <w:pStyle w:val="BodyText"/>
        <w:spacing w:before="6"/>
        <w:rPr>
          <w:sz w:val="12"/>
        </w:rPr>
      </w:pPr>
    </w:p>
    <w:p w14:paraId="143B0C22" w14:textId="77777777" w:rsidR="00DE575E" w:rsidRDefault="002E7560">
      <w:pPr>
        <w:spacing w:before="91"/>
        <w:ind w:left="533"/>
        <w:rPr>
          <w:rFonts w:ascii="Times New Roman"/>
          <w:sz w:val="20"/>
        </w:rPr>
      </w:pPr>
      <w:r>
        <w:rPr>
          <w:rFonts w:ascii="Times New Roman"/>
          <w:color w:val="231F20"/>
          <w:sz w:val="20"/>
        </w:rPr>
        <w:t>450</w:t>
      </w:r>
    </w:p>
    <w:p w14:paraId="384D3D1C" w14:textId="77777777" w:rsidR="00DE575E" w:rsidRDefault="00DE575E">
      <w:pPr>
        <w:rPr>
          <w:rFonts w:ascii="Times New Roman"/>
          <w:sz w:val="20"/>
        </w:rPr>
        <w:sectPr w:rsidR="00DE575E">
          <w:pgSz w:w="8510" w:h="12760"/>
          <w:pgMar w:top="660" w:right="720" w:bottom="280" w:left="600" w:header="720" w:footer="720" w:gutter="0"/>
          <w:cols w:space="720"/>
        </w:sectPr>
      </w:pPr>
    </w:p>
    <w:p w14:paraId="062E1CF6"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3219CF47" w14:textId="0F22ACB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CD862B6" wp14:editId="653075C3">
                <wp:extent cx="4140200" cy="6350"/>
                <wp:effectExtent l="0" t="0" r="12700" b="6350"/>
                <wp:docPr id="26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70" name="Line 2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125F9C" id="Group_x0020_2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">
                <v:line id="Line_x0020_2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dbdMMAAADcAAAADwAAAGRycy9kb3ducmV2LnhtbERP3WrCMBS+F/YO4Qy8EU2n4EY1iggD&#10;8UK3dg9wbM7asuSkNtFWn95cDLz8+P6X694acaXW144VvE0SEMSF0zWXCn7yz/EHCB+QNRrHpOBG&#10;Htarl8ESU+06/qZrFkoRQ9inqKAKoUml9EVFFv3ENcSR+3WtxRBhW0rdYhfDrZHTJJlLizXHhgob&#10;2lZU/GUXqyA/j4L5Ou5Nlx9PM3k6H2b3y0Gp4Wu/WYAI1Ien+N+90wqm73F+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nW3TDAAAA3AAAAA8AAAAAAAAAAAAA&#10;AAAAoQIAAGRycy9kb3ducmV2LnhtbFBLBQYAAAAABAAEAPkAAACRAwAAAAA=&#10;" strokecolor="#231f20" strokeweight=".5pt"/>
                <w10:anchorlock/>
              </v:group>
            </w:pict>
          </mc:Fallback>
        </mc:AlternateContent>
      </w:r>
    </w:p>
    <w:p w14:paraId="23319C54" w14:textId="77777777" w:rsidR="00DE575E" w:rsidRDefault="00DE575E">
      <w:pPr>
        <w:pStyle w:val="BodyText"/>
        <w:spacing w:before="7"/>
        <w:rPr>
          <w:rFonts w:ascii="AdonisC"/>
          <w:i/>
          <w:sz w:val="19"/>
        </w:rPr>
      </w:pPr>
    </w:p>
    <w:p w14:paraId="41470B92" w14:textId="77777777" w:rsidR="00DE575E" w:rsidRDefault="002E7560">
      <w:pPr>
        <w:pStyle w:val="BodyText"/>
        <w:spacing w:before="1" w:line="252" w:lineRule="auto"/>
        <w:ind w:left="250" w:right="410"/>
        <w:jc w:val="both"/>
      </w:pPr>
      <w:r>
        <w:rPr>
          <w:color w:val="231F20"/>
        </w:rPr>
        <w:t xml:space="preserve">вій формі не пізніш як за 14 календарних днів до дня звільнення. Він  може  бути  звільнений  до  закінчення  двотижневого  строку   в інший строк за взаємною домовленістю із </w:t>
      </w:r>
      <w:r>
        <w:rPr>
          <w:color w:val="231F20"/>
          <w:spacing w:val="-3"/>
        </w:rPr>
        <w:t xml:space="preserve">суб’єктом </w:t>
      </w:r>
      <w:r>
        <w:rPr>
          <w:color w:val="231F20"/>
        </w:rPr>
        <w:t xml:space="preserve">призначення, якщо таке звільнення </w:t>
      </w:r>
      <w:r>
        <w:rPr>
          <w:color w:val="231F20"/>
        </w:rPr>
        <w:t>не перешкоджатиме належному виконанню обов’язків державним</w:t>
      </w:r>
      <w:r>
        <w:rPr>
          <w:color w:val="231F20"/>
          <w:spacing w:val="-1"/>
        </w:rPr>
        <w:t xml:space="preserve"> </w:t>
      </w:r>
      <w:r>
        <w:rPr>
          <w:color w:val="231F20"/>
        </w:rPr>
        <w:t>органом.</w:t>
      </w:r>
    </w:p>
    <w:p w14:paraId="5D93BDB3" w14:textId="77777777" w:rsidR="00DE575E" w:rsidRDefault="002E7560">
      <w:pPr>
        <w:pStyle w:val="BodyText"/>
        <w:spacing w:before="2" w:line="252" w:lineRule="auto"/>
        <w:ind w:left="250" w:right="411" w:firstLine="283"/>
        <w:jc w:val="both"/>
      </w:pPr>
      <w:r>
        <w:rPr>
          <w:color w:val="231F20"/>
        </w:rPr>
        <w:t>Підставами для припинення державної служби за ініціативою суб’єкта призначення може бути:</w:t>
      </w:r>
    </w:p>
    <w:p w14:paraId="07E157D1" w14:textId="77777777" w:rsidR="00DE575E" w:rsidRDefault="002E7560">
      <w:pPr>
        <w:pStyle w:val="ListParagraph"/>
        <w:numPr>
          <w:ilvl w:val="0"/>
          <w:numId w:val="47"/>
        </w:numPr>
        <w:tabs>
          <w:tab w:val="left" w:pos="818"/>
        </w:tabs>
        <w:spacing w:line="252" w:lineRule="auto"/>
        <w:ind w:right="410" w:firstLine="283"/>
        <w:jc w:val="both"/>
        <w:rPr>
          <w:sz w:val="21"/>
        </w:rPr>
      </w:pPr>
      <w:r>
        <w:rPr>
          <w:color w:val="231F20"/>
          <w:sz w:val="21"/>
        </w:rPr>
        <w:t>скорочення чисельності або штату державних службовців, скорочення посади державної служби внаслідок зміни структури або</w:t>
      </w:r>
      <w:r>
        <w:rPr>
          <w:color w:val="231F20"/>
          <w:spacing w:val="-12"/>
          <w:sz w:val="21"/>
        </w:rPr>
        <w:t xml:space="preserve"> </w:t>
      </w:r>
      <w:r>
        <w:rPr>
          <w:color w:val="231F20"/>
          <w:sz w:val="21"/>
        </w:rPr>
        <w:t>штатного</w:t>
      </w:r>
      <w:r>
        <w:rPr>
          <w:color w:val="231F20"/>
          <w:spacing w:val="-12"/>
          <w:sz w:val="21"/>
        </w:rPr>
        <w:t xml:space="preserve"> </w:t>
      </w:r>
      <w:r>
        <w:rPr>
          <w:color w:val="231F20"/>
          <w:sz w:val="21"/>
        </w:rPr>
        <w:t>розпису</w:t>
      </w:r>
      <w:r>
        <w:rPr>
          <w:color w:val="231F20"/>
          <w:spacing w:val="-12"/>
          <w:sz w:val="21"/>
        </w:rPr>
        <w:t xml:space="preserve"> </w:t>
      </w:r>
      <w:r>
        <w:rPr>
          <w:color w:val="231F20"/>
          <w:sz w:val="21"/>
        </w:rPr>
        <w:t>державного</w:t>
      </w:r>
      <w:r>
        <w:rPr>
          <w:color w:val="231F20"/>
          <w:spacing w:val="-12"/>
          <w:sz w:val="21"/>
        </w:rPr>
        <w:t xml:space="preserve"> </w:t>
      </w:r>
      <w:r>
        <w:rPr>
          <w:color w:val="231F20"/>
          <w:spacing w:val="-3"/>
          <w:sz w:val="21"/>
        </w:rPr>
        <w:t>органу,</w:t>
      </w:r>
      <w:r>
        <w:rPr>
          <w:color w:val="231F20"/>
          <w:spacing w:val="-12"/>
          <w:sz w:val="21"/>
        </w:rPr>
        <w:t xml:space="preserve"> </w:t>
      </w:r>
      <w:r>
        <w:rPr>
          <w:color w:val="231F20"/>
          <w:sz w:val="21"/>
        </w:rPr>
        <w:t>реорганізація</w:t>
      </w:r>
      <w:r>
        <w:rPr>
          <w:color w:val="231F20"/>
          <w:spacing w:val="-12"/>
          <w:sz w:val="21"/>
        </w:rPr>
        <w:t xml:space="preserve"> </w:t>
      </w:r>
      <w:r>
        <w:rPr>
          <w:color w:val="231F20"/>
          <w:sz w:val="21"/>
        </w:rPr>
        <w:t>державного органу;</w:t>
      </w:r>
    </w:p>
    <w:p w14:paraId="6AF2B3F5" w14:textId="77777777" w:rsidR="00DE575E" w:rsidRDefault="002E7560">
      <w:pPr>
        <w:pStyle w:val="BodyText"/>
        <w:spacing w:before="2"/>
        <w:ind w:left="533"/>
      </w:pPr>
      <w:r>
        <w:rPr>
          <w:color w:val="231F20"/>
        </w:rPr>
        <w:t>1</w:t>
      </w:r>
      <w:r>
        <w:rPr>
          <w:b/>
          <w:color w:val="231F20"/>
          <w:position w:val="7"/>
          <w:sz w:val="12"/>
        </w:rPr>
        <w:t>-1</w:t>
      </w:r>
      <w:r>
        <w:rPr>
          <w:color w:val="231F20"/>
        </w:rPr>
        <w:t>) ліквідація державного органу;</w:t>
      </w:r>
    </w:p>
    <w:p w14:paraId="7BEE9F55" w14:textId="77777777" w:rsidR="00DE575E" w:rsidRDefault="002E7560">
      <w:pPr>
        <w:pStyle w:val="ListParagraph"/>
        <w:numPr>
          <w:ilvl w:val="0"/>
          <w:numId w:val="47"/>
        </w:numPr>
        <w:tabs>
          <w:tab w:val="left" w:pos="818"/>
        </w:tabs>
        <w:spacing w:before="13" w:line="252" w:lineRule="auto"/>
        <w:ind w:right="411" w:firstLine="283"/>
        <w:jc w:val="both"/>
        <w:rPr>
          <w:sz w:val="21"/>
        </w:rPr>
      </w:pPr>
      <w:r>
        <w:rPr>
          <w:color w:val="231F20"/>
          <w:sz w:val="21"/>
        </w:rPr>
        <w:t>установлення невідповідності державного службовця займа- ній посаді упродовж строку</w:t>
      </w:r>
      <w:r>
        <w:rPr>
          <w:color w:val="231F20"/>
          <w:spacing w:val="-3"/>
          <w:sz w:val="21"/>
        </w:rPr>
        <w:t xml:space="preserve"> </w:t>
      </w:r>
      <w:r>
        <w:rPr>
          <w:color w:val="231F20"/>
          <w:sz w:val="21"/>
        </w:rPr>
        <w:t>випробування;</w:t>
      </w:r>
    </w:p>
    <w:p w14:paraId="0C637E49" w14:textId="77777777" w:rsidR="00DE575E" w:rsidRDefault="002E7560">
      <w:pPr>
        <w:pStyle w:val="ListParagraph"/>
        <w:numPr>
          <w:ilvl w:val="0"/>
          <w:numId w:val="47"/>
        </w:numPr>
        <w:tabs>
          <w:tab w:val="left" w:pos="818"/>
        </w:tabs>
        <w:spacing w:line="252" w:lineRule="auto"/>
        <w:ind w:right="411" w:firstLine="283"/>
        <w:jc w:val="both"/>
        <w:rPr>
          <w:sz w:val="21"/>
        </w:rPr>
      </w:pPr>
      <w:r>
        <w:rPr>
          <w:color w:val="231F20"/>
          <w:sz w:val="21"/>
        </w:rPr>
        <w:t xml:space="preserve">отримання державним службовцем негативної оцінки за </w:t>
      </w:r>
      <w:r>
        <w:rPr>
          <w:color w:val="231F20"/>
          <w:spacing w:val="-3"/>
          <w:sz w:val="21"/>
        </w:rPr>
        <w:t xml:space="preserve">результатами </w:t>
      </w:r>
      <w:r>
        <w:rPr>
          <w:color w:val="231F20"/>
          <w:sz w:val="21"/>
        </w:rPr>
        <w:t>оцінювання службової діяльності;</w:t>
      </w:r>
    </w:p>
    <w:p w14:paraId="5FF07A7A" w14:textId="77777777" w:rsidR="00DE575E" w:rsidRDefault="002E7560">
      <w:pPr>
        <w:pStyle w:val="ListParagraph"/>
        <w:numPr>
          <w:ilvl w:val="0"/>
          <w:numId w:val="47"/>
        </w:numPr>
        <w:tabs>
          <w:tab w:val="left" w:pos="818"/>
        </w:tabs>
        <w:spacing w:line="252" w:lineRule="auto"/>
        <w:ind w:right="412" w:firstLine="283"/>
        <w:jc w:val="both"/>
        <w:rPr>
          <w:sz w:val="21"/>
        </w:rPr>
      </w:pPr>
      <w:r>
        <w:rPr>
          <w:color w:val="231F20"/>
          <w:sz w:val="21"/>
        </w:rPr>
        <w:t>учинення</w:t>
      </w:r>
      <w:r>
        <w:rPr>
          <w:color w:val="231F20"/>
          <w:spacing w:val="-28"/>
          <w:sz w:val="21"/>
        </w:rPr>
        <w:t xml:space="preserve"> </w:t>
      </w:r>
      <w:r>
        <w:rPr>
          <w:color w:val="231F20"/>
          <w:sz w:val="21"/>
        </w:rPr>
        <w:t>державним</w:t>
      </w:r>
      <w:r>
        <w:rPr>
          <w:color w:val="231F20"/>
          <w:spacing w:val="-28"/>
          <w:sz w:val="21"/>
        </w:rPr>
        <w:t xml:space="preserve"> </w:t>
      </w:r>
      <w:r>
        <w:rPr>
          <w:color w:val="231F20"/>
          <w:sz w:val="21"/>
        </w:rPr>
        <w:t>службовцем</w:t>
      </w:r>
      <w:r>
        <w:rPr>
          <w:color w:val="231F20"/>
          <w:spacing w:val="-28"/>
          <w:sz w:val="21"/>
        </w:rPr>
        <w:t xml:space="preserve"> </w:t>
      </w:r>
      <w:r>
        <w:rPr>
          <w:color w:val="231F20"/>
          <w:sz w:val="21"/>
        </w:rPr>
        <w:t>дисциплінарного</w:t>
      </w:r>
      <w:r>
        <w:rPr>
          <w:color w:val="231F20"/>
          <w:spacing w:val="-28"/>
          <w:sz w:val="21"/>
        </w:rPr>
        <w:t xml:space="preserve"> </w:t>
      </w:r>
      <w:r>
        <w:rPr>
          <w:color w:val="231F20"/>
          <w:sz w:val="21"/>
        </w:rPr>
        <w:t>проступку, яки</w:t>
      </w:r>
      <w:r>
        <w:rPr>
          <w:color w:val="231F20"/>
          <w:sz w:val="21"/>
        </w:rPr>
        <w:t>й передбачає</w:t>
      </w:r>
      <w:r>
        <w:rPr>
          <w:color w:val="231F20"/>
          <w:spacing w:val="-1"/>
          <w:sz w:val="21"/>
        </w:rPr>
        <w:t xml:space="preserve"> </w:t>
      </w:r>
      <w:r>
        <w:rPr>
          <w:color w:val="231F20"/>
          <w:sz w:val="21"/>
        </w:rPr>
        <w:t>звільнення.</w:t>
      </w:r>
    </w:p>
    <w:p w14:paraId="279790DC" w14:textId="77777777" w:rsidR="00DE575E" w:rsidRDefault="002E7560">
      <w:pPr>
        <w:pStyle w:val="BodyText"/>
        <w:spacing w:before="1" w:line="252" w:lineRule="auto"/>
        <w:ind w:left="250" w:right="408" w:firstLine="283"/>
        <w:jc w:val="both"/>
      </w:pPr>
      <w:r>
        <w:rPr>
          <w:color w:val="231F20"/>
        </w:rPr>
        <w:t>Крім цього підставою для припинення державної служби за ініціативою суб’єкта призначення може бути нез’явлення служ- бовця на службу впродовж більш як 120 календарних днів підряд або більш як 150 календарних днів упродовж року внас</w:t>
      </w:r>
      <w:r>
        <w:rPr>
          <w:color w:val="231F20"/>
        </w:rPr>
        <w:t>лідок тимча- сової непрацездатності (без урахування часу відпустки у зв’язку з вагітністю та пологами). За державним службовцем, який втратив працездатність під час виконання посадових обов’язків, посада зберігається до відновлення працездатності або встан</w:t>
      </w:r>
      <w:r>
        <w:rPr>
          <w:color w:val="231F20"/>
        </w:rPr>
        <w:t>овлення інвалідності.</w:t>
      </w:r>
    </w:p>
    <w:p w14:paraId="7C9D0908" w14:textId="77777777" w:rsidR="00DE575E" w:rsidRDefault="002E7560">
      <w:pPr>
        <w:pStyle w:val="BodyText"/>
        <w:spacing w:before="4" w:line="252" w:lineRule="auto"/>
        <w:ind w:left="250" w:right="411" w:firstLine="283"/>
        <w:jc w:val="both"/>
      </w:pPr>
      <w:r>
        <w:rPr>
          <w:color w:val="231F20"/>
          <w:spacing w:val="-4"/>
        </w:rPr>
        <w:t xml:space="preserve">Суб’єкт </w:t>
      </w:r>
      <w:r>
        <w:rPr>
          <w:color w:val="231F20"/>
        </w:rPr>
        <w:t>призначення попереджає державного службовця про наступне звільнення в разі скорочення штату чи ліквідації органу   у</w:t>
      </w:r>
      <w:r>
        <w:rPr>
          <w:color w:val="231F20"/>
          <w:spacing w:val="-6"/>
        </w:rPr>
        <w:t xml:space="preserve"> </w:t>
      </w:r>
      <w:r>
        <w:rPr>
          <w:color w:val="231F20"/>
        </w:rPr>
        <w:t>письмовій</w:t>
      </w:r>
      <w:r>
        <w:rPr>
          <w:color w:val="231F20"/>
          <w:spacing w:val="-6"/>
        </w:rPr>
        <w:t xml:space="preserve"> </w:t>
      </w:r>
      <w:r>
        <w:rPr>
          <w:color w:val="231F20"/>
        </w:rPr>
        <w:t>формі</w:t>
      </w:r>
      <w:r>
        <w:rPr>
          <w:color w:val="231F20"/>
          <w:spacing w:val="-6"/>
        </w:rPr>
        <w:t xml:space="preserve"> </w:t>
      </w:r>
      <w:r>
        <w:rPr>
          <w:color w:val="231F20"/>
        </w:rPr>
        <w:t>не</w:t>
      </w:r>
      <w:r>
        <w:rPr>
          <w:color w:val="231F20"/>
          <w:spacing w:val="-6"/>
        </w:rPr>
        <w:t xml:space="preserve"> </w:t>
      </w:r>
      <w:r>
        <w:rPr>
          <w:color w:val="231F20"/>
        </w:rPr>
        <w:t>пізніше</w:t>
      </w:r>
      <w:r>
        <w:rPr>
          <w:color w:val="231F20"/>
          <w:spacing w:val="-6"/>
        </w:rPr>
        <w:t xml:space="preserve"> </w:t>
      </w:r>
      <w:r>
        <w:rPr>
          <w:color w:val="231F20"/>
        </w:rPr>
        <w:t>ніж</w:t>
      </w:r>
      <w:r>
        <w:rPr>
          <w:color w:val="231F20"/>
          <w:spacing w:val="-6"/>
        </w:rPr>
        <w:t xml:space="preserve"> </w:t>
      </w:r>
      <w:r>
        <w:rPr>
          <w:color w:val="231F20"/>
        </w:rPr>
        <w:t>за</w:t>
      </w:r>
      <w:r>
        <w:rPr>
          <w:color w:val="231F20"/>
          <w:spacing w:val="-6"/>
        </w:rPr>
        <w:t xml:space="preserve"> </w:t>
      </w:r>
      <w:r>
        <w:rPr>
          <w:color w:val="231F20"/>
        </w:rPr>
        <w:t>30</w:t>
      </w:r>
      <w:r>
        <w:rPr>
          <w:color w:val="231F20"/>
          <w:spacing w:val="-6"/>
        </w:rPr>
        <w:t xml:space="preserve"> </w:t>
      </w:r>
      <w:r>
        <w:rPr>
          <w:color w:val="231F20"/>
        </w:rPr>
        <w:t>календарних</w:t>
      </w:r>
      <w:r>
        <w:rPr>
          <w:color w:val="231F20"/>
          <w:spacing w:val="-6"/>
        </w:rPr>
        <w:t xml:space="preserve"> </w:t>
      </w:r>
      <w:r>
        <w:rPr>
          <w:color w:val="231F20"/>
        </w:rPr>
        <w:t>днів.</w:t>
      </w:r>
      <w:r>
        <w:rPr>
          <w:color w:val="231F20"/>
          <w:spacing w:val="-6"/>
        </w:rPr>
        <w:t xml:space="preserve"> </w:t>
      </w:r>
      <w:r>
        <w:rPr>
          <w:color w:val="231F20"/>
        </w:rPr>
        <w:t>При</w:t>
      </w:r>
      <w:r>
        <w:rPr>
          <w:color w:val="231F20"/>
          <w:spacing w:val="-6"/>
        </w:rPr>
        <w:t xml:space="preserve"> </w:t>
      </w:r>
      <w:r>
        <w:rPr>
          <w:color w:val="231F20"/>
        </w:rPr>
        <w:t>цьому не застосовуються положення законодавства пр</w:t>
      </w:r>
      <w:r>
        <w:rPr>
          <w:color w:val="231F20"/>
        </w:rPr>
        <w:t>о працю щодо обов’язку отримання згоди виборного органу первинної профспіл- кової організації на</w:t>
      </w:r>
      <w:r>
        <w:rPr>
          <w:color w:val="231F20"/>
          <w:spacing w:val="-1"/>
        </w:rPr>
        <w:t xml:space="preserve"> </w:t>
      </w:r>
      <w:r>
        <w:rPr>
          <w:color w:val="231F20"/>
        </w:rPr>
        <w:t>звільнення.</w:t>
      </w:r>
    </w:p>
    <w:p w14:paraId="2F707231" w14:textId="77777777" w:rsidR="00DE575E" w:rsidRDefault="002E7560">
      <w:pPr>
        <w:pStyle w:val="BodyText"/>
        <w:spacing w:before="3" w:line="252" w:lineRule="auto"/>
        <w:ind w:left="250" w:right="411" w:firstLine="283"/>
        <w:jc w:val="both"/>
      </w:pPr>
      <w:r>
        <w:rPr>
          <w:color w:val="231F20"/>
        </w:rPr>
        <w:t>У разі встановлення невідповідності державного службовця займаній посаді упродовж строку випробування або отримання державним службовцем негативної</w:t>
      </w:r>
      <w:r>
        <w:rPr>
          <w:color w:val="231F20"/>
        </w:rPr>
        <w:t xml:space="preserve"> оцінки за результатами оціню- вання службової діяльності суб’єкт призначення ухвалює рішення про припинення державної служби у п’ятиденний строк з дня настання або встановлення даного факту.</w:t>
      </w:r>
    </w:p>
    <w:p w14:paraId="07D98610" w14:textId="77777777" w:rsidR="00DE575E" w:rsidRDefault="00DE575E">
      <w:pPr>
        <w:pStyle w:val="BodyText"/>
        <w:spacing w:before="8"/>
        <w:rPr>
          <w:sz w:val="12"/>
        </w:rPr>
      </w:pPr>
    </w:p>
    <w:p w14:paraId="3EF8D97F" w14:textId="77777777" w:rsidR="00DE575E" w:rsidRDefault="002E7560">
      <w:pPr>
        <w:spacing w:before="91"/>
        <w:ind w:right="411"/>
        <w:jc w:val="right"/>
        <w:rPr>
          <w:rFonts w:ascii="Times New Roman"/>
          <w:sz w:val="20"/>
        </w:rPr>
      </w:pPr>
      <w:r>
        <w:rPr>
          <w:rFonts w:ascii="Times New Roman"/>
          <w:color w:val="231F20"/>
          <w:w w:val="90"/>
          <w:sz w:val="20"/>
        </w:rPr>
        <w:t>451</w:t>
      </w:r>
    </w:p>
    <w:p w14:paraId="6BBCB42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1572B6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8291151" w14:textId="67B5E53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F4D9850" wp14:editId="527EDB74">
                <wp:extent cx="4140200" cy="6350"/>
                <wp:effectExtent l="0" t="0" r="12700" b="6350"/>
                <wp:docPr id="26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68" name="Line 26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752D47" id="Group_x0020_26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Z5VLFgAIAAJgFAAAO&#10;AAAAAAAAAAAAAAAAACwCAABkcnMvZTJvRG9jLnhtbFBLAQItABQABgAIAAAAIQBMp7CQ2QAAAAMB&#10;AAAPAAAAAAAAAAAAAAAAANgEAABkcnMvZG93bnJldi54bWxQSwUGAAAAAAQABADzAAAA3gUAAAAA&#10;">
                <v:line id="Line_x0020_26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jBr8QAAADcAAAADwAAAGRycy9kb3ducmV2LnhtbERP3WrCMBS+H+wdwhl4M2ZqCyKdUcZA&#10;GLuom/UBjs1ZW5ac1Ca21ac3F4Ndfnz/6+1kjRio961jBYt5AoK4crrlWsGx3L2sQPiArNE4JgVX&#10;8rDdPD6sMddu5G8aDqEWMYR9jgqaELpcSl81ZNHPXUccuR/XWwwR9rXUPY4x3BqZJslSWmw5NjTY&#10;0XtD1e/hYhWU5+dgvvafZiz3p0yezkV2uxRKzZ6mt1cQgabwL/5zf2gF6TKujWfiEZ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MGvxAAAANwAAAAPAAAAAAAAAAAA&#10;AAAAAKECAABkcnMvZG93bnJldi54bWxQSwUGAAAAAAQABAD5AAAAkgMAAAAA&#10;" strokecolor="#231f20" strokeweight=".5pt"/>
                <w10:anchorlock/>
              </v:group>
            </w:pict>
          </mc:Fallback>
        </mc:AlternateContent>
      </w:r>
    </w:p>
    <w:p w14:paraId="6A8A36C7" w14:textId="77777777" w:rsidR="00DE575E" w:rsidRDefault="00DE575E">
      <w:pPr>
        <w:pStyle w:val="BodyText"/>
        <w:spacing w:before="7"/>
        <w:rPr>
          <w:rFonts w:ascii="AdonisC"/>
          <w:i/>
          <w:sz w:val="11"/>
        </w:rPr>
      </w:pPr>
    </w:p>
    <w:p w14:paraId="53644EC7" w14:textId="77777777" w:rsidR="00DE575E" w:rsidRDefault="002E7560">
      <w:pPr>
        <w:pStyle w:val="BodyText"/>
        <w:spacing w:before="101" w:line="252" w:lineRule="auto"/>
        <w:ind w:left="533" w:right="126" w:firstLine="283"/>
        <w:jc w:val="both"/>
      </w:pPr>
      <w:r>
        <w:rPr>
          <w:color w:val="231F20"/>
        </w:rPr>
        <w:t>Законом також передбачені додаткові підстави припинення служби окремих державних службовців за ініціативою суб’єкта призначення.</w:t>
      </w:r>
    </w:p>
    <w:p w14:paraId="4A2F0401" w14:textId="77777777" w:rsidR="00DE575E" w:rsidRDefault="002E7560">
      <w:pPr>
        <w:pStyle w:val="BodyText"/>
        <w:spacing w:before="1" w:line="252" w:lineRule="auto"/>
        <w:ind w:left="533" w:right="127" w:firstLine="283"/>
        <w:jc w:val="both"/>
      </w:pPr>
      <w:r>
        <w:rPr>
          <w:color w:val="231F20"/>
        </w:rPr>
        <w:t>Припинення державної служби може наставати також у разі припин</w:t>
      </w:r>
      <w:r>
        <w:rPr>
          <w:color w:val="231F20"/>
        </w:rPr>
        <w:t>ення  дії  контракту  про  проходження  державної  служби,  а</w:t>
      </w:r>
      <w:r>
        <w:rPr>
          <w:color w:val="231F20"/>
          <w:spacing w:val="-1"/>
        </w:rPr>
        <w:t xml:space="preserve"> </w:t>
      </w:r>
      <w:r>
        <w:rPr>
          <w:color w:val="231F20"/>
        </w:rPr>
        <w:t>саме:</w:t>
      </w:r>
    </w:p>
    <w:p w14:paraId="08B980CB" w14:textId="77777777" w:rsidR="00DE575E" w:rsidRDefault="002E7560">
      <w:pPr>
        <w:pStyle w:val="ListParagraph"/>
        <w:numPr>
          <w:ilvl w:val="0"/>
          <w:numId w:val="46"/>
        </w:numPr>
        <w:tabs>
          <w:tab w:val="left" w:pos="1101"/>
        </w:tabs>
        <w:spacing w:before="2"/>
        <w:ind w:firstLine="284"/>
        <w:rPr>
          <w:sz w:val="21"/>
        </w:rPr>
      </w:pPr>
      <w:r>
        <w:rPr>
          <w:color w:val="231F20"/>
          <w:sz w:val="21"/>
        </w:rPr>
        <w:t xml:space="preserve">у разі закінчення </w:t>
      </w:r>
      <w:r>
        <w:rPr>
          <w:color w:val="231F20"/>
          <w:spacing w:val="-3"/>
          <w:sz w:val="21"/>
        </w:rPr>
        <w:t xml:space="preserve">строку, </w:t>
      </w:r>
      <w:r>
        <w:rPr>
          <w:color w:val="231F20"/>
          <w:sz w:val="21"/>
        </w:rPr>
        <w:t>на який укладено</w:t>
      </w:r>
      <w:r>
        <w:rPr>
          <w:color w:val="231F20"/>
          <w:spacing w:val="-6"/>
          <w:sz w:val="21"/>
        </w:rPr>
        <w:t xml:space="preserve"> </w:t>
      </w:r>
      <w:r>
        <w:rPr>
          <w:color w:val="231F20"/>
          <w:sz w:val="21"/>
        </w:rPr>
        <w:t>контракт;</w:t>
      </w:r>
    </w:p>
    <w:p w14:paraId="4F8EAAD6" w14:textId="77777777" w:rsidR="00DE575E" w:rsidRDefault="002E7560">
      <w:pPr>
        <w:pStyle w:val="ListParagraph"/>
        <w:numPr>
          <w:ilvl w:val="0"/>
          <w:numId w:val="46"/>
        </w:numPr>
        <w:tabs>
          <w:tab w:val="left" w:pos="1101"/>
        </w:tabs>
        <w:spacing w:before="12"/>
        <w:ind w:firstLine="284"/>
        <w:rPr>
          <w:sz w:val="21"/>
        </w:rPr>
      </w:pPr>
      <w:r>
        <w:rPr>
          <w:color w:val="231F20"/>
          <w:sz w:val="21"/>
        </w:rPr>
        <w:t>за ініціативою державного службовця або за угодою</w:t>
      </w:r>
      <w:r>
        <w:rPr>
          <w:color w:val="231F20"/>
          <w:spacing w:val="-13"/>
          <w:sz w:val="21"/>
        </w:rPr>
        <w:t xml:space="preserve"> </w:t>
      </w:r>
      <w:r>
        <w:rPr>
          <w:color w:val="231F20"/>
          <w:sz w:val="21"/>
        </w:rPr>
        <w:t>сторін;</w:t>
      </w:r>
    </w:p>
    <w:p w14:paraId="2F3CAB56" w14:textId="77777777" w:rsidR="00DE575E" w:rsidRDefault="002E7560">
      <w:pPr>
        <w:pStyle w:val="ListParagraph"/>
        <w:numPr>
          <w:ilvl w:val="0"/>
          <w:numId w:val="46"/>
        </w:numPr>
        <w:tabs>
          <w:tab w:val="left" w:pos="1101"/>
        </w:tabs>
        <w:spacing w:before="13" w:line="252" w:lineRule="auto"/>
        <w:ind w:right="128" w:firstLine="284"/>
        <w:jc w:val="both"/>
        <w:rPr>
          <w:sz w:val="21"/>
        </w:rPr>
      </w:pPr>
      <w:r>
        <w:rPr>
          <w:color w:val="231F20"/>
          <w:sz w:val="21"/>
        </w:rPr>
        <w:t xml:space="preserve">за ініціативою </w:t>
      </w:r>
      <w:r>
        <w:rPr>
          <w:color w:val="231F20"/>
          <w:spacing w:val="-3"/>
          <w:sz w:val="21"/>
        </w:rPr>
        <w:t xml:space="preserve">суб’єкта </w:t>
      </w:r>
      <w:r>
        <w:rPr>
          <w:color w:val="231F20"/>
          <w:sz w:val="21"/>
        </w:rPr>
        <w:t>призначення – у разі невиконання або неналежного вико</w:t>
      </w:r>
      <w:r>
        <w:rPr>
          <w:color w:val="231F20"/>
          <w:sz w:val="21"/>
        </w:rPr>
        <w:t>нання державним службовцем умов</w:t>
      </w:r>
      <w:r>
        <w:rPr>
          <w:color w:val="231F20"/>
          <w:spacing w:val="-7"/>
          <w:sz w:val="21"/>
        </w:rPr>
        <w:t xml:space="preserve"> </w:t>
      </w:r>
      <w:r>
        <w:rPr>
          <w:color w:val="231F20"/>
          <w:sz w:val="21"/>
        </w:rPr>
        <w:t>контракту;</w:t>
      </w:r>
    </w:p>
    <w:p w14:paraId="4585C2AE" w14:textId="77777777" w:rsidR="00DE575E" w:rsidRDefault="002E7560">
      <w:pPr>
        <w:pStyle w:val="ListParagraph"/>
        <w:numPr>
          <w:ilvl w:val="0"/>
          <w:numId w:val="46"/>
        </w:numPr>
        <w:tabs>
          <w:tab w:val="left" w:pos="1101"/>
        </w:tabs>
        <w:ind w:firstLine="284"/>
        <w:rPr>
          <w:sz w:val="21"/>
        </w:rPr>
      </w:pPr>
      <w:r>
        <w:rPr>
          <w:color w:val="231F20"/>
          <w:sz w:val="21"/>
        </w:rPr>
        <w:t>у разі втрати права на державну службу або його</w:t>
      </w:r>
      <w:r>
        <w:rPr>
          <w:color w:val="231F20"/>
          <w:spacing w:val="-15"/>
          <w:sz w:val="21"/>
        </w:rPr>
        <w:t xml:space="preserve"> </w:t>
      </w:r>
      <w:r>
        <w:rPr>
          <w:color w:val="231F20"/>
          <w:sz w:val="21"/>
        </w:rPr>
        <w:t>обмеження.</w:t>
      </w:r>
    </w:p>
    <w:p w14:paraId="378A6F25" w14:textId="77777777" w:rsidR="00DE575E" w:rsidRDefault="002E7560">
      <w:pPr>
        <w:pStyle w:val="BodyText"/>
        <w:spacing w:before="13" w:line="252" w:lineRule="auto"/>
        <w:ind w:left="533" w:right="126" w:firstLine="283"/>
        <w:jc w:val="both"/>
      </w:pPr>
      <w:r>
        <w:rPr>
          <w:color w:val="231F20"/>
        </w:rPr>
        <w:t>Зміна керівників або складу державних органів, керівників державної служби в державних органах та безпосередніх керівників не може бути підставою для припинення державним службовцем державної служби на займаній посаді з ініціативи новопризначених керівникі</w:t>
      </w:r>
      <w:r>
        <w:rPr>
          <w:color w:val="231F20"/>
        </w:rPr>
        <w:t>в.</w:t>
      </w:r>
    </w:p>
    <w:p w14:paraId="54D6A16D" w14:textId="77777777" w:rsidR="00DE575E" w:rsidRDefault="00DE575E">
      <w:pPr>
        <w:pStyle w:val="BodyText"/>
        <w:rPr>
          <w:sz w:val="24"/>
        </w:rPr>
      </w:pPr>
    </w:p>
    <w:p w14:paraId="48FBBB46" w14:textId="77777777" w:rsidR="00DE575E" w:rsidRDefault="00DE575E">
      <w:pPr>
        <w:pStyle w:val="BodyText"/>
        <w:spacing w:before="6"/>
        <w:rPr>
          <w:sz w:val="19"/>
        </w:rPr>
      </w:pPr>
    </w:p>
    <w:p w14:paraId="7C4C3CC0" w14:textId="77777777" w:rsidR="00DE575E" w:rsidRDefault="002E7560">
      <w:pPr>
        <w:pStyle w:val="Heading4"/>
        <w:numPr>
          <w:ilvl w:val="1"/>
          <w:numId w:val="54"/>
        </w:numPr>
        <w:tabs>
          <w:tab w:val="left" w:pos="2187"/>
        </w:tabs>
        <w:ind w:right="1371" w:hanging="51"/>
        <w:jc w:val="left"/>
      </w:pPr>
      <w:r>
        <w:rPr>
          <w:color w:val="231F20"/>
        </w:rPr>
        <w:t xml:space="preserve">Особливості </w:t>
      </w:r>
      <w:r>
        <w:rPr>
          <w:color w:val="231F20"/>
          <w:spacing w:val="-3"/>
        </w:rPr>
        <w:t xml:space="preserve">проходження </w:t>
      </w:r>
      <w:r>
        <w:rPr>
          <w:color w:val="231F20"/>
        </w:rPr>
        <w:t>служби в органах місцевого</w:t>
      </w:r>
      <w:r>
        <w:rPr>
          <w:color w:val="231F20"/>
          <w:spacing w:val="-16"/>
        </w:rPr>
        <w:t xml:space="preserve"> </w:t>
      </w:r>
      <w:r>
        <w:rPr>
          <w:color w:val="231F20"/>
        </w:rPr>
        <w:t>самоврядування</w:t>
      </w:r>
    </w:p>
    <w:p w14:paraId="13C3872A" w14:textId="77777777" w:rsidR="00DE575E" w:rsidRDefault="00DE575E">
      <w:pPr>
        <w:pStyle w:val="BodyText"/>
        <w:rPr>
          <w:b/>
          <w:sz w:val="26"/>
        </w:rPr>
      </w:pPr>
    </w:p>
    <w:p w14:paraId="4F252202" w14:textId="77777777" w:rsidR="00DE575E" w:rsidRDefault="002E7560">
      <w:pPr>
        <w:spacing w:before="224" w:line="252" w:lineRule="auto"/>
        <w:ind w:left="533" w:right="127" w:firstLine="283"/>
        <w:jc w:val="both"/>
        <w:rPr>
          <w:sz w:val="21"/>
        </w:rPr>
      </w:pPr>
      <w:r>
        <w:rPr>
          <w:color w:val="231F20"/>
          <w:sz w:val="21"/>
        </w:rPr>
        <w:t xml:space="preserve">До різновидів публічної служби належить і служба в органах місцевого самоврядування </w:t>
      </w:r>
      <w:r>
        <w:rPr>
          <w:i/>
          <w:color w:val="231F20"/>
          <w:sz w:val="21"/>
        </w:rPr>
        <w:t>– професійна, на постійній основі діяль- ність громадян України, які займають посади в органах місце</w:t>
      </w:r>
      <w:r>
        <w:rPr>
          <w:i/>
          <w:color w:val="231F20"/>
          <w:sz w:val="21"/>
        </w:rPr>
        <w:t>вого самоврядування, що спрямована на реалізацію територіальною громадою свого права на місцеве самоврядування та окремих повно- важень органів виконавчої влади, наданих законом</w:t>
      </w:r>
      <w:r>
        <w:rPr>
          <w:color w:val="231F20"/>
          <w:sz w:val="21"/>
        </w:rPr>
        <w:t>.</w:t>
      </w:r>
    </w:p>
    <w:p w14:paraId="5E969911" w14:textId="77777777" w:rsidR="00DE575E" w:rsidRDefault="002E7560">
      <w:pPr>
        <w:pStyle w:val="BodyText"/>
        <w:spacing w:before="3" w:line="252" w:lineRule="auto"/>
        <w:ind w:left="533" w:right="126" w:firstLine="283"/>
        <w:jc w:val="both"/>
      </w:pPr>
      <w:r>
        <w:rPr>
          <w:color w:val="231F20"/>
        </w:rPr>
        <w:t>Правові, організаційні, матеріальні та соціальні умови реалі- зації громадяна</w:t>
      </w:r>
      <w:r>
        <w:rPr>
          <w:color w:val="231F20"/>
        </w:rPr>
        <w:t xml:space="preserve">ми </w:t>
      </w:r>
      <w:r>
        <w:rPr>
          <w:color w:val="231F20"/>
          <w:spacing w:val="-3"/>
        </w:rPr>
        <w:t xml:space="preserve">України </w:t>
      </w:r>
      <w:r>
        <w:rPr>
          <w:color w:val="231F20"/>
        </w:rPr>
        <w:t xml:space="preserve">права на службу в органах місцевого самоврядування, загальні засади діяльності посадових осіб місце- вого самоврядування, їх правовий статус, порядок та правові гаран- тії перебування на службі в органах місцевого самоврядування визначає Закон </w:t>
      </w:r>
      <w:r>
        <w:rPr>
          <w:color w:val="231F20"/>
          <w:spacing w:val="-3"/>
        </w:rPr>
        <w:t>У</w:t>
      </w:r>
      <w:r>
        <w:rPr>
          <w:color w:val="231F20"/>
          <w:spacing w:val="-3"/>
        </w:rPr>
        <w:t xml:space="preserve">країни </w:t>
      </w:r>
      <w:r>
        <w:rPr>
          <w:color w:val="231F20"/>
        </w:rPr>
        <w:t>«Про службу в органах місцевого само- врядування» від 07.06.2001 р. Важливі положення щодо регулю- вання цього виду публічної служби містяться також в законах: «Про місцеве</w:t>
      </w:r>
      <w:r>
        <w:rPr>
          <w:color w:val="231F20"/>
          <w:spacing w:val="-5"/>
        </w:rPr>
        <w:t xml:space="preserve"> </w:t>
      </w:r>
      <w:r>
        <w:rPr>
          <w:color w:val="231F20"/>
        </w:rPr>
        <w:t>самоврядування</w:t>
      </w:r>
      <w:r>
        <w:rPr>
          <w:color w:val="231F20"/>
          <w:spacing w:val="-5"/>
        </w:rPr>
        <w:t xml:space="preserve"> </w:t>
      </w:r>
      <w:r>
        <w:rPr>
          <w:color w:val="231F20"/>
        </w:rPr>
        <w:t>в</w:t>
      </w:r>
      <w:r>
        <w:rPr>
          <w:color w:val="231F20"/>
          <w:spacing w:val="-5"/>
        </w:rPr>
        <w:t xml:space="preserve"> </w:t>
      </w:r>
      <w:r>
        <w:rPr>
          <w:color w:val="231F20"/>
          <w:spacing w:val="-3"/>
        </w:rPr>
        <w:t>Україні»</w:t>
      </w:r>
      <w:r>
        <w:rPr>
          <w:color w:val="231F20"/>
          <w:spacing w:val="-5"/>
        </w:rPr>
        <w:t xml:space="preserve"> </w:t>
      </w:r>
      <w:r>
        <w:rPr>
          <w:color w:val="231F20"/>
        </w:rPr>
        <w:t>(21.05.1997</w:t>
      </w:r>
      <w:r>
        <w:rPr>
          <w:color w:val="231F20"/>
          <w:spacing w:val="-6"/>
        </w:rPr>
        <w:t xml:space="preserve"> </w:t>
      </w:r>
      <w:r>
        <w:rPr>
          <w:color w:val="231F20"/>
        </w:rPr>
        <w:t>р.),</w:t>
      </w:r>
      <w:r>
        <w:rPr>
          <w:color w:val="231F20"/>
          <w:spacing w:val="-5"/>
        </w:rPr>
        <w:t xml:space="preserve"> </w:t>
      </w:r>
      <w:r>
        <w:rPr>
          <w:color w:val="231F20"/>
        </w:rPr>
        <w:t>«Про</w:t>
      </w:r>
      <w:r>
        <w:rPr>
          <w:color w:val="231F20"/>
          <w:spacing w:val="-5"/>
        </w:rPr>
        <w:t xml:space="preserve"> </w:t>
      </w:r>
      <w:r>
        <w:rPr>
          <w:color w:val="231F20"/>
        </w:rPr>
        <w:t>статус</w:t>
      </w:r>
      <w:r>
        <w:rPr>
          <w:color w:val="231F20"/>
          <w:spacing w:val="-5"/>
        </w:rPr>
        <w:t xml:space="preserve"> </w:t>
      </w:r>
      <w:r>
        <w:rPr>
          <w:color w:val="231F20"/>
        </w:rPr>
        <w:t xml:space="preserve">депу- татів місцевих </w:t>
      </w:r>
      <w:r>
        <w:rPr>
          <w:color w:val="231F20"/>
        </w:rPr>
        <w:t xml:space="preserve">рад» (11.07.2002 р.), «Про добровільне </w:t>
      </w:r>
      <w:r>
        <w:rPr>
          <w:color w:val="231F20"/>
          <w:spacing w:val="-3"/>
        </w:rPr>
        <w:t xml:space="preserve">об’єднання </w:t>
      </w:r>
      <w:r>
        <w:rPr>
          <w:color w:val="231F20"/>
        </w:rPr>
        <w:t>територіальних громад» (05.02.2015 р), в окремих</w:t>
      </w:r>
      <w:r>
        <w:rPr>
          <w:color w:val="231F20"/>
          <w:spacing w:val="16"/>
        </w:rPr>
        <w:t xml:space="preserve"> </w:t>
      </w:r>
      <w:r>
        <w:rPr>
          <w:color w:val="231F20"/>
        </w:rPr>
        <w:t>підзаконних</w:t>
      </w:r>
    </w:p>
    <w:p w14:paraId="527B020F" w14:textId="77777777" w:rsidR="00DE575E" w:rsidRDefault="00DE575E">
      <w:pPr>
        <w:pStyle w:val="BodyText"/>
        <w:rPr>
          <w:sz w:val="13"/>
        </w:rPr>
      </w:pPr>
    </w:p>
    <w:p w14:paraId="540ACDF8" w14:textId="77777777" w:rsidR="00DE575E" w:rsidRDefault="002E7560">
      <w:pPr>
        <w:spacing w:before="91"/>
        <w:ind w:left="533"/>
        <w:rPr>
          <w:rFonts w:ascii="Times New Roman"/>
          <w:sz w:val="20"/>
        </w:rPr>
      </w:pPr>
      <w:r>
        <w:rPr>
          <w:rFonts w:ascii="Times New Roman"/>
          <w:color w:val="231F20"/>
          <w:sz w:val="20"/>
        </w:rPr>
        <w:t>452</w:t>
      </w:r>
    </w:p>
    <w:p w14:paraId="3D8C78BD" w14:textId="77777777" w:rsidR="00DE575E" w:rsidRDefault="00DE575E">
      <w:pPr>
        <w:rPr>
          <w:rFonts w:ascii="Times New Roman"/>
          <w:sz w:val="20"/>
        </w:rPr>
        <w:sectPr w:rsidR="00DE575E">
          <w:pgSz w:w="8510" w:h="12760"/>
          <w:pgMar w:top="660" w:right="720" w:bottom="280" w:left="600" w:header="720" w:footer="720" w:gutter="0"/>
          <w:cols w:space="720"/>
        </w:sectPr>
      </w:pPr>
    </w:p>
    <w:p w14:paraId="5100B5BD"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2348EDA7" w14:textId="201C6BD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E89BBB1" wp14:editId="54A3846F">
                <wp:extent cx="4140200" cy="6350"/>
                <wp:effectExtent l="0" t="0" r="12700" b="6350"/>
                <wp:docPr id="26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66" name="Line 2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5A3A0D" id="Group_x0020_2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pAvYt/AgAAmAUAAA4A&#10;AAAAAAAAAAAAAAAALAIAAGRycy9lMm9Eb2MueG1sUEsBAi0AFAAGAAgAAAAhAEynsJDZAAAAAwEA&#10;AA8AAAAAAAAAAAAAAAAA1wQAAGRycy9kb3ducmV2LnhtbFBLBQYAAAAABAAEAPMAAADdBQAAAAA=&#10;">
                <v:line id="Line_x0020_2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vwRsYAAADcAAAADwAAAGRycy9kb3ducmV2LnhtbESP0WrCQBRE3wX/YbmCL1I3KoSSuooI&#10;QumDVtMPuGZvk9DduzG7mtiv7xYEH4eZOcMs17014katrx0rmE0TEMSF0zWXCr7y3csrCB+QNRrH&#10;pOBOHtar4WCJmXYdH+l2CqWIEPYZKqhCaDIpfVGRRT91DXH0vl1rMUTZllK32EW4NXKeJKm0WHNc&#10;qLChbUXFz+lqFeSXSTCfhw/T5YfzQp4v+8Xvda/UeNRv3kAE6sMz/Gi/awXzNIX/M/EI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b8EbGAAAA3AAAAA8AAAAAAAAA&#10;AAAAAAAAoQIAAGRycy9kb3ducmV2LnhtbFBLBQYAAAAABAAEAPkAAACUAwAAAAA=&#10;" strokecolor="#231f20" strokeweight=".5pt"/>
                <w10:anchorlock/>
              </v:group>
            </w:pict>
          </mc:Fallback>
        </mc:AlternateContent>
      </w:r>
    </w:p>
    <w:p w14:paraId="3FD1D8EA" w14:textId="77777777" w:rsidR="00DE575E" w:rsidRDefault="00DE575E">
      <w:pPr>
        <w:pStyle w:val="BodyText"/>
        <w:spacing w:before="7"/>
        <w:rPr>
          <w:rFonts w:ascii="AdonisC"/>
          <w:i/>
          <w:sz w:val="19"/>
        </w:rPr>
      </w:pPr>
    </w:p>
    <w:p w14:paraId="707B5A27" w14:textId="77777777" w:rsidR="00DE575E" w:rsidRDefault="002E7560">
      <w:pPr>
        <w:pStyle w:val="BodyText"/>
        <w:spacing w:before="1" w:line="252" w:lineRule="auto"/>
        <w:ind w:left="250" w:right="410"/>
        <w:jc w:val="both"/>
      </w:pPr>
      <w:r>
        <w:rPr>
          <w:color w:val="231F20"/>
        </w:rPr>
        <w:t>нормативно-правових актах, зокрема в постановах Кабінету Мініст- рів України, статутах територіальних громад, певних положеннях, посадових інструкціях службовців тощо.</w:t>
      </w:r>
    </w:p>
    <w:p w14:paraId="473E7F81" w14:textId="77777777" w:rsidR="00DE575E" w:rsidRDefault="002E7560">
      <w:pPr>
        <w:spacing w:before="1" w:line="252" w:lineRule="auto"/>
        <w:ind w:left="250" w:right="128" w:firstLine="283"/>
        <w:rPr>
          <w:sz w:val="21"/>
        </w:rPr>
      </w:pPr>
      <w:r>
        <w:rPr>
          <w:i/>
          <w:color w:val="231F20"/>
          <w:sz w:val="21"/>
        </w:rPr>
        <w:t xml:space="preserve">Основними принципами </w:t>
      </w:r>
      <w:r>
        <w:rPr>
          <w:color w:val="231F20"/>
          <w:sz w:val="21"/>
        </w:rPr>
        <w:t>служби в органах місцевого самовряду- вання є:</w:t>
      </w:r>
    </w:p>
    <w:p w14:paraId="43AE6316" w14:textId="77777777" w:rsidR="00DE575E" w:rsidRDefault="002E7560">
      <w:pPr>
        <w:pStyle w:val="ListParagraph"/>
        <w:numPr>
          <w:ilvl w:val="0"/>
          <w:numId w:val="51"/>
        </w:numPr>
        <w:tabs>
          <w:tab w:val="left" w:pos="818"/>
        </w:tabs>
        <w:ind w:firstLine="283"/>
        <w:jc w:val="left"/>
        <w:rPr>
          <w:sz w:val="21"/>
        </w:rPr>
      </w:pPr>
      <w:r>
        <w:rPr>
          <w:color w:val="231F20"/>
          <w:sz w:val="21"/>
        </w:rPr>
        <w:t>служіння територіальній</w:t>
      </w:r>
      <w:r>
        <w:rPr>
          <w:color w:val="231F20"/>
          <w:spacing w:val="8"/>
          <w:sz w:val="21"/>
        </w:rPr>
        <w:t xml:space="preserve"> </w:t>
      </w:r>
      <w:r>
        <w:rPr>
          <w:color w:val="231F20"/>
          <w:sz w:val="21"/>
        </w:rPr>
        <w:t>громаді;</w:t>
      </w:r>
    </w:p>
    <w:p w14:paraId="141C1A10" w14:textId="77777777" w:rsidR="00DE575E" w:rsidRDefault="002E7560">
      <w:pPr>
        <w:pStyle w:val="ListParagraph"/>
        <w:numPr>
          <w:ilvl w:val="0"/>
          <w:numId w:val="51"/>
        </w:numPr>
        <w:tabs>
          <w:tab w:val="left" w:pos="818"/>
        </w:tabs>
        <w:spacing w:before="13"/>
        <w:ind w:firstLine="283"/>
        <w:jc w:val="left"/>
        <w:rPr>
          <w:sz w:val="21"/>
        </w:rPr>
      </w:pPr>
      <w:r>
        <w:rPr>
          <w:color w:val="231F20"/>
          <w:sz w:val="21"/>
        </w:rPr>
        <w:t>поєднання місцевих і державних</w:t>
      </w:r>
      <w:r>
        <w:rPr>
          <w:color w:val="231F20"/>
          <w:spacing w:val="20"/>
          <w:sz w:val="21"/>
        </w:rPr>
        <w:t xml:space="preserve"> </w:t>
      </w:r>
      <w:r>
        <w:rPr>
          <w:color w:val="231F20"/>
          <w:sz w:val="21"/>
        </w:rPr>
        <w:t>інтересів;</w:t>
      </w:r>
    </w:p>
    <w:p w14:paraId="15208DD7" w14:textId="77777777" w:rsidR="00DE575E" w:rsidRDefault="002E7560">
      <w:pPr>
        <w:pStyle w:val="ListParagraph"/>
        <w:numPr>
          <w:ilvl w:val="0"/>
          <w:numId w:val="51"/>
        </w:numPr>
        <w:tabs>
          <w:tab w:val="left" w:pos="818"/>
        </w:tabs>
        <w:spacing w:before="13"/>
        <w:ind w:firstLine="283"/>
        <w:jc w:val="left"/>
        <w:rPr>
          <w:sz w:val="21"/>
        </w:rPr>
      </w:pPr>
      <w:r>
        <w:rPr>
          <w:color w:val="231F20"/>
          <w:sz w:val="21"/>
        </w:rPr>
        <w:t>верховенства права, демократизму і</w:t>
      </w:r>
      <w:r>
        <w:rPr>
          <w:color w:val="231F20"/>
          <w:spacing w:val="20"/>
          <w:sz w:val="21"/>
        </w:rPr>
        <w:t xml:space="preserve"> </w:t>
      </w:r>
      <w:r>
        <w:rPr>
          <w:color w:val="231F20"/>
          <w:sz w:val="21"/>
        </w:rPr>
        <w:t>законності;</w:t>
      </w:r>
    </w:p>
    <w:p w14:paraId="1CEE2329" w14:textId="77777777" w:rsidR="00DE575E" w:rsidRDefault="002E7560">
      <w:pPr>
        <w:pStyle w:val="ListParagraph"/>
        <w:numPr>
          <w:ilvl w:val="0"/>
          <w:numId w:val="51"/>
        </w:numPr>
        <w:tabs>
          <w:tab w:val="left" w:pos="818"/>
        </w:tabs>
        <w:spacing w:before="13"/>
        <w:ind w:firstLine="283"/>
        <w:jc w:val="left"/>
        <w:rPr>
          <w:sz w:val="21"/>
        </w:rPr>
      </w:pPr>
      <w:r>
        <w:rPr>
          <w:color w:val="231F20"/>
          <w:sz w:val="21"/>
        </w:rPr>
        <w:t>гуманізму і соціальної</w:t>
      </w:r>
      <w:r>
        <w:rPr>
          <w:color w:val="231F20"/>
          <w:spacing w:val="15"/>
          <w:sz w:val="21"/>
        </w:rPr>
        <w:t xml:space="preserve"> </w:t>
      </w:r>
      <w:r>
        <w:rPr>
          <w:color w:val="231F20"/>
          <w:sz w:val="21"/>
        </w:rPr>
        <w:t>справедливості;</w:t>
      </w:r>
    </w:p>
    <w:p w14:paraId="76C79C41" w14:textId="77777777" w:rsidR="00DE575E" w:rsidRDefault="002E7560">
      <w:pPr>
        <w:pStyle w:val="ListParagraph"/>
        <w:numPr>
          <w:ilvl w:val="0"/>
          <w:numId w:val="51"/>
        </w:numPr>
        <w:tabs>
          <w:tab w:val="left" w:pos="818"/>
        </w:tabs>
        <w:spacing w:before="12"/>
        <w:ind w:firstLine="283"/>
        <w:jc w:val="left"/>
        <w:rPr>
          <w:sz w:val="21"/>
        </w:rPr>
      </w:pPr>
      <w:r>
        <w:rPr>
          <w:color w:val="231F20"/>
          <w:sz w:val="21"/>
        </w:rPr>
        <w:t>гласності; пріоритету прав та свобод людини і</w:t>
      </w:r>
      <w:r>
        <w:rPr>
          <w:color w:val="231F20"/>
          <w:spacing w:val="10"/>
          <w:sz w:val="21"/>
        </w:rPr>
        <w:t xml:space="preserve"> </w:t>
      </w:r>
      <w:r>
        <w:rPr>
          <w:color w:val="231F20"/>
          <w:sz w:val="21"/>
        </w:rPr>
        <w:t>громадянина;</w:t>
      </w:r>
    </w:p>
    <w:p w14:paraId="62C26AF0" w14:textId="77777777" w:rsidR="00DE575E" w:rsidRDefault="002E7560">
      <w:pPr>
        <w:pStyle w:val="ListParagraph"/>
        <w:numPr>
          <w:ilvl w:val="0"/>
          <w:numId w:val="51"/>
        </w:numPr>
        <w:tabs>
          <w:tab w:val="left" w:pos="818"/>
        </w:tabs>
        <w:spacing w:before="13" w:line="252" w:lineRule="auto"/>
        <w:ind w:right="409" w:firstLine="283"/>
        <w:rPr>
          <w:sz w:val="21"/>
        </w:rPr>
      </w:pPr>
      <w:r>
        <w:rPr>
          <w:color w:val="231F20"/>
          <w:sz w:val="21"/>
        </w:rPr>
        <w:t>рівних можливостей доступу громадян до служби в органах місцевого самоврядування з урахуванням їх ділових якостей та професійної</w:t>
      </w:r>
      <w:r>
        <w:rPr>
          <w:color w:val="231F20"/>
          <w:spacing w:val="3"/>
          <w:sz w:val="21"/>
        </w:rPr>
        <w:t xml:space="preserve"> </w:t>
      </w:r>
      <w:r>
        <w:rPr>
          <w:color w:val="231F20"/>
          <w:sz w:val="21"/>
        </w:rPr>
        <w:t>підготовки;</w:t>
      </w:r>
    </w:p>
    <w:p w14:paraId="578D66CE" w14:textId="77777777" w:rsidR="00DE575E" w:rsidRDefault="002E7560">
      <w:pPr>
        <w:pStyle w:val="ListParagraph"/>
        <w:numPr>
          <w:ilvl w:val="0"/>
          <w:numId w:val="51"/>
        </w:numPr>
        <w:tabs>
          <w:tab w:val="left" w:pos="818"/>
        </w:tabs>
        <w:spacing w:before="2" w:line="252" w:lineRule="auto"/>
        <w:ind w:right="406" w:firstLine="283"/>
        <w:rPr>
          <w:sz w:val="21"/>
        </w:rPr>
      </w:pPr>
      <w:r>
        <w:rPr>
          <w:color w:val="231F20"/>
          <w:sz w:val="21"/>
        </w:rPr>
        <w:t>професіоналізму, компетентності, ініціативності, чесності, відданості справі; підконтрольності, підзві</w:t>
      </w:r>
      <w:r>
        <w:rPr>
          <w:color w:val="231F20"/>
          <w:sz w:val="21"/>
        </w:rPr>
        <w:t>тності, персональної відповідальності за порушення дисципліни і неналежне виконання службових</w:t>
      </w:r>
      <w:r>
        <w:rPr>
          <w:color w:val="231F20"/>
          <w:spacing w:val="3"/>
          <w:sz w:val="21"/>
        </w:rPr>
        <w:t xml:space="preserve"> </w:t>
      </w:r>
      <w:r>
        <w:rPr>
          <w:color w:val="231F20"/>
          <w:sz w:val="21"/>
        </w:rPr>
        <w:t>обов’язків;</w:t>
      </w:r>
    </w:p>
    <w:p w14:paraId="66ADE312" w14:textId="77777777" w:rsidR="00DE575E" w:rsidRDefault="002E7560">
      <w:pPr>
        <w:pStyle w:val="ListParagraph"/>
        <w:numPr>
          <w:ilvl w:val="0"/>
          <w:numId w:val="51"/>
        </w:numPr>
        <w:tabs>
          <w:tab w:val="left" w:pos="818"/>
        </w:tabs>
        <w:spacing w:before="2"/>
        <w:ind w:firstLine="283"/>
        <w:jc w:val="left"/>
        <w:rPr>
          <w:sz w:val="21"/>
        </w:rPr>
      </w:pPr>
      <w:r>
        <w:rPr>
          <w:color w:val="231F20"/>
          <w:sz w:val="21"/>
        </w:rPr>
        <w:t>дотримання прав місцевого</w:t>
      </w:r>
      <w:r>
        <w:rPr>
          <w:color w:val="231F20"/>
          <w:spacing w:val="15"/>
          <w:sz w:val="21"/>
        </w:rPr>
        <w:t xml:space="preserve"> </w:t>
      </w:r>
      <w:r>
        <w:rPr>
          <w:color w:val="231F20"/>
          <w:sz w:val="21"/>
        </w:rPr>
        <w:t>самоврядування;</w:t>
      </w:r>
    </w:p>
    <w:p w14:paraId="37ED1B81" w14:textId="77777777" w:rsidR="00DE575E" w:rsidRDefault="002E7560">
      <w:pPr>
        <w:pStyle w:val="ListParagraph"/>
        <w:numPr>
          <w:ilvl w:val="0"/>
          <w:numId w:val="51"/>
        </w:numPr>
        <w:tabs>
          <w:tab w:val="left" w:pos="818"/>
        </w:tabs>
        <w:spacing w:before="12" w:line="252" w:lineRule="auto"/>
        <w:ind w:right="411" w:firstLine="283"/>
        <w:jc w:val="left"/>
        <w:rPr>
          <w:sz w:val="21"/>
        </w:rPr>
      </w:pPr>
      <w:r>
        <w:rPr>
          <w:color w:val="231F20"/>
          <w:sz w:val="21"/>
        </w:rPr>
        <w:t>правової та соціальної захищеності посадових осіб місцевого самоврядування;</w:t>
      </w:r>
    </w:p>
    <w:p w14:paraId="1E450845" w14:textId="77777777" w:rsidR="00DE575E" w:rsidRDefault="002E7560">
      <w:pPr>
        <w:pStyle w:val="ListParagraph"/>
        <w:numPr>
          <w:ilvl w:val="0"/>
          <w:numId w:val="51"/>
        </w:numPr>
        <w:tabs>
          <w:tab w:val="left" w:pos="818"/>
        </w:tabs>
        <w:ind w:firstLine="283"/>
        <w:jc w:val="left"/>
        <w:rPr>
          <w:sz w:val="21"/>
        </w:rPr>
      </w:pPr>
      <w:r>
        <w:rPr>
          <w:color w:val="231F20"/>
          <w:sz w:val="21"/>
        </w:rPr>
        <w:t>захисту інтересів відповідної територіальної</w:t>
      </w:r>
      <w:r>
        <w:rPr>
          <w:color w:val="231F20"/>
          <w:spacing w:val="30"/>
          <w:sz w:val="21"/>
        </w:rPr>
        <w:t xml:space="preserve"> </w:t>
      </w:r>
      <w:r>
        <w:rPr>
          <w:color w:val="231F20"/>
          <w:sz w:val="21"/>
        </w:rPr>
        <w:t>громади;</w:t>
      </w:r>
    </w:p>
    <w:p w14:paraId="595B01D4" w14:textId="77777777" w:rsidR="00DE575E" w:rsidRDefault="002E7560">
      <w:pPr>
        <w:pStyle w:val="ListParagraph"/>
        <w:numPr>
          <w:ilvl w:val="0"/>
          <w:numId w:val="51"/>
        </w:numPr>
        <w:tabs>
          <w:tab w:val="left" w:pos="818"/>
        </w:tabs>
        <w:spacing w:before="13" w:line="252" w:lineRule="auto"/>
        <w:ind w:right="409" w:firstLine="283"/>
        <w:jc w:val="left"/>
        <w:rPr>
          <w:sz w:val="21"/>
        </w:rPr>
      </w:pPr>
      <w:r>
        <w:rPr>
          <w:color w:val="231F20"/>
          <w:sz w:val="21"/>
        </w:rPr>
        <w:t>фінансового та матеріально-технічного забезпечення служби за рахунок коштів місцевого</w:t>
      </w:r>
      <w:r>
        <w:rPr>
          <w:color w:val="231F20"/>
          <w:spacing w:val="17"/>
          <w:sz w:val="21"/>
        </w:rPr>
        <w:t xml:space="preserve"> </w:t>
      </w:r>
      <w:r>
        <w:rPr>
          <w:color w:val="231F20"/>
          <w:sz w:val="21"/>
        </w:rPr>
        <w:t>бюджету;</w:t>
      </w:r>
    </w:p>
    <w:p w14:paraId="1361F5CA" w14:textId="77777777" w:rsidR="00DE575E" w:rsidRDefault="002E7560">
      <w:pPr>
        <w:pStyle w:val="ListParagraph"/>
        <w:numPr>
          <w:ilvl w:val="0"/>
          <w:numId w:val="51"/>
        </w:numPr>
        <w:tabs>
          <w:tab w:val="left" w:pos="818"/>
        </w:tabs>
        <w:spacing w:line="252" w:lineRule="auto"/>
        <w:ind w:left="533" w:right="411" w:firstLine="0"/>
        <w:jc w:val="left"/>
        <w:rPr>
          <w:sz w:val="21"/>
        </w:rPr>
      </w:pPr>
      <w:r>
        <w:rPr>
          <w:color w:val="231F20"/>
          <w:sz w:val="21"/>
        </w:rPr>
        <w:t>самостійності кадрової політики в територіальній громаді. Визначальним</w:t>
      </w:r>
      <w:r>
        <w:rPr>
          <w:color w:val="231F20"/>
          <w:spacing w:val="33"/>
          <w:sz w:val="21"/>
        </w:rPr>
        <w:t xml:space="preserve"> </w:t>
      </w:r>
      <w:r>
        <w:rPr>
          <w:color w:val="231F20"/>
          <w:sz w:val="21"/>
        </w:rPr>
        <w:t>чинником</w:t>
      </w:r>
      <w:r>
        <w:rPr>
          <w:color w:val="231F20"/>
          <w:spacing w:val="33"/>
          <w:sz w:val="21"/>
        </w:rPr>
        <w:t xml:space="preserve"> </w:t>
      </w:r>
      <w:r>
        <w:rPr>
          <w:color w:val="231F20"/>
          <w:sz w:val="21"/>
        </w:rPr>
        <w:t>служби</w:t>
      </w:r>
      <w:r>
        <w:rPr>
          <w:color w:val="231F20"/>
          <w:spacing w:val="33"/>
          <w:sz w:val="21"/>
        </w:rPr>
        <w:t xml:space="preserve"> </w:t>
      </w:r>
      <w:r>
        <w:rPr>
          <w:color w:val="231F20"/>
          <w:sz w:val="21"/>
        </w:rPr>
        <w:t>в</w:t>
      </w:r>
      <w:r>
        <w:rPr>
          <w:color w:val="231F20"/>
          <w:spacing w:val="32"/>
          <w:sz w:val="21"/>
        </w:rPr>
        <w:t xml:space="preserve"> </w:t>
      </w:r>
      <w:r>
        <w:rPr>
          <w:color w:val="231F20"/>
          <w:sz w:val="21"/>
        </w:rPr>
        <w:t>органах</w:t>
      </w:r>
      <w:r>
        <w:rPr>
          <w:color w:val="231F20"/>
          <w:spacing w:val="33"/>
          <w:sz w:val="21"/>
        </w:rPr>
        <w:t xml:space="preserve"> </w:t>
      </w:r>
      <w:r>
        <w:rPr>
          <w:color w:val="231F20"/>
          <w:sz w:val="21"/>
        </w:rPr>
        <w:t>місцевого</w:t>
      </w:r>
      <w:r>
        <w:rPr>
          <w:color w:val="231F20"/>
          <w:spacing w:val="33"/>
          <w:sz w:val="21"/>
        </w:rPr>
        <w:t xml:space="preserve"> </w:t>
      </w:r>
      <w:r>
        <w:rPr>
          <w:color w:val="231F20"/>
          <w:sz w:val="21"/>
        </w:rPr>
        <w:t>самовря-</w:t>
      </w:r>
    </w:p>
    <w:p w14:paraId="301EFCB5" w14:textId="77777777" w:rsidR="00DE575E" w:rsidRDefault="002E7560">
      <w:pPr>
        <w:pStyle w:val="BodyText"/>
        <w:spacing w:before="1" w:line="252" w:lineRule="auto"/>
        <w:ind w:left="250" w:right="408"/>
        <w:jc w:val="both"/>
      </w:pPr>
      <w:r>
        <w:rPr>
          <w:color w:val="231F20"/>
        </w:rPr>
        <w:t>дування є виконання певних службових функцій згідно із займа- ною посадою в цих органах. Посада визначає відповідний соціаль- но-функціональний та організаційно-правовий статус службовця місцевого самоврядування, компетенцію та зміст його службово</w:t>
      </w:r>
      <w:r>
        <w:rPr>
          <w:color w:val="231F20"/>
        </w:rPr>
        <w:t>ї діяльності, способи вступу на службу в органах місцевого самовря- дування, її проходження та припинення та ін.</w:t>
      </w:r>
    </w:p>
    <w:p w14:paraId="2FD179AE" w14:textId="77777777" w:rsidR="00DE575E" w:rsidRDefault="002E7560">
      <w:pPr>
        <w:pStyle w:val="BodyText"/>
        <w:spacing w:before="3" w:line="252" w:lineRule="auto"/>
        <w:ind w:left="250" w:right="521" w:firstLine="283"/>
      </w:pPr>
      <w:r>
        <w:rPr>
          <w:b/>
          <w:i/>
          <w:color w:val="231F20"/>
        </w:rPr>
        <w:t xml:space="preserve">Посади </w:t>
      </w:r>
      <w:r>
        <w:rPr>
          <w:color w:val="231F20"/>
        </w:rPr>
        <w:t>в органах місцевого самоврядування залежать від шляхів їх заміщення, а саме</w:t>
      </w:r>
      <w:r>
        <w:rPr>
          <w:color w:val="231F20"/>
          <w:spacing w:val="21"/>
        </w:rPr>
        <w:t xml:space="preserve"> </w:t>
      </w:r>
      <w:r>
        <w:rPr>
          <w:color w:val="231F20"/>
        </w:rPr>
        <w:t>це:</w:t>
      </w:r>
    </w:p>
    <w:p w14:paraId="1235DE75" w14:textId="77777777" w:rsidR="00DE575E" w:rsidRDefault="002E7560">
      <w:pPr>
        <w:pStyle w:val="ListParagraph"/>
        <w:numPr>
          <w:ilvl w:val="0"/>
          <w:numId w:val="45"/>
        </w:numPr>
        <w:tabs>
          <w:tab w:val="left" w:pos="818"/>
        </w:tabs>
        <w:spacing w:line="252" w:lineRule="auto"/>
        <w:ind w:right="407" w:firstLine="283"/>
        <w:jc w:val="left"/>
        <w:rPr>
          <w:sz w:val="21"/>
        </w:rPr>
      </w:pPr>
      <w:r>
        <w:rPr>
          <w:color w:val="231F20"/>
          <w:sz w:val="21"/>
        </w:rPr>
        <w:t>виборні посади, на які особи обираються на місцевих  виб</w:t>
      </w:r>
      <w:r>
        <w:rPr>
          <w:color w:val="231F20"/>
          <w:sz w:val="21"/>
        </w:rPr>
        <w:t>орах;</w:t>
      </w:r>
    </w:p>
    <w:p w14:paraId="37A3E49A" w14:textId="77777777" w:rsidR="00DE575E" w:rsidRDefault="002E7560">
      <w:pPr>
        <w:pStyle w:val="ListParagraph"/>
        <w:numPr>
          <w:ilvl w:val="0"/>
          <w:numId w:val="45"/>
        </w:numPr>
        <w:tabs>
          <w:tab w:val="left" w:pos="818"/>
        </w:tabs>
        <w:spacing w:line="252" w:lineRule="auto"/>
        <w:ind w:right="408" w:firstLine="283"/>
        <w:jc w:val="left"/>
        <w:rPr>
          <w:sz w:val="21"/>
        </w:rPr>
      </w:pPr>
      <w:r>
        <w:rPr>
          <w:color w:val="231F20"/>
          <w:sz w:val="21"/>
        </w:rPr>
        <w:t>виборні посади, на які особи обираються або затверджуються відповідною</w:t>
      </w:r>
      <w:r>
        <w:rPr>
          <w:color w:val="231F20"/>
          <w:spacing w:val="3"/>
          <w:sz w:val="21"/>
        </w:rPr>
        <w:t xml:space="preserve"> </w:t>
      </w:r>
      <w:r>
        <w:rPr>
          <w:color w:val="231F20"/>
          <w:sz w:val="21"/>
        </w:rPr>
        <w:t>радою;</w:t>
      </w:r>
    </w:p>
    <w:p w14:paraId="2585C755" w14:textId="77777777" w:rsidR="00DE575E" w:rsidRDefault="002E7560">
      <w:pPr>
        <w:pStyle w:val="ListParagraph"/>
        <w:numPr>
          <w:ilvl w:val="0"/>
          <w:numId w:val="45"/>
        </w:numPr>
        <w:tabs>
          <w:tab w:val="left" w:pos="818"/>
        </w:tabs>
        <w:spacing w:line="252" w:lineRule="auto"/>
        <w:ind w:right="407" w:firstLine="283"/>
        <w:jc w:val="left"/>
        <w:rPr>
          <w:sz w:val="21"/>
        </w:rPr>
      </w:pPr>
      <w:r>
        <w:rPr>
          <w:color w:val="231F20"/>
          <w:sz w:val="21"/>
        </w:rPr>
        <w:t>посади, на які особи призначаються сільським, селищним, міським</w:t>
      </w:r>
      <w:r>
        <w:rPr>
          <w:color w:val="231F20"/>
          <w:spacing w:val="23"/>
          <w:sz w:val="21"/>
        </w:rPr>
        <w:t xml:space="preserve"> </w:t>
      </w:r>
      <w:r>
        <w:rPr>
          <w:color w:val="231F20"/>
          <w:sz w:val="21"/>
        </w:rPr>
        <w:t>головою,</w:t>
      </w:r>
      <w:r>
        <w:rPr>
          <w:color w:val="231F20"/>
          <w:spacing w:val="23"/>
          <w:sz w:val="21"/>
        </w:rPr>
        <w:t xml:space="preserve"> </w:t>
      </w:r>
      <w:r>
        <w:rPr>
          <w:color w:val="231F20"/>
          <w:sz w:val="21"/>
        </w:rPr>
        <w:t>головою</w:t>
      </w:r>
      <w:r>
        <w:rPr>
          <w:color w:val="231F20"/>
          <w:spacing w:val="23"/>
          <w:sz w:val="21"/>
        </w:rPr>
        <w:t xml:space="preserve"> </w:t>
      </w:r>
      <w:r>
        <w:rPr>
          <w:color w:val="231F20"/>
          <w:sz w:val="21"/>
        </w:rPr>
        <w:t>районної,</w:t>
      </w:r>
      <w:r>
        <w:rPr>
          <w:color w:val="231F20"/>
          <w:spacing w:val="23"/>
          <w:sz w:val="21"/>
        </w:rPr>
        <w:t xml:space="preserve"> </w:t>
      </w:r>
      <w:r>
        <w:rPr>
          <w:color w:val="231F20"/>
          <w:sz w:val="21"/>
        </w:rPr>
        <w:t>районної</w:t>
      </w:r>
      <w:r>
        <w:rPr>
          <w:color w:val="231F20"/>
          <w:spacing w:val="23"/>
          <w:sz w:val="21"/>
        </w:rPr>
        <w:t xml:space="preserve"> </w:t>
      </w:r>
      <w:r>
        <w:rPr>
          <w:color w:val="231F20"/>
          <w:sz w:val="21"/>
        </w:rPr>
        <w:t>у</w:t>
      </w:r>
      <w:r>
        <w:rPr>
          <w:color w:val="231F20"/>
          <w:spacing w:val="23"/>
          <w:sz w:val="21"/>
        </w:rPr>
        <w:t xml:space="preserve"> </w:t>
      </w:r>
      <w:r>
        <w:rPr>
          <w:color w:val="231F20"/>
          <w:sz w:val="21"/>
        </w:rPr>
        <w:t>місті,</w:t>
      </w:r>
      <w:r>
        <w:rPr>
          <w:color w:val="231F20"/>
          <w:spacing w:val="23"/>
          <w:sz w:val="21"/>
        </w:rPr>
        <w:t xml:space="preserve"> </w:t>
      </w:r>
      <w:r>
        <w:rPr>
          <w:color w:val="231F20"/>
          <w:sz w:val="21"/>
        </w:rPr>
        <w:t>обласної</w:t>
      </w:r>
    </w:p>
    <w:p w14:paraId="183CC420" w14:textId="77777777" w:rsidR="00DE575E" w:rsidRDefault="00DE575E">
      <w:pPr>
        <w:pStyle w:val="BodyText"/>
        <w:spacing w:before="5"/>
        <w:rPr>
          <w:sz w:val="12"/>
        </w:rPr>
      </w:pPr>
    </w:p>
    <w:p w14:paraId="6E3CB499" w14:textId="77777777" w:rsidR="00DE575E" w:rsidRDefault="002E7560">
      <w:pPr>
        <w:spacing w:before="92"/>
        <w:ind w:right="411"/>
        <w:jc w:val="right"/>
        <w:rPr>
          <w:rFonts w:ascii="Times New Roman"/>
          <w:sz w:val="20"/>
        </w:rPr>
      </w:pPr>
      <w:r>
        <w:rPr>
          <w:rFonts w:ascii="Times New Roman"/>
          <w:color w:val="231F20"/>
          <w:w w:val="90"/>
          <w:sz w:val="20"/>
        </w:rPr>
        <w:t>453</w:t>
      </w:r>
    </w:p>
    <w:p w14:paraId="29E93B8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39DA440"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01B30EE9" w14:textId="441E179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D3D9BFD" wp14:editId="58801122">
                <wp:extent cx="4140200" cy="6350"/>
                <wp:effectExtent l="0" t="0" r="12700" b="6350"/>
                <wp:docPr id="26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64" name="Line 2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72A2E5" id="Group_x0020_2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7lw5Yn4CAACYBQAADgAA&#10;AAAAAAAAAAAAAAAsAgAAZHJzL2Uyb0RvYy54bWxQSwECLQAUAAYACAAAACEATKewkNkAAAADAQAA&#10;DwAAAAAAAAAAAAAAAADWBAAAZHJzL2Rvd25yZXYueG1sUEsFBgAAAAAEAAQA8wAAANwFAAAAAA==&#10;">
                <v:line id="Line_x0020_2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XLqsYAAADcAAAADwAAAGRycy9kb3ducmV2LnhtbESP3WrCQBSE7wu+w3KE3hTdVIuU6Coi&#10;FIoX/qUPcMyeJqG7Z2N2NdGnd4WCl8PMfMPMFp014kKNrxwreB8mIIhzpysuFPxkX4NPED4gazSO&#10;ScGVPCzmvZcZptq1vKfLIRQiQtinqKAMoU6l9HlJFv3Q1cTR+3WNxRBlU0jdYBvh1shRkkykxYrj&#10;Qok1rUrK/w5nqyA7vQWz265Nm22PY3k8bca380ap1363nIII1IVn+L/9rRWMJh/wOBOPgJ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5Fy6rGAAAA3AAAAA8AAAAAAAAA&#10;AAAAAAAAoQIAAGRycy9kb3ducmV2LnhtbFBLBQYAAAAABAAEAPkAAACUAwAAAAA=&#10;" strokecolor="#231f20" strokeweight=".5pt"/>
                <w10:anchorlock/>
              </v:group>
            </w:pict>
          </mc:Fallback>
        </mc:AlternateContent>
      </w:r>
    </w:p>
    <w:p w14:paraId="4D4FA43C" w14:textId="77777777" w:rsidR="00DE575E" w:rsidRDefault="00DE575E">
      <w:pPr>
        <w:pStyle w:val="BodyText"/>
        <w:spacing w:before="7"/>
        <w:rPr>
          <w:rFonts w:ascii="AdonisC"/>
          <w:i/>
          <w:sz w:val="11"/>
        </w:rPr>
      </w:pPr>
    </w:p>
    <w:p w14:paraId="035C765B" w14:textId="77777777" w:rsidR="00DE575E" w:rsidRDefault="002E7560">
      <w:pPr>
        <w:pStyle w:val="BodyText"/>
        <w:spacing w:before="101" w:line="252" w:lineRule="auto"/>
        <w:ind w:left="533"/>
      </w:pPr>
      <w:r>
        <w:rPr>
          <w:color w:val="231F20"/>
        </w:rPr>
        <w:t>ради на конкурсній основі чи за іншою процедурою, передбаченою законодавством України.</w:t>
      </w:r>
    </w:p>
    <w:p w14:paraId="0D354266" w14:textId="77777777" w:rsidR="00DE575E" w:rsidRDefault="002E7560">
      <w:pPr>
        <w:pStyle w:val="BodyText"/>
        <w:spacing w:before="1" w:line="252" w:lineRule="auto"/>
        <w:ind w:left="533" w:right="127" w:firstLine="283"/>
        <w:jc w:val="both"/>
      </w:pPr>
      <w:r>
        <w:rPr>
          <w:b/>
          <w:i/>
          <w:color w:val="231F20"/>
        </w:rPr>
        <w:t xml:space="preserve">Посадовою особою місцевого самоврядування </w:t>
      </w:r>
      <w:r>
        <w:rPr>
          <w:color w:val="231F20"/>
        </w:rPr>
        <w:t>є особа, яка працює в органах місцевого самовряд</w:t>
      </w:r>
      <w:r>
        <w:rPr>
          <w:color w:val="231F20"/>
        </w:rPr>
        <w:t xml:space="preserve">ування, має відповідні поса- дові повноваження щодо здійснення  організаційно-розпорядчих  та консультативно-дорадчих функцій і отримує заробітну плату за рахунок місцевого </w:t>
      </w:r>
      <w:r>
        <w:rPr>
          <w:color w:val="231F20"/>
          <w:spacing w:val="-4"/>
        </w:rPr>
        <w:t xml:space="preserve">бюджету. Технічні </w:t>
      </w:r>
      <w:r>
        <w:rPr>
          <w:color w:val="231F20"/>
        </w:rPr>
        <w:t>працівники та обслуговуючий персонал органів місцевого самоврядув</w:t>
      </w:r>
      <w:r>
        <w:rPr>
          <w:color w:val="231F20"/>
        </w:rPr>
        <w:t>ання до посадових осіб не належать.</w:t>
      </w:r>
    </w:p>
    <w:p w14:paraId="4F410584" w14:textId="77777777" w:rsidR="00DE575E" w:rsidRDefault="002E7560">
      <w:pPr>
        <w:pStyle w:val="BodyText"/>
        <w:spacing w:before="3" w:line="252" w:lineRule="auto"/>
        <w:ind w:left="533" w:right="126" w:firstLine="283"/>
        <w:jc w:val="both"/>
      </w:pPr>
      <w:r>
        <w:rPr>
          <w:color w:val="231F20"/>
        </w:rPr>
        <w:t xml:space="preserve">Право на службу в органах місцевого самоврядування мають громадяни </w:t>
      </w:r>
      <w:r>
        <w:rPr>
          <w:color w:val="231F20"/>
          <w:spacing w:val="-3"/>
        </w:rPr>
        <w:t xml:space="preserve">України </w:t>
      </w:r>
      <w:r>
        <w:rPr>
          <w:color w:val="231F20"/>
        </w:rPr>
        <w:t>незалежно від раси, кольору шкіри, політич- них,</w:t>
      </w:r>
      <w:r>
        <w:rPr>
          <w:color w:val="231F20"/>
          <w:spacing w:val="-6"/>
        </w:rPr>
        <w:t xml:space="preserve"> </w:t>
      </w:r>
      <w:r>
        <w:rPr>
          <w:color w:val="231F20"/>
        </w:rPr>
        <w:t>релігійних</w:t>
      </w:r>
      <w:r>
        <w:rPr>
          <w:color w:val="231F20"/>
          <w:spacing w:val="-6"/>
        </w:rPr>
        <w:t xml:space="preserve"> </w:t>
      </w:r>
      <w:r>
        <w:rPr>
          <w:color w:val="231F20"/>
        </w:rPr>
        <w:t>та</w:t>
      </w:r>
      <w:r>
        <w:rPr>
          <w:color w:val="231F20"/>
          <w:spacing w:val="-6"/>
        </w:rPr>
        <w:t xml:space="preserve"> </w:t>
      </w:r>
      <w:r>
        <w:rPr>
          <w:color w:val="231F20"/>
        </w:rPr>
        <w:t>інших</w:t>
      </w:r>
      <w:r>
        <w:rPr>
          <w:color w:val="231F20"/>
          <w:spacing w:val="-6"/>
        </w:rPr>
        <w:t xml:space="preserve"> </w:t>
      </w:r>
      <w:r>
        <w:rPr>
          <w:color w:val="231F20"/>
        </w:rPr>
        <w:t>переконань,</w:t>
      </w:r>
      <w:r>
        <w:rPr>
          <w:color w:val="231F20"/>
          <w:spacing w:val="-6"/>
        </w:rPr>
        <w:t xml:space="preserve"> </w:t>
      </w:r>
      <w:r>
        <w:rPr>
          <w:color w:val="231F20"/>
        </w:rPr>
        <w:t>статі,</w:t>
      </w:r>
      <w:r>
        <w:rPr>
          <w:color w:val="231F20"/>
          <w:spacing w:val="-6"/>
        </w:rPr>
        <w:t xml:space="preserve"> </w:t>
      </w:r>
      <w:r>
        <w:rPr>
          <w:color w:val="231F20"/>
        </w:rPr>
        <w:t>етнічного</w:t>
      </w:r>
      <w:r>
        <w:rPr>
          <w:color w:val="231F20"/>
          <w:spacing w:val="-6"/>
        </w:rPr>
        <w:t xml:space="preserve"> </w:t>
      </w:r>
      <w:r>
        <w:rPr>
          <w:color w:val="231F20"/>
        </w:rPr>
        <w:t>та</w:t>
      </w:r>
      <w:r>
        <w:rPr>
          <w:color w:val="231F20"/>
          <w:spacing w:val="-6"/>
        </w:rPr>
        <w:t xml:space="preserve"> </w:t>
      </w:r>
      <w:r>
        <w:rPr>
          <w:color w:val="231F20"/>
        </w:rPr>
        <w:t xml:space="preserve">соціального походження, майнового </w:t>
      </w:r>
      <w:r>
        <w:rPr>
          <w:color w:val="231F20"/>
          <w:spacing w:val="-3"/>
        </w:rPr>
        <w:t xml:space="preserve">стану, </w:t>
      </w:r>
      <w:r>
        <w:rPr>
          <w:color w:val="231F20"/>
        </w:rPr>
        <w:t>терміну проживання на відповідній території.</w:t>
      </w:r>
      <w:r>
        <w:rPr>
          <w:color w:val="231F20"/>
          <w:spacing w:val="-10"/>
        </w:rPr>
        <w:t xml:space="preserve"> </w:t>
      </w:r>
      <w:r>
        <w:rPr>
          <w:color w:val="231F20"/>
        </w:rPr>
        <w:t>На</w:t>
      </w:r>
      <w:r>
        <w:rPr>
          <w:color w:val="231F20"/>
          <w:spacing w:val="-10"/>
        </w:rPr>
        <w:t xml:space="preserve"> </w:t>
      </w:r>
      <w:r>
        <w:rPr>
          <w:color w:val="231F20"/>
        </w:rPr>
        <w:t>посаду</w:t>
      </w:r>
      <w:r>
        <w:rPr>
          <w:color w:val="231F20"/>
          <w:spacing w:val="-10"/>
        </w:rPr>
        <w:t xml:space="preserve"> </w:t>
      </w:r>
      <w:r>
        <w:rPr>
          <w:color w:val="231F20"/>
        </w:rPr>
        <w:t>можуть</w:t>
      </w:r>
      <w:r>
        <w:rPr>
          <w:color w:val="231F20"/>
          <w:spacing w:val="-10"/>
        </w:rPr>
        <w:t xml:space="preserve"> </w:t>
      </w:r>
      <w:r>
        <w:rPr>
          <w:color w:val="231F20"/>
        </w:rPr>
        <w:t>бути</w:t>
      </w:r>
      <w:r>
        <w:rPr>
          <w:color w:val="231F20"/>
          <w:spacing w:val="-10"/>
        </w:rPr>
        <w:t xml:space="preserve"> </w:t>
      </w:r>
      <w:r>
        <w:rPr>
          <w:color w:val="231F20"/>
        </w:rPr>
        <w:t>призначені</w:t>
      </w:r>
      <w:r>
        <w:rPr>
          <w:color w:val="231F20"/>
          <w:spacing w:val="-10"/>
        </w:rPr>
        <w:t xml:space="preserve"> </w:t>
      </w:r>
      <w:r>
        <w:rPr>
          <w:color w:val="231F20"/>
        </w:rPr>
        <w:t>особи,</w:t>
      </w:r>
      <w:r>
        <w:rPr>
          <w:color w:val="231F20"/>
          <w:spacing w:val="-10"/>
        </w:rPr>
        <w:t xml:space="preserve"> </w:t>
      </w:r>
      <w:r>
        <w:rPr>
          <w:color w:val="231F20"/>
        </w:rPr>
        <w:t>які</w:t>
      </w:r>
      <w:r>
        <w:rPr>
          <w:color w:val="231F20"/>
          <w:spacing w:val="-10"/>
        </w:rPr>
        <w:t xml:space="preserve"> </w:t>
      </w:r>
      <w:r>
        <w:rPr>
          <w:color w:val="231F20"/>
        </w:rPr>
        <w:t>мають</w:t>
      </w:r>
      <w:r>
        <w:rPr>
          <w:color w:val="231F20"/>
          <w:spacing w:val="-10"/>
        </w:rPr>
        <w:t xml:space="preserve"> </w:t>
      </w:r>
      <w:r>
        <w:rPr>
          <w:color w:val="231F20"/>
        </w:rPr>
        <w:t>відпо- відну освіту і професійну підготовку, володіють державною мовою  і</w:t>
      </w:r>
      <w:r>
        <w:rPr>
          <w:color w:val="231F20"/>
          <w:spacing w:val="-9"/>
        </w:rPr>
        <w:t xml:space="preserve"> </w:t>
      </w:r>
      <w:r>
        <w:rPr>
          <w:color w:val="231F20"/>
        </w:rPr>
        <w:t>регіональними</w:t>
      </w:r>
      <w:r>
        <w:rPr>
          <w:color w:val="231F20"/>
          <w:spacing w:val="-9"/>
        </w:rPr>
        <w:t xml:space="preserve"> </w:t>
      </w:r>
      <w:r>
        <w:rPr>
          <w:color w:val="231F20"/>
        </w:rPr>
        <w:t>мовами</w:t>
      </w:r>
      <w:r>
        <w:rPr>
          <w:color w:val="231F20"/>
          <w:spacing w:val="-9"/>
        </w:rPr>
        <w:t xml:space="preserve"> </w:t>
      </w:r>
      <w:r>
        <w:rPr>
          <w:color w:val="231F20"/>
        </w:rPr>
        <w:t>в</w:t>
      </w:r>
      <w:r>
        <w:rPr>
          <w:color w:val="231F20"/>
          <w:spacing w:val="-8"/>
        </w:rPr>
        <w:t xml:space="preserve"> </w:t>
      </w:r>
      <w:r>
        <w:rPr>
          <w:color w:val="231F20"/>
        </w:rPr>
        <w:t>обсягах,</w:t>
      </w:r>
      <w:r>
        <w:rPr>
          <w:color w:val="231F20"/>
          <w:spacing w:val="-8"/>
        </w:rPr>
        <w:t xml:space="preserve"> </w:t>
      </w:r>
      <w:r>
        <w:rPr>
          <w:color w:val="231F20"/>
        </w:rPr>
        <w:t>достатніх</w:t>
      </w:r>
      <w:r>
        <w:rPr>
          <w:color w:val="231F20"/>
          <w:spacing w:val="-9"/>
        </w:rPr>
        <w:t xml:space="preserve"> </w:t>
      </w:r>
      <w:r>
        <w:rPr>
          <w:color w:val="231F20"/>
        </w:rPr>
        <w:t>для</w:t>
      </w:r>
      <w:r>
        <w:rPr>
          <w:color w:val="231F20"/>
          <w:spacing w:val="-9"/>
        </w:rPr>
        <w:t xml:space="preserve"> </w:t>
      </w:r>
      <w:r>
        <w:rPr>
          <w:color w:val="231F20"/>
        </w:rPr>
        <w:t>виконання</w:t>
      </w:r>
      <w:r>
        <w:rPr>
          <w:color w:val="231F20"/>
          <w:spacing w:val="-9"/>
        </w:rPr>
        <w:t xml:space="preserve"> </w:t>
      </w:r>
      <w:r>
        <w:rPr>
          <w:color w:val="231F20"/>
        </w:rPr>
        <w:t>службо- вих обов’язків. На поса</w:t>
      </w:r>
      <w:r>
        <w:rPr>
          <w:color w:val="231F20"/>
        </w:rPr>
        <w:t xml:space="preserve">дових осіб місцевого самоврядування поши- рюється дія законодавства </w:t>
      </w:r>
      <w:r>
        <w:rPr>
          <w:color w:val="231F20"/>
          <w:spacing w:val="-3"/>
        </w:rPr>
        <w:t xml:space="preserve">України </w:t>
      </w:r>
      <w:r>
        <w:rPr>
          <w:color w:val="231F20"/>
        </w:rPr>
        <w:t>про працю з урахуванням особ- ливостей, передбачених вищезгаданим</w:t>
      </w:r>
      <w:r>
        <w:rPr>
          <w:color w:val="231F20"/>
          <w:spacing w:val="-2"/>
        </w:rPr>
        <w:t xml:space="preserve"> </w:t>
      </w:r>
      <w:r>
        <w:rPr>
          <w:color w:val="231F20"/>
        </w:rPr>
        <w:t>законом.</w:t>
      </w:r>
    </w:p>
    <w:p w14:paraId="0C7D7737" w14:textId="77777777" w:rsidR="00DE575E" w:rsidRDefault="002E7560">
      <w:pPr>
        <w:pStyle w:val="BodyText"/>
        <w:spacing w:before="5" w:line="252" w:lineRule="auto"/>
        <w:ind w:left="533" w:right="123" w:firstLine="283"/>
        <w:jc w:val="both"/>
      </w:pPr>
      <w:r>
        <w:rPr>
          <w:b/>
          <w:i/>
          <w:color w:val="231F20"/>
        </w:rPr>
        <w:t xml:space="preserve">Прийняття на службу </w:t>
      </w:r>
      <w:r>
        <w:rPr>
          <w:color w:val="231F20"/>
        </w:rPr>
        <w:t xml:space="preserve">в органи місцевого самоврядування здійснюється різними способами. Зокрема, на посаду </w:t>
      </w:r>
      <w:r>
        <w:rPr>
          <w:color w:val="231F20"/>
        </w:rPr>
        <w:t>сільського, селищного, міського голови, старости –  в  порядку,  встановле- ному Законом України «Про місцеве самоврядування  в  Україні»;  на посаду голови та заступників голови районної, районної у місті, обласної ради, заступника міського голови – секре</w:t>
      </w:r>
      <w:r>
        <w:rPr>
          <w:color w:val="231F20"/>
        </w:rPr>
        <w:t>таря Київської міськради, секретаря сільської, селищної, міської ради, голови постійної комісії з питань бюджету обласної, Київської та Севас- топольської міських рад – шляхом  обрання  відповідною  радою;  на  посади  заступників   сільського,   селищного</w:t>
      </w:r>
      <w:r>
        <w:rPr>
          <w:color w:val="231F20"/>
        </w:rPr>
        <w:t xml:space="preserve">,   міського   голови з питань діяльності виконавчих органів ради, керуючого справами (секретаря) виконавчого комітету сільської, селищної, міської, районної у місті ради – шляхом затвердження відповідною радою; на посади керівника секретаріату (керуючого </w:t>
      </w:r>
      <w:r>
        <w:rPr>
          <w:color w:val="231F20"/>
        </w:rPr>
        <w:t>справами) районної, обласної ради, керуючого справами виконавчого апарату обласних  і районних рад, керівників відділів, управлінь та інших працівників органів місцевого самоврядування – шляхом призначення відпо- відно сільським, селищним, міським головою,</w:t>
      </w:r>
      <w:r>
        <w:rPr>
          <w:color w:val="231F20"/>
        </w:rPr>
        <w:t xml:space="preserve"> головою районної, районної у місті, обласної ради на конкурсній основі чи за іншою процедурою, передбаченою законодавством</w:t>
      </w:r>
      <w:r>
        <w:rPr>
          <w:color w:val="231F20"/>
          <w:spacing w:val="16"/>
        </w:rPr>
        <w:t xml:space="preserve"> </w:t>
      </w:r>
      <w:r>
        <w:rPr>
          <w:color w:val="231F20"/>
        </w:rPr>
        <w:t>України.</w:t>
      </w:r>
    </w:p>
    <w:p w14:paraId="44533FCA" w14:textId="77777777" w:rsidR="00DE575E" w:rsidRDefault="00DE575E">
      <w:pPr>
        <w:pStyle w:val="BodyText"/>
        <w:spacing w:before="2"/>
        <w:rPr>
          <w:sz w:val="13"/>
        </w:rPr>
      </w:pPr>
    </w:p>
    <w:p w14:paraId="48C2F4CF" w14:textId="77777777" w:rsidR="00DE575E" w:rsidRDefault="002E7560">
      <w:pPr>
        <w:spacing w:before="92"/>
        <w:ind w:left="533"/>
        <w:rPr>
          <w:rFonts w:ascii="Times New Roman"/>
          <w:sz w:val="20"/>
        </w:rPr>
      </w:pPr>
      <w:r>
        <w:rPr>
          <w:rFonts w:ascii="Times New Roman"/>
          <w:color w:val="231F20"/>
          <w:sz w:val="20"/>
        </w:rPr>
        <w:t>454</w:t>
      </w:r>
    </w:p>
    <w:p w14:paraId="7A368D86" w14:textId="77777777" w:rsidR="00DE575E" w:rsidRDefault="00DE575E">
      <w:pPr>
        <w:rPr>
          <w:rFonts w:ascii="Times New Roman"/>
          <w:sz w:val="20"/>
        </w:rPr>
        <w:sectPr w:rsidR="00DE575E">
          <w:pgSz w:w="8510" w:h="12760"/>
          <w:pgMar w:top="660" w:right="720" w:bottom="280" w:left="600" w:header="720" w:footer="720" w:gutter="0"/>
          <w:cols w:space="720"/>
        </w:sectPr>
      </w:pPr>
    </w:p>
    <w:p w14:paraId="19E05634"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4E57BA91" w14:textId="4B41646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660BAB7" wp14:editId="7352D1A4">
                <wp:extent cx="4140200" cy="6350"/>
                <wp:effectExtent l="0" t="0" r="12700" b="6350"/>
                <wp:docPr id="26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62" name="Line 2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F88D7" id="Group_x0020_2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dQM03H4CAACYBQAADgAA&#10;AAAAAAAAAAAAAAAsAgAAZHJzL2Uyb0RvYy54bWxQSwECLQAUAAYACAAAACEATKewkNkAAAADAQAA&#10;DwAAAAAAAAAAAAAAAADWBAAAZHJzL2Rvd25yZXYueG1sUEsFBgAAAAAEAAQA8wAAANwFAAAAAA==&#10;">
                <v:line id="Line_x0020_2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D2RcYAAADcAAAADwAAAGRycy9kb3ducmV2LnhtbESP0WrCQBRE3wX/YbmCL1I3jSCSuooI&#10;BfFBW+MHXLO3Seju3ZhdTezXdwsFH4eZOcMs17014k6trx0reJ0mIIgLp2suFZzz95cFCB+QNRrH&#10;pOBBHtar4WCJmXYdf9L9FEoRIewzVFCF0GRS+qIii37qGuLofbnWYoiyLaVusYtwa2SaJHNpsea4&#10;UGFD24qK79PNKsivk2A+jnvT5cfLTF6uh9nP7aDUeNRv3kAE6sMz/N/eaQXpPIW/M/EI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7g9kXGAAAA3AAAAA8AAAAAAAAA&#10;AAAAAAAAoQIAAGRycy9kb3ducmV2LnhtbFBLBQYAAAAABAAEAPkAAACUAwAAAAA=&#10;" strokecolor="#231f20" strokeweight=".5pt"/>
                <w10:anchorlock/>
              </v:group>
            </w:pict>
          </mc:Fallback>
        </mc:AlternateContent>
      </w:r>
    </w:p>
    <w:p w14:paraId="169D36ED" w14:textId="77777777" w:rsidR="00DE575E" w:rsidRDefault="00DE575E">
      <w:pPr>
        <w:pStyle w:val="BodyText"/>
        <w:spacing w:before="7"/>
        <w:rPr>
          <w:rFonts w:ascii="AdonisC"/>
          <w:i/>
          <w:sz w:val="19"/>
        </w:rPr>
      </w:pPr>
    </w:p>
    <w:p w14:paraId="2850EB4E" w14:textId="77777777" w:rsidR="00DE575E" w:rsidRDefault="002E7560">
      <w:pPr>
        <w:pStyle w:val="BodyText"/>
        <w:spacing w:before="1" w:line="252" w:lineRule="auto"/>
        <w:ind w:left="250" w:right="410" w:firstLine="283"/>
        <w:jc w:val="both"/>
      </w:pPr>
      <w:r>
        <w:rPr>
          <w:color w:val="231F20"/>
        </w:rPr>
        <w:t xml:space="preserve">Проведення </w:t>
      </w:r>
      <w:r>
        <w:rPr>
          <w:color w:val="231F20"/>
          <w:spacing w:val="-3"/>
        </w:rPr>
        <w:t xml:space="preserve">конкурсу, </w:t>
      </w:r>
      <w:r>
        <w:rPr>
          <w:color w:val="231F20"/>
        </w:rPr>
        <w:t xml:space="preserve">випробування та стажування при прийнятті на службу в органи місцевого самоврядування здійсню- ється в </w:t>
      </w:r>
      <w:r>
        <w:rPr>
          <w:color w:val="231F20"/>
          <w:spacing w:val="-3"/>
        </w:rPr>
        <w:t xml:space="preserve">порядку, </w:t>
      </w:r>
      <w:r>
        <w:rPr>
          <w:color w:val="231F20"/>
        </w:rPr>
        <w:t>визначеному для державної служби. На час відсут- ності</w:t>
      </w:r>
      <w:r>
        <w:rPr>
          <w:color w:val="231F20"/>
          <w:spacing w:val="-10"/>
        </w:rPr>
        <w:t xml:space="preserve"> </w:t>
      </w:r>
      <w:r>
        <w:rPr>
          <w:color w:val="231F20"/>
        </w:rPr>
        <w:t>поса</w:t>
      </w:r>
      <w:r>
        <w:rPr>
          <w:color w:val="231F20"/>
        </w:rPr>
        <w:t>дових</w:t>
      </w:r>
      <w:r>
        <w:rPr>
          <w:color w:val="231F20"/>
          <w:spacing w:val="-9"/>
        </w:rPr>
        <w:t xml:space="preserve"> </w:t>
      </w:r>
      <w:r>
        <w:rPr>
          <w:color w:val="231F20"/>
        </w:rPr>
        <w:t>осіб</w:t>
      </w:r>
      <w:r>
        <w:rPr>
          <w:color w:val="231F20"/>
          <w:spacing w:val="-10"/>
        </w:rPr>
        <w:t xml:space="preserve"> </w:t>
      </w:r>
      <w:r>
        <w:rPr>
          <w:color w:val="231F20"/>
        </w:rPr>
        <w:t>органів</w:t>
      </w:r>
      <w:r>
        <w:rPr>
          <w:color w:val="231F20"/>
          <w:spacing w:val="-10"/>
        </w:rPr>
        <w:t xml:space="preserve"> </w:t>
      </w:r>
      <w:r>
        <w:rPr>
          <w:color w:val="231F20"/>
        </w:rPr>
        <w:t>місцевого</w:t>
      </w:r>
      <w:r>
        <w:rPr>
          <w:color w:val="231F20"/>
          <w:spacing w:val="-10"/>
        </w:rPr>
        <w:t xml:space="preserve"> </w:t>
      </w:r>
      <w:r>
        <w:rPr>
          <w:color w:val="231F20"/>
        </w:rPr>
        <w:t>самоврядування</w:t>
      </w:r>
      <w:r>
        <w:rPr>
          <w:color w:val="231F20"/>
          <w:spacing w:val="-10"/>
        </w:rPr>
        <w:t xml:space="preserve"> </w:t>
      </w:r>
      <w:r>
        <w:rPr>
          <w:color w:val="231F20"/>
        </w:rPr>
        <w:t>(крім</w:t>
      </w:r>
      <w:r>
        <w:rPr>
          <w:color w:val="231F20"/>
          <w:spacing w:val="-9"/>
        </w:rPr>
        <w:t xml:space="preserve"> </w:t>
      </w:r>
      <w:r>
        <w:rPr>
          <w:color w:val="231F20"/>
        </w:rPr>
        <w:t xml:space="preserve">вибор- них посад) для виконання їх повноважень можуть прийматися на службу особи за строковим </w:t>
      </w:r>
      <w:r>
        <w:rPr>
          <w:color w:val="231F20"/>
          <w:spacing w:val="-3"/>
        </w:rPr>
        <w:t xml:space="preserve">трудовим </w:t>
      </w:r>
      <w:r>
        <w:rPr>
          <w:color w:val="231F20"/>
        </w:rPr>
        <w:t>договором</w:t>
      </w:r>
      <w:r>
        <w:rPr>
          <w:color w:val="231F20"/>
          <w:spacing w:val="-6"/>
        </w:rPr>
        <w:t xml:space="preserve"> </w:t>
      </w:r>
      <w:r>
        <w:rPr>
          <w:color w:val="231F20"/>
        </w:rPr>
        <w:t>(контрактом).</w:t>
      </w:r>
    </w:p>
    <w:p w14:paraId="435FD492" w14:textId="77777777" w:rsidR="00DE575E" w:rsidRDefault="002E7560">
      <w:pPr>
        <w:spacing w:before="3" w:line="252" w:lineRule="auto"/>
        <w:ind w:left="250" w:right="411" w:firstLine="283"/>
        <w:jc w:val="both"/>
        <w:rPr>
          <w:i/>
          <w:sz w:val="21"/>
        </w:rPr>
      </w:pPr>
      <w:r>
        <w:rPr>
          <w:color w:val="231F20"/>
          <w:sz w:val="21"/>
        </w:rPr>
        <w:t xml:space="preserve">За встановленими певними </w:t>
      </w:r>
      <w:r>
        <w:rPr>
          <w:i/>
          <w:color w:val="231F20"/>
          <w:sz w:val="21"/>
        </w:rPr>
        <w:t xml:space="preserve">обмеженнями, пов’язаними з прий- </w:t>
      </w:r>
      <w:r>
        <w:rPr>
          <w:i/>
          <w:color w:val="231F20"/>
          <w:sz w:val="21"/>
        </w:rPr>
        <w:t>няттям на службу в органах місцевого самоврядування та проход- женням служби, на таку службу не можуть бути прийняті особи:</w:t>
      </w:r>
    </w:p>
    <w:p w14:paraId="4E6AB895" w14:textId="77777777" w:rsidR="00DE575E" w:rsidRDefault="002E7560">
      <w:pPr>
        <w:pStyle w:val="ListParagraph"/>
        <w:numPr>
          <w:ilvl w:val="0"/>
          <w:numId w:val="44"/>
        </w:numPr>
        <w:tabs>
          <w:tab w:val="left" w:pos="818"/>
        </w:tabs>
        <w:ind w:firstLine="283"/>
        <w:jc w:val="left"/>
        <w:rPr>
          <w:sz w:val="21"/>
        </w:rPr>
      </w:pPr>
      <w:r>
        <w:rPr>
          <w:color w:val="231F20"/>
          <w:sz w:val="21"/>
        </w:rPr>
        <w:t xml:space="preserve">визнані </w:t>
      </w:r>
      <w:r>
        <w:rPr>
          <w:color w:val="231F20"/>
          <w:spacing w:val="-3"/>
          <w:sz w:val="21"/>
        </w:rPr>
        <w:t>судом</w:t>
      </w:r>
      <w:r>
        <w:rPr>
          <w:color w:val="231F20"/>
          <w:spacing w:val="-2"/>
          <w:sz w:val="21"/>
        </w:rPr>
        <w:t xml:space="preserve"> </w:t>
      </w:r>
      <w:r>
        <w:rPr>
          <w:color w:val="231F20"/>
          <w:sz w:val="21"/>
        </w:rPr>
        <w:t>недієздатними;</w:t>
      </w:r>
    </w:p>
    <w:p w14:paraId="6F381A45" w14:textId="77777777" w:rsidR="00DE575E" w:rsidRDefault="002E7560">
      <w:pPr>
        <w:pStyle w:val="ListParagraph"/>
        <w:numPr>
          <w:ilvl w:val="0"/>
          <w:numId w:val="44"/>
        </w:numPr>
        <w:tabs>
          <w:tab w:val="left" w:pos="818"/>
        </w:tabs>
        <w:spacing w:before="13" w:line="252" w:lineRule="auto"/>
        <w:ind w:right="411" w:firstLine="283"/>
        <w:rPr>
          <w:sz w:val="21"/>
        </w:rPr>
      </w:pPr>
      <w:r>
        <w:rPr>
          <w:color w:val="231F20"/>
          <w:sz w:val="21"/>
        </w:rPr>
        <w:t xml:space="preserve">які мають судимість за вчинення умисного </w:t>
      </w:r>
      <w:r>
        <w:rPr>
          <w:color w:val="231F20"/>
          <w:spacing w:val="-3"/>
          <w:sz w:val="21"/>
        </w:rPr>
        <w:t xml:space="preserve">злочину, </w:t>
      </w:r>
      <w:r>
        <w:rPr>
          <w:color w:val="231F20"/>
          <w:sz w:val="21"/>
        </w:rPr>
        <w:t>якщо ця судимість не погашена і не знята в установлен</w:t>
      </w:r>
      <w:r>
        <w:rPr>
          <w:color w:val="231F20"/>
          <w:sz w:val="21"/>
        </w:rPr>
        <w:t>ому</w:t>
      </w:r>
      <w:r>
        <w:rPr>
          <w:color w:val="231F20"/>
          <w:spacing w:val="-14"/>
          <w:sz w:val="21"/>
        </w:rPr>
        <w:t xml:space="preserve"> </w:t>
      </w:r>
      <w:r>
        <w:rPr>
          <w:color w:val="231F20"/>
          <w:sz w:val="21"/>
        </w:rPr>
        <w:t>порядку;</w:t>
      </w:r>
    </w:p>
    <w:p w14:paraId="5654C9B8" w14:textId="77777777" w:rsidR="00DE575E" w:rsidRDefault="002E7560">
      <w:pPr>
        <w:pStyle w:val="ListParagraph"/>
        <w:numPr>
          <w:ilvl w:val="0"/>
          <w:numId w:val="44"/>
        </w:numPr>
        <w:tabs>
          <w:tab w:val="left" w:pos="818"/>
        </w:tabs>
        <w:spacing w:line="252" w:lineRule="auto"/>
        <w:ind w:right="411" w:firstLine="283"/>
        <w:rPr>
          <w:sz w:val="21"/>
        </w:rPr>
      </w:pPr>
      <w:r>
        <w:rPr>
          <w:color w:val="231F20"/>
          <w:sz w:val="21"/>
        </w:rPr>
        <w:t xml:space="preserve">які за рішенням </w:t>
      </w:r>
      <w:r>
        <w:rPr>
          <w:color w:val="231F20"/>
          <w:spacing w:val="-4"/>
          <w:sz w:val="21"/>
        </w:rPr>
        <w:t xml:space="preserve">суду </w:t>
      </w:r>
      <w:r>
        <w:rPr>
          <w:color w:val="231F20"/>
          <w:sz w:val="21"/>
        </w:rPr>
        <w:t>позбавлені права займати посади в орга- нах державної влади та їх апараті або в органах місцевого самовря- дування упродовж установленого</w:t>
      </w:r>
      <w:r>
        <w:rPr>
          <w:color w:val="231F20"/>
          <w:spacing w:val="-4"/>
          <w:sz w:val="21"/>
        </w:rPr>
        <w:t xml:space="preserve"> </w:t>
      </w:r>
      <w:r>
        <w:rPr>
          <w:color w:val="231F20"/>
          <w:sz w:val="21"/>
        </w:rPr>
        <w:t>строку;</w:t>
      </w:r>
    </w:p>
    <w:p w14:paraId="0DCB6D0A" w14:textId="77777777" w:rsidR="00DE575E" w:rsidRDefault="002E7560">
      <w:pPr>
        <w:pStyle w:val="ListParagraph"/>
        <w:numPr>
          <w:ilvl w:val="0"/>
          <w:numId w:val="44"/>
        </w:numPr>
        <w:tabs>
          <w:tab w:val="left" w:pos="818"/>
        </w:tabs>
        <w:spacing w:line="252" w:lineRule="auto"/>
        <w:ind w:right="411" w:firstLine="283"/>
        <w:rPr>
          <w:sz w:val="21"/>
        </w:rPr>
      </w:pPr>
      <w:r>
        <w:rPr>
          <w:color w:val="231F20"/>
          <w:sz w:val="21"/>
        </w:rPr>
        <w:t xml:space="preserve">які в разі прийняття на службу в органи місцевого самовряду- вання </w:t>
      </w:r>
      <w:r>
        <w:rPr>
          <w:color w:val="231F20"/>
          <w:spacing w:val="-3"/>
          <w:sz w:val="21"/>
        </w:rPr>
        <w:t xml:space="preserve">будуть </w:t>
      </w:r>
      <w:r>
        <w:rPr>
          <w:color w:val="231F20"/>
          <w:sz w:val="21"/>
        </w:rPr>
        <w:t>бе</w:t>
      </w:r>
      <w:r>
        <w:rPr>
          <w:color w:val="231F20"/>
          <w:sz w:val="21"/>
        </w:rPr>
        <w:t>зпосередньо підпорядковані близьким</w:t>
      </w:r>
      <w:r>
        <w:rPr>
          <w:color w:val="231F20"/>
          <w:spacing w:val="-5"/>
          <w:sz w:val="21"/>
        </w:rPr>
        <w:t xml:space="preserve"> </w:t>
      </w:r>
      <w:r>
        <w:rPr>
          <w:color w:val="231F20"/>
          <w:sz w:val="21"/>
        </w:rPr>
        <w:t>особам.</w:t>
      </w:r>
    </w:p>
    <w:p w14:paraId="5022E043" w14:textId="77777777" w:rsidR="00DE575E" w:rsidRDefault="002E7560">
      <w:pPr>
        <w:pStyle w:val="BodyText"/>
        <w:spacing w:before="1" w:line="252" w:lineRule="auto"/>
        <w:ind w:left="250" w:right="410" w:firstLine="283"/>
        <w:jc w:val="both"/>
      </w:pPr>
      <w:r>
        <w:rPr>
          <w:color w:val="231F20"/>
        </w:rPr>
        <w:t xml:space="preserve">Громадяни України, які вперше приймаються на службу в органи місцевого самоврядування </w:t>
      </w:r>
      <w:r>
        <w:rPr>
          <w:i/>
          <w:color w:val="231F20"/>
        </w:rPr>
        <w:t>складають Присягу</w:t>
      </w:r>
      <w:r>
        <w:rPr>
          <w:color w:val="231F20"/>
        </w:rPr>
        <w:t>. На посадових осіб місцевого самоврядування поширюються вимоги й обмеження, установлені законами України «Пр</w:t>
      </w:r>
      <w:r>
        <w:rPr>
          <w:color w:val="231F20"/>
        </w:rPr>
        <w:t>о запобігання корупції» та «Про очищення влади».</w:t>
      </w:r>
    </w:p>
    <w:p w14:paraId="65025D0E" w14:textId="77777777" w:rsidR="00DE575E" w:rsidRDefault="002E7560">
      <w:pPr>
        <w:pStyle w:val="BodyText"/>
        <w:spacing w:before="3" w:line="252" w:lineRule="auto"/>
        <w:ind w:left="250" w:right="410" w:firstLine="283"/>
        <w:jc w:val="both"/>
      </w:pPr>
      <w:r>
        <w:rPr>
          <w:color w:val="231F20"/>
        </w:rPr>
        <w:t xml:space="preserve">На службі в органах місцевого самоврядування передбачено </w:t>
      </w:r>
      <w:r>
        <w:rPr>
          <w:i/>
          <w:color w:val="231F20"/>
        </w:rPr>
        <w:t>сім категорій посад</w:t>
      </w:r>
      <w:r>
        <w:rPr>
          <w:color w:val="231F20"/>
        </w:rPr>
        <w:t xml:space="preserve">, у межах яких встановлюється </w:t>
      </w:r>
      <w:r>
        <w:rPr>
          <w:i/>
          <w:color w:val="231F20"/>
        </w:rPr>
        <w:t xml:space="preserve">15 рангів </w:t>
      </w:r>
      <w:r>
        <w:rPr>
          <w:color w:val="231F20"/>
        </w:rPr>
        <w:t>(кожна категорія охоплює три ранги). Ранги присвоюються відповідно до займаної</w:t>
      </w:r>
      <w:r>
        <w:rPr>
          <w:color w:val="231F20"/>
          <w:spacing w:val="-13"/>
        </w:rPr>
        <w:t xml:space="preserve"> </w:t>
      </w:r>
      <w:r>
        <w:rPr>
          <w:color w:val="231F20"/>
        </w:rPr>
        <w:t>посади,</w:t>
      </w:r>
      <w:r>
        <w:rPr>
          <w:color w:val="231F20"/>
          <w:spacing w:val="-13"/>
        </w:rPr>
        <w:t xml:space="preserve"> </w:t>
      </w:r>
      <w:r>
        <w:rPr>
          <w:color w:val="231F20"/>
        </w:rPr>
        <w:t>рівн</w:t>
      </w:r>
      <w:r>
        <w:rPr>
          <w:color w:val="231F20"/>
        </w:rPr>
        <w:t>я</w:t>
      </w:r>
      <w:r>
        <w:rPr>
          <w:color w:val="231F20"/>
          <w:spacing w:val="-13"/>
        </w:rPr>
        <w:t xml:space="preserve"> </w:t>
      </w:r>
      <w:r>
        <w:rPr>
          <w:color w:val="231F20"/>
        </w:rPr>
        <w:t>професійної</w:t>
      </w:r>
      <w:r>
        <w:rPr>
          <w:color w:val="231F20"/>
          <w:spacing w:val="-13"/>
        </w:rPr>
        <w:t xml:space="preserve"> </w:t>
      </w:r>
      <w:r>
        <w:rPr>
          <w:color w:val="231F20"/>
        </w:rPr>
        <w:t>кваліфікації,</w:t>
      </w:r>
      <w:r>
        <w:rPr>
          <w:color w:val="231F20"/>
          <w:spacing w:val="-13"/>
        </w:rPr>
        <w:t xml:space="preserve"> </w:t>
      </w:r>
      <w:r>
        <w:rPr>
          <w:color w:val="231F20"/>
          <w:spacing w:val="-3"/>
        </w:rPr>
        <w:t>результатів</w:t>
      </w:r>
      <w:r>
        <w:rPr>
          <w:color w:val="231F20"/>
          <w:spacing w:val="-13"/>
        </w:rPr>
        <w:t xml:space="preserve"> </w:t>
      </w:r>
      <w:r>
        <w:rPr>
          <w:color w:val="231F20"/>
        </w:rPr>
        <w:t>роботи. Черговий</w:t>
      </w:r>
      <w:r>
        <w:rPr>
          <w:color w:val="231F20"/>
          <w:spacing w:val="-10"/>
        </w:rPr>
        <w:t xml:space="preserve"> </w:t>
      </w:r>
      <w:r>
        <w:rPr>
          <w:color w:val="231F20"/>
        </w:rPr>
        <w:t>ранг</w:t>
      </w:r>
      <w:r>
        <w:rPr>
          <w:color w:val="231F20"/>
          <w:spacing w:val="-10"/>
        </w:rPr>
        <w:t xml:space="preserve"> </w:t>
      </w:r>
      <w:r>
        <w:rPr>
          <w:color w:val="231F20"/>
        </w:rPr>
        <w:t>присвоюється</w:t>
      </w:r>
      <w:r>
        <w:rPr>
          <w:color w:val="231F20"/>
          <w:spacing w:val="-10"/>
        </w:rPr>
        <w:t xml:space="preserve"> </w:t>
      </w:r>
      <w:r>
        <w:rPr>
          <w:color w:val="231F20"/>
        </w:rPr>
        <w:t>за</w:t>
      </w:r>
      <w:r>
        <w:rPr>
          <w:color w:val="231F20"/>
          <w:spacing w:val="-10"/>
        </w:rPr>
        <w:t xml:space="preserve"> </w:t>
      </w:r>
      <w:r>
        <w:rPr>
          <w:color w:val="231F20"/>
        </w:rPr>
        <w:t>умови,</w:t>
      </w:r>
      <w:r>
        <w:rPr>
          <w:color w:val="231F20"/>
          <w:spacing w:val="-10"/>
        </w:rPr>
        <w:t xml:space="preserve"> </w:t>
      </w:r>
      <w:r>
        <w:rPr>
          <w:color w:val="231F20"/>
        </w:rPr>
        <w:t>якщо</w:t>
      </w:r>
      <w:r>
        <w:rPr>
          <w:color w:val="231F20"/>
          <w:spacing w:val="-10"/>
        </w:rPr>
        <w:t xml:space="preserve"> </w:t>
      </w:r>
      <w:r>
        <w:rPr>
          <w:color w:val="231F20"/>
        </w:rPr>
        <w:t>посадова</w:t>
      </w:r>
      <w:r>
        <w:rPr>
          <w:color w:val="231F20"/>
          <w:spacing w:val="-10"/>
        </w:rPr>
        <w:t xml:space="preserve"> </w:t>
      </w:r>
      <w:r>
        <w:rPr>
          <w:color w:val="231F20"/>
        </w:rPr>
        <w:t>особа</w:t>
      </w:r>
      <w:r>
        <w:rPr>
          <w:color w:val="231F20"/>
          <w:spacing w:val="-10"/>
        </w:rPr>
        <w:t xml:space="preserve"> </w:t>
      </w:r>
      <w:r>
        <w:rPr>
          <w:color w:val="231F20"/>
        </w:rPr>
        <w:t xml:space="preserve">успішно відпрацювала на займаній посаді </w:t>
      </w:r>
      <w:r>
        <w:rPr>
          <w:i/>
          <w:color w:val="231F20"/>
        </w:rPr>
        <w:t>не менш як 2 роки</w:t>
      </w:r>
      <w:r>
        <w:rPr>
          <w:color w:val="231F20"/>
        </w:rPr>
        <w:t xml:space="preserve">. </w:t>
      </w:r>
      <w:r>
        <w:rPr>
          <w:color w:val="231F20"/>
          <w:spacing w:val="-5"/>
        </w:rPr>
        <w:t xml:space="preserve">Така </w:t>
      </w:r>
      <w:r>
        <w:rPr>
          <w:color w:val="231F20"/>
        </w:rPr>
        <w:t>особа може бути позбавлена присвоєного рангу лише за вироком</w:t>
      </w:r>
      <w:r>
        <w:rPr>
          <w:color w:val="231F20"/>
          <w:spacing w:val="-6"/>
        </w:rPr>
        <w:t xml:space="preserve"> </w:t>
      </w:r>
      <w:r>
        <w:rPr>
          <w:color w:val="231F20"/>
          <w:spacing w:val="-7"/>
        </w:rPr>
        <w:t>суду.</w:t>
      </w:r>
    </w:p>
    <w:p w14:paraId="26B8BF73" w14:textId="77777777" w:rsidR="00DE575E" w:rsidRDefault="002E7560">
      <w:pPr>
        <w:pStyle w:val="BodyText"/>
        <w:spacing w:before="3" w:line="252" w:lineRule="auto"/>
        <w:ind w:left="250" w:right="411" w:firstLine="283"/>
        <w:jc w:val="both"/>
      </w:pPr>
      <w:r>
        <w:rPr>
          <w:color w:val="231F20"/>
        </w:rPr>
        <w:t>В органах місцевого самоврядування створюється кадровий резерв для зайняття посад і просування по службі, до якого зара- ховуються особи, які виявили відповідне бажання і мають належну кваліфікацію та освіту.</w:t>
      </w:r>
    </w:p>
    <w:p w14:paraId="18955EB2" w14:textId="77777777" w:rsidR="00DE575E" w:rsidRDefault="002E7560">
      <w:pPr>
        <w:pStyle w:val="BodyText"/>
        <w:spacing w:before="2" w:line="252" w:lineRule="auto"/>
        <w:ind w:left="250" w:right="410" w:firstLine="283"/>
        <w:jc w:val="both"/>
      </w:pPr>
      <w:r>
        <w:rPr>
          <w:color w:val="231F20"/>
        </w:rPr>
        <w:t>З метою оцінювання ділових і професійних якосте</w:t>
      </w:r>
      <w:r>
        <w:rPr>
          <w:color w:val="231F20"/>
        </w:rPr>
        <w:t xml:space="preserve">й, а також кваліфікації посадових осіб місцевого самоврядування (крім вибор- них осіб) вони раз на 4 роки підлягають </w:t>
      </w:r>
      <w:r>
        <w:rPr>
          <w:i/>
          <w:color w:val="231F20"/>
        </w:rPr>
        <w:t>атестації</w:t>
      </w:r>
      <w:r>
        <w:rPr>
          <w:color w:val="231F20"/>
        </w:rPr>
        <w:t>. За результатами атестації атестаційна комісія робить один із таких висновків: про відповідність займаній посаді; про відповідніс</w:t>
      </w:r>
      <w:r>
        <w:rPr>
          <w:color w:val="231F20"/>
        </w:rPr>
        <w:t>ть займаній посаді за певних  умов  (здобуття  освіти,  проходження  стажування, набуття</w:t>
      </w:r>
    </w:p>
    <w:p w14:paraId="355E83D1" w14:textId="77777777" w:rsidR="00DE575E" w:rsidRDefault="00DE575E">
      <w:pPr>
        <w:pStyle w:val="BodyText"/>
        <w:spacing w:before="8"/>
        <w:rPr>
          <w:sz w:val="12"/>
        </w:rPr>
      </w:pPr>
    </w:p>
    <w:p w14:paraId="05F3C8C3" w14:textId="77777777" w:rsidR="00DE575E" w:rsidRDefault="002E7560">
      <w:pPr>
        <w:spacing w:before="91"/>
        <w:ind w:right="411"/>
        <w:jc w:val="right"/>
        <w:rPr>
          <w:rFonts w:ascii="Times New Roman"/>
          <w:sz w:val="20"/>
        </w:rPr>
      </w:pPr>
      <w:r>
        <w:rPr>
          <w:rFonts w:ascii="Times New Roman"/>
          <w:color w:val="231F20"/>
          <w:w w:val="90"/>
          <w:sz w:val="20"/>
        </w:rPr>
        <w:t>455</w:t>
      </w:r>
    </w:p>
    <w:p w14:paraId="7469A08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340440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37E39BA" w14:textId="2B99608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1F2CF87" wp14:editId="60FED760">
                <wp:extent cx="4140200" cy="6350"/>
                <wp:effectExtent l="0" t="0" r="12700" b="6350"/>
                <wp:docPr id="25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60" name="Line 25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D4DF99" id="Group_x0020_25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Hu5ekgAIAAJgFAAAO&#10;AAAAAAAAAAAAAAAAACwCAABkcnMvZTJvRG9jLnhtbFBLAQItABQABgAIAAAAIQBMp7CQ2QAAAAMB&#10;AAAPAAAAAAAAAAAAAAAAANgEAABkcnMvZG93bnJldi54bWxQSwUGAAAAAAQABADzAAAA3gUAAAAA&#10;">
                <v:line id="Line_x0020_25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7NqcQAAADcAAAADwAAAGRycy9kb3ducmV2LnhtbERP3WrCMBS+H+wdwhl4M2ZqCyKdUcZA&#10;GLuom/UBjs1ZW5ac1Ca21ac3F4Ndfnz/6+1kjRio961jBYt5AoK4crrlWsGx3L2sQPiArNE4JgVX&#10;8rDdPD6sMddu5G8aDqEWMYR9jgqaELpcSl81ZNHPXUccuR/XWwwR9rXUPY4x3BqZJslSWmw5NjTY&#10;0XtD1e/hYhWU5+dgvvafZiz3p0yezkV2uxRKzZ6mt1cQgabwL/5zf2gF6TLOj2fiEZ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fs2pxAAAANwAAAAPAAAAAAAAAAAA&#10;AAAAAKECAABkcnMvZG93bnJldi54bWxQSwUGAAAAAAQABAD5AAAAkgMAAAAA&#10;" strokecolor="#231f20" strokeweight=".5pt"/>
                <w10:anchorlock/>
              </v:group>
            </w:pict>
          </mc:Fallback>
        </mc:AlternateContent>
      </w:r>
    </w:p>
    <w:p w14:paraId="3C795A1B" w14:textId="77777777" w:rsidR="00DE575E" w:rsidRDefault="00DE575E">
      <w:pPr>
        <w:pStyle w:val="BodyText"/>
        <w:spacing w:before="7"/>
        <w:rPr>
          <w:rFonts w:ascii="AdonisC"/>
          <w:i/>
          <w:sz w:val="11"/>
        </w:rPr>
      </w:pPr>
    </w:p>
    <w:p w14:paraId="168286DE" w14:textId="77777777" w:rsidR="00DE575E" w:rsidRDefault="002E7560">
      <w:pPr>
        <w:pStyle w:val="BodyText"/>
        <w:spacing w:before="101" w:line="252" w:lineRule="auto"/>
        <w:ind w:left="533" w:right="128"/>
        <w:jc w:val="both"/>
      </w:pPr>
      <w:r>
        <w:rPr>
          <w:color w:val="231F20"/>
        </w:rPr>
        <w:t>відповідних навичок, підвищення кваліфі</w:t>
      </w:r>
      <w:r>
        <w:rPr>
          <w:color w:val="231F20"/>
        </w:rPr>
        <w:t xml:space="preserve">кації тощо); про невідпо- відність займаній посаді. </w:t>
      </w:r>
      <w:r>
        <w:rPr>
          <w:color w:val="231F20"/>
          <w:spacing w:val="-3"/>
        </w:rPr>
        <w:t xml:space="preserve">Результати </w:t>
      </w:r>
      <w:r>
        <w:rPr>
          <w:color w:val="231F20"/>
        </w:rPr>
        <w:t>атестації мають рекомендацій- ний характер.</w:t>
      </w:r>
    </w:p>
    <w:p w14:paraId="287CA9F3" w14:textId="77777777" w:rsidR="00DE575E" w:rsidRDefault="002E7560">
      <w:pPr>
        <w:pStyle w:val="BodyText"/>
        <w:spacing w:before="1" w:line="252" w:lineRule="auto"/>
        <w:ind w:left="533" w:right="126" w:firstLine="283"/>
        <w:jc w:val="both"/>
      </w:pPr>
      <w:r>
        <w:rPr>
          <w:color w:val="231F20"/>
        </w:rPr>
        <w:t xml:space="preserve">Законом  передбачено  й   інші   питання   проходження   служби в органах місцевого самоврядування, зокрема організація навчання і підвищення кваліфікації посадових осіб місцевого самовряду- вання, просування їх по службі, визначення тривалості робочого </w:t>
      </w:r>
      <w:r>
        <w:rPr>
          <w:color w:val="231F20"/>
          <w:spacing w:val="-4"/>
        </w:rPr>
        <w:t>ча</w:t>
      </w:r>
      <w:r>
        <w:rPr>
          <w:color w:val="231F20"/>
          <w:spacing w:val="-4"/>
        </w:rPr>
        <w:t xml:space="preserve">су, </w:t>
      </w:r>
      <w:r>
        <w:rPr>
          <w:color w:val="231F20"/>
        </w:rPr>
        <w:t>порядку здійснення ними службових відряджень та відшкоду- вання витрат на ці відрядження, а також особливості їх дисциплі- нарної відповідальності та вирішення інших питань, пов’язаних із службою в органах місцевого</w:t>
      </w:r>
      <w:r>
        <w:rPr>
          <w:color w:val="231F20"/>
          <w:spacing w:val="-4"/>
        </w:rPr>
        <w:t xml:space="preserve"> </w:t>
      </w:r>
      <w:r>
        <w:rPr>
          <w:color w:val="231F20"/>
        </w:rPr>
        <w:t>самоврядування.</w:t>
      </w:r>
    </w:p>
    <w:p w14:paraId="519084B3" w14:textId="77777777" w:rsidR="00DE575E" w:rsidRDefault="002E7560">
      <w:pPr>
        <w:pStyle w:val="BodyText"/>
        <w:spacing w:before="4" w:line="252" w:lineRule="auto"/>
        <w:ind w:left="533" w:right="127" w:firstLine="283"/>
        <w:jc w:val="both"/>
      </w:pPr>
      <w:r>
        <w:rPr>
          <w:color w:val="231F20"/>
        </w:rPr>
        <w:t>Граничний вік перебу</w:t>
      </w:r>
      <w:r>
        <w:rPr>
          <w:color w:val="231F20"/>
        </w:rPr>
        <w:t>вання на службі в органах місцевого само- врядування становить 65 років. Ці обмеження не поширюються на осіб, які обираються на відповідні посади.</w:t>
      </w:r>
    </w:p>
    <w:p w14:paraId="303FB46D" w14:textId="77777777" w:rsidR="00DE575E" w:rsidRDefault="002E7560">
      <w:pPr>
        <w:pStyle w:val="BodyText"/>
        <w:spacing w:before="2" w:line="252" w:lineRule="auto"/>
        <w:ind w:left="533" w:right="127" w:firstLine="283"/>
        <w:jc w:val="both"/>
      </w:pPr>
      <w:r>
        <w:rPr>
          <w:b/>
          <w:color w:val="231F20"/>
        </w:rPr>
        <w:t xml:space="preserve">Підставами припинення служби </w:t>
      </w:r>
      <w:r>
        <w:rPr>
          <w:color w:val="231F20"/>
        </w:rPr>
        <w:t>в органах місцевого самовря- дування крім загальних підстав, передбачених КЗпП і законом «Про місцеве самоврядування в Україні», також є:</w:t>
      </w:r>
    </w:p>
    <w:p w14:paraId="16F97492" w14:textId="77777777" w:rsidR="00DE575E" w:rsidRDefault="002E7560">
      <w:pPr>
        <w:pStyle w:val="ListParagraph"/>
        <w:numPr>
          <w:ilvl w:val="0"/>
          <w:numId w:val="43"/>
        </w:numPr>
        <w:tabs>
          <w:tab w:val="left" w:pos="1101"/>
        </w:tabs>
        <w:ind w:firstLine="284"/>
        <w:rPr>
          <w:sz w:val="21"/>
        </w:rPr>
      </w:pPr>
      <w:r>
        <w:rPr>
          <w:color w:val="231F20"/>
          <w:sz w:val="21"/>
        </w:rPr>
        <w:t>порушення посадовою особою</w:t>
      </w:r>
      <w:r>
        <w:rPr>
          <w:color w:val="231F20"/>
          <w:spacing w:val="-2"/>
          <w:sz w:val="21"/>
        </w:rPr>
        <w:t xml:space="preserve"> </w:t>
      </w:r>
      <w:r>
        <w:rPr>
          <w:color w:val="231F20"/>
          <w:sz w:val="21"/>
        </w:rPr>
        <w:t>Присяги;</w:t>
      </w:r>
    </w:p>
    <w:p w14:paraId="7AF9B6A3" w14:textId="77777777" w:rsidR="00DE575E" w:rsidRDefault="002E7560">
      <w:pPr>
        <w:pStyle w:val="ListParagraph"/>
        <w:numPr>
          <w:ilvl w:val="0"/>
          <w:numId w:val="43"/>
        </w:numPr>
        <w:tabs>
          <w:tab w:val="left" w:pos="1101"/>
        </w:tabs>
        <w:spacing w:before="13" w:line="252" w:lineRule="auto"/>
        <w:ind w:right="128" w:firstLine="284"/>
        <w:jc w:val="both"/>
        <w:rPr>
          <w:sz w:val="21"/>
        </w:rPr>
      </w:pPr>
      <w:r>
        <w:rPr>
          <w:color w:val="231F20"/>
          <w:sz w:val="21"/>
        </w:rPr>
        <w:t>порушення умов реалізації права на службу в органах місце- вого</w:t>
      </w:r>
      <w:r>
        <w:rPr>
          <w:color w:val="231F20"/>
          <w:spacing w:val="-1"/>
          <w:sz w:val="21"/>
        </w:rPr>
        <w:t xml:space="preserve"> </w:t>
      </w:r>
      <w:r>
        <w:rPr>
          <w:color w:val="231F20"/>
          <w:sz w:val="21"/>
        </w:rPr>
        <w:t>самоврядування;</w:t>
      </w:r>
    </w:p>
    <w:p w14:paraId="58E094DB" w14:textId="77777777" w:rsidR="00DE575E" w:rsidRDefault="002E7560">
      <w:pPr>
        <w:pStyle w:val="ListParagraph"/>
        <w:numPr>
          <w:ilvl w:val="0"/>
          <w:numId w:val="43"/>
        </w:numPr>
        <w:tabs>
          <w:tab w:val="left" w:pos="1101"/>
        </w:tabs>
        <w:spacing w:line="252" w:lineRule="auto"/>
        <w:ind w:right="128" w:firstLine="284"/>
        <w:jc w:val="both"/>
        <w:rPr>
          <w:sz w:val="21"/>
        </w:rPr>
      </w:pPr>
      <w:r>
        <w:rPr>
          <w:color w:val="231F20"/>
          <w:sz w:val="21"/>
        </w:rPr>
        <w:t>не</w:t>
      </w:r>
      <w:r>
        <w:rPr>
          <w:color w:val="231F20"/>
          <w:sz w:val="21"/>
        </w:rPr>
        <w:t>подання</w:t>
      </w:r>
      <w:r>
        <w:rPr>
          <w:color w:val="231F20"/>
          <w:spacing w:val="-12"/>
          <w:sz w:val="21"/>
        </w:rPr>
        <w:t xml:space="preserve"> </w:t>
      </w:r>
      <w:r>
        <w:rPr>
          <w:color w:val="231F20"/>
          <w:sz w:val="21"/>
        </w:rPr>
        <w:t>відомостей</w:t>
      </w:r>
      <w:r>
        <w:rPr>
          <w:color w:val="231F20"/>
          <w:spacing w:val="-12"/>
          <w:sz w:val="21"/>
        </w:rPr>
        <w:t xml:space="preserve"> </w:t>
      </w:r>
      <w:r>
        <w:rPr>
          <w:color w:val="231F20"/>
          <w:sz w:val="21"/>
        </w:rPr>
        <w:t>або</w:t>
      </w:r>
      <w:r>
        <w:rPr>
          <w:color w:val="231F20"/>
          <w:spacing w:val="-12"/>
          <w:sz w:val="21"/>
        </w:rPr>
        <w:t xml:space="preserve"> </w:t>
      </w:r>
      <w:r>
        <w:rPr>
          <w:color w:val="231F20"/>
          <w:sz w:val="21"/>
        </w:rPr>
        <w:t>подання</w:t>
      </w:r>
      <w:r>
        <w:rPr>
          <w:color w:val="231F20"/>
          <w:spacing w:val="-12"/>
          <w:sz w:val="21"/>
        </w:rPr>
        <w:t xml:space="preserve"> </w:t>
      </w:r>
      <w:r>
        <w:rPr>
          <w:color w:val="231F20"/>
          <w:sz w:val="21"/>
        </w:rPr>
        <w:t>посадовою</w:t>
      </w:r>
      <w:r>
        <w:rPr>
          <w:color w:val="231F20"/>
          <w:spacing w:val="-12"/>
          <w:sz w:val="21"/>
        </w:rPr>
        <w:t xml:space="preserve"> </w:t>
      </w:r>
      <w:r>
        <w:rPr>
          <w:color w:val="231F20"/>
          <w:sz w:val="21"/>
        </w:rPr>
        <w:t>особою</w:t>
      </w:r>
      <w:r>
        <w:rPr>
          <w:color w:val="231F20"/>
          <w:spacing w:val="-12"/>
          <w:sz w:val="21"/>
        </w:rPr>
        <w:t xml:space="preserve"> </w:t>
      </w:r>
      <w:r>
        <w:rPr>
          <w:color w:val="231F20"/>
          <w:sz w:val="21"/>
        </w:rPr>
        <w:t xml:space="preserve">неправ- дивих відомостей щодо її </w:t>
      </w:r>
      <w:r>
        <w:rPr>
          <w:color w:val="231F20"/>
          <w:spacing w:val="-3"/>
          <w:sz w:val="21"/>
        </w:rPr>
        <w:t xml:space="preserve">доходів </w:t>
      </w:r>
      <w:r>
        <w:rPr>
          <w:color w:val="231F20"/>
          <w:sz w:val="21"/>
        </w:rPr>
        <w:t>у встановлений</w:t>
      </w:r>
      <w:r>
        <w:rPr>
          <w:color w:val="231F20"/>
          <w:spacing w:val="-4"/>
          <w:sz w:val="21"/>
        </w:rPr>
        <w:t xml:space="preserve"> </w:t>
      </w:r>
      <w:r>
        <w:rPr>
          <w:color w:val="231F20"/>
          <w:sz w:val="21"/>
        </w:rPr>
        <w:t>термін;</w:t>
      </w:r>
    </w:p>
    <w:p w14:paraId="3ABB8953" w14:textId="77777777" w:rsidR="00DE575E" w:rsidRDefault="002E7560">
      <w:pPr>
        <w:pStyle w:val="ListParagraph"/>
        <w:numPr>
          <w:ilvl w:val="0"/>
          <w:numId w:val="43"/>
        </w:numPr>
        <w:tabs>
          <w:tab w:val="left" w:pos="1101"/>
        </w:tabs>
        <w:spacing w:line="252" w:lineRule="auto"/>
        <w:ind w:right="127" w:firstLine="284"/>
        <w:jc w:val="both"/>
        <w:rPr>
          <w:sz w:val="21"/>
        </w:rPr>
      </w:pPr>
      <w:r>
        <w:rPr>
          <w:color w:val="231F20"/>
          <w:sz w:val="21"/>
        </w:rPr>
        <w:t>виявлення або виникнення обставин, що перешкоджають перебуванню</w:t>
      </w:r>
      <w:r>
        <w:rPr>
          <w:color w:val="231F20"/>
          <w:spacing w:val="-14"/>
          <w:sz w:val="21"/>
        </w:rPr>
        <w:t xml:space="preserve"> </w:t>
      </w:r>
      <w:r>
        <w:rPr>
          <w:color w:val="231F20"/>
          <w:sz w:val="21"/>
        </w:rPr>
        <w:t>на</w:t>
      </w:r>
      <w:r>
        <w:rPr>
          <w:color w:val="231F20"/>
          <w:spacing w:val="-14"/>
          <w:sz w:val="21"/>
        </w:rPr>
        <w:t xml:space="preserve"> </w:t>
      </w:r>
      <w:r>
        <w:rPr>
          <w:color w:val="231F20"/>
          <w:sz w:val="21"/>
        </w:rPr>
        <w:t>службі,</w:t>
      </w:r>
      <w:r>
        <w:rPr>
          <w:color w:val="231F20"/>
          <w:spacing w:val="-14"/>
          <w:sz w:val="21"/>
        </w:rPr>
        <w:t xml:space="preserve"> </w:t>
      </w:r>
      <w:r>
        <w:rPr>
          <w:color w:val="231F20"/>
          <w:sz w:val="21"/>
        </w:rPr>
        <w:t>недотримання</w:t>
      </w:r>
      <w:r>
        <w:rPr>
          <w:color w:val="231F20"/>
          <w:spacing w:val="-14"/>
          <w:sz w:val="21"/>
        </w:rPr>
        <w:t xml:space="preserve"> </w:t>
      </w:r>
      <w:r>
        <w:rPr>
          <w:color w:val="231F20"/>
          <w:spacing w:val="-3"/>
          <w:sz w:val="21"/>
        </w:rPr>
        <w:t>вимог,</w:t>
      </w:r>
      <w:r>
        <w:rPr>
          <w:color w:val="231F20"/>
          <w:spacing w:val="-14"/>
          <w:sz w:val="21"/>
        </w:rPr>
        <w:t xml:space="preserve"> </w:t>
      </w:r>
      <w:r>
        <w:rPr>
          <w:color w:val="231F20"/>
          <w:sz w:val="21"/>
        </w:rPr>
        <w:t>пов’язаних</w:t>
      </w:r>
      <w:r>
        <w:rPr>
          <w:color w:val="231F20"/>
          <w:spacing w:val="-14"/>
          <w:sz w:val="21"/>
        </w:rPr>
        <w:t xml:space="preserve"> </w:t>
      </w:r>
      <w:r>
        <w:rPr>
          <w:color w:val="231F20"/>
          <w:sz w:val="21"/>
        </w:rPr>
        <w:t>із</w:t>
      </w:r>
      <w:r>
        <w:rPr>
          <w:color w:val="231F20"/>
          <w:spacing w:val="-14"/>
          <w:sz w:val="21"/>
        </w:rPr>
        <w:t xml:space="preserve"> </w:t>
      </w:r>
      <w:r>
        <w:rPr>
          <w:color w:val="231F20"/>
          <w:sz w:val="21"/>
        </w:rPr>
        <w:t>її</w:t>
      </w:r>
      <w:r>
        <w:rPr>
          <w:color w:val="231F20"/>
          <w:spacing w:val="-14"/>
          <w:sz w:val="21"/>
        </w:rPr>
        <w:t xml:space="preserve"> </w:t>
      </w:r>
      <w:r>
        <w:rPr>
          <w:color w:val="231F20"/>
          <w:spacing w:val="-3"/>
          <w:sz w:val="21"/>
        </w:rPr>
        <w:t xml:space="preserve">проход- </w:t>
      </w:r>
      <w:r>
        <w:rPr>
          <w:color w:val="231F20"/>
          <w:sz w:val="21"/>
        </w:rPr>
        <w:t>женням;</w:t>
      </w:r>
    </w:p>
    <w:p w14:paraId="479000FB" w14:textId="77777777" w:rsidR="00DE575E" w:rsidRDefault="002E7560">
      <w:pPr>
        <w:pStyle w:val="ListParagraph"/>
        <w:numPr>
          <w:ilvl w:val="0"/>
          <w:numId w:val="43"/>
        </w:numPr>
        <w:tabs>
          <w:tab w:val="left" w:pos="1101"/>
        </w:tabs>
        <w:spacing w:line="252" w:lineRule="auto"/>
        <w:ind w:right="128" w:firstLine="284"/>
        <w:jc w:val="both"/>
        <w:rPr>
          <w:sz w:val="21"/>
        </w:rPr>
      </w:pPr>
      <w:r>
        <w:rPr>
          <w:color w:val="231F20"/>
          <w:sz w:val="21"/>
        </w:rPr>
        <w:t>досягнення</w:t>
      </w:r>
      <w:r>
        <w:rPr>
          <w:color w:val="231F20"/>
          <w:spacing w:val="-7"/>
          <w:sz w:val="21"/>
        </w:rPr>
        <w:t xml:space="preserve"> </w:t>
      </w:r>
      <w:r>
        <w:rPr>
          <w:color w:val="231F20"/>
          <w:sz w:val="21"/>
        </w:rPr>
        <w:t>посадовою</w:t>
      </w:r>
      <w:r>
        <w:rPr>
          <w:color w:val="231F20"/>
          <w:spacing w:val="-7"/>
          <w:sz w:val="21"/>
        </w:rPr>
        <w:t xml:space="preserve"> </w:t>
      </w:r>
      <w:r>
        <w:rPr>
          <w:color w:val="231F20"/>
          <w:sz w:val="21"/>
        </w:rPr>
        <w:t>собою</w:t>
      </w:r>
      <w:r>
        <w:rPr>
          <w:color w:val="231F20"/>
          <w:spacing w:val="-7"/>
          <w:sz w:val="21"/>
        </w:rPr>
        <w:t xml:space="preserve"> </w:t>
      </w:r>
      <w:r>
        <w:rPr>
          <w:color w:val="231F20"/>
          <w:sz w:val="21"/>
        </w:rPr>
        <w:t>граничного</w:t>
      </w:r>
      <w:r>
        <w:rPr>
          <w:color w:val="231F20"/>
          <w:spacing w:val="-7"/>
          <w:sz w:val="21"/>
        </w:rPr>
        <w:t xml:space="preserve"> </w:t>
      </w:r>
      <w:r>
        <w:rPr>
          <w:color w:val="231F20"/>
          <w:sz w:val="21"/>
        </w:rPr>
        <w:t>віку</w:t>
      </w:r>
      <w:r>
        <w:rPr>
          <w:color w:val="231F20"/>
          <w:spacing w:val="-7"/>
          <w:sz w:val="21"/>
        </w:rPr>
        <w:t xml:space="preserve"> </w:t>
      </w:r>
      <w:r>
        <w:rPr>
          <w:color w:val="231F20"/>
          <w:sz w:val="21"/>
        </w:rPr>
        <w:t>перебування</w:t>
      </w:r>
      <w:r>
        <w:rPr>
          <w:color w:val="231F20"/>
          <w:spacing w:val="-7"/>
          <w:sz w:val="21"/>
        </w:rPr>
        <w:t xml:space="preserve"> </w:t>
      </w:r>
      <w:r>
        <w:rPr>
          <w:color w:val="231F20"/>
          <w:sz w:val="21"/>
        </w:rPr>
        <w:t>на службі.</w:t>
      </w:r>
    </w:p>
    <w:p w14:paraId="7A827020" w14:textId="77777777" w:rsidR="00DE575E" w:rsidRDefault="002E7560">
      <w:pPr>
        <w:pStyle w:val="BodyText"/>
        <w:spacing w:before="1" w:line="252" w:lineRule="auto"/>
        <w:ind w:left="533" w:right="125" w:firstLine="283"/>
        <w:jc w:val="both"/>
      </w:pPr>
      <w:r>
        <w:rPr>
          <w:color w:val="231F20"/>
        </w:rPr>
        <w:t xml:space="preserve">Посадові особи, яких притягнуто до відповідальності за коруп- ційні правопорушення, або стосовно яких набрало законної сили рішення </w:t>
      </w:r>
      <w:r>
        <w:rPr>
          <w:color w:val="231F20"/>
          <w:spacing w:val="-4"/>
        </w:rPr>
        <w:t xml:space="preserve">суду </w:t>
      </w:r>
      <w:r>
        <w:rPr>
          <w:color w:val="231F20"/>
        </w:rPr>
        <w:t>щодо визнання їх активів або активів, набутих за їх дорученням і</w:t>
      </w:r>
      <w:r>
        <w:rPr>
          <w:color w:val="231F20"/>
        </w:rPr>
        <w:t xml:space="preserve">ншими особами,  необґрунтованими  та  їх  стягнення в дохід держави, підлягають звільненню з посади у визначеному законом </w:t>
      </w:r>
      <w:r>
        <w:rPr>
          <w:color w:val="231F20"/>
          <w:spacing w:val="-3"/>
        </w:rPr>
        <w:t>порядку.</w:t>
      </w:r>
    </w:p>
    <w:p w14:paraId="79147EBF" w14:textId="77777777" w:rsidR="00DE575E" w:rsidRDefault="002E7560">
      <w:pPr>
        <w:pStyle w:val="BodyText"/>
        <w:spacing w:before="3" w:line="252" w:lineRule="auto"/>
        <w:ind w:left="533" w:right="128" w:firstLine="283"/>
        <w:jc w:val="both"/>
      </w:pPr>
      <w:r>
        <w:rPr>
          <w:color w:val="231F20"/>
        </w:rPr>
        <w:t>Рішення про припинення служби в органах місцевого</w:t>
      </w:r>
      <w:r>
        <w:rPr>
          <w:color w:val="231F20"/>
          <w:spacing w:val="-22"/>
        </w:rPr>
        <w:t xml:space="preserve"> </w:t>
      </w:r>
      <w:r>
        <w:rPr>
          <w:color w:val="231F20"/>
        </w:rPr>
        <w:t>самовряду- вання може бути оскаржено посадовою особою у визначеному зако- н</w:t>
      </w:r>
      <w:r>
        <w:rPr>
          <w:color w:val="231F20"/>
        </w:rPr>
        <w:t xml:space="preserve">ом </w:t>
      </w:r>
      <w:r>
        <w:rPr>
          <w:color w:val="231F20"/>
          <w:spacing w:val="-3"/>
        </w:rPr>
        <w:t>порядку.</w:t>
      </w:r>
    </w:p>
    <w:p w14:paraId="224F60CC" w14:textId="77777777" w:rsidR="00DE575E" w:rsidRDefault="002E7560">
      <w:pPr>
        <w:pStyle w:val="BodyText"/>
        <w:spacing w:before="2" w:line="252" w:lineRule="auto"/>
        <w:ind w:left="533" w:right="128" w:firstLine="283"/>
        <w:jc w:val="both"/>
      </w:pPr>
      <w:r>
        <w:rPr>
          <w:color w:val="231F20"/>
        </w:rPr>
        <w:t>Посадові особи місцевого самоврядування не можуть бути орга- нізаторами й безпосередніми учасниками страйків та інших дій, що перешкоджають</w:t>
      </w:r>
      <w:r>
        <w:rPr>
          <w:color w:val="231F20"/>
          <w:spacing w:val="-14"/>
        </w:rPr>
        <w:t xml:space="preserve"> </w:t>
      </w:r>
      <w:r>
        <w:rPr>
          <w:color w:val="231F20"/>
        </w:rPr>
        <w:t>виконанню</w:t>
      </w:r>
      <w:r>
        <w:rPr>
          <w:color w:val="231F20"/>
          <w:spacing w:val="-13"/>
        </w:rPr>
        <w:t xml:space="preserve"> </w:t>
      </w:r>
      <w:r>
        <w:rPr>
          <w:color w:val="231F20"/>
        </w:rPr>
        <w:t>органами</w:t>
      </w:r>
      <w:r>
        <w:rPr>
          <w:color w:val="231F20"/>
          <w:spacing w:val="-14"/>
        </w:rPr>
        <w:t xml:space="preserve"> </w:t>
      </w:r>
      <w:r>
        <w:rPr>
          <w:color w:val="231F20"/>
        </w:rPr>
        <w:t>державної</w:t>
      </w:r>
      <w:r>
        <w:rPr>
          <w:color w:val="231F20"/>
          <w:spacing w:val="-14"/>
        </w:rPr>
        <w:t xml:space="preserve"> </w:t>
      </w:r>
      <w:r>
        <w:rPr>
          <w:color w:val="231F20"/>
        </w:rPr>
        <w:t>влади</w:t>
      </w:r>
      <w:r>
        <w:rPr>
          <w:color w:val="231F20"/>
          <w:spacing w:val="-14"/>
        </w:rPr>
        <w:t xml:space="preserve"> </w:t>
      </w:r>
      <w:r>
        <w:rPr>
          <w:color w:val="231F20"/>
        </w:rPr>
        <w:t>чи</w:t>
      </w:r>
      <w:r>
        <w:rPr>
          <w:color w:val="231F20"/>
          <w:spacing w:val="-13"/>
        </w:rPr>
        <w:t xml:space="preserve"> </w:t>
      </w:r>
      <w:r>
        <w:rPr>
          <w:color w:val="231F20"/>
        </w:rPr>
        <w:t>органами</w:t>
      </w:r>
    </w:p>
    <w:p w14:paraId="5A412BE1" w14:textId="77777777" w:rsidR="00DE575E" w:rsidRDefault="00DE575E">
      <w:pPr>
        <w:pStyle w:val="BodyText"/>
        <w:spacing w:before="5"/>
        <w:rPr>
          <w:sz w:val="12"/>
        </w:rPr>
      </w:pPr>
    </w:p>
    <w:p w14:paraId="113D324E" w14:textId="77777777" w:rsidR="00DE575E" w:rsidRDefault="002E7560">
      <w:pPr>
        <w:spacing w:before="92"/>
        <w:ind w:left="533"/>
        <w:rPr>
          <w:rFonts w:ascii="Times New Roman"/>
          <w:sz w:val="20"/>
        </w:rPr>
      </w:pPr>
      <w:r>
        <w:rPr>
          <w:rFonts w:ascii="Times New Roman"/>
          <w:color w:val="231F20"/>
          <w:sz w:val="20"/>
        </w:rPr>
        <w:t>456</w:t>
      </w:r>
    </w:p>
    <w:p w14:paraId="73BF8C76" w14:textId="77777777" w:rsidR="00DE575E" w:rsidRDefault="00DE575E">
      <w:pPr>
        <w:rPr>
          <w:rFonts w:ascii="Times New Roman"/>
          <w:sz w:val="20"/>
        </w:rPr>
        <w:sectPr w:rsidR="00DE575E">
          <w:pgSz w:w="8510" w:h="12760"/>
          <w:pgMar w:top="660" w:right="720" w:bottom="280" w:left="600" w:header="720" w:footer="720" w:gutter="0"/>
          <w:cols w:space="720"/>
        </w:sectPr>
      </w:pPr>
    </w:p>
    <w:p w14:paraId="167C7891" w14:textId="77777777" w:rsidR="00DE575E" w:rsidRDefault="002E7560">
      <w:pPr>
        <w:spacing w:before="72" w:line="249" w:lineRule="auto"/>
        <w:ind w:left="2944" w:right="402" w:hanging="195"/>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Проходження публічної служби </w:t>
      </w:r>
      <w:r>
        <w:rPr>
          <w:rFonts w:ascii="AdonisC" w:hAnsi="AdonisC"/>
          <w:i/>
          <w:color w:val="231F20"/>
          <w:sz w:val="18"/>
        </w:rPr>
        <w:t xml:space="preserve">в </w:t>
      </w:r>
      <w:r>
        <w:rPr>
          <w:rFonts w:ascii="AdonisC" w:hAnsi="AdonisC"/>
          <w:i/>
          <w:color w:val="231F20"/>
          <w:spacing w:val="-5"/>
          <w:sz w:val="18"/>
        </w:rPr>
        <w:t>Україні</w:t>
      </w:r>
    </w:p>
    <w:p w14:paraId="402A0328" w14:textId="09035CA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69A8934" wp14:editId="23337B06">
                <wp:extent cx="4140200" cy="6350"/>
                <wp:effectExtent l="0" t="0" r="12700" b="6350"/>
                <wp:docPr id="25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58" name="Line 2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62AADE" id="Group_x0020_2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8aBYJgAIAAJgFAAAO&#10;AAAAAAAAAAAAAAAAACwCAABkcnMvZTJvRG9jLnhtbFBLAQItABQABgAIAAAAIQBMp7CQ2QAAAAMB&#10;AAAPAAAAAAAAAAAAAAAAANgEAABkcnMvZG93bnJldi54bWxQSwUGAAAAAAQABADzAAAA3gUAAAAA&#10;">
                <v:line id="Line_x0020_2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QLEsMAAADcAAAADwAAAGRycy9kb3ducmV2LnhtbERP3WrCMBS+F/YO4Qy8EU2nOEY1iggD&#10;8UK3dg9wbM7asuSkNtFWn95cDLz8+P6X694acaXW144VvE0SEMSF0zWXCn7yz/EHCB+QNRrHpOBG&#10;Htarl8ESU+06/qZrFkoRQ9inqKAKoUml9EVFFv3ENcSR+3WtxRBhW0rdYhfDrZHTJHmXFmuODRU2&#10;tK2o+MsuVkF+HgXzddybLj+eZvJ0Pszul4NSw9d+swARqA9P8b97pxVM53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FkCxLDAAAA3AAAAA8AAAAAAAAAAAAA&#10;AAAAoQIAAGRycy9kb3ducmV2LnhtbFBLBQYAAAAABAAEAPkAAACRAwAAAAA=&#10;" strokecolor="#231f20" strokeweight=".5pt"/>
                <w10:anchorlock/>
              </v:group>
            </w:pict>
          </mc:Fallback>
        </mc:AlternateContent>
      </w:r>
    </w:p>
    <w:p w14:paraId="26C7DD04" w14:textId="77777777" w:rsidR="00DE575E" w:rsidRDefault="00DE575E">
      <w:pPr>
        <w:pStyle w:val="BodyText"/>
        <w:spacing w:before="7"/>
        <w:rPr>
          <w:rFonts w:ascii="AdonisC"/>
          <w:i/>
          <w:sz w:val="19"/>
        </w:rPr>
      </w:pPr>
    </w:p>
    <w:p w14:paraId="5C76A0DE" w14:textId="77777777" w:rsidR="00DE575E" w:rsidRDefault="002E7560">
      <w:pPr>
        <w:pStyle w:val="BodyText"/>
        <w:spacing w:before="1" w:line="252" w:lineRule="auto"/>
        <w:ind w:left="250" w:right="409"/>
        <w:jc w:val="both"/>
      </w:pPr>
      <w:r>
        <w:rPr>
          <w:color w:val="231F20"/>
        </w:rPr>
        <w:t>місцевого самоврядування передбачених законом повноважень. Вони зобов’язані дотримуватися правил запобігання та врегулю- вання конфлікту інтересів, передбачених Законом «Про</w:t>
      </w:r>
      <w:r>
        <w:rPr>
          <w:color w:val="231F20"/>
          <w:spacing w:val="-34"/>
        </w:rPr>
        <w:t xml:space="preserve"> </w:t>
      </w:r>
      <w:r>
        <w:rPr>
          <w:color w:val="231F20"/>
        </w:rPr>
        <w:t>запобігання корупції», подавати декларацію ос</w:t>
      </w:r>
      <w:r>
        <w:rPr>
          <w:color w:val="231F20"/>
        </w:rPr>
        <w:t>оби, уповноваженої на</w:t>
      </w:r>
      <w:r>
        <w:rPr>
          <w:color w:val="231F20"/>
          <w:spacing w:val="-34"/>
        </w:rPr>
        <w:t xml:space="preserve"> </w:t>
      </w:r>
      <w:r>
        <w:rPr>
          <w:color w:val="231F20"/>
        </w:rPr>
        <w:t>виконання функцій держави або місцевого самоврядування, не вчиняти коруп- ційних діянь та правопорушень, пов’язаних з</w:t>
      </w:r>
      <w:r>
        <w:rPr>
          <w:color w:val="231F20"/>
          <w:spacing w:val="-8"/>
        </w:rPr>
        <w:t xml:space="preserve"> </w:t>
      </w:r>
      <w:r>
        <w:rPr>
          <w:color w:val="231F20"/>
        </w:rPr>
        <w:t>корупцією.</w:t>
      </w:r>
    </w:p>
    <w:p w14:paraId="4E064A40" w14:textId="77777777" w:rsidR="00DE575E" w:rsidRDefault="002E7560">
      <w:pPr>
        <w:pStyle w:val="BodyText"/>
        <w:spacing w:before="3" w:line="252" w:lineRule="auto"/>
        <w:ind w:left="250" w:right="411" w:firstLine="283"/>
        <w:jc w:val="both"/>
      </w:pPr>
      <w:r>
        <w:rPr>
          <w:color w:val="231F20"/>
        </w:rPr>
        <w:t>Особи, винні в порушенні законодавства про службу в органах місцевого самоврядування, притягуються до цив</w:t>
      </w:r>
      <w:r>
        <w:rPr>
          <w:color w:val="231F20"/>
        </w:rPr>
        <w:t>ільної, адміністра- тивної або кримінальної відповідальності згідно із законом.</w:t>
      </w:r>
    </w:p>
    <w:p w14:paraId="625B5EC7" w14:textId="77777777" w:rsidR="00DE575E" w:rsidRDefault="00DE575E">
      <w:pPr>
        <w:pStyle w:val="BodyText"/>
        <w:rPr>
          <w:sz w:val="20"/>
        </w:rPr>
      </w:pPr>
    </w:p>
    <w:p w14:paraId="664FD6DA" w14:textId="77777777" w:rsidR="00DE575E" w:rsidRDefault="00DE575E">
      <w:pPr>
        <w:pStyle w:val="BodyText"/>
        <w:rPr>
          <w:sz w:val="20"/>
        </w:rPr>
      </w:pPr>
    </w:p>
    <w:p w14:paraId="1FF24BE1" w14:textId="77777777" w:rsidR="00DE575E" w:rsidRDefault="00DE575E">
      <w:pPr>
        <w:pStyle w:val="BodyText"/>
        <w:rPr>
          <w:sz w:val="20"/>
        </w:rPr>
      </w:pPr>
    </w:p>
    <w:p w14:paraId="2D55B2AF" w14:textId="77777777" w:rsidR="00DE575E" w:rsidRDefault="00DE575E">
      <w:pPr>
        <w:pStyle w:val="BodyText"/>
        <w:rPr>
          <w:sz w:val="20"/>
        </w:rPr>
      </w:pPr>
    </w:p>
    <w:p w14:paraId="4BB4A30A" w14:textId="77777777" w:rsidR="00DE575E" w:rsidRDefault="00DE575E">
      <w:pPr>
        <w:pStyle w:val="BodyText"/>
        <w:rPr>
          <w:sz w:val="20"/>
        </w:rPr>
      </w:pPr>
    </w:p>
    <w:p w14:paraId="6BDF8AB3" w14:textId="77777777" w:rsidR="00DE575E" w:rsidRDefault="00DE575E">
      <w:pPr>
        <w:pStyle w:val="BodyText"/>
        <w:rPr>
          <w:sz w:val="20"/>
        </w:rPr>
      </w:pPr>
    </w:p>
    <w:p w14:paraId="79D8ED95" w14:textId="77777777" w:rsidR="00DE575E" w:rsidRDefault="00DE575E">
      <w:pPr>
        <w:pStyle w:val="BodyText"/>
        <w:rPr>
          <w:sz w:val="20"/>
        </w:rPr>
      </w:pPr>
    </w:p>
    <w:p w14:paraId="121F7760" w14:textId="77777777" w:rsidR="00DE575E" w:rsidRDefault="00DE575E">
      <w:pPr>
        <w:pStyle w:val="BodyText"/>
        <w:rPr>
          <w:sz w:val="20"/>
        </w:rPr>
      </w:pPr>
    </w:p>
    <w:p w14:paraId="5C33564B" w14:textId="77777777" w:rsidR="00DE575E" w:rsidRDefault="00DE575E">
      <w:pPr>
        <w:pStyle w:val="BodyText"/>
        <w:rPr>
          <w:sz w:val="20"/>
        </w:rPr>
      </w:pPr>
    </w:p>
    <w:p w14:paraId="388272D5" w14:textId="77777777" w:rsidR="00DE575E" w:rsidRDefault="00DE575E">
      <w:pPr>
        <w:pStyle w:val="BodyText"/>
        <w:rPr>
          <w:sz w:val="20"/>
        </w:rPr>
      </w:pPr>
    </w:p>
    <w:p w14:paraId="7F7C2B51" w14:textId="77777777" w:rsidR="00DE575E" w:rsidRDefault="00DE575E">
      <w:pPr>
        <w:pStyle w:val="BodyText"/>
        <w:rPr>
          <w:sz w:val="20"/>
        </w:rPr>
      </w:pPr>
    </w:p>
    <w:p w14:paraId="5996CFBD" w14:textId="77777777" w:rsidR="00DE575E" w:rsidRDefault="00DE575E">
      <w:pPr>
        <w:pStyle w:val="BodyText"/>
        <w:rPr>
          <w:sz w:val="20"/>
        </w:rPr>
      </w:pPr>
    </w:p>
    <w:p w14:paraId="09AC75AE" w14:textId="77777777" w:rsidR="00DE575E" w:rsidRDefault="00DE575E">
      <w:pPr>
        <w:pStyle w:val="BodyText"/>
        <w:rPr>
          <w:sz w:val="20"/>
        </w:rPr>
      </w:pPr>
    </w:p>
    <w:p w14:paraId="382B5CE4" w14:textId="77777777" w:rsidR="00DE575E" w:rsidRDefault="00DE575E">
      <w:pPr>
        <w:pStyle w:val="BodyText"/>
        <w:rPr>
          <w:sz w:val="20"/>
        </w:rPr>
      </w:pPr>
    </w:p>
    <w:p w14:paraId="72977802" w14:textId="77777777" w:rsidR="00DE575E" w:rsidRDefault="00DE575E">
      <w:pPr>
        <w:pStyle w:val="BodyText"/>
        <w:rPr>
          <w:sz w:val="20"/>
        </w:rPr>
      </w:pPr>
    </w:p>
    <w:p w14:paraId="37E3D51F" w14:textId="77777777" w:rsidR="00DE575E" w:rsidRDefault="00DE575E">
      <w:pPr>
        <w:pStyle w:val="BodyText"/>
        <w:rPr>
          <w:sz w:val="20"/>
        </w:rPr>
      </w:pPr>
    </w:p>
    <w:p w14:paraId="3A73CB6C" w14:textId="77777777" w:rsidR="00DE575E" w:rsidRDefault="00DE575E">
      <w:pPr>
        <w:pStyle w:val="BodyText"/>
        <w:rPr>
          <w:sz w:val="20"/>
        </w:rPr>
      </w:pPr>
    </w:p>
    <w:p w14:paraId="074FBAD1" w14:textId="77777777" w:rsidR="00DE575E" w:rsidRDefault="00DE575E">
      <w:pPr>
        <w:pStyle w:val="BodyText"/>
        <w:rPr>
          <w:sz w:val="20"/>
        </w:rPr>
      </w:pPr>
    </w:p>
    <w:p w14:paraId="18BE8978" w14:textId="77777777" w:rsidR="00DE575E" w:rsidRDefault="00DE575E">
      <w:pPr>
        <w:pStyle w:val="BodyText"/>
        <w:rPr>
          <w:sz w:val="20"/>
        </w:rPr>
      </w:pPr>
    </w:p>
    <w:p w14:paraId="60AC7425" w14:textId="77777777" w:rsidR="00DE575E" w:rsidRDefault="00DE575E">
      <w:pPr>
        <w:pStyle w:val="BodyText"/>
        <w:rPr>
          <w:sz w:val="20"/>
        </w:rPr>
      </w:pPr>
    </w:p>
    <w:p w14:paraId="52F08815" w14:textId="77777777" w:rsidR="00DE575E" w:rsidRDefault="00DE575E">
      <w:pPr>
        <w:pStyle w:val="BodyText"/>
        <w:rPr>
          <w:sz w:val="20"/>
        </w:rPr>
      </w:pPr>
    </w:p>
    <w:p w14:paraId="70A162E5" w14:textId="77777777" w:rsidR="00DE575E" w:rsidRDefault="00DE575E">
      <w:pPr>
        <w:pStyle w:val="BodyText"/>
        <w:rPr>
          <w:sz w:val="20"/>
        </w:rPr>
      </w:pPr>
    </w:p>
    <w:p w14:paraId="7A5BE027" w14:textId="77777777" w:rsidR="00DE575E" w:rsidRDefault="00DE575E">
      <w:pPr>
        <w:pStyle w:val="BodyText"/>
        <w:rPr>
          <w:sz w:val="20"/>
        </w:rPr>
      </w:pPr>
    </w:p>
    <w:p w14:paraId="31B326D7" w14:textId="77777777" w:rsidR="00DE575E" w:rsidRDefault="00DE575E">
      <w:pPr>
        <w:pStyle w:val="BodyText"/>
        <w:rPr>
          <w:sz w:val="20"/>
        </w:rPr>
      </w:pPr>
    </w:p>
    <w:p w14:paraId="40E5C485" w14:textId="77777777" w:rsidR="00DE575E" w:rsidRDefault="00DE575E">
      <w:pPr>
        <w:pStyle w:val="BodyText"/>
        <w:rPr>
          <w:sz w:val="20"/>
        </w:rPr>
      </w:pPr>
    </w:p>
    <w:p w14:paraId="49B107EB" w14:textId="77777777" w:rsidR="00DE575E" w:rsidRDefault="00DE575E">
      <w:pPr>
        <w:pStyle w:val="BodyText"/>
        <w:rPr>
          <w:sz w:val="20"/>
        </w:rPr>
      </w:pPr>
    </w:p>
    <w:p w14:paraId="2789A7E7" w14:textId="77777777" w:rsidR="00DE575E" w:rsidRDefault="00DE575E">
      <w:pPr>
        <w:pStyle w:val="BodyText"/>
        <w:rPr>
          <w:sz w:val="20"/>
        </w:rPr>
      </w:pPr>
    </w:p>
    <w:p w14:paraId="66FB011D" w14:textId="77777777" w:rsidR="00DE575E" w:rsidRDefault="00DE575E">
      <w:pPr>
        <w:pStyle w:val="BodyText"/>
        <w:rPr>
          <w:sz w:val="20"/>
        </w:rPr>
      </w:pPr>
    </w:p>
    <w:p w14:paraId="46669837" w14:textId="77777777" w:rsidR="00DE575E" w:rsidRDefault="00DE575E">
      <w:pPr>
        <w:pStyle w:val="BodyText"/>
        <w:rPr>
          <w:sz w:val="20"/>
        </w:rPr>
      </w:pPr>
    </w:p>
    <w:p w14:paraId="68EA5849" w14:textId="77777777" w:rsidR="00DE575E" w:rsidRDefault="00DE575E">
      <w:pPr>
        <w:pStyle w:val="BodyText"/>
        <w:rPr>
          <w:sz w:val="20"/>
        </w:rPr>
      </w:pPr>
    </w:p>
    <w:p w14:paraId="0149CE5A" w14:textId="77777777" w:rsidR="00DE575E" w:rsidRDefault="00DE575E">
      <w:pPr>
        <w:pStyle w:val="BodyText"/>
        <w:rPr>
          <w:sz w:val="20"/>
        </w:rPr>
      </w:pPr>
    </w:p>
    <w:p w14:paraId="077E0068" w14:textId="77777777" w:rsidR="00DE575E" w:rsidRDefault="00DE575E">
      <w:pPr>
        <w:pStyle w:val="BodyText"/>
        <w:rPr>
          <w:sz w:val="20"/>
        </w:rPr>
      </w:pPr>
    </w:p>
    <w:p w14:paraId="07E2419F" w14:textId="77777777" w:rsidR="00DE575E" w:rsidRDefault="00DE575E">
      <w:pPr>
        <w:pStyle w:val="BodyText"/>
        <w:rPr>
          <w:sz w:val="20"/>
        </w:rPr>
      </w:pPr>
    </w:p>
    <w:p w14:paraId="0DFC1358" w14:textId="77777777" w:rsidR="00DE575E" w:rsidRDefault="00DE575E">
      <w:pPr>
        <w:pStyle w:val="BodyText"/>
        <w:rPr>
          <w:sz w:val="23"/>
        </w:rPr>
      </w:pPr>
    </w:p>
    <w:p w14:paraId="1A7ED6FF" w14:textId="77777777" w:rsidR="00DE575E" w:rsidRDefault="002E7560">
      <w:pPr>
        <w:spacing w:before="1"/>
        <w:ind w:right="411"/>
        <w:jc w:val="right"/>
        <w:rPr>
          <w:rFonts w:ascii="Times New Roman"/>
          <w:sz w:val="20"/>
        </w:rPr>
      </w:pPr>
      <w:r>
        <w:rPr>
          <w:rFonts w:ascii="Times New Roman"/>
          <w:color w:val="231F20"/>
          <w:w w:val="90"/>
          <w:sz w:val="20"/>
        </w:rPr>
        <w:t>457</w:t>
      </w:r>
    </w:p>
    <w:p w14:paraId="0F0AC36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AF7F31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534B9CB" w14:textId="749228A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CE8BA39" wp14:editId="6D190999">
                <wp:extent cx="4140200" cy="6350"/>
                <wp:effectExtent l="0" t="0" r="12700" b="6350"/>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56" name="Line 2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96F92A" id="Group_x0020_2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N+Ud/AgAAmAUAAA4A&#10;AAAAAAAAAAAAAAAALAIAAGRycy9lMm9Eb2MueG1sUEsBAi0AFAAGAAgAAAAhAEynsJDZAAAAAwEA&#10;AA8AAAAAAAAAAAAAAAAA1wQAAGRycy9kb3ducmV2LnhtbFBLBQYAAAAABAAEAPMAAADdBQAAAAA=&#10;">
                <v:line id="Line_x0020_2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7c6+8YAAADcAAAADwAAAGRycy9kb3ducmV2LnhtbESP3WrCQBSE7wu+w3KE3hTdVKmU6Coi&#10;FIoX/qUPcMyeJqG7Z2N2NdGnd4WCl8PMfMPMFp014kKNrxwreB8mIIhzpysuFPxkX4NPED4gazSO&#10;ScGVPCzmvZcZptq1vKfLIRQiQtinqKAMoU6l9HlJFv3Q1cTR+3WNxRBlU0jdYBvh1shRkkykxYrj&#10;Qok1rUrK/w5nqyA7vQWz265Nm22PY3k8bca380ap1363nIII1IVn+L/9rRWMPibwOBOPgJ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3OvvGAAAA3AAAAA8AAAAAAAAA&#10;AAAAAAAAoQIAAGRycy9kb3ducmV2LnhtbFBLBQYAAAAABAAEAPkAAACUAwAAAAA=&#10;" strokecolor="#231f20" strokeweight=".5pt"/>
                <w10:anchorlock/>
              </v:group>
            </w:pict>
          </mc:Fallback>
        </mc:AlternateContent>
      </w:r>
    </w:p>
    <w:p w14:paraId="52C85E13" w14:textId="77777777" w:rsidR="00DE575E" w:rsidRDefault="00DE575E">
      <w:pPr>
        <w:pStyle w:val="BodyText"/>
        <w:rPr>
          <w:rFonts w:ascii="AdonisC"/>
          <w:i/>
          <w:sz w:val="18"/>
        </w:rPr>
      </w:pPr>
    </w:p>
    <w:p w14:paraId="6BCDDF5F" w14:textId="77777777" w:rsidR="00DE575E" w:rsidRDefault="002E7560">
      <w:pPr>
        <w:pStyle w:val="Heading2"/>
        <w:spacing w:before="1" w:line="300" w:lineRule="exact"/>
        <w:ind w:right="292"/>
        <w:jc w:val="center"/>
      </w:pPr>
      <w:r>
        <w:rPr>
          <w:color w:val="231F20"/>
        </w:rPr>
        <w:t>Розділ 6</w:t>
      </w:r>
    </w:p>
    <w:p w14:paraId="53FF2736" w14:textId="77777777" w:rsidR="00DE575E" w:rsidRDefault="002E7560">
      <w:pPr>
        <w:spacing w:before="23" w:line="218" w:lineRule="auto"/>
        <w:ind w:left="594" w:firstLine="796"/>
        <w:rPr>
          <w:b/>
          <w:sz w:val="28"/>
        </w:rPr>
      </w:pPr>
      <w:r>
        <w:rPr>
          <w:b/>
          <w:color w:val="231F20"/>
          <w:sz w:val="28"/>
        </w:rPr>
        <w:t>ДИСЦИПЛІНАРНА ТА МАТЕРІАЛЬНА ВІДПОВІДАЛЬНІСТЬ ДЕРЖАВНИХ СЛУЖБОВЦІВ</w:t>
      </w:r>
    </w:p>
    <w:p w14:paraId="7E902B70" w14:textId="77777777" w:rsidR="00DE575E" w:rsidRDefault="00DE575E">
      <w:pPr>
        <w:pStyle w:val="BodyText"/>
        <w:spacing w:before="8"/>
        <w:rPr>
          <w:b/>
          <w:sz w:val="43"/>
        </w:rPr>
      </w:pPr>
    </w:p>
    <w:p w14:paraId="7BDF6C4F" w14:textId="77777777" w:rsidR="00DE575E" w:rsidRDefault="002E7560">
      <w:pPr>
        <w:pStyle w:val="Heading4"/>
        <w:numPr>
          <w:ilvl w:val="1"/>
          <w:numId w:val="42"/>
        </w:numPr>
        <w:tabs>
          <w:tab w:val="left" w:pos="1714"/>
        </w:tabs>
        <w:ind w:right="893" w:hanging="1265"/>
        <w:jc w:val="left"/>
      </w:pPr>
      <w:r>
        <w:rPr>
          <w:color w:val="231F20"/>
        </w:rPr>
        <w:t>Підстави дисциплінарної відповідальності державних</w:t>
      </w:r>
      <w:r>
        <w:rPr>
          <w:color w:val="231F20"/>
          <w:spacing w:val="-1"/>
        </w:rPr>
        <w:t xml:space="preserve"> </w:t>
      </w:r>
      <w:r>
        <w:rPr>
          <w:color w:val="231F20"/>
        </w:rPr>
        <w:t>службовців</w:t>
      </w:r>
    </w:p>
    <w:p w14:paraId="454B0005" w14:textId="77777777" w:rsidR="00DE575E" w:rsidRDefault="00DE575E">
      <w:pPr>
        <w:pStyle w:val="BodyText"/>
        <w:rPr>
          <w:b/>
          <w:sz w:val="26"/>
        </w:rPr>
      </w:pPr>
    </w:p>
    <w:p w14:paraId="694C9A41" w14:textId="77777777" w:rsidR="00DE575E" w:rsidRDefault="002E7560">
      <w:pPr>
        <w:pStyle w:val="BodyText"/>
        <w:spacing w:before="224" w:line="252" w:lineRule="auto"/>
        <w:ind w:left="533" w:right="127" w:firstLine="283"/>
        <w:jc w:val="both"/>
      </w:pPr>
      <w:r>
        <w:rPr>
          <w:color w:val="231F20"/>
        </w:rPr>
        <w:t>Державний службовець зобов’язаний виконувати посадові обов’язки, а також обов’язки щодо додержання службової дисци- пліни.</w:t>
      </w:r>
      <w:r>
        <w:rPr>
          <w:color w:val="231F20"/>
          <w:spacing w:val="-10"/>
        </w:rPr>
        <w:t xml:space="preserve"> </w:t>
      </w:r>
      <w:r>
        <w:rPr>
          <w:color w:val="231F20"/>
        </w:rPr>
        <w:t>За</w:t>
      </w:r>
      <w:r>
        <w:rPr>
          <w:color w:val="231F20"/>
          <w:spacing w:val="-10"/>
        </w:rPr>
        <w:t xml:space="preserve"> </w:t>
      </w:r>
      <w:r>
        <w:rPr>
          <w:color w:val="231F20"/>
        </w:rPr>
        <w:t>невиконання</w:t>
      </w:r>
      <w:r>
        <w:rPr>
          <w:color w:val="231F20"/>
          <w:spacing w:val="-10"/>
        </w:rPr>
        <w:t xml:space="preserve"> </w:t>
      </w:r>
      <w:r>
        <w:rPr>
          <w:color w:val="231F20"/>
        </w:rPr>
        <w:t>або</w:t>
      </w:r>
      <w:r>
        <w:rPr>
          <w:color w:val="231F20"/>
          <w:spacing w:val="-10"/>
        </w:rPr>
        <w:t xml:space="preserve"> </w:t>
      </w:r>
      <w:r>
        <w:rPr>
          <w:color w:val="231F20"/>
        </w:rPr>
        <w:t>неналежне</w:t>
      </w:r>
      <w:r>
        <w:rPr>
          <w:color w:val="231F20"/>
          <w:spacing w:val="-10"/>
        </w:rPr>
        <w:t xml:space="preserve"> </w:t>
      </w:r>
      <w:r>
        <w:rPr>
          <w:color w:val="231F20"/>
        </w:rPr>
        <w:t>виконання</w:t>
      </w:r>
      <w:r>
        <w:rPr>
          <w:color w:val="231F20"/>
          <w:spacing w:val="-10"/>
        </w:rPr>
        <w:t xml:space="preserve"> </w:t>
      </w:r>
      <w:r>
        <w:rPr>
          <w:color w:val="231F20"/>
        </w:rPr>
        <w:t>посадових</w:t>
      </w:r>
      <w:r>
        <w:rPr>
          <w:color w:val="231F20"/>
          <w:spacing w:val="-10"/>
        </w:rPr>
        <w:t xml:space="preserve"> </w:t>
      </w:r>
      <w:r>
        <w:rPr>
          <w:color w:val="231F20"/>
        </w:rPr>
        <w:t xml:space="preserve">обов’яз- ків, визначених Законом </w:t>
      </w:r>
      <w:r>
        <w:rPr>
          <w:color w:val="231F20"/>
          <w:spacing w:val="-3"/>
        </w:rPr>
        <w:t xml:space="preserve">України </w:t>
      </w:r>
      <w:r>
        <w:rPr>
          <w:color w:val="231F20"/>
        </w:rPr>
        <w:t>«Про державну службу» та іншими нормативно-</w:t>
      </w:r>
      <w:r>
        <w:rPr>
          <w:color w:val="231F20"/>
        </w:rPr>
        <w:t xml:space="preserve">правовими актами у сфері державної служби, поса- довою інструкцією, а також порушення правил етичної поведінки та інше порушення службової дисципліни державний службовець притягається до дисциплінарної відповідальності у визначеному законом </w:t>
      </w:r>
      <w:r>
        <w:rPr>
          <w:color w:val="231F20"/>
          <w:spacing w:val="-3"/>
        </w:rPr>
        <w:t>порядку.</w:t>
      </w:r>
    </w:p>
    <w:p w14:paraId="3AC692AB" w14:textId="77777777" w:rsidR="00DE575E" w:rsidRDefault="002E7560">
      <w:pPr>
        <w:spacing w:before="4" w:line="252" w:lineRule="auto"/>
        <w:ind w:left="533" w:right="126" w:firstLine="283"/>
        <w:jc w:val="both"/>
        <w:rPr>
          <w:sz w:val="21"/>
        </w:rPr>
      </w:pPr>
      <w:r>
        <w:rPr>
          <w:b/>
          <w:i/>
          <w:color w:val="231F20"/>
          <w:sz w:val="21"/>
        </w:rPr>
        <w:t>Підста</w:t>
      </w:r>
      <w:r>
        <w:rPr>
          <w:b/>
          <w:i/>
          <w:color w:val="231F20"/>
          <w:sz w:val="21"/>
        </w:rPr>
        <w:t xml:space="preserve">вою </w:t>
      </w:r>
      <w:r>
        <w:rPr>
          <w:color w:val="231F20"/>
          <w:sz w:val="21"/>
        </w:rPr>
        <w:t xml:space="preserve">для притягнення державного службовця до дисци- плінарної відповідальності є вчинення ним </w:t>
      </w:r>
      <w:r>
        <w:rPr>
          <w:i/>
          <w:color w:val="231F20"/>
          <w:sz w:val="21"/>
        </w:rPr>
        <w:t>дисциплінарного проступку, тобто протиправної винної дії або бездіяльності чи прийняття рішення, що полягає у невиконанні або неналежному виконанні державним служб</w:t>
      </w:r>
      <w:r>
        <w:rPr>
          <w:i/>
          <w:color w:val="231F20"/>
          <w:sz w:val="21"/>
        </w:rPr>
        <w:t>овцем своїх посадових обов’язків та інших вимог, установлених законом та іншими нормативно-право- вими актами, за яке до нього може бути застосоване дисциплі- нарне стягнення</w:t>
      </w:r>
      <w:r>
        <w:rPr>
          <w:color w:val="231F20"/>
          <w:sz w:val="21"/>
        </w:rPr>
        <w:t>.</w:t>
      </w:r>
    </w:p>
    <w:p w14:paraId="6EF588E7" w14:textId="77777777" w:rsidR="00DE575E" w:rsidRDefault="002E7560">
      <w:pPr>
        <w:pStyle w:val="Heading6"/>
        <w:spacing w:before="4"/>
        <w:ind w:left="817" w:firstLine="0"/>
      </w:pPr>
      <w:r>
        <w:rPr>
          <w:color w:val="231F20"/>
        </w:rPr>
        <w:t>Дисциплінарними проступками є:</w:t>
      </w:r>
    </w:p>
    <w:p w14:paraId="5C91FD81" w14:textId="77777777" w:rsidR="00DE575E" w:rsidRDefault="002E7560">
      <w:pPr>
        <w:pStyle w:val="ListParagraph"/>
        <w:numPr>
          <w:ilvl w:val="0"/>
          <w:numId w:val="41"/>
        </w:numPr>
        <w:tabs>
          <w:tab w:val="left" w:pos="1101"/>
        </w:tabs>
        <w:spacing w:before="13"/>
        <w:ind w:firstLine="284"/>
        <w:rPr>
          <w:sz w:val="21"/>
        </w:rPr>
      </w:pPr>
      <w:r>
        <w:rPr>
          <w:color w:val="231F20"/>
          <w:sz w:val="21"/>
        </w:rPr>
        <w:t>порушення Присяги державного</w:t>
      </w:r>
      <w:r>
        <w:rPr>
          <w:color w:val="231F20"/>
          <w:spacing w:val="-3"/>
          <w:sz w:val="21"/>
        </w:rPr>
        <w:t xml:space="preserve"> </w:t>
      </w:r>
      <w:r>
        <w:rPr>
          <w:color w:val="231F20"/>
          <w:sz w:val="21"/>
        </w:rPr>
        <w:t>службовця;</w:t>
      </w:r>
    </w:p>
    <w:p w14:paraId="67B713CE" w14:textId="77777777" w:rsidR="00DE575E" w:rsidRDefault="002E7560">
      <w:pPr>
        <w:pStyle w:val="ListParagraph"/>
        <w:numPr>
          <w:ilvl w:val="0"/>
          <w:numId w:val="41"/>
        </w:numPr>
        <w:tabs>
          <w:tab w:val="left" w:pos="1101"/>
        </w:tabs>
        <w:spacing w:before="13"/>
        <w:ind w:firstLine="284"/>
        <w:rPr>
          <w:sz w:val="21"/>
        </w:rPr>
      </w:pPr>
      <w:r>
        <w:rPr>
          <w:color w:val="231F20"/>
          <w:sz w:val="21"/>
        </w:rPr>
        <w:t>порушення правил етичної поведінки державних</w:t>
      </w:r>
      <w:r>
        <w:rPr>
          <w:color w:val="231F20"/>
          <w:spacing w:val="-9"/>
          <w:sz w:val="21"/>
        </w:rPr>
        <w:t xml:space="preserve"> </w:t>
      </w:r>
      <w:r>
        <w:rPr>
          <w:color w:val="231F20"/>
          <w:sz w:val="21"/>
        </w:rPr>
        <w:t>службовців;</w:t>
      </w:r>
    </w:p>
    <w:p w14:paraId="757FACC9" w14:textId="77777777" w:rsidR="00DE575E" w:rsidRDefault="002E7560">
      <w:pPr>
        <w:pStyle w:val="ListParagraph"/>
        <w:numPr>
          <w:ilvl w:val="0"/>
          <w:numId w:val="41"/>
        </w:numPr>
        <w:tabs>
          <w:tab w:val="left" w:pos="1101"/>
        </w:tabs>
        <w:spacing w:before="13" w:line="252" w:lineRule="auto"/>
        <w:ind w:right="128" w:firstLine="284"/>
        <w:rPr>
          <w:sz w:val="21"/>
        </w:rPr>
      </w:pPr>
      <w:r>
        <w:rPr>
          <w:color w:val="231F20"/>
          <w:sz w:val="21"/>
        </w:rPr>
        <w:t>вияв неповаги до держави, державних символів</w:t>
      </w:r>
      <w:r>
        <w:rPr>
          <w:color w:val="231F20"/>
          <w:spacing w:val="-33"/>
          <w:sz w:val="21"/>
        </w:rPr>
        <w:t xml:space="preserve"> </w:t>
      </w:r>
      <w:r>
        <w:rPr>
          <w:color w:val="231F20"/>
          <w:spacing w:val="-3"/>
          <w:sz w:val="21"/>
        </w:rPr>
        <w:t xml:space="preserve">України, Укра- </w:t>
      </w:r>
      <w:r>
        <w:rPr>
          <w:color w:val="231F20"/>
          <w:sz w:val="21"/>
        </w:rPr>
        <w:t>їнського</w:t>
      </w:r>
      <w:r>
        <w:rPr>
          <w:color w:val="231F20"/>
          <w:spacing w:val="-1"/>
          <w:sz w:val="21"/>
        </w:rPr>
        <w:t xml:space="preserve"> </w:t>
      </w:r>
      <w:r>
        <w:rPr>
          <w:color w:val="231F20"/>
          <w:sz w:val="21"/>
        </w:rPr>
        <w:t>народу;</w:t>
      </w:r>
    </w:p>
    <w:p w14:paraId="3E148AE3" w14:textId="77777777" w:rsidR="00DE575E" w:rsidRDefault="002E7560">
      <w:pPr>
        <w:pStyle w:val="ListParagraph"/>
        <w:numPr>
          <w:ilvl w:val="0"/>
          <w:numId w:val="41"/>
        </w:numPr>
        <w:tabs>
          <w:tab w:val="left" w:pos="1101"/>
        </w:tabs>
        <w:ind w:firstLine="284"/>
        <w:rPr>
          <w:sz w:val="21"/>
        </w:rPr>
      </w:pPr>
      <w:r>
        <w:rPr>
          <w:color w:val="231F20"/>
          <w:sz w:val="21"/>
        </w:rPr>
        <w:t>дії, що шкодять авторитету державної</w:t>
      </w:r>
      <w:r>
        <w:rPr>
          <w:color w:val="231F20"/>
          <w:spacing w:val="-6"/>
          <w:sz w:val="21"/>
        </w:rPr>
        <w:t xml:space="preserve"> </w:t>
      </w:r>
      <w:r>
        <w:rPr>
          <w:color w:val="231F20"/>
          <w:sz w:val="21"/>
        </w:rPr>
        <w:t>служби;</w:t>
      </w:r>
    </w:p>
    <w:p w14:paraId="352107A6" w14:textId="77777777" w:rsidR="00DE575E" w:rsidRDefault="002E7560">
      <w:pPr>
        <w:pStyle w:val="ListParagraph"/>
        <w:numPr>
          <w:ilvl w:val="0"/>
          <w:numId w:val="41"/>
        </w:numPr>
        <w:tabs>
          <w:tab w:val="left" w:pos="1101"/>
        </w:tabs>
        <w:spacing w:before="12" w:line="252" w:lineRule="auto"/>
        <w:ind w:right="125" w:firstLine="284"/>
        <w:jc w:val="both"/>
        <w:rPr>
          <w:sz w:val="21"/>
        </w:rPr>
      </w:pPr>
      <w:r>
        <w:rPr>
          <w:color w:val="231F20"/>
          <w:sz w:val="21"/>
        </w:rPr>
        <w:t>невиконання або неналежне виконання посадових обов’язків, актів органів державної влади, наказів (розпоряджень) і доручень керівників, прийнятих у межах їхніх</w:t>
      </w:r>
      <w:r>
        <w:rPr>
          <w:color w:val="231F20"/>
          <w:spacing w:val="-2"/>
          <w:sz w:val="21"/>
        </w:rPr>
        <w:t xml:space="preserve"> </w:t>
      </w:r>
      <w:r>
        <w:rPr>
          <w:color w:val="231F20"/>
          <w:sz w:val="21"/>
        </w:rPr>
        <w:t>повноважень;</w:t>
      </w:r>
    </w:p>
    <w:p w14:paraId="4F2F3555" w14:textId="77777777" w:rsidR="00DE575E" w:rsidRDefault="002E7560">
      <w:pPr>
        <w:pStyle w:val="ListParagraph"/>
        <w:numPr>
          <w:ilvl w:val="0"/>
          <w:numId w:val="41"/>
        </w:numPr>
        <w:tabs>
          <w:tab w:val="left" w:pos="1101"/>
        </w:tabs>
        <w:spacing w:before="2"/>
        <w:ind w:firstLine="284"/>
        <w:rPr>
          <w:sz w:val="21"/>
        </w:rPr>
      </w:pPr>
      <w:r>
        <w:rPr>
          <w:color w:val="231F20"/>
          <w:sz w:val="21"/>
        </w:rPr>
        <w:t>недотримання правил внутрішнього службового</w:t>
      </w:r>
      <w:r>
        <w:rPr>
          <w:color w:val="231F20"/>
          <w:spacing w:val="-17"/>
          <w:sz w:val="21"/>
        </w:rPr>
        <w:t xml:space="preserve"> </w:t>
      </w:r>
      <w:r>
        <w:rPr>
          <w:color w:val="231F20"/>
          <w:sz w:val="21"/>
        </w:rPr>
        <w:t>розпорядку;</w:t>
      </w:r>
    </w:p>
    <w:p w14:paraId="611DE966" w14:textId="77777777" w:rsidR="00DE575E" w:rsidRDefault="002E7560">
      <w:pPr>
        <w:pStyle w:val="ListParagraph"/>
        <w:numPr>
          <w:ilvl w:val="0"/>
          <w:numId w:val="41"/>
        </w:numPr>
        <w:tabs>
          <w:tab w:val="left" w:pos="1101"/>
        </w:tabs>
        <w:spacing w:before="13" w:line="252" w:lineRule="auto"/>
        <w:ind w:right="126" w:firstLine="284"/>
        <w:rPr>
          <w:sz w:val="21"/>
        </w:rPr>
      </w:pPr>
      <w:r>
        <w:rPr>
          <w:color w:val="231F20"/>
          <w:sz w:val="21"/>
        </w:rPr>
        <w:t>перевищення службових повнов</w:t>
      </w:r>
      <w:r>
        <w:rPr>
          <w:color w:val="231F20"/>
          <w:sz w:val="21"/>
        </w:rPr>
        <w:t>ажень, якщо воно не містить складу злочину або адміністративного</w:t>
      </w:r>
      <w:r>
        <w:rPr>
          <w:color w:val="231F20"/>
          <w:spacing w:val="-8"/>
          <w:sz w:val="21"/>
        </w:rPr>
        <w:t xml:space="preserve"> </w:t>
      </w:r>
      <w:r>
        <w:rPr>
          <w:color w:val="231F20"/>
          <w:sz w:val="21"/>
        </w:rPr>
        <w:t>правопорушення;</w:t>
      </w:r>
    </w:p>
    <w:p w14:paraId="538FE0FE" w14:textId="77777777" w:rsidR="00DE575E" w:rsidRDefault="00DE575E">
      <w:pPr>
        <w:pStyle w:val="BodyText"/>
        <w:spacing w:before="1"/>
        <w:rPr>
          <w:sz w:val="23"/>
        </w:rPr>
      </w:pPr>
    </w:p>
    <w:p w14:paraId="51B7628A" w14:textId="77777777" w:rsidR="00DE575E" w:rsidRDefault="002E7560">
      <w:pPr>
        <w:spacing w:before="91"/>
        <w:ind w:left="533"/>
        <w:rPr>
          <w:rFonts w:ascii="Times New Roman"/>
          <w:sz w:val="20"/>
        </w:rPr>
      </w:pPr>
      <w:r>
        <w:rPr>
          <w:rFonts w:ascii="Times New Roman"/>
          <w:color w:val="231F20"/>
          <w:sz w:val="20"/>
        </w:rPr>
        <w:t>458</w:t>
      </w:r>
    </w:p>
    <w:p w14:paraId="034C220D" w14:textId="77777777" w:rsidR="00DE575E" w:rsidRDefault="00DE575E">
      <w:pPr>
        <w:rPr>
          <w:rFonts w:ascii="Times New Roman"/>
          <w:sz w:val="20"/>
        </w:rPr>
        <w:sectPr w:rsidR="00DE575E">
          <w:pgSz w:w="8510" w:h="12760"/>
          <w:pgMar w:top="660" w:right="720" w:bottom="280" w:left="600" w:header="720" w:footer="720" w:gutter="0"/>
          <w:cols w:space="720"/>
        </w:sectPr>
      </w:pPr>
    </w:p>
    <w:p w14:paraId="1AC2FF01" w14:textId="77777777" w:rsidR="00DE575E" w:rsidRDefault="002E7560">
      <w:pPr>
        <w:spacing w:before="72" w:line="249" w:lineRule="auto"/>
        <w:ind w:left="470" w:right="409" w:firstLine="2279"/>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Дисциплінарна </w:t>
      </w:r>
      <w:r>
        <w:rPr>
          <w:rFonts w:ascii="AdonisC" w:hAnsi="AdonisC"/>
          <w:i/>
          <w:color w:val="231F20"/>
          <w:sz w:val="18"/>
        </w:rPr>
        <w:t xml:space="preserve">та </w:t>
      </w:r>
      <w:r>
        <w:rPr>
          <w:rFonts w:ascii="AdonisC" w:hAnsi="AdonisC"/>
          <w:i/>
          <w:color w:val="231F20"/>
          <w:spacing w:val="-4"/>
          <w:sz w:val="18"/>
        </w:rPr>
        <w:t>матеріальна відповідальність державних службовців</w:t>
      </w:r>
    </w:p>
    <w:p w14:paraId="45BD7845" w14:textId="5937F1B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66CA5D3" wp14:editId="03B887A2">
                <wp:extent cx="4140200" cy="6350"/>
                <wp:effectExtent l="0" t="0" r="12700" b="6350"/>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54" name="Line 25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E6BFE8" id="Group_x0020_25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y9F9rn4CAACYBQAADgAA&#10;AAAAAAAAAAAAAAAsAgAAZHJzL2Uyb0RvYy54bWxQSwECLQAUAAYACAAAACEATKewkNkAAAADAQAA&#10;DwAAAAAAAAAAAAAAAADWBAAAZHJzL2Rvd25yZXYueG1sUEsFBgAAAAAEAAQA8wAAANwFAAAAAA==&#10;">
                <v:line id="Line_x0020_25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kBF8YAAADcAAAADwAAAGRycy9kb3ducmV2LnhtbESP0WrCQBRE3wX/YblCX4pu1CoSXUUK&#10;hdIHbY0fcM1ek+Du3ZhdTdqv7xYKPg4zc4ZZbTprxJ0aXzlWMB4lIIhzpysuFByzt+EChA/IGo1j&#10;UvBNHjbrfm+FqXYtf9H9EAoRIexTVFCGUKdS+rwki37kauLonV1jMUTZFFI32Ea4NXKSJHNpseK4&#10;UGJNryXll8PNKsiuz8F87j9Mm+1PU3m67qY/t51ST4NuuwQRqAuP8H/7XSuYzF7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ApARfGAAAA3AAAAA8AAAAAAAAA&#10;AAAAAAAAoQIAAGRycy9kb3ducmV2LnhtbFBLBQYAAAAABAAEAPkAAACUAwAAAAA=&#10;" strokecolor="#231f20" strokeweight=".5pt"/>
                <w10:anchorlock/>
              </v:group>
            </w:pict>
          </mc:Fallback>
        </mc:AlternateContent>
      </w:r>
    </w:p>
    <w:p w14:paraId="10BBD4AC" w14:textId="77777777" w:rsidR="00DE575E" w:rsidRDefault="00DE575E">
      <w:pPr>
        <w:pStyle w:val="BodyText"/>
        <w:spacing w:before="7"/>
        <w:rPr>
          <w:rFonts w:ascii="AdonisC"/>
          <w:i/>
          <w:sz w:val="19"/>
        </w:rPr>
      </w:pPr>
    </w:p>
    <w:p w14:paraId="10DA89A7" w14:textId="77777777" w:rsidR="00DE575E" w:rsidRDefault="002E7560">
      <w:pPr>
        <w:pStyle w:val="ListParagraph"/>
        <w:numPr>
          <w:ilvl w:val="0"/>
          <w:numId w:val="40"/>
        </w:numPr>
        <w:tabs>
          <w:tab w:val="left" w:pos="818"/>
        </w:tabs>
        <w:spacing w:line="252" w:lineRule="auto"/>
        <w:ind w:right="411" w:firstLine="283"/>
        <w:jc w:val="both"/>
        <w:rPr>
          <w:sz w:val="21"/>
        </w:rPr>
      </w:pPr>
      <w:r>
        <w:rPr>
          <w:color w:val="231F20"/>
          <w:sz w:val="21"/>
        </w:rPr>
        <w:t>невиконання</w:t>
      </w:r>
      <w:r>
        <w:rPr>
          <w:color w:val="231F20"/>
          <w:spacing w:val="-19"/>
          <w:sz w:val="21"/>
        </w:rPr>
        <w:t xml:space="preserve"> </w:t>
      </w:r>
      <w:r>
        <w:rPr>
          <w:color w:val="231F20"/>
          <w:sz w:val="21"/>
        </w:rPr>
        <w:t>вимог</w:t>
      </w:r>
      <w:r>
        <w:rPr>
          <w:color w:val="231F20"/>
          <w:spacing w:val="-19"/>
          <w:sz w:val="21"/>
        </w:rPr>
        <w:t xml:space="preserve"> </w:t>
      </w:r>
      <w:r>
        <w:rPr>
          <w:color w:val="231F20"/>
          <w:sz w:val="21"/>
        </w:rPr>
        <w:t>щодо</w:t>
      </w:r>
      <w:r>
        <w:rPr>
          <w:color w:val="231F20"/>
          <w:spacing w:val="-19"/>
          <w:sz w:val="21"/>
        </w:rPr>
        <w:t xml:space="preserve"> </w:t>
      </w:r>
      <w:r>
        <w:rPr>
          <w:color w:val="231F20"/>
          <w:sz w:val="21"/>
        </w:rPr>
        <w:t>політичної</w:t>
      </w:r>
      <w:r>
        <w:rPr>
          <w:color w:val="231F20"/>
          <w:spacing w:val="-19"/>
          <w:sz w:val="21"/>
        </w:rPr>
        <w:t xml:space="preserve"> </w:t>
      </w:r>
      <w:r>
        <w:rPr>
          <w:color w:val="231F20"/>
          <w:sz w:val="21"/>
        </w:rPr>
        <w:t>неупередженості</w:t>
      </w:r>
      <w:r>
        <w:rPr>
          <w:color w:val="231F20"/>
          <w:spacing w:val="-19"/>
          <w:sz w:val="21"/>
        </w:rPr>
        <w:t xml:space="preserve"> </w:t>
      </w:r>
      <w:r>
        <w:rPr>
          <w:color w:val="231F20"/>
          <w:sz w:val="21"/>
        </w:rPr>
        <w:t>держав- ного службовця;</w:t>
      </w:r>
    </w:p>
    <w:p w14:paraId="2ADF83DE" w14:textId="77777777" w:rsidR="00DE575E" w:rsidRDefault="002E7560">
      <w:pPr>
        <w:pStyle w:val="ListParagraph"/>
        <w:numPr>
          <w:ilvl w:val="0"/>
          <w:numId w:val="40"/>
        </w:numPr>
        <w:tabs>
          <w:tab w:val="left" w:pos="818"/>
        </w:tabs>
        <w:spacing w:line="252" w:lineRule="auto"/>
        <w:ind w:right="411" w:firstLine="283"/>
        <w:jc w:val="both"/>
        <w:rPr>
          <w:sz w:val="21"/>
        </w:rPr>
      </w:pPr>
      <w:r>
        <w:rPr>
          <w:color w:val="231F20"/>
          <w:sz w:val="21"/>
        </w:rPr>
        <w:t>використання повноважень в особистих (приватних) інтере- сах або в неправомірних особистих інтересах інших</w:t>
      </w:r>
      <w:r>
        <w:rPr>
          <w:color w:val="231F20"/>
          <w:spacing w:val="-7"/>
          <w:sz w:val="21"/>
        </w:rPr>
        <w:t xml:space="preserve"> </w:t>
      </w:r>
      <w:r>
        <w:rPr>
          <w:color w:val="231F20"/>
          <w:sz w:val="21"/>
        </w:rPr>
        <w:t>осіб;</w:t>
      </w:r>
    </w:p>
    <w:p w14:paraId="5BD297F7" w14:textId="77777777" w:rsidR="00DE575E" w:rsidRDefault="002E7560">
      <w:pPr>
        <w:pStyle w:val="ListParagraph"/>
        <w:numPr>
          <w:ilvl w:val="0"/>
          <w:numId w:val="40"/>
        </w:numPr>
        <w:tabs>
          <w:tab w:val="left" w:pos="971"/>
        </w:tabs>
        <w:spacing w:line="252" w:lineRule="auto"/>
        <w:ind w:right="410" w:firstLine="283"/>
        <w:jc w:val="both"/>
        <w:rPr>
          <w:sz w:val="21"/>
        </w:rPr>
      </w:pPr>
      <w:r>
        <w:rPr>
          <w:color w:val="231F20"/>
          <w:sz w:val="21"/>
        </w:rPr>
        <w:t xml:space="preserve">подання під час вступу на державну службу недостовірної інформації про обставини, що перешкоджають реалізації права на державну </w:t>
      </w:r>
      <w:r>
        <w:rPr>
          <w:color w:val="231F20"/>
          <w:spacing w:val="-3"/>
          <w:sz w:val="21"/>
        </w:rPr>
        <w:t xml:space="preserve">службу, </w:t>
      </w:r>
      <w:r>
        <w:rPr>
          <w:color w:val="231F20"/>
          <w:sz w:val="21"/>
        </w:rPr>
        <w:t>а також неподання необхідної інформації про такі обставини, що виникли під час проходження</w:t>
      </w:r>
      <w:r>
        <w:rPr>
          <w:color w:val="231F20"/>
          <w:spacing w:val="-4"/>
          <w:sz w:val="21"/>
        </w:rPr>
        <w:t xml:space="preserve"> </w:t>
      </w:r>
      <w:r>
        <w:rPr>
          <w:color w:val="231F20"/>
          <w:sz w:val="21"/>
        </w:rPr>
        <w:t>служби;</w:t>
      </w:r>
    </w:p>
    <w:p w14:paraId="391CC10A" w14:textId="77777777" w:rsidR="00DE575E" w:rsidRDefault="002E7560">
      <w:pPr>
        <w:pStyle w:val="ListParagraph"/>
        <w:numPr>
          <w:ilvl w:val="0"/>
          <w:numId w:val="40"/>
        </w:numPr>
        <w:tabs>
          <w:tab w:val="left" w:pos="971"/>
        </w:tabs>
        <w:spacing w:before="2" w:line="252" w:lineRule="auto"/>
        <w:ind w:right="411" w:firstLine="283"/>
        <w:jc w:val="both"/>
        <w:rPr>
          <w:sz w:val="21"/>
        </w:rPr>
      </w:pPr>
      <w:r>
        <w:rPr>
          <w:color w:val="231F20"/>
          <w:sz w:val="21"/>
        </w:rPr>
        <w:t>неповідомлення керівн</w:t>
      </w:r>
      <w:r>
        <w:rPr>
          <w:color w:val="231F20"/>
          <w:sz w:val="21"/>
        </w:rPr>
        <w:t>ику державної служби про виник- нення відносин прямої підпорядкованості між державним службов- цем і близькими особами у 15-денний строк з дня їх</w:t>
      </w:r>
      <w:r>
        <w:rPr>
          <w:color w:val="231F20"/>
          <w:spacing w:val="-13"/>
          <w:sz w:val="21"/>
        </w:rPr>
        <w:t xml:space="preserve"> </w:t>
      </w:r>
      <w:r>
        <w:rPr>
          <w:color w:val="231F20"/>
          <w:sz w:val="21"/>
        </w:rPr>
        <w:t>виникнення;</w:t>
      </w:r>
    </w:p>
    <w:p w14:paraId="1F265C19" w14:textId="77777777" w:rsidR="00DE575E" w:rsidRDefault="002E7560">
      <w:pPr>
        <w:pStyle w:val="ListParagraph"/>
        <w:numPr>
          <w:ilvl w:val="0"/>
          <w:numId w:val="40"/>
        </w:numPr>
        <w:tabs>
          <w:tab w:val="left" w:pos="971"/>
        </w:tabs>
        <w:spacing w:line="252" w:lineRule="auto"/>
        <w:ind w:right="413" w:firstLine="283"/>
        <w:jc w:val="both"/>
        <w:rPr>
          <w:sz w:val="21"/>
        </w:rPr>
      </w:pPr>
      <w:r>
        <w:rPr>
          <w:color w:val="231F20"/>
          <w:spacing w:val="-4"/>
          <w:sz w:val="21"/>
        </w:rPr>
        <w:t xml:space="preserve">прогул </w:t>
      </w:r>
      <w:r>
        <w:rPr>
          <w:color w:val="231F20"/>
          <w:spacing w:val="-3"/>
          <w:sz w:val="21"/>
        </w:rPr>
        <w:t xml:space="preserve">державного службовця (зокрема відсутність </w:t>
      </w:r>
      <w:r>
        <w:rPr>
          <w:color w:val="231F20"/>
          <w:sz w:val="21"/>
        </w:rPr>
        <w:t xml:space="preserve">на </w:t>
      </w:r>
      <w:r>
        <w:rPr>
          <w:color w:val="231F20"/>
          <w:spacing w:val="-3"/>
          <w:sz w:val="21"/>
        </w:rPr>
        <w:t xml:space="preserve">службі понад </w:t>
      </w:r>
      <w:r>
        <w:rPr>
          <w:color w:val="231F20"/>
          <w:sz w:val="21"/>
        </w:rPr>
        <w:t xml:space="preserve">три </w:t>
      </w:r>
      <w:r>
        <w:rPr>
          <w:color w:val="231F20"/>
          <w:spacing w:val="-4"/>
          <w:sz w:val="21"/>
        </w:rPr>
        <w:t xml:space="preserve">години упродовж </w:t>
      </w:r>
      <w:r>
        <w:rPr>
          <w:color w:val="231F20"/>
          <w:spacing w:val="-3"/>
          <w:sz w:val="21"/>
        </w:rPr>
        <w:t>робочого дня)</w:t>
      </w:r>
      <w:r>
        <w:rPr>
          <w:color w:val="231F20"/>
          <w:spacing w:val="-3"/>
          <w:sz w:val="21"/>
        </w:rPr>
        <w:t xml:space="preserve"> </w:t>
      </w:r>
      <w:r>
        <w:rPr>
          <w:color w:val="231F20"/>
          <w:sz w:val="21"/>
        </w:rPr>
        <w:t xml:space="preserve">без </w:t>
      </w:r>
      <w:r>
        <w:rPr>
          <w:color w:val="231F20"/>
          <w:spacing w:val="-3"/>
          <w:sz w:val="21"/>
        </w:rPr>
        <w:t>поважних</w:t>
      </w:r>
      <w:r>
        <w:rPr>
          <w:color w:val="231F20"/>
          <w:spacing w:val="-18"/>
          <w:sz w:val="21"/>
        </w:rPr>
        <w:t xml:space="preserve"> </w:t>
      </w:r>
      <w:r>
        <w:rPr>
          <w:color w:val="231F20"/>
          <w:spacing w:val="-3"/>
          <w:sz w:val="21"/>
        </w:rPr>
        <w:t>причин;</w:t>
      </w:r>
    </w:p>
    <w:p w14:paraId="1DA7FF27" w14:textId="77777777" w:rsidR="00DE575E" w:rsidRDefault="002E7560">
      <w:pPr>
        <w:pStyle w:val="ListParagraph"/>
        <w:numPr>
          <w:ilvl w:val="0"/>
          <w:numId w:val="40"/>
        </w:numPr>
        <w:tabs>
          <w:tab w:val="left" w:pos="971"/>
        </w:tabs>
        <w:spacing w:line="252" w:lineRule="auto"/>
        <w:ind w:right="411" w:firstLine="283"/>
        <w:jc w:val="both"/>
        <w:rPr>
          <w:sz w:val="21"/>
        </w:rPr>
      </w:pPr>
      <w:r>
        <w:rPr>
          <w:color w:val="231F20"/>
          <w:sz w:val="21"/>
        </w:rPr>
        <w:t>поява державного службовця на службі в нетверезому стані, у стані наркотичного або токсичного</w:t>
      </w:r>
      <w:r>
        <w:rPr>
          <w:color w:val="231F20"/>
          <w:spacing w:val="-7"/>
          <w:sz w:val="21"/>
        </w:rPr>
        <w:t xml:space="preserve"> </w:t>
      </w:r>
      <w:r>
        <w:rPr>
          <w:color w:val="231F20"/>
          <w:sz w:val="21"/>
        </w:rPr>
        <w:t>сп’яніння;</w:t>
      </w:r>
    </w:p>
    <w:p w14:paraId="50F44D5D" w14:textId="77777777" w:rsidR="00DE575E" w:rsidRDefault="002E7560">
      <w:pPr>
        <w:pStyle w:val="ListParagraph"/>
        <w:numPr>
          <w:ilvl w:val="0"/>
          <w:numId w:val="40"/>
        </w:numPr>
        <w:tabs>
          <w:tab w:val="left" w:pos="971"/>
        </w:tabs>
        <w:spacing w:line="252" w:lineRule="auto"/>
        <w:ind w:right="410" w:firstLine="283"/>
        <w:jc w:val="both"/>
        <w:rPr>
          <w:sz w:val="21"/>
        </w:rPr>
      </w:pPr>
      <w:r>
        <w:rPr>
          <w:color w:val="231F20"/>
          <w:sz w:val="21"/>
        </w:rPr>
        <w:t>ухвалення державним службовцем необґрунтованого рішення, що спричинило порушення цілісності державного або комунального майна, не</w:t>
      </w:r>
      <w:r>
        <w:rPr>
          <w:color w:val="231F20"/>
          <w:sz w:val="21"/>
        </w:rPr>
        <w:t xml:space="preserve">законне їх використання або інше заподі- яння шкоди державному чи комунальному </w:t>
      </w:r>
      <w:r>
        <w:rPr>
          <w:color w:val="231F20"/>
          <w:spacing w:val="-3"/>
          <w:sz w:val="21"/>
        </w:rPr>
        <w:t xml:space="preserve">майну, </w:t>
      </w:r>
      <w:r>
        <w:rPr>
          <w:color w:val="231F20"/>
          <w:sz w:val="21"/>
        </w:rPr>
        <w:t>якщо такі дії не містять складу злочину або адміністративного</w:t>
      </w:r>
      <w:r>
        <w:rPr>
          <w:color w:val="231F20"/>
          <w:spacing w:val="-17"/>
          <w:sz w:val="21"/>
        </w:rPr>
        <w:t xml:space="preserve"> </w:t>
      </w:r>
      <w:r>
        <w:rPr>
          <w:color w:val="231F20"/>
          <w:sz w:val="21"/>
        </w:rPr>
        <w:t>правопорушення;</w:t>
      </w:r>
    </w:p>
    <w:p w14:paraId="4748CC97" w14:textId="77777777" w:rsidR="00DE575E" w:rsidRDefault="002E7560">
      <w:pPr>
        <w:pStyle w:val="ListParagraph"/>
        <w:numPr>
          <w:ilvl w:val="0"/>
          <w:numId w:val="40"/>
        </w:numPr>
        <w:tabs>
          <w:tab w:val="left" w:pos="971"/>
        </w:tabs>
        <w:spacing w:before="3" w:line="252" w:lineRule="auto"/>
        <w:ind w:right="411" w:firstLine="283"/>
        <w:jc w:val="both"/>
        <w:rPr>
          <w:sz w:val="21"/>
        </w:rPr>
      </w:pPr>
      <w:r>
        <w:rPr>
          <w:color w:val="231F20"/>
          <w:sz w:val="21"/>
        </w:rPr>
        <w:t xml:space="preserve">ухвалення державним службовцем рішення, що суперечить закону або висновкам щодо застосування відповідної норми права, викладеним у постановах Верховного </w:t>
      </w:r>
      <w:r>
        <w:rPr>
          <w:color w:val="231F20"/>
          <w:spacing w:val="-7"/>
          <w:sz w:val="21"/>
        </w:rPr>
        <w:t xml:space="preserve">Суду, </w:t>
      </w:r>
      <w:r>
        <w:rPr>
          <w:color w:val="231F20"/>
          <w:sz w:val="21"/>
        </w:rPr>
        <w:t xml:space="preserve">щодо якого </w:t>
      </w:r>
      <w:r>
        <w:rPr>
          <w:color w:val="231F20"/>
          <w:spacing w:val="-3"/>
          <w:sz w:val="21"/>
        </w:rPr>
        <w:t xml:space="preserve">судом </w:t>
      </w:r>
      <w:r>
        <w:rPr>
          <w:color w:val="231F20"/>
          <w:sz w:val="21"/>
        </w:rPr>
        <w:t>вине- сено окрему</w:t>
      </w:r>
      <w:r>
        <w:rPr>
          <w:color w:val="231F20"/>
          <w:spacing w:val="-1"/>
          <w:sz w:val="21"/>
        </w:rPr>
        <w:t xml:space="preserve"> </w:t>
      </w:r>
      <w:r>
        <w:rPr>
          <w:color w:val="231F20"/>
          <w:spacing w:val="-3"/>
          <w:sz w:val="21"/>
        </w:rPr>
        <w:t>ухвалу.</w:t>
      </w:r>
    </w:p>
    <w:p w14:paraId="4EDD9499" w14:textId="77777777" w:rsidR="00DE575E" w:rsidRDefault="00DE575E">
      <w:pPr>
        <w:pStyle w:val="BodyText"/>
        <w:rPr>
          <w:sz w:val="24"/>
        </w:rPr>
      </w:pPr>
    </w:p>
    <w:p w14:paraId="259A7FF5" w14:textId="77777777" w:rsidR="00DE575E" w:rsidRDefault="00DE575E">
      <w:pPr>
        <w:pStyle w:val="BodyText"/>
        <w:spacing w:before="5"/>
        <w:rPr>
          <w:sz w:val="19"/>
        </w:rPr>
      </w:pPr>
    </w:p>
    <w:p w14:paraId="332BB3B2" w14:textId="77777777" w:rsidR="00DE575E" w:rsidRDefault="002E7560">
      <w:pPr>
        <w:pStyle w:val="Heading4"/>
        <w:numPr>
          <w:ilvl w:val="1"/>
          <w:numId w:val="42"/>
        </w:numPr>
        <w:tabs>
          <w:tab w:val="left" w:pos="2531"/>
        </w:tabs>
        <w:ind w:left="2530"/>
        <w:jc w:val="left"/>
      </w:pPr>
      <w:r>
        <w:rPr>
          <w:color w:val="231F20"/>
        </w:rPr>
        <w:t>Порядок</w:t>
      </w:r>
      <w:r>
        <w:rPr>
          <w:color w:val="231F20"/>
          <w:spacing w:val="-2"/>
        </w:rPr>
        <w:t xml:space="preserve"> </w:t>
      </w:r>
      <w:r>
        <w:rPr>
          <w:color w:val="231F20"/>
        </w:rPr>
        <w:t>притягнення</w:t>
      </w:r>
    </w:p>
    <w:p w14:paraId="2E997767" w14:textId="77777777" w:rsidR="00DE575E" w:rsidRDefault="002E7560">
      <w:pPr>
        <w:ind w:left="1572"/>
        <w:rPr>
          <w:b/>
        </w:rPr>
      </w:pPr>
      <w:r>
        <w:rPr>
          <w:b/>
          <w:color w:val="231F20"/>
        </w:rPr>
        <w:t>до дисциплінарної відповідальності</w:t>
      </w:r>
    </w:p>
    <w:p w14:paraId="508665B0" w14:textId="77777777" w:rsidR="00DE575E" w:rsidRDefault="00DE575E">
      <w:pPr>
        <w:pStyle w:val="BodyText"/>
        <w:rPr>
          <w:b/>
          <w:sz w:val="26"/>
        </w:rPr>
      </w:pPr>
    </w:p>
    <w:p w14:paraId="4EF7DE6A" w14:textId="77777777" w:rsidR="00DE575E" w:rsidRDefault="002E7560">
      <w:pPr>
        <w:pStyle w:val="BodyText"/>
        <w:spacing w:before="224" w:line="252" w:lineRule="auto"/>
        <w:ind w:left="250" w:right="409" w:firstLine="283"/>
        <w:jc w:val="both"/>
      </w:pPr>
      <w:r>
        <w:rPr>
          <w:color w:val="231F20"/>
          <w:spacing w:val="-3"/>
        </w:rPr>
        <w:t xml:space="preserve">Суб’єктами, </w:t>
      </w:r>
      <w:r>
        <w:rPr>
          <w:color w:val="231F20"/>
        </w:rPr>
        <w:t>уповноваженими порушувати дисциплінарні провад- ження</w:t>
      </w:r>
      <w:r>
        <w:rPr>
          <w:color w:val="231F20"/>
          <w:spacing w:val="-11"/>
        </w:rPr>
        <w:t xml:space="preserve"> </w:t>
      </w:r>
      <w:r>
        <w:rPr>
          <w:color w:val="231F20"/>
        </w:rPr>
        <w:t>та</w:t>
      </w:r>
      <w:r>
        <w:rPr>
          <w:color w:val="231F20"/>
          <w:spacing w:val="-11"/>
        </w:rPr>
        <w:t xml:space="preserve"> </w:t>
      </w:r>
      <w:r>
        <w:rPr>
          <w:color w:val="231F20"/>
        </w:rPr>
        <w:t>застосовувати</w:t>
      </w:r>
      <w:r>
        <w:rPr>
          <w:color w:val="231F20"/>
          <w:spacing w:val="-11"/>
        </w:rPr>
        <w:t xml:space="preserve"> </w:t>
      </w:r>
      <w:r>
        <w:rPr>
          <w:color w:val="231F20"/>
        </w:rPr>
        <w:t>дисциплінарні</w:t>
      </w:r>
      <w:r>
        <w:rPr>
          <w:color w:val="231F20"/>
          <w:spacing w:val="-11"/>
        </w:rPr>
        <w:t xml:space="preserve"> </w:t>
      </w:r>
      <w:r>
        <w:rPr>
          <w:color w:val="231F20"/>
        </w:rPr>
        <w:t>стягнення,</w:t>
      </w:r>
      <w:r>
        <w:rPr>
          <w:color w:val="231F20"/>
          <w:spacing w:val="-11"/>
        </w:rPr>
        <w:t xml:space="preserve"> </w:t>
      </w:r>
      <w:r>
        <w:rPr>
          <w:color w:val="231F20"/>
        </w:rPr>
        <w:t>є</w:t>
      </w:r>
      <w:r>
        <w:rPr>
          <w:color w:val="231F20"/>
          <w:spacing w:val="-12"/>
        </w:rPr>
        <w:t xml:space="preserve"> </w:t>
      </w:r>
      <w:r>
        <w:rPr>
          <w:color w:val="231F20"/>
          <w:spacing w:val="-3"/>
        </w:rPr>
        <w:t>суб’єкти</w:t>
      </w:r>
      <w:r>
        <w:rPr>
          <w:color w:val="231F20"/>
          <w:spacing w:val="-11"/>
        </w:rPr>
        <w:t xml:space="preserve"> </w:t>
      </w:r>
      <w:r>
        <w:rPr>
          <w:color w:val="231F20"/>
        </w:rPr>
        <w:t xml:space="preserve">призна- чення на </w:t>
      </w:r>
      <w:r>
        <w:rPr>
          <w:color w:val="231F20"/>
          <w:spacing w:val="-3"/>
        </w:rPr>
        <w:t xml:space="preserve">посаду. </w:t>
      </w:r>
      <w:r>
        <w:rPr>
          <w:color w:val="231F20"/>
        </w:rPr>
        <w:t>Дисциплінарне провадження порушується через видання відповідного наказу або</w:t>
      </w:r>
      <w:r>
        <w:rPr>
          <w:color w:val="231F20"/>
          <w:spacing w:val="-5"/>
        </w:rPr>
        <w:t xml:space="preserve"> </w:t>
      </w:r>
      <w:r>
        <w:rPr>
          <w:color w:val="231F20"/>
        </w:rPr>
        <w:t>розпорядження.</w:t>
      </w:r>
    </w:p>
    <w:p w14:paraId="161C5B4E" w14:textId="77777777" w:rsidR="00DE575E" w:rsidRDefault="002E7560">
      <w:pPr>
        <w:pStyle w:val="BodyText"/>
        <w:spacing w:before="2" w:line="252" w:lineRule="auto"/>
        <w:ind w:left="250" w:right="411" w:firstLine="283"/>
        <w:jc w:val="both"/>
      </w:pPr>
      <w:r>
        <w:rPr>
          <w:color w:val="231F20"/>
        </w:rPr>
        <w:t xml:space="preserve">Для здійснення дисциплінарного провадження з метою визна- чення ступеня вини, характеру і тяжкості вчиненого дисциплінар- ного проступку в кожному державному органі утворюється </w:t>
      </w:r>
      <w:r>
        <w:rPr>
          <w:i/>
          <w:color w:val="231F20"/>
        </w:rPr>
        <w:t>дисци- плінарна</w:t>
      </w:r>
      <w:r>
        <w:rPr>
          <w:i/>
          <w:color w:val="231F20"/>
          <w:spacing w:val="-7"/>
        </w:rPr>
        <w:t xml:space="preserve"> </w:t>
      </w:r>
      <w:r>
        <w:rPr>
          <w:i/>
          <w:color w:val="231F20"/>
        </w:rPr>
        <w:t>комісія</w:t>
      </w:r>
      <w:r>
        <w:rPr>
          <w:i/>
          <w:color w:val="231F20"/>
          <w:spacing w:val="-8"/>
        </w:rPr>
        <w:t xml:space="preserve"> </w:t>
      </w:r>
      <w:r>
        <w:rPr>
          <w:color w:val="231F20"/>
        </w:rPr>
        <w:t>з</w:t>
      </w:r>
      <w:r>
        <w:rPr>
          <w:color w:val="231F20"/>
          <w:spacing w:val="-7"/>
        </w:rPr>
        <w:t xml:space="preserve"> </w:t>
      </w:r>
      <w:r>
        <w:rPr>
          <w:color w:val="231F20"/>
          <w:spacing w:val="-3"/>
        </w:rPr>
        <w:t>розгляду</w:t>
      </w:r>
      <w:r>
        <w:rPr>
          <w:color w:val="231F20"/>
          <w:spacing w:val="-8"/>
        </w:rPr>
        <w:t xml:space="preserve"> </w:t>
      </w:r>
      <w:r>
        <w:rPr>
          <w:color w:val="231F20"/>
        </w:rPr>
        <w:t>дисциплінарних</w:t>
      </w:r>
      <w:r>
        <w:rPr>
          <w:color w:val="231F20"/>
          <w:spacing w:val="-8"/>
        </w:rPr>
        <w:t xml:space="preserve"> </w:t>
      </w:r>
      <w:r>
        <w:rPr>
          <w:color w:val="231F20"/>
        </w:rPr>
        <w:t>справ</w:t>
      </w:r>
      <w:r>
        <w:rPr>
          <w:color w:val="231F20"/>
          <w:spacing w:val="-8"/>
        </w:rPr>
        <w:t xml:space="preserve"> </w:t>
      </w:r>
      <w:r>
        <w:rPr>
          <w:color w:val="231F20"/>
        </w:rPr>
        <w:t>у</w:t>
      </w:r>
      <w:r>
        <w:rPr>
          <w:color w:val="231F20"/>
          <w:spacing w:val="-6"/>
        </w:rPr>
        <w:t xml:space="preserve"> </w:t>
      </w:r>
      <w:r>
        <w:rPr>
          <w:color w:val="231F20"/>
        </w:rPr>
        <w:t>складі</w:t>
      </w:r>
      <w:r>
        <w:rPr>
          <w:color w:val="231F20"/>
          <w:spacing w:val="-7"/>
        </w:rPr>
        <w:t xml:space="preserve"> </w:t>
      </w:r>
      <w:r>
        <w:rPr>
          <w:color w:val="231F20"/>
        </w:rPr>
        <w:t>не</w:t>
      </w:r>
      <w:r>
        <w:rPr>
          <w:color w:val="231F20"/>
          <w:spacing w:val="-8"/>
        </w:rPr>
        <w:t xml:space="preserve"> </w:t>
      </w:r>
      <w:r>
        <w:rPr>
          <w:color w:val="231F20"/>
        </w:rPr>
        <w:t>менше трьох</w:t>
      </w:r>
      <w:r>
        <w:rPr>
          <w:color w:val="231F20"/>
          <w:spacing w:val="-2"/>
        </w:rPr>
        <w:t xml:space="preserve"> </w:t>
      </w:r>
      <w:r>
        <w:rPr>
          <w:color w:val="231F20"/>
        </w:rPr>
        <w:t>членів.</w:t>
      </w:r>
    </w:p>
    <w:p w14:paraId="58E78E29" w14:textId="77777777" w:rsidR="00DE575E" w:rsidRDefault="00DE575E">
      <w:pPr>
        <w:pStyle w:val="BodyText"/>
        <w:spacing w:before="8"/>
        <w:rPr>
          <w:sz w:val="12"/>
        </w:rPr>
      </w:pPr>
    </w:p>
    <w:p w14:paraId="46459808" w14:textId="77777777" w:rsidR="00DE575E" w:rsidRDefault="002E7560">
      <w:pPr>
        <w:spacing w:before="92"/>
        <w:ind w:right="411"/>
        <w:jc w:val="right"/>
        <w:rPr>
          <w:rFonts w:ascii="Times New Roman"/>
          <w:sz w:val="20"/>
        </w:rPr>
      </w:pPr>
      <w:r>
        <w:rPr>
          <w:rFonts w:ascii="Times New Roman"/>
          <w:color w:val="231F20"/>
          <w:w w:val="90"/>
          <w:sz w:val="20"/>
        </w:rPr>
        <w:t>459</w:t>
      </w:r>
    </w:p>
    <w:p w14:paraId="76E63C4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9A353A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9CDCC46" w14:textId="325533D8"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879518C" wp14:editId="5FCC0E80">
                <wp:extent cx="4140200" cy="6350"/>
                <wp:effectExtent l="0" t="0" r="12700" b="6350"/>
                <wp:docPr id="25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52" name="Line 2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E0F39F" id="Group_x0020_2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UI5wEH4CAACYBQAADgAA&#10;AAAAAAAAAAAAAAAsAgAAZHJzL2Uyb0RvYy54bWxQSwECLQAUAAYACAAAACEATKewkNkAAAADAQAA&#10;DwAAAAAAAAAAAAAAAADWBAAAZHJzL2Rvd25yZXYueG1sUEsFBgAAAAAEAAQA8wAAANwFAAAAAA==&#10;">
                <v:line id="Line_x0020_2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w8+MYAAADcAAAADwAAAGRycy9kb3ducmV2LnhtbESP0WrCQBRE3wv+w3KFvpS6aaRSUleR&#10;giB90Gr8gGv2Ngnu3o3Z1US/3hUKfRxm5gwznffWiAu1vnas4G2UgCAunK65VLDPl68fIHxA1mgc&#10;k4IreZjPBk9TzLTreEuXXShFhLDPUEEVQpNJ6YuKLPqRa4ij9+taiyHKtpS6xS7CrZFpkkykxZrj&#10;QoUNfVVUHHdnqyA/vQTzs/k2Xb45jOXhtB7fzmulnof94hNEoD78h//aK60gfU/h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MPPjGAAAA3AAAAA8AAAAAAAAA&#10;AAAAAAAAoQIAAGRycy9kb3ducmV2LnhtbFBLBQYAAAAABAAEAPkAAACUAwAAAAA=&#10;" strokecolor="#231f20" strokeweight=".5pt"/>
                <w10:anchorlock/>
              </v:group>
            </w:pict>
          </mc:Fallback>
        </mc:AlternateContent>
      </w:r>
    </w:p>
    <w:p w14:paraId="3722445D" w14:textId="77777777" w:rsidR="00DE575E" w:rsidRDefault="00DE575E">
      <w:pPr>
        <w:pStyle w:val="BodyText"/>
        <w:spacing w:before="7"/>
        <w:rPr>
          <w:rFonts w:ascii="AdonisC"/>
          <w:i/>
          <w:sz w:val="11"/>
        </w:rPr>
      </w:pPr>
    </w:p>
    <w:p w14:paraId="38A580B2" w14:textId="77777777" w:rsidR="00DE575E" w:rsidRDefault="002E7560">
      <w:pPr>
        <w:pStyle w:val="BodyText"/>
        <w:spacing w:before="101" w:line="252" w:lineRule="auto"/>
        <w:ind w:left="533" w:right="128" w:firstLine="283"/>
        <w:jc w:val="both"/>
      </w:pPr>
      <w:r>
        <w:rPr>
          <w:color w:val="231F20"/>
        </w:rPr>
        <w:t>З метою визначення наявності вини, характеру і важкості дисци- плінарного проступку може проводитися сл</w:t>
      </w:r>
      <w:r>
        <w:rPr>
          <w:color w:val="231F20"/>
        </w:rPr>
        <w:t xml:space="preserve">ужбове розслідування тривалістю не більше </w:t>
      </w:r>
      <w:r>
        <w:rPr>
          <w:i/>
          <w:color w:val="231F20"/>
        </w:rPr>
        <w:t>одного місяця</w:t>
      </w:r>
      <w:r>
        <w:rPr>
          <w:color w:val="231F20"/>
        </w:rPr>
        <w:t>. За потреби зазначений строк може бути продовжений суб’єктом призначення, але не більш як до двох місяців.</w:t>
      </w:r>
    </w:p>
    <w:p w14:paraId="40470F7F" w14:textId="77777777" w:rsidR="00DE575E" w:rsidRDefault="002E7560">
      <w:pPr>
        <w:pStyle w:val="BodyText"/>
        <w:spacing w:before="2" w:line="252" w:lineRule="auto"/>
        <w:ind w:left="533" w:right="128" w:firstLine="283"/>
        <w:jc w:val="both"/>
      </w:pPr>
      <w:r>
        <w:rPr>
          <w:color w:val="231F20"/>
          <w:spacing w:val="-3"/>
        </w:rPr>
        <w:t xml:space="preserve">Особи, </w:t>
      </w:r>
      <w:r>
        <w:rPr>
          <w:color w:val="231F20"/>
        </w:rPr>
        <w:t xml:space="preserve">які </w:t>
      </w:r>
      <w:r>
        <w:rPr>
          <w:color w:val="231F20"/>
          <w:spacing w:val="-4"/>
        </w:rPr>
        <w:t xml:space="preserve">проводять </w:t>
      </w:r>
      <w:r>
        <w:rPr>
          <w:color w:val="231F20"/>
          <w:spacing w:val="-3"/>
        </w:rPr>
        <w:t xml:space="preserve">службове розслідування, </w:t>
      </w:r>
      <w:r>
        <w:rPr>
          <w:i/>
          <w:color w:val="231F20"/>
          <w:spacing w:val="-3"/>
        </w:rPr>
        <w:t xml:space="preserve">мають право </w:t>
      </w:r>
      <w:r>
        <w:rPr>
          <w:color w:val="231F20"/>
          <w:spacing w:val="-4"/>
        </w:rPr>
        <w:t xml:space="preserve">одер- </w:t>
      </w:r>
      <w:r>
        <w:rPr>
          <w:color w:val="231F20"/>
          <w:spacing w:val="-3"/>
        </w:rPr>
        <w:t xml:space="preserve">жувати пояснення </w:t>
      </w:r>
      <w:r>
        <w:rPr>
          <w:color w:val="231F20"/>
        </w:rPr>
        <w:t xml:space="preserve">від </w:t>
      </w:r>
      <w:r>
        <w:rPr>
          <w:color w:val="231F20"/>
          <w:spacing w:val="-3"/>
        </w:rPr>
        <w:t xml:space="preserve">державного службовця, </w:t>
      </w:r>
      <w:r>
        <w:rPr>
          <w:color w:val="231F20"/>
        </w:rPr>
        <w:t xml:space="preserve">стосовно </w:t>
      </w:r>
      <w:r>
        <w:rPr>
          <w:color w:val="231F20"/>
          <w:spacing w:val="-3"/>
        </w:rPr>
        <w:t xml:space="preserve">якого прово- диться службове розслідування, </w:t>
      </w:r>
      <w:r>
        <w:rPr>
          <w:color w:val="231F20"/>
        </w:rPr>
        <w:t xml:space="preserve">та від </w:t>
      </w:r>
      <w:r>
        <w:rPr>
          <w:color w:val="231F20"/>
          <w:spacing w:val="-3"/>
        </w:rPr>
        <w:t xml:space="preserve">інших </w:t>
      </w:r>
      <w:r>
        <w:rPr>
          <w:color w:val="231F20"/>
        </w:rPr>
        <w:t xml:space="preserve">осіб </w:t>
      </w:r>
      <w:r>
        <w:rPr>
          <w:color w:val="231F20"/>
          <w:spacing w:val="-4"/>
        </w:rPr>
        <w:t xml:space="preserve">щодо </w:t>
      </w:r>
      <w:r>
        <w:rPr>
          <w:color w:val="231F20"/>
          <w:spacing w:val="-3"/>
        </w:rPr>
        <w:t xml:space="preserve">обставин справи; </w:t>
      </w:r>
      <w:r>
        <w:rPr>
          <w:color w:val="231F20"/>
          <w:spacing w:val="-4"/>
        </w:rPr>
        <w:t xml:space="preserve">одержувати  </w:t>
      </w:r>
      <w:r>
        <w:rPr>
          <w:color w:val="231F20"/>
        </w:rPr>
        <w:t xml:space="preserve">в </w:t>
      </w:r>
      <w:r>
        <w:rPr>
          <w:color w:val="231F20"/>
          <w:spacing w:val="-3"/>
        </w:rPr>
        <w:t xml:space="preserve">підрозділах державного органу </w:t>
      </w:r>
      <w:r>
        <w:rPr>
          <w:color w:val="231F20"/>
        </w:rPr>
        <w:t xml:space="preserve">чи за </w:t>
      </w:r>
      <w:r>
        <w:rPr>
          <w:color w:val="231F20"/>
          <w:spacing w:val="-3"/>
        </w:rPr>
        <w:t xml:space="preserve">запитом  </w:t>
      </w:r>
      <w:r>
        <w:rPr>
          <w:color w:val="231F20"/>
        </w:rPr>
        <w:t>в</w:t>
      </w:r>
      <w:r>
        <w:rPr>
          <w:color w:val="231F20"/>
          <w:spacing w:val="-11"/>
        </w:rPr>
        <w:t xml:space="preserve"> </w:t>
      </w:r>
      <w:r>
        <w:rPr>
          <w:color w:val="231F20"/>
          <w:spacing w:val="-3"/>
        </w:rPr>
        <w:t>інших</w:t>
      </w:r>
      <w:r>
        <w:rPr>
          <w:color w:val="231F20"/>
          <w:spacing w:val="-11"/>
        </w:rPr>
        <w:t xml:space="preserve"> </w:t>
      </w:r>
      <w:r>
        <w:rPr>
          <w:color w:val="231F20"/>
          <w:spacing w:val="-3"/>
        </w:rPr>
        <w:t>органах</w:t>
      </w:r>
      <w:r>
        <w:rPr>
          <w:color w:val="231F20"/>
          <w:spacing w:val="-11"/>
        </w:rPr>
        <w:t xml:space="preserve"> </w:t>
      </w:r>
      <w:r>
        <w:rPr>
          <w:color w:val="231F20"/>
          <w:spacing w:val="-3"/>
        </w:rPr>
        <w:t>необхідні</w:t>
      </w:r>
      <w:r>
        <w:rPr>
          <w:color w:val="231F20"/>
          <w:spacing w:val="-11"/>
        </w:rPr>
        <w:t xml:space="preserve"> </w:t>
      </w:r>
      <w:r>
        <w:rPr>
          <w:color w:val="231F20"/>
          <w:spacing w:val="-3"/>
        </w:rPr>
        <w:t>документи</w:t>
      </w:r>
      <w:r>
        <w:rPr>
          <w:color w:val="231F20"/>
          <w:spacing w:val="-11"/>
        </w:rPr>
        <w:t xml:space="preserve"> </w:t>
      </w:r>
      <w:r>
        <w:rPr>
          <w:color w:val="231F20"/>
        </w:rPr>
        <w:t>або</w:t>
      </w:r>
      <w:r>
        <w:rPr>
          <w:color w:val="231F20"/>
          <w:spacing w:val="-11"/>
        </w:rPr>
        <w:t xml:space="preserve"> </w:t>
      </w:r>
      <w:r>
        <w:rPr>
          <w:color w:val="231F20"/>
        </w:rPr>
        <w:t>їх</w:t>
      </w:r>
      <w:r>
        <w:rPr>
          <w:color w:val="231F20"/>
          <w:spacing w:val="-11"/>
        </w:rPr>
        <w:t xml:space="preserve"> </w:t>
      </w:r>
      <w:r>
        <w:rPr>
          <w:color w:val="231F20"/>
        </w:rPr>
        <w:t>копії</w:t>
      </w:r>
      <w:r>
        <w:rPr>
          <w:color w:val="231F20"/>
          <w:spacing w:val="-11"/>
        </w:rPr>
        <w:t xml:space="preserve"> </w:t>
      </w:r>
      <w:r>
        <w:rPr>
          <w:color w:val="231F20"/>
        </w:rPr>
        <w:t>та</w:t>
      </w:r>
      <w:r>
        <w:rPr>
          <w:color w:val="231F20"/>
          <w:spacing w:val="-11"/>
        </w:rPr>
        <w:t xml:space="preserve"> </w:t>
      </w:r>
      <w:r>
        <w:rPr>
          <w:color w:val="231F20"/>
          <w:spacing w:val="-3"/>
        </w:rPr>
        <w:t>долучати</w:t>
      </w:r>
      <w:r>
        <w:rPr>
          <w:color w:val="231F20"/>
          <w:spacing w:val="-11"/>
        </w:rPr>
        <w:t xml:space="preserve"> </w:t>
      </w:r>
      <w:r>
        <w:rPr>
          <w:color w:val="231F20"/>
        </w:rPr>
        <w:t>до</w:t>
      </w:r>
      <w:r>
        <w:rPr>
          <w:color w:val="231F20"/>
          <w:spacing w:val="-11"/>
        </w:rPr>
        <w:t xml:space="preserve"> </w:t>
      </w:r>
      <w:r>
        <w:rPr>
          <w:color w:val="231F20"/>
        </w:rPr>
        <w:t xml:space="preserve">мате- </w:t>
      </w:r>
      <w:r>
        <w:rPr>
          <w:color w:val="231F20"/>
          <w:spacing w:val="-3"/>
        </w:rPr>
        <w:t>ріалів справ</w:t>
      </w:r>
      <w:r>
        <w:rPr>
          <w:color w:val="231F20"/>
          <w:spacing w:val="-3"/>
        </w:rPr>
        <w:t xml:space="preserve">и; </w:t>
      </w:r>
      <w:r>
        <w:rPr>
          <w:color w:val="231F20"/>
          <w:spacing w:val="-4"/>
        </w:rPr>
        <w:t xml:space="preserve">одержувати </w:t>
      </w:r>
      <w:r>
        <w:rPr>
          <w:color w:val="231F20"/>
          <w:spacing w:val="-5"/>
        </w:rPr>
        <w:t xml:space="preserve">консультації </w:t>
      </w:r>
      <w:r>
        <w:rPr>
          <w:color w:val="231F20"/>
          <w:spacing w:val="-3"/>
        </w:rPr>
        <w:t xml:space="preserve">відповідних спеціалістів із питань, </w:t>
      </w:r>
      <w:r>
        <w:rPr>
          <w:color w:val="231F20"/>
        </w:rPr>
        <w:t xml:space="preserve">що </w:t>
      </w:r>
      <w:r>
        <w:rPr>
          <w:color w:val="231F20"/>
          <w:spacing w:val="-3"/>
        </w:rPr>
        <w:t xml:space="preserve">стосуються службового розслідування. Членам дисциплі- нарної </w:t>
      </w:r>
      <w:r>
        <w:rPr>
          <w:color w:val="231F20"/>
        </w:rPr>
        <w:t xml:space="preserve">комісії </w:t>
      </w:r>
      <w:r>
        <w:rPr>
          <w:color w:val="231F20"/>
          <w:spacing w:val="-3"/>
        </w:rPr>
        <w:t xml:space="preserve">забороняється передавати </w:t>
      </w:r>
      <w:r>
        <w:rPr>
          <w:color w:val="231F20"/>
        </w:rPr>
        <w:t xml:space="preserve">й </w:t>
      </w:r>
      <w:r>
        <w:rPr>
          <w:color w:val="231F20"/>
          <w:spacing w:val="-3"/>
        </w:rPr>
        <w:t xml:space="preserve">розголошувати інформа- цію, отриману </w:t>
      </w:r>
      <w:r>
        <w:rPr>
          <w:color w:val="231F20"/>
        </w:rPr>
        <w:t xml:space="preserve">під час </w:t>
      </w:r>
      <w:r>
        <w:rPr>
          <w:color w:val="231F20"/>
          <w:spacing w:val="-3"/>
        </w:rPr>
        <w:t>здійснення дисциплінарного</w:t>
      </w:r>
      <w:r>
        <w:rPr>
          <w:color w:val="231F20"/>
          <w:spacing w:val="-17"/>
        </w:rPr>
        <w:t xml:space="preserve"> </w:t>
      </w:r>
      <w:r>
        <w:rPr>
          <w:color w:val="231F20"/>
          <w:spacing w:val="-4"/>
        </w:rPr>
        <w:t>провадження.</w:t>
      </w:r>
    </w:p>
    <w:p w14:paraId="012A4505" w14:textId="77777777" w:rsidR="00DE575E" w:rsidRDefault="002E7560">
      <w:pPr>
        <w:pStyle w:val="BodyText"/>
        <w:spacing w:before="5" w:line="252" w:lineRule="auto"/>
        <w:ind w:left="533" w:right="128" w:firstLine="283"/>
        <w:jc w:val="both"/>
      </w:pPr>
      <w:r>
        <w:rPr>
          <w:color w:val="231F20"/>
        </w:rPr>
        <w:t>За резуль</w:t>
      </w:r>
      <w:r>
        <w:rPr>
          <w:color w:val="231F20"/>
        </w:rPr>
        <w:t>татами службового розслідування складається висно- вок про наявність чи відсутність у діях державного службовця дисциплінарного проступку та підстав для його притягнення до дисциплінарної відповідальності.</w:t>
      </w:r>
    </w:p>
    <w:p w14:paraId="4DA6880A" w14:textId="77777777" w:rsidR="00DE575E" w:rsidRDefault="002E7560">
      <w:pPr>
        <w:pStyle w:val="BodyText"/>
        <w:spacing w:before="2" w:line="252" w:lineRule="auto"/>
        <w:ind w:left="533" w:right="126" w:firstLine="283"/>
        <w:jc w:val="both"/>
      </w:pPr>
      <w:r>
        <w:rPr>
          <w:color w:val="231F20"/>
        </w:rPr>
        <w:t>Державний службовець, стосовно якого проводиться с</w:t>
      </w:r>
      <w:r>
        <w:rPr>
          <w:color w:val="231F20"/>
        </w:rPr>
        <w:t xml:space="preserve">лужбове розслідування, </w:t>
      </w:r>
      <w:r>
        <w:rPr>
          <w:i/>
          <w:color w:val="231F20"/>
        </w:rPr>
        <w:t>має право</w:t>
      </w:r>
      <w:r>
        <w:rPr>
          <w:color w:val="231F20"/>
        </w:rPr>
        <w:t>:</w:t>
      </w:r>
    </w:p>
    <w:p w14:paraId="08BDBC75" w14:textId="77777777" w:rsidR="00DE575E" w:rsidRDefault="002E7560">
      <w:pPr>
        <w:pStyle w:val="ListParagraph"/>
        <w:numPr>
          <w:ilvl w:val="1"/>
          <w:numId w:val="40"/>
        </w:numPr>
        <w:tabs>
          <w:tab w:val="left" w:pos="1101"/>
        </w:tabs>
        <w:spacing w:line="252" w:lineRule="auto"/>
        <w:ind w:right="128" w:firstLine="284"/>
        <w:jc w:val="both"/>
        <w:rPr>
          <w:sz w:val="21"/>
        </w:rPr>
      </w:pPr>
      <w:r>
        <w:rPr>
          <w:color w:val="231F20"/>
          <w:sz w:val="21"/>
        </w:rPr>
        <w:t>надавати пояснення, а також відповідні документи та матері- али щодо обставин, які</w:t>
      </w:r>
      <w:r>
        <w:rPr>
          <w:color w:val="231F20"/>
          <w:spacing w:val="-4"/>
          <w:sz w:val="21"/>
        </w:rPr>
        <w:t xml:space="preserve"> </w:t>
      </w:r>
      <w:r>
        <w:rPr>
          <w:color w:val="231F20"/>
          <w:sz w:val="21"/>
        </w:rPr>
        <w:t>досліджуються;</w:t>
      </w:r>
    </w:p>
    <w:p w14:paraId="71F384C1" w14:textId="77777777" w:rsidR="00DE575E" w:rsidRDefault="002E7560">
      <w:pPr>
        <w:pStyle w:val="ListParagraph"/>
        <w:numPr>
          <w:ilvl w:val="1"/>
          <w:numId w:val="40"/>
        </w:numPr>
        <w:tabs>
          <w:tab w:val="left" w:pos="1101"/>
        </w:tabs>
        <w:spacing w:line="252" w:lineRule="auto"/>
        <w:ind w:right="127" w:firstLine="284"/>
        <w:jc w:val="both"/>
        <w:rPr>
          <w:sz w:val="21"/>
        </w:rPr>
      </w:pPr>
      <w:r>
        <w:rPr>
          <w:color w:val="231F20"/>
          <w:sz w:val="21"/>
        </w:rPr>
        <w:t>порушувати клопотання про одержання і залучення до мате- ріалів нових документів, одержання додаткових пояснень осіб, які причетні до</w:t>
      </w:r>
      <w:r>
        <w:rPr>
          <w:color w:val="231F20"/>
          <w:spacing w:val="-2"/>
          <w:sz w:val="21"/>
        </w:rPr>
        <w:t xml:space="preserve"> </w:t>
      </w:r>
      <w:r>
        <w:rPr>
          <w:color w:val="231F20"/>
          <w:sz w:val="21"/>
        </w:rPr>
        <w:t>справи;</w:t>
      </w:r>
    </w:p>
    <w:p w14:paraId="2638DF6B" w14:textId="77777777" w:rsidR="00DE575E" w:rsidRDefault="002E7560">
      <w:pPr>
        <w:pStyle w:val="ListParagraph"/>
        <w:numPr>
          <w:ilvl w:val="1"/>
          <w:numId w:val="40"/>
        </w:numPr>
        <w:tabs>
          <w:tab w:val="left" w:pos="1101"/>
        </w:tabs>
        <w:ind w:firstLine="284"/>
        <w:jc w:val="left"/>
        <w:rPr>
          <w:sz w:val="21"/>
        </w:rPr>
      </w:pPr>
      <w:r>
        <w:rPr>
          <w:color w:val="231F20"/>
          <w:sz w:val="21"/>
        </w:rPr>
        <w:t>бути присутнім під час виконання відповідних</w:t>
      </w:r>
      <w:r>
        <w:rPr>
          <w:color w:val="231F20"/>
          <w:spacing w:val="-8"/>
          <w:sz w:val="21"/>
        </w:rPr>
        <w:t xml:space="preserve"> </w:t>
      </w:r>
      <w:r>
        <w:rPr>
          <w:color w:val="231F20"/>
          <w:sz w:val="21"/>
        </w:rPr>
        <w:t>заходів;</w:t>
      </w:r>
    </w:p>
    <w:p w14:paraId="6EDFD6B9" w14:textId="77777777" w:rsidR="00DE575E" w:rsidRDefault="002E7560">
      <w:pPr>
        <w:pStyle w:val="ListParagraph"/>
        <w:numPr>
          <w:ilvl w:val="1"/>
          <w:numId w:val="40"/>
        </w:numPr>
        <w:tabs>
          <w:tab w:val="left" w:pos="1101"/>
        </w:tabs>
        <w:spacing w:before="13" w:line="252" w:lineRule="auto"/>
        <w:ind w:right="126" w:firstLine="284"/>
        <w:jc w:val="both"/>
        <w:rPr>
          <w:sz w:val="21"/>
        </w:rPr>
      </w:pPr>
      <w:r>
        <w:rPr>
          <w:color w:val="231F20"/>
          <w:sz w:val="21"/>
        </w:rPr>
        <w:t>подавати в установленому порядку скарги на дії осіб, які про</w:t>
      </w:r>
      <w:r>
        <w:rPr>
          <w:color w:val="231F20"/>
          <w:sz w:val="21"/>
        </w:rPr>
        <w:t>водять службове</w:t>
      </w:r>
      <w:r>
        <w:rPr>
          <w:color w:val="231F20"/>
          <w:spacing w:val="-3"/>
          <w:sz w:val="21"/>
        </w:rPr>
        <w:t xml:space="preserve"> </w:t>
      </w:r>
      <w:r>
        <w:rPr>
          <w:color w:val="231F20"/>
          <w:sz w:val="21"/>
        </w:rPr>
        <w:t>розслідування.</w:t>
      </w:r>
    </w:p>
    <w:p w14:paraId="1C3D62A8" w14:textId="77777777" w:rsidR="00DE575E" w:rsidRDefault="002E7560">
      <w:pPr>
        <w:pStyle w:val="BodyText"/>
        <w:spacing w:before="1" w:line="252" w:lineRule="auto"/>
        <w:ind w:left="533" w:right="126" w:firstLine="283"/>
        <w:jc w:val="both"/>
      </w:pPr>
      <w:r>
        <w:rPr>
          <w:color w:val="231F20"/>
        </w:rPr>
        <w:t>На час здійснення дисциплінарного провадження державний службовець може бути відсторонений від виконання посадових обов’язків.</w:t>
      </w:r>
    </w:p>
    <w:p w14:paraId="79FE8CC9" w14:textId="77777777" w:rsidR="00DE575E" w:rsidRDefault="002E7560">
      <w:pPr>
        <w:pStyle w:val="BodyText"/>
        <w:spacing w:before="1" w:line="252" w:lineRule="auto"/>
        <w:ind w:left="533" w:right="125" w:firstLine="283"/>
        <w:jc w:val="both"/>
      </w:pPr>
      <w:r>
        <w:rPr>
          <w:color w:val="231F20"/>
        </w:rPr>
        <w:t>З</w:t>
      </w:r>
      <w:r>
        <w:rPr>
          <w:color w:val="231F20"/>
          <w:spacing w:val="-7"/>
        </w:rPr>
        <w:t xml:space="preserve"> </w:t>
      </w:r>
      <w:r>
        <w:rPr>
          <w:color w:val="231F20"/>
        </w:rPr>
        <w:t>метою</w:t>
      </w:r>
      <w:r>
        <w:rPr>
          <w:color w:val="231F20"/>
          <w:spacing w:val="-7"/>
        </w:rPr>
        <w:t xml:space="preserve"> </w:t>
      </w:r>
      <w:r>
        <w:rPr>
          <w:color w:val="231F20"/>
        </w:rPr>
        <w:t>збору</w:t>
      </w:r>
      <w:r>
        <w:rPr>
          <w:color w:val="231F20"/>
          <w:spacing w:val="-7"/>
        </w:rPr>
        <w:t xml:space="preserve"> </w:t>
      </w:r>
      <w:r>
        <w:rPr>
          <w:color w:val="231F20"/>
        </w:rPr>
        <w:t>інформації</w:t>
      </w:r>
      <w:r>
        <w:rPr>
          <w:color w:val="231F20"/>
          <w:spacing w:val="-7"/>
        </w:rPr>
        <w:t xml:space="preserve"> </w:t>
      </w:r>
      <w:r>
        <w:rPr>
          <w:color w:val="231F20"/>
        </w:rPr>
        <w:t>про</w:t>
      </w:r>
      <w:r>
        <w:rPr>
          <w:color w:val="231F20"/>
          <w:spacing w:val="-7"/>
        </w:rPr>
        <w:t xml:space="preserve"> </w:t>
      </w:r>
      <w:r>
        <w:rPr>
          <w:color w:val="231F20"/>
        </w:rPr>
        <w:t>обставини,</w:t>
      </w:r>
      <w:r>
        <w:rPr>
          <w:color w:val="231F20"/>
          <w:spacing w:val="-7"/>
        </w:rPr>
        <w:t xml:space="preserve"> </w:t>
      </w:r>
      <w:r>
        <w:rPr>
          <w:color w:val="231F20"/>
        </w:rPr>
        <w:t>які</w:t>
      </w:r>
      <w:r>
        <w:rPr>
          <w:color w:val="231F20"/>
          <w:spacing w:val="-7"/>
        </w:rPr>
        <w:t xml:space="preserve"> </w:t>
      </w:r>
      <w:r>
        <w:rPr>
          <w:color w:val="231F20"/>
        </w:rPr>
        <w:t>стали</w:t>
      </w:r>
      <w:r>
        <w:rPr>
          <w:color w:val="231F20"/>
          <w:spacing w:val="-7"/>
        </w:rPr>
        <w:t xml:space="preserve"> </w:t>
      </w:r>
      <w:r>
        <w:rPr>
          <w:color w:val="231F20"/>
        </w:rPr>
        <w:t>підставою</w:t>
      </w:r>
      <w:r>
        <w:rPr>
          <w:color w:val="231F20"/>
          <w:spacing w:val="-7"/>
        </w:rPr>
        <w:t xml:space="preserve"> </w:t>
      </w:r>
      <w:r>
        <w:rPr>
          <w:color w:val="231F20"/>
        </w:rPr>
        <w:t>для порушення</w:t>
      </w:r>
      <w:r>
        <w:rPr>
          <w:color w:val="231F20"/>
          <w:spacing w:val="-8"/>
        </w:rPr>
        <w:t xml:space="preserve"> </w:t>
      </w:r>
      <w:r>
        <w:rPr>
          <w:color w:val="231F20"/>
        </w:rPr>
        <w:t>дисциплінарного</w:t>
      </w:r>
      <w:r>
        <w:rPr>
          <w:color w:val="231F20"/>
          <w:spacing w:val="-8"/>
        </w:rPr>
        <w:t xml:space="preserve"> </w:t>
      </w:r>
      <w:r>
        <w:rPr>
          <w:color w:val="231F20"/>
        </w:rPr>
        <w:t>провадження,</w:t>
      </w:r>
      <w:r>
        <w:rPr>
          <w:color w:val="231F20"/>
          <w:spacing w:val="-8"/>
        </w:rPr>
        <w:t xml:space="preserve"> </w:t>
      </w:r>
      <w:r>
        <w:rPr>
          <w:color w:val="231F20"/>
        </w:rPr>
        <w:t>для</w:t>
      </w:r>
      <w:r>
        <w:rPr>
          <w:color w:val="231F20"/>
          <w:spacing w:val="-8"/>
        </w:rPr>
        <w:t xml:space="preserve"> </w:t>
      </w:r>
      <w:r>
        <w:rPr>
          <w:color w:val="231F20"/>
        </w:rPr>
        <w:t>визначення</w:t>
      </w:r>
      <w:r>
        <w:rPr>
          <w:color w:val="231F20"/>
          <w:spacing w:val="-8"/>
        </w:rPr>
        <w:t xml:space="preserve"> </w:t>
      </w:r>
      <w:r>
        <w:rPr>
          <w:color w:val="231F20"/>
        </w:rPr>
        <w:t xml:space="preserve">ступеня вини, характеру й важкості дисциплінарного проступку дисциплі- нарною комісією формується </w:t>
      </w:r>
      <w:r>
        <w:rPr>
          <w:i/>
          <w:color w:val="231F20"/>
        </w:rPr>
        <w:t>дисциплінарна</w:t>
      </w:r>
      <w:r>
        <w:rPr>
          <w:i/>
          <w:color w:val="231F20"/>
          <w:spacing w:val="-6"/>
        </w:rPr>
        <w:t xml:space="preserve"> </w:t>
      </w:r>
      <w:r>
        <w:rPr>
          <w:i/>
          <w:color w:val="231F20"/>
        </w:rPr>
        <w:t>справа</w:t>
      </w:r>
      <w:r>
        <w:rPr>
          <w:color w:val="231F20"/>
        </w:rPr>
        <w:t>.</w:t>
      </w:r>
    </w:p>
    <w:p w14:paraId="356BFF58" w14:textId="77777777" w:rsidR="00DE575E" w:rsidRDefault="002E7560">
      <w:pPr>
        <w:pStyle w:val="BodyText"/>
        <w:spacing w:before="2" w:line="252" w:lineRule="auto"/>
        <w:ind w:left="533" w:right="127" w:firstLine="283"/>
        <w:jc w:val="both"/>
      </w:pPr>
      <w:r>
        <w:rPr>
          <w:color w:val="231F20"/>
          <w:spacing w:val="-3"/>
        </w:rPr>
        <w:t xml:space="preserve">Результатом розгляду </w:t>
      </w:r>
      <w:r>
        <w:rPr>
          <w:color w:val="231F20"/>
        </w:rPr>
        <w:t xml:space="preserve">дисциплінарної справи є </w:t>
      </w:r>
      <w:r>
        <w:rPr>
          <w:i/>
          <w:color w:val="231F20"/>
        </w:rPr>
        <w:t xml:space="preserve">подання дисциплі- нарної комісії </w:t>
      </w:r>
      <w:r>
        <w:rPr>
          <w:color w:val="231F20"/>
        </w:rPr>
        <w:t>в державному органі, що має ре</w:t>
      </w:r>
      <w:r>
        <w:rPr>
          <w:color w:val="231F20"/>
        </w:rPr>
        <w:t xml:space="preserve">комендаційний харак- тер для  </w:t>
      </w:r>
      <w:r>
        <w:rPr>
          <w:color w:val="231F20"/>
          <w:spacing w:val="-3"/>
        </w:rPr>
        <w:t xml:space="preserve">суб’єкта  </w:t>
      </w:r>
      <w:r>
        <w:rPr>
          <w:color w:val="231F20"/>
        </w:rPr>
        <w:t xml:space="preserve">призначення,  який  ухвалює  остаточне  рішення  в справі. </w:t>
      </w:r>
      <w:r>
        <w:rPr>
          <w:color w:val="231F20"/>
          <w:spacing w:val="-4"/>
        </w:rPr>
        <w:t xml:space="preserve">Суб’єкт </w:t>
      </w:r>
      <w:r>
        <w:rPr>
          <w:color w:val="231F20"/>
        </w:rPr>
        <w:t>призначення упродовж 10 календарних</w:t>
      </w:r>
      <w:r>
        <w:rPr>
          <w:color w:val="231F20"/>
          <w:spacing w:val="30"/>
        </w:rPr>
        <w:t xml:space="preserve"> </w:t>
      </w:r>
      <w:r>
        <w:rPr>
          <w:color w:val="231F20"/>
        </w:rPr>
        <w:t>днів</w:t>
      </w:r>
    </w:p>
    <w:p w14:paraId="0B2FA46B" w14:textId="77777777" w:rsidR="00DE575E" w:rsidRDefault="00DE575E">
      <w:pPr>
        <w:pStyle w:val="BodyText"/>
        <w:spacing w:before="6"/>
        <w:rPr>
          <w:sz w:val="12"/>
        </w:rPr>
      </w:pPr>
    </w:p>
    <w:p w14:paraId="3DC3615B" w14:textId="77777777" w:rsidR="00DE575E" w:rsidRDefault="002E7560">
      <w:pPr>
        <w:spacing w:before="92"/>
        <w:ind w:left="533"/>
        <w:rPr>
          <w:rFonts w:ascii="Times New Roman"/>
          <w:sz w:val="20"/>
        </w:rPr>
      </w:pPr>
      <w:r>
        <w:rPr>
          <w:rFonts w:ascii="Times New Roman"/>
          <w:color w:val="231F20"/>
          <w:sz w:val="20"/>
        </w:rPr>
        <w:t>460</w:t>
      </w:r>
    </w:p>
    <w:p w14:paraId="0B7ABAA7" w14:textId="77777777" w:rsidR="00DE575E" w:rsidRDefault="00DE575E">
      <w:pPr>
        <w:rPr>
          <w:rFonts w:ascii="Times New Roman"/>
          <w:sz w:val="20"/>
        </w:rPr>
        <w:sectPr w:rsidR="00DE575E">
          <w:pgSz w:w="8510" w:h="12760"/>
          <w:pgMar w:top="660" w:right="720" w:bottom="280" w:left="600" w:header="720" w:footer="720" w:gutter="0"/>
          <w:cols w:space="720"/>
        </w:sectPr>
      </w:pPr>
    </w:p>
    <w:p w14:paraId="7E573CEE" w14:textId="77777777" w:rsidR="00DE575E" w:rsidRDefault="002E7560">
      <w:pPr>
        <w:spacing w:before="72" w:line="249" w:lineRule="auto"/>
        <w:ind w:left="470" w:right="409" w:firstLine="2279"/>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Дисциплінарна </w:t>
      </w:r>
      <w:r>
        <w:rPr>
          <w:rFonts w:ascii="AdonisC" w:hAnsi="AdonisC"/>
          <w:i/>
          <w:color w:val="231F20"/>
          <w:sz w:val="18"/>
        </w:rPr>
        <w:t xml:space="preserve">та </w:t>
      </w:r>
      <w:r>
        <w:rPr>
          <w:rFonts w:ascii="AdonisC" w:hAnsi="AdonisC"/>
          <w:i/>
          <w:color w:val="231F20"/>
          <w:spacing w:val="-4"/>
          <w:sz w:val="18"/>
        </w:rPr>
        <w:t>матеріальна відповідальність державних службовців</w:t>
      </w:r>
    </w:p>
    <w:p w14:paraId="73C9735D" w14:textId="22F1A21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8B9DF5C" wp14:editId="119BD972">
                <wp:extent cx="4140200" cy="6350"/>
                <wp:effectExtent l="0" t="0" r="12700" b="6350"/>
                <wp:docPr id="24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50" name="Line 2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1D622F" id="Group_x0020_2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O6bnnp/AgAAmAUAAA4A&#10;AAAAAAAAAAAAAAAALAIAAGRycy9lMm9Eb2MueG1sUEsBAi0AFAAGAAgAAAAhAEynsJDZAAAAAwEA&#10;AA8AAAAAAAAAAAAAAAAA1wQAAGRycy9kb3ducmV2LnhtbFBLBQYAAAAABAAEAPMAAADdBQAAAAA=&#10;">
                <v:line id="Line_x0020_2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IHFMMAAADcAAAADwAAAGRycy9kb3ducmV2LnhtbERP3WrCMBS+F/YO4Qy8EU2nOEY1iggD&#10;8UK3dg9wbM7asuSkNtFWn95cDLz8+P6X694acaXW144VvE0SEMSF0zWXCn7yz/EHCB+QNRrHpOBG&#10;Htarl8ESU+06/qZrFkoRQ9inqKAKoUml9EVFFv3ENcSR+3WtxRBhW0rdYhfDrZHTJHmXFmuODRU2&#10;tK2o+MsuVkF+HgXzddybLj+eZvJ0Pszul4NSw9d+swARqA9P8b97pxVM53F+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8SBxTDAAAA3AAAAA8AAAAAAAAAAAAA&#10;AAAAoQIAAGRycy9kb3ducmV2LnhtbFBLBQYAAAAABAAEAPkAAACRAwAAAAA=&#10;" strokecolor="#231f20" strokeweight=".5pt"/>
                <w10:anchorlock/>
              </v:group>
            </w:pict>
          </mc:Fallback>
        </mc:AlternateContent>
      </w:r>
    </w:p>
    <w:p w14:paraId="125BAF33" w14:textId="77777777" w:rsidR="00DE575E" w:rsidRDefault="00DE575E">
      <w:pPr>
        <w:pStyle w:val="BodyText"/>
        <w:spacing w:before="7"/>
        <w:rPr>
          <w:rFonts w:ascii="AdonisC"/>
          <w:i/>
          <w:sz w:val="19"/>
        </w:rPr>
      </w:pPr>
    </w:p>
    <w:p w14:paraId="625CE71B" w14:textId="77777777" w:rsidR="00DE575E" w:rsidRDefault="002E7560">
      <w:pPr>
        <w:pStyle w:val="BodyText"/>
        <w:spacing w:before="1" w:line="252" w:lineRule="auto"/>
        <w:ind w:left="250" w:right="409"/>
        <w:jc w:val="both"/>
      </w:pPr>
      <w:r>
        <w:rPr>
          <w:color w:val="231F20"/>
        </w:rPr>
        <w:t xml:space="preserve">зобов’язаний ухвалити рішення у справі на підставі подання дисци- плінарної комісії або надати вмотивовану відмову упродовж цього </w:t>
      </w:r>
      <w:r>
        <w:rPr>
          <w:color w:val="231F20"/>
          <w:spacing w:val="-3"/>
        </w:rPr>
        <w:t xml:space="preserve">строку. </w:t>
      </w:r>
      <w:r>
        <w:rPr>
          <w:color w:val="231F20"/>
        </w:rPr>
        <w:t>П</w:t>
      </w:r>
      <w:r>
        <w:rPr>
          <w:color w:val="231F20"/>
        </w:rPr>
        <w:t xml:space="preserve">еред накладенням дисциплінарного стягнення </w:t>
      </w:r>
      <w:r>
        <w:rPr>
          <w:color w:val="231F20"/>
          <w:spacing w:val="-4"/>
        </w:rPr>
        <w:t xml:space="preserve">суб’єкт </w:t>
      </w:r>
      <w:r>
        <w:rPr>
          <w:color w:val="231F20"/>
        </w:rPr>
        <w:t>призначення має отримати від державного службовця, який притя- гається до дисциплінарної відповідальності, письмове пояснення, яке має відображати час, місце, обставини та причини вчинення ним</w:t>
      </w:r>
      <w:r>
        <w:rPr>
          <w:color w:val="231F20"/>
          <w:spacing w:val="-10"/>
        </w:rPr>
        <w:t xml:space="preserve"> </w:t>
      </w:r>
      <w:r>
        <w:rPr>
          <w:color w:val="231F20"/>
        </w:rPr>
        <w:t>дисциплінарн</w:t>
      </w:r>
      <w:r>
        <w:rPr>
          <w:color w:val="231F20"/>
        </w:rPr>
        <w:t>ого</w:t>
      </w:r>
      <w:r>
        <w:rPr>
          <w:color w:val="231F20"/>
          <w:spacing w:val="-10"/>
        </w:rPr>
        <w:t xml:space="preserve"> </w:t>
      </w:r>
      <w:r>
        <w:rPr>
          <w:color w:val="231F20"/>
        </w:rPr>
        <w:t>проступку,</w:t>
      </w:r>
      <w:r>
        <w:rPr>
          <w:color w:val="231F20"/>
          <w:spacing w:val="-10"/>
        </w:rPr>
        <w:t xml:space="preserve"> </w:t>
      </w:r>
      <w:r>
        <w:rPr>
          <w:color w:val="231F20"/>
        </w:rPr>
        <w:t>його</w:t>
      </w:r>
      <w:r>
        <w:rPr>
          <w:color w:val="231F20"/>
          <w:spacing w:val="-10"/>
        </w:rPr>
        <w:t xml:space="preserve"> </w:t>
      </w:r>
      <w:r>
        <w:rPr>
          <w:color w:val="231F20"/>
        </w:rPr>
        <w:t>усвідомлення</w:t>
      </w:r>
      <w:r>
        <w:rPr>
          <w:color w:val="231F20"/>
          <w:spacing w:val="-10"/>
        </w:rPr>
        <w:t xml:space="preserve"> </w:t>
      </w:r>
      <w:r>
        <w:rPr>
          <w:color w:val="231F20"/>
        </w:rPr>
        <w:t>чи</w:t>
      </w:r>
      <w:r>
        <w:rPr>
          <w:color w:val="231F20"/>
          <w:spacing w:val="-10"/>
        </w:rPr>
        <w:t xml:space="preserve"> </w:t>
      </w:r>
      <w:r>
        <w:rPr>
          <w:color w:val="231F20"/>
        </w:rPr>
        <w:t>заперечення провини, а також інші питання, які мають значення у</w:t>
      </w:r>
      <w:r>
        <w:rPr>
          <w:color w:val="231F20"/>
          <w:spacing w:val="-8"/>
        </w:rPr>
        <w:t xml:space="preserve"> </w:t>
      </w:r>
      <w:r>
        <w:rPr>
          <w:color w:val="231F20"/>
        </w:rPr>
        <w:t>справі.</w:t>
      </w:r>
    </w:p>
    <w:p w14:paraId="211ADDC3" w14:textId="77777777" w:rsidR="00DE575E" w:rsidRDefault="002E7560">
      <w:pPr>
        <w:pStyle w:val="BodyText"/>
        <w:spacing w:before="4" w:line="252" w:lineRule="auto"/>
        <w:ind w:left="250" w:right="411" w:firstLine="283"/>
        <w:jc w:val="both"/>
      </w:pPr>
      <w:r>
        <w:rPr>
          <w:color w:val="231F20"/>
        </w:rPr>
        <w:t xml:space="preserve">Рішення суб’єкта призначення про накладення на державного службовця дисциплінарного стягнення чи закриття дисциплі- нарного провадження оформляється </w:t>
      </w:r>
      <w:r>
        <w:rPr>
          <w:i/>
          <w:color w:val="231F20"/>
        </w:rPr>
        <w:t xml:space="preserve">наказом </w:t>
      </w:r>
      <w:r>
        <w:rPr>
          <w:color w:val="231F20"/>
        </w:rPr>
        <w:t>(розпорядженням), завірена копія якого не пізніше наступного робочого дня видається службовцю під р</w:t>
      </w:r>
      <w:r>
        <w:rPr>
          <w:color w:val="231F20"/>
        </w:rPr>
        <w:t>озписку.</w:t>
      </w:r>
    </w:p>
    <w:p w14:paraId="1EBA4B59" w14:textId="77777777" w:rsidR="00DE575E" w:rsidRDefault="002E7560">
      <w:pPr>
        <w:pStyle w:val="BodyText"/>
        <w:spacing w:before="2" w:line="252" w:lineRule="auto"/>
        <w:ind w:left="250" w:right="410" w:firstLine="283"/>
        <w:jc w:val="both"/>
      </w:pPr>
      <w:r>
        <w:rPr>
          <w:color w:val="231F20"/>
        </w:rPr>
        <w:t>У разі закриття дисциплінарного провадження без притягнення державного службовця до дисциплінарної відповідальності йому оплачується</w:t>
      </w:r>
      <w:r>
        <w:rPr>
          <w:color w:val="231F20"/>
          <w:spacing w:val="-6"/>
        </w:rPr>
        <w:t xml:space="preserve"> </w:t>
      </w:r>
      <w:r>
        <w:rPr>
          <w:color w:val="231F20"/>
        </w:rPr>
        <w:t>в</w:t>
      </w:r>
      <w:r>
        <w:rPr>
          <w:color w:val="231F20"/>
          <w:spacing w:val="-6"/>
        </w:rPr>
        <w:t xml:space="preserve"> </w:t>
      </w:r>
      <w:r>
        <w:rPr>
          <w:color w:val="231F20"/>
        </w:rPr>
        <w:t>розмірі</w:t>
      </w:r>
      <w:r>
        <w:rPr>
          <w:color w:val="231F20"/>
          <w:spacing w:val="-6"/>
        </w:rPr>
        <w:t xml:space="preserve"> </w:t>
      </w:r>
      <w:r>
        <w:rPr>
          <w:color w:val="231F20"/>
        </w:rPr>
        <w:t>середньої</w:t>
      </w:r>
      <w:r>
        <w:rPr>
          <w:color w:val="231F20"/>
          <w:spacing w:val="-6"/>
        </w:rPr>
        <w:t xml:space="preserve"> </w:t>
      </w:r>
      <w:r>
        <w:rPr>
          <w:color w:val="231F20"/>
        </w:rPr>
        <w:t>заробітної</w:t>
      </w:r>
      <w:r>
        <w:rPr>
          <w:color w:val="231F20"/>
          <w:spacing w:val="-6"/>
        </w:rPr>
        <w:t xml:space="preserve"> </w:t>
      </w:r>
      <w:r>
        <w:rPr>
          <w:color w:val="231F20"/>
        </w:rPr>
        <w:t>плати</w:t>
      </w:r>
      <w:r>
        <w:rPr>
          <w:color w:val="231F20"/>
          <w:spacing w:val="-6"/>
        </w:rPr>
        <w:t xml:space="preserve"> </w:t>
      </w:r>
      <w:r>
        <w:rPr>
          <w:color w:val="231F20"/>
        </w:rPr>
        <w:t>час</w:t>
      </w:r>
      <w:r>
        <w:rPr>
          <w:color w:val="231F20"/>
          <w:spacing w:val="-6"/>
        </w:rPr>
        <w:t xml:space="preserve"> </w:t>
      </w:r>
      <w:r>
        <w:rPr>
          <w:color w:val="231F20"/>
        </w:rPr>
        <w:t>відсторонення від виконання посадових обов’язків в установленому</w:t>
      </w:r>
      <w:r>
        <w:rPr>
          <w:color w:val="231F20"/>
          <w:spacing w:val="-4"/>
        </w:rPr>
        <w:t xml:space="preserve"> </w:t>
      </w:r>
      <w:r>
        <w:rPr>
          <w:color w:val="231F20"/>
          <w:spacing w:val="-3"/>
        </w:rPr>
        <w:t>порядку.</w:t>
      </w:r>
    </w:p>
    <w:p w14:paraId="6BE95013" w14:textId="77777777" w:rsidR="00DE575E" w:rsidRDefault="002E7560">
      <w:pPr>
        <w:pStyle w:val="BodyText"/>
        <w:spacing w:before="2" w:line="252" w:lineRule="auto"/>
        <w:ind w:left="250" w:right="410" w:firstLine="283"/>
        <w:jc w:val="both"/>
      </w:pPr>
      <w:r>
        <w:rPr>
          <w:color w:val="231F20"/>
        </w:rPr>
        <w:t xml:space="preserve">Якщо упродовж </w:t>
      </w:r>
      <w:r>
        <w:rPr>
          <w:i/>
          <w:color w:val="231F20"/>
        </w:rPr>
        <w:t xml:space="preserve">року </w:t>
      </w:r>
      <w:r>
        <w:rPr>
          <w:color w:val="231F20"/>
        </w:rPr>
        <w:t>після накладення дисциплінарного стяг- нення</w:t>
      </w:r>
      <w:r>
        <w:rPr>
          <w:color w:val="231F20"/>
          <w:spacing w:val="-7"/>
        </w:rPr>
        <w:t xml:space="preserve"> </w:t>
      </w:r>
      <w:r>
        <w:rPr>
          <w:color w:val="231F20"/>
        </w:rPr>
        <w:t>до</w:t>
      </w:r>
      <w:r>
        <w:rPr>
          <w:color w:val="231F20"/>
          <w:spacing w:val="-7"/>
        </w:rPr>
        <w:t xml:space="preserve"> </w:t>
      </w:r>
      <w:r>
        <w:rPr>
          <w:color w:val="231F20"/>
        </w:rPr>
        <w:t>державного</w:t>
      </w:r>
      <w:r>
        <w:rPr>
          <w:color w:val="231F20"/>
          <w:spacing w:val="-7"/>
        </w:rPr>
        <w:t xml:space="preserve"> </w:t>
      </w:r>
      <w:r>
        <w:rPr>
          <w:color w:val="231F20"/>
        </w:rPr>
        <w:t>службовця</w:t>
      </w:r>
      <w:r>
        <w:rPr>
          <w:color w:val="231F20"/>
          <w:spacing w:val="-7"/>
        </w:rPr>
        <w:t xml:space="preserve"> </w:t>
      </w:r>
      <w:r>
        <w:rPr>
          <w:color w:val="231F20"/>
        </w:rPr>
        <w:t>не</w:t>
      </w:r>
      <w:r>
        <w:rPr>
          <w:color w:val="231F20"/>
          <w:spacing w:val="-7"/>
        </w:rPr>
        <w:t xml:space="preserve"> </w:t>
      </w:r>
      <w:r>
        <w:rPr>
          <w:color w:val="231F20"/>
          <w:spacing w:val="-4"/>
        </w:rPr>
        <w:t>буде</w:t>
      </w:r>
      <w:r>
        <w:rPr>
          <w:color w:val="231F20"/>
          <w:spacing w:val="-7"/>
        </w:rPr>
        <w:t xml:space="preserve"> </w:t>
      </w:r>
      <w:r>
        <w:rPr>
          <w:color w:val="231F20"/>
        </w:rPr>
        <w:t>застосовано</w:t>
      </w:r>
      <w:r>
        <w:rPr>
          <w:color w:val="231F20"/>
          <w:spacing w:val="-7"/>
        </w:rPr>
        <w:t xml:space="preserve"> </w:t>
      </w:r>
      <w:r>
        <w:rPr>
          <w:color w:val="231F20"/>
        </w:rPr>
        <w:t>нове</w:t>
      </w:r>
      <w:r>
        <w:rPr>
          <w:color w:val="231F20"/>
          <w:spacing w:val="-7"/>
        </w:rPr>
        <w:t xml:space="preserve"> </w:t>
      </w:r>
      <w:r>
        <w:rPr>
          <w:color w:val="231F20"/>
        </w:rPr>
        <w:t>дисциплі- нарне стягнення, він вважається таким, що не мав дисциплінарного стягнення. Водночас, якщо він не вчинив нового порушення у сфері державної служби і виявив себе сумлінним службовцем, дисциплі- нарне стягнення стосовно нього може бути знято до зак</w:t>
      </w:r>
      <w:r>
        <w:rPr>
          <w:color w:val="231F20"/>
        </w:rPr>
        <w:t xml:space="preserve">інчення </w:t>
      </w:r>
      <w:r>
        <w:rPr>
          <w:color w:val="231F20"/>
          <w:spacing w:val="-5"/>
        </w:rPr>
        <w:t xml:space="preserve">року, </w:t>
      </w:r>
      <w:r>
        <w:rPr>
          <w:color w:val="231F20"/>
        </w:rPr>
        <w:t xml:space="preserve">упродовж якого воно </w:t>
      </w:r>
      <w:r>
        <w:rPr>
          <w:color w:val="231F20"/>
          <w:spacing w:val="-3"/>
        </w:rPr>
        <w:t xml:space="preserve">було </w:t>
      </w:r>
      <w:r>
        <w:rPr>
          <w:color w:val="231F20"/>
        </w:rPr>
        <w:t xml:space="preserve">накладено, але </w:t>
      </w:r>
      <w:r>
        <w:rPr>
          <w:i/>
          <w:color w:val="231F20"/>
        </w:rPr>
        <w:t xml:space="preserve">не раніше ніж через шість місяців </w:t>
      </w:r>
      <w:r>
        <w:rPr>
          <w:color w:val="231F20"/>
        </w:rPr>
        <w:t>з дня накладення дисциплінарного стягнення. Право на</w:t>
      </w:r>
      <w:r>
        <w:rPr>
          <w:color w:val="231F20"/>
          <w:spacing w:val="-16"/>
        </w:rPr>
        <w:t xml:space="preserve"> </w:t>
      </w:r>
      <w:r>
        <w:rPr>
          <w:color w:val="231F20"/>
        </w:rPr>
        <w:t>дострокове</w:t>
      </w:r>
      <w:r>
        <w:rPr>
          <w:color w:val="231F20"/>
          <w:spacing w:val="-17"/>
        </w:rPr>
        <w:t xml:space="preserve"> </w:t>
      </w:r>
      <w:r>
        <w:rPr>
          <w:color w:val="231F20"/>
        </w:rPr>
        <w:t>зняття</w:t>
      </w:r>
      <w:r>
        <w:rPr>
          <w:color w:val="231F20"/>
          <w:spacing w:val="-16"/>
        </w:rPr>
        <w:t xml:space="preserve"> </w:t>
      </w:r>
      <w:r>
        <w:rPr>
          <w:color w:val="231F20"/>
        </w:rPr>
        <w:t>дисциплінарного</w:t>
      </w:r>
      <w:r>
        <w:rPr>
          <w:color w:val="231F20"/>
          <w:spacing w:val="-17"/>
        </w:rPr>
        <w:t xml:space="preserve"> </w:t>
      </w:r>
      <w:r>
        <w:rPr>
          <w:color w:val="231F20"/>
        </w:rPr>
        <w:t>стягнення</w:t>
      </w:r>
      <w:r>
        <w:rPr>
          <w:color w:val="231F20"/>
          <w:spacing w:val="-17"/>
        </w:rPr>
        <w:t xml:space="preserve"> </w:t>
      </w:r>
      <w:r>
        <w:rPr>
          <w:color w:val="231F20"/>
        </w:rPr>
        <w:t>належить</w:t>
      </w:r>
      <w:r>
        <w:rPr>
          <w:color w:val="231F20"/>
          <w:spacing w:val="-16"/>
        </w:rPr>
        <w:t xml:space="preserve"> </w:t>
      </w:r>
      <w:r>
        <w:rPr>
          <w:color w:val="231F20"/>
          <w:spacing w:val="-3"/>
        </w:rPr>
        <w:t xml:space="preserve">суб’єкту </w:t>
      </w:r>
      <w:r>
        <w:rPr>
          <w:color w:val="231F20"/>
        </w:rPr>
        <w:t xml:space="preserve">призначення, що його застосував. </w:t>
      </w:r>
      <w:r>
        <w:rPr>
          <w:color w:val="231F20"/>
          <w:spacing w:val="-3"/>
        </w:rPr>
        <w:t xml:space="preserve">Упродовж </w:t>
      </w:r>
      <w:r>
        <w:rPr>
          <w:color w:val="231F20"/>
        </w:rPr>
        <w:t>строку дії дисциплінар- ного</w:t>
      </w:r>
      <w:r>
        <w:rPr>
          <w:color w:val="231F20"/>
          <w:spacing w:val="-10"/>
        </w:rPr>
        <w:t xml:space="preserve"> </w:t>
      </w:r>
      <w:r>
        <w:rPr>
          <w:color w:val="231F20"/>
        </w:rPr>
        <w:t>стягнення</w:t>
      </w:r>
      <w:r>
        <w:rPr>
          <w:color w:val="231F20"/>
          <w:spacing w:val="-10"/>
        </w:rPr>
        <w:t xml:space="preserve"> </w:t>
      </w:r>
      <w:r>
        <w:rPr>
          <w:color w:val="231F20"/>
        </w:rPr>
        <w:t>(крім</w:t>
      </w:r>
      <w:r>
        <w:rPr>
          <w:color w:val="231F20"/>
          <w:spacing w:val="-10"/>
        </w:rPr>
        <w:t xml:space="preserve"> </w:t>
      </w:r>
      <w:r>
        <w:rPr>
          <w:color w:val="231F20"/>
        </w:rPr>
        <w:t>зауваження)</w:t>
      </w:r>
      <w:r>
        <w:rPr>
          <w:color w:val="231F20"/>
          <w:spacing w:val="-10"/>
        </w:rPr>
        <w:t xml:space="preserve"> </w:t>
      </w:r>
      <w:r>
        <w:rPr>
          <w:color w:val="231F20"/>
          <w:spacing w:val="-2"/>
        </w:rPr>
        <w:t>заходи</w:t>
      </w:r>
      <w:r>
        <w:rPr>
          <w:color w:val="231F20"/>
          <w:spacing w:val="-10"/>
        </w:rPr>
        <w:t xml:space="preserve"> </w:t>
      </w:r>
      <w:r>
        <w:rPr>
          <w:color w:val="231F20"/>
        </w:rPr>
        <w:t>заохочення</w:t>
      </w:r>
      <w:r>
        <w:rPr>
          <w:color w:val="231F20"/>
          <w:spacing w:val="-10"/>
        </w:rPr>
        <w:t xml:space="preserve"> </w:t>
      </w:r>
      <w:r>
        <w:rPr>
          <w:color w:val="231F20"/>
        </w:rPr>
        <w:t>до</w:t>
      </w:r>
      <w:r>
        <w:rPr>
          <w:color w:val="231F20"/>
          <w:spacing w:val="-10"/>
        </w:rPr>
        <w:t xml:space="preserve"> </w:t>
      </w:r>
      <w:r>
        <w:rPr>
          <w:color w:val="231F20"/>
        </w:rPr>
        <w:t>державного службовця не</w:t>
      </w:r>
      <w:r>
        <w:rPr>
          <w:color w:val="231F20"/>
          <w:spacing w:val="-2"/>
        </w:rPr>
        <w:t xml:space="preserve"> </w:t>
      </w:r>
      <w:r>
        <w:rPr>
          <w:color w:val="231F20"/>
        </w:rPr>
        <w:t>застосовуються.</w:t>
      </w:r>
    </w:p>
    <w:p w14:paraId="70B1D253" w14:textId="77777777" w:rsidR="00DE575E" w:rsidRDefault="00DE575E">
      <w:pPr>
        <w:pStyle w:val="BodyText"/>
        <w:rPr>
          <w:sz w:val="24"/>
        </w:rPr>
      </w:pPr>
    </w:p>
    <w:p w14:paraId="70DEA9DE" w14:textId="77777777" w:rsidR="00DE575E" w:rsidRDefault="00DE575E">
      <w:pPr>
        <w:pStyle w:val="BodyText"/>
        <w:spacing w:before="9"/>
        <w:rPr>
          <w:sz w:val="19"/>
        </w:rPr>
      </w:pPr>
    </w:p>
    <w:p w14:paraId="2927A342" w14:textId="77777777" w:rsidR="00DE575E" w:rsidRDefault="002E7560">
      <w:pPr>
        <w:pStyle w:val="Heading4"/>
        <w:numPr>
          <w:ilvl w:val="1"/>
          <w:numId w:val="42"/>
        </w:numPr>
        <w:tabs>
          <w:tab w:val="left" w:pos="1878"/>
        </w:tabs>
        <w:ind w:left="1977" w:right="1625" w:hanging="511"/>
        <w:jc w:val="left"/>
      </w:pPr>
      <w:r>
        <w:rPr>
          <w:color w:val="231F20"/>
        </w:rPr>
        <w:t>Система дисциплінарних стягнень та принципи їх</w:t>
      </w:r>
      <w:r>
        <w:rPr>
          <w:color w:val="231F20"/>
          <w:spacing w:val="-8"/>
        </w:rPr>
        <w:t xml:space="preserve"> </w:t>
      </w:r>
      <w:r>
        <w:rPr>
          <w:color w:val="231F20"/>
        </w:rPr>
        <w:t>застосування</w:t>
      </w:r>
    </w:p>
    <w:p w14:paraId="70AEED52" w14:textId="77777777" w:rsidR="00DE575E" w:rsidRDefault="00DE575E">
      <w:pPr>
        <w:pStyle w:val="BodyText"/>
        <w:rPr>
          <w:b/>
          <w:sz w:val="26"/>
        </w:rPr>
      </w:pPr>
    </w:p>
    <w:p w14:paraId="01D35489" w14:textId="77777777" w:rsidR="00DE575E" w:rsidRDefault="002E7560">
      <w:pPr>
        <w:spacing w:before="224" w:line="252" w:lineRule="auto"/>
        <w:ind w:left="250" w:right="411" w:firstLine="283"/>
        <w:jc w:val="both"/>
        <w:rPr>
          <w:sz w:val="21"/>
        </w:rPr>
      </w:pPr>
      <w:r>
        <w:rPr>
          <w:color w:val="231F20"/>
          <w:sz w:val="21"/>
        </w:rPr>
        <w:t>За вчинення дисциплінарних проступків до державних службов- ців застосовуєт</w:t>
      </w:r>
      <w:r>
        <w:rPr>
          <w:color w:val="231F20"/>
          <w:sz w:val="21"/>
        </w:rPr>
        <w:t xml:space="preserve">ься один із таких </w:t>
      </w:r>
      <w:r>
        <w:rPr>
          <w:i/>
          <w:color w:val="231F20"/>
          <w:sz w:val="21"/>
        </w:rPr>
        <w:t>видів дисциплінарного стягнення</w:t>
      </w:r>
      <w:r>
        <w:rPr>
          <w:color w:val="231F20"/>
          <w:sz w:val="21"/>
        </w:rPr>
        <w:t>:</w:t>
      </w:r>
    </w:p>
    <w:p w14:paraId="235EB50F" w14:textId="77777777" w:rsidR="00DE575E" w:rsidRDefault="002E7560">
      <w:pPr>
        <w:pStyle w:val="ListParagraph"/>
        <w:numPr>
          <w:ilvl w:val="0"/>
          <w:numId w:val="39"/>
        </w:numPr>
        <w:tabs>
          <w:tab w:val="left" w:pos="818"/>
        </w:tabs>
        <w:rPr>
          <w:sz w:val="21"/>
        </w:rPr>
      </w:pPr>
      <w:r>
        <w:rPr>
          <w:color w:val="231F20"/>
          <w:sz w:val="21"/>
        </w:rPr>
        <w:t>зауваження;</w:t>
      </w:r>
    </w:p>
    <w:p w14:paraId="0354B727" w14:textId="77777777" w:rsidR="00DE575E" w:rsidRDefault="002E7560">
      <w:pPr>
        <w:pStyle w:val="ListParagraph"/>
        <w:numPr>
          <w:ilvl w:val="0"/>
          <w:numId w:val="39"/>
        </w:numPr>
        <w:tabs>
          <w:tab w:val="left" w:pos="818"/>
        </w:tabs>
        <w:spacing w:before="13"/>
        <w:rPr>
          <w:sz w:val="21"/>
        </w:rPr>
      </w:pPr>
      <w:r>
        <w:rPr>
          <w:color w:val="231F20"/>
          <w:sz w:val="21"/>
        </w:rPr>
        <w:t>догана;</w:t>
      </w:r>
    </w:p>
    <w:p w14:paraId="64030E36" w14:textId="77777777" w:rsidR="00DE575E" w:rsidRDefault="00DE575E">
      <w:pPr>
        <w:pStyle w:val="BodyText"/>
        <w:spacing w:before="7"/>
        <w:rPr>
          <w:sz w:val="13"/>
        </w:rPr>
      </w:pPr>
    </w:p>
    <w:p w14:paraId="64450C8D" w14:textId="77777777" w:rsidR="00DE575E" w:rsidRDefault="002E7560">
      <w:pPr>
        <w:spacing w:before="92"/>
        <w:ind w:right="411"/>
        <w:jc w:val="right"/>
        <w:rPr>
          <w:rFonts w:ascii="Times New Roman"/>
          <w:sz w:val="20"/>
        </w:rPr>
      </w:pPr>
      <w:r>
        <w:rPr>
          <w:rFonts w:ascii="Times New Roman"/>
          <w:color w:val="231F20"/>
          <w:w w:val="90"/>
          <w:sz w:val="20"/>
        </w:rPr>
        <w:t>461</w:t>
      </w:r>
    </w:p>
    <w:p w14:paraId="47FF736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DFA619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97F131B" w14:textId="54CBBC1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61A141D" wp14:editId="526055E3">
                <wp:extent cx="4140200" cy="6350"/>
                <wp:effectExtent l="0" t="0" r="12700" b="6350"/>
                <wp:docPr id="24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48" name="Line 2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BC4538" id="Group_x0020_2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g7vr7gAIAAJgFAAAO&#10;AAAAAAAAAAAAAAAAACwCAABkcnMvZTJvRG9jLnhtbFBLAQItABQABgAIAAAAIQBMp7CQ2QAAAAMB&#10;AAAPAAAAAAAAAAAAAAAAANgEAABkcnMvZG93bnJldi54bWxQSwUGAAAAAAQABADzAAAA3gUAAAAA&#10;">
                <v:line id="Line_x0020_2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2dz8MAAADcAAAADwAAAGRycy9kb3ducmV2LnhtbERP3WrCMBS+F/YO4Qy8EU2nMkY1iggD&#10;8UK3dg9wbM7asuSkNtFWn95cDLz8+P6X694acaXW144VvE0SEMSF0zWXCn7yz/EHCB+QNRrHpOBG&#10;Htarl8ESU+06/qZrFkoRQ9inqKAKoUml9EVFFv3ENcSR+3WtxRBhW0rdYhfDrZHTJHmXFmuODRU2&#10;tK2o+MsuVkF+HgXzddybLj+eZvJ0Pszul4NSw9d+swARqA9P8b97pxVM53Ft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9nc/DAAAA3AAAAA8AAAAAAAAAAAAA&#10;AAAAoQIAAGRycy9kb3ducmV2LnhtbFBLBQYAAAAABAAEAPkAAACRAwAAAAA=&#10;" strokecolor="#231f20" strokeweight=".5pt"/>
                <w10:anchorlock/>
              </v:group>
            </w:pict>
          </mc:Fallback>
        </mc:AlternateContent>
      </w:r>
    </w:p>
    <w:p w14:paraId="1B0CDB90" w14:textId="77777777" w:rsidR="00DE575E" w:rsidRDefault="00DE575E">
      <w:pPr>
        <w:pStyle w:val="BodyText"/>
        <w:spacing w:before="7"/>
        <w:rPr>
          <w:rFonts w:ascii="AdonisC"/>
          <w:i/>
          <w:sz w:val="11"/>
        </w:rPr>
      </w:pPr>
    </w:p>
    <w:p w14:paraId="574FD464" w14:textId="77777777" w:rsidR="00DE575E" w:rsidRDefault="002E7560">
      <w:pPr>
        <w:pStyle w:val="ListParagraph"/>
        <w:numPr>
          <w:ilvl w:val="0"/>
          <w:numId w:val="38"/>
        </w:numPr>
        <w:tabs>
          <w:tab w:val="left" w:pos="1101"/>
        </w:tabs>
        <w:spacing w:before="101"/>
        <w:ind w:hanging="283"/>
        <w:rPr>
          <w:sz w:val="21"/>
        </w:rPr>
      </w:pPr>
      <w:r>
        <w:rPr>
          <w:color w:val="231F20"/>
          <w:sz w:val="21"/>
        </w:rPr>
        <w:t>попередження про неповну службову</w:t>
      </w:r>
      <w:r>
        <w:rPr>
          <w:color w:val="231F20"/>
          <w:spacing w:val="-3"/>
          <w:sz w:val="21"/>
        </w:rPr>
        <w:t xml:space="preserve"> </w:t>
      </w:r>
      <w:r>
        <w:rPr>
          <w:color w:val="231F20"/>
          <w:sz w:val="21"/>
        </w:rPr>
        <w:t>відповідність;</w:t>
      </w:r>
    </w:p>
    <w:p w14:paraId="2C93D932" w14:textId="77777777" w:rsidR="00DE575E" w:rsidRDefault="002E7560">
      <w:pPr>
        <w:pStyle w:val="ListParagraph"/>
        <w:numPr>
          <w:ilvl w:val="0"/>
          <w:numId w:val="38"/>
        </w:numPr>
        <w:tabs>
          <w:tab w:val="left" w:pos="1101"/>
        </w:tabs>
        <w:spacing w:before="12"/>
        <w:ind w:hanging="283"/>
        <w:rPr>
          <w:sz w:val="21"/>
        </w:rPr>
      </w:pPr>
      <w:r>
        <w:rPr>
          <w:color w:val="231F20"/>
          <w:sz w:val="21"/>
        </w:rPr>
        <w:t>звільнення з посади державної</w:t>
      </w:r>
      <w:r>
        <w:rPr>
          <w:color w:val="231F20"/>
          <w:spacing w:val="-3"/>
          <w:sz w:val="21"/>
        </w:rPr>
        <w:t xml:space="preserve"> </w:t>
      </w:r>
      <w:r>
        <w:rPr>
          <w:color w:val="231F20"/>
          <w:sz w:val="21"/>
        </w:rPr>
        <w:t>служби.</w:t>
      </w:r>
    </w:p>
    <w:p w14:paraId="3F0016F9" w14:textId="77777777" w:rsidR="00DE575E" w:rsidRDefault="002E7560">
      <w:pPr>
        <w:pStyle w:val="BodyText"/>
        <w:spacing w:before="13" w:line="252" w:lineRule="auto"/>
        <w:ind w:left="533" w:right="127" w:firstLine="283"/>
        <w:jc w:val="both"/>
      </w:pPr>
      <w:r>
        <w:rPr>
          <w:color w:val="231F20"/>
        </w:rPr>
        <w:t>Звільнення з посади державної служби є винятковим видом дисциплінарного стягнення і може бути застосоване лише в перед- бачених законом випадках.</w:t>
      </w:r>
    </w:p>
    <w:p w14:paraId="017E3710" w14:textId="77777777" w:rsidR="00DE575E" w:rsidRDefault="002E7560">
      <w:pPr>
        <w:pStyle w:val="BodyText"/>
        <w:spacing w:before="2" w:line="252" w:lineRule="auto"/>
        <w:ind w:left="533" w:right="128" w:firstLine="283"/>
        <w:jc w:val="both"/>
      </w:pPr>
      <w:r>
        <w:rPr>
          <w:color w:val="231F20"/>
        </w:rPr>
        <w:t>За кожний дисциплінарний проступок до державного службовця може бути застосовано лише одне дисциплінарне стягн</w:t>
      </w:r>
      <w:r>
        <w:rPr>
          <w:color w:val="231F20"/>
        </w:rPr>
        <w:t>ення.</w:t>
      </w:r>
    </w:p>
    <w:p w14:paraId="621303CD" w14:textId="77777777" w:rsidR="00DE575E" w:rsidRDefault="002E7560">
      <w:pPr>
        <w:spacing w:before="1" w:line="252" w:lineRule="auto"/>
        <w:ind w:left="533" w:right="128" w:firstLine="283"/>
        <w:jc w:val="both"/>
        <w:rPr>
          <w:sz w:val="21"/>
        </w:rPr>
      </w:pPr>
      <w:r>
        <w:rPr>
          <w:color w:val="231F20"/>
          <w:sz w:val="21"/>
        </w:rPr>
        <w:t xml:space="preserve">Законом визначено </w:t>
      </w:r>
      <w:r>
        <w:rPr>
          <w:i/>
          <w:color w:val="231F20"/>
          <w:sz w:val="21"/>
        </w:rPr>
        <w:t>строки давності притягнення до дисциплі- нарної відповідальності</w:t>
      </w:r>
      <w:r>
        <w:rPr>
          <w:color w:val="231F20"/>
          <w:sz w:val="21"/>
        </w:rPr>
        <w:t xml:space="preserve">. </w:t>
      </w:r>
      <w:r>
        <w:rPr>
          <w:color w:val="231F20"/>
          <w:spacing w:val="-4"/>
          <w:sz w:val="21"/>
        </w:rPr>
        <w:t xml:space="preserve">Так, </w:t>
      </w:r>
      <w:r>
        <w:rPr>
          <w:color w:val="231F20"/>
          <w:sz w:val="21"/>
        </w:rPr>
        <w:t xml:space="preserve">дисциплінарне стягнення до держав- ного службовця застосовується </w:t>
      </w:r>
      <w:r>
        <w:rPr>
          <w:i/>
          <w:color w:val="231F20"/>
          <w:sz w:val="21"/>
        </w:rPr>
        <w:t xml:space="preserve">не пізніше шести місяців </w:t>
      </w:r>
      <w:r>
        <w:rPr>
          <w:color w:val="231F20"/>
          <w:sz w:val="21"/>
        </w:rPr>
        <w:t>з дня вияв- лення дисциплінарного проступку, без урахування часу тимчас</w:t>
      </w:r>
      <w:r>
        <w:rPr>
          <w:color w:val="231F20"/>
          <w:sz w:val="21"/>
        </w:rPr>
        <w:t>ової непрацездатності</w:t>
      </w:r>
      <w:r>
        <w:rPr>
          <w:color w:val="231F20"/>
          <w:spacing w:val="-11"/>
          <w:sz w:val="21"/>
        </w:rPr>
        <w:t xml:space="preserve"> </w:t>
      </w:r>
      <w:r>
        <w:rPr>
          <w:color w:val="231F20"/>
          <w:sz w:val="21"/>
        </w:rPr>
        <w:t>або</w:t>
      </w:r>
      <w:r>
        <w:rPr>
          <w:color w:val="231F20"/>
          <w:spacing w:val="-11"/>
          <w:sz w:val="21"/>
        </w:rPr>
        <w:t xml:space="preserve"> </w:t>
      </w:r>
      <w:r>
        <w:rPr>
          <w:color w:val="231F20"/>
          <w:sz w:val="21"/>
        </w:rPr>
        <w:t>перебування</w:t>
      </w:r>
      <w:r>
        <w:rPr>
          <w:color w:val="231F20"/>
          <w:spacing w:val="-11"/>
          <w:sz w:val="21"/>
        </w:rPr>
        <w:t xml:space="preserve"> </w:t>
      </w:r>
      <w:r>
        <w:rPr>
          <w:color w:val="231F20"/>
          <w:sz w:val="21"/>
        </w:rPr>
        <w:t>у</w:t>
      </w:r>
      <w:r>
        <w:rPr>
          <w:color w:val="231F20"/>
          <w:spacing w:val="-10"/>
          <w:sz w:val="21"/>
        </w:rPr>
        <w:t xml:space="preserve"> </w:t>
      </w:r>
      <w:r>
        <w:rPr>
          <w:color w:val="231F20"/>
          <w:sz w:val="21"/>
        </w:rPr>
        <w:t>відпустці,</w:t>
      </w:r>
      <w:r>
        <w:rPr>
          <w:color w:val="231F20"/>
          <w:spacing w:val="-11"/>
          <w:sz w:val="21"/>
        </w:rPr>
        <w:t xml:space="preserve"> </w:t>
      </w:r>
      <w:r>
        <w:rPr>
          <w:color w:val="231F20"/>
          <w:sz w:val="21"/>
        </w:rPr>
        <w:t>а</w:t>
      </w:r>
      <w:r>
        <w:rPr>
          <w:color w:val="231F20"/>
          <w:spacing w:val="-11"/>
          <w:sz w:val="21"/>
        </w:rPr>
        <w:t xml:space="preserve"> </w:t>
      </w:r>
      <w:r>
        <w:rPr>
          <w:color w:val="231F20"/>
          <w:sz w:val="21"/>
        </w:rPr>
        <w:t>також</w:t>
      </w:r>
      <w:r>
        <w:rPr>
          <w:color w:val="231F20"/>
          <w:spacing w:val="-11"/>
          <w:sz w:val="21"/>
        </w:rPr>
        <w:t xml:space="preserve"> </w:t>
      </w:r>
      <w:r>
        <w:rPr>
          <w:color w:val="231F20"/>
          <w:sz w:val="21"/>
        </w:rPr>
        <w:t>не</w:t>
      </w:r>
      <w:r>
        <w:rPr>
          <w:color w:val="231F20"/>
          <w:spacing w:val="-11"/>
          <w:sz w:val="21"/>
        </w:rPr>
        <w:t xml:space="preserve"> </w:t>
      </w:r>
      <w:r>
        <w:rPr>
          <w:color w:val="231F20"/>
          <w:sz w:val="21"/>
        </w:rPr>
        <w:t xml:space="preserve">застосову- ється, якщо </w:t>
      </w:r>
      <w:r>
        <w:rPr>
          <w:i/>
          <w:color w:val="231F20"/>
          <w:sz w:val="21"/>
        </w:rPr>
        <w:t xml:space="preserve">минув один рік </w:t>
      </w:r>
      <w:r>
        <w:rPr>
          <w:color w:val="231F20"/>
          <w:sz w:val="21"/>
        </w:rPr>
        <w:t>після його</w:t>
      </w:r>
      <w:r>
        <w:rPr>
          <w:color w:val="231F20"/>
          <w:spacing w:val="-6"/>
          <w:sz w:val="21"/>
        </w:rPr>
        <w:t xml:space="preserve"> </w:t>
      </w:r>
      <w:r>
        <w:rPr>
          <w:color w:val="231F20"/>
          <w:sz w:val="21"/>
        </w:rPr>
        <w:t>вчинення.</w:t>
      </w:r>
    </w:p>
    <w:p w14:paraId="0E85C903" w14:textId="77777777" w:rsidR="00DE575E" w:rsidRDefault="002E7560">
      <w:pPr>
        <w:pStyle w:val="BodyText"/>
        <w:spacing w:before="3" w:line="252" w:lineRule="auto"/>
        <w:ind w:left="533" w:right="128" w:firstLine="283"/>
        <w:jc w:val="both"/>
      </w:pPr>
      <w:r>
        <w:rPr>
          <w:color w:val="231F20"/>
        </w:rPr>
        <w:t>Дисциплінарне стягнення може бути накладено тільки в разі встановлення факту вчинення дисциплінарного проступку та вини державного служ</w:t>
      </w:r>
      <w:r>
        <w:rPr>
          <w:color w:val="231F20"/>
        </w:rPr>
        <w:t>бовця.  Учинення  державним  службовцем  діянь  у стані крайньої потреби або необхідної оборони виключають можливість застосування дисциплінарного</w:t>
      </w:r>
      <w:r>
        <w:rPr>
          <w:color w:val="231F20"/>
          <w:spacing w:val="-4"/>
        </w:rPr>
        <w:t xml:space="preserve"> </w:t>
      </w:r>
      <w:r>
        <w:rPr>
          <w:color w:val="231F20"/>
        </w:rPr>
        <w:t>стягнення.</w:t>
      </w:r>
    </w:p>
    <w:p w14:paraId="3D7D287E" w14:textId="77777777" w:rsidR="00DE575E" w:rsidRDefault="002E7560">
      <w:pPr>
        <w:pStyle w:val="BodyText"/>
        <w:spacing w:before="2" w:line="252" w:lineRule="auto"/>
        <w:ind w:left="533" w:right="124" w:firstLine="283"/>
        <w:jc w:val="both"/>
      </w:pPr>
      <w:r>
        <w:rPr>
          <w:color w:val="231F20"/>
        </w:rPr>
        <w:t>Дисциплінарне стягнення має відповідати характеру й тяжкості вчиненого дисциплінарного проступку та ступеню вини держав- ного службовця. Під час визначення виду дисциплінарного стяг- нення потрібно враховувати характер дисциплінарного проступку, обставини,</w:t>
      </w:r>
      <w:r>
        <w:rPr>
          <w:color w:val="231F20"/>
        </w:rPr>
        <w:t xml:space="preserve"> за яких він був  вчинений,  настання  тяжких  наслід-  ків,  добровільне  відшкодування  заподіяної  шкоди,  обставини,  що пом’якшують та обтяжують відповідальність, попередню поведінку  службовця,   результати   оцінювання   його   службо-   вої діяльно</w:t>
      </w:r>
      <w:r>
        <w:rPr>
          <w:color w:val="231F20"/>
        </w:rPr>
        <w:t>сті, наявність заохочень, стягнень  та  його  ставлення  до</w:t>
      </w:r>
      <w:r>
        <w:rPr>
          <w:color w:val="231F20"/>
          <w:spacing w:val="3"/>
        </w:rPr>
        <w:t xml:space="preserve"> </w:t>
      </w:r>
      <w:r>
        <w:rPr>
          <w:color w:val="231F20"/>
        </w:rPr>
        <w:t>служби.</w:t>
      </w:r>
    </w:p>
    <w:p w14:paraId="058750A7" w14:textId="77777777" w:rsidR="00DE575E" w:rsidRDefault="002E7560">
      <w:pPr>
        <w:pStyle w:val="Heading6"/>
        <w:spacing w:before="5" w:line="252" w:lineRule="auto"/>
        <w:ind w:right="128"/>
        <w:jc w:val="both"/>
      </w:pPr>
      <w:r>
        <w:rPr>
          <w:color w:val="231F20"/>
        </w:rPr>
        <w:t xml:space="preserve">Обставинами, що пом’якшують відповідальність держ- </w:t>
      </w:r>
      <w:r>
        <w:rPr>
          <w:color w:val="231F20"/>
        </w:rPr>
        <w:t>службовця, є:</w:t>
      </w:r>
    </w:p>
    <w:p w14:paraId="332DD935" w14:textId="77777777" w:rsidR="00DE575E" w:rsidRDefault="002E7560">
      <w:pPr>
        <w:pStyle w:val="ListParagraph"/>
        <w:numPr>
          <w:ilvl w:val="0"/>
          <w:numId w:val="37"/>
        </w:numPr>
        <w:tabs>
          <w:tab w:val="left" w:pos="1101"/>
        </w:tabs>
        <w:spacing w:line="252" w:lineRule="auto"/>
        <w:ind w:right="128" w:firstLine="284"/>
        <w:jc w:val="both"/>
        <w:rPr>
          <w:sz w:val="21"/>
        </w:rPr>
      </w:pPr>
      <w:r>
        <w:rPr>
          <w:color w:val="231F20"/>
          <w:sz w:val="21"/>
        </w:rPr>
        <w:t>усвідомлення</w:t>
      </w:r>
      <w:r>
        <w:rPr>
          <w:color w:val="231F20"/>
          <w:spacing w:val="-7"/>
          <w:sz w:val="21"/>
        </w:rPr>
        <w:t xml:space="preserve"> </w:t>
      </w:r>
      <w:r>
        <w:rPr>
          <w:color w:val="231F20"/>
          <w:sz w:val="21"/>
        </w:rPr>
        <w:t>та</w:t>
      </w:r>
      <w:r>
        <w:rPr>
          <w:color w:val="231F20"/>
          <w:spacing w:val="-7"/>
          <w:sz w:val="21"/>
        </w:rPr>
        <w:t xml:space="preserve"> </w:t>
      </w:r>
      <w:r>
        <w:rPr>
          <w:color w:val="231F20"/>
          <w:sz w:val="21"/>
        </w:rPr>
        <w:t>визнання</w:t>
      </w:r>
      <w:r>
        <w:rPr>
          <w:color w:val="231F20"/>
          <w:spacing w:val="-7"/>
          <w:sz w:val="21"/>
        </w:rPr>
        <w:t xml:space="preserve"> </w:t>
      </w:r>
      <w:r>
        <w:rPr>
          <w:color w:val="231F20"/>
          <w:sz w:val="21"/>
        </w:rPr>
        <w:t>своєї</w:t>
      </w:r>
      <w:r>
        <w:rPr>
          <w:color w:val="231F20"/>
          <w:spacing w:val="-7"/>
          <w:sz w:val="21"/>
        </w:rPr>
        <w:t xml:space="preserve"> </w:t>
      </w:r>
      <w:r>
        <w:rPr>
          <w:color w:val="231F20"/>
          <w:sz w:val="21"/>
        </w:rPr>
        <w:t>провини</w:t>
      </w:r>
      <w:r>
        <w:rPr>
          <w:color w:val="231F20"/>
          <w:spacing w:val="-7"/>
          <w:sz w:val="21"/>
        </w:rPr>
        <w:t xml:space="preserve"> </w:t>
      </w:r>
      <w:r>
        <w:rPr>
          <w:color w:val="231F20"/>
          <w:sz w:val="21"/>
        </w:rPr>
        <w:t>в</w:t>
      </w:r>
      <w:r>
        <w:rPr>
          <w:color w:val="231F20"/>
          <w:spacing w:val="-7"/>
          <w:sz w:val="21"/>
        </w:rPr>
        <w:t xml:space="preserve"> </w:t>
      </w:r>
      <w:r>
        <w:rPr>
          <w:color w:val="231F20"/>
          <w:sz w:val="21"/>
        </w:rPr>
        <w:t>учиненні</w:t>
      </w:r>
      <w:r>
        <w:rPr>
          <w:color w:val="231F20"/>
          <w:spacing w:val="-7"/>
          <w:sz w:val="21"/>
        </w:rPr>
        <w:t xml:space="preserve"> </w:t>
      </w:r>
      <w:r>
        <w:rPr>
          <w:color w:val="231F20"/>
          <w:sz w:val="21"/>
        </w:rPr>
        <w:t>дисциплі- нарного проступку;</w:t>
      </w:r>
    </w:p>
    <w:p w14:paraId="00F2851F" w14:textId="77777777" w:rsidR="00DE575E" w:rsidRDefault="002E7560">
      <w:pPr>
        <w:pStyle w:val="ListParagraph"/>
        <w:numPr>
          <w:ilvl w:val="0"/>
          <w:numId w:val="37"/>
        </w:numPr>
        <w:tabs>
          <w:tab w:val="left" w:pos="1101"/>
        </w:tabs>
        <w:spacing w:line="252" w:lineRule="auto"/>
        <w:ind w:right="128" w:firstLine="284"/>
        <w:jc w:val="both"/>
        <w:rPr>
          <w:sz w:val="21"/>
        </w:rPr>
      </w:pPr>
      <w:r>
        <w:rPr>
          <w:color w:val="231F20"/>
          <w:sz w:val="21"/>
        </w:rPr>
        <w:t>попередня бездоганна поведінка та відсутність дисциплінар- них</w:t>
      </w:r>
      <w:r>
        <w:rPr>
          <w:color w:val="231F20"/>
          <w:spacing w:val="-1"/>
          <w:sz w:val="21"/>
        </w:rPr>
        <w:t xml:space="preserve"> </w:t>
      </w:r>
      <w:r>
        <w:rPr>
          <w:color w:val="231F20"/>
          <w:sz w:val="21"/>
        </w:rPr>
        <w:t>стягнень;</w:t>
      </w:r>
    </w:p>
    <w:p w14:paraId="72E9B8F2" w14:textId="77777777" w:rsidR="00DE575E" w:rsidRDefault="002E7560">
      <w:pPr>
        <w:pStyle w:val="ListParagraph"/>
        <w:numPr>
          <w:ilvl w:val="0"/>
          <w:numId w:val="37"/>
        </w:numPr>
        <w:tabs>
          <w:tab w:val="left" w:pos="1101"/>
        </w:tabs>
        <w:ind w:firstLine="284"/>
        <w:rPr>
          <w:sz w:val="21"/>
        </w:rPr>
      </w:pPr>
      <w:r>
        <w:rPr>
          <w:color w:val="231F20"/>
          <w:sz w:val="21"/>
        </w:rPr>
        <w:t>високі показники виконання службових</w:t>
      </w:r>
      <w:r>
        <w:rPr>
          <w:color w:val="231F20"/>
          <w:spacing w:val="-4"/>
          <w:sz w:val="21"/>
        </w:rPr>
        <w:t xml:space="preserve"> </w:t>
      </w:r>
      <w:r>
        <w:rPr>
          <w:color w:val="231F20"/>
          <w:sz w:val="21"/>
        </w:rPr>
        <w:t>завдань;</w:t>
      </w:r>
    </w:p>
    <w:p w14:paraId="0B690F15" w14:textId="77777777" w:rsidR="00DE575E" w:rsidRDefault="002E7560">
      <w:pPr>
        <w:pStyle w:val="ListParagraph"/>
        <w:numPr>
          <w:ilvl w:val="0"/>
          <w:numId w:val="37"/>
        </w:numPr>
        <w:tabs>
          <w:tab w:val="left" w:pos="1101"/>
        </w:tabs>
        <w:spacing w:before="13" w:line="252" w:lineRule="auto"/>
        <w:ind w:right="128" w:firstLine="284"/>
        <w:jc w:val="both"/>
        <w:rPr>
          <w:sz w:val="21"/>
        </w:rPr>
      </w:pPr>
      <w:r>
        <w:rPr>
          <w:color w:val="231F20"/>
          <w:sz w:val="21"/>
        </w:rPr>
        <w:t>ужиття</w:t>
      </w:r>
      <w:r>
        <w:rPr>
          <w:color w:val="231F20"/>
          <w:spacing w:val="-18"/>
          <w:sz w:val="21"/>
        </w:rPr>
        <w:t xml:space="preserve"> </w:t>
      </w:r>
      <w:r>
        <w:rPr>
          <w:color w:val="231F20"/>
          <w:sz w:val="21"/>
        </w:rPr>
        <w:t>заходів</w:t>
      </w:r>
      <w:r>
        <w:rPr>
          <w:color w:val="231F20"/>
          <w:spacing w:val="-18"/>
          <w:sz w:val="21"/>
        </w:rPr>
        <w:t xml:space="preserve"> </w:t>
      </w:r>
      <w:r>
        <w:rPr>
          <w:color w:val="231F20"/>
          <w:sz w:val="21"/>
        </w:rPr>
        <w:t>щодо</w:t>
      </w:r>
      <w:r>
        <w:rPr>
          <w:color w:val="231F20"/>
          <w:spacing w:val="-18"/>
          <w:sz w:val="21"/>
        </w:rPr>
        <w:t xml:space="preserve"> </w:t>
      </w:r>
      <w:r>
        <w:rPr>
          <w:color w:val="231F20"/>
          <w:sz w:val="21"/>
        </w:rPr>
        <w:t>попередження,</w:t>
      </w:r>
      <w:r>
        <w:rPr>
          <w:color w:val="231F20"/>
          <w:spacing w:val="-18"/>
          <w:sz w:val="21"/>
        </w:rPr>
        <w:t xml:space="preserve"> </w:t>
      </w:r>
      <w:r>
        <w:rPr>
          <w:color w:val="231F20"/>
          <w:sz w:val="21"/>
        </w:rPr>
        <w:t>відвернення</w:t>
      </w:r>
      <w:r>
        <w:rPr>
          <w:color w:val="231F20"/>
          <w:spacing w:val="-18"/>
          <w:sz w:val="21"/>
        </w:rPr>
        <w:t xml:space="preserve"> </w:t>
      </w:r>
      <w:r>
        <w:rPr>
          <w:color w:val="231F20"/>
          <w:sz w:val="21"/>
        </w:rPr>
        <w:t>або</w:t>
      </w:r>
      <w:r>
        <w:rPr>
          <w:color w:val="231F20"/>
          <w:spacing w:val="-18"/>
          <w:sz w:val="21"/>
        </w:rPr>
        <w:t xml:space="preserve"> </w:t>
      </w:r>
      <w:r>
        <w:rPr>
          <w:color w:val="231F20"/>
          <w:sz w:val="21"/>
        </w:rPr>
        <w:t>усунення настання</w:t>
      </w:r>
      <w:r>
        <w:rPr>
          <w:color w:val="231F20"/>
          <w:spacing w:val="-15"/>
          <w:sz w:val="21"/>
        </w:rPr>
        <w:t xml:space="preserve"> </w:t>
      </w:r>
      <w:r>
        <w:rPr>
          <w:color w:val="231F20"/>
          <w:sz w:val="21"/>
        </w:rPr>
        <w:t>тяжких</w:t>
      </w:r>
      <w:r>
        <w:rPr>
          <w:color w:val="231F20"/>
          <w:spacing w:val="-15"/>
          <w:sz w:val="21"/>
        </w:rPr>
        <w:t xml:space="preserve"> </w:t>
      </w:r>
      <w:r>
        <w:rPr>
          <w:color w:val="231F20"/>
          <w:sz w:val="21"/>
        </w:rPr>
        <w:t>наслідків,</w:t>
      </w:r>
      <w:r>
        <w:rPr>
          <w:color w:val="231F20"/>
          <w:spacing w:val="-15"/>
          <w:sz w:val="21"/>
        </w:rPr>
        <w:t xml:space="preserve"> </w:t>
      </w:r>
      <w:r>
        <w:rPr>
          <w:color w:val="231F20"/>
          <w:sz w:val="21"/>
        </w:rPr>
        <w:t>які</w:t>
      </w:r>
      <w:r>
        <w:rPr>
          <w:color w:val="231F20"/>
          <w:spacing w:val="-15"/>
          <w:sz w:val="21"/>
        </w:rPr>
        <w:t xml:space="preserve"> </w:t>
      </w:r>
      <w:r>
        <w:rPr>
          <w:color w:val="231F20"/>
          <w:sz w:val="21"/>
        </w:rPr>
        <w:t>настали</w:t>
      </w:r>
      <w:r>
        <w:rPr>
          <w:color w:val="231F20"/>
          <w:spacing w:val="-15"/>
          <w:sz w:val="21"/>
        </w:rPr>
        <w:t xml:space="preserve"> </w:t>
      </w:r>
      <w:r>
        <w:rPr>
          <w:color w:val="231F20"/>
          <w:sz w:val="21"/>
        </w:rPr>
        <w:t>або</w:t>
      </w:r>
      <w:r>
        <w:rPr>
          <w:color w:val="231F20"/>
          <w:spacing w:val="-15"/>
          <w:sz w:val="21"/>
        </w:rPr>
        <w:t xml:space="preserve"> </w:t>
      </w:r>
      <w:r>
        <w:rPr>
          <w:color w:val="231F20"/>
          <w:sz w:val="21"/>
        </w:rPr>
        <w:t>можуть</w:t>
      </w:r>
      <w:r>
        <w:rPr>
          <w:color w:val="231F20"/>
          <w:spacing w:val="-15"/>
          <w:sz w:val="21"/>
        </w:rPr>
        <w:t xml:space="preserve"> </w:t>
      </w:r>
      <w:r>
        <w:rPr>
          <w:color w:val="231F20"/>
          <w:sz w:val="21"/>
        </w:rPr>
        <w:t>настати</w:t>
      </w:r>
      <w:r>
        <w:rPr>
          <w:color w:val="231F20"/>
          <w:spacing w:val="-15"/>
          <w:sz w:val="21"/>
        </w:rPr>
        <w:t xml:space="preserve"> </w:t>
      </w:r>
      <w:r>
        <w:rPr>
          <w:color w:val="231F20"/>
          <w:sz w:val="21"/>
        </w:rPr>
        <w:t>в</w:t>
      </w:r>
      <w:r>
        <w:rPr>
          <w:color w:val="231F20"/>
          <w:spacing w:val="-17"/>
          <w:sz w:val="21"/>
        </w:rPr>
        <w:t xml:space="preserve"> </w:t>
      </w:r>
      <w:r>
        <w:rPr>
          <w:color w:val="231F20"/>
          <w:sz w:val="21"/>
        </w:rPr>
        <w:t>резуль- таті вчинення дисциплінарного проступку, добровільне відшкоду- вання заподіяної</w:t>
      </w:r>
      <w:r>
        <w:rPr>
          <w:color w:val="231F20"/>
          <w:spacing w:val="-3"/>
          <w:sz w:val="21"/>
        </w:rPr>
        <w:t xml:space="preserve"> </w:t>
      </w:r>
      <w:r>
        <w:rPr>
          <w:color w:val="231F20"/>
          <w:sz w:val="21"/>
        </w:rPr>
        <w:t>шкоди;</w:t>
      </w:r>
    </w:p>
    <w:p w14:paraId="58745EB0" w14:textId="77777777" w:rsidR="00DE575E" w:rsidRDefault="00DE575E">
      <w:pPr>
        <w:pStyle w:val="BodyText"/>
        <w:spacing w:before="6"/>
        <w:rPr>
          <w:sz w:val="12"/>
        </w:rPr>
      </w:pPr>
    </w:p>
    <w:p w14:paraId="03615969" w14:textId="77777777" w:rsidR="00DE575E" w:rsidRDefault="002E7560">
      <w:pPr>
        <w:spacing w:before="92"/>
        <w:ind w:left="533"/>
        <w:rPr>
          <w:rFonts w:ascii="Times New Roman"/>
          <w:sz w:val="20"/>
        </w:rPr>
      </w:pPr>
      <w:r>
        <w:rPr>
          <w:rFonts w:ascii="Times New Roman"/>
          <w:color w:val="231F20"/>
          <w:sz w:val="20"/>
        </w:rPr>
        <w:t>462</w:t>
      </w:r>
    </w:p>
    <w:p w14:paraId="48AFD1F5" w14:textId="77777777" w:rsidR="00DE575E" w:rsidRDefault="00DE575E">
      <w:pPr>
        <w:rPr>
          <w:rFonts w:ascii="Times New Roman"/>
          <w:sz w:val="20"/>
        </w:rPr>
        <w:sectPr w:rsidR="00DE575E">
          <w:pgSz w:w="8510" w:h="12760"/>
          <w:pgMar w:top="660" w:right="720" w:bottom="280" w:left="600" w:header="720" w:footer="720" w:gutter="0"/>
          <w:cols w:space="720"/>
        </w:sectPr>
      </w:pPr>
    </w:p>
    <w:p w14:paraId="1C16826B" w14:textId="77777777" w:rsidR="00DE575E" w:rsidRDefault="002E7560">
      <w:pPr>
        <w:spacing w:before="72" w:line="249" w:lineRule="auto"/>
        <w:ind w:left="470" w:right="409" w:firstLine="2279"/>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Дисциплінарна </w:t>
      </w:r>
      <w:r>
        <w:rPr>
          <w:rFonts w:ascii="AdonisC" w:hAnsi="AdonisC"/>
          <w:i/>
          <w:color w:val="231F20"/>
          <w:sz w:val="18"/>
        </w:rPr>
        <w:t xml:space="preserve">та </w:t>
      </w:r>
      <w:r>
        <w:rPr>
          <w:rFonts w:ascii="AdonisC" w:hAnsi="AdonisC"/>
          <w:i/>
          <w:color w:val="231F20"/>
          <w:spacing w:val="-4"/>
          <w:sz w:val="18"/>
        </w:rPr>
        <w:t>матеріальна відповідальність державних службовців</w:t>
      </w:r>
    </w:p>
    <w:p w14:paraId="2695F141" w14:textId="576B7BB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8204EB9" wp14:editId="5E03EB6C">
                <wp:extent cx="4140200" cy="6350"/>
                <wp:effectExtent l="0" t="0" r="12700" b="6350"/>
                <wp:docPr id="24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46" name="Line 2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678D32" id="Group_x0020_2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ANLFbV/AgAAmAUAAA4A&#10;AAAAAAAAAAAAAAAALAIAAGRycy9lMm9Eb2MueG1sUEsBAi0AFAAGAAgAAAAhAEynsJDZAAAAAwEA&#10;AA8AAAAAAAAAAAAAAAAA1wQAAGRycy9kb3ducmV2LnhtbFBLBQYAAAAABAAEAPMAAADdBQAAAAA=&#10;">
                <v:line id="Line_x0020_2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6sJsYAAADcAAAADwAAAGRycy9kb3ducmV2LnhtbESP3WrCQBSE7wu+w3KE3hTdVIuU6Coi&#10;FIoX/qUPcMyeJqG7Z2N2NdGnd4WCl8PMfMPMFp014kKNrxwreB8mIIhzpysuFPxkX4NPED4gazSO&#10;ScGVPCzmvZcZptq1vKfLIRQiQtinqKAMoU6l9HlJFv3Q1cTR+3WNxRBlU0jdYBvh1shRkkykxYrj&#10;Qok1rUrK/w5nqyA7vQWz265Nm22PY3k8bca380ap1363nIII1IVn+L/9rRWMPibwOBOPgJ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purCbGAAAA3AAAAA8AAAAAAAAA&#10;AAAAAAAAoQIAAGRycy9kb3ducmV2LnhtbFBLBQYAAAAABAAEAPkAAACUAwAAAAA=&#10;" strokecolor="#231f20" strokeweight=".5pt"/>
                <w10:anchorlock/>
              </v:group>
            </w:pict>
          </mc:Fallback>
        </mc:AlternateContent>
      </w:r>
    </w:p>
    <w:p w14:paraId="61550ECC" w14:textId="77777777" w:rsidR="00DE575E" w:rsidRDefault="00DE575E">
      <w:pPr>
        <w:pStyle w:val="BodyText"/>
        <w:spacing w:before="7"/>
        <w:rPr>
          <w:rFonts w:ascii="AdonisC"/>
          <w:i/>
          <w:sz w:val="19"/>
        </w:rPr>
      </w:pPr>
    </w:p>
    <w:p w14:paraId="17258D31" w14:textId="77777777" w:rsidR="00DE575E" w:rsidRDefault="002E7560">
      <w:pPr>
        <w:pStyle w:val="ListParagraph"/>
        <w:numPr>
          <w:ilvl w:val="1"/>
          <w:numId w:val="40"/>
        </w:numPr>
        <w:tabs>
          <w:tab w:val="left" w:pos="818"/>
        </w:tabs>
        <w:spacing w:line="252" w:lineRule="auto"/>
        <w:ind w:left="250" w:right="410" w:firstLine="283"/>
        <w:jc w:val="both"/>
        <w:rPr>
          <w:sz w:val="21"/>
        </w:rPr>
      </w:pPr>
      <w:r>
        <w:rPr>
          <w:color w:val="231F20"/>
          <w:sz w:val="21"/>
        </w:rPr>
        <w:t>учинення проступку під впливом погрози, примусу або через службову чи іншу</w:t>
      </w:r>
      <w:r>
        <w:rPr>
          <w:color w:val="231F20"/>
          <w:spacing w:val="-1"/>
          <w:sz w:val="21"/>
        </w:rPr>
        <w:t xml:space="preserve"> </w:t>
      </w:r>
      <w:r>
        <w:rPr>
          <w:color w:val="231F20"/>
          <w:sz w:val="21"/>
        </w:rPr>
        <w:t>залежність;</w:t>
      </w:r>
    </w:p>
    <w:p w14:paraId="16A6458E" w14:textId="77777777" w:rsidR="00DE575E" w:rsidRDefault="002E7560">
      <w:pPr>
        <w:pStyle w:val="ListParagraph"/>
        <w:numPr>
          <w:ilvl w:val="1"/>
          <w:numId w:val="40"/>
        </w:numPr>
        <w:tabs>
          <w:tab w:val="left" w:pos="818"/>
        </w:tabs>
        <w:spacing w:line="252" w:lineRule="auto"/>
        <w:ind w:right="411" w:firstLine="0"/>
        <w:jc w:val="left"/>
        <w:rPr>
          <w:sz w:val="21"/>
        </w:rPr>
      </w:pPr>
      <w:r>
        <w:rPr>
          <w:color w:val="231F20"/>
          <w:sz w:val="21"/>
        </w:rPr>
        <w:t>учинення проступку внаслідок неправомірних дій керівника. Під час застосування дисциплінарного стягнення можуть</w:t>
      </w:r>
      <w:r>
        <w:rPr>
          <w:color w:val="231F20"/>
          <w:spacing w:val="10"/>
          <w:sz w:val="21"/>
        </w:rPr>
        <w:t xml:space="preserve"> </w:t>
      </w:r>
      <w:r>
        <w:rPr>
          <w:color w:val="231F20"/>
          <w:sz w:val="21"/>
        </w:rPr>
        <w:t>урахо-</w:t>
      </w:r>
    </w:p>
    <w:p w14:paraId="03C70745" w14:textId="77777777" w:rsidR="00DE575E" w:rsidRDefault="002E7560">
      <w:pPr>
        <w:pStyle w:val="BodyText"/>
        <w:spacing w:before="1" w:line="252" w:lineRule="auto"/>
        <w:ind w:left="250"/>
      </w:pPr>
      <w:r>
        <w:rPr>
          <w:color w:val="231F20"/>
        </w:rPr>
        <w:t>вуватися також й інші обставини, що пом’якшують відповідальність службовця.</w:t>
      </w:r>
    </w:p>
    <w:p w14:paraId="056E9BC4" w14:textId="77777777" w:rsidR="00DE575E" w:rsidRDefault="002E7560">
      <w:pPr>
        <w:pStyle w:val="Heading6"/>
        <w:spacing w:line="252" w:lineRule="auto"/>
        <w:ind w:left="250" w:right="411"/>
        <w:jc w:val="both"/>
      </w:pPr>
      <w:r>
        <w:rPr>
          <w:color w:val="231F20"/>
        </w:rPr>
        <w:t xml:space="preserve">Обставинами, що обтяжують відповідальність держслуж- </w:t>
      </w:r>
      <w:r>
        <w:rPr>
          <w:color w:val="231F20"/>
        </w:rPr>
        <w:t>бовця, є:</w:t>
      </w:r>
    </w:p>
    <w:p w14:paraId="7F5A5C6E" w14:textId="77777777" w:rsidR="00DE575E" w:rsidRDefault="002E7560">
      <w:pPr>
        <w:pStyle w:val="ListParagraph"/>
        <w:numPr>
          <w:ilvl w:val="0"/>
          <w:numId w:val="36"/>
        </w:numPr>
        <w:tabs>
          <w:tab w:val="left" w:pos="818"/>
        </w:tabs>
        <w:spacing w:line="252" w:lineRule="auto"/>
        <w:ind w:right="411" w:firstLine="283"/>
        <w:jc w:val="both"/>
        <w:rPr>
          <w:sz w:val="21"/>
        </w:rPr>
      </w:pPr>
      <w:r>
        <w:rPr>
          <w:color w:val="231F20"/>
          <w:sz w:val="21"/>
        </w:rPr>
        <w:t>учинення дисциплінарного проступку у стані алкогольного сп’яніння або у стані, викликаному вживанням наркотичних або</w:t>
      </w:r>
      <w:r>
        <w:rPr>
          <w:color w:val="231F20"/>
          <w:sz w:val="21"/>
        </w:rPr>
        <w:t xml:space="preserve"> токсичних</w:t>
      </w:r>
      <w:r>
        <w:rPr>
          <w:color w:val="231F20"/>
          <w:spacing w:val="-2"/>
          <w:sz w:val="21"/>
        </w:rPr>
        <w:t xml:space="preserve"> </w:t>
      </w:r>
      <w:r>
        <w:rPr>
          <w:color w:val="231F20"/>
          <w:sz w:val="21"/>
        </w:rPr>
        <w:t>засобів;</w:t>
      </w:r>
    </w:p>
    <w:p w14:paraId="4898EAEF" w14:textId="77777777" w:rsidR="00DE575E" w:rsidRDefault="002E7560">
      <w:pPr>
        <w:pStyle w:val="ListParagraph"/>
        <w:numPr>
          <w:ilvl w:val="0"/>
          <w:numId w:val="36"/>
        </w:numPr>
        <w:tabs>
          <w:tab w:val="left" w:pos="818"/>
        </w:tabs>
        <w:spacing w:line="252" w:lineRule="auto"/>
        <w:ind w:right="411" w:firstLine="283"/>
        <w:jc w:val="both"/>
        <w:rPr>
          <w:sz w:val="21"/>
        </w:rPr>
      </w:pPr>
      <w:r>
        <w:rPr>
          <w:color w:val="231F20"/>
          <w:sz w:val="21"/>
        </w:rPr>
        <w:t>учинення дисциплінарного проступку  повторно,  до  зняття  в установленому порядку попереднього</w:t>
      </w:r>
      <w:r>
        <w:rPr>
          <w:color w:val="231F20"/>
          <w:spacing w:val="-3"/>
          <w:sz w:val="21"/>
        </w:rPr>
        <w:t xml:space="preserve"> </w:t>
      </w:r>
      <w:r>
        <w:rPr>
          <w:color w:val="231F20"/>
          <w:sz w:val="21"/>
        </w:rPr>
        <w:t>стягнення;</w:t>
      </w:r>
    </w:p>
    <w:p w14:paraId="2D79C025" w14:textId="77777777" w:rsidR="00DE575E" w:rsidRDefault="002E7560">
      <w:pPr>
        <w:pStyle w:val="ListParagraph"/>
        <w:numPr>
          <w:ilvl w:val="0"/>
          <w:numId w:val="36"/>
        </w:numPr>
        <w:tabs>
          <w:tab w:val="left" w:pos="818"/>
        </w:tabs>
        <w:spacing w:line="252" w:lineRule="auto"/>
        <w:ind w:right="410" w:firstLine="283"/>
        <w:jc w:val="both"/>
        <w:rPr>
          <w:sz w:val="21"/>
        </w:rPr>
      </w:pPr>
      <w:r>
        <w:rPr>
          <w:color w:val="231F20"/>
          <w:sz w:val="21"/>
        </w:rPr>
        <w:t>учинення проступку умисно на ґрунті особистої неприязні до іншого державного службовця, зокрема керівника, чи помсти за дії або р</w:t>
      </w:r>
      <w:r>
        <w:rPr>
          <w:color w:val="231F20"/>
          <w:sz w:val="21"/>
        </w:rPr>
        <w:t>ішення щодо</w:t>
      </w:r>
      <w:r>
        <w:rPr>
          <w:color w:val="231F20"/>
          <w:spacing w:val="-4"/>
          <w:sz w:val="21"/>
        </w:rPr>
        <w:t xml:space="preserve"> </w:t>
      </w:r>
      <w:r>
        <w:rPr>
          <w:color w:val="231F20"/>
          <w:sz w:val="21"/>
        </w:rPr>
        <w:t>нього;</w:t>
      </w:r>
    </w:p>
    <w:p w14:paraId="32CD25CE" w14:textId="77777777" w:rsidR="00DE575E" w:rsidRDefault="002E7560">
      <w:pPr>
        <w:pStyle w:val="ListParagraph"/>
        <w:numPr>
          <w:ilvl w:val="0"/>
          <w:numId w:val="36"/>
        </w:numPr>
        <w:tabs>
          <w:tab w:val="left" w:pos="818"/>
        </w:tabs>
        <w:spacing w:before="2" w:line="252" w:lineRule="auto"/>
        <w:ind w:right="411" w:firstLine="283"/>
        <w:jc w:val="both"/>
        <w:rPr>
          <w:sz w:val="21"/>
        </w:rPr>
      </w:pPr>
      <w:r>
        <w:rPr>
          <w:color w:val="231F20"/>
          <w:sz w:val="21"/>
        </w:rPr>
        <w:t>учинення проступку умисно з мотивів неповаги до держави   й суспільства, прав і свобод людини, окремих соціальних</w:t>
      </w:r>
      <w:r>
        <w:rPr>
          <w:color w:val="231F20"/>
          <w:spacing w:val="-17"/>
          <w:sz w:val="21"/>
        </w:rPr>
        <w:t xml:space="preserve"> </w:t>
      </w:r>
      <w:r>
        <w:rPr>
          <w:color w:val="231F20"/>
          <w:sz w:val="21"/>
        </w:rPr>
        <w:t>груп;</w:t>
      </w:r>
    </w:p>
    <w:p w14:paraId="03302BED" w14:textId="77777777" w:rsidR="00DE575E" w:rsidRDefault="002E7560">
      <w:pPr>
        <w:pStyle w:val="ListParagraph"/>
        <w:numPr>
          <w:ilvl w:val="0"/>
          <w:numId w:val="36"/>
        </w:numPr>
        <w:tabs>
          <w:tab w:val="left" w:pos="818"/>
        </w:tabs>
        <w:spacing w:line="252" w:lineRule="auto"/>
        <w:ind w:right="410" w:firstLine="283"/>
        <w:jc w:val="both"/>
        <w:rPr>
          <w:sz w:val="21"/>
        </w:rPr>
      </w:pPr>
      <w:r>
        <w:rPr>
          <w:color w:val="231F20"/>
          <w:sz w:val="21"/>
        </w:rPr>
        <w:t>настання тяжких наслідків або заподіяння збитків унаслідок учинення дисциплінарного</w:t>
      </w:r>
      <w:r>
        <w:rPr>
          <w:color w:val="231F20"/>
          <w:spacing w:val="-2"/>
          <w:sz w:val="21"/>
        </w:rPr>
        <w:t xml:space="preserve"> </w:t>
      </w:r>
      <w:r>
        <w:rPr>
          <w:color w:val="231F20"/>
          <w:sz w:val="21"/>
        </w:rPr>
        <w:t>проступку.</w:t>
      </w:r>
    </w:p>
    <w:p w14:paraId="6A11DFA3" w14:textId="77777777" w:rsidR="00DE575E" w:rsidRDefault="002E7560">
      <w:pPr>
        <w:pStyle w:val="BodyText"/>
        <w:spacing w:before="1" w:line="252" w:lineRule="auto"/>
        <w:ind w:left="250" w:right="411" w:firstLine="283"/>
        <w:jc w:val="both"/>
      </w:pPr>
      <w:r>
        <w:rPr>
          <w:color w:val="231F20"/>
          <w:spacing w:val="-3"/>
        </w:rPr>
        <w:t>Перед</w:t>
      </w:r>
      <w:r>
        <w:rPr>
          <w:color w:val="231F20"/>
          <w:spacing w:val="-10"/>
        </w:rPr>
        <w:t xml:space="preserve"> </w:t>
      </w:r>
      <w:r>
        <w:rPr>
          <w:color w:val="231F20"/>
          <w:spacing w:val="-3"/>
        </w:rPr>
        <w:t>ухваленням</w:t>
      </w:r>
      <w:r>
        <w:rPr>
          <w:color w:val="231F20"/>
          <w:spacing w:val="-10"/>
        </w:rPr>
        <w:t xml:space="preserve"> </w:t>
      </w:r>
      <w:r>
        <w:rPr>
          <w:color w:val="231F20"/>
          <w:spacing w:val="-3"/>
        </w:rPr>
        <w:t>рішен</w:t>
      </w:r>
      <w:r>
        <w:rPr>
          <w:color w:val="231F20"/>
          <w:spacing w:val="-3"/>
        </w:rPr>
        <w:t>ня</w:t>
      </w:r>
      <w:r>
        <w:rPr>
          <w:color w:val="231F20"/>
          <w:spacing w:val="-10"/>
        </w:rPr>
        <w:t xml:space="preserve"> </w:t>
      </w:r>
      <w:r>
        <w:rPr>
          <w:color w:val="231F20"/>
        </w:rPr>
        <w:t>про</w:t>
      </w:r>
      <w:r>
        <w:rPr>
          <w:color w:val="231F20"/>
          <w:spacing w:val="-10"/>
        </w:rPr>
        <w:t xml:space="preserve"> </w:t>
      </w:r>
      <w:r>
        <w:rPr>
          <w:color w:val="231F20"/>
          <w:spacing w:val="-3"/>
        </w:rPr>
        <w:t>накладення</w:t>
      </w:r>
      <w:r>
        <w:rPr>
          <w:color w:val="231F20"/>
          <w:spacing w:val="-10"/>
        </w:rPr>
        <w:t xml:space="preserve"> </w:t>
      </w:r>
      <w:r>
        <w:rPr>
          <w:color w:val="231F20"/>
        </w:rPr>
        <w:t>на</w:t>
      </w:r>
      <w:r>
        <w:rPr>
          <w:color w:val="231F20"/>
          <w:spacing w:val="-10"/>
        </w:rPr>
        <w:t xml:space="preserve"> </w:t>
      </w:r>
      <w:r>
        <w:rPr>
          <w:color w:val="231F20"/>
        </w:rPr>
        <w:t>нього</w:t>
      </w:r>
      <w:r>
        <w:rPr>
          <w:color w:val="231F20"/>
          <w:spacing w:val="-10"/>
        </w:rPr>
        <w:t xml:space="preserve"> </w:t>
      </w:r>
      <w:r>
        <w:rPr>
          <w:color w:val="231F20"/>
          <w:spacing w:val="-3"/>
        </w:rPr>
        <w:t xml:space="preserve">дисциплінар- </w:t>
      </w:r>
      <w:r>
        <w:rPr>
          <w:color w:val="231F20"/>
        </w:rPr>
        <w:t xml:space="preserve">ного </w:t>
      </w:r>
      <w:r>
        <w:rPr>
          <w:color w:val="231F20"/>
          <w:spacing w:val="-3"/>
        </w:rPr>
        <w:t xml:space="preserve">стягнення державний службовець  </w:t>
      </w:r>
      <w:r>
        <w:rPr>
          <w:color w:val="231F20"/>
        </w:rPr>
        <w:t xml:space="preserve">має </w:t>
      </w:r>
      <w:r>
        <w:rPr>
          <w:color w:val="231F20"/>
          <w:spacing w:val="-3"/>
        </w:rPr>
        <w:t xml:space="preserve">право  </w:t>
      </w:r>
      <w:r>
        <w:rPr>
          <w:color w:val="231F20"/>
        </w:rPr>
        <w:t xml:space="preserve">на </w:t>
      </w:r>
      <w:r>
        <w:rPr>
          <w:color w:val="231F20"/>
          <w:spacing w:val="-3"/>
        </w:rPr>
        <w:t xml:space="preserve">ознайомлення </w:t>
      </w:r>
      <w:r>
        <w:rPr>
          <w:color w:val="231F20"/>
        </w:rPr>
        <w:t xml:space="preserve">з </w:t>
      </w:r>
      <w:r>
        <w:rPr>
          <w:color w:val="231F20"/>
          <w:spacing w:val="-4"/>
        </w:rPr>
        <w:t xml:space="preserve">усіма </w:t>
      </w:r>
      <w:r>
        <w:rPr>
          <w:color w:val="231F20"/>
          <w:spacing w:val="-3"/>
        </w:rPr>
        <w:t xml:space="preserve">матеріалами дисциплінарної справи. </w:t>
      </w:r>
      <w:r>
        <w:rPr>
          <w:color w:val="231F20"/>
        </w:rPr>
        <w:t xml:space="preserve">За </w:t>
      </w:r>
      <w:r>
        <w:rPr>
          <w:color w:val="231F20"/>
          <w:spacing w:val="-5"/>
        </w:rPr>
        <w:t xml:space="preserve">результатами </w:t>
      </w:r>
      <w:r>
        <w:rPr>
          <w:color w:val="231F20"/>
          <w:spacing w:val="-3"/>
        </w:rPr>
        <w:t xml:space="preserve">такого </w:t>
      </w:r>
      <w:r>
        <w:rPr>
          <w:color w:val="231F20"/>
        </w:rPr>
        <w:t xml:space="preserve">ознайомлення він має </w:t>
      </w:r>
      <w:r>
        <w:rPr>
          <w:color w:val="231F20"/>
          <w:spacing w:val="-3"/>
        </w:rPr>
        <w:t xml:space="preserve">право вносити </w:t>
      </w:r>
      <w:r>
        <w:rPr>
          <w:color w:val="231F20"/>
          <w:spacing w:val="-4"/>
        </w:rPr>
        <w:t xml:space="preserve">зауваження </w:t>
      </w:r>
      <w:r>
        <w:rPr>
          <w:color w:val="231F20"/>
        </w:rPr>
        <w:t xml:space="preserve">до </w:t>
      </w:r>
      <w:r>
        <w:rPr>
          <w:color w:val="231F20"/>
          <w:spacing w:val="-5"/>
        </w:rPr>
        <w:t xml:space="preserve">висновку, </w:t>
      </w:r>
      <w:r>
        <w:rPr>
          <w:color w:val="231F20"/>
          <w:spacing w:val="-3"/>
        </w:rPr>
        <w:t>клопо- тання</w:t>
      </w:r>
      <w:r>
        <w:rPr>
          <w:color w:val="231F20"/>
          <w:spacing w:val="-11"/>
        </w:rPr>
        <w:t xml:space="preserve"> </w:t>
      </w:r>
      <w:r>
        <w:rPr>
          <w:color w:val="231F20"/>
        </w:rPr>
        <w:t>про</w:t>
      </w:r>
      <w:r>
        <w:rPr>
          <w:color w:val="231F20"/>
          <w:spacing w:val="-10"/>
        </w:rPr>
        <w:t xml:space="preserve"> </w:t>
      </w:r>
      <w:r>
        <w:rPr>
          <w:color w:val="231F20"/>
          <w:spacing w:val="-3"/>
        </w:rPr>
        <w:t>вжиття</w:t>
      </w:r>
      <w:r>
        <w:rPr>
          <w:color w:val="231F20"/>
          <w:spacing w:val="-10"/>
        </w:rPr>
        <w:t xml:space="preserve"> </w:t>
      </w:r>
      <w:r>
        <w:rPr>
          <w:color w:val="231F20"/>
          <w:spacing w:val="-3"/>
        </w:rPr>
        <w:t>додаткових</w:t>
      </w:r>
      <w:r>
        <w:rPr>
          <w:color w:val="231F20"/>
          <w:spacing w:val="-10"/>
        </w:rPr>
        <w:t xml:space="preserve"> </w:t>
      </w:r>
      <w:r>
        <w:rPr>
          <w:color w:val="231F20"/>
          <w:spacing w:val="-4"/>
        </w:rPr>
        <w:t>заходів</w:t>
      </w:r>
      <w:r>
        <w:rPr>
          <w:color w:val="231F20"/>
          <w:spacing w:val="-10"/>
        </w:rPr>
        <w:t xml:space="preserve"> </w:t>
      </w:r>
      <w:r>
        <w:rPr>
          <w:color w:val="231F20"/>
        </w:rPr>
        <w:t>для</w:t>
      </w:r>
      <w:r>
        <w:rPr>
          <w:color w:val="231F20"/>
          <w:spacing w:val="-10"/>
        </w:rPr>
        <w:t xml:space="preserve"> </w:t>
      </w:r>
      <w:r>
        <w:rPr>
          <w:color w:val="231F20"/>
          <w:spacing w:val="-3"/>
        </w:rPr>
        <w:t>встановлення</w:t>
      </w:r>
      <w:r>
        <w:rPr>
          <w:color w:val="231F20"/>
          <w:spacing w:val="-10"/>
        </w:rPr>
        <w:t xml:space="preserve"> </w:t>
      </w:r>
      <w:r>
        <w:rPr>
          <w:color w:val="231F20"/>
        </w:rPr>
        <w:t>обставин,</w:t>
      </w:r>
      <w:r>
        <w:rPr>
          <w:color w:val="231F20"/>
          <w:spacing w:val="-10"/>
        </w:rPr>
        <w:t xml:space="preserve"> </w:t>
      </w:r>
      <w:r>
        <w:rPr>
          <w:color w:val="231F20"/>
          <w:spacing w:val="-3"/>
        </w:rPr>
        <w:t xml:space="preserve">які мають значення </w:t>
      </w:r>
      <w:r>
        <w:rPr>
          <w:color w:val="231F20"/>
        </w:rPr>
        <w:t xml:space="preserve">для </w:t>
      </w:r>
      <w:r>
        <w:rPr>
          <w:color w:val="231F20"/>
          <w:spacing w:val="-3"/>
        </w:rPr>
        <w:t xml:space="preserve">справи, надавати </w:t>
      </w:r>
      <w:r>
        <w:rPr>
          <w:color w:val="231F20"/>
          <w:spacing w:val="-4"/>
        </w:rPr>
        <w:t xml:space="preserve">додаткові </w:t>
      </w:r>
      <w:r>
        <w:rPr>
          <w:color w:val="231F20"/>
          <w:spacing w:val="-3"/>
        </w:rPr>
        <w:t xml:space="preserve">пояснення </w:t>
      </w:r>
      <w:r>
        <w:rPr>
          <w:color w:val="231F20"/>
        </w:rPr>
        <w:t xml:space="preserve">та </w:t>
      </w:r>
      <w:r>
        <w:rPr>
          <w:color w:val="231F20"/>
          <w:spacing w:val="-4"/>
        </w:rPr>
        <w:t xml:space="preserve">додат- </w:t>
      </w:r>
      <w:r>
        <w:rPr>
          <w:color w:val="231F20"/>
        </w:rPr>
        <w:t xml:space="preserve">кові </w:t>
      </w:r>
      <w:r>
        <w:rPr>
          <w:color w:val="231F20"/>
          <w:spacing w:val="-3"/>
        </w:rPr>
        <w:t xml:space="preserve">документи </w:t>
      </w:r>
      <w:r>
        <w:rPr>
          <w:color w:val="231F20"/>
        </w:rPr>
        <w:t xml:space="preserve">і </w:t>
      </w:r>
      <w:r>
        <w:rPr>
          <w:color w:val="231F20"/>
          <w:spacing w:val="-3"/>
        </w:rPr>
        <w:t xml:space="preserve">матеріали, </w:t>
      </w:r>
      <w:r>
        <w:rPr>
          <w:color w:val="231F20"/>
        </w:rPr>
        <w:t xml:space="preserve">що </w:t>
      </w:r>
      <w:r>
        <w:rPr>
          <w:color w:val="231F20"/>
          <w:spacing w:val="-3"/>
        </w:rPr>
        <w:t xml:space="preserve">стосуються зазначених </w:t>
      </w:r>
      <w:r>
        <w:rPr>
          <w:color w:val="231F20"/>
        </w:rPr>
        <w:t xml:space="preserve">обставин, </w:t>
      </w:r>
      <w:r>
        <w:rPr>
          <w:color w:val="231F20"/>
          <w:spacing w:val="-3"/>
        </w:rPr>
        <w:t xml:space="preserve">які долучаються </w:t>
      </w:r>
      <w:r>
        <w:rPr>
          <w:color w:val="231F20"/>
        </w:rPr>
        <w:t xml:space="preserve">до </w:t>
      </w:r>
      <w:r>
        <w:rPr>
          <w:color w:val="231F20"/>
          <w:spacing w:val="-3"/>
        </w:rPr>
        <w:t xml:space="preserve">справи. Крім </w:t>
      </w:r>
      <w:r>
        <w:rPr>
          <w:color w:val="231F20"/>
        </w:rPr>
        <w:t xml:space="preserve">того </w:t>
      </w:r>
      <w:r>
        <w:rPr>
          <w:color w:val="231F20"/>
          <w:spacing w:val="-3"/>
        </w:rPr>
        <w:t xml:space="preserve">державний службовець також має право </w:t>
      </w:r>
      <w:r>
        <w:rPr>
          <w:color w:val="231F20"/>
        </w:rPr>
        <w:t xml:space="preserve">на </w:t>
      </w:r>
      <w:r>
        <w:rPr>
          <w:color w:val="231F20"/>
          <w:spacing w:val="-3"/>
        </w:rPr>
        <w:t xml:space="preserve">оскарження застосованого </w:t>
      </w:r>
      <w:r>
        <w:rPr>
          <w:color w:val="231F20"/>
        </w:rPr>
        <w:t xml:space="preserve">до нього </w:t>
      </w:r>
      <w:r>
        <w:rPr>
          <w:color w:val="231F20"/>
          <w:spacing w:val="-3"/>
        </w:rPr>
        <w:t xml:space="preserve">дисциплінарного </w:t>
      </w:r>
      <w:r>
        <w:rPr>
          <w:color w:val="231F20"/>
          <w:spacing w:val="-4"/>
        </w:rPr>
        <w:t xml:space="preserve">стяг- </w:t>
      </w:r>
      <w:r>
        <w:rPr>
          <w:color w:val="231F20"/>
          <w:spacing w:val="-3"/>
        </w:rPr>
        <w:t xml:space="preserve">нення </w:t>
      </w:r>
      <w:r>
        <w:rPr>
          <w:color w:val="231F20"/>
        </w:rPr>
        <w:t xml:space="preserve">у </w:t>
      </w:r>
      <w:r>
        <w:rPr>
          <w:color w:val="231F20"/>
          <w:spacing w:val="-3"/>
        </w:rPr>
        <w:t xml:space="preserve">визначеному законом </w:t>
      </w:r>
      <w:r>
        <w:rPr>
          <w:color w:val="231F20"/>
          <w:spacing w:val="-5"/>
        </w:rPr>
        <w:t xml:space="preserve">порядку. </w:t>
      </w:r>
      <w:r>
        <w:rPr>
          <w:color w:val="231F20"/>
          <w:spacing w:val="-3"/>
        </w:rPr>
        <w:t xml:space="preserve">Скарга </w:t>
      </w:r>
      <w:r>
        <w:rPr>
          <w:color w:val="231F20"/>
          <w:spacing w:val="-4"/>
        </w:rPr>
        <w:t xml:space="preserve">подається  упродовж </w:t>
      </w:r>
      <w:r>
        <w:rPr>
          <w:color w:val="231F20"/>
        </w:rPr>
        <w:t xml:space="preserve">10 </w:t>
      </w:r>
      <w:r>
        <w:rPr>
          <w:color w:val="231F20"/>
          <w:spacing w:val="-3"/>
        </w:rPr>
        <w:t xml:space="preserve">календарних днів після </w:t>
      </w:r>
      <w:r>
        <w:rPr>
          <w:color w:val="231F20"/>
          <w:spacing w:val="-4"/>
        </w:rPr>
        <w:t xml:space="preserve">одержання </w:t>
      </w:r>
      <w:r>
        <w:rPr>
          <w:color w:val="231F20"/>
          <w:spacing w:val="-3"/>
        </w:rPr>
        <w:t xml:space="preserve">державним службовцем </w:t>
      </w:r>
      <w:r>
        <w:rPr>
          <w:color w:val="231F20"/>
          <w:spacing w:val="-4"/>
        </w:rPr>
        <w:t xml:space="preserve">копії </w:t>
      </w:r>
      <w:r>
        <w:rPr>
          <w:color w:val="231F20"/>
          <w:spacing w:val="-3"/>
        </w:rPr>
        <w:t xml:space="preserve">наказу (розпорядження) </w:t>
      </w:r>
      <w:r>
        <w:rPr>
          <w:color w:val="231F20"/>
        </w:rPr>
        <w:t xml:space="preserve">про </w:t>
      </w:r>
      <w:r>
        <w:rPr>
          <w:color w:val="231F20"/>
          <w:spacing w:val="-3"/>
        </w:rPr>
        <w:t xml:space="preserve">накладення дисциплінарного </w:t>
      </w:r>
      <w:r>
        <w:rPr>
          <w:color w:val="231F20"/>
          <w:spacing w:val="-4"/>
        </w:rPr>
        <w:t xml:space="preserve">стяг- </w:t>
      </w:r>
      <w:r>
        <w:rPr>
          <w:color w:val="231F20"/>
          <w:spacing w:val="-3"/>
        </w:rPr>
        <w:t>нення.</w:t>
      </w:r>
      <w:r>
        <w:rPr>
          <w:color w:val="231F20"/>
          <w:spacing w:val="-12"/>
        </w:rPr>
        <w:t xml:space="preserve"> </w:t>
      </w:r>
      <w:r>
        <w:rPr>
          <w:color w:val="231F20"/>
        </w:rPr>
        <w:t>При</w:t>
      </w:r>
      <w:r>
        <w:rPr>
          <w:color w:val="231F20"/>
          <w:spacing w:val="-12"/>
        </w:rPr>
        <w:t xml:space="preserve"> </w:t>
      </w:r>
      <w:r>
        <w:rPr>
          <w:color w:val="231F20"/>
        </w:rPr>
        <w:t>ць</w:t>
      </w:r>
      <w:r>
        <w:rPr>
          <w:color w:val="231F20"/>
        </w:rPr>
        <w:t>ому</w:t>
      </w:r>
      <w:r>
        <w:rPr>
          <w:color w:val="231F20"/>
          <w:spacing w:val="-12"/>
        </w:rPr>
        <w:t xml:space="preserve"> </w:t>
      </w:r>
      <w:r>
        <w:rPr>
          <w:color w:val="231F20"/>
        </w:rPr>
        <w:t>він</w:t>
      </w:r>
      <w:r>
        <w:rPr>
          <w:color w:val="231F20"/>
          <w:spacing w:val="-12"/>
        </w:rPr>
        <w:t xml:space="preserve"> </w:t>
      </w:r>
      <w:r>
        <w:rPr>
          <w:color w:val="231F20"/>
          <w:spacing w:val="-3"/>
        </w:rPr>
        <w:t>може</w:t>
      </w:r>
      <w:r>
        <w:rPr>
          <w:color w:val="231F20"/>
          <w:spacing w:val="-12"/>
        </w:rPr>
        <w:t xml:space="preserve"> </w:t>
      </w:r>
      <w:r>
        <w:rPr>
          <w:color w:val="231F20"/>
          <w:spacing w:val="-3"/>
        </w:rPr>
        <w:t>користуватися</w:t>
      </w:r>
      <w:r>
        <w:rPr>
          <w:color w:val="231F20"/>
          <w:spacing w:val="-12"/>
        </w:rPr>
        <w:t xml:space="preserve"> </w:t>
      </w:r>
      <w:r>
        <w:rPr>
          <w:color w:val="231F20"/>
          <w:spacing w:val="-3"/>
        </w:rPr>
        <w:t>правовою</w:t>
      </w:r>
      <w:r>
        <w:rPr>
          <w:color w:val="231F20"/>
          <w:spacing w:val="-12"/>
        </w:rPr>
        <w:t xml:space="preserve"> </w:t>
      </w:r>
      <w:r>
        <w:rPr>
          <w:color w:val="231F20"/>
          <w:spacing w:val="-3"/>
        </w:rPr>
        <w:t>допомогою</w:t>
      </w:r>
      <w:r>
        <w:rPr>
          <w:color w:val="231F20"/>
          <w:spacing w:val="-12"/>
        </w:rPr>
        <w:t xml:space="preserve"> </w:t>
      </w:r>
      <w:r>
        <w:rPr>
          <w:color w:val="231F20"/>
          <w:spacing w:val="-3"/>
        </w:rPr>
        <w:t xml:space="preserve">адво- ката </w:t>
      </w:r>
      <w:r>
        <w:rPr>
          <w:color w:val="231F20"/>
        </w:rPr>
        <w:t xml:space="preserve">або </w:t>
      </w:r>
      <w:r>
        <w:rPr>
          <w:color w:val="231F20"/>
          <w:spacing w:val="-3"/>
        </w:rPr>
        <w:t xml:space="preserve">іншого уповноваженого </w:t>
      </w:r>
      <w:r>
        <w:rPr>
          <w:color w:val="231F20"/>
        </w:rPr>
        <w:t>ним</w:t>
      </w:r>
      <w:r>
        <w:rPr>
          <w:color w:val="231F20"/>
          <w:spacing w:val="-17"/>
        </w:rPr>
        <w:t xml:space="preserve"> </w:t>
      </w:r>
      <w:r>
        <w:rPr>
          <w:color w:val="231F20"/>
          <w:spacing w:val="-3"/>
        </w:rPr>
        <w:t>представника.</w:t>
      </w:r>
    </w:p>
    <w:p w14:paraId="4ABD676E" w14:textId="77777777" w:rsidR="00DE575E" w:rsidRDefault="002E7560">
      <w:pPr>
        <w:pStyle w:val="BodyText"/>
        <w:spacing w:before="6" w:line="252" w:lineRule="auto"/>
        <w:ind w:left="250" w:right="410" w:firstLine="283"/>
        <w:jc w:val="both"/>
      </w:pPr>
      <w:r>
        <w:rPr>
          <w:color w:val="231F20"/>
        </w:rPr>
        <w:t>Серед гарантій прав державних службовців під час застосування дисциплінарного стягнення законом визначено, що дисциплінарне стягнення не може бути застосов</w:t>
      </w:r>
      <w:r>
        <w:rPr>
          <w:color w:val="231F20"/>
        </w:rPr>
        <w:t>ано під час відсутності державного службовця на службі у зв’язку з тимчасовою непрацездатністю, під час перебування його у відпустці або у відрядженні.</w:t>
      </w:r>
    </w:p>
    <w:p w14:paraId="5F35B110" w14:textId="77777777" w:rsidR="00DE575E" w:rsidRDefault="00DE575E">
      <w:pPr>
        <w:pStyle w:val="BodyText"/>
        <w:spacing w:before="7"/>
        <w:rPr>
          <w:sz w:val="12"/>
        </w:rPr>
      </w:pPr>
    </w:p>
    <w:p w14:paraId="29D6A54E" w14:textId="77777777" w:rsidR="00DE575E" w:rsidRDefault="002E7560">
      <w:pPr>
        <w:spacing w:before="92"/>
        <w:ind w:right="411"/>
        <w:jc w:val="right"/>
        <w:rPr>
          <w:rFonts w:ascii="Times New Roman"/>
          <w:sz w:val="20"/>
        </w:rPr>
      </w:pPr>
      <w:r>
        <w:rPr>
          <w:rFonts w:ascii="Times New Roman"/>
          <w:color w:val="231F20"/>
          <w:w w:val="90"/>
          <w:sz w:val="20"/>
        </w:rPr>
        <w:t>463</w:t>
      </w:r>
    </w:p>
    <w:p w14:paraId="2A9069C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1375D0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3F88592" w14:textId="62C0EDC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CE753A5" wp14:editId="5E725202">
                <wp:extent cx="4140200" cy="6350"/>
                <wp:effectExtent l="0" t="0" r="12700" b="6350"/>
                <wp:docPr id="24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44" name="Line 2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5B6D37" id="Group_x0020_2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F1eRXH4CAACYBQAADgAA&#10;AAAAAAAAAAAAAAAsAgAAZHJzL2Uyb0RvYy54bWxQSwECLQAUAAYACAAAACEATKewkNkAAAADAQAA&#10;DwAAAAAAAAAAAAAAAADWBAAAZHJzL2Rvd25yZXYueG1sUEsFBgAAAAAEAAQA8wAAANwFAAAAAA==&#10;">
                <v:line id="Line_x0020_2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CXysYAAADcAAAADwAAAGRycy9kb3ducmV2LnhtbESP3WrCQBSE7wu+w3KE3hTdVEVKdBUR&#10;CsUL/9IHOGZPk9DdszG7mujTu0Khl8PMfMPMl5014kqNrxwreB8mIIhzpysuFHxnn4MPED4gazSO&#10;ScGNPCwXvZc5ptq1fKDrMRQiQtinqKAMoU6l9HlJFv3Q1cTR+3GNxRBlU0jdYBvh1shRkkylxYrj&#10;Qok1rUvKf48XqyA7vwWz321Mm+1OY3k6b8f3y1ap1363moEI1IX/8F/7SysYTSb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Xwl8rGAAAA3AAAAA8AAAAAAAAA&#10;AAAAAAAAoQIAAGRycy9kb3ducmV2LnhtbFBLBQYAAAAABAAEAPkAAACUAwAAAAA=&#10;" strokecolor="#231f20" strokeweight=".5pt"/>
                <w10:anchorlock/>
              </v:group>
            </w:pict>
          </mc:Fallback>
        </mc:AlternateContent>
      </w:r>
    </w:p>
    <w:p w14:paraId="30291C71" w14:textId="77777777" w:rsidR="00DE575E" w:rsidRDefault="00DE575E">
      <w:pPr>
        <w:pStyle w:val="BodyText"/>
        <w:rPr>
          <w:rFonts w:ascii="AdonisC"/>
          <w:i/>
          <w:sz w:val="19"/>
        </w:rPr>
      </w:pPr>
    </w:p>
    <w:p w14:paraId="3434D74B" w14:textId="77777777" w:rsidR="00DE575E" w:rsidRDefault="002E7560">
      <w:pPr>
        <w:pStyle w:val="Heading4"/>
        <w:numPr>
          <w:ilvl w:val="1"/>
          <w:numId w:val="42"/>
        </w:numPr>
        <w:tabs>
          <w:tab w:val="left" w:pos="1138"/>
        </w:tabs>
        <w:ind w:left="1137" w:hanging="410"/>
        <w:jc w:val="left"/>
      </w:pPr>
      <w:r>
        <w:rPr>
          <w:color w:val="231F20"/>
        </w:rPr>
        <w:t>Матеріальна відповідальність державних</w:t>
      </w:r>
      <w:r>
        <w:rPr>
          <w:color w:val="231F20"/>
          <w:spacing w:val="-4"/>
        </w:rPr>
        <w:t xml:space="preserve"> </w:t>
      </w:r>
      <w:r>
        <w:rPr>
          <w:color w:val="231F20"/>
        </w:rPr>
        <w:t>службовців</w:t>
      </w:r>
    </w:p>
    <w:p w14:paraId="6A343395" w14:textId="77777777" w:rsidR="00DE575E" w:rsidRDefault="00DE575E">
      <w:pPr>
        <w:pStyle w:val="BodyText"/>
        <w:rPr>
          <w:b/>
          <w:sz w:val="26"/>
        </w:rPr>
      </w:pPr>
    </w:p>
    <w:p w14:paraId="6FABC513" w14:textId="77777777" w:rsidR="00DE575E" w:rsidRDefault="002E7560">
      <w:pPr>
        <w:pStyle w:val="BodyText"/>
        <w:spacing w:before="224" w:line="252" w:lineRule="auto"/>
        <w:ind w:left="533" w:right="122" w:firstLine="283"/>
        <w:jc w:val="both"/>
      </w:pPr>
      <w:r>
        <w:rPr>
          <w:color w:val="231F20"/>
          <w:spacing w:val="1"/>
        </w:rPr>
        <w:t xml:space="preserve">Законом «Про державну </w:t>
      </w:r>
      <w:r>
        <w:rPr>
          <w:color w:val="231F20"/>
          <w:spacing w:val="2"/>
        </w:rPr>
        <w:t xml:space="preserve">службу» </w:t>
      </w:r>
      <w:r>
        <w:rPr>
          <w:color w:val="231F20"/>
          <w:spacing w:val="1"/>
        </w:rPr>
        <w:t xml:space="preserve">визначено, </w:t>
      </w:r>
      <w:r>
        <w:rPr>
          <w:color w:val="231F20"/>
        </w:rPr>
        <w:t xml:space="preserve">що в </w:t>
      </w:r>
      <w:r>
        <w:rPr>
          <w:color w:val="231F20"/>
          <w:spacing w:val="1"/>
        </w:rPr>
        <w:t xml:space="preserve">разі запо- діяння фізичним </w:t>
      </w:r>
      <w:r>
        <w:rPr>
          <w:color w:val="231F20"/>
        </w:rPr>
        <w:t xml:space="preserve">або </w:t>
      </w:r>
      <w:r>
        <w:rPr>
          <w:color w:val="231F20"/>
          <w:spacing w:val="1"/>
        </w:rPr>
        <w:t xml:space="preserve">юридичним особам незаконними рішен- нями, діями </w:t>
      </w:r>
      <w:r>
        <w:rPr>
          <w:color w:val="231F20"/>
        </w:rPr>
        <w:t xml:space="preserve">чи </w:t>
      </w:r>
      <w:r>
        <w:rPr>
          <w:color w:val="231F20"/>
          <w:spacing w:val="1"/>
        </w:rPr>
        <w:t xml:space="preserve">бездіяльністю державних службовців </w:t>
      </w:r>
      <w:r>
        <w:rPr>
          <w:color w:val="231F20"/>
        </w:rPr>
        <w:t xml:space="preserve">під </w:t>
      </w:r>
      <w:r>
        <w:rPr>
          <w:color w:val="231F20"/>
          <w:spacing w:val="2"/>
        </w:rPr>
        <w:t>ч</w:t>
      </w:r>
      <w:r>
        <w:rPr>
          <w:color w:val="231F20"/>
          <w:spacing w:val="2"/>
        </w:rPr>
        <w:t xml:space="preserve">ас </w:t>
      </w:r>
      <w:r>
        <w:rPr>
          <w:color w:val="231F20"/>
          <w:spacing w:val="1"/>
        </w:rPr>
        <w:t xml:space="preserve">здійснення ними своїх повноважень матеріальної </w:t>
      </w:r>
      <w:r>
        <w:rPr>
          <w:color w:val="231F20"/>
        </w:rPr>
        <w:t xml:space="preserve">чи </w:t>
      </w:r>
      <w:r>
        <w:rPr>
          <w:color w:val="231F20"/>
          <w:spacing w:val="2"/>
        </w:rPr>
        <w:t xml:space="preserve">моральної </w:t>
      </w:r>
      <w:r>
        <w:rPr>
          <w:color w:val="231F20"/>
        </w:rPr>
        <w:t xml:space="preserve">шкоди, </w:t>
      </w:r>
      <w:r>
        <w:rPr>
          <w:color w:val="231F20"/>
          <w:spacing w:val="1"/>
        </w:rPr>
        <w:t xml:space="preserve">вона відшкодовується </w:t>
      </w:r>
      <w:r>
        <w:rPr>
          <w:color w:val="231F20"/>
        </w:rPr>
        <w:t xml:space="preserve">цим </w:t>
      </w:r>
      <w:r>
        <w:rPr>
          <w:color w:val="231F20"/>
          <w:spacing w:val="1"/>
        </w:rPr>
        <w:t xml:space="preserve">особам </w:t>
      </w:r>
      <w:r>
        <w:rPr>
          <w:color w:val="231F20"/>
        </w:rPr>
        <w:t xml:space="preserve">за </w:t>
      </w:r>
      <w:r>
        <w:rPr>
          <w:color w:val="231F20"/>
          <w:spacing w:val="1"/>
        </w:rPr>
        <w:t xml:space="preserve">рахунок держави. Водночас державний службовець зобов’язаний відшкодувати державі </w:t>
      </w:r>
      <w:r>
        <w:rPr>
          <w:color w:val="231F20"/>
        </w:rPr>
        <w:t xml:space="preserve">шкоду, </w:t>
      </w:r>
      <w:r>
        <w:rPr>
          <w:color w:val="231F20"/>
          <w:spacing w:val="1"/>
        </w:rPr>
        <w:t xml:space="preserve">заподіяну внаслідок неналежного виконання </w:t>
      </w:r>
      <w:r>
        <w:rPr>
          <w:color w:val="231F20"/>
          <w:spacing w:val="2"/>
        </w:rPr>
        <w:t xml:space="preserve">ним </w:t>
      </w:r>
      <w:r>
        <w:rPr>
          <w:color w:val="231F20"/>
          <w:spacing w:val="1"/>
        </w:rPr>
        <w:t>посадових обов’яз</w:t>
      </w:r>
      <w:r>
        <w:rPr>
          <w:color w:val="231F20"/>
          <w:spacing w:val="1"/>
        </w:rPr>
        <w:t xml:space="preserve">ків, через зворотну вимогу  (регрес)  </w:t>
      </w:r>
      <w:r>
        <w:rPr>
          <w:color w:val="231F20"/>
        </w:rPr>
        <w:t xml:space="preserve">у  </w:t>
      </w:r>
      <w:r>
        <w:rPr>
          <w:color w:val="231F20"/>
          <w:spacing w:val="2"/>
        </w:rPr>
        <w:t xml:space="preserve">розмірі </w:t>
      </w:r>
      <w:r>
        <w:rPr>
          <w:color w:val="231F20"/>
        </w:rPr>
        <w:t xml:space="preserve">та порядку, </w:t>
      </w:r>
      <w:r>
        <w:rPr>
          <w:color w:val="231F20"/>
          <w:spacing w:val="1"/>
        </w:rPr>
        <w:t xml:space="preserve">визначених законом. </w:t>
      </w:r>
      <w:r>
        <w:rPr>
          <w:color w:val="231F20"/>
        </w:rPr>
        <w:t xml:space="preserve">У </w:t>
      </w:r>
      <w:r>
        <w:rPr>
          <w:color w:val="231F20"/>
          <w:spacing w:val="1"/>
        </w:rPr>
        <w:t xml:space="preserve">такому </w:t>
      </w:r>
      <w:r>
        <w:rPr>
          <w:color w:val="231F20"/>
        </w:rPr>
        <w:t xml:space="preserve">ж </w:t>
      </w:r>
      <w:r>
        <w:rPr>
          <w:color w:val="231F20"/>
          <w:spacing w:val="1"/>
        </w:rPr>
        <w:t xml:space="preserve">порядку зворотна вимога </w:t>
      </w:r>
      <w:r>
        <w:rPr>
          <w:color w:val="231F20"/>
        </w:rPr>
        <w:t xml:space="preserve">може </w:t>
      </w:r>
      <w:r>
        <w:rPr>
          <w:color w:val="231F20"/>
          <w:spacing w:val="1"/>
        </w:rPr>
        <w:t xml:space="preserve">бути застосована </w:t>
      </w:r>
      <w:r>
        <w:rPr>
          <w:color w:val="231F20"/>
        </w:rPr>
        <w:t xml:space="preserve">і до </w:t>
      </w:r>
      <w:r>
        <w:rPr>
          <w:color w:val="231F20"/>
          <w:spacing w:val="1"/>
        </w:rPr>
        <w:t xml:space="preserve">посадової особи, винної </w:t>
      </w:r>
      <w:r>
        <w:rPr>
          <w:color w:val="231F20"/>
        </w:rPr>
        <w:t xml:space="preserve">в </w:t>
      </w:r>
      <w:r>
        <w:rPr>
          <w:color w:val="231F20"/>
          <w:spacing w:val="1"/>
        </w:rPr>
        <w:t xml:space="preserve">неза- конному звільненні, відстороненні </w:t>
      </w:r>
      <w:r>
        <w:rPr>
          <w:color w:val="231F20"/>
        </w:rPr>
        <w:t xml:space="preserve">або </w:t>
      </w:r>
      <w:r>
        <w:rPr>
          <w:color w:val="231F20"/>
          <w:spacing w:val="1"/>
        </w:rPr>
        <w:t xml:space="preserve">переведенні державного службовця </w:t>
      </w:r>
      <w:r>
        <w:rPr>
          <w:color w:val="231F20"/>
        </w:rPr>
        <w:t xml:space="preserve">чи </w:t>
      </w:r>
      <w:r>
        <w:rPr>
          <w:color w:val="231F20"/>
          <w:spacing w:val="1"/>
        </w:rPr>
        <w:t xml:space="preserve">іншого працівника </w:t>
      </w:r>
      <w:r>
        <w:rPr>
          <w:color w:val="231F20"/>
        </w:rPr>
        <w:t xml:space="preserve">на </w:t>
      </w:r>
      <w:r>
        <w:rPr>
          <w:color w:val="231F20"/>
          <w:spacing w:val="1"/>
        </w:rPr>
        <w:t xml:space="preserve">іншу </w:t>
      </w:r>
      <w:r>
        <w:rPr>
          <w:color w:val="231F20"/>
        </w:rPr>
        <w:t xml:space="preserve">посаду, щодо відшкоду- </w:t>
      </w:r>
      <w:r>
        <w:rPr>
          <w:color w:val="231F20"/>
          <w:spacing w:val="1"/>
        </w:rPr>
        <w:t xml:space="preserve">вання матеріальної </w:t>
      </w:r>
      <w:r>
        <w:rPr>
          <w:color w:val="231F20"/>
        </w:rPr>
        <w:t xml:space="preserve">та </w:t>
      </w:r>
      <w:r>
        <w:rPr>
          <w:color w:val="231F20"/>
          <w:spacing w:val="1"/>
        </w:rPr>
        <w:t xml:space="preserve">моральної </w:t>
      </w:r>
      <w:r>
        <w:rPr>
          <w:color w:val="231F20"/>
        </w:rPr>
        <w:t xml:space="preserve">шкоди, </w:t>
      </w:r>
      <w:r>
        <w:rPr>
          <w:color w:val="231F20"/>
          <w:spacing w:val="1"/>
        </w:rPr>
        <w:t xml:space="preserve">заподіяної державному органу </w:t>
      </w:r>
      <w:r>
        <w:rPr>
          <w:color w:val="231F20"/>
        </w:rPr>
        <w:t xml:space="preserve">у </w:t>
      </w:r>
      <w:r>
        <w:rPr>
          <w:color w:val="231F20"/>
          <w:spacing w:val="1"/>
        </w:rPr>
        <w:t xml:space="preserve">зв’язку </w:t>
      </w:r>
      <w:r>
        <w:rPr>
          <w:color w:val="231F20"/>
        </w:rPr>
        <w:t xml:space="preserve">з </w:t>
      </w:r>
      <w:r>
        <w:rPr>
          <w:color w:val="231F20"/>
          <w:spacing w:val="1"/>
        </w:rPr>
        <w:t xml:space="preserve">оплатою часу вимушеного </w:t>
      </w:r>
      <w:r>
        <w:rPr>
          <w:color w:val="231F20"/>
        </w:rPr>
        <w:t xml:space="preserve">прогулу або </w:t>
      </w:r>
      <w:r>
        <w:rPr>
          <w:color w:val="231F20"/>
          <w:spacing w:val="2"/>
        </w:rPr>
        <w:t xml:space="preserve">часу </w:t>
      </w:r>
      <w:r>
        <w:rPr>
          <w:color w:val="231F20"/>
          <w:spacing w:val="1"/>
        </w:rPr>
        <w:t xml:space="preserve">виконання нижчеоплачуваної роботи. </w:t>
      </w:r>
      <w:r>
        <w:rPr>
          <w:color w:val="231F20"/>
        </w:rPr>
        <w:t xml:space="preserve">У </w:t>
      </w:r>
      <w:r>
        <w:rPr>
          <w:color w:val="231F20"/>
          <w:spacing w:val="1"/>
        </w:rPr>
        <w:t xml:space="preserve">разі застосування </w:t>
      </w:r>
      <w:r>
        <w:rPr>
          <w:color w:val="231F20"/>
          <w:spacing w:val="2"/>
        </w:rPr>
        <w:t xml:space="preserve">регресу </w:t>
      </w:r>
      <w:r>
        <w:rPr>
          <w:color w:val="231F20"/>
          <w:spacing w:val="1"/>
        </w:rPr>
        <w:t>державний службовець  н</w:t>
      </w:r>
      <w:r>
        <w:rPr>
          <w:color w:val="231F20"/>
          <w:spacing w:val="1"/>
        </w:rPr>
        <w:t xml:space="preserve">есе  матеріальну  </w:t>
      </w:r>
      <w:r>
        <w:rPr>
          <w:color w:val="231F20"/>
          <w:spacing w:val="2"/>
        </w:rPr>
        <w:t xml:space="preserve">відповідальність </w:t>
      </w:r>
      <w:r>
        <w:rPr>
          <w:color w:val="231F20"/>
          <w:spacing w:val="1"/>
        </w:rPr>
        <w:t xml:space="preserve">тільки </w:t>
      </w:r>
      <w:r>
        <w:rPr>
          <w:color w:val="231F20"/>
        </w:rPr>
        <w:t xml:space="preserve">за шкоду, </w:t>
      </w:r>
      <w:r>
        <w:rPr>
          <w:color w:val="231F20"/>
          <w:spacing w:val="1"/>
        </w:rPr>
        <w:t xml:space="preserve">умисно заподіяну його  протиправними  </w:t>
      </w:r>
      <w:r>
        <w:rPr>
          <w:color w:val="231F20"/>
          <w:spacing w:val="2"/>
        </w:rPr>
        <w:t xml:space="preserve">діями </w:t>
      </w:r>
      <w:r>
        <w:rPr>
          <w:color w:val="231F20"/>
        </w:rPr>
        <w:t>або</w:t>
      </w:r>
      <w:r>
        <w:rPr>
          <w:color w:val="231F20"/>
          <w:spacing w:val="7"/>
        </w:rPr>
        <w:t xml:space="preserve"> </w:t>
      </w:r>
      <w:r>
        <w:rPr>
          <w:color w:val="231F20"/>
          <w:spacing w:val="2"/>
        </w:rPr>
        <w:t>бездіяльністю.</w:t>
      </w:r>
    </w:p>
    <w:p w14:paraId="2BB463F6" w14:textId="77777777" w:rsidR="00DE575E" w:rsidRDefault="002E7560">
      <w:pPr>
        <w:pStyle w:val="BodyText"/>
        <w:spacing w:before="9" w:line="252" w:lineRule="auto"/>
        <w:ind w:left="533" w:right="122" w:firstLine="283"/>
        <w:jc w:val="both"/>
      </w:pPr>
      <w:r>
        <w:rPr>
          <w:color w:val="231F20"/>
        </w:rPr>
        <w:t xml:space="preserve">Під час </w:t>
      </w:r>
      <w:r>
        <w:rPr>
          <w:color w:val="231F20"/>
          <w:spacing w:val="1"/>
        </w:rPr>
        <w:t xml:space="preserve">визначення розміру відшкодування враховуються майнове становище державного службовця, </w:t>
      </w:r>
      <w:r>
        <w:rPr>
          <w:color w:val="231F20"/>
          <w:spacing w:val="2"/>
        </w:rPr>
        <w:t xml:space="preserve">співвідношення </w:t>
      </w:r>
      <w:r>
        <w:rPr>
          <w:color w:val="231F20"/>
          <w:spacing w:val="1"/>
        </w:rPr>
        <w:t xml:space="preserve">розміру заподіяної </w:t>
      </w:r>
      <w:r>
        <w:rPr>
          <w:color w:val="231F20"/>
        </w:rPr>
        <w:t xml:space="preserve">шкоди до </w:t>
      </w:r>
      <w:r>
        <w:rPr>
          <w:color w:val="231F20"/>
          <w:spacing w:val="1"/>
        </w:rPr>
        <w:t>його</w:t>
      </w:r>
      <w:r>
        <w:rPr>
          <w:color w:val="231F20"/>
          <w:spacing w:val="1"/>
        </w:rPr>
        <w:t xml:space="preserve"> заробітної плати, ризик виник- нення </w:t>
      </w:r>
      <w:r>
        <w:rPr>
          <w:color w:val="231F20"/>
        </w:rPr>
        <w:t xml:space="preserve">шкоди, </w:t>
      </w:r>
      <w:r>
        <w:rPr>
          <w:color w:val="231F20"/>
          <w:spacing w:val="1"/>
        </w:rPr>
        <w:t xml:space="preserve">досвід державної служби, надані державному служ- бовцю накази (розпорядження), </w:t>
      </w:r>
      <w:r>
        <w:rPr>
          <w:color w:val="231F20"/>
        </w:rPr>
        <w:t xml:space="preserve">а також </w:t>
      </w:r>
      <w:r>
        <w:rPr>
          <w:color w:val="231F20"/>
          <w:spacing w:val="1"/>
        </w:rPr>
        <w:t xml:space="preserve">інші обставини, </w:t>
      </w:r>
      <w:r>
        <w:rPr>
          <w:color w:val="231F20"/>
        </w:rPr>
        <w:t xml:space="preserve">у </w:t>
      </w:r>
      <w:r>
        <w:rPr>
          <w:color w:val="231F20"/>
          <w:spacing w:val="2"/>
        </w:rPr>
        <w:t xml:space="preserve">зв’язку </w:t>
      </w:r>
      <w:r>
        <w:rPr>
          <w:color w:val="231F20"/>
        </w:rPr>
        <w:t xml:space="preserve">з </w:t>
      </w:r>
      <w:r>
        <w:rPr>
          <w:color w:val="231F20"/>
          <w:spacing w:val="1"/>
        </w:rPr>
        <w:t xml:space="preserve">якими повне відшкодування державним службовцем </w:t>
      </w:r>
      <w:r>
        <w:rPr>
          <w:color w:val="231F20"/>
        </w:rPr>
        <w:t xml:space="preserve">шкоди  буде </w:t>
      </w:r>
      <w:r>
        <w:rPr>
          <w:color w:val="231F20"/>
          <w:spacing w:val="1"/>
        </w:rPr>
        <w:t xml:space="preserve">необґрунтованим. </w:t>
      </w:r>
      <w:r>
        <w:rPr>
          <w:color w:val="231F20"/>
        </w:rPr>
        <w:t xml:space="preserve">У </w:t>
      </w:r>
      <w:r>
        <w:rPr>
          <w:color w:val="231F20"/>
          <w:spacing w:val="1"/>
        </w:rPr>
        <w:t>разі спільного зап</w:t>
      </w:r>
      <w:r>
        <w:rPr>
          <w:color w:val="231F20"/>
          <w:spacing w:val="1"/>
        </w:rPr>
        <w:t xml:space="preserve">одіяння </w:t>
      </w:r>
      <w:r>
        <w:rPr>
          <w:color w:val="231F20"/>
        </w:rPr>
        <w:t xml:space="preserve">шкоди </w:t>
      </w:r>
      <w:r>
        <w:rPr>
          <w:color w:val="231F20"/>
          <w:spacing w:val="1"/>
        </w:rPr>
        <w:t xml:space="preserve">кіль- </w:t>
      </w:r>
      <w:r>
        <w:rPr>
          <w:color w:val="231F20"/>
        </w:rPr>
        <w:t xml:space="preserve">кома </w:t>
      </w:r>
      <w:r>
        <w:rPr>
          <w:color w:val="231F20"/>
          <w:spacing w:val="1"/>
        </w:rPr>
        <w:t xml:space="preserve">державними службовцями </w:t>
      </w:r>
      <w:r>
        <w:rPr>
          <w:color w:val="231F20"/>
        </w:rPr>
        <w:t xml:space="preserve">кожен із них </w:t>
      </w:r>
      <w:r>
        <w:rPr>
          <w:color w:val="231F20"/>
          <w:spacing w:val="1"/>
        </w:rPr>
        <w:t xml:space="preserve">несе відповідаль- ність </w:t>
      </w:r>
      <w:r>
        <w:rPr>
          <w:color w:val="231F20"/>
        </w:rPr>
        <w:t xml:space="preserve">у </w:t>
      </w:r>
      <w:r>
        <w:rPr>
          <w:color w:val="231F20"/>
          <w:spacing w:val="1"/>
        </w:rPr>
        <w:t>розмірі, пропорційному ступеню</w:t>
      </w:r>
      <w:r>
        <w:rPr>
          <w:color w:val="231F20"/>
          <w:spacing w:val="40"/>
        </w:rPr>
        <w:t xml:space="preserve"> </w:t>
      </w:r>
      <w:r>
        <w:rPr>
          <w:color w:val="231F20"/>
          <w:spacing w:val="2"/>
        </w:rPr>
        <w:t>вини.</w:t>
      </w:r>
    </w:p>
    <w:p w14:paraId="426BAA29" w14:textId="77777777" w:rsidR="00DE575E" w:rsidRDefault="002E7560">
      <w:pPr>
        <w:pStyle w:val="BodyText"/>
        <w:spacing w:before="4" w:line="252" w:lineRule="auto"/>
        <w:ind w:left="533" w:right="122" w:firstLine="283"/>
        <w:jc w:val="both"/>
      </w:pPr>
      <w:r>
        <w:rPr>
          <w:color w:val="231F20"/>
        </w:rPr>
        <w:t xml:space="preserve">Для відшкодування шкоди керівник державної служби вносить державному службовцю </w:t>
      </w:r>
      <w:r>
        <w:rPr>
          <w:i/>
          <w:color w:val="231F20"/>
        </w:rPr>
        <w:t>письмову пропозицію</w:t>
      </w:r>
      <w:r>
        <w:rPr>
          <w:color w:val="231F20"/>
        </w:rPr>
        <w:t>, в якій зазнача- ються розмір, по</w:t>
      </w:r>
      <w:r>
        <w:rPr>
          <w:color w:val="231F20"/>
        </w:rPr>
        <w:t xml:space="preserve">рядок і строки відшкодування шкоди, а також обставини, що стали підставою для відшкодування. Службовець мусить дати відповідь на пропозицію про добровільне відшко- дування шкоди в письмовій формі упродовж </w:t>
      </w:r>
      <w:r>
        <w:rPr>
          <w:i/>
          <w:color w:val="231F20"/>
        </w:rPr>
        <w:t xml:space="preserve">двох тижнів </w:t>
      </w:r>
      <w:r>
        <w:rPr>
          <w:color w:val="231F20"/>
        </w:rPr>
        <w:t>з дня отримання пропозиції.</w:t>
      </w:r>
    </w:p>
    <w:p w14:paraId="376BBFE9" w14:textId="77777777" w:rsidR="00DE575E" w:rsidRDefault="002E7560">
      <w:pPr>
        <w:pStyle w:val="BodyText"/>
        <w:spacing w:before="4" w:line="252" w:lineRule="auto"/>
        <w:ind w:left="533" w:right="123" w:firstLine="283"/>
        <w:jc w:val="both"/>
      </w:pPr>
      <w:r>
        <w:rPr>
          <w:color w:val="231F20"/>
          <w:spacing w:val="1"/>
        </w:rPr>
        <w:t xml:space="preserve">Пропозиція </w:t>
      </w:r>
      <w:r>
        <w:rPr>
          <w:color w:val="231F20"/>
        </w:rPr>
        <w:t xml:space="preserve">може  </w:t>
      </w:r>
      <w:r>
        <w:rPr>
          <w:color w:val="231F20"/>
          <w:spacing w:val="1"/>
        </w:rPr>
        <w:t xml:space="preserve">бути  внесена  упродовж  </w:t>
      </w:r>
      <w:r>
        <w:rPr>
          <w:i/>
          <w:color w:val="231F20"/>
        </w:rPr>
        <w:t xml:space="preserve">трьох  </w:t>
      </w:r>
      <w:r>
        <w:rPr>
          <w:i/>
          <w:color w:val="231F20"/>
          <w:spacing w:val="1"/>
        </w:rPr>
        <w:t xml:space="preserve">місяців  </w:t>
      </w:r>
      <w:r>
        <w:rPr>
          <w:color w:val="231F20"/>
        </w:rPr>
        <w:t xml:space="preserve">з </w:t>
      </w:r>
      <w:r>
        <w:rPr>
          <w:color w:val="231F20"/>
          <w:spacing w:val="1"/>
        </w:rPr>
        <w:t>дня,</w:t>
      </w:r>
      <w:r>
        <w:rPr>
          <w:color w:val="231F20"/>
          <w:spacing w:val="35"/>
        </w:rPr>
        <w:t xml:space="preserve"> </w:t>
      </w:r>
      <w:r>
        <w:rPr>
          <w:color w:val="231F20"/>
        </w:rPr>
        <w:t>коли</w:t>
      </w:r>
      <w:r>
        <w:rPr>
          <w:color w:val="231F20"/>
          <w:spacing w:val="35"/>
        </w:rPr>
        <w:t xml:space="preserve"> </w:t>
      </w:r>
      <w:r>
        <w:rPr>
          <w:color w:val="231F20"/>
          <w:spacing w:val="1"/>
        </w:rPr>
        <w:t>керівник</w:t>
      </w:r>
      <w:r>
        <w:rPr>
          <w:color w:val="231F20"/>
          <w:spacing w:val="35"/>
        </w:rPr>
        <w:t xml:space="preserve"> </w:t>
      </w:r>
      <w:r>
        <w:rPr>
          <w:color w:val="231F20"/>
          <w:spacing w:val="1"/>
        </w:rPr>
        <w:t>державної</w:t>
      </w:r>
      <w:r>
        <w:rPr>
          <w:color w:val="231F20"/>
          <w:spacing w:val="35"/>
        </w:rPr>
        <w:t xml:space="preserve"> </w:t>
      </w:r>
      <w:r>
        <w:rPr>
          <w:color w:val="231F20"/>
          <w:spacing w:val="1"/>
        </w:rPr>
        <w:t>служби</w:t>
      </w:r>
      <w:r>
        <w:rPr>
          <w:color w:val="231F20"/>
          <w:spacing w:val="35"/>
        </w:rPr>
        <w:t xml:space="preserve"> </w:t>
      </w:r>
      <w:r>
        <w:rPr>
          <w:color w:val="231F20"/>
          <w:spacing w:val="1"/>
        </w:rPr>
        <w:t>дізнався</w:t>
      </w:r>
      <w:r>
        <w:rPr>
          <w:color w:val="231F20"/>
          <w:spacing w:val="35"/>
        </w:rPr>
        <w:t xml:space="preserve"> </w:t>
      </w:r>
      <w:r>
        <w:rPr>
          <w:color w:val="231F20"/>
        </w:rPr>
        <w:t>чи</w:t>
      </w:r>
      <w:r>
        <w:rPr>
          <w:color w:val="231F20"/>
          <w:spacing w:val="35"/>
        </w:rPr>
        <w:t xml:space="preserve"> </w:t>
      </w:r>
      <w:r>
        <w:rPr>
          <w:color w:val="231F20"/>
        </w:rPr>
        <w:t>мав</w:t>
      </w:r>
      <w:r>
        <w:rPr>
          <w:color w:val="231F20"/>
          <w:spacing w:val="35"/>
        </w:rPr>
        <w:t xml:space="preserve"> </w:t>
      </w:r>
      <w:r>
        <w:rPr>
          <w:color w:val="231F20"/>
          <w:spacing w:val="2"/>
        </w:rPr>
        <w:t>дізнатися</w:t>
      </w:r>
    </w:p>
    <w:p w14:paraId="3BAE1F64" w14:textId="77777777" w:rsidR="00DE575E" w:rsidRDefault="00DE575E">
      <w:pPr>
        <w:pStyle w:val="BodyText"/>
        <w:spacing w:before="9"/>
        <w:rPr>
          <w:sz w:val="11"/>
        </w:rPr>
      </w:pPr>
    </w:p>
    <w:p w14:paraId="21F71FB0" w14:textId="77777777" w:rsidR="00DE575E" w:rsidRDefault="002E7560">
      <w:pPr>
        <w:spacing w:before="92"/>
        <w:ind w:left="533"/>
        <w:rPr>
          <w:rFonts w:ascii="Times New Roman"/>
          <w:sz w:val="20"/>
        </w:rPr>
      </w:pPr>
      <w:r>
        <w:rPr>
          <w:rFonts w:ascii="Times New Roman"/>
          <w:color w:val="231F20"/>
          <w:sz w:val="20"/>
        </w:rPr>
        <w:t>464</w:t>
      </w:r>
    </w:p>
    <w:p w14:paraId="20876D0B" w14:textId="77777777" w:rsidR="00DE575E" w:rsidRDefault="00DE575E">
      <w:pPr>
        <w:rPr>
          <w:rFonts w:ascii="Times New Roman"/>
          <w:sz w:val="20"/>
        </w:rPr>
        <w:sectPr w:rsidR="00DE575E">
          <w:pgSz w:w="8510" w:h="12760"/>
          <w:pgMar w:top="660" w:right="720" w:bottom="280" w:left="600" w:header="720" w:footer="720" w:gutter="0"/>
          <w:cols w:space="720"/>
        </w:sectPr>
      </w:pPr>
    </w:p>
    <w:p w14:paraId="066F0B21" w14:textId="77777777" w:rsidR="00DE575E" w:rsidRDefault="002E7560">
      <w:pPr>
        <w:spacing w:before="72" w:line="249" w:lineRule="auto"/>
        <w:ind w:left="470" w:right="409" w:firstLine="2279"/>
        <w:rPr>
          <w:rFonts w:ascii="AdonisC" w:hAnsi="AdonisC"/>
          <w:i/>
          <w:sz w:val="18"/>
        </w:rPr>
      </w:pPr>
      <w:r>
        <w:rPr>
          <w:rFonts w:ascii="AdonisC" w:hAnsi="AdonisC"/>
          <w:i/>
          <w:color w:val="231F20"/>
          <w:spacing w:val="-3"/>
          <w:sz w:val="18"/>
        </w:rPr>
        <w:t xml:space="preserve">Глава </w:t>
      </w:r>
      <w:r>
        <w:rPr>
          <w:rFonts w:ascii="AdonisC" w:hAnsi="AdonisC"/>
          <w:i/>
          <w:color w:val="231F20"/>
          <w:sz w:val="18"/>
        </w:rPr>
        <w:t xml:space="preserve">ІІ Особливе адміністративне право/ Книга І </w:t>
      </w:r>
      <w:r>
        <w:rPr>
          <w:rFonts w:ascii="AdonisC" w:hAnsi="AdonisC"/>
          <w:i/>
          <w:color w:val="231F20"/>
          <w:spacing w:val="-4"/>
          <w:sz w:val="18"/>
        </w:rPr>
        <w:t xml:space="preserve">Розділ </w:t>
      </w:r>
      <w:r>
        <w:rPr>
          <w:rFonts w:ascii="AdonisC" w:hAnsi="AdonisC"/>
          <w:i/>
          <w:color w:val="231F20"/>
          <w:sz w:val="18"/>
        </w:rPr>
        <w:t xml:space="preserve">5. </w:t>
      </w:r>
      <w:r>
        <w:rPr>
          <w:rFonts w:ascii="AdonisC" w:hAnsi="AdonisC"/>
          <w:i/>
          <w:color w:val="231F20"/>
          <w:spacing w:val="-4"/>
          <w:sz w:val="18"/>
        </w:rPr>
        <w:t xml:space="preserve">Дисциплінарна </w:t>
      </w:r>
      <w:r>
        <w:rPr>
          <w:rFonts w:ascii="AdonisC" w:hAnsi="AdonisC"/>
          <w:i/>
          <w:color w:val="231F20"/>
          <w:sz w:val="18"/>
        </w:rPr>
        <w:t xml:space="preserve">та </w:t>
      </w:r>
      <w:r>
        <w:rPr>
          <w:rFonts w:ascii="AdonisC" w:hAnsi="AdonisC"/>
          <w:i/>
          <w:color w:val="231F20"/>
          <w:spacing w:val="-4"/>
          <w:sz w:val="18"/>
        </w:rPr>
        <w:t>матеріальна відповідальність державних службовців</w:t>
      </w:r>
    </w:p>
    <w:p w14:paraId="6D0A9314" w14:textId="142AD89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DF870F6" wp14:editId="00FA0F55">
                <wp:extent cx="4140200" cy="6350"/>
                <wp:effectExtent l="0" t="0" r="12700" b="6350"/>
                <wp:docPr id="24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42" name="Line 2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779BC0" id="Group_x0020_2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jAic4n4CAACYBQAADgAA&#10;AAAAAAAAAAAAAAAsAgAAZHJzL2Uyb0RvYy54bWxQSwECLQAUAAYACAAAACEATKewkNkAAAADAQAA&#10;DwAAAAAAAAAAAAAAAADWBAAAZHJzL2Rvd25yZXYueG1sUEsFBgAAAAAEAAQA8wAAANwFAAAAAA==&#10;">
                <v:line id="Line_x0020_2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WqJcYAAADcAAAADwAAAGRycy9kb3ducmV2LnhtbESP0WrCQBRE3wv+w3KFvpS6aSxSUleR&#10;giB90Gr8gGv2Ngnu3o3Z1US/3hUKfRxm5gwznffWiAu1vnas4G2UgCAunK65VLDPl68fIHxA1mgc&#10;k4IreZjPBk9TzLTreEuXXShFhLDPUEEVQpNJ6YuKLPqRa4ij9+taiyHKtpS6xS7CrZFpkkykxZrj&#10;QoUNfVVUHHdnqyA/vQTzs/k2Xb45jOXhtB7fzmulnof94hNEoD78h//aK60gfU/h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VVqiXGAAAA3AAAAA8AAAAAAAAA&#10;AAAAAAAAoQIAAGRycy9kb3ducmV2LnhtbFBLBQYAAAAABAAEAPkAAACUAwAAAAA=&#10;" strokecolor="#231f20" strokeweight=".5pt"/>
                <w10:anchorlock/>
              </v:group>
            </w:pict>
          </mc:Fallback>
        </mc:AlternateContent>
      </w:r>
    </w:p>
    <w:p w14:paraId="49B958E8" w14:textId="77777777" w:rsidR="00DE575E" w:rsidRDefault="00DE575E">
      <w:pPr>
        <w:pStyle w:val="BodyText"/>
        <w:spacing w:before="7"/>
        <w:rPr>
          <w:rFonts w:ascii="AdonisC"/>
          <w:i/>
          <w:sz w:val="19"/>
        </w:rPr>
      </w:pPr>
    </w:p>
    <w:p w14:paraId="669492D2" w14:textId="77777777" w:rsidR="00DE575E" w:rsidRDefault="002E7560">
      <w:pPr>
        <w:pStyle w:val="BodyText"/>
        <w:spacing w:before="1" w:line="252" w:lineRule="auto"/>
        <w:ind w:left="250" w:right="407"/>
        <w:jc w:val="both"/>
      </w:pPr>
      <w:r>
        <w:rPr>
          <w:color w:val="231F20"/>
        </w:rPr>
        <w:t xml:space="preserve">про </w:t>
      </w:r>
      <w:r>
        <w:rPr>
          <w:color w:val="231F20"/>
          <w:spacing w:val="1"/>
        </w:rPr>
        <w:t xml:space="preserve">обставини, </w:t>
      </w:r>
      <w:r>
        <w:rPr>
          <w:color w:val="231F20"/>
        </w:rPr>
        <w:t xml:space="preserve">що є </w:t>
      </w:r>
      <w:r>
        <w:rPr>
          <w:color w:val="231F20"/>
          <w:spacing w:val="1"/>
        </w:rPr>
        <w:t xml:space="preserve">підставою </w:t>
      </w:r>
      <w:r>
        <w:rPr>
          <w:color w:val="231F20"/>
          <w:spacing w:val="2"/>
        </w:rPr>
        <w:t xml:space="preserve">для </w:t>
      </w:r>
      <w:r>
        <w:rPr>
          <w:color w:val="231F20"/>
          <w:spacing w:val="1"/>
        </w:rPr>
        <w:t xml:space="preserve">пред’явлення вимоги, </w:t>
      </w:r>
      <w:r>
        <w:rPr>
          <w:color w:val="231F20"/>
        </w:rPr>
        <w:t xml:space="preserve">але </w:t>
      </w:r>
      <w:r>
        <w:rPr>
          <w:i/>
          <w:color w:val="231F20"/>
        </w:rPr>
        <w:t xml:space="preserve">не </w:t>
      </w:r>
      <w:r>
        <w:rPr>
          <w:i/>
          <w:color w:val="231F20"/>
          <w:spacing w:val="1"/>
        </w:rPr>
        <w:t xml:space="preserve">пізніше </w:t>
      </w:r>
      <w:r>
        <w:rPr>
          <w:i/>
          <w:color w:val="231F20"/>
        </w:rPr>
        <w:t xml:space="preserve">ніж </w:t>
      </w:r>
      <w:r>
        <w:rPr>
          <w:i/>
          <w:color w:val="231F20"/>
          <w:spacing w:val="1"/>
        </w:rPr>
        <w:t xml:space="preserve">через </w:t>
      </w:r>
      <w:r>
        <w:rPr>
          <w:i/>
          <w:color w:val="231F20"/>
        </w:rPr>
        <w:t xml:space="preserve">три </w:t>
      </w:r>
      <w:r>
        <w:rPr>
          <w:i/>
          <w:color w:val="231F20"/>
          <w:spacing w:val="1"/>
        </w:rPr>
        <w:t xml:space="preserve">роки </w:t>
      </w:r>
      <w:r>
        <w:rPr>
          <w:color w:val="231F20"/>
        </w:rPr>
        <w:t xml:space="preserve">з дня </w:t>
      </w:r>
      <w:r>
        <w:rPr>
          <w:color w:val="231F20"/>
          <w:spacing w:val="1"/>
        </w:rPr>
        <w:t xml:space="preserve">заподіяння </w:t>
      </w:r>
      <w:r>
        <w:rPr>
          <w:color w:val="231F20"/>
        </w:rPr>
        <w:t xml:space="preserve">шкоди. У </w:t>
      </w:r>
      <w:r>
        <w:rPr>
          <w:color w:val="231F20"/>
          <w:spacing w:val="1"/>
        </w:rPr>
        <w:t xml:space="preserve">разі нена- дання державним службовцем відповіді </w:t>
      </w:r>
      <w:r>
        <w:rPr>
          <w:color w:val="231F20"/>
        </w:rPr>
        <w:t xml:space="preserve">на </w:t>
      </w:r>
      <w:r>
        <w:rPr>
          <w:color w:val="231F20"/>
          <w:spacing w:val="1"/>
        </w:rPr>
        <w:t xml:space="preserve">пропозицію </w:t>
      </w:r>
      <w:r>
        <w:rPr>
          <w:color w:val="231F20"/>
        </w:rPr>
        <w:t xml:space="preserve">про </w:t>
      </w:r>
      <w:r>
        <w:rPr>
          <w:color w:val="231F20"/>
          <w:spacing w:val="1"/>
        </w:rPr>
        <w:t xml:space="preserve">добро- вільне відшкодування </w:t>
      </w:r>
      <w:r>
        <w:rPr>
          <w:color w:val="231F20"/>
        </w:rPr>
        <w:t xml:space="preserve">шкоди, </w:t>
      </w:r>
      <w:r>
        <w:rPr>
          <w:color w:val="231F20"/>
          <w:spacing w:val="1"/>
        </w:rPr>
        <w:t>від</w:t>
      </w:r>
      <w:r>
        <w:rPr>
          <w:color w:val="231F20"/>
          <w:spacing w:val="1"/>
        </w:rPr>
        <w:t xml:space="preserve">мови </w:t>
      </w:r>
      <w:r>
        <w:rPr>
          <w:color w:val="231F20"/>
        </w:rPr>
        <w:t xml:space="preserve">від </w:t>
      </w:r>
      <w:r>
        <w:rPr>
          <w:color w:val="231F20"/>
          <w:spacing w:val="1"/>
        </w:rPr>
        <w:t xml:space="preserve">відшкодування </w:t>
      </w:r>
      <w:r>
        <w:rPr>
          <w:color w:val="231F20"/>
        </w:rPr>
        <w:t xml:space="preserve">шкоди чи </w:t>
      </w:r>
      <w:r>
        <w:rPr>
          <w:color w:val="231F20"/>
          <w:spacing w:val="1"/>
        </w:rPr>
        <w:t xml:space="preserve">невідшкодування </w:t>
      </w:r>
      <w:r>
        <w:rPr>
          <w:color w:val="231F20"/>
        </w:rPr>
        <w:t xml:space="preserve">шкоди до </w:t>
      </w:r>
      <w:r>
        <w:rPr>
          <w:color w:val="231F20"/>
          <w:spacing w:val="1"/>
        </w:rPr>
        <w:t xml:space="preserve">зазначеного </w:t>
      </w:r>
      <w:r>
        <w:rPr>
          <w:color w:val="231F20"/>
        </w:rPr>
        <w:t xml:space="preserve">у </w:t>
      </w:r>
      <w:r>
        <w:rPr>
          <w:color w:val="231F20"/>
          <w:spacing w:val="1"/>
        </w:rPr>
        <w:t xml:space="preserve">пропозиції </w:t>
      </w:r>
      <w:r>
        <w:rPr>
          <w:color w:val="231F20"/>
          <w:spacing w:val="2"/>
        </w:rPr>
        <w:t xml:space="preserve">строку </w:t>
      </w:r>
      <w:r>
        <w:rPr>
          <w:color w:val="231F20"/>
          <w:spacing w:val="1"/>
        </w:rPr>
        <w:t xml:space="preserve">керівник державної служби </w:t>
      </w:r>
      <w:r>
        <w:rPr>
          <w:color w:val="231F20"/>
        </w:rPr>
        <w:t xml:space="preserve">може </w:t>
      </w:r>
      <w:r>
        <w:rPr>
          <w:color w:val="231F20"/>
          <w:spacing w:val="1"/>
        </w:rPr>
        <w:t xml:space="preserve">звернутися </w:t>
      </w:r>
      <w:r>
        <w:rPr>
          <w:color w:val="231F20"/>
        </w:rPr>
        <w:t xml:space="preserve">з </w:t>
      </w:r>
      <w:r>
        <w:rPr>
          <w:color w:val="231F20"/>
          <w:spacing w:val="1"/>
        </w:rPr>
        <w:t xml:space="preserve">позовом </w:t>
      </w:r>
      <w:r>
        <w:rPr>
          <w:color w:val="231F20"/>
        </w:rPr>
        <w:t xml:space="preserve">про таке </w:t>
      </w:r>
      <w:r>
        <w:rPr>
          <w:color w:val="231F20"/>
          <w:spacing w:val="1"/>
        </w:rPr>
        <w:t xml:space="preserve">відшкодування </w:t>
      </w:r>
      <w:r>
        <w:rPr>
          <w:color w:val="231F20"/>
        </w:rPr>
        <w:t>до</w:t>
      </w:r>
      <w:r>
        <w:rPr>
          <w:color w:val="231F20"/>
          <w:spacing w:val="13"/>
        </w:rPr>
        <w:t xml:space="preserve"> </w:t>
      </w:r>
      <w:r>
        <w:rPr>
          <w:color w:val="231F20"/>
          <w:spacing w:val="-4"/>
        </w:rPr>
        <w:t>суду.</w:t>
      </w:r>
    </w:p>
    <w:p w14:paraId="6CD17A9F" w14:textId="77777777" w:rsidR="00DE575E" w:rsidRDefault="00DE575E">
      <w:pPr>
        <w:pStyle w:val="BodyText"/>
        <w:rPr>
          <w:sz w:val="20"/>
        </w:rPr>
      </w:pPr>
    </w:p>
    <w:p w14:paraId="3B5A1B06" w14:textId="77777777" w:rsidR="00DE575E" w:rsidRDefault="00DE575E">
      <w:pPr>
        <w:pStyle w:val="BodyText"/>
        <w:rPr>
          <w:sz w:val="20"/>
        </w:rPr>
      </w:pPr>
    </w:p>
    <w:p w14:paraId="0ACB995D" w14:textId="77777777" w:rsidR="00DE575E" w:rsidRDefault="00DE575E">
      <w:pPr>
        <w:pStyle w:val="BodyText"/>
        <w:rPr>
          <w:sz w:val="20"/>
        </w:rPr>
      </w:pPr>
    </w:p>
    <w:p w14:paraId="3FC732A4" w14:textId="77777777" w:rsidR="00DE575E" w:rsidRDefault="00DE575E">
      <w:pPr>
        <w:pStyle w:val="BodyText"/>
        <w:rPr>
          <w:sz w:val="20"/>
        </w:rPr>
      </w:pPr>
    </w:p>
    <w:p w14:paraId="57EE9DB6" w14:textId="77777777" w:rsidR="00DE575E" w:rsidRDefault="00DE575E">
      <w:pPr>
        <w:pStyle w:val="BodyText"/>
        <w:rPr>
          <w:sz w:val="20"/>
        </w:rPr>
      </w:pPr>
    </w:p>
    <w:p w14:paraId="78252AAD" w14:textId="77777777" w:rsidR="00DE575E" w:rsidRDefault="00DE575E">
      <w:pPr>
        <w:pStyle w:val="BodyText"/>
        <w:rPr>
          <w:sz w:val="20"/>
        </w:rPr>
      </w:pPr>
    </w:p>
    <w:p w14:paraId="44E32DB4" w14:textId="77777777" w:rsidR="00DE575E" w:rsidRDefault="00DE575E">
      <w:pPr>
        <w:pStyle w:val="BodyText"/>
        <w:rPr>
          <w:sz w:val="20"/>
        </w:rPr>
      </w:pPr>
    </w:p>
    <w:p w14:paraId="5A5D19CC" w14:textId="77777777" w:rsidR="00DE575E" w:rsidRDefault="00DE575E">
      <w:pPr>
        <w:pStyle w:val="BodyText"/>
        <w:rPr>
          <w:sz w:val="20"/>
        </w:rPr>
      </w:pPr>
    </w:p>
    <w:p w14:paraId="40B384EB" w14:textId="77777777" w:rsidR="00DE575E" w:rsidRDefault="00DE575E">
      <w:pPr>
        <w:pStyle w:val="BodyText"/>
        <w:rPr>
          <w:sz w:val="20"/>
        </w:rPr>
      </w:pPr>
    </w:p>
    <w:p w14:paraId="41FF1518" w14:textId="77777777" w:rsidR="00DE575E" w:rsidRDefault="00DE575E">
      <w:pPr>
        <w:pStyle w:val="BodyText"/>
        <w:rPr>
          <w:sz w:val="20"/>
        </w:rPr>
      </w:pPr>
    </w:p>
    <w:p w14:paraId="71D91EDF" w14:textId="77777777" w:rsidR="00DE575E" w:rsidRDefault="00DE575E">
      <w:pPr>
        <w:pStyle w:val="BodyText"/>
        <w:rPr>
          <w:sz w:val="20"/>
        </w:rPr>
      </w:pPr>
    </w:p>
    <w:p w14:paraId="31823318" w14:textId="77777777" w:rsidR="00DE575E" w:rsidRDefault="00DE575E">
      <w:pPr>
        <w:pStyle w:val="BodyText"/>
        <w:rPr>
          <w:sz w:val="20"/>
        </w:rPr>
      </w:pPr>
    </w:p>
    <w:p w14:paraId="6AEEF0B7" w14:textId="77777777" w:rsidR="00DE575E" w:rsidRDefault="00DE575E">
      <w:pPr>
        <w:pStyle w:val="BodyText"/>
        <w:rPr>
          <w:sz w:val="20"/>
        </w:rPr>
      </w:pPr>
    </w:p>
    <w:p w14:paraId="6B9583E1" w14:textId="77777777" w:rsidR="00DE575E" w:rsidRDefault="00DE575E">
      <w:pPr>
        <w:pStyle w:val="BodyText"/>
        <w:rPr>
          <w:sz w:val="20"/>
        </w:rPr>
      </w:pPr>
    </w:p>
    <w:p w14:paraId="61F1420D" w14:textId="77777777" w:rsidR="00DE575E" w:rsidRDefault="00DE575E">
      <w:pPr>
        <w:pStyle w:val="BodyText"/>
        <w:rPr>
          <w:sz w:val="20"/>
        </w:rPr>
      </w:pPr>
    </w:p>
    <w:p w14:paraId="7F7FDB8A" w14:textId="77777777" w:rsidR="00DE575E" w:rsidRDefault="00DE575E">
      <w:pPr>
        <w:pStyle w:val="BodyText"/>
        <w:rPr>
          <w:sz w:val="20"/>
        </w:rPr>
      </w:pPr>
    </w:p>
    <w:p w14:paraId="67162FC5" w14:textId="77777777" w:rsidR="00DE575E" w:rsidRDefault="00DE575E">
      <w:pPr>
        <w:pStyle w:val="BodyText"/>
        <w:rPr>
          <w:sz w:val="20"/>
        </w:rPr>
      </w:pPr>
    </w:p>
    <w:p w14:paraId="59339578" w14:textId="77777777" w:rsidR="00DE575E" w:rsidRDefault="00DE575E">
      <w:pPr>
        <w:pStyle w:val="BodyText"/>
        <w:rPr>
          <w:sz w:val="20"/>
        </w:rPr>
      </w:pPr>
    </w:p>
    <w:p w14:paraId="2AFA14EE" w14:textId="77777777" w:rsidR="00DE575E" w:rsidRDefault="00DE575E">
      <w:pPr>
        <w:pStyle w:val="BodyText"/>
        <w:rPr>
          <w:sz w:val="20"/>
        </w:rPr>
      </w:pPr>
    </w:p>
    <w:p w14:paraId="5701BD5C" w14:textId="77777777" w:rsidR="00DE575E" w:rsidRDefault="00DE575E">
      <w:pPr>
        <w:pStyle w:val="BodyText"/>
        <w:rPr>
          <w:sz w:val="20"/>
        </w:rPr>
      </w:pPr>
    </w:p>
    <w:p w14:paraId="78CA5686" w14:textId="77777777" w:rsidR="00DE575E" w:rsidRDefault="00DE575E">
      <w:pPr>
        <w:pStyle w:val="BodyText"/>
        <w:rPr>
          <w:sz w:val="20"/>
        </w:rPr>
      </w:pPr>
    </w:p>
    <w:p w14:paraId="0566464C" w14:textId="77777777" w:rsidR="00DE575E" w:rsidRDefault="00DE575E">
      <w:pPr>
        <w:pStyle w:val="BodyText"/>
        <w:rPr>
          <w:sz w:val="20"/>
        </w:rPr>
      </w:pPr>
    </w:p>
    <w:p w14:paraId="3FA38F93" w14:textId="77777777" w:rsidR="00DE575E" w:rsidRDefault="00DE575E">
      <w:pPr>
        <w:pStyle w:val="BodyText"/>
        <w:rPr>
          <w:sz w:val="20"/>
        </w:rPr>
      </w:pPr>
    </w:p>
    <w:p w14:paraId="00C7DC90" w14:textId="77777777" w:rsidR="00DE575E" w:rsidRDefault="00DE575E">
      <w:pPr>
        <w:pStyle w:val="BodyText"/>
        <w:rPr>
          <w:sz w:val="20"/>
        </w:rPr>
      </w:pPr>
    </w:p>
    <w:p w14:paraId="0E6531D8" w14:textId="77777777" w:rsidR="00DE575E" w:rsidRDefault="00DE575E">
      <w:pPr>
        <w:pStyle w:val="BodyText"/>
        <w:rPr>
          <w:sz w:val="20"/>
        </w:rPr>
      </w:pPr>
    </w:p>
    <w:p w14:paraId="5B35E16B" w14:textId="77777777" w:rsidR="00DE575E" w:rsidRDefault="00DE575E">
      <w:pPr>
        <w:pStyle w:val="BodyText"/>
        <w:rPr>
          <w:sz w:val="20"/>
        </w:rPr>
      </w:pPr>
    </w:p>
    <w:p w14:paraId="3D15A2D2" w14:textId="77777777" w:rsidR="00DE575E" w:rsidRDefault="00DE575E">
      <w:pPr>
        <w:pStyle w:val="BodyText"/>
        <w:rPr>
          <w:sz w:val="20"/>
        </w:rPr>
      </w:pPr>
    </w:p>
    <w:p w14:paraId="02142577" w14:textId="77777777" w:rsidR="00DE575E" w:rsidRDefault="00DE575E">
      <w:pPr>
        <w:pStyle w:val="BodyText"/>
        <w:rPr>
          <w:sz w:val="20"/>
        </w:rPr>
      </w:pPr>
    </w:p>
    <w:p w14:paraId="59EDEB2B" w14:textId="77777777" w:rsidR="00DE575E" w:rsidRDefault="00DE575E">
      <w:pPr>
        <w:pStyle w:val="BodyText"/>
        <w:rPr>
          <w:sz w:val="20"/>
        </w:rPr>
      </w:pPr>
    </w:p>
    <w:p w14:paraId="1763BF85" w14:textId="77777777" w:rsidR="00DE575E" w:rsidRDefault="00DE575E">
      <w:pPr>
        <w:pStyle w:val="BodyText"/>
        <w:rPr>
          <w:sz w:val="20"/>
        </w:rPr>
      </w:pPr>
    </w:p>
    <w:p w14:paraId="68B71533" w14:textId="77777777" w:rsidR="00DE575E" w:rsidRDefault="00DE575E">
      <w:pPr>
        <w:pStyle w:val="BodyText"/>
        <w:rPr>
          <w:sz w:val="20"/>
        </w:rPr>
      </w:pPr>
    </w:p>
    <w:p w14:paraId="52B53518" w14:textId="77777777" w:rsidR="00DE575E" w:rsidRDefault="00DE575E">
      <w:pPr>
        <w:pStyle w:val="BodyText"/>
        <w:rPr>
          <w:sz w:val="20"/>
        </w:rPr>
      </w:pPr>
    </w:p>
    <w:p w14:paraId="0CC2C552" w14:textId="77777777" w:rsidR="00DE575E" w:rsidRDefault="00DE575E">
      <w:pPr>
        <w:pStyle w:val="BodyText"/>
        <w:rPr>
          <w:sz w:val="20"/>
        </w:rPr>
      </w:pPr>
    </w:p>
    <w:p w14:paraId="271887F9" w14:textId="77777777" w:rsidR="00DE575E" w:rsidRDefault="00DE575E">
      <w:pPr>
        <w:pStyle w:val="BodyText"/>
        <w:rPr>
          <w:sz w:val="20"/>
        </w:rPr>
      </w:pPr>
    </w:p>
    <w:p w14:paraId="7325233C" w14:textId="77777777" w:rsidR="00DE575E" w:rsidRDefault="00DE575E">
      <w:pPr>
        <w:pStyle w:val="BodyText"/>
        <w:rPr>
          <w:sz w:val="20"/>
        </w:rPr>
      </w:pPr>
    </w:p>
    <w:p w14:paraId="72C5B572" w14:textId="77777777" w:rsidR="00DE575E" w:rsidRDefault="00DE575E">
      <w:pPr>
        <w:pStyle w:val="BodyText"/>
        <w:spacing w:before="7"/>
        <w:rPr>
          <w:sz w:val="19"/>
        </w:rPr>
      </w:pPr>
    </w:p>
    <w:p w14:paraId="25CED1F9" w14:textId="77777777" w:rsidR="00DE575E" w:rsidRDefault="002E7560">
      <w:pPr>
        <w:spacing w:before="91"/>
        <w:ind w:right="411"/>
        <w:jc w:val="right"/>
        <w:rPr>
          <w:rFonts w:ascii="Times New Roman"/>
          <w:sz w:val="20"/>
        </w:rPr>
      </w:pPr>
      <w:r>
        <w:rPr>
          <w:rFonts w:ascii="Times New Roman"/>
          <w:color w:val="231F20"/>
          <w:w w:val="90"/>
          <w:sz w:val="20"/>
        </w:rPr>
        <w:t>465</w:t>
      </w:r>
    </w:p>
    <w:p w14:paraId="0A5A052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A84EF94" w14:textId="77777777" w:rsidR="00DE575E" w:rsidRDefault="002E7560">
      <w:pPr>
        <w:spacing w:before="173" w:line="254" w:lineRule="auto"/>
        <w:ind w:left="1342" w:right="864" w:firstLine="1899"/>
        <w:rPr>
          <w:rFonts w:ascii="YanusC" w:hAnsi="YanusC"/>
          <w:sz w:val="16"/>
        </w:rPr>
      </w:pPr>
      <w:r>
        <w:rPr>
          <w:rFonts w:ascii="YanusC" w:hAnsi="YanusC"/>
          <w:color w:val="231F20"/>
          <w:sz w:val="28"/>
        </w:rPr>
        <w:t>КНИГА ІІ АДМІНІСТРАТИВНО-ДЕЛІКТНЕ ПРАВО</w:t>
      </w:r>
      <w:r>
        <w:rPr>
          <w:rFonts w:ascii="YanusC" w:hAnsi="YanusC"/>
          <w:color w:val="231F20"/>
          <w:position w:val="9"/>
          <w:sz w:val="16"/>
        </w:rPr>
        <w:t>1</w:t>
      </w:r>
    </w:p>
    <w:p w14:paraId="18E7DA02" w14:textId="77777777" w:rsidR="00DE575E" w:rsidRDefault="00DE575E">
      <w:pPr>
        <w:pStyle w:val="BodyText"/>
        <w:rPr>
          <w:rFonts w:ascii="YanusC"/>
          <w:sz w:val="34"/>
        </w:rPr>
      </w:pPr>
    </w:p>
    <w:p w14:paraId="11A33F05" w14:textId="77777777" w:rsidR="00DE575E" w:rsidRDefault="00DE575E">
      <w:pPr>
        <w:pStyle w:val="BodyText"/>
        <w:rPr>
          <w:rFonts w:ascii="YanusC"/>
          <w:sz w:val="27"/>
        </w:rPr>
      </w:pPr>
    </w:p>
    <w:p w14:paraId="3EB55073" w14:textId="77777777" w:rsidR="00DE575E" w:rsidRDefault="002E7560">
      <w:pPr>
        <w:spacing w:line="218" w:lineRule="auto"/>
        <w:ind w:left="945" w:right="530" w:firstLine="2292"/>
        <w:rPr>
          <w:b/>
          <w:sz w:val="16"/>
        </w:rPr>
      </w:pPr>
      <w:r>
        <w:rPr>
          <w:b/>
          <w:color w:val="231F20"/>
          <w:sz w:val="28"/>
        </w:rPr>
        <w:t>Розділ 1 АДМІНІСТРАТИВНА ВІДПОВІДАЛЬНІСТЬ ЯК ВИД ЮРИДИЧНОЇ ВІДПОВІДАЛЬНОСТІ</w:t>
      </w:r>
      <w:r>
        <w:rPr>
          <w:b/>
          <w:color w:val="231F20"/>
          <w:position w:val="9"/>
          <w:sz w:val="16"/>
        </w:rPr>
        <w:t>2</w:t>
      </w:r>
    </w:p>
    <w:p w14:paraId="4CDC1701" w14:textId="77777777" w:rsidR="00DE575E" w:rsidRDefault="00DE575E">
      <w:pPr>
        <w:pStyle w:val="BodyText"/>
        <w:spacing w:before="9"/>
        <w:rPr>
          <w:b/>
          <w:sz w:val="43"/>
        </w:rPr>
      </w:pPr>
    </w:p>
    <w:p w14:paraId="326B694A" w14:textId="77777777" w:rsidR="00DE575E" w:rsidRDefault="002E7560">
      <w:pPr>
        <w:pStyle w:val="Heading4"/>
        <w:ind w:left="713"/>
      </w:pPr>
      <w:r>
        <w:rPr>
          <w:color w:val="231F20"/>
        </w:rPr>
        <w:t>1.1. Поняття та ознаки адміністративної відповідальності</w:t>
      </w:r>
    </w:p>
    <w:p w14:paraId="5DB3133F" w14:textId="77777777" w:rsidR="00DE575E" w:rsidRDefault="00DE575E">
      <w:pPr>
        <w:pStyle w:val="BodyText"/>
        <w:rPr>
          <w:b/>
          <w:sz w:val="26"/>
        </w:rPr>
      </w:pPr>
    </w:p>
    <w:p w14:paraId="39F65026" w14:textId="77777777" w:rsidR="00DE575E" w:rsidRDefault="002E7560">
      <w:pPr>
        <w:pStyle w:val="BodyText"/>
        <w:spacing w:before="224" w:line="252" w:lineRule="auto"/>
        <w:ind w:left="533" w:right="127" w:firstLine="283"/>
        <w:jc w:val="both"/>
      </w:pPr>
      <w:r>
        <w:rPr>
          <w:color w:val="231F20"/>
        </w:rPr>
        <w:t>Інститут адміністративної відповідальності є визначним інсти- тутом</w:t>
      </w:r>
      <w:r>
        <w:rPr>
          <w:color w:val="231F20"/>
          <w:spacing w:val="-10"/>
        </w:rPr>
        <w:t xml:space="preserve"> </w:t>
      </w:r>
      <w:r>
        <w:rPr>
          <w:color w:val="231F20"/>
        </w:rPr>
        <w:t>адміністр</w:t>
      </w:r>
      <w:r>
        <w:rPr>
          <w:color w:val="231F20"/>
        </w:rPr>
        <w:t>ативного</w:t>
      </w:r>
      <w:r>
        <w:rPr>
          <w:color w:val="231F20"/>
          <w:spacing w:val="-10"/>
        </w:rPr>
        <w:t xml:space="preserve"> </w:t>
      </w:r>
      <w:r>
        <w:rPr>
          <w:color w:val="231F20"/>
        </w:rPr>
        <w:t>права,</w:t>
      </w:r>
      <w:r>
        <w:rPr>
          <w:color w:val="231F20"/>
          <w:spacing w:val="-10"/>
        </w:rPr>
        <w:t xml:space="preserve"> </w:t>
      </w:r>
      <w:r>
        <w:rPr>
          <w:color w:val="231F20"/>
        </w:rPr>
        <w:t>важливим</w:t>
      </w:r>
      <w:r>
        <w:rPr>
          <w:color w:val="231F20"/>
          <w:spacing w:val="-10"/>
        </w:rPr>
        <w:t xml:space="preserve"> </w:t>
      </w:r>
      <w:r>
        <w:rPr>
          <w:color w:val="231F20"/>
        </w:rPr>
        <w:t>засобом</w:t>
      </w:r>
      <w:r>
        <w:rPr>
          <w:color w:val="231F20"/>
          <w:spacing w:val="-10"/>
        </w:rPr>
        <w:t xml:space="preserve"> </w:t>
      </w:r>
      <w:r>
        <w:rPr>
          <w:color w:val="231F20"/>
        </w:rPr>
        <w:t>охорони</w:t>
      </w:r>
      <w:r>
        <w:rPr>
          <w:color w:val="231F20"/>
          <w:spacing w:val="-10"/>
        </w:rPr>
        <w:t xml:space="preserve"> </w:t>
      </w:r>
      <w:r>
        <w:rPr>
          <w:color w:val="231F20"/>
        </w:rPr>
        <w:t xml:space="preserve">громад- ського </w:t>
      </w:r>
      <w:r>
        <w:rPr>
          <w:color w:val="231F20"/>
          <w:spacing w:val="-3"/>
        </w:rPr>
        <w:t xml:space="preserve">порядку, </w:t>
      </w:r>
      <w:r>
        <w:rPr>
          <w:color w:val="231F20"/>
        </w:rPr>
        <w:t>якому притаманні всі ознаки юридичної відпові- дальності. За допомогою цього інституту здійснюється захист не тільки адміністративно-правових відносин, а й відносин, урегу- льованих нормами ф</w:t>
      </w:r>
      <w:r>
        <w:rPr>
          <w:color w:val="231F20"/>
        </w:rPr>
        <w:t xml:space="preserve">інансового, екологічного, </w:t>
      </w:r>
      <w:r>
        <w:rPr>
          <w:color w:val="231F20"/>
          <w:spacing w:val="-3"/>
        </w:rPr>
        <w:t xml:space="preserve">трудового, </w:t>
      </w:r>
      <w:r>
        <w:rPr>
          <w:color w:val="231F20"/>
        </w:rPr>
        <w:t>митного права, а в деяких випадках – цивільного права та процесуальних галузей</w:t>
      </w:r>
      <w:r>
        <w:rPr>
          <w:color w:val="231F20"/>
          <w:spacing w:val="-2"/>
        </w:rPr>
        <w:t xml:space="preserve"> </w:t>
      </w:r>
      <w:r>
        <w:rPr>
          <w:color w:val="231F20"/>
        </w:rPr>
        <w:t>права.</w:t>
      </w:r>
    </w:p>
    <w:p w14:paraId="396D89BD" w14:textId="77777777" w:rsidR="00DE575E" w:rsidRDefault="002E7560">
      <w:pPr>
        <w:pStyle w:val="BodyText"/>
        <w:spacing w:before="4" w:line="252" w:lineRule="auto"/>
        <w:ind w:left="533" w:right="126" w:firstLine="283"/>
        <w:jc w:val="both"/>
      </w:pPr>
      <w:r>
        <w:rPr>
          <w:color w:val="231F20"/>
        </w:rPr>
        <w:t xml:space="preserve">У </w:t>
      </w:r>
      <w:r>
        <w:rPr>
          <w:color w:val="231F20"/>
          <w:spacing w:val="-6"/>
        </w:rPr>
        <w:t xml:space="preserve">ст. </w:t>
      </w:r>
      <w:r>
        <w:rPr>
          <w:color w:val="231F20"/>
        </w:rPr>
        <w:t xml:space="preserve">92 Конституції </w:t>
      </w:r>
      <w:r>
        <w:rPr>
          <w:color w:val="231F20"/>
          <w:spacing w:val="-3"/>
        </w:rPr>
        <w:t xml:space="preserve">України </w:t>
      </w:r>
      <w:r>
        <w:rPr>
          <w:color w:val="231F20"/>
        </w:rPr>
        <w:t>адміністративну відповідальність визначено як один з основних видів юридичної відповідальності     в</w:t>
      </w:r>
      <w:r>
        <w:rPr>
          <w:color w:val="231F20"/>
          <w:spacing w:val="-6"/>
        </w:rPr>
        <w:t xml:space="preserve"> </w:t>
      </w:r>
      <w:r>
        <w:rPr>
          <w:color w:val="231F20"/>
          <w:spacing w:val="-3"/>
        </w:rPr>
        <w:t>Укр</w:t>
      </w:r>
      <w:r>
        <w:rPr>
          <w:color w:val="231F20"/>
          <w:spacing w:val="-3"/>
        </w:rPr>
        <w:t>аїні.</w:t>
      </w:r>
      <w:r>
        <w:rPr>
          <w:color w:val="231F20"/>
          <w:spacing w:val="-6"/>
        </w:rPr>
        <w:t xml:space="preserve"> </w:t>
      </w:r>
      <w:r>
        <w:rPr>
          <w:color w:val="231F20"/>
        </w:rPr>
        <w:t>Вона</w:t>
      </w:r>
      <w:r>
        <w:rPr>
          <w:color w:val="231F20"/>
          <w:spacing w:val="-6"/>
        </w:rPr>
        <w:t xml:space="preserve"> </w:t>
      </w:r>
      <w:r>
        <w:rPr>
          <w:color w:val="231F20"/>
        </w:rPr>
        <w:t>є</w:t>
      </w:r>
      <w:r>
        <w:rPr>
          <w:color w:val="231F20"/>
          <w:spacing w:val="-5"/>
        </w:rPr>
        <w:t xml:space="preserve"> </w:t>
      </w:r>
      <w:r>
        <w:rPr>
          <w:color w:val="231F20"/>
        </w:rPr>
        <w:t>наслідком</w:t>
      </w:r>
      <w:r>
        <w:rPr>
          <w:color w:val="231F20"/>
          <w:spacing w:val="-6"/>
        </w:rPr>
        <w:t xml:space="preserve"> </w:t>
      </w:r>
      <w:r>
        <w:rPr>
          <w:color w:val="231F20"/>
        </w:rPr>
        <w:t>невиконання</w:t>
      </w:r>
      <w:r>
        <w:rPr>
          <w:color w:val="231F20"/>
          <w:spacing w:val="-6"/>
        </w:rPr>
        <w:t xml:space="preserve"> </w:t>
      </w:r>
      <w:r>
        <w:rPr>
          <w:color w:val="231F20"/>
        </w:rPr>
        <w:t>чи</w:t>
      </w:r>
      <w:r>
        <w:rPr>
          <w:color w:val="231F20"/>
          <w:spacing w:val="-6"/>
        </w:rPr>
        <w:t xml:space="preserve"> </w:t>
      </w:r>
      <w:r>
        <w:rPr>
          <w:color w:val="231F20"/>
        </w:rPr>
        <w:t>неналежного</w:t>
      </w:r>
      <w:r>
        <w:rPr>
          <w:color w:val="231F20"/>
          <w:spacing w:val="-6"/>
        </w:rPr>
        <w:t xml:space="preserve"> </w:t>
      </w:r>
      <w:r>
        <w:rPr>
          <w:color w:val="231F20"/>
        </w:rPr>
        <w:t>виконання особою норм адміністративного законодавства, що зумовлює невід- воротне реагування держави на адміністративні правопорушення (проступки), та встановлюється виключно законами</w:t>
      </w:r>
      <w:r>
        <w:rPr>
          <w:color w:val="231F20"/>
          <w:spacing w:val="-5"/>
        </w:rPr>
        <w:t xml:space="preserve"> </w:t>
      </w:r>
      <w:r>
        <w:rPr>
          <w:color w:val="231F20"/>
        </w:rPr>
        <w:t>тощо</w:t>
      </w:r>
      <w:r>
        <w:rPr>
          <w:color w:val="231F20"/>
          <w:position w:val="7"/>
          <w:sz w:val="12"/>
        </w:rPr>
        <w:t>3</w:t>
      </w:r>
      <w:r>
        <w:rPr>
          <w:color w:val="231F20"/>
        </w:rPr>
        <w:t>.</w:t>
      </w:r>
    </w:p>
    <w:p w14:paraId="3A49D986" w14:textId="77777777" w:rsidR="00DE575E" w:rsidRDefault="002E7560">
      <w:pPr>
        <w:pStyle w:val="BodyText"/>
        <w:spacing w:before="3" w:line="252" w:lineRule="auto"/>
        <w:ind w:left="533" w:right="128" w:firstLine="283"/>
        <w:jc w:val="both"/>
      </w:pPr>
      <w:r>
        <w:rPr>
          <w:color w:val="231F20"/>
        </w:rPr>
        <w:t>Частіше за все в теоретичних працях зустрічається кілька визна- чень поняття «адміністративна відповідальність».</w:t>
      </w:r>
    </w:p>
    <w:p w14:paraId="3E2AB68E" w14:textId="77777777" w:rsidR="00DE575E" w:rsidRDefault="002E7560">
      <w:pPr>
        <w:pStyle w:val="BodyText"/>
        <w:spacing w:before="1" w:line="252" w:lineRule="auto"/>
        <w:ind w:left="533" w:right="126" w:firstLine="283"/>
        <w:jc w:val="both"/>
      </w:pPr>
      <w:r>
        <w:rPr>
          <w:color w:val="231F20"/>
          <w:spacing w:val="-3"/>
        </w:rPr>
        <w:t xml:space="preserve">В. </w:t>
      </w:r>
      <w:r>
        <w:rPr>
          <w:color w:val="231F20"/>
        </w:rPr>
        <w:t>Авер’янов характеризував адміністративну відповідальність як</w:t>
      </w:r>
      <w:r>
        <w:rPr>
          <w:color w:val="231F20"/>
          <w:spacing w:val="-11"/>
        </w:rPr>
        <w:t xml:space="preserve"> </w:t>
      </w:r>
      <w:r>
        <w:rPr>
          <w:color w:val="231F20"/>
        </w:rPr>
        <w:t>різновид</w:t>
      </w:r>
      <w:r>
        <w:rPr>
          <w:color w:val="231F20"/>
          <w:spacing w:val="-12"/>
        </w:rPr>
        <w:t xml:space="preserve"> </w:t>
      </w:r>
      <w:r>
        <w:rPr>
          <w:color w:val="231F20"/>
        </w:rPr>
        <w:t>юридичної</w:t>
      </w:r>
      <w:r>
        <w:rPr>
          <w:color w:val="231F20"/>
          <w:spacing w:val="-12"/>
        </w:rPr>
        <w:t xml:space="preserve"> </w:t>
      </w:r>
      <w:r>
        <w:rPr>
          <w:color w:val="231F20"/>
        </w:rPr>
        <w:t>відповідальності,</w:t>
      </w:r>
      <w:r>
        <w:rPr>
          <w:color w:val="231F20"/>
          <w:spacing w:val="-11"/>
        </w:rPr>
        <w:t xml:space="preserve"> </w:t>
      </w:r>
      <w:r>
        <w:rPr>
          <w:color w:val="231F20"/>
        </w:rPr>
        <w:t>що</w:t>
      </w:r>
      <w:r>
        <w:rPr>
          <w:color w:val="231F20"/>
          <w:spacing w:val="-11"/>
        </w:rPr>
        <w:t xml:space="preserve"> </w:t>
      </w:r>
      <w:r>
        <w:rPr>
          <w:color w:val="231F20"/>
        </w:rPr>
        <w:t>становить</w:t>
      </w:r>
      <w:r>
        <w:rPr>
          <w:color w:val="231F20"/>
          <w:spacing w:val="-11"/>
        </w:rPr>
        <w:t xml:space="preserve"> </w:t>
      </w:r>
      <w:r>
        <w:rPr>
          <w:color w:val="231F20"/>
        </w:rPr>
        <w:t>собою</w:t>
      </w:r>
      <w:r>
        <w:rPr>
          <w:color w:val="231F20"/>
          <w:spacing w:val="-11"/>
        </w:rPr>
        <w:t xml:space="preserve"> </w:t>
      </w:r>
      <w:r>
        <w:rPr>
          <w:color w:val="231F20"/>
        </w:rPr>
        <w:t>сукуп- ність адміністра</w:t>
      </w:r>
      <w:r>
        <w:rPr>
          <w:color w:val="231F20"/>
        </w:rPr>
        <w:t>тивних правовідносин, які виникають у зв’язку із застосуванням уповноваженими органами (посадовими особами) до</w:t>
      </w:r>
      <w:r>
        <w:rPr>
          <w:color w:val="231F20"/>
          <w:spacing w:val="10"/>
        </w:rPr>
        <w:t xml:space="preserve"> </w:t>
      </w:r>
      <w:r>
        <w:rPr>
          <w:color w:val="231F20"/>
        </w:rPr>
        <w:t>осіб,</w:t>
      </w:r>
      <w:r>
        <w:rPr>
          <w:color w:val="231F20"/>
          <w:spacing w:val="10"/>
        </w:rPr>
        <w:t xml:space="preserve"> </w:t>
      </w:r>
      <w:r>
        <w:rPr>
          <w:color w:val="231F20"/>
        </w:rPr>
        <w:t>що</w:t>
      </w:r>
      <w:r>
        <w:rPr>
          <w:color w:val="231F20"/>
          <w:spacing w:val="11"/>
        </w:rPr>
        <w:t xml:space="preserve"> </w:t>
      </w:r>
      <w:r>
        <w:rPr>
          <w:color w:val="231F20"/>
        </w:rPr>
        <w:t>вчинили</w:t>
      </w:r>
      <w:r>
        <w:rPr>
          <w:color w:val="231F20"/>
          <w:spacing w:val="10"/>
        </w:rPr>
        <w:t xml:space="preserve"> </w:t>
      </w:r>
      <w:r>
        <w:rPr>
          <w:color w:val="231F20"/>
        </w:rPr>
        <w:t>адміністративний</w:t>
      </w:r>
      <w:r>
        <w:rPr>
          <w:color w:val="231F20"/>
          <w:spacing w:val="10"/>
        </w:rPr>
        <w:t xml:space="preserve"> </w:t>
      </w:r>
      <w:r>
        <w:rPr>
          <w:color w:val="231F20"/>
        </w:rPr>
        <w:t>проступок,</w:t>
      </w:r>
      <w:r>
        <w:rPr>
          <w:color w:val="231F20"/>
          <w:spacing w:val="10"/>
        </w:rPr>
        <w:t xml:space="preserve"> </w:t>
      </w:r>
      <w:r>
        <w:rPr>
          <w:color w:val="231F20"/>
        </w:rPr>
        <w:t>передбачених</w:t>
      </w:r>
    </w:p>
    <w:p w14:paraId="07AA4D5E" w14:textId="48A41229" w:rsidR="00DE575E" w:rsidRDefault="002E7560">
      <w:pPr>
        <w:pStyle w:val="BodyText"/>
        <w:spacing w:before="11"/>
        <w:rPr>
          <w:sz w:val="20"/>
        </w:rPr>
      </w:pPr>
      <w:r>
        <w:rPr>
          <w:noProof/>
        </w:rPr>
        <mc:AlternateContent>
          <mc:Choice Requires="wps">
            <w:drawing>
              <wp:anchor distT="0" distB="0" distL="0" distR="0" simplePos="0" relativeHeight="17920" behindDoc="0" locked="0" layoutInCell="1" allowOverlap="1" wp14:anchorId="44219F21" wp14:editId="2CFEDE54">
                <wp:simplePos x="0" y="0"/>
                <wp:positionH relativeFrom="page">
                  <wp:posOffset>719455</wp:posOffset>
                </wp:positionH>
                <wp:positionV relativeFrom="paragraph">
                  <wp:posOffset>184150</wp:posOffset>
                </wp:positionV>
                <wp:extent cx="1080135" cy="0"/>
                <wp:effectExtent l="8255" t="19050" r="29210" b="19050"/>
                <wp:wrapTopAndBottom/>
                <wp:docPr id="24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8D415" id="Line_x0020_239" o:spid="_x0000_s1026" style="position:absolute;z-index:1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5pt" to="141.7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" strokecolor="#231f20" strokeweight=".5pt">
                <w10:wrap type="topAndBottom" anchorx="page"/>
              </v:line>
            </w:pict>
          </mc:Fallback>
        </mc:AlternateContent>
      </w:r>
    </w:p>
    <w:p w14:paraId="2B66B237" w14:textId="77777777" w:rsidR="00DE575E" w:rsidRDefault="002E7560">
      <w:pPr>
        <w:spacing w:line="162" w:lineRule="exact"/>
        <w:ind w:left="533"/>
        <w:rPr>
          <w:b/>
          <w:sz w:val="16"/>
        </w:rPr>
      </w:pPr>
      <w:r>
        <w:rPr>
          <w:color w:val="231F20"/>
          <w:position w:val="5"/>
          <w:sz w:val="9"/>
        </w:rPr>
        <w:t xml:space="preserve">1 </w:t>
      </w:r>
      <w:r>
        <w:rPr>
          <w:color w:val="231F20"/>
          <w:sz w:val="16"/>
        </w:rPr>
        <w:t xml:space="preserve">За загальною редакцією </w:t>
      </w:r>
      <w:r>
        <w:rPr>
          <w:b/>
          <w:color w:val="231F20"/>
          <w:sz w:val="16"/>
        </w:rPr>
        <w:t>Оксани Кузьменко.</w:t>
      </w:r>
    </w:p>
    <w:p w14:paraId="1DCFC21F" w14:textId="77777777" w:rsidR="00DE575E" w:rsidRDefault="002E7560">
      <w:pPr>
        <w:ind w:left="533"/>
        <w:rPr>
          <w:b/>
          <w:sz w:val="16"/>
        </w:rPr>
      </w:pPr>
      <w:r>
        <w:rPr>
          <w:color w:val="231F20"/>
          <w:position w:val="5"/>
          <w:sz w:val="9"/>
        </w:rPr>
        <w:t xml:space="preserve">2 </w:t>
      </w:r>
      <w:r>
        <w:rPr>
          <w:color w:val="231F20"/>
          <w:sz w:val="16"/>
        </w:rPr>
        <w:t xml:space="preserve">Автор: </w:t>
      </w:r>
      <w:r>
        <w:rPr>
          <w:b/>
          <w:color w:val="231F20"/>
          <w:sz w:val="16"/>
        </w:rPr>
        <w:t>Вікторія Чорна.</w:t>
      </w:r>
    </w:p>
    <w:p w14:paraId="4656E672" w14:textId="77777777" w:rsidR="00DE575E" w:rsidRDefault="002E7560">
      <w:pPr>
        <w:spacing w:before="24" w:line="204" w:lineRule="auto"/>
        <w:ind w:left="533" w:right="521"/>
        <w:rPr>
          <w:sz w:val="16"/>
        </w:rPr>
      </w:pPr>
      <w:r>
        <w:rPr>
          <w:color w:val="231F20"/>
          <w:position w:val="5"/>
          <w:sz w:val="9"/>
        </w:rPr>
        <w:t xml:space="preserve">3 </w:t>
      </w:r>
      <w:r>
        <w:rPr>
          <w:color w:val="231F20"/>
          <w:sz w:val="16"/>
        </w:rPr>
        <w:t>Конституція України : Прийнята Верховною Радою України 28 черв. 1996 року із змінами і доповненнями, внесеними Законом України від 8 груд. 2004 р. № 2222-IV.</w:t>
      </w:r>
    </w:p>
    <w:p w14:paraId="0ED36C53" w14:textId="77777777" w:rsidR="00DE575E" w:rsidRDefault="00DE575E">
      <w:pPr>
        <w:pStyle w:val="BodyText"/>
        <w:spacing w:before="5"/>
        <w:rPr>
          <w:sz w:val="12"/>
        </w:rPr>
      </w:pPr>
    </w:p>
    <w:p w14:paraId="5FEF5583" w14:textId="77777777" w:rsidR="00DE575E" w:rsidRDefault="002E7560">
      <w:pPr>
        <w:spacing w:before="92"/>
        <w:ind w:left="533"/>
        <w:rPr>
          <w:rFonts w:ascii="Times New Roman"/>
          <w:sz w:val="20"/>
        </w:rPr>
      </w:pPr>
      <w:r>
        <w:rPr>
          <w:rFonts w:ascii="Times New Roman"/>
          <w:color w:val="231F20"/>
          <w:sz w:val="20"/>
        </w:rPr>
        <w:t>466</w:t>
      </w:r>
    </w:p>
    <w:p w14:paraId="7BB0669E" w14:textId="77777777" w:rsidR="00DE575E" w:rsidRDefault="00DE575E">
      <w:pPr>
        <w:rPr>
          <w:rFonts w:ascii="Times New Roman"/>
          <w:sz w:val="20"/>
        </w:rPr>
        <w:sectPr w:rsidR="00DE575E">
          <w:pgSz w:w="8510" w:h="12760"/>
          <w:pgMar w:top="1180" w:right="720" w:bottom="280" w:left="600" w:header="720" w:footer="720" w:gutter="0"/>
          <w:cols w:space="720"/>
        </w:sectPr>
      </w:pPr>
    </w:p>
    <w:p w14:paraId="395DA80C"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Адміністративна від</w:t>
      </w:r>
      <w:r>
        <w:rPr>
          <w:rFonts w:ascii="AdonisC" w:hAnsi="AdonisC"/>
          <w:i/>
          <w:color w:val="231F20"/>
          <w:sz w:val="18"/>
        </w:rPr>
        <w:t>повідальність як вид юридичної відповідальності</w:t>
      </w:r>
    </w:p>
    <w:p w14:paraId="59049685" w14:textId="4858374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8E29C8A" wp14:editId="5266AF19">
                <wp:extent cx="4140200" cy="6350"/>
                <wp:effectExtent l="0" t="0" r="12700" b="6350"/>
                <wp:docPr id="23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39" name="Line 23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2DDB8" id="Group_x0020_23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j5JEcX4CAACYBQAADgAA&#10;AAAAAAAAAAAAAAAsAgAAZHJzL2Uyb0RvYy54bWxQSwECLQAUAAYACAAAACEATKewkNkAAAADAQAA&#10;DwAAAAAAAAAAAAAAAADWBAAAZHJzL2Rvd25yZXYueG1sUEsFBgAAAAAEAAQA8wAAANwFAAAAAA==&#10;">
                <v:line id="Line_x0020_23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LKcYAAADcAAAADwAAAGRycy9kb3ducmV2LnhtbESP0WrCQBRE3wv9h+UWfCm60UDR6CpF&#10;EMQHrcYPuGavSeju3ZhdTdqv7xYKfRxm5gyzWPXWiAe1vnasYDxKQBAXTtdcKjjnm+EUhA/IGo1j&#10;UvBFHlbL56cFZtp1fKTHKZQiQthnqKAKocmk9EVFFv3INcTRu7rWYoiyLaVusYtwa+QkSd6kxZrj&#10;QoUNrSsqPk93qyC/vQbzcdiZLj9cUnm57dPv+16pwUv/PgcRqA//4b/2ViuYpD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P3SynGAAAA3AAAAA8AAAAAAAAA&#10;AAAAAAAAoQIAAGRycy9kb3ducmV2LnhtbFBLBQYAAAAABAAEAPkAAACUAwAAAAA=&#10;" strokecolor="#231f20" strokeweight=".5pt"/>
                <w10:anchorlock/>
              </v:group>
            </w:pict>
          </mc:Fallback>
        </mc:AlternateContent>
      </w:r>
    </w:p>
    <w:p w14:paraId="200F5512" w14:textId="77777777" w:rsidR="00DE575E" w:rsidRDefault="00DE575E">
      <w:pPr>
        <w:pStyle w:val="BodyText"/>
        <w:spacing w:before="7"/>
        <w:rPr>
          <w:rFonts w:ascii="AdonisC"/>
          <w:i/>
          <w:sz w:val="19"/>
        </w:rPr>
      </w:pPr>
    </w:p>
    <w:p w14:paraId="073F4479" w14:textId="77777777" w:rsidR="00DE575E" w:rsidRDefault="002E7560">
      <w:pPr>
        <w:pStyle w:val="BodyText"/>
        <w:spacing w:before="1" w:line="252" w:lineRule="auto"/>
        <w:ind w:left="250"/>
      </w:pPr>
      <w:r>
        <w:rPr>
          <w:color w:val="231F20"/>
        </w:rPr>
        <w:t>нормами адміністративного права особливих санкцій – адміністра- тивних стягнень</w:t>
      </w:r>
      <w:r>
        <w:rPr>
          <w:color w:val="231F20"/>
          <w:position w:val="7"/>
          <w:sz w:val="12"/>
        </w:rPr>
        <w:t>1</w:t>
      </w:r>
      <w:r>
        <w:rPr>
          <w:color w:val="231F20"/>
        </w:rPr>
        <w:t>.</w:t>
      </w:r>
    </w:p>
    <w:p w14:paraId="21327A86" w14:textId="77777777" w:rsidR="00DE575E" w:rsidRDefault="002E7560">
      <w:pPr>
        <w:pStyle w:val="BodyText"/>
        <w:spacing w:before="1" w:line="252" w:lineRule="auto"/>
        <w:ind w:left="250" w:right="410" w:firstLine="283"/>
        <w:jc w:val="both"/>
      </w:pPr>
      <w:r>
        <w:rPr>
          <w:color w:val="231F20"/>
          <w:spacing w:val="-12"/>
        </w:rPr>
        <w:t>Т.</w:t>
      </w:r>
      <w:r>
        <w:rPr>
          <w:color w:val="231F20"/>
          <w:spacing w:val="21"/>
        </w:rPr>
        <w:t xml:space="preserve"> </w:t>
      </w:r>
      <w:r>
        <w:rPr>
          <w:color w:val="231F20"/>
        </w:rPr>
        <w:t>Коломоєць формулює адміністративну відповідальність як р</w:t>
      </w:r>
      <w:r>
        <w:rPr>
          <w:color w:val="231F20"/>
        </w:rPr>
        <w:t>ізновид юридичної відповідальності, специфічну форму негатив- ного реагування з боку держави в особі уповноважених органів на відповідну категорію протиправних діянь (насамперед адміністра- тивних</w:t>
      </w:r>
      <w:r>
        <w:rPr>
          <w:color w:val="231F20"/>
          <w:spacing w:val="-16"/>
        </w:rPr>
        <w:t xml:space="preserve"> </w:t>
      </w:r>
      <w:r>
        <w:rPr>
          <w:color w:val="231F20"/>
        </w:rPr>
        <w:t>проступків),</w:t>
      </w:r>
      <w:r>
        <w:rPr>
          <w:color w:val="231F20"/>
          <w:spacing w:val="-16"/>
        </w:rPr>
        <w:t xml:space="preserve"> </w:t>
      </w:r>
      <w:r>
        <w:rPr>
          <w:color w:val="231F20"/>
        </w:rPr>
        <w:t>а</w:t>
      </w:r>
      <w:r>
        <w:rPr>
          <w:color w:val="231F20"/>
          <w:spacing w:val="-15"/>
        </w:rPr>
        <w:t xml:space="preserve"> </w:t>
      </w:r>
      <w:r>
        <w:rPr>
          <w:color w:val="231F20"/>
        </w:rPr>
        <w:t>особи,</w:t>
      </w:r>
      <w:r>
        <w:rPr>
          <w:color w:val="231F20"/>
          <w:spacing w:val="-16"/>
        </w:rPr>
        <w:t xml:space="preserve"> </w:t>
      </w:r>
      <w:r>
        <w:rPr>
          <w:color w:val="231F20"/>
        </w:rPr>
        <w:t>які</w:t>
      </w:r>
      <w:r>
        <w:rPr>
          <w:color w:val="231F20"/>
          <w:spacing w:val="-16"/>
        </w:rPr>
        <w:t xml:space="preserve"> </w:t>
      </w:r>
      <w:r>
        <w:rPr>
          <w:color w:val="231F20"/>
        </w:rPr>
        <w:t>вчинили</w:t>
      </w:r>
      <w:r>
        <w:rPr>
          <w:color w:val="231F20"/>
          <w:spacing w:val="-16"/>
        </w:rPr>
        <w:t xml:space="preserve"> </w:t>
      </w:r>
      <w:r>
        <w:rPr>
          <w:color w:val="231F20"/>
        </w:rPr>
        <w:t>зазначені</w:t>
      </w:r>
      <w:r>
        <w:rPr>
          <w:color w:val="231F20"/>
          <w:spacing w:val="-16"/>
        </w:rPr>
        <w:t xml:space="preserve"> </w:t>
      </w:r>
      <w:r>
        <w:rPr>
          <w:color w:val="231F20"/>
        </w:rPr>
        <w:t>правопорушення, мусять</w:t>
      </w:r>
      <w:r>
        <w:rPr>
          <w:color w:val="231F20"/>
          <w:spacing w:val="-7"/>
        </w:rPr>
        <w:t xml:space="preserve"> </w:t>
      </w:r>
      <w:r>
        <w:rPr>
          <w:color w:val="231F20"/>
        </w:rPr>
        <w:t>відповісти</w:t>
      </w:r>
      <w:r>
        <w:rPr>
          <w:color w:val="231F20"/>
          <w:spacing w:val="-7"/>
        </w:rPr>
        <w:t xml:space="preserve"> </w:t>
      </w:r>
      <w:r>
        <w:rPr>
          <w:color w:val="231F20"/>
        </w:rPr>
        <w:t>перед</w:t>
      </w:r>
      <w:r>
        <w:rPr>
          <w:color w:val="231F20"/>
          <w:spacing w:val="-7"/>
        </w:rPr>
        <w:t xml:space="preserve"> </w:t>
      </w:r>
      <w:r>
        <w:rPr>
          <w:color w:val="231F20"/>
        </w:rPr>
        <w:t>уповноваженим</w:t>
      </w:r>
      <w:r>
        <w:rPr>
          <w:color w:val="231F20"/>
          <w:spacing w:val="-7"/>
        </w:rPr>
        <w:t xml:space="preserve"> </w:t>
      </w:r>
      <w:r>
        <w:rPr>
          <w:color w:val="231F20"/>
        </w:rPr>
        <w:t>державним</w:t>
      </w:r>
      <w:r>
        <w:rPr>
          <w:color w:val="231F20"/>
          <w:spacing w:val="-7"/>
        </w:rPr>
        <w:t xml:space="preserve"> </w:t>
      </w:r>
      <w:r>
        <w:rPr>
          <w:color w:val="231F20"/>
        </w:rPr>
        <w:t>органом</w:t>
      </w:r>
      <w:r>
        <w:rPr>
          <w:color w:val="231F20"/>
          <w:spacing w:val="-7"/>
        </w:rPr>
        <w:t xml:space="preserve"> </w:t>
      </w:r>
      <w:r>
        <w:rPr>
          <w:color w:val="231F20"/>
        </w:rPr>
        <w:t>за</w:t>
      </w:r>
      <w:r>
        <w:rPr>
          <w:color w:val="231F20"/>
          <w:spacing w:val="-7"/>
        </w:rPr>
        <w:t xml:space="preserve"> </w:t>
      </w:r>
      <w:r>
        <w:rPr>
          <w:color w:val="231F20"/>
        </w:rPr>
        <w:t>свої неправомірні</w:t>
      </w:r>
      <w:r>
        <w:rPr>
          <w:color w:val="231F20"/>
          <w:spacing w:val="-11"/>
        </w:rPr>
        <w:t xml:space="preserve"> </w:t>
      </w:r>
      <w:r>
        <w:rPr>
          <w:color w:val="231F20"/>
        </w:rPr>
        <w:t>дії</w:t>
      </w:r>
      <w:r>
        <w:rPr>
          <w:color w:val="231F20"/>
          <w:spacing w:val="-11"/>
        </w:rPr>
        <w:t xml:space="preserve"> </w:t>
      </w:r>
      <w:r>
        <w:rPr>
          <w:color w:val="231F20"/>
        </w:rPr>
        <w:t>та</w:t>
      </w:r>
      <w:r>
        <w:rPr>
          <w:color w:val="231F20"/>
          <w:spacing w:val="-11"/>
        </w:rPr>
        <w:t xml:space="preserve"> </w:t>
      </w:r>
      <w:r>
        <w:rPr>
          <w:color w:val="231F20"/>
        </w:rPr>
        <w:t>понести</w:t>
      </w:r>
      <w:r>
        <w:rPr>
          <w:color w:val="231F20"/>
          <w:spacing w:val="-11"/>
        </w:rPr>
        <w:t xml:space="preserve"> </w:t>
      </w:r>
      <w:r>
        <w:rPr>
          <w:color w:val="231F20"/>
        </w:rPr>
        <w:t>адміністративне</w:t>
      </w:r>
      <w:r>
        <w:rPr>
          <w:color w:val="231F20"/>
          <w:spacing w:val="-11"/>
        </w:rPr>
        <w:t xml:space="preserve"> </w:t>
      </w:r>
      <w:r>
        <w:rPr>
          <w:color w:val="231F20"/>
        </w:rPr>
        <w:t>стягнення</w:t>
      </w:r>
      <w:r>
        <w:rPr>
          <w:color w:val="231F20"/>
          <w:spacing w:val="-10"/>
        </w:rPr>
        <w:t xml:space="preserve"> </w:t>
      </w:r>
      <w:r>
        <w:rPr>
          <w:color w:val="231F20"/>
        </w:rPr>
        <w:t>в</w:t>
      </w:r>
      <w:r>
        <w:rPr>
          <w:color w:val="231F20"/>
          <w:spacing w:val="-8"/>
        </w:rPr>
        <w:t xml:space="preserve"> </w:t>
      </w:r>
      <w:r>
        <w:rPr>
          <w:color w:val="231F20"/>
        </w:rPr>
        <w:t>установле- них законом формах і</w:t>
      </w:r>
      <w:r>
        <w:rPr>
          <w:color w:val="231F20"/>
          <w:spacing w:val="-3"/>
        </w:rPr>
        <w:t xml:space="preserve"> </w:t>
      </w:r>
      <w:r>
        <w:rPr>
          <w:color w:val="231F20"/>
        </w:rPr>
        <w:t>порядку</w:t>
      </w:r>
      <w:r>
        <w:rPr>
          <w:color w:val="231F20"/>
          <w:position w:val="7"/>
          <w:sz w:val="12"/>
        </w:rPr>
        <w:t>2</w:t>
      </w:r>
      <w:r>
        <w:rPr>
          <w:color w:val="231F20"/>
        </w:rPr>
        <w:t>.</w:t>
      </w:r>
    </w:p>
    <w:p w14:paraId="289332BC" w14:textId="77777777" w:rsidR="00DE575E" w:rsidRDefault="002E7560">
      <w:pPr>
        <w:pStyle w:val="BodyText"/>
        <w:spacing w:before="4" w:line="252" w:lineRule="auto"/>
        <w:ind w:left="250" w:right="411" w:firstLine="283"/>
        <w:jc w:val="both"/>
      </w:pPr>
      <w:r>
        <w:rPr>
          <w:color w:val="231F20"/>
        </w:rPr>
        <w:t xml:space="preserve">А. </w:t>
      </w:r>
      <w:r>
        <w:rPr>
          <w:color w:val="231F20"/>
          <w:spacing w:val="-3"/>
        </w:rPr>
        <w:t xml:space="preserve">Комзюк розкриває адміністративну відповідальність </w:t>
      </w:r>
      <w:r>
        <w:rPr>
          <w:color w:val="231F20"/>
        </w:rPr>
        <w:t xml:space="preserve">як </w:t>
      </w:r>
      <w:r>
        <w:rPr>
          <w:color w:val="231F20"/>
          <w:spacing w:val="-3"/>
        </w:rPr>
        <w:t>застосу- вання</w:t>
      </w:r>
      <w:r>
        <w:rPr>
          <w:color w:val="231F20"/>
          <w:spacing w:val="-11"/>
        </w:rPr>
        <w:t xml:space="preserve"> </w:t>
      </w:r>
      <w:r>
        <w:rPr>
          <w:color w:val="231F20"/>
        </w:rPr>
        <w:t>до</w:t>
      </w:r>
      <w:r>
        <w:rPr>
          <w:color w:val="231F20"/>
          <w:spacing w:val="-11"/>
        </w:rPr>
        <w:t xml:space="preserve"> </w:t>
      </w:r>
      <w:r>
        <w:rPr>
          <w:color w:val="231F20"/>
        </w:rPr>
        <w:t>осіб</w:t>
      </w:r>
      <w:r>
        <w:rPr>
          <w:color w:val="231F20"/>
        </w:rPr>
        <w:t>,</w:t>
      </w:r>
      <w:r>
        <w:rPr>
          <w:color w:val="231F20"/>
          <w:spacing w:val="-11"/>
        </w:rPr>
        <w:t xml:space="preserve"> </w:t>
      </w:r>
      <w:r>
        <w:rPr>
          <w:color w:val="231F20"/>
        </w:rPr>
        <w:t>які</w:t>
      </w:r>
      <w:r>
        <w:rPr>
          <w:color w:val="231F20"/>
          <w:spacing w:val="-11"/>
        </w:rPr>
        <w:t xml:space="preserve"> </w:t>
      </w:r>
      <w:r>
        <w:rPr>
          <w:color w:val="231F20"/>
        </w:rPr>
        <w:t>вчинили</w:t>
      </w:r>
      <w:r>
        <w:rPr>
          <w:color w:val="231F20"/>
          <w:spacing w:val="-11"/>
        </w:rPr>
        <w:t xml:space="preserve"> </w:t>
      </w:r>
      <w:r>
        <w:rPr>
          <w:color w:val="231F20"/>
          <w:spacing w:val="-3"/>
        </w:rPr>
        <w:t>адміністративні</w:t>
      </w:r>
      <w:r>
        <w:rPr>
          <w:color w:val="231F20"/>
          <w:spacing w:val="-11"/>
        </w:rPr>
        <w:t xml:space="preserve"> </w:t>
      </w:r>
      <w:r>
        <w:rPr>
          <w:color w:val="231F20"/>
          <w:spacing w:val="-3"/>
        </w:rPr>
        <w:t>проступки,</w:t>
      </w:r>
      <w:r>
        <w:rPr>
          <w:color w:val="231F20"/>
          <w:spacing w:val="-11"/>
        </w:rPr>
        <w:t xml:space="preserve"> </w:t>
      </w:r>
      <w:r>
        <w:rPr>
          <w:color w:val="231F20"/>
          <w:spacing w:val="-3"/>
        </w:rPr>
        <w:t xml:space="preserve">адміністратив- </w:t>
      </w:r>
      <w:r>
        <w:rPr>
          <w:color w:val="231F20"/>
        </w:rPr>
        <w:t>них</w:t>
      </w:r>
      <w:r>
        <w:rPr>
          <w:color w:val="231F20"/>
          <w:spacing w:val="-17"/>
        </w:rPr>
        <w:t xml:space="preserve"> </w:t>
      </w:r>
      <w:r>
        <w:rPr>
          <w:color w:val="231F20"/>
          <w:spacing w:val="-3"/>
        </w:rPr>
        <w:t>стягнень,</w:t>
      </w:r>
      <w:r>
        <w:rPr>
          <w:color w:val="231F20"/>
          <w:spacing w:val="-17"/>
        </w:rPr>
        <w:t xml:space="preserve"> </w:t>
      </w:r>
      <w:r>
        <w:rPr>
          <w:color w:val="231F20"/>
        </w:rPr>
        <w:t>що</w:t>
      </w:r>
      <w:r>
        <w:rPr>
          <w:color w:val="231F20"/>
          <w:spacing w:val="-17"/>
        </w:rPr>
        <w:t xml:space="preserve"> </w:t>
      </w:r>
      <w:r>
        <w:rPr>
          <w:color w:val="231F20"/>
          <w:spacing w:val="-3"/>
        </w:rPr>
        <w:t>зумовлюють</w:t>
      </w:r>
      <w:r>
        <w:rPr>
          <w:color w:val="231F20"/>
          <w:spacing w:val="-17"/>
        </w:rPr>
        <w:t xml:space="preserve"> </w:t>
      </w:r>
      <w:r>
        <w:rPr>
          <w:color w:val="231F20"/>
        </w:rPr>
        <w:t>для</w:t>
      </w:r>
      <w:r>
        <w:rPr>
          <w:color w:val="231F20"/>
          <w:spacing w:val="-17"/>
        </w:rPr>
        <w:t xml:space="preserve"> </w:t>
      </w:r>
      <w:r>
        <w:rPr>
          <w:color w:val="231F20"/>
        </w:rPr>
        <w:t>цих</w:t>
      </w:r>
      <w:r>
        <w:rPr>
          <w:color w:val="231F20"/>
          <w:spacing w:val="-17"/>
        </w:rPr>
        <w:t xml:space="preserve"> </w:t>
      </w:r>
      <w:r>
        <w:rPr>
          <w:color w:val="231F20"/>
        </w:rPr>
        <w:t>осіб</w:t>
      </w:r>
      <w:r>
        <w:rPr>
          <w:color w:val="231F20"/>
          <w:spacing w:val="-17"/>
        </w:rPr>
        <w:t xml:space="preserve"> </w:t>
      </w:r>
      <w:r>
        <w:rPr>
          <w:color w:val="231F20"/>
          <w:spacing w:val="-3"/>
        </w:rPr>
        <w:t>обтяжливі</w:t>
      </w:r>
      <w:r>
        <w:rPr>
          <w:color w:val="231F20"/>
          <w:spacing w:val="-17"/>
        </w:rPr>
        <w:t xml:space="preserve"> </w:t>
      </w:r>
      <w:r>
        <w:rPr>
          <w:color w:val="231F20"/>
          <w:spacing w:val="-3"/>
        </w:rPr>
        <w:t>наслідки</w:t>
      </w:r>
      <w:r>
        <w:rPr>
          <w:color w:val="231F20"/>
          <w:spacing w:val="-17"/>
        </w:rPr>
        <w:t xml:space="preserve"> </w:t>
      </w:r>
      <w:r>
        <w:rPr>
          <w:color w:val="231F20"/>
          <w:spacing w:val="-3"/>
        </w:rPr>
        <w:t xml:space="preserve">майно- </w:t>
      </w:r>
      <w:r>
        <w:rPr>
          <w:color w:val="231F20"/>
        </w:rPr>
        <w:t xml:space="preserve">вого, </w:t>
      </w:r>
      <w:r>
        <w:rPr>
          <w:color w:val="231F20"/>
          <w:spacing w:val="-3"/>
        </w:rPr>
        <w:t xml:space="preserve">морального, особистісного </w:t>
      </w:r>
      <w:r>
        <w:rPr>
          <w:color w:val="231F20"/>
        </w:rPr>
        <w:t xml:space="preserve">чи </w:t>
      </w:r>
      <w:r>
        <w:rPr>
          <w:color w:val="231F20"/>
          <w:spacing w:val="-3"/>
        </w:rPr>
        <w:t xml:space="preserve">іншого </w:t>
      </w:r>
      <w:r>
        <w:rPr>
          <w:color w:val="231F20"/>
          <w:spacing w:val="-4"/>
        </w:rPr>
        <w:t xml:space="preserve">характеру </w:t>
      </w:r>
      <w:r>
        <w:rPr>
          <w:color w:val="231F20"/>
        </w:rPr>
        <w:t xml:space="preserve">і </w:t>
      </w:r>
      <w:r>
        <w:rPr>
          <w:color w:val="231F20"/>
          <w:spacing w:val="-3"/>
        </w:rPr>
        <w:t>накладаються уповноваженими</w:t>
      </w:r>
      <w:r>
        <w:rPr>
          <w:color w:val="231F20"/>
          <w:spacing w:val="-13"/>
        </w:rPr>
        <w:t xml:space="preserve"> </w:t>
      </w:r>
      <w:r>
        <w:rPr>
          <w:color w:val="231F20"/>
        </w:rPr>
        <w:t>на</w:t>
      </w:r>
      <w:r>
        <w:rPr>
          <w:color w:val="231F20"/>
          <w:spacing w:val="-13"/>
        </w:rPr>
        <w:t xml:space="preserve"> </w:t>
      </w:r>
      <w:r>
        <w:rPr>
          <w:color w:val="231F20"/>
        </w:rPr>
        <w:t>те</w:t>
      </w:r>
      <w:r>
        <w:rPr>
          <w:color w:val="231F20"/>
          <w:spacing w:val="-13"/>
        </w:rPr>
        <w:t xml:space="preserve"> </w:t>
      </w:r>
      <w:r>
        <w:rPr>
          <w:color w:val="231F20"/>
          <w:spacing w:val="-3"/>
        </w:rPr>
        <w:t>органами</w:t>
      </w:r>
      <w:r>
        <w:rPr>
          <w:color w:val="231F20"/>
          <w:spacing w:val="-13"/>
        </w:rPr>
        <w:t xml:space="preserve"> </w:t>
      </w:r>
      <w:r>
        <w:rPr>
          <w:color w:val="231F20"/>
        </w:rPr>
        <w:t>чи</w:t>
      </w:r>
      <w:r>
        <w:rPr>
          <w:color w:val="231F20"/>
          <w:spacing w:val="-13"/>
        </w:rPr>
        <w:t xml:space="preserve"> </w:t>
      </w:r>
      <w:r>
        <w:rPr>
          <w:color w:val="231F20"/>
          <w:spacing w:val="-3"/>
        </w:rPr>
        <w:t>посадовими</w:t>
      </w:r>
      <w:r>
        <w:rPr>
          <w:color w:val="231F20"/>
          <w:spacing w:val="-13"/>
        </w:rPr>
        <w:t xml:space="preserve"> </w:t>
      </w:r>
      <w:r>
        <w:rPr>
          <w:color w:val="231F20"/>
        </w:rPr>
        <w:t>особами</w:t>
      </w:r>
      <w:r>
        <w:rPr>
          <w:color w:val="231F20"/>
          <w:spacing w:val="-13"/>
        </w:rPr>
        <w:t xml:space="preserve"> </w:t>
      </w:r>
      <w:r>
        <w:rPr>
          <w:color w:val="231F20"/>
        </w:rPr>
        <w:t>на</w:t>
      </w:r>
      <w:r>
        <w:rPr>
          <w:color w:val="231F20"/>
          <w:spacing w:val="-13"/>
        </w:rPr>
        <w:t xml:space="preserve"> </w:t>
      </w:r>
      <w:r>
        <w:rPr>
          <w:color w:val="231F20"/>
          <w:spacing w:val="-3"/>
        </w:rPr>
        <w:t xml:space="preserve">підставах </w:t>
      </w:r>
      <w:r>
        <w:rPr>
          <w:color w:val="231F20"/>
        </w:rPr>
        <w:t xml:space="preserve">і у </w:t>
      </w:r>
      <w:r>
        <w:rPr>
          <w:color w:val="231F20"/>
          <w:spacing w:val="-5"/>
        </w:rPr>
        <w:t xml:space="preserve">порядку, </w:t>
      </w:r>
      <w:r>
        <w:rPr>
          <w:color w:val="231F20"/>
          <w:spacing w:val="-4"/>
        </w:rPr>
        <w:t xml:space="preserve">установлених </w:t>
      </w:r>
      <w:r>
        <w:rPr>
          <w:color w:val="231F20"/>
          <w:spacing w:val="-3"/>
        </w:rPr>
        <w:t>нормами адміністративного</w:t>
      </w:r>
      <w:r>
        <w:rPr>
          <w:color w:val="231F20"/>
          <w:spacing w:val="-16"/>
        </w:rPr>
        <w:t xml:space="preserve"> </w:t>
      </w:r>
      <w:r>
        <w:rPr>
          <w:color w:val="231F20"/>
        </w:rPr>
        <w:t>права</w:t>
      </w:r>
      <w:r>
        <w:rPr>
          <w:color w:val="231F20"/>
          <w:position w:val="7"/>
          <w:sz w:val="12"/>
        </w:rPr>
        <w:t>3</w:t>
      </w:r>
      <w:r>
        <w:rPr>
          <w:color w:val="231F20"/>
        </w:rPr>
        <w:t>.</w:t>
      </w:r>
    </w:p>
    <w:p w14:paraId="320E17C9" w14:textId="77777777" w:rsidR="00DE575E" w:rsidRDefault="002E7560">
      <w:pPr>
        <w:spacing w:before="3" w:line="252" w:lineRule="auto"/>
        <w:ind w:left="250" w:right="411" w:firstLine="283"/>
        <w:jc w:val="both"/>
        <w:rPr>
          <w:sz w:val="21"/>
        </w:rPr>
      </w:pPr>
      <w:r>
        <w:rPr>
          <w:color w:val="231F20"/>
          <w:sz w:val="21"/>
        </w:rPr>
        <w:t>Найбільш</w:t>
      </w:r>
      <w:r>
        <w:rPr>
          <w:color w:val="231F20"/>
          <w:spacing w:val="-5"/>
          <w:sz w:val="21"/>
        </w:rPr>
        <w:t xml:space="preserve"> </w:t>
      </w:r>
      <w:r>
        <w:rPr>
          <w:color w:val="231F20"/>
          <w:sz w:val="21"/>
        </w:rPr>
        <w:t>повною,</w:t>
      </w:r>
      <w:r>
        <w:rPr>
          <w:color w:val="231F20"/>
          <w:spacing w:val="-5"/>
          <w:sz w:val="21"/>
        </w:rPr>
        <w:t xml:space="preserve"> </w:t>
      </w:r>
      <w:r>
        <w:rPr>
          <w:color w:val="231F20"/>
          <w:sz w:val="21"/>
        </w:rPr>
        <w:t>на</w:t>
      </w:r>
      <w:r>
        <w:rPr>
          <w:color w:val="231F20"/>
          <w:spacing w:val="-5"/>
          <w:sz w:val="21"/>
        </w:rPr>
        <w:t xml:space="preserve"> </w:t>
      </w:r>
      <w:r>
        <w:rPr>
          <w:color w:val="231F20"/>
          <w:sz w:val="21"/>
        </w:rPr>
        <w:t>наш</w:t>
      </w:r>
      <w:r>
        <w:rPr>
          <w:color w:val="231F20"/>
          <w:spacing w:val="-5"/>
          <w:sz w:val="21"/>
        </w:rPr>
        <w:t xml:space="preserve"> </w:t>
      </w:r>
      <w:r>
        <w:rPr>
          <w:color w:val="231F20"/>
          <w:sz w:val="21"/>
        </w:rPr>
        <w:t>погляд,</w:t>
      </w:r>
      <w:r>
        <w:rPr>
          <w:color w:val="231F20"/>
          <w:spacing w:val="-5"/>
          <w:sz w:val="21"/>
        </w:rPr>
        <w:t xml:space="preserve"> </w:t>
      </w:r>
      <w:r>
        <w:rPr>
          <w:color w:val="231F20"/>
          <w:sz w:val="21"/>
        </w:rPr>
        <w:t>є</w:t>
      </w:r>
      <w:r>
        <w:rPr>
          <w:color w:val="231F20"/>
          <w:spacing w:val="-6"/>
          <w:sz w:val="21"/>
        </w:rPr>
        <w:t xml:space="preserve"> </w:t>
      </w:r>
      <w:r>
        <w:rPr>
          <w:color w:val="231F20"/>
          <w:sz w:val="21"/>
        </w:rPr>
        <w:t>дефініція,</w:t>
      </w:r>
      <w:r>
        <w:rPr>
          <w:color w:val="231F20"/>
          <w:spacing w:val="-5"/>
          <w:sz w:val="21"/>
        </w:rPr>
        <w:t xml:space="preserve"> </w:t>
      </w:r>
      <w:r>
        <w:rPr>
          <w:color w:val="231F20"/>
          <w:sz w:val="21"/>
        </w:rPr>
        <w:t>яку</w:t>
      </w:r>
      <w:r>
        <w:rPr>
          <w:color w:val="231F20"/>
          <w:spacing w:val="-5"/>
          <w:sz w:val="21"/>
        </w:rPr>
        <w:t xml:space="preserve"> </w:t>
      </w:r>
      <w:r>
        <w:rPr>
          <w:color w:val="231F20"/>
          <w:sz w:val="21"/>
        </w:rPr>
        <w:t xml:space="preserve">запропоновано </w:t>
      </w:r>
      <w:r>
        <w:rPr>
          <w:color w:val="231F20"/>
          <w:spacing w:val="-3"/>
          <w:sz w:val="21"/>
        </w:rPr>
        <w:t>В.</w:t>
      </w:r>
      <w:r>
        <w:rPr>
          <w:color w:val="231F20"/>
          <w:spacing w:val="-20"/>
          <w:sz w:val="21"/>
        </w:rPr>
        <w:t xml:space="preserve"> </w:t>
      </w:r>
      <w:r>
        <w:rPr>
          <w:color w:val="231F20"/>
          <w:sz w:val="21"/>
        </w:rPr>
        <w:t>Колпаковим:</w:t>
      </w:r>
      <w:r>
        <w:rPr>
          <w:color w:val="231F20"/>
          <w:spacing w:val="-20"/>
          <w:sz w:val="21"/>
        </w:rPr>
        <w:t xml:space="preserve"> </w:t>
      </w:r>
      <w:r>
        <w:rPr>
          <w:b/>
          <w:i/>
          <w:color w:val="231F20"/>
          <w:sz w:val="21"/>
        </w:rPr>
        <w:t>адміністративна</w:t>
      </w:r>
      <w:r>
        <w:rPr>
          <w:b/>
          <w:i/>
          <w:color w:val="231F20"/>
          <w:spacing w:val="-19"/>
          <w:sz w:val="21"/>
        </w:rPr>
        <w:t xml:space="preserve"> </w:t>
      </w:r>
      <w:r>
        <w:rPr>
          <w:b/>
          <w:i/>
          <w:color w:val="231F20"/>
          <w:sz w:val="21"/>
        </w:rPr>
        <w:t>відповідальність</w:t>
      </w:r>
      <w:r>
        <w:rPr>
          <w:b/>
          <w:i/>
          <w:color w:val="231F20"/>
          <w:spacing w:val="-22"/>
          <w:sz w:val="21"/>
        </w:rPr>
        <w:t xml:space="preserve"> </w:t>
      </w:r>
      <w:r>
        <w:rPr>
          <w:b/>
          <w:color w:val="231F20"/>
          <w:sz w:val="21"/>
        </w:rPr>
        <w:t>–</w:t>
      </w:r>
      <w:r>
        <w:rPr>
          <w:b/>
          <w:color w:val="231F20"/>
          <w:spacing w:val="-20"/>
          <w:sz w:val="21"/>
        </w:rPr>
        <w:t xml:space="preserve"> </w:t>
      </w:r>
      <w:r>
        <w:rPr>
          <w:color w:val="231F20"/>
          <w:sz w:val="21"/>
        </w:rPr>
        <w:t>це</w:t>
      </w:r>
      <w:r>
        <w:rPr>
          <w:color w:val="231F20"/>
          <w:spacing w:val="-20"/>
          <w:sz w:val="21"/>
        </w:rPr>
        <w:t xml:space="preserve"> </w:t>
      </w:r>
      <w:r>
        <w:rPr>
          <w:i/>
          <w:color w:val="231F20"/>
          <w:sz w:val="21"/>
        </w:rPr>
        <w:t xml:space="preserve">примусове, з додержанням встановленої процедури, застосування правомочним </w:t>
      </w:r>
      <w:r>
        <w:rPr>
          <w:i/>
          <w:color w:val="231F20"/>
          <w:spacing w:val="-3"/>
          <w:sz w:val="21"/>
        </w:rPr>
        <w:t xml:space="preserve">суб’єктом </w:t>
      </w:r>
      <w:r>
        <w:rPr>
          <w:i/>
          <w:color w:val="231F20"/>
          <w:sz w:val="21"/>
        </w:rPr>
        <w:t>передбачених законодавством за вчинення адміністра- тивного проступку заходів впливу, які виконані</w:t>
      </w:r>
      <w:r>
        <w:rPr>
          <w:i/>
          <w:color w:val="231F20"/>
          <w:spacing w:val="-29"/>
          <w:sz w:val="21"/>
        </w:rPr>
        <w:t xml:space="preserve"> </w:t>
      </w:r>
      <w:r>
        <w:rPr>
          <w:i/>
          <w:color w:val="231F20"/>
          <w:sz w:val="21"/>
        </w:rPr>
        <w:t>правопорушником</w:t>
      </w:r>
      <w:r>
        <w:rPr>
          <w:color w:val="231F20"/>
          <w:position w:val="7"/>
          <w:sz w:val="12"/>
        </w:rPr>
        <w:t>4</w:t>
      </w:r>
      <w:r>
        <w:rPr>
          <w:color w:val="231F20"/>
          <w:sz w:val="21"/>
        </w:rPr>
        <w:t>.</w:t>
      </w:r>
    </w:p>
    <w:p w14:paraId="61B34A6A" w14:textId="77777777" w:rsidR="00DE575E" w:rsidRDefault="002E7560">
      <w:pPr>
        <w:pStyle w:val="BodyText"/>
        <w:spacing w:before="2" w:line="252" w:lineRule="auto"/>
        <w:ind w:left="250" w:right="411" w:firstLine="283"/>
        <w:jc w:val="both"/>
      </w:pPr>
      <w:r>
        <w:rPr>
          <w:color w:val="231F20"/>
        </w:rPr>
        <w:t>Теорія адміністративного права виділяє такі види підстав адмі- ністративної відповідальності:</w:t>
      </w:r>
    </w:p>
    <w:p w14:paraId="363AC0E4" w14:textId="77777777" w:rsidR="00DE575E" w:rsidRDefault="002E7560">
      <w:pPr>
        <w:pStyle w:val="ListParagraph"/>
        <w:numPr>
          <w:ilvl w:val="0"/>
          <w:numId w:val="35"/>
        </w:numPr>
        <w:tabs>
          <w:tab w:val="left" w:pos="818"/>
        </w:tabs>
        <w:spacing w:line="252" w:lineRule="auto"/>
        <w:ind w:right="411" w:firstLine="283"/>
        <w:rPr>
          <w:sz w:val="21"/>
        </w:rPr>
      </w:pPr>
      <w:r>
        <w:rPr>
          <w:i/>
          <w:color w:val="231F20"/>
          <w:sz w:val="21"/>
        </w:rPr>
        <w:t xml:space="preserve">фактичні </w:t>
      </w:r>
      <w:r>
        <w:rPr>
          <w:color w:val="231F20"/>
          <w:sz w:val="21"/>
        </w:rPr>
        <w:t>(вчинення особою особливог</w:t>
      </w:r>
      <w:r>
        <w:rPr>
          <w:color w:val="231F20"/>
          <w:sz w:val="21"/>
        </w:rPr>
        <w:t>о виду правопору- шення – адміністративного (тобто наявність ознак такого правопо- рушення);</w:t>
      </w:r>
    </w:p>
    <w:p w14:paraId="0706B263" w14:textId="77777777" w:rsidR="00DE575E" w:rsidRDefault="002E7560">
      <w:pPr>
        <w:pStyle w:val="ListParagraph"/>
        <w:numPr>
          <w:ilvl w:val="0"/>
          <w:numId w:val="35"/>
        </w:numPr>
        <w:tabs>
          <w:tab w:val="left" w:pos="818"/>
        </w:tabs>
        <w:spacing w:before="2" w:line="252" w:lineRule="auto"/>
        <w:ind w:right="411" w:firstLine="283"/>
        <w:rPr>
          <w:sz w:val="21"/>
        </w:rPr>
      </w:pPr>
      <w:r>
        <w:rPr>
          <w:i/>
          <w:color w:val="231F20"/>
          <w:sz w:val="21"/>
        </w:rPr>
        <w:t xml:space="preserve">юридичні </w:t>
      </w:r>
      <w:r>
        <w:rPr>
          <w:color w:val="231F20"/>
          <w:sz w:val="21"/>
        </w:rPr>
        <w:t xml:space="preserve">(наявність у діях особи юридичного складу право- порушення – </w:t>
      </w:r>
      <w:r>
        <w:rPr>
          <w:color w:val="231F20"/>
          <w:spacing w:val="-3"/>
          <w:sz w:val="21"/>
        </w:rPr>
        <w:t xml:space="preserve">суб’єкта, суб’єктивної </w:t>
      </w:r>
      <w:r>
        <w:rPr>
          <w:color w:val="231F20"/>
          <w:sz w:val="21"/>
        </w:rPr>
        <w:t xml:space="preserve">сторони, </w:t>
      </w:r>
      <w:r>
        <w:rPr>
          <w:color w:val="231F20"/>
          <w:spacing w:val="-4"/>
          <w:sz w:val="21"/>
        </w:rPr>
        <w:t xml:space="preserve">об’єкта, </w:t>
      </w:r>
      <w:r>
        <w:rPr>
          <w:color w:val="231F20"/>
          <w:spacing w:val="-3"/>
          <w:sz w:val="21"/>
        </w:rPr>
        <w:t xml:space="preserve">об’єктивної </w:t>
      </w:r>
      <w:r>
        <w:rPr>
          <w:color w:val="231F20"/>
          <w:sz w:val="21"/>
        </w:rPr>
        <w:t>сторони);</w:t>
      </w:r>
    </w:p>
    <w:p w14:paraId="26F6455A" w14:textId="77777777" w:rsidR="00DE575E" w:rsidRDefault="002E7560">
      <w:pPr>
        <w:pStyle w:val="ListParagraph"/>
        <w:numPr>
          <w:ilvl w:val="0"/>
          <w:numId w:val="35"/>
        </w:numPr>
        <w:tabs>
          <w:tab w:val="left" w:pos="818"/>
        </w:tabs>
        <w:spacing w:line="252" w:lineRule="auto"/>
        <w:ind w:right="411" w:firstLine="283"/>
        <w:rPr>
          <w:sz w:val="21"/>
        </w:rPr>
      </w:pPr>
      <w:r>
        <w:rPr>
          <w:i/>
          <w:color w:val="231F20"/>
          <w:sz w:val="21"/>
        </w:rPr>
        <w:t xml:space="preserve">процесуальні </w:t>
      </w:r>
      <w:r>
        <w:rPr>
          <w:color w:val="231F20"/>
          <w:sz w:val="21"/>
        </w:rPr>
        <w:t>(наявність процес</w:t>
      </w:r>
      <w:r>
        <w:rPr>
          <w:color w:val="231F20"/>
          <w:sz w:val="21"/>
        </w:rPr>
        <w:t>уальних норм, які забезпечу- ють притягнення винної особи до адміністративної відповідаль- ності).</w:t>
      </w:r>
    </w:p>
    <w:p w14:paraId="50CF48D0" w14:textId="42616877" w:rsidR="00DE575E" w:rsidRDefault="002E7560">
      <w:pPr>
        <w:pStyle w:val="BodyText"/>
        <w:spacing w:before="4"/>
        <w:rPr>
          <w:sz w:val="18"/>
        </w:rPr>
      </w:pPr>
      <w:r>
        <w:rPr>
          <w:noProof/>
        </w:rPr>
        <mc:AlternateContent>
          <mc:Choice Requires="wps">
            <w:drawing>
              <wp:anchor distT="0" distB="0" distL="0" distR="0" simplePos="0" relativeHeight="17968" behindDoc="0" locked="0" layoutInCell="1" allowOverlap="1" wp14:anchorId="6BAAE751" wp14:editId="6BDE1891">
                <wp:simplePos x="0" y="0"/>
                <wp:positionH relativeFrom="page">
                  <wp:posOffset>539750</wp:posOffset>
                </wp:positionH>
                <wp:positionV relativeFrom="paragraph">
                  <wp:posOffset>164465</wp:posOffset>
                </wp:positionV>
                <wp:extent cx="1080135" cy="0"/>
                <wp:effectExtent l="6350" t="12065" r="31115" b="26035"/>
                <wp:wrapTopAndBottom/>
                <wp:docPr id="23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E329" id="Line_x0020_236" o:spid="_x0000_s1026" style="position:absolute;z-index:1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95pt" to="127.5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" strokecolor="#231f20" strokeweight=".5pt">
                <w10:wrap type="topAndBottom" anchorx="page"/>
              </v:line>
            </w:pict>
          </mc:Fallback>
        </mc:AlternateContent>
      </w:r>
    </w:p>
    <w:p w14:paraId="3B293977" w14:textId="77777777" w:rsidR="00DE575E" w:rsidRDefault="002E7560">
      <w:pPr>
        <w:spacing w:line="204" w:lineRule="auto"/>
        <w:ind w:left="250" w:right="411"/>
        <w:jc w:val="both"/>
        <w:rPr>
          <w:sz w:val="16"/>
        </w:rPr>
      </w:pPr>
      <w:r>
        <w:rPr>
          <w:color w:val="231F20"/>
          <w:position w:val="5"/>
          <w:sz w:val="9"/>
        </w:rPr>
        <w:t xml:space="preserve">1 </w:t>
      </w:r>
      <w:r>
        <w:rPr>
          <w:color w:val="231F20"/>
          <w:sz w:val="16"/>
        </w:rPr>
        <w:t>Адміністративне право України. Академічний курс: підручник: У двох томах: Том 1. Загальна частина / Ред. колегія: В. Б. Авер’янов (голова). Київ: Видавництво «Юридична думка», 2004. 584 с.</w:t>
      </w:r>
    </w:p>
    <w:p w14:paraId="378E6545" w14:textId="77777777" w:rsidR="00DE575E" w:rsidRDefault="002E7560">
      <w:pPr>
        <w:spacing w:before="4"/>
        <w:ind w:left="250"/>
        <w:rPr>
          <w:sz w:val="16"/>
        </w:rPr>
      </w:pPr>
      <w:r>
        <w:rPr>
          <w:color w:val="231F20"/>
          <w:position w:val="5"/>
          <w:sz w:val="9"/>
        </w:rPr>
        <w:t xml:space="preserve">2 </w:t>
      </w:r>
      <w:r>
        <w:rPr>
          <w:color w:val="231F20"/>
          <w:sz w:val="16"/>
        </w:rPr>
        <w:t>Коломоєць Т. Адміністративна відповідальність : навч. посіб. Київ</w:t>
      </w:r>
      <w:r>
        <w:rPr>
          <w:color w:val="231F20"/>
          <w:sz w:val="16"/>
        </w:rPr>
        <w:t>: Iстина, 2011. С. 10.</w:t>
      </w:r>
    </w:p>
    <w:p w14:paraId="6CCFD624" w14:textId="77777777" w:rsidR="00DE575E" w:rsidRDefault="002E7560">
      <w:pPr>
        <w:spacing w:before="23" w:line="204" w:lineRule="auto"/>
        <w:ind w:left="250" w:right="412"/>
        <w:jc w:val="both"/>
        <w:rPr>
          <w:sz w:val="16"/>
        </w:rPr>
      </w:pPr>
      <w:r>
        <w:rPr>
          <w:color w:val="231F20"/>
          <w:position w:val="5"/>
          <w:sz w:val="9"/>
        </w:rPr>
        <w:t xml:space="preserve">3 </w:t>
      </w:r>
      <w:r>
        <w:rPr>
          <w:color w:val="231F20"/>
          <w:sz w:val="16"/>
        </w:rPr>
        <w:t>Комзюк А., Бевзенко В., Мельник Р. Адміністративний процес України : Навчальний посібник. Київ: Прецедент, 2007. 531 с.</w:t>
      </w:r>
    </w:p>
    <w:p w14:paraId="7C570741" w14:textId="77777777" w:rsidR="00DE575E" w:rsidRDefault="002E7560">
      <w:pPr>
        <w:spacing w:before="30" w:line="204" w:lineRule="auto"/>
        <w:ind w:left="250" w:right="412"/>
        <w:jc w:val="both"/>
        <w:rPr>
          <w:sz w:val="16"/>
        </w:rPr>
      </w:pPr>
      <w:r>
        <w:rPr>
          <w:color w:val="231F20"/>
          <w:position w:val="5"/>
          <w:sz w:val="9"/>
        </w:rPr>
        <w:t xml:space="preserve">4 </w:t>
      </w:r>
      <w:r>
        <w:rPr>
          <w:color w:val="231F20"/>
          <w:sz w:val="16"/>
        </w:rPr>
        <w:t>Колпаков В. Деліктний феномен в адміністративному праві України : дис… докт. юрид. наук: 12.00.07 – теорія уп</w:t>
      </w:r>
      <w:r>
        <w:rPr>
          <w:color w:val="231F20"/>
          <w:sz w:val="16"/>
        </w:rPr>
        <w:t>равління; адміністративне право і процес; фінансове право; інформаційне право, Київ : Національна академія внутрішніх прав, 2005. 454 с.</w:t>
      </w:r>
    </w:p>
    <w:p w14:paraId="31BE4346" w14:textId="77777777" w:rsidR="00DE575E" w:rsidRDefault="00DE575E">
      <w:pPr>
        <w:pStyle w:val="BodyText"/>
        <w:spacing w:before="5"/>
        <w:rPr>
          <w:sz w:val="12"/>
        </w:rPr>
      </w:pPr>
    </w:p>
    <w:p w14:paraId="6B27953E" w14:textId="77777777" w:rsidR="00DE575E" w:rsidRDefault="002E7560">
      <w:pPr>
        <w:spacing w:before="92"/>
        <w:ind w:right="411"/>
        <w:jc w:val="right"/>
        <w:rPr>
          <w:rFonts w:ascii="Times New Roman"/>
          <w:sz w:val="20"/>
        </w:rPr>
      </w:pPr>
      <w:r>
        <w:rPr>
          <w:rFonts w:ascii="Times New Roman"/>
          <w:color w:val="231F20"/>
          <w:w w:val="90"/>
          <w:sz w:val="20"/>
        </w:rPr>
        <w:t>467</w:t>
      </w:r>
    </w:p>
    <w:p w14:paraId="689549E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2422A9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F67E738" w14:textId="49F37EF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678FADA" wp14:editId="47CE21CD">
                <wp:extent cx="4140200" cy="6350"/>
                <wp:effectExtent l="0" t="0" r="12700" b="6350"/>
                <wp:docPr id="23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36" name="Line 2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4FBF7" id="Group_x0020_2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TRAQR/AgAAmAUAAA4A&#10;AAAAAAAAAAAAAAAALAIAAGRycy9lMm9Eb2MueG1sUEsBAi0AFAAGAAgAAAAhAEynsJDZAAAAAwEA&#10;AA8AAAAAAAAAAAAAAAAA1wQAAGRycy9kb3ducmV2LnhtbFBLBQYAAAAABAAEAPMAAADdBQAAAAA=&#10;">
                <v:line id="Line_x0020_2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jfW8YAAADcAAAADwAAAGRycy9kb3ducmV2LnhtbESP0WrCQBRE3wX/YblCX6RuakAkdRUR&#10;CuKDWuMHXLO3Seju3ZhdTdqv7woFH4eZOcMsVr014k6trx0reJskIIgLp2suFZzzj9c5CB+QNRrH&#10;pOCHPKyWw8ECM+06/qT7KZQiQthnqKAKocmk9EVFFv3ENcTR+3KtxRBlW0rdYhfh1shpksykxZrj&#10;QoUNbSoqvk83qyC/joM5Hnamyw+XVF6u+/T3tlfqZdSv30EE6sMz/N/eagXTdAaPM/EI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o31vGAAAA3AAAAA8AAAAAAAAA&#10;AAAAAAAAoQIAAGRycy9kb3ducmV2LnhtbFBLBQYAAAAABAAEAPkAAACUAwAAAAA=&#10;" strokecolor="#231f20" strokeweight=".5pt"/>
                <w10:anchorlock/>
              </v:group>
            </w:pict>
          </mc:Fallback>
        </mc:AlternateContent>
      </w:r>
    </w:p>
    <w:p w14:paraId="501E5AC9" w14:textId="77777777" w:rsidR="00DE575E" w:rsidRDefault="00DE575E">
      <w:pPr>
        <w:pStyle w:val="BodyText"/>
        <w:spacing w:before="7"/>
        <w:rPr>
          <w:rFonts w:ascii="AdonisC"/>
          <w:i/>
          <w:sz w:val="11"/>
        </w:rPr>
      </w:pPr>
    </w:p>
    <w:p w14:paraId="378DAC35" w14:textId="77777777" w:rsidR="00DE575E" w:rsidRDefault="002E7560">
      <w:pPr>
        <w:spacing w:before="101" w:line="252" w:lineRule="auto"/>
        <w:ind w:left="533" w:right="128" w:firstLine="283"/>
        <w:jc w:val="both"/>
        <w:rPr>
          <w:sz w:val="21"/>
        </w:rPr>
      </w:pPr>
      <w:r>
        <w:rPr>
          <w:color w:val="231F20"/>
          <w:sz w:val="21"/>
        </w:rPr>
        <w:t xml:space="preserve">Законодавець передбачає </w:t>
      </w:r>
      <w:r>
        <w:rPr>
          <w:i/>
          <w:color w:val="231F20"/>
          <w:sz w:val="21"/>
        </w:rPr>
        <w:t xml:space="preserve">обставини, що виключають адмініст- ративну відповідальність </w:t>
      </w:r>
      <w:r>
        <w:rPr>
          <w:color w:val="231F20"/>
          <w:sz w:val="21"/>
        </w:rPr>
        <w:t>(ст. 17 КУпАП):</w:t>
      </w:r>
    </w:p>
    <w:p w14:paraId="51144944" w14:textId="77777777" w:rsidR="00DE575E" w:rsidRDefault="002E7560">
      <w:pPr>
        <w:pStyle w:val="ListParagraph"/>
        <w:numPr>
          <w:ilvl w:val="1"/>
          <w:numId w:val="36"/>
        </w:numPr>
        <w:tabs>
          <w:tab w:val="left" w:pos="1101"/>
        </w:tabs>
        <w:spacing w:line="252" w:lineRule="auto"/>
        <w:ind w:right="126" w:firstLine="284"/>
        <w:jc w:val="both"/>
        <w:rPr>
          <w:sz w:val="21"/>
        </w:rPr>
      </w:pPr>
      <w:r>
        <w:rPr>
          <w:color w:val="231F20"/>
          <w:sz w:val="21"/>
        </w:rPr>
        <w:t>с</w:t>
      </w:r>
      <w:r>
        <w:rPr>
          <w:i/>
          <w:color w:val="231F20"/>
          <w:sz w:val="21"/>
        </w:rPr>
        <w:t xml:space="preserve">тан крайньої необхідності </w:t>
      </w:r>
      <w:r>
        <w:rPr>
          <w:color w:val="231F20"/>
          <w:spacing w:val="-5"/>
          <w:sz w:val="21"/>
        </w:rPr>
        <w:t xml:space="preserve">(ст. </w:t>
      </w:r>
      <w:r>
        <w:rPr>
          <w:color w:val="231F20"/>
          <w:sz w:val="21"/>
        </w:rPr>
        <w:t xml:space="preserve">18 </w:t>
      </w:r>
      <w:r>
        <w:rPr>
          <w:color w:val="231F20"/>
          <w:spacing w:val="-3"/>
          <w:sz w:val="21"/>
        </w:rPr>
        <w:t xml:space="preserve">КУпАП) </w:t>
      </w:r>
      <w:r>
        <w:rPr>
          <w:color w:val="231F20"/>
          <w:sz w:val="21"/>
        </w:rPr>
        <w:t xml:space="preserve">– вчинення дій з ознаками адміністративного проступку для усунення небезпеки, яка загрожує державному або громадському </w:t>
      </w:r>
      <w:r>
        <w:rPr>
          <w:color w:val="231F20"/>
          <w:spacing w:val="-3"/>
          <w:sz w:val="21"/>
        </w:rPr>
        <w:t xml:space="preserve">порядку, </w:t>
      </w:r>
      <w:r>
        <w:rPr>
          <w:color w:val="231F20"/>
          <w:sz w:val="21"/>
        </w:rPr>
        <w:t xml:space="preserve">власності, правам і свободам громадян, установленому порядку управління, якщо ця небезпека за даних обставин не </w:t>
      </w:r>
      <w:r>
        <w:rPr>
          <w:color w:val="231F20"/>
          <w:spacing w:val="-3"/>
          <w:sz w:val="21"/>
        </w:rPr>
        <w:t xml:space="preserve">могла </w:t>
      </w:r>
      <w:r>
        <w:rPr>
          <w:color w:val="231F20"/>
          <w:sz w:val="21"/>
        </w:rPr>
        <w:t>бути усуну</w:t>
      </w:r>
      <w:r>
        <w:rPr>
          <w:color w:val="231F20"/>
          <w:sz w:val="21"/>
        </w:rPr>
        <w:t>та</w:t>
      </w:r>
      <w:r>
        <w:rPr>
          <w:color w:val="231F20"/>
          <w:spacing w:val="-33"/>
          <w:sz w:val="21"/>
        </w:rPr>
        <w:t xml:space="preserve"> </w:t>
      </w:r>
      <w:r>
        <w:rPr>
          <w:color w:val="231F20"/>
          <w:sz w:val="21"/>
        </w:rPr>
        <w:t>іншими засобами і якщо заподіяна шкода є менш значною, ніж відвернена шкода;</w:t>
      </w:r>
    </w:p>
    <w:p w14:paraId="124B91A5" w14:textId="77777777" w:rsidR="00DE575E" w:rsidRDefault="002E7560">
      <w:pPr>
        <w:pStyle w:val="ListParagraph"/>
        <w:numPr>
          <w:ilvl w:val="1"/>
          <w:numId w:val="36"/>
        </w:numPr>
        <w:tabs>
          <w:tab w:val="left" w:pos="1101"/>
        </w:tabs>
        <w:spacing w:before="3" w:line="252" w:lineRule="auto"/>
        <w:ind w:right="126" w:firstLine="284"/>
        <w:jc w:val="both"/>
        <w:rPr>
          <w:sz w:val="21"/>
        </w:rPr>
      </w:pPr>
      <w:r>
        <w:rPr>
          <w:color w:val="231F20"/>
          <w:sz w:val="21"/>
        </w:rPr>
        <w:t>с</w:t>
      </w:r>
      <w:r>
        <w:rPr>
          <w:i/>
          <w:color w:val="231F20"/>
          <w:sz w:val="21"/>
        </w:rPr>
        <w:t xml:space="preserve">тан необхідної оборони </w:t>
      </w:r>
      <w:r>
        <w:rPr>
          <w:color w:val="231F20"/>
          <w:spacing w:val="-5"/>
          <w:sz w:val="21"/>
        </w:rPr>
        <w:t xml:space="preserve">(ст. </w:t>
      </w:r>
      <w:r>
        <w:rPr>
          <w:color w:val="231F20"/>
          <w:sz w:val="21"/>
        </w:rPr>
        <w:t xml:space="preserve">19 </w:t>
      </w:r>
      <w:r>
        <w:rPr>
          <w:color w:val="231F20"/>
          <w:spacing w:val="-3"/>
          <w:sz w:val="21"/>
        </w:rPr>
        <w:t xml:space="preserve">КУпАП) </w:t>
      </w:r>
      <w:r>
        <w:rPr>
          <w:color w:val="231F20"/>
          <w:sz w:val="21"/>
        </w:rPr>
        <w:t xml:space="preserve">– вчинення дій з озна- ками адміністративного проступку при захисті державного або громадського </w:t>
      </w:r>
      <w:r>
        <w:rPr>
          <w:color w:val="231F20"/>
          <w:spacing w:val="-3"/>
          <w:sz w:val="21"/>
        </w:rPr>
        <w:t xml:space="preserve">порядку, </w:t>
      </w:r>
      <w:r>
        <w:rPr>
          <w:color w:val="231F20"/>
          <w:sz w:val="21"/>
        </w:rPr>
        <w:t>власності, прав і свобод громадя</w:t>
      </w:r>
      <w:r>
        <w:rPr>
          <w:color w:val="231F20"/>
          <w:sz w:val="21"/>
        </w:rPr>
        <w:t xml:space="preserve">н, установ- леного порядку управління від протиправного посягання шляхом заподіяння посягальнику шкоди, якщо при цьому не </w:t>
      </w:r>
      <w:r>
        <w:rPr>
          <w:color w:val="231F20"/>
          <w:spacing w:val="-3"/>
          <w:sz w:val="21"/>
        </w:rPr>
        <w:t xml:space="preserve">було </w:t>
      </w:r>
      <w:r>
        <w:rPr>
          <w:color w:val="231F20"/>
          <w:sz w:val="21"/>
        </w:rPr>
        <w:t xml:space="preserve">допущено перевищення меж необхідної оборони. </w:t>
      </w:r>
      <w:r>
        <w:rPr>
          <w:i/>
          <w:color w:val="231F20"/>
          <w:sz w:val="21"/>
        </w:rPr>
        <w:t xml:space="preserve">Перевищенням меж необхід- ної оборони </w:t>
      </w:r>
      <w:r>
        <w:rPr>
          <w:color w:val="231F20"/>
          <w:sz w:val="21"/>
        </w:rPr>
        <w:t>закон визнає явну невідповідність захисту хара</w:t>
      </w:r>
      <w:r>
        <w:rPr>
          <w:color w:val="231F20"/>
          <w:sz w:val="21"/>
        </w:rPr>
        <w:t>ктерові  і суспільній шкідливості</w:t>
      </w:r>
      <w:r>
        <w:rPr>
          <w:color w:val="231F20"/>
          <w:spacing w:val="-4"/>
          <w:sz w:val="21"/>
        </w:rPr>
        <w:t xml:space="preserve"> </w:t>
      </w:r>
      <w:r>
        <w:rPr>
          <w:color w:val="231F20"/>
          <w:sz w:val="21"/>
        </w:rPr>
        <w:t>посягання;</w:t>
      </w:r>
    </w:p>
    <w:p w14:paraId="781F158B" w14:textId="77777777" w:rsidR="00DE575E" w:rsidRDefault="002E7560">
      <w:pPr>
        <w:pStyle w:val="ListParagraph"/>
        <w:numPr>
          <w:ilvl w:val="1"/>
          <w:numId w:val="36"/>
        </w:numPr>
        <w:tabs>
          <w:tab w:val="left" w:pos="1101"/>
        </w:tabs>
        <w:spacing w:before="4" w:line="252" w:lineRule="auto"/>
        <w:ind w:right="127" w:firstLine="284"/>
        <w:jc w:val="both"/>
        <w:rPr>
          <w:sz w:val="21"/>
        </w:rPr>
      </w:pPr>
      <w:r>
        <w:rPr>
          <w:i/>
          <w:color w:val="231F20"/>
          <w:sz w:val="21"/>
        </w:rPr>
        <w:t xml:space="preserve">стан неосудності </w:t>
      </w:r>
      <w:r>
        <w:rPr>
          <w:color w:val="231F20"/>
          <w:spacing w:val="-5"/>
          <w:sz w:val="21"/>
        </w:rPr>
        <w:t xml:space="preserve">(ст. </w:t>
      </w:r>
      <w:r>
        <w:rPr>
          <w:color w:val="231F20"/>
          <w:sz w:val="21"/>
        </w:rPr>
        <w:t xml:space="preserve">20 </w:t>
      </w:r>
      <w:r>
        <w:rPr>
          <w:color w:val="231F20"/>
          <w:spacing w:val="-3"/>
          <w:sz w:val="21"/>
        </w:rPr>
        <w:t xml:space="preserve">КУпАП) </w:t>
      </w:r>
      <w:r>
        <w:rPr>
          <w:color w:val="231F20"/>
          <w:sz w:val="21"/>
        </w:rPr>
        <w:t xml:space="preserve">– вчинення дій з ознаками адміністративного проступку особою, яка не </w:t>
      </w:r>
      <w:r>
        <w:rPr>
          <w:color w:val="231F20"/>
          <w:spacing w:val="-3"/>
          <w:sz w:val="21"/>
        </w:rPr>
        <w:t xml:space="preserve">могла </w:t>
      </w:r>
      <w:r>
        <w:rPr>
          <w:color w:val="231F20"/>
          <w:sz w:val="21"/>
        </w:rPr>
        <w:t>усвідомлювати свої дії або керувати ними внаслідок хронічної душевної хвороби, тимчасового розладу душев</w:t>
      </w:r>
      <w:r>
        <w:rPr>
          <w:color w:val="231F20"/>
          <w:sz w:val="21"/>
        </w:rPr>
        <w:t>ної діяльності, слабоумства чи іншого хворобливого</w:t>
      </w:r>
      <w:r>
        <w:rPr>
          <w:color w:val="231F20"/>
          <w:spacing w:val="-2"/>
          <w:sz w:val="21"/>
        </w:rPr>
        <w:t xml:space="preserve"> </w:t>
      </w:r>
      <w:r>
        <w:rPr>
          <w:color w:val="231F20"/>
          <w:sz w:val="21"/>
        </w:rPr>
        <w:t>стану</w:t>
      </w:r>
      <w:r>
        <w:rPr>
          <w:color w:val="231F20"/>
          <w:position w:val="7"/>
          <w:sz w:val="12"/>
        </w:rPr>
        <w:t>1</w:t>
      </w:r>
      <w:r>
        <w:rPr>
          <w:color w:val="231F20"/>
          <w:sz w:val="21"/>
        </w:rPr>
        <w:t>.</w:t>
      </w:r>
    </w:p>
    <w:p w14:paraId="5B8A74F3" w14:textId="77777777" w:rsidR="00DE575E" w:rsidRDefault="002E7560">
      <w:pPr>
        <w:spacing w:before="3" w:line="252" w:lineRule="auto"/>
        <w:ind w:left="533" w:right="128" w:firstLine="283"/>
        <w:jc w:val="both"/>
        <w:rPr>
          <w:sz w:val="21"/>
        </w:rPr>
      </w:pPr>
      <w:r>
        <w:rPr>
          <w:color w:val="231F20"/>
          <w:sz w:val="21"/>
        </w:rPr>
        <w:t xml:space="preserve">Кодексом України про адміністративні правопорушення перед- бачено </w:t>
      </w:r>
      <w:r>
        <w:rPr>
          <w:i/>
          <w:color w:val="231F20"/>
          <w:sz w:val="21"/>
        </w:rPr>
        <w:t>випадки можливого звільнення від адміністративної відпові- дальності</w:t>
      </w:r>
      <w:r>
        <w:rPr>
          <w:color w:val="231F20"/>
          <w:sz w:val="21"/>
        </w:rPr>
        <w:t>:</w:t>
      </w:r>
    </w:p>
    <w:p w14:paraId="69B56711" w14:textId="77777777" w:rsidR="00DE575E" w:rsidRDefault="002E7560">
      <w:pPr>
        <w:pStyle w:val="ListParagraph"/>
        <w:numPr>
          <w:ilvl w:val="1"/>
          <w:numId w:val="35"/>
        </w:numPr>
        <w:tabs>
          <w:tab w:val="left" w:pos="1101"/>
        </w:tabs>
        <w:spacing w:line="252" w:lineRule="auto"/>
        <w:ind w:right="128" w:firstLine="284"/>
        <w:rPr>
          <w:sz w:val="21"/>
        </w:rPr>
      </w:pPr>
      <w:r>
        <w:rPr>
          <w:color w:val="231F20"/>
          <w:sz w:val="21"/>
        </w:rPr>
        <w:t xml:space="preserve">коли характер вчиненого проступку і особи правопорушника свідчить про доцільність застосування до нього заходів громад- ського впливу </w:t>
      </w:r>
      <w:r>
        <w:rPr>
          <w:color w:val="231F20"/>
          <w:spacing w:val="-5"/>
          <w:sz w:val="21"/>
        </w:rPr>
        <w:t xml:space="preserve">(ст. </w:t>
      </w:r>
      <w:r>
        <w:rPr>
          <w:color w:val="231F20"/>
          <w:sz w:val="21"/>
        </w:rPr>
        <w:t>21</w:t>
      </w:r>
      <w:r>
        <w:rPr>
          <w:color w:val="231F20"/>
          <w:spacing w:val="-2"/>
          <w:sz w:val="21"/>
        </w:rPr>
        <w:t xml:space="preserve"> </w:t>
      </w:r>
      <w:r>
        <w:rPr>
          <w:color w:val="231F20"/>
          <w:sz w:val="21"/>
        </w:rPr>
        <w:t>КУпАП);</w:t>
      </w:r>
    </w:p>
    <w:p w14:paraId="6F3FDA61" w14:textId="77777777" w:rsidR="00DE575E" w:rsidRDefault="002E7560">
      <w:pPr>
        <w:pStyle w:val="ListParagraph"/>
        <w:numPr>
          <w:ilvl w:val="1"/>
          <w:numId w:val="35"/>
        </w:numPr>
        <w:tabs>
          <w:tab w:val="left" w:pos="1101"/>
        </w:tabs>
        <w:ind w:firstLine="284"/>
        <w:jc w:val="left"/>
        <w:rPr>
          <w:sz w:val="21"/>
        </w:rPr>
      </w:pPr>
      <w:r>
        <w:rPr>
          <w:color w:val="231F20"/>
          <w:sz w:val="21"/>
        </w:rPr>
        <w:t xml:space="preserve">коли визнано малозначність проступку </w:t>
      </w:r>
      <w:r>
        <w:rPr>
          <w:color w:val="231F20"/>
          <w:spacing w:val="-5"/>
          <w:sz w:val="21"/>
        </w:rPr>
        <w:t xml:space="preserve">(ст. </w:t>
      </w:r>
      <w:r>
        <w:rPr>
          <w:color w:val="231F20"/>
          <w:sz w:val="21"/>
        </w:rPr>
        <w:t>22</w:t>
      </w:r>
      <w:r>
        <w:rPr>
          <w:color w:val="231F20"/>
          <w:spacing w:val="-6"/>
          <w:sz w:val="21"/>
        </w:rPr>
        <w:t xml:space="preserve"> </w:t>
      </w:r>
      <w:r>
        <w:rPr>
          <w:color w:val="231F20"/>
          <w:sz w:val="21"/>
        </w:rPr>
        <w:t>КУпАП);</w:t>
      </w:r>
    </w:p>
    <w:p w14:paraId="7FA9A7F5" w14:textId="77777777" w:rsidR="00DE575E" w:rsidRDefault="002E7560">
      <w:pPr>
        <w:pStyle w:val="ListParagraph"/>
        <w:numPr>
          <w:ilvl w:val="1"/>
          <w:numId w:val="35"/>
        </w:numPr>
        <w:tabs>
          <w:tab w:val="left" w:pos="1101"/>
        </w:tabs>
        <w:spacing w:before="13" w:line="252" w:lineRule="auto"/>
        <w:ind w:right="129" w:firstLine="284"/>
        <w:rPr>
          <w:sz w:val="21"/>
        </w:rPr>
      </w:pPr>
      <w:r>
        <w:rPr>
          <w:color w:val="231F20"/>
          <w:sz w:val="21"/>
        </w:rPr>
        <w:t>коли наявний дипломатичний імунітет від адміністратив</w:t>
      </w:r>
      <w:r>
        <w:rPr>
          <w:color w:val="231F20"/>
          <w:sz w:val="21"/>
        </w:rPr>
        <w:t xml:space="preserve">ної юрисдикції </w:t>
      </w:r>
      <w:r>
        <w:rPr>
          <w:color w:val="231F20"/>
          <w:spacing w:val="-5"/>
          <w:sz w:val="21"/>
        </w:rPr>
        <w:t xml:space="preserve">(ст. </w:t>
      </w:r>
      <w:r>
        <w:rPr>
          <w:color w:val="231F20"/>
          <w:sz w:val="21"/>
        </w:rPr>
        <w:t>16</w:t>
      </w:r>
      <w:r>
        <w:rPr>
          <w:color w:val="231F20"/>
          <w:spacing w:val="-2"/>
          <w:sz w:val="21"/>
        </w:rPr>
        <w:t xml:space="preserve"> </w:t>
      </w:r>
      <w:r>
        <w:rPr>
          <w:color w:val="231F20"/>
          <w:sz w:val="21"/>
        </w:rPr>
        <w:t>КУпАП)</w:t>
      </w:r>
      <w:r>
        <w:rPr>
          <w:color w:val="231F20"/>
          <w:position w:val="7"/>
          <w:sz w:val="12"/>
        </w:rPr>
        <w:t>2</w:t>
      </w:r>
      <w:r>
        <w:rPr>
          <w:color w:val="231F20"/>
          <w:sz w:val="21"/>
        </w:rPr>
        <w:t>.</w:t>
      </w:r>
    </w:p>
    <w:p w14:paraId="2A9D516D" w14:textId="77777777" w:rsidR="00DE575E" w:rsidRDefault="002E7560">
      <w:pPr>
        <w:pStyle w:val="BodyText"/>
        <w:spacing w:before="1" w:line="252" w:lineRule="auto"/>
        <w:ind w:left="533" w:right="128" w:firstLine="283"/>
        <w:jc w:val="both"/>
      </w:pPr>
      <w:r>
        <w:rPr>
          <w:color w:val="231F20"/>
        </w:rPr>
        <w:t xml:space="preserve">Адміністративна відповідальність як інститут адміністратив- ного права має такі </w:t>
      </w:r>
      <w:r>
        <w:rPr>
          <w:b/>
          <w:i/>
          <w:color w:val="231F20"/>
        </w:rPr>
        <w:t>особливості</w:t>
      </w:r>
      <w:r>
        <w:rPr>
          <w:color w:val="231F20"/>
        </w:rPr>
        <w:t>:</w:t>
      </w:r>
    </w:p>
    <w:p w14:paraId="704979F8" w14:textId="77777777" w:rsidR="00DE575E" w:rsidRDefault="002E7560">
      <w:pPr>
        <w:pStyle w:val="BodyText"/>
        <w:spacing w:before="1" w:line="252" w:lineRule="auto"/>
        <w:ind w:left="533" w:right="127" w:firstLine="283"/>
        <w:jc w:val="both"/>
      </w:pPr>
      <w:r>
        <w:rPr>
          <w:color w:val="231F20"/>
        </w:rPr>
        <w:t>1) адміністративна відповідальність має публічно-правовий характер, що виявлено в тому, що проступок за будь-яких умов, навіть коли він спрямований проти особи (фізичної чи юридичної),</w:t>
      </w:r>
    </w:p>
    <w:p w14:paraId="4DD901D9" w14:textId="30D9EB3E" w:rsidR="00DE575E" w:rsidRDefault="002E7560">
      <w:pPr>
        <w:pStyle w:val="BodyText"/>
        <w:spacing w:before="8"/>
        <w:rPr>
          <w:sz w:val="16"/>
        </w:rPr>
      </w:pPr>
      <w:r>
        <w:rPr>
          <w:noProof/>
        </w:rPr>
        <mc:AlternateContent>
          <mc:Choice Requires="wps">
            <w:drawing>
              <wp:anchor distT="0" distB="0" distL="0" distR="0" simplePos="0" relativeHeight="18016" behindDoc="0" locked="0" layoutInCell="1" allowOverlap="1" wp14:anchorId="31329305" wp14:editId="7C505500">
                <wp:simplePos x="0" y="0"/>
                <wp:positionH relativeFrom="page">
                  <wp:posOffset>719455</wp:posOffset>
                </wp:positionH>
                <wp:positionV relativeFrom="paragraph">
                  <wp:posOffset>152400</wp:posOffset>
                </wp:positionV>
                <wp:extent cx="1080135" cy="0"/>
                <wp:effectExtent l="8255" t="12700" r="29210" b="25400"/>
                <wp:wrapTopAndBottom/>
                <wp:docPr id="23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71835" id="Line_x0020_233" o:spid="_x0000_s1026" style="position:absolute;z-index:1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pt" to="141.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" strokecolor="#231f20" strokeweight=".5pt">
                <w10:wrap type="topAndBottom" anchorx="page"/>
              </v:line>
            </w:pict>
          </mc:Fallback>
        </mc:AlternateContent>
      </w:r>
    </w:p>
    <w:p w14:paraId="1928CB42" w14:textId="77777777" w:rsidR="00DE575E" w:rsidRDefault="002E7560">
      <w:pPr>
        <w:spacing w:line="148" w:lineRule="exact"/>
        <w:ind w:left="533"/>
        <w:rPr>
          <w:sz w:val="16"/>
        </w:rPr>
      </w:pPr>
      <w:r>
        <w:rPr>
          <w:color w:val="231F20"/>
          <w:position w:val="5"/>
          <w:sz w:val="9"/>
        </w:rPr>
        <w:t xml:space="preserve">1 </w:t>
      </w:r>
      <w:r>
        <w:rPr>
          <w:color w:val="231F20"/>
          <w:sz w:val="16"/>
        </w:rPr>
        <w:t>Кодекс України про адміністративні правопорушення від 7 грудня 1984</w:t>
      </w:r>
      <w:r>
        <w:rPr>
          <w:color w:val="231F20"/>
          <w:sz w:val="16"/>
        </w:rPr>
        <w:t xml:space="preserve"> року</w:t>
      </w:r>
    </w:p>
    <w:p w14:paraId="4D0A6C42" w14:textId="77777777" w:rsidR="00DE575E" w:rsidRDefault="002E7560">
      <w:pPr>
        <w:spacing w:line="174" w:lineRule="exact"/>
        <w:ind w:left="533"/>
        <w:rPr>
          <w:sz w:val="16"/>
        </w:rPr>
      </w:pPr>
      <w:r>
        <w:rPr>
          <w:color w:val="231F20"/>
          <w:sz w:val="16"/>
        </w:rPr>
        <w:t xml:space="preserve">№ 8073-X // </w:t>
      </w:r>
      <w:r>
        <w:rPr>
          <w:i/>
          <w:color w:val="231F20"/>
          <w:sz w:val="16"/>
        </w:rPr>
        <w:t xml:space="preserve">Відомості Верховної Ради Української РСР </w:t>
      </w:r>
      <w:r>
        <w:rPr>
          <w:color w:val="231F20"/>
          <w:sz w:val="16"/>
        </w:rPr>
        <w:t>1984, додаток до № 51. Ст. 1122.</w:t>
      </w:r>
    </w:p>
    <w:p w14:paraId="23E7EC2E" w14:textId="77777777" w:rsidR="00DE575E" w:rsidRDefault="002E7560">
      <w:pPr>
        <w:ind w:left="533"/>
        <w:rPr>
          <w:sz w:val="16"/>
        </w:rPr>
      </w:pPr>
      <w:r>
        <w:rPr>
          <w:color w:val="231F20"/>
          <w:position w:val="5"/>
          <w:sz w:val="9"/>
        </w:rPr>
        <w:t xml:space="preserve">2 </w:t>
      </w:r>
      <w:r>
        <w:rPr>
          <w:color w:val="231F20"/>
          <w:sz w:val="16"/>
        </w:rPr>
        <w:t>Там само.</w:t>
      </w:r>
    </w:p>
    <w:p w14:paraId="135C7023" w14:textId="77777777" w:rsidR="00DE575E" w:rsidRDefault="00DE575E">
      <w:pPr>
        <w:pStyle w:val="BodyText"/>
        <w:spacing w:before="11"/>
        <w:rPr>
          <w:sz w:val="11"/>
        </w:rPr>
      </w:pPr>
    </w:p>
    <w:p w14:paraId="5C46B6DF" w14:textId="77777777" w:rsidR="00DE575E" w:rsidRDefault="002E7560">
      <w:pPr>
        <w:spacing w:before="92"/>
        <w:ind w:left="533"/>
        <w:rPr>
          <w:rFonts w:ascii="Times New Roman"/>
          <w:sz w:val="20"/>
        </w:rPr>
      </w:pPr>
      <w:r>
        <w:rPr>
          <w:rFonts w:ascii="Times New Roman"/>
          <w:color w:val="231F20"/>
          <w:sz w:val="20"/>
        </w:rPr>
        <w:t>468</w:t>
      </w:r>
    </w:p>
    <w:p w14:paraId="1FE25FC8" w14:textId="77777777" w:rsidR="00DE575E" w:rsidRDefault="00DE575E">
      <w:pPr>
        <w:rPr>
          <w:rFonts w:ascii="Times New Roman"/>
          <w:sz w:val="20"/>
        </w:rPr>
        <w:sectPr w:rsidR="00DE575E">
          <w:pgSz w:w="8510" w:h="12760"/>
          <w:pgMar w:top="660" w:right="720" w:bottom="280" w:left="600" w:header="720" w:footer="720" w:gutter="0"/>
          <w:cols w:space="720"/>
        </w:sectPr>
      </w:pPr>
    </w:p>
    <w:p w14:paraId="4A813C2B"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Адміністративна відповідальність як вид юридичної відповідальності</w:t>
      </w:r>
    </w:p>
    <w:p w14:paraId="5AEE2685" w14:textId="3D80591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C3F011A" wp14:editId="6A54424C">
                <wp:extent cx="4140200" cy="6350"/>
                <wp:effectExtent l="0" t="0" r="12700" b="6350"/>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33" name="Line 232"/>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003DBD" id="Group_x0020_231"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BqZ8pH4CAACYBQAADgAA&#10;AAAAAAAAAAAAAAAsAgAAZHJzL2Uyb0RvYy54bWxQSwECLQAUAAYACAAAACEATKewkNkAAAADAQAA&#10;DwAAAAAAAAAAAAAAAADWBAAAZHJzL2Rvd25yZXYueG1sUEsFBgAAAAAEAAQA8wAAANwFAAAAAA==&#10;">
                <v:line id="Line_x0020_232"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98w8UAAADcAAAADwAAAGRycy9kb3ducmV2LnhtbESP0WrCQBRE3wv9h+UW+lLqRgMi0VVE&#10;EKQPWk0/4Jq9JsHduzG7mujXdwsFH4eZOcPMFr014katrx0rGA4SEMSF0zWXCn7y9ecEhA/IGo1j&#10;UnAnD4v568sMM+063tPtEEoRIewzVFCF0GRS+qIii37gGuLonVxrMUTZllK32EW4NXKUJGNpsea4&#10;UGFDq4qK8+FqFeSXj2C+d1+my3fHVB4v2/Rx3Sr1/tYvpyAC9eEZ/m9vtIJRmsLfmXgE5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98w8UAAADcAAAADwAAAAAAAAAA&#10;AAAAAAChAgAAZHJzL2Rvd25yZXYueG1sUEsFBgAAAAAEAAQA+QAAAJMDAAAAAA==&#10;" strokecolor="#231f20" strokeweight=".5pt"/>
                <w10:anchorlock/>
              </v:group>
            </w:pict>
          </mc:Fallback>
        </mc:AlternateContent>
      </w:r>
    </w:p>
    <w:p w14:paraId="7D48A18B" w14:textId="77777777" w:rsidR="00DE575E" w:rsidRDefault="00DE575E">
      <w:pPr>
        <w:pStyle w:val="BodyText"/>
        <w:spacing w:before="7"/>
        <w:rPr>
          <w:rFonts w:ascii="AdonisC"/>
          <w:i/>
          <w:sz w:val="19"/>
        </w:rPr>
      </w:pPr>
    </w:p>
    <w:p w14:paraId="666A3A8B" w14:textId="77777777" w:rsidR="00DE575E" w:rsidRDefault="002E7560">
      <w:pPr>
        <w:pStyle w:val="BodyText"/>
        <w:spacing w:before="1" w:line="252" w:lineRule="auto"/>
        <w:ind w:left="250"/>
      </w:pPr>
      <w:r>
        <w:rPr>
          <w:color w:val="231F20"/>
        </w:rPr>
        <w:t>є порушенням правового порядку, охорона якого – мета і функція держави;</w:t>
      </w:r>
    </w:p>
    <w:p w14:paraId="1454D9D0" w14:textId="77777777" w:rsidR="00DE575E" w:rsidRDefault="002E7560">
      <w:pPr>
        <w:pStyle w:val="ListParagraph"/>
        <w:numPr>
          <w:ilvl w:val="0"/>
          <w:numId w:val="34"/>
        </w:numPr>
        <w:tabs>
          <w:tab w:val="left" w:pos="818"/>
        </w:tabs>
        <w:spacing w:line="252" w:lineRule="auto"/>
        <w:ind w:right="411" w:firstLine="283"/>
        <w:jc w:val="both"/>
        <w:rPr>
          <w:sz w:val="21"/>
        </w:rPr>
      </w:pPr>
      <w:r>
        <w:rPr>
          <w:color w:val="231F20"/>
          <w:sz w:val="21"/>
        </w:rPr>
        <w:t xml:space="preserve">це </w:t>
      </w:r>
      <w:r>
        <w:rPr>
          <w:color w:val="231F20"/>
          <w:spacing w:val="-3"/>
          <w:sz w:val="21"/>
        </w:rPr>
        <w:t xml:space="preserve">самостійний </w:t>
      </w:r>
      <w:r>
        <w:rPr>
          <w:color w:val="231F20"/>
          <w:sz w:val="21"/>
        </w:rPr>
        <w:t xml:space="preserve">вид </w:t>
      </w:r>
      <w:r>
        <w:rPr>
          <w:color w:val="231F20"/>
          <w:spacing w:val="-3"/>
          <w:sz w:val="21"/>
        </w:rPr>
        <w:t xml:space="preserve">правової відповідальності, </w:t>
      </w:r>
      <w:r>
        <w:rPr>
          <w:color w:val="231F20"/>
          <w:sz w:val="21"/>
        </w:rPr>
        <w:t xml:space="preserve">що </w:t>
      </w:r>
      <w:r>
        <w:rPr>
          <w:color w:val="231F20"/>
          <w:spacing w:val="-3"/>
          <w:sz w:val="21"/>
        </w:rPr>
        <w:t xml:space="preserve">настає за адміністративні проступки </w:t>
      </w:r>
      <w:r>
        <w:rPr>
          <w:color w:val="231F20"/>
          <w:sz w:val="21"/>
        </w:rPr>
        <w:t xml:space="preserve">в </w:t>
      </w:r>
      <w:r>
        <w:rPr>
          <w:color w:val="231F20"/>
          <w:spacing w:val="-3"/>
          <w:sz w:val="21"/>
        </w:rPr>
        <w:t xml:space="preserve">різних сферах публічного </w:t>
      </w:r>
      <w:r>
        <w:rPr>
          <w:color w:val="231F20"/>
          <w:spacing w:val="-4"/>
          <w:sz w:val="21"/>
        </w:rPr>
        <w:t xml:space="preserve">адміністру- </w:t>
      </w:r>
      <w:r>
        <w:rPr>
          <w:color w:val="231F20"/>
          <w:spacing w:val="-3"/>
          <w:sz w:val="21"/>
        </w:rPr>
        <w:t xml:space="preserve">вання. </w:t>
      </w:r>
      <w:r>
        <w:rPr>
          <w:color w:val="231F20"/>
          <w:spacing w:val="-4"/>
          <w:sz w:val="21"/>
        </w:rPr>
        <w:t xml:space="preserve">Законодавство </w:t>
      </w:r>
      <w:r>
        <w:rPr>
          <w:color w:val="231F20"/>
          <w:sz w:val="21"/>
        </w:rPr>
        <w:t xml:space="preserve">про </w:t>
      </w:r>
      <w:r>
        <w:rPr>
          <w:color w:val="231F20"/>
          <w:spacing w:val="-3"/>
          <w:sz w:val="21"/>
        </w:rPr>
        <w:t xml:space="preserve">адміністративну відповідальність </w:t>
      </w:r>
      <w:r>
        <w:rPr>
          <w:color w:val="231F20"/>
          <w:spacing w:val="-4"/>
          <w:sz w:val="21"/>
        </w:rPr>
        <w:t xml:space="preserve">охороняє </w:t>
      </w:r>
      <w:r>
        <w:rPr>
          <w:color w:val="231F20"/>
          <w:spacing w:val="-3"/>
          <w:sz w:val="21"/>
        </w:rPr>
        <w:t xml:space="preserve">митні, податкові, лісові, земельні, фінансові, </w:t>
      </w:r>
      <w:r>
        <w:rPr>
          <w:color w:val="231F20"/>
          <w:spacing w:val="-4"/>
          <w:sz w:val="21"/>
        </w:rPr>
        <w:t xml:space="preserve">водні, природоохоронні </w:t>
      </w:r>
      <w:r>
        <w:rPr>
          <w:color w:val="231F20"/>
          <w:spacing w:val="-3"/>
          <w:sz w:val="21"/>
        </w:rPr>
        <w:t xml:space="preserve">відносини, </w:t>
      </w:r>
      <w:r>
        <w:rPr>
          <w:color w:val="231F20"/>
          <w:sz w:val="21"/>
        </w:rPr>
        <w:t xml:space="preserve">які </w:t>
      </w:r>
      <w:r>
        <w:rPr>
          <w:color w:val="231F20"/>
          <w:spacing w:val="-4"/>
          <w:sz w:val="21"/>
        </w:rPr>
        <w:t xml:space="preserve">регулюються </w:t>
      </w:r>
      <w:r>
        <w:rPr>
          <w:color w:val="231F20"/>
          <w:spacing w:val="-3"/>
          <w:sz w:val="21"/>
        </w:rPr>
        <w:t>нормами відповідних галузей</w:t>
      </w:r>
      <w:r>
        <w:rPr>
          <w:color w:val="231F20"/>
          <w:spacing w:val="-13"/>
          <w:sz w:val="21"/>
        </w:rPr>
        <w:t xml:space="preserve"> </w:t>
      </w:r>
      <w:r>
        <w:rPr>
          <w:color w:val="231F20"/>
          <w:spacing w:val="-3"/>
          <w:sz w:val="21"/>
        </w:rPr>
        <w:t>права;</w:t>
      </w:r>
    </w:p>
    <w:p w14:paraId="1634C8F2" w14:textId="77777777" w:rsidR="00DE575E" w:rsidRDefault="002E7560">
      <w:pPr>
        <w:pStyle w:val="ListParagraph"/>
        <w:numPr>
          <w:ilvl w:val="0"/>
          <w:numId w:val="34"/>
        </w:numPr>
        <w:tabs>
          <w:tab w:val="left" w:pos="818"/>
        </w:tabs>
        <w:spacing w:before="2" w:line="252" w:lineRule="auto"/>
        <w:ind w:right="411" w:firstLine="283"/>
        <w:jc w:val="both"/>
        <w:rPr>
          <w:sz w:val="21"/>
        </w:rPr>
      </w:pPr>
      <w:r>
        <w:rPr>
          <w:color w:val="231F20"/>
          <w:sz w:val="21"/>
        </w:rPr>
        <w:t>є</w:t>
      </w:r>
      <w:r>
        <w:rPr>
          <w:color w:val="231F20"/>
          <w:spacing w:val="-12"/>
          <w:sz w:val="21"/>
        </w:rPr>
        <w:t xml:space="preserve"> </w:t>
      </w:r>
      <w:r>
        <w:rPr>
          <w:color w:val="231F20"/>
          <w:sz w:val="21"/>
        </w:rPr>
        <w:t>специфічною</w:t>
      </w:r>
      <w:r>
        <w:rPr>
          <w:color w:val="231F20"/>
          <w:spacing w:val="-12"/>
          <w:sz w:val="21"/>
        </w:rPr>
        <w:t xml:space="preserve"> </w:t>
      </w:r>
      <w:r>
        <w:rPr>
          <w:color w:val="231F20"/>
          <w:sz w:val="21"/>
        </w:rPr>
        <w:t>формою</w:t>
      </w:r>
      <w:r>
        <w:rPr>
          <w:color w:val="231F20"/>
          <w:spacing w:val="-12"/>
          <w:sz w:val="21"/>
        </w:rPr>
        <w:t xml:space="preserve"> </w:t>
      </w:r>
      <w:r>
        <w:rPr>
          <w:color w:val="231F20"/>
          <w:sz w:val="21"/>
        </w:rPr>
        <w:t>правового</w:t>
      </w:r>
      <w:r>
        <w:rPr>
          <w:color w:val="231F20"/>
          <w:spacing w:val="-13"/>
          <w:sz w:val="21"/>
        </w:rPr>
        <w:t xml:space="preserve"> </w:t>
      </w:r>
      <w:r>
        <w:rPr>
          <w:color w:val="231F20"/>
          <w:sz w:val="21"/>
        </w:rPr>
        <w:t>реагування</w:t>
      </w:r>
      <w:r>
        <w:rPr>
          <w:color w:val="231F20"/>
          <w:spacing w:val="-12"/>
          <w:sz w:val="21"/>
        </w:rPr>
        <w:t xml:space="preserve"> </w:t>
      </w:r>
      <w:r>
        <w:rPr>
          <w:color w:val="231F20"/>
          <w:sz w:val="21"/>
        </w:rPr>
        <w:t>з</w:t>
      </w:r>
      <w:r>
        <w:rPr>
          <w:color w:val="231F20"/>
          <w:spacing w:val="-12"/>
          <w:sz w:val="21"/>
        </w:rPr>
        <w:t xml:space="preserve"> </w:t>
      </w:r>
      <w:r>
        <w:rPr>
          <w:color w:val="231F20"/>
          <w:sz w:val="21"/>
        </w:rPr>
        <w:t>б</w:t>
      </w:r>
      <w:r>
        <w:rPr>
          <w:color w:val="231F20"/>
          <w:sz w:val="21"/>
        </w:rPr>
        <w:t>оку</w:t>
      </w:r>
      <w:r>
        <w:rPr>
          <w:color w:val="231F20"/>
          <w:spacing w:val="-12"/>
          <w:sz w:val="21"/>
        </w:rPr>
        <w:t xml:space="preserve"> </w:t>
      </w:r>
      <w:r>
        <w:rPr>
          <w:color w:val="231F20"/>
          <w:sz w:val="21"/>
        </w:rPr>
        <w:t>публічної адміністрації на певну категорію протиправних проявів і наслідком винного суспільно шкідливого (антигромадського)</w:t>
      </w:r>
      <w:r>
        <w:rPr>
          <w:color w:val="231F20"/>
          <w:spacing w:val="-6"/>
          <w:sz w:val="21"/>
        </w:rPr>
        <w:t xml:space="preserve"> </w:t>
      </w:r>
      <w:r>
        <w:rPr>
          <w:color w:val="231F20"/>
          <w:sz w:val="21"/>
        </w:rPr>
        <w:t>діяння;</w:t>
      </w:r>
    </w:p>
    <w:p w14:paraId="020DB13A" w14:textId="77777777" w:rsidR="00DE575E" w:rsidRDefault="002E7560">
      <w:pPr>
        <w:pStyle w:val="ListParagraph"/>
        <w:numPr>
          <w:ilvl w:val="0"/>
          <w:numId w:val="34"/>
        </w:numPr>
        <w:tabs>
          <w:tab w:val="left" w:pos="818"/>
        </w:tabs>
        <w:spacing w:before="2"/>
        <w:ind w:firstLine="283"/>
        <w:rPr>
          <w:sz w:val="21"/>
        </w:rPr>
      </w:pPr>
      <w:r>
        <w:rPr>
          <w:color w:val="231F20"/>
          <w:sz w:val="21"/>
        </w:rPr>
        <w:t xml:space="preserve">реалізовується як у </w:t>
      </w:r>
      <w:r>
        <w:rPr>
          <w:color w:val="231F20"/>
          <w:spacing w:val="-4"/>
          <w:sz w:val="21"/>
        </w:rPr>
        <w:t xml:space="preserve">судовому, </w:t>
      </w:r>
      <w:r>
        <w:rPr>
          <w:color w:val="231F20"/>
          <w:sz w:val="21"/>
        </w:rPr>
        <w:t>так і в позасудовому</w:t>
      </w:r>
      <w:r>
        <w:rPr>
          <w:color w:val="231F20"/>
          <w:spacing w:val="-15"/>
          <w:sz w:val="21"/>
        </w:rPr>
        <w:t xml:space="preserve"> </w:t>
      </w:r>
      <w:r>
        <w:rPr>
          <w:color w:val="231F20"/>
          <w:sz w:val="21"/>
        </w:rPr>
        <w:t>порядку;</w:t>
      </w:r>
    </w:p>
    <w:p w14:paraId="6254B238" w14:textId="77777777" w:rsidR="00DE575E" w:rsidRDefault="002E7560">
      <w:pPr>
        <w:pStyle w:val="ListParagraph"/>
        <w:numPr>
          <w:ilvl w:val="0"/>
          <w:numId w:val="34"/>
        </w:numPr>
        <w:tabs>
          <w:tab w:val="left" w:pos="818"/>
        </w:tabs>
        <w:spacing w:before="12" w:line="252" w:lineRule="auto"/>
        <w:ind w:right="411" w:firstLine="283"/>
        <w:jc w:val="both"/>
        <w:rPr>
          <w:sz w:val="21"/>
        </w:rPr>
      </w:pPr>
      <w:r>
        <w:rPr>
          <w:color w:val="231F20"/>
          <w:sz w:val="21"/>
        </w:rPr>
        <w:t>є</w:t>
      </w:r>
      <w:r>
        <w:rPr>
          <w:color w:val="231F20"/>
          <w:spacing w:val="-8"/>
          <w:sz w:val="21"/>
        </w:rPr>
        <w:t xml:space="preserve"> </w:t>
      </w:r>
      <w:r>
        <w:rPr>
          <w:color w:val="231F20"/>
          <w:sz w:val="21"/>
        </w:rPr>
        <w:t>одним</w:t>
      </w:r>
      <w:r>
        <w:rPr>
          <w:color w:val="231F20"/>
          <w:spacing w:val="-8"/>
          <w:sz w:val="21"/>
        </w:rPr>
        <w:t xml:space="preserve"> </w:t>
      </w:r>
      <w:r>
        <w:rPr>
          <w:color w:val="231F20"/>
          <w:sz w:val="21"/>
        </w:rPr>
        <w:t>із</w:t>
      </w:r>
      <w:r>
        <w:rPr>
          <w:color w:val="231F20"/>
          <w:spacing w:val="-8"/>
          <w:sz w:val="21"/>
        </w:rPr>
        <w:t xml:space="preserve"> </w:t>
      </w:r>
      <w:r>
        <w:rPr>
          <w:color w:val="231F20"/>
          <w:sz w:val="21"/>
        </w:rPr>
        <w:t>видів</w:t>
      </w:r>
      <w:r>
        <w:rPr>
          <w:color w:val="231F20"/>
          <w:spacing w:val="-8"/>
          <w:sz w:val="21"/>
        </w:rPr>
        <w:t xml:space="preserve"> </w:t>
      </w:r>
      <w:r>
        <w:rPr>
          <w:color w:val="231F20"/>
          <w:sz w:val="21"/>
        </w:rPr>
        <w:t>адміністративного</w:t>
      </w:r>
      <w:r>
        <w:rPr>
          <w:color w:val="231F20"/>
          <w:spacing w:val="-7"/>
          <w:sz w:val="21"/>
        </w:rPr>
        <w:t xml:space="preserve"> </w:t>
      </w:r>
      <w:r>
        <w:rPr>
          <w:color w:val="231F20"/>
          <w:sz w:val="21"/>
        </w:rPr>
        <w:t>примусу</w:t>
      </w:r>
      <w:r>
        <w:rPr>
          <w:color w:val="231F20"/>
          <w:spacing w:val="-8"/>
          <w:sz w:val="21"/>
        </w:rPr>
        <w:t xml:space="preserve"> </w:t>
      </w:r>
      <w:r>
        <w:rPr>
          <w:color w:val="231F20"/>
          <w:sz w:val="21"/>
        </w:rPr>
        <w:t>у</w:t>
      </w:r>
      <w:r>
        <w:rPr>
          <w:color w:val="231F20"/>
          <w:spacing w:val="-6"/>
          <w:sz w:val="21"/>
        </w:rPr>
        <w:t xml:space="preserve"> </w:t>
      </w:r>
      <w:r>
        <w:rPr>
          <w:color w:val="231F20"/>
          <w:sz w:val="21"/>
        </w:rPr>
        <w:t>вигляді</w:t>
      </w:r>
      <w:r>
        <w:rPr>
          <w:color w:val="231F20"/>
          <w:spacing w:val="-8"/>
          <w:sz w:val="21"/>
        </w:rPr>
        <w:t xml:space="preserve"> </w:t>
      </w:r>
      <w:r>
        <w:rPr>
          <w:color w:val="231F20"/>
          <w:sz w:val="21"/>
        </w:rPr>
        <w:t>застосу</w:t>
      </w:r>
      <w:r>
        <w:rPr>
          <w:color w:val="231F20"/>
          <w:sz w:val="21"/>
        </w:rPr>
        <w:t>- вання встановлених законодавством адміністративних</w:t>
      </w:r>
      <w:r>
        <w:rPr>
          <w:color w:val="231F20"/>
          <w:spacing w:val="-17"/>
          <w:sz w:val="21"/>
        </w:rPr>
        <w:t xml:space="preserve"> </w:t>
      </w:r>
      <w:r>
        <w:rPr>
          <w:color w:val="231F20"/>
          <w:sz w:val="21"/>
        </w:rPr>
        <w:t>стягнень;</w:t>
      </w:r>
    </w:p>
    <w:p w14:paraId="6645F85E" w14:textId="77777777" w:rsidR="00DE575E" w:rsidRDefault="002E7560">
      <w:pPr>
        <w:pStyle w:val="ListParagraph"/>
        <w:numPr>
          <w:ilvl w:val="0"/>
          <w:numId w:val="34"/>
        </w:numPr>
        <w:tabs>
          <w:tab w:val="left" w:pos="818"/>
        </w:tabs>
        <w:ind w:firstLine="283"/>
        <w:rPr>
          <w:sz w:val="21"/>
        </w:rPr>
      </w:pPr>
      <w:r>
        <w:rPr>
          <w:color w:val="231F20"/>
          <w:sz w:val="21"/>
        </w:rPr>
        <w:t>реалізується в умовах неслужбової</w:t>
      </w:r>
      <w:r>
        <w:rPr>
          <w:color w:val="231F20"/>
          <w:spacing w:val="-6"/>
          <w:sz w:val="21"/>
        </w:rPr>
        <w:t xml:space="preserve"> </w:t>
      </w:r>
      <w:r>
        <w:rPr>
          <w:color w:val="231F20"/>
          <w:sz w:val="21"/>
        </w:rPr>
        <w:t>підлеглості;</w:t>
      </w:r>
    </w:p>
    <w:p w14:paraId="25561FD1" w14:textId="77777777" w:rsidR="00DE575E" w:rsidRDefault="002E7560">
      <w:pPr>
        <w:pStyle w:val="ListParagraph"/>
        <w:numPr>
          <w:ilvl w:val="0"/>
          <w:numId w:val="34"/>
        </w:numPr>
        <w:tabs>
          <w:tab w:val="left" w:pos="818"/>
        </w:tabs>
        <w:spacing w:before="13" w:line="252" w:lineRule="auto"/>
        <w:ind w:right="411" w:firstLine="283"/>
        <w:jc w:val="both"/>
        <w:rPr>
          <w:sz w:val="21"/>
        </w:rPr>
      </w:pPr>
      <w:r>
        <w:rPr>
          <w:color w:val="231F20"/>
          <w:sz w:val="21"/>
        </w:rPr>
        <w:t>зобов’язує правопорушника дати відповідь перед повноваж- ним органом публічної адміністрації щодо  своїх  неправомірних  дій і понести за це стягнення з негативними для правопорушника наслідками (морального, матеріального або фізичного</w:t>
      </w:r>
      <w:r>
        <w:rPr>
          <w:color w:val="231F20"/>
          <w:spacing w:val="-17"/>
          <w:sz w:val="21"/>
        </w:rPr>
        <w:t xml:space="preserve"> </w:t>
      </w:r>
      <w:r>
        <w:rPr>
          <w:color w:val="231F20"/>
          <w:sz w:val="21"/>
        </w:rPr>
        <w:t>характеру);</w:t>
      </w:r>
    </w:p>
    <w:p w14:paraId="740F5D74" w14:textId="77777777" w:rsidR="00DE575E" w:rsidRDefault="002E7560">
      <w:pPr>
        <w:pStyle w:val="ListParagraph"/>
        <w:numPr>
          <w:ilvl w:val="0"/>
          <w:numId w:val="34"/>
        </w:numPr>
        <w:tabs>
          <w:tab w:val="left" w:pos="818"/>
        </w:tabs>
        <w:spacing w:before="2" w:line="252" w:lineRule="auto"/>
        <w:ind w:right="412" w:firstLine="283"/>
        <w:jc w:val="both"/>
        <w:rPr>
          <w:sz w:val="21"/>
        </w:rPr>
      </w:pPr>
      <w:r>
        <w:rPr>
          <w:color w:val="231F20"/>
          <w:spacing w:val="-3"/>
          <w:sz w:val="21"/>
        </w:rPr>
        <w:t>норматив</w:t>
      </w:r>
      <w:r>
        <w:rPr>
          <w:color w:val="231F20"/>
          <w:spacing w:val="-3"/>
          <w:sz w:val="21"/>
        </w:rPr>
        <w:t xml:space="preserve">ною підставою адміністративної відповідальності, крім </w:t>
      </w:r>
      <w:r>
        <w:rPr>
          <w:color w:val="231F20"/>
          <w:spacing w:val="-5"/>
          <w:sz w:val="21"/>
        </w:rPr>
        <w:t xml:space="preserve">КУпАП, </w:t>
      </w:r>
      <w:r>
        <w:rPr>
          <w:color w:val="231F20"/>
          <w:sz w:val="21"/>
        </w:rPr>
        <w:t xml:space="preserve">є </w:t>
      </w:r>
      <w:r>
        <w:rPr>
          <w:color w:val="231F20"/>
          <w:spacing w:val="-3"/>
          <w:sz w:val="21"/>
        </w:rPr>
        <w:t xml:space="preserve">інші </w:t>
      </w:r>
      <w:r>
        <w:rPr>
          <w:color w:val="231F20"/>
          <w:spacing w:val="-4"/>
          <w:sz w:val="21"/>
        </w:rPr>
        <w:t xml:space="preserve">законодавчі </w:t>
      </w:r>
      <w:r>
        <w:rPr>
          <w:color w:val="231F20"/>
          <w:spacing w:val="-3"/>
          <w:sz w:val="21"/>
        </w:rPr>
        <w:t xml:space="preserve">акти, зокрема </w:t>
      </w:r>
      <w:r>
        <w:rPr>
          <w:color w:val="231F20"/>
          <w:spacing w:val="-4"/>
          <w:sz w:val="21"/>
        </w:rPr>
        <w:t xml:space="preserve">Водний кодекс </w:t>
      </w:r>
      <w:r>
        <w:rPr>
          <w:color w:val="231F20"/>
          <w:spacing w:val="-5"/>
          <w:sz w:val="21"/>
        </w:rPr>
        <w:t xml:space="preserve">України </w:t>
      </w:r>
      <w:r>
        <w:rPr>
          <w:color w:val="231F20"/>
          <w:sz w:val="21"/>
        </w:rPr>
        <w:t xml:space="preserve">від 6 червня 1995 р. </w:t>
      </w:r>
      <w:r>
        <w:rPr>
          <w:color w:val="231F20"/>
          <w:spacing w:val="-3"/>
          <w:sz w:val="21"/>
        </w:rPr>
        <w:t xml:space="preserve">(статті </w:t>
      </w:r>
      <w:r>
        <w:rPr>
          <w:color w:val="231F20"/>
          <w:sz w:val="21"/>
        </w:rPr>
        <w:t xml:space="preserve">110–111),  </w:t>
      </w:r>
      <w:r>
        <w:rPr>
          <w:color w:val="231F20"/>
          <w:spacing w:val="-3"/>
          <w:sz w:val="21"/>
        </w:rPr>
        <w:t xml:space="preserve">Митний  </w:t>
      </w:r>
      <w:r>
        <w:rPr>
          <w:color w:val="231F20"/>
          <w:spacing w:val="-4"/>
          <w:sz w:val="21"/>
        </w:rPr>
        <w:t xml:space="preserve">кодекс  </w:t>
      </w:r>
      <w:r>
        <w:rPr>
          <w:color w:val="231F20"/>
          <w:spacing w:val="-5"/>
          <w:sz w:val="21"/>
        </w:rPr>
        <w:t xml:space="preserve">України  </w:t>
      </w:r>
      <w:r>
        <w:rPr>
          <w:color w:val="231F20"/>
          <w:spacing w:val="-3"/>
          <w:sz w:val="21"/>
        </w:rPr>
        <w:t xml:space="preserve">від </w:t>
      </w:r>
      <w:r>
        <w:rPr>
          <w:color w:val="231F20"/>
          <w:sz w:val="21"/>
        </w:rPr>
        <w:t xml:space="preserve">11 </w:t>
      </w:r>
      <w:r>
        <w:rPr>
          <w:color w:val="231F20"/>
          <w:spacing w:val="-3"/>
          <w:sz w:val="21"/>
        </w:rPr>
        <w:t xml:space="preserve">липня </w:t>
      </w:r>
      <w:r>
        <w:rPr>
          <w:color w:val="231F20"/>
          <w:sz w:val="21"/>
        </w:rPr>
        <w:t xml:space="preserve">2002 р. </w:t>
      </w:r>
      <w:r>
        <w:rPr>
          <w:color w:val="231F20"/>
          <w:spacing w:val="-3"/>
          <w:sz w:val="21"/>
        </w:rPr>
        <w:t xml:space="preserve">(статті </w:t>
      </w:r>
      <w:r>
        <w:rPr>
          <w:color w:val="231F20"/>
          <w:sz w:val="21"/>
        </w:rPr>
        <w:t xml:space="preserve">319–406), </w:t>
      </w:r>
      <w:r>
        <w:rPr>
          <w:color w:val="231F20"/>
          <w:spacing w:val="-3"/>
          <w:sz w:val="21"/>
        </w:rPr>
        <w:t xml:space="preserve">закони </w:t>
      </w:r>
      <w:r>
        <w:rPr>
          <w:color w:val="231F20"/>
          <w:spacing w:val="-5"/>
          <w:sz w:val="21"/>
        </w:rPr>
        <w:t xml:space="preserve">України </w:t>
      </w:r>
      <w:r>
        <w:rPr>
          <w:color w:val="231F20"/>
          <w:spacing w:val="-3"/>
          <w:sz w:val="21"/>
        </w:rPr>
        <w:t xml:space="preserve">«Про запобігання </w:t>
      </w:r>
      <w:r>
        <w:rPr>
          <w:color w:val="231F20"/>
          <w:spacing w:val="-4"/>
          <w:sz w:val="21"/>
        </w:rPr>
        <w:t>кору</w:t>
      </w:r>
      <w:r>
        <w:rPr>
          <w:color w:val="231F20"/>
          <w:spacing w:val="-4"/>
          <w:sz w:val="21"/>
        </w:rPr>
        <w:t xml:space="preserve">пції» </w:t>
      </w:r>
      <w:r>
        <w:rPr>
          <w:color w:val="231F20"/>
          <w:sz w:val="21"/>
        </w:rPr>
        <w:t xml:space="preserve">від 14 </w:t>
      </w:r>
      <w:r>
        <w:rPr>
          <w:color w:val="231F20"/>
          <w:spacing w:val="-3"/>
          <w:sz w:val="21"/>
        </w:rPr>
        <w:t xml:space="preserve">жовтня </w:t>
      </w:r>
      <w:r>
        <w:rPr>
          <w:color w:val="231F20"/>
          <w:sz w:val="21"/>
        </w:rPr>
        <w:t xml:space="preserve">2014 № </w:t>
      </w:r>
      <w:r>
        <w:rPr>
          <w:color w:val="231F20"/>
          <w:spacing w:val="-4"/>
          <w:sz w:val="21"/>
        </w:rPr>
        <w:t xml:space="preserve">1700-VII, </w:t>
      </w:r>
      <w:r>
        <w:rPr>
          <w:color w:val="231F20"/>
          <w:spacing w:val="-3"/>
          <w:sz w:val="21"/>
        </w:rPr>
        <w:t xml:space="preserve">«Про </w:t>
      </w:r>
      <w:r>
        <w:rPr>
          <w:color w:val="231F20"/>
          <w:sz w:val="21"/>
        </w:rPr>
        <w:t xml:space="preserve">рекламу» від 3 </w:t>
      </w:r>
      <w:r>
        <w:rPr>
          <w:color w:val="231F20"/>
          <w:spacing w:val="-3"/>
          <w:sz w:val="21"/>
        </w:rPr>
        <w:t xml:space="preserve">липня </w:t>
      </w:r>
      <w:r>
        <w:rPr>
          <w:color w:val="231F20"/>
          <w:sz w:val="21"/>
        </w:rPr>
        <w:t xml:space="preserve">1996 р. (зі </w:t>
      </w:r>
      <w:r>
        <w:rPr>
          <w:color w:val="231F20"/>
          <w:spacing w:val="-3"/>
          <w:sz w:val="21"/>
        </w:rPr>
        <w:t xml:space="preserve">змінами </w:t>
      </w:r>
      <w:r>
        <w:rPr>
          <w:color w:val="231F20"/>
          <w:sz w:val="21"/>
        </w:rPr>
        <w:t xml:space="preserve">та </w:t>
      </w:r>
      <w:r>
        <w:rPr>
          <w:color w:val="231F20"/>
          <w:spacing w:val="-3"/>
          <w:sz w:val="21"/>
        </w:rPr>
        <w:t xml:space="preserve">доповненнями </w:t>
      </w:r>
      <w:r>
        <w:rPr>
          <w:color w:val="231F20"/>
          <w:sz w:val="21"/>
        </w:rPr>
        <w:t xml:space="preserve">від 19 </w:t>
      </w:r>
      <w:r>
        <w:rPr>
          <w:color w:val="231F20"/>
          <w:spacing w:val="-3"/>
          <w:sz w:val="21"/>
        </w:rPr>
        <w:t xml:space="preserve">квітня </w:t>
      </w:r>
      <w:r>
        <w:rPr>
          <w:color w:val="231F20"/>
          <w:sz w:val="21"/>
        </w:rPr>
        <w:t xml:space="preserve">2011 </w:t>
      </w:r>
      <w:r>
        <w:rPr>
          <w:color w:val="231F20"/>
          <w:spacing w:val="-3"/>
          <w:sz w:val="21"/>
        </w:rPr>
        <w:t xml:space="preserve">р.), «Про громадські </w:t>
      </w:r>
      <w:r>
        <w:rPr>
          <w:color w:val="231F20"/>
          <w:spacing w:val="-5"/>
          <w:sz w:val="21"/>
        </w:rPr>
        <w:t xml:space="preserve">об’єднання» </w:t>
      </w:r>
      <w:r>
        <w:rPr>
          <w:color w:val="231F20"/>
          <w:sz w:val="21"/>
        </w:rPr>
        <w:t xml:space="preserve">від 22 </w:t>
      </w:r>
      <w:r>
        <w:rPr>
          <w:color w:val="231F20"/>
          <w:spacing w:val="-3"/>
          <w:sz w:val="21"/>
        </w:rPr>
        <w:t xml:space="preserve">березня </w:t>
      </w:r>
      <w:r>
        <w:rPr>
          <w:color w:val="231F20"/>
          <w:sz w:val="21"/>
        </w:rPr>
        <w:t xml:space="preserve">2012 </w:t>
      </w:r>
      <w:r>
        <w:rPr>
          <w:color w:val="231F20"/>
          <w:spacing w:val="-3"/>
          <w:sz w:val="21"/>
        </w:rPr>
        <w:t xml:space="preserve">року </w:t>
      </w:r>
      <w:r>
        <w:rPr>
          <w:color w:val="231F20"/>
          <w:sz w:val="21"/>
        </w:rPr>
        <w:t xml:space="preserve">№ </w:t>
      </w:r>
      <w:r>
        <w:rPr>
          <w:color w:val="231F20"/>
          <w:spacing w:val="-4"/>
          <w:sz w:val="21"/>
        </w:rPr>
        <w:t>4572-VI</w:t>
      </w:r>
      <w:r>
        <w:rPr>
          <w:color w:val="231F20"/>
          <w:spacing w:val="-34"/>
          <w:sz w:val="21"/>
        </w:rPr>
        <w:t xml:space="preserve"> </w:t>
      </w:r>
      <w:r>
        <w:rPr>
          <w:color w:val="231F20"/>
          <w:spacing w:val="-3"/>
          <w:sz w:val="21"/>
        </w:rPr>
        <w:t>тощо;</w:t>
      </w:r>
    </w:p>
    <w:p w14:paraId="0C8124C1" w14:textId="77777777" w:rsidR="00DE575E" w:rsidRDefault="002E7560">
      <w:pPr>
        <w:pStyle w:val="ListParagraph"/>
        <w:numPr>
          <w:ilvl w:val="0"/>
          <w:numId w:val="34"/>
        </w:numPr>
        <w:tabs>
          <w:tab w:val="left" w:pos="818"/>
        </w:tabs>
        <w:spacing w:before="4" w:line="252" w:lineRule="auto"/>
        <w:ind w:right="410" w:firstLine="283"/>
        <w:jc w:val="both"/>
        <w:rPr>
          <w:sz w:val="21"/>
        </w:rPr>
      </w:pPr>
      <w:r>
        <w:rPr>
          <w:color w:val="231F20"/>
          <w:sz w:val="21"/>
        </w:rPr>
        <w:t>правами щодо притягнення особи до адміністративної відпо- відаль</w:t>
      </w:r>
      <w:r>
        <w:rPr>
          <w:color w:val="231F20"/>
          <w:sz w:val="21"/>
        </w:rPr>
        <w:t xml:space="preserve">ності наділене широке коло </w:t>
      </w:r>
      <w:r>
        <w:rPr>
          <w:color w:val="231F20"/>
          <w:spacing w:val="-3"/>
          <w:sz w:val="21"/>
        </w:rPr>
        <w:t xml:space="preserve">суб’єктів </w:t>
      </w:r>
      <w:r>
        <w:rPr>
          <w:color w:val="231F20"/>
          <w:sz w:val="21"/>
        </w:rPr>
        <w:t xml:space="preserve">владних повноважень, визначених у третьому розділі </w:t>
      </w:r>
      <w:r>
        <w:rPr>
          <w:color w:val="231F20"/>
          <w:spacing w:val="-3"/>
          <w:sz w:val="21"/>
        </w:rPr>
        <w:t xml:space="preserve">КУпАП (суди, </w:t>
      </w:r>
      <w:r>
        <w:rPr>
          <w:color w:val="231F20"/>
          <w:sz w:val="21"/>
        </w:rPr>
        <w:t>поліція тощо);</w:t>
      </w:r>
    </w:p>
    <w:p w14:paraId="516BAC18" w14:textId="77777777" w:rsidR="00DE575E" w:rsidRDefault="002E7560">
      <w:pPr>
        <w:pStyle w:val="ListParagraph"/>
        <w:numPr>
          <w:ilvl w:val="0"/>
          <w:numId w:val="34"/>
        </w:numPr>
        <w:tabs>
          <w:tab w:val="left" w:pos="971"/>
        </w:tabs>
        <w:spacing w:line="252" w:lineRule="auto"/>
        <w:ind w:right="410" w:firstLine="283"/>
        <w:jc w:val="both"/>
        <w:rPr>
          <w:sz w:val="21"/>
        </w:rPr>
      </w:pPr>
      <w:r>
        <w:rPr>
          <w:color w:val="231F20"/>
          <w:spacing w:val="-7"/>
          <w:sz w:val="21"/>
        </w:rPr>
        <w:t xml:space="preserve">суб’єктами </w:t>
      </w:r>
      <w:r>
        <w:rPr>
          <w:color w:val="231F20"/>
          <w:spacing w:val="-5"/>
          <w:sz w:val="21"/>
        </w:rPr>
        <w:t xml:space="preserve">адміністративної відповідальності постають як фізичні </w:t>
      </w:r>
      <w:r>
        <w:rPr>
          <w:color w:val="231F20"/>
          <w:spacing w:val="-6"/>
          <w:sz w:val="21"/>
        </w:rPr>
        <w:t xml:space="preserve">(осудна </w:t>
      </w:r>
      <w:r>
        <w:rPr>
          <w:color w:val="231F20"/>
          <w:spacing w:val="-5"/>
          <w:sz w:val="21"/>
        </w:rPr>
        <w:t xml:space="preserve">особа, </w:t>
      </w:r>
      <w:r>
        <w:rPr>
          <w:color w:val="231F20"/>
          <w:spacing w:val="-4"/>
          <w:sz w:val="21"/>
        </w:rPr>
        <w:t xml:space="preserve">яка </w:t>
      </w:r>
      <w:r>
        <w:rPr>
          <w:color w:val="231F20"/>
          <w:spacing w:val="-3"/>
          <w:sz w:val="21"/>
        </w:rPr>
        <w:t xml:space="preserve">на </w:t>
      </w:r>
      <w:r>
        <w:rPr>
          <w:color w:val="231F20"/>
          <w:spacing w:val="-5"/>
          <w:sz w:val="21"/>
        </w:rPr>
        <w:t xml:space="preserve">момент вчинення адміністративного проступку </w:t>
      </w:r>
      <w:r>
        <w:rPr>
          <w:color w:val="231F20"/>
          <w:spacing w:val="-6"/>
          <w:sz w:val="21"/>
        </w:rPr>
        <w:t xml:space="preserve">досягла </w:t>
      </w:r>
      <w:r>
        <w:rPr>
          <w:color w:val="231F20"/>
          <w:spacing w:val="-5"/>
          <w:sz w:val="21"/>
        </w:rPr>
        <w:t xml:space="preserve">16-річного </w:t>
      </w:r>
      <w:r>
        <w:rPr>
          <w:color w:val="231F20"/>
          <w:spacing w:val="-8"/>
          <w:sz w:val="21"/>
        </w:rPr>
        <w:t xml:space="preserve">віку, </w:t>
      </w:r>
      <w:r>
        <w:rPr>
          <w:color w:val="231F20"/>
          <w:spacing w:val="-9"/>
          <w:sz w:val="21"/>
        </w:rPr>
        <w:t xml:space="preserve">ст. </w:t>
      </w:r>
      <w:r>
        <w:rPr>
          <w:color w:val="231F20"/>
          <w:spacing w:val="-4"/>
          <w:sz w:val="21"/>
        </w:rPr>
        <w:t xml:space="preserve">12. </w:t>
      </w:r>
      <w:r>
        <w:rPr>
          <w:color w:val="231F20"/>
          <w:spacing w:val="-6"/>
          <w:sz w:val="21"/>
        </w:rPr>
        <w:t xml:space="preserve">КУпАП), </w:t>
      </w:r>
      <w:r>
        <w:rPr>
          <w:color w:val="231F20"/>
          <w:spacing w:val="-4"/>
          <w:sz w:val="21"/>
        </w:rPr>
        <w:t xml:space="preserve">так </w:t>
      </w:r>
      <w:r>
        <w:rPr>
          <w:color w:val="231F20"/>
          <w:sz w:val="21"/>
        </w:rPr>
        <w:t xml:space="preserve">і </w:t>
      </w:r>
      <w:r>
        <w:rPr>
          <w:color w:val="231F20"/>
          <w:spacing w:val="-5"/>
          <w:sz w:val="21"/>
        </w:rPr>
        <w:t>юридичні</w:t>
      </w:r>
      <w:r>
        <w:rPr>
          <w:color w:val="231F20"/>
          <w:spacing w:val="-31"/>
          <w:sz w:val="21"/>
        </w:rPr>
        <w:t xml:space="preserve"> </w:t>
      </w:r>
      <w:r>
        <w:rPr>
          <w:color w:val="231F20"/>
          <w:spacing w:val="-5"/>
          <w:sz w:val="21"/>
        </w:rPr>
        <w:t>особи;</w:t>
      </w:r>
    </w:p>
    <w:p w14:paraId="2AB60676" w14:textId="77777777" w:rsidR="00DE575E" w:rsidRDefault="002E7560">
      <w:pPr>
        <w:pStyle w:val="ListParagraph"/>
        <w:numPr>
          <w:ilvl w:val="0"/>
          <w:numId w:val="34"/>
        </w:numPr>
        <w:tabs>
          <w:tab w:val="left" w:pos="971"/>
        </w:tabs>
        <w:spacing w:before="2"/>
        <w:ind w:left="970" w:hanging="437"/>
        <w:rPr>
          <w:sz w:val="21"/>
        </w:rPr>
      </w:pPr>
      <w:r>
        <w:rPr>
          <w:color w:val="231F20"/>
          <w:sz w:val="21"/>
        </w:rPr>
        <w:t>реалізується у відповідних процесуальних</w:t>
      </w:r>
      <w:r>
        <w:rPr>
          <w:color w:val="231F20"/>
          <w:spacing w:val="-7"/>
          <w:sz w:val="21"/>
        </w:rPr>
        <w:t xml:space="preserve"> </w:t>
      </w:r>
      <w:r>
        <w:rPr>
          <w:color w:val="231F20"/>
          <w:sz w:val="21"/>
        </w:rPr>
        <w:t>формах;</w:t>
      </w:r>
    </w:p>
    <w:p w14:paraId="2422AC5E" w14:textId="77777777" w:rsidR="00DE575E" w:rsidRDefault="002E7560">
      <w:pPr>
        <w:pStyle w:val="ListParagraph"/>
        <w:numPr>
          <w:ilvl w:val="0"/>
          <w:numId w:val="34"/>
        </w:numPr>
        <w:tabs>
          <w:tab w:val="left" w:pos="971"/>
        </w:tabs>
        <w:spacing w:before="12" w:line="252" w:lineRule="auto"/>
        <w:ind w:right="411" w:firstLine="283"/>
        <w:jc w:val="both"/>
        <w:rPr>
          <w:sz w:val="21"/>
        </w:rPr>
      </w:pPr>
      <w:r>
        <w:rPr>
          <w:color w:val="231F20"/>
          <w:sz w:val="21"/>
        </w:rPr>
        <w:t xml:space="preserve">засобом реалізації адміністративної відповідальності є адмі- ністративні стягнення та  </w:t>
      </w:r>
      <w:r>
        <w:rPr>
          <w:color w:val="231F20"/>
          <w:spacing w:val="-2"/>
          <w:sz w:val="21"/>
        </w:rPr>
        <w:t>заходи</w:t>
      </w:r>
      <w:r>
        <w:rPr>
          <w:color w:val="231F20"/>
          <w:spacing w:val="41"/>
          <w:sz w:val="21"/>
        </w:rPr>
        <w:t xml:space="preserve"> </w:t>
      </w:r>
      <w:r>
        <w:rPr>
          <w:color w:val="231F20"/>
          <w:sz w:val="21"/>
        </w:rPr>
        <w:t xml:space="preserve">виховного  </w:t>
      </w:r>
      <w:r>
        <w:rPr>
          <w:color w:val="231F20"/>
          <w:spacing w:val="-3"/>
          <w:sz w:val="21"/>
        </w:rPr>
        <w:t xml:space="preserve">впливу,  </w:t>
      </w:r>
      <w:r>
        <w:rPr>
          <w:color w:val="231F20"/>
          <w:sz w:val="21"/>
        </w:rPr>
        <w:t xml:space="preserve">передбачені </w:t>
      </w:r>
      <w:r>
        <w:rPr>
          <w:color w:val="231F20"/>
          <w:spacing w:val="-6"/>
          <w:sz w:val="21"/>
        </w:rPr>
        <w:t xml:space="preserve">ст. </w:t>
      </w:r>
      <w:r>
        <w:rPr>
          <w:color w:val="231F20"/>
          <w:sz w:val="21"/>
        </w:rPr>
        <w:t>24</w:t>
      </w:r>
      <w:r>
        <w:rPr>
          <w:color w:val="231F20"/>
          <w:position w:val="7"/>
          <w:sz w:val="12"/>
        </w:rPr>
        <w:t>1</w:t>
      </w:r>
      <w:r>
        <w:rPr>
          <w:color w:val="231F20"/>
          <w:position w:val="7"/>
          <w:sz w:val="12"/>
        </w:rPr>
        <w:t xml:space="preserve"> </w:t>
      </w:r>
      <w:r>
        <w:rPr>
          <w:color w:val="231F20"/>
          <w:spacing w:val="-3"/>
          <w:sz w:val="21"/>
        </w:rPr>
        <w:t>КУпАП.</w:t>
      </w:r>
    </w:p>
    <w:p w14:paraId="613B6145" w14:textId="77777777" w:rsidR="00DE575E" w:rsidRDefault="002E7560">
      <w:pPr>
        <w:pStyle w:val="BodyText"/>
        <w:spacing w:before="2" w:line="252" w:lineRule="auto"/>
        <w:ind w:left="250" w:right="409" w:firstLine="283"/>
        <w:jc w:val="both"/>
      </w:pPr>
      <w:r>
        <w:rPr>
          <w:color w:val="231F20"/>
        </w:rPr>
        <w:t>Суспільні в</w:t>
      </w:r>
      <w:r>
        <w:rPr>
          <w:color w:val="231F20"/>
        </w:rPr>
        <w:t>ідносини, що врегульовуються інститутом адмініст- ративної відповідальності, різні за своїм обсягом і змістом. Вона реалізується</w:t>
      </w:r>
      <w:r>
        <w:rPr>
          <w:color w:val="231F20"/>
          <w:spacing w:val="-10"/>
        </w:rPr>
        <w:t xml:space="preserve"> </w:t>
      </w:r>
      <w:r>
        <w:rPr>
          <w:color w:val="231F20"/>
        </w:rPr>
        <w:t>як</w:t>
      </w:r>
      <w:r>
        <w:rPr>
          <w:color w:val="231F20"/>
          <w:spacing w:val="-10"/>
        </w:rPr>
        <w:t xml:space="preserve"> </w:t>
      </w:r>
      <w:r>
        <w:rPr>
          <w:color w:val="231F20"/>
        </w:rPr>
        <w:t>у</w:t>
      </w:r>
      <w:r>
        <w:rPr>
          <w:color w:val="231F20"/>
          <w:spacing w:val="-10"/>
        </w:rPr>
        <w:t xml:space="preserve"> </w:t>
      </w:r>
      <w:r>
        <w:rPr>
          <w:color w:val="231F20"/>
        </w:rPr>
        <w:t>матеріальних</w:t>
      </w:r>
      <w:r>
        <w:rPr>
          <w:color w:val="231F20"/>
          <w:spacing w:val="-10"/>
        </w:rPr>
        <w:t xml:space="preserve"> </w:t>
      </w:r>
      <w:r>
        <w:rPr>
          <w:color w:val="231F20"/>
        </w:rPr>
        <w:t>нормах</w:t>
      </w:r>
      <w:r>
        <w:rPr>
          <w:color w:val="231F20"/>
          <w:spacing w:val="-10"/>
        </w:rPr>
        <w:t xml:space="preserve"> </w:t>
      </w:r>
      <w:r>
        <w:rPr>
          <w:color w:val="231F20"/>
        </w:rPr>
        <w:t>(які</w:t>
      </w:r>
      <w:r>
        <w:rPr>
          <w:color w:val="231F20"/>
          <w:spacing w:val="-10"/>
        </w:rPr>
        <w:t xml:space="preserve"> </w:t>
      </w:r>
      <w:r>
        <w:rPr>
          <w:color w:val="231F20"/>
        </w:rPr>
        <w:t>передбачають</w:t>
      </w:r>
      <w:r>
        <w:rPr>
          <w:color w:val="231F20"/>
          <w:spacing w:val="-10"/>
        </w:rPr>
        <w:t xml:space="preserve"> </w:t>
      </w:r>
      <w:r>
        <w:rPr>
          <w:color w:val="231F20"/>
        </w:rPr>
        <w:t>конкретні права та обов’язки), так і в</w:t>
      </w:r>
      <w:r>
        <w:rPr>
          <w:color w:val="231F20"/>
          <w:spacing w:val="-7"/>
        </w:rPr>
        <w:t xml:space="preserve"> </w:t>
      </w:r>
      <w:r>
        <w:rPr>
          <w:color w:val="231F20"/>
        </w:rPr>
        <w:t>процесуальних.</w:t>
      </w:r>
    </w:p>
    <w:p w14:paraId="3E0F8D13" w14:textId="77777777" w:rsidR="00DE575E" w:rsidRDefault="00DE575E">
      <w:pPr>
        <w:pStyle w:val="BodyText"/>
        <w:spacing w:before="6"/>
        <w:rPr>
          <w:sz w:val="12"/>
        </w:rPr>
      </w:pPr>
    </w:p>
    <w:p w14:paraId="75A3F927" w14:textId="77777777" w:rsidR="00DE575E" w:rsidRDefault="002E7560">
      <w:pPr>
        <w:spacing w:before="92"/>
        <w:ind w:right="411"/>
        <w:jc w:val="right"/>
        <w:rPr>
          <w:rFonts w:ascii="Times New Roman"/>
          <w:sz w:val="20"/>
        </w:rPr>
      </w:pPr>
      <w:r>
        <w:rPr>
          <w:rFonts w:ascii="Times New Roman"/>
          <w:color w:val="231F20"/>
          <w:w w:val="90"/>
          <w:sz w:val="20"/>
        </w:rPr>
        <w:t>469</w:t>
      </w:r>
    </w:p>
    <w:p w14:paraId="2E9A328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6C91F58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6863A7A" w14:textId="501D24D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41C69420" wp14:editId="279D1436">
                <wp:extent cx="4140200" cy="6350"/>
                <wp:effectExtent l="0" t="0" r="12700" b="6350"/>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31" name="Line 23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2C8807" id="Group_x0020_22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P6cDF34CAACYBQAADgAA&#10;AAAAAAAAAAAAAAAsAgAAZHJzL2Uyb0RvYy54bWxQSwECLQAUAAYACAAAACEATKewkNkAAAADAQAA&#10;DwAAAAAAAAAAAAAAAADWBAAAZHJzL2Rvd25yZXYueG1sUEsFBgAAAAAEAAQA8wAAANwFAAAAAA==&#10;">
                <v:line id="Line_x0020_23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FHL8YAAADcAAAADwAAAGRycy9kb3ducmV2LnhtbESP0WrCQBRE3wv+w3KFvpS60YCU1FVE&#10;KJQ+aDX9gGv2mgR378bsaqJf3xUEH4eZOcPMFr014kKtrx0rGI8SEMSF0zWXCv7yr/cPED4gazSO&#10;ScGVPCzmg5cZZtp1vKXLLpQiQthnqKAKocmk9EVFFv3INcTRO7jWYoiyLaVusYtwa+QkSabSYs1x&#10;ocKGVhUVx93ZKshPb8H8bn5Ml2/2qdyf1untvFbqddgvP0EE6sMz/Gh/awWTdAz3M/EIyPk/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2BRy/GAAAA3AAAAA8AAAAAAAAA&#10;AAAAAAAAoQIAAGRycy9kb3ducmV2LnhtbFBLBQYAAAAABAAEAPkAAACUAwAAAAA=&#10;" strokecolor="#231f20" strokeweight=".5pt"/>
                <w10:anchorlock/>
              </v:group>
            </w:pict>
          </mc:Fallback>
        </mc:AlternateContent>
      </w:r>
    </w:p>
    <w:p w14:paraId="567E37C1" w14:textId="77777777" w:rsidR="00DE575E" w:rsidRDefault="00DE575E">
      <w:pPr>
        <w:pStyle w:val="BodyText"/>
        <w:rPr>
          <w:rFonts w:ascii="AdonisC"/>
          <w:i/>
          <w:sz w:val="19"/>
        </w:rPr>
      </w:pPr>
    </w:p>
    <w:p w14:paraId="432DD45C" w14:textId="77777777" w:rsidR="00DE575E" w:rsidRDefault="002E7560">
      <w:pPr>
        <w:pStyle w:val="Heading4"/>
        <w:ind w:left="1417" w:right="514" w:hanging="487"/>
      </w:pPr>
      <w:r>
        <w:rPr>
          <w:color w:val="231F20"/>
        </w:rPr>
        <w:t>1.2. Відмежування адміністративної відповідальності від інших видів юридичної відповідальності</w:t>
      </w:r>
    </w:p>
    <w:p w14:paraId="5038A0D1" w14:textId="77777777" w:rsidR="00DE575E" w:rsidRDefault="00DE575E">
      <w:pPr>
        <w:pStyle w:val="BodyText"/>
        <w:rPr>
          <w:b/>
          <w:sz w:val="26"/>
        </w:rPr>
      </w:pPr>
    </w:p>
    <w:p w14:paraId="277E5223" w14:textId="77777777" w:rsidR="00DE575E" w:rsidRDefault="002E7560">
      <w:pPr>
        <w:pStyle w:val="BodyText"/>
        <w:spacing w:before="224" w:line="252" w:lineRule="auto"/>
        <w:ind w:left="533" w:right="125" w:firstLine="283"/>
        <w:jc w:val="both"/>
      </w:pPr>
      <w:r>
        <w:rPr>
          <w:color w:val="231F20"/>
        </w:rPr>
        <w:t>Незважаючи на наявність спільних рис, що притаманні</w:t>
      </w:r>
      <w:r>
        <w:rPr>
          <w:color w:val="231F20"/>
        </w:rPr>
        <w:t xml:space="preserve"> будь- якому виду юридичної відповідальності, адміністративна відпові- дальність водночас відрізняється від інших видів юридичної відпо- відальності.</w:t>
      </w:r>
    </w:p>
    <w:p w14:paraId="3421C4E2" w14:textId="77777777" w:rsidR="00DE575E" w:rsidRDefault="002E7560">
      <w:pPr>
        <w:pStyle w:val="Heading6"/>
        <w:spacing w:before="2" w:line="252" w:lineRule="auto"/>
        <w:ind w:right="129"/>
        <w:jc w:val="both"/>
      </w:pPr>
      <w:r>
        <w:rPr>
          <w:color w:val="231F20"/>
        </w:rPr>
        <w:t xml:space="preserve">Адміністративна відповідальність відмежовується від </w:t>
      </w:r>
      <w:r>
        <w:rPr>
          <w:color w:val="231F20"/>
        </w:rPr>
        <w:t>кримінальної за такими ознаками:</w:t>
      </w:r>
    </w:p>
    <w:p w14:paraId="0E8AE679" w14:textId="77777777" w:rsidR="00DE575E" w:rsidRDefault="002E7560">
      <w:pPr>
        <w:pStyle w:val="ListParagraph"/>
        <w:numPr>
          <w:ilvl w:val="1"/>
          <w:numId w:val="34"/>
        </w:numPr>
        <w:tabs>
          <w:tab w:val="left" w:pos="1101"/>
        </w:tabs>
        <w:spacing w:line="252" w:lineRule="auto"/>
        <w:ind w:right="127" w:firstLine="284"/>
        <w:rPr>
          <w:sz w:val="21"/>
        </w:rPr>
      </w:pPr>
      <w:r>
        <w:rPr>
          <w:color w:val="231F20"/>
          <w:sz w:val="21"/>
        </w:rPr>
        <w:t>адміністративна</w:t>
      </w:r>
      <w:r>
        <w:rPr>
          <w:color w:val="231F20"/>
          <w:spacing w:val="-28"/>
          <w:sz w:val="21"/>
        </w:rPr>
        <w:t xml:space="preserve"> </w:t>
      </w:r>
      <w:r>
        <w:rPr>
          <w:color w:val="231F20"/>
          <w:sz w:val="21"/>
        </w:rPr>
        <w:t>відпо</w:t>
      </w:r>
      <w:r>
        <w:rPr>
          <w:color w:val="231F20"/>
          <w:sz w:val="21"/>
        </w:rPr>
        <w:t>відальність</w:t>
      </w:r>
      <w:r>
        <w:rPr>
          <w:color w:val="231F20"/>
          <w:spacing w:val="-28"/>
          <w:sz w:val="21"/>
        </w:rPr>
        <w:t xml:space="preserve"> </w:t>
      </w:r>
      <w:r>
        <w:rPr>
          <w:color w:val="231F20"/>
          <w:sz w:val="21"/>
        </w:rPr>
        <w:t>настає</w:t>
      </w:r>
      <w:r>
        <w:rPr>
          <w:color w:val="231F20"/>
          <w:spacing w:val="-28"/>
          <w:sz w:val="21"/>
        </w:rPr>
        <w:t xml:space="preserve"> </w:t>
      </w:r>
      <w:r>
        <w:rPr>
          <w:color w:val="231F20"/>
          <w:sz w:val="21"/>
        </w:rPr>
        <w:t>за</w:t>
      </w:r>
      <w:r>
        <w:rPr>
          <w:color w:val="231F20"/>
          <w:spacing w:val="-28"/>
          <w:sz w:val="21"/>
        </w:rPr>
        <w:t xml:space="preserve"> </w:t>
      </w:r>
      <w:r>
        <w:rPr>
          <w:color w:val="231F20"/>
          <w:sz w:val="21"/>
        </w:rPr>
        <w:t>вчинення</w:t>
      </w:r>
      <w:r>
        <w:rPr>
          <w:color w:val="231F20"/>
          <w:spacing w:val="-28"/>
          <w:sz w:val="21"/>
        </w:rPr>
        <w:t xml:space="preserve"> </w:t>
      </w:r>
      <w:r>
        <w:rPr>
          <w:color w:val="231F20"/>
          <w:sz w:val="21"/>
        </w:rPr>
        <w:t xml:space="preserve">адмініст- ративного правопорушення, склад якого визначається як законами (КУпАП, Митний кодекс </w:t>
      </w:r>
      <w:r>
        <w:rPr>
          <w:color w:val="231F20"/>
          <w:spacing w:val="-3"/>
          <w:sz w:val="21"/>
        </w:rPr>
        <w:t xml:space="preserve">України, </w:t>
      </w:r>
      <w:r>
        <w:rPr>
          <w:color w:val="231F20"/>
          <w:sz w:val="21"/>
        </w:rPr>
        <w:t xml:space="preserve">закони </w:t>
      </w:r>
      <w:r>
        <w:rPr>
          <w:color w:val="231F20"/>
          <w:spacing w:val="-3"/>
          <w:sz w:val="21"/>
        </w:rPr>
        <w:t xml:space="preserve">України </w:t>
      </w:r>
      <w:r>
        <w:rPr>
          <w:color w:val="231F20"/>
          <w:sz w:val="21"/>
        </w:rPr>
        <w:t xml:space="preserve">«Про громадські </w:t>
      </w:r>
      <w:r>
        <w:rPr>
          <w:color w:val="231F20"/>
          <w:spacing w:val="-3"/>
          <w:sz w:val="21"/>
        </w:rPr>
        <w:t xml:space="preserve">об’єднання», </w:t>
      </w:r>
      <w:r>
        <w:rPr>
          <w:color w:val="231F20"/>
          <w:sz w:val="21"/>
        </w:rPr>
        <w:t xml:space="preserve">«Про запобігання корупції» тощо), так і підзаконними актами (рішення органів місцевого самоврядування). Кримінальна відповідальність настає за вчинення </w:t>
      </w:r>
      <w:r>
        <w:rPr>
          <w:color w:val="231F20"/>
          <w:spacing w:val="-3"/>
          <w:sz w:val="21"/>
        </w:rPr>
        <w:t xml:space="preserve">злочину, </w:t>
      </w:r>
      <w:r>
        <w:rPr>
          <w:color w:val="231F20"/>
          <w:sz w:val="21"/>
        </w:rPr>
        <w:t>склад яких визнача- ється виключно нормами Кримінального кодексу</w:t>
      </w:r>
      <w:r>
        <w:rPr>
          <w:color w:val="231F20"/>
          <w:spacing w:val="-5"/>
          <w:sz w:val="21"/>
        </w:rPr>
        <w:t xml:space="preserve"> </w:t>
      </w:r>
      <w:r>
        <w:rPr>
          <w:color w:val="231F20"/>
          <w:spacing w:val="-3"/>
          <w:sz w:val="21"/>
        </w:rPr>
        <w:t>України;</w:t>
      </w:r>
    </w:p>
    <w:p w14:paraId="01B877AB" w14:textId="77777777" w:rsidR="00DE575E" w:rsidRDefault="002E7560">
      <w:pPr>
        <w:pStyle w:val="ListParagraph"/>
        <w:numPr>
          <w:ilvl w:val="1"/>
          <w:numId w:val="34"/>
        </w:numPr>
        <w:tabs>
          <w:tab w:val="left" w:pos="1101"/>
        </w:tabs>
        <w:spacing w:before="3" w:line="252" w:lineRule="auto"/>
        <w:ind w:right="127" w:firstLine="284"/>
        <w:rPr>
          <w:sz w:val="21"/>
        </w:rPr>
      </w:pPr>
      <w:r>
        <w:rPr>
          <w:color w:val="231F20"/>
          <w:sz w:val="21"/>
        </w:rPr>
        <w:t>правом порушення спра</w:t>
      </w:r>
      <w:r>
        <w:rPr>
          <w:color w:val="231F20"/>
          <w:sz w:val="21"/>
        </w:rPr>
        <w:t xml:space="preserve">в про адміністративні правопору- шення, як і правом </w:t>
      </w:r>
      <w:r>
        <w:rPr>
          <w:color w:val="231F20"/>
          <w:spacing w:val="-3"/>
          <w:sz w:val="21"/>
        </w:rPr>
        <w:t xml:space="preserve">розгляду </w:t>
      </w:r>
      <w:r>
        <w:rPr>
          <w:color w:val="231F20"/>
          <w:sz w:val="21"/>
        </w:rPr>
        <w:t xml:space="preserve">таких справ наділене широке коло </w:t>
      </w:r>
      <w:r>
        <w:rPr>
          <w:color w:val="231F20"/>
          <w:spacing w:val="-3"/>
          <w:sz w:val="21"/>
        </w:rPr>
        <w:t xml:space="preserve">суб’єктів </w:t>
      </w:r>
      <w:r>
        <w:rPr>
          <w:color w:val="231F20"/>
          <w:sz w:val="21"/>
        </w:rPr>
        <w:t xml:space="preserve">публічної адміністрації. Правом порушення кримінальних справ наділені виключно органи дізнання й попереднього слідства, визначені КПК </w:t>
      </w:r>
      <w:r>
        <w:rPr>
          <w:color w:val="231F20"/>
          <w:spacing w:val="-3"/>
          <w:sz w:val="21"/>
        </w:rPr>
        <w:t xml:space="preserve">України, </w:t>
      </w:r>
      <w:r>
        <w:rPr>
          <w:color w:val="231F20"/>
          <w:sz w:val="21"/>
        </w:rPr>
        <w:t>та органи</w:t>
      </w:r>
      <w:r>
        <w:rPr>
          <w:color w:val="231F20"/>
          <w:sz w:val="21"/>
        </w:rPr>
        <w:t xml:space="preserve"> прокуратури, а правом </w:t>
      </w:r>
      <w:r>
        <w:rPr>
          <w:color w:val="231F20"/>
          <w:spacing w:val="-3"/>
          <w:sz w:val="21"/>
        </w:rPr>
        <w:t xml:space="preserve">розгляду </w:t>
      </w:r>
      <w:r>
        <w:rPr>
          <w:color w:val="231F20"/>
          <w:sz w:val="21"/>
        </w:rPr>
        <w:t>– виключно</w:t>
      </w:r>
      <w:r>
        <w:rPr>
          <w:color w:val="231F20"/>
          <w:spacing w:val="-21"/>
          <w:sz w:val="21"/>
        </w:rPr>
        <w:t xml:space="preserve"> </w:t>
      </w:r>
      <w:r>
        <w:rPr>
          <w:color w:val="231F20"/>
          <w:spacing w:val="-3"/>
          <w:sz w:val="21"/>
        </w:rPr>
        <w:t>суди.</w:t>
      </w:r>
      <w:r>
        <w:rPr>
          <w:color w:val="231F20"/>
          <w:spacing w:val="-20"/>
          <w:sz w:val="21"/>
        </w:rPr>
        <w:t xml:space="preserve"> </w:t>
      </w:r>
      <w:r>
        <w:rPr>
          <w:color w:val="231F20"/>
          <w:sz w:val="21"/>
        </w:rPr>
        <w:t>Що</w:t>
      </w:r>
      <w:r>
        <w:rPr>
          <w:color w:val="231F20"/>
          <w:spacing w:val="-20"/>
          <w:sz w:val="21"/>
        </w:rPr>
        <w:t xml:space="preserve"> </w:t>
      </w:r>
      <w:r>
        <w:rPr>
          <w:color w:val="231F20"/>
          <w:sz w:val="21"/>
        </w:rPr>
        <w:t>стосується</w:t>
      </w:r>
      <w:r>
        <w:rPr>
          <w:color w:val="231F20"/>
          <w:spacing w:val="-20"/>
          <w:sz w:val="21"/>
        </w:rPr>
        <w:t xml:space="preserve"> </w:t>
      </w:r>
      <w:r>
        <w:rPr>
          <w:color w:val="231F20"/>
          <w:spacing w:val="-3"/>
          <w:sz w:val="21"/>
        </w:rPr>
        <w:t>суб’єктів,</w:t>
      </w:r>
      <w:r>
        <w:rPr>
          <w:color w:val="231F20"/>
          <w:spacing w:val="-20"/>
          <w:sz w:val="21"/>
        </w:rPr>
        <w:t xml:space="preserve"> </w:t>
      </w:r>
      <w:r>
        <w:rPr>
          <w:color w:val="231F20"/>
          <w:sz w:val="21"/>
        </w:rPr>
        <w:t>які</w:t>
      </w:r>
      <w:r>
        <w:rPr>
          <w:color w:val="231F20"/>
          <w:spacing w:val="-20"/>
          <w:sz w:val="21"/>
        </w:rPr>
        <w:t xml:space="preserve"> </w:t>
      </w:r>
      <w:r>
        <w:rPr>
          <w:color w:val="231F20"/>
          <w:sz w:val="21"/>
        </w:rPr>
        <w:t>встановлюють</w:t>
      </w:r>
      <w:r>
        <w:rPr>
          <w:color w:val="231F20"/>
          <w:spacing w:val="-20"/>
          <w:sz w:val="21"/>
        </w:rPr>
        <w:t xml:space="preserve"> </w:t>
      </w:r>
      <w:r>
        <w:rPr>
          <w:color w:val="231F20"/>
          <w:sz w:val="21"/>
        </w:rPr>
        <w:t xml:space="preserve">юридичну відповідальність, то на відміну від кримінальної відповідальності, яка встановлюється виключно Верховною Радою </w:t>
      </w:r>
      <w:r>
        <w:rPr>
          <w:color w:val="231F20"/>
          <w:spacing w:val="-3"/>
          <w:sz w:val="21"/>
        </w:rPr>
        <w:t xml:space="preserve">України, </w:t>
      </w:r>
      <w:r>
        <w:rPr>
          <w:color w:val="231F20"/>
          <w:sz w:val="21"/>
        </w:rPr>
        <w:t>адмініст- ративна встановлюється й і</w:t>
      </w:r>
      <w:r>
        <w:rPr>
          <w:color w:val="231F20"/>
          <w:sz w:val="21"/>
        </w:rPr>
        <w:t xml:space="preserve">ншими </w:t>
      </w:r>
      <w:r>
        <w:rPr>
          <w:color w:val="231F20"/>
          <w:spacing w:val="-3"/>
          <w:sz w:val="21"/>
        </w:rPr>
        <w:t xml:space="preserve">суб’єктами </w:t>
      </w:r>
      <w:r>
        <w:rPr>
          <w:color w:val="231F20"/>
          <w:sz w:val="21"/>
        </w:rPr>
        <w:t>публічної адміністра- ції (органами місцевого самоврядування);</w:t>
      </w:r>
    </w:p>
    <w:p w14:paraId="1CD38815" w14:textId="77777777" w:rsidR="00DE575E" w:rsidRDefault="002E7560">
      <w:pPr>
        <w:pStyle w:val="ListParagraph"/>
        <w:numPr>
          <w:ilvl w:val="1"/>
          <w:numId w:val="34"/>
        </w:numPr>
        <w:tabs>
          <w:tab w:val="left" w:pos="1101"/>
        </w:tabs>
        <w:spacing w:before="5" w:line="252" w:lineRule="auto"/>
        <w:ind w:right="129" w:firstLine="284"/>
        <w:rPr>
          <w:sz w:val="21"/>
        </w:rPr>
      </w:pPr>
      <w:r>
        <w:rPr>
          <w:color w:val="231F20"/>
          <w:sz w:val="21"/>
        </w:rPr>
        <w:t>до</w:t>
      </w:r>
      <w:r>
        <w:rPr>
          <w:color w:val="231F20"/>
          <w:spacing w:val="-9"/>
          <w:sz w:val="21"/>
        </w:rPr>
        <w:t xml:space="preserve"> </w:t>
      </w:r>
      <w:r>
        <w:rPr>
          <w:color w:val="231F20"/>
          <w:sz w:val="21"/>
        </w:rPr>
        <w:t>кримінальної</w:t>
      </w:r>
      <w:r>
        <w:rPr>
          <w:color w:val="231F20"/>
          <w:spacing w:val="-9"/>
          <w:sz w:val="21"/>
        </w:rPr>
        <w:t xml:space="preserve"> </w:t>
      </w:r>
      <w:r>
        <w:rPr>
          <w:color w:val="231F20"/>
          <w:sz w:val="21"/>
        </w:rPr>
        <w:t>відповідальності</w:t>
      </w:r>
      <w:r>
        <w:rPr>
          <w:color w:val="231F20"/>
          <w:spacing w:val="-9"/>
          <w:sz w:val="21"/>
        </w:rPr>
        <w:t xml:space="preserve"> </w:t>
      </w:r>
      <w:r>
        <w:rPr>
          <w:color w:val="231F20"/>
          <w:sz w:val="21"/>
        </w:rPr>
        <w:t>притягуються</w:t>
      </w:r>
      <w:r>
        <w:rPr>
          <w:color w:val="231F20"/>
          <w:spacing w:val="-9"/>
          <w:sz w:val="21"/>
        </w:rPr>
        <w:t xml:space="preserve"> </w:t>
      </w:r>
      <w:r>
        <w:rPr>
          <w:color w:val="231F20"/>
          <w:sz w:val="21"/>
        </w:rPr>
        <w:t>лише</w:t>
      </w:r>
      <w:r>
        <w:rPr>
          <w:color w:val="231F20"/>
          <w:spacing w:val="-9"/>
          <w:sz w:val="21"/>
        </w:rPr>
        <w:t xml:space="preserve"> </w:t>
      </w:r>
      <w:r>
        <w:rPr>
          <w:color w:val="231F20"/>
          <w:sz w:val="21"/>
        </w:rPr>
        <w:t>фізичні особи, а до адміністративної – як фізичні, так і юридичні</w:t>
      </w:r>
      <w:r>
        <w:rPr>
          <w:color w:val="231F20"/>
          <w:spacing w:val="-23"/>
          <w:sz w:val="21"/>
        </w:rPr>
        <w:t xml:space="preserve"> </w:t>
      </w:r>
      <w:r>
        <w:rPr>
          <w:color w:val="231F20"/>
          <w:sz w:val="21"/>
        </w:rPr>
        <w:t>особи;</w:t>
      </w:r>
    </w:p>
    <w:p w14:paraId="7A184081" w14:textId="77777777" w:rsidR="00DE575E" w:rsidRDefault="002E7560">
      <w:pPr>
        <w:pStyle w:val="ListParagraph"/>
        <w:numPr>
          <w:ilvl w:val="1"/>
          <w:numId w:val="34"/>
        </w:numPr>
        <w:tabs>
          <w:tab w:val="left" w:pos="1101"/>
        </w:tabs>
        <w:spacing w:line="252" w:lineRule="auto"/>
        <w:ind w:right="128" w:firstLine="284"/>
        <w:rPr>
          <w:sz w:val="21"/>
        </w:rPr>
      </w:pPr>
      <w:r>
        <w:rPr>
          <w:color w:val="231F20"/>
          <w:sz w:val="21"/>
        </w:rPr>
        <w:t>притягнення  особи  до   адміністративної   відповідальності  й застосування до неї  адміністративних  санкцій  не  призводить  до таких  наслідків,  як  судимість,  що  в  подальшому  виявляється в певних обмеженнях її правосуб’єктності (напр., вільний ви</w:t>
      </w:r>
      <w:r>
        <w:rPr>
          <w:color w:val="231F20"/>
          <w:sz w:val="21"/>
        </w:rPr>
        <w:t xml:space="preserve">їзд за межі </w:t>
      </w:r>
      <w:r>
        <w:rPr>
          <w:color w:val="231F20"/>
          <w:spacing w:val="-3"/>
          <w:sz w:val="21"/>
        </w:rPr>
        <w:t>України);</w:t>
      </w:r>
    </w:p>
    <w:p w14:paraId="0F6F9285" w14:textId="77777777" w:rsidR="00DE575E" w:rsidRDefault="002E7560">
      <w:pPr>
        <w:pStyle w:val="ListParagraph"/>
        <w:numPr>
          <w:ilvl w:val="1"/>
          <w:numId w:val="34"/>
        </w:numPr>
        <w:tabs>
          <w:tab w:val="left" w:pos="1101"/>
        </w:tabs>
        <w:spacing w:before="3" w:line="252" w:lineRule="auto"/>
        <w:ind w:right="128" w:firstLine="284"/>
        <w:rPr>
          <w:sz w:val="21"/>
        </w:rPr>
      </w:pPr>
      <w:r>
        <w:rPr>
          <w:color w:val="231F20"/>
          <w:sz w:val="21"/>
        </w:rPr>
        <w:t xml:space="preserve">адміністративна відповідальність реалізується як у позасудо- </w:t>
      </w:r>
      <w:r>
        <w:rPr>
          <w:color w:val="231F20"/>
          <w:spacing w:val="-4"/>
          <w:sz w:val="21"/>
        </w:rPr>
        <w:t xml:space="preserve">вому, </w:t>
      </w:r>
      <w:r>
        <w:rPr>
          <w:color w:val="231F20"/>
          <w:sz w:val="21"/>
        </w:rPr>
        <w:t xml:space="preserve">так і в </w:t>
      </w:r>
      <w:r>
        <w:rPr>
          <w:color w:val="231F20"/>
          <w:spacing w:val="-3"/>
          <w:sz w:val="21"/>
        </w:rPr>
        <w:t xml:space="preserve">судовому порядку, </w:t>
      </w:r>
      <w:r>
        <w:rPr>
          <w:color w:val="231F20"/>
          <w:sz w:val="21"/>
        </w:rPr>
        <w:t>кримінальна – тільки в</w:t>
      </w:r>
      <w:r>
        <w:rPr>
          <w:color w:val="231F20"/>
          <w:spacing w:val="2"/>
          <w:sz w:val="21"/>
        </w:rPr>
        <w:t xml:space="preserve"> </w:t>
      </w:r>
      <w:r>
        <w:rPr>
          <w:color w:val="231F20"/>
          <w:spacing w:val="-3"/>
          <w:sz w:val="21"/>
        </w:rPr>
        <w:t>судовому;</w:t>
      </w:r>
    </w:p>
    <w:p w14:paraId="4654C352" w14:textId="77777777" w:rsidR="00DE575E" w:rsidRDefault="002E7560">
      <w:pPr>
        <w:pStyle w:val="ListParagraph"/>
        <w:numPr>
          <w:ilvl w:val="1"/>
          <w:numId w:val="34"/>
        </w:numPr>
        <w:tabs>
          <w:tab w:val="left" w:pos="1101"/>
        </w:tabs>
        <w:spacing w:line="252" w:lineRule="auto"/>
        <w:ind w:right="127" w:firstLine="284"/>
        <w:rPr>
          <w:sz w:val="21"/>
        </w:rPr>
      </w:pPr>
      <w:r>
        <w:rPr>
          <w:color w:val="231F20"/>
          <w:sz w:val="21"/>
        </w:rPr>
        <w:t>притягнення особи до адміністративної відповідальності відбувається в коротші строки та за спрощеною процеду</w:t>
      </w:r>
      <w:r>
        <w:rPr>
          <w:color w:val="231F20"/>
          <w:sz w:val="21"/>
        </w:rPr>
        <w:t>рою (можливість накладення адміністративного стягнення на</w:t>
      </w:r>
      <w:r>
        <w:rPr>
          <w:color w:val="231F20"/>
          <w:spacing w:val="15"/>
          <w:sz w:val="21"/>
        </w:rPr>
        <w:t xml:space="preserve"> </w:t>
      </w:r>
      <w:r>
        <w:rPr>
          <w:color w:val="231F20"/>
          <w:sz w:val="21"/>
        </w:rPr>
        <w:t>місці</w:t>
      </w:r>
    </w:p>
    <w:p w14:paraId="3CD5F3CF" w14:textId="77777777" w:rsidR="00DE575E" w:rsidRDefault="00DE575E">
      <w:pPr>
        <w:pStyle w:val="BodyText"/>
        <w:spacing w:before="11"/>
        <w:rPr>
          <w:sz w:val="11"/>
        </w:rPr>
      </w:pPr>
    </w:p>
    <w:p w14:paraId="76F72FED" w14:textId="77777777" w:rsidR="00DE575E" w:rsidRDefault="002E7560">
      <w:pPr>
        <w:spacing w:before="91"/>
        <w:ind w:left="533"/>
        <w:rPr>
          <w:rFonts w:ascii="Times New Roman"/>
          <w:sz w:val="20"/>
        </w:rPr>
      </w:pPr>
      <w:r>
        <w:rPr>
          <w:rFonts w:ascii="Times New Roman"/>
          <w:color w:val="231F20"/>
          <w:sz w:val="20"/>
        </w:rPr>
        <w:t>470</w:t>
      </w:r>
    </w:p>
    <w:p w14:paraId="03F68E3D" w14:textId="77777777" w:rsidR="00DE575E" w:rsidRDefault="00DE575E">
      <w:pPr>
        <w:rPr>
          <w:rFonts w:ascii="Times New Roman"/>
          <w:sz w:val="20"/>
        </w:rPr>
        <w:sectPr w:rsidR="00DE575E">
          <w:pgSz w:w="8510" w:h="12760"/>
          <w:pgMar w:top="660" w:right="720" w:bottom="280" w:left="600" w:header="720" w:footer="720" w:gutter="0"/>
          <w:cols w:space="720"/>
        </w:sectPr>
      </w:pPr>
    </w:p>
    <w:p w14:paraId="24BB6672"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Адміністративна відповідальність як вид юридичної відповідальності</w:t>
      </w:r>
    </w:p>
    <w:p w14:paraId="4455E44D" w14:textId="0D9053B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9CC7C12" wp14:editId="1F54A6D1">
                <wp:extent cx="4140200" cy="6350"/>
                <wp:effectExtent l="0" t="0" r="12700" b="6350"/>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29" name="Line 22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34572" id="Group_x0020_22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UxSog34CAACYBQAADgAA&#10;AAAAAAAAAAAAAAAsAgAAZHJzL2Uyb0RvYy54bWxQSwECLQAUAAYACAAAACEATKewkNkAAAADAQAA&#10;DwAAAAAAAAAAAAAAAADWBAAAZHJzL2Rvd25yZXYueG1sUEsFBgAAAAAEAAQA8wAAANwFAAAAAA==&#10;">
                <v:line id="Line_x0020_22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7d9MYAAADcAAAADwAAAGRycy9kb3ducmV2LnhtbESP0WrCQBRE3wv+w3KFvpS6aYRiU1eR&#10;giB90Gr8gGv2Ngnu3o3Z1US/3hUKfRxm5gwznffWiAu1vnas4G2UgCAunK65VLDPl68TED4gazSO&#10;ScGVPMxng6cpZtp1vKXLLpQiQthnqKAKocmk9EVFFv3INcTR+3WtxRBlW0rdYhfh1sg0Sd6lxZrj&#10;QoUNfVVUHHdnqyA/vQTzs/k2Xb45jOXhtB7fzmulnof94hNEoD78h//aK60gTT/g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Yu3fTGAAAA3AAAAA8AAAAAAAAA&#10;AAAAAAAAoQIAAGRycy9kb3ducmV2LnhtbFBLBQYAAAAABAAEAPkAAACUAwAAAAA=&#10;" strokecolor="#231f20" strokeweight=".5pt"/>
                <w10:anchorlock/>
              </v:group>
            </w:pict>
          </mc:Fallback>
        </mc:AlternateContent>
      </w:r>
    </w:p>
    <w:p w14:paraId="2E24435A" w14:textId="77777777" w:rsidR="00DE575E" w:rsidRDefault="00DE575E">
      <w:pPr>
        <w:pStyle w:val="BodyText"/>
        <w:spacing w:before="7"/>
        <w:rPr>
          <w:rFonts w:ascii="AdonisC"/>
          <w:i/>
          <w:sz w:val="19"/>
        </w:rPr>
      </w:pPr>
    </w:p>
    <w:p w14:paraId="4038A452" w14:textId="77777777" w:rsidR="00DE575E" w:rsidRDefault="002E7560">
      <w:pPr>
        <w:pStyle w:val="BodyText"/>
        <w:spacing w:before="1" w:line="252" w:lineRule="auto"/>
        <w:ind w:left="250"/>
      </w:pPr>
      <w:r>
        <w:rPr>
          <w:color w:val="231F20"/>
        </w:rPr>
        <w:t>вчинення протиправного діяння без складання протоколу про адмі- ністративне правопорушення, ст. 258 КУпАП).</w:t>
      </w:r>
    </w:p>
    <w:p w14:paraId="5804A259" w14:textId="77777777" w:rsidR="00DE575E" w:rsidRDefault="002E7560">
      <w:pPr>
        <w:pStyle w:val="BodyText"/>
        <w:spacing w:before="1" w:line="252" w:lineRule="auto"/>
        <w:ind w:left="250" w:right="411" w:firstLine="283"/>
        <w:jc w:val="both"/>
      </w:pPr>
      <w:r>
        <w:rPr>
          <w:color w:val="231F20"/>
        </w:rPr>
        <w:t>Слід</w:t>
      </w:r>
      <w:r>
        <w:rPr>
          <w:color w:val="231F20"/>
          <w:spacing w:val="-12"/>
        </w:rPr>
        <w:t xml:space="preserve"> </w:t>
      </w:r>
      <w:r>
        <w:rPr>
          <w:color w:val="231F20"/>
        </w:rPr>
        <w:t>також</w:t>
      </w:r>
      <w:r>
        <w:rPr>
          <w:color w:val="231F20"/>
          <w:spacing w:val="-12"/>
        </w:rPr>
        <w:t xml:space="preserve"> </w:t>
      </w:r>
      <w:r>
        <w:rPr>
          <w:color w:val="231F20"/>
        </w:rPr>
        <w:t>зазначити,</w:t>
      </w:r>
      <w:r>
        <w:rPr>
          <w:color w:val="231F20"/>
          <w:spacing w:val="-12"/>
        </w:rPr>
        <w:t xml:space="preserve"> </w:t>
      </w:r>
      <w:r>
        <w:rPr>
          <w:color w:val="231F20"/>
        </w:rPr>
        <w:t>що</w:t>
      </w:r>
      <w:r>
        <w:rPr>
          <w:color w:val="231F20"/>
          <w:spacing w:val="-12"/>
        </w:rPr>
        <w:t xml:space="preserve"> </w:t>
      </w:r>
      <w:r>
        <w:rPr>
          <w:color w:val="231F20"/>
        </w:rPr>
        <w:t>кримінальна</w:t>
      </w:r>
      <w:r>
        <w:rPr>
          <w:color w:val="231F20"/>
          <w:spacing w:val="-12"/>
        </w:rPr>
        <w:t xml:space="preserve"> </w:t>
      </w:r>
      <w:r>
        <w:rPr>
          <w:color w:val="231F20"/>
        </w:rPr>
        <w:t>відповідальність</w:t>
      </w:r>
      <w:r>
        <w:rPr>
          <w:color w:val="231F20"/>
          <w:spacing w:val="-12"/>
        </w:rPr>
        <w:t xml:space="preserve"> </w:t>
      </w:r>
      <w:r>
        <w:rPr>
          <w:color w:val="231F20"/>
        </w:rPr>
        <w:t>має</w:t>
      </w:r>
      <w:r>
        <w:rPr>
          <w:color w:val="231F20"/>
          <w:spacing w:val="-12"/>
        </w:rPr>
        <w:t xml:space="preserve"> </w:t>
      </w:r>
      <w:r>
        <w:rPr>
          <w:color w:val="231F20"/>
        </w:rPr>
        <w:t xml:space="preserve">пріо- ритет перед відповідальністю адміністративною. У ч. 2 </w:t>
      </w:r>
      <w:r>
        <w:rPr>
          <w:color w:val="231F20"/>
          <w:spacing w:val="-6"/>
        </w:rPr>
        <w:t xml:space="preserve">ст. </w:t>
      </w:r>
      <w:r>
        <w:rPr>
          <w:color w:val="231F20"/>
        </w:rPr>
        <w:t xml:space="preserve">9 </w:t>
      </w:r>
      <w:r>
        <w:rPr>
          <w:color w:val="231F20"/>
          <w:spacing w:val="-3"/>
        </w:rPr>
        <w:t xml:space="preserve">Кодексу України </w:t>
      </w:r>
      <w:r>
        <w:rPr>
          <w:color w:val="231F20"/>
        </w:rPr>
        <w:t xml:space="preserve">про адміністративні правопорушення зазначається, що адміністративна відповідальність за правопорушення, передбачені </w:t>
      </w:r>
      <w:r>
        <w:rPr>
          <w:color w:val="231F20"/>
          <w:spacing w:val="-3"/>
        </w:rPr>
        <w:t xml:space="preserve">КУпАП, </w:t>
      </w:r>
      <w:r>
        <w:rPr>
          <w:color w:val="231F20"/>
        </w:rPr>
        <w:t>настає, якщо ці порушення за своїм характером не зу</w:t>
      </w:r>
      <w:r>
        <w:rPr>
          <w:color w:val="231F20"/>
        </w:rPr>
        <w:t>мовлю- ють відповідно до закону кримінальної</w:t>
      </w:r>
      <w:r>
        <w:rPr>
          <w:color w:val="231F20"/>
          <w:spacing w:val="-8"/>
        </w:rPr>
        <w:t xml:space="preserve"> </w:t>
      </w:r>
      <w:r>
        <w:rPr>
          <w:color w:val="231F20"/>
        </w:rPr>
        <w:t>відповідальності.</w:t>
      </w:r>
    </w:p>
    <w:p w14:paraId="44D511E4" w14:textId="77777777" w:rsidR="00DE575E" w:rsidRDefault="002E7560">
      <w:pPr>
        <w:pStyle w:val="Heading6"/>
        <w:spacing w:before="3" w:line="252" w:lineRule="auto"/>
        <w:ind w:left="250" w:right="412"/>
        <w:jc w:val="both"/>
        <w:rPr>
          <w:b w:val="0"/>
          <w:i w:val="0"/>
        </w:rPr>
      </w:pPr>
      <w:r>
        <w:rPr>
          <w:color w:val="231F20"/>
        </w:rPr>
        <w:t xml:space="preserve">Адміністративна відповідальність відмежовується від </w:t>
      </w:r>
      <w:r>
        <w:rPr>
          <w:color w:val="231F20"/>
        </w:rPr>
        <w:t>цивільно-правової за такими ознаками</w:t>
      </w:r>
      <w:r>
        <w:rPr>
          <w:b w:val="0"/>
          <w:i w:val="0"/>
          <w:color w:val="231F20"/>
        </w:rPr>
        <w:t>:</w:t>
      </w:r>
    </w:p>
    <w:p w14:paraId="3D1C1E56" w14:textId="77777777" w:rsidR="00DE575E" w:rsidRDefault="002E7560">
      <w:pPr>
        <w:pStyle w:val="BodyText"/>
        <w:spacing w:before="1" w:line="252" w:lineRule="auto"/>
        <w:ind w:left="250" w:right="412" w:firstLine="283"/>
        <w:jc w:val="both"/>
      </w:pPr>
      <w:r>
        <w:rPr>
          <w:color w:val="231F20"/>
        </w:rPr>
        <w:t>– в інституті адміністративної відповідальності діє презумпція невинності, а цивільної – презумпція вини;</w:t>
      </w:r>
    </w:p>
    <w:p w14:paraId="7AC4A028" w14:textId="77777777" w:rsidR="00DE575E" w:rsidRDefault="002E7560">
      <w:pPr>
        <w:pStyle w:val="BodyText"/>
        <w:spacing w:before="1" w:line="252" w:lineRule="auto"/>
        <w:ind w:left="250" w:right="411" w:firstLine="283"/>
        <w:jc w:val="both"/>
      </w:pPr>
      <w:r>
        <w:rPr>
          <w:color w:val="231F20"/>
        </w:rPr>
        <w:t>–  метою   притягнення   до   адміністративної   відповідальності є</w:t>
      </w:r>
      <w:r>
        <w:rPr>
          <w:color w:val="231F20"/>
          <w:spacing w:val="-12"/>
        </w:rPr>
        <w:t xml:space="preserve"> </w:t>
      </w:r>
      <w:r>
        <w:rPr>
          <w:color w:val="231F20"/>
        </w:rPr>
        <w:t>виховання</w:t>
      </w:r>
      <w:r>
        <w:rPr>
          <w:color w:val="231F20"/>
          <w:spacing w:val="-12"/>
        </w:rPr>
        <w:t xml:space="preserve"> </w:t>
      </w:r>
      <w:r>
        <w:rPr>
          <w:color w:val="231F20"/>
        </w:rPr>
        <w:t>особи</w:t>
      </w:r>
      <w:r>
        <w:rPr>
          <w:color w:val="231F20"/>
          <w:spacing w:val="-12"/>
        </w:rPr>
        <w:t xml:space="preserve"> </w:t>
      </w:r>
      <w:r>
        <w:rPr>
          <w:color w:val="231F20"/>
        </w:rPr>
        <w:t>і</w:t>
      </w:r>
      <w:r>
        <w:rPr>
          <w:color w:val="231F20"/>
          <w:spacing w:val="-13"/>
        </w:rPr>
        <w:t xml:space="preserve"> </w:t>
      </w:r>
      <w:r>
        <w:rPr>
          <w:color w:val="231F20"/>
        </w:rPr>
        <w:t>запобігання</w:t>
      </w:r>
      <w:r>
        <w:rPr>
          <w:color w:val="231F20"/>
          <w:spacing w:val="-12"/>
        </w:rPr>
        <w:t xml:space="preserve"> </w:t>
      </w:r>
      <w:r>
        <w:rPr>
          <w:color w:val="231F20"/>
        </w:rPr>
        <w:t>вчиненню</w:t>
      </w:r>
      <w:r>
        <w:rPr>
          <w:color w:val="231F20"/>
          <w:spacing w:val="-12"/>
        </w:rPr>
        <w:t xml:space="preserve"> </w:t>
      </w:r>
      <w:r>
        <w:rPr>
          <w:color w:val="231F20"/>
        </w:rPr>
        <w:t>правопорушень</w:t>
      </w:r>
      <w:r>
        <w:rPr>
          <w:color w:val="231F20"/>
          <w:spacing w:val="-12"/>
        </w:rPr>
        <w:t xml:space="preserve"> </w:t>
      </w:r>
      <w:r>
        <w:rPr>
          <w:color w:val="231F20"/>
        </w:rPr>
        <w:t>у</w:t>
      </w:r>
      <w:r>
        <w:rPr>
          <w:color w:val="231F20"/>
          <w:spacing w:val="-12"/>
        </w:rPr>
        <w:t xml:space="preserve"> </w:t>
      </w:r>
      <w:r>
        <w:rPr>
          <w:color w:val="231F20"/>
        </w:rPr>
        <w:t>подаль- шому та іншими особ</w:t>
      </w:r>
      <w:r>
        <w:rPr>
          <w:color w:val="231F20"/>
        </w:rPr>
        <w:t>ами, цивільної – насамперед відшкодування шкоди;</w:t>
      </w:r>
    </w:p>
    <w:p w14:paraId="64411358" w14:textId="77777777" w:rsidR="00DE575E" w:rsidRDefault="002E7560">
      <w:pPr>
        <w:pStyle w:val="BodyText"/>
        <w:spacing w:before="2" w:line="252" w:lineRule="auto"/>
        <w:ind w:left="250" w:right="411" w:firstLine="283"/>
        <w:jc w:val="both"/>
      </w:pPr>
      <w:r>
        <w:rPr>
          <w:color w:val="231F20"/>
        </w:rPr>
        <w:t>– адміністративна відповідальність належить до компетенції органів публічної адміністрації та їх посадових осіб, а цивільно-пра- вова – до компетенції судів;</w:t>
      </w:r>
    </w:p>
    <w:p w14:paraId="2F8FF7B4" w14:textId="77777777" w:rsidR="00DE575E" w:rsidRDefault="002E7560">
      <w:pPr>
        <w:pStyle w:val="BodyText"/>
        <w:spacing w:before="1" w:line="252" w:lineRule="auto"/>
        <w:ind w:left="250" w:right="410" w:firstLine="283"/>
        <w:jc w:val="both"/>
      </w:pPr>
      <w:r>
        <w:rPr>
          <w:color w:val="231F20"/>
        </w:rPr>
        <w:t>– заходами цивільної відповідальності суспільні в</w:t>
      </w:r>
      <w:r>
        <w:rPr>
          <w:color w:val="231F20"/>
        </w:rPr>
        <w:t>ідносини, як правило,</w:t>
      </w:r>
      <w:r>
        <w:rPr>
          <w:color w:val="231F20"/>
          <w:spacing w:val="-7"/>
        </w:rPr>
        <w:t xml:space="preserve"> </w:t>
      </w:r>
      <w:r>
        <w:rPr>
          <w:color w:val="231F20"/>
        </w:rPr>
        <w:t>захищаються</w:t>
      </w:r>
      <w:r>
        <w:rPr>
          <w:color w:val="231F20"/>
          <w:spacing w:val="-7"/>
        </w:rPr>
        <w:t xml:space="preserve"> </w:t>
      </w:r>
      <w:r>
        <w:rPr>
          <w:color w:val="231F20"/>
        </w:rPr>
        <w:t>за</w:t>
      </w:r>
      <w:r>
        <w:rPr>
          <w:color w:val="231F20"/>
          <w:spacing w:val="-7"/>
        </w:rPr>
        <w:t xml:space="preserve"> </w:t>
      </w:r>
      <w:r>
        <w:rPr>
          <w:color w:val="231F20"/>
        </w:rPr>
        <w:t>рахунок</w:t>
      </w:r>
      <w:r>
        <w:rPr>
          <w:color w:val="231F20"/>
          <w:spacing w:val="-7"/>
        </w:rPr>
        <w:t xml:space="preserve"> </w:t>
      </w:r>
      <w:r>
        <w:rPr>
          <w:color w:val="231F20"/>
        </w:rPr>
        <w:t>майна</w:t>
      </w:r>
      <w:r>
        <w:rPr>
          <w:color w:val="231F20"/>
          <w:spacing w:val="-7"/>
        </w:rPr>
        <w:t xml:space="preserve"> </w:t>
      </w:r>
      <w:r>
        <w:rPr>
          <w:color w:val="231F20"/>
        </w:rPr>
        <w:t>винного</w:t>
      </w:r>
      <w:r>
        <w:rPr>
          <w:color w:val="231F20"/>
          <w:spacing w:val="-7"/>
        </w:rPr>
        <w:t xml:space="preserve"> </w:t>
      </w:r>
      <w:r>
        <w:rPr>
          <w:color w:val="231F20"/>
        </w:rPr>
        <w:t>з</w:t>
      </w:r>
      <w:r>
        <w:rPr>
          <w:color w:val="231F20"/>
          <w:spacing w:val="-7"/>
        </w:rPr>
        <w:t xml:space="preserve"> </w:t>
      </w:r>
      <w:r>
        <w:rPr>
          <w:color w:val="231F20"/>
        </w:rPr>
        <w:t>метою</w:t>
      </w:r>
      <w:r>
        <w:rPr>
          <w:color w:val="231F20"/>
          <w:spacing w:val="-7"/>
        </w:rPr>
        <w:t xml:space="preserve"> </w:t>
      </w:r>
      <w:r>
        <w:rPr>
          <w:color w:val="231F20"/>
        </w:rPr>
        <w:t xml:space="preserve">відновити попередній майновий стан потерпілої сторони, а </w:t>
      </w:r>
      <w:r>
        <w:rPr>
          <w:color w:val="231F20"/>
          <w:spacing w:val="-2"/>
        </w:rPr>
        <w:t xml:space="preserve">заходи </w:t>
      </w:r>
      <w:r>
        <w:rPr>
          <w:color w:val="231F20"/>
        </w:rPr>
        <w:t>адміністра- тивної відповідальності, як і кримінальної, спрямовані також проти особи</w:t>
      </w:r>
      <w:r>
        <w:rPr>
          <w:color w:val="231F20"/>
          <w:spacing w:val="-1"/>
        </w:rPr>
        <w:t xml:space="preserve"> </w:t>
      </w:r>
      <w:r>
        <w:rPr>
          <w:color w:val="231F20"/>
        </w:rPr>
        <w:t>порушника;</w:t>
      </w:r>
    </w:p>
    <w:p w14:paraId="411E7AF9" w14:textId="77777777" w:rsidR="00DE575E" w:rsidRDefault="002E7560">
      <w:pPr>
        <w:pStyle w:val="BodyText"/>
        <w:spacing w:before="3" w:line="252" w:lineRule="auto"/>
        <w:ind w:left="250" w:right="411" w:firstLine="283"/>
        <w:jc w:val="both"/>
      </w:pPr>
      <w:r>
        <w:rPr>
          <w:color w:val="231F20"/>
        </w:rPr>
        <w:t>– нормативні підстави адмініс</w:t>
      </w:r>
      <w:r>
        <w:rPr>
          <w:color w:val="231F20"/>
        </w:rPr>
        <w:t>тративної та цивільно-правової відповідальності</w:t>
      </w:r>
      <w:r>
        <w:rPr>
          <w:color w:val="231F20"/>
          <w:spacing w:val="-9"/>
        </w:rPr>
        <w:t xml:space="preserve"> </w:t>
      </w:r>
      <w:r>
        <w:rPr>
          <w:color w:val="231F20"/>
        </w:rPr>
        <w:t>регулюються</w:t>
      </w:r>
      <w:r>
        <w:rPr>
          <w:color w:val="231F20"/>
          <w:spacing w:val="-9"/>
        </w:rPr>
        <w:t xml:space="preserve"> </w:t>
      </w:r>
      <w:r>
        <w:rPr>
          <w:color w:val="231F20"/>
        </w:rPr>
        <w:t>різним</w:t>
      </w:r>
      <w:r>
        <w:rPr>
          <w:color w:val="231F20"/>
          <w:spacing w:val="-9"/>
        </w:rPr>
        <w:t xml:space="preserve"> </w:t>
      </w:r>
      <w:r>
        <w:rPr>
          <w:color w:val="231F20"/>
        </w:rPr>
        <w:t>законодавством</w:t>
      </w:r>
      <w:r>
        <w:rPr>
          <w:color w:val="231F20"/>
          <w:spacing w:val="-9"/>
        </w:rPr>
        <w:t xml:space="preserve"> </w:t>
      </w:r>
      <w:r>
        <w:rPr>
          <w:color w:val="231F20"/>
        </w:rPr>
        <w:t>–</w:t>
      </w:r>
      <w:r>
        <w:rPr>
          <w:color w:val="231F20"/>
          <w:spacing w:val="-9"/>
        </w:rPr>
        <w:t xml:space="preserve"> </w:t>
      </w:r>
      <w:r>
        <w:rPr>
          <w:color w:val="231F20"/>
        </w:rPr>
        <w:t>адміністра- тивним і</w:t>
      </w:r>
      <w:r>
        <w:rPr>
          <w:color w:val="231F20"/>
          <w:spacing w:val="-3"/>
        </w:rPr>
        <w:t xml:space="preserve"> </w:t>
      </w:r>
      <w:r>
        <w:rPr>
          <w:color w:val="231F20"/>
        </w:rPr>
        <w:t>цивільним;</w:t>
      </w:r>
    </w:p>
    <w:p w14:paraId="49608058" w14:textId="77777777" w:rsidR="00DE575E" w:rsidRDefault="002E7560">
      <w:pPr>
        <w:pStyle w:val="BodyText"/>
        <w:spacing w:before="1" w:line="252" w:lineRule="auto"/>
        <w:ind w:left="250" w:right="408" w:firstLine="283"/>
        <w:jc w:val="both"/>
      </w:pPr>
      <w:r>
        <w:rPr>
          <w:color w:val="231F20"/>
        </w:rPr>
        <w:t xml:space="preserve">– адміністративна відповідальність настає переважно в поза- </w:t>
      </w:r>
      <w:r>
        <w:rPr>
          <w:color w:val="231F20"/>
          <w:spacing w:val="-3"/>
        </w:rPr>
        <w:t xml:space="preserve">судовому </w:t>
      </w:r>
      <w:r>
        <w:rPr>
          <w:color w:val="231F20"/>
        </w:rPr>
        <w:t xml:space="preserve">порядку в короткі строки або навіть на місці вчинення проступку, натомість цивільно-правова не може мати місця без відповідного звернення заінтересованої сторони до </w:t>
      </w:r>
      <w:r>
        <w:rPr>
          <w:color w:val="231F20"/>
          <w:spacing w:val="-4"/>
        </w:rPr>
        <w:t xml:space="preserve">суду </w:t>
      </w:r>
      <w:r>
        <w:rPr>
          <w:color w:val="231F20"/>
        </w:rPr>
        <w:t>з позо- вом. Строки притягнення до цивільно-правової відповідальності,</w:t>
      </w:r>
      <w:r>
        <w:rPr>
          <w:color w:val="231F20"/>
          <w:spacing w:val="-18"/>
        </w:rPr>
        <w:t xml:space="preserve"> </w:t>
      </w:r>
      <w:r>
        <w:rPr>
          <w:color w:val="231F20"/>
        </w:rPr>
        <w:t xml:space="preserve">на відміну від </w:t>
      </w:r>
      <w:r>
        <w:rPr>
          <w:color w:val="231F20"/>
        </w:rPr>
        <w:t>адміністративної, – до 3 років, вони можуть перерива- тися, подовжуватися, поновлюватися</w:t>
      </w:r>
      <w:r>
        <w:rPr>
          <w:color w:val="231F20"/>
          <w:spacing w:val="-4"/>
        </w:rPr>
        <w:t xml:space="preserve"> </w:t>
      </w:r>
      <w:r>
        <w:rPr>
          <w:color w:val="231F20"/>
        </w:rPr>
        <w:t>тощо.</w:t>
      </w:r>
    </w:p>
    <w:p w14:paraId="16287A4D" w14:textId="77777777" w:rsidR="00DE575E" w:rsidRDefault="002E7560">
      <w:pPr>
        <w:pStyle w:val="Heading6"/>
        <w:spacing w:before="3" w:line="252" w:lineRule="auto"/>
        <w:ind w:left="250" w:right="411"/>
        <w:jc w:val="both"/>
        <w:rPr>
          <w:b w:val="0"/>
          <w:i w:val="0"/>
        </w:rPr>
      </w:pPr>
      <w:r>
        <w:rPr>
          <w:color w:val="231F20"/>
        </w:rPr>
        <w:t xml:space="preserve">Адміністративна відповідальність відрізняється від дисци- </w:t>
      </w:r>
      <w:r>
        <w:rPr>
          <w:color w:val="231F20"/>
        </w:rPr>
        <w:t>плінарної</w:t>
      </w:r>
      <w:r>
        <w:rPr>
          <w:b w:val="0"/>
          <w:i w:val="0"/>
          <w:color w:val="231F20"/>
        </w:rPr>
        <w:t>:</w:t>
      </w:r>
    </w:p>
    <w:p w14:paraId="29E896A5" w14:textId="77777777" w:rsidR="00DE575E" w:rsidRDefault="002E7560">
      <w:pPr>
        <w:pStyle w:val="BodyText"/>
        <w:spacing w:before="1" w:line="252" w:lineRule="auto"/>
        <w:ind w:left="250" w:right="410" w:firstLine="283"/>
        <w:jc w:val="both"/>
      </w:pPr>
      <w:r>
        <w:rPr>
          <w:color w:val="231F20"/>
        </w:rPr>
        <w:t>– головною ознакою, яка зумовлює всі інші відмінності між адміністративною та дисциплінарною</w:t>
      </w:r>
      <w:r>
        <w:rPr>
          <w:color w:val="231F20"/>
        </w:rPr>
        <w:t xml:space="preserve"> відповідальністю, є їх різна правова</w:t>
      </w:r>
      <w:r>
        <w:rPr>
          <w:color w:val="231F20"/>
          <w:spacing w:val="-21"/>
        </w:rPr>
        <w:t xml:space="preserve"> </w:t>
      </w:r>
      <w:r>
        <w:rPr>
          <w:color w:val="231F20"/>
        </w:rPr>
        <w:t>природа.</w:t>
      </w:r>
      <w:r>
        <w:rPr>
          <w:color w:val="231F20"/>
          <w:spacing w:val="-21"/>
        </w:rPr>
        <w:t xml:space="preserve"> </w:t>
      </w:r>
      <w:r>
        <w:rPr>
          <w:color w:val="231F20"/>
        </w:rPr>
        <w:t>Вона</w:t>
      </w:r>
      <w:r>
        <w:rPr>
          <w:color w:val="231F20"/>
          <w:spacing w:val="-21"/>
        </w:rPr>
        <w:t xml:space="preserve"> </w:t>
      </w:r>
      <w:r>
        <w:rPr>
          <w:color w:val="231F20"/>
        </w:rPr>
        <w:t>виражена</w:t>
      </w:r>
      <w:r>
        <w:rPr>
          <w:color w:val="231F20"/>
          <w:spacing w:val="-21"/>
        </w:rPr>
        <w:t xml:space="preserve"> </w:t>
      </w:r>
      <w:r>
        <w:rPr>
          <w:color w:val="231F20"/>
        </w:rPr>
        <w:t>в</w:t>
      </w:r>
      <w:r>
        <w:rPr>
          <w:color w:val="231F20"/>
          <w:spacing w:val="-20"/>
        </w:rPr>
        <w:t xml:space="preserve"> </w:t>
      </w:r>
      <w:r>
        <w:rPr>
          <w:color w:val="231F20"/>
          <w:spacing w:val="-4"/>
        </w:rPr>
        <w:t>тому,</w:t>
      </w:r>
      <w:r>
        <w:rPr>
          <w:color w:val="231F20"/>
          <w:spacing w:val="-21"/>
        </w:rPr>
        <w:t xml:space="preserve"> </w:t>
      </w:r>
      <w:r>
        <w:rPr>
          <w:color w:val="231F20"/>
        </w:rPr>
        <w:t>що</w:t>
      </w:r>
      <w:r>
        <w:rPr>
          <w:color w:val="231F20"/>
          <w:spacing w:val="-21"/>
        </w:rPr>
        <w:t xml:space="preserve"> </w:t>
      </w:r>
      <w:r>
        <w:rPr>
          <w:color w:val="231F20"/>
        </w:rPr>
        <w:t>обов’язок</w:t>
      </w:r>
      <w:r>
        <w:rPr>
          <w:color w:val="231F20"/>
          <w:spacing w:val="-21"/>
        </w:rPr>
        <w:t xml:space="preserve"> </w:t>
      </w:r>
      <w:r>
        <w:rPr>
          <w:color w:val="231F20"/>
        </w:rPr>
        <w:t>додержуватись</w:t>
      </w:r>
    </w:p>
    <w:p w14:paraId="5AE7F408" w14:textId="77777777" w:rsidR="00DE575E" w:rsidRDefault="00DE575E">
      <w:pPr>
        <w:pStyle w:val="BodyText"/>
        <w:spacing w:before="6"/>
        <w:rPr>
          <w:sz w:val="12"/>
        </w:rPr>
      </w:pPr>
    </w:p>
    <w:p w14:paraId="0F89CAAC" w14:textId="77777777" w:rsidR="00DE575E" w:rsidRDefault="002E7560">
      <w:pPr>
        <w:spacing w:before="92"/>
        <w:ind w:right="411"/>
        <w:jc w:val="right"/>
        <w:rPr>
          <w:rFonts w:ascii="Times New Roman"/>
          <w:sz w:val="20"/>
        </w:rPr>
      </w:pPr>
      <w:r>
        <w:rPr>
          <w:rFonts w:ascii="Times New Roman"/>
          <w:color w:val="231F20"/>
          <w:w w:val="90"/>
          <w:sz w:val="20"/>
        </w:rPr>
        <w:t>471</w:t>
      </w:r>
    </w:p>
    <w:p w14:paraId="3430F45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519740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C844D7D" w14:textId="2B28C40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849F974" wp14:editId="189F1D03">
                <wp:extent cx="4140200" cy="6350"/>
                <wp:effectExtent l="0" t="0" r="12700" b="6350"/>
                <wp:docPr id="22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27" name="Line 22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FA2C37" id="Group_x0020_22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VjGQF/AgAAmAUAAA4A&#10;AAAAAAAAAAAAAAAALAIAAGRycy9lMm9Eb2MueG1sUEsBAi0AFAAGAAgAAAAhAEynsJDZAAAAAwEA&#10;AA8AAAAAAAAAAAAAAAAA1wQAAGRycy9kb3ducmV2LnhtbFBLBQYAAAAABAAEAPMAAADdBQAAAAA=&#10;">
                <v:line id="Line_x0020_22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sHcYAAADcAAAADwAAAGRycy9kb3ducmV2LnhtbESP0WrCQBRE3wv+w3KFvpS6aYRaUleR&#10;giB90Gr8gGv2Ngnu3o3Z1US/3hUKfRxm5gwznffWiAu1vnas4G2UgCAunK65VLDPl68fIHxA1mgc&#10;k4IreZjPBk9TzLTreEuXXShFhLDPUEEVQpNJ6YuKLPqRa4ij9+taiyHKtpS6xS7CrZFpkrxLizXH&#10;hQob+qqoOO7OVkF+egnmZ/NtunxzGMvDaT2+nddKPQ/7xSeIQH34D/+1V1pBmk7g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97B3GAAAA3AAAAA8AAAAAAAAA&#10;AAAAAAAAoQIAAGRycy9kb3ducmV2LnhtbFBLBQYAAAAABAAEAPkAAACUAwAAAAA=&#10;" strokecolor="#231f20" strokeweight=".5pt"/>
                <w10:anchorlock/>
              </v:group>
            </w:pict>
          </mc:Fallback>
        </mc:AlternateContent>
      </w:r>
    </w:p>
    <w:p w14:paraId="0A9D894F" w14:textId="77777777" w:rsidR="00DE575E" w:rsidRDefault="00DE575E">
      <w:pPr>
        <w:pStyle w:val="BodyText"/>
        <w:spacing w:before="7"/>
        <w:rPr>
          <w:rFonts w:ascii="AdonisC"/>
          <w:i/>
          <w:sz w:val="11"/>
        </w:rPr>
      </w:pPr>
    </w:p>
    <w:p w14:paraId="58A94775" w14:textId="77777777" w:rsidR="00DE575E" w:rsidRDefault="002E7560">
      <w:pPr>
        <w:pStyle w:val="BodyText"/>
        <w:spacing w:before="101" w:line="252" w:lineRule="auto"/>
        <w:ind w:left="533" w:right="127"/>
        <w:jc w:val="both"/>
      </w:pPr>
      <w:r>
        <w:rPr>
          <w:color w:val="231F20"/>
        </w:rPr>
        <w:t xml:space="preserve">правил, за порушення яких передбачена адміністративна відпові- дальність, на відповідних </w:t>
      </w:r>
      <w:r>
        <w:rPr>
          <w:color w:val="231F20"/>
          <w:spacing w:val="-3"/>
        </w:rPr>
        <w:t xml:space="preserve">суб’єктів </w:t>
      </w:r>
      <w:r>
        <w:rPr>
          <w:color w:val="231F20"/>
        </w:rPr>
        <w:t>покладається владно. Обов’язок додержуватись правил, за порушення яких передбачена дисциплі- нарна відповідальність, від</w:t>
      </w:r>
      <w:r>
        <w:rPr>
          <w:color w:val="231F20"/>
        </w:rPr>
        <w:t xml:space="preserve">повідними </w:t>
      </w:r>
      <w:r>
        <w:rPr>
          <w:color w:val="231F20"/>
          <w:spacing w:val="-3"/>
        </w:rPr>
        <w:t xml:space="preserve">суб’єктами </w:t>
      </w:r>
      <w:r>
        <w:rPr>
          <w:color w:val="231F20"/>
        </w:rPr>
        <w:t xml:space="preserve">приймається на себе добровільно. </w:t>
      </w:r>
      <w:r>
        <w:rPr>
          <w:color w:val="231F20"/>
          <w:spacing w:val="-4"/>
        </w:rPr>
        <w:t xml:space="preserve">Так, </w:t>
      </w:r>
      <w:r>
        <w:rPr>
          <w:color w:val="231F20"/>
        </w:rPr>
        <w:t xml:space="preserve">природа адміністративної відповідальності – публічно-правова. Вона настає при порушенні загальнообов’язко- вих правил, які встановлюються публічною адміністрацією. </w:t>
      </w:r>
      <w:r>
        <w:rPr>
          <w:color w:val="231F20"/>
          <w:spacing w:val="-7"/>
        </w:rPr>
        <w:t xml:space="preserve">Тоді </w:t>
      </w:r>
      <w:r>
        <w:rPr>
          <w:color w:val="231F20"/>
        </w:rPr>
        <w:t>як природа дисциплінарної ві</w:t>
      </w:r>
      <w:r>
        <w:rPr>
          <w:color w:val="231F20"/>
        </w:rPr>
        <w:t xml:space="preserve">дповідальності – цивільно-правова. Вона виникає за умови, що сторони уклали </w:t>
      </w:r>
      <w:r>
        <w:rPr>
          <w:color w:val="231F20"/>
          <w:spacing w:val="-3"/>
        </w:rPr>
        <w:t xml:space="preserve">трудовий </w:t>
      </w:r>
      <w:r>
        <w:rPr>
          <w:color w:val="231F20"/>
        </w:rPr>
        <w:t>договір і дійшли згоди</w:t>
      </w:r>
      <w:r>
        <w:rPr>
          <w:color w:val="231F20"/>
          <w:spacing w:val="-6"/>
        </w:rPr>
        <w:t xml:space="preserve"> </w:t>
      </w:r>
      <w:r>
        <w:rPr>
          <w:color w:val="231F20"/>
        </w:rPr>
        <w:t>щодо</w:t>
      </w:r>
      <w:r>
        <w:rPr>
          <w:color w:val="231F20"/>
          <w:spacing w:val="-6"/>
        </w:rPr>
        <w:t xml:space="preserve"> </w:t>
      </w:r>
      <w:r>
        <w:rPr>
          <w:color w:val="231F20"/>
        </w:rPr>
        <w:t>взаємних</w:t>
      </w:r>
      <w:r>
        <w:rPr>
          <w:color w:val="231F20"/>
          <w:spacing w:val="-6"/>
        </w:rPr>
        <w:t xml:space="preserve"> </w:t>
      </w:r>
      <w:r>
        <w:rPr>
          <w:color w:val="231F20"/>
        </w:rPr>
        <w:t>прав</w:t>
      </w:r>
      <w:r>
        <w:rPr>
          <w:color w:val="231F20"/>
          <w:spacing w:val="-6"/>
        </w:rPr>
        <w:t xml:space="preserve"> </w:t>
      </w:r>
      <w:r>
        <w:rPr>
          <w:color w:val="231F20"/>
        </w:rPr>
        <w:t>і</w:t>
      </w:r>
      <w:r>
        <w:rPr>
          <w:color w:val="231F20"/>
          <w:spacing w:val="-6"/>
        </w:rPr>
        <w:t xml:space="preserve"> </w:t>
      </w:r>
      <w:r>
        <w:rPr>
          <w:color w:val="231F20"/>
        </w:rPr>
        <w:t>обов’язків,</w:t>
      </w:r>
      <w:r>
        <w:rPr>
          <w:color w:val="231F20"/>
          <w:spacing w:val="-6"/>
        </w:rPr>
        <w:t xml:space="preserve"> </w:t>
      </w:r>
      <w:r>
        <w:rPr>
          <w:color w:val="231F20"/>
        </w:rPr>
        <w:t>які</w:t>
      </w:r>
      <w:r>
        <w:rPr>
          <w:color w:val="231F20"/>
          <w:spacing w:val="-6"/>
        </w:rPr>
        <w:t xml:space="preserve"> </w:t>
      </w:r>
      <w:r>
        <w:rPr>
          <w:color w:val="231F20"/>
          <w:spacing w:val="-3"/>
        </w:rPr>
        <w:t>будуть</w:t>
      </w:r>
      <w:r>
        <w:rPr>
          <w:color w:val="231F20"/>
          <w:spacing w:val="-6"/>
        </w:rPr>
        <w:t xml:space="preserve"> </w:t>
      </w:r>
      <w:r>
        <w:rPr>
          <w:color w:val="231F20"/>
        </w:rPr>
        <w:t>добровільно</w:t>
      </w:r>
      <w:r>
        <w:rPr>
          <w:color w:val="231F20"/>
          <w:spacing w:val="-6"/>
        </w:rPr>
        <w:t xml:space="preserve"> </w:t>
      </w:r>
      <w:r>
        <w:rPr>
          <w:color w:val="231F20"/>
        </w:rPr>
        <w:t>вико- нуватись;</w:t>
      </w:r>
    </w:p>
    <w:p w14:paraId="71273056" w14:textId="77777777" w:rsidR="00DE575E" w:rsidRDefault="002E7560">
      <w:pPr>
        <w:pStyle w:val="ListParagraph"/>
        <w:numPr>
          <w:ilvl w:val="0"/>
          <w:numId w:val="33"/>
        </w:numPr>
        <w:tabs>
          <w:tab w:val="left" w:pos="1101"/>
        </w:tabs>
        <w:spacing w:before="5" w:line="252" w:lineRule="auto"/>
        <w:ind w:right="126" w:firstLine="284"/>
        <w:rPr>
          <w:sz w:val="21"/>
        </w:rPr>
      </w:pPr>
      <w:r>
        <w:rPr>
          <w:color w:val="231F20"/>
          <w:sz w:val="21"/>
        </w:rPr>
        <w:t>адміністративна відповідальність здійснюється за законо- давством про адміні</w:t>
      </w:r>
      <w:r>
        <w:rPr>
          <w:color w:val="231F20"/>
          <w:sz w:val="21"/>
        </w:rPr>
        <w:t>стративні правопорушення. Дисциплінарна відповідальність окрему галузь законодавства не утворює. Вона прямо або побічно виражається в нормативному матеріалі</w:t>
      </w:r>
      <w:r>
        <w:rPr>
          <w:color w:val="231F20"/>
          <w:spacing w:val="-28"/>
          <w:sz w:val="21"/>
        </w:rPr>
        <w:t xml:space="preserve"> </w:t>
      </w:r>
      <w:r>
        <w:rPr>
          <w:color w:val="231F20"/>
          <w:sz w:val="21"/>
        </w:rPr>
        <w:t xml:space="preserve">адмініст- ративного, </w:t>
      </w:r>
      <w:r>
        <w:rPr>
          <w:color w:val="231F20"/>
          <w:spacing w:val="-3"/>
          <w:sz w:val="21"/>
        </w:rPr>
        <w:t xml:space="preserve">трудового, </w:t>
      </w:r>
      <w:r>
        <w:rPr>
          <w:color w:val="231F20"/>
          <w:sz w:val="21"/>
        </w:rPr>
        <w:t xml:space="preserve">виправно-трудового й інших галузей права. Це, наприклад, </w:t>
      </w:r>
      <w:r>
        <w:rPr>
          <w:color w:val="231F20"/>
          <w:spacing w:val="-3"/>
          <w:sz w:val="21"/>
        </w:rPr>
        <w:t xml:space="preserve">Кодекс </w:t>
      </w:r>
      <w:r>
        <w:rPr>
          <w:color w:val="231F20"/>
          <w:sz w:val="21"/>
        </w:rPr>
        <w:t>зак</w:t>
      </w:r>
      <w:r>
        <w:rPr>
          <w:color w:val="231F20"/>
          <w:sz w:val="21"/>
        </w:rPr>
        <w:t xml:space="preserve">онів про працю </w:t>
      </w:r>
      <w:r>
        <w:rPr>
          <w:color w:val="231F20"/>
          <w:spacing w:val="-3"/>
          <w:sz w:val="21"/>
        </w:rPr>
        <w:t xml:space="preserve">України </w:t>
      </w:r>
      <w:r>
        <w:rPr>
          <w:color w:val="231F20"/>
          <w:sz w:val="21"/>
        </w:rPr>
        <w:t xml:space="preserve">від 10 </w:t>
      </w:r>
      <w:r>
        <w:rPr>
          <w:color w:val="231F20"/>
          <w:spacing w:val="-4"/>
          <w:sz w:val="21"/>
        </w:rPr>
        <w:t xml:space="preserve">грудня  </w:t>
      </w:r>
      <w:r>
        <w:rPr>
          <w:color w:val="231F20"/>
          <w:sz w:val="21"/>
        </w:rPr>
        <w:t>1971</w:t>
      </w:r>
      <w:r>
        <w:rPr>
          <w:color w:val="231F20"/>
          <w:spacing w:val="-8"/>
          <w:sz w:val="21"/>
        </w:rPr>
        <w:t xml:space="preserve"> </w:t>
      </w:r>
      <w:r>
        <w:rPr>
          <w:color w:val="231F20"/>
          <w:sz w:val="21"/>
        </w:rPr>
        <w:t>р.</w:t>
      </w:r>
      <w:r>
        <w:rPr>
          <w:color w:val="231F20"/>
          <w:spacing w:val="-18"/>
          <w:sz w:val="21"/>
        </w:rPr>
        <w:t xml:space="preserve"> </w:t>
      </w:r>
      <w:r>
        <w:rPr>
          <w:color w:val="231F20"/>
          <w:sz w:val="21"/>
        </w:rPr>
        <w:t>(статті</w:t>
      </w:r>
      <w:r>
        <w:rPr>
          <w:color w:val="231F20"/>
          <w:spacing w:val="-18"/>
          <w:sz w:val="21"/>
        </w:rPr>
        <w:t xml:space="preserve"> </w:t>
      </w:r>
      <w:r>
        <w:rPr>
          <w:color w:val="231F20"/>
          <w:sz w:val="21"/>
        </w:rPr>
        <w:t>40,</w:t>
      </w:r>
      <w:r>
        <w:rPr>
          <w:color w:val="231F20"/>
          <w:spacing w:val="-17"/>
          <w:sz w:val="21"/>
        </w:rPr>
        <w:t xml:space="preserve"> </w:t>
      </w:r>
      <w:r>
        <w:rPr>
          <w:color w:val="231F20"/>
          <w:sz w:val="21"/>
        </w:rPr>
        <w:t>41,</w:t>
      </w:r>
      <w:r>
        <w:rPr>
          <w:color w:val="231F20"/>
          <w:spacing w:val="-17"/>
          <w:sz w:val="21"/>
        </w:rPr>
        <w:t xml:space="preserve"> </w:t>
      </w:r>
      <w:r>
        <w:rPr>
          <w:color w:val="231F20"/>
          <w:sz w:val="21"/>
        </w:rPr>
        <w:t>139,</w:t>
      </w:r>
      <w:r>
        <w:rPr>
          <w:color w:val="231F20"/>
          <w:spacing w:val="-18"/>
          <w:sz w:val="21"/>
        </w:rPr>
        <w:t xml:space="preserve"> </w:t>
      </w:r>
      <w:r>
        <w:rPr>
          <w:color w:val="231F20"/>
          <w:sz w:val="21"/>
        </w:rPr>
        <w:t>140,</w:t>
      </w:r>
      <w:r>
        <w:rPr>
          <w:color w:val="231F20"/>
          <w:spacing w:val="-18"/>
          <w:sz w:val="21"/>
        </w:rPr>
        <w:t xml:space="preserve"> </w:t>
      </w:r>
      <w:r>
        <w:rPr>
          <w:color w:val="231F20"/>
          <w:sz w:val="21"/>
        </w:rPr>
        <w:t>147);</w:t>
      </w:r>
      <w:r>
        <w:rPr>
          <w:color w:val="231F20"/>
          <w:spacing w:val="-18"/>
          <w:sz w:val="21"/>
        </w:rPr>
        <w:t xml:space="preserve"> </w:t>
      </w:r>
      <w:r>
        <w:rPr>
          <w:color w:val="231F20"/>
          <w:sz w:val="21"/>
        </w:rPr>
        <w:t>Кримінально-виконавчий</w:t>
      </w:r>
      <w:r>
        <w:rPr>
          <w:color w:val="231F20"/>
          <w:spacing w:val="-17"/>
          <w:sz w:val="21"/>
        </w:rPr>
        <w:t xml:space="preserve"> </w:t>
      </w:r>
      <w:r>
        <w:rPr>
          <w:color w:val="231F20"/>
          <w:sz w:val="21"/>
        </w:rPr>
        <w:t>кодекс</w:t>
      </w:r>
    </w:p>
    <w:p w14:paraId="07765579" w14:textId="77777777" w:rsidR="00DE575E" w:rsidRDefault="002E7560">
      <w:pPr>
        <w:pStyle w:val="BodyText"/>
        <w:spacing w:before="4"/>
        <w:ind w:left="533"/>
      </w:pPr>
      <w:r>
        <w:rPr>
          <w:color w:val="231F20"/>
        </w:rPr>
        <w:t>України від 11 липня 2003 р. (статті 68, 82 інші); закони України</w:t>
      </w:r>
    </w:p>
    <w:p w14:paraId="61B9AABE" w14:textId="77777777" w:rsidR="00DE575E" w:rsidRDefault="002E7560">
      <w:pPr>
        <w:pStyle w:val="BodyText"/>
        <w:spacing w:before="12" w:line="252" w:lineRule="auto"/>
        <w:ind w:left="533" w:right="126"/>
        <w:jc w:val="both"/>
      </w:pPr>
      <w:r>
        <w:rPr>
          <w:color w:val="231F20"/>
        </w:rPr>
        <w:t xml:space="preserve">«Про охорону праці» від 14 жовтня 1992 р. </w:t>
      </w:r>
      <w:r>
        <w:rPr>
          <w:color w:val="231F20"/>
          <w:spacing w:val="-5"/>
        </w:rPr>
        <w:t xml:space="preserve">(ст. </w:t>
      </w:r>
      <w:r>
        <w:rPr>
          <w:color w:val="231F20"/>
        </w:rPr>
        <w:t>19); «Про колективні договори і угоди» від 1 липня 1993 р. (статті 17, 18, 19); статути        і положення про дисципліну (наприклад, «Дисциплінарний статут служби цивільного захисту» від 5 березня 2009 р., «Дисциплінарний статут</w:t>
      </w:r>
      <w:r>
        <w:rPr>
          <w:color w:val="231F20"/>
          <w:spacing w:val="-10"/>
        </w:rPr>
        <w:t xml:space="preserve"> </w:t>
      </w:r>
      <w:r>
        <w:rPr>
          <w:color w:val="231F20"/>
        </w:rPr>
        <w:t>Державної</w:t>
      </w:r>
      <w:r>
        <w:rPr>
          <w:color w:val="231F20"/>
          <w:spacing w:val="-10"/>
        </w:rPr>
        <w:t xml:space="preserve"> </w:t>
      </w:r>
      <w:r>
        <w:rPr>
          <w:color w:val="231F20"/>
        </w:rPr>
        <w:t>служби</w:t>
      </w:r>
      <w:r>
        <w:rPr>
          <w:color w:val="231F20"/>
          <w:spacing w:val="-10"/>
        </w:rPr>
        <w:t xml:space="preserve"> </w:t>
      </w:r>
      <w:r>
        <w:rPr>
          <w:color w:val="231F20"/>
        </w:rPr>
        <w:t>спеціальн</w:t>
      </w:r>
      <w:r>
        <w:rPr>
          <w:color w:val="231F20"/>
        </w:rPr>
        <w:t>ого</w:t>
      </w:r>
      <w:r>
        <w:rPr>
          <w:color w:val="231F20"/>
          <w:spacing w:val="-10"/>
        </w:rPr>
        <w:t xml:space="preserve"> </w:t>
      </w:r>
      <w:r>
        <w:rPr>
          <w:color w:val="231F20"/>
        </w:rPr>
        <w:t>зв’язку</w:t>
      </w:r>
      <w:r>
        <w:rPr>
          <w:color w:val="231F20"/>
          <w:spacing w:val="-10"/>
        </w:rPr>
        <w:t xml:space="preserve"> </w:t>
      </w:r>
      <w:r>
        <w:rPr>
          <w:color w:val="231F20"/>
        </w:rPr>
        <w:t>та</w:t>
      </w:r>
      <w:r>
        <w:rPr>
          <w:color w:val="231F20"/>
          <w:spacing w:val="-10"/>
        </w:rPr>
        <w:t xml:space="preserve"> </w:t>
      </w:r>
      <w:r>
        <w:rPr>
          <w:color w:val="231F20"/>
        </w:rPr>
        <w:t>захисту</w:t>
      </w:r>
      <w:r>
        <w:rPr>
          <w:color w:val="231F20"/>
          <w:spacing w:val="-10"/>
        </w:rPr>
        <w:t xml:space="preserve"> </w:t>
      </w:r>
      <w:r>
        <w:rPr>
          <w:color w:val="231F20"/>
        </w:rPr>
        <w:t xml:space="preserve">інформації </w:t>
      </w:r>
      <w:r>
        <w:rPr>
          <w:color w:val="231F20"/>
          <w:spacing w:val="-3"/>
        </w:rPr>
        <w:t xml:space="preserve">України» </w:t>
      </w:r>
      <w:r>
        <w:rPr>
          <w:color w:val="231F20"/>
        </w:rPr>
        <w:t>від 4 вересня 2008</w:t>
      </w:r>
      <w:r>
        <w:rPr>
          <w:color w:val="231F20"/>
          <w:spacing w:val="-5"/>
        </w:rPr>
        <w:t xml:space="preserve"> </w:t>
      </w:r>
      <w:r>
        <w:rPr>
          <w:color w:val="231F20"/>
        </w:rPr>
        <w:t>р.);</w:t>
      </w:r>
    </w:p>
    <w:p w14:paraId="2AD8262C" w14:textId="77777777" w:rsidR="00DE575E" w:rsidRDefault="002E7560">
      <w:pPr>
        <w:pStyle w:val="ListParagraph"/>
        <w:numPr>
          <w:ilvl w:val="0"/>
          <w:numId w:val="33"/>
        </w:numPr>
        <w:tabs>
          <w:tab w:val="left" w:pos="1101"/>
        </w:tabs>
        <w:spacing w:before="3" w:line="252" w:lineRule="auto"/>
        <w:ind w:right="127" w:firstLine="284"/>
        <w:rPr>
          <w:sz w:val="21"/>
        </w:rPr>
      </w:pPr>
      <w:r>
        <w:rPr>
          <w:color w:val="231F20"/>
          <w:sz w:val="21"/>
        </w:rPr>
        <w:t xml:space="preserve">адміністративна відповідальність відрізняється від дисци- плінарної характеристикою </w:t>
      </w:r>
      <w:r>
        <w:rPr>
          <w:color w:val="231F20"/>
          <w:spacing w:val="-3"/>
          <w:sz w:val="21"/>
        </w:rPr>
        <w:t xml:space="preserve">суб’єкта, </w:t>
      </w:r>
      <w:r>
        <w:rPr>
          <w:color w:val="231F20"/>
          <w:sz w:val="21"/>
        </w:rPr>
        <w:t xml:space="preserve">який вчинив протиправне діяння. </w:t>
      </w:r>
      <w:r>
        <w:rPr>
          <w:color w:val="231F20"/>
          <w:spacing w:val="-3"/>
          <w:sz w:val="21"/>
        </w:rPr>
        <w:t xml:space="preserve">Суб’єктом </w:t>
      </w:r>
      <w:r>
        <w:rPr>
          <w:color w:val="231F20"/>
          <w:sz w:val="21"/>
        </w:rPr>
        <w:t xml:space="preserve">адміністративного проступку є </w:t>
      </w:r>
      <w:r>
        <w:rPr>
          <w:color w:val="231F20"/>
          <w:spacing w:val="-3"/>
          <w:sz w:val="21"/>
        </w:rPr>
        <w:t xml:space="preserve">осудна </w:t>
      </w:r>
      <w:r>
        <w:rPr>
          <w:color w:val="231F20"/>
          <w:sz w:val="21"/>
        </w:rPr>
        <w:t xml:space="preserve">особа, яка </w:t>
      </w:r>
      <w:r>
        <w:rPr>
          <w:color w:val="231F20"/>
          <w:spacing w:val="-3"/>
          <w:sz w:val="21"/>
        </w:rPr>
        <w:t>досяг</w:t>
      </w:r>
      <w:r>
        <w:rPr>
          <w:color w:val="231F20"/>
          <w:spacing w:val="-3"/>
          <w:sz w:val="21"/>
        </w:rPr>
        <w:t>ла</w:t>
      </w:r>
      <w:r>
        <w:rPr>
          <w:color w:val="231F20"/>
          <w:spacing w:val="-8"/>
          <w:sz w:val="21"/>
        </w:rPr>
        <w:t xml:space="preserve"> </w:t>
      </w:r>
      <w:r>
        <w:rPr>
          <w:color w:val="231F20"/>
          <w:sz w:val="21"/>
        </w:rPr>
        <w:t>16-річного</w:t>
      </w:r>
      <w:r>
        <w:rPr>
          <w:color w:val="231F20"/>
          <w:spacing w:val="-8"/>
          <w:sz w:val="21"/>
        </w:rPr>
        <w:t xml:space="preserve"> </w:t>
      </w:r>
      <w:r>
        <w:rPr>
          <w:color w:val="231F20"/>
          <w:sz w:val="21"/>
        </w:rPr>
        <w:t>віку</w:t>
      </w:r>
      <w:r>
        <w:rPr>
          <w:color w:val="231F20"/>
          <w:spacing w:val="-8"/>
          <w:sz w:val="21"/>
        </w:rPr>
        <w:t xml:space="preserve"> </w:t>
      </w:r>
      <w:r>
        <w:rPr>
          <w:color w:val="231F20"/>
          <w:sz w:val="21"/>
        </w:rPr>
        <w:t>і</w:t>
      </w:r>
      <w:r>
        <w:rPr>
          <w:color w:val="231F20"/>
          <w:spacing w:val="-8"/>
          <w:sz w:val="21"/>
        </w:rPr>
        <w:t xml:space="preserve"> </w:t>
      </w:r>
      <w:r>
        <w:rPr>
          <w:color w:val="231F20"/>
          <w:sz w:val="21"/>
        </w:rPr>
        <w:t>виконала</w:t>
      </w:r>
      <w:r>
        <w:rPr>
          <w:color w:val="231F20"/>
          <w:spacing w:val="-8"/>
          <w:sz w:val="21"/>
        </w:rPr>
        <w:t xml:space="preserve"> </w:t>
      </w:r>
      <w:r>
        <w:rPr>
          <w:color w:val="231F20"/>
          <w:sz w:val="21"/>
        </w:rPr>
        <w:t>описаний</w:t>
      </w:r>
      <w:r>
        <w:rPr>
          <w:color w:val="231F20"/>
          <w:spacing w:val="-8"/>
          <w:sz w:val="21"/>
        </w:rPr>
        <w:t xml:space="preserve"> </w:t>
      </w:r>
      <w:r>
        <w:rPr>
          <w:color w:val="231F20"/>
          <w:sz w:val="21"/>
        </w:rPr>
        <w:t>у</w:t>
      </w:r>
      <w:r>
        <w:rPr>
          <w:color w:val="231F20"/>
          <w:spacing w:val="-9"/>
          <w:sz w:val="21"/>
        </w:rPr>
        <w:t xml:space="preserve"> </w:t>
      </w:r>
      <w:r>
        <w:rPr>
          <w:color w:val="231F20"/>
          <w:sz w:val="21"/>
        </w:rPr>
        <w:t>законі</w:t>
      </w:r>
      <w:r>
        <w:rPr>
          <w:color w:val="231F20"/>
          <w:spacing w:val="-8"/>
          <w:sz w:val="21"/>
        </w:rPr>
        <w:t xml:space="preserve"> </w:t>
      </w:r>
      <w:r>
        <w:rPr>
          <w:color w:val="231F20"/>
          <w:sz w:val="21"/>
        </w:rPr>
        <w:t>склад</w:t>
      </w:r>
      <w:r>
        <w:rPr>
          <w:color w:val="231F20"/>
          <w:spacing w:val="-8"/>
          <w:sz w:val="21"/>
        </w:rPr>
        <w:t xml:space="preserve"> </w:t>
      </w:r>
      <w:r>
        <w:rPr>
          <w:color w:val="231F20"/>
          <w:sz w:val="21"/>
        </w:rPr>
        <w:t xml:space="preserve">адмініст- ративного проступку. </w:t>
      </w:r>
      <w:r>
        <w:rPr>
          <w:color w:val="231F20"/>
          <w:spacing w:val="-4"/>
          <w:sz w:val="21"/>
        </w:rPr>
        <w:t xml:space="preserve">Таким </w:t>
      </w:r>
      <w:r>
        <w:rPr>
          <w:color w:val="231F20"/>
          <w:sz w:val="21"/>
        </w:rPr>
        <w:t xml:space="preserve">чином, головними ознаками </w:t>
      </w:r>
      <w:r>
        <w:rPr>
          <w:color w:val="231F20"/>
          <w:spacing w:val="-4"/>
          <w:sz w:val="21"/>
        </w:rPr>
        <w:t xml:space="preserve">суб’єкта </w:t>
      </w:r>
      <w:r>
        <w:rPr>
          <w:color w:val="231F20"/>
          <w:sz w:val="21"/>
        </w:rPr>
        <w:t xml:space="preserve">адміністративного проступку є вік, осудність, винність. А </w:t>
      </w:r>
      <w:r>
        <w:rPr>
          <w:color w:val="231F20"/>
          <w:spacing w:val="-4"/>
          <w:sz w:val="21"/>
        </w:rPr>
        <w:t xml:space="preserve">суб’єк- </w:t>
      </w:r>
      <w:r>
        <w:rPr>
          <w:color w:val="231F20"/>
          <w:sz w:val="21"/>
        </w:rPr>
        <w:t xml:space="preserve">том дисциплінарного проступку може бути лише особа, що пере- буває у </w:t>
      </w:r>
      <w:r>
        <w:rPr>
          <w:color w:val="231F20"/>
          <w:spacing w:val="-3"/>
          <w:sz w:val="21"/>
        </w:rPr>
        <w:t xml:space="preserve">трудових </w:t>
      </w:r>
      <w:r>
        <w:rPr>
          <w:color w:val="231F20"/>
          <w:sz w:val="21"/>
        </w:rPr>
        <w:t xml:space="preserve">відносинах з роботодавцем. </w:t>
      </w:r>
      <w:r>
        <w:rPr>
          <w:color w:val="231F20"/>
          <w:spacing w:val="-5"/>
          <w:sz w:val="21"/>
        </w:rPr>
        <w:t xml:space="preserve">Така </w:t>
      </w:r>
      <w:r>
        <w:rPr>
          <w:color w:val="231F20"/>
          <w:sz w:val="21"/>
        </w:rPr>
        <w:t xml:space="preserve">особа може бути як повнолітньою, так і неповнолітньою. </w:t>
      </w:r>
      <w:r>
        <w:rPr>
          <w:color w:val="231F20"/>
          <w:spacing w:val="-3"/>
          <w:sz w:val="21"/>
        </w:rPr>
        <w:t xml:space="preserve">Головною </w:t>
      </w:r>
      <w:r>
        <w:rPr>
          <w:color w:val="231F20"/>
          <w:sz w:val="21"/>
        </w:rPr>
        <w:t xml:space="preserve">ознакою </w:t>
      </w:r>
      <w:r>
        <w:rPr>
          <w:color w:val="231F20"/>
          <w:spacing w:val="-4"/>
          <w:sz w:val="21"/>
        </w:rPr>
        <w:t xml:space="preserve">суб’єкта </w:t>
      </w:r>
      <w:r>
        <w:rPr>
          <w:color w:val="231F20"/>
          <w:sz w:val="21"/>
        </w:rPr>
        <w:t xml:space="preserve">дисциплінарного проступку є  перебування  у </w:t>
      </w:r>
      <w:r>
        <w:rPr>
          <w:color w:val="231F20"/>
          <w:spacing w:val="-3"/>
          <w:sz w:val="21"/>
        </w:rPr>
        <w:t xml:space="preserve">трудових  </w:t>
      </w:r>
      <w:r>
        <w:rPr>
          <w:color w:val="231F20"/>
          <w:sz w:val="21"/>
        </w:rPr>
        <w:t xml:space="preserve">відносинах </w:t>
      </w:r>
      <w:r>
        <w:rPr>
          <w:color w:val="231F20"/>
          <w:sz w:val="21"/>
        </w:rPr>
        <w:t xml:space="preserve">з роботодавцем. Відсутність цієї ознаки виключає визнання особи </w:t>
      </w:r>
      <w:r>
        <w:rPr>
          <w:color w:val="231F20"/>
          <w:spacing w:val="-3"/>
          <w:sz w:val="21"/>
        </w:rPr>
        <w:t xml:space="preserve">суб’єктом </w:t>
      </w:r>
      <w:r>
        <w:rPr>
          <w:color w:val="231F20"/>
          <w:sz w:val="21"/>
        </w:rPr>
        <w:t>дисциплінарного</w:t>
      </w:r>
      <w:r>
        <w:rPr>
          <w:color w:val="231F20"/>
          <w:sz w:val="21"/>
        </w:rPr>
        <w:t xml:space="preserve"> </w:t>
      </w:r>
      <w:r>
        <w:rPr>
          <w:color w:val="231F20"/>
          <w:sz w:val="21"/>
        </w:rPr>
        <w:t>проступку;</w:t>
      </w:r>
    </w:p>
    <w:p w14:paraId="413D3615" w14:textId="77777777" w:rsidR="00DE575E" w:rsidRDefault="002E7560">
      <w:pPr>
        <w:pStyle w:val="ListParagraph"/>
        <w:numPr>
          <w:ilvl w:val="0"/>
          <w:numId w:val="33"/>
        </w:numPr>
        <w:tabs>
          <w:tab w:val="left" w:pos="1101"/>
        </w:tabs>
        <w:spacing w:before="6" w:line="252" w:lineRule="auto"/>
        <w:ind w:right="127" w:firstLine="284"/>
        <w:rPr>
          <w:sz w:val="21"/>
        </w:rPr>
      </w:pPr>
      <w:r>
        <w:rPr>
          <w:color w:val="231F20"/>
          <w:sz w:val="21"/>
        </w:rPr>
        <w:t xml:space="preserve">адміністративні проступки відрізняються від дисциплінар- них за характеристикою </w:t>
      </w:r>
      <w:r>
        <w:rPr>
          <w:color w:val="231F20"/>
          <w:spacing w:val="-3"/>
          <w:sz w:val="21"/>
        </w:rPr>
        <w:t xml:space="preserve">суб’єкта, </w:t>
      </w:r>
      <w:r>
        <w:rPr>
          <w:color w:val="231F20"/>
          <w:sz w:val="21"/>
        </w:rPr>
        <w:t>який має право їх розглядати</w:t>
      </w:r>
    </w:p>
    <w:p w14:paraId="6450A422" w14:textId="77777777" w:rsidR="00DE575E" w:rsidRDefault="00DE575E">
      <w:pPr>
        <w:pStyle w:val="BodyText"/>
        <w:spacing w:before="5"/>
        <w:rPr>
          <w:sz w:val="12"/>
        </w:rPr>
      </w:pPr>
    </w:p>
    <w:p w14:paraId="04B5AAC2" w14:textId="77777777" w:rsidR="00DE575E" w:rsidRDefault="002E7560">
      <w:pPr>
        <w:spacing w:before="92"/>
        <w:ind w:left="533"/>
        <w:rPr>
          <w:rFonts w:ascii="Times New Roman"/>
          <w:sz w:val="20"/>
        </w:rPr>
      </w:pPr>
      <w:r>
        <w:rPr>
          <w:rFonts w:ascii="Times New Roman"/>
          <w:color w:val="231F20"/>
          <w:sz w:val="20"/>
        </w:rPr>
        <w:t>472</w:t>
      </w:r>
    </w:p>
    <w:p w14:paraId="4864985D" w14:textId="77777777" w:rsidR="00DE575E" w:rsidRDefault="00DE575E">
      <w:pPr>
        <w:rPr>
          <w:rFonts w:ascii="Times New Roman"/>
          <w:sz w:val="20"/>
        </w:rPr>
        <w:sectPr w:rsidR="00DE575E">
          <w:pgSz w:w="8510" w:h="12760"/>
          <w:pgMar w:top="660" w:right="720" w:bottom="280" w:left="600" w:header="720" w:footer="720" w:gutter="0"/>
          <w:cols w:space="720"/>
        </w:sectPr>
      </w:pPr>
    </w:p>
    <w:p w14:paraId="5635F0FD"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Адміністративна відповідальність як вид юридичної відповідальності</w:t>
      </w:r>
    </w:p>
    <w:p w14:paraId="6E6B0581" w14:textId="096D73C1"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219A112" wp14:editId="080380B6">
                <wp:extent cx="4140200" cy="6350"/>
                <wp:effectExtent l="0" t="0" r="12700" b="6350"/>
                <wp:docPr id="22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25" name="Line 224"/>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C1C881" id="Group_x0020_223"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XTN4Gn4CAACYBQAADgAA&#10;AAAAAAAAAAAAAAAsAgAAZHJzL2Uyb0RvYy54bWxQSwECLQAUAAYACAAAACEATKewkNkAAAADAQAA&#10;DwAAAAAAAAAAAAAAAADWBAAAZHJzL2Rvd25yZXYueG1sUEsFBgAAAAAEAAQA8wAAANwFAAAAAA==&#10;">
                <v:line id="Line_x0020_224"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PX8cYAAADcAAAADwAAAGRycy9kb3ducmV2LnhtbESP0WrCQBRE3wv+w3KFvpS6aaRSUleR&#10;giB90Gr8gGv2Ngnu3o3Z1US/3hUKfRxm5gwznffWiAu1vnas4G2UgCAunK65VLDPl68fIHxA1mgc&#10;k4IreZjPBk9TzLTreEuXXShFhLDPUEEVQpNJ6YuKLPqRa4ij9+taiyHKtpS6xS7CrZFpkkykxZrj&#10;QoUNfVVUHHdnqyA/vQTzs/k2Xb45jOXhtB7fzmulnof94hNEoD78h//aK60gTd/hcS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j1/HGAAAA3AAAAA8AAAAAAAAA&#10;AAAAAAAAoQIAAGRycy9kb3ducmV2LnhtbFBLBQYAAAAABAAEAPkAAACUAwAAAAA=&#10;" strokecolor="#231f20" strokeweight=".5pt"/>
                <w10:anchorlock/>
              </v:group>
            </w:pict>
          </mc:Fallback>
        </mc:AlternateContent>
      </w:r>
    </w:p>
    <w:p w14:paraId="1ABF1FC6" w14:textId="77777777" w:rsidR="00DE575E" w:rsidRDefault="00DE575E">
      <w:pPr>
        <w:pStyle w:val="BodyText"/>
        <w:spacing w:before="7"/>
        <w:rPr>
          <w:rFonts w:ascii="AdonisC"/>
          <w:i/>
          <w:sz w:val="19"/>
        </w:rPr>
      </w:pPr>
    </w:p>
    <w:p w14:paraId="3132B6CA" w14:textId="77777777" w:rsidR="00DE575E" w:rsidRDefault="002E7560">
      <w:pPr>
        <w:pStyle w:val="BodyText"/>
        <w:spacing w:before="1" w:line="252" w:lineRule="auto"/>
        <w:ind w:left="250" w:right="411"/>
        <w:jc w:val="both"/>
      </w:pPr>
      <w:r>
        <w:rPr>
          <w:color w:val="231F20"/>
        </w:rPr>
        <w:t xml:space="preserve">і виносити рішення. </w:t>
      </w:r>
      <w:r>
        <w:rPr>
          <w:color w:val="231F20"/>
          <w:spacing w:val="-4"/>
        </w:rPr>
        <w:t xml:space="preserve">Так, </w:t>
      </w:r>
      <w:r>
        <w:rPr>
          <w:color w:val="231F20"/>
          <w:spacing w:val="-3"/>
        </w:rPr>
        <w:t xml:space="preserve">суб’єктом розгляду  </w:t>
      </w:r>
      <w:r>
        <w:rPr>
          <w:color w:val="231F20"/>
        </w:rPr>
        <w:t xml:space="preserve">дисциплінарних справ є керівник колективу, в якому працює правопорушник. Між ними (керівником і порушником дисципліни) обов’язково існують стійкі організаційні зв’язки типу «начальник – підлеглий». А </w:t>
      </w:r>
      <w:r>
        <w:rPr>
          <w:color w:val="231F20"/>
          <w:spacing w:val="-3"/>
        </w:rPr>
        <w:t xml:space="preserve">суб’єктом розгляду </w:t>
      </w:r>
      <w:r>
        <w:rPr>
          <w:color w:val="231F20"/>
        </w:rPr>
        <w:t>справ про адміністративні правопоруше</w:t>
      </w:r>
      <w:r>
        <w:rPr>
          <w:color w:val="231F20"/>
        </w:rPr>
        <w:t>ння є носій функ- ціональної влади, повноваження якого чітко визначені й зафіксо- вані в законодавстві. Між ним і правопорушником немає стійких організаційних</w:t>
      </w:r>
      <w:r>
        <w:rPr>
          <w:color w:val="231F20"/>
          <w:spacing w:val="-2"/>
        </w:rPr>
        <w:t xml:space="preserve"> </w:t>
      </w:r>
      <w:r>
        <w:rPr>
          <w:color w:val="231F20"/>
        </w:rPr>
        <w:t>зв’язків.</w:t>
      </w:r>
    </w:p>
    <w:p w14:paraId="019B1E48" w14:textId="77777777" w:rsidR="00DE575E" w:rsidRDefault="00DE575E">
      <w:pPr>
        <w:pStyle w:val="BodyText"/>
        <w:rPr>
          <w:sz w:val="24"/>
        </w:rPr>
      </w:pPr>
    </w:p>
    <w:p w14:paraId="36E55ACB" w14:textId="77777777" w:rsidR="00DE575E" w:rsidRDefault="00DE575E">
      <w:pPr>
        <w:pStyle w:val="BodyText"/>
        <w:spacing w:before="7"/>
        <w:rPr>
          <w:sz w:val="19"/>
        </w:rPr>
      </w:pPr>
    </w:p>
    <w:p w14:paraId="17D8DECA" w14:textId="77777777" w:rsidR="00DE575E" w:rsidRDefault="002E7560">
      <w:pPr>
        <w:pStyle w:val="Heading4"/>
        <w:ind w:left="865"/>
      </w:pPr>
      <w:r>
        <w:rPr>
          <w:color w:val="231F20"/>
        </w:rPr>
        <w:t>1.3. Принципи адміністративної відповідальності</w:t>
      </w:r>
    </w:p>
    <w:p w14:paraId="75E79D6F" w14:textId="77777777" w:rsidR="00DE575E" w:rsidRDefault="00DE575E">
      <w:pPr>
        <w:pStyle w:val="BodyText"/>
        <w:rPr>
          <w:b/>
          <w:sz w:val="26"/>
        </w:rPr>
      </w:pPr>
    </w:p>
    <w:p w14:paraId="518F920D" w14:textId="77777777" w:rsidR="00DE575E" w:rsidRDefault="002E7560">
      <w:pPr>
        <w:spacing w:before="224" w:line="252" w:lineRule="auto"/>
        <w:ind w:left="250" w:right="411" w:firstLine="283"/>
        <w:jc w:val="both"/>
        <w:rPr>
          <w:sz w:val="21"/>
        </w:rPr>
      </w:pPr>
      <w:r>
        <w:rPr>
          <w:b/>
          <w:color w:val="231F20"/>
          <w:sz w:val="21"/>
        </w:rPr>
        <w:t>Принципи адміністративної відповідал</w:t>
      </w:r>
      <w:r>
        <w:rPr>
          <w:b/>
          <w:color w:val="231F20"/>
          <w:sz w:val="21"/>
        </w:rPr>
        <w:t xml:space="preserve">ьності </w:t>
      </w:r>
      <w:r>
        <w:rPr>
          <w:color w:val="231F20"/>
          <w:sz w:val="21"/>
        </w:rPr>
        <w:t>– це основні положення, закріплені в Конституції та інших законах України, на яких базується порядок притягнення винних осіб до адміністратив- ної відповідальності</w:t>
      </w:r>
      <w:r>
        <w:rPr>
          <w:color w:val="231F20"/>
          <w:position w:val="7"/>
          <w:sz w:val="12"/>
        </w:rPr>
        <w:t>1</w:t>
      </w:r>
      <w:r>
        <w:rPr>
          <w:color w:val="231F20"/>
          <w:sz w:val="21"/>
        </w:rPr>
        <w:t>.</w:t>
      </w:r>
    </w:p>
    <w:p w14:paraId="0BE2D7C4" w14:textId="77777777" w:rsidR="00DE575E" w:rsidRDefault="002E7560">
      <w:pPr>
        <w:pStyle w:val="BodyText"/>
        <w:spacing w:before="2" w:line="252" w:lineRule="auto"/>
        <w:ind w:left="250" w:right="411" w:firstLine="283"/>
        <w:jc w:val="both"/>
      </w:pPr>
      <w:r>
        <w:rPr>
          <w:i/>
          <w:color w:val="231F20"/>
        </w:rPr>
        <w:t xml:space="preserve">Верховенство права </w:t>
      </w:r>
      <w:r>
        <w:rPr>
          <w:color w:val="231F20"/>
        </w:rPr>
        <w:t xml:space="preserve">полягає в </w:t>
      </w:r>
      <w:r>
        <w:rPr>
          <w:color w:val="231F20"/>
          <w:spacing w:val="-4"/>
        </w:rPr>
        <w:t xml:space="preserve">тому, </w:t>
      </w:r>
      <w:r>
        <w:rPr>
          <w:color w:val="231F20"/>
        </w:rPr>
        <w:t xml:space="preserve">що адміністративна відпові- дальність в </w:t>
      </w:r>
      <w:r>
        <w:rPr>
          <w:color w:val="231F20"/>
          <w:spacing w:val="-3"/>
        </w:rPr>
        <w:t xml:space="preserve">Україні </w:t>
      </w:r>
      <w:r>
        <w:rPr>
          <w:color w:val="231F20"/>
        </w:rPr>
        <w:t xml:space="preserve">та процедура притягнення до неї ґрунтується на конституційних принципах та правових презумпціях, які зумовлені виконанням і дією саме принципу верховенства права в </w:t>
      </w:r>
      <w:r>
        <w:rPr>
          <w:color w:val="231F20"/>
          <w:spacing w:val="-3"/>
        </w:rPr>
        <w:t>Україні.</w:t>
      </w:r>
    </w:p>
    <w:p w14:paraId="187C21EB" w14:textId="77777777" w:rsidR="00DE575E" w:rsidRDefault="002E7560">
      <w:pPr>
        <w:pStyle w:val="BodyText"/>
        <w:spacing w:before="2" w:line="252" w:lineRule="auto"/>
        <w:ind w:left="250" w:right="411" w:firstLine="283"/>
        <w:jc w:val="both"/>
      </w:pPr>
      <w:r>
        <w:rPr>
          <w:i/>
          <w:color w:val="231F20"/>
        </w:rPr>
        <w:t xml:space="preserve">Принцип законності </w:t>
      </w:r>
      <w:r>
        <w:rPr>
          <w:color w:val="231F20"/>
        </w:rPr>
        <w:t xml:space="preserve">полягає, по-перше, в </w:t>
      </w:r>
      <w:r>
        <w:rPr>
          <w:color w:val="231F20"/>
          <w:spacing w:val="-4"/>
        </w:rPr>
        <w:t xml:space="preserve">тому, </w:t>
      </w:r>
      <w:r>
        <w:rPr>
          <w:color w:val="231F20"/>
        </w:rPr>
        <w:t>що адміністра- тивна відповідальність</w:t>
      </w:r>
      <w:r>
        <w:rPr>
          <w:color w:val="231F20"/>
        </w:rPr>
        <w:t xml:space="preserve"> настає лише за ті діяння, які передбачені законом, по-друге, притягати до адміністративної відповідаль- ності мають право тільки передбачені законом компетентні органи, по-третє, органи публічної адміністрації при вирішенні питання про притягнення винної </w:t>
      </w:r>
      <w:r>
        <w:rPr>
          <w:color w:val="231F20"/>
        </w:rPr>
        <w:t>особи до адміністративної відповідаль- ності мають керуватися законом і здійснювати свої повноваження  в межах передбаченої законодавством</w:t>
      </w:r>
      <w:r>
        <w:rPr>
          <w:color w:val="231F20"/>
          <w:spacing w:val="-5"/>
        </w:rPr>
        <w:t xml:space="preserve"> </w:t>
      </w:r>
      <w:r>
        <w:rPr>
          <w:color w:val="231F20"/>
        </w:rPr>
        <w:t>компетенції.</w:t>
      </w:r>
    </w:p>
    <w:p w14:paraId="6D2DF22F" w14:textId="77777777" w:rsidR="00DE575E" w:rsidRDefault="002E7560">
      <w:pPr>
        <w:pStyle w:val="BodyText"/>
        <w:spacing w:before="4" w:line="252" w:lineRule="auto"/>
        <w:ind w:left="250" w:right="407" w:firstLine="283"/>
        <w:jc w:val="both"/>
      </w:pPr>
      <w:r>
        <w:rPr>
          <w:i/>
          <w:color w:val="231F20"/>
        </w:rPr>
        <w:t xml:space="preserve">Принцип обґрунтованості </w:t>
      </w:r>
      <w:r>
        <w:rPr>
          <w:color w:val="231F20"/>
        </w:rPr>
        <w:t>полягає в тому, що довільне притяг- нення особи до адміністративної відповідальн</w:t>
      </w:r>
      <w:r>
        <w:rPr>
          <w:color w:val="231F20"/>
        </w:rPr>
        <w:t xml:space="preserve">ості не допус- кається. Правозастосовні органи мають установити сам факт учинення адміністративного проступку, а також встановити інші обставини справи, які мають значення для кваліфікації адмініст- ративного проступку та індивідуалізації адміністративної </w:t>
      </w:r>
      <w:r>
        <w:rPr>
          <w:color w:val="231F20"/>
        </w:rPr>
        <w:t>відпо- відальності.</w:t>
      </w:r>
    </w:p>
    <w:p w14:paraId="16B0EFA9" w14:textId="77777777" w:rsidR="00DE575E" w:rsidRDefault="00DE575E">
      <w:pPr>
        <w:pStyle w:val="BodyText"/>
        <w:rPr>
          <w:sz w:val="20"/>
        </w:rPr>
      </w:pPr>
    </w:p>
    <w:p w14:paraId="1CE6E02B" w14:textId="391765DA" w:rsidR="00DE575E" w:rsidRDefault="002E7560">
      <w:pPr>
        <w:pStyle w:val="BodyText"/>
        <w:rPr>
          <w:sz w:val="13"/>
        </w:rPr>
      </w:pPr>
      <w:r>
        <w:rPr>
          <w:noProof/>
        </w:rPr>
        <mc:AlternateContent>
          <mc:Choice Requires="wps">
            <w:drawing>
              <wp:anchor distT="0" distB="0" distL="0" distR="0" simplePos="0" relativeHeight="18160" behindDoc="0" locked="0" layoutInCell="1" allowOverlap="1" wp14:anchorId="4F7460AF" wp14:editId="7AA578C7">
                <wp:simplePos x="0" y="0"/>
                <wp:positionH relativeFrom="page">
                  <wp:posOffset>539750</wp:posOffset>
                </wp:positionH>
                <wp:positionV relativeFrom="paragraph">
                  <wp:posOffset>124460</wp:posOffset>
                </wp:positionV>
                <wp:extent cx="1080135" cy="0"/>
                <wp:effectExtent l="6350" t="10160" r="31115" b="27940"/>
                <wp:wrapTopAndBottom/>
                <wp:docPr id="22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7AAF" id="Line_x0020_222" o:spid="_x0000_s1026" style="position:absolute;z-index:1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pt" to="127.5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" strokecolor="#231f20" strokeweight=".5pt">
                <w10:wrap type="topAndBottom" anchorx="page"/>
              </v:line>
            </w:pict>
          </mc:Fallback>
        </mc:AlternateContent>
      </w:r>
    </w:p>
    <w:p w14:paraId="603286D2" w14:textId="77777777" w:rsidR="00DE575E" w:rsidRDefault="002E7560">
      <w:pPr>
        <w:spacing w:line="204" w:lineRule="auto"/>
        <w:ind w:left="250" w:right="521"/>
        <w:rPr>
          <w:sz w:val="16"/>
        </w:rPr>
      </w:pPr>
      <w:r>
        <w:rPr>
          <w:color w:val="231F20"/>
          <w:position w:val="5"/>
          <w:sz w:val="9"/>
        </w:rPr>
        <w:t xml:space="preserve">1 </w:t>
      </w:r>
      <w:r>
        <w:rPr>
          <w:color w:val="231F20"/>
          <w:sz w:val="16"/>
        </w:rPr>
        <w:t xml:space="preserve">Кузьменко О. Курс адміністративного права України: підручник / за </w:t>
      </w:r>
      <w:r>
        <w:rPr>
          <w:color w:val="231F20"/>
          <w:spacing w:val="-4"/>
          <w:sz w:val="16"/>
        </w:rPr>
        <w:t xml:space="preserve">заг. </w:t>
      </w:r>
      <w:r>
        <w:rPr>
          <w:color w:val="231F20"/>
          <w:sz w:val="16"/>
        </w:rPr>
        <w:t>ред. Колпа-  кова В., Кузьменко О., Пастуха І. Київ: Юринком Інтер, 2013. 912</w:t>
      </w:r>
      <w:r>
        <w:rPr>
          <w:color w:val="231F20"/>
          <w:spacing w:val="-9"/>
          <w:sz w:val="16"/>
        </w:rPr>
        <w:t xml:space="preserve"> </w:t>
      </w:r>
      <w:r>
        <w:rPr>
          <w:color w:val="231F20"/>
          <w:sz w:val="16"/>
        </w:rPr>
        <w:t>с.</w:t>
      </w:r>
    </w:p>
    <w:p w14:paraId="0D6AFEC8" w14:textId="77777777" w:rsidR="00DE575E" w:rsidRDefault="00DE575E">
      <w:pPr>
        <w:pStyle w:val="BodyText"/>
        <w:spacing w:before="1"/>
        <w:rPr>
          <w:sz w:val="12"/>
        </w:rPr>
      </w:pPr>
    </w:p>
    <w:p w14:paraId="5CBD05FD" w14:textId="77777777" w:rsidR="00DE575E" w:rsidRDefault="002E7560">
      <w:pPr>
        <w:spacing w:before="92"/>
        <w:ind w:right="411"/>
        <w:jc w:val="right"/>
        <w:rPr>
          <w:rFonts w:ascii="Times New Roman"/>
          <w:sz w:val="20"/>
        </w:rPr>
      </w:pPr>
      <w:r>
        <w:rPr>
          <w:rFonts w:ascii="Times New Roman"/>
          <w:color w:val="231F20"/>
          <w:w w:val="90"/>
          <w:sz w:val="20"/>
        </w:rPr>
        <w:t>473</w:t>
      </w:r>
    </w:p>
    <w:p w14:paraId="5A9B91C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D33609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70D8BFF" w14:textId="2CD6FF0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EAE0BB1" wp14:editId="0BA3FABE">
                <wp:extent cx="4140200" cy="6350"/>
                <wp:effectExtent l="0" t="0" r="12700" b="6350"/>
                <wp:docPr id="22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22" name="Line 22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DE7D7" id="Group_x0020_22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cUZKF/AgAAmAUAAA4A&#10;AAAAAAAAAAAAAAAALAIAAGRycy9lMm9Eb2MueG1sUEsBAi0AFAAGAAgAAAAhAEynsJDZAAAAAwEA&#10;AA8AAAAAAAAAAAAAAAAA1wQAAGRycy9kb3ducmV2LnhtbFBLBQYAAAAABAAEAPMAAADdBQAAAAA=&#10;">
                <v:line id="Line_x0020_22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pPhcYAAADcAAAADwAAAGRycy9kb3ducmV2LnhtbESP3WrCQBSE74W+w3IK3kjdNIJI6ipF&#10;EIoX/qUPcMyeJqG7Z2N2NdGndwsFL4eZ+YaZL3trxJVaXztW8D5OQBAXTtdcKvjO128zED4gazSO&#10;ScGNPCwXL4M5Ztp1fKDrMZQiQthnqKAKocmk9EVFFv3YNcTR+3GtxRBlW0rdYhfh1sg0SabSYs1x&#10;ocKGVhUVv8eLVZCfR8HsdxvT5bvTRJ7O28n9slVq+Np/foAI1Idn+L/9pRWkaQp/Z+IRkI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KT4XGAAAA3AAAAA8AAAAAAAAA&#10;AAAAAAAAoQIAAGRycy9kb3ducmV2LnhtbFBLBQYAAAAABAAEAPkAAACUAwAAAAA=&#10;" strokecolor="#231f20" strokeweight=".5pt"/>
                <w10:anchorlock/>
              </v:group>
            </w:pict>
          </mc:Fallback>
        </mc:AlternateContent>
      </w:r>
    </w:p>
    <w:p w14:paraId="3DC09B3D" w14:textId="77777777" w:rsidR="00DE575E" w:rsidRDefault="00DE575E">
      <w:pPr>
        <w:pStyle w:val="BodyText"/>
        <w:spacing w:before="7"/>
        <w:rPr>
          <w:rFonts w:ascii="AdonisC"/>
          <w:i/>
          <w:sz w:val="11"/>
        </w:rPr>
      </w:pPr>
    </w:p>
    <w:p w14:paraId="211058B1" w14:textId="77777777" w:rsidR="00DE575E" w:rsidRDefault="002E7560">
      <w:pPr>
        <w:pStyle w:val="BodyText"/>
        <w:spacing w:before="101" w:line="252" w:lineRule="auto"/>
        <w:ind w:left="533" w:right="127" w:firstLine="283"/>
        <w:jc w:val="both"/>
      </w:pPr>
      <w:r>
        <w:rPr>
          <w:i/>
          <w:color w:val="231F20"/>
        </w:rPr>
        <w:t xml:space="preserve">Принцип невідворотності </w:t>
      </w:r>
      <w:r>
        <w:rPr>
          <w:color w:val="231F20"/>
        </w:rPr>
        <w:t>передбачає неминучість настання адміністративної відповідальності для особи, яка вчинила адмініст- ративний проступок.</w:t>
      </w:r>
    </w:p>
    <w:p w14:paraId="0B273680" w14:textId="77777777" w:rsidR="00DE575E" w:rsidRDefault="002E7560">
      <w:pPr>
        <w:pStyle w:val="BodyText"/>
        <w:spacing w:before="1" w:line="252" w:lineRule="auto"/>
        <w:ind w:left="533" w:right="127" w:firstLine="283"/>
        <w:jc w:val="both"/>
      </w:pPr>
      <w:r>
        <w:rPr>
          <w:i/>
          <w:color w:val="231F20"/>
        </w:rPr>
        <w:t xml:space="preserve">Принцип своєчасності </w:t>
      </w:r>
      <w:r>
        <w:rPr>
          <w:color w:val="231F20"/>
        </w:rPr>
        <w:t>адміністративної відповідальності озна- чає можливість притягнення правопорушника до відповідальності упродовж строку давності, тобто періоду часу, не занадто віддале- ного від факту правопорушення.</w:t>
      </w:r>
    </w:p>
    <w:p w14:paraId="7A6288D0" w14:textId="77777777" w:rsidR="00DE575E" w:rsidRDefault="002E7560">
      <w:pPr>
        <w:pStyle w:val="BodyText"/>
        <w:spacing w:before="2" w:line="252" w:lineRule="auto"/>
        <w:ind w:left="533" w:right="128" w:firstLine="283"/>
        <w:jc w:val="both"/>
      </w:pPr>
      <w:r>
        <w:rPr>
          <w:i/>
          <w:color w:val="231F20"/>
        </w:rPr>
        <w:t xml:space="preserve">Принцип справедливості </w:t>
      </w:r>
      <w:r>
        <w:rPr>
          <w:color w:val="231F20"/>
        </w:rPr>
        <w:t>виявляється в тому, що законодавец</w:t>
      </w:r>
      <w:r>
        <w:rPr>
          <w:color w:val="231F20"/>
        </w:rPr>
        <w:t>ь, передбачаючи санкцію за адміністративне правопорушення, має виходити зі ступеня суспільної небезпеки такого протиправного діяння.</w:t>
      </w:r>
    </w:p>
    <w:p w14:paraId="31279C3C" w14:textId="77777777" w:rsidR="00DE575E" w:rsidRDefault="002E7560">
      <w:pPr>
        <w:spacing w:before="2"/>
        <w:ind w:left="817"/>
        <w:rPr>
          <w:sz w:val="21"/>
        </w:rPr>
      </w:pPr>
      <w:r>
        <w:rPr>
          <w:i/>
          <w:color w:val="231F20"/>
          <w:sz w:val="21"/>
        </w:rPr>
        <w:t xml:space="preserve">Принцип гуманізму </w:t>
      </w:r>
      <w:r>
        <w:rPr>
          <w:color w:val="231F20"/>
          <w:sz w:val="21"/>
        </w:rPr>
        <w:t>полягає в повазі до гідності і прав особи.</w:t>
      </w:r>
    </w:p>
    <w:p w14:paraId="57A16943" w14:textId="77777777" w:rsidR="00DE575E" w:rsidRDefault="002E7560">
      <w:pPr>
        <w:spacing w:before="13" w:line="252" w:lineRule="auto"/>
        <w:ind w:left="533" w:right="128" w:firstLine="283"/>
        <w:jc w:val="both"/>
        <w:rPr>
          <w:sz w:val="21"/>
        </w:rPr>
      </w:pPr>
      <w:r>
        <w:rPr>
          <w:i/>
          <w:color w:val="231F20"/>
          <w:sz w:val="21"/>
        </w:rPr>
        <w:t xml:space="preserve">Принцип індивідуалізації покарання </w:t>
      </w:r>
      <w:r>
        <w:rPr>
          <w:color w:val="231F20"/>
          <w:sz w:val="21"/>
        </w:rPr>
        <w:t>вимагає відповідності між з</w:t>
      </w:r>
      <w:r>
        <w:rPr>
          <w:color w:val="231F20"/>
          <w:sz w:val="21"/>
        </w:rPr>
        <w:t>аходом впливу до правопорушника, що обирається, і ступенем суспільної небезпеки адміністративного проступку.</w:t>
      </w:r>
    </w:p>
    <w:p w14:paraId="66500368" w14:textId="77777777" w:rsidR="00DE575E" w:rsidRDefault="002E7560">
      <w:pPr>
        <w:pStyle w:val="BodyText"/>
        <w:spacing w:before="1" w:line="252" w:lineRule="auto"/>
        <w:ind w:left="533" w:right="127" w:firstLine="283"/>
        <w:jc w:val="both"/>
      </w:pPr>
      <w:r>
        <w:rPr>
          <w:i/>
          <w:color w:val="231F20"/>
        </w:rPr>
        <w:t xml:space="preserve">Відповідність провини та покарання </w:t>
      </w:r>
      <w:r>
        <w:rPr>
          <w:color w:val="231F20"/>
        </w:rPr>
        <w:t>вимагає, щоб у виборі конкретного</w:t>
      </w:r>
      <w:r>
        <w:rPr>
          <w:color w:val="231F20"/>
          <w:spacing w:val="-10"/>
        </w:rPr>
        <w:t xml:space="preserve"> </w:t>
      </w:r>
      <w:r>
        <w:rPr>
          <w:color w:val="231F20"/>
          <w:spacing w:val="-2"/>
        </w:rPr>
        <w:t>заходу</w:t>
      </w:r>
      <w:r>
        <w:rPr>
          <w:color w:val="231F20"/>
          <w:spacing w:val="-10"/>
        </w:rPr>
        <w:t xml:space="preserve"> </w:t>
      </w:r>
      <w:r>
        <w:rPr>
          <w:color w:val="231F20"/>
        </w:rPr>
        <w:t>адміністративного</w:t>
      </w:r>
      <w:r>
        <w:rPr>
          <w:color w:val="231F20"/>
          <w:spacing w:val="-10"/>
        </w:rPr>
        <w:t xml:space="preserve"> </w:t>
      </w:r>
      <w:r>
        <w:rPr>
          <w:color w:val="231F20"/>
        </w:rPr>
        <w:t>стягнення</w:t>
      </w:r>
      <w:r>
        <w:rPr>
          <w:color w:val="231F20"/>
          <w:spacing w:val="-11"/>
        </w:rPr>
        <w:t xml:space="preserve"> </w:t>
      </w:r>
      <w:r>
        <w:rPr>
          <w:color w:val="231F20"/>
        </w:rPr>
        <w:t>враховувалися</w:t>
      </w:r>
      <w:r>
        <w:rPr>
          <w:color w:val="231F20"/>
          <w:spacing w:val="-10"/>
        </w:rPr>
        <w:t xml:space="preserve"> </w:t>
      </w:r>
      <w:r>
        <w:rPr>
          <w:color w:val="231F20"/>
        </w:rPr>
        <w:t>всі обставини вчиненого правопорушення і особа</w:t>
      </w:r>
      <w:r>
        <w:rPr>
          <w:color w:val="231F20"/>
          <w:spacing w:val="-5"/>
        </w:rPr>
        <w:t xml:space="preserve"> </w:t>
      </w:r>
      <w:r>
        <w:rPr>
          <w:color w:val="231F20"/>
        </w:rPr>
        <w:t>порушника.</w:t>
      </w:r>
    </w:p>
    <w:p w14:paraId="269FA558" w14:textId="77777777" w:rsidR="00DE575E" w:rsidRDefault="00DE575E">
      <w:pPr>
        <w:pStyle w:val="BodyText"/>
        <w:rPr>
          <w:sz w:val="24"/>
        </w:rPr>
      </w:pPr>
    </w:p>
    <w:p w14:paraId="5596DE69" w14:textId="77777777" w:rsidR="00DE575E" w:rsidRDefault="00DE575E">
      <w:pPr>
        <w:pStyle w:val="BodyText"/>
        <w:spacing w:before="5"/>
        <w:rPr>
          <w:sz w:val="19"/>
        </w:rPr>
      </w:pPr>
    </w:p>
    <w:p w14:paraId="17DF39E3" w14:textId="77777777" w:rsidR="00DE575E" w:rsidRDefault="002E7560">
      <w:pPr>
        <w:pStyle w:val="Heading4"/>
        <w:ind w:left="1274" w:right="255" w:hanging="598"/>
      </w:pPr>
      <w:r>
        <w:rPr>
          <w:color w:val="231F20"/>
        </w:rPr>
        <w:t>1.4. Адміністративна відповідальність за правопорушення у сфері забезпечення безпеки дорожнього руху</w:t>
      </w:r>
    </w:p>
    <w:p w14:paraId="69BC87D6" w14:textId="77777777" w:rsidR="00DE575E" w:rsidRDefault="002E7560">
      <w:pPr>
        <w:ind w:left="1883" w:hanging="1051"/>
        <w:rPr>
          <w:b/>
        </w:rPr>
      </w:pPr>
      <w:r>
        <w:rPr>
          <w:b/>
          <w:color w:val="231F20"/>
        </w:rPr>
        <w:t>в разі їх фіксації працюючими в автоматичному режимі спеціальними технічними засобами</w:t>
      </w:r>
    </w:p>
    <w:p w14:paraId="00B41CCC" w14:textId="77777777" w:rsidR="00DE575E" w:rsidRDefault="00DE575E">
      <w:pPr>
        <w:pStyle w:val="BodyText"/>
        <w:rPr>
          <w:b/>
          <w:sz w:val="26"/>
        </w:rPr>
      </w:pPr>
    </w:p>
    <w:p w14:paraId="18C181D9" w14:textId="77777777" w:rsidR="00DE575E" w:rsidRDefault="002E7560">
      <w:pPr>
        <w:pStyle w:val="BodyText"/>
        <w:spacing w:before="224" w:line="252" w:lineRule="auto"/>
        <w:ind w:left="533" w:right="128" w:firstLine="283"/>
        <w:jc w:val="both"/>
      </w:pPr>
      <w:r>
        <w:rPr>
          <w:color w:val="231F20"/>
        </w:rPr>
        <w:t>Відповід</w:t>
      </w:r>
      <w:r>
        <w:rPr>
          <w:color w:val="231F20"/>
        </w:rPr>
        <w:t xml:space="preserve">альність за адміністративні правопорушення, пов’язані з порушенням правил дорожнього руху та правил, що забезпечують безпеку руху </w:t>
      </w:r>
      <w:r>
        <w:rPr>
          <w:color w:val="231F20"/>
          <w:spacing w:val="-3"/>
        </w:rPr>
        <w:t xml:space="preserve">транспорту, </w:t>
      </w:r>
      <w:r>
        <w:rPr>
          <w:color w:val="231F20"/>
        </w:rPr>
        <w:t xml:space="preserve">передбачена </w:t>
      </w:r>
      <w:r>
        <w:rPr>
          <w:color w:val="231F20"/>
          <w:spacing w:val="-3"/>
        </w:rPr>
        <w:t xml:space="preserve">главою </w:t>
      </w:r>
      <w:r>
        <w:rPr>
          <w:color w:val="231F20"/>
        </w:rPr>
        <w:t xml:space="preserve">10 </w:t>
      </w:r>
      <w:r>
        <w:rPr>
          <w:color w:val="231F20"/>
          <w:spacing w:val="-3"/>
        </w:rPr>
        <w:t xml:space="preserve">КУпАП </w:t>
      </w:r>
      <w:r>
        <w:rPr>
          <w:color w:val="231F20"/>
        </w:rPr>
        <w:t>(«Адміні- стративні</w:t>
      </w:r>
      <w:r>
        <w:rPr>
          <w:color w:val="231F20"/>
          <w:spacing w:val="-9"/>
        </w:rPr>
        <w:t xml:space="preserve"> </w:t>
      </w:r>
      <w:r>
        <w:rPr>
          <w:color w:val="231F20"/>
        </w:rPr>
        <w:t>правопорушення</w:t>
      </w:r>
      <w:r>
        <w:rPr>
          <w:color w:val="231F20"/>
          <w:spacing w:val="-9"/>
        </w:rPr>
        <w:t xml:space="preserve"> </w:t>
      </w:r>
      <w:r>
        <w:rPr>
          <w:color w:val="231F20"/>
        </w:rPr>
        <w:t>на</w:t>
      </w:r>
      <w:r>
        <w:rPr>
          <w:color w:val="231F20"/>
          <w:spacing w:val="-9"/>
        </w:rPr>
        <w:t xml:space="preserve"> </w:t>
      </w:r>
      <w:r>
        <w:rPr>
          <w:color w:val="231F20"/>
        </w:rPr>
        <w:t>транспорті,</w:t>
      </w:r>
      <w:r>
        <w:rPr>
          <w:color w:val="231F20"/>
          <w:spacing w:val="-9"/>
        </w:rPr>
        <w:t xml:space="preserve"> </w:t>
      </w:r>
      <w:r>
        <w:rPr>
          <w:color w:val="231F20"/>
        </w:rPr>
        <w:t>в</w:t>
      </w:r>
      <w:r>
        <w:rPr>
          <w:color w:val="231F20"/>
          <w:spacing w:val="-7"/>
        </w:rPr>
        <w:t xml:space="preserve"> </w:t>
      </w:r>
      <w:r>
        <w:rPr>
          <w:color w:val="231F20"/>
        </w:rPr>
        <w:t>галузі</w:t>
      </w:r>
      <w:r>
        <w:rPr>
          <w:color w:val="231F20"/>
          <w:spacing w:val="-9"/>
        </w:rPr>
        <w:t xml:space="preserve"> </w:t>
      </w:r>
      <w:r>
        <w:rPr>
          <w:color w:val="231F20"/>
        </w:rPr>
        <w:t>шляхового</w:t>
      </w:r>
      <w:r>
        <w:rPr>
          <w:color w:val="231F20"/>
          <w:spacing w:val="-9"/>
        </w:rPr>
        <w:t xml:space="preserve"> </w:t>
      </w:r>
      <w:r>
        <w:rPr>
          <w:color w:val="231F20"/>
        </w:rPr>
        <w:t xml:space="preserve">госпо- дарства і </w:t>
      </w:r>
      <w:r>
        <w:rPr>
          <w:color w:val="231F20"/>
        </w:rPr>
        <w:t xml:space="preserve">зв’язку» – </w:t>
      </w:r>
      <w:r>
        <w:rPr>
          <w:color w:val="231F20"/>
          <w:spacing w:val="-6"/>
        </w:rPr>
        <w:t xml:space="preserve">ст. ст. </w:t>
      </w:r>
      <w:r>
        <w:rPr>
          <w:color w:val="231F20"/>
        </w:rPr>
        <w:t>109-142</w:t>
      </w:r>
      <w:r>
        <w:rPr>
          <w:color w:val="231F20"/>
          <w:spacing w:val="1"/>
        </w:rPr>
        <w:t xml:space="preserve"> </w:t>
      </w:r>
      <w:r>
        <w:rPr>
          <w:color w:val="231F20"/>
        </w:rPr>
        <w:t>КУпАП).</w:t>
      </w:r>
    </w:p>
    <w:p w14:paraId="529F1D1A" w14:textId="77777777" w:rsidR="00DE575E" w:rsidRDefault="002E7560">
      <w:pPr>
        <w:pStyle w:val="BodyText"/>
        <w:spacing w:before="3" w:line="252" w:lineRule="auto"/>
        <w:ind w:left="533" w:right="128" w:firstLine="283"/>
        <w:jc w:val="both"/>
      </w:pPr>
      <w:r>
        <w:rPr>
          <w:color w:val="231F20"/>
        </w:rPr>
        <w:t>Ця група правопорушень досить велика і різноманітна, квалі- фікація окремих з них вимагає спеціальних знань, і тому правову оцінку таким правопорушенням, складання відповідних адміністра- тивно-процесуальних документів та</w:t>
      </w:r>
      <w:r>
        <w:rPr>
          <w:color w:val="231F20"/>
        </w:rPr>
        <w:t xml:space="preserve"> збір інших матеріалів у таких справах здійснюють уповноважені на те особи поліції.</w:t>
      </w:r>
    </w:p>
    <w:p w14:paraId="3D2C476C" w14:textId="77777777" w:rsidR="00DE575E" w:rsidRDefault="002E7560">
      <w:pPr>
        <w:pStyle w:val="BodyText"/>
        <w:spacing w:before="2" w:line="252" w:lineRule="auto"/>
        <w:ind w:left="533" w:right="128" w:firstLine="283"/>
        <w:jc w:val="both"/>
      </w:pPr>
      <w:r>
        <w:rPr>
          <w:color w:val="231F20"/>
        </w:rPr>
        <w:t>Порушників</w:t>
      </w:r>
      <w:r>
        <w:rPr>
          <w:color w:val="231F20"/>
          <w:spacing w:val="-8"/>
        </w:rPr>
        <w:t xml:space="preserve"> </w:t>
      </w:r>
      <w:r>
        <w:rPr>
          <w:color w:val="231F20"/>
        </w:rPr>
        <w:t>правил</w:t>
      </w:r>
      <w:r>
        <w:rPr>
          <w:color w:val="231F20"/>
          <w:spacing w:val="-8"/>
        </w:rPr>
        <w:t xml:space="preserve"> </w:t>
      </w:r>
      <w:r>
        <w:rPr>
          <w:color w:val="231F20"/>
        </w:rPr>
        <w:t>дорожнього</w:t>
      </w:r>
      <w:r>
        <w:rPr>
          <w:color w:val="231F20"/>
          <w:spacing w:val="-8"/>
        </w:rPr>
        <w:t xml:space="preserve"> </w:t>
      </w:r>
      <w:r>
        <w:rPr>
          <w:color w:val="231F20"/>
        </w:rPr>
        <w:t>руху</w:t>
      </w:r>
      <w:r>
        <w:rPr>
          <w:color w:val="231F20"/>
          <w:spacing w:val="-8"/>
        </w:rPr>
        <w:t xml:space="preserve"> </w:t>
      </w:r>
      <w:r>
        <w:rPr>
          <w:color w:val="231F20"/>
        </w:rPr>
        <w:t>слід</w:t>
      </w:r>
      <w:r>
        <w:rPr>
          <w:color w:val="231F20"/>
          <w:spacing w:val="-8"/>
        </w:rPr>
        <w:t xml:space="preserve"> </w:t>
      </w:r>
      <w:r>
        <w:rPr>
          <w:color w:val="231F20"/>
        </w:rPr>
        <w:t>класифікувати</w:t>
      </w:r>
      <w:r>
        <w:rPr>
          <w:color w:val="231F20"/>
          <w:spacing w:val="-8"/>
        </w:rPr>
        <w:t xml:space="preserve"> </w:t>
      </w:r>
      <w:r>
        <w:rPr>
          <w:color w:val="231F20"/>
        </w:rPr>
        <w:t>за</w:t>
      </w:r>
      <w:r>
        <w:rPr>
          <w:color w:val="231F20"/>
          <w:spacing w:val="-8"/>
        </w:rPr>
        <w:t xml:space="preserve"> </w:t>
      </w:r>
      <w:r>
        <w:rPr>
          <w:color w:val="231F20"/>
        </w:rPr>
        <w:t>кате- горіями: пішоходи і водії; водії, які мають право керування тран- спортними засобами, і водії, що такого права не мають;</w:t>
      </w:r>
      <w:r>
        <w:rPr>
          <w:color w:val="231F20"/>
          <w:spacing w:val="7"/>
        </w:rPr>
        <w:t xml:space="preserve"> </w:t>
      </w:r>
      <w:r>
        <w:rPr>
          <w:color w:val="231F20"/>
        </w:rPr>
        <w:t>мотоци-</w:t>
      </w:r>
    </w:p>
    <w:p w14:paraId="66BCDBA4" w14:textId="77777777" w:rsidR="00DE575E" w:rsidRDefault="00DE575E">
      <w:pPr>
        <w:pStyle w:val="BodyText"/>
        <w:spacing w:before="10"/>
        <w:rPr>
          <w:sz w:val="12"/>
        </w:rPr>
      </w:pPr>
    </w:p>
    <w:p w14:paraId="76430182" w14:textId="77777777" w:rsidR="00DE575E" w:rsidRDefault="002E7560">
      <w:pPr>
        <w:spacing w:before="92"/>
        <w:ind w:left="533"/>
        <w:rPr>
          <w:rFonts w:ascii="Times New Roman"/>
          <w:sz w:val="20"/>
        </w:rPr>
      </w:pPr>
      <w:r>
        <w:rPr>
          <w:rFonts w:ascii="Times New Roman"/>
          <w:color w:val="231F20"/>
          <w:sz w:val="20"/>
        </w:rPr>
        <w:t>474</w:t>
      </w:r>
    </w:p>
    <w:p w14:paraId="039DDDC1" w14:textId="77777777" w:rsidR="00DE575E" w:rsidRDefault="00DE575E">
      <w:pPr>
        <w:rPr>
          <w:rFonts w:ascii="Times New Roman"/>
          <w:sz w:val="20"/>
        </w:rPr>
        <w:sectPr w:rsidR="00DE575E">
          <w:pgSz w:w="8510" w:h="12760"/>
          <w:pgMar w:top="660" w:right="720" w:bottom="280" w:left="600" w:header="720" w:footer="720" w:gutter="0"/>
          <w:cols w:space="720"/>
        </w:sectPr>
      </w:pPr>
    </w:p>
    <w:p w14:paraId="5A50DC99"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Адміністративна відповідальність як вид юр</w:t>
      </w:r>
      <w:r>
        <w:rPr>
          <w:rFonts w:ascii="AdonisC" w:hAnsi="AdonisC"/>
          <w:i/>
          <w:color w:val="231F20"/>
          <w:sz w:val="18"/>
        </w:rPr>
        <w:t>идичної відповідальності</w:t>
      </w:r>
    </w:p>
    <w:p w14:paraId="6B2BCF38" w14:textId="299CE6D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851F1AD" wp14:editId="08C93257">
                <wp:extent cx="4140200" cy="6350"/>
                <wp:effectExtent l="0" t="0" r="12700" b="6350"/>
                <wp:docPr id="21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20" name="Line 21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8CC4E8" id="Group_x0020_21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Wsx9l/AgAAmAUAAA4A&#10;AAAAAAAAAAAAAAAALAIAAGRycy9lMm9Eb2MueG1sUEsBAi0AFAAGAAgAAAAhAEynsJDZAAAAAwEA&#10;AA8AAAAAAAAAAAAAAAAA1wQAAGRycy9kb3ducmV2LnhtbFBLBQYAAAAABAAEAPMAAADdBQAAAAA=&#10;">
                <v:line id="Line_x0020_21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R0acIAAADcAAAADwAAAGRycy9kb3ducmV2LnhtbERP3WrCMBS+H/gO4QjeDE1XYUg1igjC&#10;8EI36wMcm2NbTE5qE2316ZeLwS4/vv/FqrdGPKj1tWMFH5MEBHHhdM2lglO+Hc9A+ICs0TgmBU/y&#10;sFoO3haYadfxDz2OoRQxhH2GCqoQmkxKX1Rk0U9cQxy5i2sthgjbUuoWuxhujUyT5FNarDk2VNjQ&#10;pqLierxbBfntPZjvw850+eE8lefbfvq675UaDfv1HESgPvyL/9xfWkGaxvnxTDw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xR0acIAAADcAAAADwAAAAAAAAAAAAAA&#10;AAChAgAAZHJzL2Rvd25yZXYueG1sUEsFBgAAAAAEAAQA+QAAAJADAAAAAA==&#10;" strokecolor="#231f20" strokeweight=".5pt"/>
                <w10:anchorlock/>
              </v:group>
            </w:pict>
          </mc:Fallback>
        </mc:AlternateContent>
      </w:r>
    </w:p>
    <w:p w14:paraId="0AB977EE" w14:textId="77777777" w:rsidR="00DE575E" w:rsidRDefault="00DE575E">
      <w:pPr>
        <w:pStyle w:val="BodyText"/>
        <w:spacing w:before="7"/>
        <w:rPr>
          <w:rFonts w:ascii="AdonisC"/>
          <w:i/>
          <w:sz w:val="19"/>
        </w:rPr>
      </w:pPr>
    </w:p>
    <w:p w14:paraId="083A9E2F" w14:textId="77777777" w:rsidR="00DE575E" w:rsidRDefault="002E7560">
      <w:pPr>
        <w:pStyle w:val="BodyText"/>
        <w:spacing w:before="1" w:line="252" w:lineRule="auto"/>
        <w:ind w:left="250" w:right="410"/>
        <w:jc w:val="both"/>
      </w:pPr>
      <w:r>
        <w:rPr>
          <w:color w:val="231F20"/>
        </w:rPr>
        <w:t>клісти;</w:t>
      </w:r>
      <w:r>
        <w:rPr>
          <w:color w:val="231F20"/>
          <w:spacing w:val="-10"/>
        </w:rPr>
        <w:t xml:space="preserve"> </w:t>
      </w:r>
      <w:r>
        <w:rPr>
          <w:color w:val="231F20"/>
        </w:rPr>
        <w:t>велосипедисти;</w:t>
      </w:r>
      <w:r>
        <w:rPr>
          <w:color w:val="231F20"/>
          <w:spacing w:val="-10"/>
        </w:rPr>
        <w:t xml:space="preserve"> </w:t>
      </w:r>
      <w:r>
        <w:rPr>
          <w:color w:val="231F20"/>
        </w:rPr>
        <w:t>погоничі</w:t>
      </w:r>
      <w:r>
        <w:rPr>
          <w:color w:val="231F20"/>
          <w:spacing w:val="-10"/>
        </w:rPr>
        <w:t xml:space="preserve"> </w:t>
      </w:r>
      <w:r>
        <w:rPr>
          <w:color w:val="231F20"/>
        </w:rPr>
        <w:t>тварин;</w:t>
      </w:r>
      <w:r>
        <w:rPr>
          <w:color w:val="231F20"/>
          <w:spacing w:val="-10"/>
        </w:rPr>
        <w:t xml:space="preserve"> </w:t>
      </w:r>
      <w:r>
        <w:rPr>
          <w:color w:val="231F20"/>
        </w:rPr>
        <w:t>особи</w:t>
      </w:r>
      <w:r>
        <w:rPr>
          <w:color w:val="231F20"/>
          <w:spacing w:val="-10"/>
        </w:rPr>
        <w:t xml:space="preserve"> </w:t>
      </w:r>
      <w:r>
        <w:rPr>
          <w:color w:val="231F20"/>
        </w:rPr>
        <w:t>які</w:t>
      </w:r>
      <w:r>
        <w:rPr>
          <w:color w:val="231F20"/>
          <w:spacing w:val="-10"/>
        </w:rPr>
        <w:t xml:space="preserve"> </w:t>
      </w:r>
      <w:r>
        <w:rPr>
          <w:color w:val="231F20"/>
        </w:rPr>
        <w:t>керують</w:t>
      </w:r>
      <w:r>
        <w:rPr>
          <w:color w:val="231F20"/>
          <w:spacing w:val="-10"/>
        </w:rPr>
        <w:t xml:space="preserve"> </w:t>
      </w:r>
      <w:r>
        <w:rPr>
          <w:color w:val="231F20"/>
        </w:rPr>
        <w:t>гужовим транспортом; неповнолітні (особи від шістнадцяти до вісімнадцяти років) і дорослі</w:t>
      </w:r>
      <w:r>
        <w:rPr>
          <w:color w:val="231F20"/>
          <w:spacing w:val="-4"/>
        </w:rPr>
        <w:t xml:space="preserve"> </w:t>
      </w:r>
      <w:r>
        <w:rPr>
          <w:color w:val="231F20"/>
        </w:rPr>
        <w:t>тощо.</w:t>
      </w:r>
    </w:p>
    <w:p w14:paraId="4BD337CE" w14:textId="77777777" w:rsidR="00DE575E" w:rsidRDefault="002E7560">
      <w:pPr>
        <w:pStyle w:val="BodyText"/>
        <w:spacing w:before="1" w:line="252" w:lineRule="auto"/>
        <w:ind w:left="250" w:right="411" w:firstLine="283"/>
        <w:jc w:val="both"/>
      </w:pPr>
      <w:r>
        <w:rPr>
          <w:color w:val="231F20"/>
        </w:rPr>
        <w:t>Відповідно до чинного законодавства під транспортними засо- бами розуміються всі види автомобілів, мотоцикли, велосипеди трактори та інші самохідні машини, трамваї, тролейбуси, гужові вози (сани), а також інші транспортні засоби і причепи.</w:t>
      </w:r>
    </w:p>
    <w:p w14:paraId="0110C5A9" w14:textId="77777777" w:rsidR="00DE575E" w:rsidRDefault="002E7560">
      <w:pPr>
        <w:pStyle w:val="BodyText"/>
        <w:spacing w:before="2" w:line="252" w:lineRule="auto"/>
        <w:ind w:left="250" w:right="408" w:firstLine="283"/>
        <w:jc w:val="both"/>
      </w:pPr>
      <w:r>
        <w:rPr>
          <w:color w:val="231F20"/>
        </w:rPr>
        <w:t>Серед різних пор</w:t>
      </w:r>
      <w:r>
        <w:rPr>
          <w:color w:val="231F20"/>
        </w:rPr>
        <w:t xml:space="preserve">ушень водіями правил дорожнього руху найбільш поширеними є порушення правил експлуатації тран- спортних засобів; перевищення швидкості руху, невиконання сигналів регулювання, порушення правил обгону та правил пере- везення людей; невиконання водіями вимог </w:t>
      </w:r>
      <w:r>
        <w:rPr>
          <w:color w:val="231F20"/>
        </w:rPr>
        <w:t xml:space="preserve">про зупинку, зали- шення місця дорожньо-транспортної пригоди; перешкоджання проведенню огляду транспортних засобів; порушення правил проїзду залізничних переїздів; керування транспортними засо- бами особами, які перебувають у стані алкогольного, наркотич- </w:t>
      </w:r>
      <w:r>
        <w:rPr>
          <w:color w:val="231F20"/>
        </w:rPr>
        <w:t>ного чи іншого сп’яніння; ненадання транспортних засобів полі- цейським і медичним працівникам у невідкладних випадках – для доставляння до найближчого лікувального закладу осіб, які потре- бують негайної медичної допомоги; для виконання службових обов’язк</w:t>
      </w:r>
      <w:r>
        <w:rPr>
          <w:color w:val="231F20"/>
        </w:rPr>
        <w:t>ів, пов’язаних із переслідування правопорушників, достав- ленням їх до органів поліції та для транспортування пошкоджених транспортних засобів.</w:t>
      </w:r>
    </w:p>
    <w:p w14:paraId="7B7BA67A" w14:textId="77777777" w:rsidR="00DE575E" w:rsidRDefault="002E7560">
      <w:pPr>
        <w:spacing w:before="8"/>
        <w:ind w:left="533"/>
        <w:rPr>
          <w:i/>
          <w:sz w:val="21"/>
        </w:rPr>
      </w:pPr>
      <w:r>
        <w:rPr>
          <w:i/>
          <w:color w:val="231F20"/>
          <w:sz w:val="21"/>
        </w:rPr>
        <w:t>Серед особливостей цієї групи правопорушень слід виділити такі:</w:t>
      </w:r>
    </w:p>
    <w:p w14:paraId="51AE9E77" w14:textId="77777777" w:rsidR="00DE575E" w:rsidRDefault="002E7560">
      <w:pPr>
        <w:pStyle w:val="ListParagraph"/>
        <w:numPr>
          <w:ilvl w:val="0"/>
          <w:numId w:val="51"/>
        </w:numPr>
        <w:tabs>
          <w:tab w:val="left" w:pos="818"/>
        </w:tabs>
        <w:spacing w:before="13" w:line="252" w:lineRule="auto"/>
        <w:ind w:right="411" w:firstLine="283"/>
        <w:rPr>
          <w:sz w:val="21"/>
        </w:rPr>
      </w:pPr>
      <w:r>
        <w:rPr>
          <w:color w:val="231F20"/>
          <w:sz w:val="21"/>
        </w:rPr>
        <w:t>здебільшого диспозиції статей є бланкетними (відсилають до інших нормативно-правових актів, частіше до Правил дорожнього руху);</w:t>
      </w:r>
    </w:p>
    <w:p w14:paraId="33022242" w14:textId="77777777" w:rsidR="00DE575E" w:rsidRDefault="002E7560">
      <w:pPr>
        <w:pStyle w:val="ListParagraph"/>
        <w:numPr>
          <w:ilvl w:val="0"/>
          <w:numId w:val="51"/>
        </w:numPr>
        <w:tabs>
          <w:tab w:val="left" w:pos="818"/>
        </w:tabs>
        <w:spacing w:line="252" w:lineRule="auto"/>
        <w:ind w:right="410" w:firstLine="283"/>
        <w:rPr>
          <w:sz w:val="21"/>
        </w:rPr>
      </w:pPr>
      <w:r>
        <w:rPr>
          <w:color w:val="231F20"/>
          <w:sz w:val="21"/>
        </w:rPr>
        <w:t>переважно застосовуються безальтернативні санкції (сума штрафу є</w:t>
      </w:r>
      <w:r>
        <w:rPr>
          <w:color w:val="231F20"/>
          <w:spacing w:val="-3"/>
          <w:sz w:val="21"/>
        </w:rPr>
        <w:t xml:space="preserve"> </w:t>
      </w:r>
      <w:r>
        <w:rPr>
          <w:color w:val="231F20"/>
          <w:sz w:val="21"/>
        </w:rPr>
        <w:t>фіксованою);</w:t>
      </w:r>
    </w:p>
    <w:p w14:paraId="73E90E72" w14:textId="77777777" w:rsidR="00DE575E" w:rsidRDefault="002E7560">
      <w:pPr>
        <w:pStyle w:val="ListParagraph"/>
        <w:numPr>
          <w:ilvl w:val="0"/>
          <w:numId w:val="51"/>
        </w:numPr>
        <w:tabs>
          <w:tab w:val="left" w:pos="818"/>
        </w:tabs>
        <w:spacing w:line="252" w:lineRule="auto"/>
        <w:ind w:right="412" w:firstLine="283"/>
        <w:rPr>
          <w:sz w:val="21"/>
        </w:rPr>
      </w:pPr>
      <w:r>
        <w:rPr>
          <w:color w:val="231F20"/>
          <w:sz w:val="21"/>
        </w:rPr>
        <w:t>передбачено застосування особливого виду стягнення</w:t>
      </w:r>
      <w:r>
        <w:rPr>
          <w:color w:val="231F20"/>
          <w:sz w:val="21"/>
        </w:rPr>
        <w:t xml:space="preserve"> – штрафні</w:t>
      </w:r>
      <w:r>
        <w:rPr>
          <w:color w:val="231F20"/>
          <w:spacing w:val="-2"/>
          <w:sz w:val="21"/>
        </w:rPr>
        <w:t xml:space="preserve"> </w:t>
      </w:r>
      <w:r>
        <w:rPr>
          <w:color w:val="231F20"/>
          <w:sz w:val="21"/>
        </w:rPr>
        <w:t>бали;</w:t>
      </w:r>
    </w:p>
    <w:p w14:paraId="4EDC2EC3" w14:textId="77777777" w:rsidR="00DE575E" w:rsidRDefault="002E7560">
      <w:pPr>
        <w:pStyle w:val="ListParagraph"/>
        <w:numPr>
          <w:ilvl w:val="0"/>
          <w:numId w:val="51"/>
        </w:numPr>
        <w:tabs>
          <w:tab w:val="left" w:pos="818"/>
        </w:tabs>
        <w:spacing w:line="252" w:lineRule="auto"/>
        <w:ind w:right="411" w:firstLine="283"/>
        <w:rPr>
          <w:sz w:val="21"/>
        </w:rPr>
      </w:pPr>
      <w:r>
        <w:rPr>
          <w:color w:val="231F20"/>
          <w:sz w:val="21"/>
        </w:rPr>
        <w:t>превалює застосування скороченого провадження (без скла- дання протоколу про адміністративне</w:t>
      </w:r>
      <w:r>
        <w:rPr>
          <w:color w:val="231F20"/>
          <w:spacing w:val="-7"/>
          <w:sz w:val="21"/>
        </w:rPr>
        <w:t xml:space="preserve"> </w:t>
      </w:r>
      <w:r>
        <w:rPr>
          <w:color w:val="231F20"/>
          <w:sz w:val="21"/>
        </w:rPr>
        <w:t>правопорушення);</w:t>
      </w:r>
    </w:p>
    <w:p w14:paraId="6FFAD8B6" w14:textId="77777777" w:rsidR="00DE575E" w:rsidRDefault="002E7560">
      <w:pPr>
        <w:pStyle w:val="ListParagraph"/>
        <w:numPr>
          <w:ilvl w:val="0"/>
          <w:numId w:val="51"/>
        </w:numPr>
        <w:tabs>
          <w:tab w:val="left" w:pos="818"/>
        </w:tabs>
        <w:spacing w:line="252" w:lineRule="auto"/>
        <w:ind w:right="411" w:firstLine="283"/>
        <w:rPr>
          <w:sz w:val="21"/>
        </w:rPr>
      </w:pPr>
      <w:r>
        <w:rPr>
          <w:color w:val="231F20"/>
          <w:sz w:val="21"/>
        </w:rPr>
        <w:t>існує можливість притягнення до адміністративної відпові- дальності юридичних</w:t>
      </w:r>
      <w:r>
        <w:rPr>
          <w:color w:val="231F20"/>
          <w:spacing w:val="-3"/>
          <w:sz w:val="21"/>
        </w:rPr>
        <w:t xml:space="preserve"> </w:t>
      </w:r>
      <w:r>
        <w:rPr>
          <w:color w:val="231F20"/>
          <w:sz w:val="21"/>
        </w:rPr>
        <w:t>осіб;</w:t>
      </w:r>
    </w:p>
    <w:p w14:paraId="0558B136" w14:textId="77777777" w:rsidR="00DE575E" w:rsidRDefault="002E7560">
      <w:pPr>
        <w:pStyle w:val="ListParagraph"/>
        <w:numPr>
          <w:ilvl w:val="0"/>
          <w:numId w:val="51"/>
        </w:numPr>
        <w:tabs>
          <w:tab w:val="left" w:pos="818"/>
        </w:tabs>
        <w:spacing w:line="252" w:lineRule="auto"/>
        <w:ind w:right="410" w:firstLine="283"/>
        <w:rPr>
          <w:sz w:val="21"/>
        </w:rPr>
      </w:pPr>
      <w:r>
        <w:rPr>
          <w:color w:val="231F20"/>
          <w:sz w:val="21"/>
        </w:rPr>
        <w:t>передбачено застосування автоматичного режиму</w:t>
      </w:r>
      <w:r>
        <w:rPr>
          <w:color w:val="231F20"/>
          <w:sz w:val="21"/>
        </w:rPr>
        <w:t xml:space="preserve"> фіксації правопорушень;</w:t>
      </w:r>
    </w:p>
    <w:p w14:paraId="36931818" w14:textId="77777777" w:rsidR="00DE575E" w:rsidRDefault="002E7560">
      <w:pPr>
        <w:pStyle w:val="ListParagraph"/>
        <w:numPr>
          <w:ilvl w:val="0"/>
          <w:numId w:val="51"/>
        </w:numPr>
        <w:tabs>
          <w:tab w:val="left" w:pos="818"/>
        </w:tabs>
        <w:spacing w:line="252" w:lineRule="auto"/>
        <w:ind w:right="412" w:firstLine="283"/>
        <w:rPr>
          <w:sz w:val="21"/>
        </w:rPr>
      </w:pPr>
      <w:r>
        <w:rPr>
          <w:color w:val="231F20"/>
          <w:sz w:val="21"/>
        </w:rPr>
        <w:t>використовується електронна форма постанови у справі про адміністративне</w:t>
      </w:r>
      <w:r>
        <w:rPr>
          <w:color w:val="231F20"/>
          <w:spacing w:val="-2"/>
          <w:sz w:val="21"/>
        </w:rPr>
        <w:t xml:space="preserve"> </w:t>
      </w:r>
      <w:r>
        <w:rPr>
          <w:color w:val="231F20"/>
          <w:sz w:val="21"/>
        </w:rPr>
        <w:t>правопорушення;</w:t>
      </w:r>
    </w:p>
    <w:p w14:paraId="44102264" w14:textId="77777777" w:rsidR="00DE575E" w:rsidRDefault="00DE575E">
      <w:pPr>
        <w:pStyle w:val="BodyText"/>
        <w:spacing w:before="6"/>
        <w:rPr>
          <w:sz w:val="12"/>
        </w:rPr>
      </w:pPr>
    </w:p>
    <w:p w14:paraId="3A042FB8" w14:textId="77777777" w:rsidR="00DE575E" w:rsidRDefault="002E7560">
      <w:pPr>
        <w:spacing w:before="91"/>
        <w:ind w:right="411"/>
        <w:jc w:val="right"/>
        <w:rPr>
          <w:rFonts w:ascii="Times New Roman"/>
          <w:sz w:val="20"/>
        </w:rPr>
      </w:pPr>
      <w:r>
        <w:rPr>
          <w:rFonts w:ascii="Times New Roman"/>
          <w:color w:val="231F20"/>
          <w:w w:val="90"/>
          <w:sz w:val="20"/>
        </w:rPr>
        <w:t>475</w:t>
      </w:r>
    </w:p>
    <w:p w14:paraId="4DA7741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C1CA24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18AE339" w14:textId="5559A4B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F1841CB" wp14:editId="23281FD3">
                <wp:extent cx="4140200" cy="6350"/>
                <wp:effectExtent l="0" t="0" r="12700" b="6350"/>
                <wp:docPr id="21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18" name="Line 2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CA333F" id="Group_x0020_2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BOf0Z0gAIAAJgFAAAO&#10;AAAAAAAAAAAAAAAAACwCAABkcnMvZTJvRG9jLnhtbFBLAQItABQABgAIAAAAIQBMp7CQ2QAAAAMB&#10;AAAPAAAAAAAAAAAAAAAAANgEAABkcnMvZG93bnJldi54bWxQSwUGAAAAAAQABADzAAAA3gUAAAAA&#10;">
                <v:line id="Line_x0020_2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6y0sIAAADcAAAADwAAAGRycy9kb3ducmV2LnhtbERPzYrCMBC+L/gOYQQvy5qqsEjXKCII&#10;4kFd6wOMzWxbNpnUJtrq05uD4PHj+58tOmvEjRpfOVYwGiYgiHOnKy4UnLL11xSED8gajWNScCcP&#10;i3nvY4apdi3/0u0YChFD2KeooAyhTqX0eUkW/dDVxJH7c43FEGFTSN1gG8OtkeMk+ZYWK44NJda0&#10;Kin/P16tguzyGcxhvzVttj9P5PmymzyuO6UG/W75AyJQF97il3ujFYxHcW08E4+AnD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w6y0sIAAADcAAAADwAAAAAAAAAAAAAA&#10;AAChAgAAZHJzL2Rvd25yZXYueG1sUEsFBgAAAAAEAAQA+QAAAJADAAAAAA==&#10;" strokecolor="#231f20" strokeweight=".5pt"/>
                <w10:anchorlock/>
              </v:group>
            </w:pict>
          </mc:Fallback>
        </mc:AlternateContent>
      </w:r>
    </w:p>
    <w:p w14:paraId="283BE297" w14:textId="77777777" w:rsidR="00DE575E" w:rsidRDefault="00DE575E">
      <w:pPr>
        <w:pStyle w:val="BodyText"/>
        <w:spacing w:before="7"/>
        <w:rPr>
          <w:rFonts w:ascii="AdonisC"/>
          <w:i/>
          <w:sz w:val="11"/>
        </w:rPr>
      </w:pPr>
    </w:p>
    <w:p w14:paraId="1C708F61" w14:textId="77777777" w:rsidR="00DE575E" w:rsidRDefault="002E7560">
      <w:pPr>
        <w:pStyle w:val="ListParagraph"/>
        <w:numPr>
          <w:ilvl w:val="0"/>
          <w:numId w:val="32"/>
        </w:numPr>
        <w:tabs>
          <w:tab w:val="left" w:pos="1101"/>
        </w:tabs>
        <w:spacing w:before="101" w:line="252" w:lineRule="auto"/>
        <w:ind w:right="128" w:firstLine="284"/>
        <w:rPr>
          <w:sz w:val="21"/>
        </w:rPr>
      </w:pPr>
      <w:r>
        <w:rPr>
          <w:color w:val="231F20"/>
          <w:sz w:val="21"/>
        </w:rPr>
        <w:t>постанова у справі набуває чинності з моменту отримання правопорушником її</w:t>
      </w:r>
      <w:r>
        <w:rPr>
          <w:color w:val="231F20"/>
          <w:spacing w:val="-1"/>
          <w:sz w:val="21"/>
        </w:rPr>
        <w:t xml:space="preserve"> </w:t>
      </w:r>
      <w:r>
        <w:rPr>
          <w:color w:val="231F20"/>
          <w:sz w:val="21"/>
        </w:rPr>
        <w:t>копії;</w:t>
      </w:r>
    </w:p>
    <w:p w14:paraId="25392B85" w14:textId="77777777" w:rsidR="00DE575E" w:rsidRDefault="002E7560">
      <w:pPr>
        <w:pStyle w:val="ListParagraph"/>
        <w:numPr>
          <w:ilvl w:val="0"/>
          <w:numId w:val="32"/>
        </w:numPr>
        <w:tabs>
          <w:tab w:val="left" w:pos="1101"/>
        </w:tabs>
        <w:spacing w:line="252" w:lineRule="auto"/>
        <w:ind w:right="126" w:firstLine="284"/>
        <w:rPr>
          <w:sz w:val="21"/>
        </w:rPr>
      </w:pPr>
      <w:r>
        <w:rPr>
          <w:color w:val="231F20"/>
          <w:sz w:val="21"/>
        </w:rPr>
        <w:t>передбачена</w:t>
      </w:r>
      <w:r>
        <w:rPr>
          <w:color w:val="231F20"/>
          <w:spacing w:val="-21"/>
          <w:sz w:val="21"/>
        </w:rPr>
        <w:t xml:space="preserve"> </w:t>
      </w:r>
      <w:r>
        <w:rPr>
          <w:color w:val="231F20"/>
          <w:sz w:val="21"/>
        </w:rPr>
        <w:t>можливість</w:t>
      </w:r>
      <w:r>
        <w:rPr>
          <w:color w:val="231F20"/>
          <w:spacing w:val="-21"/>
          <w:sz w:val="21"/>
        </w:rPr>
        <w:t xml:space="preserve"> </w:t>
      </w:r>
      <w:r>
        <w:rPr>
          <w:color w:val="231F20"/>
          <w:sz w:val="21"/>
        </w:rPr>
        <w:t>стягування</w:t>
      </w:r>
      <w:r>
        <w:rPr>
          <w:color w:val="231F20"/>
          <w:spacing w:val="-21"/>
          <w:sz w:val="21"/>
        </w:rPr>
        <w:t xml:space="preserve"> </w:t>
      </w:r>
      <w:r>
        <w:rPr>
          <w:color w:val="231F20"/>
          <w:sz w:val="21"/>
        </w:rPr>
        <w:t>штрафу</w:t>
      </w:r>
      <w:r>
        <w:rPr>
          <w:color w:val="231F20"/>
          <w:spacing w:val="-21"/>
          <w:sz w:val="21"/>
        </w:rPr>
        <w:t xml:space="preserve"> </w:t>
      </w:r>
      <w:r>
        <w:rPr>
          <w:color w:val="231F20"/>
          <w:sz w:val="21"/>
        </w:rPr>
        <w:t>на</w:t>
      </w:r>
      <w:r>
        <w:rPr>
          <w:color w:val="231F20"/>
          <w:spacing w:val="-21"/>
          <w:sz w:val="21"/>
        </w:rPr>
        <w:t xml:space="preserve"> </w:t>
      </w:r>
      <w:r>
        <w:rPr>
          <w:color w:val="231F20"/>
          <w:sz w:val="21"/>
        </w:rPr>
        <w:t>місці</w:t>
      </w:r>
      <w:r>
        <w:rPr>
          <w:color w:val="231F20"/>
          <w:spacing w:val="-21"/>
          <w:sz w:val="21"/>
        </w:rPr>
        <w:t xml:space="preserve"> </w:t>
      </w:r>
      <w:r>
        <w:rPr>
          <w:color w:val="231F20"/>
          <w:sz w:val="21"/>
        </w:rPr>
        <w:t>вчинення адміністративного правопорушення незалежно від розміру виключно за допомогою безготівкових платіжних</w:t>
      </w:r>
      <w:r>
        <w:rPr>
          <w:color w:val="231F20"/>
          <w:spacing w:val="-9"/>
          <w:sz w:val="21"/>
        </w:rPr>
        <w:t xml:space="preserve"> </w:t>
      </w:r>
      <w:r>
        <w:rPr>
          <w:color w:val="231F20"/>
          <w:sz w:val="21"/>
        </w:rPr>
        <w:t>пристроїв;</w:t>
      </w:r>
    </w:p>
    <w:p w14:paraId="1D475866" w14:textId="77777777" w:rsidR="00DE575E" w:rsidRDefault="002E7560">
      <w:pPr>
        <w:pStyle w:val="ListParagraph"/>
        <w:numPr>
          <w:ilvl w:val="0"/>
          <w:numId w:val="32"/>
        </w:numPr>
        <w:tabs>
          <w:tab w:val="left" w:pos="1101"/>
        </w:tabs>
        <w:ind w:firstLine="284"/>
        <w:jc w:val="left"/>
        <w:rPr>
          <w:sz w:val="21"/>
        </w:rPr>
      </w:pPr>
      <w:r>
        <w:rPr>
          <w:color w:val="231F20"/>
          <w:spacing w:val="-3"/>
          <w:sz w:val="21"/>
        </w:rPr>
        <w:t xml:space="preserve">розгляд </w:t>
      </w:r>
      <w:r>
        <w:rPr>
          <w:color w:val="231F20"/>
          <w:sz w:val="21"/>
        </w:rPr>
        <w:t>справ здійснюється на місці</w:t>
      </w:r>
      <w:r>
        <w:rPr>
          <w:color w:val="231F20"/>
          <w:spacing w:val="-2"/>
          <w:sz w:val="21"/>
        </w:rPr>
        <w:t xml:space="preserve"> </w:t>
      </w:r>
      <w:r>
        <w:rPr>
          <w:color w:val="231F20"/>
          <w:sz w:val="21"/>
        </w:rPr>
        <w:t>правопорушення;</w:t>
      </w:r>
    </w:p>
    <w:p w14:paraId="5516F4AE" w14:textId="77777777" w:rsidR="00DE575E" w:rsidRDefault="002E7560">
      <w:pPr>
        <w:pStyle w:val="ListParagraph"/>
        <w:numPr>
          <w:ilvl w:val="0"/>
          <w:numId w:val="32"/>
        </w:numPr>
        <w:tabs>
          <w:tab w:val="left" w:pos="1101"/>
        </w:tabs>
        <w:spacing w:before="13" w:line="252" w:lineRule="auto"/>
        <w:ind w:right="127" w:firstLine="284"/>
        <w:rPr>
          <w:sz w:val="21"/>
        </w:rPr>
      </w:pPr>
      <w:r>
        <w:rPr>
          <w:color w:val="231F20"/>
          <w:sz w:val="21"/>
        </w:rPr>
        <w:t>можливе застосування особливих заходів забезпечення провадження у справах про адмін</w:t>
      </w:r>
      <w:r>
        <w:rPr>
          <w:color w:val="231F20"/>
          <w:sz w:val="21"/>
        </w:rPr>
        <w:t xml:space="preserve">істративні правопорушення (відсторонення водія від керування, </w:t>
      </w:r>
      <w:r>
        <w:rPr>
          <w:color w:val="231F20"/>
          <w:spacing w:val="-3"/>
          <w:sz w:val="21"/>
        </w:rPr>
        <w:t xml:space="preserve">огляд </w:t>
      </w:r>
      <w:r>
        <w:rPr>
          <w:color w:val="231F20"/>
          <w:sz w:val="21"/>
        </w:rPr>
        <w:t>на стан сп’яніння, тимча- сове затримання транспортного засобу</w:t>
      </w:r>
      <w:r>
        <w:rPr>
          <w:color w:val="231F20"/>
          <w:spacing w:val="-6"/>
          <w:sz w:val="21"/>
        </w:rPr>
        <w:t xml:space="preserve"> </w:t>
      </w:r>
      <w:r>
        <w:rPr>
          <w:color w:val="231F20"/>
          <w:sz w:val="21"/>
        </w:rPr>
        <w:t>тощо);</w:t>
      </w:r>
    </w:p>
    <w:p w14:paraId="6CB596D1" w14:textId="77777777" w:rsidR="00DE575E" w:rsidRDefault="002E7560">
      <w:pPr>
        <w:pStyle w:val="ListParagraph"/>
        <w:numPr>
          <w:ilvl w:val="0"/>
          <w:numId w:val="32"/>
        </w:numPr>
        <w:tabs>
          <w:tab w:val="left" w:pos="1101"/>
        </w:tabs>
        <w:spacing w:before="2" w:line="252" w:lineRule="auto"/>
        <w:ind w:right="127" w:firstLine="284"/>
        <w:rPr>
          <w:sz w:val="21"/>
        </w:rPr>
      </w:pPr>
      <w:r>
        <w:rPr>
          <w:color w:val="231F20"/>
          <w:sz w:val="21"/>
        </w:rPr>
        <w:t>неповнолітні, військовослужбовці та інші особи, на яких поширюється дія дисциплінарних статутів, несуть відповідальніс</w:t>
      </w:r>
      <w:r>
        <w:rPr>
          <w:color w:val="231F20"/>
          <w:sz w:val="21"/>
        </w:rPr>
        <w:t>ть на загальних</w:t>
      </w:r>
      <w:r>
        <w:rPr>
          <w:color w:val="231F20"/>
          <w:spacing w:val="-2"/>
          <w:sz w:val="21"/>
        </w:rPr>
        <w:t xml:space="preserve"> </w:t>
      </w:r>
      <w:r>
        <w:rPr>
          <w:color w:val="231F20"/>
          <w:sz w:val="21"/>
        </w:rPr>
        <w:t>підставах;</w:t>
      </w:r>
    </w:p>
    <w:p w14:paraId="0D67C771" w14:textId="77777777" w:rsidR="00DE575E" w:rsidRDefault="002E7560">
      <w:pPr>
        <w:pStyle w:val="ListParagraph"/>
        <w:numPr>
          <w:ilvl w:val="0"/>
          <w:numId w:val="32"/>
        </w:numPr>
        <w:tabs>
          <w:tab w:val="left" w:pos="1101"/>
        </w:tabs>
        <w:spacing w:line="252" w:lineRule="auto"/>
        <w:ind w:right="127" w:firstLine="284"/>
        <w:rPr>
          <w:sz w:val="21"/>
        </w:rPr>
      </w:pPr>
      <w:r>
        <w:rPr>
          <w:color w:val="231F20"/>
          <w:sz w:val="21"/>
        </w:rPr>
        <w:t xml:space="preserve">у </w:t>
      </w:r>
      <w:r>
        <w:rPr>
          <w:color w:val="231F20"/>
          <w:spacing w:val="-3"/>
          <w:sz w:val="21"/>
        </w:rPr>
        <w:t xml:space="preserve">розгляді </w:t>
      </w:r>
      <w:r>
        <w:rPr>
          <w:color w:val="231F20"/>
          <w:sz w:val="21"/>
        </w:rPr>
        <w:t xml:space="preserve">справи не застосовують положення </w:t>
      </w:r>
      <w:r>
        <w:rPr>
          <w:color w:val="231F20"/>
          <w:spacing w:val="-6"/>
          <w:sz w:val="21"/>
        </w:rPr>
        <w:t xml:space="preserve">ст. ст. </w:t>
      </w:r>
      <w:r>
        <w:rPr>
          <w:color w:val="231F20"/>
          <w:sz w:val="21"/>
        </w:rPr>
        <w:t xml:space="preserve">33, 34, 35 </w:t>
      </w:r>
      <w:r>
        <w:rPr>
          <w:color w:val="231F20"/>
          <w:spacing w:val="-3"/>
          <w:sz w:val="21"/>
        </w:rPr>
        <w:t xml:space="preserve">КУпАП </w:t>
      </w:r>
      <w:r>
        <w:rPr>
          <w:color w:val="231F20"/>
          <w:sz w:val="21"/>
        </w:rPr>
        <w:t>(обставини, що обтяжують/пом’якшують</w:t>
      </w:r>
      <w:r>
        <w:rPr>
          <w:color w:val="231F20"/>
          <w:spacing w:val="-13"/>
          <w:sz w:val="21"/>
        </w:rPr>
        <w:t xml:space="preserve"> </w:t>
      </w:r>
      <w:r>
        <w:rPr>
          <w:color w:val="231F20"/>
          <w:sz w:val="21"/>
        </w:rPr>
        <w:t>відповідальність);</w:t>
      </w:r>
    </w:p>
    <w:p w14:paraId="615AE2BC" w14:textId="77777777" w:rsidR="00DE575E" w:rsidRDefault="002E7560">
      <w:pPr>
        <w:pStyle w:val="ListParagraph"/>
        <w:numPr>
          <w:ilvl w:val="0"/>
          <w:numId w:val="32"/>
        </w:numPr>
        <w:tabs>
          <w:tab w:val="left" w:pos="1101"/>
        </w:tabs>
        <w:ind w:firstLine="284"/>
        <w:jc w:val="left"/>
        <w:rPr>
          <w:sz w:val="21"/>
        </w:rPr>
      </w:pPr>
      <w:r>
        <w:rPr>
          <w:color w:val="231F20"/>
          <w:sz w:val="21"/>
        </w:rPr>
        <w:t xml:space="preserve">термін </w:t>
      </w:r>
      <w:r>
        <w:rPr>
          <w:color w:val="231F20"/>
          <w:spacing w:val="-3"/>
          <w:sz w:val="21"/>
        </w:rPr>
        <w:t xml:space="preserve">розгляду </w:t>
      </w:r>
      <w:r>
        <w:rPr>
          <w:color w:val="231F20"/>
          <w:sz w:val="21"/>
        </w:rPr>
        <w:t>всіх справ – загальний (15</w:t>
      </w:r>
      <w:r>
        <w:rPr>
          <w:color w:val="231F20"/>
          <w:spacing w:val="-3"/>
          <w:sz w:val="21"/>
        </w:rPr>
        <w:t xml:space="preserve"> </w:t>
      </w:r>
      <w:r>
        <w:rPr>
          <w:color w:val="231F20"/>
          <w:sz w:val="21"/>
        </w:rPr>
        <w:t>діб);</w:t>
      </w:r>
    </w:p>
    <w:p w14:paraId="76B93856" w14:textId="77777777" w:rsidR="00DE575E" w:rsidRDefault="002E7560">
      <w:pPr>
        <w:pStyle w:val="ListParagraph"/>
        <w:numPr>
          <w:ilvl w:val="0"/>
          <w:numId w:val="32"/>
        </w:numPr>
        <w:tabs>
          <w:tab w:val="left" w:pos="1101"/>
        </w:tabs>
        <w:spacing w:before="13" w:line="252" w:lineRule="auto"/>
        <w:ind w:right="127" w:firstLine="284"/>
        <w:rPr>
          <w:sz w:val="21"/>
        </w:rPr>
      </w:pPr>
      <w:r>
        <w:rPr>
          <w:color w:val="231F20"/>
          <w:sz w:val="21"/>
        </w:rPr>
        <w:t xml:space="preserve">переважним </w:t>
      </w:r>
      <w:r>
        <w:rPr>
          <w:color w:val="231F20"/>
          <w:spacing w:val="-3"/>
          <w:sz w:val="21"/>
        </w:rPr>
        <w:t xml:space="preserve">суб’єктом </w:t>
      </w:r>
      <w:r>
        <w:rPr>
          <w:color w:val="231F20"/>
          <w:sz w:val="21"/>
        </w:rPr>
        <w:t xml:space="preserve">правопорушення є водій (спеціальний </w:t>
      </w:r>
      <w:r>
        <w:rPr>
          <w:color w:val="231F20"/>
          <w:spacing w:val="-3"/>
          <w:sz w:val="21"/>
        </w:rPr>
        <w:t>суб’єкт).</w:t>
      </w:r>
    </w:p>
    <w:p w14:paraId="3AB3269D" w14:textId="77777777" w:rsidR="00DE575E" w:rsidRDefault="002E7560">
      <w:pPr>
        <w:pStyle w:val="BodyText"/>
        <w:spacing w:before="1" w:line="252" w:lineRule="auto"/>
        <w:ind w:left="533" w:right="127" w:firstLine="283"/>
        <w:jc w:val="both"/>
      </w:pPr>
      <w:r>
        <w:rPr>
          <w:color w:val="231F20"/>
        </w:rPr>
        <w:t>Новим видом фіксації правопорушення у сфері забезпечення безпеки дорожнього руху є фіксація працюючими в автоматичному режимі</w:t>
      </w:r>
      <w:r>
        <w:rPr>
          <w:color w:val="231F20"/>
          <w:spacing w:val="-11"/>
        </w:rPr>
        <w:t xml:space="preserve"> </w:t>
      </w:r>
      <w:r>
        <w:rPr>
          <w:color w:val="231F20"/>
        </w:rPr>
        <w:t>спеціальними</w:t>
      </w:r>
      <w:r>
        <w:rPr>
          <w:color w:val="231F20"/>
          <w:spacing w:val="-11"/>
        </w:rPr>
        <w:t xml:space="preserve"> </w:t>
      </w:r>
      <w:r>
        <w:rPr>
          <w:color w:val="231F20"/>
        </w:rPr>
        <w:t>технічними</w:t>
      </w:r>
      <w:r>
        <w:rPr>
          <w:color w:val="231F20"/>
          <w:spacing w:val="-12"/>
        </w:rPr>
        <w:t xml:space="preserve"> </w:t>
      </w:r>
      <w:r>
        <w:rPr>
          <w:color w:val="231F20"/>
        </w:rPr>
        <w:t>засобами,</w:t>
      </w:r>
      <w:r>
        <w:rPr>
          <w:color w:val="231F20"/>
          <w:spacing w:val="-11"/>
        </w:rPr>
        <w:t xml:space="preserve"> </w:t>
      </w:r>
      <w:r>
        <w:rPr>
          <w:color w:val="231F20"/>
        </w:rPr>
        <w:t>що</w:t>
      </w:r>
      <w:r>
        <w:rPr>
          <w:color w:val="231F20"/>
          <w:spacing w:val="-11"/>
        </w:rPr>
        <w:t xml:space="preserve"> </w:t>
      </w:r>
      <w:r>
        <w:rPr>
          <w:color w:val="231F20"/>
        </w:rPr>
        <w:t>мають</w:t>
      </w:r>
      <w:r>
        <w:rPr>
          <w:color w:val="231F20"/>
          <w:spacing w:val="-11"/>
        </w:rPr>
        <w:t xml:space="preserve"> </w:t>
      </w:r>
      <w:r>
        <w:rPr>
          <w:color w:val="231F20"/>
        </w:rPr>
        <w:t>функції</w:t>
      </w:r>
      <w:r>
        <w:rPr>
          <w:color w:val="231F20"/>
          <w:spacing w:val="-11"/>
        </w:rPr>
        <w:t xml:space="preserve"> </w:t>
      </w:r>
      <w:r>
        <w:rPr>
          <w:color w:val="231F20"/>
        </w:rPr>
        <w:t xml:space="preserve">фото- і кінозйомки, відеозапису, </w:t>
      </w:r>
      <w:r>
        <w:rPr>
          <w:color w:val="231F20"/>
        </w:rPr>
        <w:t>чи засобами фото- і кінозйомки. За зафік- соване</w:t>
      </w:r>
      <w:r>
        <w:rPr>
          <w:color w:val="231F20"/>
          <w:spacing w:val="-15"/>
        </w:rPr>
        <w:t xml:space="preserve"> </w:t>
      </w:r>
      <w:r>
        <w:rPr>
          <w:color w:val="231F20"/>
        </w:rPr>
        <w:t>(технічними</w:t>
      </w:r>
      <w:r>
        <w:rPr>
          <w:color w:val="231F20"/>
          <w:spacing w:val="-15"/>
        </w:rPr>
        <w:t xml:space="preserve"> </w:t>
      </w:r>
      <w:r>
        <w:rPr>
          <w:color w:val="231F20"/>
        </w:rPr>
        <w:t>засобами)</w:t>
      </w:r>
      <w:r>
        <w:rPr>
          <w:color w:val="231F20"/>
          <w:spacing w:val="-15"/>
        </w:rPr>
        <w:t xml:space="preserve"> </w:t>
      </w:r>
      <w:r>
        <w:rPr>
          <w:color w:val="231F20"/>
        </w:rPr>
        <w:t>правопорушення</w:t>
      </w:r>
      <w:r>
        <w:rPr>
          <w:color w:val="231F20"/>
          <w:spacing w:val="-15"/>
        </w:rPr>
        <w:t xml:space="preserve"> </w:t>
      </w:r>
      <w:r>
        <w:rPr>
          <w:color w:val="231F20"/>
        </w:rPr>
        <w:t>до</w:t>
      </w:r>
      <w:r>
        <w:rPr>
          <w:color w:val="231F20"/>
          <w:spacing w:val="-15"/>
        </w:rPr>
        <w:t xml:space="preserve"> </w:t>
      </w:r>
      <w:r>
        <w:rPr>
          <w:color w:val="231F20"/>
        </w:rPr>
        <w:t>адміністративної відповідальності за правопорушення притягаються власники (спів- власники) транспортних</w:t>
      </w:r>
      <w:r>
        <w:rPr>
          <w:color w:val="231F20"/>
          <w:spacing w:val="-3"/>
        </w:rPr>
        <w:t xml:space="preserve"> </w:t>
      </w:r>
      <w:r>
        <w:rPr>
          <w:color w:val="231F20"/>
        </w:rPr>
        <w:t>засобів.</w:t>
      </w:r>
    </w:p>
    <w:p w14:paraId="05DD3A1E" w14:textId="77777777" w:rsidR="00DE575E" w:rsidRDefault="002E7560">
      <w:pPr>
        <w:pStyle w:val="BodyText"/>
        <w:spacing w:before="4" w:line="252" w:lineRule="auto"/>
        <w:ind w:left="533" w:right="128" w:firstLine="283"/>
        <w:jc w:val="both"/>
      </w:pPr>
      <w:r>
        <w:rPr>
          <w:color w:val="231F20"/>
        </w:rPr>
        <w:t>За</w:t>
      </w:r>
      <w:r>
        <w:rPr>
          <w:color w:val="231F20"/>
          <w:spacing w:val="-20"/>
        </w:rPr>
        <w:t xml:space="preserve"> </w:t>
      </w:r>
      <w:r>
        <w:rPr>
          <w:color w:val="231F20"/>
          <w:spacing w:val="-3"/>
        </w:rPr>
        <w:t>наявності</w:t>
      </w:r>
      <w:r>
        <w:rPr>
          <w:color w:val="231F20"/>
          <w:spacing w:val="-20"/>
        </w:rPr>
        <w:t xml:space="preserve"> </w:t>
      </w:r>
      <w:r>
        <w:rPr>
          <w:color w:val="231F20"/>
        </w:rPr>
        <w:t>обставин,</w:t>
      </w:r>
      <w:r>
        <w:rPr>
          <w:color w:val="231F20"/>
          <w:spacing w:val="-20"/>
        </w:rPr>
        <w:t xml:space="preserve"> </w:t>
      </w:r>
      <w:r>
        <w:rPr>
          <w:color w:val="231F20"/>
        </w:rPr>
        <w:t>які</w:t>
      </w:r>
      <w:r>
        <w:rPr>
          <w:color w:val="231F20"/>
          <w:spacing w:val="-20"/>
        </w:rPr>
        <w:t xml:space="preserve"> </w:t>
      </w:r>
      <w:r>
        <w:rPr>
          <w:color w:val="231F20"/>
        </w:rPr>
        <w:t>свідчать</w:t>
      </w:r>
      <w:r>
        <w:rPr>
          <w:color w:val="231F20"/>
          <w:spacing w:val="-20"/>
        </w:rPr>
        <w:t xml:space="preserve"> </w:t>
      </w:r>
      <w:r>
        <w:rPr>
          <w:color w:val="231F20"/>
        </w:rPr>
        <w:t>про</w:t>
      </w:r>
      <w:r>
        <w:rPr>
          <w:color w:val="231F20"/>
          <w:spacing w:val="-20"/>
        </w:rPr>
        <w:t xml:space="preserve"> </w:t>
      </w:r>
      <w:r>
        <w:rPr>
          <w:color w:val="231F20"/>
        </w:rPr>
        <w:t>вчинення</w:t>
      </w:r>
      <w:r>
        <w:rPr>
          <w:color w:val="231F20"/>
          <w:spacing w:val="-20"/>
        </w:rPr>
        <w:t xml:space="preserve"> </w:t>
      </w:r>
      <w:r>
        <w:rPr>
          <w:color w:val="231F20"/>
          <w:spacing w:val="-3"/>
        </w:rPr>
        <w:t>поруш</w:t>
      </w:r>
      <w:r>
        <w:rPr>
          <w:color w:val="231F20"/>
          <w:spacing w:val="-3"/>
        </w:rPr>
        <w:t>ення,</w:t>
      </w:r>
      <w:r>
        <w:rPr>
          <w:color w:val="231F20"/>
          <w:spacing w:val="-20"/>
        </w:rPr>
        <w:t xml:space="preserve"> </w:t>
      </w:r>
      <w:r>
        <w:rPr>
          <w:color w:val="231F20"/>
          <w:spacing w:val="-3"/>
        </w:rPr>
        <w:t xml:space="preserve">влас- </w:t>
      </w:r>
      <w:r>
        <w:rPr>
          <w:color w:val="231F20"/>
        </w:rPr>
        <w:t xml:space="preserve">ник </w:t>
      </w:r>
      <w:r>
        <w:rPr>
          <w:color w:val="231F20"/>
          <w:spacing w:val="-3"/>
        </w:rPr>
        <w:t xml:space="preserve">(співвласник) транспортного засобу може </w:t>
      </w:r>
      <w:r>
        <w:rPr>
          <w:color w:val="231F20"/>
          <w:spacing w:val="-4"/>
        </w:rPr>
        <w:t xml:space="preserve">впродовж </w:t>
      </w:r>
      <w:r>
        <w:rPr>
          <w:color w:val="231F20"/>
          <w:spacing w:val="-3"/>
        </w:rPr>
        <w:t xml:space="preserve">десяти днів </w:t>
      </w:r>
      <w:r>
        <w:rPr>
          <w:color w:val="231F20"/>
        </w:rPr>
        <w:t xml:space="preserve">від дня </w:t>
      </w:r>
      <w:r>
        <w:rPr>
          <w:color w:val="231F20"/>
          <w:spacing w:val="-3"/>
        </w:rPr>
        <w:t xml:space="preserve">вручення йому постанови </w:t>
      </w:r>
      <w:r>
        <w:rPr>
          <w:color w:val="231F20"/>
        </w:rPr>
        <w:t xml:space="preserve">про </w:t>
      </w:r>
      <w:r>
        <w:rPr>
          <w:color w:val="231F20"/>
          <w:spacing w:val="-3"/>
        </w:rPr>
        <w:t>накладення штрафу повідо- мити</w:t>
      </w:r>
      <w:r>
        <w:rPr>
          <w:color w:val="231F20"/>
          <w:spacing w:val="-14"/>
        </w:rPr>
        <w:t xml:space="preserve"> </w:t>
      </w:r>
      <w:r>
        <w:rPr>
          <w:color w:val="231F20"/>
        </w:rPr>
        <w:t>про</w:t>
      </w:r>
      <w:r>
        <w:rPr>
          <w:color w:val="231F20"/>
          <w:spacing w:val="-14"/>
        </w:rPr>
        <w:t xml:space="preserve"> </w:t>
      </w:r>
      <w:r>
        <w:rPr>
          <w:color w:val="231F20"/>
          <w:spacing w:val="-3"/>
        </w:rPr>
        <w:t>відповідні</w:t>
      </w:r>
      <w:r>
        <w:rPr>
          <w:color w:val="231F20"/>
          <w:spacing w:val="-14"/>
        </w:rPr>
        <w:t xml:space="preserve"> </w:t>
      </w:r>
      <w:r>
        <w:rPr>
          <w:color w:val="231F20"/>
        </w:rPr>
        <w:t>обставини</w:t>
      </w:r>
      <w:r>
        <w:rPr>
          <w:color w:val="231F20"/>
          <w:spacing w:val="-14"/>
        </w:rPr>
        <w:t xml:space="preserve"> </w:t>
      </w:r>
      <w:r>
        <w:rPr>
          <w:color w:val="231F20"/>
          <w:spacing w:val="-3"/>
        </w:rPr>
        <w:t>(транспортний</w:t>
      </w:r>
      <w:r>
        <w:rPr>
          <w:color w:val="231F20"/>
          <w:spacing w:val="-14"/>
        </w:rPr>
        <w:t xml:space="preserve"> </w:t>
      </w:r>
      <w:r>
        <w:rPr>
          <w:color w:val="231F20"/>
          <w:spacing w:val="-3"/>
        </w:rPr>
        <w:t>засіб</w:t>
      </w:r>
      <w:r>
        <w:rPr>
          <w:color w:val="231F20"/>
          <w:spacing w:val="-14"/>
        </w:rPr>
        <w:t xml:space="preserve"> </w:t>
      </w:r>
      <w:r>
        <w:rPr>
          <w:color w:val="231F20"/>
          <w:spacing w:val="-3"/>
        </w:rPr>
        <w:t>перебував</w:t>
      </w:r>
      <w:r>
        <w:rPr>
          <w:color w:val="231F20"/>
          <w:spacing w:val="-14"/>
        </w:rPr>
        <w:t xml:space="preserve"> </w:t>
      </w:r>
      <w:r>
        <w:rPr>
          <w:color w:val="231F20"/>
        </w:rPr>
        <w:t>у</w:t>
      </w:r>
      <w:r>
        <w:rPr>
          <w:color w:val="231F20"/>
          <w:spacing w:val="-15"/>
        </w:rPr>
        <w:t xml:space="preserve"> </w:t>
      </w:r>
      <w:r>
        <w:rPr>
          <w:color w:val="231F20"/>
          <w:spacing w:val="-3"/>
        </w:rPr>
        <w:t xml:space="preserve">воло- дінні </w:t>
      </w:r>
      <w:r>
        <w:rPr>
          <w:color w:val="231F20"/>
        </w:rPr>
        <w:t xml:space="preserve">чи </w:t>
      </w:r>
      <w:r>
        <w:rPr>
          <w:color w:val="231F20"/>
          <w:spacing w:val="-3"/>
        </w:rPr>
        <w:t xml:space="preserve">користуванні іншої </w:t>
      </w:r>
      <w:r>
        <w:rPr>
          <w:color w:val="231F20"/>
        </w:rPr>
        <w:t xml:space="preserve">особи, </w:t>
      </w:r>
      <w:r>
        <w:rPr>
          <w:color w:val="231F20"/>
          <w:spacing w:val="-3"/>
        </w:rPr>
        <w:t xml:space="preserve">вибув </w:t>
      </w:r>
      <w:r>
        <w:rPr>
          <w:color w:val="231F20"/>
        </w:rPr>
        <w:t xml:space="preserve">з його </w:t>
      </w:r>
      <w:r>
        <w:rPr>
          <w:color w:val="231F20"/>
          <w:spacing w:val="-4"/>
        </w:rPr>
        <w:t xml:space="preserve">володіння </w:t>
      </w:r>
      <w:r>
        <w:rPr>
          <w:color w:val="231F20"/>
          <w:spacing w:val="-3"/>
        </w:rPr>
        <w:t xml:space="preserve">внаслідок протиправних </w:t>
      </w:r>
      <w:r>
        <w:rPr>
          <w:color w:val="231F20"/>
        </w:rPr>
        <w:t xml:space="preserve">дій </w:t>
      </w:r>
      <w:r>
        <w:rPr>
          <w:color w:val="231F20"/>
          <w:spacing w:val="-3"/>
        </w:rPr>
        <w:t xml:space="preserve">інших </w:t>
      </w:r>
      <w:r>
        <w:rPr>
          <w:color w:val="231F20"/>
        </w:rPr>
        <w:t xml:space="preserve">осіб тощо) </w:t>
      </w:r>
      <w:r>
        <w:rPr>
          <w:color w:val="231F20"/>
          <w:spacing w:val="-3"/>
        </w:rPr>
        <w:t xml:space="preserve">орган (посадову </w:t>
      </w:r>
      <w:r>
        <w:rPr>
          <w:color w:val="231F20"/>
        </w:rPr>
        <w:t xml:space="preserve">особу), що </w:t>
      </w:r>
      <w:r>
        <w:rPr>
          <w:color w:val="231F20"/>
          <w:spacing w:val="-3"/>
        </w:rPr>
        <w:t xml:space="preserve">виніс постанову </w:t>
      </w:r>
      <w:r>
        <w:rPr>
          <w:color w:val="231F20"/>
        </w:rPr>
        <w:t xml:space="preserve">про </w:t>
      </w:r>
      <w:r>
        <w:rPr>
          <w:color w:val="231F20"/>
          <w:spacing w:val="-3"/>
        </w:rPr>
        <w:t xml:space="preserve">накладення адміністративного стягнення. </w:t>
      </w:r>
      <w:r>
        <w:rPr>
          <w:color w:val="231F20"/>
        </w:rPr>
        <w:t xml:space="preserve">На </w:t>
      </w:r>
      <w:r>
        <w:rPr>
          <w:color w:val="231F20"/>
          <w:spacing w:val="-4"/>
        </w:rPr>
        <w:t xml:space="preserve">період </w:t>
      </w:r>
      <w:r>
        <w:rPr>
          <w:color w:val="231F20"/>
          <w:spacing w:val="-3"/>
        </w:rPr>
        <w:t xml:space="preserve">з’ясування </w:t>
      </w:r>
      <w:r>
        <w:rPr>
          <w:color w:val="231F20"/>
        </w:rPr>
        <w:t xml:space="preserve">та </w:t>
      </w:r>
      <w:r>
        <w:rPr>
          <w:color w:val="231F20"/>
          <w:spacing w:val="-3"/>
        </w:rPr>
        <w:t xml:space="preserve">перевірки </w:t>
      </w:r>
      <w:r>
        <w:rPr>
          <w:color w:val="231F20"/>
        </w:rPr>
        <w:t xml:space="preserve">цих обставин </w:t>
      </w:r>
      <w:r>
        <w:rPr>
          <w:color w:val="231F20"/>
          <w:spacing w:val="-3"/>
        </w:rPr>
        <w:t>виконання постанови про накладення адміністративного стягнення зупин</w:t>
      </w:r>
      <w:r>
        <w:rPr>
          <w:color w:val="231F20"/>
          <w:spacing w:val="-3"/>
        </w:rPr>
        <w:t xml:space="preserve">яється </w:t>
      </w:r>
      <w:r>
        <w:rPr>
          <w:color w:val="231F20"/>
        </w:rPr>
        <w:t xml:space="preserve">до </w:t>
      </w:r>
      <w:r>
        <w:rPr>
          <w:color w:val="231F20"/>
          <w:spacing w:val="-3"/>
        </w:rPr>
        <w:t xml:space="preserve">моменту встановлення </w:t>
      </w:r>
      <w:r>
        <w:rPr>
          <w:color w:val="231F20"/>
        </w:rPr>
        <w:t>особи, яка вчинила це</w:t>
      </w:r>
      <w:r>
        <w:rPr>
          <w:color w:val="231F20"/>
          <w:spacing w:val="-24"/>
        </w:rPr>
        <w:t xml:space="preserve"> </w:t>
      </w:r>
      <w:r>
        <w:rPr>
          <w:color w:val="231F20"/>
          <w:spacing w:val="-4"/>
        </w:rPr>
        <w:t>правопорушення.</w:t>
      </w:r>
    </w:p>
    <w:p w14:paraId="130B45A7" w14:textId="77777777" w:rsidR="00DE575E" w:rsidRDefault="002E7560">
      <w:pPr>
        <w:pStyle w:val="BodyText"/>
        <w:spacing w:before="5" w:line="252" w:lineRule="auto"/>
        <w:ind w:left="533" w:right="128" w:firstLine="283"/>
        <w:jc w:val="both"/>
      </w:pPr>
      <w:r>
        <w:rPr>
          <w:color w:val="231F20"/>
        </w:rPr>
        <w:t>Адміністративну відповідальність за правопорушення у сфері забезпечення безпеки дорожнього руху, зафіксовані в автоматич- ному режимі, або за порушення правил зупинки, стоянки, парку- вання транспортних засобів, зафіксовані в режимі фотозйомки/</w:t>
      </w:r>
    </w:p>
    <w:p w14:paraId="327BC659" w14:textId="77777777" w:rsidR="00DE575E" w:rsidRDefault="00DE575E">
      <w:pPr>
        <w:pStyle w:val="BodyText"/>
        <w:spacing w:before="6"/>
        <w:rPr>
          <w:sz w:val="12"/>
        </w:rPr>
      </w:pPr>
    </w:p>
    <w:p w14:paraId="51752464" w14:textId="77777777" w:rsidR="00DE575E" w:rsidRDefault="002E7560">
      <w:pPr>
        <w:spacing w:before="92"/>
        <w:ind w:left="533"/>
        <w:rPr>
          <w:rFonts w:ascii="Times New Roman"/>
          <w:sz w:val="20"/>
        </w:rPr>
      </w:pPr>
      <w:r>
        <w:rPr>
          <w:rFonts w:ascii="Times New Roman"/>
          <w:color w:val="231F20"/>
          <w:sz w:val="20"/>
        </w:rPr>
        <w:t>476</w:t>
      </w:r>
    </w:p>
    <w:p w14:paraId="1601E4ED" w14:textId="77777777" w:rsidR="00DE575E" w:rsidRDefault="00DE575E">
      <w:pPr>
        <w:rPr>
          <w:rFonts w:ascii="Times New Roman"/>
          <w:sz w:val="20"/>
        </w:rPr>
        <w:sectPr w:rsidR="00DE575E">
          <w:pgSz w:w="8510" w:h="12760"/>
          <w:pgMar w:top="660" w:right="720" w:bottom="280" w:left="600" w:header="720" w:footer="720" w:gutter="0"/>
          <w:cols w:space="720"/>
        </w:sectPr>
      </w:pPr>
    </w:p>
    <w:p w14:paraId="61B80E58"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Адміністративна відповідальність як вид юридичної відповідальності</w:t>
      </w:r>
    </w:p>
    <w:p w14:paraId="6D0B3349" w14:textId="41F550F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4EB1FA4" wp14:editId="398BC445">
                <wp:extent cx="4140200" cy="6350"/>
                <wp:effectExtent l="0" t="0" r="12700" b="6350"/>
                <wp:docPr id="21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16" name="Line 21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DE8015" id="Group_x0020_21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C3aqTp/AgAAmAUAAA4A&#10;AAAAAAAAAAAAAAAALAIAAGRycy9lMm9Eb2MueG1sUEsBAi0AFAAGAAgAAAAhAEynsJDZAAAAAwEA&#10;AA8AAAAAAAAAAAAAAAAA1wQAAGRycy9kb3ducmV2LnhtbFBLBQYAAAAABAAEAPMAAADdBQAAAAA=&#10;">
                <v:line id="Line_x0020_21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2DO8YAAADcAAAADwAAAGRycy9kb3ducmV2LnhtbESP3WrCQBSE74W+w3IK3kjdqCAlukoR&#10;hNIL/9IHOMkek9DdszG7mtin7wpCL4eZ+YZZrntrxI1aXztWMBknIIgLp2suFXxn27d3ED4gazSO&#10;ScGdPKxXL4Mlptp1fKTbKZQiQtinqKAKoUml9EVFFv3YNcTRO7vWYoiyLaVusYtwa+Q0SebSYs1x&#10;ocKGNhUVP6erVZBdRsEc9l+my/b5TOaX3ez3ulNq+Np/LEAE6sN/+Nn+1Aqmkzk8zs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dgzvGAAAA3AAAAA8AAAAAAAAA&#10;AAAAAAAAoQIAAGRycy9kb3ducmV2LnhtbFBLBQYAAAAABAAEAPkAAACUAwAAAAA=&#10;" strokecolor="#231f20" strokeweight=".5pt"/>
                <w10:anchorlock/>
              </v:group>
            </w:pict>
          </mc:Fallback>
        </mc:AlternateContent>
      </w:r>
    </w:p>
    <w:p w14:paraId="61BB783F" w14:textId="77777777" w:rsidR="00DE575E" w:rsidRDefault="00DE575E">
      <w:pPr>
        <w:pStyle w:val="BodyText"/>
        <w:spacing w:before="7"/>
        <w:rPr>
          <w:rFonts w:ascii="AdonisC"/>
          <w:i/>
          <w:sz w:val="19"/>
        </w:rPr>
      </w:pPr>
    </w:p>
    <w:p w14:paraId="7000E51F" w14:textId="77777777" w:rsidR="00DE575E" w:rsidRDefault="002E7560">
      <w:pPr>
        <w:pStyle w:val="BodyText"/>
        <w:spacing w:before="1" w:line="252" w:lineRule="auto"/>
        <w:ind w:left="250" w:right="407"/>
        <w:jc w:val="both"/>
      </w:pPr>
      <w:r>
        <w:rPr>
          <w:color w:val="231F20"/>
        </w:rPr>
        <w:t>відеозапису (за допомогою технічних засобів, що дають змогу здійснювати фотозйомку або відеозапис та функціонують згідно із законодавством про захист інформації в інформаційно-телекому- нікаційних системах), несе відповідальна особа – фізична особа або кер</w:t>
      </w:r>
      <w:r>
        <w:rPr>
          <w:color w:val="231F20"/>
        </w:rPr>
        <w:t>івник юридичної особи, за якою зареєстровано транспортний засіб, а в разі якщо до Єдиного державного реєстру транспортних засобів внесено відомості про належного користувача відповід- ного транспортного засобу, – належний користувач транспортного засобу, а</w:t>
      </w:r>
      <w:r>
        <w:rPr>
          <w:color w:val="231F20"/>
        </w:rPr>
        <w:t xml:space="preserve"> якщо в Єдиному державному реєстрі юридичних осіб, фізичних осіб-підприємців та громадських формувань відсутні на момент запиту відомості про керівника юридичної особи, за якою зареєстрований транспортний засіб, – особа, яка виконує повнова- ження керівник</w:t>
      </w:r>
      <w:r>
        <w:rPr>
          <w:color w:val="231F20"/>
        </w:rPr>
        <w:t>а такої юридичної</w:t>
      </w:r>
      <w:r>
        <w:rPr>
          <w:color w:val="231F20"/>
          <w:spacing w:val="18"/>
        </w:rPr>
        <w:t xml:space="preserve"> </w:t>
      </w:r>
      <w:r>
        <w:rPr>
          <w:color w:val="231F20"/>
        </w:rPr>
        <w:t>особи.</w:t>
      </w:r>
    </w:p>
    <w:p w14:paraId="6D62C71A" w14:textId="77777777" w:rsidR="00DE575E" w:rsidRDefault="002E7560">
      <w:pPr>
        <w:pStyle w:val="BodyText"/>
        <w:spacing w:before="6" w:line="252" w:lineRule="auto"/>
        <w:ind w:left="250" w:right="410" w:firstLine="283"/>
        <w:jc w:val="both"/>
      </w:pPr>
      <w:r>
        <w:rPr>
          <w:color w:val="231F20"/>
        </w:rPr>
        <w:t>У</w:t>
      </w:r>
      <w:r>
        <w:rPr>
          <w:color w:val="231F20"/>
          <w:spacing w:val="-12"/>
        </w:rPr>
        <w:t xml:space="preserve"> </w:t>
      </w:r>
      <w:r>
        <w:rPr>
          <w:color w:val="231F20"/>
        </w:rPr>
        <w:t>разі</w:t>
      </w:r>
      <w:r>
        <w:rPr>
          <w:color w:val="231F20"/>
          <w:spacing w:val="-12"/>
        </w:rPr>
        <w:t xml:space="preserve"> </w:t>
      </w:r>
      <w:r>
        <w:rPr>
          <w:color w:val="231F20"/>
        </w:rPr>
        <w:t>якщо</w:t>
      </w:r>
      <w:r>
        <w:rPr>
          <w:color w:val="231F20"/>
          <w:spacing w:val="-12"/>
        </w:rPr>
        <w:t xml:space="preserve"> </w:t>
      </w:r>
      <w:r>
        <w:rPr>
          <w:color w:val="231F20"/>
        </w:rPr>
        <w:t>транспортний</w:t>
      </w:r>
      <w:r>
        <w:rPr>
          <w:color w:val="231F20"/>
          <w:spacing w:val="-12"/>
        </w:rPr>
        <w:t xml:space="preserve"> </w:t>
      </w:r>
      <w:r>
        <w:rPr>
          <w:color w:val="231F20"/>
        </w:rPr>
        <w:t>засіб</w:t>
      </w:r>
      <w:r>
        <w:rPr>
          <w:color w:val="231F20"/>
          <w:spacing w:val="-12"/>
        </w:rPr>
        <w:t xml:space="preserve"> </w:t>
      </w:r>
      <w:r>
        <w:rPr>
          <w:color w:val="231F20"/>
        </w:rPr>
        <w:t>зареєстровано</w:t>
      </w:r>
      <w:r>
        <w:rPr>
          <w:color w:val="231F20"/>
          <w:spacing w:val="-12"/>
        </w:rPr>
        <w:t xml:space="preserve"> </w:t>
      </w:r>
      <w:r>
        <w:rPr>
          <w:color w:val="231F20"/>
        </w:rPr>
        <w:t>за</w:t>
      </w:r>
      <w:r>
        <w:rPr>
          <w:color w:val="231F20"/>
          <w:spacing w:val="-12"/>
        </w:rPr>
        <w:t xml:space="preserve"> </w:t>
      </w:r>
      <w:r>
        <w:rPr>
          <w:color w:val="231F20"/>
        </w:rPr>
        <w:t>межами</w:t>
      </w:r>
      <w:r>
        <w:rPr>
          <w:color w:val="231F20"/>
          <w:spacing w:val="-12"/>
        </w:rPr>
        <w:t xml:space="preserve"> </w:t>
      </w:r>
      <w:r>
        <w:rPr>
          <w:color w:val="231F20"/>
        </w:rPr>
        <w:t>терито- рії</w:t>
      </w:r>
      <w:r>
        <w:rPr>
          <w:color w:val="231F20"/>
          <w:spacing w:val="-7"/>
        </w:rPr>
        <w:t xml:space="preserve"> </w:t>
      </w:r>
      <w:r>
        <w:rPr>
          <w:color w:val="231F20"/>
          <w:spacing w:val="-3"/>
        </w:rPr>
        <w:t>України</w:t>
      </w:r>
      <w:r>
        <w:rPr>
          <w:color w:val="231F20"/>
          <w:spacing w:val="-7"/>
        </w:rPr>
        <w:t xml:space="preserve"> </w:t>
      </w:r>
      <w:r>
        <w:rPr>
          <w:color w:val="231F20"/>
        </w:rPr>
        <w:t>й</w:t>
      </w:r>
      <w:r>
        <w:rPr>
          <w:color w:val="231F20"/>
          <w:spacing w:val="-6"/>
        </w:rPr>
        <w:t xml:space="preserve"> </w:t>
      </w:r>
      <w:r>
        <w:rPr>
          <w:color w:val="231F20"/>
        </w:rPr>
        <w:t>такий</w:t>
      </w:r>
      <w:r>
        <w:rPr>
          <w:color w:val="231F20"/>
          <w:spacing w:val="-7"/>
        </w:rPr>
        <w:t xml:space="preserve"> </w:t>
      </w:r>
      <w:r>
        <w:rPr>
          <w:color w:val="231F20"/>
        </w:rPr>
        <w:t>транспортний</w:t>
      </w:r>
      <w:r>
        <w:rPr>
          <w:color w:val="231F20"/>
          <w:spacing w:val="-7"/>
        </w:rPr>
        <w:t xml:space="preserve"> </w:t>
      </w:r>
      <w:r>
        <w:rPr>
          <w:color w:val="231F20"/>
        </w:rPr>
        <w:t>засіб</w:t>
      </w:r>
      <w:r>
        <w:rPr>
          <w:color w:val="231F20"/>
          <w:spacing w:val="-7"/>
        </w:rPr>
        <w:t xml:space="preserve"> </w:t>
      </w:r>
      <w:r>
        <w:rPr>
          <w:color w:val="231F20"/>
        </w:rPr>
        <w:t>відповідно</w:t>
      </w:r>
      <w:r>
        <w:rPr>
          <w:color w:val="231F20"/>
          <w:spacing w:val="-7"/>
        </w:rPr>
        <w:t xml:space="preserve"> </w:t>
      </w:r>
      <w:r>
        <w:rPr>
          <w:color w:val="231F20"/>
        </w:rPr>
        <w:t>до</w:t>
      </w:r>
      <w:r>
        <w:rPr>
          <w:color w:val="231F20"/>
          <w:spacing w:val="-7"/>
        </w:rPr>
        <w:t xml:space="preserve"> </w:t>
      </w:r>
      <w:r>
        <w:rPr>
          <w:color w:val="231F20"/>
        </w:rPr>
        <w:t xml:space="preserve">законодавства не підлягає державній реєстрації в </w:t>
      </w:r>
      <w:r>
        <w:rPr>
          <w:color w:val="231F20"/>
          <w:spacing w:val="-3"/>
        </w:rPr>
        <w:t xml:space="preserve">Україні, </w:t>
      </w:r>
      <w:r>
        <w:rPr>
          <w:color w:val="231F20"/>
        </w:rPr>
        <w:t xml:space="preserve">до адміністративної відповідальності за правопорушення у </w:t>
      </w:r>
      <w:r>
        <w:rPr>
          <w:color w:val="231F20"/>
        </w:rPr>
        <w:t xml:space="preserve">сфері забезпечення безпеки дорожнього </w:t>
      </w:r>
      <w:r>
        <w:rPr>
          <w:color w:val="231F20"/>
          <w:spacing w:val="-5"/>
        </w:rPr>
        <w:t xml:space="preserve">руху, </w:t>
      </w:r>
      <w:r>
        <w:rPr>
          <w:color w:val="231F20"/>
        </w:rPr>
        <w:t>зафіксовані в автоматичному режимі, або за пору- шення правил зупинки, стоянки, паркування транспортних засобів, зафіксовані</w:t>
      </w:r>
      <w:r>
        <w:rPr>
          <w:color w:val="231F20"/>
          <w:spacing w:val="-13"/>
        </w:rPr>
        <w:t xml:space="preserve"> </w:t>
      </w:r>
      <w:r>
        <w:rPr>
          <w:color w:val="231F20"/>
        </w:rPr>
        <w:t>в</w:t>
      </w:r>
      <w:r>
        <w:rPr>
          <w:color w:val="231F20"/>
          <w:spacing w:val="-14"/>
        </w:rPr>
        <w:t xml:space="preserve"> </w:t>
      </w:r>
      <w:r>
        <w:rPr>
          <w:color w:val="231F20"/>
        </w:rPr>
        <w:t>режимі</w:t>
      </w:r>
      <w:r>
        <w:rPr>
          <w:color w:val="231F20"/>
          <w:spacing w:val="-14"/>
        </w:rPr>
        <w:t xml:space="preserve"> </w:t>
      </w:r>
      <w:r>
        <w:rPr>
          <w:color w:val="231F20"/>
        </w:rPr>
        <w:t>фотозйомки</w:t>
      </w:r>
      <w:r>
        <w:rPr>
          <w:color w:val="231F20"/>
          <w:spacing w:val="-14"/>
        </w:rPr>
        <w:t xml:space="preserve"> </w:t>
      </w:r>
      <w:r>
        <w:rPr>
          <w:color w:val="231F20"/>
        </w:rPr>
        <w:t>(відеозапису),</w:t>
      </w:r>
      <w:r>
        <w:rPr>
          <w:color w:val="231F20"/>
          <w:spacing w:val="-14"/>
        </w:rPr>
        <w:t xml:space="preserve"> </w:t>
      </w:r>
      <w:r>
        <w:rPr>
          <w:color w:val="231F20"/>
        </w:rPr>
        <w:t>притягається</w:t>
      </w:r>
      <w:r>
        <w:rPr>
          <w:color w:val="231F20"/>
          <w:spacing w:val="-13"/>
        </w:rPr>
        <w:t xml:space="preserve"> </w:t>
      </w:r>
      <w:r>
        <w:rPr>
          <w:color w:val="231F20"/>
        </w:rPr>
        <w:t>особа, яка ввезла такий транспортний за</w:t>
      </w:r>
      <w:r>
        <w:rPr>
          <w:color w:val="231F20"/>
        </w:rPr>
        <w:t>сіб на територію</w:t>
      </w:r>
      <w:r>
        <w:rPr>
          <w:color w:val="231F20"/>
          <w:spacing w:val="-9"/>
        </w:rPr>
        <w:t xml:space="preserve"> </w:t>
      </w:r>
      <w:r>
        <w:rPr>
          <w:color w:val="231F20"/>
          <w:spacing w:val="-3"/>
        </w:rPr>
        <w:t>України.</w:t>
      </w:r>
    </w:p>
    <w:p w14:paraId="017D1F91" w14:textId="77777777" w:rsidR="00DE575E" w:rsidRDefault="002E7560">
      <w:pPr>
        <w:pStyle w:val="BodyText"/>
        <w:spacing w:before="4" w:line="252" w:lineRule="auto"/>
        <w:ind w:left="250" w:right="411" w:firstLine="283"/>
        <w:jc w:val="both"/>
      </w:pPr>
      <w:r>
        <w:rPr>
          <w:color w:val="231F20"/>
        </w:rPr>
        <w:t xml:space="preserve">Відповідальна особа або особа, яка ввезла транспортний засіб на територію </w:t>
      </w:r>
      <w:r>
        <w:rPr>
          <w:color w:val="231F20"/>
          <w:spacing w:val="-3"/>
        </w:rPr>
        <w:t xml:space="preserve">України, </w:t>
      </w:r>
      <w:r>
        <w:rPr>
          <w:color w:val="231F20"/>
        </w:rPr>
        <w:t xml:space="preserve">звільняється від відповідальності за адміністра- тивні правопорушення у сфері забезпечення безпеки дорожнього </w:t>
      </w:r>
      <w:r>
        <w:rPr>
          <w:color w:val="231F20"/>
          <w:spacing w:val="-5"/>
        </w:rPr>
        <w:t>руху,</w:t>
      </w:r>
      <w:r>
        <w:rPr>
          <w:color w:val="231F20"/>
          <w:spacing w:val="-9"/>
        </w:rPr>
        <w:t xml:space="preserve"> </w:t>
      </w:r>
      <w:r>
        <w:rPr>
          <w:color w:val="231F20"/>
        </w:rPr>
        <w:t>зафіксовані</w:t>
      </w:r>
      <w:r>
        <w:rPr>
          <w:color w:val="231F20"/>
          <w:spacing w:val="-9"/>
        </w:rPr>
        <w:t xml:space="preserve"> </w:t>
      </w:r>
      <w:r>
        <w:rPr>
          <w:color w:val="231F20"/>
        </w:rPr>
        <w:t>в</w:t>
      </w:r>
      <w:r>
        <w:rPr>
          <w:color w:val="231F20"/>
          <w:spacing w:val="-10"/>
        </w:rPr>
        <w:t xml:space="preserve"> </w:t>
      </w:r>
      <w:r>
        <w:rPr>
          <w:color w:val="231F20"/>
        </w:rPr>
        <w:t>автоматичному</w:t>
      </w:r>
      <w:r>
        <w:rPr>
          <w:color w:val="231F20"/>
          <w:spacing w:val="-9"/>
        </w:rPr>
        <w:t xml:space="preserve"> </w:t>
      </w:r>
      <w:r>
        <w:rPr>
          <w:color w:val="231F20"/>
        </w:rPr>
        <w:t>режимі,</w:t>
      </w:r>
      <w:r>
        <w:rPr>
          <w:color w:val="231F20"/>
          <w:spacing w:val="-10"/>
        </w:rPr>
        <w:t xml:space="preserve"> </w:t>
      </w:r>
      <w:r>
        <w:rPr>
          <w:color w:val="231F20"/>
        </w:rPr>
        <w:t>або</w:t>
      </w:r>
      <w:r>
        <w:rPr>
          <w:color w:val="231F20"/>
          <w:spacing w:val="-9"/>
        </w:rPr>
        <w:t xml:space="preserve"> </w:t>
      </w:r>
      <w:r>
        <w:rPr>
          <w:color w:val="231F20"/>
        </w:rPr>
        <w:t>за</w:t>
      </w:r>
      <w:r>
        <w:rPr>
          <w:color w:val="231F20"/>
          <w:spacing w:val="-9"/>
        </w:rPr>
        <w:t xml:space="preserve"> </w:t>
      </w:r>
      <w:r>
        <w:rPr>
          <w:color w:val="231F20"/>
        </w:rPr>
        <w:t>порушення</w:t>
      </w:r>
      <w:r>
        <w:rPr>
          <w:color w:val="231F20"/>
          <w:spacing w:val="-9"/>
        </w:rPr>
        <w:t xml:space="preserve"> </w:t>
      </w:r>
      <w:r>
        <w:rPr>
          <w:color w:val="231F20"/>
        </w:rPr>
        <w:t>правил зупинки, стоянки,  паркування  транспортних  засобів,  зафіксовані в режимі фотозйомки (відеозапису), у  випадках,  якщо  упродовж 20 календарних днів з дня вчинення відповідного правопорушення або</w:t>
      </w:r>
      <w:r>
        <w:rPr>
          <w:color w:val="231F20"/>
          <w:spacing w:val="-5"/>
        </w:rPr>
        <w:t xml:space="preserve"> </w:t>
      </w:r>
      <w:r>
        <w:rPr>
          <w:color w:val="231F20"/>
        </w:rPr>
        <w:t>з</w:t>
      </w:r>
      <w:r>
        <w:rPr>
          <w:color w:val="231F20"/>
          <w:spacing w:val="-5"/>
        </w:rPr>
        <w:t xml:space="preserve"> </w:t>
      </w:r>
      <w:r>
        <w:rPr>
          <w:color w:val="231F20"/>
        </w:rPr>
        <w:t>дня</w:t>
      </w:r>
      <w:r>
        <w:rPr>
          <w:color w:val="231F20"/>
          <w:spacing w:val="-5"/>
        </w:rPr>
        <w:t xml:space="preserve"> </w:t>
      </w:r>
      <w:r>
        <w:rPr>
          <w:color w:val="231F20"/>
        </w:rPr>
        <w:t>набрання</w:t>
      </w:r>
      <w:r>
        <w:rPr>
          <w:color w:val="231F20"/>
          <w:spacing w:val="-5"/>
        </w:rPr>
        <w:t xml:space="preserve"> </w:t>
      </w:r>
      <w:r>
        <w:rPr>
          <w:color w:val="231F20"/>
        </w:rPr>
        <w:t>постановою</w:t>
      </w:r>
      <w:r>
        <w:rPr>
          <w:color w:val="231F20"/>
          <w:spacing w:val="-5"/>
        </w:rPr>
        <w:t xml:space="preserve"> </w:t>
      </w:r>
      <w:r>
        <w:rPr>
          <w:color w:val="231F20"/>
        </w:rPr>
        <w:t>у</w:t>
      </w:r>
      <w:r>
        <w:rPr>
          <w:color w:val="231F20"/>
          <w:spacing w:val="-4"/>
        </w:rPr>
        <w:t xml:space="preserve"> </w:t>
      </w:r>
      <w:r>
        <w:rPr>
          <w:color w:val="231F20"/>
        </w:rPr>
        <w:t>справі</w:t>
      </w:r>
      <w:r>
        <w:rPr>
          <w:color w:val="231F20"/>
          <w:spacing w:val="-5"/>
        </w:rPr>
        <w:t xml:space="preserve"> </w:t>
      </w:r>
      <w:r>
        <w:rPr>
          <w:color w:val="231F20"/>
        </w:rPr>
        <w:t>про</w:t>
      </w:r>
      <w:r>
        <w:rPr>
          <w:color w:val="231F20"/>
          <w:spacing w:val="-5"/>
        </w:rPr>
        <w:t xml:space="preserve"> </w:t>
      </w:r>
      <w:r>
        <w:rPr>
          <w:color w:val="231F20"/>
        </w:rPr>
        <w:t>адміністративне</w:t>
      </w:r>
      <w:r>
        <w:rPr>
          <w:color w:val="231F20"/>
          <w:spacing w:val="-5"/>
        </w:rPr>
        <w:t xml:space="preserve"> </w:t>
      </w:r>
      <w:r>
        <w:rPr>
          <w:color w:val="231F20"/>
        </w:rPr>
        <w:t>право- порушення законної</w:t>
      </w:r>
      <w:r>
        <w:rPr>
          <w:color w:val="231F20"/>
          <w:spacing w:val="-2"/>
        </w:rPr>
        <w:t xml:space="preserve"> </w:t>
      </w:r>
      <w:r>
        <w:rPr>
          <w:color w:val="231F20"/>
        </w:rPr>
        <w:t>сили:</w:t>
      </w:r>
    </w:p>
    <w:p w14:paraId="3830BF8A" w14:textId="77777777" w:rsidR="00DE575E" w:rsidRDefault="002E7560">
      <w:pPr>
        <w:pStyle w:val="BodyText"/>
        <w:spacing w:before="4" w:line="252" w:lineRule="auto"/>
        <w:ind w:left="250" w:right="409" w:firstLine="283"/>
        <w:jc w:val="both"/>
      </w:pPr>
      <w:r>
        <w:rPr>
          <w:color w:val="231F20"/>
        </w:rPr>
        <w:t>– ця особа надала документ, який підтверджує, що до моменту вчинення правопорушення транспортний засіб вибув з її володіння внаслідок протиправних дій інших осіб, або щодо протиправного використа</w:t>
      </w:r>
      <w:r>
        <w:rPr>
          <w:color w:val="231F20"/>
        </w:rPr>
        <w:t>ння іншими особами номерних знаків, що належать її транспортному засобу;</w:t>
      </w:r>
    </w:p>
    <w:p w14:paraId="4130DE03" w14:textId="77777777" w:rsidR="00DE575E" w:rsidRDefault="002E7560">
      <w:pPr>
        <w:pStyle w:val="BodyText"/>
        <w:spacing w:before="3" w:line="252" w:lineRule="auto"/>
        <w:ind w:left="250" w:right="411" w:firstLine="283"/>
        <w:jc w:val="both"/>
      </w:pPr>
      <w:r>
        <w:rPr>
          <w:color w:val="231F20"/>
        </w:rPr>
        <w:t xml:space="preserve">– </w:t>
      </w:r>
      <w:r>
        <w:rPr>
          <w:color w:val="231F20"/>
          <w:spacing w:val="-5"/>
        </w:rPr>
        <w:t xml:space="preserve">особа, </w:t>
      </w:r>
      <w:r>
        <w:rPr>
          <w:color w:val="231F20"/>
          <w:spacing w:val="-4"/>
        </w:rPr>
        <w:t xml:space="preserve">яка </w:t>
      </w:r>
      <w:r>
        <w:rPr>
          <w:color w:val="231F20"/>
          <w:spacing w:val="-5"/>
        </w:rPr>
        <w:t xml:space="preserve">керувала  транспортним  засобом  </w:t>
      </w:r>
      <w:r>
        <w:rPr>
          <w:color w:val="231F20"/>
          <w:spacing w:val="-3"/>
        </w:rPr>
        <w:t xml:space="preserve">на </w:t>
      </w:r>
      <w:r>
        <w:rPr>
          <w:color w:val="231F20"/>
          <w:spacing w:val="-5"/>
        </w:rPr>
        <w:t xml:space="preserve">момент  учинен- </w:t>
      </w:r>
      <w:r>
        <w:rPr>
          <w:color w:val="231F20"/>
        </w:rPr>
        <w:t xml:space="preserve">ня </w:t>
      </w:r>
      <w:r>
        <w:rPr>
          <w:color w:val="231F20"/>
          <w:spacing w:val="-3"/>
        </w:rPr>
        <w:t xml:space="preserve">зазначеного правопорушення, </w:t>
      </w:r>
      <w:r>
        <w:rPr>
          <w:color w:val="231F20"/>
          <w:spacing w:val="-4"/>
        </w:rPr>
        <w:t xml:space="preserve">звернулася </w:t>
      </w:r>
      <w:r>
        <w:rPr>
          <w:color w:val="231F20"/>
          <w:spacing w:val="-3"/>
        </w:rPr>
        <w:t xml:space="preserve">особисто </w:t>
      </w:r>
      <w:r>
        <w:rPr>
          <w:color w:val="231F20"/>
        </w:rPr>
        <w:t xml:space="preserve">до </w:t>
      </w:r>
      <w:r>
        <w:rPr>
          <w:color w:val="231F20"/>
          <w:spacing w:val="-3"/>
        </w:rPr>
        <w:t xml:space="preserve">органу (посадової </w:t>
      </w:r>
      <w:r>
        <w:rPr>
          <w:color w:val="231F20"/>
        </w:rPr>
        <w:t xml:space="preserve">особи), </w:t>
      </w:r>
      <w:r>
        <w:rPr>
          <w:color w:val="231F20"/>
          <w:spacing w:val="-3"/>
        </w:rPr>
        <w:t xml:space="preserve">уповноваженого </w:t>
      </w:r>
      <w:r>
        <w:rPr>
          <w:color w:val="231F20"/>
          <w:spacing w:val="-4"/>
        </w:rPr>
        <w:t xml:space="preserve">розглядати </w:t>
      </w:r>
      <w:r>
        <w:rPr>
          <w:color w:val="231F20"/>
          <w:spacing w:val="-3"/>
        </w:rPr>
        <w:t xml:space="preserve">справи </w:t>
      </w:r>
      <w:r>
        <w:rPr>
          <w:color w:val="231F20"/>
        </w:rPr>
        <w:t xml:space="preserve">про </w:t>
      </w:r>
      <w:r>
        <w:rPr>
          <w:color w:val="231F20"/>
          <w:spacing w:val="-3"/>
        </w:rPr>
        <w:t xml:space="preserve">адмі- ністративні правопорушення, </w:t>
      </w:r>
      <w:r>
        <w:rPr>
          <w:color w:val="231F20"/>
        </w:rPr>
        <w:t xml:space="preserve">із </w:t>
      </w:r>
      <w:r>
        <w:rPr>
          <w:color w:val="231F20"/>
          <w:spacing w:val="-3"/>
        </w:rPr>
        <w:t xml:space="preserve">заявою </w:t>
      </w:r>
      <w:r>
        <w:rPr>
          <w:color w:val="231F20"/>
        </w:rPr>
        <w:t xml:space="preserve">про </w:t>
      </w:r>
      <w:r>
        <w:rPr>
          <w:color w:val="231F20"/>
          <w:spacing w:val="-3"/>
        </w:rPr>
        <w:t>визнання</w:t>
      </w:r>
      <w:r>
        <w:rPr>
          <w:color w:val="231F20"/>
          <w:spacing w:val="-1"/>
        </w:rPr>
        <w:t xml:space="preserve"> </w:t>
      </w:r>
      <w:r>
        <w:rPr>
          <w:color w:val="231F20"/>
          <w:spacing w:val="-3"/>
        </w:rPr>
        <w:t>зазначеного</w:t>
      </w:r>
    </w:p>
    <w:p w14:paraId="0AC1E5F8" w14:textId="77777777" w:rsidR="00DE575E" w:rsidRDefault="00DE575E">
      <w:pPr>
        <w:pStyle w:val="BodyText"/>
        <w:spacing w:before="6"/>
        <w:rPr>
          <w:sz w:val="12"/>
        </w:rPr>
      </w:pPr>
    </w:p>
    <w:p w14:paraId="4BA01C81" w14:textId="77777777" w:rsidR="00DE575E" w:rsidRDefault="002E7560">
      <w:pPr>
        <w:spacing w:before="92"/>
        <w:ind w:right="411"/>
        <w:jc w:val="right"/>
        <w:rPr>
          <w:rFonts w:ascii="Times New Roman"/>
          <w:sz w:val="20"/>
        </w:rPr>
      </w:pPr>
      <w:r>
        <w:rPr>
          <w:rFonts w:ascii="Times New Roman"/>
          <w:color w:val="231F20"/>
          <w:w w:val="90"/>
          <w:sz w:val="20"/>
        </w:rPr>
        <w:t>477</w:t>
      </w:r>
    </w:p>
    <w:p w14:paraId="587270A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958B72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B77DA2B" w14:textId="4D1691A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A3F2095" wp14:editId="7706707E">
                <wp:extent cx="4140200" cy="6350"/>
                <wp:effectExtent l="0" t="0" r="12700" b="6350"/>
                <wp:docPr id="21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14" name="Line 2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C3145" id="Group_x0020_2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OcYt034CAACYBQAADgAA&#10;AAAAAAAAAAAAAAAsAgAAZHJzL2Uyb0RvYy54bWxQSwECLQAUAAYACAAAACEATKewkNkAAAADAQAA&#10;DwAAAAAAAAAAAAAAAADWBAAAZHJzL2Rvd25yZXYueG1sUEsFBgAAAAAEAAQA8wAAANwFAAAAAA==&#10;">
                <v:line id="Line_x0020_2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O418cAAADcAAAADwAAAGRycy9kb3ducmV2LnhtbESP0WrCQBRE3wv9h+UWfJG6UUspqZsg&#10;giA+aGv6AdfsbRK6ezdmVxP9+m5B6OMwM2eYRT5YIy7U+caxgukkAUFcOt1wpeCrWD+/gfABWaNx&#10;TAqu5CHPHh8WmGrX8yddDqESEcI+RQV1CG0qpS9rsugnriWO3rfrLIYou0rqDvsIt0bOkuRVWmw4&#10;LtTY0qqm8udwtgqK0ziYj/3W9MX+OJfH025+O++UGj0Ny3cQgYbwH763N1rBbPoCf2fi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Q7jXxwAAANwAAAAPAAAAAAAA&#10;AAAAAAAAAKECAABkcnMvZG93bnJldi54bWxQSwUGAAAAAAQABAD5AAAAlQMAAAAA&#10;" strokecolor="#231f20" strokeweight=".5pt"/>
                <w10:anchorlock/>
              </v:group>
            </w:pict>
          </mc:Fallback>
        </mc:AlternateContent>
      </w:r>
    </w:p>
    <w:p w14:paraId="5FF96C86" w14:textId="77777777" w:rsidR="00DE575E" w:rsidRDefault="00DE575E">
      <w:pPr>
        <w:pStyle w:val="BodyText"/>
        <w:spacing w:before="7"/>
        <w:rPr>
          <w:rFonts w:ascii="AdonisC"/>
          <w:i/>
          <w:sz w:val="11"/>
        </w:rPr>
      </w:pPr>
    </w:p>
    <w:p w14:paraId="7EC546C3" w14:textId="77777777" w:rsidR="00DE575E" w:rsidRDefault="002E7560">
      <w:pPr>
        <w:pStyle w:val="BodyText"/>
        <w:spacing w:before="101" w:line="252" w:lineRule="auto"/>
        <w:ind w:left="533" w:right="128"/>
        <w:jc w:val="both"/>
      </w:pPr>
      <w:r>
        <w:rPr>
          <w:color w:val="231F20"/>
        </w:rPr>
        <w:t>факту адміністративного правопорушення та надання згоди на притягнення до адміністративної відповідальності, а також надала документ (квитанцію) про сплату відповідного штрафу.</w:t>
      </w:r>
    </w:p>
    <w:p w14:paraId="7138B13B" w14:textId="77777777" w:rsidR="00DE575E" w:rsidRDefault="002E7560">
      <w:pPr>
        <w:pStyle w:val="BodyText"/>
        <w:spacing w:before="1" w:line="252" w:lineRule="auto"/>
        <w:ind w:left="533" w:right="125" w:firstLine="283"/>
        <w:jc w:val="both"/>
      </w:pPr>
      <w:r>
        <w:rPr>
          <w:color w:val="231F20"/>
        </w:rPr>
        <w:t>Треба зазначити, що режим фотозйомки (віде</w:t>
      </w:r>
      <w:r>
        <w:rPr>
          <w:color w:val="231F20"/>
        </w:rPr>
        <w:t>озапису) передба- чає здійснення уповноваженою посадовою особою фото/відеофік- сації обставин порушення правил зупинки, стоянки або паркування транспортних засобів, а саме: дати, часу (моменту), місця розташу- вання</w:t>
      </w:r>
      <w:r>
        <w:rPr>
          <w:color w:val="231F20"/>
          <w:spacing w:val="-8"/>
        </w:rPr>
        <w:t xml:space="preserve"> </w:t>
      </w:r>
      <w:r>
        <w:rPr>
          <w:color w:val="231F20"/>
        </w:rPr>
        <w:t>транспортного</w:t>
      </w:r>
      <w:r>
        <w:rPr>
          <w:color w:val="231F20"/>
          <w:spacing w:val="-8"/>
        </w:rPr>
        <w:t xml:space="preserve"> </w:t>
      </w:r>
      <w:r>
        <w:rPr>
          <w:color w:val="231F20"/>
        </w:rPr>
        <w:t>засобу</w:t>
      </w:r>
      <w:r>
        <w:rPr>
          <w:color w:val="231F20"/>
          <w:spacing w:val="-8"/>
        </w:rPr>
        <w:t xml:space="preserve"> </w:t>
      </w:r>
      <w:r>
        <w:rPr>
          <w:color w:val="231F20"/>
        </w:rPr>
        <w:t>щодо</w:t>
      </w:r>
      <w:r>
        <w:rPr>
          <w:color w:val="231F20"/>
          <w:spacing w:val="-8"/>
        </w:rPr>
        <w:t xml:space="preserve"> </w:t>
      </w:r>
      <w:r>
        <w:rPr>
          <w:color w:val="231F20"/>
        </w:rPr>
        <w:t>нерухомих</w:t>
      </w:r>
      <w:r>
        <w:rPr>
          <w:color w:val="231F20"/>
          <w:spacing w:val="-8"/>
        </w:rPr>
        <w:t xml:space="preserve"> </w:t>
      </w:r>
      <w:r>
        <w:rPr>
          <w:color w:val="231F20"/>
          <w:spacing w:val="-4"/>
        </w:rPr>
        <w:t>об’є</w:t>
      </w:r>
      <w:r>
        <w:rPr>
          <w:color w:val="231F20"/>
          <w:spacing w:val="-4"/>
        </w:rPr>
        <w:t>ктів</w:t>
      </w:r>
      <w:r>
        <w:rPr>
          <w:color w:val="231F20"/>
          <w:spacing w:val="-8"/>
        </w:rPr>
        <w:t xml:space="preserve"> </w:t>
      </w:r>
      <w:r>
        <w:rPr>
          <w:color w:val="231F20"/>
        </w:rPr>
        <w:t>та/або</w:t>
      </w:r>
      <w:r>
        <w:rPr>
          <w:color w:val="231F20"/>
          <w:spacing w:val="-8"/>
        </w:rPr>
        <w:t xml:space="preserve"> </w:t>
      </w:r>
      <w:r>
        <w:rPr>
          <w:color w:val="231F20"/>
        </w:rPr>
        <w:t xml:space="preserve">геогра- фічних </w:t>
      </w:r>
      <w:r>
        <w:rPr>
          <w:color w:val="231F20"/>
          <w:spacing w:val="-3"/>
        </w:rPr>
        <w:t xml:space="preserve">координат, </w:t>
      </w:r>
      <w:r>
        <w:rPr>
          <w:color w:val="231F20"/>
        </w:rPr>
        <w:t xml:space="preserve">інших ознак наявності складу адміністративного правопорушення, передбаченого відповідною статтею Особливої частини цього </w:t>
      </w:r>
      <w:r>
        <w:rPr>
          <w:color w:val="231F20"/>
          <w:spacing w:val="-5"/>
        </w:rPr>
        <w:t xml:space="preserve">Кодексу. </w:t>
      </w:r>
      <w:r>
        <w:rPr>
          <w:color w:val="231F20"/>
        </w:rPr>
        <w:t>Піл час здійснення фотозйомки обов’язко- вою є наявність не менше двох зображень транспо</w:t>
      </w:r>
      <w:r>
        <w:rPr>
          <w:color w:val="231F20"/>
        </w:rPr>
        <w:t xml:space="preserve">ртного </w:t>
      </w:r>
      <w:r>
        <w:rPr>
          <w:color w:val="231F20"/>
          <w:spacing w:val="-3"/>
        </w:rPr>
        <w:t xml:space="preserve">засобу, </w:t>
      </w:r>
      <w:r>
        <w:rPr>
          <w:color w:val="231F20"/>
        </w:rPr>
        <w:t xml:space="preserve">отриманих з різних або протилежних ракурсів, а в разі фіксації порушення, що полягає у неоплаті вартості послуг з користування майданчиком для платного паркування в межах населеного </w:t>
      </w:r>
      <w:r>
        <w:rPr>
          <w:color w:val="231F20"/>
          <w:spacing w:val="-3"/>
        </w:rPr>
        <w:t xml:space="preserve">пункту, </w:t>
      </w:r>
      <w:r>
        <w:rPr>
          <w:color w:val="231F20"/>
        </w:rPr>
        <w:t>в якому не впроваджена автоматизована система контр</w:t>
      </w:r>
      <w:r>
        <w:rPr>
          <w:color w:val="231F20"/>
        </w:rPr>
        <w:t>олю оплати паркування, обов’язковою є наявність додаткового зображення (зображень), що фіксує відсутність документа про оплату послуг із користування майданчиком для платного паркування під лобовим склом транспортного</w:t>
      </w:r>
      <w:r>
        <w:rPr>
          <w:color w:val="231F20"/>
          <w:spacing w:val="-2"/>
        </w:rPr>
        <w:t xml:space="preserve"> </w:t>
      </w:r>
      <w:r>
        <w:rPr>
          <w:color w:val="231F20"/>
          <w:spacing w:val="-3"/>
        </w:rPr>
        <w:t>засобу.</w:t>
      </w:r>
    </w:p>
    <w:p w14:paraId="26F41128" w14:textId="77777777" w:rsidR="00DE575E" w:rsidRDefault="002E7560">
      <w:pPr>
        <w:pStyle w:val="BodyText"/>
        <w:spacing w:before="9" w:line="252" w:lineRule="auto"/>
        <w:ind w:left="533" w:right="128" w:firstLine="283"/>
        <w:jc w:val="both"/>
      </w:pPr>
      <w:r>
        <w:rPr>
          <w:color w:val="231F20"/>
        </w:rPr>
        <w:t>Порядок внесення відомостей пр</w:t>
      </w:r>
      <w:r>
        <w:rPr>
          <w:color w:val="231F20"/>
        </w:rPr>
        <w:t>о належного користувача тран- спортного засобу до Єдиного державного реєстру транспортних засобів, держателем якого є Міністерство внутрішніх справ України, встановлюється Кабінетом Міністрів України.</w:t>
      </w:r>
    </w:p>
    <w:p w14:paraId="7C42F495" w14:textId="77777777" w:rsidR="00DE575E" w:rsidRDefault="002E7560">
      <w:pPr>
        <w:pStyle w:val="BodyText"/>
        <w:spacing w:before="1" w:line="252" w:lineRule="auto"/>
        <w:ind w:left="533" w:right="128" w:firstLine="283"/>
        <w:jc w:val="both"/>
      </w:pPr>
      <w:r>
        <w:rPr>
          <w:color w:val="231F20"/>
        </w:rPr>
        <w:t>Штраф за правопорушення у сфері забезпечення безпеки до</w:t>
      </w:r>
      <w:r>
        <w:rPr>
          <w:color w:val="231F20"/>
        </w:rPr>
        <w:t>рож- нього руху, зафіксовані в автоматичному режимі, може бути накла- дено на громадянина після використання ним штрафних балів.</w:t>
      </w:r>
    </w:p>
    <w:p w14:paraId="2FADFC27" w14:textId="77777777" w:rsidR="00DE575E" w:rsidRDefault="00DE575E">
      <w:pPr>
        <w:pStyle w:val="BodyText"/>
        <w:rPr>
          <w:sz w:val="24"/>
        </w:rPr>
      </w:pPr>
    </w:p>
    <w:p w14:paraId="40AF401B" w14:textId="77777777" w:rsidR="00DE575E" w:rsidRDefault="00DE575E">
      <w:pPr>
        <w:pStyle w:val="BodyText"/>
        <w:spacing w:before="5"/>
        <w:rPr>
          <w:sz w:val="19"/>
        </w:rPr>
      </w:pPr>
    </w:p>
    <w:p w14:paraId="1E3B20C8" w14:textId="77777777" w:rsidR="00DE575E" w:rsidRDefault="002E7560">
      <w:pPr>
        <w:pStyle w:val="Heading4"/>
        <w:ind w:left="878"/>
      </w:pPr>
      <w:r>
        <w:rPr>
          <w:color w:val="231F20"/>
        </w:rPr>
        <w:t>1.5. Адміністративна відповідальність юридичних осіб</w:t>
      </w:r>
    </w:p>
    <w:p w14:paraId="5D654B62" w14:textId="77777777" w:rsidR="00DE575E" w:rsidRDefault="00DE575E">
      <w:pPr>
        <w:pStyle w:val="BodyText"/>
        <w:rPr>
          <w:b/>
          <w:sz w:val="26"/>
        </w:rPr>
      </w:pPr>
    </w:p>
    <w:p w14:paraId="1209C752" w14:textId="77777777" w:rsidR="00DE575E" w:rsidRDefault="002E7560">
      <w:pPr>
        <w:pStyle w:val="BodyText"/>
        <w:spacing w:before="224" w:line="252" w:lineRule="auto"/>
        <w:ind w:left="533" w:right="128" w:firstLine="283"/>
        <w:jc w:val="both"/>
      </w:pPr>
      <w:r>
        <w:rPr>
          <w:color w:val="231F20"/>
        </w:rPr>
        <w:t>Питання адміністративної відповідальності юридичних осіб довгий час було дискусійним. Відсутність на законодавчому рівні нормативно-правових підстав визначення юридичної особи суб’єктом адміністративної відповідальності спричиняло виник- нення постійних ди</w:t>
      </w:r>
      <w:r>
        <w:rPr>
          <w:color w:val="231F20"/>
        </w:rPr>
        <w:t>скусій та невизнання юридичних осіб суб’єк- тами адміністративної відповідальності. Так, Д. Лук’янець, дослід- жуючи питання адміністративної відповідальності відзначає, що</w:t>
      </w:r>
    </w:p>
    <w:p w14:paraId="1C304AAA" w14:textId="77777777" w:rsidR="00DE575E" w:rsidRDefault="00DE575E">
      <w:pPr>
        <w:pStyle w:val="BodyText"/>
        <w:spacing w:before="9"/>
        <w:rPr>
          <w:sz w:val="12"/>
        </w:rPr>
      </w:pPr>
    </w:p>
    <w:p w14:paraId="03AD263E" w14:textId="77777777" w:rsidR="00DE575E" w:rsidRDefault="002E7560">
      <w:pPr>
        <w:spacing w:before="92"/>
        <w:ind w:left="533"/>
        <w:rPr>
          <w:rFonts w:ascii="Times New Roman"/>
          <w:sz w:val="20"/>
        </w:rPr>
      </w:pPr>
      <w:r>
        <w:rPr>
          <w:rFonts w:ascii="Times New Roman"/>
          <w:color w:val="231F20"/>
          <w:sz w:val="20"/>
        </w:rPr>
        <w:t>478</w:t>
      </w:r>
    </w:p>
    <w:p w14:paraId="24A0BAC5" w14:textId="77777777" w:rsidR="00DE575E" w:rsidRDefault="00DE575E">
      <w:pPr>
        <w:rPr>
          <w:rFonts w:ascii="Times New Roman"/>
          <w:sz w:val="20"/>
        </w:rPr>
        <w:sectPr w:rsidR="00DE575E">
          <w:pgSz w:w="8510" w:h="12760"/>
          <w:pgMar w:top="660" w:right="720" w:bottom="280" w:left="600" w:header="720" w:footer="720" w:gutter="0"/>
          <w:cols w:space="720"/>
        </w:sectPr>
      </w:pPr>
    </w:p>
    <w:p w14:paraId="4529CB6B"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Глава ІІ Особливе адміністративне право/ Книга ІІ Розділ 1. Адмі</w:t>
      </w:r>
      <w:r>
        <w:rPr>
          <w:rFonts w:ascii="AdonisC" w:hAnsi="AdonisC"/>
          <w:i/>
          <w:color w:val="231F20"/>
          <w:sz w:val="18"/>
        </w:rPr>
        <w:t>ністративна відповідальність як вид юридичної відповідальності</w:t>
      </w:r>
    </w:p>
    <w:p w14:paraId="6F6D9605" w14:textId="5D09B03F"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9F6654E" wp14:editId="69723289">
                <wp:extent cx="4140200" cy="6350"/>
                <wp:effectExtent l="0" t="0" r="12700" b="6350"/>
                <wp:docPr id="21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12" name="Line 2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86E26A" id="Group_x0020_2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KZIG1/AgAAmAUAAA4A&#10;AAAAAAAAAAAAAAAALAIAAGRycy9lMm9Eb2MueG1sUEsBAi0AFAAGAAgAAAAhAEynsJDZAAAAAwEA&#10;AA8AAAAAAAAAAAAAAAAA1wQAAGRycy9kb3ducmV2LnhtbFBLBQYAAAAABAAEAPMAAADdBQAAAAA=&#10;">
                <v:line id="Line_x0020_2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aFOMYAAADcAAAADwAAAGRycy9kb3ducmV2LnhtbESP0WrCQBRE3wv+w3KFvpS6MYJI6ioi&#10;CNIHrcYPuGZvk9DduzG7mrRf3xUEH4eZOcPMl7014katrx0rGI8SEMSF0zWXCk755n0GwgdkjcYx&#10;KfglD8vF4GWOmXYdH+h2DKWIEPYZKqhCaDIpfVGRRT9yDXH0vl1rMUTZllK32EW4NTJNkqm0WHNc&#10;qLChdUXFz/FqFeSXt2C+9p+my/fniTxfdpO/606p12G/+gARqA/P8KO91QrScQr3M/EIyM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bmhTjGAAAA3AAAAA8AAAAAAAAA&#10;AAAAAAAAoQIAAGRycy9kb3ducmV2LnhtbFBLBQYAAAAABAAEAPkAAACUAwAAAAA=&#10;" strokecolor="#231f20" strokeweight=".5pt"/>
                <w10:anchorlock/>
              </v:group>
            </w:pict>
          </mc:Fallback>
        </mc:AlternateContent>
      </w:r>
    </w:p>
    <w:p w14:paraId="5A2128F6" w14:textId="77777777" w:rsidR="00DE575E" w:rsidRDefault="00DE575E">
      <w:pPr>
        <w:pStyle w:val="BodyText"/>
        <w:spacing w:before="7"/>
        <w:rPr>
          <w:rFonts w:ascii="AdonisC"/>
          <w:i/>
          <w:sz w:val="19"/>
        </w:rPr>
      </w:pPr>
    </w:p>
    <w:p w14:paraId="452D5BFB" w14:textId="77777777" w:rsidR="00DE575E" w:rsidRDefault="002E7560">
      <w:pPr>
        <w:pStyle w:val="BodyText"/>
        <w:spacing w:before="1" w:line="252" w:lineRule="auto"/>
        <w:ind w:left="250" w:right="410"/>
        <w:jc w:val="both"/>
      </w:pPr>
      <w:r>
        <w:rPr>
          <w:color w:val="231F20"/>
        </w:rPr>
        <w:t xml:space="preserve">в контексті адміністративної відповідальності юридичних осіб існу- ють певні особливості, що продиктовані специфікою юридичних </w:t>
      </w:r>
      <w:r>
        <w:rPr>
          <w:color w:val="231F20"/>
        </w:rPr>
        <w:t>осіб як суб’єктів правовідносин порівняно з фізичними особами.</w:t>
      </w:r>
    </w:p>
    <w:p w14:paraId="782E7443" w14:textId="77777777" w:rsidR="00DE575E" w:rsidRDefault="002E7560">
      <w:pPr>
        <w:pStyle w:val="BodyText"/>
        <w:spacing w:before="1" w:line="252" w:lineRule="auto"/>
        <w:ind w:left="250" w:right="411" w:firstLine="283"/>
        <w:jc w:val="both"/>
      </w:pPr>
      <w:r>
        <w:rPr>
          <w:color w:val="231F20"/>
        </w:rPr>
        <w:t>До</w:t>
      </w:r>
      <w:r>
        <w:rPr>
          <w:color w:val="231F20"/>
          <w:spacing w:val="-13"/>
        </w:rPr>
        <w:t xml:space="preserve"> </w:t>
      </w:r>
      <w:r>
        <w:rPr>
          <w:color w:val="231F20"/>
        </w:rPr>
        <w:t>них</w:t>
      </w:r>
      <w:r>
        <w:rPr>
          <w:color w:val="231F20"/>
          <w:spacing w:val="-13"/>
        </w:rPr>
        <w:t xml:space="preserve"> </w:t>
      </w:r>
      <w:r>
        <w:rPr>
          <w:color w:val="231F20"/>
        </w:rPr>
        <w:t>відносять:</w:t>
      </w:r>
      <w:r>
        <w:rPr>
          <w:color w:val="231F20"/>
          <w:spacing w:val="-13"/>
        </w:rPr>
        <w:t xml:space="preserve"> </w:t>
      </w:r>
      <w:r>
        <w:rPr>
          <w:color w:val="231F20"/>
        </w:rPr>
        <w:t>1)</w:t>
      </w:r>
      <w:r>
        <w:rPr>
          <w:color w:val="231F20"/>
          <w:spacing w:val="-7"/>
        </w:rPr>
        <w:t xml:space="preserve"> </w:t>
      </w:r>
      <w:r>
        <w:rPr>
          <w:color w:val="231F20"/>
        </w:rPr>
        <w:t>відсутність</w:t>
      </w:r>
      <w:r>
        <w:rPr>
          <w:color w:val="231F20"/>
          <w:spacing w:val="-13"/>
        </w:rPr>
        <w:t xml:space="preserve"> </w:t>
      </w:r>
      <w:r>
        <w:rPr>
          <w:color w:val="231F20"/>
        </w:rPr>
        <w:t>у</w:t>
      </w:r>
      <w:r>
        <w:rPr>
          <w:color w:val="231F20"/>
          <w:spacing w:val="-13"/>
        </w:rPr>
        <w:t xml:space="preserve"> </w:t>
      </w:r>
      <w:r>
        <w:rPr>
          <w:color w:val="231F20"/>
        </w:rPr>
        <w:t>юридичних</w:t>
      </w:r>
      <w:r>
        <w:rPr>
          <w:color w:val="231F20"/>
          <w:spacing w:val="-13"/>
        </w:rPr>
        <w:t xml:space="preserve"> </w:t>
      </w:r>
      <w:r>
        <w:rPr>
          <w:color w:val="231F20"/>
        </w:rPr>
        <w:t>осіб</w:t>
      </w:r>
      <w:r>
        <w:rPr>
          <w:color w:val="231F20"/>
          <w:spacing w:val="-13"/>
        </w:rPr>
        <w:t xml:space="preserve"> </w:t>
      </w:r>
      <w:r>
        <w:rPr>
          <w:color w:val="231F20"/>
        </w:rPr>
        <w:t>власних</w:t>
      </w:r>
      <w:r>
        <w:rPr>
          <w:color w:val="231F20"/>
          <w:spacing w:val="-13"/>
        </w:rPr>
        <w:t xml:space="preserve"> </w:t>
      </w:r>
      <w:r>
        <w:rPr>
          <w:color w:val="231F20"/>
        </w:rPr>
        <w:t xml:space="preserve">психіч- них характеристик; 2) участь юридичних осіб у правовідносинах через уповноважених представників; 3) наявність у юридичних осіб </w:t>
      </w:r>
      <w:r>
        <w:rPr>
          <w:color w:val="231F20"/>
        </w:rPr>
        <w:t>внутрішньої організаційної структури; 4) специфічні параметри оцінювання діяльності юридичних</w:t>
      </w:r>
      <w:r>
        <w:rPr>
          <w:color w:val="231F20"/>
          <w:spacing w:val="-3"/>
        </w:rPr>
        <w:t xml:space="preserve"> </w:t>
      </w:r>
      <w:r>
        <w:rPr>
          <w:color w:val="231F20"/>
        </w:rPr>
        <w:t>осіб.</w:t>
      </w:r>
    </w:p>
    <w:p w14:paraId="292F2481" w14:textId="77777777" w:rsidR="00DE575E" w:rsidRDefault="002E7560">
      <w:pPr>
        <w:pStyle w:val="BodyText"/>
        <w:spacing w:before="3" w:line="252" w:lineRule="auto"/>
        <w:ind w:left="250" w:right="409" w:firstLine="283"/>
        <w:jc w:val="both"/>
      </w:pPr>
      <w:r>
        <w:rPr>
          <w:color w:val="231F20"/>
        </w:rPr>
        <w:t xml:space="preserve">Водночас </w:t>
      </w:r>
      <w:r>
        <w:rPr>
          <w:b/>
          <w:i/>
          <w:color w:val="231F20"/>
        </w:rPr>
        <w:t>обставинами, що свідчать про наявність адмі- ністративної відповідальності юридичних осіб</w:t>
      </w:r>
      <w:r>
        <w:rPr>
          <w:color w:val="231F20"/>
        </w:rPr>
        <w:t xml:space="preserve">, є: 1) соціально- економічні та політичні зміни в </w:t>
      </w:r>
      <w:r>
        <w:rPr>
          <w:color w:val="231F20"/>
          <w:spacing w:val="-3"/>
        </w:rPr>
        <w:t xml:space="preserve">Україні, </w:t>
      </w:r>
      <w:r>
        <w:rPr>
          <w:color w:val="231F20"/>
        </w:rPr>
        <w:t xml:space="preserve">початок яких датується 90-ми роками минулого століття, привели до становлення ринко- вих відносин, розвитку підприємництва та модернізації вирішення юридичних конфліктів за участі юридичних осіб; 2) наявність зако- нів </w:t>
      </w:r>
      <w:r>
        <w:rPr>
          <w:color w:val="231F20"/>
          <w:spacing w:val="-3"/>
        </w:rPr>
        <w:t xml:space="preserve">України, </w:t>
      </w:r>
      <w:r>
        <w:rPr>
          <w:color w:val="231F20"/>
        </w:rPr>
        <w:t>які містять положен</w:t>
      </w:r>
      <w:r>
        <w:rPr>
          <w:color w:val="231F20"/>
        </w:rPr>
        <w:t xml:space="preserve">ня щодо адміністративної відпові- дальності юридичних осіб (закони </w:t>
      </w:r>
      <w:r>
        <w:rPr>
          <w:color w:val="231F20"/>
          <w:spacing w:val="-3"/>
        </w:rPr>
        <w:t xml:space="preserve">України </w:t>
      </w:r>
      <w:r>
        <w:rPr>
          <w:color w:val="231F20"/>
        </w:rPr>
        <w:t xml:space="preserve">«Про внесення змін до деяких законодавчих актів </w:t>
      </w:r>
      <w:r>
        <w:rPr>
          <w:color w:val="231F20"/>
          <w:spacing w:val="-3"/>
        </w:rPr>
        <w:t xml:space="preserve">України </w:t>
      </w:r>
      <w:r>
        <w:rPr>
          <w:color w:val="231F20"/>
        </w:rPr>
        <w:t>щодо вдосконалення регулю- вання відносин у сфері забезпечення безпеки дорожнього руху» від 14 липня 2015 року № 596-VIII; «П</w:t>
      </w:r>
      <w:r>
        <w:rPr>
          <w:color w:val="231F20"/>
        </w:rPr>
        <w:t>ро відповідальність підприємств, їх</w:t>
      </w:r>
      <w:r>
        <w:rPr>
          <w:color w:val="231F20"/>
          <w:spacing w:val="-18"/>
        </w:rPr>
        <w:t xml:space="preserve"> </w:t>
      </w:r>
      <w:r>
        <w:rPr>
          <w:color w:val="231F20"/>
          <w:spacing w:val="-3"/>
        </w:rPr>
        <w:t>об’єднань,</w:t>
      </w:r>
      <w:r>
        <w:rPr>
          <w:color w:val="231F20"/>
          <w:spacing w:val="-18"/>
        </w:rPr>
        <w:t xml:space="preserve"> </w:t>
      </w:r>
      <w:r>
        <w:rPr>
          <w:color w:val="231F20"/>
        </w:rPr>
        <w:t>установ</w:t>
      </w:r>
      <w:r>
        <w:rPr>
          <w:color w:val="231F20"/>
          <w:spacing w:val="-18"/>
        </w:rPr>
        <w:t xml:space="preserve"> </w:t>
      </w:r>
      <w:r>
        <w:rPr>
          <w:color w:val="231F20"/>
        </w:rPr>
        <w:t>та</w:t>
      </w:r>
      <w:r>
        <w:rPr>
          <w:color w:val="231F20"/>
          <w:spacing w:val="-18"/>
        </w:rPr>
        <w:t xml:space="preserve"> </w:t>
      </w:r>
      <w:r>
        <w:rPr>
          <w:color w:val="231F20"/>
        </w:rPr>
        <w:t>організацій</w:t>
      </w:r>
      <w:r>
        <w:rPr>
          <w:color w:val="231F20"/>
          <w:spacing w:val="-18"/>
        </w:rPr>
        <w:t xml:space="preserve"> </w:t>
      </w:r>
      <w:r>
        <w:rPr>
          <w:color w:val="231F20"/>
        </w:rPr>
        <w:t>за</w:t>
      </w:r>
      <w:r>
        <w:rPr>
          <w:color w:val="231F20"/>
          <w:spacing w:val="-18"/>
        </w:rPr>
        <w:t xml:space="preserve"> </w:t>
      </w:r>
      <w:r>
        <w:rPr>
          <w:color w:val="231F20"/>
        </w:rPr>
        <w:t>правопорушення</w:t>
      </w:r>
      <w:r>
        <w:rPr>
          <w:color w:val="231F20"/>
          <w:spacing w:val="-18"/>
        </w:rPr>
        <w:t xml:space="preserve"> </w:t>
      </w:r>
      <w:r>
        <w:rPr>
          <w:color w:val="231F20"/>
        </w:rPr>
        <w:t>у</w:t>
      </w:r>
      <w:r>
        <w:rPr>
          <w:color w:val="231F20"/>
          <w:spacing w:val="-17"/>
        </w:rPr>
        <w:t xml:space="preserve"> </w:t>
      </w:r>
      <w:r>
        <w:rPr>
          <w:color w:val="231F20"/>
        </w:rPr>
        <w:t>сфері</w:t>
      </w:r>
      <w:r>
        <w:rPr>
          <w:color w:val="231F20"/>
          <w:spacing w:val="-18"/>
        </w:rPr>
        <w:t xml:space="preserve"> </w:t>
      </w:r>
      <w:r>
        <w:rPr>
          <w:color w:val="231F20"/>
        </w:rPr>
        <w:t>місто- будування»</w:t>
      </w:r>
      <w:r>
        <w:rPr>
          <w:color w:val="231F20"/>
          <w:spacing w:val="-12"/>
        </w:rPr>
        <w:t xml:space="preserve"> </w:t>
      </w:r>
      <w:r>
        <w:rPr>
          <w:color w:val="231F20"/>
        </w:rPr>
        <w:t>від</w:t>
      </w:r>
      <w:r>
        <w:rPr>
          <w:color w:val="231F20"/>
          <w:spacing w:val="-12"/>
        </w:rPr>
        <w:t xml:space="preserve"> </w:t>
      </w:r>
      <w:r>
        <w:rPr>
          <w:color w:val="231F20"/>
        </w:rPr>
        <w:t>14</w:t>
      </w:r>
      <w:r>
        <w:rPr>
          <w:color w:val="231F20"/>
          <w:spacing w:val="-12"/>
        </w:rPr>
        <w:t xml:space="preserve"> </w:t>
      </w:r>
      <w:r>
        <w:rPr>
          <w:color w:val="231F20"/>
        </w:rPr>
        <w:t>жовтня</w:t>
      </w:r>
      <w:r>
        <w:rPr>
          <w:color w:val="231F20"/>
          <w:spacing w:val="-12"/>
        </w:rPr>
        <w:t xml:space="preserve"> </w:t>
      </w:r>
      <w:r>
        <w:rPr>
          <w:color w:val="231F20"/>
        </w:rPr>
        <w:t>1994</w:t>
      </w:r>
      <w:r>
        <w:rPr>
          <w:color w:val="231F20"/>
          <w:spacing w:val="-12"/>
        </w:rPr>
        <w:t xml:space="preserve"> </w:t>
      </w:r>
      <w:r>
        <w:rPr>
          <w:color w:val="231F20"/>
        </w:rPr>
        <w:t>р</w:t>
      </w:r>
      <w:r>
        <w:rPr>
          <w:color w:val="231F20"/>
          <w:spacing w:val="-12"/>
        </w:rPr>
        <w:t xml:space="preserve"> </w:t>
      </w:r>
      <w:r>
        <w:rPr>
          <w:color w:val="231F20"/>
        </w:rPr>
        <w:t>№</w:t>
      </w:r>
      <w:r>
        <w:rPr>
          <w:color w:val="231F20"/>
          <w:spacing w:val="-8"/>
        </w:rPr>
        <w:t xml:space="preserve"> </w:t>
      </w:r>
      <w:r>
        <w:rPr>
          <w:color w:val="231F20"/>
        </w:rPr>
        <w:t>208/94-ВР;</w:t>
      </w:r>
      <w:r>
        <w:rPr>
          <w:color w:val="231F20"/>
          <w:spacing w:val="-12"/>
        </w:rPr>
        <w:t xml:space="preserve"> </w:t>
      </w:r>
      <w:r>
        <w:rPr>
          <w:color w:val="231F20"/>
        </w:rPr>
        <w:t>«Про</w:t>
      </w:r>
      <w:r>
        <w:rPr>
          <w:color w:val="231F20"/>
          <w:spacing w:val="-12"/>
        </w:rPr>
        <w:t xml:space="preserve"> </w:t>
      </w:r>
      <w:r>
        <w:rPr>
          <w:color w:val="231F20"/>
        </w:rPr>
        <w:t>захист</w:t>
      </w:r>
      <w:r>
        <w:rPr>
          <w:color w:val="231F20"/>
          <w:spacing w:val="-12"/>
        </w:rPr>
        <w:t xml:space="preserve"> </w:t>
      </w:r>
      <w:r>
        <w:rPr>
          <w:color w:val="231F20"/>
        </w:rPr>
        <w:t>від</w:t>
      </w:r>
      <w:r>
        <w:rPr>
          <w:color w:val="231F20"/>
          <w:spacing w:val="-12"/>
        </w:rPr>
        <w:t xml:space="preserve"> </w:t>
      </w:r>
      <w:r>
        <w:rPr>
          <w:color w:val="231F20"/>
        </w:rPr>
        <w:t xml:space="preserve">недо- бросовісної конкуренції» від 7 червня 1996 р № ° 236/96-ВР; «Про рекламу» від 3 липня </w:t>
      </w:r>
      <w:r>
        <w:rPr>
          <w:color w:val="231F20"/>
        </w:rPr>
        <w:t>1996 р № 270/96-ВР та ін.); 3) наявність підза- конних актів, положення яких деталізують механізм притягнення до адміністративної відповідальності юридичних осіб; 4) наявність конкретних прикладів накладення адміністративних стягнень на юридичних</w:t>
      </w:r>
      <w:r>
        <w:rPr>
          <w:color w:val="231F20"/>
          <w:spacing w:val="-2"/>
        </w:rPr>
        <w:t xml:space="preserve"> </w:t>
      </w:r>
      <w:r>
        <w:rPr>
          <w:color w:val="231F20"/>
        </w:rPr>
        <w:t>осіб.</w:t>
      </w:r>
    </w:p>
    <w:p w14:paraId="10982D93" w14:textId="77777777" w:rsidR="00DE575E" w:rsidRDefault="002E7560">
      <w:pPr>
        <w:pStyle w:val="BodyText"/>
        <w:spacing w:before="9" w:line="252" w:lineRule="auto"/>
        <w:ind w:left="250" w:right="413" w:firstLine="283"/>
        <w:jc w:val="both"/>
      </w:pPr>
      <w:r>
        <w:rPr>
          <w:color w:val="231F20"/>
        </w:rPr>
        <w:t>Хар</w:t>
      </w:r>
      <w:r>
        <w:rPr>
          <w:color w:val="231F20"/>
        </w:rPr>
        <w:t>актерні риси адміністративної відповідальності юридичних осіб:</w:t>
      </w:r>
    </w:p>
    <w:p w14:paraId="39192988" w14:textId="77777777" w:rsidR="00DE575E" w:rsidRDefault="002E7560">
      <w:pPr>
        <w:pStyle w:val="ListParagraph"/>
        <w:numPr>
          <w:ilvl w:val="0"/>
          <w:numId w:val="44"/>
        </w:numPr>
        <w:tabs>
          <w:tab w:val="left" w:pos="818"/>
        </w:tabs>
        <w:ind w:firstLine="283"/>
        <w:jc w:val="left"/>
        <w:rPr>
          <w:sz w:val="21"/>
        </w:rPr>
      </w:pPr>
      <w:r>
        <w:rPr>
          <w:color w:val="231F20"/>
          <w:sz w:val="21"/>
        </w:rPr>
        <w:t>деліктоздатність виникає від моменту державної</w:t>
      </w:r>
      <w:r>
        <w:rPr>
          <w:color w:val="231F20"/>
          <w:spacing w:val="-8"/>
          <w:sz w:val="21"/>
        </w:rPr>
        <w:t xml:space="preserve"> </w:t>
      </w:r>
      <w:r>
        <w:rPr>
          <w:color w:val="231F20"/>
          <w:sz w:val="21"/>
        </w:rPr>
        <w:t>реєстрації;</w:t>
      </w:r>
    </w:p>
    <w:p w14:paraId="155B2B0A" w14:textId="77777777" w:rsidR="00DE575E" w:rsidRDefault="002E7560">
      <w:pPr>
        <w:pStyle w:val="ListParagraph"/>
        <w:numPr>
          <w:ilvl w:val="0"/>
          <w:numId w:val="44"/>
        </w:numPr>
        <w:tabs>
          <w:tab w:val="left" w:pos="818"/>
        </w:tabs>
        <w:spacing w:before="13" w:line="252" w:lineRule="auto"/>
        <w:ind w:right="410" w:firstLine="283"/>
        <w:rPr>
          <w:sz w:val="21"/>
        </w:rPr>
      </w:pPr>
      <w:r>
        <w:rPr>
          <w:color w:val="231F20"/>
          <w:sz w:val="21"/>
        </w:rPr>
        <w:t>деліктоздатність утрачується від моменту вилучення з реєстру юридичних</w:t>
      </w:r>
      <w:r>
        <w:rPr>
          <w:color w:val="231F20"/>
          <w:spacing w:val="-3"/>
          <w:sz w:val="21"/>
        </w:rPr>
        <w:t xml:space="preserve"> </w:t>
      </w:r>
      <w:r>
        <w:rPr>
          <w:color w:val="231F20"/>
          <w:sz w:val="21"/>
        </w:rPr>
        <w:t>осіб.</w:t>
      </w:r>
    </w:p>
    <w:p w14:paraId="658ECFEF" w14:textId="77777777" w:rsidR="00DE575E" w:rsidRDefault="002E7560">
      <w:pPr>
        <w:pStyle w:val="Heading5"/>
        <w:spacing w:before="1" w:line="252" w:lineRule="auto"/>
        <w:ind w:left="250" w:right="408" w:firstLine="283"/>
        <w:jc w:val="both"/>
      </w:pPr>
      <w:r>
        <w:rPr>
          <w:color w:val="231F20"/>
        </w:rPr>
        <w:t xml:space="preserve">Отже, юридична особа є суб’єктом адміністративної відпо- </w:t>
      </w:r>
      <w:r>
        <w:rPr>
          <w:color w:val="231F20"/>
        </w:rPr>
        <w:t>відальності, якщо до моменту вчинення адміністративного проступку вона зареєстрована в установленому законом порядку.</w:t>
      </w:r>
    </w:p>
    <w:p w14:paraId="32CBF198" w14:textId="77777777" w:rsidR="00DE575E" w:rsidRDefault="002E7560">
      <w:pPr>
        <w:pStyle w:val="BodyText"/>
        <w:spacing w:before="2" w:line="252" w:lineRule="auto"/>
        <w:ind w:left="250" w:right="411" w:firstLine="283"/>
        <w:jc w:val="both"/>
      </w:pPr>
      <w:r>
        <w:rPr>
          <w:color w:val="231F20"/>
        </w:rPr>
        <w:t>Адміністративній відповідальності як юридичних, так і фізичних осіб</w:t>
      </w:r>
      <w:r>
        <w:rPr>
          <w:color w:val="231F20"/>
          <w:spacing w:val="-8"/>
        </w:rPr>
        <w:t xml:space="preserve"> </w:t>
      </w:r>
      <w:r>
        <w:rPr>
          <w:color w:val="231F20"/>
        </w:rPr>
        <w:t>притаманні</w:t>
      </w:r>
      <w:r>
        <w:rPr>
          <w:color w:val="231F20"/>
          <w:spacing w:val="-8"/>
        </w:rPr>
        <w:t xml:space="preserve"> </w:t>
      </w:r>
      <w:r>
        <w:rPr>
          <w:color w:val="231F20"/>
        </w:rPr>
        <w:t>такі</w:t>
      </w:r>
      <w:r>
        <w:rPr>
          <w:color w:val="231F20"/>
          <w:spacing w:val="-8"/>
        </w:rPr>
        <w:t xml:space="preserve"> </w:t>
      </w:r>
      <w:r>
        <w:rPr>
          <w:color w:val="231F20"/>
        </w:rPr>
        <w:t>спільні</w:t>
      </w:r>
      <w:r>
        <w:rPr>
          <w:color w:val="231F20"/>
          <w:spacing w:val="-8"/>
        </w:rPr>
        <w:t xml:space="preserve"> </w:t>
      </w:r>
      <w:r>
        <w:rPr>
          <w:color w:val="231F20"/>
        </w:rPr>
        <w:t>ознаки,</w:t>
      </w:r>
      <w:r>
        <w:rPr>
          <w:color w:val="231F20"/>
          <w:spacing w:val="-8"/>
        </w:rPr>
        <w:t xml:space="preserve"> </w:t>
      </w:r>
      <w:r>
        <w:rPr>
          <w:color w:val="231F20"/>
        </w:rPr>
        <w:t>як</w:t>
      </w:r>
      <w:r>
        <w:rPr>
          <w:color w:val="231F20"/>
          <w:spacing w:val="-8"/>
        </w:rPr>
        <w:t xml:space="preserve"> </w:t>
      </w:r>
      <w:r>
        <w:rPr>
          <w:color w:val="231F20"/>
        </w:rPr>
        <w:t>публічний</w:t>
      </w:r>
      <w:r>
        <w:rPr>
          <w:color w:val="231F20"/>
          <w:spacing w:val="-8"/>
        </w:rPr>
        <w:t xml:space="preserve"> </w:t>
      </w:r>
      <w:r>
        <w:rPr>
          <w:color w:val="231F20"/>
        </w:rPr>
        <w:t>державно</w:t>
      </w:r>
      <w:r>
        <w:rPr>
          <w:color w:val="231F20"/>
          <w:spacing w:val="-8"/>
        </w:rPr>
        <w:t xml:space="preserve"> </w:t>
      </w:r>
      <w:r>
        <w:rPr>
          <w:color w:val="231F20"/>
        </w:rPr>
        <w:t>обов’яз- ковий</w:t>
      </w:r>
      <w:r>
        <w:rPr>
          <w:color w:val="231F20"/>
          <w:spacing w:val="22"/>
        </w:rPr>
        <w:t xml:space="preserve"> </w:t>
      </w:r>
      <w:r>
        <w:rPr>
          <w:color w:val="231F20"/>
        </w:rPr>
        <w:t>характер,</w:t>
      </w:r>
      <w:r>
        <w:rPr>
          <w:color w:val="231F20"/>
          <w:spacing w:val="22"/>
        </w:rPr>
        <w:t xml:space="preserve"> </w:t>
      </w:r>
      <w:r>
        <w:rPr>
          <w:color w:val="231F20"/>
        </w:rPr>
        <w:t>зосередження</w:t>
      </w:r>
      <w:r>
        <w:rPr>
          <w:color w:val="231F20"/>
          <w:spacing w:val="22"/>
        </w:rPr>
        <w:t xml:space="preserve"> </w:t>
      </w:r>
      <w:r>
        <w:rPr>
          <w:color w:val="231F20"/>
        </w:rPr>
        <w:t>права</w:t>
      </w:r>
      <w:r>
        <w:rPr>
          <w:color w:val="231F20"/>
          <w:spacing w:val="22"/>
        </w:rPr>
        <w:t xml:space="preserve"> </w:t>
      </w:r>
      <w:r>
        <w:rPr>
          <w:color w:val="231F20"/>
        </w:rPr>
        <w:t>накладення</w:t>
      </w:r>
      <w:r>
        <w:rPr>
          <w:color w:val="231F20"/>
          <w:spacing w:val="22"/>
        </w:rPr>
        <w:t xml:space="preserve"> </w:t>
      </w:r>
      <w:r>
        <w:rPr>
          <w:color w:val="231F20"/>
        </w:rPr>
        <w:t>стягнень</w:t>
      </w:r>
      <w:r>
        <w:rPr>
          <w:color w:val="231F20"/>
          <w:spacing w:val="22"/>
        </w:rPr>
        <w:t xml:space="preserve"> </w:t>
      </w:r>
      <w:r>
        <w:rPr>
          <w:color w:val="231F20"/>
        </w:rPr>
        <w:t>в</w:t>
      </w:r>
      <w:r>
        <w:rPr>
          <w:color w:val="231F20"/>
          <w:spacing w:val="21"/>
        </w:rPr>
        <w:t xml:space="preserve"> </w:t>
      </w:r>
      <w:r>
        <w:rPr>
          <w:color w:val="231F20"/>
        </w:rPr>
        <w:t>упов-</w:t>
      </w:r>
    </w:p>
    <w:p w14:paraId="55003207" w14:textId="77777777" w:rsidR="00DE575E" w:rsidRDefault="00DE575E">
      <w:pPr>
        <w:pStyle w:val="BodyText"/>
        <w:spacing w:before="6"/>
        <w:rPr>
          <w:sz w:val="12"/>
        </w:rPr>
      </w:pPr>
    </w:p>
    <w:p w14:paraId="038C2045" w14:textId="77777777" w:rsidR="00DE575E" w:rsidRDefault="002E7560">
      <w:pPr>
        <w:spacing w:before="91"/>
        <w:ind w:right="411"/>
        <w:jc w:val="right"/>
        <w:rPr>
          <w:rFonts w:ascii="Times New Roman"/>
          <w:sz w:val="20"/>
        </w:rPr>
      </w:pPr>
      <w:r>
        <w:rPr>
          <w:rFonts w:ascii="Times New Roman"/>
          <w:color w:val="231F20"/>
          <w:w w:val="90"/>
          <w:sz w:val="20"/>
        </w:rPr>
        <w:t>479</w:t>
      </w:r>
    </w:p>
    <w:p w14:paraId="31BEB5DC"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C5374A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8AE8881" w14:textId="7C7CBEE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AFEFBDC" wp14:editId="22D91163">
                <wp:extent cx="4140200" cy="6350"/>
                <wp:effectExtent l="0" t="0" r="12700" b="6350"/>
                <wp:docPr id="20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10" name="Line 20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8EA85E" id="Group_x0020_20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yMzgd/AgAAmAUAAA4A&#10;AAAAAAAAAAAAAAAALAIAAGRycy9lMm9Eb2MueG1sUEsBAi0AFAAGAAgAAAAhAEynsJDZAAAAAwEA&#10;AA8AAAAAAAAAAAAAAAAA1wQAAGRycy9kb3ducmV2LnhtbFBLBQYAAAAABAAEAPMAAADdBQAAAAA=&#10;">
                <v:line id="Line_x0020_20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i+1MIAAADcAAAADwAAAGRycy9kb3ducmV2LnhtbERPzYrCMBC+L/gOYQQvy5qqsEjXKCII&#10;4kFd6wOMzWxbNpnUJtrq05uD4PHj+58tOmvEjRpfOVYwGiYgiHOnKy4UnLL11xSED8gajWNScCcP&#10;i3nvY4apdi3/0u0YChFD2KeooAyhTqX0eUkW/dDVxJH7c43FEGFTSN1gG8OtkeMk+ZYWK44NJda0&#10;Kin/P16tguzyGcxhvzVttj9P5PmymzyuO6UG/W75AyJQF97il3ujFYxHcX48E4+AnD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Xi+1MIAAADcAAAADwAAAAAAAAAAAAAA&#10;AAChAgAAZHJzL2Rvd25yZXYueG1sUEsFBgAAAAAEAAQA+QAAAJADAAAAAA==&#10;" strokecolor="#231f20" strokeweight=".5pt"/>
                <w10:anchorlock/>
              </v:group>
            </w:pict>
          </mc:Fallback>
        </mc:AlternateContent>
      </w:r>
    </w:p>
    <w:p w14:paraId="4AB776EF" w14:textId="77777777" w:rsidR="00DE575E" w:rsidRDefault="00DE575E">
      <w:pPr>
        <w:pStyle w:val="BodyText"/>
        <w:spacing w:before="7"/>
        <w:rPr>
          <w:rFonts w:ascii="AdonisC"/>
          <w:i/>
          <w:sz w:val="11"/>
        </w:rPr>
      </w:pPr>
    </w:p>
    <w:p w14:paraId="7B5A7FE5" w14:textId="77777777" w:rsidR="00DE575E" w:rsidRDefault="002E7560">
      <w:pPr>
        <w:pStyle w:val="BodyText"/>
        <w:spacing w:before="101" w:line="252" w:lineRule="auto"/>
        <w:ind w:right="127"/>
        <w:jc w:val="right"/>
      </w:pPr>
      <w:r>
        <w:rPr>
          <w:color w:val="231F20"/>
        </w:rPr>
        <w:t>новажених органах виконавчої влади (тобто наявність органів адміністративної юрисдикції), особливий порядок притягнення до відповідальності, установлення виключного переліку діянь, за які накладаються стягнення, та відп</w:t>
      </w:r>
      <w:r>
        <w:rPr>
          <w:color w:val="231F20"/>
        </w:rPr>
        <w:t xml:space="preserve">овідальності за них перед законом. </w:t>
      </w:r>
      <w:r>
        <w:rPr>
          <w:b/>
          <w:i/>
          <w:color w:val="231F20"/>
        </w:rPr>
        <w:t>Санкції</w:t>
      </w:r>
      <w:r>
        <w:rPr>
          <w:color w:val="231F20"/>
        </w:rPr>
        <w:t>, які застосовуються до юридичних осіб як суб’єктів адмі-</w:t>
      </w:r>
    </w:p>
    <w:p w14:paraId="59E9628F" w14:textId="77777777" w:rsidR="00DE575E" w:rsidRDefault="002E7560">
      <w:pPr>
        <w:pStyle w:val="BodyText"/>
        <w:spacing w:before="2"/>
        <w:ind w:left="533"/>
      </w:pPr>
      <w:r>
        <w:rPr>
          <w:color w:val="231F20"/>
        </w:rPr>
        <w:t>ністративної відповідальності, поділяються на три групи:</w:t>
      </w:r>
    </w:p>
    <w:p w14:paraId="6976F737" w14:textId="77777777" w:rsidR="00DE575E" w:rsidRDefault="002E7560">
      <w:pPr>
        <w:pStyle w:val="BodyText"/>
        <w:spacing w:before="13" w:line="252" w:lineRule="auto"/>
        <w:ind w:left="533" w:right="128" w:firstLine="283"/>
        <w:jc w:val="both"/>
      </w:pPr>
      <w:r>
        <w:rPr>
          <w:color w:val="231F20"/>
        </w:rPr>
        <w:t>І. Заходи майнового характеру: а) фінансові санкції; б) конфіс- кація майна; в) вилучення прибутку (доходу) або інших незаконно отриманих сум.</w:t>
      </w:r>
    </w:p>
    <w:p w14:paraId="13F6EF12" w14:textId="77777777" w:rsidR="00DE575E" w:rsidRDefault="002E7560">
      <w:pPr>
        <w:pStyle w:val="BodyText"/>
        <w:spacing w:before="1" w:line="252" w:lineRule="auto"/>
        <w:ind w:left="533" w:right="128" w:firstLine="283"/>
        <w:jc w:val="both"/>
      </w:pPr>
      <w:r>
        <w:rPr>
          <w:color w:val="231F20"/>
        </w:rPr>
        <w:t>ІІ. Заходи, пов’язані з обмеженням дієздатності юридичних осіб: а)</w:t>
      </w:r>
      <w:r>
        <w:rPr>
          <w:color w:val="231F20"/>
          <w:spacing w:val="-10"/>
        </w:rPr>
        <w:t xml:space="preserve"> </w:t>
      </w:r>
      <w:r>
        <w:rPr>
          <w:color w:val="231F20"/>
        </w:rPr>
        <w:t>зупинення</w:t>
      </w:r>
      <w:r>
        <w:rPr>
          <w:color w:val="231F20"/>
          <w:spacing w:val="-10"/>
        </w:rPr>
        <w:t xml:space="preserve"> </w:t>
      </w:r>
      <w:r>
        <w:rPr>
          <w:color w:val="231F20"/>
        </w:rPr>
        <w:t>дії</w:t>
      </w:r>
      <w:r>
        <w:rPr>
          <w:color w:val="231F20"/>
          <w:spacing w:val="-10"/>
        </w:rPr>
        <w:t xml:space="preserve"> </w:t>
      </w:r>
      <w:r>
        <w:rPr>
          <w:color w:val="231F20"/>
        </w:rPr>
        <w:t>або</w:t>
      </w:r>
      <w:r>
        <w:rPr>
          <w:color w:val="231F20"/>
          <w:spacing w:val="-10"/>
        </w:rPr>
        <w:t xml:space="preserve"> </w:t>
      </w:r>
      <w:r>
        <w:rPr>
          <w:color w:val="231F20"/>
        </w:rPr>
        <w:t>анулювання</w:t>
      </w:r>
      <w:r>
        <w:rPr>
          <w:color w:val="231F20"/>
          <w:spacing w:val="-10"/>
        </w:rPr>
        <w:t xml:space="preserve"> </w:t>
      </w:r>
      <w:r>
        <w:rPr>
          <w:color w:val="231F20"/>
        </w:rPr>
        <w:t>ліцензії;</w:t>
      </w:r>
      <w:r>
        <w:rPr>
          <w:color w:val="231F20"/>
          <w:spacing w:val="-10"/>
        </w:rPr>
        <w:t xml:space="preserve"> </w:t>
      </w:r>
      <w:r>
        <w:rPr>
          <w:color w:val="231F20"/>
        </w:rPr>
        <w:t>б)</w:t>
      </w:r>
      <w:r>
        <w:rPr>
          <w:color w:val="231F20"/>
          <w:spacing w:val="-10"/>
        </w:rPr>
        <w:t xml:space="preserve"> </w:t>
      </w:r>
      <w:r>
        <w:rPr>
          <w:color w:val="231F20"/>
        </w:rPr>
        <w:t>обме</w:t>
      </w:r>
      <w:r>
        <w:rPr>
          <w:color w:val="231F20"/>
        </w:rPr>
        <w:t>ження</w:t>
      </w:r>
      <w:r>
        <w:rPr>
          <w:color w:val="231F20"/>
          <w:spacing w:val="-10"/>
        </w:rPr>
        <w:t xml:space="preserve"> </w:t>
      </w:r>
      <w:r>
        <w:rPr>
          <w:color w:val="231F20"/>
        </w:rPr>
        <w:t>у</w:t>
      </w:r>
      <w:r>
        <w:rPr>
          <w:color w:val="231F20"/>
          <w:spacing w:val="-8"/>
        </w:rPr>
        <w:t xml:space="preserve"> </w:t>
      </w:r>
      <w:r>
        <w:rPr>
          <w:color w:val="231F20"/>
        </w:rPr>
        <w:t>здійсненні певних видів</w:t>
      </w:r>
      <w:r>
        <w:rPr>
          <w:color w:val="231F20"/>
          <w:spacing w:val="-2"/>
        </w:rPr>
        <w:t xml:space="preserve"> </w:t>
      </w:r>
      <w:r>
        <w:rPr>
          <w:color w:val="231F20"/>
        </w:rPr>
        <w:t>діяльності.</w:t>
      </w:r>
    </w:p>
    <w:p w14:paraId="033E4336" w14:textId="77777777" w:rsidR="00DE575E" w:rsidRDefault="002E7560">
      <w:pPr>
        <w:pStyle w:val="BodyText"/>
        <w:spacing w:before="2" w:line="252" w:lineRule="auto"/>
        <w:ind w:left="533" w:right="131" w:firstLine="283"/>
        <w:jc w:val="both"/>
      </w:pPr>
      <w:r>
        <w:rPr>
          <w:color w:val="231F20"/>
        </w:rPr>
        <w:t>ІІІ.</w:t>
      </w:r>
      <w:r>
        <w:rPr>
          <w:color w:val="231F20"/>
          <w:spacing w:val="-12"/>
        </w:rPr>
        <w:t xml:space="preserve"> </w:t>
      </w:r>
      <w:r>
        <w:rPr>
          <w:color w:val="231F20"/>
          <w:spacing w:val="-2"/>
        </w:rPr>
        <w:t>Заходи</w:t>
      </w:r>
      <w:r>
        <w:rPr>
          <w:color w:val="231F20"/>
          <w:spacing w:val="-12"/>
        </w:rPr>
        <w:t xml:space="preserve"> </w:t>
      </w:r>
      <w:r>
        <w:rPr>
          <w:color w:val="231F20"/>
        </w:rPr>
        <w:t>організаційного</w:t>
      </w:r>
      <w:r>
        <w:rPr>
          <w:color w:val="231F20"/>
          <w:spacing w:val="-12"/>
        </w:rPr>
        <w:t xml:space="preserve"> </w:t>
      </w:r>
      <w:r>
        <w:rPr>
          <w:color w:val="231F20"/>
        </w:rPr>
        <w:t>характеру:</w:t>
      </w:r>
      <w:r>
        <w:rPr>
          <w:color w:val="231F20"/>
          <w:spacing w:val="-12"/>
        </w:rPr>
        <w:t xml:space="preserve"> </w:t>
      </w:r>
      <w:r>
        <w:rPr>
          <w:color w:val="231F20"/>
        </w:rPr>
        <w:t>а)</w:t>
      </w:r>
      <w:r>
        <w:rPr>
          <w:color w:val="231F20"/>
          <w:spacing w:val="-12"/>
        </w:rPr>
        <w:t xml:space="preserve"> </w:t>
      </w:r>
      <w:r>
        <w:rPr>
          <w:color w:val="231F20"/>
        </w:rPr>
        <w:t>примусова</w:t>
      </w:r>
      <w:r>
        <w:rPr>
          <w:color w:val="231F20"/>
          <w:spacing w:val="-12"/>
        </w:rPr>
        <w:t xml:space="preserve"> </w:t>
      </w:r>
      <w:r>
        <w:rPr>
          <w:color w:val="231F20"/>
        </w:rPr>
        <w:t>реорганізація юридичної особи; б) ліквідація юридичної</w:t>
      </w:r>
      <w:r>
        <w:rPr>
          <w:color w:val="231F20"/>
          <w:spacing w:val="-11"/>
        </w:rPr>
        <w:t xml:space="preserve"> </w:t>
      </w:r>
      <w:r>
        <w:rPr>
          <w:color w:val="231F20"/>
        </w:rPr>
        <w:t>особи.</w:t>
      </w:r>
    </w:p>
    <w:p w14:paraId="06A50E8A" w14:textId="77777777" w:rsidR="00DE575E" w:rsidRDefault="002E7560">
      <w:pPr>
        <w:pStyle w:val="BodyText"/>
        <w:spacing w:before="1" w:line="252" w:lineRule="auto"/>
        <w:ind w:left="533" w:right="127" w:firstLine="283"/>
        <w:jc w:val="both"/>
      </w:pPr>
      <w:r>
        <w:rPr>
          <w:b/>
          <w:i/>
          <w:color w:val="231F20"/>
        </w:rPr>
        <w:t xml:space="preserve">Актуальними проблемами </w:t>
      </w:r>
      <w:r>
        <w:rPr>
          <w:color w:val="231F20"/>
        </w:rPr>
        <w:t>адміністративної відповідаль-  ності юридичних осіб є:  1) потреба  констру</w:t>
      </w:r>
      <w:r>
        <w:rPr>
          <w:color w:val="231F20"/>
        </w:rPr>
        <w:t>ювання  та  наведення в єдиному нормативно-правовому акті повного переліку адмініст- ративних стягнень, що можуть застосовуватися до юридичних осіб, із визначенням загальних правил накладення вказаних</w:t>
      </w:r>
      <w:r>
        <w:rPr>
          <w:color w:val="231F20"/>
          <w:spacing w:val="-21"/>
        </w:rPr>
        <w:t xml:space="preserve"> </w:t>
      </w:r>
      <w:r>
        <w:rPr>
          <w:color w:val="231F20"/>
        </w:rPr>
        <w:t>стягнень;</w:t>
      </w:r>
    </w:p>
    <w:p w14:paraId="052B8627" w14:textId="77777777" w:rsidR="00DE575E" w:rsidRDefault="002E7560">
      <w:pPr>
        <w:pStyle w:val="BodyText"/>
        <w:spacing w:before="2" w:line="252" w:lineRule="auto"/>
        <w:ind w:left="533" w:right="128"/>
        <w:jc w:val="both"/>
      </w:pPr>
      <w:r>
        <w:rPr>
          <w:color w:val="231F20"/>
        </w:rPr>
        <w:t>2) потреба визначення місця та ролі адміністр</w:t>
      </w:r>
      <w:r>
        <w:rPr>
          <w:color w:val="231F20"/>
        </w:rPr>
        <w:t>ативно-господарсь- ких санкцій у загальній структурі адміністративної відповідаль- ності юридичних осіб; 3) потреби теоретико-правового обґрунту- вання вини юридичної особи (як необхідної складової суб’єктивної сторони адміністративного правопорушення) тощ</w:t>
      </w:r>
      <w:r>
        <w:rPr>
          <w:color w:val="231F20"/>
        </w:rPr>
        <w:t>о.</w:t>
      </w:r>
    </w:p>
    <w:p w14:paraId="71C62B3F" w14:textId="77777777" w:rsidR="00DE575E" w:rsidRDefault="002E7560">
      <w:pPr>
        <w:pStyle w:val="BodyText"/>
        <w:spacing w:before="3" w:line="252" w:lineRule="auto"/>
        <w:ind w:left="533" w:right="126" w:firstLine="283"/>
        <w:jc w:val="both"/>
      </w:pPr>
      <w:r>
        <w:rPr>
          <w:color w:val="231F20"/>
          <w:spacing w:val="-3"/>
        </w:rPr>
        <w:t xml:space="preserve">КУпАП </w:t>
      </w:r>
      <w:r>
        <w:rPr>
          <w:color w:val="231F20"/>
        </w:rPr>
        <w:t xml:space="preserve">передбачено відповідальність за адміністративні право- порушення у сфері забезпечення безпеки дорожнього </w:t>
      </w:r>
      <w:r>
        <w:rPr>
          <w:color w:val="231F20"/>
          <w:spacing w:val="-5"/>
        </w:rPr>
        <w:t xml:space="preserve">руху, </w:t>
      </w:r>
      <w:r>
        <w:rPr>
          <w:color w:val="231F20"/>
        </w:rPr>
        <w:t>зафік- совані в автоматичному режимі, та за порушення правил зупинки, стоянки, паркування транспортних засобів, зафіксовані в режимі фот</w:t>
      </w:r>
      <w:r>
        <w:rPr>
          <w:color w:val="231F20"/>
        </w:rPr>
        <w:t xml:space="preserve">озйомки (відеозапису) </w:t>
      </w:r>
      <w:r>
        <w:rPr>
          <w:color w:val="231F20"/>
          <w:spacing w:val="-5"/>
        </w:rPr>
        <w:t xml:space="preserve">(ст. </w:t>
      </w:r>
      <w:r>
        <w:rPr>
          <w:color w:val="231F20"/>
        </w:rPr>
        <w:t xml:space="preserve">14-2 КУпАП), водночас </w:t>
      </w:r>
      <w:r>
        <w:rPr>
          <w:color w:val="231F20"/>
          <w:spacing w:val="-6"/>
        </w:rPr>
        <w:t xml:space="preserve">ст. </w:t>
      </w:r>
      <w:r>
        <w:rPr>
          <w:color w:val="231F20"/>
        </w:rPr>
        <w:t xml:space="preserve">27 </w:t>
      </w:r>
      <w:r>
        <w:rPr>
          <w:color w:val="231F20"/>
          <w:spacing w:val="-3"/>
        </w:rPr>
        <w:t xml:space="preserve">КУпАП </w:t>
      </w:r>
      <w:r>
        <w:rPr>
          <w:color w:val="231F20"/>
        </w:rPr>
        <w:t>визначено, що штраф як вид адміністративного стягнення може накладатися</w:t>
      </w:r>
      <w:r>
        <w:rPr>
          <w:color w:val="231F20"/>
          <w:spacing w:val="-9"/>
        </w:rPr>
        <w:t xml:space="preserve"> </w:t>
      </w:r>
      <w:r>
        <w:rPr>
          <w:color w:val="231F20"/>
        </w:rPr>
        <w:t>як</w:t>
      </w:r>
      <w:r>
        <w:rPr>
          <w:color w:val="231F20"/>
          <w:spacing w:val="-9"/>
        </w:rPr>
        <w:t xml:space="preserve"> </w:t>
      </w:r>
      <w:r>
        <w:rPr>
          <w:color w:val="231F20"/>
        </w:rPr>
        <w:t>на</w:t>
      </w:r>
      <w:r>
        <w:rPr>
          <w:color w:val="231F20"/>
          <w:spacing w:val="-9"/>
        </w:rPr>
        <w:t xml:space="preserve"> </w:t>
      </w:r>
      <w:r>
        <w:rPr>
          <w:color w:val="231F20"/>
        </w:rPr>
        <w:t>фізичних,</w:t>
      </w:r>
      <w:r>
        <w:rPr>
          <w:color w:val="231F20"/>
          <w:spacing w:val="-9"/>
        </w:rPr>
        <w:t xml:space="preserve"> </w:t>
      </w:r>
      <w:r>
        <w:rPr>
          <w:color w:val="231F20"/>
        </w:rPr>
        <w:t>так</w:t>
      </w:r>
      <w:r>
        <w:rPr>
          <w:color w:val="231F20"/>
          <w:spacing w:val="-9"/>
        </w:rPr>
        <w:t xml:space="preserve"> </w:t>
      </w:r>
      <w:r>
        <w:rPr>
          <w:color w:val="231F20"/>
        </w:rPr>
        <w:t>і</w:t>
      </w:r>
      <w:r>
        <w:rPr>
          <w:color w:val="231F20"/>
          <w:spacing w:val="-9"/>
        </w:rPr>
        <w:t xml:space="preserve"> </w:t>
      </w:r>
      <w:r>
        <w:rPr>
          <w:color w:val="231F20"/>
        </w:rPr>
        <w:t>на</w:t>
      </w:r>
      <w:r>
        <w:rPr>
          <w:color w:val="231F20"/>
          <w:spacing w:val="-9"/>
        </w:rPr>
        <w:t xml:space="preserve"> </w:t>
      </w:r>
      <w:r>
        <w:rPr>
          <w:color w:val="231F20"/>
        </w:rPr>
        <w:t>юридичних</w:t>
      </w:r>
      <w:r>
        <w:rPr>
          <w:color w:val="231F20"/>
          <w:spacing w:val="-9"/>
        </w:rPr>
        <w:t xml:space="preserve"> </w:t>
      </w:r>
      <w:r>
        <w:rPr>
          <w:color w:val="231F20"/>
        </w:rPr>
        <w:t>осіб.</w:t>
      </w:r>
      <w:r>
        <w:rPr>
          <w:color w:val="231F20"/>
          <w:spacing w:val="-9"/>
        </w:rPr>
        <w:t xml:space="preserve"> </w:t>
      </w:r>
      <w:r>
        <w:rPr>
          <w:color w:val="231F20"/>
        </w:rPr>
        <w:t>А</w:t>
      </w:r>
      <w:r>
        <w:rPr>
          <w:color w:val="231F20"/>
          <w:spacing w:val="-9"/>
        </w:rPr>
        <w:t xml:space="preserve"> </w:t>
      </w:r>
      <w:r>
        <w:rPr>
          <w:color w:val="231F20"/>
        </w:rPr>
        <w:t>в</w:t>
      </w:r>
      <w:r>
        <w:rPr>
          <w:color w:val="231F20"/>
          <w:spacing w:val="-9"/>
        </w:rPr>
        <w:t xml:space="preserve"> </w:t>
      </w:r>
      <w:r>
        <w:rPr>
          <w:color w:val="231F20"/>
        </w:rPr>
        <w:t>примітці</w:t>
      </w:r>
      <w:r>
        <w:rPr>
          <w:color w:val="231F20"/>
          <w:spacing w:val="-9"/>
        </w:rPr>
        <w:t xml:space="preserve"> </w:t>
      </w:r>
      <w:r>
        <w:rPr>
          <w:color w:val="231F20"/>
        </w:rPr>
        <w:t xml:space="preserve">до </w:t>
      </w:r>
      <w:r>
        <w:rPr>
          <w:color w:val="231F20"/>
          <w:spacing w:val="-6"/>
        </w:rPr>
        <w:t xml:space="preserve">ст. </w:t>
      </w:r>
      <w:r>
        <w:rPr>
          <w:color w:val="231F20"/>
        </w:rPr>
        <w:t xml:space="preserve">123 </w:t>
      </w:r>
      <w:r>
        <w:rPr>
          <w:color w:val="231F20"/>
          <w:spacing w:val="-3"/>
        </w:rPr>
        <w:t xml:space="preserve">КУпАП </w:t>
      </w:r>
      <w:r>
        <w:rPr>
          <w:color w:val="231F20"/>
        </w:rPr>
        <w:t xml:space="preserve">чітко визначено, що </w:t>
      </w:r>
      <w:r>
        <w:rPr>
          <w:color w:val="231F20"/>
          <w:spacing w:val="-3"/>
        </w:rPr>
        <w:t xml:space="preserve">суб’єктом </w:t>
      </w:r>
      <w:r>
        <w:rPr>
          <w:color w:val="231F20"/>
        </w:rPr>
        <w:t>правопорушення в цій статті є особа, яка керувала транспортним засобом у момент його вчинення, а в разі вчинення правопорушення, передбаченого</w:t>
      </w:r>
      <w:r>
        <w:rPr>
          <w:color w:val="231F20"/>
          <w:spacing w:val="-29"/>
        </w:rPr>
        <w:t xml:space="preserve"> </w:t>
      </w:r>
      <w:r>
        <w:rPr>
          <w:color w:val="231F20"/>
        </w:rPr>
        <w:t>части- ною першою цієї статті, якщо зазначене правопорушення зафіксо- вано в автоматичному режимі, – юридична або</w:t>
      </w:r>
      <w:r>
        <w:rPr>
          <w:color w:val="231F20"/>
        </w:rPr>
        <w:t xml:space="preserve"> фізична особа, за якою зареєстровано транспортний</w:t>
      </w:r>
      <w:r>
        <w:rPr>
          <w:color w:val="231F20"/>
          <w:spacing w:val="-4"/>
        </w:rPr>
        <w:t xml:space="preserve"> </w:t>
      </w:r>
      <w:r>
        <w:rPr>
          <w:color w:val="231F20"/>
        </w:rPr>
        <w:t>засіб.</w:t>
      </w:r>
    </w:p>
    <w:p w14:paraId="5A75FD75" w14:textId="77777777" w:rsidR="00DE575E" w:rsidRDefault="002E7560">
      <w:pPr>
        <w:pStyle w:val="BodyText"/>
        <w:spacing w:before="6" w:line="252" w:lineRule="auto"/>
        <w:ind w:left="533" w:right="128" w:firstLine="283"/>
        <w:jc w:val="both"/>
      </w:pPr>
      <w:r>
        <w:rPr>
          <w:color w:val="231F20"/>
        </w:rPr>
        <w:t>Треба відзначити, що вина юридичної особи щодо адміністра- тивного проступку визначається завідомо протиправним характе-</w:t>
      </w:r>
    </w:p>
    <w:p w14:paraId="7B896843" w14:textId="77777777" w:rsidR="00DE575E" w:rsidRDefault="00DE575E">
      <w:pPr>
        <w:pStyle w:val="BodyText"/>
        <w:spacing w:before="5"/>
        <w:rPr>
          <w:sz w:val="12"/>
        </w:rPr>
      </w:pPr>
    </w:p>
    <w:p w14:paraId="6171CEB8" w14:textId="77777777" w:rsidR="00DE575E" w:rsidRDefault="002E7560">
      <w:pPr>
        <w:spacing w:before="92"/>
        <w:ind w:left="533"/>
        <w:rPr>
          <w:rFonts w:ascii="Times New Roman"/>
          <w:sz w:val="20"/>
        </w:rPr>
      </w:pPr>
      <w:r>
        <w:rPr>
          <w:rFonts w:ascii="Times New Roman"/>
          <w:color w:val="231F20"/>
          <w:sz w:val="20"/>
        </w:rPr>
        <w:t>480</w:t>
      </w:r>
    </w:p>
    <w:p w14:paraId="661456C3" w14:textId="77777777" w:rsidR="00DE575E" w:rsidRDefault="00DE575E">
      <w:pPr>
        <w:rPr>
          <w:rFonts w:ascii="Times New Roman"/>
          <w:sz w:val="20"/>
        </w:rPr>
        <w:sectPr w:rsidR="00DE575E">
          <w:pgSz w:w="8510" w:h="12760"/>
          <w:pgMar w:top="660" w:right="720" w:bottom="280" w:left="600" w:header="720" w:footer="720" w:gutter="0"/>
          <w:cols w:space="720"/>
        </w:sectPr>
      </w:pPr>
    </w:p>
    <w:p w14:paraId="35516296" w14:textId="77777777" w:rsidR="00DE575E" w:rsidRDefault="002E7560">
      <w:pPr>
        <w:spacing w:before="72" w:line="249" w:lineRule="auto"/>
        <w:ind w:left="441" w:right="392" w:firstLine="2251"/>
        <w:rPr>
          <w:rFonts w:ascii="AdonisC" w:hAnsi="AdonisC"/>
          <w:i/>
          <w:sz w:val="18"/>
        </w:rPr>
      </w:pPr>
      <w:r>
        <w:rPr>
          <w:rFonts w:ascii="AdonisC" w:hAnsi="AdonisC"/>
          <w:i/>
          <w:color w:val="231F20"/>
          <w:sz w:val="18"/>
        </w:rPr>
        <w:t xml:space="preserve">Глава ІІ Особливе адміністративне право/ Книга ІІ </w:t>
      </w:r>
      <w:r>
        <w:rPr>
          <w:rFonts w:ascii="AdonisC" w:hAnsi="AdonisC"/>
          <w:i/>
          <w:color w:val="231F20"/>
          <w:sz w:val="18"/>
        </w:rPr>
        <w:t>Розділ 1. Адміністративна відповідальність як вид юридичної відповідальності</w:t>
      </w:r>
    </w:p>
    <w:p w14:paraId="0E3FF5FA" w14:textId="43B86FD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E03AE44" wp14:editId="0EE008A6">
                <wp:extent cx="4140200" cy="6350"/>
                <wp:effectExtent l="0" t="0" r="12700" b="6350"/>
                <wp:docPr id="20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08" name="Line 20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E47CE" id="Group_x0020_20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S+aqGgAIAAJgFAAAO&#10;AAAAAAAAAAAAAAAAACwCAABkcnMvZTJvRG9jLnhtbFBLAQItABQABgAIAAAAIQBMp7CQ2QAAAAMB&#10;AAAPAAAAAAAAAAAAAAAAANgEAABkcnMvZG93bnJldi54bWxQSwUGAAAAAAQABADzAAAA3gUAAAAA&#10;">
                <v:line id="Line_x0020_20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ckD8IAAADcAAAADwAAAGRycy9kb3ducmV2LnhtbERPzYrCMBC+L/gOYQQvi6YqLFKNIoIg&#10;HnTX+gBjM7bFZFKbaKtPvzks7PHj+1+sOmvEkxpfOVYwHiUgiHOnKy4UnLPtcAbCB2SNxjEpeJGH&#10;1bL3scBUu5Z/6HkKhYgh7FNUUIZQp1L6vCSLfuRq4shdXWMxRNgUUjfYxnBr5CRJvqTFimNDiTVt&#10;Sspvp4dVkN0/g/k+7k2bHS9Tebkfpu/HQalBv1vPQQTqwr/4z73TCiZJXBvPxCM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ckD8IAAADcAAAADwAAAAAAAAAAAAAA&#10;AAChAgAAZHJzL2Rvd25yZXYueG1sUEsFBgAAAAAEAAQA+QAAAJADAAAAAA==&#10;" strokecolor="#231f20" strokeweight=".5pt"/>
                <w10:anchorlock/>
              </v:group>
            </w:pict>
          </mc:Fallback>
        </mc:AlternateContent>
      </w:r>
    </w:p>
    <w:p w14:paraId="46CC375C" w14:textId="77777777" w:rsidR="00DE575E" w:rsidRDefault="00DE575E">
      <w:pPr>
        <w:pStyle w:val="BodyText"/>
        <w:spacing w:before="7"/>
        <w:rPr>
          <w:rFonts w:ascii="AdonisC"/>
          <w:i/>
          <w:sz w:val="19"/>
        </w:rPr>
      </w:pPr>
    </w:p>
    <w:p w14:paraId="23749F76" w14:textId="77777777" w:rsidR="00DE575E" w:rsidRDefault="002E7560">
      <w:pPr>
        <w:pStyle w:val="BodyText"/>
        <w:spacing w:before="1" w:line="252" w:lineRule="auto"/>
        <w:ind w:left="250"/>
      </w:pPr>
      <w:r>
        <w:rPr>
          <w:color w:val="231F20"/>
        </w:rPr>
        <w:t>ром вчиненої нею дії чи бездіяльності (невиконанням установлених законом та її статусом завдань та обов’язків).</w:t>
      </w:r>
    </w:p>
    <w:p w14:paraId="4C163FF1" w14:textId="77777777" w:rsidR="00DE575E" w:rsidRDefault="002E7560">
      <w:pPr>
        <w:pStyle w:val="BodyText"/>
        <w:spacing w:before="1" w:line="252" w:lineRule="auto"/>
        <w:ind w:left="250" w:right="409" w:firstLine="283"/>
        <w:jc w:val="both"/>
      </w:pPr>
      <w:r>
        <w:rPr>
          <w:color w:val="231F20"/>
        </w:rPr>
        <w:t xml:space="preserve">Юридична особа визнається винною в учиненні адміністратив- ного проступку, якщо </w:t>
      </w:r>
      <w:r>
        <w:rPr>
          <w:color w:val="231F20"/>
          <w:spacing w:val="-4"/>
        </w:rPr>
        <w:t xml:space="preserve">буде </w:t>
      </w:r>
      <w:r>
        <w:rPr>
          <w:color w:val="231F20"/>
        </w:rPr>
        <w:t xml:space="preserve">встановлено, що проступок учинено в її інтересах </w:t>
      </w:r>
      <w:r>
        <w:rPr>
          <w:color w:val="231F20"/>
          <w:spacing w:val="-3"/>
        </w:rPr>
        <w:t xml:space="preserve">будь-якою </w:t>
      </w:r>
      <w:r>
        <w:rPr>
          <w:color w:val="231F20"/>
        </w:rPr>
        <w:t>посадовою особою, яка діяла як особисто або як представник юридичної особи та яка займає керівну посаду в цій юр</w:t>
      </w:r>
      <w:r>
        <w:rPr>
          <w:color w:val="231F20"/>
        </w:rPr>
        <w:t xml:space="preserve">идичній особі, з використанням представницьких повноважень юридичної особи чи повноважень ухвалювати рішення від імені юридичної особи, але цією особою не </w:t>
      </w:r>
      <w:r>
        <w:rPr>
          <w:color w:val="231F20"/>
          <w:spacing w:val="-3"/>
        </w:rPr>
        <w:t xml:space="preserve">було </w:t>
      </w:r>
      <w:r>
        <w:rPr>
          <w:color w:val="231F20"/>
        </w:rPr>
        <w:t>вжито всіх необхідних заходів щодо їх</w:t>
      </w:r>
      <w:r>
        <w:rPr>
          <w:color w:val="231F20"/>
          <w:spacing w:val="-4"/>
        </w:rPr>
        <w:t xml:space="preserve"> </w:t>
      </w:r>
      <w:r>
        <w:rPr>
          <w:color w:val="231F20"/>
        </w:rPr>
        <w:t>додержання.</w:t>
      </w:r>
    </w:p>
    <w:p w14:paraId="0C9FE4BC" w14:textId="77777777" w:rsidR="00DE575E" w:rsidRDefault="002E7560">
      <w:pPr>
        <w:pStyle w:val="BodyText"/>
        <w:spacing w:before="4" w:line="252" w:lineRule="auto"/>
        <w:ind w:left="250" w:right="411" w:firstLine="283"/>
        <w:jc w:val="both"/>
      </w:pPr>
      <w:r>
        <w:rPr>
          <w:color w:val="231F20"/>
        </w:rPr>
        <w:t>У разі злиття кількох юридичних осіб до адміні</w:t>
      </w:r>
      <w:r>
        <w:rPr>
          <w:color w:val="231F20"/>
        </w:rPr>
        <w:t>стративної відпо- відальності</w:t>
      </w:r>
      <w:r>
        <w:rPr>
          <w:color w:val="231F20"/>
          <w:spacing w:val="-12"/>
        </w:rPr>
        <w:t xml:space="preserve"> </w:t>
      </w:r>
      <w:r>
        <w:rPr>
          <w:color w:val="231F20"/>
        </w:rPr>
        <w:t>за</w:t>
      </w:r>
      <w:r>
        <w:rPr>
          <w:color w:val="231F20"/>
          <w:spacing w:val="-12"/>
        </w:rPr>
        <w:t xml:space="preserve"> </w:t>
      </w:r>
      <w:r>
        <w:rPr>
          <w:color w:val="231F20"/>
        </w:rPr>
        <w:t>вчинення</w:t>
      </w:r>
      <w:r>
        <w:rPr>
          <w:color w:val="231F20"/>
          <w:spacing w:val="-12"/>
        </w:rPr>
        <w:t xml:space="preserve"> </w:t>
      </w:r>
      <w:r>
        <w:rPr>
          <w:color w:val="231F20"/>
        </w:rPr>
        <w:t>адміністративного</w:t>
      </w:r>
      <w:r>
        <w:rPr>
          <w:color w:val="231F20"/>
          <w:spacing w:val="-12"/>
        </w:rPr>
        <w:t xml:space="preserve"> </w:t>
      </w:r>
      <w:r>
        <w:rPr>
          <w:color w:val="231F20"/>
        </w:rPr>
        <w:t>проступку</w:t>
      </w:r>
      <w:r>
        <w:rPr>
          <w:color w:val="231F20"/>
          <w:spacing w:val="-12"/>
        </w:rPr>
        <w:t xml:space="preserve"> </w:t>
      </w:r>
      <w:r>
        <w:rPr>
          <w:color w:val="231F20"/>
        </w:rPr>
        <w:t>притягується новоутворена юридична</w:t>
      </w:r>
      <w:r>
        <w:rPr>
          <w:color w:val="231F20"/>
          <w:spacing w:val="-3"/>
        </w:rPr>
        <w:t xml:space="preserve"> </w:t>
      </w:r>
      <w:r>
        <w:rPr>
          <w:color w:val="231F20"/>
        </w:rPr>
        <w:t>особа.</w:t>
      </w:r>
    </w:p>
    <w:p w14:paraId="6D16AE27" w14:textId="77777777" w:rsidR="00DE575E" w:rsidRDefault="002E7560">
      <w:pPr>
        <w:pStyle w:val="BodyText"/>
        <w:spacing w:before="1" w:line="252" w:lineRule="auto"/>
        <w:ind w:left="250" w:right="410" w:firstLine="283"/>
        <w:jc w:val="both"/>
      </w:pPr>
      <w:r>
        <w:rPr>
          <w:color w:val="231F20"/>
        </w:rPr>
        <w:t>Порядок</w:t>
      </w:r>
      <w:r>
        <w:rPr>
          <w:color w:val="231F20"/>
          <w:spacing w:val="-17"/>
        </w:rPr>
        <w:t xml:space="preserve"> </w:t>
      </w:r>
      <w:r>
        <w:rPr>
          <w:color w:val="231F20"/>
        </w:rPr>
        <w:t>притягнення</w:t>
      </w:r>
      <w:r>
        <w:rPr>
          <w:color w:val="231F20"/>
          <w:spacing w:val="-17"/>
        </w:rPr>
        <w:t xml:space="preserve"> </w:t>
      </w:r>
      <w:r>
        <w:rPr>
          <w:color w:val="231F20"/>
        </w:rPr>
        <w:t>юридичних</w:t>
      </w:r>
      <w:r>
        <w:rPr>
          <w:color w:val="231F20"/>
          <w:spacing w:val="-17"/>
        </w:rPr>
        <w:t xml:space="preserve"> </w:t>
      </w:r>
      <w:r>
        <w:rPr>
          <w:color w:val="231F20"/>
        </w:rPr>
        <w:t>осіб</w:t>
      </w:r>
      <w:r>
        <w:rPr>
          <w:color w:val="231F20"/>
          <w:spacing w:val="-17"/>
        </w:rPr>
        <w:t xml:space="preserve"> </w:t>
      </w:r>
      <w:r>
        <w:rPr>
          <w:color w:val="231F20"/>
        </w:rPr>
        <w:t>до</w:t>
      </w:r>
      <w:r>
        <w:rPr>
          <w:color w:val="231F20"/>
          <w:spacing w:val="-17"/>
        </w:rPr>
        <w:t xml:space="preserve"> </w:t>
      </w:r>
      <w:r>
        <w:rPr>
          <w:color w:val="231F20"/>
        </w:rPr>
        <w:t>адміністративної</w:t>
      </w:r>
      <w:r>
        <w:rPr>
          <w:color w:val="231F20"/>
          <w:spacing w:val="-17"/>
        </w:rPr>
        <w:t xml:space="preserve"> </w:t>
      </w:r>
      <w:r>
        <w:rPr>
          <w:color w:val="231F20"/>
        </w:rPr>
        <w:t>відпо- відальності – це визначена законом послідовність дій, яких зобов’я- зані дотримува</w:t>
      </w:r>
      <w:r>
        <w:rPr>
          <w:color w:val="231F20"/>
        </w:rPr>
        <w:t xml:space="preserve">тися компетентні органи й посадові особи під час притягнення </w:t>
      </w:r>
      <w:r>
        <w:rPr>
          <w:color w:val="231F20"/>
          <w:spacing w:val="-3"/>
        </w:rPr>
        <w:t xml:space="preserve">суб’єкта </w:t>
      </w:r>
      <w:r>
        <w:rPr>
          <w:color w:val="231F20"/>
        </w:rPr>
        <w:t>до адміністративної відповідальності, а також особи, які звинувачені в учиненні правопорушення, під час</w:t>
      </w:r>
      <w:r>
        <w:rPr>
          <w:color w:val="231F20"/>
          <w:spacing w:val="-33"/>
        </w:rPr>
        <w:t xml:space="preserve"> </w:t>
      </w:r>
      <w:r>
        <w:rPr>
          <w:color w:val="231F20"/>
          <w:spacing w:val="-3"/>
        </w:rPr>
        <w:t xml:space="preserve">розгляду </w:t>
      </w:r>
      <w:r>
        <w:rPr>
          <w:color w:val="231F20"/>
        </w:rPr>
        <w:t>справи про адміністративне правопорушення стосовно них і при оскарженні у</w:t>
      </w:r>
      <w:r>
        <w:rPr>
          <w:color w:val="231F20"/>
        </w:rPr>
        <w:t>хваленого в ній</w:t>
      </w:r>
      <w:r>
        <w:rPr>
          <w:color w:val="231F20"/>
          <w:spacing w:val="-3"/>
        </w:rPr>
        <w:t xml:space="preserve"> </w:t>
      </w:r>
      <w:r>
        <w:rPr>
          <w:color w:val="231F20"/>
        </w:rPr>
        <w:t>рішення.</w:t>
      </w:r>
    </w:p>
    <w:p w14:paraId="1A23EE4E" w14:textId="77777777" w:rsidR="00DE575E" w:rsidRDefault="00DE575E">
      <w:pPr>
        <w:pStyle w:val="BodyText"/>
        <w:rPr>
          <w:sz w:val="24"/>
        </w:rPr>
      </w:pPr>
    </w:p>
    <w:p w14:paraId="6F79DB9B" w14:textId="77777777" w:rsidR="00DE575E" w:rsidRDefault="00DE575E">
      <w:pPr>
        <w:pStyle w:val="BodyText"/>
        <w:spacing w:before="6"/>
        <w:rPr>
          <w:sz w:val="20"/>
        </w:rPr>
      </w:pPr>
    </w:p>
    <w:p w14:paraId="30EACF22" w14:textId="77777777" w:rsidR="00DE575E" w:rsidRDefault="002E7560">
      <w:pPr>
        <w:pStyle w:val="Heading5"/>
        <w:ind w:left="2088"/>
      </w:pPr>
      <w:r>
        <w:rPr>
          <w:color w:val="231F20"/>
        </w:rPr>
        <w:t>Питання для самоконтролю</w:t>
      </w:r>
    </w:p>
    <w:p w14:paraId="3B190EB6" w14:textId="77777777" w:rsidR="00DE575E" w:rsidRDefault="00DE575E">
      <w:pPr>
        <w:pStyle w:val="BodyText"/>
        <w:spacing w:before="2"/>
        <w:rPr>
          <w:b/>
          <w:sz w:val="23"/>
        </w:rPr>
      </w:pPr>
    </w:p>
    <w:p w14:paraId="4B564145" w14:textId="77777777" w:rsidR="00DE575E" w:rsidRDefault="002E7560">
      <w:pPr>
        <w:pStyle w:val="ListParagraph"/>
        <w:numPr>
          <w:ilvl w:val="0"/>
          <w:numId w:val="31"/>
        </w:numPr>
        <w:tabs>
          <w:tab w:val="left" w:pos="818"/>
        </w:tabs>
        <w:spacing w:before="0" w:line="252" w:lineRule="auto"/>
        <w:ind w:right="411" w:firstLine="283"/>
        <w:jc w:val="both"/>
        <w:rPr>
          <w:sz w:val="21"/>
        </w:rPr>
      </w:pPr>
      <w:r>
        <w:rPr>
          <w:color w:val="231F20"/>
          <w:sz w:val="21"/>
        </w:rPr>
        <w:t>Розкрийте поняття, ознаки та особливості адміністративної відповідальності.</w:t>
      </w:r>
    </w:p>
    <w:p w14:paraId="4712D626" w14:textId="77777777" w:rsidR="00DE575E" w:rsidRDefault="002E7560">
      <w:pPr>
        <w:pStyle w:val="ListParagraph"/>
        <w:numPr>
          <w:ilvl w:val="0"/>
          <w:numId w:val="31"/>
        </w:numPr>
        <w:tabs>
          <w:tab w:val="left" w:pos="818"/>
        </w:tabs>
        <w:spacing w:line="252" w:lineRule="auto"/>
        <w:ind w:right="412" w:firstLine="283"/>
        <w:jc w:val="both"/>
        <w:rPr>
          <w:sz w:val="21"/>
        </w:rPr>
      </w:pPr>
      <w:r>
        <w:rPr>
          <w:color w:val="231F20"/>
          <w:sz w:val="21"/>
        </w:rPr>
        <w:t>Розмежуйте</w:t>
      </w:r>
      <w:r>
        <w:rPr>
          <w:color w:val="231F20"/>
          <w:spacing w:val="-17"/>
          <w:sz w:val="21"/>
        </w:rPr>
        <w:t xml:space="preserve"> </w:t>
      </w:r>
      <w:r>
        <w:rPr>
          <w:color w:val="231F20"/>
          <w:sz w:val="21"/>
        </w:rPr>
        <w:t>адміністративну</w:t>
      </w:r>
      <w:r>
        <w:rPr>
          <w:color w:val="231F20"/>
          <w:spacing w:val="-18"/>
          <w:sz w:val="21"/>
        </w:rPr>
        <w:t xml:space="preserve"> </w:t>
      </w:r>
      <w:r>
        <w:rPr>
          <w:color w:val="231F20"/>
          <w:sz w:val="21"/>
        </w:rPr>
        <w:t>відповідальність</w:t>
      </w:r>
      <w:r>
        <w:rPr>
          <w:color w:val="231F20"/>
          <w:spacing w:val="-17"/>
          <w:sz w:val="21"/>
        </w:rPr>
        <w:t xml:space="preserve"> </w:t>
      </w:r>
      <w:r>
        <w:rPr>
          <w:color w:val="231F20"/>
          <w:sz w:val="21"/>
        </w:rPr>
        <w:t>та</w:t>
      </w:r>
      <w:r>
        <w:rPr>
          <w:color w:val="231F20"/>
          <w:spacing w:val="-17"/>
          <w:sz w:val="21"/>
        </w:rPr>
        <w:t xml:space="preserve"> </w:t>
      </w:r>
      <w:r>
        <w:rPr>
          <w:color w:val="231F20"/>
          <w:sz w:val="21"/>
        </w:rPr>
        <w:t>кримінальну відповідальність.</w:t>
      </w:r>
    </w:p>
    <w:p w14:paraId="38AE40BA" w14:textId="77777777" w:rsidR="00DE575E" w:rsidRDefault="002E7560">
      <w:pPr>
        <w:pStyle w:val="ListParagraph"/>
        <w:numPr>
          <w:ilvl w:val="0"/>
          <w:numId w:val="31"/>
        </w:numPr>
        <w:tabs>
          <w:tab w:val="left" w:pos="818"/>
        </w:tabs>
        <w:spacing w:line="252" w:lineRule="auto"/>
        <w:ind w:right="411" w:firstLine="283"/>
        <w:jc w:val="both"/>
        <w:rPr>
          <w:sz w:val="21"/>
        </w:rPr>
      </w:pPr>
      <w:r>
        <w:rPr>
          <w:color w:val="231F20"/>
          <w:sz w:val="21"/>
        </w:rPr>
        <w:t>Розмежуйте адміністративну відповідальність та цивільно- правову</w:t>
      </w:r>
      <w:r>
        <w:rPr>
          <w:color w:val="231F20"/>
          <w:spacing w:val="-2"/>
          <w:sz w:val="21"/>
        </w:rPr>
        <w:t xml:space="preserve"> </w:t>
      </w:r>
      <w:r>
        <w:rPr>
          <w:color w:val="231F20"/>
          <w:sz w:val="21"/>
        </w:rPr>
        <w:t>відповідальність.</w:t>
      </w:r>
    </w:p>
    <w:p w14:paraId="0FF60002" w14:textId="77777777" w:rsidR="00DE575E" w:rsidRDefault="002E7560">
      <w:pPr>
        <w:pStyle w:val="ListParagraph"/>
        <w:numPr>
          <w:ilvl w:val="0"/>
          <w:numId w:val="31"/>
        </w:numPr>
        <w:tabs>
          <w:tab w:val="left" w:pos="818"/>
        </w:tabs>
        <w:spacing w:line="252" w:lineRule="auto"/>
        <w:ind w:right="411" w:firstLine="283"/>
        <w:jc w:val="both"/>
        <w:rPr>
          <w:sz w:val="21"/>
        </w:rPr>
      </w:pPr>
      <w:r>
        <w:rPr>
          <w:color w:val="231F20"/>
          <w:sz w:val="21"/>
        </w:rPr>
        <w:t>Розмежуйте адміністративну відповідальність та дисциплі- нарну відповідальність.</w:t>
      </w:r>
    </w:p>
    <w:p w14:paraId="6B6AF76F" w14:textId="77777777" w:rsidR="00DE575E" w:rsidRDefault="002E7560">
      <w:pPr>
        <w:pStyle w:val="ListParagraph"/>
        <w:numPr>
          <w:ilvl w:val="0"/>
          <w:numId w:val="31"/>
        </w:numPr>
        <w:tabs>
          <w:tab w:val="left" w:pos="818"/>
        </w:tabs>
        <w:spacing w:line="252" w:lineRule="auto"/>
        <w:ind w:right="411" w:firstLine="283"/>
        <w:jc w:val="both"/>
        <w:rPr>
          <w:sz w:val="21"/>
        </w:rPr>
      </w:pPr>
      <w:r>
        <w:rPr>
          <w:color w:val="231F20"/>
          <w:sz w:val="21"/>
        </w:rPr>
        <w:t>Схарактеризуйте принципи адміністративної відповідаль- ності.</w:t>
      </w:r>
    </w:p>
    <w:p w14:paraId="01A34BB3" w14:textId="77777777" w:rsidR="00DE575E" w:rsidRDefault="002E7560">
      <w:pPr>
        <w:pStyle w:val="ListParagraph"/>
        <w:numPr>
          <w:ilvl w:val="0"/>
          <w:numId w:val="31"/>
        </w:numPr>
        <w:tabs>
          <w:tab w:val="left" w:pos="818"/>
        </w:tabs>
        <w:spacing w:line="252" w:lineRule="auto"/>
        <w:ind w:right="412" w:firstLine="283"/>
        <w:jc w:val="both"/>
        <w:rPr>
          <w:sz w:val="21"/>
        </w:rPr>
      </w:pPr>
      <w:r>
        <w:rPr>
          <w:color w:val="231F20"/>
          <w:sz w:val="21"/>
        </w:rPr>
        <w:t>Розкрийте особливості адмініст</w:t>
      </w:r>
      <w:r>
        <w:rPr>
          <w:color w:val="231F20"/>
          <w:sz w:val="21"/>
        </w:rPr>
        <w:t>ративної відповідальності юридичних</w:t>
      </w:r>
      <w:r>
        <w:rPr>
          <w:color w:val="231F20"/>
          <w:spacing w:val="-2"/>
          <w:sz w:val="21"/>
        </w:rPr>
        <w:t xml:space="preserve"> </w:t>
      </w:r>
      <w:r>
        <w:rPr>
          <w:color w:val="231F20"/>
          <w:sz w:val="21"/>
        </w:rPr>
        <w:t>осіб.</w:t>
      </w:r>
    </w:p>
    <w:p w14:paraId="709BB491" w14:textId="77777777" w:rsidR="00DE575E" w:rsidRDefault="002E7560">
      <w:pPr>
        <w:pStyle w:val="ListParagraph"/>
        <w:numPr>
          <w:ilvl w:val="0"/>
          <w:numId w:val="31"/>
        </w:numPr>
        <w:tabs>
          <w:tab w:val="left" w:pos="818"/>
        </w:tabs>
        <w:spacing w:line="252" w:lineRule="auto"/>
        <w:ind w:right="412" w:firstLine="283"/>
        <w:jc w:val="both"/>
        <w:rPr>
          <w:sz w:val="21"/>
        </w:rPr>
      </w:pPr>
      <w:r>
        <w:rPr>
          <w:color w:val="231F20"/>
          <w:sz w:val="21"/>
        </w:rPr>
        <w:t>Схарактеризуйте порядок притягнення до адміністративної відповідальності</w:t>
      </w:r>
      <w:r>
        <w:rPr>
          <w:color w:val="231F20"/>
          <w:spacing w:val="-8"/>
          <w:sz w:val="21"/>
        </w:rPr>
        <w:t xml:space="preserve"> </w:t>
      </w:r>
      <w:r>
        <w:rPr>
          <w:color w:val="231F20"/>
          <w:sz w:val="21"/>
        </w:rPr>
        <w:t>за</w:t>
      </w:r>
      <w:r>
        <w:rPr>
          <w:color w:val="231F20"/>
          <w:spacing w:val="-8"/>
          <w:sz w:val="21"/>
        </w:rPr>
        <w:t xml:space="preserve"> </w:t>
      </w:r>
      <w:r>
        <w:rPr>
          <w:color w:val="231F20"/>
          <w:sz w:val="21"/>
        </w:rPr>
        <w:t>вчинення</w:t>
      </w:r>
      <w:r>
        <w:rPr>
          <w:color w:val="231F20"/>
          <w:spacing w:val="-8"/>
          <w:sz w:val="21"/>
        </w:rPr>
        <w:t xml:space="preserve"> </w:t>
      </w:r>
      <w:r>
        <w:rPr>
          <w:color w:val="231F20"/>
          <w:sz w:val="21"/>
        </w:rPr>
        <w:t>адміністративних</w:t>
      </w:r>
      <w:r>
        <w:rPr>
          <w:color w:val="231F20"/>
          <w:spacing w:val="-8"/>
          <w:sz w:val="21"/>
        </w:rPr>
        <w:t xml:space="preserve"> </w:t>
      </w:r>
      <w:r>
        <w:rPr>
          <w:color w:val="231F20"/>
          <w:sz w:val="21"/>
        </w:rPr>
        <w:t>правопорушень,</w:t>
      </w:r>
      <w:r>
        <w:rPr>
          <w:color w:val="231F20"/>
          <w:spacing w:val="-8"/>
          <w:sz w:val="21"/>
        </w:rPr>
        <w:t xml:space="preserve"> </w:t>
      </w:r>
      <w:r>
        <w:rPr>
          <w:color w:val="231F20"/>
          <w:sz w:val="21"/>
        </w:rPr>
        <w:t>які зафіксовані в автоматичному</w:t>
      </w:r>
      <w:r>
        <w:rPr>
          <w:color w:val="231F20"/>
          <w:spacing w:val="-3"/>
          <w:sz w:val="21"/>
        </w:rPr>
        <w:t xml:space="preserve"> </w:t>
      </w:r>
      <w:r>
        <w:rPr>
          <w:color w:val="231F20"/>
          <w:sz w:val="21"/>
        </w:rPr>
        <w:t>режимі.</w:t>
      </w:r>
    </w:p>
    <w:p w14:paraId="206B14C4" w14:textId="77777777" w:rsidR="00DE575E" w:rsidRDefault="00DE575E">
      <w:pPr>
        <w:pStyle w:val="BodyText"/>
        <w:spacing w:before="6"/>
        <w:rPr>
          <w:sz w:val="12"/>
        </w:rPr>
      </w:pPr>
    </w:p>
    <w:p w14:paraId="47086C68" w14:textId="77777777" w:rsidR="00DE575E" w:rsidRDefault="002E7560">
      <w:pPr>
        <w:spacing w:before="91"/>
        <w:ind w:right="411"/>
        <w:jc w:val="right"/>
        <w:rPr>
          <w:rFonts w:ascii="Times New Roman"/>
          <w:sz w:val="20"/>
        </w:rPr>
      </w:pPr>
      <w:r>
        <w:rPr>
          <w:rFonts w:ascii="Times New Roman"/>
          <w:color w:val="231F20"/>
          <w:w w:val="90"/>
          <w:sz w:val="20"/>
        </w:rPr>
        <w:t>481</w:t>
      </w:r>
    </w:p>
    <w:p w14:paraId="2933BD6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0F505C9"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Повний </w:t>
      </w:r>
      <w:r>
        <w:rPr>
          <w:rFonts w:ascii="AdonisC" w:hAnsi="AdonisC"/>
          <w:i/>
          <w:color w:val="231F20"/>
          <w:sz w:val="18"/>
        </w:rPr>
        <w:t>курс</w:t>
      </w:r>
    </w:p>
    <w:p w14:paraId="12EBB7CE" w14:textId="4025AD2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32E8187" wp14:editId="07401300">
                <wp:extent cx="4140200" cy="6350"/>
                <wp:effectExtent l="0" t="0" r="12700" b="6350"/>
                <wp:docPr id="20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06" name="Line 20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165C6C" id="Group_x0020_20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PFcRch/AgAAmAUAAA4A&#10;AAAAAAAAAAAAAAAALAIAAGRycy9lMm9Eb2MueG1sUEsBAi0AFAAGAAgAAAAhAEynsJDZAAAAAwEA&#10;AA8AAAAAAAAAAAAAAAAA1wQAAGRycy9kb3ducmV2LnhtbFBLBQYAAAAABAAEAPMAAADdBQAAAAA=&#10;">
                <v:line id="Line_x0020_20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V5sUAAADcAAAADwAAAGRycy9kb3ducmV2LnhtbESP0WrCQBRE3wv+w3KFvhTdVEEkuooI&#10;BfFBrfEDrtlrEty9G7OrSfv1XaHg4zAzZ5j5srNGPKjxlWMFn8MEBHHudMWFglP2NZiC8AFZo3FM&#10;Cn7Iw3LRe5tjql3L3/Q4hkJECPsUFZQh1KmUPi/Joh+6mjh6F9dYDFE2hdQNthFujRwlyURarDgu&#10;lFjTuqT8erxbBdntI5jDfmvabH8ey/NtN/6975R673erGYhAXXiF/9sbrWCUTOB5Jh4Buf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QV5sUAAADcAAAADwAAAAAAAAAA&#10;AAAAAAChAgAAZHJzL2Rvd25yZXYueG1sUEsFBgAAAAAEAAQA+QAAAJMDAAAAAA==&#10;" strokecolor="#231f20" strokeweight=".5pt"/>
                <w10:anchorlock/>
              </v:group>
            </w:pict>
          </mc:Fallback>
        </mc:AlternateContent>
      </w:r>
    </w:p>
    <w:p w14:paraId="77F70DC2" w14:textId="77777777" w:rsidR="00DE575E" w:rsidRDefault="00DE575E">
      <w:pPr>
        <w:pStyle w:val="BodyText"/>
        <w:spacing w:before="7"/>
        <w:rPr>
          <w:rFonts w:ascii="AdonisC"/>
          <w:i/>
          <w:sz w:val="11"/>
        </w:rPr>
      </w:pPr>
    </w:p>
    <w:p w14:paraId="5BD7C6F5" w14:textId="77777777" w:rsidR="00DE575E" w:rsidRDefault="002E7560">
      <w:pPr>
        <w:pStyle w:val="Heading5"/>
        <w:spacing w:before="101"/>
        <w:ind w:left="1778"/>
      </w:pPr>
      <w:r>
        <w:rPr>
          <w:color w:val="231F20"/>
        </w:rPr>
        <w:t>Література для поглибленого вивчення</w:t>
      </w:r>
    </w:p>
    <w:p w14:paraId="7FF88C07" w14:textId="77777777" w:rsidR="00DE575E" w:rsidRDefault="00DE575E">
      <w:pPr>
        <w:pStyle w:val="BodyText"/>
        <w:spacing w:before="2"/>
        <w:rPr>
          <w:b/>
          <w:sz w:val="23"/>
        </w:rPr>
      </w:pPr>
    </w:p>
    <w:p w14:paraId="7D20DF60" w14:textId="77777777" w:rsidR="00DE575E" w:rsidRDefault="002E7560">
      <w:pPr>
        <w:pStyle w:val="ListParagraph"/>
        <w:numPr>
          <w:ilvl w:val="2"/>
          <w:numId w:val="42"/>
        </w:numPr>
        <w:tabs>
          <w:tab w:val="left" w:pos="1101"/>
        </w:tabs>
        <w:spacing w:before="0" w:line="252" w:lineRule="auto"/>
        <w:ind w:right="128" w:firstLine="284"/>
        <w:jc w:val="both"/>
        <w:rPr>
          <w:sz w:val="21"/>
        </w:rPr>
      </w:pPr>
      <w:r>
        <w:rPr>
          <w:color w:val="231F20"/>
          <w:sz w:val="21"/>
        </w:rPr>
        <w:t xml:space="preserve">Кузьменко </w:t>
      </w:r>
      <w:r>
        <w:rPr>
          <w:color w:val="231F20"/>
          <w:spacing w:val="-3"/>
          <w:sz w:val="21"/>
        </w:rPr>
        <w:t xml:space="preserve">О. </w:t>
      </w:r>
      <w:r>
        <w:rPr>
          <w:color w:val="231F20"/>
          <w:sz w:val="21"/>
        </w:rPr>
        <w:t xml:space="preserve">Курс адміністративного права </w:t>
      </w:r>
      <w:r>
        <w:rPr>
          <w:color w:val="231F20"/>
          <w:spacing w:val="-3"/>
          <w:sz w:val="21"/>
        </w:rPr>
        <w:t xml:space="preserve">України. </w:t>
      </w:r>
      <w:r>
        <w:rPr>
          <w:color w:val="231F20"/>
          <w:sz w:val="21"/>
        </w:rPr>
        <w:t xml:space="preserve">Підруч- ник./ за </w:t>
      </w:r>
      <w:r>
        <w:rPr>
          <w:color w:val="231F20"/>
          <w:spacing w:val="-5"/>
          <w:sz w:val="21"/>
        </w:rPr>
        <w:t xml:space="preserve">заг. </w:t>
      </w:r>
      <w:r>
        <w:rPr>
          <w:color w:val="231F20"/>
          <w:sz w:val="21"/>
        </w:rPr>
        <w:t xml:space="preserve">ред. Колпакова </w:t>
      </w:r>
      <w:r>
        <w:rPr>
          <w:color w:val="231F20"/>
          <w:spacing w:val="-3"/>
          <w:sz w:val="21"/>
        </w:rPr>
        <w:t xml:space="preserve">В., </w:t>
      </w:r>
      <w:r>
        <w:rPr>
          <w:color w:val="231F20"/>
          <w:sz w:val="21"/>
        </w:rPr>
        <w:t xml:space="preserve">Кузьменко </w:t>
      </w:r>
      <w:r>
        <w:rPr>
          <w:color w:val="231F20"/>
          <w:spacing w:val="-3"/>
          <w:sz w:val="21"/>
        </w:rPr>
        <w:t xml:space="preserve">О., </w:t>
      </w:r>
      <w:r>
        <w:rPr>
          <w:color w:val="231F20"/>
          <w:sz w:val="21"/>
        </w:rPr>
        <w:t>Пастуха І. Київ: Юрин- ком Інтер, 2013. 912</w:t>
      </w:r>
      <w:r>
        <w:rPr>
          <w:color w:val="231F20"/>
          <w:spacing w:val="-1"/>
          <w:sz w:val="21"/>
        </w:rPr>
        <w:t xml:space="preserve"> </w:t>
      </w:r>
      <w:r>
        <w:rPr>
          <w:color w:val="231F20"/>
          <w:sz w:val="21"/>
        </w:rPr>
        <w:t>с.</w:t>
      </w:r>
    </w:p>
    <w:p w14:paraId="7126695F" w14:textId="77777777" w:rsidR="00DE575E" w:rsidRDefault="002E7560">
      <w:pPr>
        <w:pStyle w:val="ListParagraph"/>
        <w:numPr>
          <w:ilvl w:val="2"/>
          <w:numId w:val="42"/>
        </w:numPr>
        <w:tabs>
          <w:tab w:val="left" w:pos="1101"/>
        </w:tabs>
        <w:spacing w:line="252" w:lineRule="auto"/>
        <w:ind w:right="127" w:firstLine="284"/>
        <w:jc w:val="both"/>
        <w:rPr>
          <w:sz w:val="21"/>
        </w:rPr>
      </w:pPr>
      <w:r>
        <w:rPr>
          <w:color w:val="231F20"/>
          <w:spacing w:val="-4"/>
          <w:sz w:val="21"/>
        </w:rPr>
        <w:t xml:space="preserve">Горбач </w:t>
      </w:r>
      <w:r>
        <w:rPr>
          <w:color w:val="231F20"/>
          <w:spacing w:val="-3"/>
          <w:sz w:val="21"/>
        </w:rPr>
        <w:t xml:space="preserve">О. В. </w:t>
      </w:r>
      <w:r>
        <w:rPr>
          <w:color w:val="231F20"/>
          <w:sz w:val="21"/>
        </w:rPr>
        <w:t>Адміністративна відповідальність неповнолітніх. : монографія. Київ: КНУВС, 2009. 143 с.</w:t>
      </w:r>
    </w:p>
    <w:p w14:paraId="69A55952" w14:textId="77777777" w:rsidR="00DE575E" w:rsidRDefault="002E7560">
      <w:pPr>
        <w:pStyle w:val="ListParagraph"/>
        <w:numPr>
          <w:ilvl w:val="2"/>
          <w:numId w:val="42"/>
        </w:numPr>
        <w:tabs>
          <w:tab w:val="left" w:pos="1101"/>
        </w:tabs>
        <w:spacing w:line="252" w:lineRule="auto"/>
        <w:ind w:right="130" w:firstLine="284"/>
        <w:jc w:val="both"/>
        <w:rPr>
          <w:sz w:val="21"/>
        </w:rPr>
      </w:pPr>
      <w:r>
        <w:rPr>
          <w:color w:val="231F20"/>
          <w:sz w:val="21"/>
        </w:rPr>
        <w:t xml:space="preserve">Комзюк </w:t>
      </w:r>
      <w:r>
        <w:rPr>
          <w:color w:val="231F20"/>
          <w:spacing w:val="-9"/>
          <w:sz w:val="21"/>
        </w:rPr>
        <w:t xml:space="preserve">А.Т., </w:t>
      </w:r>
      <w:r>
        <w:rPr>
          <w:color w:val="231F20"/>
          <w:sz w:val="21"/>
        </w:rPr>
        <w:t xml:space="preserve">Бевзенко В.М., Мельник </w:t>
      </w:r>
      <w:r>
        <w:rPr>
          <w:color w:val="231F20"/>
          <w:spacing w:val="-9"/>
          <w:sz w:val="21"/>
        </w:rPr>
        <w:t xml:space="preserve">Р.С. </w:t>
      </w:r>
      <w:r>
        <w:rPr>
          <w:color w:val="231F20"/>
          <w:sz w:val="21"/>
        </w:rPr>
        <w:t xml:space="preserve">Адміністративний процес </w:t>
      </w:r>
      <w:r>
        <w:rPr>
          <w:color w:val="231F20"/>
          <w:spacing w:val="-3"/>
          <w:sz w:val="21"/>
        </w:rPr>
        <w:t xml:space="preserve">України </w:t>
      </w:r>
      <w:r>
        <w:rPr>
          <w:color w:val="231F20"/>
          <w:sz w:val="21"/>
        </w:rPr>
        <w:t xml:space="preserve">: Навчальний посібник. Київ: </w:t>
      </w:r>
      <w:r>
        <w:rPr>
          <w:color w:val="231F20"/>
          <w:spacing w:val="-3"/>
          <w:sz w:val="21"/>
        </w:rPr>
        <w:t xml:space="preserve">Прецедент, </w:t>
      </w:r>
      <w:r>
        <w:rPr>
          <w:color w:val="231F20"/>
          <w:sz w:val="21"/>
        </w:rPr>
        <w:t>2007. 531</w:t>
      </w:r>
      <w:r>
        <w:rPr>
          <w:color w:val="231F20"/>
          <w:spacing w:val="13"/>
          <w:sz w:val="21"/>
        </w:rPr>
        <w:t xml:space="preserve"> </w:t>
      </w:r>
      <w:r>
        <w:rPr>
          <w:color w:val="231F20"/>
          <w:sz w:val="21"/>
        </w:rPr>
        <w:t>с.</w:t>
      </w:r>
    </w:p>
    <w:p w14:paraId="076089B7" w14:textId="77777777" w:rsidR="00DE575E" w:rsidRDefault="002E7560">
      <w:pPr>
        <w:pStyle w:val="ListParagraph"/>
        <w:numPr>
          <w:ilvl w:val="2"/>
          <w:numId w:val="42"/>
        </w:numPr>
        <w:tabs>
          <w:tab w:val="left" w:pos="1101"/>
        </w:tabs>
        <w:spacing w:line="252" w:lineRule="auto"/>
        <w:ind w:right="127" w:firstLine="284"/>
        <w:jc w:val="both"/>
        <w:rPr>
          <w:sz w:val="21"/>
        </w:rPr>
      </w:pPr>
      <w:r>
        <w:rPr>
          <w:color w:val="231F20"/>
          <w:sz w:val="21"/>
        </w:rPr>
        <w:t>Колпаков В.К. Деліктний феномен в адмініст</w:t>
      </w:r>
      <w:r>
        <w:rPr>
          <w:color w:val="231F20"/>
          <w:sz w:val="21"/>
        </w:rPr>
        <w:t xml:space="preserve">ративному праві </w:t>
      </w:r>
      <w:r>
        <w:rPr>
          <w:color w:val="231F20"/>
          <w:spacing w:val="-3"/>
          <w:sz w:val="21"/>
        </w:rPr>
        <w:t xml:space="preserve">України </w:t>
      </w:r>
      <w:r>
        <w:rPr>
          <w:color w:val="231F20"/>
          <w:sz w:val="21"/>
        </w:rPr>
        <w:t xml:space="preserve">: дис. на здоб. наук. ступ. </w:t>
      </w:r>
      <w:r>
        <w:rPr>
          <w:color w:val="231F20"/>
          <w:spacing w:val="-4"/>
          <w:sz w:val="21"/>
        </w:rPr>
        <w:t xml:space="preserve">докт. </w:t>
      </w:r>
      <w:r>
        <w:rPr>
          <w:color w:val="231F20"/>
          <w:sz w:val="21"/>
        </w:rPr>
        <w:t>юрид. наук зі спец. 12.00.07 – теорія</w:t>
      </w:r>
      <w:r>
        <w:rPr>
          <w:color w:val="231F20"/>
          <w:spacing w:val="-15"/>
          <w:sz w:val="21"/>
        </w:rPr>
        <w:t xml:space="preserve"> </w:t>
      </w:r>
      <w:r>
        <w:rPr>
          <w:color w:val="231F20"/>
          <w:sz w:val="21"/>
        </w:rPr>
        <w:t>управління;</w:t>
      </w:r>
      <w:r>
        <w:rPr>
          <w:color w:val="231F20"/>
          <w:spacing w:val="-15"/>
          <w:sz w:val="21"/>
        </w:rPr>
        <w:t xml:space="preserve"> </w:t>
      </w:r>
      <w:r>
        <w:rPr>
          <w:color w:val="231F20"/>
          <w:sz w:val="21"/>
        </w:rPr>
        <w:t>адміністративне</w:t>
      </w:r>
      <w:r>
        <w:rPr>
          <w:color w:val="231F20"/>
          <w:spacing w:val="-15"/>
          <w:sz w:val="21"/>
        </w:rPr>
        <w:t xml:space="preserve"> </w:t>
      </w:r>
      <w:r>
        <w:rPr>
          <w:color w:val="231F20"/>
          <w:sz w:val="21"/>
        </w:rPr>
        <w:t>право</w:t>
      </w:r>
      <w:r>
        <w:rPr>
          <w:color w:val="231F20"/>
          <w:spacing w:val="-15"/>
          <w:sz w:val="21"/>
        </w:rPr>
        <w:t xml:space="preserve"> </w:t>
      </w:r>
      <w:r>
        <w:rPr>
          <w:color w:val="231F20"/>
          <w:sz w:val="21"/>
        </w:rPr>
        <w:t>і</w:t>
      </w:r>
      <w:r>
        <w:rPr>
          <w:color w:val="231F20"/>
          <w:spacing w:val="-12"/>
          <w:sz w:val="21"/>
        </w:rPr>
        <w:t xml:space="preserve"> </w:t>
      </w:r>
      <w:r>
        <w:rPr>
          <w:color w:val="231F20"/>
          <w:sz w:val="21"/>
        </w:rPr>
        <w:t>процес;</w:t>
      </w:r>
      <w:r>
        <w:rPr>
          <w:color w:val="231F20"/>
          <w:spacing w:val="-15"/>
          <w:sz w:val="21"/>
        </w:rPr>
        <w:t xml:space="preserve"> </w:t>
      </w:r>
      <w:r>
        <w:rPr>
          <w:color w:val="231F20"/>
          <w:sz w:val="21"/>
        </w:rPr>
        <w:t>фінансове</w:t>
      </w:r>
      <w:r>
        <w:rPr>
          <w:color w:val="231F20"/>
          <w:spacing w:val="-15"/>
          <w:sz w:val="21"/>
        </w:rPr>
        <w:t xml:space="preserve"> </w:t>
      </w:r>
      <w:r>
        <w:rPr>
          <w:color w:val="231F20"/>
          <w:sz w:val="21"/>
        </w:rPr>
        <w:t>право; інформаційне право, К. : Національна академія внутрішніх прав, 2005. 454 с.</w:t>
      </w:r>
    </w:p>
    <w:p w14:paraId="1D8FECAD" w14:textId="77777777" w:rsidR="00DE575E" w:rsidRDefault="002E7560">
      <w:pPr>
        <w:pStyle w:val="ListParagraph"/>
        <w:numPr>
          <w:ilvl w:val="2"/>
          <w:numId w:val="42"/>
        </w:numPr>
        <w:tabs>
          <w:tab w:val="left" w:pos="1101"/>
        </w:tabs>
        <w:spacing w:before="3" w:line="252" w:lineRule="auto"/>
        <w:ind w:right="130" w:firstLine="284"/>
        <w:jc w:val="both"/>
        <w:rPr>
          <w:sz w:val="21"/>
        </w:rPr>
      </w:pPr>
      <w:r>
        <w:rPr>
          <w:color w:val="231F20"/>
          <w:spacing w:val="-3"/>
          <w:sz w:val="21"/>
        </w:rPr>
        <w:t xml:space="preserve">Кодекс    України    </w:t>
      </w:r>
      <w:r>
        <w:rPr>
          <w:color w:val="231F20"/>
          <w:sz w:val="21"/>
        </w:rPr>
        <w:t xml:space="preserve">про    адміністративні    правопорушення від 7 </w:t>
      </w:r>
      <w:r>
        <w:rPr>
          <w:color w:val="231F20"/>
          <w:spacing w:val="-3"/>
          <w:sz w:val="21"/>
        </w:rPr>
        <w:t xml:space="preserve">грудня </w:t>
      </w:r>
      <w:r>
        <w:rPr>
          <w:color w:val="231F20"/>
          <w:sz w:val="21"/>
        </w:rPr>
        <w:t>1984 року № 8073-X // Відомості Верховної Ради Української РСР 1984, додаток до № 51.</w:t>
      </w:r>
      <w:r>
        <w:rPr>
          <w:color w:val="231F20"/>
          <w:spacing w:val="-11"/>
          <w:sz w:val="21"/>
        </w:rPr>
        <w:t xml:space="preserve"> </w:t>
      </w:r>
      <w:r>
        <w:rPr>
          <w:color w:val="231F20"/>
          <w:spacing w:val="-3"/>
          <w:sz w:val="21"/>
        </w:rPr>
        <w:t>Ст.1122.</w:t>
      </w:r>
    </w:p>
    <w:p w14:paraId="35776F5B" w14:textId="77777777" w:rsidR="00DE575E" w:rsidRDefault="002E7560">
      <w:pPr>
        <w:pStyle w:val="ListParagraph"/>
        <w:numPr>
          <w:ilvl w:val="2"/>
          <w:numId w:val="42"/>
        </w:numPr>
        <w:tabs>
          <w:tab w:val="left" w:pos="1101"/>
        </w:tabs>
        <w:spacing w:line="252" w:lineRule="auto"/>
        <w:ind w:right="128" w:firstLine="284"/>
        <w:jc w:val="both"/>
        <w:rPr>
          <w:sz w:val="21"/>
        </w:rPr>
      </w:pPr>
      <w:r>
        <w:rPr>
          <w:color w:val="231F20"/>
          <w:sz w:val="21"/>
        </w:rPr>
        <w:t xml:space="preserve">Адміністративна відповідальність в </w:t>
      </w:r>
      <w:r>
        <w:rPr>
          <w:color w:val="231F20"/>
          <w:spacing w:val="-3"/>
          <w:sz w:val="21"/>
        </w:rPr>
        <w:t xml:space="preserve">Україні: </w:t>
      </w:r>
      <w:r>
        <w:rPr>
          <w:color w:val="231F20"/>
          <w:sz w:val="21"/>
        </w:rPr>
        <w:t xml:space="preserve">Навчальний посібник / За </w:t>
      </w:r>
      <w:r>
        <w:rPr>
          <w:color w:val="231F20"/>
          <w:spacing w:val="-5"/>
          <w:sz w:val="21"/>
        </w:rPr>
        <w:t xml:space="preserve">заг. </w:t>
      </w:r>
      <w:r>
        <w:rPr>
          <w:color w:val="231F20"/>
          <w:sz w:val="21"/>
        </w:rPr>
        <w:t xml:space="preserve">ред. доц. </w:t>
      </w:r>
      <w:r>
        <w:rPr>
          <w:color w:val="231F20"/>
          <w:spacing w:val="-11"/>
          <w:sz w:val="21"/>
        </w:rPr>
        <w:t xml:space="preserve">А.Т. </w:t>
      </w:r>
      <w:r>
        <w:rPr>
          <w:color w:val="231F20"/>
          <w:sz w:val="21"/>
        </w:rPr>
        <w:t>Комзюка. 2-е вид.,</w:t>
      </w:r>
      <w:r>
        <w:rPr>
          <w:color w:val="231F20"/>
          <w:sz w:val="21"/>
        </w:rPr>
        <w:t xml:space="preserve"> перероб. і доп. Харків : </w:t>
      </w:r>
      <w:r>
        <w:rPr>
          <w:color w:val="231F20"/>
          <w:spacing w:val="-4"/>
          <w:sz w:val="21"/>
        </w:rPr>
        <w:t xml:space="preserve">Ун-т </w:t>
      </w:r>
      <w:r>
        <w:rPr>
          <w:color w:val="231F20"/>
          <w:sz w:val="21"/>
        </w:rPr>
        <w:t>внутр. справ, 2000. 99 с.</w:t>
      </w:r>
    </w:p>
    <w:p w14:paraId="41F7CCFA" w14:textId="77777777" w:rsidR="00DE575E" w:rsidRDefault="00DE575E">
      <w:pPr>
        <w:pStyle w:val="BodyText"/>
        <w:rPr>
          <w:sz w:val="20"/>
        </w:rPr>
      </w:pPr>
    </w:p>
    <w:p w14:paraId="5A7F6145" w14:textId="77777777" w:rsidR="00DE575E" w:rsidRDefault="00DE575E">
      <w:pPr>
        <w:pStyle w:val="BodyText"/>
        <w:rPr>
          <w:sz w:val="20"/>
        </w:rPr>
      </w:pPr>
    </w:p>
    <w:p w14:paraId="63C374B9" w14:textId="77777777" w:rsidR="00DE575E" w:rsidRDefault="00DE575E">
      <w:pPr>
        <w:pStyle w:val="BodyText"/>
        <w:rPr>
          <w:sz w:val="20"/>
        </w:rPr>
      </w:pPr>
    </w:p>
    <w:p w14:paraId="5C61C32F" w14:textId="77777777" w:rsidR="00DE575E" w:rsidRDefault="00DE575E">
      <w:pPr>
        <w:pStyle w:val="BodyText"/>
        <w:rPr>
          <w:sz w:val="20"/>
        </w:rPr>
      </w:pPr>
    </w:p>
    <w:p w14:paraId="2D89C415" w14:textId="77777777" w:rsidR="00DE575E" w:rsidRDefault="00DE575E">
      <w:pPr>
        <w:pStyle w:val="BodyText"/>
        <w:rPr>
          <w:sz w:val="20"/>
        </w:rPr>
      </w:pPr>
    </w:p>
    <w:p w14:paraId="19342396" w14:textId="77777777" w:rsidR="00DE575E" w:rsidRDefault="00DE575E">
      <w:pPr>
        <w:pStyle w:val="BodyText"/>
        <w:rPr>
          <w:sz w:val="20"/>
        </w:rPr>
      </w:pPr>
    </w:p>
    <w:p w14:paraId="0045EFB0" w14:textId="77777777" w:rsidR="00DE575E" w:rsidRDefault="00DE575E">
      <w:pPr>
        <w:pStyle w:val="BodyText"/>
        <w:rPr>
          <w:sz w:val="20"/>
        </w:rPr>
      </w:pPr>
    </w:p>
    <w:p w14:paraId="1608DD46" w14:textId="77777777" w:rsidR="00DE575E" w:rsidRDefault="00DE575E">
      <w:pPr>
        <w:pStyle w:val="BodyText"/>
        <w:rPr>
          <w:sz w:val="20"/>
        </w:rPr>
      </w:pPr>
    </w:p>
    <w:p w14:paraId="6D1D91F5" w14:textId="77777777" w:rsidR="00DE575E" w:rsidRDefault="00DE575E">
      <w:pPr>
        <w:pStyle w:val="BodyText"/>
        <w:rPr>
          <w:sz w:val="20"/>
        </w:rPr>
      </w:pPr>
    </w:p>
    <w:p w14:paraId="22754FCF" w14:textId="77777777" w:rsidR="00DE575E" w:rsidRDefault="00DE575E">
      <w:pPr>
        <w:pStyle w:val="BodyText"/>
        <w:rPr>
          <w:sz w:val="20"/>
        </w:rPr>
      </w:pPr>
    </w:p>
    <w:p w14:paraId="09838228" w14:textId="77777777" w:rsidR="00DE575E" w:rsidRDefault="00DE575E">
      <w:pPr>
        <w:pStyle w:val="BodyText"/>
        <w:rPr>
          <w:sz w:val="20"/>
        </w:rPr>
      </w:pPr>
    </w:p>
    <w:p w14:paraId="1524F6BA" w14:textId="77777777" w:rsidR="00DE575E" w:rsidRDefault="00DE575E">
      <w:pPr>
        <w:pStyle w:val="BodyText"/>
        <w:rPr>
          <w:sz w:val="20"/>
        </w:rPr>
      </w:pPr>
    </w:p>
    <w:p w14:paraId="4619E7E8" w14:textId="77777777" w:rsidR="00DE575E" w:rsidRDefault="00DE575E">
      <w:pPr>
        <w:pStyle w:val="BodyText"/>
        <w:rPr>
          <w:sz w:val="20"/>
        </w:rPr>
      </w:pPr>
    </w:p>
    <w:p w14:paraId="6AE27ACF" w14:textId="77777777" w:rsidR="00DE575E" w:rsidRDefault="00DE575E">
      <w:pPr>
        <w:pStyle w:val="BodyText"/>
        <w:rPr>
          <w:sz w:val="20"/>
        </w:rPr>
      </w:pPr>
    </w:p>
    <w:p w14:paraId="0D8E34A3" w14:textId="77777777" w:rsidR="00DE575E" w:rsidRDefault="00DE575E">
      <w:pPr>
        <w:pStyle w:val="BodyText"/>
        <w:rPr>
          <w:sz w:val="20"/>
        </w:rPr>
      </w:pPr>
    </w:p>
    <w:p w14:paraId="2386182D" w14:textId="77777777" w:rsidR="00DE575E" w:rsidRDefault="00DE575E">
      <w:pPr>
        <w:pStyle w:val="BodyText"/>
        <w:rPr>
          <w:sz w:val="20"/>
        </w:rPr>
      </w:pPr>
    </w:p>
    <w:p w14:paraId="6A5A2A58" w14:textId="77777777" w:rsidR="00DE575E" w:rsidRDefault="00DE575E">
      <w:pPr>
        <w:pStyle w:val="BodyText"/>
        <w:rPr>
          <w:sz w:val="20"/>
        </w:rPr>
      </w:pPr>
    </w:p>
    <w:p w14:paraId="2017746C" w14:textId="77777777" w:rsidR="00DE575E" w:rsidRDefault="00DE575E">
      <w:pPr>
        <w:pStyle w:val="BodyText"/>
        <w:rPr>
          <w:sz w:val="20"/>
        </w:rPr>
      </w:pPr>
    </w:p>
    <w:p w14:paraId="3EDA0FC7" w14:textId="77777777" w:rsidR="00DE575E" w:rsidRDefault="00DE575E">
      <w:pPr>
        <w:pStyle w:val="BodyText"/>
        <w:rPr>
          <w:sz w:val="20"/>
        </w:rPr>
      </w:pPr>
    </w:p>
    <w:p w14:paraId="4E9C1624" w14:textId="77777777" w:rsidR="00DE575E" w:rsidRDefault="00DE575E">
      <w:pPr>
        <w:pStyle w:val="BodyText"/>
        <w:rPr>
          <w:sz w:val="20"/>
        </w:rPr>
      </w:pPr>
    </w:p>
    <w:p w14:paraId="550A3C8B" w14:textId="77777777" w:rsidR="00DE575E" w:rsidRDefault="00DE575E">
      <w:pPr>
        <w:pStyle w:val="BodyText"/>
        <w:rPr>
          <w:sz w:val="20"/>
        </w:rPr>
      </w:pPr>
    </w:p>
    <w:p w14:paraId="04C175B2" w14:textId="77777777" w:rsidR="00DE575E" w:rsidRDefault="00DE575E">
      <w:pPr>
        <w:pStyle w:val="BodyText"/>
        <w:spacing w:before="1"/>
        <w:rPr>
          <w:sz w:val="20"/>
        </w:rPr>
      </w:pPr>
    </w:p>
    <w:p w14:paraId="0CCCCEF0" w14:textId="77777777" w:rsidR="00DE575E" w:rsidRDefault="002E7560">
      <w:pPr>
        <w:ind w:left="533"/>
        <w:rPr>
          <w:rFonts w:ascii="Times New Roman"/>
          <w:sz w:val="20"/>
        </w:rPr>
      </w:pPr>
      <w:r>
        <w:rPr>
          <w:rFonts w:ascii="Times New Roman"/>
          <w:color w:val="231F20"/>
          <w:sz w:val="20"/>
        </w:rPr>
        <w:t>482</w:t>
      </w:r>
    </w:p>
    <w:p w14:paraId="282B732E" w14:textId="77777777" w:rsidR="00DE575E" w:rsidRDefault="00DE575E">
      <w:pPr>
        <w:rPr>
          <w:rFonts w:ascii="Times New Roman"/>
          <w:sz w:val="20"/>
        </w:rPr>
        <w:sectPr w:rsidR="00DE575E">
          <w:pgSz w:w="8510" w:h="12760"/>
          <w:pgMar w:top="660" w:right="720" w:bottom="280" w:left="600" w:header="720" w:footer="720" w:gutter="0"/>
          <w:cols w:space="720"/>
        </w:sectPr>
      </w:pPr>
    </w:p>
    <w:p w14:paraId="25EE62B6" w14:textId="77777777" w:rsidR="00DE575E" w:rsidRDefault="002E7560">
      <w:pPr>
        <w:spacing w:before="72" w:line="249" w:lineRule="auto"/>
        <w:ind w:left="3253" w:right="392" w:hanging="561"/>
        <w:rPr>
          <w:rFonts w:ascii="AdonisC" w:hAnsi="AdonisC"/>
          <w:i/>
          <w:sz w:val="18"/>
        </w:rPr>
      </w:pPr>
      <w:r>
        <w:rPr>
          <w:rFonts w:ascii="AdonisC" w:hAnsi="AdonisC"/>
          <w:i/>
          <w:color w:val="231F20"/>
          <w:sz w:val="18"/>
        </w:rPr>
        <w:t>Глава ІІ Особливе адміністративне право/ Книга ІІ Розділ 2. Адміністративне правопорушення</w:t>
      </w:r>
    </w:p>
    <w:p w14:paraId="454DA008" w14:textId="56FC6E5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49D4965" wp14:editId="220C8FFC">
                <wp:extent cx="4140200" cy="6350"/>
                <wp:effectExtent l="0" t="0" r="12700" b="6350"/>
                <wp:docPr id="20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04" name="Line 2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49718" id="Group_x0020_2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5UDBIX4CAACYBQAADgAA&#10;AAAAAAAAAAAAAAAsAgAAZHJzL2Uyb0RvYy54bWxQSwECLQAUAAYACAAAACEATKewkNkAAAADAQAA&#10;DwAAAAAAAAAAAAAAAADWBAAAZHJzL2Rvd25yZXYueG1sUEsFBgAAAAAEAAQA8wAAANwFAAAAAA==&#10;">
                <v:line id="Line_x0020_2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ouCsYAAADcAAAADwAAAGRycy9kb3ducmV2LnhtbESP3WrCQBSE7wu+w3IKvZG68Qcp0VVE&#10;KJRe+Bcf4Jg9JqG7Z2N2NdGn7xaEXg4z8w0zX3bWiBs1vnKsYDhIQBDnTldcKDhmn+8fIHxA1mgc&#10;k4I7eVguei9zTLVreU+3QyhEhLBPUUEZQp1K6fOSLPqBq4mjd3aNxRBlU0jdYBvh1shRkkylxYrj&#10;Qok1rUvKfw5XqyC79IPZbb9Nm21PY3m6bMaP60apt9duNQMRqAv/4Wf7SysYJRP4OxOP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aLgrGAAAA3AAAAA8AAAAAAAAA&#10;AAAAAAAAoQIAAGRycy9kb3ducmV2LnhtbFBLBQYAAAAABAAEAPkAAACUAwAAAAA=&#10;" strokecolor="#231f20" strokeweight=".5pt"/>
                <w10:anchorlock/>
              </v:group>
            </w:pict>
          </mc:Fallback>
        </mc:AlternateContent>
      </w:r>
    </w:p>
    <w:p w14:paraId="4E012A6C" w14:textId="77777777" w:rsidR="00DE575E" w:rsidRDefault="00DE575E">
      <w:pPr>
        <w:pStyle w:val="BodyText"/>
        <w:spacing w:before="9"/>
        <w:rPr>
          <w:rFonts w:ascii="AdonisC"/>
          <w:i/>
          <w:sz w:val="20"/>
        </w:rPr>
      </w:pPr>
    </w:p>
    <w:p w14:paraId="1DC55112" w14:textId="77777777" w:rsidR="00DE575E" w:rsidRDefault="002E7560">
      <w:pPr>
        <w:pStyle w:val="Heading2"/>
        <w:spacing w:line="218" w:lineRule="auto"/>
        <w:ind w:left="850" w:right="920" w:firstLine="2103"/>
      </w:pPr>
      <w:r>
        <w:rPr>
          <w:color w:val="231F20"/>
        </w:rPr>
        <w:t>Розділ 2 АДМІНІСТРАТИВНЕ ПРАВОПОРУШЕННЯ</w:t>
      </w:r>
    </w:p>
    <w:p w14:paraId="35C3DF3B" w14:textId="77777777" w:rsidR="00DE575E" w:rsidRDefault="00DE575E">
      <w:pPr>
        <w:pStyle w:val="BodyText"/>
        <w:spacing w:before="11"/>
        <w:rPr>
          <w:b/>
          <w:sz w:val="41"/>
        </w:rPr>
      </w:pPr>
    </w:p>
    <w:p w14:paraId="36579D0C" w14:textId="77777777" w:rsidR="00DE575E" w:rsidRDefault="002E7560">
      <w:pPr>
        <w:pStyle w:val="Heading4"/>
        <w:numPr>
          <w:ilvl w:val="1"/>
          <w:numId w:val="30"/>
        </w:numPr>
        <w:tabs>
          <w:tab w:val="left" w:pos="1296"/>
        </w:tabs>
        <w:ind w:hanging="688"/>
        <w:jc w:val="left"/>
      </w:pPr>
      <w:r>
        <w:rPr>
          <w:color w:val="231F20"/>
        </w:rPr>
        <w:t>Поняття адміністративного</w:t>
      </w:r>
      <w:r>
        <w:rPr>
          <w:color w:val="231F20"/>
          <w:spacing w:val="-4"/>
        </w:rPr>
        <w:t xml:space="preserve"> </w:t>
      </w:r>
      <w:r>
        <w:rPr>
          <w:color w:val="231F20"/>
        </w:rPr>
        <w:t>правопорушення</w:t>
      </w:r>
    </w:p>
    <w:p w14:paraId="5A309B31" w14:textId="77777777" w:rsidR="00DE575E" w:rsidRDefault="00DE575E">
      <w:pPr>
        <w:pStyle w:val="BodyText"/>
        <w:rPr>
          <w:b/>
          <w:sz w:val="26"/>
        </w:rPr>
      </w:pPr>
    </w:p>
    <w:p w14:paraId="15BE8BBB" w14:textId="77777777" w:rsidR="00DE575E" w:rsidRDefault="002E7560">
      <w:pPr>
        <w:pStyle w:val="BodyText"/>
        <w:spacing w:before="203" w:line="244" w:lineRule="auto"/>
        <w:ind w:left="250" w:right="410" w:firstLine="283"/>
        <w:jc w:val="both"/>
      </w:pPr>
      <w:r>
        <w:rPr>
          <w:color w:val="231F20"/>
          <w:spacing w:val="-6"/>
        </w:rPr>
        <w:t>Ст.</w:t>
      </w:r>
      <w:r>
        <w:rPr>
          <w:color w:val="231F20"/>
          <w:spacing w:val="-21"/>
        </w:rPr>
        <w:t xml:space="preserve"> </w:t>
      </w:r>
      <w:r>
        <w:rPr>
          <w:color w:val="231F20"/>
        </w:rPr>
        <w:t>9</w:t>
      </w:r>
      <w:r>
        <w:rPr>
          <w:color w:val="231F20"/>
          <w:spacing w:val="-21"/>
        </w:rPr>
        <w:t xml:space="preserve"> </w:t>
      </w:r>
      <w:r>
        <w:rPr>
          <w:color w:val="231F20"/>
          <w:spacing w:val="-3"/>
        </w:rPr>
        <w:t>Кодексу</w:t>
      </w:r>
      <w:r>
        <w:rPr>
          <w:color w:val="231F20"/>
          <w:spacing w:val="-21"/>
        </w:rPr>
        <w:t xml:space="preserve"> </w:t>
      </w:r>
      <w:r>
        <w:rPr>
          <w:color w:val="231F20"/>
          <w:spacing w:val="-3"/>
        </w:rPr>
        <w:t>України</w:t>
      </w:r>
      <w:r>
        <w:rPr>
          <w:color w:val="231F20"/>
          <w:spacing w:val="-21"/>
        </w:rPr>
        <w:t xml:space="preserve"> </w:t>
      </w:r>
      <w:r>
        <w:rPr>
          <w:color w:val="231F20"/>
        </w:rPr>
        <w:t>про</w:t>
      </w:r>
      <w:r>
        <w:rPr>
          <w:color w:val="231F20"/>
          <w:spacing w:val="-21"/>
        </w:rPr>
        <w:t xml:space="preserve"> </w:t>
      </w:r>
      <w:r>
        <w:rPr>
          <w:color w:val="231F20"/>
        </w:rPr>
        <w:t>адміністративні</w:t>
      </w:r>
      <w:r>
        <w:rPr>
          <w:color w:val="231F20"/>
          <w:spacing w:val="-21"/>
        </w:rPr>
        <w:t xml:space="preserve"> </w:t>
      </w:r>
      <w:r>
        <w:rPr>
          <w:color w:val="231F20"/>
        </w:rPr>
        <w:t>правопорушення</w:t>
      </w:r>
      <w:r>
        <w:rPr>
          <w:color w:val="231F20"/>
          <w:spacing w:val="-21"/>
        </w:rPr>
        <w:t xml:space="preserve"> </w:t>
      </w:r>
      <w:r>
        <w:rPr>
          <w:color w:val="231F20"/>
        </w:rPr>
        <w:t>визна- чено, що адміністративне правопорушення (проступок) – це проти- правна, винна (умисна або необережна) дія чи бездіяльність, що посягає на громадський порядок, власність, права і свободи грома- дян, на встановлений порядок управління і за яку законом</w:t>
      </w:r>
      <w:r>
        <w:rPr>
          <w:color w:val="231F20"/>
        </w:rPr>
        <w:t xml:space="preserve"> перед- бачено адміністративну відповідальність. Написання законодавцем поняття «адміністративне правопорушення (проступок)» створює неоднозначність тлумачення та зіставлення дефініцій «адміністра- тивне правопорушення» та «адміністративний</w:t>
      </w:r>
      <w:r>
        <w:rPr>
          <w:color w:val="231F20"/>
          <w:spacing w:val="-6"/>
        </w:rPr>
        <w:t xml:space="preserve"> </w:t>
      </w:r>
      <w:r>
        <w:rPr>
          <w:color w:val="231F20"/>
        </w:rPr>
        <w:t>проступок».</w:t>
      </w:r>
    </w:p>
    <w:p w14:paraId="4A03521C" w14:textId="77777777" w:rsidR="00DE575E" w:rsidRDefault="002E7560">
      <w:pPr>
        <w:pStyle w:val="BodyText"/>
        <w:spacing w:before="7" w:line="244" w:lineRule="auto"/>
        <w:ind w:left="250" w:right="411" w:firstLine="283"/>
        <w:jc w:val="both"/>
      </w:pPr>
      <w:r>
        <w:rPr>
          <w:color w:val="231F20"/>
        </w:rPr>
        <w:t>Про</w:t>
      </w:r>
      <w:r>
        <w:rPr>
          <w:color w:val="231F20"/>
        </w:rPr>
        <w:t xml:space="preserve">ступок – це лише протиправна поведінка, за яку передба- чено дисциплінарну або адміністративну  відповідальність.  Адже  ці поняття не є тотожними, оскільки адміністративне правопору- шення – це порушення </w:t>
      </w:r>
      <w:r>
        <w:rPr>
          <w:color w:val="231F20"/>
          <w:spacing w:val="-3"/>
        </w:rPr>
        <w:t xml:space="preserve">будь-якої </w:t>
      </w:r>
      <w:r>
        <w:rPr>
          <w:color w:val="231F20"/>
        </w:rPr>
        <w:t xml:space="preserve">адміністративно-правової норми незалежно </w:t>
      </w:r>
      <w:r>
        <w:rPr>
          <w:color w:val="231F20"/>
        </w:rPr>
        <w:t>від того, чи передбачено за це відповідальність, а адмі- ністративний проступок – це різновид адміністративного правопо- рушення, за який встановлено адміністративну</w:t>
      </w:r>
      <w:r>
        <w:rPr>
          <w:color w:val="231F20"/>
          <w:spacing w:val="-13"/>
        </w:rPr>
        <w:t xml:space="preserve"> </w:t>
      </w:r>
      <w:r>
        <w:rPr>
          <w:color w:val="231F20"/>
        </w:rPr>
        <w:t>відповідальність</w:t>
      </w:r>
      <w:r>
        <w:rPr>
          <w:color w:val="231F20"/>
          <w:position w:val="7"/>
          <w:sz w:val="12"/>
        </w:rPr>
        <w:t>1</w:t>
      </w:r>
      <w:r>
        <w:rPr>
          <w:color w:val="231F20"/>
        </w:rPr>
        <w:t>.</w:t>
      </w:r>
    </w:p>
    <w:p w14:paraId="7C71D974" w14:textId="77777777" w:rsidR="00DE575E" w:rsidRDefault="002E7560">
      <w:pPr>
        <w:spacing w:before="7" w:line="244" w:lineRule="auto"/>
        <w:ind w:left="250" w:right="411" w:firstLine="283"/>
        <w:jc w:val="both"/>
        <w:rPr>
          <w:i/>
          <w:sz w:val="21"/>
        </w:rPr>
      </w:pPr>
      <w:r>
        <w:rPr>
          <w:color w:val="231F20"/>
          <w:sz w:val="21"/>
        </w:rPr>
        <w:t xml:space="preserve">Отже, </w:t>
      </w:r>
      <w:r>
        <w:rPr>
          <w:b/>
          <w:i/>
          <w:color w:val="231F20"/>
          <w:sz w:val="21"/>
        </w:rPr>
        <w:t xml:space="preserve">адміністративне правопорушення </w:t>
      </w:r>
      <w:r>
        <w:rPr>
          <w:i/>
          <w:color w:val="231F20"/>
          <w:sz w:val="21"/>
        </w:rPr>
        <w:t>– це протиправна, винна (умисна аб</w:t>
      </w:r>
      <w:r>
        <w:rPr>
          <w:i/>
          <w:color w:val="231F20"/>
          <w:sz w:val="21"/>
        </w:rPr>
        <w:t>о необережна) дія чи бездіяльність, яка посягає на громадський порядок, власність, права і свободи громадян, на вста- новлений порядок управління і за яку законом передбачено адмініст- ративну відповідальність (ст. 9 КУпАП).</w:t>
      </w:r>
    </w:p>
    <w:p w14:paraId="36B03CD0" w14:textId="77777777" w:rsidR="00DE575E" w:rsidRDefault="00DE575E">
      <w:pPr>
        <w:pStyle w:val="BodyText"/>
        <w:rPr>
          <w:i/>
          <w:sz w:val="24"/>
        </w:rPr>
      </w:pPr>
    </w:p>
    <w:p w14:paraId="2219D334" w14:textId="77777777" w:rsidR="00DE575E" w:rsidRDefault="00DE575E">
      <w:pPr>
        <w:pStyle w:val="BodyText"/>
        <w:spacing w:before="6"/>
        <w:rPr>
          <w:i/>
          <w:sz w:val="18"/>
        </w:rPr>
      </w:pPr>
    </w:p>
    <w:p w14:paraId="53C82AFC" w14:textId="77777777" w:rsidR="00DE575E" w:rsidRDefault="002E7560">
      <w:pPr>
        <w:pStyle w:val="Heading4"/>
        <w:numPr>
          <w:ilvl w:val="1"/>
          <w:numId w:val="30"/>
        </w:numPr>
        <w:tabs>
          <w:tab w:val="left" w:pos="1353"/>
        </w:tabs>
        <w:ind w:left="1352" w:hanging="410"/>
        <w:jc w:val="left"/>
      </w:pPr>
      <w:r>
        <w:rPr>
          <w:color w:val="231F20"/>
        </w:rPr>
        <w:t>Ознаки адміністративного</w:t>
      </w:r>
      <w:r>
        <w:rPr>
          <w:color w:val="231F20"/>
          <w:spacing w:val="-5"/>
        </w:rPr>
        <w:t xml:space="preserve"> </w:t>
      </w:r>
      <w:r>
        <w:rPr>
          <w:color w:val="231F20"/>
        </w:rPr>
        <w:t>прав</w:t>
      </w:r>
      <w:r>
        <w:rPr>
          <w:color w:val="231F20"/>
        </w:rPr>
        <w:t>опорушення</w:t>
      </w:r>
    </w:p>
    <w:p w14:paraId="4125EF1F" w14:textId="77777777" w:rsidR="00DE575E" w:rsidRDefault="00DE575E">
      <w:pPr>
        <w:pStyle w:val="BodyText"/>
        <w:rPr>
          <w:b/>
          <w:sz w:val="26"/>
        </w:rPr>
      </w:pPr>
    </w:p>
    <w:p w14:paraId="67534F7A" w14:textId="77777777" w:rsidR="00DE575E" w:rsidRDefault="002E7560">
      <w:pPr>
        <w:spacing w:before="203" w:line="244" w:lineRule="auto"/>
        <w:ind w:left="250" w:right="411" w:firstLine="283"/>
        <w:jc w:val="both"/>
        <w:rPr>
          <w:i/>
          <w:sz w:val="21"/>
        </w:rPr>
      </w:pPr>
      <w:r>
        <w:rPr>
          <w:color w:val="231F20"/>
          <w:sz w:val="21"/>
        </w:rPr>
        <w:t xml:space="preserve">Адміністративному правопорушенню властиві такі </w:t>
      </w:r>
      <w:r>
        <w:rPr>
          <w:i/>
          <w:color w:val="231F20"/>
          <w:sz w:val="21"/>
        </w:rPr>
        <w:t>загальнопра- вові ознаки:</w:t>
      </w:r>
    </w:p>
    <w:p w14:paraId="021CE5A6" w14:textId="77777777" w:rsidR="00DE575E" w:rsidRDefault="002E7560">
      <w:pPr>
        <w:spacing w:before="2" w:line="252" w:lineRule="auto"/>
        <w:ind w:left="250" w:right="411" w:firstLine="283"/>
        <w:jc w:val="both"/>
        <w:rPr>
          <w:sz w:val="21"/>
        </w:rPr>
      </w:pPr>
      <w:r>
        <w:rPr>
          <w:rFonts w:ascii="Wingdings" w:hAnsi="Wingdings"/>
          <w:color w:val="231F20"/>
          <w:sz w:val="21"/>
        </w:rPr>
        <w:t></w:t>
      </w:r>
      <w:r>
        <w:rPr>
          <w:rFonts w:ascii="Times New Roman" w:hAnsi="Times New Roman"/>
          <w:color w:val="231F20"/>
          <w:sz w:val="21"/>
        </w:rPr>
        <w:t xml:space="preserve"> </w:t>
      </w:r>
      <w:r>
        <w:rPr>
          <w:i/>
          <w:color w:val="231F20"/>
          <w:sz w:val="21"/>
        </w:rPr>
        <w:t>дія чи бездіяльність</w:t>
      </w:r>
      <w:r>
        <w:rPr>
          <w:color w:val="231F20"/>
          <w:sz w:val="21"/>
        </w:rPr>
        <w:t xml:space="preserve">, тобто </w:t>
      </w:r>
      <w:r>
        <w:rPr>
          <w:i/>
          <w:color w:val="231F20"/>
          <w:sz w:val="21"/>
        </w:rPr>
        <w:t>діяння</w:t>
      </w:r>
      <w:r>
        <w:rPr>
          <w:color w:val="231F20"/>
          <w:sz w:val="21"/>
        </w:rPr>
        <w:t xml:space="preserve">, а не думки, бажання чи інші подібні прояви психічної діяльності людей. </w:t>
      </w:r>
      <w:r>
        <w:rPr>
          <w:i/>
          <w:color w:val="231F20"/>
          <w:sz w:val="21"/>
        </w:rPr>
        <w:t xml:space="preserve">Дія </w:t>
      </w:r>
      <w:r>
        <w:rPr>
          <w:color w:val="231F20"/>
          <w:sz w:val="21"/>
        </w:rPr>
        <w:t>– це, наприклад,</w:t>
      </w:r>
    </w:p>
    <w:p w14:paraId="29A2BB1E" w14:textId="0CA3DCA3" w:rsidR="00DE575E" w:rsidRDefault="002E7560">
      <w:pPr>
        <w:pStyle w:val="BodyText"/>
        <w:spacing w:before="9"/>
        <w:rPr>
          <w:sz w:val="22"/>
        </w:rPr>
      </w:pPr>
      <w:r>
        <w:rPr>
          <w:noProof/>
        </w:rPr>
        <mc:AlternateContent>
          <mc:Choice Requires="wps">
            <w:drawing>
              <wp:anchor distT="0" distB="0" distL="0" distR="0" simplePos="0" relativeHeight="18424" behindDoc="0" locked="0" layoutInCell="1" allowOverlap="1" wp14:anchorId="31D7A76A" wp14:editId="0DDDAF89">
                <wp:simplePos x="0" y="0"/>
                <wp:positionH relativeFrom="page">
                  <wp:posOffset>539750</wp:posOffset>
                </wp:positionH>
                <wp:positionV relativeFrom="paragraph">
                  <wp:posOffset>197485</wp:posOffset>
                </wp:positionV>
                <wp:extent cx="1080135" cy="0"/>
                <wp:effectExtent l="6350" t="6985" r="31115" b="31115"/>
                <wp:wrapTopAndBottom/>
                <wp:docPr id="20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F84B2" id="Line_x0020_201" o:spid="_x0000_s1026" style="position:absolute;z-index:18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5.55pt" to="127.5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" strokecolor="#231f20" strokeweight=".5pt">
                <w10:wrap type="topAndBottom" anchorx="page"/>
              </v:line>
            </w:pict>
          </mc:Fallback>
        </mc:AlternateContent>
      </w:r>
    </w:p>
    <w:p w14:paraId="62F12F03" w14:textId="77777777" w:rsidR="00DE575E" w:rsidRDefault="002E7560">
      <w:pPr>
        <w:spacing w:line="204" w:lineRule="auto"/>
        <w:ind w:left="250" w:right="521"/>
        <w:rPr>
          <w:sz w:val="16"/>
        </w:rPr>
      </w:pPr>
      <w:r>
        <w:rPr>
          <w:color w:val="231F20"/>
          <w:position w:val="5"/>
          <w:sz w:val="9"/>
        </w:rPr>
        <w:t xml:space="preserve">1 </w:t>
      </w:r>
      <w:r>
        <w:rPr>
          <w:color w:val="231F20"/>
          <w:sz w:val="16"/>
        </w:rPr>
        <w:t xml:space="preserve">Адміністративна відповідальність в Україні: навч. посіб. / за </w:t>
      </w:r>
      <w:r>
        <w:rPr>
          <w:color w:val="231F20"/>
          <w:spacing w:val="-4"/>
          <w:sz w:val="16"/>
        </w:rPr>
        <w:t xml:space="preserve">заг. </w:t>
      </w:r>
      <w:r>
        <w:rPr>
          <w:color w:val="231F20"/>
          <w:sz w:val="16"/>
        </w:rPr>
        <w:t xml:space="preserve">ред.  А.  Комзюка. Харків: </w:t>
      </w:r>
      <w:r>
        <w:rPr>
          <w:color w:val="231F20"/>
          <w:spacing w:val="-3"/>
          <w:sz w:val="16"/>
        </w:rPr>
        <w:t xml:space="preserve">Ун-т </w:t>
      </w:r>
      <w:r>
        <w:rPr>
          <w:color w:val="231F20"/>
          <w:sz w:val="16"/>
        </w:rPr>
        <w:t>внутр. справ, 2000. С.</w:t>
      </w:r>
      <w:r>
        <w:rPr>
          <w:color w:val="231F20"/>
          <w:spacing w:val="-1"/>
          <w:sz w:val="16"/>
        </w:rPr>
        <w:t xml:space="preserve"> </w:t>
      </w:r>
      <w:r>
        <w:rPr>
          <w:color w:val="231F20"/>
          <w:sz w:val="16"/>
        </w:rPr>
        <w:t>15.</w:t>
      </w:r>
    </w:p>
    <w:p w14:paraId="59A57103" w14:textId="77777777" w:rsidR="00DE575E" w:rsidRDefault="00DE575E">
      <w:pPr>
        <w:pStyle w:val="BodyText"/>
        <w:spacing w:before="1"/>
        <w:rPr>
          <w:sz w:val="12"/>
        </w:rPr>
      </w:pPr>
    </w:p>
    <w:p w14:paraId="3AED61A6" w14:textId="77777777" w:rsidR="00DE575E" w:rsidRDefault="002E7560">
      <w:pPr>
        <w:spacing w:before="92"/>
        <w:ind w:right="411"/>
        <w:jc w:val="right"/>
        <w:rPr>
          <w:rFonts w:ascii="Times New Roman"/>
          <w:sz w:val="20"/>
        </w:rPr>
      </w:pPr>
      <w:r>
        <w:rPr>
          <w:rFonts w:ascii="Times New Roman"/>
          <w:color w:val="231F20"/>
          <w:w w:val="90"/>
          <w:sz w:val="20"/>
        </w:rPr>
        <w:t>483</w:t>
      </w:r>
    </w:p>
    <w:p w14:paraId="3FC7E3D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27B797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5F03223" w14:textId="56ABDBB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93E5F55" wp14:editId="12AECAEF">
                <wp:extent cx="4140200" cy="6350"/>
                <wp:effectExtent l="0" t="0" r="12700" b="6350"/>
                <wp:docPr id="20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01" name="Line 200"/>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30962F" id="Group_x0020_199"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LUjfH4CAACYBQAADgAA&#10;AAAAAAAAAAAAAAAsAgAAZHJzL2Uyb0RvYy54bWxQSwECLQAUAAYACAAAACEATKewkNkAAAADAQAA&#10;DwAAAAAAAAAAAAAAAADWBAAAZHJzL2Rvd25yZXYueG1sUEsFBgAAAAAEAAQA8wAAANwFAAAAAA==&#10;">
                <v:line id="Line_x0020_200"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NksUAAADcAAAADwAAAGRycy9kb3ducmV2LnhtbESP0WrCQBRE3wv+w3KFvhTdqFAkuooI&#10;hdIHbY0fcM1ek+Du3ZhdTfTru4Lg4zAzZ5j5srNGXKnxlWMFo2ECgjh3uuJCwT77GkxB+ICs0Tgm&#10;BTfysFz03uaYatfyH113oRARwj5FBWUIdSqlz0uy6IeuJo7e0TUWQ5RNIXWDbYRbI8dJ8iktVhwX&#10;SqxpXVJ+2l2sguz8Eczv9se02fYwkYfzZnK/bJR673erGYhAXXiFn+1vrWCcjOBxJh4Bufg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2NksUAAADcAAAADwAAAAAAAAAA&#10;AAAAAAChAgAAZHJzL2Rvd25yZXYueG1sUEsFBgAAAAAEAAQA+QAAAJMDAAAAAA==&#10;" strokecolor="#231f20" strokeweight=".5pt"/>
                <w10:anchorlock/>
              </v:group>
            </w:pict>
          </mc:Fallback>
        </mc:AlternateContent>
      </w:r>
    </w:p>
    <w:p w14:paraId="6AC02315" w14:textId="77777777" w:rsidR="00DE575E" w:rsidRDefault="00DE575E">
      <w:pPr>
        <w:pStyle w:val="BodyText"/>
        <w:spacing w:before="7"/>
        <w:rPr>
          <w:rFonts w:ascii="AdonisC"/>
          <w:i/>
          <w:sz w:val="11"/>
        </w:rPr>
      </w:pPr>
    </w:p>
    <w:p w14:paraId="680EC993" w14:textId="77777777" w:rsidR="00DE575E" w:rsidRDefault="002E7560">
      <w:pPr>
        <w:pStyle w:val="BodyText"/>
        <w:spacing w:before="101" w:line="252" w:lineRule="auto"/>
        <w:ind w:left="533" w:right="126"/>
        <w:jc w:val="both"/>
      </w:pPr>
      <w:r>
        <w:rPr>
          <w:color w:val="231F20"/>
        </w:rPr>
        <w:t>дрібне</w:t>
      </w:r>
      <w:r>
        <w:rPr>
          <w:color w:val="231F20"/>
          <w:spacing w:val="-6"/>
        </w:rPr>
        <w:t xml:space="preserve"> </w:t>
      </w:r>
      <w:r>
        <w:rPr>
          <w:color w:val="231F20"/>
        </w:rPr>
        <w:t>хуліганство</w:t>
      </w:r>
      <w:r>
        <w:rPr>
          <w:color w:val="231F20"/>
          <w:spacing w:val="-6"/>
        </w:rPr>
        <w:t xml:space="preserve"> </w:t>
      </w:r>
      <w:r>
        <w:rPr>
          <w:color w:val="231F20"/>
          <w:spacing w:val="-5"/>
        </w:rPr>
        <w:t>(ст.</w:t>
      </w:r>
      <w:r>
        <w:rPr>
          <w:color w:val="231F20"/>
          <w:spacing w:val="-8"/>
        </w:rPr>
        <w:t xml:space="preserve"> </w:t>
      </w:r>
      <w:r>
        <w:rPr>
          <w:color w:val="231F20"/>
        </w:rPr>
        <w:t>173);</w:t>
      </w:r>
      <w:r>
        <w:rPr>
          <w:color w:val="231F20"/>
          <w:spacing w:val="-6"/>
        </w:rPr>
        <w:t xml:space="preserve"> </w:t>
      </w:r>
      <w:r>
        <w:rPr>
          <w:color w:val="231F20"/>
        </w:rPr>
        <w:t>знищення</w:t>
      </w:r>
      <w:r>
        <w:rPr>
          <w:color w:val="231F20"/>
          <w:spacing w:val="-6"/>
        </w:rPr>
        <w:t xml:space="preserve"> </w:t>
      </w:r>
      <w:r>
        <w:rPr>
          <w:color w:val="231F20"/>
        </w:rPr>
        <w:t>межових</w:t>
      </w:r>
      <w:r>
        <w:rPr>
          <w:color w:val="231F20"/>
          <w:spacing w:val="-6"/>
        </w:rPr>
        <w:t xml:space="preserve"> </w:t>
      </w:r>
      <w:r>
        <w:rPr>
          <w:color w:val="231F20"/>
        </w:rPr>
        <w:t>знаків</w:t>
      </w:r>
      <w:r>
        <w:rPr>
          <w:color w:val="231F20"/>
          <w:spacing w:val="-6"/>
        </w:rPr>
        <w:t xml:space="preserve"> </w:t>
      </w:r>
      <w:r>
        <w:rPr>
          <w:color w:val="231F20"/>
          <w:spacing w:val="-5"/>
        </w:rPr>
        <w:t>(ст.</w:t>
      </w:r>
      <w:r>
        <w:rPr>
          <w:color w:val="231F20"/>
          <w:spacing w:val="-8"/>
        </w:rPr>
        <w:t xml:space="preserve"> </w:t>
      </w:r>
      <w:r>
        <w:rPr>
          <w:color w:val="231F20"/>
        </w:rPr>
        <w:t>56);</w:t>
      </w:r>
      <w:r>
        <w:rPr>
          <w:color w:val="231F20"/>
          <w:spacing w:val="-6"/>
        </w:rPr>
        <w:t xml:space="preserve"> </w:t>
      </w:r>
      <w:r>
        <w:rPr>
          <w:color w:val="231F20"/>
        </w:rPr>
        <w:t xml:space="preserve">неза- конний посів снотворного маку </w:t>
      </w:r>
      <w:r>
        <w:rPr>
          <w:color w:val="231F20"/>
          <w:spacing w:val="-5"/>
        </w:rPr>
        <w:t xml:space="preserve">(ст. </w:t>
      </w:r>
      <w:r>
        <w:rPr>
          <w:color w:val="231F20"/>
        </w:rPr>
        <w:t xml:space="preserve">106-2); пошкодження зелених насаджень </w:t>
      </w:r>
      <w:r>
        <w:rPr>
          <w:color w:val="231F20"/>
          <w:spacing w:val="-5"/>
        </w:rPr>
        <w:t xml:space="preserve">(ст. </w:t>
      </w:r>
      <w:r>
        <w:rPr>
          <w:color w:val="231F20"/>
        </w:rPr>
        <w:t xml:space="preserve">153). </w:t>
      </w:r>
      <w:r>
        <w:rPr>
          <w:i/>
          <w:color w:val="231F20"/>
        </w:rPr>
        <w:t xml:space="preserve">Бездіяльність </w:t>
      </w:r>
      <w:r>
        <w:rPr>
          <w:color w:val="231F20"/>
        </w:rPr>
        <w:t xml:space="preserve">– невиконання вимог екологіч- ної безпеки </w:t>
      </w:r>
      <w:r>
        <w:rPr>
          <w:color w:val="231F20"/>
          <w:spacing w:val="-5"/>
        </w:rPr>
        <w:t xml:space="preserve">(ст. </w:t>
      </w:r>
      <w:r>
        <w:rPr>
          <w:color w:val="231F20"/>
        </w:rPr>
        <w:t>91-1</w:t>
      </w:r>
      <w:r>
        <w:rPr>
          <w:color w:val="231F20"/>
        </w:rPr>
        <w:t xml:space="preserve">); недодержання державних стандартів </w:t>
      </w:r>
      <w:r>
        <w:rPr>
          <w:color w:val="231F20"/>
          <w:spacing w:val="-5"/>
        </w:rPr>
        <w:t xml:space="preserve">(ст. </w:t>
      </w:r>
      <w:r>
        <w:rPr>
          <w:color w:val="231F20"/>
        </w:rPr>
        <w:t xml:space="preserve">96); ухилення осіб від виконання рішень Антимонопольного комітету </w:t>
      </w:r>
      <w:r>
        <w:rPr>
          <w:color w:val="231F20"/>
          <w:spacing w:val="-3"/>
        </w:rPr>
        <w:t xml:space="preserve">України </w:t>
      </w:r>
      <w:r>
        <w:rPr>
          <w:color w:val="231F20"/>
          <w:spacing w:val="-5"/>
        </w:rPr>
        <w:t xml:space="preserve">(ст. </w:t>
      </w:r>
      <w:r>
        <w:rPr>
          <w:color w:val="231F20"/>
        </w:rPr>
        <w:t xml:space="preserve">166-4). Із цієї ознаки випливає важливий висновок, що думки, бажання чи інші вияви психічної діяльності юридичного значення не мають і </w:t>
      </w:r>
      <w:r>
        <w:rPr>
          <w:color w:val="231F20"/>
        </w:rPr>
        <w:t>адміністративним проступком бути не</w:t>
      </w:r>
      <w:r>
        <w:rPr>
          <w:color w:val="231F20"/>
          <w:spacing w:val="-29"/>
        </w:rPr>
        <w:t xml:space="preserve"> </w:t>
      </w:r>
      <w:r>
        <w:rPr>
          <w:color w:val="231F20"/>
        </w:rPr>
        <w:t>можуть;</w:t>
      </w:r>
    </w:p>
    <w:p w14:paraId="1A57EA4A" w14:textId="77777777" w:rsidR="00DE575E" w:rsidRDefault="002E7560">
      <w:pPr>
        <w:pStyle w:val="ListParagraph"/>
        <w:numPr>
          <w:ilvl w:val="1"/>
          <w:numId w:val="31"/>
        </w:numPr>
        <w:tabs>
          <w:tab w:val="left" w:pos="1101"/>
        </w:tabs>
        <w:spacing w:before="4"/>
        <w:ind w:firstLine="284"/>
        <w:jc w:val="left"/>
        <w:rPr>
          <w:sz w:val="21"/>
        </w:rPr>
      </w:pPr>
      <w:r>
        <w:rPr>
          <w:i/>
          <w:color w:val="231F20"/>
          <w:sz w:val="21"/>
        </w:rPr>
        <w:t>суспільна</w:t>
      </w:r>
      <w:r>
        <w:rPr>
          <w:i/>
          <w:color w:val="231F20"/>
          <w:spacing w:val="-23"/>
          <w:sz w:val="21"/>
        </w:rPr>
        <w:t xml:space="preserve"> </w:t>
      </w:r>
      <w:r>
        <w:rPr>
          <w:i/>
          <w:color w:val="231F20"/>
          <w:sz w:val="21"/>
        </w:rPr>
        <w:t>шкідливість</w:t>
      </w:r>
      <w:r>
        <w:rPr>
          <w:i/>
          <w:color w:val="231F20"/>
          <w:spacing w:val="-24"/>
          <w:sz w:val="21"/>
        </w:rPr>
        <w:t xml:space="preserve"> </w:t>
      </w:r>
      <w:r>
        <w:rPr>
          <w:color w:val="231F20"/>
          <w:sz w:val="21"/>
        </w:rPr>
        <w:t>(суспільнанебезпека).</w:t>
      </w:r>
      <w:r>
        <w:rPr>
          <w:color w:val="231F20"/>
          <w:spacing w:val="-23"/>
          <w:sz w:val="21"/>
        </w:rPr>
        <w:t xml:space="preserve"> </w:t>
      </w:r>
      <w:r>
        <w:rPr>
          <w:color w:val="231F20"/>
          <w:sz w:val="21"/>
        </w:rPr>
        <w:t>Поняття</w:t>
      </w:r>
      <w:r>
        <w:rPr>
          <w:color w:val="231F20"/>
          <w:spacing w:val="-23"/>
          <w:sz w:val="21"/>
        </w:rPr>
        <w:t xml:space="preserve"> </w:t>
      </w:r>
      <w:r>
        <w:rPr>
          <w:color w:val="231F20"/>
          <w:sz w:val="21"/>
        </w:rPr>
        <w:t>«шкода»,</w:t>
      </w:r>
    </w:p>
    <w:p w14:paraId="39C3E336" w14:textId="77777777" w:rsidR="00DE575E" w:rsidRDefault="002E7560">
      <w:pPr>
        <w:pStyle w:val="BodyText"/>
        <w:spacing w:before="12" w:line="252" w:lineRule="auto"/>
        <w:ind w:left="533" w:right="127"/>
        <w:jc w:val="both"/>
      </w:pPr>
      <w:r>
        <w:rPr>
          <w:color w:val="231F20"/>
        </w:rPr>
        <w:t xml:space="preserve">«шкідливість», «суспільна шкода», </w:t>
      </w:r>
      <w:r>
        <w:rPr>
          <w:color w:val="231F20"/>
          <w:spacing w:val="-3"/>
        </w:rPr>
        <w:t xml:space="preserve">«об’єктивна </w:t>
      </w:r>
      <w:r>
        <w:rPr>
          <w:color w:val="231F20"/>
        </w:rPr>
        <w:t xml:space="preserve">шкідливість діяння» є онтологічними категоріями і виявляються в емпіричному вимірі. Наявність шкоди, як правило, установлюється за допомогою </w:t>
      </w:r>
      <w:r>
        <w:rPr>
          <w:color w:val="231F20"/>
          <w:spacing w:val="-3"/>
        </w:rPr>
        <w:t xml:space="preserve">опису, </w:t>
      </w:r>
      <w:r>
        <w:rPr>
          <w:color w:val="231F20"/>
        </w:rPr>
        <w:t>який сам по собі вже є доказом шкідливості відповідного діяння. Водночас</w:t>
      </w:r>
      <w:r>
        <w:rPr>
          <w:color w:val="231F20"/>
          <w:spacing w:val="-17"/>
        </w:rPr>
        <w:t xml:space="preserve"> </w:t>
      </w:r>
      <w:r>
        <w:rPr>
          <w:color w:val="231F20"/>
        </w:rPr>
        <w:t>суспільна</w:t>
      </w:r>
      <w:r>
        <w:rPr>
          <w:color w:val="231F20"/>
          <w:spacing w:val="-16"/>
        </w:rPr>
        <w:t xml:space="preserve"> </w:t>
      </w:r>
      <w:r>
        <w:rPr>
          <w:color w:val="231F20"/>
        </w:rPr>
        <w:t>небезпека</w:t>
      </w:r>
      <w:r>
        <w:rPr>
          <w:color w:val="231F20"/>
          <w:spacing w:val="-16"/>
        </w:rPr>
        <w:t xml:space="preserve"> </w:t>
      </w:r>
      <w:r>
        <w:rPr>
          <w:color w:val="231F20"/>
        </w:rPr>
        <w:t>–</w:t>
      </w:r>
      <w:r>
        <w:rPr>
          <w:color w:val="231F20"/>
          <w:spacing w:val="-16"/>
        </w:rPr>
        <w:t xml:space="preserve"> </w:t>
      </w:r>
      <w:r>
        <w:rPr>
          <w:color w:val="231F20"/>
        </w:rPr>
        <w:t>це</w:t>
      </w:r>
      <w:r>
        <w:rPr>
          <w:color w:val="231F20"/>
          <w:spacing w:val="-16"/>
        </w:rPr>
        <w:t xml:space="preserve"> </w:t>
      </w:r>
      <w:r>
        <w:rPr>
          <w:color w:val="231F20"/>
        </w:rPr>
        <w:t>гносеологі</w:t>
      </w:r>
      <w:r>
        <w:rPr>
          <w:color w:val="231F20"/>
        </w:rPr>
        <w:t>чна</w:t>
      </w:r>
      <w:r>
        <w:rPr>
          <w:color w:val="231F20"/>
          <w:spacing w:val="-17"/>
        </w:rPr>
        <w:t xml:space="preserve"> </w:t>
      </w:r>
      <w:r>
        <w:rPr>
          <w:color w:val="231F20"/>
        </w:rPr>
        <w:t>категорія.</w:t>
      </w:r>
      <w:r>
        <w:rPr>
          <w:color w:val="231F20"/>
          <w:spacing w:val="-16"/>
        </w:rPr>
        <w:t xml:space="preserve"> </w:t>
      </w:r>
      <w:r>
        <w:rPr>
          <w:color w:val="231F20"/>
        </w:rPr>
        <w:t>Її</w:t>
      </w:r>
      <w:r>
        <w:rPr>
          <w:color w:val="231F20"/>
          <w:spacing w:val="-16"/>
        </w:rPr>
        <w:t xml:space="preserve"> </w:t>
      </w:r>
      <w:r>
        <w:rPr>
          <w:color w:val="231F20"/>
        </w:rPr>
        <w:t>немож- ливо</w:t>
      </w:r>
      <w:r>
        <w:rPr>
          <w:color w:val="231F20"/>
          <w:spacing w:val="-6"/>
        </w:rPr>
        <w:t xml:space="preserve"> </w:t>
      </w:r>
      <w:r>
        <w:rPr>
          <w:color w:val="231F20"/>
        </w:rPr>
        <w:t>встановити</w:t>
      </w:r>
      <w:r>
        <w:rPr>
          <w:color w:val="231F20"/>
          <w:spacing w:val="-6"/>
        </w:rPr>
        <w:t xml:space="preserve"> </w:t>
      </w:r>
      <w:r>
        <w:rPr>
          <w:color w:val="231F20"/>
        </w:rPr>
        <w:t>за</w:t>
      </w:r>
      <w:r>
        <w:rPr>
          <w:color w:val="231F20"/>
          <w:spacing w:val="-6"/>
        </w:rPr>
        <w:t xml:space="preserve"> </w:t>
      </w:r>
      <w:r>
        <w:rPr>
          <w:color w:val="231F20"/>
        </w:rPr>
        <w:t>допомогою</w:t>
      </w:r>
      <w:r>
        <w:rPr>
          <w:color w:val="231F20"/>
          <w:spacing w:val="-6"/>
        </w:rPr>
        <w:t xml:space="preserve"> </w:t>
      </w:r>
      <w:r>
        <w:rPr>
          <w:color w:val="231F20"/>
        </w:rPr>
        <w:t>онтологічного</w:t>
      </w:r>
      <w:r>
        <w:rPr>
          <w:color w:val="231F20"/>
          <w:spacing w:val="-6"/>
        </w:rPr>
        <w:t xml:space="preserve"> </w:t>
      </w:r>
      <w:r>
        <w:rPr>
          <w:color w:val="231F20"/>
        </w:rPr>
        <w:t>опису</w:t>
      </w:r>
      <w:r>
        <w:rPr>
          <w:color w:val="231F20"/>
          <w:spacing w:val="-6"/>
        </w:rPr>
        <w:t xml:space="preserve"> </w:t>
      </w:r>
      <w:r>
        <w:rPr>
          <w:color w:val="231F20"/>
        </w:rPr>
        <w:t>того,</w:t>
      </w:r>
      <w:r>
        <w:rPr>
          <w:color w:val="231F20"/>
          <w:spacing w:val="-6"/>
        </w:rPr>
        <w:t xml:space="preserve"> </w:t>
      </w:r>
      <w:r>
        <w:rPr>
          <w:color w:val="231F20"/>
        </w:rPr>
        <w:t>що</w:t>
      </w:r>
      <w:r>
        <w:rPr>
          <w:color w:val="231F20"/>
          <w:spacing w:val="-6"/>
        </w:rPr>
        <w:t xml:space="preserve"> </w:t>
      </w:r>
      <w:r>
        <w:rPr>
          <w:color w:val="231F20"/>
        </w:rPr>
        <w:t>трапи- лось.</w:t>
      </w:r>
      <w:r>
        <w:rPr>
          <w:color w:val="231F20"/>
          <w:spacing w:val="-6"/>
        </w:rPr>
        <w:t xml:space="preserve"> </w:t>
      </w:r>
      <w:r>
        <w:rPr>
          <w:color w:val="231F20"/>
        </w:rPr>
        <w:t>Вона</w:t>
      </w:r>
      <w:r>
        <w:rPr>
          <w:color w:val="231F20"/>
          <w:spacing w:val="-6"/>
        </w:rPr>
        <w:t xml:space="preserve"> </w:t>
      </w:r>
      <w:r>
        <w:rPr>
          <w:color w:val="231F20"/>
        </w:rPr>
        <w:t>доводиться</w:t>
      </w:r>
      <w:r>
        <w:rPr>
          <w:color w:val="231F20"/>
          <w:spacing w:val="-6"/>
        </w:rPr>
        <w:t xml:space="preserve"> </w:t>
      </w:r>
      <w:r>
        <w:rPr>
          <w:color w:val="231F20"/>
        </w:rPr>
        <w:t>за</w:t>
      </w:r>
      <w:r>
        <w:rPr>
          <w:color w:val="231F20"/>
          <w:spacing w:val="-6"/>
        </w:rPr>
        <w:t xml:space="preserve"> </w:t>
      </w:r>
      <w:r>
        <w:rPr>
          <w:color w:val="231F20"/>
        </w:rPr>
        <w:t>допомогою</w:t>
      </w:r>
      <w:r>
        <w:rPr>
          <w:color w:val="231F20"/>
          <w:spacing w:val="-6"/>
        </w:rPr>
        <w:t xml:space="preserve"> </w:t>
      </w:r>
      <w:r>
        <w:rPr>
          <w:color w:val="231F20"/>
        </w:rPr>
        <w:t>дослідження</w:t>
      </w:r>
      <w:r>
        <w:rPr>
          <w:color w:val="231F20"/>
          <w:spacing w:val="-6"/>
        </w:rPr>
        <w:t xml:space="preserve"> </w:t>
      </w:r>
      <w:r>
        <w:rPr>
          <w:color w:val="231F20"/>
        </w:rPr>
        <w:t>всіх</w:t>
      </w:r>
      <w:r>
        <w:rPr>
          <w:color w:val="231F20"/>
          <w:spacing w:val="-6"/>
        </w:rPr>
        <w:t xml:space="preserve"> </w:t>
      </w:r>
      <w:r>
        <w:rPr>
          <w:color w:val="231F20"/>
        </w:rPr>
        <w:t>ознак</w:t>
      </w:r>
      <w:r>
        <w:rPr>
          <w:color w:val="231F20"/>
          <w:spacing w:val="-6"/>
        </w:rPr>
        <w:t xml:space="preserve"> </w:t>
      </w:r>
      <w:r>
        <w:rPr>
          <w:color w:val="231F20"/>
        </w:rPr>
        <w:t>і</w:t>
      </w:r>
      <w:r>
        <w:rPr>
          <w:color w:val="231F20"/>
          <w:spacing w:val="-6"/>
        </w:rPr>
        <w:t xml:space="preserve"> </w:t>
      </w:r>
      <w:r>
        <w:rPr>
          <w:color w:val="231F20"/>
        </w:rPr>
        <w:t>харак- теристик факту дійсності, а в нашому випадку – правопорушення. Дослідження всього комплексу властив</w:t>
      </w:r>
      <w:r>
        <w:rPr>
          <w:color w:val="231F20"/>
        </w:rPr>
        <w:t xml:space="preserve">остей правопорушення здійснюється у відповідних організаційних формах – справах про адміністративні проступки, кримінальних справах, дисциплінар- них справах тощо. </w:t>
      </w:r>
      <w:r>
        <w:rPr>
          <w:color w:val="231F20"/>
          <w:spacing w:val="-5"/>
        </w:rPr>
        <w:t xml:space="preserve">Такі </w:t>
      </w:r>
      <w:r>
        <w:rPr>
          <w:color w:val="231F20"/>
        </w:rPr>
        <w:t>справи за своєю сутністю є гносеологічним відбитком конкретного діяння. Розслідування с</w:t>
      </w:r>
      <w:r>
        <w:rPr>
          <w:color w:val="231F20"/>
        </w:rPr>
        <w:t>прави – це пізнання (дослідження) факту реальної дійсності, в онтології якого вияви- лися ознаки правопорушення (кримінального, адміністративного, дисциплінарного тощо). Отже, «шкідливість» є онтологічною озна- кою</w:t>
      </w:r>
      <w:r>
        <w:rPr>
          <w:color w:val="231F20"/>
          <w:spacing w:val="-7"/>
        </w:rPr>
        <w:t xml:space="preserve"> </w:t>
      </w:r>
      <w:r>
        <w:rPr>
          <w:color w:val="231F20"/>
          <w:spacing w:val="-3"/>
        </w:rPr>
        <w:t>об’єктивної</w:t>
      </w:r>
      <w:r>
        <w:rPr>
          <w:color w:val="231F20"/>
          <w:spacing w:val="-7"/>
        </w:rPr>
        <w:t xml:space="preserve"> </w:t>
      </w:r>
      <w:r>
        <w:rPr>
          <w:color w:val="231F20"/>
        </w:rPr>
        <w:t>сторони</w:t>
      </w:r>
      <w:r>
        <w:rPr>
          <w:color w:val="231F20"/>
          <w:spacing w:val="-7"/>
        </w:rPr>
        <w:t xml:space="preserve"> </w:t>
      </w:r>
      <w:r>
        <w:rPr>
          <w:color w:val="231F20"/>
        </w:rPr>
        <w:t>правопорушення</w:t>
      </w:r>
      <w:r>
        <w:rPr>
          <w:color w:val="231F20"/>
          <w:spacing w:val="-7"/>
        </w:rPr>
        <w:t xml:space="preserve"> </w:t>
      </w:r>
      <w:r>
        <w:rPr>
          <w:color w:val="231F20"/>
        </w:rPr>
        <w:t>(не</w:t>
      </w:r>
      <w:r>
        <w:rPr>
          <w:color w:val="231F20"/>
          <w:spacing w:val="-7"/>
        </w:rPr>
        <w:t xml:space="preserve"> </w:t>
      </w:r>
      <w:r>
        <w:rPr>
          <w:color w:val="231F20"/>
          <w:spacing w:val="-3"/>
        </w:rPr>
        <w:t>ск</w:t>
      </w:r>
      <w:r>
        <w:rPr>
          <w:color w:val="231F20"/>
          <w:spacing w:val="-3"/>
        </w:rPr>
        <w:t>ладу,</w:t>
      </w:r>
      <w:r>
        <w:rPr>
          <w:color w:val="231F20"/>
          <w:spacing w:val="-7"/>
        </w:rPr>
        <w:t xml:space="preserve"> </w:t>
      </w:r>
      <w:r>
        <w:rPr>
          <w:color w:val="231F20"/>
        </w:rPr>
        <w:t>а</w:t>
      </w:r>
      <w:r>
        <w:rPr>
          <w:color w:val="231F20"/>
          <w:spacing w:val="-6"/>
        </w:rPr>
        <w:t xml:space="preserve"> </w:t>
      </w:r>
      <w:r>
        <w:rPr>
          <w:color w:val="231F20"/>
        </w:rPr>
        <w:t>суто</w:t>
      </w:r>
      <w:r>
        <w:rPr>
          <w:color w:val="231F20"/>
          <w:spacing w:val="-7"/>
        </w:rPr>
        <w:t xml:space="preserve"> </w:t>
      </w:r>
      <w:r>
        <w:rPr>
          <w:color w:val="231F20"/>
        </w:rPr>
        <w:t xml:space="preserve">діяння), яка властива злочинам й адміністративним проступкам. Гносеоло- гічною ознакою такої </w:t>
      </w:r>
      <w:r>
        <w:rPr>
          <w:color w:val="231F20"/>
          <w:spacing w:val="-3"/>
        </w:rPr>
        <w:t xml:space="preserve">об’єктивної </w:t>
      </w:r>
      <w:r>
        <w:rPr>
          <w:color w:val="231F20"/>
        </w:rPr>
        <w:t>сторони складу правопорушення є суспільна</w:t>
      </w:r>
      <w:r>
        <w:rPr>
          <w:color w:val="231F20"/>
          <w:spacing w:val="-3"/>
        </w:rPr>
        <w:t xml:space="preserve"> </w:t>
      </w:r>
      <w:r>
        <w:rPr>
          <w:color w:val="231F20"/>
        </w:rPr>
        <w:t>небезпека;</w:t>
      </w:r>
    </w:p>
    <w:p w14:paraId="2AF06FA7" w14:textId="77777777" w:rsidR="00DE575E" w:rsidRDefault="002E7560">
      <w:pPr>
        <w:pStyle w:val="ListParagraph"/>
        <w:numPr>
          <w:ilvl w:val="1"/>
          <w:numId w:val="31"/>
        </w:numPr>
        <w:tabs>
          <w:tab w:val="left" w:pos="1101"/>
        </w:tabs>
        <w:spacing w:before="10" w:line="252" w:lineRule="auto"/>
        <w:ind w:right="128" w:firstLine="284"/>
        <w:rPr>
          <w:sz w:val="21"/>
        </w:rPr>
      </w:pPr>
      <w:r>
        <w:rPr>
          <w:i/>
          <w:color w:val="231F20"/>
          <w:spacing w:val="-3"/>
          <w:sz w:val="21"/>
        </w:rPr>
        <w:t xml:space="preserve">протиправність </w:t>
      </w:r>
      <w:r>
        <w:rPr>
          <w:color w:val="231F20"/>
          <w:spacing w:val="-4"/>
          <w:sz w:val="21"/>
        </w:rPr>
        <w:t xml:space="preserve">(подібне </w:t>
      </w:r>
      <w:r>
        <w:rPr>
          <w:color w:val="231F20"/>
          <w:spacing w:val="-3"/>
          <w:sz w:val="21"/>
        </w:rPr>
        <w:t xml:space="preserve">діяння </w:t>
      </w:r>
      <w:r>
        <w:rPr>
          <w:color w:val="231F20"/>
          <w:sz w:val="21"/>
        </w:rPr>
        <w:t xml:space="preserve">завжди </w:t>
      </w:r>
      <w:r>
        <w:rPr>
          <w:color w:val="231F20"/>
          <w:spacing w:val="-3"/>
          <w:sz w:val="21"/>
        </w:rPr>
        <w:t xml:space="preserve">посягає </w:t>
      </w:r>
      <w:r>
        <w:rPr>
          <w:color w:val="231F20"/>
          <w:sz w:val="21"/>
        </w:rPr>
        <w:t xml:space="preserve">на </w:t>
      </w:r>
      <w:r>
        <w:rPr>
          <w:color w:val="231F20"/>
          <w:spacing w:val="-3"/>
          <w:sz w:val="21"/>
        </w:rPr>
        <w:t xml:space="preserve">загально- обов’язкові правила, встановлені </w:t>
      </w:r>
      <w:r>
        <w:rPr>
          <w:color w:val="231F20"/>
          <w:sz w:val="21"/>
        </w:rPr>
        <w:t xml:space="preserve">тим чи </w:t>
      </w:r>
      <w:r>
        <w:rPr>
          <w:color w:val="231F20"/>
          <w:spacing w:val="-3"/>
          <w:sz w:val="21"/>
        </w:rPr>
        <w:t xml:space="preserve">іншим нормативним актом). </w:t>
      </w:r>
      <w:r>
        <w:rPr>
          <w:i/>
          <w:color w:val="231F20"/>
          <w:spacing w:val="-3"/>
          <w:sz w:val="21"/>
        </w:rPr>
        <w:t xml:space="preserve">Протиправність </w:t>
      </w:r>
      <w:r>
        <w:rPr>
          <w:color w:val="231F20"/>
          <w:spacing w:val="-3"/>
          <w:sz w:val="21"/>
        </w:rPr>
        <w:t xml:space="preserve">означає, </w:t>
      </w:r>
      <w:r>
        <w:rPr>
          <w:color w:val="231F20"/>
          <w:sz w:val="21"/>
        </w:rPr>
        <w:t xml:space="preserve">що </w:t>
      </w:r>
      <w:r>
        <w:rPr>
          <w:color w:val="231F20"/>
          <w:spacing w:val="-3"/>
          <w:sz w:val="21"/>
        </w:rPr>
        <w:t xml:space="preserve">юридична норма забороняє </w:t>
      </w:r>
      <w:r>
        <w:rPr>
          <w:color w:val="231F20"/>
          <w:spacing w:val="-4"/>
          <w:sz w:val="21"/>
        </w:rPr>
        <w:t xml:space="preserve">конкретне </w:t>
      </w:r>
      <w:r>
        <w:rPr>
          <w:color w:val="231F20"/>
          <w:spacing w:val="-3"/>
          <w:sz w:val="21"/>
        </w:rPr>
        <w:t xml:space="preserve">діяння. Учинення такого діяння </w:t>
      </w:r>
      <w:r>
        <w:rPr>
          <w:color w:val="231F20"/>
          <w:sz w:val="21"/>
        </w:rPr>
        <w:t xml:space="preserve">є </w:t>
      </w:r>
      <w:r>
        <w:rPr>
          <w:color w:val="231F20"/>
          <w:spacing w:val="-3"/>
          <w:sz w:val="21"/>
        </w:rPr>
        <w:t xml:space="preserve">порушенням права. </w:t>
      </w:r>
      <w:r>
        <w:rPr>
          <w:color w:val="231F20"/>
          <w:spacing w:val="-6"/>
          <w:sz w:val="21"/>
        </w:rPr>
        <w:t xml:space="preserve">Тобто </w:t>
      </w:r>
      <w:r>
        <w:rPr>
          <w:color w:val="231F20"/>
          <w:spacing w:val="-3"/>
          <w:sz w:val="21"/>
        </w:rPr>
        <w:t>воно (діяння)</w:t>
      </w:r>
      <w:r>
        <w:rPr>
          <w:color w:val="231F20"/>
          <w:spacing w:val="-9"/>
          <w:sz w:val="21"/>
        </w:rPr>
        <w:t xml:space="preserve"> </w:t>
      </w:r>
      <w:r>
        <w:rPr>
          <w:color w:val="231F20"/>
          <w:sz w:val="21"/>
        </w:rPr>
        <w:t>є</w:t>
      </w:r>
      <w:r>
        <w:rPr>
          <w:color w:val="231F20"/>
          <w:spacing w:val="-10"/>
          <w:sz w:val="21"/>
        </w:rPr>
        <w:t xml:space="preserve"> </w:t>
      </w:r>
      <w:r>
        <w:rPr>
          <w:color w:val="231F20"/>
          <w:spacing w:val="-3"/>
          <w:sz w:val="21"/>
        </w:rPr>
        <w:t>протиправним.</w:t>
      </w:r>
      <w:r>
        <w:rPr>
          <w:color w:val="231F20"/>
          <w:spacing w:val="-10"/>
          <w:sz w:val="21"/>
        </w:rPr>
        <w:t xml:space="preserve"> </w:t>
      </w:r>
      <w:r>
        <w:rPr>
          <w:color w:val="231F20"/>
          <w:spacing w:val="-3"/>
          <w:sz w:val="21"/>
        </w:rPr>
        <w:t>Відносно</w:t>
      </w:r>
      <w:r>
        <w:rPr>
          <w:color w:val="231F20"/>
          <w:spacing w:val="-10"/>
          <w:sz w:val="21"/>
        </w:rPr>
        <w:t xml:space="preserve"> </w:t>
      </w:r>
      <w:r>
        <w:rPr>
          <w:color w:val="231F20"/>
          <w:sz w:val="21"/>
        </w:rPr>
        <w:t>нього</w:t>
      </w:r>
      <w:r>
        <w:rPr>
          <w:color w:val="231F20"/>
          <w:spacing w:val="-9"/>
          <w:sz w:val="21"/>
        </w:rPr>
        <w:t xml:space="preserve"> </w:t>
      </w:r>
      <w:r>
        <w:rPr>
          <w:color w:val="231F20"/>
          <w:sz w:val="21"/>
        </w:rPr>
        <w:t>діє</w:t>
      </w:r>
      <w:r>
        <w:rPr>
          <w:color w:val="231F20"/>
          <w:spacing w:val="-9"/>
          <w:sz w:val="21"/>
        </w:rPr>
        <w:t xml:space="preserve"> </w:t>
      </w:r>
      <w:r>
        <w:rPr>
          <w:color w:val="231F20"/>
          <w:spacing w:val="-3"/>
          <w:sz w:val="21"/>
        </w:rPr>
        <w:t>правова</w:t>
      </w:r>
      <w:r>
        <w:rPr>
          <w:color w:val="231F20"/>
          <w:spacing w:val="-10"/>
          <w:sz w:val="21"/>
        </w:rPr>
        <w:t xml:space="preserve"> </w:t>
      </w:r>
      <w:r>
        <w:rPr>
          <w:color w:val="231F20"/>
          <w:spacing w:val="-3"/>
          <w:sz w:val="21"/>
        </w:rPr>
        <w:t>забо</w:t>
      </w:r>
      <w:r>
        <w:rPr>
          <w:color w:val="231F20"/>
          <w:spacing w:val="-3"/>
          <w:sz w:val="21"/>
        </w:rPr>
        <w:t>рона</w:t>
      </w:r>
      <w:r>
        <w:rPr>
          <w:color w:val="231F20"/>
          <w:spacing w:val="-9"/>
          <w:sz w:val="21"/>
        </w:rPr>
        <w:t xml:space="preserve"> </w:t>
      </w:r>
      <w:r>
        <w:rPr>
          <w:color w:val="231F20"/>
          <w:spacing w:val="-3"/>
          <w:sz w:val="21"/>
        </w:rPr>
        <w:t>(напр.</w:t>
      </w:r>
      <w:r>
        <w:rPr>
          <w:i/>
          <w:color w:val="231F20"/>
          <w:spacing w:val="-3"/>
          <w:sz w:val="21"/>
        </w:rPr>
        <w:t xml:space="preserve">, </w:t>
      </w:r>
      <w:r>
        <w:rPr>
          <w:color w:val="231F20"/>
          <w:spacing w:val="-3"/>
          <w:sz w:val="21"/>
        </w:rPr>
        <w:t xml:space="preserve">поширювання неправдивих </w:t>
      </w:r>
      <w:r>
        <w:rPr>
          <w:color w:val="231F20"/>
          <w:sz w:val="21"/>
        </w:rPr>
        <w:t xml:space="preserve">чуток є </w:t>
      </w:r>
      <w:r>
        <w:rPr>
          <w:color w:val="231F20"/>
          <w:spacing w:val="-3"/>
          <w:sz w:val="21"/>
        </w:rPr>
        <w:t xml:space="preserve">порушенням норм </w:t>
      </w:r>
      <w:r>
        <w:rPr>
          <w:color w:val="231F20"/>
          <w:spacing w:val="-8"/>
          <w:sz w:val="21"/>
        </w:rPr>
        <w:t xml:space="preserve">ст. </w:t>
      </w:r>
      <w:r>
        <w:rPr>
          <w:color w:val="231F20"/>
          <w:spacing w:val="-3"/>
          <w:sz w:val="21"/>
        </w:rPr>
        <w:t xml:space="preserve">173-1; стрільба </w:t>
      </w:r>
      <w:r>
        <w:rPr>
          <w:color w:val="231F20"/>
          <w:sz w:val="21"/>
        </w:rPr>
        <w:t xml:space="preserve">з </w:t>
      </w:r>
      <w:r>
        <w:rPr>
          <w:color w:val="231F20"/>
          <w:spacing w:val="-3"/>
          <w:sz w:val="21"/>
        </w:rPr>
        <w:t xml:space="preserve">вогнепальної зброї </w:t>
      </w:r>
      <w:r>
        <w:rPr>
          <w:color w:val="231F20"/>
          <w:sz w:val="21"/>
        </w:rPr>
        <w:t xml:space="preserve">в </w:t>
      </w:r>
      <w:r>
        <w:rPr>
          <w:color w:val="231F20"/>
          <w:spacing w:val="-3"/>
          <w:sz w:val="21"/>
        </w:rPr>
        <w:t xml:space="preserve">населених пунктах </w:t>
      </w:r>
      <w:r>
        <w:rPr>
          <w:color w:val="231F20"/>
          <w:sz w:val="21"/>
        </w:rPr>
        <w:t xml:space="preserve">– </w:t>
      </w:r>
      <w:r>
        <w:rPr>
          <w:color w:val="231F20"/>
          <w:spacing w:val="-3"/>
          <w:sz w:val="21"/>
        </w:rPr>
        <w:t xml:space="preserve">норм </w:t>
      </w:r>
      <w:r>
        <w:rPr>
          <w:color w:val="231F20"/>
          <w:spacing w:val="-8"/>
          <w:sz w:val="21"/>
        </w:rPr>
        <w:t>ст.</w:t>
      </w:r>
      <w:r>
        <w:rPr>
          <w:color w:val="231F20"/>
          <w:spacing w:val="-26"/>
          <w:sz w:val="21"/>
        </w:rPr>
        <w:t xml:space="preserve"> </w:t>
      </w:r>
      <w:r>
        <w:rPr>
          <w:color w:val="231F20"/>
          <w:spacing w:val="-3"/>
          <w:sz w:val="21"/>
        </w:rPr>
        <w:t>174);</w:t>
      </w:r>
    </w:p>
    <w:p w14:paraId="64F815C2" w14:textId="77777777" w:rsidR="00DE575E" w:rsidRDefault="002E7560">
      <w:pPr>
        <w:pStyle w:val="ListParagraph"/>
        <w:numPr>
          <w:ilvl w:val="1"/>
          <w:numId w:val="31"/>
        </w:numPr>
        <w:tabs>
          <w:tab w:val="left" w:pos="1101"/>
        </w:tabs>
        <w:spacing w:before="4" w:line="252" w:lineRule="auto"/>
        <w:ind w:right="127" w:firstLine="284"/>
        <w:rPr>
          <w:sz w:val="21"/>
        </w:rPr>
      </w:pPr>
      <w:r>
        <w:rPr>
          <w:i/>
          <w:color w:val="231F20"/>
          <w:sz w:val="21"/>
        </w:rPr>
        <w:t xml:space="preserve">винність </w:t>
      </w:r>
      <w:r>
        <w:rPr>
          <w:color w:val="231F20"/>
          <w:sz w:val="21"/>
        </w:rPr>
        <w:t>(таке діяння, як прояв волі і свідомості особи, має бути завжди винним, тобто вчиненим умисно або з необережно- сті). Винність передбачає наявність в особи власного</w:t>
      </w:r>
      <w:r>
        <w:rPr>
          <w:color w:val="231F20"/>
          <w:spacing w:val="3"/>
          <w:sz w:val="21"/>
        </w:rPr>
        <w:t xml:space="preserve"> </w:t>
      </w:r>
      <w:r>
        <w:rPr>
          <w:color w:val="231F20"/>
          <w:sz w:val="21"/>
        </w:rPr>
        <w:t>психічного</w:t>
      </w:r>
    </w:p>
    <w:p w14:paraId="1C67A73E" w14:textId="77777777" w:rsidR="00DE575E" w:rsidRDefault="00DE575E">
      <w:pPr>
        <w:pStyle w:val="BodyText"/>
        <w:spacing w:before="5"/>
        <w:rPr>
          <w:sz w:val="12"/>
        </w:rPr>
      </w:pPr>
    </w:p>
    <w:p w14:paraId="4F87C15A" w14:textId="77777777" w:rsidR="00DE575E" w:rsidRDefault="002E7560">
      <w:pPr>
        <w:spacing w:before="92"/>
        <w:ind w:left="533"/>
        <w:rPr>
          <w:rFonts w:ascii="Times New Roman"/>
          <w:sz w:val="20"/>
        </w:rPr>
      </w:pPr>
      <w:r>
        <w:rPr>
          <w:rFonts w:ascii="Times New Roman"/>
          <w:color w:val="231F20"/>
          <w:sz w:val="20"/>
        </w:rPr>
        <w:t>484</w:t>
      </w:r>
    </w:p>
    <w:p w14:paraId="26116CA5" w14:textId="77777777" w:rsidR="00DE575E" w:rsidRDefault="00DE575E">
      <w:pPr>
        <w:rPr>
          <w:rFonts w:ascii="Times New Roman"/>
          <w:sz w:val="20"/>
        </w:rPr>
        <w:sectPr w:rsidR="00DE575E">
          <w:pgSz w:w="8510" w:h="12760"/>
          <w:pgMar w:top="660" w:right="720" w:bottom="280" w:left="600" w:header="720" w:footer="720" w:gutter="0"/>
          <w:cols w:space="720"/>
        </w:sectPr>
      </w:pPr>
    </w:p>
    <w:p w14:paraId="0581AC58" w14:textId="77777777" w:rsidR="00DE575E" w:rsidRDefault="002E7560">
      <w:pPr>
        <w:spacing w:before="72" w:line="249" w:lineRule="auto"/>
        <w:ind w:left="3253" w:right="392" w:hanging="561"/>
        <w:rPr>
          <w:rFonts w:ascii="AdonisC" w:hAnsi="AdonisC"/>
          <w:i/>
          <w:sz w:val="18"/>
        </w:rPr>
      </w:pPr>
      <w:r>
        <w:rPr>
          <w:rFonts w:ascii="AdonisC" w:hAnsi="AdonisC"/>
          <w:i/>
          <w:color w:val="231F20"/>
          <w:sz w:val="18"/>
        </w:rPr>
        <w:t>Глава ІІ Особливе адміністративне право/ Книга ІІ Розділ 2. А</w:t>
      </w:r>
      <w:r>
        <w:rPr>
          <w:rFonts w:ascii="AdonisC" w:hAnsi="AdonisC"/>
          <w:i/>
          <w:color w:val="231F20"/>
          <w:sz w:val="18"/>
        </w:rPr>
        <w:t>дміністративне правопорушення</w:t>
      </w:r>
    </w:p>
    <w:p w14:paraId="5ABD5A7F" w14:textId="5A67BB45"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CD260A4" wp14:editId="37F55918">
                <wp:extent cx="4140200" cy="6350"/>
                <wp:effectExtent l="0" t="0" r="12700" b="6350"/>
                <wp:docPr id="19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99" name="Line 19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B6361C" id="Group_x0020_19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WCaE/n4CAACYBQAADgAA&#10;AAAAAAAAAAAAAAAsAgAAZHJzL2Uyb0RvYy54bWxQSwECLQAUAAYACAAAACEATKewkNkAAAADAQAA&#10;DwAAAAAAAAAAAAAAAADWBAAAZHJzL2Rvd25yZXYueG1sUEsFBgAAAAAEAAQA8wAAANwFAAAAAA==&#10;">
                <v:line id="Line_x0020_19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R1b8MAAADcAAAADwAAAGRycy9kb3ducmV2LnhtbERPzWrCQBC+F3yHZYReim6qUDS6iggF&#10;6UGr8QHG7JgEd2djdjXRp+8WCr3Nx/c782VnjbhT4yvHCt6HCQji3OmKCwXH7HMwAeEDskbjmBQ8&#10;yMNy0XuZY6pdy3u6H0IhYgj7FBWUIdSplD4vyaIfupo4cmfXWAwRNoXUDbYx3Bo5SpIPabHi2FBi&#10;TeuS8svhZhVk17dgvndfps12p7E8Xbfj522r1Gu/W81ABOrCv/jPvdFx/nQKv8/EC+T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60dW/DAAAA3AAAAA8AAAAAAAAAAAAA&#10;AAAAoQIAAGRycy9kb3ducmV2LnhtbFBLBQYAAAAABAAEAPkAAACRAwAAAAA=&#10;" strokecolor="#231f20" strokeweight=".5pt"/>
                <w10:anchorlock/>
              </v:group>
            </w:pict>
          </mc:Fallback>
        </mc:AlternateContent>
      </w:r>
    </w:p>
    <w:p w14:paraId="2D45B29F" w14:textId="77777777" w:rsidR="00DE575E" w:rsidRDefault="00DE575E">
      <w:pPr>
        <w:pStyle w:val="BodyText"/>
        <w:spacing w:before="7"/>
        <w:rPr>
          <w:rFonts w:ascii="AdonisC"/>
          <w:i/>
          <w:sz w:val="19"/>
        </w:rPr>
      </w:pPr>
    </w:p>
    <w:p w14:paraId="65E25A99" w14:textId="77777777" w:rsidR="00DE575E" w:rsidRDefault="002E7560">
      <w:pPr>
        <w:pStyle w:val="BodyText"/>
        <w:spacing w:before="1" w:line="252" w:lineRule="auto"/>
        <w:ind w:left="250" w:right="408"/>
        <w:jc w:val="both"/>
      </w:pPr>
      <w:r>
        <w:rPr>
          <w:color w:val="231F20"/>
        </w:rPr>
        <w:t>ставлення до відповідного вчинку i його наслідків. Законодавець уважав за потрібне вказати на форми вини, яка має юридичне значення. Це умисел (вина у формі ум</w:t>
      </w:r>
      <w:r>
        <w:rPr>
          <w:color w:val="231F20"/>
        </w:rPr>
        <w:t>ислу) i необережність (вина    у формі необережності). Умисел може бути прямим чи непрямим (евентуальним). Необережна вина виявляється у формі самовпев- неності чи</w:t>
      </w:r>
      <w:r>
        <w:rPr>
          <w:color w:val="231F20"/>
          <w:spacing w:val="7"/>
        </w:rPr>
        <w:t xml:space="preserve"> </w:t>
      </w:r>
      <w:r>
        <w:rPr>
          <w:color w:val="231F20"/>
        </w:rPr>
        <w:t>недбалості;</w:t>
      </w:r>
    </w:p>
    <w:p w14:paraId="37BA7B72" w14:textId="77777777" w:rsidR="00DE575E" w:rsidRDefault="002E7560">
      <w:pPr>
        <w:pStyle w:val="ListParagraph"/>
        <w:numPr>
          <w:ilvl w:val="0"/>
          <w:numId w:val="51"/>
        </w:numPr>
        <w:tabs>
          <w:tab w:val="left" w:pos="818"/>
        </w:tabs>
        <w:spacing w:before="3" w:line="252" w:lineRule="auto"/>
        <w:ind w:right="411" w:firstLine="283"/>
        <w:rPr>
          <w:sz w:val="21"/>
        </w:rPr>
      </w:pPr>
      <w:r>
        <w:rPr>
          <w:i/>
          <w:color w:val="231F20"/>
          <w:sz w:val="21"/>
        </w:rPr>
        <w:t xml:space="preserve">адміністративна карність </w:t>
      </w:r>
      <w:r>
        <w:rPr>
          <w:color w:val="231F20"/>
          <w:sz w:val="21"/>
        </w:rPr>
        <w:t>(подібне протиправне, винне діяння</w:t>
      </w:r>
      <w:r>
        <w:rPr>
          <w:color w:val="231F20"/>
          <w:spacing w:val="-15"/>
          <w:sz w:val="21"/>
        </w:rPr>
        <w:t xml:space="preserve"> </w:t>
      </w:r>
      <w:r>
        <w:rPr>
          <w:color w:val="231F20"/>
          <w:spacing w:val="-4"/>
          <w:sz w:val="21"/>
        </w:rPr>
        <w:t>буде</w:t>
      </w:r>
      <w:r>
        <w:rPr>
          <w:color w:val="231F20"/>
          <w:spacing w:val="-15"/>
          <w:sz w:val="21"/>
        </w:rPr>
        <w:t xml:space="preserve"> </w:t>
      </w:r>
      <w:r>
        <w:rPr>
          <w:color w:val="231F20"/>
          <w:sz w:val="21"/>
        </w:rPr>
        <w:t>визнане</w:t>
      </w:r>
      <w:r>
        <w:rPr>
          <w:color w:val="231F20"/>
          <w:spacing w:val="-15"/>
          <w:sz w:val="21"/>
        </w:rPr>
        <w:t xml:space="preserve"> </w:t>
      </w:r>
      <w:r>
        <w:rPr>
          <w:color w:val="231F20"/>
          <w:sz w:val="21"/>
        </w:rPr>
        <w:t>адміністративним</w:t>
      </w:r>
      <w:r>
        <w:rPr>
          <w:color w:val="231F20"/>
          <w:spacing w:val="-15"/>
          <w:sz w:val="21"/>
        </w:rPr>
        <w:t xml:space="preserve"> </w:t>
      </w:r>
      <w:r>
        <w:rPr>
          <w:color w:val="231F20"/>
          <w:sz w:val="21"/>
        </w:rPr>
        <w:t>проступком</w:t>
      </w:r>
      <w:r>
        <w:rPr>
          <w:color w:val="231F20"/>
          <w:spacing w:val="-15"/>
          <w:sz w:val="21"/>
        </w:rPr>
        <w:t xml:space="preserve"> </w:t>
      </w:r>
      <w:r>
        <w:rPr>
          <w:color w:val="231F20"/>
          <w:sz w:val="21"/>
        </w:rPr>
        <w:t>тільки</w:t>
      </w:r>
      <w:r>
        <w:rPr>
          <w:color w:val="231F20"/>
          <w:spacing w:val="-15"/>
          <w:sz w:val="21"/>
        </w:rPr>
        <w:t xml:space="preserve"> </w:t>
      </w:r>
      <w:r>
        <w:rPr>
          <w:color w:val="231F20"/>
          <w:sz w:val="21"/>
        </w:rPr>
        <w:t>тоді,</w:t>
      </w:r>
      <w:r>
        <w:rPr>
          <w:color w:val="231F20"/>
          <w:spacing w:val="-15"/>
          <w:sz w:val="21"/>
        </w:rPr>
        <w:t xml:space="preserve"> </w:t>
      </w:r>
      <w:r>
        <w:rPr>
          <w:color w:val="231F20"/>
          <w:sz w:val="21"/>
        </w:rPr>
        <w:t xml:space="preserve">коли за його вчинення законодавством передбачено адміністративну відповідальність). За чинним </w:t>
      </w:r>
      <w:r>
        <w:rPr>
          <w:color w:val="231F20"/>
          <w:spacing w:val="-3"/>
          <w:sz w:val="21"/>
        </w:rPr>
        <w:t xml:space="preserve">КУпАП, </w:t>
      </w:r>
      <w:r>
        <w:rPr>
          <w:color w:val="231F20"/>
          <w:sz w:val="21"/>
        </w:rPr>
        <w:t>таким покаранням є адміні- стративне стягнення. Ця ознака дозволяє відмежувати правопору- шення</w:t>
      </w:r>
      <w:r>
        <w:rPr>
          <w:color w:val="231F20"/>
          <w:spacing w:val="-10"/>
          <w:sz w:val="21"/>
        </w:rPr>
        <w:t xml:space="preserve"> </w:t>
      </w:r>
      <w:r>
        <w:rPr>
          <w:color w:val="231F20"/>
          <w:sz w:val="21"/>
        </w:rPr>
        <w:t>від</w:t>
      </w:r>
      <w:r>
        <w:rPr>
          <w:color w:val="231F20"/>
          <w:spacing w:val="-10"/>
          <w:sz w:val="21"/>
        </w:rPr>
        <w:t xml:space="preserve"> </w:t>
      </w:r>
      <w:r>
        <w:rPr>
          <w:color w:val="231F20"/>
          <w:sz w:val="21"/>
        </w:rPr>
        <w:t>інших</w:t>
      </w:r>
      <w:r>
        <w:rPr>
          <w:color w:val="231F20"/>
          <w:spacing w:val="-10"/>
          <w:sz w:val="21"/>
        </w:rPr>
        <w:t xml:space="preserve"> </w:t>
      </w:r>
      <w:r>
        <w:rPr>
          <w:color w:val="231F20"/>
          <w:sz w:val="21"/>
        </w:rPr>
        <w:t>протипра</w:t>
      </w:r>
      <w:r>
        <w:rPr>
          <w:color w:val="231F20"/>
          <w:sz w:val="21"/>
        </w:rPr>
        <w:t>вних</w:t>
      </w:r>
      <w:r>
        <w:rPr>
          <w:color w:val="231F20"/>
          <w:spacing w:val="-10"/>
          <w:sz w:val="21"/>
        </w:rPr>
        <w:t xml:space="preserve"> </w:t>
      </w:r>
      <w:r>
        <w:rPr>
          <w:color w:val="231F20"/>
          <w:sz w:val="21"/>
        </w:rPr>
        <w:t>учинків,</w:t>
      </w:r>
      <w:r>
        <w:rPr>
          <w:color w:val="231F20"/>
          <w:spacing w:val="-10"/>
          <w:sz w:val="21"/>
        </w:rPr>
        <w:t xml:space="preserve"> </w:t>
      </w:r>
      <w:r>
        <w:rPr>
          <w:color w:val="231F20"/>
          <w:sz w:val="21"/>
        </w:rPr>
        <w:t>які</w:t>
      </w:r>
      <w:r>
        <w:rPr>
          <w:color w:val="231F20"/>
          <w:spacing w:val="-10"/>
          <w:sz w:val="21"/>
        </w:rPr>
        <w:t xml:space="preserve"> </w:t>
      </w:r>
      <w:r>
        <w:rPr>
          <w:color w:val="231F20"/>
          <w:sz w:val="21"/>
        </w:rPr>
        <w:t>не</w:t>
      </w:r>
      <w:r>
        <w:rPr>
          <w:color w:val="231F20"/>
          <w:spacing w:val="-10"/>
          <w:sz w:val="21"/>
        </w:rPr>
        <w:t xml:space="preserve"> </w:t>
      </w:r>
      <w:r>
        <w:rPr>
          <w:color w:val="231F20"/>
          <w:sz w:val="21"/>
        </w:rPr>
        <w:t>зумовлюють</w:t>
      </w:r>
      <w:r>
        <w:rPr>
          <w:color w:val="231F20"/>
          <w:spacing w:val="-10"/>
          <w:sz w:val="21"/>
        </w:rPr>
        <w:t xml:space="preserve"> </w:t>
      </w:r>
      <w:r>
        <w:rPr>
          <w:color w:val="231F20"/>
          <w:sz w:val="21"/>
        </w:rPr>
        <w:t>за</w:t>
      </w:r>
      <w:r>
        <w:rPr>
          <w:color w:val="231F20"/>
          <w:spacing w:val="-10"/>
          <w:sz w:val="21"/>
        </w:rPr>
        <w:t xml:space="preserve"> </w:t>
      </w:r>
      <w:r>
        <w:rPr>
          <w:color w:val="231F20"/>
          <w:sz w:val="21"/>
        </w:rPr>
        <w:t>собою адміністративних</w:t>
      </w:r>
      <w:r>
        <w:rPr>
          <w:color w:val="231F20"/>
          <w:spacing w:val="-2"/>
          <w:sz w:val="21"/>
        </w:rPr>
        <w:t xml:space="preserve"> </w:t>
      </w:r>
      <w:r>
        <w:rPr>
          <w:color w:val="231F20"/>
          <w:sz w:val="21"/>
        </w:rPr>
        <w:t>стягнень;</w:t>
      </w:r>
    </w:p>
    <w:p w14:paraId="081E926B" w14:textId="77777777" w:rsidR="00DE575E" w:rsidRDefault="002E7560">
      <w:pPr>
        <w:pStyle w:val="ListParagraph"/>
        <w:numPr>
          <w:ilvl w:val="0"/>
          <w:numId w:val="51"/>
        </w:numPr>
        <w:tabs>
          <w:tab w:val="left" w:pos="818"/>
        </w:tabs>
        <w:spacing w:before="3" w:line="252" w:lineRule="auto"/>
        <w:ind w:right="411" w:firstLine="283"/>
        <w:rPr>
          <w:sz w:val="21"/>
        </w:rPr>
      </w:pPr>
      <w:r>
        <w:rPr>
          <w:i/>
          <w:color w:val="231F20"/>
          <w:spacing w:val="-4"/>
          <w:sz w:val="21"/>
        </w:rPr>
        <w:t xml:space="preserve">об’єкт </w:t>
      </w:r>
      <w:r>
        <w:rPr>
          <w:i/>
          <w:color w:val="231F20"/>
          <w:sz w:val="21"/>
        </w:rPr>
        <w:t>посягання</w:t>
      </w:r>
      <w:r>
        <w:rPr>
          <w:color w:val="231F20"/>
          <w:sz w:val="21"/>
        </w:rPr>
        <w:t>, який визначено як діяння, що посягає на громадський порядок, власність, права, свободи громадян, на вста- новлений порядок управління.</w:t>
      </w:r>
    </w:p>
    <w:p w14:paraId="17E3C9B9" w14:textId="77777777" w:rsidR="00DE575E" w:rsidRDefault="00DE575E">
      <w:pPr>
        <w:pStyle w:val="BodyText"/>
        <w:rPr>
          <w:sz w:val="24"/>
        </w:rPr>
      </w:pPr>
    </w:p>
    <w:p w14:paraId="18BE7030" w14:textId="77777777" w:rsidR="00DE575E" w:rsidRDefault="00DE575E">
      <w:pPr>
        <w:pStyle w:val="BodyText"/>
        <w:spacing w:before="5"/>
        <w:rPr>
          <w:sz w:val="19"/>
        </w:rPr>
      </w:pPr>
    </w:p>
    <w:p w14:paraId="5CE29AD5" w14:textId="77777777" w:rsidR="00DE575E" w:rsidRDefault="002E7560">
      <w:pPr>
        <w:pStyle w:val="Heading4"/>
        <w:numPr>
          <w:ilvl w:val="1"/>
          <w:numId w:val="30"/>
        </w:numPr>
        <w:tabs>
          <w:tab w:val="left" w:pos="972"/>
        </w:tabs>
        <w:ind w:right="724" w:hanging="1011"/>
        <w:jc w:val="left"/>
      </w:pPr>
      <w:r>
        <w:rPr>
          <w:color w:val="231F20"/>
        </w:rPr>
        <w:t>Відмежування адміністративного</w:t>
      </w:r>
      <w:r>
        <w:rPr>
          <w:color w:val="231F20"/>
          <w:spacing w:val="-31"/>
        </w:rPr>
        <w:t xml:space="preserve"> </w:t>
      </w:r>
      <w:r>
        <w:rPr>
          <w:color w:val="231F20"/>
        </w:rPr>
        <w:t>правопорушення від кримінального</w:t>
      </w:r>
      <w:r>
        <w:rPr>
          <w:color w:val="231F20"/>
          <w:spacing w:val="-4"/>
        </w:rPr>
        <w:t xml:space="preserve"> </w:t>
      </w:r>
      <w:r>
        <w:rPr>
          <w:color w:val="231F20"/>
        </w:rPr>
        <w:t>правопорушення</w:t>
      </w:r>
    </w:p>
    <w:p w14:paraId="7C5ABC76" w14:textId="77777777" w:rsidR="00DE575E" w:rsidRDefault="00DE575E">
      <w:pPr>
        <w:pStyle w:val="BodyText"/>
        <w:rPr>
          <w:b/>
          <w:sz w:val="26"/>
        </w:rPr>
      </w:pPr>
    </w:p>
    <w:p w14:paraId="3FFCE7F7" w14:textId="77777777" w:rsidR="00DE575E" w:rsidRDefault="002E7560">
      <w:pPr>
        <w:pStyle w:val="BodyText"/>
        <w:spacing w:before="224" w:line="252" w:lineRule="auto"/>
        <w:ind w:left="250" w:right="405" w:firstLine="283"/>
        <w:jc w:val="both"/>
      </w:pPr>
      <w:r>
        <w:rPr>
          <w:color w:val="231F20"/>
          <w:spacing w:val="1"/>
        </w:rPr>
        <w:t xml:space="preserve">Відповідно </w:t>
      </w:r>
      <w:r>
        <w:rPr>
          <w:color w:val="231F20"/>
        </w:rPr>
        <w:t xml:space="preserve">до </w:t>
      </w:r>
      <w:r>
        <w:rPr>
          <w:color w:val="231F20"/>
          <w:spacing w:val="-4"/>
        </w:rPr>
        <w:t xml:space="preserve">ст. </w:t>
      </w:r>
      <w:r>
        <w:rPr>
          <w:color w:val="231F20"/>
        </w:rPr>
        <w:t xml:space="preserve">9 КУпАП </w:t>
      </w:r>
      <w:r>
        <w:rPr>
          <w:color w:val="231F20"/>
          <w:spacing w:val="1"/>
        </w:rPr>
        <w:t xml:space="preserve">адміністративна відповідальність </w:t>
      </w:r>
      <w:r>
        <w:rPr>
          <w:color w:val="231F20"/>
          <w:spacing w:val="2"/>
        </w:rPr>
        <w:t xml:space="preserve">за </w:t>
      </w:r>
      <w:r>
        <w:rPr>
          <w:color w:val="231F20"/>
          <w:spacing w:val="1"/>
        </w:rPr>
        <w:t xml:space="preserve">правопорушення, передбачені </w:t>
      </w:r>
      <w:r>
        <w:rPr>
          <w:color w:val="231F20"/>
        </w:rPr>
        <w:t xml:space="preserve">цим Кодексом, </w:t>
      </w:r>
      <w:r>
        <w:rPr>
          <w:color w:val="231F20"/>
          <w:spacing w:val="1"/>
        </w:rPr>
        <w:t xml:space="preserve">настає,  якщо  </w:t>
      </w:r>
      <w:r>
        <w:rPr>
          <w:color w:val="231F20"/>
          <w:spacing w:val="2"/>
        </w:rPr>
        <w:t xml:space="preserve">вони </w:t>
      </w:r>
      <w:r>
        <w:rPr>
          <w:color w:val="231F20"/>
        </w:rPr>
        <w:t xml:space="preserve">за </w:t>
      </w:r>
      <w:r>
        <w:rPr>
          <w:color w:val="231F20"/>
          <w:spacing w:val="1"/>
        </w:rPr>
        <w:t xml:space="preserve">своїм характером </w:t>
      </w:r>
      <w:r>
        <w:rPr>
          <w:color w:val="231F20"/>
        </w:rPr>
        <w:t xml:space="preserve">не </w:t>
      </w:r>
      <w:r>
        <w:rPr>
          <w:color w:val="231F20"/>
          <w:spacing w:val="1"/>
        </w:rPr>
        <w:t xml:space="preserve">передбачають кримінальної відповідаль- </w:t>
      </w:r>
      <w:r>
        <w:rPr>
          <w:color w:val="231F20"/>
          <w:spacing w:val="2"/>
        </w:rPr>
        <w:t>ності.</w:t>
      </w:r>
    </w:p>
    <w:p w14:paraId="645BB430" w14:textId="77777777" w:rsidR="00DE575E" w:rsidRDefault="002E7560">
      <w:pPr>
        <w:pStyle w:val="BodyText"/>
        <w:spacing w:before="2" w:line="252" w:lineRule="auto"/>
        <w:ind w:left="250" w:right="411" w:firstLine="283"/>
        <w:jc w:val="both"/>
      </w:pPr>
      <w:r>
        <w:rPr>
          <w:color w:val="231F20"/>
        </w:rPr>
        <w:t>Отже, важливо вміти та знати, яким чином розмежовують кримі- нальні та адміністративні правопорушення.</w:t>
      </w:r>
    </w:p>
    <w:p w14:paraId="2D1C7DE4" w14:textId="77777777" w:rsidR="00DE575E" w:rsidRDefault="002E7560">
      <w:pPr>
        <w:pStyle w:val="BodyText"/>
        <w:spacing w:before="1" w:line="252" w:lineRule="auto"/>
        <w:ind w:left="250" w:right="411" w:firstLine="283"/>
        <w:jc w:val="both"/>
      </w:pPr>
      <w:r>
        <w:rPr>
          <w:i/>
          <w:color w:val="231F20"/>
        </w:rPr>
        <w:t xml:space="preserve">Адміністративне правопорушення – </w:t>
      </w:r>
      <w:r>
        <w:rPr>
          <w:color w:val="231F20"/>
        </w:rPr>
        <w:t>це протиправна, винна (умисна</w:t>
      </w:r>
      <w:r>
        <w:rPr>
          <w:color w:val="231F20"/>
          <w:spacing w:val="-13"/>
        </w:rPr>
        <w:t xml:space="preserve"> </w:t>
      </w:r>
      <w:r>
        <w:rPr>
          <w:color w:val="231F20"/>
        </w:rPr>
        <w:t>або</w:t>
      </w:r>
      <w:r>
        <w:rPr>
          <w:color w:val="231F20"/>
          <w:spacing w:val="-13"/>
        </w:rPr>
        <w:t xml:space="preserve"> </w:t>
      </w:r>
      <w:r>
        <w:rPr>
          <w:color w:val="231F20"/>
        </w:rPr>
        <w:t>необережна)</w:t>
      </w:r>
      <w:r>
        <w:rPr>
          <w:color w:val="231F20"/>
          <w:spacing w:val="-13"/>
        </w:rPr>
        <w:t xml:space="preserve"> </w:t>
      </w:r>
      <w:r>
        <w:rPr>
          <w:color w:val="231F20"/>
        </w:rPr>
        <w:t>дія</w:t>
      </w:r>
      <w:r>
        <w:rPr>
          <w:color w:val="231F20"/>
          <w:spacing w:val="-13"/>
        </w:rPr>
        <w:t xml:space="preserve"> </w:t>
      </w:r>
      <w:r>
        <w:rPr>
          <w:color w:val="231F20"/>
        </w:rPr>
        <w:t>чи</w:t>
      </w:r>
      <w:r>
        <w:rPr>
          <w:color w:val="231F20"/>
          <w:spacing w:val="-13"/>
        </w:rPr>
        <w:t xml:space="preserve"> </w:t>
      </w:r>
      <w:r>
        <w:rPr>
          <w:color w:val="231F20"/>
        </w:rPr>
        <w:t>бездіяльність,</w:t>
      </w:r>
      <w:r>
        <w:rPr>
          <w:color w:val="231F20"/>
          <w:spacing w:val="-13"/>
        </w:rPr>
        <w:t xml:space="preserve"> </w:t>
      </w:r>
      <w:r>
        <w:rPr>
          <w:color w:val="231F20"/>
        </w:rPr>
        <w:t>що</w:t>
      </w:r>
      <w:r>
        <w:rPr>
          <w:color w:val="231F20"/>
          <w:spacing w:val="-13"/>
        </w:rPr>
        <w:t xml:space="preserve"> </w:t>
      </w:r>
      <w:r>
        <w:rPr>
          <w:color w:val="231F20"/>
        </w:rPr>
        <w:t>посягає</w:t>
      </w:r>
      <w:r>
        <w:rPr>
          <w:color w:val="231F20"/>
          <w:spacing w:val="-13"/>
        </w:rPr>
        <w:t xml:space="preserve"> </w:t>
      </w:r>
      <w:r>
        <w:rPr>
          <w:color w:val="231F20"/>
        </w:rPr>
        <w:t>на</w:t>
      </w:r>
      <w:r>
        <w:rPr>
          <w:color w:val="231F20"/>
          <w:spacing w:val="-13"/>
        </w:rPr>
        <w:t xml:space="preserve"> </w:t>
      </w:r>
      <w:r>
        <w:rPr>
          <w:color w:val="231F20"/>
        </w:rPr>
        <w:t>громад- ський порядок, власність, прав</w:t>
      </w:r>
      <w:r>
        <w:rPr>
          <w:color w:val="231F20"/>
        </w:rPr>
        <w:t xml:space="preserve">а і свободи громадян, на встановле- ний порядок управління, за вчинення якої законом передбачено адміністративну відповідальність (ч. 1 </w:t>
      </w:r>
      <w:r>
        <w:rPr>
          <w:color w:val="231F20"/>
          <w:spacing w:val="-6"/>
        </w:rPr>
        <w:t xml:space="preserve">ст. </w:t>
      </w:r>
      <w:r>
        <w:rPr>
          <w:color w:val="231F20"/>
        </w:rPr>
        <w:t>9</w:t>
      </w:r>
      <w:r>
        <w:rPr>
          <w:color w:val="231F20"/>
          <w:spacing w:val="-10"/>
        </w:rPr>
        <w:t xml:space="preserve"> </w:t>
      </w:r>
      <w:r>
        <w:rPr>
          <w:color w:val="231F20"/>
        </w:rPr>
        <w:t>КУпАП).</w:t>
      </w:r>
    </w:p>
    <w:p w14:paraId="39164F3F" w14:textId="77777777" w:rsidR="00DE575E" w:rsidRDefault="002E7560">
      <w:pPr>
        <w:pStyle w:val="BodyText"/>
        <w:spacing w:before="2" w:line="252" w:lineRule="auto"/>
        <w:ind w:left="250" w:right="410" w:firstLine="283"/>
        <w:jc w:val="both"/>
      </w:pPr>
      <w:r>
        <w:rPr>
          <w:i/>
          <w:color w:val="231F20"/>
        </w:rPr>
        <w:t xml:space="preserve">Кримінальним правопорушенням </w:t>
      </w:r>
      <w:r>
        <w:rPr>
          <w:color w:val="231F20"/>
        </w:rPr>
        <w:t xml:space="preserve">є передбачене Кримінальним кодексом </w:t>
      </w:r>
      <w:r>
        <w:rPr>
          <w:color w:val="231F20"/>
          <w:spacing w:val="-3"/>
        </w:rPr>
        <w:t xml:space="preserve">України </w:t>
      </w:r>
      <w:r>
        <w:rPr>
          <w:color w:val="231F20"/>
        </w:rPr>
        <w:t>суспільно небезпечне винне діяння</w:t>
      </w:r>
      <w:r>
        <w:rPr>
          <w:color w:val="231F20"/>
        </w:rPr>
        <w:t xml:space="preserve"> (дія або безді- яльність), учинене </w:t>
      </w:r>
      <w:r>
        <w:rPr>
          <w:color w:val="231F20"/>
          <w:spacing w:val="-3"/>
        </w:rPr>
        <w:t xml:space="preserve">суб’єктом  </w:t>
      </w:r>
      <w:r>
        <w:rPr>
          <w:color w:val="231F20"/>
        </w:rPr>
        <w:t>кримінального  правопорушення.  Не є кримінальним правопорушенням дія або бездіяльність, яка хоча формально і містить ознаки будь-якого  діяння,  передбаченого  цим  Кодексом,  але  через  малозначність  не  с</w:t>
      </w:r>
      <w:r>
        <w:rPr>
          <w:color w:val="231F20"/>
        </w:rPr>
        <w:t xml:space="preserve">тановить  </w:t>
      </w:r>
      <w:r>
        <w:rPr>
          <w:color w:val="231F20"/>
          <w:spacing w:val="11"/>
        </w:rPr>
        <w:t xml:space="preserve"> </w:t>
      </w:r>
      <w:r>
        <w:rPr>
          <w:color w:val="231F20"/>
        </w:rPr>
        <w:t>суспільної</w:t>
      </w:r>
    </w:p>
    <w:p w14:paraId="27EAFF4D" w14:textId="77777777" w:rsidR="00DE575E" w:rsidRDefault="00DE575E">
      <w:pPr>
        <w:pStyle w:val="BodyText"/>
        <w:spacing w:before="9"/>
        <w:rPr>
          <w:sz w:val="12"/>
        </w:rPr>
      </w:pPr>
    </w:p>
    <w:p w14:paraId="7D50F786" w14:textId="77777777" w:rsidR="00DE575E" w:rsidRDefault="002E7560">
      <w:pPr>
        <w:spacing w:before="92"/>
        <w:ind w:right="411"/>
        <w:jc w:val="right"/>
        <w:rPr>
          <w:rFonts w:ascii="Times New Roman"/>
          <w:sz w:val="20"/>
        </w:rPr>
      </w:pPr>
      <w:r>
        <w:rPr>
          <w:rFonts w:ascii="Times New Roman"/>
          <w:color w:val="231F20"/>
          <w:w w:val="90"/>
          <w:sz w:val="20"/>
        </w:rPr>
        <w:t>485</w:t>
      </w:r>
    </w:p>
    <w:p w14:paraId="2634C59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18E14A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2BAB40A" w14:textId="0BD591D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3A6C4F3" wp14:editId="26865E1F">
                <wp:extent cx="4140200" cy="6350"/>
                <wp:effectExtent l="0" t="0" r="12700" b="6350"/>
                <wp:docPr id="19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97" name="Line 19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3E16C4" id="Group_x0020_19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5RNXx/AgAAmAUAAA4A&#10;AAAAAAAAAAAAAAAALAIAAGRycy9lMm9Eb2MueG1sUEsBAi0AFAAGAAgAAAAhAEynsJDZAAAAAwEA&#10;AA8AAAAAAAAAAAAAAAAA1wQAAGRycy9kb3ducmV2LnhtbFBLBQYAAAAABAAEAPMAAADdBQAAAAA=&#10;">
                <v:line id="Line_x0020_19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dEhsQAAADcAAAADwAAAGRycy9kb3ducmV2LnhtbERP22rCQBB9L/gPywh9KbqpQtXoKlIQ&#10;Sh+8xQ8Ys2MS3J2N2dWk/fpuodC3OZzrLFadNeJBja8cK3gdJiCIc6crLhScss1gCsIHZI3GMSn4&#10;Ig+rZe9pgal2LR/ocQyFiCHsU1RQhlCnUvq8JIt+6GriyF1cYzFE2BRSN9jGcGvkKEnepMWKY0OJ&#10;Nb2XlF+Pd6sgu70Es999mjbbncfyfNuOv+9bpZ773XoOIlAX/sV/7g8d588m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Z0SGxAAAANwAAAAPAAAAAAAAAAAA&#10;AAAAAKECAABkcnMvZG93bnJldi54bWxQSwUGAAAAAAQABAD5AAAAkgMAAAAA&#10;" strokecolor="#231f20" strokeweight=".5pt"/>
                <w10:anchorlock/>
              </v:group>
            </w:pict>
          </mc:Fallback>
        </mc:AlternateContent>
      </w:r>
    </w:p>
    <w:p w14:paraId="5F99C304" w14:textId="77777777" w:rsidR="00DE575E" w:rsidRDefault="00DE575E">
      <w:pPr>
        <w:pStyle w:val="BodyText"/>
        <w:spacing w:before="7"/>
        <w:rPr>
          <w:rFonts w:ascii="AdonisC"/>
          <w:i/>
          <w:sz w:val="11"/>
        </w:rPr>
      </w:pPr>
    </w:p>
    <w:p w14:paraId="28DB530F" w14:textId="77777777" w:rsidR="00DE575E" w:rsidRDefault="002E7560">
      <w:pPr>
        <w:pStyle w:val="BodyText"/>
        <w:spacing w:before="101" w:line="249" w:lineRule="auto"/>
        <w:ind w:left="533"/>
      </w:pPr>
      <w:r>
        <w:rPr>
          <w:color w:val="231F20"/>
        </w:rPr>
        <w:t>небезпеки, тобто не заподіяла і не могла заподіяти істотної шкоди фізичній чи юридичній особі, суспільству або державі</w:t>
      </w:r>
      <w:r>
        <w:rPr>
          <w:color w:val="231F20"/>
          <w:position w:val="7"/>
          <w:sz w:val="12"/>
        </w:rPr>
        <w:t>1</w:t>
      </w:r>
      <w:r>
        <w:rPr>
          <w:color w:val="231F20"/>
        </w:rPr>
        <w:t>.</w:t>
      </w:r>
    </w:p>
    <w:p w14:paraId="010E41CA" w14:textId="77777777" w:rsidR="00DE575E" w:rsidRDefault="002E7560">
      <w:pPr>
        <w:pStyle w:val="BodyText"/>
        <w:spacing w:line="249" w:lineRule="auto"/>
        <w:ind w:left="533" w:right="127" w:firstLine="283"/>
        <w:jc w:val="both"/>
      </w:pPr>
      <w:r>
        <w:rPr>
          <w:i/>
          <w:color w:val="231F20"/>
        </w:rPr>
        <w:t>Злочин</w:t>
      </w:r>
      <w:r>
        <w:rPr>
          <w:i/>
          <w:color w:val="231F20"/>
          <w:spacing w:val="-15"/>
        </w:rPr>
        <w:t xml:space="preserve"> </w:t>
      </w:r>
      <w:r>
        <w:rPr>
          <w:color w:val="231F20"/>
        </w:rPr>
        <w:t>–</w:t>
      </w:r>
      <w:r>
        <w:rPr>
          <w:color w:val="231F20"/>
          <w:spacing w:val="-15"/>
        </w:rPr>
        <w:t xml:space="preserve"> </w:t>
      </w:r>
      <w:r>
        <w:rPr>
          <w:color w:val="231F20"/>
        </w:rPr>
        <w:t>це</w:t>
      </w:r>
      <w:r>
        <w:rPr>
          <w:color w:val="231F20"/>
          <w:spacing w:val="-16"/>
        </w:rPr>
        <w:t xml:space="preserve"> </w:t>
      </w:r>
      <w:r>
        <w:rPr>
          <w:color w:val="231F20"/>
        </w:rPr>
        <w:t>діяння,</w:t>
      </w:r>
      <w:r>
        <w:rPr>
          <w:color w:val="231F20"/>
          <w:spacing w:val="-16"/>
        </w:rPr>
        <w:t xml:space="preserve"> </w:t>
      </w:r>
      <w:r>
        <w:rPr>
          <w:color w:val="231F20"/>
        </w:rPr>
        <w:t>яке</w:t>
      </w:r>
      <w:r>
        <w:rPr>
          <w:color w:val="231F20"/>
          <w:spacing w:val="-15"/>
        </w:rPr>
        <w:t xml:space="preserve"> </w:t>
      </w:r>
      <w:r>
        <w:rPr>
          <w:color w:val="231F20"/>
        </w:rPr>
        <w:t>передбачене</w:t>
      </w:r>
      <w:r>
        <w:rPr>
          <w:color w:val="231F20"/>
          <w:spacing w:val="-16"/>
        </w:rPr>
        <w:t xml:space="preserve"> </w:t>
      </w:r>
      <w:r>
        <w:rPr>
          <w:color w:val="231F20"/>
        </w:rPr>
        <w:t>кримінальним</w:t>
      </w:r>
      <w:r>
        <w:rPr>
          <w:color w:val="231F20"/>
          <w:spacing w:val="-16"/>
        </w:rPr>
        <w:t xml:space="preserve"> </w:t>
      </w:r>
      <w:r>
        <w:rPr>
          <w:color w:val="231F20"/>
        </w:rPr>
        <w:t>законом.</w:t>
      </w:r>
      <w:r>
        <w:rPr>
          <w:color w:val="231F20"/>
          <w:spacing w:val="-16"/>
        </w:rPr>
        <w:t xml:space="preserve"> </w:t>
      </w:r>
      <w:r>
        <w:rPr>
          <w:i/>
          <w:color w:val="231F20"/>
        </w:rPr>
        <w:t xml:space="preserve">Адмі- ністративний проступок </w:t>
      </w:r>
      <w:r>
        <w:rPr>
          <w:color w:val="231F20"/>
        </w:rPr>
        <w:t>– діяння, передбачене нормою адміністра- тивного права. Склад будь-якого злочину може бути встановлений лише законом. Склад адміністративних проступків – як законами, так і підзаконними</w:t>
      </w:r>
      <w:r>
        <w:rPr>
          <w:color w:val="231F20"/>
          <w:spacing w:val="-3"/>
        </w:rPr>
        <w:t xml:space="preserve"> </w:t>
      </w:r>
      <w:r>
        <w:rPr>
          <w:color w:val="231F20"/>
        </w:rPr>
        <w:t>актами.</w:t>
      </w:r>
    </w:p>
    <w:p w14:paraId="1AFEA5F9" w14:textId="77777777" w:rsidR="00DE575E" w:rsidRDefault="002E7560">
      <w:pPr>
        <w:pStyle w:val="BodyText"/>
        <w:spacing w:line="249" w:lineRule="auto"/>
        <w:ind w:left="533" w:right="128" w:firstLine="283"/>
        <w:jc w:val="both"/>
      </w:pPr>
      <w:r>
        <w:rPr>
          <w:color w:val="231F20"/>
        </w:rPr>
        <w:t xml:space="preserve">За скоєння адміністративних правопорушень і злочинів установ- </w:t>
      </w:r>
      <w:r>
        <w:rPr>
          <w:color w:val="231F20"/>
        </w:rPr>
        <w:t>лено різні за юридичною природою, характером втрат, які зазнає правопорушник, важкості наслідків заходи державного примусу.</w:t>
      </w:r>
    </w:p>
    <w:p w14:paraId="3631EECA" w14:textId="77777777" w:rsidR="00DE575E" w:rsidRDefault="002E7560">
      <w:pPr>
        <w:pStyle w:val="BodyText"/>
        <w:spacing w:line="249" w:lineRule="auto"/>
        <w:ind w:left="533" w:right="126" w:firstLine="283"/>
        <w:jc w:val="both"/>
      </w:pPr>
      <w:r>
        <w:rPr>
          <w:i/>
          <w:color w:val="231F20"/>
        </w:rPr>
        <w:t xml:space="preserve">За скоєння адміністративних правопорушень </w:t>
      </w:r>
      <w:r>
        <w:rPr>
          <w:color w:val="231F20"/>
        </w:rPr>
        <w:t xml:space="preserve">– </w:t>
      </w:r>
      <w:r>
        <w:rPr>
          <w:i/>
          <w:color w:val="231F20"/>
        </w:rPr>
        <w:t>адміністративні стягнення</w:t>
      </w:r>
      <w:r>
        <w:rPr>
          <w:color w:val="231F20"/>
        </w:rPr>
        <w:t xml:space="preserve">, якими </w:t>
      </w:r>
      <w:r>
        <w:rPr>
          <w:color w:val="231F20"/>
          <w:spacing w:val="-6"/>
        </w:rPr>
        <w:t xml:space="preserve">ст. </w:t>
      </w:r>
      <w:r>
        <w:rPr>
          <w:color w:val="231F20"/>
        </w:rPr>
        <w:t>24 КпАП визначає: 1) попередження; 2) штраф; 2-1) ш</w:t>
      </w:r>
      <w:r>
        <w:rPr>
          <w:color w:val="231F20"/>
        </w:rPr>
        <w:t>трафні бали; 3) оплатне вилучення предмета, який став знаряддям</w:t>
      </w:r>
      <w:r>
        <w:rPr>
          <w:color w:val="231F20"/>
          <w:spacing w:val="-12"/>
        </w:rPr>
        <w:t xml:space="preserve"> </w:t>
      </w:r>
      <w:r>
        <w:rPr>
          <w:color w:val="231F20"/>
        </w:rPr>
        <w:t>учинення</w:t>
      </w:r>
      <w:r>
        <w:rPr>
          <w:color w:val="231F20"/>
          <w:spacing w:val="-12"/>
        </w:rPr>
        <w:t xml:space="preserve"> </w:t>
      </w:r>
      <w:r>
        <w:rPr>
          <w:color w:val="231F20"/>
        </w:rPr>
        <w:t>або</w:t>
      </w:r>
      <w:r>
        <w:rPr>
          <w:color w:val="231F20"/>
          <w:spacing w:val="-12"/>
        </w:rPr>
        <w:t xml:space="preserve"> </w:t>
      </w:r>
      <w:r>
        <w:rPr>
          <w:color w:val="231F20"/>
        </w:rPr>
        <w:t>безпосереднім</w:t>
      </w:r>
      <w:r>
        <w:rPr>
          <w:color w:val="231F20"/>
          <w:spacing w:val="-12"/>
        </w:rPr>
        <w:t xml:space="preserve"> </w:t>
      </w:r>
      <w:r>
        <w:rPr>
          <w:color w:val="231F20"/>
          <w:spacing w:val="-3"/>
        </w:rPr>
        <w:t>об’єктом</w:t>
      </w:r>
      <w:r>
        <w:rPr>
          <w:color w:val="231F20"/>
          <w:spacing w:val="-12"/>
        </w:rPr>
        <w:t xml:space="preserve"> </w:t>
      </w:r>
      <w:r>
        <w:rPr>
          <w:color w:val="231F20"/>
        </w:rPr>
        <w:t xml:space="preserve">адміністративного правопорушення; 4) конфіскацію: предмета, який став знаряддям учинення або безпосереднім </w:t>
      </w:r>
      <w:r>
        <w:rPr>
          <w:color w:val="231F20"/>
          <w:spacing w:val="-3"/>
        </w:rPr>
        <w:t xml:space="preserve">об’єктом </w:t>
      </w:r>
      <w:r>
        <w:rPr>
          <w:color w:val="231F20"/>
        </w:rPr>
        <w:t>адміністративного правопо- рушення; грошей, одержаних унаслідок учинення адміністратив- ного правопорушення; 5) позбавлення спеціального права, нада- ного певному громадянинові, позбавлення права обіймати певні посади</w:t>
      </w:r>
      <w:r>
        <w:rPr>
          <w:color w:val="231F20"/>
          <w:spacing w:val="25"/>
        </w:rPr>
        <w:t xml:space="preserve"> </w:t>
      </w:r>
      <w:r>
        <w:rPr>
          <w:color w:val="231F20"/>
        </w:rPr>
        <w:t>або</w:t>
      </w:r>
      <w:r>
        <w:rPr>
          <w:color w:val="231F20"/>
          <w:spacing w:val="25"/>
        </w:rPr>
        <w:t xml:space="preserve"> </w:t>
      </w:r>
      <w:r>
        <w:rPr>
          <w:color w:val="231F20"/>
        </w:rPr>
        <w:t>займатися</w:t>
      </w:r>
      <w:r>
        <w:rPr>
          <w:color w:val="231F20"/>
          <w:spacing w:val="25"/>
        </w:rPr>
        <w:t xml:space="preserve"> </w:t>
      </w:r>
      <w:r>
        <w:rPr>
          <w:color w:val="231F20"/>
        </w:rPr>
        <w:t>певною</w:t>
      </w:r>
      <w:r>
        <w:rPr>
          <w:color w:val="231F20"/>
          <w:spacing w:val="25"/>
        </w:rPr>
        <w:t xml:space="preserve"> </w:t>
      </w:r>
      <w:r>
        <w:rPr>
          <w:color w:val="231F20"/>
        </w:rPr>
        <w:t>діяльністю;</w:t>
      </w:r>
      <w:r>
        <w:rPr>
          <w:color w:val="231F20"/>
          <w:spacing w:val="25"/>
        </w:rPr>
        <w:t xml:space="preserve"> </w:t>
      </w:r>
      <w:r>
        <w:rPr>
          <w:color w:val="231F20"/>
        </w:rPr>
        <w:t>5-1)</w:t>
      </w:r>
      <w:r>
        <w:rPr>
          <w:color w:val="231F20"/>
          <w:spacing w:val="-8"/>
        </w:rPr>
        <w:t xml:space="preserve"> </w:t>
      </w:r>
      <w:r>
        <w:rPr>
          <w:color w:val="231F20"/>
        </w:rPr>
        <w:t>громадські</w:t>
      </w:r>
      <w:r>
        <w:rPr>
          <w:color w:val="231F20"/>
          <w:spacing w:val="25"/>
        </w:rPr>
        <w:t xml:space="preserve"> </w:t>
      </w:r>
      <w:r>
        <w:rPr>
          <w:color w:val="231F20"/>
        </w:rPr>
        <w:t>роботи;</w:t>
      </w:r>
    </w:p>
    <w:p w14:paraId="34A29C9A" w14:textId="77777777" w:rsidR="00DE575E" w:rsidRDefault="002E7560">
      <w:pPr>
        <w:pStyle w:val="ListParagraph"/>
        <w:numPr>
          <w:ilvl w:val="0"/>
          <w:numId w:val="29"/>
        </w:numPr>
        <w:tabs>
          <w:tab w:val="left" w:pos="773"/>
        </w:tabs>
        <w:spacing w:before="0" w:line="249" w:lineRule="auto"/>
        <w:ind w:right="128" w:firstLine="0"/>
        <w:rPr>
          <w:sz w:val="21"/>
        </w:rPr>
      </w:pPr>
      <w:r>
        <w:rPr>
          <w:color w:val="231F20"/>
          <w:sz w:val="21"/>
        </w:rPr>
        <w:t>виправні</w:t>
      </w:r>
      <w:r>
        <w:rPr>
          <w:color w:val="231F20"/>
          <w:spacing w:val="-15"/>
          <w:sz w:val="21"/>
        </w:rPr>
        <w:t xml:space="preserve"> </w:t>
      </w:r>
      <w:r>
        <w:rPr>
          <w:color w:val="231F20"/>
          <w:sz w:val="21"/>
        </w:rPr>
        <w:t>роботи;</w:t>
      </w:r>
      <w:r>
        <w:rPr>
          <w:color w:val="231F20"/>
          <w:spacing w:val="-15"/>
          <w:sz w:val="21"/>
        </w:rPr>
        <w:t xml:space="preserve"> </w:t>
      </w:r>
      <w:r>
        <w:rPr>
          <w:color w:val="231F20"/>
          <w:sz w:val="21"/>
        </w:rPr>
        <w:t>6-1)</w:t>
      </w:r>
      <w:r>
        <w:rPr>
          <w:color w:val="231F20"/>
          <w:spacing w:val="-11"/>
          <w:sz w:val="21"/>
        </w:rPr>
        <w:t xml:space="preserve"> </w:t>
      </w:r>
      <w:r>
        <w:rPr>
          <w:color w:val="231F20"/>
          <w:sz w:val="21"/>
        </w:rPr>
        <w:t>суспільно</w:t>
      </w:r>
      <w:r>
        <w:rPr>
          <w:color w:val="231F20"/>
          <w:spacing w:val="-15"/>
          <w:sz w:val="21"/>
        </w:rPr>
        <w:t xml:space="preserve"> </w:t>
      </w:r>
      <w:r>
        <w:rPr>
          <w:color w:val="231F20"/>
          <w:sz w:val="21"/>
        </w:rPr>
        <w:t>корисні</w:t>
      </w:r>
      <w:r>
        <w:rPr>
          <w:color w:val="231F20"/>
          <w:spacing w:val="-15"/>
          <w:sz w:val="21"/>
        </w:rPr>
        <w:t xml:space="preserve"> </w:t>
      </w:r>
      <w:r>
        <w:rPr>
          <w:color w:val="231F20"/>
          <w:sz w:val="21"/>
        </w:rPr>
        <w:t>роботи;</w:t>
      </w:r>
      <w:r>
        <w:rPr>
          <w:color w:val="231F20"/>
          <w:spacing w:val="-15"/>
          <w:sz w:val="21"/>
        </w:rPr>
        <w:t xml:space="preserve"> </w:t>
      </w:r>
      <w:r>
        <w:rPr>
          <w:color w:val="231F20"/>
          <w:sz w:val="21"/>
        </w:rPr>
        <w:t>7)</w:t>
      </w:r>
      <w:r>
        <w:rPr>
          <w:color w:val="231F20"/>
          <w:spacing w:val="-11"/>
          <w:sz w:val="21"/>
        </w:rPr>
        <w:t xml:space="preserve"> </w:t>
      </w:r>
      <w:r>
        <w:rPr>
          <w:color w:val="231F20"/>
          <w:sz w:val="21"/>
        </w:rPr>
        <w:t>адміністратив- ний арешт; 8) арешт з утриманням на</w:t>
      </w:r>
      <w:r>
        <w:rPr>
          <w:color w:val="231F20"/>
          <w:spacing w:val="-8"/>
          <w:sz w:val="21"/>
        </w:rPr>
        <w:t xml:space="preserve"> </w:t>
      </w:r>
      <w:r>
        <w:rPr>
          <w:color w:val="231F20"/>
          <w:sz w:val="21"/>
        </w:rPr>
        <w:t>гауптвахті.</w:t>
      </w:r>
    </w:p>
    <w:p w14:paraId="5D5EA09A" w14:textId="77777777" w:rsidR="00DE575E" w:rsidRDefault="002E7560">
      <w:pPr>
        <w:spacing w:line="249" w:lineRule="auto"/>
        <w:ind w:left="533" w:right="128" w:firstLine="283"/>
        <w:jc w:val="both"/>
        <w:rPr>
          <w:sz w:val="21"/>
        </w:rPr>
      </w:pPr>
      <w:r>
        <w:rPr>
          <w:i/>
          <w:color w:val="231F20"/>
          <w:sz w:val="21"/>
        </w:rPr>
        <w:t xml:space="preserve">За скоєння кримінальних злочинів передбачені покарання </w:t>
      </w:r>
      <w:r>
        <w:rPr>
          <w:color w:val="231F20"/>
          <w:sz w:val="21"/>
        </w:rPr>
        <w:t>– зокрема:</w:t>
      </w:r>
    </w:p>
    <w:p w14:paraId="124419ED" w14:textId="77777777" w:rsidR="00DE575E" w:rsidRDefault="002E7560">
      <w:pPr>
        <w:pStyle w:val="ListParagraph"/>
        <w:numPr>
          <w:ilvl w:val="1"/>
          <w:numId w:val="29"/>
        </w:numPr>
        <w:tabs>
          <w:tab w:val="left" w:pos="1101"/>
        </w:tabs>
        <w:spacing w:before="0"/>
        <w:ind w:firstLine="284"/>
        <w:rPr>
          <w:sz w:val="21"/>
        </w:rPr>
      </w:pPr>
      <w:r>
        <w:rPr>
          <w:color w:val="231F20"/>
          <w:sz w:val="21"/>
        </w:rPr>
        <w:t>штраф;</w:t>
      </w:r>
    </w:p>
    <w:p w14:paraId="59A354BD" w14:textId="77777777" w:rsidR="00DE575E" w:rsidRDefault="002E7560">
      <w:pPr>
        <w:pStyle w:val="ListParagraph"/>
        <w:numPr>
          <w:ilvl w:val="1"/>
          <w:numId w:val="29"/>
        </w:numPr>
        <w:tabs>
          <w:tab w:val="left" w:pos="1101"/>
        </w:tabs>
        <w:spacing w:before="8" w:line="249" w:lineRule="auto"/>
        <w:ind w:right="127" w:firstLine="284"/>
        <w:jc w:val="both"/>
        <w:rPr>
          <w:sz w:val="21"/>
        </w:rPr>
      </w:pPr>
      <w:r>
        <w:rPr>
          <w:color w:val="231F20"/>
          <w:sz w:val="21"/>
        </w:rPr>
        <w:t xml:space="preserve">позбавлення військового, спеціального звання, </w:t>
      </w:r>
      <w:r>
        <w:rPr>
          <w:color w:val="231F20"/>
          <w:spacing w:val="-4"/>
          <w:sz w:val="21"/>
        </w:rPr>
        <w:t>ранг</w:t>
      </w:r>
      <w:r>
        <w:rPr>
          <w:color w:val="231F20"/>
          <w:spacing w:val="-4"/>
          <w:sz w:val="21"/>
        </w:rPr>
        <w:t xml:space="preserve">у, </w:t>
      </w:r>
      <w:r>
        <w:rPr>
          <w:color w:val="231F20"/>
          <w:sz w:val="21"/>
        </w:rPr>
        <w:t>чину або кваліфікаційного</w:t>
      </w:r>
      <w:r>
        <w:rPr>
          <w:color w:val="231F20"/>
          <w:spacing w:val="-2"/>
          <w:sz w:val="21"/>
        </w:rPr>
        <w:t xml:space="preserve"> </w:t>
      </w:r>
      <w:r>
        <w:rPr>
          <w:color w:val="231F20"/>
          <w:sz w:val="21"/>
        </w:rPr>
        <w:t>класу;</w:t>
      </w:r>
    </w:p>
    <w:p w14:paraId="69F6C6FA" w14:textId="77777777" w:rsidR="00DE575E" w:rsidRDefault="002E7560">
      <w:pPr>
        <w:pStyle w:val="ListParagraph"/>
        <w:numPr>
          <w:ilvl w:val="1"/>
          <w:numId w:val="29"/>
        </w:numPr>
        <w:tabs>
          <w:tab w:val="left" w:pos="1101"/>
        </w:tabs>
        <w:spacing w:before="0" w:line="249" w:lineRule="auto"/>
        <w:ind w:right="127" w:firstLine="284"/>
        <w:jc w:val="both"/>
        <w:rPr>
          <w:sz w:val="21"/>
        </w:rPr>
      </w:pPr>
      <w:r>
        <w:rPr>
          <w:color w:val="231F20"/>
          <w:sz w:val="21"/>
        </w:rPr>
        <w:t>позбавлення права обіймати певні посади або займатися певною</w:t>
      </w:r>
      <w:r>
        <w:rPr>
          <w:color w:val="231F20"/>
          <w:spacing w:val="-1"/>
          <w:sz w:val="21"/>
        </w:rPr>
        <w:t xml:space="preserve"> </w:t>
      </w:r>
      <w:r>
        <w:rPr>
          <w:color w:val="231F20"/>
          <w:sz w:val="21"/>
        </w:rPr>
        <w:t>діяльністю;</w:t>
      </w:r>
    </w:p>
    <w:p w14:paraId="3B3C4960" w14:textId="77777777" w:rsidR="00DE575E" w:rsidRDefault="002E7560">
      <w:pPr>
        <w:pStyle w:val="ListParagraph"/>
        <w:numPr>
          <w:ilvl w:val="1"/>
          <w:numId w:val="29"/>
        </w:numPr>
        <w:tabs>
          <w:tab w:val="left" w:pos="1101"/>
        </w:tabs>
        <w:spacing w:before="0"/>
        <w:ind w:firstLine="284"/>
        <w:rPr>
          <w:sz w:val="21"/>
        </w:rPr>
      </w:pPr>
      <w:r>
        <w:rPr>
          <w:color w:val="231F20"/>
          <w:sz w:val="21"/>
        </w:rPr>
        <w:t>громадські</w:t>
      </w:r>
      <w:r>
        <w:rPr>
          <w:color w:val="231F20"/>
          <w:spacing w:val="-1"/>
          <w:sz w:val="21"/>
        </w:rPr>
        <w:t xml:space="preserve"> </w:t>
      </w:r>
      <w:r>
        <w:rPr>
          <w:color w:val="231F20"/>
          <w:sz w:val="21"/>
        </w:rPr>
        <w:t>роботи;</w:t>
      </w:r>
    </w:p>
    <w:p w14:paraId="12D7B893" w14:textId="77777777" w:rsidR="00DE575E" w:rsidRDefault="002E7560">
      <w:pPr>
        <w:pStyle w:val="ListParagraph"/>
        <w:numPr>
          <w:ilvl w:val="1"/>
          <w:numId w:val="29"/>
        </w:numPr>
        <w:tabs>
          <w:tab w:val="left" w:pos="1101"/>
        </w:tabs>
        <w:spacing w:before="10"/>
        <w:ind w:firstLine="284"/>
        <w:rPr>
          <w:sz w:val="21"/>
        </w:rPr>
      </w:pPr>
      <w:r>
        <w:rPr>
          <w:color w:val="231F20"/>
          <w:sz w:val="21"/>
        </w:rPr>
        <w:t>виправні</w:t>
      </w:r>
      <w:r>
        <w:rPr>
          <w:color w:val="231F20"/>
          <w:spacing w:val="-2"/>
          <w:sz w:val="21"/>
        </w:rPr>
        <w:t xml:space="preserve"> </w:t>
      </w:r>
      <w:r>
        <w:rPr>
          <w:color w:val="231F20"/>
          <w:sz w:val="21"/>
        </w:rPr>
        <w:t>роботи;</w:t>
      </w:r>
    </w:p>
    <w:p w14:paraId="78D0AAED" w14:textId="77777777" w:rsidR="00DE575E" w:rsidRDefault="002E7560">
      <w:pPr>
        <w:pStyle w:val="ListParagraph"/>
        <w:numPr>
          <w:ilvl w:val="1"/>
          <w:numId w:val="29"/>
        </w:numPr>
        <w:tabs>
          <w:tab w:val="left" w:pos="1101"/>
        </w:tabs>
        <w:spacing w:before="10"/>
        <w:ind w:firstLine="284"/>
        <w:rPr>
          <w:sz w:val="21"/>
        </w:rPr>
      </w:pPr>
      <w:r>
        <w:rPr>
          <w:color w:val="231F20"/>
          <w:sz w:val="21"/>
        </w:rPr>
        <w:t>службові обмеження для</w:t>
      </w:r>
      <w:r>
        <w:rPr>
          <w:color w:val="231F20"/>
          <w:spacing w:val="-3"/>
          <w:sz w:val="21"/>
        </w:rPr>
        <w:t xml:space="preserve"> </w:t>
      </w:r>
      <w:r>
        <w:rPr>
          <w:color w:val="231F20"/>
          <w:sz w:val="21"/>
        </w:rPr>
        <w:t>військовослужбовців;</w:t>
      </w:r>
    </w:p>
    <w:p w14:paraId="783A49E5" w14:textId="77777777" w:rsidR="00DE575E" w:rsidRDefault="002E7560">
      <w:pPr>
        <w:pStyle w:val="ListParagraph"/>
        <w:numPr>
          <w:ilvl w:val="1"/>
          <w:numId w:val="29"/>
        </w:numPr>
        <w:tabs>
          <w:tab w:val="left" w:pos="1101"/>
        </w:tabs>
        <w:spacing w:before="10"/>
        <w:ind w:firstLine="284"/>
        <w:rPr>
          <w:sz w:val="21"/>
        </w:rPr>
      </w:pPr>
      <w:r>
        <w:rPr>
          <w:color w:val="231F20"/>
          <w:sz w:val="21"/>
        </w:rPr>
        <w:t>конфіскація</w:t>
      </w:r>
      <w:r>
        <w:rPr>
          <w:color w:val="231F20"/>
          <w:spacing w:val="-1"/>
          <w:sz w:val="21"/>
        </w:rPr>
        <w:t xml:space="preserve"> </w:t>
      </w:r>
      <w:r>
        <w:rPr>
          <w:color w:val="231F20"/>
          <w:sz w:val="21"/>
        </w:rPr>
        <w:t>майна;</w:t>
      </w:r>
    </w:p>
    <w:p w14:paraId="6F31C382" w14:textId="77777777" w:rsidR="00DE575E" w:rsidRDefault="002E7560">
      <w:pPr>
        <w:pStyle w:val="ListParagraph"/>
        <w:numPr>
          <w:ilvl w:val="1"/>
          <w:numId w:val="29"/>
        </w:numPr>
        <w:tabs>
          <w:tab w:val="left" w:pos="1101"/>
        </w:tabs>
        <w:spacing w:before="9"/>
        <w:ind w:firstLine="284"/>
        <w:rPr>
          <w:sz w:val="21"/>
        </w:rPr>
      </w:pPr>
      <w:r>
        <w:rPr>
          <w:color w:val="231F20"/>
          <w:sz w:val="21"/>
        </w:rPr>
        <w:t>арешт;</w:t>
      </w:r>
    </w:p>
    <w:p w14:paraId="63265307" w14:textId="77777777" w:rsidR="00DE575E" w:rsidRDefault="002E7560">
      <w:pPr>
        <w:pStyle w:val="ListParagraph"/>
        <w:numPr>
          <w:ilvl w:val="1"/>
          <w:numId w:val="29"/>
        </w:numPr>
        <w:tabs>
          <w:tab w:val="left" w:pos="1101"/>
        </w:tabs>
        <w:spacing w:before="10"/>
        <w:ind w:firstLine="284"/>
        <w:rPr>
          <w:sz w:val="21"/>
        </w:rPr>
      </w:pPr>
      <w:r>
        <w:rPr>
          <w:color w:val="231F20"/>
          <w:sz w:val="21"/>
        </w:rPr>
        <w:t>обмеження</w:t>
      </w:r>
      <w:r>
        <w:rPr>
          <w:color w:val="231F20"/>
          <w:spacing w:val="-2"/>
          <w:sz w:val="21"/>
        </w:rPr>
        <w:t xml:space="preserve"> </w:t>
      </w:r>
      <w:r>
        <w:rPr>
          <w:color w:val="231F20"/>
          <w:sz w:val="21"/>
        </w:rPr>
        <w:t>волі;</w:t>
      </w:r>
    </w:p>
    <w:p w14:paraId="504C16AC" w14:textId="77777777" w:rsidR="00DE575E" w:rsidRDefault="002E7560">
      <w:pPr>
        <w:pStyle w:val="ListParagraph"/>
        <w:numPr>
          <w:ilvl w:val="1"/>
          <w:numId w:val="29"/>
        </w:numPr>
        <w:tabs>
          <w:tab w:val="left" w:pos="1254"/>
        </w:tabs>
        <w:spacing w:before="10" w:line="249" w:lineRule="auto"/>
        <w:ind w:right="128" w:firstLine="284"/>
        <w:jc w:val="both"/>
        <w:rPr>
          <w:sz w:val="21"/>
        </w:rPr>
      </w:pPr>
      <w:r>
        <w:rPr>
          <w:color w:val="231F20"/>
          <w:sz w:val="21"/>
        </w:rPr>
        <w:t>тримання в дисциплінарному батальйоні військовослуж- бовців;</w:t>
      </w:r>
    </w:p>
    <w:p w14:paraId="120EAA3D" w14:textId="1EA7875F" w:rsidR="00DE575E" w:rsidRDefault="002E7560">
      <w:pPr>
        <w:pStyle w:val="BodyText"/>
        <w:rPr>
          <w:sz w:val="20"/>
        </w:rPr>
      </w:pPr>
      <w:r>
        <w:rPr>
          <w:noProof/>
        </w:rPr>
        <mc:AlternateContent>
          <mc:Choice Requires="wps">
            <w:drawing>
              <wp:anchor distT="0" distB="0" distL="0" distR="0" simplePos="0" relativeHeight="18520" behindDoc="0" locked="0" layoutInCell="1" allowOverlap="1" wp14:anchorId="0F15A93D" wp14:editId="1FF54011">
                <wp:simplePos x="0" y="0"/>
                <wp:positionH relativeFrom="page">
                  <wp:posOffset>719455</wp:posOffset>
                </wp:positionH>
                <wp:positionV relativeFrom="paragraph">
                  <wp:posOffset>177165</wp:posOffset>
                </wp:positionV>
                <wp:extent cx="1080135" cy="0"/>
                <wp:effectExtent l="8255" t="12065" r="29210" b="26035"/>
                <wp:wrapTopAndBottom/>
                <wp:docPr id="19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1390" id="Line_x0020_194" o:spid="_x0000_s1026" style="position:absolute;z-index:18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95pt" to="141.7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t3yCE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" strokecolor="#231f20" strokeweight=".5pt">
                <w10:wrap type="topAndBottom" anchorx="page"/>
              </v:line>
            </w:pict>
          </mc:Fallback>
        </mc:AlternateContent>
      </w:r>
    </w:p>
    <w:p w14:paraId="57A5B343" w14:textId="77777777" w:rsidR="00DE575E" w:rsidRDefault="002E7560">
      <w:pPr>
        <w:spacing w:line="204" w:lineRule="auto"/>
        <w:ind w:left="533"/>
        <w:rPr>
          <w:sz w:val="16"/>
        </w:rPr>
      </w:pPr>
      <w:r>
        <w:rPr>
          <w:color w:val="231F20"/>
          <w:position w:val="5"/>
          <w:sz w:val="9"/>
        </w:rPr>
        <w:t xml:space="preserve">1 </w:t>
      </w:r>
      <w:r>
        <w:rPr>
          <w:color w:val="231F20"/>
          <w:sz w:val="16"/>
        </w:rPr>
        <w:t>Про внесення змін до деяких законодавчих актів України щодо спрощення досудового розслідування окремих категорій кримінальних правопорушень: Закон України.</w:t>
      </w:r>
    </w:p>
    <w:p w14:paraId="0ADAE7A9" w14:textId="77777777" w:rsidR="00DE575E" w:rsidRDefault="00DE575E">
      <w:pPr>
        <w:pStyle w:val="BodyText"/>
        <w:spacing w:before="1"/>
        <w:rPr>
          <w:sz w:val="12"/>
        </w:rPr>
      </w:pPr>
    </w:p>
    <w:p w14:paraId="0AF5FB77" w14:textId="77777777" w:rsidR="00DE575E" w:rsidRDefault="002E7560">
      <w:pPr>
        <w:spacing w:before="92"/>
        <w:ind w:left="533"/>
        <w:rPr>
          <w:rFonts w:ascii="Times New Roman"/>
          <w:sz w:val="20"/>
        </w:rPr>
      </w:pPr>
      <w:r>
        <w:rPr>
          <w:rFonts w:ascii="Times New Roman"/>
          <w:color w:val="231F20"/>
          <w:sz w:val="20"/>
        </w:rPr>
        <w:t>486</w:t>
      </w:r>
    </w:p>
    <w:p w14:paraId="19BCB922" w14:textId="77777777" w:rsidR="00DE575E" w:rsidRDefault="00DE575E">
      <w:pPr>
        <w:rPr>
          <w:rFonts w:ascii="Times New Roman"/>
          <w:sz w:val="20"/>
        </w:rPr>
        <w:sectPr w:rsidR="00DE575E">
          <w:pgSz w:w="8510" w:h="12760"/>
          <w:pgMar w:top="660" w:right="720" w:bottom="280" w:left="600" w:header="720" w:footer="720" w:gutter="0"/>
          <w:cols w:space="720"/>
        </w:sectPr>
      </w:pPr>
    </w:p>
    <w:p w14:paraId="781709F7" w14:textId="77777777" w:rsidR="00DE575E" w:rsidRDefault="002E7560">
      <w:pPr>
        <w:spacing w:before="72" w:line="249" w:lineRule="auto"/>
        <w:ind w:left="3253" w:right="392" w:hanging="561"/>
        <w:rPr>
          <w:rFonts w:ascii="AdonisC" w:hAnsi="AdonisC"/>
          <w:i/>
          <w:sz w:val="18"/>
        </w:rPr>
      </w:pPr>
      <w:r>
        <w:rPr>
          <w:rFonts w:ascii="AdonisC" w:hAnsi="AdonisC"/>
          <w:i/>
          <w:color w:val="231F20"/>
          <w:sz w:val="18"/>
        </w:rPr>
        <w:t>Глава ІІ Особливе адміністративне право/ Книга ІІ Розділ 2. Адміністративне правопорушення</w:t>
      </w:r>
    </w:p>
    <w:p w14:paraId="26E646E9" w14:textId="7CCF4AC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D0A313F" wp14:editId="73682138">
                <wp:extent cx="4140200" cy="6350"/>
                <wp:effectExtent l="0" t="0" r="12700" b="6350"/>
                <wp:docPr id="19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94" name="Line 19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CE1D9" id="Group_x0020_19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F3lFYn4CAACYBQAADgAA&#10;AAAAAAAAAAAAAAAsAgAAZHJzL2Uyb0RvYy54bWxQSwECLQAUAAYACAAAACEATKewkNkAAAADAQAA&#10;DwAAAAAAAAAAAAAAAADWBAAAZHJzL2Rvd25yZXYueG1sUEsFBgAAAAAEAAQA8wAAANwFAAAAAA==&#10;">
                <v:line id="Line_x0020_19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Xa8cQAAADcAAAADwAAAGRycy9kb3ducmV2LnhtbERP22rCQBB9L/gPywh9KbqpFtHoKlIQ&#10;Sh+8xQ8Ys2MS3J2N2dWk/fpuodC3OZzrLFadNeJBja8cK3gdJiCIc6crLhScss1gCsIHZI3GMSn4&#10;Ig+rZe9pgal2LR/ocQyFiCHsU1RQhlCnUvq8JIt+6GriyF1cYzFE2BRSN9jGcGvkKEkm0mLFsaHE&#10;mt5Lyq/Hu1WQ3V6C2e8+TZvtzmN5vm3H3/etUs/9bj0HEagL/+I/94eO82dv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tdrxxAAAANwAAAAPAAAAAAAAAAAA&#10;AAAAAKECAABkcnMvZG93bnJldi54bWxQSwUGAAAAAAQABAD5AAAAkgMAAAAA&#10;" strokecolor="#231f20" strokeweight=".5pt"/>
                <w10:anchorlock/>
              </v:group>
            </w:pict>
          </mc:Fallback>
        </mc:AlternateContent>
      </w:r>
    </w:p>
    <w:p w14:paraId="6B3B2DFC" w14:textId="77777777" w:rsidR="00DE575E" w:rsidRDefault="00DE575E">
      <w:pPr>
        <w:pStyle w:val="BodyText"/>
        <w:spacing w:before="7"/>
        <w:rPr>
          <w:rFonts w:ascii="AdonisC"/>
          <w:i/>
          <w:sz w:val="19"/>
        </w:rPr>
      </w:pPr>
    </w:p>
    <w:p w14:paraId="5860187A" w14:textId="77777777" w:rsidR="00DE575E" w:rsidRDefault="002E7560">
      <w:pPr>
        <w:pStyle w:val="ListParagraph"/>
        <w:numPr>
          <w:ilvl w:val="0"/>
          <w:numId w:val="28"/>
        </w:numPr>
        <w:tabs>
          <w:tab w:val="left" w:pos="971"/>
        </w:tabs>
        <w:rPr>
          <w:sz w:val="21"/>
        </w:rPr>
      </w:pPr>
      <w:r>
        <w:rPr>
          <w:color w:val="231F20"/>
          <w:sz w:val="21"/>
        </w:rPr>
        <w:t>позбавлення волі на певний</w:t>
      </w:r>
      <w:r>
        <w:rPr>
          <w:color w:val="231F20"/>
          <w:spacing w:val="-2"/>
          <w:sz w:val="21"/>
        </w:rPr>
        <w:t xml:space="preserve"> </w:t>
      </w:r>
      <w:r>
        <w:rPr>
          <w:color w:val="231F20"/>
          <w:sz w:val="21"/>
        </w:rPr>
        <w:t>строк;</w:t>
      </w:r>
    </w:p>
    <w:p w14:paraId="7997EAF1" w14:textId="77777777" w:rsidR="00DE575E" w:rsidRDefault="002E7560">
      <w:pPr>
        <w:pStyle w:val="ListParagraph"/>
        <w:numPr>
          <w:ilvl w:val="0"/>
          <w:numId w:val="28"/>
        </w:numPr>
        <w:tabs>
          <w:tab w:val="left" w:pos="971"/>
        </w:tabs>
        <w:spacing w:before="5"/>
        <w:rPr>
          <w:sz w:val="21"/>
        </w:rPr>
      </w:pPr>
      <w:r>
        <w:rPr>
          <w:color w:val="231F20"/>
          <w:sz w:val="21"/>
        </w:rPr>
        <w:t>довічне позбавлення</w:t>
      </w:r>
      <w:r>
        <w:rPr>
          <w:color w:val="231F20"/>
          <w:spacing w:val="-9"/>
          <w:sz w:val="21"/>
        </w:rPr>
        <w:t xml:space="preserve"> </w:t>
      </w:r>
      <w:r>
        <w:rPr>
          <w:color w:val="231F20"/>
          <w:sz w:val="21"/>
        </w:rPr>
        <w:t>волі.</w:t>
      </w:r>
    </w:p>
    <w:p w14:paraId="541D0B99" w14:textId="77777777" w:rsidR="00DE575E" w:rsidRDefault="002E7560">
      <w:pPr>
        <w:pStyle w:val="BodyText"/>
        <w:spacing w:before="6" w:line="244" w:lineRule="auto"/>
        <w:ind w:left="250" w:right="411" w:firstLine="283"/>
        <w:jc w:val="both"/>
      </w:pPr>
      <w:r>
        <w:rPr>
          <w:color w:val="231F20"/>
        </w:rPr>
        <w:t xml:space="preserve">Згідно зі </w:t>
      </w:r>
      <w:r>
        <w:rPr>
          <w:color w:val="231F20"/>
          <w:spacing w:val="-6"/>
        </w:rPr>
        <w:t xml:space="preserve">ст. </w:t>
      </w:r>
      <w:r>
        <w:rPr>
          <w:color w:val="231F20"/>
        </w:rPr>
        <w:t xml:space="preserve">23 </w:t>
      </w:r>
      <w:r>
        <w:rPr>
          <w:color w:val="231F20"/>
          <w:spacing w:val="-3"/>
        </w:rPr>
        <w:t xml:space="preserve">КУпАП </w:t>
      </w:r>
      <w:r>
        <w:rPr>
          <w:color w:val="231F20"/>
        </w:rPr>
        <w:t xml:space="preserve">адміністративне стягнення є мірою відпо- відальності й застосовується з метою виховання правопорушника   і попередження правопорушень. </w:t>
      </w:r>
      <w:r>
        <w:rPr>
          <w:color w:val="231F20"/>
          <w:spacing w:val="-5"/>
        </w:rPr>
        <w:t>Т</w:t>
      </w:r>
      <w:r>
        <w:rPr>
          <w:color w:val="231F20"/>
          <w:spacing w:val="-5"/>
        </w:rPr>
        <w:t xml:space="preserve">ому </w:t>
      </w:r>
      <w:r>
        <w:rPr>
          <w:color w:val="231F20"/>
        </w:rPr>
        <w:t xml:space="preserve">заборонні норми КпАП сфор- мульовано таким чином, що карається саме правопорушення, а не винна особа, до якої застосовується покарання. Згідно з ККУ пока- рання є заходом </w:t>
      </w:r>
      <w:r>
        <w:rPr>
          <w:color w:val="231F20"/>
          <w:spacing w:val="-3"/>
        </w:rPr>
        <w:t xml:space="preserve">примусу, </w:t>
      </w:r>
      <w:r>
        <w:rPr>
          <w:color w:val="231F20"/>
        </w:rPr>
        <w:t xml:space="preserve">що застосовується від імені держави за вироком </w:t>
      </w:r>
      <w:r>
        <w:rPr>
          <w:color w:val="231F20"/>
          <w:spacing w:val="-4"/>
        </w:rPr>
        <w:t xml:space="preserve">суду </w:t>
      </w:r>
      <w:r>
        <w:rPr>
          <w:color w:val="231F20"/>
        </w:rPr>
        <w:t>до особи, визнаної в</w:t>
      </w:r>
      <w:r>
        <w:rPr>
          <w:color w:val="231F20"/>
        </w:rPr>
        <w:t xml:space="preserve">инною в учиненні </w:t>
      </w:r>
      <w:r>
        <w:rPr>
          <w:color w:val="231F20"/>
          <w:spacing w:val="-3"/>
        </w:rPr>
        <w:t xml:space="preserve">злочину, </w:t>
      </w:r>
      <w:r>
        <w:rPr>
          <w:color w:val="231F20"/>
        </w:rPr>
        <w:t xml:space="preserve">і поля- гає в передбаченому законом обмеженні прав і свобод засудженого. Покарання має на меті не тільки </w:t>
      </w:r>
      <w:r>
        <w:rPr>
          <w:color w:val="231F20"/>
          <w:spacing w:val="-5"/>
        </w:rPr>
        <w:t xml:space="preserve">кару, </w:t>
      </w:r>
      <w:r>
        <w:rPr>
          <w:color w:val="231F20"/>
        </w:rPr>
        <w:t>а й виправлення засуджених, а також запобігання вчиненню нових злочинів як засудженими,  так й іншими особами. Покаранн</w:t>
      </w:r>
      <w:r>
        <w:rPr>
          <w:color w:val="231F20"/>
        </w:rPr>
        <w:t>я не має на меті завдати фізичних страждань або принизити людську</w:t>
      </w:r>
      <w:r>
        <w:rPr>
          <w:color w:val="231F20"/>
          <w:spacing w:val="-4"/>
        </w:rPr>
        <w:t xml:space="preserve"> </w:t>
      </w:r>
      <w:r>
        <w:rPr>
          <w:color w:val="231F20"/>
        </w:rPr>
        <w:t>гідність.</w:t>
      </w:r>
    </w:p>
    <w:p w14:paraId="7952C3B8" w14:textId="77777777" w:rsidR="00DE575E" w:rsidRDefault="002E7560">
      <w:pPr>
        <w:pStyle w:val="BodyText"/>
        <w:spacing w:before="11" w:line="244" w:lineRule="auto"/>
        <w:ind w:left="250" w:right="411" w:firstLine="283"/>
        <w:jc w:val="both"/>
      </w:pPr>
      <w:r>
        <w:rPr>
          <w:color w:val="231F20"/>
        </w:rPr>
        <w:t xml:space="preserve">Ще одна характерна ознака полягає в </w:t>
      </w:r>
      <w:r>
        <w:rPr>
          <w:color w:val="231F20"/>
          <w:spacing w:val="-4"/>
        </w:rPr>
        <w:t xml:space="preserve">тому, </w:t>
      </w:r>
      <w:r>
        <w:rPr>
          <w:color w:val="231F20"/>
        </w:rPr>
        <w:t xml:space="preserve">що кримінальні справи розглядають тільки </w:t>
      </w:r>
      <w:r>
        <w:rPr>
          <w:color w:val="231F20"/>
          <w:spacing w:val="-3"/>
        </w:rPr>
        <w:t xml:space="preserve">суди, </w:t>
      </w:r>
      <w:r>
        <w:rPr>
          <w:color w:val="231F20"/>
        </w:rPr>
        <w:t xml:space="preserve">і лише </w:t>
      </w:r>
      <w:r>
        <w:rPr>
          <w:color w:val="231F20"/>
          <w:spacing w:val="-4"/>
        </w:rPr>
        <w:t xml:space="preserve">суд  </w:t>
      </w:r>
      <w:r>
        <w:rPr>
          <w:color w:val="231F20"/>
        </w:rPr>
        <w:t>визначає і призначає  те чи інше покарання за злочин. Право розглядати адмініст</w:t>
      </w:r>
      <w:r>
        <w:rPr>
          <w:color w:val="231F20"/>
        </w:rPr>
        <w:t xml:space="preserve">ративні справи </w:t>
      </w:r>
      <w:r>
        <w:rPr>
          <w:color w:val="231F20"/>
          <w:spacing w:val="-3"/>
        </w:rPr>
        <w:t xml:space="preserve">КУпАП </w:t>
      </w:r>
      <w:r>
        <w:rPr>
          <w:color w:val="231F20"/>
        </w:rPr>
        <w:t xml:space="preserve">надає понад 30 </w:t>
      </w:r>
      <w:r>
        <w:rPr>
          <w:color w:val="231F20"/>
          <w:spacing w:val="-3"/>
        </w:rPr>
        <w:t xml:space="preserve">суб’єктам </w:t>
      </w:r>
      <w:r>
        <w:rPr>
          <w:color w:val="231F20"/>
        </w:rPr>
        <w:t>(статті 218 –</w:t>
      </w:r>
      <w:r>
        <w:rPr>
          <w:color w:val="231F20"/>
          <w:spacing w:val="1"/>
        </w:rPr>
        <w:t xml:space="preserve"> </w:t>
      </w:r>
      <w:r>
        <w:rPr>
          <w:color w:val="231F20"/>
        </w:rPr>
        <w:t>244-21).</w:t>
      </w:r>
    </w:p>
    <w:p w14:paraId="772B738F" w14:textId="77777777" w:rsidR="00DE575E" w:rsidRDefault="002E7560">
      <w:pPr>
        <w:pStyle w:val="BodyText"/>
        <w:spacing w:before="3" w:line="244" w:lineRule="auto"/>
        <w:ind w:left="250" w:right="412" w:firstLine="283"/>
        <w:jc w:val="both"/>
      </w:pPr>
      <w:r>
        <w:rPr>
          <w:color w:val="231F20"/>
        </w:rPr>
        <w:t>Правопорушення і злочин розрізняються також за способом скоєння діяння, формою провини, мотивом правопорушення та іншими ознаками.</w:t>
      </w:r>
    </w:p>
    <w:p w14:paraId="58FD2FC1" w14:textId="77777777" w:rsidR="00DE575E" w:rsidRDefault="002E7560">
      <w:pPr>
        <w:pStyle w:val="BodyText"/>
        <w:spacing w:before="3" w:line="244" w:lineRule="auto"/>
        <w:ind w:left="250" w:right="411" w:firstLine="283"/>
        <w:jc w:val="both"/>
      </w:pPr>
      <w:r>
        <w:rPr>
          <w:color w:val="231F20"/>
        </w:rPr>
        <w:t>Кримінальні правопорушення поділяються на кримінальні пр</w:t>
      </w:r>
      <w:r>
        <w:rPr>
          <w:color w:val="231F20"/>
        </w:rPr>
        <w:t xml:space="preserve">оступки і злочини. </w:t>
      </w:r>
      <w:r>
        <w:rPr>
          <w:b/>
          <w:i/>
          <w:color w:val="231F20"/>
        </w:rPr>
        <w:t xml:space="preserve">Кримінальним проступком </w:t>
      </w:r>
      <w:r>
        <w:rPr>
          <w:color w:val="231F20"/>
        </w:rPr>
        <w:t xml:space="preserve">є передбачене Кримінальним кодексом </w:t>
      </w:r>
      <w:r>
        <w:rPr>
          <w:color w:val="231F20"/>
          <w:spacing w:val="-3"/>
        </w:rPr>
        <w:t xml:space="preserve">України </w:t>
      </w:r>
      <w:r>
        <w:rPr>
          <w:color w:val="231F20"/>
        </w:rPr>
        <w:t xml:space="preserve">діяння (дія чи бездіяльність), за вчинення якого передбачено основне покарання у формі штрафу    в розмірі не більше трьох тисяч неоподаткованих мінімумів </w:t>
      </w:r>
      <w:r>
        <w:rPr>
          <w:color w:val="231F20"/>
          <w:spacing w:val="-3"/>
        </w:rPr>
        <w:t xml:space="preserve">доходів </w:t>
      </w:r>
      <w:r>
        <w:rPr>
          <w:color w:val="231F20"/>
        </w:rPr>
        <w:t>громад</w:t>
      </w:r>
      <w:r>
        <w:rPr>
          <w:color w:val="231F20"/>
        </w:rPr>
        <w:t>ян або інше покарання, не пов’язане з позбавленням</w:t>
      </w:r>
      <w:r>
        <w:rPr>
          <w:color w:val="231F20"/>
          <w:spacing w:val="-7"/>
        </w:rPr>
        <w:t xml:space="preserve"> </w:t>
      </w:r>
      <w:r>
        <w:rPr>
          <w:color w:val="231F20"/>
        </w:rPr>
        <w:t>волі.</w:t>
      </w:r>
    </w:p>
    <w:p w14:paraId="041DF43B" w14:textId="77777777" w:rsidR="00DE575E" w:rsidRDefault="002E7560">
      <w:pPr>
        <w:pStyle w:val="BodyText"/>
        <w:spacing w:before="5"/>
        <w:ind w:left="533"/>
      </w:pPr>
      <w:r>
        <w:rPr>
          <w:b/>
          <w:i/>
          <w:color w:val="231F20"/>
        </w:rPr>
        <w:t xml:space="preserve">Злочини </w:t>
      </w:r>
      <w:r>
        <w:rPr>
          <w:color w:val="231F20"/>
        </w:rPr>
        <w:t>поділяються на нетяжкі, тяжкі та особливо тяжкі:</w:t>
      </w:r>
    </w:p>
    <w:p w14:paraId="0C2F2B3E" w14:textId="77777777" w:rsidR="00DE575E" w:rsidRDefault="002E7560">
      <w:pPr>
        <w:pStyle w:val="ListParagraph"/>
        <w:numPr>
          <w:ilvl w:val="0"/>
          <w:numId w:val="27"/>
        </w:numPr>
        <w:tabs>
          <w:tab w:val="left" w:pos="818"/>
        </w:tabs>
        <w:spacing w:before="6" w:line="244" w:lineRule="auto"/>
        <w:ind w:right="410" w:firstLine="283"/>
        <w:rPr>
          <w:sz w:val="21"/>
        </w:rPr>
      </w:pPr>
      <w:r>
        <w:rPr>
          <w:i/>
          <w:color w:val="231F20"/>
          <w:sz w:val="21"/>
        </w:rPr>
        <w:t xml:space="preserve">нетяжким </w:t>
      </w:r>
      <w:r>
        <w:rPr>
          <w:color w:val="231F20"/>
          <w:sz w:val="21"/>
        </w:rPr>
        <w:t xml:space="preserve">злочином є передбачене цим </w:t>
      </w:r>
      <w:r>
        <w:rPr>
          <w:color w:val="231F20"/>
          <w:spacing w:val="-3"/>
          <w:sz w:val="21"/>
        </w:rPr>
        <w:t xml:space="preserve">Кодексом </w:t>
      </w:r>
      <w:r>
        <w:rPr>
          <w:color w:val="231F20"/>
          <w:sz w:val="21"/>
        </w:rPr>
        <w:t xml:space="preserve">діяння (дія чи бездіяльність), за вчинення якого передбачене основне пока- рання у вигляді штрафу в розмірі не більше десяти тисяч неопо- датковуваних мінімумів </w:t>
      </w:r>
      <w:r>
        <w:rPr>
          <w:color w:val="231F20"/>
          <w:spacing w:val="-3"/>
          <w:sz w:val="21"/>
        </w:rPr>
        <w:t xml:space="preserve">доходів </w:t>
      </w:r>
      <w:r>
        <w:rPr>
          <w:color w:val="231F20"/>
          <w:sz w:val="21"/>
        </w:rPr>
        <w:t>громадян або позбавлення волі на строк не більше п’яти</w:t>
      </w:r>
      <w:r>
        <w:rPr>
          <w:color w:val="231F20"/>
          <w:spacing w:val="-3"/>
          <w:sz w:val="21"/>
        </w:rPr>
        <w:t xml:space="preserve"> </w:t>
      </w:r>
      <w:r>
        <w:rPr>
          <w:color w:val="231F20"/>
          <w:sz w:val="21"/>
        </w:rPr>
        <w:t>років;</w:t>
      </w:r>
    </w:p>
    <w:p w14:paraId="089A98A8" w14:textId="77777777" w:rsidR="00DE575E" w:rsidRDefault="002E7560">
      <w:pPr>
        <w:pStyle w:val="ListParagraph"/>
        <w:numPr>
          <w:ilvl w:val="0"/>
          <w:numId w:val="27"/>
        </w:numPr>
        <w:tabs>
          <w:tab w:val="left" w:pos="818"/>
        </w:tabs>
        <w:spacing w:before="4" w:line="244" w:lineRule="auto"/>
        <w:ind w:right="410" w:firstLine="283"/>
        <w:rPr>
          <w:sz w:val="21"/>
        </w:rPr>
      </w:pPr>
      <w:r>
        <w:rPr>
          <w:i/>
          <w:color w:val="231F20"/>
          <w:sz w:val="21"/>
        </w:rPr>
        <w:t xml:space="preserve">тяжким </w:t>
      </w:r>
      <w:r>
        <w:rPr>
          <w:color w:val="231F20"/>
          <w:sz w:val="21"/>
        </w:rPr>
        <w:t>злочином  є  перед</w:t>
      </w:r>
      <w:r>
        <w:rPr>
          <w:color w:val="231F20"/>
          <w:sz w:val="21"/>
        </w:rPr>
        <w:t xml:space="preserve">бачене  Кримінальним  кодек-  сом діяння (дія чи бездіяльність), за вчинення якого передбачене основне покарання у вигляді штрафу в розмірі не більше двадцяти п’яти тисяч неоподатковуваних мінімумів </w:t>
      </w:r>
      <w:r>
        <w:rPr>
          <w:color w:val="231F20"/>
          <w:spacing w:val="-3"/>
          <w:sz w:val="21"/>
        </w:rPr>
        <w:t xml:space="preserve">доходів </w:t>
      </w:r>
      <w:r>
        <w:rPr>
          <w:color w:val="231F20"/>
          <w:sz w:val="21"/>
        </w:rPr>
        <w:t xml:space="preserve">громадян або позбавлення волі на строк не більше </w:t>
      </w:r>
      <w:r>
        <w:rPr>
          <w:color w:val="231F20"/>
          <w:sz w:val="21"/>
        </w:rPr>
        <w:t>десяти</w:t>
      </w:r>
      <w:r>
        <w:rPr>
          <w:color w:val="231F20"/>
          <w:spacing w:val="-7"/>
          <w:sz w:val="21"/>
        </w:rPr>
        <w:t xml:space="preserve"> </w:t>
      </w:r>
      <w:r>
        <w:rPr>
          <w:color w:val="231F20"/>
          <w:sz w:val="21"/>
        </w:rPr>
        <w:t>років;</w:t>
      </w:r>
    </w:p>
    <w:p w14:paraId="2DDF222D" w14:textId="77777777" w:rsidR="00DE575E" w:rsidRDefault="002E7560">
      <w:pPr>
        <w:pStyle w:val="ListParagraph"/>
        <w:numPr>
          <w:ilvl w:val="0"/>
          <w:numId w:val="27"/>
        </w:numPr>
        <w:tabs>
          <w:tab w:val="left" w:pos="818"/>
        </w:tabs>
        <w:spacing w:before="5" w:line="252" w:lineRule="auto"/>
        <w:ind w:right="411" w:firstLine="283"/>
        <w:rPr>
          <w:sz w:val="21"/>
        </w:rPr>
      </w:pPr>
      <w:r>
        <w:rPr>
          <w:i/>
          <w:color w:val="231F20"/>
          <w:spacing w:val="-5"/>
          <w:sz w:val="21"/>
        </w:rPr>
        <w:t xml:space="preserve">особливо тяжким </w:t>
      </w:r>
      <w:r>
        <w:rPr>
          <w:color w:val="231F20"/>
          <w:spacing w:val="-5"/>
          <w:sz w:val="21"/>
        </w:rPr>
        <w:t xml:space="preserve">злочином </w:t>
      </w:r>
      <w:r>
        <w:rPr>
          <w:color w:val="231F20"/>
          <w:sz w:val="21"/>
        </w:rPr>
        <w:t xml:space="preserve">є </w:t>
      </w:r>
      <w:r>
        <w:rPr>
          <w:color w:val="231F20"/>
          <w:spacing w:val="-5"/>
          <w:sz w:val="21"/>
        </w:rPr>
        <w:t xml:space="preserve">передбачене Кримінальним </w:t>
      </w:r>
      <w:r>
        <w:rPr>
          <w:color w:val="231F20"/>
          <w:spacing w:val="-6"/>
          <w:sz w:val="21"/>
        </w:rPr>
        <w:t xml:space="preserve">кодек- </w:t>
      </w:r>
      <w:r>
        <w:rPr>
          <w:color w:val="231F20"/>
          <w:spacing w:val="-4"/>
          <w:sz w:val="21"/>
        </w:rPr>
        <w:t xml:space="preserve">сом </w:t>
      </w:r>
      <w:r>
        <w:rPr>
          <w:color w:val="231F20"/>
          <w:spacing w:val="-5"/>
          <w:sz w:val="21"/>
        </w:rPr>
        <w:t xml:space="preserve">діяння </w:t>
      </w:r>
      <w:r>
        <w:rPr>
          <w:color w:val="231F20"/>
          <w:spacing w:val="-4"/>
          <w:sz w:val="21"/>
        </w:rPr>
        <w:t xml:space="preserve">(дія </w:t>
      </w:r>
      <w:r>
        <w:rPr>
          <w:color w:val="231F20"/>
          <w:spacing w:val="-3"/>
          <w:sz w:val="21"/>
        </w:rPr>
        <w:t xml:space="preserve">чи </w:t>
      </w:r>
      <w:r>
        <w:rPr>
          <w:color w:val="231F20"/>
          <w:spacing w:val="-5"/>
          <w:sz w:val="21"/>
        </w:rPr>
        <w:t xml:space="preserve">бездіяльність), </w:t>
      </w:r>
      <w:r>
        <w:rPr>
          <w:color w:val="231F20"/>
          <w:spacing w:val="-3"/>
          <w:sz w:val="21"/>
        </w:rPr>
        <w:t xml:space="preserve">за </w:t>
      </w:r>
      <w:r>
        <w:rPr>
          <w:color w:val="231F20"/>
          <w:spacing w:val="-5"/>
          <w:sz w:val="21"/>
        </w:rPr>
        <w:t xml:space="preserve">вчинення </w:t>
      </w:r>
      <w:r>
        <w:rPr>
          <w:color w:val="231F20"/>
          <w:spacing w:val="-4"/>
          <w:sz w:val="21"/>
        </w:rPr>
        <w:t>якого</w:t>
      </w:r>
      <w:r>
        <w:rPr>
          <w:color w:val="231F20"/>
          <w:spacing w:val="-14"/>
          <w:sz w:val="21"/>
        </w:rPr>
        <w:t xml:space="preserve"> </w:t>
      </w:r>
      <w:r>
        <w:rPr>
          <w:color w:val="231F20"/>
          <w:spacing w:val="-6"/>
          <w:sz w:val="21"/>
        </w:rPr>
        <w:t>передбачене</w:t>
      </w:r>
    </w:p>
    <w:p w14:paraId="642ED437" w14:textId="77777777" w:rsidR="00DE575E" w:rsidRDefault="00DE575E">
      <w:pPr>
        <w:pStyle w:val="BodyText"/>
        <w:rPr>
          <w:sz w:val="13"/>
        </w:rPr>
      </w:pPr>
    </w:p>
    <w:p w14:paraId="739020D6" w14:textId="77777777" w:rsidR="00DE575E" w:rsidRDefault="002E7560">
      <w:pPr>
        <w:spacing w:before="92"/>
        <w:ind w:right="411"/>
        <w:jc w:val="right"/>
        <w:rPr>
          <w:rFonts w:ascii="Times New Roman"/>
          <w:sz w:val="20"/>
        </w:rPr>
      </w:pPr>
      <w:r>
        <w:rPr>
          <w:rFonts w:ascii="Times New Roman"/>
          <w:color w:val="231F20"/>
          <w:w w:val="90"/>
          <w:sz w:val="20"/>
        </w:rPr>
        <w:t>487</w:t>
      </w:r>
    </w:p>
    <w:p w14:paraId="7B48B04B"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EA0258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0CBB43B" w14:textId="4DBCEA9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470A079" wp14:editId="08234FE6">
                <wp:extent cx="4140200" cy="6350"/>
                <wp:effectExtent l="0" t="0" r="12700" b="6350"/>
                <wp:docPr id="19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92" name="Line 19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84D63F" id="Group_x0020_19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jCZI3H4CAACYBQAADgAA&#10;AAAAAAAAAAAAAAAsAgAAZHJzL2Uyb0RvYy54bWxQSwECLQAUAAYACAAAACEATKewkNkAAAADAQAA&#10;DwAAAAAAAAAAAAAAAADWBAAAZHJzL2Rvd25yZXYueG1sUEsFBgAAAAAEAAQA8wAAANwFAAAAAA==&#10;">
                <v:line id="Line_x0020_19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DnHsMAAADcAAAADwAAAGRycy9kb3ducmV2LnhtbERP22rCQBB9L/gPyxT6InWjgtjoKiIU&#10;Sh+8xQ8Ys2MSujsbs6uJfn23IPRtDuc682VnjbhR4yvHCoaDBARx7nTFhYJj9vk+BeEDskbjmBTc&#10;ycNy0XuZY6pdy3u6HUIhYgj7FBWUIdSplD4vyaIfuJo4cmfXWAwRNoXUDbYx3Bo5SpKJtFhxbCix&#10;pnVJ+c/hahVkl34wu+23abPtaSxPl834cd0o9fbarWYgAnXhX/x0f+k4/2MEf8/EC+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AQ5x7DAAAA3AAAAA8AAAAAAAAAAAAA&#10;AAAAoQIAAGRycy9kb3ducmV2LnhtbFBLBQYAAAAABAAEAPkAAACRAwAAAAA=&#10;" strokecolor="#231f20" strokeweight=".5pt"/>
                <w10:anchorlock/>
              </v:group>
            </w:pict>
          </mc:Fallback>
        </mc:AlternateContent>
      </w:r>
    </w:p>
    <w:p w14:paraId="31CE2AA1" w14:textId="77777777" w:rsidR="00DE575E" w:rsidRDefault="00DE575E">
      <w:pPr>
        <w:pStyle w:val="BodyText"/>
        <w:spacing w:before="7"/>
        <w:rPr>
          <w:rFonts w:ascii="AdonisC"/>
          <w:i/>
          <w:sz w:val="11"/>
        </w:rPr>
      </w:pPr>
    </w:p>
    <w:p w14:paraId="4D462B3E" w14:textId="77777777" w:rsidR="00DE575E" w:rsidRDefault="002E7560">
      <w:pPr>
        <w:pStyle w:val="BodyText"/>
        <w:spacing w:before="101" w:line="252" w:lineRule="auto"/>
        <w:ind w:left="533" w:right="130"/>
        <w:jc w:val="both"/>
      </w:pPr>
      <w:r>
        <w:rPr>
          <w:color w:val="231F20"/>
          <w:spacing w:val="-5"/>
        </w:rPr>
        <w:t xml:space="preserve">основне покарання </w:t>
      </w:r>
      <w:r>
        <w:rPr>
          <w:color w:val="231F20"/>
        </w:rPr>
        <w:t xml:space="preserve">у </w:t>
      </w:r>
      <w:r>
        <w:rPr>
          <w:color w:val="231F20"/>
          <w:spacing w:val="-4"/>
        </w:rPr>
        <w:t xml:space="preserve">формі штрафу </w:t>
      </w:r>
      <w:r>
        <w:rPr>
          <w:color w:val="231F20"/>
        </w:rPr>
        <w:t xml:space="preserve">в </w:t>
      </w:r>
      <w:r>
        <w:rPr>
          <w:color w:val="231F20"/>
          <w:spacing w:val="-5"/>
        </w:rPr>
        <w:t xml:space="preserve">розмірі </w:t>
      </w:r>
      <w:r>
        <w:rPr>
          <w:color w:val="231F20"/>
          <w:spacing w:val="-4"/>
        </w:rPr>
        <w:t xml:space="preserve">понад </w:t>
      </w:r>
      <w:r>
        <w:rPr>
          <w:color w:val="231F20"/>
          <w:spacing w:val="-5"/>
        </w:rPr>
        <w:t xml:space="preserve">двадцять п’ять </w:t>
      </w:r>
      <w:r>
        <w:rPr>
          <w:color w:val="231F20"/>
          <w:spacing w:val="-4"/>
        </w:rPr>
        <w:t xml:space="preserve">тисяч </w:t>
      </w:r>
      <w:r>
        <w:rPr>
          <w:color w:val="231F20"/>
          <w:spacing w:val="-6"/>
        </w:rPr>
        <w:t xml:space="preserve">неоподатковуваних </w:t>
      </w:r>
      <w:r>
        <w:rPr>
          <w:color w:val="231F20"/>
          <w:spacing w:val="-5"/>
        </w:rPr>
        <w:t xml:space="preserve">мінімумів </w:t>
      </w:r>
      <w:r>
        <w:rPr>
          <w:color w:val="231F20"/>
          <w:spacing w:val="-6"/>
        </w:rPr>
        <w:t xml:space="preserve">доходів </w:t>
      </w:r>
      <w:r>
        <w:rPr>
          <w:color w:val="231F20"/>
          <w:spacing w:val="-5"/>
        </w:rPr>
        <w:t xml:space="preserve">громадян, позбавлення </w:t>
      </w:r>
      <w:r>
        <w:rPr>
          <w:color w:val="231F20"/>
          <w:spacing w:val="-4"/>
        </w:rPr>
        <w:t xml:space="preserve">волі </w:t>
      </w:r>
      <w:r>
        <w:rPr>
          <w:color w:val="231F20"/>
          <w:spacing w:val="-3"/>
        </w:rPr>
        <w:t xml:space="preserve">на </w:t>
      </w:r>
      <w:r>
        <w:rPr>
          <w:color w:val="231F20"/>
          <w:spacing w:val="-4"/>
        </w:rPr>
        <w:t xml:space="preserve">строк понад </w:t>
      </w:r>
      <w:r>
        <w:rPr>
          <w:color w:val="231F20"/>
          <w:spacing w:val="-5"/>
        </w:rPr>
        <w:t xml:space="preserve">десять </w:t>
      </w:r>
      <w:r>
        <w:rPr>
          <w:color w:val="231F20"/>
          <w:spacing w:val="-4"/>
        </w:rPr>
        <w:t xml:space="preserve">років або </w:t>
      </w:r>
      <w:r>
        <w:rPr>
          <w:color w:val="231F20"/>
          <w:spacing w:val="-5"/>
        </w:rPr>
        <w:t>довічного позбавлення волі.</w:t>
      </w:r>
    </w:p>
    <w:p w14:paraId="17F5D1AD" w14:textId="77777777" w:rsidR="00DE575E" w:rsidRDefault="002E7560">
      <w:pPr>
        <w:pStyle w:val="BodyText"/>
        <w:spacing w:before="1" w:line="252" w:lineRule="auto"/>
        <w:ind w:left="533" w:right="127" w:firstLine="283"/>
        <w:jc w:val="both"/>
      </w:pPr>
      <w:r>
        <w:rPr>
          <w:color w:val="231F20"/>
        </w:rPr>
        <w:t>Ступінь тяжкості криміналь</w:t>
      </w:r>
      <w:r>
        <w:rPr>
          <w:color w:val="231F20"/>
        </w:rPr>
        <w:t>ного правопорушення, за вчинення якого передбачене одночасно основне покарання у формі штрафу та позбавлення волі, визначається виходячи зі строку  покарання    у формі позбавлення волі, передбаченого за відповідний</w:t>
      </w:r>
      <w:r>
        <w:rPr>
          <w:color w:val="231F20"/>
          <w:spacing w:val="-10"/>
        </w:rPr>
        <w:t xml:space="preserve"> </w:t>
      </w:r>
      <w:r>
        <w:rPr>
          <w:color w:val="231F20"/>
        </w:rPr>
        <w:t>злочин.</w:t>
      </w:r>
    </w:p>
    <w:p w14:paraId="4C799FC1" w14:textId="77777777" w:rsidR="00DE575E" w:rsidRDefault="002E7560">
      <w:pPr>
        <w:pStyle w:val="BodyText"/>
        <w:spacing w:before="2" w:line="252" w:lineRule="auto"/>
        <w:ind w:left="533" w:right="126" w:firstLine="283"/>
        <w:jc w:val="both"/>
      </w:pPr>
      <w:r>
        <w:rPr>
          <w:color w:val="231F20"/>
        </w:rPr>
        <w:t>Закінченим кримінальним правопорушенням визнається діяння, яке містить усі ознаки складу злочину, передбаченого відповідною статтею Особливої частини Кримінального кодексу України. Неза- кінченим кримінальним правопорушенням є готування до злочину та замах</w:t>
      </w:r>
      <w:r>
        <w:rPr>
          <w:color w:val="231F20"/>
        </w:rPr>
        <w:t xml:space="preserve"> на злочин.</w:t>
      </w:r>
    </w:p>
    <w:p w14:paraId="70F29B02" w14:textId="77777777" w:rsidR="00DE575E" w:rsidRDefault="002E7560">
      <w:pPr>
        <w:pStyle w:val="BodyText"/>
        <w:spacing w:before="3" w:line="252" w:lineRule="auto"/>
        <w:ind w:left="533" w:right="128" w:firstLine="283"/>
        <w:jc w:val="both"/>
      </w:pPr>
      <w:r>
        <w:rPr>
          <w:color w:val="231F20"/>
          <w:spacing w:val="-3"/>
        </w:rPr>
        <w:t xml:space="preserve">Суб’єктом </w:t>
      </w:r>
      <w:r>
        <w:rPr>
          <w:color w:val="231F20"/>
        </w:rPr>
        <w:t xml:space="preserve">кримінального правопорушення є фізична </w:t>
      </w:r>
      <w:r>
        <w:rPr>
          <w:color w:val="231F20"/>
          <w:spacing w:val="-3"/>
        </w:rPr>
        <w:t xml:space="preserve">осудна </w:t>
      </w:r>
      <w:r>
        <w:rPr>
          <w:color w:val="231F20"/>
        </w:rPr>
        <w:t xml:space="preserve">особа, яка вчинила злочин у віці, з якого відповідно до Криміналь- ного кодексу може наставати кримінальна відповідальність. Спеці- альним </w:t>
      </w:r>
      <w:r>
        <w:rPr>
          <w:color w:val="231F20"/>
          <w:spacing w:val="-3"/>
        </w:rPr>
        <w:t xml:space="preserve">суб’єктом </w:t>
      </w:r>
      <w:r>
        <w:rPr>
          <w:color w:val="231F20"/>
        </w:rPr>
        <w:t xml:space="preserve">кримінального правопорушення є фізична </w:t>
      </w:r>
      <w:r>
        <w:rPr>
          <w:color w:val="231F20"/>
          <w:spacing w:val="-3"/>
        </w:rPr>
        <w:t xml:space="preserve">осудна </w:t>
      </w:r>
      <w:r>
        <w:rPr>
          <w:color w:val="231F20"/>
        </w:rPr>
        <w:t>особа,</w:t>
      </w:r>
      <w:r>
        <w:rPr>
          <w:color w:val="231F20"/>
          <w:spacing w:val="-10"/>
        </w:rPr>
        <w:t xml:space="preserve"> </w:t>
      </w:r>
      <w:r>
        <w:rPr>
          <w:color w:val="231F20"/>
        </w:rPr>
        <w:t>яка</w:t>
      </w:r>
      <w:r>
        <w:rPr>
          <w:color w:val="231F20"/>
          <w:spacing w:val="-10"/>
        </w:rPr>
        <w:t xml:space="preserve"> </w:t>
      </w:r>
      <w:r>
        <w:rPr>
          <w:color w:val="231F20"/>
        </w:rPr>
        <w:t>вчинила</w:t>
      </w:r>
      <w:r>
        <w:rPr>
          <w:color w:val="231F20"/>
          <w:spacing w:val="-10"/>
        </w:rPr>
        <w:t xml:space="preserve"> </w:t>
      </w:r>
      <w:r>
        <w:rPr>
          <w:color w:val="231F20"/>
        </w:rPr>
        <w:t>у</w:t>
      </w:r>
      <w:r>
        <w:rPr>
          <w:color w:val="231F20"/>
          <w:spacing w:val="-12"/>
        </w:rPr>
        <w:t xml:space="preserve"> </w:t>
      </w:r>
      <w:r>
        <w:rPr>
          <w:color w:val="231F20"/>
        </w:rPr>
        <w:t>віці,</w:t>
      </w:r>
      <w:r>
        <w:rPr>
          <w:color w:val="231F20"/>
          <w:spacing w:val="-11"/>
        </w:rPr>
        <w:t xml:space="preserve"> </w:t>
      </w:r>
      <w:r>
        <w:rPr>
          <w:color w:val="231F20"/>
        </w:rPr>
        <w:t>з</w:t>
      </w:r>
      <w:r>
        <w:rPr>
          <w:color w:val="231F20"/>
          <w:spacing w:val="-10"/>
        </w:rPr>
        <w:t xml:space="preserve"> </w:t>
      </w:r>
      <w:r>
        <w:rPr>
          <w:color w:val="231F20"/>
        </w:rPr>
        <w:t>якого</w:t>
      </w:r>
      <w:r>
        <w:rPr>
          <w:color w:val="231F20"/>
          <w:spacing w:val="-10"/>
        </w:rPr>
        <w:t xml:space="preserve"> </w:t>
      </w:r>
      <w:r>
        <w:rPr>
          <w:color w:val="231F20"/>
        </w:rPr>
        <w:t>може</w:t>
      </w:r>
      <w:r>
        <w:rPr>
          <w:color w:val="231F20"/>
          <w:spacing w:val="-10"/>
        </w:rPr>
        <w:t xml:space="preserve"> </w:t>
      </w:r>
      <w:r>
        <w:rPr>
          <w:color w:val="231F20"/>
        </w:rPr>
        <w:t>наставати</w:t>
      </w:r>
      <w:r>
        <w:rPr>
          <w:color w:val="231F20"/>
          <w:spacing w:val="-10"/>
        </w:rPr>
        <w:t xml:space="preserve"> </w:t>
      </w:r>
      <w:r>
        <w:rPr>
          <w:color w:val="231F20"/>
        </w:rPr>
        <w:t>кримінальна</w:t>
      </w:r>
      <w:r>
        <w:rPr>
          <w:color w:val="231F20"/>
          <w:spacing w:val="-10"/>
        </w:rPr>
        <w:t xml:space="preserve"> </w:t>
      </w:r>
      <w:r>
        <w:rPr>
          <w:color w:val="231F20"/>
        </w:rPr>
        <w:t xml:space="preserve">відпо- відальність, кримінальне правопорушення, </w:t>
      </w:r>
      <w:r>
        <w:rPr>
          <w:color w:val="231F20"/>
          <w:spacing w:val="-3"/>
        </w:rPr>
        <w:t xml:space="preserve">суб’єктом </w:t>
      </w:r>
      <w:r>
        <w:rPr>
          <w:color w:val="231F20"/>
        </w:rPr>
        <w:t>якого може бути лише певна</w:t>
      </w:r>
      <w:r>
        <w:rPr>
          <w:color w:val="231F20"/>
          <w:spacing w:val="-3"/>
        </w:rPr>
        <w:t xml:space="preserve"> </w:t>
      </w:r>
      <w:r>
        <w:rPr>
          <w:color w:val="231F20"/>
        </w:rPr>
        <w:t>особа.</w:t>
      </w:r>
    </w:p>
    <w:p w14:paraId="26318B26" w14:textId="77777777" w:rsidR="00DE575E" w:rsidRDefault="00DE575E">
      <w:pPr>
        <w:pStyle w:val="BodyText"/>
        <w:rPr>
          <w:sz w:val="24"/>
        </w:rPr>
      </w:pPr>
    </w:p>
    <w:p w14:paraId="55B3E82D" w14:textId="77777777" w:rsidR="00DE575E" w:rsidRDefault="00DE575E">
      <w:pPr>
        <w:pStyle w:val="BodyText"/>
        <w:spacing w:before="6"/>
        <w:rPr>
          <w:sz w:val="19"/>
        </w:rPr>
      </w:pPr>
    </w:p>
    <w:p w14:paraId="71DEE91A" w14:textId="77777777" w:rsidR="00DE575E" w:rsidRDefault="002E7560">
      <w:pPr>
        <w:pStyle w:val="Heading4"/>
        <w:numPr>
          <w:ilvl w:val="1"/>
          <w:numId w:val="30"/>
        </w:numPr>
        <w:tabs>
          <w:tab w:val="left" w:pos="1256"/>
        </w:tabs>
        <w:ind w:left="1737" w:right="441" w:hanging="893"/>
        <w:jc w:val="left"/>
      </w:pPr>
      <w:r>
        <w:rPr>
          <w:color w:val="231F20"/>
        </w:rPr>
        <w:t>Відмежування адміністративного</w:t>
      </w:r>
      <w:r>
        <w:rPr>
          <w:color w:val="231F20"/>
          <w:spacing w:val="-31"/>
        </w:rPr>
        <w:t xml:space="preserve"> </w:t>
      </w:r>
      <w:r>
        <w:rPr>
          <w:color w:val="231F20"/>
        </w:rPr>
        <w:t>правопорушення від дисциплінарного</w:t>
      </w:r>
      <w:r>
        <w:rPr>
          <w:color w:val="231F20"/>
          <w:spacing w:val="-3"/>
        </w:rPr>
        <w:t xml:space="preserve"> </w:t>
      </w:r>
      <w:r>
        <w:rPr>
          <w:color w:val="231F20"/>
        </w:rPr>
        <w:t>правопорушення</w:t>
      </w:r>
    </w:p>
    <w:p w14:paraId="0FA173B9" w14:textId="77777777" w:rsidR="00DE575E" w:rsidRDefault="00DE575E">
      <w:pPr>
        <w:pStyle w:val="BodyText"/>
        <w:rPr>
          <w:b/>
          <w:sz w:val="26"/>
        </w:rPr>
      </w:pPr>
    </w:p>
    <w:p w14:paraId="3FE13BA0" w14:textId="77777777" w:rsidR="00DE575E" w:rsidRDefault="002E7560">
      <w:pPr>
        <w:pStyle w:val="BodyText"/>
        <w:spacing w:before="224" w:line="252" w:lineRule="auto"/>
        <w:ind w:left="533" w:right="128" w:firstLine="283"/>
        <w:jc w:val="both"/>
      </w:pPr>
      <w:r>
        <w:rPr>
          <w:color w:val="231F20"/>
        </w:rPr>
        <w:t>З</w:t>
      </w:r>
      <w:r>
        <w:rPr>
          <w:color w:val="231F20"/>
          <w:spacing w:val="-7"/>
        </w:rPr>
        <w:t xml:space="preserve"> </w:t>
      </w:r>
      <w:r>
        <w:rPr>
          <w:color w:val="231F20"/>
          <w:spacing w:val="-3"/>
        </w:rPr>
        <w:t>огляду</w:t>
      </w:r>
      <w:r>
        <w:rPr>
          <w:color w:val="231F20"/>
          <w:spacing w:val="-7"/>
        </w:rPr>
        <w:t xml:space="preserve"> </w:t>
      </w:r>
      <w:r>
        <w:rPr>
          <w:color w:val="231F20"/>
        </w:rPr>
        <w:t>на</w:t>
      </w:r>
      <w:r>
        <w:rPr>
          <w:color w:val="231F20"/>
          <w:spacing w:val="-7"/>
        </w:rPr>
        <w:t xml:space="preserve"> </w:t>
      </w:r>
      <w:r>
        <w:rPr>
          <w:color w:val="231F20"/>
        </w:rPr>
        <w:t>вищезазначене,</w:t>
      </w:r>
      <w:r>
        <w:rPr>
          <w:color w:val="231F20"/>
          <w:spacing w:val="-7"/>
        </w:rPr>
        <w:t xml:space="preserve"> </w:t>
      </w:r>
      <w:r>
        <w:rPr>
          <w:color w:val="231F20"/>
        </w:rPr>
        <w:t>актуальною</w:t>
      </w:r>
      <w:r>
        <w:rPr>
          <w:color w:val="231F20"/>
          <w:spacing w:val="-7"/>
        </w:rPr>
        <w:t xml:space="preserve"> </w:t>
      </w:r>
      <w:r>
        <w:rPr>
          <w:color w:val="231F20"/>
        </w:rPr>
        <w:t>є</w:t>
      </w:r>
      <w:r>
        <w:rPr>
          <w:color w:val="231F20"/>
          <w:spacing w:val="-7"/>
        </w:rPr>
        <w:t xml:space="preserve"> </w:t>
      </w:r>
      <w:r>
        <w:rPr>
          <w:color w:val="231F20"/>
        </w:rPr>
        <w:t>потреба</w:t>
      </w:r>
      <w:r>
        <w:rPr>
          <w:color w:val="231F20"/>
          <w:spacing w:val="-7"/>
        </w:rPr>
        <w:t xml:space="preserve"> </w:t>
      </w:r>
      <w:r>
        <w:rPr>
          <w:color w:val="231F20"/>
        </w:rPr>
        <w:t>в</w:t>
      </w:r>
      <w:r>
        <w:rPr>
          <w:color w:val="231F20"/>
          <w:spacing w:val="-7"/>
        </w:rPr>
        <w:t xml:space="preserve"> </w:t>
      </w:r>
      <w:r>
        <w:rPr>
          <w:color w:val="231F20"/>
        </w:rPr>
        <w:t>установленні ознак,</w:t>
      </w:r>
      <w:r>
        <w:rPr>
          <w:color w:val="231F20"/>
          <w:spacing w:val="-13"/>
        </w:rPr>
        <w:t xml:space="preserve"> </w:t>
      </w:r>
      <w:r>
        <w:rPr>
          <w:color w:val="231F20"/>
        </w:rPr>
        <w:t>за</w:t>
      </w:r>
      <w:r>
        <w:rPr>
          <w:color w:val="231F20"/>
          <w:spacing w:val="-13"/>
        </w:rPr>
        <w:t xml:space="preserve"> </w:t>
      </w:r>
      <w:r>
        <w:rPr>
          <w:color w:val="231F20"/>
        </w:rPr>
        <w:t>якими</w:t>
      </w:r>
      <w:r>
        <w:rPr>
          <w:color w:val="231F20"/>
          <w:spacing w:val="-13"/>
        </w:rPr>
        <w:t xml:space="preserve"> </w:t>
      </w:r>
      <w:r>
        <w:rPr>
          <w:color w:val="231F20"/>
        </w:rPr>
        <w:t>адміністративні</w:t>
      </w:r>
      <w:r>
        <w:rPr>
          <w:color w:val="231F20"/>
          <w:spacing w:val="-13"/>
        </w:rPr>
        <w:t xml:space="preserve"> </w:t>
      </w:r>
      <w:r>
        <w:rPr>
          <w:color w:val="231F20"/>
        </w:rPr>
        <w:t>проступки</w:t>
      </w:r>
      <w:r>
        <w:rPr>
          <w:color w:val="231F20"/>
          <w:spacing w:val="-13"/>
        </w:rPr>
        <w:t xml:space="preserve"> </w:t>
      </w:r>
      <w:r>
        <w:rPr>
          <w:color w:val="231F20"/>
        </w:rPr>
        <w:t>відрізняються</w:t>
      </w:r>
      <w:r>
        <w:rPr>
          <w:color w:val="231F20"/>
          <w:spacing w:val="-13"/>
        </w:rPr>
        <w:t xml:space="preserve"> </w:t>
      </w:r>
      <w:r>
        <w:rPr>
          <w:color w:val="231F20"/>
        </w:rPr>
        <w:t>від</w:t>
      </w:r>
      <w:r>
        <w:rPr>
          <w:color w:val="231F20"/>
          <w:spacing w:val="-13"/>
        </w:rPr>
        <w:t xml:space="preserve"> </w:t>
      </w:r>
      <w:r>
        <w:rPr>
          <w:color w:val="231F20"/>
        </w:rPr>
        <w:t>дисци- плінарних.</w:t>
      </w:r>
    </w:p>
    <w:p w14:paraId="3EB9448A" w14:textId="77777777" w:rsidR="00DE575E" w:rsidRDefault="002E7560">
      <w:pPr>
        <w:pStyle w:val="BodyText"/>
        <w:spacing w:before="2" w:line="252" w:lineRule="auto"/>
        <w:ind w:left="533" w:right="124" w:firstLine="283"/>
        <w:jc w:val="both"/>
      </w:pPr>
      <w:r>
        <w:rPr>
          <w:b/>
          <w:i/>
          <w:color w:val="231F20"/>
        </w:rPr>
        <w:t>По-перше</w:t>
      </w:r>
      <w:r>
        <w:rPr>
          <w:color w:val="231F20"/>
        </w:rPr>
        <w:t xml:space="preserve">, головною ознакою, яка зумовлює всі інші відмінності між адміністративними й дисциплінарними проступками, є </w:t>
      </w:r>
      <w:r>
        <w:rPr>
          <w:i/>
          <w:color w:val="231F20"/>
        </w:rPr>
        <w:t>різна пра</w:t>
      </w:r>
      <w:r>
        <w:rPr>
          <w:i/>
          <w:color w:val="231F20"/>
        </w:rPr>
        <w:t>вова природа</w:t>
      </w:r>
      <w:r>
        <w:rPr>
          <w:color w:val="231F20"/>
        </w:rPr>
        <w:t xml:space="preserve">. Вона виражена в </w:t>
      </w:r>
      <w:r>
        <w:rPr>
          <w:color w:val="231F20"/>
          <w:spacing w:val="-3"/>
        </w:rPr>
        <w:t xml:space="preserve">тому, </w:t>
      </w:r>
      <w:r>
        <w:rPr>
          <w:color w:val="231F20"/>
        </w:rPr>
        <w:t>що обов’язок додержу- ватись правил, за порушення яких передбачено адміністративну відповідальність, на відповідних суб’єктів покладається владно. Обов’язок додержуватись правил, за порушення яких передба-  чено дисциплінарну відповідальність, відповідними</w:t>
      </w:r>
      <w:r>
        <w:rPr>
          <w:color w:val="231F20"/>
        </w:rPr>
        <w:t xml:space="preserve"> суб’єктами береться на себе</w:t>
      </w:r>
      <w:r>
        <w:rPr>
          <w:color w:val="231F20"/>
          <w:spacing w:val="12"/>
        </w:rPr>
        <w:t xml:space="preserve"> </w:t>
      </w:r>
      <w:r>
        <w:rPr>
          <w:color w:val="231F20"/>
        </w:rPr>
        <w:t>добровільно.</w:t>
      </w:r>
    </w:p>
    <w:p w14:paraId="64872CAF" w14:textId="77777777" w:rsidR="00DE575E" w:rsidRDefault="002E7560">
      <w:pPr>
        <w:pStyle w:val="BodyText"/>
        <w:spacing w:before="4" w:line="252" w:lineRule="auto"/>
        <w:ind w:left="533" w:right="128" w:firstLine="283"/>
        <w:jc w:val="both"/>
      </w:pPr>
      <w:r>
        <w:rPr>
          <w:color w:val="231F20"/>
          <w:spacing w:val="-4"/>
        </w:rPr>
        <w:t xml:space="preserve">Природа </w:t>
      </w:r>
      <w:r>
        <w:rPr>
          <w:color w:val="231F20"/>
          <w:spacing w:val="-3"/>
        </w:rPr>
        <w:t xml:space="preserve">адміністративного проступку </w:t>
      </w:r>
      <w:r>
        <w:rPr>
          <w:color w:val="231F20"/>
        </w:rPr>
        <w:t xml:space="preserve">– </w:t>
      </w:r>
      <w:r>
        <w:rPr>
          <w:color w:val="231F20"/>
          <w:spacing w:val="-3"/>
        </w:rPr>
        <w:t xml:space="preserve">публічно-правова. </w:t>
      </w:r>
      <w:r>
        <w:rPr>
          <w:color w:val="231F20"/>
          <w:spacing w:val="-4"/>
        </w:rPr>
        <w:t xml:space="preserve">Природа </w:t>
      </w:r>
      <w:r>
        <w:rPr>
          <w:color w:val="231F20"/>
          <w:spacing w:val="-3"/>
        </w:rPr>
        <w:t xml:space="preserve">дисциплінарного проступку </w:t>
      </w:r>
      <w:r>
        <w:rPr>
          <w:color w:val="231F20"/>
        </w:rPr>
        <w:t xml:space="preserve">– </w:t>
      </w:r>
      <w:r>
        <w:rPr>
          <w:color w:val="231F20"/>
          <w:spacing w:val="-3"/>
        </w:rPr>
        <w:t xml:space="preserve">цивільно-правова. Дисциплі- нарний проступок </w:t>
      </w:r>
      <w:r>
        <w:rPr>
          <w:color w:val="231F20"/>
        </w:rPr>
        <w:t xml:space="preserve">– це </w:t>
      </w:r>
      <w:r>
        <w:rPr>
          <w:color w:val="231F20"/>
          <w:spacing w:val="-3"/>
        </w:rPr>
        <w:t xml:space="preserve">протиправне невиконання </w:t>
      </w:r>
      <w:r>
        <w:rPr>
          <w:color w:val="231F20"/>
        </w:rPr>
        <w:t xml:space="preserve">або </w:t>
      </w:r>
      <w:r>
        <w:rPr>
          <w:color w:val="231F20"/>
          <w:spacing w:val="-3"/>
        </w:rPr>
        <w:t>неналежне</w:t>
      </w:r>
    </w:p>
    <w:p w14:paraId="30CA2B83" w14:textId="77777777" w:rsidR="00DE575E" w:rsidRDefault="00DE575E">
      <w:pPr>
        <w:pStyle w:val="BodyText"/>
        <w:spacing w:before="7"/>
        <w:rPr>
          <w:sz w:val="12"/>
        </w:rPr>
      </w:pPr>
    </w:p>
    <w:p w14:paraId="56F416AE" w14:textId="77777777" w:rsidR="00DE575E" w:rsidRDefault="002E7560">
      <w:pPr>
        <w:spacing w:before="92"/>
        <w:ind w:left="533"/>
        <w:rPr>
          <w:rFonts w:ascii="Times New Roman"/>
          <w:sz w:val="20"/>
        </w:rPr>
      </w:pPr>
      <w:r>
        <w:rPr>
          <w:rFonts w:ascii="Times New Roman"/>
          <w:color w:val="231F20"/>
          <w:sz w:val="20"/>
        </w:rPr>
        <w:t>488</w:t>
      </w:r>
    </w:p>
    <w:p w14:paraId="6D170619" w14:textId="77777777" w:rsidR="00DE575E" w:rsidRDefault="00DE575E">
      <w:pPr>
        <w:rPr>
          <w:rFonts w:ascii="Times New Roman"/>
          <w:sz w:val="20"/>
        </w:rPr>
        <w:sectPr w:rsidR="00DE575E">
          <w:pgSz w:w="8510" w:h="12760"/>
          <w:pgMar w:top="660" w:right="720" w:bottom="280" w:left="600" w:header="720" w:footer="720" w:gutter="0"/>
          <w:cols w:space="720"/>
        </w:sectPr>
      </w:pPr>
    </w:p>
    <w:p w14:paraId="2751D4B6" w14:textId="77777777" w:rsidR="00DE575E" w:rsidRDefault="002E7560">
      <w:pPr>
        <w:spacing w:before="72" w:line="249" w:lineRule="auto"/>
        <w:ind w:left="3253" w:right="392" w:hanging="561"/>
        <w:rPr>
          <w:rFonts w:ascii="AdonisC" w:hAnsi="AdonisC"/>
          <w:i/>
          <w:sz w:val="18"/>
        </w:rPr>
      </w:pPr>
      <w:r>
        <w:rPr>
          <w:rFonts w:ascii="AdonisC" w:hAnsi="AdonisC"/>
          <w:i/>
          <w:color w:val="231F20"/>
          <w:sz w:val="18"/>
        </w:rPr>
        <w:t>Глава ІІ Особливе адміністративне право/ Книга ІІ Розділ 2. Адміністративне правопорушення</w:t>
      </w:r>
    </w:p>
    <w:p w14:paraId="095A05B0" w14:textId="30C8D60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27584AF" wp14:editId="59F89715">
                <wp:extent cx="4140200" cy="6350"/>
                <wp:effectExtent l="0" t="0" r="12700" b="6350"/>
                <wp:docPr id="18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90" name="Line 1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E03AF0" id="Group_x0020_1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yM6a2gAIAAJgFAAAO&#10;AAAAAAAAAAAAAAAAACwCAABkcnMvZTJvRG9jLnhtbFBLAQItABQABgAIAAAAIQBMp7CQ2QAAAAMB&#10;AAAPAAAAAAAAAAAAAAAAANgEAABkcnMvZG93bnJldi54bWxQSwUGAAAAAAQABADzAAAA3gUAAAAA&#10;">
                <v:line id="Line_x0020_1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7c8scAAADcAAAADwAAAGRycy9kb3ducmV2LnhtbESPQUvDQBCF74L/YRmhF7GbtiAauy1S&#10;EMRDaxN/wDQ7JsHd2TS7bWJ/fecgeJvhvXnvm+V69E6dqY9tYAOzaQaKuAq25drAV/n28AQqJmSL&#10;LjAZ+KUI69XtzRJzGwbe07lItZIQjjkaaFLqcq1j1ZDHOA0dsWjfofeYZO1rbXscJNw7Pc+yR+2x&#10;ZWlosKNNQ9VPcfIGyuN9cp+7DzeUu8NCH47bxeW0NWZyN76+gEo0pn/z3/W7FfxnwZdnZAK9u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jtzyxwAAANwAAAAPAAAAAAAA&#10;AAAAAAAAAKECAABkcnMvZG93bnJldi54bWxQSwUGAAAAAAQABAD5AAAAlQMAAAAA&#10;" strokecolor="#231f20" strokeweight=".5pt"/>
                <w10:anchorlock/>
              </v:group>
            </w:pict>
          </mc:Fallback>
        </mc:AlternateContent>
      </w:r>
    </w:p>
    <w:p w14:paraId="5D98F3EC" w14:textId="77777777" w:rsidR="00DE575E" w:rsidRDefault="00DE575E">
      <w:pPr>
        <w:pStyle w:val="BodyText"/>
        <w:spacing w:before="3"/>
        <w:rPr>
          <w:rFonts w:ascii="AdonisC"/>
          <w:i/>
          <w:sz w:val="12"/>
        </w:rPr>
      </w:pPr>
    </w:p>
    <w:p w14:paraId="4FD28D69" w14:textId="77777777" w:rsidR="00DE575E" w:rsidRDefault="002E7560">
      <w:pPr>
        <w:pStyle w:val="BodyText"/>
        <w:spacing w:before="100" w:line="252" w:lineRule="auto"/>
        <w:ind w:left="250" w:right="410"/>
        <w:jc w:val="both"/>
      </w:pPr>
      <w:r>
        <w:rPr>
          <w:color w:val="231F20"/>
          <w:spacing w:val="-3"/>
        </w:rPr>
        <w:t xml:space="preserve">виконання працівником своїх </w:t>
      </w:r>
      <w:r>
        <w:rPr>
          <w:color w:val="231F20"/>
          <w:spacing w:val="-5"/>
        </w:rPr>
        <w:t xml:space="preserve">трудових </w:t>
      </w:r>
      <w:r>
        <w:rPr>
          <w:color w:val="231F20"/>
        </w:rPr>
        <w:t xml:space="preserve">обов’язків, за що до нього </w:t>
      </w:r>
      <w:r>
        <w:rPr>
          <w:color w:val="231F20"/>
          <w:spacing w:val="-3"/>
        </w:rPr>
        <w:t xml:space="preserve">може </w:t>
      </w:r>
      <w:r>
        <w:rPr>
          <w:color w:val="231F20"/>
        </w:rPr>
        <w:t xml:space="preserve">бути </w:t>
      </w:r>
      <w:r>
        <w:rPr>
          <w:color w:val="231F20"/>
          <w:spacing w:val="-3"/>
        </w:rPr>
        <w:t>застосовано дисциплінарне</w:t>
      </w:r>
      <w:r>
        <w:rPr>
          <w:color w:val="231F20"/>
          <w:spacing w:val="-3"/>
        </w:rPr>
        <w:t xml:space="preserve"> стягнення. </w:t>
      </w:r>
      <w:r>
        <w:rPr>
          <w:color w:val="231F20"/>
          <w:spacing w:val="-6"/>
        </w:rPr>
        <w:t xml:space="preserve">Трудовий </w:t>
      </w:r>
      <w:r>
        <w:rPr>
          <w:color w:val="231F20"/>
          <w:spacing w:val="-3"/>
        </w:rPr>
        <w:t xml:space="preserve">розпоря- </w:t>
      </w:r>
      <w:r>
        <w:rPr>
          <w:color w:val="231F20"/>
        </w:rPr>
        <w:t xml:space="preserve">док </w:t>
      </w:r>
      <w:r>
        <w:rPr>
          <w:color w:val="231F20"/>
          <w:spacing w:val="-3"/>
        </w:rPr>
        <w:t xml:space="preserve">пов’язаний </w:t>
      </w:r>
      <w:r>
        <w:rPr>
          <w:color w:val="231F20"/>
        </w:rPr>
        <w:t xml:space="preserve">зі </w:t>
      </w:r>
      <w:r>
        <w:rPr>
          <w:color w:val="231F20"/>
          <w:spacing w:val="-3"/>
        </w:rPr>
        <w:t xml:space="preserve">службовими, </w:t>
      </w:r>
      <w:r>
        <w:rPr>
          <w:color w:val="231F20"/>
          <w:spacing w:val="-5"/>
        </w:rPr>
        <w:t xml:space="preserve">трудовими </w:t>
      </w:r>
      <w:r>
        <w:rPr>
          <w:color w:val="231F20"/>
        </w:rPr>
        <w:t xml:space="preserve">обов’язками </w:t>
      </w:r>
      <w:r>
        <w:rPr>
          <w:color w:val="231F20"/>
          <w:spacing w:val="-3"/>
        </w:rPr>
        <w:t>винної особи</w:t>
      </w:r>
    </w:p>
    <w:p w14:paraId="5B87C577" w14:textId="77777777" w:rsidR="00DE575E" w:rsidRDefault="002E7560">
      <w:pPr>
        <w:pStyle w:val="BodyText"/>
        <w:spacing w:before="1" w:line="252" w:lineRule="auto"/>
        <w:ind w:left="250" w:right="411" w:firstLine="283"/>
        <w:jc w:val="both"/>
      </w:pPr>
      <w:r>
        <w:rPr>
          <w:color w:val="231F20"/>
          <w:spacing w:val="-4"/>
        </w:rPr>
        <w:t xml:space="preserve">Таким </w:t>
      </w:r>
      <w:r>
        <w:rPr>
          <w:color w:val="231F20"/>
        </w:rPr>
        <w:t xml:space="preserve">чином, в адміністративного і дисциплінарного правопору- шення різні за своєю сутністю </w:t>
      </w:r>
      <w:r>
        <w:rPr>
          <w:color w:val="231F20"/>
          <w:spacing w:val="-4"/>
        </w:rPr>
        <w:t xml:space="preserve">об’єкти </w:t>
      </w:r>
      <w:r>
        <w:rPr>
          <w:color w:val="231F20"/>
        </w:rPr>
        <w:t>посягання.</w:t>
      </w:r>
    </w:p>
    <w:p w14:paraId="02AF5BA6" w14:textId="77777777" w:rsidR="00DE575E" w:rsidRDefault="002E7560">
      <w:pPr>
        <w:spacing w:before="1" w:line="252" w:lineRule="auto"/>
        <w:ind w:left="250" w:right="411" w:firstLine="283"/>
        <w:jc w:val="both"/>
        <w:rPr>
          <w:sz w:val="21"/>
        </w:rPr>
      </w:pPr>
      <w:r>
        <w:rPr>
          <w:i/>
          <w:color w:val="231F20"/>
          <w:spacing w:val="-5"/>
          <w:sz w:val="21"/>
        </w:rPr>
        <w:t xml:space="preserve">Об’єкти </w:t>
      </w:r>
      <w:r>
        <w:rPr>
          <w:i/>
          <w:color w:val="231F20"/>
          <w:spacing w:val="-3"/>
          <w:sz w:val="21"/>
        </w:rPr>
        <w:t xml:space="preserve">посягання адміністративного правопорушення </w:t>
      </w:r>
      <w:r>
        <w:rPr>
          <w:color w:val="231F20"/>
          <w:spacing w:val="-3"/>
          <w:sz w:val="21"/>
        </w:rPr>
        <w:t xml:space="preserve">характери- зуються </w:t>
      </w:r>
      <w:r>
        <w:rPr>
          <w:color w:val="231F20"/>
          <w:spacing w:val="-4"/>
          <w:sz w:val="21"/>
        </w:rPr>
        <w:t xml:space="preserve">загальнодержавним </w:t>
      </w:r>
      <w:r>
        <w:rPr>
          <w:color w:val="231F20"/>
          <w:spacing w:val="-3"/>
          <w:sz w:val="21"/>
        </w:rPr>
        <w:t xml:space="preserve">масштабом </w:t>
      </w:r>
      <w:r>
        <w:rPr>
          <w:color w:val="231F20"/>
          <w:sz w:val="21"/>
        </w:rPr>
        <w:t xml:space="preserve">і </w:t>
      </w:r>
      <w:r>
        <w:rPr>
          <w:color w:val="231F20"/>
          <w:spacing w:val="-3"/>
          <w:sz w:val="21"/>
        </w:rPr>
        <w:t xml:space="preserve">значенням (конституцій- </w:t>
      </w:r>
      <w:r>
        <w:rPr>
          <w:color w:val="231F20"/>
          <w:sz w:val="21"/>
        </w:rPr>
        <w:t xml:space="preserve">ний </w:t>
      </w:r>
      <w:r>
        <w:rPr>
          <w:color w:val="231F20"/>
          <w:spacing w:val="-4"/>
          <w:sz w:val="21"/>
        </w:rPr>
        <w:t xml:space="preserve">устрій, установлений </w:t>
      </w:r>
      <w:r>
        <w:rPr>
          <w:color w:val="231F20"/>
          <w:spacing w:val="-3"/>
          <w:sz w:val="21"/>
        </w:rPr>
        <w:t>правопорядок, власність, права громадян).</w:t>
      </w:r>
    </w:p>
    <w:p w14:paraId="1C5B949F" w14:textId="77777777" w:rsidR="00DE575E" w:rsidRDefault="002E7560">
      <w:pPr>
        <w:spacing w:before="2" w:line="252" w:lineRule="auto"/>
        <w:ind w:left="250" w:right="411" w:firstLine="283"/>
        <w:jc w:val="both"/>
        <w:rPr>
          <w:i/>
          <w:sz w:val="21"/>
        </w:rPr>
      </w:pPr>
      <w:r>
        <w:rPr>
          <w:i/>
          <w:color w:val="231F20"/>
          <w:sz w:val="21"/>
        </w:rPr>
        <w:t xml:space="preserve">Об’єкти посягання дисциплінарного правопорушення </w:t>
      </w:r>
      <w:r>
        <w:rPr>
          <w:color w:val="231F20"/>
          <w:sz w:val="21"/>
        </w:rPr>
        <w:t xml:space="preserve">локалі- зовані трудовим </w:t>
      </w:r>
      <w:r>
        <w:rPr>
          <w:color w:val="231F20"/>
          <w:sz w:val="21"/>
        </w:rPr>
        <w:t xml:space="preserve">договором у межах конкретної організаційної структури. Загальним об’єктом тут буде дисципліна праці. Безпо- середніми об’єктами – окремі її елементи. </w:t>
      </w:r>
      <w:r>
        <w:rPr>
          <w:i/>
          <w:color w:val="231F20"/>
          <w:sz w:val="21"/>
          <w:u w:val="single" w:color="231F20"/>
        </w:rPr>
        <w:t>Наприклад</w:t>
      </w:r>
      <w:r>
        <w:rPr>
          <w:i/>
          <w:color w:val="231F20"/>
          <w:sz w:val="21"/>
        </w:rPr>
        <w:t xml:space="preserve">: правила вико- ристання робочого часу, організація трудового процесу на підприєм- стві, правила </w:t>
      </w:r>
      <w:r>
        <w:rPr>
          <w:i/>
          <w:color w:val="231F20"/>
          <w:sz w:val="21"/>
        </w:rPr>
        <w:t>використання майна власника, правила пропускного режиму, правила надання інформації, правила проходження обов’яз- кового медичного огляду тощо.</w:t>
      </w:r>
    </w:p>
    <w:p w14:paraId="00615CC7" w14:textId="77777777" w:rsidR="00DE575E" w:rsidRDefault="002E7560">
      <w:pPr>
        <w:pStyle w:val="BodyText"/>
        <w:spacing w:before="4" w:line="252" w:lineRule="auto"/>
        <w:ind w:left="250" w:right="411" w:firstLine="283"/>
        <w:jc w:val="right"/>
        <w:rPr>
          <w:i/>
        </w:rPr>
      </w:pPr>
      <w:r>
        <w:rPr>
          <w:color w:val="231F20"/>
        </w:rPr>
        <w:t>Адміністративні проступки відрізняються від</w:t>
      </w:r>
      <w:r>
        <w:rPr>
          <w:color w:val="231F20"/>
          <w:spacing w:val="-23"/>
        </w:rPr>
        <w:t xml:space="preserve"> </w:t>
      </w:r>
      <w:r>
        <w:rPr>
          <w:color w:val="231F20"/>
        </w:rPr>
        <w:t>дисциплінарних</w:t>
      </w:r>
      <w:r>
        <w:rPr>
          <w:color w:val="231F20"/>
          <w:spacing w:val="-6"/>
        </w:rPr>
        <w:t xml:space="preserve"> </w:t>
      </w:r>
      <w:r>
        <w:rPr>
          <w:color w:val="231F20"/>
        </w:rPr>
        <w:t>за</w:t>
      </w:r>
      <w:r>
        <w:rPr>
          <w:color w:val="231F20"/>
          <w:spacing w:val="-1"/>
        </w:rPr>
        <w:t xml:space="preserve"> </w:t>
      </w:r>
      <w:r>
        <w:rPr>
          <w:color w:val="231F20"/>
        </w:rPr>
        <w:t xml:space="preserve">характеристикою </w:t>
      </w:r>
      <w:r>
        <w:rPr>
          <w:color w:val="231F20"/>
          <w:spacing w:val="-3"/>
        </w:rPr>
        <w:t xml:space="preserve">суб’єкта, </w:t>
      </w:r>
      <w:r>
        <w:rPr>
          <w:color w:val="231F20"/>
        </w:rPr>
        <w:t>який має право їх розгля</w:t>
      </w:r>
      <w:r>
        <w:rPr>
          <w:color w:val="231F20"/>
        </w:rPr>
        <w:t>дати</w:t>
      </w:r>
      <w:r>
        <w:rPr>
          <w:color w:val="231F20"/>
          <w:spacing w:val="26"/>
        </w:rPr>
        <w:t xml:space="preserve"> </w:t>
      </w:r>
      <w:r>
        <w:rPr>
          <w:color w:val="231F20"/>
        </w:rPr>
        <w:t>і</w:t>
      </w:r>
      <w:r>
        <w:rPr>
          <w:color w:val="231F20"/>
          <w:spacing w:val="1"/>
        </w:rPr>
        <w:t xml:space="preserve"> </w:t>
      </w:r>
      <w:r>
        <w:rPr>
          <w:color w:val="231F20"/>
        </w:rPr>
        <w:t xml:space="preserve">виносити рішення. </w:t>
      </w:r>
      <w:r>
        <w:rPr>
          <w:color w:val="231F20"/>
          <w:spacing w:val="-4"/>
        </w:rPr>
        <w:t xml:space="preserve">Так, </w:t>
      </w:r>
      <w:r>
        <w:rPr>
          <w:color w:val="231F20"/>
          <w:spacing w:val="-3"/>
        </w:rPr>
        <w:t xml:space="preserve">суб’єктом розгляду </w:t>
      </w:r>
      <w:r>
        <w:rPr>
          <w:color w:val="231F20"/>
        </w:rPr>
        <w:t>дисциплінарних справ</w:t>
      </w:r>
      <w:r>
        <w:rPr>
          <w:color w:val="231F20"/>
          <w:spacing w:val="-8"/>
        </w:rPr>
        <w:t xml:space="preserve"> </w:t>
      </w:r>
      <w:r>
        <w:rPr>
          <w:color w:val="231F20"/>
        </w:rPr>
        <w:t>є</w:t>
      </w:r>
      <w:r>
        <w:rPr>
          <w:color w:val="231F20"/>
          <w:spacing w:val="20"/>
        </w:rPr>
        <w:t xml:space="preserve"> </w:t>
      </w:r>
      <w:r>
        <w:rPr>
          <w:color w:val="231F20"/>
        </w:rPr>
        <w:t>керівник колективу, в якому працює правопорушник. Між</w:t>
      </w:r>
      <w:r>
        <w:rPr>
          <w:color w:val="231F20"/>
          <w:spacing w:val="40"/>
        </w:rPr>
        <w:t xml:space="preserve"> </w:t>
      </w:r>
      <w:r>
        <w:rPr>
          <w:color w:val="231F20"/>
        </w:rPr>
        <w:t>ними</w:t>
      </w:r>
      <w:r>
        <w:rPr>
          <w:color w:val="231F20"/>
          <w:spacing w:val="5"/>
        </w:rPr>
        <w:t xml:space="preserve"> </w:t>
      </w:r>
      <w:r>
        <w:rPr>
          <w:color w:val="231F20"/>
        </w:rPr>
        <w:t>(керівником і порушником дисципліни) обов’язково існують</w:t>
      </w:r>
      <w:r>
        <w:rPr>
          <w:color w:val="231F20"/>
          <w:spacing w:val="-19"/>
        </w:rPr>
        <w:t xml:space="preserve"> </w:t>
      </w:r>
      <w:r>
        <w:rPr>
          <w:color w:val="231F20"/>
        </w:rPr>
        <w:t>стійкі</w:t>
      </w:r>
      <w:r>
        <w:rPr>
          <w:color w:val="231F20"/>
          <w:spacing w:val="-4"/>
        </w:rPr>
        <w:t xml:space="preserve"> </w:t>
      </w:r>
      <w:r>
        <w:rPr>
          <w:color w:val="231F20"/>
        </w:rPr>
        <w:t>організаційні</w:t>
      </w:r>
      <w:r>
        <w:rPr>
          <w:color w:val="231F20"/>
          <w:spacing w:val="-1"/>
        </w:rPr>
        <w:t xml:space="preserve"> </w:t>
      </w:r>
      <w:r>
        <w:rPr>
          <w:color w:val="231F20"/>
        </w:rPr>
        <w:t xml:space="preserve">зв’язки типу «начальник-підлеглий». А </w:t>
      </w:r>
      <w:r>
        <w:rPr>
          <w:color w:val="231F20"/>
          <w:spacing w:val="-3"/>
        </w:rPr>
        <w:t>суб’єктом</w:t>
      </w:r>
      <w:r>
        <w:rPr>
          <w:color w:val="231F20"/>
          <w:spacing w:val="35"/>
        </w:rPr>
        <w:t xml:space="preserve"> </w:t>
      </w:r>
      <w:r>
        <w:rPr>
          <w:color w:val="231F20"/>
          <w:spacing w:val="-3"/>
        </w:rPr>
        <w:t>розгляду</w:t>
      </w:r>
      <w:r>
        <w:rPr>
          <w:color w:val="231F20"/>
          <w:spacing w:val="8"/>
        </w:rPr>
        <w:t xml:space="preserve"> </w:t>
      </w:r>
      <w:r>
        <w:rPr>
          <w:color w:val="231F20"/>
        </w:rPr>
        <w:t>справ</w:t>
      </w:r>
      <w:r>
        <w:rPr>
          <w:color w:val="231F20"/>
          <w:spacing w:val="-1"/>
        </w:rPr>
        <w:t xml:space="preserve"> </w:t>
      </w:r>
      <w:r>
        <w:rPr>
          <w:color w:val="231F20"/>
        </w:rPr>
        <w:t>про</w:t>
      </w:r>
      <w:r>
        <w:rPr>
          <w:color w:val="231F20"/>
          <w:spacing w:val="-12"/>
        </w:rPr>
        <w:t xml:space="preserve"> </w:t>
      </w:r>
      <w:r>
        <w:rPr>
          <w:color w:val="231F20"/>
        </w:rPr>
        <w:t>адміністративні</w:t>
      </w:r>
      <w:r>
        <w:rPr>
          <w:color w:val="231F20"/>
          <w:spacing w:val="-12"/>
        </w:rPr>
        <w:t xml:space="preserve"> </w:t>
      </w:r>
      <w:r>
        <w:rPr>
          <w:color w:val="231F20"/>
        </w:rPr>
        <w:t>правопорушення</w:t>
      </w:r>
      <w:r>
        <w:rPr>
          <w:color w:val="231F20"/>
          <w:spacing w:val="-12"/>
        </w:rPr>
        <w:t xml:space="preserve"> </w:t>
      </w:r>
      <w:r>
        <w:rPr>
          <w:color w:val="231F20"/>
        </w:rPr>
        <w:t>є</w:t>
      </w:r>
      <w:r>
        <w:rPr>
          <w:color w:val="231F20"/>
          <w:spacing w:val="-11"/>
        </w:rPr>
        <w:t xml:space="preserve"> </w:t>
      </w:r>
      <w:r>
        <w:rPr>
          <w:color w:val="231F20"/>
        </w:rPr>
        <w:t>носій</w:t>
      </w:r>
      <w:r>
        <w:rPr>
          <w:color w:val="231F20"/>
          <w:spacing w:val="-12"/>
        </w:rPr>
        <w:t xml:space="preserve"> </w:t>
      </w:r>
      <w:r>
        <w:rPr>
          <w:color w:val="231F20"/>
        </w:rPr>
        <w:t>функціональної</w:t>
      </w:r>
      <w:r>
        <w:rPr>
          <w:color w:val="231F20"/>
          <w:spacing w:val="-12"/>
        </w:rPr>
        <w:t xml:space="preserve"> </w:t>
      </w:r>
      <w:r>
        <w:rPr>
          <w:color w:val="231F20"/>
        </w:rPr>
        <w:t>влади, повноваження якого чітко визначені й зафіксовані</w:t>
      </w:r>
      <w:r>
        <w:rPr>
          <w:color w:val="231F20"/>
          <w:spacing w:val="35"/>
        </w:rPr>
        <w:t xml:space="preserve"> </w:t>
      </w:r>
      <w:r>
        <w:rPr>
          <w:color w:val="231F20"/>
        </w:rPr>
        <w:t>в</w:t>
      </w:r>
      <w:r>
        <w:rPr>
          <w:color w:val="231F20"/>
          <w:spacing w:val="5"/>
        </w:rPr>
        <w:t xml:space="preserve"> </w:t>
      </w:r>
      <w:r>
        <w:rPr>
          <w:color w:val="231F20"/>
        </w:rPr>
        <w:t>законодавстві.</w:t>
      </w:r>
      <w:r>
        <w:rPr>
          <w:color w:val="231F20"/>
          <w:spacing w:val="-1"/>
        </w:rPr>
        <w:t xml:space="preserve"> </w:t>
      </w:r>
      <w:r>
        <w:rPr>
          <w:color w:val="231F20"/>
        </w:rPr>
        <w:t>Між ним і правопорушником немає стійких</w:t>
      </w:r>
      <w:r>
        <w:rPr>
          <w:color w:val="231F20"/>
          <w:spacing w:val="-23"/>
        </w:rPr>
        <w:t xml:space="preserve"> </w:t>
      </w:r>
      <w:r>
        <w:rPr>
          <w:color w:val="231F20"/>
        </w:rPr>
        <w:t>організаційних</w:t>
      </w:r>
      <w:r>
        <w:rPr>
          <w:color w:val="231F20"/>
          <w:spacing w:val="-5"/>
        </w:rPr>
        <w:t xml:space="preserve"> </w:t>
      </w:r>
      <w:r>
        <w:rPr>
          <w:color w:val="231F20"/>
        </w:rPr>
        <w:t xml:space="preserve">зв’язків. </w:t>
      </w:r>
      <w:r>
        <w:rPr>
          <w:b/>
          <w:i/>
          <w:color w:val="231F20"/>
        </w:rPr>
        <w:t>По-друге</w:t>
      </w:r>
      <w:r>
        <w:rPr>
          <w:color w:val="231F20"/>
        </w:rPr>
        <w:t>,</w:t>
      </w:r>
      <w:r>
        <w:rPr>
          <w:color w:val="231F20"/>
          <w:spacing w:val="-14"/>
        </w:rPr>
        <w:t xml:space="preserve"> </w:t>
      </w:r>
      <w:r>
        <w:rPr>
          <w:color w:val="231F20"/>
        </w:rPr>
        <w:t>адміністративні</w:t>
      </w:r>
      <w:r>
        <w:rPr>
          <w:color w:val="231F20"/>
          <w:spacing w:val="-14"/>
        </w:rPr>
        <w:t xml:space="preserve"> </w:t>
      </w:r>
      <w:r>
        <w:rPr>
          <w:color w:val="231F20"/>
        </w:rPr>
        <w:t>проступки</w:t>
      </w:r>
      <w:r>
        <w:rPr>
          <w:color w:val="231F20"/>
          <w:spacing w:val="-14"/>
        </w:rPr>
        <w:t xml:space="preserve"> </w:t>
      </w:r>
      <w:r>
        <w:rPr>
          <w:color w:val="231F20"/>
        </w:rPr>
        <w:t>зафіксов</w:t>
      </w:r>
      <w:r>
        <w:rPr>
          <w:color w:val="231F20"/>
        </w:rPr>
        <w:t>ані</w:t>
      </w:r>
      <w:r>
        <w:rPr>
          <w:color w:val="231F20"/>
          <w:spacing w:val="-14"/>
        </w:rPr>
        <w:t xml:space="preserve"> </w:t>
      </w:r>
      <w:r>
        <w:rPr>
          <w:color w:val="231F20"/>
        </w:rPr>
        <w:t>в</w:t>
      </w:r>
      <w:r>
        <w:rPr>
          <w:color w:val="231F20"/>
          <w:spacing w:val="-14"/>
        </w:rPr>
        <w:t xml:space="preserve"> </w:t>
      </w:r>
      <w:r>
        <w:rPr>
          <w:color w:val="231F20"/>
        </w:rPr>
        <w:t>законодавстві</w:t>
      </w:r>
      <w:r>
        <w:rPr>
          <w:color w:val="231F20"/>
          <w:spacing w:val="-1"/>
        </w:rPr>
        <w:t xml:space="preserve"> </w:t>
      </w:r>
      <w:r>
        <w:rPr>
          <w:color w:val="231F20"/>
        </w:rPr>
        <w:t>про адміністративні правопорушення. Дисциплінарні</w:t>
      </w:r>
      <w:r>
        <w:rPr>
          <w:color w:val="231F20"/>
          <w:spacing w:val="27"/>
        </w:rPr>
        <w:t xml:space="preserve"> </w:t>
      </w:r>
      <w:r>
        <w:rPr>
          <w:color w:val="231F20"/>
        </w:rPr>
        <w:t>проступки</w:t>
      </w:r>
      <w:r>
        <w:rPr>
          <w:color w:val="231F20"/>
          <w:spacing w:val="6"/>
        </w:rPr>
        <w:t xml:space="preserve"> </w:t>
      </w:r>
      <w:r>
        <w:rPr>
          <w:color w:val="231F20"/>
        </w:rPr>
        <w:t>не утворюють окремої галузі законодавства. Вони прямо</w:t>
      </w:r>
      <w:r>
        <w:rPr>
          <w:color w:val="231F20"/>
          <w:spacing w:val="12"/>
        </w:rPr>
        <w:t xml:space="preserve"> </w:t>
      </w:r>
      <w:r>
        <w:rPr>
          <w:color w:val="231F20"/>
        </w:rPr>
        <w:t>або</w:t>
      </w:r>
      <w:r>
        <w:rPr>
          <w:color w:val="231F20"/>
          <w:spacing w:val="40"/>
        </w:rPr>
        <w:t xml:space="preserve"> </w:t>
      </w:r>
      <w:r>
        <w:rPr>
          <w:color w:val="231F20"/>
        </w:rPr>
        <w:t>опосе- редковано називаються в нормативному</w:t>
      </w:r>
      <w:r>
        <w:rPr>
          <w:color w:val="231F20"/>
          <w:spacing w:val="-16"/>
        </w:rPr>
        <w:t xml:space="preserve"> </w:t>
      </w:r>
      <w:r>
        <w:rPr>
          <w:color w:val="231F20"/>
        </w:rPr>
        <w:t>матеріалі</w:t>
      </w:r>
      <w:r>
        <w:rPr>
          <w:color w:val="231F20"/>
          <w:spacing w:val="30"/>
        </w:rPr>
        <w:t xml:space="preserve"> </w:t>
      </w:r>
      <w:r>
        <w:rPr>
          <w:color w:val="231F20"/>
        </w:rPr>
        <w:t xml:space="preserve">адміністратив- ного, </w:t>
      </w:r>
      <w:r>
        <w:rPr>
          <w:color w:val="231F20"/>
          <w:spacing w:val="-3"/>
        </w:rPr>
        <w:t xml:space="preserve">трудового, </w:t>
      </w:r>
      <w:r>
        <w:rPr>
          <w:color w:val="231F20"/>
        </w:rPr>
        <w:t>виправно-трудового й інших галузей</w:t>
      </w:r>
      <w:r>
        <w:rPr>
          <w:color w:val="231F20"/>
          <w:spacing w:val="27"/>
        </w:rPr>
        <w:t xml:space="preserve"> </w:t>
      </w:r>
      <w:r>
        <w:rPr>
          <w:color w:val="231F20"/>
        </w:rPr>
        <w:t>права.</w:t>
      </w:r>
      <w:r>
        <w:rPr>
          <w:color w:val="231F20"/>
          <w:spacing w:val="10"/>
        </w:rPr>
        <w:t xml:space="preserve"> </w:t>
      </w:r>
      <w:r>
        <w:rPr>
          <w:i/>
          <w:color w:val="231F20"/>
        </w:rPr>
        <w:t xml:space="preserve">Це, </w:t>
      </w:r>
      <w:r>
        <w:rPr>
          <w:i/>
          <w:color w:val="231F20"/>
          <w:u w:val="single" w:color="231F20"/>
        </w:rPr>
        <w:t>наприклад</w:t>
      </w:r>
      <w:r>
        <w:rPr>
          <w:i/>
          <w:color w:val="231F20"/>
        </w:rPr>
        <w:t xml:space="preserve">, </w:t>
      </w:r>
      <w:r>
        <w:rPr>
          <w:i/>
          <w:color w:val="231F20"/>
          <w:spacing w:val="-3"/>
        </w:rPr>
        <w:t xml:space="preserve">Кодекс </w:t>
      </w:r>
      <w:r>
        <w:rPr>
          <w:i/>
          <w:color w:val="231F20"/>
        </w:rPr>
        <w:t>законів про працю України (статті 40,</w:t>
      </w:r>
      <w:r>
        <w:rPr>
          <w:i/>
          <w:color w:val="231F20"/>
          <w:spacing w:val="21"/>
        </w:rPr>
        <w:t xml:space="preserve"> </w:t>
      </w:r>
      <w:r>
        <w:rPr>
          <w:i/>
          <w:color w:val="231F20"/>
        </w:rPr>
        <w:t>41,</w:t>
      </w:r>
      <w:r>
        <w:rPr>
          <w:i/>
          <w:color w:val="231F20"/>
          <w:spacing w:val="36"/>
        </w:rPr>
        <w:t xml:space="preserve"> </w:t>
      </w:r>
      <w:r>
        <w:rPr>
          <w:i/>
          <w:color w:val="231F20"/>
        </w:rPr>
        <w:t>139,</w:t>
      </w:r>
      <w:r>
        <w:rPr>
          <w:i/>
          <w:color w:val="231F20"/>
          <w:spacing w:val="-1"/>
        </w:rPr>
        <w:t xml:space="preserve"> </w:t>
      </w:r>
      <w:r>
        <w:rPr>
          <w:i/>
          <w:color w:val="231F20"/>
        </w:rPr>
        <w:t>140, 147); Кримінально-виконавчий кодекс України (статті 68,</w:t>
      </w:r>
      <w:r>
        <w:rPr>
          <w:i/>
          <w:color w:val="231F20"/>
          <w:spacing w:val="-29"/>
        </w:rPr>
        <w:t xml:space="preserve"> </w:t>
      </w:r>
      <w:r>
        <w:rPr>
          <w:i/>
          <w:color w:val="231F20"/>
        </w:rPr>
        <w:t>82</w:t>
      </w:r>
      <w:r>
        <w:rPr>
          <w:i/>
          <w:color w:val="231F20"/>
          <w:spacing w:val="-4"/>
        </w:rPr>
        <w:t xml:space="preserve"> </w:t>
      </w:r>
      <w:r>
        <w:rPr>
          <w:i/>
          <w:color w:val="231F20"/>
        </w:rPr>
        <w:t>та інші); Закони України «Про охорону праці»; «Про колективні</w:t>
      </w:r>
      <w:r>
        <w:rPr>
          <w:i/>
          <w:color w:val="231F20"/>
          <w:spacing w:val="-6"/>
        </w:rPr>
        <w:t xml:space="preserve"> </w:t>
      </w:r>
      <w:r>
        <w:rPr>
          <w:i/>
          <w:color w:val="231F20"/>
        </w:rPr>
        <w:t>договори</w:t>
      </w:r>
    </w:p>
    <w:p w14:paraId="3230ED93" w14:textId="77777777" w:rsidR="00DE575E" w:rsidRDefault="002E7560">
      <w:pPr>
        <w:spacing w:before="8"/>
        <w:ind w:left="250"/>
        <w:rPr>
          <w:i/>
          <w:sz w:val="21"/>
        </w:rPr>
      </w:pPr>
      <w:r>
        <w:rPr>
          <w:i/>
          <w:color w:val="231F20"/>
          <w:sz w:val="21"/>
        </w:rPr>
        <w:t>і угоди»; статути і положення про дисципліну.</w:t>
      </w:r>
    </w:p>
    <w:p w14:paraId="1A16EB7C" w14:textId="77777777" w:rsidR="00DE575E" w:rsidRDefault="002E7560">
      <w:pPr>
        <w:pStyle w:val="BodyText"/>
        <w:spacing w:before="13" w:line="252" w:lineRule="auto"/>
        <w:ind w:left="250" w:right="410" w:firstLine="283"/>
        <w:jc w:val="both"/>
      </w:pPr>
      <w:r>
        <w:rPr>
          <w:b/>
          <w:i/>
          <w:color w:val="231F20"/>
        </w:rPr>
        <w:t>По-третє</w:t>
      </w:r>
      <w:r>
        <w:rPr>
          <w:color w:val="231F20"/>
        </w:rPr>
        <w:t xml:space="preserve">, адміністративні проступки відрізняються від дисци- плінарних за характеристикою </w:t>
      </w:r>
      <w:r>
        <w:rPr>
          <w:color w:val="231F20"/>
          <w:spacing w:val="-3"/>
        </w:rPr>
        <w:t xml:space="preserve">суб’єкта, </w:t>
      </w:r>
      <w:r>
        <w:rPr>
          <w:color w:val="231F20"/>
        </w:rPr>
        <w:t xml:space="preserve">який вчинив протиправне діяння. </w:t>
      </w:r>
      <w:r>
        <w:rPr>
          <w:color w:val="231F20"/>
          <w:spacing w:val="-3"/>
        </w:rPr>
        <w:t xml:space="preserve">Суб’єктом </w:t>
      </w:r>
      <w:r>
        <w:rPr>
          <w:color w:val="231F20"/>
        </w:rPr>
        <w:t xml:space="preserve">адміністративного проступку є </w:t>
      </w:r>
      <w:r>
        <w:rPr>
          <w:color w:val="231F20"/>
          <w:spacing w:val="-3"/>
        </w:rPr>
        <w:t xml:space="preserve">осудна </w:t>
      </w:r>
      <w:r>
        <w:rPr>
          <w:color w:val="231F20"/>
        </w:rPr>
        <w:t xml:space="preserve">особа, яка </w:t>
      </w:r>
      <w:r>
        <w:rPr>
          <w:color w:val="231F20"/>
          <w:spacing w:val="-3"/>
        </w:rPr>
        <w:t>досягла</w:t>
      </w:r>
      <w:r>
        <w:rPr>
          <w:color w:val="231F20"/>
          <w:spacing w:val="-8"/>
        </w:rPr>
        <w:t xml:space="preserve"> </w:t>
      </w:r>
      <w:r>
        <w:rPr>
          <w:color w:val="231F20"/>
        </w:rPr>
        <w:t>16-річного</w:t>
      </w:r>
      <w:r>
        <w:rPr>
          <w:color w:val="231F20"/>
          <w:spacing w:val="-8"/>
        </w:rPr>
        <w:t xml:space="preserve"> </w:t>
      </w:r>
      <w:r>
        <w:rPr>
          <w:color w:val="231F20"/>
        </w:rPr>
        <w:t>віку</w:t>
      </w:r>
      <w:r>
        <w:rPr>
          <w:color w:val="231F20"/>
          <w:spacing w:val="-8"/>
        </w:rPr>
        <w:t xml:space="preserve"> </w:t>
      </w:r>
      <w:r>
        <w:rPr>
          <w:color w:val="231F20"/>
        </w:rPr>
        <w:t>і</w:t>
      </w:r>
      <w:r>
        <w:rPr>
          <w:color w:val="231F20"/>
          <w:spacing w:val="-8"/>
        </w:rPr>
        <w:t xml:space="preserve"> </w:t>
      </w:r>
      <w:r>
        <w:rPr>
          <w:color w:val="231F20"/>
        </w:rPr>
        <w:t>виконала</w:t>
      </w:r>
      <w:r>
        <w:rPr>
          <w:color w:val="231F20"/>
          <w:spacing w:val="-8"/>
        </w:rPr>
        <w:t xml:space="preserve"> </w:t>
      </w:r>
      <w:r>
        <w:rPr>
          <w:color w:val="231F20"/>
        </w:rPr>
        <w:t>описаний</w:t>
      </w:r>
      <w:r>
        <w:rPr>
          <w:color w:val="231F20"/>
          <w:spacing w:val="-8"/>
        </w:rPr>
        <w:t xml:space="preserve"> </w:t>
      </w:r>
      <w:r>
        <w:rPr>
          <w:color w:val="231F20"/>
        </w:rPr>
        <w:t>у</w:t>
      </w:r>
      <w:r>
        <w:rPr>
          <w:color w:val="231F20"/>
          <w:spacing w:val="-9"/>
        </w:rPr>
        <w:t xml:space="preserve"> </w:t>
      </w:r>
      <w:r>
        <w:rPr>
          <w:color w:val="231F20"/>
        </w:rPr>
        <w:t>законі</w:t>
      </w:r>
      <w:r>
        <w:rPr>
          <w:color w:val="231F20"/>
          <w:spacing w:val="-8"/>
        </w:rPr>
        <w:t xml:space="preserve"> </w:t>
      </w:r>
      <w:r>
        <w:rPr>
          <w:color w:val="231F20"/>
        </w:rPr>
        <w:t>склад</w:t>
      </w:r>
      <w:r>
        <w:rPr>
          <w:color w:val="231F20"/>
          <w:spacing w:val="-8"/>
        </w:rPr>
        <w:t xml:space="preserve"> </w:t>
      </w:r>
      <w:r>
        <w:rPr>
          <w:color w:val="231F20"/>
        </w:rPr>
        <w:t xml:space="preserve">адмініст- ративного  проступку.  </w:t>
      </w:r>
      <w:r>
        <w:rPr>
          <w:color w:val="231F20"/>
          <w:spacing w:val="-4"/>
        </w:rPr>
        <w:t xml:space="preserve">Таким  </w:t>
      </w:r>
      <w:r>
        <w:rPr>
          <w:color w:val="231F20"/>
        </w:rPr>
        <w:t>чином,  головними  ознаками</w:t>
      </w:r>
      <w:r>
        <w:rPr>
          <w:color w:val="231F20"/>
          <w:spacing w:val="2"/>
        </w:rPr>
        <w:t xml:space="preserve"> </w:t>
      </w:r>
      <w:r>
        <w:rPr>
          <w:color w:val="231F20"/>
          <w:spacing w:val="-4"/>
        </w:rPr>
        <w:t>суб’єкта</w:t>
      </w:r>
    </w:p>
    <w:p w14:paraId="7C54B60E" w14:textId="77777777" w:rsidR="00DE575E" w:rsidRDefault="00DE575E">
      <w:pPr>
        <w:pStyle w:val="BodyText"/>
        <w:spacing w:before="7"/>
        <w:rPr>
          <w:sz w:val="12"/>
        </w:rPr>
      </w:pPr>
    </w:p>
    <w:p w14:paraId="58D93843" w14:textId="77777777" w:rsidR="00DE575E" w:rsidRDefault="002E7560">
      <w:pPr>
        <w:spacing w:before="91"/>
        <w:ind w:right="411"/>
        <w:jc w:val="right"/>
        <w:rPr>
          <w:rFonts w:ascii="Times New Roman"/>
          <w:sz w:val="20"/>
        </w:rPr>
      </w:pPr>
      <w:r>
        <w:rPr>
          <w:rFonts w:ascii="Times New Roman"/>
          <w:color w:val="231F20"/>
          <w:w w:val="90"/>
          <w:sz w:val="20"/>
        </w:rPr>
        <w:t>489</w:t>
      </w:r>
    </w:p>
    <w:p w14:paraId="205041E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1FBF88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A7B32AE" w14:textId="27D08CD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3772C8E" wp14:editId="7B593198">
                <wp:extent cx="4140200" cy="6350"/>
                <wp:effectExtent l="0" t="0" r="12700" b="6350"/>
                <wp:docPr id="18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88" name="Line 1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FAC164" id="Group_x0020_1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LxGwjd/AgAAmAUAAA4A&#10;AAAAAAAAAAAAAAAALAIAAGRycy9lMm9Eb2MueG1sUEsBAi0AFAAGAAgAAAAhAEynsJDZAAAAAwEA&#10;AA8AAAAAAAAAAAAAAAAA1wQAAGRycy9kb3ducmV2LnhtbFBLBQYAAAAABAAEAPMAAADdBQAAAAA=&#10;">
                <v:line id="Line_x0020_1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FGKcYAAADcAAAADwAAAGRycy9kb3ducmV2LnhtbESPQWvCQBCF74X+h2UKvRTdWKFIdJVS&#10;EEoPao0/YMyOSXB3NmZXk/bXO4dCbzO8N+99s1gN3qkbdbEJbGAyzkARl8E2XBk4FOvRDFRMyBZd&#10;YDLwQxFWy8eHBeY29PxNt32qlIRwzNFAnVKbax3LmjzGcWiJRTuFzmOStau07bCXcO/0a5a9aY8N&#10;S0ONLX3UVJ73V2+guLwkt9t+ub7YHqf6eNlMf68bY56fhvc5qERD+jf/XX9awZ8JrTwjE+jl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hRinGAAAA3AAAAA8AAAAAAAAA&#10;AAAAAAAAoQIAAGRycy9kb3ducmV2LnhtbFBLBQYAAAAABAAEAPkAAACUAwAAAAA=&#10;" strokecolor="#231f20" strokeweight=".5pt"/>
                <w10:anchorlock/>
              </v:group>
            </w:pict>
          </mc:Fallback>
        </mc:AlternateContent>
      </w:r>
    </w:p>
    <w:p w14:paraId="635427E8" w14:textId="77777777" w:rsidR="00DE575E" w:rsidRDefault="00DE575E">
      <w:pPr>
        <w:pStyle w:val="BodyText"/>
        <w:spacing w:before="7"/>
        <w:rPr>
          <w:rFonts w:ascii="AdonisC"/>
          <w:i/>
          <w:sz w:val="11"/>
        </w:rPr>
      </w:pPr>
    </w:p>
    <w:p w14:paraId="2E8BE24C" w14:textId="77777777" w:rsidR="00DE575E" w:rsidRDefault="002E7560">
      <w:pPr>
        <w:pStyle w:val="BodyText"/>
        <w:spacing w:before="101" w:line="252" w:lineRule="auto"/>
        <w:ind w:left="533" w:right="128"/>
        <w:jc w:val="both"/>
      </w:pPr>
      <w:r>
        <w:rPr>
          <w:color w:val="231F20"/>
        </w:rPr>
        <w:t xml:space="preserve">адміністративного проступку є вік, осудність, винність. </w:t>
      </w:r>
      <w:r>
        <w:rPr>
          <w:color w:val="231F20"/>
          <w:spacing w:val="-3"/>
        </w:rPr>
        <w:t xml:space="preserve">Суб’єктом </w:t>
      </w:r>
      <w:r>
        <w:rPr>
          <w:color w:val="231F20"/>
        </w:rPr>
        <w:t xml:space="preserve">дисциплінарного проступку може бути лише особа, що перебуває    у </w:t>
      </w:r>
      <w:r>
        <w:rPr>
          <w:color w:val="231F20"/>
          <w:spacing w:val="-3"/>
        </w:rPr>
        <w:t xml:space="preserve">трудових </w:t>
      </w:r>
      <w:r>
        <w:rPr>
          <w:color w:val="231F20"/>
        </w:rPr>
        <w:t xml:space="preserve">відносинах з роботодавцем. </w:t>
      </w:r>
      <w:r>
        <w:rPr>
          <w:color w:val="231F20"/>
          <w:spacing w:val="-5"/>
        </w:rPr>
        <w:t xml:space="preserve">Така </w:t>
      </w:r>
      <w:r>
        <w:rPr>
          <w:color w:val="231F20"/>
        </w:rPr>
        <w:t>особа може бути як повнолітньою, так і неповно</w:t>
      </w:r>
      <w:r>
        <w:rPr>
          <w:color w:val="231F20"/>
        </w:rPr>
        <w:t xml:space="preserve">літньою. </w:t>
      </w:r>
      <w:r>
        <w:rPr>
          <w:color w:val="231F20"/>
          <w:spacing w:val="-4"/>
        </w:rPr>
        <w:t xml:space="preserve">Таким </w:t>
      </w:r>
      <w:r>
        <w:rPr>
          <w:color w:val="231F20"/>
        </w:rPr>
        <w:t xml:space="preserve">чином, головною озна- кою </w:t>
      </w:r>
      <w:r>
        <w:rPr>
          <w:color w:val="231F20"/>
          <w:spacing w:val="-3"/>
        </w:rPr>
        <w:t xml:space="preserve">суб’єкта </w:t>
      </w:r>
      <w:r>
        <w:rPr>
          <w:color w:val="231F20"/>
        </w:rPr>
        <w:t xml:space="preserve">дисциплінарного проступку є перебування у </w:t>
      </w:r>
      <w:r>
        <w:rPr>
          <w:color w:val="231F20"/>
          <w:spacing w:val="-3"/>
        </w:rPr>
        <w:t xml:space="preserve">трудо- </w:t>
      </w:r>
      <w:r>
        <w:rPr>
          <w:color w:val="231F20"/>
        </w:rPr>
        <w:t xml:space="preserve">вих відносинах з роботодавцем. Відсутність цієї ознаки виключає визнання особи </w:t>
      </w:r>
      <w:r>
        <w:rPr>
          <w:color w:val="231F20"/>
          <w:spacing w:val="-3"/>
        </w:rPr>
        <w:t xml:space="preserve">суб’єктом </w:t>
      </w:r>
      <w:r>
        <w:rPr>
          <w:color w:val="231F20"/>
        </w:rPr>
        <w:t>дисциплінарного</w:t>
      </w:r>
      <w:r>
        <w:rPr>
          <w:color w:val="231F20"/>
          <w:spacing w:val="-3"/>
        </w:rPr>
        <w:t xml:space="preserve"> </w:t>
      </w:r>
      <w:r>
        <w:rPr>
          <w:color w:val="231F20"/>
        </w:rPr>
        <w:t>проступку.</w:t>
      </w:r>
    </w:p>
    <w:p w14:paraId="4775507B" w14:textId="77777777" w:rsidR="00DE575E" w:rsidRDefault="002E7560">
      <w:pPr>
        <w:pStyle w:val="BodyText"/>
        <w:spacing w:before="3" w:line="252" w:lineRule="auto"/>
        <w:ind w:left="533" w:right="127" w:firstLine="283"/>
        <w:jc w:val="both"/>
      </w:pPr>
      <w:r>
        <w:rPr>
          <w:b/>
          <w:i/>
          <w:color w:val="231F20"/>
        </w:rPr>
        <w:t>По-четверте</w:t>
      </w:r>
      <w:r>
        <w:rPr>
          <w:color w:val="231F20"/>
        </w:rPr>
        <w:t>, адміністративні проступки ві</w:t>
      </w:r>
      <w:r>
        <w:rPr>
          <w:color w:val="231F20"/>
        </w:rPr>
        <w:t xml:space="preserve">дрізняються від дисциплінарних за характеристикою </w:t>
      </w:r>
      <w:r>
        <w:rPr>
          <w:color w:val="231F20"/>
          <w:spacing w:val="-3"/>
        </w:rPr>
        <w:t xml:space="preserve">суб’єкта, </w:t>
      </w:r>
      <w:r>
        <w:rPr>
          <w:color w:val="231F20"/>
        </w:rPr>
        <w:t xml:space="preserve">який має право їх розглядати і постановляти рішення. </w:t>
      </w:r>
      <w:r>
        <w:rPr>
          <w:color w:val="231F20"/>
          <w:spacing w:val="-3"/>
        </w:rPr>
        <w:t xml:space="preserve">Суб’єктом розгляду </w:t>
      </w:r>
      <w:r>
        <w:rPr>
          <w:color w:val="231F20"/>
        </w:rPr>
        <w:t>дисциплі- нарних справ є керівник колективу, в якому працює правопоруш- ник. Між ними (керівником і порушником дисципліни) о</w:t>
      </w:r>
      <w:r>
        <w:rPr>
          <w:color w:val="231F20"/>
        </w:rPr>
        <w:t xml:space="preserve">бов’язково існують стійкі організаційні зв’язки типу «начальник – підлеглий». </w:t>
      </w:r>
      <w:r>
        <w:rPr>
          <w:color w:val="231F20"/>
          <w:spacing w:val="-3"/>
        </w:rPr>
        <w:t xml:space="preserve">Суб’єктом  розгляду  </w:t>
      </w:r>
      <w:r>
        <w:rPr>
          <w:color w:val="231F20"/>
        </w:rPr>
        <w:t>справ  про   адміністративні   правопорушення є носій функціональної влади, повноваження якого чітко визначені й зафіксовані в законодавстві. Між ним і право</w:t>
      </w:r>
      <w:r>
        <w:rPr>
          <w:color w:val="231F20"/>
        </w:rPr>
        <w:t>порушником немає стійких організаційних</w:t>
      </w:r>
      <w:r>
        <w:rPr>
          <w:color w:val="231F20"/>
          <w:spacing w:val="-3"/>
        </w:rPr>
        <w:t xml:space="preserve"> </w:t>
      </w:r>
      <w:r>
        <w:rPr>
          <w:color w:val="231F20"/>
        </w:rPr>
        <w:t>зв’язків.</w:t>
      </w:r>
    </w:p>
    <w:p w14:paraId="7A9D5479" w14:textId="77777777" w:rsidR="00DE575E" w:rsidRDefault="00DE575E">
      <w:pPr>
        <w:pStyle w:val="BodyText"/>
        <w:rPr>
          <w:sz w:val="24"/>
        </w:rPr>
      </w:pPr>
    </w:p>
    <w:p w14:paraId="00BEA557" w14:textId="77777777" w:rsidR="00DE575E" w:rsidRDefault="00DE575E">
      <w:pPr>
        <w:pStyle w:val="BodyText"/>
        <w:spacing w:before="7"/>
        <w:rPr>
          <w:sz w:val="20"/>
        </w:rPr>
      </w:pPr>
    </w:p>
    <w:p w14:paraId="2CD9A5FE" w14:textId="77777777" w:rsidR="00DE575E" w:rsidRDefault="002E7560">
      <w:pPr>
        <w:pStyle w:val="Heading5"/>
        <w:ind w:left="2371"/>
      </w:pPr>
      <w:r>
        <w:rPr>
          <w:color w:val="231F20"/>
        </w:rPr>
        <w:t>Питання для самоконтролю</w:t>
      </w:r>
    </w:p>
    <w:p w14:paraId="34C1BB45" w14:textId="77777777" w:rsidR="00DE575E" w:rsidRDefault="00DE575E">
      <w:pPr>
        <w:pStyle w:val="BodyText"/>
        <w:spacing w:before="2"/>
        <w:rPr>
          <w:b/>
          <w:sz w:val="23"/>
        </w:rPr>
      </w:pPr>
    </w:p>
    <w:p w14:paraId="073A1BAD" w14:textId="77777777" w:rsidR="00DE575E" w:rsidRDefault="002E7560">
      <w:pPr>
        <w:pStyle w:val="ListParagraph"/>
        <w:numPr>
          <w:ilvl w:val="0"/>
          <w:numId w:val="26"/>
        </w:numPr>
        <w:tabs>
          <w:tab w:val="left" w:pos="1101"/>
        </w:tabs>
        <w:spacing w:before="0" w:line="252" w:lineRule="auto"/>
        <w:ind w:right="128" w:firstLine="284"/>
        <w:jc w:val="both"/>
        <w:rPr>
          <w:sz w:val="21"/>
        </w:rPr>
      </w:pPr>
      <w:r>
        <w:rPr>
          <w:color w:val="231F20"/>
          <w:sz w:val="21"/>
        </w:rPr>
        <w:t>Визначте поняття та ознаки адміністративного правопору- шення.</w:t>
      </w:r>
    </w:p>
    <w:p w14:paraId="5B447042" w14:textId="77777777" w:rsidR="00DE575E" w:rsidRDefault="002E7560">
      <w:pPr>
        <w:pStyle w:val="ListParagraph"/>
        <w:numPr>
          <w:ilvl w:val="0"/>
          <w:numId w:val="26"/>
        </w:numPr>
        <w:tabs>
          <w:tab w:val="left" w:pos="1101"/>
        </w:tabs>
        <w:spacing w:line="252" w:lineRule="auto"/>
        <w:ind w:right="128" w:firstLine="284"/>
        <w:jc w:val="both"/>
        <w:rPr>
          <w:sz w:val="21"/>
        </w:rPr>
      </w:pPr>
      <w:r>
        <w:rPr>
          <w:color w:val="231F20"/>
          <w:sz w:val="21"/>
        </w:rPr>
        <w:t>Відмежування адміністративного правопорушення від кримі- нального</w:t>
      </w:r>
      <w:r>
        <w:rPr>
          <w:color w:val="231F20"/>
          <w:spacing w:val="-1"/>
          <w:sz w:val="21"/>
        </w:rPr>
        <w:t xml:space="preserve"> </w:t>
      </w:r>
      <w:r>
        <w:rPr>
          <w:color w:val="231F20"/>
          <w:sz w:val="21"/>
        </w:rPr>
        <w:t>правопорушення.</w:t>
      </w:r>
    </w:p>
    <w:p w14:paraId="6B938335" w14:textId="77777777" w:rsidR="00DE575E" w:rsidRDefault="002E7560">
      <w:pPr>
        <w:pStyle w:val="ListParagraph"/>
        <w:numPr>
          <w:ilvl w:val="0"/>
          <w:numId w:val="26"/>
        </w:numPr>
        <w:tabs>
          <w:tab w:val="left" w:pos="1101"/>
        </w:tabs>
        <w:ind w:firstLine="284"/>
        <w:rPr>
          <w:sz w:val="21"/>
        </w:rPr>
      </w:pPr>
      <w:r>
        <w:rPr>
          <w:color w:val="231F20"/>
          <w:sz w:val="21"/>
        </w:rPr>
        <w:t>Розкрийте поняття та види кримінального</w:t>
      </w:r>
      <w:r>
        <w:rPr>
          <w:color w:val="231F20"/>
          <w:spacing w:val="-16"/>
          <w:sz w:val="21"/>
        </w:rPr>
        <w:t xml:space="preserve"> </w:t>
      </w:r>
      <w:r>
        <w:rPr>
          <w:color w:val="231F20"/>
          <w:sz w:val="21"/>
        </w:rPr>
        <w:t>правопорушення.</w:t>
      </w:r>
    </w:p>
    <w:p w14:paraId="151D67B7" w14:textId="77777777" w:rsidR="00DE575E" w:rsidRDefault="002E7560">
      <w:pPr>
        <w:pStyle w:val="ListParagraph"/>
        <w:numPr>
          <w:ilvl w:val="0"/>
          <w:numId w:val="26"/>
        </w:numPr>
        <w:tabs>
          <w:tab w:val="left" w:pos="1101"/>
        </w:tabs>
        <w:spacing w:before="13" w:line="252" w:lineRule="auto"/>
        <w:ind w:right="128" w:firstLine="284"/>
        <w:jc w:val="both"/>
        <w:rPr>
          <w:sz w:val="21"/>
        </w:rPr>
      </w:pPr>
      <w:r>
        <w:rPr>
          <w:color w:val="231F20"/>
          <w:sz w:val="21"/>
        </w:rPr>
        <w:t>Відмежування адміністративного правопорушення від дисци- плінарного</w:t>
      </w:r>
      <w:r>
        <w:rPr>
          <w:color w:val="231F20"/>
          <w:spacing w:val="-1"/>
          <w:sz w:val="21"/>
        </w:rPr>
        <w:t xml:space="preserve"> </w:t>
      </w:r>
      <w:r>
        <w:rPr>
          <w:color w:val="231F20"/>
          <w:sz w:val="21"/>
        </w:rPr>
        <w:t>правопорушення.</w:t>
      </w:r>
    </w:p>
    <w:p w14:paraId="24209AD8" w14:textId="77777777" w:rsidR="00DE575E" w:rsidRDefault="00DE575E">
      <w:pPr>
        <w:pStyle w:val="BodyText"/>
        <w:spacing w:before="2"/>
        <w:rPr>
          <w:sz w:val="22"/>
        </w:rPr>
      </w:pPr>
    </w:p>
    <w:p w14:paraId="11E10F43" w14:textId="77777777" w:rsidR="00DE575E" w:rsidRDefault="002E7560">
      <w:pPr>
        <w:pStyle w:val="Heading5"/>
        <w:ind w:left="1778"/>
      </w:pPr>
      <w:r>
        <w:rPr>
          <w:color w:val="231F20"/>
        </w:rPr>
        <w:t>Література для поглибленого вивчення</w:t>
      </w:r>
    </w:p>
    <w:p w14:paraId="02133910" w14:textId="77777777" w:rsidR="00DE575E" w:rsidRDefault="00DE575E">
      <w:pPr>
        <w:pStyle w:val="BodyText"/>
        <w:spacing w:before="2"/>
        <w:rPr>
          <w:b/>
          <w:sz w:val="23"/>
        </w:rPr>
      </w:pPr>
    </w:p>
    <w:p w14:paraId="3680C55F" w14:textId="77777777" w:rsidR="00DE575E" w:rsidRDefault="002E7560">
      <w:pPr>
        <w:pStyle w:val="ListParagraph"/>
        <w:numPr>
          <w:ilvl w:val="0"/>
          <w:numId w:val="25"/>
        </w:numPr>
        <w:tabs>
          <w:tab w:val="left" w:pos="1101"/>
        </w:tabs>
        <w:spacing w:before="0" w:line="252" w:lineRule="auto"/>
        <w:ind w:right="128" w:firstLine="284"/>
        <w:jc w:val="both"/>
        <w:rPr>
          <w:sz w:val="21"/>
        </w:rPr>
      </w:pPr>
      <w:r>
        <w:rPr>
          <w:color w:val="231F20"/>
          <w:spacing w:val="-3"/>
          <w:sz w:val="21"/>
        </w:rPr>
        <w:t xml:space="preserve">Кодекс  України  </w:t>
      </w:r>
      <w:r>
        <w:rPr>
          <w:color w:val="231F20"/>
          <w:sz w:val="21"/>
        </w:rPr>
        <w:t xml:space="preserve">про   адміністративні   правопорушення   від 7 </w:t>
      </w:r>
      <w:r>
        <w:rPr>
          <w:color w:val="231F20"/>
          <w:spacing w:val="-3"/>
          <w:sz w:val="21"/>
        </w:rPr>
        <w:t xml:space="preserve">грудня </w:t>
      </w:r>
      <w:r>
        <w:rPr>
          <w:color w:val="231F20"/>
          <w:sz w:val="21"/>
        </w:rPr>
        <w:t xml:space="preserve">1984 року № 8073-X. </w:t>
      </w:r>
      <w:r>
        <w:rPr>
          <w:i/>
          <w:color w:val="231F20"/>
          <w:sz w:val="21"/>
        </w:rPr>
        <w:t xml:space="preserve">Відомості Верховної Ради Української РСР </w:t>
      </w:r>
      <w:r>
        <w:rPr>
          <w:color w:val="231F20"/>
          <w:sz w:val="21"/>
        </w:rPr>
        <w:t xml:space="preserve">1984, додаток до № 51. </w:t>
      </w:r>
      <w:r>
        <w:rPr>
          <w:color w:val="231F20"/>
          <w:spacing w:val="-6"/>
          <w:sz w:val="21"/>
        </w:rPr>
        <w:t>Ст.</w:t>
      </w:r>
      <w:r>
        <w:rPr>
          <w:color w:val="231F20"/>
          <w:spacing w:val="-9"/>
          <w:sz w:val="21"/>
        </w:rPr>
        <w:t xml:space="preserve"> </w:t>
      </w:r>
      <w:r>
        <w:rPr>
          <w:color w:val="231F20"/>
          <w:sz w:val="21"/>
        </w:rPr>
        <w:t>1122.</w:t>
      </w:r>
    </w:p>
    <w:p w14:paraId="0520ADF3" w14:textId="77777777" w:rsidR="00DE575E" w:rsidRDefault="002E7560">
      <w:pPr>
        <w:pStyle w:val="ListParagraph"/>
        <w:numPr>
          <w:ilvl w:val="0"/>
          <w:numId w:val="25"/>
        </w:numPr>
        <w:tabs>
          <w:tab w:val="left" w:pos="1101"/>
        </w:tabs>
        <w:spacing w:before="2" w:line="252" w:lineRule="auto"/>
        <w:ind w:right="128" w:firstLine="284"/>
        <w:jc w:val="both"/>
        <w:rPr>
          <w:sz w:val="21"/>
        </w:rPr>
      </w:pPr>
      <w:r>
        <w:rPr>
          <w:color w:val="231F20"/>
          <w:sz w:val="21"/>
        </w:rPr>
        <w:t xml:space="preserve">Закон </w:t>
      </w:r>
      <w:r>
        <w:rPr>
          <w:color w:val="231F20"/>
          <w:spacing w:val="-3"/>
          <w:sz w:val="21"/>
        </w:rPr>
        <w:t xml:space="preserve">України </w:t>
      </w:r>
      <w:r>
        <w:rPr>
          <w:color w:val="231F20"/>
          <w:sz w:val="21"/>
        </w:rPr>
        <w:t xml:space="preserve">«Про внесення змін до деяких законодавчих актів </w:t>
      </w:r>
      <w:r>
        <w:rPr>
          <w:color w:val="231F20"/>
          <w:spacing w:val="-3"/>
          <w:sz w:val="21"/>
        </w:rPr>
        <w:t xml:space="preserve">України </w:t>
      </w:r>
      <w:r>
        <w:rPr>
          <w:color w:val="231F20"/>
          <w:sz w:val="21"/>
        </w:rPr>
        <w:t>щодо спрощення досудового розслідування окремих категорій кримінальних</w:t>
      </w:r>
      <w:r>
        <w:rPr>
          <w:color w:val="231F20"/>
          <w:spacing w:val="-2"/>
          <w:sz w:val="21"/>
        </w:rPr>
        <w:t xml:space="preserve"> </w:t>
      </w:r>
      <w:r>
        <w:rPr>
          <w:color w:val="231F20"/>
          <w:sz w:val="21"/>
        </w:rPr>
        <w:t>правопорушень.</w:t>
      </w:r>
    </w:p>
    <w:p w14:paraId="51BE04FD" w14:textId="77777777" w:rsidR="00DE575E" w:rsidRDefault="002E7560">
      <w:pPr>
        <w:pStyle w:val="ListParagraph"/>
        <w:numPr>
          <w:ilvl w:val="0"/>
          <w:numId w:val="25"/>
        </w:numPr>
        <w:tabs>
          <w:tab w:val="left" w:pos="1101"/>
        </w:tabs>
        <w:ind w:firstLine="284"/>
        <w:rPr>
          <w:sz w:val="21"/>
        </w:rPr>
      </w:pPr>
      <w:r>
        <w:rPr>
          <w:color w:val="231F20"/>
          <w:sz w:val="21"/>
        </w:rPr>
        <w:t>Про</w:t>
      </w:r>
      <w:r>
        <w:rPr>
          <w:color w:val="231F20"/>
          <w:spacing w:val="-14"/>
          <w:sz w:val="21"/>
        </w:rPr>
        <w:t xml:space="preserve"> </w:t>
      </w:r>
      <w:r>
        <w:rPr>
          <w:color w:val="231F20"/>
          <w:sz w:val="21"/>
        </w:rPr>
        <w:t>На</w:t>
      </w:r>
      <w:r>
        <w:rPr>
          <w:color w:val="231F20"/>
          <w:sz w:val="21"/>
        </w:rPr>
        <w:t>ціональну</w:t>
      </w:r>
      <w:r>
        <w:rPr>
          <w:color w:val="231F20"/>
          <w:spacing w:val="-14"/>
          <w:sz w:val="21"/>
        </w:rPr>
        <w:t xml:space="preserve"> </w:t>
      </w:r>
      <w:r>
        <w:rPr>
          <w:color w:val="231F20"/>
          <w:sz w:val="21"/>
        </w:rPr>
        <w:t>поліцію</w:t>
      </w:r>
      <w:r>
        <w:rPr>
          <w:color w:val="231F20"/>
          <w:spacing w:val="-14"/>
          <w:sz w:val="21"/>
        </w:rPr>
        <w:t xml:space="preserve"> </w:t>
      </w:r>
      <w:r>
        <w:rPr>
          <w:color w:val="231F20"/>
          <w:sz w:val="21"/>
        </w:rPr>
        <w:t>:</w:t>
      </w:r>
      <w:r>
        <w:rPr>
          <w:color w:val="231F20"/>
          <w:spacing w:val="-14"/>
          <w:sz w:val="21"/>
        </w:rPr>
        <w:t xml:space="preserve"> </w:t>
      </w:r>
      <w:r>
        <w:rPr>
          <w:color w:val="231F20"/>
          <w:sz w:val="21"/>
        </w:rPr>
        <w:t>Закон</w:t>
      </w:r>
      <w:r>
        <w:rPr>
          <w:color w:val="231F20"/>
          <w:spacing w:val="-14"/>
          <w:sz w:val="21"/>
        </w:rPr>
        <w:t xml:space="preserve"> </w:t>
      </w:r>
      <w:r>
        <w:rPr>
          <w:color w:val="231F20"/>
          <w:spacing w:val="-3"/>
          <w:sz w:val="21"/>
        </w:rPr>
        <w:t>України</w:t>
      </w:r>
      <w:r>
        <w:rPr>
          <w:color w:val="231F20"/>
          <w:spacing w:val="-14"/>
          <w:sz w:val="21"/>
        </w:rPr>
        <w:t xml:space="preserve"> </w:t>
      </w:r>
      <w:r>
        <w:rPr>
          <w:color w:val="231F20"/>
          <w:sz w:val="21"/>
        </w:rPr>
        <w:t>від</w:t>
      </w:r>
      <w:r>
        <w:rPr>
          <w:color w:val="231F20"/>
          <w:spacing w:val="-14"/>
          <w:sz w:val="21"/>
        </w:rPr>
        <w:t xml:space="preserve"> </w:t>
      </w:r>
      <w:r>
        <w:rPr>
          <w:color w:val="231F20"/>
          <w:sz w:val="21"/>
        </w:rPr>
        <w:t>2</w:t>
      </w:r>
      <w:r>
        <w:rPr>
          <w:color w:val="231F20"/>
          <w:spacing w:val="-14"/>
          <w:sz w:val="21"/>
        </w:rPr>
        <w:t xml:space="preserve"> </w:t>
      </w:r>
      <w:r>
        <w:rPr>
          <w:color w:val="231F20"/>
          <w:sz w:val="21"/>
        </w:rPr>
        <w:t>липня</w:t>
      </w:r>
      <w:r>
        <w:rPr>
          <w:color w:val="231F20"/>
          <w:spacing w:val="-14"/>
          <w:sz w:val="21"/>
        </w:rPr>
        <w:t xml:space="preserve"> </w:t>
      </w:r>
      <w:r>
        <w:rPr>
          <w:color w:val="231F20"/>
          <w:sz w:val="21"/>
        </w:rPr>
        <w:t>2015</w:t>
      </w:r>
      <w:r>
        <w:rPr>
          <w:color w:val="231F20"/>
          <w:spacing w:val="-13"/>
          <w:sz w:val="21"/>
        </w:rPr>
        <w:t xml:space="preserve"> </w:t>
      </w:r>
      <w:r>
        <w:rPr>
          <w:color w:val="231F20"/>
          <w:sz w:val="21"/>
        </w:rPr>
        <w:t>року</w:t>
      </w:r>
    </w:p>
    <w:p w14:paraId="01D24338" w14:textId="77777777" w:rsidR="00DE575E" w:rsidRDefault="002E7560">
      <w:pPr>
        <w:spacing w:before="13"/>
        <w:ind w:left="533"/>
        <w:jc w:val="both"/>
        <w:rPr>
          <w:sz w:val="21"/>
        </w:rPr>
      </w:pPr>
      <w:r>
        <w:rPr>
          <w:color w:val="231F20"/>
          <w:sz w:val="21"/>
        </w:rPr>
        <w:t xml:space="preserve">№ 580-VIII. </w:t>
      </w:r>
      <w:r>
        <w:rPr>
          <w:i/>
          <w:color w:val="231F20"/>
          <w:sz w:val="21"/>
        </w:rPr>
        <w:t>Відомості Верховної Ради</w:t>
      </w:r>
      <w:r>
        <w:rPr>
          <w:color w:val="231F20"/>
          <w:sz w:val="21"/>
        </w:rPr>
        <w:t>, 2015. № 40-41. Ст. 379.</w:t>
      </w:r>
    </w:p>
    <w:p w14:paraId="7A695EA2" w14:textId="77777777" w:rsidR="00DE575E" w:rsidRDefault="00DE575E">
      <w:pPr>
        <w:pStyle w:val="BodyText"/>
        <w:spacing w:before="5"/>
        <w:rPr>
          <w:sz w:val="13"/>
        </w:rPr>
      </w:pPr>
    </w:p>
    <w:p w14:paraId="37605BE6" w14:textId="77777777" w:rsidR="00DE575E" w:rsidRDefault="002E7560">
      <w:pPr>
        <w:spacing w:before="92"/>
        <w:ind w:left="533"/>
        <w:rPr>
          <w:rFonts w:ascii="Times New Roman"/>
          <w:sz w:val="20"/>
        </w:rPr>
      </w:pPr>
      <w:r>
        <w:rPr>
          <w:rFonts w:ascii="Times New Roman"/>
          <w:color w:val="231F20"/>
          <w:sz w:val="20"/>
        </w:rPr>
        <w:t>490</w:t>
      </w:r>
    </w:p>
    <w:p w14:paraId="06B25875" w14:textId="77777777" w:rsidR="00DE575E" w:rsidRDefault="00DE575E">
      <w:pPr>
        <w:rPr>
          <w:rFonts w:ascii="Times New Roman"/>
          <w:sz w:val="20"/>
        </w:rPr>
        <w:sectPr w:rsidR="00DE575E">
          <w:pgSz w:w="8510" w:h="12760"/>
          <w:pgMar w:top="660" w:right="720" w:bottom="280" w:left="600" w:header="720" w:footer="720" w:gutter="0"/>
          <w:cols w:space="720"/>
        </w:sectPr>
      </w:pPr>
    </w:p>
    <w:p w14:paraId="02F82213" w14:textId="77777777" w:rsidR="00DE575E" w:rsidRDefault="002E7560">
      <w:pPr>
        <w:spacing w:before="72" w:line="249" w:lineRule="auto"/>
        <w:ind w:left="1643" w:right="392" w:firstLine="1049"/>
        <w:rPr>
          <w:rFonts w:ascii="AdonisC" w:hAnsi="AdonisC"/>
          <w:i/>
          <w:sz w:val="18"/>
        </w:rPr>
      </w:pPr>
      <w:r>
        <w:rPr>
          <w:rFonts w:ascii="AdonisC" w:hAnsi="AdonisC"/>
          <w:i/>
          <w:color w:val="231F20"/>
          <w:sz w:val="18"/>
        </w:rPr>
        <w:t>Глава ІІ Особливе адміністративне право/ Книга ІІ Розділ 3. Юридичний склад адміністративного правопорушення</w:t>
      </w:r>
    </w:p>
    <w:p w14:paraId="043FF4C5" w14:textId="2096BF5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2734DDE" wp14:editId="20C0D421">
                <wp:extent cx="4140200" cy="6350"/>
                <wp:effectExtent l="0" t="0" r="12700" b="6350"/>
                <wp:docPr id="18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86" name="Line 1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62367" id="Group_x0020_1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N/jLXl/AgAAmAUAAA4A&#10;AAAAAAAAAAAAAAAALAIAAGRycy9lMm9Eb2MueG1sUEsBAi0AFAAGAAgAAAAhAEynsJDZAAAAAwEA&#10;AA8AAAAAAAAAAAAAAAAA1wQAAGRycy9kb3ducmV2LnhtbFBLBQYAAAAABAAEAPMAAADdBQAAAAA=&#10;">
                <v:line id="Line_x0020_1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J3wMMAAADcAAAADwAAAGRycy9kb3ducmV2LnhtbERPzYrCMBC+L/gOYQQvi6arINI1yiII&#10;iwd1rQ8wNrNt2WRSm2irT2+EBW/z8f3OfNlZI67U+Mqxgo9RAoI4d7riQsExWw9nIHxA1mgck4Ib&#10;eVguem9zTLVr+Yeuh1CIGMI+RQVlCHUqpc9LsuhHriaO3K9rLIYIm0LqBtsYbo0cJ8lUWqw4NpRY&#10;06qk/O9wsQqy83sw+93GtNnuNJGn83Zyv2yVGvS7r08QgbrwEv+7v3WcP5vC85l4gV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yd8DDAAAA3AAAAA8AAAAAAAAAAAAA&#10;AAAAoQIAAGRycy9kb3ducmV2LnhtbFBLBQYAAAAABAAEAPkAAACRAwAAAAA=&#10;" strokecolor="#231f20" strokeweight=".5pt"/>
                <w10:anchorlock/>
              </v:group>
            </w:pict>
          </mc:Fallback>
        </mc:AlternateContent>
      </w:r>
    </w:p>
    <w:p w14:paraId="249DD015" w14:textId="77777777" w:rsidR="00DE575E" w:rsidRDefault="00DE575E">
      <w:pPr>
        <w:pStyle w:val="BodyText"/>
        <w:spacing w:before="6"/>
        <w:rPr>
          <w:rFonts w:ascii="AdonisC"/>
          <w:i/>
          <w:sz w:val="18"/>
        </w:rPr>
      </w:pPr>
    </w:p>
    <w:p w14:paraId="55448E09" w14:textId="77777777" w:rsidR="00DE575E" w:rsidRDefault="002E7560">
      <w:pPr>
        <w:pStyle w:val="Heading2"/>
        <w:spacing w:line="314" w:lineRule="exact"/>
        <w:ind w:left="497" w:right="658"/>
        <w:jc w:val="center"/>
      </w:pPr>
      <w:r>
        <w:rPr>
          <w:color w:val="231F20"/>
        </w:rPr>
        <w:t>Розділ 3</w:t>
      </w:r>
    </w:p>
    <w:p w14:paraId="4209C6C0" w14:textId="77777777" w:rsidR="00DE575E" w:rsidRDefault="002E7560">
      <w:pPr>
        <w:spacing w:before="10" w:line="218" w:lineRule="auto"/>
        <w:ind w:left="2172" w:right="681" w:hanging="1587"/>
        <w:rPr>
          <w:b/>
          <w:sz w:val="28"/>
        </w:rPr>
      </w:pPr>
      <w:r>
        <w:rPr>
          <w:b/>
          <w:color w:val="231F20"/>
          <w:sz w:val="28"/>
        </w:rPr>
        <w:t>ЮРИДИЧНИЙ СКЛАД АДМІНІСТРАТИВНОГО ПРАВОПОРУШЕННЯ</w:t>
      </w:r>
    </w:p>
    <w:p w14:paraId="0C1A7CE2" w14:textId="77777777" w:rsidR="00DE575E" w:rsidRDefault="00DE575E">
      <w:pPr>
        <w:pStyle w:val="BodyText"/>
        <w:spacing w:before="7"/>
        <w:rPr>
          <w:b/>
          <w:sz w:val="43"/>
        </w:rPr>
      </w:pPr>
    </w:p>
    <w:p w14:paraId="6F35A85D" w14:textId="77777777" w:rsidR="00DE575E" w:rsidRDefault="002E7560">
      <w:pPr>
        <w:pStyle w:val="Heading4"/>
        <w:numPr>
          <w:ilvl w:val="1"/>
          <w:numId w:val="24"/>
        </w:numPr>
        <w:tabs>
          <w:tab w:val="left" w:pos="2186"/>
        </w:tabs>
        <w:spacing w:before="1"/>
        <w:ind w:right="1724" w:firstLine="213"/>
        <w:jc w:val="left"/>
      </w:pPr>
      <w:r>
        <w:rPr>
          <w:color w:val="231F20"/>
        </w:rPr>
        <w:t>Поняття юридичного складу адміністративного</w:t>
      </w:r>
      <w:r>
        <w:rPr>
          <w:color w:val="231F20"/>
          <w:spacing w:val="-19"/>
        </w:rPr>
        <w:t xml:space="preserve"> </w:t>
      </w:r>
      <w:r>
        <w:rPr>
          <w:color w:val="231F20"/>
        </w:rPr>
        <w:t>правопорушення</w:t>
      </w:r>
    </w:p>
    <w:p w14:paraId="7888F5D0" w14:textId="77777777" w:rsidR="00DE575E" w:rsidRDefault="00DE575E">
      <w:pPr>
        <w:pStyle w:val="BodyText"/>
        <w:rPr>
          <w:b/>
          <w:sz w:val="26"/>
        </w:rPr>
      </w:pPr>
    </w:p>
    <w:p w14:paraId="394B1A7C" w14:textId="77777777" w:rsidR="00DE575E" w:rsidRDefault="002E7560">
      <w:pPr>
        <w:pStyle w:val="BodyText"/>
        <w:spacing w:before="223" w:line="252" w:lineRule="auto"/>
        <w:ind w:left="250" w:right="411" w:firstLine="283"/>
        <w:jc w:val="both"/>
      </w:pPr>
      <w:r>
        <w:rPr>
          <w:i/>
          <w:color w:val="231F20"/>
          <w:spacing w:val="-3"/>
        </w:rPr>
        <w:t xml:space="preserve">Склад </w:t>
      </w:r>
      <w:r>
        <w:rPr>
          <w:color w:val="231F20"/>
        </w:rPr>
        <w:t xml:space="preserve">– це опис </w:t>
      </w:r>
      <w:r>
        <w:rPr>
          <w:color w:val="231F20"/>
          <w:spacing w:val="-3"/>
        </w:rPr>
        <w:t xml:space="preserve">діяння </w:t>
      </w:r>
      <w:r>
        <w:rPr>
          <w:color w:val="231F20"/>
        </w:rPr>
        <w:t xml:space="preserve">в </w:t>
      </w:r>
      <w:r>
        <w:rPr>
          <w:color w:val="231F20"/>
          <w:spacing w:val="-3"/>
        </w:rPr>
        <w:t xml:space="preserve">законі. Опис </w:t>
      </w:r>
      <w:r>
        <w:rPr>
          <w:color w:val="231F20"/>
        </w:rPr>
        <w:t xml:space="preserve">ще не </w:t>
      </w:r>
      <w:r>
        <w:rPr>
          <w:color w:val="231F20"/>
          <w:spacing w:val="-3"/>
        </w:rPr>
        <w:t xml:space="preserve">вчиненого, </w:t>
      </w:r>
      <w:r>
        <w:rPr>
          <w:color w:val="231F20"/>
        </w:rPr>
        <w:t xml:space="preserve">а </w:t>
      </w:r>
      <w:r>
        <w:rPr>
          <w:color w:val="231F20"/>
          <w:spacing w:val="-3"/>
        </w:rPr>
        <w:t>тільки передбач</w:t>
      </w:r>
      <w:r>
        <w:rPr>
          <w:color w:val="231F20"/>
          <w:spacing w:val="-3"/>
        </w:rPr>
        <w:t xml:space="preserve">уваного </w:t>
      </w:r>
      <w:r>
        <w:rPr>
          <w:color w:val="231F20"/>
        </w:rPr>
        <w:t xml:space="preserve">чи </w:t>
      </w:r>
      <w:r>
        <w:rPr>
          <w:color w:val="231F20"/>
          <w:spacing w:val="-3"/>
        </w:rPr>
        <w:t xml:space="preserve">можливого діяння. </w:t>
      </w:r>
      <w:r>
        <w:rPr>
          <w:color w:val="231F20"/>
        </w:rPr>
        <w:t xml:space="preserve">Для </w:t>
      </w:r>
      <w:r>
        <w:rPr>
          <w:color w:val="231F20"/>
          <w:spacing w:val="-3"/>
        </w:rPr>
        <w:t xml:space="preserve">такого </w:t>
      </w:r>
      <w:r>
        <w:rPr>
          <w:color w:val="231F20"/>
        </w:rPr>
        <w:t xml:space="preserve">опису </w:t>
      </w:r>
      <w:r>
        <w:rPr>
          <w:color w:val="231F20"/>
          <w:spacing w:val="-3"/>
        </w:rPr>
        <w:t xml:space="preserve">використо- вуються лише юридично значущі </w:t>
      </w:r>
      <w:r>
        <w:rPr>
          <w:color w:val="231F20"/>
        </w:rPr>
        <w:t xml:space="preserve">ознаки, які </w:t>
      </w:r>
      <w:r>
        <w:rPr>
          <w:color w:val="231F20"/>
          <w:spacing w:val="-3"/>
        </w:rPr>
        <w:t xml:space="preserve">характеризують діяння, </w:t>
      </w:r>
      <w:r>
        <w:rPr>
          <w:color w:val="231F20"/>
        </w:rPr>
        <w:t xml:space="preserve">як </w:t>
      </w:r>
      <w:r>
        <w:rPr>
          <w:color w:val="231F20"/>
          <w:spacing w:val="-3"/>
        </w:rPr>
        <w:t xml:space="preserve">правопорушення. Вони отримали назву </w:t>
      </w:r>
      <w:r>
        <w:rPr>
          <w:color w:val="231F20"/>
          <w:spacing w:val="-4"/>
        </w:rPr>
        <w:t xml:space="preserve">конструктивних </w:t>
      </w:r>
      <w:r>
        <w:rPr>
          <w:color w:val="231F20"/>
        </w:rPr>
        <w:t>ознак.</w:t>
      </w:r>
    </w:p>
    <w:p w14:paraId="1143CC82" w14:textId="77777777" w:rsidR="00DE575E" w:rsidRDefault="002E7560">
      <w:pPr>
        <w:pStyle w:val="BodyText"/>
        <w:spacing w:before="2" w:line="252" w:lineRule="auto"/>
        <w:ind w:left="250" w:right="411" w:firstLine="283"/>
        <w:jc w:val="both"/>
      </w:pPr>
      <w:r>
        <w:rPr>
          <w:i/>
          <w:color w:val="231F20"/>
        </w:rPr>
        <w:t xml:space="preserve">Склад адміністративного правопорушення </w:t>
      </w:r>
      <w:r>
        <w:rPr>
          <w:color w:val="231F20"/>
        </w:rPr>
        <w:t>становить собою сукупність головних, визначальних ознак, які виділені законодав- цем як типові, необхідні і водночас достатні для притягнення особи до юридичної відповідальності.</w:t>
      </w:r>
    </w:p>
    <w:p w14:paraId="71095950" w14:textId="77777777" w:rsidR="00DE575E" w:rsidRDefault="002E7560">
      <w:pPr>
        <w:spacing w:before="2" w:line="252" w:lineRule="auto"/>
        <w:ind w:left="250" w:right="411" w:firstLine="283"/>
        <w:jc w:val="both"/>
        <w:rPr>
          <w:sz w:val="21"/>
        </w:rPr>
      </w:pPr>
      <w:r>
        <w:rPr>
          <w:color w:val="231F20"/>
          <w:sz w:val="21"/>
        </w:rPr>
        <w:t>Ознаки</w:t>
      </w:r>
      <w:r>
        <w:rPr>
          <w:color w:val="231F20"/>
          <w:spacing w:val="-15"/>
          <w:sz w:val="21"/>
        </w:rPr>
        <w:t xml:space="preserve"> </w:t>
      </w:r>
      <w:r>
        <w:rPr>
          <w:color w:val="231F20"/>
          <w:sz w:val="21"/>
        </w:rPr>
        <w:t>складу</w:t>
      </w:r>
      <w:r>
        <w:rPr>
          <w:color w:val="231F20"/>
          <w:spacing w:val="-15"/>
          <w:sz w:val="21"/>
        </w:rPr>
        <w:t xml:space="preserve"> </w:t>
      </w:r>
      <w:r>
        <w:rPr>
          <w:color w:val="231F20"/>
          <w:sz w:val="21"/>
        </w:rPr>
        <w:t>адміністративного</w:t>
      </w:r>
      <w:r>
        <w:rPr>
          <w:color w:val="231F20"/>
          <w:spacing w:val="-15"/>
          <w:sz w:val="21"/>
        </w:rPr>
        <w:t xml:space="preserve"> </w:t>
      </w:r>
      <w:r>
        <w:rPr>
          <w:color w:val="231F20"/>
          <w:sz w:val="21"/>
        </w:rPr>
        <w:t>правопорушення</w:t>
      </w:r>
      <w:r>
        <w:rPr>
          <w:color w:val="231F20"/>
          <w:spacing w:val="-15"/>
          <w:sz w:val="21"/>
        </w:rPr>
        <w:t xml:space="preserve"> </w:t>
      </w:r>
      <w:r>
        <w:rPr>
          <w:color w:val="231F20"/>
          <w:sz w:val="21"/>
        </w:rPr>
        <w:t>можна</w:t>
      </w:r>
      <w:r>
        <w:rPr>
          <w:color w:val="231F20"/>
          <w:spacing w:val="-13"/>
          <w:sz w:val="21"/>
        </w:rPr>
        <w:t xml:space="preserve"> </w:t>
      </w:r>
      <w:r>
        <w:rPr>
          <w:i/>
          <w:color w:val="231F20"/>
          <w:sz w:val="21"/>
        </w:rPr>
        <w:t>розріз- няти за ступенем</w:t>
      </w:r>
      <w:r>
        <w:rPr>
          <w:i/>
          <w:color w:val="231F20"/>
          <w:spacing w:val="-3"/>
          <w:sz w:val="21"/>
        </w:rPr>
        <w:t xml:space="preserve"> </w:t>
      </w:r>
      <w:r>
        <w:rPr>
          <w:i/>
          <w:color w:val="231F20"/>
          <w:sz w:val="21"/>
        </w:rPr>
        <w:t>узагальнення</w:t>
      </w:r>
      <w:r>
        <w:rPr>
          <w:color w:val="231F20"/>
          <w:sz w:val="21"/>
        </w:rPr>
        <w:t>:</w:t>
      </w:r>
    </w:p>
    <w:p w14:paraId="0EB433D9" w14:textId="77777777" w:rsidR="00DE575E" w:rsidRDefault="002E7560">
      <w:pPr>
        <w:pStyle w:val="ListParagraph"/>
        <w:numPr>
          <w:ilvl w:val="0"/>
          <w:numId w:val="23"/>
        </w:numPr>
        <w:tabs>
          <w:tab w:val="left" w:pos="818"/>
        </w:tabs>
        <w:ind w:firstLine="283"/>
        <w:jc w:val="left"/>
        <w:rPr>
          <w:sz w:val="21"/>
        </w:rPr>
      </w:pPr>
      <w:r>
        <w:rPr>
          <w:i/>
          <w:color w:val="231F20"/>
          <w:sz w:val="21"/>
        </w:rPr>
        <w:t xml:space="preserve">загальні </w:t>
      </w:r>
      <w:r>
        <w:rPr>
          <w:color w:val="231F20"/>
          <w:sz w:val="21"/>
        </w:rPr>
        <w:t>властиві всім складам (вина, діяння</w:t>
      </w:r>
      <w:r>
        <w:rPr>
          <w:color w:val="231F20"/>
          <w:spacing w:val="-7"/>
          <w:sz w:val="21"/>
        </w:rPr>
        <w:t xml:space="preserve"> </w:t>
      </w:r>
      <w:r>
        <w:rPr>
          <w:color w:val="231F20"/>
          <w:sz w:val="21"/>
        </w:rPr>
        <w:t>тощо).</w:t>
      </w:r>
    </w:p>
    <w:p w14:paraId="3235C0F5" w14:textId="77777777" w:rsidR="00DE575E" w:rsidRDefault="002E7560">
      <w:pPr>
        <w:pStyle w:val="ListParagraph"/>
        <w:numPr>
          <w:ilvl w:val="0"/>
          <w:numId w:val="23"/>
        </w:numPr>
        <w:tabs>
          <w:tab w:val="left" w:pos="818"/>
        </w:tabs>
        <w:spacing w:before="13" w:line="252" w:lineRule="auto"/>
        <w:ind w:right="411" w:firstLine="283"/>
        <w:jc w:val="both"/>
        <w:rPr>
          <w:sz w:val="21"/>
        </w:rPr>
      </w:pPr>
      <w:r>
        <w:rPr>
          <w:i/>
          <w:color w:val="231F20"/>
          <w:sz w:val="21"/>
        </w:rPr>
        <w:t xml:space="preserve">родові (видові) </w:t>
      </w:r>
      <w:r>
        <w:rPr>
          <w:color w:val="231F20"/>
          <w:sz w:val="21"/>
        </w:rPr>
        <w:t xml:space="preserve">характерні для  групи  складів.  Наприклад,  для складів, що описують правопорушення в галузі стандартиза- ції, якості продукції, метрології та сертифікації, специфічним </w:t>
      </w:r>
      <w:r>
        <w:rPr>
          <w:color w:val="231F20"/>
          <w:spacing w:val="-4"/>
          <w:sz w:val="21"/>
        </w:rPr>
        <w:t>буд</w:t>
      </w:r>
      <w:r>
        <w:rPr>
          <w:color w:val="231F20"/>
          <w:spacing w:val="-4"/>
          <w:sz w:val="21"/>
        </w:rPr>
        <w:t xml:space="preserve">е об’єкт </w:t>
      </w:r>
      <w:r>
        <w:rPr>
          <w:color w:val="231F20"/>
          <w:sz w:val="21"/>
        </w:rPr>
        <w:t>зазіхань – суспільні відносини, що складаються в цій</w:t>
      </w:r>
      <w:r>
        <w:rPr>
          <w:color w:val="231F20"/>
          <w:spacing w:val="-12"/>
          <w:sz w:val="21"/>
        </w:rPr>
        <w:t xml:space="preserve"> </w:t>
      </w:r>
      <w:r>
        <w:rPr>
          <w:color w:val="231F20"/>
          <w:sz w:val="21"/>
        </w:rPr>
        <w:t>сфері.</w:t>
      </w:r>
    </w:p>
    <w:p w14:paraId="53384886" w14:textId="77777777" w:rsidR="00DE575E" w:rsidRDefault="002E7560">
      <w:pPr>
        <w:pStyle w:val="ListParagraph"/>
        <w:numPr>
          <w:ilvl w:val="0"/>
          <w:numId w:val="23"/>
        </w:numPr>
        <w:tabs>
          <w:tab w:val="left" w:pos="818"/>
        </w:tabs>
        <w:spacing w:before="2" w:line="252" w:lineRule="auto"/>
        <w:ind w:right="410" w:firstLine="283"/>
        <w:jc w:val="both"/>
        <w:rPr>
          <w:i/>
          <w:sz w:val="21"/>
        </w:rPr>
      </w:pPr>
      <w:r>
        <w:rPr>
          <w:i/>
          <w:color w:val="231F20"/>
          <w:sz w:val="21"/>
        </w:rPr>
        <w:t xml:space="preserve">конкретні (одиничні) </w:t>
      </w:r>
      <w:r>
        <w:rPr>
          <w:color w:val="231F20"/>
          <w:sz w:val="21"/>
        </w:rPr>
        <w:t xml:space="preserve">характеризують окремі конкретні склади. </w:t>
      </w:r>
      <w:r>
        <w:rPr>
          <w:i/>
          <w:color w:val="231F20"/>
          <w:sz w:val="21"/>
          <w:u w:val="single" w:color="231F20"/>
        </w:rPr>
        <w:t>Наприклад</w:t>
      </w:r>
      <w:r>
        <w:rPr>
          <w:color w:val="231F20"/>
          <w:sz w:val="21"/>
        </w:rPr>
        <w:t xml:space="preserve">: </w:t>
      </w:r>
      <w:r>
        <w:rPr>
          <w:i/>
          <w:color w:val="231F20"/>
          <w:sz w:val="21"/>
        </w:rPr>
        <w:t>«безпека польотів» (ст. 111 КУпАП), «безквитко- вий</w:t>
      </w:r>
      <w:r>
        <w:rPr>
          <w:i/>
          <w:color w:val="231F20"/>
          <w:spacing w:val="-3"/>
          <w:sz w:val="21"/>
        </w:rPr>
        <w:t xml:space="preserve"> </w:t>
      </w:r>
      <w:r>
        <w:rPr>
          <w:i/>
          <w:color w:val="231F20"/>
          <w:sz w:val="21"/>
        </w:rPr>
        <w:t>проїзд</w:t>
      </w:r>
      <w:r>
        <w:rPr>
          <w:i/>
          <w:color w:val="231F20"/>
          <w:spacing w:val="-3"/>
          <w:sz w:val="21"/>
        </w:rPr>
        <w:t xml:space="preserve"> </w:t>
      </w:r>
      <w:r>
        <w:rPr>
          <w:i/>
          <w:color w:val="231F20"/>
          <w:sz w:val="21"/>
        </w:rPr>
        <w:t>пасажирів»</w:t>
      </w:r>
      <w:r>
        <w:rPr>
          <w:i/>
          <w:color w:val="231F20"/>
          <w:spacing w:val="-3"/>
          <w:sz w:val="21"/>
        </w:rPr>
        <w:t xml:space="preserve"> </w:t>
      </w:r>
      <w:r>
        <w:rPr>
          <w:i/>
          <w:color w:val="231F20"/>
          <w:sz w:val="21"/>
        </w:rPr>
        <w:t>(ст.</w:t>
      </w:r>
      <w:r>
        <w:rPr>
          <w:i/>
          <w:color w:val="231F20"/>
          <w:spacing w:val="-10"/>
          <w:sz w:val="21"/>
        </w:rPr>
        <w:t xml:space="preserve"> </w:t>
      </w:r>
      <w:r>
        <w:rPr>
          <w:i/>
          <w:color w:val="231F20"/>
          <w:sz w:val="21"/>
        </w:rPr>
        <w:t>135</w:t>
      </w:r>
      <w:r>
        <w:rPr>
          <w:i/>
          <w:color w:val="231F20"/>
          <w:spacing w:val="-4"/>
          <w:sz w:val="21"/>
        </w:rPr>
        <w:t xml:space="preserve"> </w:t>
      </w:r>
      <w:r>
        <w:rPr>
          <w:i/>
          <w:color w:val="231F20"/>
          <w:sz w:val="21"/>
        </w:rPr>
        <w:t>КУпАП),</w:t>
      </w:r>
      <w:r>
        <w:rPr>
          <w:i/>
          <w:color w:val="231F20"/>
          <w:spacing w:val="-3"/>
          <w:sz w:val="21"/>
        </w:rPr>
        <w:t xml:space="preserve"> </w:t>
      </w:r>
      <w:r>
        <w:rPr>
          <w:i/>
          <w:color w:val="231F20"/>
          <w:sz w:val="21"/>
        </w:rPr>
        <w:t>«ворожіння»</w:t>
      </w:r>
      <w:r>
        <w:rPr>
          <w:i/>
          <w:color w:val="231F20"/>
          <w:spacing w:val="-3"/>
          <w:sz w:val="21"/>
        </w:rPr>
        <w:t xml:space="preserve"> </w:t>
      </w:r>
      <w:r>
        <w:rPr>
          <w:i/>
          <w:color w:val="231F20"/>
          <w:sz w:val="21"/>
        </w:rPr>
        <w:t>(ст.</w:t>
      </w:r>
      <w:r>
        <w:rPr>
          <w:i/>
          <w:color w:val="231F20"/>
          <w:spacing w:val="-10"/>
          <w:sz w:val="21"/>
        </w:rPr>
        <w:t xml:space="preserve"> </w:t>
      </w:r>
      <w:r>
        <w:rPr>
          <w:i/>
          <w:color w:val="231F20"/>
          <w:sz w:val="21"/>
        </w:rPr>
        <w:t>181</w:t>
      </w:r>
      <w:r>
        <w:rPr>
          <w:i/>
          <w:color w:val="231F20"/>
          <w:spacing w:val="-4"/>
          <w:sz w:val="21"/>
        </w:rPr>
        <w:t xml:space="preserve"> </w:t>
      </w:r>
      <w:r>
        <w:rPr>
          <w:i/>
          <w:color w:val="231F20"/>
          <w:sz w:val="21"/>
        </w:rPr>
        <w:t>КУпАП),</w:t>
      </w:r>
    </w:p>
    <w:p w14:paraId="31432E7F" w14:textId="77777777" w:rsidR="00DE575E" w:rsidRDefault="002E7560">
      <w:pPr>
        <w:spacing w:before="2" w:line="252" w:lineRule="auto"/>
        <w:ind w:left="250" w:right="521"/>
        <w:rPr>
          <w:sz w:val="21"/>
        </w:rPr>
      </w:pPr>
      <w:r>
        <w:rPr>
          <w:i/>
          <w:color w:val="231F20"/>
          <w:sz w:val="21"/>
        </w:rPr>
        <w:t>«виклик спеціальних служб» (ст. 183 КУпАП), «неповага до  суду»  (ст. 185-3</w:t>
      </w:r>
      <w:r>
        <w:rPr>
          <w:i/>
          <w:color w:val="231F20"/>
          <w:spacing w:val="-7"/>
          <w:sz w:val="21"/>
        </w:rPr>
        <w:t xml:space="preserve"> </w:t>
      </w:r>
      <w:r>
        <w:rPr>
          <w:i/>
          <w:color w:val="231F20"/>
          <w:sz w:val="21"/>
        </w:rPr>
        <w:t>КУпАП)</w:t>
      </w:r>
      <w:r>
        <w:rPr>
          <w:color w:val="231F20"/>
          <w:sz w:val="21"/>
        </w:rPr>
        <w:t>.</w:t>
      </w:r>
    </w:p>
    <w:p w14:paraId="795B949A" w14:textId="77777777" w:rsidR="00DE575E" w:rsidRDefault="00DE575E">
      <w:pPr>
        <w:pStyle w:val="BodyText"/>
        <w:rPr>
          <w:sz w:val="24"/>
        </w:rPr>
      </w:pPr>
    </w:p>
    <w:p w14:paraId="4960C950" w14:textId="77777777" w:rsidR="00DE575E" w:rsidRDefault="00DE575E">
      <w:pPr>
        <w:pStyle w:val="BodyText"/>
        <w:spacing w:before="4"/>
        <w:rPr>
          <w:sz w:val="19"/>
        </w:rPr>
      </w:pPr>
    </w:p>
    <w:p w14:paraId="2117D529" w14:textId="77777777" w:rsidR="00DE575E" w:rsidRDefault="002E7560">
      <w:pPr>
        <w:pStyle w:val="Heading4"/>
        <w:numPr>
          <w:ilvl w:val="1"/>
          <w:numId w:val="24"/>
        </w:numPr>
        <w:tabs>
          <w:tab w:val="left" w:pos="2089"/>
        </w:tabs>
        <w:ind w:right="1724" w:firstLine="115"/>
        <w:jc w:val="left"/>
      </w:pPr>
      <w:r>
        <w:rPr>
          <w:color w:val="231F20"/>
        </w:rPr>
        <w:t>Структура юридичного складу адміністративного</w:t>
      </w:r>
      <w:r>
        <w:rPr>
          <w:color w:val="231F20"/>
          <w:spacing w:val="-19"/>
        </w:rPr>
        <w:t xml:space="preserve"> </w:t>
      </w:r>
      <w:r>
        <w:rPr>
          <w:color w:val="231F20"/>
        </w:rPr>
        <w:t>правопорушення</w:t>
      </w:r>
    </w:p>
    <w:p w14:paraId="2A594A3B" w14:textId="77777777" w:rsidR="00DE575E" w:rsidRDefault="00DE575E">
      <w:pPr>
        <w:pStyle w:val="BodyText"/>
        <w:rPr>
          <w:b/>
          <w:sz w:val="26"/>
        </w:rPr>
      </w:pPr>
    </w:p>
    <w:p w14:paraId="3E818616" w14:textId="77777777" w:rsidR="00DE575E" w:rsidRDefault="002E7560">
      <w:pPr>
        <w:pStyle w:val="BodyText"/>
        <w:spacing w:before="224" w:line="252" w:lineRule="auto"/>
        <w:ind w:left="250" w:right="410" w:firstLine="283"/>
        <w:jc w:val="both"/>
      </w:pPr>
      <w:r>
        <w:rPr>
          <w:color w:val="231F20"/>
        </w:rPr>
        <w:t xml:space="preserve">Під </w:t>
      </w:r>
      <w:r>
        <w:rPr>
          <w:i/>
          <w:color w:val="231F20"/>
        </w:rPr>
        <w:t xml:space="preserve">юридичним складом </w:t>
      </w:r>
      <w:r>
        <w:rPr>
          <w:color w:val="231F20"/>
        </w:rPr>
        <w:t>розуміють передбачену нормами адмі- ністративного права сукупність ознак, за наявності яких певне протиправне діяння можна кваліфікувати як правопорушення.</w:t>
      </w:r>
    </w:p>
    <w:p w14:paraId="0A01CCDE" w14:textId="77777777" w:rsidR="00DE575E" w:rsidRDefault="00DE575E">
      <w:pPr>
        <w:pStyle w:val="BodyText"/>
        <w:spacing w:before="3"/>
        <w:rPr>
          <w:sz w:val="23"/>
        </w:rPr>
      </w:pPr>
    </w:p>
    <w:p w14:paraId="021D1015" w14:textId="77777777" w:rsidR="00DE575E" w:rsidRDefault="002E7560">
      <w:pPr>
        <w:spacing w:before="92"/>
        <w:ind w:right="411"/>
        <w:jc w:val="right"/>
        <w:rPr>
          <w:rFonts w:ascii="Times New Roman"/>
          <w:sz w:val="20"/>
        </w:rPr>
      </w:pPr>
      <w:r>
        <w:rPr>
          <w:rFonts w:ascii="Times New Roman"/>
          <w:color w:val="231F20"/>
          <w:w w:val="90"/>
          <w:sz w:val="20"/>
        </w:rPr>
        <w:t>491</w:t>
      </w:r>
    </w:p>
    <w:p w14:paraId="2FFEA84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78AA3E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CBECC46" w14:textId="27351C5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5164CAA" wp14:editId="2CD94B93">
                <wp:extent cx="4140200" cy="6350"/>
                <wp:effectExtent l="0" t="0" r="12700" b="6350"/>
                <wp:docPr id="18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84" name="Line 1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ACE81" id="Group_x0020_1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y/+pkH4CAACYBQAADgAA&#10;AAAAAAAAAAAAAAAsAgAAZHJzL2Uyb0RvYy54bWxQSwECLQAUAAYACAAAACEATKewkNkAAAADAQAA&#10;DwAAAAAAAAAAAAAAAADWBAAAZHJzL2Rvd25yZXYueG1sUEsFBgAAAAAEAAQA8wAAANwFAAAAAA==&#10;">
                <v:line id="Line_x0020_1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xMLMMAAADcAAAADwAAAGRycy9kb3ducmV2LnhtbERPzWrCQBC+F3yHZYReim6qRSS6iggF&#10;6UGr8QHG7JgEd2djdjXRp+8WCr3Nx/c782VnjbhT4yvHCt6HCQji3OmKCwXH7HMwBeEDskbjmBQ8&#10;yMNy0XuZY6pdy3u6H0IhYgj7FBWUIdSplD4vyaIfupo4cmfXWAwRNoXUDbYx3Bo5SpKJtFhxbCix&#10;pnVJ+eVwswqy61sw37sv02a701iertvx87ZV6rXfrWYgAnXhX/zn3ug4f/oBv8/EC+T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sTCzDAAAA3AAAAA8AAAAAAAAAAAAA&#10;AAAAoQIAAGRycy9kb3ducmV2LnhtbFBLBQYAAAAABAAEAPkAAACRAwAAAAA=&#10;" strokecolor="#231f20" strokeweight=".5pt"/>
                <w10:anchorlock/>
              </v:group>
            </w:pict>
          </mc:Fallback>
        </mc:AlternateContent>
      </w:r>
    </w:p>
    <w:p w14:paraId="3EAFA732" w14:textId="77777777" w:rsidR="00DE575E" w:rsidRDefault="00DE575E">
      <w:pPr>
        <w:pStyle w:val="BodyText"/>
        <w:spacing w:before="7"/>
        <w:rPr>
          <w:rFonts w:ascii="AdonisC"/>
          <w:i/>
          <w:sz w:val="11"/>
        </w:rPr>
      </w:pPr>
    </w:p>
    <w:p w14:paraId="73ADF61D" w14:textId="77777777" w:rsidR="00DE575E" w:rsidRDefault="002E7560">
      <w:pPr>
        <w:pStyle w:val="BodyText"/>
        <w:spacing w:before="101" w:line="252" w:lineRule="auto"/>
        <w:ind w:left="533" w:right="127" w:firstLine="283"/>
        <w:jc w:val="both"/>
      </w:pPr>
      <w:r>
        <w:rPr>
          <w:color w:val="231F20"/>
        </w:rPr>
        <w:t>До</w:t>
      </w:r>
      <w:r>
        <w:rPr>
          <w:color w:val="231F20"/>
          <w:spacing w:val="-9"/>
        </w:rPr>
        <w:t xml:space="preserve"> </w:t>
      </w:r>
      <w:r>
        <w:rPr>
          <w:color w:val="231F20"/>
        </w:rPr>
        <w:t>цих</w:t>
      </w:r>
      <w:r>
        <w:rPr>
          <w:color w:val="231F20"/>
          <w:spacing w:val="-9"/>
        </w:rPr>
        <w:t xml:space="preserve"> </w:t>
      </w:r>
      <w:r>
        <w:rPr>
          <w:color w:val="231F20"/>
        </w:rPr>
        <w:t>ознак</w:t>
      </w:r>
      <w:r>
        <w:rPr>
          <w:color w:val="231F20"/>
          <w:spacing w:val="-9"/>
        </w:rPr>
        <w:t xml:space="preserve"> </w:t>
      </w:r>
      <w:r>
        <w:rPr>
          <w:color w:val="231F20"/>
        </w:rPr>
        <w:t>належать:</w:t>
      </w:r>
      <w:r>
        <w:rPr>
          <w:color w:val="231F20"/>
          <w:spacing w:val="-9"/>
        </w:rPr>
        <w:t xml:space="preserve"> </w:t>
      </w:r>
      <w:r>
        <w:rPr>
          <w:color w:val="231F20"/>
        </w:rPr>
        <w:t>а)</w:t>
      </w:r>
      <w:r>
        <w:rPr>
          <w:color w:val="231F20"/>
          <w:spacing w:val="-9"/>
        </w:rPr>
        <w:t xml:space="preserve"> </w:t>
      </w:r>
      <w:r>
        <w:rPr>
          <w:color w:val="231F20"/>
          <w:spacing w:val="-4"/>
        </w:rPr>
        <w:t>об’єкт;</w:t>
      </w:r>
      <w:r>
        <w:rPr>
          <w:color w:val="231F20"/>
          <w:spacing w:val="-9"/>
        </w:rPr>
        <w:t xml:space="preserve"> </w:t>
      </w:r>
      <w:r>
        <w:rPr>
          <w:color w:val="231F20"/>
        </w:rPr>
        <w:t>б)</w:t>
      </w:r>
      <w:r>
        <w:rPr>
          <w:color w:val="231F20"/>
          <w:spacing w:val="-9"/>
        </w:rPr>
        <w:t xml:space="preserve"> </w:t>
      </w:r>
      <w:r>
        <w:rPr>
          <w:color w:val="231F20"/>
          <w:spacing w:val="-3"/>
        </w:rPr>
        <w:t>об’єктивна</w:t>
      </w:r>
      <w:r>
        <w:rPr>
          <w:color w:val="231F20"/>
          <w:spacing w:val="-9"/>
        </w:rPr>
        <w:t xml:space="preserve"> </w:t>
      </w:r>
      <w:r>
        <w:rPr>
          <w:color w:val="231F20"/>
        </w:rPr>
        <w:t>сторона;</w:t>
      </w:r>
      <w:r>
        <w:rPr>
          <w:color w:val="231F20"/>
          <w:spacing w:val="-9"/>
        </w:rPr>
        <w:t xml:space="preserve"> </w:t>
      </w:r>
      <w:r>
        <w:rPr>
          <w:color w:val="231F20"/>
        </w:rPr>
        <w:t>в)</w:t>
      </w:r>
      <w:r>
        <w:rPr>
          <w:color w:val="231F20"/>
          <w:spacing w:val="-9"/>
        </w:rPr>
        <w:t xml:space="preserve"> </w:t>
      </w:r>
      <w:r>
        <w:rPr>
          <w:color w:val="231F20"/>
          <w:spacing w:val="-4"/>
        </w:rPr>
        <w:t xml:space="preserve">суб’єкт; </w:t>
      </w:r>
      <w:r>
        <w:rPr>
          <w:color w:val="231F20"/>
        </w:rPr>
        <w:t xml:space="preserve">г) </w:t>
      </w:r>
      <w:r>
        <w:rPr>
          <w:color w:val="231F20"/>
          <w:spacing w:val="-3"/>
        </w:rPr>
        <w:t xml:space="preserve">суб’єктивна </w:t>
      </w:r>
      <w:r>
        <w:rPr>
          <w:color w:val="231F20"/>
        </w:rPr>
        <w:t>сторона</w:t>
      </w:r>
      <w:r>
        <w:rPr>
          <w:color w:val="231F20"/>
        </w:rPr>
        <w:t xml:space="preserve"> </w:t>
      </w:r>
      <w:r>
        <w:rPr>
          <w:color w:val="231F20"/>
        </w:rPr>
        <w:t>проступку.</w:t>
      </w:r>
    </w:p>
    <w:p w14:paraId="73C7A547" w14:textId="77777777" w:rsidR="00DE575E" w:rsidRDefault="002E7560">
      <w:pPr>
        <w:spacing w:before="1" w:line="252" w:lineRule="auto"/>
        <w:ind w:left="533" w:right="128" w:firstLine="283"/>
        <w:jc w:val="both"/>
        <w:rPr>
          <w:sz w:val="21"/>
        </w:rPr>
      </w:pPr>
      <w:r>
        <w:rPr>
          <w:b/>
          <w:i/>
          <w:color w:val="231F20"/>
          <w:sz w:val="21"/>
        </w:rPr>
        <w:t xml:space="preserve">Об’єкт складу адміністративного проступку </w:t>
      </w:r>
      <w:r>
        <w:rPr>
          <w:color w:val="231F20"/>
          <w:sz w:val="21"/>
        </w:rPr>
        <w:t>– це суспільні відносини, на які спрямоване посягання.</w:t>
      </w:r>
    </w:p>
    <w:p w14:paraId="4D1C809D" w14:textId="77777777" w:rsidR="00DE575E" w:rsidRDefault="002E7560">
      <w:pPr>
        <w:pStyle w:val="BodyText"/>
        <w:spacing w:before="1" w:line="252" w:lineRule="auto"/>
        <w:ind w:left="533" w:right="128" w:firstLine="283"/>
        <w:jc w:val="both"/>
      </w:pPr>
      <w:r>
        <w:rPr>
          <w:color w:val="231F20"/>
        </w:rPr>
        <w:t>Залежно від рівня у</w:t>
      </w:r>
      <w:r>
        <w:rPr>
          <w:color w:val="231F20"/>
        </w:rPr>
        <w:t>загальнення виділяють такі об’єкти адмініст- ративного проступку:</w:t>
      </w:r>
    </w:p>
    <w:p w14:paraId="597EEF8F" w14:textId="77777777" w:rsidR="00DE575E" w:rsidRDefault="002E7560">
      <w:pPr>
        <w:pStyle w:val="ListParagraph"/>
        <w:numPr>
          <w:ilvl w:val="0"/>
          <w:numId w:val="22"/>
        </w:numPr>
        <w:tabs>
          <w:tab w:val="left" w:pos="1101"/>
        </w:tabs>
        <w:spacing w:line="252" w:lineRule="auto"/>
        <w:ind w:right="128" w:firstLine="284"/>
        <w:rPr>
          <w:sz w:val="21"/>
        </w:rPr>
      </w:pPr>
      <w:r>
        <w:rPr>
          <w:i/>
          <w:color w:val="231F20"/>
          <w:sz w:val="21"/>
        </w:rPr>
        <w:t xml:space="preserve">загальний </w:t>
      </w:r>
      <w:r>
        <w:rPr>
          <w:i/>
          <w:color w:val="231F20"/>
          <w:spacing w:val="-3"/>
          <w:sz w:val="21"/>
        </w:rPr>
        <w:t xml:space="preserve">об’єкт, </w:t>
      </w:r>
      <w:r>
        <w:rPr>
          <w:color w:val="231F20"/>
          <w:sz w:val="21"/>
        </w:rPr>
        <w:t xml:space="preserve">яким є суспільні відносини, що 1) регулю- ються різними галузями права і 2) охороняються адміністратив- ними санкціями. </w:t>
      </w:r>
      <w:r>
        <w:rPr>
          <w:color w:val="231F20"/>
          <w:spacing w:val="-4"/>
          <w:sz w:val="21"/>
        </w:rPr>
        <w:t xml:space="preserve">Такий об’єкт </w:t>
      </w:r>
      <w:r>
        <w:rPr>
          <w:color w:val="231F20"/>
          <w:sz w:val="21"/>
        </w:rPr>
        <w:t>є спільним для усіх видів адміністра- тивних</w:t>
      </w:r>
      <w:r>
        <w:rPr>
          <w:color w:val="231F20"/>
          <w:spacing w:val="-2"/>
          <w:sz w:val="21"/>
        </w:rPr>
        <w:t xml:space="preserve"> </w:t>
      </w:r>
      <w:r>
        <w:rPr>
          <w:color w:val="231F20"/>
          <w:sz w:val="21"/>
        </w:rPr>
        <w:t>правопорушень;</w:t>
      </w:r>
    </w:p>
    <w:p w14:paraId="75B929B2" w14:textId="77777777" w:rsidR="00DE575E" w:rsidRDefault="002E7560">
      <w:pPr>
        <w:pStyle w:val="ListParagraph"/>
        <w:numPr>
          <w:ilvl w:val="0"/>
          <w:numId w:val="22"/>
        </w:numPr>
        <w:tabs>
          <w:tab w:val="left" w:pos="1101"/>
        </w:tabs>
        <w:spacing w:before="2" w:line="252" w:lineRule="auto"/>
        <w:ind w:right="128" w:firstLine="284"/>
        <w:rPr>
          <w:sz w:val="21"/>
        </w:rPr>
      </w:pPr>
      <w:r>
        <w:rPr>
          <w:i/>
          <w:color w:val="231F20"/>
          <w:sz w:val="21"/>
        </w:rPr>
        <w:t xml:space="preserve">родовий </w:t>
      </w:r>
      <w:r>
        <w:rPr>
          <w:i/>
          <w:color w:val="231F20"/>
          <w:spacing w:val="-4"/>
          <w:sz w:val="21"/>
        </w:rPr>
        <w:t xml:space="preserve">об’єкт  </w:t>
      </w:r>
      <w:r>
        <w:rPr>
          <w:i/>
          <w:color w:val="231F20"/>
          <w:sz w:val="21"/>
        </w:rPr>
        <w:t xml:space="preserve">–  </w:t>
      </w:r>
      <w:r>
        <w:rPr>
          <w:color w:val="231F20"/>
          <w:sz w:val="21"/>
        </w:rPr>
        <w:t>однорідні  групи  суспільних  відносин,  які  в сукупності складають загальний</w:t>
      </w:r>
      <w:r>
        <w:rPr>
          <w:color w:val="231F20"/>
          <w:spacing w:val="-5"/>
          <w:sz w:val="21"/>
        </w:rPr>
        <w:t xml:space="preserve"> </w:t>
      </w:r>
      <w:r>
        <w:rPr>
          <w:color w:val="231F20"/>
          <w:spacing w:val="-4"/>
          <w:sz w:val="21"/>
        </w:rPr>
        <w:t>об’єкт;</w:t>
      </w:r>
    </w:p>
    <w:p w14:paraId="5B818F51" w14:textId="77777777" w:rsidR="00DE575E" w:rsidRDefault="002E7560">
      <w:pPr>
        <w:pStyle w:val="ListParagraph"/>
        <w:numPr>
          <w:ilvl w:val="0"/>
          <w:numId w:val="22"/>
        </w:numPr>
        <w:tabs>
          <w:tab w:val="left" w:pos="1101"/>
        </w:tabs>
        <w:spacing w:line="252" w:lineRule="auto"/>
        <w:ind w:right="126" w:firstLine="284"/>
        <w:rPr>
          <w:sz w:val="21"/>
        </w:rPr>
      </w:pPr>
      <w:r>
        <w:rPr>
          <w:i/>
          <w:color w:val="231F20"/>
          <w:sz w:val="21"/>
        </w:rPr>
        <w:t xml:space="preserve">видовий </w:t>
      </w:r>
      <w:r>
        <w:rPr>
          <w:i/>
          <w:color w:val="231F20"/>
          <w:spacing w:val="-4"/>
          <w:sz w:val="21"/>
        </w:rPr>
        <w:t xml:space="preserve">об’єкт </w:t>
      </w:r>
      <w:r>
        <w:rPr>
          <w:color w:val="231F20"/>
          <w:sz w:val="21"/>
        </w:rPr>
        <w:t xml:space="preserve">– самостійний складовий різновид родового </w:t>
      </w:r>
      <w:r>
        <w:rPr>
          <w:color w:val="231F20"/>
          <w:spacing w:val="-4"/>
          <w:sz w:val="21"/>
        </w:rPr>
        <w:t xml:space="preserve">об’єкта, </w:t>
      </w:r>
      <w:r>
        <w:rPr>
          <w:color w:val="231F20"/>
          <w:sz w:val="21"/>
        </w:rPr>
        <w:t xml:space="preserve">відокремлена група суспільних відносин, загальних для низки проступків. Вони є відокремленою і досить самостійною частиною родового </w:t>
      </w:r>
      <w:r>
        <w:rPr>
          <w:color w:val="231F20"/>
          <w:spacing w:val="-3"/>
          <w:sz w:val="21"/>
        </w:rPr>
        <w:t xml:space="preserve">об’єкта. </w:t>
      </w:r>
      <w:r>
        <w:rPr>
          <w:color w:val="231F20"/>
          <w:sz w:val="21"/>
        </w:rPr>
        <w:t xml:space="preserve">Наприклад, якщо взяти такий родовий </w:t>
      </w:r>
      <w:r>
        <w:rPr>
          <w:color w:val="231F20"/>
          <w:spacing w:val="-6"/>
          <w:sz w:val="21"/>
        </w:rPr>
        <w:t xml:space="preserve">об’єкт, </w:t>
      </w:r>
      <w:r>
        <w:rPr>
          <w:color w:val="231F20"/>
          <w:sz w:val="21"/>
        </w:rPr>
        <w:t>як власність, то її види – це власність приватна, комунальна та</w:t>
      </w:r>
      <w:r>
        <w:rPr>
          <w:color w:val="231F20"/>
          <w:spacing w:val="-2"/>
          <w:sz w:val="21"/>
        </w:rPr>
        <w:t xml:space="preserve"> </w:t>
      </w:r>
      <w:r>
        <w:rPr>
          <w:color w:val="231F20"/>
          <w:sz w:val="21"/>
        </w:rPr>
        <w:t>державн</w:t>
      </w:r>
      <w:r>
        <w:rPr>
          <w:color w:val="231F20"/>
          <w:sz w:val="21"/>
        </w:rPr>
        <w:t>а;</w:t>
      </w:r>
    </w:p>
    <w:p w14:paraId="146407CC" w14:textId="77777777" w:rsidR="00DE575E" w:rsidRDefault="002E7560">
      <w:pPr>
        <w:pStyle w:val="ListParagraph"/>
        <w:numPr>
          <w:ilvl w:val="0"/>
          <w:numId w:val="22"/>
        </w:numPr>
        <w:tabs>
          <w:tab w:val="left" w:pos="1101"/>
        </w:tabs>
        <w:spacing w:before="3" w:line="252" w:lineRule="auto"/>
        <w:ind w:right="127" w:firstLine="284"/>
        <w:rPr>
          <w:sz w:val="21"/>
        </w:rPr>
      </w:pPr>
      <w:r>
        <w:rPr>
          <w:i/>
          <w:color w:val="231F20"/>
          <w:sz w:val="21"/>
        </w:rPr>
        <w:t xml:space="preserve">безпосередній </w:t>
      </w:r>
      <w:r>
        <w:rPr>
          <w:i/>
          <w:color w:val="231F20"/>
          <w:spacing w:val="-4"/>
          <w:sz w:val="21"/>
        </w:rPr>
        <w:t xml:space="preserve">об’єкт </w:t>
      </w:r>
      <w:r>
        <w:rPr>
          <w:i/>
          <w:color w:val="231F20"/>
          <w:sz w:val="21"/>
        </w:rPr>
        <w:t xml:space="preserve">– </w:t>
      </w:r>
      <w:r>
        <w:rPr>
          <w:color w:val="231F20"/>
          <w:sz w:val="21"/>
        </w:rPr>
        <w:t xml:space="preserve">одне або кілька суспільних відносин, яким спричиняється шкода певним правопорушенням. Напри- клад, при дрібному викраденні держаного майна – це відносини щодо адміністрування відповідним </w:t>
      </w:r>
      <w:r>
        <w:rPr>
          <w:color w:val="231F20"/>
          <w:spacing w:val="-3"/>
          <w:sz w:val="21"/>
        </w:rPr>
        <w:t xml:space="preserve">об’єктом </w:t>
      </w:r>
      <w:r>
        <w:rPr>
          <w:color w:val="231F20"/>
          <w:sz w:val="21"/>
        </w:rPr>
        <w:t>державної власності; при перевищен</w:t>
      </w:r>
      <w:r>
        <w:rPr>
          <w:color w:val="231F20"/>
          <w:sz w:val="21"/>
        </w:rPr>
        <w:t xml:space="preserve">ні швидкості – стан безпеки на певній дорозі, при вчиненні насильства в сім’ї – стан здоров’я осіб, які відповідно до статті 3 Сімейного кодексу </w:t>
      </w:r>
      <w:r>
        <w:rPr>
          <w:color w:val="231F20"/>
          <w:spacing w:val="-3"/>
          <w:sz w:val="21"/>
        </w:rPr>
        <w:t xml:space="preserve">України </w:t>
      </w:r>
      <w:r>
        <w:rPr>
          <w:color w:val="231F20"/>
          <w:sz w:val="21"/>
        </w:rPr>
        <w:t>є</w:t>
      </w:r>
      <w:r>
        <w:rPr>
          <w:color w:val="231F20"/>
          <w:spacing w:val="-2"/>
          <w:sz w:val="21"/>
        </w:rPr>
        <w:t xml:space="preserve"> </w:t>
      </w:r>
      <w:r>
        <w:rPr>
          <w:color w:val="231F20"/>
          <w:spacing w:val="-4"/>
          <w:sz w:val="21"/>
        </w:rPr>
        <w:t>сім’єю.</w:t>
      </w:r>
    </w:p>
    <w:p w14:paraId="5C8BC9C4" w14:textId="77777777" w:rsidR="00DE575E" w:rsidRDefault="002E7560">
      <w:pPr>
        <w:pStyle w:val="BodyText"/>
        <w:spacing w:before="3" w:line="252" w:lineRule="auto"/>
        <w:ind w:left="533" w:right="127" w:firstLine="283"/>
        <w:jc w:val="both"/>
      </w:pPr>
      <w:r>
        <w:rPr>
          <w:color w:val="231F20"/>
        </w:rPr>
        <w:t xml:space="preserve">Для складів деяких адміністративних проступків обов’язковим   є </w:t>
      </w:r>
      <w:r>
        <w:rPr>
          <w:i/>
          <w:color w:val="231F20"/>
        </w:rPr>
        <w:t>предмет посягання</w:t>
      </w:r>
      <w:r>
        <w:rPr>
          <w:color w:val="231F20"/>
        </w:rPr>
        <w:t xml:space="preserve">. </w:t>
      </w:r>
      <w:r>
        <w:rPr>
          <w:color w:val="231F20"/>
          <w:spacing w:val="-4"/>
        </w:rPr>
        <w:t xml:space="preserve">Так, </w:t>
      </w:r>
      <w:r>
        <w:rPr>
          <w:color w:val="231F20"/>
        </w:rPr>
        <w:t>закон</w:t>
      </w:r>
      <w:r>
        <w:rPr>
          <w:color w:val="231F20"/>
        </w:rPr>
        <w:t xml:space="preserve">одавець виділяє предмет посягання у вигляді майна у </w:t>
      </w:r>
      <w:r>
        <w:rPr>
          <w:color w:val="231F20"/>
          <w:spacing w:val="-6"/>
        </w:rPr>
        <w:t xml:space="preserve">ст. </w:t>
      </w:r>
      <w:r>
        <w:rPr>
          <w:color w:val="231F20"/>
        </w:rPr>
        <w:t xml:space="preserve">51 </w:t>
      </w:r>
      <w:r>
        <w:rPr>
          <w:color w:val="231F20"/>
          <w:spacing w:val="-3"/>
        </w:rPr>
        <w:t xml:space="preserve">КУпАП, </w:t>
      </w:r>
      <w:r>
        <w:rPr>
          <w:color w:val="231F20"/>
        </w:rPr>
        <w:t xml:space="preserve">заборонених предметів у </w:t>
      </w:r>
      <w:r>
        <w:rPr>
          <w:color w:val="231F20"/>
          <w:spacing w:val="-6"/>
        </w:rPr>
        <w:t xml:space="preserve">ст. </w:t>
      </w:r>
      <w:r>
        <w:rPr>
          <w:color w:val="231F20"/>
        </w:rPr>
        <w:t xml:space="preserve">188 </w:t>
      </w:r>
      <w:r>
        <w:rPr>
          <w:color w:val="231F20"/>
          <w:spacing w:val="-3"/>
        </w:rPr>
        <w:t xml:space="preserve">КУпАП, </w:t>
      </w:r>
      <w:r>
        <w:rPr>
          <w:color w:val="231F20"/>
        </w:rPr>
        <w:t xml:space="preserve">товарів, транспортних засобів, на що прямо вказується у п. 3 </w:t>
      </w:r>
      <w:r>
        <w:rPr>
          <w:color w:val="231F20"/>
          <w:spacing w:val="-6"/>
        </w:rPr>
        <w:t xml:space="preserve">ст. </w:t>
      </w:r>
      <w:r>
        <w:rPr>
          <w:color w:val="231F20"/>
        </w:rPr>
        <w:t>322</w:t>
      </w:r>
      <w:r>
        <w:rPr>
          <w:color w:val="231F20"/>
        </w:rPr>
        <w:t xml:space="preserve"> </w:t>
      </w:r>
      <w:r>
        <w:rPr>
          <w:color w:val="231F20"/>
          <w:spacing w:val="-9"/>
        </w:rPr>
        <w:t>МКУ.</w:t>
      </w:r>
    </w:p>
    <w:p w14:paraId="79C847EE" w14:textId="77777777" w:rsidR="00DE575E" w:rsidRDefault="002E7560">
      <w:pPr>
        <w:spacing w:before="2" w:line="252" w:lineRule="auto"/>
        <w:ind w:left="533" w:right="128" w:firstLine="283"/>
        <w:jc w:val="both"/>
        <w:rPr>
          <w:sz w:val="21"/>
        </w:rPr>
      </w:pPr>
      <w:r>
        <w:rPr>
          <w:b/>
          <w:i/>
          <w:color w:val="231F20"/>
          <w:sz w:val="21"/>
        </w:rPr>
        <w:t xml:space="preserve">Об’єктивна сторона складу правопорушення </w:t>
      </w:r>
      <w:r>
        <w:rPr>
          <w:color w:val="231F20"/>
          <w:sz w:val="21"/>
        </w:rPr>
        <w:t>– це система передбачених адміністративно-правовою нормою ознак, що харак- теризують зовнішню сторону проступку. Вона включає в себе пере- дусім такі ознаки:</w:t>
      </w:r>
    </w:p>
    <w:p w14:paraId="137C6C9A" w14:textId="77777777" w:rsidR="00DE575E" w:rsidRDefault="002E7560">
      <w:pPr>
        <w:pStyle w:val="BodyText"/>
        <w:spacing w:before="2" w:line="252" w:lineRule="auto"/>
        <w:ind w:left="533" w:right="127" w:firstLine="283"/>
        <w:jc w:val="both"/>
      </w:pPr>
      <w:r>
        <w:rPr>
          <w:color w:val="231F20"/>
        </w:rPr>
        <w:t xml:space="preserve">– саме протиправне </w:t>
      </w:r>
      <w:r>
        <w:rPr>
          <w:i/>
          <w:color w:val="231F20"/>
        </w:rPr>
        <w:t xml:space="preserve">діяння – </w:t>
      </w:r>
      <w:r>
        <w:rPr>
          <w:color w:val="231F20"/>
        </w:rPr>
        <w:t>дію чи бездіяльність (значна біль- шість порушення чинного законодавст</w:t>
      </w:r>
      <w:r>
        <w:rPr>
          <w:color w:val="231F20"/>
        </w:rPr>
        <w:t xml:space="preserve">ва, що вчиняється шляхом протиправних дій (наприклад, дрібне викрадення чужого майна  </w:t>
      </w:r>
      <w:r>
        <w:rPr>
          <w:color w:val="231F20"/>
          <w:spacing w:val="-5"/>
        </w:rPr>
        <w:t xml:space="preserve">(ст. </w:t>
      </w:r>
      <w:r>
        <w:rPr>
          <w:color w:val="231F20"/>
        </w:rPr>
        <w:t>51 КУпАП), псування і забруднення сільськогосподарських та інших</w:t>
      </w:r>
      <w:r>
        <w:rPr>
          <w:color w:val="231F20"/>
          <w:spacing w:val="33"/>
        </w:rPr>
        <w:t xml:space="preserve"> </w:t>
      </w:r>
      <w:r>
        <w:rPr>
          <w:color w:val="231F20"/>
        </w:rPr>
        <w:t>земель</w:t>
      </w:r>
      <w:r>
        <w:rPr>
          <w:color w:val="231F20"/>
          <w:spacing w:val="33"/>
        </w:rPr>
        <w:t xml:space="preserve"> </w:t>
      </w:r>
      <w:r>
        <w:rPr>
          <w:color w:val="231F20"/>
          <w:spacing w:val="-5"/>
        </w:rPr>
        <w:t>(ст.</w:t>
      </w:r>
      <w:r>
        <w:rPr>
          <w:color w:val="231F20"/>
          <w:spacing w:val="-7"/>
        </w:rPr>
        <w:t xml:space="preserve"> </w:t>
      </w:r>
      <w:r>
        <w:rPr>
          <w:color w:val="231F20"/>
        </w:rPr>
        <w:t>52</w:t>
      </w:r>
      <w:r>
        <w:rPr>
          <w:color w:val="231F20"/>
          <w:spacing w:val="33"/>
        </w:rPr>
        <w:t xml:space="preserve"> </w:t>
      </w:r>
      <w:r>
        <w:rPr>
          <w:color w:val="231F20"/>
        </w:rPr>
        <w:t>КУпАП),</w:t>
      </w:r>
      <w:r>
        <w:rPr>
          <w:color w:val="231F20"/>
          <w:spacing w:val="33"/>
        </w:rPr>
        <w:t xml:space="preserve"> </w:t>
      </w:r>
      <w:r>
        <w:rPr>
          <w:color w:val="231F20"/>
        </w:rPr>
        <w:t>решта</w:t>
      </w:r>
      <w:r>
        <w:rPr>
          <w:color w:val="231F20"/>
          <w:spacing w:val="33"/>
        </w:rPr>
        <w:t xml:space="preserve"> </w:t>
      </w:r>
      <w:r>
        <w:rPr>
          <w:color w:val="231F20"/>
        </w:rPr>
        <w:t>у</w:t>
      </w:r>
      <w:r>
        <w:rPr>
          <w:color w:val="231F20"/>
          <w:spacing w:val="33"/>
        </w:rPr>
        <w:t xml:space="preserve"> </w:t>
      </w:r>
      <w:r>
        <w:rPr>
          <w:color w:val="231F20"/>
        </w:rPr>
        <w:t>формі</w:t>
      </w:r>
      <w:r>
        <w:rPr>
          <w:color w:val="231F20"/>
          <w:spacing w:val="33"/>
        </w:rPr>
        <w:t xml:space="preserve"> </w:t>
      </w:r>
      <w:r>
        <w:rPr>
          <w:color w:val="231F20"/>
        </w:rPr>
        <w:t>бездіяльності</w:t>
      </w:r>
      <w:r>
        <w:rPr>
          <w:color w:val="231F20"/>
          <w:spacing w:val="35"/>
        </w:rPr>
        <w:t xml:space="preserve"> </w:t>
      </w:r>
      <w:r>
        <w:rPr>
          <w:color w:val="231F20"/>
        </w:rPr>
        <w:t>–</w:t>
      </w:r>
      <w:r>
        <w:rPr>
          <w:color w:val="231F20"/>
          <w:spacing w:val="33"/>
        </w:rPr>
        <w:t xml:space="preserve"> </w:t>
      </w:r>
      <w:r>
        <w:rPr>
          <w:color w:val="231F20"/>
        </w:rPr>
        <w:t>коли</w:t>
      </w:r>
    </w:p>
    <w:p w14:paraId="275EFC3B" w14:textId="77777777" w:rsidR="00DE575E" w:rsidRDefault="00DE575E">
      <w:pPr>
        <w:pStyle w:val="BodyText"/>
        <w:spacing w:before="7"/>
        <w:rPr>
          <w:sz w:val="12"/>
        </w:rPr>
      </w:pPr>
    </w:p>
    <w:p w14:paraId="01FF2453" w14:textId="77777777" w:rsidR="00DE575E" w:rsidRDefault="002E7560">
      <w:pPr>
        <w:spacing w:before="92"/>
        <w:ind w:left="533"/>
        <w:rPr>
          <w:rFonts w:ascii="Times New Roman"/>
          <w:sz w:val="20"/>
        </w:rPr>
      </w:pPr>
      <w:r>
        <w:rPr>
          <w:rFonts w:ascii="Times New Roman"/>
          <w:color w:val="231F20"/>
          <w:sz w:val="20"/>
        </w:rPr>
        <w:t>492</w:t>
      </w:r>
    </w:p>
    <w:p w14:paraId="3421432B" w14:textId="77777777" w:rsidR="00DE575E" w:rsidRDefault="00DE575E">
      <w:pPr>
        <w:rPr>
          <w:rFonts w:ascii="Times New Roman"/>
          <w:sz w:val="20"/>
        </w:rPr>
        <w:sectPr w:rsidR="00DE575E">
          <w:pgSz w:w="8510" w:h="12760"/>
          <w:pgMar w:top="660" w:right="720" w:bottom="280" w:left="600" w:header="720" w:footer="720" w:gutter="0"/>
          <w:cols w:space="720"/>
        </w:sectPr>
      </w:pPr>
    </w:p>
    <w:p w14:paraId="7B1A993E" w14:textId="77777777" w:rsidR="00DE575E" w:rsidRDefault="002E7560">
      <w:pPr>
        <w:spacing w:before="72" w:line="249" w:lineRule="auto"/>
        <w:ind w:left="1643" w:right="392" w:firstLine="1049"/>
        <w:rPr>
          <w:rFonts w:ascii="AdonisC" w:hAnsi="AdonisC"/>
          <w:i/>
          <w:sz w:val="18"/>
        </w:rPr>
      </w:pPr>
      <w:r>
        <w:rPr>
          <w:rFonts w:ascii="AdonisC" w:hAnsi="AdonisC"/>
          <w:i/>
          <w:color w:val="231F20"/>
          <w:sz w:val="18"/>
        </w:rPr>
        <w:t>Глава ІІ Особливе адмін</w:t>
      </w:r>
      <w:r>
        <w:rPr>
          <w:rFonts w:ascii="AdonisC" w:hAnsi="AdonisC"/>
          <w:i/>
          <w:color w:val="231F20"/>
          <w:sz w:val="18"/>
        </w:rPr>
        <w:t>істративне право/ Книга ІІ Розділ 3. Юридичний склад адміністративного правопорушення</w:t>
      </w:r>
    </w:p>
    <w:p w14:paraId="4675E173" w14:textId="3D7612B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24183C6" wp14:editId="13C9BD76">
                <wp:extent cx="4140200" cy="6350"/>
                <wp:effectExtent l="0" t="0" r="12700" b="6350"/>
                <wp:docPr id="18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82" name="Line 1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67409F" id="Group_x0020_1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UKCkLn4CAACYBQAADgAA&#10;AAAAAAAAAAAAAAAsAgAAZHJzL2Uyb0RvYy54bWxQSwECLQAUAAYACAAAACEATKewkNkAAAADAQAA&#10;DwAAAAAAAAAAAAAAAADWBAAAZHJzL2Rvd25yZXYueG1sUEsFBgAAAAAEAAQA8wAAANwFAAAAAA==&#10;">
                <v:line id="Line_x0020_1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lxw8MAAADcAAAADwAAAGRycy9kb3ducmV2LnhtbERPzYrCMBC+L/gOYQQvi6YqLNI1yiII&#10;4kF3rQ8wNrNt2WRSm2irT78RBG/z8f3OfNlZI67U+MqxgvEoAUGcO11xoeCYrYczED4gazSOScGN&#10;PCwXvbc5ptq1/EPXQyhEDGGfooIyhDqV0uclWfQjVxNH7tc1FkOETSF1g20Mt0ZOkuRDWqw4NpRY&#10;06qk/O9wsQqy83sw3/utabP9aSpP5930ftkpNeh3X58gAnXhJX66NzrOn03g8Uy8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JccPDAAAA3AAAAA8AAAAAAAAAAAAA&#10;AAAAoQIAAGRycy9kb3ducmV2LnhtbFBLBQYAAAAABAAEAPkAAACRAwAAAAA=&#10;" strokecolor="#231f20" strokeweight=".5pt"/>
                <w10:anchorlock/>
              </v:group>
            </w:pict>
          </mc:Fallback>
        </mc:AlternateContent>
      </w:r>
    </w:p>
    <w:p w14:paraId="3356D16B" w14:textId="77777777" w:rsidR="00DE575E" w:rsidRDefault="00DE575E">
      <w:pPr>
        <w:pStyle w:val="BodyText"/>
        <w:spacing w:before="7"/>
        <w:rPr>
          <w:rFonts w:ascii="AdonisC"/>
          <w:i/>
          <w:sz w:val="19"/>
        </w:rPr>
      </w:pPr>
    </w:p>
    <w:p w14:paraId="24ACCB24" w14:textId="77777777" w:rsidR="00DE575E" w:rsidRDefault="002E7560">
      <w:pPr>
        <w:pStyle w:val="BodyText"/>
        <w:spacing w:before="1" w:line="252" w:lineRule="auto"/>
        <w:ind w:left="250" w:right="408"/>
        <w:jc w:val="both"/>
      </w:pPr>
      <w:r>
        <w:rPr>
          <w:color w:val="231F20"/>
        </w:rPr>
        <w:t>особа для того, щоб не допустити протиправної поведінки, має вчинити позитивні дії, але вона з якихось причин їх не вчиняє. Це, наприклад, неявка громадянина на виклик до військового комісарі- ату без поважних причин (с</w:t>
      </w:r>
      <w:r>
        <w:rPr>
          <w:color w:val="231F20"/>
        </w:rPr>
        <w:t>т. 211-1 КУпАП). Необхідними умовами бездіяльності є обов’язковість і можливість особи діяти в конкрет- ній обстановці;</w:t>
      </w:r>
    </w:p>
    <w:p w14:paraId="13F9F2AE" w14:textId="77777777" w:rsidR="00DE575E" w:rsidRDefault="002E7560">
      <w:pPr>
        <w:pStyle w:val="ListParagraph"/>
        <w:numPr>
          <w:ilvl w:val="0"/>
          <w:numId w:val="27"/>
        </w:numPr>
        <w:tabs>
          <w:tab w:val="left" w:pos="818"/>
        </w:tabs>
        <w:spacing w:before="3"/>
        <w:ind w:firstLine="283"/>
        <w:jc w:val="left"/>
        <w:rPr>
          <w:i/>
          <w:sz w:val="21"/>
        </w:rPr>
      </w:pPr>
      <w:r>
        <w:rPr>
          <w:i/>
          <w:color w:val="231F20"/>
          <w:sz w:val="21"/>
        </w:rPr>
        <w:t>шкідливі наслідки</w:t>
      </w:r>
      <w:r>
        <w:rPr>
          <w:i/>
          <w:color w:val="231F20"/>
          <w:spacing w:val="-1"/>
          <w:sz w:val="21"/>
        </w:rPr>
        <w:t xml:space="preserve"> </w:t>
      </w:r>
      <w:r>
        <w:rPr>
          <w:i/>
          <w:color w:val="231F20"/>
          <w:sz w:val="21"/>
        </w:rPr>
        <w:t>діяння;</w:t>
      </w:r>
    </w:p>
    <w:p w14:paraId="76DFC570" w14:textId="77777777" w:rsidR="00DE575E" w:rsidRDefault="002E7560">
      <w:pPr>
        <w:pStyle w:val="ListParagraph"/>
        <w:numPr>
          <w:ilvl w:val="0"/>
          <w:numId w:val="27"/>
        </w:numPr>
        <w:tabs>
          <w:tab w:val="left" w:pos="818"/>
        </w:tabs>
        <w:spacing w:before="12" w:line="252" w:lineRule="auto"/>
        <w:ind w:right="411" w:firstLine="283"/>
        <w:rPr>
          <w:i/>
          <w:sz w:val="21"/>
        </w:rPr>
      </w:pPr>
      <w:r>
        <w:rPr>
          <w:i/>
          <w:color w:val="231F20"/>
          <w:sz w:val="21"/>
        </w:rPr>
        <w:t>причинний зв’язок між протиправним діянням та шкідливими наслідками, що</w:t>
      </w:r>
      <w:r>
        <w:rPr>
          <w:i/>
          <w:color w:val="231F20"/>
          <w:spacing w:val="-2"/>
          <w:sz w:val="21"/>
        </w:rPr>
        <w:t xml:space="preserve"> </w:t>
      </w:r>
      <w:r>
        <w:rPr>
          <w:i/>
          <w:color w:val="231F20"/>
          <w:sz w:val="21"/>
        </w:rPr>
        <w:t>наступили;</w:t>
      </w:r>
    </w:p>
    <w:p w14:paraId="01A65DCA" w14:textId="77777777" w:rsidR="00DE575E" w:rsidRDefault="002E7560">
      <w:pPr>
        <w:pStyle w:val="ListParagraph"/>
        <w:numPr>
          <w:ilvl w:val="0"/>
          <w:numId w:val="27"/>
        </w:numPr>
        <w:tabs>
          <w:tab w:val="left" w:pos="818"/>
        </w:tabs>
        <w:ind w:firstLine="283"/>
        <w:jc w:val="left"/>
        <w:rPr>
          <w:i/>
          <w:sz w:val="21"/>
        </w:rPr>
      </w:pPr>
      <w:r>
        <w:rPr>
          <w:i/>
          <w:color w:val="231F20"/>
          <w:sz w:val="21"/>
        </w:rPr>
        <w:t xml:space="preserve">час, місце, умови, способи </w:t>
      </w:r>
      <w:r>
        <w:rPr>
          <w:i/>
          <w:color w:val="231F20"/>
          <w:sz w:val="21"/>
        </w:rPr>
        <w:t>та засоби вчинення</w:t>
      </w:r>
      <w:r>
        <w:rPr>
          <w:i/>
          <w:color w:val="231F20"/>
          <w:spacing w:val="-21"/>
          <w:sz w:val="21"/>
        </w:rPr>
        <w:t xml:space="preserve"> </w:t>
      </w:r>
      <w:r>
        <w:rPr>
          <w:i/>
          <w:color w:val="231F20"/>
          <w:sz w:val="21"/>
        </w:rPr>
        <w:t>правопорушення.</w:t>
      </w:r>
    </w:p>
    <w:p w14:paraId="6668CAD9" w14:textId="77777777" w:rsidR="00DE575E" w:rsidRDefault="002E7560">
      <w:pPr>
        <w:pStyle w:val="BodyText"/>
        <w:spacing w:before="13"/>
        <w:ind w:left="533"/>
      </w:pPr>
      <w:r>
        <w:rPr>
          <w:color w:val="231F20"/>
        </w:rPr>
        <w:t xml:space="preserve">Протиправне діяння може характеризуватись як </w:t>
      </w:r>
      <w:r>
        <w:rPr>
          <w:i/>
          <w:color w:val="231F20"/>
        </w:rPr>
        <w:t xml:space="preserve">просте </w:t>
      </w:r>
      <w:r>
        <w:rPr>
          <w:color w:val="231F20"/>
        </w:rPr>
        <w:t>та</w:t>
      </w:r>
    </w:p>
    <w:p w14:paraId="5D3AD713" w14:textId="77777777" w:rsidR="00DE575E" w:rsidRDefault="002E7560">
      <w:pPr>
        <w:spacing w:before="13"/>
        <w:ind w:left="250"/>
        <w:rPr>
          <w:i/>
          <w:sz w:val="21"/>
        </w:rPr>
      </w:pPr>
      <w:r>
        <w:rPr>
          <w:i/>
          <w:color w:val="231F20"/>
          <w:sz w:val="21"/>
        </w:rPr>
        <w:t>складне.</w:t>
      </w:r>
    </w:p>
    <w:p w14:paraId="3559DCF4" w14:textId="77777777" w:rsidR="00DE575E" w:rsidRDefault="002E7560">
      <w:pPr>
        <w:pStyle w:val="BodyText"/>
        <w:spacing w:before="13" w:line="252" w:lineRule="auto"/>
        <w:ind w:left="250" w:right="411" w:firstLine="283"/>
        <w:jc w:val="both"/>
      </w:pPr>
      <w:r>
        <w:rPr>
          <w:i/>
          <w:color w:val="231F20"/>
        </w:rPr>
        <w:t xml:space="preserve">Просте </w:t>
      </w:r>
      <w:r>
        <w:rPr>
          <w:color w:val="231F20"/>
        </w:rPr>
        <w:t xml:space="preserve">діяння становить собою єдину однократну (одноак-  тну) дію чи бездіяльність – (наприклад, відправлення без дозволу митного органу транспортного </w:t>
      </w:r>
      <w:r>
        <w:rPr>
          <w:color w:val="231F20"/>
          <w:spacing w:val="-3"/>
        </w:rPr>
        <w:t>засобу</w:t>
      </w:r>
      <w:r>
        <w:rPr>
          <w:color w:val="231F20"/>
          <w:spacing w:val="-3"/>
        </w:rPr>
        <w:t xml:space="preserve">, </w:t>
      </w:r>
      <w:r>
        <w:rPr>
          <w:color w:val="231F20"/>
        </w:rPr>
        <w:t>що перебуває під митним контролем</w:t>
      </w:r>
      <w:r>
        <w:rPr>
          <w:color w:val="231F20"/>
          <w:spacing w:val="-1"/>
        </w:rPr>
        <w:t xml:space="preserve"> </w:t>
      </w:r>
      <w:r>
        <w:rPr>
          <w:color w:val="231F20"/>
        </w:rPr>
        <w:t>тощо).</w:t>
      </w:r>
    </w:p>
    <w:p w14:paraId="537E4971" w14:textId="77777777" w:rsidR="00DE575E" w:rsidRDefault="002E7560">
      <w:pPr>
        <w:pStyle w:val="BodyText"/>
        <w:spacing w:before="2" w:line="252" w:lineRule="auto"/>
        <w:ind w:left="250" w:right="411" w:firstLine="283"/>
        <w:jc w:val="both"/>
      </w:pPr>
      <w:r>
        <w:rPr>
          <w:i/>
          <w:color w:val="231F20"/>
        </w:rPr>
        <w:t xml:space="preserve">Складне </w:t>
      </w:r>
      <w:r>
        <w:rPr>
          <w:color w:val="231F20"/>
        </w:rPr>
        <w:t>протиправне діяння утворює різні склади адміністра- тивних правопорушень, зокрема:</w:t>
      </w:r>
    </w:p>
    <w:p w14:paraId="2ED454DC" w14:textId="77777777" w:rsidR="00DE575E" w:rsidRDefault="002E7560">
      <w:pPr>
        <w:pStyle w:val="BodyText"/>
        <w:spacing w:before="1" w:line="252" w:lineRule="auto"/>
        <w:ind w:left="250" w:right="411" w:firstLine="283"/>
        <w:jc w:val="both"/>
      </w:pPr>
      <w:r>
        <w:rPr>
          <w:color w:val="231F20"/>
        </w:rPr>
        <w:t xml:space="preserve">– </w:t>
      </w:r>
      <w:r>
        <w:rPr>
          <w:color w:val="231F20"/>
          <w:spacing w:val="-3"/>
        </w:rPr>
        <w:t xml:space="preserve">тих, </w:t>
      </w:r>
      <w:r>
        <w:rPr>
          <w:color w:val="231F20"/>
        </w:rPr>
        <w:t xml:space="preserve">що </w:t>
      </w:r>
      <w:r>
        <w:rPr>
          <w:color w:val="231F20"/>
          <w:spacing w:val="-3"/>
        </w:rPr>
        <w:t xml:space="preserve">складаються </w:t>
      </w:r>
      <w:r>
        <w:rPr>
          <w:color w:val="231F20"/>
        </w:rPr>
        <w:t xml:space="preserve">з </w:t>
      </w:r>
      <w:r>
        <w:rPr>
          <w:i/>
          <w:color w:val="231F20"/>
          <w:spacing w:val="-3"/>
        </w:rPr>
        <w:t xml:space="preserve">альтернативних </w:t>
      </w:r>
      <w:r>
        <w:rPr>
          <w:i/>
          <w:color w:val="231F20"/>
        </w:rPr>
        <w:t xml:space="preserve">дій </w:t>
      </w:r>
      <w:r>
        <w:rPr>
          <w:color w:val="231F20"/>
          <w:spacing w:val="-3"/>
        </w:rPr>
        <w:t>(</w:t>
      </w:r>
      <w:r>
        <w:rPr>
          <w:i/>
          <w:color w:val="231F20"/>
          <w:spacing w:val="-3"/>
        </w:rPr>
        <w:t xml:space="preserve">наприклад, </w:t>
      </w:r>
      <w:r>
        <w:rPr>
          <w:color w:val="231F20"/>
          <w:spacing w:val="-8"/>
        </w:rPr>
        <w:t xml:space="preserve">ст. </w:t>
      </w:r>
      <w:r>
        <w:rPr>
          <w:color w:val="231F20"/>
          <w:spacing w:val="-3"/>
        </w:rPr>
        <w:t xml:space="preserve">189-1 </w:t>
      </w:r>
      <w:r>
        <w:rPr>
          <w:color w:val="231F20"/>
          <w:spacing w:val="-5"/>
        </w:rPr>
        <w:t xml:space="preserve">КУпАП </w:t>
      </w:r>
      <w:r>
        <w:rPr>
          <w:color w:val="231F20"/>
          <w:spacing w:val="-4"/>
        </w:rPr>
        <w:t xml:space="preserve">установлює </w:t>
      </w:r>
      <w:r>
        <w:rPr>
          <w:color w:val="231F20"/>
          <w:spacing w:val="-3"/>
        </w:rPr>
        <w:t xml:space="preserve">відповідальність </w:t>
      </w:r>
      <w:r>
        <w:rPr>
          <w:color w:val="231F20"/>
        </w:rPr>
        <w:t xml:space="preserve">за </w:t>
      </w:r>
      <w:r>
        <w:rPr>
          <w:color w:val="231F20"/>
          <w:spacing w:val="-3"/>
        </w:rPr>
        <w:t xml:space="preserve">порушення порядку видо- </w:t>
      </w:r>
      <w:r>
        <w:rPr>
          <w:color w:val="231F20"/>
          <w:spacing w:val="-5"/>
        </w:rPr>
        <w:t xml:space="preserve">бутку, </w:t>
      </w:r>
      <w:r>
        <w:rPr>
          <w:color w:val="231F20"/>
          <w:spacing w:val="-3"/>
        </w:rPr>
        <w:t xml:space="preserve">виробництва, використання </w:t>
      </w:r>
      <w:r>
        <w:rPr>
          <w:color w:val="231F20"/>
        </w:rPr>
        <w:t xml:space="preserve">та </w:t>
      </w:r>
      <w:r>
        <w:rPr>
          <w:color w:val="231F20"/>
          <w:spacing w:val="-3"/>
        </w:rPr>
        <w:t xml:space="preserve">реалізації дорогоцінних мета- </w:t>
      </w:r>
      <w:r>
        <w:rPr>
          <w:color w:val="231F20"/>
        </w:rPr>
        <w:t xml:space="preserve">лів і </w:t>
      </w:r>
      <w:r>
        <w:rPr>
          <w:color w:val="231F20"/>
          <w:spacing w:val="-3"/>
        </w:rPr>
        <w:t xml:space="preserve">дорогоцінного каміння, дорогоцінного каміння органогенного утворення </w:t>
      </w:r>
      <w:r>
        <w:rPr>
          <w:color w:val="231F20"/>
        </w:rPr>
        <w:t xml:space="preserve">та </w:t>
      </w:r>
      <w:r>
        <w:rPr>
          <w:color w:val="231F20"/>
          <w:spacing w:val="-3"/>
        </w:rPr>
        <w:t xml:space="preserve">напівдорогоцінного каміння). </w:t>
      </w:r>
      <w:r>
        <w:rPr>
          <w:color w:val="231F20"/>
          <w:spacing w:val="-4"/>
        </w:rPr>
        <w:t xml:space="preserve">Кожна </w:t>
      </w:r>
      <w:r>
        <w:rPr>
          <w:color w:val="231F20"/>
        </w:rPr>
        <w:t xml:space="preserve">з </w:t>
      </w:r>
      <w:r>
        <w:rPr>
          <w:color w:val="231F20"/>
          <w:spacing w:val="-4"/>
        </w:rPr>
        <w:t xml:space="preserve">альтернативних </w:t>
      </w:r>
      <w:r>
        <w:rPr>
          <w:color w:val="231F20"/>
        </w:rPr>
        <w:t xml:space="preserve">дій у </w:t>
      </w:r>
      <w:r>
        <w:rPr>
          <w:color w:val="231F20"/>
          <w:spacing w:val="-3"/>
        </w:rPr>
        <w:t xml:space="preserve">таких випадках уже сама </w:t>
      </w:r>
      <w:r>
        <w:rPr>
          <w:color w:val="231F20"/>
        </w:rPr>
        <w:t xml:space="preserve">по </w:t>
      </w:r>
      <w:r>
        <w:rPr>
          <w:color w:val="231F20"/>
          <w:spacing w:val="-3"/>
        </w:rPr>
        <w:t>соб</w:t>
      </w:r>
      <w:r>
        <w:rPr>
          <w:color w:val="231F20"/>
          <w:spacing w:val="-3"/>
        </w:rPr>
        <w:t xml:space="preserve">і </w:t>
      </w:r>
      <w:r>
        <w:rPr>
          <w:color w:val="231F20"/>
        </w:rPr>
        <w:t xml:space="preserve">є </w:t>
      </w:r>
      <w:r>
        <w:rPr>
          <w:color w:val="231F20"/>
          <w:spacing w:val="-3"/>
        </w:rPr>
        <w:t xml:space="preserve">достатньою підставою </w:t>
      </w:r>
      <w:r>
        <w:rPr>
          <w:color w:val="231F20"/>
        </w:rPr>
        <w:t xml:space="preserve">для </w:t>
      </w:r>
      <w:r>
        <w:rPr>
          <w:color w:val="231F20"/>
          <w:spacing w:val="-3"/>
        </w:rPr>
        <w:t xml:space="preserve">притягнення </w:t>
      </w:r>
      <w:r>
        <w:rPr>
          <w:color w:val="231F20"/>
        </w:rPr>
        <w:t xml:space="preserve">до </w:t>
      </w:r>
      <w:r>
        <w:rPr>
          <w:color w:val="231F20"/>
          <w:spacing w:val="-3"/>
        </w:rPr>
        <w:t xml:space="preserve">адміністративної відповідальності. Однак </w:t>
      </w:r>
      <w:r>
        <w:rPr>
          <w:color w:val="231F20"/>
        </w:rPr>
        <w:t xml:space="preserve">особа </w:t>
      </w:r>
      <w:r>
        <w:rPr>
          <w:color w:val="231F20"/>
          <w:spacing w:val="-3"/>
        </w:rPr>
        <w:t xml:space="preserve">не скоює нового </w:t>
      </w:r>
      <w:r>
        <w:rPr>
          <w:color w:val="231F20"/>
        </w:rPr>
        <w:t xml:space="preserve">складу </w:t>
      </w:r>
      <w:r>
        <w:rPr>
          <w:color w:val="231F20"/>
          <w:spacing w:val="-3"/>
        </w:rPr>
        <w:t xml:space="preserve">правопорушення, </w:t>
      </w:r>
      <w:r>
        <w:rPr>
          <w:color w:val="231F20"/>
        </w:rPr>
        <w:t xml:space="preserve">якщо </w:t>
      </w:r>
      <w:r>
        <w:rPr>
          <w:color w:val="231F20"/>
          <w:spacing w:val="-3"/>
        </w:rPr>
        <w:t xml:space="preserve">вона послідовно здійс- </w:t>
      </w:r>
      <w:r>
        <w:rPr>
          <w:color w:val="231F20"/>
        </w:rPr>
        <w:t xml:space="preserve">нює всі </w:t>
      </w:r>
      <w:r>
        <w:rPr>
          <w:color w:val="231F20"/>
          <w:spacing w:val="-3"/>
        </w:rPr>
        <w:t xml:space="preserve">зазначені </w:t>
      </w:r>
      <w:r>
        <w:rPr>
          <w:color w:val="231F20"/>
        </w:rPr>
        <w:t xml:space="preserve">в </w:t>
      </w:r>
      <w:r>
        <w:rPr>
          <w:color w:val="231F20"/>
          <w:spacing w:val="-3"/>
        </w:rPr>
        <w:t>диспозиції норми права заборонені дії;</w:t>
      </w:r>
    </w:p>
    <w:p w14:paraId="22C8497A" w14:textId="77777777" w:rsidR="00DE575E" w:rsidRDefault="002E7560">
      <w:pPr>
        <w:pStyle w:val="ListParagraph"/>
        <w:numPr>
          <w:ilvl w:val="0"/>
          <w:numId w:val="21"/>
        </w:numPr>
        <w:tabs>
          <w:tab w:val="left" w:pos="818"/>
        </w:tabs>
        <w:spacing w:before="4" w:line="252" w:lineRule="auto"/>
        <w:ind w:right="411" w:firstLine="283"/>
        <w:rPr>
          <w:sz w:val="21"/>
        </w:rPr>
      </w:pPr>
      <w:r>
        <w:rPr>
          <w:i/>
          <w:color w:val="231F20"/>
          <w:sz w:val="21"/>
        </w:rPr>
        <w:t xml:space="preserve">тривалих </w:t>
      </w:r>
      <w:r>
        <w:rPr>
          <w:color w:val="231F20"/>
          <w:sz w:val="21"/>
        </w:rPr>
        <w:t>правопорушень, тобто таких, як</w:t>
      </w:r>
      <w:r>
        <w:rPr>
          <w:color w:val="231F20"/>
          <w:sz w:val="21"/>
        </w:rPr>
        <w:t>і почавшись з якої-небудь</w:t>
      </w:r>
      <w:r>
        <w:rPr>
          <w:color w:val="231F20"/>
          <w:spacing w:val="-22"/>
          <w:sz w:val="21"/>
        </w:rPr>
        <w:t xml:space="preserve"> </w:t>
      </w:r>
      <w:r>
        <w:rPr>
          <w:color w:val="231F20"/>
          <w:sz w:val="21"/>
        </w:rPr>
        <w:t>протиправної</w:t>
      </w:r>
      <w:r>
        <w:rPr>
          <w:color w:val="231F20"/>
          <w:spacing w:val="-22"/>
          <w:sz w:val="21"/>
        </w:rPr>
        <w:t xml:space="preserve"> </w:t>
      </w:r>
      <w:r>
        <w:rPr>
          <w:color w:val="231F20"/>
          <w:sz w:val="21"/>
        </w:rPr>
        <w:t>дії</w:t>
      </w:r>
      <w:r>
        <w:rPr>
          <w:color w:val="231F20"/>
          <w:spacing w:val="-22"/>
          <w:sz w:val="21"/>
        </w:rPr>
        <w:t xml:space="preserve"> </w:t>
      </w:r>
      <w:r>
        <w:rPr>
          <w:color w:val="231F20"/>
          <w:sz w:val="21"/>
        </w:rPr>
        <w:t>чи</w:t>
      </w:r>
      <w:r>
        <w:rPr>
          <w:color w:val="231F20"/>
          <w:spacing w:val="-22"/>
          <w:sz w:val="21"/>
        </w:rPr>
        <w:t xml:space="preserve"> </w:t>
      </w:r>
      <w:r>
        <w:rPr>
          <w:color w:val="231F20"/>
          <w:sz w:val="21"/>
        </w:rPr>
        <w:t>бездіяльності,</w:t>
      </w:r>
      <w:r>
        <w:rPr>
          <w:color w:val="231F20"/>
          <w:spacing w:val="-22"/>
          <w:sz w:val="21"/>
        </w:rPr>
        <w:t xml:space="preserve"> </w:t>
      </w:r>
      <w:r>
        <w:rPr>
          <w:color w:val="231F20"/>
          <w:sz w:val="21"/>
        </w:rPr>
        <w:t>продовжуються</w:t>
      </w:r>
      <w:r>
        <w:rPr>
          <w:color w:val="231F20"/>
          <w:spacing w:val="-22"/>
          <w:sz w:val="21"/>
        </w:rPr>
        <w:t xml:space="preserve"> </w:t>
      </w:r>
      <w:r>
        <w:rPr>
          <w:color w:val="231F20"/>
          <w:sz w:val="21"/>
        </w:rPr>
        <w:t xml:space="preserve">потім безперервно шляхом невиконання (порушення) обов’язків (напри- клад, порушення порядку виробництва, зберігання, перевезення, торгівлі та використання піротехнічних засобів, </w:t>
      </w:r>
      <w:r>
        <w:rPr>
          <w:color w:val="231F20"/>
          <w:spacing w:val="-6"/>
          <w:sz w:val="21"/>
        </w:rPr>
        <w:t>ст.</w:t>
      </w:r>
      <w:r>
        <w:rPr>
          <w:color w:val="231F20"/>
          <w:spacing w:val="-6"/>
          <w:sz w:val="21"/>
        </w:rPr>
        <w:t xml:space="preserve"> </w:t>
      </w:r>
      <w:r>
        <w:rPr>
          <w:color w:val="231F20"/>
          <w:sz w:val="21"/>
        </w:rPr>
        <w:t>195-6</w:t>
      </w:r>
      <w:r>
        <w:rPr>
          <w:color w:val="231F20"/>
          <w:spacing w:val="-21"/>
          <w:sz w:val="21"/>
        </w:rPr>
        <w:t xml:space="preserve"> </w:t>
      </w:r>
      <w:r>
        <w:rPr>
          <w:color w:val="231F20"/>
          <w:sz w:val="21"/>
        </w:rPr>
        <w:t>КУпАП);</w:t>
      </w:r>
    </w:p>
    <w:p w14:paraId="78B780B8" w14:textId="77777777" w:rsidR="00DE575E" w:rsidRDefault="002E7560">
      <w:pPr>
        <w:pStyle w:val="ListParagraph"/>
        <w:numPr>
          <w:ilvl w:val="0"/>
          <w:numId w:val="21"/>
        </w:numPr>
        <w:tabs>
          <w:tab w:val="left" w:pos="818"/>
        </w:tabs>
        <w:spacing w:before="3" w:line="252" w:lineRule="auto"/>
        <w:ind w:right="411" w:firstLine="283"/>
        <w:rPr>
          <w:sz w:val="21"/>
        </w:rPr>
      </w:pPr>
      <w:r>
        <w:rPr>
          <w:i/>
          <w:color w:val="231F20"/>
          <w:sz w:val="21"/>
        </w:rPr>
        <w:t xml:space="preserve">продовжуваних правопорушень, </w:t>
      </w:r>
      <w:r>
        <w:rPr>
          <w:color w:val="231F20"/>
          <w:sz w:val="21"/>
        </w:rPr>
        <w:t>тобто таких, які складаються з</w:t>
      </w:r>
      <w:r>
        <w:rPr>
          <w:color w:val="231F20"/>
          <w:spacing w:val="-4"/>
          <w:sz w:val="21"/>
        </w:rPr>
        <w:t xml:space="preserve"> </w:t>
      </w:r>
      <w:r>
        <w:rPr>
          <w:color w:val="231F20"/>
          <w:sz w:val="21"/>
        </w:rPr>
        <w:t>декількох</w:t>
      </w:r>
      <w:r>
        <w:rPr>
          <w:color w:val="231F20"/>
          <w:spacing w:val="-4"/>
          <w:sz w:val="21"/>
        </w:rPr>
        <w:t xml:space="preserve"> </w:t>
      </w:r>
      <w:r>
        <w:rPr>
          <w:color w:val="231F20"/>
          <w:sz w:val="21"/>
        </w:rPr>
        <w:t>тотожних</w:t>
      </w:r>
      <w:r>
        <w:rPr>
          <w:color w:val="231F20"/>
          <w:spacing w:val="-4"/>
          <w:sz w:val="21"/>
        </w:rPr>
        <w:t xml:space="preserve"> </w:t>
      </w:r>
      <w:r>
        <w:rPr>
          <w:color w:val="231F20"/>
          <w:sz w:val="21"/>
        </w:rPr>
        <w:t>протиправних</w:t>
      </w:r>
      <w:r>
        <w:rPr>
          <w:color w:val="231F20"/>
          <w:spacing w:val="-4"/>
          <w:sz w:val="21"/>
        </w:rPr>
        <w:t xml:space="preserve"> </w:t>
      </w:r>
      <w:r>
        <w:rPr>
          <w:color w:val="231F20"/>
          <w:sz w:val="21"/>
        </w:rPr>
        <w:t>дій,</w:t>
      </w:r>
      <w:r>
        <w:rPr>
          <w:color w:val="231F20"/>
          <w:spacing w:val="-4"/>
          <w:sz w:val="21"/>
        </w:rPr>
        <w:t xml:space="preserve"> </w:t>
      </w:r>
      <w:r>
        <w:rPr>
          <w:color w:val="231F20"/>
          <w:sz w:val="21"/>
        </w:rPr>
        <w:t>зв’язаних</w:t>
      </w:r>
      <w:r>
        <w:rPr>
          <w:color w:val="231F20"/>
          <w:spacing w:val="-4"/>
          <w:sz w:val="21"/>
        </w:rPr>
        <w:t xml:space="preserve"> </w:t>
      </w:r>
      <w:r>
        <w:rPr>
          <w:color w:val="231F20"/>
          <w:sz w:val="21"/>
        </w:rPr>
        <w:t>між</w:t>
      </w:r>
      <w:r>
        <w:rPr>
          <w:color w:val="231F20"/>
          <w:spacing w:val="-4"/>
          <w:sz w:val="21"/>
        </w:rPr>
        <w:t xml:space="preserve"> </w:t>
      </w:r>
      <w:r>
        <w:rPr>
          <w:color w:val="231F20"/>
          <w:sz w:val="21"/>
        </w:rPr>
        <w:t>собою</w:t>
      </w:r>
      <w:r>
        <w:rPr>
          <w:color w:val="231F20"/>
          <w:spacing w:val="-4"/>
          <w:sz w:val="21"/>
        </w:rPr>
        <w:t xml:space="preserve"> </w:t>
      </w:r>
      <w:r>
        <w:rPr>
          <w:color w:val="231F20"/>
          <w:sz w:val="21"/>
        </w:rPr>
        <w:t>і</w:t>
      </w:r>
      <w:r>
        <w:rPr>
          <w:color w:val="231F20"/>
          <w:spacing w:val="-4"/>
          <w:sz w:val="21"/>
        </w:rPr>
        <w:t xml:space="preserve"> </w:t>
      </w:r>
      <w:r>
        <w:rPr>
          <w:color w:val="231F20"/>
          <w:sz w:val="21"/>
        </w:rPr>
        <w:t>спря- мованих</w:t>
      </w:r>
      <w:r>
        <w:rPr>
          <w:color w:val="231F20"/>
          <w:spacing w:val="-16"/>
          <w:sz w:val="21"/>
        </w:rPr>
        <w:t xml:space="preserve"> </w:t>
      </w:r>
      <w:r>
        <w:rPr>
          <w:color w:val="231F20"/>
          <w:sz w:val="21"/>
        </w:rPr>
        <w:t>для</w:t>
      </w:r>
      <w:r>
        <w:rPr>
          <w:color w:val="231F20"/>
          <w:spacing w:val="-16"/>
          <w:sz w:val="21"/>
        </w:rPr>
        <w:t xml:space="preserve"> </w:t>
      </w:r>
      <w:r>
        <w:rPr>
          <w:color w:val="231F20"/>
          <w:sz w:val="21"/>
        </w:rPr>
        <w:t>досягнення</w:t>
      </w:r>
      <w:r>
        <w:rPr>
          <w:color w:val="231F20"/>
          <w:spacing w:val="-16"/>
          <w:sz w:val="21"/>
        </w:rPr>
        <w:t xml:space="preserve"> </w:t>
      </w:r>
      <w:r>
        <w:rPr>
          <w:color w:val="231F20"/>
          <w:sz w:val="21"/>
        </w:rPr>
        <w:t>загальної</w:t>
      </w:r>
      <w:r>
        <w:rPr>
          <w:color w:val="231F20"/>
          <w:spacing w:val="-16"/>
          <w:sz w:val="21"/>
        </w:rPr>
        <w:t xml:space="preserve"> </w:t>
      </w:r>
      <w:r>
        <w:rPr>
          <w:color w:val="231F20"/>
          <w:sz w:val="21"/>
        </w:rPr>
        <w:t>мети,</w:t>
      </w:r>
      <w:r>
        <w:rPr>
          <w:color w:val="231F20"/>
          <w:spacing w:val="-16"/>
          <w:sz w:val="21"/>
        </w:rPr>
        <w:t xml:space="preserve"> </w:t>
      </w:r>
      <w:r>
        <w:rPr>
          <w:color w:val="231F20"/>
          <w:sz w:val="21"/>
        </w:rPr>
        <w:t>і</w:t>
      </w:r>
      <w:r>
        <w:rPr>
          <w:color w:val="231F20"/>
          <w:spacing w:val="-15"/>
          <w:sz w:val="21"/>
        </w:rPr>
        <w:t xml:space="preserve"> </w:t>
      </w:r>
      <w:r>
        <w:rPr>
          <w:color w:val="231F20"/>
          <w:sz w:val="21"/>
        </w:rPr>
        <w:t>які</w:t>
      </w:r>
      <w:r>
        <w:rPr>
          <w:color w:val="231F20"/>
          <w:spacing w:val="-16"/>
          <w:sz w:val="21"/>
        </w:rPr>
        <w:t xml:space="preserve"> </w:t>
      </w:r>
      <w:r>
        <w:rPr>
          <w:color w:val="231F20"/>
          <w:sz w:val="21"/>
        </w:rPr>
        <w:t>в</w:t>
      </w:r>
      <w:r>
        <w:rPr>
          <w:color w:val="231F20"/>
          <w:spacing w:val="-16"/>
          <w:sz w:val="21"/>
        </w:rPr>
        <w:t xml:space="preserve"> </w:t>
      </w:r>
      <w:r>
        <w:rPr>
          <w:color w:val="231F20"/>
          <w:sz w:val="21"/>
        </w:rPr>
        <w:t>сукупності</w:t>
      </w:r>
      <w:r>
        <w:rPr>
          <w:color w:val="231F20"/>
          <w:spacing w:val="-16"/>
          <w:sz w:val="21"/>
        </w:rPr>
        <w:t xml:space="preserve"> </w:t>
      </w:r>
      <w:r>
        <w:rPr>
          <w:color w:val="231F20"/>
          <w:sz w:val="21"/>
        </w:rPr>
        <w:t>своїй</w:t>
      </w:r>
      <w:r>
        <w:rPr>
          <w:color w:val="231F20"/>
          <w:spacing w:val="-16"/>
          <w:sz w:val="21"/>
        </w:rPr>
        <w:t xml:space="preserve"> </w:t>
      </w:r>
      <w:r>
        <w:rPr>
          <w:color w:val="231F20"/>
          <w:sz w:val="21"/>
        </w:rPr>
        <w:t xml:space="preserve">утво- рюють єдине правопорушення. </w:t>
      </w:r>
      <w:r>
        <w:rPr>
          <w:color w:val="231F20"/>
          <w:spacing w:val="-5"/>
          <w:sz w:val="21"/>
        </w:rPr>
        <w:t xml:space="preserve">Таке </w:t>
      </w:r>
      <w:r>
        <w:rPr>
          <w:color w:val="231F20"/>
          <w:sz w:val="21"/>
        </w:rPr>
        <w:t>правопорушення скоюється не безперервно, а окремими епізодами, внутрішньо тісно пов’язаними, але відокремленими в часі, які є ніби ланками одного ланцюжка. Прикладами</w:t>
      </w:r>
      <w:r>
        <w:rPr>
          <w:color w:val="231F20"/>
          <w:spacing w:val="12"/>
          <w:sz w:val="21"/>
        </w:rPr>
        <w:t xml:space="preserve"> </w:t>
      </w:r>
      <w:r>
        <w:rPr>
          <w:color w:val="231F20"/>
          <w:sz w:val="21"/>
        </w:rPr>
        <w:t>подібних</w:t>
      </w:r>
      <w:r>
        <w:rPr>
          <w:color w:val="231F20"/>
          <w:spacing w:val="12"/>
          <w:sz w:val="21"/>
        </w:rPr>
        <w:t xml:space="preserve"> </w:t>
      </w:r>
      <w:r>
        <w:rPr>
          <w:color w:val="231F20"/>
          <w:sz w:val="21"/>
        </w:rPr>
        <w:t>правопорушень</w:t>
      </w:r>
      <w:r>
        <w:rPr>
          <w:color w:val="231F20"/>
          <w:spacing w:val="12"/>
          <w:sz w:val="21"/>
        </w:rPr>
        <w:t xml:space="preserve"> </w:t>
      </w:r>
      <w:r>
        <w:rPr>
          <w:color w:val="231F20"/>
          <w:sz w:val="21"/>
        </w:rPr>
        <w:t>може</w:t>
      </w:r>
      <w:r>
        <w:rPr>
          <w:color w:val="231F20"/>
          <w:spacing w:val="12"/>
          <w:sz w:val="21"/>
        </w:rPr>
        <w:t xml:space="preserve"> </w:t>
      </w:r>
      <w:r>
        <w:rPr>
          <w:color w:val="231F20"/>
          <w:sz w:val="21"/>
        </w:rPr>
        <w:t>бути</w:t>
      </w:r>
      <w:r>
        <w:rPr>
          <w:color w:val="231F20"/>
          <w:spacing w:val="12"/>
          <w:sz w:val="21"/>
        </w:rPr>
        <w:t xml:space="preserve"> </w:t>
      </w:r>
      <w:r>
        <w:rPr>
          <w:color w:val="231F20"/>
          <w:sz w:val="21"/>
        </w:rPr>
        <w:t>багаторазовий</w:t>
      </w:r>
    </w:p>
    <w:p w14:paraId="32D203E9" w14:textId="77777777" w:rsidR="00DE575E" w:rsidRDefault="00DE575E">
      <w:pPr>
        <w:pStyle w:val="BodyText"/>
        <w:spacing w:before="7"/>
        <w:rPr>
          <w:sz w:val="12"/>
        </w:rPr>
      </w:pPr>
    </w:p>
    <w:p w14:paraId="3DECDF3B" w14:textId="77777777" w:rsidR="00DE575E" w:rsidRDefault="002E7560">
      <w:pPr>
        <w:spacing w:before="92"/>
        <w:ind w:right="411"/>
        <w:jc w:val="right"/>
        <w:rPr>
          <w:rFonts w:ascii="Times New Roman"/>
          <w:sz w:val="20"/>
        </w:rPr>
      </w:pPr>
      <w:r>
        <w:rPr>
          <w:rFonts w:ascii="Times New Roman"/>
          <w:color w:val="231F20"/>
          <w:w w:val="90"/>
          <w:sz w:val="20"/>
        </w:rPr>
        <w:t>493</w:t>
      </w:r>
    </w:p>
    <w:p w14:paraId="433CAF4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A1C1BC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w:t>
      </w:r>
      <w:r>
        <w:rPr>
          <w:rFonts w:ascii="AdonisC" w:hAnsi="AdonisC"/>
          <w:i/>
          <w:color w:val="231F20"/>
          <w:sz w:val="18"/>
        </w:rPr>
        <w:t>країни. Повний курс</w:t>
      </w:r>
    </w:p>
    <w:p w14:paraId="73620F28" w14:textId="027845B9"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382884D" wp14:editId="2C4F8A45">
                <wp:extent cx="4140200" cy="6350"/>
                <wp:effectExtent l="0" t="0" r="12700" b="6350"/>
                <wp:docPr id="1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80" name="Line 1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24D6E" id="Group_x0020_1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K9Ko7gAIAAJgFAAAO&#10;AAAAAAAAAAAAAAAAACwCAABkcnMvZTJvRG9jLnhtbFBLAQItABQABgAIAAAAIQBMp7CQ2QAAAAMB&#10;AAAPAAAAAAAAAAAAAAAAANgEAABkcnMvZG93bnJldi54bWxQSwUGAAAAAAQABADzAAAA3gUAAAAA&#10;">
                <v:line id="Line_x0020_1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dKL8YAAADcAAAADwAAAGRycy9kb3ducmV2LnhtbESPQWvCQBCF74X+h2UKvRTdWKFIdJVS&#10;EEoPao0/YMyOSXB3NmZXk/bXO4dCbzO8N+99s1gN3qkbdbEJbGAyzkARl8E2XBk4FOvRDFRMyBZd&#10;YDLwQxFWy8eHBeY29PxNt32qlIRwzNFAnVKbax3LmjzGcWiJRTuFzmOStau07bCXcO/0a5a9aY8N&#10;S0ONLX3UVJ73V2+guLwkt9t+ub7YHqf6eNlMf68bY56fhvc5qERD+jf/XX9awZ8JvjwjE+jl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XSi/GAAAA3AAAAA8AAAAAAAAA&#10;AAAAAAAAoQIAAGRycy9kb3ducmV2LnhtbFBLBQYAAAAABAAEAPkAAACUAwAAAAA=&#10;" strokecolor="#231f20" strokeweight=".5pt"/>
                <w10:anchorlock/>
              </v:group>
            </w:pict>
          </mc:Fallback>
        </mc:AlternateContent>
      </w:r>
    </w:p>
    <w:p w14:paraId="13EC7363" w14:textId="77777777" w:rsidR="00DE575E" w:rsidRDefault="00DE575E">
      <w:pPr>
        <w:pStyle w:val="BodyText"/>
        <w:spacing w:before="7"/>
        <w:rPr>
          <w:rFonts w:ascii="AdonisC"/>
          <w:i/>
          <w:sz w:val="11"/>
        </w:rPr>
      </w:pPr>
    </w:p>
    <w:p w14:paraId="71134832" w14:textId="77777777" w:rsidR="00DE575E" w:rsidRDefault="002E7560">
      <w:pPr>
        <w:pStyle w:val="BodyText"/>
        <w:spacing w:before="101" w:line="252" w:lineRule="auto"/>
        <w:ind w:left="533" w:right="126"/>
        <w:jc w:val="both"/>
      </w:pPr>
      <w:r>
        <w:rPr>
          <w:color w:val="231F20"/>
        </w:rPr>
        <w:t xml:space="preserve">випуск (направлення) річкового судна в плавання без документів, що посвідчують належність судна, придатність його до плавання, з неукомплектованим екіпажем, за невідповідності технічного стану судна наявним документам, </w:t>
      </w:r>
      <w:r>
        <w:rPr>
          <w:color w:val="231F20"/>
        </w:rPr>
        <w:t>із порушенням установлених правил завантаження, норм пасажиромісткості, обмежень щодо району та умов плавання, а також допуск до керування судном або його меха- нізмами й обладнанням осіб, які не мають відповідного диплома (посвідчення, свідоцтва) (ст. 116</w:t>
      </w:r>
      <w:r>
        <w:rPr>
          <w:color w:val="231F20"/>
        </w:rPr>
        <w:t>-1 КУпАП).</w:t>
      </w:r>
    </w:p>
    <w:p w14:paraId="0BC59EF4" w14:textId="77777777" w:rsidR="00DE575E" w:rsidRDefault="002E7560">
      <w:pPr>
        <w:pStyle w:val="BodyText"/>
        <w:spacing w:before="4"/>
        <w:ind w:left="817"/>
      </w:pPr>
      <w:r>
        <w:rPr>
          <w:color w:val="231F20"/>
        </w:rPr>
        <w:t>Залежно від наявності шкідливих наслідків виділяють:</w:t>
      </w:r>
    </w:p>
    <w:p w14:paraId="376FA2A0" w14:textId="77777777" w:rsidR="00DE575E" w:rsidRDefault="002E7560">
      <w:pPr>
        <w:pStyle w:val="ListParagraph"/>
        <w:numPr>
          <w:ilvl w:val="0"/>
          <w:numId w:val="20"/>
        </w:numPr>
        <w:tabs>
          <w:tab w:val="left" w:pos="1101"/>
        </w:tabs>
        <w:spacing w:before="12" w:line="252" w:lineRule="auto"/>
        <w:ind w:right="127" w:firstLine="284"/>
        <w:rPr>
          <w:sz w:val="21"/>
        </w:rPr>
      </w:pPr>
      <w:r>
        <w:rPr>
          <w:i/>
          <w:color w:val="231F20"/>
          <w:sz w:val="21"/>
        </w:rPr>
        <w:t xml:space="preserve">матеріальні </w:t>
      </w:r>
      <w:r>
        <w:rPr>
          <w:color w:val="231F20"/>
          <w:sz w:val="21"/>
        </w:rPr>
        <w:t xml:space="preserve">склади адміністративних правопорушень (коли такі наслідки в нормі права передбачаються – наприклад, пошко- дження  лісу   стічними   водами,   хімічними   речовинами,   нафтою і нафтопродуктами, промисловими і комунально-побутовими вики- дами, відходами і </w:t>
      </w:r>
      <w:r>
        <w:rPr>
          <w:color w:val="231F20"/>
          <w:sz w:val="21"/>
        </w:rPr>
        <w:t xml:space="preserve">покидьками, що спричиняє його усихання чи захворювання </w:t>
      </w:r>
      <w:r>
        <w:rPr>
          <w:color w:val="231F20"/>
          <w:spacing w:val="-5"/>
          <w:sz w:val="21"/>
        </w:rPr>
        <w:t xml:space="preserve">(ст. </w:t>
      </w:r>
      <w:r>
        <w:rPr>
          <w:color w:val="231F20"/>
          <w:sz w:val="21"/>
        </w:rPr>
        <w:t xml:space="preserve">72 КУпАП), знищення лісу в </w:t>
      </w:r>
      <w:r>
        <w:rPr>
          <w:color w:val="231F20"/>
          <w:spacing w:val="-3"/>
          <w:sz w:val="21"/>
        </w:rPr>
        <w:t xml:space="preserve">результаті </w:t>
      </w:r>
      <w:r>
        <w:rPr>
          <w:color w:val="231F20"/>
          <w:sz w:val="21"/>
        </w:rPr>
        <w:t xml:space="preserve">підпалу </w:t>
      </w:r>
      <w:r>
        <w:rPr>
          <w:color w:val="231F20"/>
          <w:spacing w:val="-5"/>
          <w:sz w:val="21"/>
        </w:rPr>
        <w:t xml:space="preserve">(ст. </w:t>
      </w:r>
      <w:r>
        <w:rPr>
          <w:color w:val="231F20"/>
          <w:sz w:val="21"/>
        </w:rPr>
        <w:t>77 КУпАП); а також коли описується дія, що обов’язково спри- чиняє шкідливі наслідки, хоч останні законом і не названі: само- вільне користування</w:t>
      </w:r>
      <w:r>
        <w:rPr>
          <w:color w:val="231F20"/>
          <w:sz w:val="21"/>
        </w:rPr>
        <w:t xml:space="preserve"> надрами </w:t>
      </w:r>
      <w:r>
        <w:rPr>
          <w:color w:val="231F20"/>
          <w:spacing w:val="-5"/>
          <w:sz w:val="21"/>
        </w:rPr>
        <w:t xml:space="preserve">(ст. </w:t>
      </w:r>
      <w:r>
        <w:rPr>
          <w:color w:val="231F20"/>
          <w:sz w:val="21"/>
        </w:rPr>
        <w:t xml:space="preserve">47 КУпАП); перевищення лімітів та нормативів використання природних ресурсів </w:t>
      </w:r>
      <w:r>
        <w:rPr>
          <w:color w:val="231F20"/>
          <w:spacing w:val="-5"/>
          <w:sz w:val="21"/>
        </w:rPr>
        <w:t xml:space="preserve">(ст. </w:t>
      </w:r>
      <w:r>
        <w:rPr>
          <w:color w:val="231F20"/>
          <w:sz w:val="21"/>
        </w:rPr>
        <w:t xml:space="preserve">91-2 КУпАП); марнотратне витрачання паливно-енергетичних ресурсів </w:t>
      </w:r>
      <w:r>
        <w:rPr>
          <w:color w:val="231F20"/>
          <w:spacing w:val="-5"/>
          <w:sz w:val="21"/>
        </w:rPr>
        <w:t xml:space="preserve">(ст. </w:t>
      </w:r>
      <w:r>
        <w:rPr>
          <w:color w:val="231F20"/>
          <w:sz w:val="21"/>
        </w:rPr>
        <w:t xml:space="preserve">98 </w:t>
      </w:r>
      <w:r>
        <w:rPr>
          <w:color w:val="231F20"/>
          <w:spacing w:val="-3"/>
          <w:sz w:val="21"/>
        </w:rPr>
        <w:t>КУпАП)</w:t>
      </w:r>
      <w:r>
        <w:rPr>
          <w:color w:val="231F20"/>
          <w:sz w:val="21"/>
        </w:rPr>
        <w:t xml:space="preserve"> тощо);</w:t>
      </w:r>
    </w:p>
    <w:p w14:paraId="50BE9F81" w14:textId="77777777" w:rsidR="00DE575E" w:rsidRDefault="002E7560">
      <w:pPr>
        <w:pStyle w:val="ListParagraph"/>
        <w:numPr>
          <w:ilvl w:val="0"/>
          <w:numId w:val="20"/>
        </w:numPr>
        <w:tabs>
          <w:tab w:val="left" w:pos="1101"/>
        </w:tabs>
        <w:spacing w:before="6" w:line="252" w:lineRule="auto"/>
        <w:ind w:right="127" w:firstLine="284"/>
        <w:rPr>
          <w:sz w:val="21"/>
        </w:rPr>
      </w:pPr>
      <w:r>
        <w:rPr>
          <w:i/>
          <w:color w:val="231F20"/>
          <w:sz w:val="21"/>
        </w:rPr>
        <w:t xml:space="preserve">формальні </w:t>
      </w:r>
      <w:r>
        <w:rPr>
          <w:color w:val="231F20"/>
          <w:sz w:val="21"/>
        </w:rPr>
        <w:t>склади правопорушень (коли такі наслідки у нормі права не пере</w:t>
      </w:r>
      <w:r>
        <w:rPr>
          <w:color w:val="231F20"/>
          <w:sz w:val="21"/>
        </w:rPr>
        <w:t>дбачаються – наприклад, проживання за недійсним паспортом</w:t>
      </w:r>
      <w:r>
        <w:rPr>
          <w:color w:val="231F20"/>
          <w:spacing w:val="-5"/>
          <w:sz w:val="21"/>
        </w:rPr>
        <w:t xml:space="preserve"> (ст.</w:t>
      </w:r>
      <w:r>
        <w:rPr>
          <w:color w:val="231F20"/>
          <w:spacing w:val="-8"/>
          <w:sz w:val="21"/>
        </w:rPr>
        <w:t xml:space="preserve"> </w:t>
      </w:r>
      <w:r>
        <w:rPr>
          <w:color w:val="231F20"/>
          <w:sz w:val="21"/>
        </w:rPr>
        <w:t>197</w:t>
      </w:r>
      <w:r>
        <w:rPr>
          <w:color w:val="231F20"/>
          <w:spacing w:val="-5"/>
          <w:sz w:val="21"/>
        </w:rPr>
        <w:t xml:space="preserve"> </w:t>
      </w:r>
      <w:r>
        <w:rPr>
          <w:color w:val="231F20"/>
          <w:sz w:val="21"/>
        </w:rPr>
        <w:t>КУпАП),</w:t>
      </w:r>
      <w:r>
        <w:rPr>
          <w:color w:val="231F20"/>
          <w:spacing w:val="-5"/>
          <w:sz w:val="21"/>
        </w:rPr>
        <w:t xml:space="preserve"> </w:t>
      </w:r>
      <w:r>
        <w:rPr>
          <w:color w:val="231F20"/>
          <w:sz w:val="21"/>
        </w:rPr>
        <w:t>неявка</w:t>
      </w:r>
      <w:r>
        <w:rPr>
          <w:color w:val="231F20"/>
          <w:spacing w:val="-5"/>
          <w:sz w:val="21"/>
        </w:rPr>
        <w:t xml:space="preserve"> </w:t>
      </w:r>
      <w:r>
        <w:rPr>
          <w:color w:val="231F20"/>
          <w:sz w:val="21"/>
        </w:rPr>
        <w:t>за</w:t>
      </w:r>
      <w:r>
        <w:rPr>
          <w:color w:val="231F20"/>
          <w:spacing w:val="-5"/>
          <w:sz w:val="21"/>
        </w:rPr>
        <w:t xml:space="preserve"> </w:t>
      </w:r>
      <w:r>
        <w:rPr>
          <w:color w:val="231F20"/>
          <w:sz w:val="21"/>
        </w:rPr>
        <w:t>викликом</w:t>
      </w:r>
      <w:r>
        <w:rPr>
          <w:color w:val="231F20"/>
          <w:spacing w:val="-5"/>
          <w:sz w:val="21"/>
        </w:rPr>
        <w:t xml:space="preserve"> </w:t>
      </w:r>
      <w:r>
        <w:rPr>
          <w:color w:val="231F20"/>
          <w:sz w:val="21"/>
        </w:rPr>
        <w:t>до</w:t>
      </w:r>
      <w:r>
        <w:rPr>
          <w:color w:val="231F20"/>
          <w:spacing w:val="-5"/>
          <w:sz w:val="21"/>
        </w:rPr>
        <w:t xml:space="preserve"> </w:t>
      </w:r>
      <w:r>
        <w:rPr>
          <w:color w:val="231F20"/>
          <w:sz w:val="21"/>
        </w:rPr>
        <w:t>військового</w:t>
      </w:r>
      <w:r>
        <w:rPr>
          <w:color w:val="231F20"/>
          <w:spacing w:val="-5"/>
          <w:sz w:val="21"/>
        </w:rPr>
        <w:t xml:space="preserve"> </w:t>
      </w:r>
      <w:r>
        <w:rPr>
          <w:color w:val="231F20"/>
          <w:sz w:val="21"/>
        </w:rPr>
        <w:t xml:space="preserve">комі- саріату </w:t>
      </w:r>
      <w:r>
        <w:rPr>
          <w:color w:val="231F20"/>
          <w:spacing w:val="-5"/>
          <w:sz w:val="21"/>
        </w:rPr>
        <w:t xml:space="preserve">(ст. </w:t>
      </w:r>
      <w:r>
        <w:rPr>
          <w:color w:val="231F20"/>
          <w:sz w:val="21"/>
        </w:rPr>
        <w:t xml:space="preserve">210 </w:t>
      </w:r>
      <w:r>
        <w:rPr>
          <w:color w:val="231F20"/>
          <w:spacing w:val="-3"/>
          <w:sz w:val="21"/>
        </w:rPr>
        <w:t xml:space="preserve">КУпАП, </w:t>
      </w:r>
      <w:r>
        <w:rPr>
          <w:color w:val="231F20"/>
          <w:spacing w:val="-6"/>
          <w:sz w:val="21"/>
        </w:rPr>
        <w:t xml:space="preserve">ст. </w:t>
      </w:r>
      <w:r>
        <w:rPr>
          <w:color w:val="231F20"/>
          <w:sz w:val="21"/>
        </w:rPr>
        <w:t xml:space="preserve">211-1 КУпАП), порушення прикордон- ного </w:t>
      </w:r>
      <w:r>
        <w:rPr>
          <w:color w:val="231F20"/>
          <w:spacing w:val="-4"/>
          <w:sz w:val="21"/>
        </w:rPr>
        <w:t xml:space="preserve">режиму, </w:t>
      </w:r>
      <w:r>
        <w:rPr>
          <w:color w:val="231F20"/>
          <w:sz w:val="21"/>
        </w:rPr>
        <w:t xml:space="preserve">режиму в пунктах пропуску через державний кордон </w:t>
      </w:r>
      <w:r>
        <w:rPr>
          <w:color w:val="231F20"/>
          <w:spacing w:val="-3"/>
          <w:sz w:val="21"/>
        </w:rPr>
        <w:t xml:space="preserve">України </w:t>
      </w:r>
      <w:r>
        <w:rPr>
          <w:color w:val="231F20"/>
          <w:sz w:val="21"/>
        </w:rPr>
        <w:t>або режи</w:t>
      </w:r>
      <w:r>
        <w:rPr>
          <w:color w:val="231F20"/>
          <w:sz w:val="21"/>
        </w:rPr>
        <w:t xml:space="preserve">мних правил у контрольних пунктах в’їзду-виїзду </w:t>
      </w:r>
      <w:r>
        <w:rPr>
          <w:color w:val="231F20"/>
          <w:spacing w:val="-5"/>
          <w:sz w:val="21"/>
        </w:rPr>
        <w:t>(ст.</w:t>
      </w:r>
      <w:r>
        <w:rPr>
          <w:color w:val="231F20"/>
          <w:spacing w:val="-7"/>
          <w:sz w:val="21"/>
        </w:rPr>
        <w:t xml:space="preserve"> </w:t>
      </w:r>
      <w:r>
        <w:rPr>
          <w:color w:val="231F20"/>
          <w:sz w:val="21"/>
        </w:rPr>
        <w:t>202</w:t>
      </w:r>
      <w:r>
        <w:rPr>
          <w:color w:val="231F20"/>
          <w:spacing w:val="-14"/>
          <w:sz w:val="21"/>
        </w:rPr>
        <w:t xml:space="preserve"> </w:t>
      </w:r>
      <w:r>
        <w:rPr>
          <w:color w:val="231F20"/>
          <w:sz w:val="21"/>
        </w:rPr>
        <w:t>КУпАП),</w:t>
      </w:r>
      <w:r>
        <w:rPr>
          <w:color w:val="231F20"/>
          <w:spacing w:val="-14"/>
          <w:sz w:val="21"/>
        </w:rPr>
        <w:t xml:space="preserve"> </w:t>
      </w:r>
      <w:r>
        <w:rPr>
          <w:color w:val="231F20"/>
          <w:sz w:val="21"/>
        </w:rPr>
        <w:t>прийняття</w:t>
      </w:r>
      <w:r>
        <w:rPr>
          <w:color w:val="231F20"/>
          <w:spacing w:val="-14"/>
          <w:sz w:val="21"/>
        </w:rPr>
        <w:t xml:space="preserve"> </w:t>
      </w:r>
      <w:r>
        <w:rPr>
          <w:color w:val="231F20"/>
          <w:sz w:val="21"/>
        </w:rPr>
        <w:t>паспорта</w:t>
      </w:r>
      <w:r>
        <w:rPr>
          <w:color w:val="231F20"/>
          <w:spacing w:val="-14"/>
          <w:sz w:val="21"/>
        </w:rPr>
        <w:t xml:space="preserve"> </w:t>
      </w:r>
      <w:r>
        <w:rPr>
          <w:color w:val="231F20"/>
          <w:sz w:val="21"/>
        </w:rPr>
        <w:t>в</w:t>
      </w:r>
      <w:r>
        <w:rPr>
          <w:color w:val="231F20"/>
          <w:spacing w:val="-14"/>
          <w:sz w:val="21"/>
        </w:rPr>
        <w:t xml:space="preserve"> </w:t>
      </w:r>
      <w:r>
        <w:rPr>
          <w:color w:val="231F20"/>
          <w:sz w:val="21"/>
        </w:rPr>
        <w:t>заставу</w:t>
      </w:r>
      <w:r>
        <w:rPr>
          <w:color w:val="231F20"/>
          <w:spacing w:val="-14"/>
          <w:sz w:val="21"/>
        </w:rPr>
        <w:t xml:space="preserve"> </w:t>
      </w:r>
      <w:r>
        <w:rPr>
          <w:color w:val="231F20"/>
          <w:spacing w:val="-5"/>
          <w:sz w:val="21"/>
        </w:rPr>
        <w:t>(ст.</w:t>
      </w:r>
      <w:r>
        <w:rPr>
          <w:color w:val="231F20"/>
          <w:spacing w:val="-7"/>
          <w:sz w:val="21"/>
        </w:rPr>
        <w:t xml:space="preserve"> </w:t>
      </w:r>
      <w:r>
        <w:rPr>
          <w:color w:val="231F20"/>
          <w:sz w:val="21"/>
        </w:rPr>
        <w:t>201</w:t>
      </w:r>
      <w:r>
        <w:rPr>
          <w:color w:val="231F20"/>
          <w:spacing w:val="-14"/>
          <w:sz w:val="21"/>
        </w:rPr>
        <w:t xml:space="preserve"> </w:t>
      </w:r>
      <w:r>
        <w:rPr>
          <w:color w:val="231F20"/>
          <w:spacing w:val="-3"/>
          <w:sz w:val="21"/>
        </w:rPr>
        <w:t>КУпАП)</w:t>
      </w:r>
      <w:r>
        <w:rPr>
          <w:color w:val="231F20"/>
          <w:spacing w:val="-14"/>
          <w:sz w:val="21"/>
        </w:rPr>
        <w:t xml:space="preserve"> </w:t>
      </w:r>
      <w:r>
        <w:rPr>
          <w:color w:val="231F20"/>
          <w:sz w:val="21"/>
        </w:rPr>
        <w:t>тощо).</w:t>
      </w:r>
    </w:p>
    <w:p w14:paraId="3BF9E75D" w14:textId="77777777" w:rsidR="00DE575E" w:rsidRDefault="002E7560">
      <w:pPr>
        <w:pStyle w:val="BodyText"/>
        <w:spacing w:before="4"/>
        <w:ind w:left="817"/>
      </w:pPr>
      <w:r>
        <w:rPr>
          <w:color w:val="231F20"/>
        </w:rPr>
        <w:t>Більшості правопорушень властиві формальні склади.</w:t>
      </w:r>
    </w:p>
    <w:p w14:paraId="7D2DA9E8" w14:textId="77777777" w:rsidR="00DE575E" w:rsidRDefault="002E7560">
      <w:pPr>
        <w:spacing w:before="13" w:line="252" w:lineRule="auto"/>
        <w:ind w:left="533" w:right="126" w:firstLine="283"/>
        <w:jc w:val="both"/>
        <w:rPr>
          <w:sz w:val="21"/>
        </w:rPr>
      </w:pPr>
      <w:r>
        <w:rPr>
          <w:b/>
          <w:i/>
          <w:color w:val="231F20"/>
          <w:spacing w:val="-3"/>
          <w:sz w:val="21"/>
        </w:rPr>
        <w:t xml:space="preserve">Суб’єктами </w:t>
      </w:r>
      <w:r>
        <w:rPr>
          <w:b/>
          <w:i/>
          <w:color w:val="231F20"/>
          <w:sz w:val="21"/>
        </w:rPr>
        <w:t xml:space="preserve">адміністративної  відповідальності  </w:t>
      </w:r>
      <w:r>
        <w:rPr>
          <w:color w:val="231F20"/>
          <w:sz w:val="21"/>
        </w:rPr>
        <w:t xml:space="preserve">можуть бути фізичні (осудні особи, які на момент вчинення адміністратив- ного проступку </w:t>
      </w:r>
      <w:r>
        <w:rPr>
          <w:color w:val="231F20"/>
          <w:spacing w:val="-3"/>
          <w:sz w:val="21"/>
        </w:rPr>
        <w:t xml:space="preserve">досягли </w:t>
      </w:r>
      <w:r>
        <w:rPr>
          <w:color w:val="231F20"/>
          <w:sz w:val="21"/>
        </w:rPr>
        <w:t xml:space="preserve">шістнадцятирічного віку </w:t>
      </w:r>
      <w:r>
        <w:rPr>
          <w:color w:val="231F20"/>
          <w:spacing w:val="-5"/>
          <w:sz w:val="21"/>
        </w:rPr>
        <w:t xml:space="preserve">(ст. </w:t>
      </w:r>
      <w:r>
        <w:rPr>
          <w:color w:val="231F20"/>
          <w:sz w:val="21"/>
        </w:rPr>
        <w:t xml:space="preserve">12 </w:t>
      </w:r>
      <w:r>
        <w:rPr>
          <w:color w:val="231F20"/>
          <w:spacing w:val="-3"/>
          <w:sz w:val="21"/>
        </w:rPr>
        <w:t xml:space="preserve">КУпАП) </w:t>
      </w:r>
      <w:r>
        <w:rPr>
          <w:color w:val="231F20"/>
          <w:sz w:val="21"/>
        </w:rPr>
        <w:t>та юридичні</w:t>
      </w:r>
      <w:r>
        <w:rPr>
          <w:color w:val="231F20"/>
          <w:spacing w:val="-2"/>
          <w:sz w:val="21"/>
        </w:rPr>
        <w:t xml:space="preserve"> </w:t>
      </w:r>
      <w:r>
        <w:rPr>
          <w:color w:val="231F20"/>
          <w:sz w:val="21"/>
        </w:rPr>
        <w:t>особи.</w:t>
      </w:r>
    </w:p>
    <w:p w14:paraId="5BDC224A" w14:textId="77777777" w:rsidR="00DE575E" w:rsidRDefault="002E7560">
      <w:pPr>
        <w:spacing w:before="2" w:line="252" w:lineRule="auto"/>
        <w:ind w:left="533" w:right="128" w:firstLine="283"/>
        <w:jc w:val="both"/>
        <w:rPr>
          <w:sz w:val="21"/>
        </w:rPr>
      </w:pPr>
      <w:r>
        <w:rPr>
          <w:color w:val="231F20"/>
          <w:sz w:val="21"/>
        </w:rPr>
        <w:t xml:space="preserve">До ознак, що характеризують індивідуального суб’єкта, нале- жать: </w:t>
      </w:r>
      <w:r>
        <w:rPr>
          <w:i/>
          <w:color w:val="231F20"/>
          <w:sz w:val="21"/>
        </w:rPr>
        <w:t>загальні та спеціальні</w:t>
      </w:r>
      <w:r>
        <w:rPr>
          <w:color w:val="231F20"/>
          <w:sz w:val="21"/>
        </w:rPr>
        <w:t>.</w:t>
      </w:r>
    </w:p>
    <w:p w14:paraId="271C5836" w14:textId="77777777" w:rsidR="00DE575E" w:rsidRDefault="002E7560">
      <w:pPr>
        <w:pStyle w:val="BodyText"/>
        <w:spacing w:before="1" w:line="252" w:lineRule="auto"/>
        <w:ind w:left="533" w:right="126" w:firstLine="283"/>
        <w:jc w:val="both"/>
      </w:pPr>
      <w:r>
        <w:rPr>
          <w:b/>
          <w:color w:val="231F20"/>
        </w:rPr>
        <w:t xml:space="preserve">Загальними </w:t>
      </w:r>
      <w:r>
        <w:rPr>
          <w:color w:val="231F20"/>
        </w:rPr>
        <w:t>в</w:t>
      </w:r>
      <w:r>
        <w:rPr>
          <w:color w:val="231F20"/>
        </w:rPr>
        <w:t xml:space="preserve">изнаються такі, які повинна мати </w:t>
      </w:r>
      <w:r>
        <w:rPr>
          <w:color w:val="231F20"/>
          <w:spacing w:val="-3"/>
        </w:rPr>
        <w:t xml:space="preserve">будь-яка </w:t>
      </w:r>
      <w:r>
        <w:rPr>
          <w:color w:val="231F20"/>
        </w:rPr>
        <w:t xml:space="preserve">особа, що піддається адміністративному стягненню. Насамперед до них належать </w:t>
      </w:r>
      <w:r>
        <w:rPr>
          <w:i/>
          <w:color w:val="231F20"/>
        </w:rPr>
        <w:t>вік і осудність</w:t>
      </w:r>
      <w:r>
        <w:rPr>
          <w:color w:val="231F20"/>
        </w:rPr>
        <w:t>. Вони закріплені статтями 12 і 20 Загальної частини</w:t>
      </w:r>
      <w:r>
        <w:rPr>
          <w:color w:val="231F20"/>
          <w:spacing w:val="-5"/>
        </w:rPr>
        <w:t xml:space="preserve"> </w:t>
      </w:r>
      <w:r>
        <w:rPr>
          <w:color w:val="231F20"/>
          <w:spacing w:val="-3"/>
        </w:rPr>
        <w:t>КУпАП.</w:t>
      </w:r>
      <w:r>
        <w:rPr>
          <w:color w:val="231F20"/>
          <w:spacing w:val="-5"/>
        </w:rPr>
        <w:t xml:space="preserve"> </w:t>
      </w:r>
      <w:r>
        <w:rPr>
          <w:color w:val="231F20"/>
        </w:rPr>
        <w:t>У</w:t>
      </w:r>
      <w:r>
        <w:rPr>
          <w:color w:val="231F20"/>
          <w:spacing w:val="-5"/>
        </w:rPr>
        <w:t xml:space="preserve"> </w:t>
      </w:r>
      <w:r>
        <w:rPr>
          <w:color w:val="231F20"/>
        </w:rPr>
        <w:t>деяких</w:t>
      </w:r>
      <w:r>
        <w:rPr>
          <w:color w:val="231F20"/>
          <w:spacing w:val="-5"/>
        </w:rPr>
        <w:t xml:space="preserve"> </w:t>
      </w:r>
      <w:r>
        <w:rPr>
          <w:color w:val="231F20"/>
        </w:rPr>
        <w:t>випадках</w:t>
      </w:r>
      <w:r>
        <w:rPr>
          <w:color w:val="231F20"/>
          <w:spacing w:val="-5"/>
        </w:rPr>
        <w:t xml:space="preserve"> </w:t>
      </w:r>
      <w:r>
        <w:rPr>
          <w:color w:val="231F20"/>
        </w:rPr>
        <w:t>законодавець</w:t>
      </w:r>
      <w:r>
        <w:rPr>
          <w:color w:val="231F20"/>
          <w:spacing w:val="-5"/>
        </w:rPr>
        <w:t xml:space="preserve"> </w:t>
      </w:r>
      <w:r>
        <w:rPr>
          <w:color w:val="231F20"/>
        </w:rPr>
        <w:t>указує</w:t>
      </w:r>
      <w:r>
        <w:rPr>
          <w:color w:val="231F20"/>
          <w:spacing w:val="-5"/>
        </w:rPr>
        <w:t xml:space="preserve"> </w:t>
      </w:r>
      <w:r>
        <w:rPr>
          <w:color w:val="231F20"/>
        </w:rPr>
        <w:t>на</w:t>
      </w:r>
      <w:r>
        <w:rPr>
          <w:color w:val="231F20"/>
          <w:spacing w:val="-5"/>
        </w:rPr>
        <w:t xml:space="preserve"> </w:t>
      </w:r>
      <w:r>
        <w:rPr>
          <w:color w:val="231F20"/>
        </w:rPr>
        <w:t>загальну</w:t>
      </w:r>
    </w:p>
    <w:p w14:paraId="0570D59B" w14:textId="77777777" w:rsidR="00DE575E" w:rsidRDefault="00DE575E">
      <w:pPr>
        <w:pStyle w:val="BodyText"/>
        <w:spacing w:before="6"/>
        <w:rPr>
          <w:sz w:val="12"/>
        </w:rPr>
      </w:pPr>
    </w:p>
    <w:p w14:paraId="54BF4172" w14:textId="77777777" w:rsidR="00DE575E" w:rsidRDefault="002E7560">
      <w:pPr>
        <w:spacing w:before="92"/>
        <w:ind w:left="533"/>
        <w:rPr>
          <w:rFonts w:ascii="Times New Roman"/>
          <w:sz w:val="20"/>
        </w:rPr>
      </w:pPr>
      <w:r>
        <w:rPr>
          <w:rFonts w:ascii="Times New Roman"/>
          <w:color w:val="231F20"/>
          <w:sz w:val="20"/>
        </w:rPr>
        <w:t>494</w:t>
      </w:r>
    </w:p>
    <w:p w14:paraId="483E9DB6" w14:textId="77777777" w:rsidR="00DE575E" w:rsidRDefault="00DE575E">
      <w:pPr>
        <w:rPr>
          <w:rFonts w:ascii="Times New Roman"/>
          <w:sz w:val="20"/>
        </w:rPr>
        <w:sectPr w:rsidR="00DE575E">
          <w:pgSz w:w="8510" w:h="12760"/>
          <w:pgMar w:top="660" w:right="720" w:bottom="280" w:left="600" w:header="720" w:footer="720" w:gutter="0"/>
          <w:cols w:space="720"/>
        </w:sectPr>
      </w:pPr>
    </w:p>
    <w:p w14:paraId="25352D27" w14:textId="77777777" w:rsidR="00DE575E" w:rsidRDefault="002E7560">
      <w:pPr>
        <w:spacing w:before="72" w:line="249" w:lineRule="auto"/>
        <w:ind w:left="1643" w:right="392" w:firstLine="1049"/>
        <w:rPr>
          <w:rFonts w:ascii="AdonisC" w:hAnsi="AdonisC"/>
          <w:i/>
          <w:sz w:val="18"/>
        </w:rPr>
      </w:pPr>
      <w:r>
        <w:rPr>
          <w:rFonts w:ascii="AdonisC" w:hAnsi="AdonisC"/>
          <w:i/>
          <w:color w:val="231F20"/>
          <w:sz w:val="18"/>
        </w:rPr>
        <w:t>Глава ІІ Особливе адміністративне право/ Книга ІІ Розділ 3. Юридичний склад адміністративного правопорушення</w:t>
      </w:r>
    </w:p>
    <w:p w14:paraId="04120970" w14:textId="2E57FEE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956DF78" wp14:editId="2C680A18">
                <wp:extent cx="4140200" cy="6350"/>
                <wp:effectExtent l="0" t="0" r="12700" b="6350"/>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78" name="Line 17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65D42A" id="Group_x0020_17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zdnx/AgAAmAUAAA4A&#10;AAAAAAAAAAAAAAAALAIAAGRycy9lMm9Eb2MueG1sUEsBAi0AFAAGAAgAAAAhAEynsJDZAAAAAwEA&#10;AA8AAAAAAAAAAAAAAAAA1wQAAGRycy9kb3ducmV2LnhtbFBLBQYAAAAABAAEAPMAAADdBQAAAAA=&#10;">
                <v:line id="Line_x0020_17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Q2DscAAADcAAAADwAAAGRycy9kb3ducmV2LnhtbESPQUvDQBCF74L/YRmhF7GbtqASuy1S&#10;EMRDaxN/wDQ7JsHd2TS7bWJ/fecgeJvhvXnvm+V69E6dqY9tYAOzaQaKuAq25drAV/n28AwqJmSL&#10;LjAZ+KUI69XtzRJzGwbe07lItZIQjjkaaFLqcq1j1ZDHOA0dsWjfofeYZO1rbXscJNw7Pc+yR+2x&#10;ZWlosKNNQ9VPcfIGyuN9cp+7DzeUu8NCH47bxeW0NWZyN76+gEo0pn/z3/W7FfwnoZVnZAK9u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9DYOxwAAANwAAAAPAAAAAAAA&#10;AAAAAAAAAKECAABkcnMvZG93bnJldi54bWxQSwUGAAAAAAQABAD5AAAAlQMAAAAA&#10;" strokecolor="#231f20" strokeweight=".5pt"/>
                <w10:anchorlock/>
              </v:group>
            </w:pict>
          </mc:Fallback>
        </mc:AlternateContent>
      </w:r>
    </w:p>
    <w:p w14:paraId="4300C01D" w14:textId="77777777" w:rsidR="00DE575E" w:rsidRDefault="00DE575E">
      <w:pPr>
        <w:pStyle w:val="BodyText"/>
        <w:spacing w:before="7"/>
        <w:rPr>
          <w:rFonts w:ascii="AdonisC"/>
          <w:i/>
          <w:sz w:val="19"/>
        </w:rPr>
      </w:pPr>
    </w:p>
    <w:p w14:paraId="0ED6FBBE" w14:textId="77777777" w:rsidR="00DE575E" w:rsidRDefault="002E7560">
      <w:pPr>
        <w:pStyle w:val="BodyText"/>
        <w:spacing w:before="1" w:line="252" w:lineRule="auto"/>
        <w:ind w:left="250" w:right="409"/>
        <w:jc w:val="both"/>
      </w:pPr>
      <w:r>
        <w:rPr>
          <w:color w:val="231F20"/>
          <w:spacing w:val="-3"/>
        </w:rPr>
        <w:t xml:space="preserve">ознаку, </w:t>
      </w:r>
      <w:r>
        <w:rPr>
          <w:color w:val="231F20"/>
        </w:rPr>
        <w:t xml:space="preserve">щоб підкреслити відсутність якоїсь певної особливості, що впливає на оцінку проступку. </w:t>
      </w:r>
      <w:r>
        <w:rPr>
          <w:color w:val="231F20"/>
          <w:spacing w:val="-4"/>
        </w:rPr>
        <w:t xml:space="preserve">Так, </w:t>
      </w:r>
      <w:r>
        <w:rPr>
          <w:color w:val="231F20"/>
          <w:spacing w:val="-6"/>
        </w:rPr>
        <w:t xml:space="preserve">ст. </w:t>
      </w:r>
      <w:r>
        <w:rPr>
          <w:color w:val="231F20"/>
        </w:rPr>
        <w:t xml:space="preserve">126 </w:t>
      </w:r>
      <w:r>
        <w:rPr>
          <w:color w:val="231F20"/>
          <w:spacing w:val="-3"/>
        </w:rPr>
        <w:t xml:space="preserve">КУпАП </w:t>
      </w:r>
      <w:r>
        <w:rPr>
          <w:color w:val="231F20"/>
        </w:rPr>
        <w:t>«Керування тран- спортним засобом особою, яка не має відповідних документів на право керування таким тран</w:t>
      </w:r>
      <w:r>
        <w:rPr>
          <w:color w:val="231F20"/>
        </w:rPr>
        <w:t xml:space="preserve">спортним засобом або не пред’явила   їх для перевірки»  вказує  на  таку  загальну  </w:t>
      </w:r>
      <w:r>
        <w:rPr>
          <w:color w:val="231F20"/>
          <w:spacing w:val="-3"/>
        </w:rPr>
        <w:t xml:space="preserve">ознаку,  </w:t>
      </w:r>
      <w:r>
        <w:rPr>
          <w:color w:val="231F20"/>
        </w:rPr>
        <w:t xml:space="preserve">як  відсутність в особи прав на керування транспортними засобами. Наводиться вона тут тільки для того, щоб легко можна </w:t>
      </w:r>
      <w:r>
        <w:rPr>
          <w:color w:val="231F20"/>
          <w:spacing w:val="-3"/>
        </w:rPr>
        <w:t xml:space="preserve">було </w:t>
      </w:r>
      <w:r>
        <w:rPr>
          <w:color w:val="231F20"/>
        </w:rPr>
        <w:t>відмежувати назва- ний склад від складі</w:t>
      </w:r>
      <w:r>
        <w:rPr>
          <w:color w:val="231F20"/>
        </w:rPr>
        <w:t>в проступків, що встановлюють відповідаль- ність водіїв транспортних</w:t>
      </w:r>
      <w:r>
        <w:rPr>
          <w:color w:val="231F20"/>
          <w:spacing w:val="-3"/>
        </w:rPr>
        <w:t xml:space="preserve"> </w:t>
      </w:r>
      <w:r>
        <w:rPr>
          <w:color w:val="231F20"/>
        </w:rPr>
        <w:t>засобів.</w:t>
      </w:r>
    </w:p>
    <w:p w14:paraId="68846E61" w14:textId="77777777" w:rsidR="00DE575E" w:rsidRDefault="002E7560">
      <w:pPr>
        <w:pStyle w:val="BodyText"/>
        <w:spacing w:before="4" w:line="252" w:lineRule="auto"/>
        <w:ind w:left="250" w:right="411" w:firstLine="283"/>
        <w:jc w:val="both"/>
      </w:pPr>
      <w:r>
        <w:rPr>
          <w:b/>
          <w:color w:val="231F20"/>
        </w:rPr>
        <w:t xml:space="preserve">Спеціальні </w:t>
      </w:r>
      <w:r>
        <w:rPr>
          <w:color w:val="231F20"/>
        </w:rPr>
        <w:t>ознаки детермінуються й нормативно закріплю- ються</w:t>
      </w:r>
      <w:r>
        <w:rPr>
          <w:color w:val="231F20"/>
          <w:spacing w:val="-9"/>
        </w:rPr>
        <w:t xml:space="preserve"> </w:t>
      </w:r>
      <w:r>
        <w:rPr>
          <w:color w:val="231F20"/>
        </w:rPr>
        <w:t>з</w:t>
      </w:r>
      <w:r>
        <w:rPr>
          <w:color w:val="231F20"/>
          <w:spacing w:val="-9"/>
        </w:rPr>
        <w:t xml:space="preserve"> </w:t>
      </w:r>
      <w:r>
        <w:rPr>
          <w:color w:val="231F20"/>
        </w:rPr>
        <w:t>метою</w:t>
      </w:r>
      <w:r>
        <w:rPr>
          <w:color w:val="231F20"/>
          <w:spacing w:val="-9"/>
        </w:rPr>
        <w:t xml:space="preserve"> </w:t>
      </w:r>
      <w:r>
        <w:rPr>
          <w:color w:val="231F20"/>
        </w:rPr>
        <w:t>диференціації</w:t>
      </w:r>
      <w:r>
        <w:rPr>
          <w:color w:val="231F20"/>
          <w:spacing w:val="-10"/>
        </w:rPr>
        <w:t xml:space="preserve"> </w:t>
      </w:r>
      <w:r>
        <w:rPr>
          <w:color w:val="231F20"/>
        </w:rPr>
        <w:t>відповідальності</w:t>
      </w:r>
      <w:r>
        <w:rPr>
          <w:color w:val="231F20"/>
          <w:spacing w:val="-9"/>
        </w:rPr>
        <w:t xml:space="preserve"> </w:t>
      </w:r>
      <w:r>
        <w:rPr>
          <w:color w:val="231F20"/>
        </w:rPr>
        <w:t>різних</w:t>
      </w:r>
      <w:r>
        <w:rPr>
          <w:color w:val="231F20"/>
          <w:spacing w:val="-9"/>
        </w:rPr>
        <w:t xml:space="preserve"> </w:t>
      </w:r>
      <w:r>
        <w:rPr>
          <w:color w:val="231F20"/>
        </w:rPr>
        <w:t>категорій</w:t>
      </w:r>
      <w:r>
        <w:rPr>
          <w:color w:val="231F20"/>
          <w:spacing w:val="-9"/>
        </w:rPr>
        <w:t xml:space="preserve"> </w:t>
      </w:r>
      <w:r>
        <w:rPr>
          <w:color w:val="231F20"/>
        </w:rPr>
        <w:t xml:space="preserve">осіб, забезпечення справедливої правової оцінки їх неправомірних дій. До них належать: </w:t>
      </w:r>
      <w:r>
        <w:rPr>
          <w:i/>
          <w:color w:val="231F20"/>
        </w:rPr>
        <w:t>ознаки трудової та службової діяльності</w:t>
      </w:r>
      <w:r>
        <w:rPr>
          <w:color w:val="231F20"/>
        </w:rPr>
        <w:t>: поса- дові (службові) особи; капітани кораблів; працівники підприємств торгівлі та громадського харчування; водії; підприємці; в</w:t>
      </w:r>
      <w:r>
        <w:rPr>
          <w:color w:val="231F20"/>
        </w:rPr>
        <w:t xml:space="preserve">ійськово- службовці та працівники Національної поліції; </w:t>
      </w:r>
      <w:r>
        <w:rPr>
          <w:i/>
          <w:color w:val="231F20"/>
        </w:rPr>
        <w:t xml:space="preserve">ознаки протиправ- ної поведінки в </w:t>
      </w:r>
      <w:r>
        <w:rPr>
          <w:i/>
          <w:color w:val="231F20"/>
          <w:spacing w:val="-3"/>
        </w:rPr>
        <w:t>минулому</w:t>
      </w:r>
      <w:r>
        <w:rPr>
          <w:color w:val="231F20"/>
          <w:spacing w:val="-3"/>
        </w:rPr>
        <w:t xml:space="preserve">: </w:t>
      </w:r>
      <w:r>
        <w:rPr>
          <w:color w:val="231F20"/>
        </w:rPr>
        <w:t xml:space="preserve">особи, які раніше притягалися до адмі- ністративної відповідальності; перебували під адміністративним наглядом; хворі на наркоманію; </w:t>
      </w:r>
      <w:r>
        <w:rPr>
          <w:i/>
          <w:color w:val="231F20"/>
        </w:rPr>
        <w:t>ознаки перебування на с</w:t>
      </w:r>
      <w:r>
        <w:rPr>
          <w:i/>
          <w:color w:val="231F20"/>
        </w:rPr>
        <w:t>пеціальному обліку</w:t>
      </w:r>
      <w:r>
        <w:rPr>
          <w:i/>
          <w:color w:val="231F20"/>
          <w:spacing w:val="-10"/>
        </w:rPr>
        <w:t xml:space="preserve"> </w:t>
      </w:r>
      <w:r>
        <w:rPr>
          <w:i/>
          <w:color w:val="231F20"/>
        </w:rPr>
        <w:t>у</w:t>
      </w:r>
      <w:r>
        <w:rPr>
          <w:i/>
          <w:color w:val="231F20"/>
          <w:spacing w:val="-10"/>
        </w:rPr>
        <w:t xml:space="preserve"> </w:t>
      </w:r>
      <w:r>
        <w:rPr>
          <w:i/>
          <w:color w:val="231F20"/>
        </w:rPr>
        <w:t>військкоматі</w:t>
      </w:r>
      <w:r>
        <w:rPr>
          <w:color w:val="231F20"/>
        </w:rPr>
        <w:t>:</w:t>
      </w:r>
      <w:r>
        <w:rPr>
          <w:color w:val="231F20"/>
          <w:spacing w:val="-10"/>
        </w:rPr>
        <w:t xml:space="preserve"> </w:t>
      </w:r>
      <w:r>
        <w:rPr>
          <w:color w:val="231F20"/>
        </w:rPr>
        <w:t>призовник;</w:t>
      </w:r>
      <w:r>
        <w:rPr>
          <w:color w:val="231F20"/>
          <w:spacing w:val="-10"/>
        </w:rPr>
        <w:t xml:space="preserve"> </w:t>
      </w:r>
      <w:r>
        <w:rPr>
          <w:color w:val="231F20"/>
        </w:rPr>
        <w:t>військовозобов’язаний;</w:t>
      </w:r>
      <w:r>
        <w:rPr>
          <w:color w:val="231F20"/>
          <w:spacing w:val="-10"/>
        </w:rPr>
        <w:t xml:space="preserve"> </w:t>
      </w:r>
      <w:r>
        <w:rPr>
          <w:color w:val="231F20"/>
        </w:rPr>
        <w:t>резервіст; особа, яка перебуває на військових</w:t>
      </w:r>
      <w:r>
        <w:rPr>
          <w:color w:val="231F20"/>
          <w:spacing w:val="-1"/>
        </w:rPr>
        <w:t xml:space="preserve"> </w:t>
      </w:r>
      <w:r>
        <w:rPr>
          <w:color w:val="231F20"/>
        </w:rPr>
        <w:t>зборах.</w:t>
      </w:r>
    </w:p>
    <w:p w14:paraId="3B8B6E95" w14:textId="77777777" w:rsidR="00DE575E" w:rsidRDefault="002E7560">
      <w:pPr>
        <w:pStyle w:val="BodyText"/>
        <w:spacing w:before="6" w:line="252" w:lineRule="auto"/>
        <w:ind w:left="250" w:right="411" w:firstLine="283"/>
        <w:jc w:val="both"/>
      </w:pPr>
      <w:r>
        <w:rPr>
          <w:color w:val="231F20"/>
        </w:rPr>
        <w:t xml:space="preserve">Поряд із загальними та спеціальними ознаками, у Загальній частині КУпАП та інших правових актах викладено значну кількість ознак, що </w:t>
      </w:r>
      <w:r>
        <w:rPr>
          <w:color w:val="231F20"/>
        </w:rPr>
        <w:t>характеризують суб’єкта правопорушення, але до складу адміністративного правопорушення не входять.</w:t>
      </w:r>
    </w:p>
    <w:p w14:paraId="6F1E20D2" w14:textId="77777777" w:rsidR="00DE575E" w:rsidRDefault="002E7560">
      <w:pPr>
        <w:pStyle w:val="BodyText"/>
        <w:spacing w:before="2" w:line="252" w:lineRule="auto"/>
        <w:ind w:left="250" w:right="409" w:firstLine="283"/>
        <w:jc w:val="both"/>
      </w:pPr>
      <w:r>
        <w:rPr>
          <w:color w:val="231F20"/>
        </w:rPr>
        <w:t xml:space="preserve">Це причетність особи до військової служби </w:t>
      </w:r>
      <w:r>
        <w:rPr>
          <w:color w:val="231F20"/>
          <w:spacing w:val="-5"/>
        </w:rPr>
        <w:t xml:space="preserve">(ст. </w:t>
      </w:r>
      <w:r>
        <w:rPr>
          <w:color w:val="231F20"/>
        </w:rPr>
        <w:t>15 «Відповідаль- ність військовослужбовців та інших осіб, на яких поширюється дія дисциплінарних</w:t>
      </w:r>
      <w:r>
        <w:rPr>
          <w:color w:val="231F20"/>
          <w:spacing w:val="-14"/>
        </w:rPr>
        <w:t xml:space="preserve"> </w:t>
      </w:r>
      <w:r>
        <w:rPr>
          <w:color w:val="231F20"/>
        </w:rPr>
        <w:t>статутів,</w:t>
      </w:r>
      <w:r>
        <w:rPr>
          <w:color w:val="231F20"/>
          <w:spacing w:val="-13"/>
        </w:rPr>
        <w:t xml:space="preserve"> </w:t>
      </w:r>
      <w:r>
        <w:rPr>
          <w:color w:val="231F20"/>
        </w:rPr>
        <w:t>за</w:t>
      </w:r>
      <w:r>
        <w:rPr>
          <w:color w:val="231F20"/>
          <w:spacing w:val="-13"/>
        </w:rPr>
        <w:t xml:space="preserve"> </w:t>
      </w:r>
      <w:r>
        <w:rPr>
          <w:color w:val="231F20"/>
        </w:rPr>
        <w:t>вчинення</w:t>
      </w:r>
      <w:r>
        <w:rPr>
          <w:color w:val="231F20"/>
          <w:spacing w:val="-14"/>
        </w:rPr>
        <w:t xml:space="preserve"> </w:t>
      </w:r>
      <w:r>
        <w:rPr>
          <w:color w:val="231F20"/>
        </w:rPr>
        <w:t>адміністративних</w:t>
      </w:r>
      <w:r>
        <w:rPr>
          <w:color w:val="231F20"/>
          <w:spacing w:val="-13"/>
        </w:rPr>
        <w:t xml:space="preserve"> </w:t>
      </w:r>
      <w:r>
        <w:rPr>
          <w:color w:val="231F20"/>
        </w:rPr>
        <w:t xml:space="preserve">правопору- шень»), відсутність громадянства </w:t>
      </w:r>
      <w:r>
        <w:rPr>
          <w:color w:val="231F20"/>
          <w:spacing w:val="-3"/>
        </w:rPr>
        <w:t xml:space="preserve">України </w:t>
      </w:r>
      <w:r>
        <w:rPr>
          <w:color w:val="231F20"/>
          <w:spacing w:val="-5"/>
        </w:rPr>
        <w:t xml:space="preserve">(ст. </w:t>
      </w:r>
      <w:r>
        <w:rPr>
          <w:color w:val="231F20"/>
        </w:rPr>
        <w:t xml:space="preserve">16 «Відповідальність іноземців і осіб без громадянства»), вагітність та сильне душевне хвилювання </w:t>
      </w:r>
      <w:r>
        <w:rPr>
          <w:color w:val="231F20"/>
          <w:spacing w:val="-5"/>
        </w:rPr>
        <w:t xml:space="preserve">(ст. </w:t>
      </w:r>
      <w:r>
        <w:rPr>
          <w:color w:val="231F20"/>
        </w:rPr>
        <w:t>34 «Обставини, що пом’якшують відповідальність за адміністративне прав</w:t>
      </w:r>
      <w:r>
        <w:rPr>
          <w:color w:val="231F20"/>
        </w:rPr>
        <w:t>опорушення») тощо. Вони ніяк не вплива- ють на кваліфікацію вчиненого, проте впливають на вид, розмір та інші характеристики</w:t>
      </w:r>
      <w:r>
        <w:rPr>
          <w:color w:val="231F20"/>
          <w:spacing w:val="-1"/>
        </w:rPr>
        <w:t xml:space="preserve"> </w:t>
      </w:r>
      <w:r>
        <w:rPr>
          <w:color w:val="231F20"/>
        </w:rPr>
        <w:t>стягнення.</w:t>
      </w:r>
    </w:p>
    <w:p w14:paraId="71DDF832" w14:textId="77777777" w:rsidR="00DE575E" w:rsidRDefault="002E7560">
      <w:pPr>
        <w:spacing w:before="4" w:line="252" w:lineRule="auto"/>
        <w:ind w:left="250" w:right="411" w:firstLine="283"/>
        <w:jc w:val="both"/>
        <w:rPr>
          <w:sz w:val="21"/>
        </w:rPr>
      </w:pPr>
      <w:r>
        <w:rPr>
          <w:color w:val="231F20"/>
          <w:sz w:val="21"/>
        </w:rPr>
        <w:t xml:space="preserve">Наявність особливих ознак може мати для суб’єкта такі </w:t>
      </w:r>
      <w:r>
        <w:rPr>
          <w:i/>
          <w:color w:val="231F20"/>
          <w:sz w:val="21"/>
        </w:rPr>
        <w:t>юридичні наслідки</w:t>
      </w:r>
      <w:r>
        <w:rPr>
          <w:color w:val="231F20"/>
          <w:sz w:val="21"/>
        </w:rPr>
        <w:t>:</w:t>
      </w:r>
    </w:p>
    <w:p w14:paraId="6B87832F" w14:textId="77777777" w:rsidR="00DE575E" w:rsidRDefault="002E7560">
      <w:pPr>
        <w:pStyle w:val="ListParagraph"/>
        <w:numPr>
          <w:ilvl w:val="0"/>
          <w:numId w:val="51"/>
        </w:numPr>
        <w:tabs>
          <w:tab w:val="left" w:pos="818"/>
        </w:tabs>
        <w:spacing w:line="252" w:lineRule="auto"/>
        <w:ind w:right="410" w:firstLine="283"/>
        <w:rPr>
          <w:sz w:val="21"/>
        </w:rPr>
      </w:pPr>
      <w:r>
        <w:rPr>
          <w:color w:val="231F20"/>
          <w:sz w:val="21"/>
        </w:rPr>
        <w:t xml:space="preserve">вони можуть бути обставинами, що пом’якшують або обтяжу- ють відповідальність </w:t>
      </w:r>
      <w:r>
        <w:rPr>
          <w:color w:val="231F20"/>
          <w:spacing w:val="-5"/>
          <w:sz w:val="21"/>
        </w:rPr>
        <w:t xml:space="preserve">(ст. </w:t>
      </w:r>
      <w:r>
        <w:rPr>
          <w:color w:val="231F20"/>
          <w:sz w:val="21"/>
        </w:rPr>
        <w:t xml:space="preserve">34 «Обставини, що пом’якшують відпові- дальність за адміністративне правопорушення» і </w:t>
      </w:r>
      <w:r>
        <w:rPr>
          <w:color w:val="231F20"/>
          <w:spacing w:val="-6"/>
          <w:sz w:val="21"/>
        </w:rPr>
        <w:t xml:space="preserve">ст. </w:t>
      </w:r>
      <w:r>
        <w:rPr>
          <w:color w:val="231F20"/>
          <w:sz w:val="21"/>
        </w:rPr>
        <w:t>35</w:t>
      </w:r>
      <w:r>
        <w:rPr>
          <w:color w:val="231F20"/>
          <w:spacing w:val="12"/>
          <w:sz w:val="21"/>
        </w:rPr>
        <w:t xml:space="preserve"> </w:t>
      </w:r>
      <w:r>
        <w:rPr>
          <w:color w:val="231F20"/>
          <w:sz w:val="21"/>
        </w:rPr>
        <w:t>«Обставини,</w:t>
      </w:r>
    </w:p>
    <w:p w14:paraId="48C08701" w14:textId="77777777" w:rsidR="00DE575E" w:rsidRDefault="00DE575E">
      <w:pPr>
        <w:pStyle w:val="BodyText"/>
        <w:spacing w:before="6"/>
        <w:rPr>
          <w:sz w:val="12"/>
        </w:rPr>
      </w:pPr>
    </w:p>
    <w:p w14:paraId="1D07FE9E" w14:textId="77777777" w:rsidR="00DE575E" w:rsidRDefault="002E7560">
      <w:pPr>
        <w:spacing w:before="92"/>
        <w:ind w:right="411"/>
        <w:jc w:val="right"/>
        <w:rPr>
          <w:rFonts w:ascii="Times New Roman"/>
          <w:sz w:val="20"/>
        </w:rPr>
      </w:pPr>
      <w:r>
        <w:rPr>
          <w:rFonts w:ascii="Times New Roman"/>
          <w:color w:val="231F20"/>
          <w:w w:val="90"/>
          <w:sz w:val="20"/>
        </w:rPr>
        <w:t>495</w:t>
      </w:r>
    </w:p>
    <w:p w14:paraId="56BFB14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3013F1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1DD718D" w14:textId="6DE235E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FE6E199" wp14:editId="3358B9F2">
                <wp:extent cx="4140200" cy="6350"/>
                <wp:effectExtent l="0" t="0" r="12700" b="6350"/>
                <wp:docPr id="17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76" name="Line 1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3F7398" id="Group_x0020_1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7FaZMn4CAACYBQAADgAA&#10;AAAAAAAAAAAAAAAsAgAAZHJzL2Uyb0RvYy54bWxQSwECLQAUAAYACAAAACEATKewkNkAAAADAQAA&#10;DwAAAAAAAAAAAAAAAADWBAAAZHJzL2Rvd25yZXYueG1sUEsFBgAAAAAEAAQA8wAAANwFAAAAAA==&#10;">
                <v:line id="Line_x0020_1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cH58QAAADcAAAADwAAAGRycy9kb3ducmV2LnhtbERP22rCQBB9L/gPyxT6UpqNFWyJWUWE&#10;QumDt/QDxuyYhO7OxuxqUr/eFQp9m8O5Tr4YrBEX6nzjWME4SUEQl043XCn4Lj5e3kH4gKzROCYF&#10;v+RhMR895Jhp1/OOLvtQiRjCPkMFdQhtJqUva7LoE9cSR+7oOoshwq6SusM+hlsjX9N0Ki02HBtq&#10;bGlVU/mzP1sFxek5mO3my/TF5jCRh9N6cj2vlXp6HJYzEIGG8C/+c3/qOP9tCvdn4gVyf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wfnxAAAANwAAAAPAAAAAAAAAAAA&#10;AAAAAKECAABkcnMvZG93bnJldi54bWxQSwUGAAAAAAQABAD5AAAAkgMAAAAA&#10;" strokecolor="#231f20" strokeweight=".5pt"/>
                <w10:anchorlock/>
              </v:group>
            </w:pict>
          </mc:Fallback>
        </mc:AlternateContent>
      </w:r>
    </w:p>
    <w:p w14:paraId="175A0A2A" w14:textId="77777777" w:rsidR="00DE575E" w:rsidRDefault="00DE575E">
      <w:pPr>
        <w:pStyle w:val="BodyText"/>
        <w:spacing w:before="7"/>
        <w:rPr>
          <w:rFonts w:ascii="AdonisC"/>
          <w:i/>
          <w:sz w:val="11"/>
        </w:rPr>
      </w:pPr>
    </w:p>
    <w:p w14:paraId="74449BDC" w14:textId="77777777" w:rsidR="00DE575E" w:rsidRDefault="002E7560">
      <w:pPr>
        <w:pStyle w:val="BodyText"/>
        <w:spacing w:before="101" w:line="252" w:lineRule="auto"/>
        <w:ind w:left="533" w:right="128"/>
        <w:jc w:val="both"/>
      </w:pPr>
      <w:r>
        <w:rPr>
          <w:color w:val="231F20"/>
        </w:rPr>
        <w:t>що обтяжують відповідальність за адміністративне правопору- шення»);</w:t>
      </w:r>
    </w:p>
    <w:p w14:paraId="071C4661" w14:textId="77777777" w:rsidR="00DE575E" w:rsidRDefault="002E7560">
      <w:pPr>
        <w:pStyle w:val="ListParagraph"/>
        <w:numPr>
          <w:ilvl w:val="1"/>
          <w:numId w:val="23"/>
        </w:numPr>
        <w:tabs>
          <w:tab w:val="left" w:pos="1101"/>
        </w:tabs>
        <w:spacing w:line="252" w:lineRule="auto"/>
        <w:ind w:right="128" w:firstLine="284"/>
        <w:rPr>
          <w:sz w:val="21"/>
        </w:rPr>
      </w:pPr>
      <w:r>
        <w:rPr>
          <w:color w:val="231F20"/>
          <w:spacing w:val="-3"/>
          <w:sz w:val="21"/>
        </w:rPr>
        <w:t xml:space="preserve">суб’єкти </w:t>
      </w:r>
      <w:r>
        <w:rPr>
          <w:color w:val="231F20"/>
          <w:sz w:val="21"/>
        </w:rPr>
        <w:t>з особливими ознаками не піддаються деяким стяг- ненням (адміністративний арешт не може застосовуватися до військ</w:t>
      </w:r>
      <w:r>
        <w:rPr>
          <w:color w:val="231F20"/>
          <w:sz w:val="21"/>
        </w:rPr>
        <w:t>ових, неповнолітніх, вагітних жінок і жінок, які мають дітей віком до 12 років, інвалідів 1 і 2-ї</w:t>
      </w:r>
      <w:r>
        <w:rPr>
          <w:color w:val="231F20"/>
          <w:spacing w:val="-5"/>
          <w:sz w:val="21"/>
        </w:rPr>
        <w:t xml:space="preserve"> </w:t>
      </w:r>
      <w:r>
        <w:rPr>
          <w:color w:val="231F20"/>
          <w:sz w:val="21"/>
        </w:rPr>
        <w:t>груп);</w:t>
      </w:r>
    </w:p>
    <w:p w14:paraId="62C4A9AA" w14:textId="77777777" w:rsidR="00DE575E" w:rsidRDefault="002E7560">
      <w:pPr>
        <w:pStyle w:val="ListParagraph"/>
        <w:numPr>
          <w:ilvl w:val="1"/>
          <w:numId w:val="23"/>
        </w:numPr>
        <w:tabs>
          <w:tab w:val="left" w:pos="1101"/>
        </w:tabs>
        <w:spacing w:before="2" w:line="252" w:lineRule="auto"/>
        <w:ind w:right="126" w:firstLine="284"/>
        <w:rPr>
          <w:sz w:val="21"/>
        </w:rPr>
      </w:pPr>
      <w:r>
        <w:rPr>
          <w:color w:val="231F20"/>
          <w:sz w:val="21"/>
        </w:rPr>
        <w:t xml:space="preserve">низка </w:t>
      </w:r>
      <w:r>
        <w:rPr>
          <w:color w:val="231F20"/>
          <w:spacing w:val="-3"/>
          <w:sz w:val="21"/>
        </w:rPr>
        <w:t xml:space="preserve">суб’єктів </w:t>
      </w:r>
      <w:r>
        <w:rPr>
          <w:color w:val="231F20"/>
          <w:sz w:val="21"/>
        </w:rPr>
        <w:t xml:space="preserve">з особливими ознаками за вчинення адмініст- ративних проступків несе відповідальність за дисциплінарними статутами </w:t>
      </w:r>
      <w:r>
        <w:rPr>
          <w:color w:val="231F20"/>
          <w:spacing w:val="-5"/>
          <w:sz w:val="21"/>
        </w:rPr>
        <w:t xml:space="preserve">(ст. </w:t>
      </w:r>
      <w:r>
        <w:rPr>
          <w:color w:val="231F20"/>
          <w:sz w:val="21"/>
        </w:rPr>
        <w:t>15 «Відповідальність військовослужбовців та інших осіб,</w:t>
      </w:r>
      <w:r>
        <w:rPr>
          <w:color w:val="231F20"/>
          <w:spacing w:val="-13"/>
          <w:sz w:val="21"/>
        </w:rPr>
        <w:t xml:space="preserve"> </w:t>
      </w:r>
      <w:r>
        <w:rPr>
          <w:color w:val="231F20"/>
          <w:sz w:val="21"/>
        </w:rPr>
        <w:t>на</w:t>
      </w:r>
      <w:r>
        <w:rPr>
          <w:color w:val="231F20"/>
          <w:spacing w:val="-13"/>
          <w:sz w:val="21"/>
        </w:rPr>
        <w:t xml:space="preserve"> </w:t>
      </w:r>
      <w:r>
        <w:rPr>
          <w:color w:val="231F20"/>
          <w:sz w:val="21"/>
        </w:rPr>
        <w:t>яких</w:t>
      </w:r>
      <w:r>
        <w:rPr>
          <w:color w:val="231F20"/>
          <w:spacing w:val="-13"/>
          <w:sz w:val="21"/>
        </w:rPr>
        <w:t xml:space="preserve"> </w:t>
      </w:r>
      <w:r>
        <w:rPr>
          <w:color w:val="231F20"/>
          <w:sz w:val="21"/>
        </w:rPr>
        <w:t>поширюється</w:t>
      </w:r>
      <w:r>
        <w:rPr>
          <w:color w:val="231F20"/>
          <w:spacing w:val="-13"/>
          <w:sz w:val="21"/>
        </w:rPr>
        <w:t xml:space="preserve"> </w:t>
      </w:r>
      <w:r>
        <w:rPr>
          <w:color w:val="231F20"/>
          <w:sz w:val="21"/>
        </w:rPr>
        <w:t>дія</w:t>
      </w:r>
      <w:r>
        <w:rPr>
          <w:color w:val="231F20"/>
          <w:spacing w:val="-13"/>
          <w:sz w:val="21"/>
        </w:rPr>
        <w:t xml:space="preserve"> </w:t>
      </w:r>
      <w:r>
        <w:rPr>
          <w:color w:val="231F20"/>
          <w:sz w:val="21"/>
        </w:rPr>
        <w:t>дисциплінарних</w:t>
      </w:r>
      <w:r>
        <w:rPr>
          <w:color w:val="231F20"/>
          <w:spacing w:val="-13"/>
          <w:sz w:val="21"/>
        </w:rPr>
        <w:t xml:space="preserve"> </w:t>
      </w:r>
      <w:r>
        <w:rPr>
          <w:color w:val="231F20"/>
          <w:sz w:val="21"/>
        </w:rPr>
        <w:t>статутів,</w:t>
      </w:r>
      <w:r>
        <w:rPr>
          <w:color w:val="231F20"/>
          <w:spacing w:val="-13"/>
          <w:sz w:val="21"/>
        </w:rPr>
        <w:t xml:space="preserve"> </w:t>
      </w:r>
      <w:r>
        <w:rPr>
          <w:color w:val="231F20"/>
          <w:sz w:val="21"/>
        </w:rPr>
        <w:t>за</w:t>
      </w:r>
      <w:r>
        <w:rPr>
          <w:color w:val="231F20"/>
          <w:spacing w:val="-13"/>
          <w:sz w:val="21"/>
        </w:rPr>
        <w:t xml:space="preserve"> </w:t>
      </w:r>
      <w:r>
        <w:rPr>
          <w:color w:val="231F20"/>
          <w:sz w:val="21"/>
        </w:rPr>
        <w:t>вчинення адміністративних</w:t>
      </w:r>
      <w:r>
        <w:rPr>
          <w:color w:val="231F20"/>
          <w:spacing w:val="-2"/>
          <w:sz w:val="21"/>
        </w:rPr>
        <w:t xml:space="preserve"> </w:t>
      </w:r>
      <w:r>
        <w:rPr>
          <w:color w:val="231F20"/>
          <w:sz w:val="21"/>
        </w:rPr>
        <w:t>правопорушень»).</w:t>
      </w:r>
    </w:p>
    <w:p w14:paraId="2DADC1F7" w14:textId="77777777" w:rsidR="00DE575E" w:rsidRDefault="002E7560">
      <w:pPr>
        <w:spacing w:before="2" w:line="252" w:lineRule="auto"/>
        <w:ind w:left="533" w:right="127" w:firstLine="283"/>
        <w:jc w:val="both"/>
        <w:rPr>
          <w:sz w:val="21"/>
        </w:rPr>
      </w:pPr>
      <w:r>
        <w:rPr>
          <w:b/>
          <w:color w:val="231F20"/>
          <w:spacing w:val="-3"/>
          <w:sz w:val="21"/>
        </w:rPr>
        <w:t>Суб’єктивна</w:t>
      </w:r>
      <w:r>
        <w:rPr>
          <w:b/>
          <w:color w:val="231F20"/>
          <w:spacing w:val="-9"/>
          <w:sz w:val="21"/>
        </w:rPr>
        <w:t xml:space="preserve"> </w:t>
      </w:r>
      <w:r>
        <w:rPr>
          <w:b/>
          <w:color w:val="231F20"/>
          <w:sz w:val="21"/>
        </w:rPr>
        <w:t>сторона</w:t>
      </w:r>
      <w:r>
        <w:rPr>
          <w:b/>
          <w:color w:val="231F20"/>
          <w:spacing w:val="-9"/>
          <w:sz w:val="21"/>
        </w:rPr>
        <w:t xml:space="preserve"> </w:t>
      </w:r>
      <w:r>
        <w:rPr>
          <w:b/>
          <w:color w:val="231F20"/>
          <w:sz w:val="21"/>
        </w:rPr>
        <w:t>адміністративного</w:t>
      </w:r>
      <w:r>
        <w:rPr>
          <w:b/>
          <w:color w:val="231F20"/>
          <w:spacing w:val="-9"/>
          <w:sz w:val="21"/>
        </w:rPr>
        <w:t xml:space="preserve"> </w:t>
      </w:r>
      <w:r>
        <w:rPr>
          <w:b/>
          <w:color w:val="231F20"/>
          <w:sz w:val="21"/>
        </w:rPr>
        <w:t>правопорушення</w:t>
      </w:r>
      <w:r>
        <w:rPr>
          <w:b/>
          <w:color w:val="231F20"/>
          <w:spacing w:val="-9"/>
          <w:sz w:val="21"/>
        </w:rPr>
        <w:t xml:space="preserve"> </w:t>
      </w:r>
      <w:r>
        <w:rPr>
          <w:b/>
          <w:color w:val="231F20"/>
          <w:sz w:val="21"/>
        </w:rPr>
        <w:t>–</w:t>
      </w:r>
      <w:r>
        <w:rPr>
          <w:b/>
          <w:color w:val="231F20"/>
          <w:spacing w:val="-9"/>
          <w:sz w:val="21"/>
        </w:rPr>
        <w:t xml:space="preserve"> </w:t>
      </w:r>
      <w:r>
        <w:rPr>
          <w:color w:val="231F20"/>
          <w:sz w:val="21"/>
        </w:rPr>
        <w:t>це сукупність</w:t>
      </w:r>
      <w:r>
        <w:rPr>
          <w:color w:val="231F20"/>
          <w:spacing w:val="-14"/>
          <w:sz w:val="21"/>
        </w:rPr>
        <w:t xml:space="preserve"> </w:t>
      </w:r>
      <w:r>
        <w:rPr>
          <w:color w:val="231F20"/>
          <w:sz w:val="21"/>
        </w:rPr>
        <w:t>ознак,</w:t>
      </w:r>
      <w:r>
        <w:rPr>
          <w:color w:val="231F20"/>
          <w:spacing w:val="-14"/>
          <w:sz w:val="21"/>
        </w:rPr>
        <w:t xml:space="preserve"> </w:t>
      </w:r>
      <w:r>
        <w:rPr>
          <w:color w:val="231F20"/>
          <w:sz w:val="21"/>
        </w:rPr>
        <w:t>які</w:t>
      </w:r>
      <w:r>
        <w:rPr>
          <w:color w:val="231F20"/>
          <w:spacing w:val="-14"/>
          <w:sz w:val="21"/>
        </w:rPr>
        <w:t xml:space="preserve"> </w:t>
      </w:r>
      <w:r>
        <w:rPr>
          <w:color w:val="231F20"/>
          <w:sz w:val="21"/>
        </w:rPr>
        <w:t>характеризують</w:t>
      </w:r>
      <w:r>
        <w:rPr>
          <w:color w:val="231F20"/>
          <w:spacing w:val="-14"/>
          <w:sz w:val="21"/>
        </w:rPr>
        <w:t xml:space="preserve"> </w:t>
      </w:r>
      <w:r>
        <w:rPr>
          <w:color w:val="231F20"/>
          <w:sz w:val="21"/>
        </w:rPr>
        <w:t>психічне</w:t>
      </w:r>
      <w:r>
        <w:rPr>
          <w:color w:val="231F20"/>
          <w:spacing w:val="-14"/>
          <w:sz w:val="21"/>
        </w:rPr>
        <w:t xml:space="preserve"> </w:t>
      </w:r>
      <w:r>
        <w:rPr>
          <w:color w:val="231F20"/>
          <w:sz w:val="21"/>
        </w:rPr>
        <w:t>с</w:t>
      </w:r>
      <w:r>
        <w:rPr>
          <w:color w:val="231F20"/>
          <w:sz w:val="21"/>
        </w:rPr>
        <w:t>тавлення</w:t>
      </w:r>
      <w:r>
        <w:rPr>
          <w:color w:val="231F20"/>
          <w:spacing w:val="-14"/>
          <w:sz w:val="21"/>
        </w:rPr>
        <w:t xml:space="preserve"> </w:t>
      </w:r>
      <w:r>
        <w:rPr>
          <w:color w:val="231F20"/>
          <w:spacing w:val="-3"/>
          <w:sz w:val="21"/>
        </w:rPr>
        <w:t>суб’єкта</w:t>
      </w:r>
      <w:r>
        <w:rPr>
          <w:color w:val="231F20"/>
          <w:spacing w:val="-14"/>
          <w:sz w:val="21"/>
        </w:rPr>
        <w:t xml:space="preserve"> </w:t>
      </w:r>
      <w:r>
        <w:rPr>
          <w:color w:val="231F20"/>
          <w:sz w:val="21"/>
        </w:rPr>
        <w:t>до вчиненого діяння та його наслідків. Вона характеризується виною  у формі умислу або</w:t>
      </w:r>
      <w:r>
        <w:rPr>
          <w:color w:val="231F20"/>
          <w:spacing w:val="-5"/>
          <w:sz w:val="21"/>
        </w:rPr>
        <w:t xml:space="preserve"> </w:t>
      </w:r>
      <w:r>
        <w:rPr>
          <w:color w:val="231F20"/>
          <w:sz w:val="21"/>
        </w:rPr>
        <w:t>необережності.</w:t>
      </w:r>
    </w:p>
    <w:p w14:paraId="7DF6E716" w14:textId="77777777" w:rsidR="00DE575E" w:rsidRDefault="002E7560">
      <w:pPr>
        <w:pStyle w:val="BodyText"/>
        <w:spacing w:before="2" w:line="252" w:lineRule="auto"/>
        <w:ind w:left="533" w:right="126" w:firstLine="283"/>
        <w:jc w:val="both"/>
      </w:pPr>
      <w:r>
        <w:rPr>
          <w:color w:val="231F20"/>
        </w:rPr>
        <w:t>Згідно</w:t>
      </w:r>
      <w:r>
        <w:rPr>
          <w:color w:val="231F20"/>
          <w:spacing w:val="-9"/>
        </w:rPr>
        <w:t xml:space="preserve"> </w:t>
      </w:r>
      <w:r>
        <w:rPr>
          <w:color w:val="231F20"/>
        </w:rPr>
        <w:t>зі</w:t>
      </w:r>
      <w:r>
        <w:rPr>
          <w:color w:val="231F20"/>
          <w:spacing w:val="-9"/>
        </w:rPr>
        <w:t xml:space="preserve"> </w:t>
      </w:r>
      <w:r>
        <w:rPr>
          <w:color w:val="231F20"/>
          <w:spacing w:val="-6"/>
        </w:rPr>
        <w:t>ст.</w:t>
      </w:r>
      <w:r>
        <w:rPr>
          <w:color w:val="231F20"/>
          <w:spacing w:val="-5"/>
        </w:rPr>
        <w:t xml:space="preserve"> </w:t>
      </w:r>
      <w:r>
        <w:rPr>
          <w:color w:val="231F20"/>
        </w:rPr>
        <w:t>10</w:t>
      </w:r>
      <w:r>
        <w:rPr>
          <w:color w:val="231F20"/>
          <w:spacing w:val="-9"/>
        </w:rPr>
        <w:t xml:space="preserve"> </w:t>
      </w:r>
      <w:r>
        <w:rPr>
          <w:color w:val="231F20"/>
          <w:spacing w:val="-3"/>
        </w:rPr>
        <w:t>КУпАП</w:t>
      </w:r>
      <w:r>
        <w:rPr>
          <w:color w:val="231F20"/>
          <w:spacing w:val="-9"/>
        </w:rPr>
        <w:t xml:space="preserve"> </w:t>
      </w:r>
      <w:r>
        <w:rPr>
          <w:color w:val="231F20"/>
        </w:rPr>
        <w:t>проступок</w:t>
      </w:r>
      <w:r>
        <w:rPr>
          <w:color w:val="231F20"/>
          <w:spacing w:val="-9"/>
        </w:rPr>
        <w:t xml:space="preserve"> </w:t>
      </w:r>
      <w:r>
        <w:rPr>
          <w:color w:val="231F20"/>
        </w:rPr>
        <w:t>визнається</w:t>
      </w:r>
      <w:r>
        <w:rPr>
          <w:color w:val="231F20"/>
          <w:spacing w:val="-9"/>
        </w:rPr>
        <w:t xml:space="preserve"> </w:t>
      </w:r>
      <w:r>
        <w:rPr>
          <w:i/>
          <w:color w:val="231F20"/>
        </w:rPr>
        <w:t>умисним</w:t>
      </w:r>
      <w:r>
        <w:rPr>
          <w:color w:val="231F20"/>
        </w:rPr>
        <w:t>,</w:t>
      </w:r>
      <w:r>
        <w:rPr>
          <w:color w:val="231F20"/>
          <w:spacing w:val="-9"/>
        </w:rPr>
        <w:t xml:space="preserve"> </w:t>
      </w:r>
      <w:r>
        <w:rPr>
          <w:color w:val="231F20"/>
        </w:rPr>
        <w:t>якщо</w:t>
      </w:r>
      <w:r>
        <w:rPr>
          <w:color w:val="231F20"/>
          <w:spacing w:val="-9"/>
        </w:rPr>
        <w:t xml:space="preserve"> </w:t>
      </w:r>
      <w:r>
        <w:rPr>
          <w:color w:val="231F20"/>
        </w:rPr>
        <w:t>особа, яка його вчинила: а) усвідомлювала протиправний характер свого діяння; передбачала його шкідливі наслідки; бажала настання цих наслідків; б) усвідомлювала протиправний характер свого діяння; передбачала його шкідливі наслідки; свідомо допускала наст</w:t>
      </w:r>
      <w:r>
        <w:rPr>
          <w:color w:val="231F20"/>
        </w:rPr>
        <w:t>ання цих наслідків.</w:t>
      </w:r>
    </w:p>
    <w:p w14:paraId="040C2657" w14:textId="77777777" w:rsidR="00DE575E" w:rsidRDefault="002E7560">
      <w:pPr>
        <w:pStyle w:val="BodyText"/>
        <w:spacing w:before="3" w:line="252" w:lineRule="auto"/>
        <w:ind w:left="533" w:right="127" w:firstLine="283"/>
        <w:jc w:val="both"/>
      </w:pPr>
      <w:r>
        <w:rPr>
          <w:color w:val="231F20"/>
        </w:rPr>
        <w:t xml:space="preserve">Таким чином, закон називає два види умислу: </w:t>
      </w:r>
      <w:r>
        <w:rPr>
          <w:b/>
          <w:color w:val="231F20"/>
        </w:rPr>
        <w:t xml:space="preserve">прямий </w:t>
      </w:r>
      <w:r>
        <w:rPr>
          <w:color w:val="231F20"/>
        </w:rPr>
        <w:t xml:space="preserve">(dolus directus), коли особа усвідомлює протиправність свого діяння, передбачає і бажає настання шкідливих наслідків; </w:t>
      </w:r>
      <w:r>
        <w:rPr>
          <w:b/>
          <w:color w:val="231F20"/>
        </w:rPr>
        <w:t xml:space="preserve">непрямий </w:t>
      </w:r>
      <w:r>
        <w:rPr>
          <w:color w:val="231F20"/>
        </w:rPr>
        <w:t>(dolus indirectus), коли особа усвідомлює протиправність с</w:t>
      </w:r>
      <w:r>
        <w:rPr>
          <w:color w:val="231F20"/>
        </w:rPr>
        <w:t>вого діяння, передбачає шкідливі наслідки і при цьому прямо не бажає, але свідомо допускає їх настання.</w:t>
      </w:r>
    </w:p>
    <w:p w14:paraId="61278815" w14:textId="77777777" w:rsidR="00DE575E" w:rsidRDefault="002E7560">
      <w:pPr>
        <w:pStyle w:val="BodyText"/>
        <w:spacing w:before="3" w:line="252" w:lineRule="auto"/>
        <w:ind w:left="533" w:right="127" w:firstLine="283"/>
        <w:jc w:val="both"/>
      </w:pPr>
      <w:r>
        <w:rPr>
          <w:color w:val="231F20"/>
        </w:rPr>
        <w:t>При виконанні формальних складів умисел полягає в усвідом- ленні</w:t>
      </w:r>
      <w:r>
        <w:rPr>
          <w:color w:val="231F20"/>
          <w:spacing w:val="-12"/>
        </w:rPr>
        <w:t xml:space="preserve"> </w:t>
      </w:r>
      <w:r>
        <w:rPr>
          <w:color w:val="231F20"/>
        </w:rPr>
        <w:t>протиправності</w:t>
      </w:r>
      <w:r>
        <w:rPr>
          <w:color w:val="231F20"/>
          <w:spacing w:val="-12"/>
        </w:rPr>
        <w:t xml:space="preserve"> </w:t>
      </w:r>
      <w:r>
        <w:rPr>
          <w:color w:val="231F20"/>
        </w:rPr>
        <w:t>дій</w:t>
      </w:r>
      <w:r>
        <w:rPr>
          <w:color w:val="231F20"/>
          <w:spacing w:val="-12"/>
        </w:rPr>
        <w:t xml:space="preserve"> </w:t>
      </w:r>
      <w:r>
        <w:rPr>
          <w:color w:val="231F20"/>
        </w:rPr>
        <w:t>і</w:t>
      </w:r>
      <w:r>
        <w:rPr>
          <w:color w:val="231F20"/>
          <w:spacing w:val="-11"/>
        </w:rPr>
        <w:t xml:space="preserve"> </w:t>
      </w:r>
      <w:r>
        <w:rPr>
          <w:color w:val="231F20"/>
        </w:rPr>
        <w:t>бажанні</w:t>
      </w:r>
      <w:r>
        <w:rPr>
          <w:color w:val="231F20"/>
          <w:spacing w:val="-12"/>
        </w:rPr>
        <w:t xml:space="preserve"> </w:t>
      </w:r>
      <w:r>
        <w:rPr>
          <w:color w:val="231F20"/>
        </w:rPr>
        <w:t>їх</w:t>
      </w:r>
      <w:r>
        <w:rPr>
          <w:color w:val="231F20"/>
          <w:spacing w:val="-12"/>
        </w:rPr>
        <w:t xml:space="preserve"> </w:t>
      </w:r>
      <w:r>
        <w:rPr>
          <w:color w:val="231F20"/>
        </w:rPr>
        <w:t>вчинити</w:t>
      </w:r>
      <w:r>
        <w:rPr>
          <w:color w:val="231F20"/>
          <w:spacing w:val="-12"/>
        </w:rPr>
        <w:t xml:space="preserve"> </w:t>
      </w:r>
      <w:r>
        <w:rPr>
          <w:color w:val="231F20"/>
        </w:rPr>
        <w:t>(у</w:t>
      </w:r>
      <w:r>
        <w:rPr>
          <w:color w:val="231F20"/>
          <w:spacing w:val="-12"/>
        </w:rPr>
        <w:t xml:space="preserve"> </w:t>
      </w:r>
      <w:r>
        <w:rPr>
          <w:color w:val="231F20"/>
        </w:rPr>
        <w:t>навмисності</w:t>
      </w:r>
      <w:r>
        <w:rPr>
          <w:color w:val="231F20"/>
          <w:spacing w:val="-12"/>
        </w:rPr>
        <w:t xml:space="preserve"> </w:t>
      </w:r>
      <w:r>
        <w:rPr>
          <w:color w:val="231F20"/>
        </w:rPr>
        <w:t>проти- правного поводження). Лиш</w:t>
      </w:r>
      <w:r>
        <w:rPr>
          <w:color w:val="231F20"/>
        </w:rPr>
        <w:t xml:space="preserve">е у деяких статтях </w:t>
      </w:r>
      <w:r>
        <w:rPr>
          <w:color w:val="231F20"/>
          <w:spacing w:val="-3"/>
        </w:rPr>
        <w:t xml:space="preserve">КУпАП </w:t>
      </w:r>
      <w:r>
        <w:rPr>
          <w:color w:val="231F20"/>
        </w:rPr>
        <w:t>(46 «Умисне приховування джерела зараження венеричною хворобою»,</w:t>
      </w:r>
      <w:r>
        <w:rPr>
          <w:color w:val="231F20"/>
          <w:spacing w:val="40"/>
        </w:rPr>
        <w:t xml:space="preserve"> </w:t>
      </w:r>
      <w:r>
        <w:rPr>
          <w:color w:val="231F20"/>
        </w:rPr>
        <w:t>162-1</w:t>
      </w:r>
    </w:p>
    <w:p w14:paraId="449C7B79" w14:textId="77777777" w:rsidR="00DE575E" w:rsidRDefault="002E7560">
      <w:pPr>
        <w:pStyle w:val="BodyText"/>
        <w:spacing w:before="2" w:line="252" w:lineRule="auto"/>
        <w:ind w:left="533" w:right="126"/>
        <w:jc w:val="both"/>
      </w:pPr>
      <w:r>
        <w:rPr>
          <w:color w:val="231F20"/>
          <w:spacing w:val="-3"/>
        </w:rPr>
        <w:t>«Ухилення</w:t>
      </w:r>
      <w:r>
        <w:rPr>
          <w:color w:val="231F20"/>
          <w:spacing w:val="-15"/>
        </w:rPr>
        <w:t xml:space="preserve"> </w:t>
      </w:r>
      <w:r>
        <w:rPr>
          <w:color w:val="231F20"/>
        </w:rPr>
        <w:t>від</w:t>
      </w:r>
      <w:r>
        <w:rPr>
          <w:color w:val="231F20"/>
          <w:spacing w:val="-14"/>
        </w:rPr>
        <w:t xml:space="preserve"> </w:t>
      </w:r>
      <w:r>
        <w:rPr>
          <w:color w:val="231F20"/>
        </w:rPr>
        <w:t>повернення</w:t>
      </w:r>
      <w:r>
        <w:rPr>
          <w:color w:val="231F20"/>
          <w:spacing w:val="-15"/>
        </w:rPr>
        <w:t xml:space="preserve"> </w:t>
      </w:r>
      <w:r>
        <w:rPr>
          <w:color w:val="231F20"/>
        </w:rPr>
        <w:t>виручки</w:t>
      </w:r>
      <w:r>
        <w:rPr>
          <w:color w:val="231F20"/>
          <w:spacing w:val="-14"/>
        </w:rPr>
        <w:t xml:space="preserve"> </w:t>
      </w:r>
      <w:r>
        <w:rPr>
          <w:color w:val="231F20"/>
        </w:rPr>
        <w:t>в</w:t>
      </w:r>
      <w:r>
        <w:rPr>
          <w:color w:val="231F20"/>
          <w:spacing w:val="-13"/>
        </w:rPr>
        <w:t xml:space="preserve"> </w:t>
      </w:r>
      <w:r>
        <w:rPr>
          <w:color w:val="231F20"/>
        </w:rPr>
        <w:t>іноземній</w:t>
      </w:r>
      <w:r>
        <w:rPr>
          <w:color w:val="231F20"/>
          <w:spacing w:val="-15"/>
        </w:rPr>
        <w:t xml:space="preserve"> </w:t>
      </w:r>
      <w:r>
        <w:rPr>
          <w:color w:val="231F20"/>
        </w:rPr>
        <w:t>валюті»,</w:t>
      </w:r>
      <w:r>
        <w:rPr>
          <w:color w:val="231F20"/>
          <w:spacing w:val="-14"/>
        </w:rPr>
        <w:t xml:space="preserve"> </w:t>
      </w:r>
      <w:r>
        <w:rPr>
          <w:color w:val="231F20"/>
        </w:rPr>
        <w:t>163-9</w:t>
      </w:r>
      <w:r>
        <w:rPr>
          <w:color w:val="231F20"/>
          <w:spacing w:val="-14"/>
        </w:rPr>
        <w:t xml:space="preserve"> </w:t>
      </w:r>
      <w:r>
        <w:rPr>
          <w:color w:val="231F20"/>
        </w:rPr>
        <w:t>«Неза- конне використання інсайдерської інформації», 164-3 «Недобросо- вісна конкуренція», 198 «Умисне зіпсуття паспорта чи втрата його  з необережності», 211 «Умисне зіпсуття обліково-військових доку- ментів</w:t>
      </w:r>
      <w:r>
        <w:rPr>
          <w:color w:val="231F20"/>
          <w:spacing w:val="-5"/>
        </w:rPr>
        <w:t xml:space="preserve"> </w:t>
      </w:r>
      <w:r>
        <w:rPr>
          <w:color w:val="231F20"/>
        </w:rPr>
        <w:t>чи</w:t>
      </w:r>
      <w:r>
        <w:rPr>
          <w:color w:val="231F20"/>
          <w:spacing w:val="-5"/>
        </w:rPr>
        <w:t xml:space="preserve"> </w:t>
      </w:r>
      <w:r>
        <w:rPr>
          <w:color w:val="231F20"/>
        </w:rPr>
        <w:t>втрата</w:t>
      </w:r>
      <w:r>
        <w:rPr>
          <w:color w:val="231F20"/>
          <w:spacing w:val="-5"/>
        </w:rPr>
        <w:t xml:space="preserve"> </w:t>
      </w:r>
      <w:r>
        <w:rPr>
          <w:color w:val="231F20"/>
        </w:rPr>
        <w:t>їх</w:t>
      </w:r>
      <w:r>
        <w:rPr>
          <w:color w:val="231F20"/>
          <w:spacing w:val="-5"/>
        </w:rPr>
        <w:t xml:space="preserve"> </w:t>
      </w:r>
      <w:r>
        <w:rPr>
          <w:color w:val="231F20"/>
        </w:rPr>
        <w:t>з</w:t>
      </w:r>
      <w:r>
        <w:rPr>
          <w:color w:val="231F20"/>
          <w:spacing w:val="-5"/>
        </w:rPr>
        <w:t xml:space="preserve"> </w:t>
      </w:r>
      <w:r>
        <w:rPr>
          <w:color w:val="231F20"/>
        </w:rPr>
        <w:t>необережності»)</w:t>
      </w:r>
      <w:r>
        <w:rPr>
          <w:color w:val="231F20"/>
          <w:spacing w:val="-5"/>
        </w:rPr>
        <w:t xml:space="preserve"> </w:t>
      </w:r>
      <w:r>
        <w:rPr>
          <w:color w:val="231F20"/>
        </w:rPr>
        <w:t>умисел</w:t>
      </w:r>
      <w:r>
        <w:rPr>
          <w:color w:val="231F20"/>
          <w:spacing w:val="-5"/>
        </w:rPr>
        <w:t xml:space="preserve"> </w:t>
      </w:r>
      <w:r>
        <w:rPr>
          <w:color w:val="231F20"/>
        </w:rPr>
        <w:t>прямо</w:t>
      </w:r>
      <w:r>
        <w:rPr>
          <w:color w:val="231F20"/>
          <w:spacing w:val="-5"/>
        </w:rPr>
        <w:t xml:space="preserve"> </w:t>
      </w:r>
      <w:r>
        <w:rPr>
          <w:color w:val="231F20"/>
        </w:rPr>
        <w:t>зазначається</w:t>
      </w:r>
      <w:r>
        <w:rPr>
          <w:color w:val="231F20"/>
          <w:spacing w:val="-5"/>
        </w:rPr>
        <w:t xml:space="preserve"> </w:t>
      </w:r>
      <w:r>
        <w:rPr>
          <w:color w:val="231F20"/>
        </w:rPr>
        <w:t>як ознака складу</w:t>
      </w:r>
      <w:r>
        <w:rPr>
          <w:color w:val="231F20"/>
          <w:spacing w:val="-2"/>
        </w:rPr>
        <w:t xml:space="preserve"> </w:t>
      </w:r>
      <w:r>
        <w:rPr>
          <w:color w:val="231F20"/>
        </w:rPr>
        <w:t>проступку.</w:t>
      </w:r>
    </w:p>
    <w:p w14:paraId="4239B5BC" w14:textId="77777777" w:rsidR="00DE575E" w:rsidRDefault="002E7560">
      <w:pPr>
        <w:pStyle w:val="BodyText"/>
        <w:spacing w:before="3" w:line="252" w:lineRule="auto"/>
        <w:ind w:left="533" w:right="125" w:firstLine="283"/>
        <w:jc w:val="both"/>
      </w:pPr>
      <w:r>
        <w:rPr>
          <w:color w:val="231F20"/>
        </w:rPr>
        <w:t xml:space="preserve">Правопорушення визнається вчиненим з </w:t>
      </w:r>
      <w:r>
        <w:rPr>
          <w:b/>
          <w:color w:val="231F20"/>
        </w:rPr>
        <w:t xml:space="preserve">необережності </w:t>
      </w:r>
      <w:r>
        <w:rPr>
          <w:color w:val="231F20"/>
        </w:rPr>
        <w:t>(ст. 11 КУпАП), коли особа, яка його вчинила, передбачала можливість</w:t>
      </w:r>
    </w:p>
    <w:p w14:paraId="3AFDD2E6" w14:textId="77777777" w:rsidR="00DE575E" w:rsidRDefault="00DE575E">
      <w:pPr>
        <w:pStyle w:val="BodyText"/>
        <w:spacing w:before="5"/>
        <w:rPr>
          <w:sz w:val="12"/>
        </w:rPr>
      </w:pPr>
    </w:p>
    <w:p w14:paraId="3690A715" w14:textId="77777777" w:rsidR="00DE575E" w:rsidRDefault="002E7560">
      <w:pPr>
        <w:spacing w:before="92"/>
        <w:ind w:left="533"/>
        <w:rPr>
          <w:rFonts w:ascii="Times New Roman"/>
          <w:sz w:val="20"/>
        </w:rPr>
      </w:pPr>
      <w:r>
        <w:rPr>
          <w:rFonts w:ascii="Times New Roman"/>
          <w:color w:val="231F20"/>
          <w:sz w:val="20"/>
        </w:rPr>
        <w:t>496</w:t>
      </w:r>
    </w:p>
    <w:p w14:paraId="6666AF30" w14:textId="77777777" w:rsidR="00DE575E" w:rsidRDefault="00DE575E">
      <w:pPr>
        <w:rPr>
          <w:rFonts w:ascii="Times New Roman"/>
          <w:sz w:val="20"/>
        </w:rPr>
        <w:sectPr w:rsidR="00DE575E">
          <w:pgSz w:w="8510" w:h="12760"/>
          <w:pgMar w:top="660" w:right="720" w:bottom="280" w:left="600" w:header="720" w:footer="720" w:gutter="0"/>
          <w:cols w:space="720"/>
        </w:sectPr>
      </w:pPr>
    </w:p>
    <w:p w14:paraId="0C5BA71F" w14:textId="77777777" w:rsidR="00DE575E" w:rsidRDefault="002E7560">
      <w:pPr>
        <w:spacing w:before="72" w:line="249" w:lineRule="auto"/>
        <w:ind w:left="1643" w:right="392" w:firstLine="1049"/>
        <w:rPr>
          <w:rFonts w:ascii="AdonisC" w:hAnsi="AdonisC"/>
          <w:i/>
          <w:sz w:val="18"/>
        </w:rPr>
      </w:pPr>
      <w:r>
        <w:rPr>
          <w:rFonts w:ascii="AdonisC" w:hAnsi="AdonisC"/>
          <w:i/>
          <w:color w:val="231F20"/>
          <w:sz w:val="18"/>
        </w:rPr>
        <w:t xml:space="preserve">Глава ІІ Особливе адміністративне право/ Книга ІІ Розділ 3. Юридичний склад </w:t>
      </w:r>
      <w:r>
        <w:rPr>
          <w:rFonts w:ascii="AdonisC" w:hAnsi="AdonisC"/>
          <w:i/>
          <w:color w:val="231F20"/>
          <w:sz w:val="18"/>
        </w:rPr>
        <w:t>адміністративного правопорушення</w:t>
      </w:r>
    </w:p>
    <w:p w14:paraId="33270C35" w14:textId="461F2A5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FDFDBE9" wp14:editId="389BA53F">
                <wp:extent cx="4140200" cy="6350"/>
                <wp:effectExtent l="0" t="0" r="12700" b="6350"/>
                <wp:docPr id="17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74" name="Line 17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E5B993" id="Group_x0020_17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Eod234CAACYBQAADgAA&#10;AAAAAAAAAAAAAAAsAgAAZHJzL2Uyb0RvYy54bWxQSwECLQAUAAYACAAAACEATKewkNkAAAADAQAA&#10;DwAAAAAAAAAAAAAAAADWBAAAZHJzL2Rvd25yZXYueG1sUEsFBgAAAAAEAAQA8wAAANwFAAAAAA==&#10;">
                <v:line id="Line_x0020_17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k8C8QAAADcAAAADwAAAGRycy9kb3ducmV2LnhtbERP22rCQBB9L/gPywh9KbqpFpXoKlIQ&#10;Sh+8xQ8Ys2MS3J2N2dWk/fpuodC3OZzrLFadNeJBja8cK3gdJiCIc6crLhScss1gBsIHZI3GMSn4&#10;Ig+rZe9pgal2LR/ocQyFiCHsU1RQhlCnUvq8JIt+6GriyF1cYzFE2BRSN9jGcGvkKEkm0mLFsaHE&#10;mt5Lyq/Hu1WQ3V6C2e8+TZvtzmN5vm3H3/etUs/9bj0HEagL/+I/94eO86dv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uTwLxAAAANwAAAAPAAAAAAAAAAAA&#10;AAAAAKECAABkcnMvZG93bnJldi54bWxQSwUGAAAAAAQABAD5AAAAkgMAAAAA&#10;" strokecolor="#231f20" strokeweight=".5pt"/>
                <w10:anchorlock/>
              </v:group>
            </w:pict>
          </mc:Fallback>
        </mc:AlternateContent>
      </w:r>
    </w:p>
    <w:p w14:paraId="7C0C0CB7" w14:textId="77777777" w:rsidR="00DE575E" w:rsidRDefault="00DE575E">
      <w:pPr>
        <w:pStyle w:val="BodyText"/>
        <w:spacing w:before="7"/>
        <w:rPr>
          <w:rFonts w:ascii="AdonisC"/>
          <w:i/>
          <w:sz w:val="19"/>
        </w:rPr>
      </w:pPr>
    </w:p>
    <w:p w14:paraId="7550C2E9" w14:textId="77777777" w:rsidR="00DE575E" w:rsidRDefault="002E7560">
      <w:pPr>
        <w:pStyle w:val="BodyText"/>
        <w:spacing w:before="1" w:line="252" w:lineRule="auto"/>
        <w:ind w:left="250" w:right="410"/>
        <w:jc w:val="both"/>
      </w:pPr>
      <w:r>
        <w:rPr>
          <w:color w:val="231F20"/>
        </w:rPr>
        <w:t>настання шкідливих наслідків своєї дії чи бездіяльності, але легко- важно розраховувала на їх відвернення (самовпевненість) або не передбачала можливості нас</w:t>
      </w:r>
      <w:r>
        <w:rPr>
          <w:color w:val="231F20"/>
        </w:rPr>
        <w:t xml:space="preserve">тання таких наслідків, хоч мала </w:t>
      </w:r>
      <w:r>
        <w:rPr>
          <w:color w:val="231F20"/>
          <w:spacing w:val="-3"/>
        </w:rPr>
        <w:t xml:space="preserve">була      </w:t>
      </w:r>
      <w:r>
        <w:rPr>
          <w:color w:val="231F20"/>
        </w:rPr>
        <w:t xml:space="preserve">і </w:t>
      </w:r>
      <w:r>
        <w:rPr>
          <w:color w:val="231F20"/>
          <w:spacing w:val="-3"/>
        </w:rPr>
        <w:t xml:space="preserve">могла </w:t>
      </w:r>
      <w:r>
        <w:rPr>
          <w:color w:val="231F20"/>
        </w:rPr>
        <w:t>їх передбачити (недбалість).</w:t>
      </w:r>
    </w:p>
    <w:p w14:paraId="36525D5B" w14:textId="77777777" w:rsidR="00DE575E" w:rsidRDefault="002E7560">
      <w:pPr>
        <w:pStyle w:val="BodyText"/>
        <w:spacing w:before="2" w:line="252" w:lineRule="auto"/>
        <w:ind w:left="250" w:right="411" w:firstLine="283"/>
        <w:jc w:val="both"/>
      </w:pPr>
      <w:r>
        <w:rPr>
          <w:color w:val="231F20"/>
        </w:rPr>
        <w:t>Мотив як кваліфікаційна ознака проступку в чинному адміні- стративно-деліктному законодавстві відсутній.</w:t>
      </w:r>
    </w:p>
    <w:p w14:paraId="10D43784" w14:textId="77777777" w:rsidR="00DE575E" w:rsidRDefault="002E7560">
      <w:pPr>
        <w:pStyle w:val="BodyText"/>
        <w:spacing w:before="1" w:line="252" w:lineRule="auto"/>
        <w:ind w:left="250" w:right="408" w:firstLine="283"/>
        <w:jc w:val="both"/>
      </w:pPr>
      <w:r>
        <w:rPr>
          <w:color w:val="231F20"/>
        </w:rPr>
        <w:t>Конструктивною ознакою складу в низці випадків є і підлягає встановленню</w:t>
      </w:r>
      <w:r>
        <w:rPr>
          <w:color w:val="231F20"/>
          <w:spacing w:val="-10"/>
        </w:rPr>
        <w:t xml:space="preserve"> </w:t>
      </w:r>
      <w:r>
        <w:rPr>
          <w:i/>
          <w:color w:val="231F20"/>
        </w:rPr>
        <w:t>мета</w:t>
      </w:r>
      <w:r>
        <w:rPr>
          <w:i/>
          <w:color w:val="231F20"/>
          <w:spacing w:val="-10"/>
        </w:rPr>
        <w:t xml:space="preserve"> </w:t>
      </w:r>
      <w:r>
        <w:rPr>
          <w:i/>
          <w:color w:val="231F20"/>
        </w:rPr>
        <w:t>правопорушення</w:t>
      </w:r>
      <w:r>
        <w:rPr>
          <w:color w:val="231F20"/>
        </w:rPr>
        <w:t>.</w:t>
      </w:r>
      <w:r>
        <w:rPr>
          <w:color w:val="231F20"/>
          <w:spacing w:val="-10"/>
        </w:rPr>
        <w:t xml:space="preserve"> </w:t>
      </w:r>
      <w:r>
        <w:rPr>
          <w:color w:val="231F20"/>
        </w:rPr>
        <w:t>Кваліфікаційне</w:t>
      </w:r>
      <w:r>
        <w:rPr>
          <w:color w:val="231F20"/>
          <w:spacing w:val="-10"/>
        </w:rPr>
        <w:t xml:space="preserve"> </w:t>
      </w:r>
      <w:r>
        <w:rPr>
          <w:color w:val="231F20"/>
        </w:rPr>
        <w:t>значення</w:t>
      </w:r>
      <w:r>
        <w:rPr>
          <w:color w:val="231F20"/>
          <w:spacing w:val="-10"/>
        </w:rPr>
        <w:t xml:space="preserve"> </w:t>
      </w:r>
      <w:r>
        <w:rPr>
          <w:color w:val="231F20"/>
        </w:rPr>
        <w:t xml:space="preserve">вона має у </w:t>
      </w:r>
      <w:r>
        <w:rPr>
          <w:color w:val="231F20"/>
          <w:spacing w:val="-6"/>
        </w:rPr>
        <w:t xml:space="preserve">ст. </w:t>
      </w:r>
      <w:r>
        <w:rPr>
          <w:color w:val="231F20"/>
        </w:rPr>
        <w:t xml:space="preserve">42-2 («Заготівля, переробка з метою збуту або збут продук- тів харчування чи іншої продукції»), </w:t>
      </w:r>
      <w:r>
        <w:rPr>
          <w:color w:val="231F20"/>
          <w:spacing w:val="-6"/>
        </w:rPr>
        <w:t xml:space="preserve">ст. </w:t>
      </w:r>
      <w:r>
        <w:rPr>
          <w:color w:val="231F20"/>
        </w:rPr>
        <w:t>103-1 («Самовільне вико- ристання з корисливою метою електричної та теплової енергії без прилад</w:t>
      </w:r>
      <w:r>
        <w:rPr>
          <w:color w:val="231F20"/>
        </w:rPr>
        <w:t xml:space="preserve">ів обліку (якщо використання приладів обліку обов’язкове) або внаслідок умисного пошкодження приладів обліку чи у </w:t>
      </w:r>
      <w:r>
        <w:rPr>
          <w:color w:val="231F20"/>
          <w:spacing w:val="-4"/>
        </w:rPr>
        <w:t xml:space="preserve">будь- </w:t>
      </w:r>
      <w:r>
        <w:rPr>
          <w:color w:val="231F20"/>
        </w:rPr>
        <w:t>який інший спосіб»).</w:t>
      </w:r>
    </w:p>
    <w:p w14:paraId="3862730F" w14:textId="77777777" w:rsidR="00DE575E" w:rsidRDefault="002E7560">
      <w:pPr>
        <w:pStyle w:val="Heading5"/>
        <w:spacing w:before="4" w:line="252" w:lineRule="auto"/>
        <w:ind w:left="250" w:right="410" w:firstLine="283"/>
        <w:jc w:val="both"/>
      </w:pPr>
      <w:r>
        <w:rPr>
          <w:color w:val="231F20"/>
        </w:rPr>
        <w:t>Отже, склад адміністративного проступку – це логічна конструкція, правове поняття про проступок. Як і будь-яке поняття, воно відбиває лише істотні ознаки реальних явищ, тобто конкретних протиправних діянь.</w:t>
      </w:r>
    </w:p>
    <w:p w14:paraId="33E4D174" w14:textId="77777777" w:rsidR="00DE575E" w:rsidRDefault="002E7560">
      <w:pPr>
        <w:pStyle w:val="BodyText"/>
        <w:spacing w:before="2" w:line="252" w:lineRule="auto"/>
        <w:ind w:left="250" w:right="410" w:firstLine="283"/>
        <w:jc w:val="both"/>
      </w:pPr>
      <w:r>
        <w:rPr>
          <w:color w:val="231F20"/>
        </w:rPr>
        <w:t>Логічна конструкція складу проступку закріплюється</w:t>
      </w:r>
      <w:r>
        <w:rPr>
          <w:color w:val="231F20"/>
        </w:rPr>
        <w:t xml:space="preserve"> в праві та стає правовою категорією, обов’язковою і такою, що</w:t>
      </w:r>
      <w:r>
        <w:rPr>
          <w:color w:val="231F20"/>
          <w:spacing w:val="-27"/>
        </w:rPr>
        <w:t xml:space="preserve"> </w:t>
      </w:r>
      <w:r>
        <w:rPr>
          <w:color w:val="231F20"/>
        </w:rPr>
        <w:t>забезпечується примусовою силою держави. Перелік ознак, закріплених у складі проступку, є достатньою та необхідною умовою для кваліфікації діяння.</w:t>
      </w:r>
      <w:r>
        <w:rPr>
          <w:color w:val="231F20"/>
          <w:spacing w:val="-15"/>
        </w:rPr>
        <w:t xml:space="preserve"> </w:t>
      </w:r>
      <w:r>
        <w:rPr>
          <w:color w:val="231F20"/>
        </w:rPr>
        <w:t>Це</w:t>
      </w:r>
      <w:r>
        <w:rPr>
          <w:color w:val="231F20"/>
          <w:spacing w:val="-15"/>
        </w:rPr>
        <w:t xml:space="preserve"> </w:t>
      </w:r>
      <w:r>
        <w:rPr>
          <w:color w:val="231F20"/>
        </w:rPr>
        <w:t>означає,</w:t>
      </w:r>
      <w:r>
        <w:rPr>
          <w:color w:val="231F20"/>
          <w:spacing w:val="-15"/>
        </w:rPr>
        <w:t xml:space="preserve"> </w:t>
      </w:r>
      <w:r>
        <w:rPr>
          <w:color w:val="231F20"/>
        </w:rPr>
        <w:t>що</w:t>
      </w:r>
      <w:r>
        <w:rPr>
          <w:color w:val="231F20"/>
          <w:spacing w:val="-15"/>
        </w:rPr>
        <w:t xml:space="preserve"> </w:t>
      </w:r>
      <w:r>
        <w:rPr>
          <w:color w:val="231F20"/>
        </w:rPr>
        <w:t>діяння</w:t>
      </w:r>
      <w:r>
        <w:rPr>
          <w:color w:val="231F20"/>
          <w:spacing w:val="-15"/>
        </w:rPr>
        <w:t xml:space="preserve"> </w:t>
      </w:r>
      <w:r>
        <w:rPr>
          <w:color w:val="231F20"/>
        </w:rPr>
        <w:t>тільки</w:t>
      </w:r>
      <w:r>
        <w:rPr>
          <w:color w:val="231F20"/>
          <w:spacing w:val="-15"/>
        </w:rPr>
        <w:t xml:space="preserve"> </w:t>
      </w:r>
      <w:r>
        <w:rPr>
          <w:color w:val="231F20"/>
        </w:rPr>
        <w:t>тоді</w:t>
      </w:r>
      <w:r>
        <w:rPr>
          <w:color w:val="231F20"/>
          <w:spacing w:val="-15"/>
        </w:rPr>
        <w:t xml:space="preserve"> </w:t>
      </w:r>
      <w:r>
        <w:rPr>
          <w:color w:val="231F20"/>
        </w:rPr>
        <w:t>визнаються</w:t>
      </w:r>
      <w:r>
        <w:rPr>
          <w:color w:val="231F20"/>
          <w:spacing w:val="-15"/>
        </w:rPr>
        <w:t xml:space="preserve"> </w:t>
      </w:r>
      <w:r>
        <w:rPr>
          <w:color w:val="231F20"/>
        </w:rPr>
        <w:t>а</w:t>
      </w:r>
      <w:r>
        <w:rPr>
          <w:color w:val="231F20"/>
        </w:rPr>
        <w:t xml:space="preserve">дміністратив- ним проступком, коли містить всі ознаки його </w:t>
      </w:r>
      <w:r>
        <w:rPr>
          <w:color w:val="231F20"/>
          <w:spacing w:val="-3"/>
        </w:rPr>
        <w:t xml:space="preserve">складу, </w:t>
      </w:r>
      <w:r>
        <w:rPr>
          <w:color w:val="231F20"/>
        </w:rPr>
        <w:t xml:space="preserve">і відсутність хоча б однієї з них означає відсутність складу взагалі. З іншого </w:t>
      </w:r>
      <w:r>
        <w:rPr>
          <w:color w:val="231F20"/>
          <w:spacing w:val="-5"/>
        </w:rPr>
        <w:t xml:space="preserve">боку, </w:t>
      </w:r>
      <w:r>
        <w:rPr>
          <w:color w:val="231F20"/>
        </w:rPr>
        <w:t>для кваліфікації діяння як адміністративного проступку достатньо, коли</w:t>
      </w:r>
      <w:r>
        <w:rPr>
          <w:color w:val="231F20"/>
          <w:spacing w:val="-11"/>
        </w:rPr>
        <w:t xml:space="preserve"> </w:t>
      </w:r>
      <w:r>
        <w:rPr>
          <w:color w:val="231F20"/>
        </w:rPr>
        <w:t>в</w:t>
      </w:r>
      <w:r>
        <w:rPr>
          <w:color w:val="231F20"/>
          <w:spacing w:val="-11"/>
        </w:rPr>
        <w:t xml:space="preserve"> </w:t>
      </w:r>
      <w:r>
        <w:rPr>
          <w:color w:val="231F20"/>
        </w:rPr>
        <w:t>ньому</w:t>
      </w:r>
      <w:r>
        <w:rPr>
          <w:color w:val="231F20"/>
          <w:spacing w:val="-11"/>
        </w:rPr>
        <w:t xml:space="preserve"> </w:t>
      </w:r>
      <w:r>
        <w:rPr>
          <w:color w:val="231F20"/>
        </w:rPr>
        <w:t>мають</w:t>
      </w:r>
      <w:r>
        <w:rPr>
          <w:color w:val="231F20"/>
          <w:spacing w:val="-11"/>
        </w:rPr>
        <w:t xml:space="preserve"> </w:t>
      </w:r>
      <w:r>
        <w:rPr>
          <w:color w:val="231F20"/>
        </w:rPr>
        <w:t>місце</w:t>
      </w:r>
      <w:r>
        <w:rPr>
          <w:color w:val="231F20"/>
          <w:spacing w:val="-11"/>
        </w:rPr>
        <w:t xml:space="preserve"> </w:t>
      </w:r>
      <w:r>
        <w:rPr>
          <w:color w:val="231F20"/>
        </w:rPr>
        <w:t>всі</w:t>
      </w:r>
      <w:r>
        <w:rPr>
          <w:color w:val="231F20"/>
          <w:spacing w:val="-11"/>
        </w:rPr>
        <w:t xml:space="preserve"> </w:t>
      </w:r>
      <w:r>
        <w:rPr>
          <w:color w:val="231F20"/>
        </w:rPr>
        <w:t>ознаки,</w:t>
      </w:r>
      <w:r>
        <w:rPr>
          <w:color w:val="231F20"/>
          <w:spacing w:val="-11"/>
        </w:rPr>
        <w:t xml:space="preserve"> </w:t>
      </w:r>
      <w:r>
        <w:rPr>
          <w:color w:val="231F20"/>
        </w:rPr>
        <w:t>щ</w:t>
      </w:r>
      <w:r>
        <w:rPr>
          <w:color w:val="231F20"/>
        </w:rPr>
        <w:t>о</w:t>
      </w:r>
      <w:r>
        <w:rPr>
          <w:color w:val="231F20"/>
          <w:spacing w:val="-11"/>
        </w:rPr>
        <w:t xml:space="preserve"> </w:t>
      </w:r>
      <w:r>
        <w:rPr>
          <w:color w:val="231F20"/>
        </w:rPr>
        <w:t>входять</w:t>
      </w:r>
      <w:r>
        <w:rPr>
          <w:color w:val="231F20"/>
          <w:spacing w:val="-11"/>
        </w:rPr>
        <w:t xml:space="preserve"> </w:t>
      </w:r>
      <w:r>
        <w:rPr>
          <w:color w:val="231F20"/>
        </w:rPr>
        <w:t>до</w:t>
      </w:r>
      <w:r>
        <w:rPr>
          <w:color w:val="231F20"/>
          <w:spacing w:val="-11"/>
        </w:rPr>
        <w:t xml:space="preserve"> </w:t>
      </w:r>
      <w:r>
        <w:rPr>
          <w:color w:val="231F20"/>
        </w:rPr>
        <w:t>його</w:t>
      </w:r>
      <w:r>
        <w:rPr>
          <w:color w:val="231F20"/>
          <w:spacing w:val="-11"/>
        </w:rPr>
        <w:t xml:space="preserve"> </w:t>
      </w:r>
      <w:r>
        <w:rPr>
          <w:color w:val="231F20"/>
          <w:spacing w:val="-3"/>
        </w:rPr>
        <w:t>складу,</w:t>
      </w:r>
      <w:r>
        <w:rPr>
          <w:color w:val="231F20"/>
          <w:spacing w:val="-11"/>
        </w:rPr>
        <w:t xml:space="preserve"> </w:t>
      </w:r>
      <w:r>
        <w:rPr>
          <w:color w:val="231F20"/>
        </w:rPr>
        <w:t>інші ознаки на кваліфікацію не мають</w:t>
      </w:r>
      <w:r>
        <w:rPr>
          <w:color w:val="231F20"/>
          <w:spacing w:val="-3"/>
        </w:rPr>
        <w:t xml:space="preserve"> впливу.</w:t>
      </w:r>
    </w:p>
    <w:p w14:paraId="6C442229" w14:textId="77777777" w:rsidR="00DE575E" w:rsidRDefault="00DE575E">
      <w:pPr>
        <w:pStyle w:val="BodyText"/>
        <w:rPr>
          <w:sz w:val="24"/>
        </w:rPr>
      </w:pPr>
    </w:p>
    <w:p w14:paraId="0CDF62A1" w14:textId="77777777" w:rsidR="00DE575E" w:rsidRDefault="00DE575E">
      <w:pPr>
        <w:pStyle w:val="BodyText"/>
        <w:spacing w:before="8"/>
        <w:rPr>
          <w:sz w:val="19"/>
        </w:rPr>
      </w:pPr>
    </w:p>
    <w:p w14:paraId="70D764F8" w14:textId="77777777" w:rsidR="00DE575E" w:rsidRDefault="002E7560">
      <w:pPr>
        <w:pStyle w:val="Heading4"/>
        <w:numPr>
          <w:ilvl w:val="1"/>
          <w:numId w:val="24"/>
        </w:numPr>
        <w:tabs>
          <w:tab w:val="left" w:pos="2369"/>
        </w:tabs>
        <w:ind w:right="1724" w:firstLine="396"/>
        <w:jc w:val="left"/>
      </w:pPr>
      <w:r>
        <w:rPr>
          <w:color w:val="231F20"/>
        </w:rPr>
        <w:t>Види юридичних складів адміністративного</w:t>
      </w:r>
      <w:r>
        <w:rPr>
          <w:color w:val="231F20"/>
          <w:spacing w:val="-19"/>
        </w:rPr>
        <w:t xml:space="preserve"> </w:t>
      </w:r>
      <w:r>
        <w:rPr>
          <w:color w:val="231F20"/>
        </w:rPr>
        <w:t>правопорушення</w:t>
      </w:r>
    </w:p>
    <w:p w14:paraId="12497DED" w14:textId="77777777" w:rsidR="00DE575E" w:rsidRDefault="00DE575E">
      <w:pPr>
        <w:pStyle w:val="BodyText"/>
        <w:rPr>
          <w:b/>
          <w:sz w:val="26"/>
        </w:rPr>
      </w:pPr>
    </w:p>
    <w:p w14:paraId="28709C14" w14:textId="77777777" w:rsidR="00DE575E" w:rsidRDefault="002E7560">
      <w:pPr>
        <w:spacing w:before="224" w:line="252" w:lineRule="auto"/>
        <w:ind w:left="250" w:right="411" w:firstLine="283"/>
        <w:jc w:val="both"/>
        <w:rPr>
          <w:sz w:val="21"/>
        </w:rPr>
      </w:pPr>
      <w:r>
        <w:rPr>
          <w:b/>
          <w:i/>
          <w:color w:val="231F20"/>
          <w:sz w:val="21"/>
        </w:rPr>
        <w:t xml:space="preserve">Склади адміністративних правопорушень </w:t>
      </w:r>
      <w:r>
        <w:rPr>
          <w:color w:val="231F20"/>
          <w:sz w:val="21"/>
        </w:rPr>
        <w:t>поділяються залежно від:</w:t>
      </w:r>
    </w:p>
    <w:p w14:paraId="032080D6" w14:textId="77777777" w:rsidR="00DE575E" w:rsidRDefault="002E7560">
      <w:pPr>
        <w:pStyle w:val="ListParagraph"/>
        <w:numPr>
          <w:ilvl w:val="0"/>
          <w:numId w:val="19"/>
        </w:numPr>
        <w:tabs>
          <w:tab w:val="left" w:pos="818"/>
        </w:tabs>
        <w:rPr>
          <w:sz w:val="21"/>
        </w:rPr>
      </w:pPr>
      <w:r>
        <w:rPr>
          <w:color w:val="231F20"/>
          <w:sz w:val="21"/>
        </w:rPr>
        <w:t>ступеня суспільної небезпеки – на основні і</w:t>
      </w:r>
      <w:r>
        <w:rPr>
          <w:color w:val="231F20"/>
          <w:spacing w:val="-9"/>
          <w:sz w:val="21"/>
        </w:rPr>
        <w:t xml:space="preserve"> </w:t>
      </w:r>
      <w:r>
        <w:rPr>
          <w:color w:val="231F20"/>
          <w:sz w:val="21"/>
        </w:rPr>
        <w:t>кваліфіковані;</w:t>
      </w:r>
    </w:p>
    <w:p w14:paraId="10FB55DB" w14:textId="77777777" w:rsidR="00DE575E" w:rsidRDefault="002E7560">
      <w:pPr>
        <w:pStyle w:val="ListParagraph"/>
        <w:numPr>
          <w:ilvl w:val="0"/>
          <w:numId w:val="19"/>
        </w:numPr>
        <w:tabs>
          <w:tab w:val="left" w:pos="818"/>
        </w:tabs>
        <w:spacing w:before="13"/>
        <w:rPr>
          <w:sz w:val="21"/>
        </w:rPr>
      </w:pPr>
      <w:r>
        <w:rPr>
          <w:color w:val="231F20"/>
          <w:sz w:val="21"/>
        </w:rPr>
        <w:t>характеру шкоди – на матеріальні і</w:t>
      </w:r>
      <w:r>
        <w:rPr>
          <w:color w:val="231F20"/>
          <w:spacing w:val="-8"/>
          <w:sz w:val="21"/>
        </w:rPr>
        <w:t xml:space="preserve"> </w:t>
      </w:r>
      <w:r>
        <w:rPr>
          <w:color w:val="231F20"/>
          <w:sz w:val="21"/>
        </w:rPr>
        <w:t>формальні;</w:t>
      </w:r>
    </w:p>
    <w:p w14:paraId="15196A4F" w14:textId="77777777" w:rsidR="00DE575E" w:rsidRDefault="002E7560">
      <w:pPr>
        <w:pStyle w:val="ListParagraph"/>
        <w:numPr>
          <w:ilvl w:val="0"/>
          <w:numId w:val="19"/>
        </w:numPr>
        <w:tabs>
          <w:tab w:val="left" w:pos="818"/>
        </w:tabs>
        <w:spacing w:before="12"/>
        <w:rPr>
          <w:sz w:val="21"/>
        </w:rPr>
      </w:pPr>
      <w:r>
        <w:rPr>
          <w:color w:val="231F20"/>
          <w:spacing w:val="-3"/>
          <w:sz w:val="21"/>
        </w:rPr>
        <w:t xml:space="preserve">суб’єкта </w:t>
      </w:r>
      <w:r>
        <w:rPr>
          <w:color w:val="231F20"/>
          <w:sz w:val="21"/>
        </w:rPr>
        <w:t>проступку – на особисті і службові</w:t>
      </w:r>
      <w:r>
        <w:rPr>
          <w:color w:val="231F20"/>
          <w:spacing w:val="-1"/>
          <w:sz w:val="21"/>
        </w:rPr>
        <w:t xml:space="preserve"> </w:t>
      </w:r>
      <w:r>
        <w:rPr>
          <w:color w:val="231F20"/>
          <w:sz w:val="21"/>
        </w:rPr>
        <w:t>(посадові);</w:t>
      </w:r>
    </w:p>
    <w:p w14:paraId="0B102894" w14:textId="77777777" w:rsidR="00DE575E" w:rsidRDefault="00DE575E">
      <w:pPr>
        <w:pStyle w:val="BodyText"/>
        <w:spacing w:before="8"/>
        <w:rPr>
          <w:sz w:val="13"/>
        </w:rPr>
      </w:pPr>
    </w:p>
    <w:p w14:paraId="05F15B02" w14:textId="77777777" w:rsidR="00DE575E" w:rsidRDefault="002E7560">
      <w:pPr>
        <w:spacing w:before="91"/>
        <w:ind w:right="411"/>
        <w:jc w:val="right"/>
        <w:rPr>
          <w:rFonts w:ascii="Times New Roman"/>
          <w:sz w:val="20"/>
        </w:rPr>
      </w:pPr>
      <w:r>
        <w:rPr>
          <w:rFonts w:ascii="Times New Roman"/>
          <w:color w:val="231F20"/>
          <w:w w:val="90"/>
          <w:sz w:val="20"/>
        </w:rPr>
        <w:t>497</w:t>
      </w:r>
    </w:p>
    <w:p w14:paraId="173D19C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E125D5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1933349" w14:textId="5C160ED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D101243" wp14:editId="3C9C87E4">
                <wp:extent cx="4140200" cy="6350"/>
                <wp:effectExtent l="0" t="0" r="12700" b="6350"/>
                <wp:docPr id="17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72" name="Line 1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126EC" id="Group_x0020_1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YxUQZX4CAACYBQAADgAA&#10;AAAAAAAAAAAAAAAsAgAAZHJzL2Uyb0RvYy54bWxQSwECLQAUAAYACAAAACEATKewkNkAAAADAQAA&#10;DwAAAAAAAAAAAAAAAADWBAAAZHJzL2Rvd25yZXYueG1sUEsFBgAAAAAEAAQA8wAAANwFAAAAAA==&#10;">
                <v:line id="Line_x0020_1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wB5MMAAADcAAAADwAAAGRycy9kb3ducmV2LnhtbERP22rCQBB9L/gPyxT6InWjgpboKiIU&#10;Sh+8xQ8Ys2MSujsbs6uJfn23IPRtDuc682VnjbhR4yvHCoaDBARx7nTFhYJj9vn+AcIHZI3GMSm4&#10;k4flovcyx1S7lvd0O4RCxBD2KSooQ6hTKX1ekkU/cDVx5M6usRgibAqpG2xjuDVylCQTabHi2FBi&#10;TeuS8p/D1SrILv1gdttv02bb01ieLpvx47pR6u21W81ABOrCv/jp/tJx/nQEf8/EC+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AcAeTDAAAA3AAAAA8AAAAAAAAAAAAA&#10;AAAAoQIAAGRycy9kb3ducmV2LnhtbFBLBQYAAAAABAAEAPkAAACRAwAAAAA=&#10;" strokecolor="#231f20" strokeweight=".5pt"/>
                <w10:anchorlock/>
              </v:group>
            </w:pict>
          </mc:Fallback>
        </mc:AlternateContent>
      </w:r>
    </w:p>
    <w:p w14:paraId="47235435" w14:textId="77777777" w:rsidR="00DE575E" w:rsidRDefault="00DE575E">
      <w:pPr>
        <w:pStyle w:val="BodyText"/>
        <w:spacing w:before="7"/>
        <w:rPr>
          <w:rFonts w:ascii="AdonisC"/>
          <w:i/>
          <w:sz w:val="11"/>
        </w:rPr>
      </w:pPr>
    </w:p>
    <w:p w14:paraId="3162432E" w14:textId="77777777" w:rsidR="00DE575E" w:rsidRDefault="002E7560">
      <w:pPr>
        <w:pStyle w:val="ListParagraph"/>
        <w:numPr>
          <w:ilvl w:val="0"/>
          <w:numId w:val="23"/>
        </w:numPr>
        <w:tabs>
          <w:tab w:val="left" w:pos="1101"/>
        </w:tabs>
        <w:spacing w:before="101"/>
        <w:ind w:left="1100" w:hanging="283"/>
        <w:jc w:val="left"/>
        <w:rPr>
          <w:sz w:val="21"/>
        </w:rPr>
      </w:pPr>
      <w:r>
        <w:rPr>
          <w:color w:val="231F20"/>
          <w:sz w:val="21"/>
        </w:rPr>
        <w:t>структури – на однозначні й</w:t>
      </w:r>
      <w:r>
        <w:rPr>
          <w:color w:val="231F20"/>
          <w:spacing w:val="-6"/>
          <w:sz w:val="21"/>
        </w:rPr>
        <w:t xml:space="preserve"> </w:t>
      </w:r>
      <w:r>
        <w:rPr>
          <w:color w:val="231F20"/>
          <w:sz w:val="21"/>
        </w:rPr>
        <w:t>альтернативні;</w:t>
      </w:r>
    </w:p>
    <w:p w14:paraId="21B811F5" w14:textId="77777777" w:rsidR="00DE575E" w:rsidRDefault="002E7560">
      <w:pPr>
        <w:pStyle w:val="ListParagraph"/>
        <w:numPr>
          <w:ilvl w:val="0"/>
          <w:numId w:val="23"/>
        </w:numPr>
        <w:tabs>
          <w:tab w:val="left" w:pos="1101"/>
        </w:tabs>
        <w:spacing w:before="12"/>
        <w:ind w:left="1100" w:hanging="283"/>
        <w:jc w:val="left"/>
        <w:rPr>
          <w:sz w:val="21"/>
        </w:rPr>
      </w:pPr>
      <w:r>
        <w:rPr>
          <w:color w:val="231F20"/>
          <w:sz w:val="21"/>
        </w:rPr>
        <w:t>особливості конструкції – на описові і бланкетні</w:t>
      </w:r>
      <w:r>
        <w:rPr>
          <w:color w:val="231F20"/>
          <w:spacing w:val="-10"/>
          <w:sz w:val="21"/>
        </w:rPr>
        <w:t xml:space="preserve"> </w:t>
      </w:r>
      <w:r>
        <w:rPr>
          <w:color w:val="231F20"/>
          <w:sz w:val="21"/>
        </w:rPr>
        <w:t>(відсильні).</w:t>
      </w:r>
    </w:p>
    <w:p w14:paraId="2D959A1B" w14:textId="77777777" w:rsidR="00DE575E" w:rsidRDefault="002E7560">
      <w:pPr>
        <w:pStyle w:val="ListParagraph"/>
        <w:numPr>
          <w:ilvl w:val="0"/>
          <w:numId w:val="18"/>
        </w:numPr>
        <w:tabs>
          <w:tab w:val="left" w:pos="1101"/>
        </w:tabs>
        <w:spacing w:before="13" w:line="252" w:lineRule="auto"/>
        <w:ind w:right="128" w:firstLine="284"/>
        <w:rPr>
          <w:sz w:val="21"/>
        </w:rPr>
      </w:pPr>
      <w:r>
        <w:rPr>
          <w:b/>
          <w:color w:val="231F20"/>
          <w:sz w:val="21"/>
        </w:rPr>
        <w:t xml:space="preserve">Основні і кваліфікаційні склади. </w:t>
      </w:r>
      <w:r>
        <w:rPr>
          <w:color w:val="231F20"/>
          <w:sz w:val="21"/>
        </w:rPr>
        <w:t>Основні – такі, що мають місце</w:t>
      </w:r>
      <w:r>
        <w:rPr>
          <w:color w:val="231F20"/>
          <w:spacing w:val="-6"/>
          <w:sz w:val="21"/>
        </w:rPr>
        <w:t xml:space="preserve"> </w:t>
      </w:r>
      <w:r>
        <w:rPr>
          <w:color w:val="231F20"/>
          <w:sz w:val="21"/>
        </w:rPr>
        <w:t>в</w:t>
      </w:r>
      <w:r>
        <w:rPr>
          <w:color w:val="231F20"/>
          <w:spacing w:val="-6"/>
          <w:sz w:val="21"/>
        </w:rPr>
        <w:t xml:space="preserve"> </w:t>
      </w:r>
      <w:r>
        <w:rPr>
          <w:color w:val="231F20"/>
          <w:sz w:val="21"/>
        </w:rPr>
        <w:t>кожному</w:t>
      </w:r>
      <w:r>
        <w:rPr>
          <w:color w:val="231F20"/>
          <w:spacing w:val="-6"/>
          <w:sz w:val="21"/>
        </w:rPr>
        <w:t xml:space="preserve"> </w:t>
      </w:r>
      <w:r>
        <w:rPr>
          <w:color w:val="231F20"/>
          <w:sz w:val="21"/>
        </w:rPr>
        <w:t>випадку</w:t>
      </w:r>
      <w:r>
        <w:rPr>
          <w:color w:val="231F20"/>
          <w:spacing w:val="-6"/>
          <w:sz w:val="21"/>
        </w:rPr>
        <w:t xml:space="preserve"> </w:t>
      </w:r>
      <w:r>
        <w:rPr>
          <w:color w:val="231F20"/>
          <w:sz w:val="21"/>
        </w:rPr>
        <w:t>вчинення</w:t>
      </w:r>
      <w:r>
        <w:rPr>
          <w:color w:val="231F20"/>
          <w:spacing w:val="-6"/>
          <w:sz w:val="21"/>
        </w:rPr>
        <w:t xml:space="preserve"> </w:t>
      </w:r>
      <w:r>
        <w:rPr>
          <w:color w:val="231F20"/>
          <w:sz w:val="21"/>
        </w:rPr>
        <w:t>проступку,</w:t>
      </w:r>
      <w:r>
        <w:rPr>
          <w:color w:val="231F20"/>
          <w:spacing w:val="-6"/>
          <w:sz w:val="21"/>
        </w:rPr>
        <w:t xml:space="preserve"> </w:t>
      </w:r>
      <w:r>
        <w:rPr>
          <w:color w:val="231F20"/>
          <w:sz w:val="21"/>
        </w:rPr>
        <w:t>кваліфікацій</w:t>
      </w:r>
      <w:r>
        <w:rPr>
          <w:color w:val="231F20"/>
          <w:sz w:val="21"/>
        </w:rPr>
        <w:t>ні</w:t>
      </w:r>
      <w:r>
        <w:rPr>
          <w:color w:val="231F20"/>
          <w:spacing w:val="-6"/>
          <w:sz w:val="21"/>
        </w:rPr>
        <w:t xml:space="preserve"> </w:t>
      </w:r>
      <w:r>
        <w:rPr>
          <w:color w:val="231F20"/>
          <w:sz w:val="21"/>
        </w:rPr>
        <w:t>–</w:t>
      </w:r>
      <w:r>
        <w:rPr>
          <w:color w:val="231F20"/>
          <w:spacing w:val="-6"/>
          <w:sz w:val="21"/>
        </w:rPr>
        <w:t xml:space="preserve"> </w:t>
      </w:r>
      <w:r>
        <w:rPr>
          <w:color w:val="231F20"/>
          <w:sz w:val="21"/>
        </w:rPr>
        <w:t>такі, що доповнюють основні. Основні ознаки утворюють так званий основний склад. Якщо потрібно, законодавець доповнює склад кваліфікаційними ознаками, за наявності яких діяння може квалі- фікуватися за статтею, що передбачає суворіше покарання. Склади</w:t>
      </w:r>
      <w:r>
        <w:rPr>
          <w:color w:val="231F20"/>
          <w:sz w:val="21"/>
        </w:rPr>
        <w:t xml:space="preserve"> з такими ознаками називають</w:t>
      </w:r>
      <w:r>
        <w:rPr>
          <w:color w:val="231F20"/>
          <w:spacing w:val="-6"/>
          <w:sz w:val="21"/>
        </w:rPr>
        <w:t xml:space="preserve"> </w:t>
      </w:r>
      <w:r>
        <w:rPr>
          <w:color w:val="231F20"/>
          <w:sz w:val="21"/>
        </w:rPr>
        <w:t>кваліфікаційними.</w:t>
      </w:r>
    </w:p>
    <w:p w14:paraId="5F45B6D4" w14:textId="77777777" w:rsidR="00DE575E" w:rsidRDefault="002E7560">
      <w:pPr>
        <w:pStyle w:val="ListParagraph"/>
        <w:numPr>
          <w:ilvl w:val="0"/>
          <w:numId w:val="18"/>
        </w:numPr>
        <w:tabs>
          <w:tab w:val="left" w:pos="1101"/>
        </w:tabs>
        <w:spacing w:before="4" w:line="252" w:lineRule="auto"/>
        <w:ind w:right="127" w:firstLine="284"/>
        <w:rPr>
          <w:sz w:val="21"/>
        </w:rPr>
      </w:pPr>
      <w:r>
        <w:rPr>
          <w:b/>
          <w:color w:val="231F20"/>
          <w:sz w:val="21"/>
        </w:rPr>
        <w:t xml:space="preserve">Матеріальні і формальні склади. </w:t>
      </w:r>
      <w:r>
        <w:rPr>
          <w:color w:val="231F20"/>
          <w:sz w:val="21"/>
        </w:rPr>
        <w:t xml:space="preserve">До </w:t>
      </w:r>
      <w:r>
        <w:rPr>
          <w:i/>
          <w:color w:val="231F20"/>
          <w:sz w:val="21"/>
        </w:rPr>
        <w:t xml:space="preserve">матеріальних </w:t>
      </w:r>
      <w:r>
        <w:rPr>
          <w:color w:val="231F20"/>
          <w:sz w:val="21"/>
        </w:rPr>
        <w:t>нале- жать склади, у яких: а) міститься така ознака, як настання шкідли- вих матеріальних наслідків антигромадського діяння. Наприклад, пошкодження лісу стічними</w:t>
      </w:r>
      <w:r>
        <w:rPr>
          <w:color w:val="231F20"/>
          <w:sz w:val="21"/>
        </w:rPr>
        <w:t xml:space="preserve"> водами, що спричинило його усихання </w:t>
      </w:r>
      <w:r>
        <w:rPr>
          <w:color w:val="231F20"/>
          <w:spacing w:val="-5"/>
          <w:sz w:val="21"/>
        </w:rPr>
        <w:t xml:space="preserve">(ст. </w:t>
      </w:r>
      <w:r>
        <w:rPr>
          <w:color w:val="231F20"/>
          <w:sz w:val="21"/>
        </w:rPr>
        <w:t xml:space="preserve">72), знищення лісу в </w:t>
      </w:r>
      <w:r>
        <w:rPr>
          <w:color w:val="231F20"/>
          <w:spacing w:val="-3"/>
          <w:sz w:val="21"/>
        </w:rPr>
        <w:t xml:space="preserve">результаті </w:t>
      </w:r>
      <w:r>
        <w:rPr>
          <w:color w:val="231F20"/>
          <w:sz w:val="21"/>
        </w:rPr>
        <w:t xml:space="preserve">підпалу </w:t>
      </w:r>
      <w:r>
        <w:rPr>
          <w:color w:val="231F20"/>
          <w:spacing w:val="-5"/>
          <w:sz w:val="21"/>
        </w:rPr>
        <w:t xml:space="preserve">(ст. </w:t>
      </w:r>
      <w:r>
        <w:rPr>
          <w:color w:val="231F20"/>
          <w:sz w:val="21"/>
        </w:rPr>
        <w:t xml:space="preserve">77), дрібне розкра- дання майна </w:t>
      </w:r>
      <w:r>
        <w:rPr>
          <w:color w:val="231F20"/>
          <w:spacing w:val="-5"/>
          <w:sz w:val="21"/>
        </w:rPr>
        <w:t xml:space="preserve">(ст. </w:t>
      </w:r>
      <w:r>
        <w:rPr>
          <w:color w:val="231F20"/>
          <w:sz w:val="21"/>
        </w:rPr>
        <w:t>51); 6) описується дія, що обов’язково спричиняє шкідливі наслідки, хоч останні законом і не названі: самовільне користування надрам</w:t>
      </w:r>
      <w:r>
        <w:rPr>
          <w:color w:val="231F20"/>
          <w:sz w:val="21"/>
        </w:rPr>
        <w:t xml:space="preserve">и </w:t>
      </w:r>
      <w:r>
        <w:rPr>
          <w:color w:val="231F20"/>
          <w:spacing w:val="-5"/>
          <w:sz w:val="21"/>
        </w:rPr>
        <w:t xml:space="preserve">(ст. </w:t>
      </w:r>
      <w:r>
        <w:rPr>
          <w:color w:val="231F20"/>
          <w:sz w:val="21"/>
        </w:rPr>
        <w:t xml:space="preserve">47); перевищення лімітів використання природних ресурсів </w:t>
      </w:r>
      <w:r>
        <w:rPr>
          <w:color w:val="231F20"/>
          <w:spacing w:val="-5"/>
          <w:sz w:val="21"/>
        </w:rPr>
        <w:t xml:space="preserve">(ст. </w:t>
      </w:r>
      <w:r>
        <w:rPr>
          <w:color w:val="231F20"/>
          <w:sz w:val="21"/>
        </w:rPr>
        <w:t xml:space="preserve">91-2); безгосподарне використання елек- тричної енергії для освітлення </w:t>
      </w:r>
      <w:r>
        <w:rPr>
          <w:color w:val="231F20"/>
          <w:spacing w:val="-5"/>
          <w:sz w:val="21"/>
        </w:rPr>
        <w:t>(ст.</w:t>
      </w:r>
      <w:r>
        <w:rPr>
          <w:color w:val="231F20"/>
          <w:spacing w:val="-10"/>
          <w:sz w:val="21"/>
        </w:rPr>
        <w:t xml:space="preserve"> </w:t>
      </w:r>
      <w:r>
        <w:rPr>
          <w:color w:val="231F20"/>
          <w:sz w:val="21"/>
        </w:rPr>
        <w:t>98).</w:t>
      </w:r>
    </w:p>
    <w:p w14:paraId="1083C5A0" w14:textId="77777777" w:rsidR="00DE575E" w:rsidRDefault="002E7560">
      <w:pPr>
        <w:pStyle w:val="BodyText"/>
        <w:spacing w:before="5" w:line="252" w:lineRule="auto"/>
        <w:ind w:left="533" w:right="121" w:firstLine="283"/>
        <w:jc w:val="both"/>
      </w:pPr>
      <w:r>
        <w:rPr>
          <w:color w:val="231F20"/>
        </w:rPr>
        <w:t xml:space="preserve">До </w:t>
      </w:r>
      <w:r>
        <w:rPr>
          <w:i/>
          <w:color w:val="231F20"/>
          <w:spacing w:val="1"/>
        </w:rPr>
        <w:t xml:space="preserve">формальних </w:t>
      </w:r>
      <w:r>
        <w:rPr>
          <w:color w:val="231F20"/>
          <w:spacing w:val="1"/>
        </w:rPr>
        <w:t xml:space="preserve">(термін умовний) належать </w:t>
      </w:r>
      <w:r>
        <w:rPr>
          <w:color w:val="231F20"/>
          <w:spacing w:val="2"/>
        </w:rPr>
        <w:t xml:space="preserve">склади, </w:t>
      </w:r>
      <w:r>
        <w:rPr>
          <w:color w:val="231F20"/>
        </w:rPr>
        <w:t xml:space="preserve">в </w:t>
      </w:r>
      <w:r>
        <w:rPr>
          <w:color w:val="231F20"/>
          <w:spacing w:val="2"/>
        </w:rPr>
        <w:t xml:space="preserve">яких </w:t>
      </w:r>
      <w:r>
        <w:rPr>
          <w:color w:val="231F20"/>
          <w:spacing w:val="1"/>
        </w:rPr>
        <w:t xml:space="preserve">немає ознаки настання </w:t>
      </w:r>
      <w:r>
        <w:rPr>
          <w:color w:val="231F20"/>
          <w:spacing w:val="2"/>
        </w:rPr>
        <w:t xml:space="preserve">шкідливих </w:t>
      </w:r>
      <w:r>
        <w:rPr>
          <w:color w:val="231F20"/>
          <w:spacing w:val="1"/>
        </w:rPr>
        <w:t xml:space="preserve">матеріальних наслідків. </w:t>
      </w:r>
      <w:r>
        <w:rPr>
          <w:color w:val="231F20"/>
        </w:rPr>
        <w:t xml:space="preserve">Напри- </w:t>
      </w:r>
      <w:r>
        <w:rPr>
          <w:color w:val="231F20"/>
          <w:spacing w:val="2"/>
        </w:rPr>
        <w:t xml:space="preserve">клад, </w:t>
      </w:r>
      <w:r>
        <w:rPr>
          <w:color w:val="231F20"/>
          <w:spacing w:val="1"/>
        </w:rPr>
        <w:t xml:space="preserve">проживання </w:t>
      </w:r>
      <w:r>
        <w:rPr>
          <w:color w:val="231F20"/>
        </w:rPr>
        <w:t xml:space="preserve">за </w:t>
      </w:r>
      <w:r>
        <w:rPr>
          <w:color w:val="231F20"/>
          <w:spacing w:val="1"/>
        </w:rPr>
        <w:t xml:space="preserve">недійсним паспортом </w:t>
      </w:r>
      <w:r>
        <w:rPr>
          <w:color w:val="231F20"/>
        </w:rPr>
        <w:t xml:space="preserve">(ст. </w:t>
      </w:r>
      <w:r>
        <w:rPr>
          <w:color w:val="231F20"/>
          <w:spacing w:val="1"/>
        </w:rPr>
        <w:t xml:space="preserve">197), неявка </w:t>
      </w:r>
      <w:r>
        <w:rPr>
          <w:color w:val="231F20"/>
          <w:spacing w:val="2"/>
        </w:rPr>
        <w:t xml:space="preserve">за </w:t>
      </w:r>
      <w:r>
        <w:rPr>
          <w:color w:val="231F20"/>
          <w:spacing w:val="1"/>
        </w:rPr>
        <w:t xml:space="preserve">викликом </w:t>
      </w:r>
      <w:r>
        <w:rPr>
          <w:color w:val="231F20"/>
        </w:rPr>
        <w:t xml:space="preserve">у </w:t>
      </w:r>
      <w:r>
        <w:rPr>
          <w:color w:val="231F20"/>
          <w:spacing w:val="1"/>
        </w:rPr>
        <w:t xml:space="preserve">військовий комісаріат </w:t>
      </w:r>
      <w:r>
        <w:rPr>
          <w:color w:val="231F20"/>
        </w:rPr>
        <w:t xml:space="preserve">(ст. </w:t>
      </w:r>
      <w:r>
        <w:rPr>
          <w:color w:val="231F20"/>
          <w:spacing w:val="-4"/>
        </w:rPr>
        <w:t xml:space="preserve">ст. </w:t>
      </w:r>
      <w:r>
        <w:rPr>
          <w:color w:val="231F20"/>
          <w:spacing w:val="1"/>
        </w:rPr>
        <w:t xml:space="preserve">210, 211-1), порушення правил в’їзду </w:t>
      </w:r>
      <w:r>
        <w:rPr>
          <w:color w:val="231F20"/>
        </w:rPr>
        <w:t xml:space="preserve">в  </w:t>
      </w:r>
      <w:r>
        <w:rPr>
          <w:color w:val="231F20"/>
          <w:spacing w:val="1"/>
        </w:rPr>
        <w:t xml:space="preserve">прикордонну зону </w:t>
      </w:r>
      <w:r>
        <w:rPr>
          <w:color w:val="231F20"/>
        </w:rPr>
        <w:t xml:space="preserve">(ст. </w:t>
      </w:r>
      <w:r>
        <w:rPr>
          <w:color w:val="231F20"/>
          <w:spacing w:val="1"/>
        </w:rPr>
        <w:t xml:space="preserve">202), прийняття паспорта   </w:t>
      </w:r>
      <w:r>
        <w:rPr>
          <w:color w:val="231F20"/>
        </w:rPr>
        <w:t xml:space="preserve">в </w:t>
      </w:r>
      <w:r>
        <w:rPr>
          <w:color w:val="231F20"/>
          <w:spacing w:val="1"/>
        </w:rPr>
        <w:t xml:space="preserve">заставу </w:t>
      </w:r>
      <w:r>
        <w:rPr>
          <w:color w:val="231F20"/>
        </w:rPr>
        <w:t>(ст.</w:t>
      </w:r>
      <w:r>
        <w:rPr>
          <w:color w:val="231F20"/>
          <w:spacing w:val="17"/>
        </w:rPr>
        <w:t xml:space="preserve"> </w:t>
      </w:r>
      <w:r>
        <w:rPr>
          <w:color w:val="231F20"/>
          <w:spacing w:val="2"/>
        </w:rPr>
        <w:t>201).</w:t>
      </w:r>
    </w:p>
    <w:p w14:paraId="2A41401A" w14:textId="77777777" w:rsidR="00DE575E" w:rsidRDefault="002E7560">
      <w:pPr>
        <w:pStyle w:val="ListParagraph"/>
        <w:numPr>
          <w:ilvl w:val="0"/>
          <w:numId w:val="18"/>
        </w:numPr>
        <w:tabs>
          <w:tab w:val="left" w:pos="1101"/>
        </w:tabs>
        <w:spacing w:before="3" w:line="252" w:lineRule="auto"/>
        <w:ind w:right="125" w:firstLine="284"/>
        <w:rPr>
          <w:sz w:val="21"/>
        </w:rPr>
      </w:pPr>
      <w:r>
        <w:rPr>
          <w:b/>
          <w:color w:val="231F20"/>
          <w:sz w:val="21"/>
        </w:rPr>
        <w:t>Особисті і с</w:t>
      </w:r>
      <w:r>
        <w:rPr>
          <w:b/>
          <w:color w:val="231F20"/>
          <w:sz w:val="21"/>
        </w:rPr>
        <w:t xml:space="preserve">лужбові склади. </w:t>
      </w:r>
      <w:r>
        <w:rPr>
          <w:color w:val="231F20"/>
          <w:sz w:val="21"/>
        </w:rPr>
        <w:t>Склади адміністративних право- порушень</w:t>
      </w:r>
      <w:r>
        <w:rPr>
          <w:color w:val="231F20"/>
          <w:spacing w:val="-8"/>
          <w:sz w:val="21"/>
        </w:rPr>
        <w:t xml:space="preserve"> </w:t>
      </w:r>
      <w:r>
        <w:rPr>
          <w:color w:val="231F20"/>
          <w:sz w:val="21"/>
        </w:rPr>
        <w:t>поділяються</w:t>
      </w:r>
      <w:r>
        <w:rPr>
          <w:color w:val="231F20"/>
          <w:spacing w:val="-8"/>
          <w:sz w:val="21"/>
        </w:rPr>
        <w:t xml:space="preserve"> </w:t>
      </w:r>
      <w:r>
        <w:rPr>
          <w:color w:val="231F20"/>
          <w:sz w:val="21"/>
        </w:rPr>
        <w:t>на</w:t>
      </w:r>
      <w:r>
        <w:rPr>
          <w:color w:val="231F20"/>
          <w:spacing w:val="-8"/>
          <w:sz w:val="21"/>
        </w:rPr>
        <w:t xml:space="preserve"> </w:t>
      </w:r>
      <w:r>
        <w:rPr>
          <w:color w:val="231F20"/>
          <w:sz w:val="21"/>
        </w:rPr>
        <w:t>особисті</w:t>
      </w:r>
      <w:r>
        <w:rPr>
          <w:color w:val="231F20"/>
          <w:spacing w:val="-8"/>
          <w:sz w:val="21"/>
        </w:rPr>
        <w:t xml:space="preserve"> </w:t>
      </w:r>
      <w:r>
        <w:rPr>
          <w:color w:val="231F20"/>
          <w:sz w:val="21"/>
        </w:rPr>
        <w:t>і</w:t>
      </w:r>
      <w:r>
        <w:rPr>
          <w:color w:val="231F20"/>
          <w:spacing w:val="-9"/>
          <w:sz w:val="21"/>
        </w:rPr>
        <w:t xml:space="preserve"> </w:t>
      </w:r>
      <w:r>
        <w:rPr>
          <w:color w:val="231F20"/>
          <w:sz w:val="21"/>
        </w:rPr>
        <w:t>службові</w:t>
      </w:r>
      <w:r>
        <w:rPr>
          <w:color w:val="231F20"/>
          <w:spacing w:val="-8"/>
          <w:sz w:val="21"/>
        </w:rPr>
        <w:t xml:space="preserve"> </w:t>
      </w:r>
      <w:r>
        <w:rPr>
          <w:color w:val="231F20"/>
          <w:sz w:val="21"/>
        </w:rPr>
        <w:t>(посадові)</w:t>
      </w:r>
      <w:r>
        <w:rPr>
          <w:color w:val="231F20"/>
          <w:spacing w:val="-8"/>
          <w:sz w:val="21"/>
        </w:rPr>
        <w:t xml:space="preserve"> </w:t>
      </w:r>
      <w:r>
        <w:rPr>
          <w:color w:val="231F20"/>
          <w:sz w:val="21"/>
        </w:rPr>
        <w:t>залежно</w:t>
      </w:r>
      <w:r>
        <w:rPr>
          <w:color w:val="231F20"/>
          <w:spacing w:val="-8"/>
          <w:sz w:val="21"/>
        </w:rPr>
        <w:t xml:space="preserve"> </w:t>
      </w:r>
      <w:r>
        <w:rPr>
          <w:color w:val="231F20"/>
          <w:sz w:val="21"/>
        </w:rPr>
        <w:t xml:space="preserve">від того, хто є </w:t>
      </w:r>
      <w:r>
        <w:rPr>
          <w:color w:val="231F20"/>
          <w:spacing w:val="-3"/>
          <w:sz w:val="21"/>
        </w:rPr>
        <w:t xml:space="preserve">суб’єктом </w:t>
      </w:r>
      <w:r>
        <w:rPr>
          <w:color w:val="231F20"/>
          <w:sz w:val="21"/>
        </w:rPr>
        <w:t xml:space="preserve">проступку – просто громадянин чи посадова особа </w:t>
      </w:r>
      <w:r>
        <w:rPr>
          <w:color w:val="231F20"/>
          <w:spacing w:val="-5"/>
          <w:sz w:val="21"/>
        </w:rPr>
        <w:t xml:space="preserve">(ст. </w:t>
      </w:r>
      <w:r>
        <w:rPr>
          <w:color w:val="231F20"/>
          <w:spacing w:val="-6"/>
          <w:sz w:val="21"/>
        </w:rPr>
        <w:t xml:space="preserve">ст. </w:t>
      </w:r>
      <w:r>
        <w:rPr>
          <w:color w:val="231F20"/>
          <w:sz w:val="21"/>
        </w:rPr>
        <w:t xml:space="preserve">86, 93, 96, 201). Для посадового проступку характерно, що протиправне діяння має бути вчинене через дію по службі. Поса- дові особи, як зазначено в </w:t>
      </w:r>
      <w:r>
        <w:rPr>
          <w:color w:val="231F20"/>
          <w:spacing w:val="-6"/>
          <w:sz w:val="21"/>
        </w:rPr>
        <w:t xml:space="preserve">ст. </w:t>
      </w:r>
      <w:r>
        <w:rPr>
          <w:color w:val="231F20"/>
          <w:sz w:val="21"/>
        </w:rPr>
        <w:t xml:space="preserve">14 </w:t>
      </w:r>
      <w:r>
        <w:rPr>
          <w:color w:val="231F20"/>
          <w:spacing w:val="-3"/>
          <w:sz w:val="21"/>
        </w:rPr>
        <w:t xml:space="preserve">КУпАП, </w:t>
      </w:r>
      <w:r>
        <w:rPr>
          <w:color w:val="231F20"/>
          <w:sz w:val="21"/>
        </w:rPr>
        <w:t xml:space="preserve">підлягають адміністратив- ній відповідальності за адміністративні правопорушення, пов’язані з </w:t>
      </w:r>
      <w:r>
        <w:rPr>
          <w:color w:val="231F20"/>
          <w:sz w:val="21"/>
        </w:rPr>
        <w:t>недодержанням установлених правил, забезпечення виконання яких входить до їхніх службових</w:t>
      </w:r>
      <w:r>
        <w:rPr>
          <w:color w:val="231F20"/>
          <w:spacing w:val="-5"/>
          <w:sz w:val="21"/>
        </w:rPr>
        <w:t xml:space="preserve"> </w:t>
      </w:r>
      <w:r>
        <w:rPr>
          <w:color w:val="231F20"/>
          <w:sz w:val="21"/>
        </w:rPr>
        <w:t>обов’язків.</w:t>
      </w:r>
    </w:p>
    <w:p w14:paraId="2444E908" w14:textId="77777777" w:rsidR="00DE575E" w:rsidRDefault="002E7560">
      <w:pPr>
        <w:pStyle w:val="ListParagraph"/>
        <w:numPr>
          <w:ilvl w:val="0"/>
          <w:numId w:val="18"/>
        </w:numPr>
        <w:tabs>
          <w:tab w:val="left" w:pos="1101"/>
        </w:tabs>
        <w:spacing w:before="4" w:line="252" w:lineRule="auto"/>
        <w:ind w:right="125" w:firstLine="284"/>
        <w:rPr>
          <w:sz w:val="21"/>
        </w:rPr>
      </w:pPr>
      <w:r>
        <w:rPr>
          <w:b/>
          <w:color w:val="231F20"/>
          <w:sz w:val="21"/>
        </w:rPr>
        <w:t xml:space="preserve">Однозначні й альтернативні склади. </w:t>
      </w:r>
      <w:r>
        <w:rPr>
          <w:color w:val="231F20"/>
          <w:sz w:val="21"/>
        </w:rPr>
        <w:t>Практичне значення має поділ складів на однозначні й альтернативні.</w:t>
      </w:r>
      <w:r>
        <w:rPr>
          <w:color w:val="231F20"/>
          <w:spacing w:val="25"/>
          <w:sz w:val="21"/>
        </w:rPr>
        <w:t xml:space="preserve"> </w:t>
      </w:r>
      <w:r>
        <w:rPr>
          <w:color w:val="231F20"/>
          <w:sz w:val="21"/>
        </w:rPr>
        <w:t xml:space="preserve">Однозначні склади описують ознаки одного діяння в межах однієї статті нормативного акта. Це,  наприклад,  доведення  неповнолітнього  до стану сп’яніння </w:t>
      </w:r>
      <w:r>
        <w:rPr>
          <w:color w:val="231F20"/>
          <w:spacing w:val="-4"/>
          <w:sz w:val="21"/>
        </w:rPr>
        <w:t xml:space="preserve">(ст. </w:t>
      </w:r>
      <w:r>
        <w:rPr>
          <w:color w:val="231F20"/>
          <w:sz w:val="21"/>
        </w:rPr>
        <w:t xml:space="preserve">180), дрібне хуліганство </w:t>
      </w:r>
      <w:r>
        <w:rPr>
          <w:color w:val="231F20"/>
          <w:spacing w:val="-4"/>
          <w:sz w:val="21"/>
        </w:rPr>
        <w:t xml:space="preserve">(ст. </w:t>
      </w:r>
      <w:r>
        <w:rPr>
          <w:color w:val="231F20"/>
          <w:sz w:val="21"/>
        </w:rPr>
        <w:t>173),</w:t>
      </w:r>
      <w:r>
        <w:rPr>
          <w:color w:val="231F20"/>
          <w:spacing w:val="21"/>
          <w:sz w:val="21"/>
        </w:rPr>
        <w:t xml:space="preserve"> </w:t>
      </w:r>
      <w:r>
        <w:rPr>
          <w:color w:val="231F20"/>
          <w:sz w:val="21"/>
        </w:rPr>
        <w:t>заняття</w:t>
      </w:r>
    </w:p>
    <w:p w14:paraId="02ACAB9B" w14:textId="77777777" w:rsidR="00DE575E" w:rsidRDefault="00DE575E">
      <w:pPr>
        <w:pStyle w:val="BodyText"/>
        <w:spacing w:before="7"/>
        <w:rPr>
          <w:sz w:val="12"/>
        </w:rPr>
      </w:pPr>
    </w:p>
    <w:p w14:paraId="354008AA" w14:textId="77777777" w:rsidR="00DE575E" w:rsidRDefault="002E7560">
      <w:pPr>
        <w:spacing w:before="92"/>
        <w:ind w:left="533"/>
        <w:rPr>
          <w:rFonts w:ascii="Times New Roman"/>
          <w:sz w:val="20"/>
        </w:rPr>
      </w:pPr>
      <w:r>
        <w:rPr>
          <w:rFonts w:ascii="Times New Roman"/>
          <w:color w:val="231F20"/>
          <w:sz w:val="20"/>
        </w:rPr>
        <w:t>498</w:t>
      </w:r>
    </w:p>
    <w:p w14:paraId="749933CE" w14:textId="77777777" w:rsidR="00DE575E" w:rsidRDefault="00DE575E">
      <w:pPr>
        <w:rPr>
          <w:rFonts w:ascii="Times New Roman"/>
          <w:sz w:val="20"/>
        </w:rPr>
        <w:sectPr w:rsidR="00DE575E">
          <w:pgSz w:w="8510" w:h="12760"/>
          <w:pgMar w:top="660" w:right="720" w:bottom="280" w:left="600" w:header="720" w:footer="720" w:gutter="0"/>
          <w:cols w:space="720"/>
        </w:sectPr>
      </w:pPr>
    </w:p>
    <w:p w14:paraId="346552B5" w14:textId="77777777" w:rsidR="00DE575E" w:rsidRDefault="002E7560">
      <w:pPr>
        <w:spacing w:before="72" w:line="249" w:lineRule="auto"/>
        <w:ind w:left="1643" w:right="392" w:firstLine="1049"/>
        <w:rPr>
          <w:rFonts w:ascii="AdonisC" w:hAnsi="AdonisC"/>
          <w:i/>
          <w:sz w:val="18"/>
        </w:rPr>
      </w:pPr>
      <w:r>
        <w:rPr>
          <w:rFonts w:ascii="AdonisC" w:hAnsi="AdonisC"/>
          <w:i/>
          <w:color w:val="231F20"/>
          <w:sz w:val="18"/>
        </w:rPr>
        <w:t>Глава ІІ Особливе адміністративне п</w:t>
      </w:r>
      <w:r>
        <w:rPr>
          <w:rFonts w:ascii="AdonisC" w:hAnsi="AdonisC"/>
          <w:i/>
          <w:color w:val="231F20"/>
          <w:sz w:val="18"/>
        </w:rPr>
        <w:t>раво/ Книга ІІ Розділ 3. Юридичний склад адміністративного правопорушення</w:t>
      </w:r>
    </w:p>
    <w:p w14:paraId="2E22C0BF" w14:textId="5FD693F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B1B18F" wp14:editId="2576F660">
                <wp:extent cx="4140200" cy="6350"/>
                <wp:effectExtent l="0" t="0" r="12700" b="6350"/>
                <wp:docPr id="16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70" name="Line 1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500AD" id="Group_x0020_1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DdAP4PgAIAAJgFAAAO&#10;AAAAAAAAAAAAAAAAACwCAABkcnMvZTJvRG9jLnhtbFBLAQItABQABgAIAAAAIQBMp7CQ2QAAAAMB&#10;AAAPAAAAAAAAAAAAAAAAANgEAABkcnMvZG93bnJldi54bWxQSwUGAAAAAAQABADzAAAA3gUAAAAA&#10;">
                <v:line id="Line_x0020_1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I6CMcAAADcAAAADwAAAGRycy9kb3ducmV2LnhtbESPQUvDQBCF74L/YRmhF7GbtqASuy1S&#10;EMRDaxN/wDQ7JsHd2TS7bWJ/fecgeJvhvXnvm+V69E6dqY9tYAOzaQaKuAq25drAV/n28AwqJmSL&#10;LjAZ+KUI69XtzRJzGwbe07lItZIQjjkaaFLqcq1j1ZDHOA0dsWjfofeYZO1rbXscJNw7Pc+yR+2x&#10;ZWlosKNNQ9VPcfIGyuN9cp+7DzeUu8NCH47bxeW0NWZyN76+gEo0pn/z3/W7FfwnwZdnZAK9u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gjoIxwAAANwAAAAPAAAAAAAA&#10;AAAAAAAAAKECAABkcnMvZG93bnJldi54bWxQSwUGAAAAAAQABAD5AAAAlQMAAAAA&#10;" strokecolor="#231f20" strokeweight=".5pt"/>
                <w10:anchorlock/>
              </v:group>
            </w:pict>
          </mc:Fallback>
        </mc:AlternateContent>
      </w:r>
    </w:p>
    <w:p w14:paraId="064934CF" w14:textId="77777777" w:rsidR="00DE575E" w:rsidRDefault="00DE575E">
      <w:pPr>
        <w:pStyle w:val="BodyText"/>
        <w:spacing w:before="7"/>
        <w:rPr>
          <w:rFonts w:ascii="AdonisC"/>
          <w:i/>
          <w:sz w:val="19"/>
        </w:rPr>
      </w:pPr>
    </w:p>
    <w:p w14:paraId="417B9F5F" w14:textId="77777777" w:rsidR="00DE575E" w:rsidRDefault="002E7560">
      <w:pPr>
        <w:pStyle w:val="BodyText"/>
        <w:spacing w:before="1" w:line="252" w:lineRule="auto"/>
        <w:ind w:left="250" w:right="408"/>
        <w:jc w:val="both"/>
      </w:pPr>
      <w:r>
        <w:rPr>
          <w:color w:val="231F20"/>
        </w:rPr>
        <w:t xml:space="preserve">проституцією </w:t>
      </w:r>
      <w:r>
        <w:rPr>
          <w:color w:val="231F20"/>
          <w:spacing w:val="-4"/>
        </w:rPr>
        <w:t xml:space="preserve">(ст. </w:t>
      </w:r>
      <w:r>
        <w:rPr>
          <w:color w:val="231F20"/>
        </w:rPr>
        <w:t xml:space="preserve">181-1), торгівля з рук у невстановлених місцях </w:t>
      </w:r>
      <w:r>
        <w:rPr>
          <w:color w:val="231F20"/>
          <w:spacing w:val="-4"/>
        </w:rPr>
        <w:t xml:space="preserve">(ст. </w:t>
      </w:r>
      <w:r>
        <w:rPr>
          <w:color w:val="231F20"/>
        </w:rPr>
        <w:t xml:space="preserve">160). Альтернативні склади описують кілька дій у межах однієї статті нормативного акта. При цьому проступком уважається вчинення як однієї з описаних дій, так і кількох (або навіть усіх). Наприклад, </w:t>
      </w:r>
      <w:r>
        <w:rPr>
          <w:color w:val="231F20"/>
          <w:spacing w:val="-5"/>
        </w:rPr>
        <w:t xml:space="preserve">ст. </w:t>
      </w:r>
      <w:r>
        <w:rPr>
          <w:color w:val="231F20"/>
        </w:rPr>
        <w:t xml:space="preserve">189 КУпАП установлює відповідальність за пору- шення </w:t>
      </w:r>
      <w:r>
        <w:rPr>
          <w:color w:val="231F20"/>
        </w:rPr>
        <w:t xml:space="preserve">правил відкриття поліграфічних і штемпельних підпри- ємств, придбання, </w:t>
      </w:r>
      <w:r>
        <w:rPr>
          <w:color w:val="231F20"/>
          <w:spacing w:val="-3"/>
        </w:rPr>
        <w:t xml:space="preserve">збут, </w:t>
      </w:r>
      <w:r>
        <w:rPr>
          <w:color w:val="231F20"/>
        </w:rPr>
        <w:t>використання, облік, зберігання розмно- жувальної техніки, шрифтів і матриць  особами,  відповідальними за додержання цих</w:t>
      </w:r>
      <w:r>
        <w:rPr>
          <w:color w:val="231F20"/>
          <w:spacing w:val="12"/>
        </w:rPr>
        <w:t xml:space="preserve"> </w:t>
      </w:r>
      <w:r>
        <w:rPr>
          <w:color w:val="231F20"/>
        </w:rPr>
        <w:t>правил.</w:t>
      </w:r>
    </w:p>
    <w:p w14:paraId="3E9DE5DD" w14:textId="77777777" w:rsidR="00DE575E" w:rsidRDefault="002E7560">
      <w:pPr>
        <w:pStyle w:val="ListParagraph"/>
        <w:numPr>
          <w:ilvl w:val="0"/>
          <w:numId w:val="51"/>
        </w:numPr>
        <w:tabs>
          <w:tab w:val="left" w:pos="818"/>
        </w:tabs>
        <w:spacing w:before="4" w:line="252" w:lineRule="auto"/>
        <w:ind w:right="410" w:firstLine="283"/>
        <w:rPr>
          <w:sz w:val="21"/>
        </w:rPr>
      </w:pPr>
      <w:r>
        <w:rPr>
          <w:b/>
          <w:color w:val="231F20"/>
          <w:sz w:val="21"/>
        </w:rPr>
        <w:t xml:space="preserve">Описові і бланкетні (відсильні). </w:t>
      </w:r>
      <w:r>
        <w:rPr>
          <w:color w:val="231F20"/>
          <w:sz w:val="21"/>
        </w:rPr>
        <w:t>Описові склади ц</w:t>
      </w:r>
      <w:r>
        <w:rPr>
          <w:color w:val="231F20"/>
          <w:sz w:val="21"/>
        </w:rPr>
        <w:t xml:space="preserve">ілком розкривають зміст і сутність діяння, що визнається адміністратив- ним правопорушенням. Наприклад, дрібне хуліганство </w:t>
      </w:r>
      <w:r>
        <w:rPr>
          <w:color w:val="231F20"/>
          <w:spacing w:val="-5"/>
          <w:sz w:val="21"/>
        </w:rPr>
        <w:t xml:space="preserve">(ст. </w:t>
      </w:r>
      <w:r>
        <w:rPr>
          <w:color w:val="231F20"/>
          <w:sz w:val="21"/>
        </w:rPr>
        <w:t>173), розлиття</w:t>
      </w:r>
      <w:r>
        <w:rPr>
          <w:color w:val="231F20"/>
          <w:spacing w:val="-15"/>
          <w:sz w:val="21"/>
        </w:rPr>
        <w:t xml:space="preserve"> </w:t>
      </w:r>
      <w:r>
        <w:rPr>
          <w:color w:val="231F20"/>
          <w:sz w:val="21"/>
        </w:rPr>
        <w:t>спиртних</w:t>
      </w:r>
      <w:r>
        <w:rPr>
          <w:color w:val="231F20"/>
          <w:spacing w:val="-15"/>
          <w:sz w:val="21"/>
        </w:rPr>
        <w:t xml:space="preserve"> </w:t>
      </w:r>
      <w:r>
        <w:rPr>
          <w:color w:val="231F20"/>
          <w:sz w:val="21"/>
        </w:rPr>
        <w:t>напоїв</w:t>
      </w:r>
      <w:r>
        <w:rPr>
          <w:color w:val="231F20"/>
          <w:spacing w:val="-15"/>
          <w:sz w:val="21"/>
        </w:rPr>
        <w:t xml:space="preserve"> </w:t>
      </w:r>
      <w:r>
        <w:rPr>
          <w:color w:val="231F20"/>
          <w:sz w:val="21"/>
        </w:rPr>
        <w:t>на</w:t>
      </w:r>
      <w:r>
        <w:rPr>
          <w:color w:val="231F20"/>
          <w:spacing w:val="-15"/>
          <w:sz w:val="21"/>
        </w:rPr>
        <w:t xml:space="preserve"> </w:t>
      </w:r>
      <w:r>
        <w:rPr>
          <w:color w:val="231F20"/>
          <w:sz w:val="21"/>
        </w:rPr>
        <w:t>виробництві</w:t>
      </w:r>
      <w:r>
        <w:rPr>
          <w:color w:val="231F20"/>
          <w:spacing w:val="-15"/>
          <w:sz w:val="21"/>
        </w:rPr>
        <w:t xml:space="preserve"> </w:t>
      </w:r>
      <w:r>
        <w:rPr>
          <w:color w:val="231F20"/>
          <w:spacing w:val="-5"/>
          <w:sz w:val="21"/>
        </w:rPr>
        <w:t>(ст.</w:t>
      </w:r>
      <w:r>
        <w:rPr>
          <w:color w:val="231F20"/>
          <w:spacing w:val="-8"/>
          <w:sz w:val="21"/>
        </w:rPr>
        <w:t xml:space="preserve"> </w:t>
      </w:r>
      <w:r>
        <w:rPr>
          <w:color w:val="231F20"/>
          <w:sz w:val="21"/>
        </w:rPr>
        <w:t>179),</w:t>
      </w:r>
      <w:r>
        <w:rPr>
          <w:color w:val="231F20"/>
          <w:spacing w:val="-15"/>
          <w:sz w:val="21"/>
        </w:rPr>
        <w:t xml:space="preserve"> </w:t>
      </w:r>
      <w:r>
        <w:rPr>
          <w:color w:val="231F20"/>
          <w:sz w:val="21"/>
        </w:rPr>
        <w:t>завідомо</w:t>
      </w:r>
      <w:r>
        <w:rPr>
          <w:color w:val="231F20"/>
          <w:spacing w:val="-15"/>
          <w:sz w:val="21"/>
        </w:rPr>
        <w:t xml:space="preserve"> </w:t>
      </w:r>
      <w:r>
        <w:rPr>
          <w:color w:val="231F20"/>
          <w:sz w:val="21"/>
        </w:rPr>
        <w:t xml:space="preserve">неправ- дивий виклик спеціальних служб </w:t>
      </w:r>
      <w:r>
        <w:rPr>
          <w:color w:val="231F20"/>
          <w:spacing w:val="-5"/>
          <w:sz w:val="21"/>
        </w:rPr>
        <w:t xml:space="preserve">(ст. </w:t>
      </w:r>
      <w:r>
        <w:rPr>
          <w:color w:val="231F20"/>
          <w:sz w:val="21"/>
        </w:rPr>
        <w:t>183), навмисне псу</w:t>
      </w:r>
      <w:r>
        <w:rPr>
          <w:color w:val="231F20"/>
          <w:sz w:val="21"/>
        </w:rPr>
        <w:t>вання паспорта</w:t>
      </w:r>
      <w:r>
        <w:rPr>
          <w:color w:val="231F20"/>
          <w:spacing w:val="-5"/>
          <w:sz w:val="21"/>
        </w:rPr>
        <w:t xml:space="preserve"> </w:t>
      </w:r>
      <w:r>
        <w:rPr>
          <w:color w:val="231F20"/>
          <w:sz w:val="21"/>
        </w:rPr>
        <w:t>чи</w:t>
      </w:r>
      <w:r>
        <w:rPr>
          <w:color w:val="231F20"/>
          <w:spacing w:val="-5"/>
          <w:sz w:val="21"/>
        </w:rPr>
        <w:t xml:space="preserve"> </w:t>
      </w:r>
      <w:r>
        <w:rPr>
          <w:color w:val="231F20"/>
          <w:sz w:val="21"/>
        </w:rPr>
        <w:t>втрата</w:t>
      </w:r>
      <w:r>
        <w:rPr>
          <w:color w:val="231F20"/>
          <w:spacing w:val="-5"/>
          <w:sz w:val="21"/>
        </w:rPr>
        <w:t xml:space="preserve"> </w:t>
      </w:r>
      <w:r>
        <w:rPr>
          <w:color w:val="231F20"/>
          <w:sz w:val="21"/>
        </w:rPr>
        <w:t>його</w:t>
      </w:r>
      <w:r>
        <w:rPr>
          <w:color w:val="231F20"/>
          <w:spacing w:val="-5"/>
          <w:sz w:val="21"/>
        </w:rPr>
        <w:t xml:space="preserve"> </w:t>
      </w:r>
      <w:r>
        <w:rPr>
          <w:color w:val="231F20"/>
          <w:sz w:val="21"/>
        </w:rPr>
        <w:t>з</w:t>
      </w:r>
      <w:r>
        <w:rPr>
          <w:color w:val="231F20"/>
          <w:spacing w:val="-5"/>
          <w:sz w:val="21"/>
        </w:rPr>
        <w:t xml:space="preserve"> </w:t>
      </w:r>
      <w:r>
        <w:rPr>
          <w:color w:val="231F20"/>
          <w:sz w:val="21"/>
        </w:rPr>
        <w:t>необережності</w:t>
      </w:r>
      <w:r>
        <w:rPr>
          <w:color w:val="231F20"/>
          <w:spacing w:val="-5"/>
          <w:sz w:val="21"/>
        </w:rPr>
        <w:t xml:space="preserve"> (ст.</w:t>
      </w:r>
      <w:r>
        <w:rPr>
          <w:color w:val="231F20"/>
          <w:spacing w:val="-7"/>
          <w:sz w:val="21"/>
        </w:rPr>
        <w:t xml:space="preserve"> </w:t>
      </w:r>
      <w:r>
        <w:rPr>
          <w:color w:val="231F20"/>
          <w:sz w:val="21"/>
        </w:rPr>
        <w:t>198).</w:t>
      </w:r>
      <w:r>
        <w:rPr>
          <w:color w:val="231F20"/>
          <w:spacing w:val="-5"/>
          <w:sz w:val="21"/>
        </w:rPr>
        <w:t xml:space="preserve"> </w:t>
      </w:r>
      <w:r>
        <w:rPr>
          <w:color w:val="231F20"/>
          <w:sz w:val="21"/>
        </w:rPr>
        <w:t>Бланкетні</w:t>
      </w:r>
      <w:r>
        <w:rPr>
          <w:color w:val="231F20"/>
          <w:spacing w:val="-5"/>
          <w:sz w:val="21"/>
        </w:rPr>
        <w:t xml:space="preserve"> </w:t>
      </w:r>
      <w:r>
        <w:rPr>
          <w:color w:val="231F20"/>
          <w:sz w:val="21"/>
        </w:rPr>
        <w:t xml:space="preserve">склади вказують на те, що ознаки проступку містяться в окремо встанов- лених нормах і правилах. Наприклад, порушення правил адмініст- ративного нагляду </w:t>
      </w:r>
      <w:r>
        <w:rPr>
          <w:color w:val="231F20"/>
          <w:spacing w:val="-5"/>
          <w:sz w:val="21"/>
        </w:rPr>
        <w:t xml:space="preserve">(ст. </w:t>
      </w:r>
      <w:r>
        <w:rPr>
          <w:color w:val="231F20"/>
          <w:sz w:val="21"/>
        </w:rPr>
        <w:t xml:space="preserve">187), порушення правил торгівлі </w:t>
      </w:r>
      <w:r>
        <w:rPr>
          <w:color w:val="231F20"/>
          <w:sz w:val="21"/>
        </w:rPr>
        <w:t xml:space="preserve">спирт- ними напоями </w:t>
      </w:r>
      <w:r>
        <w:rPr>
          <w:color w:val="231F20"/>
          <w:spacing w:val="-5"/>
          <w:sz w:val="21"/>
        </w:rPr>
        <w:t xml:space="preserve">(ст. </w:t>
      </w:r>
      <w:r>
        <w:rPr>
          <w:color w:val="231F20"/>
          <w:sz w:val="21"/>
        </w:rPr>
        <w:t xml:space="preserve">156), порушення правил охорони і використання пам’ятників історії і </w:t>
      </w:r>
      <w:r>
        <w:rPr>
          <w:color w:val="231F20"/>
          <w:spacing w:val="-3"/>
          <w:sz w:val="21"/>
        </w:rPr>
        <w:t xml:space="preserve">культури </w:t>
      </w:r>
      <w:r>
        <w:rPr>
          <w:color w:val="231F20"/>
          <w:spacing w:val="-5"/>
          <w:sz w:val="21"/>
        </w:rPr>
        <w:t>(ст.</w:t>
      </w:r>
      <w:r>
        <w:rPr>
          <w:color w:val="231F20"/>
          <w:spacing w:val="-4"/>
          <w:sz w:val="21"/>
        </w:rPr>
        <w:t xml:space="preserve"> </w:t>
      </w:r>
      <w:r>
        <w:rPr>
          <w:color w:val="231F20"/>
          <w:sz w:val="21"/>
        </w:rPr>
        <w:t>92).</w:t>
      </w:r>
    </w:p>
    <w:p w14:paraId="4A882DC5" w14:textId="77777777" w:rsidR="00DE575E" w:rsidRDefault="00DE575E">
      <w:pPr>
        <w:pStyle w:val="BodyText"/>
        <w:rPr>
          <w:sz w:val="24"/>
        </w:rPr>
      </w:pPr>
    </w:p>
    <w:p w14:paraId="6550BA47" w14:textId="77777777" w:rsidR="00DE575E" w:rsidRDefault="00DE575E">
      <w:pPr>
        <w:pStyle w:val="BodyText"/>
        <w:spacing w:before="8"/>
        <w:rPr>
          <w:sz w:val="20"/>
        </w:rPr>
      </w:pPr>
    </w:p>
    <w:p w14:paraId="65071C38" w14:textId="77777777" w:rsidR="00DE575E" w:rsidRDefault="002E7560">
      <w:pPr>
        <w:pStyle w:val="Heading5"/>
        <w:ind w:left="2088"/>
      </w:pPr>
      <w:r>
        <w:rPr>
          <w:color w:val="231F20"/>
        </w:rPr>
        <w:t>Питання для самоконтролю</w:t>
      </w:r>
    </w:p>
    <w:p w14:paraId="5CD275CC" w14:textId="77777777" w:rsidR="00DE575E" w:rsidRDefault="00DE575E">
      <w:pPr>
        <w:pStyle w:val="BodyText"/>
        <w:spacing w:before="2"/>
        <w:rPr>
          <w:b/>
          <w:sz w:val="23"/>
        </w:rPr>
      </w:pPr>
    </w:p>
    <w:p w14:paraId="10FDEAB4" w14:textId="77777777" w:rsidR="00DE575E" w:rsidRDefault="002E7560">
      <w:pPr>
        <w:pStyle w:val="ListParagraph"/>
        <w:numPr>
          <w:ilvl w:val="0"/>
          <w:numId w:val="17"/>
        </w:numPr>
        <w:tabs>
          <w:tab w:val="left" w:pos="818"/>
        </w:tabs>
        <w:spacing w:before="0" w:line="252" w:lineRule="auto"/>
        <w:ind w:right="411" w:firstLine="283"/>
        <w:jc w:val="both"/>
        <w:rPr>
          <w:sz w:val="21"/>
        </w:rPr>
      </w:pPr>
      <w:r>
        <w:rPr>
          <w:color w:val="231F20"/>
          <w:sz w:val="21"/>
        </w:rPr>
        <w:t>Визначте поняття та ознаки складу адміністративного право- порушення.</w:t>
      </w:r>
    </w:p>
    <w:p w14:paraId="7821BBD3" w14:textId="77777777" w:rsidR="00DE575E" w:rsidRDefault="002E7560">
      <w:pPr>
        <w:pStyle w:val="ListParagraph"/>
        <w:numPr>
          <w:ilvl w:val="0"/>
          <w:numId w:val="17"/>
        </w:numPr>
        <w:tabs>
          <w:tab w:val="left" w:pos="818"/>
        </w:tabs>
        <w:spacing w:line="252" w:lineRule="auto"/>
        <w:ind w:right="411" w:firstLine="283"/>
        <w:jc w:val="both"/>
        <w:rPr>
          <w:sz w:val="21"/>
        </w:rPr>
      </w:pPr>
      <w:r>
        <w:rPr>
          <w:color w:val="231F20"/>
          <w:sz w:val="21"/>
        </w:rPr>
        <w:t>Розкрийте</w:t>
      </w:r>
      <w:r>
        <w:rPr>
          <w:color w:val="231F20"/>
          <w:spacing w:val="-9"/>
          <w:sz w:val="21"/>
        </w:rPr>
        <w:t xml:space="preserve"> </w:t>
      </w:r>
      <w:r>
        <w:rPr>
          <w:color w:val="231F20"/>
          <w:sz w:val="21"/>
        </w:rPr>
        <w:t>види</w:t>
      </w:r>
      <w:r>
        <w:rPr>
          <w:color w:val="231F20"/>
          <w:spacing w:val="-9"/>
          <w:sz w:val="21"/>
        </w:rPr>
        <w:t xml:space="preserve"> </w:t>
      </w:r>
      <w:r>
        <w:rPr>
          <w:color w:val="231F20"/>
          <w:sz w:val="21"/>
        </w:rPr>
        <w:t>юридичних</w:t>
      </w:r>
      <w:r>
        <w:rPr>
          <w:color w:val="231F20"/>
          <w:spacing w:val="-9"/>
          <w:sz w:val="21"/>
        </w:rPr>
        <w:t xml:space="preserve"> </w:t>
      </w:r>
      <w:r>
        <w:rPr>
          <w:color w:val="231F20"/>
          <w:sz w:val="21"/>
        </w:rPr>
        <w:t>складів</w:t>
      </w:r>
      <w:r>
        <w:rPr>
          <w:color w:val="231F20"/>
          <w:spacing w:val="-9"/>
          <w:sz w:val="21"/>
        </w:rPr>
        <w:t xml:space="preserve"> </w:t>
      </w:r>
      <w:r>
        <w:rPr>
          <w:color w:val="231F20"/>
          <w:sz w:val="21"/>
        </w:rPr>
        <w:t>адміністративного</w:t>
      </w:r>
      <w:r>
        <w:rPr>
          <w:color w:val="231F20"/>
          <w:spacing w:val="-9"/>
          <w:sz w:val="21"/>
        </w:rPr>
        <w:t xml:space="preserve"> </w:t>
      </w:r>
      <w:r>
        <w:rPr>
          <w:color w:val="231F20"/>
          <w:sz w:val="21"/>
        </w:rPr>
        <w:t>право- порушення.</w:t>
      </w:r>
    </w:p>
    <w:p w14:paraId="412F95F2" w14:textId="77777777" w:rsidR="00DE575E" w:rsidRDefault="002E7560">
      <w:pPr>
        <w:pStyle w:val="ListParagraph"/>
        <w:numPr>
          <w:ilvl w:val="0"/>
          <w:numId w:val="17"/>
        </w:numPr>
        <w:tabs>
          <w:tab w:val="left" w:pos="818"/>
        </w:tabs>
        <w:spacing w:line="252" w:lineRule="auto"/>
        <w:ind w:right="411" w:firstLine="283"/>
        <w:jc w:val="both"/>
        <w:rPr>
          <w:sz w:val="21"/>
        </w:rPr>
      </w:pPr>
      <w:r>
        <w:rPr>
          <w:color w:val="231F20"/>
          <w:sz w:val="21"/>
        </w:rPr>
        <w:t>Визначте зміст елементів структури юридичного складу адмі- ністративного</w:t>
      </w:r>
      <w:r>
        <w:rPr>
          <w:color w:val="231F20"/>
          <w:spacing w:val="-1"/>
          <w:sz w:val="21"/>
        </w:rPr>
        <w:t xml:space="preserve"> </w:t>
      </w:r>
      <w:r>
        <w:rPr>
          <w:color w:val="231F20"/>
          <w:sz w:val="21"/>
        </w:rPr>
        <w:t>правопорушення.</w:t>
      </w:r>
    </w:p>
    <w:p w14:paraId="59984E56" w14:textId="77777777" w:rsidR="00DE575E" w:rsidRDefault="002E7560">
      <w:pPr>
        <w:pStyle w:val="ListParagraph"/>
        <w:numPr>
          <w:ilvl w:val="0"/>
          <w:numId w:val="17"/>
        </w:numPr>
        <w:tabs>
          <w:tab w:val="left" w:pos="818"/>
        </w:tabs>
        <w:spacing w:line="252" w:lineRule="auto"/>
        <w:ind w:right="412" w:firstLine="283"/>
        <w:jc w:val="both"/>
        <w:rPr>
          <w:sz w:val="21"/>
        </w:rPr>
      </w:pPr>
      <w:r>
        <w:rPr>
          <w:color w:val="231F20"/>
          <w:sz w:val="21"/>
        </w:rPr>
        <w:t xml:space="preserve">Розкрийте поняття та види </w:t>
      </w:r>
      <w:r>
        <w:rPr>
          <w:color w:val="231F20"/>
          <w:spacing w:val="-4"/>
          <w:sz w:val="21"/>
        </w:rPr>
        <w:t xml:space="preserve">об’єкту </w:t>
      </w:r>
      <w:r>
        <w:rPr>
          <w:color w:val="231F20"/>
          <w:sz w:val="21"/>
        </w:rPr>
        <w:t>адміністративного проступку.</w:t>
      </w:r>
    </w:p>
    <w:p w14:paraId="430228E3" w14:textId="77777777" w:rsidR="00DE575E" w:rsidRDefault="002E7560">
      <w:pPr>
        <w:pStyle w:val="ListParagraph"/>
        <w:numPr>
          <w:ilvl w:val="0"/>
          <w:numId w:val="17"/>
        </w:numPr>
        <w:tabs>
          <w:tab w:val="left" w:pos="818"/>
        </w:tabs>
        <w:spacing w:line="252" w:lineRule="auto"/>
        <w:ind w:right="411" w:firstLine="283"/>
        <w:jc w:val="both"/>
        <w:rPr>
          <w:sz w:val="21"/>
        </w:rPr>
      </w:pPr>
      <w:r>
        <w:rPr>
          <w:color w:val="231F20"/>
          <w:sz w:val="21"/>
        </w:rPr>
        <w:t xml:space="preserve">Розкрийте поняття та ознаки </w:t>
      </w:r>
      <w:r>
        <w:rPr>
          <w:color w:val="231F20"/>
          <w:spacing w:val="-3"/>
          <w:sz w:val="21"/>
        </w:rPr>
        <w:t xml:space="preserve">об’єктивної </w:t>
      </w:r>
      <w:r>
        <w:rPr>
          <w:color w:val="231F20"/>
          <w:sz w:val="21"/>
        </w:rPr>
        <w:t>сторони адміністра- тивного</w:t>
      </w:r>
      <w:r>
        <w:rPr>
          <w:color w:val="231F20"/>
          <w:spacing w:val="-2"/>
          <w:sz w:val="21"/>
        </w:rPr>
        <w:t xml:space="preserve"> </w:t>
      </w:r>
      <w:r>
        <w:rPr>
          <w:color w:val="231F20"/>
          <w:sz w:val="21"/>
        </w:rPr>
        <w:t>проступку.</w:t>
      </w:r>
    </w:p>
    <w:p w14:paraId="44E758AB" w14:textId="77777777" w:rsidR="00DE575E" w:rsidRDefault="002E7560">
      <w:pPr>
        <w:pStyle w:val="ListParagraph"/>
        <w:numPr>
          <w:ilvl w:val="0"/>
          <w:numId w:val="17"/>
        </w:numPr>
        <w:tabs>
          <w:tab w:val="left" w:pos="818"/>
        </w:tabs>
        <w:spacing w:line="252" w:lineRule="auto"/>
        <w:ind w:right="412" w:firstLine="283"/>
        <w:jc w:val="both"/>
        <w:rPr>
          <w:sz w:val="21"/>
        </w:rPr>
      </w:pPr>
      <w:r>
        <w:rPr>
          <w:color w:val="231F20"/>
          <w:sz w:val="21"/>
        </w:rPr>
        <w:t xml:space="preserve">Розкрийте поняття та види </w:t>
      </w:r>
      <w:r>
        <w:rPr>
          <w:color w:val="231F20"/>
          <w:spacing w:val="-3"/>
          <w:sz w:val="21"/>
        </w:rPr>
        <w:t xml:space="preserve">суб’єкту </w:t>
      </w:r>
      <w:r>
        <w:rPr>
          <w:color w:val="231F20"/>
          <w:sz w:val="21"/>
        </w:rPr>
        <w:t>адміністративного проступку.</w:t>
      </w:r>
    </w:p>
    <w:p w14:paraId="7A41678B" w14:textId="77777777" w:rsidR="00DE575E" w:rsidRDefault="002E7560">
      <w:pPr>
        <w:pStyle w:val="ListParagraph"/>
        <w:numPr>
          <w:ilvl w:val="0"/>
          <w:numId w:val="17"/>
        </w:numPr>
        <w:tabs>
          <w:tab w:val="left" w:pos="818"/>
        </w:tabs>
        <w:spacing w:line="252" w:lineRule="auto"/>
        <w:ind w:right="411" w:firstLine="283"/>
        <w:jc w:val="both"/>
        <w:rPr>
          <w:sz w:val="21"/>
        </w:rPr>
      </w:pPr>
      <w:r>
        <w:rPr>
          <w:color w:val="231F20"/>
          <w:sz w:val="21"/>
        </w:rPr>
        <w:t xml:space="preserve">Розкрийте поняття та ознаки </w:t>
      </w:r>
      <w:r>
        <w:rPr>
          <w:color w:val="231F20"/>
          <w:spacing w:val="-3"/>
          <w:sz w:val="21"/>
        </w:rPr>
        <w:t xml:space="preserve">суб’єктивної </w:t>
      </w:r>
      <w:r>
        <w:rPr>
          <w:color w:val="231F20"/>
          <w:sz w:val="21"/>
        </w:rPr>
        <w:t>сторони адмініст- ративного</w:t>
      </w:r>
      <w:r>
        <w:rPr>
          <w:color w:val="231F20"/>
          <w:spacing w:val="-1"/>
          <w:sz w:val="21"/>
        </w:rPr>
        <w:t xml:space="preserve"> </w:t>
      </w:r>
      <w:r>
        <w:rPr>
          <w:color w:val="231F20"/>
          <w:sz w:val="21"/>
        </w:rPr>
        <w:t>проступку.</w:t>
      </w:r>
    </w:p>
    <w:p w14:paraId="3A2E2E04" w14:textId="77777777" w:rsidR="00DE575E" w:rsidRDefault="00DE575E">
      <w:pPr>
        <w:pStyle w:val="BodyText"/>
        <w:rPr>
          <w:sz w:val="20"/>
        </w:rPr>
      </w:pPr>
    </w:p>
    <w:p w14:paraId="18A8264C" w14:textId="77777777" w:rsidR="00DE575E" w:rsidRDefault="00DE575E">
      <w:pPr>
        <w:pStyle w:val="BodyText"/>
        <w:spacing w:before="4"/>
        <w:rPr>
          <w:sz w:val="22"/>
        </w:rPr>
      </w:pPr>
    </w:p>
    <w:p w14:paraId="05D1F918" w14:textId="77777777" w:rsidR="00DE575E" w:rsidRDefault="002E7560">
      <w:pPr>
        <w:ind w:right="411"/>
        <w:jc w:val="right"/>
        <w:rPr>
          <w:rFonts w:ascii="Times New Roman"/>
          <w:sz w:val="20"/>
        </w:rPr>
      </w:pPr>
      <w:r>
        <w:rPr>
          <w:rFonts w:ascii="Times New Roman"/>
          <w:color w:val="231F20"/>
          <w:w w:val="90"/>
          <w:sz w:val="20"/>
        </w:rPr>
        <w:t>499</w:t>
      </w:r>
    </w:p>
    <w:p w14:paraId="634DCC22"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3A9D19F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7F98B2B" w14:textId="02A0C06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3DCA64" wp14:editId="3AE51D45">
                <wp:extent cx="4140200" cy="6350"/>
                <wp:effectExtent l="0" t="0" r="12700" b="6350"/>
                <wp:docPr id="16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68" name="Line 16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5BC2C" id="Group_x0020_16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N1mo5/AgAAmAUAAA4A&#10;AAAAAAAAAAAAAAAALAIAAGRycy9lMm9Eb2MueG1sUEsBAi0AFAAGAAgAAAAhAEynsJDZAAAAAwEA&#10;AA8AAAAAAAAAAAAAAAAA1wQAAGRycy9kb3ducmV2LnhtbFBLBQYAAAAABAAEAPMAAADdBQAAAAA=&#10;">
                <v:line id="Line_x0020_16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2g08YAAADcAAAADwAAAGRycy9kb3ducmV2LnhtbESPQWvCQBCF70L/wzKFXqRuWkEkdZUi&#10;CKUHraY/YMxOk9Dd2ZhdTeqvdw4FbzO8N+99s1gN3qkLdbEJbOBlkoEiLoNtuDLwXWye56BiQrbo&#10;ApOBP4qwWj6MFpjb0POeLodUKQnhmKOBOqU21zqWNXmMk9ASi/YTOo9J1q7StsNewr3Tr1k20x4b&#10;loYaW1rXVP4ezt5AcRon97X7dH2xO0718bSdXs9bY54eh/c3UImGdDf/X39YwZ8JrTwjE+jl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toNPGAAAA3AAAAA8AAAAAAAAA&#10;AAAAAAAAoQIAAGRycy9kb3ducmV2LnhtbFBLBQYAAAAABAAEAPkAAACUAwAAAAA=&#10;" strokecolor="#231f20" strokeweight=".5pt"/>
                <w10:anchorlock/>
              </v:group>
            </w:pict>
          </mc:Fallback>
        </mc:AlternateContent>
      </w:r>
    </w:p>
    <w:p w14:paraId="7B5CCF2D" w14:textId="77777777" w:rsidR="00DE575E" w:rsidRDefault="00DE575E">
      <w:pPr>
        <w:pStyle w:val="BodyText"/>
        <w:spacing w:before="7"/>
        <w:rPr>
          <w:rFonts w:ascii="AdonisC"/>
          <w:i/>
          <w:sz w:val="11"/>
        </w:rPr>
      </w:pPr>
    </w:p>
    <w:p w14:paraId="3284FA65" w14:textId="77777777" w:rsidR="00DE575E" w:rsidRDefault="002E7560">
      <w:pPr>
        <w:pStyle w:val="Heading5"/>
        <w:spacing w:before="101"/>
        <w:ind w:left="1778"/>
      </w:pPr>
      <w:r>
        <w:rPr>
          <w:color w:val="231F20"/>
        </w:rPr>
        <w:t>Література для поглибленого вивчення</w:t>
      </w:r>
    </w:p>
    <w:p w14:paraId="3286B0B6" w14:textId="77777777" w:rsidR="00DE575E" w:rsidRDefault="00DE575E">
      <w:pPr>
        <w:pStyle w:val="BodyText"/>
        <w:spacing w:before="2"/>
        <w:rPr>
          <w:b/>
          <w:sz w:val="23"/>
        </w:rPr>
      </w:pPr>
    </w:p>
    <w:p w14:paraId="7435FC8C" w14:textId="77777777" w:rsidR="00DE575E" w:rsidRDefault="002E7560">
      <w:pPr>
        <w:pStyle w:val="ListParagraph"/>
        <w:numPr>
          <w:ilvl w:val="0"/>
          <w:numId w:val="16"/>
        </w:numPr>
        <w:tabs>
          <w:tab w:val="left" w:pos="1101"/>
        </w:tabs>
        <w:spacing w:before="0" w:line="252" w:lineRule="auto"/>
        <w:ind w:right="128" w:firstLine="284"/>
        <w:jc w:val="both"/>
        <w:rPr>
          <w:sz w:val="21"/>
        </w:rPr>
      </w:pPr>
      <w:r>
        <w:rPr>
          <w:color w:val="231F20"/>
          <w:sz w:val="21"/>
        </w:rPr>
        <w:t xml:space="preserve">Колпаков В.К. Деліктний феномен в адміністративному праві </w:t>
      </w:r>
      <w:r>
        <w:rPr>
          <w:color w:val="231F20"/>
          <w:spacing w:val="-3"/>
          <w:sz w:val="21"/>
        </w:rPr>
        <w:t xml:space="preserve">України: </w:t>
      </w:r>
      <w:r>
        <w:rPr>
          <w:color w:val="231F20"/>
          <w:sz w:val="21"/>
        </w:rPr>
        <w:t xml:space="preserve">дис… </w:t>
      </w:r>
      <w:r>
        <w:rPr>
          <w:color w:val="231F20"/>
          <w:spacing w:val="-4"/>
          <w:sz w:val="21"/>
        </w:rPr>
        <w:t xml:space="preserve">докт. </w:t>
      </w:r>
      <w:r>
        <w:rPr>
          <w:color w:val="231F20"/>
          <w:sz w:val="21"/>
        </w:rPr>
        <w:t>юрид. наук: 12.00.07 – теорія управління; адмі- ністративне право і процес; фінансове право; інформаційне право. К.: Національна академія внутрішніх прав, 2005. 454</w:t>
      </w:r>
      <w:r>
        <w:rPr>
          <w:color w:val="231F20"/>
          <w:spacing w:val="-7"/>
          <w:sz w:val="21"/>
        </w:rPr>
        <w:t xml:space="preserve"> </w:t>
      </w:r>
      <w:r>
        <w:rPr>
          <w:color w:val="231F20"/>
          <w:sz w:val="21"/>
        </w:rPr>
        <w:t>с.</w:t>
      </w:r>
    </w:p>
    <w:p w14:paraId="56267D2C" w14:textId="77777777" w:rsidR="00DE575E" w:rsidRDefault="002E7560">
      <w:pPr>
        <w:pStyle w:val="ListParagraph"/>
        <w:numPr>
          <w:ilvl w:val="0"/>
          <w:numId w:val="16"/>
        </w:numPr>
        <w:tabs>
          <w:tab w:val="left" w:pos="1101"/>
        </w:tabs>
        <w:spacing w:before="2" w:line="252" w:lineRule="auto"/>
        <w:ind w:right="128" w:firstLine="284"/>
        <w:jc w:val="both"/>
        <w:rPr>
          <w:sz w:val="21"/>
        </w:rPr>
      </w:pPr>
      <w:r>
        <w:rPr>
          <w:color w:val="231F20"/>
          <w:spacing w:val="-3"/>
          <w:sz w:val="21"/>
        </w:rPr>
        <w:t xml:space="preserve">Кодекс  України  </w:t>
      </w:r>
      <w:r>
        <w:rPr>
          <w:color w:val="231F20"/>
          <w:sz w:val="21"/>
        </w:rPr>
        <w:t xml:space="preserve">про   адміністративні   правопорушення   від 7 </w:t>
      </w:r>
      <w:r>
        <w:rPr>
          <w:color w:val="231F20"/>
          <w:spacing w:val="-3"/>
          <w:sz w:val="21"/>
        </w:rPr>
        <w:t xml:space="preserve">грудня </w:t>
      </w:r>
      <w:r>
        <w:rPr>
          <w:color w:val="231F20"/>
          <w:sz w:val="21"/>
        </w:rPr>
        <w:t>1984 року № 8073-</w:t>
      </w:r>
      <w:r>
        <w:rPr>
          <w:color w:val="231F20"/>
          <w:sz w:val="21"/>
        </w:rPr>
        <w:t xml:space="preserve">X. </w:t>
      </w:r>
      <w:r>
        <w:rPr>
          <w:i/>
          <w:color w:val="231F20"/>
          <w:sz w:val="21"/>
        </w:rPr>
        <w:t>Відомості Верховної Ради Української РСР 1984</w:t>
      </w:r>
      <w:r>
        <w:rPr>
          <w:color w:val="231F20"/>
          <w:sz w:val="21"/>
        </w:rPr>
        <w:t>, додаток до № 51.</w:t>
      </w:r>
      <w:r>
        <w:rPr>
          <w:color w:val="231F20"/>
          <w:spacing w:val="-8"/>
          <w:sz w:val="21"/>
        </w:rPr>
        <w:t xml:space="preserve"> </w:t>
      </w:r>
      <w:r>
        <w:rPr>
          <w:color w:val="231F20"/>
          <w:spacing w:val="-3"/>
          <w:sz w:val="21"/>
        </w:rPr>
        <w:t>Ст.1122.</w:t>
      </w:r>
    </w:p>
    <w:p w14:paraId="1D9CD3A2" w14:textId="77777777" w:rsidR="00DE575E" w:rsidRDefault="002E7560">
      <w:pPr>
        <w:pStyle w:val="ListParagraph"/>
        <w:numPr>
          <w:ilvl w:val="0"/>
          <w:numId w:val="16"/>
        </w:numPr>
        <w:tabs>
          <w:tab w:val="left" w:pos="1101"/>
        </w:tabs>
        <w:spacing w:line="252" w:lineRule="auto"/>
        <w:ind w:right="127" w:firstLine="284"/>
        <w:jc w:val="both"/>
        <w:rPr>
          <w:sz w:val="21"/>
        </w:rPr>
      </w:pPr>
      <w:r>
        <w:rPr>
          <w:color w:val="231F20"/>
          <w:sz w:val="21"/>
        </w:rPr>
        <w:t xml:space="preserve">Кузьменко </w:t>
      </w:r>
      <w:r>
        <w:rPr>
          <w:color w:val="231F20"/>
          <w:spacing w:val="-3"/>
          <w:sz w:val="21"/>
        </w:rPr>
        <w:t xml:space="preserve">О.В. </w:t>
      </w:r>
      <w:r>
        <w:rPr>
          <w:color w:val="231F20"/>
          <w:sz w:val="21"/>
        </w:rPr>
        <w:t xml:space="preserve">Курс адміністративного права </w:t>
      </w:r>
      <w:r>
        <w:rPr>
          <w:color w:val="231F20"/>
          <w:spacing w:val="-3"/>
          <w:sz w:val="21"/>
        </w:rPr>
        <w:t xml:space="preserve">України </w:t>
      </w:r>
      <w:r>
        <w:rPr>
          <w:color w:val="231F20"/>
          <w:sz w:val="21"/>
        </w:rPr>
        <w:t xml:space="preserve">: підручник / за </w:t>
      </w:r>
      <w:r>
        <w:rPr>
          <w:color w:val="231F20"/>
          <w:spacing w:val="-5"/>
          <w:sz w:val="21"/>
        </w:rPr>
        <w:t xml:space="preserve">заг. </w:t>
      </w:r>
      <w:r>
        <w:rPr>
          <w:color w:val="231F20"/>
          <w:sz w:val="21"/>
        </w:rPr>
        <w:t xml:space="preserve">ред. Колпакова В.К., Кузьменко </w:t>
      </w:r>
      <w:r>
        <w:rPr>
          <w:color w:val="231F20"/>
          <w:spacing w:val="-3"/>
          <w:sz w:val="21"/>
        </w:rPr>
        <w:t xml:space="preserve">О.В., </w:t>
      </w:r>
      <w:r>
        <w:rPr>
          <w:color w:val="231F20"/>
          <w:sz w:val="21"/>
        </w:rPr>
        <w:t>Пастуха І.Д. К. : Юринком Інтер, 2013. 912</w:t>
      </w:r>
      <w:r>
        <w:rPr>
          <w:color w:val="231F20"/>
          <w:spacing w:val="-1"/>
          <w:sz w:val="21"/>
        </w:rPr>
        <w:t xml:space="preserve"> </w:t>
      </w:r>
      <w:r>
        <w:rPr>
          <w:color w:val="231F20"/>
          <w:sz w:val="21"/>
        </w:rPr>
        <w:t>с.</w:t>
      </w:r>
    </w:p>
    <w:p w14:paraId="246FAEBE" w14:textId="77777777" w:rsidR="00DE575E" w:rsidRDefault="002E7560">
      <w:pPr>
        <w:pStyle w:val="ListParagraph"/>
        <w:numPr>
          <w:ilvl w:val="0"/>
          <w:numId w:val="16"/>
        </w:numPr>
        <w:tabs>
          <w:tab w:val="left" w:pos="1101"/>
        </w:tabs>
        <w:spacing w:before="2" w:line="252" w:lineRule="auto"/>
        <w:ind w:right="130" w:firstLine="284"/>
        <w:jc w:val="both"/>
        <w:rPr>
          <w:sz w:val="21"/>
        </w:rPr>
      </w:pPr>
      <w:r>
        <w:rPr>
          <w:color w:val="231F20"/>
          <w:sz w:val="21"/>
        </w:rPr>
        <w:t xml:space="preserve">Комзюк </w:t>
      </w:r>
      <w:r>
        <w:rPr>
          <w:color w:val="231F20"/>
          <w:spacing w:val="-9"/>
          <w:sz w:val="21"/>
        </w:rPr>
        <w:t xml:space="preserve">А.Т., </w:t>
      </w:r>
      <w:r>
        <w:rPr>
          <w:color w:val="231F20"/>
          <w:sz w:val="21"/>
        </w:rPr>
        <w:t xml:space="preserve">Бевзенко В.М., Мельник </w:t>
      </w:r>
      <w:r>
        <w:rPr>
          <w:color w:val="231F20"/>
          <w:spacing w:val="-9"/>
          <w:sz w:val="21"/>
        </w:rPr>
        <w:t xml:space="preserve">Р.С. </w:t>
      </w:r>
      <w:r>
        <w:rPr>
          <w:color w:val="231F20"/>
          <w:sz w:val="21"/>
        </w:rPr>
        <w:t xml:space="preserve">Адміністративний процес </w:t>
      </w:r>
      <w:r>
        <w:rPr>
          <w:color w:val="231F20"/>
          <w:spacing w:val="-3"/>
          <w:sz w:val="21"/>
        </w:rPr>
        <w:t xml:space="preserve">України </w:t>
      </w:r>
      <w:r>
        <w:rPr>
          <w:color w:val="231F20"/>
          <w:sz w:val="21"/>
        </w:rPr>
        <w:t xml:space="preserve">: навчальний посібник. Київ: </w:t>
      </w:r>
      <w:r>
        <w:rPr>
          <w:color w:val="231F20"/>
          <w:spacing w:val="-3"/>
          <w:sz w:val="21"/>
        </w:rPr>
        <w:t xml:space="preserve">Прецедент, </w:t>
      </w:r>
      <w:r>
        <w:rPr>
          <w:color w:val="231F20"/>
          <w:sz w:val="21"/>
        </w:rPr>
        <w:t>2007. 531</w:t>
      </w:r>
      <w:r>
        <w:rPr>
          <w:color w:val="231F20"/>
          <w:spacing w:val="13"/>
          <w:sz w:val="21"/>
        </w:rPr>
        <w:t xml:space="preserve"> </w:t>
      </w:r>
      <w:r>
        <w:rPr>
          <w:color w:val="231F20"/>
          <w:sz w:val="21"/>
        </w:rPr>
        <w:t>с.</w:t>
      </w:r>
    </w:p>
    <w:p w14:paraId="6B8F6E09" w14:textId="77777777" w:rsidR="00DE575E" w:rsidRDefault="002E7560">
      <w:pPr>
        <w:pStyle w:val="ListParagraph"/>
        <w:numPr>
          <w:ilvl w:val="0"/>
          <w:numId w:val="16"/>
        </w:numPr>
        <w:tabs>
          <w:tab w:val="left" w:pos="1101"/>
        </w:tabs>
        <w:spacing w:line="252" w:lineRule="auto"/>
        <w:ind w:right="128" w:firstLine="284"/>
        <w:jc w:val="both"/>
        <w:rPr>
          <w:sz w:val="21"/>
        </w:rPr>
      </w:pPr>
      <w:r>
        <w:rPr>
          <w:color w:val="231F20"/>
          <w:sz w:val="21"/>
        </w:rPr>
        <w:t xml:space="preserve">Адміністративна відповідальність в </w:t>
      </w:r>
      <w:r>
        <w:rPr>
          <w:color w:val="231F20"/>
          <w:spacing w:val="-3"/>
          <w:sz w:val="21"/>
        </w:rPr>
        <w:t xml:space="preserve">Україні: </w:t>
      </w:r>
      <w:r>
        <w:rPr>
          <w:color w:val="231F20"/>
          <w:sz w:val="21"/>
        </w:rPr>
        <w:t xml:space="preserve">Навчальний посібник / за </w:t>
      </w:r>
      <w:r>
        <w:rPr>
          <w:color w:val="231F20"/>
          <w:spacing w:val="-5"/>
          <w:sz w:val="21"/>
        </w:rPr>
        <w:t xml:space="preserve">заг. </w:t>
      </w:r>
      <w:r>
        <w:rPr>
          <w:color w:val="231F20"/>
          <w:sz w:val="21"/>
        </w:rPr>
        <w:t xml:space="preserve">ред. доц. </w:t>
      </w:r>
      <w:r>
        <w:rPr>
          <w:color w:val="231F20"/>
          <w:spacing w:val="-5"/>
          <w:sz w:val="21"/>
        </w:rPr>
        <w:t xml:space="preserve">А.Т.Комзюка. </w:t>
      </w:r>
      <w:r>
        <w:rPr>
          <w:color w:val="231F20"/>
          <w:sz w:val="21"/>
        </w:rPr>
        <w:t xml:space="preserve">2-е вид., перероб. і доп. Харків : </w:t>
      </w:r>
      <w:r>
        <w:rPr>
          <w:color w:val="231F20"/>
          <w:spacing w:val="-4"/>
          <w:sz w:val="21"/>
        </w:rPr>
        <w:t xml:space="preserve">Ун-т </w:t>
      </w:r>
      <w:r>
        <w:rPr>
          <w:color w:val="231F20"/>
          <w:sz w:val="21"/>
        </w:rPr>
        <w:t>внутр.</w:t>
      </w:r>
      <w:r>
        <w:rPr>
          <w:color w:val="231F20"/>
          <w:sz w:val="21"/>
        </w:rPr>
        <w:t xml:space="preserve"> справ, 2000. 99 с.</w:t>
      </w:r>
    </w:p>
    <w:p w14:paraId="787D4641" w14:textId="77777777" w:rsidR="00DE575E" w:rsidRDefault="00DE575E">
      <w:pPr>
        <w:pStyle w:val="BodyText"/>
        <w:rPr>
          <w:sz w:val="20"/>
        </w:rPr>
      </w:pPr>
    </w:p>
    <w:p w14:paraId="78FD1688" w14:textId="77777777" w:rsidR="00DE575E" w:rsidRDefault="00DE575E">
      <w:pPr>
        <w:pStyle w:val="BodyText"/>
        <w:rPr>
          <w:sz w:val="20"/>
        </w:rPr>
      </w:pPr>
    </w:p>
    <w:p w14:paraId="20566767" w14:textId="77777777" w:rsidR="00DE575E" w:rsidRDefault="00DE575E">
      <w:pPr>
        <w:pStyle w:val="BodyText"/>
        <w:rPr>
          <w:sz w:val="20"/>
        </w:rPr>
      </w:pPr>
    </w:p>
    <w:p w14:paraId="2DC9A7F8" w14:textId="77777777" w:rsidR="00DE575E" w:rsidRDefault="00DE575E">
      <w:pPr>
        <w:pStyle w:val="BodyText"/>
        <w:rPr>
          <w:sz w:val="20"/>
        </w:rPr>
      </w:pPr>
    </w:p>
    <w:p w14:paraId="2C3DAEDC" w14:textId="77777777" w:rsidR="00DE575E" w:rsidRDefault="00DE575E">
      <w:pPr>
        <w:pStyle w:val="BodyText"/>
        <w:rPr>
          <w:sz w:val="20"/>
        </w:rPr>
      </w:pPr>
    </w:p>
    <w:p w14:paraId="5569F8A0" w14:textId="77777777" w:rsidR="00DE575E" w:rsidRDefault="00DE575E">
      <w:pPr>
        <w:pStyle w:val="BodyText"/>
        <w:rPr>
          <w:sz w:val="20"/>
        </w:rPr>
      </w:pPr>
    </w:p>
    <w:p w14:paraId="5D73EFA2" w14:textId="77777777" w:rsidR="00DE575E" w:rsidRDefault="00DE575E">
      <w:pPr>
        <w:pStyle w:val="BodyText"/>
        <w:rPr>
          <w:sz w:val="20"/>
        </w:rPr>
      </w:pPr>
    </w:p>
    <w:p w14:paraId="43BD0E11" w14:textId="77777777" w:rsidR="00DE575E" w:rsidRDefault="00DE575E">
      <w:pPr>
        <w:pStyle w:val="BodyText"/>
        <w:rPr>
          <w:sz w:val="20"/>
        </w:rPr>
      </w:pPr>
    </w:p>
    <w:p w14:paraId="46D17173" w14:textId="77777777" w:rsidR="00DE575E" w:rsidRDefault="00DE575E">
      <w:pPr>
        <w:pStyle w:val="BodyText"/>
        <w:rPr>
          <w:sz w:val="20"/>
        </w:rPr>
      </w:pPr>
    </w:p>
    <w:p w14:paraId="6BFA295C" w14:textId="77777777" w:rsidR="00DE575E" w:rsidRDefault="00DE575E">
      <w:pPr>
        <w:pStyle w:val="BodyText"/>
        <w:rPr>
          <w:sz w:val="20"/>
        </w:rPr>
      </w:pPr>
    </w:p>
    <w:p w14:paraId="77118D6E" w14:textId="77777777" w:rsidR="00DE575E" w:rsidRDefault="00DE575E">
      <w:pPr>
        <w:pStyle w:val="BodyText"/>
        <w:rPr>
          <w:sz w:val="20"/>
        </w:rPr>
      </w:pPr>
    </w:p>
    <w:p w14:paraId="776B9B16" w14:textId="77777777" w:rsidR="00DE575E" w:rsidRDefault="00DE575E">
      <w:pPr>
        <w:pStyle w:val="BodyText"/>
        <w:rPr>
          <w:sz w:val="20"/>
        </w:rPr>
      </w:pPr>
    </w:p>
    <w:p w14:paraId="76298B02" w14:textId="77777777" w:rsidR="00DE575E" w:rsidRDefault="00DE575E">
      <w:pPr>
        <w:pStyle w:val="BodyText"/>
        <w:rPr>
          <w:sz w:val="20"/>
        </w:rPr>
      </w:pPr>
    </w:p>
    <w:p w14:paraId="32C6BAD9" w14:textId="77777777" w:rsidR="00DE575E" w:rsidRDefault="00DE575E">
      <w:pPr>
        <w:pStyle w:val="BodyText"/>
        <w:rPr>
          <w:sz w:val="20"/>
        </w:rPr>
      </w:pPr>
    </w:p>
    <w:p w14:paraId="0CFAD8B3" w14:textId="77777777" w:rsidR="00DE575E" w:rsidRDefault="00DE575E">
      <w:pPr>
        <w:pStyle w:val="BodyText"/>
        <w:rPr>
          <w:sz w:val="20"/>
        </w:rPr>
      </w:pPr>
    </w:p>
    <w:p w14:paraId="0E57F18B" w14:textId="77777777" w:rsidR="00DE575E" w:rsidRDefault="00DE575E">
      <w:pPr>
        <w:pStyle w:val="BodyText"/>
        <w:rPr>
          <w:sz w:val="20"/>
        </w:rPr>
      </w:pPr>
    </w:p>
    <w:p w14:paraId="5EDA22E8" w14:textId="77777777" w:rsidR="00DE575E" w:rsidRDefault="00DE575E">
      <w:pPr>
        <w:pStyle w:val="BodyText"/>
        <w:rPr>
          <w:sz w:val="20"/>
        </w:rPr>
      </w:pPr>
    </w:p>
    <w:p w14:paraId="717A0E12" w14:textId="77777777" w:rsidR="00DE575E" w:rsidRDefault="00DE575E">
      <w:pPr>
        <w:pStyle w:val="BodyText"/>
        <w:rPr>
          <w:sz w:val="20"/>
        </w:rPr>
      </w:pPr>
    </w:p>
    <w:p w14:paraId="727AC90A" w14:textId="77777777" w:rsidR="00DE575E" w:rsidRDefault="00DE575E">
      <w:pPr>
        <w:pStyle w:val="BodyText"/>
        <w:rPr>
          <w:sz w:val="20"/>
        </w:rPr>
      </w:pPr>
    </w:p>
    <w:p w14:paraId="6B7F7240" w14:textId="77777777" w:rsidR="00DE575E" w:rsidRDefault="00DE575E">
      <w:pPr>
        <w:pStyle w:val="BodyText"/>
        <w:rPr>
          <w:sz w:val="20"/>
        </w:rPr>
      </w:pPr>
    </w:p>
    <w:p w14:paraId="134EF791" w14:textId="77777777" w:rsidR="00DE575E" w:rsidRDefault="00DE575E">
      <w:pPr>
        <w:pStyle w:val="BodyText"/>
        <w:rPr>
          <w:sz w:val="20"/>
        </w:rPr>
      </w:pPr>
    </w:p>
    <w:p w14:paraId="577C21F5" w14:textId="77777777" w:rsidR="00DE575E" w:rsidRDefault="00DE575E">
      <w:pPr>
        <w:pStyle w:val="BodyText"/>
        <w:rPr>
          <w:sz w:val="20"/>
        </w:rPr>
      </w:pPr>
    </w:p>
    <w:p w14:paraId="502F9B41" w14:textId="77777777" w:rsidR="00DE575E" w:rsidRDefault="00DE575E">
      <w:pPr>
        <w:pStyle w:val="BodyText"/>
        <w:rPr>
          <w:sz w:val="20"/>
        </w:rPr>
      </w:pPr>
    </w:p>
    <w:p w14:paraId="4D63F1FE" w14:textId="77777777" w:rsidR="00DE575E" w:rsidRDefault="00DE575E">
      <w:pPr>
        <w:pStyle w:val="BodyText"/>
        <w:rPr>
          <w:sz w:val="20"/>
        </w:rPr>
      </w:pPr>
    </w:p>
    <w:p w14:paraId="0E476DE6" w14:textId="77777777" w:rsidR="00DE575E" w:rsidRDefault="00DE575E">
      <w:pPr>
        <w:pStyle w:val="BodyText"/>
        <w:spacing w:before="6"/>
        <w:rPr>
          <w:sz w:val="18"/>
        </w:rPr>
      </w:pPr>
    </w:p>
    <w:p w14:paraId="654FD51D" w14:textId="77777777" w:rsidR="00DE575E" w:rsidRDefault="002E7560">
      <w:pPr>
        <w:spacing w:before="92"/>
        <w:ind w:left="533"/>
        <w:rPr>
          <w:rFonts w:ascii="Times New Roman"/>
          <w:sz w:val="20"/>
        </w:rPr>
      </w:pPr>
      <w:r>
        <w:rPr>
          <w:rFonts w:ascii="Times New Roman"/>
          <w:color w:val="231F20"/>
          <w:sz w:val="20"/>
        </w:rPr>
        <w:t>500</w:t>
      </w:r>
    </w:p>
    <w:p w14:paraId="42AF9B18" w14:textId="77777777" w:rsidR="00DE575E" w:rsidRDefault="00DE575E">
      <w:pPr>
        <w:rPr>
          <w:rFonts w:ascii="Times New Roman"/>
          <w:sz w:val="20"/>
        </w:rPr>
        <w:sectPr w:rsidR="00DE575E">
          <w:pgSz w:w="8510" w:h="12760"/>
          <w:pgMar w:top="660" w:right="720" w:bottom="280" w:left="600" w:header="720" w:footer="720" w:gutter="0"/>
          <w:cols w:space="720"/>
        </w:sectPr>
      </w:pPr>
    </w:p>
    <w:p w14:paraId="65DDAE39" w14:textId="77777777" w:rsidR="00DE575E" w:rsidRDefault="002E7560">
      <w:pPr>
        <w:spacing w:before="72" w:line="249" w:lineRule="auto"/>
        <w:ind w:left="2587" w:right="392" w:firstLine="105"/>
        <w:rPr>
          <w:rFonts w:ascii="AdonisC" w:hAnsi="AdonisC"/>
          <w:i/>
          <w:sz w:val="18"/>
        </w:rPr>
      </w:pPr>
      <w:r>
        <w:rPr>
          <w:rFonts w:ascii="AdonisC" w:hAnsi="AdonisC"/>
          <w:i/>
          <w:color w:val="231F20"/>
          <w:sz w:val="18"/>
        </w:rPr>
        <w:t>Глава ІІ Особливе адміністративне право/ Книга ІІ Розділ 4. Заходи адміністративної відповідальності</w:t>
      </w:r>
    </w:p>
    <w:p w14:paraId="0471BDFE" w14:textId="6B235B7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59A4956" wp14:editId="24B5BD14">
                <wp:extent cx="4140200" cy="6350"/>
                <wp:effectExtent l="0" t="0" r="12700" b="6350"/>
                <wp:docPr id="16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66" name="Line 1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D02DE" id="Group_x0020_1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DQdcB/AgAAmAUAAA4A&#10;AAAAAAAAAAAAAAAALAIAAGRycy9lMm9Eb2MueG1sUEsBAi0AFAAGAAgAAAAhAEynsJDZAAAAAwEA&#10;AA8AAAAAAAAAAAAAAAAA1wQAAGRycy9kb3ducmV2LnhtbFBLBQYAAAAABAAEAPMAAADdBQAAAAA=&#10;">
                <v:line id="Line_x0020_1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ROsMAAADcAAAADwAAAGRycy9kb3ducmV2LnhtbERPzWrCQBC+F3yHZQQvRTdVCCV1lSII&#10;xYNa4wOM2WkSujsbs6uJPr0rFHqbj+935sveGnGl1teOFbxNEhDEhdM1lwqO+Xr8DsIHZI3GMSm4&#10;kYflYvAyx0y7jr/pegiliCHsM1RQhdBkUvqiIot+4hriyP241mKIsC2lbrGL4dbIaZKk0mLNsaHC&#10;hlYVFb+Hi1WQn1+D2e82pst3p5k8nbez+2Wr1GjYf36ACNSHf/Gf+0vH+WkKz2fiBX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r+kTrDAAAA3AAAAA8AAAAAAAAAAAAA&#10;AAAAoQIAAGRycy9kb3ducmV2LnhtbFBLBQYAAAAABAAEAPkAAACRAwAAAAA=&#10;" strokecolor="#231f20" strokeweight=".5pt"/>
                <w10:anchorlock/>
              </v:group>
            </w:pict>
          </mc:Fallback>
        </mc:AlternateContent>
      </w:r>
    </w:p>
    <w:p w14:paraId="1A92615D" w14:textId="77777777" w:rsidR="00DE575E" w:rsidRDefault="00DE575E">
      <w:pPr>
        <w:pStyle w:val="BodyText"/>
        <w:spacing w:before="6"/>
        <w:rPr>
          <w:rFonts w:ascii="AdonisC"/>
          <w:i/>
          <w:sz w:val="18"/>
        </w:rPr>
      </w:pPr>
    </w:p>
    <w:p w14:paraId="7CADE713" w14:textId="77777777" w:rsidR="00DE575E" w:rsidRDefault="002E7560">
      <w:pPr>
        <w:pStyle w:val="Heading2"/>
        <w:spacing w:line="314" w:lineRule="exact"/>
        <w:ind w:left="497" w:right="658"/>
        <w:jc w:val="center"/>
      </w:pPr>
      <w:r>
        <w:rPr>
          <w:color w:val="231F20"/>
        </w:rPr>
        <w:t>Розділ 4</w:t>
      </w:r>
    </w:p>
    <w:p w14:paraId="3686D03E" w14:textId="77777777" w:rsidR="00DE575E" w:rsidRDefault="002E7560">
      <w:pPr>
        <w:spacing w:before="10" w:line="218" w:lineRule="auto"/>
        <w:ind w:left="2145" w:right="1663" w:hanging="559"/>
        <w:rPr>
          <w:b/>
          <w:sz w:val="28"/>
        </w:rPr>
      </w:pPr>
      <w:r>
        <w:rPr>
          <w:b/>
          <w:color w:val="231F20"/>
          <w:sz w:val="28"/>
        </w:rPr>
        <w:t>ЗАХОДИ АДМІНІСТРАТИВНОЇ ВІДПОВІДАЛЬНОСТІ</w:t>
      </w:r>
    </w:p>
    <w:p w14:paraId="6CEFBC9A" w14:textId="77777777" w:rsidR="00DE575E" w:rsidRDefault="00DE575E">
      <w:pPr>
        <w:pStyle w:val="BodyText"/>
        <w:spacing w:before="7"/>
        <w:rPr>
          <w:b/>
          <w:sz w:val="43"/>
        </w:rPr>
      </w:pPr>
    </w:p>
    <w:p w14:paraId="4423573B" w14:textId="77777777" w:rsidR="00DE575E" w:rsidRDefault="002E7560">
      <w:pPr>
        <w:pStyle w:val="Heading4"/>
        <w:numPr>
          <w:ilvl w:val="1"/>
          <w:numId w:val="15"/>
        </w:numPr>
        <w:tabs>
          <w:tab w:val="left" w:pos="1667"/>
        </w:tabs>
        <w:spacing w:before="1"/>
        <w:ind w:hanging="704"/>
        <w:jc w:val="left"/>
      </w:pPr>
      <w:r>
        <w:rPr>
          <w:color w:val="231F20"/>
        </w:rPr>
        <w:t>Поняття адміністративного</w:t>
      </w:r>
      <w:r>
        <w:rPr>
          <w:color w:val="231F20"/>
          <w:spacing w:val="-3"/>
        </w:rPr>
        <w:t xml:space="preserve"> </w:t>
      </w:r>
      <w:r>
        <w:rPr>
          <w:color w:val="231F20"/>
        </w:rPr>
        <w:t>стягнення</w:t>
      </w:r>
    </w:p>
    <w:p w14:paraId="1AD652DE" w14:textId="77777777" w:rsidR="00DE575E" w:rsidRDefault="00DE575E">
      <w:pPr>
        <w:pStyle w:val="BodyText"/>
        <w:rPr>
          <w:b/>
          <w:sz w:val="26"/>
        </w:rPr>
      </w:pPr>
    </w:p>
    <w:p w14:paraId="2B35DFB9" w14:textId="77777777" w:rsidR="00DE575E" w:rsidRDefault="002E7560">
      <w:pPr>
        <w:spacing w:before="223" w:line="252" w:lineRule="auto"/>
        <w:ind w:left="250" w:right="411" w:firstLine="283"/>
        <w:jc w:val="both"/>
        <w:rPr>
          <w:i/>
          <w:sz w:val="21"/>
        </w:rPr>
      </w:pPr>
      <w:r>
        <w:rPr>
          <w:b/>
          <w:i/>
          <w:color w:val="231F20"/>
          <w:sz w:val="21"/>
        </w:rPr>
        <w:t xml:space="preserve">Адміністративне стягнення – </w:t>
      </w:r>
      <w:r>
        <w:rPr>
          <w:i/>
          <w:color w:val="231F20"/>
          <w:sz w:val="21"/>
        </w:rPr>
        <w:t xml:space="preserve">це матеріалізований вияв </w:t>
      </w:r>
      <w:r>
        <w:rPr>
          <w:i/>
          <w:color w:val="231F20"/>
          <w:sz w:val="21"/>
        </w:rPr>
        <w:t>адміністративної відповідальності, негативний правовий  наслі- док неправомірної поведінки особи, яка  вчинила  адміністратив-  ний проступок, у вигляді певних несприятливих заходів морального, матеріального та фізичного</w:t>
      </w:r>
      <w:r>
        <w:rPr>
          <w:i/>
          <w:color w:val="231F20"/>
          <w:spacing w:val="-4"/>
          <w:sz w:val="21"/>
        </w:rPr>
        <w:t xml:space="preserve"> </w:t>
      </w:r>
      <w:r>
        <w:rPr>
          <w:i/>
          <w:color w:val="231F20"/>
          <w:sz w:val="21"/>
        </w:rPr>
        <w:t>характеру.</w:t>
      </w:r>
    </w:p>
    <w:p w14:paraId="4CD48436" w14:textId="77777777" w:rsidR="00DE575E" w:rsidRDefault="002E7560">
      <w:pPr>
        <w:pStyle w:val="BodyText"/>
        <w:spacing w:before="3" w:line="252" w:lineRule="auto"/>
        <w:ind w:left="250" w:right="411" w:firstLine="283"/>
        <w:jc w:val="both"/>
      </w:pPr>
      <w:r>
        <w:rPr>
          <w:color w:val="231F20"/>
        </w:rPr>
        <w:t>Адміністративна відповід</w:t>
      </w:r>
      <w:r>
        <w:rPr>
          <w:color w:val="231F20"/>
        </w:rPr>
        <w:t>альність реалізується через застосу- вання до винних осіб адміністративних стягнень.</w:t>
      </w:r>
    </w:p>
    <w:p w14:paraId="0FE0FAD0" w14:textId="77777777" w:rsidR="00DE575E" w:rsidRDefault="002E7560">
      <w:pPr>
        <w:pStyle w:val="BodyText"/>
        <w:spacing w:before="1" w:line="252" w:lineRule="auto"/>
        <w:ind w:left="250" w:right="411" w:firstLine="283"/>
        <w:jc w:val="both"/>
      </w:pPr>
      <w:r>
        <w:rPr>
          <w:color w:val="231F20"/>
        </w:rPr>
        <w:t>Загальною особливістю адміністративних стягнень є їх вихов- ний, каральний та профілактичний характер. Вони застосовуються лише до винних у вчиненні адміністративних прост</w:t>
      </w:r>
      <w:r>
        <w:rPr>
          <w:color w:val="231F20"/>
        </w:rPr>
        <w:t>упків осіб.</w:t>
      </w:r>
    </w:p>
    <w:p w14:paraId="4502C651" w14:textId="77777777" w:rsidR="00DE575E" w:rsidRDefault="002E7560">
      <w:pPr>
        <w:pStyle w:val="BodyText"/>
        <w:spacing w:before="1" w:line="252" w:lineRule="auto"/>
        <w:ind w:left="250" w:right="409" w:firstLine="283"/>
        <w:jc w:val="both"/>
      </w:pPr>
      <w:r>
        <w:rPr>
          <w:color w:val="231F20"/>
        </w:rPr>
        <w:t>Адміністративні</w:t>
      </w:r>
      <w:r>
        <w:rPr>
          <w:color w:val="231F20"/>
          <w:spacing w:val="-9"/>
        </w:rPr>
        <w:t xml:space="preserve"> </w:t>
      </w:r>
      <w:r>
        <w:rPr>
          <w:color w:val="231F20"/>
        </w:rPr>
        <w:t>стягнення,</w:t>
      </w:r>
      <w:r>
        <w:rPr>
          <w:color w:val="231F20"/>
          <w:spacing w:val="-9"/>
        </w:rPr>
        <w:t xml:space="preserve"> </w:t>
      </w:r>
      <w:r>
        <w:rPr>
          <w:color w:val="231F20"/>
        </w:rPr>
        <w:t>як</w:t>
      </w:r>
      <w:r>
        <w:rPr>
          <w:color w:val="231F20"/>
          <w:spacing w:val="-9"/>
        </w:rPr>
        <w:t xml:space="preserve"> </w:t>
      </w:r>
      <w:r>
        <w:rPr>
          <w:color w:val="231F20"/>
        </w:rPr>
        <w:t>правило,</w:t>
      </w:r>
      <w:r>
        <w:rPr>
          <w:color w:val="231F20"/>
          <w:spacing w:val="-9"/>
        </w:rPr>
        <w:t xml:space="preserve"> </w:t>
      </w:r>
      <w:r>
        <w:rPr>
          <w:color w:val="231F20"/>
        </w:rPr>
        <w:t>полягають</w:t>
      </w:r>
      <w:r>
        <w:rPr>
          <w:color w:val="231F20"/>
          <w:spacing w:val="-9"/>
        </w:rPr>
        <w:t xml:space="preserve"> </w:t>
      </w:r>
      <w:r>
        <w:rPr>
          <w:color w:val="231F20"/>
        </w:rPr>
        <w:t>у</w:t>
      </w:r>
      <w:r>
        <w:rPr>
          <w:color w:val="231F20"/>
          <w:spacing w:val="-8"/>
        </w:rPr>
        <w:t xml:space="preserve"> </w:t>
      </w:r>
      <w:r>
        <w:rPr>
          <w:color w:val="231F20"/>
        </w:rPr>
        <w:t>позбавленні або обмеженні певних прав, благ тощо. Цим досягається мета адмі- ністративного</w:t>
      </w:r>
      <w:r>
        <w:rPr>
          <w:color w:val="231F20"/>
          <w:spacing w:val="-10"/>
        </w:rPr>
        <w:t xml:space="preserve"> </w:t>
      </w:r>
      <w:r>
        <w:rPr>
          <w:color w:val="231F20"/>
        </w:rPr>
        <w:t>стягнення:</w:t>
      </w:r>
      <w:r>
        <w:rPr>
          <w:color w:val="231F20"/>
          <w:spacing w:val="-11"/>
        </w:rPr>
        <w:t xml:space="preserve"> </w:t>
      </w:r>
      <w:r>
        <w:rPr>
          <w:color w:val="231F20"/>
        </w:rPr>
        <w:t>адміністративне</w:t>
      </w:r>
      <w:r>
        <w:rPr>
          <w:color w:val="231F20"/>
          <w:spacing w:val="-11"/>
        </w:rPr>
        <w:t xml:space="preserve"> </w:t>
      </w:r>
      <w:r>
        <w:rPr>
          <w:color w:val="231F20"/>
        </w:rPr>
        <w:t>стягнення</w:t>
      </w:r>
      <w:r>
        <w:rPr>
          <w:color w:val="231F20"/>
          <w:spacing w:val="-11"/>
        </w:rPr>
        <w:t xml:space="preserve"> </w:t>
      </w:r>
      <w:r>
        <w:rPr>
          <w:color w:val="231F20"/>
        </w:rPr>
        <w:t>є</w:t>
      </w:r>
      <w:r>
        <w:rPr>
          <w:color w:val="231F20"/>
          <w:spacing w:val="-10"/>
        </w:rPr>
        <w:t xml:space="preserve"> </w:t>
      </w:r>
      <w:r>
        <w:rPr>
          <w:color w:val="231F20"/>
        </w:rPr>
        <w:t>мірою</w:t>
      </w:r>
      <w:r>
        <w:rPr>
          <w:color w:val="231F20"/>
          <w:spacing w:val="-10"/>
        </w:rPr>
        <w:t xml:space="preserve"> </w:t>
      </w:r>
      <w:r>
        <w:rPr>
          <w:color w:val="231F20"/>
        </w:rPr>
        <w:t xml:space="preserve">відпо- відальності й застосовується з метою виховання особи, яка вчинила адміністративне правопорушення, в дусі додержання законів </w:t>
      </w:r>
      <w:r>
        <w:rPr>
          <w:color w:val="231F20"/>
          <w:spacing w:val="-3"/>
        </w:rPr>
        <w:t>України,</w:t>
      </w:r>
      <w:r>
        <w:rPr>
          <w:color w:val="231F20"/>
          <w:spacing w:val="-11"/>
        </w:rPr>
        <w:t xml:space="preserve"> </w:t>
      </w:r>
      <w:r>
        <w:rPr>
          <w:color w:val="231F20"/>
        </w:rPr>
        <w:t>поваги</w:t>
      </w:r>
      <w:r>
        <w:rPr>
          <w:color w:val="231F20"/>
          <w:spacing w:val="-10"/>
        </w:rPr>
        <w:t xml:space="preserve"> </w:t>
      </w:r>
      <w:r>
        <w:rPr>
          <w:color w:val="231F20"/>
        </w:rPr>
        <w:t>до</w:t>
      </w:r>
      <w:r>
        <w:rPr>
          <w:color w:val="231F20"/>
          <w:spacing w:val="-11"/>
        </w:rPr>
        <w:t xml:space="preserve"> </w:t>
      </w:r>
      <w:r>
        <w:rPr>
          <w:color w:val="231F20"/>
        </w:rPr>
        <w:t>правил</w:t>
      </w:r>
      <w:r>
        <w:rPr>
          <w:color w:val="231F20"/>
          <w:spacing w:val="-11"/>
        </w:rPr>
        <w:t xml:space="preserve"> </w:t>
      </w:r>
      <w:r>
        <w:rPr>
          <w:color w:val="231F20"/>
        </w:rPr>
        <w:t>співжиття,</w:t>
      </w:r>
      <w:r>
        <w:rPr>
          <w:color w:val="231F20"/>
          <w:spacing w:val="-10"/>
        </w:rPr>
        <w:t xml:space="preserve"> </w:t>
      </w:r>
      <w:r>
        <w:rPr>
          <w:color w:val="231F20"/>
        </w:rPr>
        <w:t>а</w:t>
      </w:r>
      <w:r>
        <w:rPr>
          <w:color w:val="231F20"/>
          <w:spacing w:val="-10"/>
        </w:rPr>
        <w:t xml:space="preserve"> </w:t>
      </w:r>
      <w:r>
        <w:rPr>
          <w:color w:val="231F20"/>
        </w:rPr>
        <w:t>також</w:t>
      </w:r>
      <w:r>
        <w:rPr>
          <w:color w:val="231F20"/>
          <w:spacing w:val="-10"/>
        </w:rPr>
        <w:t xml:space="preserve"> </w:t>
      </w:r>
      <w:r>
        <w:rPr>
          <w:color w:val="231F20"/>
        </w:rPr>
        <w:t>запобігання</w:t>
      </w:r>
      <w:r>
        <w:rPr>
          <w:color w:val="231F20"/>
          <w:spacing w:val="-11"/>
        </w:rPr>
        <w:t xml:space="preserve"> </w:t>
      </w:r>
      <w:r>
        <w:rPr>
          <w:color w:val="231F20"/>
        </w:rPr>
        <w:t>вчиненню нових правопорушень як самим правопорушником так і іншими о</w:t>
      </w:r>
      <w:r>
        <w:rPr>
          <w:color w:val="231F20"/>
        </w:rPr>
        <w:t xml:space="preserve">собами. Проте покарання не є самоціллю, воно є необхідним засо- бом виховання правопорушника і запобігання правопорушенням. За вчинений проступок громадянин або позбавляється певного </w:t>
      </w:r>
      <w:r>
        <w:rPr>
          <w:color w:val="231F20"/>
          <w:spacing w:val="-3"/>
        </w:rPr>
        <w:t>суб’єктивного</w:t>
      </w:r>
      <w:r>
        <w:rPr>
          <w:color w:val="231F20"/>
          <w:spacing w:val="-11"/>
        </w:rPr>
        <w:t xml:space="preserve"> </w:t>
      </w:r>
      <w:r>
        <w:rPr>
          <w:color w:val="231F20"/>
        </w:rPr>
        <w:t>права,</w:t>
      </w:r>
      <w:r>
        <w:rPr>
          <w:color w:val="231F20"/>
          <w:spacing w:val="-11"/>
        </w:rPr>
        <w:t xml:space="preserve"> </w:t>
      </w:r>
      <w:r>
        <w:rPr>
          <w:color w:val="231F20"/>
        </w:rPr>
        <w:t>або</w:t>
      </w:r>
      <w:r>
        <w:rPr>
          <w:color w:val="231F20"/>
          <w:spacing w:val="-11"/>
        </w:rPr>
        <w:t xml:space="preserve"> </w:t>
      </w:r>
      <w:r>
        <w:rPr>
          <w:color w:val="231F20"/>
        </w:rPr>
        <w:t>обмежується</w:t>
      </w:r>
      <w:r>
        <w:rPr>
          <w:color w:val="231F20"/>
          <w:spacing w:val="-11"/>
        </w:rPr>
        <w:t xml:space="preserve"> </w:t>
      </w:r>
      <w:r>
        <w:rPr>
          <w:color w:val="231F20"/>
        </w:rPr>
        <w:t>його</w:t>
      </w:r>
      <w:r>
        <w:rPr>
          <w:color w:val="231F20"/>
          <w:spacing w:val="-11"/>
        </w:rPr>
        <w:t xml:space="preserve"> </w:t>
      </w:r>
      <w:r>
        <w:rPr>
          <w:color w:val="231F20"/>
        </w:rPr>
        <w:t>правосуб’єктність,</w:t>
      </w:r>
      <w:r>
        <w:rPr>
          <w:color w:val="231F20"/>
          <w:spacing w:val="-11"/>
        </w:rPr>
        <w:t xml:space="preserve"> </w:t>
      </w:r>
      <w:r>
        <w:rPr>
          <w:color w:val="231F20"/>
        </w:rPr>
        <w:t>або</w:t>
      </w:r>
      <w:r>
        <w:rPr>
          <w:color w:val="231F20"/>
          <w:spacing w:val="-11"/>
        </w:rPr>
        <w:t xml:space="preserve"> </w:t>
      </w:r>
      <w:r>
        <w:rPr>
          <w:color w:val="231F20"/>
        </w:rPr>
        <w:t>на нього</w:t>
      </w:r>
      <w:r>
        <w:rPr>
          <w:color w:val="231F20"/>
        </w:rPr>
        <w:t xml:space="preserve"> покладаються спеціальні «штрафні»</w:t>
      </w:r>
      <w:r>
        <w:rPr>
          <w:color w:val="231F20"/>
          <w:spacing w:val="-3"/>
        </w:rPr>
        <w:t xml:space="preserve"> </w:t>
      </w:r>
      <w:r>
        <w:rPr>
          <w:color w:val="231F20"/>
        </w:rPr>
        <w:t>обов’язки.</w:t>
      </w:r>
    </w:p>
    <w:p w14:paraId="167EF994" w14:textId="77777777" w:rsidR="00DE575E" w:rsidRDefault="00DE575E">
      <w:pPr>
        <w:pStyle w:val="BodyText"/>
        <w:rPr>
          <w:sz w:val="24"/>
        </w:rPr>
      </w:pPr>
    </w:p>
    <w:p w14:paraId="203968AD" w14:textId="77777777" w:rsidR="00DE575E" w:rsidRDefault="00DE575E">
      <w:pPr>
        <w:pStyle w:val="BodyText"/>
        <w:spacing w:before="9"/>
        <w:rPr>
          <w:sz w:val="19"/>
        </w:rPr>
      </w:pPr>
    </w:p>
    <w:p w14:paraId="55717A61" w14:textId="77777777" w:rsidR="00DE575E" w:rsidRDefault="002E7560">
      <w:pPr>
        <w:pStyle w:val="Heading4"/>
        <w:numPr>
          <w:ilvl w:val="1"/>
          <w:numId w:val="15"/>
        </w:numPr>
        <w:tabs>
          <w:tab w:val="left" w:pos="1959"/>
        </w:tabs>
        <w:spacing w:before="1"/>
        <w:ind w:left="1958"/>
        <w:jc w:val="left"/>
      </w:pPr>
      <w:r>
        <w:rPr>
          <w:color w:val="231F20"/>
        </w:rPr>
        <w:t>Види адміністративних</w:t>
      </w:r>
      <w:r>
        <w:rPr>
          <w:color w:val="231F20"/>
          <w:spacing w:val="-4"/>
        </w:rPr>
        <w:t xml:space="preserve"> </w:t>
      </w:r>
      <w:r>
        <w:rPr>
          <w:color w:val="231F20"/>
        </w:rPr>
        <w:t>стягнень</w:t>
      </w:r>
    </w:p>
    <w:p w14:paraId="7D70CAA7" w14:textId="77777777" w:rsidR="00DE575E" w:rsidRDefault="00DE575E">
      <w:pPr>
        <w:pStyle w:val="BodyText"/>
        <w:rPr>
          <w:b/>
          <w:sz w:val="26"/>
        </w:rPr>
      </w:pPr>
    </w:p>
    <w:p w14:paraId="6B1B6CB0" w14:textId="77777777" w:rsidR="00DE575E" w:rsidRDefault="002E7560">
      <w:pPr>
        <w:pStyle w:val="BodyText"/>
        <w:spacing w:before="223" w:line="252" w:lineRule="auto"/>
        <w:ind w:left="250" w:right="411" w:firstLine="283"/>
        <w:jc w:val="both"/>
      </w:pPr>
      <w:r>
        <w:rPr>
          <w:color w:val="231F20"/>
        </w:rPr>
        <w:t xml:space="preserve">Систему адміністративних стягнень закріплено у </w:t>
      </w:r>
      <w:r>
        <w:rPr>
          <w:color w:val="231F20"/>
          <w:spacing w:val="-6"/>
        </w:rPr>
        <w:t xml:space="preserve">ст.  </w:t>
      </w:r>
      <w:r>
        <w:rPr>
          <w:color w:val="231F20"/>
        </w:rPr>
        <w:t xml:space="preserve">24 </w:t>
      </w:r>
      <w:r>
        <w:rPr>
          <w:color w:val="231F20"/>
          <w:spacing w:val="-3"/>
        </w:rPr>
        <w:t xml:space="preserve">КУпАП,   </w:t>
      </w:r>
      <w:r>
        <w:rPr>
          <w:color w:val="231F20"/>
        </w:rPr>
        <w:t>у якій їх перераховано з урахуванням порядку зростання суворості: попередження</w:t>
      </w:r>
      <w:r>
        <w:rPr>
          <w:color w:val="231F20"/>
          <w:spacing w:val="18"/>
        </w:rPr>
        <w:t xml:space="preserve"> </w:t>
      </w:r>
      <w:r>
        <w:rPr>
          <w:color w:val="231F20"/>
          <w:spacing w:val="-5"/>
        </w:rPr>
        <w:t>(ст.</w:t>
      </w:r>
      <w:r>
        <w:rPr>
          <w:color w:val="231F20"/>
          <w:spacing w:val="-8"/>
        </w:rPr>
        <w:t xml:space="preserve"> </w:t>
      </w:r>
      <w:r>
        <w:rPr>
          <w:color w:val="231F20"/>
        </w:rPr>
        <w:t>26</w:t>
      </w:r>
      <w:r>
        <w:rPr>
          <w:color w:val="231F20"/>
          <w:spacing w:val="18"/>
        </w:rPr>
        <w:t xml:space="preserve"> </w:t>
      </w:r>
      <w:r>
        <w:rPr>
          <w:color w:val="231F20"/>
        </w:rPr>
        <w:t>КУпАП);</w:t>
      </w:r>
      <w:r>
        <w:rPr>
          <w:color w:val="231F20"/>
          <w:spacing w:val="18"/>
        </w:rPr>
        <w:t xml:space="preserve"> </w:t>
      </w:r>
      <w:r>
        <w:rPr>
          <w:color w:val="231F20"/>
        </w:rPr>
        <w:t>штраф</w:t>
      </w:r>
      <w:r>
        <w:rPr>
          <w:color w:val="231F20"/>
          <w:spacing w:val="18"/>
        </w:rPr>
        <w:t xml:space="preserve"> </w:t>
      </w:r>
      <w:r>
        <w:rPr>
          <w:color w:val="231F20"/>
          <w:spacing w:val="-5"/>
        </w:rPr>
        <w:t>(ст.</w:t>
      </w:r>
      <w:r>
        <w:rPr>
          <w:color w:val="231F20"/>
          <w:spacing w:val="-8"/>
        </w:rPr>
        <w:t xml:space="preserve"> </w:t>
      </w:r>
      <w:r>
        <w:rPr>
          <w:color w:val="231F20"/>
        </w:rPr>
        <w:t>27</w:t>
      </w:r>
      <w:r>
        <w:rPr>
          <w:color w:val="231F20"/>
          <w:spacing w:val="18"/>
        </w:rPr>
        <w:t xml:space="preserve"> </w:t>
      </w:r>
      <w:r>
        <w:rPr>
          <w:color w:val="231F20"/>
        </w:rPr>
        <w:t>КУпАП);</w:t>
      </w:r>
      <w:r>
        <w:rPr>
          <w:color w:val="231F20"/>
          <w:spacing w:val="18"/>
        </w:rPr>
        <w:t xml:space="preserve"> </w:t>
      </w:r>
      <w:r>
        <w:rPr>
          <w:color w:val="231F20"/>
        </w:rPr>
        <w:t>штрафні</w:t>
      </w:r>
      <w:r>
        <w:rPr>
          <w:color w:val="231F20"/>
          <w:spacing w:val="18"/>
        </w:rPr>
        <w:t xml:space="preserve"> </w:t>
      </w:r>
      <w:r>
        <w:rPr>
          <w:color w:val="231F20"/>
        </w:rPr>
        <w:t>бали</w:t>
      </w:r>
    </w:p>
    <w:p w14:paraId="16259E3E" w14:textId="77777777" w:rsidR="00DE575E" w:rsidRDefault="00DE575E">
      <w:pPr>
        <w:pStyle w:val="BodyText"/>
        <w:spacing w:before="2"/>
        <w:rPr>
          <w:sz w:val="23"/>
        </w:rPr>
      </w:pPr>
    </w:p>
    <w:p w14:paraId="3C345F34" w14:textId="77777777" w:rsidR="00DE575E" w:rsidRDefault="002E7560">
      <w:pPr>
        <w:spacing w:before="91"/>
        <w:ind w:right="411"/>
        <w:jc w:val="right"/>
        <w:rPr>
          <w:rFonts w:ascii="Times New Roman"/>
          <w:sz w:val="20"/>
        </w:rPr>
      </w:pPr>
      <w:r>
        <w:rPr>
          <w:rFonts w:ascii="Times New Roman"/>
          <w:color w:val="231F20"/>
          <w:w w:val="90"/>
          <w:sz w:val="20"/>
        </w:rPr>
        <w:t>501</w:t>
      </w:r>
    </w:p>
    <w:p w14:paraId="40352DF3"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33097D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A3F22A0" w14:textId="2431692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6136442" wp14:editId="4EC98648">
                <wp:extent cx="4140200" cy="6350"/>
                <wp:effectExtent l="0" t="0" r="12700" b="6350"/>
                <wp:docPr id="16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64" name="Line 1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20A89" id="Group_x0020_1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JMzxKX4CAACYBQAADgAA&#10;AAAAAAAAAAAAAAAsAgAAZHJzL2Uyb0RvYy54bWxQSwECLQAUAAYACAAAACEATKewkNkAAAADAQAA&#10;DwAAAAAAAAAAAAAAAADWBAAAZHJzL2Rvd25yZXYueG1sUEsFBgAAAAAEAAQA8wAAANwFAAAAAA==&#10;">
                <v:line id="Line_x0020_1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Cq1sQAAADcAAAADwAAAGRycy9kb3ducmV2LnhtbERPzWrCQBC+F3yHZQq9lGZjLVJiVhGh&#10;UHpQa/oAY3ZMQndnY3Y1qU/vCgVv8/H9Tr4YrBFn6nzjWME4SUEQl043XCn4KT5e3kH4gKzROCYF&#10;f+RhMR895Jhp1/M3nXehEjGEfYYK6hDaTEpf1mTRJ64ljtzBdRZDhF0ldYd9DLdGvqbpVFpsODbU&#10;2NKqpvJ3d7IKiuNzMNvNl+mLzX4i98f15HJaK/X0OCxnIAIN4S7+d3/qOH/6Brdn4gVy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YKrWxAAAANwAAAAPAAAAAAAAAAAA&#10;AAAAAKECAABkcnMvZG93bnJldi54bWxQSwUGAAAAAAQABAD5AAAAkgMAAAAA&#10;" strokecolor="#231f20" strokeweight=".5pt"/>
                <w10:anchorlock/>
              </v:group>
            </w:pict>
          </mc:Fallback>
        </mc:AlternateContent>
      </w:r>
    </w:p>
    <w:p w14:paraId="33201B15" w14:textId="77777777" w:rsidR="00DE575E" w:rsidRDefault="00DE575E">
      <w:pPr>
        <w:pStyle w:val="BodyText"/>
        <w:spacing w:before="7"/>
        <w:rPr>
          <w:rFonts w:ascii="AdonisC"/>
          <w:i/>
          <w:sz w:val="11"/>
        </w:rPr>
      </w:pPr>
    </w:p>
    <w:p w14:paraId="71BBCEFD" w14:textId="77777777" w:rsidR="00DE575E" w:rsidRDefault="002E7560">
      <w:pPr>
        <w:pStyle w:val="BodyText"/>
        <w:spacing w:before="101" w:line="252" w:lineRule="auto"/>
        <w:ind w:left="533" w:right="126"/>
        <w:jc w:val="both"/>
      </w:pPr>
      <w:r>
        <w:rPr>
          <w:color w:val="231F20"/>
          <w:spacing w:val="-5"/>
        </w:rPr>
        <w:t xml:space="preserve">(ст. </w:t>
      </w:r>
      <w:r>
        <w:rPr>
          <w:color w:val="231F20"/>
        </w:rPr>
        <w:t xml:space="preserve">27-1 КУпАП); оплатне вилучення предмета, який став знаряд- дям вчинення або безпосереднім </w:t>
      </w:r>
      <w:r>
        <w:rPr>
          <w:color w:val="231F20"/>
          <w:spacing w:val="-3"/>
        </w:rPr>
        <w:t xml:space="preserve">об’єктом </w:t>
      </w:r>
      <w:r>
        <w:rPr>
          <w:color w:val="231F20"/>
        </w:rPr>
        <w:t xml:space="preserve">правопорушення </w:t>
      </w:r>
      <w:r>
        <w:rPr>
          <w:color w:val="231F20"/>
          <w:spacing w:val="-5"/>
        </w:rPr>
        <w:t xml:space="preserve">(ст. </w:t>
      </w:r>
      <w:r>
        <w:rPr>
          <w:color w:val="231F20"/>
        </w:rPr>
        <w:t xml:space="preserve">28 КУпАП); конфіскація предмета, який став знаряддям вчинення або безпосереднім </w:t>
      </w:r>
      <w:r>
        <w:rPr>
          <w:color w:val="231F20"/>
          <w:spacing w:val="-3"/>
        </w:rPr>
        <w:t xml:space="preserve">об’єктом </w:t>
      </w:r>
      <w:r>
        <w:rPr>
          <w:color w:val="231F20"/>
        </w:rPr>
        <w:t>адміні</w:t>
      </w:r>
      <w:r>
        <w:rPr>
          <w:color w:val="231F20"/>
        </w:rPr>
        <w:t xml:space="preserve">стративного правопорушення </w:t>
      </w:r>
      <w:r>
        <w:rPr>
          <w:color w:val="231F20"/>
          <w:spacing w:val="-5"/>
        </w:rPr>
        <w:t xml:space="preserve">(ст. </w:t>
      </w:r>
      <w:r>
        <w:rPr>
          <w:color w:val="231F20"/>
        </w:rPr>
        <w:t xml:space="preserve">29 КУпАП); позбавлення спеціального права, наданого певному грома- дянинові, позбавлення права обіймати певні посади або займатися певною діяльністю </w:t>
      </w:r>
      <w:r>
        <w:rPr>
          <w:color w:val="231F20"/>
          <w:spacing w:val="-5"/>
        </w:rPr>
        <w:t xml:space="preserve">(ст. </w:t>
      </w:r>
      <w:r>
        <w:rPr>
          <w:color w:val="231F20"/>
        </w:rPr>
        <w:t xml:space="preserve">30 КУпАП); виправні роботи </w:t>
      </w:r>
      <w:r>
        <w:rPr>
          <w:color w:val="231F20"/>
          <w:spacing w:val="-5"/>
        </w:rPr>
        <w:t xml:space="preserve">(ст. </w:t>
      </w:r>
      <w:r>
        <w:rPr>
          <w:color w:val="231F20"/>
        </w:rPr>
        <w:t xml:space="preserve">31 КУпАП); громадські  роботи  </w:t>
      </w:r>
      <w:r>
        <w:rPr>
          <w:color w:val="231F20"/>
          <w:spacing w:val="-5"/>
        </w:rPr>
        <w:t xml:space="preserve">(ст. </w:t>
      </w:r>
      <w:r>
        <w:rPr>
          <w:color w:val="231F20"/>
        </w:rPr>
        <w:t>30</w:t>
      </w:r>
      <w:r>
        <w:rPr>
          <w:color w:val="231F20"/>
        </w:rPr>
        <w:t xml:space="preserve">-1  КУпАП);  суспільно  корисні  роботи </w:t>
      </w:r>
      <w:r>
        <w:rPr>
          <w:color w:val="231F20"/>
          <w:spacing w:val="-5"/>
        </w:rPr>
        <w:t xml:space="preserve">(ст. </w:t>
      </w:r>
      <w:r>
        <w:rPr>
          <w:color w:val="231F20"/>
        </w:rPr>
        <w:t xml:space="preserve">31-1 КУпАП);  адміністративний  арешт  </w:t>
      </w:r>
      <w:r>
        <w:rPr>
          <w:color w:val="231F20"/>
          <w:spacing w:val="-5"/>
        </w:rPr>
        <w:t xml:space="preserve">(ст. </w:t>
      </w:r>
      <w:r>
        <w:rPr>
          <w:color w:val="231F20"/>
        </w:rPr>
        <w:t xml:space="preserve">32  КУпАП);  арешт  з утриманням на гауптвахті </w:t>
      </w:r>
      <w:r>
        <w:rPr>
          <w:color w:val="231F20"/>
          <w:spacing w:val="-5"/>
        </w:rPr>
        <w:t xml:space="preserve">(ст. </w:t>
      </w:r>
      <w:r>
        <w:rPr>
          <w:color w:val="231F20"/>
        </w:rPr>
        <w:t>32-1</w:t>
      </w:r>
      <w:r>
        <w:rPr>
          <w:color w:val="231F20"/>
          <w:spacing w:val="-6"/>
        </w:rPr>
        <w:t xml:space="preserve"> </w:t>
      </w:r>
      <w:r>
        <w:rPr>
          <w:color w:val="231F20"/>
        </w:rPr>
        <w:t>КУпАП).</w:t>
      </w:r>
    </w:p>
    <w:p w14:paraId="4D00C25C" w14:textId="77777777" w:rsidR="00DE575E" w:rsidRDefault="002E7560">
      <w:pPr>
        <w:pStyle w:val="BodyText"/>
        <w:spacing w:before="5" w:line="252" w:lineRule="auto"/>
        <w:ind w:left="533" w:right="127" w:firstLine="283"/>
        <w:jc w:val="both"/>
      </w:pPr>
      <w:r>
        <w:rPr>
          <w:color w:val="231F20"/>
        </w:rPr>
        <w:t>До іноземців і осіб без громадянства за вчинення адміністра- тивних правопорушень може бути застосовано (крім передбачених у ст. 24 КУпАП) адміністративне видворення за межі України.</w:t>
      </w:r>
    </w:p>
    <w:p w14:paraId="312D2667" w14:textId="77777777" w:rsidR="00DE575E" w:rsidRDefault="002E7560">
      <w:pPr>
        <w:pStyle w:val="BodyText"/>
        <w:spacing w:before="1" w:line="252" w:lineRule="auto"/>
        <w:ind w:left="533" w:right="127" w:firstLine="283"/>
        <w:jc w:val="both"/>
      </w:pPr>
      <w:r>
        <w:rPr>
          <w:color w:val="231F20"/>
        </w:rPr>
        <w:t xml:space="preserve">Згідно зі </w:t>
      </w:r>
      <w:r>
        <w:rPr>
          <w:color w:val="231F20"/>
          <w:spacing w:val="-6"/>
        </w:rPr>
        <w:t xml:space="preserve">ст. </w:t>
      </w:r>
      <w:r>
        <w:rPr>
          <w:color w:val="231F20"/>
        </w:rPr>
        <w:t xml:space="preserve">25 </w:t>
      </w:r>
      <w:r>
        <w:rPr>
          <w:color w:val="231F20"/>
          <w:spacing w:val="-3"/>
        </w:rPr>
        <w:t xml:space="preserve">КУпАП </w:t>
      </w:r>
      <w:r>
        <w:rPr>
          <w:color w:val="231F20"/>
        </w:rPr>
        <w:t>(«Основні і додаткові адміністративні стяг- нення»),</w:t>
      </w:r>
      <w:r>
        <w:rPr>
          <w:color w:val="231F20"/>
          <w:spacing w:val="-12"/>
        </w:rPr>
        <w:t xml:space="preserve"> </w:t>
      </w:r>
      <w:r>
        <w:rPr>
          <w:color w:val="231F20"/>
        </w:rPr>
        <w:t>оплатне</w:t>
      </w:r>
      <w:r>
        <w:rPr>
          <w:color w:val="231F20"/>
          <w:spacing w:val="-11"/>
        </w:rPr>
        <w:t xml:space="preserve"> </w:t>
      </w:r>
      <w:r>
        <w:rPr>
          <w:color w:val="231F20"/>
        </w:rPr>
        <w:t>вилучення</w:t>
      </w:r>
      <w:r>
        <w:rPr>
          <w:color w:val="231F20"/>
          <w:spacing w:val="-11"/>
        </w:rPr>
        <w:t xml:space="preserve"> </w:t>
      </w:r>
      <w:r>
        <w:rPr>
          <w:color w:val="231F20"/>
        </w:rPr>
        <w:t>та</w:t>
      </w:r>
      <w:r>
        <w:rPr>
          <w:color w:val="231F20"/>
          <w:spacing w:val="-11"/>
        </w:rPr>
        <w:t xml:space="preserve"> </w:t>
      </w:r>
      <w:r>
        <w:rPr>
          <w:color w:val="231F20"/>
        </w:rPr>
        <w:t>конфіскація</w:t>
      </w:r>
      <w:r>
        <w:rPr>
          <w:color w:val="231F20"/>
          <w:spacing w:val="-12"/>
        </w:rPr>
        <w:t xml:space="preserve"> </w:t>
      </w:r>
      <w:r>
        <w:rPr>
          <w:color w:val="231F20"/>
        </w:rPr>
        <w:t>предметів</w:t>
      </w:r>
      <w:r>
        <w:rPr>
          <w:color w:val="231F20"/>
          <w:spacing w:val="-11"/>
        </w:rPr>
        <w:t xml:space="preserve"> </w:t>
      </w:r>
      <w:r>
        <w:rPr>
          <w:color w:val="231F20"/>
        </w:rPr>
        <w:t>можуть</w:t>
      </w:r>
      <w:r>
        <w:rPr>
          <w:color w:val="231F20"/>
          <w:spacing w:val="-12"/>
        </w:rPr>
        <w:t xml:space="preserve"> </w:t>
      </w:r>
      <w:r>
        <w:rPr>
          <w:color w:val="231F20"/>
        </w:rPr>
        <w:t>засто- совуватись як основні, так і додаткові адміністративні стягнення; позбавлення права обіймати певні посади або займатися певною діяльністю – тільки</w:t>
      </w:r>
      <w:r>
        <w:rPr>
          <w:color w:val="231F20"/>
        </w:rPr>
        <w:t xml:space="preserve"> як додаткове; інші адміністративні стягнення, зазначені</w:t>
      </w:r>
      <w:r>
        <w:rPr>
          <w:color w:val="231F20"/>
          <w:spacing w:val="-11"/>
        </w:rPr>
        <w:t xml:space="preserve"> </w:t>
      </w:r>
      <w:r>
        <w:rPr>
          <w:color w:val="231F20"/>
        </w:rPr>
        <w:t>в</w:t>
      </w:r>
      <w:r>
        <w:rPr>
          <w:color w:val="231F20"/>
          <w:spacing w:val="-11"/>
        </w:rPr>
        <w:t xml:space="preserve"> </w:t>
      </w:r>
      <w:r>
        <w:rPr>
          <w:color w:val="231F20"/>
        </w:rPr>
        <w:t>частині</w:t>
      </w:r>
      <w:r>
        <w:rPr>
          <w:color w:val="231F20"/>
          <w:spacing w:val="-10"/>
        </w:rPr>
        <w:t xml:space="preserve"> </w:t>
      </w:r>
      <w:r>
        <w:rPr>
          <w:color w:val="231F20"/>
        </w:rPr>
        <w:t>першій</w:t>
      </w:r>
      <w:r>
        <w:rPr>
          <w:color w:val="231F20"/>
          <w:spacing w:val="-11"/>
        </w:rPr>
        <w:t xml:space="preserve"> </w:t>
      </w:r>
      <w:r>
        <w:rPr>
          <w:color w:val="231F20"/>
        </w:rPr>
        <w:t>статті</w:t>
      </w:r>
      <w:r>
        <w:rPr>
          <w:color w:val="231F20"/>
          <w:spacing w:val="-11"/>
        </w:rPr>
        <w:t xml:space="preserve"> </w:t>
      </w:r>
      <w:r>
        <w:rPr>
          <w:color w:val="231F20"/>
        </w:rPr>
        <w:t>24</w:t>
      </w:r>
      <w:r>
        <w:rPr>
          <w:color w:val="231F20"/>
          <w:spacing w:val="-11"/>
        </w:rPr>
        <w:t xml:space="preserve"> </w:t>
      </w:r>
      <w:r>
        <w:rPr>
          <w:color w:val="231F20"/>
          <w:spacing w:val="-3"/>
        </w:rPr>
        <w:t>КУпАП,</w:t>
      </w:r>
      <w:r>
        <w:rPr>
          <w:color w:val="231F20"/>
          <w:spacing w:val="-10"/>
        </w:rPr>
        <w:t xml:space="preserve"> </w:t>
      </w:r>
      <w:r>
        <w:rPr>
          <w:color w:val="231F20"/>
        </w:rPr>
        <w:t>можуть</w:t>
      </w:r>
      <w:r>
        <w:rPr>
          <w:color w:val="231F20"/>
          <w:spacing w:val="-11"/>
        </w:rPr>
        <w:t xml:space="preserve"> </w:t>
      </w:r>
      <w:r>
        <w:rPr>
          <w:color w:val="231F20"/>
        </w:rPr>
        <w:t>застосовуватись тільки як</w:t>
      </w:r>
      <w:r>
        <w:rPr>
          <w:color w:val="231F20"/>
          <w:spacing w:val="-2"/>
        </w:rPr>
        <w:t xml:space="preserve"> </w:t>
      </w:r>
      <w:r>
        <w:rPr>
          <w:color w:val="231F20"/>
        </w:rPr>
        <w:t>основні.</w:t>
      </w:r>
    </w:p>
    <w:p w14:paraId="2C27153C" w14:textId="77777777" w:rsidR="00DE575E" w:rsidRDefault="002E7560">
      <w:pPr>
        <w:pStyle w:val="BodyText"/>
        <w:spacing w:before="4" w:line="252" w:lineRule="auto"/>
        <w:ind w:left="533" w:right="130" w:firstLine="283"/>
        <w:jc w:val="both"/>
      </w:pPr>
      <w:r>
        <w:rPr>
          <w:color w:val="231F20"/>
        </w:rPr>
        <w:t>За одне адміністративне правопорушення може бути накладено основне або основне й додаткове стягнення.</w:t>
      </w:r>
    </w:p>
    <w:p w14:paraId="72667423" w14:textId="77777777" w:rsidR="00DE575E" w:rsidRDefault="002E7560">
      <w:pPr>
        <w:pStyle w:val="BodyText"/>
        <w:spacing w:before="1" w:line="252" w:lineRule="auto"/>
        <w:ind w:left="533" w:right="128" w:firstLine="283"/>
        <w:jc w:val="both"/>
      </w:pPr>
      <w:r>
        <w:rPr>
          <w:color w:val="231F20"/>
        </w:rPr>
        <w:t>Система адміністратив</w:t>
      </w:r>
      <w:r>
        <w:rPr>
          <w:color w:val="231F20"/>
        </w:rPr>
        <w:t>них стягнень дозволяє виділити з їх пере- ліку види адміністративних стягнень:</w:t>
      </w:r>
    </w:p>
    <w:p w14:paraId="5F825EA5" w14:textId="77777777" w:rsidR="00DE575E" w:rsidRDefault="002E7560">
      <w:pPr>
        <w:ind w:left="817"/>
        <w:rPr>
          <w:sz w:val="21"/>
        </w:rPr>
      </w:pPr>
      <w:r>
        <w:rPr>
          <w:b/>
          <w:i/>
          <w:color w:val="231F20"/>
          <w:sz w:val="21"/>
        </w:rPr>
        <w:t xml:space="preserve">За порядком застосування </w:t>
      </w:r>
      <w:r>
        <w:rPr>
          <w:color w:val="231F20"/>
          <w:sz w:val="21"/>
        </w:rPr>
        <w:t>– такі, що:</w:t>
      </w:r>
    </w:p>
    <w:p w14:paraId="2775CA91" w14:textId="77777777" w:rsidR="00DE575E" w:rsidRDefault="002E7560">
      <w:pPr>
        <w:pStyle w:val="ListParagraph"/>
        <w:numPr>
          <w:ilvl w:val="1"/>
          <w:numId w:val="17"/>
        </w:numPr>
        <w:tabs>
          <w:tab w:val="left" w:pos="1101"/>
        </w:tabs>
        <w:spacing w:before="13" w:line="252" w:lineRule="auto"/>
        <w:ind w:right="125" w:firstLine="284"/>
        <w:rPr>
          <w:sz w:val="21"/>
        </w:rPr>
      </w:pPr>
      <w:r>
        <w:rPr>
          <w:color w:val="231F20"/>
          <w:sz w:val="21"/>
        </w:rPr>
        <w:t xml:space="preserve">можуть застосовуватись як основні та як додаткові (оплатне вилучення та конфіскація предмета, який став знаряддям вчинення чи безпосереднім </w:t>
      </w:r>
      <w:r>
        <w:rPr>
          <w:color w:val="231F20"/>
          <w:spacing w:val="-3"/>
          <w:sz w:val="21"/>
        </w:rPr>
        <w:t xml:space="preserve">об’єктом </w:t>
      </w:r>
      <w:r>
        <w:rPr>
          <w:color w:val="231F20"/>
          <w:sz w:val="21"/>
        </w:rPr>
        <w:t>адміністративного</w:t>
      </w:r>
      <w:r>
        <w:rPr>
          <w:color w:val="231F20"/>
          <w:spacing w:val="-10"/>
          <w:sz w:val="21"/>
        </w:rPr>
        <w:t xml:space="preserve"> </w:t>
      </w:r>
      <w:r>
        <w:rPr>
          <w:color w:val="231F20"/>
          <w:sz w:val="21"/>
        </w:rPr>
        <w:t>правопорушення);</w:t>
      </w:r>
    </w:p>
    <w:p w14:paraId="6CE8E25B" w14:textId="77777777" w:rsidR="00DE575E" w:rsidRDefault="002E7560">
      <w:pPr>
        <w:pStyle w:val="ListParagraph"/>
        <w:numPr>
          <w:ilvl w:val="1"/>
          <w:numId w:val="17"/>
        </w:numPr>
        <w:tabs>
          <w:tab w:val="left" w:pos="1101"/>
        </w:tabs>
        <w:spacing w:before="2" w:line="252" w:lineRule="auto"/>
        <w:ind w:right="128" w:firstLine="284"/>
        <w:rPr>
          <w:sz w:val="21"/>
        </w:rPr>
      </w:pPr>
      <w:r>
        <w:rPr>
          <w:color w:val="231F20"/>
          <w:sz w:val="21"/>
        </w:rPr>
        <w:t xml:space="preserve">можуть застосовуватися лише як основні (всі інші види адмі- ністративних стягнень, зазначених в ч. 1 </w:t>
      </w:r>
      <w:r>
        <w:rPr>
          <w:color w:val="231F20"/>
          <w:spacing w:val="-6"/>
          <w:sz w:val="21"/>
        </w:rPr>
        <w:t xml:space="preserve">ст. </w:t>
      </w:r>
      <w:r>
        <w:rPr>
          <w:color w:val="231F20"/>
          <w:sz w:val="21"/>
        </w:rPr>
        <w:t>24</w:t>
      </w:r>
      <w:r>
        <w:rPr>
          <w:color w:val="231F20"/>
          <w:spacing w:val="-7"/>
          <w:sz w:val="21"/>
        </w:rPr>
        <w:t xml:space="preserve"> </w:t>
      </w:r>
      <w:r>
        <w:rPr>
          <w:color w:val="231F20"/>
          <w:sz w:val="21"/>
        </w:rPr>
        <w:t>КУпАП).</w:t>
      </w:r>
    </w:p>
    <w:p w14:paraId="3D40BA6A" w14:textId="77777777" w:rsidR="00DE575E" w:rsidRDefault="002E7560">
      <w:pPr>
        <w:pStyle w:val="Heading6"/>
        <w:ind w:left="817" w:firstLine="0"/>
        <w:rPr>
          <w:b w:val="0"/>
          <w:i w:val="0"/>
        </w:rPr>
      </w:pPr>
      <w:r>
        <w:rPr>
          <w:color w:val="231F20"/>
        </w:rPr>
        <w:t>За характером впливу на особу</w:t>
      </w:r>
      <w:r>
        <w:rPr>
          <w:b w:val="0"/>
          <w:i w:val="0"/>
          <w:color w:val="231F20"/>
        </w:rPr>
        <w:t>:</w:t>
      </w:r>
    </w:p>
    <w:p w14:paraId="773C49FF" w14:textId="77777777" w:rsidR="00DE575E" w:rsidRDefault="002E7560">
      <w:pPr>
        <w:pStyle w:val="ListParagraph"/>
        <w:numPr>
          <w:ilvl w:val="0"/>
          <w:numId w:val="14"/>
        </w:numPr>
        <w:tabs>
          <w:tab w:val="left" w:pos="1101"/>
        </w:tabs>
        <w:spacing w:before="13" w:line="252" w:lineRule="auto"/>
        <w:ind w:right="128" w:firstLine="284"/>
        <w:rPr>
          <w:sz w:val="21"/>
        </w:rPr>
      </w:pPr>
      <w:r>
        <w:rPr>
          <w:color w:val="231F20"/>
          <w:sz w:val="21"/>
        </w:rPr>
        <w:t xml:space="preserve">особисті, які спрямовані на особу правопорушника (поперед- ження, адміністративний </w:t>
      </w:r>
      <w:r>
        <w:rPr>
          <w:color w:val="231F20"/>
          <w:spacing w:val="-4"/>
          <w:sz w:val="21"/>
        </w:rPr>
        <w:t xml:space="preserve">арешт, </w:t>
      </w:r>
      <w:r>
        <w:rPr>
          <w:color w:val="231F20"/>
          <w:sz w:val="21"/>
        </w:rPr>
        <w:t>громадські</w:t>
      </w:r>
      <w:r>
        <w:rPr>
          <w:color w:val="231F20"/>
          <w:spacing w:val="-1"/>
          <w:sz w:val="21"/>
        </w:rPr>
        <w:t xml:space="preserve"> </w:t>
      </w:r>
      <w:r>
        <w:rPr>
          <w:color w:val="231F20"/>
          <w:sz w:val="21"/>
        </w:rPr>
        <w:t>роботи);</w:t>
      </w:r>
    </w:p>
    <w:p w14:paraId="5EEFC581" w14:textId="77777777" w:rsidR="00DE575E" w:rsidRDefault="002E7560">
      <w:pPr>
        <w:pStyle w:val="ListParagraph"/>
        <w:numPr>
          <w:ilvl w:val="0"/>
          <w:numId w:val="14"/>
        </w:numPr>
        <w:tabs>
          <w:tab w:val="left" w:pos="1101"/>
        </w:tabs>
        <w:spacing w:line="252" w:lineRule="auto"/>
        <w:ind w:right="125" w:firstLine="284"/>
        <w:rPr>
          <w:sz w:val="21"/>
        </w:rPr>
      </w:pPr>
      <w:r>
        <w:rPr>
          <w:color w:val="231F20"/>
          <w:sz w:val="21"/>
        </w:rPr>
        <w:t>майнові, які спрямовані на майновий  стан  правопоруш-  ника (штраф, оплатне вилучення предмета, конфіскація предмета, виправні</w:t>
      </w:r>
      <w:r>
        <w:rPr>
          <w:color w:val="231F20"/>
          <w:spacing w:val="-2"/>
          <w:sz w:val="21"/>
        </w:rPr>
        <w:t xml:space="preserve"> </w:t>
      </w:r>
      <w:r>
        <w:rPr>
          <w:color w:val="231F20"/>
          <w:sz w:val="21"/>
        </w:rPr>
        <w:t>роботи);</w:t>
      </w:r>
    </w:p>
    <w:p w14:paraId="2F78C818" w14:textId="77777777" w:rsidR="00DE575E" w:rsidRDefault="002E7560">
      <w:pPr>
        <w:pStyle w:val="ListParagraph"/>
        <w:numPr>
          <w:ilvl w:val="0"/>
          <w:numId w:val="14"/>
        </w:numPr>
        <w:tabs>
          <w:tab w:val="left" w:pos="1101"/>
        </w:tabs>
        <w:spacing w:line="252" w:lineRule="auto"/>
        <w:ind w:right="126" w:firstLine="284"/>
        <w:rPr>
          <w:sz w:val="21"/>
        </w:rPr>
      </w:pPr>
      <w:r>
        <w:rPr>
          <w:color w:val="231F20"/>
          <w:sz w:val="21"/>
        </w:rPr>
        <w:t>особисто-майнові (позбавлення спеціального права, наданого даному громадянинові, позбавлення права обіймати певні посади або займатися певною</w:t>
      </w:r>
      <w:r>
        <w:rPr>
          <w:color w:val="231F20"/>
          <w:spacing w:val="-3"/>
          <w:sz w:val="21"/>
        </w:rPr>
        <w:t xml:space="preserve"> </w:t>
      </w:r>
      <w:r>
        <w:rPr>
          <w:color w:val="231F20"/>
          <w:sz w:val="21"/>
        </w:rPr>
        <w:t>діяльністю).</w:t>
      </w:r>
    </w:p>
    <w:p w14:paraId="47A11F94" w14:textId="77777777" w:rsidR="00DE575E" w:rsidRDefault="00DE575E">
      <w:pPr>
        <w:pStyle w:val="BodyText"/>
        <w:spacing w:before="6"/>
        <w:rPr>
          <w:sz w:val="12"/>
        </w:rPr>
      </w:pPr>
    </w:p>
    <w:p w14:paraId="0B4548F6" w14:textId="77777777" w:rsidR="00DE575E" w:rsidRDefault="002E7560">
      <w:pPr>
        <w:spacing w:before="92"/>
        <w:ind w:left="533"/>
        <w:rPr>
          <w:rFonts w:ascii="Times New Roman"/>
          <w:sz w:val="20"/>
        </w:rPr>
      </w:pPr>
      <w:r>
        <w:rPr>
          <w:rFonts w:ascii="Times New Roman"/>
          <w:color w:val="231F20"/>
          <w:sz w:val="20"/>
        </w:rPr>
        <w:t>502</w:t>
      </w:r>
    </w:p>
    <w:p w14:paraId="7C0CB0D2" w14:textId="77777777" w:rsidR="00DE575E" w:rsidRDefault="00DE575E">
      <w:pPr>
        <w:rPr>
          <w:rFonts w:ascii="Times New Roman"/>
          <w:sz w:val="20"/>
        </w:rPr>
        <w:sectPr w:rsidR="00DE575E">
          <w:pgSz w:w="8510" w:h="12760"/>
          <w:pgMar w:top="660" w:right="720" w:bottom="280" w:left="600" w:header="720" w:footer="720" w:gutter="0"/>
          <w:cols w:space="720"/>
        </w:sectPr>
      </w:pPr>
    </w:p>
    <w:p w14:paraId="0DE875FB" w14:textId="77777777" w:rsidR="00DE575E" w:rsidRDefault="002E7560">
      <w:pPr>
        <w:spacing w:before="72" w:line="249" w:lineRule="auto"/>
        <w:ind w:left="2587" w:right="392" w:firstLine="105"/>
        <w:rPr>
          <w:rFonts w:ascii="AdonisC" w:hAnsi="AdonisC"/>
          <w:i/>
          <w:sz w:val="18"/>
        </w:rPr>
      </w:pPr>
      <w:r>
        <w:rPr>
          <w:rFonts w:ascii="AdonisC" w:hAnsi="AdonisC"/>
          <w:i/>
          <w:color w:val="231F20"/>
          <w:sz w:val="18"/>
        </w:rPr>
        <w:t>Глава ІІ Особливе адміністративне право/ Книга ІІ Розділ 4. Заходи адміністративно</w:t>
      </w:r>
      <w:r>
        <w:rPr>
          <w:rFonts w:ascii="AdonisC" w:hAnsi="AdonisC"/>
          <w:i/>
          <w:color w:val="231F20"/>
          <w:sz w:val="18"/>
        </w:rPr>
        <w:t>ї відповідальності</w:t>
      </w:r>
    </w:p>
    <w:p w14:paraId="2A02E43E" w14:textId="73950AE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0967E20" wp14:editId="7CE8370E">
                <wp:extent cx="4140200" cy="6350"/>
                <wp:effectExtent l="0" t="0" r="12700" b="6350"/>
                <wp:docPr id="16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62" name="Line 1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E414D2" id="Group_x0020_1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k/yXfQIAAJgFAAAOAAAA&#10;AAAAAAAAAAAAACwCAABkcnMvZTJvRG9jLnhtbFBLAQItABQABgAIAAAAIQBMp7CQ2QAAAAMBAAAP&#10;AAAAAAAAAAAAAAAAANUEAABkcnMvZG93bnJldi54bWxQSwUGAAAAAAQABADzAAAA2wUAAAAA&#10;">
                <v:line id="Line_x0020_1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WXOcMAAADcAAAADwAAAGRycy9kb3ducmV2LnhtbERPzYrCMBC+L/gOYYS9LJqugkg1iggL&#10;4kFd6wOMzdgWk0ltou3u02+EBW/z8f3OfNlZIx7U+Mqxgs9hAoI4d7riQsEp+xpMQfiArNE4JgU/&#10;5GG56L3NMdWu5W96HEMhYgj7FBWUIdSplD4vyaIfupo4chfXWAwRNoXUDbYx3Bo5SpKJtFhxbCix&#10;pnVJ+fV4twqy20cwh/3WtNn+PJbn2278e98p9d7vVjMQgbrwEv+7NzrOn4zg+Uy8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XFlznDAAAA3AAAAA8AAAAAAAAAAAAA&#10;AAAAoQIAAGRycy9kb3ducmV2LnhtbFBLBQYAAAAABAAEAPkAAACRAwAAAAA=&#10;" strokecolor="#231f20" strokeweight=".5pt"/>
                <w10:anchorlock/>
              </v:group>
            </w:pict>
          </mc:Fallback>
        </mc:AlternateContent>
      </w:r>
    </w:p>
    <w:p w14:paraId="4BFAF1FE" w14:textId="77777777" w:rsidR="00DE575E" w:rsidRDefault="00DE575E">
      <w:pPr>
        <w:pStyle w:val="BodyText"/>
        <w:spacing w:before="7"/>
        <w:rPr>
          <w:rFonts w:ascii="AdonisC"/>
          <w:i/>
          <w:sz w:val="19"/>
        </w:rPr>
      </w:pPr>
    </w:p>
    <w:p w14:paraId="75228472" w14:textId="77777777" w:rsidR="00DE575E" w:rsidRDefault="002E7560">
      <w:pPr>
        <w:spacing w:before="1"/>
        <w:ind w:left="533"/>
        <w:rPr>
          <w:sz w:val="21"/>
        </w:rPr>
      </w:pPr>
      <w:r>
        <w:rPr>
          <w:b/>
          <w:i/>
          <w:color w:val="231F20"/>
          <w:sz w:val="21"/>
        </w:rPr>
        <w:t xml:space="preserve">Залежно від суб’єкта застосування </w:t>
      </w:r>
      <w:r>
        <w:rPr>
          <w:color w:val="231F20"/>
          <w:sz w:val="21"/>
        </w:rPr>
        <w:t>– такі, що:</w:t>
      </w:r>
    </w:p>
    <w:p w14:paraId="48400E30" w14:textId="77777777" w:rsidR="00DE575E" w:rsidRDefault="002E7560">
      <w:pPr>
        <w:pStyle w:val="ListParagraph"/>
        <w:numPr>
          <w:ilvl w:val="0"/>
          <w:numId w:val="51"/>
        </w:numPr>
        <w:tabs>
          <w:tab w:val="left" w:pos="818"/>
        </w:tabs>
        <w:spacing w:before="12" w:line="252" w:lineRule="auto"/>
        <w:ind w:right="409" w:firstLine="283"/>
        <w:rPr>
          <w:sz w:val="21"/>
        </w:rPr>
      </w:pPr>
      <w:r>
        <w:rPr>
          <w:color w:val="231F20"/>
          <w:sz w:val="21"/>
        </w:rPr>
        <w:t xml:space="preserve">застосовуються лише </w:t>
      </w:r>
      <w:r>
        <w:rPr>
          <w:color w:val="231F20"/>
          <w:spacing w:val="-3"/>
          <w:sz w:val="21"/>
        </w:rPr>
        <w:t xml:space="preserve">судами </w:t>
      </w:r>
      <w:r>
        <w:rPr>
          <w:color w:val="231F20"/>
          <w:sz w:val="21"/>
        </w:rPr>
        <w:t>(оплатне вилучення предмета, конфіскація предмета, позбавлення спеціального права, наданого певному громадянинові, позбавлення права обіймати певні посади або займатися певною діяльністю, виправні роботи, громадські роботи, адміністративний</w:t>
      </w:r>
      <w:r>
        <w:rPr>
          <w:color w:val="231F20"/>
          <w:spacing w:val="-3"/>
          <w:sz w:val="21"/>
        </w:rPr>
        <w:t xml:space="preserve"> </w:t>
      </w:r>
      <w:r>
        <w:rPr>
          <w:color w:val="231F20"/>
          <w:sz w:val="21"/>
        </w:rPr>
        <w:t>арешт);</w:t>
      </w:r>
    </w:p>
    <w:p w14:paraId="5C6D1C2E" w14:textId="77777777" w:rsidR="00DE575E" w:rsidRDefault="002E7560">
      <w:pPr>
        <w:pStyle w:val="ListParagraph"/>
        <w:numPr>
          <w:ilvl w:val="0"/>
          <w:numId w:val="51"/>
        </w:numPr>
        <w:tabs>
          <w:tab w:val="left" w:pos="818"/>
        </w:tabs>
        <w:spacing w:before="3" w:line="252" w:lineRule="auto"/>
        <w:ind w:right="411" w:firstLine="283"/>
        <w:rPr>
          <w:sz w:val="21"/>
        </w:rPr>
      </w:pPr>
      <w:r>
        <w:rPr>
          <w:color w:val="231F20"/>
          <w:sz w:val="21"/>
        </w:rPr>
        <w:t>застосо</w:t>
      </w:r>
      <w:r>
        <w:rPr>
          <w:color w:val="231F20"/>
          <w:sz w:val="21"/>
        </w:rPr>
        <w:t xml:space="preserve">вуються іншими органами та посадовими особами (попередження, штраф, адміністративне видворення за межі </w:t>
      </w:r>
      <w:r>
        <w:rPr>
          <w:color w:val="231F20"/>
          <w:spacing w:val="-3"/>
          <w:sz w:val="21"/>
        </w:rPr>
        <w:t>України).</w:t>
      </w:r>
    </w:p>
    <w:p w14:paraId="60DEFB42" w14:textId="77777777" w:rsidR="00DE575E" w:rsidRDefault="002E7560">
      <w:pPr>
        <w:pStyle w:val="BodyText"/>
        <w:spacing w:before="1" w:line="252" w:lineRule="auto"/>
        <w:ind w:left="250" w:right="410" w:firstLine="283"/>
        <w:jc w:val="both"/>
      </w:pPr>
      <w:r>
        <w:rPr>
          <w:b/>
          <w:color w:val="231F20"/>
        </w:rPr>
        <w:t xml:space="preserve">Попередження </w:t>
      </w:r>
      <w:r>
        <w:rPr>
          <w:color w:val="231F20"/>
          <w:spacing w:val="-5"/>
        </w:rPr>
        <w:t xml:space="preserve">(ст. </w:t>
      </w:r>
      <w:r>
        <w:rPr>
          <w:color w:val="231F20"/>
        </w:rPr>
        <w:t xml:space="preserve">26 </w:t>
      </w:r>
      <w:r>
        <w:rPr>
          <w:color w:val="231F20"/>
          <w:spacing w:val="-3"/>
        </w:rPr>
        <w:t xml:space="preserve">КУпАП) </w:t>
      </w:r>
      <w:r>
        <w:rPr>
          <w:color w:val="231F20"/>
        </w:rPr>
        <w:t>застосовується як  самостійна міра за вчинення незначних адміністративних порушень, а також щодо осіб, які вперше в</w:t>
      </w:r>
      <w:r>
        <w:rPr>
          <w:color w:val="231F20"/>
        </w:rPr>
        <w:t>чинили проступок і при цьому мають пози- тивні характеристики. Зміст попередження як міри адміністратив- ного стягнення полягає в офіційному, від імені держави, осудженні протиправного діяння органом публічної влади й у попередженні правопорушника</w:t>
      </w:r>
      <w:r>
        <w:rPr>
          <w:color w:val="231F20"/>
          <w:spacing w:val="-9"/>
        </w:rPr>
        <w:t xml:space="preserve"> </w:t>
      </w:r>
      <w:r>
        <w:rPr>
          <w:color w:val="231F20"/>
        </w:rPr>
        <w:t>про</w:t>
      </w:r>
      <w:r>
        <w:rPr>
          <w:color w:val="231F20"/>
          <w:spacing w:val="-9"/>
        </w:rPr>
        <w:t xml:space="preserve"> </w:t>
      </w:r>
      <w:r>
        <w:rPr>
          <w:color w:val="231F20"/>
        </w:rPr>
        <w:t>непр</w:t>
      </w:r>
      <w:r>
        <w:rPr>
          <w:color w:val="231F20"/>
        </w:rPr>
        <w:t>ипустимість</w:t>
      </w:r>
      <w:r>
        <w:rPr>
          <w:color w:val="231F20"/>
          <w:spacing w:val="-9"/>
        </w:rPr>
        <w:t xml:space="preserve"> </w:t>
      </w:r>
      <w:r>
        <w:rPr>
          <w:color w:val="231F20"/>
        </w:rPr>
        <w:t>таких</w:t>
      </w:r>
      <w:r>
        <w:rPr>
          <w:color w:val="231F20"/>
          <w:spacing w:val="-9"/>
        </w:rPr>
        <w:t xml:space="preserve"> </w:t>
      </w:r>
      <w:r>
        <w:rPr>
          <w:color w:val="231F20"/>
        </w:rPr>
        <w:t>дій</w:t>
      </w:r>
      <w:r>
        <w:rPr>
          <w:color w:val="231F20"/>
          <w:spacing w:val="-9"/>
        </w:rPr>
        <w:t xml:space="preserve"> </w:t>
      </w:r>
      <w:r>
        <w:rPr>
          <w:color w:val="231F20"/>
        </w:rPr>
        <w:t>надалі.</w:t>
      </w:r>
      <w:r>
        <w:rPr>
          <w:color w:val="231F20"/>
          <w:spacing w:val="-9"/>
        </w:rPr>
        <w:t xml:space="preserve"> </w:t>
      </w:r>
      <w:r>
        <w:rPr>
          <w:color w:val="231F20"/>
        </w:rPr>
        <w:t>Воно</w:t>
      </w:r>
      <w:r>
        <w:rPr>
          <w:color w:val="231F20"/>
          <w:spacing w:val="-9"/>
        </w:rPr>
        <w:t xml:space="preserve"> </w:t>
      </w:r>
      <w:r>
        <w:rPr>
          <w:color w:val="231F20"/>
        </w:rPr>
        <w:t>розра- ховане на виховний ефект і не зачіпає ні майнових, ні інших прав порушника</w:t>
      </w:r>
      <w:r>
        <w:rPr>
          <w:color w:val="231F20"/>
          <w:position w:val="7"/>
          <w:sz w:val="12"/>
        </w:rPr>
        <w:t>1</w:t>
      </w:r>
      <w:r>
        <w:rPr>
          <w:color w:val="231F20"/>
        </w:rPr>
        <w:t>.</w:t>
      </w:r>
    </w:p>
    <w:p w14:paraId="6559F80E" w14:textId="77777777" w:rsidR="00DE575E" w:rsidRDefault="002E7560">
      <w:pPr>
        <w:pStyle w:val="BodyText"/>
        <w:spacing w:before="5" w:line="252" w:lineRule="auto"/>
        <w:ind w:left="250" w:right="409" w:firstLine="283"/>
        <w:jc w:val="both"/>
      </w:pPr>
      <w:r>
        <w:rPr>
          <w:b/>
          <w:color w:val="231F20"/>
        </w:rPr>
        <w:t xml:space="preserve">Штраф </w:t>
      </w:r>
      <w:r>
        <w:rPr>
          <w:color w:val="231F20"/>
          <w:spacing w:val="-5"/>
        </w:rPr>
        <w:t xml:space="preserve">(ст. </w:t>
      </w:r>
      <w:r>
        <w:rPr>
          <w:color w:val="231F20"/>
        </w:rPr>
        <w:t xml:space="preserve">27 </w:t>
      </w:r>
      <w:r>
        <w:rPr>
          <w:color w:val="231F20"/>
          <w:spacing w:val="-3"/>
        </w:rPr>
        <w:t xml:space="preserve">КУпАП) </w:t>
      </w:r>
      <w:r>
        <w:rPr>
          <w:color w:val="231F20"/>
        </w:rPr>
        <w:t xml:space="preserve">– це грошове стягнення, що накладається на громадян і посадових осіб за адміністративні правопорушення    у випадках і розмірі, встановлених законодавством </w:t>
      </w:r>
      <w:r>
        <w:rPr>
          <w:color w:val="231F20"/>
          <w:spacing w:val="-3"/>
        </w:rPr>
        <w:t xml:space="preserve">України. </w:t>
      </w:r>
      <w:r>
        <w:rPr>
          <w:color w:val="231F20"/>
        </w:rPr>
        <w:t xml:space="preserve">Він накладається на правопорушників в адміністративному або </w:t>
      </w:r>
      <w:r>
        <w:rPr>
          <w:color w:val="231F20"/>
          <w:spacing w:val="-3"/>
        </w:rPr>
        <w:t xml:space="preserve">судо- </w:t>
      </w:r>
      <w:r>
        <w:rPr>
          <w:color w:val="231F20"/>
        </w:rPr>
        <w:t>вому порядку у випадках і</w:t>
      </w:r>
      <w:r>
        <w:rPr>
          <w:color w:val="231F20"/>
        </w:rPr>
        <w:t xml:space="preserve"> межах, передбачених законом. Розмір штрафу визначається переважно щодо офіційно встановленого розміру</w:t>
      </w:r>
      <w:r>
        <w:rPr>
          <w:color w:val="231F20"/>
          <w:spacing w:val="-8"/>
        </w:rPr>
        <w:t xml:space="preserve"> </w:t>
      </w:r>
      <w:r>
        <w:rPr>
          <w:color w:val="231F20"/>
        </w:rPr>
        <w:t>неоподатковуваного</w:t>
      </w:r>
      <w:r>
        <w:rPr>
          <w:color w:val="231F20"/>
          <w:spacing w:val="-8"/>
        </w:rPr>
        <w:t xml:space="preserve"> </w:t>
      </w:r>
      <w:r>
        <w:rPr>
          <w:color w:val="231F20"/>
        </w:rPr>
        <w:t>мінімуму</w:t>
      </w:r>
      <w:r>
        <w:rPr>
          <w:color w:val="231F20"/>
          <w:spacing w:val="-8"/>
        </w:rPr>
        <w:t xml:space="preserve"> </w:t>
      </w:r>
      <w:r>
        <w:rPr>
          <w:color w:val="231F20"/>
          <w:spacing w:val="-3"/>
        </w:rPr>
        <w:t>доходів</w:t>
      </w:r>
      <w:r>
        <w:rPr>
          <w:color w:val="231F20"/>
          <w:spacing w:val="-8"/>
        </w:rPr>
        <w:t xml:space="preserve"> </w:t>
      </w:r>
      <w:r>
        <w:rPr>
          <w:color w:val="231F20"/>
        </w:rPr>
        <w:t>громадян</w:t>
      </w:r>
      <w:r>
        <w:rPr>
          <w:color w:val="231F20"/>
          <w:spacing w:val="-8"/>
        </w:rPr>
        <w:t xml:space="preserve"> </w:t>
      </w:r>
      <w:r>
        <w:rPr>
          <w:color w:val="231F20"/>
        </w:rPr>
        <w:t>або,</w:t>
      </w:r>
      <w:r>
        <w:rPr>
          <w:color w:val="231F20"/>
          <w:spacing w:val="-8"/>
        </w:rPr>
        <w:t xml:space="preserve"> </w:t>
      </w:r>
      <w:r>
        <w:rPr>
          <w:color w:val="231F20"/>
        </w:rPr>
        <w:t>в</w:t>
      </w:r>
      <w:r>
        <w:rPr>
          <w:color w:val="231F20"/>
          <w:spacing w:val="-8"/>
        </w:rPr>
        <w:t xml:space="preserve"> </w:t>
      </w:r>
      <w:r>
        <w:rPr>
          <w:color w:val="231F20"/>
        </w:rPr>
        <w:t xml:space="preserve">окре- мих випадках, у кратному розмірі до вартості </w:t>
      </w:r>
      <w:r>
        <w:rPr>
          <w:color w:val="231F20"/>
          <w:spacing w:val="-3"/>
        </w:rPr>
        <w:t xml:space="preserve">проїзду. </w:t>
      </w:r>
      <w:r>
        <w:rPr>
          <w:color w:val="231F20"/>
        </w:rPr>
        <w:t>Щодо посадо- вих осіб, на відміну від громадян, чинним законодавством встанов- лено більш високі розміри</w:t>
      </w:r>
      <w:r>
        <w:rPr>
          <w:color w:val="231F20"/>
          <w:spacing w:val="-5"/>
        </w:rPr>
        <w:t xml:space="preserve"> </w:t>
      </w:r>
      <w:r>
        <w:rPr>
          <w:color w:val="231F20"/>
        </w:rPr>
        <w:t>штрафів.</w:t>
      </w:r>
    </w:p>
    <w:p w14:paraId="478E0C33" w14:textId="77777777" w:rsidR="00DE575E" w:rsidRDefault="002E7560">
      <w:pPr>
        <w:pStyle w:val="BodyText"/>
        <w:spacing w:before="5" w:line="252" w:lineRule="auto"/>
        <w:ind w:left="250" w:right="411" w:firstLine="283"/>
        <w:jc w:val="both"/>
      </w:pPr>
      <w:r>
        <w:rPr>
          <w:b/>
          <w:color w:val="231F20"/>
        </w:rPr>
        <w:t xml:space="preserve">Штрафні бали </w:t>
      </w:r>
      <w:r>
        <w:rPr>
          <w:color w:val="231F20"/>
        </w:rPr>
        <w:t xml:space="preserve">(стаття 27-1 </w:t>
      </w:r>
      <w:r>
        <w:rPr>
          <w:color w:val="231F20"/>
          <w:spacing w:val="-3"/>
        </w:rPr>
        <w:t xml:space="preserve">КУпАП) </w:t>
      </w:r>
      <w:r>
        <w:rPr>
          <w:color w:val="231F20"/>
        </w:rPr>
        <w:t>є стягненням, що наклада- ється</w:t>
      </w:r>
      <w:r>
        <w:rPr>
          <w:color w:val="231F20"/>
          <w:spacing w:val="-10"/>
        </w:rPr>
        <w:t xml:space="preserve"> </w:t>
      </w:r>
      <w:r>
        <w:rPr>
          <w:color w:val="231F20"/>
        </w:rPr>
        <w:t>на</w:t>
      </w:r>
      <w:r>
        <w:rPr>
          <w:color w:val="231F20"/>
          <w:spacing w:val="-10"/>
        </w:rPr>
        <w:t xml:space="preserve"> </w:t>
      </w:r>
      <w:r>
        <w:rPr>
          <w:color w:val="231F20"/>
        </w:rPr>
        <w:t>громадян</w:t>
      </w:r>
      <w:r>
        <w:rPr>
          <w:color w:val="231F20"/>
          <w:spacing w:val="-10"/>
        </w:rPr>
        <w:t xml:space="preserve"> </w:t>
      </w:r>
      <w:r>
        <w:rPr>
          <w:color w:val="231F20"/>
        </w:rPr>
        <w:t>за</w:t>
      </w:r>
      <w:r>
        <w:rPr>
          <w:color w:val="231F20"/>
          <w:spacing w:val="-10"/>
        </w:rPr>
        <w:t xml:space="preserve"> </w:t>
      </w:r>
      <w:r>
        <w:rPr>
          <w:color w:val="231F20"/>
        </w:rPr>
        <w:t>правопорушення</w:t>
      </w:r>
      <w:r>
        <w:rPr>
          <w:color w:val="231F20"/>
          <w:spacing w:val="-11"/>
        </w:rPr>
        <w:t xml:space="preserve"> </w:t>
      </w:r>
      <w:r>
        <w:rPr>
          <w:color w:val="231F20"/>
        </w:rPr>
        <w:t>у</w:t>
      </w:r>
      <w:r>
        <w:rPr>
          <w:color w:val="231F20"/>
          <w:spacing w:val="-11"/>
        </w:rPr>
        <w:t xml:space="preserve"> </w:t>
      </w:r>
      <w:r>
        <w:rPr>
          <w:color w:val="231F20"/>
        </w:rPr>
        <w:t>сфері</w:t>
      </w:r>
      <w:r>
        <w:rPr>
          <w:color w:val="231F20"/>
          <w:spacing w:val="-10"/>
        </w:rPr>
        <w:t xml:space="preserve"> </w:t>
      </w:r>
      <w:r>
        <w:rPr>
          <w:color w:val="231F20"/>
        </w:rPr>
        <w:t>забезпечення</w:t>
      </w:r>
      <w:r>
        <w:rPr>
          <w:color w:val="231F20"/>
          <w:spacing w:val="-11"/>
        </w:rPr>
        <w:t xml:space="preserve"> </w:t>
      </w:r>
      <w:r>
        <w:rPr>
          <w:color w:val="231F20"/>
        </w:rPr>
        <w:t xml:space="preserve">безпеки дорожнього </w:t>
      </w:r>
      <w:r>
        <w:rPr>
          <w:color w:val="231F20"/>
          <w:spacing w:val="-5"/>
        </w:rPr>
        <w:t xml:space="preserve">руху, </w:t>
      </w:r>
      <w:r>
        <w:rPr>
          <w:color w:val="231F20"/>
        </w:rPr>
        <w:t>з</w:t>
      </w:r>
      <w:r>
        <w:rPr>
          <w:color w:val="231F20"/>
        </w:rPr>
        <w:t>афіксовані в автоматичному режимі, установ- лені</w:t>
      </w:r>
      <w:r>
        <w:rPr>
          <w:color w:val="231F20"/>
          <w:spacing w:val="-6"/>
        </w:rPr>
        <w:t xml:space="preserve"> </w:t>
      </w:r>
      <w:r>
        <w:rPr>
          <w:color w:val="231F20"/>
          <w:spacing w:val="-3"/>
        </w:rPr>
        <w:t>КУпАП.</w:t>
      </w:r>
      <w:r>
        <w:rPr>
          <w:color w:val="231F20"/>
          <w:spacing w:val="-6"/>
        </w:rPr>
        <w:t xml:space="preserve"> </w:t>
      </w:r>
      <w:r>
        <w:rPr>
          <w:color w:val="231F20"/>
        </w:rPr>
        <w:t>Кожному</w:t>
      </w:r>
      <w:r>
        <w:rPr>
          <w:color w:val="231F20"/>
          <w:spacing w:val="-6"/>
        </w:rPr>
        <w:t xml:space="preserve"> </w:t>
      </w:r>
      <w:r>
        <w:rPr>
          <w:color w:val="231F20"/>
        </w:rPr>
        <w:t>громадянину,</w:t>
      </w:r>
      <w:r>
        <w:rPr>
          <w:color w:val="231F20"/>
          <w:spacing w:val="-6"/>
        </w:rPr>
        <w:t xml:space="preserve"> </w:t>
      </w:r>
      <w:r>
        <w:rPr>
          <w:color w:val="231F20"/>
        </w:rPr>
        <w:t>який</w:t>
      </w:r>
      <w:r>
        <w:rPr>
          <w:color w:val="231F20"/>
          <w:spacing w:val="-6"/>
        </w:rPr>
        <w:t xml:space="preserve"> </w:t>
      </w:r>
      <w:r>
        <w:rPr>
          <w:color w:val="231F20"/>
        </w:rPr>
        <w:t>має</w:t>
      </w:r>
      <w:r>
        <w:rPr>
          <w:color w:val="231F20"/>
          <w:spacing w:val="-6"/>
        </w:rPr>
        <w:t xml:space="preserve"> </w:t>
      </w:r>
      <w:r>
        <w:rPr>
          <w:color w:val="231F20"/>
        </w:rPr>
        <w:t>право</w:t>
      </w:r>
      <w:r>
        <w:rPr>
          <w:color w:val="231F20"/>
          <w:spacing w:val="-6"/>
        </w:rPr>
        <w:t xml:space="preserve"> </w:t>
      </w:r>
      <w:r>
        <w:rPr>
          <w:color w:val="231F20"/>
        </w:rPr>
        <w:t>керування</w:t>
      </w:r>
      <w:r>
        <w:rPr>
          <w:color w:val="231F20"/>
          <w:spacing w:val="-6"/>
        </w:rPr>
        <w:t xml:space="preserve"> </w:t>
      </w:r>
      <w:r>
        <w:rPr>
          <w:color w:val="231F20"/>
        </w:rPr>
        <w:t>тран- спортним засобом, щороку з початку року (з дня отримання права керування транспортним засобом) і до кінця року нараховується 150</w:t>
      </w:r>
      <w:r>
        <w:rPr>
          <w:color w:val="231F20"/>
          <w:spacing w:val="-1"/>
        </w:rPr>
        <w:t xml:space="preserve"> </w:t>
      </w:r>
      <w:r>
        <w:rPr>
          <w:color w:val="231F20"/>
        </w:rPr>
        <w:t>балів.</w:t>
      </w:r>
    </w:p>
    <w:p w14:paraId="2F76D593" w14:textId="77777777" w:rsidR="00DE575E" w:rsidRDefault="00DE575E">
      <w:pPr>
        <w:pStyle w:val="BodyText"/>
        <w:rPr>
          <w:sz w:val="20"/>
        </w:rPr>
      </w:pPr>
    </w:p>
    <w:p w14:paraId="7CEC2218" w14:textId="0806F920" w:rsidR="00DE575E" w:rsidRDefault="002E7560">
      <w:pPr>
        <w:pStyle w:val="BodyText"/>
        <w:spacing w:before="7"/>
        <w:rPr>
          <w:sz w:val="10"/>
        </w:rPr>
      </w:pPr>
      <w:r>
        <w:rPr>
          <w:noProof/>
        </w:rPr>
        <mc:AlternateContent>
          <mc:Choice Requires="wps">
            <w:drawing>
              <wp:anchor distT="0" distB="0" distL="0" distR="0" simplePos="0" relativeHeight="18952" behindDoc="0" locked="0" layoutInCell="1" allowOverlap="1" wp14:anchorId="2B4FA0D0" wp14:editId="40EABAA4">
                <wp:simplePos x="0" y="0"/>
                <wp:positionH relativeFrom="page">
                  <wp:posOffset>539750</wp:posOffset>
                </wp:positionH>
                <wp:positionV relativeFrom="paragraph">
                  <wp:posOffset>106680</wp:posOffset>
                </wp:positionV>
                <wp:extent cx="1080135" cy="0"/>
                <wp:effectExtent l="6350" t="17780" r="31115" b="20320"/>
                <wp:wrapTopAndBottom/>
                <wp:docPr id="16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5D03A" id="Line_x0020_159" o:spid="_x0000_s1026" style="position:absolute;z-index:18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4pt" to="127.55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" strokecolor="#231f20" strokeweight=".5pt">
                <w10:wrap type="topAndBottom" anchorx="page"/>
              </v:line>
            </w:pict>
          </mc:Fallback>
        </mc:AlternateContent>
      </w:r>
    </w:p>
    <w:p w14:paraId="09E4EDAE" w14:textId="77777777" w:rsidR="00DE575E" w:rsidRDefault="002E7560">
      <w:pPr>
        <w:spacing w:before="16" w:line="259" w:lineRule="auto"/>
        <w:ind w:left="250" w:right="411"/>
        <w:jc w:val="both"/>
        <w:rPr>
          <w:sz w:val="16"/>
        </w:rPr>
      </w:pPr>
      <w:r>
        <w:rPr>
          <w:color w:val="231F20"/>
          <w:position w:val="5"/>
          <w:sz w:val="9"/>
        </w:rPr>
        <w:t xml:space="preserve">1     </w:t>
      </w:r>
      <w:r>
        <w:rPr>
          <w:color w:val="231F20"/>
          <w:spacing w:val="-3"/>
          <w:sz w:val="16"/>
        </w:rPr>
        <w:t>Гон</w:t>
      </w:r>
      <w:r>
        <w:rPr>
          <w:color w:val="231F20"/>
          <w:spacing w:val="-3"/>
          <w:sz w:val="16"/>
        </w:rPr>
        <w:t xml:space="preserve">чарук </w:t>
      </w:r>
      <w:r>
        <w:rPr>
          <w:color w:val="231F20"/>
          <w:sz w:val="16"/>
        </w:rPr>
        <w:t xml:space="preserve">С. Адміністративні стягнення в системі заходів адміністративного примусу  та проблеми їх удосконалення. </w:t>
      </w:r>
      <w:r>
        <w:rPr>
          <w:i/>
          <w:color w:val="231F20"/>
          <w:sz w:val="16"/>
        </w:rPr>
        <w:t>Бюлетень Міністерства юстиції України</w:t>
      </w:r>
      <w:r>
        <w:rPr>
          <w:color w:val="231F20"/>
          <w:sz w:val="16"/>
        </w:rPr>
        <w:t>. 2006. № 6 (56). С. 35-45.</w:t>
      </w:r>
    </w:p>
    <w:p w14:paraId="2E7EE289" w14:textId="77777777" w:rsidR="00DE575E" w:rsidRDefault="00DE575E">
      <w:pPr>
        <w:pStyle w:val="BodyText"/>
        <w:spacing w:before="6"/>
        <w:rPr>
          <w:sz w:val="10"/>
        </w:rPr>
      </w:pPr>
    </w:p>
    <w:p w14:paraId="54C56FB2" w14:textId="77777777" w:rsidR="00DE575E" w:rsidRDefault="002E7560">
      <w:pPr>
        <w:spacing w:before="92"/>
        <w:ind w:right="411"/>
        <w:jc w:val="right"/>
        <w:rPr>
          <w:rFonts w:ascii="Times New Roman"/>
          <w:sz w:val="20"/>
        </w:rPr>
      </w:pPr>
      <w:r>
        <w:rPr>
          <w:rFonts w:ascii="Times New Roman"/>
          <w:color w:val="231F20"/>
          <w:w w:val="90"/>
          <w:sz w:val="20"/>
        </w:rPr>
        <w:t>503</w:t>
      </w:r>
    </w:p>
    <w:p w14:paraId="355AD5E8"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8CD01B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BC8B568" w14:textId="671380D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8D90BA1" wp14:editId="2AC1C79C">
                <wp:extent cx="4140200" cy="6350"/>
                <wp:effectExtent l="0" t="0" r="12700" b="6350"/>
                <wp:docPr id="15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59" name="Line 15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5C2A3" id="Group_x0020_15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Th50eX4CAACYBQAADgAA&#10;AAAAAAAAAAAAAAAsAgAAZHJzL2Uyb0RvYy54bWxQSwECLQAUAAYACAAAACEATKewkNkAAAADAQAA&#10;DwAAAAAAAAAAAAAAAADWBAAAZHJzL2Rvd25yZXYueG1sUEsFBgAAAAAEAAQA8wAAANwFAAAAAA==&#10;">
                <v:line id="Line_x0020_15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3P9cQAAADcAAAADwAAAGRycy9kb3ducmV2LnhtbERP22rCQBB9L/gPywh9KbqpUtHoKlIQ&#10;Sh+8xQ8Ys2MS3J2N2dWk/fpuodC3OZzrLFadNeJBja8cK3gdJiCIc6crLhScss1gCsIHZI3GMSn4&#10;Ig+rZe9pgal2LR/ocQyFiCHsU1RQhlCnUvq8JIt+6GriyF1cYzFE2BRSN9jGcGvkKEkm0mLFsaHE&#10;mt5Lyq/Hu1WQ3V6C2e8+TZvtzmN5vm3H3/etUs/9bj0HEagL/+I/94eO899m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Dc/1xAAAANwAAAAPAAAAAAAAAAAA&#10;AAAAAKECAABkcnMvZG93bnJldi54bWxQSwUGAAAAAAQABAD5AAAAkgMAAAAA&#10;" strokecolor="#231f20" strokeweight=".5pt"/>
                <w10:anchorlock/>
              </v:group>
            </w:pict>
          </mc:Fallback>
        </mc:AlternateContent>
      </w:r>
    </w:p>
    <w:p w14:paraId="0DE43977" w14:textId="77777777" w:rsidR="00DE575E" w:rsidRDefault="00DE575E">
      <w:pPr>
        <w:pStyle w:val="BodyText"/>
        <w:spacing w:before="7"/>
        <w:rPr>
          <w:rFonts w:ascii="AdonisC"/>
          <w:i/>
          <w:sz w:val="11"/>
        </w:rPr>
      </w:pPr>
    </w:p>
    <w:p w14:paraId="077D4640" w14:textId="77777777" w:rsidR="00DE575E" w:rsidRDefault="002E7560">
      <w:pPr>
        <w:pStyle w:val="BodyText"/>
        <w:spacing w:before="101" w:line="252" w:lineRule="auto"/>
        <w:ind w:left="533" w:right="126" w:firstLine="283"/>
        <w:jc w:val="both"/>
      </w:pPr>
      <w:r>
        <w:rPr>
          <w:color w:val="231F20"/>
        </w:rPr>
        <w:t>У разі фіксації правопорушення у сфері забезпечення безпеки дорожнього руху в автоматичному режимі від загальної кількості балів громадянина, який вчинив правопорушення, вираховується кількіс</w:t>
      </w:r>
      <w:r>
        <w:rPr>
          <w:color w:val="231F20"/>
        </w:rPr>
        <w:t>ть штрафних балів, передбачених відповідною статтею Особ- ливої частини цього Кодексу.</w:t>
      </w:r>
    </w:p>
    <w:p w14:paraId="6BFCCBAE" w14:textId="77777777" w:rsidR="00DE575E" w:rsidRDefault="002E7560">
      <w:pPr>
        <w:pStyle w:val="BodyText"/>
        <w:spacing w:before="2" w:line="252" w:lineRule="auto"/>
        <w:ind w:left="533" w:right="128" w:firstLine="283"/>
        <w:jc w:val="both"/>
      </w:pPr>
      <w:r>
        <w:rPr>
          <w:color w:val="231F20"/>
        </w:rPr>
        <w:t>У разі якщо розмір стягнення у формі штрафних балів переви- щує</w:t>
      </w:r>
      <w:r>
        <w:rPr>
          <w:color w:val="231F20"/>
          <w:spacing w:val="-11"/>
        </w:rPr>
        <w:t xml:space="preserve"> </w:t>
      </w:r>
      <w:r>
        <w:rPr>
          <w:color w:val="231F20"/>
        </w:rPr>
        <w:t>залишок</w:t>
      </w:r>
      <w:r>
        <w:rPr>
          <w:color w:val="231F20"/>
          <w:spacing w:val="-11"/>
        </w:rPr>
        <w:t xml:space="preserve"> </w:t>
      </w:r>
      <w:r>
        <w:rPr>
          <w:color w:val="231F20"/>
        </w:rPr>
        <w:t>балів</w:t>
      </w:r>
      <w:r>
        <w:rPr>
          <w:color w:val="231F20"/>
          <w:spacing w:val="-11"/>
        </w:rPr>
        <w:t xml:space="preserve"> </w:t>
      </w:r>
      <w:r>
        <w:rPr>
          <w:color w:val="231F20"/>
        </w:rPr>
        <w:t>громадянина,</w:t>
      </w:r>
      <w:r>
        <w:rPr>
          <w:color w:val="231F20"/>
          <w:spacing w:val="-11"/>
        </w:rPr>
        <w:t xml:space="preserve"> </w:t>
      </w:r>
      <w:r>
        <w:rPr>
          <w:color w:val="231F20"/>
        </w:rPr>
        <w:t>штрафні</w:t>
      </w:r>
      <w:r>
        <w:rPr>
          <w:color w:val="231F20"/>
          <w:spacing w:val="-11"/>
        </w:rPr>
        <w:t xml:space="preserve"> </w:t>
      </w:r>
      <w:r>
        <w:rPr>
          <w:color w:val="231F20"/>
        </w:rPr>
        <w:t>бали</w:t>
      </w:r>
      <w:r>
        <w:rPr>
          <w:color w:val="231F20"/>
          <w:spacing w:val="-11"/>
        </w:rPr>
        <w:t xml:space="preserve"> </w:t>
      </w:r>
      <w:r>
        <w:rPr>
          <w:color w:val="231F20"/>
        </w:rPr>
        <w:t>накладаються</w:t>
      </w:r>
      <w:r>
        <w:rPr>
          <w:color w:val="231F20"/>
          <w:spacing w:val="-11"/>
        </w:rPr>
        <w:t xml:space="preserve"> </w:t>
      </w:r>
      <w:r>
        <w:rPr>
          <w:color w:val="231F20"/>
        </w:rPr>
        <w:t>відпо- відно до залишку незалежно від розміру штрафних балів, зазначе- них у відповідній статті Особливої частини цього</w:t>
      </w:r>
      <w:r>
        <w:rPr>
          <w:color w:val="231F20"/>
          <w:spacing w:val="-5"/>
        </w:rPr>
        <w:t xml:space="preserve"> Кодексу.</w:t>
      </w:r>
    </w:p>
    <w:p w14:paraId="5C1EC885" w14:textId="77777777" w:rsidR="00DE575E" w:rsidRDefault="002E7560">
      <w:pPr>
        <w:pStyle w:val="BodyText"/>
        <w:spacing w:before="2" w:line="252" w:lineRule="auto"/>
        <w:ind w:left="533" w:right="127" w:firstLine="283"/>
        <w:jc w:val="right"/>
      </w:pPr>
      <w:r>
        <w:rPr>
          <w:b/>
          <w:color w:val="231F20"/>
          <w:spacing w:val="-3"/>
        </w:rPr>
        <w:t xml:space="preserve">Оплатне </w:t>
      </w:r>
      <w:r>
        <w:rPr>
          <w:b/>
          <w:color w:val="231F20"/>
        </w:rPr>
        <w:t xml:space="preserve">вилучення </w:t>
      </w:r>
      <w:r>
        <w:rPr>
          <w:b/>
          <w:color w:val="231F20"/>
          <w:spacing w:val="-3"/>
        </w:rPr>
        <w:t xml:space="preserve">предмета, </w:t>
      </w:r>
      <w:r>
        <w:rPr>
          <w:b/>
          <w:color w:val="231F20"/>
        </w:rPr>
        <w:t>який став</w:t>
      </w:r>
      <w:r>
        <w:rPr>
          <w:b/>
          <w:color w:val="231F20"/>
          <w:spacing w:val="2"/>
        </w:rPr>
        <w:t xml:space="preserve"> </w:t>
      </w:r>
      <w:r>
        <w:rPr>
          <w:b/>
          <w:color w:val="231F20"/>
          <w:spacing w:val="-3"/>
        </w:rPr>
        <w:t>знаряддям</w:t>
      </w:r>
      <w:r>
        <w:rPr>
          <w:b/>
          <w:color w:val="231F20"/>
          <w:spacing w:val="-1"/>
        </w:rPr>
        <w:t xml:space="preserve"> </w:t>
      </w:r>
      <w:r>
        <w:rPr>
          <w:b/>
          <w:color w:val="231F20"/>
          <w:spacing w:val="-4"/>
        </w:rPr>
        <w:t>вчинення</w:t>
      </w:r>
      <w:r>
        <w:rPr>
          <w:b/>
          <w:color w:val="231F20"/>
          <w:spacing w:val="-3"/>
        </w:rPr>
        <w:t xml:space="preserve"> </w:t>
      </w:r>
      <w:r>
        <w:rPr>
          <w:b/>
          <w:color w:val="231F20"/>
        </w:rPr>
        <w:t xml:space="preserve">або </w:t>
      </w:r>
      <w:r>
        <w:rPr>
          <w:b/>
          <w:color w:val="231F20"/>
          <w:spacing w:val="-3"/>
        </w:rPr>
        <w:t xml:space="preserve">безпосереднім </w:t>
      </w:r>
      <w:r>
        <w:rPr>
          <w:b/>
          <w:color w:val="231F20"/>
          <w:spacing w:val="-6"/>
        </w:rPr>
        <w:t>об’єктом</w:t>
      </w:r>
      <w:r>
        <w:rPr>
          <w:b/>
          <w:color w:val="231F20"/>
          <w:spacing w:val="12"/>
        </w:rPr>
        <w:t xml:space="preserve"> </w:t>
      </w:r>
      <w:r>
        <w:rPr>
          <w:b/>
          <w:color w:val="231F20"/>
          <w:spacing w:val="-3"/>
        </w:rPr>
        <w:t>адміністративного</w:t>
      </w:r>
      <w:r>
        <w:rPr>
          <w:b/>
          <w:color w:val="231F20"/>
          <w:spacing w:val="16"/>
        </w:rPr>
        <w:t xml:space="preserve"> </w:t>
      </w:r>
      <w:r>
        <w:rPr>
          <w:b/>
          <w:color w:val="231F20"/>
          <w:spacing w:val="-4"/>
        </w:rPr>
        <w:t>правопорушення</w:t>
      </w:r>
      <w:r>
        <w:rPr>
          <w:b/>
          <w:color w:val="231F20"/>
          <w:spacing w:val="-3"/>
        </w:rPr>
        <w:t xml:space="preserve"> </w:t>
      </w:r>
      <w:r>
        <w:rPr>
          <w:color w:val="231F20"/>
          <w:spacing w:val="-7"/>
        </w:rPr>
        <w:t xml:space="preserve">(ст. </w:t>
      </w:r>
      <w:r>
        <w:rPr>
          <w:color w:val="231F20"/>
        </w:rPr>
        <w:t xml:space="preserve">28 </w:t>
      </w:r>
      <w:r>
        <w:rPr>
          <w:color w:val="231F20"/>
          <w:spacing w:val="-5"/>
        </w:rPr>
        <w:t xml:space="preserve">КУпАП) </w:t>
      </w:r>
      <w:r>
        <w:rPr>
          <w:color w:val="231F20"/>
        </w:rPr>
        <w:t xml:space="preserve">є </w:t>
      </w:r>
      <w:r>
        <w:rPr>
          <w:color w:val="231F20"/>
          <w:spacing w:val="-3"/>
        </w:rPr>
        <w:t xml:space="preserve">специфічний </w:t>
      </w:r>
      <w:r>
        <w:rPr>
          <w:color w:val="231F20"/>
        </w:rPr>
        <w:t>вид</w:t>
      </w:r>
      <w:r>
        <w:rPr>
          <w:color w:val="231F20"/>
          <w:spacing w:val="43"/>
        </w:rPr>
        <w:t xml:space="preserve"> </w:t>
      </w:r>
      <w:r>
        <w:rPr>
          <w:color w:val="231F20"/>
          <w:spacing w:val="-3"/>
        </w:rPr>
        <w:t>грошово-матеріальних</w:t>
      </w:r>
      <w:r>
        <w:rPr>
          <w:color w:val="231F20"/>
          <w:spacing w:val="-1"/>
        </w:rPr>
        <w:t xml:space="preserve"> </w:t>
      </w:r>
      <w:r>
        <w:rPr>
          <w:color w:val="231F20"/>
          <w:spacing w:val="-4"/>
        </w:rPr>
        <w:t>стягнень,</w:t>
      </w:r>
      <w:r>
        <w:rPr>
          <w:color w:val="231F20"/>
          <w:spacing w:val="-3"/>
        </w:rPr>
        <w:t xml:space="preserve"> накладених </w:t>
      </w:r>
      <w:r>
        <w:rPr>
          <w:color w:val="231F20"/>
        </w:rPr>
        <w:t xml:space="preserve">за вчинення </w:t>
      </w:r>
      <w:r>
        <w:rPr>
          <w:color w:val="231F20"/>
          <w:spacing w:val="-3"/>
        </w:rPr>
        <w:t>адміністративних проступків</w:t>
      </w:r>
      <w:r>
        <w:rPr>
          <w:color w:val="231F20"/>
          <w:spacing w:val="-17"/>
        </w:rPr>
        <w:t xml:space="preserve"> </w:t>
      </w:r>
      <w:r>
        <w:rPr>
          <w:color w:val="231F20"/>
        </w:rPr>
        <w:t>із</w:t>
      </w:r>
      <w:r>
        <w:rPr>
          <w:color w:val="231F20"/>
          <w:spacing w:val="-5"/>
        </w:rPr>
        <w:t xml:space="preserve"> </w:t>
      </w:r>
      <w:r>
        <w:rPr>
          <w:color w:val="231F20"/>
          <w:spacing w:val="-3"/>
        </w:rPr>
        <w:t>використан-</w:t>
      </w:r>
      <w:r>
        <w:rPr>
          <w:color w:val="231F20"/>
        </w:rPr>
        <w:t xml:space="preserve"> ням</w:t>
      </w:r>
      <w:r>
        <w:rPr>
          <w:color w:val="231F20"/>
          <w:spacing w:val="-18"/>
        </w:rPr>
        <w:t xml:space="preserve"> </w:t>
      </w:r>
      <w:r>
        <w:rPr>
          <w:color w:val="231F20"/>
          <w:spacing w:val="-3"/>
        </w:rPr>
        <w:t>спеціальних</w:t>
      </w:r>
      <w:r>
        <w:rPr>
          <w:color w:val="231F20"/>
          <w:spacing w:val="-18"/>
        </w:rPr>
        <w:t xml:space="preserve"> </w:t>
      </w:r>
      <w:r>
        <w:rPr>
          <w:color w:val="231F20"/>
          <w:spacing w:val="-3"/>
        </w:rPr>
        <w:t>предметів,</w:t>
      </w:r>
      <w:r>
        <w:rPr>
          <w:color w:val="231F20"/>
          <w:spacing w:val="-18"/>
        </w:rPr>
        <w:t xml:space="preserve"> </w:t>
      </w:r>
      <w:r>
        <w:rPr>
          <w:color w:val="231F20"/>
          <w:spacing w:val="-3"/>
        </w:rPr>
        <w:t>приладів</w:t>
      </w:r>
      <w:r>
        <w:rPr>
          <w:color w:val="231F20"/>
          <w:spacing w:val="-18"/>
        </w:rPr>
        <w:t xml:space="preserve"> </w:t>
      </w:r>
      <w:r>
        <w:rPr>
          <w:color w:val="231F20"/>
        </w:rPr>
        <w:t>або</w:t>
      </w:r>
      <w:r>
        <w:rPr>
          <w:color w:val="231F20"/>
          <w:spacing w:val="-18"/>
        </w:rPr>
        <w:t xml:space="preserve"> </w:t>
      </w:r>
      <w:r>
        <w:rPr>
          <w:color w:val="231F20"/>
          <w:spacing w:val="-3"/>
        </w:rPr>
        <w:t>безпосереднім</w:t>
      </w:r>
      <w:r>
        <w:rPr>
          <w:color w:val="231F20"/>
          <w:spacing w:val="-18"/>
        </w:rPr>
        <w:t xml:space="preserve"> </w:t>
      </w:r>
      <w:r>
        <w:rPr>
          <w:color w:val="231F20"/>
          <w:spacing w:val="-5"/>
        </w:rPr>
        <w:t>об’єктом</w:t>
      </w:r>
      <w:r>
        <w:rPr>
          <w:color w:val="231F20"/>
          <w:spacing w:val="-18"/>
        </w:rPr>
        <w:t xml:space="preserve"> </w:t>
      </w:r>
      <w:r>
        <w:rPr>
          <w:color w:val="231F20"/>
          <w:spacing w:val="-3"/>
        </w:rPr>
        <w:t xml:space="preserve">яких </w:t>
      </w:r>
      <w:r>
        <w:rPr>
          <w:color w:val="231F20"/>
        </w:rPr>
        <w:t xml:space="preserve">є </w:t>
      </w:r>
      <w:r>
        <w:rPr>
          <w:color w:val="231F20"/>
          <w:spacing w:val="-3"/>
        </w:rPr>
        <w:t xml:space="preserve">заборонений </w:t>
      </w:r>
      <w:r>
        <w:rPr>
          <w:color w:val="231F20"/>
          <w:spacing w:val="-5"/>
        </w:rPr>
        <w:t xml:space="preserve">предмет. </w:t>
      </w:r>
      <w:r>
        <w:rPr>
          <w:color w:val="231F20"/>
          <w:spacing w:val="-3"/>
        </w:rPr>
        <w:t xml:space="preserve">Оплатне вилучення </w:t>
      </w:r>
      <w:r>
        <w:rPr>
          <w:color w:val="231F20"/>
        </w:rPr>
        <w:t>цього</w:t>
      </w:r>
      <w:r>
        <w:rPr>
          <w:color w:val="231F20"/>
          <w:spacing w:val="31"/>
        </w:rPr>
        <w:t xml:space="preserve"> </w:t>
      </w:r>
      <w:r>
        <w:rPr>
          <w:color w:val="231F20"/>
          <w:spacing w:val="-3"/>
        </w:rPr>
        <w:t>предмета</w:t>
      </w:r>
      <w:r>
        <w:rPr>
          <w:color w:val="231F20"/>
          <w:spacing w:val="8"/>
        </w:rPr>
        <w:t xml:space="preserve"> </w:t>
      </w:r>
      <w:r>
        <w:rPr>
          <w:color w:val="231F20"/>
          <w:spacing w:val="-3"/>
        </w:rPr>
        <w:t xml:space="preserve">полягає </w:t>
      </w:r>
      <w:r>
        <w:rPr>
          <w:color w:val="231F20"/>
        </w:rPr>
        <w:t xml:space="preserve">в його </w:t>
      </w:r>
      <w:r>
        <w:rPr>
          <w:color w:val="231F20"/>
          <w:spacing w:val="-4"/>
        </w:rPr>
        <w:t xml:space="preserve">примусовому </w:t>
      </w:r>
      <w:r>
        <w:rPr>
          <w:color w:val="231F20"/>
          <w:spacing w:val="-3"/>
        </w:rPr>
        <w:t xml:space="preserve">вилученні </w:t>
      </w:r>
      <w:r>
        <w:rPr>
          <w:color w:val="231F20"/>
        </w:rPr>
        <w:t xml:space="preserve">в особи, яка </w:t>
      </w:r>
      <w:r>
        <w:rPr>
          <w:color w:val="231F20"/>
          <w:spacing w:val="-3"/>
        </w:rPr>
        <w:t>правомірно</w:t>
      </w:r>
      <w:r>
        <w:rPr>
          <w:color w:val="231F20"/>
        </w:rPr>
        <w:t xml:space="preserve"> </w:t>
      </w:r>
      <w:r>
        <w:rPr>
          <w:color w:val="231F20"/>
        </w:rPr>
        <w:t>ним</w:t>
      </w:r>
      <w:r>
        <w:rPr>
          <w:color w:val="231F20"/>
          <w:spacing w:val="10"/>
        </w:rPr>
        <w:t xml:space="preserve"> </w:t>
      </w:r>
      <w:r>
        <w:rPr>
          <w:color w:val="231F20"/>
          <w:spacing w:val="-4"/>
        </w:rPr>
        <w:t>володіє,</w:t>
      </w:r>
      <w:r>
        <w:rPr>
          <w:color w:val="231F20"/>
          <w:spacing w:val="-3"/>
        </w:rPr>
        <w:t xml:space="preserve"> </w:t>
      </w:r>
      <w:r>
        <w:rPr>
          <w:color w:val="231F20"/>
        </w:rPr>
        <w:t xml:space="preserve">та </w:t>
      </w:r>
      <w:r>
        <w:rPr>
          <w:color w:val="231F20"/>
          <w:spacing w:val="-4"/>
        </w:rPr>
        <w:t xml:space="preserve">подальшій </w:t>
      </w:r>
      <w:r>
        <w:rPr>
          <w:color w:val="231F20"/>
          <w:spacing w:val="-3"/>
        </w:rPr>
        <w:t xml:space="preserve">реалізації </w:t>
      </w:r>
      <w:r>
        <w:rPr>
          <w:color w:val="231F20"/>
        </w:rPr>
        <w:t xml:space="preserve">з </w:t>
      </w:r>
      <w:r>
        <w:rPr>
          <w:color w:val="231F20"/>
          <w:spacing w:val="-3"/>
        </w:rPr>
        <w:t xml:space="preserve">переданням </w:t>
      </w:r>
      <w:r>
        <w:rPr>
          <w:color w:val="231F20"/>
          <w:spacing w:val="-4"/>
        </w:rPr>
        <w:t>одержаної</w:t>
      </w:r>
      <w:r>
        <w:rPr>
          <w:color w:val="231F20"/>
          <w:spacing w:val="25"/>
        </w:rPr>
        <w:t xml:space="preserve"> </w:t>
      </w:r>
      <w:r>
        <w:rPr>
          <w:color w:val="231F20"/>
          <w:spacing w:val="-3"/>
        </w:rPr>
        <w:t>суми</w:t>
      </w:r>
      <w:r>
        <w:rPr>
          <w:color w:val="231F20"/>
          <w:spacing w:val="30"/>
        </w:rPr>
        <w:t xml:space="preserve"> </w:t>
      </w:r>
      <w:r>
        <w:rPr>
          <w:color w:val="231F20"/>
          <w:spacing w:val="-3"/>
        </w:rPr>
        <w:t>колишньому власнику</w:t>
      </w:r>
      <w:r>
        <w:rPr>
          <w:color w:val="231F20"/>
          <w:spacing w:val="-10"/>
        </w:rPr>
        <w:t xml:space="preserve"> </w:t>
      </w:r>
      <w:r>
        <w:rPr>
          <w:color w:val="231F20"/>
        </w:rPr>
        <w:t>за</w:t>
      </w:r>
      <w:r>
        <w:rPr>
          <w:color w:val="231F20"/>
          <w:spacing w:val="-10"/>
        </w:rPr>
        <w:t xml:space="preserve"> </w:t>
      </w:r>
      <w:r>
        <w:rPr>
          <w:color w:val="231F20"/>
          <w:spacing w:val="-3"/>
        </w:rPr>
        <w:t>винятком</w:t>
      </w:r>
      <w:r>
        <w:rPr>
          <w:color w:val="231F20"/>
          <w:spacing w:val="-10"/>
        </w:rPr>
        <w:t xml:space="preserve"> </w:t>
      </w:r>
      <w:r>
        <w:rPr>
          <w:color w:val="231F20"/>
          <w:spacing w:val="-3"/>
        </w:rPr>
        <w:t>витрат</w:t>
      </w:r>
      <w:r>
        <w:rPr>
          <w:color w:val="231F20"/>
          <w:spacing w:val="-10"/>
        </w:rPr>
        <w:t xml:space="preserve"> </w:t>
      </w:r>
      <w:r>
        <w:rPr>
          <w:color w:val="231F20"/>
        </w:rPr>
        <w:t>з</w:t>
      </w:r>
      <w:r>
        <w:rPr>
          <w:color w:val="231F20"/>
          <w:spacing w:val="-10"/>
        </w:rPr>
        <w:t xml:space="preserve"> </w:t>
      </w:r>
      <w:r>
        <w:rPr>
          <w:color w:val="231F20"/>
          <w:spacing w:val="-3"/>
        </w:rPr>
        <w:t>реалізації</w:t>
      </w:r>
      <w:r>
        <w:rPr>
          <w:color w:val="231F20"/>
          <w:spacing w:val="-10"/>
        </w:rPr>
        <w:t xml:space="preserve"> </w:t>
      </w:r>
      <w:r>
        <w:rPr>
          <w:color w:val="231F20"/>
          <w:spacing w:val="-3"/>
        </w:rPr>
        <w:t>предмета</w:t>
      </w:r>
      <w:r>
        <w:rPr>
          <w:color w:val="231F20"/>
          <w:spacing w:val="-10"/>
        </w:rPr>
        <w:t xml:space="preserve"> </w:t>
      </w:r>
      <w:r>
        <w:rPr>
          <w:color w:val="231F20"/>
        </w:rPr>
        <w:t>(ч.</w:t>
      </w:r>
      <w:r>
        <w:rPr>
          <w:color w:val="231F20"/>
          <w:spacing w:val="-9"/>
        </w:rPr>
        <w:t xml:space="preserve"> </w:t>
      </w:r>
      <w:r>
        <w:rPr>
          <w:color w:val="231F20"/>
        </w:rPr>
        <w:t>1</w:t>
      </w:r>
      <w:r>
        <w:rPr>
          <w:color w:val="231F20"/>
          <w:spacing w:val="-10"/>
        </w:rPr>
        <w:t xml:space="preserve"> </w:t>
      </w:r>
      <w:r>
        <w:rPr>
          <w:color w:val="231F20"/>
          <w:spacing w:val="-8"/>
        </w:rPr>
        <w:t>ст.</w:t>
      </w:r>
      <w:r>
        <w:rPr>
          <w:color w:val="231F20"/>
          <w:spacing w:val="-9"/>
        </w:rPr>
        <w:t xml:space="preserve"> </w:t>
      </w:r>
      <w:r>
        <w:rPr>
          <w:color w:val="231F20"/>
        </w:rPr>
        <w:t>28</w:t>
      </w:r>
      <w:r>
        <w:rPr>
          <w:color w:val="231F20"/>
          <w:spacing w:val="-10"/>
        </w:rPr>
        <w:t xml:space="preserve"> </w:t>
      </w:r>
      <w:r>
        <w:rPr>
          <w:color w:val="231F20"/>
          <w:spacing w:val="-5"/>
        </w:rPr>
        <w:t>КУпАП).</w:t>
      </w:r>
      <w:r>
        <w:rPr>
          <w:color w:val="231F20"/>
          <w:spacing w:val="-3"/>
        </w:rPr>
        <w:t xml:space="preserve"> </w:t>
      </w:r>
      <w:r>
        <w:rPr>
          <w:b/>
          <w:color w:val="231F20"/>
        </w:rPr>
        <w:t>Конфіскація предмета, який став знаряддям</w:t>
      </w:r>
      <w:r>
        <w:rPr>
          <w:b/>
          <w:color w:val="231F20"/>
          <w:spacing w:val="21"/>
        </w:rPr>
        <w:t xml:space="preserve"> </w:t>
      </w:r>
      <w:r>
        <w:rPr>
          <w:b/>
          <w:color w:val="231F20"/>
        </w:rPr>
        <w:t>учинення</w:t>
      </w:r>
      <w:r>
        <w:rPr>
          <w:b/>
          <w:color w:val="231F20"/>
          <w:spacing w:val="40"/>
        </w:rPr>
        <w:t xml:space="preserve"> </w:t>
      </w:r>
      <w:r>
        <w:rPr>
          <w:b/>
          <w:color w:val="231F20"/>
        </w:rPr>
        <w:t>або</w:t>
      </w:r>
      <w:r>
        <w:rPr>
          <w:b/>
          <w:color w:val="231F20"/>
          <w:spacing w:val="-1"/>
        </w:rPr>
        <w:t xml:space="preserve"> </w:t>
      </w:r>
      <w:r>
        <w:rPr>
          <w:b/>
          <w:color w:val="231F20"/>
        </w:rPr>
        <w:t xml:space="preserve">безпосереднім </w:t>
      </w:r>
      <w:r>
        <w:rPr>
          <w:b/>
          <w:color w:val="231F20"/>
          <w:spacing w:val="-4"/>
        </w:rPr>
        <w:t>об’єктом</w:t>
      </w:r>
      <w:r>
        <w:rPr>
          <w:b/>
          <w:color w:val="231F20"/>
          <w:spacing w:val="33"/>
        </w:rPr>
        <w:t xml:space="preserve"> </w:t>
      </w:r>
      <w:r>
        <w:rPr>
          <w:b/>
          <w:color w:val="231F20"/>
        </w:rPr>
        <w:t>адміністративного</w:t>
      </w:r>
      <w:r>
        <w:rPr>
          <w:b/>
          <w:color w:val="231F20"/>
          <w:spacing w:val="12"/>
        </w:rPr>
        <w:t xml:space="preserve"> </w:t>
      </w:r>
      <w:r>
        <w:rPr>
          <w:b/>
          <w:color w:val="231F20"/>
        </w:rPr>
        <w:t xml:space="preserve">правопорушення </w:t>
      </w:r>
      <w:r>
        <w:rPr>
          <w:color w:val="231F20"/>
          <w:spacing w:val="-5"/>
        </w:rPr>
        <w:t xml:space="preserve">(ст. </w:t>
      </w:r>
      <w:r>
        <w:rPr>
          <w:color w:val="231F20"/>
        </w:rPr>
        <w:t xml:space="preserve">29 </w:t>
      </w:r>
      <w:r>
        <w:rPr>
          <w:color w:val="231F20"/>
          <w:spacing w:val="-3"/>
        </w:rPr>
        <w:t xml:space="preserve">КУпАП) </w:t>
      </w:r>
      <w:r>
        <w:rPr>
          <w:color w:val="231F20"/>
        </w:rPr>
        <w:t>полягає в примусовому</w:t>
      </w:r>
      <w:r>
        <w:rPr>
          <w:color w:val="231F20"/>
          <w:spacing w:val="28"/>
        </w:rPr>
        <w:t xml:space="preserve"> </w:t>
      </w:r>
      <w:r>
        <w:rPr>
          <w:color w:val="231F20"/>
        </w:rPr>
        <w:t>безоплатному</w:t>
      </w:r>
      <w:r>
        <w:rPr>
          <w:color w:val="231F20"/>
          <w:spacing w:val="31"/>
        </w:rPr>
        <w:t xml:space="preserve"> </w:t>
      </w:r>
      <w:r>
        <w:rPr>
          <w:color w:val="231F20"/>
        </w:rPr>
        <w:t>переданні цього</w:t>
      </w:r>
      <w:r>
        <w:rPr>
          <w:color w:val="231F20"/>
          <w:spacing w:val="-10"/>
        </w:rPr>
        <w:t xml:space="preserve"> </w:t>
      </w:r>
      <w:r>
        <w:rPr>
          <w:color w:val="231F20"/>
        </w:rPr>
        <w:t>предмета</w:t>
      </w:r>
      <w:r>
        <w:rPr>
          <w:color w:val="231F20"/>
          <w:spacing w:val="-10"/>
        </w:rPr>
        <w:t xml:space="preserve"> </w:t>
      </w:r>
      <w:r>
        <w:rPr>
          <w:color w:val="231F20"/>
        </w:rPr>
        <w:t>у</w:t>
      </w:r>
      <w:r>
        <w:rPr>
          <w:color w:val="231F20"/>
          <w:spacing w:val="-11"/>
        </w:rPr>
        <w:t xml:space="preserve"> </w:t>
      </w:r>
      <w:r>
        <w:rPr>
          <w:color w:val="231F20"/>
        </w:rPr>
        <w:t>власність</w:t>
      </w:r>
      <w:r>
        <w:rPr>
          <w:color w:val="231F20"/>
          <w:spacing w:val="-10"/>
        </w:rPr>
        <w:t xml:space="preserve"> </w:t>
      </w:r>
      <w:r>
        <w:rPr>
          <w:color w:val="231F20"/>
        </w:rPr>
        <w:t>держави</w:t>
      </w:r>
      <w:r>
        <w:rPr>
          <w:color w:val="231F20"/>
          <w:spacing w:val="-10"/>
        </w:rPr>
        <w:t xml:space="preserve"> </w:t>
      </w:r>
      <w:r>
        <w:rPr>
          <w:color w:val="231F20"/>
        </w:rPr>
        <w:t>за</w:t>
      </w:r>
      <w:r>
        <w:rPr>
          <w:color w:val="231F20"/>
          <w:spacing w:val="-10"/>
        </w:rPr>
        <w:t xml:space="preserve"> </w:t>
      </w:r>
      <w:r>
        <w:rPr>
          <w:color w:val="231F20"/>
        </w:rPr>
        <w:t>рішенням</w:t>
      </w:r>
      <w:r>
        <w:rPr>
          <w:color w:val="231F20"/>
          <w:spacing w:val="-11"/>
        </w:rPr>
        <w:t xml:space="preserve"> </w:t>
      </w:r>
      <w:r>
        <w:rPr>
          <w:color w:val="231F20"/>
          <w:spacing w:val="-7"/>
        </w:rPr>
        <w:t>суду.</w:t>
      </w:r>
      <w:r>
        <w:rPr>
          <w:color w:val="231F20"/>
          <w:spacing w:val="-10"/>
        </w:rPr>
        <w:t xml:space="preserve"> </w:t>
      </w:r>
      <w:r>
        <w:rPr>
          <w:color w:val="231F20"/>
        </w:rPr>
        <w:t xml:space="preserve">Конфісковано може бути лише </w:t>
      </w:r>
      <w:r>
        <w:rPr>
          <w:color w:val="231F20"/>
          <w:spacing w:val="-3"/>
        </w:rPr>
        <w:t xml:space="preserve">предмет, </w:t>
      </w:r>
      <w:r>
        <w:rPr>
          <w:color w:val="231F20"/>
        </w:rPr>
        <w:t>який є у приватній</w:t>
      </w:r>
      <w:r>
        <w:rPr>
          <w:color w:val="231F20"/>
          <w:spacing w:val="42"/>
        </w:rPr>
        <w:t xml:space="preserve"> </w:t>
      </w:r>
      <w:r>
        <w:rPr>
          <w:color w:val="231F20"/>
        </w:rPr>
        <w:t>власності</w:t>
      </w:r>
      <w:r>
        <w:rPr>
          <w:color w:val="231F20"/>
          <w:spacing w:val="10"/>
        </w:rPr>
        <w:t xml:space="preserve"> </w:t>
      </w:r>
      <w:r>
        <w:rPr>
          <w:color w:val="231F20"/>
        </w:rPr>
        <w:t xml:space="preserve">порушника, якщо інше </w:t>
      </w:r>
      <w:r>
        <w:rPr>
          <w:color w:val="231F20"/>
        </w:rPr>
        <w:t xml:space="preserve">не передбачено законами </w:t>
      </w:r>
      <w:r>
        <w:rPr>
          <w:color w:val="231F20"/>
          <w:spacing w:val="-3"/>
        </w:rPr>
        <w:t>України.</w:t>
      </w:r>
      <w:r>
        <w:rPr>
          <w:color w:val="231F20"/>
          <w:spacing w:val="20"/>
        </w:rPr>
        <w:t xml:space="preserve"> </w:t>
      </w:r>
      <w:r>
        <w:rPr>
          <w:color w:val="231F20"/>
        </w:rPr>
        <w:t>Конфіскація</w:t>
      </w:r>
      <w:r>
        <w:rPr>
          <w:color w:val="231F20"/>
          <w:spacing w:val="40"/>
        </w:rPr>
        <w:t xml:space="preserve"> </w:t>
      </w:r>
      <w:r>
        <w:rPr>
          <w:color w:val="231F20"/>
        </w:rPr>
        <w:t>вогне- пальної</w:t>
      </w:r>
      <w:r>
        <w:rPr>
          <w:color w:val="231F20"/>
          <w:spacing w:val="-7"/>
        </w:rPr>
        <w:t xml:space="preserve"> </w:t>
      </w:r>
      <w:r>
        <w:rPr>
          <w:color w:val="231F20"/>
        </w:rPr>
        <w:t>зброї,</w:t>
      </w:r>
      <w:r>
        <w:rPr>
          <w:color w:val="231F20"/>
          <w:spacing w:val="-7"/>
        </w:rPr>
        <w:t xml:space="preserve"> </w:t>
      </w:r>
      <w:r>
        <w:rPr>
          <w:color w:val="231F20"/>
        </w:rPr>
        <w:t>інших</w:t>
      </w:r>
      <w:r>
        <w:rPr>
          <w:color w:val="231F20"/>
          <w:spacing w:val="-7"/>
        </w:rPr>
        <w:t xml:space="preserve"> </w:t>
      </w:r>
      <w:r>
        <w:rPr>
          <w:color w:val="231F20"/>
        </w:rPr>
        <w:t>знарядь</w:t>
      </w:r>
      <w:r>
        <w:rPr>
          <w:color w:val="231F20"/>
          <w:spacing w:val="-7"/>
        </w:rPr>
        <w:t xml:space="preserve"> </w:t>
      </w:r>
      <w:r>
        <w:rPr>
          <w:color w:val="231F20"/>
        </w:rPr>
        <w:t>полювання</w:t>
      </w:r>
      <w:r>
        <w:rPr>
          <w:color w:val="231F20"/>
          <w:spacing w:val="-7"/>
        </w:rPr>
        <w:t xml:space="preserve"> </w:t>
      </w:r>
      <w:r>
        <w:rPr>
          <w:color w:val="231F20"/>
        </w:rPr>
        <w:t>і</w:t>
      </w:r>
      <w:r>
        <w:rPr>
          <w:color w:val="231F20"/>
          <w:spacing w:val="-8"/>
        </w:rPr>
        <w:t xml:space="preserve"> </w:t>
      </w:r>
      <w:r>
        <w:rPr>
          <w:color w:val="231F20"/>
        </w:rPr>
        <w:t>бойових</w:t>
      </w:r>
      <w:r>
        <w:rPr>
          <w:color w:val="231F20"/>
          <w:spacing w:val="-7"/>
        </w:rPr>
        <w:t xml:space="preserve"> </w:t>
      </w:r>
      <w:r>
        <w:rPr>
          <w:color w:val="231F20"/>
        </w:rPr>
        <w:t>припасів</w:t>
      </w:r>
      <w:r>
        <w:rPr>
          <w:color w:val="231F20"/>
          <w:spacing w:val="-7"/>
        </w:rPr>
        <w:t xml:space="preserve"> </w:t>
      </w:r>
      <w:r>
        <w:rPr>
          <w:color w:val="231F20"/>
        </w:rPr>
        <w:t>не</w:t>
      </w:r>
      <w:r>
        <w:rPr>
          <w:color w:val="231F20"/>
          <w:spacing w:val="-7"/>
        </w:rPr>
        <w:t xml:space="preserve"> </w:t>
      </w:r>
      <w:r>
        <w:rPr>
          <w:color w:val="231F20"/>
        </w:rPr>
        <w:t>може застосовуватись до осіб, для яких полювання є</w:t>
      </w:r>
      <w:r>
        <w:rPr>
          <w:color w:val="231F20"/>
          <w:spacing w:val="37"/>
        </w:rPr>
        <w:t xml:space="preserve"> </w:t>
      </w:r>
      <w:r>
        <w:rPr>
          <w:color w:val="231F20"/>
        </w:rPr>
        <w:t>основним</w:t>
      </w:r>
      <w:r>
        <w:rPr>
          <w:color w:val="231F20"/>
          <w:spacing w:val="5"/>
        </w:rPr>
        <w:t xml:space="preserve"> </w:t>
      </w:r>
      <w:r>
        <w:rPr>
          <w:color w:val="231F20"/>
        </w:rPr>
        <w:t>джерелом існування.</w:t>
      </w:r>
      <w:r>
        <w:rPr>
          <w:color w:val="231F20"/>
          <w:spacing w:val="-11"/>
        </w:rPr>
        <w:t xml:space="preserve"> </w:t>
      </w:r>
      <w:r>
        <w:rPr>
          <w:color w:val="231F20"/>
        </w:rPr>
        <w:t>Конфіскація</w:t>
      </w:r>
      <w:r>
        <w:rPr>
          <w:color w:val="231F20"/>
          <w:spacing w:val="-10"/>
        </w:rPr>
        <w:t xml:space="preserve"> </w:t>
      </w:r>
      <w:r>
        <w:rPr>
          <w:color w:val="231F20"/>
        </w:rPr>
        <w:t>як</w:t>
      </w:r>
      <w:r>
        <w:rPr>
          <w:color w:val="231F20"/>
          <w:spacing w:val="-10"/>
        </w:rPr>
        <w:t xml:space="preserve"> </w:t>
      </w:r>
      <w:r>
        <w:rPr>
          <w:color w:val="231F20"/>
        </w:rPr>
        <w:t>адміністративне</w:t>
      </w:r>
      <w:r>
        <w:rPr>
          <w:color w:val="231F20"/>
          <w:spacing w:val="-11"/>
        </w:rPr>
        <w:t xml:space="preserve"> </w:t>
      </w:r>
      <w:r>
        <w:rPr>
          <w:color w:val="231F20"/>
        </w:rPr>
        <w:t>стягнення</w:t>
      </w:r>
      <w:r>
        <w:rPr>
          <w:color w:val="231F20"/>
          <w:spacing w:val="-11"/>
        </w:rPr>
        <w:t xml:space="preserve"> </w:t>
      </w:r>
      <w:r>
        <w:rPr>
          <w:color w:val="231F20"/>
        </w:rPr>
        <w:t>є</w:t>
      </w:r>
      <w:r>
        <w:rPr>
          <w:color w:val="231F20"/>
          <w:spacing w:val="-11"/>
        </w:rPr>
        <w:t xml:space="preserve"> </w:t>
      </w:r>
      <w:r>
        <w:rPr>
          <w:color w:val="231F20"/>
        </w:rPr>
        <w:t>судово-адмі- ністративним</w:t>
      </w:r>
      <w:r>
        <w:rPr>
          <w:color w:val="231F20"/>
          <w:spacing w:val="-7"/>
        </w:rPr>
        <w:t xml:space="preserve"> </w:t>
      </w:r>
      <w:r>
        <w:rPr>
          <w:color w:val="231F20"/>
        </w:rPr>
        <w:t>заходом,</w:t>
      </w:r>
      <w:r>
        <w:rPr>
          <w:color w:val="231F20"/>
          <w:spacing w:val="-7"/>
        </w:rPr>
        <w:t xml:space="preserve"> </w:t>
      </w:r>
      <w:r>
        <w:rPr>
          <w:color w:val="231F20"/>
        </w:rPr>
        <w:t>що</w:t>
      </w:r>
      <w:r>
        <w:rPr>
          <w:color w:val="231F20"/>
          <w:spacing w:val="-7"/>
        </w:rPr>
        <w:t xml:space="preserve"> </w:t>
      </w:r>
      <w:r>
        <w:rPr>
          <w:color w:val="231F20"/>
        </w:rPr>
        <w:t>застосовується,</w:t>
      </w:r>
      <w:r>
        <w:rPr>
          <w:color w:val="231F20"/>
          <w:spacing w:val="-7"/>
        </w:rPr>
        <w:t xml:space="preserve"> </w:t>
      </w:r>
      <w:r>
        <w:rPr>
          <w:color w:val="231F20"/>
        </w:rPr>
        <w:t>як</w:t>
      </w:r>
      <w:r>
        <w:rPr>
          <w:color w:val="231F20"/>
          <w:spacing w:val="-7"/>
        </w:rPr>
        <w:t xml:space="preserve"> </w:t>
      </w:r>
      <w:r>
        <w:rPr>
          <w:color w:val="231F20"/>
        </w:rPr>
        <w:t>правило,</w:t>
      </w:r>
      <w:r>
        <w:rPr>
          <w:color w:val="231F20"/>
          <w:spacing w:val="-7"/>
        </w:rPr>
        <w:t xml:space="preserve"> </w:t>
      </w:r>
      <w:r>
        <w:rPr>
          <w:color w:val="231F20"/>
        </w:rPr>
        <w:t>як</w:t>
      </w:r>
      <w:r>
        <w:rPr>
          <w:color w:val="231F20"/>
          <w:spacing w:val="-7"/>
        </w:rPr>
        <w:t xml:space="preserve"> </w:t>
      </w:r>
      <w:r>
        <w:rPr>
          <w:color w:val="231F20"/>
        </w:rPr>
        <w:t>додаткове</w:t>
      </w:r>
    </w:p>
    <w:p w14:paraId="23FF8F54" w14:textId="77777777" w:rsidR="00DE575E" w:rsidRDefault="002E7560">
      <w:pPr>
        <w:pStyle w:val="BodyText"/>
        <w:spacing w:before="9"/>
        <w:ind w:left="533"/>
      </w:pPr>
      <w:r>
        <w:rPr>
          <w:color w:val="231F20"/>
        </w:rPr>
        <w:t>разом з основним стягненням.</w:t>
      </w:r>
    </w:p>
    <w:p w14:paraId="1E2A4A68" w14:textId="77777777" w:rsidR="00DE575E" w:rsidRDefault="002E7560">
      <w:pPr>
        <w:spacing w:before="13" w:line="252" w:lineRule="auto"/>
        <w:ind w:left="533" w:right="127" w:firstLine="283"/>
        <w:jc w:val="both"/>
        <w:rPr>
          <w:sz w:val="21"/>
        </w:rPr>
      </w:pPr>
      <w:r>
        <w:rPr>
          <w:b/>
          <w:color w:val="231F20"/>
          <w:sz w:val="21"/>
        </w:rPr>
        <w:t xml:space="preserve">Позбавлення спеціального права, наданого даному грома- дянинові, позбавлення права обіймати певні посади або займа- тися певною діяльністю </w:t>
      </w:r>
      <w:r>
        <w:rPr>
          <w:color w:val="231F20"/>
          <w:spacing w:val="-5"/>
          <w:sz w:val="21"/>
        </w:rPr>
        <w:t xml:space="preserve">(ст. </w:t>
      </w:r>
      <w:r>
        <w:rPr>
          <w:color w:val="231F20"/>
          <w:sz w:val="21"/>
        </w:rPr>
        <w:t xml:space="preserve">30 </w:t>
      </w:r>
      <w:r>
        <w:rPr>
          <w:color w:val="231F20"/>
          <w:spacing w:val="-3"/>
          <w:sz w:val="21"/>
        </w:rPr>
        <w:t>К</w:t>
      </w:r>
      <w:r>
        <w:rPr>
          <w:color w:val="231F20"/>
          <w:spacing w:val="-3"/>
          <w:sz w:val="21"/>
        </w:rPr>
        <w:t xml:space="preserve">УпАП) </w:t>
      </w:r>
      <w:r>
        <w:rPr>
          <w:color w:val="231F20"/>
          <w:sz w:val="21"/>
        </w:rPr>
        <w:t>застосовується за  грубе або систематичне порушення порядку користування цим правом. Фактичне</w:t>
      </w:r>
      <w:r>
        <w:rPr>
          <w:color w:val="231F20"/>
          <w:spacing w:val="-8"/>
          <w:sz w:val="21"/>
        </w:rPr>
        <w:t xml:space="preserve"> </w:t>
      </w:r>
      <w:r>
        <w:rPr>
          <w:color w:val="231F20"/>
          <w:sz w:val="21"/>
        </w:rPr>
        <w:t>позбавлення</w:t>
      </w:r>
      <w:r>
        <w:rPr>
          <w:color w:val="231F20"/>
          <w:spacing w:val="-8"/>
          <w:sz w:val="21"/>
        </w:rPr>
        <w:t xml:space="preserve"> </w:t>
      </w:r>
      <w:r>
        <w:rPr>
          <w:color w:val="231F20"/>
          <w:sz w:val="21"/>
        </w:rPr>
        <w:t>спеціального</w:t>
      </w:r>
      <w:r>
        <w:rPr>
          <w:color w:val="231F20"/>
          <w:spacing w:val="-8"/>
          <w:sz w:val="21"/>
        </w:rPr>
        <w:t xml:space="preserve"> </w:t>
      </w:r>
      <w:r>
        <w:rPr>
          <w:color w:val="231F20"/>
          <w:sz w:val="21"/>
        </w:rPr>
        <w:t>права</w:t>
      </w:r>
      <w:r>
        <w:rPr>
          <w:color w:val="231F20"/>
          <w:spacing w:val="-8"/>
          <w:sz w:val="21"/>
        </w:rPr>
        <w:t xml:space="preserve"> </w:t>
      </w:r>
      <w:r>
        <w:rPr>
          <w:color w:val="231F20"/>
          <w:sz w:val="21"/>
        </w:rPr>
        <w:t>виявляється</w:t>
      </w:r>
      <w:r>
        <w:rPr>
          <w:color w:val="231F20"/>
          <w:spacing w:val="-8"/>
          <w:sz w:val="21"/>
        </w:rPr>
        <w:t xml:space="preserve"> </w:t>
      </w:r>
      <w:r>
        <w:rPr>
          <w:color w:val="231F20"/>
          <w:sz w:val="21"/>
        </w:rPr>
        <w:t>у</w:t>
      </w:r>
      <w:r>
        <w:rPr>
          <w:color w:val="231F20"/>
          <w:spacing w:val="-7"/>
          <w:sz w:val="21"/>
        </w:rPr>
        <w:t xml:space="preserve"> </w:t>
      </w:r>
      <w:r>
        <w:rPr>
          <w:color w:val="231F20"/>
          <w:sz w:val="21"/>
        </w:rPr>
        <w:t>вилученні відповідного документа, який надає таке право (посвідчення водія, посвідчення мисливця).</w:t>
      </w:r>
    </w:p>
    <w:p w14:paraId="577536CB" w14:textId="77777777" w:rsidR="00DE575E" w:rsidRDefault="002E7560">
      <w:pPr>
        <w:pStyle w:val="BodyText"/>
        <w:spacing w:before="4" w:line="252" w:lineRule="auto"/>
        <w:ind w:left="533" w:right="127" w:firstLine="283"/>
        <w:jc w:val="both"/>
      </w:pPr>
      <w:r>
        <w:rPr>
          <w:color w:val="231F20"/>
        </w:rPr>
        <w:t>Адміністративне законодавство України передбачає певні пільги для осіб, які користуються спеціальним правом керування тран- спортним засобом у зв’язку з інвалідністю. Ці особи можуть бути</w:t>
      </w:r>
    </w:p>
    <w:p w14:paraId="46C400BB" w14:textId="77777777" w:rsidR="00DE575E" w:rsidRDefault="00DE575E">
      <w:pPr>
        <w:pStyle w:val="BodyText"/>
        <w:spacing w:before="5"/>
        <w:rPr>
          <w:sz w:val="12"/>
        </w:rPr>
      </w:pPr>
    </w:p>
    <w:p w14:paraId="685CF0DB" w14:textId="77777777" w:rsidR="00DE575E" w:rsidRDefault="002E7560">
      <w:pPr>
        <w:spacing w:before="92"/>
        <w:ind w:left="533"/>
        <w:rPr>
          <w:rFonts w:ascii="Times New Roman"/>
          <w:sz w:val="20"/>
        </w:rPr>
      </w:pPr>
      <w:r>
        <w:rPr>
          <w:rFonts w:ascii="Times New Roman"/>
          <w:color w:val="231F20"/>
          <w:sz w:val="20"/>
        </w:rPr>
        <w:t>504</w:t>
      </w:r>
    </w:p>
    <w:p w14:paraId="5090E31D" w14:textId="77777777" w:rsidR="00DE575E" w:rsidRDefault="00DE575E">
      <w:pPr>
        <w:rPr>
          <w:rFonts w:ascii="Times New Roman"/>
          <w:sz w:val="20"/>
        </w:rPr>
        <w:sectPr w:rsidR="00DE575E">
          <w:pgSz w:w="8510" w:h="12760"/>
          <w:pgMar w:top="660" w:right="720" w:bottom="280" w:left="600" w:header="720" w:footer="720" w:gutter="0"/>
          <w:cols w:space="720"/>
        </w:sectPr>
      </w:pPr>
    </w:p>
    <w:p w14:paraId="6165BC67" w14:textId="77777777" w:rsidR="00DE575E" w:rsidRDefault="002E7560">
      <w:pPr>
        <w:spacing w:before="72" w:line="249" w:lineRule="auto"/>
        <w:ind w:left="2587" w:right="392" w:firstLine="105"/>
        <w:rPr>
          <w:rFonts w:ascii="AdonisC" w:hAnsi="AdonisC"/>
          <w:i/>
          <w:sz w:val="18"/>
        </w:rPr>
      </w:pPr>
      <w:r>
        <w:rPr>
          <w:rFonts w:ascii="AdonisC" w:hAnsi="AdonisC"/>
          <w:i/>
          <w:color w:val="231F20"/>
          <w:sz w:val="18"/>
        </w:rPr>
        <w:t>Глава ІІ Особливе адміністративне право/ Книга ІІ</w:t>
      </w:r>
      <w:r>
        <w:rPr>
          <w:rFonts w:ascii="AdonisC" w:hAnsi="AdonisC"/>
          <w:i/>
          <w:color w:val="231F20"/>
          <w:sz w:val="18"/>
        </w:rPr>
        <w:t xml:space="preserve"> Розділ 4. Заходи адміністративної відповідальності</w:t>
      </w:r>
    </w:p>
    <w:p w14:paraId="16F9B8B3" w14:textId="17AF299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52AAB5B" wp14:editId="515A7E61">
                <wp:extent cx="4140200" cy="6350"/>
                <wp:effectExtent l="0" t="0" r="12700" b="6350"/>
                <wp:docPr id="15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57" name="Line 15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7B30FC" id="Group_x0020_15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Ehpxft/AgAAmAUAAA4A&#10;AAAAAAAAAAAAAAAALAIAAGRycy9lMm9Eb2MueG1sUEsBAi0AFAAGAAgAAAAhAEynsJDZAAAAAwEA&#10;AA8AAAAAAAAAAAAAAAAA1wQAAGRycy9kb3ducmV2LnhtbFBLBQYAAAAABAAEAPMAAADdBQAAAAA=&#10;">
                <v:line id="Line_x0020_15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7+HMQAAADcAAAADwAAAGRycy9kb3ducmV2LnhtbERP22rCQBB9L/gPywh9KbqpUpXoKlIQ&#10;Sh+8xQ8Ys2MS3J2N2dWk/fpuodC3OZzrLFadNeJBja8cK3gdJiCIc6crLhScss1gBsIHZI3GMSn4&#10;Ig+rZe9pgal2LR/ocQyFiCHsU1RQhlCnUvq8JIt+6GriyF1cYzFE2BRSN9jGcGvkKEkm0mLFsaHE&#10;mt5Lyq/Hu1WQ3V6C2e8+TZvtzmN5vm3H3/etUs/9bj0HEagL/+I/94eO89+m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3v4cxAAAANwAAAAPAAAAAAAAAAAA&#10;AAAAAKECAABkcnMvZG93bnJldi54bWxQSwUGAAAAAAQABAD5AAAAkgMAAAAA&#10;" strokecolor="#231f20" strokeweight=".5pt"/>
                <w10:anchorlock/>
              </v:group>
            </w:pict>
          </mc:Fallback>
        </mc:AlternateContent>
      </w:r>
    </w:p>
    <w:p w14:paraId="052F797B" w14:textId="77777777" w:rsidR="00DE575E" w:rsidRDefault="00DE575E">
      <w:pPr>
        <w:pStyle w:val="BodyText"/>
        <w:spacing w:before="7"/>
        <w:rPr>
          <w:rFonts w:ascii="AdonisC"/>
          <w:i/>
          <w:sz w:val="19"/>
        </w:rPr>
      </w:pPr>
    </w:p>
    <w:p w14:paraId="09541DFB" w14:textId="77777777" w:rsidR="00DE575E" w:rsidRDefault="002E7560">
      <w:pPr>
        <w:pStyle w:val="BodyText"/>
        <w:spacing w:before="1" w:line="252" w:lineRule="auto"/>
        <w:ind w:left="250" w:right="410"/>
        <w:jc w:val="both"/>
      </w:pPr>
      <w:r>
        <w:rPr>
          <w:color w:val="231F20"/>
        </w:rPr>
        <w:t xml:space="preserve">позбавлені такого права тільки у виняткових випадках (ч. 2 </w:t>
      </w:r>
      <w:r>
        <w:rPr>
          <w:color w:val="231F20"/>
          <w:spacing w:val="-6"/>
        </w:rPr>
        <w:t xml:space="preserve">ст. </w:t>
      </w:r>
      <w:r>
        <w:rPr>
          <w:color w:val="231F20"/>
        </w:rPr>
        <w:t>30 КУпАП), якщо вони керували транспортним засобом у стані алко- гольного або наркотичного сп’яніння або під впливом лікарських препаратів, що знижують увагу та швидкість реакції, а також у разі невиконання</w:t>
      </w:r>
      <w:r>
        <w:rPr>
          <w:color w:val="231F20"/>
          <w:spacing w:val="-11"/>
        </w:rPr>
        <w:t xml:space="preserve"> </w:t>
      </w:r>
      <w:r>
        <w:rPr>
          <w:color w:val="231F20"/>
        </w:rPr>
        <w:t>вимоги</w:t>
      </w:r>
      <w:r>
        <w:rPr>
          <w:color w:val="231F20"/>
          <w:spacing w:val="-11"/>
        </w:rPr>
        <w:t xml:space="preserve"> </w:t>
      </w:r>
      <w:r>
        <w:rPr>
          <w:color w:val="231F20"/>
        </w:rPr>
        <w:t>працівника</w:t>
      </w:r>
      <w:r>
        <w:rPr>
          <w:color w:val="231F20"/>
          <w:spacing w:val="-11"/>
        </w:rPr>
        <w:t xml:space="preserve"> </w:t>
      </w:r>
      <w:r>
        <w:rPr>
          <w:color w:val="231F20"/>
        </w:rPr>
        <w:t>поліції</w:t>
      </w:r>
      <w:r>
        <w:rPr>
          <w:color w:val="231F20"/>
          <w:spacing w:val="-11"/>
        </w:rPr>
        <w:t xml:space="preserve"> </w:t>
      </w:r>
      <w:r>
        <w:rPr>
          <w:color w:val="231F20"/>
        </w:rPr>
        <w:t>про</w:t>
      </w:r>
      <w:r>
        <w:rPr>
          <w:color w:val="231F20"/>
          <w:spacing w:val="-11"/>
        </w:rPr>
        <w:t xml:space="preserve"> </w:t>
      </w:r>
      <w:r>
        <w:rPr>
          <w:color w:val="231F20"/>
        </w:rPr>
        <w:t>зупинку</w:t>
      </w:r>
      <w:r>
        <w:rPr>
          <w:color w:val="231F20"/>
          <w:spacing w:val="-11"/>
        </w:rPr>
        <w:t xml:space="preserve"> </w:t>
      </w:r>
      <w:r>
        <w:rPr>
          <w:color w:val="231F20"/>
        </w:rPr>
        <w:t>транспортно</w:t>
      </w:r>
      <w:r>
        <w:rPr>
          <w:color w:val="231F20"/>
        </w:rPr>
        <w:t xml:space="preserve">го </w:t>
      </w:r>
      <w:r>
        <w:rPr>
          <w:color w:val="231F20"/>
          <w:spacing w:val="-3"/>
        </w:rPr>
        <w:t xml:space="preserve">засобу, </w:t>
      </w:r>
      <w:r>
        <w:rPr>
          <w:color w:val="231F20"/>
        </w:rPr>
        <w:t xml:space="preserve">залишення на порушення вимог встановлених правил місця дорожньо-транспортної пригоди, учасниками якої вони є, ухилення від </w:t>
      </w:r>
      <w:r>
        <w:rPr>
          <w:color w:val="231F20"/>
          <w:spacing w:val="-3"/>
        </w:rPr>
        <w:t xml:space="preserve">огляду </w:t>
      </w:r>
      <w:r>
        <w:rPr>
          <w:color w:val="231F20"/>
        </w:rPr>
        <w:t>на наявність алкогольного, наркотичного чи іншого сп’я- ніння або щодо перебування під впливом лікарських препараті</w:t>
      </w:r>
      <w:r>
        <w:rPr>
          <w:color w:val="231F20"/>
        </w:rPr>
        <w:t>в,</w:t>
      </w:r>
      <w:r>
        <w:rPr>
          <w:color w:val="231F20"/>
          <w:spacing w:val="-29"/>
        </w:rPr>
        <w:t xml:space="preserve"> </w:t>
      </w:r>
      <w:r>
        <w:rPr>
          <w:color w:val="231F20"/>
        </w:rPr>
        <w:t>що знижують їх увагу та швидкість</w:t>
      </w:r>
      <w:r>
        <w:rPr>
          <w:color w:val="231F20"/>
          <w:spacing w:val="-5"/>
        </w:rPr>
        <w:t xml:space="preserve"> </w:t>
      </w:r>
      <w:r>
        <w:rPr>
          <w:color w:val="231F20"/>
        </w:rPr>
        <w:t>реакції.</w:t>
      </w:r>
    </w:p>
    <w:p w14:paraId="7B0EE5CB" w14:textId="77777777" w:rsidR="00DE575E" w:rsidRDefault="002E7560">
      <w:pPr>
        <w:pStyle w:val="BodyText"/>
        <w:spacing w:before="5" w:line="252" w:lineRule="auto"/>
        <w:ind w:left="250" w:right="411" w:firstLine="283"/>
        <w:jc w:val="both"/>
      </w:pPr>
      <w:r>
        <w:rPr>
          <w:color w:val="231F20"/>
        </w:rPr>
        <w:t>Позбавлення права полювання не може застосовуватись до осіб, для яких полювання є основним джерелом існування.</w:t>
      </w:r>
    </w:p>
    <w:p w14:paraId="0592A51F" w14:textId="77777777" w:rsidR="00DE575E" w:rsidRDefault="002E7560">
      <w:pPr>
        <w:pStyle w:val="BodyText"/>
        <w:spacing w:before="1" w:line="252" w:lineRule="auto"/>
        <w:ind w:left="250" w:right="410" w:firstLine="283"/>
        <w:jc w:val="both"/>
      </w:pPr>
      <w:r>
        <w:rPr>
          <w:color w:val="231F20"/>
        </w:rPr>
        <w:t>Позбавлення права обіймати певні посади або займатися</w:t>
      </w:r>
      <w:r>
        <w:rPr>
          <w:color w:val="231F20"/>
          <w:spacing w:val="-34"/>
        </w:rPr>
        <w:t xml:space="preserve"> </w:t>
      </w:r>
      <w:r>
        <w:rPr>
          <w:color w:val="231F20"/>
        </w:rPr>
        <w:t xml:space="preserve">певною діяльністю призначається </w:t>
      </w:r>
      <w:r>
        <w:rPr>
          <w:color w:val="231F20"/>
          <w:spacing w:val="-3"/>
        </w:rPr>
        <w:t xml:space="preserve">судом </w:t>
      </w:r>
      <w:r>
        <w:rPr>
          <w:color w:val="231F20"/>
        </w:rPr>
        <w:t xml:space="preserve">за адміністративні правопору- шення, пов’язані з корупцією.  Цей  вид  стягнень  застосовується  до осіб-суб’єктів корупційних правопорушень, зазначених у п. 1 частини 1  статті  3  Закону  </w:t>
      </w:r>
      <w:r>
        <w:rPr>
          <w:color w:val="231F20"/>
          <w:spacing w:val="-3"/>
        </w:rPr>
        <w:t xml:space="preserve">України  </w:t>
      </w:r>
      <w:r>
        <w:rPr>
          <w:color w:val="231F20"/>
        </w:rPr>
        <w:t>«Про  запобігання  корупції»</w:t>
      </w:r>
      <w:r>
        <w:rPr>
          <w:color w:val="231F20"/>
          <w:position w:val="7"/>
          <w:sz w:val="12"/>
        </w:rPr>
        <w:t xml:space="preserve">1  </w:t>
      </w:r>
      <w:r>
        <w:rPr>
          <w:color w:val="231F20"/>
        </w:rPr>
        <w:t>на строк від шести місяців</w:t>
      </w:r>
      <w:r>
        <w:rPr>
          <w:color w:val="231F20"/>
        </w:rPr>
        <w:t xml:space="preserve"> до одного </w:t>
      </w:r>
      <w:r>
        <w:rPr>
          <w:color w:val="231F20"/>
          <w:spacing w:val="-5"/>
        </w:rPr>
        <w:t xml:space="preserve">року, </w:t>
      </w:r>
      <w:r>
        <w:rPr>
          <w:color w:val="231F20"/>
        </w:rPr>
        <w:t>незалежно від того, чи передбачене</w:t>
      </w:r>
      <w:r>
        <w:rPr>
          <w:color w:val="231F20"/>
          <w:spacing w:val="-7"/>
        </w:rPr>
        <w:t xml:space="preserve"> </w:t>
      </w:r>
      <w:r>
        <w:rPr>
          <w:color w:val="231F20"/>
        </w:rPr>
        <w:t>воно</w:t>
      </w:r>
      <w:r>
        <w:rPr>
          <w:color w:val="231F20"/>
          <w:spacing w:val="-7"/>
        </w:rPr>
        <w:t xml:space="preserve"> </w:t>
      </w:r>
      <w:r>
        <w:rPr>
          <w:color w:val="231F20"/>
        </w:rPr>
        <w:t>в</w:t>
      </w:r>
      <w:r>
        <w:rPr>
          <w:color w:val="231F20"/>
          <w:spacing w:val="-7"/>
        </w:rPr>
        <w:t xml:space="preserve"> </w:t>
      </w:r>
      <w:r>
        <w:rPr>
          <w:color w:val="231F20"/>
        </w:rPr>
        <w:t>санкції</w:t>
      </w:r>
      <w:r>
        <w:rPr>
          <w:color w:val="231F20"/>
          <w:spacing w:val="-7"/>
        </w:rPr>
        <w:t xml:space="preserve"> </w:t>
      </w:r>
      <w:r>
        <w:rPr>
          <w:color w:val="231F20"/>
        </w:rPr>
        <w:t>статті</w:t>
      </w:r>
      <w:r>
        <w:rPr>
          <w:color w:val="231F20"/>
          <w:spacing w:val="-7"/>
        </w:rPr>
        <w:t xml:space="preserve"> </w:t>
      </w:r>
      <w:r>
        <w:rPr>
          <w:color w:val="231F20"/>
        </w:rPr>
        <w:t>(санкції</w:t>
      </w:r>
      <w:r>
        <w:rPr>
          <w:color w:val="231F20"/>
          <w:spacing w:val="-7"/>
        </w:rPr>
        <w:t xml:space="preserve"> </w:t>
      </w:r>
      <w:r>
        <w:rPr>
          <w:color w:val="231F20"/>
        </w:rPr>
        <w:t>частини</w:t>
      </w:r>
      <w:r>
        <w:rPr>
          <w:color w:val="231F20"/>
          <w:spacing w:val="-7"/>
        </w:rPr>
        <w:t xml:space="preserve"> </w:t>
      </w:r>
      <w:r>
        <w:rPr>
          <w:color w:val="231F20"/>
        </w:rPr>
        <w:t>статті)</w:t>
      </w:r>
      <w:r>
        <w:rPr>
          <w:color w:val="231F20"/>
          <w:spacing w:val="-7"/>
        </w:rPr>
        <w:t xml:space="preserve"> </w:t>
      </w:r>
      <w:r>
        <w:rPr>
          <w:color w:val="231F20"/>
        </w:rPr>
        <w:t xml:space="preserve">Особливої частини </w:t>
      </w:r>
      <w:r>
        <w:rPr>
          <w:color w:val="231F20"/>
          <w:spacing w:val="-3"/>
        </w:rPr>
        <w:t xml:space="preserve">КУпАП, </w:t>
      </w:r>
      <w:r>
        <w:rPr>
          <w:color w:val="231F20"/>
        </w:rPr>
        <w:t>коли з урахуванням характеру адміністративного правопорушення, учиненого за посадою, особи, яка вчинила адмі- ністративне правопоруш</w:t>
      </w:r>
      <w:r>
        <w:rPr>
          <w:color w:val="231F20"/>
        </w:rPr>
        <w:t xml:space="preserve">ення, та інших обставин справи </w:t>
      </w:r>
      <w:r>
        <w:rPr>
          <w:color w:val="231F20"/>
          <w:spacing w:val="-4"/>
        </w:rPr>
        <w:t xml:space="preserve">суд </w:t>
      </w:r>
      <w:r>
        <w:rPr>
          <w:color w:val="231F20"/>
        </w:rPr>
        <w:t>визнає за неможливе збереження за нею права обіймати певні посади або займатися певною</w:t>
      </w:r>
      <w:r>
        <w:rPr>
          <w:color w:val="231F20"/>
          <w:spacing w:val="-2"/>
        </w:rPr>
        <w:t xml:space="preserve"> </w:t>
      </w:r>
      <w:r>
        <w:rPr>
          <w:color w:val="231F20"/>
        </w:rPr>
        <w:t>діяльністю.</w:t>
      </w:r>
    </w:p>
    <w:p w14:paraId="65D539DA" w14:textId="77777777" w:rsidR="00DE575E" w:rsidRDefault="002E7560">
      <w:pPr>
        <w:pStyle w:val="BodyText"/>
        <w:spacing w:before="6" w:line="252" w:lineRule="auto"/>
        <w:ind w:left="250" w:right="410" w:firstLine="283"/>
        <w:jc w:val="both"/>
      </w:pPr>
      <w:r>
        <w:rPr>
          <w:b/>
          <w:color w:val="231F20"/>
        </w:rPr>
        <w:t xml:space="preserve">Виправні роботи </w:t>
      </w:r>
      <w:r>
        <w:rPr>
          <w:color w:val="231F20"/>
          <w:spacing w:val="-5"/>
        </w:rPr>
        <w:t xml:space="preserve">(ст. </w:t>
      </w:r>
      <w:r>
        <w:rPr>
          <w:color w:val="231F20"/>
        </w:rPr>
        <w:t xml:space="preserve">31 </w:t>
      </w:r>
      <w:r>
        <w:rPr>
          <w:color w:val="231F20"/>
          <w:spacing w:val="-3"/>
        </w:rPr>
        <w:t xml:space="preserve">КУпАП) </w:t>
      </w:r>
      <w:r>
        <w:rPr>
          <w:color w:val="231F20"/>
        </w:rPr>
        <w:t xml:space="preserve">застосовуються на строк до двох місяців з відбуванням їх за місцем постійної роботи особи, </w:t>
      </w:r>
      <w:r>
        <w:rPr>
          <w:color w:val="231F20"/>
        </w:rPr>
        <w:t xml:space="preserve">яка вчинила адміністративне правопорушення, і з відрахуванням до двадцяти відсотків заробітку в </w:t>
      </w:r>
      <w:r>
        <w:rPr>
          <w:color w:val="231F20"/>
          <w:spacing w:val="-4"/>
        </w:rPr>
        <w:t>доход</w:t>
      </w:r>
      <w:r>
        <w:rPr>
          <w:color w:val="231F20"/>
          <w:spacing w:val="-8"/>
        </w:rPr>
        <w:t xml:space="preserve"> </w:t>
      </w:r>
      <w:r>
        <w:rPr>
          <w:color w:val="231F20"/>
        </w:rPr>
        <w:t>держави.</w:t>
      </w:r>
    </w:p>
    <w:p w14:paraId="401944C0" w14:textId="77777777" w:rsidR="00DE575E" w:rsidRDefault="002E7560">
      <w:pPr>
        <w:pStyle w:val="BodyText"/>
        <w:spacing w:before="1" w:line="252" w:lineRule="auto"/>
        <w:ind w:left="250" w:right="409" w:firstLine="283"/>
        <w:jc w:val="both"/>
      </w:pPr>
      <w:r>
        <w:rPr>
          <w:color w:val="231F20"/>
        </w:rPr>
        <w:t xml:space="preserve">Метою цього стягнення є грошове покарання, вплив на матері- альні інтереси порушника та його перевиховання в умовах </w:t>
      </w:r>
      <w:r>
        <w:rPr>
          <w:color w:val="231F20"/>
          <w:spacing w:val="-4"/>
        </w:rPr>
        <w:t xml:space="preserve">трудо- </w:t>
      </w:r>
      <w:r>
        <w:rPr>
          <w:color w:val="231F20"/>
        </w:rPr>
        <w:t xml:space="preserve">вого колективу. </w:t>
      </w:r>
      <w:r>
        <w:rPr>
          <w:color w:val="231F20"/>
          <w:spacing w:val="-5"/>
        </w:rPr>
        <w:t xml:space="preserve">Таке </w:t>
      </w:r>
      <w:r>
        <w:rPr>
          <w:color w:val="231F20"/>
        </w:rPr>
        <w:t>с</w:t>
      </w:r>
      <w:r>
        <w:rPr>
          <w:color w:val="231F20"/>
        </w:rPr>
        <w:t>тягнення не може бути застосоване до недієз- датних осіб, пенсіонерів, інвалідів, вагітних жінок, осіб, які не</w:t>
      </w:r>
      <w:r>
        <w:rPr>
          <w:color w:val="231F20"/>
          <w:spacing w:val="-33"/>
        </w:rPr>
        <w:t xml:space="preserve"> </w:t>
      </w:r>
      <w:r>
        <w:rPr>
          <w:color w:val="231F20"/>
        </w:rPr>
        <w:t>мають постійного</w:t>
      </w:r>
      <w:r>
        <w:rPr>
          <w:color w:val="231F20"/>
          <w:spacing w:val="-17"/>
        </w:rPr>
        <w:t xml:space="preserve"> </w:t>
      </w:r>
      <w:r>
        <w:rPr>
          <w:color w:val="231F20"/>
        </w:rPr>
        <w:t>місця</w:t>
      </w:r>
      <w:r>
        <w:rPr>
          <w:color w:val="231F20"/>
          <w:spacing w:val="-17"/>
        </w:rPr>
        <w:t xml:space="preserve"> </w:t>
      </w:r>
      <w:r>
        <w:rPr>
          <w:color w:val="231F20"/>
        </w:rPr>
        <w:t>роботи,</w:t>
      </w:r>
      <w:r>
        <w:rPr>
          <w:color w:val="231F20"/>
          <w:spacing w:val="-17"/>
        </w:rPr>
        <w:t xml:space="preserve"> </w:t>
      </w:r>
      <w:r>
        <w:rPr>
          <w:color w:val="231F20"/>
        </w:rPr>
        <w:t>а</w:t>
      </w:r>
      <w:r>
        <w:rPr>
          <w:color w:val="231F20"/>
          <w:spacing w:val="-17"/>
        </w:rPr>
        <w:t xml:space="preserve"> </w:t>
      </w:r>
      <w:r>
        <w:rPr>
          <w:color w:val="231F20"/>
        </w:rPr>
        <w:t>також</w:t>
      </w:r>
      <w:r>
        <w:rPr>
          <w:color w:val="231F20"/>
          <w:spacing w:val="-17"/>
        </w:rPr>
        <w:t xml:space="preserve"> </w:t>
      </w:r>
      <w:r>
        <w:rPr>
          <w:color w:val="231F20"/>
        </w:rPr>
        <w:t>до</w:t>
      </w:r>
      <w:r>
        <w:rPr>
          <w:color w:val="231F20"/>
          <w:spacing w:val="-17"/>
        </w:rPr>
        <w:t xml:space="preserve"> </w:t>
      </w:r>
      <w:r>
        <w:rPr>
          <w:color w:val="231F20"/>
        </w:rPr>
        <w:t>військовослужбовців,</w:t>
      </w:r>
      <w:r>
        <w:rPr>
          <w:color w:val="231F20"/>
          <w:spacing w:val="-17"/>
        </w:rPr>
        <w:t xml:space="preserve"> </w:t>
      </w:r>
      <w:r>
        <w:rPr>
          <w:color w:val="231F20"/>
        </w:rPr>
        <w:t xml:space="preserve">військово- зобов’язаних і резервістів під час проходження зборів, до осіб рядо- вого і начальницького складів органу виконавчої влади з питань виконання покарань, органів поліції, Державної служби спеціаль- ного зв’язку та захисту інформації </w:t>
      </w:r>
      <w:r>
        <w:rPr>
          <w:color w:val="231F20"/>
          <w:spacing w:val="-3"/>
        </w:rPr>
        <w:t xml:space="preserve">України </w:t>
      </w:r>
      <w:r>
        <w:rPr>
          <w:color w:val="231F20"/>
        </w:rPr>
        <w:t xml:space="preserve">(ч. 1 </w:t>
      </w:r>
      <w:r>
        <w:rPr>
          <w:color w:val="231F20"/>
          <w:spacing w:val="-6"/>
        </w:rPr>
        <w:t xml:space="preserve">ст. </w:t>
      </w:r>
      <w:r>
        <w:rPr>
          <w:color w:val="231F20"/>
        </w:rPr>
        <w:t>15</w:t>
      </w:r>
      <w:r>
        <w:rPr>
          <w:color w:val="231F20"/>
          <w:spacing w:val="-11"/>
        </w:rPr>
        <w:t xml:space="preserve"> </w:t>
      </w:r>
      <w:r>
        <w:rPr>
          <w:color w:val="231F20"/>
        </w:rPr>
        <w:t>КУпАП).</w:t>
      </w:r>
    </w:p>
    <w:p w14:paraId="246F4A73" w14:textId="5E5EBE67" w:rsidR="00DE575E" w:rsidRDefault="002E7560">
      <w:pPr>
        <w:pStyle w:val="BodyText"/>
        <w:spacing w:before="7"/>
        <w:rPr>
          <w:sz w:val="24"/>
        </w:rPr>
      </w:pPr>
      <w:r>
        <w:rPr>
          <w:noProof/>
        </w:rPr>
        <mc:AlternateContent>
          <mc:Choice Requires="wps">
            <w:drawing>
              <wp:anchor distT="0" distB="0" distL="0" distR="0" simplePos="0" relativeHeight="19024" behindDoc="0" locked="0" layoutInCell="1" allowOverlap="1" wp14:anchorId="77E6E1DA" wp14:editId="1E2DCEAE">
                <wp:simplePos x="0" y="0"/>
                <wp:positionH relativeFrom="page">
                  <wp:posOffset>539750</wp:posOffset>
                </wp:positionH>
                <wp:positionV relativeFrom="paragraph">
                  <wp:posOffset>211455</wp:posOffset>
                </wp:positionV>
                <wp:extent cx="1080135" cy="0"/>
                <wp:effectExtent l="6350" t="8255" r="31115" b="29845"/>
                <wp:wrapTopAndBottom/>
                <wp:docPr id="15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86ED" id="Line_x0020_154" o:spid="_x0000_s1026" style="position:absolute;z-index:1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65pt" to="127.55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2ZKCE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" strokecolor="#231f20" strokeweight=".5pt">
                <w10:wrap type="topAndBottom" anchorx="page"/>
              </v:line>
            </w:pict>
          </mc:Fallback>
        </mc:AlternateContent>
      </w:r>
    </w:p>
    <w:p w14:paraId="5C87E94E" w14:textId="77777777" w:rsidR="00DE575E" w:rsidRDefault="002E7560">
      <w:pPr>
        <w:spacing w:line="162" w:lineRule="exact"/>
        <w:ind w:left="250"/>
        <w:rPr>
          <w:sz w:val="16"/>
        </w:rPr>
      </w:pPr>
      <w:r>
        <w:rPr>
          <w:color w:val="231F20"/>
          <w:position w:val="5"/>
          <w:sz w:val="9"/>
        </w:rPr>
        <w:t xml:space="preserve">1 </w:t>
      </w:r>
      <w:r>
        <w:rPr>
          <w:color w:val="231F20"/>
          <w:sz w:val="16"/>
        </w:rPr>
        <w:t>Про запобігання корупції: Закон України від 14 жовтня 2014 р. № 49. Ст. 2026.</w:t>
      </w:r>
    </w:p>
    <w:p w14:paraId="650E32C5" w14:textId="77777777" w:rsidR="00DE575E" w:rsidRDefault="00DE575E">
      <w:pPr>
        <w:pStyle w:val="BodyText"/>
        <w:spacing w:before="10"/>
        <w:rPr>
          <w:sz w:val="11"/>
        </w:rPr>
      </w:pPr>
    </w:p>
    <w:p w14:paraId="6CBE9CCF" w14:textId="77777777" w:rsidR="00DE575E" w:rsidRDefault="002E7560">
      <w:pPr>
        <w:spacing w:before="92"/>
        <w:ind w:right="411"/>
        <w:jc w:val="right"/>
        <w:rPr>
          <w:rFonts w:ascii="Times New Roman"/>
          <w:sz w:val="20"/>
        </w:rPr>
      </w:pPr>
      <w:r>
        <w:rPr>
          <w:rFonts w:ascii="Times New Roman"/>
          <w:color w:val="231F20"/>
          <w:w w:val="90"/>
          <w:sz w:val="20"/>
        </w:rPr>
        <w:t>505</w:t>
      </w:r>
    </w:p>
    <w:p w14:paraId="6792AAF5"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0B5594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82F2F05" w14:textId="04CF360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F73518B" wp14:editId="51F6D17B">
                <wp:extent cx="4140200" cy="6350"/>
                <wp:effectExtent l="0" t="0" r="12700" b="6350"/>
                <wp:docPr id="15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54" name="Line 15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081FFF" id="Group_x0020_15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AUG15X4CAACYBQAADgAA&#10;AAAAAAAAAAAAAAAsAgAAZHJzL2Uyb0RvYy54bWxQSwECLQAUAAYACAAAACEATKewkNkAAAADAQAA&#10;DwAAAAAAAAAAAAAAAADWBAAAZHJzL2Rvd25yZXYueG1sUEsFBgAAAAAEAAQA8wAAANwFAAAAAA==&#10;">
                <v:line id="Line_x0020_15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xga8QAAADcAAAADwAAAGRycy9kb3ducmV2LnhtbERP22rCQBB9L/gPywh9KbqpVpHoKlIQ&#10;Sh+8xQ8Ys2MS3J2N2dWk/fpuodC3OZzrLFadNeJBja8cK3gdJiCIc6crLhScss1gBsIHZI3GMSn4&#10;Ig+rZe9pgal2LR/ocQyFiCHsU1RQhlCnUvq8JIt+6GriyF1cYzFE2BRSN9jGcGvkKEmm0mLFsaHE&#10;mt5Lyq/Hu1WQ3V6C2e8+TZvtzmN5vm3H3/etUs/9bj0HEagL/+I/94eO8ydv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DGBrxAAAANwAAAAPAAAAAAAAAAAA&#10;AAAAAKECAABkcnMvZG93bnJldi54bWxQSwUGAAAAAAQABAD5AAAAkgMAAAAA&#10;" strokecolor="#231f20" strokeweight=".5pt"/>
                <w10:anchorlock/>
              </v:group>
            </w:pict>
          </mc:Fallback>
        </mc:AlternateContent>
      </w:r>
    </w:p>
    <w:p w14:paraId="552BA311" w14:textId="77777777" w:rsidR="00DE575E" w:rsidRDefault="00DE575E">
      <w:pPr>
        <w:pStyle w:val="BodyText"/>
        <w:spacing w:before="7"/>
        <w:rPr>
          <w:rFonts w:ascii="AdonisC"/>
          <w:i/>
          <w:sz w:val="11"/>
        </w:rPr>
      </w:pPr>
    </w:p>
    <w:p w14:paraId="061B96BA" w14:textId="77777777" w:rsidR="00DE575E" w:rsidRDefault="002E7560">
      <w:pPr>
        <w:pStyle w:val="BodyText"/>
        <w:spacing w:before="101" w:line="252" w:lineRule="auto"/>
        <w:ind w:left="533" w:right="126" w:firstLine="283"/>
        <w:jc w:val="both"/>
      </w:pPr>
      <w:r>
        <w:rPr>
          <w:color w:val="231F20"/>
        </w:rPr>
        <w:t xml:space="preserve">Виправні роботи застосовуються за вчинення деяких адмініст- ративних проступків з особливою антигромадською спрямовані- стю, близьких до злочинів: дрібного хуліганства </w:t>
      </w:r>
      <w:r>
        <w:rPr>
          <w:color w:val="231F20"/>
          <w:spacing w:val="-5"/>
        </w:rPr>
        <w:t xml:space="preserve">(ст. </w:t>
      </w:r>
      <w:r>
        <w:rPr>
          <w:color w:val="231F20"/>
        </w:rPr>
        <w:t xml:space="preserve">173 КУпАП); поширювання неправдивих чуток </w:t>
      </w:r>
      <w:r>
        <w:rPr>
          <w:color w:val="231F20"/>
          <w:spacing w:val="-5"/>
        </w:rPr>
        <w:t xml:space="preserve">(ст. </w:t>
      </w:r>
      <w:r>
        <w:rPr>
          <w:color w:val="231F20"/>
        </w:rPr>
        <w:t xml:space="preserve">173-1 КУпАП); злісної непо- кори законному розпорядженню або вимозі працівника міліції, члена громадського формування з охорони громадського порядку   і державного </w:t>
      </w:r>
      <w:r>
        <w:rPr>
          <w:color w:val="231F20"/>
          <w:spacing w:val="-4"/>
        </w:rPr>
        <w:t xml:space="preserve">кордону, </w:t>
      </w:r>
      <w:r>
        <w:rPr>
          <w:color w:val="231F20"/>
        </w:rPr>
        <w:t xml:space="preserve">військовослужбовця </w:t>
      </w:r>
      <w:r>
        <w:rPr>
          <w:color w:val="231F20"/>
          <w:spacing w:val="-5"/>
        </w:rPr>
        <w:t xml:space="preserve">(ст. </w:t>
      </w:r>
      <w:r>
        <w:rPr>
          <w:color w:val="231F20"/>
        </w:rPr>
        <w:t>185 КУпАП); повтор- ного упродовж року порушення встан</w:t>
      </w:r>
      <w:r>
        <w:rPr>
          <w:color w:val="231F20"/>
        </w:rPr>
        <w:t xml:space="preserve">овленого порядку організації проведення зборів, мітингів, вуличних </w:t>
      </w:r>
      <w:r>
        <w:rPr>
          <w:color w:val="231F20"/>
          <w:spacing w:val="-3"/>
        </w:rPr>
        <w:t xml:space="preserve">походів </w:t>
      </w:r>
      <w:r>
        <w:rPr>
          <w:color w:val="231F20"/>
        </w:rPr>
        <w:t xml:space="preserve">і демонстрацій (ч. 2 </w:t>
      </w:r>
      <w:r>
        <w:rPr>
          <w:color w:val="231F20"/>
          <w:spacing w:val="-6"/>
        </w:rPr>
        <w:t xml:space="preserve">ст. </w:t>
      </w:r>
      <w:r>
        <w:rPr>
          <w:color w:val="231F20"/>
        </w:rPr>
        <w:t xml:space="preserve">185-1 КУпАП); публічних закликів до невиконання вимог праців- ника міліції чи посадової  особи  Військової  служби  правопорядку у Збройних Силах </w:t>
      </w:r>
      <w:r>
        <w:rPr>
          <w:color w:val="231F20"/>
          <w:spacing w:val="-3"/>
        </w:rPr>
        <w:t xml:space="preserve">України </w:t>
      </w:r>
      <w:r>
        <w:rPr>
          <w:color w:val="231F20"/>
          <w:spacing w:val="-5"/>
        </w:rPr>
        <w:t>(с</w:t>
      </w:r>
      <w:r>
        <w:rPr>
          <w:color w:val="231F20"/>
          <w:spacing w:val="-5"/>
        </w:rPr>
        <w:t xml:space="preserve">т. </w:t>
      </w:r>
      <w:r>
        <w:rPr>
          <w:color w:val="231F20"/>
        </w:rPr>
        <w:t>185-7</w:t>
      </w:r>
      <w:r>
        <w:rPr>
          <w:color w:val="231F20"/>
          <w:spacing w:val="-1"/>
        </w:rPr>
        <w:t xml:space="preserve"> </w:t>
      </w:r>
      <w:r>
        <w:rPr>
          <w:color w:val="231F20"/>
        </w:rPr>
        <w:t>КУпАП).</w:t>
      </w:r>
    </w:p>
    <w:p w14:paraId="6B71FEFC" w14:textId="77777777" w:rsidR="00DE575E" w:rsidRDefault="002E7560">
      <w:pPr>
        <w:pStyle w:val="BodyText"/>
        <w:spacing w:before="6" w:line="252" w:lineRule="auto"/>
        <w:ind w:left="533" w:right="128" w:firstLine="283"/>
        <w:jc w:val="both"/>
      </w:pPr>
      <w:r>
        <w:rPr>
          <w:b/>
          <w:color w:val="231F20"/>
          <w:spacing w:val="-4"/>
        </w:rPr>
        <w:t xml:space="preserve">Громадські </w:t>
      </w:r>
      <w:r>
        <w:rPr>
          <w:b/>
          <w:color w:val="231F20"/>
          <w:spacing w:val="-3"/>
        </w:rPr>
        <w:t xml:space="preserve">роботи </w:t>
      </w:r>
      <w:r>
        <w:rPr>
          <w:color w:val="231F20"/>
          <w:spacing w:val="-7"/>
        </w:rPr>
        <w:t xml:space="preserve">(ст. </w:t>
      </w:r>
      <w:r>
        <w:rPr>
          <w:color w:val="231F20"/>
        </w:rPr>
        <w:t>30</w:t>
      </w:r>
      <w:r>
        <w:rPr>
          <w:color w:val="231F20"/>
          <w:position w:val="7"/>
          <w:sz w:val="12"/>
        </w:rPr>
        <w:t xml:space="preserve">1 </w:t>
      </w:r>
      <w:r>
        <w:rPr>
          <w:color w:val="231F20"/>
          <w:spacing w:val="-5"/>
        </w:rPr>
        <w:t xml:space="preserve">КУпАП) </w:t>
      </w:r>
      <w:r>
        <w:rPr>
          <w:color w:val="231F20"/>
          <w:spacing w:val="-3"/>
        </w:rPr>
        <w:t xml:space="preserve">полягають </w:t>
      </w:r>
      <w:r>
        <w:rPr>
          <w:color w:val="231F20"/>
        </w:rPr>
        <w:t xml:space="preserve">у </w:t>
      </w:r>
      <w:r>
        <w:rPr>
          <w:color w:val="231F20"/>
          <w:spacing w:val="-3"/>
        </w:rPr>
        <w:t xml:space="preserve">виконанні особою, </w:t>
      </w:r>
      <w:r>
        <w:rPr>
          <w:color w:val="231F20"/>
        </w:rPr>
        <w:t xml:space="preserve">яка вчинила </w:t>
      </w:r>
      <w:r>
        <w:rPr>
          <w:color w:val="231F20"/>
          <w:spacing w:val="-3"/>
        </w:rPr>
        <w:t xml:space="preserve">адміністративне правопорушення, </w:t>
      </w:r>
      <w:r>
        <w:rPr>
          <w:color w:val="231F20"/>
        </w:rPr>
        <w:t xml:space="preserve">у </w:t>
      </w:r>
      <w:r>
        <w:rPr>
          <w:color w:val="231F20"/>
          <w:spacing w:val="-3"/>
        </w:rPr>
        <w:t xml:space="preserve">вільний </w:t>
      </w:r>
      <w:r>
        <w:rPr>
          <w:color w:val="231F20"/>
        </w:rPr>
        <w:t xml:space="preserve">від </w:t>
      </w:r>
      <w:r>
        <w:rPr>
          <w:color w:val="231F20"/>
          <w:spacing w:val="-4"/>
        </w:rPr>
        <w:t xml:space="preserve">роботи </w:t>
      </w:r>
      <w:r>
        <w:rPr>
          <w:color w:val="231F20"/>
        </w:rPr>
        <w:t xml:space="preserve">чи навчання час </w:t>
      </w:r>
      <w:r>
        <w:rPr>
          <w:color w:val="231F20"/>
          <w:spacing w:val="-3"/>
        </w:rPr>
        <w:t xml:space="preserve">безоплатних </w:t>
      </w:r>
      <w:r>
        <w:rPr>
          <w:color w:val="231F20"/>
          <w:spacing w:val="-4"/>
        </w:rPr>
        <w:t xml:space="preserve">суспільно </w:t>
      </w:r>
      <w:r>
        <w:rPr>
          <w:color w:val="231F20"/>
        </w:rPr>
        <w:t xml:space="preserve">корисних </w:t>
      </w:r>
      <w:r>
        <w:rPr>
          <w:color w:val="231F20"/>
          <w:spacing w:val="-6"/>
        </w:rPr>
        <w:t xml:space="preserve">робіт, </w:t>
      </w:r>
      <w:r>
        <w:rPr>
          <w:color w:val="231F20"/>
        </w:rPr>
        <w:t xml:space="preserve">вид </w:t>
      </w:r>
      <w:r>
        <w:rPr>
          <w:color w:val="231F20"/>
          <w:spacing w:val="-3"/>
        </w:rPr>
        <w:t xml:space="preserve">яких </w:t>
      </w:r>
      <w:r>
        <w:rPr>
          <w:color w:val="231F20"/>
          <w:spacing w:val="-4"/>
        </w:rPr>
        <w:t xml:space="preserve">визначають </w:t>
      </w:r>
      <w:r>
        <w:rPr>
          <w:color w:val="231F20"/>
          <w:spacing w:val="-3"/>
        </w:rPr>
        <w:t>органи місцевого самоврядування. Гро</w:t>
      </w:r>
      <w:r>
        <w:rPr>
          <w:color w:val="231F20"/>
          <w:spacing w:val="-3"/>
        </w:rPr>
        <w:t xml:space="preserve">мадські </w:t>
      </w:r>
      <w:r>
        <w:rPr>
          <w:color w:val="231F20"/>
          <w:spacing w:val="-4"/>
        </w:rPr>
        <w:t xml:space="preserve">роботи призначаються </w:t>
      </w:r>
      <w:r>
        <w:rPr>
          <w:color w:val="231F20"/>
          <w:spacing w:val="-3"/>
        </w:rPr>
        <w:t xml:space="preserve">районним, районним </w:t>
      </w:r>
      <w:r>
        <w:rPr>
          <w:color w:val="231F20"/>
        </w:rPr>
        <w:t xml:space="preserve">у </w:t>
      </w:r>
      <w:r>
        <w:rPr>
          <w:color w:val="231F20"/>
          <w:spacing w:val="-3"/>
        </w:rPr>
        <w:t xml:space="preserve">місті, міським </w:t>
      </w:r>
      <w:r>
        <w:rPr>
          <w:color w:val="231F20"/>
        </w:rPr>
        <w:t xml:space="preserve">чи </w:t>
      </w:r>
      <w:r>
        <w:rPr>
          <w:color w:val="231F20"/>
          <w:spacing w:val="-3"/>
        </w:rPr>
        <w:t xml:space="preserve">міськра- йонним </w:t>
      </w:r>
      <w:r>
        <w:rPr>
          <w:color w:val="231F20"/>
          <w:spacing w:val="-5"/>
        </w:rPr>
        <w:t xml:space="preserve">судом  </w:t>
      </w:r>
      <w:r>
        <w:rPr>
          <w:color w:val="231F20"/>
          <w:spacing w:val="-4"/>
        </w:rPr>
        <w:t xml:space="preserve">(суддею)  </w:t>
      </w:r>
      <w:r>
        <w:rPr>
          <w:color w:val="231F20"/>
        </w:rPr>
        <w:t xml:space="preserve">на </w:t>
      </w:r>
      <w:r>
        <w:rPr>
          <w:color w:val="231F20"/>
          <w:spacing w:val="-3"/>
        </w:rPr>
        <w:t xml:space="preserve">строк  </w:t>
      </w:r>
      <w:r>
        <w:rPr>
          <w:color w:val="231F20"/>
        </w:rPr>
        <w:t xml:space="preserve">від </w:t>
      </w:r>
      <w:r>
        <w:rPr>
          <w:color w:val="231F20"/>
          <w:spacing w:val="-3"/>
        </w:rPr>
        <w:t xml:space="preserve">двадцяти  </w:t>
      </w:r>
      <w:r>
        <w:rPr>
          <w:color w:val="231F20"/>
        </w:rPr>
        <w:t xml:space="preserve">до </w:t>
      </w:r>
      <w:r>
        <w:rPr>
          <w:color w:val="231F20"/>
          <w:spacing w:val="-4"/>
        </w:rPr>
        <w:t xml:space="preserve">шістдесяти  годин </w:t>
      </w:r>
      <w:r>
        <w:rPr>
          <w:color w:val="231F20"/>
        </w:rPr>
        <w:t xml:space="preserve">і </w:t>
      </w:r>
      <w:r>
        <w:rPr>
          <w:color w:val="231F20"/>
          <w:spacing w:val="-3"/>
        </w:rPr>
        <w:t xml:space="preserve">відбуваються </w:t>
      </w:r>
      <w:r>
        <w:rPr>
          <w:color w:val="231F20"/>
        </w:rPr>
        <w:t xml:space="preserve">не </w:t>
      </w:r>
      <w:r>
        <w:rPr>
          <w:color w:val="231F20"/>
          <w:spacing w:val="-3"/>
        </w:rPr>
        <w:t xml:space="preserve">більш </w:t>
      </w:r>
      <w:r>
        <w:rPr>
          <w:color w:val="231F20"/>
        </w:rPr>
        <w:t xml:space="preserve">як </w:t>
      </w:r>
      <w:r>
        <w:rPr>
          <w:color w:val="231F20"/>
          <w:spacing w:val="-3"/>
        </w:rPr>
        <w:t xml:space="preserve">чотири </w:t>
      </w:r>
      <w:r>
        <w:rPr>
          <w:color w:val="231F20"/>
          <w:spacing w:val="-4"/>
        </w:rPr>
        <w:t xml:space="preserve">години </w:t>
      </w:r>
      <w:r>
        <w:rPr>
          <w:color w:val="231F20"/>
        </w:rPr>
        <w:t xml:space="preserve">на </w:t>
      </w:r>
      <w:r>
        <w:rPr>
          <w:color w:val="231F20"/>
          <w:spacing w:val="-3"/>
        </w:rPr>
        <w:t xml:space="preserve">день. Громадські </w:t>
      </w:r>
      <w:r>
        <w:rPr>
          <w:color w:val="231F20"/>
          <w:spacing w:val="-4"/>
        </w:rPr>
        <w:t xml:space="preserve">роботи </w:t>
      </w:r>
      <w:r>
        <w:rPr>
          <w:color w:val="231F20"/>
        </w:rPr>
        <w:t xml:space="preserve">не </w:t>
      </w:r>
      <w:r>
        <w:rPr>
          <w:color w:val="231F20"/>
          <w:spacing w:val="-4"/>
        </w:rPr>
        <w:t xml:space="preserve">призначаються </w:t>
      </w:r>
      <w:r>
        <w:rPr>
          <w:color w:val="231F20"/>
        </w:rPr>
        <w:t xml:space="preserve">особам, </w:t>
      </w:r>
      <w:r>
        <w:rPr>
          <w:color w:val="231F20"/>
          <w:spacing w:val="-3"/>
        </w:rPr>
        <w:t xml:space="preserve">визнаним інвалідами першої </w:t>
      </w:r>
      <w:r>
        <w:rPr>
          <w:color w:val="231F20"/>
        </w:rPr>
        <w:t xml:space="preserve">або </w:t>
      </w:r>
      <w:r>
        <w:rPr>
          <w:color w:val="231F20"/>
          <w:spacing w:val="-4"/>
        </w:rPr>
        <w:t xml:space="preserve">другої </w:t>
      </w:r>
      <w:r>
        <w:rPr>
          <w:color w:val="231F20"/>
          <w:spacing w:val="-3"/>
        </w:rPr>
        <w:t xml:space="preserve">групи, вагітним жінкам, жінкам старше </w:t>
      </w:r>
      <w:r>
        <w:rPr>
          <w:color w:val="231F20"/>
        </w:rPr>
        <w:t xml:space="preserve">55 </w:t>
      </w:r>
      <w:r>
        <w:rPr>
          <w:color w:val="231F20"/>
          <w:spacing w:val="-3"/>
        </w:rPr>
        <w:t xml:space="preserve">років </w:t>
      </w:r>
      <w:r>
        <w:rPr>
          <w:color w:val="231F20"/>
        </w:rPr>
        <w:t xml:space="preserve">та чоловікам </w:t>
      </w:r>
      <w:r>
        <w:rPr>
          <w:color w:val="231F20"/>
          <w:spacing w:val="-3"/>
        </w:rPr>
        <w:t xml:space="preserve">старше </w:t>
      </w:r>
      <w:r>
        <w:rPr>
          <w:color w:val="231F20"/>
        </w:rPr>
        <w:t xml:space="preserve">60 </w:t>
      </w:r>
      <w:r>
        <w:rPr>
          <w:color w:val="231F20"/>
          <w:spacing w:val="-3"/>
        </w:rPr>
        <w:t xml:space="preserve">років </w:t>
      </w:r>
      <w:r>
        <w:rPr>
          <w:color w:val="231F20"/>
        </w:rPr>
        <w:t xml:space="preserve">(ч. 3 </w:t>
      </w:r>
      <w:r>
        <w:rPr>
          <w:color w:val="231F20"/>
          <w:spacing w:val="-8"/>
        </w:rPr>
        <w:t xml:space="preserve">ст. </w:t>
      </w:r>
      <w:r>
        <w:rPr>
          <w:color w:val="231F20"/>
        </w:rPr>
        <w:t>30</w:t>
      </w:r>
      <w:r>
        <w:rPr>
          <w:color w:val="231F20"/>
          <w:position w:val="7"/>
          <w:sz w:val="12"/>
        </w:rPr>
        <w:t>1</w:t>
      </w:r>
      <w:r>
        <w:rPr>
          <w:color w:val="231F20"/>
        </w:rPr>
        <w:t xml:space="preserve">), а </w:t>
      </w:r>
      <w:r>
        <w:rPr>
          <w:color w:val="231F20"/>
          <w:spacing w:val="-3"/>
        </w:rPr>
        <w:t xml:space="preserve">також </w:t>
      </w:r>
      <w:r>
        <w:rPr>
          <w:color w:val="231F20"/>
        </w:rPr>
        <w:t xml:space="preserve">не </w:t>
      </w:r>
      <w:r>
        <w:rPr>
          <w:color w:val="231F20"/>
          <w:spacing w:val="-4"/>
        </w:rPr>
        <w:t xml:space="preserve">призначаються </w:t>
      </w:r>
      <w:r>
        <w:rPr>
          <w:color w:val="231F20"/>
        </w:rPr>
        <w:t xml:space="preserve">до </w:t>
      </w:r>
      <w:r>
        <w:rPr>
          <w:color w:val="231F20"/>
          <w:spacing w:val="-3"/>
        </w:rPr>
        <w:t xml:space="preserve">військовослужбов- ців, військовозобов’язаних </w:t>
      </w:r>
      <w:r>
        <w:rPr>
          <w:color w:val="231F20"/>
        </w:rPr>
        <w:t xml:space="preserve">та </w:t>
      </w:r>
      <w:r>
        <w:rPr>
          <w:color w:val="231F20"/>
          <w:spacing w:val="-3"/>
        </w:rPr>
        <w:t xml:space="preserve">резервістів </w:t>
      </w:r>
      <w:r>
        <w:rPr>
          <w:color w:val="231F20"/>
        </w:rPr>
        <w:t xml:space="preserve">під час </w:t>
      </w:r>
      <w:r>
        <w:rPr>
          <w:color w:val="231F20"/>
          <w:spacing w:val="-4"/>
        </w:rPr>
        <w:t xml:space="preserve">проходження </w:t>
      </w:r>
      <w:r>
        <w:rPr>
          <w:color w:val="231F20"/>
          <w:spacing w:val="-3"/>
        </w:rPr>
        <w:t xml:space="preserve">зборів, </w:t>
      </w:r>
      <w:r>
        <w:rPr>
          <w:color w:val="231F20"/>
        </w:rPr>
        <w:t xml:space="preserve">до осіб </w:t>
      </w:r>
      <w:r>
        <w:rPr>
          <w:color w:val="231F20"/>
          <w:spacing w:val="-3"/>
        </w:rPr>
        <w:t>ря</w:t>
      </w:r>
      <w:r>
        <w:rPr>
          <w:color w:val="231F20"/>
          <w:spacing w:val="-3"/>
        </w:rPr>
        <w:t xml:space="preserve">дового </w:t>
      </w:r>
      <w:r>
        <w:rPr>
          <w:color w:val="231F20"/>
        </w:rPr>
        <w:t xml:space="preserve">і </w:t>
      </w:r>
      <w:r>
        <w:rPr>
          <w:color w:val="231F20"/>
          <w:spacing w:val="-4"/>
        </w:rPr>
        <w:t xml:space="preserve">начальницького </w:t>
      </w:r>
      <w:r>
        <w:rPr>
          <w:color w:val="231F20"/>
          <w:spacing w:val="-3"/>
        </w:rPr>
        <w:t xml:space="preserve">складів Державної кримінально- виконавчої служби </w:t>
      </w:r>
      <w:r>
        <w:rPr>
          <w:color w:val="231F20"/>
          <w:spacing w:val="-4"/>
        </w:rPr>
        <w:t xml:space="preserve">України, </w:t>
      </w:r>
      <w:r>
        <w:rPr>
          <w:color w:val="231F20"/>
          <w:spacing w:val="-3"/>
        </w:rPr>
        <w:t xml:space="preserve">органів поліції </w:t>
      </w:r>
      <w:r>
        <w:rPr>
          <w:color w:val="231F20"/>
        </w:rPr>
        <w:t xml:space="preserve">і </w:t>
      </w:r>
      <w:r>
        <w:rPr>
          <w:color w:val="231F20"/>
          <w:spacing w:val="-3"/>
        </w:rPr>
        <w:t xml:space="preserve">Державної служби спеці- ального зв’язку </w:t>
      </w:r>
      <w:r>
        <w:rPr>
          <w:color w:val="231F20"/>
        </w:rPr>
        <w:t xml:space="preserve">та </w:t>
      </w:r>
      <w:r>
        <w:rPr>
          <w:color w:val="231F20"/>
          <w:spacing w:val="-3"/>
        </w:rPr>
        <w:t xml:space="preserve">захисту інформації </w:t>
      </w:r>
      <w:r>
        <w:rPr>
          <w:color w:val="231F20"/>
          <w:spacing w:val="-5"/>
        </w:rPr>
        <w:t xml:space="preserve">України </w:t>
      </w:r>
      <w:r>
        <w:rPr>
          <w:color w:val="231F20"/>
        </w:rPr>
        <w:t xml:space="preserve">(ч. 1 </w:t>
      </w:r>
      <w:r>
        <w:rPr>
          <w:color w:val="231F20"/>
          <w:spacing w:val="-8"/>
        </w:rPr>
        <w:t xml:space="preserve">ст. </w:t>
      </w:r>
      <w:r>
        <w:rPr>
          <w:color w:val="231F20"/>
        </w:rPr>
        <w:t>15</w:t>
      </w:r>
      <w:r>
        <w:rPr>
          <w:color w:val="231F20"/>
          <w:spacing w:val="-27"/>
        </w:rPr>
        <w:t xml:space="preserve"> </w:t>
      </w:r>
      <w:r>
        <w:rPr>
          <w:color w:val="231F20"/>
          <w:spacing w:val="-5"/>
        </w:rPr>
        <w:t>КУпАП).</w:t>
      </w:r>
    </w:p>
    <w:p w14:paraId="0F500A34" w14:textId="77777777" w:rsidR="00DE575E" w:rsidRDefault="002E7560">
      <w:pPr>
        <w:pStyle w:val="BodyText"/>
        <w:spacing w:before="6" w:line="252" w:lineRule="auto"/>
        <w:ind w:left="533" w:right="126" w:firstLine="283"/>
        <w:jc w:val="both"/>
      </w:pPr>
      <w:r>
        <w:rPr>
          <w:b/>
          <w:color w:val="231F20"/>
        </w:rPr>
        <w:t xml:space="preserve">Суспільно корисні роботи </w:t>
      </w:r>
      <w:r>
        <w:rPr>
          <w:color w:val="231F20"/>
        </w:rPr>
        <w:t>полягають у виконанні особою, яка вчинил</w:t>
      </w:r>
      <w:r>
        <w:rPr>
          <w:color w:val="231F20"/>
        </w:rPr>
        <w:t xml:space="preserve">а адміністративне правопорушення, оплачуваних </w:t>
      </w:r>
      <w:r>
        <w:rPr>
          <w:color w:val="231F20"/>
          <w:spacing w:val="-4"/>
        </w:rPr>
        <w:t xml:space="preserve">робіт, </w:t>
      </w:r>
      <w:r>
        <w:rPr>
          <w:color w:val="231F20"/>
        </w:rPr>
        <w:t xml:space="preserve">вид яких і перелік </w:t>
      </w:r>
      <w:r>
        <w:rPr>
          <w:color w:val="231F20"/>
          <w:spacing w:val="-3"/>
        </w:rPr>
        <w:t xml:space="preserve">об’єктів, </w:t>
      </w:r>
      <w:r>
        <w:rPr>
          <w:color w:val="231F20"/>
        </w:rPr>
        <w:t xml:space="preserve">на яких порушники мусять виконувати ці роботи, визначає відповідний орган місцевого самоврядування. Суспільно  корисні  роботи  призначаються   районним,   районним у місті, </w:t>
      </w:r>
      <w:r>
        <w:rPr>
          <w:color w:val="231F20"/>
        </w:rPr>
        <w:t xml:space="preserve">міським чи міськрайонним </w:t>
      </w:r>
      <w:r>
        <w:rPr>
          <w:color w:val="231F20"/>
          <w:spacing w:val="-3"/>
        </w:rPr>
        <w:t xml:space="preserve">судом </w:t>
      </w:r>
      <w:r>
        <w:rPr>
          <w:color w:val="231F20"/>
        </w:rPr>
        <w:t>(суддею) на строк від ста двадцяти до трьохсот шістдесяти годин і виконуються не більше восьми годин, а неповнолітніми – не більше двох годин на день. Суспільно корисні роботи не призначаються особам, визнаним</w:t>
      </w:r>
      <w:r>
        <w:rPr>
          <w:color w:val="231F20"/>
          <w:spacing w:val="-21"/>
        </w:rPr>
        <w:t xml:space="preserve"> </w:t>
      </w:r>
      <w:r>
        <w:rPr>
          <w:color w:val="231F20"/>
        </w:rPr>
        <w:t xml:space="preserve">інва- лідами I </w:t>
      </w:r>
      <w:r>
        <w:rPr>
          <w:color w:val="231F20"/>
        </w:rPr>
        <w:t>або II групи, вагітним жінкам, жінкам, старше 55 років та чоловікам, старше 60</w:t>
      </w:r>
      <w:r>
        <w:rPr>
          <w:color w:val="231F20"/>
          <w:spacing w:val="-2"/>
        </w:rPr>
        <w:t xml:space="preserve"> </w:t>
      </w:r>
      <w:r>
        <w:rPr>
          <w:color w:val="231F20"/>
        </w:rPr>
        <w:t>років.</w:t>
      </w:r>
    </w:p>
    <w:p w14:paraId="0CA41BB9" w14:textId="77777777" w:rsidR="00DE575E" w:rsidRDefault="002E7560">
      <w:pPr>
        <w:pStyle w:val="BodyText"/>
        <w:spacing w:before="6" w:line="252" w:lineRule="auto"/>
        <w:ind w:left="533" w:right="127" w:firstLine="283"/>
        <w:jc w:val="both"/>
      </w:pPr>
      <w:r>
        <w:rPr>
          <w:b/>
          <w:color w:val="231F20"/>
        </w:rPr>
        <w:t xml:space="preserve">Адміністративний арешт </w:t>
      </w:r>
      <w:r>
        <w:rPr>
          <w:color w:val="231F20"/>
        </w:rPr>
        <w:t>(ст. 32 КУпАП) – найбільш суворий захід адміністративного стягнення, який застосовується у винятко-</w:t>
      </w:r>
    </w:p>
    <w:p w14:paraId="0EC84FD8" w14:textId="77777777" w:rsidR="00DE575E" w:rsidRDefault="00DE575E">
      <w:pPr>
        <w:pStyle w:val="BodyText"/>
        <w:spacing w:before="5"/>
        <w:rPr>
          <w:sz w:val="12"/>
        </w:rPr>
      </w:pPr>
    </w:p>
    <w:p w14:paraId="35ABB775" w14:textId="77777777" w:rsidR="00DE575E" w:rsidRDefault="002E7560">
      <w:pPr>
        <w:spacing w:before="92"/>
        <w:ind w:left="533"/>
        <w:rPr>
          <w:rFonts w:ascii="Times New Roman"/>
          <w:sz w:val="20"/>
        </w:rPr>
      </w:pPr>
      <w:r>
        <w:rPr>
          <w:rFonts w:ascii="Times New Roman"/>
          <w:color w:val="231F20"/>
          <w:sz w:val="20"/>
        </w:rPr>
        <w:t>506</w:t>
      </w:r>
    </w:p>
    <w:p w14:paraId="17A9E0DE" w14:textId="77777777" w:rsidR="00DE575E" w:rsidRDefault="00DE575E">
      <w:pPr>
        <w:rPr>
          <w:rFonts w:ascii="Times New Roman"/>
          <w:sz w:val="20"/>
        </w:rPr>
        <w:sectPr w:rsidR="00DE575E">
          <w:pgSz w:w="8510" w:h="12760"/>
          <w:pgMar w:top="660" w:right="720" w:bottom="280" w:left="600" w:header="720" w:footer="720" w:gutter="0"/>
          <w:cols w:space="720"/>
        </w:sectPr>
      </w:pPr>
    </w:p>
    <w:p w14:paraId="6B24648F" w14:textId="77777777" w:rsidR="00DE575E" w:rsidRDefault="002E7560">
      <w:pPr>
        <w:spacing w:before="72" w:line="249" w:lineRule="auto"/>
        <w:ind w:left="2587" w:right="392" w:firstLine="105"/>
        <w:rPr>
          <w:rFonts w:ascii="AdonisC" w:hAnsi="AdonisC"/>
          <w:i/>
          <w:sz w:val="18"/>
        </w:rPr>
      </w:pPr>
      <w:r>
        <w:rPr>
          <w:rFonts w:ascii="AdonisC" w:hAnsi="AdonisC"/>
          <w:i/>
          <w:color w:val="231F20"/>
          <w:sz w:val="18"/>
        </w:rPr>
        <w:t>Глава ІІ Особливе адміністративне право/ Книга ІІ Розділ 4. Заходи адміністративної відповідальності</w:t>
      </w:r>
    </w:p>
    <w:p w14:paraId="6E32BFD4" w14:textId="790B9DC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D755678" wp14:editId="1BB13A05">
                <wp:extent cx="4140200" cy="6350"/>
                <wp:effectExtent l="0" t="0" r="12700" b="6350"/>
                <wp:docPr id="15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52" name="Line 1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84F078" id="Group_x0020_1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mh64W34CAACYBQAADgAA&#10;AAAAAAAAAAAAAAAsAgAAZHJzL2Uyb0RvYy54bWxQSwECLQAUAAYACAAAACEATKewkNkAAAADAQAA&#10;DwAAAAAAAAAAAAAAAADWBAAAZHJzL2Rvd25yZXYueG1sUEsFBgAAAAAEAAQA8wAAANwFAAAAAA==&#10;">
                <v:line id="Line_x0020_1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ldhMMAAADcAAAADwAAAGRycy9kb3ducmV2LnhtbERP22rCQBB9L/gPyxT6InWjopToKiIU&#10;Sh+8xQ8Ys2MSujsbs6uJfn23IPRtDuc682VnjbhR4yvHCoaDBARx7nTFhYJj9vn+AcIHZI3GMSm4&#10;k4flovcyx1S7lvd0O4RCxBD2KSooQ6hTKX1ekkU/cDVx5M6usRgibAqpG2xjuDVylCRTabHi2FBi&#10;TeuS8p/D1SrILv1gdttv02bb01ieLpvx47pR6u21W81ABOrCv/jp/tJx/mQEf8/EC+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pXYTDAAAA3AAAAA8AAAAAAAAAAAAA&#10;AAAAoQIAAGRycy9kb3ducmV2LnhtbFBLBQYAAAAABAAEAPkAAACRAwAAAAA=&#10;" strokecolor="#231f20" strokeweight=".5pt"/>
                <w10:anchorlock/>
              </v:group>
            </w:pict>
          </mc:Fallback>
        </mc:AlternateContent>
      </w:r>
    </w:p>
    <w:p w14:paraId="2BF607DA" w14:textId="77777777" w:rsidR="00DE575E" w:rsidRDefault="00DE575E">
      <w:pPr>
        <w:pStyle w:val="BodyText"/>
        <w:spacing w:before="7"/>
        <w:rPr>
          <w:rFonts w:ascii="AdonisC"/>
          <w:i/>
          <w:sz w:val="19"/>
        </w:rPr>
      </w:pPr>
    </w:p>
    <w:p w14:paraId="1897F5F6" w14:textId="77777777" w:rsidR="00DE575E" w:rsidRDefault="002E7560">
      <w:pPr>
        <w:pStyle w:val="BodyText"/>
        <w:spacing w:before="1" w:line="252" w:lineRule="auto"/>
        <w:ind w:left="250" w:right="128"/>
      </w:pPr>
      <w:r>
        <w:rPr>
          <w:color w:val="231F20"/>
        </w:rPr>
        <w:t>вих випадках за окремі види адміністративних правопорушень на строк до п’ятнадцяти діб.</w:t>
      </w:r>
    </w:p>
    <w:p w14:paraId="18C3A7F3" w14:textId="77777777" w:rsidR="00DE575E" w:rsidRDefault="002E7560">
      <w:pPr>
        <w:pStyle w:val="BodyText"/>
        <w:spacing w:before="1" w:line="252" w:lineRule="auto"/>
        <w:ind w:left="250" w:right="410" w:firstLine="283"/>
        <w:jc w:val="both"/>
      </w:pPr>
      <w:r>
        <w:rPr>
          <w:color w:val="231F20"/>
        </w:rPr>
        <w:t xml:space="preserve">Винятковість адміністративного арешту виявляється  в  </w:t>
      </w:r>
      <w:r>
        <w:rPr>
          <w:color w:val="231F20"/>
          <w:spacing w:val="-4"/>
        </w:rPr>
        <w:t xml:space="preserve">тому,  </w:t>
      </w:r>
      <w:r>
        <w:rPr>
          <w:color w:val="231F20"/>
        </w:rPr>
        <w:t xml:space="preserve">що він установлюється за вчинення адміністративних проступків з особливою антигромадською спрямованістю, які найбільш набли- жені до кримінально караних. У </w:t>
      </w:r>
      <w:r>
        <w:rPr>
          <w:color w:val="231F20"/>
          <w:spacing w:val="-3"/>
        </w:rPr>
        <w:t xml:space="preserve">КУпАП </w:t>
      </w:r>
      <w:r>
        <w:rPr>
          <w:color w:val="231F20"/>
        </w:rPr>
        <w:t>адміністративний арешт призначаєт</w:t>
      </w:r>
      <w:r>
        <w:rPr>
          <w:color w:val="231F20"/>
        </w:rPr>
        <w:t xml:space="preserve">ься за вчинення таких правопорушень: незаконне виро- блення, придбання, зберігання, перевезення, пересилання нарко- тичних засобів або психотропних речовин без мети збуту в неве- ликих розмірах </w:t>
      </w:r>
      <w:r>
        <w:rPr>
          <w:color w:val="231F20"/>
          <w:spacing w:val="-5"/>
        </w:rPr>
        <w:t xml:space="preserve">(ст. </w:t>
      </w:r>
      <w:r>
        <w:rPr>
          <w:color w:val="231F20"/>
        </w:rPr>
        <w:t xml:space="preserve">44 КУпАП); керування транспортними засобами або </w:t>
      </w:r>
      <w:r>
        <w:rPr>
          <w:color w:val="231F20"/>
          <w:spacing w:val="-3"/>
        </w:rPr>
        <w:t xml:space="preserve">суднами </w:t>
      </w:r>
      <w:r>
        <w:rPr>
          <w:color w:val="231F20"/>
        </w:rPr>
        <w:t>о</w:t>
      </w:r>
      <w:r>
        <w:rPr>
          <w:color w:val="231F20"/>
        </w:rPr>
        <w:t>собами, які перебувають у стані алкогольного, нарко- тичного</w:t>
      </w:r>
      <w:r>
        <w:rPr>
          <w:color w:val="231F20"/>
          <w:spacing w:val="-10"/>
        </w:rPr>
        <w:t xml:space="preserve"> </w:t>
      </w:r>
      <w:r>
        <w:rPr>
          <w:color w:val="231F20"/>
        </w:rPr>
        <w:t>чи</w:t>
      </w:r>
      <w:r>
        <w:rPr>
          <w:color w:val="231F20"/>
          <w:spacing w:val="-9"/>
        </w:rPr>
        <w:t xml:space="preserve"> </w:t>
      </w:r>
      <w:r>
        <w:rPr>
          <w:color w:val="231F20"/>
        </w:rPr>
        <w:t>іншого</w:t>
      </w:r>
      <w:r>
        <w:rPr>
          <w:color w:val="231F20"/>
          <w:spacing w:val="-9"/>
        </w:rPr>
        <w:t xml:space="preserve"> </w:t>
      </w:r>
      <w:r>
        <w:rPr>
          <w:color w:val="231F20"/>
        </w:rPr>
        <w:t>сп’яніння</w:t>
      </w:r>
      <w:r>
        <w:rPr>
          <w:color w:val="231F20"/>
          <w:spacing w:val="-10"/>
        </w:rPr>
        <w:t xml:space="preserve"> </w:t>
      </w:r>
      <w:r>
        <w:rPr>
          <w:color w:val="231F20"/>
        </w:rPr>
        <w:t>або</w:t>
      </w:r>
      <w:r>
        <w:rPr>
          <w:color w:val="231F20"/>
          <w:spacing w:val="-9"/>
        </w:rPr>
        <w:t xml:space="preserve"> </w:t>
      </w:r>
      <w:r>
        <w:rPr>
          <w:color w:val="231F20"/>
        </w:rPr>
        <w:t>під</w:t>
      </w:r>
      <w:r>
        <w:rPr>
          <w:color w:val="231F20"/>
          <w:spacing w:val="-9"/>
        </w:rPr>
        <w:t xml:space="preserve"> </w:t>
      </w:r>
      <w:r>
        <w:rPr>
          <w:color w:val="231F20"/>
        </w:rPr>
        <w:t>впливом</w:t>
      </w:r>
      <w:r>
        <w:rPr>
          <w:color w:val="231F20"/>
          <w:spacing w:val="-10"/>
        </w:rPr>
        <w:t xml:space="preserve"> </w:t>
      </w:r>
      <w:r>
        <w:rPr>
          <w:color w:val="231F20"/>
        </w:rPr>
        <w:t>лікарських</w:t>
      </w:r>
      <w:r>
        <w:rPr>
          <w:color w:val="231F20"/>
          <w:spacing w:val="-9"/>
        </w:rPr>
        <w:t xml:space="preserve"> </w:t>
      </w:r>
      <w:r>
        <w:rPr>
          <w:color w:val="231F20"/>
        </w:rPr>
        <w:t xml:space="preserve">препаратів, що знижують їх увагу та швидкість реакції (ч. ч. 3, 4 </w:t>
      </w:r>
      <w:r>
        <w:rPr>
          <w:color w:val="231F20"/>
          <w:spacing w:val="-6"/>
        </w:rPr>
        <w:t xml:space="preserve">ст. </w:t>
      </w:r>
      <w:r>
        <w:rPr>
          <w:color w:val="231F20"/>
        </w:rPr>
        <w:t xml:space="preserve">130 КУпАП); дрібне хуліганство </w:t>
      </w:r>
      <w:r>
        <w:rPr>
          <w:color w:val="231F20"/>
          <w:spacing w:val="-5"/>
        </w:rPr>
        <w:t xml:space="preserve">(ст. </w:t>
      </w:r>
      <w:r>
        <w:rPr>
          <w:color w:val="231F20"/>
        </w:rPr>
        <w:t xml:space="preserve">173 КУпАП); злісна непокора законному розпорядженню або вимозі працівника міліції, члена громадського формування з охорони громадського </w:t>
      </w:r>
      <w:r>
        <w:rPr>
          <w:color w:val="231F20"/>
          <w:spacing w:val="-3"/>
        </w:rPr>
        <w:t xml:space="preserve">порядку, </w:t>
      </w:r>
      <w:r>
        <w:rPr>
          <w:color w:val="231F20"/>
        </w:rPr>
        <w:t xml:space="preserve">військовослужбовця </w:t>
      </w:r>
      <w:r>
        <w:rPr>
          <w:color w:val="231F20"/>
          <w:spacing w:val="-5"/>
        </w:rPr>
        <w:t>(ст.</w:t>
      </w:r>
      <w:r>
        <w:rPr>
          <w:color w:val="231F20"/>
          <w:spacing w:val="-9"/>
        </w:rPr>
        <w:t xml:space="preserve"> </w:t>
      </w:r>
      <w:r>
        <w:rPr>
          <w:color w:val="231F20"/>
        </w:rPr>
        <w:t>185</w:t>
      </w:r>
      <w:r>
        <w:rPr>
          <w:color w:val="231F20"/>
          <w:spacing w:val="-10"/>
        </w:rPr>
        <w:t xml:space="preserve"> </w:t>
      </w:r>
      <w:r>
        <w:rPr>
          <w:color w:val="231F20"/>
        </w:rPr>
        <w:t>КУпАП);</w:t>
      </w:r>
      <w:r>
        <w:rPr>
          <w:color w:val="231F20"/>
          <w:spacing w:val="-10"/>
        </w:rPr>
        <w:t xml:space="preserve"> </w:t>
      </w:r>
      <w:r>
        <w:rPr>
          <w:color w:val="231F20"/>
        </w:rPr>
        <w:t>порушення</w:t>
      </w:r>
      <w:r>
        <w:rPr>
          <w:color w:val="231F20"/>
          <w:spacing w:val="-11"/>
        </w:rPr>
        <w:t xml:space="preserve"> </w:t>
      </w:r>
      <w:r>
        <w:rPr>
          <w:color w:val="231F20"/>
        </w:rPr>
        <w:t>порядку</w:t>
      </w:r>
      <w:r>
        <w:rPr>
          <w:color w:val="231F20"/>
          <w:spacing w:val="-10"/>
        </w:rPr>
        <w:t xml:space="preserve"> </w:t>
      </w:r>
      <w:r>
        <w:rPr>
          <w:color w:val="231F20"/>
        </w:rPr>
        <w:t>організації</w:t>
      </w:r>
      <w:r>
        <w:rPr>
          <w:color w:val="231F20"/>
          <w:spacing w:val="-10"/>
        </w:rPr>
        <w:t xml:space="preserve"> </w:t>
      </w:r>
      <w:r>
        <w:rPr>
          <w:color w:val="231F20"/>
        </w:rPr>
        <w:t>і</w:t>
      </w:r>
      <w:r>
        <w:rPr>
          <w:color w:val="231F20"/>
          <w:spacing w:val="-10"/>
        </w:rPr>
        <w:t xml:space="preserve"> </w:t>
      </w:r>
      <w:r>
        <w:rPr>
          <w:color w:val="231F20"/>
        </w:rPr>
        <w:t>проведення</w:t>
      </w:r>
      <w:r>
        <w:rPr>
          <w:color w:val="231F20"/>
          <w:spacing w:val="-10"/>
        </w:rPr>
        <w:t xml:space="preserve"> </w:t>
      </w:r>
      <w:r>
        <w:rPr>
          <w:color w:val="231F20"/>
        </w:rPr>
        <w:t xml:space="preserve">зборів, мітингів, вуличних </w:t>
      </w:r>
      <w:r>
        <w:rPr>
          <w:color w:val="231F20"/>
          <w:spacing w:val="-3"/>
        </w:rPr>
        <w:t>поход</w:t>
      </w:r>
      <w:r>
        <w:rPr>
          <w:color w:val="231F20"/>
          <w:spacing w:val="-3"/>
        </w:rPr>
        <w:t xml:space="preserve">ів </w:t>
      </w:r>
      <w:r>
        <w:rPr>
          <w:color w:val="231F20"/>
        </w:rPr>
        <w:t xml:space="preserve">і демонстрацій </w:t>
      </w:r>
      <w:r>
        <w:rPr>
          <w:color w:val="231F20"/>
          <w:spacing w:val="-5"/>
        </w:rPr>
        <w:t xml:space="preserve">(ст. </w:t>
      </w:r>
      <w:r>
        <w:rPr>
          <w:color w:val="231F20"/>
        </w:rPr>
        <w:t xml:space="preserve">185 КУпАП); вияв- лення неповаги до </w:t>
      </w:r>
      <w:r>
        <w:rPr>
          <w:color w:val="231F20"/>
          <w:spacing w:val="-4"/>
        </w:rPr>
        <w:t xml:space="preserve">суду </w:t>
      </w:r>
      <w:r>
        <w:rPr>
          <w:color w:val="231F20"/>
          <w:spacing w:val="-5"/>
        </w:rPr>
        <w:t xml:space="preserve">(ст. </w:t>
      </w:r>
      <w:r>
        <w:rPr>
          <w:color w:val="231F20"/>
        </w:rPr>
        <w:t>185</w:t>
      </w:r>
      <w:r>
        <w:rPr>
          <w:color w:val="231F20"/>
          <w:position w:val="7"/>
          <w:sz w:val="12"/>
        </w:rPr>
        <w:t xml:space="preserve">3 </w:t>
      </w:r>
      <w:r>
        <w:rPr>
          <w:color w:val="231F20"/>
          <w:spacing w:val="-3"/>
        </w:rPr>
        <w:t>КУпАП)</w:t>
      </w:r>
      <w:r>
        <w:rPr>
          <w:color w:val="231F20"/>
        </w:rPr>
        <w:t xml:space="preserve"> </w:t>
      </w:r>
      <w:r>
        <w:rPr>
          <w:color w:val="231F20"/>
        </w:rPr>
        <w:t>тощо</w:t>
      </w:r>
      <w:r>
        <w:rPr>
          <w:color w:val="231F20"/>
          <w:position w:val="7"/>
          <w:sz w:val="12"/>
        </w:rPr>
        <w:t>1</w:t>
      </w:r>
      <w:r>
        <w:rPr>
          <w:color w:val="231F20"/>
        </w:rPr>
        <w:t>.</w:t>
      </w:r>
    </w:p>
    <w:p w14:paraId="250ED6FE" w14:textId="77777777" w:rsidR="00DE575E" w:rsidRDefault="002E7560">
      <w:pPr>
        <w:pStyle w:val="BodyText"/>
        <w:spacing w:before="8" w:line="252" w:lineRule="auto"/>
        <w:ind w:left="250" w:right="410" w:firstLine="283"/>
        <w:jc w:val="both"/>
      </w:pPr>
      <w:r>
        <w:rPr>
          <w:color w:val="231F20"/>
        </w:rPr>
        <w:t xml:space="preserve">Адміністративний арешт не може застосовуватись до вагітних жінок, жінок, які мають дітей віком до дванадцяти років, до осіб, які не </w:t>
      </w:r>
      <w:r>
        <w:rPr>
          <w:color w:val="231F20"/>
          <w:spacing w:val="-3"/>
        </w:rPr>
        <w:t xml:space="preserve">досягли </w:t>
      </w:r>
      <w:r>
        <w:rPr>
          <w:color w:val="231F20"/>
        </w:rPr>
        <w:t>вісімнадцяти років, до інвал</w:t>
      </w:r>
      <w:r>
        <w:rPr>
          <w:color w:val="231F20"/>
        </w:rPr>
        <w:t xml:space="preserve">ідів першої та другої груп  (ч. 2 </w:t>
      </w:r>
      <w:r>
        <w:rPr>
          <w:color w:val="231F20"/>
          <w:spacing w:val="-6"/>
        </w:rPr>
        <w:t xml:space="preserve">ст. </w:t>
      </w:r>
      <w:r>
        <w:rPr>
          <w:color w:val="231F20"/>
        </w:rPr>
        <w:t>32 КУпАП), а також до військовослужбовців, військовозо- бов’язаних та резервістів під час проходження зборів та осіб рядо- вого і начальницького складів органу виконавчої влади з питань виконання покарань, органів полі</w:t>
      </w:r>
      <w:r>
        <w:rPr>
          <w:color w:val="231F20"/>
        </w:rPr>
        <w:t xml:space="preserve">ції, Державної служби спеціаль- ного зв’язку та захисту інформації </w:t>
      </w:r>
      <w:r>
        <w:rPr>
          <w:color w:val="231F20"/>
          <w:spacing w:val="-3"/>
        </w:rPr>
        <w:t xml:space="preserve">України </w:t>
      </w:r>
      <w:r>
        <w:rPr>
          <w:color w:val="231F20"/>
        </w:rPr>
        <w:t xml:space="preserve">(ч. 1 </w:t>
      </w:r>
      <w:r>
        <w:rPr>
          <w:color w:val="231F20"/>
          <w:spacing w:val="-6"/>
        </w:rPr>
        <w:t xml:space="preserve">ст. </w:t>
      </w:r>
      <w:r>
        <w:rPr>
          <w:color w:val="231F20"/>
        </w:rPr>
        <w:t>15</w:t>
      </w:r>
      <w:r>
        <w:rPr>
          <w:color w:val="231F20"/>
          <w:spacing w:val="-11"/>
        </w:rPr>
        <w:t xml:space="preserve"> </w:t>
      </w:r>
      <w:r>
        <w:rPr>
          <w:color w:val="231F20"/>
        </w:rPr>
        <w:t>КУпАП).</w:t>
      </w:r>
    </w:p>
    <w:p w14:paraId="455A8D37" w14:textId="77777777" w:rsidR="00DE575E" w:rsidRDefault="002E7560">
      <w:pPr>
        <w:pStyle w:val="BodyText"/>
        <w:spacing w:before="4" w:line="252" w:lineRule="auto"/>
        <w:ind w:left="250" w:right="411" w:firstLine="283"/>
        <w:jc w:val="both"/>
      </w:pPr>
      <w:r>
        <w:rPr>
          <w:color w:val="231F20"/>
        </w:rPr>
        <w:t>Застосування адміністративного арешту не зумовлює судимості, не є підставою для звільнення з роботи і не перериває трудового стажу.</w:t>
      </w:r>
    </w:p>
    <w:p w14:paraId="3DE840A3" w14:textId="77777777" w:rsidR="00DE575E" w:rsidRDefault="002E7560">
      <w:pPr>
        <w:pStyle w:val="BodyText"/>
        <w:spacing w:before="1" w:line="252" w:lineRule="auto"/>
        <w:ind w:left="250" w:right="410" w:firstLine="283"/>
        <w:jc w:val="both"/>
      </w:pPr>
      <w:r>
        <w:rPr>
          <w:b/>
          <w:color w:val="231F20"/>
        </w:rPr>
        <w:t>Арешт</w:t>
      </w:r>
      <w:r>
        <w:rPr>
          <w:b/>
          <w:color w:val="231F20"/>
          <w:spacing w:val="-15"/>
        </w:rPr>
        <w:t xml:space="preserve"> </w:t>
      </w:r>
      <w:r>
        <w:rPr>
          <w:b/>
          <w:color w:val="231F20"/>
        </w:rPr>
        <w:t>з</w:t>
      </w:r>
      <w:r>
        <w:rPr>
          <w:b/>
          <w:color w:val="231F20"/>
          <w:spacing w:val="-15"/>
        </w:rPr>
        <w:t xml:space="preserve"> </w:t>
      </w:r>
      <w:r>
        <w:rPr>
          <w:b/>
          <w:color w:val="231F20"/>
        </w:rPr>
        <w:t>утриманням</w:t>
      </w:r>
      <w:r>
        <w:rPr>
          <w:b/>
          <w:color w:val="231F20"/>
          <w:spacing w:val="-15"/>
        </w:rPr>
        <w:t xml:space="preserve"> </w:t>
      </w:r>
      <w:r>
        <w:rPr>
          <w:b/>
          <w:color w:val="231F20"/>
        </w:rPr>
        <w:t>на</w:t>
      </w:r>
      <w:r>
        <w:rPr>
          <w:b/>
          <w:color w:val="231F20"/>
          <w:spacing w:val="-15"/>
        </w:rPr>
        <w:t xml:space="preserve"> </w:t>
      </w:r>
      <w:r>
        <w:rPr>
          <w:b/>
          <w:color w:val="231F20"/>
        </w:rPr>
        <w:t>гауптв</w:t>
      </w:r>
      <w:r>
        <w:rPr>
          <w:b/>
          <w:color w:val="231F20"/>
        </w:rPr>
        <w:t>ахті</w:t>
      </w:r>
      <w:r>
        <w:rPr>
          <w:b/>
          <w:color w:val="231F20"/>
          <w:spacing w:val="-17"/>
        </w:rPr>
        <w:t xml:space="preserve"> </w:t>
      </w:r>
      <w:r>
        <w:rPr>
          <w:color w:val="231F20"/>
        </w:rPr>
        <w:t>(стаття</w:t>
      </w:r>
      <w:r>
        <w:rPr>
          <w:color w:val="231F20"/>
          <w:spacing w:val="-15"/>
        </w:rPr>
        <w:t xml:space="preserve"> </w:t>
      </w:r>
      <w:r>
        <w:rPr>
          <w:color w:val="231F20"/>
        </w:rPr>
        <w:t>32-1)</w:t>
      </w:r>
      <w:r>
        <w:rPr>
          <w:color w:val="231F20"/>
          <w:spacing w:val="-15"/>
        </w:rPr>
        <w:t xml:space="preserve"> </w:t>
      </w:r>
      <w:r>
        <w:rPr>
          <w:color w:val="231F20"/>
        </w:rPr>
        <w:t xml:space="preserve">застосовується лише у виключних випадках за окремі види військових адміністра- тивних правопорушень </w:t>
      </w:r>
      <w:r>
        <w:rPr>
          <w:color w:val="231F20"/>
          <w:spacing w:val="-3"/>
        </w:rPr>
        <w:t xml:space="preserve">(глава </w:t>
      </w:r>
      <w:r>
        <w:rPr>
          <w:color w:val="231F20"/>
        </w:rPr>
        <w:t xml:space="preserve">13-Б </w:t>
      </w:r>
      <w:r>
        <w:rPr>
          <w:color w:val="231F20"/>
          <w:spacing w:val="-3"/>
        </w:rPr>
        <w:t xml:space="preserve">КУпАП </w:t>
      </w:r>
      <w:r>
        <w:rPr>
          <w:color w:val="231F20"/>
        </w:rPr>
        <w:t xml:space="preserve">«Військові адміністра- тивні правопорушення») на строк до 10 діб. Призначається район- ним, районним у місті, міським чи міськрайонним </w:t>
      </w:r>
      <w:r>
        <w:rPr>
          <w:color w:val="231F20"/>
          <w:spacing w:val="-3"/>
        </w:rPr>
        <w:t xml:space="preserve">судом </w:t>
      </w:r>
      <w:r>
        <w:rPr>
          <w:color w:val="231F20"/>
        </w:rPr>
        <w:t>(суддею). Арешт з утриманням на гауптвахті не може застосовуватися до військовослужбовців-жінок.</w:t>
      </w:r>
    </w:p>
    <w:p w14:paraId="120475E6" w14:textId="740A0BC2" w:rsidR="00DE575E" w:rsidRDefault="002E7560">
      <w:pPr>
        <w:pStyle w:val="BodyText"/>
        <w:spacing w:before="7"/>
        <w:rPr>
          <w:sz w:val="20"/>
        </w:rPr>
      </w:pPr>
      <w:r>
        <w:rPr>
          <w:noProof/>
        </w:rPr>
        <mc:AlternateContent>
          <mc:Choice Requires="wps">
            <w:drawing>
              <wp:anchor distT="0" distB="0" distL="0" distR="0" simplePos="0" relativeHeight="19096" behindDoc="0" locked="0" layoutInCell="1" allowOverlap="1" wp14:anchorId="60DBA58B" wp14:editId="25A2DD21">
                <wp:simplePos x="0" y="0"/>
                <wp:positionH relativeFrom="page">
                  <wp:posOffset>539750</wp:posOffset>
                </wp:positionH>
                <wp:positionV relativeFrom="paragraph">
                  <wp:posOffset>181610</wp:posOffset>
                </wp:positionV>
                <wp:extent cx="1080135" cy="0"/>
                <wp:effectExtent l="6350" t="16510" r="31115" b="21590"/>
                <wp:wrapTopAndBottom/>
                <wp:docPr id="15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ECBF0" id="Line_x0020_149" o:spid="_x0000_s1026" style="position:absolute;z-index:19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3pt" to="127.55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" strokecolor="#231f20" strokeweight=".5pt">
                <w10:wrap type="topAndBottom" anchorx="page"/>
              </v:line>
            </w:pict>
          </mc:Fallback>
        </mc:AlternateContent>
      </w:r>
    </w:p>
    <w:p w14:paraId="502BB35F" w14:textId="77777777" w:rsidR="00DE575E" w:rsidRDefault="002E7560">
      <w:pPr>
        <w:spacing w:before="20"/>
        <w:ind w:left="250"/>
        <w:rPr>
          <w:sz w:val="16"/>
        </w:rPr>
      </w:pPr>
      <w:r>
        <w:rPr>
          <w:color w:val="231F20"/>
          <w:position w:val="5"/>
          <w:sz w:val="9"/>
        </w:rPr>
        <w:t xml:space="preserve">1 </w:t>
      </w:r>
      <w:r>
        <w:rPr>
          <w:color w:val="231F20"/>
          <w:sz w:val="16"/>
        </w:rPr>
        <w:t>Коломоєць Т. А</w:t>
      </w:r>
      <w:r>
        <w:rPr>
          <w:color w:val="231F20"/>
          <w:sz w:val="16"/>
        </w:rPr>
        <w:t>дміністративне право України. Київ : Істина, 2012. С. 216.</w:t>
      </w:r>
    </w:p>
    <w:p w14:paraId="378D33E8" w14:textId="77777777" w:rsidR="00DE575E" w:rsidRDefault="00DE575E">
      <w:pPr>
        <w:pStyle w:val="BodyText"/>
        <w:spacing w:before="10"/>
        <w:rPr>
          <w:sz w:val="11"/>
        </w:rPr>
      </w:pPr>
    </w:p>
    <w:p w14:paraId="3F0D1071" w14:textId="77777777" w:rsidR="00DE575E" w:rsidRDefault="002E7560">
      <w:pPr>
        <w:spacing w:before="92"/>
        <w:ind w:right="411"/>
        <w:jc w:val="right"/>
        <w:rPr>
          <w:rFonts w:ascii="Times New Roman"/>
          <w:sz w:val="20"/>
        </w:rPr>
      </w:pPr>
      <w:r>
        <w:rPr>
          <w:rFonts w:ascii="Times New Roman"/>
          <w:color w:val="231F20"/>
          <w:w w:val="90"/>
          <w:sz w:val="20"/>
        </w:rPr>
        <w:t>507</w:t>
      </w:r>
    </w:p>
    <w:p w14:paraId="733C8BA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4C56B6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4B5B551" w14:textId="755A8A4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56AABFF" wp14:editId="05A0654A">
                <wp:extent cx="4140200" cy="6350"/>
                <wp:effectExtent l="0" t="0" r="12700" b="6350"/>
                <wp:docPr id="14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9" name="Line 148"/>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577AAB" id="Group_x0020_147"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piYi34CAACYBQAADgAA&#10;AAAAAAAAAAAAAAAsAgAAZHJzL2Uyb0RvYy54bWxQSwECLQAUAAYACAAAACEATKewkNkAAAADAQAA&#10;DwAAAAAAAAAAAAAAAADWBAAAZHJzL2Rvd25yZXYueG1sUEsFBgAAAAAEAAQA8wAAANwFAAAAAA==&#10;">
                <v:line id="Line_x0020_148"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RZKMQAAADcAAAADwAAAGRycy9kb3ducmV2LnhtbERP22rCQBB9L/gPywh9KbqpFtHoKlIQ&#10;Sh+8xQ8Ys2MS3J2N2dWk/fpuodC3OZzrLFadNeJBja8cK3gdJiCIc6crLhScss1gCsIHZI3GMSn4&#10;Ig+rZe9pgal2LR/ocQyFiCHsU1RQhlCnUvq8JIt+6GriyF1cYzFE2BRSN9jGcGvkKEkm0mLFsaHE&#10;mt5Lyq/Hu1WQ3V6C2e8+TZvtzmN5vm3H3/etUs/9bj0HEagL/+I/94eO899m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1FkoxAAAANwAAAAPAAAAAAAAAAAA&#10;AAAAAKECAABkcnMvZG93bnJldi54bWxQSwUGAAAAAAQABAD5AAAAkgMAAAAA&#10;" strokecolor="#231f20" strokeweight=".5pt"/>
                <w10:anchorlock/>
              </v:group>
            </w:pict>
          </mc:Fallback>
        </mc:AlternateContent>
      </w:r>
    </w:p>
    <w:p w14:paraId="59F9C41C" w14:textId="77777777" w:rsidR="00DE575E" w:rsidRDefault="00DE575E">
      <w:pPr>
        <w:pStyle w:val="BodyText"/>
        <w:spacing w:before="6"/>
        <w:rPr>
          <w:rFonts w:ascii="AdonisC"/>
          <w:i/>
          <w:sz w:val="11"/>
        </w:rPr>
      </w:pPr>
    </w:p>
    <w:p w14:paraId="5DE53E49" w14:textId="77777777" w:rsidR="00DE575E" w:rsidRDefault="002E7560">
      <w:pPr>
        <w:pStyle w:val="Heading4"/>
        <w:numPr>
          <w:ilvl w:val="1"/>
          <w:numId w:val="15"/>
        </w:numPr>
        <w:tabs>
          <w:tab w:val="left" w:pos="2171"/>
        </w:tabs>
        <w:spacing w:before="100"/>
        <w:ind w:right="1354" w:hanging="200"/>
        <w:jc w:val="left"/>
      </w:pPr>
      <w:r>
        <w:rPr>
          <w:color w:val="231F20"/>
          <w:spacing w:val="-4"/>
        </w:rPr>
        <w:t xml:space="preserve">Заходи </w:t>
      </w:r>
      <w:r>
        <w:rPr>
          <w:color w:val="231F20"/>
          <w:spacing w:val="-3"/>
        </w:rPr>
        <w:t xml:space="preserve">впливу, </w:t>
      </w:r>
      <w:r>
        <w:rPr>
          <w:color w:val="231F20"/>
        </w:rPr>
        <w:t>що застосовуються до неповнолітніх осіб за вчинення адміністративних</w:t>
      </w:r>
      <w:r>
        <w:rPr>
          <w:color w:val="231F20"/>
          <w:spacing w:val="-6"/>
        </w:rPr>
        <w:t xml:space="preserve"> </w:t>
      </w:r>
      <w:r>
        <w:rPr>
          <w:color w:val="231F20"/>
        </w:rPr>
        <w:t>правопорушень</w:t>
      </w:r>
    </w:p>
    <w:p w14:paraId="3E9367BD" w14:textId="77777777" w:rsidR="00DE575E" w:rsidRDefault="00DE575E">
      <w:pPr>
        <w:pStyle w:val="BodyText"/>
        <w:rPr>
          <w:b/>
          <w:sz w:val="26"/>
        </w:rPr>
      </w:pPr>
    </w:p>
    <w:p w14:paraId="37FF82BF" w14:textId="77777777" w:rsidR="00DE575E" w:rsidRDefault="002E7560">
      <w:pPr>
        <w:pStyle w:val="BodyText"/>
        <w:spacing w:before="224" w:line="252" w:lineRule="auto"/>
        <w:ind w:left="533" w:right="124" w:firstLine="283"/>
        <w:jc w:val="both"/>
      </w:pPr>
      <w:r>
        <w:rPr>
          <w:color w:val="231F20"/>
        </w:rPr>
        <w:t>З</w:t>
      </w:r>
      <w:r>
        <w:rPr>
          <w:b/>
          <w:i/>
          <w:color w:val="231F20"/>
        </w:rPr>
        <w:t xml:space="preserve">аходи впливу, що застосовуються до неповнолітніх, </w:t>
      </w:r>
      <w:r>
        <w:rPr>
          <w:color w:val="231F20"/>
        </w:rPr>
        <w:t xml:space="preserve">які вчинили  правопорушення  у  віці  від  16  до  18  років,  визначені    в  </w:t>
      </w:r>
      <w:r>
        <w:rPr>
          <w:color w:val="231F20"/>
          <w:spacing w:val="-5"/>
        </w:rPr>
        <w:t xml:space="preserve">ст. </w:t>
      </w:r>
      <w:r>
        <w:rPr>
          <w:color w:val="231F20"/>
        </w:rPr>
        <w:t>24-1  КУпАп.  До  них  належать:  зобо</w:t>
      </w:r>
      <w:r>
        <w:rPr>
          <w:color w:val="231F20"/>
        </w:rPr>
        <w:t>в’язання  публічно  або     в іншій формі попросити вибачення в потерпілого; попередження; догана або сувора догана; передання неповнолітнього під нагляд батькам або особам, які їх замінюють, чи під нагляд педагогічному або трудовому колективу за їх згодою</w:t>
      </w:r>
      <w:r>
        <w:rPr>
          <w:color w:val="231F20"/>
        </w:rPr>
        <w:t>, а також окремим громадя- нам на їх</w:t>
      </w:r>
      <w:r>
        <w:rPr>
          <w:color w:val="231F20"/>
          <w:spacing w:val="11"/>
        </w:rPr>
        <w:t xml:space="preserve"> </w:t>
      </w:r>
      <w:r>
        <w:rPr>
          <w:color w:val="231F20"/>
        </w:rPr>
        <w:t>прохання.</w:t>
      </w:r>
    </w:p>
    <w:p w14:paraId="60479EFE" w14:textId="77777777" w:rsidR="00DE575E" w:rsidRDefault="002E7560">
      <w:pPr>
        <w:spacing w:before="4" w:line="252" w:lineRule="auto"/>
        <w:ind w:left="533" w:right="125" w:firstLine="283"/>
        <w:jc w:val="both"/>
        <w:rPr>
          <w:sz w:val="21"/>
        </w:rPr>
      </w:pPr>
      <w:r>
        <w:rPr>
          <w:b/>
          <w:color w:val="231F20"/>
          <w:sz w:val="21"/>
        </w:rPr>
        <w:t xml:space="preserve">Зобов’язання публічно або в іншій формі попросити виба- чення в потерпілого </w:t>
      </w:r>
      <w:r>
        <w:rPr>
          <w:color w:val="231F20"/>
          <w:sz w:val="21"/>
        </w:rPr>
        <w:t>(п. 1 ч. 1 ст. 24-1 КУпАП) є найменш суворою мірою адміністративного стягнення. Воно застосовується органом публічної адміністрації в</w:t>
      </w:r>
      <w:r>
        <w:rPr>
          <w:color w:val="231F20"/>
          <w:sz w:val="21"/>
        </w:rPr>
        <w:t xml:space="preserve"> тих випадках, коли той дійшов висновку, що неповнолітній усвідомив неправомірність своєї поведінки, суспільну шкідливість учиненого діяння і покаявся в цьому.</w:t>
      </w:r>
    </w:p>
    <w:p w14:paraId="36AB6CA9" w14:textId="77777777" w:rsidR="00DE575E" w:rsidRDefault="002E7560">
      <w:pPr>
        <w:pStyle w:val="BodyText"/>
        <w:spacing w:before="3" w:line="252" w:lineRule="auto"/>
        <w:ind w:left="533" w:right="126" w:firstLine="283"/>
        <w:jc w:val="both"/>
      </w:pPr>
      <w:r>
        <w:rPr>
          <w:b/>
          <w:color w:val="231F20"/>
        </w:rPr>
        <w:t xml:space="preserve">Попередження </w:t>
      </w:r>
      <w:r>
        <w:rPr>
          <w:color w:val="231F20"/>
        </w:rPr>
        <w:t xml:space="preserve">(п. 2 ч. 1 </w:t>
      </w:r>
      <w:r>
        <w:rPr>
          <w:color w:val="231F20"/>
          <w:spacing w:val="-5"/>
        </w:rPr>
        <w:t xml:space="preserve">ст. </w:t>
      </w:r>
      <w:r>
        <w:rPr>
          <w:color w:val="231F20"/>
        </w:rPr>
        <w:t>24-1 КУпАП) – більш суворий захід виховного</w:t>
      </w:r>
      <w:r>
        <w:rPr>
          <w:color w:val="231F20"/>
          <w:spacing w:val="-6"/>
        </w:rPr>
        <w:t xml:space="preserve"> </w:t>
      </w:r>
      <w:r>
        <w:rPr>
          <w:color w:val="231F20"/>
        </w:rPr>
        <w:t>впливу,</w:t>
      </w:r>
      <w:r>
        <w:rPr>
          <w:color w:val="231F20"/>
          <w:spacing w:val="-6"/>
        </w:rPr>
        <w:t xml:space="preserve"> </w:t>
      </w:r>
      <w:r>
        <w:rPr>
          <w:color w:val="231F20"/>
        </w:rPr>
        <w:t>що</w:t>
      </w:r>
      <w:r>
        <w:rPr>
          <w:color w:val="231F20"/>
          <w:spacing w:val="-6"/>
        </w:rPr>
        <w:t xml:space="preserve"> </w:t>
      </w:r>
      <w:r>
        <w:rPr>
          <w:color w:val="231F20"/>
        </w:rPr>
        <w:t>полягає</w:t>
      </w:r>
      <w:r>
        <w:rPr>
          <w:color w:val="231F20"/>
          <w:spacing w:val="-6"/>
        </w:rPr>
        <w:t xml:space="preserve"> </w:t>
      </w:r>
      <w:r>
        <w:rPr>
          <w:color w:val="231F20"/>
        </w:rPr>
        <w:t>в</w:t>
      </w:r>
      <w:r>
        <w:rPr>
          <w:color w:val="231F20"/>
          <w:spacing w:val="-6"/>
        </w:rPr>
        <w:t xml:space="preserve"> </w:t>
      </w:r>
      <w:r>
        <w:rPr>
          <w:color w:val="231F20"/>
        </w:rPr>
        <w:t>усн</w:t>
      </w:r>
      <w:r>
        <w:rPr>
          <w:color w:val="231F20"/>
        </w:rPr>
        <w:t>ому</w:t>
      </w:r>
      <w:r>
        <w:rPr>
          <w:color w:val="231F20"/>
          <w:spacing w:val="-6"/>
        </w:rPr>
        <w:t xml:space="preserve"> </w:t>
      </w:r>
      <w:r>
        <w:rPr>
          <w:color w:val="231F20"/>
        </w:rPr>
        <w:t>оголошенні</w:t>
      </w:r>
      <w:r>
        <w:rPr>
          <w:color w:val="231F20"/>
          <w:spacing w:val="-6"/>
        </w:rPr>
        <w:t xml:space="preserve"> </w:t>
      </w:r>
      <w:r>
        <w:rPr>
          <w:color w:val="231F20"/>
        </w:rPr>
        <w:t>органом</w:t>
      </w:r>
      <w:r>
        <w:rPr>
          <w:color w:val="231F20"/>
          <w:spacing w:val="-6"/>
        </w:rPr>
        <w:t xml:space="preserve"> </w:t>
      </w:r>
      <w:r>
        <w:rPr>
          <w:color w:val="231F20"/>
        </w:rPr>
        <w:t>публіч- ної адміністрації офіційного, від імені держави осуду неповноліт- нього правопорушника та його поведінки, що полягає в учиненні адміністративного правопорушення, яке не становить значної суспільної</w:t>
      </w:r>
      <w:r>
        <w:rPr>
          <w:color w:val="231F20"/>
          <w:spacing w:val="3"/>
        </w:rPr>
        <w:t xml:space="preserve"> </w:t>
      </w:r>
      <w:r>
        <w:rPr>
          <w:color w:val="231F20"/>
        </w:rPr>
        <w:t>небезпеки.</w:t>
      </w:r>
    </w:p>
    <w:p w14:paraId="697468EE" w14:textId="77777777" w:rsidR="00DE575E" w:rsidRDefault="002E7560">
      <w:pPr>
        <w:pStyle w:val="BodyText"/>
        <w:spacing w:before="3" w:line="252" w:lineRule="auto"/>
        <w:ind w:left="533" w:right="124" w:firstLine="283"/>
        <w:jc w:val="both"/>
      </w:pPr>
      <w:r>
        <w:rPr>
          <w:b/>
          <w:color w:val="231F20"/>
        </w:rPr>
        <w:t>Догана або сувор</w:t>
      </w:r>
      <w:r>
        <w:rPr>
          <w:b/>
          <w:color w:val="231F20"/>
        </w:rPr>
        <w:t xml:space="preserve">а догана </w:t>
      </w:r>
      <w:r>
        <w:rPr>
          <w:color w:val="231F20"/>
        </w:rPr>
        <w:t xml:space="preserve">(п. 3 ч. 1 </w:t>
      </w:r>
      <w:r>
        <w:rPr>
          <w:color w:val="231F20"/>
          <w:spacing w:val="-5"/>
        </w:rPr>
        <w:t xml:space="preserve">ст. </w:t>
      </w:r>
      <w:r>
        <w:rPr>
          <w:color w:val="231F20"/>
        </w:rPr>
        <w:t>24-1 КУпАП) – захід морально-психологічного впливу, який застосовується до непо- внолітніх правопорушників у разі систематичного невиконання встановлених правил поведінки і вчинення правопорушень, що свідчать  про  формування  антиг</w:t>
      </w:r>
      <w:r>
        <w:rPr>
          <w:color w:val="231F20"/>
        </w:rPr>
        <w:t>ромадської  установки.   Догана   чи сувора догана вважаються більш жорсткими заходами стяг- нення, ніж попередження. Вони супроводжуються офіційним, від імені держави, суворим осудом неповнолітнього правопорушника   і вчиненого ним</w:t>
      </w:r>
      <w:r>
        <w:rPr>
          <w:color w:val="231F20"/>
          <w:spacing w:val="12"/>
        </w:rPr>
        <w:t xml:space="preserve"> </w:t>
      </w:r>
      <w:r>
        <w:rPr>
          <w:color w:val="231F20"/>
        </w:rPr>
        <w:t>діяння.</w:t>
      </w:r>
    </w:p>
    <w:p w14:paraId="31EA74FD" w14:textId="77777777" w:rsidR="00DE575E" w:rsidRDefault="002E7560">
      <w:pPr>
        <w:spacing w:before="4" w:line="252" w:lineRule="auto"/>
        <w:ind w:left="533" w:right="123" w:firstLine="283"/>
        <w:jc w:val="both"/>
        <w:rPr>
          <w:sz w:val="21"/>
        </w:rPr>
      </w:pPr>
      <w:r>
        <w:rPr>
          <w:b/>
          <w:color w:val="231F20"/>
          <w:sz w:val="21"/>
        </w:rPr>
        <w:t>Передання непов</w:t>
      </w:r>
      <w:r>
        <w:rPr>
          <w:b/>
          <w:color w:val="231F20"/>
          <w:sz w:val="21"/>
        </w:rPr>
        <w:t xml:space="preserve">нолітнього під </w:t>
      </w:r>
      <w:r>
        <w:rPr>
          <w:b/>
          <w:color w:val="231F20"/>
          <w:spacing w:val="-3"/>
          <w:sz w:val="21"/>
        </w:rPr>
        <w:t xml:space="preserve">нагляд </w:t>
      </w:r>
      <w:r>
        <w:rPr>
          <w:b/>
          <w:color w:val="231F20"/>
          <w:sz w:val="21"/>
        </w:rPr>
        <w:t xml:space="preserve">педагогічному або трудовому колективу </w:t>
      </w:r>
      <w:r>
        <w:rPr>
          <w:color w:val="231F20"/>
          <w:sz w:val="21"/>
        </w:rPr>
        <w:t xml:space="preserve">(п. 4 ч. 1 </w:t>
      </w:r>
      <w:r>
        <w:rPr>
          <w:color w:val="231F20"/>
          <w:spacing w:val="-5"/>
          <w:sz w:val="21"/>
        </w:rPr>
        <w:t xml:space="preserve">ст. </w:t>
      </w:r>
      <w:r>
        <w:rPr>
          <w:color w:val="231F20"/>
          <w:sz w:val="21"/>
        </w:rPr>
        <w:t>24-1</w:t>
      </w:r>
      <w:r>
        <w:rPr>
          <w:color w:val="231F20"/>
          <w:position w:val="7"/>
          <w:sz w:val="12"/>
        </w:rPr>
        <w:t xml:space="preserve">1 </w:t>
      </w:r>
      <w:r>
        <w:rPr>
          <w:color w:val="231F20"/>
          <w:sz w:val="21"/>
        </w:rPr>
        <w:t>КУпАП) становить покла- дання органом публічної адміністрації на відповідний колектив за його (колективу) згодою обов’язку здійснювати виховний  вплив на неповнолітнього і контролювати його</w:t>
      </w:r>
      <w:r>
        <w:rPr>
          <w:color w:val="231F20"/>
          <w:spacing w:val="27"/>
          <w:sz w:val="21"/>
        </w:rPr>
        <w:t xml:space="preserve"> </w:t>
      </w:r>
      <w:r>
        <w:rPr>
          <w:color w:val="231F20"/>
          <w:sz w:val="21"/>
        </w:rPr>
        <w:t>поведінку.</w:t>
      </w:r>
    </w:p>
    <w:p w14:paraId="0A96D16D" w14:textId="77777777" w:rsidR="00DE575E" w:rsidRDefault="00DE575E">
      <w:pPr>
        <w:pStyle w:val="BodyText"/>
        <w:spacing w:before="1"/>
        <w:rPr>
          <w:sz w:val="12"/>
        </w:rPr>
      </w:pPr>
    </w:p>
    <w:p w14:paraId="56ECE8F6" w14:textId="77777777" w:rsidR="00DE575E" w:rsidRDefault="002E7560">
      <w:pPr>
        <w:spacing w:before="92"/>
        <w:ind w:left="533"/>
        <w:rPr>
          <w:rFonts w:ascii="Times New Roman"/>
          <w:sz w:val="20"/>
        </w:rPr>
      </w:pPr>
      <w:r>
        <w:rPr>
          <w:rFonts w:ascii="Times New Roman"/>
          <w:color w:val="231F20"/>
          <w:sz w:val="20"/>
        </w:rPr>
        <w:t>508</w:t>
      </w:r>
    </w:p>
    <w:p w14:paraId="59B1FF34" w14:textId="77777777" w:rsidR="00DE575E" w:rsidRDefault="00DE575E">
      <w:pPr>
        <w:rPr>
          <w:rFonts w:ascii="Times New Roman"/>
          <w:sz w:val="20"/>
        </w:rPr>
        <w:sectPr w:rsidR="00DE575E">
          <w:pgSz w:w="8510" w:h="12760"/>
          <w:pgMar w:top="660" w:right="720" w:bottom="280" w:left="600" w:header="720" w:footer="720" w:gutter="0"/>
          <w:cols w:space="720"/>
        </w:sectPr>
      </w:pPr>
    </w:p>
    <w:p w14:paraId="1C9865EE" w14:textId="77777777" w:rsidR="00DE575E" w:rsidRDefault="002E7560">
      <w:pPr>
        <w:spacing w:before="72" w:line="249" w:lineRule="auto"/>
        <w:ind w:left="2587" w:right="392" w:firstLine="105"/>
        <w:rPr>
          <w:rFonts w:ascii="AdonisC" w:hAnsi="AdonisC"/>
          <w:i/>
          <w:sz w:val="18"/>
        </w:rPr>
      </w:pPr>
      <w:r>
        <w:rPr>
          <w:rFonts w:ascii="AdonisC" w:hAnsi="AdonisC"/>
          <w:i/>
          <w:color w:val="231F20"/>
          <w:sz w:val="18"/>
        </w:rPr>
        <w:t>Глава ІІ Особливе адміністративне право/ Книга ІІ Розділ 4. Заходи адміністративної відповідальності</w:t>
      </w:r>
    </w:p>
    <w:p w14:paraId="1D8B0E7D" w14:textId="6E1054A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9D40CEC" wp14:editId="656851A0">
                <wp:extent cx="4140200" cy="6350"/>
                <wp:effectExtent l="0" t="0" r="12700" b="6350"/>
                <wp:docPr id="14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7" name="Line 146"/>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B37443" id="Group_x0020_145"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JTvKQl/AgAAmAUAAA4A&#10;AAAAAAAAAAAAAAAALAIAAGRycy9lMm9Eb2MueG1sUEsBAi0AFAAGAAgAAAAhAEynsJDZAAAAAwEA&#10;AA8AAAAAAAAAAAAAAAAA1wQAAGRycy9kb3ducmV2LnhtbFBLBQYAAAAABAAEAPMAAADdBQAAAAA=&#10;">
                <v:line id="Line_x0020_146"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dowcQAAADcAAAADwAAAGRycy9kb3ducmV2LnhtbERP22rCQBB9L/gPywh9KbqpFpXoKlIQ&#10;Sh+8xQ8Ys2MS3J2N2dWk/fpuodC3OZzrLFadNeJBja8cK3gdJiCIc6crLhScss1gBsIHZI3GMSn4&#10;Ig+rZe9pgal2LR/ocQyFiCHsU1RQhlCnUvq8JIt+6GriyF1cYzFE2BRSN9jGcGvkKEkm0mLFsaHE&#10;mt5Lyq/Hu1WQ3V6C2e8+TZvtzmN5vm3H3/etUs/9bj0HEagL/+I/94eO89+m8PtMvE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B2jBxAAAANwAAAAPAAAAAAAAAAAA&#10;AAAAAKECAABkcnMvZG93bnJldi54bWxQSwUGAAAAAAQABAD5AAAAkgMAAAAA&#10;" strokecolor="#231f20" strokeweight=".5pt"/>
                <w10:anchorlock/>
              </v:group>
            </w:pict>
          </mc:Fallback>
        </mc:AlternateContent>
      </w:r>
    </w:p>
    <w:p w14:paraId="7AB79FA2" w14:textId="77777777" w:rsidR="00DE575E" w:rsidRDefault="00DE575E">
      <w:pPr>
        <w:pStyle w:val="BodyText"/>
        <w:spacing w:before="7"/>
        <w:rPr>
          <w:rFonts w:ascii="AdonisC"/>
          <w:i/>
          <w:sz w:val="19"/>
        </w:rPr>
      </w:pPr>
    </w:p>
    <w:p w14:paraId="7173FBF7" w14:textId="77777777" w:rsidR="00DE575E" w:rsidRDefault="002E7560">
      <w:pPr>
        <w:spacing w:before="1" w:line="252" w:lineRule="auto"/>
        <w:ind w:left="250" w:right="410" w:firstLine="283"/>
        <w:jc w:val="both"/>
        <w:rPr>
          <w:sz w:val="21"/>
        </w:rPr>
      </w:pPr>
      <w:r>
        <w:rPr>
          <w:b/>
          <w:color w:val="231F20"/>
          <w:sz w:val="21"/>
        </w:rPr>
        <w:t xml:space="preserve">Передання неповнолітнього під </w:t>
      </w:r>
      <w:r>
        <w:rPr>
          <w:b/>
          <w:color w:val="231F20"/>
          <w:spacing w:val="-4"/>
          <w:sz w:val="21"/>
        </w:rPr>
        <w:t xml:space="preserve">нагляд </w:t>
      </w:r>
      <w:r>
        <w:rPr>
          <w:b/>
          <w:color w:val="231F20"/>
          <w:sz w:val="21"/>
        </w:rPr>
        <w:t xml:space="preserve">окремим громадя- нам </w:t>
      </w:r>
      <w:r>
        <w:rPr>
          <w:color w:val="231F20"/>
          <w:sz w:val="21"/>
        </w:rPr>
        <w:t xml:space="preserve">(п. 4 ч. 1 </w:t>
      </w:r>
      <w:r>
        <w:rPr>
          <w:color w:val="231F20"/>
          <w:spacing w:val="-6"/>
          <w:sz w:val="21"/>
        </w:rPr>
        <w:t xml:space="preserve">ст. </w:t>
      </w:r>
      <w:r>
        <w:rPr>
          <w:color w:val="231F20"/>
          <w:sz w:val="21"/>
        </w:rPr>
        <w:t>24 КУпАП)</w:t>
      </w:r>
      <w:r>
        <w:rPr>
          <w:color w:val="231F20"/>
          <w:position w:val="7"/>
          <w:sz w:val="12"/>
        </w:rPr>
        <w:t xml:space="preserve">1 </w:t>
      </w:r>
      <w:r>
        <w:rPr>
          <w:color w:val="231F20"/>
          <w:sz w:val="21"/>
        </w:rPr>
        <w:t>поляг</w:t>
      </w:r>
      <w:r>
        <w:rPr>
          <w:color w:val="231F20"/>
          <w:sz w:val="21"/>
        </w:rPr>
        <w:t>ає в покладанні на них обов’язків  з виховання неповнолітнього й контролю за його</w:t>
      </w:r>
      <w:r>
        <w:rPr>
          <w:color w:val="231F20"/>
          <w:spacing w:val="-7"/>
          <w:sz w:val="21"/>
        </w:rPr>
        <w:t xml:space="preserve"> </w:t>
      </w:r>
      <w:r>
        <w:rPr>
          <w:color w:val="231F20"/>
          <w:sz w:val="21"/>
        </w:rPr>
        <w:t>поведінкою.</w:t>
      </w:r>
    </w:p>
    <w:p w14:paraId="09962526" w14:textId="77777777" w:rsidR="00DE575E" w:rsidRDefault="002E7560">
      <w:pPr>
        <w:pStyle w:val="BodyText"/>
        <w:spacing w:before="1" w:line="252" w:lineRule="auto"/>
        <w:ind w:left="250" w:right="407" w:firstLine="283"/>
        <w:jc w:val="both"/>
      </w:pPr>
      <w:r>
        <w:rPr>
          <w:color w:val="231F20"/>
        </w:rPr>
        <w:t>Передання неповнолітнього під нагляд педагогічному або трудовому  колективу  становить   собою   покладання   публіч-   ним органом на відповідний колектив з його (колективу) згоди обов’язку щодо здійснення виховного впливу на неповнолітнього  й контролю з</w:t>
      </w:r>
      <w:r>
        <w:rPr>
          <w:color w:val="231F20"/>
        </w:rPr>
        <w:t xml:space="preserve">а його поведінкою. </w:t>
      </w:r>
      <w:r>
        <w:rPr>
          <w:color w:val="231F20"/>
          <w:spacing w:val="-3"/>
        </w:rPr>
        <w:t xml:space="preserve">Таким </w:t>
      </w:r>
      <w:r>
        <w:rPr>
          <w:color w:val="231F20"/>
        </w:rPr>
        <w:t xml:space="preserve">колективом може бути, наприклад, педагогічний колектив школи, у якій навчається непо- внолітній, або трудовий колектив підприємства, де він працює.  При цьому орган публічної влади (сьогодні це суд, суддя), що розглядає справу про </w:t>
      </w:r>
      <w:r>
        <w:rPr>
          <w:color w:val="231F20"/>
        </w:rPr>
        <w:t>правопорушення неповнолітнього, має бути упевненим у можливостях позитивного впливу такого колективу на неповнолітнього правопорушника, що передається колективу під</w:t>
      </w:r>
      <w:r>
        <w:rPr>
          <w:color w:val="231F20"/>
          <w:spacing w:val="3"/>
        </w:rPr>
        <w:t xml:space="preserve"> </w:t>
      </w:r>
      <w:r>
        <w:rPr>
          <w:color w:val="231F20"/>
        </w:rPr>
        <w:t>нагляд.</w:t>
      </w:r>
    </w:p>
    <w:p w14:paraId="601BE45E" w14:textId="77777777" w:rsidR="00DE575E" w:rsidRDefault="002E7560">
      <w:pPr>
        <w:pStyle w:val="BodyText"/>
        <w:spacing w:before="6" w:line="252" w:lineRule="auto"/>
        <w:ind w:left="250" w:right="410" w:firstLine="283"/>
        <w:jc w:val="both"/>
      </w:pPr>
      <w:r>
        <w:rPr>
          <w:color w:val="231F20"/>
        </w:rPr>
        <w:t xml:space="preserve">Передання  неповнолітнього  під  </w:t>
      </w:r>
      <w:r>
        <w:rPr>
          <w:color w:val="231F20"/>
          <w:spacing w:val="-3"/>
        </w:rPr>
        <w:t xml:space="preserve">нагляд  </w:t>
      </w:r>
      <w:r>
        <w:rPr>
          <w:color w:val="231F20"/>
        </w:rPr>
        <w:t>окремим  громадя-  нам визначається в покл</w:t>
      </w:r>
      <w:r>
        <w:rPr>
          <w:color w:val="231F20"/>
        </w:rPr>
        <w:t>аданні на них обов’язків щодо виховання піднаглядного і контролю за його поведінкою. Вона застосовується тільки на прохання громадян, яким передається неповнолітній і які добре зарекомендували себе на педагогічній роботі чи в іншій</w:t>
      </w:r>
      <w:r>
        <w:rPr>
          <w:color w:val="231F20"/>
          <w:spacing w:val="-24"/>
        </w:rPr>
        <w:t xml:space="preserve"> </w:t>
      </w:r>
      <w:r>
        <w:rPr>
          <w:color w:val="231F20"/>
        </w:rPr>
        <w:t>сфері суспільно-корисної</w:t>
      </w:r>
      <w:r>
        <w:rPr>
          <w:color w:val="231F20"/>
          <w:spacing w:val="-1"/>
        </w:rPr>
        <w:t xml:space="preserve"> </w:t>
      </w:r>
      <w:r>
        <w:rPr>
          <w:color w:val="231F20"/>
        </w:rPr>
        <w:t>діяльності.</w:t>
      </w:r>
    </w:p>
    <w:p w14:paraId="2914C184" w14:textId="77777777" w:rsidR="00DE575E" w:rsidRDefault="002E7560">
      <w:pPr>
        <w:pStyle w:val="BodyText"/>
        <w:spacing w:before="3" w:line="252" w:lineRule="auto"/>
        <w:ind w:left="250" w:right="409" w:firstLine="283"/>
        <w:jc w:val="both"/>
      </w:pPr>
      <w:r>
        <w:rPr>
          <w:color w:val="231F20"/>
        </w:rPr>
        <w:t>Неприпустиме передання неповнолітнього батькові чи матері, позбавленим батьківських прав, а також батькам або іншим особам, що за рівнем культури і характером своєї поведінки не здатні пози- тивно впливати на нього</w:t>
      </w:r>
      <w:r>
        <w:rPr>
          <w:color w:val="231F20"/>
          <w:position w:val="7"/>
          <w:sz w:val="12"/>
        </w:rPr>
        <w:t>2</w:t>
      </w:r>
      <w:r>
        <w:rPr>
          <w:color w:val="231F20"/>
        </w:rPr>
        <w:t>.</w:t>
      </w:r>
    </w:p>
    <w:p w14:paraId="1C50B6DA" w14:textId="77777777" w:rsidR="00DE575E" w:rsidRDefault="00DE575E">
      <w:pPr>
        <w:pStyle w:val="BodyText"/>
        <w:rPr>
          <w:sz w:val="24"/>
        </w:rPr>
      </w:pPr>
    </w:p>
    <w:p w14:paraId="5F839120" w14:textId="77777777" w:rsidR="00DE575E" w:rsidRDefault="00DE575E">
      <w:pPr>
        <w:pStyle w:val="BodyText"/>
        <w:spacing w:before="5"/>
        <w:rPr>
          <w:sz w:val="19"/>
        </w:rPr>
      </w:pPr>
    </w:p>
    <w:p w14:paraId="556360D9" w14:textId="77777777" w:rsidR="00DE575E" w:rsidRDefault="002E7560">
      <w:pPr>
        <w:pStyle w:val="Heading4"/>
        <w:numPr>
          <w:ilvl w:val="1"/>
          <w:numId w:val="15"/>
        </w:numPr>
        <w:tabs>
          <w:tab w:val="left" w:pos="2123"/>
        </w:tabs>
        <w:ind w:left="2053" w:right="1875" w:hanging="341"/>
        <w:jc w:val="left"/>
      </w:pPr>
      <w:r>
        <w:rPr>
          <w:color w:val="231F20"/>
        </w:rPr>
        <w:t>Загальні правила накладе</w:t>
      </w:r>
      <w:r>
        <w:rPr>
          <w:color w:val="231F20"/>
        </w:rPr>
        <w:t>ння адміністративних</w:t>
      </w:r>
      <w:r>
        <w:rPr>
          <w:color w:val="231F20"/>
          <w:spacing w:val="-3"/>
        </w:rPr>
        <w:t xml:space="preserve"> </w:t>
      </w:r>
      <w:r>
        <w:rPr>
          <w:color w:val="231F20"/>
        </w:rPr>
        <w:t>стягнень</w:t>
      </w:r>
    </w:p>
    <w:p w14:paraId="60875812" w14:textId="77777777" w:rsidR="00DE575E" w:rsidRDefault="00DE575E">
      <w:pPr>
        <w:pStyle w:val="BodyText"/>
        <w:rPr>
          <w:b/>
          <w:sz w:val="26"/>
        </w:rPr>
      </w:pPr>
    </w:p>
    <w:p w14:paraId="434A9251" w14:textId="77777777" w:rsidR="00DE575E" w:rsidRDefault="002E7560">
      <w:pPr>
        <w:pStyle w:val="BodyText"/>
        <w:spacing w:before="224" w:line="252" w:lineRule="auto"/>
        <w:ind w:left="250" w:right="411" w:firstLine="283"/>
        <w:jc w:val="both"/>
      </w:pPr>
      <w:r>
        <w:rPr>
          <w:color w:val="231F20"/>
        </w:rPr>
        <w:t>Загальні</w:t>
      </w:r>
      <w:r>
        <w:rPr>
          <w:color w:val="231F20"/>
          <w:spacing w:val="-10"/>
        </w:rPr>
        <w:t xml:space="preserve"> </w:t>
      </w:r>
      <w:r>
        <w:rPr>
          <w:color w:val="231F20"/>
        </w:rPr>
        <w:t>правила</w:t>
      </w:r>
      <w:r>
        <w:rPr>
          <w:color w:val="231F20"/>
          <w:spacing w:val="-10"/>
        </w:rPr>
        <w:t xml:space="preserve"> </w:t>
      </w:r>
      <w:r>
        <w:rPr>
          <w:color w:val="231F20"/>
        </w:rPr>
        <w:t>накладення</w:t>
      </w:r>
      <w:r>
        <w:rPr>
          <w:color w:val="231F20"/>
          <w:spacing w:val="-10"/>
        </w:rPr>
        <w:t xml:space="preserve"> </w:t>
      </w:r>
      <w:r>
        <w:rPr>
          <w:color w:val="231F20"/>
        </w:rPr>
        <w:t>стягнень</w:t>
      </w:r>
      <w:r>
        <w:rPr>
          <w:color w:val="231F20"/>
          <w:spacing w:val="-10"/>
        </w:rPr>
        <w:t xml:space="preserve"> </w:t>
      </w:r>
      <w:r>
        <w:rPr>
          <w:color w:val="231F20"/>
        </w:rPr>
        <w:t>за</w:t>
      </w:r>
      <w:r>
        <w:rPr>
          <w:color w:val="231F20"/>
          <w:spacing w:val="-10"/>
        </w:rPr>
        <w:t xml:space="preserve"> </w:t>
      </w:r>
      <w:r>
        <w:rPr>
          <w:color w:val="231F20"/>
        </w:rPr>
        <w:t>адміністративні</w:t>
      </w:r>
      <w:r>
        <w:rPr>
          <w:color w:val="231F20"/>
          <w:spacing w:val="-10"/>
        </w:rPr>
        <w:t xml:space="preserve"> </w:t>
      </w:r>
      <w:r>
        <w:rPr>
          <w:color w:val="231F20"/>
        </w:rPr>
        <w:t xml:space="preserve">право- порушення, які конкретизують і поглиблюють конституційні прин- ципи верховенства права, законності, гуманізму, індивідуалізації адміністративної відповідальності, закріплено в </w:t>
      </w:r>
      <w:r>
        <w:rPr>
          <w:color w:val="231F20"/>
          <w:spacing w:val="-4"/>
        </w:rPr>
        <w:t xml:space="preserve">гл. </w:t>
      </w:r>
      <w:r>
        <w:rPr>
          <w:color w:val="231F20"/>
        </w:rPr>
        <w:t>4</w:t>
      </w:r>
      <w:r>
        <w:rPr>
          <w:color w:val="231F20"/>
          <w:spacing w:val="-6"/>
        </w:rPr>
        <w:t xml:space="preserve"> </w:t>
      </w:r>
      <w:r>
        <w:rPr>
          <w:color w:val="231F20"/>
          <w:spacing w:val="-3"/>
        </w:rPr>
        <w:t>КУпАП.</w:t>
      </w:r>
    </w:p>
    <w:p w14:paraId="1EDBF6DC" w14:textId="646B7367" w:rsidR="00DE575E" w:rsidRDefault="002E7560">
      <w:pPr>
        <w:pStyle w:val="BodyText"/>
        <w:spacing w:before="6"/>
        <w:rPr>
          <w:sz w:val="17"/>
        </w:rPr>
      </w:pPr>
      <w:r>
        <w:rPr>
          <w:noProof/>
        </w:rPr>
        <mc:AlternateContent>
          <mc:Choice Requires="wps">
            <w:drawing>
              <wp:anchor distT="0" distB="0" distL="0" distR="0" simplePos="0" relativeHeight="19168" behindDoc="0" locked="0" layoutInCell="1" allowOverlap="1" wp14:anchorId="586A2B45" wp14:editId="130FE907">
                <wp:simplePos x="0" y="0"/>
                <wp:positionH relativeFrom="page">
                  <wp:posOffset>539750</wp:posOffset>
                </wp:positionH>
                <wp:positionV relativeFrom="paragraph">
                  <wp:posOffset>158750</wp:posOffset>
                </wp:positionV>
                <wp:extent cx="1080135" cy="0"/>
                <wp:effectExtent l="6350" t="19050" r="31115" b="19050"/>
                <wp:wrapTopAndBottom/>
                <wp:docPr id="14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ACFE7" id="Line_x0020_144" o:spid="_x0000_s1026" style="position:absolute;z-index: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5pt" to="127.5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" strokecolor="#231f20" strokeweight=".5pt">
                <w10:wrap type="topAndBottom" anchorx="page"/>
              </v:line>
            </w:pict>
          </mc:Fallback>
        </mc:AlternateContent>
      </w:r>
    </w:p>
    <w:p w14:paraId="779A09B2" w14:textId="77777777" w:rsidR="00DE575E" w:rsidRDefault="002E7560">
      <w:pPr>
        <w:spacing w:before="20" w:line="264" w:lineRule="auto"/>
        <w:ind w:left="250"/>
        <w:rPr>
          <w:sz w:val="16"/>
        </w:rPr>
      </w:pPr>
      <w:r>
        <w:rPr>
          <w:color w:val="231F20"/>
          <w:position w:val="5"/>
          <w:sz w:val="9"/>
        </w:rPr>
        <w:t xml:space="preserve">1 </w:t>
      </w:r>
      <w:r>
        <w:rPr>
          <w:color w:val="231F20"/>
          <w:sz w:val="16"/>
        </w:rPr>
        <w:t>Про практику розгляду судами справ про застосування примусових заходів виховного характеру : Постанова Пленуму Верховного Суду України від 31 травня 2002 р. № 6.</w:t>
      </w:r>
    </w:p>
    <w:p w14:paraId="6B72DF35" w14:textId="77777777" w:rsidR="00DE575E" w:rsidRDefault="002E7560">
      <w:pPr>
        <w:spacing w:before="4" w:line="204" w:lineRule="auto"/>
        <w:ind w:left="250" w:right="521"/>
        <w:rPr>
          <w:sz w:val="16"/>
        </w:rPr>
      </w:pPr>
      <w:r>
        <w:rPr>
          <w:color w:val="231F20"/>
          <w:position w:val="5"/>
          <w:sz w:val="9"/>
        </w:rPr>
        <w:t xml:space="preserve">2 </w:t>
      </w:r>
      <w:r>
        <w:rPr>
          <w:color w:val="231F20"/>
          <w:spacing w:val="-3"/>
          <w:sz w:val="16"/>
        </w:rPr>
        <w:t xml:space="preserve">Горбач </w:t>
      </w:r>
      <w:r>
        <w:rPr>
          <w:color w:val="231F20"/>
          <w:sz w:val="16"/>
        </w:rPr>
        <w:t>О. В. Адміністративна відповідальність неповнолітніх : монографія. Київ  : КНУВС, 200</w:t>
      </w:r>
      <w:r>
        <w:rPr>
          <w:color w:val="231F20"/>
          <w:sz w:val="16"/>
        </w:rPr>
        <w:t>9. 143 с.</w:t>
      </w:r>
    </w:p>
    <w:p w14:paraId="30E9E3AC" w14:textId="77777777" w:rsidR="00DE575E" w:rsidRDefault="00DE575E">
      <w:pPr>
        <w:pStyle w:val="BodyText"/>
        <w:spacing w:before="5"/>
        <w:rPr>
          <w:sz w:val="12"/>
        </w:rPr>
      </w:pPr>
    </w:p>
    <w:p w14:paraId="17D01B39" w14:textId="77777777" w:rsidR="00DE575E" w:rsidRDefault="002E7560">
      <w:pPr>
        <w:spacing w:before="92"/>
        <w:ind w:right="411"/>
        <w:jc w:val="right"/>
        <w:rPr>
          <w:rFonts w:ascii="Times New Roman"/>
          <w:sz w:val="20"/>
        </w:rPr>
      </w:pPr>
      <w:r>
        <w:rPr>
          <w:rFonts w:ascii="Times New Roman"/>
          <w:color w:val="231F20"/>
          <w:w w:val="90"/>
          <w:sz w:val="20"/>
        </w:rPr>
        <w:t>509</w:t>
      </w:r>
    </w:p>
    <w:p w14:paraId="25B1161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5A9A65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85FD2C4" w14:textId="3CF4BE2C"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C0ACACF" wp14:editId="58868DA4">
                <wp:extent cx="4140200" cy="6350"/>
                <wp:effectExtent l="0" t="0" r="12700" b="6350"/>
                <wp:docPr id="14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4" name="Line 1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5571A6" id="Group_x0020_1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3cdZF34CAACYBQAADgAA&#10;AAAAAAAAAAAAAAAsAgAAZHJzL2Uyb0RvYy54bWxQSwECLQAUAAYACAAAACEATKewkNkAAAADAQAA&#10;DwAAAAAAAAAAAAAAAADWBAAAZHJzL2Rvd25yZXYueG1sUEsFBgAAAAAEAAQA8wAAANwFAAAAAA==&#10;">
                <v:line id="Line_x0020_1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X2tsQAAADcAAAADwAAAGRycy9kb3ducmV2LnhtbERP22rCQBB9L/gPyxT6UpqNVUqJWUWE&#10;QumDt/QDxuyYhO7OxuxqUr/eFQp9m8O5Tr4YrBEX6nzjWME4SUEQl043XCn4Lj5e3kH4gKzROCYF&#10;v+RhMR895Jhp1/OOLvtQiRjCPkMFdQhtJqUva7LoE9cSR+7oOoshwq6SusM+hlsjX9P0TVpsODbU&#10;2NKqpvJnf7YKitNzMNvNl+mLzWEiD6f15HpeK/X0OCxnIAIN4V/85/7Ucf50Cvdn4gVyf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1fa2xAAAANwAAAAPAAAAAAAAAAAA&#10;AAAAAKECAABkcnMvZG93bnJldi54bWxQSwUGAAAAAAQABAD5AAAAkgMAAAAA&#10;" strokecolor="#231f20" strokeweight=".5pt"/>
                <w10:anchorlock/>
              </v:group>
            </w:pict>
          </mc:Fallback>
        </mc:AlternateContent>
      </w:r>
    </w:p>
    <w:p w14:paraId="7F257DA5" w14:textId="77777777" w:rsidR="00DE575E" w:rsidRDefault="00DE575E">
      <w:pPr>
        <w:pStyle w:val="BodyText"/>
        <w:spacing w:before="7"/>
        <w:rPr>
          <w:rFonts w:ascii="AdonisC"/>
          <w:i/>
          <w:sz w:val="11"/>
        </w:rPr>
      </w:pPr>
    </w:p>
    <w:p w14:paraId="5C5217FA" w14:textId="77777777" w:rsidR="00DE575E" w:rsidRDefault="002E7560">
      <w:pPr>
        <w:pStyle w:val="BodyText"/>
        <w:spacing w:before="101" w:line="252" w:lineRule="auto"/>
        <w:ind w:left="533" w:right="127" w:firstLine="283"/>
        <w:jc w:val="both"/>
      </w:pPr>
      <w:r>
        <w:rPr>
          <w:color w:val="231F20"/>
        </w:rPr>
        <w:t>Стягнення за  адміністративне  правопорушення  накладається  в межах, установлених нормативним актом, який передбачає</w:t>
      </w:r>
      <w:r>
        <w:rPr>
          <w:color w:val="231F20"/>
        </w:rPr>
        <w:t xml:space="preserve"> відпо- відальність за вчинене правопорушення. При накладенні стягнення враховуються характер вчиненого правопорушення, особа поруш- ника, ступінь його вини, майновий стан, обставини, що пом’якшу- ють чи обтяжують відповідальність </w:t>
      </w:r>
      <w:r>
        <w:rPr>
          <w:color w:val="231F20"/>
          <w:spacing w:val="-5"/>
        </w:rPr>
        <w:t xml:space="preserve">(ст. </w:t>
      </w:r>
      <w:r>
        <w:rPr>
          <w:color w:val="231F20"/>
        </w:rPr>
        <w:t>33</w:t>
      </w:r>
      <w:r>
        <w:rPr>
          <w:color w:val="231F20"/>
          <w:spacing w:val="-7"/>
        </w:rPr>
        <w:t xml:space="preserve"> </w:t>
      </w:r>
      <w:r>
        <w:rPr>
          <w:color w:val="231F20"/>
        </w:rPr>
        <w:t>КУпАП).</w:t>
      </w:r>
    </w:p>
    <w:p w14:paraId="546EC788" w14:textId="77777777" w:rsidR="00DE575E" w:rsidRDefault="002E7560">
      <w:pPr>
        <w:pStyle w:val="BodyText"/>
        <w:spacing w:before="3" w:line="252" w:lineRule="auto"/>
        <w:ind w:left="533" w:right="126" w:firstLine="283"/>
        <w:jc w:val="both"/>
      </w:pPr>
      <w:r>
        <w:rPr>
          <w:color w:val="231F20"/>
        </w:rPr>
        <w:t>Особу пор</w:t>
      </w:r>
      <w:r>
        <w:rPr>
          <w:color w:val="231F20"/>
        </w:rPr>
        <w:t xml:space="preserve">ушника характеризують насамперед ознаки, властиві </w:t>
      </w:r>
      <w:r>
        <w:rPr>
          <w:color w:val="231F20"/>
          <w:spacing w:val="-3"/>
        </w:rPr>
        <w:t>суб’єкту</w:t>
      </w:r>
      <w:r>
        <w:rPr>
          <w:color w:val="231F20"/>
          <w:spacing w:val="-10"/>
        </w:rPr>
        <w:t xml:space="preserve"> </w:t>
      </w:r>
      <w:r>
        <w:rPr>
          <w:color w:val="231F20"/>
        </w:rPr>
        <w:t>проступку</w:t>
      </w:r>
      <w:r>
        <w:rPr>
          <w:color w:val="231F20"/>
          <w:spacing w:val="-10"/>
        </w:rPr>
        <w:t xml:space="preserve"> </w:t>
      </w:r>
      <w:r>
        <w:rPr>
          <w:color w:val="231F20"/>
        </w:rPr>
        <w:t>(вік,</w:t>
      </w:r>
      <w:r>
        <w:rPr>
          <w:color w:val="231F20"/>
          <w:spacing w:val="-10"/>
        </w:rPr>
        <w:t xml:space="preserve"> </w:t>
      </w:r>
      <w:r>
        <w:rPr>
          <w:color w:val="231F20"/>
        </w:rPr>
        <w:t>стать,</w:t>
      </w:r>
      <w:r>
        <w:rPr>
          <w:color w:val="231F20"/>
          <w:spacing w:val="-10"/>
        </w:rPr>
        <w:t xml:space="preserve"> </w:t>
      </w:r>
      <w:r>
        <w:rPr>
          <w:color w:val="231F20"/>
        </w:rPr>
        <w:t>службове</w:t>
      </w:r>
      <w:r>
        <w:rPr>
          <w:color w:val="231F20"/>
          <w:spacing w:val="-10"/>
        </w:rPr>
        <w:t xml:space="preserve"> </w:t>
      </w:r>
      <w:r>
        <w:rPr>
          <w:color w:val="231F20"/>
        </w:rPr>
        <w:t>становище,</w:t>
      </w:r>
      <w:r>
        <w:rPr>
          <w:color w:val="231F20"/>
          <w:spacing w:val="-10"/>
        </w:rPr>
        <w:t xml:space="preserve"> </w:t>
      </w:r>
      <w:r>
        <w:rPr>
          <w:color w:val="231F20"/>
        </w:rPr>
        <w:t>соціальний</w:t>
      </w:r>
      <w:r>
        <w:rPr>
          <w:color w:val="231F20"/>
          <w:spacing w:val="-10"/>
        </w:rPr>
        <w:t xml:space="preserve"> </w:t>
      </w:r>
      <w:r>
        <w:rPr>
          <w:color w:val="231F20"/>
        </w:rPr>
        <w:t>стан, протиправна</w:t>
      </w:r>
      <w:r>
        <w:rPr>
          <w:color w:val="231F20"/>
          <w:spacing w:val="-6"/>
        </w:rPr>
        <w:t xml:space="preserve"> </w:t>
      </w:r>
      <w:r>
        <w:rPr>
          <w:color w:val="231F20"/>
        </w:rPr>
        <w:t>поведінка</w:t>
      </w:r>
      <w:r>
        <w:rPr>
          <w:color w:val="231F20"/>
          <w:spacing w:val="-6"/>
        </w:rPr>
        <w:t xml:space="preserve"> </w:t>
      </w:r>
      <w:r>
        <w:rPr>
          <w:color w:val="231F20"/>
        </w:rPr>
        <w:t>в</w:t>
      </w:r>
      <w:r>
        <w:rPr>
          <w:color w:val="231F20"/>
          <w:spacing w:val="-5"/>
        </w:rPr>
        <w:t xml:space="preserve"> </w:t>
      </w:r>
      <w:r>
        <w:rPr>
          <w:color w:val="231F20"/>
        </w:rPr>
        <w:t>минулому),</w:t>
      </w:r>
      <w:r>
        <w:rPr>
          <w:color w:val="231F20"/>
          <w:spacing w:val="-6"/>
        </w:rPr>
        <w:t xml:space="preserve"> </w:t>
      </w:r>
      <w:r>
        <w:rPr>
          <w:color w:val="231F20"/>
        </w:rPr>
        <w:t>а</w:t>
      </w:r>
      <w:r>
        <w:rPr>
          <w:color w:val="231F20"/>
          <w:spacing w:val="-5"/>
        </w:rPr>
        <w:t xml:space="preserve"> </w:t>
      </w:r>
      <w:r>
        <w:rPr>
          <w:color w:val="231F20"/>
        </w:rPr>
        <w:t>також</w:t>
      </w:r>
      <w:r>
        <w:rPr>
          <w:color w:val="231F20"/>
          <w:spacing w:val="-6"/>
        </w:rPr>
        <w:t xml:space="preserve"> </w:t>
      </w:r>
      <w:r>
        <w:rPr>
          <w:color w:val="231F20"/>
        </w:rPr>
        <w:t>поведінка</w:t>
      </w:r>
      <w:r>
        <w:rPr>
          <w:color w:val="231F20"/>
          <w:spacing w:val="-6"/>
        </w:rPr>
        <w:t xml:space="preserve"> </w:t>
      </w:r>
      <w:r>
        <w:rPr>
          <w:color w:val="231F20"/>
        </w:rPr>
        <w:t>в</w:t>
      </w:r>
      <w:r>
        <w:rPr>
          <w:color w:val="231F20"/>
          <w:spacing w:val="-6"/>
        </w:rPr>
        <w:t xml:space="preserve"> </w:t>
      </w:r>
      <w:r>
        <w:rPr>
          <w:color w:val="231F20"/>
          <w:spacing w:val="-3"/>
        </w:rPr>
        <w:t xml:space="preserve">трудовому </w:t>
      </w:r>
      <w:r>
        <w:rPr>
          <w:color w:val="231F20"/>
        </w:rPr>
        <w:t xml:space="preserve">колективі і в побуті, ставлення до сім’ї, колег по роботі, навчання тощо. </w:t>
      </w:r>
      <w:r>
        <w:rPr>
          <w:color w:val="231F20"/>
          <w:spacing w:val="-7"/>
        </w:rPr>
        <w:t xml:space="preserve">Усі </w:t>
      </w:r>
      <w:r>
        <w:rPr>
          <w:color w:val="231F20"/>
        </w:rPr>
        <w:t>ці обставини мають бути встановлені органом (посадовою особою),</w:t>
      </w:r>
      <w:r>
        <w:rPr>
          <w:color w:val="231F20"/>
          <w:spacing w:val="-6"/>
        </w:rPr>
        <w:t xml:space="preserve"> </w:t>
      </w:r>
      <w:r>
        <w:rPr>
          <w:color w:val="231F20"/>
        </w:rPr>
        <w:t>який</w:t>
      </w:r>
      <w:r>
        <w:rPr>
          <w:color w:val="231F20"/>
          <w:spacing w:val="-5"/>
        </w:rPr>
        <w:t xml:space="preserve"> </w:t>
      </w:r>
      <w:r>
        <w:rPr>
          <w:color w:val="231F20"/>
          <w:spacing w:val="-2"/>
        </w:rPr>
        <w:t>розглядає</w:t>
      </w:r>
      <w:r>
        <w:rPr>
          <w:color w:val="231F20"/>
          <w:spacing w:val="-5"/>
        </w:rPr>
        <w:t xml:space="preserve"> </w:t>
      </w:r>
      <w:r>
        <w:rPr>
          <w:color w:val="231F20"/>
          <w:spacing w:val="-3"/>
        </w:rPr>
        <w:t>справу,</w:t>
      </w:r>
      <w:r>
        <w:rPr>
          <w:color w:val="231F20"/>
          <w:spacing w:val="-5"/>
        </w:rPr>
        <w:t xml:space="preserve"> </w:t>
      </w:r>
      <w:r>
        <w:rPr>
          <w:color w:val="231F20"/>
        </w:rPr>
        <w:t>щоб</w:t>
      </w:r>
      <w:r>
        <w:rPr>
          <w:color w:val="231F20"/>
          <w:spacing w:val="-5"/>
        </w:rPr>
        <w:t xml:space="preserve"> </w:t>
      </w:r>
      <w:r>
        <w:rPr>
          <w:color w:val="231F20"/>
        </w:rPr>
        <w:t>мати</w:t>
      </w:r>
      <w:r>
        <w:rPr>
          <w:color w:val="231F20"/>
          <w:spacing w:val="-5"/>
        </w:rPr>
        <w:t xml:space="preserve"> </w:t>
      </w:r>
      <w:r>
        <w:rPr>
          <w:color w:val="231F20"/>
        </w:rPr>
        <w:t>повне</w:t>
      </w:r>
      <w:r>
        <w:rPr>
          <w:color w:val="231F20"/>
          <w:spacing w:val="-6"/>
        </w:rPr>
        <w:t xml:space="preserve"> </w:t>
      </w:r>
      <w:r>
        <w:rPr>
          <w:color w:val="231F20"/>
        </w:rPr>
        <w:t>уявлення</w:t>
      </w:r>
      <w:r>
        <w:rPr>
          <w:color w:val="231F20"/>
          <w:spacing w:val="-6"/>
        </w:rPr>
        <w:t xml:space="preserve"> </w:t>
      </w:r>
      <w:r>
        <w:rPr>
          <w:color w:val="231F20"/>
        </w:rPr>
        <w:t>про</w:t>
      </w:r>
      <w:r>
        <w:rPr>
          <w:color w:val="231F20"/>
          <w:spacing w:val="-5"/>
        </w:rPr>
        <w:t xml:space="preserve"> </w:t>
      </w:r>
      <w:r>
        <w:rPr>
          <w:color w:val="231F20"/>
        </w:rPr>
        <w:t>особу порушника.</w:t>
      </w:r>
    </w:p>
    <w:p w14:paraId="38E993F5" w14:textId="77777777" w:rsidR="00DE575E" w:rsidRDefault="002E7560">
      <w:pPr>
        <w:pStyle w:val="BodyText"/>
        <w:spacing w:before="3" w:line="252" w:lineRule="auto"/>
        <w:ind w:left="533" w:right="126" w:firstLine="283"/>
        <w:jc w:val="both"/>
      </w:pPr>
      <w:r>
        <w:rPr>
          <w:color w:val="231F20"/>
        </w:rPr>
        <w:t xml:space="preserve">Важливою умовою та основою індивідуалізації адміністратив- ного стягнення є врахування обставин справи, які пом’якшують  або обтяжують відповідальність. Ці обставини врегульовано в стат- тях 34, 35 </w:t>
      </w:r>
      <w:r>
        <w:rPr>
          <w:color w:val="231F20"/>
          <w:spacing w:val="-3"/>
        </w:rPr>
        <w:t xml:space="preserve">КУпАП. </w:t>
      </w:r>
      <w:r>
        <w:rPr>
          <w:color w:val="231F20"/>
          <w:spacing w:val="-4"/>
        </w:rPr>
        <w:t xml:space="preserve">Так, </w:t>
      </w:r>
      <w:r>
        <w:rPr>
          <w:color w:val="231F20"/>
        </w:rPr>
        <w:t xml:space="preserve">до </w:t>
      </w:r>
      <w:r>
        <w:rPr>
          <w:b/>
          <w:i/>
          <w:color w:val="231F20"/>
        </w:rPr>
        <w:t>обставин, що пом’якшують відповідаль- ність</w:t>
      </w:r>
      <w:r>
        <w:rPr>
          <w:b/>
          <w:i/>
          <w:color w:val="231F20"/>
        </w:rPr>
        <w:t xml:space="preserve"> за адміністративне правопорушення, </w:t>
      </w:r>
      <w:r>
        <w:rPr>
          <w:color w:val="231F20"/>
        </w:rPr>
        <w:t>належать: щире розкаяння винного; відвернення винним шкідливих наслідків проступку, добровільне відшкодування збитків або усунення запо- діяної шкоди; вчинення правопорушення під впливом сильного душевного хвилювання або</w:t>
      </w:r>
      <w:r>
        <w:rPr>
          <w:color w:val="231F20"/>
        </w:rPr>
        <w:t xml:space="preserve"> за збігу тяжких особистих чи сімейних обставин; вчинення правопорушення неповнолітнім; учинення правопорушення</w:t>
      </w:r>
      <w:r>
        <w:rPr>
          <w:color w:val="231F20"/>
          <w:spacing w:val="-12"/>
        </w:rPr>
        <w:t xml:space="preserve"> </w:t>
      </w:r>
      <w:r>
        <w:rPr>
          <w:color w:val="231F20"/>
        </w:rPr>
        <w:t>вагітною</w:t>
      </w:r>
      <w:r>
        <w:rPr>
          <w:color w:val="231F20"/>
          <w:spacing w:val="-12"/>
        </w:rPr>
        <w:t xml:space="preserve"> </w:t>
      </w:r>
      <w:r>
        <w:rPr>
          <w:color w:val="231F20"/>
        </w:rPr>
        <w:t>жінкою</w:t>
      </w:r>
      <w:r>
        <w:rPr>
          <w:color w:val="231F20"/>
          <w:spacing w:val="-12"/>
        </w:rPr>
        <w:t xml:space="preserve"> </w:t>
      </w:r>
      <w:r>
        <w:rPr>
          <w:color w:val="231F20"/>
        </w:rPr>
        <w:t>або</w:t>
      </w:r>
      <w:r>
        <w:rPr>
          <w:color w:val="231F20"/>
          <w:spacing w:val="-12"/>
        </w:rPr>
        <w:t xml:space="preserve"> </w:t>
      </w:r>
      <w:r>
        <w:rPr>
          <w:color w:val="231F20"/>
        </w:rPr>
        <w:t>жінкою,</w:t>
      </w:r>
      <w:r>
        <w:rPr>
          <w:color w:val="231F20"/>
          <w:spacing w:val="-11"/>
        </w:rPr>
        <w:t xml:space="preserve"> </w:t>
      </w:r>
      <w:r>
        <w:rPr>
          <w:color w:val="231F20"/>
        </w:rPr>
        <w:t>яка</w:t>
      </w:r>
      <w:r>
        <w:rPr>
          <w:color w:val="231F20"/>
          <w:spacing w:val="-11"/>
        </w:rPr>
        <w:t xml:space="preserve"> </w:t>
      </w:r>
      <w:r>
        <w:rPr>
          <w:color w:val="231F20"/>
        </w:rPr>
        <w:t>має</w:t>
      </w:r>
      <w:r>
        <w:rPr>
          <w:color w:val="231F20"/>
          <w:spacing w:val="-11"/>
        </w:rPr>
        <w:t xml:space="preserve"> </w:t>
      </w:r>
      <w:r>
        <w:rPr>
          <w:color w:val="231F20"/>
        </w:rPr>
        <w:t>дитину</w:t>
      </w:r>
      <w:r>
        <w:rPr>
          <w:color w:val="231F20"/>
          <w:spacing w:val="-12"/>
        </w:rPr>
        <w:t xml:space="preserve"> </w:t>
      </w:r>
      <w:r>
        <w:rPr>
          <w:color w:val="231F20"/>
        </w:rPr>
        <w:t>віком до одного</w:t>
      </w:r>
      <w:r>
        <w:rPr>
          <w:color w:val="231F20"/>
          <w:spacing w:val="-3"/>
        </w:rPr>
        <w:t xml:space="preserve"> </w:t>
      </w:r>
      <w:r>
        <w:rPr>
          <w:color w:val="231F20"/>
          <w:spacing w:val="-5"/>
        </w:rPr>
        <w:t>року.</w:t>
      </w:r>
    </w:p>
    <w:p w14:paraId="73DDF8E4" w14:textId="77777777" w:rsidR="00DE575E" w:rsidRDefault="002E7560">
      <w:pPr>
        <w:pStyle w:val="BodyText"/>
        <w:spacing w:before="6" w:line="252" w:lineRule="auto"/>
        <w:ind w:left="533" w:right="126" w:firstLine="283"/>
        <w:jc w:val="both"/>
      </w:pPr>
      <w:r>
        <w:rPr>
          <w:color w:val="231F20"/>
        </w:rPr>
        <w:t>Закон не встановлює вичерпного переліку обставин, що пом’як- шують</w:t>
      </w:r>
      <w:r>
        <w:rPr>
          <w:color w:val="231F20"/>
          <w:spacing w:val="-9"/>
        </w:rPr>
        <w:t xml:space="preserve"> </w:t>
      </w:r>
      <w:r>
        <w:rPr>
          <w:color w:val="231F20"/>
        </w:rPr>
        <w:t>відповідальність.</w:t>
      </w:r>
      <w:r>
        <w:rPr>
          <w:color w:val="231F20"/>
          <w:spacing w:val="-9"/>
        </w:rPr>
        <w:t xml:space="preserve"> </w:t>
      </w:r>
      <w:r>
        <w:rPr>
          <w:color w:val="231F20"/>
        </w:rPr>
        <w:t>Органу</w:t>
      </w:r>
      <w:r>
        <w:rPr>
          <w:color w:val="231F20"/>
          <w:spacing w:val="-9"/>
        </w:rPr>
        <w:t xml:space="preserve"> </w:t>
      </w:r>
      <w:r>
        <w:rPr>
          <w:color w:val="231F20"/>
        </w:rPr>
        <w:t>адміністративної</w:t>
      </w:r>
      <w:r>
        <w:rPr>
          <w:color w:val="231F20"/>
          <w:spacing w:val="-9"/>
        </w:rPr>
        <w:t xml:space="preserve"> </w:t>
      </w:r>
      <w:r>
        <w:rPr>
          <w:color w:val="231F20"/>
        </w:rPr>
        <w:t>юрисдикції</w:t>
      </w:r>
      <w:r>
        <w:rPr>
          <w:color w:val="231F20"/>
          <w:spacing w:val="-9"/>
        </w:rPr>
        <w:t xml:space="preserve"> </w:t>
      </w:r>
      <w:r>
        <w:rPr>
          <w:color w:val="231F20"/>
        </w:rPr>
        <w:t>(поса- довій</w:t>
      </w:r>
      <w:r>
        <w:rPr>
          <w:color w:val="231F20"/>
          <w:spacing w:val="-15"/>
        </w:rPr>
        <w:t xml:space="preserve"> </w:t>
      </w:r>
      <w:r>
        <w:rPr>
          <w:color w:val="231F20"/>
        </w:rPr>
        <w:t>особі)</w:t>
      </w:r>
      <w:r>
        <w:rPr>
          <w:color w:val="231F20"/>
          <w:spacing w:val="-15"/>
        </w:rPr>
        <w:t xml:space="preserve"> </w:t>
      </w:r>
      <w:r>
        <w:rPr>
          <w:color w:val="231F20"/>
        </w:rPr>
        <w:t>надається</w:t>
      </w:r>
      <w:r>
        <w:rPr>
          <w:color w:val="231F20"/>
          <w:spacing w:val="-15"/>
        </w:rPr>
        <w:t xml:space="preserve"> </w:t>
      </w:r>
      <w:r>
        <w:rPr>
          <w:color w:val="231F20"/>
        </w:rPr>
        <w:t>право</w:t>
      </w:r>
      <w:r>
        <w:rPr>
          <w:color w:val="231F20"/>
          <w:spacing w:val="-15"/>
        </w:rPr>
        <w:t xml:space="preserve"> </w:t>
      </w:r>
      <w:r>
        <w:rPr>
          <w:color w:val="231F20"/>
        </w:rPr>
        <w:t>визнати</w:t>
      </w:r>
      <w:r>
        <w:rPr>
          <w:color w:val="231F20"/>
          <w:spacing w:val="-15"/>
        </w:rPr>
        <w:t xml:space="preserve"> </w:t>
      </w:r>
      <w:r>
        <w:rPr>
          <w:color w:val="231F20"/>
        </w:rPr>
        <w:t>пом’якшувальними</w:t>
      </w:r>
      <w:r>
        <w:rPr>
          <w:color w:val="231F20"/>
          <w:spacing w:val="-15"/>
        </w:rPr>
        <w:t xml:space="preserve"> </w:t>
      </w:r>
      <w:r>
        <w:rPr>
          <w:color w:val="231F20"/>
        </w:rPr>
        <w:t>обставини, які не зазначені в законодавстві. Теоретично до таких обставин можуть бути віднесені: позитивна характеристика з місця роботи, прож</w:t>
      </w:r>
      <w:r>
        <w:rPr>
          <w:color w:val="231F20"/>
        </w:rPr>
        <w:t>ивання, похилий вік особи, заслуги перед державою, активна участь у громадському житті</w:t>
      </w:r>
      <w:r>
        <w:rPr>
          <w:color w:val="231F20"/>
          <w:spacing w:val="-4"/>
        </w:rPr>
        <w:t xml:space="preserve"> </w:t>
      </w:r>
      <w:r>
        <w:rPr>
          <w:color w:val="231F20"/>
        </w:rPr>
        <w:t>тощо.</w:t>
      </w:r>
    </w:p>
    <w:p w14:paraId="25A22955" w14:textId="77777777" w:rsidR="00DE575E" w:rsidRDefault="002E7560">
      <w:pPr>
        <w:pStyle w:val="BodyText"/>
        <w:spacing w:before="3" w:line="252" w:lineRule="auto"/>
        <w:ind w:left="533" w:right="127" w:firstLine="283"/>
        <w:jc w:val="both"/>
      </w:pPr>
      <w:r>
        <w:rPr>
          <w:color w:val="231F20"/>
        </w:rPr>
        <w:t xml:space="preserve">З іншого </w:t>
      </w:r>
      <w:r>
        <w:rPr>
          <w:color w:val="231F20"/>
          <w:spacing w:val="-5"/>
        </w:rPr>
        <w:t xml:space="preserve">боку, </w:t>
      </w:r>
      <w:r>
        <w:rPr>
          <w:color w:val="231F20"/>
        </w:rPr>
        <w:t xml:space="preserve">законодавство передбачає вичерпний перелік обставин, що обтяжують відповідальність. Урахування інших обтя- жувальних обставин, не передбачених </w:t>
      </w:r>
      <w:r>
        <w:rPr>
          <w:color w:val="231F20"/>
          <w:spacing w:val="-6"/>
        </w:rPr>
        <w:t xml:space="preserve">ст. </w:t>
      </w:r>
      <w:r>
        <w:rPr>
          <w:color w:val="231F20"/>
        </w:rPr>
        <w:t>3</w:t>
      </w:r>
      <w:r>
        <w:rPr>
          <w:color w:val="231F20"/>
        </w:rPr>
        <w:t xml:space="preserve">5 </w:t>
      </w:r>
      <w:r>
        <w:rPr>
          <w:color w:val="231F20"/>
          <w:spacing w:val="-3"/>
        </w:rPr>
        <w:t xml:space="preserve">КУпАП,  </w:t>
      </w:r>
      <w:r>
        <w:rPr>
          <w:color w:val="231F20"/>
        </w:rPr>
        <w:t>є неможливим  і впливає на законність прийнятого</w:t>
      </w:r>
      <w:r>
        <w:rPr>
          <w:color w:val="231F20"/>
          <w:spacing w:val="-3"/>
        </w:rPr>
        <w:t xml:space="preserve"> </w:t>
      </w:r>
      <w:r>
        <w:rPr>
          <w:color w:val="231F20"/>
        </w:rPr>
        <w:t>рішення.</w:t>
      </w:r>
    </w:p>
    <w:p w14:paraId="591867F0" w14:textId="77777777" w:rsidR="00DE575E" w:rsidRDefault="002E7560">
      <w:pPr>
        <w:spacing w:before="2" w:line="252" w:lineRule="auto"/>
        <w:ind w:left="533" w:right="128" w:firstLine="283"/>
        <w:jc w:val="both"/>
        <w:rPr>
          <w:b/>
          <w:i/>
          <w:sz w:val="21"/>
        </w:rPr>
      </w:pPr>
      <w:r>
        <w:rPr>
          <w:i/>
          <w:color w:val="231F20"/>
          <w:sz w:val="21"/>
        </w:rPr>
        <w:t>Обставинами, що обтяжують відповідальність за адмініст- ративні правопорушення (ст. 35 КУпАП)</w:t>
      </w:r>
      <w:r>
        <w:rPr>
          <w:b/>
          <w:i/>
          <w:color w:val="231F20"/>
          <w:sz w:val="21"/>
        </w:rPr>
        <w:t xml:space="preserve">, </w:t>
      </w:r>
      <w:r>
        <w:rPr>
          <w:i/>
          <w:color w:val="231F20"/>
          <w:sz w:val="21"/>
        </w:rPr>
        <w:t xml:space="preserve">визнаються: </w:t>
      </w:r>
      <w:r>
        <w:rPr>
          <w:b/>
          <w:i/>
          <w:color w:val="231F20"/>
          <w:sz w:val="21"/>
        </w:rPr>
        <w:t>продов- ження протиправної поведінки, незважаючи на вимогу</w:t>
      </w:r>
    </w:p>
    <w:p w14:paraId="185835A9" w14:textId="77777777" w:rsidR="00DE575E" w:rsidRDefault="00DE575E">
      <w:pPr>
        <w:pStyle w:val="BodyText"/>
        <w:spacing w:before="6"/>
        <w:rPr>
          <w:b/>
          <w:i/>
          <w:sz w:val="12"/>
        </w:rPr>
      </w:pPr>
    </w:p>
    <w:p w14:paraId="0B0F5536" w14:textId="77777777" w:rsidR="00DE575E" w:rsidRDefault="002E7560">
      <w:pPr>
        <w:spacing w:before="92"/>
        <w:ind w:left="533"/>
        <w:rPr>
          <w:rFonts w:ascii="Times New Roman"/>
          <w:sz w:val="20"/>
        </w:rPr>
      </w:pPr>
      <w:r>
        <w:rPr>
          <w:rFonts w:ascii="Times New Roman"/>
          <w:color w:val="231F20"/>
          <w:sz w:val="20"/>
        </w:rPr>
        <w:t>510</w:t>
      </w:r>
    </w:p>
    <w:p w14:paraId="6644B0A9" w14:textId="77777777" w:rsidR="00DE575E" w:rsidRDefault="00DE575E">
      <w:pPr>
        <w:rPr>
          <w:rFonts w:ascii="Times New Roman"/>
          <w:sz w:val="20"/>
        </w:rPr>
        <w:sectPr w:rsidR="00DE575E">
          <w:pgSz w:w="8510" w:h="12760"/>
          <w:pgMar w:top="660" w:right="720" w:bottom="280" w:left="600" w:header="720" w:footer="720" w:gutter="0"/>
          <w:cols w:space="720"/>
        </w:sectPr>
      </w:pPr>
    </w:p>
    <w:p w14:paraId="743A3E80" w14:textId="77777777" w:rsidR="00DE575E" w:rsidRDefault="002E7560">
      <w:pPr>
        <w:spacing w:before="72" w:line="249" w:lineRule="auto"/>
        <w:ind w:left="2587" w:right="392" w:firstLine="105"/>
        <w:rPr>
          <w:rFonts w:ascii="AdonisC" w:hAnsi="AdonisC"/>
          <w:i/>
          <w:sz w:val="18"/>
        </w:rPr>
      </w:pPr>
      <w:r>
        <w:rPr>
          <w:rFonts w:ascii="AdonisC" w:hAnsi="AdonisC"/>
          <w:i/>
          <w:color w:val="231F20"/>
          <w:sz w:val="18"/>
        </w:rPr>
        <w:t>Гла</w:t>
      </w:r>
      <w:r>
        <w:rPr>
          <w:rFonts w:ascii="AdonisC" w:hAnsi="AdonisC"/>
          <w:i/>
          <w:color w:val="231F20"/>
          <w:sz w:val="18"/>
        </w:rPr>
        <w:t>ва ІІ Особливе адміністративне право/ Книга ІІ Розділ 4. Заходи адміністративної відповідальності</w:t>
      </w:r>
    </w:p>
    <w:p w14:paraId="797C9F0B" w14:textId="762F9CC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133F19E" wp14:editId="5F31023C">
                <wp:extent cx="4140200" cy="6350"/>
                <wp:effectExtent l="0" t="0" r="12700" b="6350"/>
                <wp:docPr id="14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2" name="Line 1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B9751D" id="Group_x0020_1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GmFSpfQIAAJgFAAAOAAAA&#10;AAAAAAAAAAAAACwCAABkcnMvZTJvRG9jLnhtbFBLAQItABQABgAIAAAAIQBMp7CQ2QAAAAMBAAAP&#10;AAAAAAAAAAAAAAAAANUEAABkcnMvZG93bnJldi54bWxQSwUGAAAAAAQABADzAAAA2wUAAAAA&#10;">
                <v:line id="Line_x0020_1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DLWcQAAADcAAAADwAAAGRycy9kb3ducmV2LnhtbERP22rCQBB9L/gPyxT6InXjBSnRVUQo&#10;lD54ix8wZsckdHc2ZlcT/fpuQejbHM515svOGnGjxleOFQwHCQji3OmKCwXH7PP9A4QPyBqNY1Jw&#10;Jw/LRe9ljql2Le/pdgiFiCHsU1RQhlCnUvq8JIt+4GriyJ1dYzFE2BRSN9jGcGvkKEmm0mLFsaHE&#10;mtYl5T+Hq1WQXfrB7Lbfps22p7E8XTbjx3Wj1Ntrt5qBCNSFf/HT/aXj/MkI/p6JF8jF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cMtZxAAAANwAAAAPAAAAAAAAAAAA&#10;AAAAAKECAABkcnMvZG93bnJldi54bWxQSwUGAAAAAAQABAD5AAAAkgMAAAAA&#10;" strokecolor="#231f20" strokeweight=".5pt"/>
                <w10:anchorlock/>
              </v:group>
            </w:pict>
          </mc:Fallback>
        </mc:AlternateContent>
      </w:r>
    </w:p>
    <w:p w14:paraId="3CEE7497" w14:textId="77777777" w:rsidR="00DE575E" w:rsidRDefault="00DE575E">
      <w:pPr>
        <w:pStyle w:val="BodyText"/>
        <w:spacing w:before="7"/>
        <w:rPr>
          <w:rFonts w:ascii="AdonisC"/>
          <w:i/>
          <w:sz w:val="19"/>
        </w:rPr>
      </w:pPr>
    </w:p>
    <w:p w14:paraId="22FB879E" w14:textId="77777777" w:rsidR="00DE575E" w:rsidRDefault="002E7560">
      <w:pPr>
        <w:pStyle w:val="Heading6"/>
        <w:spacing w:line="252" w:lineRule="auto"/>
        <w:ind w:left="250" w:right="411" w:firstLine="0"/>
        <w:jc w:val="both"/>
      </w:pPr>
      <w:r>
        <w:rPr>
          <w:color w:val="231F20"/>
        </w:rPr>
        <w:t xml:space="preserve">уповноважених на те осіб припинити її; повторне упродовж </w:t>
      </w:r>
      <w:r>
        <w:rPr>
          <w:color w:val="231F20"/>
        </w:rPr>
        <w:t xml:space="preserve">року вчинення однорідного правопорушення, за яке особу вже </w:t>
      </w:r>
      <w:r>
        <w:rPr>
          <w:color w:val="231F20"/>
          <w:spacing w:val="-4"/>
        </w:rPr>
        <w:t xml:space="preserve">було </w:t>
      </w:r>
      <w:r>
        <w:rPr>
          <w:color w:val="231F20"/>
        </w:rPr>
        <w:t>піддано адміністративному стягненню; учинення право- порушення</w:t>
      </w:r>
      <w:r>
        <w:rPr>
          <w:color w:val="231F20"/>
          <w:spacing w:val="-7"/>
        </w:rPr>
        <w:t xml:space="preserve"> </w:t>
      </w:r>
      <w:r>
        <w:rPr>
          <w:color w:val="231F20"/>
        </w:rPr>
        <w:t>особою,</w:t>
      </w:r>
      <w:r>
        <w:rPr>
          <w:color w:val="231F20"/>
          <w:spacing w:val="-7"/>
        </w:rPr>
        <w:t xml:space="preserve"> </w:t>
      </w:r>
      <w:r>
        <w:rPr>
          <w:color w:val="231F20"/>
        </w:rPr>
        <w:t>яка</w:t>
      </w:r>
      <w:r>
        <w:rPr>
          <w:color w:val="231F20"/>
          <w:spacing w:val="-7"/>
        </w:rPr>
        <w:t xml:space="preserve"> </w:t>
      </w:r>
      <w:r>
        <w:rPr>
          <w:color w:val="231F20"/>
        </w:rPr>
        <w:t>раніше</w:t>
      </w:r>
      <w:r>
        <w:rPr>
          <w:color w:val="231F20"/>
          <w:spacing w:val="-7"/>
        </w:rPr>
        <w:t xml:space="preserve"> </w:t>
      </w:r>
      <w:r>
        <w:rPr>
          <w:color w:val="231F20"/>
        </w:rPr>
        <w:t>вчинила</w:t>
      </w:r>
      <w:r>
        <w:rPr>
          <w:color w:val="231F20"/>
          <w:spacing w:val="-7"/>
        </w:rPr>
        <w:t xml:space="preserve"> </w:t>
      </w:r>
      <w:r>
        <w:rPr>
          <w:color w:val="231F20"/>
        </w:rPr>
        <w:t>злочин;</w:t>
      </w:r>
      <w:r>
        <w:rPr>
          <w:color w:val="231F20"/>
          <w:spacing w:val="-7"/>
        </w:rPr>
        <w:t xml:space="preserve"> </w:t>
      </w:r>
      <w:r>
        <w:rPr>
          <w:color w:val="231F20"/>
        </w:rPr>
        <w:t>втягнення</w:t>
      </w:r>
      <w:r>
        <w:rPr>
          <w:color w:val="231F20"/>
          <w:spacing w:val="-7"/>
        </w:rPr>
        <w:t xml:space="preserve"> </w:t>
      </w:r>
      <w:r>
        <w:rPr>
          <w:color w:val="231F20"/>
        </w:rPr>
        <w:t>непо- внолітнього в правопорушення; учинення правопорушення групою</w:t>
      </w:r>
      <w:r>
        <w:rPr>
          <w:color w:val="231F20"/>
          <w:spacing w:val="-12"/>
        </w:rPr>
        <w:t xml:space="preserve"> </w:t>
      </w:r>
      <w:r>
        <w:rPr>
          <w:color w:val="231F20"/>
        </w:rPr>
        <w:t>осіб;</w:t>
      </w:r>
      <w:r>
        <w:rPr>
          <w:color w:val="231F20"/>
          <w:spacing w:val="-12"/>
        </w:rPr>
        <w:t xml:space="preserve"> </w:t>
      </w:r>
      <w:r>
        <w:rPr>
          <w:color w:val="231F20"/>
        </w:rPr>
        <w:t>учинення</w:t>
      </w:r>
      <w:r>
        <w:rPr>
          <w:color w:val="231F20"/>
          <w:spacing w:val="-12"/>
        </w:rPr>
        <w:t xml:space="preserve"> </w:t>
      </w:r>
      <w:r>
        <w:rPr>
          <w:color w:val="231F20"/>
        </w:rPr>
        <w:t>правопорушення</w:t>
      </w:r>
      <w:r>
        <w:rPr>
          <w:color w:val="231F20"/>
          <w:spacing w:val="-12"/>
        </w:rPr>
        <w:t xml:space="preserve"> </w:t>
      </w:r>
      <w:r>
        <w:rPr>
          <w:color w:val="231F20"/>
        </w:rPr>
        <w:t>в</w:t>
      </w:r>
      <w:r>
        <w:rPr>
          <w:color w:val="231F20"/>
          <w:spacing w:val="-12"/>
        </w:rPr>
        <w:t xml:space="preserve"> </w:t>
      </w:r>
      <w:r>
        <w:rPr>
          <w:color w:val="231F20"/>
        </w:rPr>
        <w:t>умовах</w:t>
      </w:r>
      <w:r>
        <w:rPr>
          <w:color w:val="231F20"/>
          <w:spacing w:val="-13"/>
        </w:rPr>
        <w:t xml:space="preserve"> </w:t>
      </w:r>
      <w:r>
        <w:rPr>
          <w:color w:val="231F20"/>
        </w:rPr>
        <w:t>стихійного</w:t>
      </w:r>
      <w:r>
        <w:rPr>
          <w:color w:val="231F20"/>
          <w:spacing w:val="-12"/>
        </w:rPr>
        <w:t xml:space="preserve"> </w:t>
      </w:r>
      <w:r>
        <w:rPr>
          <w:color w:val="231F20"/>
        </w:rPr>
        <w:t>лиха або</w:t>
      </w:r>
      <w:r>
        <w:rPr>
          <w:color w:val="231F20"/>
          <w:spacing w:val="-10"/>
        </w:rPr>
        <w:t xml:space="preserve"> </w:t>
      </w:r>
      <w:r>
        <w:rPr>
          <w:color w:val="231F20"/>
        </w:rPr>
        <w:t>за</w:t>
      </w:r>
      <w:r>
        <w:rPr>
          <w:color w:val="231F20"/>
          <w:spacing w:val="-10"/>
        </w:rPr>
        <w:t xml:space="preserve"> </w:t>
      </w:r>
      <w:r>
        <w:rPr>
          <w:color w:val="231F20"/>
        </w:rPr>
        <w:t>інших</w:t>
      </w:r>
      <w:r>
        <w:rPr>
          <w:color w:val="231F20"/>
          <w:spacing w:val="-10"/>
        </w:rPr>
        <w:t xml:space="preserve"> </w:t>
      </w:r>
      <w:r>
        <w:rPr>
          <w:color w:val="231F20"/>
        </w:rPr>
        <w:t>надзвичайних</w:t>
      </w:r>
      <w:r>
        <w:rPr>
          <w:color w:val="231F20"/>
          <w:spacing w:val="-10"/>
        </w:rPr>
        <w:t xml:space="preserve"> </w:t>
      </w:r>
      <w:r>
        <w:rPr>
          <w:color w:val="231F20"/>
        </w:rPr>
        <w:t>обставин;</w:t>
      </w:r>
      <w:r>
        <w:rPr>
          <w:color w:val="231F20"/>
          <w:spacing w:val="-9"/>
        </w:rPr>
        <w:t xml:space="preserve"> </w:t>
      </w:r>
      <w:r>
        <w:rPr>
          <w:color w:val="231F20"/>
        </w:rPr>
        <w:t>учинення</w:t>
      </w:r>
      <w:r>
        <w:rPr>
          <w:color w:val="231F20"/>
          <w:spacing w:val="-10"/>
        </w:rPr>
        <w:t xml:space="preserve"> </w:t>
      </w:r>
      <w:r>
        <w:rPr>
          <w:color w:val="231F20"/>
        </w:rPr>
        <w:t>правопорушення в стані сп’яніння. Орган (посадова особа), який накладає стяг- нення, залежно від характеру адміністративного правопору- шення може не визнати цю обставину</w:t>
      </w:r>
      <w:r>
        <w:rPr>
          <w:color w:val="231F20"/>
          <w:spacing w:val="-17"/>
        </w:rPr>
        <w:t xml:space="preserve"> </w:t>
      </w:r>
      <w:r>
        <w:rPr>
          <w:color w:val="231F20"/>
        </w:rPr>
        <w:t>обтяжувальною.</w:t>
      </w:r>
    </w:p>
    <w:p w14:paraId="268E8C2C" w14:textId="77777777" w:rsidR="00DE575E" w:rsidRDefault="002E7560">
      <w:pPr>
        <w:pStyle w:val="BodyText"/>
        <w:spacing w:before="5" w:line="252" w:lineRule="auto"/>
        <w:ind w:left="250" w:right="412" w:firstLine="283"/>
        <w:jc w:val="both"/>
      </w:pPr>
      <w:r>
        <w:rPr>
          <w:color w:val="231F20"/>
        </w:rPr>
        <w:t>При вчиненні однією особою двох або більше адміністративних правопорушень адміністративне стягнення накладається за кожне правопорушення окремо (ч. 1 ст. 36 КУпАП).</w:t>
      </w:r>
    </w:p>
    <w:p w14:paraId="45A42A4F" w14:textId="77777777" w:rsidR="00DE575E" w:rsidRDefault="002E7560">
      <w:pPr>
        <w:pStyle w:val="BodyText"/>
        <w:spacing w:before="1" w:line="252" w:lineRule="auto"/>
        <w:ind w:left="250" w:right="409" w:firstLine="283"/>
        <w:jc w:val="both"/>
      </w:pPr>
      <w:r>
        <w:rPr>
          <w:color w:val="231F20"/>
        </w:rPr>
        <w:t>Якщо особа вчинила кілька адміністративних правопорушень, справи про які одночасно розгляда</w:t>
      </w:r>
      <w:r>
        <w:rPr>
          <w:color w:val="231F20"/>
        </w:rPr>
        <w:t>ються одним і тим самим орга- ном (посадовою особою), стягнення накладається в межах санкції, встановленої за більш серйозне правопорушення з числа вчинених. До основного стягнення в цьому разі може бути приєднане одне з додаткових стягнень, передбачених с</w:t>
      </w:r>
      <w:r>
        <w:rPr>
          <w:color w:val="231F20"/>
        </w:rPr>
        <w:t>таттями про відповідальність за будь-яке з вчинених правопорушень.</w:t>
      </w:r>
    </w:p>
    <w:p w14:paraId="45F7E6A0" w14:textId="77777777" w:rsidR="00DE575E" w:rsidRDefault="002E7560">
      <w:pPr>
        <w:pStyle w:val="BodyText"/>
        <w:spacing w:before="4" w:line="252" w:lineRule="auto"/>
        <w:ind w:left="250" w:right="410" w:firstLine="283"/>
        <w:jc w:val="both"/>
      </w:pPr>
      <w:r>
        <w:rPr>
          <w:color w:val="231F20"/>
        </w:rPr>
        <w:t>Адміністративне стягнення може бути накладено не пізніш як через два місяці з дня вчинення правопорушення, а при тривалому правопорушенні</w:t>
      </w:r>
      <w:r>
        <w:rPr>
          <w:color w:val="231F20"/>
          <w:spacing w:val="-17"/>
        </w:rPr>
        <w:t xml:space="preserve"> </w:t>
      </w:r>
      <w:r>
        <w:rPr>
          <w:color w:val="231F20"/>
        </w:rPr>
        <w:t>–</w:t>
      </w:r>
      <w:r>
        <w:rPr>
          <w:color w:val="231F20"/>
          <w:spacing w:val="-17"/>
        </w:rPr>
        <w:t xml:space="preserve"> </w:t>
      </w:r>
      <w:r>
        <w:rPr>
          <w:color w:val="231F20"/>
        </w:rPr>
        <w:t>не</w:t>
      </w:r>
      <w:r>
        <w:rPr>
          <w:color w:val="231F20"/>
          <w:spacing w:val="-17"/>
        </w:rPr>
        <w:t xml:space="preserve"> </w:t>
      </w:r>
      <w:r>
        <w:rPr>
          <w:color w:val="231F20"/>
        </w:rPr>
        <w:t>пізніш</w:t>
      </w:r>
      <w:r>
        <w:rPr>
          <w:color w:val="231F20"/>
          <w:spacing w:val="-17"/>
        </w:rPr>
        <w:t xml:space="preserve"> </w:t>
      </w:r>
      <w:r>
        <w:rPr>
          <w:color w:val="231F20"/>
        </w:rPr>
        <w:t>як</w:t>
      </w:r>
      <w:r>
        <w:rPr>
          <w:color w:val="231F20"/>
          <w:spacing w:val="-17"/>
        </w:rPr>
        <w:t xml:space="preserve"> </w:t>
      </w:r>
      <w:r>
        <w:rPr>
          <w:color w:val="231F20"/>
        </w:rPr>
        <w:t>через</w:t>
      </w:r>
      <w:r>
        <w:rPr>
          <w:color w:val="231F20"/>
          <w:spacing w:val="-17"/>
        </w:rPr>
        <w:t xml:space="preserve"> </w:t>
      </w:r>
      <w:r>
        <w:rPr>
          <w:color w:val="231F20"/>
        </w:rPr>
        <w:t>два</w:t>
      </w:r>
      <w:r>
        <w:rPr>
          <w:color w:val="231F20"/>
          <w:spacing w:val="-17"/>
        </w:rPr>
        <w:t xml:space="preserve"> </w:t>
      </w:r>
      <w:r>
        <w:rPr>
          <w:color w:val="231F20"/>
        </w:rPr>
        <w:t>місяці</w:t>
      </w:r>
      <w:r>
        <w:rPr>
          <w:color w:val="231F20"/>
          <w:spacing w:val="-17"/>
        </w:rPr>
        <w:t xml:space="preserve"> </w:t>
      </w:r>
      <w:r>
        <w:rPr>
          <w:color w:val="231F20"/>
        </w:rPr>
        <w:t>з</w:t>
      </w:r>
      <w:r>
        <w:rPr>
          <w:color w:val="231F20"/>
          <w:spacing w:val="-17"/>
        </w:rPr>
        <w:t xml:space="preserve"> </w:t>
      </w:r>
      <w:r>
        <w:rPr>
          <w:color w:val="231F20"/>
        </w:rPr>
        <w:t>дня</w:t>
      </w:r>
      <w:r>
        <w:rPr>
          <w:color w:val="231F20"/>
          <w:spacing w:val="-17"/>
        </w:rPr>
        <w:t xml:space="preserve"> </w:t>
      </w:r>
      <w:r>
        <w:rPr>
          <w:color w:val="231F20"/>
        </w:rPr>
        <w:t>його</w:t>
      </w:r>
      <w:r>
        <w:rPr>
          <w:color w:val="231F20"/>
          <w:spacing w:val="-17"/>
        </w:rPr>
        <w:t xml:space="preserve"> </w:t>
      </w:r>
      <w:r>
        <w:rPr>
          <w:color w:val="231F20"/>
        </w:rPr>
        <w:t>виявленн</w:t>
      </w:r>
      <w:r>
        <w:rPr>
          <w:color w:val="231F20"/>
        </w:rPr>
        <w:t xml:space="preserve">я, за винятком випадків, коли справи про адміністративні правопору- шення відповідно до </w:t>
      </w:r>
      <w:r>
        <w:rPr>
          <w:color w:val="231F20"/>
          <w:spacing w:val="-3"/>
        </w:rPr>
        <w:t xml:space="preserve">Кодексу </w:t>
      </w:r>
      <w:r>
        <w:rPr>
          <w:color w:val="231F20"/>
        </w:rPr>
        <w:t xml:space="preserve">підвідомчі </w:t>
      </w:r>
      <w:r>
        <w:rPr>
          <w:color w:val="231F20"/>
          <w:spacing w:val="-4"/>
        </w:rPr>
        <w:t>суду</w:t>
      </w:r>
      <w:r>
        <w:rPr>
          <w:color w:val="231F20"/>
        </w:rPr>
        <w:t xml:space="preserve"> </w:t>
      </w:r>
      <w:r>
        <w:rPr>
          <w:color w:val="231F20"/>
          <w:spacing w:val="-3"/>
        </w:rPr>
        <w:t>(судді).</w:t>
      </w:r>
    </w:p>
    <w:p w14:paraId="52575E5E" w14:textId="77777777" w:rsidR="00DE575E" w:rsidRDefault="002E7560">
      <w:pPr>
        <w:pStyle w:val="BodyText"/>
        <w:spacing w:before="2" w:line="252" w:lineRule="auto"/>
        <w:ind w:left="250" w:right="410" w:firstLine="283"/>
        <w:jc w:val="both"/>
      </w:pPr>
      <w:r>
        <w:rPr>
          <w:color w:val="231F20"/>
        </w:rPr>
        <w:t>Якщо</w:t>
      </w:r>
      <w:r>
        <w:rPr>
          <w:color w:val="231F20"/>
          <w:spacing w:val="-9"/>
        </w:rPr>
        <w:t xml:space="preserve"> </w:t>
      </w:r>
      <w:r>
        <w:rPr>
          <w:color w:val="231F20"/>
        </w:rPr>
        <w:t>справи</w:t>
      </w:r>
      <w:r>
        <w:rPr>
          <w:color w:val="231F20"/>
          <w:spacing w:val="-9"/>
        </w:rPr>
        <w:t xml:space="preserve"> </w:t>
      </w:r>
      <w:r>
        <w:rPr>
          <w:color w:val="231F20"/>
        </w:rPr>
        <w:t>про</w:t>
      </w:r>
      <w:r>
        <w:rPr>
          <w:color w:val="231F20"/>
          <w:spacing w:val="-9"/>
        </w:rPr>
        <w:t xml:space="preserve"> </w:t>
      </w:r>
      <w:r>
        <w:rPr>
          <w:color w:val="231F20"/>
        </w:rPr>
        <w:t>адміністративні</w:t>
      </w:r>
      <w:r>
        <w:rPr>
          <w:color w:val="231F20"/>
          <w:spacing w:val="-9"/>
        </w:rPr>
        <w:t xml:space="preserve"> </w:t>
      </w:r>
      <w:r>
        <w:rPr>
          <w:color w:val="231F20"/>
        </w:rPr>
        <w:t>правопорушення</w:t>
      </w:r>
      <w:r>
        <w:rPr>
          <w:color w:val="231F20"/>
          <w:spacing w:val="-9"/>
        </w:rPr>
        <w:t xml:space="preserve"> </w:t>
      </w:r>
      <w:r>
        <w:rPr>
          <w:color w:val="231F20"/>
        </w:rPr>
        <w:t>відповідно</w:t>
      </w:r>
      <w:r>
        <w:rPr>
          <w:color w:val="231F20"/>
          <w:spacing w:val="-9"/>
        </w:rPr>
        <w:t xml:space="preserve"> </w:t>
      </w:r>
      <w:r>
        <w:rPr>
          <w:color w:val="231F20"/>
        </w:rPr>
        <w:t xml:space="preserve">до цього </w:t>
      </w:r>
      <w:r>
        <w:rPr>
          <w:color w:val="231F20"/>
          <w:spacing w:val="-3"/>
        </w:rPr>
        <w:t xml:space="preserve">Кодексу </w:t>
      </w:r>
      <w:r>
        <w:rPr>
          <w:color w:val="231F20"/>
        </w:rPr>
        <w:t xml:space="preserve">чи інших законів підвідомчі </w:t>
      </w:r>
      <w:r>
        <w:rPr>
          <w:color w:val="231F20"/>
          <w:spacing w:val="-4"/>
        </w:rPr>
        <w:t xml:space="preserve">суду </w:t>
      </w:r>
      <w:r>
        <w:rPr>
          <w:color w:val="231F20"/>
        </w:rPr>
        <w:t>(судді), стягнення може бут</w:t>
      </w:r>
      <w:r>
        <w:rPr>
          <w:color w:val="231F20"/>
        </w:rPr>
        <w:t>и накладено не пізніш як через три місяці з дня вчинення правопорушення, а при тривалому правопорушенні – не пізніш як через три місяці з дня його виявлення, крім справ про адміністра- тивні правопорушення, зазначені в частині третій статті 38</w:t>
      </w:r>
      <w:r>
        <w:rPr>
          <w:color w:val="231F20"/>
          <w:spacing w:val="-19"/>
        </w:rPr>
        <w:t xml:space="preserve"> </w:t>
      </w:r>
      <w:r>
        <w:rPr>
          <w:color w:val="231F20"/>
          <w:spacing w:val="-3"/>
        </w:rPr>
        <w:t>КУпАП.</w:t>
      </w:r>
    </w:p>
    <w:p w14:paraId="7CCC189B" w14:textId="77777777" w:rsidR="00DE575E" w:rsidRDefault="002E7560">
      <w:pPr>
        <w:pStyle w:val="Heading6"/>
        <w:spacing w:before="3" w:line="252" w:lineRule="auto"/>
        <w:ind w:left="250" w:right="410"/>
        <w:jc w:val="both"/>
        <w:rPr>
          <w:b w:val="0"/>
        </w:rPr>
      </w:pPr>
      <w:r>
        <w:rPr>
          <w:color w:val="231F20"/>
        </w:rPr>
        <w:t>Накла</w:t>
      </w:r>
      <w:r>
        <w:rPr>
          <w:color w:val="231F20"/>
        </w:rPr>
        <w:t xml:space="preserve">дення адміністративного стягнення зумовлює для </w:t>
      </w:r>
      <w:r>
        <w:rPr>
          <w:color w:val="231F20"/>
        </w:rPr>
        <w:t>порушника певні несприятливі юридичні наслідки</w:t>
      </w:r>
      <w:r>
        <w:rPr>
          <w:b w:val="0"/>
          <w:color w:val="231F20"/>
        </w:rPr>
        <w:t>:</w:t>
      </w:r>
    </w:p>
    <w:p w14:paraId="3CD8F80E" w14:textId="77777777" w:rsidR="00DE575E" w:rsidRDefault="002E7560">
      <w:pPr>
        <w:pStyle w:val="ListParagraph"/>
        <w:numPr>
          <w:ilvl w:val="0"/>
          <w:numId w:val="13"/>
        </w:numPr>
        <w:tabs>
          <w:tab w:val="left" w:pos="818"/>
        </w:tabs>
        <w:spacing w:line="252" w:lineRule="auto"/>
        <w:ind w:right="411" w:firstLine="283"/>
        <w:rPr>
          <w:sz w:val="21"/>
        </w:rPr>
      </w:pPr>
      <w:r>
        <w:rPr>
          <w:color w:val="231F20"/>
          <w:sz w:val="21"/>
        </w:rPr>
        <w:t xml:space="preserve">по-перше, повторне, упродовж року вчинення однорідного правопорушення, за яке особу вже </w:t>
      </w:r>
      <w:r>
        <w:rPr>
          <w:color w:val="231F20"/>
          <w:spacing w:val="-3"/>
          <w:sz w:val="21"/>
        </w:rPr>
        <w:t xml:space="preserve">було </w:t>
      </w:r>
      <w:r>
        <w:rPr>
          <w:color w:val="231F20"/>
          <w:sz w:val="21"/>
        </w:rPr>
        <w:t>піддано адміністративному стягненню, визнається обтяжувальною обставиною, про що згаду- валось</w:t>
      </w:r>
      <w:r>
        <w:rPr>
          <w:color w:val="231F20"/>
          <w:spacing w:val="-1"/>
          <w:sz w:val="21"/>
        </w:rPr>
        <w:t xml:space="preserve"> </w:t>
      </w:r>
      <w:r>
        <w:rPr>
          <w:color w:val="231F20"/>
          <w:sz w:val="21"/>
        </w:rPr>
        <w:t>вище;</w:t>
      </w:r>
    </w:p>
    <w:p w14:paraId="6AB113C4" w14:textId="77777777" w:rsidR="00DE575E" w:rsidRDefault="002E7560">
      <w:pPr>
        <w:pStyle w:val="ListParagraph"/>
        <w:numPr>
          <w:ilvl w:val="0"/>
          <w:numId w:val="13"/>
        </w:numPr>
        <w:tabs>
          <w:tab w:val="left" w:pos="818"/>
        </w:tabs>
        <w:spacing w:before="2" w:line="252" w:lineRule="auto"/>
        <w:ind w:right="411" w:firstLine="283"/>
        <w:rPr>
          <w:sz w:val="21"/>
        </w:rPr>
      </w:pPr>
      <w:r>
        <w:rPr>
          <w:color w:val="231F20"/>
          <w:sz w:val="21"/>
        </w:rPr>
        <w:t>по-друге,</w:t>
      </w:r>
      <w:r>
        <w:rPr>
          <w:color w:val="231F20"/>
          <w:spacing w:val="-19"/>
          <w:sz w:val="21"/>
        </w:rPr>
        <w:t xml:space="preserve"> </w:t>
      </w:r>
      <w:r>
        <w:rPr>
          <w:color w:val="231F20"/>
          <w:sz w:val="21"/>
        </w:rPr>
        <w:t>законодавство</w:t>
      </w:r>
      <w:r>
        <w:rPr>
          <w:color w:val="231F20"/>
          <w:spacing w:val="-19"/>
          <w:sz w:val="21"/>
        </w:rPr>
        <w:t xml:space="preserve"> </w:t>
      </w:r>
      <w:r>
        <w:rPr>
          <w:color w:val="231F20"/>
          <w:sz w:val="21"/>
        </w:rPr>
        <w:t>про</w:t>
      </w:r>
      <w:r>
        <w:rPr>
          <w:color w:val="231F20"/>
          <w:spacing w:val="-19"/>
          <w:sz w:val="21"/>
        </w:rPr>
        <w:t xml:space="preserve"> </w:t>
      </w:r>
      <w:r>
        <w:rPr>
          <w:color w:val="231F20"/>
          <w:sz w:val="21"/>
        </w:rPr>
        <w:t>адміністративні</w:t>
      </w:r>
      <w:r>
        <w:rPr>
          <w:color w:val="231F20"/>
          <w:spacing w:val="-19"/>
          <w:sz w:val="21"/>
        </w:rPr>
        <w:t xml:space="preserve"> </w:t>
      </w:r>
      <w:r>
        <w:rPr>
          <w:color w:val="231F20"/>
          <w:sz w:val="21"/>
        </w:rPr>
        <w:t xml:space="preserve">правопорушення досить часто </w:t>
      </w:r>
      <w:r>
        <w:rPr>
          <w:color w:val="231F20"/>
          <w:spacing w:val="-2"/>
          <w:sz w:val="21"/>
        </w:rPr>
        <w:t xml:space="preserve">розглядає </w:t>
      </w:r>
      <w:r>
        <w:rPr>
          <w:color w:val="231F20"/>
          <w:sz w:val="21"/>
        </w:rPr>
        <w:t>повторність як кваліфікуючу</w:t>
      </w:r>
      <w:r>
        <w:rPr>
          <w:color w:val="231F20"/>
          <w:spacing w:val="40"/>
          <w:sz w:val="21"/>
        </w:rPr>
        <w:t xml:space="preserve"> </w:t>
      </w:r>
      <w:r>
        <w:rPr>
          <w:color w:val="231F20"/>
          <w:sz w:val="21"/>
        </w:rPr>
        <w:t>обставину.</w:t>
      </w:r>
    </w:p>
    <w:p w14:paraId="26502883" w14:textId="77777777" w:rsidR="00DE575E" w:rsidRDefault="00DE575E">
      <w:pPr>
        <w:pStyle w:val="BodyText"/>
        <w:spacing w:before="5"/>
        <w:rPr>
          <w:sz w:val="12"/>
        </w:rPr>
      </w:pPr>
    </w:p>
    <w:p w14:paraId="6C2EE90D" w14:textId="77777777" w:rsidR="00DE575E" w:rsidRDefault="002E7560">
      <w:pPr>
        <w:spacing w:before="92"/>
        <w:ind w:right="418"/>
        <w:jc w:val="right"/>
        <w:rPr>
          <w:rFonts w:ascii="Times New Roman"/>
          <w:sz w:val="20"/>
        </w:rPr>
      </w:pPr>
      <w:r>
        <w:rPr>
          <w:rFonts w:ascii="Times New Roman"/>
          <w:color w:val="231F20"/>
          <w:w w:val="90"/>
          <w:sz w:val="20"/>
        </w:rPr>
        <w:t>511</w:t>
      </w:r>
    </w:p>
    <w:p w14:paraId="5EAF922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086DAE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087B51E" w14:textId="6D26EF4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9A201CC" wp14:editId="517769E9">
                <wp:extent cx="4140200" cy="6350"/>
                <wp:effectExtent l="0" t="0" r="12700" b="6350"/>
                <wp:docPr id="13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0" name="Line 1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2EB2F9" id="Group_x0020_1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Cse2z1gAIAAJgFAAAO&#10;AAAAAAAAAAAAAAAAACwCAABkcnMvZTJvRG9jLnhtbFBLAQItABQABgAIAAAAIQBMp7CQ2QAAAAMB&#10;AAAPAAAAAAAAAAAAAAAAANgEAABkcnMvZG93bnJldi54bWxQSwUGAAAAAAQABADzAAAA3gUAAAAA&#10;">
                <v:line id="Line_x0020_1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7wtccAAADcAAAADwAAAGRycy9kb3ducmV2LnhtbESPQUvDQBCF74L/YRmhF7GbtiISuy1S&#10;EMRDaxN/wDQ7JsHd2TS7bWJ/fecgeJvhvXnvm+V69E6dqY9tYAOzaQaKuAq25drAV/n28AwqJmSL&#10;LjAZ+KUI69XtzRJzGwbe07lItZIQjjkaaFLqcq1j1ZDHOA0dsWjfofeYZO1rbXscJNw7Pc+yJ+2x&#10;ZWlosKNNQ9VPcfIGyuN9cp+7DzeUu8NCH47bxeW0NWZyN76+gEo0pn/z3/W7FfxHwZdnZAK9u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7vC1xwAAANwAAAAPAAAAAAAA&#10;AAAAAAAAAKECAABkcnMvZG93bnJldi54bWxQSwUGAAAAAAQABAD5AAAAlQMAAAAA&#10;" strokecolor="#231f20" strokeweight=".5pt"/>
                <w10:anchorlock/>
              </v:group>
            </w:pict>
          </mc:Fallback>
        </mc:AlternateContent>
      </w:r>
    </w:p>
    <w:p w14:paraId="113C0F67" w14:textId="77777777" w:rsidR="00DE575E" w:rsidRDefault="00DE575E">
      <w:pPr>
        <w:pStyle w:val="BodyText"/>
        <w:spacing w:before="7"/>
        <w:rPr>
          <w:rFonts w:ascii="AdonisC"/>
          <w:i/>
          <w:sz w:val="11"/>
        </w:rPr>
      </w:pPr>
    </w:p>
    <w:p w14:paraId="48278B2E" w14:textId="77777777" w:rsidR="00DE575E" w:rsidRDefault="002E7560">
      <w:pPr>
        <w:pStyle w:val="BodyText"/>
        <w:spacing w:before="101" w:line="252" w:lineRule="auto"/>
        <w:ind w:left="533" w:right="127"/>
        <w:jc w:val="both"/>
      </w:pPr>
      <w:r>
        <w:rPr>
          <w:color w:val="231F20"/>
        </w:rPr>
        <w:t>У зв’язку з цим у ст. 39 КУпАП встановлено строк, після закінчення якого особа вважається такою, що не була піддана адміністратив- ному стягненню.</w:t>
      </w:r>
    </w:p>
    <w:p w14:paraId="3013365C" w14:textId="77777777" w:rsidR="00DE575E" w:rsidRDefault="00DE575E">
      <w:pPr>
        <w:pStyle w:val="BodyText"/>
        <w:rPr>
          <w:sz w:val="24"/>
        </w:rPr>
      </w:pPr>
    </w:p>
    <w:p w14:paraId="6C19284F" w14:textId="77777777" w:rsidR="00DE575E" w:rsidRDefault="00DE575E">
      <w:pPr>
        <w:pStyle w:val="BodyText"/>
        <w:spacing w:before="3"/>
        <w:rPr>
          <w:sz w:val="20"/>
        </w:rPr>
      </w:pPr>
    </w:p>
    <w:p w14:paraId="1C2C4414" w14:textId="77777777" w:rsidR="00DE575E" w:rsidRDefault="002E7560">
      <w:pPr>
        <w:ind w:left="2371"/>
        <w:rPr>
          <w:b/>
          <w:sz w:val="21"/>
        </w:rPr>
      </w:pPr>
      <w:r>
        <w:rPr>
          <w:b/>
          <w:color w:val="231F20"/>
          <w:sz w:val="21"/>
        </w:rPr>
        <w:t>Питання для самоконтролю</w:t>
      </w:r>
    </w:p>
    <w:p w14:paraId="693C83F6" w14:textId="77777777" w:rsidR="00DE575E" w:rsidRDefault="00DE575E">
      <w:pPr>
        <w:pStyle w:val="BodyText"/>
        <w:spacing w:before="2"/>
        <w:rPr>
          <w:b/>
          <w:sz w:val="23"/>
        </w:rPr>
      </w:pPr>
    </w:p>
    <w:p w14:paraId="519F6642" w14:textId="77777777" w:rsidR="00DE575E" w:rsidRDefault="002E7560">
      <w:pPr>
        <w:pStyle w:val="ListParagraph"/>
        <w:numPr>
          <w:ilvl w:val="0"/>
          <w:numId w:val="12"/>
        </w:numPr>
        <w:tabs>
          <w:tab w:val="left" w:pos="1101"/>
        </w:tabs>
        <w:spacing w:before="0"/>
        <w:ind w:firstLine="284"/>
        <w:rPr>
          <w:sz w:val="21"/>
        </w:rPr>
      </w:pPr>
      <w:r>
        <w:rPr>
          <w:color w:val="231F20"/>
          <w:sz w:val="21"/>
        </w:rPr>
        <w:t>Визначте поняття адміністративного</w:t>
      </w:r>
      <w:r>
        <w:rPr>
          <w:color w:val="231F20"/>
          <w:spacing w:val="-3"/>
          <w:sz w:val="21"/>
        </w:rPr>
        <w:t xml:space="preserve"> </w:t>
      </w:r>
      <w:r>
        <w:rPr>
          <w:color w:val="231F20"/>
          <w:sz w:val="21"/>
        </w:rPr>
        <w:t>стягнення.</w:t>
      </w:r>
    </w:p>
    <w:p w14:paraId="6B22CF69" w14:textId="77777777" w:rsidR="00DE575E" w:rsidRDefault="002E7560">
      <w:pPr>
        <w:pStyle w:val="ListParagraph"/>
        <w:numPr>
          <w:ilvl w:val="0"/>
          <w:numId w:val="12"/>
        </w:numPr>
        <w:tabs>
          <w:tab w:val="left" w:pos="1101"/>
        </w:tabs>
        <w:spacing w:before="13"/>
        <w:ind w:firstLine="284"/>
        <w:rPr>
          <w:sz w:val="21"/>
        </w:rPr>
      </w:pPr>
      <w:r>
        <w:rPr>
          <w:color w:val="231F20"/>
          <w:sz w:val="21"/>
        </w:rPr>
        <w:t>Назвіть та розкрийте види адміністративних</w:t>
      </w:r>
      <w:r>
        <w:rPr>
          <w:color w:val="231F20"/>
          <w:spacing w:val="-10"/>
          <w:sz w:val="21"/>
        </w:rPr>
        <w:t xml:space="preserve"> </w:t>
      </w:r>
      <w:r>
        <w:rPr>
          <w:color w:val="231F20"/>
          <w:sz w:val="21"/>
        </w:rPr>
        <w:t>стягнень.</w:t>
      </w:r>
    </w:p>
    <w:p w14:paraId="317BDC64" w14:textId="77777777" w:rsidR="00DE575E" w:rsidRDefault="002E7560">
      <w:pPr>
        <w:pStyle w:val="ListParagraph"/>
        <w:numPr>
          <w:ilvl w:val="0"/>
          <w:numId w:val="12"/>
        </w:numPr>
        <w:tabs>
          <w:tab w:val="left" w:pos="1101"/>
        </w:tabs>
        <w:spacing w:before="13" w:line="252" w:lineRule="auto"/>
        <w:ind w:right="128" w:firstLine="284"/>
        <w:jc w:val="both"/>
        <w:rPr>
          <w:sz w:val="21"/>
        </w:rPr>
      </w:pPr>
      <w:r>
        <w:rPr>
          <w:color w:val="231F20"/>
          <w:sz w:val="21"/>
        </w:rPr>
        <w:t xml:space="preserve">Розкрийте зміст заходів </w:t>
      </w:r>
      <w:r>
        <w:rPr>
          <w:color w:val="231F20"/>
          <w:spacing w:val="-3"/>
          <w:sz w:val="21"/>
        </w:rPr>
        <w:t xml:space="preserve">впливу, </w:t>
      </w:r>
      <w:r>
        <w:rPr>
          <w:color w:val="231F20"/>
          <w:sz w:val="21"/>
        </w:rPr>
        <w:t>що застосовуються до непо- внолітніх осіб за вчинення адміністративних</w:t>
      </w:r>
      <w:r>
        <w:rPr>
          <w:color w:val="231F20"/>
          <w:spacing w:val="-10"/>
          <w:sz w:val="21"/>
        </w:rPr>
        <w:t xml:space="preserve"> </w:t>
      </w:r>
      <w:r>
        <w:rPr>
          <w:color w:val="231F20"/>
          <w:sz w:val="21"/>
        </w:rPr>
        <w:t>правопорушень.</w:t>
      </w:r>
    </w:p>
    <w:p w14:paraId="77C2BBDF" w14:textId="77777777" w:rsidR="00DE575E" w:rsidRDefault="002E7560">
      <w:pPr>
        <w:pStyle w:val="ListParagraph"/>
        <w:numPr>
          <w:ilvl w:val="0"/>
          <w:numId w:val="12"/>
        </w:numPr>
        <w:tabs>
          <w:tab w:val="left" w:pos="1101"/>
        </w:tabs>
        <w:spacing w:line="252" w:lineRule="auto"/>
        <w:ind w:right="128" w:firstLine="284"/>
        <w:jc w:val="both"/>
        <w:rPr>
          <w:sz w:val="21"/>
        </w:rPr>
      </w:pPr>
      <w:r>
        <w:rPr>
          <w:color w:val="231F20"/>
          <w:sz w:val="21"/>
        </w:rPr>
        <w:t>Розкрийте п</w:t>
      </w:r>
      <w:r>
        <w:rPr>
          <w:color w:val="231F20"/>
          <w:sz w:val="21"/>
        </w:rPr>
        <w:t xml:space="preserve">оняття та види </w:t>
      </w:r>
      <w:r>
        <w:rPr>
          <w:color w:val="231F20"/>
          <w:spacing w:val="-4"/>
          <w:sz w:val="21"/>
        </w:rPr>
        <w:t xml:space="preserve">об’єкту </w:t>
      </w:r>
      <w:r>
        <w:rPr>
          <w:color w:val="231F20"/>
          <w:sz w:val="21"/>
        </w:rPr>
        <w:t>адміністративного проступку.</w:t>
      </w:r>
    </w:p>
    <w:p w14:paraId="04AE4829" w14:textId="77777777" w:rsidR="00DE575E" w:rsidRDefault="002E7560">
      <w:pPr>
        <w:pStyle w:val="ListParagraph"/>
        <w:numPr>
          <w:ilvl w:val="0"/>
          <w:numId w:val="12"/>
        </w:numPr>
        <w:tabs>
          <w:tab w:val="left" w:pos="1101"/>
        </w:tabs>
        <w:spacing w:line="252" w:lineRule="auto"/>
        <w:ind w:right="128" w:firstLine="284"/>
        <w:jc w:val="both"/>
        <w:rPr>
          <w:sz w:val="21"/>
        </w:rPr>
      </w:pPr>
      <w:r>
        <w:rPr>
          <w:color w:val="231F20"/>
          <w:spacing w:val="-3"/>
          <w:sz w:val="21"/>
        </w:rPr>
        <w:t xml:space="preserve">Розгляньте </w:t>
      </w:r>
      <w:r>
        <w:rPr>
          <w:color w:val="231F20"/>
          <w:sz w:val="21"/>
        </w:rPr>
        <w:t>правила накладення адміністративного стяг- нення.</w:t>
      </w:r>
    </w:p>
    <w:p w14:paraId="2D1300F9" w14:textId="77777777" w:rsidR="00DE575E" w:rsidRDefault="00DE575E">
      <w:pPr>
        <w:pStyle w:val="BodyText"/>
        <w:spacing w:before="2"/>
        <w:rPr>
          <w:sz w:val="22"/>
        </w:rPr>
      </w:pPr>
    </w:p>
    <w:p w14:paraId="4D190D26" w14:textId="77777777" w:rsidR="00DE575E" w:rsidRDefault="002E7560">
      <w:pPr>
        <w:pStyle w:val="Heading5"/>
        <w:ind w:left="1778"/>
      </w:pPr>
      <w:r>
        <w:rPr>
          <w:color w:val="231F20"/>
        </w:rPr>
        <w:t>Література для поглибленого вивчення</w:t>
      </w:r>
    </w:p>
    <w:p w14:paraId="551A4997" w14:textId="77777777" w:rsidR="00DE575E" w:rsidRDefault="00DE575E">
      <w:pPr>
        <w:pStyle w:val="BodyText"/>
        <w:spacing w:before="2"/>
        <w:rPr>
          <w:b/>
          <w:sz w:val="23"/>
        </w:rPr>
      </w:pPr>
    </w:p>
    <w:p w14:paraId="6C85F713" w14:textId="77777777" w:rsidR="00DE575E" w:rsidRDefault="002E7560">
      <w:pPr>
        <w:pStyle w:val="ListParagraph"/>
        <w:numPr>
          <w:ilvl w:val="0"/>
          <w:numId w:val="11"/>
        </w:numPr>
        <w:tabs>
          <w:tab w:val="left" w:pos="1101"/>
        </w:tabs>
        <w:spacing w:before="0" w:line="252" w:lineRule="auto"/>
        <w:ind w:right="128" w:firstLine="284"/>
        <w:jc w:val="both"/>
        <w:rPr>
          <w:sz w:val="21"/>
        </w:rPr>
      </w:pPr>
      <w:r>
        <w:rPr>
          <w:color w:val="231F20"/>
          <w:sz w:val="21"/>
        </w:rPr>
        <w:t xml:space="preserve">Колпаков В.К. Деліктний феномен в адміністративному праві </w:t>
      </w:r>
      <w:r>
        <w:rPr>
          <w:color w:val="231F20"/>
          <w:spacing w:val="-3"/>
          <w:sz w:val="21"/>
        </w:rPr>
        <w:t>України:</w:t>
      </w:r>
      <w:r>
        <w:rPr>
          <w:color w:val="231F20"/>
          <w:spacing w:val="-8"/>
          <w:sz w:val="21"/>
        </w:rPr>
        <w:t xml:space="preserve"> </w:t>
      </w:r>
      <w:r>
        <w:rPr>
          <w:color w:val="231F20"/>
          <w:sz w:val="21"/>
        </w:rPr>
        <w:t>дис…</w:t>
      </w:r>
      <w:r>
        <w:rPr>
          <w:color w:val="231F20"/>
          <w:spacing w:val="-8"/>
          <w:sz w:val="21"/>
        </w:rPr>
        <w:t xml:space="preserve"> </w:t>
      </w:r>
      <w:r>
        <w:rPr>
          <w:color w:val="231F20"/>
          <w:spacing w:val="-4"/>
          <w:sz w:val="21"/>
        </w:rPr>
        <w:t>докт.</w:t>
      </w:r>
      <w:r>
        <w:rPr>
          <w:color w:val="231F20"/>
          <w:spacing w:val="-8"/>
          <w:sz w:val="21"/>
        </w:rPr>
        <w:t xml:space="preserve"> </w:t>
      </w:r>
      <w:r>
        <w:rPr>
          <w:color w:val="231F20"/>
          <w:sz w:val="21"/>
        </w:rPr>
        <w:t>юрид.</w:t>
      </w:r>
      <w:r>
        <w:rPr>
          <w:color w:val="231F20"/>
          <w:spacing w:val="-8"/>
          <w:sz w:val="21"/>
        </w:rPr>
        <w:t xml:space="preserve"> </w:t>
      </w:r>
      <w:r>
        <w:rPr>
          <w:color w:val="231F20"/>
          <w:sz w:val="21"/>
        </w:rPr>
        <w:t>наук:</w:t>
      </w:r>
      <w:r>
        <w:rPr>
          <w:color w:val="231F20"/>
          <w:spacing w:val="-8"/>
          <w:sz w:val="21"/>
        </w:rPr>
        <w:t xml:space="preserve"> </w:t>
      </w:r>
      <w:r>
        <w:rPr>
          <w:color w:val="231F20"/>
          <w:sz w:val="21"/>
        </w:rPr>
        <w:t>12.00.07</w:t>
      </w:r>
      <w:r>
        <w:rPr>
          <w:color w:val="231F20"/>
          <w:spacing w:val="-7"/>
          <w:sz w:val="21"/>
        </w:rPr>
        <w:t xml:space="preserve"> </w:t>
      </w:r>
      <w:r>
        <w:rPr>
          <w:color w:val="231F20"/>
          <w:sz w:val="21"/>
        </w:rPr>
        <w:t>–</w:t>
      </w:r>
      <w:r>
        <w:rPr>
          <w:color w:val="231F20"/>
          <w:spacing w:val="-8"/>
          <w:sz w:val="21"/>
        </w:rPr>
        <w:t xml:space="preserve"> </w:t>
      </w:r>
      <w:r>
        <w:rPr>
          <w:color w:val="231F20"/>
          <w:sz w:val="21"/>
        </w:rPr>
        <w:t>теорія</w:t>
      </w:r>
      <w:r>
        <w:rPr>
          <w:color w:val="231F20"/>
          <w:spacing w:val="-8"/>
          <w:sz w:val="21"/>
        </w:rPr>
        <w:t xml:space="preserve"> </w:t>
      </w:r>
      <w:r>
        <w:rPr>
          <w:color w:val="231F20"/>
          <w:sz w:val="21"/>
        </w:rPr>
        <w:t>управління;</w:t>
      </w:r>
      <w:r>
        <w:rPr>
          <w:color w:val="231F20"/>
          <w:spacing w:val="-8"/>
          <w:sz w:val="21"/>
        </w:rPr>
        <w:t xml:space="preserve"> </w:t>
      </w:r>
      <w:r>
        <w:rPr>
          <w:color w:val="231F20"/>
          <w:sz w:val="21"/>
        </w:rPr>
        <w:t>адміні- стративне право і процес; фінансове право; інформаційне право, К. : Національна академія внутрішніх прав, 2005. 454</w:t>
      </w:r>
      <w:r>
        <w:rPr>
          <w:color w:val="231F20"/>
          <w:spacing w:val="-5"/>
          <w:sz w:val="21"/>
        </w:rPr>
        <w:t xml:space="preserve"> </w:t>
      </w:r>
      <w:r>
        <w:rPr>
          <w:color w:val="231F20"/>
          <w:sz w:val="21"/>
        </w:rPr>
        <w:t>с.</w:t>
      </w:r>
    </w:p>
    <w:p w14:paraId="6A649035" w14:textId="77777777" w:rsidR="00DE575E" w:rsidRDefault="002E7560">
      <w:pPr>
        <w:pStyle w:val="ListParagraph"/>
        <w:numPr>
          <w:ilvl w:val="0"/>
          <w:numId w:val="11"/>
        </w:numPr>
        <w:tabs>
          <w:tab w:val="left" w:pos="1101"/>
        </w:tabs>
        <w:spacing w:before="2" w:line="252" w:lineRule="auto"/>
        <w:ind w:right="128" w:firstLine="284"/>
        <w:jc w:val="both"/>
        <w:rPr>
          <w:sz w:val="21"/>
        </w:rPr>
      </w:pPr>
      <w:r>
        <w:rPr>
          <w:color w:val="231F20"/>
          <w:spacing w:val="-3"/>
          <w:sz w:val="21"/>
        </w:rPr>
        <w:t xml:space="preserve">Кодекс  України  </w:t>
      </w:r>
      <w:r>
        <w:rPr>
          <w:color w:val="231F20"/>
          <w:sz w:val="21"/>
        </w:rPr>
        <w:t xml:space="preserve">про   адміністративні   правопорушення   від 7 </w:t>
      </w:r>
      <w:r>
        <w:rPr>
          <w:color w:val="231F20"/>
          <w:spacing w:val="-3"/>
          <w:sz w:val="21"/>
        </w:rPr>
        <w:t xml:space="preserve">грудня </w:t>
      </w:r>
      <w:r>
        <w:rPr>
          <w:color w:val="231F20"/>
          <w:sz w:val="21"/>
        </w:rPr>
        <w:t xml:space="preserve">1984 року № 8073-X. </w:t>
      </w:r>
      <w:r>
        <w:rPr>
          <w:i/>
          <w:color w:val="231F20"/>
          <w:sz w:val="21"/>
        </w:rPr>
        <w:t>Відомості Верховної Ради Української РСР 1984</w:t>
      </w:r>
      <w:r>
        <w:rPr>
          <w:color w:val="231F20"/>
          <w:sz w:val="21"/>
        </w:rPr>
        <w:t>, додаток до № 51.</w:t>
      </w:r>
      <w:r>
        <w:rPr>
          <w:color w:val="231F20"/>
          <w:spacing w:val="-8"/>
          <w:sz w:val="21"/>
        </w:rPr>
        <w:t xml:space="preserve"> </w:t>
      </w:r>
      <w:r>
        <w:rPr>
          <w:color w:val="231F20"/>
          <w:spacing w:val="-3"/>
          <w:sz w:val="21"/>
        </w:rPr>
        <w:t>Ст.1122.</w:t>
      </w:r>
    </w:p>
    <w:p w14:paraId="2EFD2848" w14:textId="77777777" w:rsidR="00DE575E" w:rsidRDefault="002E7560">
      <w:pPr>
        <w:pStyle w:val="ListParagraph"/>
        <w:numPr>
          <w:ilvl w:val="0"/>
          <w:numId w:val="11"/>
        </w:numPr>
        <w:tabs>
          <w:tab w:val="left" w:pos="1101"/>
        </w:tabs>
        <w:spacing w:before="2" w:line="252" w:lineRule="auto"/>
        <w:ind w:right="127" w:firstLine="284"/>
        <w:jc w:val="both"/>
        <w:rPr>
          <w:sz w:val="21"/>
        </w:rPr>
      </w:pPr>
      <w:r>
        <w:rPr>
          <w:color w:val="231F20"/>
          <w:sz w:val="21"/>
        </w:rPr>
        <w:t>Кузьменко</w:t>
      </w:r>
      <w:r>
        <w:rPr>
          <w:color w:val="231F20"/>
          <w:spacing w:val="-11"/>
          <w:sz w:val="21"/>
        </w:rPr>
        <w:t xml:space="preserve"> </w:t>
      </w:r>
      <w:r>
        <w:rPr>
          <w:color w:val="231F20"/>
          <w:spacing w:val="-3"/>
          <w:sz w:val="21"/>
        </w:rPr>
        <w:t>О.В.</w:t>
      </w:r>
      <w:r>
        <w:rPr>
          <w:color w:val="231F20"/>
          <w:spacing w:val="-12"/>
          <w:sz w:val="21"/>
        </w:rPr>
        <w:t xml:space="preserve"> </w:t>
      </w:r>
      <w:r>
        <w:rPr>
          <w:color w:val="231F20"/>
          <w:sz w:val="21"/>
        </w:rPr>
        <w:t>Курс</w:t>
      </w:r>
      <w:r>
        <w:rPr>
          <w:color w:val="231F20"/>
          <w:spacing w:val="-12"/>
          <w:sz w:val="21"/>
        </w:rPr>
        <w:t xml:space="preserve"> </w:t>
      </w:r>
      <w:r>
        <w:rPr>
          <w:color w:val="231F20"/>
          <w:sz w:val="21"/>
        </w:rPr>
        <w:t>адміністративного</w:t>
      </w:r>
      <w:r>
        <w:rPr>
          <w:color w:val="231F20"/>
          <w:spacing w:val="-12"/>
          <w:sz w:val="21"/>
        </w:rPr>
        <w:t xml:space="preserve"> </w:t>
      </w:r>
      <w:r>
        <w:rPr>
          <w:color w:val="231F20"/>
          <w:sz w:val="21"/>
        </w:rPr>
        <w:t>права</w:t>
      </w:r>
      <w:r>
        <w:rPr>
          <w:color w:val="231F20"/>
          <w:spacing w:val="-12"/>
          <w:sz w:val="21"/>
        </w:rPr>
        <w:t xml:space="preserve"> </w:t>
      </w:r>
      <w:r>
        <w:rPr>
          <w:color w:val="231F20"/>
          <w:spacing w:val="-3"/>
          <w:sz w:val="21"/>
        </w:rPr>
        <w:t>України</w:t>
      </w:r>
      <w:r>
        <w:rPr>
          <w:color w:val="231F20"/>
          <w:spacing w:val="-12"/>
          <w:sz w:val="21"/>
        </w:rPr>
        <w:t xml:space="preserve"> </w:t>
      </w:r>
      <w:r>
        <w:rPr>
          <w:color w:val="231F20"/>
          <w:sz w:val="21"/>
        </w:rPr>
        <w:t>:</w:t>
      </w:r>
      <w:r>
        <w:rPr>
          <w:color w:val="231F20"/>
          <w:spacing w:val="-12"/>
          <w:sz w:val="21"/>
        </w:rPr>
        <w:t xml:space="preserve"> </w:t>
      </w:r>
      <w:r>
        <w:rPr>
          <w:color w:val="231F20"/>
          <w:sz w:val="21"/>
        </w:rPr>
        <w:t xml:space="preserve">підруч- ник / за </w:t>
      </w:r>
      <w:r>
        <w:rPr>
          <w:color w:val="231F20"/>
          <w:spacing w:val="-5"/>
          <w:sz w:val="21"/>
        </w:rPr>
        <w:t xml:space="preserve">заг. </w:t>
      </w:r>
      <w:r>
        <w:rPr>
          <w:color w:val="231F20"/>
          <w:sz w:val="21"/>
        </w:rPr>
        <w:t xml:space="preserve">ред. Колпакова В.К., Кузьменко </w:t>
      </w:r>
      <w:r>
        <w:rPr>
          <w:color w:val="231F20"/>
          <w:spacing w:val="-3"/>
          <w:sz w:val="21"/>
        </w:rPr>
        <w:t xml:space="preserve">О.В., </w:t>
      </w:r>
      <w:r>
        <w:rPr>
          <w:color w:val="231F20"/>
          <w:sz w:val="21"/>
        </w:rPr>
        <w:t>Пастуха І.Д. К. : Юринком Інтер, 2013. 912</w:t>
      </w:r>
      <w:r>
        <w:rPr>
          <w:color w:val="231F20"/>
          <w:spacing w:val="-1"/>
          <w:sz w:val="21"/>
        </w:rPr>
        <w:t xml:space="preserve"> </w:t>
      </w:r>
      <w:r>
        <w:rPr>
          <w:color w:val="231F20"/>
          <w:sz w:val="21"/>
        </w:rPr>
        <w:t>с.</w:t>
      </w:r>
    </w:p>
    <w:p w14:paraId="40FF22A1" w14:textId="77777777" w:rsidR="00DE575E" w:rsidRDefault="002E7560">
      <w:pPr>
        <w:pStyle w:val="ListParagraph"/>
        <w:numPr>
          <w:ilvl w:val="0"/>
          <w:numId w:val="11"/>
        </w:numPr>
        <w:tabs>
          <w:tab w:val="left" w:pos="1101"/>
        </w:tabs>
        <w:ind w:firstLine="284"/>
        <w:rPr>
          <w:sz w:val="21"/>
        </w:rPr>
      </w:pPr>
      <w:r>
        <w:rPr>
          <w:color w:val="231F20"/>
          <w:sz w:val="21"/>
        </w:rPr>
        <w:t>Про</w:t>
      </w:r>
      <w:r>
        <w:rPr>
          <w:color w:val="231F20"/>
          <w:spacing w:val="-14"/>
          <w:sz w:val="21"/>
        </w:rPr>
        <w:t xml:space="preserve"> </w:t>
      </w:r>
      <w:r>
        <w:rPr>
          <w:color w:val="231F20"/>
          <w:sz w:val="21"/>
        </w:rPr>
        <w:t>Національну</w:t>
      </w:r>
      <w:r>
        <w:rPr>
          <w:color w:val="231F20"/>
          <w:spacing w:val="-14"/>
          <w:sz w:val="21"/>
        </w:rPr>
        <w:t xml:space="preserve"> </w:t>
      </w:r>
      <w:r>
        <w:rPr>
          <w:color w:val="231F20"/>
          <w:sz w:val="21"/>
        </w:rPr>
        <w:t>поліцію</w:t>
      </w:r>
      <w:r>
        <w:rPr>
          <w:color w:val="231F20"/>
          <w:spacing w:val="-14"/>
          <w:sz w:val="21"/>
        </w:rPr>
        <w:t xml:space="preserve"> </w:t>
      </w:r>
      <w:r>
        <w:rPr>
          <w:color w:val="231F20"/>
          <w:sz w:val="21"/>
        </w:rPr>
        <w:t>:</w:t>
      </w:r>
      <w:r>
        <w:rPr>
          <w:color w:val="231F20"/>
          <w:spacing w:val="-14"/>
          <w:sz w:val="21"/>
        </w:rPr>
        <w:t xml:space="preserve"> </w:t>
      </w:r>
      <w:r>
        <w:rPr>
          <w:color w:val="231F20"/>
          <w:sz w:val="21"/>
        </w:rPr>
        <w:t>Закон</w:t>
      </w:r>
      <w:r>
        <w:rPr>
          <w:color w:val="231F20"/>
          <w:spacing w:val="-14"/>
          <w:sz w:val="21"/>
        </w:rPr>
        <w:t xml:space="preserve"> </w:t>
      </w:r>
      <w:r>
        <w:rPr>
          <w:color w:val="231F20"/>
          <w:spacing w:val="-3"/>
          <w:sz w:val="21"/>
        </w:rPr>
        <w:t>України</w:t>
      </w:r>
      <w:r>
        <w:rPr>
          <w:color w:val="231F20"/>
          <w:spacing w:val="-14"/>
          <w:sz w:val="21"/>
        </w:rPr>
        <w:t xml:space="preserve"> </w:t>
      </w:r>
      <w:r>
        <w:rPr>
          <w:color w:val="231F20"/>
          <w:sz w:val="21"/>
        </w:rPr>
        <w:t>від</w:t>
      </w:r>
      <w:r>
        <w:rPr>
          <w:color w:val="231F20"/>
          <w:spacing w:val="-14"/>
          <w:sz w:val="21"/>
        </w:rPr>
        <w:t xml:space="preserve"> </w:t>
      </w:r>
      <w:r>
        <w:rPr>
          <w:color w:val="231F20"/>
          <w:sz w:val="21"/>
        </w:rPr>
        <w:t>2</w:t>
      </w:r>
      <w:r>
        <w:rPr>
          <w:color w:val="231F20"/>
          <w:spacing w:val="-14"/>
          <w:sz w:val="21"/>
        </w:rPr>
        <w:t xml:space="preserve"> </w:t>
      </w:r>
      <w:r>
        <w:rPr>
          <w:color w:val="231F20"/>
          <w:sz w:val="21"/>
        </w:rPr>
        <w:t>липня</w:t>
      </w:r>
      <w:r>
        <w:rPr>
          <w:color w:val="231F20"/>
          <w:spacing w:val="-14"/>
          <w:sz w:val="21"/>
        </w:rPr>
        <w:t xml:space="preserve"> </w:t>
      </w:r>
      <w:r>
        <w:rPr>
          <w:color w:val="231F20"/>
          <w:sz w:val="21"/>
        </w:rPr>
        <w:t>2015</w:t>
      </w:r>
      <w:r>
        <w:rPr>
          <w:color w:val="231F20"/>
          <w:spacing w:val="-13"/>
          <w:sz w:val="21"/>
        </w:rPr>
        <w:t xml:space="preserve"> </w:t>
      </w:r>
      <w:r>
        <w:rPr>
          <w:color w:val="231F20"/>
          <w:sz w:val="21"/>
        </w:rPr>
        <w:t>року</w:t>
      </w:r>
    </w:p>
    <w:p w14:paraId="16E0577A" w14:textId="77777777" w:rsidR="00DE575E" w:rsidRDefault="002E7560">
      <w:pPr>
        <w:spacing w:before="13"/>
        <w:ind w:left="533"/>
        <w:rPr>
          <w:sz w:val="21"/>
        </w:rPr>
      </w:pPr>
      <w:r>
        <w:rPr>
          <w:color w:val="231F20"/>
          <w:sz w:val="21"/>
        </w:rPr>
        <w:t xml:space="preserve">№ 580-VIII. </w:t>
      </w:r>
      <w:r>
        <w:rPr>
          <w:i/>
          <w:color w:val="231F20"/>
          <w:sz w:val="21"/>
        </w:rPr>
        <w:t>Відомості Верховної Ради</w:t>
      </w:r>
      <w:r>
        <w:rPr>
          <w:color w:val="231F20"/>
          <w:sz w:val="21"/>
        </w:rPr>
        <w:t>. 2015. № 40-41. Ст. 379.</w:t>
      </w:r>
    </w:p>
    <w:p w14:paraId="3788A6C2" w14:textId="77777777" w:rsidR="00DE575E" w:rsidRDefault="002E7560">
      <w:pPr>
        <w:pStyle w:val="ListParagraph"/>
        <w:numPr>
          <w:ilvl w:val="0"/>
          <w:numId w:val="11"/>
        </w:numPr>
        <w:tabs>
          <w:tab w:val="left" w:pos="1101"/>
        </w:tabs>
        <w:spacing w:before="13" w:line="252" w:lineRule="auto"/>
        <w:ind w:right="128" w:firstLine="284"/>
        <w:jc w:val="both"/>
        <w:rPr>
          <w:sz w:val="21"/>
        </w:rPr>
      </w:pPr>
      <w:r>
        <w:rPr>
          <w:color w:val="231F20"/>
          <w:sz w:val="21"/>
        </w:rPr>
        <w:t xml:space="preserve">Адміністративна відповідальність та провадження в справах про адміністративні правопорушення : навч. посіб. / </w:t>
      </w:r>
      <w:r>
        <w:rPr>
          <w:color w:val="231F20"/>
          <w:spacing w:val="-3"/>
          <w:sz w:val="21"/>
        </w:rPr>
        <w:t xml:space="preserve">О.В. </w:t>
      </w:r>
      <w:r>
        <w:rPr>
          <w:color w:val="231F20"/>
          <w:sz w:val="21"/>
        </w:rPr>
        <w:t>Кузьменко, М.В.</w:t>
      </w:r>
      <w:r>
        <w:rPr>
          <w:color w:val="231F20"/>
          <w:spacing w:val="-10"/>
          <w:sz w:val="21"/>
        </w:rPr>
        <w:t xml:space="preserve"> </w:t>
      </w:r>
      <w:r>
        <w:rPr>
          <w:color w:val="231F20"/>
          <w:sz w:val="21"/>
        </w:rPr>
        <w:t>Плугатир,</w:t>
      </w:r>
      <w:r>
        <w:rPr>
          <w:color w:val="231F20"/>
          <w:spacing w:val="-10"/>
          <w:sz w:val="21"/>
        </w:rPr>
        <w:t xml:space="preserve"> </w:t>
      </w:r>
      <w:r>
        <w:rPr>
          <w:color w:val="231F20"/>
          <w:sz w:val="21"/>
        </w:rPr>
        <w:t>І.Д.</w:t>
      </w:r>
      <w:r>
        <w:rPr>
          <w:color w:val="231F20"/>
          <w:spacing w:val="-10"/>
          <w:sz w:val="21"/>
        </w:rPr>
        <w:t xml:space="preserve"> </w:t>
      </w:r>
      <w:r>
        <w:rPr>
          <w:color w:val="231F20"/>
          <w:sz w:val="21"/>
        </w:rPr>
        <w:t>Пастух</w:t>
      </w:r>
      <w:r>
        <w:rPr>
          <w:color w:val="231F20"/>
          <w:spacing w:val="-10"/>
          <w:sz w:val="21"/>
        </w:rPr>
        <w:t xml:space="preserve"> </w:t>
      </w:r>
      <w:r>
        <w:rPr>
          <w:color w:val="231F20"/>
          <w:sz w:val="21"/>
        </w:rPr>
        <w:t>та</w:t>
      </w:r>
      <w:r>
        <w:rPr>
          <w:color w:val="231F20"/>
          <w:spacing w:val="-10"/>
          <w:sz w:val="21"/>
        </w:rPr>
        <w:t xml:space="preserve"> </w:t>
      </w:r>
      <w:r>
        <w:rPr>
          <w:color w:val="231F20"/>
          <w:sz w:val="21"/>
        </w:rPr>
        <w:t>ін.;</w:t>
      </w:r>
      <w:r>
        <w:rPr>
          <w:color w:val="231F20"/>
          <w:spacing w:val="-10"/>
          <w:sz w:val="21"/>
        </w:rPr>
        <w:t xml:space="preserve"> </w:t>
      </w:r>
      <w:r>
        <w:rPr>
          <w:color w:val="231F20"/>
          <w:sz w:val="21"/>
        </w:rPr>
        <w:t>за</w:t>
      </w:r>
      <w:r>
        <w:rPr>
          <w:color w:val="231F20"/>
          <w:spacing w:val="-10"/>
          <w:sz w:val="21"/>
        </w:rPr>
        <w:t xml:space="preserve"> </w:t>
      </w:r>
      <w:r>
        <w:rPr>
          <w:color w:val="231F20"/>
          <w:spacing w:val="-5"/>
          <w:sz w:val="21"/>
        </w:rPr>
        <w:t>заг.</w:t>
      </w:r>
      <w:r>
        <w:rPr>
          <w:color w:val="231F20"/>
          <w:spacing w:val="-10"/>
          <w:sz w:val="21"/>
        </w:rPr>
        <w:t xml:space="preserve"> </w:t>
      </w:r>
      <w:r>
        <w:rPr>
          <w:color w:val="231F20"/>
          <w:sz w:val="21"/>
        </w:rPr>
        <w:t>ред.</w:t>
      </w:r>
      <w:r>
        <w:rPr>
          <w:color w:val="231F20"/>
          <w:spacing w:val="-10"/>
          <w:sz w:val="21"/>
        </w:rPr>
        <w:t xml:space="preserve"> </w:t>
      </w:r>
      <w:r>
        <w:rPr>
          <w:color w:val="231F20"/>
          <w:spacing w:val="-3"/>
          <w:sz w:val="21"/>
        </w:rPr>
        <w:t>О.В.</w:t>
      </w:r>
      <w:r>
        <w:rPr>
          <w:color w:val="231F20"/>
          <w:spacing w:val="-10"/>
          <w:sz w:val="21"/>
        </w:rPr>
        <w:t xml:space="preserve"> </w:t>
      </w:r>
      <w:r>
        <w:rPr>
          <w:color w:val="231F20"/>
          <w:sz w:val="21"/>
        </w:rPr>
        <w:t>Кузьменко.</w:t>
      </w:r>
      <w:r>
        <w:rPr>
          <w:color w:val="231F20"/>
          <w:spacing w:val="-10"/>
          <w:sz w:val="21"/>
        </w:rPr>
        <w:t xml:space="preserve"> </w:t>
      </w:r>
      <w:r>
        <w:rPr>
          <w:color w:val="231F20"/>
          <w:sz w:val="21"/>
        </w:rPr>
        <w:t>К.</w:t>
      </w:r>
      <w:r>
        <w:rPr>
          <w:color w:val="231F20"/>
          <w:spacing w:val="-10"/>
          <w:sz w:val="21"/>
        </w:rPr>
        <w:t xml:space="preserve"> </w:t>
      </w:r>
      <w:r>
        <w:rPr>
          <w:color w:val="231F20"/>
          <w:sz w:val="21"/>
        </w:rPr>
        <w:t>:</w:t>
      </w:r>
      <w:r>
        <w:rPr>
          <w:color w:val="231F20"/>
          <w:spacing w:val="-10"/>
          <w:sz w:val="21"/>
        </w:rPr>
        <w:t xml:space="preserve"> </w:t>
      </w:r>
      <w:r>
        <w:rPr>
          <w:color w:val="231F20"/>
          <w:sz w:val="21"/>
        </w:rPr>
        <w:t>«Центр учбової літератури», 2016. 388</w:t>
      </w:r>
      <w:r>
        <w:rPr>
          <w:color w:val="231F20"/>
          <w:spacing w:val="-3"/>
          <w:sz w:val="21"/>
        </w:rPr>
        <w:t xml:space="preserve"> </w:t>
      </w:r>
      <w:r>
        <w:rPr>
          <w:color w:val="231F20"/>
          <w:sz w:val="21"/>
        </w:rPr>
        <w:t>с.</w:t>
      </w:r>
    </w:p>
    <w:p w14:paraId="1072263D" w14:textId="77777777" w:rsidR="00DE575E" w:rsidRDefault="002E7560">
      <w:pPr>
        <w:pStyle w:val="ListParagraph"/>
        <w:numPr>
          <w:ilvl w:val="0"/>
          <w:numId w:val="11"/>
        </w:numPr>
        <w:tabs>
          <w:tab w:val="left" w:pos="1101"/>
        </w:tabs>
        <w:spacing w:before="2" w:line="252" w:lineRule="auto"/>
        <w:ind w:right="130" w:firstLine="284"/>
        <w:jc w:val="both"/>
        <w:rPr>
          <w:sz w:val="21"/>
        </w:rPr>
      </w:pPr>
      <w:r>
        <w:rPr>
          <w:color w:val="231F20"/>
          <w:sz w:val="21"/>
        </w:rPr>
        <w:t xml:space="preserve">Комзюк </w:t>
      </w:r>
      <w:r>
        <w:rPr>
          <w:color w:val="231F20"/>
          <w:spacing w:val="-9"/>
          <w:sz w:val="21"/>
        </w:rPr>
        <w:t xml:space="preserve">А.Т., </w:t>
      </w:r>
      <w:r>
        <w:rPr>
          <w:color w:val="231F20"/>
          <w:sz w:val="21"/>
        </w:rPr>
        <w:t xml:space="preserve">Бевзенко В.М., Мельник </w:t>
      </w:r>
      <w:r>
        <w:rPr>
          <w:color w:val="231F20"/>
          <w:spacing w:val="-9"/>
          <w:sz w:val="21"/>
        </w:rPr>
        <w:t xml:space="preserve">Р.С. </w:t>
      </w:r>
      <w:r>
        <w:rPr>
          <w:color w:val="231F20"/>
          <w:sz w:val="21"/>
        </w:rPr>
        <w:t xml:space="preserve">Адміністративний процес </w:t>
      </w:r>
      <w:r>
        <w:rPr>
          <w:color w:val="231F20"/>
          <w:spacing w:val="-3"/>
          <w:sz w:val="21"/>
        </w:rPr>
        <w:t xml:space="preserve">України </w:t>
      </w:r>
      <w:r>
        <w:rPr>
          <w:color w:val="231F20"/>
          <w:sz w:val="21"/>
        </w:rPr>
        <w:t xml:space="preserve">: навчальний посібник. Київ: </w:t>
      </w:r>
      <w:r>
        <w:rPr>
          <w:color w:val="231F20"/>
          <w:spacing w:val="-3"/>
          <w:sz w:val="21"/>
        </w:rPr>
        <w:t xml:space="preserve">Прецедент, </w:t>
      </w:r>
      <w:r>
        <w:rPr>
          <w:color w:val="231F20"/>
          <w:sz w:val="21"/>
        </w:rPr>
        <w:t>2007. 531</w:t>
      </w:r>
      <w:r>
        <w:rPr>
          <w:color w:val="231F20"/>
          <w:spacing w:val="13"/>
          <w:sz w:val="21"/>
        </w:rPr>
        <w:t xml:space="preserve"> </w:t>
      </w:r>
      <w:r>
        <w:rPr>
          <w:color w:val="231F20"/>
          <w:sz w:val="21"/>
        </w:rPr>
        <w:t>с.</w:t>
      </w:r>
    </w:p>
    <w:p w14:paraId="0631A9C3" w14:textId="77777777" w:rsidR="00DE575E" w:rsidRDefault="002E7560">
      <w:pPr>
        <w:pStyle w:val="ListParagraph"/>
        <w:numPr>
          <w:ilvl w:val="0"/>
          <w:numId w:val="11"/>
        </w:numPr>
        <w:tabs>
          <w:tab w:val="left" w:pos="1101"/>
        </w:tabs>
        <w:spacing w:line="252" w:lineRule="auto"/>
        <w:ind w:right="128" w:firstLine="284"/>
        <w:jc w:val="both"/>
        <w:rPr>
          <w:sz w:val="21"/>
        </w:rPr>
      </w:pPr>
      <w:r>
        <w:rPr>
          <w:color w:val="231F20"/>
          <w:sz w:val="21"/>
        </w:rPr>
        <w:t xml:space="preserve">Адміністративна відповідальність в </w:t>
      </w:r>
      <w:r>
        <w:rPr>
          <w:color w:val="231F20"/>
          <w:spacing w:val="-3"/>
          <w:sz w:val="21"/>
        </w:rPr>
        <w:t xml:space="preserve">Україні </w:t>
      </w:r>
      <w:r>
        <w:rPr>
          <w:color w:val="231F20"/>
          <w:sz w:val="21"/>
        </w:rPr>
        <w:t xml:space="preserve">: навчальний посібник / за </w:t>
      </w:r>
      <w:r>
        <w:rPr>
          <w:color w:val="231F20"/>
          <w:spacing w:val="-5"/>
          <w:sz w:val="21"/>
        </w:rPr>
        <w:t xml:space="preserve">заг. </w:t>
      </w:r>
      <w:r>
        <w:rPr>
          <w:color w:val="231F20"/>
          <w:sz w:val="21"/>
        </w:rPr>
        <w:t xml:space="preserve">ред. доц. </w:t>
      </w:r>
      <w:r>
        <w:rPr>
          <w:color w:val="231F20"/>
          <w:spacing w:val="-5"/>
          <w:sz w:val="21"/>
        </w:rPr>
        <w:t xml:space="preserve">А.Т.Комзюка. </w:t>
      </w:r>
      <w:r>
        <w:rPr>
          <w:color w:val="231F20"/>
          <w:sz w:val="21"/>
        </w:rPr>
        <w:t xml:space="preserve">2-е вид., перероб. і доп. Харків : </w:t>
      </w:r>
      <w:r>
        <w:rPr>
          <w:color w:val="231F20"/>
          <w:spacing w:val="-4"/>
          <w:sz w:val="21"/>
        </w:rPr>
        <w:t xml:space="preserve">Ун-т </w:t>
      </w:r>
      <w:r>
        <w:rPr>
          <w:color w:val="231F20"/>
          <w:sz w:val="21"/>
        </w:rPr>
        <w:t>внутр. справ, 2000. 99 с.</w:t>
      </w:r>
    </w:p>
    <w:p w14:paraId="3A4A48C6" w14:textId="77777777" w:rsidR="00DE575E" w:rsidRDefault="00DE575E">
      <w:pPr>
        <w:pStyle w:val="BodyText"/>
        <w:spacing w:before="6"/>
        <w:rPr>
          <w:sz w:val="12"/>
        </w:rPr>
      </w:pPr>
    </w:p>
    <w:p w14:paraId="4ED6B0D7" w14:textId="77777777" w:rsidR="00DE575E" w:rsidRDefault="002E7560">
      <w:pPr>
        <w:spacing w:before="91"/>
        <w:ind w:left="533"/>
        <w:rPr>
          <w:rFonts w:ascii="Times New Roman"/>
          <w:sz w:val="20"/>
        </w:rPr>
      </w:pPr>
      <w:r>
        <w:rPr>
          <w:rFonts w:ascii="Times New Roman"/>
          <w:color w:val="231F20"/>
          <w:sz w:val="20"/>
        </w:rPr>
        <w:t>512</w:t>
      </w:r>
    </w:p>
    <w:p w14:paraId="1D4B0AF0" w14:textId="77777777" w:rsidR="00DE575E" w:rsidRDefault="00DE575E">
      <w:pPr>
        <w:rPr>
          <w:rFonts w:ascii="Times New Roman"/>
          <w:sz w:val="20"/>
        </w:rPr>
        <w:sectPr w:rsidR="00DE575E">
          <w:pgSz w:w="8510" w:h="12760"/>
          <w:pgMar w:top="660" w:right="720" w:bottom="280" w:left="600" w:header="720" w:footer="720" w:gutter="0"/>
          <w:cols w:space="720"/>
        </w:sectPr>
      </w:pPr>
    </w:p>
    <w:p w14:paraId="62EF6311" w14:textId="77777777" w:rsidR="00DE575E" w:rsidRDefault="002E7560">
      <w:pPr>
        <w:spacing w:before="72" w:line="249" w:lineRule="auto"/>
        <w:ind w:left="979" w:right="411" w:firstLine="1672"/>
        <w:jc w:val="right"/>
        <w:rPr>
          <w:rFonts w:ascii="AdonisC" w:hAnsi="AdonisC"/>
          <w:i/>
          <w:sz w:val="18"/>
        </w:rPr>
      </w:pPr>
      <w:r>
        <w:rPr>
          <w:rFonts w:ascii="AdonisC" w:hAnsi="AdonisC"/>
          <w:i/>
          <w:color w:val="231F20"/>
          <w:sz w:val="18"/>
        </w:rPr>
        <w:t>Глава ІІ Особливе адміністративне право/ Книга ІІ Розділ 5. Провадження у справах про адміністративні правопорушення</w:t>
      </w:r>
    </w:p>
    <w:p w14:paraId="14B860C4" w14:textId="73510CF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1147A23" wp14:editId="1407338B">
                <wp:extent cx="4140200" cy="6350"/>
                <wp:effectExtent l="0" t="0" r="12700" b="6350"/>
                <wp:docPr id="13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8" name="Line 1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C98FD" id="Group_x0020_1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H3kJgF/AgAAmAUAAA4A&#10;AAAAAAAAAAAAAAAALAIAAGRycy9lMm9Eb2MueG1sUEsBAi0AFAAGAAgAAAAhAEynsJDZAAAAAwEA&#10;AA8AAAAAAAAAAAAAAAAA1wQAAGRycy9kb3ducmV2LnhtbFBLBQYAAAAABAAEAPMAAADdBQAAAAA=&#10;">
                <v:line id="Line_x0020_1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56PzsYAAADcAAAADwAAAGRycy9kb3ducmV2LnhtbESPQUvDQBCF7wX/wzKCl2I3GigSsyki&#10;COKhtY0/YJodk+DubJrdNtFf7xwEbzO8N+99U25m79SFxtgHNnC3ykARN8H23Br4qF9uH0DFhGzR&#10;BSYD3xRhU10tSixsmHhPl0NqlYRwLNBAl9JQaB2bjjzGVRiIRfsMo8ck69hqO+Ik4d7p+yxba489&#10;S0OHAz131Hwdzt5AfVom9757c1O9O+b6eNrmP+etMTfX89MjqERz+jf/Xb9awc+FVp6RCXT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ej87GAAAA3AAAAA8AAAAAAAAA&#10;AAAAAAAAoQIAAGRycy9kb3ducmV2LnhtbFBLBQYAAAAABAAEAPkAAACUAwAAAAA=&#10;" strokecolor="#231f20" strokeweight=".5pt"/>
                <w10:anchorlock/>
              </v:group>
            </w:pict>
          </mc:Fallback>
        </mc:AlternateContent>
      </w:r>
    </w:p>
    <w:p w14:paraId="0064EDAA" w14:textId="77777777" w:rsidR="00DE575E" w:rsidRDefault="00DE575E">
      <w:pPr>
        <w:pStyle w:val="BodyText"/>
        <w:spacing w:before="9"/>
        <w:rPr>
          <w:rFonts w:ascii="AdonisC"/>
          <w:i/>
          <w:sz w:val="20"/>
        </w:rPr>
      </w:pPr>
    </w:p>
    <w:p w14:paraId="3AFE378C" w14:textId="77777777" w:rsidR="00DE575E" w:rsidRDefault="002E7560">
      <w:pPr>
        <w:pStyle w:val="Heading2"/>
        <w:spacing w:line="218" w:lineRule="auto"/>
        <w:ind w:left="1500" w:right="1244" w:firstLine="1454"/>
      </w:pPr>
      <w:r>
        <w:rPr>
          <w:color w:val="231F20"/>
        </w:rPr>
        <w:t>Розділ 5 ПРОВАДЖЕННЯ У СПРАВІ ПРО</w:t>
      </w:r>
    </w:p>
    <w:p w14:paraId="45A5D6D1" w14:textId="77777777" w:rsidR="00DE575E" w:rsidRDefault="002E7560">
      <w:pPr>
        <w:spacing w:line="307" w:lineRule="exact"/>
        <w:ind w:left="882"/>
        <w:rPr>
          <w:b/>
          <w:sz w:val="28"/>
        </w:rPr>
      </w:pPr>
      <w:r>
        <w:rPr>
          <w:b/>
          <w:color w:val="231F20"/>
          <w:sz w:val="28"/>
        </w:rPr>
        <w:t>АДМІНІСТРАТИВНІ ПРАВОПОРУШЕННЯ</w:t>
      </w:r>
    </w:p>
    <w:p w14:paraId="062EF9CE" w14:textId="77777777" w:rsidR="00DE575E" w:rsidRDefault="00DE575E">
      <w:pPr>
        <w:pStyle w:val="BodyText"/>
        <w:spacing w:before="1"/>
        <w:rPr>
          <w:b/>
          <w:sz w:val="42"/>
        </w:rPr>
      </w:pPr>
    </w:p>
    <w:p w14:paraId="5331FA33" w14:textId="77777777" w:rsidR="00DE575E" w:rsidRDefault="002E7560">
      <w:pPr>
        <w:pStyle w:val="Heading4"/>
        <w:spacing w:line="256" w:lineRule="exact"/>
        <w:ind w:left="1375"/>
      </w:pPr>
      <w:r>
        <w:rPr>
          <w:color w:val="231F20"/>
        </w:rPr>
        <w:t>5.1. Поняття та особливості проваджень</w:t>
      </w:r>
    </w:p>
    <w:p w14:paraId="3F58505E" w14:textId="77777777" w:rsidR="00DE575E" w:rsidRDefault="002E7560">
      <w:pPr>
        <w:spacing w:line="256" w:lineRule="exact"/>
        <w:ind w:left="958"/>
        <w:rPr>
          <w:b/>
        </w:rPr>
      </w:pPr>
      <w:r>
        <w:rPr>
          <w:b/>
          <w:color w:val="231F20"/>
        </w:rPr>
        <w:t>у справах про адміністративні правопорушення</w:t>
      </w:r>
    </w:p>
    <w:p w14:paraId="3A0FF7D2" w14:textId="77777777" w:rsidR="00DE575E" w:rsidRDefault="00DE575E">
      <w:pPr>
        <w:pStyle w:val="BodyText"/>
        <w:rPr>
          <w:b/>
          <w:sz w:val="26"/>
        </w:rPr>
      </w:pPr>
    </w:p>
    <w:p w14:paraId="11A30CAF" w14:textId="77777777" w:rsidR="00DE575E" w:rsidRDefault="002E7560">
      <w:pPr>
        <w:tabs>
          <w:tab w:val="left" w:pos="2316"/>
          <w:tab w:val="left" w:pos="3806"/>
          <w:tab w:val="left" w:pos="5300"/>
          <w:tab w:val="left" w:pos="6540"/>
        </w:tabs>
        <w:spacing w:before="212" w:line="249" w:lineRule="auto"/>
        <w:ind w:left="250" w:right="411" w:firstLine="283"/>
        <w:jc w:val="right"/>
        <w:rPr>
          <w:sz w:val="21"/>
        </w:rPr>
      </w:pPr>
      <w:r>
        <w:rPr>
          <w:color w:val="231F20"/>
          <w:sz w:val="21"/>
        </w:rPr>
        <w:t>Адміністративні</w:t>
      </w:r>
      <w:r>
        <w:rPr>
          <w:color w:val="231F20"/>
          <w:sz w:val="21"/>
        </w:rPr>
        <w:tab/>
        <w:t>провадження</w:t>
      </w:r>
      <w:r>
        <w:rPr>
          <w:color w:val="231F20"/>
          <w:sz w:val="21"/>
        </w:rPr>
        <w:tab/>
      </w:r>
      <w:r>
        <w:rPr>
          <w:color w:val="231F20"/>
          <w:sz w:val="21"/>
        </w:rPr>
        <w:t>здійснюється</w:t>
      </w:r>
      <w:r>
        <w:rPr>
          <w:color w:val="231F20"/>
          <w:sz w:val="21"/>
        </w:rPr>
        <w:tab/>
        <w:t>відповідно</w:t>
      </w:r>
      <w:r>
        <w:rPr>
          <w:color w:val="231F20"/>
          <w:sz w:val="21"/>
        </w:rPr>
        <w:tab/>
      </w:r>
      <w:r>
        <w:rPr>
          <w:color w:val="231F20"/>
          <w:spacing w:val="-2"/>
          <w:sz w:val="21"/>
        </w:rPr>
        <w:t xml:space="preserve">до </w:t>
      </w:r>
      <w:r>
        <w:rPr>
          <w:color w:val="231F20"/>
          <w:sz w:val="21"/>
        </w:rPr>
        <w:t>певних</w:t>
      </w:r>
      <w:r>
        <w:rPr>
          <w:color w:val="231F20"/>
          <w:spacing w:val="-14"/>
          <w:sz w:val="21"/>
        </w:rPr>
        <w:t xml:space="preserve"> </w:t>
      </w:r>
      <w:r>
        <w:rPr>
          <w:color w:val="231F20"/>
          <w:sz w:val="21"/>
        </w:rPr>
        <w:t>стадій</w:t>
      </w:r>
      <w:r>
        <w:rPr>
          <w:color w:val="231F20"/>
          <w:spacing w:val="-14"/>
          <w:sz w:val="21"/>
        </w:rPr>
        <w:t xml:space="preserve"> </w:t>
      </w:r>
      <w:r>
        <w:rPr>
          <w:color w:val="231F20"/>
          <w:sz w:val="21"/>
        </w:rPr>
        <w:t>з</w:t>
      </w:r>
      <w:r>
        <w:rPr>
          <w:color w:val="231F20"/>
          <w:spacing w:val="-14"/>
          <w:sz w:val="21"/>
        </w:rPr>
        <w:t xml:space="preserve"> </w:t>
      </w:r>
      <w:r>
        <w:rPr>
          <w:color w:val="231F20"/>
          <w:sz w:val="21"/>
        </w:rPr>
        <w:t>додержанням</w:t>
      </w:r>
      <w:r>
        <w:rPr>
          <w:color w:val="231F20"/>
          <w:spacing w:val="-14"/>
          <w:sz w:val="21"/>
        </w:rPr>
        <w:t xml:space="preserve"> </w:t>
      </w:r>
      <w:r>
        <w:rPr>
          <w:color w:val="231F20"/>
          <w:sz w:val="21"/>
        </w:rPr>
        <w:t>принципів</w:t>
      </w:r>
      <w:r>
        <w:rPr>
          <w:color w:val="231F20"/>
          <w:spacing w:val="-14"/>
          <w:sz w:val="21"/>
        </w:rPr>
        <w:t xml:space="preserve"> </w:t>
      </w:r>
      <w:r>
        <w:rPr>
          <w:color w:val="231F20"/>
          <w:sz w:val="21"/>
        </w:rPr>
        <w:t>адміністративного</w:t>
      </w:r>
      <w:r>
        <w:rPr>
          <w:color w:val="231F20"/>
          <w:spacing w:val="-14"/>
          <w:sz w:val="21"/>
        </w:rPr>
        <w:t xml:space="preserve"> </w:t>
      </w:r>
      <w:r>
        <w:rPr>
          <w:color w:val="231F20"/>
          <w:spacing w:val="-3"/>
          <w:sz w:val="21"/>
        </w:rPr>
        <w:t>процесу.</w:t>
      </w:r>
      <w:r>
        <w:rPr>
          <w:color w:val="231F20"/>
          <w:sz w:val="21"/>
        </w:rPr>
        <w:t xml:space="preserve"> </w:t>
      </w:r>
      <w:r>
        <w:rPr>
          <w:b/>
          <w:i/>
          <w:color w:val="231F20"/>
          <w:sz w:val="21"/>
        </w:rPr>
        <w:t>Провадження у справах про адміністративні проступки</w:t>
      </w:r>
      <w:r>
        <w:rPr>
          <w:b/>
          <w:i/>
          <w:color w:val="231F20"/>
          <w:spacing w:val="30"/>
          <w:sz w:val="21"/>
        </w:rPr>
        <w:t xml:space="preserve"> </w:t>
      </w:r>
      <w:r>
        <w:rPr>
          <w:color w:val="231F20"/>
          <w:sz w:val="21"/>
        </w:rPr>
        <w:t>–</w:t>
      </w:r>
    </w:p>
    <w:p w14:paraId="372A3D70" w14:textId="77777777" w:rsidR="00DE575E" w:rsidRDefault="002E7560">
      <w:pPr>
        <w:pStyle w:val="BodyText"/>
        <w:spacing w:line="249" w:lineRule="auto"/>
        <w:ind w:left="250" w:right="410"/>
        <w:jc w:val="both"/>
      </w:pPr>
      <w:r>
        <w:rPr>
          <w:color w:val="231F20"/>
        </w:rPr>
        <w:t>це нормативно врегульована діяльність повноважених суб’єктів із застосування адміністративної відповідальності за скоєний адмі- ністративний проступок, а також попередження адміністративних правопорушень.</w:t>
      </w:r>
    </w:p>
    <w:p w14:paraId="6A83BD70" w14:textId="77777777" w:rsidR="00DE575E" w:rsidRDefault="002E7560">
      <w:pPr>
        <w:spacing w:line="242" w:lineRule="exact"/>
        <w:ind w:left="533"/>
        <w:rPr>
          <w:i/>
          <w:sz w:val="21"/>
        </w:rPr>
      </w:pPr>
      <w:r>
        <w:rPr>
          <w:i/>
          <w:color w:val="231F20"/>
          <w:sz w:val="21"/>
        </w:rPr>
        <w:t>Це провадження має такі особливості:</w:t>
      </w:r>
    </w:p>
    <w:p w14:paraId="5B076407" w14:textId="77777777" w:rsidR="00DE575E" w:rsidRDefault="002E7560">
      <w:pPr>
        <w:pStyle w:val="ListParagraph"/>
        <w:numPr>
          <w:ilvl w:val="0"/>
          <w:numId w:val="51"/>
        </w:numPr>
        <w:tabs>
          <w:tab w:val="left" w:pos="818"/>
        </w:tabs>
        <w:spacing w:before="6" w:line="249" w:lineRule="auto"/>
        <w:ind w:right="411" w:firstLine="283"/>
        <w:rPr>
          <w:sz w:val="21"/>
        </w:rPr>
      </w:pPr>
      <w:r>
        <w:rPr>
          <w:color w:val="231F20"/>
          <w:sz w:val="21"/>
        </w:rPr>
        <w:t>воно виникає т</w:t>
      </w:r>
      <w:r>
        <w:rPr>
          <w:color w:val="231F20"/>
          <w:sz w:val="21"/>
        </w:rPr>
        <w:t>ільки у зв’язку зі вчиненням адміністратив- ного проступку;</w:t>
      </w:r>
    </w:p>
    <w:p w14:paraId="4595416D" w14:textId="77777777" w:rsidR="00DE575E" w:rsidRDefault="002E7560">
      <w:pPr>
        <w:pStyle w:val="ListParagraph"/>
        <w:numPr>
          <w:ilvl w:val="0"/>
          <w:numId w:val="51"/>
        </w:numPr>
        <w:tabs>
          <w:tab w:val="left" w:pos="818"/>
        </w:tabs>
        <w:spacing w:before="0" w:line="249" w:lineRule="auto"/>
        <w:ind w:right="411" w:firstLine="283"/>
        <w:rPr>
          <w:sz w:val="21"/>
        </w:rPr>
      </w:pPr>
      <w:r>
        <w:rPr>
          <w:color w:val="231F20"/>
          <w:sz w:val="21"/>
        </w:rPr>
        <w:t xml:space="preserve">для нього притаманне встановлене законодавством коло </w:t>
      </w:r>
      <w:r>
        <w:rPr>
          <w:color w:val="231F20"/>
          <w:spacing w:val="-3"/>
          <w:sz w:val="21"/>
        </w:rPr>
        <w:t>суб’єктів;</w:t>
      </w:r>
    </w:p>
    <w:p w14:paraId="09FBC71F" w14:textId="77777777" w:rsidR="00DE575E" w:rsidRDefault="002E7560">
      <w:pPr>
        <w:pStyle w:val="ListParagraph"/>
        <w:numPr>
          <w:ilvl w:val="0"/>
          <w:numId w:val="51"/>
        </w:numPr>
        <w:tabs>
          <w:tab w:val="left" w:pos="818"/>
        </w:tabs>
        <w:spacing w:before="0" w:line="249" w:lineRule="auto"/>
        <w:ind w:right="412" w:firstLine="283"/>
        <w:rPr>
          <w:sz w:val="21"/>
        </w:rPr>
      </w:pPr>
      <w:r>
        <w:rPr>
          <w:color w:val="231F20"/>
          <w:sz w:val="21"/>
        </w:rPr>
        <w:t xml:space="preserve">йому притаманна індивідуальність процесуальних актів, які приймаються в </w:t>
      </w:r>
      <w:r>
        <w:rPr>
          <w:color w:val="231F20"/>
          <w:spacing w:val="-3"/>
          <w:sz w:val="21"/>
        </w:rPr>
        <w:t>ході</w:t>
      </w:r>
      <w:r>
        <w:rPr>
          <w:color w:val="231F20"/>
          <w:spacing w:val="-4"/>
          <w:sz w:val="21"/>
        </w:rPr>
        <w:t xml:space="preserve"> </w:t>
      </w:r>
      <w:r>
        <w:rPr>
          <w:color w:val="231F20"/>
          <w:sz w:val="21"/>
        </w:rPr>
        <w:t>провадження;</w:t>
      </w:r>
    </w:p>
    <w:p w14:paraId="1B129F8B" w14:textId="77777777" w:rsidR="00DE575E" w:rsidRDefault="002E7560">
      <w:pPr>
        <w:pStyle w:val="ListParagraph"/>
        <w:numPr>
          <w:ilvl w:val="0"/>
          <w:numId w:val="51"/>
        </w:numPr>
        <w:tabs>
          <w:tab w:val="left" w:pos="818"/>
        </w:tabs>
        <w:spacing w:before="0" w:line="249" w:lineRule="auto"/>
        <w:ind w:right="410" w:firstLine="283"/>
        <w:rPr>
          <w:sz w:val="21"/>
        </w:rPr>
      </w:pPr>
      <w:r>
        <w:rPr>
          <w:color w:val="231F20"/>
          <w:sz w:val="21"/>
        </w:rPr>
        <w:t>застосування під час такого провадження за</w:t>
      </w:r>
      <w:r>
        <w:rPr>
          <w:color w:val="231F20"/>
          <w:sz w:val="21"/>
        </w:rPr>
        <w:t>ходів державного примусу зумовлює високий ступінь формалізації</w:t>
      </w:r>
      <w:r>
        <w:rPr>
          <w:color w:val="231F20"/>
          <w:spacing w:val="-9"/>
          <w:sz w:val="21"/>
        </w:rPr>
        <w:t xml:space="preserve"> </w:t>
      </w:r>
      <w:r>
        <w:rPr>
          <w:color w:val="231F20"/>
          <w:sz w:val="21"/>
        </w:rPr>
        <w:t>процесу;</w:t>
      </w:r>
    </w:p>
    <w:p w14:paraId="347F6293" w14:textId="77777777" w:rsidR="00DE575E" w:rsidRDefault="002E7560">
      <w:pPr>
        <w:pStyle w:val="ListParagraph"/>
        <w:numPr>
          <w:ilvl w:val="0"/>
          <w:numId w:val="51"/>
        </w:numPr>
        <w:tabs>
          <w:tab w:val="left" w:pos="818"/>
        </w:tabs>
        <w:spacing w:before="0" w:line="249" w:lineRule="auto"/>
        <w:ind w:right="411" w:firstLine="283"/>
        <w:rPr>
          <w:sz w:val="21"/>
        </w:rPr>
      </w:pPr>
      <w:r>
        <w:rPr>
          <w:color w:val="231F20"/>
          <w:sz w:val="21"/>
        </w:rPr>
        <w:t>за допомогою такого провадження реалізуються міри адмі- ністративної</w:t>
      </w:r>
      <w:r>
        <w:rPr>
          <w:color w:val="231F20"/>
          <w:spacing w:val="-2"/>
          <w:sz w:val="21"/>
        </w:rPr>
        <w:t xml:space="preserve"> </w:t>
      </w:r>
      <w:r>
        <w:rPr>
          <w:color w:val="231F20"/>
          <w:sz w:val="21"/>
        </w:rPr>
        <w:t>відповідальності.</w:t>
      </w:r>
    </w:p>
    <w:p w14:paraId="15F57B65" w14:textId="77777777" w:rsidR="00DE575E" w:rsidRDefault="002E7560">
      <w:pPr>
        <w:pStyle w:val="BodyText"/>
        <w:spacing w:line="249" w:lineRule="auto"/>
        <w:ind w:left="250" w:right="411" w:firstLine="283"/>
        <w:jc w:val="both"/>
      </w:pPr>
      <w:r>
        <w:rPr>
          <w:color w:val="231F20"/>
          <w:spacing w:val="-5"/>
        </w:rPr>
        <w:t>Завданнями</w:t>
      </w:r>
      <w:r>
        <w:rPr>
          <w:color w:val="231F20"/>
          <w:spacing w:val="-15"/>
        </w:rPr>
        <w:t xml:space="preserve"> </w:t>
      </w:r>
      <w:r>
        <w:rPr>
          <w:color w:val="231F20"/>
          <w:spacing w:val="-5"/>
        </w:rPr>
        <w:t>провадження</w:t>
      </w:r>
      <w:r>
        <w:rPr>
          <w:color w:val="231F20"/>
          <w:spacing w:val="-15"/>
        </w:rPr>
        <w:t xml:space="preserve"> </w:t>
      </w:r>
      <w:r>
        <w:rPr>
          <w:color w:val="231F20"/>
        </w:rPr>
        <w:t>у</w:t>
      </w:r>
      <w:r>
        <w:rPr>
          <w:color w:val="231F20"/>
          <w:spacing w:val="-17"/>
        </w:rPr>
        <w:t xml:space="preserve"> </w:t>
      </w:r>
      <w:r>
        <w:rPr>
          <w:color w:val="231F20"/>
          <w:spacing w:val="-5"/>
        </w:rPr>
        <w:t>справах</w:t>
      </w:r>
      <w:r>
        <w:rPr>
          <w:color w:val="231F20"/>
          <w:spacing w:val="-15"/>
        </w:rPr>
        <w:t xml:space="preserve"> </w:t>
      </w:r>
      <w:r>
        <w:rPr>
          <w:color w:val="231F20"/>
          <w:spacing w:val="-4"/>
        </w:rPr>
        <w:t>про</w:t>
      </w:r>
      <w:r>
        <w:rPr>
          <w:color w:val="231F20"/>
          <w:spacing w:val="-15"/>
        </w:rPr>
        <w:t xml:space="preserve"> </w:t>
      </w:r>
      <w:r>
        <w:rPr>
          <w:color w:val="231F20"/>
          <w:spacing w:val="-5"/>
        </w:rPr>
        <w:t>адміністративні</w:t>
      </w:r>
      <w:r>
        <w:rPr>
          <w:color w:val="231F20"/>
          <w:spacing w:val="-15"/>
        </w:rPr>
        <w:t xml:space="preserve"> </w:t>
      </w:r>
      <w:r>
        <w:rPr>
          <w:color w:val="231F20"/>
          <w:spacing w:val="-5"/>
        </w:rPr>
        <w:t xml:space="preserve">правопору- </w:t>
      </w:r>
      <w:r>
        <w:rPr>
          <w:color w:val="231F20"/>
          <w:spacing w:val="-4"/>
        </w:rPr>
        <w:t xml:space="preserve">шення </w:t>
      </w:r>
      <w:r>
        <w:rPr>
          <w:color w:val="231F20"/>
          <w:spacing w:val="-5"/>
        </w:rPr>
        <w:t xml:space="preserve">згідно </w:t>
      </w:r>
      <w:r>
        <w:rPr>
          <w:color w:val="231F20"/>
          <w:spacing w:val="-3"/>
        </w:rPr>
        <w:t xml:space="preserve">зі </w:t>
      </w:r>
      <w:r>
        <w:rPr>
          <w:color w:val="231F20"/>
          <w:spacing w:val="-9"/>
        </w:rPr>
        <w:t xml:space="preserve">ст. </w:t>
      </w:r>
      <w:r>
        <w:rPr>
          <w:color w:val="231F20"/>
          <w:spacing w:val="-4"/>
        </w:rPr>
        <w:t xml:space="preserve">245 </w:t>
      </w:r>
      <w:r>
        <w:rPr>
          <w:color w:val="231F20"/>
          <w:spacing w:val="-7"/>
        </w:rPr>
        <w:t xml:space="preserve">КУпАП </w:t>
      </w:r>
      <w:r>
        <w:rPr>
          <w:color w:val="231F20"/>
        </w:rPr>
        <w:t xml:space="preserve">є </w:t>
      </w:r>
      <w:r>
        <w:rPr>
          <w:color w:val="231F20"/>
          <w:spacing w:val="-5"/>
        </w:rPr>
        <w:t xml:space="preserve">своєчасне, усебічне, </w:t>
      </w:r>
      <w:r>
        <w:rPr>
          <w:color w:val="231F20"/>
          <w:spacing w:val="-4"/>
        </w:rPr>
        <w:t xml:space="preserve">повне </w:t>
      </w:r>
      <w:r>
        <w:rPr>
          <w:color w:val="231F20"/>
        </w:rPr>
        <w:t xml:space="preserve">й </w:t>
      </w:r>
      <w:r>
        <w:rPr>
          <w:color w:val="231F20"/>
          <w:spacing w:val="-7"/>
        </w:rPr>
        <w:t xml:space="preserve">об’єктивне </w:t>
      </w:r>
      <w:r>
        <w:rPr>
          <w:color w:val="231F20"/>
          <w:spacing w:val="-5"/>
        </w:rPr>
        <w:t xml:space="preserve">з’ясування обставин кожної справи, вирішення </w:t>
      </w:r>
      <w:r>
        <w:rPr>
          <w:color w:val="231F20"/>
          <w:spacing w:val="-3"/>
        </w:rPr>
        <w:t xml:space="preserve">її </w:t>
      </w:r>
      <w:r>
        <w:rPr>
          <w:color w:val="231F20"/>
        </w:rPr>
        <w:t xml:space="preserve">в </w:t>
      </w:r>
      <w:r>
        <w:rPr>
          <w:color w:val="231F20"/>
          <w:spacing w:val="-4"/>
        </w:rPr>
        <w:t xml:space="preserve">точній </w:t>
      </w:r>
      <w:r>
        <w:rPr>
          <w:color w:val="231F20"/>
          <w:spacing w:val="-5"/>
        </w:rPr>
        <w:t xml:space="preserve">відповідності </w:t>
      </w:r>
      <w:r>
        <w:rPr>
          <w:color w:val="231F20"/>
          <w:spacing w:val="-3"/>
        </w:rPr>
        <w:t xml:space="preserve">із   </w:t>
      </w:r>
      <w:r>
        <w:rPr>
          <w:color w:val="231F20"/>
          <w:spacing w:val="-6"/>
        </w:rPr>
        <w:t xml:space="preserve">законодавством,   </w:t>
      </w:r>
      <w:r>
        <w:rPr>
          <w:color w:val="231F20"/>
          <w:spacing w:val="-5"/>
        </w:rPr>
        <w:t xml:space="preserve">забезпечення   виконання   винесеної   постанови, </w:t>
      </w:r>
      <w:r>
        <w:rPr>
          <w:color w:val="231F20"/>
        </w:rPr>
        <w:t xml:space="preserve">а </w:t>
      </w:r>
      <w:r>
        <w:rPr>
          <w:color w:val="231F20"/>
          <w:spacing w:val="-5"/>
        </w:rPr>
        <w:t xml:space="preserve">також виявлення причин </w:t>
      </w:r>
      <w:r>
        <w:rPr>
          <w:color w:val="231F20"/>
          <w:spacing w:val="-3"/>
        </w:rPr>
        <w:t xml:space="preserve">та </w:t>
      </w:r>
      <w:r>
        <w:rPr>
          <w:color w:val="231F20"/>
          <w:spacing w:val="-4"/>
        </w:rPr>
        <w:t xml:space="preserve">умов, </w:t>
      </w:r>
      <w:r>
        <w:rPr>
          <w:color w:val="231F20"/>
          <w:spacing w:val="-3"/>
        </w:rPr>
        <w:t xml:space="preserve">що </w:t>
      </w:r>
      <w:r>
        <w:rPr>
          <w:color w:val="231F20"/>
          <w:spacing w:val="-5"/>
        </w:rPr>
        <w:t>сприяють учиненню адмініст- ративни</w:t>
      </w:r>
      <w:r>
        <w:rPr>
          <w:color w:val="231F20"/>
          <w:spacing w:val="-5"/>
        </w:rPr>
        <w:t xml:space="preserve">х правопорушень, запобігання правопорушенням, </w:t>
      </w:r>
      <w:r>
        <w:rPr>
          <w:color w:val="231F20"/>
          <w:spacing w:val="-6"/>
        </w:rPr>
        <w:t xml:space="preserve">виховання </w:t>
      </w:r>
      <w:r>
        <w:rPr>
          <w:color w:val="231F20"/>
          <w:spacing w:val="-5"/>
        </w:rPr>
        <w:t xml:space="preserve">громадян </w:t>
      </w:r>
      <w:r>
        <w:rPr>
          <w:color w:val="231F20"/>
        </w:rPr>
        <w:t xml:space="preserve">у </w:t>
      </w:r>
      <w:r>
        <w:rPr>
          <w:color w:val="231F20"/>
          <w:spacing w:val="-5"/>
        </w:rPr>
        <w:t xml:space="preserve">дусі </w:t>
      </w:r>
      <w:r>
        <w:rPr>
          <w:color w:val="231F20"/>
          <w:spacing w:val="-6"/>
        </w:rPr>
        <w:t xml:space="preserve">додержання </w:t>
      </w:r>
      <w:r>
        <w:rPr>
          <w:color w:val="231F20"/>
          <w:spacing w:val="-5"/>
        </w:rPr>
        <w:t>законів, зміцнення</w:t>
      </w:r>
      <w:r>
        <w:rPr>
          <w:color w:val="231F20"/>
          <w:spacing w:val="-28"/>
        </w:rPr>
        <w:t xml:space="preserve"> </w:t>
      </w:r>
      <w:r>
        <w:rPr>
          <w:color w:val="231F20"/>
          <w:spacing w:val="-6"/>
        </w:rPr>
        <w:t>законності.</w:t>
      </w:r>
    </w:p>
    <w:p w14:paraId="058B8AF1" w14:textId="77777777" w:rsidR="00DE575E" w:rsidRDefault="002E7560">
      <w:pPr>
        <w:pStyle w:val="BodyText"/>
        <w:spacing w:line="249" w:lineRule="auto"/>
        <w:ind w:left="250" w:right="411" w:firstLine="283"/>
        <w:jc w:val="both"/>
      </w:pPr>
      <w:r>
        <w:rPr>
          <w:color w:val="231F20"/>
        </w:rPr>
        <w:t xml:space="preserve">Строки </w:t>
      </w:r>
      <w:r>
        <w:rPr>
          <w:color w:val="231F20"/>
          <w:spacing w:val="-3"/>
        </w:rPr>
        <w:t xml:space="preserve">розгляду  </w:t>
      </w:r>
      <w:r>
        <w:rPr>
          <w:color w:val="231F20"/>
        </w:rPr>
        <w:t xml:space="preserve">справ  про  адміністративне  правопорушення  є короткими: 15 діб, 7 діб, 5 діб, 3 доби, 1 доба. </w:t>
      </w:r>
      <w:r>
        <w:rPr>
          <w:color w:val="231F20"/>
          <w:spacing w:val="-5"/>
        </w:rPr>
        <w:t xml:space="preserve">Таке </w:t>
      </w:r>
      <w:r>
        <w:rPr>
          <w:color w:val="231F20"/>
        </w:rPr>
        <w:t xml:space="preserve">становище пояс- нюється </w:t>
      </w:r>
      <w:r>
        <w:rPr>
          <w:color w:val="231F20"/>
        </w:rPr>
        <w:t xml:space="preserve">тим, що адміністративне правопорушення здебільшого легко встановлюється i, як правило, не потребує багато часу для розслідування й </w:t>
      </w:r>
      <w:r>
        <w:rPr>
          <w:color w:val="231F20"/>
          <w:spacing w:val="-3"/>
        </w:rPr>
        <w:t xml:space="preserve">розгляду </w:t>
      </w:r>
      <w:r>
        <w:rPr>
          <w:color w:val="231F20"/>
        </w:rPr>
        <w:t>порівняно з кримінальними</w:t>
      </w:r>
      <w:r>
        <w:rPr>
          <w:color w:val="231F20"/>
          <w:spacing w:val="-8"/>
        </w:rPr>
        <w:t xml:space="preserve"> </w:t>
      </w:r>
      <w:r>
        <w:rPr>
          <w:color w:val="231F20"/>
        </w:rPr>
        <w:t>справами.</w:t>
      </w:r>
    </w:p>
    <w:p w14:paraId="555DEA55" w14:textId="77777777" w:rsidR="00DE575E" w:rsidRDefault="00DE575E">
      <w:pPr>
        <w:pStyle w:val="BodyText"/>
        <w:spacing w:before="4"/>
        <w:rPr>
          <w:sz w:val="11"/>
        </w:rPr>
      </w:pPr>
    </w:p>
    <w:p w14:paraId="0EF3B438" w14:textId="77777777" w:rsidR="00DE575E" w:rsidRDefault="002E7560">
      <w:pPr>
        <w:spacing w:before="92"/>
        <w:ind w:right="411"/>
        <w:jc w:val="right"/>
        <w:rPr>
          <w:rFonts w:ascii="Times New Roman"/>
          <w:sz w:val="20"/>
        </w:rPr>
      </w:pPr>
      <w:r>
        <w:rPr>
          <w:rFonts w:ascii="Times New Roman"/>
          <w:color w:val="231F20"/>
          <w:w w:val="90"/>
          <w:sz w:val="20"/>
        </w:rPr>
        <w:t>513</w:t>
      </w:r>
    </w:p>
    <w:p w14:paraId="36558D0E"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B111B38"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A4DF19C" w14:textId="7215F98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D67BB62" wp14:editId="01173341">
                <wp:extent cx="4140200" cy="6350"/>
                <wp:effectExtent l="0" t="0" r="12700" b="6350"/>
                <wp:docPr id="13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6" name="Line 1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B9F2BC" id="Group_x0020_1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B5ByU9/AgAAmAUAAA4A&#10;AAAAAAAAAAAAAAAALAIAAGRycy9lMm9Eb2MueG1sUEsBAi0AFAAGAAgAAAAhAEynsJDZAAAAAwEA&#10;AA8AAAAAAAAAAAAAAAAA1wQAAGRycy9kb3ducmV2LnhtbFBLBQYAAAAABAAEAPMAAADdBQAAAAA=&#10;">
                <v:line id="Line_x0020_1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2+J8MAAADcAAAADwAAAGRycy9kb3ducmV2LnhtbERPzWrCQBC+F3yHZQQvRTcakJK6ShEE&#10;8aCt8QHG7DQJ3Z2N2dVEn94tFHqbj+93FqveGnGj1teOFUwnCQjiwumaSwWnfDN+A+EDskbjmBTc&#10;ycNqOXhZYKZdx190O4ZSxBD2GSqoQmgyKX1RkUU/cQ1x5L5dazFE2JZSt9jFcGvkLEnm0mLNsaHC&#10;htYVFT/Hq1WQX16D+TzsTJcfzqk8X/bp47pXajTsP95BBOrDv/jPvdVxfjqH32fiBXL5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NvifDAAAA3AAAAA8AAAAAAAAAAAAA&#10;AAAAoQIAAGRycy9kb3ducmV2LnhtbFBLBQYAAAAABAAEAPkAAACRAwAAAAA=&#10;" strokecolor="#231f20" strokeweight=".5pt"/>
                <w10:anchorlock/>
              </v:group>
            </w:pict>
          </mc:Fallback>
        </mc:AlternateContent>
      </w:r>
    </w:p>
    <w:p w14:paraId="0B3AC557" w14:textId="77777777" w:rsidR="00DE575E" w:rsidRDefault="00DE575E">
      <w:pPr>
        <w:pStyle w:val="BodyText"/>
        <w:spacing w:before="7"/>
        <w:rPr>
          <w:rFonts w:ascii="AdonisC"/>
          <w:i/>
          <w:sz w:val="11"/>
        </w:rPr>
      </w:pPr>
    </w:p>
    <w:p w14:paraId="68B16203" w14:textId="77777777" w:rsidR="00DE575E" w:rsidRDefault="002E7560">
      <w:pPr>
        <w:pStyle w:val="BodyText"/>
        <w:spacing w:before="101" w:line="252" w:lineRule="auto"/>
        <w:ind w:left="533" w:right="129" w:firstLine="283"/>
        <w:jc w:val="both"/>
      </w:pPr>
      <w:r>
        <w:rPr>
          <w:color w:val="231F20"/>
        </w:rPr>
        <w:t>Існує два види провадження у справах про адміністративний проступок: звичайне та спрощене.</w:t>
      </w:r>
    </w:p>
    <w:p w14:paraId="7809EAE6" w14:textId="77777777" w:rsidR="00DE575E" w:rsidRDefault="002E7560">
      <w:pPr>
        <w:pStyle w:val="BodyText"/>
        <w:spacing w:before="1" w:line="252" w:lineRule="auto"/>
        <w:ind w:left="533" w:right="126" w:firstLine="283"/>
        <w:jc w:val="both"/>
      </w:pPr>
      <w:r>
        <w:rPr>
          <w:i/>
          <w:color w:val="231F20"/>
        </w:rPr>
        <w:t xml:space="preserve">Звичайне </w:t>
      </w:r>
      <w:r>
        <w:rPr>
          <w:color w:val="231F20"/>
        </w:rPr>
        <w:t>здійснюється у більшості справ i детально регламенто- вано чинним законодавством. Воно передбачає складання прото- колу</w:t>
      </w:r>
      <w:r>
        <w:rPr>
          <w:color w:val="231F20"/>
        </w:rPr>
        <w:t xml:space="preserve"> – визначає зміст, запобіжні заходи i порядок їх застосування; права й обов’язки учасників провадження; порядок розгляду справ; факти, обставини, що є доказами.</w:t>
      </w:r>
    </w:p>
    <w:p w14:paraId="2F856348" w14:textId="77777777" w:rsidR="00DE575E" w:rsidRDefault="002E7560">
      <w:pPr>
        <w:pStyle w:val="BodyText"/>
        <w:spacing w:before="2" w:line="252" w:lineRule="auto"/>
        <w:ind w:left="533" w:right="127" w:firstLine="283"/>
        <w:jc w:val="both"/>
      </w:pPr>
      <w:r>
        <w:rPr>
          <w:i/>
          <w:color w:val="231F20"/>
        </w:rPr>
        <w:t xml:space="preserve">Спрощене </w:t>
      </w:r>
      <w:r>
        <w:rPr>
          <w:color w:val="231F20"/>
        </w:rPr>
        <w:t xml:space="preserve">провадження застосовується щодо невеликої кількості правопорушень, прямо передбачених </w:t>
      </w:r>
      <w:r>
        <w:rPr>
          <w:color w:val="231F20"/>
        </w:rPr>
        <w:t>ст. 258 КУпАП. Таке провад- ження характеризується мінімумом процесуальних дій та їх опера- тивністю.</w:t>
      </w:r>
    </w:p>
    <w:p w14:paraId="2B3E8006" w14:textId="77777777" w:rsidR="00DE575E" w:rsidRDefault="00DE575E">
      <w:pPr>
        <w:pStyle w:val="BodyText"/>
        <w:rPr>
          <w:sz w:val="24"/>
        </w:rPr>
      </w:pPr>
    </w:p>
    <w:p w14:paraId="17C228DE" w14:textId="77777777" w:rsidR="00DE575E" w:rsidRDefault="00DE575E">
      <w:pPr>
        <w:pStyle w:val="BodyText"/>
        <w:spacing w:before="5"/>
        <w:rPr>
          <w:sz w:val="19"/>
        </w:rPr>
      </w:pPr>
    </w:p>
    <w:p w14:paraId="0EA69974" w14:textId="77777777" w:rsidR="00DE575E" w:rsidRDefault="002E7560">
      <w:pPr>
        <w:pStyle w:val="Heading4"/>
        <w:ind w:left="628"/>
      </w:pPr>
      <w:r>
        <w:rPr>
          <w:color w:val="231F20"/>
        </w:rPr>
        <w:t>5.2. Докази у справах про адміністративні правопорушення</w:t>
      </w:r>
    </w:p>
    <w:p w14:paraId="2859B196" w14:textId="77777777" w:rsidR="00DE575E" w:rsidRDefault="00DE575E">
      <w:pPr>
        <w:pStyle w:val="BodyText"/>
        <w:rPr>
          <w:b/>
          <w:sz w:val="26"/>
        </w:rPr>
      </w:pPr>
    </w:p>
    <w:p w14:paraId="13FE950C" w14:textId="77777777" w:rsidR="00DE575E" w:rsidRDefault="002E7560">
      <w:pPr>
        <w:spacing w:before="224" w:line="252" w:lineRule="auto"/>
        <w:ind w:left="533" w:right="128" w:firstLine="283"/>
        <w:jc w:val="both"/>
        <w:rPr>
          <w:sz w:val="21"/>
        </w:rPr>
      </w:pPr>
      <w:r>
        <w:rPr>
          <w:color w:val="231F20"/>
          <w:sz w:val="21"/>
        </w:rPr>
        <w:t xml:space="preserve">Відповідно до ст. 251 КУпАП, </w:t>
      </w:r>
      <w:r>
        <w:rPr>
          <w:b/>
          <w:i/>
          <w:color w:val="231F20"/>
          <w:sz w:val="21"/>
        </w:rPr>
        <w:t xml:space="preserve">доказами в справі про адміні- стративне правопорушення </w:t>
      </w:r>
      <w:r>
        <w:rPr>
          <w:i/>
          <w:color w:val="231F20"/>
          <w:sz w:val="21"/>
        </w:rPr>
        <w:t>є будь-які фактичні дані, на основі яких у визначеному законом порядку орган (посадова особа) встанов- лює наявність чи відсутність адміністративного правопорушення, винність певної особи в його вчиненні та інші обставини, що мають значення для правильного</w:t>
      </w:r>
      <w:r>
        <w:rPr>
          <w:i/>
          <w:color w:val="231F20"/>
          <w:sz w:val="21"/>
        </w:rPr>
        <w:t xml:space="preserve"> вирішення справи</w:t>
      </w:r>
      <w:r>
        <w:rPr>
          <w:color w:val="231F20"/>
          <w:sz w:val="21"/>
        </w:rPr>
        <w:t>.</w:t>
      </w:r>
    </w:p>
    <w:p w14:paraId="28A8A0C3" w14:textId="77777777" w:rsidR="00DE575E" w:rsidRDefault="002E7560">
      <w:pPr>
        <w:pStyle w:val="BodyText"/>
        <w:spacing w:before="3" w:line="252" w:lineRule="auto"/>
        <w:ind w:left="533" w:right="125" w:firstLine="283"/>
        <w:jc w:val="both"/>
      </w:pPr>
      <w:r>
        <w:rPr>
          <w:color w:val="231F20"/>
        </w:rPr>
        <w:t>Ці дані встановлюються протоколом про адміністративне право- порушення, поясненнями особи, яка притягується до адміністра- тивної відповідальності, потерпілих, свідків, висновком експерта, речовими доказами, показаннями технічних приладі</w:t>
      </w:r>
      <w:r>
        <w:rPr>
          <w:color w:val="231F20"/>
        </w:rPr>
        <w:t>в і технічних засобів, що мають функції фото- і кінозйомки, відеозапису, зокрема тими, що використовуються особою, яка притягається до адмі- ністративної відповідальності, або свідками, а також працюючими в автоматичному режимі, чи засобів фото- і кінозйом</w:t>
      </w:r>
      <w:r>
        <w:rPr>
          <w:color w:val="231F20"/>
        </w:rPr>
        <w:t xml:space="preserve">ки, відеоза- </w:t>
      </w:r>
      <w:r>
        <w:rPr>
          <w:color w:val="231F20"/>
          <w:spacing w:val="-3"/>
        </w:rPr>
        <w:t xml:space="preserve">пису, </w:t>
      </w:r>
      <w:r>
        <w:rPr>
          <w:color w:val="231F20"/>
        </w:rPr>
        <w:t>зокрема тими, що використовуються особою, яка притяга- ється до адміністративної відповідальності, або свідками, а також працюючими в автоматичному режимі або в режимі фотозйомки (відеозапису), які  використовуються  при  нагляді  за  ви</w:t>
      </w:r>
      <w:r>
        <w:rPr>
          <w:color w:val="231F20"/>
        </w:rPr>
        <w:t>конан-  ням правил, норм і стандартів, що стосуються забезпечення безпеки дорожнього руху та паркування транспортних засобів, актом огляду та тимчасового затримання транспортного засобу, протоколом про вилучення речей і документів, а також іншими документа</w:t>
      </w:r>
      <w:r>
        <w:rPr>
          <w:color w:val="231F20"/>
        </w:rPr>
        <w:t>ми.</w:t>
      </w:r>
    </w:p>
    <w:p w14:paraId="682C238B" w14:textId="77777777" w:rsidR="00DE575E" w:rsidRDefault="00DE575E">
      <w:pPr>
        <w:pStyle w:val="BodyText"/>
        <w:spacing w:before="2"/>
        <w:rPr>
          <w:sz w:val="13"/>
        </w:rPr>
      </w:pPr>
    </w:p>
    <w:p w14:paraId="005C6903" w14:textId="77777777" w:rsidR="00DE575E" w:rsidRDefault="002E7560">
      <w:pPr>
        <w:spacing w:before="92"/>
        <w:ind w:left="533"/>
        <w:rPr>
          <w:rFonts w:ascii="Times New Roman"/>
          <w:sz w:val="20"/>
        </w:rPr>
      </w:pPr>
      <w:r>
        <w:rPr>
          <w:rFonts w:ascii="Times New Roman"/>
          <w:color w:val="231F20"/>
          <w:sz w:val="20"/>
        </w:rPr>
        <w:t>514</w:t>
      </w:r>
    </w:p>
    <w:p w14:paraId="74353F93" w14:textId="77777777" w:rsidR="00DE575E" w:rsidRDefault="00DE575E">
      <w:pPr>
        <w:rPr>
          <w:rFonts w:ascii="Times New Roman"/>
          <w:sz w:val="20"/>
        </w:rPr>
        <w:sectPr w:rsidR="00DE575E">
          <w:pgSz w:w="8510" w:h="12760"/>
          <w:pgMar w:top="660" w:right="720" w:bottom="280" w:left="600" w:header="720" w:footer="720" w:gutter="0"/>
          <w:cols w:space="720"/>
        </w:sectPr>
      </w:pPr>
    </w:p>
    <w:p w14:paraId="39D4E00B" w14:textId="77777777" w:rsidR="00DE575E" w:rsidRDefault="002E7560">
      <w:pPr>
        <w:spacing w:before="72" w:line="249" w:lineRule="auto"/>
        <w:ind w:left="1020" w:right="392" w:firstLine="1672"/>
        <w:rPr>
          <w:rFonts w:ascii="AdonisC" w:hAnsi="AdonisC"/>
          <w:i/>
          <w:sz w:val="18"/>
        </w:rPr>
      </w:pPr>
      <w:r>
        <w:rPr>
          <w:rFonts w:ascii="AdonisC" w:hAnsi="AdonisC"/>
          <w:i/>
          <w:color w:val="231F20"/>
          <w:sz w:val="18"/>
        </w:rPr>
        <w:t>Глава ІІ Особливе адміністративне право/ Книга ІІ Розділ 5. Провадження у справах про адміністративні правопорушення</w:t>
      </w:r>
    </w:p>
    <w:p w14:paraId="36A3CE9A" w14:textId="60ACAE5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141F02D" wp14:editId="4B5A4242">
                <wp:extent cx="4140200" cy="6350"/>
                <wp:effectExtent l="0" t="0" r="12700" b="6350"/>
                <wp:docPr id="1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4" name="Line 1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E0D703" id="Group_x0020_1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Cl1Npn4CAACYBQAADgAA&#10;AAAAAAAAAAAAAAAsAgAAZHJzL2Uyb0RvYy54bWxQSwECLQAUAAYACAAAACEATKewkNkAAAADAQAA&#10;DwAAAAAAAAAAAAAAAADWBAAAZHJzL2Rvd25yZXYueG1sUEsFBgAAAAAEAAQA8wAAANwFAAAAAA==&#10;">
                <v:line id="Line_x0020_1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OFy8QAAADcAAAADwAAAGRycy9kb3ducmV2LnhtbERP22rCQBB9L/Qflin0pehGI1Kiq4gg&#10;SB+8pR8wZqdJ6O5szK4m7de7QqFvczjXmS97a8SNWl87VjAaJiCIC6drLhV85pvBOwgfkDUax6Tg&#10;hzwsF89Pc8y06/hIt1MoRQxhn6GCKoQmk9IXFVn0Q9cQR+7LtRZDhG0pdYtdDLdGjpNkKi3WHBsq&#10;bGhdUfF9uloF+eUtmMP+w3T5/pzK82WX/l53Sr2+9KsZiEB9+Bf/ubc6zk8n8HgmXi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04XLxAAAANwAAAAPAAAAAAAAAAAA&#10;AAAAAKECAABkcnMvZG93bnJldi54bWxQSwUGAAAAAAQABAD5AAAAkgMAAAAA&#10;" strokecolor="#231f20" strokeweight=".5pt"/>
                <w10:anchorlock/>
              </v:group>
            </w:pict>
          </mc:Fallback>
        </mc:AlternateContent>
      </w:r>
    </w:p>
    <w:p w14:paraId="4539C429" w14:textId="77777777" w:rsidR="00DE575E" w:rsidRDefault="00DE575E">
      <w:pPr>
        <w:pStyle w:val="BodyText"/>
        <w:spacing w:before="7"/>
        <w:rPr>
          <w:rFonts w:ascii="AdonisC"/>
          <w:i/>
          <w:sz w:val="19"/>
        </w:rPr>
      </w:pPr>
    </w:p>
    <w:p w14:paraId="5427270B" w14:textId="77777777" w:rsidR="00DE575E" w:rsidRDefault="002E7560">
      <w:pPr>
        <w:pStyle w:val="BodyText"/>
        <w:spacing w:before="1" w:line="252" w:lineRule="auto"/>
        <w:ind w:left="250" w:right="410" w:firstLine="283"/>
        <w:jc w:val="both"/>
      </w:pPr>
      <w:r>
        <w:rPr>
          <w:i/>
          <w:color w:val="231F20"/>
        </w:rPr>
        <w:t>Доказування</w:t>
      </w:r>
      <w:r>
        <w:rPr>
          <w:i/>
          <w:color w:val="231F20"/>
          <w:spacing w:val="-11"/>
        </w:rPr>
        <w:t xml:space="preserve"> </w:t>
      </w:r>
      <w:r>
        <w:rPr>
          <w:i/>
          <w:color w:val="231F20"/>
        </w:rPr>
        <w:t>в</w:t>
      </w:r>
      <w:r>
        <w:rPr>
          <w:i/>
          <w:color w:val="231F20"/>
          <w:spacing w:val="-11"/>
        </w:rPr>
        <w:t xml:space="preserve"> </w:t>
      </w:r>
      <w:r>
        <w:rPr>
          <w:i/>
          <w:color w:val="231F20"/>
        </w:rPr>
        <w:t>справах</w:t>
      </w:r>
      <w:r>
        <w:rPr>
          <w:i/>
          <w:color w:val="231F20"/>
          <w:spacing w:val="-11"/>
        </w:rPr>
        <w:t xml:space="preserve"> </w:t>
      </w:r>
      <w:r>
        <w:rPr>
          <w:i/>
          <w:color w:val="231F20"/>
        </w:rPr>
        <w:t>про</w:t>
      </w:r>
      <w:r>
        <w:rPr>
          <w:i/>
          <w:color w:val="231F20"/>
          <w:spacing w:val="-11"/>
        </w:rPr>
        <w:t xml:space="preserve"> </w:t>
      </w:r>
      <w:r>
        <w:rPr>
          <w:i/>
          <w:color w:val="231F20"/>
        </w:rPr>
        <w:t>адміністративні</w:t>
      </w:r>
      <w:r>
        <w:rPr>
          <w:i/>
          <w:color w:val="231F20"/>
          <w:spacing w:val="-11"/>
        </w:rPr>
        <w:t xml:space="preserve"> </w:t>
      </w:r>
      <w:r>
        <w:rPr>
          <w:i/>
          <w:color w:val="231F20"/>
        </w:rPr>
        <w:t>проступки</w:t>
      </w:r>
      <w:r>
        <w:rPr>
          <w:i/>
          <w:color w:val="231F20"/>
          <w:spacing w:val="-11"/>
        </w:rPr>
        <w:t xml:space="preserve"> </w:t>
      </w:r>
      <w:r>
        <w:rPr>
          <w:color w:val="231F20"/>
        </w:rPr>
        <w:t>–</w:t>
      </w:r>
      <w:r>
        <w:rPr>
          <w:color w:val="231F20"/>
          <w:spacing w:val="-11"/>
        </w:rPr>
        <w:t xml:space="preserve"> </w:t>
      </w:r>
      <w:r>
        <w:rPr>
          <w:color w:val="231F20"/>
        </w:rPr>
        <w:t>це</w:t>
      </w:r>
      <w:r>
        <w:rPr>
          <w:color w:val="231F20"/>
          <w:spacing w:val="-11"/>
        </w:rPr>
        <w:t xml:space="preserve"> </w:t>
      </w:r>
      <w:r>
        <w:rPr>
          <w:color w:val="231F20"/>
        </w:rPr>
        <w:t xml:space="preserve">засно- вана на законі й регламентована адміністративно-процесуальними нормами діяльність уповноважених </w:t>
      </w:r>
      <w:r>
        <w:rPr>
          <w:color w:val="231F20"/>
          <w:spacing w:val="-3"/>
        </w:rPr>
        <w:t xml:space="preserve">суб’єктів, </w:t>
      </w:r>
      <w:r>
        <w:rPr>
          <w:color w:val="231F20"/>
        </w:rPr>
        <w:t xml:space="preserve">спрямована на своє- часне, усебічне, повне й </w:t>
      </w:r>
      <w:r>
        <w:rPr>
          <w:color w:val="231F20"/>
          <w:spacing w:val="-3"/>
        </w:rPr>
        <w:t>об’</w:t>
      </w:r>
      <w:r>
        <w:rPr>
          <w:color w:val="231F20"/>
          <w:spacing w:val="-3"/>
        </w:rPr>
        <w:t xml:space="preserve">єктивне </w:t>
      </w:r>
      <w:r>
        <w:rPr>
          <w:color w:val="231F20"/>
        </w:rPr>
        <w:t>з’ясування обставин кожної справи, а також виявлення причин та умов, що сприяли вчиненню адміністративних</w:t>
      </w:r>
      <w:r>
        <w:rPr>
          <w:color w:val="231F20"/>
          <w:spacing w:val="-2"/>
        </w:rPr>
        <w:t xml:space="preserve"> </w:t>
      </w:r>
      <w:r>
        <w:rPr>
          <w:color w:val="231F20"/>
        </w:rPr>
        <w:t>правопорушень.</w:t>
      </w:r>
    </w:p>
    <w:p w14:paraId="7D11BC24" w14:textId="77777777" w:rsidR="00DE575E" w:rsidRDefault="002E7560">
      <w:pPr>
        <w:pStyle w:val="BodyText"/>
        <w:spacing w:before="3" w:line="252" w:lineRule="auto"/>
        <w:ind w:left="250" w:right="410" w:firstLine="283"/>
        <w:jc w:val="both"/>
      </w:pPr>
      <w:r>
        <w:rPr>
          <w:b/>
          <w:i/>
          <w:color w:val="231F20"/>
        </w:rPr>
        <w:t xml:space="preserve">Речові докази </w:t>
      </w:r>
      <w:r>
        <w:rPr>
          <w:color w:val="231F20"/>
        </w:rPr>
        <w:t xml:space="preserve">– це предмети матеріального </w:t>
      </w:r>
      <w:r>
        <w:rPr>
          <w:color w:val="231F20"/>
          <w:spacing w:val="-3"/>
        </w:rPr>
        <w:t xml:space="preserve">світу, </w:t>
      </w:r>
      <w:r>
        <w:rPr>
          <w:color w:val="231F20"/>
        </w:rPr>
        <w:t>на яких є сліди правопорушення (вм’ятини на автомобілі, зіпсований паспорт) аб</w:t>
      </w:r>
      <w:r>
        <w:rPr>
          <w:color w:val="231F20"/>
        </w:rPr>
        <w:t>о які своєю формою чи змістом свідчать про правопорушення (нарко- тичні речовини, зброя, нестандартна продукція, відеофільми тощо). Речові докази містять інформацію в чистому вигляді.</w:t>
      </w:r>
    </w:p>
    <w:p w14:paraId="2C6BA78B" w14:textId="77777777" w:rsidR="00DE575E" w:rsidRDefault="002E7560">
      <w:pPr>
        <w:pStyle w:val="BodyText"/>
        <w:spacing w:before="2" w:line="252" w:lineRule="auto"/>
        <w:ind w:left="250" w:right="410" w:firstLine="283"/>
        <w:jc w:val="both"/>
      </w:pPr>
      <w:r>
        <w:rPr>
          <w:b/>
          <w:i/>
          <w:color w:val="231F20"/>
        </w:rPr>
        <w:t xml:space="preserve">Особисті докази. </w:t>
      </w:r>
      <w:r>
        <w:rPr>
          <w:color w:val="231F20"/>
        </w:rPr>
        <w:t>Протиправне діяння відбивається у свідомості людей, які</w:t>
      </w:r>
      <w:r>
        <w:rPr>
          <w:color w:val="231F20"/>
        </w:rPr>
        <w:t xml:space="preserve"> його вчинили або спостерігали момент його вчинення,   а також виявляється у вигляді різних змін на предметах і докумен- тах. У першому разі це образи й поняття, що належать до сфери психіки, у другому – зміна предметів матеріального </w:t>
      </w:r>
      <w:r>
        <w:rPr>
          <w:color w:val="231F20"/>
          <w:spacing w:val="-3"/>
        </w:rPr>
        <w:t xml:space="preserve">світу, </w:t>
      </w:r>
      <w:r>
        <w:rPr>
          <w:color w:val="231F20"/>
        </w:rPr>
        <w:t>речей, їх власт</w:t>
      </w:r>
      <w:r>
        <w:rPr>
          <w:color w:val="231F20"/>
        </w:rPr>
        <w:t>ивостей і відносин, тобто фізичні та механічні</w:t>
      </w:r>
      <w:r>
        <w:rPr>
          <w:color w:val="231F20"/>
          <w:spacing w:val="-10"/>
        </w:rPr>
        <w:t xml:space="preserve"> </w:t>
      </w:r>
      <w:r>
        <w:rPr>
          <w:color w:val="231F20"/>
        </w:rPr>
        <w:t>зміни.</w:t>
      </w:r>
    </w:p>
    <w:p w14:paraId="390739B7" w14:textId="77777777" w:rsidR="00DE575E" w:rsidRDefault="002E7560">
      <w:pPr>
        <w:pStyle w:val="BodyText"/>
        <w:spacing w:before="3"/>
        <w:ind w:left="533"/>
      </w:pPr>
      <w:r>
        <w:rPr>
          <w:color w:val="231F20"/>
        </w:rPr>
        <w:t>Особисті докази можна розділити на три групи:</w:t>
      </w:r>
    </w:p>
    <w:p w14:paraId="653E007D" w14:textId="77777777" w:rsidR="00DE575E" w:rsidRDefault="002E7560">
      <w:pPr>
        <w:pStyle w:val="BodyText"/>
        <w:spacing w:before="13" w:line="252" w:lineRule="auto"/>
        <w:ind w:left="250" w:right="410" w:firstLine="283"/>
        <w:jc w:val="both"/>
      </w:pPr>
      <w:r>
        <w:rPr>
          <w:color w:val="231F20"/>
        </w:rPr>
        <w:t xml:space="preserve">До </w:t>
      </w:r>
      <w:r>
        <w:rPr>
          <w:i/>
          <w:color w:val="231F20"/>
        </w:rPr>
        <w:t xml:space="preserve">першої групи </w:t>
      </w:r>
      <w:r>
        <w:rPr>
          <w:color w:val="231F20"/>
        </w:rPr>
        <w:t>особистих доказів належать пояснення свідків, потерпілих, осіб, яких притягують до адміністративної відповідаль- ності.</w:t>
      </w:r>
    </w:p>
    <w:p w14:paraId="16A5A18A" w14:textId="77777777" w:rsidR="00DE575E" w:rsidRDefault="002E7560">
      <w:pPr>
        <w:pStyle w:val="BodyText"/>
        <w:spacing w:before="1" w:line="252" w:lineRule="auto"/>
        <w:ind w:left="250" w:right="411" w:firstLine="283"/>
        <w:jc w:val="both"/>
      </w:pPr>
      <w:r>
        <w:rPr>
          <w:i/>
          <w:color w:val="231F20"/>
        </w:rPr>
        <w:t>Другу</w:t>
      </w:r>
      <w:r>
        <w:rPr>
          <w:i/>
          <w:color w:val="231F20"/>
          <w:spacing w:val="-14"/>
        </w:rPr>
        <w:t xml:space="preserve"> </w:t>
      </w:r>
      <w:r>
        <w:rPr>
          <w:i/>
          <w:color w:val="231F20"/>
        </w:rPr>
        <w:t>групу</w:t>
      </w:r>
      <w:r>
        <w:rPr>
          <w:i/>
          <w:color w:val="231F20"/>
          <w:spacing w:val="-14"/>
        </w:rPr>
        <w:t xml:space="preserve"> </w:t>
      </w:r>
      <w:r>
        <w:rPr>
          <w:color w:val="231F20"/>
        </w:rPr>
        <w:t>становлять</w:t>
      </w:r>
      <w:r>
        <w:rPr>
          <w:color w:val="231F20"/>
          <w:spacing w:val="-14"/>
        </w:rPr>
        <w:t xml:space="preserve"> </w:t>
      </w:r>
      <w:r>
        <w:rPr>
          <w:color w:val="231F20"/>
        </w:rPr>
        <w:t>протоколи</w:t>
      </w:r>
      <w:r>
        <w:rPr>
          <w:color w:val="231F20"/>
          <w:spacing w:val="-14"/>
        </w:rPr>
        <w:t xml:space="preserve"> </w:t>
      </w:r>
      <w:r>
        <w:rPr>
          <w:color w:val="231F20"/>
        </w:rPr>
        <w:t>про</w:t>
      </w:r>
      <w:r>
        <w:rPr>
          <w:color w:val="231F20"/>
          <w:spacing w:val="-14"/>
        </w:rPr>
        <w:t xml:space="preserve"> </w:t>
      </w:r>
      <w:r>
        <w:rPr>
          <w:color w:val="231F20"/>
        </w:rPr>
        <w:t>адміністративне</w:t>
      </w:r>
      <w:r>
        <w:rPr>
          <w:color w:val="231F20"/>
          <w:spacing w:val="-14"/>
        </w:rPr>
        <w:t xml:space="preserve"> </w:t>
      </w:r>
      <w:r>
        <w:rPr>
          <w:color w:val="231F20"/>
        </w:rPr>
        <w:t xml:space="preserve">право-по- рушення, протоколи </w:t>
      </w:r>
      <w:r>
        <w:rPr>
          <w:color w:val="231F20"/>
          <w:spacing w:val="-3"/>
        </w:rPr>
        <w:t xml:space="preserve">огляду </w:t>
      </w:r>
      <w:r>
        <w:rPr>
          <w:color w:val="231F20"/>
        </w:rPr>
        <w:t xml:space="preserve">окремих предметів, протоколи особи- стого  </w:t>
      </w:r>
      <w:r>
        <w:rPr>
          <w:color w:val="231F20"/>
          <w:spacing w:val="-5"/>
        </w:rPr>
        <w:t xml:space="preserve">огляду,  </w:t>
      </w:r>
      <w:r>
        <w:rPr>
          <w:color w:val="231F20"/>
          <w:spacing w:val="-3"/>
        </w:rPr>
        <w:t xml:space="preserve">огляду   </w:t>
      </w:r>
      <w:r>
        <w:rPr>
          <w:color w:val="231F20"/>
        </w:rPr>
        <w:t>речей  тощо.  У  таких  документах  фіксують  і закріплюють процесуальні дії. Кожен із них є джерелом</w:t>
      </w:r>
      <w:r>
        <w:rPr>
          <w:color w:val="231F20"/>
          <w:spacing w:val="-26"/>
        </w:rPr>
        <w:t xml:space="preserve"> </w:t>
      </w:r>
      <w:r>
        <w:rPr>
          <w:color w:val="231F20"/>
        </w:rPr>
        <w:t>доказів.</w:t>
      </w:r>
    </w:p>
    <w:p w14:paraId="6B32F4B6" w14:textId="77777777" w:rsidR="00DE575E" w:rsidRDefault="002E7560">
      <w:pPr>
        <w:pStyle w:val="BodyText"/>
        <w:spacing w:before="2" w:line="252" w:lineRule="auto"/>
        <w:ind w:left="250" w:right="411" w:firstLine="283"/>
        <w:jc w:val="both"/>
      </w:pPr>
      <w:r>
        <w:rPr>
          <w:color w:val="231F20"/>
        </w:rPr>
        <w:t xml:space="preserve">До </w:t>
      </w:r>
      <w:r>
        <w:rPr>
          <w:i/>
          <w:color w:val="231F20"/>
        </w:rPr>
        <w:t xml:space="preserve">третьої групи </w:t>
      </w:r>
      <w:r>
        <w:rPr>
          <w:color w:val="231F20"/>
        </w:rPr>
        <w:t>особистих доказів належать інші документи, які додаються до матеріалів справи.</w:t>
      </w:r>
    </w:p>
    <w:p w14:paraId="1CE2D232" w14:textId="77777777" w:rsidR="00DE575E" w:rsidRDefault="002E7560">
      <w:pPr>
        <w:pStyle w:val="BodyText"/>
        <w:spacing w:before="1" w:line="252" w:lineRule="auto"/>
        <w:ind w:left="250" w:right="411" w:firstLine="283"/>
        <w:jc w:val="both"/>
      </w:pPr>
      <w:r>
        <w:rPr>
          <w:color w:val="231F20"/>
        </w:rPr>
        <w:t>Орган (посадова особа) оцінює докази за своїм внутрішнім пере- конанням, що ґрунтується на всебічному, повному й об’єктивному дослідженні всіх обставин справи, кер</w:t>
      </w:r>
      <w:r>
        <w:rPr>
          <w:color w:val="231F20"/>
        </w:rPr>
        <w:t>уючись законом і правосвідо- містю (ст. 252 КУпАП).</w:t>
      </w:r>
    </w:p>
    <w:p w14:paraId="44A6872E" w14:textId="77777777" w:rsidR="00DE575E" w:rsidRDefault="00DE575E">
      <w:pPr>
        <w:pStyle w:val="BodyText"/>
        <w:spacing w:before="4"/>
      </w:pPr>
    </w:p>
    <w:p w14:paraId="439CC055" w14:textId="77777777" w:rsidR="00DE575E" w:rsidRDefault="002E7560">
      <w:pPr>
        <w:pStyle w:val="Heading4"/>
        <w:numPr>
          <w:ilvl w:val="1"/>
          <w:numId w:val="10"/>
        </w:numPr>
        <w:tabs>
          <w:tab w:val="left" w:pos="697"/>
        </w:tabs>
        <w:spacing w:before="1"/>
        <w:ind w:right="448" w:hanging="673"/>
        <w:jc w:val="left"/>
      </w:pPr>
      <w:r>
        <w:rPr>
          <w:color w:val="231F20"/>
        </w:rPr>
        <w:t>Права та обов’язки осіб, які беруть участь у</w:t>
      </w:r>
      <w:r>
        <w:rPr>
          <w:color w:val="231F20"/>
          <w:spacing w:val="-33"/>
        </w:rPr>
        <w:t xml:space="preserve"> </w:t>
      </w:r>
      <w:r>
        <w:rPr>
          <w:color w:val="231F20"/>
        </w:rPr>
        <w:t>провадженні у справах про адміністративні</w:t>
      </w:r>
      <w:r>
        <w:rPr>
          <w:color w:val="231F20"/>
          <w:spacing w:val="-8"/>
        </w:rPr>
        <w:t xml:space="preserve"> </w:t>
      </w:r>
      <w:r>
        <w:rPr>
          <w:color w:val="231F20"/>
        </w:rPr>
        <w:t>правопорушення</w:t>
      </w:r>
    </w:p>
    <w:p w14:paraId="6F8B67CD" w14:textId="77777777" w:rsidR="00DE575E" w:rsidRDefault="00DE575E">
      <w:pPr>
        <w:pStyle w:val="BodyText"/>
        <w:spacing w:before="11"/>
        <w:rPr>
          <w:b/>
          <w:sz w:val="22"/>
        </w:rPr>
      </w:pPr>
    </w:p>
    <w:p w14:paraId="521A0507" w14:textId="77777777" w:rsidR="00DE575E" w:rsidRDefault="002E7560">
      <w:pPr>
        <w:pStyle w:val="BodyText"/>
        <w:spacing w:line="252" w:lineRule="auto"/>
        <w:ind w:left="250" w:right="411" w:firstLine="283"/>
        <w:jc w:val="both"/>
      </w:pPr>
      <w:r>
        <w:rPr>
          <w:color w:val="231F20"/>
        </w:rPr>
        <w:t>Учасників</w:t>
      </w:r>
      <w:r>
        <w:rPr>
          <w:color w:val="231F20"/>
          <w:spacing w:val="-12"/>
        </w:rPr>
        <w:t xml:space="preserve"> </w:t>
      </w:r>
      <w:r>
        <w:rPr>
          <w:color w:val="231F20"/>
        </w:rPr>
        <w:t>провадження</w:t>
      </w:r>
      <w:r>
        <w:rPr>
          <w:color w:val="231F20"/>
          <w:spacing w:val="-12"/>
        </w:rPr>
        <w:t xml:space="preserve"> </w:t>
      </w:r>
      <w:r>
        <w:rPr>
          <w:color w:val="231F20"/>
        </w:rPr>
        <w:t>в</w:t>
      </w:r>
      <w:r>
        <w:rPr>
          <w:color w:val="231F20"/>
          <w:spacing w:val="-12"/>
        </w:rPr>
        <w:t xml:space="preserve"> </w:t>
      </w:r>
      <w:r>
        <w:rPr>
          <w:color w:val="231F20"/>
        </w:rPr>
        <w:t>справах</w:t>
      </w:r>
      <w:r>
        <w:rPr>
          <w:color w:val="231F20"/>
          <w:spacing w:val="-12"/>
        </w:rPr>
        <w:t xml:space="preserve"> </w:t>
      </w:r>
      <w:r>
        <w:rPr>
          <w:color w:val="231F20"/>
        </w:rPr>
        <w:t>про</w:t>
      </w:r>
      <w:r>
        <w:rPr>
          <w:color w:val="231F20"/>
          <w:spacing w:val="-12"/>
        </w:rPr>
        <w:t xml:space="preserve"> </w:t>
      </w:r>
      <w:r>
        <w:rPr>
          <w:color w:val="231F20"/>
        </w:rPr>
        <w:t>адміністративні</w:t>
      </w:r>
      <w:r>
        <w:rPr>
          <w:color w:val="231F20"/>
          <w:spacing w:val="-12"/>
        </w:rPr>
        <w:t xml:space="preserve"> </w:t>
      </w:r>
      <w:r>
        <w:rPr>
          <w:color w:val="231F20"/>
        </w:rPr>
        <w:t>проступки за характером процесуального статусу м</w:t>
      </w:r>
      <w:r>
        <w:rPr>
          <w:color w:val="231F20"/>
        </w:rPr>
        <w:t>ожна розподілити на три групи:</w:t>
      </w:r>
    </w:p>
    <w:p w14:paraId="4B3FCA90" w14:textId="77777777" w:rsidR="00DE575E" w:rsidRDefault="002E7560">
      <w:pPr>
        <w:pStyle w:val="ListParagraph"/>
        <w:numPr>
          <w:ilvl w:val="2"/>
          <w:numId w:val="10"/>
        </w:numPr>
        <w:tabs>
          <w:tab w:val="left" w:pos="818"/>
        </w:tabs>
        <w:spacing w:before="2"/>
        <w:rPr>
          <w:sz w:val="21"/>
        </w:rPr>
      </w:pPr>
      <w:r>
        <w:rPr>
          <w:color w:val="231F20"/>
          <w:sz w:val="21"/>
        </w:rPr>
        <w:t>особи, які вирішують</w:t>
      </w:r>
      <w:r>
        <w:rPr>
          <w:color w:val="231F20"/>
          <w:spacing w:val="-2"/>
          <w:sz w:val="21"/>
        </w:rPr>
        <w:t xml:space="preserve"> </w:t>
      </w:r>
      <w:r>
        <w:rPr>
          <w:color w:val="231F20"/>
          <w:sz w:val="21"/>
        </w:rPr>
        <w:t>справи;</w:t>
      </w:r>
    </w:p>
    <w:p w14:paraId="694ADB2A" w14:textId="77777777" w:rsidR="00DE575E" w:rsidRDefault="00DE575E">
      <w:pPr>
        <w:pStyle w:val="BodyText"/>
        <w:spacing w:before="7"/>
        <w:rPr>
          <w:sz w:val="13"/>
        </w:rPr>
      </w:pPr>
    </w:p>
    <w:p w14:paraId="77C6C6D3" w14:textId="77777777" w:rsidR="00DE575E" w:rsidRDefault="002E7560">
      <w:pPr>
        <w:spacing w:before="92"/>
        <w:ind w:right="411"/>
        <w:jc w:val="right"/>
        <w:rPr>
          <w:rFonts w:ascii="Times New Roman"/>
          <w:sz w:val="20"/>
        </w:rPr>
      </w:pPr>
      <w:r>
        <w:rPr>
          <w:rFonts w:ascii="Times New Roman"/>
          <w:color w:val="231F20"/>
          <w:w w:val="90"/>
          <w:sz w:val="20"/>
        </w:rPr>
        <w:t>515</w:t>
      </w:r>
    </w:p>
    <w:p w14:paraId="1FC6946D"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038D22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EE39AC8" w14:textId="4430BFC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D629F90" wp14:editId="4536037E">
                <wp:extent cx="4140200" cy="6350"/>
                <wp:effectExtent l="0" t="0" r="12700" b="6350"/>
                <wp:docPr id="13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2" name="Line 13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1ACDE" id="Group_x0020_13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QJAGH4CAACYBQAADgAA&#10;AAAAAAAAAAAAAAAsAgAAZHJzL2Uyb0RvYy54bWxQSwECLQAUAAYACAAAACEATKewkNkAAAADAQAA&#10;DwAAAAAAAAAAAAAAAADWBAAAZHJzL2Rvd25yZXYueG1sUEsFBgAAAAAEAAQA8wAAANwFAAAAAA==&#10;">
                <v:line id="Line_x0020_13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a4JMMAAADcAAAADwAAAGRycy9kb3ducmV2LnhtbERPzWrCQBC+F3yHZQQvRTcaKCV1lSII&#10;4kFb4wOM2WkSujsbs6uJPn1XEHqbj+935sveGnGl1teOFUwnCQjiwumaSwXHfD1+B+EDskbjmBTc&#10;yMNyMXiZY6Zdx990PYRSxBD2GSqoQmgyKX1RkUU/cQ1x5H5cazFE2JZSt9jFcGvkLEnepMWaY0OF&#10;Da0qKn4PF6sgP78G87Xfmi7fn1J5Ou/S+2Wn1GjYf36ACNSHf/HTvdFxfjqDxzPxAr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2uCTDAAAA3AAAAA8AAAAAAAAAAAAA&#10;AAAAoQIAAGRycy9kb3ducmV2LnhtbFBLBQYAAAAABAAEAPkAAACRAwAAAAA=&#10;" strokecolor="#231f20" strokeweight=".5pt"/>
                <w10:anchorlock/>
              </v:group>
            </w:pict>
          </mc:Fallback>
        </mc:AlternateContent>
      </w:r>
    </w:p>
    <w:p w14:paraId="3CB5B85B" w14:textId="77777777" w:rsidR="00DE575E" w:rsidRDefault="00DE575E">
      <w:pPr>
        <w:pStyle w:val="BodyText"/>
        <w:spacing w:before="7"/>
        <w:rPr>
          <w:rFonts w:ascii="AdonisC"/>
          <w:i/>
          <w:sz w:val="11"/>
        </w:rPr>
      </w:pPr>
    </w:p>
    <w:p w14:paraId="226E62C3" w14:textId="77777777" w:rsidR="00DE575E" w:rsidRDefault="002E7560">
      <w:pPr>
        <w:pStyle w:val="ListParagraph"/>
        <w:numPr>
          <w:ilvl w:val="0"/>
          <w:numId w:val="9"/>
        </w:numPr>
        <w:tabs>
          <w:tab w:val="left" w:pos="1101"/>
        </w:tabs>
        <w:spacing w:before="101"/>
        <w:ind w:hanging="283"/>
        <w:rPr>
          <w:sz w:val="21"/>
        </w:rPr>
      </w:pPr>
      <w:r>
        <w:rPr>
          <w:color w:val="231F20"/>
          <w:sz w:val="21"/>
        </w:rPr>
        <w:t>особи, яких притягують до</w:t>
      </w:r>
      <w:r>
        <w:rPr>
          <w:color w:val="231F20"/>
          <w:spacing w:val="-3"/>
          <w:sz w:val="21"/>
        </w:rPr>
        <w:t xml:space="preserve"> </w:t>
      </w:r>
      <w:r>
        <w:rPr>
          <w:color w:val="231F20"/>
          <w:sz w:val="21"/>
        </w:rPr>
        <w:t>відповідальності;</w:t>
      </w:r>
    </w:p>
    <w:p w14:paraId="7FCF954C" w14:textId="77777777" w:rsidR="00DE575E" w:rsidRDefault="002E7560">
      <w:pPr>
        <w:pStyle w:val="ListParagraph"/>
        <w:numPr>
          <w:ilvl w:val="0"/>
          <w:numId w:val="9"/>
        </w:numPr>
        <w:tabs>
          <w:tab w:val="left" w:pos="1101"/>
        </w:tabs>
        <w:spacing w:before="12"/>
        <w:ind w:hanging="283"/>
        <w:rPr>
          <w:sz w:val="21"/>
        </w:rPr>
      </w:pPr>
      <w:r>
        <w:rPr>
          <w:color w:val="231F20"/>
          <w:sz w:val="21"/>
        </w:rPr>
        <w:t>допоміжні учасники</w:t>
      </w:r>
      <w:r>
        <w:rPr>
          <w:color w:val="231F20"/>
          <w:spacing w:val="-3"/>
          <w:sz w:val="21"/>
        </w:rPr>
        <w:t xml:space="preserve"> процесу.</w:t>
      </w:r>
    </w:p>
    <w:p w14:paraId="599F893B" w14:textId="77777777" w:rsidR="00DE575E" w:rsidRDefault="002E7560">
      <w:pPr>
        <w:pStyle w:val="BodyText"/>
        <w:spacing w:before="13" w:line="252" w:lineRule="auto"/>
        <w:ind w:left="533" w:right="127" w:firstLine="283"/>
        <w:jc w:val="both"/>
      </w:pPr>
      <w:r>
        <w:rPr>
          <w:color w:val="231F20"/>
        </w:rPr>
        <w:t xml:space="preserve">До </w:t>
      </w:r>
      <w:r>
        <w:rPr>
          <w:i/>
          <w:color w:val="231F20"/>
        </w:rPr>
        <w:t xml:space="preserve">першої групи </w:t>
      </w:r>
      <w:r>
        <w:rPr>
          <w:color w:val="231F20"/>
        </w:rPr>
        <w:t>належать державні органи, їх посадові особи, уповноважені розглядати та ухвалювати рішення у справах про адміністративні правопоруш</w:t>
      </w:r>
      <w:r>
        <w:rPr>
          <w:color w:val="231F20"/>
        </w:rPr>
        <w:t xml:space="preserve">ення. Перелік  цих  органів  визначено в </w:t>
      </w:r>
      <w:r>
        <w:rPr>
          <w:color w:val="231F20"/>
          <w:spacing w:val="-3"/>
        </w:rPr>
        <w:t xml:space="preserve">главі </w:t>
      </w:r>
      <w:r>
        <w:rPr>
          <w:color w:val="231F20"/>
        </w:rPr>
        <w:t>16</w:t>
      </w:r>
      <w:r>
        <w:rPr>
          <w:color w:val="231F20"/>
        </w:rPr>
        <w:t xml:space="preserve"> </w:t>
      </w:r>
      <w:r>
        <w:rPr>
          <w:color w:val="231F20"/>
          <w:spacing w:val="-3"/>
        </w:rPr>
        <w:t>КУпАП.</w:t>
      </w:r>
    </w:p>
    <w:p w14:paraId="586089C1" w14:textId="77777777" w:rsidR="00DE575E" w:rsidRDefault="002E7560">
      <w:pPr>
        <w:pStyle w:val="BodyText"/>
        <w:spacing w:before="2" w:line="252" w:lineRule="auto"/>
        <w:ind w:left="533" w:right="126" w:firstLine="283"/>
        <w:jc w:val="both"/>
      </w:pPr>
      <w:r>
        <w:rPr>
          <w:color w:val="231F20"/>
        </w:rPr>
        <w:t xml:space="preserve">До </w:t>
      </w:r>
      <w:r>
        <w:rPr>
          <w:i/>
          <w:color w:val="231F20"/>
        </w:rPr>
        <w:t xml:space="preserve">другої групи </w:t>
      </w:r>
      <w:r>
        <w:rPr>
          <w:color w:val="231F20"/>
        </w:rPr>
        <w:t>можуть належати практично будь-які суб’єкти – як звичайні громадяни України, іноземці й особи без громадянства, так і органи, установи, підприємства та їх посадові особи.</w:t>
      </w:r>
    </w:p>
    <w:p w14:paraId="0A918B7B" w14:textId="77777777" w:rsidR="00DE575E" w:rsidRDefault="002E7560">
      <w:pPr>
        <w:pStyle w:val="BodyText"/>
        <w:spacing w:before="2" w:line="252" w:lineRule="auto"/>
        <w:ind w:left="533" w:right="128" w:firstLine="283"/>
        <w:jc w:val="both"/>
      </w:pPr>
      <w:r>
        <w:rPr>
          <w:color w:val="231F20"/>
        </w:rPr>
        <w:t xml:space="preserve">До </w:t>
      </w:r>
      <w:r>
        <w:rPr>
          <w:i/>
          <w:color w:val="231F20"/>
        </w:rPr>
        <w:t>третьої г</w:t>
      </w:r>
      <w:r>
        <w:rPr>
          <w:i/>
          <w:color w:val="231F20"/>
        </w:rPr>
        <w:t xml:space="preserve">рупи </w:t>
      </w:r>
      <w:r>
        <w:rPr>
          <w:color w:val="231F20"/>
        </w:rPr>
        <w:t>належать: свідки, потерпілі, експерти,</w:t>
      </w:r>
      <w:r>
        <w:rPr>
          <w:color w:val="231F20"/>
          <w:spacing w:val="-23"/>
        </w:rPr>
        <w:t xml:space="preserve"> </w:t>
      </w:r>
      <w:r>
        <w:rPr>
          <w:color w:val="231F20"/>
        </w:rPr>
        <w:t>перекла- дачі, законні представники та</w:t>
      </w:r>
      <w:r>
        <w:rPr>
          <w:color w:val="231F20"/>
          <w:spacing w:val="-2"/>
        </w:rPr>
        <w:t xml:space="preserve"> </w:t>
      </w:r>
      <w:r>
        <w:rPr>
          <w:color w:val="231F20"/>
        </w:rPr>
        <w:t>представники.</w:t>
      </w:r>
    </w:p>
    <w:p w14:paraId="0CA0A369" w14:textId="77777777" w:rsidR="00DE575E" w:rsidRDefault="002E7560">
      <w:pPr>
        <w:pStyle w:val="BodyText"/>
        <w:spacing w:before="1" w:line="252" w:lineRule="auto"/>
        <w:ind w:left="488" w:right="127" w:firstLine="283"/>
        <w:jc w:val="right"/>
      </w:pPr>
      <w:r>
        <w:rPr>
          <w:color w:val="231F20"/>
          <w:spacing w:val="-3"/>
        </w:rPr>
        <w:t xml:space="preserve">Представників групи </w:t>
      </w:r>
      <w:r>
        <w:rPr>
          <w:color w:val="231F20"/>
          <w:spacing w:val="-5"/>
        </w:rPr>
        <w:t xml:space="preserve">суб’єктів, </w:t>
      </w:r>
      <w:r>
        <w:rPr>
          <w:color w:val="231F20"/>
        </w:rPr>
        <w:t xml:space="preserve">які </w:t>
      </w:r>
      <w:r>
        <w:rPr>
          <w:color w:val="231F20"/>
          <w:spacing w:val="-3"/>
        </w:rPr>
        <w:t>вирішують справи</w:t>
      </w:r>
      <w:r>
        <w:rPr>
          <w:i/>
          <w:color w:val="231F20"/>
          <w:spacing w:val="-3"/>
        </w:rPr>
        <w:t xml:space="preserve">, </w:t>
      </w:r>
      <w:r>
        <w:rPr>
          <w:color w:val="231F20"/>
          <w:spacing w:val="-3"/>
        </w:rPr>
        <w:t xml:space="preserve">можна </w:t>
      </w:r>
      <w:r>
        <w:rPr>
          <w:color w:val="231F20"/>
          <w:spacing w:val="-4"/>
        </w:rPr>
        <w:t>поді-</w:t>
      </w:r>
      <w:r>
        <w:rPr>
          <w:color w:val="231F20"/>
        </w:rPr>
        <w:t xml:space="preserve"> </w:t>
      </w:r>
      <w:r>
        <w:rPr>
          <w:color w:val="231F20"/>
          <w:spacing w:val="-3"/>
        </w:rPr>
        <w:t xml:space="preserve">лити </w:t>
      </w:r>
      <w:r>
        <w:rPr>
          <w:color w:val="231F20"/>
        </w:rPr>
        <w:t xml:space="preserve">на: а) </w:t>
      </w:r>
      <w:r>
        <w:rPr>
          <w:color w:val="231F20"/>
          <w:spacing w:val="-5"/>
        </w:rPr>
        <w:t xml:space="preserve">суб’єктів, </w:t>
      </w:r>
      <w:r>
        <w:rPr>
          <w:color w:val="231F20"/>
        </w:rPr>
        <w:t xml:space="preserve">які </w:t>
      </w:r>
      <w:r>
        <w:rPr>
          <w:color w:val="231F20"/>
          <w:spacing w:val="-3"/>
        </w:rPr>
        <w:t xml:space="preserve">здійснюють провадження </w:t>
      </w:r>
      <w:r>
        <w:rPr>
          <w:color w:val="231F20"/>
        </w:rPr>
        <w:t xml:space="preserve">та </w:t>
      </w:r>
      <w:r>
        <w:rPr>
          <w:color w:val="231F20"/>
          <w:spacing w:val="-3"/>
        </w:rPr>
        <w:t xml:space="preserve">складають протокол; </w:t>
      </w:r>
      <w:r>
        <w:rPr>
          <w:color w:val="231F20"/>
        </w:rPr>
        <w:t xml:space="preserve">б) </w:t>
      </w:r>
      <w:r>
        <w:rPr>
          <w:color w:val="231F20"/>
          <w:spacing w:val="-5"/>
        </w:rPr>
        <w:t xml:space="preserve">суб’єктів, </w:t>
      </w:r>
      <w:r>
        <w:rPr>
          <w:color w:val="231F20"/>
        </w:rPr>
        <w:t xml:space="preserve">що </w:t>
      </w:r>
      <w:r>
        <w:rPr>
          <w:color w:val="231F20"/>
          <w:spacing w:val="-4"/>
        </w:rPr>
        <w:t xml:space="preserve">розглядають </w:t>
      </w:r>
      <w:r>
        <w:rPr>
          <w:color w:val="231F20"/>
        </w:rPr>
        <w:t xml:space="preserve">і </w:t>
      </w:r>
      <w:r>
        <w:rPr>
          <w:color w:val="231F20"/>
          <w:spacing w:val="-3"/>
        </w:rPr>
        <w:t xml:space="preserve">приймають рішення </w:t>
      </w:r>
      <w:r>
        <w:rPr>
          <w:color w:val="231F20"/>
        </w:rPr>
        <w:t xml:space="preserve">в </w:t>
      </w:r>
      <w:r>
        <w:rPr>
          <w:color w:val="231F20"/>
          <w:spacing w:val="-3"/>
        </w:rPr>
        <w:t xml:space="preserve">справі. </w:t>
      </w:r>
      <w:r>
        <w:rPr>
          <w:color w:val="231F20"/>
        </w:rPr>
        <w:t xml:space="preserve">У </w:t>
      </w:r>
      <w:r>
        <w:rPr>
          <w:color w:val="231F20"/>
          <w:spacing w:val="-6"/>
        </w:rPr>
        <w:t xml:space="preserve">ст. </w:t>
      </w:r>
      <w:r>
        <w:rPr>
          <w:color w:val="231F20"/>
        </w:rPr>
        <w:t xml:space="preserve">255 («Особи, які мають право складати протоколи про адмі- ністративні правопорушення») </w:t>
      </w:r>
      <w:r>
        <w:rPr>
          <w:color w:val="231F20"/>
          <w:spacing w:val="-3"/>
        </w:rPr>
        <w:t xml:space="preserve">КУпАП </w:t>
      </w:r>
      <w:r>
        <w:rPr>
          <w:color w:val="231F20"/>
        </w:rPr>
        <w:t>законодавець визначив пере- лік осіб, які уповноважені складати протоколи про адміністративні</w:t>
      </w:r>
      <w:r>
        <w:rPr>
          <w:color w:val="231F20"/>
          <w:spacing w:val="-1"/>
        </w:rPr>
        <w:t xml:space="preserve"> </w:t>
      </w:r>
      <w:r>
        <w:rPr>
          <w:color w:val="231F20"/>
        </w:rPr>
        <w:t>проступки. Особливіст</w:t>
      </w:r>
      <w:r>
        <w:rPr>
          <w:color w:val="231F20"/>
        </w:rPr>
        <w:t xml:space="preserve">ь її конструкції полягає в </w:t>
      </w:r>
      <w:r>
        <w:rPr>
          <w:color w:val="231F20"/>
          <w:spacing w:val="-4"/>
        </w:rPr>
        <w:t xml:space="preserve">тому, </w:t>
      </w:r>
      <w:r>
        <w:rPr>
          <w:color w:val="231F20"/>
        </w:rPr>
        <w:t>що уповнова- жені особи не просто перелічуються, а «прив’язуються» до кожної</w:t>
      </w:r>
    </w:p>
    <w:p w14:paraId="09A9AFB1" w14:textId="77777777" w:rsidR="00DE575E" w:rsidRDefault="002E7560">
      <w:pPr>
        <w:pStyle w:val="BodyText"/>
        <w:spacing w:before="4"/>
        <w:ind w:left="533"/>
      </w:pPr>
      <w:r>
        <w:rPr>
          <w:color w:val="231F20"/>
        </w:rPr>
        <w:t>окремої статті або частини статті Особливої частини КУпАП.</w:t>
      </w:r>
    </w:p>
    <w:p w14:paraId="4DC5C3C9" w14:textId="77777777" w:rsidR="00DE575E" w:rsidRDefault="002E7560">
      <w:pPr>
        <w:pStyle w:val="BodyText"/>
        <w:spacing w:before="12" w:line="252" w:lineRule="auto"/>
        <w:ind w:left="533" w:right="127" w:firstLine="283"/>
        <w:jc w:val="both"/>
      </w:pPr>
      <w:r>
        <w:rPr>
          <w:color w:val="231F20"/>
        </w:rPr>
        <w:t>Згідно зі ст. 213 КУпАП справи про адміністративні правопору- шення розглядають: 1) адміністративні комісії; 2) виконавчі комі- тети селищні, сільські ради; 3) районні, районні в місті, міські чи міськрайонні суди (судді), місцеві адміністративні та господ</w:t>
      </w:r>
      <w:r>
        <w:rPr>
          <w:color w:val="231F20"/>
        </w:rPr>
        <w:t>арські суди, апеляційні суди, вищі спеціалізовані суди та Верховний Суд України; 4) органи Національної поліції, органи державних інспек- цій та інші органи (їх посадові особи), уповноважені на це законо- давчими актами України.</w:t>
      </w:r>
    </w:p>
    <w:p w14:paraId="36F4CF7C" w14:textId="77777777" w:rsidR="00DE575E" w:rsidRDefault="002E7560">
      <w:pPr>
        <w:pStyle w:val="BodyText"/>
        <w:spacing w:before="4" w:line="252" w:lineRule="auto"/>
        <w:ind w:left="533" w:right="129" w:firstLine="283"/>
        <w:jc w:val="both"/>
      </w:pPr>
      <w:r>
        <w:rPr>
          <w:color w:val="231F20"/>
        </w:rPr>
        <w:t>Рішення про накладення адмі</w:t>
      </w:r>
      <w:r>
        <w:rPr>
          <w:color w:val="231F20"/>
        </w:rPr>
        <w:t>ністративного стягнення можуть ухвалювати колегіальний орган або посадова особа.</w:t>
      </w:r>
    </w:p>
    <w:p w14:paraId="68C89D3D" w14:textId="77777777" w:rsidR="00DE575E" w:rsidRDefault="002E7560">
      <w:pPr>
        <w:pStyle w:val="BodyText"/>
        <w:spacing w:before="1" w:line="252" w:lineRule="auto"/>
        <w:ind w:left="533" w:right="128" w:firstLine="283"/>
        <w:jc w:val="both"/>
      </w:pPr>
      <w:r>
        <w:rPr>
          <w:color w:val="231F20"/>
        </w:rPr>
        <w:t xml:space="preserve">До </w:t>
      </w:r>
      <w:r>
        <w:rPr>
          <w:color w:val="231F20"/>
          <w:spacing w:val="-3"/>
        </w:rPr>
        <w:t xml:space="preserve">перших належать адміністративні </w:t>
      </w:r>
      <w:r>
        <w:rPr>
          <w:color w:val="231F20"/>
        </w:rPr>
        <w:t xml:space="preserve">комісії, </w:t>
      </w:r>
      <w:r>
        <w:rPr>
          <w:color w:val="231F20"/>
          <w:spacing w:val="-3"/>
        </w:rPr>
        <w:t xml:space="preserve">виконкоми селищ- них, сільських </w:t>
      </w:r>
      <w:r>
        <w:rPr>
          <w:color w:val="231F20"/>
        </w:rPr>
        <w:t xml:space="preserve">рад, </w:t>
      </w:r>
      <w:r>
        <w:rPr>
          <w:color w:val="231F20"/>
          <w:spacing w:val="-5"/>
        </w:rPr>
        <w:t xml:space="preserve">суд. </w:t>
      </w:r>
      <w:r>
        <w:rPr>
          <w:color w:val="231F20"/>
        </w:rPr>
        <w:t xml:space="preserve">Що </w:t>
      </w:r>
      <w:r>
        <w:rPr>
          <w:color w:val="231F20"/>
          <w:spacing w:val="-3"/>
        </w:rPr>
        <w:t xml:space="preserve">стосується посадових </w:t>
      </w:r>
      <w:r>
        <w:rPr>
          <w:color w:val="231F20"/>
        </w:rPr>
        <w:t xml:space="preserve">осіб, то </w:t>
      </w:r>
      <w:r>
        <w:rPr>
          <w:color w:val="231F20"/>
          <w:spacing w:val="-3"/>
        </w:rPr>
        <w:t xml:space="preserve">вони </w:t>
      </w:r>
      <w:r>
        <w:rPr>
          <w:color w:val="231F20"/>
          <w:spacing w:val="-4"/>
        </w:rPr>
        <w:t xml:space="preserve">вирішу- </w:t>
      </w:r>
      <w:r>
        <w:rPr>
          <w:color w:val="231F20"/>
          <w:spacing w:val="-3"/>
        </w:rPr>
        <w:t xml:space="preserve">ють справи </w:t>
      </w:r>
      <w:r>
        <w:rPr>
          <w:color w:val="231F20"/>
        </w:rPr>
        <w:t xml:space="preserve">від </w:t>
      </w:r>
      <w:r>
        <w:rPr>
          <w:color w:val="231F20"/>
          <w:spacing w:val="-3"/>
        </w:rPr>
        <w:t xml:space="preserve">імені відповідних органів </w:t>
      </w:r>
      <w:r>
        <w:rPr>
          <w:color w:val="231F20"/>
        </w:rPr>
        <w:t xml:space="preserve">у </w:t>
      </w:r>
      <w:r>
        <w:rPr>
          <w:color w:val="231F20"/>
          <w:spacing w:val="-3"/>
        </w:rPr>
        <w:t xml:space="preserve">межах наданих </w:t>
      </w:r>
      <w:r>
        <w:rPr>
          <w:color w:val="231F20"/>
        </w:rPr>
        <w:t xml:space="preserve">їм </w:t>
      </w:r>
      <w:r>
        <w:rPr>
          <w:color w:val="231F20"/>
          <w:spacing w:val="-3"/>
        </w:rPr>
        <w:t xml:space="preserve">повно- важень </w:t>
      </w:r>
      <w:r>
        <w:rPr>
          <w:color w:val="231F20"/>
        </w:rPr>
        <w:t xml:space="preserve">і </w:t>
      </w:r>
      <w:r>
        <w:rPr>
          <w:color w:val="231F20"/>
          <w:spacing w:val="-3"/>
        </w:rPr>
        <w:t xml:space="preserve">лише </w:t>
      </w:r>
      <w:r>
        <w:rPr>
          <w:color w:val="231F20"/>
        </w:rPr>
        <w:t xml:space="preserve">під час </w:t>
      </w:r>
      <w:r>
        <w:rPr>
          <w:color w:val="231F20"/>
          <w:spacing w:val="-3"/>
        </w:rPr>
        <w:t xml:space="preserve">виконання службових </w:t>
      </w:r>
      <w:r>
        <w:rPr>
          <w:color w:val="231F20"/>
        </w:rPr>
        <w:t xml:space="preserve">обов’язків. </w:t>
      </w:r>
      <w:r>
        <w:rPr>
          <w:color w:val="231F20"/>
          <w:spacing w:val="-4"/>
        </w:rPr>
        <w:t xml:space="preserve">Коло </w:t>
      </w:r>
      <w:r>
        <w:rPr>
          <w:color w:val="231F20"/>
          <w:spacing w:val="-3"/>
        </w:rPr>
        <w:t xml:space="preserve">таких </w:t>
      </w:r>
      <w:r>
        <w:rPr>
          <w:color w:val="231F20"/>
        </w:rPr>
        <w:t xml:space="preserve">осіб </w:t>
      </w:r>
      <w:r>
        <w:rPr>
          <w:color w:val="231F20"/>
          <w:spacing w:val="-3"/>
        </w:rPr>
        <w:t xml:space="preserve">встановлено законодавчими актами </w:t>
      </w:r>
      <w:r>
        <w:rPr>
          <w:color w:val="231F20"/>
          <w:spacing w:val="-4"/>
        </w:rPr>
        <w:t xml:space="preserve">України.  </w:t>
      </w:r>
      <w:r>
        <w:rPr>
          <w:color w:val="231F20"/>
        </w:rPr>
        <w:t xml:space="preserve">До  них  </w:t>
      </w:r>
      <w:r>
        <w:rPr>
          <w:color w:val="231F20"/>
          <w:spacing w:val="-3"/>
        </w:rPr>
        <w:t xml:space="preserve">переду- </w:t>
      </w:r>
      <w:r>
        <w:rPr>
          <w:color w:val="231F20"/>
        </w:rPr>
        <w:t xml:space="preserve">сім </w:t>
      </w:r>
      <w:r>
        <w:rPr>
          <w:color w:val="231F20"/>
          <w:spacing w:val="-3"/>
        </w:rPr>
        <w:t xml:space="preserve">належать керівники відповідних публічних органів. </w:t>
      </w:r>
      <w:r>
        <w:rPr>
          <w:color w:val="231F20"/>
        </w:rPr>
        <w:t xml:space="preserve">В </w:t>
      </w:r>
      <w:r>
        <w:rPr>
          <w:color w:val="231F20"/>
          <w:spacing w:val="-3"/>
        </w:rPr>
        <w:t xml:space="preserve">окремих випадках, передбачених </w:t>
      </w:r>
      <w:r>
        <w:rPr>
          <w:color w:val="231F20"/>
          <w:spacing w:val="-4"/>
        </w:rPr>
        <w:t>законодавством,</w:t>
      </w:r>
      <w:r>
        <w:rPr>
          <w:color w:val="231F20"/>
          <w:spacing w:val="-4"/>
        </w:rPr>
        <w:t xml:space="preserve"> </w:t>
      </w:r>
      <w:r>
        <w:rPr>
          <w:color w:val="231F20"/>
          <w:spacing w:val="-3"/>
        </w:rPr>
        <w:t xml:space="preserve">право накладати </w:t>
      </w:r>
      <w:r>
        <w:rPr>
          <w:color w:val="231F20"/>
          <w:spacing w:val="-4"/>
        </w:rPr>
        <w:t xml:space="preserve">стягнення </w:t>
      </w:r>
      <w:r>
        <w:rPr>
          <w:color w:val="231F20"/>
          <w:spacing w:val="-3"/>
        </w:rPr>
        <w:t xml:space="preserve">мають </w:t>
      </w:r>
      <w:r>
        <w:rPr>
          <w:color w:val="231F20"/>
        </w:rPr>
        <w:t xml:space="preserve">й </w:t>
      </w:r>
      <w:r>
        <w:rPr>
          <w:color w:val="231F20"/>
          <w:spacing w:val="-3"/>
        </w:rPr>
        <w:t xml:space="preserve">інші посадові </w:t>
      </w:r>
      <w:r>
        <w:rPr>
          <w:color w:val="231F20"/>
        </w:rPr>
        <w:t xml:space="preserve">особи. </w:t>
      </w:r>
      <w:r>
        <w:rPr>
          <w:color w:val="231F20"/>
          <w:spacing w:val="-3"/>
        </w:rPr>
        <w:t xml:space="preserve">Наприклад, </w:t>
      </w:r>
      <w:r>
        <w:rPr>
          <w:color w:val="231F20"/>
        </w:rPr>
        <w:t xml:space="preserve">від </w:t>
      </w:r>
      <w:r>
        <w:rPr>
          <w:color w:val="231F20"/>
          <w:spacing w:val="-3"/>
        </w:rPr>
        <w:t xml:space="preserve">імені органів Національ- </w:t>
      </w:r>
      <w:r>
        <w:rPr>
          <w:color w:val="231F20"/>
        </w:rPr>
        <w:t xml:space="preserve">ної </w:t>
      </w:r>
      <w:r>
        <w:rPr>
          <w:color w:val="231F20"/>
          <w:spacing w:val="-3"/>
        </w:rPr>
        <w:t xml:space="preserve">поліції </w:t>
      </w:r>
      <w:r>
        <w:rPr>
          <w:color w:val="231F20"/>
          <w:spacing w:val="-4"/>
        </w:rPr>
        <w:t xml:space="preserve">розглядати </w:t>
      </w:r>
      <w:r>
        <w:rPr>
          <w:color w:val="231F20"/>
          <w:spacing w:val="-3"/>
        </w:rPr>
        <w:t xml:space="preserve">справи </w:t>
      </w:r>
      <w:r>
        <w:rPr>
          <w:color w:val="231F20"/>
        </w:rPr>
        <w:t xml:space="preserve">про </w:t>
      </w:r>
      <w:r>
        <w:rPr>
          <w:color w:val="231F20"/>
          <w:spacing w:val="-3"/>
        </w:rPr>
        <w:t>адміністративні</w:t>
      </w:r>
      <w:r>
        <w:rPr>
          <w:color w:val="231F20"/>
          <w:spacing w:val="18"/>
        </w:rPr>
        <w:t xml:space="preserve"> </w:t>
      </w:r>
      <w:r>
        <w:rPr>
          <w:color w:val="231F20"/>
          <w:spacing w:val="-4"/>
        </w:rPr>
        <w:t>правопорушення</w:t>
      </w:r>
    </w:p>
    <w:p w14:paraId="73451B27" w14:textId="77777777" w:rsidR="00DE575E" w:rsidRDefault="00DE575E">
      <w:pPr>
        <w:pStyle w:val="BodyText"/>
        <w:spacing w:before="9"/>
        <w:rPr>
          <w:sz w:val="12"/>
        </w:rPr>
      </w:pPr>
    </w:p>
    <w:p w14:paraId="3D2F99E2" w14:textId="77777777" w:rsidR="00DE575E" w:rsidRDefault="002E7560">
      <w:pPr>
        <w:spacing w:before="92"/>
        <w:ind w:left="533"/>
        <w:rPr>
          <w:rFonts w:ascii="Times New Roman"/>
          <w:sz w:val="20"/>
        </w:rPr>
      </w:pPr>
      <w:r>
        <w:rPr>
          <w:rFonts w:ascii="Times New Roman"/>
          <w:color w:val="231F20"/>
          <w:sz w:val="20"/>
        </w:rPr>
        <w:t>516</w:t>
      </w:r>
    </w:p>
    <w:p w14:paraId="662F5089" w14:textId="77777777" w:rsidR="00DE575E" w:rsidRDefault="00DE575E">
      <w:pPr>
        <w:rPr>
          <w:rFonts w:ascii="Times New Roman"/>
          <w:sz w:val="20"/>
        </w:rPr>
        <w:sectPr w:rsidR="00DE575E">
          <w:pgSz w:w="8510" w:h="12760"/>
          <w:pgMar w:top="660" w:right="720" w:bottom="280" w:left="600" w:header="720" w:footer="720" w:gutter="0"/>
          <w:cols w:space="720"/>
        </w:sectPr>
      </w:pPr>
    </w:p>
    <w:p w14:paraId="40318504" w14:textId="77777777" w:rsidR="00DE575E" w:rsidRDefault="002E7560">
      <w:pPr>
        <w:spacing w:before="72" w:line="249" w:lineRule="auto"/>
        <w:ind w:left="1020" w:right="392" w:firstLine="1672"/>
        <w:rPr>
          <w:rFonts w:ascii="AdonisC" w:hAnsi="AdonisC"/>
          <w:i/>
          <w:sz w:val="18"/>
        </w:rPr>
      </w:pPr>
      <w:r>
        <w:rPr>
          <w:rFonts w:ascii="AdonisC" w:hAnsi="AdonisC"/>
          <w:i/>
          <w:color w:val="231F20"/>
          <w:sz w:val="18"/>
        </w:rPr>
        <w:t xml:space="preserve">Глава ІІ Особливе адміністративне право/ Книга ІІ </w:t>
      </w:r>
      <w:r>
        <w:rPr>
          <w:rFonts w:ascii="AdonisC" w:hAnsi="AdonisC"/>
          <w:i/>
          <w:color w:val="231F20"/>
          <w:sz w:val="18"/>
        </w:rPr>
        <w:t>Розділ 5. Провадження у справах про адміністративні правопорушення</w:t>
      </w:r>
    </w:p>
    <w:p w14:paraId="46C8BDD9" w14:textId="69A7686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0C11022" wp14:editId="675CAEB6">
                <wp:extent cx="4140200" cy="6350"/>
                <wp:effectExtent l="0" t="0" r="12700" b="6350"/>
                <wp:docPr id="12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30" name="Line 1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9AB2B" id="Group_x0020_1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">
                <v:line id="Line_x0020_1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iDyMYAAADcAAAADwAAAGRycy9kb3ducmV2LnhtbESPQUvDQBCF7wX/wzKCl2I3GigSsyki&#10;COKhtY0/YJodk+DubJrdNtFf7xwEbzO8N+99U25m79SFxtgHNnC3ykARN8H23Br4qF9uH0DFhGzR&#10;BSYD3xRhU10tSixsmHhPl0NqlYRwLNBAl9JQaB2bjjzGVRiIRfsMo8ck69hqO+Ik4d7p+yxba489&#10;S0OHAz131Hwdzt5AfVom9757c1O9O+b6eNrmP+etMTfX89MjqERz+jf/Xb9awc8FX56RCXT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og8jGAAAA3AAAAA8AAAAAAAAA&#10;AAAAAAAAoQIAAGRycy9kb3ducmV2LnhtbFBLBQYAAAAABAAEAPkAAACUAwAAAAA=&#10;" strokecolor="#231f20" strokeweight=".5pt"/>
                <w10:anchorlock/>
              </v:group>
            </w:pict>
          </mc:Fallback>
        </mc:AlternateContent>
      </w:r>
    </w:p>
    <w:p w14:paraId="1E280E0B" w14:textId="77777777" w:rsidR="00DE575E" w:rsidRDefault="00DE575E">
      <w:pPr>
        <w:pStyle w:val="BodyText"/>
        <w:spacing w:before="7"/>
        <w:rPr>
          <w:rFonts w:ascii="AdonisC"/>
          <w:i/>
          <w:sz w:val="19"/>
        </w:rPr>
      </w:pPr>
    </w:p>
    <w:p w14:paraId="01AF782B" w14:textId="77777777" w:rsidR="00DE575E" w:rsidRDefault="002E7560">
      <w:pPr>
        <w:pStyle w:val="BodyText"/>
        <w:spacing w:before="1" w:line="252" w:lineRule="auto"/>
        <w:ind w:left="250" w:right="414"/>
        <w:jc w:val="both"/>
      </w:pPr>
      <w:r>
        <w:rPr>
          <w:color w:val="231F20"/>
        </w:rPr>
        <w:t>й накладати адміністративні стягнення мають право працівники органів і підрозділів Національної поліції, які мають спеціаль</w:t>
      </w:r>
      <w:r>
        <w:rPr>
          <w:color w:val="231F20"/>
        </w:rPr>
        <w:t>ні звання, відповідно до покладених на них повноважень.</w:t>
      </w:r>
    </w:p>
    <w:p w14:paraId="43A1B7A1" w14:textId="77777777" w:rsidR="00DE575E" w:rsidRDefault="002E7560">
      <w:pPr>
        <w:pStyle w:val="BodyText"/>
        <w:spacing w:before="1" w:line="252" w:lineRule="auto"/>
        <w:ind w:left="250" w:right="410" w:firstLine="283"/>
        <w:jc w:val="both"/>
      </w:pPr>
      <w:r>
        <w:rPr>
          <w:b/>
          <w:i/>
          <w:color w:val="231F20"/>
        </w:rPr>
        <w:t>Права особи, яку притягують до адміністративної відпо- відальності</w:t>
      </w:r>
      <w:r>
        <w:rPr>
          <w:color w:val="231F20"/>
        </w:rPr>
        <w:t xml:space="preserve">, визначено в </w:t>
      </w:r>
      <w:r>
        <w:rPr>
          <w:color w:val="231F20"/>
          <w:spacing w:val="-6"/>
        </w:rPr>
        <w:t xml:space="preserve">ст.  </w:t>
      </w:r>
      <w:r>
        <w:rPr>
          <w:color w:val="231F20"/>
        </w:rPr>
        <w:t xml:space="preserve">268  </w:t>
      </w:r>
      <w:r>
        <w:rPr>
          <w:color w:val="231F20"/>
          <w:spacing w:val="-3"/>
        </w:rPr>
        <w:t xml:space="preserve">КУпАП:  </w:t>
      </w:r>
      <w:r>
        <w:rPr>
          <w:color w:val="231F20"/>
        </w:rPr>
        <w:t>особа,  яку  притягують до адміністративної відповідальності, має право: знайомитися з матеріалами спр</w:t>
      </w:r>
      <w:r>
        <w:rPr>
          <w:color w:val="231F20"/>
        </w:rPr>
        <w:t xml:space="preserve">ави, давати пояснення, подавати докази, заявляти клопотання; під час </w:t>
      </w:r>
      <w:r>
        <w:rPr>
          <w:color w:val="231F20"/>
          <w:spacing w:val="-3"/>
        </w:rPr>
        <w:t xml:space="preserve">розгляду </w:t>
      </w:r>
      <w:r>
        <w:rPr>
          <w:color w:val="231F20"/>
        </w:rPr>
        <w:t>справи користуватися юридичною допомогою адвоката, іншого фахівця в галузі права, який за зако- ном має право на надання правової допомоги особисто чи за дору- ченням юридичної о</w:t>
      </w:r>
      <w:r>
        <w:rPr>
          <w:color w:val="231F20"/>
        </w:rPr>
        <w:t>соби, виступати рідною мовою і користуватися послугами перекладача, якщо не володіє мовою, якою здійснюється провадження;</w:t>
      </w:r>
      <w:r>
        <w:rPr>
          <w:color w:val="231F20"/>
          <w:spacing w:val="-8"/>
        </w:rPr>
        <w:t xml:space="preserve"> </w:t>
      </w:r>
      <w:r>
        <w:rPr>
          <w:color w:val="231F20"/>
        </w:rPr>
        <w:t>оскаржити</w:t>
      </w:r>
      <w:r>
        <w:rPr>
          <w:color w:val="231F20"/>
          <w:spacing w:val="-8"/>
        </w:rPr>
        <w:t xml:space="preserve"> </w:t>
      </w:r>
      <w:r>
        <w:rPr>
          <w:color w:val="231F20"/>
        </w:rPr>
        <w:t>постанову</w:t>
      </w:r>
      <w:r>
        <w:rPr>
          <w:color w:val="231F20"/>
          <w:spacing w:val="-8"/>
        </w:rPr>
        <w:t xml:space="preserve"> </w:t>
      </w:r>
      <w:r>
        <w:rPr>
          <w:color w:val="231F20"/>
        </w:rPr>
        <w:t>в</w:t>
      </w:r>
      <w:r>
        <w:rPr>
          <w:color w:val="231F20"/>
          <w:spacing w:val="-9"/>
        </w:rPr>
        <w:t xml:space="preserve"> </w:t>
      </w:r>
      <w:r>
        <w:rPr>
          <w:color w:val="231F20"/>
        </w:rPr>
        <w:t>справі.</w:t>
      </w:r>
      <w:r>
        <w:rPr>
          <w:color w:val="231F20"/>
          <w:spacing w:val="-8"/>
        </w:rPr>
        <w:t xml:space="preserve"> </w:t>
      </w:r>
      <w:r>
        <w:rPr>
          <w:color w:val="231F20"/>
        </w:rPr>
        <w:t>Справу</w:t>
      </w:r>
      <w:r>
        <w:rPr>
          <w:color w:val="231F20"/>
          <w:spacing w:val="-8"/>
        </w:rPr>
        <w:t xml:space="preserve"> </w:t>
      </w:r>
      <w:r>
        <w:rPr>
          <w:color w:val="231F20"/>
        </w:rPr>
        <w:t>про</w:t>
      </w:r>
      <w:r>
        <w:rPr>
          <w:color w:val="231F20"/>
          <w:spacing w:val="-8"/>
        </w:rPr>
        <w:t xml:space="preserve"> </w:t>
      </w:r>
      <w:r>
        <w:rPr>
          <w:color w:val="231F20"/>
        </w:rPr>
        <w:t>адміністра- тивне</w:t>
      </w:r>
      <w:r>
        <w:rPr>
          <w:color w:val="231F20"/>
          <w:spacing w:val="-18"/>
        </w:rPr>
        <w:t xml:space="preserve"> </w:t>
      </w:r>
      <w:r>
        <w:rPr>
          <w:color w:val="231F20"/>
        </w:rPr>
        <w:t>правопорушення</w:t>
      </w:r>
      <w:r>
        <w:rPr>
          <w:color w:val="231F20"/>
          <w:spacing w:val="-18"/>
        </w:rPr>
        <w:t xml:space="preserve"> </w:t>
      </w:r>
      <w:r>
        <w:rPr>
          <w:color w:val="231F20"/>
        </w:rPr>
        <w:t>розглядають</w:t>
      </w:r>
      <w:r>
        <w:rPr>
          <w:color w:val="231F20"/>
          <w:spacing w:val="-18"/>
        </w:rPr>
        <w:t xml:space="preserve"> </w:t>
      </w:r>
      <w:r>
        <w:rPr>
          <w:color w:val="231F20"/>
        </w:rPr>
        <w:t>у</w:t>
      </w:r>
      <w:r>
        <w:rPr>
          <w:color w:val="231F20"/>
          <w:spacing w:val="-16"/>
        </w:rPr>
        <w:t xml:space="preserve"> </w:t>
      </w:r>
      <w:r>
        <w:rPr>
          <w:color w:val="231F20"/>
        </w:rPr>
        <w:t>присутності</w:t>
      </w:r>
      <w:r>
        <w:rPr>
          <w:color w:val="231F20"/>
          <w:spacing w:val="-18"/>
        </w:rPr>
        <w:t xml:space="preserve"> </w:t>
      </w:r>
      <w:r>
        <w:rPr>
          <w:color w:val="231F20"/>
        </w:rPr>
        <w:t>особи,</w:t>
      </w:r>
      <w:r>
        <w:rPr>
          <w:color w:val="231F20"/>
          <w:spacing w:val="-18"/>
        </w:rPr>
        <w:t xml:space="preserve"> </w:t>
      </w:r>
      <w:r>
        <w:rPr>
          <w:color w:val="231F20"/>
        </w:rPr>
        <w:t>яку</w:t>
      </w:r>
      <w:r>
        <w:rPr>
          <w:color w:val="231F20"/>
          <w:spacing w:val="-18"/>
        </w:rPr>
        <w:t xml:space="preserve"> </w:t>
      </w:r>
      <w:r>
        <w:rPr>
          <w:color w:val="231F20"/>
        </w:rPr>
        <w:t>притя- гують до адміністративної відповідальності. Під час відсутності цієї особи</w:t>
      </w:r>
      <w:r>
        <w:rPr>
          <w:color w:val="231F20"/>
          <w:spacing w:val="-12"/>
        </w:rPr>
        <w:t xml:space="preserve"> </w:t>
      </w:r>
      <w:r>
        <w:rPr>
          <w:color w:val="231F20"/>
        </w:rPr>
        <w:t>справу</w:t>
      </w:r>
      <w:r>
        <w:rPr>
          <w:color w:val="231F20"/>
          <w:spacing w:val="-12"/>
        </w:rPr>
        <w:t xml:space="preserve"> </w:t>
      </w:r>
      <w:r>
        <w:rPr>
          <w:color w:val="231F20"/>
        </w:rPr>
        <w:t>може</w:t>
      </w:r>
      <w:r>
        <w:rPr>
          <w:color w:val="231F20"/>
          <w:spacing w:val="-12"/>
        </w:rPr>
        <w:t xml:space="preserve"> </w:t>
      </w:r>
      <w:r>
        <w:rPr>
          <w:color w:val="231F20"/>
        </w:rPr>
        <w:t>бути</w:t>
      </w:r>
      <w:r>
        <w:rPr>
          <w:color w:val="231F20"/>
          <w:spacing w:val="-12"/>
        </w:rPr>
        <w:t xml:space="preserve"> </w:t>
      </w:r>
      <w:r>
        <w:rPr>
          <w:color w:val="231F20"/>
        </w:rPr>
        <w:t>розглянуто</w:t>
      </w:r>
      <w:r>
        <w:rPr>
          <w:color w:val="231F20"/>
          <w:spacing w:val="-12"/>
        </w:rPr>
        <w:t xml:space="preserve"> </w:t>
      </w:r>
      <w:r>
        <w:rPr>
          <w:color w:val="231F20"/>
        </w:rPr>
        <w:t>лише</w:t>
      </w:r>
      <w:r>
        <w:rPr>
          <w:color w:val="231F20"/>
          <w:spacing w:val="-12"/>
        </w:rPr>
        <w:t xml:space="preserve"> </w:t>
      </w:r>
      <w:r>
        <w:rPr>
          <w:color w:val="231F20"/>
        </w:rPr>
        <w:t>у</w:t>
      </w:r>
      <w:r>
        <w:rPr>
          <w:color w:val="231F20"/>
          <w:spacing w:val="-11"/>
        </w:rPr>
        <w:t xml:space="preserve"> </w:t>
      </w:r>
      <w:r>
        <w:rPr>
          <w:color w:val="231F20"/>
        </w:rPr>
        <w:t>випадках,</w:t>
      </w:r>
      <w:r>
        <w:rPr>
          <w:color w:val="231F20"/>
          <w:spacing w:val="-12"/>
        </w:rPr>
        <w:t xml:space="preserve"> </w:t>
      </w:r>
      <w:r>
        <w:rPr>
          <w:color w:val="231F20"/>
        </w:rPr>
        <w:t>коли</w:t>
      </w:r>
      <w:r>
        <w:rPr>
          <w:color w:val="231F20"/>
          <w:spacing w:val="-12"/>
        </w:rPr>
        <w:t xml:space="preserve"> </w:t>
      </w:r>
      <w:r>
        <w:rPr>
          <w:color w:val="231F20"/>
        </w:rPr>
        <w:t>є</w:t>
      </w:r>
      <w:r>
        <w:rPr>
          <w:color w:val="231F20"/>
          <w:spacing w:val="-12"/>
        </w:rPr>
        <w:t xml:space="preserve"> </w:t>
      </w:r>
      <w:r>
        <w:rPr>
          <w:color w:val="231F20"/>
        </w:rPr>
        <w:t>дані</w:t>
      </w:r>
      <w:r>
        <w:rPr>
          <w:color w:val="231F20"/>
          <w:spacing w:val="-12"/>
        </w:rPr>
        <w:t xml:space="preserve"> </w:t>
      </w:r>
      <w:r>
        <w:rPr>
          <w:color w:val="231F20"/>
        </w:rPr>
        <w:t>про своєчасне</w:t>
      </w:r>
      <w:r>
        <w:rPr>
          <w:color w:val="231F20"/>
          <w:spacing w:val="-9"/>
        </w:rPr>
        <w:t xml:space="preserve"> </w:t>
      </w:r>
      <w:r>
        <w:rPr>
          <w:color w:val="231F20"/>
        </w:rPr>
        <w:t>її</w:t>
      </w:r>
      <w:r>
        <w:rPr>
          <w:color w:val="231F20"/>
          <w:spacing w:val="-9"/>
        </w:rPr>
        <w:t xml:space="preserve"> </w:t>
      </w:r>
      <w:r>
        <w:rPr>
          <w:color w:val="231F20"/>
        </w:rPr>
        <w:t>сповіщення</w:t>
      </w:r>
      <w:r>
        <w:rPr>
          <w:color w:val="231F20"/>
          <w:spacing w:val="-9"/>
        </w:rPr>
        <w:t xml:space="preserve"> </w:t>
      </w:r>
      <w:r>
        <w:rPr>
          <w:color w:val="231F20"/>
        </w:rPr>
        <w:t>про</w:t>
      </w:r>
      <w:r>
        <w:rPr>
          <w:color w:val="231F20"/>
          <w:spacing w:val="-9"/>
        </w:rPr>
        <w:t xml:space="preserve"> </w:t>
      </w:r>
      <w:r>
        <w:rPr>
          <w:color w:val="231F20"/>
        </w:rPr>
        <w:t>місце</w:t>
      </w:r>
      <w:r>
        <w:rPr>
          <w:color w:val="231F20"/>
          <w:spacing w:val="-9"/>
        </w:rPr>
        <w:t xml:space="preserve"> </w:t>
      </w:r>
      <w:r>
        <w:rPr>
          <w:color w:val="231F20"/>
        </w:rPr>
        <w:t>і</w:t>
      </w:r>
      <w:r>
        <w:rPr>
          <w:color w:val="231F20"/>
          <w:spacing w:val="-10"/>
        </w:rPr>
        <w:t xml:space="preserve"> </w:t>
      </w:r>
      <w:r>
        <w:rPr>
          <w:color w:val="231F20"/>
        </w:rPr>
        <w:t>час</w:t>
      </w:r>
      <w:r>
        <w:rPr>
          <w:color w:val="231F20"/>
          <w:spacing w:val="-9"/>
        </w:rPr>
        <w:t xml:space="preserve"> </w:t>
      </w:r>
      <w:r>
        <w:rPr>
          <w:color w:val="231F20"/>
          <w:spacing w:val="-3"/>
        </w:rPr>
        <w:t>розгляду</w:t>
      </w:r>
      <w:r>
        <w:rPr>
          <w:color w:val="231F20"/>
          <w:spacing w:val="-9"/>
        </w:rPr>
        <w:t xml:space="preserve"> </w:t>
      </w:r>
      <w:r>
        <w:rPr>
          <w:color w:val="231F20"/>
        </w:rPr>
        <w:t>справи</w:t>
      </w:r>
      <w:r>
        <w:rPr>
          <w:color w:val="231F20"/>
          <w:spacing w:val="-9"/>
        </w:rPr>
        <w:t xml:space="preserve"> </w:t>
      </w:r>
      <w:r>
        <w:rPr>
          <w:color w:val="231F20"/>
        </w:rPr>
        <w:t>і</w:t>
      </w:r>
      <w:r>
        <w:rPr>
          <w:color w:val="231F20"/>
          <w:spacing w:val="-9"/>
        </w:rPr>
        <w:t xml:space="preserve"> </w:t>
      </w:r>
      <w:r>
        <w:rPr>
          <w:color w:val="231F20"/>
        </w:rPr>
        <w:t>якщо</w:t>
      </w:r>
      <w:r>
        <w:rPr>
          <w:color w:val="231F20"/>
          <w:spacing w:val="-9"/>
        </w:rPr>
        <w:t xml:space="preserve"> </w:t>
      </w:r>
      <w:r>
        <w:rPr>
          <w:color w:val="231F20"/>
        </w:rPr>
        <w:t>від</w:t>
      </w:r>
      <w:r>
        <w:rPr>
          <w:color w:val="231F20"/>
          <w:spacing w:val="-9"/>
        </w:rPr>
        <w:t xml:space="preserve"> </w:t>
      </w:r>
      <w:r>
        <w:rPr>
          <w:color w:val="231F20"/>
        </w:rPr>
        <w:t xml:space="preserve">неї не надійшло клопотання про відкладення </w:t>
      </w:r>
      <w:r>
        <w:rPr>
          <w:color w:val="231F20"/>
          <w:spacing w:val="-3"/>
        </w:rPr>
        <w:t>роз</w:t>
      </w:r>
      <w:r>
        <w:rPr>
          <w:color w:val="231F20"/>
          <w:spacing w:val="-3"/>
        </w:rPr>
        <w:t>гляду</w:t>
      </w:r>
      <w:r>
        <w:rPr>
          <w:color w:val="231F20"/>
          <w:spacing w:val="-5"/>
        </w:rPr>
        <w:t xml:space="preserve"> </w:t>
      </w:r>
      <w:r>
        <w:rPr>
          <w:color w:val="231F20"/>
        </w:rPr>
        <w:t>справи.</w:t>
      </w:r>
    </w:p>
    <w:p w14:paraId="2E0E6333" w14:textId="77777777" w:rsidR="00DE575E" w:rsidRDefault="002E7560">
      <w:pPr>
        <w:pStyle w:val="BodyText"/>
        <w:spacing w:before="8" w:line="252" w:lineRule="auto"/>
        <w:ind w:left="250" w:right="411" w:firstLine="283"/>
        <w:jc w:val="both"/>
      </w:pPr>
      <w:r>
        <w:rPr>
          <w:b/>
          <w:i/>
          <w:color w:val="231F20"/>
        </w:rPr>
        <w:t>Іноземці й особи без громадянства</w:t>
      </w:r>
      <w:r>
        <w:rPr>
          <w:color w:val="231F20"/>
        </w:rPr>
        <w:t xml:space="preserve">, які перебувають на тери- торії </w:t>
      </w:r>
      <w:r>
        <w:rPr>
          <w:color w:val="231F20"/>
          <w:spacing w:val="-3"/>
        </w:rPr>
        <w:t xml:space="preserve">України, </w:t>
      </w:r>
      <w:r>
        <w:rPr>
          <w:color w:val="231F20"/>
        </w:rPr>
        <w:t xml:space="preserve">підлягають адміністративній відповідальності на загальних підставах із громадянами </w:t>
      </w:r>
      <w:r>
        <w:rPr>
          <w:color w:val="231F20"/>
          <w:spacing w:val="-3"/>
        </w:rPr>
        <w:t xml:space="preserve">України. </w:t>
      </w:r>
      <w:r>
        <w:rPr>
          <w:color w:val="231F20"/>
        </w:rPr>
        <w:t xml:space="preserve">Питання про відпові- дальність за адміністративні правопорушення, учинені на території </w:t>
      </w:r>
      <w:r>
        <w:rPr>
          <w:color w:val="231F20"/>
          <w:spacing w:val="-3"/>
        </w:rPr>
        <w:t>України</w:t>
      </w:r>
      <w:r>
        <w:rPr>
          <w:color w:val="231F20"/>
          <w:spacing w:val="-24"/>
        </w:rPr>
        <w:t xml:space="preserve"> </w:t>
      </w:r>
      <w:r>
        <w:rPr>
          <w:color w:val="231F20"/>
        </w:rPr>
        <w:t>іноземцями,</w:t>
      </w:r>
      <w:r>
        <w:rPr>
          <w:color w:val="231F20"/>
          <w:spacing w:val="-24"/>
        </w:rPr>
        <w:t xml:space="preserve"> </w:t>
      </w:r>
      <w:r>
        <w:rPr>
          <w:color w:val="231F20"/>
        </w:rPr>
        <w:t>які</w:t>
      </w:r>
      <w:r>
        <w:rPr>
          <w:color w:val="231F20"/>
          <w:spacing w:val="-24"/>
        </w:rPr>
        <w:t xml:space="preserve"> </w:t>
      </w:r>
      <w:r>
        <w:rPr>
          <w:color w:val="231F20"/>
        </w:rPr>
        <w:t>згідно</w:t>
      </w:r>
      <w:r>
        <w:rPr>
          <w:color w:val="231F20"/>
          <w:spacing w:val="-24"/>
        </w:rPr>
        <w:t xml:space="preserve"> </w:t>
      </w:r>
      <w:r>
        <w:rPr>
          <w:color w:val="231F20"/>
          <w:spacing w:val="1"/>
        </w:rPr>
        <w:t>зчинними</w:t>
      </w:r>
      <w:r>
        <w:rPr>
          <w:color w:val="231F20"/>
          <w:spacing w:val="-24"/>
        </w:rPr>
        <w:t xml:space="preserve"> </w:t>
      </w:r>
      <w:r>
        <w:rPr>
          <w:color w:val="231F20"/>
        </w:rPr>
        <w:t>законами</w:t>
      </w:r>
      <w:r>
        <w:rPr>
          <w:color w:val="231F20"/>
          <w:spacing w:val="-24"/>
        </w:rPr>
        <w:t xml:space="preserve"> </w:t>
      </w:r>
      <w:r>
        <w:rPr>
          <w:color w:val="231F20"/>
        </w:rPr>
        <w:t>та</w:t>
      </w:r>
      <w:r>
        <w:rPr>
          <w:color w:val="231F20"/>
          <w:spacing w:val="-24"/>
        </w:rPr>
        <w:t xml:space="preserve"> </w:t>
      </w:r>
      <w:r>
        <w:rPr>
          <w:color w:val="231F20"/>
        </w:rPr>
        <w:t xml:space="preserve">міжнародними договорами </w:t>
      </w:r>
      <w:r>
        <w:rPr>
          <w:color w:val="231F20"/>
          <w:spacing w:val="-3"/>
        </w:rPr>
        <w:t xml:space="preserve">України </w:t>
      </w:r>
      <w:r>
        <w:rPr>
          <w:color w:val="231F20"/>
        </w:rPr>
        <w:t xml:space="preserve">користуються імунітетом від адміністративної юрисдикції </w:t>
      </w:r>
      <w:r>
        <w:rPr>
          <w:color w:val="231F20"/>
          <w:spacing w:val="-3"/>
        </w:rPr>
        <w:t xml:space="preserve">України, </w:t>
      </w:r>
      <w:r>
        <w:rPr>
          <w:color w:val="231F20"/>
        </w:rPr>
        <w:t>вирішують дипломатич</w:t>
      </w:r>
      <w:r>
        <w:rPr>
          <w:color w:val="231F20"/>
        </w:rPr>
        <w:t>ним</w:t>
      </w:r>
      <w:r>
        <w:rPr>
          <w:color w:val="231F20"/>
          <w:spacing w:val="-5"/>
        </w:rPr>
        <w:t xml:space="preserve"> </w:t>
      </w:r>
      <w:r>
        <w:rPr>
          <w:color w:val="231F20"/>
        </w:rPr>
        <w:t>шляхом.</w:t>
      </w:r>
    </w:p>
    <w:p w14:paraId="79005F7C" w14:textId="77777777" w:rsidR="00DE575E" w:rsidRDefault="002E7560">
      <w:pPr>
        <w:pStyle w:val="BodyText"/>
        <w:spacing w:before="3" w:line="252" w:lineRule="auto"/>
        <w:ind w:left="250" w:right="410" w:firstLine="283"/>
        <w:jc w:val="both"/>
      </w:pPr>
      <w:r>
        <w:rPr>
          <w:b/>
          <w:i/>
          <w:color w:val="231F20"/>
        </w:rPr>
        <w:t xml:space="preserve">Члени дипломатичного корпусу </w:t>
      </w:r>
      <w:r>
        <w:rPr>
          <w:color w:val="231F20"/>
        </w:rPr>
        <w:t>мають дипломатичний імуні- тет постійно, а адміністративно-технічний та допоміжний персо- нал – лише під час виконання службових обов’язків. Члени дипло- матичного корпусу не зобов’язані надавати пояснення як свідки</w:t>
      </w:r>
      <w:r>
        <w:rPr>
          <w:color w:val="231F20"/>
        </w:rPr>
        <w:t>. Транспортні засоби означеного корпусу також мають імунітет від обшуку, арешту.</w:t>
      </w:r>
    </w:p>
    <w:p w14:paraId="1E5C0E96" w14:textId="77777777" w:rsidR="00DE575E" w:rsidRDefault="002E7560">
      <w:pPr>
        <w:pStyle w:val="BodyText"/>
        <w:spacing w:before="3" w:line="252" w:lineRule="auto"/>
        <w:ind w:left="250" w:right="411" w:firstLine="283"/>
        <w:jc w:val="both"/>
      </w:pPr>
      <w:r>
        <w:rPr>
          <w:color w:val="231F20"/>
        </w:rPr>
        <w:t>У разі порушення правил дорожнього руху особою, яка має</w:t>
      </w:r>
      <w:r>
        <w:rPr>
          <w:color w:val="231F20"/>
          <w:spacing w:val="-26"/>
        </w:rPr>
        <w:t xml:space="preserve"> </w:t>
      </w:r>
      <w:r>
        <w:rPr>
          <w:color w:val="231F20"/>
        </w:rPr>
        <w:t xml:space="preserve">імуні- </w:t>
      </w:r>
      <w:r>
        <w:rPr>
          <w:color w:val="231F20"/>
          <w:spacing w:val="-5"/>
        </w:rPr>
        <w:t xml:space="preserve">тет, </w:t>
      </w:r>
      <w:r>
        <w:rPr>
          <w:color w:val="231F20"/>
        </w:rPr>
        <w:t xml:space="preserve">після перевірки документів, що посвідчують її </w:t>
      </w:r>
      <w:r>
        <w:rPr>
          <w:color w:val="231F20"/>
          <w:spacing w:val="-3"/>
        </w:rPr>
        <w:t xml:space="preserve">особу, </w:t>
      </w:r>
      <w:r>
        <w:rPr>
          <w:color w:val="231F20"/>
        </w:rPr>
        <w:t>та акреди- таційної картки, що підтверджує статус (дип</w:t>
      </w:r>
      <w:r>
        <w:rPr>
          <w:color w:val="231F20"/>
        </w:rPr>
        <w:t xml:space="preserve">ломатичний </w:t>
      </w:r>
      <w:r>
        <w:rPr>
          <w:color w:val="231F20"/>
          <w:spacing w:val="-3"/>
        </w:rPr>
        <w:t xml:space="preserve">паспорт, </w:t>
      </w:r>
      <w:r>
        <w:rPr>
          <w:color w:val="231F20"/>
        </w:rPr>
        <w:t>дипломатична картка, консульська картка, службова картка), полі- цейський</w:t>
      </w:r>
      <w:r>
        <w:rPr>
          <w:color w:val="231F20"/>
          <w:spacing w:val="-12"/>
        </w:rPr>
        <w:t xml:space="preserve"> </w:t>
      </w:r>
      <w:r>
        <w:rPr>
          <w:color w:val="231F20"/>
        </w:rPr>
        <w:t>складає</w:t>
      </w:r>
      <w:r>
        <w:rPr>
          <w:color w:val="231F20"/>
          <w:spacing w:val="-12"/>
        </w:rPr>
        <w:t xml:space="preserve"> </w:t>
      </w:r>
      <w:r>
        <w:rPr>
          <w:color w:val="231F20"/>
          <w:spacing w:val="-4"/>
        </w:rPr>
        <w:t>рапорт,</w:t>
      </w:r>
      <w:r>
        <w:rPr>
          <w:color w:val="231F20"/>
          <w:spacing w:val="-12"/>
        </w:rPr>
        <w:t xml:space="preserve"> </w:t>
      </w:r>
      <w:r>
        <w:rPr>
          <w:color w:val="231F20"/>
        </w:rPr>
        <w:t>а</w:t>
      </w:r>
      <w:r>
        <w:rPr>
          <w:color w:val="231F20"/>
          <w:spacing w:val="-12"/>
        </w:rPr>
        <w:t xml:space="preserve"> </w:t>
      </w:r>
      <w:r>
        <w:rPr>
          <w:color w:val="231F20"/>
        </w:rPr>
        <w:t>документи</w:t>
      </w:r>
      <w:r>
        <w:rPr>
          <w:color w:val="231F20"/>
          <w:spacing w:val="-12"/>
        </w:rPr>
        <w:t xml:space="preserve"> </w:t>
      </w:r>
      <w:r>
        <w:rPr>
          <w:color w:val="231F20"/>
        </w:rPr>
        <w:t>повертають</w:t>
      </w:r>
      <w:r>
        <w:rPr>
          <w:color w:val="231F20"/>
          <w:spacing w:val="-12"/>
        </w:rPr>
        <w:t xml:space="preserve"> </w:t>
      </w:r>
      <w:r>
        <w:rPr>
          <w:color w:val="231F20"/>
        </w:rPr>
        <w:t>власникові.</w:t>
      </w:r>
      <w:r>
        <w:rPr>
          <w:color w:val="231F20"/>
          <w:spacing w:val="-12"/>
        </w:rPr>
        <w:t xml:space="preserve"> </w:t>
      </w:r>
      <w:r>
        <w:rPr>
          <w:color w:val="231F20"/>
        </w:rPr>
        <w:t xml:space="preserve">Забо- ронено здійснювати щодо такої особи </w:t>
      </w:r>
      <w:r>
        <w:rPr>
          <w:color w:val="231F20"/>
          <w:spacing w:val="-2"/>
        </w:rPr>
        <w:t xml:space="preserve">заходи </w:t>
      </w:r>
      <w:r>
        <w:rPr>
          <w:color w:val="231F20"/>
        </w:rPr>
        <w:t xml:space="preserve">затримання або інші примусові дії, за винятком випадків, коли </w:t>
      </w:r>
      <w:r>
        <w:rPr>
          <w:color w:val="231F20"/>
        </w:rPr>
        <w:t>надання свободи сприя- тиме продовженню</w:t>
      </w:r>
      <w:r>
        <w:rPr>
          <w:color w:val="231F20"/>
          <w:spacing w:val="-2"/>
        </w:rPr>
        <w:t xml:space="preserve"> </w:t>
      </w:r>
      <w:r>
        <w:rPr>
          <w:color w:val="231F20"/>
        </w:rPr>
        <w:t>правопорушення.</w:t>
      </w:r>
    </w:p>
    <w:p w14:paraId="4CA851C1" w14:textId="77777777" w:rsidR="00DE575E" w:rsidRDefault="00DE575E">
      <w:pPr>
        <w:pStyle w:val="BodyText"/>
        <w:spacing w:before="8"/>
        <w:rPr>
          <w:sz w:val="12"/>
        </w:rPr>
      </w:pPr>
    </w:p>
    <w:p w14:paraId="70553AF8" w14:textId="77777777" w:rsidR="00DE575E" w:rsidRDefault="002E7560">
      <w:pPr>
        <w:spacing w:before="92"/>
        <w:ind w:right="411"/>
        <w:jc w:val="right"/>
        <w:rPr>
          <w:rFonts w:ascii="Times New Roman"/>
          <w:sz w:val="20"/>
        </w:rPr>
      </w:pPr>
      <w:r>
        <w:rPr>
          <w:rFonts w:ascii="Times New Roman"/>
          <w:color w:val="231F20"/>
          <w:w w:val="90"/>
          <w:sz w:val="20"/>
        </w:rPr>
        <w:t>517</w:t>
      </w:r>
    </w:p>
    <w:p w14:paraId="10C41E7A"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4ED1F4D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7AA3FEE" w14:textId="7EB42BD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87DBF68" wp14:editId="20DAA337">
                <wp:extent cx="4140200" cy="6350"/>
                <wp:effectExtent l="0" t="0" r="12700" b="6350"/>
                <wp:docPr id="1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8" name="Line 1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F019F6" id="Group_x0020_1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KFiyvN/AgAAmAUAAA4A&#10;AAAAAAAAAAAAAAAALAIAAGRycy9lMm9Eb2MueG1sUEsBAi0AFAAGAAgAAAAhAEynsJDZAAAAAwEA&#10;AA8AAAAAAAAAAAAAAAAA1wQAAGRycy9kb3ducmV2LnhtbFBLBQYAAAAABAAEAPMAAADdBQAAAAA=&#10;">
                <v:line id="Line_x0020_1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cZE8YAAADcAAAADwAAAGRycy9kb3ducmV2LnhtbESPQWvCQBCF74X+h2UKvZS6qUKR6Coi&#10;CKUHbU1/wJgdk+DubMyuJvrrO4dCbzO8N+99M18O3qkrdbEJbOBtlIEiLoNtuDLwU2xep6BiQrbo&#10;ApOBG0VYLh4f5pjb0PM3XfepUhLCMUcDdUptrnUsa/IYR6ElFu0YOo9J1q7StsNewr3T4yx71x4b&#10;loYaW1rXVJ72F2+gOL8k97X7dH2xO0z04byd3C9bY56fhtUMVKIh/Zv/rj+s4I+FVp6RCf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JHGRPGAAAA3AAAAA8AAAAAAAAA&#10;AAAAAAAAoQIAAGRycy9kb3ducmV2LnhtbFBLBQYAAAAABAAEAPkAAACUAwAAAAA=&#10;" strokecolor="#231f20" strokeweight=".5pt"/>
                <w10:anchorlock/>
              </v:group>
            </w:pict>
          </mc:Fallback>
        </mc:AlternateContent>
      </w:r>
    </w:p>
    <w:p w14:paraId="09638247" w14:textId="77777777" w:rsidR="00DE575E" w:rsidRDefault="00DE575E">
      <w:pPr>
        <w:pStyle w:val="BodyText"/>
        <w:spacing w:before="7"/>
        <w:rPr>
          <w:rFonts w:ascii="AdonisC"/>
          <w:i/>
          <w:sz w:val="11"/>
        </w:rPr>
      </w:pPr>
    </w:p>
    <w:p w14:paraId="49899816" w14:textId="77777777" w:rsidR="00DE575E" w:rsidRDefault="002E7560">
      <w:pPr>
        <w:pStyle w:val="BodyText"/>
        <w:spacing w:before="101" w:line="252" w:lineRule="auto"/>
        <w:ind w:left="533" w:right="127" w:firstLine="283"/>
        <w:jc w:val="both"/>
      </w:pPr>
      <w:r>
        <w:rPr>
          <w:color w:val="231F20"/>
          <w:spacing w:val="-3"/>
        </w:rPr>
        <w:t xml:space="preserve">Якщо </w:t>
      </w:r>
      <w:r>
        <w:rPr>
          <w:color w:val="231F20"/>
        </w:rPr>
        <w:t xml:space="preserve">особа, яка має </w:t>
      </w:r>
      <w:r>
        <w:rPr>
          <w:color w:val="231F20"/>
          <w:spacing w:val="-3"/>
        </w:rPr>
        <w:t xml:space="preserve">дипломатичний </w:t>
      </w:r>
      <w:r>
        <w:rPr>
          <w:color w:val="231F20"/>
          <w:spacing w:val="-5"/>
        </w:rPr>
        <w:t xml:space="preserve">імунітет, </w:t>
      </w:r>
      <w:r>
        <w:rPr>
          <w:color w:val="231F20"/>
          <w:spacing w:val="-4"/>
        </w:rPr>
        <w:t xml:space="preserve">керує транспортним </w:t>
      </w:r>
      <w:r>
        <w:rPr>
          <w:color w:val="231F20"/>
          <w:spacing w:val="-3"/>
        </w:rPr>
        <w:t>засобом</w:t>
      </w:r>
      <w:r>
        <w:rPr>
          <w:color w:val="231F20"/>
          <w:spacing w:val="-14"/>
        </w:rPr>
        <w:t xml:space="preserve"> </w:t>
      </w:r>
      <w:r>
        <w:rPr>
          <w:color w:val="231F20"/>
        </w:rPr>
        <w:t>у</w:t>
      </w:r>
      <w:r>
        <w:rPr>
          <w:color w:val="231F20"/>
          <w:spacing w:val="-14"/>
        </w:rPr>
        <w:t xml:space="preserve"> </w:t>
      </w:r>
      <w:r>
        <w:rPr>
          <w:color w:val="231F20"/>
          <w:spacing w:val="-3"/>
        </w:rPr>
        <w:t>стані</w:t>
      </w:r>
      <w:r>
        <w:rPr>
          <w:color w:val="231F20"/>
          <w:spacing w:val="-14"/>
        </w:rPr>
        <w:t xml:space="preserve"> </w:t>
      </w:r>
      <w:r>
        <w:rPr>
          <w:color w:val="231F20"/>
          <w:spacing w:val="-3"/>
        </w:rPr>
        <w:t>сп’яніння,</w:t>
      </w:r>
      <w:r>
        <w:rPr>
          <w:color w:val="231F20"/>
          <w:spacing w:val="-14"/>
        </w:rPr>
        <w:t xml:space="preserve"> </w:t>
      </w:r>
      <w:r>
        <w:rPr>
          <w:color w:val="231F20"/>
        </w:rPr>
        <w:t>їй</w:t>
      </w:r>
      <w:r>
        <w:rPr>
          <w:color w:val="231F20"/>
          <w:spacing w:val="-14"/>
        </w:rPr>
        <w:t xml:space="preserve"> </w:t>
      </w:r>
      <w:r>
        <w:rPr>
          <w:color w:val="231F20"/>
          <w:spacing w:val="-3"/>
        </w:rPr>
        <w:t>пропонують</w:t>
      </w:r>
      <w:r>
        <w:rPr>
          <w:color w:val="231F20"/>
          <w:spacing w:val="-14"/>
        </w:rPr>
        <w:t xml:space="preserve"> </w:t>
      </w:r>
      <w:r>
        <w:rPr>
          <w:color w:val="231F20"/>
          <w:spacing w:val="-3"/>
        </w:rPr>
        <w:t>припинити</w:t>
      </w:r>
      <w:r>
        <w:rPr>
          <w:color w:val="231F20"/>
          <w:spacing w:val="-14"/>
        </w:rPr>
        <w:t xml:space="preserve"> </w:t>
      </w:r>
      <w:r>
        <w:rPr>
          <w:color w:val="231F20"/>
          <w:spacing w:val="-4"/>
        </w:rPr>
        <w:t>керування.</w:t>
      </w:r>
      <w:r>
        <w:rPr>
          <w:color w:val="231F20"/>
          <w:spacing w:val="-14"/>
        </w:rPr>
        <w:t xml:space="preserve"> </w:t>
      </w:r>
      <w:r>
        <w:rPr>
          <w:color w:val="231F20"/>
          <w:spacing w:val="-5"/>
        </w:rPr>
        <w:t xml:space="preserve">Огляд </w:t>
      </w:r>
      <w:r>
        <w:rPr>
          <w:color w:val="231F20"/>
        </w:rPr>
        <w:t xml:space="preserve">на </w:t>
      </w:r>
      <w:r>
        <w:rPr>
          <w:color w:val="231F20"/>
          <w:spacing w:val="-3"/>
        </w:rPr>
        <w:t xml:space="preserve">стан сп’яніння </w:t>
      </w:r>
      <w:r>
        <w:rPr>
          <w:color w:val="231F20"/>
        </w:rPr>
        <w:t xml:space="preserve">в </w:t>
      </w:r>
      <w:r>
        <w:rPr>
          <w:color w:val="231F20"/>
          <w:spacing w:val="-3"/>
        </w:rPr>
        <w:t xml:space="preserve">закладах охорони здоров’я </w:t>
      </w:r>
      <w:r>
        <w:rPr>
          <w:color w:val="231F20"/>
          <w:spacing w:val="-4"/>
        </w:rPr>
        <w:t xml:space="preserve">проводять </w:t>
      </w:r>
      <w:r>
        <w:rPr>
          <w:color w:val="231F20"/>
        </w:rPr>
        <w:t xml:space="preserve">за її </w:t>
      </w:r>
      <w:r>
        <w:rPr>
          <w:color w:val="231F20"/>
          <w:spacing w:val="-4"/>
        </w:rPr>
        <w:t xml:space="preserve">згоди. </w:t>
      </w:r>
      <w:r>
        <w:rPr>
          <w:color w:val="231F20"/>
        </w:rPr>
        <w:t xml:space="preserve">У цьому разі </w:t>
      </w:r>
      <w:r>
        <w:rPr>
          <w:color w:val="231F20"/>
          <w:spacing w:val="-3"/>
        </w:rPr>
        <w:t>поліце</w:t>
      </w:r>
      <w:r>
        <w:rPr>
          <w:color w:val="231F20"/>
          <w:spacing w:val="-3"/>
        </w:rPr>
        <w:t xml:space="preserve">йський </w:t>
      </w:r>
      <w:r>
        <w:rPr>
          <w:color w:val="231F20"/>
          <w:spacing w:val="-4"/>
        </w:rPr>
        <w:t xml:space="preserve">інформує </w:t>
      </w:r>
      <w:r>
        <w:rPr>
          <w:color w:val="231F20"/>
          <w:spacing w:val="-3"/>
        </w:rPr>
        <w:t xml:space="preserve">чергового відповідного підрозділу </w:t>
      </w:r>
      <w:r>
        <w:rPr>
          <w:color w:val="231F20"/>
          <w:spacing w:val="-4"/>
        </w:rPr>
        <w:t xml:space="preserve">патрульної </w:t>
      </w:r>
      <w:r>
        <w:rPr>
          <w:color w:val="231F20"/>
          <w:spacing w:val="-3"/>
        </w:rPr>
        <w:t xml:space="preserve">поліції. </w:t>
      </w:r>
      <w:r>
        <w:rPr>
          <w:color w:val="231F20"/>
        </w:rPr>
        <w:t xml:space="preserve">У </w:t>
      </w:r>
      <w:r>
        <w:rPr>
          <w:color w:val="231F20"/>
          <w:spacing w:val="-3"/>
        </w:rPr>
        <w:t xml:space="preserve">таких випадках рекомендовано запрошувати на місце виявлення правопорушення представника дипломатичного представництва, </w:t>
      </w:r>
      <w:r>
        <w:rPr>
          <w:color w:val="231F20"/>
        </w:rPr>
        <w:t xml:space="preserve">при </w:t>
      </w:r>
      <w:r>
        <w:rPr>
          <w:color w:val="231F20"/>
          <w:spacing w:val="-3"/>
        </w:rPr>
        <w:t xml:space="preserve">якому означена </w:t>
      </w:r>
      <w:r>
        <w:rPr>
          <w:color w:val="231F20"/>
        </w:rPr>
        <w:t>особа</w:t>
      </w:r>
      <w:r>
        <w:rPr>
          <w:color w:val="231F20"/>
          <w:spacing w:val="-17"/>
        </w:rPr>
        <w:t xml:space="preserve"> </w:t>
      </w:r>
      <w:r>
        <w:rPr>
          <w:color w:val="231F20"/>
          <w:spacing w:val="-3"/>
        </w:rPr>
        <w:t>акредитована.</w:t>
      </w:r>
    </w:p>
    <w:p w14:paraId="3E9C69F8" w14:textId="77777777" w:rsidR="00DE575E" w:rsidRDefault="002E7560">
      <w:pPr>
        <w:pStyle w:val="BodyText"/>
        <w:spacing w:before="3" w:line="252" w:lineRule="auto"/>
        <w:ind w:left="533" w:right="128" w:firstLine="283"/>
        <w:jc w:val="both"/>
      </w:pPr>
      <w:r>
        <w:rPr>
          <w:color w:val="231F20"/>
        </w:rPr>
        <w:t>У</w:t>
      </w:r>
      <w:r>
        <w:rPr>
          <w:color w:val="231F20"/>
          <w:spacing w:val="-10"/>
        </w:rPr>
        <w:t xml:space="preserve"> </w:t>
      </w:r>
      <w:r>
        <w:rPr>
          <w:color w:val="231F20"/>
        </w:rPr>
        <w:t>разі</w:t>
      </w:r>
      <w:r>
        <w:rPr>
          <w:color w:val="231F20"/>
          <w:spacing w:val="-10"/>
        </w:rPr>
        <w:t xml:space="preserve"> </w:t>
      </w:r>
      <w:r>
        <w:rPr>
          <w:color w:val="231F20"/>
        </w:rPr>
        <w:t>відмови</w:t>
      </w:r>
      <w:r>
        <w:rPr>
          <w:color w:val="231F20"/>
          <w:spacing w:val="-10"/>
        </w:rPr>
        <w:t xml:space="preserve"> </w:t>
      </w:r>
      <w:r>
        <w:rPr>
          <w:color w:val="231F20"/>
        </w:rPr>
        <w:t>від</w:t>
      </w:r>
      <w:r>
        <w:rPr>
          <w:color w:val="231F20"/>
          <w:spacing w:val="-10"/>
        </w:rPr>
        <w:t xml:space="preserve"> </w:t>
      </w:r>
      <w:r>
        <w:rPr>
          <w:color w:val="231F20"/>
        </w:rPr>
        <w:t>проходження</w:t>
      </w:r>
      <w:r>
        <w:rPr>
          <w:color w:val="231F20"/>
          <w:spacing w:val="-10"/>
        </w:rPr>
        <w:t xml:space="preserve"> </w:t>
      </w:r>
      <w:r>
        <w:rPr>
          <w:color w:val="231F20"/>
        </w:rPr>
        <w:t>медичного</w:t>
      </w:r>
      <w:r>
        <w:rPr>
          <w:color w:val="231F20"/>
          <w:spacing w:val="-10"/>
        </w:rPr>
        <w:t xml:space="preserve"> </w:t>
      </w:r>
      <w:r>
        <w:rPr>
          <w:color w:val="231F20"/>
          <w:spacing w:val="-3"/>
        </w:rPr>
        <w:t>огляду</w:t>
      </w:r>
      <w:r>
        <w:rPr>
          <w:color w:val="231F20"/>
          <w:spacing w:val="-10"/>
        </w:rPr>
        <w:t xml:space="preserve"> </w:t>
      </w:r>
      <w:r>
        <w:rPr>
          <w:color w:val="231F20"/>
        </w:rPr>
        <w:t>і</w:t>
      </w:r>
      <w:r>
        <w:rPr>
          <w:color w:val="231F20"/>
          <w:spacing w:val="-10"/>
        </w:rPr>
        <w:t xml:space="preserve"> </w:t>
      </w:r>
      <w:r>
        <w:rPr>
          <w:color w:val="231F20"/>
        </w:rPr>
        <w:t>спроб</w:t>
      </w:r>
      <w:r>
        <w:rPr>
          <w:color w:val="231F20"/>
          <w:spacing w:val="-10"/>
        </w:rPr>
        <w:t xml:space="preserve"> </w:t>
      </w:r>
      <w:r>
        <w:rPr>
          <w:color w:val="231F20"/>
        </w:rPr>
        <w:t>продов- жити керування транспортним засобом особою, яка має диплома- тичний імунітет, подальший рух цього автомобіля не допускається, у зв’язку з чим у присутності двох свідків складається рапорт із зазначенням вичерпни</w:t>
      </w:r>
      <w:r>
        <w:rPr>
          <w:color w:val="231F20"/>
        </w:rPr>
        <w:t>х відомостей про цю</w:t>
      </w:r>
      <w:r>
        <w:rPr>
          <w:color w:val="231F20"/>
          <w:spacing w:val="-2"/>
        </w:rPr>
        <w:t xml:space="preserve"> </w:t>
      </w:r>
      <w:r>
        <w:rPr>
          <w:color w:val="231F20"/>
          <w:spacing w:val="-3"/>
        </w:rPr>
        <w:t>особу.</w:t>
      </w:r>
    </w:p>
    <w:p w14:paraId="119A311A" w14:textId="77777777" w:rsidR="00DE575E" w:rsidRDefault="002E7560">
      <w:pPr>
        <w:pStyle w:val="BodyText"/>
        <w:spacing w:before="3" w:line="252" w:lineRule="auto"/>
        <w:ind w:left="533" w:right="127" w:firstLine="283"/>
        <w:jc w:val="both"/>
      </w:pPr>
      <w:r>
        <w:rPr>
          <w:b/>
          <w:i/>
          <w:color w:val="231F20"/>
        </w:rPr>
        <w:t xml:space="preserve">Посадові особи </w:t>
      </w:r>
      <w:r>
        <w:rPr>
          <w:color w:val="231F20"/>
        </w:rPr>
        <w:t xml:space="preserve">підлягають адміністративній відповідальності за адміністративні правопорушення, пов’язані з недотриманням установлених правил у сфері охорони порядку управління, держав- ного й громадського </w:t>
      </w:r>
      <w:r>
        <w:rPr>
          <w:color w:val="231F20"/>
          <w:spacing w:val="-3"/>
        </w:rPr>
        <w:t xml:space="preserve">порядку, </w:t>
      </w:r>
      <w:r>
        <w:rPr>
          <w:color w:val="231F20"/>
        </w:rPr>
        <w:t>природи, здоров’я населення та</w:t>
      </w:r>
      <w:r>
        <w:rPr>
          <w:color w:val="231F20"/>
          <w:spacing w:val="-33"/>
        </w:rPr>
        <w:t xml:space="preserve"> </w:t>
      </w:r>
      <w:r>
        <w:rPr>
          <w:color w:val="231F20"/>
        </w:rPr>
        <w:t>інших правил, забезпечення виконання яких входить до їх службових обов’язків.</w:t>
      </w:r>
    </w:p>
    <w:p w14:paraId="635A7C66" w14:textId="77777777" w:rsidR="00DE575E" w:rsidRDefault="002E7560">
      <w:pPr>
        <w:pStyle w:val="BodyText"/>
        <w:spacing w:before="3" w:line="252" w:lineRule="auto"/>
        <w:ind w:left="533" w:right="126" w:firstLine="283"/>
        <w:jc w:val="both"/>
      </w:pPr>
      <w:r>
        <w:rPr>
          <w:b/>
          <w:i/>
          <w:color w:val="231F20"/>
        </w:rPr>
        <w:t xml:space="preserve">Потерпілий </w:t>
      </w:r>
      <w:r>
        <w:rPr>
          <w:color w:val="231F20"/>
        </w:rPr>
        <w:t>має право ознайомитись із матеріалами справи, заявляти</w:t>
      </w:r>
      <w:r>
        <w:rPr>
          <w:color w:val="231F20"/>
          <w:spacing w:val="-9"/>
        </w:rPr>
        <w:t xml:space="preserve"> </w:t>
      </w:r>
      <w:r>
        <w:rPr>
          <w:color w:val="231F20"/>
        </w:rPr>
        <w:t>клопотання,</w:t>
      </w:r>
      <w:r>
        <w:rPr>
          <w:color w:val="231F20"/>
          <w:spacing w:val="-9"/>
        </w:rPr>
        <w:t xml:space="preserve"> </w:t>
      </w:r>
      <w:r>
        <w:rPr>
          <w:color w:val="231F20"/>
        </w:rPr>
        <w:t>під</w:t>
      </w:r>
      <w:r>
        <w:rPr>
          <w:color w:val="231F20"/>
          <w:spacing w:val="-9"/>
        </w:rPr>
        <w:t xml:space="preserve"> </w:t>
      </w:r>
      <w:r>
        <w:rPr>
          <w:color w:val="231F20"/>
        </w:rPr>
        <w:t>час</w:t>
      </w:r>
      <w:r>
        <w:rPr>
          <w:color w:val="231F20"/>
          <w:spacing w:val="-9"/>
        </w:rPr>
        <w:t xml:space="preserve"> </w:t>
      </w:r>
      <w:r>
        <w:rPr>
          <w:color w:val="231F20"/>
          <w:spacing w:val="-3"/>
        </w:rPr>
        <w:t>розгляду</w:t>
      </w:r>
      <w:r>
        <w:rPr>
          <w:color w:val="231F20"/>
          <w:spacing w:val="-9"/>
        </w:rPr>
        <w:t xml:space="preserve"> </w:t>
      </w:r>
      <w:r>
        <w:rPr>
          <w:color w:val="231F20"/>
        </w:rPr>
        <w:t>справи</w:t>
      </w:r>
      <w:r>
        <w:rPr>
          <w:color w:val="231F20"/>
          <w:spacing w:val="-9"/>
        </w:rPr>
        <w:t xml:space="preserve"> </w:t>
      </w:r>
      <w:r>
        <w:rPr>
          <w:color w:val="231F20"/>
        </w:rPr>
        <w:t>користуватися</w:t>
      </w:r>
      <w:r>
        <w:rPr>
          <w:color w:val="231F20"/>
          <w:spacing w:val="-9"/>
        </w:rPr>
        <w:t xml:space="preserve"> </w:t>
      </w:r>
      <w:r>
        <w:rPr>
          <w:color w:val="231F20"/>
        </w:rPr>
        <w:t xml:space="preserve">право- вою допомогою адвоката, </w:t>
      </w:r>
      <w:r>
        <w:rPr>
          <w:color w:val="231F20"/>
        </w:rPr>
        <w:t>іншого фахівця в галузі права, який за законом має право на надання правової допомоги особисто чи за дорученням юридичної особи, оскаржувати постанову по справі</w:t>
      </w:r>
      <w:r>
        <w:rPr>
          <w:color w:val="231F20"/>
          <w:spacing w:val="-27"/>
        </w:rPr>
        <w:t xml:space="preserve"> </w:t>
      </w:r>
      <w:r>
        <w:rPr>
          <w:color w:val="231F20"/>
        </w:rPr>
        <w:t>про адміністративне</w:t>
      </w:r>
      <w:r>
        <w:rPr>
          <w:color w:val="231F20"/>
          <w:spacing w:val="-2"/>
        </w:rPr>
        <w:t xml:space="preserve"> </w:t>
      </w:r>
      <w:r>
        <w:rPr>
          <w:color w:val="231F20"/>
        </w:rPr>
        <w:t>правопорушення.</w:t>
      </w:r>
    </w:p>
    <w:p w14:paraId="2163399C" w14:textId="77777777" w:rsidR="00DE575E" w:rsidRDefault="002E7560">
      <w:pPr>
        <w:pStyle w:val="BodyText"/>
        <w:spacing w:before="2" w:line="252" w:lineRule="auto"/>
        <w:ind w:left="533" w:right="126" w:firstLine="283"/>
        <w:jc w:val="both"/>
      </w:pPr>
      <w:r>
        <w:rPr>
          <w:color w:val="231F20"/>
        </w:rPr>
        <w:t>Потерпілого може бути опитано як свідка, якщо є дані, що йо</w:t>
      </w:r>
      <w:r>
        <w:rPr>
          <w:color w:val="231F20"/>
        </w:rPr>
        <w:t xml:space="preserve">му відомі які-небудь обставини, що підлягають установленню за цією справою. На виклик органу (посадової особи), у провадженні якого перебуває справа, потерпілий зобов’язаний з’явитись у зазначений час, дати правдиві пояснення, повідомити все відоме йому в </w:t>
      </w:r>
      <w:r>
        <w:rPr>
          <w:color w:val="231F20"/>
        </w:rPr>
        <w:t>справі та відповісти на поставлені запитання.</w:t>
      </w:r>
    </w:p>
    <w:p w14:paraId="76A5E65E" w14:textId="77777777" w:rsidR="00DE575E" w:rsidRDefault="002E7560">
      <w:pPr>
        <w:pStyle w:val="BodyText"/>
        <w:spacing w:before="3" w:line="252" w:lineRule="auto"/>
        <w:ind w:left="533" w:right="127" w:firstLine="283"/>
        <w:jc w:val="both"/>
      </w:pPr>
      <w:r>
        <w:rPr>
          <w:color w:val="231F20"/>
        </w:rPr>
        <w:t>З метою захисту прав особи, яку притягують до відповідаль- ності, або потерпілого у випадку, коли такі особи є неповнолітніми або через свої фізичні чи психічні вади не можуть здійснювати свої права в справах п</w:t>
      </w:r>
      <w:r>
        <w:rPr>
          <w:color w:val="231F20"/>
        </w:rPr>
        <w:t>ро адміністративні правопорушення, їх інтереси можуть представляти законні представники. До таких представни- ків належать батьки, усиновителі, опікуни та піклувальники.</w:t>
      </w:r>
    </w:p>
    <w:p w14:paraId="5583960A" w14:textId="77777777" w:rsidR="00DE575E" w:rsidRDefault="002E7560">
      <w:pPr>
        <w:pStyle w:val="BodyText"/>
        <w:spacing w:before="3" w:line="252" w:lineRule="auto"/>
        <w:ind w:left="533" w:right="128" w:firstLine="283"/>
        <w:jc w:val="both"/>
      </w:pPr>
      <w:r>
        <w:rPr>
          <w:color w:val="231F20"/>
        </w:rPr>
        <w:t xml:space="preserve">Відповідно до </w:t>
      </w:r>
      <w:r>
        <w:rPr>
          <w:color w:val="231F20"/>
          <w:spacing w:val="-6"/>
        </w:rPr>
        <w:t xml:space="preserve">ст. </w:t>
      </w:r>
      <w:r>
        <w:rPr>
          <w:color w:val="231F20"/>
        </w:rPr>
        <w:t xml:space="preserve">59 Конституції </w:t>
      </w:r>
      <w:r>
        <w:rPr>
          <w:color w:val="231F20"/>
          <w:spacing w:val="-3"/>
        </w:rPr>
        <w:t xml:space="preserve">України </w:t>
      </w:r>
      <w:r>
        <w:rPr>
          <w:color w:val="231F20"/>
        </w:rPr>
        <w:t xml:space="preserve">кожен має право на правову </w:t>
      </w:r>
      <w:r>
        <w:rPr>
          <w:color w:val="231F20"/>
          <w:spacing w:val="-3"/>
        </w:rPr>
        <w:t xml:space="preserve">допомогу. </w:t>
      </w:r>
      <w:r>
        <w:rPr>
          <w:color w:val="231F20"/>
        </w:rPr>
        <w:t>У випадк</w:t>
      </w:r>
      <w:r>
        <w:rPr>
          <w:color w:val="231F20"/>
        </w:rPr>
        <w:t xml:space="preserve">ах, передбачених законом, ця допо-  мога надається безоплатно. </w:t>
      </w:r>
      <w:r>
        <w:rPr>
          <w:color w:val="231F20"/>
          <w:spacing w:val="-3"/>
        </w:rPr>
        <w:t xml:space="preserve">Кожен </w:t>
      </w:r>
      <w:r>
        <w:rPr>
          <w:color w:val="231F20"/>
        </w:rPr>
        <w:t>є вільним у виборі</w:t>
      </w:r>
      <w:r>
        <w:rPr>
          <w:color w:val="231F20"/>
          <w:spacing w:val="35"/>
        </w:rPr>
        <w:t xml:space="preserve"> </w:t>
      </w:r>
      <w:r>
        <w:rPr>
          <w:color w:val="231F20"/>
        </w:rPr>
        <w:t>захисника</w:t>
      </w:r>
    </w:p>
    <w:p w14:paraId="341FDB12" w14:textId="77777777" w:rsidR="00DE575E" w:rsidRDefault="00DE575E">
      <w:pPr>
        <w:pStyle w:val="BodyText"/>
        <w:spacing w:before="6"/>
        <w:rPr>
          <w:sz w:val="12"/>
        </w:rPr>
      </w:pPr>
    </w:p>
    <w:p w14:paraId="4524086C" w14:textId="77777777" w:rsidR="00DE575E" w:rsidRDefault="002E7560">
      <w:pPr>
        <w:spacing w:before="92"/>
        <w:ind w:left="533"/>
        <w:rPr>
          <w:rFonts w:ascii="Times New Roman"/>
          <w:sz w:val="20"/>
        </w:rPr>
      </w:pPr>
      <w:r>
        <w:rPr>
          <w:rFonts w:ascii="Times New Roman"/>
          <w:color w:val="231F20"/>
          <w:sz w:val="20"/>
        </w:rPr>
        <w:t>518</w:t>
      </w:r>
    </w:p>
    <w:p w14:paraId="1263EAA2" w14:textId="77777777" w:rsidR="00DE575E" w:rsidRDefault="00DE575E">
      <w:pPr>
        <w:rPr>
          <w:rFonts w:ascii="Times New Roman"/>
          <w:sz w:val="20"/>
        </w:rPr>
        <w:sectPr w:rsidR="00DE575E">
          <w:pgSz w:w="8510" w:h="12760"/>
          <w:pgMar w:top="660" w:right="720" w:bottom="280" w:left="600" w:header="720" w:footer="720" w:gutter="0"/>
          <w:cols w:space="720"/>
        </w:sectPr>
      </w:pPr>
    </w:p>
    <w:p w14:paraId="1E2D02B3" w14:textId="77777777" w:rsidR="00DE575E" w:rsidRDefault="002E7560">
      <w:pPr>
        <w:spacing w:before="72" w:line="249" w:lineRule="auto"/>
        <w:ind w:left="1020" w:right="392" w:firstLine="1672"/>
        <w:rPr>
          <w:rFonts w:ascii="AdonisC" w:hAnsi="AdonisC"/>
          <w:i/>
          <w:sz w:val="18"/>
        </w:rPr>
      </w:pPr>
      <w:r>
        <w:rPr>
          <w:rFonts w:ascii="AdonisC" w:hAnsi="AdonisC"/>
          <w:i/>
          <w:color w:val="231F20"/>
          <w:sz w:val="18"/>
        </w:rPr>
        <w:t>Глава ІІ Особливе адміністративне право/ Книга ІІ Розділ 5. Провадження у справах про адміністративні правопорушення</w:t>
      </w:r>
    </w:p>
    <w:p w14:paraId="3FCD4932" w14:textId="73472C9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FCAA2C2" wp14:editId="6DEB346D">
                <wp:extent cx="4140200" cy="6350"/>
                <wp:effectExtent l="0" t="0" r="12700" b="6350"/>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6" name="Line 1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5A8EE" id="Group_x0020_1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MLHJb1/AgAAmAUAAA4A&#10;AAAAAAAAAAAAAAAALAIAAGRycy9lMm9Eb2MueG1sUEsBAi0AFAAGAAgAAAAhAEynsJDZAAAAAwEA&#10;AA8AAAAAAAAAAAAAAAAA1wQAAGRycy9kb3ducmV2LnhtbFBLBQYAAAAABAAEAPMAAADdBQAAAAA=&#10;">
                <v:line id="Line_x0020_1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Qo+sMAAADcAAAADwAAAGRycy9kb3ducmV2LnhtbERPzYrCMBC+L/gOYYS9LJqugkg1iggL&#10;4kFd6wOMzdgWk0ltou3u02+EBW/z8f3OfNlZIx7U+Mqxgs9hAoI4d7riQsEp+xpMQfiArNE4JgU/&#10;5GG56L3NMdWu5W96HEMhYgj7FBWUIdSplD4vyaIfupo4chfXWAwRNoXUDbYx3Bo5SpKJtFhxbCix&#10;pnVJ+fV4twqy20cwh/3WtNn+PJbn2278e98p9d7vVjMQgbrwEv+7NzrOH03g+Uy8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UKPrDAAAA3AAAAA8AAAAAAAAAAAAA&#10;AAAAoQIAAGRycy9kb3ducmV2LnhtbFBLBQYAAAAABAAEAPkAAACRAwAAAAA=&#10;" strokecolor="#231f20" strokeweight=".5pt"/>
                <w10:anchorlock/>
              </v:group>
            </w:pict>
          </mc:Fallback>
        </mc:AlternateContent>
      </w:r>
    </w:p>
    <w:p w14:paraId="417DD789" w14:textId="77777777" w:rsidR="00DE575E" w:rsidRDefault="00DE575E">
      <w:pPr>
        <w:pStyle w:val="BodyText"/>
        <w:spacing w:before="7"/>
        <w:rPr>
          <w:rFonts w:ascii="AdonisC"/>
          <w:i/>
          <w:sz w:val="19"/>
        </w:rPr>
      </w:pPr>
    </w:p>
    <w:p w14:paraId="13C26A7B" w14:textId="77777777" w:rsidR="00DE575E" w:rsidRDefault="002E7560">
      <w:pPr>
        <w:pStyle w:val="BodyText"/>
        <w:spacing w:before="1" w:line="252" w:lineRule="auto"/>
        <w:ind w:left="250" w:right="411"/>
        <w:jc w:val="both"/>
      </w:pPr>
      <w:r>
        <w:rPr>
          <w:color w:val="231F20"/>
        </w:rPr>
        <w:t xml:space="preserve">своїх прав. Для забезпечення права на захист від обвинувачення    та надання правової допомоги під час вирішення справ у </w:t>
      </w:r>
      <w:r>
        <w:rPr>
          <w:color w:val="231F20"/>
          <w:spacing w:val="-3"/>
        </w:rPr>
        <w:t xml:space="preserve">судах </w:t>
      </w:r>
      <w:r>
        <w:rPr>
          <w:color w:val="231F20"/>
        </w:rPr>
        <w:t xml:space="preserve">та інших державних органах в </w:t>
      </w:r>
      <w:r>
        <w:rPr>
          <w:color w:val="231F20"/>
          <w:spacing w:val="-3"/>
        </w:rPr>
        <w:t xml:space="preserve">Україні </w:t>
      </w:r>
      <w:r>
        <w:rPr>
          <w:color w:val="231F20"/>
        </w:rPr>
        <w:t>діє</w:t>
      </w:r>
      <w:r>
        <w:rPr>
          <w:color w:val="231F20"/>
          <w:spacing w:val="-3"/>
        </w:rPr>
        <w:t xml:space="preserve"> </w:t>
      </w:r>
      <w:r>
        <w:rPr>
          <w:color w:val="231F20"/>
        </w:rPr>
        <w:t>адвокатура.</w:t>
      </w:r>
    </w:p>
    <w:p w14:paraId="247B9DA5" w14:textId="77777777" w:rsidR="00DE575E" w:rsidRDefault="002E7560">
      <w:pPr>
        <w:pStyle w:val="BodyText"/>
        <w:spacing w:before="1" w:line="252" w:lineRule="auto"/>
        <w:ind w:left="250" w:right="411" w:firstLine="283"/>
        <w:jc w:val="both"/>
      </w:pPr>
      <w:r>
        <w:rPr>
          <w:color w:val="231F20"/>
        </w:rPr>
        <w:t>Статтею 268 («Права особи, яка притягається до адміністратив- ної відповідальності») КУпАП передбачено право особи, яку притя- гують до відповідальності, користуватися послугами адвоката або іншого фахівця в галузі права.</w:t>
      </w:r>
    </w:p>
    <w:p w14:paraId="355B75D2" w14:textId="77777777" w:rsidR="00DE575E" w:rsidRDefault="002E7560">
      <w:pPr>
        <w:pStyle w:val="BodyText"/>
        <w:spacing w:before="2" w:line="252" w:lineRule="auto"/>
        <w:ind w:left="250" w:right="410" w:firstLine="283"/>
        <w:jc w:val="both"/>
      </w:pPr>
      <w:r>
        <w:rPr>
          <w:b/>
          <w:i/>
          <w:color w:val="231F20"/>
        </w:rPr>
        <w:t>Свідком</w:t>
      </w:r>
      <w:r>
        <w:rPr>
          <w:b/>
          <w:i/>
          <w:color w:val="231F20"/>
          <w:spacing w:val="-16"/>
        </w:rPr>
        <w:t xml:space="preserve"> </w:t>
      </w:r>
      <w:r>
        <w:rPr>
          <w:color w:val="231F20"/>
        </w:rPr>
        <w:t>є</w:t>
      </w:r>
      <w:r>
        <w:rPr>
          <w:color w:val="231F20"/>
          <w:spacing w:val="-16"/>
        </w:rPr>
        <w:t xml:space="preserve"> </w:t>
      </w:r>
      <w:r>
        <w:rPr>
          <w:color w:val="231F20"/>
          <w:spacing w:val="-3"/>
        </w:rPr>
        <w:t>будь-яка</w:t>
      </w:r>
      <w:r>
        <w:rPr>
          <w:color w:val="231F20"/>
          <w:spacing w:val="-16"/>
        </w:rPr>
        <w:t xml:space="preserve"> </w:t>
      </w:r>
      <w:r>
        <w:rPr>
          <w:color w:val="231F20"/>
        </w:rPr>
        <w:t>особа,</w:t>
      </w:r>
      <w:r>
        <w:rPr>
          <w:color w:val="231F20"/>
          <w:spacing w:val="-16"/>
        </w:rPr>
        <w:t xml:space="preserve"> </w:t>
      </w:r>
      <w:r>
        <w:rPr>
          <w:color w:val="231F20"/>
        </w:rPr>
        <w:t>яка</w:t>
      </w:r>
      <w:r>
        <w:rPr>
          <w:color w:val="231F20"/>
          <w:spacing w:val="-16"/>
        </w:rPr>
        <w:t xml:space="preserve"> </w:t>
      </w:r>
      <w:r>
        <w:rPr>
          <w:color w:val="231F20"/>
        </w:rPr>
        <w:t>може</w:t>
      </w:r>
      <w:r>
        <w:rPr>
          <w:color w:val="231F20"/>
          <w:spacing w:val="-16"/>
        </w:rPr>
        <w:t xml:space="preserve"> </w:t>
      </w:r>
      <w:r>
        <w:rPr>
          <w:color w:val="231F20"/>
        </w:rPr>
        <w:t>дати</w:t>
      </w:r>
      <w:r>
        <w:rPr>
          <w:color w:val="231F20"/>
          <w:spacing w:val="-16"/>
        </w:rPr>
        <w:t xml:space="preserve"> </w:t>
      </w:r>
      <w:r>
        <w:rPr>
          <w:color w:val="231F20"/>
        </w:rPr>
        <w:t>пояснення</w:t>
      </w:r>
      <w:r>
        <w:rPr>
          <w:color w:val="231F20"/>
          <w:spacing w:val="-16"/>
        </w:rPr>
        <w:t xml:space="preserve"> </w:t>
      </w:r>
      <w:r>
        <w:rPr>
          <w:color w:val="231F20"/>
        </w:rPr>
        <w:t>про</w:t>
      </w:r>
      <w:r>
        <w:rPr>
          <w:color w:val="231F20"/>
          <w:spacing w:val="-16"/>
        </w:rPr>
        <w:t xml:space="preserve"> </w:t>
      </w:r>
      <w:r>
        <w:rPr>
          <w:color w:val="231F20"/>
        </w:rPr>
        <w:t>все</w:t>
      </w:r>
      <w:r>
        <w:rPr>
          <w:color w:val="231F20"/>
          <w:spacing w:val="-16"/>
        </w:rPr>
        <w:t xml:space="preserve"> </w:t>
      </w:r>
      <w:r>
        <w:rPr>
          <w:color w:val="231F20"/>
        </w:rPr>
        <w:t xml:space="preserve">відоме їй у справі та відповісти на поставлені запитання. Законодавець не встановлює вікових обмежень для свідків. Припускається опиту- вання неповнолітніх і навіть малолітніх з урахуванням ступеня </w:t>
      </w:r>
      <w:r>
        <w:rPr>
          <w:color w:val="231F20"/>
          <w:spacing w:val="-3"/>
        </w:rPr>
        <w:t xml:space="preserve">розвитку, </w:t>
      </w:r>
      <w:r>
        <w:rPr>
          <w:color w:val="231F20"/>
        </w:rPr>
        <w:t>умов сприйняття й стану органів їхніх почуттів, якщо посадові особи, які здійснюють провадження в справі про адміні- стративне</w:t>
      </w:r>
      <w:r>
        <w:rPr>
          <w:color w:val="231F20"/>
          <w:spacing w:val="-14"/>
        </w:rPr>
        <w:t xml:space="preserve"> </w:t>
      </w:r>
      <w:r>
        <w:rPr>
          <w:color w:val="231F20"/>
        </w:rPr>
        <w:t>правопорушення,</w:t>
      </w:r>
      <w:r>
        <w:rPr>
          <w:color w:val="231F20"/>
          <w:spacing w:val="-14"/>
        </w:rPr>
        <w:t xml:space="preserve"> </w:t>
      </w:r>
      <w:r>
        <w:rPr>
          <w:color w:val="231F20"/>
        </w:rPr>
        <w:t>вважають,</w:t>
      </w:r>
      <w:r>
        <w:rPr>
          <w:color w:val="231F20"/>
          <w:spacing w:val="-14"/>
        </w:rPr>
        <w:t xml:space="preserve"> </w:t>
      </w:r>
      <w:r>
        <w:rPr>
          <w:color w:val="231F20"/>
        </w:rPr>
        <w:t>що</w:t>
      </w:r>
      <w:r>
        <w:rPr>
          <w:color w:val="231F20"/>
          <w:spacing w:val="-14"/>
        </w:rPr>
        <w:t xml:space="preserve"> </w:t>
      </w:r>
      <w:r>
        <w:rPr>
          <w:color w:val="231F20"/>
        </w:rPr>
        <w:t>поряд</w:t>
      </w:r>
      <w:r>
        <w:rPr>
          <w:color w:val="231F20"/>
          <w:spacing w:val="-14"/>
        </w:rPr>
        <w:t xml:space="preserve"> </w:t>
      </w:r>
      <w:r>
        <w:rPr>
          <w:color w:val="231F20"/>
        </w:rPr>
        <w:t>з</w:t>
      </w:r>
      <w:r>
        <w:rPr>
          <w:color w:val="231F20"/>
          <w:spacing w:val="-14"/>
        </w:rPr>
        <w:t xml:space="preserve"> </w:t>
      </w:r>
      <w:r>
        <w:rPr>
          <w:color w:val="231F20"/>
        </w:rPr>
        <w:t>іншими</w:t>
      </w:r>
      <w:r>
        <w:rPr>
          <w:color w:val="231F20"/>
          <w:spacing w:val="-14"/>
        </w:rPr>
        <w:t xml:space="preserve"> </w:t>
      </w:r>
      <w:r>
        <w:rPr>
          <w:color w:val="231F20"/>
        </w:rPr>
        <w:t xml:space="preserve">доказами пояснення зазначених осіб є достовірними. Правовий статус свідків визначено </w:t>
      </w:r>
      <w:r>
        <w:rPr>
          <w:color w:val="231F20"/>
        </w:rPr>
        <w:t xml:space="preserve">в </w:t>
      </w:r>
      <w:r>
        <w:rPr>
          <w:color w:val="231F20"/>
          <w:spacing w:val="-6"/>
        </w:rPr>
        <w:t xml:space="preserve">ст. </w:t>
      </w:r>
      <w:r>
        <w:rPr>
          <w:color w:val="231F20"/>
        </w:rPr>
        <w:t xml:space="preserve">272 </w:t>
      </w:r>
      <w:r>
        <w:rPr>
          <w:color w:val="231F20"/>
          <w:spacing w:val="-3"/>
        </w:rPr>
        <w:t xml:space="preserve">КУпАП, </w:t>
      </w:r>
      <w:r>
        <w:rPr>
          <w:color w:val="231F20"/>
        </w:rPr>
        <w:t xml:space="preserve">відповідно до якої як свідка в справі про адміністративне правопорушення можуть викликати кожну </w:t>
      </w:r>
      <w:r>
        <w:rPr>
          <w:color w:val="231F20"/>
          <w:spacing w:val="-3"/>
        </w:rPr>
        <w:t xml:space="preserve">особу, </w:t>
      </w:r>
      <w:r>
        <w:rPr>
          <w:color w:val="231F20"/>
        </w:rPr>
        <w:t>про яку є дані, що їй відомі які-небудь обставини, які підлягають установленню в межах цієї</w:t>
      </w:r>
      <w:r>
        <w:rPr>
          <w:color w:val="231F20"/>
          <w:spacing w:val="-3"/>
        </w:rPr>
        <w:t xml:space="preserve"> </w:t>
      </w:r>
      <w:r>
        <w:rPr>
          <w:color w:val="231F20"/>
        </w:rPr>
        <w:t>справи.</w:t>
      </w:r>
    </w:p>
    <w:p w14:paraId="10C3B995" w14:textId="77777777" w:rsidR="00DE575E" w:rsidRDefault="002E7560">
      <w:pPr>
        <w:pStyle w:val="BodyText"/>
        <w:spacing w:before="6" w:line="252" w:lineRule="auto"/>
        <w:ind w:left="250" w:right="410" w:firstLine="283"/>
        <w:jc w:val="both"/>
      </w:pPr>
      <w:r>
        <w:rPr>
          <w:b/>
          <w:i/>
          <w:color w:val="231F20"/>
        </w:rPr>
        <w:t xml:space="preserve">Експерт </w:t>
      </w:r>
      <w:r>
        <w:rPr>
          <w:color w:val="231F20"/>
        </w:rPr>
        <w:t>є особою, яка сприяє здійсне</w:t>
      </w:r>
      <w:r>
        <w:rPr>
          <w:color w:val="231F20"/>
        </w:rPr>
        <w:t xml:space="preserve">нню провадження. Його правовий статус визначено в </w:t>
      </w:r>
      <w:r>
        <w:rPr>
          <w:color w:val="231F20"/>
          <w:spacing w:val="-6"/>
        </w:rPr>
        <w:t xml:space="preserve">ст. </w:t>
      </w:r>
      <w:r>
        <w:rPr>
          <w:color w:val="231F20"/>
        </w:rPr>
        <w:t xml:space="preserve">273 </w:t>
      </w:r>
      <w:r>
        <w:rPr>
          <w:color w:val="231F20"/>
          <w:spacing w:val="-3"/>
        </w:rPr>
        <w:t xml:space="preserve">КУпАП. </w:t>
      </w:r>
      <w:r>
        <w:rPr>
          <w:color w:val="231F20"/>
        </w:rPr>
        <w:t xml:space="preserve">Експерт – це особа, яка володіє спеціальними </w:t>
      </w:r>
      <w:r>
        <w:rPr>
          <w:color w:val="231F20"/>
          <w:spacing w:val="-2"/>
        </w:rPr>
        <w:t xml:space="preserve">глибокими </w:t>
      </w:r>
      <w:r>
        <w:rPr>
          <w:color w:val="231F20"/>
        </w:rPr>
        <w:t>знаннями в певній сфері людської діяльності,</w:t>
      </w:r>
      <w:r>
        <w:rPr>
          <w:color w:val="231F20"/>
          <w:spacing w:val="-11"/>
        </w:rPr>
        <w:t xml:space="preserve"> </w:t>
      </w:r>
      <w:r>
        <w:rPr>
          <w:color w:val="231F20"/>
        </w:rPr>
        <w:t>яка</w:t>
      </w:r>
      <w:r>
        <w:rPr>
          <w:color w:val="231F20"/>
          <w:spacing w:val="-11"/>
        </w:rPr>
        <w:t xml:space="preserve"> </w:t>
      </w:r>
      <w:r>
        <w:rPr>
          <w:color w:val="231F20"/>
        </w:rPr>
        <w:t>реалізує</w:t>
      </w:r>
      <w:r>
        <w:rPr>
          <w:color w:val="231F20"/>
          <w:spacing w:val="-11"/>
        </w:rPr>
        <w:t xml:space="preserve"> </w:t>
      </w:r>
      <w:r>
        <w:rPr>
          <w:color w:val="231F20"/>
        </w:rPr>
        <w:t>ці</w:t>
      </w:r>
      <w:r>
        <w:rPr>
          <w:color w:val="231F20"/>
          <w:spacing w:val="-11"/>
        </w:rPr>
        <w:t xml:space="preserve"> </w:t>
      </w:r>
      <w:r>
        <w:rPr>
          <w:color w:val="231F20"/>
        </w:rPr>
        <w:t>пізнання</w:t>
      </w:r>
      <w:r>
        <w:rPr>
          <w:color w:val="231F20"/>
          <w:spacing w:val="-11"/>
        </w:rPr>
        <w:t xml:space="preserve"> </w:t>
      </w:r>
      <w:r>
        <w:rPr>
          <w:color w:val="231F20"/>
        </w:rPr>
        <w:t>відповідно</w:t>
      </w:r>
      <w:r>
        <w:rPr>
          <w:color w:val="231F20"/>
          <w:spacing w:val="-11"/>
        </w:rPr>
        <w:t xml:space="preserve"> </w:t>
      </w:r>
      <w:r>
        <w:rPr>
          <w:color w:val="231F20"/>
        </w:rPr>
        <w:t>до</w:t>
      </w:r>
      <w:r>
        <w:rPr>
          <w:color w:val="231F20"/>
          <w:spacing w:val="-11"/>
        </w:rPr>
        <w:t xml:space="preserve"> </w:t>
      </w:r>
      <w:r>
        <w:rPr>
          <w:color w:val="231F20"/>
        </w:rPr>
        <w:t>науково</w:t>
      </w:r>
      <w:r>
        <w:rPr>
          <w:color w:val="231F20"/>
          <w:spacing w:val="-11"/>
        </w:rPr>
        <w:t xml:space="preserve"> </w:t>
      </w:r>
      <w:r>
        <w:rPr>
          <w:color w:val="231F20"/>
        </w:rPr>
        <w:t>розробле- ної</w:t>
      </w:r>
      <w:r>
        <w:rPr>
          <w:color w:val="231F20"/>
          <w:spacing w:val="-1"/>
        </w:rPr>
        <w:t xml:space="preserve"> </w:t>
      </w:r>
      <w:r>
        <w:rPr>
          <w:color w:val="231F20"/>
        </w:rPr>
        <w:t>методики.</w:t>
      </w:r>
    </w:p>
    <w:p w14:paraId="3FB336C3" w14:textId="77777777" w:rsidR="00DE575E" w:rsidRDefault="002E7560">
      <w:pPr>
        <w:pStyle w:val="BodyText"/>
        <w:spacing w:before="3" w:line="252" w:lineRule="auto"/>
        <w:ind w:left="250" w:right="409" w:firstLine="283"/>
        <w:jc w:val="both"/>
      </w:pPr>
      <w:r>
        <w:rPr>
          <w:color w:val="231F20"/>
        </w:rPr>
        <w:t>Експерт  зобов’язани</w:t>
      </w:r>
      <w:r>
        <w:rPr>
          <w:color w:val="231F20"/>
        </w:rPr>
        <w:t xml:space="preserve">й  з’явитися  на  виклик  органу   (посадо- вої особи) та дати </w:t>
      </w:r>
      <w:r>
        <w:rPr>
          <w:color w:val="231F20"/>
          <w:spacing w:val="-3"/>
        </w:rPr>
        <w:t xml:space="preserve">об’єктивний </w:t>
      </w:r>
      <w:r>
        <w:rPr>
          <w:color w:val="231F20"/>
        </w:rPr>
        <w:t>висновок щодо поставлених перед ним запитань. Він має право ознайомитись із матеріалами справи, що стосуються предмета експертизи, заявляти клопотання про надання йому додаткових ма</w:t>
      </w:r>
      <w:r>
        <w:rPr>
          <w:color w:val="231F20"/>
        </w:rPr>
        <w:t>теріалів, необхідних для надання висновку; з дозволу органу (посадової особи), у провадженні якого перебуває справа про адміністративне правопорушення, ставити особі, яку притягують до відповідальності, потерпілому, свідкам запитання,</w:t>
      </w:r>
      <w:r>
        <w:rPr>
          <w:color w:val="231F20"/>
          <w:spacing w:val="-7"/>
        </w:rPr>
        <w:t xml:space="preserve"> </w:t>
      </w:r>
      <w:r>
        <w:rPr>
          <w:color w:val="231F20"/>
        </w:rPr>
        <w:t>що</w:t>
      </w:r>
      <w:r>
        <w:rPr>
          <w:color w:val="231F20"/>
          <w:spacing w:val="-7"/>
        </w:rPr>
        <w:t xml:space="preserve"> </w:t>
      </w:r>
      <w:r>
        <w:rPr>
          <w:color w:val="231F20"/>
        </w:rPr>
        <w:t>стосуються</w:t>
      </w:r>
      <w:r>
        <w:rPr>
          <w:color w:val="231F20"/>
          <w:spacing w:val="-7"/>
        </w:rPr>
        <w:t xml:space="preserve"> </w:t>
      </w:r>
      <w:r>
        <w:rPr>
          <w:color w:val="231F20"/>
        </w:rPr>
        <w:t>предмет</w:t>
      </w:r>
      <w:r>
        <w:rPr>
          <w:color w:val="231F20"/>
        </w:rPr>
        <w:t>а</w:t>
      </w:r>
      <w:r>
        <w:rPr>
          <w:color w:val="231F20"/>
          <w:spacing w:val="-7"/>
        </w:rPr>
        <w:t xml:space="preserve"> </w:t>
      </w:r>
      <w:r>
        <w:rPr>
          <w:color w:val="231F20"/>
        </w:rPr>
        <w:t>експертизи;</w:t>
      </w:r>
      <w:r>
        <w:rPr>
          <w:color w:val="231F20"/>
          <w:spacing w:val="-7"/>
        </w:rPr>
        <w:t xml:space="preserve"> </w:t>
      </w:r>
      <w:r>
        <w:rPr>
          <w:color w:val="231F20"/>
        </w:rPr>
        <w:t>бути</w:t>
      </w:r>
      <w:r>
        <w:rPr>
          <w:color w:val="231F20"/>
          <w:spacing w:val="-7"/>
        </w:rPr>
        <w:t xml:space="preserve"> </w:t>
      </w:r>
      <w:r>
        <w:rPr>
          <w:color w:val="231F20"/>
        </w:rPr>
        <w:t>присутнім</w:t>
      </w:r>
      <w:r>
        <w:rPr>
          <w:color w:val="231F20"/>
          <w:spacing w:val="-7"/>
        </w:rPr>
        <w:t xml:space="preserve"> </w:t>
      </w:r>
      <w:r>
        <w:rPr>
          <w:color w:val="231F20"/>
        </w:rPr>
        <w:t xml:space="preserve">під час </w:t>
      </w:r>
      <w:r>
        <w:rPr>
          <w:color w:val="231F20"/>
          <w:spacing w:val="-3"/>
        </w:rPr>
        <w:t xml:space="preserve">розгляду </w:t>
      </w:r>
      <w:r>
        <w:rPr>
          <w:color w:val="231F20"/>
        </w:rPr>
        <w:t>справи. На відміну від експерта, залучення спеціаліста до проваджень у справах про адміністративні правопорушення для вирішення спеціальних питань, що стосуються обставин учиненого правопорушення, не має жорсткої процесуальної процедури, тобто не  потребує</w:t>
      </w:r>
      <w:r>
        <w:rPr>
          <w:color w:val="231F20"/>
        </w:rPr>
        <w:t xml:space="preserve">  винесення  процесуального  документа  –  постанови,  а передбачає навіть варіант усного</w:t>
      </w:r>
      <w:r>
        <w:rPr>
          <w:color w:val="231F20"/>
          <w:spacing w:val="-5"/>
        </w:rPr>
        <w:t xml:space="preserve"> </w:t>
      </w:r>
      <w:r>
        <w:rPr>
          <w:color w:val="231F20"/>
        </w:rPr>
        <w:t>запрошення.</w:t>
      </w:r>
    </w:p>
    <w:p w14:paraId="5948A211" w14:textId="77777777" w:rsidR="00DE575E" w:rsidRDefault="00DE575E">
      <w:pPr>
        <w:pStyle w:val="BodyText"/>
        <w:spacing w:before="11"/>
        <w:rPr>
          <w:sz w:val="12"/>
        </w:rPr>
      </w:pPr>
    </w:p>
    <w:p w14:paraId="527E4E1A" w14:textId="77777777" w:rsidR="00DE575E" w:rsidRDefault="002E7560">
      <w:pPr>
        <w:spacing w:before="92"/>
        <w:ind w:right="411"/>
        <w:jc w:val="right"/>
        <w:rPr>
          <w:rFonts w:ascii="Times New Roman"/>
          <w:sz w:val="20"/>
        </w:rPr>
      </w:pPr>
      <w:r>
        <w:rPr>
          <w:rFonts w:ascii="Times New Roman"/>
          <w:color w:val="231F20"/>
          <w:w w:val="90"/>
          <w:sz w:val="20"/>
        </w:rPr>
        <w:t>519</w:t>
      </w:r>
    </w:p>
    <w:p w14:paraId="528712D0"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22E9877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3FE81CC" w14:textId="68C7310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2B54493" wp14:editId="6500BFB3">
                <wp:extent cx="4140200" cy="6350"/>
                <wp:effectExtent l="0" t="0" r="12700" b="6350"/>
                <wp:docPr id="12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4" name="Line 12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EFFE17" id="Group_x0020_12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1tuhVH4CAACYBQAADgAA&#10;AAAAAAAAAAAAAAAsAgAAZHJzL2Uyb0RvYy54bWxQSwECLQAUAAYACAAAACEATKewkNkAAAADAQAA&#10;DwAAAAAAAAAAAAAAAADWBAAAZHJzL2Rvd25yZXYueG1sUEsFBgAAAAAEAAQA8wAAANwFAAAAAA==&#10;">
                <v:line id="Line_x0020_12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oTFsQAAADcAAAADwAAAGRycy9kb3ducmV2LnhtbERP22rCQBB9L/gPyxT6InXjBSnRVUQo&#10;lD54ix8wZsckdHc2ZlcT/fpuQejbHM515svOGnGjxleOFQwHCQji3OmKCwXH7PP9A4QPyBqNY1Jw&#10;Jw/LRe9ljql2Le/pdgiFiCHsU1RQhlCnUvq8JIt+4GriyJ1dYzFE2BRSN9jGcGvkKEmm0mLFsaHE&#10;mtYl5T+Hq1WQXfrB7Lbfps22p7E8XTbjx3Wj1Ntrt5qBCNSFf/HT/aXj/NEE/p6JF8jF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ChMWxAAAANwAAAAPAAAAAAAAAAAA&#10;AAAAAKECAABkcnMvZG93bnJldi54bWxQSwUGAAAAAAQABAD5AAAAkgMAAAAA&#10;" strokecolor="#231f20" strokeweight=".5pt"/>
                <w10:anchorlock/>
              </v:group>
            </w:pict>
          </mc:Fallback>
        </mc:AlternateContent>
      </w:r>
    </w:p>
    <w:p w14:paraId="05C65757" w14:textId="77777777" w:rsidR="00DE575E" w:rsidRDefault="00DE575E">
      <w:pPr>
        <w:pStyle w:val="BodyText"/>
        <w:spacing w:before="7"/>
        <w:rPr>
          <w:rFonts w:ascii="AdonisC"/>
          <w:i/>
          <w:sz w:val="11"/>
        </w:rPr>
      </w:pPr>
    </w:p>
    <w:p w14:paraId="25114B32" w14:textId="77777777" w:rsidR="00DE575E" w:rsidRDefault="002E7560">
      <w:pPr>
        <w:pStyle w:val="BodyText"/>
        <w:spacing w:before="101" w:line="252" w:lineRule="auto"/>
        <w:ind w:left="533" w:right="128" w:firstLine="283"/>
        <w:jc w:val="both"/>
      </w:pPr>
      <w:r>
        <w:rPr>
          <w:color w:val="231F20"/>
        </w:rPr>
        <w:t xml:space="preserve">Експерт  несе  адміністративну  відповідальність  згідно  з  ч. 2  </w:t>
      </w:r>
      <w:r>
        <w:rPr>
          <w:color w:val="231F20"/>
          <w:spacing w:val="-6"/>
        </w:rPr>
        <w:t xml:space="preserve">ст. </w:t>
      </w:r>
      <w:r>
        <w:rPr>
          <w:color w:val="231F20"/>
        </w:rPr>
        <w:t>185</w:t>
      </w:r>
      <w:r>
        <w:rPr>
          <w:color w:val="231F20"/>
          <w:position w:val="7"/>
          <w:sz w:val="12"/>
        </w:rPr>
        <w:t xml:space="preserve">3 </w:t>
      </w:r>
      <w:r>
        <w:rPr>
          <w:color w:val="231F20"/>
          <w:spacing w:val="-3"/>
        </w:rPr>
        <w:t xml:space="preserve">КУпАП </w:t>
      </w:r>
      <w:r>
        <w:rPr>
          <w:color w:val="231F20"/>
        </w:rPr>
        <w:t xml:space="preserve">(за злісне ухилення від явки в </w:t>
      </w:r>
      <w:r>
        <w:rPr>
          <w:color w:val="231F20"/>
          <w:spacing w:val="-4"/>
        </w:rPr>
        <w:t xml:space="preserve">суд) </w:t>
      </w:r>
      <w:r>
        <w:rPr>
          <w:color w:val="231F20"/>
        </w:rPr>
        <w:t xml:space="preserve">та ч. 2 </w:t>
      </w:r>
      <w:r>
        <w:rPr>
          <w:color w:val="231F20"/>
          <w:spacing w:val="-6"/>
        </w:rPr>
        <w:t xml:space="preserve">ст. </w:t>
      </w:r>
      <w:r>
        <w:rPr>
          <w:color w:val="231F20"/>
        </w:rPr>
        <w:t>185</w:t>
      </w:r>
      <w:r>
        <w:rPr>
          <w:color w:val="231F20"/>
          <w:position w:val="7"/>
          <w:sz w:val="12"/>
        </w:rPr>
        <w:t xml:space="preserve">4 </w:t>
      </w:r>
      <w:r>
        <w:rPr>
          <w:color w:val="231F20"/>
          <w:spacing w:val="-3"/>
        </w:rPr>
        <w:t xml:space="preserve">КУпАП </w:t>
      </w:r>
      <w:r>
        <w:rPr>
          <w:color w:val="231F20"/>
        </w:rPr>
        <w:t>(за злісне ухилення від явки до органів досудового слідства чи</w:t>
      </w:r>
      <w:r>
        <w:rPr>
          <w:color w:val="231F20"/>
          <w:spacing w:val="-1"/>
        </w:rPr>
        <w:t xml:space="preserve"> </w:t>
      </w:r>
      <w:r>
        <w:rPr>
          <w:color w:val="231F20"/>
        </w:rPr>
        <w:t>дізнання).</w:t>
      </w:r>
    </w:p>
    <w:p w14:paraId="237E858C" w14:textId="77777777" w:rsidR="00DE575E" w:rsidRDefault="002E7560">
      <w:pPr>
        <w:pStyle w:val="BodyText"/>
        <w:spacing w:before="2" w:line="252" w:lineRule="auto"/>
        <w:ind w:left="533" w:right="127" w:firstLine="283"/>
        <w:jc w:val="both"/>
      </w:pPr>
      <w:r>
        <w:rPr>
          <w:b/>
          <w:i/>
          <w:color w:val="231F20"/>
        </w:rPr>
        <w:t xml:space="preserve">Перекладача </w:t>
      </w:r>
      <w:r>
        <w:rPr>
          <w:color w:val="231F20"/>
        </w:rPr>
        <w:t xml:space="preserve">як учасника провадження призначають у разі, коли особа, яку притягують до адміністративної відповідальності, або інші особи, залучені до </w:t>
      </w:r>
      <w:r>
        <w:rPr>
          <w:color w:val="231F20"/>
          <w:spacing w:val="-3"/>
        </w:rPr>
        <w:t xml:space="preserve">розгляду </w:t>
      </w:r>
      <w:r>
        <w:rPr>
          <w:color w:val="231F20"/>
        </w:rPr>
        <w:t>справи (потерпілий, свідок), не володіють мовою, якою здійснюють провадження. Участь перекла- дача надає їм мо</w:t>
      </w:r>
      <w:r>
        <w:rPr>
          <w:color w:val="231F20"/>
        </w:rPr>
        <w:t xml:space="preserve">жливість користуватися рідною або іншою мовою, якою вони володіють, що сприяє </w:t>
      </w:r>
      <w:r>
        <w:rPr>
          <w:color w:val="231F20"/>
          <w:spacing w:val="-4"/>
        </w:rPr>
        <w:t xml:space="preserve">об’єктивному, </w:t>
      </w:r>
      <w:r>
        <w:rPr>
          <w:color w:val="231F20"/>
          <w:spacing w:val="-3"/>
        </w:rPr>
        <w:t xml:space="preserve">усебічному, </w:t>
      </w:r>
      <w:r>
        <w:rPr>
          <w:color w:val="231F20"/>
        </w:rPr>
        <w:t>повному дослідженню обставин</w:t>
      </w:r>
      <w:r>
        <w:rPr>
          <w:color w:val="231F20"/>
          <w:spacing w:val="-1"/>
        </w:rPr>
        <w:t xml:space="preserve"> </w:t>
      </w:r>
      <w:r>
        <w:rPr>
          <w:color w:val="231F20"/>
        </w:rPr>
        <w:t>справи.</w:t>
      </w:r>
    </w:p>
    <w:p w14:paraId="47D6112B" w14:textId="77777777" w:rsidR="00DE575E" w:rsidRDefault="002E7560">
      <w:pPr>
        <w:pStyle w:val="BodyText"/>
        <w:spacing w:before="3" w:line="252" w:lineRule="auto"/>
        <w:ind w:left="533" w:right="127" w:firstLine="283"/>
        <w:jc w:val="both"/>
      </w:pPr>
      <w:r>
        <w:rPr>
          <w:color w:val="231F20"/>
        </w:rPr>
        <w:t>Перекладача призначає орган (посадова особа), у провадженні якого перебуває  справа  про  адміністративне  правопор</w:t>
      </w:r>
      <w:r>
        <w:rPr>
          <w:color w:val="231F20"/>
        </w:rPr>
        <w:t xml:space="preserve">ушення. Він  зобов’язаний  з’явитися  на  виклик  органу  (посадової  особи)  і зробити повно й точно доручений йому переклад. За ухилення від явки або відмову від перекладу до нього можуть бути застосовані </w:t>
      </w:r>
      <w:r>
        <w:rPr>
          <w:color w:val="231F20"/>
          <w:spacing w:val="-2"/>
        </w:rPr>
        <w:t xml:space="preserve">заходи </w:t>
      </w:r>
      <w:r>
        <w:rPr>
          <w:color w:val="231F20"/>
        </w:rPr>
        <w:t>громадського</w:t>
      </w:r>
      <w:r>
        <w:rPr>
          <w:color w:val="231F20"/>
        </w:rPr>
        <w:t xml:space="preserve"> </w:t>
      </w:r>
      <w:r>
        <w:rPr>
          <w:color w:val="231F20"/>
          <w:spacing w:val="-3"/>
        </w:rPr>
        <w:t>впливу.</w:t>
      </w:r>
    </w:p>
    <w:p w14:paraId="7A5D7922" w14:textId="77777777" w:rsidR="00DE575E" w:rsidRDefault="002E7560">
      <w:pPr>
        <w:pStyle w:val="BodyText"/>
        <w:spacing w:before="3"/>
        <w:ind w:left="817"/>
      </w:pPr>
      <w:r>
        <w:rPr>
          <w:color w:val="231F20"/>
        </w:rPr>
        <w:t>Правовий статус перек</w:t>
      </w:r>
      <w:r>
        <w:rPr>
          <w:color w:val="231F20"/>
        </w:rPr>
        <w:t>ладача регламентовано ст. 274 КУпАП.</w:t>
      </w:r>
    </w:p>
    <w:p w14:paraId="6EFCF75F" w14:textId="77777777" w:rsidR="00DE575E" w:rsidRDefault="002E7560">
      <w:pPr>
        <w:pStyle w:val="BodyText"/>
        <w:spacing w:before="13" w:line="252" w:lineRule="auto"/>
        <w:ind w:left="533" w:right="125" w:firstLine="283"/>
        <w:jc w:val="both"/>
      </w:pPr>
      <w:r>
        <w:rPr>
          <w:b/>
          <w:i/>
          <w:color w:val="231F20"/>
        </w:rPr>
        <w:t xml:space="preserve">Поняті </w:t>
      </w:r>
      <w:r>
        <w:rPr>
          <w:color w:val="231F20"/>
        </w:rPr>
        <w:t>– особи, які сприяють здійсненню провадження в справі про адміністративне правопорушення, не зацікавлені в результаті справи. Їх завдання полягає в засвідченні своїми підписами факту правильного відображення в пр</w:t>
      </w:r>
      <w:r>
        <w:rPr>
          <w:color w:val="231F20"/>
        </w:rPr>
        <w:t>отоколі характеру проведених дій, їхньої послідовності й результатів. Об’єктивність відображення того, що відбувається, забезпечується участю принаймні двох понятих.</w:t>
      </w:r>
    </w:p>
    <w:p w14:paraId="79AAF89C" w14:textId="77777777" w:rsidR="00DE575E" w:rsidRDefault="002E7560">
      <w:pPr>
        <w:pStyle w:val="BodyText"/>
        <w:spacing w:before="3" w:line="252" w:lineRule="auto"/>
        <w:ind w:left="533" w:right="128" w:firstLine="283"/>
        <w:jc w:val="both"/>
      </w:pPr>
      <w:r>
        <w:rPr>
          <w:color w:val="231F20"/>
        </w:rPr>
        <w:t>Практика</w:t>
      </w:r>
      <w:r>
        <w:rPr>
          <w:color w:val="231F20"/>
          <w:spacing w:val="-17"/>
        </w:rPr>
        <w:t xml:space="preserve"> </w:t>
      </w:r>
      <w:r>
        <w:rPr>
          <w:color w:val="231F20"/>
        </w:rPr>
        <w:t>провадження</w:t>
      </w:r>
      <w:r>
        <w:rPr>
          <w:color w:val="231F20"/>
          <w:spacing w:val="-17"/>
        </w:rPr>
        <w:t xml:space="preserve"> </w:t>
      </w:r>
      <w:r>
        <w:rPr>
          <w:color w:val="231F20"/>
        </w:rPr>
        <w:t>в</w:t>
      </w:r>
      <w:r>
        <w:rPr>
          <w:color w:val="231F20"/>
          <w:spacing w:val="-17"/>
        </w:rPr>
        <w:t xml:space="preserve"> </w:t>
      </w:r>
      <w:r>
        <w:rPr>
          <w:color w:val="231F20"/>
        </w:rPr>
        <w:t>справах</w:t>
      </w:r>
      <w:r>
        <w:rPr>
          <w:color w:val="231F20"/>
          <w:spacing w:val="-17"/>
        </w:rPr>
        <w:t xml:space="preserve"> </w:t>
      </w:r>
      <w:r>
        <w:rPr>
          <w:color w:val="231F20"/>
        </w:rPr>
        <w:t>про</w:t>
      </w:r>
      <w:r>
        <w:rPr>
          <w:color w:val="231F20"/>
          <w:spacing w:val="-17"/>
        </w:rPr>
        <w:t xml:space="preserve"> </w:t>
      </w:r>
      <w:r>
        <w:rPr>
          <w:color w:val="231F20"/>
        </w:rPr>
        <w:t>адміністративні</w:t>
      </w:r>
      <w:r>
        <w:rPr>
          <w:color w:val="231F20"/>
          <w:spacing w:val="-18"/>
        </w:rPr>
        <w:t xml:space="preserve"> </w:t>
      </w:r>
      <w:r>
        <w:rPr>
          <w:color w:val="231F20"/>
        </w:rPr>
        <w:t>правопору- шення наполегливо потребує у</w:t>
      </w:r>
      <w:r>
        <w:rPr>
          <w:color w:val="231F20"/>
        </w:rPr>
        <w:t>часті спеціалістів і понятих у</w:t>
      </w:r>
      <w:r>
        <w:rPr>
          <w:color w:val="231F20"/>
          <w:spacing w:val="-29"/>
        </w:rPr>
        <w:t xml:space="preserve"> </w:t>
      </w:r>
      <w:r>
        <w:rPr>
          <w:color w:val="231F20"/>
        </w:rPr>
        <w:t>справах про адміністративні правопорушення, визначення їхнього проце- суального положення, проте законодавцем правовий статус зазна- чених учасників провадження чітко не</w:t>
      </w:r>
      <w:r>
        <w:rPr>
          <w:color w:val="231F20"/>
          <w:spacing w:val="-3"/>
        </w:rPr>
        <w:t xml:space="preserve"> </w:t>
      </w:r>
      <w:r>
        <w:rPr>
          <w:color w:val="231F20"/>
        </w:rPr>
        <w:t>визначено.</w:t>
      </w:r>
    </w:p>
    <w:p w14:paraId="2F1077AD" w14:textId="77777777" w:rsidR="00DE575E" w:rsidRDefault="00DE575E">
      <w:pPr>
        <w:pStyle w:val="BodyText"/>
        <w:rPr>
          <w:sz w:val="24"/>
        </w:rPr>
      </w:pPr>
    </w:p>
    <w:p w14:paraId="25CBFD31" w14:textId="77777777" w:rsidR="00DE575E" w:rsidRDefault="00DE575E">
      <w:pPr>
        <w:pStyle w:val="BodyText"/>
        <w:spacing w:before="6"/>
        <w:rPr>
          <w:sz w:val="19"/>
        </w:rPr>
      </w:pPr>
    </w:p>
    <w:p w14:paraId="1DBD165F" w14:textId="77777777" w:rsidR="00DE575E" w:rsidRDefault="002E7560">
      <w:pPr>
        <w:pStyle w:val="Heading4"/>
        <w:numPr>
          <w:ilvl w:val="1"/>
          <w:numId w:val="10"/>
        </w:numPr>
        <w:tabs>
          <w:tab w:val="left" w:pos="2414"/>
        </w:tabs>
        <w:ind w:left="1768" w:right="1363" w:firstLine="234"/>
        <w:jc w:val="left"/>
      </w:pPr>
      <w:r>
        <w:rPr>
          <w:color w:val="231F20"/>
        </w:rPr>
        <w:t>Стадії провадження у справах про адміністр</w:t>
      </w:r>
      <w:r>
        <w:rPr>
          <w:color w:val="231F20"/>
        </w:rPr>
        <w:t>ативні</w:t>
      </w:r>
      <w:r>
        <w:rPr>
          <w:color w:val="231F20"/>
          <w:spacing w:val="-29"/>
        </w:rPr>
        <w:t xml:space="preserve"> </w:t>
      </w:r>
      <w:r>
        <w:rPr>
          <w:color w:val="231F20"/>
        </w:rPr>
        <w:t>правопорушення</w:t>
      </w:r>
    </w:p>
    <w:p w14:paraId="7A0FFE9E" w14:textId="77777777" w:rsidR="00DE575E" w:rsidRDefault="00DE575E">
      <w:pPr>
        <w:pStyle w:val="BodyText"/>
        <w:rPr>
          <w:b/>
          <w:sz w:val="26"/>
        </w:rPr>
      </w:pPr>
    </w:p>
    <w:p w14:paraId="52A7F7DF" w14:textId="77777777" w:rsidR="00DE575E" w:rsidRDefault="002E7560">
      <w:pPr>
        <w:pStyle w:val="BodyText"/>
        <w:spacing w:before="224" w:line="252" w:lineRule="auto"/>
        <w:ind w:left="533" w:right="127" w:firstLine="283"/>
        <w:jc w:val="both"/>
      </w:pPr>
      <w:r>
        <w:rPr>
          <w:color w:val="231F20"/>
        </w:rPr>
        <w:t>Провадження у справах про адміністративні проступки – особ- ливий різновид адміністративно-деліктних проваджень у системі адміністративного процесу, який значною мірою врегульований</w:t>
      </w:r>
    </w:p>
    <w:p w14:paraId="10DD0540" w14:textId="77777777" w:rsidR="00DE575E" w:rsidRDefault="00DE575E">
      <w:pPr>
        <w:pStyle w:val="BodyText"/>
        <w:spacing w:before="8"/>
        <w:rPr>
          <w:sz w:val="12"/>
        </w:rPr>
      </w:pPr>
    </w:p>
    <w:p w14:paraId="0A1F168F" w14:textId="77777777" w:rsidR="00DE575E" w:rsidRDefault="002E7560">
      <w:pPr>
        <w:spacing w:before="91"/>
        <w:ind w:left="533"/>
        <w:rPr>
          <w:rFonts w:ascii="Times New Roman"/>
          <w:sz w:val="20"/>
        </w:rPr>
      </w:pPr>
      <w:r>
        <w:rPr>
          <w:rFonts w:ascii="Times New Roman"/>
          <w:color w:val="231F20"/>
          <w:sz w:val="20"/>
        </w:rPr>
        <w:t>520</w:t>
      </w:r>
    </w:p>
    <w:p w14:paraId="65B1292A" w14:textId="77777777" w:rsidR="00DE575E" w:rsidRDefault="00DE575E">
      <w:pPr>
        <w:rPr>
          <w:rFonts w:ascii="Times New Roman"/>
          <w:sz w:val="20"/>
        </w:rPr>
        <w:sectPr w:rsidR="00DE575E">
          <w:pgSz w:w="8510" w:h="12760"/>
          <w:pgMar w:top="660" w:right="720" w:bottom="280" w:left="600" w:header="720" w:footer="720" w:gutter="0"/>
          <w:cols w:space="720"/>
        </w:sectPr>
      </w:pPr>
    </w:p>
    <w:p w14:paraId="58851975" w14:textId="77777777" w:rsidR="00DE575E" w:rsidRDefault="002E7560">
      <w:pPr>
        <w:spacing w:before="72" w:line="249" w:lineRule="auto"/>
        <w:ind w:left="1020" w:right="392" w:firstLine="1672"/>
        <w:rPr>
          <w:rFonts w:ascii="AdonisC" w:hAnsi="AdonisC"/>
          <w:i/>
          <w:sz w:val="18"/>
        </w:rPr>
      </w:pPr>
      <w:r>
        <w:rPr>
          <w:rFonts w:ascii="AdonisC" w:hAnsi="AdonisC"/>
          <w:i/>
          <w:color w:val="231F20"/>
          <w:sz w:val="18"/>
        </w:rPr>
        <w:t>Глава ІІ Особливе адміністративне право/ Книга ІІ Розділ 5. Провадження у справах про адміністративні правопорушення</w:t>
      </w:r>
    </w:p>
    <w:p w14:paraId="052E783F" w14:textId="351291B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75D12C7" wp14:editId="7034CFBE">
                <wp:extent cx="4140200" cy="6350"/>
                <wp:effectExtent l="0" t="0" r="12700" b="6350"/>
                <wp:docPr id="1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2" name="Line 12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F2EE8" id="Group_x0020_12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TYSs6n4CAACYBQAADgAA&#10;AAAAAAAAAAAAAAAsAgAAZHJzL2Uyb0RvYy54bWxQSwECLQAUAAYACAAAACEATKewkNkAAAADAQAA&#10;DwAAAAAAAAAAAAAAAADWBAAAZHJzL2Rvd25yZXYueG1sUEsFBgAAAAAEAAQA8wAAANwFAAAAAA==&#10;">
                <v:line id="Line_x0020_12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8u+cMAAADcAAAADwAAAGRycy9kb3ducmV2LnhtbERP22rCQBB9F/oPyxR8kbppBJHUVYog&#10;FB+8pR8wZqdJ6O5szK4m+vVuoeDbHM515sveGnGl1teOFbyPExDEhdM1lwq+8/XbDIQPyBqNY1Jw&#10;Iw/Lxctgjpl2HR/oegyliCHsM1RQhdBkUvqiIot+7BriyP241mKIsC2lbrGL4dbINEmm0mLNsaHC&#10;hlYVFb/Hi1WQn0fB7Hcb0+W700SeztvJ/bJVavjaf36ACNSHp/jf/aXj/DSFv2fiBX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OvLvnDAAAA3AAAAA8AAAAAAAAAAAAA&#10;AAAAoQIAAGRycy9kb3ducmV2LnhtbFBLBQYAAAAABAAEAPkAAACRAwAAAAA=&#10;" strokecolor="#231f20" strokeweight=".5pt"/>
                <w10:anchorlock/>
              </v:group>
            </w:pict>
          </mc:Fallback>
        </mc:AlternateContent>
      </w:r>
    </w:p>
    <w:p w14:paraId="62C7BB16" w14:textId="77777777" w:rsidR="00DE575E" w:rsidRDefault="00DE575E">
      <w:pPr>
        <w:pStyle w:val="BodyText"/>
        <w:spacing w:before="7"/>
        <w:rPr>
          <w:rFonts w:ascii="AdonisC"/>
          <w:i/>
          <w:sz w:val="19"/>
        </w:rPr>
      </w:pPr>
    </w:p>
    <w:p w14:paraId="23612FA8" w14:textId="77777777" w:rsidR="00DE575E" w:rsidRDefault="002E7560">
      <w:pPr>
        <w:pStyle w:val="BodyText"/>
        <w:spacing w:before="1" w:line="252" w:lineRule="auto"/>
        <w:ind w:left="250" w:right="128"/>
      </w:pPr>
      <w:r>
        <w:rPr>
          <w:color w:val="231F20"/>
        </w:rPr>
        <w:t>правовими нормами, що сконцентровані в розділах IV та V КУпАП (глави 18–3</w:t>
      </w:r>
      <w:r>
        <w:rPr>
          <w:color w:val="231F20"/>
        </w:rPr>
        <w:t>3), і складається з чотирьох стадій.</w:t>
      </w:r>
    </w:p>
    <w:p w14:paraId="626E12C0" w14:textId="77777777" w:rsidR="00DE575E" w:rsidRDefault="002E7560">
      <w:pPr>
        <w:pStyle w:val="ListParagraph"/>
        <w:numPr>
          <w:ilvl w:val="0"/>
          <w:numId w:val="8"/>
        </w:numPr>
        <w:tabs>
          <w:tab w:val="left" w:pos="818"/>
        </w:tabs>
        <w:spacing w:line="252" w:lineRule="auto"/>
        <w:ind w:right="410" w:firstLine="283"/>
        <w:jc w:val="both"/>
        <w:rPr>
          <w:sz w:val="21"/>
        </w:rPr>
      </w:pPr>
      <w:r>
        <w:rPr>
          <w:b/>
          <w:color w:val="231F20"/>
          <w:sz w:val="21"/>
        </w:rPr>
        <w:t xml:space="preserve">Порушення справи та адміністративне розслідування </w:t>
      </w:r>
      <w:r>
        <w:rPr>
          <w:color w:val="231F20"/>
          <w:sz w:val="21"/>
        </w:rPr>
        <w:t>– початкова</w:t>
      </w:r>
      <w:r>
        <w:rPr>
          <w:color w:val="231F20"/>
          <w:spacing w:val="-9"/>
          <w:sz w:val="21"/>
        </w:rPr>
        <w:t xml:space="preserve"> </w:t>
      </w:r>
      <w:r>
        <w:rPr>
          <w:color w:val="231F20"/>
          <w:sz w:val="21"/>
        </w:rPr>
        <w:t>стадія</w:t>
      </w:r>
      <w:r>
        <w:rPr>
          <w:color w:val="231F20"/>
          <w:spacing w:val="-10"/>
          <w:sz w:val="21"/>
        </w:rPr>
        <w:t xml:space="preserve"> </w:t>
      </w:r>
      <w:r>
        <w:rPr>
          <w:color w:val="231F20"/>
          <w:sz w:val="21"/>
        </w:rPr>
        <w:t>провадження</w:t>
      </w:r>
      <w:r>
        <w:rPr>
          <w:color w:val="231F20"/>
          <w:spacing w:val="-10"/>
          <w:sz w:val="21"/>
        </w:rPr>
        <w:t xml:space="preserve"> </w:t>
      </w:r>
      <w:r>
        <w:rPr>
          <w:color w:val="231F20"/>
          <w:sz w:val="21"/>
        </w:rPr>
        <w:t>в</w:t>
      </w:r>
      <w:r>
        <w:rPr>
          <w:color w:val="231F20"/>
          <w:spacing w:val="-10"/>
          <w:sz w:val="21"/>
        </w:rPr>
        <w:t xml:space="preserve"> </w:t>
      </w:r>
      <w:r>
        <w:rPr>
          <w:color w:val="231F20"/>
          <w:sz w:val="21"/>
        </w:rPr>
        <w:t>справах</w:t>
      </w:r>
      <w:r>
        <w:rPr>
          <w:color w:val="231F20"/>
          <w:spacing w:val="-9"/>
          <w:sz w:val="21"/>
        </w:rPr>
        <w:t xml:space="preserve"> </w:t>
      </w:r>
      <w:r>
        <w:rPr>
          <w:color w:val="231F20"/>
          <w:sz w:val="21"/>
        </w:rPr>
        <w:t>про</w:t>
      </w:r>
      <w:r>
        <w:rPr>
          <w:color w:val="231F20"/>
          <w:spacing w:val="-10"/>
          <w:sz w:val="21"/>
        </w:rPr>
        <w:t xml:space="preserve"> </w:t>
      </w:r>
      <w:r>
        <w:rPr>
          <w:color w:val="231F20"/>
          <w:sz w:val="21"/>
        </w:rPr>
        <w:t>адміністративні</w:t>
      </w:r>
      <w:r>
        <w:rPr>
          <w:color w:val="231F20"/>
          <w:spacing w:val="-10"/>
          <w:sz w:val="21"/>
        </w:rPr>
        <w:t xml:space="preserve"> </w:t>
      </w:r>
      <w:r>
        <w:rPr>
          <w:color w:val="231F20"/>
          <w:sz w:val="21"/>
        </w:rPr>
        <w:t>право- порушення, що становить цілий комплекс процесуальних дій, спря- мованих на встановлення самої події п</w:t>
      </w:r>
      <w:r>
        <w:rPr>
          <w:color w:val="231F20"/>
          <w:sz w:val="21"/>
        </w:rPr>
        <w:t xml:space="preserve">равопорушення, обставин правопорушення, їх фіксацію та кваліфікацію. На цій стадії створю- ються умови для </w:t>
      </w:r>
      <w:r>
        <w:rPr>
          <w:color w:val="231F20"/>
          <w:spacing w:val="-3"/>
          <w:sz w:val="21"/>
        </w:rPr>
        <w:t xml:space="preserve">об’єктивного </w:t>
      </w:r>
      <w:r>
        <w:rPr>
          <w:color w:val="231F20"/>
          <w:sz w:val="21"/>
        </w:rPr>
        <w:t xml:space="preserve">та швидкого </w:t>
      </w:r>
      <w:r>
        <w:rPr>
          <w:color w:val="231F20"/>
          <w:spacing w:val="-3"/>
          <w:sz w:val="21"/>
        </w:rPr>
        <w:t xml:space="preserve">розгляду </w:t>
      </w:r>
      <w:r>
        <w:rPr>
          <w:color w:val="231F20"/>
          <w:sz w:val="21"/>
        </w:rPr>
        <w:t>справи, засто- сування до винного передбачених законодавством заходів</w:t>
      </w:r>
      <w:r>
        <w:rPr>
          <w:color w:val="231F20"/>
          <w:spacing w:val="-23"/>
          <w:sz w:val="21"/>
        </w:rPr>
        <w:t xml:space="preserve"> </w:t>
      </w:r>
      <w:r>
        <w:rPr>
          <w:color w:val="231F20"/>
          <w:spacing w:val="-3"/>
          <w:sz w:val="21"/>
        </w:rPr>
        <w:t>впливу.</w:t>
      </w:r>
    </w:p>
    <w:p w14:paraId="33D23DF8" w14:textId="77777777" w:rsidR="00DE575E" w:rsidRDefault="002E7560">
      <w:pPr>
        <w:pStyle w:val="BodyText"/>
        <w:spacing w:before="3" w:line="252" w:lineRule="auto"/>
        <w:ind w:left="250" w:right="411" w:firstLine="283"/>
        <w:jc w:val="both"/>
      </w:pPr>
      <w:r>
        <w:rPr>
          <w:i/>
          <w:color w:val="231F20"/>
        </w:rPr>
        <w:t>Підставою для порушення адміністратив</w:t>
      </w:r>
      <w:r>
        <w:rPr>
          <w:i/>
          <w:color w:val="231F20"/>
        </w:rPr>
        <w:t xml:space="preserve">ної справи </w:t>
      </w:r>
      <w:r>
        <w:rPr>
          <w:color w:val="231F20"/>
        </w:rPr>
        <w:t>та попе- реднього з’ясування її обставин є вчинення особою діяння, яке містить</w:t>
      </w:r>
      <w:r>
        <w:rPr>
          <w:color w:val="231F20"/>
          <w:spacing w:val="-23"/>
        </w:rPr>
        <w:t xml:space="preserve"> </w:t>
      </w:r>
      <w:r>
        <w:rPr>
          <w:color w:val="231F20"/>
        </w:rPr>
        <w:t>в</w:t>
      </w:r>
      <w:r>
        <w:rPr>
          <w:color w:val="231F20"/>
          <w:spacing w:val="-23"/>
        </w:rPr>
        <w:t xml:space="preserve"> </w:t>
      </w:r>
      <w:r>
        <w:rPr>
          <w:color w:val="231F20"/>
        </w:rPr>
        <w:t>собі</w:t>
      </w:r>
      <w:r>
        <w:rPr>
          <w:color w:val="231F20"/>
          <w:spacing w:val="-23"/>
        </w:rPr>
        <w:t xml:space="preserve"> </w:t>
      </w:r>
      <w:r>
        <w:rPr>
          <w:color w:val="231F20"/>
        </w:rPr>
        <w:t>ознаки</w:t>
      </w:r>
      <w:r>
        <w:rPr>
          <w:color w:val="231F20"/>
          <w:spacing w:val="-23"/>
        </w:rPr>
        <w:t xml:space="preserve"> </w:t>
      </w:r>
      <w:r>
        <w:rPr>
          <w:color w:val="231F20"/>
        </w:rPr>
        <w:t>адміністративного</w:t>
      </w:r>
      <w:r>
        <w:rPr>
          <w:color w:val="231F20"/>
          <w:spacing w:val="-23"/>
        </w:rPr>
        <w:t xml:space="preserve"> </w:t>
      </w:r>
      <w:r>
        <w:rPr>
          <w:color w:val="231F20"/>
        </w:rPr>
        <w:t>правопорушення</w:t>
      </w:r>
      <w:r>
        <w:rPr>
          <w:color w:val="231F20"/>
          <w:spacing w:val="-23"/>
        </w:rPr>
        <w:t xml:space="preserve"> </w:t>
      </w:r>
      <w:r>
        <w:rPr>
          <w:color w:val="231F20"/>
        </w:rPr>
        <w:t>(фактична підстава). Проте фактичної підстави не завжди достатньо для того, щоб провадження  у  справі  розпочалося.  Для  цього  потрібна  ще  й формальна, процесуальна підстава, тобто інформація про право- порушення. Іншими словами, крім підстави для пор</w:t>
      </w:r>
      <w:r>
        <w:rPr>
          <w:color w:val="231F20"/>
        </w:rPr>
        <w:t>ушення справи про адміністративне правопорушення має бути ще й</w:t>
      </w:r>
      <w:r>
        <w:rPr>
          <w:color w:val="231F20"/>
          <w:spacing w:val="-11"/>
        </w:rPr>
        <w:t xml:space="preserve"> </w:t>
      </w:r>
      <w:r>
        <w:rPr>
          <w:color w:val="231F20"/>
        </w:rPr>
        <w:t>привід.</w:t>
      </w:r>
    </w:p>
    <w:p w14:paraId="23A0345A" w14:textId="77777777" w:rsidR="00DE575E" w:rsidRDefault="002E7560">
      <w:pPr>
        <w:pStyle w:val="BodyText"/>
        <w:spacing w:before="4" w:line="252" w:lineRule="auto"/>
        <w:ind w:left="250" w:right="409" w:firstLine="283"/>
        <w:jc w:val="both"/>
      </w:pPr>
      <w:r>
        <w:rPr>
          <w:i/>
          <w:color w:val="231F20"/>
        </w:rPr>
        <w:t xml:space="preserve">Приводом для порушення адміністративної справи </w:t>
      </w:r>
      <w:r>
        <w:rPr>
          <w:color w:val="231F20"/>
        </w:rPr>
        <w:t>може бути: заява (письмова або усна) свідків, потерпілих та інших громадян; повідомлення посадових осіб, адміністрації підприємств, устано</w:t>
      </w:r>
      <w:r>
        <w:rPr>
          <w:color w:val="231F20"/>
        </w:rPr>
        <w:t>в, організацій, судово-слідчих органів; повідомлення преси та інших засобів масової інформації; повідомлення громадських організацій, товариських судів; безпосереднє виявлення порушення уповнова- женою особою.</w:t>
      </w:r>
    </w:p>
    <w:p w14:paraId="540531B1" w14:textId="77777777" w:rsidR="00DE575E" w:rsidRDefault="002E7560">
      <w:pPr>
        <w:pStyle w:val="BodyText"/>
        <w:spacing w:before="4" w:line="252" w:lineRule="auto"/>
        <w:ind w:left="250" w:right="410" w:firstLine="283"/>
        <w:jc w:val="both"/>
      </w:pPr>
      <w:r>
        <w:rPr>
          <w:i/>
          <w:color w:val="231F20"/>
        </w:rPr>
        <w:t>Процесуальним документом, який фіксує закінчення стадії пору- шення адміністративної справи</w:t>
      </w:r>
      <w:r>
        <w:rPr>
          <w:color w:val="231F20"/>
        </w:rPr>
        <w:t xml:space="preserve">, є </w:t>
      </w:r>
      <w:r>
        <w:rPr>
          <w:b/>
          <w:i/>
          <w:color w:val="231F20"/>
        </w:rPr>
        <w:t>протокол</w:t>
      </w:r>
      <w:r>
        <w:rPr>
          <w:color w:val="231F20"/>
        </w:rPr>
        <w:t>. Він складається про кожне правопорушення, крім випадків, прямо передбачених зако- нодавством. Інколи протокол розглядають як документ про пору- шення а</w:t>
      </w:r>
      <w:r>
        <w:rPr>
          <w:color w:val="231F20"/>
        </w:rPr>
        <w:t xml:space="preserve">дміністративної справи, а його складання – як процесуаль- ний момент порушення справи. Але це скоріше звинувачувальний </w:t>
      </w:r>
      <w:r>
        <w:rPr>
          <w:color w:val="231F20"/>
          <w:spacing w:val="-3"/>
        </w:rPr>
        <w:t xml:space="preserve">документ. </w:t>
      </w:r>
      <w:r>
        <w:rPr>
          <w:color w:val="231F20"/>
        </w:rPr>
        <w:t>Ще до його складання проводяться всі необхідні процесу- альні</w:t>
      </w:r>
      <w:r>
        <w:rPr>
          <w:color w:val="231F20"/>
          <w:spacing w:val="-13"/>
        </w:rPr>
        <w:t xml:space="preserve"> </w:t>
      </w:r>
      <w:r>
        <w:rPr>
          <w:color w:val="231F20"/>
        </w:rPr>
        <w:t>дії:</w:t>
      </w:r>
      <w:r>
        <w:rPr>
          <w:color w:val="231F20"/>
          <w:spacing w:val="-14"/>
        </w:rPr>
        <w:t xml:space="preserve"> </w:t>
      </w:r>
      <w:r>
        <w:rPr>
          <w:color w:val="231F20"/>
        </w:rPr>
        <w:t>опитуються</w:t>
      </w:r>
      <w:r>
        <w:rPr>
          <w:color w:val="231F20"/>
          <w:spacing w:val="-13"/>
        </w:rPr>
        <w:t xml:space="preserve"> </w:t>
      </w:r>
      <w:r>
        <w:rPr>
          <w:color w:val="231F20"/>
        </w:rPr>
        <w:t>свідки,</w:t>
      </w:r>
      <w:r>
        <w:rPr>
          <w:color w:val="231F20"/>
          <w:spacing w:val="-13"/>
        </w:rPr>
        <w:t xml:space="preserve"> </w:t>
      </w:r>
      <w:r>
        <w:rPr>
          <w:color w:val="231F20"/>
        </w:rPr>
        <w:t>потерпілі,</w:t>
      </w:r>
      <w:r>
        <w:rPr>
          <w:color w:val="231F20"/>
          <w:spacing w:val="-13"/>
        </w:rPr>
        <w:t xml:space="preserve"> </w:t>
      </w:r>
      <w:r>
        <w:rPr>
          <w:color w:val="231F20"/>
        </w:rPr>
        <w:t>беруться</w:t>
      </w:r>
      <w:r>
        <w:rPr>
          <w:color w:val="231F20"/>
          <w:spacing w:val="-13"/>
        </w:rPr>
        <w:t xml:space="preserve"> </w:t>
      </w:r>
      <w:r>
        <w:rPr>
          <w:color w:val="231F20"/>
        </w:rPr>
        <w:t>пояснення</w:t>
      </w:r>
      <w:r>
        <w:rPr>
          <w:color w:val="231F20"/>
          <w:spacing w:val="-14"/>
        </w:rPr>
        <w:t xml:space="preserve"> </w:t>
      </w:r>
      <w:r>
        <w:rPr>
          <w:color w:val="231F20"/>
        </w:rPr>
        <w:t>в</w:t>
      </w:r>
      <w:r>
        <w:rPr>
          <w:color w:val="231F20"/>
          <w:spacing w:val="-13"/>
        </w:rPr>
        <w:t xml:space="preserve"> </w:t>
      </w:r>
      <w:r>
        <w:rPr>
          <w:color w:val="231F20"/>
        </w:rPr>
        <w:t>поруш- ни</w:t>
      </w:r>
      <w:r>
        <w:rPr>
          <w:color w:val="231F20"/>
        </w:rPr>
        <w:t xml:space="preserve">ків, проводяться </w:t>
      </w:r>
      <w:r>
        <w:rPr>
          <w:color w:val="231F20"/>
          <w:spacing w:val="-3"/>
        </w:rPr>
        <w:t xml:space="preserve">огляди </w:t>
      </w:r>
      <w:r>
        <w:rPr>
          <w:color w:val="231F20"/>
        </w:rPr>
        <w:t xml:space="preserve">і </w:t>
      </w:r>
      <w:r>
        <w:rPr>
          <w:color w:val="231F20"/>
          <w:spacing w:val="-9"/>
        </w:rPr>
        <w:t>т.</w:t>
      </w:r>
      <w:r>
        <w:rPr>
          <w:color w:val="231F20"/>
          <w:spacing w:val="-2"/>
        </w:rPr>
        <w:t xml:space="preserve"> </w:t>
      </w:r>
      <w:r>
        <w:rPr>
          <w:color w:val="231F20"/>
        </w:rPr>
        <w:t>ін.</w:t>
      </w:r>
    </w:p>
    <w:p w14:paraId="66503AB3" w14:textId="77777777" w:rsidR="00DE575E" w:rsidRDefault="002E7560">
      <w:pPr>
        <w:pStyle w:val="BodyText"/>
        <w:spacing w:before="4" w:line="252" w:lineRule="auto"/>
        <w:ind w:left="250" w:right="411" w:firstLine="283"/>
        <w:jc w:val="both"/>
      </w:pPr>
      <w:r>
        <w:rPr>
          <w:color w:val="231F20"/>
        </w:rPr>
        <w:t xml:space="preserve">Види посадових осіб, які мають право складати протоколи про адміністративні правопорушення, а також їх повноваження щодо складання  протоколів  про   певне   правопорушення   закріплено   у </w:t>
      </w:r>
      <w:r>
        <w:rPr>
          <w:color w:val="231F20"/>
          <w:spacing w:val="-6"/>
        </w:rPr>
        <w:t xml:space="preserve">ст. </w:t>
      </w:r>
      <w:r>
        <w:rPr>
          <w:color w:val="231F20"/>
        </w:rPr>
        <w:t xml:space="preserve">255 </w:t>
      </w:r>
      <w:r>
        <w:rPr>
          <w:color w:val="231F20"/>
          <w:spacing w:val="-3"/>
        </w:rPr>
        <w:t>КУпАП.</w:t>
      </w:r>
    </w:p>
    <w:p w14:paraId="2EE8D858" w14:textId="77777777" w:rsidR="00DE575E" w:rsidRDefault="002E7560">
      <w:pPr>
        <w:pStyle w:val="ListParagraph"/>
        <w:numPr>
          <w:ilvl w:val="0"/>
          <w:numId w:val="8"/>
        </w:numPr>
        <w:tabs>
          <w:tab w:val="left" w:pos="818"/>
        </w:tabs>
        <w:spacing w:before="2" w:line="252" w:lineRule="auto"/>
        <w:ind w:right="411" w:firstLine="283"/>
        <w:jc w:val="both"/>
        <w:rPr>
          <w:sz w:val="21"/>
        </w:rPr>
      </w:pPr>
      <w:r>
        <w:rPr>
          <w:b/>
          <w:color w:val="231F20"/>
          <w:spacing w:val="-4"/>
          <w:sz w:val="21"/>
        </w:rPr>
        <w:t xml:space="preserve">Розгляд </w:t>
      </w:r>
      <w:r>
        <w:rPr>
          <w:b/>
          <w:color w:val="231F20"/>
          <w:sz w:val="21"/>
        </w:rPr>
        <w:t>та ухвален</w:t>
      </w:r>
      <w:r>
        <w:rPr>
          <w:b/>
          <w:color w:val="231F20"/>
          <w:sz w:val="21"/>
        </w:rPr>
        <w:t xml:space="preserve">ня рішення у справі – </w:t>
      </w:r>
      <w:r>
        <w:rPr>
          <w:color w:val="231F20"/>
          <w:sz w:val="21"/>
        </w:rPr>
        <w:t>це основна стадія провадження в справах про них, на якій вирішуються</w:t>
      </w:r>
      <w:r>
        <w:rPr>
          <w:color w:val="231F20"/>
          <w:spacing w:val="7"/>
          <w:sz w:val="21"/>
        </w:rPr>
        <w:t xml:space="preserve"> </w:t>
      </w:r>
      <w:r>
        <w:rPr>
          <w:color w:val="231F20"/>
          <w:sz w:val="21"/>
        </w:rPr>
        <w:t>найважливіші</w:t>
      </w:r>
    </w:p>
    <w:p w14:paraId="35C0705A" w14:textId="77777777" w:rsidR="00DE575E" w:rsidRDefault="00DE575E">
      <w:pPr>
        <w:pStyle w:val="BodyText"/>
        <w:spacing w:before="5"/>
        <w:rPr>
          <w:sz w:val="12"/>
        </w:rPr>
      </w:pPr>
    </w:p>
    <w:p w14:paraId="32A2F201" w14:textId="77777777" w:rsidR="00DE575E" w:rsidRDefault="002E7560">
      <w:pPr>
        <w:spacing w:before="92"/>
        <w:ind w:right="411"/>
        <w:jc w:val="right"/>
        <w:rPr>
          <w:rFonts w:ascii="Times New Roman"/>
          <w:sz w:val="20"/>
        </w:rPr>
      </w:pPr>
      <w:r>
        <w:rPr>
          <w:rFonts w:ascii="Times New Roman"/>
          <w:color w:val="231F20"/>
          <w:w w:val="90"/>
          <w:sz w:val="20"/>
        </w:rPr>
        <w:t>521</w:t>
      </w:r>
    </w:p>
    <w:p w14:paraId="302AEAE1"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79817D6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7B48CB7" w14:textId="01B9423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A0D5851" wp14:editId="5EB5DBAC">
                <wp:extent cx="4140200" cy="6350"/>
                <wp:effectExtent l="0" t="0" r="12700" b="6350"/>
                <wp:docPr id="11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0" name="Line 11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015E69" id="Group_x0020_11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88D5J/AgAAmAUAAA4A&#10;AAAAAAAAAAAAAAAALAIAAGRycy9lMm9Eb2MueG1sUEsBAi0AFAAGAAgAAAAhAEynsJDZAAAAAwEA&#10;AA8AAAAAAAAAAAAAAAAA1wQAAGRycy9kb3ducmV2LnhtbFBLBQYAAAAABAAEAPMAAADdBQAAAAA=&#10;">
                <v:line id="Line_x0020_11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EVFcYAAADcAAAADwAAAGRycy9kb3ducmV2LnhtbESPQWvCQBCF74X+h2UKvZS6qUKR6Coi&#10;CKUHbU1/wJgdk+DubMyuJvrrO4dCbzO8N+99M18O3qkrdbEJbOBtlIEiLoNtuDLwU2xep6BiQrbo&#10;ApOBG0VYLh4f5pjb0PM3XfepUhLCMUcDdUptrnUsa/IYR6ElFu0YOo9J1q7StsNewr3T4yx71x4b&#10;loYaW1rXVJ72F2+gOL8k97X7dH2xO0z04byd3C9bY56fhtUMVKIh/Zv/rj+s4I8FX56RCf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xFRXGAAAA3AAAAA8AAAAAAAAA&#10;AAAAAAAAoQIAAGRycy9kb3ducmV2LnhtbFBLBQYAAAAABAAEAPkAAACUAwAAAAA=&#10;" strokecolor="#231f20" strokeweight=".5pt"/>
                <w10:anchorlock/>
              </v:group>
            </w:pict>
          </mc:Fallback>
        </mc:AlternateContent>
      </w:r>
    </w:p>
    <w:p w14:paraId="64874097" w14:textId="77777777" w:rsidR="00DE575E" w:rsidRDefault="00DE575E">
      <w:pPr>
        <w:pStyle w:val="BodyText"/>
        <w:spacing w:before="7"/>
        <w:rPr>
          <w:rFonts w:ascii="AdonisC"/>
          <w:i/>
          <w:sz w:val="11"/>
        </w:rPr>
      </w:pPr>
    </w:p>
    <w:p w14:paraId="33C5C14A" w14:textId="77777777" w:rsidR="00DE575E" w:rsidRDefault="002E7560">
      <w:pPr>
        <w:pStyle w:val="BodyText"/>
        <w:spacing w:before="101" w:line="252" w:lineRule="auto"/>
        <w:ind w:left="533" w:right="128"/>
        <w:jc w:val="both"/>
      </w:pPr>
      <w:r>
        <w:rPr>
          <w:color w:val="231F20"/>
        </w:rPr>
        <w:t>завдання</w:t>
      </w:r>
      <w:r>
        <w:rPr>
          <w:color w:val="231F20"/>
          <w:spacing w:val="-13"/>
        </w:rPr>
        <w:t xml:space="preserve"> </w:t>
      </w:r>
      <w:r>
        <w:rPr>
          <w:color w:val="231F20"/>
        </w:rPr>
        <w:t>цього</w:t>
      </w:r>
      <w:r>
        <w:rPr>
          <w:color w:val="231F20"/>
          <w:spacing w:val="-13"/>
        </w:rPr>
        <w:t xml:space="preserve"> </w:t>
      </w:r>
      <w:r>
        <w:rPr>
          <w:color w:val="231F20"/>
        </w:rPr>
        <w:t>провадження.</w:t>
      </w:r>
      <w:r>
        <w:rPr>
          <w:color w:val="231F20"/>
          <w:spacing w:val="-13"/>
        </w:rPr>
        <w:t xml:space="preserve"> </w:t>
      </w:r>
      <w:r>
        <w:rPr>
          <w:color w:val="231F20"/>
        </w:rPr>
        <w:t>Ці</w:t>
      </w:r>
      <w:r>
        <w:rPr>
          <w:color w:val="231F20"/>
          <w:spacing w:val="-13"/>
        </w:rPr>
        <w:t xml:space="preserve"> </w:t>
      </w:r>
      <w:r>
        <w:rPr>
          <w:color w:val="231F20"/>
        </w:rPr>
        <w:t>завдання</w:t>
      </w:r>
      <w:r>
        <w:rPr>
          <w:color w:val="231F20"/>
          <w:spacing w:val="-13"/>
        </w:rPr>
        <w:t xml:space="preserve"> </w:t>
      </w:r>
      <w:r>
        <w:rPr>
          <w:color w:val="231F20"/>
        </w:rPr>
        <w:t>полягають</w:t>
      </w:r>
      <w:r>
        <w:rPr>
          <w:color w:val="231F20"/>
          <w:spacing w:val="-13"/>
        </w:rPr>
        <w:t xml:space="preserve"> </w:t>
      </w:r>
      <w:r>
        <w:rPr>
          <w:color w:val="231F20"/>
        </w:rPr>
        <w:t>у</w:t>
      </w:r>
      <w:r>
        <w:rPr>
          <w:color w:val="231F20"/>
          <w:spacing w:val="-14"/>
        </w:rPr>
        <w:t xml:space="preserve"> </w:t>
      </w:r>
      <w:r>
        <w:rPr>
          <w:color w:val="231F20"/>
        </w:rPr>
        <w:t>встановленні винних і забезпеченні правильного застосування законодавства з тим,</w:t>
      </w:r>
      <w:r>
        <w:rPr>
          <w:color w:val="231F20"/>
          <w:spacing w:val="-8"/>
        </w:rPr>
        <w:t xml:space="preserve"> </w:t>
      </w:r>
      <w:r>
        <w:rPr>
          <w:color w:val="231F20"/>
        </w:rPr>
        <w:t>щоб</w:t>
      </w:r>
      <w:r>
        <w:rPr>
          <w:color w:val="231F20"/>
          <w:spacing w:val="-8"/>
        </w:rPr>
        <w:t xml:space="preserve"> </w:t>
      </w:r>
      <w:r>
        <w:rPr>
          <w:color w:val="231F20"/>
        </w:rPr>
        <w:t>до</w:t>
      </w:r>
      <w:r>
        <w:rPr>
          <w:color w:val="231F20"/>
          <w:spacing w:val="-8"/>
        </w:rPr>
        <w:t xml:space="preserve"> </w:t>
      </w:r>
      <w:r>
        <w:rPr>
          <w:color w:val="231F20"/>
        </w:rPr>
        <w:t>кожного</w:t>
      </w:r>
      <w:r>
        <w:rPr>
          <w:color w:val="231F20"/>
          <w:spacing w:val="-8"/>
        </w:rPr>
        <w:t xml:space="preserve"> </w:t>
      </w:r>
      <w:r>
        <w:rPr>
          <w:color w:val="231F20"/>
        </w:rPr>
        <w:t>правопорушника</w:t>
      </w:r>
      <w:r>
        <w:rPr>
          <w:color w:val="231F20"/>
          <w:spacing w:val="-8"/>
        </w:rPr>
        <w:t xml:space="preserve"> </w:t>
      </w:r>
      <w:r>
        <w:rPr>
          <w:color w:val="231F20"/>
          <w:spacing w:val="-3"/>
        </w:rPr>
        <w:t>були</w:t>
      </w:r>
      <w:r>
        <w:rPr>
          <w:color w:val="231F20"/>
          <w:spacing w:val="-8"/>
        </w:rPr>
        <w:t xml:space="preserve"> </w:t>
      </w:r>
      <w:r>
        <w:rPr>
          <w:color w:val="231F20"/>
        </w:rPr>
        <w:t>застосовані</w:t>
      </w:r>
      <w:r>
        <w:rPr>
          <w:color w:val="231F20"/>
          <w:spacing w:val="-8"/>
        </w:rPr>
        <w:t xml:space="preserve"> </w:t>
      </w:r>
      <w:r>
        <w:rPr>
          <w:color w:val="231F20"/>
        </w:rPr>
        <w:t xml:space="preserve">справедливі </w:t>
      </w:r>
      <w:r>
        <w:rPr>
          <w:color w:val="231F20"/>
          <w:spacing w:val="-2"/>
        </w:rPr>
        <w:t xml:space="preserve">заходи </w:t>
      </w:r>
      <w:r>
        <w:rPr>
          <w:color w:val="231F20"/>
        </w:rPr>
        <w:t xml:space="preserve">адміністративного </w:t>
      </w:r>
      <w:r>
        <w:rPr>
          <w:color w:val="231F20"/>
          <w:spacing w:val="-3"/>
        </w:rPr>
        <w:t>впливу.</w:t>
      </w:r>
    </w:p>
    <w:p w14:paraId="449504F5" w14:textId="77777777" w:rsidR="00DE575E" w:rsidRDefault="002E7560">
      <w:pPr>
        <w:pStyle w:val="BodyText"/>
        <w:spacing w:before="2" w:line="252" w:lineRule="auto"/>
        <w:ind w:left="533" w:right="127" w:firstLine="283"/>
        <w:jc w:val="both"/>
      </w:pPr>
      <w:r>
        <w:rPr>
          <w:color w:val="231F20"/>
        </w:rPr>
        <w:t>Зазначена стадія згідно з відповідними положеннями КУпАП включає три етапи: підготовку справи до розгляду; розгляд справи; ухвалення за нею постанови.</w:t>
      </w:r>
    </w:p>
    <w:p w14:paraId="23EBF303" w14:textId="77777777" w:rsidR="00DE575E" w:rsidRDefault="002E7560">
      <w:pPr>
        <w:pStyle w:val="BodyText"/>
        <w:spacing w:before="1" w:line="252" w:lineRule="auto"/>
        <w:ind w:left="533" w:right="128" w:firstLine="283"/>
        <w:jc w:val="both"/>
      </w:pPr>
      <w:r>
        <w:rPr>
          <w:color w:val="231F20"/>
        </w:rPr>
        <w:t>З метою правильного і своєчасного вирішення кожної справи відповідний орган, посадова особа зобов’язані ретельно підготува- тися до її розгляду.</w:t>
      </w:r>
    </w:p>
    <w:p w14:paraId="2DD682EC" w14:textId="77777777" w:rsidR="00DE575E" w:rsidRDefault="002E7560">
      <w:pPr>
        <w:pStyle w:val="BodyText"/>
        <w:spacing w:before="2" w:line="252" w:lineRule="auto"/>
        <w:ind w:left="533" w:right="126" w:firstLine="283"/>
        <w:jc w:val="both"/>
      </w:pPr>
      <w:r>
        <w:rPr>
          <w:color w:val="231F20"/>
        </w:rPr>
        <w:t xml:space="preserve">У </w:t>
      </w:r>
      <w:r>
        <w:rPr>
          <w:color w:val="231F20"/>
          <w:spacing w:val="-6"/>
        </w:rPr>
        <w:t xml:space="preserve">ст. </w:t>
      </w:r>
      <w:r>
        <w:rPr>
          <w:color w:val="231F20"/>
        </w:rPr>
        <w:t xml:space="preserve">278 </w:t>
      </w:r>
      <w:r>
        <w:rPr>
          <w:color w:val="231F20"/>
          <w:spacing w:val="-3"/>
        </w:rPr>
        <w:t xml:space="preserve">КУпАП </w:t>
      </w:r>
      <w:r>
        <w:rPr>
          <w:color w:val="231F20"/>
        </w:rPr>
        <w:t xml:space="preserve">визначено питання, які потрібно вирішити при підготовці: чи належить до компетенції </w:t>
      </w:r>
      <w:r>
        <w:rPr>
          <w:color w:val="231F20"/>
          <w:spacing w:val="-3"/>
        </w:rPr>
        <w:t xml:space="preserve">органу, </w:t>
      </w:r>
      <w:r>
        <w:rPr>
          <w:color w:val="231F20"/>
        </w:rPr>
        <w:t>пос</w:t>
      </w:r>
      <w:r>
        <w:rPr>
          <w:color w:val="231F20"/>
        </w:rPr>
        <w:t xml:space="preserve">адової особи </w:t>
      </w:r>
      <w:r>
        <w:rPr>
          <w:color w:val="231F20"/>
          <w:spacing w:val="-3"/>
        </w:rPr>
        <w:t xml:space="preserve">розгляд </w:t>
      </w:r>
      <w:r>
        <w:rPr>
          <w:color w:val="231F20"/>
        </w:rPr>
        <w:t xml:space="preserve">цієї справи; чи правильно складено протокол та інші мате- ріали справи; чи сповіщено осіб, які беруть участь у </w:t>
      </w:r>
      <w:r>
        <w:rPr>
          <w:color w:val="231F20"/>
          <w:spacing w:val="-3"/>
        </w:rPr>
        <w:t xml:space="preserve">розгляді </w:t>
      </w:r>
      <w:r>
        <w:rPr>
          <w:color w:val="231F20"/>
        </w:rPr>
        <w:t>справи, про</w:t>
      </w:r>
      <w:r>
        <w:rPr>
          <w:color w:val="231F20"/>
          <w:spacing w:val="-6"/>
        </w:rPr>
        <w:t xml:space="preserve"> </w:t>
      </w:r>
      <w:r>
        <w:rPr>
          <w:color w:val="231F20"/>
        </w:rPr>
        <w:t>час</w:t>
      </w:r>
      <w:r>
        <w:rPr>
          <w:color w:val="231F20"/>
          <w:spacing w:val="-6"/>
        </w:rPr>
        <w:t xml:space="preserve"> </w:t>
      </w:r>
      <w:r>
        <w:rPr>
          <w:color w:val="231F20"/>
        </w:rPr>
        <w:t>і</w:t>
      </w:r>
      <w:r>
        <w:rPr>
          <w:color w:val="231F20"/>
          <w:spacing w:val="-7"/>
        </w:rPr>
        <w:t xml:space="preserve"> </w:t>
      </w:r>
      <w:r>
        <w:rPr>
          <w:color w:val="231F20"/>
        </w:rPr>
        <w:t>місце</w:t>
      </w:r>
      <w:r>
        <w:rPr>
          <w:color w:val="231F20"/>
          <w:spacing w:val="-7"/>
        </w:rPr>
        <w:t xml:space="preserve"> </w:t>
      </w:r>
      <w:r>
        <w:rPr>
          <w:color w:val="231F20"/>
        </w:rPr>
        <w:t>її</w:t>
      </w:r>
      <w:r>
        <w:rPr>
          <w:color w:val="231F20"/>
          <w:spacing w:val="-6"/>
        </w:rPr>
        <w:t xml:space="preserve"> </w:t>
      </w:r>
      <w:r>
        <w:rPr>
          <w:color w:val="231F20"/>
          <w:spacing w:val="-2"/>
        </w:rPr>
        <w:t>розгляду;</w:t>
      </w:r>
      <w:r>
        <w:rPr>
          <w:color w:val="231F20"/>
          <w:spacing w:val="-7"/>
        </w:rPr>
        <w:t xml:space="preserve"> </w:t>
      </w:r>
      <w:r>
        <w:rPr>
          <w:color w:val="231F20"/>
        </w:rPr>
        <w:t>чи</w:t>
      </w:r>
      <w:r>
        <w:rPr>
          <w:color w:val="231F20"/>
          <w:spacing w:val="-6"/>
        </w:rPr>
        <w:t xml:space="preserve"> </w:t>
      </w:r>
      <w:r>
        <w:rPr>
          <w:color w:val="231F20"/>
        </w:rPr>
        <w:t>витребувано</w:t>
      </w:r>
      <w:r>
        <w:rPr>
          <w:color w:val="231F20"/>
          <w:spacing w:val="-6"/>
        </w:rPr>
        <w:t xml:space="preserve"> </w:t>
      </w:r>
      <w:r>
        <w:rPr>
          <w:color w:val="231F20"/>
        </w:rPr>
        <w:t>необхідні</w:t>
      </w:r>
      <w:r>
        <w:rPr>
          <w:color w:val="231F20"/>
          <w:spacing w:val="-7"/>
        </w:rPr>
        <w:t xml:space="preserve"> </w:t>
      </w:r>
      <w:r>
        <w:rPr>
          <w:color w:val="231F20"/>
        </w:rPr>
        <w:t>додаткові</w:t>
      </w:r>
      <w:r>
        <w:rPr>
          <w:color w:val="231F20"/>
          <w:spacing w:val="-6"/>
        </w:rPr>
        <w:t xml:space="preserve"> </w:t>
      </w:r>
      <w:r>
        <w:rPr>
          <w:color w:val="231F20"/>
        </w:rPr>
        <w:t>мате- ріали; чи підлягають задоволенню клоп</w:t>
      </w:r>
      <w:r>
        <w:rPr>
          <w:color w:val="231F20"/>
        </w:rPr>
        <w:t>отання особи, яка притяга- ється до адміністративної відповідальності, потерпілого, їх закон- них представників і</w:t>
      </w:r>
      <w:r>
        <w:rPr>
          <w:color w:val="231F20"/>
          <w:spacing w:val="-2"/>
        </w:rPr>
        <w:t xml:space="preserve"> </w:t>
      </w:r>
      <w:r>
        <w:rPr>
          <w:color w:val="231F20"/>
        </w:rPr>
        <w:t>адвоката.</w:t>
      </w:r>
    </w:p>
    <w:p w14:paraId="1969607E" w14:textId="77777777" w:rsidR="00DE575E" w:rsidRDefault="002E7560">
      <w:pPr>
        <w:pStyle w:val="BodyText"/>
        <w:spacing w:before="4" w:line="252" w:lineRule="auto"/>
        <w:ind w:left="533" w:right="126" w:firstLine="283"/>
        <w:jc w:val="both"/>
      </w:pPr>
      <w:r>
        <w:rPr>
          <w:color w:val="231F20"/>
        </w:rPr>
        <w:t xml:space="preserve">У разі встановлення неповноти матеріалів, поданих до </w:t>
      </w:r>
      <w:r>
        <w:rPr>
          <w:color w:val="231F20"/>
          <w:spacing w:val="-4"/>
        </w:rPr>
        <w:t xml:space="preserve">розгляду, </w:t>
      </w:r>
      <w:r>
        <w:rPr>
          <w:color w:val="231F20"/>
        </w:rPr>
        <w:t>мають</w:t>
      </w:r>
      <w:r>
        <w:rPr>
          <w:color w:val="231F20"/>
          <w:spacing w:val="-16"/>
        </w:rPr>
        <w:t xml:space="preserve"> </w:t>
      </w:r>
      <w:r>
        <w:rPr>
          <w:color w:val="231F20"/>
        </w:rPr>
        <w:t>бути</w:t>
      </w:r>
      <w:r>
        <w:rPr>
          <w:color w:val="231F20"/>
          <w:spacing w:val="-16"/>
        </w:rPr>
        <w:t xml:space="preserve"> </w:t>
      </w:r>
      <w:r>
        <w:rPr>
          <w:color w:val="231F20"/>
        </w:rPr>
        <w:t>витребувані</w:t>
      </w:r>
      <w:r>
        <w:rPr>
          <w:color w:val="231F20"/>
          <w:spacing w:val="-16"/>
        </w:rPr>
        <w:t xml:space="preserve"> </w:t>
      </w:r>
      <w:r>
        <w:rPr>
          <w:color w:val="231F20"/>
        </w:rPr>
        <w:t>додаткові</w:t>
      </w:r>
      <w:r>
        <w:rPr>
          <w:color w:val="231F20"/>
          <w:spacing w:val="-16"/>
        </w:rPr>
        <w:t xml:space="preserve"> </w:t>
      </w:r>
      <w:r>
        <w:rPr>
          <w:color w:val="231F20"/>
        </w:rPr>
        <w:t>відомості</w:t>
      </w:r>
      <w:r>
        <w:rPr>
          <w:color w:val="231F20"/>
          <w:spacing w:val="-16"/>
        </w:rPr>
        <w:t xml:space="preserve"> </w:t>
      </w:r>
      <w:r>
        <w:rPr>
          <w:color w:val="231F20"/>
        </w:rPr>
        <w:t>та</w:t>
      </w:r>
      <w:r>
        <w:rPr>
          <w:color w:val="231F20"/>
          <w:spacing w:val="-16"/>
        </w:rPr>
        <w:t xml:space="preserve"> </w:t>
      </w:r>
      <w:r>
        <w:rPr>
          <w:color w:val="231F20"/>
        </w:rPr>
        <w:t>матеріали</w:t>
      </w:r>
      <w:r>
        <w:rPr>
          <w:color w:val="231F20"/>
          <w:spacing w:val="-16"/>
        </w:rPr>
        <w:t xml:space="preserve"> </w:t>
      </w:r>
      <w:r>
        <w:rPr>
          <w:color w:val="231F20"/>
        </w:rPr>
        <w:t>або</w:t>
      </w:r>
      <w:r>
        <w:rPr>
          <w:color w:val="231F20"/>
          <w:spacing w:val="-16"/>
        </w:rPr>
        <w:t xml:space="preserve"> </w:t>
      </w:r>
      <w:r>
        <w:rPr>
          <w:color w:val="231F20"/>
        </w:rPr>
        <w:t>справу по</w:t>
      </w:r>
      <w:r>
        <w:rPr>
          <w:color w:val="231F20"/>
        </w:rPr>
        <w:t>вернуто за місцем складення протоколу чи інших матеріалів для усунення</w:t>
      </w:r>
      <w:r>
        <w:rPr>
          <w:color w:val="231F20"/>
          <w:spacing w:val="-2"/>
        </w:rPr>
        <w:t xml:space="preserve"> </w:t>
      </w:r>
      <w:r>
        <w:rPr>
          <w:color w:val="231F20"/>
        </w:rPr>
        <w:t>недоліків.</w:t>
      </w:r>
    </w:p>
    <w:p w14:paraId="7AA7838F" w14:textId="77777777" w:rsidR="00DE575E" w:rsidRDefault="002E7560">
      <w:pPr>
        <w:pStyle w:val="BodyText"/>
        <w:spacing w:before="2" w:line="252" w:lineRule="auto"/>
        <w:ind w:left="533" w:right="128" w:firstLine="283"/>
        <w:jc w:val="both"/>
      </w:pPr>
      <w:r>
        <w:rPr>
          <w:color w:val="231F20"/>
        </w:rPr>
        <w:t>Відповідно</w:t>
      </w:r>
      <w:r>
        <w:rPr>
          <w:color w:val="231F20"/>
          <w:spacing w:val="-10"/>
        </w:rPr>
        <w:t xml:space="preserve"> </w:t>
      </w:r>
      <w:r>
        <w:rPr>
          <w:color w:val="231F20"/>
        </w:rPr>
        <w:t>до</w:t>
      </w:r>
      <w:r>
        <w:rPr>
          <w:color w:val="231F20"/>
          <w:spacing w:val="-10"/>
        </w:rPr>
        <w:t xml:space="preserve"> </w:t>
      </w:r>
      <w:r>
        <w:rPr>
          <w:color w:val="231F20"/>
          <w:spacing w:val="-6"/>
        </w:rPr>
        <w:t>ст.</w:t>
      </w:r>
      <w:r>
        <w:rPr>
          <w:color w:val="231F20"/>
          <w:spacing w:val="-8"/>
        </w:rPr>
        <w:t xml:space="preserve"> </w:t>
      </w:r>
      <w:r>
        <w:rPr>
          <w:color w:val="231F20"/>
        </w:rPr>
        <w:t>276</w:t>
      </w:r>
      <w:r>
        <w:rPr>
          <w:color w:val="231F20"/>
          <w:spacing w:val="-10"/>
        </w:rPr>
        <w:t xml:space="preserve"> </w:t>
      </w:r>
      <w:r>
        <w:rPr>
          <w:color w:val="231F20"/>
          <w:spacing w:val="-3"/>
        </w:rPr>
        <w:t>КУпАП</w:t>
      </w:r>
      <w:r>
        <w:rPr>
          <w:color w:val="231F20"/>
          <w:spacing w:val="-10"/>
        </w:rPr>
        <w:t xml:space="preserve"> </w:t>
      </w:r>
      <w:r>
        <w:rPr>
          <w:color w:val="231F20"/>
        </w:rPr>
        <w:t>справи</w:t>
      </w:r>
      <w:r>
        <w:rPr>
          <w:color w:val="231F20"/>
          <w:spacing w:val="-10"/>
        </w:rPr>
        <w:t xml:space="preserve"> </w:t>
      </w:r>
      <w:r>
        <w:rPr>
          <w:color w:val="231F20"/>
        </w:rPr>
        <w:t>про</w:t>
      </w:r>
      <w:r>
        <w:rPr>
          <w:color w:val="231F20"/>
          <w:spacing w:val="-10"/>
        </w:rPr>
        <w:t xml:space="preserve"> </w:t>
      </w:r>
      <w:r>
        <w:rPr>
          <w:color w:val="231F20"/>
        </w:rPr>
        <w:t>адміністративні</w:t>
      </w:r>
      <w:r>
        <w:rPr>
          <w:color w:val="231F20"/>
          <w:spacing w:val="-10"/>
        </w:rPr>
        <w:t xml:space="preserve"> </w:t>
      </w:r>
      <w:r>
        <w:rPr>
          <w:color w:val="231F20"/>
        </w:rPr>
        <w:t>правопо- рушення розглядаються, як правило, за місцем їх</w:t>
      </w:r>
      <w:r>
        <w:rPr>
          <w:color w:val="231F20"/>
          <w:spacing w:val="-13"/>
        </w:rPr>
        <w:t xml:space="preserve"> </w:t>
      </w:r>
      <w:r>
        <w:rPr>
          <w:color w:val="231F20"/>
        </w:rPr>
        <w:t>вчинення.</w:t>
      </w:r>
    </w:p>
    <w:p w14:paraId="076EF139" w14:textId="77777777" w:rsidR="00DE575E" w:rsidRDefault="002E7560">
      <w:pPr>
        <w:pStyle w:val="BodyText"/>
        <w:spacing w:line="252" w:lineRule="auto"/>
        <w:ind w:left="533" w:right="125" w:firstLine="283"/>
        <w:jc w:val="both"/>
      </w:pPr>
      <w:r>
        <w:rPr>
          <w:color w:val="231F20"/>
        </w:rPr>
        <w:t>У разі коли адміністративне правопорушення у сфері забез- печення безпеки дорожнього руху зафіксовано в автоматичному режимі, посадова особа уповноваженого підрозділу Національної поліції встановлює особу, за якою зареєстровано відповідний тран- спортний з</w:t>
      </w:r>
      <w:r>
        <w:rPr>
          <w:color w:val="231F20"/>
        </w:rPr>
        <w:t>асіб.</w:t>
      </w:r>
    </w:p>
    <w:p w14:paraId="4628DD51" w14:textId="77777777" w:rsidR="00DE575E" w:rsidRDefault="002E7560">
      <w:pPr>
        <w:pStyle w:val="BodyText"/>
        <w:spacing w:before="3" w:line="252" w:lineRule="auto"/>
        <w:ind w:left="533" w:right="127" w:firstLine="283"/>
        <w:jc w:val="both"/>
      </w:pPr>
      <w:r>
        <w:rPr>
          <w:color w:val="231F20"/>
        </w:rPr>
        <w:t xml:space="preserve">Постанова про накладення адміністративного стягнення за правопорушення  у  сфері  безпеки  дорожнього  </w:t>
      </w:r>
      <w:r>
        <w:rPr>
          <w:color w:val="231F20"/>
          <w:spacing w:val="-5"/>
        </w:rPr>
        <w:t xml:space="preserve">руху,  </w:t>
      </w:r>
      <w:r>
        <w:rPr>
          <w:color w:val="231F20"/>
        </w:rPr>
        <w:t>зафіксовані   в автоматичному режимі, може виноситися без участі особи, яка притягається до адміністративної</w:t>
      </w:r>
      <w:r>
        <w:rPr>
          <w:color w:val="231F20"/>
          <w:spacing w:val="-5"/>
        </w:rPr>
        <w:t xml:space="preserve"> </w:t>
      </w:r>
      <w:r>
        <w:rPr>
          <w:color w:val="231F20"/>
        </w:rPr>
        <w:t>відповідальності.</w:t>
      </w:r>
    </w:p>
    <w:p w14:paraId="28BF3C73" w14:textId="77777777" w:rsidR="00DE575E" w:rsidRDefault="002E7560">
      <w:pPr>
        <w:pStyle w:val="BodyText"/>
        <w:spacing w:before="2" w:line="252" w:lineRule="auto"/>
        <w:ind w:left="533" w:right="128" w:firstLine="283"/>
        <w:jc w:val="both"/>
      </w:pPr>
      <w:r>
        <w:rPr>
          <w:color w:val="231F20"/>
        </w:rPr>
        <w:t xml:space="preserve">У </w:t>
      </w:r>
      <w:r>
        <w:rPr>
          <w:color w:val="231F20"/>
          <w:spacing w:val="-3"/>
        </w:rPr>
        <w:t xml:space="preserve">КУпАП </w:t>
      </w:r>
      <w:r>
        <w:rPr>
          <w:color w:val="231F20"/>
        </w:rPr>
        <w:t>закрі</w:t>
      </w:r>
      <w:r>
        <w:rPr>
          <w:color w:val="231F20"/>
        </w:rPr>
        <w:t xml:space="preserve">плено детальну процедуру </w:t>
      </w:r>
      <w:r>
        <w:rPr>
          <w:color w:val="231F20"/>
          <w:spacing w:val="-3"/>
        </w:rPr>
        <w:t xml:space="preserve">розгляду </w:t>
      </w:r>
      <w:r>
        <w:rPr>
          <w:color w:val="231F20"/>
        </w:rPr>
        <w:t xml:space="preserve">справ. Відпо- відно до </w:t>
      </w:r>
      <w:r>
        <w:rPr>
          <w:color w:val="231F20"/>
          <w:spacing w:val="-6"/>
        </w:rPr>
        <w:t xml:space="preserve">ст. </w:t>
      </w:r>
      <w:r>
        <w:rPr>
          <w:color w:val="231F20"/>
        </w:rPr>
        <w:t xml:space="preserve">279 </w:t>
      </w:r>
      <w:r>
        <w:rPr>
          <w:color w:val="231F20"/>
          <w:spacing w:val="-3"/>
        </w:rPr>
        <w:t xml:space="preserve">розгляд </w:t>
      </w:r>
      <w:r>
        <w:rPr>
          <w:color w:val="231F20"/>
        </w:rPr>
        <w:t xml:space="preserve">розпочинається з оголошення складу коле- гіального органу або представлення посадової особи,  яка  вирі-  шує </w:t>
      </w:r>
      <w:r>
        <w:rPr>
          <w:color w:val="231F20"/>
          <w:spacing w:val="-3"/>
        </w:rPr>
        <w:t xml:space="preserve">справу. </w:t>
      </w:r>
      <w:r>
        <w:rPr>
          <w:color w:val="231F20"/>
        </w:rPr>
        <w:t>Після цього голова засідання колегіального органу або посадова ос</w:t>
      </w:r>
      <w:r>
        <w:rPr>
          <w:color w:val="231F20"/>
        </w:rPr>
        <w:t xml:space="preserve">оба, що </w:t>
      </w:r>
      <w:r>
        <w:rPr>
          <w:color w:val="231F20"/>
          <w:spacing w:val="-2"/>
        </w:rPr>
        <w:t xml:space="preserve">розглядає </w:t>
      </w:r>
      <w:r>
        <w:rPr>
          <w:color w:val="231F20"/>
          <w:spacing w:val="-3"/>
        </w:rPr>
        <w:t xml:space="preserve">справу, </w:t>
      </w:r>
      <w:r>
        <w:rPr>
          <w:color w:val="231F20"/>
        </w:rPr>
        <w:t xml:space="preserve">оголошує, яка справа підлягає </w:t>
      </w:r>
      <w:r>
        <w:rPr>
          <w:color w:val="231F20"/>
          <w:spacing w:val="-3"/>
        </w:rPr>
        <w:t xml:space="preserve">розгляду </w:t>
      </w:r>
      <w:r>
        <w:rPr>
          <w:color w:val="231F20"/>
        </w:rPr>
        <w:t>та хто притягається до адміністративної</w:t>
      </w:r>
      <w:r>
        <w:rPr>
          <w:color w:val="231F20"/>
        </w:rPr>
        <w:t xml:space="preserve"> </w:t>
      </w:r>
      <w:r>
        <w:rPr>
          <w:color w:val="231F20"/>
        </w:rPr>
        <w:t>відповідальності.</w:t>
      </w:r>
    </w:p>
    <w:p w14:paraId="4B7EE151" w14:textId="77777777" w:rsidR="00DE575E" w:rsidRDefault="00DE575E">
      <w:pPr>
        <w:pStyle w:val="BodyText"/>
        <w:spacing w:before="7"/>
        <w:rPr>
          <w:sz w:val="12"/>
        </w:rPr>
      </w:pPr>
    </w:p>
    <w:p w14:paraId="5D96BC96" w14:textId="77777777" w:rsidR="00DE575E" w:rsidRDefault="002E7560">
      <w:pPr>
        <w:spacing w:before="92"/>
        <w:ind w:left="533"/>
        <w:rPr>
          <w:rFonts w:ascii="Times New Roman"/>
          <w:sz w:val="20"/>
        </w:rPr>
      </w:pPr>
      <w:r>
        <w:rPr>
          <w:rFonts w:ascii="Times New Roman"/>
          <w:color w:val="231F20"/>
          <w:sz w:val="20"/>
        </w:rPr>
        <w:t>522</w:t>
      </w:r>
    </w:p>
    <w:p w14:paraId="7ACDB05D" w14:textId="77777777" w:rsidR="00DE575E" w:rsidRDefault="00DE575E">
      <w:pPr>
        <w:rPr>
          <w:rFonts w:ascii="Times New Roman"/>
          <w:sz w:val="20"/>
        </w:rPr>
        <w:sectPr w:rsidR="00DE575E">
          <w:pgSz w:w="8510" w:h="12760"/>
          <w:pgMar w:top="660" w:right="720" w:bottom="280" w:left="600" w:header="720" w:footer="720" w:gutter="0"/>
          <w:cols w:space="720"/>
        </w:sectPr>
      </w:pPr>
    </w:p>
    <w:p w14:paraId="3FF3D2E0" w14:textId="77777777" w:rsidR="00DE575E" w:rsidRDefault="002E7560">
      <w:pPr>
        <w:spacing w:before="72" w:line="249" w:lineRule="auto"/>
        <w:ind w:left="979" w:right="411" w:firstLine="1672"/>
        <w:jc w:val="right"/>
        <w:rPr>
          <w:rFonts w:ascii="AdonisC" w:hAnsi="AdonisC"/>
          <w:i/>
          <w:sz w:val="18"/>
        </w:rPr>
      </w:pPr>
      <w:r>
        <w:rPr>
          <w:rFonts w:ascii="AdonisC" w:hAnsi="AdonisC"/>
          <w:i/>
          <w:color w:val="231F20"/>
          <w:sz w:val="18"/>
        </w:rPr>
        <w:t>Глава ІІ Особливе адміністративне право/ Книга ІІ</w:t>
      </w:r>
      <w:r>
        <w:rPr>
          <w:rFonts w:ascii="AdonisC" w:hAnsi="AdonisC"/>
          <w:i/>
          <w:color w:val="231F20"/>
          <w:sz w:val="18"/>
        </w:rPr>
        <w:t xml:space="preserve"> Розділ 5. Провадження у справах про адміністративні правопорушення</w:t>
      </w:r>
    </w:p>
    <w:p w14:paraId="07EDB538" w14:textId="259BDE4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22D60B7" wp14:editId="011F375F">
                <wp:extent cx="4140200" cy="6350"/>
                <wp:effectExtent l="0" t="0" r="12700" b="6350"/>
                <wp:docPr id="11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8" name="Line 1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709630" id="Group_x0020_1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ITvjj9/AgAAmAUAAA4A&#10;AAAAAAAAAAAAAAAALAIAAGRycy9lMm9Eb2MueG1sUEsBAi0AFAAGAAgAAAAhAEynsJDZAAAAAwEA&#10;AA8AAAAAAAAAAAAAAAAA1wQAAGRycy9kb3ducmV2LnhtbFBLBQYAAAAABAAEAPMAAADdBQAAAAA=&#10;">
                <v:line id="Line_x0020_1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vTrsYAAADcAAAADwAAAGRycy9kb3ducmV2LnhtbESPQWvCQBCF74X+h2UKvZS6sUKR6Coi&#10;CKUHbU1/wJgdk+DubMyuJu2v7xwEbzO8N+99M18O3qkrdbEJbGA8ykARl8E2XBn4KTavU1AxIVt0&#10;gcnAL0VYLh4f5pjb0PM3XfepUhLCMUcDdUptrnUsa/IYR6ElFu0YOo9J1q7StsNewr3Tb1n2rj02&#10;LA01trSuqTztL95AcX5J7mv36fpid5jow3k7+btsjXl+GlYzUImGdDffrj+s4I+FVp6RCfTi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r067GAAAA3AAAAA8AAAAAAAAA&#10;AAAAAAAAoQIAAGRycy9kb3ducmV2LnhtbFBLBQYAAAAABAAEAPkAAACUAwAAAAA=&#10;" strokecolor="#231f20" strokeweight=".5pt"/>
                <w10:anchorlock/>
              </v:group>
            </w:pict>
          </mc:Fallback>
        </mc:AlternateContent>
      </w:r>
    </w:p>
    <w:p w14:paraId="454DD0A7" w14:textId="77777777" w:rsidR="00DE575E" w:rsidRDefault="00DE575E">
      <w:pPr>
        <w:pStyle w:val="BodyText"/>
        <w:spacing w:before="7"/>
        <w:rPr>
          <w:rFonts w:ascii="AdonisC"/>
          <w:i/>
          <w:sz w:val="19"/>
        </w:rPr>
      </w:pPr>
    </w:p>
    <w:p w14:paraId="554A700E" w14:textId="77777777" w:rsidR="00DE575E" w:rsidRDefault="002E7560">
      <w:pPr>
        <w:pStyle w:val="BodyText"/>
        <w:spacing w:before="1" w:line="252" w:lineRule="auto"/>
        <w:ind w:left="250" w:right="410"/>
        <w:jc w:val="both"/>
      </w:pPr>
      <w:r>
        <w:rPr>
          <w:color w:val="231F20"/>
        </w:rPr>
        <w:t>Усім учасникам провадження роз’яснюються їх права та обов’язки. Далі оголошується протокол про адміністративне правопорушення, зміст якого, як зазначалося, певною мірою нагадує звинувачуваль- ний акт. Розгляд справи роз</w:t>
      </w:r>
      <w:r>
        <w:rPr>
          <w:color w:val="231F20"/>
        </w:rPr>
        <w:t>починається з оголошення складу коле- гіального органу або представлення посадової особи, яка розглядає таку справу.</w:t>
      </w:r>
    </w:p>
    <w:p w14:paraId="23B9BDAD" w14:textId="77777777" w:rsidR="00DE575E" w:rsidRDefault="002E7560">
      <w:pPr>
        <w:pStyle w:val="BodyText"/>
        <w:spacing w:before="3" w:line="252" w:lineRule="auto"/>
        <w:ind w:left="250" w:right="409" w:firstLine="283"/>
        <w:jc w:val="right"/>
      </w:pPr>
      <w:r>
        <w:rPr>
          <w:color w:val="231F20"/>
        </w:rPr>
        <w:t>Дослідження</w:t>
      </w:r>
      <w:r>
        <w:rPr>
          <w:color w:val="231F20"/>
          <w:spacing w:val="13"/>
        </w:rPr>
        <w:t xml:space="preserve"> </w:t>
      </w:r>
      <w:r>
        <w:rPr>
          <w:color w:val="231F20"/>
        </w:rPr>
        <w:t>доказів</w:t>
      </w:r>
      <w:r>
        <w:rPr>
          <w:color w:val="231F20"/>
          <w:spacing w:val="13"/>
        </w:rPr>
        <w:t xml:space="preserve"> </w:t>
      </w:r>
      <w:r>
        <w:rPr>
          <w:color w:val="231F20"/>
        </w:rPr>
        <w:t>у</w:t>
      </w:r>
      <w:r>
        <w:rPr>
          <w:color w:val="231F20"/>
          <w:spacing w:val="13"/>
        </w:rPr>
        <w:t xml:space="preserve"> </w:t>
      </w:r>
      <w:r>
        <w:rPr>
          <w:color w:val="231F20"/>
        </w:rPr>
        <w:t>справі</w:t>
      </w:r>
      <w:r>
        <w:rPr>
          <w:color w:val="231F20"/>
          <w:spacing w:val="13"/>
        </w:rPr>
        <w:t xml:space="preserve"> </w:t>
      </w:r>
      <w:r>
        <w:rPr>
          <w:color w:val="231F20"/>
        </w:rPr>
        <w:t>здійснюється</w:t>
      </w:r>
      <w:r>
        <w:rPr>
          <w:color w:val="231F20"/>
          <w:spacing w:val="13"/>
        </w:rPr>
        <w:t xml:space="preserve"> </w:t>
      </w:r>
      <w:r>
        <w:rPr>
          <w:color w:val="231F20"/>
        </w:rPr>
        <w:t>відповідно</w:t>
      </w:r>
      <w:r>
        <w:rPr>
          <w:color w:val="231F20"/>
          <w:spacing w:val="13"/>
        </w:rPr>
        <w:t xml:space="preserve"> </w:t>
      </w:r>
      <w:r>
        <w:rPr>
          <w:color w:val="231F20"/>
        </w:rPr>
        <w:t>до</w:t>
      </w:r>
      <w:r>
        <w:rPr>
          <w:color w:val="231F20"/>
          <w:spacing w:val="13"/>
        </w:rPr>
        <w:t xml:space="preserve"> </w:t>
      </w:r>
      <w:r>
        <w:rPr>
          <w:color w:val="231F20"/>
        </w:rPr>
        <w:t xml:space="preserve">вимог </w:t>
      </w:r>
      <w:r>
        <w:rPr>
          <w:color w:val="231F20"/>
          <w:spacing w:val="-6"/>
        </w:rPr>
        <w:t xml:space="preserve">ст. </w:t>
      </w:r>
      <w:r>
        <w:rPr>
          <w:color w:val="231F20"/>
        </w:rPr>
        <w:t xml:space="preserve">280 </w:t>
      </w:r>
      <w:r>
        <w:rPr>
          <w:color w:val="231F20"/>
          <w:spacing w:val="-3"/>
        </w:rPr>
        <w:t xml:space="preserve">КУпАП, </w:t>
      </w:r>
      <w:r>
        <w:rPr>
          <w:color w:val="231F20"/>
        </w:rPr>
        <w:t>в якій визначаються обставини, що</w:t>
      </w:r>
      <w:r>
        <w:rPr>
          <w:color w:val="231F20"/>
          <w:spacing w:val="22"/>
        </w:rPr>
        <w:t xml:space="preserve"> </w:t>
      </w:r>
      <w:r>
        <w:rPr>
          <w:color w:val="231F20"/>
        </w:rPr>
        <w:t>підлягають</w:t>
      </w:r>
      <w:r>
        <w:rPr>
          <w:color w:val="231F20"/>
          <w:spacing w:val="1"/>
        </w:rPr>
        <w:t xml:space="preserve"> </w:t>
      </w:r>
      <w:r>
        <w:rPr>
          <w:color w:val="231F20"/>
        </w:rPr>
        <w:t xml:space="preserve">з’ясу- ванню в </w:t>
      </w:r>
      <w:r>
        <w:rPr>
          <w:color w:val="231F20"/>
          <w:spacing w:val="-3"/>
        </w:rPr>
        <w:t>ро</w:t>
      </w:r>
      <w:r>
        <w:rPr>
          <w:color w:val="231F20"/>
          <w:spacing w:val="-3"/>
        </w:rPr>
        <w:t xml:space="preserve">згляді </w:t>
      </w:r>
      <w:r>
        <w:rPr>
          <w:color w:val="231F20"/>
        </w:rPr>
        <w:t>справи про адміністративне</w:t>
      </w:r>
      <w:r>
        <w:rPr>
          <w:color w:val="231F20"/>
          <w:spacing w:val="5"/>
        </w:rPr>
        <w:t xml:space="preserve"> </w:t>
      </w:r>
      <w:r>
        <w:rPr>
          <w:color w:val="231F20"/>
        </w:rPr>
        <w:t>правопорушення.</w:t>
      </w:r>
      <w:r>
        <w:rPr>
          <w:color w:val="231F20"/>
          <w:spacing w:val="13"/>
        </w:rPr>
        <w:t xml:space="preserve"> </w:t>
      </w:r>
      <w:r>
        <w:rPr>
          <w:color w:val="231F20"/>
        </w:rPr>
        <w:t>Це входить до обов’язків органу (посадової особи), який</w:t>
      </w:r>
      <w:r>
        <w:rPr>
          <w:color w:val="231F20"/>
          <w:spacing w:val="31"/>
        </w:rPr>
        <w:t xml:space="preserve"> </w:t>
      </w:r>
      <w:r>
        <w:rPr>
          <w:color w:val="231F20"/>
        </w:rPr>
        <w:t>має</w:t>
      </w:r>
      <w:r>
        <w:rPr>
          <w:color w:val="231F20"/>
          <w:spacing w:val="3"/>
        </w:rPr>
        <w:t xml:space="preserve"> </w:t>
      </w:r>
      <w:r>
        <w:rPr>
          <w:color w:val="231F20"/>
        </w:rPr>
        <w:t>з’ясувати,</w:t>
      </w:r>
      <w:r>
        <w:rPr>
          <w:color w:val="231F20"/>
          <w:spacing w:val="-1"/>
        </w:rPr>
        <w:t xml:space="preserve"> </w:t>
      </w:r>
      <w:r>
        <w:rPr>
          <w:color w:val="231F20"/>
        </w:rPr>
        <w:t>чи</w:t>
      </w:r>
      <w:r>
        <w:rPr>
          <w:color w:val="231F20"/>
          <w:spacing w:val="20"/>
        </w:rPr>
        <w:t xml:space="preserve"> </w:t>
      </w:r>
      <w:r>
        <w:rPr>
          <w:color w:val="231F20"/>
          <w:spacing w:val="-3"/>
        </w:rPr>
        <w:t>було</w:t>
      </w:r>
      <w:r>
        <w:rPr>
          <w:color w:val="231F20"/>
          <w:spacing w:val="20"/>
        </w:rPr>
        <w:t xml:space="preserve"> </w:t>
      </w:r>
      <w:r>
        <w:rPr>
          <w:color w:val="231F20"/>
        </w:rPr>
        <w:t>вчинено</w:t>
      </w:r>
      <w:r>
        <w:rPr>
          <w:color w:val="231F20"/>
          <w:spacing w:val="20"/>
        </w:rPr>
        <w:t xml:space="preserve"> </w:t>
      </w:r>
      <w:r>
        <w:rPr>
          <w:color w:val="231F20"/>
        </w:rPr>
        <w:t>адміністративне</w:t>
      </w:r>
      <w:r>
        <w:rPr>
          <w:color w:val="231F20"/>
          <w:spacing w:val="20"/>
        </w:rPr>
        <w:t xml:space="preserve"> </w:t>
      </w:r>
      <w:r>
        <w:rPr>
          <w:color w:val="231F20"/>
        </w:rPr>
        <w:t>правопорушення,</w:t>
      </w:r>
      <w:r>
        <w:rPr>
          <w:color w:val="231F20"/>
          <w:spacing w:val="20"/>
        </w:rPr>
        <w:t xml:space="preserve"> </w:t>
      </w:r>
      <w:r>
        <w:rPr>
          <w:color w:val="231F20"/>
        </w:rPr>
        <w:t>чи</w:t>
      </w:r>
      <w:r>
        <w:rPr>
          <w:color w:val="231F20"/>
          <w:spacing w:val="20"/>
        </w:rPr>
        <w:t xml:space="preserve"> </w:t>
      </w:r>
      <w:r>
        <w:rPr>
          <w:color w:val="231F20"/>
        </w:rPr>
        <w:t>винна</w:t>
      </w:r>
      <w:r>
        <w:rPr>
          <w:color w:val="231F20"/>
          <w:spacing w:val="20"/>
        </w:rPr>
        <w:t xml:space="preserve"> </w:t>
      </w:r>
      <w:r>
        <w:rPr>
          <w:color w:val="231F20"/>
        </w:rPr>
        <w:t>дана</w:t>
      </w:r>
      <w:r>
        <w:rPr>
          <w:color w:val="231F20"/>
          <w:spacing w:val="-1"/>
        </w:rPr>
        <w:t xml:space="preserve"> </w:t>
      </w:r>
      <w:r>
        <w:rPr>
          <w:color w:val="231F20"/>
        </w:rPr>
        <w:t>особа</w:t>
      </w:r>
      <w:r>
        <w:rPr>
          <w:color w:val="231F20"/>
          <w:spacing w:val="25"/>
        </w:rPr>
        <w:t xml:space="preserve"> </w:t>
      </w:r>
      <w:r>
        <w:rPr>
          <w:color w:val="231F20"/>
        </w:rPr>
        <w:t>в</w:t>
      </w:r>
      <w:r>
        <w:rPr>
          <w:color w:val="231F20"/>
          <w:spacing w:val="23"/>
        </w:rPr>
        <w:t xml:space="preserve"> </w:t>
      </w:r>
      <w:r>
        <w:rPr>
          <w:color w:val="231F20"/>
        </w:rPr>
        <w:t>його</w:t>
      </w:r>
      <w:r>
        <w:rPr>
          <w:color w:val="231F20"/>
          <w:spacing w:val="25"/>
        </w:rPr>
        <w:t xml:space="preserve"> </w:t>
      </w:r>
      <w:r>
        <w:rPr>
          <w:color w:val="231F20"/>
        </w:rPr>
        <w:t>вчиненні,</w:t>
      </w:r>
      <w:r>
        <w:rPr>
          <w:color w:val="231F20"/>
          <w:spacing w:val="25"/>
        </w:rPr>
        <w:t xml:space="preserve"> </w:t>
      </w:r>
      <w:r>
        <w:rPr>
          <w:color w:val="231F20"/>
        </w:rPr>
        <w:t>чи</w:t>
      </w:r>
      <w:r>
        <w:rPr>
          <w:color w:val="231F20"/>
          <w:spacing w:val="25"/>
        </w:rPr>
        <w:t xml:space="preserve"> </w:t>
      </w:r>
      <w:r>
        <w:rPr>
          <w:color w:val="231F20"/>
        </w:rPr>
        <w:t>підлягає</w:t>
      </w:r>
      <w:r>
        <w:rPr>
          <w:color w:val="231F20"/>
          <w:spacing w:val="25"/>
        </w:rPr>
        <w:t xml:space="preserve"> </w:t>
      </w:r>
      <w:r>
        <w:rPr>
          <w:color w:val="231F20"/>
        </w:rPr>
        <w:t>вона</w:t>
      </w:r>
      <w:r>
        <w:rPr>
          <w:color w:val="231F20"/>
          <w:spacing w:val="25"/>
        </w:rPr>
        <w:t xml:space="preserve"> </w:t>
      </w:r>
      <w:r>
        <w:rPr>
          <w:color w:val="231F20"/>
        </w:rPr>
        <w:t>адміністративній</w:t>
      </w:r>
      <w:r>
        <w:rPr>
          <w:color w:val="231F20"/>
          <w:spacing w:val="23"/>
        </w:rPr>
        <w:t xml:space="preserve"> </w:t>
      </w:r>
      <w:r>
        <w:rPr>
          <w:color w:val="231F20"/>
        </w:rPr>
        <w:t>відпові- дальності. Обов’язково встановлюється, чи є обставини,</w:t>
      </w:r>
      <w:r>
        <w:rPr>
          <w:color w:val="231F20"/>
          <w:spacing w:val="37"/>
        </w:rPr>
        <w:t xml:space="preserve"> </w:t>
      </w:r>
      <w:r>
        <w:rPr>
          <w:color w:val="231F20"/>
        </w:rPr>
        <w:t>що</w:t>
      </w:r>
      <w:r>
        <w:rPr>
          <w:color w:val="231F20"/>
          <w:spacing w:val="5"/>
        </w:rPr>
        <w:t xml:space="preserve"> </w:t>
      </w:r>
      <w:r>
        <w:rPr>
          <w:color w:val="231F20"/>
        </w:rPr>
        <w:t>пом’як- шують</w:t>
      </w:r>
      <w:r>
        <w:rPr>
          <w:color w:val="231F20"/>
          <w:spacing w:val="13"/>
        </w:rPr>
        <w:t xml:space="preserve"> </w:t>
      </w:r>
      <w:r>
        <w:rPr>
          <w:color w:val="231F20"/>
        </w:rPr>
        <w:t>і</w:t>
      </w:r>
      <w:r>
        <w:rPr>
          <w:color w:val="231F20"/>
          <w:spacing w:val="13"/>
        </w:rPr>
        <w:t xml:space="preserve"> </w:t>
      </w:r>
      <w:r>
        <w:rPr>
          <w:color w:val="231F20"/>
        </w:rPr>
        <w:t>обтяжують</w:t>
      </w:r>
      <w:r>
        <w:rPr>
          <w:color w:val="231F20"/>
          <w:spacing w:val="13"/>
        </w:rPr>
        <w:t xml:space="preserve"> </w:t>
      </w:r>
      <w:r>
        <w:rPr>
          <w:color w:val="231F20"/>
        </w:rPr>
        <w:t>відповідальність,</w:t>
      </w:r>
      <w:r>
        <w:rPr>
          <w:color w:val="231F20"/>
          <w:spacing w:val="13"/>
        </w:rPr>
        <w:t xml:space="preserve"> </w:t>
      </w:r>
      <w:r>
        <w:rPr>
          <w:color w:val="231F20"/>
        </w:rPr>
        <w:t>чи</w:t>
      </w:r>
      <w:r>
        <w:rPr>
          <w:color w:val="231F20"/>
          <w:spacing w:val="13"/>
        </w:rPr>
        <w:t xml:space="preserve"> </w:t>
      </w:r>
      <w:r>
        <w:rPr>
          <w:color w:val="231F20"/>
        </w:rPr>
        <w:t>заподіяно</w:t>
      </w:r>
      <w:r>
        <w:rPr>
          <w:color w:val="231F20"/>
          <w:spacing w:val="13"/>
        </w:rPr>
        <w:t xml:space="preserve"> </w:t>
      </w:r>
      <w:r>
        <w:rPr>
          <w:color w:val="231F20"/>
        </w:rPr>
        <w:t>майнову</w:t>
      </w:r>
      <w:r>
        <w:rPr>
          <w:color w:val="231F20"/>
          <w:spacing w:val="13"/>
        </w:rPr>
        <w:t xml:space="preserve"> </w:t>
      </w:r>
      <w:r>
        <w:rPr>
          <w:color w:val="231F20"/>
          <w:spacing w:val="-5"/>
        </w:rPr>
        <w:t>шкоду,</w:t>
      </w:r>
      <w:r>
        <w:rPr>
          <w:color w:val="231F20"/>
        </w:rPr>
        <w:t xml:space="preserve"> чи є підстави для передання матеріалів про</w:t>
      </w:r>
      <w:r>
        <w:rPr>
          <w:color w:val="231F20"/>
        </w:rPr>
        <w:t xml:space="preserve"> </w:t>
      </w:r>
      <w:r>
        <w:rPr>
          <w:color w:val="231F20"/>
        </w:rPr>
        <w:t xml:space="preserve">правопорушення на </w:t>
      </w:r>
      <w:r>
        <w:rPr>
          <w:color w:val="231F20"/>
          <w:spacing w:val="-3"/>
        </w:rPr>
        <w:t xml:space="preserve">розгляд </w:t>
      </w:r>
      <w:r>
        <w:rPr>
          <w:color w:val="231F20"/>
        </w:rPr>
        <w:t xml:space="preserve">громадської організації, </w:t>
      </w:r>
      <w:r>
        <w:rPr>
          <w:color w:val="231F20"/>
          <w:spacing w:val="-3"/>
        </w:rPr>
        <w:t xml:space="preserve">трудового </w:t>
      </w:r>
      <w:r>
        <w:rPr>
          <w:color w:val="231F20"/>
        </w:rPr>
        <w:t>колективу, а</w:t>
      </w:r>
      <w:r>
        <w:rPr>
          <w:color w:val="231F20"/>
          <w:spacing w:val="-18"/>
        </w:rPr>
        <w:t xml:space="preserve"> </w:t>
      </w:r>
      <w:r>
        <w:rPr>
          <w:color w:val="231F20"/>
        </w:rPr>
        <w:t>також</w:t>
      </w:r>
      <w:r>
        <w:rPr>
          <w:color w:val="231F20"/>
          <w:spacing w:val="10"/>
        </w:rPr>
        <w:t xml:space="preserve"> </w:t>
      </w:r>
      <w:r>
        <w:rPr>
          <w:color w:val="231F20"/>
        </w:rPr>
        <w:t>інші обставини, що мають значення для правильного</w:t>
      </w:r>
      <w:r>
        <w:rPr>
          <w:color w:val="231F20"/>
          <w:spacing w:val="-13"/>
        </w:rPr>
        <w:t xml:space="preserve"> </w:t>
      </w:r>
      <w:r>
        <w:rPr>
          <w:color w:val="231F20"/>
        </w:rPr>
        <w:t>вирішення</w:t>
      </w:r>
      <w:r>
        <w:rPr>
          <w:color w:val="231F20"/>
          <w:spacing w:val="-3"/>
        </w:rPr>
        <w:t xml:space="preserve"> </w:t>
      </w:r>
      <w:r>
        <w:rPr>
          <w:color w:val="231F20"/>
        </w:rPr>
        <w:t xml:space="preserve">справи. Під час </w:t>
      </w:r>
      <w:r>
        <w:rPr>
          <w:color w:val="231F20"/>
          <w:spacing w:val="-3"/>
        </w:rPr>
        <w:t xml:space="preserve">розгляду </w:t>
      </w:r>
      <w:r>
        <w:rPr>
          <w:color w:val="231F20"/>
        </w:rPr>
        <w:t>справи про</w:t>
      </w:r>
      <w:r>
        <w:rPr>
          <w:color w:val="231F20"/>
          <w:spacing w:val="-2"/>
        </w:rPr>
        <w:t xml:space="preserve"> </w:t>
      </w:r>
      <w:r>
        <w:rPr>
          <w:color w:val="231F20"/>
        </w:rPr>
        <w:t>адміністративне</w:t>
      </w:r>
      <w:r>
        <w:rPr>
          <w:color w:val="231F20"/>
          <w:spacing w:val="35"/>
        </w:rPr>
        <w:t xml:space="preserve"> </w:t>
      </w:r>
      <w:r>
        <w:rPr>
          <w:color w:val="231F20"/>
        </w:rPr>
        <w:t>правопорушення колегіальним органом ведеться протокол засідання, у</w:t>
      </w:r>
      <w:r>
        <w:rPr>
          <w:color w:val="231F20"/>
          <w:spacing w:val="45"/>
        </w:rPr>
        <w:t xml:space="preserve"> </w:t>
      </w:r>
      <w:r>
        <w:rPr>
          <w:color w:val="231F20"/>
        </w:rPr>
        <w:t>якому</w:t>
      </w:r>
      <w:r>
        <w:rPr>
          <w:color w:val="231F20"/>
          <w:spacing w:val="6"/>
        </w:rPr>
        <w:t xml:space="preserve"> </w:t>
      </w:r>
      <w:r>
        <w:rPr>
          <w:color w:val="231F20"/>
        </w:rPr>
        <w:t>зазна- чаються</w:t>
      </w:r>
      <w:r>
        <w:rPr>
          <w:color w:val="231F20"/>
          <w:spacing w:val="17"/>
        </w:rPr>
        <w:t xml:space="preserve"> </w:t>
      </w:r>
      <w:r>
        <w:rPr>
          <w:color w:val="231F20"/>
        </w:rPr>
        <w:t>дата</w:t>
      </w:r>
      <w:r>
        <w:rPr>
          <w:color w:val="231F20"/>
          <w:spacing w:val="17"/>
        </w:rPr>
        <w:t xml:space="preserve"> </w:t>
      </w:r>
      <w:r>
        <w:rPr>
          <w:color w:val="231F20"/>
        </w:rPr>
        <w:t>і</w:t>
      </w:r>
      <w:r>
        <w:rPr>
          <w:color w:val="231F20"/>
          <w:spacing w:val="17"/>
        </w:rPr>
        <w:t xml:space="preserve"> </w:t>
      </w:r>
      <w:r>
        <w:rPr>
          <w:color w:val="231F20"/>
        </w:rPr>
        <w:t>місце</w:t>
      </w:r>
      <w:r>
        <w:rPr>
          <w:color w:val="231F20"/>
          <w:spacing w:val="17"/>
        </w:rPr>
        <w:t xml:space="preserve"> </w:t>
      </w:r>
      <w:r>
        <w:rPr>
          <w:color w:val="231F20"/>
        </w:rPr>
        <w:t>засідання,</w:t>
      </w:r>
      <w:r>
        <w:rPr>
          <w:color w:val="231F20"/>
          <w:spacing w:val="17"/>
        </w:rPr>
        <w:t xml:space="preserve"> </w:t>
      </w:r>
      <w:r>
        <w:rPr>
          <w:color w:val="231F20"/>
        </w:rPr>
        <w:t>найменування</w:t>
      </w:r>
      <w:r>
        <w:rPr>
          <w:color w:val="231F20"/>
          <w:spacing w:val="17"/>
        </w:rPr>
        <w:t xml:space="preserve"> </w:t>
      </w:r>
      <w:r>
        <w:rPr>
          <w:color w:val="231F20"/>
        </w:rPr>
        <w:t>і</w:t>
      </w:r>
      <w:r>
        <w:rPr>
          <w:color w:val="231F20"/>
          <w:spacing w:val="17"/>
        </w:rPr>
        <w:t xml:space="preserve"> </w:t>
      </w:r>
      <w:r>
        <w:rPr>
          <w:color w:val="231F20"/>
        </w:rPr>
        <w:t>склад</w:t>
      </w:r>
      <w:r>
        <w:rPr>
          <w:color w:val="231F20"/>
          <w:spacing w:val="17"/>
        </w:rPr>
        <w:t xml:space="preserve"> </w:t>
      </w:r>
      <w:r>
        <w:rPr>
          <w:color w:val="231F20"/>
          <w:spacing w:val="-3"/>
        </w:rPr>
        <w:t>органу,</w:t>
      </w:r>
      <w:r>
        <w:rPr>
          <w:color w:val="231F20"/>
          <w:spacing w:val="17"/>
        </w:rPr>
        <w:t xml:space="preserve"> </w:t>
      </w:r>
      <w:r>
        <w:rPr>
          <w:color w:val="231F20"/>
        </w:rPr>
        <w:t xml:space="preserve">який </w:t>
      </w:r>
      <w:r>
        <w:rPr>
          <w:color w:val="231F20"/>
          <w:spacing w:val="-2"/>
        </w:rPr>
        <w:t>розглядає</w:t>
      </w:r>
      <w:r>
        <w:rPr>
          <w:color w:val="231F20"/>
          <w:spacing w:val="-12"/>
        </w:rPr>
        <w:t xml:space="preserve"> </w:t>
      </w:r>
      <w:r>
        <w:rPr>
          <w:color w:val="231F20"/>
          <w:spacing w:val="-3"/>
        </w:rPr>
        <w:t>справу,</w:t>
      </w:r>
      <w:r>
        <w:rPr>
          <w:color w:val="231F20"/>
          <w:spacing w:val="-12"/>
        </w:rPr>
        <w:t xml:space="preserve"> </w:t>
      </w:r>
      <w:r>
        <w:rPr>
          <w:color w:val="231F20"/>
        </w:rPr>
        <w:t>її</w:t>
      </w:r>
      <w:r>
        <w:rPr>
          <w:color w:val="231F20"/>
          <w:spacing w:val="-12"/>
        </w:rPr>
        <w:t xml:space="preserve"> </w:t>
      </w:r>
      <w:r>
        <w:rPr>
          <w:color w:val="231F20"/>
          <w:spacing w:val="-3"/>
        </w:rPr>
        <w:t>зміст.</w:t>
      </w:r>
      <w:r>
        <w:rPr>
          <w:color w:val="231F20"/>
          <w:spacing w:val="-12"/>
        </w:rPr>
        <w:t xml:space="preserve"> </w:t>
      </w:r>
      <w:r>
        <w:rPr>
          <w:color w:val="231F20"/>
        </w:rPr>
        <w:t>Обов’язково</w:t>
      </w:r>
      <w:r>
        <w:rPr>
          <w:color w:val="231F20"/>
          <w:spacing w:val="-12"/>
        </w:rPr>
        <w:t xml:space="preserve"> </w:t>
      </w:r>
      <w:r>
        <w:rPr>
          <w:color w:val="231F20"/>
        </w:rPr>
        <w:t>фіксуються</w:t>
      </w:r>
      <w:r>
        <w:rPr>
          <w:color w:val="231F20"/>
          <w:spacing w:val="-12"/>
        </w:rPr>
        <w:t xml:space="preserve"> </w:t>
      </w:r>
      <w:r>
        <w:rPr>
          <w:color w:val="231F20"/>
        </w:rPr>
        <w:t>відомості</w:t>
      </w:r>
      <w:r>
        <w:rPr>
          <w:color w:val="231F20"/>
          <w:spacing w:val="-12"/>
        </w:rPr>
        <w:t xml:space="preserve"> </w:t>
      </w:r>
      <w:r>
        <w:rPr>
          <w:color w:val="231F20"/>
        </w:rPr>
        <w:t>про</w:t>
      </w:r>
      <w:r>
        <w:rPr>
          <w:color w:val="231F20"/>
          <w:spacing w:val="-12"/>
        </w:rPr>
        <w:t xml:space="preserve"> </w:t>
      </w:r>
      <w:r>
        <w:rPr>
          <w:color w:val="231F20"/>
        </w:rPr>
        <w:t>явку осіб,</w:t>
      </w:r>
      <w:r>
        <w:rPr>
          <w:color w:val="231F20"/>
          <w:spacing w:val="23"/>
        </w:rPr>
        <w:t xml:space="preserve"> </w:t>
      </w:r>
      <w:r>
        <w:rPr>
          <w:color w:val="231F20"/>
        </w:rPr>
        <w:t>які</w:t>
      </w:r>
      <w:r>
        <w:rPr>
          <w:color w:val="231F20"/>
          <w:spacing w:val="23"/>
        </w:rPr>
        <w:t xml:space="preserve"> </w:t>
      </w:r>
      <w:r>
        <w:rPr>
          <w:color w:val="231F20"/>
        </w:rPr>
        <w:t>беруть</w:t>
      </w:r>
      <w:r>
        <w:rPr>
          <w:color w:val="231F20"/>
          <w:spacing w:val="23"/>
        </w:rPr>
        <w:t xml:space="preserve"> </w:t>
      </w:r>
      <w:r>
        <w:rPr>
          <w:color w:val="231F20"/>
        </w:rPr>
        <w:t>участь</w:t>
      </w:r>
      <w:r>
        <w:rPr>
          <w:color w:val="231F20"/>
          <w:spacing w:val="23"/>
        </w:rPr>
        <w:t xml:space="preserve"> </w:t>
      </w:r>
      <w:r>
        <w:rPr>
          <w:color w:val="231F20"/>
        </w:rPr>
        <w:t>у</w:t>
      </w:r>
      <w:r>
        <w:rPr>
          <w:color w:val="231F20"/>
          <w:spacing w:val="22"/>
        </w:rPr>
        <w:t xml:space="preserve"> </w:t>
      </w:r>
      <w:r>
        <w:rPr>
          <w:color w:val="231F20"/>
        </w:rPr>
        <w:t>справі,</w:t>
      </w:r>
      <w:r>
        <w:rPr>
          <w:color w:val="231F20"/>
          <w:spacing w:val="23"/>
        </w:rPr>
        <w:t xml:space="preserve"> </w:t>
      </w:r>
      <w:r>
        <w:rPr>
          <w:color w:val="231F20"/>
        </w:rPr>
        <w:t>їх</w:t>
      </w:r>
      <w:r>
        <w:rPr>
          <w:color w:val="231F20"/>
          <w:spacing w:val="23"/>
        </w:rPr>
        <w:t xml:space="preserve"> </w:t>
      </w:r>
      <w:r>
        <w:rPr>
          <w:color w:val="231F20"/>
        </w:rPr>
        <w:t>пояснення,</w:t>
      </w:r>
      <w:r>
        <w:rPr>
          <w:color w:val="231F20"/>
          <w:spacing w:val="23"/>
        </w:rPr>
        <w:t xml:space="preserve"> </w:t>
      </w:r>
      <w:r>
        <w:rPr>
          <w:color w:val="231F20"/>
        </w:rPr>
        <w:t>а</w:t>
      </w:r>
      <w:r>
        <w:rPr>
          <w:color w:val="231F20"/>
          <w:spacing w:val="23"/>
        </w:rPr>
        <w:t xml:space="preserve"> </w:t>
      </w:r>
      <w:r>
        <w:rPr>
          <w:color w:val="231F20"/>
        </w:rPr>
        <w:t>також</w:t>
      </w:r>
      <w:r>
        <w:rPr>
          <w:color w:val="231F20"/>
          <w:spacing w:val="23"/>
        </w:rPr>
        <w:t xml:space="preserve"> </w:t>
      </w:r>
      <w:r>
        <w:rPr>
          <w:color w:val="231F20"/>
        </w:rPr>
        <w:t>клопотання</w:t>
      </w:r>
      <w:r>
        <w:rPr>
          <w:color w:val="231F20"/>
          <w:spacing w:val="-1"/>
        </w:rPr>
        <w:t xml:space="preserve"> </w:t>
      </w:r>
      <w:r>
        <w:rPr>
          <w:color w:val="231F20"/>
        </w:rPr>
        <w:t xml:space="preserve">і </w:t>
      </w:r>
      <w:r>
        <w:rPr>
          <w:color w:val="231F20"/>
          <w:spacing w:val="-3"/>
        </w:rPr>
        <w:t xml:space="preserve">результати розгляду </w:t>
      </w:r>
      <w:r>
        <w:rPr>
          <w:color w:val="231F20"/>
        </w:rPr>
        <w:t>останніх. У протоколі</w:t>
      </w:r>
      <w:r>
        <w:rPr>
          <w:color w:val="231F20"/>
          <w:spacing w:val="35"/>
        </w:rPr>
        <w:t xml:space="preserve"> </w:t>
      </w:r>
      <w:r>
        <w:rPr>
          <w:color w:val="231F20"/>
        </w:rPr>
        <w:t>зазначаються</w:t>
      </w:r>
      <w:r>
        <w:rPr>
          <w:color w:val="231F20"/>
          <w:spacing w:val="3"/>
        </w:rPr>
        <w:t xml:space="preserve"> </w:t>
      </w:r>
      <w:r>
        <w:rPr>
          <w:color w:val="231F20"/>
        </w:rPr>
        <w:t xml:space="preserve">також документи і речові докази, досліджені під час </w:t>
      </w:r>
      <w:r>
        <w:rPr>
          <w:color w:val="231F20"/>
          <w:spacing w:val="-3"/>
        </w:rPr>
        <w:t>розгляду</w:t>
      </w:r>
      <w:r>
        <w:rPr>
          <w:color w:val="231F20"/>
          <w:spacing w:val="-27"/>
        </w:rPr>
        <w:t xml:space="preserve"> </w:t>
      </w:r>
      <w:r>
        <w:rPr>
          <w:color w:val="231F20"/>
        </w:rPr>
        <w:t>справи,</w:t>
      </w:r>
      <w:r>
        <w:rPr>
          <w:color w:val="231F20"/>
          <w:spacing w:val="-4"/>
        </w:rPr>
        <w:t xml:space="preserve"> </w:t>
      </w:r>
      <w:r>
        <w:rPr>
          <w:color w:val="231F20"/>
        </w:rPr>
        <w:t>відо- мості про оголошення прийнятої постанови й</w:t>
      </w:r>
      <w:r>
        <w:rPr>
          <w:color w:val="231F20"/>
          <w:spacing w:val="15"/>
        </w:rPr>
        <w:t xml:space="preserve"> </w:t>
      </w:r>
      <w:r>
        <w:rPr>
          <w:color w:val="231F20"/>
        </w:rPr>
        <w:t>роз’яснення</w:t>
      </w:r>
      <w:r>
        <w:rPr>
          <w:color w:val="231F20"/>
          <w:spacing w:val="8"/>
        </w:rPr>
        <w:t xml:space="preserve"> </w:t>
      </w:r>
      <w:r>
        <w:rPr>
          <w:color w:val="231F20"/>
        </w:rPr>
        <w:t>порядку та</w:t>
      </w:r>
      <w:r>
        <w:rPr>
          <w:color w:val="231F20"/>
          <w:spacing w:val="22"/>
        </w:rPr>
        <w:t xml:space="preserve"> </w:t>
      </w:r>
      <w:r>
        <w:rPr>
          <w:color w:val="231F20"/>
        </w:rPr>
        <w:t>строків</w:t>
      </w:r>
      <w:r>
        <w:rPr>
          <w:color w:val="231F20"/>
          <w:spacing w:val="22"/>
        </w:rPr>
        <w:t xml:space="preserve"> </w:t>
      </w:r>
      <w:r>
        <w:rPr>
          <w:color w:val="231F20"/>
        </w:rPr>
        <w:t>її</w:t>
      </w:r>
      <w:r>
        <w:rPr>
          <w:color w:val="231F20"/>
          <w:spacing w:val="22"/>
        </w:rPr>
        <w:t xml:space="preserve"> </w:t>
      </w:r>
      <w:r>
        <w:rPr>
          <w:color w:val="231F20"/>
        </w:rPr>
        <w:t>оскарження.</w:t>
      </w:r>
      <w:r>
        <w:rPr>
          <w:color w:val="231F20"/>
          <w:spacing w:val="22"/>
        </w:rPr>
        <w:t xml:space="preserve"> </w:t>
      </w:r>
      <w:r>
        <w:rPr>
          <w:color w:val="231F20"/>
        </w:rPr>
        <w:t>Зазначений</w:t>
      </w:r>
      <w:r>
        <w:rPr>
          <w:color w:val="231F20"/>
          <w:spacing w:val="22"/>
        </w:rPr>
        <w:t xml:space="preserve"> </w:t>
      </w:r>
      <w:r>
        <w:rPr>
          <w:color w:val="231F20"/>
        </w:rPr>
        <w:t>протокол</w:t>
      </w:r>
      <w:r>
        <w:rPr>
          <w:color w:val="231F20"/>
          <w:spacing w:val="22"/>
        </w:rPr>
        <w:t xml:space="preserve"> </w:t>
      </w:r>
      <w:r>
        <w:rPr>
          <w:color w:val="231F20"/>
        </w:rPr>
        <w:t>підписується</w:t>
      </w:r>
      <w:r>
        <w:rPr>
          <w:color w:val="231F20"/>
          <w:spacing w:val="22"/>
        </w:rPr>
        <w:t xml:space="preserve"> </w:t>
      </w:r>
      <w:r>
        <w:rPr>
          <w:color w:val="231F20"/>
        </w:rPr>
        <w:t>голо-</w:t>
      </w:r>
    </w:p>
    <w:p w14:paraId="27AE619A" w14:textId="77777777" w:rsidR="00DE575E" w:rsidRDefault="002E7560">
      <w:pPr>
        <w:pStyle w:val="BodyText"/>
        <w:spacing w:before="10"/>
        <w:ind w:left="250"/>
      </w:pPr>
      <w:r>
        <w:rPr>
          <w:color w:val="231F20"/>
        </w:rPr>
        <w:t>вою засідання органу та його секретарем.</w:t>
      </w:r>
    </w:p>
    <w:p w14:paraId="67E31CEC" w14:textId="77777777" w:rsidR="00DE575E" w:rsidRDefault="002E7560">
      <w:pPr>
        <w:pStyle w:val="BodyText"/>
        <w:spacing w:before="12" w:line="252" w:lineRule="auto"/>
        <w:ind w:left="250" w:right="411" w:firstLine="283"/>
        <w:jc w:val="both"/>
      </w:pPr>
      <w:r>
        <w:rPr>
          <w:color w:val="231F20"/>
        </w:rPr>
        <w:t>У статтях 26</w:t>
      </w:r>
      <w:r>
        <w:rPr>
          <w:color w:val="231F20"/>
        </w:rPr>
        <w:t xml:space="preserve">8–275 </w:t>
      </w:r>
      <w:r>
        <w:rPr>
          <w:color w:val="231F20"/>
          <w:spacing w:val="-3"/>
        </w:rPr>
        <w:t xml:space="preserve">КУпАП </w:t>
      </w:r>
      <w:r>
        <w:rPr>
          <w:color w:val="231F20"/>
        </w:rPr>
        <w:t>вичерпно дано перелік процесуаль- них прав та обов’язків інших учасників провадження – потерпі- лого, законних представників особи, яка притягається до адмініст- ративної відповідальності, і потерпілого, адвоката, свідка, експерта і</w:t>
      </w:r>
      <w:r>
        <w:rPr>
          <w:color w:val="231F20"/>
          <w:spacing w:val="-2"/>
        </w:rPr>
        <w:t xml:space="preserve"> </w:t>
      </w:r>
      <w:r>
        <w:rPr>
          <w:color w:val="231F20"/>
        </w:rPr>
        <w:t>перекладача</w:t>
      </w:r>
      <w:r>
        <w:rPr>
          <w:color w:val="231F20"/>
        </w:rPr>
        <w:t>.</w:t>
      </w:r>
    </w:p>
    <w:p w14:paraId="0ED96A9F" w14:textId="77777777" w:rsidR="00DE575E" w:rsidRDefault="002E7560">
      <w:pPr>
        <w:pStyle w:val="BodyText"/>
        <w:spacing w:before="3" w:line="252" w:lineRule="auto"/>
        <w:ind w:left="250" w:right="411" w:firstLine="283"/>
        <w:jc w:val="both"/>
      </w:pPr>
      <w:r>
        <w:rPr>
          <w:color w:val="231F20"/>
        </w:rPr>
        <w:t>Розгляд справи закінчується винесенням постанови (виконкоми селищних та сільських рад ухвалюють їх у формі рішення).</w:t>
      </w:r>
    </w:p>
    <w:p w14:paraId="45DC03EB" w14:textId="77777777" w:rsidR="00DE575E" w:rsidRDefault="002E7560">
      <w:pPr>
        <w:pStyle w:val="BodyText"/>
        <w:spacing w:before="1" w:line="252" w:lineRule="auto"/>
        <w:ind w:left="250" w:right="411" w:firstLine="283"/>
        <w:jc w:val="both"/>
      </w:pPr>
      <w:r>
        <w:rPr>
          <w:color w:val="231F20"/>
        </w:rPr>
        <w:t>Якщо при вирішенні питання про накладення стягнення за адмі- ністративне правопорушення органами (посадовими особами) одночасно вирішуєть</w:t>
      </w:r>
      <w:r>
        <w:rPr>
          <w:color w:val="231F20"/>
        </w:rPr>
        <w:t>ся питання про відшкодування винним</w:t>
      </w:r>
      <w:r>
        <w:rPr>
          <w:color w:val="231F20"/>
          <w:spacing w:val="-31"/>
        </w:rPr>
        <w:t xml:space="preserve"> </w:t>
      </w:r>
      <w:r>
        <w:rPr>
          <w:color w:val="231F20"/>
        </w:rPr>
        <w:t>майно- вої шкоди, то в постанові у справі зазначаються розмір шкоди, що підлягає стягненню, порядок і строк її</w:t>
      </w:r>
      <w:r>
        <w:rPr>
          <w:color w:val="231F20"/>
          <w:spacing w:val="-7"/>
        </w:rPr>
        <w:t xml:space="preserve"> </w:t>
      </w:r>
      <w:r>
        <w:rPr>
          <w:color w:val="231F20"/>
        </w:rPr>
        <w:t>відшкодування.</w:t>
      </w:r>
    </w:p>
    <w:p w14:paraId="248F2404" w14:textId="77777777" w:rsidR="00DE575E" w:rsidRDefault="00DE575E">
      <w:pPr>
        <w:pStyle w:val="BodyText"/>
        <w:spacing w:before="7"/>
        <w:rPr>
          <w:sz w:val="12"/>
        </w:rPr>
      </w:pPr>
    </w:p>
    <w:p w14:paraId="22657889" w14:textId="77777777" w:rsidR="00DE575E" w:rsidRDefault="002E7560">
      <w:pPr>
        <w:spacing w:before="91"/>
        <w:ind w:right="411"/>
        <w:jc w:val="right"/>
        <w:rPr>
          <w:rFonts w:ascii="Times New Roman"/>
          <w:sz w:val="20"/>
        </w:rPr>
      </w:pPr>
      <w:r>
        <w:rPr>
          <w:rFonts w:ascii="Times New Roman"/>
          <w:color w:val="231F20"/>
          <w:w w:val="90"/>
          <w:sz w:val="20"/>
        </w:rPr>
        <w:t>523</w:t>
      </w:r>
    </w:p>
    <w:p w14:paraId="29CDD366"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5833A94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0F2C01F" w14:textId="6B52CA0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9C41C58" wp14:editId="4B21D0C4">
                <wp:extent cx="4140200" cy="6350"/>
                <wp:effectExtent l="0" t="0" r="12700" b="6350"/>
                <wp:docPr id="11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6" name="Line 11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6767BF" id="Group_x0020_11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50phcX4CAACYBQAADgAA&#10;AAAAAAAAAAAAAAAsAgAAZHJzL2Uyb0RvYy54bWxQSwECLQAUAAYACAAAACEATKewkNkAAAADAQAA&#10;DwAAAAAAAAAAAAAAAADWBAAAZHJzL2Rvd25yZXYueG1sUEsFBgAAAAAEAAQA8wAAANwFAAAAAA==&#10;">
                <v:line id="Line_x0020_11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jiR8MAAADcAAAADwAAAGRycy9kb3ducmV2LnhtbERPzYrCMBC+L/gOYYS9LJqqIFKNIsLC&#10;4kFd6wOMzdgWk0ltou3u02+EBW/z8f3OYtVZIx7U+MqxgtEwAUGcO11xoeCUfQ5mIHxA1mgck4If&#10;8rBa9t4WmGrX8jc9jqEQMYR9igrKEOpUSp+XZNEPXU0cuYtrLIYIm0LqBtsYbo0cJ8lUWqw4NpRY&#10;06ak/Hq8WwXZ7SOYw35r2mx/nsjzbTf5ve+Ueu936zmIQF14if/dXzrOH03h+Uy8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44kfDAAAA3AAAAA8AAAAAAAAAAAAA&#10;AAAAoQIAAGRycy9kb3ducmV2LnhtbFBLBQYAAAAABAAEAPkAAACRAwAAAAA=&#10;" strokecolor="#231f20" strokeweight=".5pt"/>
                <w10:anchorlock/>
              </v:group>
            </w:pict>
          </mc:Fallback>
        </mc:AlternateContent>
      </w:r>
    </w:p>
    <w:p w14:paraId="0BC1343D" w14:textId="77777777" w:rsidR="00DE575E" w:rsidRDefault="00DE575E">
      <w:pPr>
        <w:pStyle w:val="BodyText"/>
        <w:spacing w:before="7"/>
        <w:rPr>
          <w:rFonts w:ascii="AdonisC"/>
          <w:i/>
          <w:sz w:val="11"/>
        </w:rPr>
      </w:pPr>
    </w:p>
    <w:p w14:paraId="0DFDCCDF" w14:textId="77777777" w:rsidR="00DE575E" w:rsidRDefault="002E7560">
      <w:pPr>
        <w:pStyle w:val="BodyText"/>
        <w:spacing w:before="101" w:line="252" w:lineRule="auto"/>
        <w:ind w:left="533" w:right="126" w:firstLine="283"/>
        <w:jc w:val="both"/>
      </w:pPr>
      <w:r>
        <w:rPr>
          <w:color w:val="231F20"/>
        </w:rPr>
        <w:t>Постанова у справі має містити вирішення питання про вилу- чені речі й документи, а також вказівку про порядок і строк її оскарження.</w:t>
      </w:r>
    </w:p>
    <w:p w14:paraId="5CA95024" w14:textId="77777777" w:rsidR="00DE575E" w:rsidRDefault="002E7560">
      <w:pPr>
        <w:pStyle w:val="BodyText"/>
        <w:spacing w:before="1" w:line="252" w:lineRule="auto"/>
        <w:ind w:left="533" w:right="128" w:firstLine="283"/>
        <w:jc w:val="both"/>
      </w:pPr>
      <w:r>
        <w:rPr>
          <w:color w:val="231F20"/>
        </w:rPr>
        <w:t>Постанова</w:t>
      </w:r>
      <w:r>
        <w:rPr>
          <w:color w:val="231F20"/>
          <w:spacing w:val="-12"/>
        </w:rPr>
        <w:t xml:space="preserve"> </w:t>
      </w:r>
      <w:r>
        <w:rPr>
          <w:color w:val="231F20"/>
        </w:rPr>
        <w:t>колегіального</w:t>
      </w:r>
      <w:r>
        <w:rPr>
          <w:color w:val="231F20"/>
          <w:spacing w:val="-12"/>
        </w:rPr>
        <w:t xml:space="preserve"> </w:t>
      </w:r>
      <w:r>
        <w:rPr>
          <w:color w:val="231F20"/>
        </w:rPr>
        <w:t>органу</w:t>
      </w:r>
      <w:r>
        <w:rPr>
          <w:color w:val="231F20"/>
          <w:spacing w:val="-12"/>
        </w:rPr>
        <w:t xml:space="preserve"> </w:t>
      </w:r>
      <w:r>
        <w:rPr>
          <w:color w:val="231F20"/>
        </w:rPr>
        <w:t>ухвалюється</w:t>
      </w:r>
      <w:r>
        <w:rPr>
          <w:color w:val="231F20"/>
          <w:spacing w:val="-12"/>
        </w:rPr>
        <w:t xml:space="preserve"> </w:t>
      </w:r>
      <w:r>
        <w:rPr>
          <w:color w:val="231F20"/>
        </w:rPr>
        <w:t>простою</w:t>
      </w:r>
      <w:r>
        <w:rPr>
          <w:color w:val="231F20"/>
          <w:spacing w:val="-12"/>
        </w:rPr>
        <w:t xml:space="preserve"> </w:t>
      </w:r>
      <w:r>
        <w:rPr>
          <w:color w:val="231F20"/>
        </w:rPr>
        <w:t>більшістю голосів членів колегіаль</w:t>
      </w:r>
      <w:r>
        <w:rPr>
          <w:color w:val="231F20"/>
        </w:rPr>
        <w:t xml:space="preserve">ного </w:t>
      </w:r>
      <w:r>
        <w:rPr>
          <w:color w:val="231F20"/>
          <w:spacing w:val="-3"/>
        </w:rPr>
        <w:t xml:space="preserve">органу, </w:t>
      </w:r>
      <w:r>
        <w:rPr>
          <w:color w:val="231F20"/>
        </w:rPr>
        <w:t>присутніх на</w:t>
      </w:r>
      <w:r>
        <w:rPr>
          <w:color w:val="231F20"/>
          <w:spacing w:val="-1"/>
        </w:rPr>
        <w:t xml:space="preserve"> </w:t>
      </w:r>
      <w:r>
        <w:rPr>
          <w:color w:val="231F20"/>
        </w:rPr>
        <w:t>засіданні.</w:t>
      </w:r>
    </w:p>
    <w:p w14:paraId="667459B4" w14:textId="77777777" w:rsidR="00DE575E" w:rsidRDefault="002E7560">
      <w:pPr>
        <w:pStyle w:val="BodyText"/>
        <w:spacing w:before="1" w:line="252" w:lineRule="auto"/>
        <w:ind w:left="533" w:right="128" w:firstLine="283"/>
        <w:jc w:val="both"/>
      </w:pPr>
      <w:r>
        <w:rPr>
          <w:color w:val="231F20"/>
        </w:rPr>
        <w:t xml:space="preserve">Постанова у справі про адміністративне правопорушення підпи- сується посадовою особою, яка </w:t>
      </w:r>
      <w:r>
        <w:rPr>
          <w:color w:val="231F20"/>
          <w:spacing w:val="-3"/>
        </w:rPr>
        <w:t xml:space="preserve">розглянула справу, </w:t>
      </w:r>
      <w:r>
        <w:rPr>
          <w:color w:val="231F20"/>
        </w:rPr>
        <w:t xml:space="preserve">а постанова коле- гіального органу – головою засідання та секретарем цього </w:t>
      </w:r>
      <w:r>
        <w:rPr>
          <w:color w:val="231F20"/>
          <w:spacing w:val="-3"/>
        </w:rPr>
        <w:t>органу.</w:t>
      </w:r>
    </w:p>
    <w:p w14:paraId="18A24C6C" w14:textId="77777777" w:rsidR="00DE575E" w:rsidRDefault="002E7560">
      <w:pPr>
        <w:pStyle w:val="BodyText"/>
        <w:spacing w:before="2" w:line="252" w:lineRule="auto"/>
        <w:ind w:left="533" w:right="127" w:firstLine="283"/>
        <w:jc w:val="both"/>
      </w:pPr>
      <w:r>
        <w:rPr>
          <w:color w:val="231F20"/>
        </w:rPr>
        <w:t>Постанова остаточно оцінює</w:t>
      </w:r>
      <w:r>
        <w:rPr>
          <w:color w:val="231F20"/>
        </w:rPr>
        <w:t xml:space="preserve"> поведінку особи, яка притягається до відповідальності, установлює її винність або, навпаки, невин- ність, визначає захід адміністративного впливу.</w:t>
      </w:r>
    </w:p>
    <w:p w14:paraId="255A92A5" w14:textId="77777777" w:rsidR="00DE575E" w:rsidRDefault="002E7560">
      <w:pPr>
        <w:pStyle w:val="BodyText"/>
        <w:spacing w:before="1" w:line="252" w:lineRule="auto"/>
        <w:ind w:left="533" w:right="128" w:firstLine="283"/>
        <w:jc w:val="both"/>
      </w:pPr>
      <w:r>
        <w:rPr>
          <w:color w:val="231F20"/>
        </w:rPr>
        <w:t>Відповідно до ст. 284 КУпАП постанова у справі може бути трьох видів: про накладення адміністративного стягн</w:t>
      </w:r>
      <w:r>
        <w:rPr>
          <w:color w:val="231F20"/>
        </w:rPr>
        <w:t>ення, про застосу- вання до неповнолітніх заходів впливу виховного характеру і про закриття справи.</w:t>
      </w:r>
    </w:p>
    <w:p w14:paraId="1EB87B64" w14:textId="77777777" w:rsidR="00DE575E" w:rsidRDefault="002E7560">
      <w:pPr>
        <w:pStyle w:val="BodyText"/>
        <w:spacing w:before="2" w:line="252" w:lineRule="auto"/>
        <w:ind w:left="533" w:right="127" w:firstLine="283"/>
        <w:jc w:val="both"/>
      </w:pPr>
      <w:r>
        <w:rPr>
          <w:color w:val="231F20"/>
        </w:rPr>
        <w:t>Постанова оголошується негайно після закінчення розгляду справи. Копія постанови упродовж трьох днів вручається або виси- лається особі, щодо якої її винесе</w:t>
      </w:r>
      <w:r>
        <w:rPr>
          <w:color w:val="231F20"/>
        </w:rPr>
        <w:t>но. Копія постанови в той же строк вручається або висилається потерпілому на його прохання. Копія постанови вручається під розписку. У разі якщо копія постанови висилається, про це робиться відповідна відмітка у справі.</w:t>
      </w:r>
    </w:p>
    <w:p w14:paraId="26626EB1" w14:textId="77777777" w:rsidR="00DE575E" w:rsidRDefault="002E7560">
      <w:pPr>
        <w:pStyle w:val="ListParagraph"/>
        <w:numPr>
          <w:ilvl w:val="0"/>
          <w:numId w:val="7"/>
        </w:numPr>
        <w:tabs>
          <w:tab w:val="left" w:pos="1101"/>
        </w:tabs>
        <w:spacing w:before="3" w:line="252" w:lineRule="auto"/>
        <w:ind w:right="124" w:firstLine="284"/>
        <w:jc w:val="both"/>
        <w:rPr>
          <w:sz w:val="21"/>
        </w:rPr>
      </w:pPr>
      <w:r>
        <w:rPr>
          <w:b/>
          <w:color w:val="231F20"/>
          <w:sz w:val="21"/>
        </w:rPr>
        <w:t xml:space="preserve">Оскарження прийнятого рішення. </w:t>
      </w:r>
      <w:r>
        <w:rPr>
          <w:color w:val="231F20"/>
          <w:sz w:val="21"/>
        </w:rPr>
        <w:t>Право</w:t>
      </w:r>
      <w:r>
        <w:rPr>
          <w:color w:val="231F20"/>
          <w:sz w:val="21"/>
        </w:rPr>
        <w:t xml:space="preserve"> на оскарження постанови у справі про адміністративне правопорушення є однією  з гарантій захисту прав особи, забезпечення законності при притяг- ненні до адміністративної відповідальності. Відповідно до </w:t>
      </w:r>
      <w:r>
        <w:rPr>
          <w:color w:val="231F20"/>
          <w:spacing w:val="-5"/>
          <w:sz w:val="21"/>
        </w:rPr>
        <w:t xml:space="preserve">ст. </w:t>
      </w:r>
      <w:r>
        <w:rPr>
          <w:color w:val="231F20"/>
          <w:sz w:val="21"/>
        </w:rPr>
        <w:t xml:space="preserve">287 КУпАП України постанова може бути оскаржена </w:t>
      </w:r>
      <w:r>
        <w:rPr>
          <w:color w:val="231F20"/>
          <w:sz w:val="21"/>
        </w:rPr>
        <w:t xml:space="preserve">особою, щодо якої її винесено, а  також  потерпілим.  Порядок  оскарження  постанови у справі про адміністративне правопорушення встановлено </w:t>
      </w:r>
      <w:r>
        <w:rPr>
          <w:color w:val="231F20"/>
          <w:spacing w:val="-5"/>
          <w:sz w:val="21"/>
        </w:rPr>
        <w:t xml:space="preserve">ст. </w:t>
      </w:r>
      <w:r>
        <w:rPr>
          <w:color w:val="231F20"/>
          <w:sz w:val="21"/>
        </w:rPr>
        <w:t>288 КУпАП.</w:t>
      </w:r>
    </w:p>
    <w:p w14:paraId="293D3B18" w14:textId="77777777" w:rsidR="00DE575E" w:rsidRDefault="002E7560">
      <w:pPr>
        <w:pStyle w:val="BodyText"/>
        <w:spacing w:before="4" w:line="252" w:lineRule="auto"/>
        <w:ind w:left="533" w:right="127" w:firstLine="283"/>
        <w:jc w:val="both"/>
      </w:pPr>
      <w:r>
        <w:rPr>
          <w:color w:val="231F20"/>
        </w:rPr>
        <w:t xml:space="preserve">Постанова може  бути оскаржена  або в  адміністративному, або  в </w:t>
      </w:r>
      <w:r>
        <w:rPr>
          <w:color w:val="231F20"/>
          <w:spacing w:val="-3"/>
        </w:rPr>
        <w:t xml:space="preserve">судовому порядку. </w:t>
      </w:r>
      <w:r>
        <w:rPr>
          <w:color w:val="231F20"/>
        </w:rPr>
        <w:t xml:space="preserve">Залежно від того, </w:t>
      </w:r>
      <w:r>
        <w:rPr>
          <w:color w:val="231F20"/>
          <w:spacing w:val="-4"/>
        </w:rPr>
        <w:t xml:space="preserve">куди </w:t>
      </w:r>
      <w:r>
        <w:rPr>
          <w:color w:val="231F20"/>
        </w:rPr>
        <w:t xml:space="preserve">можна подати </w:t>
      </w:r>
      <w:r>
        <w:rPr>
          <w:color w:val="231F20"/>
          <w:spacing w:val="-3"/>
        </w:rPr>
        <w:t xml:space="preserve">скаргу, </w:t>
      </w:r>
      <w:r>
        <w:rPr>
          <w:color w:val="231F20"/>
        </w:rPr>
        <w:t xml:space="preserve">виділяють варіанти оскарження – </w:t>
      </w:r>
      <w:r>
        <w:rPr>
          <w:i/>
          <w:color w:val="231F20"/>
        </w:rPr>
        <w:t xml:space="preserve">альтернативний </w:t>
      </w:r>
      <w:r>
        <w:rPr>
          <w:color w:val="231F20"/>
        </w:rPr>
        <w:t xml:space="preserve">і </w:t>
      </w:r>
      <w:r>
        <w:rPr>
          <w:i/>
          <w:color w:val="231F20"/>
        </w:rPr>
        <w:t>послідовний</w:t>
      </w:r>
      <w:r>
        <w:rPr>
          <w:color w:val="231F20"/>
        </w:rPr>
        <w:t xml:space="preserve">. Перший варіант полягає в </w:t>
      </w:r>
      <w:r>
        <w:rPr>
          <w:color w:val="231F20"/>
          <w:spacing w:val="-4"/>
        </w:rPr>
        <w:t xml:space="preserve">тому, </w:t>
      </w:r>
      <w:r>
        <w:rPr>
          <w:color w:val="231F20"/>
        </w:rPr>
        <w:t xml:space="preserve">що постанова може бути оскаржена до вищого органу (вищій посадовій особі) або до адміністративного </w:t>
      </w:r>
      <w:r>
        <w:rPr>
          <w:color w:val="231F20"/>
          <w:spacing w:val="-7"/>
        </w:rPr>
        <w:t xml:space="preserve">суду. </w:t>
      </w:r>
      <w:r>
        <w:rPr>
          <w:color w:val="231F20"/>
        </w:rPr>
        <w:t xml:space="preserve">Який порядок оскарження обрати (адміністративний чи </w:t>
      </w:r>
      <w:r>
        <w:rPr>
          <w:color w:val="231F20"/>
          <w:spacing w:val="-3"/>
        </w:rPr>
        <w:t xml:space="preserve">судо- </w:t>
      </w:r>
      <w:r>
        <w:rPr>
          <w:color w:val="231F20"/>
        </w:rPr>
        <w:t>вий)</w:t>
      </w:r>
      <w:r>
        <w:rPr>
          <w:color w:val="231F20"/>
          <w:spacing w:val="-19"/>
        </w:rPr>
        <w:t xml:space="preserve"> </w:t>
      </w:r>
      <w:r>
        <w:rPr>
          <w:color w:val="231F20"/>
        </w:rPr>
        <w:t>–</w:t>
      </w:r>
      <w:r>
        <w:rPr>
          <w:color w:val="231F20"/>
          <w:spacing w:val="-19"/>
        </w:rPr>
        <w:t xml:space="preserve"> </w:t>
      </w:r>
      <w:r>
        <w:rPr>
          <w:color w:val="231F20"/>
        </w:rPr>
        <w:t>вирішує</w:t>
      </w:r>
      <w:r>
        <w:rPr>
          <w:color w:val="231F20"/>
          <w:spacing w:val="-19"/>
        </w:rPr>
        <w:t xml:space="preserve"> </w:t>
      </w:r>
      <w:r>
        <w:rPr>
          <w:color w:val="231F20"/>
        </w:rPr>
        <w:t>сам</w:t>
      </w:r>
      <w:r>
        <w:rPr>
          <w:color w:val="231F20"/>
          <w:spacing w:val="-19"/>
        </w:rPr>
        <w:t xml:space="preserve"> </w:t>
      </w:r>
      <w:r>
        <w:rPr>
          <w:color w:val="231F20"/>
        </w:rPr>
        <w:t>скаржник.</w:t>
      </w:r>
      <w:r>
        <w:rPr>
          <w:color w:val="231F20"/>
          <w:spacing w:val="-19"/>
        </w:rPr>
        <w:t xml:space="preserve"> </w:t>
      </w:r>
      <w:r>
        <w:rPr>
          <w:color w:val="231F20"/>
        </w:rPr>
        <w:t>При</w:t>
      </w:r>
      <w:r>
        <w:rPr>
          <w:color w:val="231F20"/>
          <w:spacing w:val="-19"/>
        </w:rPr>
        <w:t xml:space="preserve"> </w:t>
      </w:r>
      <w:r>
        <w:rPr>
          <w:color w:val="231F20"/>
        </w:rPr>
        <w:t>послідовному</w:t>
      </w:r>
      <w:r>
        <w:rPr>
          <w:color w:val="231F20"/>
          <w:spacing w:val="-19"/>
        </w:rPr>
        <w:t xml:space="preserve"> </w:t>
      </w:r>
      <w:r>
        <w:rPr>
          <w:color w:val="231F20"/>
        </w:rPr>
        <w:t>порядку</w:t>
      </w:r>
      <w:r>
        <w:rPr>
          <w:color w:val="231F20"/>
          <w:spacing w:val="-19"/>
        </w:rPr>
        <w:t xml:space="preserve"> </w:t>
      </w:r>
      <w:r>
        <w:rPr>
          <w:color w:val="231F20"/>
        </w:rPr>
        <w:t>оскарження скарга</w:t>
      </w:r>
      <w:r>
        <w:rPr>
          <w:color w:val="231F20"/>
          <w:spacing w:val="-9"/>
        </w:rPr>
        <w:t xml:space="preserve"> </w:t>
      </w:r>
      <w:r>
        <w:rPr>
          <w:color w:val="231F20"/>
        </w:rPr>
        <w:t>спочатку</w:t>
      </w:r>
      <w:r>
        <w:rPr>
          <w:color w:val="231F20"/>
          <w:spacing w:val="-9"/>
        </w:rPr>
        <w:t xml:space="preserve"> </w:t>
      </w:r>
      <w:r>
        <w:rPr>
          <w:color w:val="231F20"/>
        </w:rPr>
        <w:t>має</w:t>
      </w:r>
      <w:r>
        <w:rPr>
          <w:color w:val="231F20"/>
          <w:spacing w:val="-9"/>
        </w:rPr>
        <w:t xml:space="preserve"> </w:t>
      </w:r>
      <w:r>
        <w:rPr>
          <w:color w:val="231F20"/>
        </w:rPr>
        <w:t>бути</w:t>
      </w:r>
      <w:r>
        <w:rPr>
          <w:color w:val="231F20"/>
          <w:spacing w:val="-9"/>
        </w:rPr>
        <w:t xml:space="preserve"> </w:t>
      </w:r>
      <w:r>
        <w:rPr>
          <w:color w:val="231F20"/>
        </w:rPr>
        <w:t>подана</w:t>
      </w:r>
      <w:r>
        <w:rPr>
          <w:color w:val="231F20"/>
          <w:spacing w:val="-9"/>
        </w:rPr>
        <w:t xml:space="preserve"> </w:t>
      </w:r>
      <w:r>
        <w:rPr>
          <w:color w:val="231F20"/>
        </w:rPr>
        <w:t>до</w:t>
      </w:r>
      <w:r>
        <w:rPr>
          <w:color w:val="231F20"/>
          <w:spacing w:val="-9"/>
        </w:rPr>
        <w:t xml:space="preserve"> </w:t>
      </w:r>
      <w:r>
        <w:rPr>
          <w:color w:val="231F20"/>
        </w:rPr>
        <w:t>вищого</w:t>
      </w:r>
      <w:r>
        <w:rPr>
          <w:color w:val="231F20"/>
          <w:spacing w:val="-9"/>
        </w:rPr>
        <w:t xml:space="preserve"> </w:t>
      </w:r>
      <w:r>
        <w:rPr>
          <w:color w:val="231F20"/>
        </w:rPr>
        <w:t>органу</w:t>
      </w:r>
      <w:r>
        <w:rPr>
          <w:color w:val="231F20"/>
          <w:spacing w:val="-9"/>
        </w:rPr>
        <w:t xml:space="preserve"> </w:t>
      </w:r>
      <w:r>
        <w:rPr>
          <w:color w:val="231F20"/>
        </w:rPr>
        <w:t>(вищій</w:t>
      </w:r>
      <w:r>
        <w:rPr>
          <w:color w:val="231F20"/>
          <w:spacing w:val="-9"/>
        </w:rPr>
        <w:t xml:space="preserve"> </w:t>
      </w:r>
      <w:r>
        <w:rPr>
          <w:color w:val="231F20"/>
        </w:rPr>
        <w:t>посадовій особі), після чого, якщо його рішення не задовольняє скаржника, – д</w:t>
      </w:r>
      <w:r>
        <w:rPr>
          <w:color w:val="231F20"/>
        </w:rPr>
        <w:t>о місцевого загального адміністративного</w:t>
      </w:r>
      <w:r>
        <w:rPr>
          <w:color w:val="231F20"/>
          <w:spacing w:val="-3"/>
        </w:rPr>
        <w:t xml:space="preserve"> </w:t>
      </w:r>
      <w:r>
        <w:rPr>
          <w:color w:val="231F20"/>
          <w:spacing w:val="-7"/>
        </w:rPr>
        <w:t>суду.</w:t>
      </w:r>
    </w:p>
    <w:p w14:paraId="2D10C370" w14:textId="77777777" w:rsidR="00DE575E" w:rsidRDefault="00DE575E">
      <w:pPr>
        <w:pStyle w:val="BodyText"/>
        <w:spacing w:before="9"/>
        <w:rPr>
          <w:sz w:val="12"/>
        </w:rPr>
      </w:pPr>
    </w:p>
    <w:p w14:paraId="7726709B" w14:textId="77777777" w:rsidR="00DE575E" w:rsidRDefault="002E7560">
      <w:pPr>
        <w:spacing w:before="92"/>
        <w:ind w:left="533"/>
        <w:rPr>
          <w:rFonts w:ascii="Times New Roman"/>
          <w:sz w:val="20"/>
        </w:rPr>
      </w:pPr>
      <w:r>
        <w:rPr>
          <w:rFonts w:ascii="Times New Roman"/>
          <w:color w:val="231F20"/>
          <w:sz w:val="20"/>
        </w:rPr>
        <w:t>524</w:t>
      </w:r>
    </w:p>
    <w:p w14:paraId="18BAF11B" w14:textId="77777777" w:rsidR="00DE575E" w:rsidRDefault="00DE575E">
      <w:pPr>
        <w:rPr>
          <w:rFonts w:ascii="Times New Roman"/>
          <w:sz w:val="20"/>
        </w:rPr>
        <w:sectPr w:rsidR="00DE575E">
          <w:pgSz w:w="8510" w:h="12760"/>
          <w:pgMar w:top="660" w:right="720" w:bottom="280" w:left="600" w:header="720" w:footer="720" w:gutter="0"/>
          <w:cols w:space="720"/>
        </w:sectPr>
      </w:pPr>
    </w:p>
    <w:p w14:paraId="56C069F4" w14:textId="77777777" w:rsidR="00DE575E" w:rsidRDefault="002E7560">
      <w:pPr>
        <w:spacing w:before="72" w:line="249" w:lineRule="auto"/>
        <w:ind w:left="1020" w:right="392" w:firstLine="1672"/>
        <w:rPr>
          <w:rFonts w:ascii="AdonisC" w:hAnsi="AdonisC"/>
          <w:i/>
          <w:sz w:val="18"/>
        </w:rPr>
      </w:pPr>
      <w:r>
        <w:rPr>
          <w:rFonts w:ascii="AdonisC" w:hAnsi="AdonisC"/>
          <w:i/>
          <w:color w:val="231F20"/>
          <w:sz w:val="18"/>
        </w:rPr>
        <w:t>Глава ІІ Особливе адміністративне право/ Книга ІІ Розділ 5. Провадження у справах про адміністративні правопорушення</w:t>
      </w:r>
    </w:p>
    <w:p w14:paraId="2EADAAFB" w14:textId="35831F2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9D669C6" wp14:editId="03E9A59D">
                <wp:extent cx="4140200" cy="6350"/>
                <wp:effectExtent l="0" t="0" r="12700" b="6350"/>
                <wp:docPr id="11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4" name="Line 1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114F2" id="Group_x0020_1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81blmH4CAACYBQAADgAA&#10;AAAAAAAAAAAAAAAsAgAAZHJzL2Uyb0RvYy54bWxQSwECLQAUAAYACAAAACEATKewkNkAAAADAQAA&#10;DwAAAAAAAAAAAAAAAADWBAAAZHJzL2Rvd25yZXYueG1sUEsFBgAAAAAEAAQA8wAAANwFAAAAAA==&#10;">
                <v:line id="Line_x0020_1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bZq8MAAADcAAAADwAAAGRycy9kb3ducmV2LnhtbERP22rCQBB9L/gPyxR8KXVjFSnRVUQQ&#10;ig/e4geM2TEJ3Z2N2dVEv75bKPRtDuc6s0VnjbhT4yvHCoaDBARx7nTFhYJTtn7/BOEDskbjmBQ8&#10;yMNi3nuZYapdywe6H0MhYgj7FBWUIdSplD4vyaIfuJo4chfXWAwRNoXUDbYx3Br5kSQTabHi2FBi&#10;TauS8u/jzSrIrm/B7Hcb02a780ier9vR87ZVqv/aLacgAnXhX/zn/tJx/nAMv8/EC+T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1m2avDAAAA3AAAAA8AAAAAAAAAAAAA&#10;AAAAoQIAAGRycy9kb3ducmV2LnhtbFBLBQYAAAAABAAEAPkAAACRAwAAAAA=&#10;" strokecolor="#231f20" strokeweight=".5pt"/>
                <w10:anchorlock/>
              </v:group>
            </w:pict>
          </mc:Fallback>
        </mc:AlternateContent>
      </w:r>
    </w:p>
    <w:p w14:paraId="578523E4" w14:textId="77777777" w:rsidR="00DE575E" w:rsidRDefault="00DE575E">
      <w:pPr>
        <w:pStyle w:val="BodyText"/>
        <w:spacing w:before="7"/>
        <w:rPr>
          <w:rFonts w:ascii="AdonisC"/>
          <w:i/>
          <w:sz w:val="19"/>
        </w:rPr>
      </w:pPr>
    </w:p>
    <w:p w14:paraId="29BED153" w14:textId="77777777" w:rsidR="00DE575E" w:rsidRDefault="002E7560">
      <w:pPr>
        <w:pStyle w:val="BodyText"/>
        <w:spacing w:before="1" w:line="252" w:lineRule="auto"/>
        <w:ind w:left="250" w:right="411" w:firstLine="283"/>
        <w:jc w:val="both"/>
      </w:pPr>
      <w:r>
        <w:rPr>
          <w:color w:val="231F20"/>
        </w:rPr>
        <w:t>Орган</w:t>
      </w:r>
      <w:r>
        <w:rPr>
          <w:color w:val="231F20"/>
          <w:spacing w:val="-5"/>
        </w:rPr>
        <w:t xml:space="preserve"> </w:t>
      </w:r>
      <w:r>
        <w:rPr>
          <w:color w:val="231F20"/>
        </w:rPr>
        <w:t>(посадова</w:t>
      </w:r>
      <w:r>
        <w:rPr>
          <w:color w:val="231F20"/>
          <w:spacing w:val="-5"/>
        </w:rPr>
        <w:t xml:space="preserve"> </w:t>
      </w:r>
      <w:r>
        <w:rPr>
          <w:color w:val="231F20"/>
        </w:rPr>
        <w:t>особа)</w:t>
      </w:r>
      <w:r>
        <w:rPr>
          <w:color w:val="231F20"/>
          <w:spacing w:val="-5"/>
        </w:rPr>
        <w:t xml:space="preserve"> </w:t>
      </w:r>
      <w:r>
        <w:rPr>
          <w:color w:val="231F20"/>
        </w:rPr>
        <w:t>при</w:t>
      </w:r>
      <w:r>
        <w:rPr>
          <w:color w:val="231F20"/>
          <w:spacing w:val="-5"/>
        </w:rPr>
        <w:t xml:space="preserve"> </w:t>
      </w:r>
      <w:r>
        <w:rPr>
          <w:color w:val="231F20"/>
          <w:spacing w:val="-3"/>
        </w:rPr>
        <w:t>розгляді</w:t>
      </w:r>
      <w:r>
        <w:rPr>
          <w:color w:val="231F20"/>
          <w:spacing w:val="-5"/>
        </w:rPr>
        <w:t xml:space="preserve"> </w:t>
      </w:r>
      <w:r>
        <w:rPr>
          <w:color w:val="231F20"/>
        </w:rPr>
        <w:t>скарги</w:t>
      </w:r>
      <w:r>
        <w:rPr>
          <w:color w:val="231F20"/>
          <w:spacing w:val="-5"/>
        </w:rPr>
        <w:t xml:space="preserve"> </w:t>
      </w:r>
      <w:r>
        <w:rPr>
          <w:color w:val="231F20"/>
        </w:rPr>
        <w:t>на</w:t>
      </w:r>
      <w:r>
        <w:rPr>
          <w:color w:val="231F20"/>
          <w:spacing w:val="-5"/>
        </w:rPr>
        <w:t xml:space="preserve"> </w:t>
      </w:r>
      <w:r>
        <w:rPr>
          <w:color w:val="231F20"/>
        </w:rPr>
        <w:t>постанову</w:t>
      </w:r>
      <w:r>
        <w:rPr>
          <w:color w:val="231F20"/>
          <w:spacing w:val="-5"/>
        </w:rPr>
        <w:t xml:space="preserve"> </w:t>
      </w:r>
      <w:r>
        <w:rPr>
          <w:color w:val="231F20"/>
        </w:rPr>
        <w:t>у</w:t>
      </w:r>
      <w:r>
        <w:rPr>
          <w:color w:val="231F20"/>
          <w:spacing w:val="-7"/>
        </w:rPr>
        <w:t xml:space="preserve"> </w:t>
      </w:r>
      <w:r>
        <w:rPr>
          <w:color w:val="231F20"/>
        </w:rPr>
        <w:t>справі про</w:t>
      </w:r>
      <w:r>
        <w:rPr>
          <w:color w:val="231F20"/>
          <w:spacing w:val="-20"/>
        </w:rPr>
        <w:t xml:space="preserve"> </w:t>
      </w:r>
      <w:r>
        <w:rPr>
          <w:color w:val="231F20"/>
        </w:rPr>
        <w:t>адміністративне</w:t>
      </w:r>
      <w:r>
        <w:rPr>
          <w:color w:val="231F20"/>
          <w:spacing w:val="-20"/>
        </w:rPr>
        <w:t xml:space="preserve"> </w:t>
      </w:r>
      <w:r>
        <w:rPr>
          <w:color w:val="231F20"/>
        </w:rPr>
        <w:t>правопорушення</w:t>
      </w:r>
      <w:r>
        <w:rPr>
          <w:color w:val="231F20"/>
          <w:spacing w:val="-20"/>
        </w:rPr>
        <w:t xml:space="preserve"> </w:t>
      </w:r>
      <w:r>
        <w:rPr>
          <w:color w:val="231F20"/>
        </w:rPr>
        <w:t>перевіряє</w:t>
      </w:r>
      <w:r>
        <w:rPr>
          <w:color w:val="231F20"/>
          <w:spacing w:val="-20"/>
        </w:rPr>
        <w:t xml:space="preserve"> </w:t>
      </w:r>
      <w:r>
        <w:rPr>
          <w:color w:val="231F20"/>
        </w:rPr>
        <w:t>законність</w:t>
      </w:r>
      <w:r>
        <w:rPr>
          <w:color w:val="231F20"/>
          <w:spacing w:val="-20"/>
        </w:rPr>
        <w:t xml:space="preserve"> </w:t>
      </w:r>
      <w:r>
        <w:rPr>
          <w:color w:val="231F20"/>
        </w:rPr>
        <w:t>і</w:t>
      </w:r>
      <w:r>
        <w:rPr>
          <w:color w:val="231F20"/>
          <w:spacing w:val="-20"/>
        </w:rPr>
        <w:t xml:space="preserve"> </w:t>
      </w:r>
      <w:r>
        <w:rPr>
          <w:color w:val="231F20"/>
        </w:rPr>
        <w:t>обґрун- тованість винесеної постанови й ухвалює одне з таких</w:t>
      </w:r>
      <w:r>
        <w:rPr>
          <w:color w:val="231F20"/>
          <w:spacing w:val="-14"/>
        </w:rPr>
        <w:t xml:space="preserve"> </w:t>
      </w:r>
      <w:r>
        <w:rPr>
          <w:color w:val="231F20"/>
        </w:rPr>
        <w:t>рішень:</w:t>
      </w:r>
    </w:p>
    <w:p w14:paraId="18711B6C" w14:textId="77777777" w:rsidR="00DE575E" w:rsidRDefault="002E7560">
      <w:pPr>
        <w:pStyle w:val="ListParagraph"/>
        <w:numPr>
          <w:ilvl w:val="0"/>
          <w:numId w:val="6"/>
        </w:numPr>
        <w:tabs>
          <w:tab w:val="left" w:pos="818"/>
        </w:tabs>
        <w:ind w:firstLine="283"/>
        <w:jc w:val="left"/>
        <w:rPr>
          <w:sz w:val="21"/>
        </w:rPr>
      </w:pPr>
      <w:r>
        <w:rPr>
          <w:color w:val="231F20"/>
          <w:sz w:val="21"/>
        </w:rPr>
        <w:t>залишає постанову без зміни</w:t>
      </w:r>
      <w:r>
        <w:rPr>
          <w:color w:val="231F20"/>
          <w:sz w:val="21"/>
        </w:rPr>
        <w:t>, а скаргу – без</w:t>
      </w:r>
      <w:r>
        <w:rPr>
          <w:color w:val="231F20"/>
          <w:spacing w:val="-13"/>
          <w:sz w:val="21"/>
        </w:rPr>
        <w:t xml:space="preserve"> </w:t>
      </w:r>
      <w:r>
        <w:rPr>
          <w:color w:val="231F20"/>
          <w:sz w:val="21"/>
        </w:rPr>
        <w:t>задоволення;</w:t>
      </w:r>
    </w:p>
    <w:p w14:paraId="4635AF8A" w14:textId="77777777" w:rsidR="00DE575E" w:rsidRDefault="002E7560">
      <w:pPr>
        <w:pStyle w:val="ListParagraph"/>
        <w:numPr>
          <w:ilvl w:val="0"/>
          <w:numId w:val="6"/>
        </w:numPr>
        <w:tabs>
          <w:tab w:val="left" w:pos="818"/>
        </w:tabs>
        <w:spacing w:before="13"/>
        <w:ind w:firstLine="283"/>
        <w:jc w:val="left"/>
        <w:rPr>
          <w:sz w:val="21"/>
        </w:rPr>
      </w:pPr>
      <w:r>
        <w:rPr>
          <w:color w:val="231F20"/>
          <w:sz w:val="21"/>
        </w:rPr>
        <w:t>скасовує постанову і надсилає справу на новий</w:t>
      </w:r>
      <w:r>
        <w:rPr>
          <w:color w:val="231F20"/>
          <w:spacing w:val="-4"/>
          <w:sz w:val="21"/>
        </w:rPr>
        <w:t xml:space="preserve"> </w:t>
      </w:r>
      <w:r>
        <w:rPr>
          <w:color w:val="231F20"/>
          <w:spacing w:val="-3"/>
          <w:sz w:val="21"/>
        </w:rPr>
        <w:t>розгляд;</w:t>
      </w:r>
    </w:p>
    <w:p w14:paraId="149C088B" w14:textId="77777777" w:rsidR="00DE575E" w:rsidRDefault="002E7560">
      <w:pPr>
        <w:pStyle w:val="ListParagraph"/>
        <w:numPr>
          <w:ilvl w:val="0"/>
          <w:numId w:val="6"/>
        </w:numPr>
        <w:tabs>
          <w:tab w:val="left" w:pos="818"/>
        </w:tabs>
        <w:spacing w:before="13"/>
        <w:ind w:firstLine="283"/>
        <w:jc w:val="left"/>
        <w:rPr>
          <w:sz w:val="21"/>
        </w:rPr>
      </w:pPr>
      <w:r>
        <w:rPr>
          <w:color w:val="231F20"/>
          <w:sz w:val="21"/>
        </w:rPr>
        <w:t>скасовує постанову і закриває</w:t>
      </w:r>
      <w:r>
        <w:rPr>
          <w:color w:val="231F20"/>
          <w:spacing w:val="-4"/>
          <w:sz w:val="21"/>
        </w:rPr>
        <w:t xml:space="preserve"> </w:t>
      </w:r>
      <w:r>
        <w:rPr>
          <w:color w:val="231F20"/>
          <w:sz w:val="21"/>
        </w:rPr>
        <w:t>справу;</w:t>
      </w:r>
    </w:p>
    <w:p w14:paraId="410073F1" w14:textId="77777777" w:rsidR="00DE575E" w:rsidRDefault="002E7560">
      <w:pPr>
        <w:pStyle w:val="ListParagraph"/>
        <w:numPr>
          <w:ilvl w:val="0"/>
          <w:numId w:val="6"/>
        </w:numPr>
        <w:tabs>
          <w:tab w:val="left" w:pos="818"/>
        </w:tabs>
        <w:spacing w:before="13" w:line="252" w:lineRule="auto"/>
        <w:ind w:right="410" w:firstLine="283"/>
        <w:jc w:val="both"/>
        <w:rPr>
          <w:sz w:val="21"/>
        </w:rPr>
      </w:pPr>
      <w:r>
        <w:rPr>
          <w:color w:val="231F20"/>
          <w:sz w:val="21"/>
        </w:rPr>
        <w:t xml:space="preserve">змінює захід стягнення в межах, передбачених нормативним актом про  відповідальність  за  адміністративне  правопорушення, з тим однак, щоб стягнення не </w:t>
      </w:r>
      <w:r>
        <w:rPr>
          <w:color w:val="231F20"/>
          <w:spacing w:val="-3"/>
          <w:sz w:val="21"/>
        </w:rPr>
        <w:t>було</w:t>
      </w:r>
      <w:r>
        <w:rPr>
          <w:color w:val="231F20"/>
          <w:spacing w:val="-6"/>
          <w:sz w:val="21"/>
        </w:rPr>
        <w:t xml:space="preserve"> </w:t>
      </w:r>
      <w:r>
        <w:rPr>
          <w:color w:val="231F20"/>
          <w:sz w:val="21"/>
        </w:rPr>
        <w:t>посилено.</w:t>
      </w:r>
    </w:p>
    <w:p w14:paraId="496CCE46" w14:textId="77777777" w:rsidR="00DE575E" w:rsidRDefault="002E7560">
      <w:pPr>
        <w:pStyle w:val="ListParagraph"/>
        <w:numPr>
          <w:ilvl w:val="0"/>
          <w:numId w:val="7"/>
        </w:numPr>
        <w:tabs>
          <w:tab w:val="left" w:pos="818"/>
        </w:tabs>
        <w:spacing w:line="252" w:lineRule="auto"/>
        <w:ind w:left="250" w:right="410" w:firstLine="283"/>
        <w:jc w:val="both"/>
        <w:rPr>
          <w:sz w:val="21"/>
        </w:rPr>
      </w:pPr>
      <w:r>
        <w:rPr>
          <w:b/>
          <w:color w:val="231F20"/>
          <w:sz w:val="21"/>
        </w:rPr>
        <w:t xml:space="preserve">Виконання постанов у справі про адміністративні проступки </w:t>
      </w:r>
      <w:r>
        <w:rPr>
          <w:color w:val="231F20"/>
          <w:sz w:val="21"/>
        </w:rPr>
        <w:t>– заключна стадія такого провадження. Від того, наскільки</w:t>
      </w:r>
      <w:r>
        <w:rPr>
          <w:color w:val="231F20"/>
          <w:spacing w:val="-12"/>
          <w:sz w:val="21"/>
        </w:rPr>
        <w:t xml:space="preserve"> </w:t>
      </w:r>
      <w:r>
        <w:rPr>
          <w:color w:val="231F20"/>
          <w:sz w:val="21"/>
        </w:rPr>
        <w:t>своєчасно</w:t>
      </w:r>
      <w:r>
        <w:rPr>
          <w:color w:val="231F20"/>
          <w:spacing w:val="-12"/>
          <w:sz w:val="21"/>
        </w:rPr>
        <w:t xml:space="preserve"> </w:t>
      </w:r>
      <w:r>
        <w:rPr>
          <w:color w:val="231F20"/>
          <w:sz w:val="21"/>
        </w:rPr>
        <w:t>і</w:t>
      </w:r>
      <w:r>
        <w:rPr>
          <w:color w:val="231F20"/>
          <w:spacing w:val="-13"/>
          <w:sz w:val="21"/>
        </w:rPr>
        <w:t xml:space="preserve"> </w:t>
      </w:r>
      <w:r>
        <w:rPr>
          <w:color w:val="231F20"/>
          <w:sz w:val="21"/>
        </w:rPr>
        <w:t>повно</w:t>
      </w:r>
      <w:r>
        <w:rPr>
          <w:color w:val="231F20"/>
          <w:spacing w:val="-12"/>
          <w:sz w:val="21"/>
        </w:rPr>
        <w:t xml:space="preserve"> </w:t>
      </w:r>
      <w:r>
        <w:rPr>
          <w:color w:val="231F20"/>
          <w:sz w:val="21"/>
        </w:rPr>
        <w:t>виконуються</w:t>
      </w:r>
      <w:r>
        <w:rPr>
          <w:color w:val="231F20"/>
          <w:spacing w:val="-12"/>
          <w:sz w:val="21"/>
        </w:rPr>
        <w:t xml:space="preserve"> </w:t>
      </w:r>
      <w:r>
        <w:rPr>
          <w:color w:val="231F20"/>
          <w:sz w:val="21"/>
        </w:rPr>
        <w:t>постанови,</w:t>
      </w:r>
      <w:r>
        <w:rPr>
          <w:color w:val="231F20"/>
          <w:spacing w:val="-12"/>
          <w:sz w:val="21"/>
        </w:rPr>
        <w:t xml:space="preserve"> </w:t>
      </w:r>
      <w:r>
        <w:rPr>
          <w:color w:val="231F20"/>
          <w:sz w:val="21"/>
        </w:rPr>
        <w:t>значною</w:t>
      </w:r>
      <w:r>
        <w:rPr>
          <w:color w:val="231F20"/>
          <w:spacing w:val="-12"/>
          <w:sz w:val="21"/>
        </w:rPr>
        <w:t xml:space="preserve"> </w:t>
      </w:r>
      <w:r>
        <w:rPr>
          <w:color w:val="231F20"/>
          <w:sz w:val="21"/>
        </w:rPr>
        <w:t>мірою залежить ефективність зазначеного провадження й усього інсти- туту адміністративної</w:t>
      </w:r>
      <w:r>
        <w:rPr>
          <w:color w:val="231F20"/>
          <w:spacing w:val="-3"/>
          <w:sz w:val="21"/>
        </w:rPr>
        <w:t xml:space="preserve"> </w:t>
      </w:r>
      <w:r>
        <w:rPr>
          <w:color w:val="231F20"/>
          <w:sz w:val="21"/>
        </w:rPr>
        <w:t>відповідальності.</w:t>
      </w:r>
    </w:p>
    <w:p w14:paraId="6E323895" w14:textId="77777777" w:rsidR="00DE575E" w:rsidRDefault="002E7560">
      <w:pPr>
        <w:pStyle w:val="BodyText"/>
        <w:spacing w:before="3" w:line="252" w:lineRule="auto"/>
        <w:ind w:left="250" w:right="409" w:firstLine="283"/>
        <w:jc w:val="both"/>
      </w:pPr>
      <w:r>
        <w:rPr>
          <w:color w:val="231F20"/>
        </w:rPr>
        <w:t xml:space="preserve">Для того щоб постанова </w:t>
      </w:r>
      <w:r>
        <w:rPr>
          <w:color w:val="231F20"/>
          <w:spacing w:val="-3"/>
        </w:rPr>
        <w:t xml:space="preserve">була </w:t>
      </w:r>
      <w:r>
        <w:rPr>
          <w:color w:val="231F20"/>
        </w:rPr>
        <w:t xml:space="preserve">обов’язковою </w:t>
      </w:r>
      <w:r>
        <w:rPr>
          <w:color w:val="231F20"/>
        </w:rPr>
        <w:t>для виконання, вона має</w:t>
      </w:r>
      <w:r>
        <w:rPr>
          <w:color w:val="231F20"/>
          <w:spacing w:val="-5"/>
        </w:rPr>
        <w:t xml:space="preserve"> </w:t>
      </w:r>
      <w:r>
        <w:rPr>
          <w:color w:val="231F20"/>
        </w:rPr>
        <w:t>набрати</w:t>
      </w:r>
      <w:r>
        <w:rPr>
          <w:color w:val="231F20"/>
          <w:spacing w:val="-5"/>
        </w:rPr>
        <w:t xml:space="preserve"> </w:t>
      </w:r>
      <w:r>
        <w:rPr>
          <w:color w:val="231F20"/>
        </w:rPr>
        <w:t>чинності.</w:t>
      </w:r>
      <w:r>
        <w:rPr>
          <w:color w:val="231F20"/>
          <w:spacing w:val="-5"/>
        </w:rPr>
        <w:t xml:space="preserve"> </w:t>
      </w:r>
      <w:r>
        <w:rPr>
          <w:color w:val="231F20"/>
        </w:rPr>
        <w:t>За</w:t>
      </w:r>
      <w:r>
        <w:rPr>
          <w:color w:val="231F20"/>
          <w:spacing w:val="-5"/>
        </w:rPr>
        <w:t xml:space="preserve"> </w:t>
      </w:r>
      <w:r>
        <w:rPr>
          <w:color w:val="231F20"/>
        </w:rPr>
        <w:t>загальним</w:t>
      </w:r>
      <w:r>
        <w:rPr>
          <w:color w:val="231F20"/>
          <w:spacing w:val="-5"/>
        </w:rPr>
        <w:t xml:space="preserve"> </w:t>
      </w:r>
      <w:r>
        <w:rPr>
          <w:color w:val="231F20"/>
        </w:rPr>
        <w:t>правилом,</w:t>
      </w:r>
      <w:r>
        <w:rPr>
          <w:color w:val="231F20"/>
          <w:spacing w:val="-5"/>
        </w:rPr>
        <w:t xml:space="preserve"> </w:t>
      </w:r>
      <w:r>
        <w:rPr>
          <w:color w:val="231F20"/>
        </w:rPr>
        <w:t>установленим</w:t>
      </w:r>
      <w:r>
        <w:rPr>
          <w:color w:val="231F20"/>
          <w:spacing w:val="-5"/>
        </w:rPr>
        <w:t xml:space="preserve"> </w:t>
      </w:r>
      <w:r>
        <w:rPr>
          <w:color w:val="231F20"/>
          <w:spacing w:val="-6"/>
        </w:rPr>
        <w:t>ст.</w:t>
      </w:r>
      <w:r>
        <w:rPr>
          <w:color w:val="231F20"/>
          <w:spacing w:val="-7"/>
        </w:rPr>
        <w:t xml:space="preserve"> </w:t>
      </w:r>
      <w:r>
        <w:rPr>
          <w:color w:val="231F20"/>
        </w:rPr>
        <w:t xml:space="preserve">299 </w:t>
      </w:r>
      <w:r>
        <w:rPr>
          <w:color w:val="231F20"/>
          <w:spacing w:val="-3"/>
        </w:rPr>
        <w:t xml:space="preserve">КУпАП, </w:t>
      </w:r>
      <w:r>
        <w:rPr>
          <w:color w:val="231F20"/>
        </w:rPr>
        <w:t>постанова про накладення адміністративного стягнення підлягає виконанню з моменту її винесення. У разі оскарження постанови вона набирає чинності після залишення с</w:t>
      </w:r>
      <w:r>
        <w:rPr>
          <w:color w:val="231F20"/>
        </w:rPr>
        <w:t>карги без задо- волення, тобто з дня ухвалення відповідного рішення. Постанова про накладення адміністративного стягнення звертається до вико- нання органом (посадовою особою), який її виніс.</w:t>
      </w:r>
    </w:p>
    <w:p w14:paraId="17B18E36" w14:textId="77777777" w:rsidR="00DE575E" w:rsidRDefault="002E7560">
      <w:pPr>
        <w:pStyle w:val="Heading5"/>
        <w:spacing w:before="3" w:line="252" w:lineRule="auto"/>
        <w:ind w:left="250" w:right="408" w:firstLine="283"/>
        <w:jc w:val="both"/>
      </w:pPr>
      <w:r>
        <w:rPr>
          <w:color w:val="231F20"/>
        </w:rPr>
        <w:t>Отже,</w:t>
      </w:r>
      <w:r>
        <w:rPr>
          <w:color w:val="231F20"/>
          <w:spacing w:val="-15"/>
        </w:rPr>
        <w:t xml:space="preserve"> </w:t>
      </w:r>
      <w:r>
        <w:rPr>
          <w:color w:val="231F20"/>
        </w:rPr>
        <w:t>виконання</w:t>
      </w:r>
      <w:r>
        <w:rPr>
          <w:color w:val="231F20"/>
          <w:spacing w:val="-15"/>
        </w:rPr>
        <w:t xml:space="preserve"> </w:t>
      </w:r>
      <w:r>
        <w:rPr>
          <w:color w:val="231F20"/>
        </w:rPr>
        <w:t>постанов</w:t>
      </w:r>
      <w:r>
        <w:rPr>
          <w:color w:val="231F20"/>
          <w:spacing w:val="-15"/>
        </w:rPr>
        <w:t xml:space="preserve"> </w:t>
      </w:r>
      <w:r>
        <w:rPr>
          <w:color w:val="231F20"/>
        </w:rPr>
        <w:t>про</w:t>
      </w:r>
      <w:r>
        <w:rPr>
          <w:color w:val="231F20"/>
          <w:spacing w:val="-15"/>
        </w:rPr>
        <w:t xml:space="preserve"> </w:t>
      </w:r>
      <w:r>
        <w:rPr>
          <w:color w:val="231F20"/>
        </w:rPr>
        <w:t>накладення</w:t>
      </w:r>
      <w:r>
        <w:rPr>
          <w:color w:val="231F20"/>
          <w:spacing w:val="-15"/>
        </w:rPr>
        <w:t xml:space="preserve"> </w:t>
      </w:r>
      <w:r>
        <w:rPr>
          <w:color w:val="231F20"/>
        </w:rPr>
        <w:t>адміністративних стягнень можна визнати вирішальною стадією всього провад- ження. Адже якщо постанову винесено, але не виконано, втра- чається весь виховний вплив накладеного стягнення, а робота, здійснена багатьма органами та посадовими особами для притяг</w:t>
      </w:r>
      <w:r>
        <w:rPr>
          <w:color w:val="231F20"/>
        </w:rPr>
        <w:t>нення винного до адміністративної відповідальності, виявляється</w:t>
      </w:r>
      <w:r>
        <w:rPr>
          <w:color w:val="231F20"/>
          <w:spacing w:val="-1"/>
        </w:rPr>
        <w:t xml:space="preserve"> </w:t>
      </w:r>
      <w:r>
        <w:rPr>
          <w:color w:val="231F20"/>
        </w:rPr>
        <w:t>марною.</w:t>
      </w:r>
    </w:p>
    <w:p w14:paraId="11A97E9E" w14:textId="77777777" w:rsidR="00DE575E" w:rsidRDefault="00DE575E">
      <w:pPr>
        <w:pStyle w:val="BodyText"/>
        <w:rPr>
          <w:b/>
          <w:sz w:val="24"/>
        </w:rPr>
      </w:pPr>
    </w:p>
    <w:p w14:paraId="2E6B3470" w14:textId="77777777" w:rsidR="00DE575E" w:rsidRDefault="00DE575E">
      <w:pPr>
        <w:pStyle w:val="BodyText"/>
        <w:spacing w:before="7"/>
        <w:rPr>
          <w:b/>
          <w:sz w:val="19"/>
        </w:rPr>
      </w:pPr>
    </w:p>
    <w:p w14:paraId="61C779A3" w14:textId="77777777" w:rsidR="00DE575E" w:rsidRDefault="002E7560">
      <w:pPr>
        <w:pStyle w:val="ListParagraph"/>
        <w:numPr>
          <w:ilvl w:val="1"/>
          <w:numId w:val="10"/>
        </w:numPr>
        <w:tabs>
          <w:tab w:val="left" w:pos="1847"/>
        </w:tabs>
        <w:spacing w:before="0"/>
        <w:ind w:left="1846"/>
        <w:jc w:val="left"/>
        <w:rPr>
          <w:b/>
        </w:rPr>
      </w:pPr>
      <w:r>
        <w:rPr>
          <w:b/>
          <w:color w:val="231F20"/>
          <w:spacing w:val="-4"/>
        </w:rPr>
        <w:t xml:space="preserve">Заходи </w:t>
      </w:r>
      <w:r>
        <w:rPr>
          <w:b/>
          <w:color w:val="231F20"/>
        </w:rPr>
        <w:t>забезпечення</w:t>
      </w:r>
      <w:r>
        <w:rPr>
          <w:b/>
          <w:color w:val="231F20"/>
          <w:spacing w:val="1"/>
        </w:rPr>
        <w:t xml:space="preserve"> </w:t>
      </w:r>
      <w:r>
        <w:rPr>
          <w:b/>
          <w:color w:val="231F20"/>
        </w:rPr>
        <w:t>провадження</w:t>
      </w:r>
    </w:p>
    <w:p w14:paraId="3C9250F6" w14:textId="77777777" w:rsidR="00DE575E" w:rsidRDefault="002E7560">
      <w:pPr>
        <w:ind w:left="958"/>
        <w:rPr>
          <w:b/>
        </w:rPr>
      </w:pPr>
      <w:r>
        <w:rPr>
          <w:b/>
          <w:color w:val="231F20"/>
        </w:rPr>
        <w:t>у справах про адміністративні правопорушення</w:t>
      </w:r>
    </w:p>
    <w:p w14:paraId="5438B2AD" w14:textId="77777777" w:rsidR="00DE575E" w:rsidRDefault="00DE575E">
      <w:pPr>
        <w:pStyle w:val="BodyText"/>
        <w:rPr>
          <w:b/>
          <w:sz w:val="26"/>
        </w:rPr>
      </w:pPr>
    </w:p>
    <w:p w14:paraId="1E2B715D" w14:textId="77777777" w:rsidR="00DE575E" w:rsidRDefault="002E7560">
      <w:pPr>
        <w:pStyle w:val="BodyText"/>
        <w:spacing w:before="224" w:line="252" w:lineRule="auto"/>
        <w:ind w:left="250" w:right="411" w:firstLine="283"/>
        <w:jc w:val="both"/>
      </w:pPr>
      <w:r>
        <w:rPr>
          <w:color w:val="231F20"/>
        </w:rPr>
        <w:t>Характерними</w:t>
      </w:r>
      <w:r>
        <w:rPr>
          <w:color w:val="231F20"/>
          <w:spacing w:val="-11"/>
        </w:rPr>
        <w:t xml:space="preserve"> </w:t>
      </w:r>
      <w:r>
        <w:rPr>
          <w:color w:val="231F20"/>
        </w:rPr>
        <w:t>рисами</w:t>
      </w:r>
      <w:r>
        <w:rPr>
          <w:color w:val="231F20"/>
          <w:spacing w:val="-11"/>
        </w:rPr>
        <w:t xml:space="preserve"> </w:t>
      </w:r>
      <w:r>
        <w:rPr>
          <w:color w:val="231F20"/>
        </w:rPr>
        <w:t>заходів</w:t>
      </w:r>
      <w:r>
        <w:rPr>
          <w:color w:val="231F20"/>
          <w:spacing w:val="-11"/>
        </w:rPr>
        <w:t xml:space="preserve"> </w:t>
      </w:r>
      <w:r>
        <w:rPr>
          <w:color w:val="231F20"/>
        </w:rPr>
        <w:t>забезпечення</w:t>
      </w:r>
      <w:r>
        <w:rPr>
          <w:color w:val="231F20"/>
          <w:spacing w:val="-11"/>
        </w:rPr>
        <w:t xml:space="preserve"> </w:t>
      </w:r>
      <w:r>
        <w:rPr>
          <w:color w:val="231F20"/>
        </w:rPr>
        <w:t>провадження</w:t>
      </w:r>
      <w:r>
        <w:rPr>
          <w:color w:val="231F20"/>
          <w:spacing w:val="-11"/>
        </w:rPr>
        <w:t xml:space="preserve"> </w:t>
      </w:r>
      <w:r>
        <w:rPr>
          <w:color w:val="231F20"/>
        </w:rPr>
        <w:t>в</w:t>
      </w:r>
      <w:r>
        <w:rPr>
          <w:color w:val="231F20"/>
          <w:spacing w:val="-11"/>
        </w:rPr>
        <w:t xml:space="preserve"> </w:t>
      </w:r>
      <w:r>
        <w:rPr>
          <w:color w:val="231F20"/>
        </w:rPr>
        <w:t>спра- вах про адміністративні правопорушення є</w:t>
      </w:r>
      <w:r>
        <w:rPr>
          <w:color w:val="231F20"/>
          <w:spacing w:val="-7"/>
        </w:rPr>
        <w:t xml:space="preserve"> </w:t>
      </w:r>
      <w:r>
        <w:rPr>
          <w:color w:val="231F20"/>
        </w:rPr>
        <w:t>та</w:t>
      </w:r>
      <w:r>
        <w:rPr>
          <w:color w:val="231F20"/>
        </w:rPr>
        <w:t>кі:</w:t>
      </w:r>
    </w:p>
    <w:p w14:paraId="03A8C073" w14:textId="77777777" w:rsidR="00DE575E" w:rsidRDefault="002E7560">
      <w:pPr>
        <w:pStyle w:val="ListParagraph"/>
        <w:numPr>
          <w:ilvl w:val="0"/>
          <w:numId w:val="5"/>
        </w:numPr>
        <w:tabs>
          <w:tab w:val="left" w:pos="818"/>
        </w:tabs>
        <w:spacing w:line="252" w:lineRule="auto"/>
        <w:ind w:right="410" w:firstLine="283"/>
        <w:jc w:val="both"/>
        <w:rPr>
          <w:sz w:val="21"/>
        </w:rPr>
      </w:pPr>
      <w:r>
        <w:rPr>
          <w:color w:val="231F20"/>
          <w:sz w:val="21"/>
        </w:rPr>
        <w:t>їх застосовують із метою припинення адміністративних проступків,</w:t>
      </w:r>
      <w:r>
        <w:rPr>
          <w:color w:val="231F20"/>
          <w:spacing w:val="-12"/>
          <w:sz w:val="21"/>
        </w:rPr>
        <w:t xml:space="preserve"> </w:t>
      </w:r>
      <w:r>
        <w:rPr>
          <w:color w:val="231F20"/>
          <w:sz w:val="21"/>
        </w:rPr>
        <w:t>коли</w:t>
      </w:r>
      <w:r>
        <w:rPr>
          <w:color w:val="231F20"/>
          <w:spacing w:val="-12"/>
          <w:sz w:val="21"/>
        </w:rPr>
        <w:t xml:space="preserve"> </w:t>
      </w:r>
      <w:r>
        <w:rPr>
          <w:color w:val="231F20"/>
          <w:sz w:val="21"/>
        </w:rPr>
        <w:t>вичерпано</w:t>
      </w:r>
      <w:r>
        <w:rPr>
          <w:color w:val="231F20"/>
          <w:spacing w:val="-13"/>
          <w:sz w:val="21"/>
        </w:rPr>
        <w:t xml:space="preserve"> </w:t>
      </w:r>
      <w:r>
        <w:rPr>
          <w:color w:val="231F20"/>
          <w:sz w:val="21"/>
        </w:rPr>
        <w:t>інші</w:t>
      </w:r>
      <w:r>
        <w:rPr>
          <w:color w:val="231F20"/>
          <w:spacing w:val="-13"/>
          <w:sz w:val="21"/>
        </w:rPr>
        <w:t xml:space="preserve"> </w:t>
      </w:r>
      <w:r>
        <w:rPr>
          <w:color w:val="231F20"/>
          <w:spacing w:val="-2"/>
          <w:sz w:val="21"/>
        </w:rPr>
        <w:t>заходи</w:t>
      </w:r>
      <w:r>
        <w:rPr>
          <w:color w:val="231F20"/>
          <w:spacing w:val="-12"/>
          <w:sz w:val="21"/>
        </w:rPr>
        <w:t xml:space="preserve"> </w:t>
      </w:r>
      <w:r>
        <w:rPr>
          <w:color w:val="231F20"/>
          <w:spacing w:val="-3"/>
          <w:sz w:val="21"/>
        </w:rPr>
        <w:t>впливу,</w:t>
      </w:r>
      <w:r>
        <w:rPr>
          <w:color w:val="231F20"/>
          <w:spacing w:val="-12"/>
          <w:sz w:val="21"/>
        </w:rPr>
        <w:t xml:space="preserve"> </w:t>
      </w:r>
      <w:r>
        <w:rPr>
          <w:color w:val="231F20"/>
          <w:sz w:val="21"/>
        </w:rPr>
        <w:t>встановлення</w:t>
      </w:r>
      <w:r>
        <w:rPr>
          <w:color w:val="231F20"/>
          <w:spacing w:val="-13"/>
          <w:sz w:val="21"/>
        </w:rPr>
        <w:t xml:space="preserve"> </w:t>
      </w:r>
      <w:r>
        <w:rPr>
          <w:color w:val="231F20"/>
          <w:sz w:val="21"/>
        </w:rPr>
        <w:t>особи,</w:t>
      </w:r>
    </w:p>
    <w:p w14:paraId="7BEBB013" w14:textId="77777777" w:rsidR="00DE575E" w:rsidRDefault="00DE575E">
      <w:pPr>
        <w:pStyle w:val="BodyText"/>
        <w:spacing w:before="7"/>
        <w:rPr>
          <w:sz w:val="12"/>
        </w:rPr>
      </w:pPr>
    </w:p>
    <w:p w14:paraId="1BCEC0DD" w14:textId="77777777" w:rsidR="00DE575E" w:rsidRDefault="002E7560">
      <w:pPr>
        <w:spacing w:before="92"/>
        <w:ind w:right="411"/>
        <w:jc w:val="right"/>
        <w:rPr>
          <w:rFonts w:ascii="Times New Roman"/>
          <w:sz w:val="20"/>
        </w:rPr>
      </w:pPr>
      <w:r>
        <w:rPr>
          <w:rFonts w:ascii="Times New Roman"/>
          <w:color w:val="231F20"/>
          <w:w w:val="90"/>
          <w:sz w:val="20"/>
        </w:rPr>
        <w:t>525</w:t>
      </w:r>
    </w:p>
    <w:p w14:paraId="65C9B0C7"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058FC1F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71134B6" w14:textId="37DA7CC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6D326BE" wp14:editId="686CFAB2">
                <wp:extent cx="4140200" cy="6350"/>
                <wp:effectExtent l="0" t="0" r="12700" b="6350"/>
                <wp:docPr id="11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2" name="Line 1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56670A" id="Group_x0020_1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aAnoJn4CAACYBQAADgAA&#10;AAAAAAAAAAAAAAAsAgAAZHJzL2Uyb0RvYy54bWxQSwECLQAUAAYACAAAACEATKewkNkAAAADAQAA&#10;DwAAAAAAAAAAAAAAAADWBAAAZHJzL2Rvd25yZXYueG1sUEsFBgAAAAAEAAQA8wAAANwFAAAAAA==&#10;">
                <v:line id="Line_x0020_1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PkRMMAAADcAAAADwAAAGRycy9kb3ducmV2LnhtbERPzYrCMBC+L/gOYYS9LJqqsEg1iggL&#10;yx501/oAYzO2xWRSm2irT78RBG/z8f3OfNlZI67U+MqxgtEwAUGcO11xoWCffQ2mIHxA1mgck4Ib&#10;eVguem9zTLVr+Y+uu1CIGMI+RQVlCHUqpc9LsuiHriaO3NE1FkOETSF1g20Mt0aOk+RTWqw4NpRY&#10;07qk/LS7WAXZ+SOY3+2PabPtYSIP583kftko9d7vVjMQgbrwEj/d3zrOH43h8Uy8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3D5ETDAAAA3AAAAA8AAAAAAAAAAAAA&#10;AAAAoQIAAGRycy9kb3ducmV2LnhtbFBLBQYAAAAABAAEAPkAAACRAwAAAAA=&#10;" strokecolor="#231f20" strokeweight=".5pt"/>
                <w10:anchorlock/>
              </v:group>
            </w:pict>
          </mc:Fallback>
        </mc:AlternateContent>
      </w:r>
    </w:p>
    <w:p w14:paraId="6A20205A" w14:textId="77777777" w:rsidR="00DE575E" w:rsidRDefault="00DE575E">
      <w:pPr>
        <w:pStyle w:val="BodyText"/>
        <w:spacing w:before="7"/>
        <w:rPr>
          <w:rFonts w:ascii="AdonisC"/>
          <w:i/>
          <w:sz w:val="11"/>
        </w:rPr>
      </w:pPr>
    </w:p>
    <w:p w14:paraId="6D860ECF" w14:textId="77777777" w:rsidR="00DE575E" w:rsidRDefault="002E7560">
      <w:pPr>
        <w:pStyle w:val="BodyText"/>
        <w:spacing w:before="101" w:line="252" w:lineRule="auto"/>
        <w:ind w:left="533" w:right="128"/>
        <w:jc w:val="both"/>
      </w:pPr>
      <w:r>
        <w:rPr>
          <w:color w:val="231F20"/>
        </w:rPr>
        <w:t>складання протоколу про адміністративне правопорушення, забез- печення своєчасного та правильного розгляду справи, виконання постанов у справах про адміністративні правопорушення;</w:t>
      </w:r>
    </w:p>
    <w:p w14:paraId="4AF30D8A" w14:textId="77777777" w:rsidR="00DE575E" w:rsidRDefault="002E7560">
      <w:pPr>
        <w:pStyle w:val="ListParagraph"/>
        <w:numPr>
          <w:ilvl w:val="1"/>
          <w:numId w:val="6"/>
        </w:numPr>
        <w:tabs>
          <w:tab w:val="left" w:pos="1101"/>
        </w:tabs>
        <w:spacing w:line="252" w:lineRule="auto"/>
        <w:ind w:right="128" w:firstLine="284"/>
        <w:jc w:val="both"/>
        <w:rPr>
          <w:sz w:val="21"/>
        </w:rPr>
      </w:pPr>
      <w:r>
        <w:rPr>
          <w:color w:val="231F20"/>
          <w:spacing w:val="-2"/>
          <w:sz w:val="21"/>
        </w:rPr>
        <w:t>заходи</w:t>
      </w:r>
      <w:r>
        <w:rPr>
          <w:color w:val="231F20"/>
          <w:spacing w:val="-16"/>
          <w:sz w:val="21"/>
        </w:rPr>
        <w:t xml:space="preserve"> </w:t>
      </w:r>
      <w:r>
        <w:rPr>
          <w:color w:val="231F20"/>
          <w:sz w:val="21"/>
        </w:rPr>
        <w:t>процесуального</w:t>
      </w:r>
      <w:r>
        <w:rPr>
          <w:color w:val="231F20"/>
          <w:spacing w:val="-16"/>
          <w:sz w:val="21"/>
        </w:rPr>
        <w:t xml:space="preserve"> </w:t>
      </w:r>
      <w:r>
        <w:rPr>
          <w:color w:val="231F20"/>
          <w:sz w:val="21"/>
        </w:rPr>
        <w:t>забезпечення</w:t>
      </w:r>
      <w:r>
        <w:rPr>
          <w:color w:val="231F20"/>
          <w:spacing w:val="-16"/>
          <w:sz w:val="21"/>
        </w:rPr>
        <w:t xml:space="preserve"> </w:t>
      </w:r>
      <w:r>
        <w:rPr>
          <w:color w:val="231F20"/>
          <w:sz w:val="21"/>
        </w:rPr>
        <w:t>заст</w:t>
      </w:r>
      <w:r>
        <w:rPr>
          <w:color w:val="231F20"/>
          <w:sz w:val="21"/>
        </w:rPr>
        <w:t>осовують</w:t>
      </w:r>
      <w:r>
        <w:rPr>
          <w:color w:val="231F20"/>
          <w:spacing w:val="-16"/>
          <w:sz w:val="21"/>
        </w:rPr>
        <w:t xml:space="preserve"> </w:t>
      </w:r>
      <w:r>
        <w:rPr>
          <w:color w:val="231F20"/>
          <w:sz w:val="21"/>
        </w:rPr>
        <w:t>винятково в межах провадження, що здійснюється у зв’язку з правопорушен- нями,</w:t>
      </w:r>
      <w:r>
        <w:rPr>
          <w:color w:val="231F20"/>
          <w:spacing w:val="-8"/>
          <w:sz w:val="21"/>
        </w:rPr>
        <w:t xml:space="preserve"> </w:t>
      </w:r>
      <w:r>
        <w:rPr>
          <w:color w:val="231F20"/>
          <w:sz w:val="21"/>
        </w:rPr>
        <w:t>тобто</w:t>
      </w:r>
      <w:r>
        <w:rPr>
          <w:color w:val="231F20"/>
          <w:spacing w:val="-8"/>
          <w:sz w:val="21"/>
        </w:rPr>
        <w:t xml:space="preserve"> </w:t>
      </w:r>
      <w:r>
        <w:rPr>
          <w:color w:val="231F20"/>
          <w:sz w:val="21"/>
        </w:rPr>
        <w:t>лише</w:t>
      </w:r>
      <w:r>
        <w:rPr>
          <w:color w:val="231F20"/>
          <w:spacing w:val="-8"/>
          <w:sz w:val="21"/>
        </w:rPr>
        <w:t xml:space="preserve"> </w:t>
      </w:r>
      <w:r>
        <w:rPr>
          <w:color w:val="231F20"/>
          <w:sz w:val="21"/>
        </w:rPr>
        <w:t>з</w:t>
      </w:r>
      <w:r>
        <w:rPr>
          <w:color w:val="231F20"/>
          <w:spacing w:val="-8"/>
          <w:sz w:val="21"/>
        </w:rPr>
        <w:t xml:space="preserve"> </w:t>
      </w:r>
      <w:r>
        <w:rPr>
          <w:color w:val="231F20"/>
          <w:sz w:val="21"/>
        </w:rPr>
        <w:t>моменту</w:t>
      </w:r>
      <w:r>
        <w:rPr>
          <w:color w:val="231F20"/>
          <w:spacing w:val="-8"/>
          <w:sz w:val="21"/>
        </w:rPr>
        <w:t xml:space="preserve"> </w:t>
      </w:r>
      <w:r>
        <w:rPr>
          <w:color w:val="231F20"/>
          <w:sz w:val="21"/>
        </w:rPr>
        <w:t>порушення</w:t>
      </w:r>
      <w:r>
        <w:rPr>
          <w:color w:val="231F20"/>
          <w:spacing w:val="-8"/>
          <w:sz w:val="21"/>
        </w:rPr>
        <w:t xml:space="preserve"> </w:t>
      </w:r>
      <w:r>
        <w:rPr>
          <w:color w:val="231F20"/>
          <w:sz w:val="21"/>
        </w:rPr>
        <w:t>справи</w:t>
      </w:r>
      <w:r>
        <w:rPr>
          <w:color w:val="231F20"/>
          <w:spacing w:val="-8"/>
          <w:sz w:val="21"/>
        </w:rPr>
        <w:t xml:space="preserve"> </w:t>
      </w:r>
      <w:r>
        <w:rPr>
          <w:color w:val="231F20"/>
          <w:sz w:val="21"/>
        </w:rPr>
        <w:t>і</w:t>
      </w:r>
      <w:r>
        <w:rPr>
          <w:color w:val="231F20"/>
          <w:spacing w:val="-8"/>
          <w:sz w:val="21"/>
        </w:rPr>
        <w:t xml:space="preserve"> </w:t>
      </w:r>
      <w:r>
        <w:rPr>
          <w:color w:val="231F20"/>
          <w:sz w:val="21"/>
        </w:rPr>
        <w:t>до</w:t>
      </w:r>
      <w:r>
        <w:rPr>
          <w:color w:val="231F20"/>
          <w:spacing w:val="-8"/>
          <w:sz w:val="21"/>
        </w:rPr>
        <w:t xml:space="preserve"> </w:t>
      </w:r>
      <w:r>
        <w:rPr>
          <w:color w:val="231F20"/>
          <w:sz w:val="21"/>
        </w:rPr>
        <w:t>її</w:t>
      </w:r>
      <w:r>
        <w:rPr>
          <w:color w:val="231F20"/>
          <w:spacing w:val="-8"/>
          <w:sz w:val="21"/>
        </w:rPr>
        <w:t xml:space="preserve"> </w:t>
      </w:r>
      <w:r>
        <w:rPr>
          <w:color w:val="231F20"/>
          <w:sz w:val="21"/>
        </w:rPr>
        <w:t>припинення</w:t>
      </w:r>
      <w:r>
        <w:rPr>
          <w:color w:val="231F20"/>
          <w:spacing w:val="-8"/>
          <w:sz w:val="21"/>
        </w:rPr>
        <w:t xml:space="preserve"> </w:t>
      </w:r>
      <w:r>
        <w:rPr>
          <w:color w:val="231F20"/>
          <w:sz w:val="21"/>
        </w:rPr>
        <w:t>та тільки відносно особи, яка вчинила</w:t>
      </w:r>
      <w:r>
        <w:rPr>
          <w:color w:val="231F20"/>
          <w:spacing w:val="-5"/>
          <w:sz w:val="21"/>
        </w:rPr>
        <w:t xml:space="preserve"> </w:t>
      </w:r>
      <w:r>
        <w:rPr>
          <w:color w:val="231F20"/>
          <w:sz w:val="21"/>
        </w:rPr>
        <w:t>правопорушення;</w:t>
      </w:r>
    </w:p>
    <w:p w14:paraId="695B482A" w14:textId="77777777" w:rsidR="00DE575E" w:rsidRDefault="002E7560">
      <w:pPr>
        <w:pStyle w:val="ListParagraph"/>
        <w:numPr>
          <w:ilvl w:val="1"/>
          <w:numId w:val="6"/>
        </w:numPr>
        <w:tabs>
          <w:tab w:val="left" w:pos="1101"/>
        </w:tabs>
        <w:spacing w:before="2" w:line="252" w:lineRule="auto"/>
        <w:ind w:right="127" w:firstLine="284"/>
        <w:jc w:val="both"/>
        <w:rPr>
          <w:sz w:val="21"/>
        </w:rPr>
      </w:pPr>
      <w:r>
        <w:rPr>
          <w:color w:val="231F20"/>
          <w:sz w:val="21"/>
        </w:rPr>
        <w:t>окрім учинення правопорушення, є додаткові підстави засто- сування</w:t>
      </w:r>
      <w:r>
        <w:rPr>
          <w:color w:val="231F20"/>
          <w:spacing w:val="-6"/>
          <w:sz w:val="21"/>
        </w:rPr>
        <w:t xml:space="preserve"> </w:t>
      </w:r>
      <w:r>
        <w:rPr>
          <w:color w:val="231F20"/>
          <w:sz w:val="21"/>
        </w:rPr>
        <w:t>цих</w:t>
      </w:r>
      <w:r>
        <w:rPr>
          <w:color w:val="231F20"/>
          <w:spacing w:val="-6"/>
          <w:sz w:val="21"/>
        </w:rPr>
        <w:t xml:space="preserve"> </w:t>
      </w:r>
      <w:r>
        <w:rPr>
          <w:color w:val="231F20"/>
          <w:sz w:val="21"/>
        </w:rPr>
        <w:t>заходів,</w:t>
      </w:r>
      <w:r>
        <w:rPr>
          <w:color w:val="231F20"/>
          <w:spacing w:val="-6"/>
          <w:sz w:val="21"/>
        </w:rPr>
        <w:t xml:space="preserve"> </w:t>
      </w:r>
      <w:r>
        <w:rPr>
          <w:color w:val="231F20"/>
          <w:sz w:val="21"/>
        </w:rPr>
        <w:t>зокрема</w:t>
      </w:r>
      <w:r>
        <w:rPr>
          <w:color w:val="231F20"/>
          <w:spacing w:val="-6"/>
          <w:sz w:val="21"/>
        </w:rPr>
        <w:t xml:space="preserve"> </w:t>
      </w:r>
      <w:r>
        <w:rPr>
          <w:color w:val="231F20"/>
          <w:sz w:val="21"/>
        </w:rPr>
        <w:t>неможливість</w:t>
      </w:r>
      <w:r>
        <w:rPr>
          <w:color w:val="231F20"/>
          <w:spacing w:val="-6"/>
          <w:sz w:val="21"/>
        </w:rPr>
        <w:t xml:space="preserve"> </w:t>
      </w:r>
      <w:r>
        <w:rPr>
          <w:color w:val="231F20"/>
          <w:sz w:val="21"/>
        </w:rPr>
        <w:t>припинення</w:t>
      </w:r>
      <w:r>
        <w:rPr>
          <w:color w:val="231F20"/>
          <w:spacing w:val="-6"/>
          <w:sz w:val="21"/>
        </w:rPr>
        <w:t xml:space="preserve"> </w:t>
      </w:r>
      <w:r>
        <w:rPr>
          <w:color w:val="231F20"/>
          <w:sz w:val="21"/>
        </w:rPr>
        <w:t>правопору- шення</w:t>
      </w:r>
      <w:r>
        <w:rPr>
          <w:color w:val="231F20"/>
          <w:spacing w:val="-9"/>
          <w:sz w:val="21"/>
        </w:rPr>
        <w:t xml:space="preserve"> </w:t>
      </w:r>
      <w:r>
        <w:rPr>
          <w:color w:val="231F20"/>
          <w:sz w:val="21"/>
        </w:rPr>
        <w:t>іншими</w:t>
      </w:r>
      <w:r>
        <w:rPr>
          <w:color w:val="231F20"/>
          <w:spacing w:val="-9"/>
          <w:sz w:val="21"/>
        </w:rPr>
        <w:t xml:space="preserve"> </w:t>
      </w:r>
      <w:r>
        <w:rPr>
          <w:color w:val="231F20"/>
          <w:sz w:val="21"/>
        </w:rPr>
        <w:t>засобами,</w:t>
      </w:r>
      <w:r>
        <w:rPr>
          <w:color w:val="231F20"/>
          <w:spacing w:val="-9"/>
          <w:sz w:val="21"/>
        </w:rPr>
        <w:t xml:space="preserve"> </w:t>
      </w:r>
      <w:r>
        <w:rPr>
          <w:color w:val="231F20"/>
          <w:sz w:val="21"/>
        </w:rPr>
        <w:t>виконання</w:t>
      </w:r>
      <w:r>
        <w:rPr>
          <w:color w:val="231F20"/>
          <w:spacing w:val="-9"/>
          <w:sz w:val="21"/>
        </w:rPr>
        <w:t xml:space="preserve"> </w:t>
      </w:r>
      <w:r>
        <w:rPr>
          <w:color w:val="231F20"/>
          <w:sz w:val="21"/>
        </w:rPr>
        <w:t>інших</w:t>
      </w:r>
      <w:r>
        <w:rPr>
          <w:color w:val="231F20"/>
          <w:spacing w:val="-9"/>
          <w:sz w:val="21"/>
        </w:rPr>
        <w:t xml:space="preserve"> </w:t>
      </w:r>
      <w:r>
        <w:rPr>
          <w:color w:val="231F20"/>
          <w:sz w:val="21"/>
        </w:rPr>
        <w:t>процесуальних</w:t>
      </w:r>
      <w:r>
        <w:rPr>
          <w:color w:val="231F20"/>
          <w:spacing w:val="-9"/>
          <w:sz w:val="21"/>
        </w:rPr>
        <w:t xml:space="preserve"> </w:t>
      </w:r>
      <w:r>
        <w:rPr>
          <w:color w:val="231F20"/>
          <w:sz w:val="21"/>
        </w:rPr>
        <w:t>дій</w:t>
      </w:r>
      <w:r>
        <w:rPr>
          <w:color w:val="231F20"/>
          <w:spacing w:val="-9"/>
          <w:sz w:val="21"/>
        </w:rPr>
        <w:t xml:space="preserve"> </w:t>
      </w:r>
      <w:r>
        <w:rPr>
          <w:color w:val="231F20"/>
          <w:sz w:val="21"/>
        </w:rPr>
        <w:t xml:space="preserve">(скла- дання </w:t>
      </w:r>
      <w:r>
        <w:rPr>
          <w:color w:val="231F20"/>
          <w:spacing w:val="-3"/>
          <w:sz w:val="21"/>
        </w:rPr>
        <w:t xml:space="preserve">протоколу, </w:t>
      </w:r>
      <w:r>
        <w:rPr>
          <w:color w:val="231F20"/>
          <w:sz w:val="21"/>
        </w:rPr>
        <w:t>встановлення особи тощо), можливе вчинення особою но</w:t>
      </w:r>
      <w:r>
        <w:rPr>
          <w:color w:val="231F20"/>
          <w:sz w:val="21"/>
        </w:rPr>
        <w:t>вих проступків;</w:t>
      </w:r>
    </w:p>
    <w:p w14:paraId="6DEC55B6" w14:textId="77777777" w:rsidR="00DE575E" w:rsidRDefault="002E7560">
      <w:pPr>
        <w:pStyle w:val="ListParagraph"/>
        <w:numPr>
          <w:ilvl w:val="1"/>
          <w:numId w:val="6"/>
        </w:numPr>
        <w:tabs>
          <w:tab w:val="left" w:pos="1101"/>
        </w:tabs>
        <w:spacing w:before="3" w:line="252" w:lineRule="auto"/>
        <w:ind w:right="128" w:firstLine="284"/>
        <w:jc w:val="both"/>
        <w:rPr>
          <w:sz w:val="21"/>
        </w:rPr>
      </w:pPr>
      <w:r>
        <w:rPr>
          <w:color w:val="231F20"/>
          <w:sz w:val="21"/>
        </w:rPr>
        <w:t xml:space="preserve">несамостійні, допоміжні </w:t>
      </w:r>
      <w:r>
        <w:rPr>
          <w:color w:val="231F20"/>
          <w:spacing w:val="-2"/>
          <w:sz w:val="21"/>
        </w:rPr>
        <w:t xml:space="preserve">заходи </w:t>
      </w:r>
      <w:r>
        <w:rPr>
          <w:color w:val="231F20"/>
          <w:sz w:val="21"/>
        </w:rPr>
        <w:t>впливу не є санкціями та не зумовлюють додаткових обмежень для</w:t>
      </w:r>
      <w:r>
        <w:rPr>
          <w:color w:val="231F20"/>
          <w:spacing w:val="-4"/>
          <w:sz w:val="21"/>
        </w:rPr>
        <w:t xml:space="preserve"> </w:t>
      </w:r>
      <w:r>
        <w:rPr>
          <w:color w:val="231F20"/>
          <w:sz w:val="21"/>
        </w:rPr>
        <w:t>порушника;</w:t>
      </w:r>
    </w:p>
    <w:p w14:paraId="1EA11AE2" w14:textId="77777777" w:rsidR="00DE575E" w:rsidRDefault="002E7560">
      <w:pPr>
        <w:pStyle w:val="ListParagraph"/>
        <w:numPr>
          <w:ilvl w:val="1"/>
          <w:numId w:val="6"/>
        </w:numPr>
        <w:tabs>
          <w:tab w:val="left" w:pos="1101"/>
        </w:tabs>
        <w:spacing w:line="252" w:lineRule="auto"/>
        <w:ind w:right="127" w:firstLine="284"/>
        <w:jc w:val="both"/>
        <w:rPr>
          <w:sz w:val="21"/>
        </w:rPr>
      </w:pPr>
      <w:r>
        <w:rPr>
          <w:color w:val="231F20"/>
          <w:sz w:val="21"/>
        </w:rPr>
        <w:t>процесуальний порядок їх застосування передбачає перелік уповноважених органів і посадових осіб, які мають право їх застосо- вувати, ст</w:t>
      </w:r>
      <w:r>
        <w:rPr>
          <w:color w:val="231F20"/>
          <w:sz w:val="21"/>
        </w:rPr>
        <w:t>роки (за потреби), процесуальне оформлення (складання протоколу), порядок</w:t>
      </w:r>
      <w:r>
        <w:rPr>
          <w:color w:val="231F20"/>
          <w:spacing w:val="-1"/>
          <w:sz w:val="21"/>
        </w:rPr>
        <w:t xml:space="preserve"> </w:t>
      </w:r>
      <w:r>
        <w:rPr>
          <w:color w:val="231F20"/>
          <w:sz w:val="21"/>
        </w:rPr>
        <w:t>оскарження.</w:t>
      </w:r>
    </w:p>
    <w:p w14:paraId="25911C02" w14:textId="77777777" w:rsidR="00DE575E" w:rsidRDefault="002E7560">
      <w:pPr>
        <w:pStyle w:val="BodyText"/>
        <w:spacing w:before="2" w:line="252" w:lineRule="auto"/>
        <w:ind w:left="533" w:right="128" w:firstLine="283"/>
        <w:jc w:val="both"/>
      </w:pPr>
      <w:r>
        <w:rPr>
          <w:color w:val="231F20"/>
        </w:rPr>
        <w:t xml:space="preserve">Відповідно до </w:t>
      </w:r>
      <w:r>
        <w:rPr>
          <w:color w:val="231F20"/>
          <w:spacing w:val="-6"/>
        </w:rPr>
        <w:t xml:space="preserve">ст. </w:t>
      </w:r>
      <w:r>
        <w:rPr>
          <w:color w:val="231F20"/>
        </w:rPr>
        <w:t xml:space="preserve">259–266 </w:t>
      </w:r>
      <w:r>
        <w:rPr>
          <w:color w:val="231F20"/>
          <w:spacing w:val="-3"/>
        </w:rPr>
        <w:t xml:space="preserve">КУпАП, </w:t>
      </w:r>
      <w:r>
        <w:rPr>
          <w:color w:val="231F20"/>
        </w:rPr>
        <w:t xml:space="preserve">передбачено такі </w:t>
      </w:r>
      <w:r>
        <w:rPr>
          <w:color w:val="231F20"/>
          <w:spacing w:val="-2"/>
        </w:rPr>
        <w:t xml:space="preserve">заходи </w:t>
      </w:r>
      <w:r>
        <w:rPr>
          <w:color w:val="231F20"/>
        </w:rPr>
        <w:t>проце- суального забезпечення:</w:t>
      </w:r>
    </w:p>
    <w:p w14:paraId="4AEC2C47" w14:textId="77777777" w:rsidR="00DE575E" w:rsidRDefault="002E7560">
      <w:pPr>
        <w:pStyle w:val="ListParagraph"/>
        <w:numPr>
          <w:ilvl w:val="1"/>
          <w:numId w:val="5"/>
        </w:numPr>
        <w:tabs>
          <w:tab w:val="left" w:pos="1101"/>
        </w:tabs>
        <w:ind w:firstLine="284"/>
        <w:jc w:val="left"/>
        <w:rPr>
          <w:sz w:val="21"/>
        </w:rPr>
      </w:pPr>
      <w:r>
        <w:rPr>
          <w:color w:val="231F20"/>
          <w:sz w:val="21"/>
        </w:rPr>
        <w:t>доставлення</w:t>
      </w:r>
      <w:r>
        <w:rPr>
          <w:color w:val="231F20"/>
          <w:spacing w:val="-15"/>
          <w:sz w:val="21"/>
        </w:rPr>
        <w:t xml:space="preserve"> </w:t>
      </w:r>
      <w:r>
        <w:rPr>
          <w:color w:val="231F20"/>
          <w:sz w:val="21"/>
        </w:rPr>
        <w:t>порушника;</w:t>
      </w:r>
    </w:p>
    <w:p w14:paraId="616B786E" w14:textId="77777777" w:rsidR="00DE575E" w:rsidRDefault="002E7560">
      <w:pPr>
        <w:pStyle w:val="ListParagraph"/>
        <w:numPr>
          <w:ilvl w:val="1"/>
          <w:numId w:val="5"/>
        </w:numPr>
        <w:tabs>
          <w:tab w:val="left" w:pos="1101"/>
        </w:tabs>
        <w:spacing w:before="12"/>
        <w:ind w:firstLine="284"/>
        <w:jc w:val="left"/>
        <w:rPr>
          <w:sz w:val="21"/>
        </w:rPr>
      </w:pPr>
      <w:r>
        <w:rPr>
          <w:color w:val="231F20"/>
          <w:sz w:val="21"/>
        </w:rPr>
        <w:t>адміністративне</w:t>
      </w:r>
      <w:r>
        <w:rPr>
          <w:color w:val="231F20"/>
          <w:spacing w:val="-2"/>
          <w:sz w:val="21"/>
        </w:rPr>
        <w:t xml:space="preserve"> </w:t>
      </w:r>
      <w:r>
        <w:rPr>
          <w:color w:val="231F20"/>
          <w:sz w:val="21"/>
        </w:rPr>
        <w:t>затримання;</w:t>
      </w:r>
    </w:p>
    <w:p w14:paraId="72F80F97" w14:textId="77777777" w:rsidR="00DE575E" w:rsidRDefault="002E7560">
      <w:pPr>
        <w:pStyle w:val="ListParagraph"/>
        <w:numPr>
          <w:ilvl w:val="1"/>
          <w:numId w:val="5"/>
        </w:numPr>
        <w:tabs>
          <w:tab w:val="left" w:pos="1101"/>
        </w:tabs>
        <w:spacing w:before="13"/>
        <w:ind w:firstLine="284"/>
        <w:jc w:val="left"/>
        <w:rPr>
          <w:sz w:val="21"/>
        </w:rPr>
      </w:pPr>
      <w:r>
        <w:rPr>
          <w:color w:val="231F20"/>
          <w:sz w:val="21"/>
        </w:rPr>
        <w:t xml:space="preserve">особистий </w:t>
      </w:r>
      <w:r>
        <w:rPr>
          <w:color w:val="231F20"/>
          <w:spacing w:val="-3"/>
          <w:sz w:val="21"/>
        </w:rPr>
        <w:t xml:space="preserve">огляд </w:t>
      </w:r>
      <w:r>
        <w:rPr>
          <w:color w:val="231F20"/>
          <w:sz w:val="21"/>
        </w:rPr>
        <w:t xml:space="preserve">та </w:t>
      </w:r>
      <w:r>
        <w:rPr>
          <w:color w:val="231F20"/>
          <w:spacing w:val="-3"/>
          <w:sz w:val="21"/>
        </w:rPr>
        <w:t>огляд</w:t>
      </w:r>
      <w:r>
        <w:rPr>
          <w:color w:val="231F20"/>
          <w:spacing w:val="-2"/>
          <w:sz w:val="21"/>
        </w:rPr>
        <w:t xml:space="preserve"> </w:t>
      </w:r>
      <w:r>
        <w:rPr>
          <w:color w:val="231F20"/>
          <w:sz w:val="21"/>
        </w:rPr>
        <w:t>речей;</w:t>
      </w:r>
    </w:p>
    <w:p w14:paraId="317B08D2" w14:textId="77777777" w:rsidR="00DE575E" w:rsidRDefault="002E7560">
      <w:pPr>
        <w:pStyle w:val="ListParagraph"/>
        <w:numPr>
          <w:ilvl w:val="1"/>
          <w:numId w:val="5"/>
        </w:numPr>
        <w:tabs>
          <w:tab w:val="left" w:pos="1101"/>
        </w:tabs>
        <w:spacing w:before="13"/>
        <w:ind w:firstLine="284"/>
        <w:jc w:val="left"/>
        <w:rPr>
          <w:sz w:val="21"/>
        </w:rPr>
      </w:pPr>
      <w:r>
        <w:rPr>
          <w:color w:val="231F20"/>
          <w:sz w:val="21"/>
        </w:rPr>
        <w:t>вилучення речей і</w:t>
      </w:r>
      <w:r>
        <w:rPr>
          <w:color w:val="231F20"/>
          <w:spacing w:val="-4"/>
          <w:sz w:val="21"/>
        </w:rPr>
        <w:t xml:space="preserve"> </w:t>
      </w:r>
      <w:r>
        <w:rPr>
          <w:color w:val="231F20"/>
          <w:sz w:val="21"/>
        </w:rPr>
        <w:t>документів;</w:t>
      </w:r>
    </w:p>
    <w:p w14:paraId="580E2898" w14:textId="77777777" w:rsidR="00DE575E" w:rsidRDefault="002E7560">
      <w:pPr>
        <w:pStyle w:val="ListParagraph"/>
        <w:numPr>
          <w:ilvl w:val="1"/>
          <w:numId w:val="5"/>
        </w:numPr>
        <w:tabs>
          <w:tab w:val="left" w:pos="1101"/>
        </w:tabs>
        <w:spacing w:before="13"/>
        <w:ind w:firstLine="284"/>
        <w:jc w:val="left"/>
        <w:rPr>
          <w:sz w:val="21"/>
        </w:rPr>
      </w:pPr>
      <w:r>
        <w:rPr>
          <w:color w:val="231F20"/>
          <w:sz w:val="21"/>
        </w:rPr>
        <w:t>тимчасове вилучення посвідчення</w:t>
      </w:r>
      <w:r>
        <w:rPr>
          <w:color w:val="231F20"/>
          <w:spacing w:val="-4"/>
          <w:sz w:val="21"/>
        </w:rPr>
        <w:t xml:space="preserve"> </w:t>
      </w:r>
      <w:r>
        <w:rPr>
          <w:color w:val="231F20"/>
          <w:sz w:val="21"/>
        </w:rPr>
        <w:t>водія;</w:t>
      </w:r>
    </w:p>
    <w:p w14:paraId="323833EC" w14:textId="77777777" w:rsidR="00DE575E" w:rsidRDefault="002E7560">
      <w:pPr>
        <w:pStyle w:val="ListParagraph"/>
        <w:numPr>
          <w:ilvl w:val="1"/>
          <w:numId w:val="5"/>
        </w:numPr>
        <w:tabs>
          <w:tab w:val="left" w:pos="1101"/>
        </w:tabs>
        <w:spacing w:before="13" w:line="252" w:lineRule="auto"/>
        <w:ind w:right="130" w:firstLine="284"/>
        <w:rPr>
          <w:sz w:val="21"/>
        </w:rPr>
      </w:pPr>
      <w:r>
        <w:rPr>
          <w:color w:val="231F20"/>
          <w:sz w:val="21"/>
        </w:rPr>
        <w:t>тимчасове затримання транспортних засобів працівниками уповноважених підрозділів Національної</w:t>
      </w:r>
      <w:r>
        <w:rPr>
          <w:color w:val="231F20"/>
          <w:spacing w:val="-1"/>
          <w:sz w:val="21"/>
        </w:rPr>
        <w:t xml:space="preserve"> </w:t>
      </w:r>
      <w:r>
        <w:rPr>
          <w:color w:val="231F20"/>
          <w:sz w:val="21"/>
        </w:rPr>
        <w:t>поліції;</w:t>
      </w:r>
    </w:p>
    <w:p w14:paraId="312CC35F" w14:textId="77777777" w:rsidR="00DE575E" w:rsidRDefault="002E7560">
      <w:pPr>
        <w:pStyle w:val="BodyText"/>
        <w:spacing w:before="1" w:line="252" w:lineRule="auto"/>
        <w:ind w:left="533" w:right="129" w:firstLine="283"/>
        <w:jc w:val="both"/>
      </w:pPr>
      <w:r>
        <w:rPr>
          <w:color w:val="231F20"/>
        </w:rPr>
        <w:t>- тимчасове затримання транспортних засобів інспекторами з паркування;</w:t>
      </w:r>
    </w:p>
    <w:p w14:paraId="1D4FD6CD" w14:textId="77777777" w:rsidR="00DE575E" w:rsidRDefault="002E7560">
      <w:pPr>
        <w:pStyle w:val="ListParagraph"/>
        <w:numPr>
          <w:ilvl w:val="1"/>
          <w:numId w:val="5"/>
        </w:numPr>
        <w:tabs>
          <w:tab w:val="left" w:pos="1101"/>
        </w:tabs>
        <w:spacing w:line="252" w:lineRule="auto"/>
        <w:ind w:right="125" w:firstLine="284"/>
        <w:rPr>
          <w:sz w:val="21"/>
        </w:rPr>
      </w:pPr>
      <w:r>
        <w:rPr>
          <w:color w:val="231F20"/>
          <w:sz w:val="21"/>
        </w:rPr>
        <w:t>відстороненн</w:t>
      </w:r>
      <w:r>
        <w:rPr>
          <w:color w:val="231F20"/>
          <w:sz w:val="21"/>
        </w:rPr>
        <w:t>я осіб від керування транспортними засобами, річковими й маломірними суднами та огляд на стан алкогольного, наркотичного чи іншого сп’яніння або щодо перебування під впли- вом лікарських препаратів, що знижують їх увагу та швидкість реакції;</w:t>
      </w:r>
    </w:p>
    <w:p w14:paraId="1AF02E4C" w14:textId="77777777" w:rsidR="00DE575E" w:rsidRDefault="002E7560">
      <w:pPr>
        <w:pStyle w:val="ListParagraph"/>
        <w:numPr>
          <w:ilvl w:val="1"/>
          <w:numId w:val="5"/>
        </w:numPr>
        <w:tabs>
          <w:tab w:val="left" w:pos="969"/>
        </w:tabs>
        <w:spacing w:before="2"/>
        <w:ind w:left="968" w:hanging="151"/>
        <w:jc w:val="left"/>
        <w:rPr>
          <w:sz w:val="21"/>
        </w:rPr>
      </w:pPr>
      <w:r>
        <w:rPr>
          <w:color w:val="231F20"/>
          <w:sz w:val="21"/>
        </w:rPr>
        <w:t>привід.</w:t>
      </w:r>
    </w:p>
    <w:p w14:paraId="0B2CD974" w14:textId="77777777" w:rsidR="00DE575E" w:rsidRDefault="002E7560">
      <w:pPr>
        <w:pStyle w:val="BodyText"/>
        <w:spacing w:before="13" w:line="252" w:lineRule="auto"/>
        <w:ind w:left="533" w:right="127" w:firstLine="283"/>
        <w:jc w:val="both"/>
      </w:pPr>
      <w:r>
        <w:rPr>
          <w:color w:val="231F20"/>
          <w:spacing w:val="-2"/>
        </w:rPr>
        <w:t>Заходи</w:t>
      </w:r>
      <w:r>
        <w:rPr>
          <w:color w:val="231F20"/>
          <w:spacing w:val="-12"/>
        </w:rPr>
        <w:t xml:space="preserve"> </w:t>
      </w:r>
      <w:r>
        <w:rPr>
          <w:color w:val="231F20"/>
        </w:rPr>
        <w:t>забезпечення</w:t>
      </w:r>
      <w:r>
        <w:rPr>
          <w:color w:val="231F20"/>
          <w:spacing w:val="-12"/>
        </w:rPr>
        <w:t xml:space="preserve"> </w:t>
      </w:r>
      <w:r>
        <w:rPr>
          <w:color w:val="231F20"/>
        </w:rPr>
        <w:t>провадження</w:t>
      </w:r>
      <w:r>
        <w:rPr>
          <w:color w:val="231F20"/>
          <w:spacing w:val="-12"/>
        </w:rPr>
        <w:t xml:space="preserve"> </w:t>
      </w:r>
      <w:r>
        <w:rPr>
          <w:color w:val="231F20"/>
        </w:rPr>
        <w:t>в</w:t>
      </w:r>
      <w:r>
        <w:rPr>
          <w:color w:val="231F20"/>
          <w:spacing w:val="-12"/>
        </w:rPr>
        <w:t xml:space="preserve"> </w:t>
      </w:r>
      <w:r>
        <w:rPr>
          <w:color w:val="231F20"/>
        </w:rPr>
        <w:t>справах</w:t>
      </w:r>
      <w:r>
        <w:rPr>
          <w:color w:val="231F20"/>
          <w:spacing w:val="-12"/>
        </w:rPr>
        <w:t xml:space="preserve"> </w:t>
      </w:r>
      <w:r>
        <w:rPr>
          <w:color w:val="231F20"/>
        </w:rPr>
        <w:t>про</w:t>
      </w:r>
      <w:r>
        <w:rPr>
          <w:color w:val="231F20"/>
          <w:spacing w:val="-12"/>
        </w:rPr>
        <w:t xml:space="preserve"> </w:t>
      </w:r>
      <w:r>
        <w:rPr>
          <w:color w:val="231F20"/>
        </w:rPr>
        <w:t xml:space="preserve">адміністративні правопорушення можуть застосовувати лише органи (посадові особи), уповноважені на те законами </w:t>
      </w:r>
      <w:r>
        <w:rPr>
          <w:color w:val="231F20"/>
          <w:spacing w:val="-3"/>
        </w:rPr>
        <w:t>України.</w:t>
      </w:r>
    </w:p>
    <w:p w14:paraId="529EE153" w14:textId="77777777" w:rsidR="00DE575E" w:rsidRDefault="00DE575E">
      <w:pPr>
        <w:pStyle w:val="BodyText"/>
        <w:rPr>
          <w:sz w:val="20"/>
        </w:rPr>
      </w:pPr>
    </w:p>
    <w:p w14:paraId="3437111C" w14:textId="77777777" w:rsidR="00DE575E" w:rsidRDefault="00DE575E">
      <w:pPr>
        <w:pStyle w:val="BodyText"/>
        <w:spacing w:before="4"/>
        <w:rPr>
          <w:sz w:val="22"/>
        </w:rPr>
      </w:pPr>
    </w:p>
    <w:p w14:paraId="3F981E7D" w14:textId="77777777" w:rsidR="00DE575E" w:rsidRDefault="002E7560">
      <w:pPr>
        <w:spacing w:before="1"/>
        <w:ind w:left="533"/>
        <w:rPr>
          <w:rFonts w:ascii="Times New Roman"/>
          <w:sz w:val="20"/>
        </w:rPr>
      </w:pPr>
      <w:r>
        <w:rPr>
          <w:rFonts w:ascii="Times New Roman"/>
          <w:color w:val="231F20"/>
          <w:sz w:val="20"/>
        </w:rPr>
        <w:t>526</w:t>
      </w:r>
    </w:p>
    <w:p w14:paraId="49D6678B" w14:textId="77777777" w:rsidR="00DE575E" w:rsidRDefault="00DE575E">
      <w:pPr>
        <w:rPr>
          <w:rFonts w:ascii="Times New Roman"/>
          <w:sz w:val="20"/>
        </w:rPr>
        <w:sectPr w:rsidR="00DE575E">
          <w:pgSz w:w="8510" w:h="12760"/>
          <w:pgMar w:top="660" w:right="720" w:bottom="280" w:left="600" w:header="720" w:footer="720" w:gutter="0"/>
          <w:cols w:space="720"/>
        </w:sectPr>
      </w:pPr>
    </w:p>
    <w:p w14:paraId="414F19EF" w14:textId="77777777" w:rsidR="00DE575E" w:rsidRDefault="002E7560">
      <w:pPr>
        <w:spacing w:before="72" w:line="249" w:lineRule="auto"/>
        <w:ind w:left="1020" w:right="392" w:firstLine="1672"/>
        <w:rPr>
          <w:rFonts w:ascii="AdonisC" w:hAnsi="AdonisC"/>
          <w:i/>
          <w:sz w:val="18"/>
        </w:rPr>
      </w:pPr>
      <w:r>
        <w:rPr>
          <w:rFonts w:ascii="AdonisC" w:hAnsi="AdonisC"/>
          <w:i/>
          <w:color w:val="231F20"/>
          <w:sz w:val="18"/>
        </w:rPr>
        <w:t xml:space="preserve">Глава ІІ Особливе адміністративне право/ Книга ІІ </w:t>
      </w:r>
      <w:r>
        <w:rPr>
          <w:rFonts w:ascii="AdonisC" w:hAnsi="AdonisC"/>
          <w:i/>
          <w:color w:val="231F20"/>
          <w:sz w:val="18"/>
        </w:rPr>
        <w:t>Розділ 5. Провадження у справах про адміністративні правопорушення</w:t>
      </w:r>
    </w:p>
    <w:p w14:paraId="12A2C8E2" w14:textId="5126F2A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7CE4672" wp14:editId="55E8703F">
                <wp:extent cx="4140200" cy="6350"/>
                <wp:effectExtent l="0" t="0" r="12700" b="6350"/>
                <wp:docPr id="10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10" name="Line 10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7E68FB" id="Group_x0020_10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1hwGTH4CAACYBQAADgAA&#10;AAAAAAAAAAAAAAAsAgAAZHJzL2Uyb0RvYy54bWxQSwECLQAUAAYACAAAACEATKewkNkAAAADAQAA&#10;DwAAAAAAAAAAAAAAAADWBAAAZHJzL2Rvd25yZXYueG1sUEsFBgAAAAAEAAQA8wAAANwFAAAAAA==&#10;">
                <v:line id="Line_x0020_10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3fqMYAAADcAAAADwAAAGRycy9kb3ducmV2LnhtbESPQWvCQBCF74X+h2UKvZS6sUKR6Coi&#10;CKUHbU1/wJgdk+DubMyuJu2v7xwEbzO8N+99M18O3qkrdbEJbGA8ykARl8E2XBn4KTavU1AxIVt0&#10;gcnAL0VYLh4f5pjb0PM3XfepUhLCMUcDdUptrnUsa/IYR6ElFu0YOo9J1q7StsNewr3Tb1n2rj02&#10;LA01trSuqTztL95AcX5J7mv36fpid5jow3k7+btsjXl+GlYzUImGdDffrj+s4I8FX56RCfTi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d36jGAAAA3AAAAA8AAAAAAAAA&#10;AAAAAAAAoQIAAGRycy9kb3ducmV2LnhtbFBLBQYAAAAABAAEAPkAAACUAwAAAAA=&#10;" strokecolor="#231f20" strokeweight=".5pt"/>
                <w10:anchorlock/>
              </v:group>
            </w:pict>
          </mc:Fallback>
        </mc:AlternateContent>
      </w:r>
    </w:p>
    <w:p w14:paraId="0A013E87" w14:textId="77777777" w:rsidR="00DE575E" w:rsidRDefault="00DE575E">
      <w:pPr>
        <w:pStyle w:val="BodyText"/>
        <w:spacing w:before="7"/>
        <w:rPr>
          <w:rFonts w:ascii="AdonisC"/>
          <w:i/>
          <w:sz w:val="19"/>
        </w:rPr>
      </w:pPr>
    </w:p>
    <w:p w14:paraId="6CC86BE6" w14:textId="77777777" w:rsidR="00DE575E" w:rsidRDefault="002E7560">
      <w:pPr>
        <w:pStyle w:val="Heading5"/>
        <w:spacing w:before="1"/>
        <w:ind w:left="2088"/>
      </w:pPr>
      <w:r>
        <w:rPr>
          <w:color w:val="231F20"/>
        </w:rPr>
        <w:t>Питання для самоконтролю</w:t>
      </w:r>
    </w:p>
    <w:p w14:paraId="5FE052DC" w14:textId="77777777" w:rsidR="00DE575E" w:rsidRDefault="00DE575E">
      <w:pPr>
        <w:pStyle w:val="BodyText"/>
        <w:spacing w:before="2"/>
        <w:rPr>
          <w:b/>
          <w:sz w:val="23"/>
        </w:rPr>
      </w:pPr>
    </w:p>
    <w:p w14:paraId="3BD7A8F3" w14:textId="77777777" w:rsidR="00DE575E" w:rsidRDefault="002E7560">
      <w:pPr>
        <w:pStyle w:val="ListParagraph"/>
        <w:numPr>
          <w:ilvl w:val="0"/>
          <w:numId w:val="4"/>
        </w:numPr>
        <w:tabs>
          <w:tab w:val="left" w:pos="818"/>
        </w:tabs>
        <w:spacing w:before="0" w:line="252" w:lineRule="auto"/>
        <w:ind w:right="411" w:firstLine="283"/>
        <w:jc w:val="both"/>
        <w:rPr>
          <w:sz w:val="21"/>
        </w:rPr>
      </w:pPr>
      <w:r>
        <w:rPr>
          <w:color w:val="231F20"/>
          <w:sz w:val="21"/>
        </w:rPr>
        <w:t>Розкрийте поняття та особливості проваджень у справах про адміністративні</w:t>
      </w:r>
      <w:r>
        <w:rPr>
          <w:color w:val="231F20"/>
          <w:spacing w:val="-2"/>
          <w:sz w:val="21"/>
        </w:rPr>
        <w:t xml:space="preserve"> </w:t>
      </w:r>
      <w:r>
        <w:rPr>
          <w:color w:val="231F20"/>
          <w:sz w:val="21"/>
        </w:rPr>
        <w:t>правопорушення.</w:t>
      </w:r>
    </w:p>
    <w:p w14:paraId="5B7942C0" w14:textId="77777777" w:rsidR="00DE575E" w:rsidRDefault="002E7560">
      <w:pPr>
        <w:pStyle w:val="ListParagraph"/>
        <w:numPr>
          <w:ilvl w:val="0"/>
          <w:numId w:val="4"/>
        </w:numPr>
        <w:tabs>
          <w:tab w:val="left" w:pos="818"/>
        </w:tabs>
        <w:spacing w:line="252" w:lineRule="auto"/>
        <w:ind w:right="411" w:firstLine="283"/>
        <w:jc w:val="both"/>
        <w:rPr>
          <w:sz w:val="21"/>
        </w:rPr>
      </w:pPr>
      <w:r>
        <w:rPr>
          <w:color w:val="231F20"/>
          <w:sz w:val="21"/>
        </w:rPr>
        <w:t>Визначт</w:t>
      </w:r>
      <w:r>
        <w:rPr>
          <w:color w:val="231F20"/>
          <w:sz w:val="21"/>
        </w:rPr>
        <w:t>е зміст стадій провадження у справах про адміністра- тивні</w:t>
      </w:r>
      <w:r>
        <w:rPr>
          <w:color w:val="231F20"/>
          <w:spacing w:val="-2"/>
          <w:sz w:val="21"/>
        </w:rPr>
        <w:t xml:space="preserve"> </w:t>
      </w:r>
      <w:r>
        <w:rPr>
          <w:color w:val="231F20"/>
          <w:sz w:val="21"/>
        </w:rPr>
        <w:t>правопорушення.</w:t>
      </w:r>
    </w:p>
    <w:p w14:paraId="56029CBC" w14:textId="77777777" w:rsidR="00DE575E" w:rsidRDefault="002E7560">
      <w:pPr>
        <w:pStyle w:val="ListParagraph"/>
        <w:numPr>
          <w:ilvl w:val="0"/>
          <w:numId w:val="4"/>
        </w:numPr>
        <w:tabs>
          <w:tab w:val="left" w:pos="818"/>
        </w:tabs>
        <w:spacing w:line="252" w:lineRule="auto"/>
        <w:ind w:right="413" w:firstLine="283"/>
        <w:jc w:val="both"/>
        <w:rPr>
          <w:sz w:val="21"/>
        </w:rPr>
      </w:pPr>
      <w:r>
        <w:rPr>
          <w:color w:val="231F20"/>
          <w:sz w:val="21"/>
        </w:rPr>
        <w:t>Визначте поняття доказів у справах про адміністративні правопорушення та їх</w:t>
      </w:r>
      <w:r>
        <w:rPr>
          <w:color w:val="231F20"/>
          <w:spacing w:val="-3"/>
          <w:sz w:val="21"/>
        </w:rPr>
        <w:t xml:space="preserve"> </w:t>
      </w:r>
      <w:r>
        <w:rPr>
          <w:color w:val="231F20"/>
          <w:sz w:val="21"/>
        </w:rPr>
        <w:t>видів.</w:t>
      </w:r>
    </w:p>
    <w:p w14:paraId="3D43C219" w14:textId="77777777" w:rsidR="00DE575E" w:rsidRDefault="002E7560">
      <w:pPr>
        <w:pStyle w:val="ListParagraph"/>
        <w:numPr>
          <w:ilvl w:val="0"/>
          <w:numId w:val="4"/>
        </w:numPr>
        <w:tabs>
          <w:tab w:val="left" w:pos="818"/>
        </w:tabs>
        <w:spacing w:line="252" w:lineRule="auto"/>
        <w:ind w:right="411" w:firstLine="283"/>
        <w:jc w:val="both"/>
        <w:rPr>
          <w:sz w:val="21"/>
        </w:rPr>
      </w:pPr>
      <w:r>
        <w:rPr>
          <w:color w:val="231F20"/>
          <w:sz w:val="21"/>
        </w:rPr>
        <w:t>Що таке «заходи забезпечення провадження у справах про адміністративні</w:t>
      </w:r>
      <w:r>
        <w:rPr>
          <w:color w:val="231F20"/>
          <w:spacing w:val="-2"/>
          <w:sz w:val="21"/>
        </w:rPr>
        <w:t xml:space="preserve"> </w:t>
      </w:r>
      <w:r>
        <w:rPr>
          <w:color w:val="231F20"/>
          <w:sz w:val="21"/>
        </w:rPr>
        <w:t>правопорушення»?</w:t>
      </w:r>
    </w:p>
    <w:p w14:paraId="6B79FED7" w14:textId="77777777" w:rsidR="00DE575E" w:rsidRDefault="002E7560">
      <w:pPr>
        <w:pStyle w:val="ListParagraph"/>
        <w:numPr>
          <w:ilvl w:val="0"/>
          <w:numId w:val="4"/>
        </w:numPr>
        <w:tabs>
          <w:tab w:val="left" w:pos="818"/>
        </w:tabs>
        <w:spacing w:line="252" w:lineRule="auto"/>
        <w:ind w:right="411" w:firstLine="283"/>
        <w:jc w:val="both"/>
        <w:rPr>
          <w:sz w:val="21"/>
        </w:rPr>
      </w:pPr>
      <w:r>
        <w:rPr>
          <w:color w:val="231F20"/>
          <w:sz w:val="21"/>
        </w:rPr>
        <w:t>Розкрийте  зміст  видів  заходів  забезпечення  провадження  у справах про адміністративні</w:t>
      </w:r>
      <w:r>
        <w:rPr>
          <w:color w:val="231F20"/>
          <w:spacing w:val="-6"/>
          <w:sz w:val="21"/>
        </w:rPr>
        <w:t xml:space="preserve"> </w:t>
      </w:r>
      <w:r>
        <w:rPr>
          <w:color w:val="231F20"/>
          <w:sz w:val="21"/>
        </w:rPr>
        <w:t>правопорушення.</w:t>
      </w:r>
    </w:p>
    <w:p w14:paraId="42325C11" w14:textId="77777777" w:rsidR="00DE575E" w:rsidRDefault="002E7560">
      <w:pPr>
        <w:pStyle w:val="ListParagraph"/>
        <w:numPr>
          <w:ilvl w:val="0"/>
          <w:numId w:val="4"/>
        </w:numPr>
        <w:tabs>
          <w:tab w:val="left" w:pos="818"/>
        </w:tabs>
        <w:spacing w:line="252" w:lineRule="auto"/>
        <w:ind w:right="410" w:firstLine="283"/>
        <w:jc w:val="both"/>
        <w:rPr>
          <w:sz w:val="21"/>
        </w:rPr>
      </w:pPr>
      <w:r>
        <w:rPr>
          <w:color w:val="231F20"/>
          <w:sz w:val="21"/>
        </w:rPr>
        <w:t>Якими правами та обов’язками наділені особи, що беруть участь у провадженні у справах про адміністративні правопору- шення?</w:t>
      </w:r>
    </w:p>
    <w:p w14:paraId="2102C9A0" w14:textId="77777777" w:rsidR="00DE575E" w:rsidRDefault="00DE575E">
      <w:pPr>
        <w:pStyle w:val="BodyText"/>
        <w:spacing w:before="2"/>
        <w:rPr>
          <w:sz w:val="22"/>
        </w:rPr>
      </w:pPr>
    </w:p>
    <w:p w14:paraId="02FDC39D" w14:textId="77777777" w:rsidR="00DE575E" w:rsidRDefault="002E7560">
      <w:pPr>
        <w:pStyle w:val="Heading5"/>
        <w:ind w:left="1494"/>
      </w:pPr>
      <w:r>
        <w:rPr>
          <w:color w:val="231F20"/>
        </w:rPr>
        <w:t>Література для поглибленого вивчення</w:t>
      </w:r>
    </w:p>
    <w:p w14:paraId="5C461242" w14:textId="77777777" w:rsidR="00DE575E" w:rsidRDefault="00DE575E">
      <w:pPr>
        <w:pStyle w:val="BodyText"/>
        <w:spacing w:before="2"/>
        <w:rPr>
          <w:b/>
          <w:sz w:val="23"/>
        </w:rPr>
      </w:pPr>
    </w:p>
    <w:p w14:paraId="07375EF9" w14:textId="77777777" w:rsidR="00DE575E" w:rsidRDefault="002E7560">
      <w:pPr>
        <w:pStyle w:val="ListParagraph"/>
        <w:numPr>
          <w:ilvl w:val="0"/>
          <w:numId w:val="3"/>
        </w:numPr>
        <w:tabs>
          <w:tab w:val="left" w:pos="818"/>
        </w:tabs>
        <w:spacing w:before="0" w:line="252" w:lineRule="auto"/>
        <w:ind w:right="411" w:firstLine="283"/>
        <w:jc w:val="both"/>
        <w:rPr>
          <w:sz w:val="21"/>
        </w:rPr>
      </w:pPr>
      <w:r>
        <w:rPr>
          <w:color w:val="231F20"/>
          <w:sz w:val="21"/>
        </w:rPr>
        <w:t xml:space="preserve">Колпаков В.К. Деліктний феномен в адміністративному праві </w:t>
      </w:r>
      <w:r>
        <w:rPr>
          <w:color w:val="231F20"/>
          <w:spacing w:val="-3"/>
          <w:sz w:val="21"/>
        </w:rPr>
        <w:t xml:space="preserve">України: </w:t>
      </w:r>
      <w:r>
        <w:rPr>
          <w:color w:val="231F20"/>
          <w:sz w:val="21"/>
        </w:rPr>
        <w:t xml:space="preserve">дис. … </w:t>
      </w:r>
      <w:r>
        <w:rPr>
          <w:color w:val="231F20"/>
          <w:spacing w:val="-4"/>
          <w:sz w:val="21"/>
        </w:rPr>
        <w:t xml:space="preserve">докт. </w:t>
      </w:r>
      <w:r>
        <w:rPr>
          <w:color w:val="231F20"/>
          <w:sz w:val="21"/>
        </w:rPr>
        <w:t>юрид. наук: 12.00.07 – теорія управління; адмі- ністративне право і процес; фінансове право; інформаційне право. К. : Національна академія</w:t>
      </w:r>
      <w:r>
        <w:rPr>
          <w:color w:val="231F20"/>
          <w:sz w:val="21"/>
        </w:rPr>
        <w:t xml:space="preserve"> внутрішніх прав, 2005. 454</w:t>
      </w:r>
      <w:r>
        <w:rPr>
          <w:color w:val="231F20"/>
          <w:spacing w:val="-7"/>
          <w:sz w:val="21"/>
        </w:rPr>
        <w:t xml:space="preserve"> </w:t>
      </w:r>
      <w:r>
        <w:rPr>
          <w:color w:val="231F20"/>
          <w:sz w:val="21"/>
        </w:rPr>
        <w:t>с.</w:t>
      </w:r>
    </w:p>
    <w:p w14:paraId="72433DA3" w14:textId="77777777" w:rsidR="00DE575E" w:rsidRDefault="002E7560">
      <w:pPr>
        <w:pStyle w:val="ListParagraph"/>
        <w:numPr>
          <w:ilvl w:val="0"/>
          <w:numId w:val="3"/>
        </w:numPr>
        <w:tabs>
          <w:tab w:val="left" w:pos="818"/>
        </w:tabs>
        <w:spacing w:before="2" w:line="252" w:lineRule="auto"/>
        <w:ind w:right="412" w:firstLine="283"/>
        <w:jc w:val="both"/>
        <w:rPr>
          <w:sz w:val="21"/>
        </w:rPr>
      </w:pPr>
      <w:r>
        <w:rPr>
          <w:color w:val="231F20"/>
          <w:spacing w:val="-3"/>
          <w:sz w:val="21"/>
        </w:rPr>
        <w:t xml:space="preserve">Кодекс  України  </w:t>
      </w:r>
      <w:r>
        <w:rPr>
          <w:color w:val="231F20"/>
          <w:sz w:val="21"/>
        </w:rPr>
        <w:t xml:space="preserve">про   адміністративні   правопорушення   від 7 </w:t>
      </w:r>
      <w:r>
        <w:rPr>
          <w:color w:val="231F20"/>
          <w:spacing w:val="-3"/>
          <w:sz w:val="21"/>
        </w:rPr>
        <w:t xml:space="preserve">грудня </w:t>
      </w:r>
      <w:r>
        <w:rPr>
          <w:color w:val="231F20"/>
          <w:sz w:val="21"/>
        </w:rPr>
        <w:t xml:space="preserve">1984 року № 8073-X. </w:t>
      </w:r>
      <w:r>
        <w:rPr>
          <w:i/>
          <w:color w:val="231F20"/>
          <w:sz w:val="21"/>
        </w:rPr>
        <w:t>Відомості Верховної Ради Української РСР 1984</w:t>
      </w:r>
      <w:r>
        <w:rPr>
          <w:color w:val="231F20"/>
          <w:sz w:val="21"/>
        </w:rPr>
        <w:t>, додаток до № 51.</w:t>
      </w:r>
      <w:r>
        <w:rPr>
          <w:color w:val="231F20"/>
          <w:spacing w:val="-8"/>
          <w:sz w:val="21"/>
        </w:rPr>
        <w:t xml:space="preserve"> </w:t>
      </w:r>
      <w:r>
        <w:rPr>
          <w:color w:val="231F20"/>
          <w:spacing w:val="-3"/>
          <w:sz w:val="21"/>
        </w:rPr>
        <w:t>Ст.1122.</w:t>
      </w:r>
    </w:p>
    <w:p w14:paraId="18A0857C" w14:textId="77777777" w:rsidR="00DE575E" w:rsidRDefault="002E7560">
      <w:pPr>
        <w:pStyle w:val="ListParagraph"/>
        <w:numPr>
          <w:ilvl w:val="0"/>
          <w:numId w:val="3"/>
        </w:numPr>
        <w:tabs>
          <w:tab w:val="left" w:pos="818"/>
        </w:tabs>
        <w:spacing w:before="2" w:line="252" w:lineRule="auto"/>
        <w:ind w:right="411" w:firstLine="283"/>
        <w:jc w:val="both"/>
        <w:rPr>
          <w:sz w:val="21"/>
        </w:rPr>
      </w:pPr>
      <w:r>
        <w:rPr>
          <w:color w:val="231F20"/>
          <w:sz w:val="21"/>
        </w:rPr>
        <w:t xml:space="preserve">Кузьменко </w:t>
      </w:r>
      <w:r>
        <w:rPr>
          <w:color w:val="231F20"/>
          <w:spacing w:val="-3"/>
          <w:sz w:val="21"/>
        </w:rPr>
        <w:t xml:space="preserve">О.В. </w:t>
      </w:r>
      <w:r>
        <w:rPr>
          <w:color w:val="231F20"/>
          <w:sz w:val="21"/>
        </w:rPr>
        <w:t xml:space="preserve">Курс адміністративного права </w:t>
      </w:r>
      <w:r>
        <w:rPr>
          <w:color w:val="231F20"/>
          <w:spacing w:val="-3"/>
          <w:sz w:val="21"/>
        </w:rPr>
        <w:t xml:space="preserve">України </w:t>
      </w:r>
      <w:r>
        <w:rPr>
          <w:color w:val="231F20"/>
          <w:sz w:val="21"/>
        </w:rPr>
        <w:t>: підручн</w:t>
      </w:r>
      <w:r>
        <w:rPr>
          <w:color w:val="231F20"/>
          <w:sz w:val="21"/>
        </w:rPr>
        <w:t xml:space="preserve">ик / за </w:t>
      </w:r>
      <w:r>
        <w:rPr>
          <w:color w:val="231F20"/>
          <w:spacing w:val="-5"/>
          <w:sz w:val="21"/>
        </w:rPr>
        <w:t xml:space="preserve">заг. </w:t>
      </w:r>
      <w:r>
        <w:rPr>
          <w:color w:val="231F20"/>
          <w:sz w:val="21"/>
        </w:rPr>
        <w:t xml:space="preserve">ред. Колпакова В.К., Кузьменко </w:t>
      </w:r>
      <w:r>
        <w:rPr>
          <w:color w:val="231F20"/>
          <w:spacing w:val="-3"/>
          <w:sz w:val="21"/>
        </w:rPr>
        <w:t xml:space="preserve">О.В., </w:t>
      </w:r>
      <w:r>
        <w:rPr>
          <w:color w:val="231F20"/>
          <w:sz w:val="21"/>
        </w:rPr>
        <w:t>Пастуха І.Д. К. : Юринком Інтер, 2013. 912</w:t>
      </w:r>
      <w:r>
        <w:rPr>
          <w:color w:val="231F20"/>
          <w:spacing w:val="-1"/>
          <w:sz w:val="21"/>
        </w:rPr>
        <w:t xml:space="preserve"> </w:t>
      </w:r>
      <w:r>
        <w:rPr>
          <w:color w:val="231F20"/>
          <w:sz w:val="21"/>
        </w:rPr>
        <w:t>с.</w:t>
      </w:r>
    </w:p>
    <w:p w14:paraId="612DB5D8" w14:textId="77777777" w:rsidR="00DE575E" w:rsidRDefault="002E7560">
      <w:pPr>
        <w:pStyle w:val="ListParagraph"/>
        <w:numPr>
          <w:ilvl w:val="0"/>
          <w:numId w:val="3"/>
        </w:numPr>
        <w:tabs>
          <w:tab w:val="left" w:pos="818"/>
        </w:tabs>
        <w:ind w:firstLine="283"/>
        <w:rPr>
          <w:sz w:val="21"/>
        </w:rPr>
      </w:pPr>
      <w:r>
        <w:rPr>
          <w:color w:val="231F20"/>
          <w:sz w:val="21"/>
        </w:rPr>
        <w:t>Про</w:t>
      </w:r>
      <w:r>
        <w:rPr>
          <w:color w:val="231F20"/>
          <w:spacing w:val="-14"/>
          <w:sz w:val="21"/>
        </w:rPr>
        <w:t xml:space="preserve"> </w:t>
      </w:r>
      <w:r>
        <w:rPr>
          <w:color w:val="231F20"/>
          <w:sz w:val="21"/>
        </w:rPr>
        <w:t>Національну</w:t>
      </w:r>
      <w:r>
        <w:rPr>
          <w:color w:val="231F20"/>
          <w:spacing w:val="-14"/>
          <w:sz w:val="21"/>
        </w:rPr>
        <w:t xml:space="preserve"> </w:t>
      </w:r>
      <w:r>
        <w:rPr>
          <w:color w:val="231F20"/>
          <w:sz w:val="21"/>
        </w:rPr>
        <w:t>поліцію</w:t>
      </w:r>
      <w:r>
        <w:rPr>
          <w:color w:val="231F20"/>
          <w:spacing w:val="-14"/>
          <w:sz w:val="21"/>
        </w:rPr>
        <w:t xml:space="preserve"> </w:t>
      </w:r>
      <w:r>
        <w:rPr>
          <w:color w:val="231F20"/>
          <w:sz w:val="21"/>
        </w:rPr>
        <w:t>:</w:t>
      </w:r>
      <w:r>
        <w:rPr>
          <w:color w:val="231F20"/>
          <w:spacing w:val="-14"/>
          <w:sz w:val="21"/>
        </w:rPr>
        <w:t xml:space="preserve"> </w:t>
      </w:r>
      <w:r>
        <w:rPr>
          <w:color w:val="231F20"/>
          <w:sz w:val="21"/>
        </w:rPr>
        <w:t>Закон</w:t>
      </w:r>
      <w:r>
        <w:rPr>
          <w:color w:val="231F20"/>
          <w:spacing w:val="-14"/>
          <w:sz w:val="21"/>
        </w:rPr>
        <w:t xml:space="preserve"> </w:t>
      </w:r>
      <w:r>
        <w:rPr>
          <w:color w:val="231F20"/>
          <w:spacing w:val="-3"/>
          <w:sz w:val="21"/>
        </w:rPr>
        <w:t>України</w:t>
      </w:r>
      <w:r>
        <w:rPr>
          <w:color w:val="231F20"/>
          <w:spacing w:val="-14"/>
          <w:sz w:val="21"/>
        </w:rPr>
        <w:t xml:space="preserve"> </w:t>
      </w:r>
      <w:r>
        <w:rPr>
          <w:color w:val="231F20"/>
          <w:sz w:val="21"/>
        </w:rPr>
        <w:t>від</w:t>
      </w:r>
      <w:r>
        <w:rPr>
          <w:color w:val="231F20"/>
          <w:spacing w:val="-14"/>
          <w:sz w:val="21"/>
        </w:rPr>
        <w:t xml:space="preserve"> </w:t>
      </w:r>
      <w:r>
        <w:rPr>
          <w:color w:val="231F20"/>
          <w:sz w:val="21"/>
        </w:rPr>
        <w:t>2</w:t>
      </w:r>
      <w:r>
        <w:rPr>
          <w:color w:val="231F20"/>
          <w:spacing w:val="-14"/>
          <w:sz w:val="21"/>
        </w:rPr>
        <w:t xml:space="preserve"> </w:t>
      </w:r>
      <w:r>
        <w:rPr>
          <w:color w:val="231F20"/>
          <w:sz w:val="21"/>
        </w:rPr>
        <w:t>липня</w:t>
      </w:r>
      <w:r>
        <w:rPr>
          <w:color w:val="231F20"/>
          <w:spacing w:val="-14"/>
          <w:sz w:val="21"/>
        </w:rPr>
        <w:t xml:space="preserve"> </w:t>
      </w:r>
      <w:r>
        <w:rPr>
          <w:color w:val="231F20"/>
          <w:sz w:val="21"/>
        </w:rPr>
        <w:t>2015</w:t>
      </w:r>
      <w:r>
        <w:rPr>
          <w:color w:val="231F20"/>
          <w:spacing w:val="-13"/>
          <w:sz w:val="21"/>
        </w:rPr>
        <w:t xml:space="preserve"> </w:t>
      </w:r>
      <w:r>
        <w:rPr>
          <w:color w:val="231F20"/>
          <w:sz w:val="21"/>
        </w:rPr>
        <w:t>року</w:t>
      </w:r>
    </w:p>
    <w:p w14:paraId="31A60A78" w14:textId="77777777" w:rsidR="00DE575E" w:rsidRDefault="002E7560">
      <w:pPr>
        <w:spacing w:before="13"/>
        <w:ind w:left="250"/>
        <w:rPr>
          <w:sz w:val="21"/>
        </w:rPr>
      </w:pPr>
      <w:r>
        <w:rPr>
          <w:color w:val="231F20"/>
          <w:sz w:val="21"/>
        </w:rPr>
        <w:t xml:space="preserve">№ 580-VIII. </w:t>
      </w:r>
      <w:r>
        <w:rPr>
          <w:i/>
          <w:color w:val="231F20"/>
          <w:sz w:val="21"/>
        </w:rPr>
        <w:t>Відомості Верховної Ради</w:t>
      </w:r>
      <w:r>
        <w:rPr>
          <w:color w:val="231F20"/>
          <w:sz w:val="21"/>
        </w:rPr>
        <w:t>. 2015. № 40-41. Ст. 379.</w:t>
      </w:r>
    </w:p>
    <w:p w14:paraId="49EC5FC1" w14:textId="77777777" w:rsidR="00DE575E" w:rsidRDefault="002E7560">
      <w:pPr>
        <w:pStyle w:val="ListParagraph"/>
        <w:numPr>
          <w:ilvl w:val="0"/>
          <w:numId w:val="3"/>
        </w:numPr>
        <w:tabs>
          <w:tab w:val="left" w:pos="818"/>
        </w:tabs>
        <w:spacing w:before="13" w:line="252" w:lineRule="auto"/>
        <w:ind w:right="411" w:firstLine="283"/>
        <w:jc w:val="both"/>
        <w:rPr>
          <w:sz w:val="21"/>
        </w:rPr>
      </w:pPr>
      <w:r>
        <w:rPr>
          <w:color w:val="231F20"/>
          <w:sz w:val="21"/>
        </w:rPr>
        <w:t xml:space="preserve">Адміністративна відповідальність та провадження в справах про адміністративні правопорушення навч. посіб. / </w:t>
      </w:r>
      <w:r>
        <w:rPr>
          <w:color w:val="231F20"/>
          <w:spacing w:val="-3"/>
          <w:sz w:val="21"/>
        </w:rPr>
        <w:t xml:space="preserve">О.В. </w:t>
      </w:r>
      <w:r>
        <w:rPr>
          <w:color w:val="231F20"/>
          <w:sz w:val="21"/>
        </w:rPr>
        <w:t>Кузьменко, М.В.</w:t>
      </w:r>
      <w:r>
        <w:rPr>
          <w:color w:val="231F20"/>
          <w:spacing w:val="-10"/>
          <w:sz w:val="21"/>
        </w:rPr>
        <w:t xml:space="preserve"> </w:t>
      </w:r>
      <w:r>
        <w:rPr>
          <w:color w:val="231F20"/>
          <w:sz w:val="21"/>
        </w:rPr>
        <w:t>Плугатир,</w:t>
      </w:r>
      <w:r>
        <w:rPr>
          <w:color w:val="231F20"/>
          <w:spacing w:val="-10"/>
          <w:sz w:val="21"/>
        </w:rPr>
        <w:t xml:space="preserve"> </w:t>
      </w:r>
      <w:r>
        <w:rPr>
          <w:color w:val="231F20"/>
          <w:sz w:val="21"/>
        </w:rPr>
        <w:t>І.Д.</w:t>
      </w:r>
      <w:r>
        <w:rPr>
          <w:color w:val="231F20"/>
          <w:spacing w:val="-10"/>
          <w:sz w:val="21"/>
        </w:rPr>
        <w:t xml:space="preserve"> </w:t>
      </w:r>
      <w:r>
        <w:rPr>
          <w:color w:val="231F20"/>
          <w:sz w:val="21"/>
        </w:rPr>
        <w:t>Пастух</w:t>
      </w:r>
      <w:r>
        <w:rPr>
          <w:color w:val="231F20"/>
          <w:spacing w:val="-10"/>
          <w:sz w:val="21"/>
        </w:rPr>
        <w:t xml:space="preserve"> </w:t>
      </w:r>
      <w:r>
        <w:rPr>
          <w:color w:val="231F20"/>
          <w:sz w:val="21"/>
        </w:rPr>
        <w:t>та</w:t>
      </w:r>
      <w:r>
        <w:rPr>
          <w:color w:val="231F20"/>
          <w:spacing w:val="-10"/>
          <w:sz w:val="21"/>
        </w:rPr>
        <w:t xml:space="preserve"> </w:t>
      </w:r>
      <w:r>
        <w:rPr>
          <w:color w:val="231F20"/>
          <w:sz w:val="21"/>
        </w:rPr>
        <w:t>ін.;</w:t>
      </w:r>
      <w:r>
        <w:rPr>
          <w:color w:val="231F20"/>
          <w:spacing w:val="-10"/>
          <w:sz w:val="21"/>
        </w:rPr>
        <w:t xml:space="preserve"> </w:t>
      </w:r>
      <w:r>
        <w:rPr>
          <w:color w:val="231F20"/>
          <w:sz w:val="21"/>
        </w:rPr>
        <w:t>за</w:t>
      </w:r>
      <w:r>
        <w:rPr>
          <w:color w:val="231F20"/>
          <w:spacing w:val="-10"/>
          <w:sz w:val="21"/>
        </w:rPr>
        <w:t xml:space="preserve"> </w:t>
      </w:r>
      <w:r>
        <w:rPr>
          <w:color w:val="231F20"/>
          <w:spacing w:val="-5"/>
          <w:sz w:val="21"/>
        </w:rPr>
        <w:t>заг.</w:t>
      </w:r>
      <w:r>
        <w:rPr>
          <w:color w:val="231F20"/>
          <w:spacing w:val="-10"/>
          <w:sz w:val="21"/>
        </w:rPr>
        <w:t xml:space="preserve"> </w:t>
      </w:r>
      <w:r>
        <w:rPr>
          <w:color w:val="231F20"/>
          <w:sz w:val="21"/>
        </w:rPr>
        <w:t>ред.</w:t>
      </w:r>
      <w:r>
        <w:rPr>
          <w:color w:val="231F20"/>
          <w:spacing w:val="-10"/>
          <w:sz w:val="21"/>
        </w:rPr>
        <w:t xml:space="preserve"> </w:t>
      </w:r>
      <w:r>
        <w:rPr>
          <w:color w:val="231F20"/>
          <w:spacing w:val="-3"/>
          <w:sz w:val="21"/>
        </w:rPr>
        <w:t>О.В.</w:t>
      </w:r>
      <w:r>
        <w:rPr>
          <w:color w:val="231F20"/>
          <w:spacing w:val="-10"/>
          <w:sz w:val="21"/>
        </w:rPr>
        <w:t xml:space="preserve"> </w:t>
      </w:r>
      <w:r>
        <w:rPr>
          <w:color w:val="231F20"/>
          <w:sz w:val="21"/>
        </w:rPr>
        <w:t>Кузьменко.</w:t>
      </w:r>
      <w:r>
        <w:rPr>
          <w:color w:val="231F20"/>
          <w:spacing w:val="-10"/>
          <w:sz w:val="21"/>
        </w:rPr>
        <w:t xml:space="preserve"> </w:t>
      </w:r>
      <w:r>
        <w:rPr>
          <w:color w:val="231F20"/>
          <w:sz w:val="21"/>
        </w:rPr>
        <w:t>К.</w:t>
      </w:r>
      <w:r>
        <w:rPr>
          <w:color w:val="231F20"/>
          <w:spacing w:val="-10"/>
          <w:sz w:val="21"/>
        </w:rPr>
        <w:t xml:space="preserve"> </w:t>
      </w:r>
      <w:r>
        <w:rPr>
          <w:color w:val="231F20"/>
          <w:sz w:val="21"/>
        </w:rPr>
        <w:t>:</w:t>
      </w:r>
      <w:r>
        <w:rPr>
          <w:color w:val="231F20"/>
          <w:spacing w:val="-10"/>
          <w:sz w:val="21"/>
        </w:rPr>
        <w:t xml:space="preserve"> </w:t>
      </w:r>
      <w:r>
        <w:rPr>
          <w:color w:val="231F20"/>
          <w:sz w:val="21"/>
        </w:rPr>
        <w:t>«Центр учбової літератури», 2016. 388</w:t>
      </w:r>
      <w:r>
        <w:rPr>
          <w:color w:val="231F20"/>
          <w:spacing w:val="-3"/>
          <w:sz w:val="21"/>
        </w:rPr>
        <w:t xml:space="preserve"> </w:t>
      </w:r>
      <w:r>
        <w:rPr>
          <w:color w:val="231F20"/>
          <w:sz w:val="21"/>
        </w:rPr>
        <w:t>с.</w:t>
      </w:r>
    </w:p>
    <w:p w14:paraId="0C2257DE" w14:textId="77777777" w:rsidR="00DE575E" w:rsidRDefault="002E7560">
      <w:pPr>
        <w:pStyle w:val="ListParagraph"/>
        <w:numPr>
          <w:ilvl w:val="0"/>
          <w:numId w:val="3"/>
        </w:numPr>
        <w:tabs>
          <w:tab w:val="left" w:pos="818"/>
        </w:tabs>
        <w:spacing w:before="2" w:line="252" w:lineRule="auto"/>
        <w:ind w:right="413" w:firstLine="283"/>
        <w:jc w:val="both"/>
        <w:rPr>
          <w:sz w:val="21"/>
        </w:rPr>
      </w:pPr>
      <w:r>
        <w:rPr>
          <w:color w:val="231F20"/>
          <w:sz w:val="21"/>
        </w:rPr>
        <w:t xml:space="preserve">Комзюк </w:t>
      </w:r>
      <w:r>
        <w:rPr>
          <w:color w:val="231F20"/>
          <w:spacing w:val="-9"/>
          <w:sz w:val="21"/>
        </w:rPr>
        <w:t xml:space="preserve">А.Т., </w:t>
      </w:r>
      <w:r>
        <w:rPr>
          <w:color w:val="231F20"/>
          <w:sz w:val="21"/>
        </w:rPr>
        <w:t xml:space="preserve">Бевзенко </w:t>
      </w:r>
      <w:r>
        <w:rPr>
          <w:color w:val="231F20"/>
          <w:sz w:val="21"/>
        </w:rPr>
        <w:t xml:space="preserve">В.М., Мельник </w:t>
      </w:r>
      <w:r>
        <w:rPr>
          <w:color w:val="231F20"/>
          <w:spacing w:val="-9"/>
          <w:sz w:val="21"/>
        </w:rPr>
        <w:t xml:space="preserve">Р.С. </w:t>
      </w:r>
      <w:r>
        <w:rPr>
          <w:color w:val="231F20"/>
          <w:sz w:val="21"/>
        </w:rPr>
        <w:t xml:space="preserve">Адміністративний процес </w:t>
      </w:r>
      <w:r>
        <w:rPr>
          <w:color w:val="231F20"/>
          <w:spacing w:val="-3"/>
          <w:sz w:val="21"/>
        </w:rPr>
        <w:t xml:space="preserve">України </w:t>
      </w:r>
      <w:r>
        <w:rPr>
          <w:color w:val="231F20"/>
          <w:sz w:val="21"/>
        </w:rPr>
        <w:t xml:space="preserve">: навчальний посібник. Київ: </w:t>
      </w:r>
      <w:r>
        <w:rPr>
          <w:color w:val="231F20"/>
          <w:spacing w:val="-3"/>
          <w:sz w:val="21"/>
        </w:rPr>
        <w:t xml:space="preserve">Прецедент, </w:t>
      </w:r>
      <w:r>
        <w:rPr>
          <w:color w:val="231F20"/>
          <w:sz w:val="21"/>
        </w:rPr>
        <w:t>2007. 531</w:t>
      </w:r>
      <w:r>
        <w:rPr>
          <w:color w:val="231F20"/>
          <w:spacing w:val="13"/>
          <w:sz w:val="21"/>
        </w:rPr>
        <w:t xml:space="preserve"> </w:t>
      </w:r>
      <w:r>
        <w:rPr>
          <w:color w:val="231F20"/>
          <w:sz w:val="21"/>
        </w:rPr>
        <w:t>с.</w:t>
      </w:r>
    </w:p>
    <w:p w14:paraId="1C919094" w14:textId="77777777" w:rsidR="00DE575E" w:rsidRDefault="002E7560">
      <w:pPr>
        <w:pStyle w:val="ListParagraph"/>
        <w:numPr>
          <w:ilvl w:val="0"/>
          <w:numId w:val="3"/>
        </w:numPr>
        <w:tabs>
          <w:tab w:val="left" w:pos="818"/>
        </w:tabs>
        <w:spacing w:line="252" w:lineRule="auto"/>
        <w:ind w:right="411" w:firstLine="283"/>
        <w:jc w:val="both"/>
        <w:rPr>
          <w:sz w:val="21"/>
        </w:rPr>
      </w:pPr>
      <w:r>
        <w:rPr>
          <w:color w:val="231F20"/>
          <w:sz w:val="21"/>
        </w:rPr>
        <w:t>Адміністративна</w:t>
      </w:r>
      <w:r>
        <w:rPr>
          <w:color w:val="231F20"/>
          <w:spacing w:val="-19"/>
          <w:sz w:val="21"/>
        </w:rPr>
        <w:t xml:space="preserve"> </w:t>
      </w:r>
      <w:r>
        <w:rPr>
          <w:color w:val="231F20"/>
          <w:sz w:val="21"/>
        </w:rPr>
        <w:t>відповідальність</w:t>
      </w:r>
      <w:r>
        <w:rPr>
          <w:color w:val="231F20"/>
          <w:spacing w:val="-18"/>
          <w:sz w:val="21"/>
        </w:rPr>
        <w:t xml:space="preserve"> </w:t>
      </w:r>
      <w:r>
        <w:rPr>
          <w:color w:val="231F20"/>
          <w:sz w:val="21"/>
        </w:rPr>
        <w:t>в</w:t>
      </w:r>
      <w:r>
        <w:rPr>
          <w:color w:val="231F20"/>
          <w:spacing w:val="-18"/>
          <w:sz w:val="21"/>
        </w:rPr>
        <w:t xml:space="preserve"> </w:t>
      </w:r>
      <w:r>
        <w:rPr>
          <w:color w:val="231F20"/>
          <w:spacing w:val="-3"/>
          <w:sz w:val="21"/>
        </w:rPr>
        <w:t>Україні:</w:t>
      </w:r>
      <w:r>
        <w:rPr>
          <w:color w:val="231F20"/>
          <w:spacing w:val="-19"/>
          <w:sz w:val="21"/>
        </w:rPr>
        <w:t xml:space="preserve"> </w:t>
      </w:r>
      <w:r>
        <w:rPr>
          <w:color w:val="231F20"/>
          <w:sz w:val="21"/>
        </w:rPr>
        <w:t>навчальний</w:t>
      </w:r>
      <w:r>
        <w:rPr>
          <w:color w:val="231F20"/>
          <w:spacing w:val="-19"/>
          <w:sz w:val="21"/>
        </w:rPr>
        <w:t xml:space="preserve"> </w:t>
      </w:r>
      <w:r>
        <w:rPr>
          <w:color w:val="231F20"/>
          <w:sz w:val="21"/>
        </w:rPr>
        <w:t xml:space="preserve">посіб- ник / за </w:t>
      </w:r>
      <w:r>
        <w:rPr>
          <w:color w:val="231F20"/>
          <w:spacing w:val="-5"/>
          <w:sz w:val="21"/>
        </w:rPr>
        <w:t xml:space="preserve">заг. </w:t>
      </w:r>
      <w:r>
        <w:rPr>
          <w:color w:val="231F20"/>
          <w:sz w:val="21"/>
        </w:rPr>
        <w:t xml:space="preserve">ред. доц. </w:t>
      </w:r>
      <w:r>
        <w:rPr>
          <w:color w:val="231F20"/>
          <w:spacing w:val="-5"/>
          <w:sz w:val="21"/>
        </w:rPr>
        <w:t xml:space="preserve">А.Т.Комзюка. </w:t>
      </w:r>
      <w:r>
        <w:rPr>
          <w:color w:val="231F20"/>
          <w:sz w:val="21"/>
        </w:rPr>
        <w:t xml:space="preserve">2-е вид., перероб. і доп. Харків : </w:t>
      </w:r>
      <w:r>
        <w:rPr>
          <w:color w:val="231F20"/>
          <w:spacing w:val="-4"/>
          <w:sz w:val="21"/>
        </w:rPr>
        <w:t xml:space="preserve">Ун-т </w:t>
      </w:r>
      <w:r>
        <w:rPr>
          <w:color w:val="231F20"/>
          <w:sz w:val="21"/>
        </w:rPr>
        <w:t>внутр. справ, 2000. 99</w:t>
      </w:r>
      <w:r>
        <w:rPr>
          <w:color w:val="231F20"/>
          <w:spacing w:val="1"/>
          <w:sz w:val="21"/>
        </w:rPr>
        <w:t xml:space="preserve"> </w:t>
      </w:r>
      <w:r>
        <w:rPr>
          <w:color w:val="231F20"/>
          <w:sz w:val="21"/>
        </w:rPr>
        <w:t>с.</w:t>
      </w:r>
    </w:p>
    <w:p w14:paraId="176448B2" w14:textId="77777777" w:rsidR="00DE575E" w:rsidRDefault="00DE575E">
      <w:pPr>
        <w:pStyle w:val="BodyText"/>
        <w:spacing w:before="6"/>
        <w:rPr>
          <w:sz w:val="12"/>
        </w:rPr>
      </w:pPr>
    </w:p>
    <w:p w14:paraId="7D45A0B6" w14:textId="77777777" w:rsidR="00DE575E" w:rsidRDefault="002E7560">
      <w:pPr>
        <w:spacing w:before="91"/>
        <w:ind w:right="411"/>
        <w:jc w:val="right"/>
        <w:rPr>
          <w:rFonts w:ascii="Times New Roman"/>
          <w:sz w:val="20"/>
        </w:rPr>
      </w:pPr>
      <w:r>
        <w:rPr>
          <w:rFonts w:ascii="Times New Roman"/>
          <w:color w:val="231F20"/>
          <w:w w:val="90"/>
          <w:sz w:val="20"/>
        </w:rPr>
        <w:t>527</w:t>
      </w:r>
    </w:p>
    <w:p w14:paraId="73337454" w14:textId="77777777" w:rsidR="00DE575E" w:rsidRDefault="00DE575E">
      <w:pPr>
        <w:jc w:val="right"/>
        <w:rPr>
          <w:rFonts w:ascii="Times New Roman"/>
          <w:sz w:val="20"/>
        </w:rPr>
        <w:sectPr w:rsidR="00DE575E">
          <w:pgSz w:w="8510" w:h="12760"/>
          <w:pgMar w:top="660" w:right="720" w:bottom="280" w:left="600" w:header="720" w:footer="720" w:gutter="0"/>
          <w:cols w:space="720"/>
        </w:sectPr>
      </w:pPr>
    </w:p>
    <w:p w14:paraId="1802B16E" w14:textId="77777777" w:rsidR="00DE575E" w:rsidRDefault="002E7560">
      <w:pPr>
        <w:pStyle w:val="Heading2"/>
        <w:spacing w:before="173"/>
        <w:ind w:left="1643"/>
      </w:pPr>
      <w:r>
        <w:rPr>
          <w:color w:val="231F20"/>
        </w:rPr>
        <w:t>СЛОВНИК ОСНОВНИХ ТЕРМІНІВ</w:t>
      </w:r>
    </w:p>
    <w:p w14:paraId="3A5D86A1" w14:textId="77777777" w:rsidR="00DE575E" w:rsidRDefault="00DE575E">
      <w:pPr>
        <w:pStyle w:val="BodyText"/>
        <w:rPr>
          <w:b/>
          <w:sz w:val="32"/>
        </w:rPr>
      </w:pPr>
    </w:p>
    <w:p w14:paraId="310294C6" w14:textId="77777777" w:rsidR="00DE575E" w:rsidRDefault="00DE575E">
      <w:pPr>
        <w:pStyle w:val="BodyText"/>
        <w:spacing w:before="9"/>
        <w:rPr>
          <w:b/>
          <w:sz w:val="33"/>
        </w:rPr>
      </w:pPr>
    </w:p>
    <w:p w14:paraId="4B1231F1" w14:textId="77777777" w:rsidR="00DE575E" w:rsidRDefault="002E7560">
      <w:pPr>
        <w:pStyle w:val="BodyText"/>
        <w:spacing w:line="249" w:lineRule="auto"/>
        <w:ind w:left="533" w:right="128" w:firstLine="283"/>
        <w:jc w:val="both"/>
      </w:pPr>
      <w:r>
        <w:rPr>
          <w:b/>
          <w:color w:val="231F20"/>
        </w:rPr>
        <w:t xml:space="preserve">Адміністративна відповідальність </w:t>
      </w:r>
      <w:r>
        <w:rPr>
          <w:i/>
          <w:color w:val="231F20"/>
        </w:rPr>
        <w:t xml:space="preserve">(поняття) </w:t>
      </w:r>
      <w:r>
        <w:rPr>
          <w:color w:val="231F20"/>
        </w:rPr>
        <w:t>– вид юридичної відповідальності фізичних і юридичних осіб, що полягає в застосу- ванні уповноваженими державою публічними органами (їх поса</w:t>
      </w:r>
      <w:r>
        <w:rPr>
          <w:color w:val="231F20"/>
        </w:rPr>
        <w:t>до- вими особами) певного виду адміністративного примусу – адмініст- ративного стягнення (адміністративної санкції).</w:t>
      </w:r>
    </w:p>
    <w:p w14:paraId="1412C55E" w14:textId="77777777" w:rsidR="00DE575E" w:rsidRDefault="002E7560">
      <w:pPr>
        <w:spacing w:line="249" w:lineRule="auto"/>
        <w:ind w:left="462" w:right="125" w:firstLine="283"/>
        <w:jc w:val="right"/>
        <w:rPr>
          <w:sz w:val="21"/>
        </w:rPr>
      </w:pPr>
      <w:r>
        <w:rPr>
          <w:b/>
          <w:color w:val="231F20"/>
          <w:sz w:val="21"/>
        </w:rPr>
        <w:t xml:space="preserve">Абсолютні обов’язки </w:t>
      </w:r>
      <w:r>
        <w:rPr>
          <w:color w:val="231F20"/>
          <w:sz w:val="21"/>
        </w:rPr>
        <w:t xml:space="preserve">– ті, що покладені на осіб у сфері публіч- ного адміністрування та виконання яких не залежить від будь-яких обставин, оскільки це передбачено нормами чинного законодавства. </w:t>
      </w:r>
      <w:r>
        <w:rPr>
          <w:b/>
          <w:color w:val="231F20"/>
          <w:sz w:val="21"/>
        </w:rPr>
        <w:t xml:space="preserve">Адміністративна відповідальність юридичних осіб </w:t>
      </w:r>
      <w:r>
        <w:rPr>
          <w:i/>
          <w:color w:val="231F20"/>
          <w:sz w:val="21"/>
        </w:rPr>
        <w:t>(риси)</w:t>
      </w:r>
      <w:r>
        <w:rPr>
          <w:color w:val="231F20"/>
          <w:sz w:val="21"/>
        </w:rPr>
        <w:t>:</w:t>
      </w:r>
    </w:p>
    <w:p w14:paraId="2F2A6052" w14:textId="77777777" w:rsidR="00DE575E" w:rsidRDefault="002E7560">
      <w:pPr>
        <w:pStyle w:val="BodyText"/>
        <w:spacing w:line="249" w:lineRule="auto"/>
        <w:ind w:left="533" w:right="128"/>
        <w:jc w:val="both"/>
      </w:pPr>
      <w:r>
        <w:rPr>
          <w:color w:val="231F20"/>
        </w:rPr>
        <w:t xml:space="preserve">1) визначається </w:t>
      </w:r>
      <w:r>
        <w:rPr>
          <w:color w:val="231F20"/>
          <w:spacing w:val="-3"/>
        </w:rPr>
        <w:t xml:space="preserve">КУпАП </w:t>
      </w:r>
      <w:r>
        <w:rPr>
          <w:color w:val="231F20"/>
        </w:rPr>
        <w:t>та ін</w:t>
      </w:r>
      <w:r>
        <w:rPr>
          <w:color w:val="231F20"/>
        </w:rPr>
        <w:t xml:space="preserve">шими законами </w:t>
      </w:r>
      <w:r>
        <w:rPr>
          <w:color w:val="231F20"/>
          <w:spacing w:val="-3"/>
        </w:rPr>
        <w:t xml:space="preserve">України </w:t>
      </w:r>
      <w:r>
        <w:rPr>
          <w:color w:val="231F20"/>
        </w:rPr>
        <w:t xml:space="preserve">у </w:t>
      </w:r>
      <w:r>
        <w:rPr>
          <w:color w:val="231F20"/>
          <w:spacing w:val="-3"/>
        </w:rPr>
        <w:t xml:space="preserve">вигляді </w:t>
      </w:r>
      <w:r>
        <w:rPr>
          <w:color w:val="231F20"/>
        </w:rPr>
        <w:t>накладення</w:t>
      </w:r>
      <w:r>
        <w:rPr>
          <w:color w:val="231F20"/>
          <w:spacing w:val="-10"/>
        </w:rPr>
        <w:t xml:space="preserve"> </w:t>
      </w:r>
      <w:r>
        <w:rPr>
          <w:color w:val="231F20"/>
        </w:rPr>
        <w:t>на</w:t>
      </w:r>
      <w:r>
        <w:rPr>
          <w:color w:val="231F20"/>
          <w:spacing w:val="-10"/>
        </w:rPr>
        <w:t xml:space="preserve"> </w:t>
      </w:r>
      <w:r>
        <w:rPr>
          <w:color w:val="231F20"/>
        </w:rPr>
        <w:t>юридичних</w:t>
      </w:r>
      <w:r>
        <w:rPr>
          <w:color w:val="231F20"/>
          <w:spacing w:val="-10"/>
        </w:rPr>
        <w:t xml:space="preserve"> </w:t>
      </w:r>
      <w:r>
        <w:rPr>
          <w:color w:val="231F20"/>
        </w:rPr>
        <w:t>осіб</w:t>
      </w:r>
      <w:r>
        <w:rPr>
          <w:color w:val="231F20"/>
          <w:spacing w:val="-10"/>
        </w:rPr>
        <w:t xml:space="preserve"> </w:t>
      </w:r>
      <w:r>
        <w:rPr>
          <w:color w:val="231F20"/>
        </w:rPr>
        <w:t>адміністративних</w:t>
      </w:r>
      <w:r>
        <w:rPr>
          <w:color w:val="231F20"/>
          <w:spacing w:val="-10"/>
        </w:rPr>
        <w:t xml:space="preserve"> </w:t>
      </w:r>
      <w:r>
        <w:rPr>
          <w:color w:val="231F20"/>
        </w:rPr>
        <w:t>(адміністративно- господарських) санкцій; 2) здійснюється у сфері адміністративно- правового регулювання; 3) за своєю правовою природою є карною (пов’язана із застосуванням до юр</w:t>
      </w:r>
      <w:r>
        <w:rPr>
          <w:color w:val="231F20"/>
        </w:rPr>
        <w:t>идичної особи засобів держав- ного</w:t>
      </w:r>
      <w:r>
        <w:rPr>
          <w:color w:val="231F20"/>
          <w:spacing w:val="-6"/>
        </w:rPr>
        <w:t xml:space="preserve"> </w:t>
      </w:r>
      <w:r>
        <w:rPr>
          <w:color w:val="231F20"/>
        </w:rPr>
        <w:t>примусу);</w:t>
      </w:r>
      <w:r>
        <w:rPr>
          <w:color w:val="231F20"/>
          <w:spacing w:val="-6"/>
        </w:rPr>
        <w:t xml:space="preserve"> </w:t>
      </w:r>
      <w:r>
        <w:rPr>
          <w:color w:val="231F20"/>
        </w:rPr>
        <w:t>4)</w:t>
      </w:r>
      <w:r>
        <w:rPr>
          <w:color w:val="231F20"/>
          <w:spacing w:val="-10"/>
        </w:rPr>
        <w:t xml:space="preserve"> </w:t>
      </w:r>
      <w:r>
        <w:rPr>
          <w:color w:val="231F20"/>
        </w:rPr>
        <w:t>реалізується</w:t>
      </w:r>
      <w:r>
        <w:rPr>
          <w:color w:val="231F20"/>
          <w:spacing w:val="-6"/>
        </w:rPr>
        <w:t xml:space="preserve"> </w:t>
      </w:r>
      <w:r>
        <w:rPr>
          <w:color w:val="231F20"/>
        </w:rPr>
        <w:t>у</w:t>
      </w:r>
      <w:r>
        <w:rPr>
          <w:color w:val="231F20"/>
          <w:spacing w:val="-6"/>
        </w:rPr>
        <w:t xml:space="preserve"> </w:t>
      </w:r>
      <w:r>
        <w:rPr>
          <w:color w:val="231F20"/>
        </w:rPr>
        <w:t>відповідних</w:t>
      </w:r>
      <w:r>
        <w:rPr>
          <w:color w:val="231F20"/>
          <w:spacing w:val="-6"/>
        </w:rPr>
        <w:t xml:space="preserve"> </w:t>
      </w:r>
      <w:r>
        <w:rPr>
          <w:color w:val="231F20"/>
        </w:rPr>
        <w:t>процесуальних</w:t>
      </w:r>
      <w:r>
        <w:rPr>
          <w:color w:val="231F20"/>
          <w:spacing w:val="-6"/>
        </w:rPr>
        <w:t xml:space="preserve"> </w:t>
      </w:r>
      <w:r>
        <w:rPr>
          <w:color w:val="231F20"/>
        </w:rPr>
        <w:t xml:space="preserve">формах </w:t>
      </w:r>
      <w:r>
        <w:rPr>
          <w:color w:val="231F20"/>
          <w:spacing w:val="-3"/>
        </w:rPr>
        <w:t xml:space="preserve">суб’єктами </w:t>
      </w:r>
      <w:r>
        <w:rPr>
          <w:color w:val="231F20"/>
        </w:rPr>
        <w:t>публічної</w:t>
      </w:r>
      <w:r>
        <w:rPr>
          <w:color w:val="231F20"/>
        </w:rPr>
        <w:t xml:space="preserve"> </w:t>
      </w:r>
      <w:r>
        <w:rPr>
          <w:color w:val="231F20"/>
        </w:rPr>
        <w:t>адміністрації.</w:t>
      </w:r>
    </w:p>
    <w:p w14:paraId="07BDF3F9" w14:textId="77777777" w:rsidR="00DE575E" w:rsidRDefault="002E7560">
      <w:pPr>
        <w:pStyle w:val="BodyText"/>
        <w:spacing w:line="249" w:lineRule="auto"/>
        <w:ind w:left="533" w:right="127" w:firstLine="283"/>
        <w:jc w:val="both"/>
      </w:pPr>
      <w:r>
        <w:rPr>
          <w:b/>
          <w:color w:val="231F20"/>
        </w:rPr>
        <w:t xml:space="preserve">Адміністративна дієздатність </w:t>
      </w:r>
      <w:r>
        <w:rPr>
          <w:color w:val="231F20"/>
        </w:rPr>
        <w:t>– це здатність особи (громадя- нина) своїми діями набувати та здійснювати права, виконувати покладені обов’язки та нести юридичну відповідальність.</w:t>
      </w:r>
    </w:p>
    <w:p w14:paraId="1D454431" w14:textId="77777777" w:rsidR="00DE575E" w:rsidRDefault="002E7560">
      <w:pPr>
        <w:pStyle w:val="BodyText"/>
        <w:spacing w:line="249" w:lineRule="auto"/>
        <w:ind w:left="533" w:right="127" w:firstLine="283"/>
        <w:jc w:val="both"/>
      </w:pPr>
      <w:r>
        <w:rPr>
          <w:b/>
          <w:color w:val="231F20"/>
        </w:rPr>
        <w:t xml:space="preserve">Адміністративна медіація </w:t>
      </w:r>
      <w:r>
        <w:rPr>
          <w:color w:val="231F20"/>
        </w:rPr>
        <w:t>– вид альтернативного врегулю- вання адміністративних суперечок, метод їх вирішення</w:t>
      </w:r>
      <w:r>
        <w:rPr>
          <w:color w:val="231F20"/>
        </w:rPr>
        <w:t xml:space="preserve"> із залучен- ням адміністративного медіатора (як правило, вищого керівника посадової особи, діяння якої оскаржуються), що допомагає улаго- дити публічний конфлікт – відновити порушені цінності приватної особи за умови дотримання публічного інтересу суспіль</w:t>
      </w:r>
      <w:r>
        <w:rPr>
          <w:color w:val="231F20"/>
        </w:rPr>
        <w:t>ства.</w:t>
      </w:r>
    </w:p>
    <w:p w14:paraId="0555D024" w14:textId="77777777" w:rsidR="00DE575E" w:rsidRDefault="002E7560">
      <w:pPr>
        <w:pStyle w:val="BodyText"/>
        <w:spacing w:line="249" w:lineRule="auto"/>
        <w:ind w:left="533" w:right="127" w:firstLine="283"/>
        <w:jc w:val="right"/>
      </w:pPr>
      <w:r>
        <w:rPr>
          <w:b/>
          <w:color w:val="231F20"/>
        </w:rPr>
        <w:t xml:space="preserve">Адміністративна послуга </w:t>
      </w:r>
      <w:r>
        <w:rPr>
          <w:color w:val="231F20"/>
        </w:rPr>
        <w:t xml:space="preserve">– </w:t>
      </w:r>
      <w:r>
        <w:rPr>
          <w:color w:val="231F20"/>
          <w:spacing w:val="-3"/>
        </w:rPr>
        <w:t>результат</w:t>
      </w:r>
      <w:r>
        <w:rPr>
          <w:color w:val="231F20"/>
          <w:spacing w:val="27"/>
        </w:rPr>
        <w:t xml:space="preserve"> </w:t>
      </w:r>
      <w:r>
        <w:rPr>
          <w:color w:val="231F20"/>
        </w:rPr>
        <w:t>здійснення</w:t>
      </w:r>
      <w:r>
        <w:rPr>
          <w:color w:val="231F20"/>
          <w:spacing w:val="16"/>
        </w:rPr>
        <w:t xml:space="preserve"> </w:t>
      </w:r>
      <w:r>
        <w:rPr>
          <w:color w:val="231F20"/>
        </w:rPr>
        <w:t xml:space="preserve">владних повноважень </w:t>
      </w:r>
      <w:r>
        <w:rPr>
          <w:color w:val="231F20"/>
          <w:spacing w:val="-3"/>
        </w:rPr>
        <w:t xml:space="preserve">суб’єктом </w:t>
      </w:r>
      <w:r>
        <w:rPr>
          <w:color w:val="231F20"/>
        </w:rPr>
        <w:t>надання адміністративних послуг</w:t>
      </w:r>
      <w:r>
        <w:rPr>
          <w:color w:val="231F20"/>
          <w:spacing w:val="-3"/>
        </w:rPr>
        <w:t xml:space="preserve"> </w:t>
      </w:r>
      <w:r>
        <w:rPr>
          <w:color w:val="231F20"/>
        </w:rPr>
        <w:t>за</w:t>
      </w:r>
      <w:r>
        <w:rPr>
          <w:color w:val="231F20"/>
          <w:spacing w:val="-2"/>
        </w:rPr>
        <w:t xml:space="preserve"> </w:t>
      </w:r>
      <w:r>
        <w:rPr>
          <w:color w:val="231F20"/>
        </w:rPr>
        <w:t>заявою</w:t>
      </w:r>
      <w:r>
        <w:rPr>
          <w:color w:val="231F20"/>
          <w:spacing w:val="-1"/>
        </w:rPr>
        <w:t xml:space="preserve"> </w:t>
      </w:r>
      <w:r>
        <w:rPr>
          <w:color w:val="231F20"/>
        </w:rPr>
        <w:t>фізичної</w:t>
      </w:r>
      <w:r>
        <w:rPr>
          <w:color w:val="231F20"/>
          <w:spacing w:val="30"/>
        </w:rPr>
        <w:t xml:space="preserve"> </w:t>
      </w:r>
      <w:r>
        <w:rPr>
          <w:color w:val="231F20"/>
        </w:rPr>
        <w:t>або</w:t>
      </w:r>
      <w:r>
        <w:rPr>
          <w:color w:val="231F20"/>
          <w:spacing w:val="30"/>
        </w:rPr>
        <w:t xml:space="preserve"> </w:t>
      </w:r>
      <w:r>
        <w:rPr>
          <w:color w:val="231F20"/>
        </w:rPr>
        <w:t>юридичної</w:t>
      </w:r>
      <w:r>
        <w:rPr>
          <w:color w:val="231F20"/>
          <w:spacing w:val="30"/>
        </w:rPr>
        <w:t xml:space="preserve"> </w:t>
      </w:r>
      <w:r>
        <w:rPr>
          <w:color w:val="231F20"/>
        </w:rPr>
        <w:t>особи,</w:t>
      </w:r>
      <w:r>
        <w:rPr>
          <w:color w:val="231F20"/>
          <w:spacing w:val="30"/>
        </w:rPr>
        <w:t xml:space="preserve"> </w:t>
      </w:r>
      <w:r>
        <w:rPr>
          <w:color w:val="231F20"/>
        </w:rPr>
        <w:t>спрямований</w:t>
      </w:r>
      <w:r>
        <w:rPr>
          <w:color w:val="231F20"/>
          <w:spacing w:val="30"/>
        </w:rPr>
        <w:t xml:space="preserve"> </w:t>
      </w:r>
      <w:r>
        <w:rPr>
          <w:color w:val="231F20"/>
        </w:rPr>
        <w:t>на</w:t>
      </w:r>
      <w:r>
        <w:rPr>
          <w:color w:val="231F20"/>
          <w:spacing w:val="30"/>
        </w:rPr>
        <w:t xml:space="preserve"> </w:t>
      </w:r>
      <w:r>
        <w:rPr>
          <w:color w:val="231F20"/>
        </w:rPr>
        <w:t>набуття,</w:t>
      </w:r>
      <w:r>
        <w:rPr>
          <w:color w:val="231F20"/>
          <w:spacing w:val="30"/>
        </w:rPr>
        <w:t xml:space="preserve"> </w:t>
      </w:r>
      <w:r>
        <w:rPr>
          <w:color w:val="231F20"/>
        </w:rPr>
        <w:t>зміну</w:t>
      </w:r>
      <w:r>
        <w:rPr>
          <w:color w:val="231F20"/>
          <w:spacing w:val="30"/>
        </w:rPr>
        <w:t xml:space="preserve"> </w:t>
      </w:r>
      <w:r>
        <w:rPr>
          <w:color w:val="231F20"/>
        </w:rPr>
        <w:t>чи припинення</w:t>
      </w:r>
      <w:r>
        <w:rPr>
          <w:color w:val="231F20"/>
          <w:spacing w:val="-15"/>
        </w:rPr>
        <w:t xml:space="preserve"> </w:t>
      </w:r>
      <w:r>
        <w:rPr>
          <w:color w:val="231F20"/>
        </w:rPr>
        <w:t>прав</w:t>
      </w:r>
      <w:r>
        <w:rPr>
          <w:color w:val="231F20"/>
          <w:spacing w:val="-14"/>
        </w:rPr>
        <w:t xml:space="preserve"> </w:t>
      </w:r>
      <w:r>
        <w:rPr>
          <w:color w:val="231F20"/>
        </w:rPr>
        <w:t>та/або</w:t>
      </w:r>
      <w:r>
        <w:rPr>
          <w:color w:val="231F20"/>
          <w:spacing w:val="-14"/>
        </w:rPr>
        <w:t xml:space="preserve"> </w:t>
      </w:r>
      <w:r>
        <w:rPr>
          <w:color w:val="231F20"/>
        </w:rPr>
        <w:t>обов’язків</w:t>
      </w:r>
      <w:r>
        <w:rPr>
          <w:color w:val="231F20"/>
          <w:spacing w:val="-14"/>
        </w:rPr>
        <w:t xml:space="preserve"> </w:t>
      </w:r>
      <w:r>
        <w:rPr>
          <w:color w:val="231F20"/>
        </w:rPr>
        <w:t>такої</w:t>
      </w:r>
      <w:r>
        <w:rPr>
          <w:color w:val="231F20"/>
          <w:spacing w:val="-14"/>
        </w:rPr>
        <w:t xml:space="preserve"> </w:t>
      </w:r>
      <w:r>
        <w:rPr>
          <w:color w:val="231F20"/>
        </w:rPr>
        <w:t>особи</w:t>
      </w:r>
      <w:r>
        <w:rPr>
          <w:color w:val="231F20"/>
          <w:spacing w:val="-14"/>
        </w:rPr>
        <w:t xml:space="preserve"> </w:t>
      </w:r>
      <w:r>
        <w:rPr>
          <w:color w:val="231F20"/>
        </w:rPr>
        <w:t>відповідно</w:t>
      </w:r>
      <w:r>
        <w:rPr>
          <w:color w:val="231F20"/>
          <w:spacing w:val="-15"/>
        </w:rPr>
        <w:t xml:space="preserve"> </w:t>
      </w:r>
      <w:r>
        <w:rPr>
          <w:color w:val="231F20"/>
        </w:rPr>
        <w:t>до</w:t>
      </w:r>
      <w:r>
        <w:rPr>
          <w:color w:val="231F20"/>
          <w:spacing w:val="-14"/>
        </w:rPr>
        <w:t xml:space="preserve"> </w:t>
      </w:r>
      <w:r>
        <w:rPr>
          <w:color w:val="231F20"/>
          <w:spacing w:val="-3"/>
        </w:rPr>
        <w:t>закону.</w:t>
      </w:r>
      <w:r>
        <w:rPr>
          <w:color w:val="231F20"/>
        </w:rPr>
        <w:t xml:space="preserve"> </w:t>
      </w:r>
      <w:r>
        <w:rPr>
          <w:b/>
          <w:color w:val="231F20"/>
        </w:rPr>
        <w:t xml:space="preserve">Адміністративна правоздатність </w:t>
      </w:r>
      <w:r>
        <w:rPr>
          <w:color w:val="231F20"/>
        </w:rPr>
        <w:t>– це</w:t>
      </w:r>
      <w:r>
        <w:rPr>
          <w:color w:val="231F20"/>
          <w:spacing w:val="20"/>
        </w:rPr>
        <w:t xml:space="preserve"> </w:t>
      </w:r>
      <w:r>
        <w:rPr>
          <w:color w:val="231F20"/>
        </w:rPr>
        <w:t>фактична</w:t>
      </w:r>
      <w:r>
        <w:rPr>
          <w:color w:val="231F20"/>
          <w:spacing w:val="15"/>
        </w:rPr>
        <w:t xml:space="preserve"> </w:t>
      </w:r>
      <w:r>
        <w:rPr>
          <w:color w:val="231F20"/>
        </w:rPr>
        <w:t>можливість</w:t>
      </w:r>
      <w:r>
        <w:rPr>
          <w:color w:val="231F20"/>
          <w:spacing w:val="-1"/>
        </w:rPr>
        <w:t xml:space="preserve"> </w:t>
      </w:r>
      <w:r>
        <w:rPr>
          <w:color w:val="231F20"/>
        </w:rPr>
        <w:t>особи</w:t>
      </w:r>
      <w:r>
        <w:rPr>
          <w:color w:val="231F20"/>
          <w:spacing w:val="28"/>
        </w:rPr>
        <w:t xml:space="preserve"> </w:t>
      </w:r>
      <w:r>
        <w:rPr>
          <w:color w:val="231F20"/>
        </w:rPr>
        <w:t>(громадянина)</w:t>
      </w:r>
      <w:r>
        <w:rPr>
          <w:color w:val="231F20"/>
          <w:spacing w:val="-6"/>
        </w:rPr>
        <w:t xml:space="preserve"> </w:t>
      </w:r>
      <w:r>
        <w:rPr>
          <w:color w:val="231F20"/>
        </w:rPr>
        <w:t>бути</w:t>
      </w:r>
      <w:r>
        <w:rPr>
          <w:color w:val="231F20"/>
          <w:spacing w:val="28"/>
        </w:rPr>
        <w:t xml:space="preserve"> </w:t>
      </w:r>
      <w:r>
        <w:rPr>
          <w:color w:val="231F20"/>
        </w:rPr>
        <w:t>носієм</w:t>
      </w:r>
      <w:r>
        <w:rPr>
          <w:color w:val="231F20"/>
          <w:spacing w:val="28"/>
        </w:rPr>
        <w:t xml:space="preserve"> </w:t>
      </w:r>
      <w:r>
        <w:rPr>
          <w:color w:val="231F20"/>
        </w:rPr>
        <w:t>прав</w:t>
      </w:r>
      <w:r>
        <w:rPr>
          <w:color w:val="231F20"/>
          <w:spacing w:val="28"/>
        </w:rPr>
        <w:t xml:space="preserve"> </w:t>
      </w:r>
      <w:r>
        <w:rPr>
          <w:color w:val="231F20"/>
        </w:rPr>
        <w:t>і</w:t>
      </w:r>
      <w:r>
        <w:rPr>
          <w:color w:val="231F20"/>
          <w:spacing w:val="27"/>
        </w:rPr>
        <w:t xml:space="preserve"> </w:t>
      </w:r>
      <w:r>
        <w:rPr>
          <w:color w:val="231F20"/>
        </w:rPr>
        <w:t>обов’язків</w:t>
      </w:r>
      <w:r>
        <w:rPr>
          <w:color w:val="231F20"/>
          <w:spacing w:val="28"/>
        </w:rPr>
        <w:t xml:space="preserve"> </w:t>
      </w:r>
      <w:r>
        <w:rPr>
          <w:color w:val="231F20"/>
        </w:rPr>
        <w:t>у</w:t>
      </w:r>
      <w:r>
        <w:rPr>
          <w:color w:val="231F20"/>
          <w:spacing w:val="27"/>
        </w:rPr>
        <w:t xml:space="preserve"> </w:t>
      </w:r>
      <w:r>
        <w:rPr>
          <w:color w:val="231F20"/>
        </w:rPr>
        <w:t>сфері</w:t>
      </w:r>
      <w:r>
        <w:rPr>
          <w:color w:val="231F20"/>
          <w:spacing w:val="28"/>
        </w:rPr>
        <w:t xml:space="preserve"> </w:t>
      </w:r>
      <w:r>
        <w:rPr>
          <w:color w:val="231F20"/>
        </w:rPr>
        <w:t>публіч- ного</w:t>
      </w:r>
      <w:r>
        <w:rPr>
          <w:color w:val="231F20"/>
          <w:spacing w:val="-7"/>
        </w:rPr>
        <w:t xml:space="preserve"> </w:t>
      </w:r>
      <w:r>
        <w:rPr>
          <w:color w:val="231F20"/>
        </w:rPr>
        <w:t>адміністрування.</w:t>
      </w:r>
      <w:r>
        <w:rPr>
          <w:color w:val="231F20"/>
          <w:spacing w:val="-7"/>
        </w:rPr>
        <w:t xml:space="preserve"> </w:t>
      </w:r>
      <w:r>
        <w:rPr>
          <w:color w:val="231F20"/>
        </w:rPr>
        <w:t>Вона</w:t>
      </w:r>
      <w:r>
        <w:rPr>
          <w:color w:val="231F20"/>
          <w:spacing w:val="-7"/>
        </w:rPr>
        <w:t xml:space="preserve"> </w:t>
      </w:r>
      <w:r>
        <w:rPr>
          <w:color w:val="231F20"/>
        </w:rPr>
        <w:t>виникає</w:t>
      </w:r>
      <w:r>
        <w:rPr>
          <w:color w:val="231F20"/>
          <w:spacing w:val="-7"/>
        </w:rPr>
        <w:t xml:space="preserve"> </w:t>
      </w:r>
      <w:r>
        <w:rPr>
          <w:color w:val="231F20"/>
        </w:rPr>
        <w:t>з</w:t>
      </w:r>
      <w:r>
        <w:rPr>
          <w:color w:val="231F20"/>
          <w:spacing w:val="-7"/>
        </w:rPr>
        <w:t xml:space="preserve"> </w:t>
      </w:r>
      <w:r>
        <w:rPr>
          <w:color w:val="231F20"/>
        </w:rPr>
        <w:t>моменту</w:t>
      </w:r>
      <w:r>
        <w:rPr>
          <w:color w:val="231F20"/>
          <w:spacing w:val="-7"/>
        </w:rPr>
        <w:t xml:space="preserve"> </w:t>
      </w:r>
      <w:r>
        <w:rPr>
          <w:color w:val="231F20"/>
        </w:rPr>
        <w:t>народження</w:t>
      </w:r>
      <w:r>
        <w:rPr>
          <w:color w:val="231F20"/>
          <w:spacing w:val="-7"/>
        </w:rPr>
        <w:t xml:space="preserve"> </w:t>
      </w:r>
      <w:r>
        <w:rPr>
          <w:color w:val="231F20"/>
        </w:rPr>
        <w:t>людини</w:t>
      </w:r>
      <w:r>
        <w:rPr>
          <w:color w:val="231F20"/>
          <w:spacing w:val="-1"/>
        </w:rPr>
        <w:t xml:space="preserve"> </w:t>
      </w:r>
      <w:r>
        <w:rPr>
          <w:color w:val="231F20"/>
        </w:rPr>
        <w:t>й</w:t>
      </w:r>
      <w:r>
        <w:rPr>
          <w:color w:val="231F20"/>
          <w:spacing w:val="16"/>
        </w:rPr>
        <w:t xml:space="preserve"> </w:t>
      </w:r>
      <w:r>
        <w:rPr>
          <w:color w:val="231F20"/>
        </w:rPr>
        <w:t>підтверджується</w:t>
      </w:r>
      <w:r>
        <w:rPr>
          <w:color w:val="231F20"/>
          <w:spacing w:val="16"/>
        </w:rPr>
        <w:t xml:space="preserve"> </w:t>
      </w:r>
      <w:r>
        <w:rPr>
          <w:color w:val="231F20"/>
        </w:rPr>
        <w:t>документами</w:t>
      </w:r>
      <w:r>
        <w:rPr>
          <w:color w:val="231F20"/>
          <w:spacing w:val="16"/>
        </w:rPr>
        <w:t xml:space="preserve"> </w:t>
      </w:r>
      <w:r>
        <w:rPr>
          <w:color w:val="231F20"/>
        </w:rPr>
        <w:t>про</w:t>
      </w:r>
      <w:r>
        <w:rPr>
          <w:color w:val="231F20"/>
          <w:spacing w:val="16"/>
        </w:rPr>
        <w:t xml:space="preserve"> </w:t>
      </w:r>
      <w:r>
        <w:rPr>
          <w:color w:val="231F20"/>
        </w:rPr>
        <w:t>громадянство</w:t>
      </w:r>
      <w:r>
        <w:rPr>
          <w:color w:val="231F20"/>
          <w:spacing w:val="15"/>
        </w:rPr>
        <w:t xml:space="preserve"> </w:t>
      </w:r>
      <w:r>
        <w:rPr>
          <w:color w:val="231F20"/>
        </w:rPr>
        <w:t>–</w:t>
      </w:r>
      <w:r>
        <w:rPr>
          <w:color w:val="231F20"/>
          <w:spacing w:val="16"/>
        </w:rPr>
        <w:t xml:space="preserve"> </w:t>
      </w:r>
      <w:r>
        <w:rPr>
          <w:color w:val="231F20"/>
        </w:rPr>
        <w:t xml:space="preserve">паспортом громадянина </w:t>
      </w:r>
      <w:r>
        <w:rPr>
          <w:color w:val="231F20"/>
          <w:spacing w:val="-3"/>
        </w:rPr>
        <w:t xml:space="preserve">України, </w:t>
      </w:r>
      <w:r>
        <w:rPr>
          <w:color w:val="231F20"/>
        </w:rPr>
        <w:t>а для осіб до 14 років – свідоцтвом</w:t>
      </w:r>
      <w:r>
        <w:rPr>
          <w:color w:val="231F20"/>
          <w:spacing w:val="-21"/>
        </w:rPr>
        <w:t xml:space="preserve"> </w:t>
      </w:r>
      <w:r>
        <w:rPr>
          <w:color w:val="231F20"/>
        </w:rPr>
        <w:t>про</w:t>
      </w:r>
      <w:r>
        <w:rPr>
          <w:color w:val="231F20"/>
          <w:spacing w:val="-3"/>
        </w:rPr>
        <w:t xml:space="preserve"> </w:t>
      </w:r>
      <w:r>
        <w:rPr>
          <w:color w:val="231F20"/>
        </w:rPr>
        <w:t>народ- ження.</w:t>
      </w:r>
      <w:r>
        <w:rPr>
          <w:color w:val="231F20"/>
          <w:spacing w:val="23"/>
        </w:rPr>
        <w:t xml:space="preserve"> </w:t>
      </w:r>
      <w:r>
        <w:rPr>
          <w:color w:val="231F20"/>
        </w:rPr>
        <w:t>Правоздатність</w:t>
      </w:r>
      <w:r>
        <w:rPr>
          <w:color w:val="231F20"/>
          <w:spacing w:val="23"/>
        </w:rPr>
        <w:t xml:space="preserve"> </w:t>
      </w:r>
      <w:r>
        <w:rPr>
          <w:color w:val="231F20"/>
        </w:rPr>
        <w:t>не</w:t>
      </w:r>
      <w:r>
        <w:rPr>
          <w:color w:val="231F20"/>
          <w:spacing w:val="23"/>
        </w:rPr>
        <w:t xml:space="preserve"> </w:t>
      </w:r>
      <w:r>
        <w:rPr>
          <w:color w:val="231F20"/>
        </w:rPr>
        <w:t>може</w:t>
      </w:r>
      <w:r>
        <w:rPr>
          <w:color w:val="231F20"/>
          <w:spacing w:val="23"/>
        </w:rPr>
        <w:t xml:space="preserve"> </w:t>
      </w:r>
      <w:r>
        <w:rPr>
          <w:color w:val="231F20"/>
        </w:rPr>
        <w:t>бути</w:t>
      </w:r>
      <w:r>
        <w:rPr>
          <w:color w:val="231F20"/>
          <w:spacing w:val="23"/>
        </w:rPr>
        <w:t xml:space="preserve"> </w:t>
      </w:r>
      <w:r>
        <w:rPr>
          <w:color w:val="231F20"/>
        </w:rPr>
        <w:t>обмежена</w:t>
      </w:r>
      <w:r>
        <w:rPr>
          <w:color w:val="231F20"/>
          <w:spacing w:val="23"/>
        </w:rPr>
        <w:t xml:space="preserve"> </w:t>
      </w:r>
      <w:r>
        <w:rPr>
          <w:color w:val="231F20"/>
        </w:rPr>
        <w:t>або</w:t>
      </w:r>
      <w:r>
        <w:rPr>
          <w:color w:val="231F20"/>
          <w:spacing w:val="23"/>
        </w:rPr>
        <w:t xml:space="preserve"> </w:t>
      </w:r>
      <w:r>
        <w:rPr>
          <w:color w:val="231F20"/>
        </w:rPr>
        <w:t>відчужена.</w:t>
      </w:r>
      <w:r>
        <w:rPr>
          <w:color w:val="231F20"/>
          <w:spacing w:val="23"/>
        </w:rPr>
        <w:t xml:space="preserve"> </w:t>
      </w:r>
      <w:r>
        <w:rPr>
          <w:color w:val="231F20"/>
        </w:rPr>
        <w:t>Від</w:t>
      </w:r>
    </w:p>
    <w:p w14:paraId="481E9B5E" w14:textId="77777777" w:rsidR="00DE575E" w:rsidRDefault="00DE575E">
      <w:pPr>
        <w:pStyle w:val="BodyText"/>
        <w:spacing w:before="9"/>
        <w:rPr>
          <w:sz w:val="16"/>
        </w:rPr>
      </w:pPr>
    </w:p>
    <w:p w14:paraId="593B3805" w14:textId="77777777" w:rsidR="00DE575E" w:rsidRDefault="002E7560">
      <w:pPr>
        <w:spacing w:before="92"/>
        <w:ind w:left="533"/>
        <w:rPr>
          <w:rFonts w:ascii="Times New Roman"/>
          <w:sz w:val="20"/>
        </w:rPr>
      </w:pPr>
      <w:r>
        <w:rPr>
          <w:rFonts w:ascii="Times New Roman"/>
          <w:color w:val="231F20"/>
          <w:sz w:val="20"/>
        </w:rPr>
        <w:t>528</w:t>
      </w:r>
    </w:p>
    <w:p w14:paraId="4FE0ED9C" w14:textId="77777777" w:rsidR="00DE575E" w:rsidRDefault="00DE575E">
      <w:pPr>
        <w:rPr>
          <w:rFonts w:ascii="Times New Roman"/>
          <w:sz w:val="20"/>
        </w:rPr>
        <w:sectPr w:rsidR="00DE575E">
          <w:pgSz w:w="8510" w:h="12760"/>
          <w:pgMar w:top="1180" w:right="720" w:bottom="280" w:left="600" w:header="720" w:footer="720" w:gutter="0"/>
          <w:cols w:space="720"/>
        </w:sectPr>
      </w:pPr>
    </w:p>
    <w:p w14:paraId="030852B1"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7158FBAE" w14:textId="3342B78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83C1902" wp14:editId="75E6D33D">
                <wp:extent cx="4140200" cy="6350"/>
                <wp:effectExtent l="0" t="0" r="12700" b="6350"/>
                <wp:docPr id="10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8" name="Line 10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A27C75" id="Group_x0020_10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FhpYs1/AgAAmAUAAA4A&#10;AAAAAAAAAAAAAAAALAIAAGRycy9lMm9Eb2MueG1sUEsBAi0AFAAGAAgAAAAhAEynsJDZAAAAAwEA&#10;AA8AAAAAAAAAAAAAAAAA1wQAAGRycy9kb3ducmV2LnhtbFBLBQYAAAAABAAEAPMAAADdBQAAAAA=&#10;">
                <v:line id="Line_x0020_10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JFc8YAAADcAAAADwAAAGRycy9kb3ducmV2LnhtbESPQWvCQBCF74X+h2UKvZS6sUIpqauU&#10;glB6UGv6A8bsmAR3Z2N2NdFf7xwEbzO8N+99M50P3qkTdbEJbGA8ykARl8E2XBn4LxavH6BiQrbo&#10;ApOBM0WYzx4fppjb0PMfnTapUhLCMUcDdUptrnUsa/IYR6ElFm0XOo9J1q7StsNewr3Tb1n2rj02&#10;LA01tvRdU7nfHL2B4vCS3Hr16/pitZ3o7WE5uRyXxjw/DV+foBIN6W6+Xf9Ywc+EVp6RCfTs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yRXPGAAAA3AAAAA8AAAAAAAAA&#10;AAAAAAAAoQIAAGRycy9kb3ducmV2LnhtbFBLBQYAAAAABAAEAPkAAACUAwAAAAA=&#10;" strokecolor="#231f20" strokeweight=".5pt"/>
                <w10:anchorlock/>
              </v:group>
            </w:pict>
          </mc:Fallback>
        </mc:AlternateContent>
      </w:r>
    </w:p>
    <w:p w14:paraId="7DBC48EE" w14:textId="77777777" w:rsidR="00DE575E" w:rsidRDefault="00DE575E">
      <w:pPr>
        <w:pStyle w:val="BodyText"/>
        <w:spacing w:before="7"/>
        <w:rPr>
          <w:rFonts w:ascii="AdonisC"/>
          <w:i/>
          <w:sz w:val="19"/>
        </w:rPr>
      </w:pPr>
    </w:p>
    <w:p w14:paraId="3B46DA02" w14:textId="77777777" w:rsidR="00DE575E" w:rsidRDefault="002E7560">
      <w:pPr>
        <w:pStyle w:val="BodyText"/>
        <w:spacing w:before="1" w:line="252" w:lineRule="auto"/>
        <w:ind w:left="250" w:right="411"/>
        <w:jc w:val="both"/>
      </w:pPr>
      <w:r>
        <w:rPr>
          <w:color w:val="231F20"/>
        </w:rPr>
        <w:t>неї неможливо відмовитися добровільно, оскільки така відмова не має юридичної сили. Правоздатність людини утворює юридичне поняття особи і громадянина.</w:t>
      </w:r>
    </w:p>
    <w:p w14:paraId="282648D5" w14:textId="77777777" w:rsidR="00DE575E" w:rsidRDefault="002E7560">
      <w:pPr>
        <w:pStyle w:val="BodyText"/>
        <w:spacing w:before="1" w:line="252" w:lineRule="auto"/>
        <w:ind w:left="250" w:right="411" w:firstLine="283"/>
        <w:jc w:val="both"/>
      </w:pPr>
      <w:r>
        <w:rPr>
          <w:b/>
          <w:color w:val="231F20"/>
        </w:rPr>
        <w:t xml:space="preserve">Адміністративна процедура </w:t>
      </w:r>
      <w:r>
        <w:rPr>
          <w:color w:val="231F20"/>
        </w:rPr>
        <w:t>– установлений чинним законо- давством порядок розгляду суб’єктами публічного адміністрування індивідуальних адміністративних справ щодо реалізації та захисту прав, свобод і законних інтересів окремої фізичної та юридичної особи, що завершується ухваленням</w:t>
      </w:r>
      <w:r>
        <w:rPr>
          <w:color w:val="231F20"/>
        </w:rPr>
        <w:t xml:space="preserve"> адміністративного акта.</w:t>
      </w:r>
    </w:p>
    <w:p w14:paraId="5FC4DF81" w14:textId="77777777" w:rsidR="00DE575E" w:rsidRDefault="002E7560">
      <w:pPr>
        <w:pStyle w:val="BodyText"/>
        <w:spacing w:before="3" w:line="252" w:lineRule="auto"/>
        <w:ind w:left="250" w:right="411" w:firstLine="283"/>
        <w:jc w:val="both"/>
      </w:pPr>
      <w:r>
        <w:rPr>
          <w:b/>
          <w:color w:val="231F20"/>
        </w:rPr>
        <w:t xml:space="preserve">Адміністративна процедура (стадії) </w:t>
      </w:r>
      <w:r>
        <w:rPr>
          <w:color w:val="231F20"/>
        </w:rPr>
        <w:t>– послідовно взаємоза- мінні операції, що логічно пов’язані між собою та спрямовані на забезпечення здійснення адміністративної процедури: 1) підго- товка справи до розгляду; 2) розгляд і вирішенн</w:t>
      </w:r>
      <w:r>
        <w:rPr>
          <w:color w:val="231F20"/>
        </w:rPr>
        <w:t>я справи; 3) оформ- лення адміністративного акта, його доведення до відома адресатів та заінтересованих осіб; 4) перегляд адміністративного акта.</w:t>
      </w:r>
    </w:p>
    <w:p w14:paraId="1EBF46AF" w14:textId="77777777" w:rsidR="00DE575E" w:rsidRDefault="002E7560">
      <w:pPr>
        <w:pStyle w:val="BodyText"/>
        <w:spacing w:before="3" w:line="252" w:lineRule="auto"/>
        <w:ind w:left="250" w:right="411" w:firstLine="283"/>
        <w:jc w:val="both"/>
      </w:pPr>
      <w:r>
        <w:rPr>
          <w:b/>
          <w:color w:val="231F20"/>
        </w:rPr>
        <w:t xml:space="preserve">Адміністративна процедура відшкодування </w:t>
      </w:r>
      <w:r>
        <w:rPr>
          <w:b/>
          <w:color w:val="231F20"/>
          <w:spacing w:val="-4"/>
        </w:rPr>
        <w:t>шкоди</w:t>
      </w:r>
      <w:r>
        <w:rPr>
          <w:color w:val="231F20"/>
          <w:spacing w:val="-4"/>
        </w:rPr>
        <w:t xml:space="preserve">,  </w:t>
      </w:r>
      <w:r>
        <w:rPr>
          <w:color w:val="231F20"/>
        </w:rPr>
        <w:t xml:space="preserve">завда- ної </w:t>
      </w:r>
      <w:r>
        <w:rPr>
          <w:color w:val="231F20"/>
          <w:spacing w:val="-3"/>
        </w:rPr>
        <w:t xml:space="preserve">суб’єктами </w:t>
      </w:r>
      <w:r>
        <w:rPr>
          <w:color w:val="231F20"/>
        </w:rPr>
        <w:t>публічної адміністрації, складається з д</w:t>
      </w:r>
      <w:r>
        <w:rPr>
          <w:color w:val="231F20"/>
        </w:rPr>
        <w:t>вох основних стадій, які поділені на певні етапи й адміністративні дії: 1) отри- мання та передання відповідному розпоряднику бюджетних</w:t>
      </w:r>
      <w:r>
        <w:rPr>
          <w:color w:val="231F20"/>
          <w:spacing w:val="-25"/>
        </w:rPr>
        <w:t xml:space="preserve"> </w:t>
      </w:r>
      <w:r>
        <w:rPr>
          <w:color w:val="231F20"/>
        </w:rPr>
        <w:t>коштів адміністративного акта, яким задокументовано рішення про зміст й особливості відшкодування завданої шкоди; 2) без</w:t>
      </w:r>
      <w:r>
        <w:rPr>
          <w:color w:val="231F20"/>
        </w:rPr>
        <w:t>посереднє відшкодування розпорядником коштів шкоди через перерахування з бюджету визначеної суми особі, якій завдано</w:t>
      </w:r>
      <w:r>
        <w:rPr>
          <w:color w:val="231F20"/>
          <w:spacing w:val="-10"/>
        </w:rPr>
        <w:t xml:space="preserve"> </w:t>
      </w:r>
      <w:r>
        <w:rPr>
          <w:color w:val="231F20"/>
        </w:rPr>
        <w:t>шкоди.</w:t>
      </w:r>
    </w:p>
    <w:p w14:paraId="2B0773DA" w14:textId="77777777" w:rsidR="00DE575E" w:rsidRDefault="002E7560">
      <w:pPr>
        <w:pStyle w:val="BodyText"/>
        <w:spacing w:before="4" w:line="252" w:lineRule="auto"/>
        <w:ind w:left="250" w:right="411" w:firstLine="283"/>
        <w:jc w:val="both"/>
      </w:pPr>
      <w:r>
        <w:rPr>
          <w:b/>
          <w:color w:val="231F20"/>
        </w:rPr>
        <w:t xml:space="preserve">Адміністративне оскарження </w:t>
      </w:r>
      <w:r>
        <w:rPr>
          <w:color w:val="231F20"/>
        </w:rPr>
        <w:t>(поняття) – адміністративно- правовий</w:t>
      </w:r>
      <w:r>
        <w:rPr>
          <w:color w:val="231F20"/>
          <w:spacing w:val="-8"/>
        </w:rPr>
        <w:t xml:space="preserve"> </w:t>
      </w:r>
      <w:r>
        <w:rPr>
          <w:color w:val="231F20"/>
        </w:rPr>
        <w:t>спосіб</w:t>
      </w:r>
      <w:r>
        <w:rPr>
          <w:color w:val="231F20"/>
          <w:spacing w:val="-8"/>
        </w:rPr>
        <w:t xml:space="preserve"> </w:t>
      </w:r>
      <w:r>
        <w:rPr>
          <w:color w:val="231F20"/>
        </w:rPr>
        <w:t>захисту</w:t>
      </w:r>
      <w:r>
        <w:rPr>
          <w:color w:val="231F20"/>
          <w:spacing w:val="-8"/>
        </w:rPr>
        <w:t xml:space="preserve"> </w:t>
      </w:r>
      <w:r>
        <w:rPr>
          <w:color w:val="231F20"/>
        </w:rPr>
        <w:t>приватної</w:t>
      </w:r>
      <w:r>
        <w:rPr>
          <w:color w:val="231F20"/>
          <w:spacing w:val="-8"/>
        </w:rPr>
        <w:t xml:space="preserve"> </w:t>
      </w:r>
      <w:r>
        <w:rPr>
          <w:color w:val="231F20"/>
        </w:rPr>
        <w:t>особи</w:t>
      </w:r>
      <w:r>
        <w:rPr>
          <w:color w:val="231F20"/>
          <w:spacing w:val="-8"/>
        </w:rPr>
        <w:t xml:space="preserve"> </w:t>
      </w:r>
      <w:r>
        <w:rPr>
          <w:color w:val="231F20"/>
        </w:rPr>
        <w:t>від</w:t>
      </w:r>
      <w:r>
        <w:rPr>
          <w:color w:val="231F20"/>
          <w:spacing w:val="-8"/>
        </w:rPr>
        <w:t xml:space="preserve"> </w:t>
      </w:r>
      <w:r>
        <w:rPr>
          <w:color w:val="231F20"/>
        </w:rPr>
        <w:t>порушень</w:t>
      </w:r>
      <w:r>
        <w:rPr>
          <w:color w:val="231F20"/>
          <w:spacing w:val="-8"/>
        </w:rPr>
        <w:t xml:space="preserve"> </w:t>
      </w:r>
      <w:r>
        <w:rPr>
          <w:color w:val="231F20"/>
        </w:rPr>
        <w:t>з</w:t>
      </w:r>
      <w:r>
        <w:rPr>
          <w:color w:val="231F20"/>
          <w:spacing w:val="-8"/>
        </w:rPr>
        <w:t xml:space="preserve"> </w:t>
      </w:r>
      <w:r>
        <w:rPr>
          <w:color w:val="231F20"/>
        </w:rPr>
        <w:t>боку</w:t>
      </w:r>
      <w:r>
        <w:rPr>
          <w:color w:val="231F20"/>
          <w:spacing w:val="-8"/>
        </w:rPr>
        <w:t xml:space="preserve"> </w:t>
      </w:r>
      <w:r>
        <w:rPr>
          <w:color w:val="231F20"/>
          <w:spacing w:val="-4"/>
        </w:rPr>
        <w:t xml:space="preserve">суб’єк- </w:t>
      </w:r>
      <w:r>
        <w:rPr>
          <w:color w:val="231F20"/>
        </w:rPr>
        <w:t>тів публічної адміністрації, зміст якого полягає у зверненні до вищого</w:t>
      </w:r>
      <w:r>
        <w:rPr>
          <w:color w:val="231F20"/>
          <w:spacing w:val="-17"/>
        </w:rPr>
        <w:t xml:space="preserve"> </w:t>
      </w:r>
      <w:r>
        <w:rPr>
          <w:color w:val="231F20"/>
        </w:rPr>
        <w:t>органу</w:t>
      </w:r>
      <w:r>
        <w:rPr>
          <w:color w:val="231F20"/>
          <w:spacing w:val="-17"/>
        </w:rPr>
        <w:t xml:space="preserve"> </w:t>
      </w:r>
      <w:r>
        <w:rPr>
          <w:color w:val="231F20"/>
        </w:rPr>
        <w:t>або</w:t>
      </w:r>
      <w:r>
        <w:rPr>
          <w:color w:val="231F20"/>
          <w:spacing w:val="-17"/>
        </w:rPr>
        <w:t xml:space="preserve"> </w:t>
      </w:r>
      <w:r>
        <w:rPr>
          <w:color w:val="231F20"/>
        </w:rPr>
        <w:t>посадової</w:t>
      </w:r>
      <w:r>
        <w:rPr>
          <w:color w:val="231F20"/>
          <w:spacing w:val="-17"/>
        </w:rPr>
        <w:t xml:space="preserve"> </w:t>
      </w:r>
      <w:r>
        <w:rPr>
          <w:color w:val="231F20"/>
        </w:rPr>
        <w:t>особи</w:t>
      </w:r>
      <w:r>
        <w:rPr>
          <w:color w:val="231F20"/>
          <w:spacing w:val="-17"/>
        </w:rPr>
        <w:t xml:space="preserve"> </w:t>
      </w:r>
      <w:r>
        <w:rPr>
          <w:color w:val="231F20"/>
        </w:rPr>
        <w:t>щодо</w:t>
      </w:r>
      <w:r>
        <w:rPr>
          <w:color w:val="231F20"/>
          <w:spacing w:val="-17"/>
        </w:rPr>
        <w:t xml:space="preserve"> </w:t>
      </w:r>
      <w:r>
        <w:rPr>
          <w:color w:val="231F20"/>
        </w:rPr>
        <w:t>незаконності</w:t>
      </w:r>
      <w:r>
        <w:rPr>
          <w:color w:val="231F20"/>
          <w:spacing w:val="-17"/>
        </w:rPr>
        <w:t xml:space="preserve"> </w:t>
      </w:r>
      <w:r>
        <w:rPr>
          <w:color w:val="231F20"/>
        </w:rPr>
        <w:t>рішень,</w:t>
      </w:r>
      <w:r>
        <w:rPr>
          <w:color w:val="231F20"/>
          <w:spacing w:val="-17"/>
        </w:rPr>
        <w:t xml:space="preserve"> </w:t>
      </w:r>
      <w:r>
        <w:rPr>
          <w:color w:val="231F20"/>
        </w:rPr>
        <w:t xml:space="preserve">діяль- ності (бездіяльності) підпорядкованого </w:t>
      </w:r>
      <w:r>
        <w:rPr>
          <w:color w:val="231F20"/>
          <w:spacing w:val="-3"/>
        </w:rPr>
        <w:t xml:space="preserve">суб’єкта, </w:t>
      </w:r>
      <w:r>
        <w:rPr>
          <w:color w:val="231F20"/>
        </w:rPr>
        <w:t>з метою віднов- лення порушених цінностей, притягнення винних осіб до спеціа</w:t>
      </w:r>
      <w:r>
        <w:rPr>
          <w:color w:val="231F20"/>
        </w:rPr>
        <w:t>ль- ної дисциплінарної відповідальності та попередження аналогічних випадків у</w:t>
      </w:r>
      <w:r>
        <w:rPr>
          <w:color w:val="231F20"/>
          <w:spacing w:val="-2"/>
        </w:rPr>
        <w:t xml:space="preserve"> </w:t>
      </w:r>
      <w:r>
        <w:rPr>
          <w:color w:val="231F20"/>
          <w:spacing w:val="-3"/>
        </w:rPr>
        <w:t>подальшому.</w:t>
      </w:r>
    </w:p>
    <w:p w14:paraId="57F44896" w14:textId="77777777" w:rsidR="00DE575E" w:rsidRDefault="002E7560">
      <w:pPr>
        <w:pStyle w:val="BodyText"/>
        <w:spacing w:before="3" w:line="252" w:lineRule="auto"/>
        <w:ind w:left="250" w:right="410" w:firstLine="283"/>
        <w:jc w:val="both"/>
      </w:pPr>
      <w:r>
        <w:rPr>
          <w:color w:val="231F20"/>
        </w:rPr>
        <w:t>А</w:t>
      </w:r>
      <w:r>
        <w:rPr>
          <w:b/>
          <w:color w:val="231F20"/>
        </w:rPr>
        <w:t>дміністративне</w:t>
      </w:r>
      <w:r>
        <w:rPr>
          <w:b/>
          <w:color w:val="231F20"/>
          <w:spacing w:val="-19"/>
        </w:rPr>
        <w:t xml:space="preserve"> </w:t>
      </w:r>
      <w:r>
        <w:rPr>
          <w:b/>
          <w:color w:val="231F20"/>
        </w:rPr>
        <w:t>оскарження</w:t>
      </w:r>
      <w:r>
        <w:rPr>
          <w:b/>
          <w:color w:val="231F20"/>
          <w:spacing w:val="-20"/>
        </w:rPr>
        <w:t xml:space="preserve"> </w:t>
      </w:r>
      <w:r>
        <w:rPr>
          <w:color w:val="231F20"/>
        </w:rPr>
        <w:t>(сутність)</w:t>
      </w:r>
      <w:r>
        <w:rPr>
          <w:color w:val="231F20"/>
          <w:spacing w:val="-19"/>
        </w:rPr>
        <w:t xml:space="preserve"> </w:t>
      </w:r>
      <w:r>
        <w:rPr>
          <w:color w:val="231F20"/>
        </w:rPr>
        <w:t>–</w:t>
      </w:r>
      <w:r>
        <w:rPr>
          <w:color w:val="231F20"/>
          <w:spacing w:val="-19"/>
        </w:rPr>
        <w:t xml:space="preserve"> </w:t>
      </w:r>
      <w:r>
        <w:rPr>
          <w:color w:val="231F20"/>
        </w:rPr>
        <w:t>1)</w:t>
      </w:r>
      <w:r>
        <w:rPr>
          <w:color w:val="231F20"/>
          <w:spacing w:val="-10"/>
        </w:rPr>
        <w:t xml:space="preserve"> </w:t>
      </w:r>
      <w:r>
        <w:rPr>
          <w:color w:val="231F20"/>
        </w:rPr>
        <w:t>один</w:t>
      </w:r>
      <w:r>
        <w:rPr>
          <w:color w:val="231F20"/>
          <w:spacing w:val="-19"/>
        </w:rPr>
        <w:t xml:space="preserve"> </w:t>
      </w:r>
      <w:r>
        <w:rPr>
          <w:color w:val="231F20"/>
        </w:rPr>
        <w:t>із</w:t>
      </w:r>
      <w:r>
        <w:rPr>
          <w:color w:val="231F20"/>
          <w:spacing w:val="-19"/>
        </w:rPr>
        <w:t xml:space="preserve"> </w:t>
      </w:r>
      <w:r>
        <w:rPr>
          <w:color w:val="231F20"/>
        </w:rPr>
        <w:t>видів</w:t>
      </w:r>
      <w:r>
        <w:rPr>
          <w:color w:val="231F20"/>
          <w:spacing w:val="-19"/>
        </w:rPr>
        <w:t xml:space="preserve"> </w:t>
      </w:r>
      <w:r>
        <w:rPr>
          <w:color w:val="231F20"/>
        </w:rPr>
        <w:t>право- вого</w:t>
      </w:r>
      <w:r>
        <w:rPr>
          <w:color w:val="231F20"/>
          <w:spacing w:val="-7"/>
        </w:rPr>
        <w:t xml:space="preserve"> </w:t>
      </w:r>
      <w:r>
        <w:rPr>
          <w:color w:val="231F20"/>
        </w:rPr>
        <w:t>захисту</w:t>
      </w:r>
      <w:r>
        <w:rPr>
          <w:color w:val="231F20"/>
          <w:spacing w:val="-7"/>
        </w:rPr>
        <w:t xml:space="preserve"> </w:t>
      </w:r>
      <w:r>
        <w:rPr>
          <w:color w:val="231F20"/>
        </w:rPr>
        <w:t>особи</w:t>
      </w:r>
      <w:r>
        <w:rPr>
          <w:color w:val="231F20"/>
          <w:spacing w:val="-7"/>
        </w:rPr>
        <w:t xml:space="preserve"> </w:t>
      </w:r>
      <w:r>
        <w:rPr>
          <w:color w:val="231F20"/>
        </w:rPr>
        <w:t>в</w:t>
      </w:r>
      <w:r>
        <w:rPr>
          <w:color w:val="231F20"/>
          <w:spacing w:val="-8"/>
        </w:rPr>
        <w:t xml:space="preserve"> </w:t>
      </w:r>
      <w:r>
        <w:rPr>
          <w:color w:val="231F20"/>
        </w:rPr>
        <w:t>адміністративно-правових</w:t>
      </w:r>
      <w:r>
        <w:rPr>
          <w:color w:val="231F20"/>
          <w:spacing w:val="-8"/>
        </w:rPr>
        <w:t xml:space="preserve"> </w:t>
      </w:r>
      <w:r>
        <w:rPr>
          <w:color w:val="231F20"/>
        </w:rPr>
        <w:t>відносинах</w:t>
      </w:r>
      <w:r>
        <w:rPr>
          <w:color w:val="231F20"/>
          <w:spacing w:val="-7"/>
        </w:rPr>
        <w:t xml:space="preserve"> </w:t>
      </w:r>
      <w:r>
        <w:rPr>
          <w:color w:val="231F20"/>
        </w:rPr>
        <w:t>із</w:t>
      </w:r>
      <w:r>
        <w:rPr>
          <w:color w:val="231F20"/>
          <w:spacing w:val="-7"/>
        </w:rPr>
        <w:t xml:space="preserve"> </w:t>
      </w:r>
      <w:r>
        <w:rPr>
          <w:color w:val="231F20"/>
          <w:spacing w:val="-3"/>
        </w:rPr>
        <w:t xml:space="preserve">суб’єк- </w:t>
      </w:r>
      <w:r>
        <w:rPr>
          <w:color w:val="231F20"/>
        </w:rPr>
        <w:t xml:space="preserve">тами публічної адміністрації, який становить собою звернення до вищого органу або посадової особи щодо незаконності рішень, дій чи бездіяльності підпорядкованого </w:t>
      </w:r>
      <w:r>
        <w:rPr>
          <w:color w:val="231F20"/>
          <w:spacing w:val="-3"/>
        </w:rPr>
        <w:t xml:space="preserve">суб’єкта; </w:t>
      </w:r>
      <w:r>
        <w:rPr>
          <w:color w:val="231F20"/>
        </w:rPr>
        <w:t>2) свідома вольова, цілеспрямована</w:t>
      </w:r>
      <w:r>
        <w:rPr>
          <w:color w:val="231F20"/>
          <w:spacing w:val="-8"/>
        </w:rPr>
        <w:t xml:space="preserve"> </w:t>
      </w:r>
      <w:r>
        <w:rPr>
          <w:color w:val="231F20"/>
        </w:rPr>
        <w:t>поведінка</w:t>
      </w:r>
      <w:r>
        <w:rPr>
          <w:color w:val="231F20"/>
          <w:spacing w:val="-8"/>
        </w:rPr>
        <w:t xml:space="preserve"> </w:t>
      </w:r>
      <w:r>
        <w:rPr>
          <w:color w:val="231F20"/>
        </w:rPr>
        <w:t>фізичної</w:t>
      </w:r>
      <w:r>
        <w:rPr>
          <w:color w:val="231F20"/>
          <w:spacing w:val="-8"/>
        </w:rPr>
        <w:t xml:space="preserve"> </w:t>
      </w:r>
      <w:r>
        <w:rPr>
          <w:color w:val="231F20"/>
        </w:rPr>
        <w:t>чи</w:t>
      </w:r>
      <w:r>
        <w:rPr>
          <w:color w:val="231F20"/>
          <w:spacing w:val="-8"/>
        </w:rPr>
        <w:t xml:space="preserve"> </w:t>
      </w:r>
      <w:r>
        <w:rPr>
          <w:color w:val="231F20"/>
        </w:rPr>
        <w:t>юридичної</w:t>
      </w:r>
      <w:r>
        <w:rPr>
          <w:color w:val="231F20"/>
          <w:spacing w:val="-8"/>
        </w:rPr>
        <w:t xml:space="preserve"> </w:t>
      </w:r>
      <w:r>
        <w:rPr>
          <w:color w:val="231F20"/>
        </w:rPr>
        <w:t>особи,</w:t>
      </w:r>
      <w:r>
        <w:rPr>
          <w:color w:val="231F20"/>
          <w:spacing w:val="-8"/>
        </w:rPr>
        <w:t xml:space="preserve"> </w:t>
      </w:r>
      <w:r>
        <w:rPr>
          <w:color w:val="231F20"/>
        </w:rPr>
        <w:t>що</w:t>
      </w:r>
      <w:r>
        <w:rPr>
          <w:color w:val="231F20"/>
          <w:spacing w:val="-8"/>
        </w:rPr>
        <w:t xml:space="preserve"> </w:t>
      </w:r>
      <w:r>
        <w:rPr>
          <w:color w:val="231F20"/>
        </w:rPr>
        <w:t>полягає</w:t>
      </w:r>
      <w:r>
        <w:rPr>
          <w:color w:val="231F20"/>
        </w:rPr>
        <w:t xml:space="preserve"> у зверненні до </w:t>
      </w:r>
      <w:r>
        <w:rPr>
          <w:color w:val="231F20"/>
          <w:spacing w:val="-3"/>
        </w:rPr>
        <w:t xml:space="preserve">суб’єкта </w:t>
      </w:r>
      <w:r>
        <w:rPr>
          <w:color w:val="231F20"/>
        </w:rPr>
        <w:t>публічної адміністрації з вимогою захистити її</w:t>
      </w:r>
      <w:r>
        <w:rPr>
          <w:color w:val="231F20"/>
          <w:spacing w:val="-5"/>
        </w:rPr>
        <w:t xml:space="preserve"> </w:t>
      </w:r>
      <w:r>
        <w:rPr>
          <w:color w:val="231F20"/>
        </w:rPr>
        <w:t>публічні</w:t>
      </w:r>
      <w:r>
        <w:rPr>
          <w:color w:val="231F20"/>
          <w:spacing w:val="-5"/>
        </w:rPr>
        <w:t xml:space="preserve"> </w:t>
      </w:r>
      <w:r>
        <w:rPr>
          <w:color w:val="231F20"/>
        </w:rPr>
        <w:t>права,</w:t>
      </w:r>
      <w:r>
        <w:rPr>
          <w:color w:val="231F20"/>
          <w:spacing w:val="-5"/>
        </w:rPr>
        <w:t xml:space="preserve"> </w:t>
      </w:r>
      <w:r>
        <w:rPr>
          <w:color w:val="231F20"/>
        </w:rPr>
        <w:t>свободи,</w:t>
      </w:r>
      <w:r>
        <w:rPr>
          <w:color w:val="231F20"/>
          <w:spacing w:val="-5"/>
        </w:rPr>
        <w:t xml:space="preserve"> </w:t>
      </w:r>
      <w:r>
        <w:rPr>
          <w:color w:val="231F20"/>
        </w:rPr>
        <w:t>інтереси</w:t>
      </w:r>
      <w:r>
        <w:rPr>
          <w:color w:val="231F20"/>
          <w:spacing w:val="-5"/>
        </w:rPr>
        <w:t xml:space="preserve"> </w:t>
      </w:r>
      <w:r>
        <w:rPr>
          <w:color w:val="231F20"/>
        </w:rPr>
        <w:t>від</w:t>
      </w:r>
      <w:r>
        <w:rPr>
          <w:color w:val="231F20"/>
          <w:spacing w:val="-5"/>
        </w:rPr>
        <w:t xml:space="preserve"> </w:t>
      </w:r>
      <w:r>
        <w:rPr>
          <w:color w:val="231F20"/>
        </w:rPr>
        <w:t>незаконної</w:t>
      </w:r>
      <w:r>
        <w:rPr>
          <w:color w:val="231F20"/>
          <w:spacing w:val="-5"/>
        </w:rPr>
        <w:t xml:space="preserve"> </w:t>
      </w:r>
      <w:r>
        <w:rPr>
          <w:color w:val="231F20"/>
        </w:rPr>
        <w:t>діяльності</w:t>
      </w:r>
      <w:r>
        <w:rPr>
          <w:color w:val="231F20"/>
          <w:spacing w:val="-5"/>
        </w:rPr>
        <w:t xml:space="preserve"> </w:t>
      </w:r>
      <w:r>
        <w:rPr>
          <w:color w:val="231F20"/>
        </w:rPr>
        <w:t>(безді- яльності) підпорядкованого</w:t>
      </w:r>
      <w:r>
        <w:rPr>
          <w:color w:val="231F20"/>
          <w:spacing w:val="-6"/>
        </w:rPr>
        <w:t xml:space="preserve"> </w:t>
      </w:r>
      <w:r>
        <w:rPr>
          <w:color w:val="231F20"/>
          <w:spacing w:val="-3"/>
        </w:rPr>
        <w:t>суб’єкта.</w:t>
      </w:r>
    </w:p>
    <w:p w14:paraId="51918CE4" w14:textId="77777777" w:rsidR="00DE575E" w:rsidRDefault="00DE575E">
      <w:pPr>
        <w:pStyle w:val="BodyText"/>
        <w:spacing w:before="9"/>
        <w:rPr>
          <w:sz w:val="12"/>
        </w:rPr>
      </w:pPr>
    </w:p>
    <w:p w14:paraId="57D6DDF8" w14:textId="77777777" w:rsidR="00DE575E" w:rsidRDefault="002E7560">
      <w:pPr>
        <w:spacing w:before="92"/>
        <w:ind w:right="411"/>
        <w:jc w:val="right"/>
        <w:rPr>
          <w:rFonts w:ascii="Times New Roman"/>
          <w:sz w:val="20"/>
        </w:rPr>
      </w:pPr>
      <w:r>
        <w:rPr>
          <w:rFonts w:ascii="Times New Roman"/>
          <w:color w:val="231F20"/>
          <w:w w:val="90"/>
          <w:sz w:val="20"/>
        </w:rPr>
        <w:t>529</w:t>
      </w:r>
    </w:p>
    <w:p w14:paraId="690E5672"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66174E1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71AEFA4" w14:textId="7197932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A669291" wp14:editId="3FB72F1F">
                <wp:extent cx="4140200" cy="6350"/>
                <wp:effectExtent l="0" t="0" r="12700" b="6350"/>
                <wp:docPr id="10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6" name="Line 10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73F839" id="Group_x0020_10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">
                <v:line id="Line_x0020_10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F0msQAAADcAAAADwAAAGRycy9kb3ducmV2LnhtbERPS2rDMBDdF3oHMYVsSiOngVCcyKYU&#10;CqGL/NwDjK2JbSqNHEuJnZ6+CgS6m8f7ziofrREX6n3rWMFsmoAgrpxuuVbwXXy+vIHwAVmjcUwK&#10;ruQhzx4fVphqN/CeLodQixjCPkUFTQhdKqWvGrLop64jjtzR9RZDhH0tdY9DDLdGvibJQlpsOTY0&#10;2NFHQ9XP4WwVFKfnYHbbLzMU23Iuy9Nm/nveKDV5Gt+XIAKN4V98d691nJ8s4PZMvEB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IXSaxAAAANwAAAAPAAAAAAAAAAAA&#10;AAAAAKECAABkcnMvZG93bnJldi54bWxQSwUGAAAAAAQABAD5AAAAkgMAAAAA&#10;" strokecolor="#231f20" strokeweight=".5pt"/>
                <w10:anchorlock/>
              </v:group>
            </w:pict>
          </mc:Fallback>
        </mc:AlternateContent>
      </w:r>
    </w:p>
    <w:p w14:paraId="4F683E05" w14:textId="77777777" w:rsidR="00DE575E" w:rsidRDefault="00DE575E">
      <w:pPr>
        <w:pStyle w:val="BodyText"/>
        <w:spacing w:before="7"/>
        <w:rPr>
          <w:rFonts w:ascii="AdonisC"/>
          <w:i/>
          <w:sz w:val="11"/>
        </w:rPr>
      </w:pPr>
    </w:p>
    <w:p w14:paraId="6D201EAE" w14:textId="77777777" w:rsidR="00DE575E" w:rsidRDefault="002E7560">
      <w:pPr>
        <w:spacing w:before="101" w:line="252" w:lineRule="auto"/>
        <w:ind w:left="533" w:right="128" w:firstLine="283"/>
        <w:jc w:val="both"/>
        <w:rPr>
          <w:sz w:val="21"/>
        </w:rPr>
      </w:pPr>
      <w:r>
        <w:rPr>
          <w:b/>
          <w:color w:val="231F20"/>
          <w:sz w:val="21"/>
        </w:rPr>
        <w:t xml:space="preserve">Адміністративне повноваження </w:t>
      </w:r>
      <w:r>
        <w:rPr>
          <w:color w:val="231F20"/>
          <w:spacing w:val="-3"/>
          <w:sz w:val="21"/>
        </w:rPr>
        <w:t>(</w:t>
      </w:r>
      <w:r>
        <w:rPr>
          <w:i/>
          <w:color w:val="231F20"/>
          <w:spacing w:val="-3"/>
          <w:sz w:val="21"/>
        </w:rPr>
        <w:t xml:space="preserve">суб’єкта </w:t>
      </w:r>
      <w:r>
        <w:rPr>
          <w:i/>
          <w:color w:val="231F20"/>
          <w:sz w:val="21"/>
        </w:rPr>
        <w:t>публічної адмініст- рації</w:t>
      </w:r>
      <w:r>
        <w:rPr>
          <w:color w:val="231F20"/>
          <w:sz w:val="21"/>
        </w:rPr>
        <w:t xml:space="preserve">) – взаємопов’язані адміністративні обов’язки та права </w:t>
      </w:r>
      <w:r>
        <w:rPr>
          <w:color w:val="231F20"/>
          <w:spacing w:val="-4"/>
          <w:sz w:val="21"/>
        </w:rPr>
        <w:t xml:space="preserve">суб’єкта </w:t>
      </w:r>
      <w:r>
        <w:rPr>
          <w:color w:val="231F20"/>
          <w:sz w:val="21"/>
        </w:rPr>
        <w:t>публічного</w:t>
      </w:r>
      <w:r>
        <w:rPr>
          <w:color w:val="231F20"/>
          <w:spacing w:val="-8"/>
          <w:sz w:val="21"/>
        </w:rPr>
        <w:t xml:space="preserve"> </w:t>
      </w:r>
      <w:r>
        <w:rPr>
          <w:color w:val="231F20"/>
          <w:sz w:val="21"/>
        </w:rPr>
        <w:t>адміністрування,</w:t>
      </w:r>
      <w:r>
        <w:rPr>
          <w:color w:val="231F20"/>
          <w:spacing w:val="-8"/>
          <w:sz w:val="21"/>
        </w:rPr>
        <w:t xml:space="preserve"> </w:t>
      </w:r>
      <w:r>
        <w:rPr>
          <w:color w:val="231F20"/>
          <w:sz w:val="21"/>
        </w:rPr>
        <w:t>надані</w:t>
      </w:r>
      <w:r>
        <w:rPr>
          <w:color w:val="231F20"/>
          <w:spacing w:val="-8"/>
          <w:sz w:val="21"/>
        </w:rPr>
        <w:t xml:space="preserve"> </w:t>
      </w:r>
      <w:r>
        <w:rPr>
          <w:color w:val="231F20"/>
          <w:sz w:val="21"/>
        </w:rPr>
        <w:t>йому</w:t>
      </w:r>
      <w:r>
        <w:rPr>
          <w:color w:val="231F20"/>
          <w:spacing w:val="-8"/>
          <w:sz w:val="21"/>
        </w:rPr>
        <w:t xml:space="preserve"> </w:t>
      </w:r>
      <w:r>
        <w:rPr>
          <w:color w:val="231F20"/>
          <w:sz w:val="21"/>
        </w:rPr>
        <w:t>законним</w:t>
      </w:r>
      <w:r>
        <w:rPr>
          <w:color w:val="231F20"/>
          <w:spacing w:val="-8"/>
          <w:sz w:val="21"/>
        </w:rPr>
        <w:t xml:space="preserve"> </w:t>
      </w:r>
      <w:r>
        <w:rPr>
          <w:color w:val="231F20"/>
          <w:sz w:val="21"/>
        </w:rPr>
        <w:t>чином</w:t>
      </w:r>
      <w:r>
        <w:rPr>
          <w:color w:val="231F20"/>
          <w:spacing w:val="-8"/>
          <w:sz w:val="21"/>
        </w:rPr>
        <w:t xml:space="preserve"> </w:t>
      </w:r>
      <w:r>
        <w:rPr>
          <w:color w:val="231F20"/>
          <w:sz w:val="21"/>
        </w:rPr>
        <w:t>і</w:t>
      </w:r>
      <w:r>
        <w:rPr>
          <w:color w:val="231F20"/>
          <w:spacing w:val="-9"/>
          <w:sz w:val="21"/>
        </w:rPr>
        <w:t xml:space="preserve"> </w:t>
      </w:r>
      <w:r>
        <w:rPr>
          <w:color w:val="231F20"/>
          <w:sz w:val="21"/>
        </w:rPr>
        <w:t>потрібні для досягнення поставлених перед ним</w:t>
      </w:r>
      <w:r>
        <w:rPr>
          <w:color w:val="231F20"/>
          <w:spacing w:val="-4"/>
          <w:sz w:val="21"/>
        </w:rPr>
        <w:t xml:space="preserve"> </w:t>
      </w:r>
      <w:r>
        <w:rPr>
          <w:color w:val="231F20"/>
          <w:sz w:val="21"/>
        </w:rPr>
        <w:t>завдань.</w:t>
      </w:r>
    </w:p>
    <w:p w14:paraId="0445E363" w14:textId="77777777" w:rsidR="00DE575E" w:rsidRDefault="002E7560">
      <w:pPr>
        <w:pStyle w:val="BodyText"/>
        <w:spacing w:before="2" w:line="252" w:lineRule="auto"/>
        <w:ind w:left="533" w:right="127" w:firstLine="283"/>
        <w:jc w:val="both"/>
      </w:pPr>
      <w:r>
        <w:rPr>
          <w:b/>
          <w:color w:val="231F20"/>
        </w:rPr>
        <w:t xml:space="preserve">Адміністративне право </w:t>
      </w:r>
      <w:r>
        <w:rPr>
          <w:color w:val="231F20"/>
        </w:rPr>
        <w:t>(</w:t>
      </w:r>
      <w:r>
        <w:rPr>
          <w:i/>
          <w:color w:val="231F20"/>
        </w:rPr>
        <w:t>галузеві завдання</w:t>
      </w:r>
      <w:r>
        <w:rPr>
          <w:color w:val="231F20"/>
        </w:rPr>
        <w:t>) – забезпечення того, щоб: 1) публічна адміністрація якісно та своєчасно надавала адміністративні послуги; 2) публічна адміністрація ефективно здійснювала викон</w:t>
      </w:r>
      <w:r>
        <w:rPr>
          <w:color w:val="231F20"/>
        </w:rPr>
        <w:t xml:space="preserve">авчо-розпорядчу діяльність; 3) </w:t>
      </w:r>
      <w:r>
        <w:rPr>
          <w:color w:val="231F20"/>
          <w:spacing w:val="-3"/>
        </w:rPr>
        <w:t xml:space="preserve">були </w:t>
      </w:r>
      <w:r>
        <w:rPr>
          <w:color w:val="231F20"/>
        </w:rPr>
        <w:t>мінімізовані корупційні та інші випадки зловживань у діяльності публічної адмі- ністрації.</w:t>
      </w:r>
    </w:p>
    <w:p w14:paraId="08310F48" w14:textId="77777777" w:rsidR="00DE575E" w:rsidRDefault="002E7560">
      <w:pPr>
        <w:pStyle w:val="BodyText"/>
        <w:spacing w:before="3" w:line="252" w:lineRule="auto"/>
        <w:ind w:left="533" w:right="128" w:firstLine="283"/>
        <w:jc w:val="both"/>
      </w:pPr>
      <w:r>
        <w:rPr>
          <w:b/>
          <w:color w:val="231F20"/>
        </w:rPr>
        <w:t xml:space="preserve">Адміністративне право </w:t>
      </w:r>
      <w:r>
        <w:rPr>
          <w:color w:val="231F20"/>
        </w:rPr>
        <w:t>(</w:t>
      </w:r>
      <w:r>
        <w:rPr>
          <w:i/>
          <w:color w:val="231F20"/>
        </w:rPr>
        <w:t>галузь</w:t>
      </w:r>
      <w:r>
        <w:rPr>
          <w:color w:val="231F20"/>
        </w:rPr>
        <w:t>) – сукупність юридичних норм, які врегульовують однорідні суспільні відносини щодо наданням адміністративних</w:t>
      </w:r>
      <w:r>
        <w:rPr>
          <w:color w:val="231F20"/>
          <w:spacing w:val="-14"/>
        </w:rPr>
        <w:t xml:space="preserve"> </w:t>
      </w:r>
      <w:r>
        <w:rPr>
          <w:color w:val="231F20"/>
        </w:rPr>
        <w:t>послуг</w:t>
      </w:r>
      <w:r>
        <w:rPr>
          <w:color w:val="231F20"/>
          <w:spacing w:val="-15"/>
        </w:rPr>
        <w:t xml:space="preserve"> </w:t>
      </w:r>
      <w:r>
        <w:rPr>
          <w:color w:val="231F20"/>
        </w:rPr>
        <w:t>і</w:t>
      </w:r>
      <w:r>
        <w:rPr>
          <w:color w:val="231F20"/>
          <w:spacing w:val="-14"/>
        </w:rPr>
        <w:t xml:space="preserve"> </w:t>
      </w:r>
      <w:r>
        <w:rPr>
          <w:color w:val="231F20"/>
        </w:rPr>
        <w:t>здійснення</w:t>
      </w:r>
      <w:r>
        <w:rPr>
          <w:color w:val="231F20"/>
          <w:spacing w:val="-15"/>
        </w:rPr>
        <w:t xml:space="preserve"> </w:t>
      </w:r>
      <w:r>
        <w:rPr>
          <w:color w:val="231F20"/>
        </w:rPr>
        <w:t>виконавчо-розпорядчої</w:t>
      </w:r>
      <w:r>
        <w:rPr>
          <w:color w:val="231F20"/>
          <w:spacing w:val="-14"/>
        </w:rPr>
        <w:t xml:space="preserve"> </w:t>
      </w:r>
      <w:r>
        <w:rPr>
          <w:color w:val="231F20"/>
        </w:rPr>
        <w:t xml:space="preserve">діяль- ності, що здійснюється </w:t>
      </w:r>
      <w:r>
        <w:rPr>
          <w:color w:val="231F20"/>
          <w:spacing w:val="-3"/>
        </w:rPr>
        <w:t xml:space="preserve">суб’єктами </w:t>
      </w:r>
      <w:r>
        <w:rPr>
          <w:color w:val="231F20"/>
        </w:rPr>
        <w:t>публічної</w:t>
      </w:r>
      <w:r>
        <w:rPr>
          <w:color w:val="231F20"/>
          <w:spacing w:val="-1"/>
        </w:rPr>
        <w:t xml:space="preserve"> </w:t>
      </w:r>
      <w:r>
        <w:rPr>
          <w:color w:val="231F20"/>
        </w:rPr>
        <w:t>адміністрації.</w:t>
      </w:r>
    </w:p>
    <w:p w14:paraId="5D23E71D" w14:textId="77777777" w:rsidR="00DE575E" w:rsidRDefault="002E7560">
      <w:pPr>
        <w:pStyle w:val="BodyText"/>
        <w:spacing w:before="2" w:line="252" w:lineRule="auto"/>
        <w:ind w:left="533" w:right="127" w:firstLine="283"/>
        <w:jc w:val="both"/>
      </w:pPr>
      <w:r>
        <w:rPr>
          <w:b/>
          <w:color w:val="231F20"/>
        </w:rPr>
        <w:t xml:space="preserve">Адміністративне право </w:t>
      </w:r>
      <w:r>
        <w:rPr>
          <w:color w:val="231F20"/>
        </w:rPr>
        <w:t>(</w:t>
      </w:r>
      <w:r>
        <w:rPr>
          <w:i/>
          <w:color w:val="231F20"/>
        </w:rPr>
        <w:t>зміст</w:t>
      </w:r>
      <w:r>
        <w:rPr>
          <w:color w:val="231F20"/>
        </w:rPr>
        <w:t>) – наданн</w:t>
      </w:r>
      <w:r>
        <w:rPr>
          <w:color w:val="231F20"/>
        </w:rPr>
        <w:t>я адміністративних послуг і здійснення виконавчо-розпорядчої діяльності (публічного управління) публічною адміністрацією.</w:t>
      </w:r>
    </w:p>
    <w:p w14:paraId="456638F3" w14:textId="77777777" w:rsidR="00DE575E" w:rsidRDefault="002E7560">
      <w:pPr>
        <w:pStyle w:val="BodyText"/>
        <w:spacing w:before="1" w:line="252" w:lineRule="auto"/>
        <w:ind w:left="533" w:right="128" w:firstLine="283"/>
        <w:jc w:val="both"/>
      </w:pPr>
      <w:r>
        <w:rPr>
          <w:b/>
          <w:color w:val="231F20"/>
        </w:rPr>
        <w:t xml:space="preserve">Адміністративне право </w:t>
      </w:r>
      <w:r>
        <w:rPr>
          <w:color w:val="231F20"/>
        </w:rPr>
        <w:t>(</w:t>
      </w:r>
      <w:r>
        <w:rPr>
          <w:i/>
          <w:color w:val="231F20"/>
        </w:rPr>
        <w:t>мета</w:t>
      </w:r>
      <w:r>
        <w:rPr>
          <w:color w:val="231F20"/>
        </w:rPr>
        <w:t>) – створення пріоритету право- вих умов для забезпечення публічною адміністрацією прав, свобод й інтересів</w:t>
      </w:r>
      <w:r>
        <w:rPr>
          <w:color w:val="231F20"/>
        </w:rPr>
        <w:t xml:space="preserve"> людини і громадянина у сфері публічного адміністру- вання.</w:t>
      </w:r>
    </w:p>
    <w:p w14:paraId="7DA38DF4" w14:textId="77777777" w:rsidR="00DE575E" w:rsidRDefault="002E7560">
      <w:pPr>
        <w:spacing w:before="2" w:line="252" w:lineRule="auto"/>
        <w:ind w:left="533" w:right="128" w:firstLine="283"/>
        <w:jc w:val="both"/>
        <w:rPr>
          <w:sz w:val="21"/>
        </w:rPr>
      </w:pPr>
      <w:r>
        <w:rPr>
          <w:b/>
          <w:color w:val="231F20"/>
          <w:sz w:val="21"/>
        </w:rPr>
        <w:t xml:space="preserve">Адміністративне право </w:t>
      </w:r>
      <w:r>
        <w:rPr>
          <w:color w:val="231F20"/>
          <w:sz w:val="21"/>
        </w:rPr>
        <w:t>(</w:t>
      </w:r>
      <w:r>
        <w:rPr>
          <w:i/>
          <w:color w:val="231F20"/>
          <w:sz w:val="21"/>
        </w:rPr>
        <w:t>навчальна дисципліна</w:t>
      </w:r>
      <w:r>
        <w:rPr>
          <w:color w:val="231F20"/>
          <w:sz w:val="21"/>
        </w:rPr>
        <w:t>) – систематизо- ваний відповідно до навчальної та робочої програм курс, що викла- дається в навчальних закладах.</w:t>
      </w:r>
    </w:p>
    <w:p w14:paraId="0689B504" w14:textId="77777777" w:rsidR="00DE575E" w:rsidRDefault="002E7560">
      <w:pPr>
        <w:pStyle w:val="BodyText"/>
        <w:spacing w:before="1" w:line="252" w:lineRule="auto"/>
        <w:ind w:left="533" w:right="128" w:firstLine="283"/>
        <w:jc w:val="both"/>
      </w:pPr>
      <w:r>
        <w:rPr>
          <w:b/>
          <w:color w:val="231F20"/>
        </w:rPr>
        <w:t xml:space="preserve">Адміністративне право </w:t>
      </w:r>
      <w:r>
        <w:rPr>
          <w:color w:val="231F20"/>
        </w:rPr>
        <w:t>(</w:t>
      </w:r>
      <w:r>
        <w:rPr>
          <w:i/>
          <w:color w:val="231F20"/>
        </w:rPr>
        <w:t>наука</w:t>
      </w:r>
      <w:r>
        <w:rPr>
          <w:color w:val="231F20"/>
        </w:rPr>
        <w:t>) – теорети</w:t>
      </w:r>
      <w:r>
        <w:rPr>
          <w:color w:val="231F20"/>
        </w:rPr>
        <w:t>чні положення й мето- дологічні  основи,  які  забезпечують   процес,   дослідження   засад й ефективності інститутів адміністративного</w:t>
      </w:r>
      <w:r>
        <w:rPr>
          <w:color w:val="231F20"/>
          <w:spacing w:val="-4"/>
        </w:rPr>
        <w:t xml:space="preserve"> </w:t>
      </w:r>
      <w:r>
        <w:rPr>
          <w:color w:val="231F20"/>
        </w:rPr>
        <w:t>права.</w:t>
      </w:r>
    </w:p>
    <w:p w14:paraId="6BF2192A" w14:textId="77777777" w:rsidR="00DE575E" w:rsidRDefault="002E7560">
      <w:pPr>
        <w:pStyle w:val="BodyText"/>
        <w:spacing w:before="2" w:line="252" w:lineRule="auto"/>
        <w:ind w:left="533" w:right="128" w:firstLine="283"/>
        <w:jc w:val="both"/>
      </w:pPr>
      <w:r>
        <w:rPr>
          <w:b/>
          <w:color w:val="231F20"/>
        </w:rPr>
        <w:t>Адміністративне</w:t>
      </w:r>
      <w:r>
        <w:rPr>
          <w:b/>
          <w:color w:val="231F20"/>
          <w:spacing w:val="-14"/>
        </w:rPr>
        <w:t xml:space="preserve"> </w:t>
      </w:r>
      <w:r>
        <w:rPr>
          <w:b/>
          <w:color w:val="231F20"/>
        </w:rPr>
        <w:t>право</w:t>
      </w:r>
      <w:r>
        <w:rPr>
          <w:b/>
          <w:color w:val="231F20"/>
          <w:spacing w:val="-15"/>
        </w:rPr>
        <w:t xml:space="preserve"> </w:t>
      </w:r>
      <w:r>
        <w:rPr>
          <w:color w:val="231F20"/>
        </w:rPr>
        <w:t>(</w:t>
      </w:r>
      <w:r>
        <w:rPr>
          <w:i/>
          <w:color w:val="231F20"/>
        </w:rPr>
        <w:t>поняття</w:t>
      </w:r>
      <w:r>
        <w:rPr>
          <w:i/>
          <w:color w:val="231F20"/>
          <w:spacing w:val="-14"/>
        </w:rPr>
        <w:t xml:space="preserve"> </w:t>
      </w:r>
      <w:r>
        <w:rPr>
          <w:i/>
          <w:color w:val="231F20"/>
        </w:rPr>
        <w:t>системи</w:t>
      </w:r>
      <w:r>
        <w:rPr>
          <w:color w:val="231F20"/>
        </w:rPr>
        <w:t>)</w:t>
      </w:r>
      <w:r>
        <w:rPr>
          <w:color w:val="231F20"/>
          <w:spacing w:val="-15"/>
        </w:rPr>
        <w:t xml:space="preserve"> </w:t>
      </w:r>
      <w:r>
        <w:rPr>
          <w:color w:val="231F20"/>
        </w:rPr>
        <w:t>–</w:t>
      </w:r>
      <w:r>
        <w:rPr>
          <w:color w:val="231F20"/>
          <w:spacing w:val="-15"/>
        </w:rPr>
        <w:t xml:space="preserve"> </w:t>
      </w:r>
      <w:r>
        <w:rPr>
          <w:color w:val="231F20"/>
        </w:rPr>
        <w:t>внутрішня</w:t>
      </w:r>
      <w:r>
        <w:rPr>
          <w:color w:val="231F20"/>
          <w:spacing w:val="-15"/>
        </w:rPr>
        <w:t xml:space="preserve"> </w:t>
      </w:r>
      <w:r>
        <w:rPr>
          <w:color w:val="231F20"/>
        </w:rPr>
        <w:t xml:space="preserve">єдність галузі адміністративного права </w:t>
      </w:r>
      <w:r>
        <w:rPr>
          <w:color w:val="231F20"/>
          <w:spacing w:val="-3"/>
        </w:rPr>
        <w:t xml:space="preserve">України, </w:t>
      </w:r>
      <w:r>
        <w:rPr>
          <w:color w:val="231F20"/>
        </w:rPr>
        <w:t>що відбиває послідовне розміщення і взаємозв’язок її структурних елементів (частин) – адміністративно-правових інститутів і підгалузей адміністратив- ного права, що складаються з певних сукупностей однорідних адмі- ністративно-правових</w:t>
      </w:r>
      <w:r>
        <w:rPr>
          <w:color w:val="231F20"/>
          <w:spacing w:val="-2"/>
        </w:rPr>
        <w:t xml:space="preserve"> </w:t>
      </w:r>
      <w:r>
        <w:rPr>
          <w:color w:val="231F20"/>
        </w:rPr>
        <w:t>норм.</w:t>
      </w:r>
    </w:p>
    <w:p w14:paraId="41BC61BC" w14:textId="77777777" w:rsidR="00DE575E" w:rsidRDefault="002E7560">
      <w:pPr>
        <w:spacing w:before="3" w:line="252" w:lineRule="auto"/>
        <w:ind w:left="533" w:right="127" w:firstLine="283"/>
        <w:jc w:val="both"/>
        <w:rPr>
          <w:sz w:val="21"/>
        </w:rPr>
      </w:pPr>
      <w:r>
        <w:rPr>
          <w:b/>
          <w:color w:val="231F20"/>
          <w:sz w:val="21"/>
        </w:rPr>
        <w:t>Адміністративн</w:t>
      </w:r>
      <w:r>
        <w:rPr>
          <w:b/>
          <w:color w:val="231F20"/>
          <w:sz w:val="21"/>
        </w:rPr>
        <w:t xml:space="preserve">е право </w:t>
      </w:r>
      <w:r>
        <w:rPr>
          <w:color w:val="231F20"/>
          <w:sz w:val="21"/>
        </w:rPr>
        <w:t>(</w:t>
      </w:r>
      <w:r>
        <w:rPr>
          <w:i/>
          <w:color w:val="231F20"/>
          <w:sz w:val="21"/>
        </w:rPr>
        <w:t>предмет</w:t>
      </w:r>
      <w:r>
        <w:rPr>
          <w:color w:val="231F20"/>
          <w:sz w:val="21"/>
        </w:rPr>
        <w:t>) – суспільні відносин, які виникають між суб’єктами публічної адміністрації та приватними особами.</w:t>
      </w:r>
    </w:p>
    <w:p w14:paraId="72FE3E56" w14:textId="77777777" w:rsidR="00DE575E" w:rsidRDefault="002E7560">
      <w:pPr>
        <w:pStyle w:val="BodyText"/>
        <w:spacing w:before="1" w:line="252" w:lineRule="auto"/>
        <w:ind w:left="533" w:right="127" w:firstLine="283"/>
        <w:jc w:val="both"/>
      </w:pPr>
      <w:r>
        <w:rPr>
          <w:b/>
          <w:color w:val="231F20"/>
        </w:rPr>
        <w:t xml:space="preserve">Адміністративне правопорушення </w:t>
      </w:r>
      <w:r>
        <w:rPr>
          <w:color w:val="231F20"/>
        </w:rPr>
        <w:t>– протиправна, винна (умисна або необережна) дія чи бездіяльність, яка посягає на громадський порядок, власність, права і свободи громадян, на вста-</w:t>
      </w:r>
    </w:p>
    <w:p w14:paraId="1EAA6FAA" w14:textId="77777777" w:rsidR="00DE575E" w:rsidRDefault="00DE575E">
      <w:pPr>
        <w:pStyle w:val="BodyText"/>
        <w:spacing w:before="6"/>
        <w:rPr>
          <w:sz w:val="12"/>
        </w:rPr>
      </w:pPr>
    </w:p>
    <w:p w14:paraId="0B8AA181" w14:textId="77777777" w:rsidR="00DE575E" w:rsidRDefault="002E7560">
      <w:pPr>
        <w:spacing w:before="92"/>
        <w:ind w:left="533"/>
        <w:rPr>
          <w:rFonts w:ascii="Times New Roman"/>
          <w:sz w:val="20"/>
        </w:rPr>
      </w:pPr>
      <w:r>
        <w:rPr>
          <w:rFonts w:ascii="Times New Roman"/>
          <w:color w:val="231F20"/>
          <w:sz w:val="20"/>
        </w:rPr>
        <w:t>530</w:t>
      </w:r>
    </w:p>
    <w:p w14:paraId="6062960C" w14:textId="77777777" w:rsidR="00DE575E" w:rsidRDefault="00DE575E">
      <w:pPr>
        <w:rPr>
          <w:rFonts w:ascii="Times New Roman"/>
          <w:sz w:val="20"/>
        </w:rPr>
        <w:sectPr w:rsidR="00DE575E">
          <w:pgSz w:w="8510" w:h="12760"/>
          <w:pgMar w:top="660" w:right="720" w:bottom="280" w:left="600" w:header="720" w:footer="720" w:gutter="0"/>
          <w:cols w:space="720"/>
        </w:sectPr>
      </w:pPr>
    </w:p>
    <w:p w14:paraId="41232F70"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7DDFB6CC" w14:textId="748A6C5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FE8E700" wp14:editId="5E120659">
                <wp:extent cx="4140200" cy="6350"/>
                <wp:effectExtent l="0" t="0" r="12700" b="6350"/>
                <wp:docPr id="1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4" name="Line 10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E97A61" id="Group_x0020_10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L9AJan4CAACYBQAADgAA&#10;AAAAAAAAAAAAAAAsAgAAZHJzL2Uyb0RvYy54bWxQSwECLQAUAAYACAAAACEATKewkNkAAAADAQAA&#10;DwAAAAAAAAAAAAAAAADWBAAAZHJzL2Rvd25yZXYueG1sUEsFBgAAAAAEAAQA8wAAANwFAAAAAA==&#10;">
                <v:line id="Line_x0020_10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9PdsMAAADcAAAADwAAAGRycy9kb3ducmV2LnhtbERP22rCQBB9F/oPyxR8kbrxgpTUVUpB&#10;EB+8pR8wZqdJ6O5szK4m7de7guDbHM515svOGnGlxleOFYyGCQji3OmKCwXf2ertHYQPyBqNY1Lw&#10;Rx6Wi5feHFPtWj7Q9RgKEUPYp6igDKFOpfR5SRb90NXEkftxjcUQYVNI3WAbw62R4ySZSYsVx4YS&#10;a/oqKf89XqyC7DwIZr/bmDbbnSbydN5O/i9bpfqv3ecHiEBdeIof7rWO85Mp3J+JF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T3bDAAAA3AAAAA8AAAAAAAAAAAAA&#10;AAAAoQIAAGRycy9kb3ducmV2LnhtbFBLBQYAAAAABAAEAPkAAACRAwAAAAA=&#10;" strokecolor="#231f20" strokeweight=".5pt"/>
                <w10:anchorlock/>
              </v:group>
            </w:pict>
          </mc:Fallback>
        </mc:AlternateContent>
      </w:r>
    </w:p>
    <w:p w14:paraId="0A74AB85" w14:textId="77777777" w:rsidR="00DE575E" w:rsidRDefault="00DE575E">
      <w:pPr>
        <w:pStyle w:val="BodyText"/>
        <w:spacing w:before="7"/>
        <w:rPr>
          <w:rFonts w:ascii="AdonisC"/>
          <w:i/>
          <w:sz w:val="19"/>
        </w:rPr>
      </w:pPr>
    </w:p>
    <w:p w14:paraId="38E4C716" w14:textId="77777777" w:rsidR="00DE575E" w:rsidRDefault="002E7560">
      <w:pPr>
        <w:pStyle w:val="BodyText"/>
        <w:spacing w:before="1" w:line="252" w:lineRule="auto"/>
        <w:ind w:left="250"/>
      </w:pPr>
      <w:r>
        <w:rPr>
          <w:color w:val="231F20"/>
        </w:rPr>
        <w:t>новлений порядок управління і за яку законом передбачено адмі- ністративну відповідальність (ст. 9 КУпАП).</w:t>
      </w:r>
    </w:p>
    <w:p w14:paraId="3BB6728E" w14:textId="77777777" w:rsidR="00DE575E" w:rsidRDefault="002E7560">
      <w:pPr>
        <w:pStyle w:val="BodyText"/>
        <w:spacing w:before="1" w:line="252" w:lineRule="auto"/>
        <w:ind w:left="250" w:right="411" w:firstLine="283"/>
        <w:jc w:val="both"/>
      </w:pPr>
      <w:r>
        <w:rPr>
          <w:b/>
          <w:color w:val="231F20"/>
        </w:rPr>
        <w:t xml:space="preserve">Адміністративне стягнення </w:t>
      </w:r>
      <w:r>
        <w:rPr>
          <w:color w:val="231F20"/>
        </w:rPr>
        <w:t>– матеріалізований вияв адмініст- ративної відповідальності, негативний правовий наслідок неправо- мірної поведінки ос</w:t>
      </w:r>
      <w:r>
        <w:rPr>
          <w:color w:val="231F20"/>
        </w:rPr>
        <w:t>оби, яка вчинила адміністративний проступок,  у</w:t>
      </w:r>
      <w:r>
        <w:rPr>
          <w:color w:val="231F20"/>
          <w:spacing w:val="-8"/>
        </w:rPr>
        <w:t xml:space="preserve"> </w:t>
      </w:r>
      <w:r>
        <w:rPr>
          <w:color w:val="231F20"/>
        </w:rPr>
        <w:t>вигляді</w:t>
      </w:r>
      <w:r>
        <w:rPr>
          <w:color w:val="231F20"/>
          <w:spacing w:val="-8"/>
        </w:rPr>
        <w:t xml:space="preserve"> </w:t>
      </w:r>
      <w:r>
        <w:rPr>
          <w:color w:val="231F20"/>
        </w:rPr>
        <w:t>певних</w:t>
      </w:r>
      <w:r>
        <w:rPr>
          <w:color w:val="231F20"/>
          <w:spacing w:val="-8"/>
        </w:rPr>
        <w:t xml:space="preserve"> </w:t>
      </w:r>
      <w:r>
        <w:rPr>
          <w:color w:val="231F20"/>
        </w:rPr>
        <w:t>несприятливих</w:t>
      </w:r>
      <w:r>
        <w:rPr>
          <w:color w:val="231F20"/>
          <w:spacing w:val="-8"/>
        </w:rPr>
        <w:t xml:space="preserve"> </w:t>
      </w:r>
      <w:r>
        <w:rPr>
          <w:color w:val="231F20"/>
        </w:rPr>
        <w:t>заходів</w:t>
      </w:r>
      <w:r>
        <w:rPr>
          <w:color w:val="231F20"/>
          <w:spacing w:val="-8"/>
        </w:rPr>
        <w:t xml:space="preserve"> </w:t>
      </w:r>
      <w:r>
        <w:rPr>
          <w:color w:val="231F20"/>
        </w:rPr>
        <w:t>морального,</w:t>
      </w:r>
      <w:r>
        <w:rPr>
          <w:color w:val="231F20"/>
          <w:spacing w:val="-8"/>
        </w:rPr>
        <w:t xml:space="preserve"> </w:t>
      </w:r>
      <w:r>
        <w:rPr>
          <w:color w:val="231F20"/>
        </w:rPr>
        <w:t>матеріального та фізичного</w:t>
      </w:r>
      <w:r>
        <w:rPr>
          <w:color w:val="231F20"/>
          <w:spacing w:val="-2"/>
        </w:rPr>
        <w:t xml:space="preserve"> </w:t>
      </w:r>
      <w:r>
        <w:rPr>
          <w:color w:val="231F20"/>
          <w:spacing w:val="-3"/>
        </w:rPr>
        <w:t>характеру.</w:t>
      </w:r>
    </w:p>
    <w:p w14:paraId="61558A13" w14:textId="77777777" w:rsidR="00DE575E" w:rsidRDefault="002E7560">
      <w:pPr>
        <w:pStyle w:val="BodyText"/>
        <w:spacing w:before="2" w:line="252" w:lineRule="auto"/>
        <w:ind w:left="250" w:right="412" w:firstLine="283"/>
        <w:jc w:val="both"/>
      </w:pPr>
      <w:r>
        <w:rPr>
          <w:b/>
          <w:color w:val="231F20"/>
        </w:rPr>
        <w:t xml:space="preserve">Адміністративне судочинство </w:t>
      </w:r>
      <w:r>
        <w:rPr>
          <w:color w:val="231F20"/>
        </w:rPr>
        <w:t xml:space="preserve">– діяльність адміністративних </w:t>
      </w:r>
      <w:r>
        <w:rPr>
          <w:color w:val="231F20"/>
          <w:spacing w:val="-3"/>
        </w:rPr>
        <w:t xml:space="preserve">судів </w:t>
      </w:r>
      <w:r>
        <w:rPr>
          <w:color w:val="231F20"/>
        </w:rPr>
        <w:t xml:space="preserve">щодо </w:t>
      </w:r>
      <w:r>
        <w:rPr>
          <w:color w:val="231F20"/>
          <w:spacing w:val="-3"/>
        </w:rPr>
        <w:t xml:space="preserve">розгляду </w:t>
      </w:r>
      <w:r>
        <w:rPr>
          <w:color w:val="231F20"/>
        </w:rPr>
        <w:t>й вирішення публічних правових суперечок, що виникають з приводу порушення органами державної влади прав, свобод і законних інтересів фізичних та юридичних осіб.</w:t>
      </w:r>
    </w:p>
    <w:p w14:paraId="299EE899" w14:textId="77777777" w:rsidR="00DE575E" w:rsidRDefault="002E7560">
      <w:pPr>
        <w:pStyle w:val="BodyText"/>
        <w:spacing w:before="2" w:line="252" w:lineRule="auto"/>
        <w:ind w:left="250" w:right="410" w:firstLine="283"/>
        <w:jc w:val="both"/>
      </w:pPr>
      <w:r>
        <w:rPr>
          <w:b/>
          <w:color w:val="231F20"/>
        </w:rPr>
        <w:t xml:space="preserve">Адміністративний договір </w:t>
      </w:r>
      <w:r>
        <w:rPr>
          <w:color w:val="231F20"/>
        </w:rPr>
        <w:t xml:space="preserve">– спільний правовий акт </w:t>
      </w:r>
      <w:r>
        <w:rPr>
          <w:color w:val="231F20"/>
          <w:spacing w:val="-3"/>
        </w:rPr>
        <w:t xml:space="preserve">суб’єктів </w:t>
      </w:r>
      <w:r>
        <w:rPr>
          <w:color w:val="231F20"/>
        </w:rPr>
        <w:t>владних повноважень або правовий ак</w:t>
      </w:r>
      <w:r>
        <w:rPr>
          <w:color w:val="231F20"/>
        </w:rPr>
        <w:t xml:space="preserve">т за участю </w:t>
      </w:r>
      <w:r>
        <w:rPr>
          <w:color w:val="231F20"/>
          <w:spacing w:val="-3"/>
        </w:rPr>
        <w:t xml:space="preserve">суб’єкта </w:t>
      </w:r>
      <w:r>
        <w:rPr>
          <w:color w:val="231F20"/>
        </w:rPr>
        <w:t xml:space="preserve">владних повноважень та іншої особи, що ґрунтується на їх волеузгодженні, має форму </w:t>
      </w:r>
      <w:r>
        <w:rPr>
          <w:color w:val="231F20"/>
          <w:spacing w:val="-3"/>
        </w:rPr>
        <w:t xml:space="preserve">договору, </w:t>
      </w:r>
      <w:r>
        <w:rPr>
          <w:color w:val="231F20"/>
        </w:rPr>
        <w:t xml:space="preserve">угоди, </w:t>
      </w:r>
      <w:r>
        <w:rPr>
          <w:color w:val="231F20"/>
          <w:spacing w:val="-3"/>
        </w:rPr>
        <w:t xml:space="preserve">протоколу, </w:t>
      </w:r>
      <w:r>
        <w:rPr>
          <w:color w:val="231F20"/>
        </w:rPr>
        <w:t>меморандуму тощо, визначає взаємні</w:t>
      </w:r>
      <w:r>
        <w:rPr>
          <w:color w:val="231F20"/>
          <w:spacing w:val="-14"/>
        </w:rPr>
        <w:t xml:space="preserve"> </w:t>
      </w:r>
      <w:r>
        <w:rPr>
          <w:color w:val="231F20"/>
        </w:rPr>
        <w:t>права</w:t>
      </w:r>
      <w:r>
        <w:rPr>
          <w:color w:val="231F20"/>
          <w:spacing w:val="-14"/>
        </w:rPr>
        <w:t xml:space="preserve"> </w:t>
      </w:r>
      <w:r>
        <w:rPr>
          <w:color w:val="231F20"/>
        </w:rPr>
        <w:t>та</w:t>
      </w:r>
      <w:r>
        <w:rPr>
          <w:color w:val="231F20"/>
          <w:spacing w:val="-14"/>
        </w:rPr>
        <w:t xml:space="preserve"> </w:t>
      </w:r>
      <w:r>
        <w:rPr>
          <w:color w:val="231F20"/>
        </w:rPr>
        <w:t>обов’язки</w:t>
      </w:r>
      <w:r>
        <w:rPr>
          <w:color w:val="231F20"/>
          <w:spacing w:val="-14"/>
        </w:rPr>
        <w:t xml:space="preserve"> </w:t>
      </w:r>
      <w:r>
        <w:rPr>
          <w:color w:val="231F20"/>
        </w:rPr>
        <w:t>його</w:t>
      </w:r>
      <w:r>
        <w:rPr>
          <w:color w:val="231F20"/>
          <w:spacing w:val="-14"/>
        </w:rPr>
        <w:t xml:space="preserve"> </w:t>
      </w:r>
      <w:r>
        <w:rPr>
          <w:color w:val="231F20"/>
        </w:rPr>
        <w:t>учасників</w:t>
      </w:r>
      <w:r>
        <w:rPr>
          <w:color w:val="231F20"/>
          <w:spacing w:val="-14"/>
        </w:rPr>
        <w:t xml:space="preserve"> </w:t>
      </w:r>
      <w:r>
        <w:rPr>
          <w:color w:val="231F20"/>
        </w:rPr>
        <w:t>у</w:t>
      </w:r>
      <w:r>
        <w:rPr>
          <w:color w:val="231F20"/>
          <w:spacing w:val="-15"/>
        </w:rPr>
        <w:t xml:space="preserve"> </w:t>
      </w:r>
      <w:r>
        <w:rPr>
          <w:color w:val="231F20"/>
        </w:rPr>
        <w:t>публічній</w:t>
      </w:r>
      <w:r>
        <w:rPr>
          <w:color w:val="231F20"/>
          <w:spacing w:val="-14"/>
        </w:rPr>
        <w:t xml:space="preserve"> </w:t>
      </w:r>
      <w:r>
        <w:rPr>
          <w:color w:val="231F20"/>
        </w:rPr>
        <w:t>правовій</w:t>
      </w:r>
      <w:r>
        <w:rPr>
          <w:color w:val="231F20"/>
          <w:spacing w:val="-14"/>
        </w:rPr>
        <w:t xml:space="preserve"> </w:t>
      </w:r>
      <w:r>
        <w:rPr>
          <w:color w:val="231F20"/>
        </w:rPr>
        <w:t>сфері й укладається на підставі за</w:t>
      </w:r>
      <w:r>
        <w:rPr>
          <w:color w:val="231F20"/>
        </w:rPr>
        <w:t xml:space="preserve">кону: а) для розмежування компетенції чи визначення порядку взаємодії між </w:t>
      </w:r>
      <w:r>
        <w:rPr>
          <w:color w:val="231F20"/>
          <w:spacing w:val="-3"/>
        </w:rPr>
        <w:t xml:space="preserve">суб’єктами </w:t>
      </w:r>
      <w:r>
        <w:rPr>
          <w:color w:val="231F20"/>
        </w:rPr>
        <w:t>владних повнова- жень;</w:t>
      </w:r>
      <w:r>
        <w:rPr>
          <w:color w:val="231F20"/>
          <w:spacing w:val="-6"/>
        </w:rPr>
        <w:t xml:space="preserve"> </w:t>
      </w:r>
      <w:r>
        <w:rPr>
          <w:color w:val="231F20"/>
        </w:rPr>
        <w:t>б)</w:t>
      </w:r>
      <w:r>
        <w:rPr>
          <w:color w:val="231F20"/>
          <w:spacing w:val="-9"/>
        </w:rPr>
        <w:t xml:space="preserve"> </w:t>
      </w:r>
      <w:r>
        <w:rPr>
          <w:color w:val="231F20"/>
        </w:rPr>
        <w:t>для</w:t>
      </w:r>
      <w:r>
        <w:rPr>
          <w:color w:val="231F20"/>
          <w:spacing w:val="-6"/>
        </w:rPr>
        <w:t xml:space="preserve"> </w:t>
      </w:r>
      <w:r>
        <w:rPr>
          <w:color w:val="231F20"/>
        </w:rPr>
        <w:t>делегування</w:t>
      </w:r>
      <w:r>
        <w:rPr>
          <w:color w:val="231F20"/>
          <w:spacing w:val="-7"/>
        </w:rPr>
        <w:t xml:space="preserve"> </w:t>
      </w:r>
      <w:r>
        <w:rPr>
          <w:color w:val="231F20"/>
        </w:rPr>
        <w:t>публічно-владних</w:t>
      </w:r>
      <w:r>
        <w:rPr>
          <w:color w:val="231F20"/>
          <w:spacing w:val="-6"/>
        </w:rPr>
        <w:t xml:space="preserve"> </w:t>
      </w:r>
      <w:r>
        <w:rPr>
          <w:color w:val="231F20"/>
        </w:rPr>
        <w:t>управлінських</w:t>
      </w:r>
      <w:r>
        <w:rPr>
          <w:color w:val="231F20"/>
          <w:spacing w:val="-6"/>
        </w:rPr>
        <w:t xml:space="preserve"> </w:t>
      </w:r>
      <w:r>
        <w:rPr>
          <w:color w:val="231F20"/>
        </w:rPr>
        <w:t xml:space="preserve">функцій; в) для перерозподілу або </w:t>
      </w:r>
      <w:r>
        <w:rPr>
          <w:color w:val="231F20"/>
          <w:spacing w:val="-3"/>
        </w:rPr>
        <w:t xml:space="preserve">об’єднання </w:t>
      </w:r>
      <w:r>
        <w:rPr>
          <w:color w:val="231F20"/>
        </w:rPr>
        <w:t>бюджетних коштів у випад- ках, визначених законом; г)</w:t>
      </w:r>
      <w:r>
        <w:rPr>
          <w:color w:val="231F20"/>
        </w:rPr>
        <w:t xml:space="preserve"> замість видання індивідуального акта; д) для врегулювання питань надання адміністративних</w:t>
      </w:r>
      <w:r>
        <w:rPr>
          <w:color w:val="231F20"/>
          <w:spacing w:val="-17"/>
        </w:rPr>
        <w:t xml:space="preserve"> </w:t>
      </w:r>
      <w:r>
        <w:rPr>
          <w:color w:val="231F20"/>
          <w:spacing w:val="-3"/>
        </w:rPr>
        <w:t>послуг.</w:t>
      </w:r>
    </w:p>
    <w:p w14:paraId="504E0C6C" w14:textId="77777777" w:rsidR="00DE575E" w:rsidRDefault="002E7560">
      <w:pPr>
        <w:pStyle w:val="BodyText"/>
        <w:spacing w:before="6" w:line="252" w:lineRule="auto"/>
        <w:ind w:left="250" w:right="411" w:firstLine="283"/>
        <w:jc w:val="both"/>
      </w:pPr>
      <w:r>
        <w:rPr>
          <w:b/>
          <w:color w:val="231F20"/>
        </w:rPr>
        <w:t xml:space="preserve">Адміністративний </w:t>
      </w:r>
      <w:r>
        <w:rPr>
          <w:b/>
          <w:color w:val="231F20"/>
          <w:spacing w:val="-4"/>
        </w:rPr>
        <w:t xml:space="preserve">нагляд </w:t>
      </w:r>
      <w:r>
        <w:rPr>
          <w:color w:val="231F20"/>
        </w:rPr>
        <w:t>– здійснення спеціальними держав- ними</w:t>
      </w:r>
      <w:r>
        <w:rPr>
          <w:color w:val="231F20"/>
          <w:spacing w:val="-16"/>
        </w:rPr>
        <w:t xml:space="preserve"> </w:t>
      </w:r>
      <w:r>
        <w:rPr>
          <w:color w:val="231F20"/>
        </w:rPr>
        <w:t>органами</w:t>
      </w:r>
      <w:r>
        <w:rPr>
          <w:color w:val="231F20"/>
          <w:spacing w:val="-16"/>
        </w:rPr>
        <w:t xml:space="preserve"> </w:t>
      </w:r>
      <w:r>
        <w:rPr>
          <w:color w:val="231F20"/>
        </w:rPr>
        <w:t>цільового</w:t>
      </w:r>
      <w:r>
        <w:rPr>
          <w:color w:val="231F20"/>
          <w:spacing w:val="-16"/>
        </w:rPr>
        <w:t xml:space="preserve"> </w:t>
      </w:r>
      <w:r>
        <w:rPr>
          <w:color w:val="231F20"/>
        </w:rPr>
        <w:t>спостереження</w:t>
      </w:r>
      <w:r>
        <w:rPr>
          <w:color w:val="231F20"/>
          <w:spacing w:val="-16"/>
        </w:rPr>
        <w:t xml:space="preserve"> </w:t>
      </w:r>
      <w:r>
        <w:rPr>
          <w:color w:val="231F20"/>
        </w:rPr>
        <w:t>виключно</w:t>
      </w:r>
      <w:r>
        <w:rPr>
          <w:color w:val="231F20"/>
          <w:spacing w:val="-16"/>
        </w:rPr>
        <w:t xml:space="preserve"> </w:t>
      </w:r>
      <w:r>
        <w:rPr>
          <w:color w:val="231F20"/>
        </w:rPr>
        <w:t>у</w:t>
      </w:r>
      <w:r>
        <w:rPr>
          <w:color w:val="231F20"/>
          <w:spacing w:val="-16"/>
        </w:rPr>
        <w:t xml:space="preserve"> </w:t>
      </w:r>
      <w:r>
        <w:rPr>
          <w:color w:val="231F20"/>
        </w:rPr>
        <w:t>сферах</w:t>
      </w:r>
      <w:r>
        <w:rPr>
          <w:color w:val="231F20"/>
          <w:spacing w:val="-16"/>
        </w:rPr>
        <w:t xml:space="preserve"> </w:t>
      </w:r>
      <w:r>
        <w:rPr>
          <w:color w:val="231F20"/>
        </w:rPr>
        <w:t>значної суспільної небезпеки за дотриманням підприємствами, установами, організаціями та громадянами правил, передбачених нормативно- правовими</w:t>
      </w:r>
      <w:r>
        <w:rPr>
          <w:color w:val="231F20"/>
          <w:spacing w:val="-2"/>
        </w:rPr>
        <w:t xml:space="preserve"> </w:t>
      </w:r>
      <w:r>
        <w:rPr>
          <w:color w:val="231F20"/>
        </w:rPr>
        <w:t>актами.</w:t>
      </w:r>
    </w:p>
    <w:p w14:paraId="5D3F7914" w14:textId="77777777" w:rsidR="00DE575E" w:rsidRDefault="002E7560">
      <w:pPr>
        <w:pStyle w:val="BodyText"/>
        <w:spacing w:before="2" w:line="252" w:lineRule="auto"/>
        <w:ind w:left="250" w:right="411" w:firstLine="283"/>
        <w:jc w:val="both"/>
      </w:pPr>
      <w:r>
        <w:rPr>
          <w:b/>
          <w:color w:val="231F20"/>
        </w:rPr>
        <w:t>Адміністративний</w:t>
      </w:r>
      <w:r>
        <w:rPr>
          <w:b/>
          <w:color w:val="231F20"/>
          <w:spacing w:val="-16"/>
        </w:rPr>
        <w:t xml:space="preserve"> </w:t>
      </w:r>
      <w:r>
        <w:rPr>
          <w:b/>
          <w:color w:val="231F20"/>
        </w:rPr>
        <w:t>орган</w:t>
      </w:r>
      <w:r>
        <w:rPr>
          <w:b/>
          <w:color w:val="231F20"/>
          <w:spacing w:val="-18"/>
        </w:rPr>
        <w:t xml:space="preserve"> </w:t>
      </w:r>
      <w:r>
        <w:rPr>
          <w:color w:val="231F20"/>
        </w:rPr>
        <w:t>–</w:t>
      </w:r>
      <w:r>
        <w:rPr>
          <w:color w:val="231F20"/>
          <w:spacing w:val="-16"/>
        </w:rPr>
        <w:t xml:space="preserve"> </w:t>
      </w:r>
      <w:r>
        <w:rPr>
          <w:color w:val="231F20"/>
        </w:rPr>
        <w:t>учасник</w:t>
      </w:r>
      <w:r>
        <w:rPr>
          <w:color w:val="231F20"/>
          <w:spacing w:val="-16"/>
        </w:rPr>
        <w:t xml:space="preserve"> </w:t>
      </w:r>
      <w:r>
        <w:rPr>
          <w:color w:val="231F20"/>
        </w:rPr>
        <w:t>адміністративної</w:t>
      </w:r>
      <w:r>
        <w:rPr>
          <w:color w:val="231F20"/>
          <w:spacing w:val="-16"/>
        </w:rPr>
        <w:t xml:space="preserve"> </w:t>
      </w:r>
      <w:r>
        <w:rPr>
          <w:color w:val="231F20"/>
        </w:rPr>
        <w:t xml:space="preserve">процедури, </w:t>
      </w:r>
      <w:r>
        <w:rPr>
          <w:color w:val="231F20"/>
          <w:spacing w:val="-4"/>
        </w:rPr>
        <w:t xml:space="preserve">суб’єкт </w:t>
      </w:r>
      <w:r>
        <w:rPr>
          <w:color w:val="231F20"/>
        </w:rPr>
        <w:t>публічного адміністрування, уповнов</w:t>
      </w:r>
      <w:r>
        <w:rPr>
          <w:color w:val="231F20"/>
        </w:rPr>
        <w:t xml:space="preserve">ажений здійснювати владні (виконавчі та розпорядчі) функції щодо </w:t>
      </w:r>
      <w:r>
        <w:rPr>
          <w:color w:val="231F20"/>
          <w:spacing w:val="-3"/>
        </w:rPr>
        <w:t xml:space="preserve">розгляду </w:t>
      </w:r>
      <w:r>
        <w:rPr>
          <w:color w:val="231F20"/>
        </w:rPr>
        <w:t>та вирі- шення адміністративних справ і видання адміністративного</w:t>
      </w:r>
      <w:r>
        <w:rPr>
          <w:color w:val="231F20"/>
          <w:spacing w:val="-22"/>
        </w:rPr>
        <w:t xml:space="preserve"> </w:t>
      </w:r>
      <w:r>
        <w:rPr>
          <w:color w:val="231F20"/>
        </w:rPr>
        <w:t>акта.</w:t>
      </w:r>
    </w:p>
    <w:p w14:paraId="6714D90B" w14:textId="77777777" w:rsidR="00DE575E" w:rsidRDefault="002E7560">
      <w:pPr>
        <w:pStyle w:val="BodyText"/>
        <w:spacing w:before="2" w:line="252" w:lineRule="auto"/>
        <w:ind w:left="250" w:right="411" w:firstLine="283"/>
        <w:jc w:val="both"/>
      </w:pPr>
      <w:r>
        <w:rPr>
          <w:b/>
          <w:color w:val="231F20"/>
        </w:rPr>
        <w:t xml:space="preserve">Адміністративний позов </w:t>
      </w:r>
      <w:r>
        <w:rPr>
          <w:color w:val="231F20"/>
        </w:rPr>
        <w:t>– письмове звернення до адміністра- тивного</w:t>
      </w:r>
      <w:r>
        <w:rPr>
          <w:color w:val="231F20"/>
          <w:spacing w:val="-7"/>
        </w:rPr>
        <w:t xml:space="preserve"> </w:t>
      </w:r>
      <w:r>
        <w:rPr>
          <w:color w:val="231F20"/>
          <w:spacing w:val="-4"/>
        </w:rPr>
        <w:t>суду</w:t>
      </w:r>
      <w:r>
        <w:rPr>
          <w:color w:val="231F20"/>
          <w:spacing w:val="-7"/>
        </w:rPr>
        <w:t xml:space="preserve"> </w:t>
      </w:r>
      <w:r>
        <w:rPr>
          <w:color w:val="231F20"/>
        </w:rPr>
        <w:t>про</w:t>
      </w:r>
      <w:r>
        <w:rPr>
          <w:color w:val="231F20"/>
          <w:spacing w:val="-7"/>
        </w:rPr>
        <w:t xml:space="preserve"> </w:t>
      </w:r>
      <w:r>
        <w:rPr>
          <w:color w:val="231F20"/>
        </w:rPr>
        <w:t>захист</w:t>
      </w:r>
      <w:r>
        <w:rPr>
          <w:color w:val="231F20"/>
          <w:spacing w:val="-6"/>
        </w:rPr>
        <w:t xml:space="preserve"> </w:t>
      </w:r>
      <w:r>
        <w:rPr>
          <w:color w:val="231F20"/>
        </w:rPr>
        <w:t>прав,</w:t>
      </w:r>
      <w:r>
        <w:rPr>
          <w:color w:val="231F20"/>
          <w:spacing w:val="-7"/>
        </w:rPr>
        <w:t xml:space="preserve"> </w:t>
      </w:r>
      <w:r>
        <w:rPr>
          <w:color w:val="231F20"/>
        </w:rPr>
        <w:t>свобод</w:t>
      </w:r>
      <w:r>
        <w:rPr>
          <w:color w:val="231F20"/>
          <w:spacing w:val="-7"/>
        </w:rPr>
        <w:t xml:space="preserve"> </w:t>
      </w:r>
      <w:r>
        <w:rPr>
          <w:color w:val="231F20"/>
        </w:rPr>
        <w:t>та</w:t>
      </w:r>
      <w:r>
        <w:rPr>
          <w:color w:val="231F20"/>
          <w:spacing w:val="-7"/>
        </w:rPr>
        <w:t xml:space="preserve"> </w:t>
      </w:r>
      <w:r>
        <w:rPr>
          <w:color w:val="231F20"/>
        </w:rPr>
        <w:t>інтересів</w:t>
      </w:r>
      <w:r>
        <w:rPr>
          <w:color w:val="231F20"/>
          <w:spacing w:val="-7"/>
        </w:rPr>
        <w:t xml:space="preserve"> </w:t>
      </w:r>
      <w:r>
        <w:rPr>
          <w:color w:val="231F20"/>
        </w:rPr>
        <w:t>у</w:t>
      </w:r>
      <w:r>
        <w:rPr>
          <w:color w:val="231F20"/>
          <w:spacing w:val="-6"/>
        </w:rPr>
        <w:t xml:space="preserve"> </w:t>
      </w:r>
      <w:r>
        <w:rPr>
          <w:color w:val="231F20"/>
        </w:rPr>
        <w:t>публічних</w:t>
      </w:r>
      <w:r>
        <w:rPr>
          <w:color w:val="231F20"/>
          <w:spacing w:val="-7"/>
        </w:rPr>
        <w:t xml:space="preserve"> </w:t>
      </w:r>
      <w:r>
        <w:rPr>
          <w:color w:val="231F20"/>
        </w:rPr>
        <w:t>право- вих</w:t>
      </w:r>
      <w:r>
        <w:rPr>
          <w:color w:val="231F20"/>
          <w:spacing w:val="-1"/>
        </w:rPr>
        <w:t xml:space="preserve"> </w:t>
      </w:r>
      <w:r>
        <w:rPr>
          <w:color w:val="231F20"/>
        </w:rPr>
        <w:t>відносинах.</w:t>
      </w:r>
    </w:p>
    <w:p w14:paraId="25D7609A" w14:textId="77777777" w:rsidR="00DE575E" w:rsidRDefault="002E7560">
      <w:pPr>
        <w:pStyle w:val="BodyText"/>
        <w:spacing w:before="1" w:line="252" w:lineRule="auto"/>
        <w:ind w:left="250" w:right="410" w:firstLine="283"/>
        <w:jc w:val="both"/>
      </w:pPr>
      <w:r>
        <w:rPr>
          <w:color w:val="231F20"/>
        </w:rPr>
        <w:t>А</w:t>
      </w:r>
      <w:r>
        <w:rPr>
          <w:b/>
          <w:color w:val="231F20"/>
        </w:rPr>
        <w:t xml:space="preserve">дміністративний примус </w:t>
      </w:r>
      <w:r>
        <w:rPr>
          <w:color w:val="231F20"/>
        </w:rPr>
        <w:t xml:space="preserve">– застосування </w:t>
      </w:r>
      <w:r>
        <w:rPr>
          <w:color w:val="231F20"/>
          <w:spacing w:val="-3"/>
        </w:rPr>
        <w:t xml:space="preserve">суб’єктами </w:t>
      </w:r>
      <w:r>
        <w:rPr>
          <w:color w:val="231F20"/>
        </w:rPr>
        <w:t>публіч- ної адміністрації, а у випадках, прямо визначених у законі, – також іншими особами, до осіб, які не перебувають у їх підпорядкуванні, незалежно від волі і бажання останніх передбачених адміністра- тивно-правовими нормами заходів впливу морального,</w:t>
      </w:r>
      <w:r>
        <w:rPr>
          <w:color w:val="231F20"/>
          <w:spacing w:val="18"/>
        </w:rPr>
        <w:t xml:space="preserve"> </w:t>
      </w:r>
      <w:r>
        <w:rPr>
          <w:color w:val="231F20"/>
        </w:rPr>
        <w:t>майнового,</w:t>
      </w:r>
    </w:p>
    <w:p w14:paraId="52A1B31C" w14:textId="77777777" w:rsidR="00DE575E" w:rsidRDefault="00DE575E">
      <w:pPr>
        <w:pStyle w:val="BodyText"/>
        <w:spacing w:before="7"/>
        <w:rPr>
          <w:sz w:val="12"/>
        </w:rPr>
      </w:pPr>
    </w:p>
    <w:p w14:paraId="206117BC" w14:textId="77777777" w:rsidR="00DE575E" w:rsidRDefault="002E7560">
      <w:pPr>
        <w:spacing w:before="92"/>
        <w:ind w:right="411"/>
        <w:jc w:val="right"/>
        <w:rPr>
          <w:rFonts w:ascii="Times New Roman"/>
          <w:sz w:val="20"/>
        </w:rPr>
      </w:pPr>
      <w:r>
        <w:rPr>
          <w:rFonts w:ascii="Times New Roman"/>
          <w:color w:val="231F20"/>
          <w:w w:val="90"/>
          <w:sz w:val="20"/>
        </w:rPr>
        <w:t>531</w:t>
      </w:r>
    </w:p>
    <w:p w14:paraId="47D8439D"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4EA6C05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E2DAF6E" w14:textId="291B191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192D0F9" wp14:editId="605B4962">
                <wp:extent cx="4140200" cy="6350"/>
                <wp:effectExtent l="0" t="0" r="12700" b="6350"/>
                <wp:docPr id="10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2" name="Line 10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C4ED3" id="Group_x0020_10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tI8E1H4CAACYBQAADgAA&#10;AAAAAAAAAAAAAAAsAgAAZHJzL2Uyb0RvYy54bWxQSwECLQAUAAYACAAAACEATKewkNkAAAADAQAA&#10;DwAAAAAAAAAAAAAAAADWBAAAZHJzL2Rvd25yZXYueG1sUEsFBgAAAAAEAAQA8wAAANwFAAAAAA==&#10;">
                <v:line id="Line_x0020_10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pymcQAAADcAAAADwAAAGRycy9kb3ducmV2LnhtbERPS2rDMBDdB3oHMYVsQiM3gVDcyKYU&#10;CiWL/NwDjK2pbSqNHEuJnZw+KhS6m8f7zjofrREX6n3rWMHzPAFBXDndcq3gq/h4egHhA7JG45gU&#10;XMlDnj1M1phqN/CBLsdQixjCPkUFTQhdKqWvGrLo564jjty36y2GCPta6h6HGG6NXCTJSlpsOTY0&#10;2NF7Q9XP8WwVFKdZMPvdxgzFrlzK8rRd3s5bpaaP49sriEBj+Bf/uT91nJ8s4PeZeIHM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GnKZxAAAANwAAAAPAAAAAAAAAAAA&#10;AAAAAKECAABkcnMvZG93bnJldi54bWxQSwUGAAAAAAQABAD5AAAAkgMAAAAA&#10;" strokecolor="#231f20" strokeweight=".5pt"/>
                <w10:anchorlock/>
              </v:group>
            </w:pict>
          </mc:Fallback>
        </mc:AlternateContent>
      </w:r>
    </w:p>
    <w:p w14:paraId="69B00964" w14:textId="77777777" w:rsidR="00DE575E" w:rsidRDefault="00DE575E">
      <w:pPr>
        <w:pStyle w:val="BodyText"/>
        <w:spacing w:before="7"/>
        <w:rPr>
          <w:rFonts w:ascii="AdonisC"/>
          <w:i/>
          <w:sz w:val="11"/>
        </w:rPr>
      </w:pPr>
    </w:p>
    <w:p w14:paraId="21653A0A" w14:textId="77777777" w:rsidR="00DE575E" w:rsidRDefault="002E7560">
      <w:pPr>
        <w:pStyle w:val="BodyText"/>
        <w:spacing w:before="101" w:line="252" w:lineRule="auto"/>
        <w:ind w:left="533" w:right="126"/>
        <w:jc w:val="both"/>
      </w:pPr>
      <w:r>
        <w:rPr>
          <w:color w:val="231F20"/>
        </w:rPr>
        <w:t>особистісного (фізичного) та іншого характеру з метою запобігання правопорушенням та їх припинення, притягнення винни</w:t>
      </w:r>
      <w:r>
        <w:rPr>
          <w:color w:val="231F20"/>
        </w:rPr>
        <w:t>х до відпо- відальності.</w:t>
      </w:r>
    </w:p>
    <w:p w14:paraId="43705D03" w14:textId="77777777" w:rsidR="00DE575E" w:rsidRDefault="002E7560">
      <w:pPr>
        <w:pStyle w:val="BodyText"/>
        <w:spacing w:before="1" w:line="252" w:lineRule="auto"/>
        <w:ind w:left="533" w:right="127" w:firstLine="283"/>
        <w:jc w:val="both"/>
      </w:pPr>
      <w:r>
        <w:rPr>
          <w:b/>
          <w:color w:val="231F20"/>
        </w:rPr>
        <w:t xml:space="preserve">Адміністративний </w:t>
      </w:r>
      <w:r>
        <w:rPr>
          <w:b/>
          <w:color w:val="231F20"/>
          <w:spacing w:val="-4"/>
        </w:rPr>
        <w:t xml:space="preserve">розсуд </w:t>
      </w:r>
      <w:r>
        <w:rPr>
          <w:color w:val="231F20"/>
        </w:rPr>
        <w:t>– визначені нормами адміністратив- ного</w:t>
      </w:r>
      <w:r>
        <w:rPr>
          <w:color w:val="231F20"/>
          <w:spacing w:val="-18"/>
        </w:rPr>
        <w:t xml:space="preserve"> </w:t>
      </w:r>
      <w:r>
        <w:rPr>
          <w:color w:val="231F20"/>
        </w:rPr>
        <w:t>права</w:t>
      </w:r>
      <w:r>
        <w:rPr>
          <w:color w:val="231F20"/>
          <w:spacing w:val="-18"/>
        </w:rPr>
        <w:t xml:space="preserve"> </w:t>
      </w:r>
      <w:r>
        <w:rPr>
          <w:color w:val="231F20"/>
        </w:rPr>
        <w:t>межі</w:t>
      </w:r>
      <w:r>
        <w:rPr>
          <w:color w:val="231F20"/>
          <w:spacing w:val="-18"/>
        </w:rPr>
        <w:t xml:space="preserve"> </w:t>
      </w:r>
      <w:r>
        <w:rPr>
          <w:color w:val="231F20"/>
        </w:rPr>
        <w:t>щодо</w:t>
      </w:r>
      <w:r>
        <w:rPr>
          <w:color w:val="231F20"/>
          <w:spacing w:val="-18"/>
        </w:rPr>
        <w:t xml:space="preserve"> </w:t>
      </w:r>
      <w:r>
        <w:rPr>
          <w:color w:val="231F20"/>
        </w:rPr>
        <w:t>можливої</w:t>
      </w:r>
      <w:r>
        <w:rPr>
          <w:color w:val="231F20"/>
          <w:spacing w:val="-18"/>
        </w:rPr>
        <w:t xml:space="preserve"> </w:t>
      </w:r>
      <w:r>
        <w:rPr>
          <w:color w:val="231F20"/>
        </w:rPr>
        <w:t>адміністративної</w:t>
      </w:r>
      <w:r>
        <w:rPr>
          <w:color w:val="231F20"/>
          <w:spacing w:val="-18"/>
        </w:rPr>
        <w:t xml:space="preserve"> </w:t>
      </w:r>
      <w:r>
        <w:rPr>
          <w:color w:val="231F20"/>
        </w:rPr>
        <w:t>діяльності</w:t>
      </w:r>
      <w:r>
        <w:rPr>
          <w:color w:val="231F20"/>
          <w:spacing w:val="-18"/>
        </w:rPr>
        <w:t xml:space="preserve"> </w:t>
      </w:r>
      <w:r>
        <w:rPr>
          <w:color w:val="231F20"/>
          <w:spacing w:val="-4"/>
        </w:rPr>
        <w:t xml:space="preserve">суб’єкта </w:t>
      </w:r>
      <w:r>
        <w:rPr>
          <w:color w:val="231F20"/>
        </w:rPr>
        <w:t>публічної</w:t>
      </w:r>
      <w:r>
        <w:rPr>
          <w:color w:val="231F20"/>
          <w:spacing w:val="-8"/>
        </w:rPr>
        <w:t xml:space="preserve"> </w:t>
      </w:r>
      <w:r>
        <w:rPr>
          <w:color w:val="231F20"/>
        </w:rPr>
        <w:t>адміністрації</w:t>
      </w:r>
      <w:r>
        <w:rPr>
          <w:color w:val="231F20"/>
          <w:spacing w:val="-8"/>
        </w:rPr>
        <w:t xml:space="preserve"> </w:t>
      </w:r>
      <w:r>
        <w:rPr>
          <w:color w:val="231F20"/>
        </w:rPr>
        <w:t>під</w:t>
      </w:r>
      <w:r>
        <w:rPr>
          <w:color w:val="231F20"/>
          <w:spacing w:val="-8"/>
        </w:rPr>
        <w:t xml:space="preserve"> </w:t>
      </w:r>
      <w:r>
        <w:rPr>
          <w:color w:val="231F20"/>
        </w:rPr>
        <w:t>час</w:t>
      </w:r>
      <w:r>
        <w:rPr>
          <w:color w:val="231F20"/>
          <w:spacing w:val="-8"/>
        </w:rPr>
        <w:t xml:space="preserve"> </w:t>
      </w:r>
      <w:r>
        <w:rPr>
          <w:color w:val="231F20"/>
        </w:rPr>
        <w:t>забезпечення</w:t>
      </w:r>
      <w:r>
        <w:rPr>
          <w:color w:val="231F20"/>
          <w:spacing w:val="-8"/>
        </w:rPr>
        <w:t xml:space="preserve"> </w:t>
      </w:r>
      <w:r>
        <w:rPr>
          <w:color w:val="231F20"/>
        </w:rPr>
        <w:t>прав,</w:t>
      </w:r>
      <w:r>
        <w:rPr>
          <w:color w:val="231F20"/>
          <w:spacing w:val="-8"/>
        </w:rPr>
        <w:t xml:space="preserve"> </w:t>
      </w:r>
      <w:r>
        <w:rPr>
          <w:color w:val="231F20"/>
        </w:rPr>
        <w:t>свобод</w:t>
      </w:r>
      <w:r>
        <w:rPr>
          <w:color w:val="231F20"/>
          <w:spacing w:val="-8"/>
        </w:rPr>
        <w:t xml:space="preserve"> </w:t>
      </w:r>
      <w:r>
        <w:rPr>
          <w:color w:val="231F20"/>
        </w:rPr>
        <w:t>і</w:t>
      </w:r>
      <w:r>
        <w:rPr>
          <w:color w:val="231F20"/>
          <w:spacing w:val="-7"/>
        </w:rPr>
        <w:t xml:space="preserve"> </w:t>
      </w:r>
      <w:r>
        <w:rPr>
          <w:color w:val="231F20"/>
        </w:rPr>
        <w:t>законних інтересів приватних осіб та публічного інтересу</w:t>
      </w:r>
      <w:r>
        <w:rPr>
          <w:color w:val="231F20"/>
          <w:spacing w:val="-3"/>
        </w:rPr>
        <w:t xml:space="preserve"> </w:t>
      </w:r>
      <w:r>
        <w:rPr>
          <w:color w:val="231F20"/>
        </w:rPr>
        <w:t>суспільства.</w:t>
      </w:r>
    </w:p>
    <w:p w14:paraId="48AD0B97" w14:textId="77777777" w:rsidR="00DE575E" w:rsidRDefault="002E7560">
      <w:pPr>
        <w:pStyle w:val="BodyText"/>
        <w:spacing w:before="2" w:line="252" w:lineRule="auto"/>
        <w:ind w:left="533" w:right="128" w:firstLine="283"/>
        <w:jc w:val="both"/>
      </w:pPr>
      <w:r>
        <w:rPr>
          <w:b/>
          <w:color w:val="231F20"/>
        </w:rPr>
        <w:t xml:space="preserve">Адміністративні повноваження </w:t>
      </w:r>
      <w:r>
        <w:rPr>
          <w:color w:val="231F20"/>
        </w:rPr>
        <w:t xml:space="preserve">–  взаємопов’язані  </w:t>
      </w:r>
      <w:r>
        <w:rPr>
          <w:color w:val="231F20"/>
          <w:spacing w:val="-4"/>
        </w:rPr>
        <w:t xml:space="preserve">(об’єд-  </w:t>
      </w:r>
      <w:r>
        <w:rPr>
          <w:color w:val="231F20"/>
        </w:rPr>
        <w:t>нані)</w:t>
      </w:r>
      <w:r>
        <w:rPr>
          <w:color w:val="231F20"/>
          <w:spacing w:val="-9"/>
        </w:rPr>
        <w:t xml:space="preserve"> </w:t>
      </w:r>
      <w:r>
        <w:rPr>
          <w:color w:val="231F20"/>
        </w:rPr>
        <w:t>адміністративні</w:t>
      </w:r>
      <w:r>
        <w:rPr>
          <w:color w:val="231F20"/>
          <w:spacing w:val="-9"/>
        </w:rPr>
        <w:t xml:space="preserve"> </w:t>
      </w:r>
      <w:r>
        <w:rPr>
          <w:color w:val="231F20"/>
        </w:rPr>
        <w:t>обов’язки</w:t>
      </w:r>
      <w:r>
        <w:rPr>
          <w:color w:val="231F20"/>
          <w:spacing w:val="-9"/>
        </w:rPr>
        <w:t xml:space="preserve"> </w:t>
      </w:r>
      <w:r>
        <w:rPr>
          <w:color w:val="231F20"/>
        </w:rPr>
        <w:t>та</w:t>
      </w:r>
      <w:r>
        <w:rPr>
          <w:color w:val="231F20"/>
          <w:spacing w:val="-9"/>
        </w:rPr>
        <w:t xml:space="preserve"> </w:t>
      </w:r>
      <w:r>
        <w:rPr>
          <w:color w:val="231F20"/>
        </w:rPr>
        <w:t>права</w:t>
      </w:r>
      <w:r>
        <w:rPr>
          <w:color w:val="231F20"/>
          <w:spacing w:val="-9"/>
        </w:rPr>
        <w:t xml:space="preserve"> </w:t>
      </w:r>
      <w:r>
        <w:rPr>
          <w:color w:val="231F20"/>
          <w:spacing w:val="-3"/>
        </w:rPr>
        <w:t>суб’єкта</w:t>
      </w:r>
      <w:r>
        <w:rPr>
          <w:color w:val="231F20"/>
          <w:spacing w:val="-9"/>
        </w:rPr>
        <w:t xml:space="preserve"> </w:t>
      </w:r>
      <w:r>
        <w:rPr>
          <w:color w:val="231F20"/>
        </w:rPr>
        <w:t>публічного</w:t>
      </w:r>
      <w:r>
        <w:rPr>
          <w:color w:val="231F20"/>
          <w:spacing w:val="-9"/>
        </w:rPr>
        <w:t xml:space="preserve"> </w:t>
      </w:r>
      <w:r>
        <w:rPr>
          <w:color w:val="231F20"/>
        </w:rPr>
        <w:t>адміні- стрування, надані йому законним чином і необхідні для досягнення поставлених перед ним завдань.</w:t>
      </w:r>
    </w:p>
    <w:p w14:paraId="31A26EFB" w14:textId="77777777" w:rsidR="00DE575E" w:rsidRDefault="002E7560">
      <w:pPr>
        <w:pStyle w:val="BodyText"/>
        <w:spacing w:before="2" w:line="252" w:lineRule="auto"/>
        <w:ind w:left="533" w:right="127" w:firstLine="283"/>
        <w:jc w:val="both"/>
      </w:pPr>
      <w:r>
        <w:rPr>
          <w:b/>
          <w:color w:val="231F20"/>
        </w:rPr>
        <w:t xml:space="preserve">Адміністративно-запобіжні заходи </w:t>
      </w:r>
      <w:r>
        <w:rPr>
          <w:color w:val="231F20"/>
        </w:rPr>
        <w:t>– комплекс заходів впливу морального, фізичного, організаційного та іншого характеру, які дозволяють виявляти і не допу</w:t>
      </w:r>
      <w:r>
        <w:rPr>
          <w:color w:val="231F20"/>
        </w:rPr>
        <w:t>скати правопорушення, забезпечу- вати правопорядок за різних обставин.</w:t>
      </w:r>
    </w:p>
    <w:p w14:paraId="3F8865D4" w14:textId="77777777" w:rsidR="00DE575E" w:rsidRDefault="002E7560">
      <w:pPr>
        <w:pStyle w:val="BodyText"/>
        <w:spacing w:before="2" w:line="252" w:lineRule="auto"/>
        <w:ind w:left="533" w:right="127" w:firstLine="283"/>
        <w:jc w:val="both"/>
      </w:pPr>
      <w:r>
        <w:rPr>
          <w:b/>
          <w:color w:val="231F20"/>
        </w:rPr>
        <w:t xml:space="preserve">Адміністративно-правовий режим </w:t>
      </w:r>
      <w:r>
        <w:rPr>
          <w:color w:val="231F20"/>
        </w:rPr>
        <w:t>– правовий режим зі спеці- альною метою, зумовлений імперативним методом правового регу- лювання, з особливими засобами встановлення і формами виник- ненн</w:t>
      </w:r>
      <w:r>
        <w:rPr>
          <w:color w:val="231F20"/>
        </w:rPr>
        <w:t>я прав та обов’язків, способами юридичного впливу та захисту прав і свобод, який має чітко визначені просторово-часові рамки та спеціальні органи управління.</w:t>
      </w:r>
    </w:p>
    <w:p w14:paraId="6EB75D44" w14:textId="77777777" w:rsidR="00DE575E" w:rsidRDefault="002E7560">
      <w:pPr>
        <w:pStyle w:val="BodyText"/>
        <w:spacing w:before="3" w:line="252" w:lineRule="auto"/>
        <w:ind w:left="533" w:right="128" w:firstLine="283"/>
        <w:jc w:val="both"/>
      </w:pPr>
      <w:r>
        <w:rPr>
          <w:b/>
          <w:color w:val="231F20"/>
        </w:rPr>
        <w:t xml:space="preserve">Адміністративно-правовий статус особи-підприємця </w:t>
      </w:r>
      <w:r>
        <w:rPr>
          <w:color w:val="231F20"/>
        </w:rPr>
        <w:t>– поря- док і підстави легалізації приватної особ</w:t>
      </w:r>
      <w:r>
        <w:rPr>
          <w:color w:val="231F20"/>
        </w:rPr>
        <w:t>и в цьому статусі, а також сукупність прав вільно здійснювати підприємницьку діяльність, не порушуючи при цьому заборонних норм адміністративного (госпо- дарського) права, що підкріплено обов’язком публічної адміністра- ції надавати сервісні послуги для еф</w:t>
      </w:r>
      <w:r>
        <w:rPr>
          <w:color w:val="231F20"/>
        </w:rPr>
        <w:t>ективного розвитку підприєм- ницької діяльності та дотримання обмежень щодо міри і ступеня втручання у сферу підприємницької свободи.</w:t>
      </w:r>
    </w:p>
    <w:p w14:paraId="0B81DF16" w14:textId="77777777" w:rsidR="00DE575E" w:rsidRDefault="002E7560">
      <w:pPr>
        <w:pStyle w:val="BodyText"/>
        <w:spacing w:before="4" w:line="252" w:lineRule="auto"/>
        <w:ind w:left="533" w:right="127" w:firstLine="283"/>
        <w:jc w:val="both"/>
      </w:pPr>
      <w:r>
        <w:rPr>
          <w:b/>
          <w:color w:val="231F20"/>
        </w:rPr>
        <w:t>Адміністративно-правові</w:t>
      </w:r>
      <w:r>
        <w:rPr>
          <w:b/>
          <w:color w:val="231F20"/>
          <w:spacing w:val="-18"/>
        </w:rPr>
        <w:t xml:space="preserve"> </w:t>
      </w:r>
      <w:r>
        <w:rPr>
          <w:b/>
          <w:color w:val="231F20"/>
        </w:rPr>
        <w:t>відносини</w:t>
      </w:r>
      <w:r>
        <w:rPr>
          <w:b/>
          <w:color w:val="231F20"/>
          <w:spacing w:val="-21"/>
        </w:rPr>
        <w:t xml:space="preserve"> </w:t>
      </w:r>
      <w:r>
        <w:rPr>
          <w:color w:val="231F20"/>
        </w:rPr>
        <w:t>(</w:t>
      </w:r>
      <w:r>
        <w:rPr>
          <w:i/>
          <w:color w:val="231F20"/>
        </w:rPr>
        <w:t>зміст</w:t>
      </w:r>
      <w:r>
        <w:rPr>
          <w:color w:val="231F20"/>
        </w:rPr>
        <w:t>)</w:t>
      </w:r>
      <w:r>
        <w:rPr>
          <w:color w:val="231F20"/>
          <w:spacing w:val="-19"/>
        </w:rPr>
        <w:t xml:space="preserve"> </w:t>
      </w:r>
      <w:r>
        <w:rPr>
          <w:color w:val="231F20"/>
        </w:rPr>
        <w:t>–</w:t>
      </w:r>
      <w:r>
        <w:rPr>
          <w:color w:val="231F20"/>
          <w:spacing w:val="-19"/>
        </w:rPr>
        <w:t xml:space="preserve"> </w:t>
      </w:r>
      <w:r>
        <w:rPr>
          <w:color w:val="231F20"/>
        </w:rPr>
        <w:t>сукупність</w:t>
      </w:r>
      <w:r>
        <w:rPr>
          <w:color w:val="231F20"/>
          <w:spacing w:val="-19"/>
        </w:rPr>
        <w:t xml:space="preserve"> </w:t>
      </w:r>
      <w:r>
        <w:rPr>
          <w:color w:val="231F20"/>
          <w:spacing w:val="-4"/>
        </w:rPr>
        <w:t xml:space="preserve">суб’єк- </w:t>
      </w:r>
      <w:r>
        <w:rPr>
          <w:color w:val="231F20"/>
        </w:rPr>
        <w:t>тивних публічних прав (публічних правоможностей) та юридичн</w:t>
      </w:r>
      <w:r>
        <w:rPr>
          <w:color w:val="231F20"/>
        </w:rPr>
        <w:t xml:space="preserve">их обов’язків </w:t>
      </w:r>
      <w:r>
        <w:rPr>
          <w:color w:val="231F20"/>
          <w:spacing w:val="-3"/>
        </w:rPr>
        <w:t xml:space="preserve">суб’єктів </w:t>
      </w:r>
      <w:r>
        <w:rPr>
          <w:color w:val="231F20"/>
        </w:rPr>
        <w:t xml:space="preserve">адміністративного права, коли кожному </w:t>
      </w:r>
      <w:r>
        <w:rPr>
          <w:color w:val="231F20"/>
          <w:spacing w:val="-4"/>
        </w:rPr>
        <w:t xml:space="preserve">суб’єк- </w:t>
      </w:r>
      <w:r>
        <w:rPr>
          <w:color w:val="231F20"/>
        </w:rPr>
        <w:t xml:space="preserve">тивному праву одного </w:t>
      </w:r>
      <w:r>
        <w:rPr>
          <w:color w:val="231F20"/>
          <w:spacing w:val="-3"/>
        </w:rPr>
        <w:t xml:space="preserve">суб’єкта </w:t>
      </w:r>
      <w:r>
        <w:rPr>
          <w:color w:val="231F20"/>
        </w:rPr>
        <w:t>адміністративно-правових відносин відповідає</w:t>
      </w:r>
      <w:r>
        <w:rPr>
          <w:color w:val="231F20"/>
          <w:spacing w:val="-8"/>
        </w:rPr>
        <w:t xml:space="preserve"> </w:t>
      </w:r>
      <w:r>
        <w:rPr>
          <w:color w:val="231F20"/>
        </w:rPr>
        <w:t>(кореспондується)</w:t>
      </w:r>
      <w:r>
        <w:rPr>
          <w:color w:val="231F20"/>
          <w:spacing w:val="-8"/>
        </w:rPr>
        <w:t xml:space="preserve"> </w:t>
      </w:r>
      <w:r>
        <w:rPr>
          <w:color w:val="231F20"/>
        </w:rPr>
        <w:t>юридичний</w:t>
      </w:r>
      <w:r>
        <w:rPr>
          <w:color w:val="231F20"/>
          <w:spacing w:val="-8"/>
        </w:rPr>
        <w:t xml:space="preserve"> </w:t>
      </w:r>
      <w:r>
        <w:rPr>
          <w:color w:val="231F20"/>
        </w:rPr>
        <w:t>обов’язок</w:t>
      </w:r>
      <w:r>
        <w:rPr>
          <w:color w:val="231F20"/>
          <w:spacing w:val="-8"/>
        </w:rPr>
        <w:t xml:space="preserve"> </w:t>
      </w:r>
      <w:r>
        <w:rPr>
          <w:color w:val="231F20"/>
        </w:rPr>
        <w:t>іншого</w:t>
      </w:r>
      <w:r>
        <w:rPr>
          <w:color w:val="231F20"/>
          <w:spacing w:val="-8"/>
        </w:rPr>
        <w:t xml:space="preserve"> </w:t>
      </w:r>
      <w:r>
        <w:rPr>
          <w:color w:val="231F20"/>
          <w:spacing w:val="-3"/>
        </w:rPr>
        <w:t xml:space="preserve">суб’єкта, </w:t>
      </w:r>
      <w:r>
        <w:rPr>
          <w:color w:val="231F20"/>
        </w:rPr>
        <w:t>і</w:t>
      </w:r>
      <w:r>
        <w:rPr>
          <w:color w:val="231F20"/>
          <w:spacing w:val="-1"/>
        </w:rPr>
        <w:t xml:space="preserve"> </w:t>
      </w:r>
      <w:r>
        <w:rPr>
          <w:color w:val="231F20"/>
        </w:rPr>
        <w:t>навпаки.</w:t>
      </w:r>
    </w:p>
    <w:p w14:paraId="1057F954" w14:textId="77777777" w:rsidR="00DE575E" w:rsidRDefault="002E7560">
      <w:pPr>
        <w:pStyle w:val="BodyText"/>
        <w:spacing w:before="3" w:line="252" w:lineRule="auto"/>
        <w:ind w:left="533" w:right="125" w:firstLine="283"/>
        <w:jc w:val="both"/>
      </w:pPr>
      <w:r>
        <w:rPr>
          <w:b/>
          <w:color w:val="231F20"/>
        </w:rPr>
        <w:t xml:space="preserve">Адміністративно-правові  відносини  </w:t>
      </w:r>
      <w:r>
        <w:rPr>
          <w:color w:val="231F20"/>
          <w:spacing w:val="-3"/>
        </w:rPr>
        <w:t>(</w:t>
      </w:r>
      <w:r>
        <w:rPr>
          <w:i/>
          <w:color w:val="231F20"/>
          <w:spacing w:val="-3"/>
        </w:rPr>
        <w:t>об’єкт</w:t>
      </w:r>
      <w:r>
        <w:rPr>
          <w:color w:val="231F20"/>
          <w:spacing w:val="-3"/>
        </w:rPr>
        <w:t xml:space="preserve">)   </w:t>
      </w:r>
      <w:r>
        <w:rPr>
          <w:color w:val="231F20"/>
        </w:rPr>
        <w:t xml:space="preserve">–   різнома- нітні матеріальні та нематеріальні блага, які становлять публічну цінність, і діяння </w:t>
      </w:r>
      <w:r>
        <w:rPr>
          <w:color w:val="231F20"/>
          <w:spacing w:val="-3"/>
        </w:rPr>
        <w:t xml:space="preserve">суб’єктів </w:t>
      </w:r>
      <w:r>
        <w:rPr>
          <w:color w:val="231F20"/>
        </w:rPr>
        <w:t xml:space="preserve">та </w:t>
      </w:r>
      <w:r>
        <w:rPr>
          <w:color w:val="231F20"/>
          <w:spacing w:val="-4"/>
        </w:rPr>
        <w:t xml:space="preserve">об’єктів </w:t>
      </w:r>
      <w:r>
        <w:rPr>
          <w:color w:val="231F20"/>
        </w:rPr>
        <w:t>публічного управління, пов’я- зані з цими</w:t>
      </w:r>
      <w:r>
        <w:rPr>
          <w:color w:val="231F20"/>
          <w:spacing w:val="-3"/>
        </w:rPr>
        <w:t xml:space="preserve"> </w:t>
      </w:r>
      <w:r>
        <w:rPr>
          <w:color w:val="231F20"/>
        </w:rPr>
        <w:t>благами.</w:t>
      </w:r>
    </w:p>
    <w:p w14:paraId="1A04D70C" w14:textId="77777777" w:rsidR="00DE575E" w:rsidRDefault="00DE575E">
      <w:pPr>
        <w:pStyle w:val="BodyText"/>
        <w:spacing w:before="6"/>
        <w:rPr>
          <w:sz w:val="12"/>
        </w:rPr>
      </w:pPr>
    </w:p>
    <w:p w14:paraId="46BA9E6E" w14:textId="77777777" w:rsidR="00DE575E" w:rsidRDefault="002E7560">
      <w:pPr>
        <w:spacing w:before="92"/>
        <w:ind w:left="533"/>
        <w:rPr>
          <w:rFonts w:ascii="Times New Roman"/>
          <w:sz w:val="20"/>
        </w:rPr>
      </w:pPr>
      <w:r>
        <w:rPr>
          <w:rFonts w:ascii="Times New Roman"/>
          <w:color w:val="231F20"/>
          <w:sz w:val="20"/>
        </w:rPr>
        <w:t>532</w:t>
      </w:r>
    </w:p>
    <w:p w14:paraId="005CCF36" w14:textId="77777777" w:rsidR="00DE575E" w:rsidRDefault="00DE575E">
      <w:pPr>
        <w:rPr>
          <w:rFonts w:ascii="Times New Roman"/>
          <w:sz w:val="20"/>
        </w:rPr>
        <w:sectPr w:rsidR="00DE575E">
          <w:pgSz w:w="8510" w:h="12760"/>
          <w:pgMar w:top="660" w:right="720" w:bottom="280" w:left="600" w:header="720" w:footer="720" w:gutter="0"/>
          <w:cols w:space="720"/>
        </w:sectPr>
      </w:pPr>
    </w:p>
    <w:p w14:paraId="0385F7A7"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457A7B84" w14:textId="2DD9F8D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06B0FE0" wp14:editId="608372DA">
                <wp:extent cx="4140200" cy="6350"/>
                <wp:effectExtent l="0" t="0" r="12700" b="6350"/>
                <wp:docPr id="9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0" name="Line 9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DDC08" id="Group_x0020_9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4JNC5X4CAACVBQAADgAA&#10;AAAAAAAAAAAAAAAsAgAAZHJzL2Uyb0RvYy54bWxQSwECLQAUAAYACAAAACEATKewkNkAAAADAQAA&#10;DwAAAAAAAAAAAAAAAADWBAAAZHJzL2Rvd25yZXYueG1sUEsFBgAAAAAEAAQA8wAAANwFAAAAAA==&#10;">
                <v:line id="Line_x0020_9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RJdcYAAADcAAAADwAAAGRycy9kb3ducmV2LnhtbESPQWvCQBCF74X+h2UKvZS6sUIpqauU&#10;glB6UGv6A8bsmAR3Z2N2NdFf7xwEbzO8N+99M50P3qkTdbEJbGA8ykARl8E2XBn4LxavH6BiQrbo&#10;ApOBM0WYzx4fppjb0PMfnTapUhLCMUcDdUptrnUsa/IYR6ElFm0XOo9J1q7StsNewr3Tb1n2rj02&#10;LA01tvRdU7nfHL2B4vCS3Hr16/pitZ3o7WE5uRyXxjw/DV+foBIN6W6+Xf9Ywc8EX56RCfTs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ESXXGAAAA3AAAAA8AAAAAAAAA&#10;AAAAAAAAoQIAAGRycy9kb3ducmV2LnhtbFBLBQYAAAAABAAEAPkAAACUAwAAAAA=&#10;" strokecolor="#231f20" strokeweight=".5pt"/>
                <w10:anchorlock/>
              </v:group>
            </w:pict>
          </mc:Fallback>
        </mc:AlternateContent>
      </w:r>
    </w:p>
    <w:p w14:paraId="06E1417F" w14:textId="77777777" w:rsidR="00DE575E" w:rsidRDefault="00DE575E">
      <w:pPr>
        <w:pStyle w:val="BodyText"/>
        <w:spacing w:before="7"/>
        <w:rPr>
          <w:rFonts w:ascii="AdonisC"/>
          <w:i/>
          <w:sz w:val="19"/>
        </w:rPr>
      </w:pPr>
    </w:p>
    <w:p w14:paraId="0A9A5DDC" w14:textId="77777777" w:rsidR="00DE575E" w:rsidRDefault="002E7560">
      <w:pPr>
        <w:spacing w:before="1" w:line="252" w:lineRule="auto"/>
        <w:ind w:left="250" w:right="411" w:firstLine="283"/>
        <w:jc w:val="both"/>
        <w:rPr>
          <w:sz w:val="21"/>
        </w:rPr>
      </w:pPr>
      <w:r>
        <w:rPr>
          <w:b/>
          <w:color w:val="231F20"/>
          <w:sz w:val="21"/>
        </w:rPr>
        <w:t xml:space="preserve">Адміністративно-правові відносини </w:t>
      </w:r>
      <w:r>
        <w:rPr>
          <w:color w:val="231F20"/>
          <w:sz w:val="21"/>
        </w:rPr>
        <w:t>(</w:t>
      </w:r>
      <w:r>
        <w:rPr>
          <w:i/>
          <w:color w:val="231F20"/>
          <w:sz w:val="21"/>
        </w:rPr>
        <w:t>структура</w:t>
      </w:r>
      <w:r>
        <w:rPr>
          <w:color w:val="231F20"/>
          <w:sz w:val="21"/>
        </w:rPr>
        <w:t>) – взаємо- зв’язок усіх складових компонентів, якими є суб’єкти, об’єкти, зміст правовідносин та юридичні факти.</w:t>
      </w:r>
    </w:p>
    <w:p w14:paraId="5F0F87A7" w14:textId="77777777" w:rsidR="00DE575E" w:rsidRDefault="002E7560">
      <w:pPr>
        <w:spacing w:before="1" w:line="252" w:lineRule="auto"/>
        <w:ind w:left="250" w:right="411" w:firstLine="283"/>
        <w:jc w:val="both"/>
        <w:rPr>
          <w:sz w:val="21"/>
        </w:rPr>
      </w:pPr>
      <w:r>
        <w:rPr>
          <w:b/>
          <w:color w:val="231F20"/>
          <w:sz w:val="21"/>
        </w:rPr>
        <w:t xml:space="preserve">Адміністративно-правові відносини </w:t>
      </w:r>
      <w:r>
        <w:rPr>
          <w:color w:val="231F20"/>
          <w:sz w:val="21"/>
        </w:rPr>
        <w:t>(</w:t>
      </w:r>
      <w:r>
        <w:rPr>
          <w:i/>
          <w:color w:val="231F20"/>
          <w:sz w:val="21"/>
        </w:rPr>
        <w:t>у вузькому розумінні</w:t>
      </w:r>
      <w:r>
        <w:rPr>
          <w:color w:val="231F20"/>
          <w:sz w:val="21"/>
        </w:rPr>
        <w:t>) – суспільні відносини, які урегульовані нормами адміністративного права.</w:t>
      </w:r>
    </w:p>
    <w:p w14:paraId="71D3FD7D" w14:textId="77777777" w:rsidR="00DE575E" w:rsidRDefault="002E7560">
      <w:pPr>
        <w:pStyle w:val="BodyText"/>
        <w:spacing w:before="2" w:line="252" w:lineRule="auto"/>
        <w:ind w:left="250" w:right="410" w:firstLine="283"/>
        <w:jc w:val="both"/>
      </w:pPr>
      <w:r>
        <w:rPr>
          <w:b/>
          <w:color w:val="231F20"/>
        </w:rPr>
        <w:t xml:space="preserve">Адміністративно-правові відносини </w:t>
      </w:r>
      <w:r>
        <w:rPr>
          <w:color w:val="231F20"/>
        </w:rPr>
        <w:t>(</w:t>
      </w:r>
      <w:r>
        <w:rPr>
          <w:i/>
          <w:color w:val="231F20"/>
        </w:rPr>
        <w:t>у широкому розумінні</w:t>
      </w:r>
      <w:r>
        <w:rPr>
          <w:color w:val="231F20"/>
        </w:rPr>
        <w:t>) – форма соціальної взаємодії публічної адміністрації та приватних осіб,</w:t>
      </w:r>
      <w:r>
        <w:rPr>
          <w:color w:val="231F20"/>
          <w:spacing w:val="-17"/>
        </w:rPr>
        <w:t xml:space="preserve"> </w:t>
      </w:r>
      <w:r>
        <w:rPr>
          <w:color w:val="231F20"/>
        </w:rPr>
        <w:t>що</w:t>
      </w:r>
      <w:r>
        <w:rPr>
          <w:color w:val="231F20"/>
          <w:spacing w:val="-17"/>
        </w:rPr>
        <w:t xml:space="preserve"> </w:t>
      </w:r>
      <w:r>
        <w:rPr>
          <w:color w:val="231F20"/>
        </w:rPr>
        <w:t>виникає</w:t>
      </w:r>
      <w:r>
        <w:rPr>
          <w:color w:val="231F20"/>
          <w:spacing w:val="-17"/>
        </w:rPr>
        <w:t xml:space="preserve"> </w:t>
      </w:r>
      <w:r>
        <w:rPr>
          <w:color w:val="231F20"/>
        </w:rPr>
        <w:t>на</w:t>
      </w:r>
      <w:r>
        <w:rPr>
          <w:color w:val="231F20"/>
          <w:spacing w:val="-17"/>
        </w:rPr>
        <w:t xml:space="preserve"> </w:t>
      </w:r>
      <w:r>
        <w:rPr>
          <w:color w:val="231F20"/>
        </w:rPr>
        <w:t>підставі</w:t>
      </w:r>
      <w:r>
        <w:rPr>
          <w:color w:val="231F20"/>
          <w:spacing w:val="-17"/>
        </w:rPr>
        <w:t xml:space="preserve"> </w:t>
      </w:r>
      <w:r>
        <w:rPr>
          <w:color w:val="231F20"/>
        </w:rPr>
        <w:t>адміністративно-правових</w:t>
      </w:r>
      <w:r>
        <w:rPr>
          <w:color w:val="231F20"/>
          <w:spacing w:val="-18"/>
        </w:rPr>
        <w:t xml:space="preserve"> </w:t>
      </w:r>
      <w:r>
        <w:rPr>
          <w:color w:val="231F20"/>
        </w:rPr>
        <w:t>норм</w:t>
      </w:r>
      <w:r>
        <w:rPr>
          <w:color w:val="231F20"/>
          <w:spacing w:val="-17"/>
        </w:rPr>
        <w:t xml:space="preserve"> </w:t>
      </w:r>
      <w:r>
        <w:rPr>
          <w:color w:val="231F20"/>
        </w:rPr>
        <w:t>з</w:t>
      </w:r>
      <w:r>
        <w:rPr>
          <w:color w:val="231F20"/>
          <w:spacing w:val="-17"/>
        </w:rPr>
        <w:t xml:space="preserve"> </w:t>
      </w:r>
      <w:r>
        <w:rPr>
          <w:color w:val="231F20"/>
        </w:rPr>
        <w:t xml:space="preserve">метою забезпечення прав та свобод людини і громадянина, нормального функціонування громадянського суспільства й держави, учасники якої мають </w:t>
      </w:r>
      <w:r>
        <w:rPr>
          <w:color w:val="231F20"/>
          <w:spacing w:val="-3"/>
        </w:rPr>
        <w:t xml:space="preserve">суб’єктивні </w:t>
      </w:r>
      <w:r>
        <w:rPr>
          <w:color w:val="231F20"/>
        </w:rPr>
        <w:t>права і несуть юридичні</w:t>
      </w:r>
      <w:r>
        <w:rPr>
          <w:color w:val="231F20"/>
          <w:spacing w:val="-6"/>
        </w:rPr>
        <w:t xml:space="preserve"> </w:t>
      </w:r>
      <w:r>
        <w:rPr>
          <w:color w:val="231F20"/>
        </w:rPr>
        <w:t>обов’язки.</w:t>
      </w:r>
    </w:p>
    <w:p w14:paraId="6CB08CDC" w14:textId="77777777" w:rsidR="00DE575E" w:rsidRDefault="002E7560">
      <w:pPr>
        <w:pStyle w:val="BodyText"/>
        <w:spacing w:before="3" w:line="252" w:lineRule="auto"/>
        <w:ind w:left="250" w:right="411" w:firstLine="283"/>
        <w:jc w:val="both"/>
      </w:pPr>
      <w:r>
        <w:rPr>
          <w:b/>
          <w:color w:val="231F20"/>
        </w:rPr>
        <w:t xml:space="preserve">Адміністративного судочинства </w:t>
      </w:r>
      <w:r>
        <w:rPr>
          <w:color w:val="231F20"/>
        </w:rPr>
        <w:t>(</w:t>
      </w:r>
      <w:r>
        <w:rPr>
          <w:i/>
          <w:color w:val="231F20"/>
        </w:rPr>
        <w:t>завдання</w:t>
      </w:r>
      <w:r>
        <w:rPr>
          <w:color w:val="231F20"/>
        </w:rPr>
        <w:t>) – справедливе, неупередж</w:t>
      </w:r>
      <w:r>
        <w:rPr>
          <w:color w:val="231F20"/>
        </w:rPr>
        <w:t>ене та своєчасне вирішення судом суперечок у сфері публічних правових відносин із метою ефективного захисту прав та інтересів фізичних та юридичних осіб від порушень з боку суб’єктів владних повноважень.</w:t>
      </w:r>
    </w:p>
    <w:p w14:paraId="4C18B5DA" w14:textId="77777777" w:rsidR="00DE575E" w:rsidRDefault="002E7560">
      <w:pPr>
        <w:pStyle w:val="BodyText"/>
        <w:spacing w:before="2" w:line="252" w:lineRule="auto"/>
        <w:ind w:left="250" w:right="411" w:firstLine="283"/>
        <w:jc w:val="both"/>
      </w:pPr>
      <w:r>
        <w:rPr>
          <w:b/>
          <w:color w:val="231F20"/>
        </w:rPr>
        <w:t xml:space="preserve">Адміністратор </w:t>
      </w:r>
      <w:r>
        <w:rPr>
          <w:color w:val="231F20"/>
        </w:rPr>
        <w:t>– посадова особа органу, що утворив це</w:t>
      </w:r>
      <w:r>
        <w:rPr>
          <w:color w:val="231F20"/>
        </w:rPr>
        <w:t>нтр надання адміністративних послуг, яка організовує надання адмі- ністративних послуг через взаємодію із суб’єктами надання адмі- ністративних послуг.</w:t>
      </w:r>
    </w:p>
    <w:p w14:paraId="6B05559E" w14:textId="77777777" w:rsidR="00DE575E" w:rsidRDefault="002E7560">
      <w:pPr>
        <w:pStyle w:val="BodyText"/>
        <w:spacing w:before="2" w:line="252" w:lineRule="auto"/>
        <w:ind w:left="250" w:right="411" w:firstLine="283"/>
        <w:jc w:val="both"/>
      </w:pPr>
      <w:r>
        <w:rPr>
          <w:b/>
          <w:color w:val="231F20"/>
        </w:rPr>
        <w:t xml:space="preserve">Акт планування </w:t>
      </w:r>
      <w:r>
        <w:rPr>
          <w:color w:val="231F20"/>
        </w:rPr>
        <w:t xml:space="preserve">– рішення владного </w:t>
      </w:r>
      <w:r>
        <w:rPr>
          <w:color w:val="231F20"/>
          <w:spacing w:val="-3"/>
        </w:rPr>
        <w:t xml:space="preserve">суб’єкта, </w:t>
      </w:r>
      <w:r>
        <w:rPr>
          <w:color w:val="231F20"/>
        </w:rPr>
        <w:t>що визначає поря- док, послідовність чи містить зв’язок майб</w:t>
      </w:r>
      <w:r>
        <w:rPr>
          <w:color w:val="231F20"/>
        </w:rPr>
        <w:t>утніх дій та проведення заходів.</w:t>
      </w:r>
    </w:p>
    <w:p w14:paraId="46B27E0B" w14:textId="77777777" w:rsidR="00DE575E" w:rsidRDefault="002E7560">
      <w:pPr>
        <w:pStyle w:val="BodyText"/>
        <w:spacing w:before="2" w:line="252" w:lineRule="auto"/>
        <w:ind w:left="250" w:right="410" w:firstLine="283"/>
        <w:jc w:val="both"/>
      </w:pPr>
      <w:r>
        <w:rPr>
          <w:b/>
          <w:color w:val="231F20"/>
        </w:rPr>
        <w:t xml:space="preserve">Біженець </w:t>
      </w:r>
      <w:r>
        <w:rPr>
          <w:color w:val="231F20"/>
        </w:rPr>
        <w:t xml:space="preserve">– це особа, яка не є громадянином </w:t>
      </w:r>
      <w:r>
        <w:rPr>
          <w:color w:val="231F20"/>
          <w:spacing w:val="-3"/>
        </w:rPr>
        <w:t xml:space="preserve">України </w:t>
      </w:r>
      <w:r>
        <w:rPr>
          <w:color w:val="231F20"/>
        </w:rPr>
        <w:t>і внаслідок обґрунтованих побоювань стати жертвою переслідувань за озна- ками раси, віросповідання, національності, громадянства (піддан- ства),</w:t>
      </w:r>
      <w:r>
        <w:rPr>
          <w:color w:val="231F20"/>
          <w:spacing w:val="-8"/>
        </w:rPr>
        <w:t xml:space="preserve"> </w:t>
      </w:r>
      <w:r>
        <w:rPr>
          <w:color w:val="231F20"/>
        </w:rPr>
        <w:t>належності</w:t>
      </w:r>
      <w:r>
        <w:rPr>
          <w:color w:val="231F20"/>
          <w:spacing w:val="-8"/>
        </w:rPr>
        <w:t xml:space="preserve"> </w:t>
      </w:r>
      <w:r>
        <w:rPr>
          <w:color w:val="231F20"/>
        </w:rPr>
        <w:t>до</w:t>
      </w:r>
      <w:r>
        <w:rPr>
          <w:color w:val="231F20"/>
          <w:spacing w:val="-8"/>
        </w:rPr>
        <w:t xml:space="preserve"> </w:t>
      </w:r>
      <w:r>
        <w:rPr>
          <w:color w:val="231F20"/>
        </w:rPr>
        <w:t>певної</w:t>
      </w:r>
      <w:r>
        <w:rPr>
          <w:color w:val="231F20"/>
          <w:spacing w:val="-9"/>
        </w:rPr>
        <w:t xml:space="preserve"> </w:t>
      </w:r>
      <w:r>
        <w:rPr>
          <w:color w:val="231F20"/>
        </w:rPr>
        <w:t>соціальної</w:t>
      </w:r>
      <w:r>
        <w:rPr>
          <w:color w:val="231F20"/>
          <w:spacing w:val="-9"/>
        </w:rPr>
        <w:t xml:space="preserve"> </w:t>
      </w:r>
      <w:r>
        <w:rPr>
          <w:color w:val="231F20"/>
        </w:rPr>
        <w:t>групи</w:t>
      </w:r>
      <w:r>
        <w:rPr>
          <w:color w:val="231F20"/>
          <w:spacing w:val="-8"/>
        </w:rPr>
        <w:t xml:space="preserve"> </w:t>
      </w:r>
      <w:r>
        <w:rPr>
          <w:color w:val="231F20"/>
        </w:rPr>
        <w:t>або</w:t>
      </w:r>
      <w:r>
        <w:rPr>
          <w:color w:val="231F20"/>
          <w:spacing w:val="-9"/>
        </w:rPr>
        <w:t xml:space="preserve"> </w:t>
      </w:r>
      <w:r>
        <w:rPr>
          <w:color w:val="231F20"/>
        </w:rPr>
        <w:t>політичних</w:t>
      </w:r>
      <w:r>
        <w:rPr>
          <w:color w:val="231F20"/>
          <w:spacing w:val="-8"/>
        </w:rPr>
        <w:t xml:space="preserve"> </w:t>
      </w:r>
      <w:r>
        <w:rPr>
          <w:color w:val="231F20"/>
        </w:rPr>
        <w:t>переко- нань</w:t>
      </w:r>
      <w:r>
        <w:rPr>
          <w:color w:val="231F20"/>
          <w:spacing w:val="-8"/>
        </w:rPr>
        <w:t xml:space="preserve"> </w:t>
      </w:r>
      <w:r>
        <w:rPr>
          <w:color w:val="231F20"/>
        </w:rPr>
        <w:t>перебуває</w:t>
      </w:r>
      <w:r>
        <w:rPr>
          <w:color w:val="231F20"/>
          <w:spacing w:val="-9"/>
        </w:rPr>
        <w:t xml:space="preserve"> </w:t>
      </w:r>
      <w:r>
        <w:rPr>
          <w:color w:val="231F20"/>
        </w:rPr>
        <w:t>за</w:t>
      </w:r>
      <w:r>
        <w:rPr>
          <w:color w:val="231F20"/>
          <w:spacing w:val="-9"/>
        </w:rPr>
        <w:t xml:space="preserve"> </w:t>
      </w:r>
      <w:r>
        <w:rPr>
          <w:color w:val="231F20"/>
        </w:rPr>
        <w:t>межами</w:t>
      </w:r>
      <w:r>
        <w:rPr>
          <w:color w:val="231F20"/>
          <w:spacing w:val="-9"/>
        </w:rPr>
        <w:t xml:space="preserve"> </w:t>
      </w:r>
      <w:r>
        <w:rPr>
          <w:color w:val="231F20"/>
        </w:rPr>
        <w:t>країни</w:t>
      </w:r>
      <w:r>
        <w:rPr>
          <w:color w:val="231F20"/>
          <w:spacing w:val="-9"/>
        </w:rPr>
        <w:t xml:space="preserve"> </w:t>
      </w:r>
      <w:r>
        <w:rPr>
          <w:color w:val="231F20"/>
        </w:rPr>
        <w:t>своєї</w:t>
      </w:r>
      <w:r>
        <w:rPr>
          <w:color w:val="231F20"/>
          <w:spacing w:val="-9"/>
        </w:rPr>
        <w:t xml:space="preserve"> </w:t>
      </w:r>
      <w:r>
        <w:rPr>
          <w:color w:val="231F20"/>
        </w:rPr>
        <w:t>громадянської</w:t>
      </w:r>
      <w:r>
        <w:rPr>
          <w:color w:val="231F20"/>
          <w:spacing w:val="-9"/>
        </w:rPr>
        <w:t xml:space="preserve"> </w:t>
      </w:r>
      <w:r>
        <w:rPr>
          <w:color w:val="231F20"/>
        </w:rPr>
        <w:t>належності</w:t>
      </w:r>
      <w:r>
        <w:rPr>
          <w:color w:val="231F20"/>
          <w:spacing w:val="-9"/>
        </w:rPr>
        <w:t xml:space="preserve"> </w:t>
      </w:r>
      <w:r>
        <w:rPr>
          <w:color w:val="231F20"/>
        </w:rPr>
        <w:t xml:space="preserve">та не може користуватися захистом цієї країни або не бажає користу- ватися цим захистом через такі побоювання, або, не маючи грома- дянства (підданства) </w:t>
      </w:r>
      <w:r>
        <w:rPr>
          <w:color w:val="231F20"/>
        </w:rPr>
        <w:t>і перебуваючи за межами країни свого попе- реднього постійного проживання, не може чи не бажає повернутися до неї через означені</w:t>
      </w:r>
      <w:r>
        <w:rPr>
          <w:color w:val="231F20"/>
          <w:spacing w:val="-2"/>
        </w:rPr>
        <w:t xml:space="preserve"> </w:t>
      </w:r>
      <w:r>
        <w:rPr>
          <w:color w:val="231F20"/>
        </w:rPr>
        <w:t>побоювання.</w:t>
      </w:r>
    </w:p>
    <w:p w14:paraId="489A3859" w14:textId="77777777" w:rsidR="00DE575E" w:rsidRDefault="002E7560">
      <w:pPr>
        <w:spacing w:before="4" w:line="252" w:lineRule="auto"/>
        <w:ind w:left="250" w:right="410" w:firstLine="283"/>
        <w:jc w:val="both"/>
        <w:rPr>
          <w:sz w:val="21"/>
        </w:rPr>
      </w:pPr>
      <w:r>
        <w:rPr>
          <w:b/>
          <w:color w:val="231F20"/>
          <w:sz w:val="21"/>
        </w:rPr>
        <w:t xml:space="preserve">Взаємодія європейського адміністративного права та адмі- ністративного права </w:t>
      </w:r>
      <w:r>
        <w:rPr>
          <w:b/>
          <w:color w:val="231F20"/>
          <w:spacing w:val="-4"/>
          <w:sz w:val="21"/>
        </w:rPr>
        <w:t xml:space="preserve">України </w:t>
      </w:r>
      <w:r>
        <w:rPr>
          <w:color w:val="231F20"/>
          <w:sz w:val="21"/>
        </w:rPr>
        <w:t>– полягає в непрямому використ</w:t>
      </w:r>
      <w:r>
        <w:rPr>
          <w:color w:val="231F20"/>
          <w:sz w:val="21"/>
        </w:rPr>
        <w:t xml:space="preserve">анні законодавства ЄС для потреб української спільноти через ратифі- кацію Верховною Радою </w:t>
      </w:r>
      <w:r>
        <w:rPr>
          <w:color w:val="231F20"/>
          <w:spacing w:val="-3"/>
          <w:sz w:val="21"/>
        </w:rPr>
        <w:t xml:space="preserve">України </w:t>
      </w:r>
      <w:r>
        <w:rPr>
          <w:color w:val="231F20"/>
          <w:sz w:val="21"/>
        </w:rPr>
        <w:t xml:space="preserve">та уточнення в нормативних та адміністративних актах </w:t>
      </w:r>
      <w:r>
        <w:rPr>
          <w:color w:val="231F20"/>
          <w:spacing w:val="-3"/>
          <w:sz w:val="21"/>
        </w:rPr>
        <w:t xml:space="preserve">суб’єктів </w:t>
      </w:r>
      <w:r>
        <w:rPr>
          <w:color w:val="231F20"/>
          <w:sz w:val="21"/>
        </w:rPr>
        <w:t>публічної адміністрації. Існує три</w:t>
      </w:r>
    </w:p>
    <w:p w14:paraId="5F708BB1" w14:textId="77777777" w:rsidR="00DE575E" w:rsidRDefault="00DE575E">
      <w:pPr>
        <w:pStyle w:val="BodyText"/>
        <w:spacing w:before="7"/>
        <w:rPr>
          <w:sz w:val="12"/>
        </w:rPr>
      </w:pPr>
    </w:p>
    <w:p w14:paraId="7BABEB93" w14:textId="77777777" w:rsidR="00DE575E" w:rsidRDefault="002E7560">
      <w:pPr>
        <w:spacing w:before="92"/>
        <w:ind w:right="411"/>
        <w:jc w:val="right"/>
        <w:rPr>
          <w:rFonts w:ascii="Times New Roman"/>
          <w:sz w:val="20"/>
        </w:rPr>
      </w:pPr>
      <w:r>
        <w:rPr>
          <w:rFonts w:ascii="Times New Roman"/>
          <w:color w:val="231F20"/>
          <w:w w:val="90"/>
          <w:sz w:val="20"/>
        </w:rPr>
        <w:t>533</w:t>
      </w:r>
    </w:p>
    <w:p w14:paraId="0D796449"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0508FDF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w:t>
      </w:r>
      <w:r>
        <w:rPr>
          <w:rFonts w:ascii="AdonisC" w:hAnsi="AdonisC"/>
          <w:i/>
          <w:color w:val="231F20"/>
          <w:sz w:val="18"/>
        </w:rPr>
        <w:t>рс</w:t>
      </w:r>
    </w:p>
    <w:p w14:paraId="4504B8F6" w14:textId="39AF0CC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B57F3CA" wp14:editId="4257B45C">
                <wp:extent cx="4140200" cy="6350"/>
                <wp:effectExtent l="0" t="0" r="12700" b="6350"/>
                <wp:docPr id="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8" name="Line 9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8986CC" id="Group_x0020_9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rLx4m34CAACUBQAADgAA&#10;AAAAAAAAAAAAAAAsAgAAZHJzL2Uyb0RvYy54bWxQSwECLQAUAAYACAAAACEATKewkNkAAAADAQAA&#10;DwAAAAAAAAAAAAAAAADWBAAAZHJzL2Rvd25yZXYueG1sUEsFBgAAAAAEAAQA8wAAANwFAAAAAA==&#10;">
                <v:line id="Line_x0020_9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xETMIAAADbAAAADwAAAGRycy9kb3ducmV2LnhtbERP3WrCMBS+H+wdwhl4M2aqwnCdUYYg&#10;iBf+tD7AsTlry5KT2kRbfXpzIezy4/ufLXprxJVaXztWMBomIIgLp2suFRzz1ccUhA/IGo1jUnAj&#10;D4v568sMU+06PtA1C6WIIexTVFCF0KRS+qIii37oGuLI/brWYoiwLaVusYvh1shxknxKizXHhgob&#10;WlZU/GUXqyA/vwez321Ml+9OE3k6byf3y1apwVv/8w0iUB/+xU/3Wiv4imP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4xETMIAAADbAAAADwAAAAAAAAAAAAAA&#10;AAChAgAAZHJzL2Rvd25yZXYueG1sUEsFBgAAAAAEAAQA+QAAAJADAAAAAA==&#10;" strokecolor="#231f20" strokeweight=".5pt"/>
                <w10:anchorlock/>
              </v:group>
            </w:pict>
          </mc:Fallback>
        </mc:AlternateContent>
      </w:r>
    </w:p>
    <w:p w14:paraId="61389E57" w14:textId="77777777" w:rsidR="00DE575E" w:rsidRDefault="00DE575E">
      <w:pPr>
        <w:pStyle w:val="BodyText"/>
        <w:spacing w:before="7"/>
        <w:rPr>
          <w:rFonts w:ascii="AdonisC"/>
          <w:i/>
          <w:sz w:val="11"/>
        </w:rPr>
      </w:pPr>
    </w:p>
    <w:p w14:paraId="541F5BCD" w14:textId="77777777" w:rsidR="00DE575E" w:rsidRDefault="002E7560">
      <w:pPr>
        <w:pStyle w:val="BodyText"/>
        <w:spacing w:before="101" w:line="252" w:lineRule="auto"/>
        <w:ind w:left="533" w:right="127"/>
        <w:jc w:val="both"/>
      </w:pPr>
      <w:r>
        <w:rPr>
          <w:color w:val="231F20"/>
        </w:rPr>
        <w:t xml:space="preserve">основні чинники використання положень європейського адмініст- ративного права у правовому просторі </w:t>
      </w:r>
      <w:r>
        <w:rPr>
          <w:color w:val="231F20"/>
          <w:spacing w:val="-3"/>
        </w:rPr>
        <w:t xml:space="preserve">України: </w:t>
      </w:r>
      <w:r>
        <w:rPr>
          <w:color w:val="231F20"/>
        </w:rPr>
        <w:t xml:space="preserve">1) це виконання європейською, національною країн-учасниць ЄС та вітчизняною публічною адміністрацією положень </w:t>
      </w:r>
      <w:r>
        <w:rPr>
          <w:color w:val="231F20"/>
          <w:spacing w:val="-4"/>
        </w:rPr>
        <w:t>У</w:t>
      </w:r>
      <w:r>
        <w:rPr>
          <w:color w:val="231F20"/>
          <w:spacing w:val="-4"/>
        </w:rPr>
        <w:t xml:space="preserve">годи </w:t>
      </w:r>
      <w:r>
        <w:rPr>
          <w:color w:val="231F20"/>
        </w:rPr>
        <w:t xml:space="preserve">про асоціацію між </w:t>
      </w:r>
      <w:r>
        <w:rPr>
          <w:color w:val="231F20"/>
          <w:spacing w:val="-3"/>
        </w:rPr>
        <w:t xml:space="preserve">Украї- </w:t>
      </w:r>
      <w:r>
        <w:rPr>
          <w:color w:val="231F20"/>
        </w:rPr>
        <w:t>ною, з однієї сторони, та Європейським Союзом, Європейським спів- товариством з атомної енергії і їхніми державами-членами, з іншої сторони; 2) виконання національними країн-учасниць ЄС і вітчиз- няною публічною адміністрацією</w:t>
      </w:r>
      <w:r>
        <w:rPr>
          <w:color w:val="231F20"/>
        </w:rPr>
        <w:t xml:space="preserve"> деяких регламентів ЄС, які прямо стосуються громадян </w:t>
      </w:r>
      <w:r>
        <w:rPr>
          <w:color w:val="231F20"/>
          <w:spacing w:val="-3"/>
        </w:rPr>
        <w:t xml:space="preserve">України, </w:t>
      </w:r>
      <w:r>
        <w:rPr>
          <w:color w:val="231F20"/>
        </w:rPr>
        <w:t>– наприклад, Регламенту 2017/850 Європейського Парламенту та Ради від 17 травня 2017 р. про звіль- нення</w:t>
      </w:r>
      <w:r>
        <w:rPr>
          <w:color w:val="231F20"/>
          <w:spacing w:val="-20"/>
        </w:rPr>
        <w:t xml:space="preserve"> </w:t>
      </w:r>
      <w:r>
        <w:rPr>
          <w:color w:val="231F20"/>
        </w:rPr>
        <w:t>від</w:t>
      </w:r>
      <w:r>
        <w:rPr>
          <w:color w:val="231F20"/>
          <w:spacing w:val="-20"/>
        </w:rPr>
        <w:t xml:space="preserve"> </w:t>
      </w:r>
      <w:r>
        <w:rPr>
          <w:color w:val="231F20"/>
        </w:rPr>
        <w:t>віз</w:t>
      </w:r>
      <w:r>
        <w:rPr>
          <w:color w:val="231F20"/>
          <w:spacing w:val="-20"/>
        </w:rPr>
        <w:t xml:space="preserve"> </w:t>
      </w:r>
      <w:r>
        <w:rPr>
          <w:color w:val="231F20"/>
        </w:rPr>
        <w:t>громадян</w:t>
      </w:r>
      <w:r>
        <w:rPr>
          <w:color w:val="231F20"/>
          <w:spacing w:val="-20"/>
        </w:rPr>
        <w:t xml:space="preserve"> </w:t>
      </w:r>
      <w:r>
        <w:rPr>
          <w:color w:val="231F20"/>
          <w:spacing w:val="-3"/>
        </w:rPr>
        <w:t>України,</w:t>
      </w:r>
      <w:r>
        <w:rPr>
          <w:color w:val="231F20"/>
          <w:spacing w:val="-20"/>
        </w:rPr>
        <w:t xml:space="preserve"> </w:t>
      </w:r>
      <w:r>
        <w:rPr>
          <w:color w:val="231F20"/>
        </w:rPr>
        <w:t>які</w:t>
      </w:r>
      <w:r>
        <w:rPr>
          <w:color w:val="231F20"/>
          <w:spacing w:val="-20"/>
        </w:rPr>
        <w:t xml:space="preserve"> </w:t>
      </w:r>
      <w:r>
        <w:rPr>
          <w:color w:val="231F20"/>
        </w:rPr>
        <w:t>перетинають</w:t>
      </w:r>
      <w:r>
        <w:rPr>
          <w:color w:val="231F20"/>
          <w:spacing w:val="-20"/>
        </w:rPr>
        <w:t xml:space="preserve"> </w:t>
      </w:r>
      <w:r>
        <w:rPr>
          <w:color w:val="231F20"/>
        </w:rPr>
        <w:t>кордон</w:t>
      </w:r>
      <w:r>
        <w:rPr>
          <w:color w:val="231F20"/>
          <w:spacing w:val="-20"/>
        </w:rPr>
        <w:t xml:space="preserve"> </w:t>
      </w:r>
      <w:r>
        <w:rPr>
          <w:color w:val="231F20"/>
        </w:rPr>
        <w:t>ЄС;</w:t>
      </w:r>
      <w:r>
        <w:rPr>
          <w:color w:val="231F20"/>
          <w:spacing w:val="-20"/>
        </w:rPr>
        <w:t xml:space="preserve"> </w:t>
      </w:r>
      <w:r>
        <w:rPr>
          <w:color w:val="231F20"/>
        </w:rPr>
        <w:t>3)</w:t>
      </w:r>
      <w:r>
        <w:rPr>
          <w:color w:val="231F20"/>
          <w:spacing w:val="-7"/>
        </w:rPr>
        <w:t xml:space="preserve"> </w:t>
      </w:r>
      <w:r>
        <w:rPr>
          <w:color w:val="231F20"/>
        </w:rPr>
        <w:t>добро- вільне виконання вітчизня</w:t>
      </w:r>
      <w:r>
        <w:rPr>
          <w:color w:val="231F20"/>
        </w:rPr>
        <w:t>ною публічною адміністрацією деяких адміністративних</w:t>
      </w:r>
      <w:r>
        <w:rPr>
          <w:color w:val="231F20"/>
          <w:spacing w:val="-7"/>
        </w:rPr>
        <w:t xml:space="preserve"> </w:t>
      </w:r>
      <w:r>
        <w:rPr>
          <w:color w:val="231F20"/>
        </w:rPr>
        <w:t>актів</w:t>
      </w:r>
      <w:r>
        <w:rPr>
          <w:color w:val="231F20"/>
          <w:spacing w:val="-7"/>
        </w:rPr>
        <w:t xml:space="preserve"> </w:t>
      </w:r>
      <w:r>
        <w:rPr>
          <w:color w:val="231F20"/>
        </w:rPr>
        <w:t>ЄС</w:t>
      </w:r>
      <w:r>
        <w:rPr>
          <w:color w:val="231F20"/>
          <w:spacing w:val="-7"/>
        </w:rPr>
        <w:t xml:space="preserve"> </w:t>
      </w:r>
      <w:r>
        <w:rPr>
          <w:color w:val="231F20"/>
        </w:rPr>
        <w:t>як</w:t>
      </w:r>
      <w:r>
        <w:rPr>
          <w:color w:val="231F20"/>
          <w:spacing w:val="-7"/>
        </w:rPr>
        <w:t xml:space="preserve"> </w:t>
      </w:r>
      <w:r>
        <w:rPr>
          <w:color w:val="231F20"/>
        </w:rPr>
        <w:t>високих</w:t>
      </w:r>
      <w:r>
        <w:rPr>
          <w:color w:val="231F20"/>
          <w:spacing w:val="-7"/>
        </w:rPr>
        <w:t xml:space="preserve"> </w:t>
      </w:r>
      <w:r>
        <w:rPr>
          <w:color w:val="231F20"/>
        </w:rPr>
        <w:t>стандартів</w:t>
      </w:r>
      <w:r>
        <w:rPr>
          <w:color w:val="231F20"/>
          <w:spacing w:val="-7"/>
        </w:rPr>
        <w:t xml:space="preserve"> </w:t>
      </w:r>
      <w:r>
        <w:rPr>
          <w:color w:val="231F20"/>
        </w:rPr>
        <w:t>публічного</w:t>
      </w:r>
      <w:r>
        <w:rPr>
          <w:color w:val="231F20"/>
          <w:spacing w:val="-7"/>
        </w:rPr>
        <w:t xml:space="preserve"> </w:t>
      </w:r>
      <w:r>
        <w:rPr>
          <w:color w:val="231F20"/>
        </w:rPr>
        <w:t>адміні- стрування,</w:t>
      </w:r>
      <w:r>
        <w:rPr>
          <w:color w:val="231F20"/>
          <w:spacing w:val="-7"/>
        </w:rPr>
        <w:t xml:space="preserve"> </w:t>
      </w:r>
      <w:r>
        <w:rPr>
          <w:color w:val="231F20"/>
        </w:rPr>
        <w:t>які</w:t>
      </w:r>
      <w:r>
        <w:rPr>
          <w:color w:val="231F20"/>
          <w:spacing w:val="-7"/>
        </w:rPr>
        <w:t xml:space="preserve"> </w:t>
      </w:r>
      <w:r>
        <w:rPr>
          <w:color w:val="231F20"/>
        </w:rPr>
        <w:t>вигідні</w:t>
      </w:r>
      <w:r>
        <w:rPr>
          <w:color w:val="231F20"/>
          <w:spacing w:val="-7"/>
        </w:rPr>
        <w:t xml:space="preserve"> </w:t>
      </w:r>
      <w:r>
        <w:rPr>
          <w:color w:val="231F20"/>
        </w:rPr>
        <w:t>для</w:t>
      </w:r>
      <w:r>
        <w:rPr>
          <w:color w:val="231F20"/>
          <w:spacing w:val="-7"/>
        </w:rPr>
        <w:t xml:space="preserve"> </w:t>
      </w:r>
      <w:r>
        <w:rPr>
          <w:color w:val="231F20"/>
        </w:rPr>
        <w:t>громадян</w:t>
      </w:r>
      <w:r>
        <w:rPr>
          <w:color w:val="231F20"/>
          <w:spacing w:val="-7"/>
        </w:rPr>
        <w:t xml:space="preserve"> </w:t>
      </w:r>
      <w:r>
        <w:rPr>
          <w:color w:val="231F20"/>
        </w:rPr>
        <w:t>та</w:t>
      </w:r>
      <w:r>
        <w:rPr>
          <w:color w:val="231F20"/>
          <w:spacing w:val="-7"/>
        </w:rPr>
        <w:t xml:space="preserve"> </w:t>
      </w:r>
      <w:r>
        <w:rPr>
          <w:color w:val="231F20"/>
        </w:rPr>
        <w:t>досяжні</w:t>
      </w:r>
      <w:r>
        <w:rPr>
          <w:color w:val="231F20"/>
          <w:spacing w:val="-7"/>
        </w:rPr>
        <w:t xml:space="preserve"> </w:t>
      </w:r>
      <w:r>
        <w:rPr>
          <w:color w:val="231F20"/>
        </w:rPr>
        <w:t>з</w:t>
      </w:r>
      <w:r>
        <w:rPr>
          <w:color w:val="231F20"/>
          <w:spacing w:val="-7"/>
        </w:rPr>
        <w:t xml:space="preserve"> </w:t>
      </w:r>
      <w:r>
        <w:rPr>
          <w:color w:val="231F20"/>
        </w:rPr>
        <w:t>погляду</w:t>
      </w:r>
      <w:r>
        <w:rPr>
          <w:color w:val="231F20"/>
          <w:spacing w:val="-7"/>
        </w:rPr>
        <w:t xml:space="preserve"> </w:t>
      </w:r>
      <w:r>
        <w:rPr>
          <w:color w:val="231F20"/>
        </w:rPr>
        <w:t xml:space="preserve">матеріаль- них ресурсів і організаційних можливостей для </w:t>
      </w:r>
      <w:r>
        <w:rPr>
          <w:color w:val="231F20"/>
          <w:spacing w:val="-3"/>
        </w:rPr>
        <w:t>Уряду</w:t>
      </w:r>
      <w:r>
        <w:rPr>
          <w:color w:val="231F20"/>
          <w:spacing w:val="-10"/>
        </w:rPr>
        <w:t xml:space="preserve"> </w:t>
      </w:r>
      <w:r>
        <w:rPr>
          <w:color w:val="231F20"/>
          <w:spacing w:val="-3"/>
        </w:rPr>
        <w:t>України.</w:t>
      </w:r>
    </w:p>
    <w:p w14:paraId="5211AC66" w14:textId="77777777" w:rsidR="00DE575E" w:rsidRDefault="002E7560">
      <w:pPr>
        <w:pStyle w:val="BodyText"/>
        <w:spacing w:before="7" w:line="252" w:lineRule="auto"/>
        <w:ind w:left="533" w:right="127" w:firstLine="283"/>
        <w:jc w:val="both"/>
      </w:pPr>
      <w:r>
        <w:rPr>
          <w:b/>
          <w:color w:val="231F20"/>
        </w:rPr>
        <w:t xml:space="preserve">Видання індивідуальних (адміністративних) актів </w:t>
      </w:r>
      <w:r>
        <w:rPr>
          <w:color w:val="231F20"/>
        </w:rPr>
        <w:t>– рішення суб’єктів публічної адміністрації щодо вирішення конкретних адмі- ністративних справ, що зумовлює юридичні наслідки для конкрет- них суб’єктів адміністративного права, а їх дія припиняється після од</w:t>
      </w:r>
      <w:r>
        <w:rPr>
          <w:color w:val="231F20"/>
        </w:rPr>
        <w:t>норазового застосування (здійснення встановлених у них адмі- ністративних обов’язків і прав.</w:t>
      </w:r>
    </w:p>
    <w:p w14:paraId="0B0FB899" w14:textId="77777777" w:rsidR="00DE575E" w:rsidRDefault="002E7560">
      <w:pPr>
        <w:pStyle w:val="BodyText"/>
        <w:spacing w:before="3" w:line="252" w:lineRule="auto"/>
        <w:ind w:left="533" w:right="128" w:firstLine="283"/>
        <w:jc w:val="both"/>
      </w:pPr>
      <w:r>
        <w:rPr>
          <w:b/>
          <w:color w:val="231F20"/>
        </w:rPr>
        <w:t xml:space="preserve">Видання підзаконних нормативно-правових актів </w:t>
      </w:r>
      <w:r>
        <w:rPr>
          <w:color w:val="231F20"/>
        </w:rPr>
        <w:t>– правотворчий</w:t>
      </w:r>
      <w:r>
        <w:rPr>
          <w:color w:val="231F20"/>
          <w:spacing w:val="-11"/>
        </w:rPr>
        <w:t xml:space="preserve"> </w:t>
      </w:r>
      <w:r>
        <w:rPr>
          <w:color w:val="231F20"/>
        </w:rPr>
        <w:t>підзаконний</w:t>
      </w:r>
      <w:r>
        <w:rPr>
          <w:color w:val="231F20"/>
          <w:spacing w:val="-11"/>
        </w:rPr>
        <w:t xml:space="preserve"> </w:t>
      </w:r>
      <w:r>
        <w:rPr>
          <w:color w:val="231F20"/>
        </w:rPr>
        <w:t>напрямок</w:t>
      </w:r>
      <w:r>
        <w:rPr>
          <w:color w:val="231F20"/>
          <w:spacing w:val="-11"/>
        </w:rPr>
        <w:t xml:space="preserve"> </w:t>
      </w:r>
      <w:r>
        <w:rPr>
          <w:color w:val="231F20"/>
        </w:rPr>
        <w:t>діяльності</w:t>
      </w:r>
      <w:r>
        <w:rPr>
          <w:color w:val="231F20"/>
          <w:spacing w:val="-11"/>
        </w:rPr>
        <w:t xml:space="preserve"> </w:t>
      </w:r>
      <w:r>
        <w:rPr>
          <w:color w:val="231F20"/>
        </w:rPr>
        <w:t>публічної</w:t>
      </w:r>
      <w:r>
        <w:rPr>
          <w:color w:val="231F20"/>
          <w:spacing w:val="-11"/>
        </w:rPr>
        <w:t xml:space="preserve"> </w:t>
      </w:r>
      <w:r>
        <w:rPr>
          <w:color w:val="231F20"/>
        </w:rPr>
        <w:t>адмініст- рації, що передбачає розпорядчу діяльність через у</w:t>
      </w:r>
      <w:r>
        <w:rPr>
          <w:color w:val="231F20"/>
        </w:rPr>
        <w:t xml:space="preserve">хвалення правил загального </w:t>
      </w:r>
      <w:r>
        <w:rPr>
          <w:color w:val="231F20"/>
          <w:spacing w:val="-3"/>
        </w:rPr>
        <w:t xml:space="preserve">характеру, </w:t>
      </w:r>
      <w:r>
        <w:rPr>
          <w:color w:val="231F20"/>
        </w:rPr>
        <w:t>які породжують юридичні наслідки стосовно конкретизації та деталізації законів до стадії їх</w:t>
      </w:r>
      <w:r>
        <w:rPr>
          <w:color w:val="231F20"/>
          <w:spacing w:val="-21"/>
        </w:rPr>
        <w:t xml:space="preserve"> </w:t>
      </w:r>
      <w:r>
        <w:rPr>
          <w:color w:val="231F20"/>
        </w:rPr>
        <w:t>правозастосування.</w:t>
      </w:r>
    </w:p>
    <w:p w14:paraId="75297C80" w14:textId="77777777" w:rsidR="00DE575E" w:rsidRDefault="002E7560">
      <w:pPr>
        <w:pStyle w:val="BodyText"/>
        <w:spacing w:before="2" w:line="252" w:lineRule="auto"/>
        <w:ind w:left="533" w:right="126" w:firstLine="283"/>
        <w:jc w:val="both"/>
      </w:pPr>
      <w:r>
        <w:rPr>
          <w:b/>
          <w:color w:val="231F20"/>
        </w:rPr>
        <w:t xml:space="preserve">Викладацька діяльність </w:t>
      </w:r>
      <w:r>
        <w:rPr>
          <w:color w:val="231F20"/>
        </w:rPr>
        <w:t>– діяльність, спрямована на форму- вання знань, інших компетентностей, світогляду, р</w:t>
      </w:r>
      <w:r>
        <w:rPr>
          <w:color w:val="231F20"/>
        </w:rPr>
        <w:t>озвиток інтелек- туальних і творчих здібностей, емоційно-вольових та/або фізичних якостей здобувачів освіти (лекція, семінар, тренінг, курси, майстер- клас, вебінар тощо) та провадиться педагогічним (науково-педаго- гічним) працівником, самозайнятою особою</w:t>
      </w:r>
      <w:r>
        <w:rPr>
          <w:color w:val="231F20"/>
        </w:rPr>
        <w:t xml:space="preserve"> (крім осіб, яким така форма викладацької діяльності заборонена законом) або іншою фізичною особою на основі відповідного трудового або цивіль- но-правового договору.</w:t>
      </w:r>
    </w:p>
    <w:p w14:paraId="539A402C" w14:textId="77777777" w:rsidR="00DE575E" w:rsidRDefault="002E7560">
      <w:pPr>
        <w:pStyle w:val="BodyText"/>
        <w:spacing w:before="5" w:line="252" w:lineRule="auto"/>
        <w:ind w:left="533" w:right="128" w:firstLine="283"/>
        <w:jc w:val="both"/>
      </w:pPr>
      <w:r>
        <w:rPr>
          <w:b/>
          <w:color w:val="231F20"/>
        </w:rPr>
        <w:t>Виконавча</w:t>
      </w:r>
      <w:r>
        <w:rPr>
          <w:b/>
          <w:color w:val="231F20"/>
          <w:spacing w:val="-11"/>
        </w:rPr>
        <w:t xml:space="preserve"> </w:t>
      </w:r>
      <w:r>
        <w:rPr>
          <w:b/>
          <w:color w:val="231F20"/>
        </w:rPr>
        <w:t>влада</w:t>
      </w:r>
      <w:r>
        <w:rPr>
          <w:b/>
          <w:color w:val="231F20"/>
          <w:spacing w:val="-11"/>
        </w:rPr>
        <w:t xml:space="preserve"> </w:t>
      </w:r>
      <w:r>
        <w:rPr>
          <w:color w:val="231F20"/>
        </w:rPr>
        <w:t>(</w:t>
      </w:r>
      <w:r>
        <w:rPr>
          <w:i/>
          <w:color w:val="231F20"/>
        </w:rPr>
        <w:t>сутність</w:t>
      </w:r>
      <w:r>
        <w:rPr>
          <w:color w:val="231F20"/>
        </w:rPr>
        <w:t>):</w:t>
      </w:r>
      <w:r>
        <w:rPr>
          <w:color w:val="231F20"/>
          <w:spacing w:val="-11"/>
        </w:rPr>
        <w:t xml:space="preserve"> </w:t>
      </w:r>
      <w:r>
        <w:rPr>
          <w:color w:val="231F20"/>
        </w:rPr>
        <w:t>1)</w:t>
      </w:r>
      <w:r>
        <w:rPr>
          <w:color w:val="231F20"/>
          <w:spacing w:val="-10"/>
        </w:rPr>
        <w:t xml:space="preserve"> </w:t>
      </w:r>
      <w:r>
        <w:rPr>
          <w:color w:val="231F20"/>
        </w:rPr>
        <w:t>реалізація</w:t>
      </w:r>
      <w:r>
        <w:rPr>
          <w:color w:val="231F20"/>
          <w:spacing w:val="-11"/>
        </w:rPr>
        <w:t xml:space="preserve"> </w:t>
      </w:r>
      <w:r>
        <w:rPr>
          <w:color w:val="231F20"/>
        </w:rPr>
        <w:t>та</w:t>
      </w:r>
      <w:r>
        <w:rPr>
          <w:color w:val="231F20"/>
          <w:spacing w:val="-11"/>
        </w:rPr>
        <w:t xml:space="preserve"> </w:t>
      </w:r>
      <w:r>
        <w:rPr>
          <w:color w:val="231F20"/>
        </w:rPr>
        <w:t>виконання</w:t>
      </w:r>
      <w:r>
        <w:rPr>
          <w:color w:val="231F20"/>
          <w:spacing w:val="-11"/>
        </w:rPr>
        <w:t xml:space="preserve"> </w:t>
      </w:r>
      <w:r>
        <w:rPr>
          <w:color w:val="231F20"/>
        </w:rPr>
        <w:t>законів на території всієї держави</w:t>
      </w:r>
      <w:r>
        <w:rPr>
          <w:color w:val="231F20"/>
        </w:rPr>
        <w:t>; 2) публічне забезпечення прав і свобод людини</w:t>
      </w:r>
      <w:r>
        <w:rPr>
          <w:color w:val="231F20"/>
          <w:spacing w:val="-8"/>
        </w:rPr>
        <w:t xml:space="preserve"> </w:t>
      </w:r>
      <w:r>
        <w:rPr>
          <w:color w:val="231F20"/>
        </w:rPr>
        <w:t>і</w:t>
      </w:r>
      <w:r>
        <w:rPr>
          <w:color w:val="231F20"/>
          <w:spacing w:val="-7"/>
        </w:rPr>
        <w:t xml:space="preserve"> </w:t>
      </w:r>
      <w:r>
        <w:rPr>
          <w:color w:val="231F20"/>
        </w:rPr>
        <w:t>громадянина;</w:t>
      </w:r>
      <w:r>
        <w:rPr>
          <w:color w:val="231F20"/>
          <w:spacing w:val="-7"/>
        </w:rPr>
        <w:t xml:space="preserve"> </w:t>
      </w:r>
      <w:r>
        <w:rPr>
          <w:color w:val="231F20"/>
        </w:rPr>
        <w:t>3)</w:t>
      </w:r>
      <w:r>
        <w:rPr>
          <w:color w:val="231F20"/>
          <w:spacing w:val="-9"/>
        </w:rPr>
        <w:t xml:space="preserve"> </w:t>
      </w:r>
      <w:r>
        <w:rPr>
          <w:color w:val="231F20"/>
        </w:rPr>
        <w:t>публічне</w:t>
      </w:r>
      <w:r>
        <w:rPr>
          <w:color w:val="231F20"/>
          <w:spacing w:val="-8"/>
        </w:rPr>
        <w:t xml:space="preserve"> </w:t>
      </w:r>
      <w:r>
        <w:rPr>
          <w:color w:val="231F20"/>
        </w:rPr>
        <w:t>адміністрування</w:t>
      </w:r>
      <w:r>
        <w:rPr>
          <w:color w:val="231F20"/>
          <w:spacing w:val="-7"/>
        </w:rPr>
        <w:t xml:space="preserve"> </w:t>
      </w:r>
      <w:r>
        <w:rPr>
          <w:color w:val="231F20"/>
        </w:rPr>
        <w:t>в</w:t>
      </w:r>
      <w:r>
        <w:rPr>
          <w:color w:val="231F20"/>
          <w:spacing w:val="-8"/>
        </w:rPr>
        <w:t xml:space="preserve"> </w:t>
      </w:r>
      <w:r>
        <w:rPr>
          <w:color w:val="231F20"/>
        </w:rPr>
        <w:t>різних</w:t>
      </w:r>
      <w:r>
        <w:rPr>
          <w:color w:val="231F20"/>
          <w:spacing w:val="-7"/>
        </w:rPr>
        <w:t xml:space="preserve"> </w:t>
      </w:r>
      <w:r>
        <w:rPr>
          <w:color w:val="231F20"/>
        </w:rPr>
        <w:t>сферах суспільного</w:t>
      </w:r>
      <w:r>
        <w:rPr>
          <w:color w:val="231F20"/>
          <w:spacing w:val="-17"/>
        </w:rPr>
        <w:t xml:space="preserve"> </w:t>
      </w:r>
      <w:r>
        <w:rPr>
          <w:color w:val="231F20"/>
        </w:rPr>
        <w:t>життя:</w:t>
      </w:r>
      <w:r>
        <w:rPr>
          <w:color w:val="231F20"/>
          <w:spacing w:val="-17"/>
        </w:rPr>
        <w:t xml:space="preserve"> </w:t>
      </w:r>
      <w:r>
        <w:rPr>
          <w:color w:val="231F20"/>
        </w:rPr>
        <w:t>соціально-культурній,</w:t>
      </w:r>
      <w:r>
        <w:rPr>
          <w:color w:val="231F20"/>
          <w:spacing w:val="-17"/>
        </w:rPr>
        <w:t xml:space="preserve"> </w:t>
      </w:r>
      <w:r>
        <w:rPr>
          <w:color w:val="231F20"/>
        </w:rPr>
        <w:t>адміністративно-політич-</w:t>
      </w:r>
    </w:p>
    <w:p w14:paraId="5F9CB39F" w14:textId="77777777" w:rsidR="00DE575E" w:rsidRDefault="00DE575E">
      <w:pPr>
        <w:pStyle w:val="BodyText"/>
        <w:spacing w:before="6"/>
        <w:rPr>
          <w:sz w:val="12"/>
        </w:rPr>
      </w:pPr>
    </w:p>
    <w:p w14:paraId="19A3BA39" w14:textId="77777777" w:rsidR="00DE575E" w:rsidRDefault="002E7560">
      <w:pPr>
        <w:spacing w:before="92"/>
        <w:ind w:left="533"/>
        <w:rPr>
          <w:rFonts w:ascii="Times New Roman"/>
          <w:sz w:val="20"/>
        </w:rPr>
      </w:pPr>
      <w:r>
        <w:rPr>
          <w:rFonts w:ascii="Times New Roman"/>
          <w:color w:val="231F20"/>
          <w:sz w:val="20"/>
        </w:rPr>
        <w:t>534</w:t>
      </w:r>
    </w:p>
    <w:p w14:paraId="392BDFEB" w14:textId="77777777" w:rsidR="00DE575E" w:rsidRDefault="00DE575E">
      <w:pPr>
        <w:rPr>
          <w:rFonts w:ascii="Times New Roman"/>
          <w:sz w:val="20"/>
        </w:rPr>
        <w:sectPr w:rsidR="00DE575E">
          <w:pgSz w:w="8510" w:h="12760"/>
          <w:pgMar w:top="660" w:right="720" w:bottom="280" w:left="600" w:header="720" w:footer="720" w:gutter="0"/>
          <w:cols w:space="720"/>
        </w:sectPr>
      </w:pPr>
    </w:p>
    <w:p w14:paraId="633A1196"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45C191D1" w14:textId="35CF1BE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E288B6F" wp14:editId="0F9DDA5F">
                <wp:extent cx="4140200" cy="6350"/>
                <wp:effectExtent l="0" t="0" r="12700" b="6350"/>
                <wp:docPr id="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6" name="Line 9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FC2F9" id="Group_x0020_9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q5zU8fQIAAJQFAAAOAAAA&#10;AAAAAAAAAAAAACwCAABkcnMvZTJvRG9jLnhtbFBLAQItABQABgAIAAAAIQBMp7CQ2QAAAAMBAAAP&#10;AAAAAAAAAAAAAAAAANUEAABkcnMvZG93bnJldi54bWxQSwUGAAAAAAQABADzAAAA2wUAAAAA&#10;">
                <v:line id="Line_x0020_9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91pcUAAADbAAAADwAAAGRycy9kb3ducmV2LnhtbESP3WrCQBSE7wXfYTkFb6RuqiBtdBUp&#10;FIoX/qUPcMwek9DdszG7mtin7wqCl8PMfMPMl5014kqNrxwreBslIIhzpysuFPxkX6/vIHxA1mgc&#10;k4IbeVgu+r05ptq1vKfrIRQiQtinqKAMoU6l9HlJFv3I1cTRO7nGYoiyKaRusI1wa+Q4SabSYsVx&#10;ocSaPkvKfw8XqyA7D4PZbdemzbbHiTyeN5O/y0apwUu3moEI1IVn+NH+1go+pnD/En+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91pcUAAADbAAAADwAAAAAAAAAA&#10;AAAAAAChAgAAZHJzL2Rvd25yZXYueG1sUEsFBgAAAAAEAAQA+QAAAJMDAAAAAA==&#10;" strokecolor="#231f20" strokeweight=".5pt"/>
                <w10:anchorlock/>
              </v:group>
            </w:pict>
          </mc:Fallback>
        </mc:AlternateContent>
      </w:r>
    </w:p>
    <w:p w14:paraId="2E03CF1A" w14:textId="77777777" w:rsidR="00DE575E" w:rsidRDefault="00DE575E">
      <w:pPr>
        <w:pStyle w:val="BodyText"/>
        <w:spacing w:before="7"/>
        <w:rPr>
          <w:rFonts w:ascii="AdonisC"/>
          <w:i/>
          <w:sz w:val="19"/>
        </w:rPr>
      </w:pPr>
    </w:p>
    <w:p w14:paraId="632CD98E" w14:textId="77777777" w:rsidR="00DE575E" w:rsidRDefault="002E7560">
      <w:pPr>
        <w:pStyle w:val="BodyText"/>
        <w:spacing w:before="1" w:line="252" w:lineRule="auto"/>
        <w:ind w:left="250" w:right="411"/>
        <w:jc w:val="both"/>
      </w:pPr>
      <w:r>
        <w:rPr>
          <w:color w:val="231F20"/>
        </w:rPr>
        <w:t>ній, фінансово-економічній та ін.; 4) сприяння задоволенню життє- вих потреб населення, коли забезпечити їх за рахунок приватної ініціативи неможливо.</w:t>
      </w:r>
    </w:p>
    <w:p w14:paraId="4AA316DE" w14:textId="77777777" w:rsidR="00DE575E" w:rsidRDefault="002E7560">
      <w:pPr>
        <w:pStyle w:val="BodyText"/>
        <w:spacing w:before="1" w:line="252" w:lineRule="auto"/>
        <w:ind w:left="250" w:right="409" w:firstLine="283"/>
        <w:jc w:val="both"/>
      </w:pPr>
      <w:r>
        <w:rPr>
          <w:b/>
          <w:color w:val="231F20"/>
        </w:rPr>
        <w:t xml:space="preserve">Виконавчо-розпорядча </w:t>
      </w:r>
      <w:r>
        <w:rPr>
          <w:color w:val="231F20"/>
        </w:rPr>
        <w:t>(</w:t>
      </w:r>
      <w:r>
        <w:rPr>
          <w:i/>
          <w:color w:val="231F20"/>
        </w:rPr>
        <w:t>публічно-управлінська</w:t>
      </w:r>
      <w:r>
        <w:rPr>
          <w:color w:val="231F20"/>
        </w:rPr>
        <w:t xml:space="preserve">) </w:t>
      </w:r>
      <w:r>
        <w:rPr>
          <w:b/>
          <w:color w:val="231F20"/>
        </w:rPr>
        <w:t xml:space="preserve">діяльність </w:t>
      </w:r>
      <w:r>
        <w:rPr>
          <w:color w:val="231F20"/>
        </w:rPr>
        <w:t>– адміністра</w:t>
      </w:r>
      <w:r>
        <w:rPr>
          <w:color w:val="231F20"/>
        </w:rPr>
        <w:t>тивна</w:t>
      </w:r>
      <w:r>
        <w:rPr>
          <w:color w:val="231F20"/>
          <w:spacing w:val="-12"/>
        </w:rPr>
        <w:t xml:space="preserve"> </w:t>
      </w:r>
      <w:r>
        <w:rPr>
          <w:color w:val="231F20"/>
        </w:rPr>
        <w:t>діяльність</w:t>
      </w:r>
      <w:r>
        <w:rPr>
          <w:color w:val="231F20"/>
          <w:spacing w:val="-12"/>
        </w:rPr>
        <w:t xml:space="preserve"> </w:t>
      </w:r>
      <w:r>
        <w:rPr>
          <w:color w:val="231F20"/>
        </w:rPr>
        <w:t>публічної</w:t>
      </w:r>
      <w:r>
        <w:rPr>
          <w:color w:val="231F20"/>
          <w:spacing w:val="-12"/>
        </w:rPr>
        <w:t xml:space="preserve"> </w:t>
      </w:r>
      <w:r>
        <w:rPr>
          <w:color w:val="231F20"/>
        </w:rPr>
        <w:t>адміністрації,</w:t>
      </w:r>
      <w:r>
        <w:rPr>
          <w:color w:val="231F20"/>
          <w:spacing w:val="-12"/>
        </w:rPr>
        <w:t xml:space="preserve"> </w:t>
      </w:r>
      <w:r>
        <w:rPr>
          <w:color w:val="231F20"/>
        </w:rPr>
        <w:t>коли</w:t>
      </w:r>
      <w:r>
        <w:rPr>
          <w:color w:val="231F20"/>
          <w:spacing w:val="-12"/>
        </w:rPr>
        <w:t xml:space="preserve"> </w:t>
      </w:r>
      <w:r>
        <w:rPr>
          <w:color w:val="231F20"/>
        </w:rPr>
        <w:t>вона</w:t>
      </w:r>
      <w:r>
        <w:rPr>
          <w:color w:val="231F20"/>
          <w:spacing w:val="-12"/>
        </w:rPr>
        <w:t xml:space="preserve"> </w:t>
      </w:r>
      <w:r>
        <w:rPr>
          <w:color w:val="231F20"/>
        </w:rPr>
        <w:t>здійс- нює публічне виконання законодавства на території всієї держави, або окремих її частинах відповідно до прописаної компетенції та видає з цією метою підзаконні нормативно-правові акти на основі зако</w:t>
      </w:r>
      <w:r>
        <w:rPr>
          <w:color w:val="231F20"/>
        </w:rPr>
        <w:t>нів і з метою їх виконання через деталізацію та</w:t>
      </w:r>
      <w:r>
        <w:rPr>
          <w:color w:val="231F20"/>
          <w:spacing w:val="-11"/>
        </w:rPr>
        <w:t xml:space="preserve"> </w:t>
      </w:r>
      <w:r>
        <w:rPr>
          <w:color w:val="231F20"/>
        </w:rPr>
        <w:t>уточнення.</w:t>
      </w:r>
    </w:p>
    <w:p w14:paraId="6DB12D45" w14:textId="77777777" w:rsidR="00DE575E" w:rsidRDefault="002E7560">
      <w:pPr>
        <w:pStyle w:val="BodyText"/>
        <w:spacing w:before="3" w:line="252" w:lineRule="auto"/>
        <w:ind w:left="250" w:right="412" w:firstLine="283"/>
        <w:jc w:val="both"/>
      </w:pPr>
      <w:r>
        <w:rPr>
          <w:b/>
          <w:color w:val="231F20"/>
        </w:rPr>
        <w:t xml:space="preserve">Виконання адміністративного акта </w:t>
      </w:r>
      <w:r>
        <w:rPr>
          <w:color w:val="231F20"/>
        </w:rPr>
        <w:t>– реалізація права або дотримання вимоги виконати певні дії, яка міститься в акті, якщо його зміст зводився лише до реалізації цього права / виконання цієї вимоги.</w:t>
      </w:r>
    </w:p>
    <w:p w14:paraId="41229C1D" w14:textId="77777777" w:rsidR="00DE575E" w:rsidRDefault="002E7560">
      <w:pPr>
        <w:pStyle w:val="BodyText"/>
        <w:spacing w:before="2" w:line="252" w:lineRule="auto"/>
        <w:ind w:left="250" w:right="409" w:firstLine="283"/>
        <w:jc w:val="both"/>
      </w:pPr>
      <w:r>
        <w:rPr>
          <w:b/>
          <w:color w:val="231F20"/>
        </w:rPr>
        <w:t xml:space="preserve">Відносні обов’язки </w:t>
      </w:r>
      <w:r>
        <w:rPr>
          <w:color w:val="231F20"/>
        </w:rPr>
        <w:t>– це обов’язки громадян у сфері публічного адміністрування, виконання яких залежить від низки  чинників,  які можуть стосуватись або волевиявлення громадянина (вступ до ВНЗ – обов’язки абітурієнта; вступ на державну службу – обов’язки, в</w:t>
      </w:r>
      <w:r>
        <w:rPr>
          <w:color w:val="231F20"/>
        </w:rPr>
        <w:t>изначені</w:t>
      </w:r>
      <w:r>
        <w:rPr>
          <w:color w:val="231F20"/>
          <w:spacing w:val="-9"/>
        </w:rPr>
        <w:t xml:space="preserve"> </w:t>
      </w:r>
      <w:r>
        <w:rPr>
          <w:color w:val="231F20"/>
        </w:rPr>
        <w:t>Законом</w:t>
      </w:r>
      <w:r>
        <w:rPr>
          <w:color w:val="231F20"/>
          <w:spacing w:val="-9"/>
        </w:rPr>
        <w:t xml:space="preserve"> </w:t>
      </w:r>
      <w:r>
        <w:rPr>
          <w:color w:val="231F20"/>
          <w:spacing w:val="-3"/>
        </w:rPr>
        <w:t>України</w:t>
      </w:r>
      <w:r>
        <w:rPr>
          <w:color w:val="231F20"/>
          <w:spacing w:val="-9"/>
        </w:rPr>
        <w:t xml:space="preserve"> </w:t>
      </w:r>
      <w:r>
        <w:rPr>
          <w:color w:val="231F20"/>
        </w:rPr>
        <w:t>про</w:t>
      </w:r>
      <w:r>
        <w:rPr>
          <w:color w:val="231F20"/>
          <w:spacing w:val="-9"/>
        </w:rPr>
        <w:t xml:space="preserve"> </w:t>
      </w:r>
      <w:r>
        <w:rPr>
          <w:color w:val="231F20"/>
        </w:rPr>
        <w:t>державну</w:t>
      </w:r>
      <w:r>
        <w:rPr>
          <w:color w:val="231F20"/>
          <w:spacing w:val="-9"/>
        </w:rPr>
        <w:t xml:space="preserve"> </w:t>
      </w:r>
      <w:r>
        <w:rPr>
          <w:color w:val="231F20"/>
        </w:rPr>
        <w:t>службу),</w:t>
      </w:r>
      <w:r>
        <w:rPr>
          <w:color w:val="231F20"/>
          <w:spacing w:val="-9"/>
        </w:rPr>
        <w:t xml:space="preserve"> </w:t>
      </w:r>
      <w:r>
        <w:rPr>
          <w:color w:val="231F20"/>
        </w:rPr>
        <w:t>або</w:t>
      </w:r>
      <w:r>
        <w:rPr>
          <w:color w:val="231F20"/>
          <w:spacing w:val="-9"/>
        </w:rPr>
        <w:t xml:space="preserve"> </w:t>
      </w:r>
      <w:r>
        <w:rPr>
          <w:color w:val="231F20"/>
        </w:rPr>
        <w:t>певних</w:t>
      </w:r>
      <w:r>
        <w:rPr>
          <w:color w:val="231F20"/>
          <w:spacing w:val="-9"/>
        </w:rPr>
        <w:t xml:space="preserve"> </w:t>
      </w:r>
      <w:r>
        <w:rPr>
          <w:color w:val="231F20"/>
        </w:rPr>
        <w:t>обста- вин (у період надзвичайного стану – обов’язок обмежити пересу- вання</w:t>
      </w:r>
      <w:r>
        <w:rPr>
          <w:color w:val="231F20"/>
          <w:spacing w:val="-1"/>
        </w:rPr>
        <w:t xml:space="preserve"> </w:t>
      </w:r>
      <w:r>
        <w:rPr>
          <w:color w:val="231F20"/>
        </w:rPr>
        <w:t>тощо).</w:t>
      </w:r>
    </w:p>
    <w:p w14:paraId="67CBDBAD" w14:textId="77777777" w:rsidR="00DE575E" w:rsidRDefault="002E7560">
      <w:pPr>
        <w:spacing w:before="4" w:line="252" w:lineRule="auto"/>
        <w:ind w:left="250" w:right="411" w:firstLine="283"/>
        <w:jc w:val="both"/>
        <w:rPr>
          <w:sz w:val="21"/>
        </w:rPr>
      </w:pPr>
      <w:r>
        <w:rPr>
          <w:b/>
          <w:color w:val="231F20"/>
          <w:sz w:val="21"/>
        </w:rPr>
        <w:t xml:space="preserve">Відшкодування шкоди, завданої суб’єктами публічної адмі- ністрації </w:t>
      </w:r>
      <w:r>
        <w:rPr>
          <w:color w:val="231F20"/>
          <w:sz w:val="21"/>
        </w:rPr>
        <w:t>(</w:t>
      </w:r>
      <w:r>
        <w:rPr>
          <w:i/>
          <w:color w:val="231F20"/>
          <w:sz w:val="21"/>
        </w:rPr>
        <w:t>способи</w:t>
      </w:r>
      <w:r>
        <w:rPr>
          <w:color w:val="231F20"/>
          <w:sz w:val="21"/>
        </w:rPr>
        <w:t>) – виплата за рахунок державного або мі</w:t>
      </w:r>
      <w:r>
        <w:rPr>
          <w:color w:val="231F20"/>
          <w:sz w:val="21"/>
        </w:rPr>
        <w:t>сцевого бюджетів добровільно (за ініціативою винного суб’єкта публічної адміністрації) і через виконавче провадження відповідним розпо- рядником бюджетних коштів.</w:t>
      </w:r>
    </w:p>
    <w:p w14:paraId="12B75F35" w14:textId="77777777" w:rsidR="00DE575E" w:rsidRDefault="002E7560">
      <w:pPr>
        <w:pStyle w:val="BodyText"/>
        <w:spacing w:before="2" w:line="252" w:lineRule="auto"/>
        <w:ind w:left="250" w:right="411" w:firstLine="283"/>
        <w:jc w:val="both"/>
      </w:pPr>
      <w:r>
        <w:rPr>
          <w:b/>
          <w:color w:val="231F20"/>
        </w:rPr>
        <w:t xml:space="preserve">Військово-цивільні адміністрації </w:t>
      </w:r>
      <w:r>
        <w:rPr>
          <w:color w:val="231F20"/>
        </w:rPr>
        <w:t xml:space="preserve">– тимчасові надзвичайні </w:t>
      </w:r>
      <w:r>
        <w:rPr>
          <w:color w:val="231F20"/>
          <w:spacing w:val="-3"/>
        </w:rPr>
        <w:t xml:space="preserve">суб’єкти </w:t>
      </w:r>
      <w:r>
        <w:rPr>
          <w:color w:val="231F20"/>
        </w:rPr>
        <w:t>публічної адміністрації, що</w:t>
      </w:r>
      <w:r>
        <w:rPr>
          <w:color w:val="231F20"/>
        </w:rPr>
        <w:t xml:space="preserve"> діють у складі Антитерористич- ного центру при Службі безпеки </w:t>
      </w:r>
      <w:r>
        <w:rPr>
          <w:color w:val="231F20"/>
          <w:spacing w:val="-3"/>
        </w:rPr>
        <w:t xml:space="preserve">України </w:t>
      </w:r>
      <w:r>
        <w:rPr>
          <w:color w:val="231F20"/>
        </w:rPr>
        <w:t xml:space="preserve">або у складі </w:t>
      </w:r>
      <w:r>
        <w:rPr>
          <w:color w:val="231F20"/>
          <w:spacing w:val="-3"/>
        </w:rPr>
        <w:t xml:space="preserve">Об’єднаного </w:t>
      </w:r>
      <w:r>
        <w:rPr>
          <w:color w:val="231F20"/>
        </w:rPr>
        <w:t xml:space="preserve">оперативного штабу Збройних Сил </w:t>
      </w:r>
      <w:r>
        <w:rPr>
          <w:color w:val="231F20"/>
          <w:spacing w:val="-3"/>
        </w:rPr>
        <w:t xml:space="preserve">України </w:t>
      </w:r>
      <w:r>
        <w:rPr>
          <w:color w:val="231F20"/>
        </w:rPr>
        <w:t>і призначені для здійс- нення</w:t>
      </w:r>
      <w:r>
        <w:rPr>
          <w:color w:val="231F20"/>
          <w:spacing w:val="-8"/>
        </w:rPr>
        <w:t xml:space="preserve"> </w:t>
      </w:r>
      <w:r>
        <w:rPr>
          <w:color w:val="231F20"/>
        </w:rPr>
        <w:t>публічного</w:t>
      </w:r>
      <w:r>
        <w:rPr>
          <w:color w:val="231F20"/>
          <w:spacing w:val="-8"/>
        </w:rPr>
        <w:t xml:space="preserve"> </w:t>
      </w:r>
      <w:r>
        <w:rPr>
          <w:color w:val="231F20"/>
        </w:rPr>
        <w:t>адміністрування</w:t>
      </w:r>
      <w:r>
        <w:rPr>
          <w:color w:val="231F20"/>
          <w:spacing w:val="-8"/>
        </w:rPr>
        <w:t xml:space="preserve"> </w:t>
      </w:r>
      <w:r>
        <w:rPr>
          <w:color w:val="231F20"/>
        </w:rPr>
        <w:t>в</w:t>
      </w:r>
      <w:r>
        <w:rPr>
          <w:color w:val="231F20"/>
          <w:spacing w:val="-8"/>
        </w:rPr>
        <w:t xml:space="preserve"> </w:t>
      </w:r>
      <w:r>
        <w:rPr>
          <w:color w:val="231F20"/>
        </w:rPr>
        <w:t>районах</w:t>
      </w:r>
      <w:r>
        <w:rPr>
          <w:color w:val="231F20"/>
          <w:spacing w:val="-8"/>
        </w:rPr>
        <w:t xml:space="preserve"> </w:t>
      </w:r>
      <w:r>
        <w:rPr>
          <w:color w:val="231F20"/>
        </w:rPr>
        <w:t>відсічі</w:t>
      </w:r>
      <w:r>
        <w:rPr>
          <w:color w:val="231F20"/>
          <w:spacing w:val="-8"/>
        </w:rPr>
        <w:t xml:space="preserve"> </w:t>
      </w:r>
      <w:r>
        <w:rPr>
          <w:color w:val="231F20"/>
        </w:rPr>
        <w:t>збройної</w:t>
      </w:r>
      <w:r>
        <w:rPr>
          <w:color w:val="231F20"/>
          <w:spacing w:val="-8"/>
        </w:rPr>
        <w:t xml:space="preserve"> </w:t>
      </w:r>
      <w:r>
        <w:rPr>
          <w:color w:val="231F20"/>
        </w:rPr>
        <w:t>агресії Російської</w:t>
      </w:r>
      <w:r>
        <w:rPr>
          <w:color w:val="231F20"/>
          <w:spacing w:val="-1"/>
        </w:rPr>
        <w:t xml:space="preserve"> </w:t>
      </w:r>
      <w:r>
        <w:rPr>
          <w:color w:val="231F20"/>
        </w:rPr>
        <w:t>Федерації.</w:t>
      </w:r>
    </w:p>
    <w:p w14:paraId="1FCC2230" w14:textId="77777777" w:rsidR="00DE575E" w:rsidRDefault="002E7560">
      <w:pPr>
        <w:pStyle w:val="BodyText"/>
        <w:spacing w:before="3" w:line="252" w:lineRule="auto"/>
        <w:ind w:left="250" w:right="411" w:firstLine="283"/>
        <w:jc w:val="both"/>
      </w:pPr>
      <w:r>
        <w:rPr>
          <w:b/>
          <w:color w:val="231F20"/>
        </w:rPr>
        <w:t xml:space="preserve">Вступ </w:t>
      </w:r>
      <w:r>
        <w:rPr>
          <w:b/>
          <w:color w:val="231F20"/>
        </w:rPr>
        <w:t xml:space="preserve">на державну службу </w:t>
      </w:r>
      <w:r>
        <w:rPr>
          <w:color w:val="231F20"/>
        </w:rPr>
        <w:t>– юридичний факт, що є підставою набуття особою статусу державного службовця, який займає відпо- відну посаду державної служби та опосередковує виникнення служ- бових відносин між державним службовцем та його безпосереднім керівником. Од</w:t>
      </w:r>
      <w:r>
        <w:rPr>
          <w:color w:val="231F20"/>
        </w:rPr>
        <w:t>ночасно з цього моменту розпочинається проход- ження державної служби.</w:t>
      </w:r>
    </w:p>
    <w:p w14:paraId="75484C2C" w14:textId="77777777" w:rsidR="00DE575E" w:rsidRDefault="002E7560">
      <w:pPr>
        <w:spacing w:before="3" w:line="252" w:lineRule="auto"/>
        <w:ind w:left="250" w:right="411" w:firstLine="283"/>
        <w:jc w:val="both"/>
        <w:rPr>
          <w:sz w:val="21"/>
        </w:rPr>
      </w:pPr>
      <w:r>
        <w:rPr>
          <w:b/>
          <w:color w:val="231F20"/>
          <w:sz w:val="21"/>
        </w:rPr>
        <w:t xml:space="preserve">Громадська організація </w:t>
      </w:r>
      <w:r>
        <w:rPr>
          <w:color w:val="231F20"/>
          <w:sz w:val="21"/>
        </w:rPr>
        <w:t>– це громадське об’єднання, засновни- ками та членами (учасниками) якого є фізичні особи.</w:t>
      </w:r>
    </w:p>
    <w:p w14:paraId="719F31C9" w14:textId="77777777" w:rsidR="00DE575E" w:rsidRDefault="00DE575E">
      <w:pPr>
        <w:pStyle w:val="BodyText"/>
        <w:spacing w:before="5"/>
        <w:rPr>
          <w:sz w:val="12"/>
        </w:rPr>
      </w:pPr>
    </w:p>
    <w:p w14:paraId="0345EB54" w14:textId="77777777" w:rsidR="00DE575E" w:rsidRDefault="002E7560">
      <w:pPr>
        <w:spacing w:before="92"/>
        <w:ind w:right="411"/>
        <w:jc w:val="right"/>
        <w:rPr>
          <w:rFonts w:ascii="Times New Roman"/>
          <w:sz w:val="20"/>
        </w:rPr>
      </w:pPr>
      <w:r>
        <w:rPr>
          <w:rFonts w:ascii="Times New Roman"/>
          <w:color w:val="231F20"/>
          <w:w w:val="90"/>
          <w:sz w:val="20"/>
        </w:rPr>
        <w:t>535</w:t>
      </w:r>
    </w:p>
    <w:p w14:paraId="2C619A02"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375E03D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CC51F2D" w14:textId="789E417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1052CBA" wp14:editId="415F1B11">
                <wp:extent cx="4140200" cy="6350"/>
                <wp:effectExtent l="0" t="0" r="12700" b="6350"/>
                <wp:docPr id="9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4" name="Line 9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AF57F0" id="Group_x0020_9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IBzMQ98AgAAlAUAAA4AAAAA&#10;AAAAAAAAAAAALAIAAGRycy9lMm9Eb2MueG1sUEsBAi0AFAAGAAgAAAAhAEynsJDZAAAAAwEAAA8A&#10;AAAAAAAAAAAAAAAA1AQAAGRycy9kb3ducmV2LnhtbFBLBQYAAAAABAAEAPMAAADaBQAAAAA=&#10;">
                <v:line id="Line_x0020_9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FOScYAAADbAAAADwAAAGRycy9kb3ducmV2LnhtbESP3WrCQBSE7wu+w3KE3hTdVItodBUp&#10;CKUX/sUHOGaPSXD3bMyuJu3TdwuFXg4z8w2zWHXWiAc1vnKs4HWYgCDOna64UHDKNoMpCB+QNRrH&#10;pOCLPKyWvacFptq1fKDHMRQiQtinqKAMoU6l9HlJFv3Q1cTRu7jGYoiyKaRusI1wa+QoSSbSYsVx&#10;ocSa3kvKr8e7VZDdXoLZ7z5Nm+3OY3m+bcff961Sz/1uPQcRqAv/4b/2h1Ywe4PfL/EH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BTknGAAAA2wAAAA8AAAAAAAAA&#10;AAAAAAAAoQIAAGRycy9kb3ducmV2LnhtbFBLBQYAAAAABAAEAPkAAACUAwAAAAA=&#10;" strokecolor="#231f20" strokeweight=".5pt"/>
                <w10:anchorlock/>
              </v:group>
            </w:pict>
          </mc:Fallback>
        </mc:AlternateContent>
      </w:r>
    </w:p>
    <w:p w14:paraId="2149C84F" w14:textId="77777777" w:rsidR="00DE575E" w:rsidRDefault="00DE575E">
      <w:pPr>
        <w:pStyle w:val="BodyText"/>
        <w:spacing w:before="7"/>
        <w:rPr>
          <w:rFonts w:ascii="AdonisC"/>
          <w:i/>
          <w:sz w:val="11"/>
        </w:rPr>
      </w:pPr>
    </w:p>
    <w:p w14:paraId="269632B4" w14:textId="77777777" w:rsidR="00DE575E" w:rsidRDefault="002E7560">
      <w:pPr>
        <w:pStyle w:val="BodyText"/>
        <w:spacing w:before="101" w:line="252" w:lineRule="auto"/>
        <w:ind w:left="533" w:right="128" w:firstLine="283"/>
        <w:jc w:val="right"/>
      </w:pPr>
      <w:r>
        <w:rPr>
          <w:b/>
          <w:color w:val="231F20"/>
          <w:spacing w:val="-4"/>
        </w:rPr>
        <w:t xml:space="preserve">Громадська </w:t>
      </w:r>
      <w:r>
        <w:rPr>
          <w:b/>
          <w:color w:val="231F20"/>
          <w:spacing w:val="-3"/>
        </w:rPr>
        <w:t xml:space="preserve">спілка </w:t>
      </w:r>
      <w:r>
        <w:rPr>
          <w:color w:val="231F20"/>
        </w:rPr>
        <w:t xml:space="preserve">– це </w:t>
      </w:r>
      <w:r>
        <w:rPr>
          <w:color w:val="231F20"/>
          <w:spacing w:val="-3"/>
        </w:rPr>
        <w:t>громадське</w:t>
      </w:r>
      <w:r>
        <w:rPr>
          <w:color w:val="231F20"/>
          <w:spacing w:val="25"/>
        </w:rPr>
        <w:t xml:space="preserve"> </w:t>
      </w:r>
      <w:r>
        <w:rPr>
          <w:color w:val="231F20"/>
          <w:spacing w:val="-5"/>
        </w:rPr>
        <w:t>об’єднання,</w:t>
      </w:r>
      <w:r>
        <w:rPr>
          <w:color w:val="231F20"/>
          <w:spacing w:val="13"/>
        </w:rPr>
        <w:t xml:space="preserve"> </w:t>
      </w:r>
      <w:r>
        <w:rPr>
          <w:color w:val="231F20"/>
          <w:spacing w:val="-3"/>
        </w:rPr>
        <w:t xml:space="preserve">засновниками якого </w:t>
      </w:r>
      <w:r>
        <w:rPr>
          <w:color w:val="231F20"/>
        </w:rPr>
        <w:t xml:space="preserve">є </w:t>
      </w:r>
      <w:r>
        <w:rPr>
          <w:color w:val="231F20"/>
          <w:spacing w:val="-3"/>
        </w:rPr>
        <w:t xml:space="preserve">юридичні </w:t>
      </w:r>
      <w:r>
        <w:rPr>
          <w:color w:val="231F20"/>
        </w:rPr>
        <w:t xml:space="preserve">особи </w:t>
      </w:r>
      <w:r>
        <w:rPr>
          <w:color w:val="231F20"/>
          <w:spacing w:val="-3"/>
        </w:rPr>
        <w:t xml:space="preserve">приватного права, </w:t>
      </w:r>
      <w:r>
        <w:rPr>
          <w:color w:val="231F20"/>
        </w:rPr>
        <w:t xml:space="preserve">а </w:t>
      </w:r>
      <w:r>
        <w:rPr>
          <w:color w:val="231F20"/>
          <w:spacing w:val="7"/>
        </w:rPr>
        <w:t xml:space="preserve"> </w:t>
      </w:r>
      <w:r>
        <w:rPr>
          <w:color w:val="231F20"/>
        </w:rPr>
        <w:t xml:space="preserve">членами </w:t>
      </w:r>
      <w:r>
        <w:rPr>
          <w:color w:val="231F20"/>
          <w:spacing w:val="35"/>
        </w:rPr>
        <w:t xml:space="preserve"> </w:t>
      </w:r>
      <w:r>
        <w:rPr>
          <w:color w:val="231F20"/>
          <w:spacing w:val="-3"/>
        </w:rPr>
        <w:t>(учасни-</w:t>
      </w:r>
      <w:r>
        <w:rPr>
          <w:color w:val="231F20"/>
        </w:rPr>
        <w:t xml:space="preserve"> </w:t>
      </w:r>
      <w:r>
        <w:rPr>
          <w:color w:val="231F20"/>
          <w:spacing w:val="-3"/>
        </w:rPr>
        <w:t>ками)</w:t>
      </w:r>
      <w:r>
        <w:rPr>
          <w:color w:val="231F20"/>
          <w:spacing w:val="-9"/>
        </w:rPr>
        <w:t xml:space="preserve"> </w:t>
      </w:r>
      <w:r>
        <w:rPr>
          <w:color w:val="231F20"/>
          <w:spacing w:val="-3"/>
        </w:rPr>
        <w:t>можуть</w:t>
      </w:r>
      <w:r>
        <w:rPr>
          <w:color w:val="231F20"/>
          <w:spacing w:val="-16"/>
        </w:rPr>
        <w:t xml:space="preserve"> </w:t>
      </w:r>
      <w:r>
        <w:rPr>
          <w:color w:val="231F20"/>
        </w:rPr>
        <w:t>бути</w:t>
      </w:r>
      <w:r>
        <w:rPr>
          <w:color w:val="231F20"/>
          <w:spacing w:val="-16"/>
        </w:rPr>
        <w:t xml:space="preserve"> </w:t>
      </w:r>
      <w:r>
        <w:rPr>
          <w:color w:val="231F20"/>
          <w:spacing w:val="-3"/>
        </w:rPr>
        <w:t>юридичні</w:t>
      </w:r>
      <w:r>
        <w:rPr>
          <w:color w:val="231F20"/>
          <w:spacing w:val="-16"/>
        </w:rPr>
        <w:t xml:space="preserve"> </w:t>
      </w:r>
      <w:r>
        <w:rPr>
          <w:color w:val="231F20"/>
        </w:rPr>
        <w:t>особи</w:t>
      </w:r>
      <w:r>
        <w:rPr>
          <w:color w:val="231F20"/>
          <w:spacing w:val="-16"/>
        </w:rPr>
        <w:t xml:space="preserve"> </w:t>
      </w:r>
      <w:r>
        <w:rPr>
          <w:color w:val="231F20"/>
          <w:spacing w:val="-3"/>
        </w:rPr>
        <w:t>приватного</w:t>
      </w:r>
      <w:r>
        <w:rPr>
          <w:color w:val="231F20"/>
          <w:spacing w:val="-16"/>
        </w:rPr>
        <w:t xml:space="preserve"> </w:t>
      </w:r>
      <w:r>
        <w:rPr>
          <w:color w:val="231F20"/>
          <w:spacing w:val="-3"/>
        </w:rPr>
        <w:t>права</w:t>
      </w:r>
      <w:r>
        <w:rPr>
          <w:color w:val="231F20"/>
          <w:spacing w:val="-16"/>
        </w:rPr>
        <w:t xml:space="preserve"> </w:t>
      </w:r>
      <w:r>
        <w:rPr>
          <w:color w:val="231F20"/>
        </w:rPr>
        <w:t>й</w:t>
      </w:r>
      <w:r>
        <w:rPr>
          <w:color w:val="231F20"/>
          <w:spacing w:val="-15"/>
        </w:rPr>
        <w:t xml:space="preserve"> </w:t>
      </w:r>
      <w:r>
        <w:rPr>
          <w:color w:val="231F20"/>
          <w:spacing w:val="-3"/>
        </w:rPr>
        <w:t>фізичні</w:t>
      </w:r>
      <w:r>
        <w:rPr>
          <w:color w:val="231F20"/>
          <w:spacing w:val="-16"/>
        </w:rPr>
        <w:t xml:space="preserve"> </w:t>
      </w:r>
      <w:r>
        <w:rPr>
          <w:color w:val="231F20"/>
          <w:spacing w:val="-3"/>
        </w:rPr>
        <w:t xml:space="preserve">особи. </w:t>
      </w:r>
      <w:r>
        <w:rPr>
          <w:b/>
          <w:color w:val="231F20"/>
        </w:rPr>
        <w:t>Делегування адміністративних повноважень</w:t>
      </w:r>
      <w:r>
        <w:rPr>
          <w:b/>
          <w:color w:val="231F20"/>
        </w:rPr>
        <w:t xml:space="preserve"> </w:t>
      </w:r>
      <w:r>
        <w:rPr>
          <w:color w:val="231F20"/>
        </w:rPr>
        <w:t>–</w:t>
      </w:r>
      <w:r>
        <w:rPr>
          <w:color w:val="231F20"/>
          <w:spacing w:val="30"/>
        </w:rPr>
        <w:t xml:space="preserve"> </w:t>
      </w:r>
      <w:r>
        <w:rPr>
          <w:color w:val="231F20"/>
        </w:rPr>
        <w:t>ситуаційне,</w:t>
      </w:r>
      <w:r>
        <w:rPr>
          <w:color w:val="231F20"/>
          <w:spacing w:val="-1"/>
        </w:rPr>
        <w:t xml:space="preserve"> </w:t>
      </w:r>
      <w:r>
        <w:rPr>
          <w:color w:val="231F20"/>
        </w:rPr>
        <w:t xml:space="preserve">тимчасове або безстрокове передання </w:t>
      </w:r>
      <w:r>
        <w:rPr>
          <w:color w:val="231F20"/>
          <w:spacing w:val="-3"/>
        </w:rPr>
        <w:t>суб’єктом</w:t>
      </w:r>
      <w:r>
        <w:rPr>
          <w:color w:val="231F20"/>
          <w:spacing w:val="-8"/>
        </w:rPr>
        <w:t xml:space="preserve"> </w:t>
      </w:r>
      <w:r>
        <w:rPr>
          <w:color w:val="231F20"/>
        </w:rPr>
        <w:t>публічної</w:t>
      </w:r>
      <w:r>
        <w:rPr>
          <w:color w:val="231F20"/>
          <w:spacing w:val="-2"/>
        </w:rPr>
        <w:t xml:space="preserve"> </w:t>
      </w:r>
      <w:r>
        <w:rPr>
          <w:color w:val="231F20"/>
        </w:rPr>
        <w:t>адмініст- рації іншій особі належних йому адміністративних</w:t>
      </w:r>
      <w:r>
        <w:rPr>
          <w:color w:val="231F20"/>
          <w:spacing w:val="8"/>
        </w:rPr>
        <w:t xml:space="preserve"> </w:t>
      </w:r>
      <w:r>
        <w:rPr>
          <w:color w:val="231F20"/>
        </w:rPr>
        <w:t>повноважень</w:t>
      </w:r>
      <w:r>
        <w:rPr>
          <w:color w:val="231F20"/>
          <w:spacing w:val="8"/>
        </w:rPr>
        <w:t xml:space="preserve"> </w:t>
      </w:r>
      <w:r>
        <w:rPr>
          <w:color w:val="231F20"/>
        </w:rPr>
        <w:t>на підставі нормативного чи індивідуального акта</w:t>
      </w:r>
      <w:r>
        <w:rPr>
          <w:color w:val="231F20"/>
          <w:spacing w:val="11"/>
        </w:rPr>
        <w:t xml:space="preserve"> </w:t>
      </w:r>
      <w:r>
        <w:rPr>
          <w:color w:val="231F20"/>
        </w:rPr>
        <w:t>або</w:t>
      </w:r>
      <w:r>
        <w:rPr>
          <w:color w:val="231F20"/>
          <w:spacing w:val="10"/>
        </w:rPr>
        <w:t xml:space="preserve"> </w:t>
      </w:r>
      <w:r>
        <w:rPr>
          <w:color w:val="231F20"/>
        </w:rPr>
        <w:t>адміністратив- ного д</w:t>
      </w:r>
      <w:r>
        <w:rPr>
          <w:color w:val="231F20"/>
        </w:rPr>
        <w:t>оговору з метою ефективного, якісного забезпечення</w:t>
      </w:r>
      <w:r>
        <w:rPr>
          <w:color w:val="231F20"/>
          <w:spacing w:val="35"/>
        </w:rPr>
        <w:t xml:space="preserve"> </w:t>
      </w:r>
      <w:r>
        <w:rPr>
          <w:color w:val="231F20"/>
        </w:rPr>
        <w:t>публіч-</w:t>
      </w:r>
    </w:p>
    <w:p w14:paraId="6B23D91D" w14:textId="77777777" w:rsidR="00DE575E" w:rsidRDefault="002E7560">
      <w:pPr>
        <w:pStyle w:val="BodyText"/>
        <w:spacing w:before="4"/>
        <w:ind w:left="533"/>
      </w:pPr>
      <w:r>
        <w:rPr>
          <w:color w:val="231F20"/>
        </w:rPr>
        <w:t>ного інтересу.</w:t>
      </w:r>
    </w:p>
    <w:p w14:paraId="594D1070" w14:textId="77777777" w:rsidR="00DE575E" w:rsidRDefault="002E7560">
      <w:pPr>
        <w:pStyle w:val="BodyText"/>
        <w:spacing w:before="12" w:line="252" w:lineRule="auto"/>
        <w:ind w:left="533" w:right="128" w:firstLine="283"/>
        <w:jc w:val="both"/>
      </w:pPr>
      <w:r>
        <w:rPr>
          <w:b/>
          <w:color w:val="231F20"/>
        </w:rPr>
        <w:t xml:space="preserve">Деліктні обов’язки </w:t>
      </w:r>
      <w:r>
        <w:rPr>
          <w:color w:val="231F20"/>
        </w:rPr>
        <w:t xml:space="preserve">– обов’язки, що виникають із деліктних правовідносин, складають особливу </w:t>
      </w:r>
      <w:r>
        <w:rPr>
          <w:color w:val="231F20"/>
          <w:spacing w:val="-4"/>
        </w:rPr>
        <w:t xml:space="preserve">групу, </w:t>
      </w:r>
      <w:r>
        <w:rPr>
          <w:color w:val="231F20"/>
        </w:rPr>
        <w:t>тобто обов’язки, які покладені на громадянина у зв’язку з його протиправною поведін</w:t>
      </w:r>
      <w:r>
        <w:rPr>
          <w:color w:val="231F20"/>
        </w:rPr>
        <w:t xml:space="preserve">- кою і полягають, власне, в обов’язку </w:t>
      </w:r>
      <w:r>
        <w:rPr>
          <w:color w:val="231F20"/>
          <w:spacing w:val="-3"/>
        </w:rPr>
        <w:t xml:space="preserve">суб’єкта </w:t>
      </w:r>
      <w:r>
        <w:rPr>
          <w:color w:val="231F20"/>
        </w:rPr>
        <w:t xml:space="preserve">зазнати певних обме- жень своїх прав і свобод як покарання за вчинений проступок. Способи виконання обов’язків різні. Вони залежать від конкрет- ного їх </w:t>
      </w:r>
      <w:r>
        <w:rPr>
          <w:color w:val="231F20"/>
          <w:spacing w:val="-3"/>
        </w:rPr>
        <w:t xml:space="preserve">змісту. </w:t>
      </w:r>
      <w:r>
        <w:rPr>
          <w:color w:val="231F20"/>
        </w:rPr>
        <w:t>Одні виконуються за допомогою активних дій, інш</w:t>
      </w:r>
      <w:r>
        <w:rPr>
          <w:color w:val="231F20"/>
        </w:rPr>
        <w:t>і – з утриманням від дій, заборонених нормами</w:t>
      </w:r>
      <w:r>
        <w:rPr>
          <w:color w:val="231F20"/>
          <w:spacing w:val="-9"/>
        </w:rPr>
        <w:t xml:space="preserve"> </w:t>
      </w:r>
      <w:r>
        <w:rPr>
          <w:color w:val="231F20"/>
        </w:rPr>
        <w:t>права.</w:t>
      </w:r>
    </w:p>
    <w:p w14:paraId="7C7C8FE5" w14:textId="77777777" w:rsidR="00DE575E" w:rsidRDefault="002E7560">
      <w:pPr>
        <w:pStyle w:val="BodyText"/>
        <w:spacing w:before="4" w:line="252" w:lineRule="auto"/>
        <w:ind w:left="533" w:right="128" w:firstLine="283"/>
        <w:jc w:val="both"/>
      </w:pPr>
      <w:r>
        <w:rPr>
          <w:b/>
          <w:color w:val="231F20"/>
        </w:rPr>
        <w:t xml:space="preserve">Деліктоздатність </w:t>
      </w:r>
      <w:r>
        <w:rPr>
          <w:color w:val="231F20"/>
        </w:rPr>
        <w:t>– здатність особи нести юридичну відпові- дальність</w:t>
      </w:r>
      <w:r>
        <w:rPr>
          <w:color w:val="231F20"/>
          <w:spacing w:val="-9"/>
        </w:rPr>
        <w:t xml:space="preserve"> </w:t>
      </w:r>
      <w:r>
        <w:rPr>
          <w:color w:val="231F20"/>
        </w:rPr>
        <w:t>за</w:t>
      </w:r>
      <w:r>
        <w:rPr>
          <w:color w:val="231F20"/>
          <w:spacing w:val="-9"/>
        </w:rPr>
        <w:t xml:space="preserve"> </w:t>
      </w:r>
      <w:r>
        <w:rPr>
          <w:color w:val="231F20"/>
          <w:spacing w:val="-5"/>
        </w:rPr>
        <w:t>шкоду,</w:t>
      </w:r>
      <w:r>
        <w:rPr>
          <w:color w:val="231F20"/>
          <w:spacing w:val="-9"/>
        </w:rPr>
        <w:t xml:space="preserve"> </w:t>
      </w:r>
      <w:r>
        <w:rPr>
          <w:color w:val="231F20"/>
        </w:rPr>
        <w:t>заподіяну</w:t>
      </w:r>
      <w:r>
        <w:rPr>
          <w:color w:val="231F20"/>
          <w:spacing w:val="-9"/>
        </w:rPr>
        <w:t xml:space="preserve"> </w:t>
      </w:r>
      <w:r>
        <w:rPr>
          <w:color w:val="231F20"/>
        </w:rPr>
        <w:t>її</w:t>
      </w:r>
      <w:r>
        <w:rPr>
          <w:color w:val="231F20"/>
          <w:spacing w:val="-9"/>
        </w:rPr>
        <w:t xml:space="preserve"> </w:t>
      </w:r>
      <w:r>
        <w:rPr>
          <w:color w:val="231F20"/>
        </w:rPr>
        <w:t>протиправними</w:t>
      </w:r>
      <w:r>
        <w:rPr>
          <w:color w:val="231F20"/>
          <w:spacing w:val="-9"/>
        </w:rPr>
        <w:t xml:space="preserve"> </w:t>
      </w:r>
      <w:r>
        <w:rPr>
          <w:color w:val="231F20"/>
        </w:rPr>
        <w:t>діями.</w:t>
      </w:r>
      <w:r>
        <w:rPr>
          <w:color w:val="231F20"/>
          <w:spacing w:val="-9"/>
        </w:rPr>
        <w:t xml:space="preserve"> </w:t>
      </w:r>
      <w:r>
        <w:rPr>
          <w:color w:val="231F20"/>
        </w:rPr>
        <w:t>Полягає</w:t>
      </w:r>
      <w:r>
        <w:rPr>
          <w:color w:val="231F20"/>
          <w:spacing w:val="-9"/>
        </w:rPr>
        <w:t xml:space="preserve"> </w:t>
      </w:r>
      <w:r>
        <w:rPr>
          <w:color w:val="231F20"/>
        </w:rPr>
        <w:t xml:space="preserve">вона в здатності </w:t>
      </w:r>
      <w:r>
        <w:rPr>
          <w:color w:val="231F20"/>
          <w:spacing w:val="-3"/>
        </w:rPr>
        <w:t xml:space="preserve">суб’єкта </w:t>
      </w:r>
      <w:r>
        <w:rPr>
          <w:color w:val="231F20"/>
        </w:rPr>
        <w:t xml:space="preserve">самостійно усвідомлювати свій вчинок і його шкідливі </w:t>
      </w:r>
      <w:r>
        <w:rPr>
          <w:color w:val="231F20"/>
          <w:spacing w:val="-3"/>
        </w:rPr>
        <w:t xml:space="preserve">результати, </w:t>
      </w:r>
      <w:r>
        <w:rPr>
          <w:color w:val="231F20"/>
        </w:rPr>
        <w:t>відповідати за свої протиправні дії й нести за них юридичну</w:t>
      </w:r>
      <w:r>
        <w:rPr>
          <w:color w:val="231F20"/>
          <w:spacing w:val="-2"/>
        </w:rPr>
        <w:t xml:space="preserve"> </w:t>
      </w:r>
      <w:r>
        <w:rPr>
          <w:color w:val="231F20"/>
        </w:rPr>
        <w:t>відповідальність.</w:t>
      </w:r>
    </w:p>
    <w:p w14:paraId="51A94405" w14:textId="77777777" w:rsidR="00DE575E" w:rsidRDefault="002E7560">
      <w:pPr>
        <w:pStyle w:val="BodyText"/>
        <w:spacing w:before="3" w:line="252" w:lineRule="auto"/>
        <w:ind w:left="533" w:right="128" w:firstLine="283"/>
        <w:jc w:val="both"/>
      </w:pPr>
      <w:r>
        <w:rPr>
          <w:b/>
          <w:color w:val="231F20"/>
        </w:rPr>
        <w:t xml:space="preserve">Державна інспекція </w:t>
      </w:r>
      <w:r>
        <w:rPr>
          <w:color w:val="231F20"/>
        </w:rPr>
        <w:t>– центральний орган виконавчої влади, який забезпечує реалізацію державної політики через здійснення нагляду (контролю) за дотриманням і виконанням законодавства різними</w:t>
      </w:r>
      <w:r>
        <w:rPr>
          <w:color w:val="231F20"/>
          <w:spacing w:val="-17"/>
        </w:rPr>
        <w:t xml:space="preserve"> </w:t>
      </w:r>
      <w:r>
        <w:rPr>
          <w:color w:val="231F20"/>
          <w:spacing w:val="-3"/>
        </w:rPr>
        <w:t>об’єктами</w:t>
      </w:r>
      <w:r>
        <w:rPr>
          <w:color w:val="231F20"/>
          <w:spacing w:val="-17"/>
        </w:rPr>
        <w:t xml:space="preserve"> </w:t>
      </w:r>
      <w:r>
        <w:rPr>
          <w:color w:val="231F20"/>
        </w:rPr>
        <w:t>публічного</w:t>
      </w:r>
      <w:r>
        <w:rPr>
          <w:color w:val="231F20"/>
          <w:spacing w:val="-17"/>
        </w:rPr>
        <w:t xml:space="preserve"> </w:t>
      </w:r>
      <w:r>
        <w:rPr>
          <w:color w:val="231F20"/>
        </w:rPr>
        <w:t>управління</w:t>
      </w:r>
      <w:r>
        <w:rPr>
          <w:color w:val="231F20"/>
          <w:spacing w:val="-17"/>
        </w:rPr>
        <w:t xml:space="preserve"> </w:t>
      </w:r>
      <w:r>
        <w:rPr>
          <w:color w:val="231F20"/>
        </w:rPr>
        <w:t>у</w:t>
      </w:r>
      <w:r>
        <w:rPr>
          <w:color w:val="231F20"/>
          <w:spacing w:val="-16"/>
        </w:rPr>
        <w:t xml:space="preserve"> </w:t>
      </w:r>
      <w:r>
        <w:rPr>
          <w:color w:val="231F20"/>
        </w:rPr>
        <w:t>відповідній</w:t>
      </w:r>
      <w:r>
        <w:rPr>
          <w:color w:val="231F20"/>
          <w:spacing w:val="-17"/>
        </w:rPr>
        <w:t xml:space="preserve"> </w:t>
      </w:r>
      <w:r>
        <w:rPr>
          <w:color w:val="231F20"/>
        </w:rPr>
        <w:t>сфері</w:t>
      </w:r>
      <w:r>
        <w:rPr>
          <w:color w:val="231F20"/>
          <w:spacing w:val="-17"/>
        </w:rPr>
        <w:t xml:space="preserve"> </w:t>
      </w:r>
      <w:r>
        <w:rPr>
          <w:color w:val="231F20"/>
        </w:rPr>
        <w:t>публіч- ного</w:t>
      </w:r>
      <w:r>
        <w:rPr>
          <w:color w:val="231F20"/>
          <w:spacing w:val="-1"/>
        </w:rPr>
        <w:t xml:space="preserve"> </w:t>
      </w:r>
      <w:r>
        <w:rPr>
          <w:color w:val="231F20"/>
        </w:rPr>
        <w:t>адміністрування.</w:t>
      </w:r>
    </w:p>
    <w:p w14:paraId="65A34928" w14:textId="77777777" w:rsidR="00DE575E" w:rsidRDefault="002E7560">
      <w:pPr>
        <w:pStyle w:val="BodyText"/>
        <w:spacing w:before="2" w:line="252" w:lineRule="auto"/>
        <w:ind w:left="533" w:right="127" w:firstLine="283"/>
        <w:jc w:val="both"/>
      </w:pPr>
      <w:r>
        <w:rPr>
          <w:b/>
          <w:color w:val="231F20"/>
        </w:rPr>
        <w:t>Держ</w:t>
      </w:r>
      <w:r>
        <w:rPr>
          <w:b/>
          <w:color w:val="231F20"/>
        </w:rPr>
        <w:t>авна</w:t>
      </w:r>
      <w:r>
        <w:rPr>
          <w:b/>
          <w:color w:val="231F20"/>
          <w:spacing w:val="-12"/>
        </w:rPr>
        <w:t xml:space="preserve"> </w:t>
      </w:r>
      <w:r>
        <w:rPr>
          <w:b/>
          <w:color w:val="231F20"/>
        </w:rPr>
        <w:t>служба</w:t>
      </w:r>
      <w:r>
        <w:rPr>
          <w:b/>
          <w:color w:val="231F20"/>
          <w:spacing w:val="-13"/>
        </w:rPr>
        <w:t xml:space="preserve"> </w:t>
      </w:r>
      <w:r>
        <w:rPr>
          <w:color w:val="231F20"/>
        </w:rPr>
        <w:t>(державний</w:t>
      </w:r>
      <w:r>
        <w:rPr>
          <w:color w:val="231F20"/>
          <w:spacing w:val="-12"/>
        </w:rPr>
        <w:t xml:space="preserve"> </w:t>
      </w:r>
      <w:r>
        <w:rPr>
          <w:color w:val="231F20"/>
        </w:rPr>
        <w:t>орган)</w:t>
      </w:r>
      <w:r>
        <w:rPr>
          <w:color w:val="231F20"/>
          <w:spacing w:val="-12"/>
        </w:rPr>
        <w:t xml:space="preserve"> </w:t>
      </w:r>
      <w:r>
        <w:rPr>
          <w:color w:val="231F20"/>
        </w:rPr>
        <w:t>–</w:t>
      </w:r>
      <w:r>
        <w:rPr>
          <w:color w:val="231F20"/>
          <w:spacing w:val="-12"/>
        </w:rPr>
        <w:t xml:space="preserve"> </w:t>
      </w:r>
      <w:r>
        <w:rPr>
          <w:color w:val="231F20"/>
        </w:rPr>
        <w:t>центральний</w:t>
      </w:r>
      <w:r>
        <w:rPr>
          <w:color w:val="231F20"/>
          <w:spacing w:val="-12"/>
        </w:rPr>
        <w:t xml:space="preserve"> </w:t>
      </w:r>
      <w:r>
        <w:rPr>
          <w:color w:val="231F20"/>
        </w:rPr>
        <w:t>орган</w:t>
      </w:r>
      <w:r>
        <w:rPr>
          <w:color w:val="231F20"/>
          <w:spacing w:val="-12"/>
        </w:rPr>
        <w:t xml:space="preserve"> </w:t>
      </w:r>
      <w:r>
        <w:rPr>
          <w:color w:val="231F20"/>
        </w:rPr>
        <w:t>вико- навчої влади, що забезпечує реалізацію державної політики через надання адміністративних послуг  фізичним  і  юридичним  особам у певних сферах публічного</w:t>
      </w:r>
      <w:r>
        <w:rPr>
          <w:color w:val="231F20"/>
          <w:spacing w:val="-3"/>
        </w:rPr>
        <w:t xml:space="preserve"> </w:t>
      </w:r>
      <w:r>
        <w:rPr>
          <w:color w:val="231F20"/>
        </w:rPr>
        <w:t>адміністрування.</w:t>
      </w:r>
    </w:p>
    <w:p w14:paraId="443A7F76" w14:textId="77777777" w:rsidR="00DE575E" w:rsidRDefault="002E7560">
      <w:pPr>
        <w:pStyle w:val="BodyText"/>
        <w:spacing w:before="2" w:line="252" w:lineRule="auto"/>
        <w:ind w:left="533" w:right="127" w:firstLine="283"/>
        <w:jc w:val="both"/>
      </w:pPr>
      <w:r>
        <w:rPr>
          <w:b/>
          <w:color w:val="231F20"/>
        </w:rPr>
        <w:t xml:space="preserve">Державна служба (поняття) </w:t>
      </w:r>
      <w:r>
        <w:rPr>
          <w:color w:val="231F20"/>
        </w:rPr>
        <w:t xml:space="preserve">– </w:t>
      </w:r>
      <w:r>
        <w:rPr>
          <w:color w:val="231F20"/>
        </w:rPr>
        <w:t>це публічна, професійна, полі- тично неупереджена діяльність із практичного виконання завдань  і функцій держави, зокрема щодо забезпечення формування та реалізації державної політики (на різних рівнях адміністрування), забезпечення</w:t>
      </w:r>
      <w:r>
        <w:rPr>
          <w:color w:val="231F20"/>
          <w:spacing w:val="-14"/>
        </w:rPr>
        <w:t xml:space="preserve"> </w:t>
      </w:r>
      <w:r>
        <w:rPr>
          <w:color w:val="231F20"/>
        </w:rPr>
        <w:t>надання</w:t>
      </w:r>
      <w:r>
        <w:rPr>
          <w:color w:val="231F20"/>
          <w:spacing w:val="-14"/>
        </w:rPr>
        <w:t xml:space="preserve"> </w:t>
      </w:r>
      <w:r>
        <w:rPr>
          <w:color w:val="231F20"/>
        </w:rPr>
        <w:t>адміністративних</w:t>
      </w:r>
      <w:r>
        <w:rPr>
          <w:color w:val="231F20"/>
          <w:spacing w:val="-14"/>
        </w:rPr>
        <w:t xml:space="preserve"> </w:t>
      </w:r>
      <w:r>
        <w:rPr>
          <w:color w:val="231F20"/>
          <w:spacing w:val="-3"/>
        </w:rPr>
        <w:t>послуг,</w:t>
      </w:r>
      <w:r>
        <w:rPr>
          <w:color w:val="231F20"/>
          <w:spacing w:val="-14"/>
        </w:rPr>
        <w:t xml:space="preserve"> </w:t>
      </w:r>
      <w:r>
        <w:rPr>
          <w:color w:val="231F20"/>
        </w:rPr>
        <w:t>здійснення</w:t>
      </w:r>
      <w:r>
        <w:rPr>
          <w:color w:val="231F20"/>
          <w:spacing w:val="-14"/>
        </w:rPr>
        <w:t xml:space="preserve"> </w:t>
      </w:r>
      <w:r>
        <w:rPr>
          <w:color w:val="231F20"/>
        </w:rPr>
        <w:t>держав- ного нагляду і контролю, управління державними фінансовими/ майновими ресурсами та персоналом державних органів, реалізації інших</w:t>
      </w:r>
      <w:r>
        <w:rPr>
          <w:color w:val="231F20"/>
          <w:spacing w:val="-11"/>
        </w:rPr>
        <w:t xml:space="preserve"> </w:t>
      </w:r>
      <w:r>
        <w:rPr>
          <w:color w:val="231F20"/>
        </w:rPr>
        <w:t>визначених</w:t>
      </w:r>
      <w:r>
        <w:rPr>
          <w:color w:val="231F20"/>
          <w:spacing w:val="-11"/>
        </w:rPr>
        <w:t xml:space="preserve"> </w:t>
      </w:r>
      <w:r>
        <w:rPr>
          <w:color w:val="231F20"/>
        </w:rPr>
        <w:t>законодавством</w:t>
      </w:r>
      <w:r>
        <w:rPr>
          <w:color w:val="231F20"/>
          <w:spacing w:val="-11"/>
        </w:rPr>
        <w:t xml:space="preserve"> </w:t>
      </w:r>
      <w:r>
        <w:rPr>
          <w:color w:val="231F20"/>
        </w:rPr>
        <w:t>повноважень</w:t>
      </w:r>
      <w:r>
        <w:rPr>
          <w:color w:val="231F20"/>
          <w:spacing w:val="-11"/>
        </w:rPr>
        <w:t xml:space="preserve"> </w:t>
      </w:r>
      <w:r>
        <w:rPr>
          <w:color w:val="231F20"/>
        </w:rPr>
        <w:t>державних</w:t>
      </w:r>
      <w:r>
        <w:rPr>
          <w:color w:val="231F20"/>
          <w:spacing w:val="-11"/>
        </w:rPr>
        <w:t xml:space="preserve"> </w:t>
      </w:r>
      <w:r>
        <w:rPr>
          <w:color w:val="231F20"/>
        </w:rPr>
        <w:t>органів.</w:t>
      </w:r>
    </w:p>
    <w:p w14:paraId="1338BC58" w14:textId="77777777" w:rsidR="00DE575E" w:rsidRDefault="00DE575E">
      <w:pPr>
        <w:pStyle w:val="BodyText"/>
        <w:spacing w:before="8"/>
        <w:rPr>
          <w:sz w:val="12"/>
        </w:rPr>
      </w:pPr>
    </w:p>
    <w:p w14:paraId="029E33B8" w14:textId="77777777" w:rsidR="00DE575E" w:rsidRDefault="002E7560">
      <w:pPr>
        <w:spacing w:before="92"/>
        <w:ind w:left="533"/>
        <w:rPr>
          <w:rFonts w:ascii="Times New Roman"/>
          <w:sz w:val="20"/>
        </w:rPr>
      </w:pPr>
      <w:r>
        <w:rPr>
          <w:rFonts w:ascii="Times New Roman"/>
          <w:color w:val="231F20"/>
          <w:sz w:val="20"/>
        </w:rPr>
        <w:t>536</w:t>
      </w:r>
    </w:p>
    <w:p w14:paraId="0A32D2B8" w14:textId="77777777" w:rsidR="00DE575E" w:rsidRDefault="00DE575E">
      <w:pPr>
        <w:rPr>
          <w:rFonts w:ascii="Times New Roman"/>
          <w:sz w:val="20"/>
        </w:rPr>
        <w:sectPr w:rsidR="00DE575E">
          <w:pgSz w:w="8510" w:h="12760"/>
          <w:pgMar w:top="660" w:right="720" w:bottom="280" w:left="600" w:header="720" w:footer="720" w:gutter="0"/>
          <w:cols w:space="720"/>
        </w:sectPr>
      </w:pPr>
    </w:p>
    <w:p w14:paraId="5ACA8B27" w14:textId="77777777" w:rsidR="00DE575E" w:rsidRDefault="002E7560">
      <w:pPr>
        <w:spacing w:before="72" w:after="9"/>
        <w:ind w:left="4590"/>
        <w:rPr>
          <w:rFonts w:ascii="AdonisC" w:hAnsi="AdonisC"/>
          <w:i/>
          <w:sz w:val="18"/>
        </w:rPr>
      </w:pPr>
      <w:r>
        <w:rPr>
          <w:rFonts w:ascii="AdonisC" w:hAnsi="AdonisC"/>
          <w:i/>
          <w:color w:val="231F20"/>
          <w:sz w:val="18"/>
        </w:rPr>
        <w:t>Словни</w:t>
      </w:r>
      <w:r>
        <w:rPr>
          <w:rFonts w:ascii="AdonisC" w:hAnsi="AdonisC"/>
          <w:i/>
          <w:color w:val="231F20"/>
          <w:sz w:val="18"/>
        </w:rPr>
        <w:t>к основних термінів</w:t>
      </w:r>
    </w:p>
    <w:p w14:paraId="27492B61" w14:textId="741C675D"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00CFDD7" wp14:editId="4AC1490D">
                <wp:extent cx="4140200" cy="6350"/>
                <wp:effectExtent l="0" t="0" r="12700" b="6350"/>
                <wp:docPr id="9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2" name="Line 9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5724D7" id="Group_x0020_9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BaUFUV8AgAAlAUAAA4AAAAA&#10;AAAAAAAAAAAALAIAAGRycy9lMm9Eb2MueG1sUEsBAi0AFAAGAAgAAAAhAEynsJDZAAAAAwEAAA8A&#10;AAAAAAAAAAAAAAAA1AQAAGRycy9kb3ducmV2LnhtbFBLBQYAAAAABAAEAPMAAADaBQAAAAA=&#10;">
                <v:line id="Line_x0020_9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RzpsUAAADbAAAADwAAAGRycy9kb3ducmV2LnhtbESP3WrCQBSE7wu+w3IKvZG6UUFsdBUR&#10;CqUX/sUHOGaPSeju2ZhdTfTpuwWhl8PMfMPMl5014kaNrxwrGA4SEMS50xUXCo7Z5/sUhA/IGo1j&#10;UnAnD8tF72WOqXYt7+l2CIWIEPYpKihDqFMpfV6SRT9wNXH0zq6xGKJsCqkbbCPcGjlKkom0WHFc&#10;KLGmdUn5z+FqFWSXfjC77bdps+1pLE+Xzfhx3Sj19tqtZiACdeE//Gx/aQUfI/j7En+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RzpsUAAADbAAAADwAAAAAAAAAA&#10;AAAAAAChAgAAZHJzL2Rvd25yZXYueG1sUEsFBgAAAAAEAAQA+QAAAJMDAAAAAA==&#10;" strokecolor="#231f20" strokeweight=".5pt"/>
                <w10:anchorlock/>
              </v:group>
            </w:pict>
          </mc:Fallback>
        </mc:AlternateContent>
      </w:r>
    </w:p>
    <w:p w14:paraId="3D11F916" w14:textId="77777777" w:rsidR="00DE575E" w:rsidRDefault="00DE575E">
      <w:pPr>
        <w:pStyle w:val="BodyText"/>
        <w:spacing w:before="7"/>
        <w:rPr>
          <w:rFonts w:ascii="AdonisC"/>
          <w:i/>
          <w:sz w:val="19"/>
        </w:rPr>
      </w:pPr>
    </w:p>
    <w:p w14:paraId="758D9A74" w14:textId="77777777" w:rsidR="00DE575E" w:rsidRDefault="002E7560">
      <w:pPr>
        <w:pStyle w:val="BodyText"/>
        <w:spacing w:before="1" w:line="252" w:lineRule="auto"/>
        <w:ind w:left="250" w:right="410" w:firstLine="283"/>
        <w:jc w:val="both"/>
      </w:pPr>
      <w:r>
        <w:rPr>
          <w:b/>
          <w:color w:val="231F20"/>
        </w:rPr>
        <w:t>Державне</w:t>
      </w:r>
      <w:r>
        <w:rPr>
          <w:b/>
          <w:color w:val="231F20"/>
          <w:spacing w:val="-11"/>
        </w:rPr>
        <w:t xml:space="preserve"> </w:t>
      </w:r>
      <w:r>
        <w:rPr>
          <w:b/>
          <w:color w:val="231F20"/>
        </w:rPr>
        <w:t>агентство</w:t>
      </w:r>
      <w:r>
        <w:rPr>
          <w:b/>
          <w:color w:val="231F20"/>
          <w:spacing w:val="-11"/>
        </w:rPr>
        <w:t xml:space="preserve"> </w:t>
      </w:r>
      <w:r>
        <w:rPr>
          <w:color w:val="231F20"/>
        </w:rPr>
        <w:t>–</w:t>
      </w:r>
      <w:r>
        <w:rPr>
          <w:color w:val="231F20"/>
          <w:spacing w:val="-11"/>
        </w:rPr>
        <w:t xml:space="preserve"> </w:t>
      </w:r>
      <w:r>
        <w:rPr>
          <w:color w:val="231F20"/>
        </w:rPr>
        <w:t>центральний</w:t>
      </w:r>
      <w:r>
        <w:rPr>
          <w:color w:val="231F20"/>
          <w:spacing w:val="-11"/>
        </w:rPr>
        <w:t xml:space="preserve"> </w:t>
      </w:r>
      <w:r>
        <w:rPr>
          <w:color w:val="231F20"/>
        </w:rPr>
        <w:t>посередницький</w:t>
      </w:r>
      <w:r>
        <w:rPr>
          <w:color w:val="231F20"/>
          <w:spacing w:val="-11"/>
        </w:rPr>
        <w:t xml:space="preserve"> </w:t>
      </w:r>
      <w:r>
        <w:rPr>
          <w:color w:val="231F20"/>
        </w:rPr>
        <w:t>(між</w:t>
      </w:r>
      <w:r>
        <w:rPr>
          <w:color w:val="231F20"/>
          <w:spacing w:val="-11"/>
        </w:rPr>
        <w:t xml:space="preserve"> </w:t>
      </w:r>
      <w:r>
        <w:rPr>
          <w:color w:val="231F20"/>
        </w:rPr>
        <w:t xml:space="preserve">відпо- відним міністерством і </w:t>
      </w:r>
      <w:r>
        <w:rPr>
          <w:color w:val="231F20"/>
          <w:spacing w:val="-3"/>
        </w:rPr>
        <w:t xml:space="preserve">об’єктами </w:t>
      </w:r>
      <w:r>
        <w:rPr>
          <w:color w:val="231F20"/>
        </w:rPr>
        <w:t>державного управління) орган виконавчої влади, який забезпечує реалізацію державної політики через реалізацію управлінських функцій у сфері використання державного майна та надання адміністративних послуг у відповід- ній сфері публічного</w:t>
      </w:r>
      <w:r>
        <w:rPr>
          <w:color w:val="231F20"/>
          <w:spacing w:val="-2"/>
        </w:rPr>
        <w:t xml:space="preserve"> </w:t>
      </w:r>
      <w:r>
        <w:rPr>
          <w:color w:val="231F20"/>
        </w:rPr>
        <w:t>адміністрування.</w:t>
      </w:r>
    </w:p>
    <w:p w14:paraId="546B4FB2" w14:textId="77777777" w:rsidR="00DE575E" w:rsidRDefault="002E7560">
      <w:pPr>
        <w:pStyle w:val="BodyText"/>
        <w:spacing w:before="3" w:line="252" w:lineRule="auto"/>
        <w:ind w:left="250" w:right="411" w:firstLine="283"/>
        <w:jc w:val="both"/>
      </w:pPr>
      <w:r>
        <w:rPr>
          <w:b/>
          <w:color w:val="231F20"/>
        </w:rPr>
        <w:t>Д</w:t>
      </w:r>
      <w:r>
        <w:rPr>
          <w:b/>
          <w:color w:val="231F20"/>
        </w:rPr>
        <w:t xml:space="preserve">ержавні органи </w:t>
      </w:r>
      <w:r>
        <w:rPr>
          <w:color w:val="231F20"/>
        </w:rPr>
        <w:t>– апарат держави, що представлений упоряд- кованою, організованою, цілісною системою органів законодавчої, виконавчої та судової влади, які наділені відповідними владними повноваженнями, а їх діяльність спрямована на реалізацію держав- ної в</w:t>
      </w:r>
      <w:r>
        <w:rPr>
          <w:color w:val="231F20"/>
        </w:rPr>
        <w:t>лади на всій території та в усіх сферах суспільства.</w:t>
      </w:r>
    </w:p>
    <w:p w14:paraId="33DD4DBC" w14:textId="77777777" w:rsidR="00DE575E" w:rsidRDefault="002E7560">
      <w:pPr>
        <w:pStyle w:val="BodyText"/>
        <w:spacing w:before="2" w:line="252" w:lineRule="auto"/>
        <w:ind w:left="250" w:right="411" w:firstLine="283"/>
        <w:jc w:val="both"/>
      </w:pPr>
      <w:r>
        <w:rPr>
          <w:b/>
          <w:color w:val="231F20"/>
        </w:rPr>
        <w:t xml:space="preserve">Джерела адміністративного права </w:t>
      </w:r>
      <w:r>
        <w:rPr>
          <w:color w:val="231F20"/>
        </w:rPr>
        <w:t>– це засоби зовнішнього оформлення   адміністративно-правових   норм,    який    засвідчує  їх  державну  загальнообов’язковість  (засоби,   форми   вираження й закріпленн</w:t>
      </w:r>
      <w:r>
        <w:rPr>
          <w:color w:val="231F20"/>
        </w:rPr>
        <w:t>я публічної волі), тим самим врегульовуючи адмініст- ративно-правові</w:t>
      </w:r>
      <w:r>
        <w:rPr>
          <w:color w:val="231F20"/>
          <w:spacing w:val="-2"/>
        </w:rPr>
        <w:t xml:space="preserve"> </w:t>
      </w:r>
      <w:r>
        <w:rPr>
          <w:color w:val="231F20"/>
        </w:rPr>
        <w:t>відносини.</w:t>
      </w:r>
    </w:p>
    <w:p w14:paraId="4BFBF89E" w14:textId="77777777" w:rsidR="00DE575E" w:rsidRDefault="002E7560">
      <w:pPr>
        <w:pStyle w:val="BodyText"/>
        <w:spacing w:before="3" w:line="252" w:lineRule="auto"/>
        <w:ind w:left="250" w:right="411" w:firstLine="283"/>
        <w:jc w:val="both"/>
      </w:pPr>
      <w:r>
        <w:rPr>
          <w:b/>
          <w:color w:val="231F20"/>
        </w:rPr>
        <w:t xml:space="preserve">Директиви </w:t>
      </w:r>
      <w:r>
        <w:rPr>
          <w:b/>
          <w:color w:val="231F20"/>
          <w:spacing w:val="-3"/>
        </w:rPr>
        <w:t xml:space="preserve">ЄС  </w:t>
      </w:r>
      <w:r>
        <w:rPr>
          <w:color w:val="231F20"/>
        </w:rPr>
        <w:t xml:space="preserve">– головна їх відмінність від регламенту полягає  в </w:t>
      </w:r>
      <w:r>
        <w:rPr>
          <w:color w:val="231F20"/>
          <w:spacing w:val="-4"/>
        </w:rPr>
        <w:t xml:space="preserve">тому, </w:t>
      </w:r>
      <w:r>
        <w:rPr>
          <w:color w:val="231F20"/>
        </w:rPr>
        <w:t xml:space="preserve">що в директиві зазвичай вказуються мета й </w:t>
      </w:r>
      <w:r>
        <w:rPr>
          <w:color w:val="231F20"/>
          <w:spacing w:val="-3"/>
        </w:rPr>
        <w:t xml:space="preserve">результати, </w:t>
      </w:r>
      <w:r>
        <w:rPr>
          <w:color w:val="231F20"/>
        </w:rPr>
        <w:t>які мають бути досягнуті, однак національній владі надається право самій</w:t>
      </w:r>
      <w:r>
        <w:rPr>
          <w:color w:val="231F20"/>
          <w:spacing w:val="-10"/>
        </w:rPr>
        <w:t xml:space="preserve"> </w:t>
      </w:r>
      <w:r>
        <w:rPr>
          <w:color w:val="231F20"/>
        </w:rPr>
        <w:t>визначати,</w:t>
      </w:r>
      <w:r>
        <w:rPr>
          <w:color w:val="231F20"/>
          <w:spacing w:val="-10"/>
        </w:rPr>
        <w:t xml:space="preserve"> </w:t>
      </w:r>
      <w:r>
        <w:rPr>
          <w:color w:val="231F20"/>
        </w:rPr>
        <w:t>в</w:t>
      </w:r>
      <w:r>
        <w:rPr>
          <w:color w:val="231F20"/>
          <w:spacing w:val="-10"/>
        </w:rPr>
        <w:t xml:space="preserve"> </w:t>
      </w:r>
      <w:r>
        <w:rPr>
          <w:color w:val="231F20"/>
        </w:rPr>
        <w:t>якій</w:t>
      </w:r>
      <w:r>
        <w:rPr>
          <w:color w:val="231F20"/>
          <w:spacing w:val="-10"/>
        </w:rPr>
        <w:t xml:space="preserve"> </w:t>
      </w:r>
      <w:r>
        <w:rPr>
          <w:color w:val="231F20"/>
        </w:rPr>
        <w:t>формі</w:t>
      </w:r>
      <w:r>
        <w:rPr>
          <w:color w:val="231F20"/>
          <w:spacing w:val="-10"/>
        </w:rPr>
        <w:t xml:space="preserve"> </w:t>
      </w:r>
      <w:r>
        <w:rPr>
          <w:color w:val="231F20"/>
        </w:rPr>
        <w:t>чи</w:t>
      </w:r>
      <w:r>
        <w:rPr>
          <w:color w:val="231F20"/>
          <w:spacing w:val="-10"/>
        </w:rPr>
        <w:t xml:space="preserve"> </w:t>
      </w:r>
      <w:r>
        <w:rPr>
          <w:color w:val="231F20"/>
        </w:rPr>
        <w:t>за</w:t>
      </w:r>
      <w:r>
        <w:rPr>
          <w:color w:val="231F20"/>
          <w:spacing w:val="-10"/>
        </w:rPr>
        <w:t xml:space="preserve"> </w:t>
      </w:r>
      <w:r>
        <w:rPr>
          <w:color w:val="231F20"/>
        </w:rPr>
        <w:t>допомогою</w:t>
      </w:r>
      <w:r>
        <w:rPr>
          <w:color w:val="231F20"/>
          <w:spacing w:val="-10"/>
        </w:rPr>
        <w:t xml:space="preserve"> </w:t>
      </w:r>
      <w:r>
        <w:rPr>
          <w:color w:val="231F20"/>
        </w:rPr>
        <w:t>яких</w:t>
      </w:r>
      <w:r>
        <w:rPr>
          <w:color w:val="231F20"/>
          <w:spacing w:val="-10"/>
        </w:rPr>
        <w:t xml:space="preserve"> </w:t>
      </w:r>
      <w:r>
        <w:rPr>
          <w:color w:val="231F20"/>
        </w:rPr>
        <w:t>процедур</w:t>
      </w:r>
      <w:r>
        <w:rPr>
          <w:color w:val="231F20"/>
          <w:spacing w:val="-10"/>
        </w:rPr>
        <w:t xml:space="preserve"> </w:t>
      </w:r>
      <w:r>
        <w:rPr>
          <w:color w:val="231F20"/>
        </w:rPr>
        <w:t>і</w:t>
      </w:r>
      <w:r>
        <w:rPr>
          <w:color w:val="231F20"/>
          <w:spacing w:val="-10"/>
        </w:rPr>
        <w:t xml:space="preserve"> </w:t>
      </w:r>
      <w:r>
        <w:rPr>
          <w:color w:val="231F20"/>
        </w:rPr>
        <w:t>меха- нізмів цієї мети може бути</w:t>
      </w:r>
      <w:r>
        <w:rPr>
          <w:color w:val="231F20"/>
          <w:spacing w:val="-2"/>
        </w:rPr>
        <w:t xml:space="preserve"> </w:t>
      </w:r>
      <w:r>
        <w:rPr>
          <w:color w:val="231F20"/>
        </w:rPr>
        <w:t>досягнуто.</w:t>
      </w:r>
    </w:p>
    <w:p w14:paraId="1C7D9EA4" w14:textId="77777777" w:rsidR="00DE575E" w:rsidRDefault="002E7560">
      <w:pPr>
        <w:pStyle w:val="BodyText"/>
        <w:spacing w:before="2" w:line="252" w:lineRule="auto"/>
        <w:ind w:left="250" w:right="411" w:firstLine="283"/>
        <w:jc w:val="both"/>
      </w:pPr>
      <w:r>
        <w:rPr>
          <w:b/>
          <w:color w:val="231F20"/>
          <w:spacing w:val="-4"/>
        </w:rPr>
        <w:t xml:space="preserve">Директорат </w:t>
      </w:r>
      <w:r>
        <w:rPr>
          <w:color w:val="231F20"/>
        </w:rPr>
        <w:t xml:space="preserve">– </w:t>
      </w:r>
      <w:r>
        <w:rPr>
          <w:color w:val="231F20"/>
          <w:spacing w:val="-3"/>
        </w:rPr>
        <w:t xml:space="preserve">самостійний структурний підрозділ міністерства, </w:t>
      </w:r>
      <w:r>
        <w:rPr>
          <w:color w:val="231F20"/>
        </w:rPr>
        <w:t xml:space="preserve">що </w:t>
      </w:r>
      <w:r>
        <w:rPr>
          <w:color w:val="231F20"/>
          <w:spacing w:val="-3"/>
        </w:rPr>
        <w:t xml:space="preserve">утворюється </w:t>
      </w:r>
      <w:r>
        <w:rPr>
          <w:color w:val="231F20"/>
        </w:rPr>
        <w:t xml:space="preserve">для </w:t>
      </w:r>
      <w:r>
        <w:rPr>
          <w:color w:val="231F20"/>
          <w:spacing w:val="-3"/>
        </w:rPr>
        <w:t>вик</w:t>
      </w:r>
      <w:r>
        <w:rPr>
          <w:color w:val="231F20"/>
          <w:spacing w:val="-3"/>
        </w:rPr>
        <w:t xml:space="preserve">онання завдань, пов’язаних </w:t>
      </w:r>
      <w:r>
        <w:rPr>
          <w:color w:val="231F20"/>
        </w:rPr>
        <w:t xml:space="preserve">із </w:t>
      </w:r>
      <w:r>
        <w:rPr>
          <w:color w:val="231F20"/>
          <w:spacing w:val="-3"/>
        </w:rPr>
        <w:t xml:space="preserve">забезпечен- </w:t>
      </w:r>
      <w:r>
        <w:rPr>
          <w:color w:val="231F20"/>
        </w:rPr>
        <w:t xml:space="preserve">ням </w:t>
      </w:r>
      <w:r>
        <w:rPr>
          <w:color w:val="231F20"/>
          <w:spacing w:val="-3"/>
        </w:rPr>
        <w:t xml:space="preserve">формування державної політики </w:t>
      </w:r>
      <w:r>
        <w:rPr>
          <w:color w:val="231F20"/>
        </w:rPr>
        <w:t xml:space="preserve">в </w:t>
      </w:r>
      <w:r>
        <w:rPr>
          <w:color w:val="231F20"/>
          <w:spacing w:val="-4"/>
        </w:rPr>
        <w:t xml:space="preserve">одній </w:t>
      </w:r>
      <w:r>
        <w:rPr>
          <w:color w:val="231F20"/>
        </w:rPr>
        <w:t xml:space="preserve">або </w:t>
      </w:r>
      <w:r>
        <w:rPr>
          <w:color w:val="231F20"/>
          <w:spacing w:val="-4"/>
        </w:rPr>
        <w:t xml:space="preserve">декількох </w:t>
      </w:r>
      <w:r>
        <w:rPr>
          <w:color w:val="231F20"/>
          <w:spacing w:val="-3"/>
        </w:rPr>
        <w:t xml:space="preserve">сферах компетенції міністерства, </w:t>
      </w:r>
      <w:r>
        <w:rPr>
          <w:color w:val="231F20"/>
          <w:spacing w:val="-4"/>
        </w:rPr>
        <w:t xml:space="preserve">координацією </w:t>
      </w:r>
      <w:r>
        <w:rPr>
          <w:color w:val="231F20"/>
        </w:rPr>
        <w:t xml:space="preserve">та </w:t>
      </w:r>
      <w:r>
        <w:rPr>
          <w:color w:val="231F20"/>
          <w:spacing w:val="-3"/>
        </w:rPr>
        <w:t xml:space="preserve">моніторингом </w:t>
      </w:r>
      <w:r>
        <w:rPr>
          <w:color w:val="231F20"/>
        </w:rPr>
        <w:t xml:space="preserve">її </w:t>
      </w:r>
      <w:r>
        <w:rPr>
          <w:color w:val="231F20"/>
          <w:spacing w:val="-3"/>
        </w:rPr>
        <w:t xml:space="preserve">реалізації, аналізу </w:t>
      </w:r>
      <w:r>
        <w:rPr>
          <w:color w:val="231F20"/>
        </w:rPr>
        <w:t xml:space="preserve">та оцінювання </w:t>
      </w:r>
      <w:r>
        <w:rPr>
          <w:color w:val="231F20"/>
          <w:spacing w:val="-3"/>
        </w:rPr>
        <w:t xml:space="preserve">впливу </w:t>
      </w:r>
      <w:r>
        <w:rPr>
          <w:color w:val="231F20"/>
        </w:rPr>
        <w:t xml:space="preserve">її </w:t>
      </w:r>
      <w:r>
        <w:rPr>
          <w:color w:val="231F20"/>
          <w:spacing w:val="-3"/>
        </w:rPr>
        <w:t xml:space="preserve">реалізації </w:t>
      </w:r>
      <w:r>
        <w:rPr>
          <w:color w:val="231F20"/>
        </w:rPr>
        <w:t xml:space="preserve">на </w:t>
      </w:r>
      <w:r>
        <w:rPr>
          <w:color w:val="231F20"/>
          <w:spacing w:val="-3"/>
        </w:rPr>
        <w:t xml:space="preserve">заінтересовані сторони, </w:t>
      </w:r>
      <w:r>
        <w:rPr>
          <w:color w:val="231F20"/>
        </w:rPr>
        <w:t xml:space="preserve">а </w:t>
      </w:r>
      <w:r>
        <w:rPr>
          <w:color w:val="231F20"/>
          <w:spacing w:val="-3"/>
        </w:rPr>
        <w:t xml:space="preserve">також інших завдань </w:t>
      </w:r>
      <w:r>
        <w:rPr>
          <w:color w:val="231F20"/>
        </w:rPr>
        <w:t xml:space="preserve">– </w:t>
      </w:r>
      <w:r>
        <w:rPr>
          <w:color w:val="231F20"/>
          <w:spacing w:val="-3"/>
        </w:rPr>
        <w:t xml:space="preserve">крім тих, </w:t>
      </w:r>
      <w:r>
        <w:rPr>
          <w:color w:val="231F20"/>
        </w:rPr>
        <w:t xml:space="preserve">що </w:t>
      </w:r>
      <w:r>
        <w:rPr>
          <w:color w:val="231F20"/>
          <w:spacing w:val="-3"/>
        </w:rPr>
        <w:t xml:space="preserve">пов’язані </w:t>
      </w:r>
      <w:r>
        <w:rPr>
          <w:color w:val="231F20"/>
        </w:rPr>
        <w:t xml:space="preserve">з </w:t>
      </w:r>
      <w:r>
        <w:rPr>
          <w:color w:val="231F20"/>
          <w:spacing w:val="-3"/>
        </w:rPr>
        <w:t xml:space="preserve">виконанням функцій </w:t>
      </w:r>
      <w:r>
        <w:rPr>
          <w:color w:val="231F20"/>
        </w:rPr>
        <w:t xml:space="preserve">з </w:t>
      </w:r>
      <w:r>
        <w:rPr>
          <w:color w:val="231F20"/>
          <w:spacing w:val="-3"/>
        </w:rPr>
        <w:t xml:space="preserve">надання адміністративних </w:t>
      </w:r>
      <w:r>
        <w:rPr>
          <w:color w:val="231F20"/>
          <w:spacing w:val="-5"/>
        </w:rPr>
        <w:t xml:space="preserve">послуг, </w:t>
      </w:r>
      <w:r>
        <w:rPr>
          <w:color w:val="231F20"/>
          <w:spacing w:val="-3"/>
        </w:rPr>
        <w:t xml:space="preserve">управління </w:t>
      </w:r>
      <w:r>
        <w:rPr>
          <w:color w:val="231F20"/>
          <w:spacing w:val="-5"/>
        </w:rPr>
        <w:t xml:space="preserve">об’єктами </w:t>
      </w:r>
      <w:r>
        <w:rPr>
          <w:color w:val="231F20"/>
          <w:spacing w:val="-4"/>
        </w:rPr>
        <w:t xml:space="preserve">державної </w:t>
      </w:r>
      <w:r>
        <w:rPr>
          <w:color w:val="231F20"/>
          <w:spacing w:val="-3"/>
        </w:rPr>
        <w:t xml:space="preserve">власності </w:t>
      </w:r>
      <w:r>
        <w:rPr>
          <w:color w:val="231F20"/>
        </w:rPr>
        <w:t xml:space="preserve">або </w:t>
      </w:r>
      <w:r>
        <w:rPr>
          <w:color w:val="231F20"/>
          <w:spacing w:val="-3"/>
        </w:rPr>
        <w:t xml:space="preserve">здійснення державного </w:t>
      </w:r>
      <w:r>
        <w:rPr>
          <w:color w:val="231F20"/>
          <w:spacing w:val="-4"/>
        </w:rPr>
        <w:t>нагляду (контролю).</w:t>
      </w:r>
    </w:p>
    <w:p w14:paraId="1A3BB9DF" w14:textId="77777777" w:rsidR="00DE575E" w:rsidRDefault="002E7560">
      <w:pPr>
        <w:pStyle w:val="BodyText"/>
        <w:spacing w:before="4" w:line="252" w:lineRule="auto"/>
        <w:ind w:left="250" w:right="408" w:firstLine="283"/>
        <w:jc w:val="both"/>
      </w:pPr>
      <w:r>
        <w:rPr>
          <w:b/>
          <w:color w:val="231F20"/>
        </w:rPr>
        <w:t xml:space="preserve">Директорат стратегічного планування та європейської інте- грації </w:t>
      </w:r>
      <w:r>
        <w:rPr>
          <w:color w:val="231F20"/>
        </w:rPr>
        <w:t>–са</w:t>
      </w:r>
      <w:r>
        <w:rPr>
          <w:color w:val="231F20"/>
        </w:rPr>
        <w:t>мостійний структурний підрозділ міністерства, що може утворюватися для виконання завдань, пов’язаних зі стратегічним плануванням діяльності та плануванням бюджету міністерства, європейською інтеграцією, координацією виконання міністер- ством міжнародних зо</w:t>
      </w:r>
      <w:r>
        <w:rPr>
          <w:color w:val="231F20"/>
        </w:rPr>
        <w:t>бов’язань, а також координацією роботи із забезпечення формування державної політики у сферах компетен- ції міністерства.</w:t>
      </w:r>
    </w:p>
    <w:p w14:paraId="00564DA6" w14:textId="77777777" w:rsidR="00DE575E" w:rsidRDefault="002E7560">
      <w:pPr>
        <w:spacing w:before="4" w:line="252" w:lineRule="auto"/>
        <w:ind w:left="250" w:right="410" w:firstLine="283"/>
        <w:jc w:val="both"/>
        <w:rPr>
          <w:sz w:val="21"/>
        </w:rPr>
      </w:pPr>
      <w:r>
        <w:rPr>
          <w:b/>
          <w:color w:val="231F20"/>
          <w:sz w:val="21"/>
        </w:rPr>
        <w:t xml:space="preserve">Дискреційне повноваження </w:t>
      </w:r>
      <w:r>
        <w:rPr>
          <w:color w:val="231F20"/>
          <w:sz w:val="21"/>
        </w:rPr>
        <w:t>– обмежений правом розсуд, який надається   публічному   службовцю,   уповноваженому  ухвалювати</w:t>
      </w:r>
    </w:p>
    <w:p w14:paraId="09ED7E2C" w14:textId="77777777" w:rsidR="00DE575E" w:rsidRDefault="00DE575E">
      <w:pPr>
        <w:pStyle w:val="BodyText"/>
        <w:spacing w:before="5"/>
        <w:rPr>
          <w:sz w:val="12"/>
        </w:rPr>
      </w:pPr>
    </w:p>
    <w:p w14:paraId="770E1F8C" w14:textId="77777777" w:rsidR="00DE575E" w:rsidRDefault="002E7560">
      <w:pPr>
        <w:spacing w:before="92"/>
        <w:ind w:right="411"/>
        <w:jc w:val="right"/>
        <w:rPr>
          <w:rFonts w:ascii="Times New Roman"/>
          <w:sz w:val="20"/>
        </w:rPr>
      </w:pPr>
      <w:r>
        <w:rPr>
          <w:rFonts w:ascii="Times New Roman"/>
          <w:color w:val="231F20"/>
          <w:w w:val="90"/>
          <w:sz w:val="20"/>
        </w:rPr>
        <w:t>537</w:t>
      </w:r>
    </w:p>
    <w:p w14:paraId="73DD239A"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05ABAF47"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66FF2AA" w14:textId="242359D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2762C4" wp14:editId="297261EC">
                <wp:extent cx="4140200" cy="6350"/>
                <wp:effectExtent l="0" t="0" r="12700" b="6350"/>
                <wp:docPr id="8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90" name="Line 8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7073C0" id="Group_x0020_8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wSNFPfQIAAJQFAAAOAAAA&#10;AAAAAAAAAAAAACwCAABkcnMvZTJvRG9jLnhtbFBLAQItABQABgAIAAAAIQBMp7CQ2QAAAAMBAAAP&#10;AAAAAAAAAAAAAAAAANUEAABkcnMvZG93bnJldi54bWxQSwUGAAAAAAQABADzAAAA2wUAAAAA&#10;">
                <v:line id="Line_x0020_8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ISsIAAADbAAAADwAAAGRycy9kb3ducmV2LnhtbERP3WrCMBS+H+wdwhl4M2aqwnCdUYYg&#10;iBf+tD7AsTlry5KT2kRbfXpzIezy4/ufLXprxJVaXztWMBomIIgLp2suFRzz1ccUhA/IGo1jUnAj&#10;D4v568sMU+06PtA1C6WIIexTVFCF0KRS+qIii37oGuLI/brWYoiwLaVusYvh1shxknxKizXHhgob&#10;WlZU/GUXqyA/vwez321Ml+9OE3k6byf3y1apwVv/8w0iUB/+xU/3Wiv4iuv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pISsIAAADbAAAADwAAAAAAAAAAAAAA&#10;AAChAgAAZHJzL2Rvd25yZXYueG1sUEsFBgAAAAAEAAQA+QAAAJADAAAAAA==&#10;" strokecolor="#231f20" strokeweight=".5pt"/>
                <w10:anchorlock/>
              </v:group>
            </w:pict>
          </mc:Fallback>
        </mc:AlternateContent>
      </w:r>
    </w:p>
    <w:p w14:paraId="2FBD1C41" w14:textId="77777777" w:rsidR="00DE575E" w:rsidRDefault="00DE575E">
      <w:pPr>
        <w:pStyle w:val="BodyText"/>
        <w:spacing w:before="7"/>
        <w:rPr>
          <w:rFonts w:ascii="AdonisC"/>
          <w:i/>
          <w:sz w:val="11"/>
        </w:rPr>
      </w:pPr>
    </w:p>
    <w:p w14:paraId="04F1C1CF" w14:textId="77777777" w:rsidR="00DE575E" w:rsidRDefault="002E7560">
      <w:pPr>
        <w:pStyle w:val="BodyText"/>
        <w:spacing w:before="101" w:line="252" w:lineRule="auto"/>
        <w:ind w:left="533" w:right="128"/>
        <w:jc w:val="both"/>
      </w:pPr>
      <w:r>
        <w:rPr>
          <w:color w:val="231F20"/>
        </w:rPr>
        <w:t>політичні</w:t>
      </w:r>
      <w:r>
        <w:rPr>
          <w:color w:val="231F20"/>
          <w:spacing w:val="-10"/>
        </w:rPr>
        <w:t xml:space="preserve"> </w:t>
      </w:r>
      <w:r>
        <w:rPr>
          <w:color w:val="231F20"/>
        </w:rPr>
        <w:t>та/або</w:t>
      </w:r>
      <w:r>
        <w:rPr>
          <w:color w:val="231F20"/>
          <w:spacing w:val="-10"/>
        </w:rPr>
        <w:t xml:space="preserve"> </w:t>
      </w:r>
      <w:r>
        <w:rPr>
          <w:color w:val="231F20"/>
        </w:rPr>
        <w:t>управлінські</w:t>
      </w:r>
      <w:r>
        <w:rPr>
          <w:color w:val="231F20"/>
          <w:spacing w:val="-10"/>
        </w:rPr>
        <w:t xml:space="preserve"> </w:t>
      </w:r>
      <w:r>
        <w:rPr>
          <w:color w:val="231F20"/>
        </w:rPr>
        <w:t>рішення</w:t>
      </w:r>
      <w:r>
        <w:rPr>
          <w:color w:val="231F20"/>
          <w:spacing w:val="-10"/>
        </w:rPr>
        <w:t xml:space="preserve"> </w:t>
      </w:r>
      <w:r>
        <w:rPr>
          <w:color w:val="231F20"/>
        </w:rPr>
        <w:t>для</w:t>
      </w:r>
      <w:r>
        <w:rPr>
          <w:color w:val="231F20"/>
          <w:spacing w:val="-10"/>
        </w:rPr>
        <w:t xml:space="preserve"> </w:t>
      </w:r>
      <w:r>
        <w:rPr>
          <w:color w:val="231F20"/>
        </w:rPr>
        <w:t>оптимізації</w:t>
      </w:r>
      <w:r>
        <w:rPr>
          <w:color w:val="231F20"/>
          <w:spacing w:val="-10"/>
        </w:rPr>
        <w:t xml:space="preserve"> </w:t>
      </w:r>
      <w:r>
        <w:rPr>
          <w:color w:val="231F20"/>
        </w:rPr>
        <w:t>та</w:t>
      </w:r>
      <w:r>
        <w:rPr>
          <w:color w:val="231F20"/>
          <w:spacing w:val="-10"/>
        </w:rPr>
        <w:t xml:space="preserve"> </w:t>
      </w:r>
      <w:r>
        <w:rPr>
          <w:color w:val="231F20"/>
        </w:rPr>
        <w:t>індивідуа- лізації</w:t>
      </w:r>
      <w:r>
        <w:rPr>
          <w:color w:val="231F20"/>
          <w:spacing w:val="-6"/>
        </w:rPr>
        <w:t xml:space="preserve"> </w:t>
      </w:r>
      <w:r>
        <w:rPr>
          <w:color w:val="231F20"/>
        </w:rPr>
        <w:t>вирішення</w:t>
      </w:r>
      <w:r>
        <w:rPr>
          <w:color w:val="231F20"/>
          <w:spacing w:val="-6"/>
        </w:rPr>
        <w:t xml:space="preserve"> </w:t>
      </w:r>
      <w:r>
        <w:rPr>
          <w:color w:val="231F20"/>
        </w:rPr>
        <w:t>питань</w:t>
      </w:r>
      <w:r>
        <w:rPr>
          <w:color w:val="231F20"/>
          <w:spacing w:val="-6"/>
        </w:rPr>
        <w:t xml:space="preserve"> </w:t>
      </w:r>
      <w:r>
        <w:rPr>
          <w:color w:val="231F20"/>
        </w:rPr>
        <w:t>у</w:t>
      </w:r>
      <w:r>
        <w:rPr>
          <w:color w:val="231F20"/>
          <w:spacing w:val="-6"/>
        </w:rPr>
        <w:t xml:space="preserve"> </w:t>
      </w:r>
      <w:r>
        <w:rPr>
          <w:color w:val="231F20"/>
        </w:rPr>
        <w:t>межах</w:t>
      </w:r>
      <w:r>
        <w:rPr>
          <w:color w:val="231F20"/>
          <w:spacing w:val="-6"/>
        </w:rPr>
        <w:t xml:space="preserve"> </w:t>
      </w:r>
      <w:r>
        <w:rPr>
          <w:color w:val="231F20"/>
          <w:spacing w:val="-3"/>
        </w:rPr>
        <w:t>закону.</w:t>
      </w:r>
      <w:r>
        <w:rPr>
          <w:color w:val="231F20"/>
          <w:spacing w:val="-6"/>
        </w:rPr>
        <w:t xml:space="preserve"> </w:t>
      </w:r>
      <w:r>
        <w:rPr>
          <w:color w:val="231F20"/>
        </w:rPr>
        <w:t>Правомірними</w:t>
      </w:r>
      <w:r>
        <w:rPr>
          <w:color w:val="231F20"/>
          <w:spacing w:val="-6"/>
        </w:rPr>
        <w:t xml:space="preserve"> </w:t>
      </w:r>
      <w:r>
        <w:rPr>
          <w:color w:val="231F20"/>
        </w:rPr>
        <w:t>в</w:t>
      </w:r>
      <w:r>
        <w:rPr>
          <w:color w:val="231F20"/>
          <w:spacing w:val="-5"/>
        </w:rPr>
        <w:t xml:space="preserve"> </w:t>
      </w:r>
      <w:r>
        <w:rPr>
          <w:color w:val="231F20"/>
        </w:rPr>
        <w:t xml:space="preserve">реалізації дискреційних повноважень можна вважати лише ті дії, виконання яких супроводжувалось дотриманням спеціальних </w:t>
      </w:r>
      <w:r>
        <w:rPr>
          <w:color w:val="231F20"/>
          <w:spacing w:val="-3"/>
        </w:rPr>
        <w:t xml:space="preserve">вимог, </w:t>
      </w:r>
      <w:r>
        <w:rPr>
          <w:color w:val="231F20"/>
        </w:rPr>
        <w:t>визначе- них</w:t>
      </w:r>
      <w:r>
        <w:rPr>
          <w:color w:val="231F20"/>
          <w:spacing w:val="-1"/>
        </w:rPr>
        <w:t xml:space="preserve"> </w:t>
      </w:r>
      <w:r>
        <w:rPr>
          <w:color w:val="231F20"/>
        </w:rPr>
        <w:t>законом.</w:t>
      </w:r>
    </w:p>
    <w:p w14:paraId="49A4CDA8" w14:textId="77777777" w:rsidR="00DE575E" w:rsidRDefault="002E7560">
      <w:pPr>
        <w:pStyle w:val="BodyText"/>
        <w:spacing w:before="2" w:line="252" w:lineRule="auto"/>
        <w:ind w:left="533" w:right="126" w:firstLine="283"/>
        <w:jc w:val="both"/>
      </w:pPr>
      <w:r>
        <w:rPr>
          <w:b/>
          <w:color w:val="231F20"/>
        </w:rPr>
        <w:t xml:space="preserve">Дисциплінарний проступок </w:t>
      </w:r>
      <w:r>
        <w:rPr>
          <w:i/>
          <w:color w:val="231F20"/>
        </w:rPr>
        <w:t xml:space="preserve">– </w:t>
      </w:r>
      <w:r>
        <w:rPr>
          <w:color w:val="231F20"/>
        </w:rPr>
        <w:t>протиправна винна дія або безді- яльність чи ухвалення рішення, що полягає у невиконанні або неналежному виконанні державним службовцем своїх посадових обов’язків та інших вимог, установлених законом та іншими норма- тивно-правовими актами, за яке до нього</w:t>
      </w:r>
      <w:r>
        <w:rPr>
          <w:color w:val="231F20"/>
        </w:rPr>
        <w:t xml:space="preserve"> може бути застосоване дисциплінарне стягнення.</w:t>
      </w:r>
    </w:p>
    <w:p w14:paraId="52728D5B" w14:textId="77777777" w:rsidR="00DE575E" w:rsidRDefault="002E7560">
      <w:pPr>
        <w:pStyle w:val="BodyText"/>
        <w:spacing w:before="3" w:line="252" w:lineRule="auto"/>
        <w:ind w:left="533" w:right="126" w:firstLine="283"/>
        <w:jc w:val="both"/>
      </w:pPr>
      <w:r>
        <w:rPr>
          <w:b/>
          <w:color w:val="231F20"/>
        </w:rPr>
        <w:t xml:space="preserve">Додатковий захист </w:t>
      </w:r>
      <w:r>
        <w:rPr>
          <w:color w:val="231F20"/>
        </w:rPr>
        <w:t xml:space="preserve">– форма  </w:t>
      </w:r>
      <w:r>
        <w:rPr>
          <w:color w:val="231F20"/>
          <w:spacing w:val="-3"/>
        </w:rPr>
        <w:t xml:space="preserve">захисту,  </w:t>
      </w:r>
      <w:r>
        <w:rPr>
          <w:color w:val="231F20"/>
        </w:rPr>
        <w:t xml:space="preserve">що  надається  в  </w:t>
      </w:r>
      <w:r>
        <w:rPr>
          <w:color w:val="231F20"/>
          <w:spacing w:val="-3"/>
        </w:rPr>
        <w:t xml:space="preserve">Україні </w:t>
      </w:r>
      <w:r>
        <w:rPr>
          <w:color w:val="231F20"/>
        </w:rPr>
        <w:t xml:space="preserve">на індивідуальній основі іноземцям та особам без  громадянства, які прибули до </w:t>
      </w:r>
      <w:r>
        <w:rPr>
          <w:color w:val="231F20"/>
          <w:spacing w:val="-3"/>
        </w:rPr>
        <w:t xml:space="preserve">України </w:t>
      </w:r>
      <w:r>
        <w:rPr>
          <w:color w:val="231F20"/>
        </w:rPr>
        <w:t xml:space="preserve">або перебувають в </w:t>
      </w:r>
      <w:r>
        <w:rPr>
          <w:color w:val="231F20"/>
          <w:spacing w:val="-3"/>
        </w:rPr>
        <w:t xml:space="preserve">Україні </w:t>
      </w:r>
      <w:r>
        <w:rPr>
          <w:color w:val="231F20"/>
        </w:rPr>
        <w:t>і не можуть або не бажають повер</w:t>
      </w:r>
      <w:r>
        <w:rPr>
          <w:color w:val="231F20"/>
        </w:rPr>
        <w:t>нутися до країни громадянської належності чи країни попереднього постійного проживання через обставини, які загрожують їх життю, безпеці чи</w:t>
      </w:r>
      <w:r>
        <w:rPr>
          <w:color w:val="231F20"/>
          <w:spacing w:val="-5"/>
        </w:rPr>
        <w:t xml:space="preserve"> </w:t>
      </w:r>
      <w:r>
        <w:rPr>
          <w:color w:val="231F20"/>
        </w:rPr>
        <w:t>свободі.</w:t>
      </w:r>
    </w:p>
    <w:p w14:paraId="0FA5C868" w14:textId="77777777" w:rsidR="00DE575E" w:rsidRDefault="002E7560">
      <w:pPr>
        <w:pStyle w:val="BodyText"/>
        <w:spacing w:before="3" w:line="252" w:lineRule="auto"/>
        <w:ind w:left="533" w:right="127" w:firstLine="283"/>
        <w:jc w:val="both"/>
      </w:pPr>
      <w:r>
        <w:rPr>
          <w:b/>
          <w:color w:val="231F20"/>
        </w:rPr>
        <w:t xml:space="preserve">Дозвільні процедури </w:t>
      </w:r>
      <w:r>
        <w:rPr>
          <w:color w:val="231F20"/>
        </w:rPr>
        <w:t xml:space="preserve">– установлений чинним законодавством порядок діяльності </w:t>
      </w:r>
      <w:r>
        <w:rPr>
          <w:color w:val="231F20"/>
          <w:spacing w:val="-3"/>
        </w:rPr>
        <w:t xml:space="preserve">суб’єктів </w:t>
      </w:r>
      <w:r>
        <w:rPr>
          <w:color w:val="231F20"/>
        </w:rPr>
        <w:t>публічного адміністру</w:t>
      </w:r>
      <w:r>
        <w:rPr>
          <w:color w:val="231F20"/>
        </w:rPr>
        <w:t>вання, за резуль- татами</w:t>
      </w:r>
      <w:r>
        <w:rPr>
          <w:color w:val="231F20"/>
          <w:spacing w:val="-8"/>
        </w:rPr>
        <w:t xml:space="preserve"> </w:t>
      </w:r>
      <w:r>
        <w:rPr>
          <w:color w:val="231F20"/>
        </w:rPr>
        <w:t>якої</w:t>
      </w:r>
      <w:r>
        <w:rPr>
          <w:color w:val="231F20"/>
          <w:spacing w:val="-8"/>
        </w:rPr>
        <w:t xml:space="preserve"> </w:t>
      </w:r>
      <w:r>
        <w:rPr>
          <w:color w:val="231F20"/>
        </w:rPr>
        <w:t>надаються</w:t>
      </w:r>
      <w:r>
        <w:rPr>
          <w:color w:val="231F20"/>
          <w:spacing w:val="-8"/>
        </w:rPr>
        <w:t xml:space="preserve"> </w:t>
      </w:r>
      <w:r>
        <w:rPr>
          <w:color w:val="231F20"/>
        </w:rPr>
        <w:t>дозволи</w:t>
      </w:r>
      <w:r>
        <w:rPr>
          <w:color w:val="231F20"/>
          <w:spacing w:val="-8"/>
        </w:rPr>
        <w:t xml:space="preserve"> </w:t>
      </w:r>
      <w:r>
        <w:rPr>
          <w:color w:val="231F20"/>
        </w:rPr>
        <w:t>на</w:t>
      </w:r>
      <w:r>
        <w:rPr>
          <w:color w:val="231F20"/>
          <w:spacing w:val="-8"/>
        </w:rPr>
        <w:t xml:space="preserve"> </w:t>
      </w:r>
      <w:r>
        <w:rPr>
          <w:color w:val="231F20"/>
        </w:rPr>
        <w:t>провадження</w:t>
      </w:r>
      <w:r>
        <w:rPr>
          <w:color w:val="231F20"/>
          <w:spacing w:val="-8"/>
        </w:rPr>
        <w:t xml:space="preserve"> </w:t>
      </w:r>
      <w:r>
        <w:rPr>
          <w:color w:val="231F20"/>
        </w:rPr>
        <w:t>певних</w:t>
      </w:r>
      <w:r>
        <w:rPr>
          <w:color w:val="231F20"/>
          <w:spacing w:val="-8"/>
        </w:rPr>
        <w:t xml:space="preserve"> </w:t>
      </w:r>
      <w:r>
        <w:rPr>
          <w:color w:val="231F20"/>
        </w:rPr>
        <w:t>видів</w:t>
      </w:r>
      <w:r>
        <w:rPr>
          <w:color w:val="231F20"/>
          <w:spacing w:val="-8"/>
        </w:rPr>
        <w:t xml:space="preserve"> </w:t>
      </w:r>
      <w:r>
        <w:rPr>
          <w:color w:val="231F20"/>
        </w:rPr>
        <w:t>діяль- ності та здійснення юридично значущих</w:t>
      </w:r>
      <w:r>
        <w:rPr>
          <w:color w:val="231F20"/>
          <w:spacing w:val="-6"/>
        </w:rPr>
        <w:t xml:space="preserve"> </w:t>
      </w:r>
      <w:r>
        <w:rPr>
          <w:color w:val="231F20"/>
        </w:rPr>
        <w:t>дій.</w:t>
      </w:r>
    </w:p>
    <w:p w14:paraId="66060A48" w14:textId="77777777" w:rsidR="00DE575E" w:rsidRDefault="002E7560">
      <w:pPr>
        <w:pStyle w:val="BodyText"/>
        <w:spacing w:before="2" w:line="252" w:lineRule="auto"/>
        <w:ind w:left="533" w:right="126" w:firstLine="283"/>
        <w:jc w:val="both"/>
      </w:pPr>
      <w:r>
        <w:rPr>
          <w:b/>
          <w:color w:val="231F20"/>
        </w:rPr>
        <w:t xml:space="preserve">Е-демократія </w:t>
      </w:r>
      <w:r>
        <w:rPr>
          <w:color w:val="231F20"/>
        </w:rPr>
        <w:t>– форма суспільних відносин, за якої громадяни та організації залучаються до державотворення та державного управ- ління, а також до місцевого самоврядування через застосування інформаційно-комунікаційних технологій.</w:t>
      </w:r>
    </w:p>
    <w:p w14:paraId="10C55775" w14:textId="77777777" w:rsidR="00DE575E" w:rsidRDefault="002E7560">
      <w:pPr>
        <w:pStyle w:val="BodyText"/>
        <w:spacing w:before="2" w:line="252" w:lineRule="auto"/>
        <w:ind w:left="533" w:right="128" w:firstLine="283"/>
        <w:jc w:val="both"/>
      </w:pPr>
      <w:r>
        <w:rPr>
          <w:b/>
          <w:color w:val="231F20"/>
        </w:rPr>
        <w:t>Е-держава</w:t>
      </w:r>
      <w:r>
        <w:rPr>
          <w:b/>
          <w:color w:val="231F20"/>
          <w:spacing w:val="-11"/>
        </w:rPr>
        <w:t xml:space="preserve"> </w:t>
      </w:r>
      <w:r>
        <w:rPr>
          <w:color w:val="231F20"/>
        </w:rPr>
        <w:t>–</w:t>
      </w:r>
      <w:r>
        <w:rPr>
          <w:color w:val="231F20"/>
          <w:spacing w:val="-10"/>
        </w:rPr>
        <w:t xml:space="preserve"> </w:t>
      </w:r>
      <w:r>
        <w:rPr>
          <w:color w:val="231F20"/>
        </w:rPr>
        <w:t>новий</w:t>
      </w:r>
      <w:r>
        <w:rPr>
          <w:color w:val="231F20"/>
          <w:spacing w:val="-10"/>
        </w:rPr>
        <w:t xml:space="preserve"> </w:t>
      </w:r>
      <w:r>
        <w:rPr>
          <w:color w:val="231F20"/>
        </w:rPr>
        <w:t>тип</w:t>
      </w:r>
      <w:r>
        <w:rPr>
          <w:color w:val="231F20"/>
          <w:spacing w:val="-10"/>
        </w:rPr>
        <w:t xml:space="preserve"> </w:t>
      </w:r>
      <w:r>
        <w:rPr>
          <w:color w:val="231F20"/>
        </w:rPr>
        <w:t>держави,</w:t>
      </w:r>
      <w:r>
        <w:rPr>
          <w:color w:val="231F20"/>
          <w:spacing w:val="-10"/>
        </w:rPr>
        <w:t xml:space="preserve"> </w:t>
      </w:r>
      <w:r>
        <w:rPr>
          <w:color w:val="231F20"/>
        </w:rPr>
        <w:t>засновани</w:t>
      </w:r>
      <w:r>
        <w:rPr>
          <w:color w:val="231F20"/>
        </w:rPr>
        <w:t>й</w:t>
      </w:r>
      <w:r>
        <w:rPr>
          <w:color w:val="231F20"/>
          <w:spacing w:val="-10"/>
        </w:rPr>
        <w:t xml:space="preserve"> </w:t>
      </w:r>
      <w:r>
        <w:rPr>
          <w:color w:val="231F20"/>
        </w:rPr>
        <w:t>на</w:t>
      </w:r>
      <w:r>
        <w:rPr>
          <w:color w:val="231F20"/>
          <w:spacing w:val="-10"/>
        </w:rPr>
        <w:t xml:space="preserve"> </w:t>
      </w:r>
      <w:r>
        <w:rPr>
          <w:color w:val="231F20"/>
        </w:rPr>
        <w:t>технології</w:t>
      </w:r>
      <w:r>
        <w:rPr>
          <w:color w:val="231F20"/>
          <w:spacing w:val="-11"/>
        </w:rPr>
        <w:t xml:space="preserve"> </w:t>
      </w:r>
      <w:r>
        <w:rPr>
          <w:color w:val="231F20"/>
        </w:rPr>
        <w:t>інфор- маційно-комунікаційних систем (е-парламент, е-уряд та</w:t>
      </w:r>
      <w:r>
        <w:rPr>
          <w:color w:val="231F20"/>
          <w:spacing w:val="-8"/>
        </w:rPr>
        <w:t xml:space="preserve"> </w:t>
      </w:r>
      <w:r>
        <w:rPr>
          <w:color w:val="231F20"/>
          <w:spacing w:val="-3"/>
        </w:rPr>
        <w:t>е-суд).</w:t>
      </w:r>
    </w:p>
    <w:p w14:paraId="7DB8DB2C" w14:textId="77777777" w:rsidR="00DE575E" w:rsidRDefault="002E7560">
      <w:pPr>
        <w:pStyle w:val="BodyText"/>
        <w:spacing w:before="1" w:line="252" w:lineRule="auto"/>
        <w:ind w:left="533" w:right="127" w:firstLine="283"/>
        <w:jc w:val="both"/>
      </w:pPr>
      <w:r>
        <w:rPr>
          <w:b/>
          <w:color w:val="231F20"/>
        </w:rPr>
        <w:t>Е-здоров’я</w:t>
      </w:r>
      <w:r>
        <w:rPr>
          <w:b/>
          <w:color w:val="231F20"/>
          <w:spacing w:val="-8"/>
        </w:rPr>
        <w:t xml:space="preserve"> </w:t>
      </w:r>
      <w:r>
        <w:rPr>
          <w:color w:val="231F20"/>
        </w:rPr>
        <w:t>–</w:t>
      </w:r>
      <w:r>
        <w:rPr>
          <w:color w:val="231F20"/>
          <w:spacing w:val="-7"/>
        </w:rPr>
        <w:t xml:space="preserve"> </w:t>
      </w:r>
      <w:r>
        <w:rPr>
          <w:color w:val="231F20"/>
        </w:rPr>
        <w:t>система</w:t>
      </w:r>
      <w:r>
        <w:rPr>
          <w:color w:val="231F20"/>
          <w:spacing w:val="-7"/>
        </w:rPr>
        <w:t xml:space="preserve"> </w:t>
      </w:r>
      <w:r>
        <w:rPr>
          <w:color w:val="231F20"/>
        </w:rPr>
        <w:t>управління</w:t>
      </w:r>
      <w:r>
        <w:rPr>
          <w:color w:val="231F20"/>
          <w:spacing w:val="-7"/>
        </w:rPr>
        <w:t xml:space="preserve"> </w:t>
      </w:r>
      <w:r>
        <w:rPr>
          <w:color w:val="231F20"/>
        </w:rPr>
        <w:t>медициною</w:t>
      </w:r>
      <w:r>
        <w:rPr>
          <w:color w:val="231F20"/>
          <w:spacing w:val="-7"/>
        </w:rPr>
        <w:t xml:space="preserve"> </w:t>
      </w:r>
      <w:r>
        <w:rPr>
          <w:color w:val="231F20"/>
        </w:rPr>
        <w:t>на</w:t>
      </w:r>
      <w:r>
        <w:rPr>
          <w:color w:val="231F20"/>
          <w:spacing w:val="-7"/>
        </w:rPr>
        <w:t xml:space="preserve"> </w:t>
      </w:r>
      <w:r>
        <w:rPr>
          <w:color w:val="231F20"/>
          <w:spacing w:val="-3"/>
        </w:rPr>
        <w:t>будь-яких</w:t>
      </w:r>
      <w:r>
        <w:rPr>
          <w:color w:val="231F20"/>
          <w:spacing w:val="-7"/>
        </w:rPr>
        <w:t xml:space="preserve"> </w:t>
      </w:r>
      <w:r>
        <w:rPr>
          <w:color w:val="231F20"/>
        </w:rPr>
        <w:t>рівнях (державному</w:t>
      </w:r>
      <w:r>
        <w:rPr>
          <w:color w:val="231F20"/>
          <w:spacing w:val="-11"/>
        </w:rPr>
        <w:t xml:space="preserve"> </w:t>
      </w:r>
      <w:r>
        <w:rPr>
          <w:color w:val="231F20"/>
        </w:rPr>
        <w:t>чи</w:t>
      </w:r>
      <w:r>
        <w:rPr>
          <w:color w:val="231F20"/>
          <w:spacing w:val="-11"/>
        </w:rPr>
        <w:t xml:space="preserve"> </w:t>
      </w:r>
      <w:r>
        <w:rPr>
          <w:color w:val="231F20"/>
        </w:rPr>
        <w:t>регіональному),</w:t>
      </w:r>
      <w:r>
        <w:rPr>
          <w:color w:val="231F20"/>
          <w:spacing w:val="-11"/>
        </w:rPr>
        <w:t xml:space="preserve"> </w:t>
      </w:r>
      <w:r>
        <w:rPr>
          <w:color w:val="231F20"/>
        </w:rPr>
        <w:t>ланках</w:t>
      </w:r>
      <w:r>
        <w:rPr>
          <w:color w:val="231F20"/>
          <w:spacing w:val="-11"/>
        </w:rPr>
        <w:t xml:space="preserve"> </w:t>
      </w:r>
      <w:r>
        <w:rPr>
          <w:color w:val="231F20"/>
        </w:rPr>
        <w:t>(первинна,</w:t>
      </w:r>
      <w:r>
        <w:rPr>
          <w:color w:val="231F20"/>
          <w:spacing w:val="-11"/>
        </w:rPr>
        <w:t xml:space="preserve"> </w:t>
      </w:r>
      <w:r>
        <w:rPr>
          <w:color w:val="231F20"/>
        </w:rPr>
        <w:t>вторинна</w:t>
      </w:r>
      <w:r>
        <w:rPr>
          <w:color w:val="231F20"/>
          <w:spacing w:val="-11"/>
        </w:rPr>
        <w:t xml:space="preserve"> </w:t>
      </w:r>
      <w:r>
        <w:rPr>
          <w:color w:val="231F20"/>
        </w:rPr>
        <w:t>тощо), яка   ґрунтується   на    інформаційно-комун</w:t>
      </w:r>
      <w:r>
        <w:rPr>
          <w:color w:val="231F20"/>
        </w:rPr>
        <w:t>ікаційних    технологіях і за допомогою якої забезпечується створення, збереження, обмін інформацією в електронній формі для реалізації всього комплексу надання медичної допомоги</w:t>
      </w:r>
      <w:r>
        <w:rPr>
          <w:color w:val="231F20"/>
          <w:spacing w:val="-2"/>
        </w:rPr>
        <w:t xml:space="preserve"> </w:t>
      </w:r>
      <w:r>
        <w:rPr>
          <w:color w:val="231F20"/>
        </w:rPr>
        <w:t>населенню.</w:t>
      </w:r>
    </w:p>
    <w:p w14:paraId="37BD259D" w14:textId="77777777" w:rsidR="00DE575E" w:rsidRDefault="002E7560">
      <w:pPr>
        <w:pStyle w:val="BodyText"/>
        <w:spacing w:before="3" w:line="252" w:lineRule="auto"/>
        <w:ind w:left="533" w:right="127" w:firstLine="283"/>
        <w:jc w:val="both"/>
      </w:pPr>
      <w:r>
        <w:rPr>
          <w:b/>
          <w:color w:val="231F20"/>
        </w:rPr>
        <w:t xml:space="preserve">Е-комерція </w:t>
      </w:r>
      <w:r>
        <w:rPr>
          <w:color w:val="231F20"/>
        </w:rPr>
        <w:t xml:space="preserve">– відносини, спрямовані на отримання </w:t>
      </w:r>
      <w:r>
        <w:rPr>
          <w:color w:val="231F20"/>
          <w:spacing w:val="-3"/>
        </w:rPr>
        <w:t xml:space="preserve">прибутку, </w:t>
      </w:r>
      <w:r>
        <w:rPr>
          <w:color w:val="231F20"/>
        </w:rPr>
        <w:t>що виник</w:t>
      </w:r>
      <w:r>
        <w:rPr>
          <w:color w:val="231F20"/>
        </w:rPr>
        <w:t>ають під час учинення правочинів щодо набуття, зміни або припинення цивільних прав  та  обов’язків,  здійснені  дистанційно з використанням інформаційно-телекомунікаційних систем, унаслі- док чого в учасників таких відносин виникають права та обов’язки май</w:t>
      </w:r>
      <w:r>
        <w:rPr>
          <w:color w:val="231F20"/>
        </w:rPr>
        <w:t xml:space="preserve">нового </w:t>
      </w:r>
      <w:r>
        <w:rPr>
          <w:color w:val="231F20"/>
          <w:spacing w:val="-3"/>
        </w:rPr>
        <w:t>характеру.</w:t>
      </w:r>
    </w:p>
    <w:p w14:paraId="6E58D0F9" w14:textId="77777777" w:rsidR="00DE575E" w:rsidRDefault="00DE575E">
      <w:pPr>
        <w:pStyle w:val="BodyText"/>
        <w:spacing w:before="7"/>
        <w:rPr>
          <w:sz w:val="12"/>
        </w:rPr>
      </w:pPr>
    </w:p>
    <w:p w14:paraId="6055D199" w14:textId="77777777" w:rsidR="00DE575E" w:rsidRDefault="002E7560">
      <w:pPr>
        <w:spacing w:before="92"/>
        <w:ind w:left="533"/>
        <w:rPr>
          <w:rFonts w:ascii="Times New Roman"/>
          <w:sz w:val="20"/>
        </w:rPr>
      </w:pPr>
      <w:r>
        <w:rPr>
          <w:rFonts w:ascii="Times New Roman"/>
          <w:color w:val="231F20"/>
          <w:sz w:val="20"/>
        </w:rPr>
        <w:t>538</w:t>
      </w:r>
    </w:p>
    <w:p w14:paraId="5756BF36" w14:textId="77777777" w:rsidR="00DE575E" w:rsidRDefault="00DE575E">
      <w:pPr>
        <w:rPr>
          <w:rFonts w:ascii="Times New Roman"/>
          <w:sz w:val="20"/>
        </w:rPr>
        <w:sectPr w:rsidR="00DE575E">
          <w:pgSz w:w="8510" w:h="12760"/>
          <w:pgMar w:top="660" w:right="720" w:bottom="280" w:left="600" w:header="720" w:footer="720" w:gutter="0"/>
          <w:cols w:space="720"/>
        </w:sectPr>
      </w:pPr>
    </w:p>
    <w:p w14:paraId="35F25249"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2C4B81ED" w14:textId="4F2A99A2"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7D233CF" wp14:editId="5AAD8DED">
                <wp:extent cx="4140200" cy="6350"/>
                <wp:effectExtent l="0" t="0" r="12700" b="6350"/>
                <wp:docPr id="8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8" name="Line 8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6FE99" id="Group_x0020_8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WQvTq34CAACUBQAADgAA&#10;AAAAAAAAAAAAAAAsAgAAZHJzL2Uyb0RvYy54bWxQSwECLQAUAAYACAAAACEATKewkNkAAAADAQAA&#10;DwAAAAAAAAAAAAAAAADWBAAAZHJzL2Rvd25yZXYueG1sUEsFBgAAAAAEAAQA8wAAANwFAAAAAA==&#10;">
                <v:line id="Line_x0020_8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XSkcMAAADbAAAADwAAAGRycy9kb3ducmV2LnhtbERP3WrCMBS+H/gO4Qi7GTPdCkM6YxFh&#10;IF7UzfoAx+asLUtO2iba6tMvF4Ndfnz/q3yyRlxp8K1jBS+LBARx5XTLtYJT+fG8BOEDskbjmBTc&#10;yEO+nj2sMNNu5C+6HkMtYgj7DBU0IXSZlL5qyKJfuI44ct9usBgiHGqpBxxjuDXyNUnepMWWY0OD&#10;HW0bqn6OF6ug7J+C+TzszVgezqk890V6vxRKPc6nzTuIQFP4F/+5d1rBMo6NX+IPk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V0pHDAAAA2wAAAA8AAAAAAAAAAAAA&#10;AAAAoQIAAGRycy9kb3ducmV2LnhtbFBLBQYAAAAABAAEAPkAAACRAwAAAAA=&#10;" strokecolor="#231f20" strokeweight=".5pt"/>
                <w10:anchorlock/>
              </v:group>
            </w:pict>
          </mc:Fallback>
        </mc:AlternateContent>
      </w:r>
    </w:p>
    <w:p w14:paraId="67C43EE8" w14:textId="77777777" w:rsidR="00DE575E" w:rsidRDefault="00DE575E">
      <w:pPr>
        <w:pStyle w:val="BodyText"/>
        <w:spacing w:before="7"/>
        <w:rPr>
          <w:rFonts w:ascii="AdonisC"/>
          <w:i/>
          <w:sz w:val="19"/>
        </w:rPr>
      </w:pPr>
    </w:p>
    <w:p w14:paraId="6EAE3401" w14:textId="77777777" w:rsidR="00DE575E" w:rsidRDefault="002E7560">
      <w:pPr>
        <w:pStyle w:val="BodyText"/>
        <w:spacing w:before="1" w:line="252" w:lineRule="auto"/>
        <w:ind w:left="250" w:right="411" w:firstLine="283"/>
        <w:jc w:val="both"/>
      </w:pPr>
      <w:r>
        <w:rPr>
          <w:b/>
          <w:color w:val="231F20"/>
        </w:rPr>
        <w:t xml:space="preserve">Е-культура </w:t>
      </w:r>
      <w:r>
        <w:rPr>
          <w:color w:val="231F20"/>
        </w:rPr>
        <w:t>– форма культури, яка передбачає стимулювання та мотивування поширення здобутків у сфері культури за допомогою інформаційно-комунікаційних технологій.</w:t>
      </w:r>
    </w:p>
    <w:p w14:paraId="2C0DEF85" w14:textId="77777777" w:rsidR="00DE575E" w:rsidRDefault="002E7560">
      <w:pPr>
        <w:pStyle w:val="BodyText"/>
        <w:spacing w:before="1" w:line="252" w:lineRule="auto"/>
        <w:ind w:left="250" w:right="411" w:firstLine="283"/>
        <w:jc w:val="both"/>
      </w:pPr>
      <w:r>
        <w:rPr>
          <w:b/>
          <w:color w:val="231F20"/>
        </w:rPr>
        <w:t xml:space="preserve">Е-медицина </w:t>
      </w:r>
      <w:r>
        <w:rPr>
          <w:color w:val="231F20"/>
        </w:rPr>
        <w:t>– діяльність з використанням електронних інфор- маційних ресурсів у сфері охорони здоров’я та забезпечення опера- тивного доступу медичних працівників та пацієнтів до них.</w:t>
      </w:r>
    </w:p>
    <w:p w14:paraId="2DAA7D30" w14:textId="77777777" w:rsidR="00DE575E" w:rsidRDefault="002E7560">
      <w:pPr>
        <w:pStyle w:val="BodyText"/>
        <w:spacing w:before="2" w:line="252" w:lineRule="auto"/>
        <w:ind w:left="250" w:right="411" w:firstLine="283"/>
        <w:jc w:val="both"/>
      </w:pPr>
      <w:r>
        <w:rPr>
          <w:b/>
          <w:color w:val="231F20"/>
        </w:rPr>
        <w:t xml:space="preserve">Е-освіта </w:t>
      </w:r>
      <w:r>
        <w:rPr>
          <w:color w:val="231F20"/>
        </w:rPr>
        <w:t>– форма отримання освіти, що здобувається з викорис- танням виключно інформ</w:t>
      </w:r>
      <w:r>
        <w:rPr>
          <w:color w:val="231F20"/>
        </w:rPr>
        <w:t>аційно-комунікаційних технологій.</w:t>
      </w:r>
      <w:r>
        <w:rPr>
          <w:color w:val="231F20"/>
          <w:spacing w:val="-33"/>
        </w:rPr>
        <w:t xml:space="preserve"> </w:t>
      </w:r>
      <w:r>
        <w:rPr>
          <w:color w:val="231F20"/>
        </w:rPr>
        <w:t>Одним зі складників е-освіти є дистанційне</w:t>
      </w:r>
      <w:r>
        <w:rPr>
          <w:color w:val="231F20"/>
          <w:spacing w:val="-6"/>
        </w:rPr>
        <w:t xml:space="preserve"> </w:t>
      </w:r>
      <w:r>
        <w:rPr>
          <w:color w:val="231F20"/>
        </w:rPr>
        <w:t>навчання.</w:t>
      </w:r>
    </w:p>
    <w:p w14:paraId="009152F0" w14:textId="77777777" w:rsidR="00DE575E" w:rsidRDefault="002E7560">
      <w:pPr>
        <w:pStyle w:val="BodyText"/>
        <w:spacing w:before="1" w:line="252" w:lineRule="auto"/>
        <w:ind w:left="250" w:right="410" w:firstLine="283"/>
        <w:jc w:val="both"/>
      </w:pPr>
      <w:r>
        <w:rPr>
          <w:b/>
          <w:color w:val="231F20"/>
          <w:spacing w:val="-5"/>
        </w:rPr>
        <w:t>Е-парламент</w:t>
      </w:r>
      <w:r>
        <w:rPr>
          <w:b/>
          <w:color w:val="231F20"/>
          <w:spacing w:val="-21"/>
        </w:rPr>
        <w:t xml:space="preserve"> </w:t>
      </w:r>
      <w:r>
        <w:rPr>
          <w:color w:val="231F20"/>
        </w:rPr>
        <w:t>–</w:t>
      </w:r>
      <w:r>
        <w:rPr>
          <w:color w:val="231F20"/>
          <w:spacing w:val="-20"/>
        </w:rPr>
        <w:t xml:space="preserve"> </w:t>
      </w:r>
      <w:r>
        <w:rPr>
          <w:color w:val="231F20"/>
          <w:spacing w:val="-4"/>
        </w:rPr>
        <w:t>форма</w:t>
      </w:r>
      <w:r>
        <w:rPr>
          <w:color w:val="231F20"/>
          <w:spacing w:val="-20"/>
        </w:rPr>
        <w:t xml:space="preserve"> </w:t>
      </w:r>
      <w:r>
        <w:rPr>
          <w:color w:val="231F20"/>
          <w:spacing w:val="-5"/>
        </w:rPr>
        <w:t>участі</w:t>
      </w:r>
      <w:r>
        <w:rPr>
          <w:color w:val="231F20"/>
          <w:spacing w:val="-20"/>
        </w:rPr>
        <w:t xml:space="preserve"> </w:t>
      </w:r>
      <w:r>
        <w:rPr>
          <w:color w:val="231F20"/>
          <w:spacing w:val="-5"/>
        </w:rPr>
        <w:t>громадян</w:t>
      </w:r>
      <w:r>
        <w:rPr>
          <w:color w:val="231F20"/>
          <w:spacing w:val="-20"/>
        </w:rPr>
        <w:t xml:space="preserve"> </w:t>
      </w:r>
      <w:r>
        <w:rPr>
          <w:color w:val="231F20"/>
          <w:spacing w:val="-3"/>
        </w:rPr>
        <w:t>та</w:t>
      </w:r>
      <w:r>
        <w:rPr>
          <w:color w:val="231F20"/>
          <w:spacing w:val="-20"/>
        </w:rPr>
        <w:t xml:space="preserve"> </w:t>
      </w:r>
      <w:r>
        <w:rPr>
          <w:color w:val="231F20"/>
          <w:spacing w:val="-4"/>
        </w:rPr>
        <w:t>інститутів</w:t>
      </w:r>
      <w:r>
        <w:rPr>
          <w:color w:val="231F20"/>
          <w:spacing w:val="-20"/>
        </w:rPr>
        <w:t xml:space="preserve"> </w:t>
      </w:r>
      <w:r>
        <w:rPr>
          <w:color w:val="231F20"/>
          <w:spacing w:val="-5"/>
        </w:rPr>
        <w:t xml:space="preserve">громадянського суспільства </w:t>
      </w:r>
      <w:r>
        <w:rPr>
          <w:color w:val="231F20"/>
        </w:rPr>
        <w:t xml:space="preserve">в </w:t>
      </w:r>
      <w:r>
        <w:rPr>
          <w:color w:val="231F20"/>
          <w:spacing w:val="-5"/>
        </w:rPr>
        <w:t xml:space="preserve">законотворчих процесах, </w:t>
      </w:r>
      <w:r>
        <w:rPr>
          <w:color w:val="231F20"/>
        </w:rPr>
        <w:t xml:space="preserve">а </w:t>
      </w:r>
      <w:r>
        <w:rPr>
          <w:color w:val="231F20"/>
          <w:spacing w:val="-5"/>
        </w:rPr>
        <w:t xml:space="preserve">також </w:t>
      </w:r>
      <w:r>
        <w:rPr>
          <w:color w:val="231F20"/>
        </w:rPr>
        <w:t xml:space="preserve">в </w:t>
      </w:r>
      <w:r>
        <w:rPr>
          <w:color w:val="231F20"/>
          <w:spacing w:val="-5"/>
        </w:rPr>
        <w:t xml:space="preserve">організації діяльності </w:t>
      </w:r>
      <w:r>
        <w:rPr>
          <w:color w:val="231F20"/>
          <w:spacing w:val="-3"/>
        </w:rPr>
        <w:t xml:space="preserve">та </w:t>
      </w:r>
      <w:r>
        <w:rPr>
          <w:color w:val="231F20"/>
          <w:spacing w:val="-5"/>
        </w:rPr>
        <w:t xml:space="preserve">взаємодії </w:t>
      </w:r>
      <w:r>
        <w:rPr>
          <w:color w:val="231F20"/>
          <w:spacing w:val="-7"/>
        </w:rPr>
        <w:t xml:space="preserve">суб’єктів </w:t>
      </w:r>
      <w:r>
        <w:rPr>
          <w:color w:val="231F20"/>
          <w:spacing w:val="-4"/>
        </w:rPr>
        <w:t xml:space="preserve">права </w:t>
      </w:r>
      <w:r>
        <w:rPr>
          <w:color w:val="231F20"/>
          <w:spacing w:val="-6"/>
        </w:rPr>
        <w:t xml:space="preserve">законодавчої </w:t>
      </w:r>
      <w:r>
        <w:rPr>
          <w:color w:val="231F20"/>
          <w:spacing w:val="-5"/>
        </w:rPr>
        <w:t xml:space="preserve">ініціативи </w:t>
      </w:r>
      <w:r>
        <w:rPr>
          <w:color w:val="231F20"/>
        </w:rPr>
        <w:t xml:space="preserve">й </w:t>
      </w:r>
      <w:r>
        <w:rPr>
          <w:color w:val="231F20"/>
          <w:spacing w:val="-4"/>
        </w:rPr>
        <w:t xml:space="preserve">інших </w:t>
      </w:r>
      <w:r>
        <w:rPr>
          <w:color w:val="231F20"/>
          <w:spacing w:val="-5"/>
        </w:rPr>
        <w:t xml:space="preserve">учасників </w:t>
      </w:r>
      <w:r>
        <w:rPr>
          <w:color w:val="231F20"/>
          <w:spacing w:val="-6"/>
        </w:rPr>
        <w:t xml:space="preserve">законодавчого </w:t>
      </w:r>
      <w:r>
        <w:rPr>
          <w:color w:val="231F20"/>
          <w:spacing w:val="-5"/>
        </w:rPr>
        <w:t xml:space="preserve">процесу </w:t>
      </w:r>
      <w:r>
        <w:rPr>
          <w:color w:val="231F20"/>
          <w:spacing w:val="-3"/>
        </w:rPr>
        <w:t xml:space="preserve">на </w:t>
      </w:r>
      <w:r>
        <w:rPr>
          <w:color w:val="231F20"/>
          <w:spacing w:val="-5"/>
        </w:rPr>
        <w:t xml:space="preserve">основі використання інформаційно-комуні- каційних технологій </w:t>
      </w:r>
      <w:r>
        <w:rPr>
          <w:color w:val="231F20"/>
          <w:spacing w:val="-3"/>
        </w:rPr>
        <w:t xml:space="preserve">на </w:t>
      </w:r>
      <w:r>
        <w:rPr>
          <w:color w:val="231F20"/>
          <w:spacing w:val="-4"/>
        </w:rPr>
        <w:t xml:space="preserve">всіх </w:t>
      </w:r>
      <w:r>
        <w:rPr>
          <w:color w:val="231F20"/>
          <w:spacing w:val="-5"/>
        </w:rPr>
        <w:t>етапах</w:t>
      </w:r>
      <w:r>
        <w:rPr>
          <w:color w:val="231F20"/>
          <w:spacing w:val="-26"/>
        </w:rPr>
        <w:t xml:space="preserve"> </w:t>
      </w:r>
      <w:r>
        <w:rPr>
          <w:color w:val="231F20"/>
          <w:spacing w:val="-6"/>
        </w:rPr>
        <w:t>законотворчості.</w:t>
      </w:r>
    </w:p>
    <w:p w14:paraId="62277303" w14:textId="77777777" w:rsidR="00DE575E" w:rsidRDefault="002E7560">
      <w:pPr>
        <w:pStyle w:val="BodyText"/>
        <w:spacing w:before="3" w:line="252" w:lineRule="auto"/>
        <w:ind w:left="250" w:right="410" w:firstLine="283"/>
        <w:jc w:val="both"/>
      </w:pPr>
      <w:r>
        <w:rPr>
          <w:b/>
          <w:color w:val="231F20"/>
        </w:rPr>
        <w:t xml:space="preserve">Е-послуга </w:t>
      </w:r>
      <w:r>
        <w:rPr>
          <w:color w:val="231F20"/>
        </w:rPr>
        <w:t>– адміністративна та інша публічна послуга, що нада- ється в електронній формі за допо</w:t>
      </w:r>
      <w:r>
        <w:rPr>
          <w:color w:val="231F20"/>
        </w:rPr>
        <w:t>могою засобів інформаційних, телекомунікаційних, інформаційно-телекомунікаційних систем.</w:t>
      </w:r>
    </w:p>
    <w:p w14:paraId="1E743247" w14:textId="77777777" w:rsidR="00DE575E" w:rsidRDefault="002E7560">
      <w:pPr>
        <w:pStyle w:val="BodyText"/>
        <w:spacing w:before="1" w:line="252" w:lineRule="auto"/>
        <w:ind w:left="250" w:right="411" w:firstLine="283"/>
        <w:jc w:val="both"/>
      </w:pPr>
      <w:r>
        <w:rPr>
          <w:b/>
          <w:color w:val="231F20"/>
        </w:rPr>
        <w:t xml:space="preserve">Е-правосуддя </w:t>
      </w:r>
      <w:r>
        <w:rPr>
          <w:color w:val="231F20"/>
        </w:rPr>
        <w:t>– це електронне судочинство, а також усі супутні йому процеси, включаючи організацію діяльності суду, не пов’язану з відправленням правосуддя, з використа</w:t>
      </w:r>
      <w:r>
        <w:rPr>
          <w:color w:val="231F20"/>
        </w:rPr>
        <w:t>нням інформаційно-кому- нікаційних технологій.</w:t>
      </w:r>
    </w:p>
    <w:p w14:paraId="6AB99A38" w14:textId="77777777" w:rsidR="00DE575E" w:rsidRDefault="002E7560">
      <w:pPr>
        <w:pStyle w:val="BodyText"/>
        <w:spacing w:before="2" w:line="252" w:lineRule="auto"/>
        <w:ind w:left="250" w:right="411" w:firstLine="283"/>
        <w:jc w:val="both"/>
      </w:pPr>
      <w:r>
        <w:rPr>
          <w:b/>
          <w:color w:val="231F20"/>
        </w:rPr>
        <w:t xml:space="preserve">Е-торгівля </w:t>
      </w:r>
      <w:r>
        <w:rPr>
          <w:color w:val="231F20"/>
        </w:rPr>
        <w:t>– господарська діяльність у сфері електронної купів- лі-продажу, реалізації товарів дистанційним способом покупцю через учинення електронних правочинів із використанням інфор- маційно-телекомунікаці</w:t>
      </w:r>
      <w:r>
        <w:rPr>
          <w:color w:val="231F20"/>
        </w:rPr>
        <w:t>йних систем.</w:t>
      </w:r>
    </w:p>
    <w:p w14:paraId="6D5E3AAC" w14:textId="77777777" w:rsidR="00DE575E" w:rsidRDefault="002E7560">
      <w:pPr>
        <w:pStyle w:val="BodyText"/>
        <w:spacing w:before="2" w:line="252" w:lineRule="auto"/>
        <w:ind w:left="250" w:right="409" w:firstLine="283"/>
        <w:jc w:val="both"/>
      </w:pPr>
      <w:r>
        <w:rPr>
          <w:b/>
          <w:color w:val="231F20"/>
        </w:rPr>
        <w:t>Е-уряд</w:t>
      </w:r>
      <w:r>
        <w:rPr>
          <w:b/>
          <w:color w:val="231F20"/>
          <w:spacing w:val="-8"/>
        </w:rPr>
        <w:t xml:space="preserve"> </w:t>
      </w:r>
      <w:r>
        <w:rPr>
          <w:color w:val="231F20"/>
        </w:rPr>
        <w:t>є</w:t>
      </w:r>
      <w:r>
        <w:rPr>
          <w:color w:val="231F20"/>
          <w:spacing w:val="-7"/>
        </w:rPr>
        <w:t xml:space="preserve"> </w:t>
      </w:r>
      <w:r>
        <w:rPr>
          <w:color w:val="231F20"/>
        </w:rPr>
        <w:t>головною</w:t>
      </w:r>
      <w:r>
        <w:rPr>
          <w:color w:val="231F20"/>
          <w:spacing w:val="-7"/>
        </w:rPr>
        <w:t xml:space="preserve"> </w:t>
      </w:r>
      <w:r>
        <w:rPr>
          <w:color w:val="231F20"/>
        </w:rPr>
        <w:t>складовою</w:t>
      </w:r>
      <w:r>
        <w:rPr>
          <w:color w:val="231F20"/>
          <w:spacing w:val="-8"/>
        </w:rPr>
        <w:t xml:space="preserve"> </w:t>
      </w:r>
      <w:r>
        <w:rPr>
          <w:color w:val="231F20"/>
        </w:rPr>
        <w:t>е-урядування,</w:t>
      </w:r>
      <w:r>
        <w:rPr>
          <w:color w:val="231F20"/>
          <w:spacing w:val="-7"/>
        </w:rPr>
        <w:t xml:space="preserve"> </w:t>
      </w:r>
      <w:r>
        <w:rPr>
          <w:color w:val="231F20"/>
        </w:rPr>
        <w:t>що</w:t>
      </w:r>
      <w:r>
        <w:rPr>
          <w:color w:val="231F20"/>
          <w:spacing w:val="-7"/>
        </w:rPr>
        <w:t xml:space="preserve"> </w:t>
      </w:r>
      <w:r>
        <w:rPr>
          <w:color w:val="231F20"/>
        </w:rPr>
        <w:t>становить</w:t>
      </w:r>
      <w:r>
        <w:rPr>
          <w:color w:val="231F20"/>
          <w:spacing w:val="-7"/>
        </w:rPr>
        <w:t xml:space="preserve"> </w:t>
      </w:r>
      <w:r>
        <w:rPr>
          <w:color w:val="231F20"/>
        </w:rPr>
        <w:t xml:space="preserve">собою автоматизовану інформаційну взаємодію органів державної влади й  органів  місцевого  самоврядування  між  собою,  з  громадянами   і </w:t>
      </w:r>
      <w:r>
        <w:rPr>
          <w:color w:val="231F20"/>
          <w:spacing w:val="-3"/>
        </w:rPr>
        <w:t xml:space="preserve">суб’єктами </w:t>
      </w:r>
      <w:r>
        <w:rPr>
          <w:color w:val="231F20"/>
        </w:rPr>
        <w:t>господарювання з використанням інформа</w:t>
      </w:r>
      <w:r>
        <w:rPr>
          <w:color w:val="231F20"/>
        </w:rPr>
        <w:t>ційно-кому- нікаційних</w:t>
      </w:r>
      <w:r>
        <w:rPr>
          <w:color w:val="231F20"/>
          <w:spacing w:val="-1"/>
        </w:rPr>
        <w:t xml:space="preserve"> </w:t>
      </w:r>
      <w:r>
        <w:rPr>
          <w:color w:val="231F20"/>
        </w:rPr>
        <w:t>технологій.</w:t>
      </w:r>
    </w:p>
    <w:p w14:paraId="52FDBAA4" w14:textId="77777777" w:rsidR="00DE575E" w:rsidRDefault="002E7560">
      <w:pPr>
        <w:pStyle w:val="BodyText"/>
        <w:spacing w:before="2" w:line="252" w:lineRule="auto"/>
        <w:ind w:left="250" w:right="411" w:firstLine="283"/>
        <w:jc w:val="both"/>
      </w:pPr>
      <w:r>
        <w:rPr>
          <w:b/>
          <w:color w:val="231F20"/>
        </w:rPr>
        <w:t xml:space="preserve">Е-урядування </w:t>
      </w:r>
      <w:r>
        <w:rPr>
          <w:color w:val="231F20"/>
        </w:rPr>
        <w:t>– форма організації державного управління, яка сприяє підвищенню ефективності, відкритості та прозорості діяль- ності органів державної влади й органів місцевого самоврядування з використанням інформаційно-те</w:t>
      </w:r>
      <w:r>
        <w:rPr>
          <w:color w:val="231F20"/>
        </w:rPr>
        <w:t>лекомунікаційних технологій</w:t>
      </w:r>
      <w:r>
        <w:rPr>
          <w:color w:val="231F20"/>
          <w:spacing w:val="-27"/>
        </w:rPr>
        <w:t xml:space="preserve"> </w:t>
      </w:r>
      <w:r>
        <w:rPr>
          <w:color w:val="231F20"/>
        </w:rPr>
        <w:t>для формування нового типу держави, орієнтованої на задоволення потреб</w:t>
      </w:r>
      <w:r>
        <w:rPr>
          <w:color w:val="231F20"/>
          <w:spacing w:val="-2"/>
        </w:rPr>
        <w:t xml:space="preserve"> </w:t>
      </w:r>
      <w:r>
        <w:rPr>
          <w:color w:val="231F20"/>
        </w:rPr>
        <w:t>громадян.</w:t>
      </w:r>
    </w:p>
    <w:p w14:paraId="6AEDFD9E" w14:textId="77777777" w:rsidR="00DE575E" w:rsidRDefault="002E7560">
      <w:pPr>
        <w:pStyle w:val="BodyText"/>
        <w:spacing w:before="3" w:line="252" w:lineRule="auto"/>
        <w:ind w:left="250" w:right="410" w:firstLine="283"/>
        <w:jc w:val="both"/>
      </w:pPr>
      <w:r>
        <w:rPr>
          <w:b/>
          <w:color w:val="231F20"/>
        </w:rPr>
        <w:t xml:space="preserve">Експерт </w:t>
      </w:r>
      <w:r>
        <w:rPr>
          <w:color w:val="231F20"/>
        </w:rPr>
        <w:t>у провадженнях у справах про адміністративні право- порушення – особа, яка сприяє здійсненню провадження і право- вий статус якої визначено в ст. 273 КУпАП. Експерт – це особа, що</w:t>
      </w:r>
    </w:p>
    <w:p w14:paraId="472780A6" w14:textId="77777777" w:rsidR="00DE575E" w:rsidRDefault="00DE575E">
      <w:pPr>
        <w:pStyle w:val="BodyText"/>
        <w:spacing w:before="6"/>
        <w:rPr>
          <w:sz w:val="12"/>
        </w:rPr>
      </w:pPr>
    </w:p>
    <w:p w14:paraId="517F29A9" w14:textId="77777777" w:rsidR="00DE575E" w:rsidRDefault="002E7560">
      <w:pPr>
        <w:spacing w:before="92"/>
        <w:ind w:right="411"/>
        <w:jc w:val="right"/>
        <w:rPr>
          <w:rFonts w:ascii="Times New Roman"/>
          <w:sz w:val="20"/>
        </w:rPr>
      </w:pPr>
      <w:r>
        <w:rPr>
          <w:rFonts w:ascii="Times New Roman"/>
          <w:color w:val="231F20"/>
          <w:w w:val="90"/>
          <w:sz w:val="20"/>
        </w:rPr>
        <w:t>539</w:t>
      </w:r>
    </w:p>
    <w:p w14:paraId="166E0B91"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16BE84F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60059B7" w14:textId="0AB462A6"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B09D6F5" wp14:editId="7AB84823">
                <wp:extent cx="4140200" cy="6350"/>
                <wp:effectExtent l="0" t="0" r="12700" b="6350"/>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6" name="Line 8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2CCAE2" id="Group_x0020_8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fUJ4MfQIAAJQFAAAOAAAA&#10;AAAAAAAAAAAAACwCAABkcnMvZTJvRG9jLnhtbFBLAQItABQABgAIAAAAIQBMp7CQ2QAAAAMBAAAP&#10;AAAAAAAAAAAAAAAAANUEAABkcnMvZG93bnJldi54bWxQSwUGAAAAAAQABADzAAAA2wUAAAAA&#10;">
                <v:line id="Line_x0020_8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bjeMQAAADbAAAADwAAAGRycy9kb3ducmV2LnhtbESP0WrCQBRE3wv+w3IFX4puqiCSukoR&#10;hOKDWuMHXLO3Seju3ZhdTfTrXaHg4zAzZ5j5srNGXKnxlWMFH6MEBHHudMWFgmO2Hs5A+ICs0Tgm&#10;BTfysFz03uaYatfyD10PoRARwj5FBWUIdSqlz0uy6EeuJo7er2sshiibQuoG2wi3Ro6TZCotVhwX&#10;SqxpVVL+d7hYBdn5PZj9bmPabHeayNN5O7lftkoN+t3XJ4hAXXiF/9vfWsFsCs8v8QfIx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huN4xAAAANsAAAAPAAAAAAAAAAAA&#10;AAAAAKECAABkcnMvZG93bnJldi54bWxQSwUGAAAAAAQABAD5AAAAkgMAAAAA&#10;" strokecolor="#231f20" strokeweight=".5pt"/>
                <w10:anchorlock/>
              </v:group>
            </w:pict>
          </mc:Fallback>
        </mc:AlternateContent>
      </w:r>
    </w:p>
    <w:p w14:paraId="767E94B9" w14:textId="77777777" w:rsidR="00DE575E" w:rsidRDefault="00DE575E">
      <w:pPr>
        <w:pStyle w:val="BodyText"/>
        <w:spacing w:before="7"/>
        <w:rPr>
          <w:rFonts w:ascii="AdonisC"/>
          <w:i/>
          <w:sz w:val="11"/>
        </w:rPr>
      </w:pPr>
    </w:p>
    <w:p w14:paraId="711C75D7" w14:textId="77777777" w:rsidR="00DE575E" w:rsidRDefault="002E7560">
      <w:pPr>
        <w:pStyle w:val="BodyText"/>
        <w:spacing w:before="101" w:line="252" w:lineRule="auto"/>
        <w:ind w:left="533" w:right="127"/>
        <w:jc w:val="both"/>
      </w:pPr>
      <w:r>
        <w:rPr>
          <w:color w:val="231F20"/>
        </w:rPr>
        <w:t xml:space="preserve">володіє спеціальними </w:t>
      </w:r>
      <w:r>
        <w:rPr>
          <w:color w:val="231F20"/>
          <w:spacing w:val="-2"/>
        </w:rPr>
        <w:t xml:space="preserve">глибокими </w:t>
      </w:r>
      <w:r>
        <w:rPr>
          <w:color w:val="231F20"/>
        </w:rPr>
        <w:t>знаннями в певній сфері людської діяльності та реалізує ці пізнання відповідно до науково розробле- ної методики.</w:t>
      </w:r>
    </w:p>
    <w:p w14:paraId="6BE1A407" w14:textId="77777777" w:rsidR="00DE575E" w:rsidRDefault="002E7560">
      <w:pPr>
        <w:pStyle w:val="BodyText"/>
        <w:spacing w:before="1" w:line="252" w:lineRule="auto"/>
        <w:ind w:left="533" w:right="128" w:firstLine="283"/>
        <w:jc w:val="both"/>
      </w:pPr>
      <w:r>
        <w:rPr>
          <w:b/>
          <w:color w:val="231F20"/>
        </w:rPr>
        <w:t xml:space="preserve">Європейське адміністративне право </w:t>
      </w:r>
      <w:r>
        <w:rPr>
          <w:color w:val="231F20"/>
        </w:rPr>
        <w:t>– самостійна</w:t>
      </w:r>
      <w:r>
        <w:rPr>
          <w:color w:val="231F20"/>
        </w:rPr>
        <w:t xml:space="preserve"> наука, галузь і навчальна дисципліна, що регулює діяльність публічної адмініст- рації (ЄС і країн-учасниць ЄС) – з тією метою, щоб правові наслідки їх діяльності відповідали основоположним цінностям (законодав- ству) ЄС.</w:t>
      </w:r>
    </w:p>
    <w:p w14:paraId="4A5E822D" w14:textId="77777777" w:rsidR="00DE575E" w:rsidRDefault="002E7560">
      <w:pPr>
        <w:pStyle w:val="BodyText"/>
        <w:spacing w:before="3" w:line="252" w:lineRule="auto"/>
        <w:ind w:left="533" w:right="127" w:firstLine="283"/>
        <w:jc w:val="both"/>
      </w:pPr>
      <w:r>
        <w:rPr>
          <w:b/>
          <w:color w:val="231F20"/>
        </w:rPr>
        <w:t xml:space="preserve">Загальне позовне провадження </w:t>
      </w:r>
      <w:r>
        <w:rPr>
          <w:color w:val="231F20"/>
        </w:rPr>
        <w:t>– про</w:t>
      </w:r>
      <w:r>
        <w:rPr>
          <w:color w:val="231F20"/>
        </w:rPr>
        <w:t>вадження, призначене для розгляду справ, які через складність або інші обставини недо- цільно розглядати у спрощеному позовному провадженні.</w:t>
      </w:r>
    </w:p>
    <w:p w14:paraId="26B4C5E6" w14:textId="77777777" w:rsidR="00DE575E" w:rsidRDefault="002E7560">
      <w:pPr>
        <w:pStyle w:val="BodyText"/>
        <w:spacing w:before="1" w:line="252" w:lineRule="auto"/>
        <w:ind w:left="533" w:right="128" w:firstLine="283"/>
        <w:jc w:val="both"/>
      </w:pPr>
      <w:r>
        <w:rPr>
          <w:b/>
          <w:color w:val="231F20"/>
        </w:rPr>
        <w:t xml:space="preserve">Заінтересовані особи </w:t>
      </w:r>
      <w:r>
        <w:rPr>
          <w:color w:val="231F20"/>
        </w:rPr>
        <w:t>– учасники адміністративної процедури, які вступають у неї за власною ініціативою чи ініціатив</w:t>
      </w:r>
      <w:r>
        <w:rPr>
          <w:color w:val="231F20"/>
        </w:rPr>
        <w:t>ою адмініст- ративного</w:t>
      </w:r>
      <w:r>
        <w:rPr>
          <w:color w:val="231F20"/>
          <w:spacing w:val="-14"/>
        </w:rPr>
        <w:t xml:space="preserve"> </w:t>
      </w:r>
      <w:r>
        <w:rPr>
          <w:color w:val="231F20"/>
        </w:rPr>
        <w:t>органу</w:t>
      </w:r>
      <w:r>
        <w:rPr>
          <w:color w:val="231F20"/>
          <w:spacing w:val="-14"/>
        </w:rPr>
        <w:t xml:space="preserve"> </w:t>
      </w:r>
      <w:r>
        <w:rPr>
          <w:color w:val="231F20"/>
        </w:rPr>
        <w:t>через</w:t>
      </w:r>
      <w:r>
        <w:rPr>
          <w:color w:val="231F20"/>
          <w:spacing w:val="-14"/>
        </w:rPr>
        <w:t xml:space="preserve"> </w:t>
      </w:r>
      <w:r>
        <w:rPr>
          <w:color w:val="231F20"/>
        </w:rPr>
        <w:t>потенційно</w:t>
      </w:r>
      <w:r>
        <w:rPr>
          <w:color w:val="231F20"/>
          <w:spacing w:val="-14"/>
        </w:rPr>
        <w:t xml:space="preserve"> </w:t>
      </w:r>
      <w:r>
        <w:rPr>
          <w:color w:val="231F20"/>
        </w:rPr>
        <w:t>можливий</w:t>
      </w:r>
      <w:r>
        <w:rPr>
          <w:color w:val="231F20"/>
          <w:spacing w:val="-14"/>
        </w:rPr>
        <w:t xml:space="preserve"> </w:t>
      </w:r>
      <w:r>
        <w:rPr>
          <w:color w:val="231F20"/>
        </w:rPr>
        <w:t>вплив</w:t>
      </w:r>
      <w:r>
        <w:rPr>
          <w:color w:val="231F20"/>
          <w:spacing w:val="-14"/>
        </w:rPr>
        <w:t xml:space="preserve"> </w:t>
      </w:r>
      <w:r>
        <w:rPr>
          <w:color w:val="231F20"/>
        </w:rPr>
        <w:t>адміністратив- ного акта на їх правовий</w:t>
      </w:r>
      <w:r>
        <w:rPr>
          <w:color w:val="231F20"/>
          <w:spacing w:val="-3"/>
        </w:rPr>
        <w:t xml:space="preserve"> </w:t>
      </w:r>
      <w:r>
        <w:rPr>
          <w:color w:val="231F20"/>
        </w:rPr>
        <w:t>статус.</w:t>
      </w:r>
    </w:p>
    <w:p w14:paraId="0018E253" w14:textId="77777777" w:rsidR="00DE575E" w:rsidRDefault="002E7560">
      <w:pPr>
        <w:pStyle w:val="BodyText"/>
        <w:spacing w:before="2" w:line="252" w:lineRule="auto"/>
        <w:ind w:left="533" w:right="127" w:firstLine="283"/>
        <w:jc w:val="both"/>
      </w:pPr>
      <w:r>
        <w:rPr>
          <w:color w:val="231F20"/>
          <w:spacing w:val="-3"/>
        </w:rPr>
        <w:t>З</w:t>
      </w:r>
      <w:r>
        <w:rPr>
          <w:b/>
          <w:color w:val="231F20"/>
          <w:spacing w:val="-3"/>
        </w:rPr>
        <w:t xml:space="preserve">аходи </w:t>
      </w:r>
      <w:r>
        <w:rPr>
          <w:b/>
          <w:color w:val="231F20"/>
        </w:rPr>
        <w:t xml:space="preserve">адміністративного припинення </w:t>
      </w:r>
      <w:r>
        <w:rPr>
          <w:color w:val="231F20"/>
        </w:rPr>
        <w:t>– засновані на законі засоби примусового переривання (припинення) діянь, які мають ознаки адміністративного правопорушення, а в окремих  випад-  ках – кримінально-правовий характер, спрямовані на недопущення шкідливих</w:t>
      </w:r>
      <w:r>
        <w:rPr>
          <w:color w:val="231F20"/>
          <w:spacing w:val="-11"/>
        </w:rPr>
        <w:t xml:space="preserve"> </w:t>
      </w:r>
      <w:r>
        <w:rPr>
          <w:color w:val="231F20"/>
        </w:rPr>
        <w:t>наслідків</w:t>
      </w:r>
      <w:r>
        <w:rPr>
          <w:color w:val="231F20"/>
          <w:spacing w:val="-11"/>
        </w:rPr>
        <w:t xml:space="preserve"> </w:t>
      </w:r>
      <w:r>
        <w:rPr>
          <w:color w:val="231F20"/>
        </w:rPr>
        <w:t>протиправної</w:t>
      </w:r>
      <w:r>
        <w:rPr>
          <w:color w:val="231F20"/>
          <w:spacing w:val="-12"/>
        </w:rPr>
        <w:t xml:space="preserve"> </w:t>
      </w:r>
      <w:r>
        <w:rPr>
          <w:color w:val="231F20"/>
        </w:rPr>
        <w:t>поведінки,</w:t>
      </w:r>
      <w:r>
        <w:rPr>
          <w:color w:val="231F20"/>
          <w:spacing w:val="-11"/>
        </w:rPr>
        <w:t xml:space="preserve"> </w:t>
      </w:r>
      <w:r>
        <w:rPr>
          <w:color w:val="231F20"/>
        </w:rPr>
        <w:t>забе</w:t>
      </w:r>
      <w:r>
        <w:rPr>
          <w:color w:val="231F20"/>
        </w:rPr>
        <w:t>зпечення</w:t>
      </w:r>
      <w:r>
        <w:rPr>
          <w:color w:val="231F20"/>
          <w:spacing w:val="-12"/>
        </w:rPr>
        <w:t xml:space="preserve"> </w:t>
      </w:r>
      <w:r>
        <w:rPr>
          <w:color w:val="231F20"/>
        </w:rPr>
        <w:t>провад- ження в справах про адміністративні правопорушення і притяг- нення винних до адміністративної, а у виняткових випадках – до кримінальної</w:t>
      </w:r>
      <w:r>
        <w:rPr>
          <w:color w:val="231F20"/>
          <w:spacing w:val="-2"/>
        </w:rPr>
        <w:t xml:space="preserve"> </w:t>
      </w:r>
      <w:r>
        <w:rPr>
          <w:color w:val="231F20"/>
        </w:rPr>
        <w:t>відповідальності.</w:t>
      </w:r>
    </w:p>
    <w:p w14:paraId="55AF2E7E" w14:textId="77777777" w:rsidR="00DE575E" w:rsidRDefault="002E7560">
      <w:pPr>
        <w:pStyle w:val="BodyText"/>
        <w:spacing w:before="4" w:line="252" w:lineRule="auto"/>
        <w:ind w:left="533" w:right="128" w:firstLine="283"/>
        <w:jc w:val="both"/>
      </w:pPr>
      <w:r>
        <w:rPr>
          <w:b/>
          <w:color w:val="231F20"/>
        </w:rPr>
        <w:t xml:space="preserve">Заява (клопотання) </w:t>
      </w:r>
      <w:r>
        <w:rPr>
          <w:color w:val="231F20"/>
        </w:rPr>
        <w:t>– звернення громадян із проханням про сприяння реалізації закріпл</w:t>
      </w:r>
      <w:r>
        <w:rPr>
          <w:color w:val="231F20"/>
        </w:rPr>
        <w:t xml:space="preserve">ених Конституцією та чинним зако- нодавством їх прав та інтересів або повідомлення про порушення чинного законодавства чи недоліки в діяльності підприємств, уста- нов, організацій незалежно від форм власності, народних депута- тів </w:t>
      </w:r>
      <w:r>
        <w:rPr>
          <w:color w:val="231F20"/>
          <w:spacing w:val="-3"/>
        </w:rPr>
        <w:t xml:space="preserve">України, </w:t>
      </w:r>
      <w:r>
        <w:rPr>
          <w:color w:val="231F20"/>
        </w:rPr>
        <w:t>депутатів місцев</w:t>
      </w:r>
      <w:r>
        <w:rPr>
          <w:color w:val="231F20"/>
        </w:rPr>
        <w:t>их рад, посадових осіб, а також вислов- лення думки щодо поліпшення їх</w:t>
      </w:r>
      <w:r>
        <w:rPr>
          <w:color w:val="231F20"/>
          <w:spacing w:val="-6"/>
        </w:rPr>
        <w:t xml:space="preserve"> </w:t>
      </w:r>
      <w:r>
        <w:rPr>
          <w:color w:val="231F20"/>
        </w:rPr>
        <w:t>діяльності.</w:t>
      </w:r>
    </w:p>
    <w:p w14:paraId="3C977549" w14:textId="77777777" w:rsidR="00DE575E" w:rsidRDefault="002E7560">
      <w:pPr>
        <w:pStyle w:val="BodyText"/>
        <w:spacing w:before="3" w:line="252" w:lineRule="auto"/>
        <w:ind w:left="533" w:right="128" w:firstLine="283"/>
        <w:jc w:val="both"/>
      </w:pPr>
      <w:r>
        <w:rPr>
          <w:b/>
          <w:color w:val="231F20"/>
        </w:rPr>
        <w:t xml:space="preserve">Заявник </w:t>
      </w:r>
      <w:r>
        <w:rPr>
          <w:color w:val="231F20"/>
        </w:rPr>
        <w:t>– учасник адміністративної процедури, який у процесі реалізації свого суб’єктивного права є ініціатором адміністративної процедури.</w:t>
      </w:r>
    </w:p>
    <w:p w14:paraId="197B4D02" w14:textId="77777777" w:rsidR="00DE575E" w:rsidRDefault="002E7560">
      <w:pPr>
        <w:spacing w:before="2" w:line="252" w:lineRule="auto"/>
        <w:ind w:left="533" w:right="127" w:firstLine="283"/>
        <w:jc w:val="both"/>
        <w:rPr>
          <w:sz w:val="21"/>
        </w:rPr>
      </w:pPr>
      <w:r>
        <w:rPr>
          <w:b/>
          <w:color w:val="231F20"/>
          <w:sz w:val="21"/>
        </w:rPr>
        <w:t xml:space="preserve">Здійснення моніторингу як інструмент публічного адміні- стрування </w:t>
      </w:r>
      <w:r>
        <w:rPr>
          <w:color w:val="231F20"/>
          <w:sz w:val="21"/>
        </w:rPr>
        <w:t>– комплекс взаємопов’язаних заходів технічного, орга- нізаційного та правового характеру, що здійснюється уповнова- женими на це суб’єктами публічної адміністрації для отримання, аналізу, зб</w:t>
      </w:r>
      <w:r>
        <w:rPr>
          <w:color w:val="231F20"/>
          <w:sz w:val="21"/>
        </w:rPr>
        <w:t>ерігання та використання інформації про визначені об’єкти моніторингу.</w:t>
      </w:r>
    </w:p>
    <w:p w14:paraId="2A461740" w14:textId="77777777" w:rsidR="00DE575E" w:rsidRDefault="00DE575E">
      <w:pPr>
        <w:pStyle w:val="BodyText"/>
        <w:spacing w:before="7"/>
        <w:rPr>
          <w:sz w:val="12"/>
        </w:rPr>
      </w:pPr>
    </w:p>
    <w:p w14:paraId="5DF6BDB4" w14:textId="77777777" w:rsidR="00DE575E" w:rsidRDefault="002E7560">
      <w:pPr>
        <w:spacing w:before="92"/>
        <w:ind w:left="533"/>
        <w:rPr>
          <w:rFonts w:ascii="Times New Roman"/>
          <w:sz w:val="20"/>
        </w:rPr>
      </w:pPr>
      <w:r>
        <w:rPr>
          <w:rFonts w:ascii="Times New Roman"/>
          <w:color w:val="231F20"/>
          <w:sz w:val="20"/>
        </w:rPr>
        <w:t>540</w:t>
      </w:r>
    </w:p>
    <w:p w14:paraId="5DD878DB" w14:textId="77777777" w:rsidR="00DE575E" w:rsidRDefault="00DE575E">
      <w:pPr>
        <w:rPr>
          <w:rFonts w:ascii="Times New Roman"/>
          <w:sz w:val="20"/>
        </w:rPr>
        <w:sectPr w:rsidR="00DE575E">
          <w:pgSz w:w="8510" w:h="12760"/>
          <w:pgMar w:top="660" w:right="720" w:bottom="280" w:left="600" w:header="720" w:footer="720" w:gutter="0"/>
          <w:cols w:space="720"/>
        </w:sectPr>
      </w:pPr>
    </w:p>
    <w:p w14:paraId="54A15AED"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4D2A091E" w14:textId="0EB5330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F70A433" wp14:editId="3435CAE3">
                <wp:extent cx="4140200" cy="6350"/>
                <wp:effectExtent l="0" t="0" r="12700" b="6350"/>
                <wp:docPr id="8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4" name="Line 8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A1686A" id="Group_x0020_8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HXEmj98AgAAlAUAAA4AAAAA&#10;AAAAAAAAAAAALAIAAGRycy9lMm9Eb2MueG1sUEsBAi0AFAAGAAgAAAAhAEynsJDZAAAAAwEAAA8A&#10;AAAAAAAAAAAAAAAA1AQAAGRycy9kb3ducmV2LnhtbFBLBQYAAAAABAAEAPMAAADaBQAAAAA=&#10;">
                <v:line id="Line_x0020_8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jYlMUAAADbAAAADwAAAGRycy9kb3ducmV2LnhtbESP0WrCQBRE3wv+w3KFvhTdVItIdBUR&#10;CtIHrcYPuGavSXD3bsyuJvr13UKhj8PMnGHmy84acafGV44VvA8TEMS50xUXCo7Z52AKwgdkjcYx&#10;KXiQh+Wi9zLHVLuW93Q/hEJECPsUFZQh1KmUPi/Joh+6mjh6Z9dYDFE2hdQNthFujRwlyURarDgu&#10;lFjTuqT8crhZBdn1LZjv3Zdps91pLE/X7fh52yr12u9WMxCBuvAf/mtvtILpB/x+iT9AL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xjYlMUAAADbAAAADwAAAAAAAAAA&#10;AAAAAAChAgAAZHJzL2Rvd25yZXYueG1sUEsFBgAAAAAEAAQA+QAAAJMDAAAAAA==&#10;" strokecolor="#231f20" strokeweight=".5pt"/>
                <w10:anchorlock/>
              </v:group>
            </w:pict>
          </mc:Fallback>
        </mc:AlternateContent>
      </w:r>
    </w:p>
    <w:p w14:paraId="60ACA7A0" w14:textId="77777777" w:rsidR="00DE575E" w:rsidRDefault="00DE575E">
      <w:pPr>
        <w:pStyle w:val="BodyText"/>
        <w:spacing w:before="7"/>
        <w:rPr>
          <w:rFonts w:ascii="AdonisC"/>
          <w:i/>
          <w:sz w:val="19"/>
        </w:rPr>
      </w:pPr>
    </w:p>
    <w:p w14:paraId="5AA79C42" w14:textId="77777777" w:rsidR="00DE575E" w:rsidRDefault="002E7560">
      <w:pPr>
        <w:pStyle w:val="BodyText"/>
        <w:spacing w:before="1" w:line="252" w:lineRule="auto"/>
        <w:ind w:left="250" w:right="409" w:firstLine="283"/>
        <w:jc w:val="both"/>
      </w:pPr>
      <w:r>
        <w:rPr>
          <w:b/>
          <w:color w:val="231F20"/>
        </w:rPr>
        <w:t xml:space="preserve">Індивідуальний (адміністративний) акт </w:t>
      </w:r>
      <w:r>
        <w:rPr>
          <w:color w:val="231F20"/>
        </w:rPr>
        <w:t>– це акт, що вміщує конкретний державний владний припис, ухвалений компетентним публічним органом у результаті вирішення індивідуальної юридич- ної справи.</w:t>
      </w:r>
    </w:p>
    <w:p w14:paraId="6B2288D5" w14:textId="77777777" w:rsidR="00DE575E" w:rsidRDefault="002E7560">
      <w:pPr>
        <w:pStyle w:val="BodyText"/>
        <w:spacing w:before="2" w:line="252" w:lineRule="auto"/>
        <w:ind w:left="250" w:right="411" w:firstLine="283"/>
        <w:jc w:val="both"/>
      </w:pPr>
      <w:r>
        <w:rPr>
          <w:b/>
          <w:color w:val="231F20"/>
        </w:rPr>
        <w:t xml:space="preserve">Інспекційні процедури </w:t>
      </w:r>
      <w:r>
        <w:rPr>
          <w:color w:val="231F20"/>
        </w:rPr>
        <w:t>– у</w:t>
      </w:r>
      <w:r>
        <w:rPr>
          <w:color w:val="231F20"/>
        </w:rPr>
        <w:t>становлений чинним законодавст- вом порядок втручальної контрольно-наглядової діяльності суб’єк- тів публічного адміністрування, що полягає у здійсненні перевірок щодо дотримання нормативно-правових актів.</w:t>
      </w:r>
    </w:p>
    <w:p w14:paraId="26E8530F" w14:textId="77777777" w:rsidR="00DE575E" w:rsidRDefault="002E7560">
      <w:pPr>
        <w:spacing w:before="2" w:line="252" w:lineRule="auto"/>
        <w:ind w:left="250" w:right="411" w:firstLine="283"/>
        <w:jc w:val="both"/>
        <w:rPr>
          <w:sz w:val="21"/>
        </w:rPr>
      </w:pPr>
      <w:r>
        <w:rPr>
          <w:b/>
          <w:color w:val="231F20"/>
          <w:sz w:val="21"/>
        </w:rPr>
        <w:t xml:space="preserve">Інститут адміністративного права </w:t>
      </w:r>
      <w:r>
        <w:rPr>
          <w:color w:val="231F20"/>
          <w:sz w:val="21"/>
        </w:rPr>
        <w:t>– сукупність норм</w:t>
      </w:r>
      <w:r>
        <w:rPr>
          <w:color w:val="231F20"/>
          <w:sz w:val="21"/>
        </w:rPr>
        <w:t xml:space="preserve"> адмініст- ративного права, що регулює однорідні чи близькі суспільні відно- сини.</w:t>
      </w:r>
    </w:p>
    <w:p w14:paraId="39C72DB5" w14:textId="77777777" w:rsidR="00DE575E" w:rsidRDefault="002E7560">
      <w:pPr>
        <w:pStyle w:val="BodyText"/>
        <w:spacing w:before="1" w:line="252" w:lineRule="auto"/>
        <w:ind w:left="250" w:right="411" w:firstLine="283"/>
        <w:jc w:val="both"/>
      </w:pPr>
      <w:r>
        <w:rPr>
          <w:b/>
          <w:color w:val="231F20"/>
        </w:rPr>
        <w:t xml:space="preserve">Інструкції </w:t>
      </w:r>
      <w:r>
        <w:rPr>
          <w:color w:val="231F20"/>
        </w:rPr>
        <w:t>– нормативно-правові акти, що видаються з метою роз’яснення порядку застосування норм права або з метою встанов- лення методичних правил і способів виконання певн</w:t>
      </w:r>
      <w:r>
        <w:rPr>
          <w:color w:val="231F20"/>
        </w:rPr>
        <w:t>их операцій.</w:t>
      </w:r>
    </w:p>
    <w:p w14:paraId="293148A1" w14:textId="77777777" w:rsidR="00DE575E" w:rsidRDefault="002E7560">
      <w:pPr>
        <w:pStyle w:val="BodyText"/>
        <w:spacing w:before="2" w:line="252" w:lineRule="auto"/>
        <w:ind w:left="250" w:right="410" w:firstLine="283"/>
        <w:jc w:val="both"/>
      </w:pPr>
      <w:r>
        <w:rPr>
          <w:b/>
          <w:color w:val="231F20"/>
        </w:rPr>
        <w:t>Інструмент</w:t>
      </w:r>
      <w:r>
        <w:rPr>
          <w:b/>
          <w:color w:val="231F20"/>
          <w:spacing w:val="-13"/>
        </w:rPr>
        <w:t xml:space="preserve"> </w:t>
      </w:r>
      <w:r>
        <w:rPr>
          <w:b/>
          <w:color w:val="231F20"/>
        </w:rPr>
        <w:t>публічного</w:t>
      </w:r>
      <w:r>
        <w:rPr>
          <w:b/>
          <w:color w:val="231F20"/>
          <w:spacing w:val="-13"/>
        </w:rPr>
        <w:t xml:space="preserve"> </w:t>
      </w:r>
      <w:r>
        <w:rPr>
          <w:b/>
          <w:color w:val="231F20"/>
        </w:rPr>
        <w:t>адміністрування</w:t>
      </w:r>
      <w:r>
        <w:rPr>
          <w:b/>
          <w:color w:val="231F20"/>
          <w:spacing w:val="-14"/>
        </w:rPr>
        <w:t xml:space="preserve"> </w:t>
      </w:r>
      <w:r>
        <w:rPr>
          <w:color w:val="231F20"/>
        </w:rPr>
        <w:t>–</w:t>
      </w:r>
      <w:r>
        <w:rPr>
          <w:color w:val="231F20"/>
          <w:spacing w:val="-13"/>
        </w:rPr>
        <w:t xml:space="preserve"> </w:t>
      </w:r>
      <w:r>
        <w:rPr>
          <w:color w:val="231F20"/>
        </w:rPr>
        <w:t>зовнішнє</w:t>
      </w:r>
      <w:r>
        <w:rPr>
          <w:color w:val="231F20"/>
          <w:spacing w:val="-13"/>
        </w:rPr>
        <w:t xml:space="preserve"> </w:t>
      </w:r>
      <w:r>
        <w:rPr>
          <w:color w:val="231F20"/>
        </w:rPr>
        <w:t xml:space="preserve">вираження однорідних за своїм характером і правовою природою адміністра- тивних дій </w:t>
      </w:r>
      <w:r>
        <w:rPr>
          <w:color w:val="231F20"/>
          <w:spacing w:val="-3"/>
        </w:rPr>
        <w:t xml:space="preserve">суб’єктів </w:t>
      </w:r>
      <w:r>
        <w:rPr>
          <w:color w:val="231F20"/>
        </w:rPr>
        <w:t xml:space="preserve">публічної адміністрації, реалізованих у межах визначеної законом компетенції з метою досягнення бажаного публічного </w:t>
      </w:r>
      <w:r>
        <w:rPr>
          <w:color w:val="231F20"/>
          <w:spacing w:val="-4"/>
        </w:rPr>
        <w:t>результату.</w:t>
      </w:r>
    </w:p>
    <w:p w14:paraId="62BC1417" w14:textId="77777777" w:rsidR="00DE575E" w:rsidRDefault="002E7560">
      <w:pPr>
        <w:spacing w:before="2" w:line="252" w:lineRule="auto"/>
        <w:ind w:left="250" w:right="411" w:firstLine="283"/>
        <w:jc w:val="both"/>
        <w:rPr>
          <w:sz w:val="21"/>
        </w:rPr>
      </w:pPr>
      <w:r>
        <w:rPr>
          <w:b/>
          <w:color w:val="231F20"/>
          <w:sz w:val="21"/>
        </w:rPr>
        <w:t>Інструменти</w:t>
      </w:r>
      <w:r>
        <w:rPr>
          <w:b/>
          <w:color w:val="231F20"/>
          <w:spacing w:val="-7"/>
          <w:sz w:val="21"/>
        </w:rPr>
        <w:t xml:space="preserve"> </w:t>
      </w:r>
      <w:r>
        <w:rPr>
          <w:b/>
          <w:color w:val="231F20"/>
          <w:sz w:val="21"/>
        </w:rPr>
        <w:t>захисту</w:t>
      </w:r>
      <w:r>
        <w:rPr>
          <w:b/>
          <w:color w:val="231F20"/>
          <w:spacing w:val="-8"/>
          <w:sz w:val="21"/>
        </w:rPr>
        <w:t xml:space="preserve"> </w:t>
      </w:r>
      <w:r>
        <w:rPr>
          <w:b/>
          <w:color w:val="231F20"/>
          <w:sz w:val="21"/>
        </w:rPr>
        <w:t>прав,</w:t>
      </w:r>
      <w:r>
        <w:rPr>
          <w:b/>
          <w:color w:val="231F20"/>
          <w:spacing w:val="-8"/>
          <w:sz w:val="21"/>
        </w:rPr>
        <w:t xml:space="preserve"> </w:t>
      </w:r>
      <w:r>
        <w:rPr>
          <w:b/>
          <w:color w:val="231F20"/>
          <w:sz w:val="21"/>
        </w:rPr>
        <w:t>свобод</w:t>
      </w:r>
      <w:r>
        <w:rPr>
          <w:b/>
          <w:color w:val="231F20"/>
          <w:spacing w:val="-7"/>
          <w:sz w:val="21"/>
        </w:rPr>
        <w:t xml:space="preserve"> </w:t>
      </w:r>
      <w:r>
        <w:rPr>
          <w:b/>
          <w:color w:val="231F20"/>
          <w:sz w:val="21"/>
        </w:rPr>
        <w:t>та</w:t>
      </w:r>
      <w:r>
        <w:rPr>
          <w:b/>
          <w:color w:val="231F20"/>
          <w:spacing w:val="-7"/>
          <w:sz w:val="21"/>
        </w:rPr>
        <w:t xml:space="preserve"> </w:t>
      </w:r>
      <w:r>
        <w:rPr>
          <w:b/>
          <w:color w:val="231F20"/>
          <w:sz w:val="21"/>
        </w:rPr>
        <w:t>інтересів</w:t>
      </w:r>
      <w:r>
        <w:rPr>
          <w:b/>
          <w:color w:val="231F20"/>
          <w:spacing w:val="-8"/>
          <w:sz w:val="21"/>
        </w:rPr>
        <w:t xml:space="preserve"> </w:t>
      </w:r>
      <w:r>
        <w:rPr>
          <w:b/>
          <w:color w:val="231F20"/>
          <w:sz w:val="21"/>
        </w:rPr>
        <w:t>приватних</w:t>
      </w:r>
      <w:r>
        <w:rPr>
          <w:b/>
          <w:color w:val="231F20"/>
          <w:spacing w:val="-7"/>
          <w:sz w:val="21"/>
        </w:rPr>
        <w:t xml:space="preserve"> </w:t>
      </w:r>
      <w:r>
        <w:rPr>
          <w:b/>
          <w:color w:val="231F20"/>
          <w:sz w:val="21"/>
        </w:rPr>
        <w:t xml:space="preserve">осіб у сфері публічного адміністрування </w:t>
      </w:r>
      <w:r>
        <w:rPr>
          <w:color w:val="231F20"/>
          <w:sz w:val="21"/>
        </w:rPr>
        <w:t>(</w:t>
      </w:r>
      <w:r>
        <w:rPr>
          <w:i/>
          <w:color w:val="231F20"/>
          <w:sz w:val="21"/>
        </w:rPr>
        <w:t>поняття</w:t>
      </w:r>
      <w:r>
        <w:rPr>
          <w:color w:val="231F20"/>
          <w:sz w:val="21"/>
        </w:rPr>
        <w:t xml:space="preserve">) – адміністративні (квазісудові) засоби правового захисту приватних осіб в адмініст- ративно-правових відносинах із </w:t>
      </w:r>
      <w:r>
        <w:rPr>
          <w:color w:val="231F20"/>
          <w:spacing w:val="-3"/>
          <w:sz w:val="21"/>
        </w:rPr>
        <w:t xml:space="preserve">суб’єктами </w:t>
      </w:r>
      <w:r>
        <w:rPr>
          <w:color w:val="231F20"/>
          <w:sz w:val="21"/>
        </w:rPr>
        <w:t>публічної  адміністра- ції через звернення до відповідного компетентного позасудового арбітра щодо незаконності рішень, дій чи б</w:t>
      </w:r>
      <w:r>
        <w:rPr>
          <w:color w:val="231F20"/>
          <w:sz w:val="21"/>
        </w:rPr>
        <w:t xml:space="preserve">ездіяльності </w:t>
      </w:r>
      <w:r>
        <w:rPr>
          <w:color w:val="231F20"/>
          <w:spacing w:val="-3"/>
          <w:sz w:val="21"/>
        </w:rPr>
        <w:t xml:space="preserve">суб’єктів </w:t>
      </w:r>
      <w:r>
        <w:rPr>
          <w:color w:val="231F20"/>
          <w:sz w:val="21"/>
        </w:rPr>
        <w:t>публічної</w:t>
      </w:r>
      <w:r>
        <w:rPr>
          <w:color w:val="231F20"/>
          <w:spacing w:val="-1"/>
          <w:sz w:val="21"/>
        </w:rPr>
        <w:t xml:space="preserve"> </w:t>
      </w:r>
      <w:r>
        <w:rPr>
          <w:color w:val="231F20"/>
          <w:sz w:val="21"/>
        </w:rPr>
        <w:t>адміністрації.</w:t>
      </w:r>
    </w:p>
    <w:p w14:paraId="645B9AC2" w14:textId="77777777" w:rsidR="00DE575E" w:rsidRDefault="002E7560">
      <w:pPr>
        <w:pStyle w:val="BodyText"/>
        <w:spacing w:before="4" w:line="252" w:lineRule="auto"/>
        <w:ind w:left="250" w:right="410" w:firstLine="283"/>
        <w:jc w:val="both"/>
      </w:pPr>
      <w:r>
        <w:rPr>
          <w:b/>
          <w:color w:val="231F20"/>
        </w:rPr>
        <w:t xml:space="preserve">Інструменти захисту приватних осіб у сфері публічного адмі- ністрування </w:t>
      </w:r>
      <w:r>
        <w:rPr>
          <w:color w:val="231F20"/>
        </w:rPr>
        <w:t>(</w:t>
      </w:r>
      <w:r>
        <w:rPr>
          <w:i/>
          <w:color w:val="231F20"/>
        </w:rPr>
        <w:t>види</w:t>
      </w:r>
      <w:r>
        <w:rPr>
          <w:color w:val="231F20"/>
        </w:rPr>
        <w:t>) – адміністративна медіація, адміністративне оскарження, притягнення винних посадових осіб публічної адмі- ністрації до спеціально</w:t>
      </w:r>
      <w:r>
        <w:rPr>
          <w:color w:val="231F20"/>
        </w:rPr>
        <w:t>ї дисциплінарної відповідальності, відшко- дування</w:t>
      </w:r>
      <w:r>
        <w:rPr>
          <w:color w:val="231F20"/>
          <w:spacing w:val="-10"/>
        </w:rPr>
        <w:t xml:space="preserve"> </w:t>
      </w:r>
      <w:r>
        <w:rPr>
          <w:color w:val="231F20"/>
        </w:rPr>
        <w:t>шкоди,</w:t>
      </w:r>
      <w:r>
        <w:rPr>
          <w:color w:val="231F20"/>
          <w:spacing w:val="-10"/>
        </w:rPr>
        <w:t xml:space="preserve"> </w:t>
      </w:r>
      <w:r>
        <w:rPr>
          <w:color w:val="231F20"/>
        </w:rPr>
        <w:t>завданої</w:t>
      </w:r>
      <w:r>
        <w:rPr>
          <w:color w:val="231F20"/>
          <w:spacing w:val="-9"/>
        </w:rPr>
        <w:t xml:space="preserve"> </w:t>
      </w:r>
      <w:r>
        <w:rPr>
          <w:color w:val="231F20"/>
        </w:rPr>
        <w:t>незаконними</w:t>
      </w:r>
      <w:r>
        <w:rPr>
          <w:color w:val="231F20"/>
          <w:spacing w:val="-10"/>
        </w:rPr>
        <w:t xml:space="preserve"> </w:t>
      </w:r>
      <w:r>
        <w:rPr>
          <w:color w:val="231F20"/>
        </w:rPr>
        <w:t>діями</w:t>
      </w:r>
      <w:r>
        <w:rPr>
          <w:color w:val="231F20"/>
          <w:spacing w:val="-10"/>
        </w:rPr>
        <w:t xml:space="preserve"> </w:t>
      </w:r>
      <w:r>
        <w:rPr>
          <w:color w:val="231F20"/>
        </w:rPr>
        <w:t>(бездіяльністю)</w:t>
      </w:r>
      <w:r>
        <w:rPr>
          <w:color w:val="231F20"/>
          <w:spacing w:val="-9"/>
        </w:rPr>
        <w:t xml:space="preserve"> </w:t>
      </w:r>
      <w:r>
        <w:rPr>
          <w:color w:val="231F20"/>
          <w:spacing w:val="-4"/>
        </w:rPr>
        <w:t xml:space="preserve">суб’єк- </w:t>
      </w:r>
      <w:r>
        <w:rPr>
          <w:color w:val="231F20"/>
        </w:rPr>
        <w:t xml:space="preserve">тів публічної адміністрації, та засоби самозахисту, які мають різну юридичну природу й доповнюють один одного з найменш болю- чими для </w:t>
      </w:r>
      <w:r>
        <w:rPr>
          <w:color w:val="231F20"/>
          <w:spacing w:val="-3"/>
        </w:rPr>
        <w:t xml:space="preserve">суб’єктів </w:t>
      </w:r>
      <w:r>
        <w:rPr>
          <w:color w:val="231F20"/>
        </w:rPr>
        <w:t>пу</w:t>
      </w:r>
      <w:r>
        <w:rPr>
          <w:color w:val="231F20"/>
        </w:rPr>
        <w:t>блічної наслідками (добровільне примирення в процесі адміністративної медіації) – до майже повної заміни публічної</w:t>
      </w:r>
      <w:r>
        <w:rPr>
          <w:color w:val="231F20"/>
          <w:spacing w:val="-7"/>
        </w:rPr>
        <w:t xml:space="preserve"> </w:t>
      </w:r>
      <w:r>
        <w:rPr>
          <w:color w:val="231F20"/>
        </w:rPr>
        <w:t>влади</w:t>
      </w:r>
      <w:r>
        <w:rPr>
          <w:color w:val="231F20"/>
          <w:spacing w:val="-7"/>
        </w:rPr>
        <w:t xml:space="preserve"> </w:t>
      </w:r>
      <w:r>
        <w:rPr>
          <w:color w:val="231F20"/>
        </w:rPr>
        <w:t>у</w:t>
      </w:r>
      <w:r>
        <w:rPr>
          <w:color w:val="231F20"/>
          <w:spacing w:val="-7"/>
        </w:rPr>
        <w:t xml:space="preserve"> </w:t>
      </w:r>
      <w:r>
        <w:rPr>
          <w:color w:val="231F20"/>
        </w:rPr>
        <w:t>процесі</w:t>
      </w:r>
      <w:r>
        <w:rPr>
          <w:color w:val="231F20"/>
          <w:spacing w:val="-7"/>
        </w:rPr>
        <w:t xml:space="preserve"> </w:t>
      </w:r>
      <w:r>
        <w:rPr>
          <w:color w:val="231F20"/>
        </w:rPr>
        <w:t>позачергових</w:t>
      </w:r>
      <w:r>
        <w:rPr>
          <w:color w:val="231F20"/>
          <w:spacing w:val="-7"/>
        </w:rPr>
        <w:t xml:space="preserve"> </w:t>
      </w:r>
      <w:r>
        <w:rPr>
          <w:color w:val="231F20"/>
        </w:rPr>
        <w:t>виборів,</w:t>
      </w:r>
      <w:r>
        <w:rPr>
          <w:color w:val="231F20"/>
          <w:spacing w:val="-7"/>
        </w:rPr>
        <w:t xml:space="preserve"> </w:t>
      </w:r>
      <w:r>
        <w:rPr>
          <w:color w:val="231F20"/>
        </w:rPr>
        <w:t>що</w:t>
      </w:r>
      <w:r>
        <w:rPr>
          <w:color w:val="231F20"/>
          <w:spacing w:val="-7"/>
        </w:rPr>
        <w:t xml:space="preserve"> </w:t>
      </w:r>
      <w:r>
        <w:rPr>
          <w:color w:val="231F20"/>
        </w:rPr>
        <w:t>проводяться</w:t>
      </w:r>
      <w:r>
        <w:rPr>
          <w:color w:val="231F20"/>
          <w:spacing w:val="-7"/>
        </w:rPr>
        <w:t xml:space="preserve"> </w:t>
      </w:r>
      <w:r>
        <w:rPr>
          <w:color w:val="231F20"/>
        </w:rPr>
        <w:t>під тиском громадянського</w:t>
      </w:r>
      <w:r>
        <w:rPr>
          <w:color w:val="231F20"/>
          <w:spacing w:val="-1"/>
        </w:rPr>
        <w:t xml:space="preserve"> </w:t>
      </w:r>
      <w:r>
        <w:rPr>
          <w:color w:val="231F20"/>
        </w:rPr>
        <w:t>суспільства.</w:t>
      </w:r>
    </w:p>
    <w:p w14:paraId="294CED9A" w14:textId="77777777" w:rsidR="00DE575E" w:rsidRDefault="002E7560">
      <w:pPr>
        <w:spacing w:before="5" w:line="252" w:lineRule="auto"/>
        <w:ind w:left="250" w:right="411" w:firstLine="283"/>
        <w:jc w:val="both"/>
        <w:rPr>
          <w:sz w:val="21"/>
        </w:rPr>
      </w:pPr>
      <w:r>
        <w:rPr>
          <w:b/>
          <w:color w:val="231F20"/>
          <w:sz w:val="21"/>
        </w:rPr>
        <w:t xml:space="preserve">Інструменти публічного адміністрування </w:t>
      </w:r>
      <w:r>
        <w:rPr>
          <w:color w:val="231F20"/>
          <w:sz w:val="21"/>
        </w:rPr>
        <w:t>(</w:t>
      </w:r>
      <w:r>
        <w:rPr>
          <w:i/>
          <w:color w:val="231F20"/>
          <w:sz w:val="21"/>
        </w:rPr>
        <w:t>вузьке розуміння</w:t>
      </w:r>
      <w:r>
        <w:rPr>
          <w:color w:val="231F20"/>
          <w:sz w:val="21"/>
        </w:rPr>
        <w:t>) – видання</w:t>
      </w:r>
      <w:r>
        <w:rPr>
          <w:color w:val="231F20"/>
          <w:spacing w:val="-12"/>
          <w:sz w:val="21"/>
        </w:rPr>
        <w:t xml:space="preserve"> </w:t>
      </w:r>
      <w:r>
        <w:rPr>
          <w:color w:val="231F20"/>
          <w:sz w:val="21"/>
        </w:rPr>
        <w:t>нормативно-правових</w:t>
      </w:r>
      <w:r>
        <w:rPr>
          <w:color w:val="231F20"/>
          <w:spacing w:val="-12"/>
          <w:sz w:val="21"/>
        </w:rPr>
        <w:t xml:space="preserve"> </w:t>
      </w:r>
      <w:r>
        <w:rPr>
          <w:color w:val="231F20"/>
          <w:sz w:val="21"/>
        </w:rPr>
        <w:t>актів,</w:t>
      </w:r>
      <w:r>
        <w:rPr>
          <w:color w:val="231F20"/>
          <w:spacing w:val="-12"/>
          <w:sz w:val="21"/>
        </w:rPr>
        <w:t xml:space="preserve"> </w:t>
      </w:r>
      <w:r>
        <w:rPr>
          <w:color w:val="231F20"/>
          <w:sz w:val="21"/>
        </w:rPr>
        <w:t>видання</w:t>
      </w:r>
      <w:r>
        <w:rPr>
          <w:color w:val="231F20"/>
          <w:spacing w:val="-12"/>
          <w:sz w:val="21"/>
        </w:rPr>
        <w:t xml:space="preserve"> </w:t>
      </w:r>
      <w:r>
        <w:rPr>
          <w:color w:val="231F20"/>
          <w:sz w:val="21"/>
        </w:rPr>
        <w:t>індивідуальних</w:t>
      </w:r>
      <w:r>
        <w:rPr>
          <w:color w:val="231F20"/>
          <w:spacing w:val="-12"/>
          <w:sz w:val="21"/>
        </w:rPr>
        <w:t xml:space="preserve"> </w:t>
      </w:r>
      <w:r>
        <w:rPr>
          <w:color w:val="231F20"/>
          <w:sz w:val="21"/>
        </w:rPr>
        <w:t>актів,</w:t>
      </w:r>
    </w:p>
    <w:p w14:paraId="074400B8" w14:textId="77777777" w:rsidR="00DE575E" w:rsidRDefault="00DE575E">
      <w:pPr>
        <w:pStyle w:val="BodyText"/>
        <w:spacing w:before="5"/>
        <w:rPr>
          <w:sz w:val="12"/>
        </w:rPr>
      </w:pPr>
    </w:p>
    <w:p w14:paraId="56DC492A" w14:textId="77777777" w:rsidR="00DE575E" w:rsidRDefault="002E7560">
      <w:pPr>
        <w:spacing w:before="92"/>
        <w:ind w:right="411"/>
        <w:jc w:val="right"/>
        <w:rPr>
          <w:rFonts w:ascii="Times New Roman"/>
          <w:sz w:val="20"/>
        </w:rPr>
      </w:pPr>
      <w:r>
        <w:rPr>
          <w:rFonts w:ascii="Times New Roman"/>
          <w:color w:val="231F20"/>
          <w:w w:val="90"/>
          <w:sz w:val="20"/>
        </w:rPr>
        <w:t>541</w:t>
      </w:r>
    </w:p>
    <w:p w14:paraId="5BEFC48C"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1854051B"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A5492E8" w14:textId="2F08027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2F038DC" wp14:editId="62A35530">
                <wp:extent cx="4140200" cy="6350"/>
                <wp:effectExtent l="0" t="0" r="12700" b="6350"/>
                <wp:docPr id="8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2" name="Line 8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36509" id="Group_x0020_8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OMjvnV8AgAAlAUAAA4AAAAA&#10;AAAAAAAAAAAALAIAAGRycy9lMm9Eb2MueG1sUEsBAi0AFAAGAAgAAAAhAEynsJDZAAAAAwEAAA8A&#10;AAAAAAAAAAAAAAAA1AQAAGRycy9kb3ducmV2LnhtbFBLBQYAAAAABAAEAPMAAADaBQAAAAA=&#10;">
                <v:line id="Line_x0020_8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3le8QAAADbAAAADwAAAGRycy9kb3ducmV2LnhtbESP0WrCQBRE3wv+w3IFX4puVCiSukoR&#10;BPFBW+MHXLO3Seju3ZhdTfTru4Lg4zAzZ5j5srNGXKnxlWMF41ECgjh3uuJCwTFbD2cgfEDWaByT&#10;ght5WC56b3NMtWv5h66HUIgIYZ+igjKEOpXS5yVZ9CNXE0fv1zUWQ5RNIXWDbYRbIydJ8iEtVhwX&#10;SqxpVVL+d7hYBdn5PZjv/da02f40lafzbnq/7JQa9LuvTxCBuvAKP9sbrWA2gceX+AP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veV7xAAAANsAAAAPAAAAAAAAAAAA&#10;AAAAAKECAABkcnMvZG93bnJldi54bWxQSwUGAAAAAAQABAD5AAAAkgMAAAAA&#10;" strokecolor="#231f20" strokeweight=".5pt"/>
                <w10:anchorlock/>
              </v:group>
            </w:pict>
          </mc:Fallback>
        </mc:AlternateContent>
      </w:r>
    </w:p>
    <w:p w14:paraId="4994ADAA" w14:textId="77777777" w:rsidR="00DE575E" w:rsidRDefault="00DE575E">
      <w:pPr>
        <w:pStyle w:val="BodyText"/>
        <w:spacing w:before="7"/>
        <w:rPr>
          <w:rFonts w:ascii="AdonisC"/>
          <w:i/>
          <w:sz w:val="11"/>
        </w:rPr>
      </w:pPr>
    </w:p>
    <w:p w14:paraId="67D7355D" w14:textId="77777777" w:rsidR="00DE575E" w:rsidRDefault="002E7560">
      <w:pPr>
        <w:pStyle w:val="BodyText"/>
        <w:spacing w:before="101" w:line="252" w:lineRule="auto"/>
        <w:ind w:left="533" w:right="130"/>
        <w:jc w:val="both"/>
      </w:pPr>
      <w:r>
        <w:rPr>
          <w:color w:val="231F20"/>
        </w:rPr>
        <w:t>укладення адміністративних договорів, викор</w:t>
      </w:r>
      <w:r>
        <w:rPr>
          <w:color w:val="231F20"/>
        </w:rPr>
        <w:t>истання актів-планів та актів-дій.</w:t>
      </w:r>
    </w:p>
    <w:p w14:paraId="46270C1F" w14:textId="77777777" w:rsidR="00DE575E" w:rsidRDefault="002E7560">
      <w:pPr>
        <w:spacing w:before="1"/>
        <w:ind w:left="817"/>
        <w:rPr>
          <w:sz w:val="21"/>
        </w:rPr>
      </w:pPr>
      <w:r>
        <w:rPr>
          <w:b/>
          <w:color w:val="231F20"/>
          <w:sz w:val="21"/>
        </w:rPr>
        <w:t xml:space="preserve">Інструменти публічного адміністрування </w:t>
      </w:r>
      <w:r>
        <w:rPr>
          <w:color w:val="231F20"/>
          <w:sz w:val="21"/>
        </w:rPr>
        <w:t>(</w:t>
      </w:r>
      <w:r>
        <w:rPr>
          <w:i/>
          <w:color w:val="231F20"/>
          <w:sz w:val="21"/>
        </w:rPr>
        <w:t>широке розуміння</w:t>
      </w:r>
      <w:r>
        <w:rPr>
          <w:color w:val="231F20"/>
          <w:sz w:val="21"/>
        </w:rPr>
        <w:t>) –</w:t>
      </w:r>
    </w:p>
    <w:p w14:paraId="6308EB35" w14:textId="77777777" w:rsidR="00DE575E" w:rsidRDefault="002E7560">
      <w:pPr>
        <w:pStyle w:val="BodyText"/>
        <w:spacing w:before="12" w:line="252" w:lineRule="auto"/>
        <w:ind w:left="533" w:right="127"/>
        <w:jc w:val="both"/>
      </w:pPr>
      <w:r>
        <w:rPr>
          <w:color w:val="231F20"/>
        </w:rPr>
        <w:t>1) форми публічного адміністрування: видання нормативно-право- вих актів; видання індивідуальних адміністративних актів; укла- дення адміністративних договорів; учинення інших юридично значущих дій; здійснення матеріально-технічних операцій; 2) план, як ін</w:t>
      </w:r>
      <w:r>
        <w:rPr>
          <w:color w:val="231F20"/>
        </w:rPr>
        <w:t>струмент публічного адміністрування; 3) фактична дія, як інструмент публічного адміністрування; 4) методи публічного адміністрування: методи заохочення; методи переконання; методи адміністративного примусу: а) адміністративно-запобіжні заходи; б) заходи ад</w:t>
      </w:r>
      <w:r>
        <w:rPr>
          <w:color w:val="231F20"/>
        </w:rPr>
        <w:t>міністративного припинення; в) адміністративні стяг- нення; 5) адміністративно-правові режими; 6) контроль (нагляд);</w:t>
      </w:r>
    </w:p>
    <w:p w14:paraId="68344A4F" w14:textId="77777777" w:rsidR="00DE575E" w:rsidRDefault="002E7560">
      <w:pPr>
        <w:pStyle w:val="BodyText"/>
        <w:spacing w:before="5"/>
        <w:ind w:left="533"/>
      </w:pPr>
      <w:r>
        <w:rPr>
          <w:color w:val="231F20"/>
        </w:rPr>
        <w:t>7) електронне врядування.</w:t>
      </w:r>
    </w:p>
    <w:p w14:paraId="3913B4C8" w14:textId="77777777" w:rsidR="00DE575E" w:rsidRDefault="002E7560">
      <w:pPr>
        <w:pStyle w:val="BodyText"/>
        <w:spacing w:before="13" w:line="252" w:lineRule="auto"/>
        <w:ind w:left="533" w:right="126" w:firstLine="283"/>
        <w:jc w:val="both"/>
      </w:pPr>
      <w:r>
        <w:rPr>
          <w:b/>
          <w:color w:val="231F20"/>
        </w:rPr>
        <w:t xml:space="preserve">Інформаційна картка адміністративної послуги </w:t>
      </w:r>
      <w:r>
        <w:rPr>
          <w:color w:val="231F20"/>
        </w:rPr>
        <w:t xml:space="preserve">– </w:t>
      </w:r>
      <w:r>
        <w:rPr>
          <w:color w:val="231F20"/>
          <w:spacing w:val="-3"/>
        </w:rPr>
        <w:t xml:space="preserve">документ, </w:t>
      </w:r>
      <w:r>
        <w:rPr>
          <w:color w:val="231F20"/>
        </w:rPr>
        <w:t xml:space="preserve">який містить відомості, що стосуються </w:t>
      </w:r>
      <w:r>
        <w:rPr>
          <w:color w:val="231F20"/>
          <w:spacing w:val="-3"/>
        </w:rPr>
        <w:t xml:space="preserve">суб’єкта </w:t>
      </w:r>
      <w:r>
        <w:rPr>
          <w:color w:val="231F20"/>
        </w:rPr>
        <w:t xml:space="preserve">надання, </w:t>
      </w:r>
      <w:r>
        <w:rPr>
          <w:color w:val="231F20"/>
        </w:rPr>
        <w:t>підстав, умов, строків і порядку надання адміністративної послуги, і є</w:t>
      </w:r>
      <w:r>
        <w:rPr>
          <w:color w:val="231F20"/>
          <w:spacing w:val="-34"/>
        </w:rPr>
        <w:t xml:space="preserve"> </w:t>
      </w:r>
      <w:r>
        <w:rPr>
          <w:color w:val="231F20"/>
        </w:rPr>
        <w:t xml:space="preserve">одним із засобів забезпечення доступу споживачів до інформації про адмі- ністративні послуги та джерелом інформації як для споживачів </w:t>
      </w:r>
      <w:r>
        <w:rPr>
          <w:color w:val="231F20"/>
          <w:spacing w:val="-3"/>
        </w:rPr>
        <w:t xml:space="preserve">послуг, </w:t>
      </w:r>
      <w:r>
        <w:rPr>
          <w:color w:val="231F20"/>
        </w:rPr>
        <w:t xml:space="preserve">так і для </w:t>
      </w:r>
      <w:r>
        <w:rPr>
          <w:color w:val="231F20"/>
          <w:spacing w:val="-3"/>
        </w:rPr>
        <w:t xml:space="preserve">суб’єктів </w:t>
      </w:r>
      <w:r>
        <w:rPr>
          <w:color w:val="231F20"/>
        </w:rPr>
        <w:t xml:space="preserve">надання таких </w:t>
      </w:r>
      <w:r>
        <w:rPr>
          <w:color w:val="231F20"/>
          <w:spacing w:val="-3"/>
        </w:rPr>
        <w:t>послуг.</w:t>
      </w:r>
    </w:p>
    <w:p w14:paraId="440B2EB4" w14:textId="77777777" w:rsidR="00DE575E" w:rsidRDefault="002E7560">
      <w:pPr>
        <w:pStyle w:val="BodyText"/>
        <w:spacing w:before="3" w:line="252" w:lineRule="auto"/>
        <w:ind w:left="533" w:right="126" w:firstLine="283"/>
        <w:jc w:val="both"/>
      </w:pPr>
      <w:r>
        <w:rPr>
          <w:b/>
          <w:color w:val="231F20"/>
        </w:rPr>
        <w:t>К</w:t>
      </w:r>
      <w:r>
        <w:rPr>
          <w:b/>
          <w:color w:val="231F20"/>
        </w:rPr>
        <w:t xml:space="preserve">лопотання </w:t>
      </w:r>
      <w:r>
        <w:rPr>
          <w:color w:val="231F20"/>
        </w:rPr>
        <w:t xml:space="preserve">– письмове звернення з проханням про визнання  за особою відповідного </w:t>
      </w:r>
      <w:r>
        <w:rPr>
          <w:color w:val="231F20"/>
          <w:spacing w:val="-3"/>
        </w:rPr>
        <w:t xml:space="preserve">статусу, </w:t>
      </w:r>
      <w:r>
        <w:rPr>
          <w:color w:val="231F20"/>
        </w:rPr>
        <w:t xml:space="preserve">прав чи свобод  тощо.  Компетен- ція </w:t>
      </w:r>
      <w:r>
        <w:rPr>
          <w:color w:val="231F20"/>
          <w:spacing w:val="-3"/>
        </w:rPr>
        <w:t xml:space="preserve">суб’єкта  </w:t>
      </w:r>
      <w:r>
        <w:rPr>
          <w:color w:val="231F20"/>
        </w:rPr>
        <w:t>публічної  адміністрації  –  комплекс  взаємопов’яза- них елементів (мети, завдань, предмета відання та повноважень), що</w:t>
      </w:r>
      <w:r>
        <w:rPr>
          <w:color w:val="231F20"/>
        </w:rPr>
        <w:t xml:space="preserve"> характеризують особливості діяльності конкретного </w:t>
      </w:r>
      <w:r>
        <w:rPr>
          <w:color w:val="231F20"/>
          <w:spacing w:val="-4"/>
        </w:rPr>
        <w:t xml:space="preserve">суб’єкта </w:t>
      </w:r>
      <w:r>
        <w:rPr>
          <w:color w:val="231F20"/>
        </w:rPr>
        <w:t>публічного адміністрування, зумовлені його місцем у публічній адміністрації.</w:t>
      </w:r>
    </w:p>
    <w:p w14:paraId="7C0B8541" w14:textId="77777777" w:rsidR="00DE575E" w:rsidRDefault="002E7560">
      <w:pPr>
        <w:pStyle w:val="BodyText"/>
        <w:spacing w:before="4" w:line="252" w:lineRule="auto"/>
        <w:ind w:left="533" w:right="127" w:firstLine="283"/>
        <w:jc w:val="both"/>
      </w:pPr>
      <w:r>
        <w:rPr>
          <w:b/>
          <w:color w:val="231F20"/>
        </w:rPr>
        <w:t xml:space="preserve">Колізія норм адміністративного права </w:t>
      </w:r>
      <w:r>
        <w:rPr>
          <w:color w:val="231F20"/>
        </w:rPr>
        <w:t xml:space="preserve">означає, що норми нижчого ієрархічного рівня є недійсними. Проте така недійсність </w:t>
      </w:r>
      <w:r>
        <w:rPr>
          <w:color w:val="231F20"/>
        </w:rPr>
        <w:t>може викликатися лише тими нормами вищого ієрархічного рівня, які є правовими (законними) за своїм змістом.</w:t>
      </w:r>
    </w:p>
    <w:p w14:paraId="610414F5" w14:textId="77777777" w:rsidR="00DE575E" w:rsidRDefault="002E7560">
      <w:pPr>
        <w:pStyle w:val="BodyText"/>
        <w:spacing w:before="2" w:line="252" w:lineRule="auto"/>
        <w:ind w:left="533" w:right="126" w:firstLine="283"/>
        <w:jc w:val="both"/>
      </w:pPr>
      <w:r>
        <w:rPr>
          <w:b/>
          <w:color w:val="231F20"/>
        </w:rPr>
        <w:t xml:space="preserve">Компетенція </w:t>
      </w:r>
      <w:r>
        <w:rPr>
          <w:color w:val="231F20"/>
        </w:rPr>
        <w:t>– комплекс взаємопов’язаних елементів (мети, завдань, предмета відання та повноважень), що характеризує особ- ливості діяльності конкрет</w:t>
      </w:r>
      <w:r>
        <w:rPr>
          <w:color w:val="231F20"/>
        </w:rPr>
        <w:t>ного суб’єкта публічного адміністру- вання, зумовлені його місцем в публічній адміністрації.</w:t>
      </w:r>
    </w:p>
    <w:p w14:paraId="74A4EF11" w14:textId="77777777" w:rsidR="00DE575E" w:rsidRDefault="002E7560">
      <w:pPr>
        <w:pStyle w:val="BodyText"/>
        <w:spacing w:before="2" w:line="252" w:lineRule="auto"/>
        <w:ind w:left="533" w:right="127" w:firstLine="283"/>
        <w:jc w:val="both"/>
      </w:pPr>
      <w:r>
        <w:rPr>
          <w:b/>
          <w:color w:val="231F20"/>
          <w:spacing w:val="-4"/>
        </w:rPr>
        <w:t xml:space="preserve">Консультації </w:t>
      </w:r>
      <w:r>
        <w:rPr>
          <w:b/>
          <w:color w:val="231F20"/>
        </w:rPr>
        <w:t xml:space="preserve">з громадськістю </w:t>
      </w:r>
      <w:r>
        <w:rPr>
          <w:color w:val="231F20"/>
        </w:rPr>
        <w:t xml:space="preserve">– процес комунікації між орга- нами державної влади і громадянами та їх </w:t>
      </w:r>
      <w:r>
        <w:rPr>
          <w:color w:val="231F20"/>
          <w:spacing w:val="-3"/>
        </w:rPr>
        <w:t xml:space="preserve">об’єднаннями. </w:t>
      </w:r>
      <w:r>
        <w:rPr>
          <w:color w:val="231F20"/>
        </w:rPr>
        <w:t xml:space="preserve">Метою проведення  </w:t>
      </w:r>
      <w:r>
        <w:rPr>
          <w:color w:val="231F20"/>
          <w:spacing w:val="-3"/>
        </w:rPr>
        <w:t xml:space="preserve">консультацій   </w:t>
      </w:r>
      <w:r>
        <w:rPr>
          <w:color w:val="231F20"/>
        </w:rPr>
        <w:t>з  громадськіст</w:t>
      </w:r>
      <w:r>
        <w:rPr>
          <w:color w:val="231F20"/>
        </w:rPr>
        <w:t>ю  є  ухвалення  рішень,   в</w:t>
      </w:r>
      <w:r>
        <w:rPr>
          <w:color w:val="231F20"/>
          <w:spacing w:val="16"/>
        </w:rPr>
        <w:t xml:space="preserve"> </w:t>
      </w:r>
      <w:r>
        <w:rPr>
          <w:color w:val="231F20"/>
        </w:rPr>
        <w:t>яких</w:t>
      </w:r>
      <w:r>
        <w:rPr>
          <w:color w:val="231F20"/>
          <w:spacing w:val="16"/>
        </w:rPr>
        <w:t xml:space="preserve"> </w:t>
      </w:r>
      <w:r>
        <w:rPr>
          <w:color w:val="231F20"/>
          <w:spacing w:val="-4"/>
        </w:rPr>
        <w:t>буде</w:t>
      </w:r>
      <w:r>
        <w:rPr>
          <w:color w:val="231F20"/>
          <w:spacing w:val="16"/>
        </w:rPr>
        <w:t xml:space="preserve"> </w:t>
      </w:r>
      <w:r>
        <w:rPr>
          <w:color w:val="231F20"/>
        </w:rPr>
        <w:t>враховано</w:t>
      </w:r>
      <w:r>
        <w:rPr>
          <w:color w:val="231F20"/>
          <w:spacing w:val="16"/>
        </w:rPr>
        <w:t xml:space="preserve"> </w:t>
      </w:r>
      <w:r>
        <w:rPr>
          <w:color w:val="231F20"/>
        </w:rPr>
        <w:t>права,</w:t>
      </w:r>
      <w:r>
        <w:rPr>
          <w:color w:val="231F20"/>
          <w:spacing w:val="16"/>
        </w:rPr>
        <w:t xml:space="preserve"> </w:t>
      </w:r>
      <w:r>
        <w:rPr>
          <w:color w:val="231F20"/>
        </w:rPr>
        <w:t>інтереси</w:t>
      </w:r>
      <w:r>
        <w:rPr>
          <w:color w:val="231F20"/>
          <w:spacing w:val="16"/>
        </w:rPr>
        <w:t xml:space="preserve"> </w:t>
      </w:r>
      <w:r>
        <w:rPr>
          <w:color w:val="231F20"/>
        </w:rPr>
        <w:t>та</w:t>
      </w:r>
      <w:r>
        <w:rPr>
          <w:color w:val="231F20"/>
          <w:spacing w:val="16"/>
        </w:rPr>
        <w:t xml:space="preserve"> </w:t>
      </w:r>
      <w:r>
        <w:rPr>
          <w:color w:val="231F20"/>
        </w:rPr>
        <w:t>знання</w:t>
      </w:r>
      <w:r>
        <w:rPr>
          <w:color w:val="231F20"/>
          <w:spacing w:val="16"/>
        </w:rPr>
        <w:t xml:space="preserve"> </w:t>
      </w:r>
      <w:r>
        <w:rPr>
          <w:color w:val="231F20"/>
        </w:rPr>
        <w:t>всіх</w:t>
      </w:r>
      <w:r>
        <w:rPr>
          <w:color w:val="231F20"/>
          <w:spacing w:val="16"/>
        </w:rPr>
        <w:t xml:space="preserve"> </w:t>
      </w:r>
      <w:r>
        <w:rPr>
          <w:color w:val="231F20"/>
        </w:rPr>
        <w:t>зацікавлених</w:t>
      </w:r>
    </w:p>
    <w:p w14:paraId="767446E0" w14:textId="77777777" w:rsidR="00DE575E" w:rsidRDefault="00DE575E">
      <w:pPr>
        <w:pStyle w:val="BodyText"/>
        <w:spacing w:before="6"/>
        <w:rPr>
          <w:sz w:val="12"/>
        </w:rPr>
      </w:pPr>
    </w:p>
    <w:p w14:paraId="65CFE833" w14:textId="77777777" w:rsidR="00DE575E" w:rsidRDefault="002E7560">
      <w:pPr>
        <w:spacing w:before="92"/>
        <w:ind w:left="533"/>
        <w:rPr>
          <w:rFonts w:ascii="Times New Roman"/>
          <w:sz w:val="20"/>
        </w:rPr>
      </w:pPr>
      <w:r>
        <w:rPr>
          <w:rFonts w:ascii="Times New Roman"/>
          <w:color w:val="231F20"/>
          <w:sz w:val="20"/>
        </w:rPr>
        <w:t>542</w:t>
      </w:r>
    </w:p>
    <w:p w14:paraId="740BCADC" w14:textId="77777777" w:rsidR="00DE575E" w:rsidRDefault="00DE575E">
      <w:pPr>
        <w:rPr>
          <w:rFonts w:ascii="Times New Roman"/>
          <w:sz w:val="20"/>
        </w:rPr>
        <w:sectPr w:rsidR="00DE575E">
          <w:pgSz w:w="8510" w:h="12760"/>
          <w:pgMar w:top="660" w:right="720" w:bottom="280" w:left="600" w:header="720" w:footer="720" w:gutter="0"/>
          <w:cols w:space="720"/>
        </w:sectPr>
      </w:pPr>
    </w:p>
    <w:p w14:paraId="03724E11"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53298444" w14:textId="201868B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9417E93" wp14:editId="31799365">
                <wp:extent cx="4140200" cy="6350"/>
                <wp:effectExtent l="0" t="0" r="12700" b="6350"/>
                <wp:docPr id="7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0" name="Line 7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7343F" id="Group_x0020_7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aM8ENn4CAACUBQAADgAA&#10;AAAAAAAAAAAAAAAsAgAAZHJzL2Uyb0RvYy54bWxQSwECLQAUAAYACAAAACEATKewkNkAAAADAQAA&#10;DwAAAAAAAAAAAAAAAADWBAAAZHJzL2Rvd25yZXYueG1sUEsFBgAAAAAEAAQA8wAAANwFAAAAAA==&#10;">
                <v:line id="Line_x0020_7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Pel8MAAADbAAAADwAAAGRycy9kb3ducmV2LnhtbERP3WrCMBS+H/gO4Qi7GTPdCkM6YxFh&#10;IF7UzfoAx+asLUtO2iba6tMvF4Ndfnz/q3yyRlxp8K1jBS+LBARx5XTLtYJT+fG8BOEDskbjmBTc&#10;yEO+nj2sMNNu5C+6HkMtYgj7DBU0IXSZlL5qyKJfuI44ct9usBgiHGqpBxxjuDXyNUnepMWWY0OD&#10;HW0bqn6OF6ug7J+C+TzszVgezqk890V6vxRKPc6nzTuIQFP4F/+5d1rBMq6PX+IPk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j3pfDAAAA2wAAAA8AAAAAAAAAAAAA&#10;AAAAoQIAAGRycy9kb3ducmV2LnhtbFBLBQYAAAAABAAEAPkAAACRAwAAAAA=&#10;" strokecolor="#231f20" strokeweight=".5pt"/>
                <w10:anchorlock/>
              </v:group>
            </w:pict>
          </mc:Fallback>
        </mc:AlternateContent>
      </w:r>
    </w:p>
    <w:p w14:paraId="7AC41757" w14:textId="77777777" w:rsidR="00DE575E" w:rsidRDefault="00DE575E">
      <w:pPr>
        <w:pStyle w:val="BodyText"/>
        <w:spacing w:before="7"/>
        <w:rPr>
          <w:rFonts w:ascii="AdonisC"/>
          <w:i/>
          <w:sz w:val="19"/>
        </w:rPr>
      </w:pPr>
    </w:p>
    <w:p w14:paraId="4FC0615C" w14:textId="77777777" w:rsidR="00DE575E" w:rsidRDefault="002E7560">
      <w:pPr>
        <w:pStyle w:val="BodyText"/>
        <w:spacing w:before="1" w:line="252" w:lineRule="auto"/>
        <w:ind w:left="250" w:right="128"/>
      </w:pPr>
      <w:r>
        <w:rPr>
          <w:color w:val="231F20"/>
        </w:rPr>
        <w:t>сторін. Консультації з громадськістю надають можливість громадя- нам впливати на зміст рішень, що ухвалюються органами влади.</w:t>
      </w:r>
    </w:p>
    <w:p w14:paraId="2263F0E6" w14:textId="77777777" w:rsidR="00DE575E" w:rsidRDefault="002E7560">
      <w:pPr>
        <w:pStyle w:val="BodyText"/>
        <w:spacing w:before="1" w:line="252" w:lineRule="auto"/>
        <w:ind w:left="250" w:right="411" w:firstLine="283"/>
        <w:jc w:val="both"/>
      </w:pPr>
      <w:r>
        <w:rPr>
          <w:b/>
          <w:color w:val="231F20"/>
        </w:rPr>
        <w:t xml:space="preserve">Контроль як інструмент публічного адміністрування </w:t>
      </w:r>
      <w:r>
        <w:rPr>
          <w:color w:val="231F20"/>
        </w:rPr>
        <w:t>– вид діяльності</w:t>
      </w:r>
      <w:r>
        <w:rPr>
          <w:color w:val="231F20"/>
          <w:spacing w:val="-8"/>
        </w:rPr>
        <w:t xml:space="preserve"> </w:t>
      </w:r>
      <w:r>
        <w:rPr>
          <w:color w:val="231F20"/>
        </w:rPr>
        <w:t>публічної</w:t>
      </w:r>
      <w:r>
        <w:rPr>
          <w:color w:val="231F20"/>
          <w:spacing w:val="-8"/>
        </w:rPr>
        <w:t xml:space="preserve"> </w:t>
      </w:r>
      <w:r>
        <w:rPr>
          <w:color w:val="231F20"/>
        </w:rPr>
        <w:t>адміністрації,</w:t>
      </w:r>
      <w:r>
        <w:rPr>
          <w:color w:val="231F20"/>
          <w:spacing w:val="-8"/>
        </w:rPr>
        <w:t xml:space="preserve"> </w:t>
      </w:r>
      <w:r>
        <w:rPr>
          <w:color w:val="231F20"/>
        </w:rPr>
        <w:t>щ</w:t>
      </w:r>
      <w:r>
        <w:rPr>
          <w:color w:val="231F20"/>
        </w:rPr>
        <w:t>о</w:t>
      </w:r>
      <w:r>
        <w:rPr>
          <w:color w:val="231F20"/>
          <w:spacing w:val="-8"/>
        </w:rPr>
        <w:t xml:space="preserve"> </w:t>
      </w:r>
      <w:r>
        <w:rPr>
          <w:color w:val="231F20"/>
        </w:rPr>
        <w:t>полягає</w:t>
      </w:r>
      <w:r>
        <w:rPr>
          <w:color w:val="231F20"/>
          <w:spacing w:val="-8"/>
        </w:rPr>
        <w:t xml:space="preserve"> </w:t>
      </w:r>
      <w:r>
        <w:rPr>
          <w:color w:val="231F20"/>
        </w:rPr>
        <w:t>в</w:t>
      </w:r>
      <w:r>
        <w:rPr>
          <w:color w:val="231F20"/>
          <w:spacing w:val="-7"/>
        </w:rPr>
        <w:t xml:space="preserve"> </w:t>
      </w:r>
      <w:r>
        <w:rPr>
          <w:color w:val="231F20"/>
        </w:rPr>
        <w:t>активних</w:t>
      </w:r>
      <w:r>
        <w:rPr>
          <w:color w:val="231F20"/>
          <w:spacing w:val="-8"/>
        </w:rPr>
        <w:t xml:space="preserve"> </w:t>
      </w:r>
      <w:r>
        <w:rPr>
          <w:color w:val="231F20"/>
        </w:rPr>
        <w:t>діях</w:t>
      </w:r>
      <w:r>
        <w:rPr>
          <w:color w:val="231F20"/>
          <w:spacing w:val="-8"/>
        </w:rPr>
        <w:t xml:space="preserve"> </w:t>
      </w:r>
      <w:r>
        <w:rPr>
          <w:color w:val="231F20"/>
        </w:rPr>
        <w:t>щодо перевірки</w:t>
      </w:r>
      <w:r>
        <w:rPr>
          <w:color w:val="231F20"/>
          <w:spacing w:val="-16"/>
        </w:rPr>
        <w:t xml:space="preserve"> </w:t>
      </w:r>
      <w:r>
        <w:rPr>
          <w:color w:val="231F20"/>
        </w:rPr>
        <w:t>й</w:t>
      </w:r>
      <w:r>
        <w:rPr>
          <w:color w:val="231F20"/>
          <w:spacing w:val="-16"/>
        </w:rPr>
        <w:t xml:space="preserve"> </w:t>
      </w:r>
      <w:r>
        <w:rPr>
          <w:color w:val="231F20"/>
        </w:rPr>
        <w:t>обліку</w:t>
      </w:r>
      <w:r>
        <w:rPr>
          <w:color w:val="231F20"/>
          <w:spacing w:val="-16"/>
        </w:rPr>
        <w:t xml:space="preserve"> </w:t>
      </w:r>
      <w:r>
        <w:rPr>
          <w:color w:val="231F20"/>
        </w:rPr>
        <w:t>того,</w:t>
      </w:r>
      <w:r>
        <w:rPr>
          <w:color w:val="231F20"/>
          <w:spacing w:val="-16"/>
        </w:rPr>
        <w:t xml:space="preserve"> </w:t>
      </w:r>
      <w:r>
        <w:rPr>
          <w:color w:val="231F20"/>
        </w:rPr>
        <w:t>як</w:t>
      </w:r>
      <w:r>
        <w:rPr>
          <w:color w:val="231F20"/>
          <w:spacing w:val="-16"/>
        </w:rPr>
        <w:t xml:space="preserve"> </w:t>
      </w:r>
      <w:r>
        <w:rPr>
          <w:color w:val="231F20"/>
        </w:rPr>
        <w:t>контрольований</w:t>
      </w:r>
      <w:r>
        <w:rPr>
          <w:color w:val="231F20"/>
          <w:spacing w:val="-16"/>
        </w:rPr>
        <w:t xml:space="preserve"> </w:t>
      </w:r>
      <w:r>
        <w:rPr>
          <w:color w:val="231F20"/>
          <w:spacing w:val="-4"/>
        </w:rPr>
        <w:t>об’єкт</w:t>
      </w:r>
      <w:r>
        <w:rPr>
          <w:color w:val="231F20"/>
          <w:spacing w:val="-16"/>
        </w:rPr>
        <w:t xml:space="preserve"> </w:t>
      </w:r>
      <w:r>
        <w:rPr>
          <w:color w:val="231F20"/>
        </w:rPr>
        <w:t>публічного</w:t>
      </w:r>
      <w:r>
        <w:rPr>
          <w:color w:val="231F20"/>
          <w:spacing w:val="-16"/>
        </w:rPr>
        <w:t xml:space="preserve"> </w:t>
      </w:r>
      <w:r>
        <w:rPr>
          <w:color w:val="231F20"/>
        </w:rPr>
        <w:t>управ- ління виконує покладені на нього завдання та реалізує свої функції, визначені нормами адміністративного</w:t>
      </w:r>
      <w:r>
        <w:rPr>
          <w:color w:val="231F20"/>
          <w:spacing w:val="-2"/>
        </w:rPr>
        <w:t xml:space="preserve"> </w:t>
      </w:r>
      <w:r>
        <w:rPr>
          <w:color w:val="231F20"/>
        </w:rPr>
        <w:t>права.</w:t>
      </w:r>
    </w:p>
    <w:p w14:paraId="6F1D5F4C" w14:textId="77777777" w:rsidR="00DE575E" w:rsidRDefault="002E7560">
      <w:pPr>
        <w:pStyle w:val="BodyText"/>
        <w:spacing w:before="2" w:line="252" w:lineRule="auto"/>
        <w:ind w:left="250" w:right="411" w:firstLine="283"/>
        <w:jc w:val="both"/>
      </w:pPr>
      <w:r>
        <w:rPr>
          <w:b/>
          <w:color w:val="231F20"/>
        </w:rPr>
        <w:t xml:space="preserve">Медична практика </w:t>
      </w:r>
      <w:r>
        <w:rPr>
          <w:color w:val="231F20"/>
        </w:rPr>
        <w:t xml:space="preserve">– це діяльність у сфері охорони здоров’я, яка здійснюється з метою надання медичної допомоги та медичного обслуговування професійно підготовленими медичними працівни- ками на підставі отриманої відповідними закладами або фізичними особами-підприємцями (за </w:t>
      </w:r>
      <w:r>
        <w:rPr>
          <w:color w:val="231F20"/>
        </w:rPr>
        <w:t>наймом яких втілюється медична прак- тика) ліцензії;</w:t>
      </w:r>
    </w:p>
    <w:p w14:paraId="54DDEC35" w14:textId="77777777" w:rsidR="00DE575E" w:rsidRDefault="002E7560">
      <w:pPr>
        <w:pStyle w:val="BodyText"/>
        <w:spacing w:before="3" w:line="252" w:lineRule="auto"/>
        <w:ind w:left="250" w:right="411" w:firstLine="283"/>
        <w:jc w:val="both"/>
      </w:pPr>
      <w:r>
        <w:rPr>
          <w:color w:val="231F20"/>
        </w:rPr>
        <w:t>М</w:t>
      </w:r>
      <w:r>
        <w:rPr>
          <w:b/>
          <w:color w:val="231F20"/>
        </w:rPr>
        <w:t>етодичні</w:t>
      </w:r>
      <w:r>
        <w:rPr>
          <w:b/>
          <w:color w:val="231F20"/>
          <w:spacing w:val="-15"/>
        </w:rPr>
        <w:t xml:space="preserve"> </w:t>
      </w:r>
      <w:r>
        <w:rPr>
          <w:b/>
          <w:color w:val="231F20"/>
        </w:rPr>
        <w:t>рекомендації</w:t>
      </w:r>
      <w:r>
        <w:rPr>
          <w:b/>
          <w:color w:val="231F20"/>
          <w:spacing w:val="-16"/>
        </w:rPr>
        <w:t xml:space="preserve"> </w:t>
      </w:r>
      <w:r>
        <w:rPr>
          <w:color w:val="231F20"/>
        </w:rPr>
        <w:t>–</w:t>
      </w:r>
      <w:r>
        <w:rPr>
          <w:color w:val="231F20"/>
          <w:spacing w:val="-16"/>
        </w:rPr>
        <w:t xml:space="preserve"> </w:t>
      </w:r>
      <w:r>
        <w:rPr>
          <w:color w:val="231F20"/>
        </w:rPr>
        <w:t>нормативно-правові</w:t>
      </w:r>
      <w:r>
        <w:rPr>
          <w:color w:val="231F20"/>
          <w:spacing w:val="-16"/>
        </w:rPr>
        <w:t xml:space="preserve"> </w:t>
      </w:r>
      <w:r>
        <w:rPr>
          <w:color w:val="231F20"/>
        </w:rPr>
        <w:t>акти,</w:t>
      </w:r>
      <w:r>
        <w:rPr>
          <w:color w:val="231F20"/>
          <w:spacing w:val="-16"/>
        </w:rPr>
        <w:t xml:space="preserve"> </w:t>
      </w:r>
      <w:r>
        <w:rPr>
          <w:color w:val="231F20"/>
        </w:rPr>
        <w:t>що</w:t>
      </w:r>
      <w:r>
        <w:rPr>
          <w:color w:val="231F20"/>
          <w:spacing w:val="-16"/>
        </w:rPr>
        <w:t xml:space="preserve"> </w:t>
      </w:r>
      <w:r>
        <w:rPr>
          <w:color w:val="231F20"/>
        </w:rPr>
        <w:t>містять комплекс коротких і чітко сформульованих пропозицій і вказівок, що сприяють упровадженню в практику найбільш ефективних методів і форм управлі</w:t>
      </w:r>
      <w:r>
        <w:rPr>
          <w:color w:val="231F20"/>
        </w:rPr>
        <w:t>ння. Методичні рекомендації розробляються на основі вивчення або узагальнення практичного</w:t>
      </w:r>
      <w:r>
        <w:rPr>
          <w:color w:val="231F20"/>
          <w:spacing w:val="-7"/>
        </w:rPr>
        <w:t xml:space="preserve"> </w:t>
      </w:r>
      <w:r>
        <w:rPr>
          <w:color w:val="231F20"/>
          <w:spacing w:val="-3"/>
        </w:rPr>
        <w:t>досвіду.</w:t>
      </w:r>
    </w:p>
    <w:p w14:paraId="60BB81FF" w14:textId="77777777" w:rsidR="00DE575E" w:rsidRDefault="002E7560">
      <w:pPr>
        <w:pStyle w:val="BodyText"/>
        <w:spacing w:before="3" w:line="252" w:lineRule="auto"/>
        <w:ind w:left="250" w:right="409" w:firstLine="283"/>
        <w:jc w:val="both"/>
      </w:pPr>
      <w:r>
        <w:rPr>
          <w:b/>
          <w:color w:val="231F20"/>
        </w:rPr>
        <w:t xml:space="preserve">Міжнародна </w:t>
      </w:r>
      <w:r>
        <w:rPr>
          <w:b/>
          <w:color w:val="231F20"/>
          <w:spacing w:val="-3"/>
        </w:rPr>
        <w:t xml:space="preserve">угода </w:t>
      </w:r>
      <w:r>
        <w:rPr>
          <w:color w:val="231F20"/>
        </w:rPr>
        <w:t xml:space="preserve">– письмова угода </w:t>
      </w:r>
      <w:r>
        <w:rPr>
          <w:color w:val="231F20"/>
          <w:spacing w:val="-3"/>
        </w:rPr>
        <w:t xml:space="preserve">України </w:t>
      </w:r>
      <w:r>
        <w:rPr>
          <w:color w:val="231F20"/>
        </w:rPr>
        <w:t xml:space="preserve">з іноземною державою або іншим </w:t>
      </w:r>
      <w:r>
        <w:rPr>
          <w:color w:val="231F20"/>
          <w:spacing w:val="-3"/>
        </w:rPr>
        <w:t xml:space="preserve">суб’єктом </w:t>
      </w:r>
      <w:r>
        <w:rPr>
          <w:color w:val="231F20"/>
        </w:rPr>
        <w:t>міжнародного права, що регулю- ється міжнародним правом незалежно від того</w:t>
      </w:r>
      <w:r>
        <w:rPr>
          <w:color w:val="231F20"/>
        </w:rPr>
        <w:t xml:space="preserve">, чи міститься угода в одному чи кількох пов’язаних між собою документах і незалежно від її конкретного найменування (договір, угода, конвенція, </w:t>
      </w:r>
      <w:r>
        <w:rPr>
          <w:color w:val="231F20"/>
          <w:spacing w:val="-4"/>
        </w:rPr>
        <w:t xml:space="preserve">пакт, </w:t>
      </w:r>
      <w:r>
        <w:rPr>
          <w:color w:val="231F20"/>
        </w:rPr>
        <w:t>протокол</w:t>
      </w:r>
      <w:r>
        <w:rPr>
          <w:color w:val="231F20"/>
          <w:spacing w:val="-1"/>
        </w:rPr>
        <w:t xml:space="preserve"> </w:t>
      </w:r>
      <w:r>
        <w:rPr>
          <w:color w:val="231F20"/>
        </w:rPr>
        <w:t>тощо).</w:t>
      </w:r>
    </w:p>
    <w:p w14:paraId="1476FE30" w14:textId="77777777" w:rsidR="00DE575E" w:rsidRDefault="002E7560">
      <w:pPr>
        <w:pStyle w:val="BodyText"/>
        <w:spacing w:before="3" w:line="252" w:lineRule="auto"/>
        <w:ind w:left="250" w:right="411" w:firstLine="283"/>
        <w:jc w:val="both"/>
      </w:pPr>
      <w:r>
        <w:rPr>
          <w:b/>
          <w:color w:val="231F20"/>
        </w:rPr>
        <w:t xml:space="preserve">Міністерство </w:t>
      </w:r>
      <w:r>
        <w:rPr>
          <w:color w:val="231F20"/>
        </w:rPr>
        <w:t>– центральний орган виконавчої влади, який забезпечує формування та реалізує</w:t>
      </w:r>
      <w:r>
        <w:rPr>
          <w:color w:val="231F20"/>
        </w:rPr>
        <w:t xml:space="preserve"> державну політику в одній чи декількох</w:t>
      </w:r>
      <w:r>
        <w:rPr>
          <w:color w:val="231F20"/>
          <w:spacing w:val="-8"/>
        </w:rPr>
        <w:t xml:space="preserve"> </w:t>
      </w:r>
      <w:r>
        <w:rPr>
          <w:color w:val="231F20"/>
        </w:rPr>
        <w:t>визначених</w:t>
      </w:r>
      <w:r>
        <w:rPr>
          <w:color w:val="231F20"/>
          <w:spacing w:val="-8"/>
        </w:rPr>
        <w:t xml:space="preserve"> </w:t>
      </w:r>
      <w:r>
        <w:rPr>
          <w:color w:val="231F20"/>
        </w:rPr>
        <w:t>Президентом</w:t>
      </w:r>
      <w:r>
        <w:rPr>
          <w:color w:val="231F20"/>
          <w:spacing w:val="-8"/>
        </w:rPr>
        <w:t xml:space="preserve"> </w:t>
      </w:r>
      <w:r>
        <w:rPr>
          <w:color w:val="231F20"/>
          <w:spacing w:val="-3"/>
        </w:rPr>
        <w:t>України</w:t>
      </w:r>
      <w:r>
        <w:rPr>
          <w:color w:val="231F20"/>
          <w:spacing w:val="-8"/>
        </w:rPr>
        <w:t xml:space="preserve"> </w:t>
      </w:r>
      <w:r>
        <w:rPr>
          <w:color w:val="231F20"/>
        </w:rPr>
        <w:t>сферах,</w:t>
      </w:r>
      <w:r>
        <w:rPr>
          <w:color w:val="231F20"/>
          <w:spacing w:val="-8"/>
        </w:rPr>
        <w:t xml:space="preserve"> </w:t>
      </w:r>
      <w:r>
        <w:rPr>
          <w:color w:val="231F20"/>
        </w:rPr>
        <w:t>здійснення</w:t>
      </w:r>
      <w:r>
        <w:rPr>
          <w:color w:val="231F20"/>
          <w:spacing w:val="-9"/>
        </w:rPr>
        <w:t xml:space="preserve"> </w:t>
      </w:r>
      <w:r>
        <w:rPr>
          <w:color w:val="231F20"/>
        </w:rPr>
        <w:t xml:space="preserve">якої покладено на Кабінет Міністрів </w:t>
      </w:r>
      <w:r>
        <w:rPr>
          <w:color w:val="231F20"/>
          <w:spacing w:val="-3"/>
        </w:rPr>
        <w:t xml:space="preserve">України </w:t>
      </w:r>
      <w:r>
        <w:rPr>
          <w:color w:val="231F20"/>
        </w:rPr>
        <w:t xml:space="preserve">Конституцією та законами </w:t>
      </w:r>
      <w:r>
        <w:rPr>
          <w:color w:val="231F20"/>
          <w:spacing w:val="-3"/>
        </w:rPr>
        <w:t xml:space="preserve">України, </w:t>
      </w:r>
      <w:r>
        <w:rPr>
          <w:color w:val="231F20"/>
        </w:rPr>
        <w:t>контролює діяльність інших центральних органів виконав- чої влади, які перебувають у йог</w:t>
      </w:r>
      <w:r>
        <w:rPr>
          <w:color w:val="231F20"/>
        </w:rPr>
        <w:t>о</w:t>
      </w:r>
      <w:r>
        <w:rPr>
          <w:color w:val="231F20"/>
          <w:spacing w:val="-4"/>
        </w:rPr>
        <w:t xml:space="preserve"> </w:t>
      </w:r>
      <w:r>
        <w:rPr>
          <w:color w:val="231F20"/>
        </w:rPr>
        <w:t>підпорядкуванні.</w:t>
      </w:r>
    </w:p>
    <w:p w14:paraId="34023627" w14:textId="77777777" w:rsidR="00DE575E" w:rsidRDefault="002E7560">
      <w:pPr>
        <w:pStyle w:val="BodyText"/>
        <w:spacing w:before="2" w:line="252" w:lineRule="auto"/>
        <w:ind w:left="250" w:right="411" w:firstLine="283"/>
        <w:jc w:val="both"/>
      </w:pPr>
      <w:r>
        <w:rPr>
          <w:b/>
          <w:color w:val="231F20"/>
        </w:rPr>
        <w:t xml:space="preserve">Місцеве самоврядування </w:t>
      </w:r>
      <w:r>
        <w:rPr>
          <w:color w:val="231F20"/>
        </w:rPr>
        <w:t>(</w:t>
      </w:r>
      <w:r>
        <w:rPr>
          <w:i/>
          <w:color w:val="231F20"/>
        </w:rPr>
        <w:t>сутність</w:t>
      </w:r>
      <w:r>
        <w:rPr>
          <w:color w:val="231F20"/>
        </w:rPr>
        <w:t xml:space="preserve">) – полягає в гарантова- ному державою праві територіальної громади, громадян та їх орга- нів розв’язувати значну частину місцевих справ і управляти ними, діючи в межах </w:t>
      </w:r>
      <w:r>
        <w:rPr>
          <w:color w:val="231F20"/>
          <w:spacing w:val="-3"/>
        </w:rPr>
        <w:t xml:space="preserve">закону, </w:t>
      </w:r>
      <w:r>
        <w:rPr>
          <w:color w:val="231F20"/>
        </w:rPr>
        <w:t>під свою відповідальність та в інтересах насе- лення.</w:t>
      </w:r>
    </w:p>
    <w:p w14:paraId="53E45148" w14:textId="77777777" w:rsidR="00DE575E" w:rsidRDefault="002E7560">
      <w:pPr>
        <w:pStyle w:val="BodyText"/>
        <w:spacing w:before="3" w:line="252" w:lineRule="auto"/>
        <w:ind w:left="250" w:right="411" w:firstLine="283"/>
        <w:jc w:val="both"/>
      </w:pPr>
      <w:r>
        <w:rPr>
          <w:b/>
          <w:color w:val="231F20"/>
        </w:rPr>
        <w:t xml:space="preserve">Місцеві державні адміністрації </w:t>
      </w:r>
      <w:r>
        <w:rPr>
          <w:color w:val="231F20"/>
        </w:rPr>
        <w:t>– органи виконавчої влади, які здійснюють виконавчу владу на території відповідної адміністра- тивно-територіальної одиниці, а також реалізують повноваження, делеговані</w:t>
      </w:r>
      <w:r>
        <w:rPr>
          <w:color w:val="231F20"/>
          <w:spacing w:val="-18"/>
        </w:rPr>
        <w:t xml:space="preserve"> </w:t>
      </w:r>
      <w:r>
        <w:rPr>
          <w:color w:val="231F20"/>
        </w:rPr>
        <w:t>їм</w:t>
      </w:r>
      <w:r>
        <w:rPr>
          <w:color w:val="231F20"/>
          <w:spacing w:val="-17"/>
        </w:rPr>
        <w:t xml:space="preserve"> </w:t>
      </w:r>
      <w:r>
        <w:rPr>
          <w:color w:val="231F20"/>
        </w:rPr>
        <w:t>відповідною</w:t>
      </w:r>
      <w:r>
        <w:rPr>
          <w:color w:val="231F20"/>
          <w:spacing w:val="-18"/>
        </w:rPr>
        <w:t xml:space="preserve"> </w:t>
      </w:r>
      <w:r>
        <w:rPr>
          <w:color w:val="231F20"/>
        </w:rPr>
        <w:t>радою</w:t>
      </w:r>
      <w:r>
        <w:rPr>
          <w:color w:val="231F20"/>
          <w:spacing w:val="-17"/>
        </w:rPr>
        <w:t xml:space="preserve"> </w:t>
      </w:r>
      <w:r>
        <w:rPr>
          <w:color w:val="231F20"/>
        </w:rPr>
        <w:t>з</w:t>
      </w:r>
      <w:r>
        <w:rPr>
          <w:color w:val="231F20"/>
          <w:spacing w:val="-17"/>
        </w:rPr>
        <w:t xml:space="preserve"> </w:t>
      </w:r>
      <w:r>
        <w:rPr>
          <w:color w:val="231F20"/>
        </w:rPr>
        <w:t>метою</w:t>
      </w:r>
      <w:r>
        <w:rPr>
          <w:color w:val="231F20"/>
          <w:spacing w:val="-17"/>
        </w:rPr>
        <w:t xml:space="preserve"> </w:t>
      </w:r>
      <w:r>
        <w:rPr>
          <w:color w:val="231F20"/>
        </w:rPr>
        <w:t>забезпечення</w:t>
      </w:r>
      <w:r>
        <w:rPr>
          <w:color w:val="231F20"/>
          <w:spacing w:val="-17"/>
        </w:rPr>
        <w:t xml:space="preserve"> </w:t>
      </w:r>
      <w:r>
        <w:rPr>
          <w:color w:val="231F20"/>
        </w:rPr>
        <w:t>прав</w:t>
      </w:r>
      <w:r>
        <w:rPr>
          <w:color w:val="231F20"/>
          <w:spacing w:val="-17"/>
        </w:rPr>
        <w:t xml:space="preserve"> </w:t>
      </w:r>
      <w:r>
        <w:rPr>
          <w:color w:val="231F20"/>
        </w:rPr>
        <w:t>і</w:t>
      </w:r>
      <w:r>
        <w:rPr>
          <w:color w:val="231F20"/>
          <w:spacing w:val="-16"/>
        </w:rPr>
        <w:t xml:space="preserve"> </w:t>
      </w:r>
      <w:r>
        <w:rPr>
          <w:color w:val="231F20"/>
        </w:rPr>
        <w:t>свобод</w:t>
      </w:r>
    </w:p>
    <w:p w14:paraId="790F0C32" w14:textId="77777777" w:rsidR="00DE575E" w:rsidRDefault="00DE575E">
      <w:pPr>
        <w:pStyle w:val="BodyText"/>
        <w:spacing w:before="6"/>
        <w:rPr>
          <w:sz w:val="12"/>
        </w:rPr>
      </w:pPr>
    </w:p>
    <w:p w14:paraId="5153E096" w14:textId="77777777" w:rsidR="00DE575E" w:rsidRDefault="002E7560">
      <w:pPr>
        <w:spacing w:before="92"/>
        <w:ind w:right="411"/>
        <w:jc w:val="right"/>
        <w:rPr>
          <w:rFonts w:ascii="Times New Roman"/>
          <w:sz w:val="20"/>
        </w:rPr>
      </w:pPr>
      <w:r>
        <w:rPr>
          <w:rFonts w:ascii="Times New Roman"/>
          <w:color w:val="231F20"/>
          <w:w w:val="90"/>
          <w:sz w:val="20"/>
        </w:rPr>
        <w:t>543</w:t>
      </w:r>
    </w:p>
    <w:p w14:paraId="19DBAF3D"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1BDE7B59"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12EC40C" w14:textId="74213B7A"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E5E6EF9" wp14:editId="0F6D6DFD">
                <wp:extent cx="4140200" cy="6350"/>
                <wp:effectExtent l="0" t="0" r="12700" b="6350"/>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8" name="Line 7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CD3B3" id="Group_x0020_7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e7WtZn4CAACUBQAADgAA&#10;AAAAAAAAAAAAAAAsAgAAZHJzL2Uyb0RvYy54bWxQSwECLQAUAAYACAAAACEATKewkNkAAAADAQAA&#10;DwAAAAAAAAAAAAAAAADWBAAAZHJzL2Rvd25yZXYueG1sUEsFBgAAAAAEAAQA8wAAANwFAAAAAA==&#10;">
                <v:line id="Line_x0020_7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CitsIAAADbAAAADwAAAGRycy9kb3ducmV2LnhtbERP3WrCMBS+H+wdwhl4M2aqwhydUYYg&#10;iBf+tD7AsTlry5KT2kRbfXpzIezy4/ufLXprxJVaXztWMBomIIgLp2suFRzz1ccXCB+QNRrHpOBG&#10;Hhbz15cZptp1fKBrFkoRQ9inqKAKoUml9EVFFv3QNcSR+3WtxRBhW0rdYhfDrZHjJPmUFmuODRU2&#10;tKyo+MsuVkF+fg9mv9uYLt+dJvJ03k7ul61Sg7f+5xtEoD78i5/utVYwjWP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4CitsIAAADbAAAADwAAAAAAAAAAAAAA&#10;AAChAgAAZHJzL2Rvd25yZXYueG1sUEsFBgAAAAAEAAQA+QAAAJADAAAAAA==&#10;" strokecolor="#231f20" strokeweight=".5pt"/>
                <w10:anchorlock/>
              </v:group>
            </w:pict>
          </mc:Fallback>
        </mc:AlternateContent>
      </w:r>
    </w:p>
    <w:p w14:paraId="3A23DB79" w14:textId="77777777" w:rsidR="00DE575E" w:rsidRDefault="00DE575E">
      <w:pPr>
        <w:pStyle w:val="BodyText"/>
        <w:spacing w:before="7"/>
        <w:rPr>
          <w:rFonts w:ascii="AdonisC"/>
          <w:i/>
          <w:sz w:val="11"/>
        </w:rPr>
      </w:pPr>
    </w:p>
    <w:p w14:paraId="0CA78601" w14:textId="77777777" w:rsidR="00DE575E" w:rsidRDefault="002E7560">
      <w:pPr>
        <w:pStyle w:val="BodyText"/>
        <w:spacing w:before="101" w:line="252" w:lineRule="auto"/>
        <w:ind w:left="533"/>
      </w:pPr>
      <w:r>
        <w:rPr>
          <w:color w:val="231F20"/>
        </w:rPr>
        <w:t>людини та громадянина, нормального функціонування громадянсь- кого суспільства.</w:t>
      </w:r>
    </w:p>
    <w:p w14:paraId="11CC8E10" w14:textId="77777777" w:rsidR="00DE575E" w:rsidRDefault="002E7560">
      <w:pPr>
        <w:pStyle w:val="BodyText"/>
        <w:spacing w:before="1" w:line="252" w:lineRule="auto"/>
        <w:ind w:left="533" w:right="127" w:firstLine="283"/>
        <w:jc w:val="both"/>
      </w:pPr>
      <w:r>
        <w:rPr>
          <w:b/>
          <w:color w:val="231F20"/>
        </w:rPr>
        <w:t>Надання</w:t>
      </w:r>
      <w:r>
        <w:rPr>
          <w:b/>
          <w:color w:val="231F20"/>
          <w:spacing w:val="-8"/>
        </w:rPr>
        <w:t xml:space="preserve"> </w:t>
      </w:r>
      <w:r>
        <w:rPr>
          <w:b/>
          <w:color w:val="231F20"/>
        </w:rPr>
        <w:t>довідок</w:t>
      </w:r>
      <w:r>
        <w:rPr>
          <w:b/>
          <w:color w:val="231F20"/>
          <w:spacing w:val="-9"/>
        </w:rPr>
        <w:t xml:space="preserve"> </w:t>
      </w:r>
      <w:r>
        <w:rPr>
          <w:color w:val="231F20"/>
        </w:rPr>
        <w:t>–</w:t>
      </w:r>
      <w:r>
        <w:rPr>
          <w:color w:val="231F20"/>
          <w:spacing w:val="-8"/>
        </w:rPr>
        <w:t xml:space="preserve"> </w:t>
      </w:r>
      <w:r>
        <w:rPr>
          <w:color w:val="231F20"/>
        </w:rPr>
        <w:t>архаїчний</w:t>
      </w:r>
      <w:r>
        <w:rPr>
          <w:color w:val="231F20"/>
          <w:spacing w:val="-8"/>
        </w:rPr>
        <w:t xml:space="preserve"> </w:t>
      </w:r>
      <w:r>
        <w:rPr>
          <w:color w:val="231F20"/>
        </w:rPr>
        <w:t>інструмент</w:t>
      </w:r>
      <w:r>
        <w:rPr>
          <w:color w:val="231F20"/>
          <w:spacing w:val="-8"/>
        </w:rPr>
        <w:t xml:space="preserve"> </w:t>
      </w:r>
      <w:r>
        <w:rPr>
          <w:color w:val="231F20"/>
        </w:rPr>
        <w:t>публічного</w:t>
      </w:r>
      <w:r>
        <w:rPr>
          <w:color w:val="231F20"/>
          <w:spacing w:val="-8"/>
        </w:rPr>
        <w:t xml:space="preserve"> </w:t>
      </w:r>
      <w:r>
        <w:rPr>
          <w:color w:val="231F20"/>
        </w:rPr>
        <w:t>адміністру- вання, що дістався нам від минулої епохи й усе рідше використо- вується в публічному адмініструванні з розвитком електронного врядування.</w:t>
      </w:r>
    </w:p>
    <w:p w14:paraId="6F72AA0A" w14:textId="77777777" w:rsidR="00DE575E" w:rsidRDefault="002E7560">
      <w:pPr>
        <w:pStyle w:val="BodyText"/>
        <w:spacing w:before="2" w:line="252" w:lineRule="auto"/>
        <w:ind w:left="533" w:right="127" w:firstLine="283"/>
        <w:jc w:val="both"/>
      </w:pPr>
      <w:r>
        <w:rPr>
          <w:b/>
          <w:color w:val="231F20"/>
        </w:rPr>
        <w:t xml:space="preserve">Наукова діяльність </w:t>
      </w:r>
      <w:r>
        <w:rPr>
          <w:color w:val="231F20"/>
        </w:rPr>
        <w:t>– інтелектуальна творча діяльність, спря- мована на одержання нових знань та (або) пошу</w:t>
      </w:r>
      <w:r>
        <w:rPr>
          <w:color w:val="231F20"/>
        </w:rPr>
        <w:t>к шляхів їх засто- сування, основними видами якої є фундаментальні та прикладні наукові дослідження; результатом перших є гіпотези, теорії, нові методи пізнання, відкриття законів природи, невідомих раніше явищ і властивостей матерії тощо, а результатом др</w:t>
      </w:r>
      <w:r>
        <w:rPr>
          <w:color w:val="231F20"/>
        </w:rPr>
        <w:t>угих – нові знання, призначені для створення нових або вдосконалення наяв- них матеріалів, продуктів, пропозиції щодо виконання актуальних науково-технічних завдань тощо.</w:t>
      </w:r>
    </w:p>
    <w:p w14:paraId="1CF2449C" w14:textId="77777777" w:rsidR="00DE575E" w:rsidRDefault="002E7560">
      <w:pPr>
        <w:pStyle w:val="BodyText"/>
        <w:spacing w:before="4" w:line="252" w:lineRule="auto"/>
        <w:ind w:left="533" w:right="128" w:firstLine="283"/>
        <w:jc w:val="both"/>
      </w:pPr>
      <w:r>
        <w:rPr>
          <w:b/>
          <w:color w:val="231F20"/>
        </w:rPr>
        <w:t>Норма</w:t>
      </w:r>
      <w:r>
        <w:rPr>
          <w:b/>
          <w:color w:val="231F20"/>
          <w:spacing w:val="-18"/>
        </w:rPr>
        <w:t xml:space="preserve"> </w:t>
      </w:r>
      <w:r>
        <w:rPr>
          <w:b/>
          <w:color w:val="231F20"/>
        </w:rPr>
        <w:t>адміністративного</w:t>
      </w:r>
      <w:r>
        <w:rPr>
          <w:b/>
          <w:color w:val="231F20"/>
          <w:spacing w:val="-18"/>
        </w:rPr>
        <w:t xml:space="preserve"> </w:t>
      </w:r>
      <w:r>
        <w:rPr>
          <w:b/>
          <w:color w:val="231F20"/>
        </w:rPr>
        <w:t>права</w:t>
      </w:r>
      <w:r>
        <w:rPr>
          <w:b/>
          <w:color w:val="231F20"/>
          <w:spacing w:val="-19"/>
        </w:rPr>
        <w:t xml:space="preserve"> </w:t>
      </w:r>
      <w:r>
        <w:rPr>
          <w:color w:val="231F20"/>
        </w:rPr>
        <w:t>–</w:t>
      </w:r>
      <w:r>
        <w:rPr>
          <w:color w:val="231F20"/>
          <w:spacing w:val="-18"/>
        </w:rPr>
        <w:t xml:space="preserve"> </w:t>
      </w:r>
      <w:r>
        <w:rPr>
          <w:color w:val="231F20"/>
        </w:rPr>
        <w:t>загальнообов’язкове</w:t>
      </w:r>
      <w:r>
        <w:rPr>
          <w:color w:val="231F20"/>
          <w:spacing w:val="-18"/>
        </w:rPr>
        <w:t xml:space="preserve"> </w:t>
      </w:r>
      <w:r>
        <w:rPr>
          <w:color w:val="231F20"/>
        </w:rPr>
        <w:t>правило поведінки, установлене аб</w:t>
      </w:r>
      <w:r>
        <w:rPr>
          <w:color w:val="231F20"/>
        </w:rPr>
        <w:t>о санкціоноване державою з метою</w:t>
      </w:r>
      <w:r>
        <w:rPr>
          <w:color w:val="231F20"/>
          <w:spacing w:val="-32"/>
        </w:rPr>
        <w:t xml:space="preserve"> </w:t>
      </w:r>
      <w:r>
        <w:rPr>
          <w:color w:val="231F20"/>
        </w:rPr>
        <w:t>забез- печення публічних прав і свобод людини й громадянина, нормаль- ного  функціонування  громадянського   суспільства   та   держави   й захищене від порушення засобами державного</w:t>
      </w:r>
      <w:r>
        <w:rPr>
          <w:color w:val="231F20"/>
          <w:spacing w:val="-10"/>
        </w:rPr>
        <w:t xml:space="preserve"> </w:t>
      </w:r>
      <w:r>
        <w:rPr>
          <w:color w:val="231F20"/>
          <w:spacing w:val="-3"/>
        </w:rPr>
        <w:t>примусу.</w:t>
      </w:r>
    </w:p>
    <w:p w14:paraId="153EDBA2" w14:textId="77777777" w:rsidR="00DE575E" w:rsidRDefault="002E7560">
      <w:pPr>
        <w:spacing w:before="3" w:line="252" w:lineRule="auto"/>
        <w:ind w:left="533" w:right="127" w:firstLine="283"/>
        <w:jc w:val="both"/>
        <w:rPr>
          <w:sz w:val="21"/>
        </w:rPr>
      </w:pPr>
      <w:r>
        <w:rPr>
          <w:b/>
          <w:color w:val="231F20"/>
          <w:sz w:val="21"/>
        </w:rPr>
        <w:t>Нормативно-правовий акт (нормат</w:t>
      </w:r>
      <w:r>
        <w:rPr>
          <w:b/>
          <w:color w:val="231F20"/>
          <w:sz w:val="21"/>
        </w:rPr>
        <w:t xml:space="preserve">ивний  акт)  </w:t>
      </w:r>
      <w:r>
        <w:rPr>
          <w:color w:val="231F20"/>
          <w:sz w:val="21"/>
        </w:rPr>
        <w:t xml:space="preserve">–  письмо-  вий документ компетентного </w:t>
      </w:r>
      <w:r>
        <w:rPr>
          <w:color w:val="231F20"/>
          <w:spacing w:val="-3"/>
          <w:sz w:val="21"/>
        </w:rPr>
        <w:t xml:space="preserve">суб’єкта </w:t>
      </w:r>
      <w:r>
        <w:rPr>
          <w:color w:val="231F20"/>
          <w:sz w:val="21"/>
        </w:rPr>
        <w:t xml:space="preserve">владних повноважень, який містить формально обов’язкове правило поведінки загального </w:t>
      </w:r>
      <w:r>
        <w:rPr>
          <w:color w:val="231F20"/>
          <w:spacing w:val="-3"/>
          <w:sz w:val="21"/>
        </w:rPr>
        <w:t>характеру.</w:t>
      </w:r>
    </w:p>
    <w:p w14:paraId="277C89DB" w14:textId="77777777" w:rsidR="00DE575E" w:rsidRDefault="002E7560">
      <w:pPr>
        <w:pStyle w:val="BodyText"/>
        <w:spacing w:before="1" w:line="252" w:lineRule="auto"/>
        <w:ind w:left="533" w:right="127" w:firstLine="283"/>
        <w:jc w:val="both"/>
      </w:pPr>
      <w:r>
        <w:rPr>
          <w:b/>
          <w:color w:val="231F20"/>
        </w:rPr>
        <w:t xml:space="preserve">Обов’язки державного службовця </w:t>
      </w:r>
      <w:r>
        <w:rPr>
          <w:color w:val="231F20"/>
        </w:rPr>
        <w:t>– сукупність установлених державоювимогщододіяльностідержавногослужб</w:t>
      </w:r>
      <w:r>
        <w:rPr>
          <w:color w:val="231F20"/>
        </w:rPr>
        <w:t xml:space="preserve">овця,якіофіційно закріплюють міру його необхідної поведінки. Обов’язки держав- ного службовця закріплено </w:t>
      </w:r>
      <w:r>
        <w:rPr>
          <w:color w:val="231F20"/>
          <w:spacing w:val="-6"/>
        </w:rPr>
        <w:t xml:space="preserve">ст. </w:t>
      </w:r>
      <w:r>
        <w:rPr>
          <w:color w:val="231F20"/>
        </w:rPr>
        <w:t xml:space="preserve">8 Закону </w:t>
      </w:r>
      <w:r>
        <w:rPr>
          <w:color w:val="231F20"/>
          <w:spacing w:val="-3"/>
        </w:rPr>
        <w:t xml:space="preserve">України </w:t>
      </w:r>
      <w:r>
        <w:rPr>
          <w:color w:val="231F20"/>
        </w:rPr>
        <w:t>«Про державну службу». Виходячи зі змісту положень цієї норми, обов’язки</w:t>
      </w:r>
      <w:r>
        <w:rPr>
          <w:color w:val="231F20"/>
          <w:spacing w:val="-29"/>
        </w:rPr>
        <w:t xml:space="preserve"> </w:t>
      </w:r>
      <w:r>
        <w:rPr>
          <w:color w:val="231F20"/>
        </w:rPr>
        <w:t xml:space="preserve">держав- ного службовця доцільно класифікувати залежно від їх приналеж- ності та нормативного закріплення на два види: </w:t>
      </w:r>
      <w:r>
        <w:rPr>
          <w:i/>
          <w:color w:val="231F20"/>
        </w:rPr>
        <w:t>основні обов’язки</w:t>
      </w:r>
      <w:r>
        <w:rPr>
          <w:color w:val="231F20"/>
        </w:rPr>
        <w:t>, які</w:t>
      </w:r>
      <w:r>
        <w:rPr>
          <w:color w:val="231F20"/>
          <w:spacing w:val="-11"/>
        </w:rPr>
        <w:t xml:space="preserve"> </w:t>
      </w:r>
      <w:r>
        <w:rPr>
          <w:color w:val="231F20"/>
        </w:rPr>
        <w:t>покладено</w:t>
      </w:r>
      <w:r>
        <w:rPr>
          <w:color w:val="231F20"/>
          <w:spacing w:val="-11"/>
        </w:rPr>
        <w:t xml:space="preserve"> </w:t>
      </w:r>
      <w:r>
        <w:rPr>
          <w:color w:val="231F20"/>
        </w:rPr>
        <w:t>на</w:t>
      </w:r>
      <w:r>
        <w:rPr>
          <w:color w:val="231F20"/>
          <w:spacing w:val="-11"/>
        </w:rPr>
        <w:t xml:space="preserve"> </w:t>
      </w:r>
      <w:r>
        <w:rPr>
          <w:color w:val="231F20"/>
        </w:rPr>
        <w:t>всіх</w:t>
      </w:r>
      <w:r>
        <w:rPr>
          <w:color w:val="231F20"/>
          <w:spacing w:val="-11"/>
        </w:rPr>
        <w:t xml:space="preserve"> </w:t>
      </w:r>
      <w:r>
        <w:rPr>
          <w:color w:val="231F20"/>
        </w:rPr>
        <w:t>державних</w:t>
      </w:r>
      <w:r>
        <w:rPr>
          <w:color w:val="231F20"/>
          <w:spacing w:val="-11"/>
        </w:rPr>
        <w:t xml:space="preserve"> </w:t>
      </w:r>
      <w:r>
        <w:rPr>
          <w:color w:val="231F20"/>
        </w:rPr>
        <w:t>службовців</w:t>
      </w:r>
      <w:r>
        <w:rPr>
          <w:color w:val="231F20"/>
          <w:spacing w:val="-11"/>
        </w:rPr>
        <w:t xml:space="preserve"> </w:t>
      </w:r>
      <w:r>
        <w:rPr>
          <w:color w:val="231F20"/>
        </w:rPr>
        <w:t>та</w:t>
      </w:r>
      <w:r>
        <w:rPr>
          <w:color w:val="231F20"/>
          <w:spacing w:val="-11"/>
        </w:rPr>
        <w:t xml:space="preserve"> </w:t>
      </w:r>
      <w:r>
        <w:rPr>
          <w:color w:val="231F20"/>
        </w:rPr>
        <w:t>які</w:t>
      </w:r>
      <w:r>
        <w:rPr>
          <w:color w:val="231F20"/>
          <w:spacing w:val="-11"/>
        </w:rPr>
        <w:t xml:space="preserve"> </w:t>
      </w:r>
      <w:r>
        <w:rPr>
          <w:color w:val="231F20"/>
        </w:rPr>
        <w:t>прямо</w:t>
      </w:r>
      <w:r>
        <w:rPr>
          <w:color w:val="231F20"/>
          <w:spacing w:val="-11"/>
        </w:rPr>
        <w:t xml:space="preserve"> </w:t>
      </w:r>
      <w:r>
        <w:rPr>
          <w:color w:val="231F20"/>
        </w:rPr>
        <w:t xml:space="preserve">закріплено Законом «Про державну службу»; </w:t>
      </w:r>
      <w:r>
        <w:rPr>
          <w:i/>
          <w:color w:val="231F20"/>
        </w:rPr>
        <w:t>посадові обов’язки, я</w:t>
      </w:r>
      <w:r>
        <w:rPr>
          <w:color w:val="231F20"/>
        </w:rPr>
        <w:t>кі покладено на окремих державних службовців залежно від займаної посади та які закріплено в положеннях про структурні підрозділи державних органів</w:t>
      </w:r>
      <w:r>
        <w:rPr>
          <w:color w:val="231F20"/>
          <w:spacing w:val="-8"/>
        </w:rPr>
        <w:t xml:space="preserve"> </w:t>
      </w:r>
      <w:r>
        <w:rPr>
          <w:color w:val="231F20"/>
        </w:rPr>
        <w:t>і</w:t>
      </w:r>
      <w:r>
        <w:rPr>
          <w:color w:val="231F20"/>
          <w:spacing w:val="-7"/>
        </w:rPr>
        <w:t xml:space="preserve"> </w:t>
      </w:r>
      <w:r>
        <w:rPr>
          <w:color w:val="231F20"/>
        </w:rPr>
        <w:t>посадових</w:t>
      </w:r>
      <w:r>
        <w:rPr>
          <w:color w:val="231F20"/>
          <w:spacing w:val="-7"/>
        </w:rPr>
        <w:t xml:space="preserve"> </w:t>
      </w:r>
      <w:r>
        <w:rPr>
          <w:color w:val="231F20"/>
        </w:rPr>
        <w:t>інструкціях,</w:t>
      </w:r>
      <w:r>
        <w:rPr>
          <w:color w:val="231F20"/>
          <w:spacing w:val="-7"/>
        </w:rPr>
        <w:t xml:space="preserve"> </w:t>
      </w:r>
      <w:r>
        <w:rPr>
          <w:color w:val="231F20"/>
        </w:rPr>
        <w:t>затверджених</w:t>
      </w:r>
      <w:r>
        <w:rPr>
          <w:color w:val="231F20"/>
          <w:spacing w:val="-7"/>
        </w:rPr>
        <w:t xml:space="preserve"> </w:t>
      </w:r>
      <w:r>
        <w:rPr>
          <w:color w:val="231F20"/>
        </w:rPr>
        <w:t>керівниками</w:t>
      </w:r>
      <w:r>
        <w:rPr>
          <w:color w:val="231F20"/>
          <w:spacing w:val="-8"/>
        </w:rPr>
        <w:t xml:space="preserve"> </w:t>
      </w:r>
      <w:r>
        <w:rPr>
          <w:color w:val="231F20"/>
        </w:rPr>
        <w:t>держав- ної служби в цих</w:t>
      </w:r>
      <w:r>
        <w:rPr>
          <w:color w:val="231F20"/>
          <w:spacing w:val="-3"/>
        </w:rPr>
        <w:t xml:space="preserve"> </w:t>
      </w:r>
      <w:r>
        <w:rPr>
          <w:color w:val="231F20"/>
        </w:rPr>
        <w:t>органах.</w:t>
      </w:r>
    </w:p>
    <w:p w14:paraId="6FC14C48" w14:textId="77777777" w:rsidR="00DE575E" w:rsidRDefault="002E7560">
      <w:pPr>
        <w:pStyle w:val="BodyText"/>
        <w:spacing w:before="7" w:line="252" w:lineRule="auto"/>
        <w:ind w:left="533" w:right="127" w:firstLine="283"/>
        <w:jc w:val="both"/>
      </w:pPr>
      <w:r>
        <w:rPr>
          <w:b/>
          <w:color w:val="231F20"/>
        </w:rPr>
        <w:t>Органи</w:t>
      </w:r>
      <w:r>
        <w:rPr>
          <w:b/>
          <w:color w:val="231F20"/>
          <w:spacing w:val="-11"/>
        </w:rPr>
        <w:t xml:space="preserve"> </w:t>
      </w:r>
      <w:r>
        <w:rPr>
          <w:b/>
          <w:color w:val="231F20"/>
        </w:rPr>
        <w:t>виконавчої</w:t>
      </w:r>
      <w:r>
        <w:rPr>
          <w:b/>
          <w:color w:val="231F20"/>
          <w:spacing w:val="-10"/>
        </w:rPr>
        <w:t xml:space="preserve"> </w:t>
      </w:r>
      <w:r>
        <w:rPr>
          <w:b/>
          <w:color w:val="231F20"/>
        </w:rPr>
        <w:t>влади</w:t>
      </w:r>
      <w:r>
        <w:rPr>
          <w:b/>
          <w:color w:val="231F20"/>
          <w:spacing w:val="-11"/>
        </w:rPr>
        <w:t xml:space="preserve"> </w:t>
      </w:r>
      <w:r>
        <w:rPr>
          <w:color w:val="231F20"/>
        </w:rPr>
        <w:t>–</w:t>
      </w:r>
      <w:r>
        <w:rPr>
          <w:color w:val="231F20"/>
          <w:spacing w:val="-11"/>
        </w:rPr>
        <w:t xml:space="preserve"> </w:t>
      </w:r>
      <w:r>
        <w:rPr>
          <w:color w:val="231F20"/>
        </w:rPr>
        <w:t>частина</w:t>
      </w:r>
      <w:r>
        <w:rPr>
          <w:color w:val="231F20"/>
          <w:spacing w:val="-11"/>
        </w:rPr>
        <w:t xml:space="preserve"> </w:t>
      </w:r>
      <w:r>
        <w:rPr>
          <w:color w:val="231F20"/>
        </w:rPr>
        <w:t>державного</w:t>
      </w:r>
      <w:r>
        <w:rPr>
          <w:color w:val="231F20"/>
          <w:spacing w:val="-11"/>
        </w:rPr>
        <w:t xml:space="preserve"> </w:t>
      </w:r>
      <w:r>
        <w:rPr>
          <w:color w:val="231F20"/>
          <w:spacing w:val="-3"/>
        </w:rPr>
        <w:t>апарату,</w:t>
      </w:r>
      <w:r>
        <w:rPr>
          <w:color w:val="231F20"/>
          <w:spacing w:val="-11"/>
        </w:rPr>
        <w:t xml:space="preserve"> </w:t>
      </w:r>
      <w:r>
        <w:rPr>
          <w:color w:val="231F20"/>
        </w:rPr>
        <w:t>що</w:t>
      </w:r>
      <w:r>
        <w:rPr>
          <w:color w:val="231F20"/>
          <w:spacing w:val="-11"/>
        </w:rPr>
        <w:t xml:space="preserve"> </w:t>
      </w:r>
      <w:r>
        <w:rPr>
          <w:color w:val="231F20"/>
        </w:rPr>
        <w:t>має власну структуру та штат службовців і в межах установленої</w:t>
      </w:r>
      <w:r>
        <w:rPr>
          <w:color w:val="231F20"/>
          <w:spacing w:val="-6"/>
        </w:rPr>
        <w:t xml:space="preserve"> </w:t>
      </w:r>
      <w:r>
        <w:rPr>
          <w:color w:val="231F20"/>
        </w:rPr>
        <w:t>компе-</w:t>
      </w:r>
    </w:p>
    <w:p w14:paraId="6598490F" w14:textId="77777777" w:rsidR="00DE575E" w:rsidRDefault="00DE575E">
      <w:pPr>
        <w:pStyle w:val="BodyText"/>
        <w:spacing w:before="5"/>
        <w:rPr>
          <w:sz w:val="12"/>
        </w:rPr>
      </w:pPr>
    </w:p>
    <w:p w14:paraId="1E37BBAA" w14:textId="77777777" w:rsidR="00DE575E" w:rsidRDefault="002E7560">
      <w:pPr>
        <w:spacing w:before="92"/>
        <w:ind w:left="533"/>
        <w:rPr>
          <w:rFonts w:ascii="Times New Roman"/>
          <w:sz w:val="20"/>
        </w:rPr>
      </w:pPr>
      <w:r>
        <w:rPr>
          <w:rFonts w:ascii="Times New Roman"/>
          <w:color w:val="231F20"/>
          <w:sz w:val="20"/>
        </w:rPr>
        <w:t>544</w:t>
      </w:r>
    </w:p>
    <w:p w14:paraId="5B271BDC" w14:textId="77777777" w:rsidR="00DE575E" w:rsidRDefault="00DE575E">
      <w:pPr>
        <w:rPr>
          <w:rFonts w:ascii="Times New Roman"/>
          <w:sz w:val="20"/>
        </w:rPr>
        <w:sectPr w:rsidR="00DE575E">
          <w:pgSz w:w="8510" w:h="12760"/>
          <w:pgMar w:top="660" w:right="720" w:bottom="280" w:left="600" w:header="720" w:footer="720" w:gutter="0"/>
          <w:cols w:space="720"/>
        </w:sectPr>
      </w:pPr>
    </w:p>
    <w:p w14:paraId="06649C1F"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5CC5F287" w14:textId="3F8F364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DA60F47" wp14:editId="61DB927A">
                <wp:extent cx="4140200" cy="6350"/>
                <wp:effectExtent l="0" t="0" r="12700" b="6350"/>
                <wp:docPr id="7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6" name="Line 7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A441D8" id="Group_x0020_7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97uDBfQIAAJQFAAAOAAAA&#10;AAAAAAAAAAAAACwCAABkcnMvZTJvRG9jLnhtbFBLAQItABQABgAIAAAAIQBMp7CQ2QAAAAMBAAAP&#10;AAAAAAAAAAAAAAAAANUEAABkcnMvZG93bnJldi54bWxQSwUGAAAAAAQABADzAAAA2wUAAAAA&#10;">
                <v:line id="Line_x0020_7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OTX8UAAADbAAAADwAAAGRycy9kb3ducmV2LnhtbESP3WrCQBSE7wXfYTkFb6RuqmBLdBUp&#10;FIoX/qUPcMwek9DdszG7mtin7wqCl8PMfMPMl5014kqNrxwreBslIIhzpysuFPxkX68fIHxA1mgc&#10;k4IbeVgu+r05ptq1vKfrIRQiQtinqKAMoU6l9HlJFv3I1cTRO7nGYoiyKaRusI1wa+Q4SabSYsVx&#10;ocSaPkvKfw8XqyA7D4PZbdemzbbHiTyeN5O/y0apwUu3moEI1IVn+NH+1grep3D/En+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VOTX8UAAADbAAAADwAAAAAAAAAA&#10;AAAAAAChAgAAZHJzL2Rvd25yZXYueG1sUEsFBgAAAAAEAAQA+QAAAJMDAAAAAA==&#10;" strokecolor="#231f20" strokeweight=".5pt"/>
                <w10:anchorlock/>
              </v:group>
            </w:pict>
          </mc:Fallback>
        </mc:AlternateContent>
      </w:r>
    </w:p>
    <w:p w14:paraId="30F617C2" w14:textId="77777777" w:rsidR="00DE575E" w:rsidRDefault="00DE575E">
      <w:pPr>
        <w:pStyle w:val="BodyText"/>
        <w:spacing w:before="7"/>
        <w:rPr>
          <w:rFonts w:ascii="AdonisC"/>
          <w:i/>
          <w:sz w:val="19"/>
        </w:rPr>
      </w:pPr>
    </w:p>
    <w:p w14:paraId="6BFA4AD6" w14:textId="77777777" w:rsidR="00DE575E" w:rsidRDefault="002E7560">
      <w:pPr>
        <w:pStyle w:val="BodyText"/>
        <w:spacing w:before="1" w:line="252" w:lineRule="auto"/>
        <w:ind w:left="250" w:right="409"/>
        <w:jc w:val="both"/>
      </w:pPr>
      <w:r>
        <w:rPr>
          <w:color w:val="231F20"/>
        </w:rPr>
        <w:t xml:space="preserve">тенції здійснює на основі законів та з їх виконання, від свого імені  й за дорученням народу </w:t>
      </w:r>
      <w:r>
        <w:rPr>
          <w:color w:val="231F20"/>
          <w:spacing w:val="-3"/>
        </w:rPr>
        <w:t xml:space="preserve">України </w:t>
      </w:r>
      <w:r>
        <w:rPr>
          <w:color w:val="231F20"/>
        </w:rPr>
        <w:t>публічне адміністрування в певних галузях, сферах і секторах суспільного</w:t>
      </w:r>
      <w:r>
        <w:rPr>
          <w:color w:val="231F20"/>
          <w:spacing w:val="-7"/>
        </w:rPr>
        <w:t xml:space="preserve"> </w:t>
      </w:r>
      <w:r>
        <w:rPr>
          <w:color w:val="231F20"/>
        </w:rPr>
        <w:t>життя.</w:t>
      </w:r>
    </w:p>
    <w:p w14:paraId="7C15DA04" w14:textId="77777777" w:rsidR="00DE575E" w:rsidRDefault="002E7560">
      <w:pPr>
        <w:pStyle w:val="BodyText"/>
        <w:spacing w:before="1" w:line="252" w:lineRule="auto"/>
        <w:ind w:left="250" w:right="411" w:firstLine="283"/>
        <w:jc w:val="both"/>
      </w:pPr>
      <w:r>
        <w:rPr>
          <w:b/>
          <w:color w:val="231F20"/>
        </w:rPr>
        <w:t xml:space="preserve">Органи місцевого самоврядування </w:t>
      </w:r>
      <w:r>
        <w:rPr>
          <w:color w:val="231F20"/>
        </w:rPr>
        <w:t>– ство</w:t>
      </w:r>
      <w:r>
        <w:rPr>
          <w:color w:val="231F20"/>
        </w:rPr>
        <w:t xml:space="preserve">рені територіаль- ними громадами (жителями села, </w:t>
      </w:r>
      <w:r>
        <w:rPr>
          <w:color w:val="231F20"/>
          <w:spacing w:val="-3"/>
        </w:rPr>
        <w:t xml:space="preserve">об’єднаннями </w:t>
      </w:r>
      <w:r>
        <w:rPr>
          <w:color w:val="231F20"/>
        </w:rPr>
        <w:t xml:space="preserve">жителів кількох сіл, селищ, </w:t>
      </w:r>
      <w:r>
        <w:rPr>
          <w:color w:val="231F20"/>
          <w:spacing w:val="-4"/>
        </w:rPr>
        <w:t xml:space="preserve">міст, </w:t>
      </w:r>
      <w:r>
        <w:rPr>
          <w:color w:val="231F20"/>
        </w:rPr>
        <w:t xml:space="preserve">районів, областей) публічні органи, які самостійно вирі- шують питання місцевого значення в межах Конституції й законів </w:t>
      </w:r>
      <w:r>
        <w:rPr>
          <w:color w:val="231F20"/>
          <w:spacing w:val="-3"/>
        </w:rPr>
        <w:t xml:space="preserve">України, </w:t>
      </w:r>
      <w:r>
        <w:rPr>
          <w:color w:val="231F20"/>
        </w:rPr>
        <w:t>що в багатьох аспектах наближує</w:t>
      </w:r>
      <w:r>
        <w:rPr>
          <w:color w:val="231F20"/>
        </w:rPr>
        <w:t xml:space="preserve"> їх до органів виконавчої влади, з якими вони тісно взаємодіють під час вирішення питань місцевого значення.</w:t>
      </w:r>
    </w:p>
    <w:p w14:paraId="6D59C968" w14:textId="77777777" w:rsidR="00DE575E" w:rsidRDefault="002E7560">
      <w:pPr>
        <w:spacing w:before="4" w:line="252" w:lineRule="auto"/>
        <w:ind w:left="250" w:right="411" w:firstLine="283"/>
        <w:jc w:val="both"/>
        <w:rPr>
          <w:sz w:val="21"/>
        </w:rPr>
      </w:pPr>
      <w:r>
        <w:rPr>
          <w:b/>
          <w:color w:val="231F20"/>
          <w:sz w:val="21"/>
        </w:rPr>
        <w:t xml:space="preserve">Особа без громадянства </w:t>
      </w:r>
      <w:r>
        <w:rPr>
          <w:color w:val="231F20"/>
          <w:sz w:val="21"/>
        </w:rPr>
        <w:t>– особа, яку жодна держава відповідно до законодавства не вважає своїм громадянином.</w:t>
      </w:r>
    </w:p>
    <w:p w14:paraId="289081A9" w14:textId="77777777" w:rsidR="00DE575E" w:rsidRDefault="002E7560">
      <w:pPr>
        <w:pStyle w:val="BodyText"/>
        <w:spacing w:before="1" w:line="252" w:lineRule="auto"/>
        <w:ind w:left="250" w:right="411" w:firstLine="283"/>
        <w:jc w:val="both"/>
      </w:pPr>
      <w:r>
        <w:rPr>
          <w:b/>
          <w:color w:val="231F20"/>
        </w:rPr>
        <w:t>Особа,</w:t>
      </w:r>
      <w:r>
        <w:rPr>
          <w:b/>
          <w:color w:val="231F20"/>
          <w:spacing w:val="-19"/>
        </w:rPr>
        <w:t xml:space="preserve"> </w:t>
      </w:r>
      <w:r>
        <w:rPr>
          <w:b/>
          <w:color w:val="231F20"/>
        </w:rPr>
        <w:t>яка</w:t>
      </w:r>
      <w:r>
        <w:rPr>
          <w:b/>
          <w:color w:val="231F20"/>
          <w:spacing w:val="-19"/>
        </w:rPr>
        <w:t xml:space="preserve"> </w:t>
      </w:r>
      <w:r>
        <w:rPr>
          <w:b/>
          <w:color w:val="231F20"/>
        </w:rPr>
        <w:t>потребує</w:t>
      </w:r>
      <w:r>
        <w:rPr>
          <w:b/>
          <w:color w:val="231F20"/>
          <w:spacing w:val="-19"/>
        </w:rPr>
        <w:t xml:space="preserve"> </w:t>
      </w:r>
      <w:r>
        <w:rPr>
          <w:b/>
          <w:color w:val="231F20"/>
        </w:rPr>
        <w:t>додаткового</w:t>
      </w:r>
      <w:r>
        <w:rPr>
          <w:b/>
          <w:color w:val="231F20"/>
          <w:spacing w:val="-19"/>
        </w:rPr>
        <w:t xml:space="preserve"> </w:t>
      </w:r>
      <w:r>
        <w:rPr>
          <w:b/>
          <w:color w:val="231F20"/>
        </w:rPr>
        <w:t>захисту</w:t>
      </w:r>
      <w:r>
        <w:rPr>
          <w:color w:val="231F20"/>
        </w:rPr>
        <w:t>,</w:t>
      </w:r>
      <w:r>
        <w:rPr>
          <w:color w:val="231F20"/>
          <w:spacing w:val="-19"/>
        </w:rPr>
        <w:t xml:space="preserve"> </w:t>
      </w:r>
      <w:r>
        <w:rPr>
          <w:color w:val="231F20"/>
        </w:rPr>
        <w:t>–</w:t>
      </w:r>
      <w:r>
        <w:rPr>
          <w:color w:val="231F20"/>
          <w:spacing w:val="-19"/>
        </w:rPr>
        <w:t xml:space="preserve"> </w:t>
      </w:r>
      <w:r>
        <w:rPr>
          <w:color w:val="231F20"/>
        </w:rPr>
        <w:t>особа,</w:t>
      </w:r>
      <w:r>
        <w:rPr>
          <w:color w:val="231F20"/>
          <w:spacing w:val="-19"/>
        </w:rPr>
        <w:t xml:space="preserve"> </w:t>
      </w:r>
      <w:r>
        <w:rPr>
          <w:color w:val="231F20"/>
        </w:rPr>
        <w:t>що</w:t>
      </w:r>
      <w:r>
        <w:rPr>
          <w:color w:val="231F20"/>
          <w:spacing w:val="-19"/>
        </w:rPr>
        <w:t xml:space="preserve"> </w:t>
      </w:r>
      <w:r>
        <w:rPr>
          <w:color w:val="231F20"/>
        </w:rPr>
        <w:t>не</w:t>
      </w:r>
      <w:r>
        <w:rPr>
          <w:color w:val="231F20"/>
          <w:spacing w:val="-19"/>
        </w:rPr>
        <w:t xml:space="preserve"> </w:t>
      </w:r>
      <w:r>
        <w:rPr>
          <w:color w:val="231F20"/>
        </w:rPr>
        <w:t>є</w:t>
      </w:r>
      <w:r>
        <w:rPr>
          <w:color w:val="231F20"/>
          <w:spacing w:val="-19"/>
        </w:rPr>
        <w:t xml:space="preserve"> </w:t>
      </w:r>
      <w:r>
        <w:rPr>
          <w:color w:val="231F20"/>
        </w:rPr>
        <w:t>біжен- цем, однак потребує тимчасового захисту через загрозу її життю, безпеці чи свободі в країні походження з причин побоювання засто- сування</w:t>
      </w:r>
      <w:r>
        <w:rPr>
          <w:color w:val="231F20"/>
          <w:spacing w:val="-10"/>
        </w:rPr>
        <w:t xml:space="preserve"> </w:t>
      </w:r>
      <w:r>
        <w:rPr>
          <w:color w:val="231F20"/>
        </w:rPr>
        <w:t>щодо</w:t>
      </w:r>
      <w:r>
        <w:rPr>
          <w:color w:val="231F20"/>
          <w:spacing w:val="-10"/>
        </w:rPr>
        <w:t xml:space="preserve"> </w:t>
      </w:r>
      <w:r>
        <w:rPr>
          <w:color w:val="231F20"/>
        </w:rPr>
        <w:t>неї</w:t>
      </w:r>
      <w:r>
        <w:rPr>
          <w:color w:val="231F20"/>
          <w:spacing w:val="-10"/>
        </w:rPr>
        <w:t xml:space="preserve"> </w:t>
      </w:r>
      <w:r>
        <w:rPr>
          <w:color w:val="231F20"/>
        </w:rPr>
        <w:t>смертної</w:t>
      </w:r>
      <w:r>
        <w:rPr>
          <w:color w:val="231F20"/>
          <w:spacing w:val="-10"/>
        </w:rPr>
        <w:t xml:space="preserve"> </w:t>
      </w:r>
      <w:r>
        <w:rPr>
          <w:color w:val="231F20"/>
        </w:rPr>
        <w:t>кари</w:t>
      </w:r>
      <w:r>
        <w:rPr>
          <w:color w:val="231F20"/>
          <w:spacing w:val="-10"/>
        </w:rPr>
        <w:t xml:space="preserve"> </w:t>
      </w:r>
      <w:r>
        <w:rPr>
          <w:color w:val="231F20"/>
        </w:rPr>
        <w:t>або</w:t>
      </w:r>
      <w:r>
        <w:rPr>
          <w:color w:val="231F20"/>
          <w:spacing w:val="-10"/>
        </w:rPr>
        <w:t xml:space="preserve"> </w:t>
      </w:r>
      <w:r>
        <w:rPr>
          <w:color w:val="231F20"/>
        </w:rPr>
        <w:t>тортур,</w:t>
      </w:r>
      <w:r>
        <w:rPr>
          <w:color w:val="231F20"/>
          <w:spacing w:val="-10"/>
        </w:rPr>
        <w:t xml:space="preserve"> </w:t>
      </w:r>
      <w:r>
        <w:rPr>
          <w:color w:val="231F20"/>
        </w:rPr>
        <w:t>нелюдського</w:t>
      </w:r>
      <w:r>
        <w:rPr>
          <w:color w:val="231F20"/>
          <w:spacing w:val="-10"/>
        </w:rPr>
        <w:t xml:space="preserve"> </w:t>
      </w:r>
      <w:r>
        <w:rPr>
          <w:color w:val="231F20"/>
        </w:rPr>
        <w:t>або</w:t>
      </w:r>
      <w:r>
        <w:rPr>
          <w:color w:val="231F20"/>
          <w:spacing w:val="-10"/>
        </w:rPr>
        <w:t xml:space="preserve"> </w:t>
      </w:r>
      <w:r>
        <w:rPr>
          <w:color w:val="231F20"/>
        </w:rPr>
        <w:t xml:space="preserve">такого, що принижує гідність, поводження </w:t>
      </w:r>
      <w:r>
        <w:rPr>
          <w:color w:val="231F20"/>
        </w:rPr>
        <w:t>чи</w:t>
      </w:r>
      <w:r>
        <w:rPr>
          <w:color w:val="231F20"/>
          <w:spacing w:val="-3"/>
        </w:rPr>
        <w:t xml:space="preserve"> </w:t>
      </w:r>
      <w:r>
        <w:rPr>
          <w:color w:val="231F20"/>
        </w:rPr>
        <w:t>покарання.</w:t>
      </w:r>
    </w:p>
    <w:p w14:paraId="4ACAF301" w14:textId="77777777" w:rsidR="00DE575E" w:rsidRDefault="002E7560">
      <w:pPr>
        <w:pStyle w:val="BodyText"/>
        <w:spacing w:before="2" w:line="252" w:lineRule="auto"/>
        <w:ind w:left="250" w:right="410" w:firstLine="283"/>
        <w:jc w:val="both"/>
      </w:pPr>
      <w:r>
        <w:rPr>
          <w:b/>
          <w:color w:val="231F20"/>
        </w:rPr>
        <w:t xml:space="preserve">Особисті права і свободи громадянина </w:t>
      </w:r>
      <w:r>
        <w:rPr>
          <w:color w:val="231F20"/>
        </w:rPr>
        <w:t>– можливість задово- лення</w:t>
      </w:r>
      <w:r>
        <w:rPr>
          <w:color w:val="231F20"/>
          <w:spacing w:val="-7"/>
        </w:rPr>
        <w:t xml:space="preserve"> </w:t>
      </w:r>
      <w:r>
        <w:rPr>
          <w:color w:val="231F20"/>
        </w:rPr>
        <w:t>його</w:t>
      </w:r>
      <w:r>
        <w:rPr>
          <w:color w:val="231F20"/>
          <w:spacing w:val="-6"/>
        </w:rPr>
        <w:t xml:space="preserve"> </w:t>
      </w:r>
      <w:r>
        <w:rPr>
          <w:color w:val="231F20"/>
        </w:rPr>
        <w:t>особистих</w:t>
      </w:r>
      <w:r>
        <w:rPr>
          <w:color w:val="231F20"/>
          <w:spacing w:val="-6"/>
        </w:rPr>
        <w:t xml:space="preserve"> </w:t>
      </w:r>
      <w:r>
        <w:rPr>
          <w:color w:val="231F20"/>
        </w:rPr>
        <w:t>потреб.</w:t>
      </w:r>
      <w:r>
        <w:rPr>
          <w:color w:val="231F20"/>
          <w:spacing w:val="-7"/>
        </w:rPr>
        <w:t xml:space="preserve"> </w:t>
      </w:r>
      <w:r>
        <w:rPr>
          <w:color w:val="231F20"/>
        </w:rPr>
        <w:t>До</w:t>
      </w:r>
      <w:r>
        <w:rPr>
          <w:color w:val="231F20"/>
          <w:spacing w:val="-7"/>
        </w:rPr>
        <w:t xml:space="preserve"> </w:t>
      </w:r>
      <w:r>
        <w:rPr>
          <w:color w:val="231F20"/>
        </w:rPr>
        <w:t>особистих</w:t>
      </w:r>
      <w:r>
        <w:rPr>
          <w:color w:val="231F20"/>
          <w:spacing w:val="-6"/>
        </w:rPr>
        <w:t xml:space="preserve"> </w:t>
      </w:r>
      <w:r>
        <w:rPr>
          <w:color w:val="231F20"/>
        </w:rPr>
        <w:t>прав</w:t>
      </w:r>
      <w:r>
        <w:rPr>
          <w:color w:val="231F20"/>
          <w:spacing w:val="-7"/>
        </w:rPr>
        <w:t xml:space="preserve"> </w:t>
      </w:r>
      <w:r>
        <w:rPr>
          <w:color w:val="231F20"/>
        </w:rPr>
        <w:t>належать:</w:t>
      </w:r>
      <w:r>
        <w:rPr>
          <w:color w:val="231F20"/>
          <w:spacing w:val="-6"/>
        </w:rPr>
        <w:t xml:space="preserve"> </w:t>
      </w:r>
      <w:r>
        <w:rPr>
          <w:color w:val="231F20"/>
        </w:rPr>
        <w:t>право</w:t>
      </w:r>
      <w:r>
        <w:rPr>
          <w:color w:val="231F20"/>
          <w:spacing w:val="-7"/>
        </w:rPr>
        <w:t xml:space="preserve"> </w:t>
      </w:r>
      <w:r>
        <w:rPr>
          <w:color w:val="231F20"/>
        </w:rPr>
        <w:t>на повагу до гідності, право на свободу та особисту недоторканність, свободу пересування, право вільного вибору місця про</w:t>
      </w:r>
      <w:r>
        <w:rPr>
          <w:color w:val="231F20"/>
        </w:rPr>
        <w:t xml:space="preserve">живання, право вільно залишати територію </w:t>
      </w:r>
      <w:r>
        <w:rPr>
          <w:color w:val="231F20"/>
          <w:spacing w:val="-3"/>
        </w:rPr>
        <w:t xml:space="preserve">України; </w:t>
      </w:r>
      <w:r>
        <w:rPr>
          <w:color w:val="231F20"/>
        </w:rPr>
        <w:t>право на таємницю листування, телефонних розмов, телеграфної та іншої кореспон- денції; право на  спростування  недостовірної  інформації  про  себе і членів своєї сім’ї</w:t>
      </w:r>
      <w:r>
        <w:rPr>
          <w:color w:val="231F20"/>
          <w:spacing w:val="-4"/>
        </w:rPr>
        <w:t xml:space="preserve"> </w:t>
      </w:r>
      <w:r>
        <w:rPr>
          <w:color w:val="231F20"/>
        </w:rPr>
        <w:t>тощо.</w:t>
      </w:r>
    </w:p>
    <w:p w14:paraId="66D9598F" w14:textId="77777777" w:rsidR="00DE575E" w:rsidRDefault="002E7560">
      <w:pPr>
        <w:pStyle w:val="BodyText"/>
        <w:spacing w:before="4" w:line="252" w:lineRule="auto"/>
        <w:ind w:left="250" w:right="410" w:firstLine="283"/>
        <w:jc w:val="both"/>
      </w:pPr>
      <w:r>
        <w:rPr>
          <w:b/>
          <w:color w:val="231F20"/>
        </w:rPr>
        <w:t>Патронатна   служба   в   держ</w:t>
      </w:r>
      <w:r>
        <w:rPr>
          <w:b/>
          <w:color w:val="231F20"/>
        </w:rPr>
        <w:t>авних   органах</w:t>
      </w:r>
      <w:r>
        <w:rPr>
          <w:color w:val="231F20"/>
        </w:rPr>
        <w:t>:    а) спрямо- вана на обслуговування діяльності певної посадової особи (патрона) та здійснюється від його імені (а не імені державного органу чи держави); б) характеризується безконкурсним прийнят- тям</w:t>
      </w:r>
      <w:r>
        <w:rPr>
          <w:color w:val="231F20"/>
          <w:spacing w:val="-13"/>
        </w:rPr>
        <w:t xml:space="preserve"> </w:t>
      </w:r>
      <w:r>
        <w:rPr>
          <w:color w:val="231F20"/>
        </w:rPr>
        <w:t>на</w:t>
      </w:r>
      <w:r>
        <w:rPr>
          <w:color w:val="231F20"/>
          <w:spacing w:val="-13"/>
        </w:rPr>
        <w:t xml:space="preserve"> </w:t>
      </w:r>
      <w:r>
        <w:rPr>
          <w:color w:val="231F20"/>
        </w:rPr>
        <w:t>службу</w:t>
      </w:r>
      <w:r>
        <w:rPr>
          <w:color w:val="231F20"/>
          <w:spacing w:val="-13"/>
        </w:rPr>
        <w:t xml:space="preserve"> </w:t>
      </w:r>
      <w:r>
        <w:rPr>
          <w:color w:val="231F20"/>
        </w:rPr>
        <w:t>(призначення</w:t>
      </w:r>
      <w:r>
        <w:rPr>
          <w:color w:val="231F20"/>
          <w:spacing w:val="-13"/>
        </w:rPr>
        <w:t xml:space="preserve"> </w:t>
      </w:r>
      <w:r>
        <w:rPr>
          <w:color w:val="231F20"/>
        </w:rPr>
        <w:t>здійснює</w:t>
      </w:r>
      <w:r>
        <w:rPr>
          <w:color w:val="231F20"/>
          <w:spacing w:val="-13"/>
        </w:rPr>
        <w:t xml:space="preserve"> </w:t>
      </w:r>
      <w:r>
        <w:rPr>
          <w:color w:val="231F20"/>
        </w:rPr>
        <w:t>патрон,</w:t>
      </w:r>
      <w:r>
        <w:rPr>
          <w:color w:val="231F20"/>
          <w:spacing w:val="-13"/>
        </w:rPr>
        <w:t xml:space="preserve"> </w:t>
      </w:r>
      <w:r>
        <w:rPr>
          <w:color w:val="231F20"/>
        </w:rPr>
        <w:t>переважно</w:t>
      </w:r>
      <w:r>
        <w:rPr>
          <w:color w:val="231F20"/>
          <w:spacing w:val="-13"/>
        </w:rPr>
        <w:t xml:space="preserve"> </w:t>
      </w:r>
      <w:r>
        <w:rPr>
          <w:color w:val="231F20"/>
        </w:rPr>
        <w:t xml:space="preserve">керуючись </w:t>
      </w:r>
      <w:r>
        <w:rPr>
          <w:color w:val="231F20"/>
          <w:spacing w:val="-3"/>
        </w:rPr>
        <w:t xml:space="preserve">суб’єктивними </w:t>
      </w:r>
      <w:r>
        <w:rPr>
          <w:color w:val="231F20"/>
        </w:rPr>
        <w:t>критеріями); в) відбувається в межах строку повно- важень патрона, на забезпечення діяльності якого спрямована, та припиняється з моменту його звільнення; г) є відділеною від посад державної</w:t>
      </w:r>
      <w:r>
        <w:rPr>
          <w:color w:val="231F20"/>
          <w:spacing w:val="-9"/>
        </w:rPr>
        <w:t xml:space="preserve"> </w:t>
      </w:r>
      <w:r>
        <w:rPr>
          <w:color w:val="231F20"/>
        </w:rPr>
        <w:t>служби</w:t>
      </w:r>
      <w:r>
        <w:rPr>
          <w:color w:val="231F20"/>
          <w:spacing w:val="-9"/>
        </w:rPr>
        <w:t xml:space="preserve"> </w:t>
      </w:r>
      <w:r>
        <w:rPr>
          <w:color w:val="231F20"/>
        </w:rPr>
        <w:t>відповідного</w:t>
      </w:r>
      <w:r>
        <w:rPr>
          <w:color w:val="231F20"/>
          <w:spacing w:val="-9"/>
        </w:rPr>
        <w:t xml:space="preserve"> </w:t>
      </w:r>
      <w:r>
        <w:rPr>
          <w:color w:val="231F20"/>
        </w:rPr>
        <w:t>орг</w:t>
      </w:r>
      <w:r>
        <w:rPr>
          <w:color w:val="231F20"/>
        </w:rPr>
        <w:t>ану</w:t>
      </w:r>
      <w:r>
        <w:rPr>
          <w:color w:val="231F20"/>
          <w:spacing w:val="-9"/>
        </w:rPr>
        <w:t xml:space="preserve"> </w:t>
      </w:r>
      <w:r>
        <w:rPr>
          <w:color w:val="231F20"/>
        </w:rPr>
        <w:t>та</w:t>
      </w:r>
      <w:r>
        <w:rPr>
          <w:color w:val="231F20"/>
          <w:spacing w:val="-9"/>
        </w:rPr>
        <w:t xml:space="preserve"> </w:t>
      </w:r>
      <w:r>
        <w:rPr>
          <w:color w:val="231F20"/>
        </w:rPr>
        <w:t>не</w:t>
      </w:r>
      <w:r>
        <w:rPr>
          <w:color w:val="231F20"/>
          <w:spacing w:val="-9"/>
        </w:rPr>
        <w:t xml:space="preserve"> </w:t>
      </w:r>
      <w:r>
        <w:rPr>
          <w:color w:val="231F20"/>
        </w:rPr>
        <w:t>передбачає</w:t>
      </w:r>
      <w:r>
        <w:rPr>
          <w:color w:val="231F20"/>
          <w:spacing w:val="-9"/>
        </w:rPr>
        <w:t xml:space="preserve"> </w:t>
      </w:r>
      <w:r>
        <w:rPr>
          <w:color w:val="231F20"/>
        </w:rPr>
        <w:t xml:space="preserve">можливості впливати на них (давати їм доручення, тощо); ґ) виражається пере- важно в консультативно-дорадчих (пропозиції, прогнози, рекомен- дації і </w:t>
      </w:r>
      <w:r>
        <w:rPr>
          <w:color w:val="231F20"/>
          <w:spacing w:val="-4"/>
        </w:rPr>
        <w:t xml:space="preserve">т.п.) </w:t>
      </w:r>
      <w:r>
        <w:rPr>
          <w:color w:val="231F20"/>
        </w:rPr>
        <w:t xml:space="preserve">та організаційних діях (підготовка прес-конференцій, брифінгів); д) регулюється </w:t>
      </w:r>
      <w:r>
        <w:rPr>
          <w:color w:val="231F20"/>
        </w:rPr>
        <w:t xml:space="preserve">і публічним, і </w:t>
      </w:r>
      <w:r>
        <w:rPr>
          <w:color w:val="231F20"/>
          <w:spacing w:val="-3"/>
        </w:rPr>
        <w:t xml:space="preserve">трудовим </w:t>
      </w:r>
      <w:r>
        <w:rPr>
          <w:color w:val="231F20"/>
        </w:rPr>
        <w:t>законодавством (при цьому обсяг останнього переважає).</w:t>
      </w:r>
    </w:p>
    <w:p w14:paraId="3B4DA7E1" w14:textId="77777777" w:rsidR="00DE575E" w:rsidRDefault="00DE575E">
      <w:pPr>
        <w:pStyle w:val="BodyText"/>
        <w:spacing w:before="11"/>
        <w:rPr>
          <w:sz w:val="12"/>
        </w:rPr>
      </w:pPr>
    </w:p>
    <w:p w14:paraId="2D2E2FEA" w14:textId="77777777" w:rsidR="00DE575E" w:rsidRDefault="002E7560">
      <w:pPr>
        <w:spacing w:before="92"/>
        <w:ind w:right="411"/>
        <w:jc w:val="right"/>
        <w:rPr>
          <w:rFonts w:ascii="Times New Roman"/>
          <w:sz w:val="20"/>
        </w:rPr>
      </w:pPr>
      <w:r>
        <w:rPr>
          <w:rFonts w:ascii="Times New Roman"/>
          <w:color w:val="231F20"/>
          <w:w w:val="90"/>
          <w:sz w:val="20"/>
        </w:rPr>
        <w:t>545</w:t>
      </w:r>
    </w:p>
    <w:p w14:paraId="5FF1014B"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3BCB798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803183A" w14:textId="0C5EE1F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E464455" wp14:editId="44F52A27">
                <wp:extent cx="4140200" cy="6350"/>
                <wp:effectExtent l="0" t="0" r="12700" b="6350"/>
                <wp:docPr id="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4" name="Line 7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F87101" id="Group_x0020_7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Fd65PJ8AgAAlAUAAA4AAAAA&#10;AAAAAAAAAAAALAIAAGRycy9lMm9Eb2MueG1sUEsBAi0AFAAGAAgAAAAhAEynsJDZAAAAAwEAAA8A&#10;AAAAAAAAAAAAAAAA1AQAAGRycy9kb3ducmV2LnhtbFBLBQYAAAAABAAEAPMAAADaBQAAAAA=&#10;">
                <v:line id="Line_x0020_7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os8YAAADbAAAADwAAAGRycy9kb3ducmV2LnhtbESP3WrCQBSE7wu+w3KE3hTdVItKdBUp&#10;CKUX/sUHOGaPSXD3bMyuJu3TdwuFXg4z8w2zWHXWiAc1vnKs4HWYgCDOna64UHDKNoMZCB+QNRrH&#10;pOCLPKyWvacFptq1fKDHMRQiQtinqKAMoU6l9HlJFv3Q1cTRu7jGYoiyKaRusI1wa+QoSSbSYsVx&#10;ocSa3kvKr8e7VZDdXoLZ7z5Nm+3OY3m+bcff961Sz/1uPQcRqAv/4b/2h1YwfYPfL/EH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NqLPGAAAA2wAAAA8AAAAAAAAA&#10;AAAAAAAAoQIAAGRycy9kb3ducmV2LnhtbFBLBQYAAAAABAAEAPkAAACUAwAAAAA=&#10;" strokecolor="#231f20" strokeweight=".5pt"/>
                <w10:anchorlock/>
              </v:group>
            </w:pict>
          </mc:Fallback>
        </mc:AlternateContent>
      </w:r>
    </w:p>
    <w:p w14:paraId="79C5222A" w14:textId="77777777" w:rsidR="00DE575E" w:rsidRDefault="00DE575E">
      <w:pPr>
        <w:pStyle w:val="BodyText"/>
        <w:spacing w:before="7"/>
        <w:rPr>
          <w:rFonts w:ascii="AdonisC"/>
          <w:i/>
          <w:sz w:val="11"/>
        </w:rPr>
      </w:pPr>
    </w:p>
    <w:p w14:paraId="1ABC8ED6" w14:textId="77777777" w:rsidR="00DE575E" w:rsidRDefault="002E7560">
      <w:pPr>
        <w:pStyle w:val="BodyText"/>
        <w:spacing w:before="101" w:line="252" w:lineRule="auto"/>
        <w:ind w:left="533" w:right="127" w:firstLine="283"/>
        <w:jc w:val="both"/>
      </w:pPr>
      <w:r>
        <w:rPr>
          <w:b/>
          <w:color w:val="231F20"/>
        </w:rPr>
        <w:t xml:space="preserve">Перекладач </w:t>
      </w:r>
      <w:r>
        <w:rPr>
          <w:color w:val="231F20"/>
        </w:rPr>
        <w:t xml:space="preserve">як учасник провадження призначається в разі, коли особа, яку притягують до адміністративної відповідальності, або інші особи, залучені до </w:t>
      </w:r>
      <w:r>
        <w:rPr>
          <w:color w:val="231F20"/>
          <w:spacing w:val="-3"/>
        </w:rPr>
        <w:t xml:space="preserve">розгляду </w:t>
      </w:r>
      <w:r>
        <w:rPr>
          <w:color w:val="231F20"/>
        </w:rPr>
        <w:t xml:space="preserve">справи (потерпілий, свідок), не володіють мовою, якою здійснюють провадження. Участь перекла- дача надає їм можливість користуватися рідною або іншою мовою, якою вони володіють, що сприяє </w:t>
      </w:r>
      <w:r>
        <w:rPr>
          <w:color w:val="231F20"/>
          <w:spacing w:val="-4"/>
        </w:rPr>
        <w:t xml:space="preserve">об’єктивному, </w:t>
      </w:r>
      <w:r>
        <w:rPr>
          <w:color w:val="231F20"/>
          <w:spacing w:val="-3"/>
        </w:rPr>
        <w:t xml:space="preserve">усебічному, </w:t>
      </w:r>
      <w:r>
        <w:rPr>
          <w:color w:val="231F20"/>
        </w:rPr>
        <w:t>повному дослідженню обставин справи.</w:t>
      </w:r>
    </w:p>
    <w:p w14:paraId="4EC058AB" w14:textId="77777777" w:rsidR="00DE575E" w:rsidRDefault="002E7560">
      <w:pPr>
        <w:pStyle w:val="BodyText"/>
        <w:spacing w:before="3" w:line="252" w:lineRule="auto"/>
        <w:ind w:left="533" w:right="128" w:firstLine="283"/>
        <w:jc w:val="both"/>
      </w:pPr>
      <w:r>
        <w:rPr>
          <w:b/>
          <w:color w:val="231F20"/>
        </w:rPr>
        <w:t>Перек</w:t>
      </w:r>
      <w:r>
        <w:rPr>
          <w:b/>
          <w:color w:val="231F20"/>
        </w:rPr>
        <w:t xml:space="preserve">онання </w:t>
      </w:r>
      <w:r>
        <w:rPr>
          <w:color w:val="231F20"/>
        </w:rPr>
        <w:t>– метод  адміністративного  права,  який  полягає в попередженні правопорушень за допомогою впливу на свідомість і</w:t>
      </w:r>
      <w:r>
        <w:rPr>
          <w:color w:val="231F20"/>
          <w:spacing w:val="-9"/>
        </w:rPr>
        <w:t xml:space="preserve"> </w:t>
      </w:r>
      <w:r>
        <w:rPr>
          <w:color w:val="231F20"/>
        </w:rPr>
        <w:t>поведінку</w:t>
      </w:r>
      <w:r>
        <w:rPr>
          <w:color w:val="231F20"/>
          <w:spacing w:val="-9"/>
        </w:rPr>
        <w:t xml:space="preserve"> </w:t>
      </w:r>
      <w:r>
        <w:rPr>
          <w:color w:val="231F20"/>
        </w:rPr>
        <w:t>людей,</w:t>
      </w:r>
      <w:r>
        <w:rPr>
          <w:color w:val="231F20"/>
          <w:spacing w:val="-9"/>
        </w:rPr>
        <w:t xml:space="preserve"> </w:t>
      </w:r>
      <w:r>
        <w:rPr>
          <w:color w:val="231F20"/>
        </w:rPr>
        <w:t>у</w:t>
      </w:r>
      <w:r>
        <w:rPr>
          <w:color w:val="231F20"/>
          <w:spacing w:val="-9"/>
        </w:rPr>
        <w:t xml:space="preserve"> </w:t>
      </w:r>
      <w:r>
        <w:rPr>
          <w:color w:val="231F20"/>
          <w:spacing w:val="-3"/>
        </w:rPr>
        <w:t>результаті</w:t>
      </w:r>
      <w:r>
        <w:rPr>
          <w:color w:val="231F20"/>
          <w:spacing w:val="-9"/>
        </w:rPr>
        <w:t xml:space="preserve"> </w:t>
      </w:r>
      <w:r>
        <w:rPr>
          <w:color w:val="231F20"/>
        </w:rPr>
        <w:t>чого</w:t>
      </w:r>
      <w:r>
        <w:rPr>
          <w:color w:val="231F20"/>
          <w:spacing w:val="-9"/>
        </w:rPr>
        <w:t xml:space="preserve"> </w:t>
      </w:r>
      <w:r>
        <w:rPr>
          <w:color w:val="231F20"/>
        </w:rPr>
        <w:t>ті</w:t>
      </w:r>
      <w:r>
        <w:rPr>
          <w:color w:val="231F20"/>
          <w:spacing w:val="-9"/>
        </w:rPr>
        <w:t xml:space="preserve"> </w:t>
      </w:r>
      <w:r>
        <w:rPr>
          <w:color w:val="231F20"/>
        </w:rPr>
        <w:t>свідомо</w:t>
      </w:r>
      <w:r>
        <w:rPr>
          <w:color w:val="231F20"/>
          <w:spacing w:val="-9"/>
        </w:rPr>
        <w:t xml:space="preserve"> </w:t>
      </w:r>
      <w:r>
        <w:rPr>
          <w:color w:val="231F20"/>
        </w:rPr>
        <w:t>дотримуються</w:t>
      </w:r>
      <w:r>
        <w:rPr>
          <w:color w:val="231F20"/>
          <w:spacing w:val="-9"/>
        </w:rPr>
        <w:t xml:space="preserve"> </w:t>
      </w:r>
      <w:r>
        <w:rPr>
          <w:color w:val="231F20"/>
        </w:rPr>
        <w:t>право- вих</w:t>
      </w:r>
      <w:r>
        <w:rPr>
          <w:color w:val="231F20"/>
          <w:spacing w:val="-1"/>
        </w:rPr>
        <w:t xml:space="preserve"> </w:t>
      </w:r>
      <w:r>
        <w:rPr>
          <w:color w:val="231F20"/>
        </w:rPr>
        <w:t>норм.</w:t>
      </w:r>
    </w:p>
    <w:p w14:paraId="4416896A" w14:textId="77777777" w:rsidR="00DE575E" w:rsidRDefault="002E7560">
      <w:pPr>
        <w:pStyle w:val="BodyText"/>
        <w:spacing w:before="2" w:line="252" w:lineRule="auto"/>
        <w:ind w:left="533" w:right="128" w:firstLine="283"/>
        <w:jc w:val="both"/>
      </w:pPr>
      <w:r>
        <w:rPr>
          <w:b/>
          <w:color w:val="231F20"/>
        </w:rPr>
        <w:t xml:space="preserve">Переліки </w:t>
      </w:r>
      <w:r>
        <w:rPr>
          <w:color w:val="231F20"/>
        </w:rPr>
        <w:t>– нормативно-правові акти, що містять певну послі</w:t>
      </w:r>
      <w:r>
        <w:rPr>
          <w:color w:val="231F20"/>
        </w:rPr>
        <w:t>- довність однорідних об’єктів.</w:t>
      </w:r>
    </w:p>
    <w:p w14:paraId="2FA27390" w14:textId="77777777" w:rsidR="00DE575E" w:rsidRDefault="002E7560">
      <w:pPr>
        <w:spacing w:before="1" w:line="252" w:lineRule="auto"/>
        <w:ind w:left="533" w:right="128" w:firstLine="283"/>
        <w:jc w:val="both"/>
        <w:rPr>
          <w:sz w:val="21"/>
        </w:rPr>
      </w:pPr>
      <w:r>
        <w:rPr>
          <w:b/>
          <w:color w:val="231F20"/>
          <w:sz w:val="21"/>
        </w:rPr>
        <w:t xml:space="preserve">Підгалузь  адміністративного  права  </w:t>
      </w:r>
      <w:r>
        <w:rPr>
          <w:color w:val="231F20"/>
          <w:sz w:val="21"/>
        </w:rPr>
        <w:t>–  сукупність  інститу-  тів і норм адміністративного права, пов’язаних спільною метою юридичного</w:t>
      </w:r>
      <w:r>
        <w:rPr>
          <w:color w:val="231F20"/>
          <w:spacing w:val="-2"/>
          <w:sz w:val="21"/>
        </w:rPr>
        <w:t xml:space="preserve"> </w:t>
      </w:r>
      <w:r>
        <w:rPr>
          <w:color w:val="231F20"/>
          <w:sz w:val="21"/>
        </w:rPr>
        <w:t>регулювання.</w:t>
      </w:r>
    </w:p>
    <w:p w14:paraId="06381CCE" w14:textId="77777777" w:rsidR="00DE575E" w:rsidRDefault="002E7560">
      <w:pPr>
        <w:pStyle w:val="BodyText"/>
        <w:spacing w:before="2" w:line="252" w:lineRule="auto"/>
        <w:ind w:left="533" w:right="127" w:firstLine="283"/>
        <w:jc w:val="both"/>
      </w:pPr>
      <w:r>
        <w:rPr>
          <w:b/>
          <w:color w:val="231F20"/>
        </w:rPr>
        <w:t>Підзаконні</w:t>
      </w:r>
      <w:r>
        <w:rPr>
          <w:b/>
          <w:color w:val="231F20"/>
          <w:spacing w:val="-14"/>
        </w:rPr>
        <w:t xml:space="preserve"> </w:t>
      </w:r>
      <w:r>
        <w:rPr>
          <w:b/>
          <w:color w:val="231F20"/>
        </w:rPr>
        <w:t>нормативно-правові</w:t>
      </w:r>
      <w:r>
        <w:rPr>
          <w:b/>
          <w:color w:val="231F20"/>
          <w:spacing w:val="-13"/>
        </w:rPr>
        <w:t xml:space="preserve"> </w:t>
      </w:r>
      <w:r>
        <w:rPr>
          <w:b/>
          <w:color w:val="231F20"/>
        </w:rPr>
        <w:t>акти</w:t>
      </w:r>
      <w:r>
        <w:rPr>
          <w:b/>
          <w:color w:val="231F20"/>
          <w:spacing w:val="-13"/>
        </w:rPr>
        <w:t xml:space="preserve"> </w:t>
      </w:r>
      <w:r>
        <w:rPr>
          <w:color w:val="231F20"/>
        </w:rPr>
        <w:t>–</w:t>
      </w:r>
      <w:r>
        <w:rPr>
          <w:color w:val="231F20"/>
          <w:spacing w:val="-14"/>
        </w:rPr>
        <w:t xml:space="preserve"> </w:t>
      </w:r>
      <w:r>
        <w:rPr>
          <w:color w:val="231F20"/>
        </w:rPr>
        <w:t>вторинні</w:t>
      </w:r>
      <w:r>
        <w:rPr>
          <w:color w:val="231F20"/>
          <w:spacing w:val="-14"/>
        </w:rPr>
        <w:t xml:space="preserve"> </w:t>
      </w:r>
      <w:r>
        <w:rPr>
          <w:color w:val="231F20"/>
        </w:rPr>
        <w:t>акти,</w:t>
      </w:r>
      <w:r>
        <w:rPr>
          <w:color w:val="231F20"/>
          <w:spacing w:val="-14"/>
        </w:rPr>
        <w:t xml:space="preserve"> </w:t>
      </w:r>
      <w:r>
        <w:rPr>
          <w:color w:val="231F20"/>
        </w:rPr>
        <w:t>які</w:t>
      </w:r>
      <w:r>
        <w:rPr>
          <w:color w:val="231F20"/>
          <w:spacing w:val="-14"/>
        </w:rPr>
        <w:t xml:space="preserve"> </w:t>
      </w:r>
      <w:r>
        <w:rPr>
          <w:color w:val="231F20"/>
        </w:rPr>
        <w:t xml:space="preserve">вида- ються </w:t>
      </w:r>
      <w:r>
        <w:rPr>
          <w:color w:val="231F20"/>
          <w:spacing w:val="-3"/>
        </w:rPr>
        <w:t>суб’єкта</w:t>
      </w:r>
      <w:r>
        <w:rPr>
          <w:color w:val="231F20"/>
          <w:spacing w:val="-3"/>
        </w:rPr>
        <w:t xml:space="preserve">ми </w:t>
      </w:r>
      <w:r>
        <w:rPr>
          <w:color w:val="231F20"/>
        </w:rPr>
        <w:t xml:space="preserve">публічної адміністрації (у </w:t>
      </w:r>
      <w:r>
        <w:rPr>
          <w:color w:val="231F20"/>
          <w:spacing w:val="-3"/>
        </w:rPr>
        <w:t xml:space="preserve">ході </w:t>
      </w:r>
      <w:r>
        <w:rPr>
          <w:color w:val="231F20"/>
        </w:rPr>
        <w:t>розпорядчої діяль- ності)</w:t>
      </w:r>
      <w:r>
        <w:rPr>
          <w:color w:val="231F20"/>
          <w:spacing w:val="-6"/>
        </w:rPr>
        <w:t xml:space="preserve"> </w:t>
      </w:r>
      <w:r>
        <w:rPr>
          <w:color w:val="231F20"/>
        </w:rPr>
        <w:t>на</w:t>
      </w:r>
      <w:r>
        <w:rPr>
          <w:color w:val="231F20"/>
          <w:spacing w:val="-5"/>
        </w:rPr>
        <w:t xml:space="preserve"> </w:t>
      </w:r>
      <w:r>
        <w:rPr>
          <w:color w:val="231F20"/>
        </w:rPr>
        <w:t>підставі</w:t>
      </w:r>
      <w:r>
        <w:rPr>
          <w:color w:val="231F20"/>
          <w:spacing w:val="-5"/>
        </w:rPr>
        <w:t xml:space="preserve"> </w:t>
      </w:r>
      <w:r>
        <w:rPr>
          <w:color w:val="231F20"/>
          <w:spacing w:val="-3"/>
        </w:rPr>
        <w:t>закону,</w:t>
      </w:r>
      <w:r>
        <w:rPr>
          <w:color w:val="231F20"/>
          <w:spacing w:val="-5"/>
        </w:rPr>
        <w:t xml:space="preserve"> </w:t>
      </w:r>
      <w:r>
        <w:rPr>
          <w:color w:val="231F20"/>
        </w:rPr>
        <w:t>відповідно</w:t>
      </w:r>
      <w:r>
        <w:rPr>
          <w:color w:val="231F20"/>
          <w:spacing w:val="-5"/>
        </w:rPr>
        <w:t xml:space="preserve"> </w:t>
      </w:r>
      <w:r>
        <w:rPr>
          <w:color w:val="231F20"/>
        </w:rPr>
        <w:t>до</w:t>
      </w:r>
      <w:r>
        <w:rPr>
          <w:color w:val="231F20"/>
          <w:spacing w:val="-5"/>
        </w:rPr>
        <w:t xml:space="preserve"> </w:t>
      </w:r>
      <w:r>
        <w:rPr>
          <w:color w:val="231F20"/>
        </w:rPr>
        <w:t>закону</w:t>
      </w:r>
      <w:r>
        <w:rPr>
          <w:color w:val="231F20"/>
          <w:spacing w:val="-5"/>
        </w:rPr>
        <w:t xml:space="preserve"> </w:t>
      </w:r>
      <w:r>
        <w:rPr>
          <w:color w:val="231F20"/>
        </w:rPr>
        <w:t>і</w:t>
      </w:r>
      <w:r>
        <w:rPr>
          <w:color w:val="231F20"/>
          <w:spacing w:val="-6"/>
        </w:rPr>
        <w:t xml:space="preserve"> </w:t>
      </w:r>
      <w:r>
        <w:rPr>
          <w:color w:val="231F20"/>
        </w:rPr>
        <w:t>для</w:t>
      </w:r>
      <w:r>
        <w:rPr>
          <w:color w:val="231F20"/>
          <w:spacing w:val="-5"/>
        </w:rPr>
        <w:t xml:space="preserve"> </w:t>
      </w:r>
      <w:r>
        <w:rPr>
          <w:color w:val="231F20"/>
        </w:rPr>
        <w:t>його</w:t>
      </w:r>
      <w:r>
        <w:rPr>
          <w:color w:val="231F20"/>
          <w:spacing w:val="-5"/>
        </w:rPr>
        <w:t xml:space="preserve"> </w:t>
      </w:r>
      <w:r>
        <w:rPr>
          <w:color w:val="231F20"/>
        </w:rPr>
        <w:t>виконання, з метою забезпечення ефективного та своєчасного виконання</w:t>
      </w:r>
      <w:r>
        <w:rPr>
          <w:color w:val="231F20"/>
          <w:spacing w:val="-31"/>
        </w:rPr>
        <w:t xml:space="preserve"> </w:t>
      </w:r>
      <w:r>
        <w:rPr>
          <w:color w:val="231F20"/>
        </w:rPr>
        <w:t>вико- навчих</w:t>
      </w:r>
      <w:r>
        <w:rPr>
          <w:color w:val="231F20"/>
          <w:spacing w:val="-1"/>
        </w:rPr>
        <w:t xml:space="preserve"> </w:t>
      </w:r>
      <w:r>
        <w:rPr>
          <w:color w:val="231F20"/>
        </w:rPr>
        <w:t>функцій.</w:t>
      </w:r>
    </w:p>
    <w:p w14:paraId="31B5B4DF" w14:textId="77777777" w:rsidR="00DE575E" w:rsidRDefault="002E7560">
      <w:pPr>
        <w:pStyle w:val="BodyText"/>
        <w:spacing w:before="2" w:line="252" w:lineRule="auto"/>
        <w:ind w:left="533" w:right="127" w:firstLine="283"/>
        <w:jc w:val="both"/>
      </w:pPr>
      <w:r>
        <w:rPr>
          <w:b/>
          <w:color w:val="231F20"/>
        </w:rPr>
        <w:t xml:space="preserve">Підприємства </w:t>
      </w:r>
      <w:r>
        <w:rPr>
          <w:color w:val="231F20"/>
        </w:rPr>
        <w:t>– самостійний господарський статутний суб’єкт, який має права юридичної особи, здійснює виробничу, науково-до- слідну й комерційну діяльність з метою одержання відповідного прибутку (доходу). Підприємство має самостійний баланс, розра- хункові та інші раху</w:t>
      </w:r>
      <w:r>
        <w:rPr>
          <w:color w:val="231F20"/>
        </w:rPr>
        <w:t>нки в установах банків, печатку, а промислове підприємство – і товарний знак.</w:t>
      </w:r>
    </w:p>
    <w:p w14:paraId="22E8A508" w14:textId="77777777" w:rsidR="00DE575E" w:rsidRDefault="002E7560">
      <w:pPr>
        <w:pStyle w:val="BodyText"/>
        <w:spacing w:before="3" w:line="252" w:lineRule="auto"/>
        <w:ind w:left="533" w:right="127" w:firstLine="283"/>
        <w:jc w:val="both"/>
      </w:pPr>
      <w:r>
        <w:rPr>
          <w:b/>
          <w:color w:val="231F20"/>
        </w:rPr>
        <w:t xml:space="preserve">Підсудність  </w:t>
      </w:r>
      <w:r>
        <w:rPr>
          <w:color w:val="231F20"/>
        </w:rPr>
        <w:t>–  це  поділ  на  групи  за  юридичними  ознаками      і властивостями адміністративних справ, вирішення яких віднесено законом до компетенції певного адміністративн</w:t>
      </w:r>
      <w:r>
        <w:rPr>
          <w:color w:val="231F20"/>
        </w:rPr>
        <w:t>ого</w:t>
      </w:r>
      <w:r>
        <w:rPr>
          <w:color w:val="231F20"/>
          <w:spacing w:val="-4"/>
        </w:rPr>
        <w:t xml:space="preserve"> </w:t>
      </w:r>
      <w:r>
        <w:rPr>
          <w:color w:val="231F20"/>
          <w:spacing w:val="-7"/>
        </w:rPr>
        <w:t>суду.</w:t>
      </w:r>
    </w:p>
    <w:p w14:paraId="520FEB76" w14:textId="77777777" w:rsidR="00DE575E" w:rsidRDefault="002E7560">
      <w:pPr>
        <w:pStyle w:val="BodyText"/>
        <w:spacing w:before="1" w:line="252" w:lineRule="auto"/>
        <w:ind w:left="533" w:right="127" w:firstLine="283"/>
        <w:jc w:val="both"/>
      </w:pPr>
      <w:r>
        <w:rPr>
          <w:b/>
          <w:color w:val="231F20"/>
        </w:rPr>
        <w:t xml:space="preserve">План як інструмент публічного адміністрування </w:t>
      </w:r>
      <w:r>
        <w:rPr>
          <w:color w:val="231F20"/>
        </w:rPr>
        <w:t>– похідна форма</w:t>
      </w:r>
      <w:r>
        <w:rPr>
          <w:color w:val="231F20"/>
          <w:spacing w:val="-14"/>
        </w:rPr>
        <w:t xml:space="preserve"> </w:t>
      </w:r>
      <w:r>
        <w:rPr>
          <w:color w:val="231F20"/>
        </w:rPr>
        <w:t>адміністративної</w:t>
      </w:r>
      <w:r>
        <w:rPr>
          <w:color w:val="231F20"/>
          <w:spacing w:val="-14"/>
        </w:rPr>
        <w:t xml:space="preserve"> </w:t>
      </w:r>
      <w:r>
        <w:rPr>
          <w:color w:val="231F20"/>
        </w:rPr>
        <w:t>діяльності</w:t>
      </w:r>
      <w:r>
        <w:rPr>
          <w:color w:val="231F20"/>
          <w:spacing w:val="-14"/>
        </w:rPr>
        <w:t xml:space="preserve"> </w:t>
      </w:r>
      <w:r>
        <w:rPr>
          <w:color w:val="231F20"/>
        </w:rPr>
        <w:t>публічної</w:t>
      </w:r>
      <w:r>
        <w:rPr>
          <w:color w:val="231F20"/>
          <w:spacing w:val="-14"/>
        </w:rPr>
        <w:t xml:space="preserve"> </w:t>
      </w:r>
      <w:r>
        <w:rPr>
          <w:color w:val="231F20"/>
        </w:rPr>
        <w:t>адміністрації</w:t>
      </w:r>
      <w:r>
        <w:rPr>
          <w:color w:val="231F20"/>
          <w:spacing w:val="-14"/>
        </w:rPr>
        <w:t xml:space="preserve"> </w:t>
      </w:r>
      <w:r>
        <w:rPr>
          <w:color w:val="231F20"/>
        </w:rPr>
        <w:t>на</w:t>
      </w:r>
      <w:r>
        <w:rPr>
          <w:color w:val="231F20"/>
          <w:spacing w:val="-14"/>
        </w:rPr>
        <w:t xml:space="preserve"> </w:t>
      </w:r>
      <w:r>
        <w:rPr>
          <w:color w:val="231F20"/>
        </w:rPr>
        <w:t>основі узагальнення сучасного стану суспільних відносин, що спрямовані на розвиток, через затвердження відповідними адміністратив</w:t>
      </w:r>
      <w:r>
        <w:rPr>
          <w:color w:val="231F20"/>
        </w:rPr>
        <w:t>ними актами цілеспрямованих напрямків публічного адміністрування на майбутнє.</w:t>
      </w:r>
    </w:p>
    <w:p w14:paraId="47C8F99D" w14:textId="77777777" w:rsidR="00DE575E" w:rsidRDefault="002E7560">
      <w:pPr>
        <w:spacing w:before="3" w:line="252" w:lineRule="auto"/>
        <w:ind w:left="533" w:right="128" w:firstLine="283"/>
        <w:jc w:val="both"/>
        <w:rPr>
          <w:sz w:val="21"/>
        </w:rPr>
      </w:pPr>
      <w:r>
        <w:rPr>
          <w:b/>
          <w:color w:val="231F20"/>
          <w:sz w:val="21"/>
        </w:rPr>
        <w:t xml:space="preserve">Плата за надання адміністративних послуг </w:t>
      </w:r>
      <w:r>
        <w:rPr>
          <w:color w:val="231F20"/>
          <w:sz w:val="21"/>
        </w:rPr>
        <w:t>– установлений законодавством обов’язковий платіж до державного та відповід- ного місцевого бюджету, що справляється з фізичних і юридич-</w:t>
      </w:r>
    </w:p>
    <w:p w14:paraId="041CDD85" w14:textId="77777777" w:rsidR="00DE575E" w:rsidRDefault="00DE575E">
      <w:pPr>
        <w:pStyle w:val="BodyText"/>
        <w:spacing w:before="6"/>
        <w:rPr>
          <w:sz w:val="12"/>
        </w:rPr>
      </w:pPr>
    </w:p>
    <w:p w14:paraId="626AF6DB" w14:textId="77777777" w:rsidR="00DE575E" w:rsidRDefault="002E7560">
      <w:pPr>
        <w:spacing w:before="92"/>
        <w:ind w:left="533"/>
        <w:rPr>
          <w:rFonts w:ascii="Times New Roman"/>
          <w:sz w:val="20"/>
        </w:rPr>
      </w:pPr>
      <w:r>
        <w:rPr>
          <w:rFonts w:ascii="Times New Roman"/>
          <w:color w:val="231F20"/>
          <w:sz w:val="20"/>
        </w:rPr>
        <w:t>546</w:t>
      </w:r>
    </w:p>
    <w:p w14:paraId="3C8D0A99" w14:textId="77777777" w:rsidR="00DE575E" w:rsidRDefault="00DE575E">
      <w:pPr>
        <w:rPr>
          <w:rFonts w:ascii="Times New Roman"/>
          <w:sz w:val="20"/>
        </w:rPr>
        <w:sectPr w:rsidR="00DE575E">
          <w:pgSz w:w="8510" w:h="12760"/>
          <w:pgMar w:top="660" w:right="720" w:bottom="280" w:left="600" w:header="720" w:footer="720" w:gutter="0"/>
          <w:cols w:space="720"/>
        </w:sectPr>
      </w:pPr>
    </w:p>
    <w:p w14:paraId="09DC5DA9"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6601DA35" w14:textId="348B377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BD3232C" wp14:editId="405C6B3F">
                <wp:extent cx="4140200" cy="6350"/>
                <wp:effectExtent l="0" t="0" r="12700" b="6350"/>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2" name="Line 7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B8C425" id="Group_x0020_7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MGdwLh8AgAAlAUAAA4AAAAA&#10;AAAAAAAAAAAALAIAAGRycy9lMm9Eb2MueG1sUEsBAi0AFAAGAAgAAAAhAEynsJDZAAAAAwEAAA8A&#10;AAAAAAAAAAAAAAAA1AQAAGRycy9kb3ducmV2LnhtbFBLBQYAAAAABAAEAPMAAADaBQAAAAA=&#10;">
                <v:line id="Line_x0020_7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iVXMUAAADbAAAADwAAAGRycy9kb3ducmV2LnhtbESP3WrCQBSE7wu+w3IKvZG6UUFLdBUR&#10;CqUX/sUHOGaPSeju2ZhdTfTpuwWhl8PMfMPMl5014kaNrxwrGA4SEMS50xUXCo7Z5/sHCB+QNRrH&#10;pOBOHpaL3sscU+1a3tPtEAoRIexTVFCGUKdS+rwki37gauLonV1jMUTZFFI32Ea4NXKUJBNpseK4&#10;UGJN65Lyn8PVKsgu/WB222/TZtvTWJ4um/HjulHq7bVbzUAE6sJ/+Nn+0gqmI/j7En+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miVXMUAAADbAAAADwAAAAAAAAAA&#10;AAAAAAChAgAAZHJzL2Rvd25yZXYueG1sUEsFBgAAAAAEAAQA+QAAAJMDAAAAAA==&#10;" strokecolor="#231f20" strokeweight=".5pt"/>
                <w10:anchorlock/>
              </v:group>
            </w:pict>
          </mc:Fallback>
        </mc:AlternateContent>
      </w:r>
    </w:p>
    <w:p w14:paraId="701D1DD5" w14:textId="77777777" w:rsidR="00DE575E" w:rsidRDefault="00DE575E">
      <w:pPr>
        <w:pStyle w:val="BodyText"/>
        <w:spacing w:before="7"/>
        <w:rPr>
          <w:rFonts w:ascii="AdonisC"/>
          <w:i/>
          <w:sz w:val="19"/>
        </w:rPr>
      </w:pPr>
    </w:p>
    <w:p w14:paraId="280E7AE1" w14:textId="77777777" w:rsidR="00DE575E" w:rsidRDefault="002E7560">
      <w:pPr>
        <w:pStyle w:val="BodyText"/>
        <w:spacing w:before="1" w:line="252" w:lineRule="auto"/>
        <w:ind w:left="250"/>
      </w:pPr>
      <w:r>
        <w:rPr>
          <w:color w:val="231F20"/>
        </w:rPr>
        <w:t>них осіб суб’єктами надання адміністративних послуг за вчинення юридично значущих дій.</w:t>
      </w:r>
    </w:p>
    <w:p w14:paraId="4E8CBF03" w14:textId="77777777" w:rsidR="00DE575E" w:rsidRDefault="002E7560">
      <w:pPr>
        <w:pStyle w:val="BodyText"/>
        <w:spacing w:before="1" w:line="252" w:lineRule="auto"/>
        <w:ind w:left="250" w:right="410" w:firstLine="283"/>
        <w:jc w:val="both"/>
      </w:pPr>
      <w:r>
        <w:rPr>
          <w:b/>
          <w:color w:val="231F20"/>
        </w:rPr>
        <w:t xml:space="preserve">Позивач </w:t>
      </w:r>
      <w:r>
        <w:rPr>
          <w:color w:val="231F20"/>
        </w:rPr>
        <w:t>– особа, щодо захисту прав, свобод та інтересів якої подано позов до адміністративного суду, а також суб’єкт владних повноважень, на виконання повноважень якого подано позов до адміністративного суду.</w:t>
      </w:r>
    </w:p>
    <w:p w14:paraId="0888B58D" w14:textId="77777777" w:rsidR="00DE575E" w:rsidRDefault="002E7560">
      <w:pPr>
        <w:pStyle w:val="BodyText"/>
        <w:spacing w:before="2" w:line="252" w:lineRule="auto"/>
        <w:ind w:left="250" w:right="411" w:firstLine="283"/>
        <w:jc w:val="both"/>
      </w:pPr>
      <w:r>
        <w:rPr>
          <w:b/>
          <w:color w:val="231F20"/>
          <w:spacing w:val="-5"/>
        </w:rPr>
        <w:t xml:space="preserve">Політичні </w:t>
      </w:r>
      <w:r>
        <w:rPr>
          <w:b/>
          <w:color w:val="231F20"/>
          <w:spacing w:val="-4"/>
        </w:rPr>
        <w:t xml:space="preserve">права </w:t>
      </w:r>
      <w:r>
        <w:rPr>
          <w:b/>
          <w:color w:val="231F20"/>
        </w:rPr>
        <w:t xml:space="preserve">і </w:t>
      </w:r>
      <w:r>
        <w:rPr>
          <w:b/>
          <w:color w:val="231F20"/>
          <w:spacing w:val="-6"/>
        </w:rPr>
        <w:t xml:space="preserve">свободи </w:t>
      </w:r>
      <w:r>
        <w:rPr>
          <w:color w:val="231F20"/>
        </w:rPr>
        <w:t xml:space="preserve">– </w:t>
      </w:r>
      <w:r>
        <w:rPr>
          <w:color w:val="231F20"/>
          <w:spacing w:val="-3"/>
        </w:rPr>
        <w:t xml:space="preserve">це </w:t>
      </w:r>
      <w:r>
        <w:rPr>
          <w:color w:val="231F20"/>
          <w:spacing w:val="-5"/>
        </w:rPr>
        <w:t xml:space="preserve">можливість громадян </w:t>
      </w:r>
      <w:r>
        <w:rPr>
          <w:color w:val="231F20"/>
          <w:spacing w:val="-4"/>
        </w:rPr>
        <w:t>брат</w:t>
      </w:r>
      <w:r>
        <w:rPr>
          <w:color w:val="231F20"/>
          <w:spacing w:val="-4"/>
        </w:rPr>
        <w:t xml:space="preserve">и </w:t>
      </w:r>
      <w:r>
        <w:rPr>
          <w:color w:val="231F20"/>
          <w:spacing w:val="-5"/>
        </w:rPr>
        <w:t xml:space="preserve">участь </w:t>
      </w:r>
      <w:r>
        <w:rPr>
          <w:color w:val="231F20"/>
        </w:rPr>
        <w:t xml:space="preserve">у </w:t>
      </w:r>
      <w:r>
        <w:rPr>
          <w:color w:val="231F20"/>
          <w:spacing w:val="-5"/>
        </w:rPr>
        <w:t xml:space="preserve">публічному управлінні державними справами, реалізувати </w:t>
      </w:r>
      <w:r>
        <w:rPr>
          <w:color w:val="231F20"/>
          <w:spacing w:val="-4"/>
        </w:rPr>
        <w:t xml:space="preserve">своє воле- </w:t>
      </w:r>
      <w:r>
        <w:rPr>
          <w:color w:val="231F20"/>
          <w:spacing w:val="-5"/>
        </w:rPr>
        <w:t xml:space="preserve">виявлення щодо </w:t>
      </w:r>
      <w:r>
        <w:rPr>
          <w:color w:val="231F20"/>
          <w:spacing w:val="-7"/>
        </w:rPr>
        <w:t xml:space="preserve">об’єднання </w:t>
      </w:r>
      <w:r>
        <w:rPr>
          <w:color w:val="231F20"/>
        </w:rPr>
        <w:t xml:space="preserve">в </w:t>
      </w:r>
      <w:r>
        <w:rPr>
          <w:color w:val="231F20"/>
          <w:spacing w:val="-5"/>
        </w:rPr>
        <w:t xml:space="preserve">політичні партії, громадські </w:t>
      </w:r>
      <w:r>
        <w:rPr>
          <w:color w:val="231F20"/>
          <w:spacing w:val="-7"/>
        </w:rPr>
        <w:t xml:space="preserve">об’єднання, </w:t>
      </w:r>
      <w:r>
        <w:rPr>
          <w:color w:val="231F20"/>
          <w:spacing w:val="-5"/>
        </w:rPr>
        <w:t xml:space="preserve">рухи, проведення мирних зібрань, мітингів </w:t>
      </w:r>
      <w:r>
        <w:rPr>
          <w:color w:val="231F20"/>
        </w:rPr>
        <w:t xml:space="preserve">і </w:t>
      </w:r>
      <w:r>
        <w:rPr>
          <w:color w:val="231F20"/>
          <w:spacing w:val="-5"/>
        </w:rPr>
        <w:t>демонстрацій тощо.</w:t>
      </w:r>
    </w:p>
    <w:p w14:paraId="7FA9A56E" w14:textId="77777777" w:rsidR="00DE575E" w:rsidRDefault="002E7560">
      <w:pPr>
        <w:pStyle w:val="BodyText"/>
        <w:spacing w:before="2" w:line="252" w:lineRule="auto"/>
        <w:ind w:left="250" w:right="411" w:firstLine="283"/>
        <w:jc w:val="both"/>
      </w:pPr>
      <w:r>
        <w:rPr>
          <w:b/>
          <w:color w:val="231F20"/>
        </w:rPr>
        <w:t xml:space="preserve">Положення </w:t>
      </w:r>
      <w:r>
        <w:rPr>
          <w:color w:val="231F20"/>
        </w:rPr>
        <w:t>– систематизований (зведений) нормати</w:t>
      </w:r>
      <w:r>
        <w:rPr>
          <w:color w:val="231F20"/>
        </w:rPr>
        <w:t>вно-право- вий акт, яким визначаються структура, завдання, компетенція або організація діяльності певних суб’єктів права).</w:t>
      </w:r>
    </w:p>
    <w:p w14:paraId="2A3C6A8B" w14:textId="77777777" w:rsidR="00DE575E" w:rsidRDefault="002E7560">
      <w:pPr>
        <w:pStyle w:val="BodyText"/>
        <w:spacing w:before="1" w:line="252" w:lineRule="auto"/>
        <w:ind w:left="250" w:right="411" w:firstLine="283"/>
        <w:jc w:val="both"/>
      </w:pPr>
      <w:r>
        <w:rPr>
          <w:b/>
          <w:color w:val="231F20"/>
        </w:rPr>
        <w:t xml:space="preserve">Поняті </w:t>
      </w:r>
      <w:r>
        <w:rPr>
          <w:color w:val="231F20"/>
        </w:rPr>
        <w:t xml:space="preserve">– особи, які сприяють здійсненню провадження в справі про адміністративне правопорушення, не зацікавлені в </w:t>
      </w:r>
      <w:r>
        <w:rPr>
          <w:color w:val="231F20"/>
          <w:spacing w:val="-3"/>
        </w:rPr>
        <w:t xml:space="preserve">результаті </w:t>
      </w:r>
      <w:r>
        <w:rPr>
          <w:color w:val="231F20"/>
        </w:rPr>
        <w:t>справи. Їх завдання полягає в засвідченні своїми підписами факту правильного відображення в протоколі характеру проведених дій, їхньої</w:t>
      </w:r>
      <w:r>
        <w:rPr>
          <w:color w:val="231F20"/>
          <w:spacing w:val="-9"/>
        </w:rPr>
        <w:t xml:space="preserve"> </w:t>
      </w:r>
      <w:r>
        <w:rPr>
          <w:color w:val="231F20"/>
        </w:rPr>
        <w:t>послідовності</w:t>
      </w:r>
      <w:r>
        <w:rPr>
          <w:color w:val="231F20"/>
          <w:spacing w:val="-9"/>
        </w:rPr>
        <w:t xml:space="preserve"> </w:t>
      </w:r>
      <w:r>
        <w:rPr>
          <w:color w:val="231F20"/>
        </w:rPr>
        <w:t>й</w:t>
      </w:r>
      <w:r>
        <w:rPr>
          <w:color w:val="231F20"/>
          <w:spacing w:val="-10"/>
        </w:rPr>
        <w:t xml:space="preserve"> </w:t>
      </w:r>
      <w:r>
        <w:rPr>
          <w:color w:val="231F20"/>
          <w:spacing w:val="-3"/>
        </w:rPr>
        <w:t>результатів.</w:t>
      </w:r>
      <w:r>
        <w:rPr>
          <w:color w:val="231F20"/>
          <w:spacing w:val="-9"/>
        </w:rPr>
        <w:t xml:space="preserve"> </w:t>
      </w:r>
      <w:r>
        <w:rPr>
          <w:color w:val="231F20"/>
          <w:spacing w:val="-3"/>
        </w:rPr>
        <w:t>Об’єктивність</w:t>
      </w:r>
      <w:r>
        <w:rPr>
          <w:color w:val="231F20"/>
          <w:spacing w:val="-9"/>
        </w:rPr>
        <w:t xml:space="preserve"> </w:t>
      </w:r>
      <w:r>
        <w:rPr>
          <w:color w:val="231F20"/>
        </w:rPr>
        <w:t>відображення</w:t>
      </w:r>
      <w:r>
        <w:rPr>
          <w:color w:val="231F20"/>
          <w:spacing w:val="-9"/>
        </w:rPr>
        <w:t xml:space="preserve"> </w:t>
      </w:r>
      <w:r>
        <w:rPr>
          <w:color w:val="231F20"/>
        </w:rPr>
        <w:t>того, що відбувається, забезпечується участю принаймні двох</w:t>
      </w:r>
      <w:r>
        <w:rPr>
          <w:color w:val="231F20"/>
          <w:spacing w:val="-11"/>
        </w:rPr>
        <w:t xml:space="preserve"> </w:t>
      </w:r>
      <w:r>
        <w:rPr>
          <w:color w:val="231F20"/>
        </w:rPr>
        <w:t>понят</w:t>
      </w:r>
      <w:r>
        <w:rPr>
          <w:color w:val="231F20"/>
        </w:rPr>
        <w:t>их.</w:t>
      </w:r>
    </w:p>
    <w:p w14:paraId="6AD01A74" w14:textId="77777777" w:rsidR="00DE575E" w:rsidRDefault="002E7560">
      <w:pPr>
        <w:pStyle w:val="BodyText"/>
        <w:spacing w:before="3" w:line="252" w:lineRule="auto"/>
        <w:ind w:left="250" w:right="411" w:firstLine="283"/>
        <w:jc w:val="both"/>
      </w:pPr>
      <w:r>
        <w:rPr>
          <w:b/>
          <w:color w:val="231F20"/>
        </w:rPr>
        <w:t xml:space="preserve">Порядки </w:t>
      </w:r>
      <w:r>
        <w:rPr>
          <w:color w:val="231F20"/>
        </w:rPr>
        <w:t>– нормативно-правові акти, у яких закріплюється розташування елементів у певній послідовності.</w:t>
      </w:r>
    </w:p>
    <w:p w14:paraId="4C93CAAD" w14:textId="77777777" w:rsidR="00DE575E" w:rsidRDefault="002E7560">
      <w:pPr>
        <w:pStyle w:val="BodyText"/>
        <w:spacing w:before="1" w:line="252" w:lineRule="auto"/>
        <w:ind w:left="250" w:right="411" w:firstLine="283"/>
        <w:jc w:val="both"/>
      </w:pPr>
      <w:r>
        <w:rPr>
          <w:b/>
          <w:color w:val="231F20"/>
        </w:rPr>
        <w:t>Посадова</w:t>
      </w:r>
      <w:r>
        <w:rPr>
          <w:b/>
          <w:color w:val="231F20"/>
          <w:spacing w:val="-8"/>
        </w:rPr>
        <w:t xml:space="preserve"> </w:t>
      </w:r>
      <w:r>
        <w:rPr>
          <w:b/>
          <w:color w:val="231F20"/>
        </w:rPr>
        <w:t>особа</w:t>
      </w:r>
      <w:r>
        <w:rPr>
          <w:b/>
          <w:color w:val="231F20"/>
          <w:spacing w:val="-8"/>
        </w:rPr>
        <w:t xml:space="preserve"> </w:t>
      </w:r>
      <w:r>
        <w:rPr>
          <w:b/>
          <w:color w:val="231F20"/>
        </w:rPr>
        <w:t>місцевого</w:t>
      </w:r>
      <w:r>
        <w:rPr>
          <w:b/>
          <w:color w:val="231F20"/>
          <w:spacing w:val="-8"/>
        </w:rPr>
        <w:t xml:space="preserve"> </w:t>
      </w:r>
      <w:r>
        <w:rPr>
          <w:b/>
          <w:color w:val="231F20"/>
        </w:rPr>
        <w:t>самоврядування</w:t>
      </w:r>
      <w:r>
        <w:rPr>
          <w:b/>
          <w:color w:val="231F20"/>
          <w:spacing w:val="-8"/>
        </w:rPr>
        <w:t xml:space="preserve"> </w:t>
      </w:r>
      <w:r>
        <w:rPr>
          <w:color w:val="231F20"/>
        </w:rPr>
        <w:t>–</w:t>
      </w:r>
      <w:r>
        <w:rPr>
          <w:color w:val="231F20"/>
          <w:spacing w:val="-8"/>
        </w:rPr>
        <w:t xml:space="preserve"> </w:t>
      </w:r>
      <w:r>
        <w:rPr>
          <w:color w:val="231F20"/>
        </w:rPr>
        <w:t>особа,</w:t>
      </w:r>
      <w:r>
        <w:rPr>
          <w:color w:val="231F20"/>
          <w:spacing w:val="-8"/>
        </w:rPr>
        <w:t xml:space="preserve"> </w:t>
      </w:r>
      <w:r>
        <w:rPr>
          <w:color w:val="231F20"/>
        </w:rPr>
        <w:t>яка</w:t>
      </w:r>
      <w:r>
        <w:rPr>
          <w:color w:val="231F20"/>
          <w:spacing w:val="-8"/>
        </w:rPr>
        <w:t xml:space="preserve"> </w:t>
      </w:r>
      <w:r>
        <w:rPr>
          <w:color w:val="231F20"/>
        </w:rPr>
        <w:t>працює в органах місцевого самоврядування, має відповідні посадові</w:t>
      </w:r>
      <w:r>
        <w:rPr>
          <w:color w:val="231F20"/>
          <w:spacing w:val="-33"/>
        </w:rPr>
        <w:t xml:space="preserve"> </w:t>
      </w:r>
      <w:r>
        <w:rPr>
          <w:color w:val="231F20"/>
        </w:rPr>
        <w:t>повно- важення щодо здійсненн</w:t>
      </w:r>
      <w:r>
        <w:rPr>
          <w:color w:val="231F20"/>
        </w:rPr>
        <w:t>я організаційно-розпорядчих та консуль- тативно-дорадчих функцій і отримує заробітну плату за рахунок місцевого</w:t>
      </w:r>
      <w:r>
        <w:rPr>
          <w:color w:val="231F20"/>
          <w:spacing w:val="-9"/>
        </w:rPr>
        <w:t xml:space="preserve"> </w:t>
      </w:r>
      <w:r>
        <w:rPr>
          <w:color w:val="231F20"/>
          <w:spacing w:val="-4"/>
        </w:rPr>
        <w:t>бюджету.</w:t>
      </w:r>
      <w:r>
        <w:rPr>
          <w:color w:val="231F20"/>
          <w:spacing w:val="-9"/>
        </w:rPr>
        <w:t xml:space="preserve"> </w:t>
      </w:r>
      <w:r>
        <w:rPr>
          <w:color w:val="231F20"/>
          <w:spacing w:val="-4"/>
        </w:rPr>
        <w:t>Технічні</w:t>
      </w:r>
      <w:r>
        <w:rPr>
          <w:color w:val="231F20"/>
          <w:spacing w:val="-9"/>
        </w:rPr>
        <w:t xml:space="preserve"> </w:t>
      </w:r>
      <w:r>
        <w:rPr>
          <w:color w:val="231F20"/>
        </w:rPr>
        <w:t>працівники</w:t>
      </w:r>
      <w:r>
        <w:rPr>
          <w:color w:val="231F20"/>
          <w:spacing w:val="-9"/>
        </w:rPr>
        <w:t xml:space="preserve"> </w:t>
      </w:r>
      <w:r>
        <w:rPr>
          <w:color w:val="231F20"/>
        </w:rPr>
        <w:t>та</w:t>
      </w:r>
      <w:r>
        <w:rPr>
          <w:color w:val="231F20"/>
          <w:spacing w:val="-9"/>
        </w:rPr>
        <w:t xml:space="preserve"> </w:t>
      </w:r>
      <w:r>
        <w:rPr>
          <w:color w:val="231F20"/>
        </w:rPr>
        <w:t>обслуговуючий</w:t>
      </w:r>
      <w:r>
        <w:rPr>
          <w:color w:val="231F20"/>
          <w:spacing w:val="-9"/>
        </w:rPr>
        <w:t xml:space="preserve"> </w:t>
      </w:r>
      <w:r>
        <w:rPr>
          <w:color w:val="231F20"/>
        </w:rPr>
        <w:t>персонал органів місцевого самоврядування до посадових осіб не</w:t>
      </w:r>
      <w:r>
        <w:rPr>
          <w:color w:val="231F20"/>
          <w:spacing w:val="-6"/>
        </w:rPr>
        <w:t xml:space="preserve"> </w:t>
      </w:r>
      <w:r>
        <w:rPr>
          <w:color w:val="231F20"/>
        </w:rPr>
        <w:t>належать.</w:t>
      </w:r>
    </w:p>
    <w:p w14:paraId="5CD33679" w14:textId="77777777" w:rsidR="00DE575E" w:rsidRDefault="002E7560">
      <w:pPr>
        <w:pStyle w:val="BodyText"/>
        <w:spacing w:before="3" w:line="252" w:lineRule="auto"/>
        <w:ind w:left="250" w:right="411" w:firstLine="283"/>
        <w:jc w:val="both"/>
      </w:pPr>
      <w:r>
        <w:rPr>
          <w:b/>
          <w:color w:val="231F20"/>
        </w:rPr>
        <w:t>Постанови Кабінету Мініст</w:t>
      </w:r>
      <w:r>
        <w:rPr>
          <w:b/>
          <w:color w:val="231F20"/>
        </w:rPr>
        <w:t xml:space="preserve">рів України </w:t>
      </w:r>
      <w:r>
        <w:rPr>
          <w:color w:val="231F20"/>
        </w:rPr>
        <w:t>– нормативно-правові акти Уряду України як вищого органу в системі органів виконавчої влади, що на основі й на виконання Конституції та законів України видає постанови й розпорядження, обов’язкові до виконання.</w:t>
      </w:r>
    </w:p>
    <w:p w14:paraId="2DDDA1D1" w14:textId="77777777" w:rsidR="00DE575E" w:rsidRDefault="002E7560">
      <w:pPr>
        <w:pStyle w:val="BodyText"/>
        <w:spacing w:before="2" w:line="252" w:lineRule="auto"/>
        <w:ind w:left="250" w:right="410" w:firstLine="283"/>
        <w:jc w:val="both"/>
      </w:pPr>
      <w:r>
        <w:rPr>
          <w:b/>
          <w:color w:val="231F20"/>
        </w:rPr>
        <w:t xml:space="preserve">Права державного службовця </w:t>
      </w:r>
      <w:r>
        <w:rPr>
          <w:color w:val="231F20"/>
        </w:rPr>
        <w:t>– гара</w:t>
      </w:r>
      <w:r>
        <w:rPr>
          <w:color w:val="231F20"/>
        </w:rPr>
        <w:t xml:space="preserve">нтована правом і законом міра можливої або дозволеної поведінки державного службовця, що встановлюється для задоволення його інтересів та забезпечується державою. Сукупність </w:t>
      </w:r>
      <w:r>
        <w:rPr>
          <w:i/>
          <w:color w:val="231F20"/>
        </w:rPr>
        <w:t xml:space="preserve">загальних прав </w:t>
      </w:r>
      <w:r>
        <w:rPr>
          <w:color w:val="231F20"/>
        </w:rPr>
        <w:t>(права, яких опосередковано загальним статусом особи як громадянина</w:t>
      </w:r>
      <w:r>
        <w:rPr>
          <w:color w:val="231F20"/>
        </w:rPr>
        <w:t xml:space="preserve"> України) та </w:t>
      </w:r>
      <w:r>
        <w:rPr>
          <w:i/>
          <w:color w:val="231F20"/>
        </w:rPr>
        <w:t xml:space="preserve">особливих прав </w:t>
      </w:r>
      <w:r>
        <w:rPr>
          <w:color w:val="231F20"/>
        </w:rPr>
        <w:t>(права, яких опосередковано спеціальним статусом держав- ного службовця) будуть утворювати єдиний елемент правового статусу державного службовця.</w:t>
      </w:r>
    </w:p>
    <w:p w14:paraId="2A958AF2" w14:textId="77777777" w:rsidR="00DE575E" w:rsidRDefault="00DE575E">
      <w:pPr>
        <w:pStyle w:val="BodyText"/>
        <w:spacing w:before="8"/>
        <w:rPr>
          <w:sz w:val="12"/>
        </w:rPr>
      </w:pPr>
    </w:p>
    <w:p w14:paraId="46002C59" w14:textId="77777777" w:rsidR="00DE575E" w:rsidRDefault="002E7560">
      <w:pPr>
        <w:spacing w:before="92"/>
        <w:ind w:right="411"/>
        <w:jc w:val="right"/>
        <w:rPr>
          <w:rFonts w:ascii="Times New Roman"/>
          <w:sz w:val="20"/>
        </w:rPr>
      </w:pPr>
      <w:r>
        <w:rPr>
          <w:rFonts w:ascii="Times New Roman"/>
          <w:color w:val="231F20"/>
          <w:w w:val="90"/>
          <w:sz w:val="20"/>
        </w:rPr>
        <w:t>547</w:t>
      </w:r>
    </w:p>
    <w:p w14:paraId="0FB22249"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3FD9F6B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7DB1DDB" w14:textId="6DEDF273"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6FF8219" wp14:editId="7A501977">
                <wp:extent cx="4140200" cy="6350"/>
                <wp:effectExtent l="0" t="0" r="12700" b="6350"/>
                <wp:docPr id="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70" name="Line 6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A811FB" id="Group_x0020_6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p0EEsn4CAACUBQAADgAA&#10;AAAAAAAAAAAAAAAsAgAAZHJzL2Uyb0RvYy54bWxQSwECLQAUAAYACAAAACEATKewkNkAAAADAQAA&#10;DwAAAAAAAAAAAAAAAADWBAAAZHJzL2Rvd25yZXYueG1sUEsFBgAAAAAEAAQA8wAAANwFAAAAAA==&#10;">
                <v:line id="Line_x0020_6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ausMIAAADbAAAADwAAAGRycy9kb3ducmV2LnhtbERP3WrCMBS+H+wdwhl4M2aqwhydUYYg&#10;iBf+tD7AsTlry5KT2kRbfXpzIezy4/ufLXprxJVaXztWMBomIIgLp2suFRzz1ccXCB+QNRrHpOBG&#10;Hhbz15cZptp1fKBrFkoRQ9inqKAKoUml9EVFFv3QNcSR+3WtxRBhW0rdYhfDrZHjJPmUFmuODRU2&#10;tKyo+MsuVkF+fg9mv9uYLt+dJvJ03k7ul61Sg7f+5xtEoD78i5/utVYwjev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fausMIAAADbAAAADwAAAAAAAAAAAAAA&#10;AAChAgAAZHJzL2Rvd25yZXYueG1sUEsFBgAAAAAEAAQA+QAAAJADAAAAAA==&#10;" strokecolor="#231f20" strokeweight=".5pt"/>
                <w10:anchorlock/>
              </v:group>
            </w:pict>
          </mc:Fallback>
        </mc:AlternateContent>
      </w:r>
    </w:p>
    <w:p w14:paraId="1C151DB2" w14:textId="77777777" w:rsidR="00DE575E" w:rsidRDefault="00DE575E">
      <w:pPr>
        <w:pStyle w:val="BodyText"/>
        <w:spacing w:before="7"/>
        <w:rPr>
          <w:rFonts w:ascii="AdonisC"/>
          <w:i/>
          <w:sz w:val="11"/>
        </w:rPr>
      </w:pPr>
    </w:p>
    <w:p w14:paraId="712105E9" w14:textId="77777777" w:rsidR="00DE575E" w:rsidRDefault="002E7560">
      <w:pPr>
        <w:pStyle w:val="BodyText"/>
        <w:spacing w:before="101" w:line="252" w:lineRule="auto"/>
        <w:ind w:left="533" w:right="128" w:firstLine="283"/>
        <w:jc w:val="both"/>
      </w:pPr>
      <w:r>
        <w:rPr>
          <w:b/>
          <w:color w:val="231F20"/>
        </w:rPr>
        <w:t xml:space="preserve">Правила </w:t>
      </w:r>
      <w:r>
        <w:rPr>
          <w:color w:val="231F20"/>
        </w:rPr>
        <w:t>– нормативно-правові акти, що закріплюють порядок організації та здійснення певного виду діяльності.</w:t>
      </w:r>
    </w:p>
    <w:p w14:paraId="1AECAA17" w14:textId="77777777" w:rsidR="00DE575E" w:rsidRDefault="002E7560">
      <w:pPr>
        <w:pStyle w:val="BodyText"/>
        <w:spacing w:before="1" w:line="252" w:lineRule="auto"/>
        <w:ind w:left="533" w:right="125" w:firstLine="283"/>
        <w:jc w:val="both"/>
      </w:pPr>
      <w:r>
        <w:rPr>
          <w:b/>
          <w:color w:val="231F20"/>
        </w:rPr>
        <w:t xml:space="preserve">Право на об’єднання </w:t>
      </w:r>
      <w:r>
        <w:rPr>
          <w:color w:val="231F20"/>
        </w:rPr>
        <w:t>– це одне з політичних прав, мета якого – забезпечити  можливі</w:t>
      </w:r>
      <w:r>
        <w:rPr>
          <w:color w:val="231F20"/>
        </w:rPr>
        <w:t>сть  кожного  брати  участь  у  громадському  й політичному житті, об’єднуватися за інтересами й цілями. Конституційні обмеження права на свободу об’єднання є цілком логічними та необхідними в правовій державі, адже держава мусить забезпечити рівновагу між</w:t>
      </w:r>
      <w:r>
        <w:rPr>
          <w:color w:val="231F20"/>
        </w:rPr>
        <w:t xml:space="preserve"> правом на свободу об’єднання  та правом на захист життя і здоров’я інших людей від будь-яких злочинних</w:t>
      </w:r>
      <w:r>
        <w:rPr>
          <w:color w:val="231F20"/>
          <w:spacing w:val="3"/>
        </w:rPr>
        <w:t xml:space="preserve"> </w:t>
      </w:r>
      <w:r>
        <w:rPr>
          <w:color w:val="231F20"/>
        </w:rPr>
        <w:t>посягань.</w:t>
      </w:r>
    </w:p>
    <w:p w14:paraId="0446044F" w14:textId="77777777" w:rsidR="00DE575E" w:rsidRDefault="002E7560">
      <w:pPr>
        <w:pStyle w:val="BodyText"/>
        <w:spacing w:before="4" w:line="252" w:lineRule="auto"/>
        <w:ind w:left="533" w:right="128" w:firstLine="283"/>
        <w:jc w:val="both"/>
      </w:pPr>
      <w:r>
        <w:rPr>
          <w:b/>
          <w:color w:val="231F20"/>
        </w:rPr>
        <w:t xml:space="preserve">Право на свободу мирних зібрань </w:t>
      </w:r>
      <w:r>
        <w:rPr>
          <w:color w:val="231F20"/>
        </w:rPr>
        <w:t>є одним з основоположних прав людини, оскільки з його допомогою людина реалізує суміжні права, зокрема право н</w:t>
      </w:r>
      <w:r>
        <w:rPr>
          <w:color w:val="231F20"/>
        </w:rPr>
        <w:t>а свободу слова та думки, право на вільне висловлювання своїх поглядів, право на свободу світогляду і віро- сповідання, право на використання і поширення інформації тощо.</w:t>
      </w:r>
    </w:p>
    <w:p w14:paraId="0D1FF6E9" w14:textId="77777777" w:rsidR="00DE575E" w:rsidRDefault="002E7560">
      <w:pPr>
        <w:pStyle w:val="BodyText"/>
        <w:spacing w:before="2" w:line="252" w:lineRule="auto"/>
        <w:ind w:left="533" w:right="125" w:firstLine="283"/>
        <w:jc w:val="both"/>
      </w:pPr>
      <w:r>
        <w:rPr>
          <w:b/>
          <w:color w:val="231F20"/>
        </w:rPr>
        <w:t xml:space="preserve">Правова доктрина </w:t>
      </w:r>
      <w:r>
        <w:rPr>
          <w:color w:val="231F20"/>
        </w:rPr>
        <w:t>– система основоположних поглядів правознавців, що визначають страте</w:t>
      </w:r>
      <w:r>
        <w:rPr>
          <w:color w:val="231F20"/>
        </w:rPr>
        <w:t>гічні перспективи правового розвитку держави, науково обґрунтовують важливі проблеми права з метою більш ефективного їх вирішення, безпосередньо орієнтують на практичну дію та можуть поставати як регулятор суспільних</w:t>
      </w:r>
      <w:r>
        <w:rPr>
          <w:color w:val="231F20"/>
          <w:spacing w:val="3"/>
        </w:rPr>
        <w:t xml:space="preserve"> </w:t>
      </w:r>
      <w:r>
        <w:rPr>
          <w:color w:val="231F20"/>
        </w:rPr>
        <w:t>відносин.</w:t>
      </w:r>
    </w:p>
    <w:p w14:paraId="1E500291" w14:textId="77777777" w:rsidR="00DE575E" w:rsidRDefault="002E7560">
      <w:pPr>
        <w:pStyle w:val="BodyText"/>
        <w:spacing w:before="3" w:line="252" w:lineRule="auto"/>
        <w:ind w:left="533" w:right="128" w:firstLine="283"/>
        <w:jc w:val="both"/>
      </w:pPr>
      <w:r>
        <w:rPr>
          <w:b/>
          <w:color w:val="231F20"/>
        </w:rPr>
        <w:t xml:space="preserve">Правоздатність </w:t>
      </w:r>
      <w:r>
        <w:rPr>
          <w:color w:val="231F20"/>
        </w:rPr>
        <w:t>починає існува</w:t>
      </w:r>
      <w:r>
        <w:rPr>
          <w:color w:val="231F20"/>
        </w:rPr>
        <w:t>ти з моменту створення (призна- чення на посаду) суб’єкта публічної адміністрації, а припиняється – з моменту його ліквідації (звільнення з посади).</w:t>
      </w:r>
    </w:p>
    <w:p w14:paraId="7E7F37CF" w14:textId="77777777" w:rsidR="00DE575E" w:rsidRDefault="002E7560">
      <w:pPr>
        <w:pStyle w:val="BodyText"/>
        <w:spacing w:before="1" w:line="252" w:lineRule="auto"/>
        <w:ind w:left="533" w:right="128" w:firstLine="283"/>
        <w:jc w:val="both"/>
      </w:pPr>
      <w:r>
        <w:rPr>
          <w:b/>
          <w:color w:val="231F20"/>
        </w:rPr>
        <w:t xml:space="preserve">Предмет адміністративного оскарження </w:t>
      </w:r>
      <w:r>
        <w:rPr>
          <w:color w:val="231F20"/>
        </w:rPr>
        <w:t>– рішення, проце- дурні</w:t>
      </w:r>
      <w:r>
        <w:rPr>
          <w:color w:val="231F20"/>
          <w:spacing w:val="-8"/>
        </w:rPr>
        <w:t xml:space="preserve"> </w:t>
      </w:r>
      <w:r>
        <w:rPr>
          <w:color w:val="231F20"/>
        </w:rPr>
        <w:t>рішення,</w:t>
      </w:r>
      <w:r>
        <w:rPr>
          <w:color w:val="231F20"/>
          <w:spacing w:val="-8"/>
        </w:rPr>
        <w:t xml:space="preserve"> </w:t>
      </w:r>
      <w:r>
        <w:rPr>
          <w:color w:val="231F20"/>
        </w:rPr>
        <w:t>дії</w:t>
      </w:r>
      <w:r>
        <w:rPr>
          <w:color w:val="231F20"/>
          <w:spacing w:val="-8"/>
        </w:rPr>
        <w:t xml:space="preserve"> </w:t>
      </w:r>
      <w:r>
        <w:rPr>
          <w:color w:val="231F20"/>
        </w:rPr>
        <w:t>чи</w:t>
      </w:r>
      <w:r>
        <w:rPr>
          <w:color w:val="231F20"/>
          <w:spacing w:val="-8"/>
        </w:rPr>
        <w:t xml:space="preserve"> </w:t>
      </w:r>
      <w:r>
        <w:rPr>
          <w:color w:val="231F20"/>
        </w:rPr>
        <w:t>бездіяльність</w:t>
      </w:r>
      <w:r>
        <w:rPr>
          <w:color w:val="231F20"/>
          <w:spacing w:val="-8"/>
        </w:rPr>
        <w:t xml:space="preserve"> </w:t>
      </w:r>
      <w:r>
        <w:rPr>
          <w:color w:val="231F20"/>
          <w:spacing w:val="-3"/>
        </w:rPr>
        <w:t>суб’єктів</w:t>
      </w:r>
      <w:r>
        <w:rPr>
          <w:color w:val="231F20"/>
          <w:spacing w:val="-8"/>
        </w:rPr>
        <w:t xml:space="preserve"> </w:t>
      </w:r>
      <w:r>
        <w:rPr>
          <w:color w:val="231F20"/>
        </w:rPr>
        <w:t>наданн</w:t>
      </w:r>
      <w:r>
        <w:rPr>
          <w:color w:val="231F20"/>
        </w:rPr>
        <w:t>я</w:t>
      </w:r>
      <w:r>
        <w:rPr>
          <w:color w:val="231F20"/>
          <w:spacing w:val="-8"/>
        </w:rPr>
        <w:t xml:space="preserve"> </w:t>
      </w:r>
      <w:r>
        <w:rPr>
          <w:color w:val="231F20"/>
        </w:rPr>
        <w:t xml:space="preserve">адміністратив- них </w:t>
      </w:r>
      <w:r>
        <w:rPr>
          <w:color w:val="231F20"/>
          <w:spacing w:val="-3"/>
        </w:rPr>
        <w:t xml:space="preserve">послуг, </w:t>
      </w:r>
      <w:r>
        <w:rPr>
          <w:color w:val="231F20"/>
        </w:rPr>
        <w:t>здійснення публічного управління та правоохоронної діяльності (або їх посадових осіб чи адміністраторів), які, на думку зацікавленої фізичної чи юридичної особи (осіб), призвели до пору- шення</w:t>
      </w:r>
      <w:r>
        <w:rPr>
          <w:color w:val="231F20"/>
          <w:spacing w:val="-8"/>
        </w:rPr>
        <w:t xml:space="preserve"> </w:t>
      </w:r>
      <w:r>
        <w:rPr>
          <w:color w:val="231F20"/>
        </w:rPr>
        <w:t>її</w:t>
      </w:r>
      <w:r>
        <w:rPr>
          <w:color w:val="231F20"/>
          <w:spacing w:val="-8"/>
        </w:rPr>
        <w:t xml:space="preserve"> </w:t>
      </w:r>
      <w:r>
        <w:rPr>
          <w:color w:val="231F20"/>
        </w:rPr>
        <w:t>прав</w:t>
      </w:r>
      <w:r>
        <w:rPr>
          <w:color w:val="231F20"/>
          <w:spacing w:val="-8"/>
        </w:rPr>
        <w:t xml:space="preserve"> </w:t>
      </w:r>
      <w:r>
        <w:rPr>
          <w:color w:val="231F20"/>
        </w:rPr>
        <w:t>і</w:t>
      </w:r>
      <w:r>
        <w:rPr>
          <w:color w:val="231F20"/>
          <w:spacing w:val="-8"/>
        </w:rPr>
        <w:t xml:space="preserve"> </w:t>
      </w:r>
      <w:r>
        <w:rPr>
          <w:color w:val="231F20"/>
        </w:rPr>
        <w:t>свобод</w:t>
      </w:r>
      <w:r>
        <w:rPr>
          <w:color w:val="231F20"/>
          <w:spacing w:val="-8"/>
        </w:rPr>
        <w:t xml:space="preserve"> </w:t>
      </w:r>
      <w:r>
        <w:rPr>
          <w:color w:val="231F20"/>
        </w:rPr>
        <w:t>чи</w:t>
      </w:r>
      <w:r>
        <w:rPr>
          <w:color w:val="231F20"/>
          <w:spacing w:val="-8"/>
        </w:rPr>
        <w:t xml:space="preserve"> </w:t>
      </w:r>
      <w:r>
        <w:rPr>
          <w:color w:val="231F20"/>
        </w:rPr>
        <w:t>законних</w:t>
      </w:r>
      <w:r>
        <w:rPr>
          <w:color w:val="231F20"/>
          <w:spacing w:val="-8"/>
        </w:rPr>
        <w:t xml:space="preserve"> </w:t>
      </w:r>
      <w:r>
        <w:rPr>
          <w:color w:val="231F20"/>
        </w:rPr>
        <w:t>інтересів.</w:t>
      </w:r>
      <w:r>
        <w:rPr>
          <w:color w:val="231F20"/>
          <w:spacing w:val="-8"/>
        </w:rPr>
        <w:t xml:space="preserve"> </w:t>
      </w:r>
      <w:r>
        <w:rPr>
          <w:color w:val="231F20"/>
        </w:rPr>
        <w:t>Рішення</w:t>
      </w:r>
      <w:r>
        <w:rPr>
          <w:color w:val="231F20"/>
          <w:spacing w:val="-8"/>
        </w:rPr>
        <w:t xml:space="preserve"> </w:t>
      </w:r>
      <w:r>
        <w:rPr>
          <w:color w:val="231F20"/>
        </w:rPr>
        <w:t>може</w:t>
      </w:r>
      <w:r>
        <w:rPr>
          <w:color w:val="231F20"/>
          <w:spacing w:val="-8"/>
        </w:rPr>
        <w:t xml:space="preserve"> </w:t>
      </w:r>
      <w:r>
        <w:rPr>
          <w:color w:val="231F20"/>
        </w:rPr>
        <w:t>оскаржу- ватися через його незаконність, нікчемність або</w:t>
      </w:r>
      <w:r>
        <w:rPr>
          <w:color w:val="231F20"/>
          <w:spacing w:val="-3"/>
        </w:rPr>
        <w:t xml:space="preserve"> </w:t>
      </w:r>
      <w:r>
        <w:rPr>
          <w:color w:val="231F20"/>
        </w:rPr>
        <w:t>недоцільність.</w:t>
      </w:r>
    </w:p>
    <w:p w14:paraId="718CF6CF" w14:textId="77777777" w:rsidR="00DE575E" w:rsidRDefault="002E7560">
      <w:pPr>
        <w:pStyle w:val="BodyText"/>
        <w:spacing w:before="4" w:line="252" w:lineRule="auto"/>
        <w:ind w:left="533" w:right="128" w:firstLine="283"/>
        <w:jc w:val="both"/>
      </w:pPr>
      <w:r>
        <w:rPr>
          <w:b/>
          <w:color w:val="231F20"/>
        </w:rPr>
        <w:t xml:space="preserve">Предмет адміністративного права України </w:t>
      </w:r>
      <w:r>
        <w:rPr>
          <w:color w:val="231F20"/>
        </w:rPr>
        <w:t xml:space="preserve">– суспільні відно- сини, які виникають між суб’єктами публічної адміністрації та приватними особами. За змістом предмет </w:t>
      </w:r>
      <w:r>
        <w:rPr>
          <w:color w:val="231F20"/>
        </w:rPr>
        <w:t>адміністративного права складається з надання адміністративних послуг і здійснення вико- навчо-розпорядчої діяльності (публічного управління) публічною адміністрацією.</w:t>
      </w:r>
    </w:p>
    <w:p w14:paraId="47E551B8" w14:textId="77777777" w:rsidR="00DE575E" w:rsidRDefault="002E7560">
      <w:pPr>
        <w:pStyle w:val="BodyText"/>
        <w:spacing w:before="3" w:line="252" w:lineRule="auto"/>
        <w:ind w:left="533" w:right="128" w:firstLine="283"/>
        <w:jc w:val="both"/>
      </w:pPr>
      <w:r>
        <w:rPr>
          <w:b/>
          <w:color w:val="231F20"/>
        </w:rPr>
        <w:t xml:space="preserve">Приватна особа </w:t>
      </w:r>
      <w:r>
        <w:rPr>
          <w:color w:val="231F20"/>
        </w:rPr>
        <w:t>– особа, що діє від себе особисто, неофіційно. Вагомим правом приватної о</w:t>
      </w:r>
      <w:r>
        <w:rPr>
          <w:color w:val="231F20"/>
        </w:rPr>
        <w:t>соби є правоможності володіти,</w:t>
      </w:r>
    </w:p>
    <w:p w14:paraId="437CD6B0" w14:textId="77777777" w:rsidR="00DE575E" w:rsidRDefault="00DE575E">
      <w:pPr>
        <w:pStyle w:val="BodyText"/>
        <w:spacing w:before="5"/>
        <w:rPr>
          <w:sz w:val="12"/>
        </w:rPr>
      </w:pPr>
    </w:p>
    <w:p w14:paraId="2744E56C" w14:textId="77777777" w:rsidR="00DE575E" w:rsidRDefault="002E7560">
      <w:pPr>
        <w:spacing w:before="92"/>
        <w:ind w:left="533"/>
        <w:rPr>
          <w:rFonts w:ascii="Times New Roman"/>
          <w:sz w:val="20"/>
        </w:rPr>
      </w:pPr>
      <w:r>
        <w:rPr>
          <w:rFonts w:ascii="Times New Roman"/>
          <w:color w:val="231F20"/>
          <w:sz w:val="20"/>
        </w:rPr>
        <w:t>548</w:t>
      </w:r>
    </w:p>
    <w:p w14:paraId="19221EA7" w14:textId="77777777" w:rsidR="00DE575E" w:rsidRDefault="00DE575E">
      <w:pPr>
        <w:rPr>
          <w:rFonts w:ascii="Times New Roman"/>
          <w:sz w:val="20"/>
        </w:rPr>
        <w:sectPr w:rsidR="00DE575E">
          <w:pgSz w:w="8510" w:h="12760"/>
          <w:pgMar w:top="660" w:right="720" w:bottom="280" w:left="600" w:header="720" w:footer="720" w:gutter="0"/>
          <w:cols w:space="720"/>
        </w:sectPr>
      </w:pPr>
    </w:p>
    <w:p w14:paraId="4CFEABE8"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6115C8CF" w14:textId="4C3D090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48FAE3B" wp14:editId="0CEBC6F9">
                <wp:extent cx="4140200" cy="6350"/>
                <wp:effectExtent l="0" t="0" r="12700" b="6350"/>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8" name="Line 6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CC5D4C" id="Group_x0020_6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jgIGVn4CAACUBQAADgAA&#10;AAAAAAAAAAAAAAAsAgAAZHJzL2Uyb0RvYy54bWxQSwECLQAUAAYACAAAACEATKewkNkAAAADAQAA&#10;DwAAAAAAAAAAAAAAAADWBAAAZHJzL2Rvd25yZXYueG1sUEsFBgAAAAAEAAQA8wAAANwFAAAAAA==&#10;">
                <v:line id="Line_x0020_6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k0a8EAAADbAAAADwAAAGRycy9kb3ducmV2LnhtbERPy4rCMBTdC/MP4Q7MRsbUEUSqUUQQ&#10;ZBa+Oh9wba5tMbmpTbQdv94sBJeH854tOmvEnRpfOVYwHCQgiHOnKy4U/GXr7wkIH5A1Gsek4J88&#10;LOYfvRmm2rV8oPsxFCKGsE9RQRlCnUrp85Is+oGriSN3do3FEGFTSN1gG8OtkT9JMpYWK44NJda0&#10;Kim/HG9WQXbtB7Pf/Zo2251G8nTdjh63rVJfn91yCiJQF97il3ujFYzj2P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WTRrwQAAANsAAAAPAAAAAAAAAAAAAAAA&#10;AKECAABkcnMvZG93bnJldi54bWxQSwUGAAAAAAQABAD5AAAAjwMAAAAA&#10;" strokecolor="#231f20" strokeweight=".5pt"/>
                <w10:anchorlock/>
              </v:group>
            </w:pict>
          </mc:Fallback>
        </mc:AlternateContent>
      </w:r>
    </w:p>
    <w:p w14:paraId="1BC58BC3" w14:textId="77777777" w:rsidR="00DE575E" w:rsidRDefault="00DE575E">
      <w:pPr>
        <w:pStyle w:val="BodyText"/>
        <w:spacing w:before="7"/>
        <w:rPr>
          <w:rFonts w:ascii="AdonisC"/>
          <w:i/>
          <w:sz w:val="19"/>
        </w:rPr>
      </w:pPr>
    </w:p>
    <w:p w14:paraId="048F7429" w14:textId="77777777" w:rsidR="00DE575E" w:rsidRDefault="002E7560">
      <w:pPr>
        <w:pStyle w:val="BodyText"/>
        <w:spacing w:before="1" w:line="252" w:lineRule="auto"/>
        <w:ind w:left="250" w:right="411"/>
        <w:jc w:val="both"/>
      </w:pPr>
      <w:r>
        <w:rPr>
          <w:color w:val="231F20"/>
        </w:rPr>
        <w:t>користуватися</w:t>
      </w:r>
      <w:r>
        <w:rPr>
          <w:color w:val="231F20"/>
          <w:spacing w:val="-6"/>
        </w:rPr>
        <w:t xml:space="preserve"> </w:t>
      </w:r>
      <w:r>
        <w:rPr>
          <w:color w:val="231F20"/>
        </w:rPr>
        <w:t>й</w:t>
      </w:r>
      <w:r>
        <w:rPr>
          <w:color w:val="231F20"/>
          <w:spacing w:val="-7"/>
        </w:rPr>
        <w:t xml:space="preserve"> </w:t>
      </w:r>
      <w:r>
        <w:rPr>
          <w:color w:val="231F20"/>
        </w:rPr>
        <w:t>розпоряджатися</w:t>
      </w:r>
      <w:r>
        <w:rPr>
          <w:color w:val="231F20"/>
          <w:spacing w:val="-7"/>
        </w:rPr>
        <w:t xml:space="preserve"> </w:t>
      </w:r>
      <w:r>
        <w:rPr>
          <w:color w:val="231F20"/>
        </w:rPr>
        <w:t>своєю</w:t>
      </w:r>
      <w:r>
        <w:rPr>
          <w:color w:val="231F20"/>
          <w:spacing w:val="-6"/>
        </w:rPr>
        <w:t xml:space="preserve"> </w:t>
      </w:r>
      <w:r>
        <w:rPr>
          <w:color w:val="231F20"/>
        </w:rPr>
        <w:t>власністю</w:t>
      </w:r>
      <w:r>
        <w:rPr>
          <w:color w:val="231F20"/>
          <w:spacing w:val="-6"/>
        </w:rPr>
        <w:t xml:space="preserve"> </w:t>
      </w:r>
      <w:r>
        <w:rPr>
          <w:color w:val="231F20"/>
        </w:rPr>
        <w:t>–</w:t>
      </w:r>
      <w:r>
        <w:rPr>
          <w:color w:val="231F20"/>
          <w:spacing w:val="-6"/>
        </w:rPr>
        <w:t xml:space="preserve"> </w:t>
      </w:r>
      <w:r>
        <w:rPr>
          <w:color w:val="231F20"/>
        </w:rPr>
        <w:t>приватною</w:t>
      </w:r>
      <w:r>
        <w:rPr>
          <w:color w:val="231F20"/>
          <w:spacing w:val="-7"/>
        </w:rPr>
        <w:t xml:space="preserve"> </w:t>
      </w:r>
      <w:r>
        <w:rPr>
          <w:color w:val="231F20"/>
        </w:rPr>
        <w:t>–</w:t>
      </w:r>
      <w:r>
        <w:rPr>
          <w:color w:val="231F20"/>
          <w:spacing w:val="-6"/>
        </w:rPr>
        <w:t xml:space="preserve"> </w:t>
      </w:r>
      <w:r>
        <w:rPr>
          <w:color w:val="231F20"/>
        </w:rPr>
        <w:t>як формою привласнення, коли засоби виробництва й продукти праці належать окремим особам.</w:t>
      </w:r>
    </w:p>
    <w:p w14:paraId="0E6804D7" w14:textId="77777777" w:rsidR="00DE575E" w:rsidRDefault="002E7560">
      <w:pPr>
        <w:spacing w:before="1" w:line="252" w:lineRule="auto"/>
        <w:ind w:left="250" w:right="409" w:firstLine="283"/>
        <w:jc w:val="both"/>
        <w:rPr>
          <w:sz w:val="21"/>
        </w:rPr>
      </w:pPr>
      <w:r>
        <w:rPr>
          <w:b/>
          <w:color w:val="231F20"/>
          <w:sz w:val="21"/>
        </w:rPr>
        <w:t xml:space="preserve">Приватні особи в системі </w:t>
      </w:r>
      <w:r>
        <w:rPr>
          <w:b/>
          <w:color w:val="231F20"/>
          <w:spacing w:val="-3"/>
          <w:sz w:val="21"/>
        </w:rPr>
        <w:t xml:space="preserve">суб’єктів </w:t>
      </w:r>
      <w:r>
        <w:rPr>
          <w:b/>
          <w:color w:val="231F20"/>
          <w:sz w:val="21"/>
        </w:rPr>
        <w:t xml:space="preserve">адміністративного права </w:t>
      </w:r>
      <w:r>
        <w:rPr>
          <w:color w:val="231F20"/>
          <w:sz w:val="21"/>
        </w:rPr>
        <w:t>(</w:t>
      </w:r>
      <w:r>
        <w:rPr>
          <w:i/>
          <w:color w:val="231F20"/>
          <w:sz w:val="21"/>
        </w:rPr>
        <w:t>класифікація</w:t>
      </w:r>
      <w:r>
        <w:rPr>
          <w:color w:val="231F20"/>
          <w:sz w:val="21"/>
        </w:rPr>
        <w:t xml:space="preserve">): 1) фізичні особи: а) громадяни </w:t>
      </w:r>
      <w:r>
        <w:rPr>
          <w:color w:val="231F20"/>
          <w:spacing w:val="-3"/>
          <w:sz w:val="21"/>
        </w:rPr>
        <w:t xml:space="preserve">України, </w:t>
      </w:r>
      <w:r>
        <w:rPr>
          <w:color w:val="231F20"/>
          <w:sz w:val="21"/>
        </w:rPr>
        <w:t>б) іноземці, в)</w:t>
      </w:r>
      <w:r>
        <w:rPr>
          <w:color w:val="231F20"/>
          <w:spacing w:val="-7"/>
          <w:sz w:val="21"/>
        </w:rPr>
        <w:t xml:space="preserve"> </w:t>
      </w:r>
      <w:r>
        <w:rPr>
          <w:color w:val="231F20"/>
          <w:sz w:val="21"/>
        </w:rPr>
        <w:t>особи</w:t>
      </w:r>
      <w:r>
        <w:rPr>
          <w:color w:val="231F20"/>
          <w:spacing w:val="-13"/>
          <w:sz w:val="21"/>
        </w:rPr>
        <w:t xml:space="preserve"> </w:t>
      </w:r>
      <w:r>
        <w:rPr>
          <w:color w:val="231F20"/>
          <w:sz w:val="21"/>
        </w:rPr>
        <w:t>без</w:t>
      </w:r>
      <w:r>
        <w:rPr>
          <w:color w:val="231F20"/>
          <w:spacing w:val="-13"/>
          <w:sz w:val="21"/>
        </w:rPr>
        <w:t xml:space="preserve"> </w:t>
      </w:r>
      <w:r>
        <w:rPr>
          <w:color w:val="231F20"/>
          <w:sz w:val="21"/>
        </w:rPr>
        <w:t>громадянства;</w:t>
      </w:r>
      <w:r>
        <w:rPr>
          <w:color w:val="231F20"/>
          <w:spacing w:val="-13"/>
          <w:sz w:val="21"/>
        </w:rPr>
        <w:t xml:space="preserve"> </w:t>
      </w:r>
      <w:r>
        <w:rPr>
          <w:color w:val="231F20"/>
          <w:sz w:val="21"/>
        </w:rPr>
        <w:t>г)</w:t>
      </w:r>
      <w:r>
        <w:rPr>
          <w:color w:val="231F20"/>
          <w:spacing w:val="-7"/>
          <w:sz w:val="21"/>
        </w:rPr>
        <w:t xml:space="preserve"> </w:t>
      </w:r>
      <w:r>
        <w:rPr>
          <w:color w:val="231F20"/>
          <w:sz w:val="21"/>
        </w:rPr>
        <w:t>фізичні</w:t>
      </w:r>
      <w:r>
        <w:rPr>
          <w:color w:val="231F20"/>
          <w:spacing w:val="-13"/>
          <w:sz w:val="21"/>
        </w:rPr>
        <w:t xml:space="preserve"> </w:t>
      </w:r>
      <w:r>
        <w:rPr>
          <w:color w:val="231F20"/>
          <w:sz w:val="21"/>
        </w:rPr>
        <w:t>особи-підприємці;</w:t>
      </w:r>
      <w:r>
        <w:rPr>
          <w:color w:val="231F20"/>
          <w:spacing w:val="-13"/>
          <w:sz w:val="21"/>
        </w:rPr>
        <w:t xml:space="preserve"> </w:t>
      </w:r>
      <w:r>
        <w:rPr>
          <w:color w:val="231F20"/>
          <w:sz w:val="21"/>
        </w:rPr>
        <w:t>2)</w:t>
      </w:r>
      <w:r>
        <w:rPr>
          <w:color w:val="231F20"/>
          <w:spacing w:val="-7"/>
          <w:sz w:val="21"/>
        </w:rPr>
        <w:t xml:space="preserve"> </w:t>
      </w:r>
      <w:r>
        <w:rPr>
          <w:color w:val="231F20"/>
          <w:sz w:val="21"/>
        </w:rPr>
        <w:t xml:space="preserve">юридичні особи приватної форми власності (підприємства, установи, госпо- дарські товариства); 3) громадські </w:t>
      </w:r>
      <w:r>
        <w:rPr>
          <w:color w:val="231F20"/>
          <w:spacing w:val="-3"/>
          <w:sz w:val="21"/>
        </w:rPr>
        <w:t xml:space="preserve">об’єднання; </w:t>
      </w:r>
      <w:r>
        <w:rPr>
          <w:color w:val="231F20"/>
          <w:sz w:val="21"/>
        </w:rPr>
        <w:t>4) профес</w:t>
      </w:r>
      <w:r>
        <w:rPr>
          <w:color w:val="231F20"/>
          <w:sz w:val="21"/>
        </w:rPr>
        <w:t>ійні</w:t>
      </w:r>
      <w:r>
        <w:rPr>
          <w:color w:val="231F20"/>
          <w:spacing w:val="-21"/>
          <w:sz w:val="21"/>
        </w:rPr>
        <w:t xml:space="preserve"> </w:t>
      </w:r>
      <w:r>
        <w:rPr>
          <w:color w:val="231F20"/>
          <w:sz w:val="21"/>
        </w:rPr>
        <w:t>спілки;</w:t>
      </w:r>
    </w:p>
    <w:p w14:paraId="478E6B92" w14:textId="77777777" w:rsidR="00DE575E" w:rsidRDefault="002E7560">
      <w:pPr>
        <w:pStyle w:val="ListParagraph"/>
        <w:numPr>
          <w:ilvl w:val="0"/>
          <w:numId w:val="6"/>
        </w:numPr>
        <w:tabs>
          <w:tab w:val="left" w:pos="490"/>
        </w:tabs>
        <w:spacing w:before="3" w:line="252" w:lineRule="auto"/>
        <w:ind w:right="411" w:firstLine="0"/>
        <w:jc w:val="both"/>
        <w:rPr>
          <w:sz w:val="21"/>
        </w:rPr>
      </w:pPr>
      <w:r>
        <w:rPr>
          <w:color w:val="231F20"/>
          <w:sz w:val="21"/>
        </w:rPr>
        <w:t>політичні</w:t>
      </w:r>
      <w:r>
        <w:rPr>
          <w:color w:val="231F20"/>
          <w:spacing w:val="-11"/>
          <w:sz w:val="21"/>
        </w:rPr>
        <w:t xml:space="preserve"> </w:t>
      </w:r>
      <w:r>
        <w:rPr>
          <w:color w:val="231F20"/>
          <w:sz w:val="21"/>
        </w:rPr>
        <w:t>партії;</w:t>
      </w:r>
      <w:r>
        <w:rPr>
          <w:color w:val="231F20"/>
          <w:spacing w:val="-11"/>
          <w:sz w:val="21"/>
        </w:rPr>
        <w:t xml:space="preserve"> </w:t>
      </w:r>
      <w:r>
        <w:rPr>
          <w:color w:val="231F20"/>
          <w:sz w:val="21"/>
        </w:rPr>
        <w:t>6)</w:t>
      </w:r>
      <w:r>
        <w:rPr>
          <w:color w:val="231F20"/>
          <w:spacing w:val="-8"/>
          <w:sz w:val="21"/>
        </w:rPr>
        <w:t xml:space="preserve"> </w:t>
      </w:r>
      <w:r>
        <w:rPr>
          <w:color w:val="231F20"/>
          <w:sz w:val="21"/>
        </w:rPr>
        <w:t>органи</w:t>
      </w:r>
      <w:r>
        <w:rPr>
          <w:color w:val="231F20"/>
          <w:spacing w:val="-11"/>
          <w:sz w:val="21"/>
        </w:rPr>
        <w:t xml:space="preserve"> </w:t>
      </w:r>
      <w:r>
        <w:rPr>
          <w:color w:val="231F20"/>
          <w:sz w:val="21"/>
        </w:rPr>
        <w:t>самоорганізації</w:t>
      </w:r>
      <w:r>
        <w:rPr>
          <w:color w:val="231F20"/>
          <w:spacing w:val="-11"/>
          <w:sz w:val="21"/>
        </w:rPr>
        <w:t xml:space="preserve"> </w:t>
      </w:r>
      <w:r>
        <w:rPr>
          <w:color w:val="231F20"/>
          <w:sz w:val="21"/>
        </w:rPr>
        <w:t>населення;</w:t>
      </w:r>
      <w:r>
        <w:rPr>
          <w:color w:val="231F20"/>
          <w:spacing w:val="-11"/>
          <w:sz w:val="21"/>
        </w:rPr>
        <w:t xml:space="preserve"> </w:t>
      </w:r>
      <w:r>
        <w:rPr>
          <w:color w:val="231F20"/>
          <w:sz w:val="21"/>
        </w:rPr>
        <w:t>7)</w:t>
      </w:r>
      <w:r>
        <w:rPr>
          <w:color w:val="231F20"/>
          <w:spacing w:val="-8"/>
          <w:sz w:val="21"/>
        </w:rPr>
        <w:t xml:space="preserve"> </w:t>
      </w:r>
      <w:r>
        <w:rPr>
          <w:color w:val="231F20"/>
          <w:sz w:val="21"/>
        </w:rPr>
        <w:t>релігійні організації.</w:t>
      </w:r>
    </w:p>
    <w:p w14:paraId="3DC1941C" w14:textId="77777777" w:rsidR="00DE575E" w:rsidRDefault="002E7560">
      <w:pPr>
        <w:pStyle w:val="BodyText"/>
        <w:spacing w:before="1" w:line="252" w:lineRule="auto"/>
        <w:ind w:left="250" w:right="411" w:firstLine="283"/>
        <w:jc w:val="both"/>
      </w:pPr>
      <w:r>
        <w:rPr>
          <w:b/>
          <w:color w:val="231F20"/>
        </w:rPr>
        <w:t xml:space="preserve">Принцип верховенства права (значення) </w:t>
      </w:r>
      <w:r>
        <w:rPr>
          <w:color w:val="231F20"/>
        </w:rPr>
        <w:t>в адміністративному праві полягає в тому, що суб’єкти публічної адміністрації визнають право як найвищу цінність, що забезпечує права і свободи приват- них осіб та публічний інтерес суспільства.</w:t>
      </w:r>
    </w:p>
    <w:p w14:paraId="465BC85E" w14:textId="77777777" w:rsidR="00DE575E" w:rsidRDefault="002E7560">
      <w:pPr>
        <w:pStyle w:val="BodyText"/>
        <w:spacing w:before="2" w:line="252" w:lineRule="auto"/>
        <w:ind w:left="250" w:right="411" w:firstLine="283"/>
        <w:jc w:val="both"/>
      </w:pPr>
      <w:r>
        <w:rPr>
          <w:b/>
          <w:color w:val="231F20"/>
        </w:rPr>
        <w:t xml:space="preserve">Принцип верховенства права в адміністративному судочин- стві </w:t>
      </w:r>
      <w:r>
        <w:rPr>
          <w:color w:val="231F20"/>
        </w:rPr>
        <w:t>(елементи)</w:t>
      </w:r>
      <w:r>
        <w:rPr>
          <w:b/>
          <w:color w:val="231F20"/>
        </w:rPr>
        <w:t xml:space="preserve">: </w:t>
      </w:r>
      <w:r>
        <w:rPr>
          <w:color w:val="231F20"/>
        </w:rPr>
        <w:t>можливість звернутися до адміністративного суду за захистом прав, свобод та інтересів безпосередньо на підставі Конституції України; забезпечення розгляду й вирішення публіч- но-правового спору; адміністративному суді за відсутності законо- дав</w:t>
      </w:r>
      <w:r>
        <w:rPr>
          <w:color w:val="231F20"/>
        </w:rPr>
        <w:t>ства, що регулює спірні відносини, його неповноти, неясності чи суперечливості; застосування в діяльності адміністративного суду судової практики Європейського суду з прав людини.</w:t>
      </w:r>
    </w:p>
    <w:p w14:paraId="4A22A1F4" w14:textId="77777777" w:rsidR="00DE575E" w:rsidRDefault="002E7560">
      <w:pPr>
        <w:pStyle w:val="BodyText"/>
        <w:spacing w:before="4" w:line="252" w:lineRule="auto"/>
        <w:ind w:left="250" w:right="411" w:firstLine="283"/>
        <w:jc w:val="both"/>
      </w:pPr>
      <w:r>
        <w:rPr>
          <w:b/>
          <w:color w:val="231F20"/>
        </w:rPr>
        <w:t xml:space="preserve">Принцип відкритості й прозорості </w:t>
      </w:r>
      <w:r>
        <w:rPr>
          <w:color w:val="231F20"/>
        </w:rPr>
        <w:t>означає можливість для суб’єктів звернення отримувати всі необхідні їм достовірні відомо- сті про функціонування системи надання адміністративних послуг.</w:t>
      </w:r>
    </w:p>
    <w:p w14:paraId="2DABE562" w14:textId="77777777" w:rsidR="00DE575E" w:rsidRDefault="002E7560">
      <w:pPr>
        <w:pStyle w:val="BodyText"/>
        <w:spacing w:before="1" w:line="252" w:lineRule="auto"/>
        <w:ind w:left="250" w:right="410" w:firstLine="283"/>
        <w:jc w:val="both"/>
      </w:pPr>
      <w:r>
        <w:rPr>
          <w:b/>
          <w:color w:val="231F20"/>
        </w:rPr>
        <w:t xml:space="preserve">Принцип доступності </w:t>
      </w:r>
      <w:r>
        <w:rPr>
          <w:color w:val="231F20"/>
        </w:rPr>
        <w:t xml:space="preserve">інформації полягає в цілеспрямованому поширенні </w:t>
      </w:r>
      <w:r>
        <w:rPr>
          <w:color w:val="231F20"/>
          <w:spacing w:val="-3"/>
        </w:rPr>
        <w:t xml:space="preserve">суб’єктами </w:t>
      </w:r>
      <w:r>
        <w:rPr>
          <w:color w:val="231F20"/>
        </w:rPr>
        <w:t>надання адміністративни</w:t>
      </w:r>
      <w:r>
        <w:rPr>
          <w:color w:val="231F20"/>
        </w:rPr>
        <w:t>х послуг інформа- ції</w:t>
      </w:r>
      <w:r>
        <w:rPr>
          <w:color w:val="231F20"/>
          <w:spacing w:val="-6"/>
        </w:rPr>
        <w:t xml:space="preserve"> </w:t>
      </w:r>
      <w:r>
        <w:rPr>
          <w:color w:val="231F20"/>
        </w:rPr>
        <w:t>стосовно</w:t>
      </w:r>
      <w:r>
        <w:rPr>
          <w:color w:val="231F20"/>
          <w:spacing w:val="-7"/>
        </w:rPr>
        <w:t xml:space="preserve"> </w:t>
      </w:r>
      <w:r>
        <w:rPr>
          <w:color w:val="231F20"/>
        </w:rPr>
        <w:t>переліку</w:t>
      </w:r>
      <w:r>
        <w:rPr>
          <w:color w:val="231F20"/>
          <w:spacing w:val="-7"/>
        </w:rPr>
        <w:t xml:space="preserve"> </w:t>
      </w:r>
      <w:r>
        <w:rPr>
          <w:color w:val="231F20"/>
        </w:rPr>
        <w:t>адміністративних</w:t>
      </w:r>
      <w:r>
        <w:rPr>
          <w:color w:val="231F20"/>
          <w:spacing w:val="-6"/>
        </w:rPr>
        <w:t xml:space="preserve"> </w:t>
      </w:r>
      <w:r>
        <w:rPr>
          <w:color w:val="231F20"/>
        </w:rPr>
        <w:t>послуг</w:t>
      </w:r>
      <w:r>
        <w:rPr>
          <w:color w:val="231F20"/>
          <w:spacing w:val="-7"/>
        </w:rPr>
        <w:t xml:space="preserve"> </w:t>
      </w:r>
      <w:r>
        <w:rPr>
          <w:color w:val="231F20"/>
        </w:rPr>
        <w:t>і</w:t>
      </w:r>
      <w:r>
        <w:rPr>
          <w:color w:val="231F20"/>
          <w:spacing w:val="-6"/>
        </w:rPr>
        <w:t xml:space="preserve"> </w:t>
      </w:r>
      <w:r>
        <w:rPr>
          <w:color w:val="231F20"/>
        </w:rPr>
        <w:t>порядку</w:t>
      </w:r>
      <w:r>
        <w:rPr>
          <w:color w:val="231F20"/>
          <w:spacing w:val="-6"/>
        </w:rPr>
        <w:t xml:space="preserve"> </w:t>
      </w:r>
      <w:r>
        <w:rPr>
          <w:color w:val="231F20"/>
        </w:rPr>
        <w:t xml:space="preserve">функціону- вання </w:t>
      </w:r>
      <w:r>
        <w:rPr>
          <w:color w:val="231F20"/>
          <w:spacing w:val="-3"/>
        </w:rPr>
        <w:t xml:space="preserve">суб’єктів </w:t>
      </w:r>
      <w:r>
        <w:rPr>
          <w:color w:val="231F20"/>
        </w:rPr>
        <w:t xml:space="preserve">надання таких </w:t>
      </w:r>
      <w:r>
        <w:rPr>
          <w:color w:val="231F20"/>
          <w:spacing w:val="-3"/>
        </w:rPr>
        <w:t>послуг.</w:t>
      </w:r>
    </w:p>
    <w:p w14:paraId="368BAEFA" w14:textId="77777777" w:rsidR="00DE575E" w:rsidRDefault="002E7560">
      <w:pPr>
        <w:pStyle w:val="BodyText"/>
        <w:spacing w:before="2" w:line="252" w:lineRule="auto"/>
        <w:ind w:left="250" w:right="411" w:firstLine="283"/>
        <w:jc w:val="both"/>
      </w:pPr>
      <w:r>
        <w:rPr>
          <w:b/>
          <w:color w:val="231F20"/>
        </w:rPr>
        <w:t xml:space="preserve">Принцип доступності та зручності </w:t>
      </w:r>
      <w:r>
        <w:rPr>
          <w:color w:val="231F20"/>
        </w:rPr>
        <w:t>адміністративних послуг передбачає</w:t>
      </w:r>
      <w:r>
        <w:rPr>
          <w:color w:val="231F20"/>
          <w:spacing w:val="-11"/>
        </w:rPr>
        <w:t xml:space="preserve"> </w:t>
      </w:r>
      <w:r>
        <w:rPr>
          <w:color w:val="231F20"/>
        </w:rPr>
        <w:t>наявність</w:t>
      </w:r>
      <w:r>
        <w:rPr>
          <w:color w:val="231F20"/>
          <w:spacing w:val="-11"/>
        </w:rPr>
        <w:t xml:space="preserve"> </w:t>
      </w:r>
      <w:r>
        <w:rPr>
          <w:color w:val="231F20"/>
        </w:rPr>
        <w:t>умов,</w:t>
      </w:r>
      <w:r>
        <w:rPr>
          <w:color w:val="231F20"/>
          <w:spacing w:val="-11"/>
        </w:rPr>
        <w:t xml:space="preserve"> </w:t>
      </w:r>
      <w:r>
        <w:rPr>
          <w:color w:val="231F20"/>
        </w:rPr>
        <w:t>які</w:t>
      </w:r>
      <w:r>
        <w:rPr>
          <w:color w:val="231F20"/>
          <w:spacing w:val="-11"/>
        </w:rPr>
        <w:t xml:space="preserve"> </w:t>
      </w:r>
      <w:r>
        <w:rPr>
          <w:color w:val="231F20"/>
        </w:rPr>
        <w:t>забезпечують</w:t>
      </w:r>
      <w:r>
        <w:rPr>
          <w:color w:val="231F20"/>
          <w:spacing w:val="-11"/>
        </w:rPr>
        <w:t xml:space="preserve"> </w:t>
      </w:r>
      <w:r>
        <w:rPr>
          <w:color w:val="231F20"/>
        </w:rPr>
        <w:t>можливість</w:t>
      </w:r>
      <w:r>
        <w:rPr>
          <w:color w:val="231F20"/>
          <w:spacing w:val="-11"/>
        </w:rPr>
        <w:t xml:space="preserve"> </w:t>
      </w:r>
      <w:r>
        <w:rPr>
          <w:color w:val="231F20"/>
        </w:rPr>
        <w:t>доступу</w:t>
      </w:r>
      <w:r>
        <w:rPr>
          <w:color w:val="231F20"/>
          <w:spacing w:val="-11"/>
        </w:rPr>
        <w:t xml:space="preserve"> </w:t>
      </w:r>
      <w:r>
        <w:rPr>
          <w:color w:val="231F20"/>
        </w:rPr>
        <w:t>до адміністра</w:t>
      </w:r>
      <w:r>
        <w:rPr>
          <w:color w:val="231F20"/>
        </w:rPr>
        <w:t xml:space="preserve">тивних послуг якомога більшій кількості </w:t>
      </w:r>
      <w:r>
        <w:rPr>
          <w:color w:val="231F20"/>
          <w:spacing w:val="-3"/>
        </w:rPr>
        <w:t xml:space="preserve">суб’єктів </w:t>
      </w:r>
      <w:r>
        <w:rPr>
          <w:color w:val="231F20"/>
        </w:rPr>
        <w:t>звер- нень, а також максимально доступний та комфортний спосіб одер- жання адміністративної</w:t>
      </w:r>
      <w:r>
        <w:rPr>
          <w:color w:val="231F20"/>
          <w:spacing w:val="-2"/>
        </w:rPr>
        <w:t xml:space="preserve"> </w:t>
      </w:r>
      <w:r>
        <w:rPr>
          <w:color w:val="231F20"/>
        </w:rPr>
        <w:t>послуги.</w:t>
      </w:r>
    </w:p>
    <w:p w14:paraId="27C48683" w14:textId="77777777" w:rsidR="00DE575E" w:rsidRDefault="002E7560">
      <w:pPr>
        <w:pStyle w:val="BodyText"/>
        <w:spacing w:before="2" w:line="252" w:lineRule="auto"/>
        <w:ind w:left="250" w:right="409" w:firstLine="283"/>
        <w:jc w:val="both"/>
      </w:pPr>
      <w:r>
        <w:rPr>
          <w:b/>
          <w:color w:val="231F20"/>
        </w:rPr>
        <w:t xml:space="preserve">Принцип ефективності </w:t>
      </w:r>
      <w:r>
        <w:rPr>
          <w:color w:val="231F20"/>
        </w:rPr>
        <w:t>полягає в тому, що публічне адміністру- вання має бути ефективним й своєчасним, таки</w:t>
      </w:r>
      <w:r>
        <w:rPr>
          <w:color w:val="231F20"/>
        </w:rPr>
        <w:t>м, що забезпечує все потрібне на підставі чітких завдань, оцінки майбутнього впливу та випадках, де це можливо, – попереднього досвіду. Реалізація прин- ципу  ефективності  також  залежить  від  упровадження  політики</w:t>
      </w:r>
    </w:p>
    <w:p w14:paraId="39691353" w14:textId="77777777" w:rsidR="00DE575E" w:rsidRDefault="00DE575E">
      <w:pPr>
        <w:pStyle w:val="BodyText"/>
        <w:spacing w:before="7"/>
        <w:rPr>
          <w:sz w:val="12"/>
        </w:rPr>
      </w:pPr>
    </w:p>
    <w:p w14:paraId="0F1738CA" w14:textId="77777777" w:rsidR="00DE575E" w:rsidRDefault="002E7560">
      <w:pPr>
        <w:spacing w:before="92"/>
        <w:ind w:right="411"/>
        <w:jc w:val="right"/>
        <w:rPr>
          <w:rFonts w:ascii="Times New Roman"/>
          <w:sz w:val="20"/>
        </w:rPr>
      </w:pPr>
      <w:r>
        <w:rPr>
          <w:rFonts w:ascii="Times New Roman"/>
          <w:color w:val="231F20"/>
          <w:w w:val="90"/>
          <w:sz w:val="20"/>
        </w:rPr>
        <w:t>549</w:t>
      </w:r>
    </w:p>
    <w:p w14:paraId="08EA4480"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1E528EEF"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04235A6" w14:textId="57548BE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0654991" wp14:editId="6EFF6863">
                <wp:extent cx="4140200" cy="6350"/>
                <wp:effectExtent l="0" t="0" r="12700" b="6350"/>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6" name="Line 6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289CE4" id="Group_x0020_6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IWUvxfQIAAJQFAAAOAAAA&#10;AAAAAAAAAAAAACwCAABkcnMvZTJvRG9jLnhtbFBLAQItABQABgAIAAAAIQBMp7CQ2QAAAAMBAAAP&#10;AAAAAAAAAAAAAAAAANUEAABkcnMvZG93bnJldi54bWxQSwUGAAAAAAQABADzAAAA2wUAAAAA&#10;">
                <v:line id="Line_x0020_6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oFgsUAAADbAAAADwAAAGRycy9kb3ducmV2LnhtbESP0WrCQBRE3wv+w3IFX4puqhBK6ipF&#10;EIoPao0fcM3eJqG7d2N2NdGvd4VCH4eZOcPMl7014kqtrx0reJskIIgLp2suFRzz9fgdhA/IGo1j&#10;UnAjD8vF4GWOmXYdf9P1EEoRIewzVFCF0GRS+qIii37iGuLo/bjWYoiyLaVusYtwa+Q0SVJpsea4&#10;UGFDq4qK38PFKsjPr8HsdxvT5bvTTJ7O29n9slVqNOw/P0AE6sN/+K/9pRWkKTy/xB8gF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oFgsUAAADbAAAADwAAAAAAAAAA&#10;AAAAAAChAgAAZHJzL2Rvd25yZXYueG1sUEsFBgAAAAAEAAQA+QAAAJMDAAAAAA==&#10;" strokecolor="#231f20" strokeweight=".5pt"/>
                <w10:anchorlock/>
              </v:group>
            </w:pict>
          </mc:Fallback>
        </mc:AlternateContent>
      </w:r>
    </w:p>
    <w:p w14:paraId="6710FE70" w14:textId="77777777" w:rsidR="00DE575E" w:rsidRDefault="00DE575E">
      <w:pPr>
        <w:pStyle w:val="BodyText"/>
        <w:spacing w:before="7"/>
        <w:rPr>
          <w:rFonts w:ascii="AdonisC"/>
          <w:i/>
          <w:sz w:val="11"/>
        </w:rPr>
      </w:pPr>
    </w:p>
    <w:p w14:paraId="11FE066D" w14:textId="77777777" w:rsidR="00DE575E" w:rsidRDefault="002E7560">
      <w:pPr>
        <w:pStyle w:val="BodyText"/>
        <w:spacing w:before="101" w:line="252" w:lineRule="auto"/>
        <w:ind w:left="533"/>
      </w:pPr>
      <w:r>
        <w:rPr>
          <w:color w:val="231F20"/>
        </w:rPr>
        <w:t>ЄС на пропорційній основі та від того, чи рішення ухвалюються на прийнятному рівні.</w:t>
      </w:r>
    </w:p>
    <w:p w14:paraId="5949411D" w14:textId="77777777" w:rsidR="00DE575E" w:rsidRDefault="002E7560">
      <w:pPr>
        <w:pStyle w:val="BodyText"/>
        <w:spacing w:before="1" w:line="252" w:lineRule="auto"/>
        <w:ind w:left="533" w:right="127" w:firstLine="283"/>
        <w:jc w:val="both"/>
      </w:pPr>
      <w:r>
        <w:rPr>
          <w:b/>
          <w:color w:val="231F20"/>
        </w:rPr>
        <w:t xml:space="preserve">Принцип оперативності й своєчасності </w:t>
      </w:r>
      <w:r>
        <w:rPr>
          <w:color w:val="231F20"/>
        </w:rPr>
        <w:t xml:space="preserve">є правовою вимогою, відповідно до якої забезпечується своєчасність надання адмініст- ративних послуг у часових межах за допомогою найбільш повного   і раціонального використання всіх правових засобів, спрямованих на швидке та якісне отримання </w:t>
      </w:r>
      <w:r>
        <w:rPr>
          <w:color w:val="231F20"/>
          <w:spacing w:val="-3"/>
        </w:rPr>
        <w:t xml:space="preserve">суб’єктом </w:t>
      </w:r>
      <w:r>
        <w:rPr>
          <w:color w:val="231F20"/>
        </w:rPr>
        <w:t>зве</w:t>
      </w:r>
      <w:r>
        <w:rPr>
          <w:color w:val="231F20"/>
        </w:rPr>
        <w:t>рнення відповідної послуги.</w:t>
      </w:r>
    </w:p>
    <w:p w14:paraId="6A53D43E" w14:textId="77777777" w:rsidR="00DE575E" w:rsidRDefault="002E7560">
      <w:pPr>
        <w:spacing w:before="3" w:line="252" w:lineRule="auto"/>
        <w:ind w:left="533" w:right="128" w:firstLine="283"/>
        <w:jc w:val="both"/>
        <w:rPr>
          <w:sz w:val="21"/>
        </w:rPr>
      </w:pPr>
      <w:r>
        <w:rPr>
          <w:b/>
          <w:color w:val="231F20"/>
          <w:spacing w:val="-3"/>
          <w:sz w:val="21"/>
        </w:rPr>
        <w:t xml:space="preserve">Принцип раціональної мінімізації </w:t>
      </w:r>
      <w:r>
        <w:rPr>
          <w:b/>
          <w:color w:val="231F20"/>
          <w:spacing w:val="-4"/>
          <w:sz w:val="21"/>
        </w:rPr>
        <w:t xml:space="preserve">кількості </w:t>
      </w:r>
      <w:r>
        <w:rPr>
          <w:b/>
          <w:color w:val="231F20"/>
          <w:spacing w:val="-3"/>
          <w:sz w:val="21"/>
        </w:rPr>
        <w:t xml:space="preserve">документів </w:t>
      </w:r>
      <w:r>
        <w:rPr>
          <w:color w:val="231F20"/>
          <w:spacing w:val="-3"/>
          <w:sz w:val="21"/>
        </w:rPr>
        <w:t xml:space="preserve">та процедурних дій, </w:t>
      </w:r>
      <w:r>
        <w:rPr>
          <w:color w:val="231F20"/>
          <w:sz w:val="21"/>
        </w:rPr>
        <w:t xml:space="preserve">що </w:t>
      </w:r>
      <w:r>
        <w:rPr>
          <w:color w:val="231F20"/>
          <w:spacing w:val="-3"/>
          <w:sz w:val="21"/>
        </w:rPr>
        <w:t xml:space="preserve">вимагаються </w:t>
      </w:r>
      <w:r>
        <w:rPr>
          <w:color w:val="231F20"/>
          <w:sz w:val="21"/>
        </w:rPr>
        <w:t xml:space="preserve">для </w:t>
      </w:r>
      <w:r>
        <w:rPr>
          <w:color w:val="231F20"/>
          <w:spacing w:val="-3"/>
          <w:sz w:val="21"/>
        </w:rPr>
        <w:t xml:space="preserve">отримання адміністративних </w:t>
      </w:r>
      <w:r>
        <w:rPr>
          <w:color w:val="231F20"/>
          <w:spacing w:val="-5"/>
          <w:sz w:val="21"/>
        </w:rPr>
        <w:t xml:space="preserve">послуг, </w:t>
      </w:r>
      <w:r>
        <w:rPr>
          <w:color w:val="231F20"/>
          <w:spacing w:val="-3"/>
          <w:sz w:val="21"/>
        </w:rPr>
        <w:t xml:space="preserve">передбачає чітко визначений перелік документів, необхідних </w:t>
      </w:r>
      <w:r>
        <w:rPr>
          <w:color w:val="231F20"/>
          <w:sz w:val="21"/>
        </w:rPr>
        <w:t xml:space="preserve">для </w:t>
      </w:r>
      <w:r>
        <w:rPr>
          <w:color w:val="231F20"/>
          <w:spacing w:val="-3"/>
          <w:sz w:val="21"/>
        </w:rPr>
        <w:t xml:space="preserve">отримання адміністративної послуги, </w:t>
      </w:r>
      <w:r>
        <w:rPr>
          <w:color w:val="231F20"/>
          <w:sz w:val="21"/>
        </w:rPr>
        <w:t xml:space="preserve">та </w:t>
      </w:r>
      <w:r>
        <w:rPr>
          <w:color w:val="231F20"/>
          <w:spacing w:val="-3"/>
          <w:sz w:val="21"/>
        </w:rPr>
        <w:t xml:space="preserve">зменшення </w:t>
      </w:r>
      <w:r>
        <w:rPr>
          <w:color w:val="231F20"/>
          <w:sz w:val="21"/>
        </w:rPr>
        <w:t xml:space="preserve">їх </w:t>
      </w:r>
      <w:r>
        <w:rPr>
          <w:color w:val="231F20"/>
          <w:spacing w:val="-4"/>
          <w:sz w:val="21"/>
        </w:rPr>
        <w:t>кількості.</w:t>
      </w:r>
    </w:p>
    <w:p w14:paraId="2D023F24" w14:textId="77777777" w:rsidR="00DE575E" w:rsidRDefault="002E7560">
      <w:pPr>
        <w:pStyle w:val="BodyText"/>
        <w:spacing w:before="2" w:line="252" w:lineRule="auto"/>
        <w:ind w:left="533" w:right="126" w:firstLine="283"/>
        <w:jc w:val="both"/>
      </w:pPr>
      <w:r>
        <w:rPr>
          <w:b/>
          <w:color w:val="231F20"/>
        </w:rPr>
        <w:t xml:space="preserve">Принцип рівності </w:t>
      </w:r>
      <w:r>
        <w:rPr>
          <w:color w:val="231F20"/>
        </w:rPr>
        <w:t>передбачає заборону дискримінації, відсут- ність необґрунтованих, безпідставних переваг чи привілеїв для окремих суб’єктів звернення.</w:t>
      </w:r>
    </w:p>
    <w:p w14:paraId="4A3D2224" w14:textId="77777777" w:rsidR="00DE575E" w:rsidRDefault="002E7560">
      <w:pPr>
        <w:pStyle w:val="BodyText"/>
        <w:spacing w:before="1" w:line="252" w:lineRule="auto"/>
        <w:ind w:left="533" w:right="127" w:firstLine="283"/>
        <w:jc w:val="both"/>
      </w:pPr>
      <w:r>
        <w:rPr>
          <w:b/>
          <w:color w:val="231F20"/>
        </w:rPr>
        <w:t xml:space="preserve">Принцип  стабільності   </w:t>
      </w:r>
      <w:r>
        <w:rPr>
          <w:color w:val="231F20"/>
        </w:rPr>
        <w:t>передбачає   стійкість   законодавства   і врегульован</w:t>
      </w:r>
      <w:r>
        <w:rPr>
          <w:color w:val="231F20"/>
        </w:rPr>
        <w:t>их ним правовідносин, а також створює умови для усталеності правозастосування, основу для стійкості всієї системи права.</w:t>
      </w:r>
    </w:p>
    <w:p w14:paraId="2653A5A8" w14:textId="77777777" w:rsidR="00DE575E" w:rsidRDefault="002E7560">
      <w:pPr>
        <w:pStyle w:val="BodyText"/>
        <w:spacing w:before="2" w:line="252" w:lineRule="auto"/>
        <w:ind w:left="533" w:right="128" w:firstLine="283"/>
        <w:jc w:val="both"/>
      </w:pPr>
      <w:r>
        <w:rPr>
          <w:b/>
          <w:color w:val="231F20"/>
        </w:rPr>
        <w:t xml:space="preserve">Принцип юридичної визначеності </w:t>
      </w:r>
      <w:r>
        <w:rPr>
          <w:color w:val="231F20"/>
        </w:rPr>
        <w:t>полягає в чіткому визна- ченні процедури і порядку її дотримання, а також законодавчого встановлення</w:t>
      </w:r>
      <w:r>
        <w:rPr>
          <w:color w:val="231F20"/>
          <w:spacing w:val="-8"/>
        </w:rPr>
        <w:t xml:space="preserve"> </w:t>
      </w:r>
      <w:r>
        <w:rPr>
          <w:color w:val="231F20"/>
        </w:rPr>
        <w:t>пов</w:t>
      </w:r>
      <w:r>
        <w:rPr>
          <w:color w:val="231F20"/>
        </w:rPr>
        <w:t>новажень</w:t>
      </w:r>
      <w:r>
        <w:rPr>
          <w:color w:val="231F20"/>
          <w:spacing w:val="-8"/>
        </w:rPr>
        <w:t xml:space="preserve"> </w:t>
      </w:r>
      <w:r>
        <w:rPr>
          <w:color w:val="231F20"/>
        </w:rPr>
        <w:t>органів</w:t>
      </w:r>
      <w:r>
        <w:rPr>
          <w:color w:val="231F20"/>
          <w:spacing w:val="-8"/>
        </w:rPr>
        <w:t xml:space="preserve"> </w:t>
      </w:r>
      <w:r>
        <w:rPr>
          <w:color w:val="231F20"/>
        </w:rPr>
        <w:t>влади</w:t>
      </w:r>
      <w:r>
        <w:rPr>
          <w:color w:val="231F20"/>
          <w:spacing w:val="-8"/>
        </w:rPr>
        <w:t xml:space="preserve"> </w:t>
      </w:r>
      <w:r>
        <w:rPr>
          <w:color w:val="231F20"/>
        </w:rPr>
        <w:t>у</w:t>
      </w:r>
      <w:r>
        <w:rPr>
          <w:color w:val="231F20"/>
          <w:spacing w:val="-8"/>
        </w:rPr>
        <w:t xml:space="preserve"> </w:t>
      </w:r>
      <w:r>
        <w:rPr>
          <w:color w:val="231F20"/>
        </w:rPr>
        <w:t>відносинах</w:t>
      </w:r>
      <w:r>
        <w:rPr>
          <w:color w:val="231F20"/>
          <w:spacing w:val="-8"/>
        </w:rPr>
        <w:t xml:space="preserve"> </w:t>
      </w:r>
      <w:r>
        <w:rPr>
          <w:color w:val="231F20"/>
        </w:rPr>
        <w:t>із</w:t>
      </w:r>
      <w:r>
        <w:rPr>
          <w:color w:val="231F20"/>
          <w:spacing w:val="-8"/>
        </w:rPr>
        <w:t xml:space="preserve"> </w:t>
      </w:r>
      <w:r>
        <w:rPr>
          <w:color w:val="231F20"/>
          <w:spacing w:val="-3"/>
        </w:rPr>
        <w:t xml:space="preserve">суб’єктами </w:t>
      </w:r>
      <w:r>
        <w:rPr>
          <w:color w:val="231F20"/>
        </w:rPr>
        <w:t>звернення.</w:t>
      </w:r>
    </w:p>
    <w:p w14:paraId="7206EB0E" w14:textId="77777777" w:rsidR="00DE575E" w:rsidRDefault="002E7560">
      <w:pPr>
        <w:pStyle w:val="BodyText"/>
        <w:spacing w:before="2" w:line="252" w:lineRule="auto"/>
        <w:ind w:left="533" w:right="127" w:firstLine="283"/>
        <w:jc w:val="both"/>
      </w:pPr>
      <w:r>
        <w:rPr>
          <w:b/>
          <w:color w:val="231F20"/>
        </w:rPr>
        <w:t xml:space="preserve">Принципи адміністративного права (поняття) </w:t>
      </w:r>
      <w:r>
        <w:rPr>
          <w:color w:val="231F20"/>
        </w:rPr>
        <w:t xml:space="preserve">– найбільш загальні й стабільні вимоги, </w:t>
      </w:r>
      <w:r>
        <w:rPr>
          <w:color w:val="231F20"/>
          <w:spacing w:val="-3"/>
        </w:rPr>
        <w:t xml:space="preserve">об’єктивно </w:t>
      </w:r>
      <w:r>
        <w:rPr>
          <w:color w:val="231F20"/>
        </w:rPr>
        <w:t>зумовлені засади, на яких базується</w:t>
      </w:r>
      <w:r>
        <w:rPr>
          <w:color w:val="231F20"/>
          <w:spacing w:val="-20"/>
        </w:rPr>
        <w:t xml:space="preserve"> </w:t>
      </w:r>
      <w:r>
        <w:rPr>
          <w:color w:val="231F20"/>
        </w:rPr>
        <w:t>адміністративна</w:t>
      </w:r>
      <w:r>
        <w:rPr>
          <w:color w:val="231F20"/>
          <w:spacing w:val="-20"/>
        </w:rPr>
        <w:t xml:space="preserve"> </w:t>
      </w:r>
      <w:r>
        <w:rPr>
          <w:color w:val="231F20"/>
        </w:rPr>
        <w:t>діяльність</w:t>
      </w:r>
      <w:r>
        <w:rPr>
          <w:color w:val="231F20"/>
          <w:spacing w:val="-20"/>
        </w:rPr>
        <w:t xml:space="preserve"> </w:t>
      </w:r>
      <w:r>
        <w:rPr>
          <w:color w:val="231F20"/>
          <w:spacing w:val="-3"/>
        </w:rPr>
        <w:t>суб’єктів</w:t>
      </w:r>
      <w:r>
        <w:rPr>
          <w:color w:val="231F20"/>
          <w:spacing w:val="-20"/>
        </w:rPr>
        <w:t xml:space="preserve"> </w:t>
      </w:r>
      <w:r>
        <w:rPr>
          <w:color w:val="231F20"/>
        </w:rPr>
        <w:t>публічної</w:t>
      </w:r>
      <w:r>
        <w:rPr>
          <w:color w:val="231F20"/>
          <w:spacing w:val="-21"/>
        </w:rPr>
        <w:t xml:space="preserve"> </w:t>
      </w:r>
      <w:r>
        <w:rPr>
          <w:color w:val="231F20"/>
        </w:rPr>
        <w:t xml:space="preserve">адміністра- ції з </w:t>
      </w:r>
      <w:r>
        <w:rPr>
          <w:color w:val="231F20"/>
        </w:rPr>
        <w:t>метою забезпечення права, свобод і законних інтересів приват- них осіб, нормального функціонування громадянського суспільства та</w:t>
      </w:r>
      <w:r>
        <w:rPr>
          <w:color w:val="231F20"/>
          <w:spacing w:val="-2"/>
        </w:rPr>
        <w:t xml:space="preserve"> </w:t>
      </w:r>
      <w:r>
        <w:rPr>
          <w:color w:val="231F20"/>
        </w:rPr>
        <w:t>держави.</w:t>
      </w:r>
    </w:p>
    <w:p w14:paraId="0E746DCD" w14:textId="77777777" w:rsidR="00DE575E" w:rsidRDefault="002E7560">
      <w:pPr>
        <w:pStyle w:val="BodyText"/>
        <w:spacing w:before="3" w:line="252" w:lineRule="auto"/>
        <w:ind w:left="533" w:right="127" w:firstLine="283"/>
        <w:jc w:val="both"/>
      </w:pPr>
      <w:r>
        <w:rPr>
          <w:b/>
          <w:color w:val="231F20"/>
        </w:rPr>
        <w:t xml:space="preserve">Принципи адміністративного судочинства </w:t>
      </w:r>
      <w:r>
        <w:rPr>
          <w:color w:val="231F20"/>
        </w:rPr>
        <w:t xml:space="preserve">– основні засади організації діяльності адміністративного суду, які відбивають </w:t>
      </w:r>
      <w:r>
        <w:rPr>
          <w:color w:val="231F20"/>
        </w:rPr>
        <w:t>її специфіку і зміст; основні положення з питань здійснення право- суддя в адміністративних справах, закріплені в нормах адміністра- тивно-процесуального права.</w:t>
      </w:r>
    </w:p>
    <w:p w14:paraId="23A512BD" w14:textId="77777777" w:rsidR="00DE575E" w:rsidRDefault="002E7560">
      <w:pPr>
        <w:pStyle w:val="BodyText"/>
        <w:spacing w:before="2" w:line="252" w:lineRule="auto"/>
        <w:ind w:left="533" w:right="127" w:firstLine="283"/>
        <w:jc w:val="both"/>
      </w:pPr>
      <w:r>
        <w:rPr>
          <w:b/>
          <w:color w:val="231F20"/>
        </w:rPr>
        <w:t xml:space="preserve">Принципи компетентності й спроможності </w:t>
      </w:r>
      <w:r>
        <w:rPr>
          <w:color w:val="231F20"/>
        </w:rPr>
        <w:t>полягають у тому, що суб’єкти публічної адміністрації ма</w:t>
      </w:r>
      <w:r>
        <w:rPr>
          <w:color w:val="231F20"/>
        </w:rPr>
        <w:t>ють володіти достатнім рівнем комплексу професійних знань, умінь, властивостей і якостей та здатні до здійснення оптимального й ефективного публічного адміністрування у сфері своєї компетенції.</w:t>
      </w:r>
    </w:p>
    <w:p w14:paraId="0ECC9828" w14:textId="77777777" w:rsidR="00DE575E" w:rsidRDefault="00DE575E">
      <w:pPr>
        <w:pStyle w:val="BodyText"/>
        <w:spacing w:before="7"/>
        <w:rPr>
          <w:sz w:val="12"/>
        </w:rPr>
      </w:pPr>
    </w:p>
    <w:p w14:paraId="59F5F28C" w14:textId="77777777" w:rsidR="00DE575E" w:rsidRDefault="002E7560">
      <w:pPr>
        <w:spacing w:before="92"/>
        <w:ind w:left="533"/>
        <w:rPr>
          <w:rFonts w:ascii="Times New Roman"/>
          <w:sz w:val="20"/>
        </w:rPr>
      </w:pPr>
      <w:r>
        <w:rPr>
          <w:rFonts w:ascii="Times New Roman"/>
          <w:color w:val="231F20"/>
          <w:sz w:val="20"/>
        </w:rPr>
        <w:t>550</w:t>
      </w:r>
    </w:p>
    <w:p w14:paraId="4B66D1A8" w14:textId="77777777" w:rsidR="00DE575E" w:rsidRDefault="00DE575E">
      <w:pPr>
        <w:rPr>
          <w:rFonts w:ascii="Times New Roman"/>
          <w:sz w:val="20"/>
        </w:rPr>
        <w:sectPr w:rsidR="00DE575E">
          <w:pgSz w:w="8510" w:h="12760"/>
          <w:pgMar w:top="660" w:right="720" w:bottom="280" w:left="600" w:header="720" w:footer="720" w:gutter="0"/>
          <w:cols w:space="720"/>
        </w:sectPr>
      </w:pPr>
    </w:p>
    <w:p w14:paraId="4285E9FB"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266E14C2" w14:textId="2E560A06"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2B2758D" wp14:editId="6CA919F7">
                <wp:extent cx="4140200" cy="6350"/>
                <wp:effectExtent l="0" t="0" r="12700" b="6350"/>
                <wp:docPr id="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4" name="Line 6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49666D" id="Group_x0020_6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KLNT8J8AgAAlAUAAA4AAAAA&#10;AAAAAAAAAAAALAIAAGRycy9lMm9Eb2MueG1sUEsBAi0AFAAGAAgAAAAhAEynsJDZAAAAAwEAAA8A&#10;AAAAAAAAAAAAAAAA1AQAAGRycy9kb3ducmV2LnhtbFBLBQYAAAAABAAEAPMAAADaBQAAAAA=&#10;">
                <v:line id="Line_x0020_6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Q+bsUAAADbAAAADwAAAGRycy9kb3ducmV2LnhtbESP0WrCQBRE3wX/YbkFX6RuqiIluooU&#10;CsUHtaYfcM1ek9DduzG7mtiv7wqCj8PMnGEWq84acaXGV44VvI0SEMS50xUXCn6yz9d3ED4gazSO&#10;ScGNPKyW/d4CU+1a/qbrIRQiQtinqKAMoU6l9HlJFv3I1cTRO7nGYoiyKaRusI1wa+Q4SWbSYsVx&#10;ocSaPkrKfw8XqyA7D4PZ7zamzXbHiTyet5O/y1apwUu3noMI1IVn+NH+0gpmU7h/iT9AL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Q+bsUAAADbAAAADwAAAAAAAAAA&#10;AAAAAAChAgAAZHJzL2Rvd25yZXYueG1sUEsFBgAAAAAEAAQA+QAAAJMDAAAAAA==&#10;" strokecolor="#231f20" strokeweight=".5pt"/>
                <w10:anchorlock/>
              </v:group>
            </w:pict>
          </mc:Fallback>
        </mc:AlternateContent>
      </w:r>
    </w:p>
    <w:p w14:paraId="681F1065" w14:textId="77777777" w:rsidR="00DE575E" w:rsidRDefault="00DE575E">
      <w:pPr>
        <w:pStyle w:val="BodyText"/>
        <w:spacing w:before="7"/>
        <w:rPr>
          <w:rFonts w:ascii="AdonisC"/>
          <w:i/>
          <w:sz w:val="19"/>
        </w:rPr>
      </w:pPr>
    </w:p>
    <w:p w14:paraId="0AC4DC32" w14:textId="77777777" w:rsidR="00DE575E" w:rsidRDefault="002E7560">
      <w:pPr>
        <w:pStyle w:val="BodyText"/>
        <w:spacing w:before="1" w:line="252" w:lineRule="auto"/>
        <w:ind w:left="250" w:right="411" w:firstLine="283"/>
        <w:jc w:val="both"/>
      </w:pPr>
      <w:r>
        <w:rPr>
          <w:b/>
          <w:color w:val="231F20"/>
        </w:rPr>
        <w:t xml:space="preserve">Принципи надання адміністративних послуг </w:t>
      </w:r>
      <w:r>
        <w:rPr>
          <w:color w:val="231F20"/>
        </w:rPr>
        <w:t>– основоположні засади, на яких ґрунтується процес діяльності органів державної та місцевої влади щодо надання адміністративних послуг  фізичним та юр</w:t>
      </w:r>
      <w:r>
        <w:rPr>
          <w:color w:val="231F20"/>
        </w:rPr>
        <w:t>идичним</w:t>
      </w:r>
      <w:r>
        <w:rPr>
          <w:color w:val="231F20"/>
          <w:spacing w:val="-3"/>
        </w:rPr>
        <w:t xml:space="preserve"> </w:t>
      </w:r>
      <w:r>
        <w:rPr>
          <w:color w:val="231F20"/>
        </w:rPr>
        <w:t>особам.</w:t>
      </w:r>
    </w:p>
    <w:p w14:paraId="3D40140D" w14:textId="77777777" w:rsidR="00DE575E" w:rsidRDefault="002E7560">
      <w:pPr>
        <w:pStyle w:val="BodyText"/>
        <w:spacing w:before="2" w:line="252" w:lineRule="auto"/>
        <w:ind w:left="250" w:right="410" w:firstLine="283"/>
        <w:jc w:val="both"/>
      </w:pPr>
      <w:r>
        <w:rPr>
          <w:b/>
          <w:color w:val="231F20"/>
        </w:rPr>
        <w:t xml:space="preserve">Принципи належного врядування </w:t>
      </w:r>
      <w:r>
        <w:rPr>
          <w:color w:val="231F20"/>
        </w:rPr>
        <w:t>(</w:t>
      </w:r>
      <w:r>
        <w:rPr>
          <w:i/>
          <w:color w:val="231F20"/>
        </w:rPr>
        <w:t>види</w:t>
      </w:r>
      <w:r>
        <w:rPr>
          <w:color w:val="231F20"/>
        </w:rPr>
        <w:t>): принцип забезпе- чення участі в ухваленні рішень і належного реагування; принцип відкритості і прозорості; принцип доброчесності й етичної пове- дінки; принцип ефективності, компетентності і спроможност</w:t>
      </w:r>
      <w:r>
        <w:rPr>
          <w:color w:val="231F20"/>
        </w:rPr>
        <w:t>і; принцип інноваційності та відкритості до змін; принцип сталості та довгострокової орієнтованості; принцип поваги до прав людини та культурної різноманітності; принцип забезпечення соціальної згур- тованості і підзвітності.</w:t>
      </w:r>
    </w:p>
    <w:p w14:paraId="5E4DFECD" w14:textId="77777777" w:rsidR="00DE575E" w:rsidRDefault="002E7560">
      <w:pPr>
        <w:pStyle w:val="BodyText"/>
        <w:spacing w:before="4" w:line="252" w:lineRule="auto"/>
        <w:ind w:left="250" w:right="411" w:firstLine="283"/>
        <w:jc w:val="both"/>
      </w:pPr>
      <w:r>
        <w:rPr>
          <w:b/>
          <w:color w:val="231F20"/>
        </w:rPr>
        <w:t>Принципи  належного  врядуванн</w:t>
      </w:r>
      <w:r>
        <w:rPr>
          <w:b/>
          <w:color w:val="231F20"/>
        </w:rPr>
        <w:t xml:space="preserve">я  </w:t>
      </w:r>
      <w:r>
        <w:rPr>
          <w:color w:val="231F20"/>
        </w:rPr>
        <w:t>(</w:t>
      </w:r>
      <w:r>
        <w:rPr>
          <w:i/>
          <w:color w:val="231F20"/>
        </w:rPr>
        <w:t>сутність</w:t>
      </w:r>
      <w:r>
        <w:rPr>
          <w:color w:val="231F20"/>
        </w:rPr>
        <w:t xml:space="preserve">)  –  полягають   у </w:t>
      </w:r>
      <w:r>
        <w:rPr>
          <w:color w:val="231F20"/>
          <w:spacing w:val="-4"/>
        </w:rPr>
        <w:t xml:space="preserve">тому, </w:t>
      </w:r>
      <w:r>
        <w:rPr>
          <w:color w:val="231F20"/>
        </w:rPr>
        <w:t xml:space="preserve">що вони реально виконуються на всіх рівнях публічного адміністрування, дієво захищені від порушень – громадським конт- ролем, виконавчим контролем системи органів юстиції, </w:t>
      </w:r>
      <w:r>
        <w:rPr>
          <w:color w:val="231F20"/>
          <w:spacing w:val="-3"/>
        </w:rPr>
        <w:t xml:space="preserve">судовою </w:t>
      </w:r>
      <w:r>
        <w:rPr>
          <w:color w:val="231F20"/>
        </w:rPr>
        <w:t>владою та парламентським</w:t>
      </w:r>
      <w:r>
        <w:rPr>
          <w:color w:val="231F20"/>
          <w:spacing w:val="-4"/>
        </w:rPr>
        <w:t xml:space="preserve"> </w:t>
      </w:r>
      <w:r>
        <w:rPr>
          <w:color w:val="231F20"/>
        </w:rPr>
        <w:t>контролем.</w:t>
      </w:r>
    </w:p>
    <w:p w14:paraId="7134F4A2" w14:textId="77777777" w:rsidR="00DE575E" w:rsidRDefault="002E7560">
      <w:pPr>
        <w:spacing w:before="2" w:line="252" w:lineRule="auto"/>
        <w:ind w:left="250" w:right="411" w:firstLine="283"/>
        <w:jc w:val="both"/>
        <w:rPr>
          <w:sz w:val="21"/>
        </w:rPr>
      </w:pPr>
      <w:r>
        <w:rPr>
          <w:b/>
          <w:color w:val="231F20"/>
          <w:sz w:val="21"/>
        </w:rPr>
        <w:t>Пр</w:t>
      </w:r>
      <w:r>
        <w:rPr>
          <w:b/>
          <w:color w:val="231F20"/>
          <w:sz w:val="21"/>
        </w:rPr>
        <w:t xml:space="preserve">овадження у справах про адміністративні проступки </w:t>
      </w:r>
      <w:r>
        <w:rPr>
          <w:color w:val="231F20"/>
          <w:sz w:val="21"/>
        </w:rPr>
        <w:t>– нормативно врегульована діяльність повноважених суб’єктів щодо застосування адміністративної відповідальності за скоєний адмі- ністративний проступок, а також попередження адміністративних правопорушень.</w:t>
      </w:r>
    </w:p>
    <w:p w14:paraId="1799D5DA" w14:textId="77777777" w:rsidR="00DE575E" w:rsidRDefault="002E7560">
      <w:pPr>
        <w:pStyle w:val="BodyText"/>
        <w:spacing w:before="3" w:line="252" w:lineRule="auto"/>
        <w:ind w:left="250" w:right="409" w:firstLine="283"/>
        <w:jc w:val="both"/>
      </w:pPr>
      <w:r>
        <w:rPr>
          <w:b/>
          <w:color w:val="231F20"/>
        </w:rPr>
        <w:t xml:space="preserve">Проведення перевірки як інструмент публічного адміністру- вання </w:t>
      </w:r>
      <w:r>
        <w:rPr>
          <w:color w:val="231F20"/>
        </w:rPr>
        <w:t xml:space="preserve">– засіб адміністративної діяльності публічної адміністрації щодо обстеження підконтрольного об’єкта з метою з’ясовування дотримання приватними особами диспозицій заборонних норм, правильності </w:t>
      </w:r>
      <w:r>
        <w:rPr>
          <w:color w:val="231F20"/>
        </w:rPr>
        <w:t>ведення публічних обліків та наявності матеріаль- них цінностей, що здійснюються відповідно до наданої компетенції, ретельно прописаних підстав, предмета і процедурних дій, за допо- могою планових і у виняткових випадках – позапланових перевірок, щоб не пр</w:t>
      </w:r>
      <w:r>
        <w:rPr>
          <w:color w:val="231F20"/>
        </w:rPr>
        <w:t>ипустити з боку відповідних органів перевірки корупцій- них чи інших протиправних дій.</w:t>
      </w:r>
    </w:p>
    <w:p w14:paraId="03ADCE5C" w14:textId="77777777" w:rsidR="00DE575E" w:rsidRDefault="002E7560">
      <w:pPr>
        <w:pStyle w:val="BodyText"/>
        <w:spacing w:before="4" w:line="252" w:lineRule="auto"/>
        <w:ind w:left="250" w:right="410" w:firstLine="283"/>
        <w:jc w:val="both"/>
      </w:pPr>
      <w:r>
        <w:rPr>
          <w:b/>
          <w:color w:val="231F20"/>
        </w:rPr>
        <w:t>Пропозиція</w:t>
      </w:r>
      <w:r>
        <w:rPr>
          <w:b/>
          <w:color w:val="231F20"/>
          <w:spacing w:val="-25"/>
        </w:rPr>
        <w:t xml:space="preserve"> </w:t>
      </w:r>
      <w:r>
        <w:rPr>
          <w:b/>
          <w:color w:val="231F20"/>
        </w:rPr>
        <w:t>(зауваження)</w:t>
      </w:r>
      <w:r>
        <w:rPr>
          <w:b/>
          <w:color w:val="231F20"/>
          <w:spacing w:val="-26"/>
        </w:rPr>
        <w:t xml:space="preserve"> </w:t>
      </w:r>
      <w:r>
        <w:rPr>
          <w:color w:val="231F20"/>
        </w:rPr>
        <w:t>–</w:t>
      </w:r>
      <w:r>
        <w:rPr>
          <w:color w:val="231F20"/>
          <w:spacing w:val="-25"/>
        </w:rPr>
        <w:t xml:space="preserve"> </w:t>
      </w:r>
      <w:r>
        <w:rPr>
          <w:color w:val="231F20"/>
        </w:rPr>
        <w:t>звернення</w:t>
      </w:r>
      <w:r>
        <w:rPr>
          <w:color w:val="231F20"/>
          <w:spacing w:val="-25"/>
        </w:rPr>
        <w:t xml:space="preserve"> </w:t>
      </w:r>
      <w:r>
        <w:rPr>
          <w:color w:val="231F20"/>
        </w:rPr>
        <w:t>громадян,</w:t>
      </w:r>
      <w:r>
        <w:rPr>
          <w:color w:val="231F20"/>
          <w:spacing w:val="-25"/>
        </w:rPr>
        <w:t xml:space="preserve"> </w:t>
      </w:r>
      <w:r>
        <w:rPr>
          <w:color w:val="231F20"/>
          <w:spacing w:val="2"/>
        </w:rPr>
        <w:t xml:space="preserve">уякомувислов- </w:t>
      </w:r>
      <w:r>
        <w:rPr>
          <w:color w:val="231F20"/>
        </w:rPr>
        <w:t>люються порада, рекомендація щодо діяльності органів державної влади і місцевого самоврядування, депутатів усіх рівнів, посадо- вих осіб, а також думки щодо врегулювання суспільних відносин та умов життя громадян, удосконалення правової основи державного й</w:t>
      </w:r>
      <w:r>
        <w:rPr>
          <w:color w:val="231F20"/>
        </w:rPr>
        <w:t xml:space="preserve"> громадського життя, соціально-культурної та інших сфер діяль- ності держави і</w:t>
      </w:r>
      <w:r>
        <w:rPr>
          <w:color w:val="231F20"/>
          <w:spacing w:val="-2"/>
        </w:rPr>
        <w:t xml:space="preserve"> </w:t>
      </w:r>
      <w:r>
        <w:rPr>
          <w:color w:val="231F20"/>
        </w:rPr>
        <w:t>суспільства.</w:t>
      </w:r>
    </w:p>
    <w:p w14:paraId="3DD261CF" w14:textId="77777777" w:rsidR="00DE575E" w:rsidRDefault="00DE575E">
      <w:pPr>
        <w:pStyle w:val="BodyText"/>
        <w:spacing w:before="8"/>
        <w:rPr>
          <w:sz w:val="12"/>
        </w:rPr>
      </w:pPr>
    </w:p>
    <w:p w14:paraId="4AFF197E" w14:textId="77777777" w:rsidR="00DE575E" w:rsidRDefault="002E7560">
      <w:pPr>
        <w:spacing w:before="92"/>
        <w:ind w:right="411"/>
        <w:jc w:val="right"/>
        <w:rPr>
          <w:rFonts w:ascii="Times New Roman"/>
          <w:sz w:val="20"/>
        </w:rPr>
      </w:pPr>
      <w:r>
        <w:rPr>
          <w:rFonts w:ascii="Times New Roman"/>
          <w:color w:val="231F20"/>
          <w:w w:val="90"/>
          <w:sz w:val="20"/>
        </w:rPr>
        <w:t>551</w:t>
      </w:r>
    </w:p>
    <w:p w14:paraId="3781C1B4"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07F0E272"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F2BF0E7" w14:textId="2853A5F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D028E24" wp14:editId="2BE26BF0">
                <wp:extent cx="4140200" cy="6350"/>
                <wp:effectExtent l="0" t="0" r="12700" b="6350"/>
                <wp:docPr id="6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2" name="Line 6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3CDB7C" id="Group_x0020_6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DQqa4h8AgAAlAUAAA4AAAAA&#10;AAAAAAAAAAAALAIAAGRycy9lMm9Eb2MueG1sUEsBAi0AFAAGAAgAAAAhAEynsJDZAAAAAwEAAA8A&#10;AAAAAAAAAAAAAAAA1AQAAGRycy9kb3ducmV2LnhtbFBLBQYAAAAABAAEAPMAAADaBQAAAAA=&#10;">
                <v:line id="Line_x0020_6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EDgcQAAADbAAAADwAAAGRycy9kb3ducmV2LnhtbESP0WrCQBRE3wv+w3KFvhTdVEEkuooI&#10;BfFBrfEDrtlrEty9G7OrSfv1XaHg4zAzZ5j5srNGPKjxlWMFn8MEBHHudMWFglP2NZiC8AFZo3FM&#10;Cn7Iw3LRe5tjql3L3/Q4hkJECPsUFZQh1KmUPi/Joh+6mjh6F9dYDFE2hdQNthFujRwlyURarDgu&#10;lFjTuqT8erxbBdntI5jDfmvabH8ey/NtN/6975R673erGYhAXXiF/9sbrWAygueX+AP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sQOBxAAAANsAAAAPAAAAAAAAAAAA&#10;AAAAAKECAABkcnMvZG93bnJldi54bWxQSwUGAAAAAAQABAD5AAAAkgMAAAAA&#10;" strokecolor="#231f20" strokeweight=".5pt"/>
                <w10:anchorlock/>
              </v:group>
            </w:pict>
          </mc:Fallback>
        </mc:AlternateContent>
      </w:r>
    </w:p>
    <w:p w14:paraId="13C59E52" w14:textId="77777777" w:rsidR="00DE575E" w:rsidRDefault="00DE575E">
      <w:pPr>
        <w:pStyle w:val="BodyText"/>
        <w:spacing w:before="7"/>
        <w:rPr>
          <w:rFonts w:ascii="AdonisC"/>
          <w:i/>
          <w:sz w:val="11"/>
        </w:rPr>
      </w:pPr>
    </w:p>
    <w:p w14:paraId="1F575F72" w14:textId="77777777" w:rsidR="00DE575E" w:rsidRDefault="002E7560">
      <w:pPr>
        <w:pStyle w:val="BodyText"/>
        <w:spacing w:before="101" w:line="252" w:lineRule="auto"/>
        <w:ind w:left="533" w:right="128" w:firstLine="283"/>
        <w:jc w:val="both"/>
      </w:pPr>
      <w:r>
        <w:rPr>
          <w:b/>
          <w:color w:val="231F20"/>
        </w:rPr>
        <w:t xml:space="preserve">Процедура надання адміністративної послуги </w:t>
      </w:r>
      <w:r>
        <w:rPr>
          <w:color w:val="231F20"/>
        </w:rPr>
        <w:t>– установле- ний законодавством порядок надання адміністративної послуги з метою реалізації прав, свобод і законних інтересів суб’єктів звер- нення. Процедура надання адміністр</w:t>
      </w:r>
      <w:r>
        <w:rPr>
          <w:color w:val="231F20"/>
        </w:rPr>
        <w:t>ативної послуги включає три стадії: 1) реєстрацію (оформлення) звернення суб’єкта звернення;</w:t>
      </w:r>
    </w:p>
    <w:p w14:paraId="75F55FF8" w14:textId="77777777" w:rsidR="00DE575E" w:rsidRDefault="002E7560">
      <w:pPr>
        <w:pStyle w:val="BodyText"/>
        <w:spacing w:before="2" w:line="252" w:lineRule="auto"/>
        <w:ind w:left="533" w:right="126"/>
        <w:jc w:val="both"/>
      </w:pPr>
      <w:r>
        <w:rPr>
          <w:color w:val="231F20"/>
        </w:rPr>
        <w:t>2)</w:t>
      </w:r>
      <w:r>
        <w:rPr>
          <w:color w:val="231F20"/>
          <w:spacing w:val="-7"/>
        </w:rPr>
        <w:t xml:space="preserve"> </w:t>
      </w:r>
      <w:r>
        <w:rPr>
          <w:color w:val="231F20"/>
        </w:rPr>
        <w:t>опрацювання</w:t>
      </w:r>
      <w:r>
        <w:rPr>
          <w:color w:val="231F20"/>
          <w:spacing w:val="-14"/>
        </w:rPr>
        <w:t xml:space="preserve"> </w:t>
      </w:r>
      <w:r>
        <w:rPr>
          <w:color w:val="231F20"/>
        </w:rPr>
        <w:t>звернення</w:t>
      </w:r>
      <w:r>
        <w:rPr>
          <w:color w:val="231F20"/>
          <w:spacing w:val="-14"/>
        </w:rPr>
        <w:t xml:space="preserve"> </w:t>
      </w:r>
      <w:r>
        <w:rPr>
          <w:color w:val="231F20"/>
        </w:rPr>
        <w:t>та</w:t>
      </w:r>
      <w:r>
        <w:rPr>
          <w:color w:val="231F20"/>
          <w:spacing w:val="-14"/>
        </w:rPr>
        <w:t xml:space="preserve"> </w:t>
      </w:r>
      <w:r>
        <w:rPr>
          <w:color w:val="231F20"/>
        </w:rPr>
        <w:t>оформлення</w:t>
      </w:r>
      <w:r>
        <w:rPr>
          <w:color w:val="231F20"/>
          <w:spacing w:val="-14"/>
        </w:rPr>
        <w:t xml:space="preserve"> </w:t>
      </w:r>
      <w:r>
        <w:rPr>
          <w:color w:val="231F20"/>
        </w:rPr>
        <w:t>(погодження)</w:t>
      </w:r>
      <w:r>
        <w:rPr>
          <w:color w:val="231F20"/>
          <w:spacing w:val="-7"/>
        </w:rPr>
        <w:t xml:space="preserve"> </w:t>
      </w:r>
      <w:r>
        <w:rPr>
          <w:color w:val="231F20"/>
          <w:spacing w:val="-3"/>
        </w:rPr>
        <w:t xml:space="preserve">результату </w:t>
      </w:r>
      <w:r>
        <w:rPr>
          <w:color w:val="231F20"/>
        </w:rPr>
        <w:t xml:space="preserve">надання адміністративної послуги; 3) видання </w:t>
      </w:r>
      <w:r>
        <w:rPr>
          <w:color w:val="231F20"/>
          <w:spacing w:val="-3"/>
        </w:rPr>
        <w:t xml:space="preserve">результату </w:t>
      </w:r>
      <w:r>
        <w:rPr>
          <w:color w:val="231F20"/>
        </w:rPr>
        <w:t xml:space="preserve">надання адміністративної послуги та його реєстрацію. Кожна стадія поді- ляється на відповідні етапи, які включають конкретні дії </w:t>
      </w:r>
      <w:r>
        <w:rPr>
          <w:color w:val="231F20"/>
          <w:spacing w:val="-4"/>
        </w:rPr>
        <w:t xml:space="preserve">суб’єкта </w:t>
      </w:r>
      <w:r>
        <w:rPr>
          <w:color w:val="231F20"/>
        </w:rPr>
        <w:t>надання адміністративних послуг та /або</w:t>
      </w:r>
      <w:r>
        <w:rPr>
          <w:color w:val="231F20"/>
          <w:spacing w:val="-5"/>
        </w:rPr>
        <w:t xml:space="preserve"> </w:t>
      </w:r>
      <w:r>
        <w:rPr>
          <w:color w:val="231F20"/>
        </w:rPr>
        <w:t>ЦНАП.</w:t>
      </w:r>
    </w:p>
    <w:p w14:paraId="616F98D7" w14:textId="77777777" w:rsidR="00DE575E" w:rsidRDefault="002E7560">
      <w:pPr>
        <w:spacing w:before="3" w:line="252" w:lineRule="auto"/>
        <w:ind w:left="533" w:right="128" w:firstLine="283"/>
        <w:jc w:val="both"/>
        <w:rPr>
          <w:sz w:val="21"/>
        </w:rPr>
      </w:pPr>
      <w:r>
        <w:rPr>
          <w:b/>
          <w:color w:val="231F20"/>
          <w:sz w:val="21"/>
        </w:rPr>
        <w:t xml:space="preserve">Процедура ухвалення (видання) індивідуальних актів </w:t>
      </w:r>
      <w:r>
        <w:rPr>
          <w:color w:val="231F20"/>
          <w:sz w:val="21"/>
        </w:rPr>
        <w:t>– регламентовані адмі</w:t>
      </w:r>
      <w:r>
        <w:rPr>
          <w:color w:val="231F20"/>
          <w:sz w:val="21"/>
        </w:rPr>
        <w:t>ністративним правом адміністративні дії, що вчиняються суб’єктом владних повноважень щодо їх розгляду.</w:t>
      </w:r>
    </w:p>
    <w:p w14:paraId="114751BD" w14:textId="77777777" w:rsidR="00DE575E" w:rsidRDefault="002E7560">
      <w:pPr>
        <w:pStyle w:val="BodyText"/>
        <w:spacing w:before="1" w:line="252" w:lineRule="auto"/>
        <w:ind w:left="533" w:right="128" w:firstLine="283"/>
        <w:jc w:val="both"/>
      </w:pPr>
      <w:r>
        <w:rPr>
          <w:b/>
          <w:color w:val="231F20"/>
        </w:rPr>
        <w:t xml:space="preserve">Процедури за заявою особи </w:t>
      </w:r>
      <w:r>
        <w:rPr>
          <w:color w:val="231F20"/>
        </w:rPr>
        <w:t>– установлений чинним законо- давством порядок діяльності суб’єктів публічного адміністрування, що полягає в розгляді заяви осо</w:t>
      </w:r>
      <w:r>
        <w:rPr>
          <w:color w:val="231F20"/>
        </w:rPr>
        <w:t>би та наданні компетентної відпо- віді впродовж визначеного терміну.</w:t>
      </w:r>
    </w:p>
    <w:p w14:paraId="78178D22" w14:textId="77777777" w:rsidR="00DE575E" w:rsidRDefault="002E7560">
      <w:pPr>
        <w:pStyle w:val="BodyText"/>
        <w:spacing w:before="2" w:line="252" w:lineRule="auto"/>
        <w:ind w:left="533" w:right="128" w:firstLine="283"/>
        <w:jc w:val="both"/>
      </w:pPr>
      <w:r>
        <w:rPr>
          <w:b/>
          <w:color w:val="231F20"/>
        </w:rPr>
        <w:t xml:space="preserve">Процедури </w:t>
      </w:r>
      <w:r>
        <w:rPr>
          <w:b/>
          <w:color w:val="231F20"/>
          <w:spacing w:val="-3"/>
        </w:rPr>
        <w:t xml:space="preserve">щодо </w:t>
      </w:r>
      <w:r>
        <w:rPr>
          <w:b/>
          <w:color w:val="231F20"/>
        </w:rPr>
        <w:t xml:space="preserve">притягнення до адміністративної відпові- дальності </w:t>
      </w:r>
      <w:r>
        <w:rPr>
          <w:color w:val="231F20"/>
        </w:rPr>
        <w:t xml:space="preserve">– установлений чинним законодавством порядок втру- чальної діяльності </w:t>
      </w:r>
      <w:r>
        <w:rPr>
          <w:color w:val="231F20"/>
          <w:spacing w:val="-3"/>
        </w:rPr>
        <w:t xml:space="preserve">суб’єктів </w:t>
      </w:r>
      <w:r>
        <w:rPr>
          <w:color w:val="231F20"/>
        </w:rPr>
        <w:t xml:space="preserve">публічного адміністрування, що поля- гає </w:t>
      </w:r>
      <w:r>
        <w:rPr>
          <w:color w:val="231F20"/>
        </w:rPr>
        <w:t xml:space="preserve">в точному неухильному дотриманні порядку </w:t>
      </w:r>
      <w:r>
        <w:rPr>
          <w:color w:val="231F20"/>
          <w:spacing w:val="-3"/>
        </w:rPr>
        <w:t xml:space="preserve">розгляду </w:t>
      </w:r>
      <w:r>
        <w:rPr>
          <w:color w:val="231F20"/>
        </w:rPr>
        <w:t>справ щодо</w:t>
      </w:r>
      <w:r>
        <w:rPr>
          <w:color w:val="231F20"/>
          <w:spacing w:val="-9"/>
        </w:rPr>
        <w:t xml:space="preserve"> </w:t>
      </w:r>
      <w:r>
        <w:rPr>
          <w:color w:val="231F20"/>
        </w:rPr>
        <w:t>притягнення</w:t>
      </w:r>
      <w:r>
        <w:rPr>
          <w:color w:val="231F20"/>
          <w:spacing w:val="-9"/>
        </w:rPr>
        <w:t xml:space="preserve"> </w:t>
      </w:r>
      <w:r>
        <w:rPr>
          <w:color w:val="231F20"/>
        </w:rPr>
        <w:t>до</w:t>
      </w:r>
      <w:r>
        <w:rPr>
          <w:color w:val="231F20"/>
          <w:spacing w:val="-9"/>
        </w:rPr>
        <w:t xml:space="preserve"> </w:t>
      </w:r>
      <w:r>
        <w:rPr>
          <w:color w:val="231F20"/>
        </w:rPr>
        <w:t>відповідальності</w:t>
      </w:r>
      <w:r>
        <w:rPr>
          <w:color w:val="231F20"/>
          <w:spacing w:val="-9"/>
        </w:rPr>
        <w:t xml:space="preserve"> </w:t>
      </w:r>
      <w:r>
        <w:rPr>
          <w:color w:val="231F20"/>
        </w:rPr>
        <w:t>осіб,</w:t>
      </w:r>
      <w:r>
        <w:rPr>
          <w:color w:val="231F20"/>
          <w:spacing w:val="-9"/>
        </w:rPr>
        <w:t xml:space="preserve"> </w:t>
      </w:r>
      <w:r>
        <w:rPr>
          <w:color w:val="231F20"/>
        </w:rPr>
        <w:t>які</w:t>
      </w:r>
      <w:r>
        <w:rPr>
          <w:color w:val="231F20"/>
          <w:spacing w:val="-9"/>
        </w:rPr>
        <w:t xml:space="preserve"> </w:t>
      </w:r>
      <w:r>
        <w:rPr>
          <w:color w:val="231F20"/>
        </w:rPr>
        <w:t>вчинили</w:t>
      </w:r>
      <w:r>
        <w:rPr>
          <w:color w:val="231F20"/>
          <w:spacing w:val="-9"/>
        </w:rPr>
        <w:t xml:space="preserve"> </w:t>
      </w:r>
      <w:r>
        <w:rPr>
          <w:color w:val="231F20"/>
        </w:rPr>
        <w:t>адміністра- тивні</w:t>
      </w:r>
      <w:r>
        <w:rPr>
          <w:color w:val="231F20"/>
          <w:spacing w:val="-2"/>
        </w:rPr>
        <w:t xml:space="preserve"> </w:t>
      </w:r>
      <w:r>
        <w:rPr>
          <w:color w:val="231F20"/>
        </w:rPr>
        <w:t>правопорушення.</w:t>
      </w:r>
    </w:p>
    <w:p w14:paraId="3A8E4A83" w14:textId="77777777" w:rsidR="00DE575E" w:rsidRDefault="002E7560">
      <w:pPr>
        <w:pStyle w:val="BodyText"/>
        <w:spacing w:before="3" w:line="252" w:lineRule="auto"/>
        <w:ind w:left="533" w:right="128" w:firstLine="283"/>
        <w:jc w:val="both"/>
      </w:pPr>
      <w:r>
        <w:rPr>
          <w:b/>
          <w:color w:val="231F20"/>
        </w:rPr>
        <w:t xml:space="preserve">Публічна влада </w:t>
      </w:r>
      <w:r>
        <w:rPr>
          <w:color w:val="231F20"/>
        </w:rPr>
        <w:t>– здатність публічних суб’єктів впливати на суспільні відносини між людьми з приводу організації їхньої суміс- ної діяльності на основі реалізації публічного інтересу.</w:t>
      </w:r>
    </w:p>
    <w:p w14:paraId="7FCD527C" w14:textId="77777777" w:rsidR="00DE575E" w:rsidRDefault="002E7560">
      <w:pPr>
        <w:pStyle w:val="BodyText"/>
        <w:spacing w:before="1" w:line="252" w:lineRule="auto"/>
        <w:ind w:left="533" w:right="126" w:firstLine="283"/>
        <w:jc w:val="both"/>
      </w:pPr>
      <w:r>
        <w:rPr>
          <w:b/>
          <w:color w:val="231F20"/>
        </w:rPr>
        <w:t xml:space="preserve">Публічна інформація </w:t>
      </w:r>
      <w:r>
        <w:rPr>
          <w:color w:val="231F20"/>
        </w:rPr>
        <w:t>– відображена та задокументована будь- якими засобами та на будь-яки</w:t>
      </w:r>
      <w:r>
        <w:rPr>
          <w:color w:val="231F20"/>
        </w:rPr>
        <w:t>х носіях інформація, що була отри- мана або створена в процесі виконання суб’єктами владних повно- важень своїх обов’язків, передбачених чинним законодавством, або яка перебуває у володінні суб’єктів владних повноважень, інших розпорядників публічної інфор</w:t>
      </w:r>
      <w:r>
        <w:rPr>
          <w:color w:val="231F20"/>
        </w:rPr>
        <w:t>мації, визначених законом. Публічна інформація є відкритою, крім випадків, установлених законом.</w:t>
      </w:r>
    </w:p>
    <w:p w14:paraId="02E26985" w14:textId="77777777" w:rsidR="00DE575E" w:rsidRDefault="002E7560">
      <w:pPr>
        <w:pStyle w:val="BodyText"/>
        <w:spacing w:before="4" w:line="252" w:lineRule="auto"/>
        <w:ind w:left="533" w:right="125" w:firstLine="283"/>
        <w:jc w:val="both"/>
      </w:pPr>
      <w:r>
        <w:rPr>
          <w:b/>
          <w:color w:val="231F20"/>
        </w:rPr>
        <w:t>Публічна</w:t>
      </w:r>
      <w:r>
        <w:rPr>
          <w:b/>
          <w:color w:val="231F20"/>
          <w:spacing w:val="-8"/>
        </w:rPr>
        <w:t xml:space="preserve"> </w:t>
      </w:r>
      <w:r>
        <w:rPr>
          <w:b/>
          <w:color w:val="231F20"/>
        </w:rPr>
        <w:t>служба</w:t>
      </w:r>
      <w:r>
        <w:rPr>
          <w:b/>
          <w:color w:val="231F20"/>
          <w:spacing w:val="-8"/>
        </w:rPr>
        <w:t xml:space="preserve"> </w:t>
      </w:r>
      <w:r>
        <w:rPr>
          <w:color w:val="231F20"/>
        </w:rPr>
        <w:t>–</w:t>
      </w:r>
      <w:r>
        <w:rPr>
          <w:color w:val="231F20"/>
          <w:spacing w:val="-8"/>
        </w:rPr>
        <w:t xml:space="preserve"> </w:t>
      </w:r>
      <w:r>
        <w:rPr>
          <w:color w:val="231F20"/>
        </w:rPr>
        <w:t>діяльність</w:t>
      </w:r>
      <w:r>
        <w:rPr>
          <w:color w:val="231F20"/>
          <w:spacing w:val="-8"/>
        </w:rPr>
        <w:t xml:space="preserve"> </w:t>
      </w:r>
      <w:r>
        <w:rPr>
          <w:color w:val="231F20"/>
        </w:rPr>
        <w:t>на</w:t>
      </w:r>
      <w:r>
        <w:rPr>
          <w:color w:val="231F20"/>
          <w:spacing w:val="-8"/>
        </w:rPr>
        <w:t xml:space="preserve"> </w:t>
      </w:r>
      <w:r>
        <w:rPr>
          <w:color w:val="231F20"/>
        </w:rPr>
        <w:t>державних</w:t>
      </w:r>
      <w:r>
        <w:rPr>
          <w:color w:val="231F20"/>
          <w:spacing w:val="-8"/>
        </w:rPr>
        <w:t xml:space="preserve"> </w:t>
      </w:r>
      <w:r>
        <w:rPr>
          <w:color w:val="231F20"/>
        </w:rPr>
        <w:t>політичних</w:t>
      </w:r>
      <w:r>
        <w:rPr>
          <w:color w:val="231F20"/>
          <w:spacing w:val="-8"/>
        </w:rPr>
        <w:t xml:space="preserve"> </w:t>
      </w:r>
      <w:r>
        <w:rPr>
          <w:color w:val="231F20"/>
        </w:rPr>
        <w:t xml:space="preserve">посадах, у державних колегіальних органах, професійна діяльність </w:t>
      </w:r>
      <w:r>
        <w:rPr>
          <w:color w:val="231F20"/>
          <w:spacing w:val="-3"/>
        </w:rPr>
        <w:t xml:space="preserve">суддів, </w:t>
      </w:r>
      <w:r>
        <w:rPr>
          <w:color w:val="231F20"/>
        </w:rPr>
        <w:t>прокурорів, військова служба, альтернативна (невійськова) служба, інша державна служба, патронатна служба в державних органах, служба</w:t>
      </w:r>
      <w:r>
        <w:rPr>
          <w:color w:val="231F20"/>
          <w:spacing w:val="-9"/>
        </w:rPr>
        <w:t xml:space="preserve"> </w:t>
      </w:r>
      <w:r>
        <w:rPr>
          <w:color w:val="231F20"/>
        </w:rPr>
        <w:t>в</w:t>
      </w:r>
      <w:r>
        <w:rPr>
          <w:color w:val="231F20"/>
          <w:spacing w:val="-10"/>
        </w:rPr>
        <w:t xml:space="preserve"> </w:t>
      </w:r>
      <w:r>
        <w:rPr>
          <w:color w:val="231F20"/>
        </w:rPr>
        <w:t>органах</w:t>
      </w:r>
      <w:r>
        <w:rPr>
          <w:color w:val="231F20"/>
          <w:spacing w:val="-9"/>
        </w:rPr>
        <w:t xml:space="preserve"> </w:t>
      </w:r>
      <w:r>
        <w:rPr>
          <w:color w:val="231F20"/>
        </w:rPr>
        <w:t>влади</w:t>
      </w:r>
      <w:r>
        <w:rPr>
          <w:color w:val="231F20"/>
          <w:spacing w:val="-9"/>
        </w:rPr>
        <w:t xml:space="preserve"> </w:t>
      </w:r>
      <w:r>
        <w:rPr>
          <w:color w:val="231F20"/>
        </w:rPr>
        <w:t>Автономної</w:t>
      </w:r>
      <w:r>
        <w:rPr>
          <w:color w:val="231F20"/>
          <w:spacing w:val="-10"/>
        </w:rPr>
        <w:t xml:space="preserve"> </w:t>
      </w:r>
      <w:r>
        <w:rPr>
          <w:color w:val="231F20"/>
        </w:rPr>
        <w:t>Республіки</w:t>
      </w:r>
      <w:r>
        <w:rPr>
          <w:color w:val="231F20"/>
          <w:spacing w:val="-9"/>
        </w:rPr>
        <w:t xml:space="preserve"> </w:t>
      </w:r>
      <w:r>
        <w:rPr>
          <w:color w:val="231F20"/>
        </w:rPr>
        <w:t>Крим,</w:t>
      </w:r>
      <w:r>
        <w:rPr>
          <w:color w:val="231F20"/>
          <w:spacing w:val="-9"/>
        </w:rPr>
        <w:t xml:space="preserve"> </w:t>
      </w:r>
      <w:r>
        <w:rPr>
          <w:color w:val="231F20"/>
        </w:rPr>
        <w:t>органах</w:t>
      </w:r>
      <w:r>
        <w:rPr>
          <w:color w:val="231F20"/>
          <w:spacing w:val="-9"/>
        </w:rPr>
        <w:t xml:space="preserve"> </w:t>
      </w:r>
      <w:r>
        <w:rPr>
          <w:color w:val="231F20"/>
        </w:rPr>
        <w:t xml:space="preserve">місце- вого самоврядування (п. 17 ч. 1 </w:t>
      </w:r>
      <w:r>
        <w:rPr>
          <w:color w:val="231F20"/>
          <w:spacing w:val="-6"/>
        </w:rPr>
        <w:t xml:space="preserve">ст. </w:t>
      </w:r>
      <w:r>
        <w:rPr>
          <w:color w:val="231F20"/>
        </w:rPr>
        <w:t>4 КАС</w:t>
      </w:r>
      <w:r>
        <w:rPr>
          <w:color w:val="231F20"/>
          <w:spacing w:val="-6"/>
        </w:rPr>
        <w:t xml:space="preserve"> </w:t>
      </w:r>
      <w:r>
        <w:rPr>
          <w:color w:val="231F20"/>
          <w:spacing w:val="-3"/>
        </w:rPr>
        <w:t>України).</w:t>
      </w:r>
    </w:p>
    <w:p w14:paraId="42F6BA34" w14:textId="77777777" w:rsidR="00DE575E" w:rsidRDefault="00DE575E">
      <w:pPr>
        <w:pStyle w:val="BodyText"/>
        <w:spacing w:before="7"/>
        <w:rPr>
          <w:sz w:val="12"/>
        </w:rPr>
      </w:pPr>
    </w:p>
    <w:p w14:paraId="0E524126" w14:textId="77777777" w:rsidR="00DE575E" w:rsidRDefault="002E7560">
      <w:pPr>
        <w:spacing w:before="92"/>
        <w:ind w:left="533"/>
        <w:rPr>
          <w:rFonts w:ascii="Times New Roman"/>
          <w:sz w:val="20"/>
        </w:rPr>
      </w:pPr>
      <w:r>
        <w:rPr>
          <w:rFonts w:ascii="Times New Roman"/>
          <w:color w:val="231F20"/>
          <w:sz w:val="20"/>
        </w:rPr>
        <w:t>552</w:t>
      </w:r>
    </w:p>
    <w:p w14:paraId="049A1AA3" w14:textId="77777777" w:rsidR="00DE575E" w:rsidRDefault="00DE575E">
      <w:pPr>
        <w:rPr>
          <w:rFonts w:ascii="Times New Roman"/>
          <w:sz w:val="20"/>
        </w:rPr>
        <w:sectPr w:rsidR="00DE575E">
          <w:pgSz w:w="8510" w:h="12760"/>
          <w:pgMar w:top="660" w:right="720" w:bottom="280" w:left="600" w:header="720" w:footer="720" w:gutter="0"/>
          <w:cols w:space="720"/>
        </w:sectPr>
      </w:pPr>
    </w:p>
    <w:p w14:paraId="26FC8BCD"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418BEDDF" w14:textId="5FC4BA43"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291FD985" wp14:editId="0C958966">
                <wp:extent cx="4140200" cy="6350"/>
                <wp:effectExtent l="0" t="0" r="12700" b="6350"/>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0" name="Line 5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147FBD" id="Group_x0020_5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GJ8DffQIAAJQFAAAOAAAA&#10;AAAAAAAAAAAAACwCAABkcnMvZTJvRG9jLnhtbFBLAQItABQABgAIAAAAIQBMp7CQ2QAAAAMBAAAP&#10;AAAAAAAAAAAAAAAAANUEAABkcnMvZG93bnJldi54bWxQSwUGAAAAAAQABADzAAAA2wUAAAAA&#10;">
                <v:line id="Line_x0020_5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84bcEAAADbAAAADwAAAGRycy9kb3ducmV2LnhtbERPy4rCMBTdC/MP4Q7MRsbUEUSqUUQQ&#10;ZBa+Oh9wba5tMbmpTbQdv94sBJeH854tOmvEnRpfOVYwHCQgiHOnKy4U/GXr7wkIH5A1Gsek4J88&#10;LOYfvRmm2rV8oPsxFCKGsE9RQRlCnUrp85Is+oGriSN3do3FEGFTSN1gG8OtkT9JMpYWK44NJda0&#10;Kim/HG9WQXbtB7Pf/Zo2251G8nTdjh63rVJfn91yCiJQF97il3ujFYzj+v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LzhtwQAAANsAAAAPAAAAAAAAAAAAAAAA&#10;AKECAABkcnMvZG93bnJldi54bWxQSwUGAAAAAAQABAD5AAAAjwMAAAAA&#10;" strokecolor="#231f20" strokeweight=".5pt"/>
                <w10:anchorlock/>
              </v:group>
            </w:pict>
          </mc:Fallback>
        </mc:AlternateContent>
      </w:r>
    </w:p>
    <w:p w14:paraId="303158E8" w14:textId="77777777" w:rsidR="00DE575E" w:rsidRDefault="00DE575E">
      <w:pPr>
        <w:pStyle w:val="BodyText"/>
        <w:spacing w:before="7"/>
        <w:rPr>
          <w:rFonts w:ascii="AdonisC"/>
          <w:i/>
          <w:sz w:val="19"/>
        </w:rPr>
      </w:pPr>
    </w:p>
    <w:p w14:paraId="702C8E66" w14:textId="77777777" w:rsidR="00DE575E" w:rsidRDefault="002E7560">
      <w:pPr>
        <w:pStyle w:val="BodyText"/>
        <w:spacing w:before="1" w:line="252" w:lineRule="auto"/>
        <w:ind w:left="250" w:right="407" w:firstLine="283"/>
        <w:jc w:val="both"/>
      </w:pPr>
      <w:r>
        <w:rPr>
          <w:b/>
          <w:color w:val="231F20"/>
        </w:rPr>
        <w:t xml:space="preserve">Публічна служба </w:t>
      </w:r>
      <w:r>
        <w:rPr>
          <w:color w:val="231F20"/>
        </w:rPr>
        <w:t>(</w:t>
      </w:r>
      <w:r>
        <w:rPr>
          <w:i/>
          <w:color w:val="231F20"/>
        </w:rPr>
        <w:t>ознаки</w:t>
      </w:r>
      <w:r>
        <w:rPr>
          <w:color w:val="231F20"/>
        </w:rPr>
        <w:t>): 1) безпосередньо спрямована на створення умов матеріального виробництва (а не саме вироб- ництво цінностей); 2) здійснюється за допомогою специфічного засобу праці  –  інформації;  3) пов’язана,  переважно,  із  розумо- вою (а не фізичною) активністю; 4</w:t>
      </w:r>
      <w:r>
        <w:rPr>
          <w:color w:val="231F20"/>
        </w:rPr>
        <w:t>) є оплатною; 5) здійснюється особами, які займають певну посаду як штатну одиницю органу/ організації (а не володіють посадою, не розпоряджаються нею за власним</w:t>
      </w:r>
      <w:r>
        <w:rPr>
          <w:color w:val="231F20"/>
          <w:spacing w:val="3"/>
        </w:rPr>
        <w:t xml:space="preserve"> </w:t>
      </w:r>
      <w:r>
        <w:rPr>
          <w:color w:val="231F20"/>
        </w:rPr>
        <w:t>бажанням).</w:t>
      </w:r>
    </w:p>
    <w:p w14:paraId="785FE240" w14:textId="77777777" w:rsidR="00DE575E" w:rsidRDefault="002E7560">
      <w:pPr>
        <w:pStyle w:val="BodyText"/>
        <w:spacing w:before="4" w:line="252" w:lineRule="auto"/>
        <w:ind w:left="250" w:right="410" w:firstLine="283"/>
        <w:jc w:val="both"/>
      </w:pPr>
      <w:r>
        <w:rPr>
          <w:b/>
          <w:color w:val="231F20"/>
        </w:rPr>
        <w:t xml:space="preserve">Публічна служба </w:t>
      </w:r>
      <w:r>
        <w:rPr>
          <w:color w:val="231F20"/>
        </w:rPr>
        <w:t>(</w:t>
      </w:r>
      <w:r>
        <w:rPr>
          <w:i/>
          <w:color w:val="231F20"/>
        </w:rPr>
        <w:t>у вузькому розумінні</w:t>
      </w:r>
      <w:r>
        <w:rPr>
          <w:color w:val="231F20"/>
        </w:rPr>
        <w:t>) – діяльність на посадах в</w:t>
      </w:r>
      <w:r>
        <w:rPr>
          <w:color w:val="231F20"/>
          <w:spacing w:val="-20"/>
        </w:rPr>
        <w:t xml:space="preserve"> </w:t>
      </w:r>
      <w:r>
        <w:rPr>
          <w:color w:val="231F20"/>
        </w:rPr>
        <w:t>органах</w:t>
      </w:r>
      <w:r>
        <w:rPr>
          <w:color w:val="231F20"/>
          <w:spacing w:val="-20"/>
        </w:rPr>
        <w:t xml:space="preserve"> </w:t>
      </w:r>
      <w:r>
        <w:rPr>
          <w:color w:val="231F20"/>
        </w:rPr>
        <w:t>державної</w:t>
      </w:r>
      <w:r>
        <w:rPr>
          <w:color w:val="231F20"/>
          <w:spacing w:val="-20"/>
        </w:rPr>
        <w:t xml:space="preserve"> </w:t>
      </w:r>
      <w:r>
        <w:rPr>
          <w:color w:val="231F20"/>
        </w:rPr>
        <w:t>влади</w:t>
      </w:r>
      <w:r>
        <w:rPr>
          <w:color w:val="231F20"/>
          <w:spacing w:val="-20"/>
        </w:rPr>
        <w:t xml:space="preserve"> </w:t>
      </w:r>
      <w:r>
        <w:rPr>
          <w:color w:val="231F20"/>
        </w:rPr>
        <w:t>та</w:t>
      </w:r>
      <w:r>
        <w:rPr>
          <w:color w:val="231F20"/>
          <w:spacing w:val="-20"/>
        </w:rPr>
        <w:t xml:space="preserve"> </w:t>
      </w:r>
      <w:r>
        <w:rPr>
          <w:color w:val="231F20"/>
        </w:rPr>
        <w:t>місцевого</w:t>
      </w:r>
      <w:r>
        <w:rPr>
          <w:color w:val="231F20"/>
          <w:spacing w:val="-20"/>
        </w:rPr>
        <w:t xml:space="preserve"> </w:t>
      </w:r>
      <w:r>
        <w:rPr>
          <w:color w:val="231F20"/>
        </w:rPr>
        <w:t>самоврядування</w:t>
      </w:r>
      <w:r>
        <w:rPr>
          <w:color w:val="231F20"/>
          <w:spacing w:val="-20"/>
        </w:rPr>
        <w:t xml:space="preserve"> </w:t>
      </w:r>
      <w:r>
        <w:rPr>
          <w:color w:val="231F20"/>
        </w:rPr>
        <w:t>з</w:t>
      </w:r>
      <w:r>
        <w:rPr>
          <w:color w:val="231F20"/>
          <w:spacing w:val="-20"/>
        </w:rPr>
        <w:t xml:space="preserve"> </w:t>
      </w:r>
      <w:r>
        <w:rPr>
          <w:color w:val="231F20"/>
        </w:rPr>
        <w:t xml:space="preserve">виконання функцій і завдань суспільного значення щодо надання приватним особам адміністративних </w:t>
      </w:r>
      <w:r>
        <w:rPr>
          <w:color w:val="231F20"/>
          <w:spacing w:val="-3"/>
        </w:rPr>
        <w:t xml:space="preserve">послуг, </w:t>
      </w:r>
      <w:r>
        <w:rPr>
          <w:color w:val="231F20"/>
        </w:rPr>
        <w:t>що забезпечується застосуванням примусової сили</w:t>
      </w:r>
      <w:r>
        <w:rPr>
          <w:color w:val="231F20"/>
          <w:spacing w:val="-3"/>
        </w:rPr>
        <w:t xml:space="preserve"> </w:t>
      </w:r>
      <w:r>
        <w:rPr>
          <w:color w:val="231F20"/>
        </w:rPr>
        <w:t>держави.</w:t>
      </w:r>
    </w:p>
    <w:p w14:paraId="1177B38E" w14:textId="77777777" w:rsidR="00DE575E" w:rsidRDefault="002E7560">
      <w:pPr>
        <w:pStyle w:val="BodyText"/>
        <w:spacing w:before="2" w:line="252" w:lineRule="auto"/>
        <w:ind w:left="250" w:right="410" w:firstLine="283"/>
        <w:jc w:val="both"/>
      </w:pPr>
      <w:r>
        <w:rPr>
          <w:b/>
          <w:color w:val="231F20"/>
        </w:rPr>
        <w:t xml:space="preserve">Публічна служба </w:t>
      </w:r>
      <w:r>
        <w:rPr>
          <w:color w:val="231F20"/>
        </w:rPr>
        <w:t>(</w:t>
      </w:r>
      <w:r>
        <w:rPr>
          <w:i/>
          <w:color w:val="231F20"/>
        </w:rPr>
        <w:t>у широкому розумінні</w:t>
      </w:r>
      <w:r>
        <w:rPr>
          <w:color w:val="231F20"/>
        </w:rPr>
        <w:t>)– діяльність на держав- них політичних посадах, у державних колегіальних органах, профе- сійна діяльність суддів, прокурорів, військова служба, альтерна- тивна (невійськова) служба, інша державна служба, патронатна служба в державних органах, служба в орг</w:t>
      </w:r>
      <w:r>
        <w:rPr>
          <w:color w:val="231F20"/>
        </w:rPr>
        <w:t>анах влади Автономної Республіки Крим, органах місцевого самоврядування.</w:t>
      </w:r>
    </w:p>
    <w:p w14:paraId="382FFD44" w14:textId="77777777" w:rsidR="00DE575E" w:rsidRDefault="002E7560">
      <w:pPr>
        <w:pStyle w:val="BodyText"/>
        <w:spacing w:before="3" w:line="252" w:lineRule="auto"/>
        <w:ind w:left="250" w:right="411" w:firstLine="283"/>
        <w:jc w:val="both"/>
      </w:pPr>
      <w:r>
        <w:rPr>
          <w:b/>
          <w:color w:val="231F20"/>
        </w:rPr>
        <w:t xml:space="preserve">Публічне адміністрування </w:t>
      </w:r>
      <w:r>
        <w:rPr>
          <w:color w:val="231F20"/>
        </w:rPr>
        <w:t>(</w:t>
      </w:r>
      <w:r>
        <w:rPr>
          <w:i/>
          <w:color w:val="231F20"/>
        </w:rPr>
        <w:t>види</w:t>
      </w:r>
      <w:r>
        <w:rPr>
          <w:color w:val="231F20"/>
        </w:rPr>
        <w:t>): надання публічною адміні- страцією адміністративних послуг і здійснення виконавчо-розпо- рядчої (публічної управлінської) діяльності (за змістом); зов</w:t>
      </w:r>
      <w:r>
        <w:rPr>
          <w:color w:val="231F20"/>
        </w:rPr>
        <w:t>нішня та внутрішня організаційна адміністративна діяльність публічної адміністрації (за спрямуванням її владного впливу); втручальне, сприяльне та таке, що забезпечує адміністративні провадження (за юридичними наслідками для об’єктів адміністративного впли</w:t>
      </w:r>
      <w:r>
        <w:rPr>
          <w:color w:val="231F20"/>
        </w:rPr>
        <w:t>ву).</w:t>
      </w:r>
    </w:p>
    <w:p w14:paraId="2413F9C3" w14:textId="77777777" w:rsidR="00DE575E" w:rsidRDefault="002E7560">
      <w:pPr>
        <w:pStyle w:val="BodyText"/>
        <w:spacing w:before="4" w:line="252" w:lineRule="auto"/>
        <w:ind w:left="250" w:right="411" w:firstLine="283"/>
        <w:jc w:val="both"/>
      </w:pPr>
      <w:r>
        <w:rPr>
          <w:b/>
          <w:color w:val="231F20"/>
        </w:rPr>
        <w:t xml:space="preserve">Публічне адміністрування </w:t>
      </w:r>
      <w:r>
        <w:rPr>
          <w:color w:val="231F20"/>
        </w:rPr>
        <w:t>(</w:t>
      </w:r>
      <w:r>
        <w:rPr>
          <w:i/>
          <w:color w:val="231F20"/>
        </w:rPr>
        <w:t>ознаки</w:t>
      </w:r>
      <w:r>
        <w:rPr>
          <w:color w:val="231F20"/>
        </w:rPr>
        <w:t>): 1) є зовнішнім виразом реалізації завдань (функцій) виконавчої влади; 2) є адміністратив- ною діяльністю публічної адміністрації; 3) здійснюється виключно з метою задоволення публічного інтересу; 4) негативно відмежо</w:t>
      </w:r>
      <w:r>
        <w:rPr>
          <w:color w:val="231F20"/>
        </w:rPr>
        <w:t>- вується від: а) законодавчої діяльності; б) здійсненням правосуддя та кримінально-процесуальної діяльності; в) політичної діяльності; г) діяльності, спрямованої на задоволення приватних</w:t>
      </w:r>
      <w:r>
        <w:rPr>
          <w:color w:val="231F20"/>
          <w:spacing w:val="-16"/>
        </w:rPr>
        <w:t xml:space="preserve"> </w:t>
      </w:r>
      <w:r>
        <w:rPr>
          <w:color w:val="231F20"/>
        </w:rPr>
        <w:t>інтересів.</w:t>
      </w:r>
    </w:p>
    <w:p w14:paraId="2D61826F" w14:textId="77777777" w:rsidR="00DE575E" w:rsidRDefault="002E7560">
      <w:pPr>
        <w:pStyle w:val="BodyText"/>
        <w:spacing w:before="3" w:line="252" w:lineRule="auto"/>
        <w:ind w:left="250" w:right="411" w:firstLine="283"/>
        <w:jc w:val="both"/>
      </w:pPr>
      <w:r>
        <w:rPr>
          <w:b/>
          <w:color w:val="231F20"/>
        </w:rPr>
        <w:t xml:space="preserve">Публічне адміністрування </w:t>
      </w:r>
      <w:r>
        <w:rPr>
          <w:color w:val="231F20"/>
        </w:rPr>
        <w:t>(</w:t>
      </w:r>
      <w:r>
        <w:rPr>
          <w:i/>
          <w:color w:val="231F20"/>
        </w:rPr>
        <w:t>як форма реалізації публічної в</w:t>
      </w:r>
      <w:r>
        <w:rPr>
          <w:i/>
          <w:color w:val="231F20"/>
        </w:rPr>
        <w:t>лади</w:t>
      </w:r>
      <w:r>
        <w:rPr>
          <w:color w:val="231F20"/>
        </w:rPr>
        <w:t xml:space="preserve">) –  адміністративна  діяльність  публічної  адміністрації,  яка  є зовнішнім виразом реалізації завдань (функцій) виконавчої влади та здійснюється виключно з метою задоволення публічного інте- ресу й негативно відмежовується від законодавчої </w:t>
      </w:r>
      <w:r>
        <w:rPr>
          <w:color w:val="231F20"/>
          <w:spacing w:val="-3"/>
        </w:rPr>
        <w:t xml:space="preserve">судової </w:t>
      </w:r>
      <w:r>
        <w:rPr>
          <w:color w:val="231F20"/>
        </w:rPr>
        <w:t>т</w:t>
      </w:r>
      <w:r>
        <w:rPr>
          <w:color w:val="231F20"/>
        </w:rPr>
        <w:t>а полі- тичної</w:t>
      </w:r>
      <w:r>
        <w:rPr>
          <w:color w:val="231F20"/>
          <w:spacing w:val="-2"/>
        </w:rPr>
        <w:t xml:space="preserve"> </w:t>
      </w:r>
      <w:r>
        <w:rPr>
          <w:color w:val="231F20"/>
        </w:rPr>
        <w:t>діяльності.</w:t>
      </w:r>
    </w:p>
    <w:p w14:paraId="10D5B8F0" w14:textId="77777777" w:rsidR="00DE575E" w:rsidRDefault="00DE575E">
      <w:pPr>
        <w:pStyle w:val="BodyText"/>
        <w:spacing w:before="7"/>
        <w:rPr>
          <w:sz w:val="12"/>
        </w:rPr>
      </w:pPr>
    </w:p>
    <w:p w14:paraId="72249624" w14:textId="77777777" w:rsidR="00DE575E" w:rsidRDefault="002E7560">
      <w:pPr>
        <w:spacing w:before="92"/>
        <w:ind w:right="411"/>
        <w:jc w:val="right"/>
        <w:rPr>
          <w:rFonts w:ascii="Times New Roman"/>
          <w:sz w:val="20"/>
        </w:rPr>
      </w:pPr>
      <w:r>
        <w:rPr>
          <w:rFonts w:ascii="Times New Roman"/>
          <w:color w:val="231F20"/>
          <w:w w:val="90"/>
          <w:sz w:val="20"/>
        </w:rPr>
        <w:t>553</w:t>
      </w:r>
    </w:p>
    <w:p w14:paraId="00A0E3CF"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3750321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A9DCD63" w14:textId="0A51200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704832A" wp14:editId="04A0079F">
                <wp:extent cx="4140200" cy="6350"/>
                <wp:effectExtent l="0" t="0" r="12700" b="6350"/>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8" name="Line 5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D9C54" id="Group_x0020_5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kdr6B34CAACUBQAADgAA&#10;AAAAAAAAAAAAAAAsAgAAZHJzL2Uyb0RvYy54bWxQSwECLQAUAAYACAAAACEATKewkNkAAAADAQAA&#10;DwAAAAAAAAAAAAAAAADWBAAAZHJzL2Rvd25yZXYueG1sUEsFBgAAAAAEAAQA8wAAANwFAAAAAA==&#10;">
                <v:line id="Line_x0020_5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1sIAAADbAAAADwAAAGRycy9kb3ducmV2LnhtbERP3WrCMBS+H+wdwhl4M2aqMhmdUYYg&#10;iBf+tD7AsTlry5KT2kRbfXpzIezy4/ufLXprxJVaXztWMBomIIgLp2suFRzz1ccXCB+QNRrHpOBG&#10;Hhbz15cZptp1fKBrFkoRQ9inqKAKoUml9EVFFv3QNcSR+3WtxRBhW0rdYhfDrZHjJJlKizXHhgob&#10;WlZU/GUXqyA/vwez321Ml+9OE3k6byf3y1apwVv/8w0iUB/+xU/3Wiv4jGP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1sIAAADbAAAADwAAAAAAAAAAAAAA&#10;AAChAgAAZHJzL2Rvd25yZXYueG1sUEsFBgAAAAAEAAQA+QAAAJADAAAAAA==&#10;" strokecolor="#231f20" strokeweight=".5pt"/>
                <w10:anchorlock/>
              </v:group>
            </w:pict>
          </mc:Fallback>
        </mc:AlternateContent>
      </w:r>
    </w:p>
    <w:p w14:paraId="32DCFCAC" w14:textId="77777777" w:rsidR="00DE575E" w:rsidRDefault="00DE575E">
      <w:pPr>
        <w:pStyle w:val="BodyText"/>
        <w:spacing w:before="7"/>
        <w:rPr>
          <w:rFonts w:ascii="AdonisC"/>
          <w:i/>
          <w:sz w:val="11"/>
        </w:rPr>
      </w:pPr>
    </w:p>
    <w:p w14:paraId="62D624AE" w14:textId="77777777" w:rsidR="00DE575E" w:rsidRDefault="002E7560">
      <w:pPr>
        <w:pStyle w:val="BodyText"/>
        <w:spacing w:before="101" w:line="252" w:lineRule="auto"/>
        <w:ind w:left="533" w:right="127" w:firstLine="283"/>
        <w:jc w:val="both"/>
      </w:pPr>
      <w:r>
        <w:rPr>
          <w:b/>
          <w:color w:val="231F20"/>
        </w:rPr>
        <w:t xml:space="preserve">Публічний інтерес </w:t>
      </w:r>
      <w:r>
        <w:rPr>
          <w:color w:val="231F20"/>
        </w:rPr>
        <w:t>(</w:t>
      </w:r>
      <w:r>
        <w:rPr>
          <w:i/>
          <w:color w:val="231F20"/>
        </w:rPr>
        <w:t>за змістом</w:t>
      </w:r>
      <w:r>
        <w:rPr>
          <w:color w:val="231F20"/>
        </w:rPr>
        <w:t>) – важливі для значної кількості фізичних і юридичних осіб цінності (потреби), які відповідно до законодавчо встановленої компетенції забезпечуються суб’єктами публічної адміністрації.</w:t>
      </w:r>
    </w:p>
    <w:p w14:paraId="4C4A0B04" w14:textId="77777777" w:rsidR="00DE575E" w:rsidRDefault="002E7560">
      <w:pPr>
        <w:pStyle w:val="BodyText"/>
        <w:spacing w:before="2" w:line="252" w:lineRule="auto"/>
        <w:ind w:left="533" w:right="128" w:firstLine="283"/>
        <w:jc w:val="both"/>
      </w:pPr>
      <w:r>
        <w:rPr>
          <w:b/>
          <w:color w:val="231F20"/>
          <w:spacing w:val="-3"/>
        </w:rPr>
        <w:t>Публічний</w:t>
      </w:r>
      <w:r>
        <w:rPr>
          <w:b/>
          <w:color w:val="231F20"/>
          <w:spacing w:val="-16"/>
        </w:rPr>
        <w:t xml:space="preserve"> </w:t>
      </w:r>
      <w:r>
        <w:rPr>
          <w:b/>
          <w:color w:val="231F20"/>
          <w:spacing w:val="-4"/>
        </w:rPr>
        <w:t>інтерес</w:t>
      </w:r>
      <w:r>
        <w:rPr>
          <w:b/>
          <w:color w:val="231F20"/>
          <w:spacing w:val="-16"/>
        </w:rPr>
        <w:t xml:space="preserve"> </w:t>
      </w:r>
      <w:r>
        <w:rPr>
          <w:color w:val="231F20"/>
          <w:spacing w:val="-3"/>
        </w:rPr>
        <w:t>(</w:t>
      </w:r>
      <w:r>
        <w:rPr>
          <w:i/>
          <w:color w:val="231F20"/>
          <w:spacing w:val="-3"/>
        </w:rPr>
        <w:t>межі</w:t>
      </w:r>
      <w:r>
        <w:rPr>
          <w:color w:val="231F20"/>
          <w:spacing w:val="-3"/>
        </w:rPr>
        <w:t>)</w:t>
      </w:r>
      <w:r>
        <w:rPr>
          <w:color w:val="231F20"/>
          <w:spacing w:val="-16"/>
        </w:rPr>
        <w:t xml:space="preserve"> </w:t>
      </w:r>
      <w:r>
        <w:rPr>
          <w:color w:val="231F20"/>
        </w:rPr>
        <w:t>–</w:t>
      </w:r>
      <w:r>
        <w:rPr>
          <w:color w:val="231F20"/>
          <w:spacing w:val="-16"/>
        </w:rPr>
        <w:t xml:space="preserve"> </w:t>
      </w:r>
      <w:r>
        <w:rPr>
          <w:color w:val="231F20"/>
          <w:spacing w:val="-3"/>
        </w:rPr>
        <w:t>негативно</w:t>
      </w:r>
      <w:r>
        <w:rPr>
          <w:color w:val="231F20"/>
          <w:spacing w:val="-16"/>
        </w:rPr>
        <w:t xml:space="preserve"> </w:t>
      </w:r>
      <w:r>
        <w:rPr>
          <w:color w:val="231F20"/>
          <w:spacing w:val="-4"/>
        </w:rPr>
        <w:t>відмежовується</w:t>
      </w:r>
      <w:r>
        <w:rPr>
          <w:color w:val="231F20"/>
          <w:spacing w:val="-16"/>
        </w:rPr>
        <w:t xml:space="preserve"> </w:t>
      </w:r>
      <w:r>
        <w:rPr>
          <w:color w:val="231F20"/>
        </w:rPr>
        <w:t>від</w:t>
      </w:r>
      <w:r>
        <w:rPr>
          <w:color w:val="231F20"/>
          <w:spacing w:val="-16"/>
        </w:rPr>
        <w:t xml:space="preserve"> </w:t>
      </w:r>
      <w:r>
        <w:rPr>
          <w:color w:val="231F20"/>
          <w:spacing w:val="-3"/>
        </w:rPr>
        <w:t xml:space="preserve">приват- </w:t>
      </w:r>
      <w:r>
        <w:rPr>
          <w:color w:val="231F20"/>
        </w:rPr>
        <w:t xml:space="preserve">ного </w:t>
      </w:r>
      <w:r>
        <w:rPr>
          <w:color w:val="231F20"/>
          <w:spacing w:val="-3"/>
        </w:rPr>
        <w:t xml:space="preserve">інтересу; </w:t>
      </w:r>
      <w:r>
        <w:rPr>
          <w:color w:val="231F20"/>
        </w:rPr>
        <w:t xml:space="preserve">за </w:t>
      </w:r>
      <w:r>
        <w:rPr>
          <w:color w:val="231F20"/>
          <w:spacing w:val="-3"/>
        </w:rPr>
        <w:t xml:space="preserve">сутністю </w:t>
      </w:r>
      <w:r>
        <w:rPr>
          <w:color w:val="231F20"/>
        </w:rPr>
        <w:t xml:space="preserve">– </w:t>
      </w:r>
      <w:r>
        <w:rPr>
          <w:color w:val="231F20"/>
          <w:spacing w:val="-5"/>
        </w:rPr>
        <w:t xml:space="preserve">об’єктивні </w:t>
      </w:r>
      <w:r>
        <w:rPr>
          <w:color w:val="231F20"/>
          <w:spacing w:val="-3"/>
        </w:rPr>
        <w:t xml:space="preserve">різноманітні цінності всього суспільства; </w:t>
      </w:r>
      <w:r>
        <w:rPr>
          <w:color w:val="231F20"/>
        </w:rPr>
        <w:t xml:space="preserve">за </w:t>
      </w:r>
      <w:r>
        <w:rPr>
          <w:color w:val="231F20"/>
          <w:spacing w:val="-3"/>
        </w:rPr>
        <w:t xml:space="preserve">змістом </w:t>
      </w:r>
      <w:r>
        <w:rPr>
          <w:color w:val="231F20"/>
        </w:rPr>
        <w:t xml:space="preserve">– </w:t>
      </w:r>
      <w:r>
        <w:rPr>
          <w:color w:val="231F20"/>
          <w:spacing w:val="-5"/>
        </w:rPr>
        <w:t xml:space="preserve">суб’єктивно </w:t>
      </w:r>
      <w:r>
        <w:rPr>
          <w:color w:val="231F20"/>
          <w:spacing w:val="-3"/>
        </w:rPr>
        <w:t xml:space="preserve">визначені </w:t>
      </w:r>
      <w:r>
        <w:rPr>
          <w:color w:val="231F20"/>
          <w:spacing w:val="-5"/>
        </w:rPr>
        <w:t xml:space="preserve">суб’єктом </w:t>
      </w:r>
      <w:r>
        <w:rPr>
          <w:color w:val="231F20"/>
          <w:spacing w:val="-3"/>
        </w:rPr>
        <w:t xml:space="preserve">правотвор- </w:t>
      </w:r>
      <w:r>
        <w:rPr>
          <w:color w:val="231F20"/>
        </w:rPr>
        <w:t xml:space="preserve">чості в </w:t>
      </w:r>
      <w:r>
        <w:rPr>
          <w:color w:val="231F20"/>
          <w:spacing w:val="-3"/>
        </w:rPr>
        <w:t xml:space="preserve">нормах адміністративного права цінності (потреби), обов’язок охороняти </w:t>
      </w:r>
      <w:r>
        <w:rPr>
          <w:color w:val="231F20"/>
        </w:rPr>
        <w:t xml:space="preserve">які </w:t>
      </w:r>
      <w:r>
        <w:rPr>
          <w:color w:val="231F20"/>
          <w:spacing w:val="-3"/>
        </w:rPr>
        <w:t xml:space="preserve">покладено </w:t>
      </w:r>
      <w:r>
        <w:rPr>
          <w:color w:val="231F20"/>
        </w:rPr>
        <w:t xml:space="preserve">на </w:t>
      </w:r>
      <w:r>
        <w:rPr>
          <w:color w:val="231F20"/>
          <w:spacing w:val="-5"/>
        </w:rPr>
        <w:t xml:space="preserve">суб’єктів </w:t>
      </w:r>
      <w:r>
        <w:rPr>
          <w:color w:val="231F20"/>
          <w:spacing w:val="-3"/>
        </w:rPr>
        <w:t>публічної</w:t>
      </w:r>
      <w:r>
        <w:rPr>
          <w:color w:val="231F20"/>
          <w:spacing w:val="-18"/>
        </w:rPr>
        <w:t xml:space="preserve"> </w:t>
      </w:r>
      <w:r>
        <w:rPr>
          <w:color w:val="231F20"/>
          <w:spacing w:val="-3"/>
        </w:rPr>
        <w:t>адміністрації.</w:t>
      </w:r>
    </w:p>
    <w:p w14:paraId="4F957032" w14:textId="77777777" w:rsidR="00DE575E" w:rsidRDefault="002E7560">
      <w:pPr>
        <w:pStyle w:val="BodyText"/>
        <w:spacing w:before="2" w:line="252" w:lineRule="auto"/>
        <w:ind w:left="533" w:right="128" w:firstLine="283"/>
        <w:jc w:val="both"/>
      </w:pPr>
      <w:r>
        <w:rPr>
          <w:b/>
          <w:color w:val="231F20"/>
        </w:rPr>
        <w:t xml:space="preserve">Публічний контроль (сутність) </w:t>
      </w:r>
      <w:r>
        <w:rPr>
          <w:color w:val="231F20"/>
        </w:rPr>
        <w:t>полягає у спостереженні за функціонуванням відповідного підконтрольного об’єкта; в одер- жанні об’єктив</w:t>
      </w:r>
      <w:r>
        <w:rPr>
          <w:color w:val="231F20"/>
        </w:rPr>
        <w:t>ної та достовірної інформації; у вживанні заходів із запобігання й усунення порушень; у виявленні причин і умов, що сприяють правопорушенню; у вживанні заходів щодо залучення до відповідальності осіб, винних у порушенні.</w:t>
      </w:r>
    </w:p>
    <w:p w14:paraId="32FDFC8A" w14:textId="77777777" w:rsidR="00DE575E" w:rsidRDefault="002E7560">
      <w:pPr>
        <w:pStyle w:val="BodyText"/>
        <w:spacing w:before="3" w:line="252" w:lineRule="auto"/>
        <w:ind w:left="533" w:right="128" w:firstLine="283"/>
        <w:jc w:val="both"/>
      </w:pPr>
      <w:r>
        <w:rPr>
          <w:b/>
          <w:color w:val="231F20"/>
        </w:rPr>
        <w:t xml:space="preserve">Публічні послуги </w:t>
      </w:r>
      <w:r>
        <w:rPr>
          <w:color w:val="231F20"/>
        </w:rPr>
        <w:t>– послуги, які над</w:t>
      </w:r>
      <w:r>
        <w:rPr>
          <w:color w:val="231F20"/>
        </w:rPr>
        <w:t>аються органами державної та місцевої влади або іншими суб’єктами (підприємствами, устано- вами, організаціями) за рахунок публічних коштів і під відповідаль- ність публічної влади.</w:t>
      </w:r>
    </w:p>
    <w:p w14:paraId="54CE13D2" w14:textId="77777777" w:rsidR="00DE575E" w:rsidRDefault="002E7560">
      <w:pPr>
        <w:pStyle w:val="BodyText"/>
        <w:spacing w:before="2" w:line="252" w:lineRule="auto"/>
        <w:ind w:left="533" w:right="126" w:firstLine="283"/>
        <w:jc w:val="both"/>
      </w:pPr>
      <w:r>
        <w:rPr>
          <w:b/>
          <w:color w:val="231F20"/>
        </w:rPr>
        <w:t>Реальний</w:t>
      </w:r>
      <w:r>
        <w:rPr>
          <w:b/>
          <w:color w:val="231F20"/>
          <w:spacing w:val="-14"/>
        </w:rPr>
        <w:t xml:space="preserve"> </w:t>
      </w:r>
      <w:r>
        <w:rPr>
          <w:b/>
          <w:color w:val="231F20"/>
        </w:rPr>
        <w:t>конфлікт</w:t>
      </w:r>
      <w:r>
        <w:rPr>
          <w:b/>
          <w:color w:val="231F20"/>
          <w:spacing w:val="-14"/>
        </w:rPr>
        <w:t xml:space="preserve"> </w:t>
      </w:r>
      <w:r>
        <w:rPr>
          <w:color w:val="231F20"/>
        </w:rPr>
        <w:t>інтересів</w:t>
      </w:r>
      <w:r>
        <w:rPr>
          <w:color w:val="231F20"/>
          <w:spacing w:val="-14"/>
        </w:rPr>
        <w:t xml:space="preserve"> </w:t>
      </w:r>
      <w:r>
        <w:rPr>
          <w:color w:val="231F20"/>
        </w:rPr>
        <w:t>має</w:t>
      </w:r>
      <w:r>
        <w:rPr>
          <w:color w:val="231F20"/>
          <w:spacing w:val="-14"/>
        </w:rPr>
        <w:t xml:space="preserve"> </w:t>
      </w:r>
      <w:r>
        <w:rPr>
          <w:color w:val="231F20"/>
        </w:rPr>
        <w:t>місце,</w:t>
      </w:r>
      <w:r>
        <w:rPr>
          <w:color w:val="231F20"/>
          <w:spacing w:val="-14"/>
        </w:rPr>
        <w:t xml:space="preserve"> </w:t>
      </w:r>
      <w:r>
        <w:rPr>
          <w:color w:val="231F20"/>
        </w:rPr>
        <w:t>якщо:</w:t>
      </w:r>
      <w:r>
        <w:rPr>
          <w:color w:val="231F20"/>
          <w:spacing w:val="-14"/>
        </w:rPr>
        <w:t xml:space="preserve"> </w:t>
      </w:r>
      <w:r>
        <w:rPr>
          <w:color w:val="231F20"/>
        </w:rPr>
        <w:t>існує</w:t>
      </w:r>
      <w:r>
        <w:rPr>
          <w:color w:val="231F20"/>
          <w:spacing w:val="-14"/>
        </w:rPr>
        <w:t xml:space="preserve"> </w:t>
      </w:r>
      <w:r>
        <w:rPr>
          <w:color w:val="231F20"/>
        </w:rPr>
        <w:t>суперечність між</w:t>
      </w:r>
      <w:r>
        <w:rPr>
          <w:color w:val="231F20"/>
          <w:spacing w:val="-18"/>
        </w:rPr>
        <w:t xml:space="preserve"> </w:t>
      </w:r>
      <w:r>
        <w:rPr>
          <w:color w:val="231F20"/>
        </w:rPr>
        <w:t>приват</w:t>
      </w:r>
      <w:r>
        <w:rPr>
          <w:color w:val="231F20"/>
        </w:rPr>
        <w:t>ним</w:t>
      </w:r>
      <w:r>
        <w:rPr>
          <w:color w:val="231F20"/>
          <w:spacing w:val="-18"/>
        </w:rPr>
        <w:t xml:space="preserve"> </w:t>
      </w:r>
      <w:r>
        <w:rPr>
          <w:color w:val="231F20"/>
        </w:rPr>
        <w:t>інтересом</w:t>
      </w:r>
      <w:r>
        <w:rPr>
          <w:color w:val="231F20"/>
          <w:spacing w:val="-18"/>
        </w:rPr>
        <w:t xml:space="preserve"> </w:t>
      </w:r>
      <w:r>
        <w:rPr>
          <w:color w:val="231F20"/>
        </w:rPr>
        <w:t>публічного</w:t>
      </w:r>
      <w:r>
        <w:rPr>
          <w:color w:val="231F20"/>
          <w:spacing w:val="-18"/>
        </w:rPr>
        <w:t xml:space="preserve"> </w:t>
      </w:r>
      <w:r>
        <w:rPr>
          <w:color w:val="231F20"/>
        </w:rPr>
        <w:t>службовця</w:t>
      </w:r>
      <w:r>
        <w:rPr>
          <w:color w:val="231F20"/>
          <w:spacing w:val="-18"/>
        </w:rPr>
        <w:t xml:space="preserve"> </w:t>
      </w:r>
      <w:r>
        <w:rPr>
          <w:color w:val="231F20"/>
        </w:rPr>
        <w:t>та</w:t>
      </w:r>
      <w:r>
        <w:rPr>
          <w:color w:val="231F20"/>
          <w:spacing w:val="-18"/>
        </w:rPr>
        <w:t xml:space="preserve"> </w:t>
      </w:r>
      <w:r>
        <w:rPr>
          <w:color w:val="231F20"/>
        </w:rPr>
        <w:t>його</w:t>
      </w:r>
      <w:r>
        <w:rPr>
          <w:color w:val="231F20"/>
          <w:spacing w:val="-18"/>
        </w:rPr>
        <w:t xml:space="preserve"> </w:t>
      </w:r>
      <w:r>
        <w:rPr>
          <w:color w:val="231F20"/>
        </w:rPr>
        <w:t xml:space="preserve">службовими чи представницькими повноваженнями; це впливає на </w:t>
      </w:r>
      <w:r>
        <w:rPr>
          <w:color w:val="231F20"/>
          <w:spacing w:val="-3"/>
        </w:rPr>
        <w:t xml:space="preserve">об’єктив- </w:t>
      </w:r>
      <w:r>
        <w:rPr>
          <w:color w:val="231F20"/>
        </w:rPr>
        <w:t>ність або неупередженість ухвалення ним рішень або на вчинення чи невчинення ним дій під час виконання своїх повноважень. Пере- хід від потенц</w:t>
      </w:r>
      <w:r>
        <w:rPr>
          <w:color w:val="231F20"/>
        </w:rPr>
        <w:t>ійного конфлікту інтересів до реального відбувається тоді, коли наявний у сфері службової діяльності приватний інтерес суперечить службовим чи представницьким повноваженням і це реально впливає (а не просто «може вплинути») на належне здійс- нення публічни</w:t>
      </w:r>
      <w:r>
        <w:rPr>
          <w:color w:val="231F20"/>
        </w:rPr>
        <w:t>х владних</w:t>
      </w:r>
      <w:r>
        <w:rPr>
          <w:color w:val="231F20"/>
          <w:spacing w:val="-2"/>
        </w:rPr>
        <w:t xml:space="preserve"> </w:t>
      </w:r>
      <w:r>
        <w:rPr>
          <w:color w:val="231F20"/>
        </w:rPr>
        <w:t>функцій.</w:t>
      </w:r>
    </w:p>
    <w:p w14:paraId="00DB4964" w14:textId="77777777" w:rsidR="00DE575E" w:rsidRDefault="002E7560">
      <w:pPr>
        <w:pStyle w:val="BodyText"/>
        <w:spacing w:before="5" w:line="252" w:lineRule="auto"/>
        <w:ind w:left="533" w:right="127" w:firstLine="283"/>
        <w:jc w:val="both"/>
      </w:pPr>
      <w:r>
        <w:rPr>
          <w:b/>
          <w:color w:val="231F20"/>
          <w:spacing w:val="-3"/>
        </w:rPr>
        <w:t>Регламенти</w:t>
      </w:r>
      <w:r>
        <w:rPr>
          <w:b/>
          <w:color w:val="231F20"/>
          <w:spacing w:val="-7"/>
        </w:rPr>
        <w:t xml:space="preserve"> </w:t>
      </w:r>
      <w:r>
        <w:rPr>
          <w:b/>
          <w:color w:val="231F20"/>
          <w:spacing w:val="-3"/>
        </w:rPr>
        <w:t>ЄС</w:t>
      </w:r>
      <w:r>
        <w:rPr>
          <w:b/>
          <w:color w:val="231F20"/>
          <w:spacing w:val="-8"/>
        </w:rPr>
        <w:t xml:space="preserve"> </w:t>
      </w:r>
      <w:r>
        <w:rPr>
          <w:color w:val="231F20"/>
        </w:rPr>
        <w:t>–</w:t>
      </w:r>
      <w:r>
        <w:rPr>
          <w:color w:val="231F20"/>
          <w:spacing w:val="-7"/>
        </w:rPr>
        <w:t xml:space="preserve"> </w:t>
      </w:r>
      <w:r>
        <w:rPr>
          <w:color w:val="231F20"/>
        </w:rPr>
        <w:t>нормативно-правові</w:t>
      </w:r>
      <w:r>
        <w:rPr>
          <w:color w:val="231F20"/>
          <w:spacing w:val="-8"/>
        </w:rPr>
        <w:t xml:space="preserve"> </w:t>
      </w:r>
      <w:r>
        <w:rPr>
          <w:color w:val="231F20"/>
        </w:rPr>
        <w:t>акти</w:t>
      </w:r>
      <w:r>
        <w:rPr>
          <w:color w:val="231F20"/>
          <w:spacing w:val="-7"/>
        </w:rPr>
        <w:t xml:space="preserve"> </w:t>
      </w:r>
      <w:r>
        <w:rPr>
          <w:color w:val="231F20"/>
        </w:rPr>
        <w:t>загального</w:t>
      </w:r>
      <w:r>
        <w:rPr>
          <w:color w:val="231F20"/>
          <w:spacing w:val="-7"/>
        </w:rPr>
        <w:t xml:space="preserve"> </w:t>
      </w:r>
      <w:r>
        <w:rPr>
          <w:color w:val="231F20"/>
          <w:spacing w:val="-3"/>
        </w:rPr>
        <w:t xml:space="preserve">характеру, </w:t>
      </w:r>
      <w:r>
        <w:rPr>
          <w:color w:val="231F20"/>
        </w:rPr>
        <w:t>які</w:t>
      </w:r>
      <w:r>
        <w:rPr>
          <w:color w:val="231F20"/>
          <w:spacing w:val="-6"/>
        </w:rPr>
        <w:t xml:space="preserve"> </w:t>
      </w:r>
      <w:r>
        <w:rPr>
          <w:color w:val="231F20"/>
        </w:rPr>
        <w:t>є</w:t>
      </w:r>
      <w:r>
        <w:rPr>
          <w:color w:val="231F20"/>
          <w:spacing w:val="-6"/>
        </w:rPr>
        <w:t xml:space="preserve"> </w:t>
      </w:r>
      <w:r>
        <w:rPr>
          <w:color w:val="231F20"/>
        </w:rPr>
        <w:t>обов’язковими</w:t>
      </w:r>
      <w:r>
        <w:rPr>
          <w:color w:val="231F20"/>
          <w:spacing w:val="-6"/>
        </w:rPr>
        <w:t xml:space="preserve"> </w:t>
      </w:r>
      <w:r>
        <w:rPr>
          <w:color w:val="231F20"/>
        </w:rPr>
        <w:t>у</w:t>
      </w:r>
      <w:r>
        <w:rPr>
          <w:color w:val="231F20"/>
          <w:spacing w:val="-7"/>
        </w:rPr>
        <w:t xml:space="preserve"> </w:t>
      </w:r>
      <w:r>
        <w:rPr>
          <w:color w:val="231F20"/>
        </w:rPr>
        <w:t>всіх</w:t>
      </w:r>
      <w:r>
        <w:rPr>
          <w:color w:val="231F20"/>
          <w:spacing w:val="-6"/>
        </w:rPr>
        <w:t xml:space="preserve"> </w:t>
      </w:r>
      <w:r>
        <w:rPr>
          <w:color w:val="231F20"/>
        </w:rPr>
        <w:t>своїх</w:t>
      </w:r>
      <w:r>
        <w:rPr>
          <w:color w:val="231F20"/>
          <w:spacing w:val="-6"/>
        </w:rPr>
        <w:t xml:space="preserve"> </w:t>
      </w:r>
      <w:r>
        <w:rPr>
          <w:color w:val="231F20"/>
        </w:rPr>
        <w:t>елементах</w:t>
      </w:r>
      <w:r>
        <w:rPr>
          <w:color w:val="231F20"/>
          <w:spacing w:val="-6"/>
        </w:rPr>
        <w:t xml:space="preserve"> </w:t>
      </w:r>
      <w:r>
        <w:rPr>
          <w:color w:val="231F20"/>
        </w:rPr>
        <w:t>для</w:t>
      </w:r>
      <w:r>
        <w:rPr>
          <w:color w:val="231F20"/>
          <w:spacing w:val="-6"/>
        </w:rPr>
        <w:t xml:space="preserve"> </w:t>
      </w:r>
      <w:r>
        <w:rPr>
          <w:color w:val="231F20"/>
        </w:rPr>
        <w:t>всіх</w:t>
      </w:r>
      <w:r>
        <w:rPr>
          <w:color w:val="231F20"/>
          <w:spacing w:val="-6"/>
        </w:rPr>
        <w:t xml:space="preserve"> </w:t>
      </w:r>
      <w:r>
        <w:rPr>
          <w:color w:val="231F20"/>
          <w:spacing w:val="-3"/>
        </w:rPr>
        <w:t>суб’єктів</w:t>
      </w:r>
      <w:r>
        <w:rPr>
          <w:color w:val="231F20"/>
          <w:spacing w:val="-6"/>
        </w:rPr>
        <w:t xml:space="preserve"> </w:t>
      </w:r>
      <w:r>
        <w:rPr>
          <w:color w:val="231F20"/>
        </w:rPr>
        <w:t>права</w:t>
      </w:r>
      <w:r>
        <w:rPr>
          <w:color w:val="231F20"/>
          <w:spacing w:val="-6"/>
        </w:rPr>
        <w:t xml:space="preserve"> </w:t>
      </w:r>
      <w:r>
        <w:rPr>
          <w:color w:val="231F20"/>
        </w:rPr>
        <w:t>ЄС і</w:t>
      </w:r>
      <w:r>
        <w:rPr>
          <w:color w:val="231F20"/>
          <w:spacing w:val="-4"/>
        </w:rPr>
        <w:t xml:space="preserve"> </w:t>
      </w:r>
      <w:r>
        <w:rPr>
          <w:color w:val="231F20"/>
        </w:rPr>
        <w:t>є</w:t>
      </w:r>
      <w:r>
        <w:rPr>
          <w:color w:val="231F20"/>
          <w:spacing w:val="-4"/>
        </w:rPr>
        <w:t xml:space="preserve"> </w:t>
      </w:r>
      <w:r>
        <w:rPr>
          <w:color w:val="231F20"/>
        </w:rPr>
        <w:t>актами</w:t>
      </w:r>
      <w:r>
        <w:rPr>
          <w:color w:val="231F20"/>
          <w:spacing w:val="-4"/>
        </w:rPr>
        <w:t xml:space="preserve"> </w:t>
      </w:r>
      <w:r>
        <w:rPr>
          <w:color w:val="231F20"/>
        </w:rPr>
        <w:t>прямої</w:t>
      </w:r>
      <w:r>
        <w:rPr>
          <w:color w:val="231F20"/>
          <w:spacing w:val="-4"/>
        </w:rPr>
        <w:t xml:space="preserve"> </w:t>
      </w:r>
      <w:r>
        <w:rPr>
          <w:color w:val="231F20"/>
        </w:rPr>
        <w:t>дії</w:t>
      </w:r>
      <w:r>
        <w:rPr>
          <w:color w:val="231F20"/>
          <w:spacing w:val="-4"/>
        </w:rPr>
        <w:t xml:space="preserve"> </w:t>
      </w:r>
      <w:r>
        <w:rPr>
          <w:color w:val="231F20"/>
        </w:rPr>
        <w:t>для</w:t>
      </w:r>
      <w:r>
        <w:rPr>
          <w:color w:val="231F20"/>
          <w:spacing w:val="-4"/>
        </w:rPr>
        <w:t xml:space="preserve"> </w:t>
      </w:r>
      <w:r>
        <w:rPr>
          <w:color w:val="231F20"/>
        </w:rPr>
        <w:t>країн-учасниць</w:t>
      </w:r>
      <w:r>
        <w:rPr>
          <w:color w:val="231F20"/>
          <w:spacing w:val="-4"/>
        </w:rPr>
        <w:t xml:space="preserve"> </w:t>
      </w:r>
      <w:r>
        <w:rPr>
          <w:color w:val="231F20"/>
        </w:rPr>
        <w:t>ЄС,</w:t>
      </w:r>
      <w:r>
        <w:rPr>
          <w:color w:val="231F20"/>
          <w:spacing w:val="-4"/>
        </w:rPr>
        <w:t xml:space="preserve"> </w:t>
      </w:r>
      <w:r>
        <w:rPr>
          <w:color w:val="231F20"/>
        </w:rPr>
        <w:t>тобто</w:t>
      </w:r>
      <w:r>
        <w:rPr>
          <w:color w:val="231F20"/>
          <w:spacing w:val="-4"/>
        </w:rPr>
        <w:t xml:space="preserve"> </w:t>
      </w:r>
      <w:r>
        <w:rPr>
          <w:color w:val="231F20"/>
        </w:rPr>
        <w:t>підлягають</w:t>
      </w:r>
      <w:r>
        <w:rPr>
          <w:color w:val="231F20"/>
          <w:spacing w:val="-4"/>
        </w:rPr>
        <w:t xml:space="preserve"> </w:t>
      </w:r>
      <w:r>
        <w:rPr>
          <w:color w:val="231F20"/>
        </w:rPr>
        <w:t xml:space="preserve">засто- суванню владою та </w:t>
      </w:r>
      <w:r>
        <w:rPr>
          <w:color w:val="231F20"/>
          <w:spacing w:val="-3"/>
        </w:rPr>
        <w:t xml:space="preserve">судовими </w:t>
      </w:r>
      <w:r>
        <w:rPr>
          <w:color w:val="231F20"/>
        </w:rPr>
        <w:t>органами всіх держав-членів неза- лежно від того, чи виступала певна держава за їх</w:t>
      </w:r>
      <w:r>
        <w:rPr>
          <w:color w:val="231F20"/>
          <w:spacing w:val="-7"/>
        </w:rPr>
        <w:t xml:space="preserve"> </w:t>
      </w:r>
      <w:r>
        <w:rPr>
          <w:color w:val="231F20"/>
        </w:rPr>
        <w:t>ухвалення.</w:t>
      </w:r>
    </w:p>
    <w:p w14:paraId="779B3C98" w14:textId="77777777" w:rsidR="00DE575E" w:rsidRDefault="002E7560">
      <w:pPr>
        <w:pStyle w:val="BodyText"/>
        <w:spacing w:before="2" w:line="252" w:lineRule="auto"/>
        <w:ind w:left="533" w:right="128" w:firstLine="283"/>
        <w:jc w:val="both"/>
      </w:pPr>
      <w:r>
        <w:rPr>
          <w:b/>
          <w:color w:val="231F20"/>
        </w:rPr>
        <w:t xml:space="preserve">Реєстр адміністративних послуг </w:t>
      </w:r>
      <w:r>
        <w:rPr>
          <w:color w:val="231F20"/>
        </w:rPr>
        <w:t>– єдина інформаційна комп’ютерна</w:t>
      </w:r>
      <w:r>
        <w:rPr>
          <w:color w:val="231F20"/>
          <w:spacing w:val="-9"/>
        </w:rPr>
        <w:t xml:space="preserve"> </w:t>
      </w:r>
      <w:r>
        <w:rPr>
          <w:color w:val="231F20"/>
        </w:rPr>
        <w:t>база</w:t>
      </w:r>
      <w:r>
        <w:rPr>
          <w:color w:val="231F20"/>
          <w:spacing w:val="-9"/>
        </w:rPr>
        <w:t xml:space="preserve"> </w:t>
      </w:r>
      <w:r>
        <w:rPr>
          <w:color w:val="231F20"/>
        </w:rPr>
        <w:t>даних</w:t>
      </w:r>
      <w:r>
        <w:rPr>
          <w:color w:val="231F20"/>
          <w:spacing w:val="-9"/>
        </w:rPr>
        <w:t xml:space="preserve"> </w:t>
      </w:r>
      <w:r>
        <w:rPr>
          <w:color w:val="231F20"/>
        </w:rPr>
        <w:t>про</w:t>
      </w:r>
      <w:r>
        <w:rPr>
          <w:color w:val="231F20"/>
          <w:spacing w:val="-9"/>
        </w:rPr>
        <w:t xml:space="preserve"> </w:t>
      </w:r>
      <w:r>
        <w:rPr>
          <w:color w:val="231F20"/>
        </w:rPr>
        <w:t>адміністративні</w:t>
      </w:r>
      <w:r>
        <w:rPr>
          <w:color w:val="231F20"/>
          <w:spacing w:val="-9"/>
        </w:rPr>
        <w:t xml:space="preserve"> </w:t>
      </w:r>
      <w:r>
        <w:rPr>
          <w:color w:val="231F20"/>
        </w:rPr>
        <w:t>послуги,</w:t>
      </w:r>
      <w:r>
        <w:rPr>
          <w:color w:val="231F20"/>
          <w:spacing w:val="-9"/>
        </w:rPr>
        <w:t xml:space="preserve"> </w:t>
      </w:r>
      <w:r>
        <w:rPr>
          <w:color w:val="231F20"/>
        </w:rPr>
        <w:t>що</w:t>
      </w:r>
      <w:r>
        <w:rPr>
          <w:color w:val="231F20"/>
          <w:spacing w:val="-9"/>
        </w:rPr>
        <w:t xml:space="preserve"> </w:t>
      </w:r>
      <w:r>
        <w:rPr>
          <w:color w:val="231F20"/>
        </w:rPr>
        <w:t xml:space="preserve">надаються відповідно до закону </w:t>
      </w:r>
      <w:r>
        <w:rPr>
          <w:color w:val="231F20"/>
          <w:spacing w:val="-3"/>
        </w:rPr>
        <w:t xml:space="preserve">суб’єктами </w:t>
      </w:r>
      <w:r>
        <w:rPr>
          <w:color w:val="231F20"/>
        </w:rPr>
        <w:t>надання адмін</w:t>
      </w:r>
      <w:r>
        <w:rPr>
          <w:color w:val="231F20"/>
        </w:rPr>
        <w:t xml:space="preserve">істративних </w:t>
      </w:r>
      <w:r>
        <w:rPr>
          <w:color w:val="231F20"/>
          <w:spacing w:val="-3"/>
        </w:rPr>
        <w:t xml:space="preserve">послуг. </w:t>
      </w:r>
      <w:r>
        <w:rPr>
          <w:color w:val="231F20"/>
        </w:rPr>
        <w:t>Він формується  і  ведеться  Міністерством  економічного  розвитку і торгівлі</w:t>
      </w:r>
      <w:r>
        <w:rPr>
          <w:color w:val="231F20"/>
          <w:spacing w:val="-1"/>
        </w:rPr>
        <w:t xml:space="preserve"> </w:t>
      </w:r>
      <w:r>
        <w:rPr>
          <w:color w:val="231F20"/>
          <w:spacing w:val="-3"/>
        </w:rPr>
        <w:t>України.</w:t>
      </w:r>
    </w:p>
    <w:p w14:paraId="19708710" w14:textId="77777777" w:rsidR="00DE575E" w:rsidRDefault="00DE575E">
      <w:pPr>
        <w:pStyle w:val="BodyText"/>
        <w:spacing w:before="7"/>
        <w:rPr>
          <w:sz w:val="12"/>
        </w:rPr>
      </w:pPr>
    </w:p>
    <w:p w14:paraId="0CFA28CA" w14:textId="77777777" w:rsidR="00DE575E" w:rsidRDefault="002E7560">
      <w:pPr>
        <w:spacing w:before="92"/>
        <w:ind w:left="533"/>
        <w:rPr>
          <w:rFonts w:ascii="Times New Roman"/>
          <w:sz w:val="20"/>
        </w:rPr>
      </w:pPr>
      <w:r>
        <w:rPr>
          <w:rFonts w:ascii="Times New Roman"/>
          <w:color w:val="231F20"/>
          <w:sz w:val="20"/>
        </w:rPr>
        <w:t>554</w:t>
      </w:r>
    </w:p>
    <w:p w14:paraId="73FB74CB" w14:textId="77777777" w:rsidR="00DE575E" w:rsidRDefault="00DE575E">
      <w:pPr>
        <w:rPr>
          <w:rFonts w:ascii="Times New Roman"/>
          <w:sz w:val="20"/>
        </w:rPr>
        <w:sectPr w:rsidR="00DE575E">
          <w:pgSz w:w="8510" w:h="12760"/>
          <w:pgMar w:top="660" w:right="720" w:bottom="280" w:left="600" w:header="720" w:footer="720" w:gutter="0"/>
          <w:cols w:space="720"/>
        </w:sectPr>
      </w:pPr>
    </w:p>
    <w:p w14:paraId="10BC7E6B"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2A4A8D4A" w14:textId="07C6E68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8836DC4" wp14:editId="31B1A9AC">
                <wp:extent cx="4140200" cy="6350"/>
                <wp:effectExtent l="0" t="0" r="12700" b="6350"/>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6" name="Line 5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535EB4" id="Group_x0020_5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XgbegfQIAAJQFAAAOAAAA&#10;AAAAAAAAAAAAACwCAABkcnMvZTJvRG9jLnhtbFBLAQItABQABgAIAAAAIQBMp7CQ2QAAAAMBAAAP&#10;AAAAAAAAAAAAAAAAANUEAABkcnMvZG93bnJldi54bWxQSwUGAAAAAAQABADzAAAA2wUAAAAA&#10;">
                <v:line id="Line_x0020_5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bPP8UAAADbAAAADwAAAGRycy9kb3ducmV2LnhtbESP0WrCQBRE3wX/YbkFX6RuqigluooU&#10;CsUHtaYfcM1ek9DduzG7mtiv7wqCj8PMnGEWq84acaXGV44VvI0SEMS50xUXCn6yz9d3ED4gazSO&#10;ScGNPKyW/d4CU+1a/qbrIRQiQtinqKAMoU6l9HlJFv3I1cTRO7nGYoiyKaRusI1wa+Q4SWbSYsVx&#10;ocSaPkrKfw8XqyA7D4PZ7zamzXbHiTyet5O/y1apwUu3noMI1IVn+NH+0gqmM7h/iT9AL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ubPP8UAAADbAAAADwAAAAAAAAAA&#10;AAAAAAChAgAAZHJzL2Rvd25yZXYueG1sUEsFBgAAAAAEAAQA+QAAAJMDAAAAAA==&#10;" strokecolor="#231f20" strokeweight=".5pt"/>
                <w10:anchorlock/>
              </v:group>
            </w:pict>
          </mc:Fallback>
        </mc:AlternateContent>
      </w:r>
    </w:p>
    <w:p w14:paraId="091B0F20" w14:textId="77777777" w:rsidR="00DE575E" w:rsidRDefault="00DE575E">
      <w:pPr>
        <w:pStyle w:val="BodyText"/>
        <w:spacing w:before="7"/>
        <w:rPr>
          <w:rFonts w:ascii="AdonisC"/>
          <w:i/>
          <w:sz w:val="19"/>
        </w:rPr>
      </w:pPr>
    </w:p>
    <w:p w14:paraId="6E1FFDC9" w14:textId="77777777" w:rsidR="00DE575E" w:rsidRDefault="002E7560">
      <w:pPr>
        <w:pStyle w:val="BodyText"/>
        <w:spacing w:before="1" w:line="252" w:lineRule="auto"/>
        <w:ind w:left="250" w:right="411" w:firstLine="283"/>
        <w:jc w:val="both"/>
      </w:pPr>
      <w:r>
        <w:rPr>
          <w:b/>
          <w:color w:val="231F20"/>
        </w:rPr>
        <w:t xml:space="preserve">Реєстр адміністративних послуг </w:t>
      </w:r>
      <w:r>
        <w:rPr>
          <w:color w:val="231F20"/>
        </w:rPr>
        <w:t>– єдина інформаційна комп’ютерна</w:t>
      </w:r>
      <w:r>
        <w:rPr>
          <w:color w:val="231F20"/>
          <w:spacing w:val="-9"/>
        </w:rPr>
        <w:t xml:space="preserve"> </w:t>
      </w:r>
      <w:r>
        <w:rPr>
          <w:color w:val="231F20"/>
        </w:rPr>
        <w:t>база</w:t>
      </w:r>
      <w:r>
        <w:rPr>
          <w:color w:val="231F20"/>
          <w:spacing w:val="-9"/>
        </w:rPr>
        <w:t xml:space="preserve"> </w:t>
      </w:r>
      <w:r>
        <w:rPr>
          <w:color w:val="231F20"/>
        </w:rPr>
        <w:t>даних</w:t>
      </w:r>
      <w:r>
        <w:rPr>
          <w:color w:val="231F20"/>
          <w:spacing w:val="-9"/>
        </w:rPr>
        <w:t xml:space="preserve"> </w:t>
      </w:r>
      <w:r>
        <w:rPr>
          <w:color w:val="231F20"/>
        </w:rPr>
        <w:t>про</w:t>
      </w:r>
      <w:r>
        <w:rPr>
          <w:color w:val="231F20"/>
          <w:spacing w:val="-9"/>
        </w:rPr>
        <w:t xml:space="preserve"> </w:t>
      </w:r>
      <w:r>
        <w:rPr>
          <w:color w:val="231F20"/>
        </w:rPr>
        <w:t>адміністративні</w:t>
      </w:r>
      <w:r>
        <w:rPr>
          <w:color w:val="231F20"/>
          <w:spacing w:val="-9"/>
        </w:rPr>
        <w:t xml:space="preserve"> </w:t>
      </w:r>
      <w:r>
        <w:rPr>
          <w:color w:val="231F20"/>
        </w:rPr>
        <w:t>послуги,</w:t>
      </w:r>
      <w:r>
        <w:rPr>
          <w:color w:val="231F20"/>
          <w:spacing w:val="-9"/>
        </w:rPr>
        <w:t xml:space="preserve"> </w:t>
      </w:r>
      <w:r>
        <w:rPr>
          <w:color w:val="231F20"/>
        </w:rPr>
        <w:t>що</w:t>
      </w:r>
      <w:r>
        <w:rPr>
          <w:color w:val="231F20"/>
          <w:spacing w:val="-9"/>
        </w:rPr>
        <w:t xml:space="preserve"> </w:t>
      </w:r>
      <w:r>
        <w:rPr>
          <w:color w:val="231F20"/>
        </w:rPr>
        <w:t xml:space="preserve">надаються відповідно до закону </w:t>
      </w:r>
      <w:r>
        <w:rPr>
          <w:color w:val="231F20"/>
          <w:spacing w:val="-3"/>
        </w:rPr>
        <w:t xml:space="preserve">суб’єктами </w:t>
      </w:r>
      <w:r>
        <w:rPr>
          <w:color w:val="231F20"/>
        </w:rPr>
        <w:t>надання адміністративних</w:t>
      </w:r>
      <w:r>
        <w:rPr>
          <w:color w:val="231F20"/>
          <w:spacing w:val="-7"/>
        </w:rPr>
        <w:t xml:space="preserve"> </w:t>
      </w:r>
      <w:r>
        <w:rPr>
          <w:color w:val="231F20"/>
          <w:spacing w:val="-3"/>
        </w:rPr>
        <w:t>послуг.</w:t>
      </w:r>
    </w:p>
    <w:p w14:paraId="5C580CF1" w14:textId="77777777" w:rsidR="00DE575E" w:rsidRDefault="002E7560">
      <w:pPr>
        <w:pStyle w:val="BodyText"/>
        <w:spacing w:before="1" w:line="252" w:lineRule="auto"/>
        <w:ind w:left="250" w:right="411" w:firstLine="283"/>
        <w:jc w:val="both"/>
      </w:pPr>
      <w:r>
        <w:rPr>
          <w:b/>
          <w:color w:val="231F20"/>
        </w:rPr>
        <w:t xml:space="preserve">Реєстраційні процедури </w:t>
      </w:r>
      <w:r>
        <w:rPr>
          <w:color w:val="231F20"/>
        </w:rPr>
        <w:t xml:space="preserve">– установлений чинним законодавст- вом порядок діяльності </w:t>
      </w:r>
      <w:r>
        <w:rPr>
          <w:color w:val="231F20"/>
          <w:spacing w:val="-3"/>
        </w:rPr>
        <w:t xml:space="preserve">суб’єктів </w:t>
      </w:r>
      <w:r>
        <w:rPr>
          <w:color w:val="231F20"/>
        </w:rPr>
        <w:t xml:space="preserve">публічного адміністрування, у </w:t>
      </w:r>
      <w:r>
        <w:rPr>
          <w:color w:val="231F20"/>
          <w:spacing w:val="-4"/>
        </w:rPr>
        <w:t xml:space="preserve">ході </w:t>
      </w:r>
      <w:r>
        <w:rPr>
          <w:color w:val="231F20"/>
        </w:rPr>
        <w:t>якої</w:t>
      </w:r>
      <w:r>
        <w:rPr>
          <w:color w:val="231F20"/>
          <w:spacing w:val="-11"/>
        </w:rPr>
        <w:t xml:space="preserve"> </w:t>
      </w:r>
      <w:r>
        <w:rPr>
          <w:color w:val="231F20"/>
        </w:rPr>
        <w:t>здійснюється</w:t>
      </w:r>
      <w:r>
        <w:rPr>
          <w:color w:val="231F20"/>
          <w:spacing w:val="-11"/>
        </w:rPr>
        <w:t xml:space="preserve"> </w:t>
      </w:r>
      <w:r>
        <w:rPr>
          <w:color w:val="231F20"/>
        </w:rPr>
        <w:t>документальне</w:t>
      </w:r>
      <w:r>
        <w:rPr>
          <w:color w:val="231F20"/>
          <w:spacing w:val="-11"/>
        </w:rPr>
        <w:t xml:space="preserve"> </w:t>
      </w:r>
      <w:r>
        <w:rPr>
          <w:color w:val="231F20"/>
        </w:rPr>
        <w:t>підтвердження</w:t>
      </w:r>
      <w:r>
        <w:rPr>
          <w:color w:val="231F20"/>
          <w:spacing w:val="-11"/>
        </w:rPr>
        <w:t xml:space="preserve"> </w:t>
      </w:r>
      <w:r>
        <w:rPr>
          <w:color w:val="231F20"/>
        </w:rPr>
        <w:t>правового</w:t>
      </w:r>
      <w:r>
        <w:rPr>
          <w:color w:val="231F20"/>
          <w:spacing w:val="-11"/>
        </w:rPr>
        <w:t xml:space="preserve"> </w:t>
      </w:r>
      <w:r>
        <w:rPr>
          <w:color w:val="231F20"/>
        </w:rPr>
        <w:t xml:space="preserve">статусу </w:t>
      </w:r>
      <w:r>
        <w:rPr>
          <w:color w:val="231F20"/>
          <w:spacing w:val="-3"/>
        </w:rPr>
        <w:t xml:space="preserve">суб’єкта </w:t>
      </w:r>
      <w:r>
        <w:rPr>
          <w:color w:val="231F20"/>
        </w:rPr>
        <w:t>або наділення новими правовими ознаками</w:t>
      </w:r>
      <w:r>
        <w:rPr>
          <w:color w:val="231F20"/>
          <w:spacing w:val="-1"/>
        </w:rPr>
        <w:t xml:space="preserve"> </w:t>
      </w:r>
      <w:r>
        <w:rPr>
          <w:color w:val="231F20"/>
          <w:spacing w:val="-4"/>
        </w:rPr>
        <w:t>об’єкта.</w:t>
      </w:r>
    </w:p>
    <w:p w14:paraId="38F55C62" w14:textId="77777777" w:rsidR="00DE575E" w:rsidRDefault="002E7560">
      <w:pPr>
        <w:spacing w:before="2" w:line="252" w:lineRule="auto"/>
        <w:ind w:left="250" w:right="411" w:firstLine="283"/>
        <w:jc w:val="both"/>
        <w:rPr>
          <w:sz w:val="21"/>
        </w:rPr>
      </w:pPr>
      <w:r>
        <w:rPr>
          <w:b/>
          <w:color w:val="231F20"/>
          <w:sz w:val="21"/>
        </w:rPr>
        <w:t xml:space="preserve">Рішення Ради або ЄК (Європейської Комісії) </w:t>
      </w:r>
      <w:r>
        <w:rPr>
          <w:color w:val="231F20"/>
          <w:sz w:val="21"/>
        </w:rPr>
        <w:t>– акти індивіду- ального, а не загального характеру.</w:t>
      </w:r>
    </w:p>
    <w:p w14:paraId="37E5E57B" w14:textId="77777777" w:rsidR="00DE575E" w:rsidRDefault="002E7560">
      <w:pPr>
        <w:pStyle w:val="BodyText"/>
        <w:spacing w:before="1" w:line="252" w:lineRule="auto"/>
        <w:ind w:left="250" w:right="411" w:firstLine="283"/>
        <w:jc w:val="both"/>
      </w:pPr>
      <w:r>
        <w:rPr>
          <w:b/>
          <w:color w:val="231F20"/>
        </w:rPr>
        <w:t xml:space="preserve">Розумний строк </w:t>
      </w:r>
      <w:r>
        <w:rPr>
          <w:color w:val="231F20"/>
        </w:rPr>
        <w:t xml:space="preserve">– найкоротший строк </w:t>
      </w:r>
      <w:r>
        <w:rPr>
          <w:color w:val="231F20"/>
          <w:spacing w:val="-3"/>
        </w:rPr>
        <w:t xml:space="preserve">розгляду </w:t>
      </w:r>
      <w:r>
        <w:rPr>
          <w:color w:val="231F20"/>
        </w:rPr>
        <w:t>і вирішення адміністративної справи, достатній для надання своєчасного (без невиправданих</w:t>
      </w:r>
      <w:r>
        <w:rPr>
          <w:color w:val="231F20"/>
          <w:spacing w:val="-10"/>
        </w:rPr>
        <w:t xml:space="preserve"> </w:t>
      </w:r>
      <w:r>
        <w:rPr>
          <w:color w:val="231F20"/>
        </w:rPr>
        <w:t>зволікань)</w:t>
      </w:r>
      <w:r>
        <w:rPr>
          <w:color w:val="231F20"/>
          <w:spacing w:val="-8"/>
        </w:rPr>
        <w:t xml:space="preserve"> </w:t>
      </w:r>
      <w:r>
        <w:rPr>
          <w:color w:val="231F20"/>
          <w:spacing w:val="-3"/>
        </w:rPr>
        <w:t>судового</w:t>
      </w:r>
      <w:r>
        <w:rPr>
          <w:color w:val="231F20"/>
          <w:spacing w:val="-10"/>
        </w:rPr>
        <w:t xml:space="preserve"> </w:t>
      </w:r>
      <w:r>
        <w:rPr>
          <w:color w:val="231F20"/>
        </w:rPr>
        <w:t>захист</w:t>
      </w:r>
      <w:r>
        <w:rPr>
          <w:color w:val="231F20"/>
        </w:rPr>
        <w:t>у</w:t>
      </w:r>
      <w:r>
        <w:rPr>
          <w:color w:val="231F20"/>
          <w:spacing w:val="-10"/>
        </w:rPr>
        <w:t xml:space="preserve"> </w:t>
      </w:r>
      <w:r>
        <w:rPr>
          <w:color w:val="231F20"/>
        </w:rPr>
        <w:t>порушених</w:t>
      </w:r>
      <w:r>
        <w:rPr>
          <w:color w:val="231F20"/>
          <w:spacing w:val="-10"/>
        </w:rPr>
        <w:t xml:space="preserve"> </w:t>
      </w:r>
      <w:r>
        <w:rPr>
          <w:color w:val="231F20"/>
        </w:rPr>
        <w:t>прав,</w:t>
      </w:r>
      <w:r>
        <w:rPr>
          <w:color w:val="231F20"/>
          <w:spacing w:val="-10"/>
        </w:rPr>
        <w:t xml:space="preserve"> </w:t>
      </w:r>
      <w:r>
        <w:rPr>
          <w:color w:val="231F20"/>
        </w:rPr>
        <w:t>свобод та інтересів у публічних правових</w:t>
      </w:r>
      <w:r>
        <w:rPr>
          <w:color w:val="231F20"/>
          <w:spacing w:val="-4"/>
        </w:rPr>
        <w:t xml:space="preserve"> </w:t>
      </w:r>
      <w:r>
        <w:rPr>
          <w:color w:val="231F20"/>
        </w:rPr>
        <w:t>відносинах.</w:t>
      </w:r>
    </w:p>
    <w:p w14:paraId="09A17D46" w14:textId="77777777" w:rsidR="00DE575E" w:rsidRDefault="002E7560">
      <w:pPr>
        <w:pStyle w:val="BodyText"/>
        <w:spacing w:before="2" w:line="252" w:lineRule="auto"/>
        <w:ind w:left="250" w:right="410" w:firstLine="283"/>
        <w:jc w:val="both"/>
      </w:pPr>
      <w:r>
        <w:rPr>
          <w:b/>
          <w:color w:val="231F20"/>
        </w:rPr>
        <w:t xml:space="preserve">Свідок </w:t>
      </w:r>
      <w:r>
        <w:rPr>
          <w:color w:val="231F20"/>
        </w:rPr>
        <w:t xml:space="preserve">– </w:t>
      </w:r>
      <w:r>
        <w:rPr>
          <w:color w:val="231F20"/>
          <w:spacing w:val="-3"/>
        </w:rPr>
        <w:t xml:space="preserve">будь-яка </w:t>
      </w:r>
      <w:r>
        <w:rPr>
          <w:color w:val="231F20"/>
        </w:rPr>
        <w:t>особа, яка може дати пояснення про все відоме їй у справі та відповісти на поставлені запитання. Законодавець не встановлює вікових обмежень для свідків. Припускається</w:t>
      </w:r>
      <w:r>
        <w:rPr>
          <w:color w:val="231F20"/>
        </w:rPr>
        <w:t xml:space="preserve"> опиту- вання неповнолітніх і навіть малолітніх з урахуванням ступеня </w:t>
      </w:r>
      <w:r>
        <w:rPr>
          <w:color w:val="231F20"/>
          <w:spacing w:val="-3"/>
        </w:rPr>
        <w:t xml:space="preserve">розвитку, </w:t>
      </w:r>
      <w:r>
        <w:rPr>
          <w:color w:val="231F20"/>
        </w:rPr>
        <w:t>умов сприйняття й стану органів їхніх почуттів, якщо посадові особи, які здійснюють провадження в справі про адміні- стративне</w:t>
      </w:r>
      <w:r>
        <w:rPr>
          <w:color w:val="231F20"/>
          <w:spacing w:val="-14"/>
        </w:rPr>
        <w:t xml:space="preserve"> </w:t>
      </w:r>
      <w:r>
        <w:rPr>
          <w:color w:val="231F20"/>
        </w:rPr>
        <w:t>правопорушення,</w:t>
      </w:r>
      <w:r>
        <w:rPr>
          <w:color w:val="231F20"/>
          <w:spacing w:val="-14"/>
        </w:rPr>
        <w:t xml:space="preserve"> </w:t>
      </w:r>
      <w:r>
        <w:rPr>
          <w:color w:val="231F20"/>
        </w:rPr>
        <w:t>вважають,</w:t>
      </w:r>
      <w:r>
        <w:rPr>
          <w:color w:val="231F20"/>
          <w:spacing w:val="-14"/>
        </w:rPr>
        <w:t xml:space="preserve"> </w:t>
      </w:r>
      <w:r>
        <w:rPr>
          <w:color w:val="231F20"/>
        </w:rPr>
        <w:t>що</w:t>
      </w:r>
      <w:r>
        <w:rPr>
          <w:color w:val="231F20"/>
          <w:spacing w:val="-14"/>
        </w:rPr>
        <w:t xml:space="preserve"> </w:t>
      </w:r>
      <w:r>
        <w:rPr>
          <w:color w:val="231F20"/>
        </w:rPr>
        <w:t>поряд</w:t>
      </w:r>
      <w:r>
        <w:rPr>
          <w:color w:val="231F20"/>
          <w:spacing w:val="-14"/>
        </w:rPr>
        <w:t xml:space="preserve"> </w:t>
      </w:r>
      <w:r>
        <w:rPr>
          <w:color w:val="231F20"/>
        </w:rPr>
        <w:t>з</w:t>
      </w:r>
      <w:r>
        <w:rPr>
          <w:color w:val="231F20"/>
          <w:spacing w:val="-14"/>
        </w:rPr>
        <w:t xml:space="preserve"> </w:t>
      </w:r>
      <w:r>
        <w:rPr>
          <w:color w:val="231F20"/>
        </w:rPr>
        <w:t>іншими</w:t>
      </w:r>
      <w:r>
        <w:rPr>
          <w:color w:val="231F20"/>
          <w:spacing w:val="-14"/>
        </w:rPr>
        <w:t xml:space="preserve"> </w:t>
      </w:r>
      <w:r>
        <w:rPr>
          <w:color w:val="231F20"/>
        </w:rPr>
        <w:t>доказ</w:t>
      </w:r>
      <w:r>
        <w:rPr>
          <w:color w:val="231F20"/>
        </w:rPr>
        <w:t xml:space="preserve">ами пояснення зазначених осіб є достовірними. Правовий статус свідків визначено в </w:t>
      </w:r>
      <w:r>
        <w:rPr>
          <w:color w:val="231F20"/>
          <w:spacing w:val="-6"/>
        </w:rPr>
        <w:t xml:space="preserve">ст. </w:t>
      </w:r>
      <w:r>
        <w:rPr>
          <w:color w:val="231F20"/>
        </w:rPr>
        <w:t xml:space="preserve">272 </w:t>
      </w:r>
      <w:r>
        <w:rPr>
          <w:color w:val="231F20"/>
          <w:spacing w:val="-3"/>
        </w:rPr>
        <w:t xml:space="preserve">КУпАП, </w:t>
      </w:r>
      <w:r>
        <w:rPr>
          <w:color w:val="231F20"/>
        </w:rPr>
        <w:t xml:space="preserve">відповідно до якої як свідка в справі про адміністративне правопорушення можуть викликати кожну </w:t>
      </w:r>
      <w:r>
        <w:rPr>
          <w:color w:val="231F20"/>
          <w:spacing w:val="-3"/>
        </w:rPr>
        <w:t xml:space="preserve">особу, </w:t>
      </w:r>
      <w:r>
        <w:rPr>
          <w:color w:val="231F20"/>
        </w:rPr>
        <w:t>про яку є дані, що їй відомі які-небудь обставини, котрі підлягають установленню в межах цієї</w:t>
      </w:r>
      <w:r>
        <w:rPr>
          <w:color w:val="231F20"/>
          <w:spacing w:val="-3"/>
        </w:rPr>
        <w:t xml:space="preserve"> </w:t>
      </w:r>
      <w:r>
        <w:rPr>
          <w:color w:val="231F20"/>
        </w:rPr>
        <w:t>справи.</w:t>
      </w:r>
    </w:p>
    <w:p w14:paraId="134F94E3" w14:textId="77777777" w:rsidR="00DE575E" w:rsidRDefault="002E7560">
      <w:pPr>
        <w:pStyle w:val="BodyText"/>
        <w:spacing w:before="6" w:line="252" w:lineRule="auto"/>
        <w:ind w:left="250" w:right="411" w:firstLine="283"/>
        <w:jc w:val="both"/>
      </w:pPr>
      <w:r>
        <w:rPr>
          <w:b/>
          <w:color w:val="231F20"/>
        </w:rPr>
        <w:t xml:space="preserve">Система адміністративного права </w:t>
      </w:r>
      <w:r>
        <w:rPr>
          <w:color w:val="231F20"/>
        </w:rPr>
        <w:t xml:space="preserve">– внутрішня єдність галузі адміністративного права </w:t>
      </w:r>
      <w:r>
        <w:rPr>
          <w:color w:val="231F20"/>
          <w:spacing w:val="-3"/>
        </w:rPr>
        <w:t xml:space="preserve">України, </w:t>
      </w:r>
      <w:r>
        <w:rPr>
          <w:color w:val="231F20"/>
        </w:rPr>
        <w:t>що відбиває послідовне розмі- щення і взаємозв’язок її структу</w:t>
      </w:r>
      <w:r>
        <w:rPr>
          <w:color w:val="231F20"/>
        </w:rPr>
        <w:t>рних елементів (частин) – адмініст- ративно-правових інститутів і підгалузей адміністративного права, які</w:t>
      </w:r>
      <w:r>
        <w:rPr>
          <w:color w:val="231F20"/>
          <w:spacing w:val="-7"/>
        </w:rPr>
        <w:t xml:space="preserve"> </w:t>
      </w:r>
      <w:r>
        <w:rPr>
          <w:color w:val="231F20"/>
        </w:rPr>
        <w:t>складаються</w:t>
      </w:r>
      <w:r>
        <w:rPr>
          <w:color w:val="231F20"/>
          <w:spacing w:val="-7"/>
        </w:rPr>
        <w:t xml:space="preserve"> </w:t>
      </w:r>
      <w:r>
        <w:rPr>
          <w:color w:val="231F20"/>
        </w:rPr>
        <w:t>з</w:t>
      </w:r>
      <w:r>
        <w:rPr>
          <w:color w:val="231F20"/>
          <w:spacing w:val="-7"/>
        </w:rPr>
        <w:t xml:space="preserve"> </w:t>
      </w:r>
      <w:r>
        <w:rPr>
          <w:color w:val="231F20"/>
        </w:rPr>
        <w:t>певних</w:t>
      </w:r>
      <w:r>
        <w:rPr>
          <w:color w:val="231F20"/>
          <w:spacing w:val="-7"/>
        </w:rPr>
        <w:t xml:space="preserve"> </w:t>
      </w:r>
      <w:r>
        <w:rPr>
          <w:color w:val="231F20"/>
        </w:rPr>
        <w:t>сукупностей</w:t>
      </w:r>
      <w:r>
        <w:rPr>
          <w:color w:val="231F20"/>
          <w:spacing w:val="-7"/>
        </w:rPr>
        <w:t xml:space="preserve"> </w:t>
      </w:r>
      <w:r>
        <w:rPr>
          <w:color w:val="231F20"/>
        </w:rPr>
        <w:t>однорідних</w:t>
      </w:r>
      <w:r>
        <w:rPr>
          <w:color w:val="231F20"/>
          <w:spacing w:val="-7"/>
        </w:rPr>
        <w:t xml:space="preserve"> </w:t>
      </w:r>
      <w:r>
        <w:rPr>
          <w:color w:val="231F20"/>
        </w:rPr>
        <w:t>адміністративно- правових</w:t>
      </w:r>
      <w:r>
        <w:rPr>
          <w:color w:val="231F20"/>
          <w:spacing w:val="-2"/>
        </w:rPr>
        <w:t xml:space="preserve"> </w:t>
      </w:r>
      <w:r>
        <w:rPr>
          <w:color w:val="231F20"/>
        </w:rPr>
        <w:t>норм.</w:t>
      </w:r>
    </w:p>
    <w:p w14:paraId="6F0F939E" w14:textId="77777777" w:rsidR="00DE575E" w:rsidRDefault="002E7560">
      <w:pPr>
        <w:pStyle w:val="BodyText"/>
        <w:spacing w:before="3" w:line="252" w:lineRule="auto"/>
        <w:ind w:left="250" w:right="409" w:firstLine="283"/>
        <w:jc w:val="both"/>
      </w:pPr>
      <w:r>
        <w:rPr>
          <w:b/>
          <w:color w:val="231F20"/>
        </w:rPr>
        <w:t xml:space="preserve">Скарга </w:t>
      </w:r>
      <w:r>
        <w:rPr>
          <w:color w:val="231F20"/>
        </w:rPr>
        <w:t>– звернення з вимогою про поновлення прав і захист законних інтерес</w:t>
      </w:r>
      <w:r>
        <w:rPr>
          <w:color w:val="231F20"/>
        </w:rPr>
        <w:t>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 Забороняється направляти скарги громадян для розгляду тим органам або посадо</w:t>
      </w:r>
      <w:r>
        <w:rPr>
          <w:color w:val="231F20"/>
        </w:rPr>
        <w:t>вим особам, дії чи рішення яких оскаржуються.</w:t>
      </w:r>
    </w:p>
    <w:p w14:paraId="439EF55B" w14:textId="77777777" w:rsidR="00DE575E" w:rsidRDefault="002E7560">
      <w:pPr>
        <w:spacing w:before="3" w:line="252" w:lineRule="auto"/>
        <w:ind w:left="250" w:right="411" w:firstLine="283"/>
        <w:jc w:val="both"/>
        <w:rPr>
          <w:sz w:val="21"/>
        </w:rPr>
      </w:pPr>
      <w:r>
        <w:rPr>
          <w:b/>
          <w:color w:val="231F20"/>
          <w:sz w:val="21"/>
        </w:rPr>
        <w:t>Склад  адміністративного  правопорушення,  зафіксованого в автоматичному режимі</w:t>
      </w:r>
      <w:r>
        <w:rPr>
          <w:color w:val="231F20"/>
          <w:sz w:val="21"/>
        </w:rPr>
        <w:t>, є єдиним, формальним і спрощеним,</w:t>
      </w:r>
      <w:r>
        <w:rPr>
          <w:color w:val="231F20"/>
          <w:spacing w:val="18"/>
          <w:sz w:val="21"/>
        </w:rPr>
        <w:t xml:space="preserve"> </w:t>
      </w:r>
      <w:r>
        <w:rPr>
          <w:color w:val="231F20"/>
          <w:sz w:val="21"/>
        </w:rPr>
        <w:t>під</w:t>
      </w:r>
    </w:p>
    <w:p w14:paraId="44377FB2" w14:textId="77777777" w:rsidR="00DE575E" w:rsidRDefault="00DE575E">
      <w:pPr>
        <w:pStyle w:val="BodyText"/>
        <w:spacing w:before="5"/>
        <w:rPr>
          <w:sz w:val="12"/>
        </w:rPr>
      </w:pPr>
    </w:p>
    <w:p w14:paraId="202AAF20" w14:textId="77777777" w:rsidR="00DE575E" w:rsidRDefault="002E7560">
      <w:pPr>
        <w:spacing w:before="92"/>
        <w:ind w:right="411"/>
        <w:jc w:val="right"/>
        <w:rPr>
          <w:rFonts w:ascii="Times New Roman"/>
          <w:sz w:val="20"/>
        </w:rPr>
      </w:pPr>
      <w:r>
        <w:rPr>
          <w:rFonts w:ascii="Times New Roman"/>
          <w:color w:val="231F20"/>
          <w:w w:val="90"/>
          <w:sz w:val="20"/>
        </w:rPr>
        <w:t>555</w:t>
      </w:r>
    </w:p>
    <w:p w14:paraId="208D21D7"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6157E5F5"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41DD255" w14:textId="79F5CAE2"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B8CB33E" wp14:editId="4880381F">
                <wp:extent cx="4140200" cy="6350"/>
                <wp:effectExtent l="0" t="0" r="12700" b="6350"/>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4" name="Line 5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563231" id="Group_x0020_5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L0Vs5N8AgAAlAUAAA4AAAAA&#10;AAAAAAAAAAAALAIAAGRycy9lMm9Eb2MueG1sUEsBAi0AFAAGAAgAAAAhAEynsJDZAAAAAwEAAA8A&#10;AAAAAAAAAAAAAAAA1AQAAGRycy9kb3ducmV2LnhtbFBLBQYAAAAABAAEAPMAAADaBQAAAAA=&#10;">
                <v:line id="Line_x0020_5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j008YAAADbAAAADwAAAGRycy9kb3ducmV2LnhtbESP3WrCQBSE7wu+w3KE3hTdVKtIdBUp&#10;CKUX/sUHOGaPSXD3bMyuJu3TdwuFXg4z8w2zWHXWiAc1vnKs4HWYgCDOna64UHDKNoMZCB+QNRrH&#10;pOCLPKyWvacFptq1fKDHMRQiQtinqKAMoU6l9HlJFv3Q1cTRu7jGYoiyKaRusI1wa+QoSabSYsVx&#10;ocSa3kvKr8e7VZDdXoLZ7z5Nm+3OY3m+bcff961Sz/1uPQcRqAv/4b/2h1YweYPfL/EH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149NPGAAAA2wAAAA8AAAAAAAAA&#10;AAAAAAAAoQIAAGRycy9kb3ducmV2LnhtbFBLBQYAAAAABAAEAPkAAACUAwAAAAA=&#10;" strokecolor="#231f20" strokeweight=".5pt"/>
                <w10:anchorlock/>
              </v:group>
            </w:pict>
          </mc:Fallback>
        </mc:AlternateContent>
      </w:r>
    </w:p>
    <w:p w14:paraId="071AB0B1" w14:textId="77777777" w:rsidR="00DE575E" w:rsidRDefault="00DE575E">
      <w:pPr>
        <w:pStyle w:val="BodyText"/>
        <w:spacing w:before="7"/>
        <w:rPr>
          <w:rFonts w:ascii="AdonisC"/>
          <w:i/>
          <w:sz w:val="11"/>
        </w:rPr>
      </w:pPr>
    </w:p>
    <w:p w14:paraId="25F9376A" w14:textId="77777777" w:rsidR="00DE575E" w:rsidRDefault="002E7560">
      <w:pPr>
        <w:pStyle w:val="BodyText"/>
        <w:spacing w:before="101" w:line="252" w:lineRule="auto"/>
        <w:ind w:left="533" w:right="127"/>
        <w:jc w:val="both"/>
      </w:pPr>
      <w:r>
        <w:rPr>
          <w:color w:val="231F20"/>
        </w:rPr>
        <w:t xml:space="preserve">час притягнення власника транспортного засобу до адміністратив- ної відповідальності за проступок, зафіксований в автоматичному режимі, суб’єкт публічної адміністрації (уповноважений підрозділу Національної поліції) не </w:t>
      </w:r>
      <w:r>
        <w:rPr>
          <w:color w:val="231F20"/>
        </w:rPr>
        <w:t>розкладає його на об’єктивні й суб’єктивні складові, а формально-догматично: 1) фіксує порушення правил дорожнього руху транспортним засобом в автоматичному режимі;</w:t>
      </w:r>
    </w:p>
    <w:p w14:paraId="64CFB16D" w14:textId="77777777" w:rsidR="00DE575E" w:rsidRDefault="002E7560">
      <w:pPr>
        <w:pStyle w:val="BodyText"/>
        <w:spacing w:before="3" w:line="252" w:lineRule="auto"/>
        <w:ind w:left="533" w:right="127"/>
        <w:jc w:val="both"/>
      </w:pPr>
      <w:r>
        <w:rPr>
          <w:color w:val="231F20"/>
        </w:rPr>
        <w:t>2)</w:t>
      </w:r>
      <w:r>
        <w:rPr>
          <w:color w:val="231F20"/>
          <w:spacing w:val="-9"/>
        </w:rPr>
        <w:t xml:space="preserve"> </w:t>
      </w:r>
      <w:r>
        <w:rPr>
          <w:color w:val="231F20"/>
        </w:rPr>
        <w:t>установлює</w:t>
      </w:r>
      <w:r>
        <w:rPr>
          <w:color w:val="231F20"/>
          <w:spacing w:val="-7"/>
        </w:rPr>
        <w:t xml:space="preserve"> </w:t>
      </w:r>
      <w:r>
        <w:rPr>
          <w:color w:val="231F20"/>
          <w:spacing w:val="-3"/>
        </w:rPr>
        <w:t>особу,</w:t>
      </w:r>
      <w:r>
        <w:rPr>
          <w:color w:val="231F20"/>
          <w:spacing w:val="-7"/>
        </w:rPr>
        <w:t xml:space="preserve"> </w:t>
      </w:r>
      <w:r>
        <w:rPr>
          <w:color w:val="231F20"/>
        </w:rPr>
        <w:t>за</w:t>
      </w:r>
      <w:r>
        <w:rPr>
          <w:color w:val="231F20"/>
          <w:spacing w:val="-7"/>
        </w:rPr>
        <w:t xml:space="preserve"> </w:t>
      </w:r>
      <w:r>
        <w:rPr>
          <w:color w:val="231F20"/>
        </w:rPr>
        <w:t>якою</w:t>
      </w:r>
      <w:r>
        <w:rPr>
          <w:color w:val="231F20"/>
          <w:spacing w:val="-7"/>
        </w:rPr>
        <w:t xml:space="preserve"> </w:t>
      </w:r>
      <w:r>
        <w:rPr>
          <w:color w:val="231F20"/>
        </w:rPr>
        <w:t>зареєстровано</w:t>
      </w:r>
      <w:r>
        <w:rPr>
          <w:color w:val="231F20"/>
          <w:spacing w:val="-7"/>
        </w:rPr>
        <w:t xml:space="preserve"> </w:t>
      </w:r>
      <w:r>
        <w:rPr>
          <w:color w:val="231F20"/>
        </w:rPr>
        <w:t>відповідний</w:t>
      </w:r>
      <w:r>
        <w:rPr>
          <w:color w:val="231F20"/>
          <w:spacing w:val="-7"/>
        </w:rPr>
        <w:t xml:space="preserve"> </w:t>
      </w:r>
      <w:r>
        <w:rPr>
          <w:color w:val="231F20"/>
        </w:rPr>
        <w:t>транспорт- ний засіб; 3) виносить по</w:t>
      </w:r>
      <w:r>
        <w:rPr>
          <w:color w:val="231F20"/>
        </w:rPr>
        <w:t>станову про накладення адміністратив- ного стягнення за правопорушення у сфері безпеки дорожнього руху; 4) надсилає постанову фізичній або юридичній особі, за якою зареєстровано транспортний</w:t>
      </w:r>
      <w:r>
        <w:rPr>
          <w:color w:val="231F20"/>
          <w:spacing w:val="-3"/>
        </w:rPr>
        <w:t xml:space="preserve"> </w:t>
      </w:r>
      <w:r>
        <w:rPr>
          <w:color w:val="231F20"/>
        </w:rPr>
        <w:t>засіб.</w:t>
      </w:r>
    </w:p>
    <w:p w14:paraId="0ED68D39" w14:textId="77777777" w:rsidR="00DE575E" w:rsidRDefault="002E7560">
      <w:pPr>
        <w:pStyle w:val="BodyText"/>
        <w:spacing w:before="2" w:line="252" w:lineRule="auto"/>
        <w:ind w:left="533" w:right="126" w:firstLine="283"/>
        <w:jc w:val="both"/>
      </w:pPr>
      <w:r>
        <w:rPr>
          <w:b/>
          <w:color w:val="231F20"/>
        </w:rPr>
        <w:t xml:space="preserve">Служба в органах місцевого самоврядування </w:t>
      </w:r>
      <w:r>
        <w:rPr>
          <w:color w:val="231F20"/>
        </w:rPr>
        <w:t>– професійна, на</w:t>
      </w:r>
      <w:r>
        <w:rPr>
          <w:color w:val="231F20"/>
        </w:rPr>
        <w:t xml:space="preserve"> постійній основі діяльність громадян </w:t>
      </w:r>
      <w:r>
        <w:rPr>
          <w:color w:val="231F20"/>
          <w:spacing w:val="-3"/>
        </w:rPr>
        <w:t xml:space="preserve">України, </w:t>
      </w:r>
      <w:r>
        <w:rPr>
          <w:color w:val="231F20"/>
        </w:rPr>
        <w:t>які займають посади в органах місцевого самоврядування, що спрямована на реалізацію територіальною громадою свого права на місцеве самоврядування та</w:t>
      </w:r>
      <w:r>
        <w:rPr>
          <w:color w:val="231F20"/>
          <w:spacing w:val="-16"/>
        </w:rPr>
        <w:t xml:space="preserve"> </w:t>
      </w:r>
      <w:r>
        <w:rPr>
          <w:color w:val="231F20"/>
        </w:rPr>
        <w:t>окремих</w:t>
      </w:r>
      <w:r>
        <w:rPr>
          <w:color w:val="231F20"/>
          <w:spacing w:val="-16"/>
        </w:rPr>
        <w:t xml:space="preserve"> </w:t>
      </w:r>
      <w:r>
        <w:rPr>
          <w:color w:val="231F20"/>
        </w:rPr>
        <w:t>повноважень</w:t>
      </w:r>
      <w:r>
        <w:rPr>
          <w:color w:val="231F20"/>
          <w:spacing w:val="-16"/>
        </w:rPr>
        <w:t xml:space="preserve"> </w:t>
      </w:r>
      <w:r>
        <w:rPr>
          <w:color w:val="231F20"/>
        </w:rPr>
        <w:t>органів</w:t>
      </w:r>
      <w:r>
        <w:rPr>
          <w:color w:val="231F20"/>
          <w:spacing w:val="-16"/>
        </w:rPr>
        <w:t xml:space="preserve"> </w:t>
      </w:r>
      <w:r>
        <w:rPr>
          <w:color w:val="231F20"/>
        </w:rPr>
        <w:t>виконавчої</w:t>
      </w:r>
      <w:r>
        <w:rPr>
          <w:color w:val="231F20"/>
          <w:spacing w:val="-16"/>
        </w:rPr>
        <w:t xml:space="preserve"> </w:t>
      </w:r>
      <w:r>
        <w:rPr>
          <w:color w:val="231F20"/>
        </w:rPr>
        <w:t>влади,</w:t>
      </w:r>
      <w:r>
        <w:rPr>
          <w:color w:val="231F20"/>
          <w:spacing w:val="-16"/>
        </w:rPr>
        <w:t xml:space="preserve"> </w:t>
      </w:r>
      <w:r>
        <w:rPr>
          <w:color w:val="231F20"/>
        </w:rPr>
        <w:t>наданих</w:t>
      </w:r>
      <w:r>
        <w:rPr>
          <w:color w:val="231F20"/>
          <w:spacing w:val="-16"/>
        </w:rPr>
        <w:t xml:space="preserve"> </w:t>
      </w:r>
      <w:r>
        <w:rPr>
          <w:color w:val="231F20"/>
        </w:rPr>
        <w:t>законо</w:t>
      </w:r>
      <w:r>
        <w:rPr>
          <w:color w:val="231F20"/>
        </w:rPr>
        <w:t xml:space="preserve">м </w:t>
      </w:r>
      <w:r>
        <w:rPr>
          <w:color w:val="231F20"/>
          <w:spacing w:val="-5"/>
        </w:rPr>
        <w:t xml:space="preserve">(ст. </w:t>
      </w:r>
      <w:r>
        <w:rPr>
          <w:color w:val="231F20"/>
        </w:rPr>
        <w:t>1 Закону «Про службу в органах місцевого</w:t>
      </w:r>
      <w:r>
        <w:rPr>
          <w:color w:val="231F20"/>
          <w:spacing w:val="-5"/>
        </w:rPr>
        <w:t xml:space="preserve"> </w:t>
      </w:r>
      <w:r>
        <w:rPr>
          <w:color w:val="231F20"/>
        </w:rPr>
        <w:t>самоврядування»).</w:t>
      </w:r>
    </w:p>
    <w:p w14:paraId="57F48964" w14:textId="77777777" w:rsidR="00DE575E" w:rsidRDefault="002E7560">
      <w:pPr>
        <w:pStyle w:val="BodyText"/>
        <w:spacing w:before="3" w:line="252" w:lineRule="auto"/>
        <w:ind w:left="533" w:right="126" w:firstLine="283"/>
        <w:jc w:val="both"/>
      </w:pPr>
      <w:r>
        <w:rPr>
          <w:b/>
          <w:color w:val="231F20"/>
        </w:rPr>
        <w:t xml:space="preserve">Служба в органах місцевого самоврядування (муніципальна служба) </w:t>
      </w:r>
      <w:r>
        <w:rPr>
          <w:color w:val="231F20"/>
        </w:rPr>
        <w:t xml:space="preserve">– професійна, на постійній основі діяльність громадян </w:t>
      </w:r>
      <w:r>
        <w:rPr>
          <w:color w:val="231F20"/>
          <w:spacing w:val="-3"/>
        </w:rPr>
        <w:t xml:space="preserve">України, </w:t>
      </w:r>
      <w:r>
        <w:rPr>
          <w:color w:val="231F20"/>
        </w:rPr>
        <w:t>які займають посади в органах місцевого самоврядування, що</w:t>
      </w:r>
      <w:r>
        <w:rPr>
          <w:color w:val="231F20"/>
          <w:spacing w:val="-13"/>
        </w:rPr>
        <w:t xml:space="preserve"> </w:t>
      </w:r>
      <w:r>
        <w:rPr>
          <w:color w:val="231F20"/>
        </w:rPr>
        <w:t>спря</w:t>
      </w:r>
      <w:r>
        <w:rPr>
          <w:color w:val="231F20"/>
        </w:rPr>
        <w:t>мована</w:t>
      </w:r>
      <w:r>
        <w:rPr>
          <w:color w:val="231F20"/>
          <w:spacing w:val="-13"/>
        </w:rPr>
        <w:t xml:space="preserve"> </w:t>
      </w:r>
      <w:r>
        <w:rPr>
          <w:color w:val="231F20"/>
        </w:rPr>
        <w:t>на</w:t>
      </w:r>
      <w:r>
        <w:rPr>
          <w:color w:val="231F20"/>
          <w:spacing w:val="-13"/>
        </w:rPr>
        <w:t xml:space="preserve"> </w:t>
      </w:r>
      <w:r>
        <w:rPr>
          <w:color w:val="231F20"/>
        </w:rPr>
        <w:t>реалізацію</w:t>
      </w:r>
      <w:r>
        <w:rPr>
          <w:color w:val="231F20"/>
          <w:spacing w:val="-13"/>
        </w:rPr>
        <w:t xml:space="preserve"> </w:t>
      </w:r>
      <w:r>
        <w:rPr>
          <w:color w:val="231F20"/>
        </w:rPr>
        <w:t>територіальною</w:t>
      </w:r>
      <w:r>
        <w:rPr>
          <w:color w:val="231F20"/>
          <w:spacing w:val="-13"/>
        </w:rPr>
        <w:t xml:space="preserve"> </w:t>
      </w:r>
      <w:r>
        <w:rPr>
          <w:color w:val="231F20"/>
        </w:rPr>
        <w:t>громадою</w:t>
      </w:r>
      <w:r>
        <w:rPr>
          <w:color w:val="231F20"/>
          <w:spacing w:val="-13"/>
        </w:rPr>
        <w:t xml:space="preserve"> </w:t>
      </w:r>
      <w:r>
        <w:rPr>
          <w:color w:val="231F20"/>
        </w:rPr>
        <w:t>свого</w:t>
      </w:r>
      <w:r>
        <w:rPr>
          <w:color w:val="231F20"/>
          <w:spacing w:val="-13"/>
        </w:rPr>
        <w:t xml:space="preserve"> </w:t>
      </w:r>
      <w:r>
        <w:rPr>
          <w:color w:val="231F20"/>
        </w:rPr>
        <w:t>права на місцеве самоврядування та окремих повноважень органів вико- навчої влади, наданих</w:t>
      </w:r>
      <w:r>
        <w:rPr>
          <w:color w:val="231F20"/>
          <w:spacing w:val="-2"/>
        </w:rPr>
        <w:t xml:space="preserve"> </w:t>
      </w:r>
      <w:r>
        <w:rPr>
          <w:color w:val="231F20"/>
        </w:rPr>
        <w:t>законом.</w:t>
      </w:r>
    </w:p>
    <w:p w14:paraId="5B479852" w14:textId="77777777" w:rsidR="00DE575E" w:rsidRDefault="002E7560">
      <w:pPr>
        <w:pStyle w:val="BodyText"/>
        <w:spacing w:before="3" w:line="252" w:lineRule="auto"/>
        <w:ind w:left="533" w:right="127" w:firstLine="283"/>
        <w:jc w:val="both"/>
      </w:pPr>
      <w:r>
        <w:rPr>
          <w:b/>
          <w:color w:val="231F20"/>
        </w:rPr>
        <w:t xml:space="preserve">Службова кар’єра </w:t>
      </w:r>
      <w:r>
        <w:rPr>
          <w:color w:val="231F20"/>
        </w:rPr>
        <w:t>– просування по службі посадових осіб місце- вого самоврядування через зайняття більш високої посади на конкурсній основі або присвоєння більш високого рангу.</w:t>
      </w:r>
    </w:p>
    <w:p w14:paraId="64AB5735" w14:textId="77777777" w:rsidR="00DE575E" w:rsidRDefault="002E7560">
      <w:pPr>
        <w:pStyle w:val="BodyText"/>
        <w:spacing w:before="1" w:line="252" w:lineRule="auto"/>
        <w:ind w:left="533" w:right="124" w:firstLine="283"/>
        <w:jc w:val="both"/>
      </w:pPr>
      <w:r>
        <w:rPr>
          <w:b/>
          <w:color w:val="231F20"/>
        </w:rPr>
        <w:t xml:space="preserve">Службовці органів місцевого самоврядування </w:t>
      </w:r>
      <w:r>
        <w:rPr>
          <w:color w:val="231F20"/>
        </w:rPr>
        <w:t>– особи, які на професійній, постійній основі займають</w:t>
      </w:r>
      <w:r>
        <w:rPr>
          <w:color w:val="231F20"/>
        </w:rPr>
        <w:t xml:space="preserve"> посади в органах місце- вого самоврядування і наділені повноваженнями, що  спрямовані на реалізацію територіальною громадою свого права на місцеве самоврядування та окремих повноважень органів виконавчої влади, наданих законом. Службовці органів місцевого</w:t>
      </w:r>
      <w:r>
        <w:rPr>
          <w:color w:val="231F20"/>
        </w:rPr>
        <w:t xml:space="preserve"> самовряду- вання мають відповідну освіту та професійну підготовку, пройшли у встановленому порядку конкурсний відбір або прийняті на посаду за іншою передбаченою законодавством  процедурою.  Варто пам’ятати, що особа, яка займає відповідну посаду  в орга-</w:t>
      </w:r>
      <w:r>
        <w:rPr>
          <w:color w:val="231F20"/>
        </w:rPr>
        <w:t xml:space="preserve"> нах місцевого самоврядування, має діяти від імені та в інтересах колективного суб’єкта публічної адміністрації – органу місцевого самоврядування.</w:t>
      </w:r>
    </w:p>
    <w:p w14:paraId="1C3D68CB" w14:textId="77777777" w:rsidR="00DE575E" w:rsidRDefault="00DE575E">
      <w:pPr>
        <w:pStyle w:val="BodyText"/>
        <w:spacing w:before="11"/>
        <w:rPr>
          <w:sz w:val="12"/>
        </w:rPr>
      </w:pPr>
    </w:p>
    <w:p w14:paraId="7AE9F3BB" w14:textId="77777777" w:rsidR="00DE575E" w:rsidRDefault="002E7560">
      <w:pPr>
        <w:spacing w:before="92"/>
        <w:ind w:left="533"/>
        <w:rPr>
          <w:rFonts w:ascii="Times New Roman"/>
          <w:sz w:val="20"/>
        </w:rPr>
      </w:pPr>
      <w:r>
        <w:rPr>
          <w:rFonts w:ascii="Times New Roman"/>
          <w:color w:val="231F20"/>
          <w:sz w:val="20"/>
        </w:rPr>
        <w:t>556</w:t>
      </w:r>
    </w:p>
    <w:p w14:paraId="7C3851C7" w14:textId="77777777" w:rsidR="00DE575E" w:rsidRDefault="00DE575E">
      <w:pPr>
        <w:rPr>
          <w:rFonts w:ascii="Times New Roman"/>
          <w:sz w:val="20"/>
        </w:rPr>
        <w:sectPr w:rsidR="00DE575E">
          <w:pgSz w:w="8510" w:h="12760"/>
          <w:pgMar w:top="660" w:right="720" w:bottom="280" w:left="600" w:header="720" w:footer="720" w:gutter="0"/>
          <w:cols w:space="720"/>
        </w:sectPr>
      </w:pPr>
    </w:p>
    <w:p w14:paraId="17A64172"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60297985" w14:textId="1091FE2A"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46CD669C" wp14:editId="55B15EE3">
                <wp:extent cx="4140200" cy="6350"/>
                <wp:effectExtent l="0" t="0" r="12700" b="6350"/>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2" name="Line 5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1747F" id="Group_x0020_5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Ar8pfZfQIAAJQFAAAOAAAA&#10;AAAAAAAAAAAAACwCAABkcnMvZTJvRG9jLnhtbFBLAQItABQABgAIAAAAIQBMp7CQ2QAAAAMBAAAP&#10;AAAAAAAAAAAAAAAAANUEAABkcnMvZG93bnJldi54bWxQSwUGAAAAAAQABADzAAAA2wUAAAAA&#10;">
                <v:line id="Line_x0020_5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3JPMUAAADbAAAADwAAAGRycy9kb3ducmV2LnhtbESP3WrCQBSE7wu+w3IKvZG6UVFKdBUR&#10;CqUX/sUHOGaPSeju2ZhdTfTpuwWhl8PMfMPMl5014kaNrxwrGA4SEMS50xUXCo7Z5/sHCB+QNRrH&#10;pOBOHpaL3sscU+1a3tPtEAoRIexTVFCGUKdS+rwki37gauLonV1jMUTZFFI32Ea4NXKUJFNpseK4&#10;UGJN65Lyn8PVKsgu/WB222/TZtvTWJ4um/HjulHq7bVbzUAE6sJ/+Nn+0gomI/j7En+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d3JPMUAAADbAAAADwAAAAAAAAAA&#10;AAAAAAChAgAAZHJzL2Rvd25yZXYueG1sUEsFBgAAAAAEAAQA+QAAAJMDAAAAAA==&#10;" strokecolor="#231f20" strokeweight=".5pt"/>
                <w10:anchorlock/>
              </v:group>
            </w:pict>
          </mc:Fallback>
        </mc:AlternateContent>
      </w:r>
    </w:p>
    <w:p w14:paraId="3227CB9E" w14:textId="77777777" w:rsidR="00DE575E" w:rsidRDefault="00DE575E">
      <w:pPr>
        <w:pStyle w:val="BodyText"/>
        <w:spacing w:before="7"/>
        <w:rPr>
          <w:rFonts w:ascii="AdonisC"/>
          <w:i/>
          <w:sz w:val="19"/>
        </w:rPr>
      </w:pPr>
    </w:p>
    <w:p w14:paraId="3BBB403E" w14:textId="77777777" w:rsidR="00DE575E" w:rsidRDefault="002E7560">
      <w:pPr>
        <w:pStyle w:val="BodyText"/>
        <w:spacing w:before="1" w:line="252" w:lineRule="auto"/>
        <w:ind w:left="250" w:right="409" w:firstLine="283"/>
        <w:jc w:val="both"/>
      </w:pPr>
      <w:r>
        <w:rPr>
          <w:b/>
          <w:color w:val="231F20"/>
        </w:rPr>
        <w:t xml:space="preserve">Спортивне суддівство </w:t>
      </w:r>
      <w:r>
        <w:rPr>
          <w:color w:val="231F20"/>
        </w:rPr>
        <w:t>– діяльністю спортивних суддів – фізич- них осіб, які пройшли спеціальну підготовку й отримали відпо- відну кваліфікаційну категорію та уповноважені забезпечувати дотримання правил спортивних  змага</w:t>
      </w:r>
      <w:r>
        <w:rPr>
          <w:color w:val="231F20"/>
        </w:rPr>
        <w:t>нь,  положень  (регламен- тів) про змагання, а також забезпечувати достовірність зафіксова- них</w:t>
      </w:r>
      <w:r>
        <w:rPr>
          <w:color w:val="231F20"/>
          <w:spacing w:val="3"/>
        </w:rPr>
        <w:t xml:space="preserve"> </w:t>
      </w:r>
      <w:r>
        <w:rPr>
          <w:color w:val="231F20"/>
        </w:rPr>
        <w:t>результатів.</w:t>
      </w:r>
    </w:p>
    <w:p w14:paraId="199C6E2E" w14:textId="77777777" w:rsidR="00DE575E" w:rsidRDefault="002E7560">
      <w:pPr>
        <w:spacing w:before="3" w:line="252" w:lineRule="auto"/>
        <w:ind w:left="250" w:right="410" w:firstLine="283"/>
        <w:jc w:val="both"/>
        <w:rPr>
          <w:sz w:val="21"/>
        </w:rPr>
      </w:pPr>
      <w:r>
        <w:rPr>
          <w:b/>
          <w:color w:val="231F20"/>
          <w:sz w:val="21"/>
        </w:rPr>
        <w:t xml:space="preserve">Способи відшкодування шкоди приватним особам, завданої суб’єктами публічної адміністрації </w:t>
      </w:r>
      <w:r>
        <w:rPr>
          <w:color w:val="231F20"/>
          <w:sz w:val="21"/>
        </w:rPr>
        <w:t>(</w:t>
      </w:r>
      <w:r>
        <w:rPr>
          <w:i/>
          <w:color w:val="231F20"/>
          <w:sz w:val="21"/>
        </w:rPr>
        <w:t>поняття</w:t>
      </w:r>
      <w:r>
        <w:rPr>
          <w:color w:val="231F20"/>
          <w:sz w:val="21"/>
        </w:rPr>
        <w:t>) – виплата коштів потерпілій особі за рахунок державного чи місцевого бюджетів добровільно (за ініціативою винного суб’єкта публічної адміністра- ції) або через виконавче провадження відповідним розпорядником бюджетних коштів.</w:t>
      </w:r>
    </w:p>
    <w:p w14:paraId="213BA484" w14:textId="77777777" w:rsidR="00DE575E" w:rsidRDefault="002E7560">
      <w:pPr>
        <w:pStyle w:val="BodyText"/>
        <w:spacing w:before="3" w:line="252" w:lineRule="auto"/>
        <w:ind w:left="250" w:right="411" w:firstLine="283"/>
        <w:jc w:val="both"/>
      </w:pPr>
      <w:r>
        <w:rPr>
          <w:b/>
          <w:color w:val="231F20"/>
        </w:rPr>
        <w:t>Стадії адміністративної проц</w:t>
      </w:r>
      <w:r>
        <w:rPr>
          <w:b/>
          <w:color w:val="231F20"/>
        </w:rPr>
        <w:t xml:space="preserve">едури </w:t>
      </w:r>
      <w:r>
        <w:rPr>
          <w:color w:val="231F20"/>
        </w:rPr>
        <w:t>– послідовно</w:t>
      </w:r>
      <w:r>
        <w:rPr>
          <w:color w:val="231F20"/>
          <w:spacing w:val="-26"/>
        </w:rPr>
        <w:t xml:space="preserve"> </w:t>
      </w:r>
      <w:r>
        <w:rPr>
          <w:color w:val="231F20"/>
        </w:rPr>
        <w:t>взаємозамінні операції, що логічно пов’язані між собою та спрямовані на забезпе- чення здійснення адміністративної</w:t>
      </w:r>
      <w:r>
        <w:rPr>
          <w:color w:val="231F20"/>
          <w:spacing w:val="-4"/>
        </w:rPr>
        <w:t xml:space="preserve"> </w:t>
      </w:r>
      <w:r>
        <w:rPr>
          <w:color w:val="231F20"/>
        </w:rPr>
        <w:t>процедури.</w:t>
      </w:r>
    </w:p>
    <w:p w14:paraId="08233293" w14:textId="77777777" w:rsidR="00DE575E" w:rsidRDefault="002E7560">
      <w:pPr>
        <w:pStyle w:val="BodyText"/>
        <w:spacing w:before="1" w:line="252" w:lineRule="auto"/>
        <w:ind w:left="250" w:right="409" w:firstLine="283"/>
        <w:jc w:val="both"/>
      </w:pPr>
      <w:r>
        <w:rPr>
          <w:b/>
          <w:color w:val="231F20"/>
        </w:rPr>
        <w:t xml:space="preserve">Суб’єкт владних повноважень </w:t>
      </w:r>
      <w:r>
        <w:rPr>
          <w:color w:val="231F20"/>
        </w:rPr>
        <w:t>– орган державної влади, орган місцевого самоврядування, їх посадова чи службова ос</w:t>
      </w:r>
      <w:r>
        <w:rPr>
          <w:color w:val="231F20"/>
        </w:rPr>
        <w:t>оба, інший суб’єкт під час здійснення ними публічних владних управлінських функцій на підставі законодавства, зокрема на виконання делегова- них повноважень, або надання адміністративних послуг.</w:t>
      </w:r>
    </w:p>
    <w:p w14:paraId="4957E3FB" w14:textId="77777777" w:rsidR="00DE575E" w:rsidRDefault="002E7560">
      <w:pPr>
        <w:pStyle w:val="BodyText"/>
        <w:spacing w:before="3" w:line="252" w:lineRule="auto"/>
        <w:ind w:left="250" w:right="411" w:firstLine="283"/>
        <w:jc w:val="both"/>
      </w:pPr>
      <w:r>
        <w:rPr>
          <w:b/>
          <w:color w:val="231F20"/>
        </w:rPr>
        <w:t xml:space="preserve">Суб’єкт звернення </w:t>
      </w:r>
      <w:r>
        <w:rPr>
          <w:color w:val="231F20"/>
        </w:rPr>
        <w:t>щодо надання адміністративної послуги: фізи</w:t>
      </w:r>
      <w:r>
        <w:rPr>
          <w:color w:val="231F20"/>
        </w:rPr>
        <w:t>чна особа (громадянин України, іноземець, особа без громадян- ства); фізична особа-підприємець; юридична особа.</w:t>
      </w:r>
    </w:p>
    <w:p w14:paraId="4BD1DEF6" w14:textId="77777777" w:rsidR="00DE575E" w:rsidRDefault="002E7560">
      <w:pPr>
        <w:pStyle w:val="BodyText"/>
        <w:spacing w:before="1" w:line="252" w:lineRule="auto"/>
        <w:ind w:left="250" w:right="410" w:firstLine="283"/>
        <w:jc w:val="both"/>
      </w:pPr>
      <w:r>
        <w:rPr>
          <w:b/>
          <w:color w:val="231F20"/>
        </w:rPr>
        <w:t xml:space="preserve">Суб’єкт надання адміністративної послуги </w:t>
      </w:r>
      <w:r>
        <w:rPr>
          <w:color w:val="231F20"/>
        </w:rPr>
        <w:t>– орган виконавчої влади, інший державний орган, орган влади Автономної Республіки Крим, орган місцевог</w:t>
      </w:r>
      <w:r>
        <w:rPr>
          <w:color w:val="231F20"/>
        </w:rPr>
        <w:t>о самоврядування, їх посадові особи, держав- ний реєстратор, суб’єкт державної реєстрації, уповноважені нада- вати адміністративні послуги.</w:t>
      </w:r>
    </w:p>
    <w:p w14:paraId="4D6367D8" w14:textId="77777777" w:rsidR="00DE575E" w:rsidRDefault="002E7560">
      <w:pPr>
        <w:spacing w:before="2" w:line="252" w:lineRule="auto"/>
        <w:ind w:left="250" w:right="411" w:firstLine="283"/>
        <w:jc w:val="both"/>
        <w:rPr>
          <w:sz w:val="21"/>
        </w:rPr>
      </w:pPr>
      <w:r>
        <w:rPr>
          <w:b/>
          <w:color w:val="231F20"/>
          <w:spacing w:val="-4"/>
          <w:sz w:val="21"/>
        </w:rPr>
        <w:t xml:space="preserve">Суб’єкт </w:t>
      </w:r>
      <w:r>
        <w:rPr>
          <w:b/>
          <w:color w:val="231F20"/>
          <w:sz w:val="21"/>
        </w:rPr>
        <w:t xml:space="preserve">публічної адміністрації (поняття) </w:t>
      </w:r>
      <w:r>
        <w:rPr>
          <w:color w:val="231F20"/>
          <w:sz w:val="21"/>
        </w:rPr>
        <w:t xml:space="preserve">– </w:t>
      </w:r>
      <w:r>
        <w:rPr>
          <w:color w:val="231F20"/>
          <w:spacing w:val="-4"/>
          <w:sz w:val="21"/>
        </w:rPr>
        <w:t xml:space="preserve">суб’єкт </w:t>
      </w:r>
      <w:r>
        <w:rPr>
          <w:color w:val="231F20"/>
          <w:sz w:val="21"/>
        </w:rPr>
        <w:t>владних повноважень, який здійснює публічне адміністрування: над</w:t>
      </w:r>
      <w:r>
        <w:rPr>
          <w:color w:val="231F20"/>
          <w:sz w:val="21"/>
        </w:rPr>
        <w:t>ає адмі- ністративні послуги чи/та виконує виконавчо-розпорядчу</w:t>
      </w:r>
      <w:r>
        <w:rPr>
          <w:color w:val="231F20"/>
          <w:spacing w:val="-26"/>
          <w:sz w:val="21"/>
        </w:rPr>
        <w:t xml:space="preserve"> </w:t>
      </w:r>
      <w:r>
        <w:rPr>
          <w:color w:val="231F20"/>
          <w:sz w:val="21"/>
        </w:rPr>
        <w:t>адмініст- ративну</w:t>
      </w:r>
      <w:r>
        <w:rPr>
          <w:color w:val="231F20"/>
          <w:spacing w:val="-2"/>
          <w:sz w:val="21"/>
        </w:rPr>
        <w:t xml:space="preserve"> </w:t>
      </w:r>
      <w:r>
        <w:rPr>
          <w:color w:val="231F20"/>
          <w:sz w:val="21"/>
        </w:rPr>
        <w:t>діяльність.</w:t>
      </w:r>
    </w:p>
    <w:p w14:paraId="7993B98F" w14:textId="77777777" w:rsidR="00DE575E" w:rsidRDefault="002E7560">
      <w:pPr>
        <w:pStyle w:val="BodyText"/>
        <w:spacing w:before="2" w:line="252" w:lineRule="auto"/>
        <w:ind w:left="250" w:right="411" w:firstLine="283"/>
        <w:jc w:val="both"/>
      </w:pPr>
      <w:r>
        <w:rPr>
          <w:b/>
          <w:color w:val="231F20"/>
        </w:rPr>
        <w:t xml:space="preserve">Суб’єкти адміністративного оскарження </w:t>
      </w:r>
      <w:r>
        <w:rPr>
          <w:color w:val="231F20"/>
        </w:rPr>
        <w:t>(</w:t>
      </w:r>
      <w:r>
        <w:rPr>
          <w:i/>
          <w:color w:val="231F20"/>
        </w:rPr>
        <w:t>види</w:t>
      </w:r>
      <w:r>
        <w:rPr>
          <w:color w:val="231F20"/>
        </w:rPr>
        <w:t>): посадової особи суб’єктів публічної адміністрації; органи протидії корупції, зокрема ДБР, НАЗК і НАБУ; уповноважена Верховної Ради України з прав людини; суб’єкти громадянське суспільство.</w:t>
      </w:r>
    </w:p>
    <w:p w14:paraId="334298F6" w14:textId="77777777" w:rsidR="00DE575E" w:rsidRDefault="002E7560">
      <w:pPr>
        <w:spacing w:before="2" w:line="252" w:lineRule="auto"/>
        <w:ind w:left="250" w:right="408" w:firstLine="283"/>
        <w:jc w:val="both"/>
        <w:rPr>
          <w:sz w:val="21"/>
        </w:rPr>
      </w:pPr>
      <w:r>
        <w:rPr>
          <w:b/>
          <w:color w:val="231F20"/>
          <w:sz w:val="21"/>
        </w:rPr>
        <w:t>Суб’єкти публічної адміністрації (структура)</w:t>
      </w:r>
      <w:r>
        <w:rPr>
          <w:color w:val="231F20"/>
          <w:sz w:val="21"/>
        </w:rPr>
        <w:t>: 1) органи вико- на</w:t>
      </w:r>
      <w:r>
        <w:rPr>
          <w:color w:val="231F20"/>
          <w:sz w:val="21"/>
        </w:rPr>
        <w:t>вчої влади; 2) суб’єкти місцевого самоврядування; 3) суб’єкти делегованих     повноважень:     а) громадські     об’єднання;     б) інші</w:t>
      </w:r>
    </w:p>
    <w:p w14:paraId="1CF2F281" w14:textId="77777777" w:rsidR="00DE575E" w:rsidRDefault="00DE575E">
      <w:pPr>
        <w:pStyle w:val="BodyText"/>
        <w:spacing w:before="6"/>
        <w:rPr>
          <w:sz w:val="12"/>
        </w:rPr>
      </w:pPr>
    </w:p>
    <w:p w14:paraId="2F4E103D" w14:textId="77777777" w:rsidR="00DE575E" w:rsidRDefault="002E7560">
      <w:pPr>
        <w:spacing w:before="92"/>
        <w:ind w:right="411"/>
        <w:jc w:val="right"/>
        <w:rPr>
          <w:rFonts w:ascii="Times New Roman"/>
          <w:sz w:val="20"/>
        </w:rPr>
      </w:pPr>
      <w:r>
        <w:rPr>
          <w:rFonts w:ascii="Times New Roman"/>
          <w:color w:val="231F20"/>
          <w:w w:val="90"/>
          <w:sz w:val="20"/>
        </w:rPr>
        <w:t>557</w:t>
      </w:r>
    </w:p>
    <w:p w14:paraId="60D1B1AD"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679A188E"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DACF035" w14:textId="3133740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2BA13079" wp14:editId="724A8DEB">
                <wp:extent cx="4140200" cy="6350"/>
                <wp:effectExtent l="0" t="0" r="12700" b="6350"/>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50" name="Line 4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6C2E63" id="Group_x0020_4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E0uU9N8AgAAlAUAAA4AAAAA&#10;AAAAAAAAAAAALAIAAGRycy9lMm9Eb2MueG1sUEsBAi0AFAAGAAgAAAAhAEynsJDZAAAAAwEAAA8A&#10;AAAAAAAAAAAAAAAA1AQAAGRycy9kb3ducmV2LnhtbFBLBQYAAAAABAAEAPMAAADaBQAAAAA=&#10;">
                <v:line id="Line_x0020_4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Py0MIAAADbAAAADwAAAGRycy9kb3ducmV2LnhtbERP3WrCMBS+H+wdwhl4M2aqMhmdUYYg&#10;iBf+tD7AsTlry5KT2kRbfXpzIezy4/ufLXprxJVaXztWMBomIIgLp2suFRzz1ccXCB+QNRrHpOBG&#10;Hhbz15cZptp1fKBrFkoRQ9inqKAKoUml9EVFFv3QNcSR+3WtxRBhW0rdYhfDrZHjJJlKizXHhgob&#10;WlZU/GUXqyA/vwez321Ml+9OE3k6byf3y1apwVv/8w0iUB/+xU/3Wiv4jOv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kPy0MIAAADbAAAADwAAAAAAAAAAAAAA&#10;AAChAgAAZHJzL2Rvd25yZXYueG1sUEsFBgAAAAAEAAQA+QAAAJADAAAAAA==&#10;" strokecolor="#231f20" strokeweight=".5pt"/>
                <w10:anchorlock/>
              </v:group>
            </w:pict>
          </mc:Fallback>
        </mc:AlternateContent>
      </w:r>
    </w:p>
    <w:p w14:paraId="0E87D4F5" w14:textId="77777777" w:rsidR="00DE575E" w:rsidRDefault="00DE575E">
      <w:pPr>
        <w:pStyle w:val="BodyText"/>
        <w:spacing w:before="7"/>
        <w:rPr>
          <w:rFonts w:ascii="AdonisC"/>
          <w:i/>
          <w:sz w:val="11"/>
        </w:rPr>
      </w:pPr>
    </w:p>
    <w:p w14:paraId="0C017B39" w14:textId="77777777" w:rsidR="00DE575E" w:rsidRDefault="002E7560">
      <w:pPr>
        <w:pStyle w:val="BodyText"/>
        <w:spacing w:before="101" w:line="252" w:lineRule="auto"/>
        <w:ind w:left="533"/>
      </w:pPr>
      <w:r>
        <w:rPr>
          <w:color w:val="231F20"/>
        </w:rPr>
        <w:t>суб’єкти під час здійснення делегованих законодавством виконав- чих функцій.</w:t>
      </w:r>
    </w:p>
    <w:p w14:paraId="2FE0E05F" w14:textId="77777777" w:rsidR="00DE575E" w:rsidRDefault="002E7560">
      <w:pPr>
        <w:pStyle w:val="BodyText"/>
        <w:spacing w:before="1" w:line="252" w:lineRule="auto"/>
        <w:ind w:left="533" w:right="127" w:firstLine="283"/>
        <w:jc w:val="both"/>
      </w:pPr>
      <w:r>
        <w:rPr>
          <w:b/>
          <w:color w:val="231F20"/>
        </w:rPr>
        <w:t xml:space="preserve">Суб’єктивна сторона проступку </w:t>
      </w:r>
      <w:r>
        <w:rPr>
          <w:color w:val="231F20"/>
        </w:rPr>
        <w:t>– сукупність ознак, які характе- ризують суб’єктивне (психічне) ставлення особи до вчиненого нею протиправного д</w:t>
      </w:r>
      <w:r>
        <w:rPr>
          <w:color w:val="231F20"/>
        </w:rPr>
        <w:t>іяння та його негативних наслідків, а саме – вина, мотив і мета правопорушення.</w:t>
      </w:r>
    </w:p>
    <w:p w14:paraId="610C6BDC" w14:textId="77777777" w:rsidR="00DE575E" w:rsidRDefault="002E7560">
      <w:pPr>
        <w:pStyle w:val="BodyText"/>
        <w:spacing w:before="2" w:line="252" w:lineRule="auto"/>
        <w:ind w:left="533" w:right="125" w:firstLine="283"/>
        <w:jc w:val="both"/>
      </w:pPr>
      <w:r>
        <w:rPr>
          <w:b/>
          <w:color w:val="231F20"/>
        </w:rPr>
        <w:t xml:space="preserve">Суб’єктивне право  особи  </w:t>
      </w:r>
      <w:r>
        <w:rPr>
          <w:color w:val="231F20"/>
        </w:rPr>
        <w:t>–  визначена  на  основі  природ-  ного права та забезпечена державою і закріплена в нормах права можливість певної поведінки, спрямованої на здійснен</w:t>
      </w:r>
      <w:r>
        <w:rPr>
          <w:color w:val="231F20"/>
        </w:rPr>
        <w:t>ня певних прав. Носій суб’єктивного права має можливість своїми діями само- стійно виявити себе у своїй поведінці, вимагати відповідної пове- дінки від інших осіб, звертатися до уповноважених органів через потребу захистити порушене право за допомогою захо</w:t>
      </w:r>
      <w:r>
        <w:rPr>
          <w:color w:val="231F20"/>
        </w:rPr>
        <w:t>дів держав- ного</w:t>
      </w:r>
      <w:r>
        <w:rPr>
          <w:color w:val="231F20"/>
          <w:spacing w:val="2"/>
        </w:rPr>
        <w:t xml:space="preserve"> </w:t>
      </w:r>
      <w:r>
        <w:rPr>
          <w:color w:val="231F20"/>
        </w:rPr>
        <w:t>примусу.</w:t>
      </w:r>
    </w:p>
    <w:p w14:paraId="3492BE79" w14:textId="77777777" w:rsidR="00DE575E" w:rsidRDefault="002E7560">
      <w:pPr>
        <w:pStyle w:val="BodyText"/>
        <w:spacing w:before="4" w:line="252" w:lineRule="auto"/>
        <w:ind w:left="533" w:right="128" w:firstLine="283"/>
        <w:jc w:val="both"/>
      </w:pPr>
      <w:r>
        <w:rPr>
          <w:b/>
          <w:color w:val="231F20"/>
          <w:spacing w:val="-3"/>
        </w:rPr>
        <w:t>Суб’єктивні</w:t>
      </w:r>
      <w:r>
        <w:rPr>
          <w:b/>
          <w:color w:val="231F20"/>
          <w:spacing w:val="-16"/>
        </w:rPr>
        <w:t xml:space="preserve"> </w:t>
      </w:r>
      <w:r>
        <w:rPr>
          <w:b/>
          <w:color w:val="231F20"/>
        </w:rPr>
        <w:t>адміністративно-правові</w:t>
      </w:r>
      <w:r>
        <w:rPr>
          <w:b/>
          <w:color w:val="231F20"/>
          <w:spacing w:val="-16"/>
        </w:rPr>
        <w:t xml:space="preserve"> </w:t>
      </w:r>
      <w:r>
        <w:rPr>
          <w:b/>
          <w:color w:val="231F20"/>
        </w:rPr>
        <w:t>обов’язки</w:t>
      </w:r>
      <w:r>
        <w:rPr>
          <w:b/>
          <w:color w:val="231F20"/>
          <w:spacing w:val="-15"/>
        </w:rPr>
        <w:t xml:space="preserve"> </w:t>
      </w:r>
      <w:r>
        <w:rPr>
          <w:color w:val="231F20"/>
        </w:rPr>
        <w:t>–</w:t>
      </w:r>
      <w:r>
        <w:rPr>
          <w:color w:val="231F20"/>
          <w:spacing w:val="-17"/>
        </w:rPr>
        <w:t xml:space="preserve"> </w:t>
      </w:r>
      <w:r>
        <w:rPr>
          <w:color w:val="231F20"/>
        </w:rPr>
        <w:t>це</w:t>
      </w:r>
      <w:r>
        <w:rPr>
          <w:color w:val="231F20"/>
          <w:spacing w:val="-17"/>
        </w:rPr>
        <w:t xml:space="preserve"> </w:t>
      </w:r>
      <w:r>
        <w:rPr>
          <w:color w:val="231F20"/>
        </w:rPr>
        <w:t xml:space="preserve">покладена державою та закріплена в адміністративно-правових нормах міра належної поведінки </w:t>
      </w:r>
      <w:r>
        <w:rPr>
          <w:color w:val="231F20"/>
          <w:spacing w:val="-3"/>
        </w:rPr>
        <w:t xml:space="preserve">суб’єкта </w:t>
      </w:r>
      <w:r>
        <w:rPr>
          <w:color w:val="231F20"/>
        </w:rPr>
        <w:t>в публічних правовідносинах, їх реалі- зація, забезпечена можливістю застосування державного</w:t>
      </w:r>
      <w:r>
        <w:rPr>
          <w:color w:val="231F20"/>
          <w:spacing w:val="-16"/>
        </w:rPr>
        <w:t xml:space="preserve"> </w:t>
      </w:r>
      <w:r>
        <w:rPr>
          <w:color w:val="231F20"/>
          <w:spacing w:val="-3"/>
        </w:rPr>
        <w:t>примусу.</w:t>
      </w:r>
    </w:p>
    <w:p w14:paraId="7CA202D7" w14:textId="77777777" w:rsidR="00DE575E" w:rsidRDefault="002E7560">
      <w:pPr>
        <w:pStyle w:val="BodyText"/>
        <w:spacing w:before="2" w:line="252" w:lineRule="auto"/>
        <w:ind w:left="533" w:right="127" w:firstLine="283"/>
        <w:jc w:val="both"/>
      </w:pPr>
      <w:r>
        <w:rPr>
          <w:b/>
          <w:color w:val="231F20"/>
          <w:spacing w:val="-3"/>
        </w:rPr>
        <w:t xml:space="preserve">Суб’єктивні </w:t>
      </w:r>
      <w:r>
        <w:rPr>
          <w:b/>
          <w:color w:val="231F20"/>
        </w:rPr>
        <w:t xml:space="preserve">публічні права приватної особи </w:t>
      </w:r>
      <w:r>
        <w:rPr>
          <w:color w:val="231F20"/>
        </w:rPr>
        <w:t>– надана й гаран- тована державою, а також закріплена в  адміністративно-право-  вих нормах міра можливої (дозв</w:t>
      </w:r>
      <w:r>
        <w:rPr>
          <w:color w:val="231F20"/>
        </w:rPr>
        <w:t xml:space="preserve">оленої) поведінки особи </w:t>
      </w:r>
      <w:r>
        <w:rPr>
          <w:color w:val="231F20"/>
          <w:spacing w:val="-3"/>
        </w:rPr>
        <w:t xml:space="preserve">(суб’єкта), </w:t>
      </w:r>
      <w:r>
        <w:rPr>
          <w:color w:val="231F20"/>
        </w:rPr>
        <w:t xml:space="preserve">що забезпечена кореспондованим  зобов’язанням  іншого  </w:t>
      </w:r>
      <w:r>
        <w:rPr>
          <w:color w:val="231F20"/>
          <w:spacing w:val="-4"/>
        </w:rPr>
        <w:t xml:space="preserve">суб’єкта  </w:t>
      </w:r>
      <w:r>
        <w:rPr>
          <w:color w:val="231F20"/>
        </w:rPr>
        <w:t>у правовідносинах публічного</w:t>
      </w:r>
      <w:r>
        <w:rPr>
          <w:color w:val="231F20"/>
          <w:spacing w:val="-4"/>
        </w:rPr>
        <w:t xml:space="preserve"> </w:t>
      </w:r>
      <w:r>
        <w:rPr>
          <w:color w:val="231F20"/>
        </w:rPr>
        <w:t>управління.</w:t>
      </w:r>
    </w:p>
    <w:p w14:paraId="6E53FEF8" w14:textId="77777777" w:rsidR="00DE575E" w:rsidRDefault="002E7560">
      <w:pPr>
        <w:pStyle w:val="BodyText"/>
        <w:spacing w:before="2" w:line="252" w:lineRule="auto"/>
        <w:ind w:left="533" w:right="128" w:firstLine="283"/>
        <w:jc w:val="both"/>
      </w:pPr>
      <w:r>
        <w:rPr>
          <w:b/>
          <w:color w:val="231F20"/>
          <w:spacing w:val="-4"/>
        </w:rPr>
        <w:t>Судове</w:t>
      </w:r>
      <w:r>
        <w:rPr>
          <w:b/>
          <w:color w:val="231F20"/>
          <w:spacing w:val="-20"/>
        </w:rPr>
        <w:t xml:space="preserve"> </w:t>
      </w:r>
      <w:r>
        <w:rPr>
          <w:b/>
          <w:color w:val="231F20"/>
        </w:rPr>
        <w:t>рішення</w:t>
      </w:r>
      <w:r>
        <w:rPr>
          <w:b/>
          <w:color w:val="231F20"/>
          <w:spacing w:val="-20"/>
        </w:rPr>
        <w:t xml:space="preserve"> </w:t>
      </w:r>
      <w:r>
        <w:rPr>
          <w:color w:val="231F20"/>
        </w:rPr>
        <w:t>–</w:t>
      </w:r>
      <w:r>
        <w:rPr>
          <w:color w:val="231F20"/>
          <w:spacing w:val="-20"/>
        </w:rPr>
        <w:t xml:space="preserve"> </w:t>
      </w:r>
      <w:r>
        <w:rPr>
          <w:color w:val="231F20"/>
        </w:rPr>
        <w:t>акт</w:t>
      </w:r>
      <w:r>
        <w:rPr>
          <w:color w:val="231F20"/>
          <w:spacing w:val="-20"/>
        </w:rPr>
        <w:t xml:space="preserve"> </w:t>
      </w:r>
      <w:r>
        <w:rPr>
          <w:color w:val="231F20"/>
        </w:rPr>
        <w:t>правосуддя,</w:t>
      </w:r>
      <w:r>
        <w:rPr>
          <w:color w:val="231F20"/>
          <w:spacing w:val="-20"/>
        </w:rPr>
        <w:t xml:space="preserve"> </w:t>
      </w:r>
      <w:r>
        <w:rPr>
          <w:color w:val="231F20"/>
        </w:rPr>
        <w:t>що</w:t>
      </w:r>
      <w:r>
        <w:rPr>
          <w:color w:val="231F20"/>
          <w:spacing w:val="-20"/>
        </w:rPr>
        <w:t xml:space="preserve"> </w:t>
      </w:r>
      <w:r>
        <w:rPr>
          <w:color w:val="231F20"/>
        </w:rPr>
        <w:t>ухвалений</w:t>
      </w:r>
      <w:r>
        <w:rPr>
          <w:color w:val="231F20"/>
          <w:spacing w:val="-20"/>
        </w:rPr>
        <w:t xml:space="preserve"> </w:t>
      </w:r>
      <w:r>
        <w:rPr>
          <w:color w:val="231F20"/>
        </w:rPr>
        <w:t>згідно</w:t>
      </w:r>
      <w:r>
        <w:rPr>
          <w:color w:val="231F20"/>
          <w:spacing w:val="-20"/>
        </w:rPr>
        <w:t xml:space="preserve"> </w:t>
      </w:r>
      <w:r>
        <w:rPr>
          <w:color w:val="231F20"/>
        </w:rPr>
        <w:t>з</w:t>
      </w:r>
      <w:r>
        <w:rPr>
          <w:color w:val="231F20"/>
          <w:spacing w:val="-20"/>
        </w:rPr>
        <w:t xml:space="preserve"> </w:t>
      </w:r>
      <w:r>
        <w:rPr>
          <w:color w:val="231F20"/>
        </w:rPr>
        <w:t>нормами матеріального та процесуального права і згідно з конституційними засадами та принципами адміністративного судочинства є обов’яз- ковим до виконання в</w:t>
      </w:r>
      <w:r>
        <w:rPr>
          <w:color w:val="231F20"/>
          <w:spacing w:val="-2"/>
        </w:rPr>
        <w:t xml:space="preserve"> </w:t>
      </w:r>
      <w:r>
        <w:rPr>
          <w:color w:val="231F20"/>
          <w:spacing w:val="-3"/>
        </w:rPr>
        <w:t>Україні.</w:t>
      </w:r>
    </w:p>
    <w:p w14:paraId="27695C84" w14:textId="77777777" w:rsidR="00DE575E" w:rsidRDefault="002E7560">
      <w:pPr>
        <w:pStyle w:val="BodyText"/>
        <w:spacing w:before="2" w:line="252" w:lineRule="auto"/>
        <w:ind w:left="533" w:right="127" w:firstLine="283"/>
        <w:jc w:val="both"/>
      </w:pPr>
      <w:r>
        <w:rPr>
          <w:b/>
          <w:color w:val="231F20"/>
          <w:spacing w:val="-3"/>
        </w:rPr>
        <w:t>Судовий</w:t>
      </w:r>
      <w:r>
        <w:rPr>
          <w:b/>
          <w:color w:val="231F20"/>
          <w:spacing w:val="-6"/>
        </w:rPr>
        <w:t xml:space="preserve"> </w:t>
      </w:r>
      <w:r>
        <w:rPr>
          <w:b/>
          <w:color w:val="231F20"/>
        </w:rPr>
        <w:t>збір</w:t>
      </w:r>
      <w:r>
        <w:rPr>
          <w:b/>
          <w:color w:val="231F20"/>
          <w:spacing w:val="-6"/>
        </w:rPr>
        <w:t xml:space="preserve"> </w:t>
      </w:r>
      <w:r>
        <w:rPr>
          <w:color w:val="231F20"/>
        </w:rPr>
        <w:t>–</w:t>
      </w:r>
      <w:r>
        <w:rPr>
          <w:color w:val="231F20"/>
          <w:spacing w:val="-6"/>
        </w:rPr>
        <w:t xml:space="preserve"> </w:t>
      </w:r>
      <w:r>
        <w:rPr>
          <w:color w:val="231F20"/>
        </w:rPr>
        <w:t>збір,</w:t>
      </w:r>
      <w:r>
        <w:rPr>
          <w:color w:val="231F20"/>
          <w:spacing w:val="-6"/>
        </w:rPr>
        <w:t xml:space="preserve"> </w:t>
      </w:r>
      <w:r>
        <w:rPr>
          <w:color w:val="231F20"/>
        </w:rPr>
        <w:t>що</w:t>
      </w:r>
      <w:r>
        <w:rPr>
          <w:color w:val="231F20"/>
          <w:spacing w:val="-6"/>
        </w:rPr>
        <w:t xml:space="preserve"> </w:t>
      </w:r>
      <w:r>
        <w:rPr>
          <w:color w:val="231F20"/>
        </w:rPr>
        <w:t>справляється</w:t>
      </w:r>
      <w:r>
        <w:rPr>
          <w:color w:val="231F20"/>
          <w:spacing w:val="-6"/>
        </w:rPr>
        <w:t xml:space="preserve"> </w:t>
      </w:r>
      <w:r>
        <w:rPr>
          <w:color w:val="231F20"/>
        </w:rPr>
        <w:t>на</w:t>
      </w:r>
      <w:r>
        <w:rPr>
          <w:color w:val="231F20"/>
          <w:spacing w:val="-6"/>
        </w:rPr>
        <w:t xml:space="preserve"> </w:t>
      </w:r>
      <w:r>
        <w:rPr>
          <w:color w:val="231F20"/>
        </w:rPr>
        <w:t>всій</w:t>
      </w:r>
      <w:r>
        <w:rPr>
          <w:color w:val="231F20"/>
          <w:spacing w:val="-6"/>
        </w:rPr>
        <w:t xml:space="preserve"> </w:t>
      </w:r>
      <w:r>
        <w:rPr>
          <w:color w:val="231F20"/>
        </w:rPr>
        <w:t>території</w:t>
      </w:r>
      <w:r>
        <w:rPr>
          <w:color w:val="231F20"/>
          <w:spacing w:val="-6"/>
        </w:rPr>
        <w:t xml:space="preserve"> </w:t>
      </w:r>
      <w:r>
        <w:rPr>
          <w:color w:val="231F20"/>
          <w:spacing w:val="-3"/>
        </w:rPr>
        <w:t>України</w:t>
      </w:r>
      <w:r>
        <w:rPr>
          <w:color w:val="231F20"/>
          <w:spacing w:val="-6"/>
        </w:rPr>
        <w:t xml:space="preserve"> </w:t>
      </w:r>
      <w:r>
        <w:rPr>
          <w:color w:val="231F20"/>
        </w:rPr>
        <w:t xml:space="preserve">за подання заяв, скарг до </w:t>
      </w:r>
      <w:r>
        <w:rPr>
          <w:color w:val="231F20"/>
          <w:spacing w:val="-7"/>
        </w:rPr>
        <w:t xml:space="preserve">суду, </w:t>
      </w:r>
      <w:r>
        <w:rPr>
          <w:color w:val="231F20"/>
        </w:rPr>
        <w:t xml:space="preserve">за видання </w:t>
      </w:r>
      <w:r>
        <w:rPr>
          <w:color w:val="231F20"/>
          <w:spacing w:val="-3"/>
        </w:rPr>
        <w:t xml:space="preserve">судами </w:t>
      </w:r>
      <w:r>
        <w:rPr>
          <w:color w:val="231F20"/>
        </w:rPr>
        <w:t xml:space="preserve">документів, а також у разі ухвалення окремих </w:t>
      </w:r>
      <w:r>
        <w:rPr>
          <w:color w:val="231F20"/>
          <w:spacing w:val="-3"/>
        </w:rPr>
        <w:t xml:space="preserve">судових </w:t>
      </w:r>
      <w:r>
        <w:rPr>
          <w:color w:val="231F20"/>
        </w:rPr>
        <w:t xml:space="preserve">рішень, передбачених Законом </w:t>
      </w:r>
      <w:r>
        <w:rPr>
          <w:color w:val="231F20"/>
          <w:spacing w:val="-3"/>
        </w:rPr>
        <w:t xml:space="preserve">України </w:t>
      </w:r>
      <w:r>
        <w:rPr>
          <w:color w:val="231F20"/>
        </w:rPr>
        <w:t xml:space="preserve">«Про </w:t>
      </w:r>
      <w:r>
        <w:rPr>
          <w:color w:val="231F20"/>
          <w:spacing w:val="-3"/>
        </w:rPr>
        <w:t>судовий</w:t>
      </w:r>
      <w:r>
        <w:rPr>
          <w:color w:val="231F20"/>
        </w:rPr>
        <w:t xml:space="preserve"> </w:t>
      </w:r>
      <w:r>
        <w:rPr>
          <w:color w:val="231F20"/>
        </w:rPr>
        <w:t>збір».</w:t>
      </w:r>
    </w:p>
    <w:p w14:paraId="100F0780" w14:textId="77777777" w:rsidR="00DE575E" w:rsidRDefault="002E7560">
      <w:pPr>
        <w:pStyle w:val="BodyText"/>
        <w:spacing w:before="2" w:line="252" w:lineRule="auto"/>
        <w:ind w:left="533" w:right="125" w:firstLine="283"/>
        <w:jc w:val="both"/>
      </w:pPr>
      <w:r>
        <w:rPr>
          <w:b/>
          <w:color w:val="231F20"/>
        </w:rPr>
        <w:t xml:space="preserve">Творча діяльність </w:t>
      </w:r>
      <w:r>
        <w:rPr>
          <w:color w:val="231F20"/>
        </w:rPr>
        <w:t>– індивідуальна чи колективна творчість, результатом якої є створення або інтерпретація творів, що мають</w:t>
      </w:r>
      <w:r>
        <w:rPr>
          <w:color w:val="231F20"/>
        </w:rPr>
        <w:t xml:space="preserve"> культурну цінність. Культурна цінність визнається за твором, який має художнє, історичне, етнографічне, наукове, освітнє, навчально- виховне або естетичне значення;</w:t>
      </w:r>
    </w:p>
    <w:p w14:paraId="2B9F8148" w14:textId="77777777" w:rsidR="00DE575E" w:rsidRDefault="002E7560">
      <w:pPr>
        <w:pStyle w:val="BodyText"/>
        <w:spacing w:before="2" w:line="252" w:lineRule="auto"/>
        <w:ind w:left="533" w:right="128" w:firstLine="283"/>
        <w:jc w:val="both"/>
      </w:pPr>
      <w:r>
        <w:rPr>
          <w:b/>
          <w:color w:val="231F20"/>
          <w:spacing w:val="-3"/>
        </w:rPr>
        <w:t xml:space="preserve">Технологічна  </w:t>
      </w:r>
      <w:r>
        <w:rPr>
          <w:b/>
          <w:color w:val="231F20"/>
        </w:rPr>
        <w:t xml:space="preserve">картка  </w:t>
      </w:r>
      <w:r>
        <w:rPr>
          <w:color w:val="231F20"/>
        </w:rPr>
        <w:t xml:space="preserve">адміністративної   послуги   –   </w:t>
      </w:r>
      <w:r>
        <w:rPr>
          <w:color w:val="231F20"/>
          <w:spacing w:val="-3"/>
        </w:rPr>
        <w:t xml:space="preserve">документ, </w:t>
      </w:r>
      <w:r>
        <w:rPr>
          <w:color w:val="231F20"/>
        </w:rPr>
        <w:t xml:space="preserve">у якому детально описується процедура надання конкретної адмі- ністративної послуги від моменту отримання </w:t>
      </w:r>
      <w:r>
        <w:rPr>
          <w:color w:val="231F20"/>
          <w:spacing w:val="-3"/>
        </w:rPr>
        <w:t>суб’єктом</w:t>
      </w:r>
      <w:r>
        <w:rPr>
          <w:color w:val="231F20"/>
          <w:spacing w:val="15"/>
        </w:rPr>
        <w:t xml:space="preserve"> </w:t>
      </w:r>
      <w:r>
        <w:rPr>
          <w:color w:val="231F20"/>
        </w:rPr>
        <w:t>надання</w:t>
      </w:r>
    </w:p>
    <w:p w14:paraId="212F8172" w14:textId="77777777" w:rsidR="00DE575E" w:rsidRDefault="00DE575E">
      <w:pPr>
        <w:pStyle w:val="BodyText"/>
        <w:spacing w:before="6"/>
        <w:rPr>
          <w:sz w:val="12"/>
        </w:rPr>
      </w:pPr>
    </w:p>
    <w:p w14:paraId="3685C789" w14:textId="77777777" w:rsidR="00DE575E" w:rsidRDefault="002E7560">
      <w:pPr>
        <w:spacing w:before="92"/>
        <w:ind w:left="533"/>
        <w:rPr>
          <w:rFonts w:ascii="Times New Roman"/>
          <w:sz w:val="20"/>
        </w:rPr>
      </w:pPr>
      <w:r>
        <w:rPr>
          <w:rFonts w:ascii="Times New Roman"/>
          <w:color w:val="231F20"/>
          <w:sz w:val="20"/>
        </w:rPr>
        <w:t>558</w:t>
      </w:r>
    </w:p>
    <w:p w14:paraId="4544936F" w14:textId="77777777" w:rsidR="00DE575E" w:rsidRDefault="00DE575E">
      <w:pPr>
        <w:rPr>
          <w:rFonts w:ascii="Times New Roman"/>
          <w:sz w:val="20"/>
        </w:rPr>
        <w:sectPr w:rsidR="00DE575E">
          <w:pgSz w:w="8510" w:h="12760"/>
          <w:pgMar w:top="660" w:right="720" w:bottom="280" w:left="600" w:header="720" w:footer="720" w:gutter="0"/>
          <w:cols w:space="720"/>
        </w:sectPr>
      </w:pPr>
    </w:p>
    <w:p w14:paraId="72D8D9CB" w14:textId="77777777" w:rsidR="00DE575E" w:rsidRDefault="002E7560">
      <w:pPr>
        <w:spacing w:before="72" w:after="9"/>
        <w:ind w:left="4590"/>
        <w:rPr>
          <w:rFonts w:ascii="AdonisC" w:hAnsi="AdonisC"/>
          <w:i/>
          <w:sz w:val="18"/>
        </w:rPr>
      </w:pPr>
      <w:r>
        <w:rPr>
          <w:rFonts w:ascii="AdonisC" w:hAnsi="AdonisC"/>
          <w:i/>
          <w:color w:val="231F20"/>
          <w:sz w:val="18"/>
        </w:rPr>
        <w:t>Словник основних термінів</w:t>
      </w:r>
    </w:p>
    <w:p w14:paraId="04284419" w14:textId="4D773374"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E689CE8" wp14:editId="022B2D58">
                <wp:extent cx="4140200" cy="6350"/>
                <wp:effectExtent l="0" t="0" r="12700" b="6350"/>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8" name="Line 4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91C3F3" id="Group_x0020_4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kbVE3fQIAAJQFAAAOAAAA&#10;AAAAAAAAAAAAACwCAABkcnMvZTJvRG9jLnhtbFBLAQItABQABgAIAAAAIQBMp7CQ2QAAAAMBAAAP&#10;AAAAAAAAAAAAAAAAANUEAABkcnMvZG93bnJldi54bWxQSwUGAAAAAAQABADzAAAA2wUAAAAA&#10;">
                <v:line id="Line_x0020_4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xoC8IAAADbAAAADwAAAGRycy9kb3ducmV2LnhtbERP3WrCMBS+H+wdwhl4M2aqDhmdUYYg&#10;iBf+tD7AsTlry5KT2kRbfXpzIezy4/ufLXprxJVaXztWMBomIIgLp2suFRzz1ccXCB+QNRrHpOBG&#10;Hhbz15cZptp1fKBrFkoRQ9inqKAKoUml9EVFFv3QNcSR+3WtxRBhW0rdYhfDrZHjJJlKizXHhgob&#10;WlZU/GUXqyA/vwez321Ml+9OE3k6byf3y1apwVv/8w0iUB/+xU/3Wiv4jGP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exoC8IAAADbAAAADwAAAAAAAAAAAAAA&#10;AAChAgAAZHJzL2Rvd25yZXYueG1sUEsFBgAAAAAEAAQA+QAAAJADAAAAAA==&#10;" strokecolor="#231f20" strokeweight=".5pt"/>
                <w10:anchorlock/>
              </v:group>
            </w:pict>
          </mc:Fallback>
        </mc:AlternateContent>
      </w:r>
    </w:p>
    <w:p w14:paraId="17C93698" w14:textId="77777777" w:rsidR="00DE575E" w:rsidRDefault="00DE575E">
      <w:pPr>
        <w:pStyle w:val="BodyText"/>
        <w:spacing w:before="7"/>
        <w:rPr>
          <w:rFonts w:ascii="AdonisC"/>
          <w:i/>
          <w:sz w:val="19"/>
        </w:rPr>
      </w:pPr>
    </w:p>
    <w:p w14:paraId="1D4031F3" w14:textId="77777777" w:rsidR="00DE575E" w:rsidRDefault="002E7560">
      <w:pPr>
        <w:pStyle w:val="BodyText"/>
        <w:spacing w:before="1" w:line="252" w:lineRule="auto"/>
        <w:ind w:left="250"/>
      </w:pPr>
      <w:r>
        <w:rPr>
          <w:color w:val="231F20"/>
        </w:rPr>
        <w:t>адміністративних посл</w:t>
      </w:r>
      <w:r>
        <w:rPr>
          <w:color w:val="231F20"/>
        </w:rPr>
        <w:t>уг заяви щодо адміністративної послуги до видання результату суб’єктові звернення.</w:t>
      </w:r>
    </w:p>
    <w:p w14:paraId="42C8EAC1" w14:textId="77777777" w:rsidR="00DE575E" w:rsidRDefault="002E7560">
      <w:pPr>
        <w:pStyle w:val="BodyText"/>
        <w:spacing w:before="1" w:line="252" w:lineRule="auto"/>
        <w:ind w:left="250" w:right="410" w:firstLine="283"/>
        <w:jc w:val="both"/>
      </w:pPr>
      <w:r>
        <w:rPr>
          <w:b/>
          <w:color w:val="231F20"/>
        </w:rPr>
        <w:t xml:space="preserve">Тимчасовий захист </w:t>
      </w:r>
      <w:r>
        <w:rPr>
          <w:color w:val="231F20"/>
        </w:rPr>
        <w:t>– форма захисту, що є винятковим практич- ним заходом, обмеженим у часі, і надається в Україні іноземцям та особам без громадянства, які масово прибули до України з країни, що має спільний кордон з Україною, і не можуть повернутися до країни постійного про</w:t>
      </w:r>
      <w:r>
        <w:rPr>
          <w:color w:val="231F20"/>
        </w:rPr>
        <w:t>живання через обставини, зазначені в законі.</w:t>
      </w:r>
    </w:p>
    <w:p w14:paraId="30E2BFC9" w14:textId="77777777" w:rsidR="00DE575E" w:rsidRDefault="002E7560">
      <w:pPr>
        <w:pStyle w:val="BodyText"/>
        <w:spacing w:before="2" w:line="252" w:lineRule="auto"/>
        <w:ind w:left="250" w:right="410" w:firstLine="283"/>
        <w:jc w:val="both"/>
      </w:pPr>
      <w:r>
        <w:rPr>
          <w:b/>
          <w:color w:val="231F20"/>
        </w:rPr>
        <w:t xml:space="preserve">Укази Президента України </w:t>
      </w:r>
      <w:r>
        <w:rPr>
          <w:color w:val="231F20"/>
        </w:rPr>
        <w:t>– нормативно-правові акти Глави держави, видані на основі й на виконання Конституції та законів України та пов’язанні з питаннями публічного адміністрування.</w:t>
      </w:r>
    </w:p>
    <w:p w14:paraId="05E45B6A" w14:textId="77777777" w:rsidR="00DE575E" w:rsidRDefault="002E7560">
      <w:pPr>
        <w:pStyle w:val="BodyText"/>
        <w:spacing w:before="2" w:line="252" w:lineRule="auto"/>
        <w:ind w:left="250" w:right="411" w:firstLine="283"/>
        <w:jc w:val="both"/>
      </w:pPr>
      <w:r>
        <w:rPr>
          <w:b/>
          <w:color w:val="231F20"/>
          <w:spacing w:val="-5"/>
        </w:rPr>
        <w:t xml:space="preserve">Ухвалення </w:t>
      </w:r>
      <w:r>
        <w:rPr>
          <w:b/>
          <w:color w:val="231F20"/>
        </w:rPr>
        <w:t xml:space="preserve">управлінських </w:t>
      </w:r>
      <w:r>
        <w:rPr>
          <w:b/>
          <w:color w:val="231F20"/>
          <w:spacing w:val="-3"/>
        </w:rPr>
        <w:t>ріше</w:t>
      </w:r>
      <w:r>
        <w:rPr>
          <w:b/>
          <w:color w:val="231F20"/>
          <w:spacing w:val="-3"/>
        </w:rPr>
        <w:t xml:space="preserve">нь </w:t>
      </w:r>
      <w:r>
        <w:rPr>
          <w:color w:val="231F20"/>
        </w:rPr>
        <w:t xml:space="preserve">– </w:t>
      </w:r>
      <w:r>
        <w:rPr>
          <w:color w:val="231F20"/>
          <w:spacing w:val="-3"/>
        </w:rPr>
        <w:t xml:space="preserve">процес трансформації вимог різноманітних груп </w:t>
      </w:r>
      <w:r>
        <w:rPr>
          <w:color w:val="231F20"/>
        </w:rPr>
        <w:t xml:space="preserve">і </w:t>
      </w:r>
      <w:r>
        <w:rPr>
          <w:color w:val="231F20"/>
          <w:spacing w:val="-3"/>
        </w:rPr>
        <w:t xml:space="preserve">громадян </w:t>
      </w:r>
      <w:r>
        <w:rPr>
          <w:color w:val="231F20"/>
        </w:rPr>
        <w:t xml:space="preserve">у </w:t>
      </w:r>
      <w:r>
        <w:rPr>
          <w:color w:val="231F20"/>
          <w:spacing w:val="-3"/>
        </w:rPr>
        <w:t xml:space="preserve">прийнятні </w:t>
      </w:r>
      <w:r>
        <w:rPr>
          <w:color w:val="231F20"/>
        </w:rPr>
        <w:t xml:space="preserve">для </w:t>
      </w:r>
      <w:r>
        <w:rPr>
          <w:color w:val="231F20"/>
          <w:spacing w:val="-3"/>
        </w:rPr>
        <w:t xml:space="preserve">суспільства засоби та </w:t>
      </w:r>
      <w:r>
        <w:rPr>
          <w:color w:val="231F20"/>
          <w:spacing w:val="-4"/>
        </w:rPr>
        <w:t xml:space="preserve">методи регулювання </w:t>
      </w:r>
      <w:r>
        <w:rPr>
          <w:color w:val="231F20"/>
          <w:spacing w:val="-3"/>
        </w:rPr>
        <w:t xml:space="preserve">соціальних відносин. Учасник адміністративної процедури </w:t>
      </w:r>
      <w:r>
        <w:rPr>
          <w:color w:val="231F20"/>
        </w:rPr>
        <w:t xml:space="preserve">– особа, яка має </w:t>
      </w:r>
      <w:r>
        <w:rPr>
          <w:color w:val="231F20"/>
          <w:spacing w:val="-3"/>
        </w:rPr>
        <w:t xml:space="preserve">певні права </w:t>
      </w:r>
      <w:r>
        <w:rPr>
          <w:color w:val="231F20"/>
        </w:rPr>
        <w:t xml:space="preserve">та обов’язки, </w:t>
      </w:r>
      <w:r>
        <w:rPr>
          <w:color w:val="231F20"/>
          <w:spacing w:val="-4"/>
        </w:rPr>
        <w:t xml:space="preserve">сформульовані </w:t>
      </w:r>
      <w:r>
        <w:rPr>
          <w:color w:val="231F20"/>
        </w:rPr>
        <w:t xml:space="preserve">в </w:t>
      </w:r>
      <w:r>
        <w:rPr>
          <w:color w:val="231F20"/>
          <w:spacing w:val="-3"/>
        </w:rPr>
        <w:t xml:space="preserve">нормах адміністративного права, </w:t>
      </w:r>
      <w:r>
        <w:rPr>
          <w:color w:val="231F20"/>
        </w:rPr>
        <w:t xml:space="preserve">й </w:t>
      </w:r>
      <w:r>
        <w:rPr>
          <w:color w:val="231F20"/>
          <w:spacing w:val="-3"/>
        </w:rPr>
        <w:t xml:space="preserve">бере участь </w:t>
      </w:r>
      <w:r>
        <w:rPr>
          <w:color w:val="231F20"/>
        </w:rPr>
        <w:t xml:space="preserve">у </w:t>
      </w:r>
      <w:r>
        <w:rPr>
          <w:color w:val="231F20"/>
          <w:spacing w:val="-4"/>
        </w:rPr>
        <w:t xml:space="preserve">розгляді </w:t>
      </w:r>
      <w:r>
        <w:rPr>
          <w:color w:val="231F20"/>
          <w:spacing w:val="-3"/>
        </w:rPr>
        <w:t xml:space="preserve">конкрет- </w:t>
      </w:r>
      <w:r>
        <w:rPr>
          <w:color w:val="231F20"/>
        </w:rPr>
        <w:t xml:space="preserve">ної </w:t>
      </w:r>
      <w:r>
        <w:rPr>
          <w:color w:val="231F20"/>
          <w:spacing w:val="-3"/>
        </w:rPr>
        <w:t xml:space="preserve">адміністративної справи </w:t>
      </w:r>
      <w:r>
        <w:rPr>
          <w:color w:val="231F20"/>
        </w:rPr>
        <w:t xml:space="preserve">з метою </w:t>
      </w:r>
      <w:r>
        <w:rPr>
          <w:color w:val="231F20"/>
          <w:spacing w:val="-3"/>
        </w:rPr>
        <w:t>реалізації власних</w:t>
      </w:r>
      <w:r>
        <w:rPr>
          <w:color w:val="231F20"/>
          <w:spacing w:val="-27"/>
        </w:rPr>
        <w:t xml:space="preserve"> </w:t>
      </w:r>
      <w:r>
        <w:rPr>
          <w:color w:val="231F20"/>
          <w:spacing w:val="-3"/>
        </w:rPr>
        <w:t>інтересів.</w:t>
      </w:r>
    </w:p>
    <w:p w14:paraId="2493995F" w14:textId="77777777" w:rsidR="00DE575E" w:rsidRDefault="002E7560">
      <w:pPr>
        <w:spacing w:before="3" w:line="252" w:lineRule="auto"/>
        <w:ind w:left="250" w:right="411" w:firstLine="283"/>
        <w:jc w:val="both"/>
        <w:rPr>
          <w:sz w:val="21"/>
        </w:rPr>
      </w:pPr>
      <w:r>
        <w:rPr>
          <w:b/>
          <w:color w:val="231F20"/>
          <w:sz w:val="21"/>
        </w:rPr>
        <w:t xml:space="preserve">Учасники адміністративних процедур: </w:t>
      </w:r>
      <w:r>
        <w:rPr>
          <w:color w:val="231F20"/>
          <w:sz w:val="21"/>
        </w:rPr>
        <w:t xml:space="preserve">1) адміністративний орган; 2) адресат (зокрема заявник); 3) зацікавлені особи; 4) пред- </w:t>
      </w:r>
      <w:r>
        <w:rPr>
          <w:color w:val="231F20"/>
          <w:sz w:val="21"/>
        </w:rPr>
        <w:t>ставники.</w:t>
      </w:r>
    </w:p>
    <w:p w14:paraId="4D6F9D44" w14:textId="77777777" w:rsidR="00DE575E" w:rsidRDefault="002E7560">
      <w:pPr>
        <w:pStyle w:val="BodyText"/>
        <w:spacing w:before="1" w:line="252" w:lineRule="auto"/>
        <w:ind w:left="250" w:right="411" w:firstLine="283"/>
        <w:jc w:val="both"/>
      </w:pPr>
      <w:r>
        <w:rPr>
          <w:b/>
          <w:color w:val="231F20"/>
        </w:rPr>
        <w:t xml:space="preserve">Фактична дія як інструмент публічного адміністрування </w:t>
      </w:r>
      <w:r>
        <w:rPr>
          <w:color w:val="231F20"/>
        </w:rPr>
        <w:t xml:space="preserve">– різновид активної адміністративної діяльності публічної адмі- ністрації, що має свідомо-вольовий характер із метою отримання фактичного </w:t>
      </w:r>
      <w:r>
        <w:rPr>
          <w:color w:val="231F20"/>
          <w:spacing w:val="-3"/>
        </w:rPr>
        <w:t xml:space="preserve">результату </w:t>
      </w:r>
      <w:r>
        <w:rPr>
          <w:color w:val="231F20"/>
        </w:rPr>
        <w:t>для приватних осіб під час надання адмі- ні</w:t>
      </w:r>
      <w:r>
        <w:rPr>
          <w:color w:val="231F20"/>
        </w:rPr>
        <w:t>стративних послуг і проведення перевірок,  що  не  призводить  до виникнення, зміни або припинення адміністративно-правових відносин.</w:t>
      </w:r>
    </w:p>
    <w:p w14:paraId="4DF105AE" w14:textId="77777777" w:rsidR="00DE575E" w:rsidRDefault="002E7560">
      <w:pPr>
        <w:pStyle w:val="BodyText"/>
        <w:spacing w:before="4" w:line="252" w:lineRule="auto"/>
        <w:ind w:left="250" w:right="411" w:firstLine="283"/>
        <w:jc w:val="both"/>
      </w:pPr>
      <w:r>
        <w:rPr>
          <w:b/>
          <w:color w:val="231F20"/>
        </w:rPr>
        <w:t xml:space="preserve">Фізична особа </w:t>
      </w:r>
      <w:r>
        <w:rPr>
          <w:color w:val="231F20"/>
        </w:rPr>
        <w:t xml:space="preserve">– це </w:t>
      </w:r>
      <w:r>
        <w:rPr>
          <w:color w:val="231F20"/>
          <w:spacing w:val="-3"/>
        </w:rPr>
        <w:t xml:space="preserve">будь-яка </w:t>
      </w:r>
      <w:r>
        <w:rPr>
          <w:color w:val="231F20"/>
        </w:rPr>
        <w:t>народжена і жива людина, що здійс- нює</w:t>
      </w:r>
      <w:r>
        <w:rPr>
          <w:color w:val="231F20"/>
          <w:spacing w:val="-6"/>
        </w:rPr>
        <w:t xml:space="preserve"> </w:t>
      </w:r>
      <w:r>
        <w:rPr>
          <w:color w:val="231F20"/>
        </w:rPr>
        <w:t>різні</w:t>
      </w:r>
      <w:r>
        <w:rPr>
          <w:color w:val="231F20"/>
          <w:spacing w:val="-6"/>
        </w:rPr>
        <w:t xml:space="preserve"> </w:t>
      </w:r>
      <w:r>
        <w:rPr>
          <w:color w:val="231F20"/>
        </w:rPr>
        <w:t>акти</w:t>
      </w:r>
      <w:r>
        <w:rPr>
          <w:color w:val="231F20"/>
          <w:spacing w:val="-6"/>
        </w:rPr>
        <w:t xml:space="preserve"> </w:t>
      </w:r>
      <w:r>
        <w:rPr>
          <w:color w:val="231F20"/>
        </w:rPr>
        <w:t>соціально</w:t>
      </w:r>
      <w:r>
        <w:rPr>
          <w:color w:val="231F20"/>
          <w:spacing w:val="-6"/>
        </w:rPr>
        <w:t xml:space="preserve"> </w:t>
      </w:r>
      <w:r>
        <w:rPr>
          <w:color w:val="231F20"/>
        </w:rPr>
        <w:t>значущого</w:t>
      </w:r>
      <w:r>
        <w:rPr>
          <w:color w:val="231F20"/>
          <w:spacing w:val="-6"/>
        </w:rPr>
        <w:t xml:space="preserve"> </w:t>
      </w:r>
      <w:r>
        <w:rPr>
          <w:color w:val="231F20"/>
        </w:rPr>
        <w:t>поводження</w:t>
      </w:r>
      <w:r>
        <w:rPr>
          <w:color w:val="231F20"/>
          <w:spacing w:val="-6"/>
        </w:rPr>
        <w:t xml:space="preserve"> </w:t>
      </w:r>
      <w:r>
        <w:rPr>
          <w:color w:val="231F20"/>
        </w:rPr>
        <w:t>й</w:t>
      </w:r>
      <w:r>
        <w:rPr>
          <w:color w:val="231F20"/>
          <w:spacing w:val="-6"/>
        </w:rPr>
        <w:t xml:space="preserve"> </w:t>
      </w:r>
      <w:r>
        <w:rPr>
          <w:color w:val="231F20"/>
        </w:rPr>
        <w:t>несе</w:t>
      </w:r>
      <w:r>
        <w:rPr>
          <w:color w:val="231F20"/>
          <w:spacing w:val="-6"/>
        </w:rPr>
        <w:t xml:space="preserve"> </w:t>
      </w:r>
      <w:r>
        <w:rPr>
          <w:color w:val="231F20"/>
        </w:rPr>
        <w:t>відпов</w:t>
      </w:r>
      <w:r>
        <w:rPr>
          <w:color w:val="231F20"/>
        </w:rPr>
        <w:t>ідаль- ність згідно зі своїм рівнем, віком, психічним і фізичним</w:t>
      </w:r>
      <w:r>
        <w:rPr>
          <w:color w:val="231F20"/>
          <w:spacing w:val="-30"/>
        </w:rPr>
        <w:t xml:space="preserve"> </w:t>
      </w:r>
      <w:r>
        <w:rPr>
          <w:color w:val="231F20"/>
        </w:rPr>
        <w:t>здоров’ям.</w:t>
      </w:r>
    </w:p>
    <w:p w14:paraId="3273C518" w14:textId="77777777" w:rsidR="00DE575E" w:rsidRDefault="002E7560">
      <w:pPr>
        <w:pStyle w:val="BodyText"/>
        <w:spacing w:before="1" w:line="252" w:lineRule="auto"/>
        <w:ind w:left="250" w:right="411" w:firstLine="283"/>
        <w:jc w:val="both"/>
      </w:pPr>
      <w:r>
        <w:rPr>
          <w:b/>
          <w:color w:val="231F20"/>
        </w:rPr>
        <w:t xml:space="preserve">Центр надання адміністративних послуг </w:t>
      </w:r>
      <w:r>
        <w:rPr>
          <w:color w:val="231F20"/>
        </w:rPr>
        <w:t>– постійний робочий орган або структурний підрозділ місцевої державної адміністрації або органу місцевого самоврядування, в якому надаються ад</w:t>
      </w:r>
      <w:r>
        <w:rPr>
          <w:color w:val="231F20"/>
        </w:rPr>
        <w:t>мініст- ративні</w:t>
      </w:r>
      <w:r>
        <w:rPr>
          <w:color w:val="231F20"/>
          <w:spacing w:val="-6"/>
        </w:rPr>
        <w:t xml:space="preserve"> </w:t>
      </w:r>
      <w:r>
        <w:rPr>
          <w:color w:val="231F20"/>
        </w:rPr>
        <w:t>послуги</w:t>
      </w:r>
      <w:r>
        <w:rPr>
          <w:color w:val="231F20"/>
          <w:spacing w:val="-6"/>
        </w:rPr>
        <w:t xml:space="preserve"> </w:t>
      </w:r>
      <w:r>
        <w:rPr>
          <w:color w:val="231F20"/>
        </w:rPr>
        <w:t>через</w:t>
      </w:r>
      <w:r>
        <w:rPr>
          <w:color w:val="231F20"/>
          <w:spacing w:val="-6"/>
        </w:rPr>
        <w:t xml:space="preserve"> </w:t>
      </w:r>
      <w:r>
        <w:rPr>
          <w:color w:val="231F20"/>
        </w:rPr>
        <w:t>адміністратора</w:t>
      </w:r>
      <w:r>
        <w:rPr>
          <w:color w:val="231F20"/>
          <w:spacing w:val="-6"/>
        </w:rPr>
        <w:t xml:space="preserve"> </w:t>
      </w:r>
      <w:r>
        <w:rPr>
          <w:color w:val="231F20"/>
        </w:rPr>
        <w:t>через</w:t>
      </w:r>
      <w:r>
        <w:rPr>
          <w:color w:val="231F20"/>
          <w:spacing w:val="-6"/>
        </w:rPr>
        <w:t xml:space="preserve"> </w:t>
      </w:r>
      <w:r>
        <w:rPr>
          <w:color w:val="231F20"/>
        </w:rPr>
        <w:t>його</w:t>
      </w:r>
      <w:r>
        <w:rPr>
          <w:color w:val="231F20"/>
          <w:spacing w:val="-6"/>
        </w:rPr>
        <w:t xml:space="preserve"> </w:t>
      </w:r>
      <w:r>
        <w:rPr>
          <w:color w:val="231F20"/>
        </w:rPr>
        <w:t>взаємодію</w:t>
      </w:r>
      <w:r>
        <w:rPr>
          <w:color w:val="231F20"/>
          <w:spacing w:val="-6"/>
        </w:rPr>
        <w:t xml:space="preserve"> </w:t>
      </w:r>
      <w:r>
        <w:rPr>
          <w:color w:val="231F20"/>
        </w:rPr>
        <w:t>з</w:t>
      </w:r>
      <w:r>
        <w:rPr>
          <w:color w:val="231F20"/>
          <w:spacing w:val="-6"/>
        </w:rPr>
        <w:t xml:space="preserve"> </w:t>
      </w:r>
      <w:r>
        <w:rPr>
          <w:color w:val="231F20"/>
          <w:spacing w:val="-4"/>
        </w:rPr>
        <w:t xml:space="preserve">суб’єк- </w:t>
      </w:r>
      <w:r>
        <w:rPr>
          <w:color w:val="231F20"/>
        </w:rPr>
        <w:t>тами надання адміністративних</w:t>
      </w:r>
      <w:r>
        <w:rPr>
          <w:color w:val="231F20"/>
          <w:spacing w:val="-3"/>
        </w:rPr>
        <w:t xml:space="preserve"> послуг.</w:t>
      </w:r>
    </w:p>
    <w:p w14:paraId="1E5CFE3E" w14:textId="77777777" w:rsidR="00DE575E" w:rsidRDefault="002E7560">
      <w:pPr>
        <w:spacing w:before="2" w:line="252" w:lineRule="auto"/>
        <w:ind w:left="250" w:right="410" w:firstLine="283"/>
        <w:jc w:val="both"/>
        <w:rPr>
          <w:sz w:val="21"/>
        </w:rPr>
      </w:pPr>
      <w:r>
        <w:rPr>
          <w:b/>
          <w:color w:val="231F20"/>
          <w:sz w:val="21"/>
        </w:rPr>
        <w:t xml:space="preserve">Юридичний склад адміністративного проступку фізичної особи </w:t>
      </w:r>
      <w:r>
        <w:rPr>
          <w:color w:val="231F20"/>
          <w:sz w:val="21"/>
        </w:rPr>
        <w:t xml:space="preserve">– сукупність ознак єдності його </w:t>
      </w:r>
      <w:r>
        <w:rPr>
          <w:color w:val="231F20"/>
          <w:spacing w:val="-3"/>
          <w:sz w:val="21"/>
        </w:rPr>
        <w:t xml:space="preserve">об’єктивних </w:t>
      </w:r>
      <w:r>
        <w:rPr>
          <w:color w:val="231F20"/>
          <w:sz w:val="21"/>
        </w:rPr>
        <w:t xml:space="preserve">і </w:t>
      </w:r>
      <w:r>
        <w:rPr>
          <w:color w:val="231F20"/>
          <w:spacing w:val="-3"/>
          <w:sz w:val="21"/>
        </w:rPr>
        <w:t xml:space="preserve">суб’єктивних </w:t>
      </w:r>
      <w:r>
        <w:rPr>
          <w:color w:val="231F20"/>
          <w:sz w:val="21"/>
        </w:rPr>
        <w:t xml:space="preserve">характеристик, які потрібні для визначення цього діяння правопо- рушенням </w:t>
      </w:r>
      <w:r>
        <w:rPr>
          <w:color w:val="231F20"/>
          <w:spacing w:val="-4"/>
          <w:sz w:val="21"/>
        </w:rPr>
        <w:t xml:space="preserve">(об’єкт </w:t>
      </w:r>
      <w:r>
        <w:rPr>
          <w:color w:val="231F20"/>
          <w:sz w:val="21"/>
        </w:rPr>
        <w:t xml:space="preserve">проступку; </w:t>
      </w:r>
      <w:r>
        <w:rPr>
          <w:color w:val="231F20"/>
          <w:spacing w:val="-3"/>
          <w:sz w:val="21"/>
        </w:rPr>
        <w:t xml:space="preserve">об’єктивна </w:t>
      </w:r>
      <w:r>
        <w:rPr>
          <w:color w:val="231F20"/>
          <w:sz w:val="21"/>
        </w:rPr>
        <w:t xml:space="preserve">сторона; </w:t>
      </w:r>
      <w:r>
        <w:rPr>
          <w:color w:val="231F20"/>
          <w:spacing w:val="-4"/>
          <w:sz w:val="21"/>
        </w:rPr>
        <w:t xml:space="preserve">суб’єкт </w:t>
      </w:r>
      <w:r>
        <w:rPr>
          <w:color w:val="231F20"/>
          <w:sz w:val="21"/>
        </w:rPr>
        <w:t xml:space="preserve">проступку; </w:t>
      </w:r>
      <w:r>
        <w:rPr>
          <w:color w:val="231F20"/>
          <w:spacing w:val="-3"/>
          <w:sz w:val="21"/>
        </w:rPr>
        <w:t xml:space="preserve">суб’єктивна </w:t>
      </w:r>
      <w:r>
        <w:rPr>
          <w:color w:val="231F20"/>
          <w:sz w:val="21"/>
        </w:rPr>
        <w:t>сторона).</w:t>
      </w:r>
    </w:p>
    <w:p w14:paraId="70923FCD" w14:textId="77777777" w:rsidR="00DE575E" w:rsidRDefault="00DE575E">
      <w:pPr>
        <w:pStyle w:val="BodyText"/>
        <w:spacing w:before="7"/>
        <w:rPr>
          <w:sz w:val="12"/>
        </w:rPr>
      </w:pPr>
    </w:p>
    <w:p w14:paraId="35A68CEA" w14:textId="77777777" w:rsidR="00DE575E" w:rsidRDefault="002E7560">
      <w:pPr>
        <w:spacing w:before="92"/>
        <w:ind w:right="411"/>
        <w:jc w:val="right"/>
        <w:rPr>
          <w:rFonts w:ascii="Times New Roman"/>
          <w:sz w:val="20"/>
        </w:rPr>
      </w:pPr>
      <w:r>
        <w:rPr>
          <w:rFonts w:ascii="Times New Roman"/>
          <w:color w:val="231F20"/>
          <w:w w:val="90"/>
          <w:sz w:val="20"/>
        </w:rPr>
        <w:t>559</w:t>
      </w:r>
    </w:p>
    <w:p w14:paraId="5178C725"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217CC3F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A7789D1" w14:textId="43D56000"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A546DA1" wp14:editId="02E26F52">
                <wp:extent cx="4140200" cy="6350"/>
                <wp:effectExtent l="0" t="0" r="12700" b="6350"/>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6" name="Line 4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34EFB8" id="Group_x0020_4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iNhyQfQIAAJQFAAAOAAAA&#10;AAAAAAAAAAAAACwCAABkcnMvZTJvRG9jLnhtbFBLAQItABQABgAIAAAAIQBMp7CQ2QAAAAMBAAAP&#10;AAAAAAAAAAAAAAAAANUEAABkcnMvZG93bnJldi54bWxQSwUGAAAAAAQABADzAAAA2wUAAAAA&#10;">
                <v:line id="Line_x0020_4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9Z4sUAAADbAAAADwAAAGRycy9kb3ducmV2LnhtbESP0WrCQBRE3wX/YbkFX6RuqiIluooU&#10;CsUHtaYfcM1ek9DduzG7mtiv7wqCj8PMnGEWq84acaXGV44VvI0SEMS50xUXCn6yz9d3ED4gazSO&#10;ScGNPKyW/d4CU+1a/qbrIRQiQtinqKAMoU6l9HlJFv3I1cTRO7nGYoiyKaRusI1wa+Q4SWbSYsVx&#10;ocSaPkrKfw8XqyA7D4PZ7zamzXbHiTyet5O/y1apwUu3noMI1IVn+NH+0gqmM7h/iT9AL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z9Z4sUAAADbAAAADwAAAAAAAAAA&#10;AAAAAAChAgAAZHJzL2Rvd25yZXYueG1sUEsFBgAAAAAEAAQA+QAAAJMDAAAAAA==&#10;" strokecolor="#231f20" strokeweight=".5pt"/>
                <w10:anchorlock/>
              </v:group>
            </w:pict>
          </mc:Fallback>
        </mc:AlternateContent>
      </w:r>
    </w:p>
    <w:p w14:paraId="66EEE6A6" w14:textId="77777777" w:rsidR="00DE575E" w:rsidRDefault="00DE575E">
      <w:pPr>
        <w:pStyle w:val="BodyText"/>
        <w:spacing w:before="7"/>
        <w:rPr>
          <w:rFonts w:ascii="AdonisC"/>
          <w:i/>
          <w:sz w:val="11"/>
        </w:rPr>
      </w:pPr>
    </w:p>
    <w:p w14:paraId="76135255" w14:textId="77777777" w:rsidR="00DE575E" w:rsidRDefault="002E7560">
      <w:pPr>
        <w:pStyle w:val="BodyText"/>
        <w:spacing w:before="101" w:line="252" w:lineRule="auto"/>
        <w:ind w:left="533" w:right="126" w:firstLine="283"/>
        <w:jc w:val="both"/>
      </w:pPr>
      <w:r>
        <w:rPr>
          <w:b/>
          <w:color w:val="231F20"/>
        </w:rPr>
        <w:t xml:space="preserve">Юридичний факт </w:t>
      </w:r>
      <w:r>
        <w:rPr>
          <w:color w:val="231F20"/>
        </w:rPr>
        <w:t>– конкретна життєва обставина, з якою</w:t>
      </w:r>
      <w:r>
        <w:rPr>
          <w:color w:val="231F20"/>
          <w:spacing w:val="-27"/>
        </w:rPr>
        <w:t xml:space="preserve"> </w:t>
      </w:r>
      <w:r>
        <w:rPr>
          <w:color w:val="231F20"/>
        </w:rPr>
        <w:t>норма адміністративного права пов’язує виникнення, зміну або припи- нення адміністративно-правових</w:t>
      </w:r>
      <w:r>
        <w:rPr>
          <w:color w:val="231F20"/>
          <w:spacing w:val="-2"/>
        </w:rPr>
        <w:t xml:space="preserve"> </w:t>
      </w:r>
      <w:r>
        <w:rPr>
          <w:color w:val="231F20"/>
        </w:rPr>
        <w:t>відносин.</w:t>
      </w:r>
    </w:p>
    <w:p w14:paraId="5E4A7386" w14:textId="77777777" w:rsidR="00DE575E" w:rsidRDefault="002E7560">
      <w:pPr>
        <w:pStyle w:val="BodyText"/>
        <w:spacing w:before="1" w:line="252" w:lineRule="auto"/>
        <w:ind w:left="533" w:right="127" w:firstLine="283"/>
        <w:jc w:val="both"/>
      </w:pPr>
      <w:r>
        <w:rPr>
          <w:b/>
          <w:color w:val="231F20"/>
        </w:rPr>
        <w:t xml:space="preserve">Юридичні акти «м’якого права» </w:t>
      </w:r>
      <w:r>
        <w:rPr>
          <w:color w:val="231F20"/>
        </w:rPr>
        <w:t>– інституційні,</w:t>
      </w:r>
      <w:r>
        <w:rPr>
          <w:color w:val="231F20"/>
          <w:spacing w:val="-34"/>
        </w:rPr>
        <w:t xml:space="preserve"> </w:t>
      </w:r>
      <w:r>
        <w:rPr>
          <w:color w:val="231F20"/>
        </w:rPr>
        <w:t>рекомендаційні норми, які містяться у відповідних джерелах – документах міжна- родних міжурядових</w:t>
      </w:r>
      <w:r>
        <w:rPr>
          <w:color w:val="231F20"/>
          <w:spacing w:val="-2"/>
        </w:rPr>
        <w:t xml:space="preserve"> </w:t>
      </w:r>
      <w:r>
        <w:rPr>
          <w:color w:val="231F20"/>
        </w:rPr>
        <w:t>організацій.</w:t>
      </w:r>
    </w:p>
    <w:p w14:paraId="693EC434" w14:textId="77777777" w:rsidR="00DE575E" w:rsidRDefault="002E7560">
      <w:pPr>
        <w:pStyle w:val="BodyText"/>
        <w:spacing w:before="2" w:line="252" w:lineRule="auto"/>
        <w:ind w:left="533" w:right="126" w:firstLine="283"/>
        <w:jc w:val="both"/>
      </w:pPr>
      <w:r>
        <w:rPr>
          <w:b/>
          <w:color w:val="231F20"/>
        </w:rPr>
        <w:t xml:space="preserve">Юридичні особи </w:t>
      </w:r>
      <w:r>
        <w:rPr>
          <w:color w:val="231F20"/>
        </w:rPr>
        <w:t>– органи публічної влади, будь-які інші органи публічної адміністрації, органи місцевого самоврядування, об’єд- нання громадян, пі</w:t>
      </w:r>
      <w:r>
        <w:rPr>
          <w:color w:val="231F20"/>
        </w:rPr>
        <w:t>дприємства, установи, організації (в особі їх керівників, які очолюють органи публічного адміністрування цих підприємств, установ, організацій).</w:t>
      </w:r>
    </w:p>
    <w:p w14:paraId="27F9E7A4" w14:textId="77777777" w:rsidR="00DE575E" w:rsidRDefault="00DE575E">
      <w:pPr>
        <w:pStyle w:val="BodyText"/>
        <w:rPr>
          <w:sz w:val="20"/>
        </w:rPr>
      </w:pPr>
    </w:p>
    <w:p w14:paraId="393855DF" w14:textId="77777777" w:rsidR="00DE575E" w:rsidRDefault="00DE575E">
      <w:pPr>
        <w:pStyle w:val="BodyText"/>
        <w:rPr>
          <w:sz w:val="20"/>
        </w:rPr>
      </w:pPr>
    </w:p>
    <w:p w14:paraId="414316F1" w14:textId="77777777" w:rsidR="00DE575E" w:rsidRDefault="00DE575E">
      <w:pPr>
        <w:pStyle w:val="BodyText"/>
        <w:rPr>
          <w:sz w:val="20"/>
        </w:rPr>
      </w:pPr>
    </w:p>
    <w:p w14:paraId="45D3E79A" w14:textId="77777777" w:rsidR="00DE575E" w:rsidRDefault="00DE575E">
      <w:pPr>
        <w:pStyle w:val="BodyText"/>
        <w:rPr>
          <w:sz w:val="20"/>
        </w:rPr>
      </w:pPr>
    </w:p>
    <w:p w14:paraId="6D68E6CB" w14:textId="77777777" w:rsidR="00DE575E" w:rsidRDefault="00DE575E">
      <w:pPr>
        <w:pStyle w:val="BodyText"/>
        <w:rPr>
          <w:sz w:val="20"/>
        </w:rPr>
      </w:pPr>
    </w:p>
    <w:p w14:paraId="6C6AF081" w14:textId="77777777" w:rsidR="00DE575E" w:rsidRDefault="00DE575E">
      <w:pPr>
        <w:pStyle w:val="BodyText"/>
        <w:rPr>
          <w:sz w:val="20"/>
        </w:rPr>
      </w:pPr>
    </w:p>
    <w:p w14:paraId="5D998151" w14:textId="77777777" w:rsidR="00DE575E" w:rsidRDefault="00DE575E">
      <w:pPr>
        <w:pStyle w:val="BodyText"/>
        <w:rPr>
          <w:sz w:val="20"/>
        </w:rPr>
      </w:pPr>
    </w:p>
    <w:p w14:paraId="6502F563" w14:textId="77777777" w:rsidR="00DE575E" w:rsidRDefault="00DE575E">
      <w:pPr>
        <w:pStyle w:val="BodyText"/>
        <w:rPr>
          <w:sz w:val="20"/>
        </w:rPr>
      </w:pPr>
    </w:p>
    <w:p w14:paraId="3D8CC58F" w14:textId="77777777" w:rsidR="00DE575E" w:rsidRDefault="00DE575E">
      <w:pPr>
        <w:pStyle w:val="BodyText"/>
        <w:rPr>
          <w:sz w:val="20"/>
        </w:rPr>
      </w:pPr>
    </w:p>
    <w:p w14:paraId="5C83DCAF" w14:textId="77777777" w:rsidR="00DE575E" w:rsidRDefault="00DE575E">
      <w:pPr>
        <w:pStyle w:val="BodyText"/>
        <w:rPr>
          <w:sz w:val="20"/>
        </w:rPr>
      </w:pPr>
    </w:p>
    <w:p w14:paraId="49B60854" w14:textId="77777777" w:rsidR="00DE575E" w:rsidRDefault="00DE575E">
      <w:pPr>
        <w:pStyle w:val="BodyText"/>
        <w:rPr>
          <w:sz w:val="20"/>
        </w:rPr>
      </w:pPr>
    </w:p>
    <w:p w14:paraId="676A67CA" w14:textId="77777777" w:rsidR="00DE575E" w:rsidRDefault="00DE575E">
      <w:pPr>
        <w:pStyle w:val="BodyText"/>
        <w:rPr>
          <w:sz w:val="20"/>
        </w:rPr>
      </w:pPr>
    </w:p>
    <w:p w14:paraId="781C9216" w14:textId="77777777" w:rsidR="00DE575E" w:rsidRDefault="00DE575E">
      <w:pPr>
        <w:pStyle w:val="BodyText"/>
        <w:rPr>
          <w:sz w:val="20"/>
        </w:rPr>
      </w:pPr>
    </w:p>
    <w:p w14:paraId="7B1D50CC" w14:textId="77777777" w:rsidR="00DE575E" w:rsidRDefault="00DE575E">
      <w:pPr>
        <w:pStyle w:val="BodyText"/>
        <w:rPr>
          <w:sz w:val="20"/>
        </w:rPr>
      </w:pPr>
    </w:p>
    <w:p w14:paraId="2EB19739" w14:textId="77777777" w:rsidR="00DE575E" w:rsidRDefault="00DE575E">
      <w:pPr>
        <w:pStyle w:val="BodyText"/>
        <w:rPr>
          <w:sz w:val="20"/>
        </w:rPr>
      </w:pPr>
    </w:p>
    <w:p w14:paraId="6E033BF2" w14:textId="77777777" w:rsidR="00DE575E" w:rsidRDefault="00DE575E">
      <w:pPr>
        <w:pStyle w:val="BodyText"/>
        <w:rPr>
          <w:sz w:val="20"/>
        </w:rPr>
      </w:pPr>
    </w:p>
    <w:p w14:paraId="0D1FB5BE" w14:textId="77777777" w:rsidR="00DE575E" w:rsidRDefault="00DE575E">
      <w:pPr>
        <w:pStyle w:val="BodyText"/>
        <w:rPr>
          <w:sz w:val="20"/>
        </w:rPr>
      </w:pPr>
    </w:p>
    <w:p w14:paraId="148BF332" w14:textId="77777777" w:rsidR="00DE575E" w:rsidRDefault="00DE575E">
      <w:pPr>
        <w:pStyle w:val="BodyText"/>
        <w:rPr>
          <w:sz w:val="20"/>
        </w:rPr>
      </w:pPr>
    </w:p>
    <w:p w14:paraId="57FD8F58" w14:textId="77777777" w:rsidR="00DE575E" w:rsidRDefault="00DE575E">
      <w:pPr>
        <w:pStyle w:val="BodyText"/>
        <w:rPr>
          <w:sz w:val="20"/>
        </w:rPr>
      </w:pPr>
    </w:p>
    <w:p w14:paraId="3570F611" w14:textId="77777777" w:rsidR="00DE575E" w:rsidRDefault="00DE575E">
      <w:pPr>
        <w:pStyle w:val="BodyText"/>
        <w:rPr>
          <w:sz w:val="20"/>
        </w:rPr>
      </w:pPr>
    </w:p>
    <w:p w14:paraId="499CAE83" w14:textId="77777777" w:rsidR="00DE575E" w:rsidRDefault="00DE575E">
      <w:pPr>
        <w:pStyle w:val="BodyText"/>
        <w:rPr>
          <w:sz w:val="20"/>
        </w:rPr>
      </w:pPr>
    </w:p>
    <w:p w14:paraId="1ADFA43E" w14:textId="77777777" w:rsidR="00DE575E" w:rsidRDefault="00DE575E">
      <w:pPr>
        <w:pStyle w:val="BodyText"/>
        <w:rPr>
          <w:sz w:val="20"/>
        </w:rPr>
      </w:pPr>
    </w:p>
    <w:p w14:paraId="10ACB166" w14:textId="77777777" w:rsidR="00DE575E" w:rsidRDefault="00DE575E">
      <w:pPr>
        <w:pStyle w:val="BodyText"/>
        <w:rPr>
          <w:sz w:val="20"/>
        </w:rPr>
      </w:pPr>
    </w:p>
    <w:p w14:paraId="4C1E457C" w14:textId="77777777" w:rsidR="00DE575E" w:rsidRDefault="00DE575E">
      <w:pPr>
        <w:pStyle w:val="BodyText"/>
        <w:rPr>
          <w:sz w:val="20"/>
        </w:rPr>
      </w:pPr>
    </w:p>
    <w:p w14:paraId="405C7F10" w14:textId="77777777" w:rsidR="00DE575E" w:rsidRDefault="00DE575E">
      <w:pPr>
        <w:pStyle w:val="BodyText"/>
        <w:rPr>
          <w:sz w:val="20"/>
        </w:rPr>
      </w:pPr>
    </w:p>
    <w:p w14:paraId="37835A8F" w14:textId="77777777" w:rsidR="00DE575E" w:rsidRDefault="00DE575E">
      <w:pPr>
        <w:pStyle w:val="BodyText"/>
        <w:rPr>
          <w:sz w:val="20"/>
        </w:rPr>
      </w:pPr>
    </w:p>
    <w:p w14:paraId="4536004F" w14:textId="77777777" w:rsidR="00DE575E" w:rsidRDefault="00DE575E">
      <w:pPr>
        <w:pStyle w:val="BodyText"/>
        <w:rPr>
          <w:sz w:val="20"/>
        </w:rPr>
      </w:pPr>
    </w:p>
    <w:p w14:paraId="43B6A0CE" w14:textId="77777777" w:rsidR="00DE575E" w:rsidRDefault="00DE575E">
      <w:pPr>
        <w:pStyle w:val="BodyText"/>
        <w:rPr>
          <w:sz w:val="20"/>
        </w:rPr>
      </w:pPr>
    </w:p>
    <w:p w14:paraId="5043CAF6" w14:textId="77777777" w:rsidR="00DE575E" w:rsidRDefault="00DE575E">
      <w:pPr>
        <w:pStyle w:val="BodyText"/>
        <w:rPr>
          <w:sz w:val="20"/>
        </w:rPr>
      </w:pPr>
    </w:p>
    <w:p w14:paraId="53CE2E2F" w14:textId="77777777" w:rsidR="00DE575E" w:rsidRDefault="00DE575E">
      <w:pPr>
        <w:pStyle w:val="BodyText"/>
        <w:rPr>
          <w:sz w:val="20"/>
        </w:rPr>
      </w:pPr>
    </w:p>
    <w:p w14:paraId="27CEB3B7" w14:textId="77777777" w:rsidR="00DE575E" w:rsidRDefault="00DE575E">
      <w:pPr>
        <w:pStyle w:val="BodyText"/>
        <w:rPr>
          <w:sz w:val="20"/>
        </w:rPr>
      </w:pPr>
    </w:p>
    <w:p w14:paraId="3FD149E0" w14:textId="77777777" w:rsidR="00DE575E" w:rsidRDefault="00DE575E">
      <w:pPr>
        <w:pStyle w:val="BodyText"/>
        <w:spacing w:before="11"/>
        <w:rPr>
          <w:sz w:val="18"/>
        </w:rPr>
      </w:pPr>
    </w:p>
    <w:p w14:paraId="5B0BDA69" w14:textId="77777777" w:rsidR="00DE575E" w:rsidRDefault="002E7560">
      <w:pPr>
        <w:ind w:left="533"/>
        <w:rPr>
          <w:rFonts w:ascii="Times New Roman"/>
          <w:sz w:val="20"/>
        </w:rPr>
      </w:pPr>
      <w:r>
        <w:rPr>
          <w:rFonts w:ascii="Times New Roman"/>
          <w:color w:val="231F20"/>
          <w:sz w:val="20"/>
        </w:rPr>
        <w:t>560</w:t>
      </w:r>
    </w:p>
    <w:p w14:paraId="70C6C549" w14:textId="77777777" w:rsidR="00DE575E" w:rsidRDefault="00DE575E">
      <w:pPr>
        <w:rPr>
          <w:rFonts w:ascii="Times New Roman"/>
          <w:sz w:val="20"/>
        </w:rPr>
        <w:sectPr w:rsidR="00DE575E">
          <w:pgSz w:w="8510" w:h="12760"/>
          <w:pgMar w:top="660" w:right="720" w:bottom="280" w:left="600" w:header="720" w:footer="720" w:gutter="0"/>
          <w:cols w:space="720"/>
        </w:sectPr>
      </w:pPr>
    </w:p>
    <w:p w14:paraId="148B64E1" w14:textId="77777777" w:rsidR="00DE575E" w:rsidRDefault="002E7560">
      <w:pPr>
        <w:pStyle w:val="Heading2"/>
        <w:spacing w:before="173"/>
        <w:ind w:left="1809"/>
      </w:pPr>
      <w:r>
        <w:rPr>
          <w:color w:val="231F20"/>
        </w:rPr>
        <w:t>ВІДОМОСТІ ПРО АВТОРІВ</w:t>
      </w:r>
    </w:p>
    <w:p w14:paraId="42A9B9D2" w14:textId="77777777" w:rsidR="00DE575E" w:rsidRDefault="00DE575E">
      <w:pPr>
        <w:pStyle w:val="BodyText"/>
        <w:rPr>
          <w:b/>
          <w:sz w:val="20"/>
        </w:rPr>
      </w:pPr>
    </w:p>
    <w:p w14:paraId="044A7BF8" w14:textId="77777777" w:rsidR="00DE575E" w:rsidRDefault="00DE575E">
      <w:pPr>
        <w:pStyle w:val="BodyText"/>
        <w:spacing w:before="8"/>
        <w:rPr>
          <w:b/>
          <w:sz w:val="25"/>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52B84D1A" w14:textId="77777777">
        <w:trPr>
          <w:trHeight w:val="9204"/>
        </w:trPr>
        <w:tc>
          <w:tcPr>
            <w:tcW w:w="1701" w:type="dxa"/>
          </w:tcPr>
          <w:p w14:paraId="388281EE" w14:textId="77777777" w:rsidR="00DE575E" w:rsidRDefault="002E7560">
            <w:pPr>
              <w:pStyle w:val="TableParagraph"/>
              <w:spacing w:before="28" w:line="225" w:lineRule="auto"/>
              <w:ind w:left="432" w:right="421"/>
              <w:jc w:val="center"/>
              <w:rPr>
                <w:b/>
                <w:sz w:val="20"/>
              </w:rPr>
            </w:pPr>
            <w:r>
              <w:rPr>
                <w:b/>
                <w:color w:val="231F20"/>
                <w:sz w:val="20"/>
              </w:rPr>
              <w:t>Розділ 1 Глава І заг ред.</w:t>
            </w:r>
          </w:p>
          <w:p w14:paraId="01BF6114" w14:textId="77777777" w:rsidR="00DE575E" w:rsidRDefault="002E7560">
            <w:pPr>
              <w:pStyle w:val="TableParagraph"/>
              <w:spacing w:line="222" w:lineRule="exact"/>
              <w:ind w:left="239" w:right="230"/>
              <w:jc w:val="center"/>
              <w:rPr>
                <w:b/>
                <w:sz w:val="20"/>
              </w:rPr>
            </w:pPr>
            <w:r>
              <w:rPr>
                <w:b/>
                <w:color w:val="231F20"/>
                <w:sz w:val="20"/>
              </w:rPr>
              <w:t>В. Галунька</w:t>
            </w:r>
          </w:p>
        </w:tc>
        <w:tc>
          <w:tcPr>
            <w:tcW w:w="4809" w:type="dxa"/>
          </w:tcPr>
          <w:p w14:paraId="25FBF909" w14:textId="77777777" w:rsidR="00DE575E" w:rsidRDefault="002E7560">
            <w:pPr>
              <w:pStyle w:val="TableParagraph"/>
              <w:spacing w:before="34" w:line="218" w:lineRule="auto"/>
              <w:ind w:right="44" w:firstLine="283"/>
              <w:jc w:val="both"/>
              <w:rPr>
                <w:sz w:val="20"/>
              </w:rPr>
            </w:pPr>
            <w:r>
              <w:rPr>
                <w:b/>
                <w:color w:val="231F20"/>
                <w:sz w:val="20"/>
              </w:rPr>
              <w:t>Галунько Валентин Васильович</w:t>
            </w:r>
            <w:r>
              <w:rPr>
                <w:color w:val="231F20"/>
                <w:sz w:val="20"/>
              </w:rPr>
              <w:t>, доктор юридичних наук, професор, академік Академії АПН, голова Академії адміністративно-правових наук;</w:t>
            </w:r>
          </w:p>
          <w:p w14:paraId="4E8D8DA9" w14:textId="77777777" w:rsidR="00DE575E" w:rsidRDefault="002E7560">
            <w:pPr>
              <w:pStyle w:val="TableParagraph"/>
              <w:spacing w:line="218" w:lineRule="auto"/>
              <w:ind w:right="45" w:firstLine="283"/>
              <w:jc w:val="both"/>
              <w:rPr>
                <w:sz w:val="20"/>
              </w:rPr>
            </w:pPr>
            <w:r>
              <w:rPr>
                <w:b/>
                <w:color w:val="231F20"/>
                <w:sz w:val="20"/>
              </w:rPr>
              <w:t xml:space="preserve">Пєтков Сергій Валерійович </w:t>
            </w:r>
            <w:r>
              <w:rPr>
                <w:color w:val="231F20"/>
                <w:sz w:val="20"/>
              </w:rPr>
              <w:t>– доктор юридич- них наук, професор, перший проректор з науково- педагогічної роботи Університет</w:t>
            </w:r>
            <w:r>
              <w:rPr>
                <w:color w:val="231F20"/>
                <w:sz w:val="20"/>
              </w:rPr>
              <w:t>у імені Альфреда Нобеля</w:t>
            </w:r>
          </w:p>
          <w:p w14:paraId="27807080" w14:textId="77777777" w:rsidR="00DE575E" w:rsidRDefault="002E7560">
            <w:pPr>
              <w:pStyle w:val="TableParagraph"/>
              <w:spacing w:line="218" w:lineRule="auto"/>
              <w:ind w:right="44" w:firstLine="283"/>
              <w:jc w:val="both"/>
              <w:rPr>
                <w:sz w:val="20"/>
              </w:rPr>
            </w:pPr>
            <w:r>
              <w:rPr>
                <w:b/>
                <w:color w:val="231F20"/>
                <w:sz w:val="20"/>
              </w:rPr>
              <w:t>Іванищук Андрій Анатолійович</w:t>
            </w:r>
            <w:r>
              <w:rPr>
                <w:color w:val="231F20"/>
                <w:sz w:val="20"/>
              </w:rPr>
              <w:t>, доктор юридичних наук, науковий дослідник, академік Академії АПН, директор Науково-дослідного інсти- туту морського і космічного права;</w:t>
            </w:r>
          </w:p>
          <w:p w14:paraId="0568ABC1" w14:textId="77777777" w:rsidR="00DE575E" w:rsidRDefault="002E7560">
            <w:pPr>
              <w:pStyle w:val="TableParagraph"/>
              <w:spacing w:line="218" w:lineRule="auto"/>
              <w:ind w:right="44" w:firstLine="283"/>
              <w:jc w:val="both"/>
              <w:rPr>
                <w:sz w:val="20"/>
              </w:rPr>
            </w:pPr>
            <w:r>
              <w:rPr>
                <w:b/>
                <w:color w:val="231F20"/>
                <w:sz w:val="20"/>
              </w:rPr>
              <w:t>Гречанюк Сергій Костянтинович</w:t>
            </w:r>
            <w:r>
              <w:rPr>
                <w:color w:val="231F20"/>
                <w:sz w:val="20"/>
              </w:rPr>
              <w:t>, доктор юридичних наук, професор;</w:t>
            </w:r>
          </w:p>
          <w:p w14:paraId="1B91C902" w14:textId="77777777" w:rsidR="00DE575E" w:rsidRDefault="002E7560">
            <w:pPr>
              <w:pStyle w:val="TableParagraph"/>
              <w:spacing w:line="218" w:lineRule="auto"/>
              <w:ind w:right="45" w:firstLine="283"/>
              <w:jc w:val="both"/>
              <w:rPr>
                <w:sz w:val="20"/>
              </w:rPr>
            </w:pPr>
            <w:r>
              <w:rPr>
                <w:b/>
                <w:color w:val="231F20"/>
                <w:spacing w:val="-4"/>
                <w:sz w:val="20"/>
              </w:rPr>
              <w:t>Га</w:t>
            </w:r>
            <w:r>
              <w:rPr>
                <w:b/>
                <w:color w:val="231F20"/>
                <w:spacing w:val="-4"/>
                <w:sz w:val="20"/>
              </w:rPr>
              <w:t xml:space="preserve">лунько </w:t>
            </w:r>
            <w:r>
              <w:rPr>
                <w:b/>
                <w:color w:val="231F20"/>
                <w:sz w:val="20"/>
              </w:rPr>
              <w:t>Віра Миколаївна</w:t>
            </w:r>
            <w:r>
              <w:rPr>
                <w:color w:val="231F20"/>
                <w:sz w:val="20"/>
              </w:rPr>
              <w:t>, докторка юридич- них</w:t>
            </w:r>
            <w:r>
              <w:rPr>
                <w:color w:val="231F20"/>
                <w:spacing w:val="-11"/>
                <w:sz w:val="20"/>
              </w:rPr>
              <w:t xml:space="preserve"> </w:t>
            </w:r>
            <w:r>
              <w:rPr>
                <w:color w:val="231F20"/>
                <w:sz w:val="20"/>
              </w:rPr>
              <w:t>наук,</w:t>
            </w:r>
            <w:r>
              <w:rPr>
                <w:color w:val="231F20"/>
                <w:spacing w:val="-11"/>
                <w:sz w:val="20"/>
              </w:rPr>
              <w:t xml:space="preserve"> </w:t>
            </w:r>
            <w:r>
              <w:rPr>
                <w:color w:val="231F20"/>
                <w:sz w:val="20"/>
              </w:rPr>
              <w:t>доцентка,</w:t>
            </w:r>
            <w:r>
              <w:rPr>
                <w:color w:val="231F20"/>
                <w:spacing w:val="-11"/>
                <w:sz w:val="20"/>
              </w:rPr>
              <w:t xml:space="preserve"> </w:t>
            </w:r>
            <w:r>
              <w:rPr>
                <w:color w:val="231F20"/>
                <w:sz w:val="20"/>
              </w:rPr>
              <w:t>заступниця</w:t>
            </w:r>
            <w:r>
              <w:rPr>
                <w:color w:val="231F20"/>
                <w:spacing w:val="-12"/>
                <w:sz w:val="20"/>
              </w:rPr>
              <w:t xml:space="preserve"> </w:t>
            </w:r>
            <w:r>
              <w:rPr>
                <w:color w:val="231F20"/>
                <w:sz w:val="20"/>
              </w:rPr>
              <w:t>начальника</w:t>
            </w:r>
            <w:r>
              <w:rPr>
                <w:color w:val="231F20"/>
                <w:spacing w:val="-11"/>
                <w:sz w:val="20"/>
              </w:rPr>
              <w:t xml:space="preserve"> </w:t>
            </w:r>
            <w:r>
              <w:rPr>
                <w:color w:val="231F20"/>
                <w:sz w:val="20"/>
              </w:rPr>
              <w:t>Херсон- ського</w:t>
            </w:r>
            <w:r>
              <w:rPr>
                <w:color w:val="231F20"/>
                <w:spacing w:val="-10"/>
                <w:sz w:val="20"/>
              </w:rPr>
              <w:t xml:space="preserve"> </w:t>
            </w:r>
            <w:r>
              <w:rPr>
                <w:color w:val="231F20"/>
                <w:sz w:val="20"/>
              </w:rPr>
              <w:t>факультету</w:t>
            </w:r>
            <w:r>
              <w:rPr>
                <w:color w:val="231F20"/>
                <w:spacing w:val="-10"/>
                <w:sz w:val="20"/>
              </w:rPr>
              <w:t xml:space="preserve"> </w:t>
            </w:r>
            <w:r>
              <w:rPr>
                <w:color w:val="231F20"/>
                <w:sz w:val="20"/>
              </w:rPr>
              <w:t>Одеського</w:t>
            </w:r>
            <w:r>
              <w:rPr>
                <w:color w:val="231F20"/>
                <w:spacing w:val="-10"/>
                <w:sz w:val="20"/>
              </w:rPr>
              <w:t xml:space="preserve"> </w:t>
            </w:r>
            <w:r>
              <w:rPr>
                <w:color w:val="231F20"/>
                <w:sz w:val="20"/>
              </w:rPr>
              <w:t>державного</w:t>
            </w:r>
            <w:r>
              <w:rPr>
                <w:color w:val="231F20"/>
                <w:spacing w:val="-10"/>
                <w:sz w:val="20"/>
              </w:rPr>
              <w:t xml:space="preserve"> </w:t>
            </w:r>
            <w:r>
              <w:rPr>
                <w:color w:val="231F20"/>
                <w:sz w:val="20"/>
              </w:rPr>
              <w:t>універси- тету внутрішніх</w:t>
            </w:r>
            <w:r>
              <w:rPr>
                <w:color w:val="231F20"/>
                <w:spacing w:val="-3"/>
                <w:sz w:val="20"/>
              </w:rPr>
              <w:t xml:space="preserve"> </w:t>
            </w:r>
            <w:r>
              <w:rPr>
                <w:color w:val="231F20"/>
                <w:sz w:val="20"/>
              </w:rPr>
              <w:t>справ;</w:t>
            </w:r>
          </w:p>
          <w:p w14:paraId="42D9068D" w14:textId="77777777" w:rsidR="00DE575E" w:rsidRDefault="002E7560">
            <w:pPr>
              <w:pStyle w:val="TableParagraph"/>
              <w:spacing w:line="218" w:lineRule="auto"/>
              <w:ind w:right="44" w:firstLine="283"/>
              <w:jc w:val="both"/>
              <w:rPr>
                <w:sz w:val="20"/>
              </w:rPr>
            </w:pPr>
            <w:r>
              <w:rPr>
                <w:b/>
                <w:color w:val="231F20"/>
                <w:spacing w:val="-3"/>
                <w:sz w:val="20"/>
              </w:rPr>
              <w:t>Попова</w:t>
            </w:r>
            <w:r>
              <w:rPr>
                <w:b/>
                <w:color w:val="231F20"/>
                <w:spacing w:val="-17"/>
                <w:sz w:val="20"/>
              </w:rPr>
              <w:t xml:space="preserve"> </w:t>
            </w:r>
            <w:r>
              <w:rPr>
                <w:b/>
                <w:color w:val="231F20"/>
                <w:spacing w:val="-4"/>
                <w:sz w:val="20"/>
              </w:rPr>
              <w:t>Світлана</w:t>
            </w:r>
            <w:r>
              <w:rPr>
                <w:b/>
                <w:color w:val="231F20"/>
                <w:spacing w:val="-17"/>
                <w:sz w:val="20"/>
              </w:rPr>
              <w:t xml:space="preserve"> </w:t>
            </w:r>
            <w:r>
              <w:rPr>
                <w:b/>
                <w:color w:val="231F20"/>
                <w:spacing w:val="-3"/>
                <w:sz w:val="20"/>
              </w:rPr>
              <w:t>Миколаївна</w:t>
            </w:r>
            <w:r>
              <w:rPr>
                <w:color w:val="231F20"/>
                <w:spacing w:val="-3"/>
                <w:sz w:val="20"/>
              </w:rPr>
              <w:t>,</w:t>
            </w:r>
            <w:r>
              <w:rPr>
                <w:color w:val="231F20"/>
                <w:spacing w:val="-17"/>
                <w:sz w:val="20"/>
              </w:rPr>
              <w:t xml:space="preserve"> </w:t>
            </w:r>
            <w:r>
              <w:rPr>
                <w:color w:val="231F20"/>
                <w:spacing w:val="-3"/>
                <w:sz w:val="20"/>
              </w:rPr>
              <w:t>докторка</w:t>
            </w:r>
            <w:r>
              <w:rPr>
                <w:color w:val="231F20"/>
                <w:spacing w:val="-17"/>
                <w:sz w:val="20"/>
              </w:rPr>
              <w:t xml:space="preserve"> </w:t>
            </w:r>
            <w:r>
              <w:rPr>
                <w:color w:val="231F20"/>
                <w:spacing w:val="-3"/>
                <w:sz w:val="20"/>
              </w:rPr>
              <w:t xml:space="preserve">юридич- </w:t>
            </w:r>
            <w:r>
              <w:rPr>
                <w:color w:val="231F20"/>
                <w:sz w:val="20"/>
              </w:rPr>
              <w:t xml:space="preserve">них наук, професорка, професорка </w:t>
            </w:r>
            <w:r>
              <w:rPr>
                <w:color w:val="231F20"/>
                <w:spacing w:val="-3"/>
                <w:sz w:val="20"/>
              </w:rPr>
              <w:t xml:space="preserve">кафедра право- охоронної діяльності </w:t>
            </w:r>
            <w:r>
              <w:rPr>
                <w:color w:val="231F20"/>
                <w:sz w:val="20"/>
              </w:rPr>
              <w:t xml:space="preserve">та поліцеїстики </w:t>
            </w:r>
            <w:r>
              <w:rPr>
                <w:color w:val="231F20"/>
                <w:spacing w:val="-3"/>
                <w:sz w:val="20"/>
              </w:rPr>
              <w:t xml:space="preserve">Харківського </w:t>
            </w:r>
            <w:r>
              <w:rPr>
                <w:color w:val="231F20"/>
                <w:sz w:val="20"/>
              </w:rPr>
              <w:t xml:space="preserve">національного університету </w:t>
            </w:r>
            <w:r>
              <w:rPr>
                <w:color w:val="231F20"/>
                <w:spacing w:val="-3"/>
                <w:sz w:val="20"/>
              </w:rPr>
              <w:t>внутрішніх</w:t>
            </w:r>
            <w:r>
              <w:rPr>
                <w:color w:val="231F20"/>
                <w:spacing w:val="-21"/>
                <w:sz w:val="20"/>
              </w:rPr>
              <w:t xml:space="preserve"> </w:t>
            </w:r>
            <w:r>
              <w:rPr>
                <w:color w:val="231F20"/>
                <w:spacing w:val="-3"/>
                <w:sz w:val="20"/>
              </w:rPr>
              <w:t>справ;</w:t>
            </w:r>
          </w:p>
          <w:p w14:paraId="1ADD2B3D" w14:textId="77777777" w:rsidR="00DE575E" w:rsidRDefault="002E7560">
            <w:pPr>
              <w:pStyle w:val="TableParagraph"/>
              <w:spacing w:line="218" w:lineRule="auto"/>
              <w:ind w:right="44" w:firstLine="283"/>
              <w:jc w:val="both"/>
              <w:rPr>
                <w:sz w:val="20"/>
              </w:rPr>
            </w:pPr>
            <w:r>
              <w:rPr>
                <w:b/>
                <w:color w:val="231F20"/>
                <w:sz w:val="20"/>
              </w:rPr>
              <w:t>Христинченко Надія Петрівна</w:t>
            </w:r>
            <w:r>
              <w:rPr>
                <w:color w:val="231F20"/>
                <w:sz w:val="20"/>
              </w:rPr>
              <w:t>, докторка юридичних наук, професорка, професорка кафедри економічної безпеки та фінансових розслідувань Тернопільськог</w:t>
            </w:r>
            <w:r>
              <w:rPr>
                <w:color w:val="231F20"/>
                <w:sz w:val="20"/>
              </w:rPr>
              <w:t>о національного економічного університету;</w:t>
            </w:r>
          </w:p>
          <w:p w14:paraId="31D078BC" w14:textId="77777777" w:rsidR="00DE575E" w:rsidRDefault="002E7560">
            <w:pPr>
              <w:pStyle w:val="TableParagraph"/>
              <w:spacing w:line="218" w:lineRule="auto"/>
              <w:ind w:right="44" w:firstLine="283"/>
              <w:jc w:val="both"/>
              <w:rPr>
                <w:sz w:val="20"/>
              </w:rPr>
            </w:pPr>
            <w:r>
              <w:rPr>
                <w:b/>
                <w:color w:val="231F20"/>
                <w:spacing w:val="-3"/>
                <w:sz w:val="20"/>
              </w:rPr>
              <w:t>Сорока Лариса Володимирівна</w:t>
            </w:r>
            <w:r>
              <w:rPr>
                <w:color w:val="231F20"/>
                <w:spacing w:val="-3"/>
                <w:sz w:val="20"/>
              </w:rPr>
              <w:t xml:space="preserve">, кандидатка юридичних </w:t>
            </w:r>
            <w:r>
              <w:rPr>
                <w:color w:val="231F20"/>
                <w:sz w:val="20"/>
              </w:rPr>
              <w:t xml:space="preserve">наук, </w:t>
            </w:r>
            <w:r>
              <w:rPr>
                <w:color w:val="231F20"/>
                <w:spacing w:val="-3"/>
                <w:sz w:val="20"/>
              </w:rPr>
              <w:t xml:space="preserve">доцентка, членкиня-кореспон- дентка   Академії    АПН,    завідувачка    аспірантури   </w:t>
            </w:r>
            <w:r>
              <w:rPr>
                <w:color w:val="231F20"/>
                <w:sz w:val="20"/>
              </w:rPr>
              <w:t xml:space="preserve">і </w:t>
            </w:r>
            <w:r>
              <w:rPr>
                <w:color w:val="231F20"/>
                <w:spacing w:val="-3"/>
                <w:sz w:val="20"/>
              </w:rPr>
              <w:t xml:space="preserve">докторантури Науково-дослідного </w:t>
            </w:r>
            <w:r>
              <w:rPr>
                <w:color w:val="231F20"/>
                <w:sz w:val="20"/>
              </w:rPr>
              <w:t>інституту публічного</w:t>
            </w:r>
            <w:r>
              <w:rPr>
                <w:color w:val="231F20"/>
                <w:spacing w:val="-5"/>
                <w:sz w:val="20"/>
              </w:rPr>
              <w:t xml:space="preserve"> </w:t>
            </w:r>
            <w:r>
              <w:rPr>
                <w:color w:val="231F20"/>
                <w:spacing w:val="-3"/>
                <w:sz w:val="20"/>
              </w:rPr>
              <w:t>права;</w:t>
            </w:r>
          </w:p>
          <w:p w14:paraId="25B49944" w14:textId="77777777" w:rsidR="00DE575E" w:rsidRDefault="002E7560">
            <w:pPr>
              <w:pStyle w:val="TableParagraph"/>
              <w:spacing w:line="218" w:lineRule="auto"/>
              <w:ind w:right="45" w:firstLine="283"/>
              <w:jc w:val="both"/>
              <w:rPr>
                <w:sz w:val="20"/>
              </w:rPr>
            </w:pPr>
            <w:r>
              <w:rPr>
                <w:b/>
                <w:color w:val="231F20"/>
                <w:spacing w:val="-3"/>
                <w:sz w:val="20"/>
              </w:rPr>
              <w:t xml:space="preserve">Саунін </w:t>
            </w:r>
            <w:r>
              <w:rPr>
                <w:b/>
                <w:color w:val="231F20"/>
                <w:spacing w:val="-4"/>
                <w:sz w:val="20"/>
              </w:rPr>
              <w:t>Р</w:t>
            </w:r>
            <w:r>
              <w:rPr>
                <w:b/>
                <w:color w:val="231F20"/>
                <w:spacing w:val="-4"/>
                <w:sz w:val="20"/>
              </w:rPr>
              <w:t xml:space="preserve">оман </w:t>
            </w:r>
            <w:r>
              <w:rPr>
                <w:b/>
                <w:color w:val="231F20"/>
                <w:sz w:val="20"/>
              </w:rPr>
              <w:t>Дмитрович</w:t>
            </w:r>
            <w:r>
              <w:rPr>
                <w:color w:val="231F20"/>
                <w:sz w:val="20"/>
              </w:rPr>
              <w:t xml:space="preserve">, </w:t>
            </w:r>
            <w:r>
              <w:rPr>
                <w:color w:val="231F20"/>
                <w:spacing w:val="-3"/>
                <w:sz w:val="20"/>
              </w:rPr>
              <w:t xml:space="preserve">кандидат юридичних </w:t>
            </w:r>
            <w:r>
              <w:rPr>
                <w:color w:val="231F20"/>
                <w:sz w:val="20"/>
              </w:rPr>
              <w:t xml:space="preserve">наук, член-кореспондент </w:t>
            </w:r>
            <w:r>
              <w:rPr>
                <w:color w:val="231F20"/>
                <w:spacing w:val="-3"/>
                <w:sz w:val="20"/>
              </w:rPr>
              <w:t xml:space="preserve">Академії АПН, докторант Науково-дослідного </w:t>
            </w:r>
            <w:r>
              <w:rPr>
                <w:color w:val="231F20"/>
                <w:sz w:val="20"/>
              </w:rPr>
              <w:t xml:space="preserve">інституту публічного </w:t>
            </w:r>
            <w:r>
              <w:rPr>
                <w:color w:val="231F20"/>
                <w:spacing w:val="-3"/>
                <w:sz w:val="20"/>
              </w:rPr>
              <w:t>права;</w:t>
            </w:r>
          </w:p>
          <w:p w14:paraId="1C689ECC" w14:textId="77777777" w:rsidR="00DE575E" w:rsidRDefault="002E7560">
            <w:pPr>
              <w:pStyle w:val="TableParagraph"/>
              <w:spacing w:line="218" w:lineRule="auto"/>
              <w:ind w:right="45" w:firstLine="283"/>
              <w:jc w:val="both"/>
              <w:rPr>
                <w:sz w:val="20"/>
              </w:rPr>
            </w:pPr>
            <w:r>
              <w:rPr>
                <w:b/>
                <w:color w:val="231F20"/>
                <w:sz w:val="20"/>
              </w:rPr>
              <w:t>Оксінь Віталій Юрійович</w:t>
            </w:r>
            <w:r>
              <w:rPr>
                <w:color w:val="231F20"/>
                <w:sz w:val="20"/>
              </w:rPr>
              <w:t>, кандидат юридич- них наук, член-кореспондент Академії АПН, стар- ший науковий співробітник Академії адміністра- тивно-правових наук;</w:t>
            </w:r>
          </w:p>
          <w:p w14:paraId="74A0AA75" w14:textId="77777777" w:rsidR="00DE575E" w:rsidRDefault="002E7560">
            <w:pPr>
              <w:pStyle w:val="TableParagraph"/>
              <w:spacing w:line="212" w:lineRule="exact"/>
              <w:ind w:right="44" w:firstLine="283"/>
              <w:jc w:val="both"/>
              <w:rPr>
                <w:sz w:val="20"/>
              </w:rPr>
            </w:pPr>
            <w:r>
              <w:rPr>
                <w:b/>
                <w:color w:val="231F20"/>
                <w:sz w:val="20"/>
              </w:rPr>
              <w:t>Савюк Марина Флорівна</w:t>
            </w:r>
            <w:r>
              <w:rPr>
                <w:color w:val="231F20"/>
                <w:sz w:val="20"/>
              </w:rPr>
              <w:t>, кандидатка юридич- них наук, членкиня-кореспондентка Академії АПН, доцентка кафедри професійних та</w:t>
            </w:r>
            <w:r>
              <w:rPr>
                <w:color w:val="231F20"/>
                <w:sz w:val="20"/>
              </w:rPr>
              <w:t xml:space="preserve"> спеціальних правових дисциплін Приватного вищого навчаль- ного закладу «Буковинський університет»;</w:t>
            </w:r>
          </w:p>
        </w:tc>
      </w:tr>
    </w:tbl>
    <w:p w14:paraId="0372CF5E" w14:textId="77777777" w:rsidR="00DE575E" w:rsidRDefault="00DE575E">
      <w:pPr>
        <w:pStyle w:val="BodyText"/>
        <w:spacing w:before="5"/>
        <w:rPr>
          <w:b/>
          <w:sz w:val="14"/>
        </w:rPr>
      </w:pPr>
    </w:p>
    <w:p w14:paraId="6689F25B" w14:textId="77777777" w:rsidR="00DE575E" w:rsidRDefault="002E7560">
      <w:pPr>
        <w:spacing w:before="91"/>
        <w:ind w:right="411"/>
        <w:jc w:val="right"/>
        <w:rPr>
          <w:rFonts w:ascii="Times New Roman"/>
          <w:sz w:val="20"/>
        </w:rPr>
      </w:pPr>
      <w:r>
        <w:rPr>
          <w:rFonts w:ascii="Times New Roman"/>
          <w:color w:val="231F20"/>
          <w:w w:val="90"/>
          <w:sz w:val="20"/>
        </w:rPr>
        <w:t>561</w:t>
      </w:r>
    </w:p>
    <w:p w14:paraId="55238983" w14:textId="77777777" w:rsidR="00DE575E" w:rsidRDefault="00DE575E">
      <w:pPr>
        <w:jc w:val="right"/>
        <w:rPr>
          <w:rFonts w:ascii="Times New Roman"/>
          <w:sz w:val="20"/>
        </w:rPr>
        <w:sectPr w:rsidR="00DE575E">
          <w:pgSz w:w="8510" w:h="12760"/>
          <w:pgMar w:top="1180" w:right="720" w:bottom="280" w:left="600" w:header="720" w:footer="720" w:gutter="0"/>
          <w:cols w:space="720"/>
        </w:sectPr>
      </w:pPr>
    </w:p>
    <w:p w14:paraId="4F5F5B7A"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18453EF3" w14:textId="0EE1307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3A9C5C4" wp14:editId="109A6A00">
                <wp:extent cx="4140200" cy="6350"/>
                <wp:effectExtent l="0" t="0" r="12700" b="6350"/>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4" name="Line 4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9466FE" id="Group_x0020_4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EiiGKN8AgAAlAUAAA4AAAAA&#10;AAAAAAAAAAAALAIAAGRycy9lMm9Eb2MueG1sUEsBAi0AFAAGAAgAAAAhAEynsJDZAAAAAwEAAA8A&#10;AAAAAAAAAAAAAAAA1AQAAGRycy9kb3ducmV2LnhtbFBLBQYAAAAABAAEAPMAAADaBQAAAAA=&#10;">
                <v:line id="Line_x0020_4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iDsUAAADbAAAADwAAAGRycy9kb3ducmV2LnhtbESP3WrCQBSE7wXfYTkFb6RuqlJKdBUp&#10;FIoX/qUPcMwek9DdszG7mtin7wqCl8PMfMPMl5014kqNrxwreBslIIhzpysuFPxkX68fIHxA1mgc&#10;k4IbeVgu+r05ptq1vKfrIRQiQtinqKAMoU6l9HlJFv3I1cTRO7nGYoiyKaRusI1wa+Q4Sd6lxYrj&#10;Qok1fZaU/x4uVkF2Hgaz265Nm22PE3k8byZ/l41Sg5duNQMRqAvP8KP9rRVMp3D/En+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FiDsUAAADbAAAADwAAAAAAAAAA&#10;AAAAAAChAgAAZHJzL2Rvd25yZXYueG1sUEsFBgAAAAAEAAQA+QAAAJMDAAAAAA==&#10;" strokecolor="#231f20" strokeweight=".5pt"/>
                <w10:anchorlock/>
              </v:group>
            </w:pict>
          </mc:Fallback>
        </mc:AlternateContent>
      </w:r>
    </w:p>
    <w:p w14:paraId="338CABC6"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240F8917" w14:textId="77777777">
        <w:trPr>
          <w:trHeight w:val="2458"/>
        </w:trPr>
        <w:tc>
          <w:tcPr>
            <w:tcW w:w="1701" w:type="dxa"/>
          </w:tcPr>
          <w:p w14:paraId="36A686F3" w14:textId="77777777" w:rsidR="00DE575E" w:rsidRDefault="002E7560">
            <w:pPr>
              <w:pStyle w:val="TableParagraph"/>
              <w:spacing w:before="28" w:line="225" w:lineRule="auto"/>
              <w:ind w:left="432" w:right="421"/>
              <w:jc w:val="center"/>
              <w:rPr>
                <w:b/>
                <w:sz w:val="20"/>
              </w:rPr>
            </w:pPr>
            <w:r>
              <w:rPr>
                <w:b/>
                <w:color w:val="231F20"/>
                <w:sz w:val="20"/>
              </w:rPr>
              <w:t>Розділ 1 Глава І заг ред.</w:t>
            </w:r>
          </w:p>
          <w:p w14:paraId="2D93DEB6" w14:textId="77777777" w:rsidR="00DE575E" w:rsidRDefault="002E7560">
            <w:pPr>
              <w:pStyle w:val="TableParagraph"/>
              <w:spacing w:line="222" w:lineRule="exact"/>
              <w:ind w:left="239" w:right="230"/>
              <w:jc w:val="center"/>
              <w:rPr>
                <w:b/>
                <w:sz w:val="20"/>
              </w:rPr>
            </w:pPr>
            <w:r>
              <w:rPr>
                <w:b/>
                <w:color w:val="231F20"/>
                <w:sz w:val="20"/>
              </w:rPr>
              <w:t>В. Галунька</w:t>
            </w:r>
          </w:p>
        </w:tc>
        <w:tc>
          <w:tcPr>
            <w:tcW w:w="4809" w:type="dxa"/>
          </w:tcPr>
          <w:p w14:paraId="1CD3BC11" w14:textId="77777777" w:rsidR="00DE575E" w:rsidRDefault="002E7560">
            <w:pPr>
              <w:pStyle w:val="TableParagraph"/>
              <w:spacing w:before="28" w:line="225" w:lineRule="auto"/>
              <w:ind w:right="43" w:firstLine="283"/>
              <w:jc w:val="both"/>
              <w:rPr>
                <w:sz w:val="20"/>
              </w:rPr>
            </w:pPr>
            <w:r>
              <w:rPr>
                <w:b/>
                <w:color w:val="231F20"/>
                <w:sz w:val="20"/>
              </w:rPr>
              <w:t>Бойко В’ячеслав Петрович</w:t>
            </w:r>
            <w:r>
              <w:rPr>
                <w:color w:val="231F20"/>
                <w:sz w:val="20"/>
              </w:rPr>
              <w:t>, кандидат юридич- них наук, докторант Науково-дослідного інституту публічного права;</w:t>
            </w:r>
          </w:p>
          <w:p w14:paraId="01E2AAC0" w14:textId="77777777" w:rsidR="00DE575E" w:rsidRDefault="002E7560">
            <w:pPr>
              <w:pStyle w:val="TableParagraph"/>
              <w:spacing w:line="225" w:lineRule="auto"/>
              <w:ind w:right="44" w:firstLine="283"/>
              <w:jc w:val="right"/>
              <w:rPr>
                <w:sz w:val="20"/>
              </w:rPr>
            </w:pPr>
            <w:r>
              <w:rPr>
                <w:b/>
                <w:color w:val="231F20"/>
                <w:spacing w:val="-4"/>
                <w:sz w:val="20"/>
              </w:rPr>
              <w:t xml:space="preserve">Глобенко </w:t>
            </w:r>
            <w:r>
              <w:rPr>
                <w:b/>
                <w:color w:val="231F20"/>
                <w:sz w:val="20"/>
              </w:rPr>
              <w:t>Ігор Олександрович</w:t>
            </w:r>
            <w:r>
              <w:rPr>
                <w:color w:val="231F20"/>
                <w:sz w:val="20"/>
              </w:rPr>
              <w:t xml:space="preserve">, науковий спів- робітник Академії адміністративно-правових наук; </w:t>
            </w:r>
            <w:r>
              <w:rPr>
                <w:b/>
                <w:color w:val="231F20"/>
                <w:spacing w:val="-3"/>
                <w:sz w:val="20"/>
              </w:rPr>
              <w:t xml:space="preserve">Даниленко </w:t>
            </w:r>
            <w:r>
              <w:rPr>
                <w:b/>
                <w:color w:val="231F20"/>
                <w:sz w:val="20"/>
              </w:rPr>
              <w:t xml:space="preserve">Анна </w:t>
            </w:r>
            <w:r>
              <w:rPr>
                <w:b/>
                <w:color w:val="231F20"/>
                <w:spacing w:val="-3"/>
                <w:sz w:val="20"/>
              </w:rPr>
              <w:t>Олександрівна</w:t>
            </w:r>
            <w:r>
              <w:rPr>
                <w:color w:val="231F20"/>
                <w:spacing w:val="-3"/>
                <w:sz w:val="20"/>
              </w:rPr>
              <w:t xml:space="preserve">, наукова </w:t>
            </w:r>
            <w:r>
              <w:rPr>
                <w:color w:val="231F20"/>
                <w:sz w:val="20"/>
              </w:rPr>
              <w:t xml:space="preserve">спів- </w:t>
            </w:r>
            <w:r>
              <w:rPr>
                <w:color w:val="231F20"/>
                <w:spacing w:val="-3"/>
                <w:sz w:val="20"/>
              </w:rPr>
              <w:t xml:space="preserve">робітниця Академії адміністративно-правових </w:t>
            </w:r>
            <w:r>
              <w:rPr>
                <w:color w:val="231F20"/>
                <w:sz w:val="20"/>
              </w:rPr>
              <w:t xml:space="preserve">наук; </w:t>
            </w:r>
            <w:r>
              <w:rPr>
                <w:b/>
                <w:color w:val="231F20"/>
                <w:sz w:val="20"/>
              </w:rPr>
              <w:t xml:space="preserve">Васіна </w:t>
            </w:r>
            <w:r>
              <w:rPr>
                <w:b/>
                <w:color w:val="231F20"/>
                <w:spacing w:val="-4"/>
                <w:sz w:val="20"/>
              </w:rPr>
              <w:t xml:space="preserve">Ганна </w:t>
            </w:r>
            <w:r>
              <w:rPr>
                <w:b/>
                <w:color w:val="231F20"/>
                <w:sz w:val="20"/>
              </w:rPr>
              <w:t>Василівна</w:t>
            </w:r>
            <w:r>
              <w:rPr>
                <w:color w:val="231F20"/>
                <w:sz w:val="20"/>
              </w:rPr>
              <w:t>, здобувачка Науково-</w:t>
            </w:r>
          </w:p>
          <w:p w14:paraId="6FBD41AB" w14:textId="77777777" w:rsidR="00DE575E" w:rsidRDefault="002E7560">
            <w:pPr>
              <w:pStyle w:val="TableParagraph"/>
              <w:spacing w:line="214" w:lineRule="exact"/>
              <w:rPr>
                <w:sz w:val="20"/>
              </w:rPr>
            </w:pPr>
            <w:r>
              <w:rPr>
                <w:color w:val="231F20"/>
                <w:sz w:val="20"/>
              </w:rPr>
              <w:t>дослідного інституту публічного права;</w:t>
            </w:r>
          </w:p>
          <w:p w14:paraId="4A8D269F" w14:textId="77777777" w:rsidR="00DE575E" w:rsidRDefault="002E7560">
            <w:pPr>
              <w:pStyle w:val="TableParagraph"/>
              <w:spacing w:before="6" w:line="220" w:lineRule="exact"/>
              <w:ind w:right="45" w:firstLine="283"/>
              <w:jc w:val="both"/>
              <w:rPr>
                <w:sz w:val="20"/>
              </w:rPr>
            </w:pPr>
            <w:r>
              <w:rPr>
                <w:b/>
                <w:color w:val="231F20"/>
                <w:sz w:val="20"/>
              </w:rPr>
              <w:t>Левченко Діана Сергіївна</w:t>
            </w:r>
            <w:r>
              <w:rPr>
                <w:color w:val="231F20"/>
                <w:sz w:val="20"/>
              </w:rPr>
              <w:t>, наукова співробіт- ниця Академії адміністративно-правових наук.</w:t>
            </w:r>
          </w:p>
        </w:tc>
      </w:tr>
      <w:tr w:rsidR="00DE575E" w14:paraId="6B03996A" w14:textId="77777777">
        <w:trPr>
          <w:trHeight w:val="7298"/>
        </w:trPr>
        <w:tc>
          <w:tcPr>
            <w:tcW w:w="1701" w:type="dxa"/>
          </w:tcPr>
          <w:p w14:paraId="030AFD58" w14:textId="77777777" w:rsidR="00DE575E" w:rsidRDefault="002E7560">
            <w:pPr>
              <w:pStyle w:val="TableParagraph"/>
              <w:spacing w:before="28" w:line="225" w:lineRule="auto"/>
              <w:ind w:left="432" w:right="421"/>
              <w:jc w:val="center"/>
              <w:rPr>
                <w:b/>
                <w:sz w:val="20"/>
              </w:rPr>
            </w:pPr>
            <w:r>
              <w:rPr>
                <w:b/>
                <w:color w:val="231F20"/>
                <w:sz w:val="20"/>
              </w:rPr>
              <w:t>Розділ 2 Глава І заг ред.</w:t>
            </w:r>
          </w:p>
          <w:p w14:paraId="57A5BF1B" w14:textId="77777777" w:rsidR="00DE575E" w:rsidRDefault="002E7560">
            <w:pPr>
              <w:pStyle w:val="TableParagraph"/>
              <w:spacing w:line="225" w:lineRule="auto"/>
              <w:ind w:left="84" w:right="73" w:firstLine="183"/>
              <w:rPr>
                <w:b/>
                <w:sz w:val="20"/>
              </w:rPr>
            </w:pPr>
            <w:r>
              <w:rPr>
                <w:b/>
                <w:color w:val="231F20"/>
                <w:sz w:val="20"/>
              </w:rPr>
              <w:t xml:space="preserve">К. Чижмарь, </w:t>
            </w:r>
            <w:r>
              <w:rPr>
                <w:b/>
                <w:color w:val="231F20"/>
                <w:spacing w:val="-3"/>
                <w:sz w:val="20"/>
              </w:rPr>
              <w:t>О.</w:t>
            </w:r>
            <w:r>
              <w:rPr>
                <w:b/>
                <w:color w:val="231F20"/>
                <w:spacing w:val="-9"/>
                <w:sz w:val="20"/>
              </w:rPr>
              <w:t xml:space="preserve"> </w:t>
            </w:r>
            <w:r>
              <w:rPr>
                <w:b/>
                <w:color w:val="231F20"/>
                <w:sz w:val="20"/>
              </w:rPr>
              <w:t>Лавриновича</w:t>
            </w:r>
          </w:p>
        </w:tc>
        <w:tc>
          <w:tcPr>
            <w:tcW w:w="4809" w:type="dxa"/>
          </w:tcPr>
          <w:p w14:paraId="0CA15A1D" w14:textId="77777777" w:rsidR="00DE575E" w:rsidRDefault="002E7560">
            <w:pPr>
              <w:pStyle w:val="TableParagraph"/>
              <w:spacing w:before="28" w:line="225" w:lineRule="auto"/>
              <w:ind w:right="44" w:firstLine="283"/>
              <w:jc w:val="both"/>
              <w:rPr>
                <w:sz w:val="20"/>
              </w:rPr>
            </w:pPr>
            <w:r>
              <w:rPr>
                <w:b/>
                <w:color w:val="231F20"/>
                <w:sz w:val="20"/>
              </w:rPr>
              <w:t>Чижмарь Катерина Іванівна</w:t>
            </w:r>
            <w:r>
              <w:rPr>
                <w:color w:val="231F20"/>
                <w:sz w:val="20"/>
              </w:rPr>
              <w:t>, докторка юридичних наук, доцентка, заслужена юристка України, академік Академії АПН, директорка Інсти- туту права та післядипломної освіти Міністерства юстиції України;</w:t>
            </w:r>
          </w:p>
          <w:p w14:paraId="250AB2D9" w14:textId="77777777" w:rsidR="00DE575E" w:rsidRDefault="002E7560">
            <w:pPr>
              <w:pStyle w:val="TableParagraph"/>
              <w:spacing w:line="225" w:lineRule="auto"/>
              <w:ind w:right="45" w:firstLine="283"/>
              <w:jc w:val="both"/>
              <w:rPr>
                <w:sz w:val="20"/>
              </w:rPr>
            </w:pPr>
            <w:r>
              <w:rPr>
                <w:b/>
                <w:color w:val="231F20"/>
                <w:sz w:val="20"/>
              </w:rPr>
              <w:t>Лавринович Олександр Володимирови</w:t>
            </w:r>
            <w:r>
              <w:rPr>
                <w:b/>
                <w:color w:val="231F20"/>
                <w:sz w:val="20"/>
              </w:rPr>
              <w:t>ч</w:t>
            </w:r>
            <w:r>
              <w:rPr>
                <w:color w:val="231F20"/>
                <w:sz w:val="20"/>
              </w:rPr>
              <w:t xml:space="preserve">, кандидат юридичних наук, </w:t>
            </w:r>
            <w:r>
              <w:rPr>
                <w:color w:val="231F20"/>
                <w:spacing w:val="-3"/>
                <w:sz w:val="20"/>
              </w:rPr>
              <w:t xml:space="preserve">доцент, </w:t>
            </w:r>
            <w:r>
              <w:rPr>
                <w:color w:val="231F20"/>
                <w:sz w:val="20"/>
              </w:rPr>
              <w:t>директор Інсти- туту теоретико-правових досліджень у сфері юсти- ції та інноваційних проєктів;</w:t>
            </w:r>
          </w:p>
          <w:p w14:paraId="267BFE08" w14:textId="77777777" w:rsidR="00DE575E" w:rsidRDefault="002E7560">
            <w:pPr>
              <w:pStyle w:val="TableParagraph"/>
              <w:spacing w:line="225" w:lineRule="auto"/>
              <w:ind w:right="45" w:firstLine="283"/>
              <w:jc w:val="both"/>
              <w:rPr>
                <w:sz w:val="20"/>
              </w:rPr>
            </w:pPr>
            <w:r>
              <w:rPr>
                <w:b/>
                <w:color w:val="231F20"/>
                <w:sz w:val="20"/>
              </w:rPr>
              <w:t>Берлач Анатолій Іванович</w:t>
            </w:r>
            <w:r>
              <w:rPr>
                <w:color w:val="231F20"/>
                <w:sz w:val="20"/>
              </w:rPr>
              <w:t>, доктор юридичних наук, професор, заслужений юрист України, акаде- мік Академії АПН, професор кафедр</w:t>
            </w:r>
            <w:r>
              <w:rPr>
                <w:color w:val="231F20"/>
                <w:sz w:val="20"/>
              </w:rPr>
              <w:t>и адміністра- тивного права Київського національного універси- тету імені Тараса Шевченка;</w:t>
            </w:r>
          </w:p>
          <w:p w14:paraId="7DCD5284" w14:textId="77777777" w:rsidR="00DE575E" w:rsidRDefault="002E7560">
            <w:pPr>
              <w:pStyle w:val="TableParagraph"/>
              <w:spacing w:line="225" w:lineRule="auto"/>
              <w:ind w:right="44" w:firstLine="283"/>
              <w:jc w:val="both"/>
              <w:rPr>
                <w:sz w:val="20"/>
              </w:rPr>
            </w:pPr>
            <w:r>
              <w:rPr>
                <w:b/>
                <w:color w:val="231F20"/>
                <w:sz w:val="20"/>
              </w:rPr>
              <w:t>Армаш Надія Олексіївна</w:t>
            </w:r>
            <w:r>
              <w:rPr>
                <w:color w:val="231F20"/>
                <w:sz w:val="20"/>
              </w:rPr>
              <w:t>, докторка юридичних наук, професорка, академік Академії АПН, заступ- ниця директора Центру судової експертизи та експертних досліджень ДП «Інформаційні судові системи» Державної судової адміністрації</w:t>
            </w:r>
          </w:p>
          <w:p w14:paraId="48E39B72" w14:textId="77777777" w:rsidR="00DE575E" w:rsidRDefault="002E7560">
            <w:pPr>
              <w:pStyle w:val="TableParagraph"/>
              <w:spacing w:line="225" w:lineRule="auto"/>
              <w:ind w:right="45" w:firstLine="283"/>
              <w:jc w:val="both"/>
              <w:rPr>
                <w:sz w:val="20"/>
              </w:rPr>
            </w:pPr>
            <w:r>
              <w:rPr>
                <w:b/>
                <w:color w:val="231F20"/>
                <w:sz w:val="20"/>
              </w:rPr>
              <w:t>Бучинська Анна Йосипівна</w:t>
            </w:r>
            <w:r>
              <w:rPr>
                <w:color w:val="231F20"/>
                <w:sz w:val="20"/>
              </w:rPr>
              <w:t>, кандидатка юридичних наук, чл</w:t>
            </w:r>
            <w:r>
              <w:rPr>
                <w:color w:val="231F20"/>
                <w:sz w:val="20"/>
              </w:rPr>
              <w:t>енкиня-кореспондентка Акаде- мії АПН, доцентка кафедри правознавства Жито- мирського</w:t>
            </w:r>
            <w:r>
              <w:rPr>
                <w:color w:val="231F20"/>
                <w:spacing w:val="-13"/>
                <w:sz w:val="20"/>
              </w:rPr>
              <w:t xml:space="preserve"> </w:t>
            </w:r>
            <w:r>
              <w:rPr>
                <w:color w:val="231F20"/>
                <w:sz w:val="20"/>
              </w:rPr>
              <w:t>національного</w:t>
            </w:r>
            <w:r>
              <w:rPr>
                <w:color w:val="231F20"/>
                <w:spacing w:val="-13"/>
                <w:sz w:val="20"/>
              </w:rPr>
              <w:t xml:space="preserve"> </w:t>
            </w:r>
            <w:r>
              <w:rPr>
                <w:color w:val="231F20"/>
                <w:sz w:val="20"/>
              </w:rPr>
              <w:t>Агроекологічного</w:t>
            </w:r>
            <w:r>
              <w:rPr>
                <w:color w:val="231F20"/>
                <w:spacing w:val="-13"/>
                <w:sz w:val="20"/>
              </w:rPr>
              <w:t xml:space="preserve"> </w:t>
            </w:r>
            <w:r>
              <w:rPr>
                <w:color w:val="231F20"/>
                <w:sz w:val="20"/>
              </w:rPr>
              <w:t>універ- ситету;</w:t>
            </w:r>
          </w:p>
          <w:p w14:paraId="5ECF4A3D" w14:textId="77777777" w:rsidR="00DE575E" w:rsidRDefault="002E7560">
            <w:pPr>
              <w:pStyle w:val="TableParagraph"/>
              <w:spacing w:line="225" w:lineRule="auto"/>
              <w:ind w:right="45" w:firstLine="283"/>
              <w:jc w:val="both"/>
              <w:rPr>
                <w:sz w:val="20"/>
              </w:rPr>
            </w:pPr>
            <w:r>
              <w:rPr>
                <w:b/>
                <w:color w:val="231F20"/>
                <w:sz w:val="20"/>
              </w:rPr>
              <w:t>Орловська Ірина Григорівна</w:t>
            </w:r>
            <w:r>
              <w:rPr>
                <w:color w:val="231F20"/>
                <w:sz w:val="20"/>
              </w:rPr>
              <w:t>, кандидатка юридичних наук, доцентка, членкиня-кореспон- дентка Академії АПН докторантка Науково-</w:t>
            </w:r>
            <w:r>
              <w:rPr>
                <w:color w:val="231F20"/>
                <w:sz w:val="20"/>
              </w:rPr>
              <w:t>дослід- ного інституту публічного права;</w:t>
            </w:r>
          </w:p>
          <w:p w14:paraId="51600098" w14:textId="77777777" w:rsidR="00DE575E" w:rsidRDefault="002E7560">
            <w:pPr>
              <w:pStyle w:val="TableParagraph"/>
              <w:spacing w:line="220" w:lineRule="exact"/>
              <w:ind w:right="43" w:firstLine="283"/>
              <w:jc w:val="both"/>
              <w:rPr>
                <w:sz w:val="20"/>
              </w:rPr>
            </w:pPr>
            <w:r>
              <w:rPr>
                <w:b/>
                <w:color w:val="231F20"/>
                <w:sz w:val="20"/>
              </w:rPr>
              <w:t>Руснак Леся Михайлівна</w:t>
            </w:r>
            <w:r>
              <w:rPr>
                <w:color w:val="231F20"/>
                <w:sz w:val="20"/>
              </w:rPr>
              <w:t>, кандидатка юридич- них наук, доцентка, членкиня-кореспондентка Академії АПН, доцентка кафедри професійних та спеціальних правових дисциплін ПВНЗ «Буковин- ський університет».</w:t>
            </w:r>
          </w:p>
        </w:tc>
      </w:tr>
    </w:tbl>
    <w:p w14:paraId="04215B51" w14:textId="77777777" w:rsidR="00DE575E" w:rsidRDefault="00DE575E">
      <w:pPr>
        <w:pStyle w:val="BodyText"/>
        <w:rPr>
          <w:rFonts w:ascii="AdonisC"/>
          <w:i/>
          <w:sz w:val="18"/>
        </w:rPr>
      </w:pPr>
    </w:p>
    <w:p w14:paraId="0EB8E3CF" w14:textId="77777777" w:rsidR="00DE575E" w:rsidRDefault="00DE575E">
      <w:pPr>
        <w:pStyle w:val="BodyText"/>
        <w:rPr>
          <w:rFonts w:ascii="AdonisC"/>
          <w:i/>
          <w:sz w:val="18"/>
        </w:rPr>
      </w:pPr>
    </w:p>
    <w:p w14:paraId="66082435" w14:textId="77777777" w:rsidR="00DE575E" w:rsidRDefault="002E7560">
      <w:pPr>
        <w:spacing w:before="127"/>
        <w:ind w:left="533"/>
        <w:rPr>
          <w:rFonts w:ascii="Times New Roman"/>
          <w:sz w:val="20"/>
        </w:rPr>
      </w:pPr>
      <w:r>
        <w:rPr>
          <w:rFonts w:ascii="Times New Roman"/>
          <w:color w:val="231F20"/>
          <w:sz w:val="20"/>
        </w:rPr>
        <w:t>562</w:t>
      </w:r>
    </w:p>
    <w:p w14:paraId="6162054E" w14:textId="77777777" w:rsidR="00DE575E" w:rsidRDefault="00DE575E">
      <w:pPr>
        <w:rPr>
          <w:rFonts w:ascii="Times New Roman"/>
          <w:sz w:val="20"/>
        </w:rPr>
        <w:sectPr w:rsidR="00DE575E">
          <w:pgSz w:w="8510" w:h="12760"/>
          <w:pgMar w:top="660" w:right="720" w:bottom="280" w:left="600" w:header="720" w:footer="720" w:gutter="0"/>
          <w:cols w:space="720"/>
        </w:sectPr>
      </w:pPr>
    </w:p>
    <w:p w14:paraId="08726B70" w14:textId="77777777" w:rsidR="00DE575E" w:rsidRDefault="002E7560">
      <w:pPr>
        <w:spacing w:before="72" w:after="9"/>
        <w:ind w:right="411"/>
        <w:jc w:val="right"/>
        <w:rPr>
          <w:rFonts w:ascii="AdonisC" w:hAnsi="AdonisC"/>
          <w:i/>
          <w:sz w:val="18"/>
        </w:rPr>
      </w:pPr>
      <w:r>
        <w:rPr>
          <w:rFonts w:ascii="AdonisC" w:hAnsi="AdonisC"/>
          <w:i/>
          <w:color w:val="231F20"/>
          <w:sz w:val="18"/>
        </w:rPr>
        <w:t>Відомості про авторів</w:t>
      </w:r>
    </w:p>
    <w:p w14:paraId="289062F5" w14:textId="4F3FE860"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1BAF86AD" wp14:editId="2BCF6AC6">
                <wp:extent cx="4140200" cy="6350"/>
                <wp:effectExtent l="0" t="0" r="12700" b="6350"/>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2" name="Line 4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F425E" id="Group_x0020_4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N5FPOl8AgAAlAUAAA4AAAAA&#10;AAAAAAAAAAAALAIAAGRycy9lMm9Eb2MueG1sUEsBAi0AFAAGAAgAAAAhAEynsJDZAAAAAwEAAA8A&#10;AAAAAAAAAAAAAAAA1AQAAGRycy9kb3ducmV2LnhtbFBLBQYAAAAABAAEAPMAAADaBQAAAAA=&#10;">
                <v:line id="Line_x0020_4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Rf4cUAAADbAAAADwAAAGRycy9kb3ducmV2LnhtbESP3WrCQBSE7wu+w3IKvZG68Qcp0VVE&#10;KJRe+Bcf4Jg9JqG7Z2N2NdGn7xaEXg4z8w0zX3bWiBs1vnKsYDhIQBDnTldcKDhmn+8fIHxA1mgc&#10;k4I7eVguei9zTLVreU+3QyhEhLBPUUEZQp1K6fOSLPqBq4mjd3aNxRBlU0jdYBvh1shRkkylxYrj&#10;Qok1rUvKfw5XqyC79IPZbb9Nm21PY3m6bMaP60apt9duNQMRqAv/4Wf7SyuYjODvS/wB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ARf4cUAAADbAAAADwAAAAAAAAAA&#10;AAAAAAChAgAAZHJzL2Rvd25yZXYueG1sUEsFBgAAAAAEAAQA+QAAAJMDAAAAAA==&#10;" strokecolor="#231f20" strokeweight=".5pt"/>
                <w10:anchorlock/>
              </v:group>
            </w:pict>
          </mc:Fallback>
        </mc:AlternateContent>
      </w:r>
    </w:p>
    <w:p w14:paraId="46311E7B"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7E0DE498" w14:textId="77777777">
        <w:trPr>
          <w:trHeight w:val="7738"/>
        </w:trPr>
        <w:tc>
          <w:tcPr>
            <w:tcW w:w="1701" w:type="dxa"/>
          </w:tcPr>
          <w:p w14:paraId="656B277A" w14:textId="77777777" w:rsidR="00DE575E" w:rsidRDefault="002E7560">
            <w:pPr>
              <w:pStyle w:val="TableParagraph"/>
              <w:spacing w:before="28" w:line="225" w:lineRule="auto"/>
              <w:ind w:left="441" w:right="430"/>
              <w:jc w:val="center"/>
              <w:rPr>
                <w:b/>
                <w:sz w:val="20"/>
              </w:rPr>
            </w:pPr>
            <w:r>
              <w:rPr>
                <w:b/>
                <w:color w:val="231F20"/>
                <w:sz w:val="20"/>
              </w:rPr>
              <w:t>Розділ 3 Глава І за ред.</w:t>
            </w:r>
          </w:p>
          <w:p w14:paraId="5AD66882" w14:textId="77777777" w:rsidR="00DE575E" w:rsidRDefault="002E7560">
            <w:pPr>
              <w:pStyle w:val="TableParagraph"/>
              <w:spacing w:line="225" w:lineRule="auto"/>
              <w:ind w:left="242" w:right="230"/>
              <w:jc w:val="center"/>
              <w:rPr>
                <w:b/>
                <w:sz w:val="20"/>
              </w:rPr>
            </w:pPr>
            <w:r>
              <w:rPr>
                <w:b/>
                <w:color w:val="231F20"/>
                <w:sz w:val="20"/>
              </w:rPr>
              <w:t>А. Манжули, В. Курила</w:t>
            </w:r>
          </w:p>
        </w:tc>
        <w:tc>
          <w:tcPr>
            <w:tcW w:w="4809" w:type="dxa"/>
          </w:tcPr>
          <w:p w14:paraId="6E74205C" w14:textId="77777777" w:rsidR="00DE575E" w:rsidRDefault="002E7560">
            <w:pPr>
              <w:pStyle w:val="TableParagraph"/>
              <w:spacing w:before="28" w:line="225" w:lineRule="auto"/>
              <w:ind w:right="44" w:firstLine="283"/>
              <w:jc w:val="both"/>
              <w:rPr>
                <w:sz w:val="20"/>
              </w:rPr>
            </w:pPr>
            <w:r>
              <w:rPr>
                <w:b/>
                <w:color w:val="231F20"/>
                <w:sz w:val="20"/>
              </w:rPr>
              <w:t>Манжула Андрій Анатолійович</w:t>
            </w:r>
            <w:r>
              <w:rPr>
                <w:color w:val="231F20"/>
                <w:sz w:val="20"/>
              </w:rPr>
              <w:t>, доктор юридичних наук, професор, академік Академії АПН, професор кафедри галузевого права Центральноу- країнського державного педагогічного уні</w:t>
            </w:r>
            <w:r>
              <w:rPr>
                <w:color w:val="231F20"/>
                <w:sz w:val="20"/>
              </w:rPr>
              <w:t>верси- тету імені Володимира Винниченка;</w:t>
            </w:r>
          </w:p>
          <w:p w14:paraId="780A6127" w14:textId="77777777" w:rsidR="00DE575E" w:rsidRDefault="002E7560">
            <w:pPr>
              <w:pStyle w:val="TableParagraph"/>
              <w:spacing w:line="225" w:lineRule="auto"/>
              <w:ind w:right="44" w:firstLine="283"/>
              <w:jc w:val="both"/>
              <w:rPr>
                <w:sz w:val="20"/>
              </w:rPr>
            </w:pPr>
            <w:r>
              <w:rPr>
                <w:b/>
                <w:color w:val="231F20"/>
                <w:sz w:val="20"/>
              </w:rPr>
              <w:t>Курило Володимир Іванович</w:t>
            </w:r>
            <w:r>
              <w:rPr>
                <w:color w:val="231F20"/>
                <w:sz w:val="20"/>
              </w:rPr>
              <w:t xml:space="preserve">, доктор юридич- них наук, професор, заслужений юрист </w:t>
            </w:r>
            <w:r>
              <w:rPr>
                <w:color w:val="231F20"/>
                <w:spacing w:val="-3"/>
                <w:sz w:val="20"/>
              </w:rPr>
              <w:t xml:space="preserve">України, </w:t>
            </w:r>
            <w:r>
              <w:rPr>
                <w:color w:val="231F20"/>
                <w:sz w:val="20"/>
              </w:rPr>
              <w:t>академік</w:t>
            </w:r>
            <w:r>
              <w:rPr>
                <w:color w:val="231F20"/>
                <w:spacing w:val="-10"/>
                <w:sz w:val="20"/>
              </w:rPr>
              <w:t xml:space="preserve"> </w:t>
            </w:r>
            <w:r>
              <w:rPr>
                <w:color w:val="231F20"/>
                <w:sz w:val="20"/>
              </w:rPr>
              <w:t>Академії</w:t>
            </w:r>
            <w:r>
              <w:rPr>
                <w:color w:val="231F20"/>
                <w:spacing w:val="-10"/>
                <w:sz w:val="20"/>
              </w:rPr>
              <w:t xml:space="preserve"> </w:t>
            </w:r>
            <w:r>
              <w:rPr>
                <w:color w:val="231F20"/>
                <w:sz w:val="20"/>
              </w:rPr>
              <w:t>наук</w:t>
            </w:r>
            <w:r>
              <w:rPr>
                <w:color w:val="231F20"/>
                <w:spacing w:val="-10"/>
                <w:sz w:val="20"/>
              </w:rPr>
              <w:t xml:space="preserve"> </w:t>
            </w:r>
            <w:r>
              <w:rPr>
                <w:color w:val="231F20"/>
                <w:sz w:val="20"/>
              </w:rPr>
              <w:t>вищої</w:t>
            </w:r>
            <w:r>
              <w:rPr>
                <w:color w:val="231F20"/>
                <w:spacing w:val="-10"/>
                <w:sz w:val="20"/>
              </w:rPr>
              <w:t xml:space="preserve"> </w:t>
            </w:r>
            <w:r>
              <w:rPr>
                <w:color w:val="231F20"/>
                <w:sz w:val="20"/>
              </w:rPr>
              <w:t>освіти</w:t>
            </w:r>
            <w:r>
              <w:rPr>
                <w:color w:val="231F20"/>
                <w:spacing w:val="-10"/>
                <w:sz w:val="20"/>
              </w:rPr>
              <w:t xml:space="preserve"> </w:t>
            </w:r>
            <w:r>
              <w:rPr>
                <w:color w:val="231F20"/>
                <w:spacing w:val="-3"/>
                <w:sz w:val="20"/>
              </w:rPr>
              <w:t>України,</w:t>
            </w:r>
            <w:r>
              <w:rPr>
                <w:color w:val="231F20"/>
                <w:spacing w:val="-10"/>
                <w:sz w:val="20"/>
              </w:rPr>
              <w:t xml:space="preserve"> </w:t>
            </w:r>
            <w:r>
              <w:rPr>
                <w:color w:val="231F20"/>
                <w:sz w:val="20"/>
              </w:rPr>
              <w:t>акаде- мік</w:t>
            </w:r>
            <w:r>
              <w:rPr>
                <w:color w:val="231F20"/>
                <w:spacing w:val="-18"/>
                <w:sz w:val="20"/>
              </w:rPr>
              <w:t xml:space="preserve"> </w:t>
            </w:r>
            <w:r>
              <w:rPr>
                <w:color w:val="231F20"/>
                <w:sz w:val="20"/>
              </w:rPr>
              <w:t>Академії</w:t>
            </w:r>
            <w:r>
              <w:rPr>
                <w:color w:val="231F20"/>
                <w:spacing w:val="-18"/>
                <w:sz w:val="20"/>
              </w:rPr>
              <w:t xml:space="preserve"> </w:t>
            </w:r>
            <w:r>
              <w:rPr>
                <w:color w:val="231F20"/>
                <w:sz w:val="20"/>
              </w:rPr>
              <w:t>АПН,</w:t>
            </w:r>
            <w:r>
              <w:rPr>
                <w:color w:val="231F20"/>
                <w:spacing w:val="-18"/>
                <w:sz w:val="20"/>
              </w:rPr>
              <w:t xml:space="preserve"> </w:t>
            </w:r>
            <w:r>
              <w:rPr>
                <w:color w:val="231F20"/>
                <w:sz w:val="20"/>
              </w:rPr>
              <w:t>завідувач</w:t>
            </w:r>
            <w:r>
              <w:rPr>
                <w:color w:val="231F20"/>
                <w:spacing w:val="-18"/>
                <w:sz w:val="20"/>
              </w:rPr>
              <w:t xml:space="preserve"> </w:t>
            </w:r>
            <w:r>
              <w:rPr>
                <w:color w:val="231F20"/>
                <w:sz w:val="20"/>
              </w:rPr>
              <w:t>кафедри</w:t>
            </w:r>
            <w:r>
              <w:rPr>
                <w:color w:val="231F20"/>
                <w:spacing w:val="-18"/>
                <w:sz w:val="20"/>
              </w:rPr>
              <w:t xml:space="preserve"> </w:t>
            </w:r>
            <w:r>
              <w:rPr>
                <w:color w:val="231F20"/>
                <w:sz w:val="20"/>
              </w:rPr>
              <w:t>адміністратив- ного</w:t>
            </w:r>
            <w:r>
              <w:rPr>
                <w:color w:val="231F20"/>
                <w:spacing w:val="-8"/>
                <w:sz w:val="20"/>
              </w:rPr>
              <w:t xml:space="preserve"> </w:t>
            </w:r>
            <w:r>
              <w:rPr>
                <w:color w:val="231F20"/>
                <w:sz w:val="20"/>
              </w:rPr>
              <w:t>та</w:t>
            </w:r>
            <w:r>
              <w:rPr>
                <w:color w:val="231F20"/>
                <w:spacing w:val="-8"/>
                <w:sz w:val="20"/>
              </w:rPr>
              <w:t xml:space="preserve"> </w:t>
            </w:r>
            <w:r>
              <w:rPr>
                <w:color w:val="231F20"/>
                <w:sz w:val="20"/>
              </w:rPr>
              <w:t>фінансового</w:t>
            </w:r>
            <w:r>
              <w:rPr>
                <w:color w:val="231F20"/>
                <w:spacing w:val="-8"/>
                <w:sz w:val="20"/>
              </w:rPr>
              <w:t xml:space="preserve"> </w:t>
            </w:r>
            <w:r>
              <w:rPr>
                <w:color w:val="231F20"/>
                <w:sz w:val="20"/>
              </w:rPr>
              <w:t>права</w:t>
            </w:r>
            <w:r>
              <w:rPr>
                <w:color w:val="231F20"/>
                <w:spacing w:val="-8"/>
                <w:sz w:val="20"/>
              </w:rPr>
              <w:t xml:space="preserve"> </w:t>
            </w:r>
            <w:r>
              <w:rPr>
                <w:color w:val="231F20"/>
                <w:sz w:val="20"/>
              </w:rPr>
              <w:t>Національного</w:t>
            </w:r>
            <w:r>
              <w:rPr>
                <w:color w:val="231F20"/>
                <w:spacing w:val="-8"/>
                <w:sz w:val="20"/>
              </w:rPr>
              <w:t xml:space="preserve"> </w:t>
            </w:r>
            <w:r>
              <w:rPr>
                <w:color w:val="231F20"/>
                <w:sz w:val="20"/>
              </w:rPr>
              <w:t>універси- тету біоресурсів та природокористування</w:t>
            </w:r>
            <w:r>
              <w:rPr>
                <w:color w:val="231F20"/>
                <w:spacing w:val="-11"/>
                <w:sz w:val="20"/>
              </w:rPr>
              <w:t xml:space="preserve"> </w:t>
            </w:r>
            <w:r>
              <w:rPr>
                <w:color w:val="231F20"/>
                <w:spacing w:val="-3"/>
                <w:sz w:val="20"/>
              </w:rPr>
              <w:t>України;</w:t>
            </w:r>
          </w:p>
          <w:p w14:paraId="413E1F90" w14:textId="77777777" w:rsidR="00DE575E" w:rsidRDefault="002E7560">
            <w:pPr>
              <w:pStyle w:val="TableParagraph"/>
              <w:spacing w:line="225" w:lineRule="auto"/>
              <w:ind w:right="44" w:firstLine="283"/>
              <w:jc w:val="both"/>
              <w:rPr>
                <w:sz w:val="20"/>
              </w:rPr>
            </w:pPr>
            <w:r>
              <w:rPr>
                <w:b/>
                <w:color w:val="231F20"/>
                <w:sz w:val="20"/>
              </w:rPr>
              <w:t>Діденко Сергій Володимирович</w:t>
            </w:r>
            <w:r>
              <w:rPr>
                <w:color w:val="231F20"/>
                <w:sz w:val="20"/>
              </w:rPr>
              <w:t>, доктор юридичних наук, професор, заслужений юрист України, академік Академії АПН, директор Херсон- ського інституту Міжрегіональної академії управ-</w:t>
            </w:r>
            <w:r>
              <w:rPr>
                <w:color w:val="231F20"/>
                <w:sz w:val="20"/>
              </w:rPr>
              <w:t xml:space="preserve"> ління персоналом;</w:t>
            </w:r>
          </w:p>
          <w:p w14:paraId="074D9DAD" w14:textId="77777777" w:rsidR="00DE575E" w:rsidRDefault="002E7560">
            <w:pPr>
              <w:pStyle w:val="TableParagraph"/>
              <w:spacing w:line="225" w:lineRule="auto"/>
              <w:ind w:right="42" w:firstLine="283"/>
              <w:jc w:val="both"/>
              <w:rPr>
                <w:sz w:val="20"/>
              </w:rPr>
            </w:pPr>
            <w:r>
              <w:rPr>
                <w:b/>
                <w:color w:val="231F20"/>
                <w:sz w:val="20"/>
              </w:rPr>
              <w:t>Куркова Ксенія Миколаївна</w:t>
            </w:r>
            <w:r>
              <w:rPr>
                <w:color w:val="231F20"/>
                <w:sz w:val="20"/>
              </w:rPr>
              <w:t>, кандидатка юридичних</w:t>
            </w:r>
            <w:r>
              <w:rPr>
                <w:color w:val="231F20"/>
                <w:spacing w:val="-15"/>
                <w:sz w:val="20"/>
              </w:rPr>
              <w:t xml:space="preserve"> </w:t>
            </w:r>
            <w:r>
              <w:rPr>
                <w:color w:val="231F20"/>
                <w:sz w:val="20"/>
              </w:rPr>
              <w:t>наук,</w:t>
            </w:r>
            <w:r>
              <w:rPr>
                <w:color w:val="231F20"/>
                <w:spacing w:val="-15"/>
                <w:sz w:val="20"/>
              </w:rPr>
              <w:t xml:space="preserve"> </w:t>
            </w:r>
            <w:r>
              <w:rPr>
                <w:color w:val="231F20"/>
                <w:sz w:val="20"/>
              </w:rPr>
              <w:t>наукова</w:t>
            </w:r>
            <w:r>
              <w:rPr>
                <w:color w:val="231F20"/>
                <w:spacing w:val="-15"/>
                <w:sz w:val="20"/>
              </w:rPr>
              <w:t xml:space="preserve"> </w:t>
            </w:r>
            <w:r>
              <w:rPr>
                <w:color w:val="231F20"/>
                <w:sz w:val="20"/>
              </w:rPr>
              <w:t>дослідниця,</w:t>
            </w:r>
            <w:r>
              <w:rPr>
                <w:color w:val="231F20"/>
                <w:spacing w:val="-15"/>
                <w:sz w:val="20"/>
              </w:rPr>
              <w:t xml:space="preserve"> </w:t>
            </w:r>
            <w:r>
              <w:rPr>
                <w:color w:val="231F20"/>
                <w:sz w:val="20"/>
              </w:rPr>
              <w:t>членкиня-ко- респондентка Академії АПН, завідувачка відділу науково-правових експертиз та законопроєктних робіт Науково-дослідного інституту публічного права;</w:t>
            </w:r>
          </w:p>
          <w:p w14:paraId="47A69877" w14:textId="77777777" w:rsidR="00DE575E" w:rsidRDefault="002E7560">
            <w:pPr>
              <w:pStyle w:val="TableParagraph"/>
              <w:spacing w:line="225" w:lineRule="auto"/>
              <w:ind w:right="44" w:firstLine="283"/>
              <w:jc w:val="both"/>
              <w:rPr>
                <w:sz w:val="20"/>
              </w:rPr>
            </w:pPr>
            <w:r>
              <w:rPr>
                <w:b/>
                <w:color w:val="231F20"/>
                <w:sz w:val="20"/>
              </w:rPr>
              <w:t>Мкрт</w:t>
            </w:r>
            <w:r>
              <w:rPr>
                <w:b/>
                <w:color w:val="231F20"/>
                <w:sz w:val="20"/>
              </w:rPr>
              <w:t>чян</w:t>
            </w:r>
            <w:r>
              <w:rPr>
                <w:b/>
                <w:color w:val="231F20"/>
                <w:spacing w:val="-29"/>
                <w:sz w:val="20"/>
              </w:rPr>
              <w:t xml:space="preserve"> </w:t>
            </w:r>
            <w:r>
              <w:rPr>
                <w:b/>
                <w:color w:val="231F20"/>
                <w:sz w:val="20"/>
              </w:rPr>
              <w:t>Роман</w:t>
            </w:r>
            <w:r>
              <w:rPr>
                <w:b/>
                <w:color w:val="231F20"/>
                <w:spacing w:val="-29"/>
                <w:sz w:val="20"/>
              </w:rPr>
              <w:t xml:space="preserve"> </w:t>
            </w:r>
            <w:r>
              <w:rPr>
                <w:b/>
                <w:color w:val="231F20"/>
                <w:sz w:val="20"/>
              </w:rPr>
              <w:t>Сейранович</w:t>
            </w:r>
            <w:r>
              <w:rPr>
                <w:color w:val="231F20"/>
                <w:sz w:val="20"/>
              </w:rPr>
              <w:t>,</w:t>
            </w:r>
            <w:r>
              <w:rPr>
                <w:color w:val="231F20"/>
                <w:spacing w:val="-29"/>
                <w:sz w:val="20"/>
              </w:rPr>
              <w:t xml:space="preserve"> </w:t>
            </w:r>
            <w:r>
              <w:rPr>
                <w:color w:val="231F20"/>
                <w:sz w:val="20"/>
              </w:rPr>
              <w:t>кандидат</w:t>
            </w:r>
            <w:r>
              <w:rPr>
                <w:color w:val="231F20"/>
                <w:spacing w:val="-29"/>
                <w:sz w:val="20"/>
              </w:rPr>
              <w:t xml:space="preserve"> </w:t>
            </w:r>
            <w:r>
              <w:rPr>
                <w:color w:val="231F20"/>
                <w:sz w:val="20"/>
              </w:rPr>
              <w:t xml:space="preserve">юридич- них наук, </w:t>
            </w:r>
            <w:r>
              <w:rPr>
                <w:color w:val="231F20"/>
                <w:spacing w:val="-3"/>
                <w:sz w:val="20"/>
              </w:rPr>
              <w:t xml:space="preserve">доцент, </w:t>
            </w:r>
            <w:r>
              <w:rPr>
                <w:color w:val="231F20"/>
                <w:sz w:val="20"/>
              </w:rPr>
              <w:t>член-кореспондент Академії АПН завідувач кафедри правових дисциплін Херсон- ського інституту Міжрегіональної Академії управ- ління</w:t>
            </w:r>
            <w:r>
              <w:rPr>
                <w:color w:val="231F20"/>
                <w:spacing w:val="-2"/>
                <w:sz w:val="20"/>
              </w:rPr>
              <w:t xml:space="preserve"> </w:t>
            </w:r>
            <w:r>
              <w:rPr>
                <w:color w:val="231F20"/>
                <w:sz w:val="20"/>
              </w:rPr>
              <w:t>персоналом;</w:t>
            </w:r>
          </w:p>
          <w:p w14:paraId="5D33E3EC" w14:textId="77777777" w:rsidR="00DE575E" w:rsidRDefault="002E7560">
            <w:pPr>
              <w:pStyle w:val="TableParagraph"/>
              <w:spacing w:line="225" w:lineRule="auto"/>
              <w:ind w:right="44" w:firstLine="283"/>
              <w:jc w:val="both"/>
              <w:rPr>
                <w:sz w:val="20"/>
              </w:rPr>
            </w:pPr>
            <w:r>
              <w:rPr>
                <w:b/>
                <w:color w:val="231F20"/>
                <w:sz w:val="20"/>
              </w:rPr>
              <w:t>Сердюк</w:t>
            </w:r>
            <w:r>
              <w:rPr>
                <w:b/>
                <w:color w:val="231F20"/>
                <w:spacing w:val="-27"/>
                <w:sz w:val="20"/>
              </w:rPr>
              <w:t xml:space="preserve"> </w:t>
            </w:r>
            <w:r>
              <w:rPr>
                <w:b/>
                <w:color w:val="231F20"/>
                <w:sz w:val="20"/>
              </w:rPr>
              <w:t>Євгеній</w:t>
            </w:r>
            <w:r>
              <w:rPr>
                <w:b/>
                <w:color w:val="231F20"/>
                <w:spacing w:val="-26"/>
                <w:sz w:val="20"/>
              </w:rPr>
              <w:t xml:space="preserve"> </w:t>
            </w:r>
            <w:r>
              <w:rPr>
                <w:b/>
                <w:color w:val="231F20"/>
                <w:sz w:val="20"/>
              </w:rPr>
              <w:t>Васильович</w:t>
            </w:r>
            <w:r>
              <w:rPr>
                <w:color w:val="231F20"/>
                <w:sz w:val="20"/>
              </w:rPr>
              <w:t>,</w:t>
            </w:r>
            <w:r>
              <w:rPr>
                <w:color w:val="231F20"/>
                <w:spacing w:val="-27"/>
                <w:sz w:val="20"/>
              </w:rPr>
              <w:t xml:space="preserve"> </w:t>
            </w:r>
            <w:r>
              <w:rPr>
                <w:color w:val="231F20"/>
                <w:sz w:val="20"/>
              </w:rPr>
              <w:t>кандидат</w:t>
            </w:r>
            <w:r>
              <w:rPr>
                <w:color w:val="231F20"/>
                <w:spacing w:val="-26"/>
                <w:sz w:val="20"/>
              </w:rPr>
              <w:t xml:space="preserve"> </w:t>
            </w:r>
            <w:r>
              <w:rPr>
                <w:color w:val="231F20"/>
                <w:sz w:val="20"/>
              </w:rPr>
              <w:t xml:space="preserve">юридич- них наук, </w:t>
            </w:r>
            <w:r>
              <w:rPr>
                <w:color w:val="231F20"/>
                <w:spacing w:val="-3"/>
                <w:sz w:val="20"/>
              </w:rPr>
              <w:t xml:space="preserve">доцент, </w:t>
            </w:r>
            <w:r>
              <w:rPr>
                <w:color w:val="231F20"/>
                <w:sz w:val="20"/>
              </w:rPr>
              <w:t>член-кореспондент Академії АПН, доцент кафедри Інституту права та суспільних відносин Відкритого міжнародного університету розвитку людини</w:t>
            </w:r>
            <w:r>
              <w:rPr>
                <w:color w:val="231F20"/>
                <w:spacing w:val="-4"/>
                <w:sz w:val="20"/>
              </w:rPr>
              <w:t xml:space="preserve"> </w:t>
            </w:r>
            <w:r>
              <w:rPr>
                <w:color w:val="231F20"/>
                <w:sz w:val="20"/>
              </w:rPr>
              <w:t>«Україна».</w:t>
            </w:r>
          </w:p>
          <w:p w14:paraId="2ABBB4A5" w14:textId="77777777" w:rsidR="00DE575E" w:rsidRDefault="002E7560">
            <w:pPr>
              <w:pStyle w:val="TableParagraph"/>
              <w:spacing w:line="220" w:lineRule="exact"/>
              <w:ind w:right="45" w:firstLine="283"/>
              <w:jc w:val="both"/>
              <w:rPr>
                <w:sz w:val="20"/>
              </w:rPr>
            </w:pPr>
            <w:r>
              <w:rPr>
                <w:b/>
                <w:color w:val="231F20"/>
                <w:spacing w:val="-4"/>
                <w:sz w:val="20"/>
              </w:rPr>
              <w:t xml:space="preserve">Гулак </w:t>
            </w:r>
            <w:r>
              <w:rPr>
                <w:b/>
                <w:color w:val="231F20"/>
                <w:sz w:val="20"/>
              </w:rPr>
              <w:t>Олена Василівна</w:t>
            </w:r>
            <w:r>
              <w:rPr>
                <w:color w:val="231F20"/>
                <w:sz w:val="20"/>
              </w:rPr>
              <w:t>, кандидат юридичних наук,</w:t>
            </w:r>
            <w:r>
              <w:rPr>
                <w:color w:val="231F20"/>
                <w:spacing w:val="-8"/>
                <w:sz w:val="20"/>
              </w:rPr>
              <w:t xml:space="preserve"> </w:t>
            </w:r>
            <w:r>
              <w:rPr>
                <w:color w:val="231F20"/>
                <w:spacing w:val="-3"/>
                <w:sz w:val="20"/>
              </w:rPr>
              <w:t>доцент,</w:t>
            </w:r>
            <w:r>
              <w:rPr>
                <w:color w:val="231F20"/>
                <w:spacing w:val="-8"/>
                <w:sz w:val="20"/>
              </w:rPr>
              <w:t xml:space="preserve"> </w:t>
            </w:r>
            <w:r>
              <w:rPr>
                <w:color w:val="231F20"/>
                <w:sz w:val="20"/>
              </w:rPr>
              <w:t>доцент</w:t>
            </w:r>
            <w:r>
              <w:rPr>
                <w:color w:val="231F20"/>
                <w:spacing w:val="-8"/>
                <w:sz w:val="20"/>
              </w:rPr>
              <w:t xml:space="preserve"> </w:t>
            </w:r>
            <w:r>
              <w:rPr>
                <w:color w:val="231F20"/>
                <w:sz w:val="20"/>
              </w:rPr>
              <w:t>кафедри</w:t>
            </w:r>
            <w:r>
              <w:rPr>
                <w:color w:val="231F20"/>
                <w:spacing w:val="-8"/>
                <w:sz w:val="20"/>
              </w:rPr>
              <w:t xml:space="preserve"> </w:t>
            </w:r>
            <w:r>
              <w:rPr>
                <w:color w:val="231F20"/>
                <w:sz w:val="20"/>
              </w:rPr>
              <w:t>адміністративного</w:t>
            </w:r>
            <w:r>
              <w:rPr>
                <w:color w:val="231F20"/>
                <w:spacing w:val="-8"/>
                <w:sz w:val="20"/>
              </w:rPr>
              <w:t xml:space="preserve"> </w:t>
            </w:r>
            <w:r>
              <w:rPr>
                <w:color w:val="231F20"/>
                <w:sz w:val="20"/>
              </w:rPr>
              <w:t>та фінансового права НУБіП</w:t>
            </w:r>
            <w:r>
              <w:rPr>
                <w:color w:val="231F20"/>
                <w:spacing w:val="-3"/>
                <w:sz w:val="20"/>
              </w:rPr>
              <w:t xml:space="preserve"> України</w:t>
            </w:r>
          </w:p>
        </w:tc>
      </w:tr>
      <w:tr w:rsidR="00DE575E" w14:paraId="12CD5B69" w14:textId="77777777">
        <w:trPr>
          <w:trHeight w:val="2016"/>
        </w:trPr>
        <w:tc>
          <w:tcPr>
            <w:tcW w:w="1701" w:type="dxa"/>
          </w:tcPr>
          <w:p w14:paraId="7607A66F" w14:textId="77777777" w:rsidR="00DE575E" w:rsidRDefault="002E7560">
            <w:pPr>
              <w:pStyle w:val="TableParagraph"/>
              <w:spacing w:before="26" w:line="225" w:lineRule="auto"/>
              <w:ind w:left="441" w:right="430"/>
              <w:jc w:val="center"/>
              <w:rPr>
                <w:b/>
                <w:sz w:val="20"/>
              </w:rPr>
            </w:pPr>
            <w:r>
              <w:rPr>
                <w:b/>
                <w:color w:val="231F20"/>
                <w:sz w:val="20"/>
              </w:rPr>
              <w:t>Розділ 4 Глава І за ред.</w:t>
            </w:r>
          </w:p>
          <w:p w14:paraId="1E88DD0C" w14:textId="77777777" w:rsidR="00DE575E" w:rsidRDefault="002E7560">
            <w:pPr>
              <w:pStyle w:val="TableParagraph"/>
              <w:spacing w:line="222" w:lineRule="exact"/>
              <w:ind w:left="239" w:right="230"/>
              <w:jc w:val="center"/>
              <w:rPr>
                <w:b/>
                <w:sz w:val="20"/>
              </w:rPr>
            </w:pPr>
            <w:r>
              <w:rPr>
                <w:b/>
                <w:color w:val="231F20"/>
                <w:sz w:val="20"/>
              </w:rPr>
              <w:t>Ю. Ващенко</w:t>
            </w:r>
          </w:p>
        </w:tc>
        <w:tc>
          <w:tcPr>
            <w:tcW w:w="4809" w:type="dxa"/>
          </w:tcPr>
          <w:p w14:paraId="0394DE6B" w14:textId="77777777" w:rsidR="00DE575E" w:rsidRDefault="002E7560">
            <w:pPr>
              <w:pStyle w:val="TableParagraph"/>
              <w:spacing w:before="26" w:line="225" w:lineRule="auto"/>
              <w:ind w:right="44" w:firstLine="283"/>
              <w:jc w:val="both"/>
              <w:rPr>
                <w:sz w:val="20"/>
              </w:rPr>
            </w:pPr>
            <w:r>
              <w:rPr>
                <w:b/>
                <w:color w:val="231F20"/>
                <w:sz w:val="20"/>
              </w:rPr>
              <w:t>Ващенко Юлія В’ячеславівна</w:t>
            </w:r>
            <w:r>
              <w:rPr>
                <w:color w:val="231F20"/>
                <w:sz w:val="20"/>
              </w:rPr>
              <w:t>, докторка юридичних наук, доцентка, професорка кафедри адміністративного права, Київський національний університет імені Тараса Шевченка;</w:t>
            </w:r>
          </w:p>
          <w:p w14:paraId="0125662C" w14:textId="77777777" w:rsidR="00DE575E" w:rsidRDefault="002E7560">
            <w:pPr>
              <w:pStyle w:val="TableParagraph"/>
              <w:spacing w:before="1" w:line="220" w:lineRule="exact"/>
              <w:ind w:right="44" w:firstLine="283"/>
              <w:jc w:val="both"/>
              <w:rPr>
                <w:sz w:val="20"/>
              </w:rPr>
            </w:pPr>
            <w:r>
              <w:rPr>
                <w:b/>
                <w:color w:val="231F20"/>
                <w:sz w:val="20"/>
              </w:rPr>
              <w:t>Журавльов Дмитро Во</w:t>
            </w:r>
            <w:r>
              <w:rPr>
                <w:b/>
                <w:color w:val="231F20"/>
                <w:sz w:val="20"/>
              </w:rPr>
              <w:t>лодимирович</w:t>
            </w:r>
            <w:r>
              <w:rPr>
                <w:color w:val="231F20"/>
                <w:sz w:val="20"/>
              </w:rPr>
              <w:t xml:space="preserve">, доктор юридичних наук, професор, академік Академії  АПН, заслужений юрист </w:t>
            </w:r>
            <w:r>
              <w:rPr>
                <w:color w:val="231F20"/>
                <w:spacing w:val="-3"/>
                <w:sz w:val="20"/>
              </w:rPr>
              <w:t xml:space="preserve">України, </w:t>
            </w:r>
            <w:r>
              <w:rPr>
                <w:color w:val="231F20"/>
                <w:sz w:val="20"/>
              </w:rPr>
              <w:t>перший заступ- ник директора Інституту права та післядипломної освіти Міністерства юстиції</w:t>
            </w:r>
            <w:r>
              <w:rPr>
                <w:color w:val="231F20"/>
                <w:spacing w:val="-2"/>
                <w:sz w:val="20"/>
              </w:rPr>
              <w:t xml:space="preserve"> </w:t>
            </w:r>
            <w:r>
              <w:rPr>
                <w:color w:val="231F20"/>
                <w:spacing w:val="-3"/>
                <w:sz w:val="20"/>
              </w:rPr>
              <w:t>України;</w:t>
            </w:r>
          </w:p>
        </w:tc>
      </w:tr>
    </w:tbl>
    <w:p w14:paraId="6B38922D" w14:textId="77777777" w:rsidR="00DE575E" w:rsidRDefault="00DE575E">
      <w:pPr>
        <w:pStyle w:val="BodyText"/>
        <w:rPr>
          <w:rFonts w:ascii="AdonisC"/>
          <w:i/>
          <w:sz w:val="18"/>
        </w:rPr>
      </w:pPr>
    </w:p>
    <w:p w14:paraId="744CB52E" w14:textId="77777777" w:rsidR="00DE575E" w:rsidRDefault="00DE575E">
      <w:pPr>
        <w:pStyle w:val="BodyText"/>
        <w:rPr>
          <w:rFonts w:ascii="AdonisC"/>
          <w:i/>
          <w:sz w:val="18"/>
        </w:rPr>
      </w:pPr>
    </w:p>
    <w:p w14:paraId="3DCF8C70" w14:textId="77777777" w:rsidR="00DE575E" w:rsidRDefault="002E7560">
      <w:pPr>
        <w:spacing w:before="127"/>
        <w:ind w:right="411"/>
        <w:jc w:val="right"/>
        <w:rPr>
          <w:rFonts w:ascii="Times New Roman"/>
          <w:sz w:val="20"/>
        </w:rPr>
      </w:pPr>
      <w:r>
        <w:rPr>
          <w:rFonts w:ascii="Times New Roman"/>
          <w:color w:val="231F20"/>
          <w:w w:val="90"/>
          <w:sz w:val="20"/>
        </w:rPr>
        <w:t>563</w:t>
      </w:r>
    </w:p>
    <w:p w14:paraId="5E4B7FB9"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116FD0A6" w14:textId="77777777" w:rsidR="00DE575E" w:rsidRDefault="002E7560">
      <w:pPr>
        <w:spacing w:before="78" w:line="249" w:lineRule="auto"/>
        <w:ind w:left="533" w:right="4022"/>
        <w:rPr>
          <w:rFonts w:ascii="AdonisC" w:hAnsi="AdonisC"/>
          <w:i/>
          <w:sz w:val="18"/>
        </w:rPr>
      </w:pPr>
      <w:r>
        <w:rPr>
          <w:rFonts w:ascii="AdonisC" w:hAnsi="AdonisC"/>
          <w:i/>
          <w:color w:val="231F20"/>
          <w:sz w:val="18"/>
        </w:rPr>
        <w:t xml:space="preserve">Адміністративне право України. </w:t>
      </w:r>
      <w:r>
        <w:rPr>
          <w:rFonts w:ascii="AdonisC" w:hAnsi="AdonisC"/>
          <w:i/>
          <w:color w:val="231F20"/>
          <w:sz w:val="18"/>
        </w:rPr>
        <w:t>Повний курс</w:t>
      </w:r>
    </w:p>
    <w:p w14:paraId="09A42E20" w14:textId="6246BDA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02C1BF42" wp14:editId="1251AC2C">
                <wp:extent cx="4140200" cy="6350"/>
                <wp:effectExtent l="0" t="0" r="12700" b="635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40" name="Line 3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EB8177" id="Group_x0020_3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E6kgEfQIAAJQFAAAOAAAA&#10;AAAAAAAAAAAAACwCAABkcnMvZTJvRG9jLnhtbFBLAQItABQABgAIAAAAIQBMp7CQ2QAAAAMBAAAP&#10;AAAAAAAAAAAAAAAAANUEAABkcnMvZG93bnJldi54bWxQSwUGAAAAAAQABADzAAAA2wUAAAAA&#10;">
                <v:line id="Line_x0020_3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5pkDcIAAADbAAAADwAAAGRycy9kb3ducmV2LnhtbERP3WrCMBS+H+wdwhl4M2aqDhmdUYYg&#10;iBf+tD7AsTlry5KT2kRbfXpzIezy4/ufLXprxJVaXztWMBomIIgLp2suFRzz1ccXCB+QNRrHpOBG&#10;Hhbz15cZptp1fKBrFkoRQ9inqKAKoUml9EVFFv3QNcSR+3WtxRBhW0rdYhfDrZHjJJlKizXHhgob&#10;WlZU/GUXqyA/vwez321Ml+9OE3k6byf3y1apwVv/8w0iUB/+xU/3Wiv4jOvj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5pkDcIAAADbAAAADwAAAAAAAAAAAAAA&#10;AAChAgAAZHJzL2Rvd25yZXYueG1sUEsFBgAAAAAEAAQA+QAAAJADAAAAAA==&#10;" strokecolor="#231f20" strokeweight=".5pt"/>
                <w10:anchorlock/>
              </v:group>
            </w:pict>
          </mc:Fallback>
        </mc:AlternateContent>
      </w:r>
    </w:p>
    <w:p w14:paraId="7A8A2F7A"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0B1A07CB" w14:textId="77777777">
        <w:trPr>
          <w:trHeight w:val="7518"/>
        </w:trPr>
        <w:tc>
          <w:tcPr>
            <w:tcW w:w="1701" w:type="dxa"/>
          </w:tcPr>
          <w:p w14:paraId="224C61D2" w14:textId="77777777" w:rsidR="00DE575E" w:rsidRDefault="002E7560">
            <w:pPr>
              <w:pStyle w:val="TableParagraph"/>
              <w:spacing w:before="28" w:line="225" w:lineRule="auto"/>
              <w:ind w:left="441" w:right="430"/>
              <w:jc w:val="center"/>
              <w:rPr>
                <w:b/>
                <w:sz w:val="20"/>
              </w:rPr>
            </w:pPr>
            <w:r>
              <w:rPr>
                <w:b/>
                <w:color w:val="231F20"/>
                <w:sz w:val="20"/>
              </w:rPr>
              <w:t>Розділ 4 Глава І за ред.</w:t>
            </w:r>
          </w:p>
          <w:p w14:paraId="67516A90" w14:textId="77777777" w:rsidR="00DE575E" w:rsidRDefault="002E7560">
            <w:pPr>
              <w:pStyle w:val="TableParagraph"/>
              <w:spacing w:line="222" w:lineRule="exact"/>
              <w:ind w:left="239" w:right="230"/>
              <w:jc w:val="center"/>
              <w:rPr>
                <w:b/>
                <w:sz w:val="20"/>
              </w:rPr>
            </w:pPr>
            <w:r>
              <w:rPr>
                <w:b/>
                <w:color w:val="231F20"/>
                <w:sz w:val="20"/>
              </w:rPr>
              <w:t>Ю. Ващенко</w:t>
            </w:r>
          </w:p>
        </w:tc>
        <w:tc>
          <w:tcPr>
            <w:tcW w:w="4809" w:type="dxa"/>
          </w:tcPr>
          <w:p w14:paraId="3971F5C6" w14:textId="77777777" w:rsidR="00DE575E" w:rsidRDefault="002E7560">
            <w:pPr>
              <w:pStyle w:val="TableParagraph"/>
              <w:spacing w:before="28" w:line="225" w:lineRule="auto"/>
              <w:ind w:right="45" w:firstLine="283"/>
              <w:jc w:val="both"/>
              <w:rPr>
                <w:sz w:val="20"/>
              </w:rPr>
            </w:pPr>
            <w:r>
              <w:rPr>
                <w:b/>
                <w:color w:val="231F20"/>
                <w:sz w:val="20"/>
              </w:rPr>
              <w:t>Дрозд Олексій Юрійович</w:t>
            </w:r>
            <w:r>
              <w:rPr>
                <w:color w:val="231F20"/>
                <w:sz w:val="20"/>
              </w:rPr>
              <w:t>, доктор юридичних наук, доцент, академік Академії АПН, завідувач докторантури та аспірантури Національної акаде- мії внутрішніх справ;</w:t>
            </w:r>
          </w:p>
          <w:p w14:paraId="63EE7023" w14:textId="77777777" w:rsidR="00DE575E" w:rsidRDefault="002E7560">
            <w:pPr>
              <w:pStyle w:val="TableParagraph"/>
              <w:spacing w:line="225" w:lineRule="auto"/>
              <w:ind w:right="44" w:firstLine="283"/>
              <w:jc w:val="both"/>
              <w:rPr>
                <w:sz w:val="20"/>
              </w:rPr>
            </w:pPr>
            <w:r>
              <w:rPr>
                <w:b/>
                <w:color w:val="231F20"/>
                <w:spacing w:val="-4"/>
                <w:sz w:val="20"/>
              </w:rPr>
              <w:t xml:space="preserve">Лазур Ярослав </w:t>
            </w:r>
            <w:r>
              <w:rPr>
                <w:b/>
                <w:color w:val="231F20"/>
                <w:spacing w:val="-5"/>
                <w:sz w:val="20"/>
              </w:rPr>
              <w:t>Володимирович</w:t>
            </w:r>
            <w:r>
              <w:rPr>
                <w:color w:val="231F20"/>
                <w:spacing w:val="-5"/>
                <w:sz w:val="20"/>
              </w:rPr>
              <w:t xml:space="preserve">, </w:t>
            </w:r>
            <w:r>
              <w:rPr>
                <w:color w:val="231F20"/>
                <w:spacing w:val="-4"/>
                <w:sz w:val="20"/>
              </w:rPr>
              <w:t xml:space="preserve">доктор </w:t>
            </w:r>
            <w:r>
              <w:rPr>
                <w:color w:val="231F20"/>
                <w:spacing w:val="-5"/>
                <w:sz w:val="20"/>
              </w:rPr>
              <w:t xml:space="preserve">юридич- </w:t>
            </w:r>
            <w:r>
              <w:rPr>
                <w:color w:val="231F20"/>
                <w:spacing w:val="-3"/>
                <w:sz w:val="20"/>
              </w:rPr>
              <w:t xml:space="preserve">них </w:t>
            </w:r>
            <w:r>
              <w:rPr>
                <w:color w:val="231F20"/>
                <w:spacing w:val="-4"/>
                <w:sz w:val="20"/>
              </w:rPr>
              <w:t xml:space="preserve">наук, професор, декан </w:t>
            </w:r>
            <w:r>
              <w:rPr>
                <w:color w:val="231F20"/>
                <w:spacing w:val="-5"/>
                <w:sz w:val="20"/>
              </w:rPr>
              <w:t xml:space="preserve">юридичного </w:t>
            </w:r>
            <w:r>
              <w:rPr>
                <w:color w:val="231F20"/>
                <w:spacing w:val="-6"/>
                <w:sz w:val="20"/>
              </w:rPr>
              <w:t xml:space="preserve">факультету </w:t>
            </w:r>
            <w:r>
              <w:rPr>
                <w:color w:val="231F20"/>
                <w:spacing w:val="-5"/>
                <w:sz w:val="20"/>
              </w:rPr>
              <w:t xml:space="preserve">Ужгородського </w:t>
            </w:r>
            <w:r>
              <w:rPr>
                <w:color w:val="231F20"/>
                <w:spacing w:val="-4"/>
                <w:sz w:val="20"/>
              </w:rPr>
              <w:t>національного університету;</w:t>
            </w:r>
          </w:p>
          <w:p w14:paraId="4D50EC4B" w14:textId="77777777" w:rsidR="00DE575E" w:rsidRDefault="002E7560">
            <w:pPr>
              <w:pStyle w:val="TableParagraph"/>
              <w:spacing w:line="225" w:lineRule="auto"/>
              <w:ind w:right="47" w:firstLine="283"/>
              <w:jc w:val="both"/>
              <w:rPr>
                <w:sz w:val="20"/>
              </w:rPr>
            </w:pPr>
            <w:r>
              <w:rPr>
                <w:b/>
                <w:color w:val="231F20"/>
                <w:spacing w:val="-7"/>
                <w:sz w:val="20"/>
              </w:rPr>
              <w:t xml:space="preserve">Рогач </w:t>
            </w:r>
            <w:r>
              <w:rPr>
                <w:b/>
                <w:color w:val="231F20"/>
                <w:spacing w:val="-5"/>
                <w:sz w:val="20"/>
              </w:rPr>
              <w:t xml:space="preserve">Олександр </w:t>
            </w:r>
            <w:r>
              <w:rPr>
                <w:b/>
                <w:color w:val="231F20"/>
                <w:spacing w:val="-4"/>
                <w:sz w:val="20"/>
              </w:rPr>
              <w:t>Янович</w:t>
            </w:r>
            <w:r>
              <w:rPr>
                <w:color w:val="231F20"/>
                <w:spacing w:val="-4"/>
                <w:sz w:val="20"/>
              </w:rPr>
              <w:t xml:space="preserve">, доктор </w:t>
            </w:r>
            <w:r>
              <w:rPr>
                <w:color w:val="231F20"/>
                <w:spacing w:val="-5"/>
                <w:sz w:val="20"/>
              </w:rPr>
              <w:t xml:space="preserve">юридичних </w:t>
            </w:r>
            <w:r>
              <w:rPr>
                <w:color w:val="231F20"/>
                <w:spacing w:val="-4"/>
                <w:sz w:val="20"/>
              </w:rPr>
              <w:t xml:space="preserve">наук, професор, проректор </w:t>
            </w:r>
            <w:r>
              <w:rPr>
                <w:color w:val="231F20"/>
                <w:sz w:val="20"/>
              </w:rPr>
              <w:t xml:space="preserve">з </w:t>
            </w:r>
            <w:r>
              <w:rPr>
                <w:color w:val="231F20"/>
                <w:spacing w:val="-5"/>
                <w:sz w:val="20"/>
              </w:rPr>
              <w:t xml:space="preserve">науково-педагогічної роботи Ужгородського </w:t>
            </w:r>
            <w:r>
              <w:rPr>
                <w:color w:val="231F20"/>
                <w:spacing w:val="-4"/>
                <w:sz w:val="20"/>
              </w:rPr>
              <w:t>національного університету;</w:t>
            </w:r>
          </w:p>
          <w:p w14:paraId="3485E392" w14:textId="77777777" w:rsidR="00DE575E" w:rsidRDefault="002E7560">
            <w:pPr>
              <w:pStyle w:val="TableParagraph"/>
              <w:spacing w:line="225" w:lineRule="auto"/>
              <w:ind w:right="45" w:firstLine="283"/>
              <w:jc w:val="both"/>
              <w:rPr>
                <w:sz w:val="20"/>
              </w:rPr>
            </w:pPr>
            <w:r>
              <w:rPr>
                <w:b/>
                <w:color w:val="231F20"/>
                <w:sz w:val="20"/>
              </w:rPr>
              <w:t>Соболь Євген Юрійович</w:t>
            </w:r>
            <w:r>
              <w:rPr>
                <w:color w:val="231F20"/>
                <w:sz w:val="20"/>
              </w:rPr>
              <w:t>, доктор юридичних наук, професор, академік Академії АПН, завідувач кафедри державно-правових дисциплін та адмі- ністративного права, доктор юридичних наук Центральноукраїнського державного педагогіч- ного у</w:t>
            </w:r>
            <w:r>
              <w:rPr>
                <w:color w:val="231F20"/>
                <w:sz w:val="20"/>
              </w:rPr>
              <w:t>ніверситету імені Володимира Винниченка;</w:t>
            </w:r>
          </w:p>
          <w:p w14:paraId="0F782837" w14:textId="77777777" w:rsidR="00DE575E" w:rsidRDefault="002E7560">
            <w:pPr>
              <w:pStyle w:val="TableParagraph"/>
              <w:spacing w:line="225" w:lineRule="auto"/>
              <w:ind w:right="45" w:firstLine="283"/>
              <w:jc w:val="both"/>
              <w:rPr>
                <w:sz w:val="20"/>
              </w:rPr>
            </w:pPr>
            <w:r>
              <w:rPr>
                <w:b/>
                <w:color w:val="231F20"/>
                <w:sz w:val="20"/>
              </w:rPr>
              <w:t xml:space="preserve">Зима Олександр </w:t>
            </w:r>
            <w:r>
              <w:rPr>
                <w:b/>
                <w:color w:val="231F20"/>
                <w:spacing w:val="-3"/>
                <w:sz w:val="20"/>
              </w:rPr>
              <w:t>Тарасович</w:t>
            </w:r>
            <w:r>
              <w:rPr>
                <w:color w:val="231F20"/>
                <w:spacing w:val="-3"/>
                <w:sz w:val="20"/>
              </w:rPr>
              <w:t xml:space="preserve">, </w:t>
            </w:r>
            <w:r>
              <w:rPr>
                <w:color w:val="231F20"/>
                <w:sz w:val="20"/>
              </w:rPr>
              <w:t xml:space="preserve">кандидат юридич- них наук, </w:t>
            </w:r>
            <w:r>
              <w:rPr>
                <w:color w:val="231F20"/>
                <w:spacing w:val="-3"/>
                <w:sz w:val="20"/>
              </w:rPr>
              <w:t xml:space="preserve">доцент, </w:t>
            </w:r>
            <w:r>
              <w:rPr>
                <w:color w:val="231F20"/>
                <w:sz w:val="20"/>
              </w:rPr>
              <w:t xml:space="preserve">доцент кафедри адміністратив- ного права Національного юридичного універси- тету </w:t>
            </w:r>
            <w:r>
              <w:rPr>
                <w:color w:val="231F20"/>
                <w:spacing w:val="-3"/>
                <w:sz w:val="20"/>
              </w:rPr>
              <w:t xml:space="preserve">України </w:t>
            </w:r>
            <w:r>
              <w:rPr>
                <w:color w:val="231F20"/>
                <w:sz w:val="20"/>
              </w:rPr>
              <w:t>імені Ярослава Мудрого;</w:t>
            </w:r>
          </w:p>
          <w:p w14:paraId="0FAB8719" w14:textId="77777777" w:rsidR="00DE575E" w:rsidRDefault="002E7560">
            <w:pPr>
              <w:pStyle w:val="TableParagraph"/>
              <w:spacing w:line="225" w:lineRule="auto"/>
              <w:ind w:right="43" w:firstLine="283"/>
              <w:jc w:val="both"/>
              <w:rPr>
                <w:sz w:val="20"/>
              </w:rPr>
            </w:pPr>
            <w:r>
              <w:rPr>
                <w:b/>
                <w:color w:val="231F20"/>
                <w:sz w:val="20"/>
              </w:rPr>
              <w:t>Костенко Інеса Володимирівна</w:t>
            </w:r>
            <w:r>
              <w:rPr>
                <w:color w:val="231F20"/>
                <w:sz w:val="20"/>
              </w:rPr>
              <w:t xml:space="preserve">, кандидатка </w:t>
            </w:r>
            <w:r>
              <w:rPr>
                <w:color w:val="231F20"/>
                <w:sz w:val="20"/>
              </w:rPr>
              <w:t>юридичних наук, старша дослідниця, членкиня-ко- респондентка Академії АПН, наукова співробіт- ниця Науково-дослідного інституту будівництва та місцевого самоврядування Національної академії правових наук України;</w:t>
            </w:r>
          </w:p>
          <w:p w14:paraId="426A77A3" w14:textId="77777777" w:rsidR="00DE575E" w:rsidRDefault="002E7560">
            <w:pPr>
              <w:pStyle w:val="TableParagraph"/>
              <w:spacing w:line="225" w:lineRule="auto"/>
              <w:ind w:right="44" w:firstLine="283"/>
              <w:jc w:val="both"/>
              <w:rPr>
                <w:sz w:val="20"/>
              </w:rPr>
            </w:pPr>
            <w:r>
              <w:rPr>
                <w:b/>
                <w:color w:val="231F20"/>
                <w:sz w:val="20"/>
              </w:rPr>
              <w:t>Буглак Юрій Олександрович</w:t>
            </w:r>
            <w:r>
              <w:rPr>
                <w:color w:val="231F20"/>
                <w:sz w:val="20"/>
              </w:rPr>
              <w:t>, кандидат юридичн</w:t>
            </w:r>
            <w:r>
              <w:rPr>
                <w:color w:val="231F20"/>
                <w:sz w:val="20"/>
              </w:rPr>
              <w:t>их наук, член-кореспондент Академії АПН, докторант Донецького юридичного інституту МВС України;</w:t>
            </w:r>
          </w:p>
          <w:p w14:paraId="097C92D7" w14:textId="77777777" w:rsidR="00DE575E" w:rsidRDefault="002E7560">
            <w:pPr>
              <w:pStyle w:val="TableParagraph"/>
              <w:spacing w:line="220" w:lineRule="exact"/>
              <w:ind w:right="44" w:firstLine="283"/>
              <w:jc w:val="both"/>
              <w:rPr>
                <w:sz w:val="20"/>
              </w:rPr>
            </w:pPr>
            <w:r>
              <w:rPr>
                <w:b/>
                <w:color w:val="231F20"/>
                <w:sz w:val="20"/>
              </w:rPr>
              <w:t>Куценко Володимир Дмитрович</w:t>
            </w:r>
            <w:r>
              <w:rPr>
                <w:color w:val="231F20"/>
                <w:sz w:val="20"/>
              </w:rPr>
              <w:t>, кандидат юридичних наук, член-кореспондент Академії  АПН, завідувач відділом Академії адміністративно- правових</w:t>
            </w:r>
            <w:r>
              <w:rPr>
                <w:color w:val="231F20"/>
                <w:spacing w:val="-2"/>
                <w:sz w:val="20"/>
              </w:rPr>
              <w:t xml:space="preserve"> </w:t>
            </w:r>
            <w:r>
              <w:rPr>
                <w:color w:val="231F20"/>
                <w:sz w:val="20"/>
              </w:rPr>
              <w:t>наук.</w:t>
            </w:r>
          </w:p>
        </w:tc>
      </w:tr>
      <w:tr w:rsidR="00DE575E" w14:paraId="2FCE7A53" w14:textId="77777777">
        <w:trPr>
          <w:trHeight w:val="2237"/>
        </w:trPr>
        <w:tc>
          <w:tcPr>
            <w:tcW w:w="1701" w:type="dxa"/>
          </w:tcPr>
          <w:p w14:paraId="00A9A761" w14:textId="77777777" w:rsidR="00DE575E" w:rsidRDefault="002E7560">
            <w:pPr>
              <w:pStyle w:val="TableParagraph"/>
              <w:spacing w:before="27" w:line="225" w:lineRule="auto"/>
              <w:ind w:left="441" w:right="430"/>
              <w:jc w:val="center"/>
              <w:rPr>
                <w:b/>
                <w:sz w:val="20"/>
              </w:rPr>
            </w:pPr>
            <w:r>
              <w:rPr>
                <w:b/>
                <w:color w:val="231F20"/>
                <w:sz w:val="20"/>
              </w:rPr>
              <w:t>Розділ 5 Глава І за ред.</w:t>
            </w:r>
          </w:p>
          <w:p w14:paraId="0786E34C" w14:textId="77777777" w:rsidR="00DE575E" w:rsidRDefault="002E7560">
            <w:pPr>
              <w:pStyle w:val="TableParagraph"/>
              <w:spacing w:line="222" w:lineRule="exact"/>
              <w:ind w:left="53" w:right="43"/>
              <w:jc w:val="center"/>
              <w:rPr>
                <w:b/>
                <w:sz w:val="20"/>
              </w:rPr>
            </w:pPr>
            <w:r>
              <w:rPr>
                <w:b/>
                <w:color w:val="231F20"/>
                <w:sz w:val="20"/>
              </w:rPr>
              <w:t>П. Діхтієвського</w:t>
            </w:r>
          </w:p>
        </w:tc>
        <w:tc>
          <w:tcPr>
            <w:tcW w:w="4809" w:type="dxa"/>
          </w:tcPr>
          <w:p w14:paraId="5CCA90C8" w14:textId="77777777" w:rsidR="00DE575E" w:rsidRDefault="002E7560">
            <w:pPr>
              <w:pStyle w:val="TableParagraph"/>
              <w:spacing w:before="27" w:line="225" w:lineRule="auto"/>
              <w:ind w:right="44" w:firstLine="283"/>
              <w:jc w:val="both"/>
              <w:rPr>
                <w:sz w:val="20"/>
              </w:rPr>
            </w:pPr>
            <w:r>
              <w:rPr>
                <w:b/>
                <w:color w:val="231F20"/>
                <w:sz w:val="20"/>
              </w:rPr>
              <w:t>Діхтієвський Петро Васильович</w:t>
            </w:r>
            <w:r>
              <w:rPr>
                <w:color w:val="231F20"/>
                <w:sz w:val="20"/>
              </w:rPr>
              <w:t xml:space="preserve">, доктор юридичних наук, професор, академік Академії  наук вищої освіти </w:t>
            </w:r>
            <w:r>
              <w:rPr>
                <w:color w:val="231F20"/>
                <w:spacing w:val="-3"/>
                <w:sz w:val="20"/>
              </w:rPr>
              <w:t xml:space="preserve">України, </w:t>
            </w:r>
            <w:r>
              <w:rPr>
                <w:color w:val="231F20"/>
                <w:sz w:val="20"/>
              </w:rPr>
              <w:t>академік Академії АПН професор кафедри адміністративного права Київ- ського національного університету і</w:t>
            </w:r>
            <w:r>
              <w:rPr>
                <w:color w:val="231F20"/>
                <w:sz w:val="20"/>
              </w:rPr>
              <w:t xml:space="preserve">мені </w:t>
            </w:r>
            <w:r>
              <w:rPr>
                <w:color w:val="231F20"/>
                <w:spacing w:val="-4"/>
                <w:sz w:val="20"/>
              </w:rPr>
              <w:t xml:space="preserve">Тараса </w:t>
            </w:r>
            <w:r>
              <w:rPr>
                <w:color w:val="231F20"/>
                <w:sz w:val="20"/>
              </w:rPr>
              <w:t>Шевченка;</w:t>
            </w:r>
          </w:p>
          <w:p w14:paraId="62213A82" w14:textId="77777777" w:rsidR="00DE575E" w:rsidRDefault="002E7560">
            <w:pPr>
              <w:pStyle w:val="TableParagraph"/>
              <w:spacing w:line="220" w:lineRule="exact"/>
              <w:ind w:right="44" w:firstLine="283"/>
              <w:jc w:val="both"/>
              <w:rPr>
                <w:sz w:val="20"/>
              </w:rPr>
            </w:pPr>
            <w:r>
              <w:rPr>
                <w:b/>
                <w:color w:val="231F20"/>
                <w:sz w:val="20"/>
              </w:rPr>
              <w:t>Заярний Олег Анатолійович</w:t>
            </w:r>
            <w:r>
              <w:rPr>
                <w:color w:val="231F20"/>
                <w:sz w:val="20"/>
              </w:rPr>
              <w:t xml:space="preserve">, доктор юридич- них наук, </w:t>
            </w:r>
            <w:r>
              <w:rPr>
                <w:color w:val="231F20"/>
                <w:spacing w:val="-3"/>
                <w:sz w:val="20"/>
              </w:rPr>
              <w:t xml:space="preserve">доцент, </w:t>
            </w:r>
            <w:r>
              <w:rPr>
                <w:color w:val="231F20"/>
                <w:sz w:val="20"/>
              </w:rPr>
              <w:t>доцент кафедри адміністратив- ного права юридичного факультету Київського національного</w:t>
            </w:r>
            <w:r>
              <w:rPr>
                <w:color w:val="231F20"/>
                <w:spacing w:val="-11"/>
                <w:sz w:val="20"/>
              </w:rPr>
              <w:t xml:space="preserve"> </w:t>
            </w:r>
            <w:r>
              <w:rPr>
                <w:color w:val="231F20"/>
                <w:sz w:val="20"/>
              </w:rPr>
              <w:t>університету</w:t>
            </w:r>
            <w:r>
              <w:rPr>
                <w:color w:val="231F20"/>
                <w:spacing w:val="-11"/>
                <w:sz w:val="20"/>
              </w:rPr>
              <w:t xml:space="preserve"> </w:t>
            </w:r>
            <w:r>
              <w:rPr>
                <w:color w:val="231F20"/>
                <w:sz w:val="20"/>
              </w:rPr>
              <w:t>імені</w:t>
            </w:r>
            <w:r>
              <w:rPr>
                <w:color w:val="231F20"/>
                <w:spacing w:val="-11"/>
                <w:sz w:val="20"/>
              </w:rPr>
              <w:t xml:space="preserve"> </w:t>
            </w:r>
            <w:r>
              <w:rPr>
                <w:color w:val="231F20"/>
                <w:spacing w:val="-4"/>
                <w:sz w:val="20"/>
              </w:rPr>
              <w:t>Тараса</w:t>
            </w:r>
            <w:r>
              <w:rPr>
                <w:color w:val="231F20"/>
                <w:spacing w:val="-11"/>
                <w:sz w:val="20"/>
              </w:rPr>
              <w:t xml:space="preserve"> </w:t>
            </w:r>
            <w:r>
              <w:rPr>
                <w:color w:val="231F20"/>
                <w:sz w:val="20"/>
              </w:rPr>
              <w:t>Шевченка;</w:t>
            </w:r>
          </w:p>
        </w:tc>
      </w:tr>
    </w:tbl>
    <w:p w14:paraId="1F37879D" w14:textId="77777777" w:rsidR="00DE575E" w:rsidRDefault="00DE575E">
      <w:pPr>
        <w:pStyle w:val="BodyText"/>
        <w:rPr>
          <w:rFonts w:ascii="AdonisC"/>
          <w:i/>
          <w:sz w:val="18"/>
        </w:rPr>
      </w:pPr>
    </w:p>
    <w:p w14:paraId="305A5420" w14:textId="77777777" w:rsidR="00DE575E" w:rsidRDefault="00DE575E">
      <w:pPr>
        <w:pStyle w:val="BodyText"/>
        <w:rPr>
          <w:rFonts w:ascii="AdonisC"/>
          <w:i/>
          <w:sz w:val="18"/>
        </w:rPr>
      </w:pPr>
    </w:p>
    <w:p w14:paraId="145A0B0C" w14:textId="77777777" w:rsidR="00DE575E" w:rsidRDefault="002E7560">
      <w:pPr>
        <w:spacing w:before="127"/>
        <w:ind w:left="533"/>
        <w:rPr>
          <w:rFonts w:ascii="Times New Roman"/>
          <w:sz w:val="20"/>
        </w:rPr>
      </w:pPr>
      <w:r>
        <w:rPr>
          <w:rFonts w:ascii="Times New Roman"/>
          <w:color w:val="231F20"/>
          <w:sz w:val="20"/>
        </w:rPr>
        <w:t>564</w:t>
      </w:r>
    </w:p>
    <w:p w14:paraId="5D668068" w14:textId="77777777" w:rsidR="00DE575E" w:rsidRDefault="00DE575E">
      <w:pPr>
        <w:rPr>
          <w:rFonts w:ascii="Times New Roman"/>
          <w:sz w:val="20"/>
        </w:rPr>
        <w:sectPr w:rsidR="00DE575E">
          <w:pgSz w:w="8510" w:h="12760"/>
          <w:pgMar w:top="660" w:right="720" w:bottom="280" w:left="600" w:header="720" w:footer="720" w:gutter="0"/>
          <w:cols w:space="720"/>
        </w:sectPr>
      </w:pPr>
    </w:p>
    <w:p w14:paraId="405906B3" w14:textId="77777777" w:rsidR="00DE575E" w:rsidRDefault="002E7560">
      <w:pPr>
        <w:spacing w:before="72" w:after="9"/>
        <w:ind w:right="411"/>
        <w:jc w:val="right"/>
        <w:rPr>
          <w:rFonts w:ascii="AdonisC" w:hAnsi="AdonisC"/>
          <w:i/>
          <w:sz w:val="18"/>
        </w:rPr>
      </w:pPr>
      <w:r>
        <w:rPr>
          <w:rFonts w:ascii="AdonisC" w:hAnsi="AdonisC"/>
          <w:i/>
          <w:color w:val="231F20"/>
          <w:sz w:val="18"/>
        </w:rPr>
        <w:t>Відомості про авторів</w:t>
      </w:r>
    </w:p>
    <w:p w14:paraId="3262D09A" w14:textId="6F95358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F7221BF" wp14:editId="674F7DAD">
                <wp:extent cx="4140200" cy="6350"/>
                <wp:effectExtent l="0" t="0" r="12700" b="635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8" name="Line 3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85FD93" id="Group_x0020_3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">
                <v:line id="Line_x0020_3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obdsIAAADbAAAADwAAAGRycy9kb3ducmV2LnhtbERP3WrCMBS+H/gO4Qi7GTN1hSGdUUQQ&#10;xAvdWh/g2Jy1ZclJbaKtPv1yIXj58f3Pl4M14kqdbxwrmE4SEMSl0w1XCo7F5n0GwgdkjcYxKbiR&#10;h+Vi9DLHTLuef+iah0rEEPYZKqhDaDMpfVmTRT9xLXHkfl1nMUTYVVJ32Mdwa+RHknxKiw3Hhhpb&#10;WtdU/uUXq6A4vwXzfdiZvjicUnk679P7Za/U63hYfYEINISn+OHeagVpHBu/xB8g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eobdsIAAADbAAAADwAAAAAAAAAAAAAA&#10;AAChAgAAZHJzL2Rvd25yZXYueG1sUEsFBgAAAAAEAAQA+QAAAJADAAAAAA==&#10;" strokecolor="#231f20" strokeweight=".5pt"/>
                <w10:anchorlock/>
              </v:group>
            </w:pict>
          </mc:Fallback>
        </mc:AlternateContent>
      </w:r>
    </w:p>
    <w:p w14:paraId="13E97A0A"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527F696E" w14:textId="77777777">
        <w:trPr>
          <w:trHeight w:val="2678"/>
        </w:trPr>
        <w:tc>
          <w:tcPr>
            <w:tcW w:w="1701" w:type="dxa"/>
          </w:tcPr>
          <w:p w14:paraId="7EFBA027" w14:textId="77777777" w:rsidR="00DE575E" w:rsidRDefault="002E7560">
            <w:pPr>
              <w:pStyle w:val="TableParagraph"/>
              <w:spacing w:before="28" w:line="225" w:lineRule="auto"/>
              <w:ind w:left="441" w:right="430"/>
              <w:jc w:val="center"/>
              <w:rPr>
                <w:b/>
                <w:sz w:val="20"/>
              </w:rPr>
            </w:pPr>
            <w:r>
              <w:rPr>
                <w:b/>
                <w:color w:val="231F20"/>
                <w:sz w:val="20"/>
              </w:rPr>
              <w:t>Розділ 5 Глава І за ред.</w:t>
            </w:r>
          </w:p>
          <w:p w14:paraId="163C0629" w14:textId="77777777" w:rsidR="00DE575E" w:rsidRDefault="002E7560">
            <w:pPr>
              <w:pStyle w:val="TableParagraph"/>
              <w:spacing w:line="222" w:lineRule="exact"/>
              <w:ind w:left="53" w:right="43"/>
              <w:jc w:val="center"/>
              <w:rPr>
                <w:b/>
                <w:sz w:val="20"/>
              </w:rPr>
            </w:pPr>
            <w:r>
              <w:rPr>
                <w:b/>
                <w:color w:val="231F20"/>
                <w:sz w:val="20"/>
              </w:rPr>
              <w:t>П. Діхтієвського</w:t>
            </w:r>
          </w:p>
        </w:tc>
        <w:tc>
          <w:tcPr>
            <w:tcW w:w="4809" w:type="dxa"/>
          </w:tcPr>
          <w:p w14:paraId="17C50E77" w14:textId="77777777" w:rsidR="00DE575E" w:rsidRDefault="002E7560">
            <w:pPr>
              <w:pStyle w:val="TableParagraph"/>
              <w:spacing w:before="28" w:line="225" w:lineRule="auto"/>
              <w:ind w:right="45" w:firstLine="283"/>
              <w:jc w:val="both"/>
              <w:rPr>
                <w:sz w:val="20"/>
              </w:rPr>
            </w:pPr>
            <w:r>
              <w:rPr>
                <w:b/>
                <w:color w:val="231F20"/>
                <w:sz w:val="20"/>
              </w:rPr>
              <w:t>Ващенко Юлія В’ячеславівна</w:t>
            </w:r>
            <w:r>
              <w:rPr>
                <w:color w:val="231F20"/>
                <w:sz w:val="20"/>
              </w:rPr>
              <w:t>, доктор юридич- них наук, доцентка, професорка кафедри адмініст- ративного права, Київський національний універ- ситет імені Тараса Шевченка;</w:t>
            </w:r>
          </w:p>
          <w:p w14:paraId="7DC8AE37" w14:textId="77777777" w:rsidR="00DE575E" w:rsidRDefault="002E7560">
            <w:pPr>
              <w:pStyle w:val="TableParagraph"/>
              <w:spacing w:line="225" w:lineRule="auto"/>
              <w:ind w:right="45" w:firstLine="283"/>
              <w:jc w:val="both"/>
              <w:rPr>
                <w:sz w:val="20"/>
              </w:rPr>
            </w:pPr>
            <w:r>
              <w:rPr>
                <w:b/>
                <w:color w:val="231F20"/>
                <w:sz w:val="20"/>
              </w:rPr>
              <w:t>Яра Олена Сергіївна</w:t>
            </w:r>
            <w:r>
              <w:rPr>
                <w:color w:val="231F20"/>
                <w:sz w:val="20"/>
              </w:rPr>
              <w:t>, кандидатка юридичних наук, професорка, академік Академії АПН, декан юридичного факультету На</w:t>
            </w:r>
            <w:r>
              <w:rPr>
                <w:color w:val="231F20"/>
                <w:sz w:val="20"/>
              </w:rPr>
              <w:t>ціонального універси- тету біоресурсів і природокористування;</w:t>
            </w:r>
          </w:p>
          <w:p w14:paraId="16D05CA8" w14:textId="77777777" w:rsidR="00DE575E" w:rsidRDefault="002E7560">
            <w:pPr>
              <w:pStyle w:val="TableParagraph"/>
              <w:spacing w:line="220" w:lineRule="exact"/>
              <w:ind w:right="45" w:firstLine="283"/>
              <w:jc w:val="both"/>
              <w:rPr>
                <w:sz w:val="20"/>
              </w:rPr>
            </w:pPr>
            <w:r>
              <w:rPr>
                <w:b/>
                <w:color w:val="231F20"/>
                <w:sz w:val="20"/>
              </w:rPr>
              <w:t>Бучинська Анна Йосипівна</w:t>
            </w:r>
            <w:r>
              <w:rPr>
                <w:color w:val="231F20"/>
                <w:sz w:val="20"/>
              </w:rPr>
              <w:t>, кандидатка юридичних наук, доцентка, членкиня-кореспон- дентка Академії АПН доцентка кафедри правознав- ства Поліського національного університету.</w:t>
            </w:r>
          </w:p>
        </w:tc>
      </w:tr>
      <w:tr w:rsidR="00DE575E" w14:paraId="06D196A9" w14:textId="77777777">
        <w:trPr>
          <w:trHeight w:val="3338"/>
        </w:trPr>
        <w:tc>
          <w:tcPr>
            <w:tcW w:w="1701" w:type="dxa"/>
          </w:tcPr>
          <w:p w14:paraId="7CFC76FA" w14:textId="77777777" w:rsidR="00DE575E" w:rsidRDefault="002E7560">
            <w:pPr>
              <w:pStyle w:val="TableParagraph"/>
              <w:spacing w:before="28" w:line="225" w:lineRule="auto"/>
              <w:ind w:left="432" w:right="421"/>
              <w:jc w:val="center"/>
              <w:rPr>
                <w:b/>
                <w:sz w:val="20"/>
              </w:rPr>
            </w:pPr>
            <w:r>
              <w:rPr>
                <w:b/>
                <w:color w:val="231F20"/>
                <w:sz w:val="20"/>
              </w:rPr>
              <w:t>Розділ 6 Глава І за</w:t>
            </w:r>
            <w:r>
              <w:rPr>
                <w:b/>
                <w:color w:val="231F20"/>
                <w:sz w:val="20"/>
              </w:rPr>
              <w:t>г ред.</w:t>
            </w:r>
          </w:p>
          <w:p w14:paraId="7C6D42BD" w14:textId="77777777" w:rsidR="00DE575E" w:rsidRDefault="002E7560">
            <w:pPr>
              <w:pStyle w:val="TableParagraph"/>
              <w:spacing w:line="222" w:lineRule="exact"/>
              <w:ind w:left="52" w:right="43"/>
              <w:jc w:val="center"/>
              <w:rPr>
                <w:b/>
                <w:sz w:val="20"/>
              </w:rPr>
            </w:pPr>
            <w:r>
              <w:rPr>
                <w:b/>
                <w:color w:val="231F20"/>
                <w:sz w:val="20"/>
              </w:rPr>
              <w:t>О. Буханевича</w:t>
            </w:r>
          </w:p>
        </w:tc>
        <w:tc>
          <w:tcPr>
            <w:tcW w:w="4809" w:type="dxa"/>
          </w:tcPr>
          <w:p w14:paraId="06A6387C" w14:textId="77777777" w:rsidR="00DE575E" w:rsidRDefault="002E7560">
            <w:pPr>
              <w:pStyle w:val="TableParagraph"/>
              <w:spacing w:before="28" w:line="225" w:lineRule="auto"/>
              <w:ind w:right="44" w:firstLine="283"/>
              <w:jc w:val="both"/>
              <w:rPr>
                <w:sz w:val="20"/>
              </w:rPr>
            </w:pPr>
            <w:r>
              <w:rPr>
                <w:b/>
                <w:color w:val="231F20"/>
                <w:sz w:val="20"/>
              </w:rPr>
              <w:t>Буханевич Олександр Миколайович</w:t>
            </w:r>
            <w:r>
              <w:rPr>
                <w:color w:val="231F20"/>
                <w:sz w:val="20"/>
              </w:rPr>
              <w:t>, доктор юридичних наук, доцент, заслужений юрист України, завідувач кафедри конституційного, адмі- ністративного та фінансового права Хмельниць- кого університету управління та права;</w:t>
            </w:r>
          </w:p>
          <w:p w14:paraId="31D1AF36" w14:textId="77777777" w:rsidR="00DE575E" w:rsidRDefault="002E7560">
            <w:pPr>
              <w:pStyle w:val="TableParagraph"/>
              <w:spacing w:line="225" w:lineRule="auto"/>
              <w:ind w:right="44" w:firstLine="283"/>
              <w:jc w:val="both"/>
              <w:rPr>
                <w:sz w:val="20"/>
              </w:rPr>
            </w:pPr>
            <w:r>
              <w:rPr>
                <w:b/>
                <w:color w:val="231F20"/>
                <w:sz w:val="20"/>
              </w:rPr>
              <w:t>Дембіцька Сусанна Леонідівна</w:t>
            </w:r>
            <w:r>
              <w:rPr>
                <w:color w:val="231F20"/>
                <w:sz w:val="20"/>
              </w:rPr>
              <w:t>, кандидатка юридичних наук, доцентка кафедри цивільного права та процесу Навчально-наукового інституту права та психології НУ «Львівська політехніка».</w:t>
            </w:r>
          </w:p>
          <w:p w14:paraId="543B6D01" w14:textId="77777777" w:rsidR="00DE575E" w:rsidRDefault="002E7560">
            <w:pPr>
              <w:pStyle w:val="TableParagraph"/>
              <w:spacing w:line="220" w:lineRule="exact"/>
              <w:ind w:right="44" w:firstLine="283"/>
              <w:jc w:val="both"/>
              <w:rPr>
                <w:sz w:val="20"/>
              </w:rPr>
            </w:pPr>
            <w:r>
              <w:rPr>
                <w:b/>
                <w:color w:val="231F20"/>
                <w:sz w:val="20"/>
              </w:rPr>
              <w:t>Слюсаренко Сергій Вікторович</w:t>
            </w:r>
            <w:r>
              <w:rPr>
                <w:color w:val="231F20"/>
                <w:sz w:val="20"/>
              </w:rPr>
              <w:t xml:space="preserve">, кандидат юридичних наук, </w:t>
            </w:r>
            <w:r>
              <w:rPr>
                <w:color w:val="231F20"/>
                <w:spacing w:val="-3"/>
                <w:sz w:val="20"/>
              </w:rPr>
              <w:t xml:space="preserve">доцент, </w:t>
            </w:r>
            <w:r>
              <w:rPr>
                <w:color w:val="231F20"/>
                <w:sz w:val="20"/>
              </w:rPr>
              <w:t>член-кореспон</w:t>
            </w:r>
            <w:r>
              <w:rPr>
                <w:color w:val="231F20"/>
                <w:sz w:val="20"/>
              </w:rPr>
              <w:t>дент Академії АПН доцент кафедри адміністративного та</w:t>
            </w:r>
            <w:r>
              <w:rPr>
                <w:color w:val="231F20"/>
                <w:spacing w:val="-14"/>
                <w:sz w:val="20"/>
              </w:rPr>
              <w:t xml:space="preserve"> </w:t>
            </w:r>
            <w:r>
              <w:rPr>
                <w:color w:val="231F20"/>
                <w:sz w:val="20"/>
              </w:rPr>
              <w:t>фінансового</w:t>
            </w:r>
            <w:r>
              <w:rPr>
                <w:color w:val="231F20"/>
                <w:spacing w:val="-14"/>
                <w:sz w:val="20"/>
              </w:rPr>
              <w:t xml:space="preserve"> </w:t>
            </w:r>
            <w:r>
              <w:rPr>
                <w:color w:val="231F20"/>
                <w:sz w:val="20"/>
              </w:rPr>
              <w:t>права</w:t>
            </w:r>
            <w:r>
              <w:rPr>
                <w:color w:val="231F20"/>
                <w:spacing w:val="-14"/>
                <w:sz w:val="20"/>
              </w:rPr>
              <w:t xml:space="preserve"> </w:t>
            </w:r>
            <w:r>
              <w:rPr>
                <w:color w:val="231F20"/>
                <w:sz w:val="20"/>
              </w:rPr>
              <w:t>юридичного</w:t>
            </w:r>
            <w:r>
              <w:rPr>
                <w:color w:val="231F20"/>
                <w:spacing w:val="-14"/>
                <w:sz w:val="20"/>
              </w:rPr>
              <w:t xml:space="preserve"> </w:t>
            </w:r>
            <w:r>
              <w:rPr>
                <w:color w:val="231F20"/>
                <w:sz w:val="20"/>
              </w:rPr>
              <w:t>факультету</w:t>
            </w:r>
            <w:r>
              <w:rPr>
                <w:color w:val="231F20"/>
                <w:spacing w:val="-14"/>
                <w:sz w:val="20"/>
              </w:rPr>
              <w:t xml:space="preserve"> </w:t>
            </w:r>
            <w:r>
              <w:rPr>
                <w:color w:val="231F20"/>
                <w:sz w:val="20"/>
              </w:rPr>
              <w:t>Наці- онального університету біоресурсів та природоко- ристування</w:t>
            </w:r>
            <w:r>
              <w:rPr>
                <w:color w:val="231F20"/>
                <w:spacing w:val="-1"/>
                <w:sz w:val="20"/>
              </w:rPr>
              <w:t xml:space="preserve"> </w:t>
            </w:r>
            <w:r>
              <w:rPr>
                <w:color w:val="231F20"/>
                <w:spacing w:val="-3"/>
                <w:sz w:val="20"/>
              </w:rPr>
              <w:t>України.</w:t>
            </w:r>
          </w:p>
        </w:tc>
      </w:tr>
      <w:tr w:rsidR="00DE575E" w14:paraId="7B9A3D2C" w14:textId="77777777">
        <w:trPr>
          <w:trHeight w:val="3778"/>
        </w:trPr>
        <w:tc>
          <w:tcPr>
            <w:tcW w:w="1701" w:type="dxa"/>
          </w:tcPr>
          <w:p w14:paraId="318D75F6" w14:textId="77777777" w:rsidR="00DE575E" w:rsidRDefault="002E7560">
            <w:pPr>
              <w:pStyle w:val="TableParagraph"/>
              <w:spacing w:before="28" w:line="225" w:lineRule="auto"/>
              <w:ind w:left="432" w:right="421"/>
              <w:jc w:val="center"/>
              <w:rPr>
                <w:b/>
                <w:sz w:val="20"/>
              </w:rPr>
            </w:pPr>
            <w:r>
              <w:rPr>
                <w:b/>
                <w:color w:val="231F20"/>
                <w:sz w:val="20"/>
              </w:rPr>
              <w:t>Розділ 7 заг ред.</w:t>
            </w:r>
          </w:p>
          <w:p w14:paraId="1AF32A6C" w14:textId="77777777" w:rsidR="00DE575E" w:rsidRDefault="002E7560">
            <w:pPr>
              <w:pStyle w:val="TableParagraph"/>
              <w:spacing w:line="222" w:lineRule="exact"/>
              <w:ind w:left="52" w:right="43"/>
              <w:jc w:val="center"/>
              <w:rPr>
                <w:b/>
                <w:sz w:val="20"/>
              </w:rPr>
            </w:pPr>
            <w:r>
              <w:rPr>
                <w:b/>
                <w:color w:val="231F20"/>
                <w:sz w:val="20"/>
              </w:rPr>
              <w:t>Т. Коломоєць</w:t>
            </w:r>
          </w:p>
        </w:tc>
        <w:tc>
          <w:tcPr>
            <w:tcW w:w="4809" w:type="dxa"/>
          </w:tcPr>
          <w:p w14:paraId="7DAF32B8" w14:textId="77777777" w:rsidR="00DE575E" w:rsidRDefault="002E7560">
            <w:pPr>
              <w:pStyle w:val="TableParagraph"/>
              <w:spacing w:before="28" w:line="225" w:lineRule="auto"/>
              <w:ind w:right="43" w:firstLine="283"/>
              <w:jc w:val="both"/>
              <w:rPr>
                <w:sz w:val="20"/>
              </w:rPr>
            </w:pPr>
            <w:r>
              <w:rPr>
                <w:b/>
                <w:color w:val="231F20"/>
                <w:sz w:val="20"/>
              </w:rPr>
              <w:t xml:space="preserve">Коломоєць </w:t>
            </w:r>
            <w:r>
              <w:rPr>
                <w:b/>
                <w:color w:val="231F20"/>
                <w:spacing w:val="-4"/>
                <w:sz w:val="20"/>
              </w:rPr>
              <w:t xml:space="preserve">Тетяна </w:t>
            </w:r>
            <w:r>
              <w:rPr>
                <w:b/>
                <w:color w:val="231F20"/>
                <w:sz w:val="20"/>
              </w:rPr>
              <w:t>Олександрівна</w:t>
            </w:r>
            <w:r>
              <w:rPr>
                <w:color w:val="231F20"/>
                <w:sz w:val="20"/>
              </w:rPr>
              <w:t xml:space="preserve">, докторка юридичних наук, професорка, членкиня-корес- пондентка Національної академії правових наук </w:t>
            </w:r>
            <w:r>
              <w:rPr>
                <w:color w:val="231F20"/>
                <w:spacing w:val="-3"/>
                <w:sz w:val="20"/>
              </w:rPr>
              <w:t xml:space="preserve">України, </w:t>
            </w:r>
            <w:r>
              <w:rPr>
                <w:color w:val="231F20"/>
                <w:sz w:val="20"/>
              </w:rPr>
              <w:t xml:space="preserve">Заслужений юрист </w:t>
            </w:r>
            <w:r>
              <w:rPr>
                <w:color w:val="231F20"/>
                <w:spacing w:val="-3"/>
                <w:sz w:val="20"/>
              </w:rPr>
              <w:t xml:space="preserve">України, </w:t>
            </w:r>
            <w:r>
              <w:rPr>
                <w:color w:val="231F20"/>
                <w:sz w:val="20"/>
              </w:rPr>
              <w:t>декан юридич- ного факультету Запорізького державного універ- ситету;</w:t>
            </w:r>
          </w:p>
          <w:p w14:paraId="4539B39B" w14:textId="77777777" w:rsidR="00DE575E" w:rsidRDefault="002E7560">
            <w:pPr>
              <w:pStyle w:val="TableParagraph"/>
              <w:spacing w:line="225" w:lineRule="auto"/>
              <w:ind w:right="45" w:firstLine="283"/>
              <w:jc w:val="both"/>
              <w:rPr>
                <w:sz w:val="20"/>
              </w:rPr>
            </w:pPr>
            <w:r>
              <w:rPr>
                <w:b/>
                <w:color w:val="231F20"/>
                <w:sz w:val="20"/>
              </w:rPr>
              <w:t>Комзюк</w:t>
            </w:r>
            <w:r>
              <w:rPr>
                <w:b/>
                <w:color w:val="231F20"/>
                <w:spacing w:val="-28"/>
                <w:sz w:val="20"/>
              </w:rPr>
              <w:t xml:space="preserve"> </w:t>
            </w:r>
            <w:r>
              <w:rPr>
                <w:b/>
                <w:color w:val="231F20"/>
                <w:sz w:val="20"/>
              </w:rPr>
              <w:t>Анатолій</w:t>
            </w:r>
            <w:r>
              <w:rPr>
                <w:b/>
                <w:color w:val="231F20"/>
                <w:spacing w:val="-27"/>
                <w:sz w:val="20"/>
              </w:rPr>
              <w:t xml:space="preserve"> </w:t>
            </w:r>
            <w:r>
              <w:rPr>
                <w:b/>
                <w:color w:val="231F20"/>
                <w:sz w:val="20"/>
              </w:rPr>
              <w:t>Трохимович</w:t>
            </w:r>
            <w:r>
              <w:rPr>
                <w:color w:val="231F20"/>
                <w:sz w:val="20"/>
              </w:rPr>
              <w:t>,</w:t>
            </w:r>
            <w:r>
              <w:rPr>
                <w:color w:val="231F20"/>
                <w:spacing w:val="-28"/>
                <w:sz w:val="20"/>
              </w:rPr>
              <w:t xml:space="preserve"> </w:t>
            </w:r>
            <w:r>
              <w:rPr>
                <w:color w:val="231F20"/>
                <w:sz w:val="20"/>
              </w:rPr>
              <w:t>доктор</w:t>
            </w:r>
            <w:r>
              <w:rPr>
                <w:color w:val="231F20"/>
                <w:spacing w:val="-27"/>
                <w:sz w:val="20"/>
              </w:rPr>
              <w:t xml:space="preserve"> </w:t>
            </w:r>
            <w:r>
              <w:rPr>
                <w:color w:val="231F20"/>
                <w:sz w:val="20"/>
              </w:rPr>
              <w:t>юридич- них нау</w:t>
            </w:r>
            <w:r>
              <w:rPr>
                <w:color w:val="231F20"/>
                <w:sz w:val="20"/>
              </w:rPr>
              <w:t>к, професор посада Харківського національ- ного університету внутрішніх</w:t>
            </w:r>
            <w:r>
              <w:rPr>
                <w:color w:val="231F20"/>
                <w:spacing w:val="-3"/>
                <w:sz w:val="20"/>
              </w:rPr>
              <w:t xml:space="preserve"> </w:t>
            </w:r>
            <w:r>
              <w:rPr>
                <w:color w:val="231F20"/>
                <w:sz w:val="20"/>
              </w:rPr>
              <w:t>справ;</w:t>
            </w:r>
          </w:p>
          <w:p w14:paraId="51AC1767" w14:textId="77777777" w:rsidR="00DE575E" w:rsidRDefault="002E7560">
            <w:pPr>
              <w:pStyle w:val="TableParagraph"/>
              <w:spacing w:line="225" w:lineRule="auto"/>
              <w:ind w:right="44" w:firstLine="283"/>
              <w:jc w:val="both"/>
              <w:rPr>
                <w:sz w:val="20"/>
              </w:rPr>
            </w:pPr>
            <w:r>
              <w:rPr>
                <w:b/>
                <w:color w:val="231F20"/>
                <w:sz w:val="20"/>
              </w:rPr>
              <w:t>Мосьондз Сергій Олександрович</w:t>
            </w:r>
            <w:r>
              <w:rPr>
                <w:color w:val="231F20"/>
                <w:sz w:val="20"/>
              </w:rPr>
              <w:t>, доктор юридичних наук, професор, проректор з наукової    і навчальної роботи Університету сучасних</w:t>
            </w:r>
            <w:r>
              <w:rPr>
                <w:color w:val="231F20"/>
                <w:spacing w:val="-14"/>
                <w:sz w:val="20"/>
              </w:rPr>
              <w:t xml:space="preserve"> </w:t>
            </w:r>
            <w:r>
              <w:rPr>
                <w:color w:val="231F20"/>
                <w:sz w:val="20"/>
              </w:rPr>
              <w:t>знань;</w:t>
            </w:r>
          </w:p>
          <w:p w14:paraId="520A98F1" w14:textId="77777777" w:rsidR="00DE575E" w:rsidRDefault="002E7560">
            <w:pPr>
              <w:pStyle w:val="TableParagraph"/>
              <w:spacing w:line="220" w:lineRule="exact"/>
              <w:ind w:right="44" w:firstLine="283"/>
              <w:jc w:val="both"/>
              <w:rPr>
                <w:sz w:val="20"/>
              </w:rPr>
            </w:pPr>
            <w:r>
              <w:rPr>
                <w:b/>
                <w:color w:val="231F20"/>
                <w:sz w:val="20"/>
              </w:rPr>
              <w:t>Кузніченко Сергій Олександрович</w:t>
            </w:r>
            <w:r>
              <w:rPr>
                <w:color w:val="231F20"/>
                <w:sz w:val="20"/>
              </w:rPr>
              <w:t xml:space="preserve">, доктор </w:t>
            </w:r>
            <w:r>
              <w:rPr>
                <w:color w:val="231F20"/>
                <w:sz w:val="20"/>
              </w:rPr>
              <w:t>юридичних наук, професор, перший проректор Одеського державного університету внутрішніх справ з навчально-методичної та наукової роботи, заслужений юрист Автономної Республіки Крим;</w:t>
            </w:r>
          </w:p>
        </w:tc>
      </w:tr>
    </w:tbl>
    <w:p w14:paraId="6729C934" w14:textId="77777777" w:rsidR="00DE575E" w:rsidRDefault="00DE575E">
      <w:pPr>
        <w:pStyle w:val="BodyText"/>
        <w:rPr>
          <w:rFonts w:ascii="AdonisC"/>
          <w:i/>
          <w:sz w:val="18"/>
        </w:rPr>
      </w:pPr>
    </w:p>
    <w:p w14:paraId="4918B26C" w14:textId="77777777" w:rsidR="00DE575E" w:rsidRDefault="00DE575E">
      <w:pPr>
        <w:pStyle w:val="BodyText"/>
        <w:spacing w:before="3"/>
        <w:rPr>
          <w:rFonts w:ascii="AdonisC"/>
          <w:i/>
          <w:sz w:val="25"/>
        </w:rPr>
      </w:pPr>
    </w:p>
    <w:p w14:paraId="5381AD9A" w14:textId="77777777" w:rsidR="00DE575E" w:rsidRDefault="002E7560">
      <w:pPr>
        <w:ind w:right="411"/>
        <w:jc w:val="right"/>
        <w:rPr>
          <w:rFonts w:ascii="Times New Roman"/>
          <w:sz w:val="20"/>
        </w:rPr>
      </w:pPr>
      <w:r>
        <w:rPr>
          <w:rFonts w:ascii="Times New Roman"/>
          <w:color w:val="231F20"/>
          <w:w w:val="90"/>
          <w:sz w:val="20"/>
        </w:rPr>
        <w:t>565</w:t>
      </w:r>
    </w:p>
    <w:p w14:paraId="30EDDB04"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2FF7FBC6"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5782B42B" w14:textId="657C293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7A18C5E" wp14:editId="02CBF4D4">
                <wp:extent cx="4140200" cy="6350"/>
                <wp:effectExtent l="0" t="0" r="12700" b="6350"/>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6" name="Line 3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F320BB" id="Group_x0020_3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CpMU4DfQIAAJQFAAAOAAAA&#10;AAAAAAAAAAAAACwCAABkcnMvZTJvRG9jLnhtbFBLAQItABQABgAIAAAAIQBMp7CQ2QAAAAMBAAAP&#10;AAAAAAAAAAAAAAAAANUEAABkcnMvZG93bnJldi54bWxQSwUGAAAAAAQABADzAAAA2wUAAAAA&#10;">
                <v:line id="Line_x0020_3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kqn8UAAADbAAAADwAAAGRycy9kb3ducmV2LnhtbESP0WrCQBRE3wv+w3IFX4puNCAldZUi&#10;COKDtsYPuGZvk9DduzG7mujXu4VCH4eZOcMsVr014katrx0rmE4SEMSF0zWXCk75ZvwGwgdkjcYx&#10;KbiTh9Vy8LLATLuOv+h2DKWIEPYZKqhCaDIpfVGRRT9xDXH0vl1rMUTZllK32EW4NXKWJHNpsea4&#10;UGFD64qKn+PVKsgvr8F8Hnamyw/nVJ4v+/Rx3Ss1GvYf7yAC9eE//NfeagXpHH6/xB8gl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zkqn8UAAADbAAAADwAAAAAAAAAA&#10;AAAAAAChAgAAZHJzL2Rvd25yZXYueG1sUEsFBgAAAAAEAAQA+QAAAJMDAAAAAA==&#10;" strokecolor="#231f20" strokeweight=".5pt"/>
                <w10:anchorlock/>
              </v:group>
            </w:pict>
          </mc:Fallback>
        </mc:AlternateContent>
      </w:r>
    </w:p>
    <w:p w14:paraId="4C46BC46"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0DAC0A66" w14:textId="77777777">
        <w:trPr>
          <w:trHeight w:val="9938"/>
        </w:trPr>
        <w:tc>
          <w:tcPr>
            <w:tcW w:w="1701" w:type="dxa"/>
          </w:tcPr>
          <w:p w14:paraId="50B19D6C" w14:textId="77777777" w:rsidR="00DE575E" w:rsidRDefault="002E7560">
            <w:pPr>
              <w:pStyle w:val="TableParagraph"/>
              <w:spacing w:before="28" w:line="225" w:lineRule="auto"/>
              <w:ind w:left="432" w:right="421"/>
              <w:jc w:val="center"/>
              <w:rPr>
                <w:b/>
                <w:sz w:val="20"/>
              </w:rPr>
            </w:pPr>
            <w:r>
              <w:rPr>
                <w:b/>
                <w:color w:val="231F20"/>
                <w:sz w:val="20"/>
              </w:rPr>
              <w:t>Розділ 7 заг ред.</w:t>
            </w:r>
          </w:p>
          <w:p w14:paraId="48F129D3" w14:textId="77777777" w:rsidR="00DE575E" w:rsidRDefault="002E7560">
            <w:pPr>
              <w:pStyle w:val="TableParagraph"/>
              <w:spacing w:line="222" w:lineRule="exact"/>
              <w:ind w:left="52" w:right="43"/>
              <w:jc w:val="center"/>
              <w:rPr>
                <w:b/>
                <w:sz w:val="20"/>
              </w:rPr>
            </w:pPr>
            <w:r>
              <w:rPr>
                <w:b/>
                <w:color w:val="231F20"/>
                <w:sz w:val="20"/>
              </w:rPr>
              <w:t>Т. Коломоєць</w:t>
            </w:r>
          </w:p>
        </w:tc>
        <w:tc>
          <w:tcPr>
            <w:tcW w:w="4809" w:type="dxa"/>
          </w:tcPr>
          <w:p w14:paraId="66DE6B93" w14:textId="77777777" w:rsidR="00DE575E" w:rsidRDefault="002E7560">
            <w:pPr>
              <w:pStyle w:val="TableParagraph"/>
              <w:spacing w:before="28" w:line="225" w:lineRule="auto"/>
              <w:ind w:right="45" w:firstLine="283"/>
              <w:jc w:val="both"/>
              <w:rPr>
                <w:sz w:val="20"/>
              </w:rPr>
            </w:pPr>
            <w:r>
              <w:rPr>
                <w:b/>
                <w:color w:val="231F20"/>
                <w:spacing w:val="-3"/>
                <w:sz w:val="20"/>
              </w:rPr>
              <w:t>Галіцина</w:t>
            </w:r>
            <w:r>
              <w:rPr>
                <w:b/>
                <w:color w:val="231F20"/>
                <w:spacing w:val="-19"/>
                <w:sz w:val="20"/>
              </w:rPr>
              <w:t xml:space="preserve"> </w:t>
            </w:r>
            <w:r>
              <w:rPr>
                <w:b/>
                <w:color w:val="231F20"/>
                <w:sz w:val="20"/>
              </w:rPr>
              <w:t>Наталя</w:t>
            </w:r>
            <w:r>
              <w:rPr>
                <w:b/>
                <w:color w:val="231F20"/>
                <w:spacing w:val="-19"/>
                <w:sz w:val="20"/>
              </w:rPr>
              <w:t xml:space="preserve"> </w:t>
            </w:r>
            <w:r>
              <w:rPr>
                <w:b/>
                <w:color w:val="231F20"/>
                <w:sz w:val="20"/>
              </w:rPr>
              <w:t>Вікторівна</w:t>
            </w:r>
            <w:r>
              <w:rPr>
                <w:color w:val="231F20"/>
                <w:sz w:val="20"/>
              </w:rPr>
              <w:t>,</w:t>
            </w:r>
            <w:r>
              <w:rPr>
                <w:color w:val="231F20"/>
                <w:spacing w:val="-19"/>
                <w:sz w:val="20"/>
              </w:rPr>
              <w:t xml:space="preserve"> </w:t>
            </w:r>
            <w:r>
              <w:rPr>
                <w:color w:val="231F20"/>
                <w:sz w:val="20"/>
              </w:rPr>
              <w:t>докторка</w:t>
            </w:r>
            <w:r>
              <w:rPr>
                <w:color w:val="231F20"/>
                <w:spacing w:val="-19"/>
                <w:sz w:val="20"/>
              </w:rPr>
              <w:t xml:space="preserve"> </w:t>
            </w:r>
            <w:r>
              <w:rPr>
                <w:color w:val="231F20"/>
                <w:sz w:val="20"/>
              </w:rPr>
              <w:t>юридич- них наук, професорка, професорка кафедри</w:t>
            </w:r>
            <w:r>
              <w:rPr>
                <w:color w:val="231F20"/>
                <w:spacing w:val="-15"/>
                <w:sz w:val="20"/>
              </w:rPr>
              <w:t xml:space="preserve"> </w:t>
            </w:r>
            <w:r>
              <w:rPr>
                <w:color w:val="231F20"/>
                <w:sz w:val="20"/>
              </w:rPr>
              <w:t xml:space="preserve">консти- туцiйного та </w:t>
            </w:r>
            <w:r>
              <w:rPr>
                <w:color w:val="231F20"/>
                <w:spacing w:val="-3"/>
                <w:sz w:val="20"/>
              </w:rPr>
              <w:t xml:space="preserve">трудового </w:t>
            </w:r>
            <w:r>
              <w:rPr>
                <w:color w:val="231F20"/>
                <w:sz w:val="20"/>
              </w:rPr>
              <w:t>права Запорiзького нацiо- нального унiверситету;</w:t>
            </w:r>
          </w:p>
          <w:p w14:paraId="7DD1E421" w14:textId="77777777" w:rsidR="00DE575E" w:rsidRDefault="002E7560">
            <w:pPr>
              <w:pStyle w:val="TableParagraph"/>
              <w:spacing w:line="225" w:lineRule="auto"/>
              <w:ind w:right="44" w:firstLine="283"/>
              <w:jc w:val="both"/>
              <w:rPr>
                <w:sz w:val="20"/>
              </w:rPr>
            </w:pPr>
            <w:r>
              <w:rPr>
                <w:b/>
                <w:color w:val="231F20"/>
                <w:sz w:val="20"/>
              </w:rPr>
              <w:t>Карабін Тетяна Олександрівна</w:t>
            </w:r>
            <w:r>
              <w:rPr>
                <w:color w:val="231F20"/>
                <w:sz w:val="20"/>
              </w:rPr>
              <w:t>, докторка юридичних наук, професорка, завідувачка кафедри адміністративного, фінансового та інформаційного права Ужгородського національного університету;</w:t>
            </w:r>
          </w:p>
          <w:p w14:paraId="7829BE3F" w14:textId="77777777" w:rsidR="00DE575E" w:rsidRDefault="002E7560">
            <w:pPr>
              <w:pStyle w:val="TableParagraph"/>
              <w:spacing w:line="225" w:lineRule="auto"/>
              <w:ind w:right="43" w:firstLine="283"/>
              <w:jc w:val="both"/>
              <w:rPr>
                <w:sz w:val="20"/>
              </w:rPr>
            </w:pPr>
            <w:r>
              <w:rPr>
                <w:b/>
                <w:color w:val="231F20"/>
                <w:sz w:val="20"/>
              </w:rPr>
              <w:t>Світличний Олександр Пе</w:t>
            </w:r>
            <w:r>
              <w:rPr>
                <w:b/>
                <w:color w:val="231F20"/>
                <w:sz w:val="20"/>
              </w:rPr>
              <w:t>трович</w:t>
            </w:r>
            <w:r>
              <w:rPr>
                <w:color w:val="231F20"/>
                <w:sz w:val="20"/>
              </w:rPr>
              <w:t xml:space="preserve">, доктор юридичних наук, </w:t>
            </w:r>
            <w:r>
              <w:rPr>
                <w:color w:val="231F20"/>
                <w:spacing w:val="-3"/>
                <w:sz w:val="20"/>
              </w:rPr>
              <w:t xml:space="preserve">доцент, </w:t>
            </w:r>
            <w:r>
              <w:rPr>
                <w:color w:val="231F20"/>
                <w:sz w:val="20"/>
              </w:rPr>
              <w:t>академік Академії АПН, професор кафедри цивільного і господарського права   Національного    університету    біоресурсів  і</w:t>
            </w:r>
            <w:r>
              <w:rPr>
                <w:color w:val="231F20"/>
                <w:spacing w:val="-2"/>
                <w:sz w:val="20"/>
              </w:rPr>
              <w:t xml:space="preserve"> </w:t>
            </w:r>
            <w:r>
              <w:rPr>
                <w:color w:val="231F20"/>
                <w:sz w:val="20"/>
              </w:rPr>
              <w:t>природокористування;</w:t>
            </w:r>
          </w:p>
          <w:p w14:paraId="74746541" w14:textId="77777777" w:rsidR="00DE575E" w:rsidRDefault="002E7560">
            <w:pPr>
              <w:pStyle w:val="TableParagraph"/>
              <w:spacing w:line="225" w:lineRule="auto"/>
              <w:ind w:right="44" w:firstLine="283"/>
              <w:jc w:val="both"/>
              <w:rPr>
                <w:sz w:val="20"/>
              </w:rPr>
            </w:pPr>
            <w:r>
              <w:rPr>
                <w:b/>
                <w:color w:val="231F20"/>
                <w:sz w:val="20"/>
              </w:rPr>
              <w:t>Правоторова Ольга Михайлівна</w:t>
            </w:r>
            <w:r>
              <w:rPr>
                <w:color w:val="231F20"/>
                <w:sz w:val="20"/>
              </w:rPr>
              <w:t>, докторка юридичних  наук,  професорка,  ак</w:t>
            </w:r>
            <w:r>
              <w:rPr>
                <w:color w:val="231F20"/>
                <w:sz w:val="20"/>
              </w:rPr>
              <w:t>адемік  Акаде-  мії АПН професорка кафедри адміністративного, господарського</w:t>
            </w:r>
            <w:r>
              <w:rPr>
                <w:color w:val="231F20"/>
                <w:spacing w:val="-16"/>
                <w:sz w:val="20"/>
              </w:rPr>
              <w:t xml:space="preserve"> </w:t>
            </w:r>
            <w:r>
              <w:rPr>
                <w:color w:val="231F20"/>
                <w:sz w:val="20"/>
              </w:rPr>
              <w:t>права</w:t>
            </w:r>
            <w:r>
              <w:rPr>
                <w:color w:val="231F20"/>
                <w:spacing w:val="-16"/>
                <w:sz w:val="20"/>
              </w:rPr>
              <w:t xml:space="preserve"> </w:t>
            </w:r>
            <w:r>
              <w:rPr>
                <w:color w:val="231F20"/>
                <w:sz w:val="20"/>
              </w:rPr>
              <w:t>та</w:t>
            </w:r>
            <w:r>
              <w:rPr>
                <w:color w:val="231F20"/>
                <w:spacing w:val="-16"/>
                <w:sz w:val="20"/>
              </w:rPr>
              <w:t xml:space="preserve"> </w:t>
            </w:r>
            <w:r>
              <w:rPr>
                <w:color w:val="231F20"/>
                <w:sz w:val="20"/>
              </w:rPr>
              <w:t>правоохоронної</w:t>
            </w:r>
            <w:r>
              <w:rPr>
                <w:color w:val="231F20"/>
                <w:spacing w:val="-16"/>
                <w:sz w:val="20"/>
              </w:rPr>
              <w:t xml:space="preserve"> </w:t>
            </w:r>
            <w:r>
              <w:rPr>
                <w:color w:val="231F20"/>
                <w:sz w:val="20"/>
              </w:rPr>
              <w:t>діяльності Херсонського державного</w:t>
            </w:r>
            <w:r>
              <w:rPr>
                <w:color w:val="231F20"/>
                <w:spacing w:val="-1"/>
                <w:sz w:val="20"/>
              </w:rPr>
              <w:t xml:space="preserve"> </w:t>
            </w:r>
            <w:r>
              <w:rPr>
                <w:color w:val="231F20"/>
                <w:sz w:val="20"/>
              </w:rPr>
              <w:t>університету;</w:t>
            </w:r>
          </w:p>
          <w:p w14:paraId="305D5DE2" w14:textId="77777777" w:rsidR="00DE575E" w:rsidRDefault="002E7560">
            <w:pPr>
              <w:pStyle w:val="TableParagraph"/>
              <w:spacing w:line="225" w:lineRule="auto"/>
              <w:ind w:right="44" w:firstLine="283"/>
              <w:jc w:val="both"/>
              <w:rPr>
                <w:sz w:val="20"/>
              </w:rPr>
            </w:pPr>
            <w:r>
              <w:rPr>
                <w:b/>
                <w:color w:val="231F20"/>
                <w:sz w:val="20"/>
              </w:rPr>
              <w:t>Кіндюк Борис Володимирович</w:t>
            </w:r>
            <w:r>
              <w:rPr>
                <w:color w:val="231F20"/>
                <w:sz w:val="20"/>
              </w:rPr>
              <w:t>, доктор юридичних наук, професор, академік Академії АПН головний науковий співробітник Інституту законо- давства Верховної Ради України.</w:t>
            </w:r>
          </w:p>
          <w:p w14:paraId="08E776E7" w14:textId="77777777" w:rsidR="00DE575E" w:rsidRDefault="002E7560">
            <w:pPr>
              <w:pStyle w:val="TableParagraph"/>
              <w:spacing w:line="225" w:lineRule="auto"/>
              <w:ind w:right="44" w:firstLine="283"/>
              <w:jc w:val="right"/>
              <w:rPr>
                <w:sz w:val="20"/>
              </w:rPr>
            </w:pPr>
            <w:r>
              <w:rPr>
                <w:b/>
                <w:color w:val="231F20"/>
                <w:spacing w:val="-3"/>
                <w:sz w:val="20"/>
              </w:rPr>
              <w:t xml:space="preserve">Легеза </w:t>
            </w:r>
            <w:r>
              <w:rPr>
                <w:b/>
                <w:color w:val="231F20"/>
                <w:sz w:val="20"/>
              </w:rPr>
              <w:t xml:space="preserve">Юлія </w:t>
            </w:r>
            <w:r>
              <w:rPr>
                <w:b/>
                <w:color w:val="231F20"/>
                <w:spacing w:val="-3"/>
                <w:sz w:val="20"/>
              </w:rPr>
              <w:t>Олександрівна</w:t>
            </w:r>
            <w:r>
              <w:rPr>
                <w:color w:val="231F20"/>
                <w:spacing w:val="-3"/>
                <w:sz w:val="20"/>
              </w:rPr>
              <w:t>,</w:t>
            </w:r>
            <w:r>
              <w:rPr>
                <w:color w:val="231F20"/>
                <w:spacing w:val="-4"/>
                <w:sz w:val="20"/>
              </w:rPr>
              <w:t xml:space="preserve"> </w:t>
            </w:r>
            <w:r>
              <w:rPr>
                <w:color w:val="231F20"/>
                <w:spacing w:val="-3"/>
                <w:sz w:val="20"/>
              </w:rPr>
              <w:t>докторка</w:t>
            </w:r>
            <w:r>
              <w:rPr>
                <w:color w:val="231F20"/>
                <w:spacing w:val="10"/>
                <w:sz w:val="20"/>
              </w:rPr>
              <w:t xml:space="preserve"> </w:t>
            </w:r>
            <w:r>
              <w:rPr>
                <w:color w:val="231F20"/>
                <w:spacing w:val="-3"/>
                <w:sz w:val="20"/>
              </w:rPr>
              <w:t>юридич-</w:t>
            </w:r>
            <w:r>
              <w:rPr>
                <w:color w:val="231F20"/>
                <w:sz w:val="20"/>
              </w:rPr>
              <w:t xml:space="preserve"> них наук, професорка, професор</w:t>
            </w:r>
            <w:r>
              <w:rPr>
                <w:color w:val="231F20"/>
                <w:spacing w:val="17"/>
                <w:sz w:val="20"/>
              </w:rPr>
              <w:t xml:space="preserve"> </w:t>
            </w:r>
            <w:r>
              <w:rPr>
                <w:color w:val="231F20"/>
                <w:spacing w:val="-3"/>
                <w:sz w:val="20"/>
              </w:rPr>
              <w:t>кафедри</w:t>
            </w:r>
            <w:r>
              <w:rPr>
                <w:color w:val="231F20"/>
                <w:spacing w:val="6"/>
                <w:sz w:val="20"/>
              </w:rPr>
              <w:t xml:space="preserve"> </w:t>
            </w:r>
            <w:r>
              <w:rPr>
                <w:color w:val="231F20"/>
                <w:sz w:val="20"/>
              </w:rPr>
              <w:t xml:space="preserve">цивіль- ного, </w:t>
            </w:r>
            <w:r>
              <w:rPr>
                <w:color w:val="231F20"/>
                <w:spacing w:val="-3"/>
                <w:sz w:val="20"/>
              </w:rPr>
              <w:t xml:space="preserve">господарського </w:t>
            </w:r>
            <w:r>
              <w:rPr>
                <w:color w:val="231F20"/>
                <w:sz w:val="20"/>
              </w:rPr>
              <w:t xml:space="preserve">та </w:t>
            </w:r>
            <w:r>
              <w:rPr>
                <w:color w:val="231F20"/>
                <w:spacing w:val="-2"/>
                <w:sz w:val="20"/>
              </w:rPr>
              <w:t>еко</w:t>
            </w:r>
            <w:r>
              <w:rPr>
                <w:color w:val="231F20"/>
                <w:spacing w:val="-2"/>
                <w:sz w:val="20"/>
              </w:rPr>
              <w:t>логічного</w:t>
            </w:r>
            <w:r>
              <w:rPr>
                <w:color w:val="231F20"/>
                <w:spacing w:val="15"/>
                <w:sz w:val="20"/>
              </w:rPr>
              <w:t xml:space="preserve"> </w:t>
            </w:r>
            <w:r>
              <w:rPr>
                <w:color w:val="231F20"/>
                <w:sz w:val="20"/>
              </w:rPr>
              <w:t>права</w:t>
            </w:r>
            <w:r>
              <w:rPr>
                <w:color w:val="231F20"/>
                <w:spacing w:val="35"/>
                <w:sz w:val="20"/>
              </w:rPr>
              <w:t xml:space="preserve"> </w:t>
            </w:r>
            <w:r>
              <w:rPr>
                <w:color w:val="231F20"/>
                <w:spacing w:val="-3"/>
                <w:sz w:val="20"/>
              </w:rPr>
              <w:t>Інсти-</w:t>
            </w:r>
            <w:r>
              <w:rPr>
                <w:color w:val="231F20"/>
                <w:sz w:val="20"/>
              </w:rPr>
              <w:t xml:space="preserve"> туту</w:t>
            </w:r>
            <w:r>
              <w:rPr>
                <w:color w:val="231F20"/>
                <w:spacing w:val="-26"/>
                <w:sz w:val="20"/>
              </w:rPr>
              <w:t xml:space="preserve"> </w:t>
            </w:r>
            <w:r>
              <w:rPr>
                <w:color w:val="231F20"/>
                <w:sz w:val="20"/>
              </w:rPr>
              <w:t>соціальних</w:t>
            </w:r>
            <w:r>
              <w:rPr>
                <w:color w:val="231F20"/>
                <w:spacing w:val="-26"/>
                <w:sz w:val="20"/>
              </w:rPr>
              <w:t xml:space="preserve"> </w:t>
            </w:r>
            <w:r>
              <w:rPr>
                <w:color w:val="231F20"/>
                <w:sz w:val="20"/>
              </w:rPr>
              <w:t>та</w:t>
            </w:r>
            <w:r>
              <w:rPr>
                <w:color w:val="231F20"/>
                <w:spacing w:val="-26"/>
                <w:sz w:val="20"/>
              </w:rPr>
              <w:t xml:space="preserve"> </w:t>
            </w:r>
            <w:r>
              <w:rPr>
                <w:color w:val="231F20"/>
                <w:sz w:val="20"/>
              </w:rPr>
              <w:t>гуманітарних</w:t>
            </w:r>
            <w:r>
              <w:rPr>
                <w:color w:val="231F20"/>
                <w:spacing w:val="-26"/>
                <w:sz w:val="20"/>
              </w:rPr>
              <w:t xml:space="preserve"> </w:t>
            </w:r>
            <w:r>
              <w:rPr>
                <w:color w:val="231F20"/>
                <w:spacing w:val="-3"/>
                <w:sz w:val="20"/>
              </w:rPr>
              <w:t>наук</w:t>
            </w:r>
            <w:r>
              <w:rPr>
                <w:color w:val="231F20"/>
                <w:spacing w:val="-26"/>
                <w:sz w:val="20"/>
              </w:rPr>
              <w:t xml:space="preserve"> </w:t>
            </w:r>
            <w:r>
              <w:rPr>
                <w:color w:val="231F20"/>
                <w:spacing w:val="-3"/>
                <w:sz w:val="20"/>
              </w:rPr>
              <w:t>Національного</w:t>
            </w:r>
            <w:r>
              <w:rPr>
                <w:color w:val="231F20"/>
                <w:sz w:val="20"/>
              </w:rPr>
              <w:t xml:space="preserve"> </w:t>
            </w:r>
            <w:r>
              <w:rPr>
                <w:color w:val="231F20"/>
                <w:spacing w:val="-3"/>
                <w:sz w:val="20"/>
              </w:rPr>
              <w:t xml:space="preserve">технічного </w:t>
            </w:r>
            <w:r>
              <w:rPr>
                <w:color w:val="231F20"/>
                <w:sz w:val="20"/>
              </w:rPr>
              <w:t>університету</w:t>
            </w:r>
            <w:r>
              <w:rPr>
                <w:color w:val="231F20"/>
                <w:spacing w:val="-30"/>
                <w:sz w:val="20"/>
              </w:rPr>
              <w:t xml:space="preserve"> </w:t>
            </w:r>
            <w:r>
              <w:rPr>
                <w:color w:val="231F20"/>
                <w:sz w:val="20"/>
              </w:rPr>
              <w:t>«Дніпровська</w:t>
            </w:r>
            <w:r>
              <w:rPr>
                <w:color w:val="231F20"/>
                <w:spacing w:val="-16"/>
                <w:sz w:val="20"/>
              </w:rPr>
              <w:t xml:space="preserve"> </w:t>
            </w:r>
            <w:r>
              <w:rPr>
                <w:color w:val="231F20"/>
                <w:spacing w:val="-3"/>
                <w:sz w:val="20"/>
              </w:rPr>
              <w:t xml:space="preserve">політехніка»; </w:t>
            </w:r>
            <w:r>
              <w:rPr>
                <w:b/>
                <w:color w:val="231F20"/>
                <w:sz w:val="20"/>
              </w:rPr>
              <w:t xml:space="preserve">Мацелик </w:t>
            </w:r>
            <w:r>
              <w:rPr>
                <w:b/>
                <w:color w:val="231F20"/>
                <w:spacing w:val="-4"/>
                <w:sz w:val="20"/>
              </w:rPr>
              <w:t>Тетяна</w:t>
            </w:r>
            <w:r>
              <w:rPr>
                <w:b/>
                <w:color w:val="231F20"/>
                <w:spacing w:val="11"/>
                <w:sz w:val="20"/>
              </w:rPr>
              <w:t xml:space="preserve"> </w:t>
            </w:r>
            <w:r>
              <w:rPr>
                <w:b/>
                <w:color w:val="231F20"/>
                <w:sz w:val="20"/>
              </w:rPr>
              <w:t>Олександрівн</w:t>
            </w:r>
            <w:r>
              <w:rPr>
                <w:color w:val="231F20"/>
                <w:sz w:val="20"/>
              </w:rPr>
              <w:t>а, докторка юридичних наук, професорка,</w:t>
            </w:r>
            <w:r>
              <w:rPr>
                <w:color w:val="231F20"/>
                <w:spacing w:val="7"/>
                <w:sz w:val="20"/>
              </w:rPr>
              <w:t xml:space="preserve"> </w:t>
            </w:r>
            <w:r>
              <w:rPr>
                <w:color w:val="231F20"/>
                <w:sz w:val="20"/>
              </w:rPr>
              <w:t>завідувачка</w:t>
            </w:r>
            <w:r>
              <w:rPr>
                <w:color w:val="231F20"/>
                <w:spacing w:val="1"/>
                <w:sz w:val="20"/>
              </w:rPr>
              <w:t xml:space="preserve"> </w:t>
            </w:r>
            <w:r>
              <w:rPr>
                <w:color w:val="231F20"/>
                <w:sz w:val="20"/>
              </w:rPr>
              <w:t>кафедри</w:t>
            </w:r>
            <w:r>
              <w:rPr>
                <w:color w:val="231F20"/>
                <w:spacing w:val="-1"/>
                <w:sz w:val="20"/>
              </w:rPr>
              <w:t xml:space="preserve"> </w:t>
            </w:r>
            <w:r>
              <w:rPr>
                <w:color w:val="231F20"/>
                <w:sz w:val="20"/>
              </w:rPr>
              <w:t>фінансового</w:t>
            </w:r>
            <w:r>
              <w:rPr>
                <w:color w:val="231F20"/>
                <w:spacing w:val="-26"/>
                <w:sz w:val="20"/>
              </w:rPr>
              <w:t xml:space="preserve"> </w:t>
            </w:r>
            <w:r>
              <w:rPr>
                <w:color w:val="231F20"/>
                <w:sz w:val="20"/>
              </w:rPr>
              <w:t>права</w:t>
            </w:r>
            <w:r>
              <w:rPr>
                <w:color w:val="231F20"/>
                <w:spacing w:val="-26"/>
                <w:sz w:val="20"/>
              </w:rPr>
              <w:t xml:space="preserve"> </w:t>
            </w:r>
            <w:r>
              <w:rPr>
                <w:color w:val="231F20"/>
                <w:sz w:val="20"/>
              </w:rPr>
              <w:t>Університету</w:t>
            </w:r>
            <w:r>
              <w:rPr>
                <w:color w:val="231F20"/>
                <w:spacing w:val="-26"/>
                <w:sz w:val="20"/>
              </w:rPr>
              <w:t xml:space="preserve"> </w:t>
            </w:r>
            <w:r>
              <w:rPr>
                <w:color w:val="231F20"/>
                <w:sz w:val="20"/>
              </w:rPr>
              <w:t>Державної</w:t>
            </w:r>
            <w:r>
              <w:rPr>
                <w:color w:val="231F20"/>
                <w:spacing w:val="-26"/>
                <w:sz w:val="20"/>
              </w:rPr>
              <w:t xml:space="preserve"> </w:t>
            </w:r>
            <w:r>
              <w:rPr>
                <w:color w:val="231F20"/>
                <w:sz w:val="20"/>
              </w:rPr>
              <w:t>фіскаль-</w:t>
            </w:r>
          </w:p>
          <w:p w14:paraId="32C9408E" w14:textId="77777777" w:rsidR="00DE575E" w:rsidRDefault="002E7560">
            <w:pPr>
              <w:pStyle w:val="TableParagraph"/>
              <w:spacing w:line="213" w:lineRule="exact"/>
              <w:rPr>
                <w:sz w:val="20"/>
              </w:rPr>
            </w:pPr>
            <w:r>
              <w:rPr>
                <w:color w:val="231F20"/>
                <w:sz w:val="20"/>
              </w:rPr>
              <w:t>ної служби України;</w:t>
            </w:r>
          </w:p>
          <w:p w14:paraId="6DBE49BF" w14:textId="77777777" w:rsidR="00DE575E" w:rsidRDefault="002E7560">
            <w:pPr>
              <w:pStyle w:val="TableParagraph"/>
              <w:spacing w:line="225" w:lineRule="auto"/>
              <w:ind w:right="44" w:firstLine="283"/>
              <w:jc w:val="both"/>
              <w:rPr>
                <w:sz w:val="20"/>
              </w:rPr>
            </w:pPr>
            <w:r>
              <w:rPr>
                <w:b/>
                <w:color w:val="231F20"/>
                <w:sz w:val="20"/>
              </w:rPr>
              <w:t>Салманова Олена Юріївна</w:t>
            </w:r>
            <w:r>
              <w:rPr>
                <w:color w:val="231F20"/>
                <w:sz w:val="20"/>
              </w:rPr>
              <w:t>, докторка юридич- них наук, професор, заслужена працівниця освіти України, завідувачка кафедри адміністративного права та процесу Харківського національного університету внутрішніх справ;</w:t>
            </w:r>
          </w:p>
          <w:p w14:paraId="38200D23" w14:textId="77777777" w:rsidR="00DE575E" w:rsidRDefault="002E7560">
            <w:pPr>
              <w:pStyle w:val="TableParagraph"/>
              <w:spacing w:line="225" w:lineRule="auto"/>
              <w:ind w:right="44" w:firstLine="283"/>
              <w:jc w:val="both"/>
              <w:rPr>
                <w:sz w:val="20"/>
              </w:rPr>
            </w:pPr>
            <w:r>
              <w:rPr>
                <w:b/>
                <w:color w:val="231F20"/>
                <w:sz w:val="20"/>
              </w:rPr>
              <w:t xml:space="preserve">Пирожкова Юлія </w:t>
            </w:r>
            <w:r>
              <w:rPr>
                <w:b/>
                <w:color w:val="231F20"/>
                <w:sz w:val="20"/>
              </w:rPr>
              <w:t>Володимирівна</w:t>
            </w:r>
            <w:r>
              <w:rPr>
                <w:color w:val="231F20"/>
                <w:sz w:val="20"/>
              </w:rPr>
              <w:t>, докторка юридичних наук, професорка, завідувачка кафедри кримінального права та правосуддя Запорізького Національного університету;</w:t>
            </w:r>
          </w:p>
          <w:p w14:paraId="40A4CF28" w14:textId="77777777" w:rsidR="00DE575E" w:rsidRDefault="002E7560">
            <w:pPr>
              <w:pStyle w:val="TableParagraph"/>
              <w:spacing w:line="220" w:lineRule="exact"/>
              <w:ind w:right="44" w:firstLine="283"/>
              <w:jc w:val="both"/>
              <w:rPr>
                <w:sz w:val="20"/>
              </w:rPr>
            </w:pPr>
            <w:r>
              <w:rPr>
                <w:b/>
                <w:color w:val="231F20"/>
                <w:sz w:val="20"/>
              </w:rPr>
              <w:t>Біла Вікторія Русланівна</w:t>
            </w:r>
            <w:r>
              <w:rPr>
                <w:color w:val="231F20"/>
                <w:sz w:val="20"/>
              </w:rPr>
              <w:t>, кандидатка юридич- них наук, доцентка, заступниця начальника факультету підготовки,</w:t>
            </w:r>
            <w:r>
              <w:rPr>
                <w:color w:val="231F20"/>
                <w:sz w:val="20"/>
              </w:rPr>
              <w:t xml:space="preserve"> перепідготовки та кваліфі- кації працівників податкової міліції Університету Державної фіскальної служби України;</w:t>
            </w:r>
          </w:p>
        </w:tc>
      </w:tr>
    </w:tbl>
    <w:p w14:paraId="1C17AEDE" w14:textId="77777777" w:rsidR="00DE575E" w:rsidRDefault="00DE575E">
      <w:pPr>
        <w:pStyle w:val="BodyText"/>
        <w:rPr>
          <w:rFonts w:ascii="AdonisC"/>
          <w:i/>
          <w:sz w:val="18"/>
        </w:rPr>
      </w:pPr>
    </w:p>
    <w:p w14:paraId="539C3CE2" w14:textId="77777777" w:rsidR="00DE575E" w:rsidRDefault="002E7560">
      <w:pPr>
        <w:spacing w:before="149"/>
        <w:ind w:left="533"/>
        <w:rPr>
          <w:rFonts w:ascii="Times New Roman"/>
          <w:sz w:val="20"/>
        </w:rPr>
      </w:pPr>
      <w:r>
        <w:rPr>
          <w:rFonts w:ascii="Times New Roman"/>
          <w:color w:val="231F20"/>
          <w:sz w:val="20"/>
        </w:rPr>
        <w:t>566</w:t>
      </w:r>
    </w:p>
    <w:p w14:paraId="2BD899D2" w14:textId="77777777" w:rsidR="00DE575E" w:rsidRDefault="00DE575E">
      <w:pPr>
        <w:rPr>
          <w:rFonts w:ascii="Times New Roman"/>
          <w:sz w:val="20"/>
        </w:rPr>
        <w:sectPr w:rsidR="00DE575E">
          <w:pgSz w:w="8510" w:h="12760"/>
          <w:pgMar w:top="660" w:right="720" w:bottom="280" w:left="600" w:header="720" w:footer="720" w:gutter="0"/>
          <w:cols w:space="720"/>
        </w:sectPr>
      </w:pPr>
    </w:p>
    <w:p w14:paraId="2F91E076" w14:textId="77777777" w:rsidR="00DE575E" w:rsidRDefault="002E7560">
      <w:pPr>
        <w:spacing w:before="72" w:after="9"/>
        <w:ind w:right="411"/>
        <w:jc w:val="right"/>
        <w:rPr>
          <w:rFonts w:ascii="AdonisC" w:hAnsi="AdonisC"/>
          <w:i/>
          <w:sz w:val="18"/>
        </w:rPr>
      </w:pPr>
      <w:r>
        <w:rPr>
          <w:rFonts w:ascii="AdonisC" w:hAnsi="AdonisC"/>
          <w:i/>
          <w:color w:val="231F20"/>
          <w:sz w:val="18"/>
        </w:rPr>
        <w:t>Відомості про авторів</w:t>
      </w:r>
    </w:p>
    <w:p w14:paraId="0A5CDA2C" w14:textId="3D0AB8EB"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6AEBCDB" wp14:editId="1EEE74FC">
                <wp:extent cx="4140200" cy="6350"/>
                <wp:effectExtent l="0" t="0" r="12700" b="6350"/>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4" name="Line 3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3505F" id="Group_x0020_3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IOlSjB8AgAAlAUAAA4AAAAA&#10;AAAAAAAAAAAALAIAAGRycy9lMm9Eb2MueG1sUEsBAi0AFAAGAAgAAAAhAEynsJDZAAAAAwEAAA8A&#10;AAAAAAAAAAAAAAAA1AQAAGRycy9kb3ducmV2LnhtbFBLBQYAAAAABAAEAPMAAADaBQAAAAA=&#10;">
                <v:line id="Line_x0020_3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cRc8UAAADbAAAADwAAAGRycy9kb3ducmV2LnhtbESP3WrCQBSE7wt9h+UUelN0oxEp0VVE&#10;EKQX/qUPcMyeJqG7Z2N2NWmf3hUKvRxm5htmvuytETdqfe1YwWiYgCAunK65VPCZbwbvIHxA1mgc&#10;k4If8rBcPD/NMdOu4yPdTqEUEcI+QwVVCE0mpS8qsuiHriGO3pdrLYYo21LqFrsIt0aOk2QqLdYc&#10;FypsaF1R8X26WgX55S2Yw/7DdPn+nMrzZZf+XndKvb70qxmIQH34D/+1t1pBOoHHl/gD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KcRc8UAAADbAAAADwAAAAAAAAAA&#10;AAAAAAChAgAAZHJzL2Rvd25yZXYueG1sUEsFBgAAAAAEAAQA+QAAAJMDAAAAAA==&#10;" strokecolor="#231f20" strokeweight=".5pt"/>
                <w10:anchorlock/>
              </v:group>
            </w:pict>
          </mc:Fallback>
        </mc:AlternateContent>
      </w:r>
    </w:p>
    <w:p w14:paraId="272A9284"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7DE3E2B6" w14:textId="77777777">
        <w:trPr>
          <w:trHeight w:val="4218"/>
        </w:trPr>
        <w:tc>
          <w:tcPr>
            <w:tcW w:w="1701" w:type="dxa"/>
          </w:tcPr>
          <w:p w14:paraId="2743A533" w14:textId="77777777" w:rsidR="00DE575E" w:rsidRDefault="002E7560">
            <w:pPr>
              <w:pStyle w:val="TableParagraph"/>
              <w:spacing w:before="28" w:line="225" w:lineRule="auto"/>
              <w:ind w:left="432" w:right="421"/>
              <w:jc w:val="center"/>
              <w:rPr>
                <w:b/>
                <w:sz w:val="20"/>
              </w:rPr>
            </w:pPr>
            <w:r>
              <w:rPr>
                <w:b/>
                <w:color w:val="231F20"/>
                <w:sz w:val="20"/>
              </w:rPr>
              <w:t>Розділ 7 заг ред.</w:t>
            </w:r>
          </w:p>
          <w:p w14:paraId="692567CC" w14:textId="77777777" w:rsidR="00DE575E" w:rsidRDefault="002E7560">
            <w:pPr>
              <w:pStyle w:val="TableParagraph"/>
              <w:spacing w:line="222" w:lineRule="exact"/>
              <w:ind w:left="52" w:right="43"/>
              <w:jc w:val="center"/>
              <w:rPr>
                <w:b/>
                <w:sz w:val="20"/>
              </w:rPr>
            </w:pPr>
            <w:r>
              <w:rPr>
                <w:b/>
                <w:color w:val="231F20"/>
                <w:sz w:val="20"/>
              </w:rPr>
              <w:t>Т. Коломоєць</w:t>
            </w:r>
          </w:p>
        </w:tc>
        <w:tc>
          <w:tcPr>
            <w:tcW w:w="4809" w:type="dxa"/>
          </w:tcPr>
          <w:p w14:paraId="5B0BE7E2" w14:textId="77777777" w:rsidR="00DE575E" w:rsidRDefault="002E7560">
            <w:pPr>
              <w:pStyle w:val="TableParagraph"/>
              <w:spacing w:before="28" w:line="225" w:lineRule="auto"/>
              <w:ind w:right="45" w:firstLine="283"/>
              <w:jc w:val="both"/>
              <w:rPr>
                <w:sz w:val="20"/>
              </w:rPr>
            </w:pPr>
            <w:r>
              <w:rPr>
                <w:b/>
                <w:color w:val="231F20"/>
                <w:sz w:val="20"/>
              </w:rPr>
              <w:t xml:space="preserve">Зима Олександр </w:t>
            </w:r>
            <w:r>
              <w:rPr>
                <w:b/>
                <w:color w:val="231F20"/>
                <w:spacing w:val="-3"/>
                <w:sz w:val="20"/>
              </w:rPr>
              <w:t>Тарасович</w:t>
            </w:r>
            <w:r>
              <w:rPr>
                <w:color w:val="231F20"/>
                <w:spacing w:val="-3"/>
                <w:sz w:val="20"/>
              </w:rPr>
              <w:t xml:space="preserve">, </w:t>
            </w:r>
            <w:r>
              <w:rPr>
                <w:color w:val="231F20"/>
                <w:sz w:val="20"/>
              </w:rPr>
              <w:t xml:space="preserve">кандидат юридич- них наук, </w:t>
            </w:r>
            <w:r>
              <w:rPr>
                <w:color w:val="231F20"/>
                <w:spacing w:val="-3"/>
                <w:sz w:val="20"/>
              </w:rPr>
              <w:t xml:space="preserve">доцент, </w:t>
            </w:r>
            <w:r>
              <w:rPr>
                <w:color w:val="231F20"/>
                <w:sz w:val="20"/>
              </w:rPr>
              <w:t xml:space="preserve">доцент кафедри адміністратив- ного права Національного юридичного універси- тету </w:t>
            </w:r>
            <w:r>
              <w:rPr>
                <w:color w:val="231F20"/>
                <w:spacing w:val="-3"/>
                <w:sz w:val="20"/>
              </w:rPr>
              <w:t xml:space="preserve">України </w:t>
            </w:r>
            <w:r>
              <w:rPr>
                <w:color w:val="231F20"/>
                <w:sz w:val="20"/>
              </w:rPr>
              <w:t>імені Ярослава Мудрого;</w:t>
            </w:r>
          </w:p>
          <w:p w14:paraId="72CB9CB8" w14:textId="77777777" w:rsidR="00DE575E" w:rsidRDefault="002E7560">
            <w:pPr>
              <w:pStyle w:val="TableParagraph"/>
              <w:spacing w:line="225" w:lineRule="auto"/>
              <w:ind w:right="45" w:firstLine="283"/>
              <w:jc w:val="both"/>
              <w:rPr>
                <w:sz w:val="20"/>
              </w:rPr>
            </w:pPr>
            <w:r>
              <w:rPr>
                <w:b/>
                <w:color w:val="231F20"/>
                <w:sz w:val="20"/>
              </w:rPr>
              <w:t xml:space="preserve">Коротун Олена </w:t>
            </w:r>
            <w:r>
              <w:rPr>
                <w:b/>
                <w:color w:val="231F20"/>
                <w:sz w:val="20"/>
              </w:rPr>
              <w:t>Миколаївна</w:t>
            </w:r>
            <w:r>
              <w:rPr>
                <w:color w:val="231F20"/>
                <w:sz w:val="20"/>
              </w:rPr>
              <w:t>, кандидатка юридичних наук, доцентка, докторантка Науково- дослідного інституту публічного права;</w:t>
            </w:r>
          </w:p>
          <w:p w14:paraId="084833F6" w14:textId="77777777" w:rsidR="00DE575E" w:rsidRDefault="002E7560">
            <w:pPr>
              <w:pStyle w:val="TableParagraph"/>
              <w:spacing w:line="225" w:lineRule="auto"/>
              <w:ind w:right="45" w:firstLine="283"/>
              <w:jc w:val="both"/>
              <w:rPr>
                <w:sz w:val="20"/>
              </w:rPr>
            </w:pPr>
            <w:r>
              <w:rPr>
                <w:b/>
                <w:color w:val="231F20"/>
                <w:sz w:val="20"/>
              </w:rPr>
              <w:t>Коваль Анна Миколаївна</w:t>
            </w:r>
            <w:r>
              <w:rPr>
                <w:color w:val="231F20"/>
                <w:sz w:val="20"/>
              </w:rPr>
              <w:t>, кандидатка</w:t>
            </w:r>
            <w:r>
              <w:rPr>
                <w:color w:val="231F20"/>
                <w:spacing w:val="-27"/>
                <w:sz w:val="20"/>
              </w:rPr>
              <w:t xml:space="preserve"> </w:t>
            </w:r>
            <w:r>
              <w:rPr>
                <w:color w:val="231F20"/>
                <w:sz w:val="20"/>
              </w:rPr>
              <w:t>юридич- них наук, доцентка, доцентка кафедри державно- правових дисциплін Університету економіки та права</w:t>
            </w:r>
            <w:r>
              <w:rPr>
                <w:color w:val="231F20"/>
                <w:spacing w:val="-2"/>
                <w:sz w:val="20"/>
              </w:rPr>
              <w:t xml:space="preserve"> </w:t>
            </w:r>
            <w:r>
              <w:rPr>
                <w:color w:val="231F20"/>
                <w:sz w:val="20"/>
              </w:rPr>
              <w:t>«КРОК»</w:t>
            </w:r>
            <w:r>
              <w:rPr>
                <w:color w:val="231F20"/>
                <w:sz w:val="20"/>
              </w:rPr>
              <w:t>;</w:t>
            </w:r>
          </w:p>
          <w:p w14:paraId="54FE143F" w14:textId="77777777" w:rsidR="00DE575E" w:rsidRDefault="002E7560">
            <w:pPr>
              <w:pStyle w:val="TableParagraph"/>
              <w:spacing w:line="225" w:lineRule="auto"/>
              <w:ind w:right="43" w:firstLine="283"/>
              <w:jc w:val="both"/>
              <w:rPr>
                <w:sz w:val="20"/>
              </w:rPr>
            </w:pPr>
            <w:r>
              <w:rPr>
                <w:b/>
                <w:color w:val="231F20"/>
                <w:sz w:val="20"/>
              </w:rPr>
              <w:t>Соловйова Ольга Миколаївна</w:t>
            </w:r>
            <w:r>
              <w:rPr>
                <w:color w:val="231F20"/>
                <w:sz w:val="20"/>
              </w:rPr>
              <w:t>, кандидатка юридичних</w:t>
            </w:r>
            <w:r>
              <w:rPr>
                <w:color w:val="231F20"/>
                <w:spacing w:val="-14"/>
                <w:sz w:val="20"/>
              </w:rPr>
              <w:t xml:space="preserve"> </w:t>
            </w:r>
            <w:r>
              <w:rPr>
                <w:color w:val="231F20"/>
                <w:sz w:val="20"/>
              </w:rPr>
              <w:t>наук,</w:t>
            </w:r>
            <w:r>
              <w:rPr>
                <w:color w:val="231F20"/>
                <w:spacing w:val="-14"/>
                <w:sz w:val="20"/>
              </w:rPr>
              <w:t xml:space="preserve"> </w:t>
            </w:r>
            <w:r>
              <w:rPr>
                <w:color w:val="231F20"/>
                <w:sz w:val="20"/>
              </w:rPr>
              <w:t>доцентка,</w:t>
            </w:r>
            <w:r>
              <w:rPr>
                <w:color w:val="231F20"/>
                <w:spacing w:val="-14"/>
                <w:sz w:val="20"/>
              </w:rPr>
              <w:t xml:space="preserve"> </w:t>
            </w:r>
            <w:r>
              <w:rPr>
                <w:color w:val="231F20"/>
                <w:sz w:val="20"/>
              </w:rPr>
              <w:t>доцентка</w:t>
            </w:r>
            <w:r>
              <w:rPr>
                <w:color w:val="231F20"/>
                <w:spacing w:val="-14"/>
                <w:sz w:val="20"/>
              </w:rPr>
              <w:t xml:space="preserve"> </w:t>
            </w:r>
            <w:r>
              <w:rPr>
                <w:color w:val="231F20"/>
                <w:sz w:val="20"/>
              </w:rPr>
              <w:t>кафедри</w:t>
            </w:r>
            <w:r>
              <w:rPr>
                <w:color w:val="231F20"/>
                <w:spacing w:val="-14"/>
                <w:sz w:val="20"/>
              </w:rPr>
              <w:t xml:space="preserve"> </w:t>
            </w:r>
            <w:r>
              <w:rPr>
                <w:color w:val="231F20"/>
                <w:sz w:val="20"/>
              </w:rPr>
              <w:t>адмі- ністративного права Національного юридичного університету імені Ярослава</w:t>
            </w:r>
            <w:r>
              <w:rPr>
                <w:color w:val="231F20"/>
                <w:spacing w:val="-3"/>
                <w:sz w:val="20"/>
              </w:rPr>
              <w:t xml:space="preserve"> </w:t>
            </w:r>
            <w:r>
              <w:rPr>
                <w:color w:val="231F20"/>
                <w:sz w:val="20"/>
              </w:rPr>
              <w:t>Мудрого;</w:t>
            </w:r>
          </w:p>
          <w:p w14:paraId="325B9159" w14:textId="77777777" w:rsidR="00DE575E" w:rsidRDefault="002E7560">
            <w:pPr>
              <w:pStyle w:val="TableParagraph"/>
              <w:spacing w:line="220" w:lineRule="exact"/>
              <w:ind w:right="45" w:firstLine="283"/>
              <w:jc w:val="both"/>
              <w:rPr>
                <w:sz w:val="20"/>
              </w:rPr>
            </w:pPr>
            <w:r>
              <w:rPr>
                <w:b/>
                <w:color w:val="231F20"/>
                <w:sz w:val="20"/>
              </w:rPr>
              <w:t>Шарая Анна Анатоліївна</w:t>
            </w:r>
            <w:r>
              <w:rPr>
                <w:color w:val="231F20"/>
                <w:sz w:val="20"/>
              </w:rPr>
              <w:t>, кандидатка юридич- них наук, доцентка, доцентка кафедри адмініст- ративного та господарського права Запорізького національного університету.</w:t>
            </w:r>
          </w:p>
        </w:tc>
      </w:tr>
      <w:tr w:rsidR="00DE575E" w14:paraId="7D208E56" w14:textId="77777777">
        <w:trPr>
          <w:trHeight w:val="5758"/>
        </w:trPr>
        <w:tc>
          <w:tcPr>
            <w:tcW w:w="1701" w:type="dxa"/>
          </w:tcPr>
          <w:p w14:paraId="2A7D6916" w14:textId="77777777" w:rsidR="00DE575E" w:rsidRDefault="002E7560">
            <w:pPr>
              <w:pStyle w:val="TableParagraph"/>
              <w:spacing w:before="28" w:line="225" w:lineRule="auto"/>
              <w:ind w:left="432" w:right="421"/>
              <w:jc w:val="center"/>
              <w:rPr>
                <w:b/>
                <w:sz w:val="20"/>
              </w:rPr>
            </w:pPr>
            <w:r>
              <w:rPr>
                <w:b/>
                <w:color w:val="231F20"/>
                <w:sz w:val="20"/>
              </w:rPr>
              <w:t>Розділ 8 Глава І заг ред.</w:t>
            </w:r>
          </w:p>
          <w:p w14:paraId="28354C55" w14:textId="77777777" w:rsidR="00DE575E" w:rsidRDefault="002E7560">
            <w:pPr>
              <w:pStyle w:val="TableParagraph"/>
              <w:spacing w:line="222" w:lineRule="exact"/>
              <w:ind w:left="239" w:right="230"/>
              <w:jc w:val="center"/>
              <w:rPr>
                <w:b/>
                <w:sz w:val="20"/>
              </w:rPr>
            </w:pPr>
            <w:r>
              <w:rPr>
                <w:b/>
                <w:color w:val="231F20"/>
                <w:sz w:val="20"/>
              </w:rPr>
              <w:t>С. Стеценка</w:t>
            </w:r>
          </w:p>
        </w:tc>
        <w:tc>
          <w:tcPr>
            <w:tcW w:w="4809" w:type="dxa"/>
          </w:tcPr>
          <w:p w14:paraId="1FBE1C77" w14:textId="77777777" w:rsidR="00DE575E" w:rsidRDefault="002E7560">
            <w:pPr>
              <w:pStyle w:val="TableParagraph"/>
              <w:spacing w:before="28" w:line="225" w:lineRule="auto"/>
              <w:ind w:right="43" w:firstLine="283"/>
              <w:jc w:val="both"/>
              <w:rPr>
                <w:sz w:val="20"/>
              </w:rPr>
            </w:pPr>
            <w:r>
              <w:rPr>
                <w:b/>
                <w:color w:val="231F20"/>
                <w:sz w:val="20"/>
              </w:rPr>
              <w:t>Стеценко Семен Григорович</w:t>
            </w:r>
            <w:r>
              <w:rPr>
                <w:color w:val="231F20"/>
                <w:sz w:val="20"/>
              </w:rPr>
              <w:t>, доктор юридич- них</w:t>
            </w:r>
            <w:r>
              <w:rPr>
                <w:color w:val="231F20"/>
                <w:spacing w:val="-14"/>
                <w:sz w:val="20"/>
              </w:rPr>
              <w:t xml:space="preserve"> </w:t>
            </w:r>
            <w:r>
              <w:rPr>
                <w:color w:val="231F20"/>
                <w:sz w:val="20"/>
              </w:rPr>
              <w:t>наук,</w:t>
            </w:r>
            <w:r>
              <w:rPr>
                <w:color w:val="231F20"/>
                <w:spacing w:val="-14"/>
                <w:sz w:val="20"/>
              </w:rPr>
              <w:t xml:space="preserve"> </w:t>
            </w:r>
            <w:r>
              <w:rPr>
                <w:color w:val="231F20"/>
                <w:sz w:val="20"/>
              </w:rPr>
              <w:t>професор,</w:t>
            </w:r>
            <w:r>
              <w:rPr>
                <w:color w:val="231F20"/>
                <w:spacing w:val="-14"/>
                <w:sz w:val="20"/>
              </w:rPr>
              <w:t xml:space="preserve"> </w:t>
            </w:r>
            <w:r>
              <w:rPr>
                <w:color w:val="231F20"/>
                <w:sz w:val="20"/>
              </w:rPr>
              <w:t>заслужений</w:t>
            </w:r>
            <w:r>
              <w:rPr>
                <w:color w:val="231F20"/>
                <w:spacing w:val="-14"/>
                <w:sz w:val="20"/>
              </w:rPr>
              <w:t xml:space="preserve"> </w:t>
            </w:r>
            <w:r>
              <w:rPr>
                <w:color w:val="231F20"/>
                <w:sz w:val="20"/>
              </w:rPr>
              <w:t>д</w:t>
            </w:r>
            <w:r>
              <w:rPr>
                <w:color w:val="231F20"/>
                <w:sz w:val="20"/>
              </w:rPr>
              <w:t>іяч</w:t>
            </w:r>
            <w:r>
              <w:rPr>
                <w:color w:val="231F20"/>
                <w:spacing w:val="-14"/>
                <w:sz w:val="20"/>
              </w:rPr>
              <w:t xml:space="preserve"> </w:t>
            </w:r>
            <w:r>
              <w:rPr>
                <w:color w:val="231F20"/>
                <w:sz w:val="20"/>
              </w:rPr>
              <w:t>науки</w:t>
            </w:r>
            <w:r>
              <w:rPr>
                <w:color w:val="231F20"/>
                <w:spacing w:val="-14"/>
                <w:sz w:val="20"/>
              </w:rPr>
              <w:t xml:space="preserve"> </w:t>
            </w:r>
            <w:r>
              <w:rPr>
                <w:color w:val="231F20"/>
                <w:sz w:val="20"/>
              </w:rPr>
              <w:t>і</w:t>
            </w:r>
            <w:r>
              <w:rPr>
                <w:color w:val="231F20"/>
                <w:spacing w:val="-14"/>
                <w:sz w:val="20"/>
              </w:rPr>
              <w:t xml:space="preserve"> </w:t>
            </w:r>
            <w:r>
              <w:rPr>
                <w:color w:val="231F20"/>
                <w:sz w:val="20"/>
              </w:rPr>
              <w:t xml:space="preserve">техніки </w:t>
            </w:r>
            <w:r>
              <w:rPr>
                <w:color w:val="231F20"/>
                <w:spacing w:val="-3"/>
                <w:sz w:val="20"/>
              </w:rPr>
              <w:t xml:space="preserve">України, </w:t>
            </w:r>
            <w:r>
              <w:rPr>
                <w:color w:val="231F20"/>
                <w:sz w:val="20"/>
              </w:rPr>
              <w:t xml:space="preserve">член-кореспондент Національної академії правових наук </w:t>
            </w:r>
            <w:r>
              <w:rPr>
                <w:color w:val="231F20"/>
                <w:spacing w:val="-3"/>
                <w:sz w:val="20"/>
              </w:rPr>
              <w:t xml:space="preserve">України, суддя </w:t>
            </w:r>
            <w:r>
              <w:rPr>
                <w:color w:val="231F20"/>
                <w:sz w:val="20"/>
              </w:rPr>
              <w:t>Верховного</w:t>
            </w:r>
            <w:r>
              <w:rPr>
                <w:color w:val="231F20"/>
                <w:spacing w:val="-1"/>
                <w:sz w:val="20"/>
              </w:rPr>
              <w:t xml:space="preserve"> </w:t>
            </w:r>
            <w:r>
              <w:rPr>
                <w:color w:val="231F20"/>
                <w:spacing w:val="-3"/>
                <w:sz w:val="20"/>
              </w:rPr>
              <w:t>суду;</w:t>
            </w:r>
          </w:p>
          <w:p w14:paraId="5B56D4ED" w14:textId="77777777" w:rsidR="00DE575E" w:rsidRDefault="002E7560">
            <w:pPr>
              <w:pStyle w:val="TableParagraph"/>
              <w:spacing w:line="225" w:lineRule="auto"/>
              <w:ind w:right="44" w:firstLine="283"/>
              <w:jc w:val="both"/>
              <w:rPr>
                <w:sz w:val="20"/>
              </w:rPr>
            </w:pPr>
            <w:r>
              <w:rPr>
                <w:b/>
                <w:color w:val="231F20"/>
                <w:sz w:val="20"/>
              </w:rPr>
              <w:t>Ковальчук Андрій Трохимович</w:t>
            </w:r>
            <w:r>
              <w:rPr>
                <w:color w:val="231F20"/>
                <w:sz w:val="20"/>
              </w:rPr>
              <w:t>, доктор юридичних наук, професор, академік Академії АПН, професор кафедри правосуддя Державного універ- ситету ін</w:t>
            </w:r>
            <w:r>
              <w:rPr>
                <w:color w:val="231F20"/>
                <w:sz w:val="20"/>
              </w:rPr>
              <w:t>фраструктури і технологій;</w:t>
            </w:r>
          </w:p>
          <w:p w14:paraId="2D335DD1" w14:textId="77777777" w:rsidR="00DE575E" w:rsidRDefault="002E7560">
            <w:pPr>
              <w:pStyle w:val="TableParagraph"/>
              <w:spacing w:line="225" w:lineRule="auto"/>
              <w:ind w:right="45" w:firstLine="283"/>
              <w:jc w:val="both"/>
              <w:rPr>
                <w:sz w:val="20"/>
              </w:rPr>
            </w:pPr>
            <w:r>
              <w:rPr>
                <w:b/>
                <w:color w:val="231F20"/>
                <w:sz w:val="20"/>
              </w:rPr>
              <w:t>Шопіна Ірина Миколаївна</w:t>
            </w:r>
            <w:r>
              <w:rPr>
                <w:color w:val="231F20"/>
                <w:sz w:val="20"/>
              </w:rPr>
              <w:t>, докторка юридич- них наук, професорка, академік Академії АПН, професорка кафедри адміністративно-правових дисциплін Львівського державного університету внутрішніх справ;</w:t>
            </w:r>
          </w:p>
          <w:p w14:paraId="26A2ECF9" w14:textId="77777777" w:rsidR="00DE575E" w:rsidRDefault="002E7560">
            <w:pPr>
              <w:pStyle w:val="TableParagraph"/>
              <w:tabs>
                <w:tab w:val="left" w:pos="1506"/>
                <w:tab w:val="left" w:pos="2821"/>
                <w:tab w:val="left" w:pos="3914"/>
              </w:tabs>
              <w:spacing w:line="225" w:lineRule="auto"/>
              <w:ind w:right="44" w:firstLine="283"/>
              <w:jc w:val="right"/>
              <w:rPr>
                <w:sz w:val="20"/>
              </w:rPr>
            </w:pPr>
            <w:r>
              <w:rPr>
                <w:b/>
                <w:color w:val="231F20"/>
                <w:spacing w:val="-4"/>
                <w:sz w:val="20"/>
              </w:rPr>
              <w:t>Стеценко</w:t>
            </w:r>
            <w:r>
              <w:rPr>
                <w:b/>
                <w:color w:val="231F20"/>
                <w:spacing w:val="-4"/>
                <w:sz w:val="20"/>
              </w:rPr>
              <w:tab/>
            </w:r>
            <w:r>
              <w:rPr>
                <w:b/>
                <w:color w:val="231F20"/>
                <w:spacing w:val="-3"/>
                <w:sz w:val="20"/>
              </w:rPr>
              <w:t>Валентина</w:t>
            </w:r>
            <w:r>
              <w:rPr>
                <w:b/>
                <w:color w:val="231F20"/>
                <w:spacing w:val="-3"/>
                <w:sz w:val="20"/>
              </w:rPr>
              <w:tab/>
            </w:r>
            <w:r>
              <w:rPr>
                <w:b/>
                <w:color w:val="231F20"/>
                <w:sz w:val="20"/>
              </w:rPr>
              <w:t>Юріївна</w:t>
            </w:r>
            <w:r>
              <w:rPr>
                <w:color w:val="231F20"/>
                <w:sz w:val="20"/>
              </w:rPr>
              <w:t>,</w:t>
            </w:r>
            <w:r>
              <w:rPr>
                <w:color w:val="231F20"/>
                <w:sz w:val="20"/>
              </w:rPr>
              <w:tab/>
            </w:r>
            <w:r>
              <w:rPr>
                <w:color w:val="231F20"/>
                <w:spacing w:val="-3"/>
                <w:sz w:val="20"/>
              </w:rPr>
              <w:t xml:space="preserve">докторка юридичних </w:t>
            </w:r>
            <w:r>
              <w:rPr>
                <w:color w:val="231F20"/>
                <w:sz w:val="20"/>
              </w:rPr>
              <w:t>наук, професорка,</w:t>
            </w:r>
            <w:r>
              <w:rPr>
                <w:color w:val="231F20"/>
                <w:spacing w:val="-13"/>
                <w:sz w:val="20"/>
              </w:rPr>
              <w:t xml:space="preserve"> </w:t>
            </w:r>
            <w:r>
              <w:rPr>
                <w:color w:val="231F20"/>
                <w:spacing w:val="-3"/>
                <w:sz w:val="20"/>
              </w:rPr>
              <w:t>завідувачка</w:t>
            </w:r>
            <w:r>
              <w:rPr>
                <w:color w:val="231F20"/>
                <w:spacing w:val="22"/>
                <w:sz w:val="20"/>
              </w:rPr>
              <w:t xml:space="preserve"> </w:t>
            </w:r>
            <w:r>
              <w:rPr>
                <w:color w:val="231F20"/>
                <w:spacing w:val="-3"/>
                <w:sz w:val="20"/>
              </w:rPr>
              <w:t>кафедри галузевих юридичних</w:t>
            </w:r>
            <w:r>
              <w:rPr>
                <w:color w:val="231F20"/>
                <w:spacing w:val="31"/>
                <w:sz w:val="20"/>
              </w:rPr>
              <w:t xml:space="preserve"> </w:t>
            </w:r>
            <w:r>
              <w:rPr>
                <w:color w:val="231F20"/>
                <w:spacing w:val="-3"/>
                <w:sz w:val="20"/>
              </w:rPr>
              <w:t>дисциплін</w:t>
            </w:r>
            <w:r>
              <w:rPr>
                <w:color w:val="231F20"/>
                <w:spacing w:val="35"/>
                <w:sz w:val="20"/>
              </w:rPr>
              <w:t xml:space="preserve"> </w:t>
            </w:r>
            <w:r>
              <w:rPr>
                <w:color w:val="231F20"/>
                <w:sz w:val="20"/>
              </w:rPr>
              <w:t>Національного педагогічного</w:t>
            </w:r>
            <w:r>
              <w:rPr>
                <w:color w:val="231F20"/>
                <w:spacing w:val="-14"/>
                <w:sz w:val="20"/>
              </w:rPr>
              <w:t xml:space="preserve"> </w:t>
            </w:r>
            <w:r>
              <w:rPr>
                <w:color w:val="231F20"/>
                <w:sz w:val="20"/>
              </w:rPr>
              <w:t>університету</w:t>
            </w:r>
            <w:r>
              <w:rPr>
                <w:color w:val="231F20"/>
                <w:spacing w:val="-15"/>
                <w:sz w:val="20"/>
              </w:rPr>
              <w:t xml:space="preserve"> </w:t>
            </w:r>
            <w:r>
              <w:rPr>
                <w:color w:val="231F20"/>
                <w:sz w:val="20"/>
              </w:rPr>
              <w:t>імені</w:t>
            </w:r>
            <w:r>
              <w:rPr>
                <w:color w:val="231F20"/>
                <w:spacing w:val="-14"/>
                <w:sz w:val="20"/>
              </w:rPr>
              <w:t xml:space="preserve"> </w:t>
            </w:r>
            <w:r>
              <w:rPr>
                <w:color w:val="231F20"/>
                <w:spacing w:val="-3"/>
                <w:sz w:val="20"/>
              </w:rPr>
              <w:t>М.П.</w:t>
            </w:r>
            <w:r>
              <w:rPr>
                <w:color w:val="231F20"/>
                <w:spacing w:val="-15"/>
                <w:sz w:val="20"/>
              </w:rPr>
              <w:t xml:space="preserve"> </w:t>
            </w:r>
            <w:r>
              <w:rPr>
                <w:color w:val="231F20"/>
                <w:spacing w:val="-3"/>
                <w:sz w:val="20"/>
              </w:rPr>
              <w:t>Драгоманова;</w:t>
            </w:r>
            <w:r>
              <w:rPr>
                <w:color w:val="231F20"/>
                <w:spacing w:val="-2"/>
                <w:sz w:val="20"/>
              </w:rPr>
              <w:t xml:space="preserve"> </w:t>
            </w:r>
            <w:r>
              <w:rPr>
                <w:b/>
                <w:color w:val="231F20"/>
                <w:sz w:val="20"/>
              </w:rPr>
              <w:t>Джафарова Олена</w:t>
            </w:r>
            <w:r>
              <w:rPr>
                <w:b/>
                <w:color w:val="231F20"/>
                <w:spacing w:val="30"/>
                <w:sz w:val="20"/>
              </w:rPr>
              <w:t xml:space="preserve"> </w:t>
            </w:r>
            <w:r>
              <w:rPr>
                <w:b/>
                <w:color w:val="231F20"/>
                <w:sz w:val="20"/>
              </w:rPr>
              <w:t>В’ячеславівна</w:t>
            </w:r>
            <w:r>
              <w:rPr>
                <w:color w:val="231F20"/>
                <w:sz w:val="20"/>
              </w:rPr>
              <w:t>,</w:t>
            </w:r>
            <w:r>
              <w:rPr>
                <w:color w:val="231F20"/>
                <w:spacing w:val="15"/>
                <w:sz w:val="20"/>
              </w:rPr>
              <w:t xml:space="preserve"> </w:t>
            </w:r>
            <w:r>
              <w:rPr>
                <w:color w:val="231F20"/>
                <w:sz w:val="20"/>
              </w:rPr>
              <w:t>докторка юридичних наук, професорка,</w:t>
            </w:r>
            <w:r>
              <w:rPr>
                <w:color w:val="231F20"/>
                <w:spacing w:val="20"/>
                <w:sz w:val="20"/>
              </w:rPr>
              <w:t xml:space="preserve"> </w:t>
            </w:r>
            <w:r>
              <w:rPr>
                <w:color w:val="231F20"/>
                <w:sz w:val="20"/>
              </w:rPr>
              <w:t>академік</w:t>
            </w:r>
            <w:r>
              <w:rPr>
                <w:color w:val="231F20"/>
                <w:spacing w:val="20"/>
                <w:sz w:val="20"/>
              </w:rPr>
              <w:t xml:space="preserve"> </w:t>
            </w:r>
            <w:r>
              <w:rPr>
                <w:color w:val="231F20"/>
                <w:sz w:val="20"/>
              </w:rPr>
              <w:t>Академії</w:t>
            </w:r>
            <w:r>
              <w:rPr>
                <w:color w:val="231F20"/>
                <w:spacing w:val="-1"/>
                <w:sz w:val="20"/>
              </w:rPr>
              <w:t xml:space="preserve"> </w:t>
            </w:r>
            <w:r>
              <w:rPr>
                <w:color w:val="231F20"/>
                <w:sz w:val="20"/>
              </w:rPr>
              <w:t>АПН професорка кафедри</w:t>
            </w:r>
            <w:r>
              <w:rPr>
                <w:color w:val="231F20"/>
                <w:spacing w:val="-10"/>
                <w:sz w:val="20"/>
              </w:rPr>
              <w:t xml:space="preserve"> </w:t>
            </w:r>
            <w:r>
              <w:rPr>
                <w:color w:val="231F20"/>
                <w:sz w:val="20"/>
              </w:rPr>
              <w:t>адміністративної</w:t>
            </w:r>
            <w:r>
              <w:rPr>
                <w:color w:val="231F20"/>
                <w:spacing w:val="25"/>
                <w:sz w:val="20"/>
              </w:rPr>
              <w:t xml:space="preserve"> </w:t>
            </w:r>
            <w:r>
              <w:rPr>
                <w:color w:val="231F20"/>
                <w:sz w:val="20"/>
              </w:rPr>
              <w:t>діяль- ності поліції Харківського національного</w:t>
            </w:r>
            <w:r>
              <w:rPr>
                <w:color w:val="231F20"/>
                <w:spacing w:val="32"/>
                <w:sz w:val="20"/>
              </w:rPr>
              <w:t xml:space="preserve"> </w:t>
            </w:r>
            <w:r>
              <w:rPr>
                <w:color w:val="231F20"/>
                <w:sz w:val="20"/>
              </w:rPr>
              <w:t>універси-</w:t>
            </w:r>
          </w:p>
          <w:p w14:paraId="5369E253" w14:textId="77777777" w:rsidR="00DE575E" w:rsidRDefault="002E7560">
            <w:pPr>
              <w:pStyle w:val="TableParagraph"/>
              <w:spacing w:line="213" w:lineRule="exact"/>
              <w:rPr>
                <w:sz w:val="20"/>
              </w:rPr>
            </w:pPr>
            <w:r>
              <w:rPr>
                <w:color w:val="231F20"/>
                <w:sz w:val="20"/>
              </w:rPr>
              <w:t>тету внутрішніх справ;</w:t>
            </w:r>
          </w:p>
          <w:p w14:paraId="201C6A23" w14:textId="77777777" w:rsidR="00DE575E" w:rsidRDefault="002E7560">
            <w:pPr>
              <w:pStyle w:val="TableParagraph"/>
              <w:spacing w:before="2" w:line="220" w:lineRule="exact"/>
              <w:ind w:right="45" w:firstLine="283"/>
              <w:jc w:val="both"/>
              <w:rPr>
                <w:sz w:val="20"/>
              </w:rPr>
            </w:pPr>
            <w:r>
              <w:rPr>
                <w:b/>
                <w:color w:val="231F20"/>
                <w:sz w:val="20"/>
              </w:rPr>
              <w:t>Марченко Олеся Володимирівна</w:t>
            </w:r>
            <w:r>
              <w:rPr>
                <w:color w:val="231F20"/>
                <w:sz w:val="20"/>
              </w:rPr>
              <w:t>, кандидатка юридичних наук, доцентка, доцентка кафедри цивільного трудового та господарського права Дніпро</w:t>
            </w:r>
            <w:r>
              <w:rPr>
                <w:color w:val="231F20"/>
                <w:sz w:val="20"/>
              </w:rPr>
              <w:t>вського університету імені Олеся Гончара;</w:t>
            </w:r>
          </w:p>
        </w:tc>
      </w:tr>
    </w:tbl>
    <w:p w14:paraId="65018056" w14:textId="77777777" w:rsidR="00DE575E" w:rsidRDefault="00DE575E">
      <w:pPr>
        <w:pStyle w:val="BodyText"/>
        <w:rPr>
          <w:rFonts w:ascii="AdonisC"/>
          <w:i/>
          <w:sz w:val="18"/>
        </w:rPr>
      </w:pPr>
    </w:p>
    <w:p w14:paraId="05A55044" w14:textId="77777777" w:rsidR="00DE575E" w:rsidRDefault="002E7560">
      <w:pPr>
        <w:spacing w:before="100"/>
        <w:ind w:right="411"/>
        <w:jc w:val="right"/>
        <w:rPr>
          <w:rFonts w:ascii="Times New Roman"/>
          <w:sz w:val="20"/>
        </w:rPr>
      </w:pPr>
      <w:r>
        <w:rPr>
          <w:rFonts w:ascii="Times New Roman"/>
          <w:color w:val="231F20"/>
          <w:w w:val="90"/>
          <w:sz w:val="20"/>
        </w:rPr>
        <w:t>567</w:t>
      </w:r>
    </w:p>
    <w:p w14:paraId="3204FF32"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04BEE76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ABF08EC" w14:textId="419DE464"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2F0D9CE" wp14:editId="6AAB1DAA">
                <wp:extent cx="4140200" cy="6350"/>
                <wp:effectExtent l="0" t="0" r="12700" b="635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2" name="Line 3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A06A52" id="Group_x0020_3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BVCbnp8AgAAlAUAAA4AAAAA&#10;AAAAAAAAAAAALAIAAGRycy9lMm9Eb2MueG1sUEsBAi0AFAAGAAgAAAAhAEynsJDZAAAAAwEAAA8A&#10;AAAAAAAAAAAAAAAA1AQAAGRycy9kb3ducmV2LnhtbFBLBQYAAAAABAAEAPMAAADaBQAAAAA=&#10;">
                <v:line id="Line_x0020_3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IsnMUAAADbAAAADwAAAGRycy9kb3ducmV2LnhtbESP0WrCQBRE3wv+w3IFX4puNFBK6ipF&#10;EMQHbY0fcM3eJqG7d2N2NdGv7wpCH4eZOcPMl7014kqtrx0rmE4SEMSF0zWXCo75evwOwgdkjcYx&#10;KbiRh+Vi8DLHTLuOv+l6CKWIEPYZKqhCaDIpfVGRRT9xDXH0flxrMUTZllK32EW4NXKWJG/SYs1x&#10;ocKGVhUVv4eLVZCfX4P52m9Nl+9PqTydd+n9slNqNOw/P0AE6sN/+NneaAXpDB5f4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AIsnMUAAADbAAAADwAAAAAAAAAA&#10;AAAAAAChAgAAZHJzL2Rvd25yZXYueG1sUEsFBgAAAAAEAAQA+QAAAJMDAAAAAA==&#10;" strokecolor="#231f20" strokeweight=".5pt"/>
                <w10:anchorlock/>
              </v:group>
            </w:pict>
          </mc:Fallback>
        </mc:AlternateContent>
      </w:r>
    </w:p>
    <w:p w14:paraId="7DC5FE4D"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0B1DBA0B" w14:textId="77777777">
        <w:trPr>
          <w:trHeight w:val="2678"/>
        </w:trPr>
        <w:tc>
          <w:tcPr>
            <w:tcW w:w="1701" w:type="dxa"/>
          </w:tcPr>
          <w:p w14:paraId="2FB9D57F" w14:textId="77777777" w:rsidR="00DE575E" w:rsidRDefault="002E7560">
            <w:pPr>
              <w:pStyle w:val="TableParagraph"/>
              <w:spacing w:before="28" w:line="225" w:lineRule="auto"/>
              <w:ind w:left="432" w:right="421"/>
              <w:jc w:val="center"/>
              <w:rPr>
                <w:b/>
                <w:sz w:val="20"/>
              </w:rPr>
            </w:pPr>
            <w:r>
              <w:rPr>
                <w:b/>
                <w:color w:val="231F20"/>
                <w:sz w:val="20"/>
              </w:rPr>
              <w:t>Розділ 8 Глава І заг ред.</w:t>
            </w:r>
          </w:p>
          <w:p w14:paraId="074036FE" w14:textId="77777777" w:rsidR="00DE575E" w:rsidRDefault="002E7560">
            <w:pPr>
              <w:pStyle w:val="TableParagraph"/>
              <w:spacing w:line="222" w:lineRule="exact"/>
              <w:ind w:left="239" w:right="230"/>
              <w:jc w:val="center"/>
              <w:rPr>
                <w:b/>
                <w:sz w:val="20"/>
              </w:rPr>
            </w:pPr>
            <w:r>
              <w:rPr>
                <w:b/>
                <w:color w:val="231F20"/>
                <w:sz w:val="20"/>
              </w:rPr>
              <w:t>С. Стеценка</w:t>
            </w:r>
          </w:p>
        </w:tc>
        <w:tc>
          <w:tcPr>
            <w:tcW w:w="4809" w:type="dxa"/>
          </w:tcPr>
          <w:p w14:paraId="458A572F" w14:textId="77777777" w:rsidR="00DE575E" w:rsidRDefault="002E7560">
            <w:pPr>
              <w:pStyle w:val="TableParagraph"/>
              <w:spacing w:before="28" w:line="225" w:lineRule="auto"/>
              <w:ind w:right="44" w:firstLine="283"/>
              <w:jc w:val="both"/>
              <w:rPr>
                <w:sz w:val="20"/>
              </w:rPr>
            </w:pPr>
            <w:r>
              <w:rPr>
                <w:b/>
                <w:color w:val="231F20"/>
                <w:sz w:val="20"/>
              </w:rPr>
              <w:t>Риженко Ірина Миколаївна</w:t>
            </w:r>
            <w:r>
              <w:rPr>
                <w:color w:val="231F20"/>
                <w:sz w:val="20"/>
              </w:rPr>
              <w:t>, кандидатка юридичних наук, доцентка, членкиня-кореспон- дентка Академії АПН, завідувачка кафедри адмі- ністративного і господарського права та право- охоро</w:t>
            </w:r>
            <w:r>
              <w:rPr>
                <w:color w:val="231F20"/>
                <w:sz w:val="20"/>
              </w:rPr>
              <w:t>нної діяльності Херсонського державного університету;</w:t>
            </w:r>
          </w:p>
          <w:p w14:paraId="673F86A8" w14:textId="77777777" w:rsidR="00DE575E" w:rsidRDefault="002E7560">
            <w:pPr>
              <w:pStyle w:val="TableParagraph"/>
              <w:spacing w:before="1" w:line="220" w:lineRule="exact"/>
              <w:ind w:right="45" w:firstLine="283"/>
              <w:jc w:val="both"/>
              <w:rPr>
                <w:sz w:val="20"/>
              </w:rPr>
            </w:pPr>
            <w:r>
              <w:rPr>
                <w:b/>
                <w:color w:val="231F20"/>
                <w:spacing w:val="-6"/>
                <w:sz w:val="20"/>
              </w:rPr>
              <w:t xml:space="preserve">Улютіна </w:t>
            </w:r>
            <w:r>
              <w:rPr>
                <w:b/>
                <w:color w:val="231F20"/>
                <w:sz w:val="20"/>
              </w:rPr>
              <w:t>Олена Анатоліївн</w:t>
            </w:r>
            <w:r>
              <w:rPr>
                <w:color w:val="231F20"/>
                <w:sz w:val="20"/>
              </w:rPr>
              <w:t>а, кандидатка юридичних наук, доцентка, членкиня-кореспон- дентка</w:t>
            </w:r>
            <w:r>
              <w:rPr>
                <w:color w:val="231F20"/>
                <w:spacing w:val="-10"/>
                <w:sz w:val="20"/>
              </w:rPr>
              <w:t xml:space="preserve"> </w:t>
            </w:r>
            <w:r>
              <w:rPr>
                <w:color w:val="231F20"/>
                <w:sz w:val="20"/>
              </w:rPr>
              <w:t>Академії</w:t>
            </w:r>
            <w:r>
              <w:rPr>
                <w:color w:val="231F20"/>
                <w:spacing w:val="-10"/>
                <w:sz w:val="20"/>
              </w:rPr>
              <w:t xml:space="preserve"> </w:t>
            </w:r>
            <w:r>
              <w:rPr>
                <w:color w:val="231F20"/>
                <w:sz w:val="20"/>
              </w:rPr>
              <w:t>АПН</w:t>
            </w:r>
            <w:r>
              <w:rPr>
                <w:color w:val="231F20"/>
                <w:spacing w:val="-10"/>
                <w:sz w:val="20"/>
              </w:rPr>
              <w:t xml:space="preserve"> </w:t>
            </w:r>
            <w:r>
              <w:rPr>
                <w:color w:val="231F20"/>
                <w:sz w:val="20"/>
              </w:rPr>
              <w:t>доцентка</w:t>
            </w:r>
            <w:r>
              <w:rPr>
                <w:color w:val="231F20"/>
                <w:spacing w:val="-10"/>
                <w:sz w:val="20"/>
              </w:rPr>
              <w:t xml:space="preserve"> </w:t>
            </w:r>
            <w:r>
              <w:rPr>
                <w:color w:val="231F20"/>
                <w:sz w:val="20"/>
              </w:rPr>
              <w:t>кафедри</w:t>
            </w:r>
            <w:r>
              <w:rPr>
                <w:color w:val="231F20"/>
                <w:spacing w:val="-10"/>
                <w:sz w:val="20"/>
              </w:rPr>
              <w:t xml:space="preserve"> </w:t>
            </w:r>
            <w:r>
              <w:rPr>
                <w:color w:val="231F20"/>
                <w:sz w:val="20"/>
              </w:rPr>
              <w:t>адміністра- тивного та фінансового права юридичного факуль- тету Національного уні</w:t>
            </w:r>
            <w:r>
              <w:rPr>
                <w:color w:val="231F20"/>
                <w:sz w:val="20"/>
              </w:rPr>
              <w:t>верситету біоресурсів та природокористування</w:t>
            </w:r>
            <w:r>
              <w:rPr>
                <w:color w:val="231F20"/>
                <w:spacing w:val="-2"/>
                <w:sz w:val="20"/>
              </w:rPr>
              <w:t xml:space="preserve"> </w:t>
            </w:r>
            <w:r>
              <w:rPr>
                <w:color w:val="231F20"/>
                <w:spacing w:val="-3"/>
                <w:sz w:val="20"/>
              </w:rPr>
              <w:t>України.</w:t>
            </w:r>
          </w:p>
        </w:tc>
      </w:tr>
      <w:tr w:rsidR="00DE575E" w14:paraId="7CC124CC" w14:textId="77777777">
        <w:trPr>
          <w:trHeight w:val="7298"/>
        </w:trPr>
        <w:tc>
          <w:tcPr>
            <w:tcW w:w="1701" w:type="dxa"/>
          </w:tcPr>
          <w:p w14:paraId="0E76F7C3" w14:textId="77777777" w:rsidR="00DE575E" w:rsidRDefault="002E7560">
            <w:pPr>
              <w:pStyle w:val="TableParagraph"/>
              <w:spacing w:before="28" w:line="225" w:lineRule="auto"/>
              <w:ind w:left="432" w:right="421"/>
              <w:jc w:val="center"/>
              <w:rPr>
                <w:b/>
                <w:sz w:val="20"/>
              </w:rPr>
            </w:pPr>
            <w:r>
              <w:rPr>
                <w:b/>
                <w:color w:val="231F20"/>
                <w:sz w:val="20"/>
              </w:rPr>
              <w:t>Розділ 9 Глава І заг ред.</w:t>
            </w:r>
          </w:p>
          <w:p w14:paraId="050BBD6C" w14:textId="77777777" w:rsidR="00DE575E" w:rsidRDefault="002E7560">
            <w:pPr>
              <w:pStyle w:val="TableParagraph"/>
              <w:spacing w:line="222" w:lineRule="exact"/>
              <w:ind w:left="52" w:right="43"/>
              <w:jc w:val="center"/>
              <w:rPr>
                <w:b/>
                <w:sz w:val="20"/>
              </w:rPr>
            </w:pPr>
            <w:r>
              <w:rPr>
                <w:b/>
                <w:color w:val="231F20"/>
                <w:sz w:val="20"/>
              </w:rPr>
              <w:t>Л. Коваленко</w:t>
            </w:r>
          </w:p>
        </w:tc>
        <w:tc>
          <w:tcPr>
            <w:tcW w:w="4809" w:type="dxa"/>
          </w:tcPr>
          <w:p w14:paraId="2E6E99F3" w14:textId="77777777" w:rsidR="00DE575E" w:rsidRDefault="002E7560">
            <w:pPr>
              <w:pStyle w:val="TableParagraph"/>
              <w:tabs>
                <w:tab w:val="left" w:pos="456"/>
                <w:tab w:val="left" w:pos="1679"/>
                <w:tab w:val="left" w:pos="2673"/>
                <w:tab w:val="left" w:pos="3389"/>
                <w:tab w:val="left" w:pos="3900"/>
              </w:tabs>
              <w:spacing w:before="28" w:line="225" w:lineRule="auto"/>
              <w:ind w:right="43" w:firstLine="283"/>
              <w:jc w:val="right"/>
              <w:rPr>
                <w:sz w:val="20"/>
              </w:rPr>
            </w:pPr>
            <w:r>
              <w:rPr>
                <w:b/>
                <w:color w:val="231F20"/>
                <w:sz w:val="20"/>
              </w:rPr>
              <w:t>Коваленко</w:t>
            </w:r>
            <w:r>
              <w:rPr>
                <w:b/>
                <w:color w:val="231F20"/>
                <w:sz w:val="20"/>
              </w:rPr>
              <w:tab/>
              <w:t>Лариса</w:t>
            </w:r>
            <w:r>
              <w:rPr>
                <w:b/>
                <w:color w:val="231F20"/>
                <w:sz w:val="20"/>
              </w:rPr>
              <w:tab/>
              <w:t>Павлівна</w:t>
            </w:r>
            <w:r>
              <w:rPr>
                <w:color w:val="231F20"/>
                <w:sz w:val="20"/>
              </w:rPr>
              <w:t>,</w:t>
            </w:r>
            <w:r>
              <w:rPr>
                <w:color w:val="231F20"/>
                <w:sz w:val="20"/>
              </w:rPr>
              <w:tab/>
            </w:r>
            <w:r>
              <w:rPr>
                <w:color w:val="231F20"/>
                <w:spacing w:val="-1"/>
                <w:sz w:val="20"/>
              </w:rPr>
              <w:t xml:space="preserve">докторка </w:t>
            </w:r>
            <w:r>
              <w:rPr>
                <w:color w:val="231F20"/>
                <w:sz w:val="20"/>
              </w:rPr>
              <w:t>юридичних наук, професорка,</w:t>
            </w:r>
            <w:r>
              <w:rPr>
                <w:color w:val="231F20"/>
                <w:spacing w:val="20"/>
                <w:sz w:val="20"/>
              </w:rPr>
              <w:t xml:space="preserve"> </w:t>
            </w:r>
            <w:r>
              <w:rPr>
                <w:color w:val="231F20"/>
                <w:sz w:val="20"/>
              </w:rPr>
              <w:t>академік</w:t>
            </w:r>
            <w:r>
              <w:rPr>
                <w:color w:val="231F20"/>
                <w:spacing w:val="20"/>
                <w:sz w:val="20"/>
              </w:rPr>
              <w:t xml:space="preserve"> </w:t>
            </w:r>
            <w:r>
              <w:rPr>
                <w:color w:val="231F20"/>
                <w:sz w:val="20"/>
              </w:rPr>
              <w:t>Академії</w:t>
            </w:r>
            <w:r>
              <w:rPr>
                <w:color w:val="231F20"/>
                <w:spacing w:val="-1"/>
                <w:sz w:val="20"/>
              </w:rPr>
              <w:t xml:space="preserve"> </w:t>
            </w:r>
            <w:r>
              <w:rPr>
                <w:color w:val="231F20"/>
                <w:sz w:val="20"/>
              </w:rPr>
              <w:t>АПН професорка кафедри</w:t>
            </w:r>
            <w:r>
              <w:rPr>
                <w:color w:val="231F20"/>
                <w:spacing w:val="-6"/>
                <w:sz w:val="20"/>
              </w:rPr>
              <w:t xml:space="preserve"> </w:t>
            </w:r>
            <w:r>
              <w:rPr>
                <w:color w:val="231F20"/>
                <w:sz w:val="20"/>
              </w:rPr>
              <w:t>адміністративного</w:t>
            </w:r>
            <w:r>
              <w:rPr>
                <w:color w:val="231F20"/>
                <w:spacing w:val="-2"/>
                <w:sz w:val="20"/>
              </w:rPr>
              <w:t xml:space="preserve"> </w:t>
            </w:r>
            <w:r>
              <w:rPr>
                <w:color w:val="231F20"/>
                <w:sz w:val="20"/>
              </w:rPr>
              <w:t>права</w:t>
            </w:r>
            <w:r>
              <w:rPr>
                <w:color w:val="231F20"/>
                <w:spacing w:val="-1"/>
                <w:sz w:val="20"/>
              </w:rPr>
              <w:t xml:space="preserve"> </w:t>
            </w:r>
            <w:r>
              <w:rPr>
                <w:color w:val="231F20"/>
                <w:sz w:val="20"/>
              </w:rPr>
              <w:t>та</w:t>
            </w:r>
            <w:r>
              <w:rPr>
                <w:color w:val="231F20"/>
                <w:sz w:val="20"/>
              </w:rPr>
              <w:tab/>
              <w:t xml:space="preserve">адміністративної   </w:t>
            </w:r>
            <w:r>
              <w:rPr>
                <w:color w:val="231F20"/>
                <w:spacing w:val="7"/>
                <w:sz w:val="20"/>
              </w:rPr>
              <w:t xml:space="preserve"> </w:t>
            </w:r>
            <w:r>
              <w:rPr>
                <w:color w:val="231F20"/>
                <w:sz w:val="20"/>
              </w:rPr>
              <w:t>діяльності</w:t>
            </w:r>
            <w:r>
              <w:rPr>
                <w:color w:val="231F20"/>
                <w:sz w:val="20"/>
              </w:rPr>
              <w:tab/>
              <w:t>Національного юридичного університету імені</w:t>
            </w:r>
            <w:r>
              <w:rPr>
                <w:color w:val="231F20"/>
                <w:spacing w:val="-19"/>
                <w:sz w:val="20"/>
              </w:rPr>
              <w:t xml:space="preserve"> </w:t>
            </w:r>
            <w:r>
              <w:rPr>
                <w:color w:val="231F20"/>
                <w:sz w:val="20"/>
              </w:rPr>
              <w:t>Ярослава</w:t>
            </w:r>
            <w:r>
              <w:rPr>
                <w:color w:val="231F20"/>
                <w:spacing w:val="-6"/>
                <w:sz w:val="20"/>
              </w:rPr>
              <w:t xml:space="preserve"> </w:t>
            </w:r>
            <w:r>
              <w:rPr>
                <w:color w:val="231F20"/>
                <w:sz w:val="20"/>
              </w:rPr>
              <w:t xml:space="preserve">Мудрого; </w:t>
            </w:r>
            <w:r>
              <w:rPr>
                <w:b/>
                <w:color w:val="231F20"/>
                <w:sz w:val="20"/>
              </w:rPr>
              <w:t>Сопілко Ірина Миколаївна</w:t>
            </w:r>
            <w:r>
              <w:rPr>
                <w:color w:val="231F20"/>
                <w:sz w:val="20"/>
              </w:rPr>
              <w:t>,</w:t>
            </w:r>
            <w:r>
              <w:rPr>
                <w:color w:val="231F20"/>
                <w:spacing w:val="1"/>
                <w:sz w:val="20"/>
              </w:rPr>
              <w:t xml:space="preserve"> </w:t>
            </w:r>
            <w:r>
              <w:rPr>
                <w:color w:val="231F20"/>
                <w:sz w:val="20"/>
              </w:rPr>
              <w:t>докторка</w:t>
            </w:r>
            <w:r>
              <w:rPr>
                <w:color w:val="231F20"/>
                <w:spacing w:val="15"/>
                <w:sz w:val="20"/>
              </w:rPr>
              <w:t xml:space="preserve"> </w:t>
            </w:r>
            <w:r>
              <w:rPr>
                <w:color w:val="231F20"/>
                <w:sz w:val="20"/>
              </w:rPr>
              <w:t>юридич- них наук, професорка, академік</w:t>
            </w:r>
            <w:r>
              <w:rPr>
                <w:color w:val="231F20"/>
                <w:spacing w:val="41"/>
                <w:sz w:val="20"/>
              </w:rPr>
              <w:t xml:space="preserve"> </w:t>
            </w:r>
            <w:r>
              <w:rPr>
                <w:color w:val="231F20"/>
                <w:sz w:val="20"/>
              </w:rPr>
              <w:t>Академії</w:t>
            </w:r>
            <w:r>
              <w:rPr>
                <w:color w:val="231F20"/>
                <w:spacing w:val="20"/>
                <w:sz w:val="20"/>
              </w:rPr>
              <w:t xml:space="preserve"> </w:t>
            </w:r>
            <w:r>
              <w:rPr>
                <w:color w:val="231F20"/>
                <w:sz w:val="20"/>
              </w:rPr>
              <w:t>АПН</w:t>
            </w:r>
            <w:r>
              <w:rPr>
                <w:color w:val="231F20"/>
                <w:spacing w:val="-1"/>
                <w:sz w:val="20"/>
              </w:rPr>
              <w:t xml:space="preserve"> </w:t>
            </w:r>
            <w:r>
              <w:rPr>
                <w:color w:val="231F20"/>
                <w:sz w:val="20"/>
              </w:rPr>
              <w:t>деканка юридичного факультету</w:t>
            </w:r>
            <w:r>
              <w:rPr>
                <w:color w:val="231F20"/>
                <w:spacing w:val="23"/>
                <w:sz w:val="20"/>
              </w:rPr>
              <w:t xml:space="preserve"> </w:t>
            </w:r>
            <w:r>
              <w:rPr>
                <w:color w:val="231F20"/>
                <w:sz w:val="20"/>
              </w:rPr>
              <w:t>Національного</w:t>
            </w:r>
          </w:p>
          <w:p w14:paraId="6414BE37" w14:textId="77777777" w:rsidR="00DE575E" w:rsidRDefault="002E7560">
            <w:pPr>
              <w:pStyle w:val="TableParagraph"/>
              <w:spacing w:line="213" w:lineRule="exact"/>
              <w:rPr>
                <w:sz w:val="20"/>
              </w:rPr>
            </w:pPr>
            <w:r>
              <w:rPr>
                <w:color w:val="231F20"/>
                <w:sz w:val="20"/>
              </w:rPr>
              <w:t>авіаційного університету;</w:t>
            </w:r>
          </w:p>
          <w:p w14:paraId="0AD23400" w14:textId="77777777" w:rsidR="00DE575E" w:rsidRDefault="002E7560">
            <w:pPr>
              <w:pStyle w:val="TableParagraph"/>
              <w:spacing w:before="4" w:line="225" w:lineRule="auto"/>
              <w:ind w:right="45" w:firstLine="283"/>
              <w:jc w:val="both"/>
              <w:rPr>
                <w:sz w:val="20"/>
              </w:rPr>
            </w:pPr>
            <w:r>
              <w:rPr>
                <w:b/>
                <w:color w:val="231F20"/>
                <w:sz w:val="20"/>
              </w:rPr>
              <w:t>Пихтін Микола Порфирович</w:t>
            </w:r>
            <w:r>
              <w:rPr>
                <w:color w:val="231F20"/>
                <w:sz w:val="20"/>
              </w:rPr>
              <w:t>, доктор юри</w:t>
            </w:r>
            <w:r>
              <w:rPr>
                <w:color w:val="231F20"/>
                <w:sz w:val="20"/>
              </w:rPr>
              <w:t>дич- них наук, професор, академік Академії АПН, завід- увач кафедри правознавства Відкритого міжнарод- ного університету розвитку людини «Україна»;</w:t>
            </w:r>
          </w:p>
          <w:p w14:paraId="3D21ACAE" w14:textId="77777777" w:rsidR="00DE575E" w:rsidRDefault="002E7560">
            <w:pPr>
              <w:pStyle w:val="TableParagraph"/>
              <w:spacing w:line="225" w:lineRule="auto"/>
              <w:ind w:right="44" w:firstLine="283"/>
              <w:jc w:val="both"/>
              <w:rPr>
                <w:sz w:val="20"/>
              </w:rPr>
            </w:pPr>
            <w:r>
              <w:rPr>
                <w:b/>
                <w:color w:val="231F20"/>
                <w:sz w:val="20"/>
              </w:rPr>
              <w:t>Беззубов Дмитро Олександрович</w:t>
            </w:r>
            <w:r>
              <w:rPr>
                <w:color w:val="231F20"/>
                <w:sz w:val="20"/>
              </w:rPr>
              <w:t>, доктор юридичних наук, професор, академік Академії АПН, професор кафедри конституційного та адмініст- ративного права Державного університету інфра- структури та технологій;</w:t>
            </w:r>
          </w:p>
          <w:p w14:paraId="4FEA7064" w14:textId="77777777" w:rsidR="00DE575E" w:rsidRDefault="002E7560">
            <w:pPr>
              <w:pStyle w:val="TableParagraph"/>
              <w:spacing w:line="225" w:lineRule="auto"/>
              <w:ind w:right="39" w:firstLine="283"/>
              <w:jc w:val="both"/>
              <w:rPr>
                <w:sz w:val="20"/>
              </w:rPr>
            </w:pPr>
            <w:r>
              <w:rPr>
                <w:b/>
                <w:color w:val="231F20"/>
                <w:sz w:val="20"/>
              </w:rPr>
              <w:t>Замрига Артур Вікторович</w:t>
            </w:r>
            <w:r>
              <w:rPr>
                <w:color w:val="231F20"/>
                <w:sz w:val="20"/>
              </w:rPr>
              <w:t xml:space="preserve">, кандидат </w:t>
            </w:r>
            <w:r>
              <w:rPr>
                <w:color w:val="231F20"/>
                <w:spacing w:val="1"/>
                <w:sz w:val="20"/>
              </w:rPr>
              <w:t xml:space="preserve">еконо- мічних наук, </w:t>
            </w:r>
            <w:r>
              <w:rPr>
                <w:color w:val="231F20"/>
                <w:sz w:val="20"/>
              </w:rPr>
              <w:t xml:space="preserve">доцент, </w:t>
            </w:r>
            <w:r>
              <w:rPr>
                <w:color w:val="231F20"/>
                <w:spacing w:val="1"/>
                <w:sz w:val="20"/>
              </w:rPr>
              <w:t>член-кореспондент</w:t>
            </w:r>
            <w:r>
              <w:rPr>
                <w:color w:val="231F20"/>
                <w:spacing w:val="1"/>
                <w:sz w:val="20"/>
              </w:rPr>
              <w:t xml:space="preserve"> </w:t>
            </w:r>
            <w:r>
              <w:rPr>
                <w:color w:val="231F20"/>
                <w:sz w:val="20"/>
              </w:rPr>
              <w:t xml:space="preserve">Академії АПН, доцент кафедри </w:t>
            </w:r>
            <w:r>
              <w:rPr>
                <w:color w:val="231F20"/>
                <w:spacing w:val="1"/>
                <w:sz w:val="20"/>
              </w:rPr>
              <w:t xml:space="preserve">підприємницького </w:t>
            </w:r>
            <w:r>
              <w:rPr>
                <w:color w:val="231F20"/>
                <w:sz w:val="20"/>
              </w:rPr>
              <w:t xml:space="preserve">і корпо- </w:t>
            </w:r>
            <w:r>
              <w:rPr>
                <w:color w:val="231F20"/>
                <w:spacing w:val="1"/>
                <w:sz w:val="20"/>
              </w:rPr>
              <w:t xml:space="preserve">ративного </w:t>
            </w:r>
            <w:r>
              <w:rPr>
                <w:color w:val="231F20"/>
                <w:sz w:val="20"/>
              </w:rPr>
              <w:t xml:space="preserve">права ДВНЗ </w:t>
            </w:r>
            <w:r>
              <w:rPr>
                <w:color w:val="231F20"/>
                <w:spacing w:val="1"/>
                <w:sz w:val="20"/>
              </w:rPr>
              <w:t xml:space="preserve">Київського  національ- ного економічного університету імені Вадима </w:t>
            </w:r>
            <w:r>
              <w:rPr>
                <w:color w:val="231F20"/>
                <w:sz w:val="20"/>
              </w:rPr>
              <w:t>Гетьмана;</w:t>
            </w:r>
          </w:p>
          <w:p w14:paraId="6FE69CB8" w14:textId="77777777" w:rsidR="00DE575E" w:rsidRDefault="002E7560">
            <w:pPr>
              <w:pStyle w:val="TableParagraph"/>
              <w:spacing w:line="225" w:lineRule="auto"/>
              <w:ind w:right="45" w:firstLine="283"/>
              <w:jc w:val="both"/>
              <w:rPr>
                <w:sz w:val="20"/>
              </w:rPr>
            </w:pPr>
            <w:r>
              <w:rPr>
                <w:b/>
                <w:color w:val="231F20"/>
                <w:sz w:val="20"/>
              </w:rPr>
              <w:t>Полочення Алла Борисівна</w:t>
            </w:r>
            <w:r>
              <w:rPr>
                <w:color w:val="231F20"/>
                <w:sz w:val="20"/>
              </w:rPr>
              <w:t>, членкиня-корес- пондентка</w:t>
            </w:r>
            <w:r>
              <w:rPr>
                <w:color w:val="231F20"/>
                <w:spacing w:val="-15"/>
                <w:sz w:val="20"/>
              </w:rPr>
              <w:t xml:space="preserve"> </w:t>
            </w:r>
            <w:r>
              <w:rPr>
                <w:color w:val="231F20"/>
                <w:sz w:val="20"/>
              </w:rPr>
              <w:t>Академії</w:t>
            </w:r>
            <w:r>
              <w:rPr>
                <w:color w:val="231F20"/>
                <w:spacing w:val="-15"/>
                <w:sz w:val="20"/>
              </w:rPr>
              <w:t xml:space="preserve"> </w:t>
            </w:r>
            <w:r>
              <w:rPr>
                <w:color w:val="231F20"/>
                <w:sz w:val="20"/>
              </w:rPr>
              <w:t>АПН,</w:t>
            </w:r>
            <w:r>
              <w:rPr>
                <w:color w:val="231F20"/>
                <w:spacing w:val="-15"/>
                <w:sz w:val="20"/>
              </w:rPr>
              <w:t xml:space="preserve"> </w:t>
            </w:r>
            <w:r>
              <w:rPr>
                <w:color w:val="231F20"/>
                <w:sz w:val="20"/>
              </w:rPr>
              <w:t>доцентка</w:t>
            </w:r>
            <w:r>
              <w:rPr>
                <w:color w:val="231F20"/>
                <w:spacing w:val="-15"/>
                <w:sz w:val="20"/>
              </w:rPr>
              <w:t xml:space="preserve"> </w:t>
            </w:r>
            <w:r>
              <w:rPr>
                <w:color w:val="231F20"/>
                <w:sz w:val="20"/>
              </w:rPr>
              <w:t>кафедри</w:t>
            </w:r>
            <w:r>
              <w:rPr>
                <w:color w:val="231F20"/>
                <w:spacing w:val="-15"/>
                <w:sz w:val="20"/>
              </w:rPr>
              <w:t xml:space="preserve"> </w:t>
            </w:r>
            <w:r>
              <w:rPr>
                <w:color w:val="231F20"/>
                <w:sz w:val="20"/>
              </w:rPr>
              <w:t>правоз- навство Від</w:t>
            </w:r>
            <w:r>
              <w:rPr>
                <w:color w:val="231F20"/>
                <w:sz w:val="20"/>
              </w:rPr>
              <w:t>критого міжнародного університету розвитку людини</w:t>
            </w:r>
            <w:r>
              <w:rPr>
                <w:color w:val="231F20"/>
                <w:spacing w:val="-4"/>
                <w:sz w:val="20"/>
              </w:rPr>
              <w:t xml:space="preserve"> </w:t>
            </w:r>
            <w:r>
              <w:rPr>
                <w:color w:val="231F20"/>
                <w:sz w:val="20"/>
              </w:rPr>
              <w:t>«Україна»;</w:t>
            </w:r>
          </w:p>
          <w:p w14:paraId="7D172A5D" w14:textId="77777777" w:rsidR="00DE575E" w:rsidRDefault="002E7560">
            <w:pPr>
              <w:pStyle w:val="TableParagraph"/>
              <w:spacing w:line="220" w:lineRule="exact"/>
              <w:ind w:right="44" w:firstLine="283"/>
              <w:jc w:val="both"/>
              <w:rPr>
                <w:sz w:val="20"/>
              </w:rPr>
            </w:pPr>
            <w:r>
              <w:rPr>
                <w:b/>
                <w:color w:val="231F20"/>
                <w:sz w:val="20"/>
              </w:rPr>
              <w:t>Циганок</w:t>
            </w:r>
            <w:r>
              <w:rPr>
                <w:b/>
                <w:color w:val="231F20"/>
                <w:spacing w:val="-22"/>
                <w:sz w:val="20"/>
              </w:rPr>
              <w:t xml:space="preserve"> </w:t>
            </w:r>
            <w:r>
              <w:rPr>
                <w:b/>
                <w:color w:val="231F20"/>
                <w:sz w:val="20"/>
              </w:rPr>
              <w:t>Сергій</w:t>
            </w:r>
            <w:r>
              <w:rPr>
                <w:b/>
                <w:color w:val="231F20"/>
                <w:spacing w:val="-22"/>
                <w:sz w:val="20"/>
              </w:rPr>
              <w:t xml:space="preserve"> </w:t>
            </w:r>
            <w:r>
              <w:rPr>
                <w:b/>
                <w:color w:val="231F20"/>
                <w:sz w:val="20"/>
              </w:rPr>
              <w:t>Васильович</w:t>
            </w:r>
            <w:r>
              <w:rPr>
                <w:color w:val="231F20"/>
                <w:sz w:val="20"/>
              </w:rPr>
              <w:t>,</w:t>
            </w:r>
            <w:r>
              <w:rPr>
                <w:color w:val="231F20"/>
                <w:spacing w:val="-22"/>
                <w:sz w:val="20"/>
              </w:rPr>
              <w:t xml:space="preserve"> </w:t>
            </w:r>
            <w:r>
              <w:rPr>
                <w:color w:val="231F20"/>
                <w:sz w:val="20"/>
              </w:rPr>
              <w:t>кандидат</w:t>
            </w:r>
            <w:r>
              <w:rPr>
                <w:color w:val="231F20"/>
                <w:spacing w:val="-22"/>
                <w:sz w:val="20"/>
              </w:rPr>
              <w:t xml:space="preserve"> </w:t>
            </w:r>
            <w:r>
              <w:rPr>
                <w:color w:val="231F20"/>
                <w:sz w:val="20"/>
              </w:rPr>
              <w:t>юридич- них наук, член-кореспондент Академії АПН, профе- сор кафедри адміністративного і господарського права та правоохоронної діяльності Херсонського державн</w:t>
            </w:r>
            <w:r>
              <w:rPr>
                <w:color w:val="231F20"/>
                <w:sz w:val="20"/>
              </w:rPr>
              <w:t>ого</w:t>
            </w:r>
            <w:r>
              <w:rPr>
                <w:color w:val="231F20"/>
                <w:spacing w:val="-1"/>
                <w:sz w:val="20"/>
              </w:rPr>
              <w:t xml:space="preserve"> </w:t>
            </w:r>
            <w:r>
              <w:rPr>
                <w:color w:val="231F20"/>
                <w:sz w:val="20"/>
              </w:rPr>
              <w:t>університету;</w:t>
            </w:r>
          </w:p>
        </w:tc>
      </w:tr>
    </w:tbl>
    <w:p w14:paraId="18AD9F6C" w14:textId="77777777" w:rsidR="00DE575E" w:rsidRDefault="00DE575E">
      <w:pPr>
        <w:pStyle w:val="BodyText"/>
        <w:rPr>
          <w:rFonts w:ascii="AdonisC"/>
          <w:i/>
          <w:sz w:val="18"/>
        </w:rPr>
      </w:pPr>
    </w:p>
    <w:p w14:paraId="57C9A8B5" w14:textId="77777777" w:rsidR="00DE575E" w:rsidRDefault="002E7560">
      <w:pPr>
        <w:spacing w:before="100"/>
        <w:ind w:left="533"/>
        <w:rPr>
          <w:rFonts w:ascii="Times New Roman"/>
          <w:sz w:val="20"/>
        </w:rPr>
      </w:pPr>
      <w:r>
        <w:rPr>
          <w:rFonts w:ascii="Times New Roman"/>
          <w:color w:val="231F20"/>
          <w:sz w:val="20"/>
        </w:rPr>
        <w:t>568</w:t>
      </w:r>
    </w:p>
    <w:p w14:paraId="6E5A039D" w14:textId="77777777" w:rsidR="00DE575E" w:rsidRDefault="00DE575E">
      <w:pPr>
        <w:rPr>
          <w:rFonts w:ascii="Times New Roman"/>
          <w:sz w:val="20"/>
        </w:rPr>
        <w:sectPr w:rsidR="00DE575E">
          <w:pgSz w:w="8510" w:h="12760"/>
          <w:pgMar w:top="660" w:right="720" w:bottom="280" w:left="600" w:header="720" w:footer="720" w:gutter="0"/>
          <w:cols w:space="720"/>
        </w:sectPr>
      </w:pPr>
    </w:p>
    <w:p w14:paraId="0E499267" w14:textId="77777777" w:rsidR="00DE575E" w:rsidRDefault="002E7560">
      <w:pPr>
        <w:spacing w:before="72" w:after="9"/>
        <w:ind w:right="411"/>
        <w:jc w:val="right"/>
        <w:rPr>
          <w:rFonts w:ascii="AdonisC" w:hAnsi="AdonisC"/>
          <w:i/>
          <w:sz w:val="18"/>
        </w:rPr>
      </w:pPr>
      <w:r>
        <w:rPr>
          <w:rFonts w:ascii="AdonisC" w:hAnsi="AdonisC"/>
          <w:i/>
          <w:color w:val="231F20"/>
          <w:sz w:val="18"/>
        </w:rPr>
        <w:t>Відомості про авторів</w:t>
      </w:r>
    </w:p>
    <w:p w14:paraId="37823057" w14:textId="1311239C"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732B582B" wp14:editId="6E281742">
                <wp:extent cx="4140200" cy="6350"/>
                <wp:effectExtent l="0" t="0" r="12700" b="6350"/>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30" name="Line 2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43E714" id="Group_x0020_2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znqpwfQIAAJQFAAAOAAAA&#10;AAAAAAAAAAAAACwCAABkcnMvZTJvRG9jLnhtbFBLAQItABQABgAIAAAAIQBMp7CQ2QAAAAMBAAAP&#10;AAAAAAAAAAAAAAAAANUEAABkcnMvZG93bnJldi54bWxQSwUGAAAAAAQABADzAAAA2wUAAAAA&#10;">
                <v:line id="Line_x0020_2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5wXcMIAAADbAAAADwAAAGRycy9kb3ducmV2LnhtbERP3WrCMBS+H/gO4Qi7GTN1hSGdUUQQ&#10;xAvdWh/g2Jy1ZclJbaKtPv1yIXj58f3Pl4M14kqdbxwrmE4SEMSl0w1XCo7F5n0GwgdkjcYxKbiR&#10;h+Vi9DLHTLuef+iah0rEEPYZKqhDaDMpfVmTRT9xLXHkfl1nMUTYVVJ32Mdwa+RHknxKiw3Hhhpb&#10;WtdU/uUXq6A4vwXzfdiZvjicUnk679P7Za/U63hYfYEINISn+OHeagVpXB+/xB8g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5wXcMIAAADbAAAADwAAAAAAAAAAAAAA&#10;AAChAgAAZHJzL2Rvd25yZXYueG1sUEsFBgAAAAAEAAQA+QAAAJADAAAAAA==&#10;" strokecolor="#231f20" strokeweight=".5pt"/>
                <w10:anchorlock/>
              </v:group>
            </w:pict>
          </mc:Fallback>
        </mc:AlternateContent>
      </w:r>
    </w:p>
    <w:p w14:paraId="188558EB"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220CCDBB" w14:textId="77777777">
        <w:trPr>
          <w:trHeight w:val="3641"/>
        </w:trPr>
        <w:tc>
          <w:tcPr>
            <w:tcW w:w="1701" w:type="dxa"/>
          </w:tcPr>
          <w:p w14:paraId="4EB0E4A5" w14:textId="77777777" w:rsidR="00DE575E" w:rsidRDefault="002E7560">
            <w:pPr>
              <w:pStyle w:val="TableParagraph"/>
              <w:spacing w:before="36" w:line="230" w:lineRule="auto"/>
              <w:ind w:left="432" w:right="421"/>
              <w:jc w:val="center"/>
              <w:rPr>
                <w:b/>
                <w:sz w:val="20"/>
              </w:rPr>
            </w:pPr>
            <w:r>
              <w:rPr>
                <w:b/>
                <w:color w:val="231F20"/>
                <w:sz w:val="20"/>
              </w:rPr>
              <w:t>Розділ 9 Глава І заг ред.</w:t>
            </w:r>
          </w:p>
          <w:p w14:paraId="73406D66" w14:textId="77777777" w:rsidR="00DE575E" w:rsidRDefault="002E7560">
            <w:pPr>
              <w:pStyle w:val="TableParagraph"/>
              <w:spacing w:line="224" w:lineRule="exact"/>
              <w:ind w:left="52" w:right="43"/>
              <w:jc w:val="center"/>
              <w:rPr>
                <w:b/>
                <w:sz w:val="20"/>
              </w:rPr>
            </w:pPr>
            <w:r>
              <w:rPr>
                <w:b/>
                <w:color w:val="231F20"/>
                <w:sz w:val="20"/>
              </w:rPr>
              <w:t>Л. Коваленко</w:t>
            </w:r>
          </w:p>
        </w:tc>
        <w:tc>
          <w:tcPr>
            <w:tcW w:w="4809" w:type="dxa"/>
          </w:tcPr>
          <w:p w14:paraId="09B1CBA2" w14:textId="77777777" w:rsidR="00DE575E" w:rsidRDefault="002E7560">
            <w:pPr>
              <w:pStyle w:val="TableParagraph"/>
              <w:spacing w:before="36" w:line="230" w:lineRule="auto"/>
              <w:ind w:right="44" w:firstLine="283"/>
              <w:jc w:val="both"/>
              <w:rPr>
                <w:sz w:val="20"/>
              </w:rPr>
            </w:pPr>
            <w:r>
              <w:rPr>
                <w:b/>
                <w:color w:val="231F20"/>
                <w:sz w:val="20"/>
              </w:rPr>
              <w:t>Галунько Андрій Валентинович</w:t>
            </w:r>
            <w:r>
              <w:rPr>
                <w:color w:val="231F20"/>
                <w:sz w:val="20"/>
              </w:rPr>
              <w:t>, кандидат юридичних наук, член-кореспондент Академії АПН старший науковий співробітник Науково-дослід- ного інституту морського і космічного права;</w:t>
            </w:r>
          </w:p>
          <w:p w14:paraId="04DDB6C9" w14:textId="77777777" w:rsidR="00DE575E" w:rsidRDefault="002E7560">
            <w:pPr>
              <w:pStyle w:val="TableParagraph"/>
              <w:spacing w:line="230" w:lineRule="auto"/>
              <w:ind w:right="43" w:firstLine="283"/>
              <w:jc w:val="both"/>
              <w:rPr>
                <w:sz w:val="20"/>
              </w:rPr>
            </w:pPr>
            <w:r>
              <w:rPr>
                <w:b/>
                <w:color w:val="231F20"/>
                <w:sz w:val="20"/>
              </w:rPr>
              <w:t>Мар</w:t>
            </w:r>
            <w:r>
              <w:rPr>
                <w:b/>
                <w:color w:val="231F20"/>
                <w:sz w:val="20"/>
              </w:rPr>
              <w:t>ченкова Світлана Олександрівна</w:t>
            </w:r>
            <w:r>
              <w:rPr>
                <w:color w:val="231F20"/>
                <w:sz w:val="20"/>
              </w:rPr>
              <w:t>, канди- датка юридичних наук, членкиня-кореспондентка Академії АПН, докторантка Науково-дослідного інституту публічного права;</w:t>
            </w:r>
          </w:p>
          <w:p w14:paraId="48B9E196" w14:textId="77777777" w:rsidR="00DE575E" w:rsidRDefault="002E7560">
            <w:pPr>
              <w:pStyle w:val="TableParagraph"/>
              <w:spacing w:line="230" w:lineRule="auto"/>
              <w:ind w:right="44" w:firstLine="283"/>
              <w:jc w:val="both"/>
              <w:rPr>
                <w:sz w:val="20"/>
              </w:rPr>
            </w:pPr>
            <w:r>
              <w:rPr>
                <w:b/>
                <w:color w:val="231F20"/>
                <w:spacing w:val="-4"/>
                <w:sz w:val="20"/>
              </w:rPr>
              <w:t xml:space="preserve">Тополя   </w:t>
            </w:r>
            <w:r>
              <w:rPr>
                <w:b/>
                <w:color w:val="231F20"/>
                <w:sz w:val="20"/>
              </w:rPr>
              <w:t>Руслан    Володимирович</w:t>
            </w:r>
            <w:r>
              <w:rPr>
                <w:color w:val="231F20"/>
                <w:sz w:val="20"/>
              </w:rPr>
              <w:t xml:space="preserve">,    канди- дат юридичних наук, </w:t>
            </w:r>
            <w:r>
              <w:rPr>
                <w:color w:val="231F20"/>
                <w:spacing w:val="-3"/>
                <w:sz w:val="20"/>
              </w:rPr>
              <w:t xml:space="preserve">доцент, </w:t>
            </w:r>
            <w:r>
              <w:rPr>
                <w:color w:val="231F20"/>
                <w:sz w:val="20"/>
              </w:rPr>
              <w:t>член-кореспондент Академії</w:t>
            </w:r>
            <w:r>
              <w:rPr>
                <w:color w:val="231F20"/>
                <w:sz w:val="20"/>
              </w:rPr>
              <w:t xml:space="preserve"> АПН докторант Науково-дослідного</w:t>
            </w:r>
            <w:r>
              <w:rPr>
                <w:color w:val="231F20"/>
                <w:spacing w:val="-22"/>
                <w:sz w:val="20"/>
              </w:rPr>
              <w:t xml:space="preserve"> </w:t>
            </w:r>
            <w:r>
              <w:rPr>
                <w:color w:val="231F20"/>
                <w:sz w:val="20"/>
              </w:rPr>
              <w:t>інсти- туту публічного</w:t>
            </w:r>
            <w:r>
              <w:rPr>
                <w:color w:val="231F20"/>
                <w:spacing w:val="-1"/>
                <w:sz w:val="20"/>
              </w:rPr>
              <w:t xml:space="preserve"> </w:t>
            </w:r>
            <w:r>
              <w:rPr>
                <w:color w:val="231F20"/>
                <w:sz w:val="20"/>
              </w:rPr>
              <w:t>права.</w:t>
            </w:r>
          </w:p>
          <w:p w14:paraId="1E10038C" w14:textId="77777777" w:rsidR="00DE575E" w:rsidRDefault="002E7560">
            <w:pPr>
              <w:pStyle w:val="TableParagraph"/>
              <w:spacing w:line="230" w:lineRule="auto"/>
              <w:ind w:right="43" w:firstLine="283"/>
              <w:jc w:val="both"/>
              <w:rPr>
                <w:sz w:val="20"/>
              </w:rPr>
            </w:pPr>
            <w:r>
              <w:rPr>
                <w:b/>
                <w:color w:val="231F20"/>
                <w:spacing w:val="-3"/>
                <w:sz w:val="20"/>
              </w:rPr>
              <w:t xml:space="preserve">Васильченко </w:t>
            </w:r>
            <w:r>
              <w:rPr>
                <w:b/>
                <w:color w:val="231F20"/>
                <w:sz w:val="20"/>
              </w:rPr>
              <w:t>Наталя Олександрівна</w:t>
            </w:r>
            <w:r>
              <w:rPr>
                <w:color w:val="231F20"/>
                <w:sz w:val="20"/>
              </w:rPr>
              <w:t xml:space="preserve">, аспі- рантка Науково-дослідного інституту публічного права, </w:t>
            </w:r>
            <w:r>
              <w:rPr>
                <w:color w:val="231F20"/>
                <w:spacing w:val="-3"/>
                <w:sz w:val="20"/>
              </w:rPr>
              <w:t xml:space="preserve">суддя </w:t>
            </w:r>
            <w:r>
              <w:rPr>
                <w:color w:val="231F20"/>
                <w:sz w:val="20"/>
              </w:rPr>
              <w:t xml:space="preserve">Новобузького районного </w:t>
            </w:r>
            <w:r>
              <w:rPr>
                <w:color w:val="231F20"/>
                <w:spacing w:val="-3"/>
                <w:sz w:val="20"/>
              </w:rPr>
              <w:t xml:space="preserve">суду </w:t>
            </w:r>
            <w:r>
              <w:rPr>
                <w:color w:val="231F20"/>
                <w:sz w:val="20"/>
              </w:rPr>
              <w:t>Микола-</w:t>
            </w:r>
          </w:p>
          <w:p w14:paraId="6764D358" w14:textId="77777777" w:rsidR="00DE575E" w:rsidRDefault="002E7560">
            <w:pPr>
              <w:pStyle w:val="TableParagraph"/>
              <w:spacing w:line="222" w:lineRule="exact"/>
              <w:rPr>
                <w:sz w:val="20"/>
              </w:rPr>
            </w:pPr>
            <w:r>
              <w:rPr>
                <w:color w:val="231F20"/>
                <w:sz w:val="20"/>
              </w:rPr>
              <w:t>ївської області.</w:t>
            </w:r>
          </w:p>
        </w:tc>
      </w:tr>
      <w:tr w:rsidR="00DE575E" w14:paraId="33DAE142" w14:textId="77777777">
        <w:trPr>
          <w:trHeight w:val="3865"/>
        </w:trPr>
        <w:tc>
          <w:tcPr>
            <w:tcW w:w="1701" w:type="dxa"/>
          </w:tcPr>
          <w:p w14:paraId="603D54F3" w14:textId="77777777" w:rsidR="00DE575E" w:rsidRDefault="002E7560">
            <w:pPr>
              <w:pStyle w:val="TableParagraph"/>
              <w:spacing w:before="36" w:line="230" w:lineRule="auto"/>
              <w:ind w:left="418" w:right="407" w:firstLine="83"/>
              <w:jc w:val="both"/>
              <w:rPr>
                <w:b/>
                <w:sz w:val="20"/>
              </w:rPr>
            </w:pPr>
            <w:r>
              <w:rPr>
                <w:b/>
                <w:color w:val="231F20"/>
                <w:sz w:val="20"/>
              </w:rPr>
              <w:t xml:space="preserve">Книга I </w:t>
            </w:r>
            <w:r>
              <w:rPr>
                <w:b/>
                <w:color w:val="231F20"/>
                <w:spacing w:val="-6"/>
                <w:sz w:val="20"/>
              </w:rPr>
              <w:t xml:space="preserve">Глава </w:t>
            </w:r>
            <w:r>
              <w:rPr>
                <w:b/>
                <w:color w:val="231F20"/>
                <w:sz w:val="20"/>
              </w:rPr>
              <w:t xml:space="preserve">ІІ за ред. </w:t>
            </w:r>
            <w:r>
              <w:rPr>
                <w:b/>
                <w:color w:val="231F20"/>
                <w:spacing w:val="-3"/>
                <w:sz w:val="20"/>
              </w:rPr>
              <w:t>О.</w:t>
            </w:r>
          </w:p>
          <w:p w14:paraId="2BF0DC33" w14:textId="77777777" w:rsidR="00DE575E" w:rsidRDefault="002E7560">
            <w:pPr>
              <w:pStyle w:val="TableParagraph"/>
              <w:spacing w:line="230" w:lineRule="auto"/>
              <w:ind w:left="163" w:right="152" w:firstLine="1"/>
              <w:jc w:val="center"/>
              <w:rPr>
                <w:b/>
                <w:sz w:val="20"/>
              </w:rPr>
            </w:pPr>
            <w:r>
              <w:rPr>
                <w:b/>
                <w:color w:val="231F20"/>
                <w:sz w:val="20"/>
              </w:rPr>
              <w:t>Хамходери (крім розділів 5, 6)</w:t>
            </w:r>
          </w:p>
        </w:tc>
        <w:tc>
          <w:tcPr>
            <w:tcW w:w="4809" w:type="dxa"/>
          </w:tcPr>
          <w:p w14:paraId="523C55E9" w14:textId="77777777" w:rsidR="00DE575E" w:rsidRDefault="002E7560">
            <w:pPr>
              <w:pStyle w:val="TableParagraph"/>
              <w:spacing w:before="36" w:line="230" w:lineRule="auto"/>
              <w:ind w:right="43" w:firstLine="283"/>
              <w:jc w:val="both"/>
              <w:rPr>
                <w:sz w:val="20"/>
              </w:rPr>
            </w:pPr>
            <w:r>
              <w:rPr>
                <w:b/>
                <w:color w:val="231F20"/>
                <w:sz w:val="20"/>
              </w:rPr>
              <w:t>Хамходера Олег Петрович</w:t>
            </w:r>
            <w:r>
              <w:rPr>
                <w:color w:val="231F20"/>
                <w:sz w:val="20"/>
              </w:rPr>
              <w:t>, кандидат юридич- них   наук,    доцент    кафедри    адміністративного і фінансового права Національного</w:t>
            </w:r>
            <w:r>
              <w:rPr>
                <w:color w:val="231F20"/>
                <w:spacing w:val="21"/>
                <w:sz w:val="20"/>
              </w:rPr>
              <w:t xml:space="preserve"> </w:t>
            </w:r>
            <w:r>
              <w:rPr>
                <w:color w:val="231F20"/>
                <w:sz w:val="20"/>
              </w:rPr>
              <w:t>університету</w:t>
            </w:r>
          </w:p>
          <w:p w14:paraId="6FB8AD20" w14:textId="77777777" w:rsidR="00DE575E" w:rsidRDefault="002E7560">
            <w:pPr>
              <w:pStyle w:val="TableParagraph"/>
              <w:spacing w:line="218" w:lineRule="exact"/>
              <w:rPr>
                <w:sz w:val="20"/>
              </w:rPr>
            </w:pPr>
            <w:r>
              <w:rPr>
                <w:color w:val="231F20"/>
                <w:sz w:val="20"/>
              </w:rPr>
              <w:t>«Одеська юридична академія»;</w:t>
            </w:r>
          </w:p>
          <w:p w14:paraId="1AD68A88" w14:textId="77777777" w:rsidR="00DE575E" w:rsidRDefault="002E7560">
            <w:pPr>
              <w:pStyle w:val="TableParagraph"/>
              <w:spacing w:before="2" w:line="230" w:lineRule="auto"/>
              <w:ind w:right="44" w:firstLine="283"/>
              <w:jc w:val="both"/>
              <w:rPr>
                <w:sz w:val="20"/>
              </w:rPr>
            </w:pPr>
            <w:r>
              <w:rPr>
                <w:b/>
                <w:color w:val="231F20"/>
                <w:sz w:val="20"/>
              </w:rPr>
              <w:t>Бойчук Андрій Юрійович</w:t>
            </w:r>
            <w:r>
              <w:rPr>
                <w:color w:val="231F20"/>
                <w:sz w:val="20"/>
              </w:rPr>
              <w:t>, доктор юридичних наук, професор кафедри державознавства та права Одеського регіонального інституту державного управлінні НАДУ, суддя Приморського районного суду міста Одеси;</w:t>
            </w:r>
          </w:p>
          <w:p w14:paraId="338D3815" w14:textId="77777777" w:rsidR="00DE575E" w:rsidRDefault="002E7560">
            <w:pPr>
              <w:pStyle w:val="TableParagraph"/>
              <w:spacing w:line="230" w:lineRule="auto"/>
              <w:ind w:right="43" w:firstLine="283"/>
              <w:jc w:val="both"/>
              <w:rPr>
                <w:sz w:val="20"/>
              </w:rPr>
            </w:pPr>
            <w:r>
              <w:rPr>
                <w:b/>
                <w:color w:val="231F20"/>
                <w:sz w:val="20"/>
              </w:rPr>
              <w:t>Корнута Людмила Михайлівна</w:t>
            </w:r>
            <w:r>
              <w:rPr>
                <w:color w:val="231F20"/>
                <w:sz w:val="20"/>
              </w:rPr>
              <w:t>, кандидатка юридичних</w:t>
            </w:r>
            <w:r>
              <w:rPr>
                <w:color w:val="231F20"/>
                <w:spacing w:val="-14"/>
                <w:sz w:val="20"/>
              </w:rPr>
              <w:t xml:space="preserve"> </w:t>
            </w:r>
            <w:r>
              <w:rPr>
                <w:color w:val="231F20"/>
                <w:sz w:val="20"/>
              </w:rPr>
              <w:t>наук,</w:t>
            </w:r>
            <w:r>
              <w:rPr>
                <w:color w:val="231F20"/>
                <w:spacing w:val="-14"/>
                <w:sz w:val="20"/>
              </w:rPr>
              <w:t xml:space="preserve"> </w:t>
            </w:r>
            <w:r>
              <w:rPr>
                <w:color w:val="231F20"/>
                <w:sz w:val="20"/>
              </w:rPr>
              <w:t>доцентка,</w:t>
            </w:r>
            <w:r>
              <w:rPr>
                <w:color w:val="231F20"/>
                <w:spacing w:val="-14"/>
                <w:sz w:val="20"/>
              </w:rPr>
              <w:t xml:space="preserve"> </w:t>
            </w:r>
            <w:r>
              <w:rPr>
                <w:color w:val="231F20"/>
                <w:sz w:val="20"/>
              </w:rPr>
              <w:t>доцентка</w:t>
            </w:r>
            <w:r>
              <w:rPr>
                <w:color w:val="231F20"/>
                <w:spacing w:val="-14"/>
                <w:sz w:val="20"/>
              </w:rPr>
              <w:t xml:space="preserve"> </w:t>
            </w:r>
            <w:r>
              <w:rPr>
                <w:color w:val="231F20"/>
                <w:sz w:val="20"/>
              </w:rPr>
              <w:t>кафедр</w:t>
            </w:r>
            <w:r>
              <w:rPr>
                <w:color w:val="231F20"/>
                <w:sz w:val="20"/>
              </w:rPr>
              <w:t>и</w:t>
            </w:r>
            <w:r>
              <w:rPr>
                <w:color w:val="231F20"/>
                <w:spacing w:val="-14"/>
                <w:sz w:val="20"/>
              </w:rPr>
              <w:t xml:space="preserve"> </w:t>
            </w:r>
            <w:r>
              <w:rPr>
                <w:color w:val="231F20"/>
                <w:sz w:val="20"/>
              </w:rPr>
              <w:t>адмі- ністративного і фінансового права Національного університету «Одеська юридична</w:t>
            </w:r>
            <w:r>
              <w:rPr>
                <w:color w:val="231F20"/>
                <w:spacing w:val="-5"/>
                <w:sz w:val="20"/>
              </w:rPr>
              <w:t xml:space="preserve"> </w:t>
            </w:r>
            <w:r>
              <w:rPr>
                <w:color w:val="231F20"/>
                <w:sz w:val="20"/>
              </w:rPr>
              <w:t>академія»;</w:t>
            </w:r>
          </w:p>
          <w:p w14:paraId="4BAD4BB4" w14:textId="77777777" w:rsidR="00DE575E" w:rsidRDefault="002E7560">
            <w:pPr>
              <w:pStyle w:val="TableParagraph"/>
              <w:spacing w:line="230" w:lineRule="auto"/>
              <w:ind w:right="45" w:firstLine="283"/>
              <w:jc w:val="both"/>
              <w:rPr>
                <w:sz w:val="20"/>
              </w:rPr>
            </w:pPr>
            <w:r>
              <w:rPr>
                <w:b/>
                <w:color w:val="231F20"/>
                <w:sz w:val="20"/>
              </w:rPr>
              <w:t>Васильківська Вікторія Владиславівна</w:t>
            </w:r>
            <w:r>
              <w:rPr>
                <w:color w:val="231F20"/>
                <w:sz w:val="20"/>
              </w:rPr>
              <w:t>, кандидатка юридичних наук, доцентка кафедри адміністративного і фінансового права Національ-</w:t>
            </w:r>
          </w:p>
          <w:p w14:paraId="523E1C92" w14:textId="77777777" w:rsidR="00DE575E" w:rsidRDefault="002E7560">
            <w:pPr>
              <w:pStyle w:val="TableParagraph"/>
              <w:spacing w:line="222" w:lineRule="exact"/>
              <w:rPr>
                <w:sz w:val="20"/>
              </w:rPr>
            </w:pPr>
            <w:r>
              <w:rPr>
                <w:color w:val="231F20"/>
                <w:sz w:val="20"/>
              </w:rPr>
              <w:t xml:space="preserve">ного університету «Одеська </w:t>
            </w:r>
            <w:r>
              <w:rPr>
                <w:color w:val="231F20"/>
                <w:sz w:val="20"/>
              </w:rPr>
              <w:t>юридична академія».</w:t>
            </w:r>
          </w:p>
        </w:tc>
      </w:tr>
      <w:tr w:rsidR="00DE575E" w14:paraId="3DEB06F0" w14:textId="77777777">
        <w:trPr>
          <w:trHeight w:val="1177"/>
        </w:trPr>
        <w:tc>
          <w:tcPr>
            <w:tcW w:w="1701" w:type="dxa"/>
          </w:tcPr>
          <w:p w14:paraId="6F00811B" w14:textId="77777777" w:rsidR="00DE575E" w:rsidRDefault="002E7560">
            <w:pPr>
              <w:pStyle w:val="TableParagraph"/>
              <w:spacing w:before="36" w:line="230" w:lineRule="auto"/>
              <w:ind w:left="484" w:hanging="177"/>
              <w:rPr>
                <w:b/>
                <w:sz w:val="20"/>
              </w:rPr>
            </w:pPr>
            <w:r>
              <w:rPr>
                <w:b/>
                <w:color w:val="231F20"/>
                <w:sz w:val="20"/>
              </w:rPr>
              <w:t>Розділи 5,6 Книги І Глави ІІ</w:t>
            </w:r>
          </w:p>
        </w:tc>
        <w:tc>
          <w:tcPr>
            <w:tcW w:w="4809" w:type="dxa"/>
          </w:tcPr>
          <w:p w14:paraId="0165EABD" w14:textId="77777777" w:rsidR="00DE575E" w:rsidRDefault="002E7560">
            <w:pPr>
              <w:pStyle w:val="TableParagraph"/>
              <w:spacing w:before="39" w:line="224" w:lineRule="exact"/>
              <w:ind w:right="43" w:firstLine="283"/>
              <w:jc w:val="both"/>
              <w:rPr>
                <w:sz w:val="20"/>
              </w:rPr>
            </w:pPr>
            <w:r>
              <w:rPr>
                <w:b/>
                <w:color w:val="231F20"/>
                <w:sz w:val="20"/>
              </w:rPr>
              <w:t>Гончарук Степан Тихонович</w:t>
            </w:r>
            <w:r>
              <w:rPr>
                <w:color w:val="231F20"/>
                <w:sz w:val="20"/>
              </w:rPr>
              <w:t>, кандидат юридичних наук професор, академік Академії АПН, професор кафедри конституційного і адміністра- тивного права Національного авіаційного універ- ситету.</w:t>
            </w:r>
          </w:p>
        </w:tc>
      </w:tr>
      <w:tr w:rsidR="00DE575E" w14:paraId="19699B62" w14:textId="77777777">
        <w:trPr>
          <w:trHeight w:val="1177"/>
        </w:trPr>
        <w:tc>
          <w:tcPr>
            <w:tcW w:w="1701" w:type="dxa"/>
          </w:tcPr>
          <w:p w14:paraId="7C75FA74" w14:textId="77777777" w:rsidR="00DE575E" w:rsidRDefault="002E7560">
            <w:pPr>
              <w:pStyle w:val="TableParagraph"/>
              <w:spacing w:before="36" w:line="230" w:lineRule="auto"/>
              <w:ind w:left="493" w:right="455" w:hanging="27"/>
              <w:jc w:val="both"/>
              <w:rPr>
                <w:b/>
                <w:sz w:val="20"/>
              </w:rPr>
            </w:pPr>
            <w:r>
              <w:rPr>
                <w:b/>
                <w:color w:val="231F20"/>
                <w:sz w:val="20"/>
              </w:rPr>
              <w:t>Книга</w:t>
            </w:r>
            <w:r>
              <w:rPr>
                <w:b/>
                <w:color w:val="231F20"/>
                <w:spacing w:val="-5"/>
                <w:sz w:val="20"/>
              </w:rPr>
              <w:t xml:space="preserve"> </w:t>
            </w:r>
            <w:r>
              <w:rPr>
                <w:b/>
                <w:color w:val="231F20"/>
                <w:sz w:val="20"/>
              </w:rPr>
              <w:t xml:space="preserve">II </w:t>
            </w:r>
            <w:r>
              <w:rPr>
                <w:b/>
                <w:color w:val="231F20"/>
                <w:spacing w:val="-6"/>
                <w:sz w:val="20"/>
              </w:rPr>
              <w:t xml:space="preserve">Глава </w:t>
            </w:r>
            <w:r>
              <w:rPr>
                <w:b/>
                <w:color w:val="231F20"/>
                <w:sz w:val="20"/>
              </w:rPr>
              <w:t>ІІ за</w:t>
            </w:r>
            <w:r>
              <w:rPr>
                <w:b/>
                <w:color w:val="231F20"/>
                <w:spacing w:val="-3"/>
                <w:sz w:val="20"/>
              </w:rPr>
              <w:t xml:space="preserve"> </w:t>
            </w:r>
            <w:r>
              <w:rPr>
                <w:b/>
                <w:color w:val="231F20"/>
                <w:sz w:val="20"/>
              </w:rPr>
              <w:t>ред.</w:t>
            </w:r>
          </w:p>
          <w:p w14:paraId="55163491" w14:textId="77777777" w:rsidR="00DE575E" w:rsidRDefault="002E7560">
            <w:pPr>
              <w:pStyle w:val="TableParagraph"/>
              <w:spacing w:line="224" w:lineRule="exact"/>
              <w:ind w:left="218"/>
              <w:rPr>
                <w:b/>
                <w:sz w:val="20"/>
              </w:rPr>
            </w:pPr>
            <w:r>
              <w:rPr>
                <w:b/>
                <w:color w:val="231F20"/>
                <w:sz w:val="20"/>
              </w:rPr>
              <w:t>О. Кузьменко</w:t>
            </w:r>
          </w:p>
        </w:tc>
        <w:tc>
          <w:tcPr>
            <w:tcW w:w="4809" w:type="dxa"/>
          </w:tcPr>
          <w:p w14:paraId="4FEB8567" w14:textId="77777777" w:rsidR="00DE575E" w:rsidRDefault="002E7560">
            <w:pPr>
              <w:pStyle w:val="TableParagraph"/>
              <w:spacing w:before="39" w:line="224" w:lineRule="exact"/>
              <w:ind w:right="42" w:firstLine="283"/>
              <w:jc w:val="both"/>
              <w:rPr>
                <w:sz w:val="20"/>
              </w:rPr>
            </w:pPr>
            <w:r>
              <w:rPr>
                <w:b/>
                <w:color w:val="231F20"/>
                <w:sz w:val="20"/>
              </w:rPr>
              <w:t>Кузьменко Оксана Володимирівна</w:t>
            </w:r>
            <w:r>
              <w:rPr>
                <w:color w:val="231F20"/>
                <w:sz w:val="20"/>
              </w:rPr>
              <w:t>, докторка юридичних наук, професорка, академік Академії АПН, заступниця директора Юридичного інсти- туту ДВНЗ «Київський національний економічний університет імені Вадима Гетьмана»;</w:t>
            </w:r>
          </w:p>
        </w:tc>
      </w:tr>
    </w:tbl>
    <w:p w14:paraId="037AC5B6" w14:textId="77777777" w:rsidR="00DE575E" w:rsidRDefault="00DE575E">
      <w:pPr>
        <w:pStyle w:val="BodyText"/>
        <w:rPr>
          <w:rFonts w:ascii="AdonisC"/>
          <w:i/>
          <w:sz w:val="18"/>
        </w:rPr>
      </w:pPr>
    </w:p>
    <w:p w14:paraId="17FF990F" w14:textId="77777777" w:rsidR="00DE575E" w:rsidRDefault="00DE575E">
      <w:pPr>
        <w:pStyle w:val="BodyText"/>
        <w:spacing w:before="3"/>
        <w:rPr>
          <w:rFonts w:ascii="AdonisC"/>
          <w:i/>
          <w:sz w:val="18"/>
        </w:rPr>
      </w:pPr>
    </w:p>
    <w:p w14:paraId="439F81EE" w14:textId="77777777" w:rsidR="00DE575E" w:rsidRDefault="002E7560">
      <w:pPr>
        <w:ind w:right="411"/>
        <w:jc w:val="right"/>
        <w:rPr>
          <w:rFonts w:ascii="Times New Roman"/>
          <w:sz w:val="20"/>
        </w:rPr>
      </w:pPr>
      <w:r>
        <w:rPr>
          <w:rFonts w:ascii="Times New Roman"/>
          <w:color w:val="231F20"/>
          <w:w w:val="90"/>
          <w:sz w:val="20"/>
        </w:rPr>
        <w:t>569</w:t>
      </w:r>
    </w:p>
    <w:p w14:paraId="59486B1D"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4A4227B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66F9FB01" w14:textId="41D2440B"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6C0CF77" wp14:editId="452BF13B">
                <wp:extent cx="4140200" cy="6350"/>
                <wp:effectExtent l="0" t="0" r="12700" b="635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8" name="Line 2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73AFBC" id="Group_x0020_2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a3aiUfQIAAJQFAAAOAAAA&#10;AAAAAAAAAAAAACwCAABkcnMvZTJvRG9jLnhtbFBLAQItABQABgAIAAAAIQBMp7CQ2QAAAAMBAAAP&#10;AAAAAAAAAAAAAAAAANUEAABkcnMvZG93bnJldi54bWxQSwUGAAAAAAQABADzAAAA2wUAAAAA&#10;">
                <v:line id="Line_x0020_2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ONq8EAAADbAAAADwAAAGRycy9kb3ducmV2LnhtbERPzYrCMBC+L/gOYQQvi6YqLFKNIoIg&#10;HnTX+gBjM7bFZFKbaKtPvzks7PHj+1+sOmvEkxpfOVYwHiUgiHOnKy4UnLPtcAbCB2SNxjEpeJGH&#10;1bL3scBUu5Z/6HkKhYgh7FNUUIZQp1L6vCSLfuRq4shdXWMxRNgUUjfYxnBr5CRJvqTFimNDiTVt&#10;Sspvp4dVkN0/g/k+7k2bHS9Tebkfpu/HQalBv1vPQQTqwr/4z73TCiZxbPwSf4Bc/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M42rwQAAANsAAAAPAAAAAAAAAAAAAAAA&#10;AKECAABkcnMvZG93bnJldi54bWxQSwUGAAAAAAQABAD5AAAAjwMAAAAA&#10;" strokecolor="#231f20" strokeweight=".5pt"/>
                <w10:anchorlock/>
              </v:group>
            </w:pict>
          </mc:Fallback>
        </mc:AlternateContent>
      </w:r>
    </w:p>
    <w:p w14:paraId="1F1F54AB"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4809"/>
      </w:tblGrid>
      <w:tr w:rsidR="00DE575E" w14:paraId="7D65DA3B" w14:textId="77777777">
        <w:trPr>
          <w:trHeight w:val="6198"/>
        </w:trPr>
        <w:tc>
          <w:tcPr>
            <w:tcW w:w="1701" w:type="dxa"/>
          </w:tcPr>
          <w:p w14:paraId="0FFFEEE7" w14:textId="77777777" w:rsidR="00DE575E" w:rsidRDefault="002E7560">
            <w:pPr>
              <w:pStyle w:val="TableParagraph"/>
              <w:spacing w:before="28" w:line="225" w:lineRule="auto"/>
              <w:ind w:left="493" w:right="455" w:hanging="27"/>
              <w:jc w:val="both"/>
              <w:rPr>
                <w:b/>
                <w:sz w:val="20"/>
              </w:rPr>
            </w:pPr>
            <w:r>
              <w:rPr>
                <w:b/>
                <w:color w:val="231F20"/>
                <w:sz w:val="20"/>
              </w:rPr>
              <w:t>Книга</w:t>
            </w:r>
            <w:r>
              <w:rPr>
                <w:b/>
                <w:color w:val="231F20"/>
                <w:spacing w:val="-5"/>
                <w:sz w:val="20"/>
              </w:rPr>
              <w:t xml:space="preserve"> </w:t>
            </w:r>
            <w:r>
              <w:rPr>
                <w:b/>
                <w:color w:val="231F20"/>
                <w:sz w:val="20"/>
              </w:rPr>
              <w:t xml:space="preserve">II </w:t>
            </w:r>
            <w:r>
              <w:rPr>
                <w:b/>
                <w:color w:val="231F20"/>
                <w:spacing w:val="-6"/>
                <w:sz w:val="20"/>
              </w:rPr>
              <w:t xml:space="preserve">Глава </w:t>
            </w:r>
            <w:r>
              <w:rPr>
                <w:b/>
                <w:color w:val="231F20"/>
                <w:sz w:val="20"/>
              </w:rPr>
              <w:t>ІІ за</w:t>
            </w:r>
            <w:r>
              <w:rPr>
                <w:b/>
                <w:color w:val="231F20"/>
                <w:spacing w:val="-3"/>
                <w:sz w:val="20"/>
              </w:rPr>
              <w:t xml:space="preserve"> </w:t>
            </w:r>
            <w:r>
              <w:rPr>
                <w:b/>
                <w:color w:val="231F20"/>
                <w:sz w:val="20"/>
              </w:rPr>
              <w:t>ред.</w:t>
            </w:r>
          </w:p>
          <w:p w14:paraId="687CD208" w14:textId="77777777" w:rsidR="00DE575E" w:rsidRDefault="002E7560">
            <w:pPr>
              <w:pStyle w:val="TableParagraph"/>
              <w:spacing w:line="222" w:lineRule="exact"/>
              <w:ind w:left="218"/>
              <w:rPr>
                <w:b/>
                <w:sz w:val="20"/>
              </w:rPr>
            </w:pPr>
            <w:r>
              <w:rPr>
                <w:b/>
                <w:color w:val="231F20"/>
                <w:sz w:val="20"/>
              </w:rPr>
              <w:t>О. Кузьменко</w:t>
            </w:r>
          </w:p>
        </w:tc>
        <w:tc>
          <w:tcPr>
            <w:tcW w:w="4809" w:type="dxa"/>
          </w:tcPr>
          <w:p w14:paraId="17926D00" w14:textId="77777777" w:rsidR="00DE575E" w:rsidRDefault="002E7560">
            <w:pPr>
              <w:pStyle w:val="TableParagraph"/>
              <w:spacing w:before="28" w:line="225" w:lineRule="auto"/>
              <w:ind w:right="42" w:firstLine="283"/>
              <w:jc w:val="both"/>
              <w:rPr>
                <w:sz w:val="20"/>
              </w:rPr>
            </w:pPr>
            <w:r>
              <w:rPr>
                <w:b/>
                <w:color w:val="231F20"/>
                <w:sz w:val="20"/>
              </w:rPr>
              <w:t>Чорна Вікторія Григорівна</w:t>
            </w:r>
            <w:r>
              <w:rPr>
                <w:color w:val="231F20"/>
                <w:sz w:val="20"/>
              </w:rPr>
              <w:t>, докторка юридич- них</w:t>
            </w:r>
            <w:r>
              <w:rPr>
                <w:color w:val="231F20"/>
                <w:spacing w:val="-24"/>
                <w:sz w:val="20"/>
              </w:rPr>
              <w:t xml:space="preserve"> </w:t>
            </w:r>
            <w:r>
              <w:rPr>
                <w:color w:val="231F20"/>
                <w:sz w:val="20"/>
              </w:rPr>
              <w:t>наук,</w:t>
            </w:r>
            <w:r>
              <w:rPr>
                <w:color w:val="231F20"/>
                <w:spacing w:val="-24"/>
                <w:sz w:val="20"/>
              </w:rPr>
              <w:t xml:space="preserve"> </w:t>
            </w:r>
            <w:r>
              <w:rPr>
                <w:color w:val="231F20"/>
                <w:sz w:val="20"/>
              </w:rPr>
              <w:t>доцентка,</w:t>
            </w:r>
            <w:r>
              <w:rPr>
                <w:color w:val="231F20"/>
                <w:spacing w:val="-24"/>
                <w:sz w:val="20"/>
              </w:rPr>
              <w:t xml:space="preserve"> </w:t>
            </w:r>
            <w:r>
              <w:rPr>
                <w:color w:val="231F20"/>
                <w:sz w:val="20"/>
              </w:rPr>
              <w:t>академік</w:t>
            </w:r>
            <w:r>
              <w:rPr>
                <w:color w:val="231F20"/>
                <w:spacing w:val="-24"/>
                <w:sz w:val="20"/>
              </w:rPr>
              <w:t xml:space="preserve"> </w:t>
            </w:r>
            <w:r>
              <w:rPr>
                <w:color w:val="231F20"/>
                <w:sz w:val="20"/>
              </w:rPr>
              <w:t>Академії</w:t>
            </w:r>
            <w:r>
              <w:rPr>
                <w:color w:val="231F20"/>
                <w:spacing w:val="-24"/>
                <w:sz w:val="20"/>
              </w:rPr>
              <w:t xml:space="preserve"> </w:t>
            </w:r>
            <w:r>
              <w:rPr>
                <w:color w:val="231F20"/>
                <w:sz w:val="20"/>
              </w:rPr>
              <w:t>АПН</w:t>
            </w:r>
            <w:r>
              <w:rPr>
                <w:color w:val="231F20"/>
                <w:spacing w:val="-24"/>
                <w:sz w:val="20"/>
              </w:rPr>
              <w:t xml:space="preserve"> </w:t>
            </w:r>
            <w:r>
              <w:rPr>
                <w:color w:val="231F20"/>
                <w:sz w:val="20"/>
              </w:rPr>
              <w:t>доцентка кафедри теорії та історії права Юридичного інсти- туту ДВНЗ «Київський національний економічний університет імені Вадима</w:t>
            </w:r>
            <w:r>
              <w:rPr>
                <w:color w:val="231F20"/>
                <w:spacing w:val="-4"/>
                <w:sz w:val="20"/>
              </w:rPr>
              <w:t xml:space="preserve"> </w:t>
            </w:r>
            <w:r>
              <w:rPr>
                <w:color w:val="231F20"/>
                <w:sz w:val="20"/>
              </w:rPr>
              <w:t>Гетьмана»;</w:t>
            </w:r>
          </w:p>
          <w:p w14:paraId="676C68A6" w14:textId="77777777" w:rsidR="00DE575E" w:rsidRDefault="002E7560">
            <w:pPr>
              <w:pStyle w:val="TableParagraph"/>
              <w:spacing w:line="225" w:lineRule="auto"/>
              <w:ind w:right="44" w:firstLine="283"/>
              <w:jc w:val="both"/>
              <w:rPr>
                <w:sz w:val="20"/>
              </w:rPr>
            </w:pPr>
            <w:r>
              <w:rPr>
                <w:b/>
                <w:color w:val="231F20"/>
                <w:sz w:val="20"/>
              </w:rPr>
              <w:t>Лошицький Михайло Васильович</w:t>
            </w:r>
            <w:r>
              <w:rPr>
                <w:color w:val="231F20"/>
                <w:sz w:val="20"/>
              </w:rPr>
              <w:t>, доктор юридичних наук, професор, академік Академії АПН директор Науково-дослідного ін</w:t>
            </w:r>
            <w:r>
              <w:rPr>
                <w:color w:val="231F20"/>
                <w:sz w:val="20"/>
              </w:rPr>
              <w:t>ституту публіч- ного права;</w:t>
            </w:r>
          </w:p>
          <w:p w14:paraId="44F7855E" w14:textId="77777777" w:rsidR="00DE575E" w:rsidRDefault="002E7560">
            <w:pPr>
              <w:pStyle w:val="TableParagraph"/>
              <w:spacing w:line="225" w:lineRule="auto"/>
              <w:ind w:right="45" w:firstLine="283"/>
              <w:jc w:val="both"/>
              <w:rPr>
                <w:sz w:val="20"/>
              </w:rPr>
            </w:pPr>
            <w:r>
              <w:rPr>
                <w:b/>
                <w:color w:val="231F20"/>
                <w:sz w:val="20"/>
              </w:rPr>
              <w:t>Короєд</w:t>
            </w:r>
            <w:r>
              <w:rPr>
                <w:b/>
                <w:color w:val="231F20"/>
                <w:spacing w:val="-24"/>
                <w:sz w:val="20"/>
              </w:rPr>
              <w:t xml:space="preserve"> </w:t>
            </w:r>
            <w:r>
              <w:rPr>
                <w:b/>
                <w:color w:val="231F20"/>
                <w:sz w:val="20"/>
              </w:rPr>
              <w:t>Сергій</w:t>
            </w:r>
            <w:r>
              <w:rPr>
                <w:b/>
                <w:color w:val="231F20"/>
                <w:spacing w:val="-24"/>
                <w:sz w:val="20"/>
              </w:rPr>
              <w:t xml:space="preserve"> </w:t>
            </w:r>
            <w:r>
              <w:rPr>
                <w:b/>
                <w:color w:val="231F20"/>
                <w:sz w:val="20"/>
              </w:rPr>
              <w:t>Олександрович</w:t>
            </w:r>
            <w:r>
              <w:rPr>
                <w:color w:val="231F20"/>
                <w:sz w:val="20"/>
              </w:rPr>
              <w:t>,</w:t>
            </w:r>
            <w:r>
              <w:rPr>
                <w:color w:val="231F20"/>
                <w:spacing w:val="-24"/>
                <w:sz w:val="20"/>
              </w:rPr>
              <w:t xml:space="preserve"> </w:t>
            </w:r>
            <w:r>
              <w:rPr>
                <w:color w:val="231F20"/>
                <w:sz w:val="20"/>
              </w:rPr>
              <w:t>доктор</w:t>
            </w:r>
            <w:r>
              <w:rPr>
                <w:color w:val="231F20"/>
                <w:spacing w:val="-24"/>
                <w:sz w:val="20"/>
              </w:rPr>
              <w:t xml:space="preserve"> </w:t>
            </w:r>
            <w:r>
              <w:rPr>
                <w:color w:val="231F20"/>
                <w:sz w:val="20"/>
              </w:rPr>
              <w:t xml:space="preserve">юридич- них наук, </w:t>
            </w:r>
            <w:r>
              <w:rPr>
                <w:color w:val="231F20"/>
                <w:spacing w:val="-3"/>
                <w:sz w:val="20"/>
              </w:rPr>
              <w:t xml:space="preserve">доцент, </w:t>
            </w:r>
            <w:r>
              <w:rPr>
                <w:color w:val="231F20"/>
                <w:sz w:val="20"/>
              </w:rPr>
              <w:t>академік Академії АПН завідувач кафедри Університету імені Данила</w:t>
            </w:r>
            <w:r>
              <w:rPr>
                <w:color w:val="231F20"/>
                <w:spacing w:val="-14"/>
                <w:sz w:val="20"/>
              </w:rPr>
              <w:t xml:space="preserve"> </w:t>
            </w:r>
            <w:r>
              <w:rPr>
                <w:color w:val="231F20"/>
                <w:sz w:val="20"/>
              </w:rPr>
              <w:t>Галицького;</w:t>
            </w:r>
          </w:p>
          <w:p w14:paraId="66C4318D" w14:textId="77777777" w:rsidR="00DE575E" w:rsidRDefault="002E7560">
            <w:pPr>
              <w:pStyle w:val="TableParagraph"/>
              <w:spacing w:line="225" w:lineRule="auto"/>
              <w:ind w:right="43" w:firstLine="283"/>
              <w:jc w:val="both"/>
              <w:rPr>
                <w:sz w:val="20"/>
              </w:rPr>
            </w:pPr>
            <w:r>
              <w:rPr>
                <w:b/>
                <w:color w:val="231F20"/>
                <w:sz w:val="20"/>
              </w:rPr>
              <w:t>Кожура Людмила Олександрівна</w:t>
            </w:r>
            <w:r>
              <w:rPr>
                <w:color w:val="231F20"/>
                <w:sz w:val="20"/>
              </w:rPr>
              <w:t>, кандидатка юридичних наук, доцентка, професорка кафедри теорії та історії права Юридичного інституту ДВНЗ</w:t>
            </w:r>
          </w:p>
          <w:p w14:paraId="0FADD63A" w14:textId="77777777" w:rsidR="00DE575E" w:rsidRDefault="002E7560">
            <w:pPr>
              <w:pStyle w:val="TableParagraph"/>
              <w:spacing w:line="225" w:lineRule="auto"/>
              <w:rPr>
                <w:sz w:val="20"/>
              </w:rPr>
            </w:pPr>
            <w:r>
              <w:rPr>
                <w:color w:val="231F20"/>
                <w:sz w:val="20"/>
              </w:rPr>
              <w:t>«Київський національний економічний універси- тет імені Вадима Гетьмана»;</w:t>
            </w:r>
          </w:p>
          <w:p w14:paraId="1B00270B" w14:textId="77777777" w:rsidR="00DE575E" w:rsidRDefault="002E7560">
            <w:pPr>
              <w:pStyle w:val="TableParagraph"/>
              <w:spacing w:line="225" w:lineRule="auto"/>
              <w:ind w:right="45" w:firstLine="283"/>
              <w:jc w:val="both"/>
              <w:rPr>
                <w:sz w:val="20"/>
              </w:rPr>
            </w:pPr>
            <w:r>
              <w:rPr>
                <w:b/>
                <w:color w:val="231F20"/>
                <w:sz w:val="20"/>
              </w:rPr>
              <w:t>Кузьмишин Віталій  Миколайович</w:t>
            </w:r>
            <w:r>
              <w:rPr>
                <w:color w:val="231F20"/>
                <w:sz w:val="20"/>
              </w:rPr>
              <w:t>,  канди- дат юридичних наук, заслужений юри</w:t>
            </w:r>
            <w:r>
              <w:rPr>
                <w:color w:val="231F20"/>
                <w:sz w:val="20"/>
              </w:rPr>
              <w:t xml:space="preserve">ст </w:t>
            </w:r>
            <w:r>
              <w:rPr>
                <w:color w:val="231F20"/>
                <w:spacing w:val="-3"/>
                <w:sz w:val="20"/>
              </w:rPr>
              <w:t xml:space="preserve">України, </w:t>
            </w:r>
            <w:r>
              <w:rPr>
                <w:color w:val="231F20"/>
                <w:sz w:val="20"/>
              </w:rPr>
              <w:t xml:space="preserve">докторант Науково-дослідного інституту публіч- ного права, </w:t>
            </w:r>
            <w:r>
              <w:rPr>
                <w:color w:val="231F20"/>
                <w:spacing w:val="-3"/>
                <w:sz w:val="20"/>
              </w:rPr>
              <w:t xml:space="preserve">Голова </w:t>
            </w:r>
            <w:r>
              <w:rPr>
                <w:color w:val="231F20"/>
                <w:sz w:val="20"/>
              </w:rPr>
              <w:t>Сьомого апеляційного адмініст- ративного</w:t>
            </w:r>
            <w:r>
              <w:rPr>
                <w:color w:val="231F20"/>
                <w:spacing w:val="-1"/>
                <w:sz w:val="20"/>
              </w:rPr>
              <w:t xml:space="preserve"> </w:t>
            </w:r>
            <w:r>
              <w:rPr>
                <w:color w:val="231F20"/>
                <w:spacing w:val="-4"/>
                <w:sz w:val="20"/>
              </w:rPr>
              <w:t>суд;</w:t>
            </w:r>
          </w:p>
          <w:p w14:paraId="6FE69EC5" w14:textId="77777777" w:rsidR="00DE575E" w:rsidRDefault="002E7560">
            <w:pPr>
              <w:pStyle w:val="TableParagraph"/>
              <w:spacing w:line="220" w:lineRule="exact"/>
              <w:ind w:right="45" w:firstLine="283"/>
              <w:jc w:val="both"/>
              <w:rPr>
                <w:sz w:val="20"/>
              </w:rPr>
            </w:pPr>
            <w:r>
              <w:rPr>
                <w:b/>
                <w:color w:val="231F20"/>
                <w:sz w:val="20"/>
              </w:rPr>
              <w:t>Мілієнко Олена Анатоліївна</w:t>
            </w:r>
            <w:r>
              <w:rPr>
                <w:color w:val="231F20"/>
                <w:sz w:val="20"/>
              </w:rPr>
              <w:t>, кандидатка юридичних</w:t>
            </w:r>
            <w:r>
              <w:rPr>
                <w:color w:val="231F20"/>
                <w:spacing w:val="-13"/>
                <w:sz w:val="20"/>
              </w:rPr>
              <w:t xml:space="preserve"> </w:t>
            </w:r>
            <w:r>
              <w:rPr>
                <w:color w:val="231F20"/>
                <w:sz w:val="20"/>
              </w:rPr>
              <w:t>наук,</w:t>
            </w:r>
            <w:r>
              <w:rPr>
                <w:color w:val="231F20"/>
                <w:spacing w:val="-13"/>
                <w:sz w:val="20"/>
              </w:rPr>
              <w:t xml:space="preserve"> </w:t>
            </w:r>
            <w:r>
              <w:rPr>
                <w:color w:val="231F20"/>
                <w:sz w:val="20"/>
              </w:rPr>
              <w:t>керівниця</w:t>
            </w:r>
            <w:r>
              <w:rPr>
                <w:color w:val="231F20"/>
                <w:spacing w:val="-13"/>
                <w:sz w:val="20"/>
              </w:rPr>
              <w:t xml:space="preserve"> </w:t>
            </w:r>
            <w:r>
              <w:rPr>
                <w:color w:val="231F20"/>
                <w:sz w:val="20"/>
              </w:rPr>
              <w:t>апарату</w:t>
            </w:r>
            <w:r>
              <w:rPr>
                <w:color w:val="231F20"/>
                <w:spacing w:val="-13"/>
                <w:sz w:val="20"/>
              </w:rPr>
              <w:t xml:space="preserve"> </w:t>
            </w:r>
            <w:r>
              <w:rPr>
                <w:color w:val="231F20"/>
                <w:sz w:val="20"/>
              </w:rPr>
              <w:t>Сьомого</w:t>
            </w:r>
            <w:r>
              <w:rPr>
                <w:color w:val="231F20"/>
                <w:spacing w:val="-13"/>
                <w:sz w:val="20"/>
              </w:rPr>
              <w:t xml:space="preserve"> </w:t>
            </w:r>
            <w:r>
              <w:rPr>
                <w:color w:val="231F20"/>
                <w:sz w:val="20"/>
              </w:rPr>
              <w:t xml:space="preserve">апеля- ційного адміністративного </w:t>
            </w:r>
            <w:r>
              <w:rPr>
                <w:color w:val="231F20"/>
                <w:spacing w:val="-6"/>
                <w:sz w:val="20"/>
              </w:rPr>
              <w:t xml:space="preserve">суду, </w:t>
            </w:r>
            <w:r>
              <w:rPr>
                <w:color w:val="231F20"/>
                <w:sz w:val="20"/>
              </w:rPr>
              <w:t>доцентка каф</w:t>
            </w:r>
            <w:r>
              <w:rPr>
                <w:color w:val="231F20"/>
                <w:sz w:val="20"/>
              </w:rPr>
              <w:t>едри теорії та історії держави і права та адміністратив- ного права Донецького національного універси- тету ім. Василя</w:t>
            </w:r>
            <w:r>
              <w:rPr>
                <w:color w:val="231F20"/>
                <w:spacing w:val="-3"/>
                <w:sz w:val="20"/>
              </w:rPr>
              <w:t xml:space="preserve"> </w:t>
            </w:r>
            <w:r>
              <w:rPr>
                <w:color w:val="231F20"/>
                <w:sz w:val="20"/>
              </w:rPr>
              <w:t>Стуса.</w:t>
            </w:r>
          </w:p>
        </w:tc>
      </w:tr>
    </w:tbl>
    <w:p w14:paraId="47721493" w14:textId="77777777" w:rsidR="00DE575E" w:rsidRDefault="00DE575E">
      <w:pPr>
        <w:pStyle w:val="BodyText"/>
        <w:rPr>
          <w:rFonts w:ascii="AdonisC"/>
          <w:i/>
          <w:sz w:val="18"/>
        </w:rPr>
      </w:pPr>
    </w:p>
    <w:p w14:paraId="7E8C3114" w14:textId="77777777" w:rsidR="00DE575E" w:rsidRDefault="00DE575E">
      <w:pPr>
        <w:pStyle w:val="BodyText"/>
        <w:rPr>
          <w:rFonts w:ascii="AdonisC"/>
          <w:i/>
          <w:sz w:val="18"/>
        </w:rPr>
      </w:pPr>
    </w:p>
    <w:p w14:paraId="6343B8C3" w14:textId="77777777" w:rsidR="00DE575E" w:rsidRDefault="00DE575E">
      <w:pPr>
        <w:pStyle w:val="BodyText"/>
        <w:rPr>
          <w:rFonts w:ascii="AdonisC"/>
          <w:i/>
          <w:sz w:val="18"/>
        </w:rPr>
      </w:pPr>
    </w:p>
    <w:p w14:paraId="3813EB47" w14:textId="77777777" w:rsidR="00DE575E" w:rsidRDefault="00DE575E">
      <w:pPr>
        <w:pStyle w:val="BodyText"/>
        <w:rPr>
          <w:rFonts w:ascii="AdonisC"/>
          <w:i/>
          <w:sz w:val="18"/>
        </w:rPr>
      </w:pPr>
    </w:p>
    <w:p w14:paraId="6F35E5D8" w14:textId="77777777" w:rsidR="00DE575E" w:rsidRDefault="00DE575E">
      <w:pPr>
        <w:pStyle w:val="BodyText"/>
        <w:rPr>
          <w:rFonts w:ascii="AdonisC"/>
          <w:i/>
          <w:sz w:val="18"/>
        </w:rPr>
      </w:pPr>
    </w:p>
    <w:p w14:paraId="01BF949F" w14:textId="77777777" w:rsidR="00DE575E" w:rsidRDefault="00DE575E">
      <w:pPr>
        <w:pStyle w:val="BodyText"/>
        <w:rPr>
          <w:rFonts w:ascii="AdonisC"/>
          <w:i/>
          <w:sz w:val="18"/>
        </w:rPr>
      </w:pPr>
    </w:p>
    <w:p w14:paraId="2DB542B2" w14:textId="77777777" w:rsidR="00DE575E" w:rsidRDefault="00DE575E">
      <w:pPr>
        <w:pStyle w:val="BodyText"/>
        <w:rPr>
          <w:rFonts w:ascii="AdonisC"/>
          <w:i/>
          <w:sz w:val="18"/>
        </w:rPr>
      </w:pPr>
    </w:p>
    <w:p w14:paraId="1DCC8394" w14:textId="77777777" w:rsidR="00DE575E" w:rsidRDefault="00DE575E">
      <w:pPr>
        <w:pStyle w:val="BodyText"/>
        <w:rPr>
          <w:rFonts w:ascii="AdonisC"/>
          <w:i/>
          <w:sz w:val="18"/>
        </w:rPr>
      </w:pPr>
    </w:p>
    <w:p w14:paraId="49E0983C" w14:textId="77777777" w:rsidR="00DE575E" w:rsidRDefault="00DE575E">
      <w:pPr>
        <w:pStyle w:val="BodyText"/>
        <w:rPr>
          <w:rFonts w:ascii="AdonisC"/>
          <w:i/>
          <w:sz w:val="18"/>
        </w:rPr>
      </w:pPr>
    </w:p>
    <w:p w14:paraId="483D1CF9" w14:textId="77777777" w:rsidR="00DE575E" w:rsidRDefault="00DE575E">
      <w:pPr>
        <w:pStyle w:val="BodyText"/>
        <w:rPr>
          <w:rFonts w:ascii="AdonisC"/>
          <w:i/>
          <w:sz w:val="18"/>
        </w:rPr>
      </w:pPr>
    </w:p>
    <w:p w14:paraId="6B8D5ADD" w14:textId="77777777" w:rsidR="00DE575E" w:rsidRDefault="00DE575E">
      <w:pPr>
        <w:pStyle w:val="BodyText"/>
        <w:rPr>
          <w:rFonts w:ascii="AdonisC"/>
          <w:i/>
          <w:sz w:val="18"/>
        </w:rPr>
      </w:pPr>
    </w:p>
    <w:p w14:paraId="28E3CB65" w14:textId="77777777" w:rsidR="00DE575E" w:rsidRDefault="00DE575E">
      <w:pPr>
        <w:pStyle w:val="BodyText"/>
        <w:rPr>
          <w:rFonts w:ascii="AdonisC"/>
          <w:i/>
          <w:sz w:val="18"/>
        </w:rPr>
      </w:pPr>
    </w:p>
    <w:p w14:paraId="45FEA5F3" w14:textId="77777777" w:rsidR="00DE575E" w:rsidRDefault="00DE575E">
      <w:pPr>
        <w:pStyle w:val="BodyText"/>
        <w:rPr>
          <w:rFonts w:ascii="AdonisC"/>
          <w:i/>
          <w:sz w:val="18"/>
        </w:rPr>
      </w:pPr>
    </w:p>
    <w:p w14:paraId="55314753" w14:textId="77777777" w:rsidR="00DE575E" w:rsidRDefault="00DE575E">
      <w:pPr>
        <w:pStyle w:val="BodyText"/>
        <w:rPr>
          <w:rFonts w:ascii="AdonisC"/>
          <w:i/>
          <w:sz w:val="18"/>
        </w:rPr>
      </w:pPr>
    </w:p>
    <w:p w14:paraId="5E8A1224" w14:textId="77777777" w:rsidR="00DE575E" w:rsidRDefault="00DE575E">
      <w:pPr>
        <w:pStyle w:val="BodyText"/>
        <w:rPr>
          <w:rFonts w:ascii="AdonisC"/>
          <w:i/>
          <w:sz w:val="18"/>
        </w:rPr>
      </w:pPr>
    </w:p>
    <w:p w14:paraId="71E6EADB" w14:textId="77777777" w:rsidR="00DE575E" w:rsidRDefault="00DE575E">
      <w:pPr>
        <w:pStyle w:val="BodyText"/>
        <w:rPr>
          <w:rFonts w:ascii="AdonisC"/>
          <w:i/>
          <w:sz w:val="18"/>
        </w:rPr>
      </w:pPr>
    </w:p>
    <w:p w14:paraId="42CCD675" w14:textId="77777777" w:rsidR="00DE575E" w:rsidRDefault="00DE575E">
      <w:pPr>
        <w:pStyle w:val="BodyText"/>
        <w:rPr>
          <w:rFonts w:ascii="AdonisC"/>
          <w:i/>
          <w:sz w:val="18"/>
        </w:rPr>
      </w:pPr>
    </w:p>
    <w:p w14:paraId="474C2CEE" w14:textId="77777777" w:rsidR="00DE575E" w:rsidRDefault="00DE575E">
      <w:pPr>
        <w:pStyle w:val="BodyText"/>
        <w:rPr>
          <w:rFonts w:ascii="AdonisC"/>
          <w:i/>
          <w:sz w:val="18"/>
        </w:rPr>
      </w:pPr>
    </w:p>
    <w:p w14:paraId="50648BEA" w14:textId="77777777" w:rsidR="00DE575E" w:rsidRDefault="00DE575E">
      <w:pPr>
        <w:pStyle w:val="BodyText"/>
        <w:rPr>
          <w:rFonts w:ascii="AdonisC"/>
          <w:i/>
          <w:sz w:val="18"/>
        </w:rPr>
      </w:pPr>
    </w:p>
    <w:p w14:paraId="3C586799" w14:textId="77777777" w:rsidR="00DE575E" w:rsidRDefault="00DE575E">
      <w:pPr>
        <w:pStyle w:val="BodyText"/>
        <w:rPr>
          <w:rFonts w:ascii="AdonisC"/>
          <w:i/>
          <w:sz w:val="18"/>
        </w:rPr>
      </w:pPr>
    </w:p>
    <w:p w14:paraId="268B3F63" w14:textId="77777777" w:rsidR="00DE575E" w:rsidRDefault="00DE575E">
      <w:pPr>
        <w:pStyle w:val="BodyText"/>
        <w:spacing w:before="8"/>
        <w:rPr>
          <w:rFonts w:ascii="AdonisC"/>
          <w:i/>
          <w:sz w:val="20"/>
        </w:rPr>
      </w:pPr>
    </w:p>
    <w:p w14:paraId="470B7488" w14:textId="77777777" w:rsidR="00DE575E" w:rsidRDefault="002E7560">
      <w:pPr>
        <w:spacing w:before="1"/>
        <w:ind w:left="533"/>
        <w:rPr>
          <w:rFonts w:ascii="Times New Roman"/>
          <w:sz w:val="20"/>
        </w:rPr>
      </w:pPr>
      <w:r>
        <w:rPr>
          <w:rFonts w:ascii="Times New Roman"/>
          <w:color w:val="231F20"/>
          <w:sz w:val="20"/>
        </w:rPr>
        <w:t>570</w:t>
      </w:r>
    </w:p>
    <w:p w14:paraId="1D826EC2" w14:textId="77777777" w:rsidR="00DE575E" w:rsidRDefault="00DE575E">
      <w:pPr>
        <w:rPr>
          <w:rFonts w:ascii="Times New Roman"/>
          <w:sz w:val="20"/>
        </w:rPr>
        <w:sectPr w:rsidR="00DE575E">
          <w:pgSz w:w="8510" w:h="12760"/>
          <w:pgMar w:top="660" w:right="720" w:bottom="280" w:left="600" w:header="720" w:footer="720" w:gutter="0"/>
          <w:cols w:space="720"/>
        </w:sectPr>
      </w:pPr>
    </w:p>
    <w:p w14:paraId="2FDFCACA" w14:textId="77777777" w:rsidR="00DE575E" w:rsidRDefault="002E7560">
      <w:pPr>
        <w:pStyle w:val="Heading2"/>
        <w:spacing w:before="173"/>
        <w:ind w:left="497" w:right="658"/>
        <w:jc w:val="center"/>
      </w:pPr>
      <w:r>
        <w:rPr>
          <w:color w:val="231F20"/>
        </w:rPr>
        <w:t>ДОДАТОК</w:t>
      </w:r>
    </w:p>
    <w:p w14:paraId="377377B5" w14:textId="77777777" w:rsidR="00DE575E" w:rsidRDefault="002E7560">
      <w:pPr>
        <w:pStyle w:val="Heading5"/>
        <w:spacing w:before="256" w:line="252" w:lineRule="auto"/>
        <w:ind w:left="420" w:right="580" w:hanging="2"/>
        <w:jc w:val="center"/>
      </w:pPr>
      <w:r>
        <w:rPr>
          <w:color w:val="231F20"/>
        </w:rPr>
        <w:t xml:space="preserve">Витяг із Програми другого блоку єдиного фахового вступного випробування з адміністративного права </w:t>
      </w:r>
      <w:r>
        <w:rPr>
          <w:color w:val="231F20"/>
          <w:spacing w:val="-4"/>
        </w:rPr>
        <w:t>України.</w:t>
      </w:r>
    </w:p>
    <w:p w14:paraId="63C429CD" w14:textId="77777777" w:rsidR="00DE575E" w:rsidRDefault="00DE575E">
      <w:pPr>
        <w:pStyle w:val="BodyText"/>
        <w:spacing w:before="2"/>
        <w:rPr>
          <w:b/>
          <w:sz w:val="22"/>
        </w:rPr>
      </w:pPr>
    </w:p>
    <w:p w14:paraId="77848F83" w14:textId="77777777" w:rsidR="00DE575E" w:rsidRDefault="002E7560">
      <w:pPr>
        <w:pStyle w:val="Heading6"/>
        <w:spacing w:before="0" w:line="252" w:lineRule="auto"/>
        <w:ind w:left="397" w:right="561" w:firstLine="0"/>
        <w:jc w:val="center"/>
      </w:pPr>
      <w:r>
        <w:rPr>
          <w:color w:val="231F20"/>
        </w:rPr>
        <w:t xml:space="preserve">Затверджена Наказом Міністерства освіти і науки України </w:t>
      </w:r>
      <w:r>
        <w:rPr>
          <w:color w:val="231F20"/>
        </w:rPr>
        <w:t>7.02.2018. № 115</w:t>
      </w:r>
    </w:p>
    <w:p w14:paraId="33827FF7" w14:textId="77777777" w:rsidR="00DE575E" w:rsidRDefault="00DE575E">
      <w:pPr>
        <w:pStyle w:val="BodyText"/>
        <w:spacing w:before="2"/>
        <w:rPr>
          <w:b/>
          <w:i/>
          <w:sz w:val="22"/>
        </w:rPr>
      </w:pPr>
    </w:p>
    <w:p w14:paraId="3073E572" w14:textId="77777777" w:rsidR="00DE575E" w:rsidRDefault="002E7560">
      <w:pPr>
        <w:ind w:left="1708"/>
        <w:rPr>
          <w:b/>
          <w:sz w:val="21"/>
        </w:rPr>
      </w:pPr>
      <w:r>
        <w:rPr>
          <w:b/>
          <w:color w:val="231F20"/>
          <w:sz w:val="21"/>
        </w:rPr>
        <w:t>АДМІНІСТРАТИВНЕ ПРАВО УКРАЇНИ</w:t>
      </w:r>
    </w:p>
    <w:p w14:paraId="69362186" w14:textId="77777777" w:rsidR="00DE575E" w:rsidRDefault="00DE575E">
      <w:pPr>
        <w:pStyle w:val="BodyText"/>
        <w:spacing w:before="2"/>
        <w:rPr>
          <w:b/>
          <w:sz w:val="23"/>
        </w:rPr>
      </w:pPr>
    </w:p>
    <w:p w14:paraId="5CB10D16" w14:textId="77777777" w:rsidR="00DE575E" w:rsidRDefault="002E7560">
      <w:pPr>
        <w:ind w:left="533"/>
        <w:rPr>
          <w:b/>
          <w:sz w:val="21"/>
        </w:rPr>
      </w:pPr>
      <w:r>
        <w:rPr>
          <w:b/>
          <w:color w:val="231F20"/>
          <w:sz w:val="21"/>
        </w:rPr>
        <w:t>Когнітивні рівні охоплення:</w:t>
      </w:r>
    </w:p>
    <w:p w14:paraId="0F4FE50E" w14:textId="77777777" w:rsidR="00DE575E" w:rsidRDefault="002E7560">
      <w:pPr>
        <w:pStyle w:val="BodyText"/>
        <w:spacing w:before="13" w:line="252" w:lineRule="auto"/>
        <w:ind w:left="533" w:right="436"/>
      </w:pPr>
      <w:r>
        <w:rPr>
          <w:color w:val="231F20"/>
        </w:rPr>
        <w:t xml:space="preserve">Рівень  А.  Необхідний  кваліфікаційний   рівень   «Знання». </w:t>
      </w:r>
      <w:r>
        <w:rPr>
          <w:color w:val="231F20"/>
          <w:spacing w:val="-5"/>
        </w:rPr>
        <w:t>Рівень</w:t>
      </w:r>
      <w:r>
        <w:rPr>
          <w:color w:val="231F20"/>
          <w:spacing w:val="-18"/>
        </w:rPr>
        <w:t xml:space="preserve"> </w:t>
      </w:r>
      <w:r>
        <w:rPr>
          <w:color w:val="231F20"/>
          <w:spacing w:val="-5"/>
        </w:rPr>
        <w:t>В.</w:t>
      </w:r>
      <w:r>
        <w:rPr>
          <w:color w:val="231F20"/>
          <w:spacing w:val="-18"/>
        </w:rPr>
        <w:t xml:space="preserve"> </w:t>
      </w:r>
      <w:r>
        <w:rPr>
          <w:color w:val="231F20"/>
          <w:spacing w:val="-4"/>
        </w:rPr>
        <w:t>Необхідний</w:t>
      </w:r>
      <w:r>
        <w:rPr>
          <w:color w:val="231F20"/>
          <w:spacing w:val="-16"/>
        </w:rPr>
        <w:t xml:space="preserve"> </w:t>
      </w:r>
      <w:r>
        <w:rPr>
          <w:color w:val="231F20"/>
          <w:spacing w:val="-5"/>
        </w:rPr>
        <w:t>кваліфікаційний</w:t>
      </w:r>
      <w:r>
        <w:rPr>
          <w:color w:val="231F20"/>
          <w:spacing w:val="-18"/>
        </w:rPr>
        <w:t xml:space="preserve"> </w:t>
      </w:r>
      <w:r>
        <w:rPr>
          <w:color w:val="231F20"/>
          <w:spacing w:val="-5"/>
        </w:rPr>
        <w:t>рівень</w:t>
      </w:r>
      <w:r>
        <w:rPr>
          <w:color w:val="231F20"/>
          <w:spacing w:val="-18"/>
        </w:rPr>
        <w:t xml:space="preserve"> </w:t>
      </w:r>
      <w:r>
        <w:rPr>
          <w:color w:val="231F20"/>
          <w:spacing w:val="-5"/>
        </w:rPr>
        <w:t>«Знання»,</w:t>
      </w:r>
      <w:r>
        <w:rPr>
          <w:color w:val="231F20"/>
          <w:spacing w:val="-18"/>
        </w:rPr>
        <w:t xml:space="preserve"> </w:t>
      </w:r>
      <w:r>
        <w:rPr>
          <w:color w:val="231F20"/>
          <w:spacing w:val="-6"/>
        </w:rPr>
        <w:t xml:space="preserve">«Розуміння». </w:t>
      </w:r>
      <w:r>
        <w:rPr>
          <w:color w:val="231F20"/>
        </w:rPr>
        <w:t>Рівень С. Необхідний кваліфікаційний рівень «Знання»,</w:t>
      </w:r>
      <w:r>
        <w:rPr>
          <w:color w:val="231F20"/>
          <w:spacing w:val="30"/>
        </w:rPr>
        <w:t xml:space="preserve"> </w:t>
      </w:r>
      <w:r>
        <w:rPr>
          <w:color w:val="231F20"/>
        </w:rPr>
        <w:t>«Розу-</w:t>
      </w:r>
    </w:p>
    <w:p w14:paraId="0712F852" w14:textId="77777777" w:rsidR="00DE575E" w:rsidRDefault="002E7560">
      <w:pPr>
        <w:pStyle w:val="BodyText"/>
        <w:spacing w:before="2"/>
        <w:ind w:left="250"/>
      </w:pPr>
      <w:r>
        <w:rPr>
          <w:color w:val="231F20"/>
        </w:rPr>
        <w:t>міння», «Застосування».</w:t>
      </w:r>
    </w:p>
    <w:p w14:paraId="7DCD1809" w14:textId="77777777" w:rsidR="00DE575E" w:rsidRDefault="002E7560">
      <w:pPr>
        <w:pStyle w:val="BodyText"/>
        <w:spacing w:before="12" w:line="252" w:lineRule="auto"/>
        <w:ind w:left="250" w:right="128" w:firstLine="283"/>
      </w:pPr>
      <w:r>
        <w:rPr>
          <w:color w:val="231F20"/>
        </w:rPr>
        <w:t>Рівень D. Необхідний кваліфікаційний рівень</w:t>
      </w:r>
      <w:r>
        <w:rPr>
          <w:color w:val="231F20"/>
        </w:rPr>
        <w:t xml:space="preserve"> «Знання», «Розу- міння», «Застосування» та «Аналіз»/»Синтез»/»Оцінка».</w:t>
      </w:r>
    </w:p>
    <w:p w14:paraId="401FFE97" w14:textId="77777777" w:rsidR="00DE575E" w:rsidRDefault="00DE575E">
      <w:pPr>
        <w:pStyle w:val="BodyText"/>
        <w:spacing w:before="11"/>
        <w:rPr>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371C7ADD" w14:textId="77777777">
        <w:trPr>
          <w:trHeight w:val="1233"/>
        </w:trPr>
        <w:tc>
          <w:tcPr>
            <w:tcW w:w="567" w:type="dxa"/>
          </w:tcPr>
          <w:p w14:paraId="2676C14C" w14:textId="77777777" w:rsidR="00DE575E" w:rsidRDefault="002E7560">
            <w:pPr>
              <w:pStyle w:val="TableParagraph"/>
              <w:spacing w:before="17"/>
              <w:rPr>
                <w:b/>
                <w:sz w:val="20"/>
              </w:rPr>
            </w:pPr>
            <w:r>
              <w:rPr>
                <w:b/>
                <w:color w:val="231F20"/>
                <w:sz w:val="20"/>
              </w:rPr>
              <w:t>№</w:t>
            </w:r>
          </w:p>
        </w:tc>
        <w:tc>
          <w:tcPr>
            <w:tcW w:w="4493" w:type="dxa"/>
          </w:tcPr>
          <w:p w14:paraId="34E23D4D" w14:textId="77777777" w:rsidR="00DE575E" w:rsidRDefault="00DE575E">
            <w:pPr>
              <w:pStyle w:val="TableParagraph"/>
              <w:ind w:left="0"/>
            </w:pPr>
          </w:p>
          <w:p w14:paraId="665691C1" w14:textId="77777777" w:rsidR="00DE575E" w:rsidRDefault="00DE575E">
            <w:pPr>
              <w:pStyle w:val="TableParagraph"/>
              <w:ind w:left="0"/>
              <w:rPr>
                <w:sz w:val="21"/>
              </w:rPr>
            </w:pPr>
          </w:p>
          <w:p w14:paraId="222290B3" w14:textId="77777777" w:rsidR="00DE575E" w:rsidRDefault="002E7560">
            <w:pPr>
              <w:pStyle w:val="TableParagraph"/>
              <w:ind w:left="1501" w:right="1493"/>
              <w:jc w:val="center"/>
              <w:rPr>
                <w:b/>
                <w:sz w:val="20"/>
              </w:rPr>
            </w:pPr>
            <w:r>
              <w:rPr>
                <w:b/>
                <w:color w:val="231F20"/>
                <w:sz w:val="20"/>
              </w:rPr>
              <w:t>Тема та її зміст</w:t>
            </w:r>
          </w:p>
        </w:tc>
        <w:tc>
          <w:tcPr>
            <w:tcW w:w="732" w:type="dxa"/>
            <w:textDirection w:val="btLr"/>
          </w:tcPr>
          <w:p w14:paraId="2315F8F9" w14:textId="77777777" w:rsidR="00DE575E" w:rsidRDefault="002E7560">
            <w:pPr>
              <w:pStyle w:val="TableParagraph"/>
              <w:spacing w:before="33" w:line="225" w:lineRule="auto"/>
              <w:ind w:left="265" w:hanging="14"/>
              <w:rPr>
                <w:b/>
                <w:sz w:val="20"/>
              </w:rPr>
            </w:pPr>
            <w:r>
              <w:rPr>
                <w:b/>
                <w:color w:val="231F20"/>
                <w:sz w:val="20"/>
              </w:rPr>
              <w:t>Питома вага, %</w:t>
            </w:r>
          </w:p>
        </w:tc>
        <w:tc>
          <w:tcPr>
            <w:tcW w:w="732" w:type="dxa"/>
            <w:textDirection w:val="btLr"/>
          </w:tcPr>
          <w:p w14:paraId="1CFD290C" w14:textId="77777777" w:rsidR="00DE575E" w:rsidRDefault="002E7560">
            <w:pPr>
              <w:pStyle w:val="TableParagraph"/>
              <w:spacing w:before="32" w:line="225" w:lineRule="auto"/>
              <w:ind w:left="46" w:right="44"/>
              <w:jc w:val="center"/>
              <w:rPr>
                <w:b/>
                <w:sz w:val="20"/>
              </w:rPr>
            </w:pPr>
            <w:r>
              <w:rPr>
                <w:b/>
                <w:color w:val="231F20"/>
                <w:sz w:val="20"/>
              </w:rPr>
              <w:t>Рівень компетент- ності</w:t>
            </w:r>
          </w:p>
        </w:tc>
      </w:tr>
      <w:tr w:rsidR="00DE575E" w14:paraId="41974D9E" w14:textId="77777777">
        <w:trPr>
          <w:trHeight w:val="478"/>
        </w:trPr>
        <w:tc>
          <w:tcPr>
            <w:tcW w:w="567" w:type="dxa"/>
          </w:tcPr>
          <w:p w14:paraId="5AA25164" w14:textId="77777777" w:rsidR="00DE575E" w:rsidRDefault="002E7560">
            <w:pPr>
              <w:pStyle w:val="TableParagraph"/>
              <w:spacing w:before="17"/>
              <w:rPr>
                <w:sz w:val="20"/>
              </w:rPr>
            </w:pPr>
            <w:r>
              <w:rPr>
                <w:color w:val="231F20"/>
                <w:sz w:val="20"/>
              </w:rPr>
              <w:t>1.</w:t>
            </w:r>
          </w:p>
        </w:tc>
        <w:tc>
          <w:tcPr>
            <w:tcW w:w="4493" w:type="dxa"/>
          </w:tcPr>
          <w:p w14:paraId="201952C1" w14:textId="77777777" w:rsidR="00DE575E" w:rsidRDefault="002E7560">
            <w:pPr>
              <w:pStyle w:val="TableParagraph"/>
              <w:spacing w:before="31" w:line="220" w:lineRule="exact"/>
              <w:ind w:right="45"/>
              <w:rPr>
                <w:sz w:val="20"/>
              </w:rPr>
            </w:pPr>
            <w:r>
              <w:rPr>
                <w:color w:val="231F20"/>
                <w:sz w:val="20"/>
              </w:rPr>
              <w:t>Адміністративне право як галузь публічного права</w:t>
            </w:r>
          </w:p>
        </w:tc>
        <w:tc>
          <w:tcPr>
            <w:tcW w:w="732" w:type="dxa"/>
          </w:tcPr>
          <w:p w14:paraId="06887F66" w14:textId="77777777" w:rsidR="00DE575E" w:rsidRDefault="002E7560">
            <w:pPr>
              <w:pStyle w:val="TableParagraph"/>
              <w:spacing w:before="17"/>
              <w:ind w:left="8"/>
              <w:jc w:val="center"/>
              <w:rPr>
                <w:sz w:val="20"/>
              </w:rPr>
            </w:pPr>
            <w:r>
              <w:rPr>
                <w:color w:val="231F20"/>
                <w:sz w:val="20"/>
              </w:rPr>
              <w:t>5</w:t>
            </w:r>
          </w:p>
        </w:tc>
        <w:tc>
          <w:tcPr>
            <w:tcW w:w="732" w:type="dxa"/>
          </w:tcPr>
          <w:p w14:paraId="3D8C11E5" w14:textId="77777777" w:rsidR="00DE575E" w:rsidRDefault="002E7560">
            <w:pPr>
              <w:pStyle w:val="TableParagraph"/>
              <w:spacing w:before="17"/>
              <w:ind w:left="7"/>
              <w:jc w:val="center"/>
              <w:rPr>
                <w:sz w:val="20"/>
              </w:rPr>
            </w:pPr>
            <w:r>
              <w:rPr>
                <w:color w:val="231F20"/>
                <w:sz w:val="20"/>
              </w:rPr>
              <w:t>В</w:t>
            </w:r>
          </w:p>
        </w:tc>
      </w:tr>
      <w:tr w:rsidR="00DE575E" w14:paraId="5304CB8E" w14:textId="77777777">
        <w:trPr>
          <w:trHeight w:val="1798"/>
        </w:trPr>
        <w:tc>
          <w:tcPr>
            <w:tcW w:w="567" w:type="dxa"/>
          </w:tcPr>
          <w:p w14:paraId="64896E8D" w14:textId="77777777" w:rsidR="00DE575E" w:rsidRDefault="002E7560">
            <w:pPr>
              <w:pStyle w:val="TableParagraph"/>
              <w:spacing w:before="17"/>
              <w:rPr>
                <w:sz w:val="20"/>
              </w:rPr>
            </w:pPr>
            <w:r>
              <w:rPr>
                <w:color w:val="231F20"/>
                <w:sz w:val="20"/>
              </w:rPr>
              <w:t>1.1.</w:t>
            </w:r>
          </w:p>
        </w:tc>
        <w:tc>
          <w:tcPr>
            <w:tcW w:w="4493" w:type="dxa"/>
          </w:tcPr>
          <w:p w14:paraId="0763145B" w14:textId="77777777" w:rsidR="00DE575E" w:rsidRDefault="002E7560">
            <w:pPr>
              <w:pStyle w:val="TableParagraph"/>
              <w:spacing w:before="28" w:line="225" w:lineRule="auto"/>
              <w:ind w:right="45"/>
              <w:rPr>
                <w:i/>
                <w:sz w:val="20"/>
              </w:rPr>
            </w:pPr>
            <w:r>
              <w:rPr>
                <w:i/>
                <w:color w:val="231F20"/>
                <w:sz w:val="20"/>
              </w:rPr>
              <w:t>Основоположні категорії адміністративного права</w:t>
            </w:r>
          </w:p>
          <w:p w14:paraId="7F10A791" w14:textId="77777777" w:rsidR="00DE575E" w:rsidRDefault="002E7560">
            <w:pPr>
              <w:pStyle w:val="TableParagraph"/>
              <w:tabs>
                <w:tab w:val="left" w:pos="1234"/>
                <w:tab w:val="left" w:pos="2154"/>
                <w:tab w:val="left" w:pos="3144"/>
              </w:tabs>
              <w:spacing w:before="2" w:line="220" w:lineRule="exact"/>
              <w:ind w:right="45"/>
              <w:rPr>
                <w:sz w:val="20"/>
              </w:rPr>
            </w:pPr>
            <w:r>
              <w:rPr>
                <w:color w:val="231F20"/>
                <w:sz w:val="20"/>
              </w:rPr>
              <w:t>Публічне адміністрування як одна з форм</w:t>
            </w:r>
            <w:r>
              <w:rPr>
                <w:color w:val="231F20"/>
                <w:spacing w:val="-29"/>
                <w:sz w:val="20"/>
              </w:rPr>
              <w:t xml:space="preserve"> </w:t>
            </w:r>
            <w:r>
              <w:rPr>
                <w:color w:val="231F20"/>
                <w:sz w:val="20"/>
              </w:rPr>
              <w:t xml:space="preserve">реалі- зації публічної влади. Види публічного адміні- стрування (забезпечувальне, сприяльне, втру- чальне). </w:t>
            </w:r>
            <w:r>
              <w:rPr>
                <w:color w:val="231F20"/>
                <w:spacing w:val="-4"/>
                <w:sz w:val="20"/>
              </w:rPr>
              <w:t xml:space="preserve">Суб’єкти </w:t>
            </w:r>
            <w:r>
              <w:rPr>
                <w:color w:val="231F20"/>
                <w:sz w:val="20"/>
              </w:rPr>
              <w:t>публічного адміністрування. Публічний</w:t>
            </w:r>
            <w:r>
              <w:rPr>
                <w:color w:val="231F20"/>
                <w:sz w:val="20"/>
              </w:rPr>
              <w:tab/>
              <w:t>інтерес.</w:t>
            </w:r>
            <w:r>
              <w:rPr>
                <w:color w:val="231F20"/>
                <w:sz w:val="20"/>
              </w:rPr>
              <w:tab/>
              <w:t>Критерії</w:t>
            </w:r>
            <w:r>
              <w:rPr>
                <w:color w:val="231F20"/>
                <w:sz w:val="20"/>
              </w:rPr>
              <w:tab/>
              <w:t>відмежування публічного інтересу від</w:t>
            </w:r>
            <w:r>
              <w:rPr>
                <w:color w:val="231F20"/>
                <w:spacing w:val="-1"/>
                <w:sz w:val="20"/>
              </w:rPr>
              <w:t xml:space="preserve"> </w:t>
            </w:r>
            <w:r>
              <w:rPr>
                <w:color w:val="231F20"/>
                <w:sz w:val="20"/>
              </w:rPr>
              <w:t>приват</w:t>
            </w:r>
            <w:r>
              <w:rPr>
                <w:color w:val="231F20"/>
                <w:sz w:val="20"/>
              </w:rPr>
              <w:t>ного.</w:t>
            </w:r>
          </w:p>
        </w:tc>
        <w:tc>
          <w:tcPr>
            <w:tcW w:w="732" w:type="dxa"/>
          </w:tcPr>
          <w:p w14:paraId="3CF974F0" w14:textId="77777777" w:rsidR="00DE575E" w:rsidRDefault="00DE575E">
            <w:pPr>
              <w:pStyle w:val="TableParagraph"/>
              <w:ind w:left="0"/>
              <w:rPr>
                <w:rFonts w:ascii="Times New Roman"/>
                <w:sz w:val="20"/>
              </w:rPr>
            </w:pPr>
          </w:p>
        </w:tc>
        <w:tc>
          <w:tcPr>
            <w:tcW w:w="732" w:type="dxa"/>
          </w:tcPr>
          <w:p w14:paraId="4908006A" w14:textId="77777777" w:rsidR="00DE575E" w:rsidRDefault="00DE575E">
            <w:pPr>
              <w:pStyle w:val="TableParagraph"/>
              <w:ind w:left="0"/>
              <w:rPr>
                <w:rFonts w:ascii="Times New Roman"/>
                <w:sz w:val="20"/>
              </w:rPr>
            </w:pPr>
          </w:p>
        </w:tc>
      </w:tr>
      <w:tr w:rsidR="00DE575E" w14:paraId="1261371A" w14:textId="77777777">
        <w:trPr>
          <w:trHeight w:val="1578"/>
        </w:trPr>
        <w:tc>
          <w:tcPr>
            <w:tcW w:w="567" w:type="dxa"/>
          </w:tcPr>
          <w:p w14:paraId="7A01F9BF" w14:textId="77777777" w:rsidR="00DE575E" w:rsidRDefault="002E7560">
            <w:pPr>
              <w:pStyle w:val="TableParagraph"/>
              <w:spacing w:before="17"/>
              <w:rPr>
                <w:sz w:val="20"/>
              </w:rPr>
            </w:pPr>
            <w:r>
              <w:rPr>
                <w:color w:val="231F20"/>
                <w:sz w:val="20"/>
              </w:rPr>
              <w:t>1.2.</w:t>
            </w:r>
          </w:p>
        </w:tc>
        <w:tc>
          <w:tcPr>
            <w:tcW w:w="4493" w:type="dxa"/>
          </w:tcPr>
          <w:p w14:paraId="38D71B8F" w14:textId="77777777" w:rsidR="00DE575E" w:rsidRDefault="002E7560">
            <w:pPr>
              <w:pStyle w:val="TableParagraph"/>
              <w:spacing w:before="28" w:line="225" w:lineRule="auto"/>
              <w:ind w:right="44"/>
              <w:jc w:val="both"/>
              <w:rPr>
                <w:i/>
                <w:sz w:val="20"/>
              </w:rPr>
            </w:pPr>
            <w:r>
              <w:rPr>
                <w:i/>
                <w:color w:val="231F20"/>
                <w:sz w:val="20"/>
              </w:rPr>
              <w:t>Адміністративне право як складова публічного права</w:t>
            </w:r>
          </w:p>
          <w:p w14:paraId="2F490A80" w14:textId="77777777" w:rsidR="00DE575E" w:rsidRDefault="002E7560">
            <w:pPr>
              <w:pStyle w:val="TableParagraph"/>
              <w:spacing w:line="225" w:lineRule="auto"/>
              <w:ind w:right="45"/>
              <w:jc w:val="both"/>
              <w:rPr>
                <w:sz w:val="20"/>
              </w:rPr>
            </w:pPr>
            <w:r>
              <w:rPr>
                <w:color w:val="231F20"/>
                <w:sz w:val="20"/>
              </w:rPr>
              <w:t>Призначення адміністративного права. Відно- сини, що складають предмет</w:t>
            </w:r>
            <w:r>
              <w:rPr>
                <w:color w:val="231F20"/>
                <w:spacing w:val="-25"/>
                <w:sz w:val="20"/>
              </w:rPr>
              <w:t xml:space="preserve"> </w:t>
            </w:r>
            <w:r>
              <w:rPr>
                <w:color w:val="231F20"/>
                <w:sz w:val="20"/>
              </w:rPr>
              <w:t>адміністративного права.</w:t>
            </w:r>
          </w:p>
          <w:p w14:paraId="2024AA44" w14:textId="77777777" w:rsidR="00DE575E" w:rsidRDefault="002E7560">
            <w:pPr>
              <w:pStyle w:val="TableParagraph"/>
              <w:spacing w:before="1" w:line="220" w:lineRule="exact"/>
              <w:ind w:right="48"/>
              <w:jc w:val="both"/>
              <w:rPr>
                <w:sz w:val="20"/>
              </w:rPr>
            </w:pPr>
            <w:r>
              <w:rPr>
                <w:color w:val="231F20"/>
                <w:sz w:val="20"/>
              </w:rPr>
              <w:t>Відмежування адміністративного права від цивільного права.</w:t>
            </w:r>
          </w:p>
        </w:tc>
        <w:tc>
          <w:tcPr>
            <w:tcW w:w="732" w:type="dxa"/>
          </w:tcPr>
          <w:p w14:paraId="39A4BD68" w14:textId="77777777" w:rsidR="00DE575E" w:rsidRDefault="00DE575E">
            <w:pPr>
              <w:pStyle w:val="TableParagraph"/>
              <w:ind w:left="0"/>
              <w:rPr>
                <w:rFonts w:ascii="Times New Roman"/>
                <w:sz w:val="20"/>
              </w:rPr>
            </w:pPr>
          </w:p>
        </w:tc>
        <w:tc>
          <w:tcPr>
            <w:tcW w:w="732" w:type="dxa"/>
          </w:tcPr>
          <w:p w14:paraId="00031C4C" w14:textId="77777777" w:rsidR="00DE575E" w:rsidRDefault="00DE575E">
            <w:pPr>
              <w:pStyle w:val="TableParagraph"/>
              <w:ind w:left="0"/>
              <w:rPr>
                <w:rFonts w:ascii="Times New Roman"/>
                <w:sz w:val="20"/>
              </w:rPr>
            </w:pPr>
          </w:p>
        </w:tc>
      </w:tr>
    </w:tbl>
    <w:p w14:paraId="368B895C" w14:textId="77777777" w:rsidR="00DE575E" w:rsidRDefault="00DE575E">
      <w:pPr>
        <w:pStyle w:val="BodyText"/>
        <w:rPr>
          <w:sz w:val="24"/>
        </w:rPr>
      </w:pPr>
    </w:p>
    <w:p w14:paraId="22215678" w14:textId="77777777" w:rsidR="00DE575E" w:rsidRDefault="002E7560">
      <w:pPr>
        <w:spacing w:before="179"/>
        <w:ind w:right="411"/>
        <w:jc w:val="right"/>
        <w:rPr>
          <w:rFonts w:ascii="Times New Roman"/>
          <w:sz w:val="20"/>
        </w:rPr>
      </w:pPr>
      <w:r>
        <w:rPr>
          <w:rFonts w:ascii="Times New Roman"/>
          <w:color w:val="231F20"/>
          <w:w w:val="90"/>
          <w:sz w:val="20"/>
        </w:rPr>
        <w:t>571</w:t>
      </w:r>
    </w:p>
    <w:p w14:paraId="73FEF2B0" w14:textId="77777777" w:rsidR="00DE575E" w:rsidRDefault="00DE575E">
      <w:pPr>
        <w:jc w:val="right"/>
        <w:rPr>
          <w:rFonts w:ascii="Times New Roman"/>
          <w:sz w:val="20"/>
        </w:rPr>
        <w:sectPr w:rsidR="00DE575E">
          <w:pgSz w:w="8510" w:h="12760"/>
          <w:pgMar w:top="1180" w:right="720" w:bottom="280" w:left="600" w:header="720" w:footer="720" w:gutter="0"/>
          <w:cols w:space="720"/>
        </w:sectPr>
      </w:pPr>
    </w:p>
    <w:p w14:paraId="16B13384"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2711FFE2" w14:textId="7C7BF4B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7FD0FFBE" wp14:editId="525AB26E">
                <wp:extent cx="4140200" cy="6350"/>
                <wp:effectExtent l="0" t="0" r="12700" b="6350"/>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6" name="Line 2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95EF3" id="Group_x0020_2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chuUzfQIAAJQFAAAOAAAA&#10;AAAAAAAAAAAAACwCAABkcnMvZTJvRG9jLnhtbFBLAQItABQABgAIAAAAIQBMp7CQ2QAAAAMBAAAP&#10;AAAAAAAAAAAAAAAAANUEAABkcnMvZG93bnJldi54bWxQSwUGAAAAAAQABADzAAAA2wUAAAAA&#10;">
                <v:line id="Line_x0020_2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C8QsQAAADbAAAADwAAAGRycy9kb3ducmV2LnhtbESP0WrCQBRE3wv+w3KFvhTdVEEkuooI&#10;BfFBrfEDrtlrEty9G7OrSfv1XaHg4zAzZ5j5srNGPKjxlWMFn8MEBHHudMWFglP2NZiC8AFZo3FM&#10;Cn7Iw3LRe5tjql3L3/Q4hkJECPsUFZQh1KmUPi/Joh+6mjh6F9dYDFE2hdQNthFujRwlyURarDgu&#10;lFjTuqT8erxbBdntI5jDfmvabH8ey/NtN/6975R673erGYhAXXiF/9sbrWA0geeX+AP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4LxCxAAAANsAAAAPAAAAAAAAAAAA&#10;AAAAAKECAABkcnMvZG93bnJldi54bWxQSwUGAAAAAAQABAD5AAAAkgMAAAAA&#10;" strokecolor="#231f20" strokeweight=".5pt"/>
                <w10:anchorlock/>
              </v:group>
            </w:pict>
          </mc:Fallback>
        </mc:AlternateContent>
      </w:r>
    </w:p>
    <w:p w14:paraId="78924C07"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00B6326B" w14:textId="77777777">
        <w:trPr>
          <w:trHeight w:val="2418"/>
        </w:trPr>
        <w:tc>
          <w:tcPr>
            <w:tcW w:w="567" w:type="dxa"/>
          </w:tcPr>
          <w:p w14:paraId="1F7B9AF6" w14:textId="77777777" w:rsidR="00DE575E" w:rsidRDefault="002E7560">
            <w:pPr>
              <w:pStyle w:val="TableParagraph"/>
              <w:spacing w:before="17"/>
              <w:rPr>
                <w:sz w:val="20"/>
              </w:rPr>
            </w:pPr>
            <w:r>
              <w:rPr>
                <w:color w:val="231F20"/>
                <w:sz w:val="20"/>
              </w:rPr>
              <w:t>1.3.</w:t>
            </w:r>
          </w:p>
        </w:tc>
        <w:tc>
          <w:tcPr>
            <w:tcW w:w="4493" w:type="dxa"/>
          </w:tcPr>
          <w:p w14:paraId="63F490ED" w14:textId="77777777" w:rsidR="00DE575E" w:rsidRDefault="002E7560">
            <w:pPr>
              <w:pStyle w:val="TableParagraph"/>
              <w:spacing w:before="17" w:line="225" w:lineRule="exact"/>
              <w:rPr>
                <w:i/>
                <w:sz w:val="20"/>
              </w:rPr>
            </w:pPr>
            <w:r>
              <w:rPr>
                <w:i/>
                <w:color w:val="231F20"/>
                <w:sz w:val="20"/>
              </w:rPr>
              <w:t>Система адміністративного права</w:t>
            </w:r>
          </w:p>
          <w:p w14:paraId="3868D1D4" w14:textId="77777777" w:rsidR="00DE575E" w:rsidRDefault="002E7560">
            <w:pPr>
              <w:pStyle w:val="TableParagraph"/>
              <w:spacing w:before="8" w:line="216" w:lineRule="exact"/>
              <w:ind w:right="45"/>
              <w:jc w:val="both"/>
              <w:rPr>
                <w:sz w:val="20"/>
              </w:rPr>
            </w:pPr>
            <w:r>
              <w:rPr>
                <w:color w:val="231F20"/>
                <w:spacing w:val="-4"/>
                <w:sz w:val="20"/>
              </w:rPr>
              <w:t xml:space="preserve">Загальне </w:t>
            </w:r>
            <w:r>
              <w:rPr>
                <w:color w:val="231F20"/>
                <w:spacing w:val="-5"/>
                <w:sz w:val="20"/>
              </w:rPr>
              <w:t xml:space="preserve">адміністративне </w:t>
            </w:r>
            <w:r>
              <w:rPr>
                <w:color w:val="231F20"/>
                <w:spacing w:val="-4"/>
                <w:sz w:val="20"/>
              </w:rPr>
              <w:t xml:space="preserve">право </w:t>
            </w:r>
            <w:r>
              <w:rPr>
                <w:color w:val="231F20"/>
                <w:spacing w:val="-3"/>
                <w:sz w:val="20"/>
              </w:rPr>
              <w:t xml:space="preserve">та його </w:t>
            </w:r>
            <w:r>
              <w:rPr>
                <w:color w:val="231F20"/>
                <w:spacing w:val="-4"/>
                <w:sz w:val="20"/>
              </w:rPr>
              <w:t xml:space="preserve">струк- </w:t>
            </w:r>
            <w:r>
              <w:rPr>
                <w:color w:val="231F20"/>
                <w:spacing w:val="-3"/>
                <w:sz w:val="20"/>
              </w:rPr>
              <w:t xml:space="preserve">тура </w:t>
            </w:r>
            <w:r>
              <w:rPr>
                <w:color w:val="231F20"/>
                <w:spacing w:val="-4"/>
                <w:sz w:val="20"/>
              </w:rPr>
              <w:t xml:space="preserve">(принципи </w:t>
            </w:r>
            <w:r>
              <w:rPr>
                <w:color w:val="231F20"/>
                <w:spacing w:val="-5"/>
                <w:sz w:val="20"/>
              </w:rPr>
              <w:t xml:space="preserve">адміністративного права, </w:t>
            </w:r>
            <w:r>
              <w:rPr>
                <w:color w:val="231F20"/>
                <w:spacing w:val="-6"/>
                <w:sz w:val="20"/>
              </w:rPr>
              <w:t xml:space="preserve">суб’єктивні </w:t>
            </w:r>
            <w:r>
              <w:rPr>
                <w:color w:val="231F20"/>
                <w:spacing w:val="-4"/>
                <w:sz w:val="20"/>
              </w:rPr>
              <w:t xml:space="preserve">публічні права, </w:t>
            </w:r>
            <w:r>
              <w:rPr>
                <w:color w:val="231F20"/>
                <w:spacing w:val="-7"/>
                <w:sz w:val="20"/>
              </w:rPr>
              <w:t xml:space="preserve">суб’єкти </w:t>
            </w:r>
            <w:r>
              <w:rPr>
                <w:color w:val="231F20"/>
                <w:spacing w:val="-4"/>
                <w:sz w:val="20"/>
              </w:rPr>
              <w:t xml:space="preserve">публічного </w:t>
            </w:r>
            <w:r>
              <w:rPr>
                <w:color w:val="231F20"/>
                <w:spacing w:val="-5"/>
                <w:sz w:val="20"/>
              </w:rPr>
              <w:t xml:space="preserve">адміністрування, </w:t>
            </w:r>
            <w:r>
              <w:rPr>
                <w:color w:val="231F20"/>
                <w:spacing w:val="-4"/>
                <w:sz w:val="20"/>
              </w:rPr>
              <w:t xml:space="preserve">інструменти публічного </w:t>
            </w:r>
            <w:r>
              <w:rPr>
                <w:color w:val="231F20"/>
                <w:spacing w:val="-5"/>
                <w:sz w:val="20"/>
              </w:rPr>
              <w:t xml:space="preserve">адміні- </w:t>
            </w:r>
            <w:r>
              <w:rPr>
                <w:color w:val="231F20"/>
                <w:spacing w:val="-4"/>
                <w:sz w:val="20"/>
              </w:rPr>
              <w:t xml:space="preserve">стрування, </w:t>
            </w:r>
            <w:r>
              <w:rPr>
                <w:color w:val="231F20"/>
                <w:spacing w:val="-5"/>
                <w:sz w:val="20"/>
              </w:rPr>
              <w:t xml:space="preserve">адміністративні </w:t>
            </w:r>
            <w:r>
              <w:rPr>
                <w:color w:val="231F20"/>
                <w:spacing w:val="-4"/>
                <w:sz w:val="20"/>
              </w:rPr>
              <w:t xml:space="preserve">процедури, </w:t>
            </w:r>
            <w:r>
              <w:rPr>
                <w:color w:val="231F20"/>
                <w:spacing w:val="-5"/>
                <w:sz w:val="20"/>
              </w:rPr>
              <w:t xml:space="preserve">адмініст- ративні </w:t>
            </w:r>
            <w:r>
              <w:rPr>
                <w:color w:val="231F20"/>
                <w:spacing w:val="-4"/>
                <w:sz w:val="20"/>
              </w:rPr>
              <w:t xml:space="preserve">послуги, </w:t>
            </w:r>
            <w:r>
              <w:rPr>
                <w:color w:val="231F20"/>
                <w:spacing w:val="-5"/>
                <w:sz w:val="20"/>
              </w:rPr>
              <w:t xml:space="preserve">позасудовий захист </w:t>
            </w:r>
            <w:r>
              <w:rPr>
                <w:color w:val="231F20"/>
                <w:spacing w:val="-4"/>
                <w:sz w:val="20"/>
              </w:rPr>
              <w:t xml:space="preserve">прав приват- </w:t>
            </w:r>
            <w:r>
              <w:rPr>
                <w:color w:val="231F20"/>
                <w:spacing w:val="-3"/>
                <w:sz w:val="20"/>
              </w:rPr>
              <w:t xml:space="preserve">ної </w:t>
            </w:r>
            <w:r>
              <w:rPr>
                <w:color w:val="231F20"/>
                <w:spacing w:val="-4"/>
                <w:sz w:val="20"/>
              </w:rPr>
              <w:t xml:space="preserve">особи). </w:t>
            </w:r>
            <w:r>
              <w:rPr>
                <w:color w:val="231F20"/>
                <w:spacing w:val="-5"/>
                <w:sz w:val="20"/>
              </w:rPr>
              <w:t xml:space="preserve">Особливе адміністративне </w:t>
            </w:r>
            <w:r>
              <w:rPr>
                <w:color w:val="231F20"/>
                <w:spacing w:val="-4"/>
                <w:sz w:val="20"/>
              </w:rPr>
              <w:t xml:space="preserve">право </w:t>
            </w:r>
            <w:r>
              <w:rPr>
                <w:color w:val="231F20"/>
                <w:spacing w:val="-5"/>
                <w:sz w:val="20"/>
              </w:rPr>
              <w:t xml:space="preserve">та </w:t>
            </w:r>
            <w:r>
              <w:rPr>
                <w:color w:val="231F20"/>
                <w:spacing w:val="-3"/>
                <w:sz w:val="20"/>
              </w:rPr>
              <w:t xml:space="preserve">його </w:t>
            </w:r>
            <w:r>
              <w:rPr>
                <w:color w:val="231F20"/>
                <w:spacing w:val="-4"/>
                <w:sz w:val="20"/>
              </w:rPr>
              <w:t xml:space="preserve">структура (службове право, </w:t>
            </w:r>
            <w:r>
              <w:rPr>
                <w:color w:val="231F20"/>
                <w:spacing w:val="-5"/>
                <w:sz w:val="20"/>
              </w:rPr>
              <w:t xml:space="preserve">адміністра- </w:t>
            </w:r>
            <w:r>
              <w:rPr>
                <w:color w:val="231F20"/>
                <w:spacing w:val="-4"/>
                <w:sz w:val="20"/>
              </w:rPr>
              <w:t xml:space="preserve">тивне </w:t>
            </w:r>
            <w:r>
              <w:rPr>
                <w:color w:val="231F20"/>
                <w:spacing w:val="-5"/>
                <w:sz w:val="20"/>
              </w:rPr>
              <w:t xml:space="preserve">деліктне </w:t>
            </w:r>
            <w:r>
              <w:rPr>
                <w:color w:val="231F20"/>
                <w:spacing w:val="-4"/>
                <w:sz w:val="20"/>
              </w:rPr>
              <w:t xml:space="preserve">право, муніципальне, </w:t>
            </w:r>
            <w:r>
              <w:rPr>
                <w:color w:val="231F20"/>
                <w:spacing w:val="-5"/>
                <w:sz w:val="20"/>
              </w:rPr>
              <w:t xml:space="preserve">поліцейське, фінансове, міграційне, містобудівне </w:t>
            </w:r>
            <w:r>
              <w:rPr>
                <w:color w:val="231F20"/>
                <w:spacing w:val="-3"/>
                <w:sz w:val="20"/>
              </w:rPr>
              <w:t xml:space="preserve">та </w:t>
            </w:r>
            <w:r>
              <w:rPr>
                <w:color w:val="231F20"/>
                <w:spacing w:val="-4"/>
                <w:sz w:val="20"/>
              </w:rPr>
              <w:t>ін.).</w:t>
            </w:r>
          </w:p>
        </w:tc>
        <w:tc>
          <w:tcPr>
            <w:tcW w:w="732" w:type="dxa"/>
          </w:tcPr>
          <w:p w14:paraId="284683EA" w14:textId="77777777" w:rsidR="00DE575E" w:rsidRDefault="00DE575E">
            <w:pPr>
              <w:pStyle w:val="TableParagraph"/>
              <w:ind w:left="0"/>
              <w:rPr>
                <w:rFonts w:ascii="Times New Roman"/>
                <w:sz w:val="18"/>
              </w:rPr>
            </w:pPr>
          </w:p>
        </w:tc>
        <w:tc>
          <w:tcPr>
            <w:tcW w:w="732" w:type="dxa"/>
          </w:tcPr>
          <w:p w14:paraId="343F6FF1" w14:textId="77777777" w:rsidR="00DE575E" w:rsidRDefault="00DE575E">
            <w:pPr>
              <w:pStyle w:val="TableParagraph"/>
              <w:ind w:left="0"/>
              <w:rPr>
                <w:rFonts w:ascii="Times New Roman"/>
                <w:sz w:val="18"/>
              </w:rPr>
            </w:pPr>
          </w:p>
        </w:tc>
      </w:tr>
      <w:tr w:rsidR="00DE575E" w14:paraId="40F9EACB" w14:textId="77777777">
        <w:trPr>
          <w:trHeight w:val="258"/>
        </w:trPr>
        <w:tc>
          <w:tcPr>
            <w:tcW w:w="567" w:type="dxa"/>
          </w:tcPr>
          <w:p w14:paraId="68B8D962" w14:textId="77777777" w:rsidR="00DE575E" w:rsidRDefault="002E7560">
            <w:pPr>
              <w:pStyle w:val="TableParagraph"/>
              <w:spacing w:before="17" w:line="222" w:lineRule="exact"/>
              <w:rPr>
                <w:sz w:val="20"/>
              </w:rPr>
            </w:pPr>
            <w:r>
              <w:rPr>
                <w:color w:val="231F20"/>
                <w:sz w:val="20"/>
              </w:rPr>
              <w:t>2.</w:t>
            </w:r>
          </w:p>
        </w:tc>
        <w:tc>
          <w:tcPr>
            <w:tcW w:w="4493" w:type="dxa"/>
          </w:tcPr>
          <w:p w14:paraId="16786C62" w14:textId="77777777" w:rsidR="00DE575E" w:rsidRDefault="002E7560">
            <w:pPr>
              <w:pStyle w:val="TableParagraph"/>
              <w:spacing w:before="17" w:line="222" w:lineRule="exact"/>
              <w:rPr>
                <w:sz w:val="20"/>
              </w:rPr>
            </w:pPr>
            <w:r>
              <w:rPr>
                <w:color w:val="231F20"/>
                <w:sz w:val="20"/>
              </w:rPr>
              <w:t>Принципи адміністративного права</w:t>
            </w:r>
          </w:p>
        </w:tc>
        <w:tc>
          <w:tcPr>
            <w:tcW w:w="732" w:type="dxa"/>
          </w:tcPr>
          <w:p w14:paraId="24E29A22" w14:textId="77777777" w:rsidR="00DE575E" w:rsidRDefault="002E7560">
            <w:pPr>
              <w:pStyle w:val="TableParagraph"/>
              <w:spacing w:before="17" w:line="222" w:lineRule="exact"/>
              <w:ind w:left="234" w:right="226"/>
              <w:jc w:val="center"/>
              <w:rPr>
                <w:sz w:val="20"/>
              </w:rPr>
            </w:pPr>
            <w:r>
              <w:rPr>
                <w:color w:val="231F20"/>
                <w:sz w:val="20"/>
              </w:rPr>
              <w:t>10</w:t>
            </w:r>
          </w:p>
        </w:tc>
        <w:tc>
          <w:tcPr>
            <w:tcW w:w="732" w:type="dxa"/>
          </w:tcPr>
          <w:p w14:paraId="243FDC7A" w14:textId="77777777" w:rsidR="00DE575E" w:rsidRDefault="002E7560">
            <w:pPr>
              <w:pStyle w:val="TableParagraph"/>
              <w:spacing w:before="17" w:line="222" w:lineRule="exact"/>
              <w:ind w:left="303"/>
              <w:rPr>
                <w:sz w:val="20"/>
              </w:rPr>
            </w:pPr>
            <w:r>
              <w:rPr>
                <w:color w:val="231F20"/>
                <w:sz w:val="20"/>
              </w:rPr>
              <w:t>В</w:t>
            </w:r>
          </w:p>
        </w:tc>
      </w:tr>
      <w:tr w:rsidR="00DE575E" w14:paraId="4C3CE9A4" w14:textId="77777777">
        <w:trPr>
          <w:trHeight w:val="1554"/>
        </w:trPr>
        <w:tc>
          <w:tcPr>
            <w:tcW w:w="567" w:type="dxa"/>
          </w:tcPr>
          <w:p w14:paraId="4EB1499C" w14:textId="77777777" w:rsidR="00DE575E" w:rsidRDefault="002E7560">
            <w:pPr>
              <w:pStyle w:val="TableParagraph"/>
              <w:spacing w:before="17"/>
              <w:rPr>
                <w:sz w:val="20"/>
              </w:rPr>
            </w:pPr>
            <w:r>
              <w:rPr>
                <w:color w:val="231F20"/>
                <w:sz w:val="20"/>
              </w:rPr>
              <w:t>2.1.</w:t>
            </w:r>
          </w:p>
        </w:tc>
        <w:tc>
          <w:tcPr>
            <w:tcW w:w="4493" w:type="dxa"/>
          </w:tcPr>
          <w:p w14:paraId="0261B3AD" w14:textId="77777777" w:rsidR="00DE575E" w:rsidRDefault="002E7560">
            <w:pPr>
              <w:pStyle w:val="TableParagraph"/>
              <w:spacing w:before="32" w:line="220" w:lineRule="auto"/>
              <w:ind w:right="45"/>
              <w:jc w:val="both"/>
              <w:rPr>
                <w:i/>
                <w:sz w:val="20"/>
              </w:rPr>
            </w:pPr>
            <w:r>
              <w:rPr>
                <w:i/>
                <w:color w:val="231F20"/>
                <w:sz w:val="20"/>
              </w:rPr>
              <w:t>Поняття та значення принципів адміністра- тивного права</w:t>
            </w:r>
          </w:p>
          <w:p w14:paraId="7936AAB1" w14:textId="77777777" w:rsidR="00DE575E" w:rsidRDefault="002E7560">
            <w:pPr>
              <w:pStyle w:val="TableParagraph"/>
              <w:spacing w:before="3" w:line="216" w:lineRule="exact"/>
              <w:ind w:right="45"/>
              <w:jc w:val="both"/>
              <w:rPr>
                <w:sz w:val="20"/>
              </w:rPr>
            </w:pPr>
            <w:r>
              <w:rPr>
                <w:color w:val="231F20"/>
                <w:sz w:val="20"/>
              </w:rPr>
              <w:t>Поняття принципів адміністративного права. Значення принципів адміністративного права (системоутворювальне значення, вплив на нормотворчу діяльність, значення для</w:t>
            </w:r>
            <w:r>
              <w:rPr>
                <w:color w:val="231F20"/>
                <w:spacing w:val="-34"/>
                <w:sz w:val="20"/>
              </w:rPr>
              <w:t xml:space="preserve"> </w:t>
            </w:r>
            <w:r>
              <w:rPr>
                <w:color w:val="231F20"/>
                <w:sz w:val="20"/>
              </w:rPr>
              <w:t xml:space="preserve">адмініст- ративної та </w:t>
            </w:r>
            <w:r>
              <w:rPr>
                <w:color w:val="231F20"/>
                <w:spacing w:val="-3"/>
                <w:sz w:val="20"/>
              </w:rPr>
              <w:t>судової</w:t>
            </w:r>
            <w:r>
              <w:rPr>
                <w:color w:val="231F20"/>
                <w:spacing w:val="-4"/>
                <w:sz w:val="20"/>
              </w:rPr>
              <w:t xml:space="preserve"> </w:t>
            </w:r>
            <w:r>
              <w:rPr>
                <w:color w:val="231F20"/>
                <w:sz w:val="20"/>
              </w:rPr>
              <w:t>практики).</w:t>
            </w:r>
          </w:p>
        </w:tc>
        <w:tc>
          <w:tcPr>
            <w:tcW w:w="732" w:type="dxa"/>
          </w:tcPr>
          <w:p w14:paraId="413F4702" w14:textId="77777777" w:rsidR="00DE575E" w:rsidRDefault="00DE575E">
            <w:pPr>
              <w:pStyle w:val="TableParagraph"/>
              <w:ind w:left="0"/>
              <w:rPr>
                <w:rFonts w:ascii="Times New Roman"/>
                <w:sz w:val="18"/>
              </w:rPr>
            </w:pPr>
          </w:p>
        </w:tc>
        <w:tc>
          <w:tcPr>
            <w:tcW w:w="732" w:type="dxa"/>
          </w:tcPr>
          <w:p w14:paraId="3393E820" w14:textId="77777777" w:rsidR="00DE575E" w:rsidRDefault="00DE575E">
            <w:pPr>
              <w:pStyle w:val="TableParagraph"/>
              <w:ind w:left="0"/>
              <w:rPr>
                <w:rFonts w:ascii="Times New Roman"/>
                <w:sz w:val="18"/>
              </w:rPr>
            </w:pPr>
          </w:p>
        </w:tc>
      </w:tr>
      <w:tr w:rsidR="00DE575E" w14:paraId="3E97EE17" w14:textId="77777777">
        <w:trPr>
          <w:trHeight w:val="2202"/>
        </w:trPr>
        <w:tc>
          <w:tcPr>
            <w:tcW w:w="567" w:type="dxa"/>
          </w:tcPr>
          <w:p w14:paraId="57DC267F" w14:textId="77777777" w:rsidR="00DE575E" w:rsidRDefault="002E7560">
            <w:pPr>
              <w:pStyle w:val="TableParagraph"/>
              <w:spacing w:before="17"/>
              <w:rPr>
                <w:sz w:val="20"/>
              </w:rPr>
            </w:pPr>
            <w:r>
              <w:rPr>
                <w:color w:val="231F20"/>
                <w:sz w:val="20"/>
              </w:rPr>
              <w:t>2.2.</w:t>
            </w:r>
          </w:p>
        </w:tc>
        <w:tc>
          <w:tcPr>
            <w:tcW w:w="4493" w:type="dxa"/>
          </w:tcPr>
          <w:p w14:paraId="33BDC1E2" w14:textId="77777777" w:rsidR="00DE575E" w:rsidRDefault="002E7560">
            <w:pPr>
              <w:pStyle w:val="TableParagraph"/>
              <w:spacing w:before="32" w:line="220" w:lineRule="auto"/>
              <w:ind w:right="44"/>
              <w:jc w:val="both"/>
              <w:rPr>
                <w:i/>
                <w:sz w:val="20"/>
              </w:rPr>
            </w:pPr>
            <w:r>
              <w:rPr>
                <w:i/>
                <w:color w:val="231F20"/>
                <w:sz w:val="20"/>
              </w:rPr>
              <w:t xml:space="preserve">Принцип верховенства права (правовладдя) в </w:t>
            </w:r>
            <w:r>
              <w:rPr>
                <w:i/>
                <w:color w:val="231F20"/>
                <w:sz w:val="20"/>
              </w:rPr>
              <w:t>адміністративному праві</w:t>
            </w:r>
          </w:p>
          <w:p w14:paraId="11C3DC96" w14:textId="77777777" w:rsidR="00DE575E" w:rsidRDefault="002E7560">
            <w:pPr>
              <w:pStyle w:val="TableParagraph"/>
              <w:spacing w:before="1" w:line="220" w:lineRule="auto"/>
              <w:ind w:right="44"/>
              <w:jc w:val="both"/>
              <w:rPr>
                <w:sz w:val="20"/>
              </w:rPr>
            </w:pPr>
            <w:r>
              <w:rPr>
                <w:color w:val="231F20"/>
                <w:sz w:val="20"/>
              </w:rPr>
              <w:t>Значення принципу верховенства права (правовладдя) для регулювання адміністратив- них правовідносинах.</w:t>
            </w:r>
          </w:p>
          <w:p w14:paraId="21F22609" w14:textId="77777777" w:rsidR="00DE575E" w:rsidRDefault="002E7560">
            <w:pPr>
              <w:pStyle w:val="TableParagraph"/>
              <w:spacing w:before="3" w:line="216" w:lineRule="exact"/>
              <w:ind w:right="43"/>
              <w:jc w:val="both"/>
              <w:rPr>
                <w:sz w:val="20"/>
              </w:rPr>
            </w:pPr>
            <w:r>
              <w:rPr>
                <w:color w:val="231F20"/>
                <w:sz w:val="20"/>
              </w:rPr>
              <w:t>Складові верховенства права (законність / правозгідність; юридична визначеність; запобі- гання зловживанню / надужиттю повноважен</w:t>
            </w:r>
            <w:r>
              <w:rPr>
                <w:color w:val="231F20"/>
                <w:sz w:val="20"/>
              </w:rPr>
              <w:t>- нями; рівність перед законом і недискриміна- ція; доступ до правосуддя).</w:t>
            </w:r>
          </w:p>
        </w:tc>
        <w:tc>
          <w:tcPr>
            <w:tcW w:w="732" w:type="dxa"/>
          </w:tcPr>
          <w:p w14:paraId="61A9DBF1" w14:textId="77777777" w:rsidR="00DE575E" w:rsidRDefault="00DE575E">
            <w:pPr>
              <w:pStyle w:val="TableParagraph"/>
              <w:ind w:left="0"/>
              <w:rPr>
                <w:rFonts w:ascii="Times New Roman"/>
                <w:sz w:val="18"/>
              </w:rPr>
            </w:pPr>
          </w:p>
        </w:tc>
        <w:tc>
          <w:tcPr>
            <w:tcW w:w="732" w:type="dxa"/>
          </w:tcPr>
          <w:p w14:paraId="4C67A0FD" w14:textId="77777777" w:rsidR="00DE575E" w:rsidRDefault="00DE575E">
            <w:pPr>
              <w:pStyle w:val="TableParagraph"/>
              <w:ind w:left="0"/>
              <w:rPr>
                <w:rFonts w:ascii="Times New Roman"/>
                <w:sz w:val="18"/>
              </w:rPr>
            </w:pPr>
          </w:p>
        </w:tc>
      </w:tr>
      <w:tr w:rsidR="00DE575E" w14:paraId="5DA3DB4F" w14:textId="77777777">
        <w:trPr>
          <w:trHeight w:val="2634"/>
        </w:trPr>
        <w:tc>
          <w:tcPr>
            <w:tcW w:w="567" w:type="dxa"/>
          </w:tcPr>
          <w:p w14:paraId="6595BC93" w14:textId="77777777" w:rsidR="00DE575E" w:rsidRDefault="002E7560">
            <w:pPr>
              <w:pStyle w:val="TableParagraph"/>
              <w:spacing w:before="17"/>
              <w:rPr>
                <w:sz w:val="20"/>
              </w:rPr>
            </w:pPr>
            <w:r>
              <w:rPr>
                <w:color w:val="231F20"/>
                <w:sz w:val="20"/>
              </w:rPr>
              <w:t>2.3.</w:t>
            </w:r>
          </w:p>
        </w:tc>
        <w:tc>
          <w:tcPr>
            <w:tcW w:w="4493" w:type="dxa"/>
          </w:tcPr>
          <w:p w14:paraId="3C703389" w14:textId="77777777" w:rsidR="00DE575E" w:rsidRDefault="002E7560">
            <w:pPr>
              <w:pStyle w:val="TableParagraph"/>
              <w:spacing w:before="17" w:line="225" w:lineRule="exact"/>
              <w:rPr>
                <w:i/>
                <w:sz w:val="20"/>
              </w:rPr>
            </w:pPr>
            <w:r>
              <w:rPr>
                <w:i/>
                <w:color w:val="231F20"/>
                <w:sz w:val="20"/>
              </w:rPr>
              <w:t>Принципи «належного врядування»</w:t>
            </w:r>
          </w:p>
          <w:p w14:paraId="3775EA55" w14:textId="77777777" w:rsidR="00DE575E" w:rsidRDefault="002E7560">
            <w:pPr>
              <w:pStyle w:val="TableParagraph"/>
              <w:spacing w:before="8" w:line="216" w:lineRule="exact"/>
              <w:ind w:right="45"/>
              <w:jc w:val="both"/>
              <w:rPr>
                <w:sz w:val="20"/>
              </w:rPr>
            </w:pPr>
            <w:r>
              <w:rPr>
                <w:color w:val="231F20"/>
                <w:spacing w:val="-3"/>
                <w:sz w:val="20"/>
              </w:rPr>
              <w:t xml:space="preserve">Значення </w:t>
            </w:r>
            <w:r>
              <w:rPr>
                <w:color w:val="231F20"/>
                <w:sz w:val="20"/>
              </w:rPr>
              <w:t xml:space="preserve">принципів належного врядування для </w:t>
            </w:r>
            <w:r>
              <w:rPr>
                <w:color w:val="231F20"/>
                <w:spacing w:val="-4"/>
                <w:sz w:val="20"/>
              </w:rPr>
              <w:t xml:space="preserve">регулювання </w:t>
            </w:r>
            <w:r>
              <w:rPr>
                <w:color w:val="231F20"/>
                <w:spacing w:val="-3"/>
                <w:sz w:val="20"/>
              </w:rPr>
              <w:t>адміністративних правовідносин. Принципи</w:t>
            </w:r>
            <w:r>
              <w:rPr>
                <w:color w:val="231F20"/>
                <w:spacing w:val="-22"/>
                <w:sz w:val="20"/>
              </w:rPr>
              <w:t xml:space="preserve"> </w:t>
            </w:r>
            <w:r>
              <w:rPr>
                <w:color w:val="231F20"/>
                <w:sz w:val="20"/>
              </w:rPr>
              <w:t>належного</w:t>
            </w:r>
            <w:r>
              <w:rPr>
                <w:color w:val="231F20"/>
                <w:spacing w:val="-22"/>
                <w:sz w:val="20"/>
              </w:rPr>
              <w:t xml:space="preserve"> </w:t>
            </w:r>
            <w:r>
              <w:rPr>
                <w:color w:val="231F20"/>
                <w:sz w:val="20"/>
              </w:rPr>
              <w:t>врядування</w:t>
            </w:r>
            <w:r>
              <w:rPr>
                <w:color w:val="231F20"/>
                <w:spacing w:val="-22"/>
                <w:sz w:val="20"/>
              </w:rPr>
              <w:t xml:space="preserve"> </w:t>
            </w:r>
            <w:r>
              <w:rPr>
                <w:color w:val="231F20"/>
                <w:sz w:val="20"/>
              </w:rPr>
              <w:t>(забезпечення участі</w:t>
            </w:r>
            <w:r>
              <w:rPr>
                <w:color w:val="231F20"/>
                <w:spacing w:val="-20"/>
                <w:sz w:val="20"/>
              </w:rPr>
              <w:t xml:space="preserve"> </w:t>
            </w:r>
            <w:r>
              <w:rPr>
                <w:color w:val="231F20"/>
                <w:sz w:val="20"/>
              </w:rPr>
              <w:t>в</w:t>
            </w:r>
            <w:r>
              <w:rPr>
                <w:color w:val="231F20"/>
                <w:spacing w:val="-20"/>
                <w:sz w:val="20"/>
              </w:rPr>
              <w:t xml:space="preserve"> </w:t>
            </w:r>
            <w:r>
              <w:rPr>
                <w:color w:val="231F20"/>
                <w:sz w:val="20"/>
              </w:rPr>
              <w:t>ухваленні</w:t>
            </w:r>
            <w:r>
              <w:rPr>
                <w:color w:val="231F20"/>
                <w:spacing w:val="-20"/>
                <w:sz w:val="20"/>
              </w:rPr>
              <w:t xml:space="preserve"> </w:t>
            </w:r>
            <w:r>
              <w:rPr>
                <w:color w:val="231F20"/>
                <w:spacing w:val="-3"/>
                <w:sz w:val="20"/>
              </w:rPr>
              <w:t>рішень</w:t>
            </w:r>
            <w:r>
              <w:rPr>
                <w:color w:val="231F20"/>
                <w:spacing w:val="-20"/>
                <w:sz w:val="20"/>
              </w:rPr>
              <w:t xml:space="preserve"> </w:t>
            </w:r>
            <w:r>
              <w:rPr>
                <w:color w:val="231F20"/>
                <w:sz w:val="20"/>
              </w:rPr>
              <w:t>та</w:t>
            </w:r>
            <w:r>
              <w:rPr>
                <w:color w:val="231F20"/>
                <w:spacing w:val="-20"/>
                <w:sz w:val="20"/>
              </w:rPr>
              <w:t xml:space="preserve"> </w:t>
            </w:r>
            <w:r>
              <w:rPr>
                <w:color w:val="231F20"/>
                <w:sz w:val="20"/>
              </w:rPr>
              <w:t>належне</w:t>
            </w:r>
            <w:r>
              <w:rPr>
                <w:color w:val="231F20"/>
                <w:spacing w:val="-20"/>
                <w:sz w:val="20"/>
              </w:rPr>
              <w:t xml:space="preserve"> </w:t>
            </w:r>
            <w:r>
              <w:rPr>
                <w:color w:val="231F20"/>
                <w:spacing w:val="-3"/>
                <w:sz w:val="20"/>
              </w:rPr>
              <w:t xml:space="preserve">реагування, </w:t>
            </w:r>
            <w:r>
              <w:rPr>
                <w:color w:val="231F20"/>
                <w:sz w:val="20"/>
              </w:rPr>
              <w:t xml:space="preserve">відкритість і прозорість, </w:t>
            </w:r>
            <w:r>
              <w:rPr>
                <w:color w:val="231F20"/>
                <w:spacing w:val="-3"/>
                <w:sz w:val="20"/>
              </w:rPr>
              <w:t xml:space="preserve">доброчесність </w:t>
            </w:r>
            <w:r>
              <w:rPr>
                <w:color w:val="231F20"/>
                <w:sz w:val="20"/>
              </w:rPr>
              <w:t xml:space="preserve">і </w:t>
            </w:r>
            <w:r>
              <w:rPr>
                <w:color w:val="231F20"/>
                <w:spacing w:val="-2"/>
                <w:sz w:val="20"/>
              </w:rPr>
              <w:t xml:space="preserve">етична </w:t>
            </w:r>
            <w:r>
              <w:rPr>
                <w:color w:val="231F20"/>
                <w:sz w:val="20"/>
              </w:rPr>
              <w:t>поведінка, ефективність, компетентність і</w:t>
            </w:r>
            <w:r>
              <w:rPr>
                <w:color w:val="231F20"/>
                <w:spacing w:val="-11"/>
                <w:sz w:val="20"/>
              </w:rPr>
              <w:t xml:space="preserve"> </w:t>
            </w:r>
            <w:r>
              <w:rPr>
                <w:color w:val="231F20"/>
                <w:sz w:val="20"/>
              </w:rPr>
              <w:t xml:space="preserve">спро- </w:t>
            </w:r>
            <w:r>
              <w:rPr>
                <w:color w:val="231F20"/>
                <w:spacing w:val="-2"/>
                <w:sz w:val="20"/>
              </w:rPr>
              <w:t xml:space="preserve">можність, </w:t>
            </w:r>
            <w:r>
              <w:rPr>
                <w:color w:val="231F20"/>
                <w:sz w:val="20"/>
              </w:rPr>
              <w:t xml:space="preserve">інноваційність та відкритість  </w:t>
            </w:r>
            <w:r>
              <w:rPr>
                <w:color w:val="231F20"/>
                <w:spacing w:val="-3"/>
                <w:sz w:val="20"/>
              </w:rPr>
              <w:t xml:space="preserve">до  змін, </w:t>
            </w:r>
            <w:r>
              <w:rPr>
                <w:color w:val="231F20"/>
                <w:sz w:val="20"/>
              </w:rPr>
              <w:t xml:space="preserve">сталість і </w:t>
            </w:r>
            <w:r>
              <w:rPr>
                <w:color w:val="231F20"/>
                <w:spacing w:val="-3"/>
                <w:sz w:val="20"/>
              </w:rPr>
              <w:t xml:space="preserve">довгострокова </w:t>
            </w:r>
            <w:r>
              <w:rPr>
                <w:color w:val="231F20"/>
                <w:sz w:val="20"/>
              </w:rPr>
              <w:t xml:space="preserve">орієнтованість, </w:t>
            </w:r>
            <w:r>
              <w:rPr>
                <w:color w:val="231F20"/>
                <w:spacing w:val="-3"/>
                <w:sz w:val="20"/>
              </w:rPr>
              <w:t>грамотне фінансове управлін</w:t>
            </w:r>
            <w:r>
              <w:rPr>
                <w:color w:val="231F20"/>
                <w:spacing w:val="-3"/>
                <w:sz w:val="20"/>
              </w:rPr>
              <w:t xml:space="preserve">ня, </w:t>
            </w:r>
            <w:r>
              <w:rPr>
                <w:color w:val="231F20"/>
                <w:sz w:val="20"/>
              </w:rPr>
              <w:t xml:space="preserve">поважання </w:t>
            </w:r>
            <w:r>
              <w:rPr>
                <w:color w:val="231F20"/>
                <w:spacing w:val="-3"/>
                <w:sz w:val="20"/>
              </w:rPr>
              <w:t xml:space="preserve">прав </w:t>
            </w:r>
            <w:r>
              <w:rPr>
                <w:color w:val="231F20"/>
                <w:spacing w:val="-4"/>
                <w:sz w:val="20"/>
              </w:rPr>
              <w:t xml:space="preserve">людини </w:t>
            </w:r>
            <w:r>
              <w:rPr>
                <w:color w:val="231F20"/>
                <w:sz w:val="20"/>
              </w:rPr>
              <w:t xml:space="preserve">та </w:t>
            </w:r>
            <w:r>
              <w:rPr>
                <w:color w:val="231F20"/>
                <w:spacing w:val="-4"/>
                <w:sz w:val="20"/>
              </w:rPr>
              <w:t xml:space="preserve">культурної </w:t>
            </w:r>
            <w:r>
              <w:rPr>
                <w:color w:val="231F20"/>
                <w:spacing w:val="-3"/>
                <w:sz w:val="20"/>
              </w:rPr>
              <w:t xml:space="preserve">різноманітності, </w:t>
            </w:r>
            <w:r>
              <w:rPr>
                <w:color w:val="231F20"/>
                <w:sz w:val="20"/>
              </w:rPr>
              <w:t xml:space="preserve">забезпе- чення соціальної </w:t>
            </w:r>
            <w:r>
              <w:rPr>
                <w:color w:val="231F20"/>
                <w:spacing w:val="-3"/>
                <w:sz w:val="20"/>
              </w:rPr>
              <w:t>згуртованості,</w:t>
            </w:r>
            <w:r>
              <w:rPr>
                <w:color w:val="231F20"/>
                <w:spacing w:val="-25"/>
                <w:sz w:val="20"/>
              </w:rPr>
              <w:t xml:space="preserve"> </w:t>
            </w:r>
            <w:r>
              <w:rPr>
                <w:color w:val="231F20"/>
                <w:sz w:val="20"/>
              </w:rPr>
              <w:t>підзвітність).</w:t>
            </w:r>
          </w:p>
        </w:tc>
        <w:tc>
          <w:tcPr>
            <w:tcW w:w="732" w:type="dxa"/>
          </w:tcPr>
          <w:p w14:paraId="41AB975F" w14:textId="77777777" w:rsidR="00DE575E" w:rsidRDefault="00DE575E">
            <w:pPr>
              <w:pStyle w:val="TableParagraph"/>
              <w:ind w:left="0"/>
              <w:rPr>
                <w:rFonts w:ascii="Times New Roman"/>
                <w:sz w:val="18"/>
              </w:rPr>
            </w:pPr>
          </w:p>
        </w:tc>
        <w:tc>
          <w:tcPr>
            <w:tcW w:w="732" w:type="dxa"/>
          </w:tcPr>
          <w:p w14:paraId="6EDADED7" w14:textId="77777777" w:rsidR="00DE575E" w:rsidRDefault="00DE575E">
            <w:pPr>
              <w:pStyle w:val="TableParagraph"/>
              <w:ind w:left="0"/>
              <w:rPr>
                <w:rFonts w:ascii="Times New Roman"/>
                <w:sz w:val="18"/>
              </w:rPr>
            </w:pPr>
          </w:p>
        </w:tc>
      </w:tr>
      <w:tr w:rsidR="00DE575E" w14:paraId="2137FF09" w14:textId="77777777">
        <w:trPr>
          <w:trHeight w:val="258"/>
        </w:trPr>
        <w:tc>
          <w:tcPr>
            <w:tcW w:w="567" w:type="dxa"/>
          </w:tcPr>
          <w:p w14:paraId="7221539E" w14:textId="77777777" w:rsidR="00DE575E" w:rsidRDefault="002E7560">
            <w:pPr>
              <w:pStyle w:val="TableParagraph"/>
              <w:spacing w:before="17" w:line="222" w:lineRule="exact"/>
              <w:rPr>
                <w:sz w:val="20"/>
              </w:rPr>
            </w:pPr>
            <w:r>
              <w:rPr>
                <w:color w:val="231F20"/>
                <w:sz w:val="20"/>
              </w:rPr>
              <w:t>3.</w:t>
            </w:r>
          </w:p>
        </w:tc>
        <w:tc>
          <w:tcPr>
            <w:tcW w:w="4493" w:type="dxa"/>
          </w:tcPr>
          <w:p w14:paraId="0391C026" w14:textId="77777777" w:rsidR="00DE575E" w:rsidRDefault="002E7560">
            <w:pPr>
              <w:pStyle w:val="TableParagraph"/>
              <w:spacing w:before="17" w:line="222" w:lineRule="exact"/>
              <w:rPr>
                <w:sz w:val="20"/>
              </w:rPr>
            </w:pPr>
            <w:r>
              <w:rPr>
                <w:color w:val="231F20"/>
                <w:sz w:val="20"/>
              </w:rPr>
              <w:t>Джерела адміністративного права</w:t>
            </w:r>
          </w:p>
        </w:tc>
        <w:tc>
          <w:tcPr>
            <w:tcW w:w="732" w:type="dxa"/>
          </w:tcPr>
          <w:p w14:paraId="09852D14" w14:textId="77777777" w:rsidR="00DE575E" w:rsidRDefault="002E7560">
            <w:pPr>
              <w:pStyle w:val="TableParagraph"/>
              <w:spacing w:before="17" w:line="222" w:lineRule="exact"/>
              <w:ind w:left="234" w:right="226"/>
              <w:jc w:val="center"/>
              <w:rPr>
                <w:sz w:val="20"/>
              </w:rPr>
            </w:pPr>
            <w:r>
              <w:rPr>
                <w:color w:val="231F20"/>
                <w:sz w:val="20"/>
              </w:rPr>
              <w:t>10</w:t>
            </w:r>
          </w:p>
        </w:tc>
        <w:tc>
          <w:tcPr>
            <w:tcW w:w="732" w:type="dxa"/>
          </w:tcPr>
          <w:p w14:paraId="551EFF61" w14:textId="77777777" w:rsidR="00DE575E" w:rsidRDefault="002E7560">
            <w:pPr>
              <w:pStyle w:val="TableParagraph"/>
              <w:spacing w:before="17" w:line="222" w:lineRule="exact"/>
              <w:ind w:left="303"/>
              <w:rPr>
                <w:sz w:val="20"/>
              </w:rPr>
            </w:pPr>
            <w:r>
              <w:rPr>
                <w:color w:val="231F20"/>
                <w:sz w:val="20"/>
              </w:rPr>
              <w:t>В</w:t>
            </w:r>
          </w:p>
        </w:tc>
      </w:tr>
      <w:tr w:rsidR="00DE575E" w14:paraId="5953619F" w14:textId="77777777">
        <w:trPr>
          <w:trHeight w:val="474"/>
        </w:trPr>
        <w:tc>
          <w:tcPr>
            <w:tcW w:w="567" w:type="dxa"/>
          </w:tcPr>
          <w:p w14:paraId="7C3FCB17" w14:textId="77777777" w:rsidR="00DE575E" w:rsidRDefault="002E7560">
            <w:pPr>
              <w:pStyle w:val="TableParagraph"/>
              <w:spacing w:before="17"/>
              <w:rPr>
                <w:sz w:val="20"/>
              </w:rPr>
            </w:pPr>
            <w:r>
              <w:rPr>
                <w:color w:val="231F20"/>
                <w:sz w:val="20"/>
              </w:rPr>
              <w:t>3.1.</w:t>
            </w:r>
          </w:p>
        </w:tc>
        <w:tc>
          <w:tcPr>
            <w:tcW w:w="4493" w:type="dxa"/>
          </w:tcPr>
          <w:p w14:paraId="365F34DB" w14:textId="77777777" w:rsidR="00DE575E" w:rsidRDefault="002E7560">
            <w:pPr>
              <w:pStyle w:val="TableParagraph"/>
              <w:spacing w:before="17" w:line="225" w:lineRule="exact"/>
              <w:rPr>
                <w:i/>
                <w:sz w:val="20"/>
              </w:rPr>
            </w:pPr>
            <w:r>
              <w:rPr>
                <w:i/>
                <w:color w:val="231F20"/>
                <w:spacing w:val="-4"/>
                <w:sz w:val="20"/>
              </w:rPr>
              <w:t xml:space="preserve">Сутність </w:t>
            </w:r>
            <w:r>
              <w:rPr>
                <w:i/>
                <w:color w:val="231F20"/>
                <w:sz w:val="20"/>
              </w:rPr>
              <w:t xml:space="preserve">і </w:t>
            </w:r>
            <w:r>
              <w:rPr>
                <w:i/>
                <w:color w:val="231F20"/>
                <w:spacing w:val="-4"/>
                <w:sz w:val="20"/>
              </w:rPr>
              <w:t xml:space="preserve">види </w:t>
            </w:r>
            <w:r>
              <w:rPr>
                <w:i/>
                <w:color w:val="231F20"/>
                <w:spacing w:val="-5"/>
                <w:sz w:val="20"/>
              </w:rPr>
              <w:t xml:space="preserve">джерел </w:t>
            </w:r>
            <w:r>
              <w:rPr>
                <w:i/>
                <w:color w:val="231F20"/>
                <w:spacing w:val="-4"/>
                <w:sz w:val="20"/>
              </w:rPr>
              <w:t xml:space="preserve">адміністративного </w:t>
            </w:r>
            <w:r>
              <w:rPr>
                <w:i/>
                <w:color w:val="231F20"/>
                <w:spacing w:val="-5"/>
                <w:sz w:val="20"/>
              </w:rPr>
              <w:t>права</w:t>
            </w:r>
          </w:p>
          <w:p w14:paraId="7D7B8701" w14:textId="77777777" w:rsidR="00DE575E" w:rsidRDefault="002E7560">
            <w:pPr>
              <w:pStyle w:val="TableParagraph"/>
              <w:spacing w:line="212" w:lineRule="exact"/>
              <w:rPr>
                <w:sz w:val="20"/>
              </w:rPr>
            </w:pPr>
            <w:r>
              <w:rPr>
                <w:color w:val="231F20"/>
                <w:sz w:val="20"/>
              </w:rPr>
              <w:t>Поняття джерел адміністративного права.</w:t>
            </w:r>
          </w:p>
        </w:tc>
        <w:tc>
          <w:tcPr>
            <w:tcW w:w="732" w:type="dxa"/>
          </w:tcPr>
          <w:p w14:paraId="06F71C37" w14:textId="77777777" w:rsidR="00DE575E" w:rsidRDefault="00DE575E">
            <w:pPr>
              <w:pStyle w:val="TableParagraph"/>
              <w:ind w:left="0"/>
              <w:rPr>
                <w:rFonts w:ascii="Times New Roman"/>
                <w:sz w:val="18"/>
              </w:rPr>
            </w:pPr>
          </w:p>
        </w:tc>
        <w:tc>
          <w:tcPr>
            <w:tcW w:w="732" w:type="dxa"/>
          </w:tcPr>
          <w:p w14:paraId="51021E5B" w14:textId="77777777" w:rsidR="00DE575E" w:rsidRDefault="00DE575E">
            <w:pPr>
              <w:pStyle w:val="TableParagraph"/>
              <w:ind w:left="0"/>
              <w:rPr>
                <w:rFonts w:ascii="Times New Roman"/>
                <w:sz w:val="18"/>
              </w:rPr>
            </w:pPr>
          </w:p>
        </w:tc>
      </w:tr>
    </w:tbl>
    <w:p w14:paraId="6ED5056C" w14:textId="77777777" w:rsidR="00DE575E" w:rsidRDefault="00DE575E">
      <w:pPr>
        <w:pStyle w:val="BodyText"/>
        <w:rPr>
          <w:rFonts w:ascii="AdonisC"/>
          <w:i/>
          <w:sz w:val="18"/>
        </w:rPr>
      </w:pPr>
    </w:p>
    <w:p w14:paraId="7D3DF951" w14:textId="77777777" w:rsidR="00DE575E" w:rsidRDefault="00DE575E">
      <w:pPr>
        <w:pStyle w:val="BodyText"/>
        <w:spacing w:before="9"/>
        <w:rPr>
          <w:rFonts w:ascii="AdonisC"/>
          <w:i/>
          <w:sz w:val="20"/>
        </w:rPr>
      </w:pPr>
    </w:p>
    <w:p w14:paraId="4D9286A5" w14:textId="77777777" w:rsidR="00DE575E" w:rsidRDefault="002E7560">
      <w:pPr>
        <w:ind w:left="533"/>
        <w:rPr>
          <w:rFonts w:ascii="Times New Roman"/>
          <w:sz w:val="20"/>
        </w:rPr>
      </w:pPr>
      <w:r>
        <w:rPr>
          <w:rFonts w:ascii="Times New Roman"/>
          <w:color w:val="231F20"/>
          <w:sz w:val="20"/>
        </w:rPr>
        <w:t>572</w:t>
      </w:r>
    </w:p>
    <w:p w14:paraId="09444947" w14:textId="77777777" w:rsidR="00DE575E" w:rsidRDefault="00DE575E">
      <w:pPr>
        <w:rPr>
          <w:rFonts w:ascii="Times New Roman"/>
          <w:sz w:val="20"/>
        </w:rPr>
        <w:sectPr w:rsidR="00DE575E">
          <w:pgSz w:w="8510" w:h="12760"/>
          <w:pgMar w:top="660" w:right="720" w:bottom="280" w:left="600" w:header="720" w:footer="720" w:gutter="0"/>
          <w:cols w:space="720"/>
        </w:sectPr>
      </w:pPr>
    </w:p>
    <w:p w14:paraId="1BBBDA66" w14:textId="77777777" w:rsidR="00DE575E" w:rsidRDefault="002E7560">
      <w:pPr>
        <w:spacing w:before="72" w:after="9"/>
        <w:ind w:right="411"/>
        <w:jc w:val="right"/>
        <w:rPr>
          <w:rFonts w:ascii="AdonisC" w:hAnsi="AdonisC"/>
          <w:i/>
          <w:sz w:val="18"/>
        </w:rPr>
      </w:pPr>
      <w:r>
        <w:rPr>
          <w:rFonts w:ascii="AdonisC" w:hAnsi="AdonisC"/>
          <w:i/>
          <w:color w:val="231F20"/>
          <w:sz w:val="18"/>
        </w:rPr>
        <w:t>Додаток</w:t>
      </w:r>
    </w:p>
    <w:p w14:paraId="10B637F9" w14:textId="76A59CC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0A1007E4" wp14:editId="01A373FF">
                <wp:extent cx="4140200" cy="6350"/>
                <wp:effectExtent l="0" t="0" r="12700" b="635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4" name="Line 2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FF91D3" id="Group_x0020_2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HYS4QB8AgAAlAUAAA4AAAAA&#10;AAAAAAAAAAAALAIAAGRycy9lMm9Eb2MueG1sUEsBAi0AFAAGAAgAAAAhAEynsJDZAAAAAwEAAA8A&#10;AAAAAAAAAAAAAAAA1AQAAGRycy9kb3ducmV2LnhtbFBLBQYAAAAABAAEAPMAAADaBQAAAAA=&#10;">
                <v:line id="Line_x0020_2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6HrsUAAADbAAAADwAAAGRycy9kb3ducmV2LnhtbESP3WrCQBSE7wu+w3IKvZG68Qcp0VVE&#10;KJRe+Bcf4Jg9JqG7Z2N2NdGn7xaEXg4z8w0zX3bWiBs1vnKsYDhIQBDnTldcKDhmn+8fIHxA1mgc&#10;k4I7eVguei9zTLVreU+3QyhEhLBPUUEZQp1K6fOSLPqBq4mjd3aNxRBlU0jdYBvh1shRkkylxYrj&#10;Qok1rUvKfw5XqyC79IPZbb9Nm21PY3m6bMaP60apt9duNQMRqAv/4Wf7SysYTeDvS/wB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X6HrsUAAADbAAAADwAAAAAAAAAA&#10;AAAAAAChAgAAZHJzL2Rvd25yZXYueG1sUEsFBgAAAAAEAAQA+QAAAJMDAAAAAA==&#10;" strokecolor="#231f20" strokeweight=".5pt"/>
                <w10:anchorlock/>
              </v:group>
            </w:pict>
          </mc:Fallback>
        </mc:AlternateContent>
      </w:r>
    </w:p>
    <w:p w14:paraId="398E18C9"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744AA6FC" w14:textId="77777777">
        <w:trPr>
          <w:trHeight w:val="478"/>
        </w:trPr>
        <w:tc>
          <w:tcPr>
            <w:tcW w:w="567" w:type="dxa"/>
          </w:tcPr>
          <w:p w14:paraId="1B599BE2" w14:textId="77777777" w:rsidR="00DE575E" w:rsidRDefault="00DE575E">
            <w:pPr>
              <w:pStyle w:val="TableParagraph"/>
              <w:ind w:left="0"/>
              <w:rPr>
                <w:rFonts w:ascii="Times New Roman"/>
                <w:sz w:val="18"/>
              </w:rPr>
            </w:pPr>
          </w:p>
        </w:tc>
        <w:tc>
          <w:tcPr>
            <w:tcW w:w="4493" w:type="dxa"/>
          </w:tcPr>
          <w:p w14:paraId="57BDDDCE" w14:textId="77777777" w:rsidR="00DE575E" w:rsidRDefault="002E7560">
            <w:pPr>
              <w:pStyle w:val="TableParagraph"/>
              <w:spacing w:before="31" w:line="220" w:lineRule="exact"/>
              <w:ind w:right="45"/>
              <w:rPr>
                <w:sz w:val="20"/>
              </w:rPr>
            </w:pPr>
            <w:r>
              <w:rPr>
                <w:color w:val="231F20"/>
                <w:sz w:val="20"/>
              </w:rPr>
              <w:t>Значення джерел адміністративного права. Система джерел адміністративного права.</w:t>
            </w:r>
          </w:p>
        </w:tc>
        <w:tc>
          <w:tcPr>
            <w:tcW w:w="732" w:type="dxa"/>
          </w:tcPr>
          <w:p w14:paraId="29F30439" w14:textId="77777777" w:rsidR="00DE575E" w:rsidRDefault="00DE575E">
            <w:pPr>
              <w:pStyle w:val="TableParagraph"/>
              <w:ind w:left="0"/>
              <w:rPr>
                <w:rFonts w:ascii="Times New Roman"/>
                <w:sz w:val="18"/>
              </w:rPr>
            </w:pPr>
          </w:p>
        </w:tc>
        <w:tc>
          <w:tcPr>
            <w:tcW w:w="732" w:type="dxa"/>
          </w:tcPr>
          <w:p w14:paraId="6AF5D71F" w14:textId="77777777" w:rsidR="00DE575E" w:rsidRDefault="00DE575E">
            <w:pPr>
              <w:pStyle w:val="TableParagraph"/>
              <w:ind w:left="0"/>
              <w:rPr>
                <w:rFonts w:ascii="Times New Roman"/>
                <w:sz w:val="18"/>
              </w:rPr>
            </w:pPr>
          </w:p>
        </w:tc>
      </w:tr>
      <w:tr w:rsidR="00DE575E" w14:paraId="5940E0BE" w14:textId="77777777">
        <w:trPr>
          <w:trHeight w:val="1578"/>
        </w:trPr>
        <w:tc>
          <w:tcPr>
            <w:tcW w:w="567" w:type="dxa"/>
          </w:tcPr>
          <w:p w14:paraId="6EF512F2" w14:textId="77777777" w:rsidR="00DE575E" w:rsidRDefault="002E7560">
            <w:pPr>
              <w:pStyle w:val="TableParagraph"/>
              <w:spacing w:before="17"/>
              <w:rPr>
                <w:sz w:val="20"/>
              </w:rPr>
            </w:pPr>
            <w:r>
              <w:rPr>
                <w:color w:val="231F20"/>
                <w:sz w:val="20"/>
              </w:rPr>
              <w:t>3.2.</w:t>
            </w:r>
          </w:p>
        </w:tc>
        <w:tc>
          <w:tcPr>
            <w:tcW w:w="4493" w:type="dxa"/>
          </w:tcPr>
          <w:p w14:paraId="4AE4C26D" w14:textId="77777777" w:rsidR="00DE575E" w:rsidRDefault="002E7560">
            <w:pPr>
              <w:pStyle w:val="TableParagraph"/>
              <w:tabs>
                <w:tab w:val="left" w:pos="1402"/>
                <w:tab w:val="left" w:pos="2326"/>
                <w:tab w:val="left" w:pos="2749"/>
                <w:tab w:val="left" w:pos="3578"/>
              </w:tabs>
              <w:spacing w:before="28" w:line="225" w:lineRule="auto"/>
              <w:ind w:right="44"/>
              <w:rPr>
                <w:sz w:val="20"/>
              </w:rPr>
            </w:pPr>
            <w:r>
              <w:rPr>
                <w:i/>
                <w:color w:val="231F20"/>
                <w:sz w:val="20"/>
              </w:rPr>
              <w:t xml:space="preserve">Національні джерела адміністративного права </w:t>
            </w:r>
            <w:r>
              <w:rPr>
                <w:color w:val="231F20"/>
                <w:sz w:val="20"/>
              </w:rPr>
              <w:t>Конституція</w:t>
            </w:r>
            <w:r>
              <w:rPr>
                <w:color w:val="231F20"/>
                <w:sz w:val="20"/>
              </w:rPr>
              <w:tab/>
            </w:r>
            <w:r>
              <w:rPr>
                <w:color w:val="231F20"/>
                <w:spacing w:val="-3"/>
                <w:sz w:val="20"/>
              </w:rPr>
              <w:t>України</w:t>
            </w:r>
            <w:r>
              <w:rPr>
                <w:color w:val="231F20"/>
                <w:spacing w:val="-3"/>
                <w:sz w:val="20"/>
              </w:rPr>
              <w:tab/>
            </w:r>
            <w:r>
              <w:rPr>
                <w:color w:val="231F20"/>
                <w:sz w:val="20"/>
              </w:rPr>
              <w:t>як</w:t>
            </w:r>
            <w:r>
              <w:rPr>
                <w:color w:val="231F20"/>
                <w:sz w:val="20"/>
              </w:rPr>
              <w:tab/>
              <w:t>основа</w:t>
            </w:r>
            <w:r>
              <w:rPr>
                <w:color w:val="231F20"/>
                <w:sz w:val="20"/>
              </w:rPr>
              <w:tab/>
            </w:r>
            <w:r>
              <w:rPr>
                <w:color w:val="231F20"/>
                <w:spacing w:val="-2"/>
                <w:sz w:val="20"/>
              </w:rPr>
              <w:t xml:space="preserve">побудови </w:t>
            </w:r>
            <w:r>
              <w:rPr>
                <w:color w:val="231F20"/>
                <w:sz w:val="20"/>
              </w:rPr>
              <w:t>системи джерел адміністративного</w:t>
            </w:r>
            <w:r>
              <w:rPr>
                <w:color w:val="231F20"/>
                <w:spacing w:val="-4"/>
                <w:sz w:val="20"/>
              </w:rPr>
              <w:t xml:space="preserve"> </w:t>
            </w:r>
            <w:r>
              <w:rPr>
                <w:color w:val="231F20"/>
                <w:sz w:val="20"/>
              </w:rPr>
              <w:t>права.</w:t>
            </w:r>
          </w:p>
          <w:p w14:paraId="4503BAD2" w14:textId="77777777" w:rsidR="00DE575E" w:rsidRDefault="002E7560">
            <w:pPr>
              <w:pStyle w:val="TableParagraph"/>
              <w:spacing w:line="225" w:lineRule="auto"/>
              <w:ind w:right="45"/>
              <w:rPr>
                <w:sz w:val="20"/>
              </w:rPr>
            </w:pPr>
            <w:r>
              <w:rPr>
                <w:color w:val="231F20"/>
                <w:sz w:val="20"/>
              </w:rPr>
              <w:t>Законодавчі акти як джерела адміністратив- ного права.</w:t>
            </w:r>
          </w:p>
          <w:p w14:paraId="3B22E15B" w14:textId="77777777" w:rsidR="00DE575E" w:rsidRDefault="002E7560">
            <w:pPr>
              <w:pStyle w:val="TableParagraph"/>
              <w:spacing w:before="1" w:line="220" w:lineRule="exact"/>
              <w:ind w:right="45"/>
              <w:rPr>
                <w:sz w:val="20"/>
              </w:rPr>
            </w:pPr>
            <w:r>
              <w:rPr>
                <w:color w:val="231F20"/>
                <w:sz w:val="20"/>
              </w:rPr>
              <w:t>Підзаконні нормативні акти як джерела адмі- ністративного права.</w:t>
            </w:r>
          </w:p>
        </w:tc>
        <w:tc>
          <w:tcPr>
            <w:tcW w:w="732" w:type="dxa"/>
          </w:tcPr>
          <w:p w14:paraId="442C3C72" w14:textId="77777777" w:rsidR="00DE575E" w:rsidRDefault="00DE575E">
            <w:pPr>
              <w:pStyle w:val="TableParagraph"/>
              <w:ind w:left="0"/>
              <w:rPr>
                <w:rFonts w:ascii="Times New Roman"/>
                <w:sz w:val="18"/>
              </w:rPr>
            </w:pPr>
          </w:p>
        </w:tc>
        <w:tc>
          <w:tcPr>
            <w:tcW w:w="732" w:type="dxa"/>
          </w:tcPr>
          <w:p w14:paraId="7017B9D4" w14:textId="77777777" w:rsidR="00DE575E" w:rsidRDefault="00DE575E">
            <w:pPr>
              <w:pStyle w:val="TableParagraph"/>
              <w:ind w:left="0"/>
              <w:rPr>
                <w:rFonts w:ascii="Times New Roman"/>
                <w:sz w:val="18"/>
              </w:rPr>
            </w:pPr>
          </w:p>
        </w:tc>
      </w:tr>
      <w:tr w:rsidR="00DE575E" w14:paraId="17C1F22C" w14:textId="77777777">
        <w:trPr>
          <w:trHeight w:val="2458"/>
        </w:trPr>
        <w:tc>
          <w:tcPr>
            <w:tcW w:w="567" w:type="dxa"/>
          </w:tcPr>
          <w:p w14:paraId="28FAB410" w14:textId="77777777" w:rsidR="00DE575E" w:rsidRDefault="002E7560">
            <w:pPr>
              <w:pStyle w:val="TableParagraph"/>
              <w:spacing w:before="17"/>
              <w:rPr>
                <w:sz w:val="20"/>
              </w:rPr>
            </w:pPr>
            <w:r>
              <w:rPr>
                <w:color w:val="231F20"/>
                <w:sz w:val="20"/>
              </w:rPr>
              <w:t>3.3.</w:t>
            </w:r>
          </w:p>
        </w:tc>
        <w:tc>
          <w:tcPr>
            <w:tcW w:w="4493" w:type="dxa"/>
          </w:tcPr>
          <w:p w14:paraId="34DA97E4" w14:textId="77777777" w:rsidR="00DE575E" w:rsidRDefault="002E7560">
            <w:pPr>
              <w:pStyle w:val="TableParagraph"/>
              <w:spacing w:before="28" w:line="225" w:lineRule="auto"/>
              <w:ind w:right="51"/>
              <w:rPr>
                <w:sz w:val="20"/>
              </w:rPr>
            </w:pPr>
            <w:r>
              <w:rPr>
                <w:i/>
                <w:color w:val="231F20"/>
                <w:sz w:val="20"/>
              </w:rPr>
              <w:t xml:space="preserve">Міжнародні джерела адміністративного права </w:t>
            </w:r>
            <w:r>
              <w:rPr>
                <w:color w:val="231F20"/>
                <w:sz w:val="20"/>
              </w:rPr>
              <w:t>Міжнародні договори як джерела адміністра- тивного права (Міжнародний пакт про грома- дянські й політичні права, Конвенція про захист прав людини та основоположних свобод та</w:t>
            </w:r>
            <w:r>
              <w:rPr>
                <w:color w:val="231F20"/>
                <w:spacing w:val="2"/>
                <w:sz w:val="20"/>
              </w:rPr>
              <w:t xml:space="preserve"> </w:t>
            </w:r>
            <w:r>
              <w:rPr>
                <w:color w:val="231F20"/>
                <w:sz w:val="20"/>
              </w:rPr>
              <w:t>ін.).</w:t>
            </w:r>
          </w:p>
          <w:p w14:paraId="4101C3A5" w14:textId="77777777" w:rsidR="00DE575E" w:rsidRDefault="002E7560">
            <w:pPr>
              <w:pStyle w:val="TableParagraph"/>
              <w:spacing w:line="225" w:lineRule="auto"/>
              <w:ind w:right="44"/>
              <w:jc w:val="both"/>
              <w:rPr>
                <w:sz w:val="20"/>
              </w:rPr>
            </w:pPr>
            <w:r>
              <w:rPr>
                <w:color w:val="231F20"/>
                <w:sz w:val="20"/>
              </w:rPr>
              <w:t>Юридичні акти Європейського Союзу як джерела адміністративного права в конте</w:t>
            </w:r>
            <w:r>
              <w:rPr>
                <w:color w:val="231F20"/>
                <w:sz w:val="20"/>
              </w:rPr>
              <w:t>ксті правотворчої діяльності.</w:t>
            </w:r>
          </w:p>
          <w:p w14:paraId="7BBB6528" w14:textId="77777777" w:rsidR="00DE575E" w:rsidRDefault="002E7560">
            <w:pPr>
              <w:pStyle w:val="TableParagraph"/>
              <w:spacing w:line="220" w:lineRule="exact"/>
              <w:ind w:right="45"/>
              <w:rPr>
                <w:sz w:val="20"/>
              </w:rPr>
            </w:pPr>
            <w:r>
              <w:rPr>
                <w:color w:val="231F20"/>
                <w:sz w:val="20"/>
              </w:rPr>
              <w:t>«М’яке право» у системі джерел адміністратив- ного права.</w:t>
            </w:r>
          </w:p>
        </w:tc>
        <w:tc>
          <w:tcPr>
            <w:tcW w:w="732" w:type="dxa"/>
          </w:tcPr>
          <w:p w14:paraId="5F24B607" w14:textId="77777777" w:rsidR="00DE575E" w:rsidRDefault="00DE575E">
            <w:pPr>
              <w:pStyle w:val="TableParagraph"/>
              <w:ind w:left="0"/>
              <w:rPr>
                <w:rFonts w:ascii="Times New Roman"/>
                <w:sz w:val="18"/>
              </w:rPr>
            </w:pPr>
          </w:p>
        </w:tc>
        <w:tc>
          <w:tcPr>
            <w:tcW w:w="732" w:type="dxa"/>
          </w:tcPr>
          <w:p w14:paraId="1E68062F" w14:textId="77777777" w:rsidR="00DE575E" w:rsidRDefault="00DE575E">
            <w:pPr>
              <w:pStyle w:val="TableParagraph"/>
              <w:ind w:left="0"/>
              <w:rPr>
                <w:rFonts w:ascii="Times New Roman"/>
                <w:sz w:val="18"/>
              </w:rPr>
            </w:pPr>
          </w:p>
        </w:tc>
      </w:tr>
      <w:tr w:rsidR="00DE575E" w14:paraId="5E4AFD99" w14:textId="77777777">
        <w:trPr>
          <w:trHeight w:val="1798"/>
        </w:trPr>
        <w:tc>
          <w:tcPr>
            <w:tcW w:w="567" w:type="dxa"/>
          </w:tcPr>
          <w:p w14:paraId="06744533" w14:textId="77777777" w:rsidR="00DE575E" w:rsidRDefault="002E7560">
            <w:pPr>
              <w:pStyle w:val="TableParagraph"/>
              <w:spacing w:before="17"/>
              <w:rPr>
                <w:sz w:val="20"/>
              </w:rPr>
            </w:pPr>
            <w:r>
              <w:rPr>
                <w:color w:val="231F20"/>
                <w:sz w:val="20"/>
              </w:rPr>
              <w:t>3.4.</w:t>
            </w:r>
          </w:p>
        </w:tc>
        <w:tc>
          <w:tcPr>
            <w:tcW w:w="4493" w:type="dxa"/>
          </w:tcPr>
          <w:p w14:paraId="358F6662" w14:textId="77777777" w:rsidR="00DE575E" w:rsidRDefault="002E7560">
            <w:pPr>
              <w:pStyle w:val="TableParagraph"/>
              <w:spacing w:before="28" w:line="225" w:lineRule="auto"/>
              <w:ind w:right="45"/>
              <w:jc w:val="both"/>
              <w:rPr>
                <w:i/>
                <w:sz w:val="20"/>
              </w:rPr>
            </w:pPr>
            <w:r>
              <w:rPr>
                <w:i/>
                <w:color w:val="231F20"/>
                <w:sz w:val="20"/>
              </w:rPr>
              <w:t>Рішення судових органів у системі джерел адмі- ністративного права</w:t>
            </w:r>
          </w:p>
          <w:p w14:paraId="5957818F" w14:textId="77777777" w:rsidR="00DE575E" w:rsidRDefault="002E7560">
            <w:pPr>
              <w:pStyle w:val="TableParagraph"/>
              <w:spacing w:before="2" w:line="220" w:lineRule="exact"/>
              <w:ind w:right="40"/>
              <w:jc w:val="both"/>
              <w:rPr>
                <w:sz w:val="20"/>
              </w:rPr>
            </w:pPr>
            <w:r>
              <w:rPr>
                <w:color w:val="231F20"/>
                <w:sz w:val="20"/>
              </w:rPr>
              <w:t xml:space="preserve">Практика </w:t>
            </w:r>
            <w:r>
              <w:rPr>
                <w:color w:val="231F20"/>
                <w:spacing w:val="1"/>
                <w:sz w:val="20"/>
              </w:rPr>
              <w:t xml:space="preserve">Європейського </w:t>
            </w:r>
            <w:r>
              <w:rPr>
                <w:color w:val="231F20"/>
                <w:sz w:val="20"/>
              </w:rPr>
              <w:t xml:space="preserve">суду з прав людини як </w:t>
            </w:r>
            <w:r>
              <w:rPr>
                <w:color w:val="231F20"/>
                <w:spacing w:val="1"/>
                <w:sz w:val="20"/>
              </w:rPr>
              <w:t xml:space="preserve">джерело </w:t>
            </w:r>
            <w:r>
              <w:rPr>
                <w:color w:val="231F20"/>
                <w:sz w:val="20"/>
              </w:rPr>
              <w:t xml:space="preserve">адміністративного </w:t>
            </w:r>
            <w:r>
              <w:rPr>
                <w:color w:val="231F20"/>
                <w:spacing w:val="1"/>
                <w:sz w:val="20"/>
              </w:rPr>
              <w:t xml:space="preserve">права. </w:t>
            </w:r>
            <w:r>
              <w:rPr>
                <w:color w:val="231F20"/>
                <w:spacing w:val="2"/>
                <w:sz w:val="20"/>
              </w:rPr>
              <w:t xml:space="preserve">Рішення </w:t>
            </w:r>
            <w:r>
              <w:rPr>
                <w:color w:val="231F20"/>
                <w:spacing w:val="1"/>
                <w:sz w:val="20"/>
              </w:rPr>
              <w:t xml:space="preserve">Конституційного </w:t>
            </w:r>
            <w:r>
              <w:rPr>
                <w:color w:val="231F20"/>
                <w:sz w:val="20"/>
              </w:rPr>
              <w:t xml:space="preserve">Суду України в </w:t>
            </w:r>
            <w:r>
              <w:rPr>
                <w:color w:val="231F20"/>
                <w:spacing w:val="2"/>
                <w:sz w:val="20"/>
              </w:rPr>
              <w:t xml:space="preserve">системі </w:t>
            </w:r>
            <w:r>
              <w:rPr>
                <w:color w:val="231F20"/>
                <w:sz w:val="20"/>
              </w:rPr>
              <w:t xml:space="preserve">джерел адміністративного </w:t>
            </w:r>
            <w:r>
              <w:rPr>
                <w:color w:val="231F20"/>
                <w:spacing w:val="1"/>
                <w:sz w:val="20"/>
              </w:rPr>
              <w:t xml:space="preserve">права. </w:t>
            </w:r>
            <w:r>
              <w:rPr>
                <w:color w:val="231F20"/>
                <w:spacing w:val="2"/>
                <w:sz w:val="20"/>
              </w:rPr>
              <w:t xml:space="preserve">Рішення </w:t>
            </w:r>
            <w:r>
              <w:rPr>
                <w:color w:val="231F20"/>
                <w:sz w:val="20"/>
              </w:rPr>
              <w:t xml:space="preserve">Верховного Суду як </w:t>
            </w:r>
            <w:r>
              <w:rPr>
                <w:color w:val="231F20"/>
                <w:spacing w:val="1"/>
                <w:sz w:val="20"/>
              </w:rPr>
              <w:t xml:space="preserve">квазіджерело </w:t>
            </w:r>
            <w:r>
              <w:rPr>
                <w:color w:val="231F20"/>
                <w:sz w:val="20"/>
              </w:rPr>
              <w:t>адміністра- тивного</w:t>
            </w:r>
            <w:r>
              <w:rPr>
                <w:color w:val="231F20"/>
                <w:spacing w:val="7"/>
                <w:sz w:val="20"/>
              </w:rPr>
              <w:t xml:space="preserve"> </w:t>
            </w:r>
            <w:r>
              <w:rPr>
                <w:color w:val="231F20"/>
                <w:spacing w:val="1"/>
                <w:sz w:val="20"/>
              </w:rPr>
              <w:t>права.</w:t>
            </w:r>
          </w:p>
        </w:tc>
        <w:tc>
          <w:tcPr>
            <w:tcW w:w="732" w:type="dxa"/>
          </w:tcPr>
          <w:p w14:paraId="0D12417D" w14:textId="77777777" w:rsidR="00DE575E" w:rsidRDefault="00DE575E">
            <w:pPr>
              <w:pStyle w:val="TableParagraph"/>
              <w:ind w:left="0"/>
              <w:rPr>
                <w:rFonts w:ascii="Times New Roman"/>
                <w:sz w:val="18"/>
              </w:rPr>
            </w:pPr>
          </w:p>
        </w:tc>
        <w:tc>
          <w:tcPr>
            <w:tcW w:w="732" w:type="dxa"/>
          </w:tcPr>
          <w:p w14:paraId="10671987" w14:textId="77777777" w:rsidR="00DE575E" w:rsidRDefault="00DE575E">
            <w:pPr>
              <w:pStyle w:val="TableParagraph"/>
              <w:ind w:left="0"/>
              <w:rPr>
                <w:rFonts w:ascii="Times New Roman"/>
                <w:sz w:val="18"/>
              </w:rPr>
            </w:pPr>
          </w:p>
        </w:tc>
      </w:tr>
      <w:tr w:rsidR="00DE575E" w14:paraId="1D932E55" w14:textId="77777777">
        <w:trPr>
          <w:trHeight w:val="1358"/>
        </w:trPr>
        <w:tc>
          <w:tcPr>
            <w:tcW w:w="567" w:type="dxa"/>
          </w:tcPr>
          <w:p w14:paraId="7DEFC134" w14:textId="77777777" w:rsidR="00DE575E" w:rsidRDefault="002E7560">
            <w:pPr>
              <w:pStyle w:val="TableParagraph"/>
              <w:spacing w:before="17"/>
              <w:rPr>
                <w:sz w:val="20"/>
              </w:rPr>
            </w:pPr>
            <w:r>
              <w:rPr>
                <w:color w:val="231F20"/>
                <w:sz w:val="20"/>
              </w:rPr>
              <w:t>3.5.</w:t>
            </w:r>
          </w:p>
        </w:tc>
        <w:tc>
          <w:tcPr>
            <w:tcW w:w="4493" w:type="dxa"/>
          </w:tcPr>
          <w:p w14:paraId="71D3D3EF" w14:textId="77777777" w:rsidR="00DE575E" w:rsidRDefault="002E7560">
            <w:pPr>
              <w:pStyle w:val="TableParagraph"/>
              <w:spacing w:before="28" w:line="225" w:lineRule="auto"/>
              <w:ind w:right="45"/>
              <w:jc w:val="both"/>
              <w:rPr>
                <w:i/>
                <w:sz w:val="20"/>
              </w:rPr>
            </w:pPr>
            <w:r>
              <w:rPr>
                <w:i/>
                <w:color w:val="231F20"/>
                <w:sz w:val="20"/>
              </w:rPr>
              <w:t>Неформалізовані квазіджерела адміністратив- ного права</w:t>
            </w:r>
          </w:p>
          <w:p w14:paraId="66767554" w14:textId="77777777" w:rsidR="00DE575E" w:rsidRDefault="002E7560">
            <w:pPr>
              <w:pStyle w:val="TableParagraph"/>
              <w:spacing w:before="2" w:line="220" w:lineRule="exact"/>
              <w:ind w:right="44"/>
              <w:jc w:val="both"/>
              <w:rPr>
                <w:sz w:val="20"/>
              </w:rPr>
            </w:pPr>
            <w:r>
              <w:rPr>
                <w:color w:val="231F20"/>
                <w:sz w:val="20"/>
              </w:rPr>
              <w:t>Поняття, значення та види неформалізованих квазіджерел адміністративного права (норми моралі, адміністративна практика та юридична доктрина).</w:t>
            </w:r>
          </w:p>
        </w:tc>
        <w:tc>
          <w:tcPr>
            <w:tcW w:w="732" w:type="dxa"/>
          </w:tcPr>
          <w:p w14:paraId="697FFAF1" w14:textId="77777777" w:rsidR="00DE575E" w:rsidRDefault="00DE575E">
            <w:pPr>
              <w:pStyle w:val="TableParagraph"/>
              <w:ind w:left="0"/>
              <w:rPr>
                <w:rFonts w:ascii="Times New Roman"/>
                <w:sz w:val="18"/>
              </w:rPr>
            </w:pPr>
          </w:p>
        </w:tc>
        <w:tc>
          <w:tcPr>
            <w:tcW w:w="732" w:type="dxa"/>
          </w:tcPr>
          <w:p w14:paraId="6DCAF12D" w14:textId="77777777" w:rsidR="00DE575E" w:rsidRDefault="00DE575E">
            <w:pPr>
              <w:pStyle w:val="TableParagraph"/>
              <w:ind w:left="0"/>
              <w:rPr>
                <w:rFonts w:ascii="Times New Roman"/>
                <w:sz w:val="18"/>
              </w:rPr>
            </w:pPr>
          </w:p>
        </w:tc>
      </w:tr>
      <w:tr w:rsidR="00DE575E" w14:paraId="0DE8E994" w14:textId="77777777">
        <w:trPr>
          <w:trHeight w:val="2018"/>
        </w:trPr>
        <w:tc>
          <w:tcPr>
            <w:tcW w:w="567" w:type="dxa"/>
          </w:tcPr>
          <w:p w14:paraId="32652468" w14:textId="77777777" w:rsidR="00DE575E" w:rsidRDefault="002E7560">
            <w:pPr>
              <w:pStyle w:val="TableParagraph"/>
              <w:spacing w:before="17"/>
              <w:rPr>
                <w:sz w:val="20"/>
              </w:rPr>
            </w:pPr>
            <w:r>
              <w:rPr>
                <w:color w:val="231F20"/>
                <w:sz w:val="20"/>
              </w:rPr>
              <w:t>3.6.</w:t>
            </w:r>
          </w:p>
        </w:tc>
        <w:tc>
          <w:tcPr>
            <w:tcW w:w="4493" w:type="dxa"/>
          </w:tcPr>
          <w:p w14:paraId="6D328617" w14:textId="77777777" w:rsidR="00DE575E" w:rsidRDefault="002E7560">
            <w:pPr>
              <w:pStyle w:val="TableParagraph"/>
              <w:spacing w:before="28" w:line="225" w:lineRule="auto"/>
              <w:ind w:right="45"/>
              <w:jc w:val="both"/>
              <w:rPr>
                <w:i/>
                <w:sz w:val="20"/>
              </w:rPr>
            </w:pPr>
            <w:r>
              <w:rPr>
                <w:i/>
                <w:color w:val="231F20"/>
                <w:sz w:val="20"/>
              </w:rPr>
              <w:t>Юридична сила формалізованих джерел адмі- ністративного права</w:t>
            </w:r>
          </w:p>
          <w:p w14:paraId="464F182A" w14:textId="77777777" w:rsidR="00DE575E" w:rsidRDefault="002E7560">
            <w:pPr>
              <w:pStyle w:val="TableParagraph"/>
              <w:spacing w:before="2" w:line="220" w:lineRule="exact"/>
              <w:ind w:right="44"/>
              <w:jc w:val="both"/>
              <w:rPr>
                <w:sz w:val="20"/>
              </w:rPr>
            </w:pPr>
            <w:r>
              <w:rPr>
                <w:color w:val="231F20"/>
                <w:sz w:val="20"/>
              </w:rPr>
              <w:t>Поняття та значення юридичної сили форма- лізованих джерел адміністративного права. Система формалізованих джерел адміністра- тивного права за їх юридичною силою. Правила вирішення    конкуренції    норм,    закріплених у формалізованих джерелах адміністра</w:t>
            </w:r>
            <w:r>
              <w:rPr>
                <w:color w:val="231F20"/>
                <w:sz w:val="20"/>
              </w:rPr>
              <w:t>тивного права.</w:t>
            </w:r>
          </w:p>
        </w:tc>
        <w:tc>
          <w:tcPr>
            <w:tcW w:w="732" w:type="dxa"/>
          </w:tcPr>
          <w:p w14:paraId="635EEE2E" w14:textId="77777777" w:rsidR="00DE575E" w:rsidRDefault="00DE575E">
            <w:pPr>
              <w:pStyle w:val="TableParagraph"/>
              <w:ind w:left="0"/>
              <w:rPr>
                <w:rFonts w:ascii="Times New Roman"/>
                <w:sz w:val="18"/>
              </w:rPr>
            </w:pPr>
          </w:p>
        </w:tc>
        <w:tc>
          <w:tcPr>
            <w:tcW w:w="732" w:type="dxa"/>
          </w:tcPr>
          <w:p w14:paraId="4BE43C44" w14:textId="77777777" w:rsidR="00DE575E" w:rsidRDefault="00DE575E">
            <w:pPr>
              <w:pStyle w:val="TableParagraph"/>
              <w:ind w:left="0"/>
              <w:rPr>
                <w:rFonts w:ascii="Times New Roman"/>
                <w:sz w:val="18"/>
              </w:rPr>
            </w:pPr>
          </w:p>
        </w:tc>
      </w:tr>
    </w:tbl>
    <w:p w14:paraId="3B558352" w14:textId="77777777" w:rsidR="00DE575E" w:rsidRDefault="00DE575E">
      <w:pPr>
        <w:pStyle w:val="BodyText"/>
        <w:rPr>
          <w:rFonts w:ascii="AdonisC"/>
          <w:i/>
          <w:sz w:val="18"/>
        </w:rPr>
      </w:pPr>
    </w:p>
    <w:p w14:paraId="5A9BAF3D" w14:textId="77777777" w:rsidR="00DE575E" w:rsidRDefault="00DE575E">
      <w:pPr>
        <w:pStyle w:val="BodyText"/>
        <w:rPr>
          <w:rFonts w:ascii="AdonisC"/>
          <w:i/>
          <w:sz w:val="18"/>
        </w:rPr>
      </w:pPr>
    </w:p>
    <w:p w14:paraId="219E97D2" w14:textId="77777777" w:rsidR="00DE575E" w:rsidRDefault="002E7560">
      <w:pPr>
        <w:spacing w:before="152"/>
        <w:ind w:right="411"/>
        <w:jc w:val="right"/>
        <w:rPr>
          <w:rFonts w:ascii="Times New Roman"/>
          <w:sz w:val="20"/>
        </w:rPr>
      </w:pPr>
      <w:r>
        <w:rPr>
          <w:rFonts w:ascii="Times New Roman"/>
          <w:color w:val="231F20"/>
          <w:w w:val="90"/>
          <w:sz w:val="20"/>
        </w:rPr>
        <w:t>573</w:t>
      </w:r>
    </w:p>
    <w:p w14:paraId="5C3312E7"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2E6909ED"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0EAE930E" w14:textId="72A84FB7"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6685B37A" wp14:editId="64F6FF2D">
                <wp:extent cx="4140200" cy="6350"/>
                <wp:effectExtent l="0" t="0" r="12700" b="6350"/>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2" name="Line 2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54AD96" id="Group_x0020_2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OD1xUp8AgAAlAUAAA4AAAAA&#10;AAAAAAAAAAAALAIAAGRycy9lMm9Eb2MueG1sUEsBAi0AFAAGAAgAAAAhAEynsJDZAAAAAwEAAA8A&#10;AAAAAAAAAAAAAAAA1AQAAGRycy9kb3ducmV2LnhtbFBLBQYAAAAABAAEAPMAAADaBQAAAAA=&#10;">
                <v:line id="Line_x0020_2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u6QcUAAADbAAAADwAAAGRycy9kb3ducmV2LnhtbESP3WrCQBSE74W+w3IK3kjdNIJI6ipF&#10;EIoX/qUPcMyeJqG7Z2N2NdGndwsFL4eZ+YaZL3trxJVaXztW8D5OQBAXTtdcKvjO128zED4gazSO&#10;ScGNPCwXL4M5Ztp1fKDrMZQiQthnqKAKocmk9EVFFv3YNcTR+3GtxRBlW0rdYhfh1sg0SabSYs1x&#10;ocKGVhUVv8eLVZCfR8HsdxvT5bvTRJ7O28n9slVq+Np/foAI1Idn+L/9pRWkKfx9iT9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du6QcUAAADbAAAADwAAAAAAAAAA&#10;AAAAAAChAgAAZHJzL2Rvd25yZXYueG1sUEsFBgAAAAAEAAQA+QAAAJMDAAAAAA==&#10;" strokecolor="#231f20" strokeweight=".5pt"/>
                <w10:anchorlock/>
              </v:group>
            </w:pict>
          </mc:Fallback>
        </mc:AlternateContent>
      </w:r>
    </w:p>
    <w:p w14:paraId="5A4C3E46"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78C4D0EF" w14:textId="77777777">
        <w:trPr>
          <w:trHeight w:val="698"/>
        </w:trPr>
        <w:tc>
          <w:tcPr>
            <w:tcW w:w="567" w:type="dxa"/>
          </w:tcPr>
          <w:p w14:paraId="39FDFA7E" w14:textId="77777777" w:rsidR="00DE575E" w:rsidRDefault="002E7560">
            <w:pPr>
              <w:pStyle w:val="TableParagraph"/>
              <w:spacing w:before="17"/>
              <w:rPr>
                <w:sz w:val="20"/>
              </w:rPr>
            </w:pPr>
            <w:r>
              <w:rPr>
                <w:color w:val="231F20"/>
                <w:sz w:val="20"/>
              </w:rPr>
              <w:t>4.</w:t>
            </w:r>
          </w:p>
        </w:tc>
        <w:tc>
          <w:tcPr>
            <w:tcW w:w="4493" w:type="dxa"/>
          </w:tcPr>
          <w:p w14:paraId="5F7F7F4D" w14:textId="77777777" w:rsidR="00DE575E" w:rsidRDefault="002E7560">
            <w:pPr>
              <w:pStyle w:val="TableParagraph"/>
              <w:spacing w:before="31" w:line="220" w:lineRule="exact"/>
              <w:ind w:right="45"/>
              <w:jc w:val="both"/>
              <w:rPr>
                <w:sz w:val="20"/>
              </w:rPr>
            </w:pPr>
            <w:r>
              <w:rPr>
                <w:color w:val="231F20"/>
                <w:sz w:val="20"/>
              </w:rPr>
              <w:t>Суб’єкт публічного адміністрування (адмініст- ративний орган) як суб’єкт адміністративного права</w:t>
            </w:r>
          </w:p>
        </w:tc>
        <w:tc>
          <w:tcPr>
            <w:tcW w:w="732" w:type="dxa"/>
          </w:tcPr>
          <w:p w14:paraId="39438A69" w14:textId="77777777" w:rsidR="00DE575E" w:rsidRDefault="002E7560">
            <w:pPr>
              <w:pStyle w:val="TableParagraph"/>
              <w:spacing w:before="17"/>
              <w:ind w:left="234" w:right="226"/>
              <w:jc w:val="center"/>
              <w:rPr>
                <w:sz w:val="20"/>
              </w:rPr>
            </w:pPr>
            <w:r>
              <w:rPr>
                <w:color w:val="231F20"/>
                <w:sz w:val="20"/>
              </w:rPr>
              <w:t>10</w:t>
            </w:r>
          </w:p>
        </w:tc>
        <w:tc>
          <w:tcPr>
            <w:tcW w:w="732" w:type="dxa"/>
          </w:tcPr>
          <w:p w14:paraId="6F21A506" w14:textId="77777777" w:rsidR="00DE575E" w:rsidRDefault="002E7560">
            <w:pPr>
              <w:pStyle w:val="TableParagraph"/>
              <w:spacing w:before="17"/>
              <w:ind w:left="7"/>
              <w:jc w:val="center"/>
              <w:rPr>
                <w:sz w:val="20"/>
              </w:rPr>
            </w:pPr>
            <w:r>
              <w:rPr>
                <w:color w:val="231F20"/>
                <w:sz w:val="20"/>
              </w:rPr>
              <w:t>В</w:t>
            </w:r>
          </w:p>
        </w:tc>
      </w:tr>
      <w:tr w:rsidR="00DE575E" w14:paraId="6FC9C1DC" w14:textId="77777777">
        <w:trPr>
          <w:trHeight w:val="2458"/>
        </w:trPr>
        <w:tc>
          <w:tcPr>
            <w:tcW w:w="567" w:type="dxa"/>
          </w:tcPr>
          <w:p w14:paraId="31906779" w14:textId="77777777" w:rsidR="00DE575E" w:rsidRDefault="002E7560">
            <w:pPr>
              <w:pStyle w:val="TableParagraph"/>
              <w:spacing w:before="17"/>
              <w:rPr>
                <w:sz w:val="20"/>
              </w:rPr>
            </w:pPr>
            <w:r>
              <w:rPr>
                <w:color w:val="231F20"/>
                <w:sz w:val="20"/>
              </w:rPr>
              <w:t>4.1.</w:t>
            </w:r>
          </w:p>
        </w:tc>
        <w:tc>
          <w:tcPr>
            <w:tcW w:w="4493" w:type="dxa"/>
          </w:tcPr>
          <w:p w14:paraId="0BDE502C" w14:textId="77777777" w:rsidR="00DE575E" w:rsidRDefault="002E7560">
            <w:pPr>
              <w:pStyle w:val="TableParagraph"/>
              <w:spacing w:before="28" w:line="225" w:lineRule="auto"/>
              <w:ind w:right="45"/>
              <w:jc w:val="both"/>
              <w:rPr>
                <w:i/>
                <w:sz w:val="20"/>
              </w:rPr>
            </w:pPr>
            <w:r>
              <w:rPr>
                <w:i/>
                <w:color w:val="231F20"/>
                <w:sz w:val="20"/>
              </w:rPr>
              <w:t>Поняття та система суб’єктів публічного адмі- ністрування</w:t>
            </w:r>
          </w:p>
          <w:p w14:paraId="6AB658D6" w14:textId="77777777" w:rsidR="00DE575E" w:rsidRDefault="002E7560">
            <w:pPr>
              <w:pStyle w:val="TableParagraph"/>
              <w:spacing w:line="225" w:lineRule="auto"/>
              <w:ind w:right="45"/>
              <w:jc w:val="both"/>
              <w:rPr>
                <w:sz w:val="20"/>
              </w:rPr>
            </w:pPr>
            <w:r>
              <w:rPr>
                <w:color w:val="231F20"/>
                <w:sz w:val="20"/>
              </w:rPr>
              <w:t>Поняття «суб’єкт публічного адміністрування» (адміністративний орган). Ознаки суб’єкта.</w:t>
            </w:r>
          </w:p>
          <w:p w14:paraId="707AF410" w14:textId="77777777" w:rsidR="00DE575E" w:rsidRDefault="002E7560">
            <w:pPr>
              <w:pStyle w:val="TableParagraph"/>
              <w:spacing w:before="1" w:line="220" w:lineRule="exact"/>
              <w:ind w:right="44"/>
              <w:jc w:val="both"/>
              <w:rPr>
                <w:sz w:val="20"/>
              </w:rPr>
            </w:pPr>
            <w:r>
              <w:rPr>
                <w:color w:val="231F20"/>
                <w:sz w:val="20"/>
              </w:rPr>
              <w:t xml:space="preserve">Групи </w:t>
            </w:r>
            <w:r>
              <w:rPr>
                <w:color w:val="231F20"/>
                <w:spacing w:val="-3"/>
                <w:sz w:val="20"/>
              </w:rPr>
              <w:t xml:space="preserve">суб’єктів </w:t>
            </w:r>
            <w:r>
              <w:rPr>
                <w:color w:val="231F20"/>
                <w:sz w:val="20"/>
              </w:rPr>
              <w:t>публічного адміністрування (органи державної влади, державні органи, які не належать до жодної з гілок державної влади; державні</w:t>
            </w:r>
            <w:r>
              <w:rPr>
                <w:color w:val="231F20"/>
                <w:spacing w:val="-13"/>
                <w:sz w:val="20"/>
              </w:rPr>
              <w:t xml:space="preserve"> </w:t>
            </w:r>
            <w:r>
              <w:rPr>
                <w:color w:val="231F20"/>
                <w:sz w:val="20"/>
              </w:rPr>
              <w:t>фонди</w:t>
            </w:r>
            <w:r>
              <w:rPr>
                <w:color w:val="231F20"/>
                <w:spacing w:val="-13"/>
                <w:sz w:val="20"/>
              </w:rPr>
              <w:t xml:space="preserve"> </w:t>
            </w:r>
            <w:r>
              <w:rPr>
                <w:color w:val="231F20"/>
                <w:sz w:val="20"/>
              </w:rPr>
              <w:t>та</w:t>
            </w:r>
            <w:r>
              <w:rPr>
                <w:color w:val="231F20"/>
                <w:spacing w:val="-13"/>
                <w:sz w:val="20"/>
              </w:rPr>
              <w:t xml:space="preserve"> </w:t>
            </w:r>
            <w:r>
              <w:rPr>
                <w:color w:val="231F20"/>
                <w:sz w:val="20"/>
              </w:rPr>
              <w:t>установи;</w:t>
            </w:r>
            <w:r>
              <w:rPr>
                <w:color w:val="231F20"/>
                <w:spacing w:val="-13"/>
                <w:sz w:val="20"/>
              </w:rPr>
              <w:t xml:space="preserve"> </w:t>
            </w:r>
            <w:r>
              <w:rPr>
                <w:color w:val="231F20"/>
                <w:sz w:val="20"/>
              </w:rPr>
              <w:t>органи</w:t>
            </w:r>
            <w:r>
              <w:rPr>
                <w:color w:val="231F20"/>
                <w:spacing w:val="-13"/>
                <w:sz w:val="20"/>
              </w:rPr>
              <w:t xml:space="preserve"> </w:t>
            </w:r>
            <w:r>
              <w:rPr>
                <w:color w:val="231F20"/>
                <w:sz w:val="20"/>
              </w:rPr>
              <w:t>влади</w:t>
            </w:r>
            <w:r>
              <w:rPr>
                <w:color w:val="231F20"/>
                <w:spacing w:val="-13"/>
                <w:sz w:val="20"/>
              </w:rPr>
              <w:t xml:space="preserve"> </w:t>
            </w:r>
            <w:r>
              <w:rPr>
                <w:color w:val="231F20"/>
                <w:sz w:val="20"/>
              </w:rPr>
              <w:t xml:space="preserve">авто- номного утворення (АРК); </w:t>
            </w:r>
            <w:r>
              <w:rPr>
                <w:color w:val="231F20"/>
                <w:spacing w:val="-3"/>
                <w:sz w:val="20"/>
              </w:rPr>
              <w:t xml:space="preserve">суб’єкти </w:t>
            </w:r>
            <w:r>
              <w:rPr>
                <w:color w:val="231F20"/>
                <w:sz w:val="20"/>
              </w:rPr>
              <w:t xml:space="preserve">місцевого самоврядування; </w:t>
            </w:r>
            <w:r>
              <w:rPr>
                <w:color w:val="231F20"/>
                <w:spacing w:val="-3"/>
                <w:sz w:val="20"/>
              </w:rPr>
              <w:t xml:space="preserve">суб’єкти, </w:t>
            </w:r>
            <w:r>
              <w:rPr>
                <w:color w:val="231F20"/>
                <w:sz w:val="20"/>
              </w:rPr>
              <w:t>яким делеговано повноваження публічного</w:t>
            </w:r>
            <w:r>
              <w:rPr>
                <w:color w:val="231F20"/>
                <w:spacing w:val="-4"/>
                <w:sz w:val="20"/>
              </w:rPr>
              <w:t xml:space="preserve"> </w:t>
            </w:r>
            <w:r>
              <w:rPr>
                <w:color w:val="231F20"/>
                <w:sz w:val="20"/>
              </w:rPr>
              <w:t>адміністрування).</w:t>
            </w:r>
          </w:p>
        </w:tc>
        <w:tc>
          <w:tcPr>
            <w:tcW w:w="732" w:type="dxa"/>
          </w:tcPr>
          <w:p w14:paraId="37F2005A" w14:textId="77777777" w:rsidR="00DE575E" w:rsidRDefault="00DE575E">
            <w:pPr>
              <w:pStyle w:val="TableParagraph"/>
              <w:ind w:left="0"/>
              <w:rPr>
                <w:rFonts w:ascii="Times New Roman"/>
                <w:sz w:val="18"/>
              </w:rPr>
            </w:pPr>
          </w:p>
        </w:tc>
        <w:tc>
          <w:tcPr>
            <w:tcW w:w="732" w:type="dxa"/>
          </w:tcPr>
          <w:p w14:paraId="5A043DF5" w14:textId="77777777" w:rsidR="00DE575E" w:rsidRDefault="00DE575E">
            <w:pPr>
              <w:pStyle w:val="TableParagraph"/>
              <w:ind w:left="0"/>
              <w:rPr>
                <w:rFonts w:ascii="Times New Roman"/>
                <w:sz w:val="18"/>
              </w:rPr>
            </w:pPr>
          </w:p>
        </w:tc>
      </w:tr>
      <w:tr w:rsidR="00DE575E" w14:paraId="59DEE739" w14:textId="77777777">
        <w:trPr>
          <w:trHeight w:val="2018"/>
        </w:trPr>
        <w:tc>
          <w:tcPr>
            <w:tcW w:w="567" w:type="dxa"/>
          </w:tcPr>
          <w:p w14:paraId="2A1EF74E" w14:textId="77777777" w:rsidR="00DE575E" w:rsidRDefault="002E7560">
            <w:pPr>
              <w:pStyle w:val="TableParagraph"/>
              <w:spacing w:before="17"/>
              <w:rPr>
                <w:sz w:val="20"/>
              </w:rPr>
            </w:pPr>
            <w:r>
              <w:rPr>
                <w:color w:val="231F20"/>
                <w:sz w:val="20"/>
              </w:rPr>
              <w:t>4.2.</w:t>
            </w:r>
          </w:p>
        </w:tc>
        <w:tc>
          <w:tcPr>
            <w:tcW w:w="4493" w:type="dxa"/>
          </w:tcPr>
          <w:p w14:paraId="010231D9" w14:textId="77777777" w:rsidR="00DE575E" w:rsidRDefault="002E7560">
            <w:pPr>
              <w:pStyle w:val="TableParagraph"/>
              <w:spacing w:before="28" w:line="225" w:lineRule="auto"/>
              <w:ind w:right="45"/>
              <w:rPr>
                <w:i/>
                <w:sz w:val="20"/>
              </w:rPr>
            </w:pPr>
            <w:r>
              <w:rPr>
                <w:i/>
                <w:color w:val="231F20"/>
                <w:sz w:val="20"/>
              </w:rPr>
              <w:t>Компетенція суб’єкта публічного адміністру- вання</w:t>
            </w:r>
          </w:p>
          <w:p w14:paraId="4C3F0263" w14:textId="77777777" w:rsidR="00DE575E" w:rsidRDefault="002E7560">
            <w:pPr>
              <w:pStyle w:val="TableParagraph"/>
              <w:spacing w:line="225" w:lineRule="auto"/>
              <w:ind w:right="45"/>
              <w:jc w:val="both"/>
              <w:rPr>
                <w:sz w:val="20"/>
              </w:rPr>
            </w:pPr>
            <w:r>
              <w:rPr>
                <w:color w:val="231F20"/>
                <w:sz w:val="20"/>
              </w:rPr>
              <w:t>Компетенція суб’єкта публічного адміністру- вання як сукупність адміністративних повнова- жень.</w:t>
            </w:r>
          </w:p>
          <w:p w14:paraId="284B5E6B" w14:textId="77777777" w:rsidR="00DE575E" w:rsidRDefault="002E7560">
            <w:pPr>
              <w:pStyle w:val="TableParagraph"/>
              <w:tabs>
                <w:tab w:val="left" w:pos="1245"/>
                <w:tab w:val="left" w:pos="3262"/>
              </w:tabs>
              <w:spacing w:before="1" w:line="220" w:lineRule="exact"/>
              <w:ind w:right="45"/>
              <w:rPr>
                <w:sz w:val="20"/>
              </w:rPr>
            </w:pPr>
            <w:r>
              <w:rPr>
                <w:color w:val="231F20"/>
                <w:sz w:val="20"/>
              </w:rPr>
              <w:t>Види адміністративних повноважень. Наділення</w:t>
            </w:r>
            <w:r>
              <w:rPr>
                <w:color w:val="231F20"/>
                <w:sz w:val="20"/>
              </w:rPr>
              <w:tab/>
              <w:t>адміністративними</w:t>
            </w:r>
            <w:r>
              <w:rPr>
                <w:color w:val="231F20"/>
                <w:sz w:val="20"/>
              </w:rPr>
              <w:tab/>
            </w:r>
            <w:r>
              <w:rPr>
                <w:color w:val="231F20"/>
                <w:spacing w:val="-1"/>
                <w:sz w:val="20"/>
              </w:rPr>
              <w:t xml:space="preserve">повноважен- </w:t>
            </w:r>
            <w:r>
              <w:rPr>
                <w:color w:val="231F20"/>
                <w:sz w:val="20"/>
              </w:rPr>
              <w:t>нями, делегування та передання</w:t>
            </w:r>
            <w:r>
              <w:rPr>
                <w:color w:val="231F20"/>
                <w:spacing w:val="-23"/>
                <w:sz w:val="20"/>
              </w:rPr>
              <w:t xml:space="preserve"> </w:t>
            </w:r>
            <w:r>
              <w:rPr>
                <w:color w:val="231F20"/>
                <w:sz w:val="20"/>
              </w:rPr>
              <w:t>адміністратив- них</w:t>
            </w:r>
            <w:r>
              <w:rPr>
                <w:color w:val="231F20"/>
                <w:spacing w:val="-1"/>
                <w:sz w:val="20"/>
              </w:rPr>
              <w:t xml:space="preserve"> </w:t>
            </w:r>
            <w:r>
              <w:rPr>
                <w:color w:val="231F20"/>
                <w:sz w:val="20"/>
              </w:rPr>
              <w:t>повноважень.</w:t>
            </w:r>
          </w:p>
        </w:tc>
        <w:tc>
          <w:tcPr>
            <w:tcW w:w="732" w:type="dxa"/>
          </w:tcPr>
          <w:p w14:paraId="6E71F4A0" w14:textId="77777777" w:rsidR="00DE575E" w:rsidRDefault="00DE575E">
            <w:pPr>
              <w:pStyle w:val="TableParagraph"/>
              <w:ind w:left="0"/>
              <w:rPr>
                <w:rFonts w:ascii="Times New Roman"/>
                <w:sz w:val="18"/>
              </w:rPr>
            </w:pPr>
          </w:p>
        </w:tc>
        <w:tc>
          <w:tcPr>
            <w:tcW w:w="732" w:type="dxa"/>
          </w:tcPr>
          <w:p w14:paraId="24C2A273" w14:textId="77777777" w:rsidR="00DE575E" w:rsidRDefault="00DE575E">
            <w:pPr>
              <w:pStyle w:val="TableParagraph"/>
              <w:ind w:left="0"/>
              <w:rPr>
                <w:rFonts w:ascii="Times New Roman"/>
                <w:sz w:val="18"/>
              </w:rPr>
            </w:pPr>
          </w:p>
        </w:tc>
      </w:tr>
      <w:tr w:rsidR="00DE575E" w14:paraId="67DF9BF4" w14:textId="77777777">
        <w:trPr>
          <w:trHeight w:val="3558"/>
        </w:trPr>
        <w:tc>
          <w:tcPr>
            <w:tcW w:w="567" w:type="dxa"/>
          </w:tcPr>
          <w:p w14:paraId="5759608E" w14:textId="77777777" w:rsidR="00DE575E" w:rsidRDefault="002E7560">
            <w:pPr>
              <w:pStyle w:val="TableParagraph"/>
              <w:spacing w:before="17"/>
              <w:rPr>
                <w:sz w:val="20"/>
              </w:rPr>
            </w:pPr>
            <w:r>
              <w:rPr>
                <w:color w:val="231F20"/>
                <w:sz w:val="20"/>
              </w:rPr>
              <w:t>4.3.</w:t>
            </w:r>
          </w:p>
        </w:tc>
        <w:tc>
          <w:tcPr>
            <w:tcW w:w="4493" w:type="dxa"/>
          </w:tcPr>
          <w:p w14:paraId="1ADA022D" w14:textId="77777777" w:rsidR="00DE575E" w:rsidRDefault="002E7560">
            <w:pPr>
              <w:pStyle w:val="TableParagraph"/>
              <w:spacing w:before="17" w:line="227" w:lineRule="exact"/>
              <w:rPr>
                <w:i/>
                <w:sz w:val="20"/>
              </w:rPr>
            </w:pPr>
            <w:r>
              <w:rPr>
                <w:i/>
                <w:color w:val="231F20"/>
                <w:sz w:val="20"/>
              </w:rPr>
              <w:t>Система органів виконавчої влади</w:t>
            </w:r>
          </w:p>
          <w:p w14:paraId="389242FA" w14:textId="77777777" w:rsidR="00DE575E" w:rsidRDefault="002E7560">
            <w:pPr>
              <w:pStyle w:val="TableParagraph"/>
              <w:spacing w:before="4" w:line="225" w:lineRule="auto"/>
              <w:ind w:right="45"/>
              <w:jc w:val="both"/>
              <w:rPr>
                <w:sz w:val="20"/>
              </w:rPr>
            </w:pPr>
            <w:r>
              <w:rPr>
                <w:color w:val="231F20"/>
                <w:sz w:val="20"/>
              </w:rPr>
              <w:t>Основні</w:t>
            </w:r>
            <w:r>
              <w:rPr>
                <w:color w:val="231F20"/>
                <w:spacing w:val="-12"/>
                <w:sz w:val="20"/>
              </w:rPr>
              <w:t xml:space="preserve"> </w:t>
            </w:r>
            <w:r>
              <w:rPr>
                <w:color w:val="231F20"/>
                <w:sz w:val="20"/>
              </w:rPr>
              <w:t>рівні</w:t>
            </w:r>
            <w:r>
              <w:rPr>
                <w:color w:val="231F20"/>
                <w:spacing w:val="-12"/>
                <w:sz w:val="20"/>
              </w:rPr>
              <w:t xml:space="preserve"> </w:t>
            </w:r>
            <w:r>
              <w:rPr>
                <w:color w:val="231F20"/>
                <w:sz w:val="20"/>
              </w:rPr>
              <w:t>органів</w:t>
            </w:r>
            <w:r>
              <w:rPr>
                <w:color w:val="231F20"/>
                <w:spacing w:val="-12"/>
                <w:sz w:val="20"/>
              </w:rPr>
              <w:t xml:space="preserve"> </w:t>
            </w:r>
            <w:r>
              <w:rPr>
                <w:color w:val="231F20"/>
                <w:sz w:val="20"/>
              </w:rPr>
              <w:t>виконавчої</w:t>
            </w:r>
            <w:r>
              <w:rPr>
                <w:color w:val="231F20"/>
                <w:spacing w:val="-12"/>
                <w:sz w:val="20"/>
              </w:rPr>
              <w:t xml:space="preserve"> </w:t>
            </w:r>
            <w:r>
              <w:rPr>
                <w:color w:val="231F20"/>
                <w:sz w:val="20"/>
              </w:rPr>
              <w:t>влади</w:t>
            </w:r>
            <w:r>
              <w:rPr>
                <w:color w:val="231F20"/>
                <w:spacing w:val="-12"/>
                <w:sz w:val="20"/>
              </w:rPr>
              <w:t xml:space="preserve"> </w:t>
            </w:r>
            <w:r>
              <w:rPr>
                <w:color w:val="231F20"/>
                <w:sz w:val="20"/>
              </w:rPr>
              <w:t>в</w:t>
            </w:r>
            <w:r>
              <w:rPr>
                <w:color w:val="231F20"/>
                <w:spacing w:val="-11"/>
                <w:sz w:val="20"/>
              </w:rPr>
              <w:t xml:space="preserve"> </w:t>
            </w:r>
            <w:r>
              <w:rPr>
                <w:color w:val="231F20"/>
                <w:spacing w:val="-3"/>
                <w:sz w:val="20"/>
              </w:rPr>
              <w:t xml:space="preserve">Україні </w:t>
            </w:r>
            <w:r>
              <w:rPr>
                <w:color w:val="231F20"/>
                <w:sz w:val="20"/>
              </w:rPr>
              <w:t>(вищі, центральні, місцеві).</w:t>
            </w:r>
          </w:p>
          <w:p w14:paraId="5E20475C" w14:textId="77777777" w:rsidR="00DE575E" w:rsidRDefault="002E7560">
            <w:pPr>
              <w:pStyle w:val="TableParagraph"/>
              <w:spacing w:line="225" w:lineRule="auto"/>
              <w:ind w:right="43"/>
              <w:jc w:val="both"/>
              <w:rPr>
                <w:sz w:val="20"/>
              </w:rPr>
            </w:pPr>
            <w:r>
              <w:rPr>
                <w:color w:val="231F20"/>
                <w:sz w:val="20"/>
              </w:rPr>
              <w:t>Кабінет</w:t>
            </w:r>
            <w:r>
              <w:rPr>
                <w:color w:val="231F20"/>
                <w:spacing w:val="-10"/>
                <w:sz w:val="20"/>
              </w:rPr>
              <w:t xml:space="preserve"> </w:t>
            </w:r>
            <w:r>
              <w:rPr>
                <w:color w:val="231F20"/>
                <w:sz w:val="20"/>
              </w:rPr>
              <w:t>Міністрів</w:t>
            </w:r>
            <w:r>
              <w:rPr>
                <w:color w:val="231F20"/>
                <w:spacing w:val="-11"/>
                <w:sz w:val="20"/>
              </w:rPr>
              <w:t xml:space="preserve"> </w:t>
            </w:r>
            <w:r>
              <w:rPr>
                <w:color w:val="231F20"/>
                <w:spacing w:val="-3"/>
                <w:sz w:val="20"/>
              </w:rPr>
              <w:t>України,</w:t>
            </w:r>
            <w:r>
              <w:rPr>
                <w:color w:val="231F20"/>
                <w:spacing w:val="-11"/>
                <w:sz w:val="20"/>
              </w:rPr>
              <w:t xml:space="preserve"> </w:t>
            </w:r>
            <w:r>
              <w:rPr>
                <w:color w:val="231F20"/>
                <w:sz w:val="20"/>
              </w:rPr>
              <w:t>система</w:t>
            </w:r>
            <w:r>
              <w:rPr>
                <w:color w:val="231F20"/>
                <w:spacing w:val="-10"/>
                <w:sz w:val="20"/>
              </w:rPr>
              <w:t xml:space="preserve"> </w:t>
            </w:r>
            <w:r>
              <w:rPr>
                <w:color w:val="231F20"/>
                <w:sz w:val="20"/>
              </w:rPr>
              <w:t>центральних органів</w:t>
            </w:r>
            <w:r>
              <w:rPr>
                <w:color w:val="231F20"/>
                <w:spacing w:val="-10"/>
                <w:sz w:val="20"/>
              </w:rPr>
              <w:t xml:space="preserve"> </w:t>
            </w:r>
            <w:r>
              <w:rPr>
                <w:color w:val="231F20"/>
                <w:sz w:val="20"/>
              </w:rPr>
              <w:t>виконавчої</w:t>
            </w:r>
            <w:r>
              <w:rPr>
                <w:color w:val="231F20"/>
                <w:spacing w:val="-10"/>
                <w:sz w:val="20"/>
              </w:rPr>
              <w:t xml:space="preserve"> </w:t>
            </w:r>
            <w:r>
              <w:rPr>
                <w:color w:val="231F20"/>
                <w:sz w:val="20"/>
              </w:rPr>
              <w:t>влади</w:t>
            </w:r>
            <w:r>
              <w:rPr>
                <w:color w:val="231F20"/>
                <w:spacing w:val="-10"/>
                <w:sz w:val="20"/>
              </w:rPr>
              <w:t xml:space="preserve"> </w:t>
            </w:r>
            <w:r>
              <w:rPr>
                <w:color w:val="231F20"/>
                <w:sz w:val="20"/>
              </w:rPr>
              <w:t>(міністерства,</w:t>
            </w:r>
            <w:r>
              <w:rPr>
                <w:color w:val="231F20"/>
                <w:spacing w:val="-10"/>
                <w:sz w:val="20"/>
              </w:rPr>
              <w:t xml:space="preserve"> </w:t>
            </w:r>
            <w:r>
              <w:rPr>
                <w:color w:val="231F20"/>
                <w:sz w:val="20"/>
              </w:rPr>
              <w:t>служби, агентства та інспекції, центральні органи вико- навчої влади із спеціальним статусом), місцеві державні</w:t>
            </w:r>
            <w:r>
              <w:rPr>
                <w:color w:val="231F20"/>
                <w:spacing w:val="-1"/>
                <w:sz w:val="20"/>
              </w:rPr>
              <w:t xml:space="preserve"> </w:t>
            </w:r>
            <w:r>
              <w:rPr>
                <w:color w:val="231F20"/>
                <w:sz w:val="20"/>
              </w:rPr>
              <w:t>адміністрації.</w:t>
            </w:r>
          </w:p>
          <w:p w14:paraId="175E8CC2" w14:textId="77777777" w:rsidR="00DE575E" w:rsidRDefault="002E7560">
            <w:pPr>
              <w:pStyle w:val="TableParagraph"/>
              <w:spacing w:line="214" w:lineRule="exact"/>
              <w:rPr>
                <w:sz w:val="20"/>
              </w:rPr>
            </w:pPr>
            <w:r>
              <w:rPr>
                <w:color w:val="231F20"/>
                <w:sz w:val="20"/>
              </w:rPr>
              <w:t>Законодавча основа їх діяльності.</w:t>
            </w:r>
          </w:p>
          <w:p w14:paraId="214ABD61" w14:textId="77777777" w:rsidR="00DE575E" w:rsidRDefault="002E7560">
            <w:pPr>
              <w:pStyle w:val="TableParagraph"/>
              <w:spacing w:before="3" w:line="225" w:lineRule="auto"/>
              <w:ind w:right="43"/>
              <w:jc w:val="both"/>
              <w:rPr>
                <w:sz w:val="20"/>
              </w:rPr>
            </w:pPr>
            <w:r>
              <w:rPr>
                <w:color w:val="231F20"/>
                <w:sz w:val="20"/>
              </w:rPr>
              <w:t>Класифікація органів виконавчої влади за різними критеріями (за обсягом і характером компетенці</w:t>
            </w:r>
            <w:r>
              <w:rPr>
                <w:color w:val="231F20"/>
                <w:sz w:val="20"/>
              </w:rPr>
              <w:t>ї, за порядком вирішення питань, за спрямованістю компетенції, за територіальним обсягом повноважень).</w:t>
            </w:r>
          </w:p>
          <w:p w14:paraId="4B4FEFFB" w14:textId="77777777" w:rsidR="00DE575E" w:rsidRDefault="002E7560">
            <w:pPr>
              <w:pStyle w:val="TableParagraph"/>
              <w:spacing w:before="1" w:line="220" w:lineRule="exact"/>
              <w:ind w:right="48"/>
              <w:jc w:val="both"/>
              <w:rPr>
                <w:sz w:val="20"/>
              </w:rPr>
            </w:pPr>
            <w:r>
              <w:rPr>
                <w:color w:val="231F20"/>
                <w:sz w:val="20"/>
              </w:rPr>
              <w:t>Порядок утворення, реорганізації та ліквідації органів виконавчої влади.</w:t>
            </w:r>
          </w:p>
        </w:tc>
        <w:tc>
          <w:tcPr>
            <w:tcW w:w="732" w:type="dxa"/>
          </w:tcPr>
          <w:p w14:paraId="54B63D6F" w14:textId="77777777" w:rsidR="00DE575E" w:rsidRDefault="00DE575E">
            <w:pPr>
              <w:pStyle w:val="TableParagraph"/>
              <w:ind w:left="0"/>
              <w:rPr>
                <w:rFonts w:ascii="Times New Roman"/>
                <w:sz w:val="18"/>
              </w:rPr>
            </w:pPr>
          </w:p>
        </w:tc>
        <w:tc>
          <w:tcPr>
            <w:tcW w:w="732" w:type="dxa"/>
          </w:tcPr>
          <w:p w14:paraId="6E5FAF93" w14:textId="77777777" w:rsidR="00DE575E" w:rsidRDefault="00DE575E">
            <w:pPr>
              <w:pStyle w:val="TableParagraph"/>
              <w:ind w:left="0"/>
              <w:rPr>
                <w:rFonts w:ascii="Times New Roman"/>
                <w:sz w:val="18"/>
              </w:rPr>
            </w:pPr>
          </w:p>
        </w:tc>
      </w:tr>
      <w:tr w:rsidR="00DE575E" w14:paraId="42AC99E4" w14:textId="77777777">
        <w:trPr>
          <w:trHeight w:val="1138"/>
        </w:trPr>
        <w:tc>
          <w:tcPr>
            <w:tcW w:w="567" w:type="dxa"/>
          </w:tcPr>
          <w:p w14:paraId="086EBBBB" w14:textId="77777777" w:rsidR="00DE575E" w:rsidRDefault="002E7560">
            <w:pPr>
              <w:pStyle w:val="TableParagraph"/>
              <w:spacing w:before="17"/>
              <w:rPr>
                <w:sz w:val="20"/>
              </w:rPr>
            </w:pPr>
            <w:r>
              <w:rPr>
                <w:color w:val="231F20"/>
                <w:sz w:val="20"/>
              </w:rPr>
              <w:t>4.4.</w:t>
            </w:r>
          </w:p>
        </w:tc>
        <w:tc>
          <w:tcPr>
            <w:tcW w:w="4493" w:type="dxa"/>
          </w:tcPr>
          <w:p w14:paraId="1B24B17A" w14:textId="77777777" w:rsidR="00DE575E" w:rsidRDefault="002E7560">
            <w:pPr>
              <w:pStyle w:val="TableParagraph"/>
              <w:spacing w:before="17" w:line="227" w:lineRule="exact"/>
              <w:rPr>
                <w:i/>
                <w:sz w:val="20"/>
              </w:rPr>
            </w:pPr>
            <w:r>
              <w:rPr>
                <w:i/>
                <w:color w:val="231F20"/>
                <w:sz w:val="20"/>
              </w:rPr>
              <w:t>Суб’єкти місцевого самоврядування</w:t>
            </w:r>
          </w:p>
          <w:p w14:paraId="69B9662A" w14:textId="77777777" w:rsidR="00DE575E" w:rsidRDefault="002E7560">
            <w:pPr>
              <w:pStyle w:val="TableParagraph"/>
              <w:spacing w:line="220" w:lineRule="exact"/>
              <w:rPr>
                <w:sz w:val="20"/>
              </w:rPr>
            </w:pPr>
            <w:r>
              <w:rPr>
                <w:color w:val="231F20"/>
                <w:sz w:val="20"/>
              </w:rPr>
              <w:t>Законодавча основа діяльності.</w:t>
            </w:r>
          </w:p>
          <w:p w14:paraId="08915917" w14:textId="77777777" w:rsidR="00DE575E" w:rsidRDefault="002E7560">
            <w:pPr>
              <w:pStyle w:val="TableParagraph"/>
              <w:spacing w:before="7" w:line="220" w:lineRule="exact"/>
              <w:ind w:right="42"/>
              <w:jc w:val="both"/>
              <w:rPr>
                <w:sz w:val="20"/>
              </w:rPr>
            </w:pPr>
            <w:r>
              <w:rPr>
                <w:color w:val="231F20"/>
                <w:sz w:val="20"/>
              </w:rPr>
              <w:t>Види суб’єктів місцевого самоврядування та їх призначення (територіальна громада; сільська, селищна, міська ради; сільський, селищний,</w:t>
            </w:r>
          </w:p>
        </w:tc>
        <w:tc>
          <w:tcPr>
            <w:tcW w:w="732" w:type="dxa"/>
          </w:tcPr>
          <w:p w14:paraId="4B13762F" w14:textId="77777777" w:rsidR="00DE575E" w:rsidRDefault="00DE575E">
            <w:pPr>
              <w:pStyle w:val="TableParagraph"/>
              <w:ind w:left="0"/>
              <w:rPr>
                <w:rFonts w:ascii="Times New Roman"/>
                <w:sz w:val="18"/>
              </w:rPr>
            </w:pPr>
          </w:p>
        </w:tc>
        <w:tc>
          <w:tcPr>
            <w:tcW w:w="732" w:type="dxa"/>
          </w:tcPr>
          <w:p w14:paraId="44A9D712" w14:textId="77777777" w:rsidR="00DE575E" w:rsidRDefault="00DE575E">
            <w:pPr>
              <w:pStyle w:val="TableParagraph"/>
              <w:ind w:left="0"/>
              <w:rPr>
                <w:rFonts w:ascii="Times New Roman"/>
                <w:sz w:val="18"/>
              </w:rPr>
            </w:pPr>
          </w:p>
        </w:tc>
      </w:tr>
    </w:tbl>
    <w:p w14:paraId="72989D30" w14:textId="77777777" w:rsidR="00DE575E" w:rsidRDefault="00DE575E">
      <w:pPr>
        <w:pStyle w:val="BodyText"/>
        <w:rPr>
          <w:rFonts w:ascii="AdonisC"/>
          <w:i/>
          <w:sz w:val="18"/>
        </w:rPr>
      </w:pPr>
    </w:p>
    <w:p w14:paraId="63D320B6" w14:textId="77777777" w:rsidR="00DE575E" w:rsidRDefault="00DE575E">
      <w:pPr>
        <w:pStyle w:val="BodyText"/>
        <w:spacing w:before="2"/>
        <w:rPr>
          <w:rFonts w:ascii="AdonisC"/>
          <w:i/>
          <w:sz w:val="16"/>
        </w:rPr>
      </w:pPr>
    </w:p>
    <w:p w14:paraId="359AE413" w14:textId="77777777" w:rsidR="00DE575E" w:rsidRDefault="002E7560">
      <w:pPr>
        <w:ind w:left="533"/>
        <w:rPr>
          <w:rFonts w:ascii="Times New Roman"/>
          <w:sz w:val="20"/>
        </w:rPr>
      </w:pPr>
      <w:r>
        <w:rPr>
          <w:rFonts w:ascii="Times New Roman"/>
          <w:color w:val="231F20"/>
          <w:sz w:val="20"/>
        </w:rPr>
        <w:t>574</w:t>
      </w:r>
    </w:p>
    <w:p w14:paraId="122C6D58" w14:textId="77777777" w:rsidR="00DE575E" w:rsidRDefault="00DE575E">
      <w:pPr>
        <w:rPr>
          <w:rFonts w:ascii="Times New Roman"/>
          <w:sz w:val="20"/>
        </w:rPr>
        <w:sectPr w:rsidR="00DE575E">
          <w:pgSz w:w="8510" w:h="12760"/>
          <w:pgMar w:top="660" w:right="720" w:bottom="280" w:left="600" w:header="720" w:footer="720" w:gutter="0"/>
          <w:cols w:space="720"/>
        </w:sectPr>
      </w:pPr>
    </w:p>
    <w:p w14:paraId="4D6B8489" w14:textId="77777777" w:rsidR="00DE575E" w:rsidRDefault="002E7560">
      <w:pPr>
        <w:spacing w:before="72" w:after="9"/>
        <w:ind w:right="411"/>
        <w:jc w:val="right"/>
        <w:rPr>
          <w:rFonts w:ascii="AdonisC" w:hAnsi="AdonisC"/>
          <w:i/>
          <w:sz w:val="18"/>
        </w:rPr>
      </w:pPr>
      <w:r>
        <w:rPr>
          <w:rFonts w:ascii="AdonisC" w:hAnsi="AdonisC"/>
          <w:i/>
          <w:color w:val="231F20"/>
          <w:sz w:val="18"/>
        </w:rPr>
        <w:t>Додаток</w:t>
      </w:r>
    </w:p>
    <w:p w14:paraId="30C8651F" w14:textId="1A6D4D2E"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59F888BD" wp14:editId="6183DAC9">
                <wp:extent cx="4140200" cy="6350"/>
                <wp:effectExtent l="0" t="0" r="12700" b="635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20" name="Line 1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CEED42" id="Group_x0020_1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">
                <v:line id="Line_x0020_1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WBrcEAAADbAAAADwAAAGRycy9kb3ducmV2LnhtbERPzYrCMBC+L/gOYQQvi6YqLFKNIoIg&#10;HnTX+gBjM7bFZFKbaKtPvzks7PHj+1+sOmvEkxpfOVYwHiUgiHOnKy4UnLPtcAbCB2SNxjEpeJGH&#10;1bL3scBUu5Z/6HkKhYgh7FNUUIZQp1L6vCSLfuRq4shdXWMxRNgUUjfYxnBr5CRJvqTFimNDiTVt&#10;Sspvp4dVkN0/g/k+7k2bHS9Tebkfpu/HQalBv1vPQQTqwr/4z73TCiZxffwSf4Bc/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RYGtwQAAANsAAAAPAAAAAAAAAAAAAAAA&#10;AKECAABkcnMvZG93bnJldi54bWxQSwUGAAAAAAQABAD5AAAAjwMAAAAA&#10;" strokecolor="#231f20" strokeweight=".5pt"/>
                <w10:anchorlock/>
              </v:group>
            </w:pict>
          </mc:Fallback>
        </mc:AlternateContent>
      </w:r>
    </w:p>
    <w:p w14:paraId="12DC1894"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04C58475" w14:textId="77777777">
        <w:trPr>
          <w:trHeight w:val="918"/>
        </w:trPr>
        <w:tc>
          <w:tcPr>
            <w:tcW w:w="567" w:type="dxa"/>
          </w:tcPr>
          <w:p w14:paraId="20A78FBA" w14:textId="77777777" w:rsidR="00DE575E" w:rsidRDefault="00DE575E">
            <w:pPr>
              <w:pStyle w:val="TableParagraph"/>
              <w:ind w:left="0"/>
              <w:rPr>
                <w:rFonts w:ascii="Times New Roman"/>
                <w:sz w:val="18"/>
              </w:rPr>
            </w:pPr>
          </w:p>
        </w:tc>
        <w:tc>
          <w:tcPr>
            <w:tcW w:w="4493" w:type="dxa"/>
          </w:tcPr>
          <w:p w14:paraId="5741A19E" w14:textId="77777777" w:rsidR="00DE575E" w:rsidRDefault="002E7560">
            <w:pPr>
              <w:pStyle w:val="TableParagraph"/>
              <w:spacing w:before="31" w:line="220" w:lineRule="exact"/>
              <w:ind w:right="44"/>
              <w:jc w:val="both"/>
              <w:rPr>
                <w:sz w:val="20"/>
              </w:rPr>
            </w:pPr>
            <w:r>
              <w:rPr>
                <w:color w:val="231F20"/>
                <w:sz w:val="20"/>
              </w:rPr>
              <w:t>міський голови; виконавчі органи сільської, селищної, міської рад; староста; районні та обласні ради; органи самоорганізації насе- лення).</w:t>
            </w:r>
          </w:p>
        </w:tc>
        <w:tc>
          <w:tcPr>
            <w:tcW w:w="732" w:type="dxa"/>
          </w:tcPr>
          <w:p w14:paraId="0BE21C71" w14:textId="77777777" w:rsidR="00DE575E" w:rsidRDefault="00DE575E">
            <w:pPr>
              <w:pStyle w:val="TableParagraph"/>
              <w:ind w:left="0"/>
              <w:rPr>
                <w:rFonts w:ascii="Times New Roman"/>
                <w:sz w:val="18"/>
              </w:rPr>
            </w:pPr>
          </w:p>
        </w:tc>
        <w:tc>
          <w:tcPr>
            <w:tcW w:w="732" w:type="dxa"/>
          </w:tcPr>
          <w:p w14:paraId="7C69E00E" w14:textId="77777777" w:rsidR="00DE575E" w:rsidRDefault="00DE575E">
            <w:pPr>
              <w:pStyle w:val="TableParagraph"/>
              <w:ind w:left="0"/>
              <w:rPr>
                <w:rFonts w:ascii="Times New Roman"/>
                <w:sz w:val="18"/>
              </w:rPr>
            </w:pPr>
          </w:p>
        </w:tc>
      </w:tr>
      <w:tr w:rsidR="00DE575E" w14:paraId="61FF1335" w14:textId="77777777">
        <w:trPr>
          <w:trHeight w:val="1358"/>
        </w:trPr>
        <w:tc>
          <w:tcPr>
            <w:tcW w:w="567" w:type="dxa"/>
          </w:tcPr>
          <w:p w14:paraId="28772A49" w14:textId="77777777" w:rsidR="00DE575E" w:rsidRDefault="002E7560">
            <w:pPr>
              <w:pStyle w:val="TableParagraph"/>
              <w:spacing w:before="17"/>
              <w:rPr>
                <w:sz w:val="20"/>
              </w:rPr>
            </w:pPr>
            <w:r>
              <w:rPr>
                <w:color w:val="231F20"/>
                <w:sz w:val="20"/>
              </w:rPr>
              <w:t>4.5.</w:t>
            </w:r>
          </w:p>
        </w:tc>
        <w:tc>
          <w:tcPr>
            <w:tcW w:w="4493" w:type="dxa"/>
          </w:tcPr>
          <w:p w14:paraId="7E9E0BAE" w14:textId="77777777" w:rsidR="00DE575E" w:rsidRDefault="002E7560">
            <w:pPr>
              <w:pStyle w:val="TableParagraph"/>
              <w:spacing w:before="17" w:line="227" w:lineRule="exact"/>
              <w:rPr>
                <w:i/>
                <w:sz w:val="20"/>
              </w:rPr>
            </w:pPr>
            <w:r>
              <w:rPr>
                <w:i/>
                <w:color w:val="231F20"/>
                <w:sz w:val="20"/>
              </w:rPr>
              <w:t>Військово-цивільні адміністрації</w:t>
            </w:r>
          </w:p>
          <w:p w14:paraId="10331843" w14:textId="77777777" w:rsidR="00DE575E" w:rsidRDefault="002E7560">
            <w:pPr>
              <w:pStyle w:val="TableParagraph"/>
              <w:spacing w:line="220" w:lineRule="exact"/>
              <w:rPr>
                <w:sz w:val="20"/>
              </w:rPr>
            </w:pPr>
            <w:r>
              <w:rPr>
                <w:color w:val="231F20"/>
                <w:sz w:val="20"/>
              </w:rPr>
              <w:t>Законодавча основа діяльності.</w:t>
            </w:r>
          </w:p>
          <w:p w14:paraId="1336742C" w14:textId="77777777" w:rsidR="00DE575E" w:rsidRDefault="002E7560">
            <w:pPr>
              <w:pStyle w:val="TableParagraph"/>
              <w:spacing w:before="4" w:line="225" w:lineRule="auto"/>
              <w:ind w:right="45"/>
              <w:rPr>
                <w:sz w:val="20"/>
              </w:rPr>
            </w:pPr>
            <w:r>
              <w:rPr>
                <w:color w:val="231F20"/>
                <w:sz w:val="20"/>
              </w:rPr>
              <w:t>Призначення військово-цивільних адміністра- цій.</w:t>
            </w:r>
          </w:p>
          <w:p w14:paraId="2B136772" w14:textId="77777777" w:rsidR="00DE575E" w:rsidRDefault="002E7560">
            <w:pPr>
              <w:pStyle w:val="TableParagraph"/>
              <w:spacing w:before="2" w:line="220" w:lineRule="exact"/>
              <w:ind w:right="45"/>
              <w:rPr>
                <w:sz w:val="20"/>
              </w:rPr>
            </w:pPr>
            <w:r>
              <w:rPr>
                <w:color w:val="231F20"/>
                <w:sz w:val="20"/>
              </w:rPr>
              <w:t>Підстави формування, основні повноваження військово-цивільних адміністрацій.</w:t>
            </w:r>
          </w:p>
        </w:tc>
        <w:tc>
          <w:tcPr>
            <w:tcW w:w="732" w:type="dxa"/>
          </w:tcPr>
          <w:p w14:paraId="22744161" w14:textId="77777777" w:rsidR="00DE575E" w:rsidRDefault="00DE575E">
            <w:pPr>
              <w:pStyle w:val="TableParagraph"/>
              <w:ind w:left="0"/>
              <w:rPr>
                <w:rFonts w:ascii="Times New Roman"/>
                <w:sz w:val="18"/>
              </w:rPr>
            </w:pPr>
          </w:p>
        </w:tc>
        <w:tc>
          <w:tcPr>
            <w:tcW w:w="732" w:type="dxa"/>
          </w:tcPr>
          <w:p w14:paraId="60FCEC38" w14:textId="77777777" w:rsidR="00DE575E" w:rsidRDefault="00DE575E">
            <w:pPr>
              <w:pStyle w:val="TableParagraph"/>
              <w:ind w:left="0"/>
              <w:rPr>
                <w:rFonts w:ascii="Times New Roman"/>
                <w:sz w:val="18"/>
              </w:rPr>
            </w:pPr>
          </w:p>
        </w:tc>
      </w:tr>
      <w:tr w:rsidR="00DE575E" w14:paraId="46872102" w14:textId="77777777">
        <w:trPr>
          <w:trHeight w:val="478"/>
        </w:trPr>
        <w:tc>
          <w:tcPr>
            <w:tcW w:w="567" w:type="dxa"/>
          </w:tcPr>
          <w:p w14:paraId="1190C38E" w14:textId="77777777" w:rsidR="00DE575E" w:rsidRDefault="002E7560">
            <w:pPr>
              <w:pStyle w:val="TableParagraph"/>
              <w:spacing w:before="17"/>
              <w:rPr>
                <w:sz w:val="20"/>
              </w:rPr>
            </w:pPr>
            <w:r>
              <w:rPr>
                <w:color w:val="231F20"/>
                <w:sz w:val="20"/>
              </w:rPr>
              <w:t>5.</w:t>
            </w:r>
          </w:p>
        </w:tc>
        <w:tc>
          <w:tcPr>
            <w:tcW w:w="4493" w:type="dxa"/>
          </w:tcPr>
          <w:p w14:paraId="79AAD641" w14:textId="77777777" w:rsidR="00DE575E" w:rsidRDefault="002E7560">
            <w:pPr>
              <w:pStyle w:val="TableParagraph"/>
              <w:spacing w:before="31" w:line="220" w:lineRule="exact"/>
              <w:ind w:right="45"/>
              <w:rPr>
                <w:sz w:val="20"/>
              </w:rPr>
            </w:pPr>
            <w:r>
              <w:rPr>
                <w:color w:val="231F20"/>
                <w:sz w:val="20"/>
              </w:rPr>
              <w:t>Приватна особа як суб’єкт адміністративного права</w:t>
            </w:r>
          </w:p>
        </w:tc>
        <w:tc>
          <w:tcPr>
            <w:tcW w:w="732" w:type="dxa"/>
          </w:tcPr>
          <w:p w14:paraId="29EA7A3E" w14:textId="77777777" w:rsidR="00DE575E" w:rsidRDefault="002E7560">
            <w:pPr>
              <w:pStyle w:val="TableParagraph"/>
              <w:spacing w:before="17"/>
              <w:ind w:left="234" w:right="226"/>
              <w:jc w:val="center"/>
              <w:rPr>
                <w:sz w:val="20"/>
              </w:rPr>
            </w:pPr>
            <w:r>
              <w:rPr>
                <w:color w:val="231F20"/>
                <w:sz w:val="20"/>
              </w:rPr>
              <w:t>10</w:t>
            </w:r>
          </w:p>
        </w:tc>
        <w:tc>
          <w:tcPr>
            <w:tcW w:w="732" w:type="dxa"/>
          </w:tcPr>
          <w:p w14:paraId="23607577" w14:textId="77777777" w:rsidR="00DE575E" w:rsidRDefault="002E7560">
            <w:pPr>
              <w:pStyle w:val="TableParagraph"/>
              <w:spacing w:before="17"/>
              <w:ind w:left="7"/>
              <w:jc w:val="center"/>
              <w:rPr>
                <w:sz w:val="20"/>
              </w:rPr>
            </w:pPr>
            <w:r>
              <w:rPr>
                <w:color w:val="231F20"/>
                <w:sz w:val="20"/>
              </w:rPr>
              <w:t>С</w:t>
            </w:r>
          </w:p>
        </w:tc>
      </w:tr>
      <w:tr w:rsidR="00DE575E" w14:paraId="14247AF6" w14:textId="77777777">
        <w:trPr>
          <w:trHeight w:val="1578"/>
        </w:trPr>
        <w:tc>
          <w:tcPr>
            <w:tcW w:w="567" w:type="dxa"/>
          </w:tcPr>
          <w:p w14:paraId="490A2E35" w14:textId="77777777" w:rsidR="00DE575E" w:rsidRDefault="002E7560">
            <w:pPr>
              <w:pStyle w:val="TableParagraph"/>
              <w:spacing w:before="17"/>
              <w:rPr>
                <w:sz w:val="20"/>
              </w:rPr>
            </w:pPr>
            <w:r>
              <w:rPr>
                <w:color w:val="231F20"/>
                <w:sz w:val="20"/>
              </w:rPr>
              <w:t>5.1.</w:t>
            </w:r>
          </w:p>
        </w:tc>
        <w:tc>
          <w:tcPr>
            <w:tcW w:w="4493" w:type="dxa"/>
          </w:tcPr>
          <w:p w14:paraId="269B70FC" w14:textId="77777777" w:rsidR="00DE575E" w:rsidRDefault="002E7560">
            <w:pPr>
              <w:pStyle w:val="TableParagraph"/>
              <w:spacing w:before="28" w:line="225" w:lineRule="auto"/>
              <w:ind w:right="45"/>
              <w:jc w:val="both"/>
              <w:rPr>
                <w:i/>
                <w:sz w:val="20"/>
              </w:rPr>
            </w:pPr>
            <w:r>
              <w:rPr>
                <w:i/>
                <w:color w:val="231F20"/>
                <w:sz w:val="20"/>
              </w:rPr>
              <w:t xml:space="preserve">Місце приватної особи в системі суб’єктів адмі- </w:t>
            </w:r>
            <w:r>
              <w:rPr>
                <w:i/>
                <w:color w:val="231F20"/>
                <w:sz w:val="20"/>
              </w:rPr>
              <w:t>ністративного права</w:t>
            </w:r>
          </w:p>
          <w:p w14:paraId="344A4332" w14:textId="77777777" w:rsidR="00DE575E" w:rsidRDefault="002E7560">
            <w:pPr>
              <w:pStyle w:val="TableParagraph"/>
              <w:spacing w:before="2" w:line="220" w:lineRule="exact"/>
              <w:ind w:right="42"/>
              <w:jc w:val="both"/>
              <w:rPr>
                <w:sz w:val="20"/>
              </w:rPr>
            </w:pPr>
            <w:r>
              <w:rPr>
                <w:color w:val="231F20"/>
                <w:sz w:val="20"/>
              </w:rPr>
              <w:t>Зміст поняття «приватна особа» в контексті адміністративного права. Види приватних осіб (громадяни, іноземці, особи без громадянства, фізичні особи-підприємці, підприємства, уста- нови, організації тощо).</w:t>
            </w:r>
          </w:p>
        </w:tc>
        <w:tc>
          <w:tcPr>
            <w:tcW w:w="732" w:type="dxa"/>
          </w:tcPr>
          <w:p w14:paraId="2000B23A" w14:textId="77777777" w:rsidR="00DE575E" w:rsidRDefault="00DE575E">
            <w:pPr>
              <w:pStyle w:val="TableParagraph"/>
              <w:ind w:left="0"/>
              <w:rPr>
                <w:rFonts w:ascii="Times New Roman"/>
                <w:sz w:val="18"/>
              </w:rPr>
            </w:pPr>
          </w:p>
        </w:tc>
        <w:tc>
          <w:tcPr>
            <w:tcW w:w="732" w:type="dxa"/>
          </w:tcPr>
          <w:p w14:paraId="55C22579" w14:textId="77777777" w:rsidR="00DE575E" w:rsidRDefault="00DE575E">
            <w:pPr>
              <w:pStyle w:val="TableParagraph"/>
              <w:ind w:left="0"/>
              <w:rPr>
                <w:rFonts w:ascii="Times New Roman"/>
                <w:sz w:val="18"/>
              </w:rPr>
            </w:pPr>
          </w:p>
        </w:tc>
      </w:tr>
      <w:tr w:rsidR="00DE575E" w14:paraId="3B12B8C2" w14:textId="77777777">
        <w:trPr>
          <w:trHeight w:val="1578"/>
        </w:trPr>
        <w:tc>
          <w:tcPr>
            <w:tcW w:w="567" w:type="dxa"/>
          </w:tcPr>
          <w:p w14:paraId="568DE756" w14:textId="77777777" w:rsidR="00DE575E" w:rsidRDefault="002E7560">
            <w:pPr>
              <w:pStyle w:val="TableParagraph"/>
              <w:spacing w:before="17"/>
              <w:rPr>
                <w:sz w:val="20"/>
              </w:rPr>
            </w:pPr>
            <w:r>
              <w:rPr>
                <w:color w:val="231F20"/>
                <w:sz w:val="20"/>
              </w:rPr>
              <w:t>5.2.</w:t>
            </w:r>
          </w:p>
        </w:tc>
        <w:tc>
          <w:tcPr>
            <w:tcW w:w="4493" w:type="dxa"/>
          </w:tcPr>
          <w:p w14:paraId="1CF0C262" w14:textId="77777777" w:rsidR="00DE575E" w:rsidRDefault="002E7560">
            <w:pPr>
              <w:pStyle w:val="TableParagraph"/>
              <w:spacing w:before="28" w:line="225" w:lineRule="auto"/>
              <w:ind w:right="45"/>
              <w:jc w:val="both"/>
              <w:rPr>
                <w:i/>
                <w:sz w:val="20"/>
              </w:rPr>
            </w:pPr>
            <w:r>
              <w:rPr>
                <w:i/>
                <w:color w:val="231F20"/>
                <w:sz w:val="20"/>
              </w:rPr>
              <w:t>Адміністративна правосуб’єктність приватної особи</w:t>
            </w:r>
          </w:p>
          <w:p w14:paraId="5B5DF1E8" w14:textId="77777777" w:rsidR="00DE575E" w:rsidRDefault="002E7560">
            <w:pPr>
              <w:pStyle w:val="TableParagraph"/>
              <w:spacing w:line="225" w:lineRule="auto"/>
              <w:ind w:right="45"/>
              <w:jc w:val="both"/>
              <w:rPr>
                <w:sz w:val="20"/>
              </w:rPr>
            </w:pPr>
            <w:r>
              <w:rPr>
                <w:color w:val="231F20"/>
                <w:sz w:val="20"/>
              </w:rPr>
              <w:t>Адміністративна правоздатність. Адміністра- тивна дієздатність. Адміністративна деліктоз- датність.</w:t>
            </w:r>
          </w:p>
          <w:p w14:paraId="3E1635FC" w14:textId="77777777" w:rsidR="00DE575E" w:rsidRDefault="002E7560">
            <w:pPr>
              <w:pStyle w:val="TableParagraph"/>
              <w:spacing w:before="1" w:line="220" w:lineRule="exact"/>
              <w:ind w:right="46"/>
              <w:jc w:val="both"/>
              <w:rPr>
                <w:sz w:val="20"/>
              </w:rPr>
            </w:pPr>
            <w:r>
              <w:rPr>
                <w:color w:val="231F20"/>
                <w:sz w:val="20"/>
              </w:rPr>
              <w:t>Загальний та спеціальний адміністративно- правовий статус приватної особи.</w:t>
            </w:r>
          </w:p>
        </w:tc>
        <w:tc>
          <w:tcPr>
            <w:tcW w:w="732" w:type="dxa"/>
          </w:tcPr>
          <w:p w14:paraId="7521E32E" w14:textId="77777777" w:rsidR="00DE575E" w:rsidRDefault="00DE575E">
            <w:pPr>
              <w:pStyle w:val="TableParagraph"/>
              <w:ind w:left="0"/>
              <w:rPr>
                <w:rFonts w:ascii="Times New Roman"/>
                <w:sz w:val="18"/>
              </w:rPr>
            </w:pPr>
          </w:p>
        </w:tc>
        <w:tc>
          <w:tcPr>
            <w:tcW w:w="732" w:type="dxa"/>
          </w:tcPr>
          <w:p w14:paraId="3015455C" w14:textId="77777777" w:rsidR="00DE575E" w:rsidRDefault="00DE575E">
            <w:pPr>
              <w:pStyle w:val="TableParagraph"/>
              <w:ind w:left="0"/>
              <w:rPr>
                <w:rFonts w:ascii="Times New Roman"/>
                <w:sz w:val="18"/>
              </w:rPr>
            </w:pPr>
          </w:p>
        </w:tc>
      </w:tr>
      <w:tr w:rsidR="00DE575E" w14:paraId="4A8FB96B" w14:textId="77777777">
        <w:trPr>
          <w:trHeight w:val="1358"/>
        </w:trPr>
        <w:tc>
          <w:tcPr>
            <w:tcW w:w="567" w:type="dxa"/>
          </w:tcPr>
          <w:p w14:paraId="5846B840" w14:textId="77777777" w:rsidR="00DE575E" w:rsidRDefault="002E7560">
            <w:pPr>
              <w:pStyle w:val="TableParagraph"/>
              <w:spacing w:before="17"/>
              <w:rPr>
                <w:sz w:val="20"/>
              </w:rPr>
            </w:pPr>
            <w:r>
              <w:rPr>
                <w:color w:val="231F20"/>
                <w:sz w:val="20"/>
              </w:rPr>
              <w:t>5.3.</w:t>
            </w:r>
          </w:p>
        </w:tc>
        <w:tc>
          <w:tcPr>
            <w:tcW w:w="4493" w:type="dxa"/>
          </w:tcPr>
          <w:p w14:paraId="2C175DEC" w14:textId="77777777" w:rsidR="00DE575E" w:rsidRDefault="002E7560">
            <w:pPr>
              <w:pStyle w:val="TableParagraph"/>
              <w:spacing w:before="31" w:line="220" w:lineRule="exact"/>
              <w:ind w:right="44"/>
              <w:jc w:val="both"/>
              <w:rPr>
                <w:sz w:val="20"/>
              </w:rPr>
            </w:pPr>
            <w:r>
              <w:rPr>
                <w:color w:val="231F20"/>
                <w:sz w:val="20"/>
              </w:rPr>
              <w:t>Сутність</w:t>
            </w:r>
            <w:r>
              <w:rPr>
                <w:color w:val="231F20"/>
                <w:spacing w:val="-12"/>
                <w:sz w:val="20"/>
              </w:rPr>
              <w:t xml:space="preserve"> </w:t>
            </w:r>
            <w:r>
              <w:rPr>
                <w:color w:val="231F20"/>
                <w:spacing w:val="-3"/>
                <w:sz w:val="20"/>
              </w:rPr>
              <w:t>суб’єктивних</w:t>
            </w:r>
            <w:r>
              <w:rPr>
                <w:color w:val="231F20"/>
                <w:spacing w:val="-12"/>
                <w:sz w:val="20"/>
              </w:rPr>
              <w:t xml:space="preserve"> </w:t>
            </w:r>
            <w:r>
              <w:rPr>
                <w:color w:val="231F20"/>
                <w:sz w:val="20"/>
              </w:rPr>
              <w:t>публічних</w:t>
            </w:r>
            <w:r>
              <w:rPr>
                <w:color w:val="231F20"/>
                <w:spacing w:val="-11"/>
                <w:sz w:val="20"/>
              </w:rPr>
              <w:t xml:space="preserve"> </w:t>
            </w:r>
            <w:r>
              <w:rPr>
                <w:color w:val="231F20"/>
                <w:sz w:val="20"/>
              </w:rPr>
              <w:t>прав</w:t>
            </w:r>
            <w:r>
              <w:rPr>
                <w:color w:val="231F20"/>
                <w:spacing w:val="-12"/>
                <w:sz w:val="20"/>
              </w:rPr>
              <w:t xml:space="preserve"> </w:t>
            </w:r>
            <w:r>
              <w:rPr>
                <w:color w:val="231F20"/>
                <w:sz w:val="20"/>
              </w:rPr>
              <w:t xml:space="preserve">приватної особи. Окремі </w:t>
            </w:r>
            <w:r>
              <w:rPr>
                <w:color w:val="231F20"/>
                <w:spacing w:val="-3"/>
                <w:sz w:val="20"/>
              </w:rPr>
              <w:t xml:space="preserve">суб’єктивні </w:t>
            </w:r>
            <w:r>
              <w:rPr>
                <w:color w:val="231F20"/>
                <w:sz w:val="20"/>
              </w:rPr>
              <w:t>публічні права та їх реалізація (право на участь в ухваленні рішень, право на звернення, на право на доступ до публічної інформації, право на свободу мирних зібрань, право на свободу</w:t>
            </w:r>
            <w:r>
              <w:rPr>
                <w:color w:val="231F20"/>
                <w:spacing w:val="-5"/>
                <w:sz w:val="20"/>
              </w:rPr>
              <w:t xml:space="preserve"> </w:t>
            </w:r>
            <w:r>
              <w:rPr>
                <w:color w:val="231F20"/>
                <w:spacing w:val="-3"/>
                <w:sz w:val="20"/>
              </w:rPr>
              <w:t>об’єднань)</w:t>
            </w:r>
          </w:p>
        </w:tc>
        <w:tc>
          <w:tcPr>
            <w:tcW w:w="732" w:type="dxa"/>
          </w:tcPr>
          <w:p w14:paraId="177AE514" w14:textId="77777777" w:rsidR="00DE575E" w:rsidRDefault="00DE575E">
            <w:pPr>
              <w:pStyle w:val="TableParagraph"/>
              <w:ind w:left="0"/>
              <w:rPr>
                <w:rFonts w:ascii="Times New Roman"/>
                <w:sz w:val="18"/>
              </w:rPr>
            </w:pPr>
          </w:p>
        </w:tc>
        <w:tc>
          <w:tcPr>
            <w:tcW w:w="732" w:type="dxa"/>
          </w:tcPr>
          <w:p w14:paraId="60B2E889" w14:textId="77777777" w:rsidR="00DE575E" w:rsidRDefault="00DE575E">
            <w:pPr>
              <w:pStyle w:val="TableParagraph"/>
              <w:ind w:left="0"/>
              <w:rPr>
                <w:rFonts w:ascii="Times New Roman"/>
                <w:sz w:val="18"/>
              </w:rPr>
            </w:pPr>
          </w:p>
        </w:tc>
      </w:tr>
      <w:tr w:rsidR="00DE575E" w14:paraId="7FF12E30" w14:textId="77777777">
        <w:trPr>
          <w:trHeight w:val="2458"/>
        </w:trPr>
        <w:tc>
          <w:tcPr>
            <w:tcW w:w="567" w:type="dxa"/>
          </w:tcPr>
          <w:p w14:paraId="06C91C0F" w14:textId="77777777" w:rsidR="00DE575E" w:rsidRDefault="002E7560">
            <w:pPr>
              <w:pStyle w:val="TableParagraph"/>
              <w:spacing w:before="17"/>
              <w:rPr>
                <w:sz w:val="20"/>
              </w:rPr>
            </w:pPr>
            <w:r>
              <w:rPr>
                <w:color w:val="231F20"/>
                <w:sz w:val="20"/>
              </w:rPr>
              <w:t>5.4.</w:t>
            </w:r>
          </w:p>
        </w:tc>
        <w:tc>
          <w:tcPr>
            <w:tcW w:w="4493" w:type="dxa"/>
          </w:tcPr>
          <w:p w14:paraId="6C462B49" w14:textId="77777777" w:rsidR="00DE575E" w:rsidRDefault="002E7560">
            <w:pPr>
              <w:pStyle w:val="TableParagraph"/>
              <w:spacing w:before="28" w:line="225" w:lineRule="auto"/>
              <w:ind w:right="45"/>
              <w:jc w:val="both"/>
              <w:rPr>
                <w:i/>
                <w:sz w:val="20"/>
              </w:rPr>
            </w:pPr>
            <w:r>
              <w:rPr>
                <w:i/>
                <w:color w:val="231F20"/>
                <w:sz w:val="20"/>
              </w:rPr>
              <w:t>Особливості об’єднання як суб’єкта адміністра- тивного права</w:t>
            </w:r>
          </w:p>
          <w:p w14:paraId="5AF7866E" w14:textId="77777777" w:rsidR="00DE575E" w:rsidRDefault="002E7560">
            <w:pPr>
              <w:pStyle w:val="TableParagraph"/>
              <w:spacing w:line="225" w:lineRule="auto"/>
              <w:ind w:right="45"/>
              <w:jc w:val="both"/>
              <w:rPr>
                <w:sz w:val="20"/>
              </w:rPr>
            </w:pPr>
            <w:r>
              <w:rPr>
                <w:color w:val="231F20"/>
                <w:sz w:val="20"/>
              </w:rPr>
              <w:t>Законодавча основа організації та діяльності об’єднань.</w:t>
            </w:r>
          </w:p>
          <w:p w14:paraId="64ED0DFD" w14:textId="77777777" w:rsidR="00DE575E" w:rsidRDefault="002E7560">
            <w:pPr>
              <w:pStyle w:val="TableParagraph"/>
              <w:spacing w:line="225" w:lineRule="auto"/>
              <w:ind w:right="45"/>
              <w:jc w:val="both"/>
              <w:rPr>
                <w:sz w:val="20"/>
              </w:rPr>
            </w:pPr>
            <w:r>
              <w:rPr>
                <w:color w:val="231F20"/>
                <w:sz w:val="20"/>
              </w:rPr>
              <w:t>Адміністративна правосуб’єктність громад- ського</w:t>
            </w:r>
            <w:r>
              <w:rPr>
                <w:color w:val="231F20"/>
                <w:spacing w:val="-13"/>
                <w:sz w:val="20"/>
              </w:rPr>
              <w:t xml:space="preserve"> </w:t>
            </w:r>
            <w:r>
              <w:rPr>
                <w:color w:val="231F20"/>
                <w:spacing w:val="-3"/>
                <w:sz w:val="20"/>
              </w:rPr>
              <w:t>об’єднання.</w:t>
            </w:r>
            <w:r>
              <w:rPr>
                <w:color w:val="231F20"/>
                <w:spacing w:val="-13"/>
                <w:sz w:val="20"/>
              </w:rPr>
              <w:t xml:space="preserve"> </w:t>
            </w:r>
            <w:r>
              <w:rPr>
                <w:color w:val="231F20"/>
                <w:sz w:val="20"/>
              </w:rPr>
              <w:t>Порядок</w:t>
            </w:r>
            <w:r>
              <w:rPr>
                <w:color w:val="231F20"/>
                <w:spacing w:val="-13"/>
                <w:sz w:val="20"/>
              </w:rPr>
              <w:t xml:space="preserve"> </w:t>
            </w:r>
            <w:r>
              <w:rPr>
                <w:color w:val="231F20"/>
                <w:sz w:val="20"/>
              </w:rPr>
              <w:t>створення</w:t>
            </w:r>
            <w:r>
              <w:rPr>
                <w:color w:val="231F20"/>
                <w:spacing w:val="-13"/>
                <w:sz w:val="20"/>
              </w:rPr>
              <w:t xml:space="preserve"> </w:t>
            </w:r>
            <w:r>
              <w:rPr>
                <w:color w:val="231F20"/>
                <w:sz w:val="20"/>
              </w:rPr>
              <w:t>та</w:t>
            </w:r>
            <w:r>
              <w:rPr>
                <w:color w:val="231F20"/>
                <w:spacing w:val="-13"/>
                <w:sz w:val="20"/>
              </w:rPr>
              <w:t xml:space="preserve"> </w:t>
            </w:r>
            <w:r>
              <w:rPr>
                <w:color w:val="231F20"/>
                <w:sz w:val="20"/>
              </w:rPr>
              <w:t>припи- нення діяльності</w:t>
            </w:r>
            <w:r>
              <w:rPr>
                <w:color w:val="231F20"/>
                <w:spacing w:val="-2"/>
                <w:sz w:val="20"/>
              </w:rPr>
              <w:t xml:space="preserve"> </w:t>
            </w:r>
            <w:r>
              <w:rPr>
                <w:color w:val="231F20"/>
                <w:spacing w:val="-3"/>
                <w:sz w:val="20"/>
              </w:rPr>
              <w:t>об’єднання.</w:t>
            </w:r>
          </w:p>
          <w:p w14:paraId="753E8F8E" w14:textId="77777777" w:rsidR="00DE575E" w:rsidRDefault="002E7560">
            <w:pPr>
              <w:pStyle w:val="TableParagraph"/>
              <w:spacing w:line="220" w:lineRule="exact"/>
              <w:ind w:right="43"/>
              <w:jc w:val="both"/>
              <w:rPr>
                <w:sz w:val="20"/>
              </w:rPr>
            </w:pPr>
            <w:r>
              <w:rPr>
                <w:color w:val="231F20"/>
                <w:sz w:val="20"/>
              </w:rPr>
              <w:t>Особливості</w:t>
            </w:r>
            <w:r>
              <w:rPr>
                <w:color w:val="231F20"/>
                <w:spacing w:val="-15"/>
                <w:sz w:val="20"/>
              </w:rPr>
              <w:t xml:space="preserve"> </w:t>
            </w:r>
            <w:r>
              <w:rPr>
                <w:color w:val="231F20"/>
                <w:sz w:val="20"/>
              </w:rPr>
              <w:t>окремих</w:t>
            </w:r>
            <w:r>
              <w:rPr>
                <w:color w:val="231F20"/>
                <w:spacing w:val="-14"/>
                <w:sz w:val="20"/>
              </w:rPr>
              <w:t xml:space="preserve"> </w:t>
            </w:r>
            <w:r>
              <w:rPr>
                <w:color w:val="231F20"/>
                <w:sz w:val="20"/>
              </w:rPr>
              <w:t>видів</w:t>
            </w:r>
            <w:r>
              <w:rPr>
                <w:color w:val="231F20"/>
                <w:spacing w:val="-15"/>
                <w:sz w:val="20"/>
              </w:rPr>
              <w:t xml:space="preserve"> </w:t>
            </w:r>
            <w:r>
              <w:rPr>
                <w:color w:val="231F20"/>
                <w:spacing w:val="-3"/>
                <w:sz w:val="20"/>
              </w:rPr>
              <w:t>об’єднань</w:t>
            </w:r>
            <w:r>
              <w:rPr>
                <w:color w:val="231F20"/>
                <w:spacing w:val="-14"/>
                <w:sz w:val="20"/>
              </w:rPr>
              <w:t xml:space="preserve"> </w:t>
            </w:r>
            <w:r>
              <w:rPr>
                <w:color w:val="231F20"/>
                <w:sz w:val="20"/>
              </w:rPr>
              <w:t>(громадсь- ких організацій, зокрема молодіжних та дитя- чих, громадських спілок, політичних партій, професійних спілок, релігійних,</w:t>
            </w:r>
            <w:r>
              <w:rPr>
                <w:color w:val="231F20"/>
                <w:spacing w:val="37"/>
                <w:sz w:val="20"/>
              </w:rPr>
              <w:t xml:space="preserve"> </w:t>
            </w:r>
            <w:r>
              <w:rPr>
                <w:color w:val="231F20"/>
                <w:sz w:val="20"/>
              </w:rPr>
              <w:t>благодійних</w:t>
            </w:r>
          </w:p>
        </w:tc>
        <w:tc>
          <w:tcPr>
            <w:tcW w:w="732" w:type="dxa"/>
          </w:tcPr>
          <w:p w14:paraId="7C1622F5" w14:textId="77777777" w:rsidR="00DE575E" w:rsidRDefault="00DE575E">
            <w:pPr>
              <w:pStyle w:val="TableParagraph"/>
              <w:ind w:left="0"/>
              <w:rPr>
                <w:rFonts w:ascii="Times New Roman"/>
                <w:sz w:val="18"/>
              </w:rPr>
            </w:pPr>
          </w:p>
        </w:tc>
        <w:tc>
          <w:tcPr>
            <w:tcW w:w="732" w:type="dxa"/>
          </w:tcPr>
          <w:p w14:paraId="78481241" w14:textId="77777777" w:rsidR="00DE575E" w:rsidRDefault="00DE575E">
            <w:pPr>
              <w:pStyle w:val="TableParagraph"/>
              <w:ind w:left="0"/>
              <w:rPr>
                <w:rFonts w:ascii="Times New Roman"/>
                <w:sz w:val="18"/>
              </w:rPr>
            </w:pPr>
          </w:p>
        </w:tc>
      </w:tr>
    </w:tbl>
    <w:p w14:paraId="6285DAE6" w14:textId="77777777" w:rsidR="00DE575E" w:rsidRDefault="00DE575E">
      <w:pPr>
        <w:pStyle w:val="BodyText"/>
        <w:rPr>
          <w:rFonts w:ascii="AdonisC"/>
          <w:i/>
          <w:sz w:val="18"/>
        </w:rPr>
      </w:pPr>
    </w:p>
    <w:p w14:paraId="442BA64F" w14:textId="77777777" w:rsidR="00DE575E" w:rsidRDefault="00DE575E">
      <w:pPr>
        <w:pStyle w:val="BodyText"/>
        <w:rPr>
          <w:rFonts w:ascii="AdonisC"/>
          <w:i/>
          <w:sz w:val="18"/>
        </w:rPr>
      </w:pPr>
    </w:p>
    <w:p w14:paraId="59980F19" w14:textId="77777777" w:rsidR="00DE575E" w:rsidRDefault="002E7560">
      <w:pPr>
        <w:spacing w:before="103"/>
        <w:ind w:right="411"/>
        <w:jc w:val="right"/>
        <w:rPr>
          <w:rFonts w:ascii="Times New Roman"/>
          <w:sz w:val="20"/>
        </w:rPr>
      </w:pPr>
      <w:r>
        <w:rPr>
          <w:rFonts w:ascii="Times New Roman"/>
          <w:color w:val="231F20"/>
          <w:w w:val="90"/>
          <w:sz w:val="20"/>
        </w:rPr>
        <w:t>575</w:t>
      </w:r>
    </w:p>
    <w:p w14:paraId="39880939"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32D6B310"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71A0411B" w14:textId="467470AD"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32973117" wp14:editId="078CFA8C">
                <wp:extent cx="4140200" cy="6350"/>
                <wp:effectExtent l="0" t="0" r="12700" b="635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8" name="Line 1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87D1E6" id="Group_x0020_1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FBVTFfQIAAJQFAAAOAAAA&#10;AAAAAAAAAAAAACwCAABkcnMvZTJvRG9jLnhtbFBLAQItABQABgAIAAAAIQBMp7CQ2QAAAAMBAAAP&#10;AAAAAAAAAAAAAAAAANUEAABkcnMvZG93bnJldi54bWxQSwUGAAAAAAQABADzAAAA2wUAAAAA&#10;">
                <v:line id="Line_x0020_1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9HFsYAAADbAAAADwAAAGRycy9kb3ducmV2LnhtbESPQWvCQBCF70L/wzIFL1I3VRBJXaUU&#10;CqUHrcYfMGbHJLg7G7OrSfvrO4dCbzO8N+99s9oM3qk7dbEJbOB5moEiLoNtuDJwLN6flqBiQrbo&#10;ApOBb4qwWT+MVpjb0POe7odUKQnhmKOBOqU21zqWNXmM09ASi3YOnccka1dp22Ev4d7pWZYttMeG&#10;paHGlt5qKi+HmzdQXCfJfe0+XV/sTnN9um7nP7etMePH4fUFVKIh/Zv/rj+s4Aus/CID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pfRxbGAAAA2wAAAA8AAAAAAAAA&#10;AAAAAAAAoQIAAGRycy9kb3ducmV2LnhtbFBLBQYAAAAABAAEAPkAAACUAwAAAAA=&#10;" strokecolor="#231f20" strokeweight=".5pt"/>
                <w10:anchorlock/>
              </v:group>
            </w:pict>
          </mc:Fallback>
        </mc:AlternateContent>
      </w:r>
    </w:p>
    <w:p w14:paraId="2BEE8FE9"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08742634" w14:textId="77777777">
        <w:trPr>
          <w:trHeight w:val="918"/>
        </w:trPr>
        <w:tc>
          <w:tcPr>
            <w:tcW w:w="567" w:type="dxa"/>
          </w:tcPr>
          <w:p w14:paraId="7A13B515" w14:textId="77777777" w:rsidR="00DE575E" w:rsidRDefault="00DE575E">
            <w:pPr>
              <w:pStyle w:val="TableParagraph"/>
              <w:ind w:left="0"/>
              <w:rPr>
                <w:rFonts w:ascii="Times New Roman"/>
                <w:sz w:val="18"/>
              </w:rPr>
            </w:pPr>
          </w:p>
        </w:tc>
        <w:tc>
          <w:tcPr>
            <w:tcW w:w="4493" w:type="dxa"/>
          </w:tcPr>
          <w:p w14:paraId="6116E5DB" w14:textId="77777777" w:rsidR="00DE575E" w:rsidRDefault="002E7560">
            <w:pPr>
              <w:pStyle w:val="TableParagraph"/>
              <w:spacing w:before="28" w:line="225" w:lineRule="auto"/>
              <w:ind w:right="45"/>
              <w:rPr>
                <w:sz w:val="20"/>
              </w:rPr>
            </w:pPr>
            <w:r>
              <w:rPr>
                <w:color w:val="231F20"/>
                <w:sz w:val="20"/>
              </w:rPr>
              <w:t>організацій, організацій професійного самовря- дування).</w:t>
            </w:r>
          </w:p>
          <w:p w14:paraId="467CECE2" w14:textId="77777777" w:rsidR="00DE575E" w:rsidRDefault="002E7560">
            <w:pPr>
              <w:pStyle w:val="TableParagraph"/>
              <w:spacing w:before="2" w:line="220" w:lineRule="exact"/>
              <w:ind w:right="45"/>
              <w:rPr>
                <w:sz w:val="20"/>
              </w:rPr>
            </w:pPr>
            <w:r>
              <w:rPr>
                <w:color w:val="231F20"/>
                <w:sz w:val="20"/>
              </w:rPr>
              <w:t>Участь об’єднань у формуванні публічної полі- тики та ухваленні рішень.</w:t>
            </w:r>
          </w:p>
        </w:tc>
        <w:tc>
          <w:tcPr>
            <w:tcW w:w="732" w:type="dxa"/>
          </w:tcPr>
          <w:p w14:paraId="41986A46" w14:textId="77777777" w:rsidR="00DE575E" w:rsidRDefault="00DE575E">
            <w:pPr>
              <w:pStyle w:val="TableParagraph"/>
              <w:ind w:left="0"/>
              <w:rPr>
                <w:rFonts w:ascii="Times New Roman"/>
                <w:sz w:val="18"/>
              </w:rPr>
            </w:pPr>
          </w:p>
        </w:tc>
        <w:tc>
          <w:tcPr>
            <w:tcW w:w="732" w:type="dxa"/>
          </w:tcPr>
          <w:p w14:paraId="0F31E6E9" w14:textId="77777777" w:rsidR="00DE575E" w:rsidRDefault="00DE575E">
            <w:pPr>
              <w:pStyle w:val="TableParagraph"/>
              <w:ind w:left="0"/>
              <w:rPr>
                <w:rFonts w:ascii="Times New Roman"/>
                <w:sz w:val="18"/>
              </w:rPr>
            </w:pPr>
          </w:p>
        </w:tc>
      </w:tr>
      <w:tr w:rsidR="00DE575E" w14:paraId="625FBFE0" w14:textId="77777777">
        <w:trPr>
          <w:trHeight w:val="258"/>
        </w:trPr>
        <w:tc>
          <w:tcPr>
            <w:tcW w:w="567" w:type="dxa"/>
          </w:tcPr>
          <w:p w14:paraId="6AEA5D26" w14:textId="77777777" w:rsidR="00DE575E" w:rsidRDefault="002E7560">
            <w:pPr>
              <w:pStyle w:val="TableParagraph"/>
              <w:spacing w:before="17" w:line="222" w:lineRule="exact"/>
              <w:rPr>
                <w:sz w:val="20"/>
              </w:rPr>
            </w:pPr>
            <w:r>
              <w:rPr>
                <w:color w:val="231F20"/>
                <w:sz w:val="20"/>
              </w:rPr>
              <w:t>6.</w:t>
            </w:r>
          </w:p>
        </w:tc>
        <w:tc>
          <w:tcPr>
            <w:tcW w:w="4493" w:type="dxa"/>
          </w:tcPr>
          <w:p w14:paraId="3C0466DA" w14:textId="77777777" w:rsidR="00DE575E" w:rsidRDefault="002E7560">
            <w:pPr>
              <w:pStyle w:val="TableParagraph"/>
              <w:spacing w:before="17" w:line="222" w:lineRule="exact"/>
              <w:rPr>
                <w:i/>
                <w:sz w:val="20"/>
              </w:rPr>
            </w:pPr>
            <w:r>
              <w:rPr>
                <w:i/>
                <w:color w:val="231F20"/>
                <w:sz w:val="20"/>
              </w:rPr>
              <w:t>Інструменти публічного адміністрування</w:t>
            </w:r>
          </w:p>
        </w:tc>
        <w:tc>
          <w:tcPr>
            <w:tcW w:w="732" w:type="dxa"/>
          </w:tcPr>
          <w:p w14:paraId="0FEA9057" w14:textId="77777777" w:rsidR="00DE575E" w:rsidRDefault="002E7560">
            <w:pPr>
              <w:pStyle w:val="TableParagraph"/>
              <w:spacing w:before="17" w:line="222" w:lineRule="exact"/>
              <w:ind w:left="234" w:right="226"/>
              <w:jc w:val="center"/>
              <w:rPr>
                <w:sz w:val="20"/>
              </w:rPr>
            </w:pPr>
            <w:r>
              <w:rPr>
                <w:color w:val="231F20"/>
                <w:sz w:val="20"/>
              </w:rPr>
              <w:t>10</w:t>
            </w:r>
          </w:p>
        </w:tc>
        <w:tc>
          <w:tcPr>
            <w:tcW w:w="732" w:type="dxa"/>
          </w:tcPr>
          <w:p w14:paraId="34B01699" w14:textId="77777777" w:rsidR="00DE575E" w:rsidRDefault="002E7560">
            <w:pPr>
              <w:pStyle w:val="TableParagraph"/>
              <w:spacing w:before="17" w:line="222" w:lineRule="exact"/>
              <w:ind w:left="7"/>
              <w:jc w:val="center"/>
              <w:rPr>
                <w:sz w:val="20"/>
              </w:rPr>
            </w:pPr>
            <w:r>
              <w:rPr>
                <w:color w:val="231F20"/>
                <w:sz w:val="20"/>
              </w:rPr>
              <w:t>В</w:t>
            </w:r>
          </w:p>
        </w:tc>
      </w:tr>
      <w:tr w:rsidR="00DE575E" w14:paraId="24B1845D" w14:textId="77777777">
        <w:trPr>
          <w:trHeight w:val="1138"/>
        </w:trPr>
        <w:tc>
          <w:tcPr>
            <w:tcW w:w="567" w:type="dxa"/>
          </w:tcPr>
          <w:p w14:paraId="0E50DB7B" w14:textId="77777777" w:rsidR="00DE575E" w:rsidRDefault="002E7560">
            <w:pPr>
              <w:pStyle w:val="TableParagraph"/>
              <w:spacing w:before="17"/>
              <w:rPr>
                <w:sz w:val="20"/>
              </w:rPr>
            </w:pPr>
            <w:r>
              <w:rPr>
                <w:color w:val="231F20"/>
                <w:sz w:val="20"/>
              </w:rPr>
              <w:t>6.1.</w:t>
            </w:r>
          </w:p>
        </w:tc>
        <w:tc>
          <w:tcPr>
            <w:tcW w:w="4493" w:type="dxa"/>
          </w:tcPr>
          <w:p w14:paraId="4F00AEC3" w14:textId="77777777" w:rsidR="00DE575E" w:rsidRDefault="002E7560">
            <w:pPr>
              <w:pStyle w:val="TableParagraph"/>
              <w:spacing w:before="28" w:line="225" w:lineRule="auto"/>
              <w:ind w:right="45"/>
              <w:jc w:val="both"/>
              <w:rPr>
                <w:sz w:val="20"/>
              </w:rPr>
            </w:pPr>
            <w:r>
              <w:rPr>
                <w:color w:val="231F20"/>
                <w:sz w:val="20"/>
              </w:rPr>
              <w:t>Розуміння інструментів публічного адміністру- вання.</w:t>
            </w:r>
          </w:p>
          <w:p w14:paraId="683D47B4" w14:textId="77777777" w:rsidR="00DE575E" w:rsidRDefault="002E7560">
            <w:pPr>
              <w:pStyle w:val="TableParagraph"/>
              <w:spacing w:before="2" w:line="220" w:lineRule="exact"/>
              <w:ind w:right="45"/>
              <w:jc w:val="both"/>
              <w:rPr>
                <w:sz w:val="20"/>
              </w:rPr>
            </w:pPr>
            <w:r>
              <w:rPr>
                <w:color w:val="231F20"/>
                <w:sz w:val="20"/>
              </w:rPr>
              <w:t>Поняття інструменту публічного адміністру- вання. Види інструментів. Вибір належного інструменту.</w:t>
            </w:r>
          </w:p>
        </w:tc>
        <w:tc>
          <w:tcPr>
            <w:tcW w:w="732" w:type="dxa"/>
          </w:tcPr>
          <w:p w14:paraId="11F4AE91" w14:textId="77777777" w:rsidR="00DE575E" w:rsidRDefault="00DE575E">
            <w:pPr>
              <w:pStyle w:val="TableParagraph"/>
              <w:ind w:left="0"/>
              <w:rPr>
                <w:rFonts w:ascii="Times New Roman"/>
                <w:sz w:val="18"/>
              </w:rPr>
            </w:pPr>
          </w:p>
        </w:tc>
        <w:tc>
          <w:tcPr>
            <w:tcW w:w="732" w:type="dxa"/>
          </w:tcPr>
          <w:p w14:paraId="72D9B2E9" w14:textId="77777777" w:rsidR="00DE575E" w:rsidRDefault="00DE575E">
            <w:pPr>
              <w:pStyle w:val="TableParagraph"/>
              <w:ind w:left="0"/>
              <w:rPr>
                <w:rFonts w:ascii="Times New Roman"/>
                <w:sz w:val="18"/>
              </w:rPr>
            </w:pPr>
          </w:p>
        </w:tc>
      </w:tr>
      <w:tr w:rsidR="00DE575E" w14:paraId="508C7F47" w14:textId="77777777">
        <w:trPr>
          <w:trHeight w:val="3558"/>
        </w:trPr>
        <w:tc>
          <w:tcPr>
            <w:tcW w:w="567" w:type="dxa"/>
          </w:tcPr>
          <w:p w14:paraId="492FB708" w14:textId="77777777" w:rsidR="00DE575E" w:rsidRDefault="002E7560">
            <w:pPr>
              <w:pStyle w:val="TableParagraph"/>
              <w:spacing w:before="17"/>
              <w:rPr>
                <w:sz w:val="20"/>
              </w:rPr>
            </w:pPr>
            <w:r>
              <w:rPr>
                <w:color w:val="231F20"/>
                <w:sz w:val="20"/>
              </w:rPr>
              <w:t>6.2.</w:t>
            </w:r>
          </w:p>
        </w:tc>
        <w:tc>
          <w:tcPr>
            <w:tcW w:w="4493" w:type="dxa"/>
          </w:tcPr>
          <w:p w14:paraId="468D802D" w14:textId="77777777" w:rsidR="00DE575E" w:rsidRDefault="002E7560">
            <w:pPr>
              <w:pStyle w:val="TableParagraph"/>
              <w:spacing w:before="28" w:line="225" w:lineRule="auto"/>
              <w:ind w:right="44"/>
              <w:rPr>
                <w:sz w:val="20"/>
              </w:rPr>
            </w:pPr>
            <w:r>
              <w:rPr>
                <w:i/>
                <w:color w:val="231F20"/>
                <w:sz w:val="20"/>
              </w:rPr>
              <w:t xml:space="preserve">Нормативний акт як інструмент публічного </w:t>
            </w:r>
            <w:r>
              <w:rPr>
                <w:i/>
                <w:color w:val="231F20"/>
                <w:sz w:val="20"/>
              </w:rPr>
              <w:t xml:space="preserve">адміністрування                                                </w:t>
            </w:r>
            <w:r>
              <w:rPr>
                <w:color w:val="231F20"/>
                <w:spacing w:val="-5"/>
                <w:sz w:val="20"/>
              </w:rPr>
              <w:t>Поняття,</w:t>
            </w:r>
            <w:r>
              <w:rPr>
                <w:color w:val="231F20"/>
                <w:spacing w:val="-16"/>
                <w:sz w:val="20"/>
              </w:rPr>
              <w:t xml:space="preserve"> </w:t>
            </w:r>
            <w:r>
              <w:rPr>
                <w:color w:val="231F20"/>
                <w:spacing w:val="-5"/>
                <w:sz w:val="20"/>
              </w:rPr>
              <w:t>юридичне</w:t>
            </w:r>
            <w:r>
              <w:rPr>
                <w:color w:val="231F20"/>
                <w:spacing w:val="-16"/>
                <w:sz w:val="20"/>
              </w:rPr>
              <w:t xml:space="preserve"> </w:t>
            </w:r>
            <w:r>
              <w:rPr>
                <w:color w:val="231F20"/>
                <w:spacing w:val="-4"/>
                <w:sz w:val="20"/>
              </w:rPr>
              <w:t>значення</w:t>
            </w:r>
            <w:r>
              <w:rPr>
                <w:color w:val="231F20"/>
                <w:spacing w:val="-16"/>
                <w:sz w:val="20"/>
              </w:rPr>
              <w:t xml:space="preserve"> </w:t>
            </w:r>
            <w:r>
              <w:rPr>
                <w:color w:val="231F20"/>
                <w:spacing w:val="-3"/>
                <w:sz w:val="20"/>
              </w:rPr>
              <w:t>та</w:t>
            </w:r>
            <w:r>
              <w:rPr>
                <w:color w:val="231F20"/>
                <w:spacing w:val="-16"/>
                <w:sz w:val="20"/>
              </w:rPr>
              <w:t xml:space="preserve"> </w:t>
            </w:r>
            <w:r>
              <w:rPr>
                <w:color w:val="231F20"/>
                <w:spacing w:val="-4"/>
                <w:sz w:val="20"/>
              </w:rPr>
              <w:t>ознаки</w:t>
            </w:r>
            <w:r>
              <w:rPr>
                <w:color w:val="231F20"/>
                <w:spacing w:val="-16"/>
                <w:sz w:val="20"/>
              </w:rPr>
              <w:t xml:space="preserve"> </w:t>
            </w:r>
            <w:r>
              <w:rPr>
                <w:color w:val="231F20"/>
                <w:spacing w:val="-4"/>
                <w:sz w:val="20"/>
              </w:rPr>
              <w:t xml:space="preserve">норматив- </w:t>
            </w:r>
            <w:r>
              <w:rPr>
                <w:color w:val="231F20"/>
                <w:spacing w:val="-3"/>
                <w:sz w:val="20"/>
              </w:rPr>
              <w:t xml:space="preserve">ного </w:t>
            </w:r>
            <w:r>
              <w:rPr>
                <w:color w:val="231F20"/>
                <w:spacing w:val="-4"/>
                <w:sz w:val="20"/>
              </w:rPr>
              <w:t xml:space="preserve">акта </w:t>
            </w:r>
            <w:r>
              <w:rPr>
                <w:color w:val="231F20"/>
                <w:spacing w:val="-7"/>
                <w:sz w:val="20"/>
              </w:rPr>
              <w:t>суб’єкта</w:t>
            </w:r>
            <w:r>
              <w:rPr>
                <w:color w:val="231F20"/>
                <w:spacing w:val="30"/>
                <w:sz w:val="20"/>
              </w:rPr>
              <w:t xml:space="preserve"> </w:t>
            </w:r>
            <w:r>
              <w:rPr>
                <w:color w:val="231F20"/>
                <w:spacing w:val="-4"/>
                <w:sz w:val="20"/>
              </w:rPr>
              <w:t xml:space="preserve">публічного </w:t>
            </w:r>
            <w:r>
              <w:rPr>
                <w:color w:val="231F20"/>
                <w:spacing w:val="-5"/>
                <w:sz w:val="20"/>
              </w:rPr>
              <w:t xml:space="preserve">адміністрування. </w:t>
            </w:r>
            <w:r>
              <w:rPr>
                <w:color w:val="231F20"/>
                <w:spacing w:val="-4"/>
                <w:sz w:val="20"/>
              </w:rPr>
              <w:t xml:space="preserve">Види нормативних актів </w:t>
            </w:r>
            <w:r>
              <w:rPr>
                <w:color w:val="231F20"/>
                <w:spacing w:val="-3"/>
                <w:sz w:val="20"/>
              </w:rPr>
              <w:t xml:space="preserve">(за </w:t>
            </w:r>
            <w:r>
              <w:rPr>
                <w:color w:val="231F20"/>
                <w:spacing w:val="-7"/>
                <w:sz w:val="20"/>
              </w:rPr>
              <w:t xml:space="preserve">суб’єктами </w:t>
            </w:r>
            <w:r>
              <w:rPr>
                <w:color w:val="231F20"/>
                <w:spacing w:val="-4"/>
                <w:sz w:val="20"/>
              </w:rPr>
              <w:t xml:space="preserve">видання, територіальним </w:t>
            </w:r>
            <w:r>
              <w:rPr>
                <w:color w:val="231F20"/>
                <w:spacing w:val="-5"/>
                <w:sz w:val="20"/>
              </w:rPr>
              <w:t xml:space="preserve">охопленням діяльності, </w:t>
            </w:r>
            <w:r>
              <w:rPr>
                <w:color w:val="231F20"/>
                <w:spacing w:val="-3"/>
                <w:sz w:val="20"/>
              </w:rPr>
              <w:t xml:space="preserve">за </w:t>
            </w:r>
            <w:r>
              <w:rPr>
                <w:color w:val="231F20"/>
                <w:spacing w:val="-4"/>
                <w:sz w:val="20"/>
              </w:rPr>
              <w:t xml:space="preserve">озна- кою внутрішньої </w:t>
            </w:r>
            <w:r>
              <w:rPr>
                <w:color w:val="231F20"/>
                <w:spacing w:val="-3"/>
                <w:sz w:val="20"/>
              </w:rPr>
              <w:t xml:space="preserve">та </w:t>
            </w:r>
            <w:r>
              <w:rPr>
                <w:color w:val="231F20"/>
                <w:spacing w:val="-4"/>
                <w:sz w:val="20"/>
              </w:rPr>
              <w:t>зовнішньої</w:t>
            </w:r>
            <w:r>
              <w:rPr>
                <w:color w:val="231F20"/>
                <w:spacing w:val="-20"/>
                <w:sz w:val="20"/>
              </w:rPr>
              <w:t xml:space="preserve"> </w:t>
            </w:r>
            <w:r>
              <w:rPr>
                <w:color w:val="231F20"/>
                <w:spacing w:val="-4"/>
                <w:sz w:val="20"/>
              </w:rPr>
              <w:t>спрямованості).</w:t>
            </w:r>
          </w:p>
          <w:p w14:paraId="3D7B291F" w14:textId="77777777" w:rsidR="00DE575E" w:rsidRDefault="002E7560">
            <w:pPr>
              <w:pStyle w:val="TableParagraph"/>
              <w:spacing w:line="225" w:lineRule="auto"/>
              <w:ind w:right="45"/>
              <w:jc w:val="both"/>
              <w:rPr>
                <w:sz w:val="20"/>
              </w:rPr>
            </w:pPr>
            <w:r>
              <w:rPr>
                <w:color w:val="231F20"/>
                <w:sz w:val="20"/>
              </w:rPr>
              <w:t>Вимоги до нормативного акта. Порядок підго- товки та ухвалення. Зміст і значення антико- рупційної експертизи. Державна реєстрація нормативного акта. Процедура оприлюднення та набрання чинності.</w:t>
            </w:r>
          </w:p>
          <w:p w14:paraId="38E55DE2" w14:textId="77777777" w:rsidR="00DE575E" w:rsidRDefault="002E7560">
            <w:pPr>
              <w:pStyle w:val="TableParagraph"/>
              <w:spacing w:line="220" w:lineRule="exact"/>
              <w:ind w:right="45"/>
              <w:jc w:val="both"/>
              <w:rPr>
                <w:sz w:val="20"/>
              </w:rPr>
            </w:pPr>
            <w:r>
              <w:rPr>
                <w:color w:val="231F20"/>
                <w:sz w:val="20"/>
              </w:rPr>
              <w:t xml:space="preserve">Підстави </w:t>
            </w:r>
            <w:r>
              <w:rPr>
                <w:color w:val="231F20"/>
                <w:sz w:val="20"/>
              </w:rPr>
              <w:t>для визнання нормативного акта протиправним. Зв’язок протиправності з фактом недотримання формальних вимог під час його підготовки та видання.</w:t>
            </w:r>
          </w:p>
        </w:tc>
        <w:tc>
          <w:tcPr>
            <w:tcW w:w="732" w:type="dxa"/>
          </w:tcPr>
          <w:p w14:paraId="524F75DA" w14:textId="77777777" w:rsidR="00DE575E" w:rsidRDefault="00DE575E">
            <w:pPr>
              <w:pStyle w:val="TableParagraph"/>
              <w:ind w:left="0"/>
              <w:rPr>
                <w:rFonts w:ascii="Times New Roman"/>
                <w:sz w:val="18"/>
              </w:rPr>
            </w:pPr>
          </w:p>
        </w:tc>
        <w:tc>
          <w:tcPr>
            <w:tcW w:w="732" w:type="dxa"/>
          </w:tcPr>
          <w:p w14:paraId="4D69025D" w14:textId="77777777" w:rsidR="00DE575E" w:rsidRDefault="00DE575E">
            <w:pPr>
              <w:pStyle w:val="TableParagraph"/>
              <w:ind w:left="0"/>
              <w:rPr>
                <w:rFonts w:ascii="Times New Roman"/>
                <w:sz w:val="18"/>
              </w:rPr>
            </w:pPr>
          </w:p>
        </w:tc>
      </w:tr>
      <w:tr w:rsidR="00DE575E" w14:paraId="57961D98" w14:textId="77777777">
        <w:trPr>
          <w:trHeight w:val="2898"/>
        </w:trPr>
        <w:tc>
          <w:tcPr>
            <w:tcW w:w="567" w:type="dxa"/>
          </w:tcPr>
          <w:p w14:paraId="38FBAA4C" w14:textId="77777777" w:rsidR="00DE575E" w:rsidRDefault="002E7560">
            <w:pPr>
              <w:pStyle w:val="TableParagraph"/>
              <w:spacing w:before="17"/>
              <w:rPr>
                <w:sz w:val="20"/>
              </w:rPr>
            </w:pPr>
            <w:r>
              <w:rPr>
                <w:color w:val="231F20"/>
                <w:sz w:val="20"/>
              </w:rPr>
              <w:t>6.3.</w:t>
            </w:r>
          </w:p>
        </w:tc>
        <w:tc>
          <w:tcPr>
            <w:tcW w:w="4493" w:type="dxa"/>
          </w:tcPr>
          <w:p w14:paraId="29C107D8" w14:textId="77777777" w:rsidR="00DE575E" w:rsidRDefault="002E7560">
            <w:pPr>
              <w:pStyle w:val="TableParagraph"/>
              <w:spacing w:before="28" w:line="225" w:lineRule="auto"/>
              <w:ind w:right="45"/>
              <w:jc w:val="both"/>
              <w:rPr>
                <w:i/>
                <w:sz w:val="20"/>
              </w:rPr>
            </w:pPr>
            <w:r>
              <w:rPr>
                <w:i/>
                <w:color w:val="231F20"/>
                <w:sz w:val="20"/>
              </w:rPr>
              <w:t>Адміністративний акт як інструмент публіч- ного адміністрування</w:t>
            </w:r>
          </w:p>
          <w:p w14:paraId="6D56A1F6" w14:textId="77777777" w:rsidR="00DE575E" w:rsidRDefault="002E7560">
            <w:pPr>
              <w:pStyle w:val="TableParagraph"/>
              <w:spacing w:line="225" w:lineRule="auto"/>
              <w:ind w:right="45"/>
              <w:jc w:val="both"/>
              <w:rPr>
                <w:sz w:val="20"/>
              </w:rPr>
            </w:pPr>
            <w:r>
              <w:rPr>
                <w:color w:val="231F20"/>
                <w:sz w:val="20"/>
              </w:rPr>
              <w:t>Поняття, юридичне значення та ознаки адмі- ністративного акта. Відмежування адмініст- ративного акта від інших актів (документів) суб’єкта публічного адміністрування.</w:t>
            </w:r>
          </w:p>
          <w:p w14:paraId="2F9058EC" w14:textId="77777777" w:rsidR="00DE575E" w:rsidRDefault="002E7560">
            <w:pPr>
              <w:pStyle w:val="TableParagraph"/>
              <w:spacing w:line="214" w:lineRule="exact"/>
              <w:rPr>
                <w:sz w:val="20"/>
              </w:rPr>
            </w:pPr>
            <w:r>
              <w:rPr>
                <w:color w:val="231F20"/>
                <w:sz w:val="20"/>
              </w:rPr>
              <w:t>Види адміністративних актів.</w:t>
            </w:r>
          </w:p>
          <w:p w14:paraId="4FB027A1" w14:textId="77777777" w:rsidR="00DE575E" w:rsidRDefault="002E7560">
            <w:pPr>
              <w:pStyle w:val="TableParagraph"/>
              <w:spacing w:before="4" w:line="225" w:lineRule="auto"/>
              <w:ind w:right="45"/>
              <w:jc w:val="both"/>
              <w:rPr>
                <w:sz w:val="20"/>
              </w:rPr>
            </w:pPr>
            <w:r>
              <w:rPr>
                <w:color w:val="231F20"/>
                <w:sz w:val="20"/>
              </w:rPr>
              <w:t>Процедура видання адміністративного акта. Чинність акта (умо</w:t>
            </w:r>
            <w:r>
              <w:rPr>
                <w:color w:val="231F20"/>
                <w:sz w:val="20"/>
              </w:rPr>
              <w:t>ви чинності, способи дове- дення до відома, припинення чинності). Вико- нання адміністративного акта.</w:t>
            </w:r>
          </w:p>
          <w:p w14:paraId="33ED39C9" w14:textId="77777777" w:rsidR="00DE575E" w:rsidRDefault="002E7560">
            <w:pPr>
              <w:pStyle w:val="TableParagraph"/>
              <w:spacing w:before="1" w:line="220" w:lineRule="exact"/>
              <w:ind w:right="46"/>
              <w:jc w:val="both"/>
              <w:rPr>
                <w:sz w:val="20"/>
              </w:rPr>
            </w:pPr>
            <w:r>
              <w:rPr>
                <w:color w:val="231F20"/>
                <w:sz w:val="20"/>
              </w:rPr>
              <w:t>Поняття нікчемності адміністративного акта. Підстави визнання акта нікчемним.</w:t>
            </w:r>
          </w:p>
        </w:tc>
        <w:tc>
          <w:tcPr>
            <w:tcW w:w="732" w:type="dxa"/>
          </w:tcPr>
          <w:p w14:paraId="2ECE95E2" w14:textId="77777777" w:rsidR="00DE575E" w:rsidRDefault="00DE575E">
            <w:pPr>
              <w:pStyle w:val="TableParagraph"/>
              <w:ind w:left="0"/>
              <w:rPr>
                <w:rFonts w:ascii="Times New Roman"/>
                <w:sz w:val="18"/>
              </w:rPr>
            </w:pPr>
          </w:p>
        </w:tc>
        <w:tc>
          <w:tcPr>
            <w:tcW w:w="732" w:type="dxa"/>
          </w:tcPr>
          <w:p w14:paraId="4658CBFA" w14:textId="77777777" w:rsidR="00DE575E" w:rsidRDefault="00DE575E">
            <w:pPr>
              <w:pStyle w:val="TableParagraph"/>
              <w:ind w:left="0"/>
              <w:rPr>
                <w:rFonts w:ascii="Times New Roman"/>
                <w:sz w:val="18"/>
              </w:rPr>
            </w:pPr>
          </w:p>
        </w:tc>
      </w:tr>
      <w:tr w:rsidR="00DE575E" w14:paraId="5106398A" w14:textId="77777777">
        <w:trPr>
          <w:trHeight w:val="1138"/>
        </w:trPr>
        <w:tc>
          <w:tcPr>
            <w:tcW w:w="567" w:type="dxa"/>
          </w:tcPr>
          <w:p w14:paraId="34FA4003" w14:textId="77777777" w:rsidR="00DE575E" w:rsidRDefault="002E7560">
            <w:pPr>
              <w:pStyle w:val="TableParagraph"/>
              <w:spacing w:before="17"/>
              <w:rPr>
                <w:sz w:val="20"/>
              </w:rPr>
            </w:pPr>
            <w:r>
              <w:rPr>
                <w:color w:val="231F20"/>
                <w:sz w:val="20"/>
              </w:rPr>
              <w:t>6.4</w:t>
            </w:r>
          </w:p>
        </w:tc>
        <w:tc>
          <w:tcPr>
            <w:tcW w:w="4493" w:type="dxa"/>
          </w:tcPr>
          <w:p w14:paraId="7F768D3A" w14:textId="77777777" w:rsidR="00DE575E" w:rsidRDefault="002E7560">
            <w:pPr>
              <w:pStyle w:val="TableParagraph"/>
              <w:tabs>
                <w:tab w:val="left" w:pos="2009"/>
                <w:tab w:val="left" w:pos="2894"/>
                <w:tab w:val="left" w:pos="3332"/>
              </w:tabs>
              <w:spacing w:before="28" w:line="225" w:lineRule="auto"/>
              <w:ind w:right="45"/>
              <w:rPr>
                <w:i/>
                <w:sz w:val="20"/>
              </w:rPr>
            </w:pPr>
            <w:r>
              <w:rPr>
                <w:i/>
                <w:color w:val="231F20"/>
                <w:sz w:val="20"/>
              </w:rPr>
              <w:t>Адміністративний</w:t>
            </w:r>
            <w:r>
              <w:rPr>
                <w:i/>
                <w:color w:val="231F20"/>
                <w:sz w:val="20"/>
              </w:rPr>
              <w:tab/>
              <w:t>договір</w:t>
            </w:r>
            <w:r>
              <w:rPr>
                <w:i/>
                <w:color w:val="231F20"/>
                <w:sz w:val="20"/>
              </w:rPr>
              <w:tab/>
              <w:t>як</w:t>
            </w:r>
            <w:r>
              <w:rPr>
                <w:i/>
                <w:color w:val="231F20"/>
                <w:sz w:val="20"/>
              </w:rPr>
              <w:tab/>
            </w:r>
            <w:r>
              <w:rPr>
                <w:i/>
                <w:color w:val="231F20"/>
                <w:spacing w:val="-1"/>
                <w:sz w:val="20"/>
              </w:rPr>
              <w:t xml:space="preserve">інструмент </w:t>
            </w:r>
            <w:r>
              <w:rPr>
                <w:i/>
                <w:color w:val="231F20"/>
                <w:sz w:val="20"/>
              </w:rPr>
              <w:t>публічного</w:t>
            </w:r>
            <w:r>
              <w:rPr>
                <w:i/>
                <w:color w:val="231F20"/>
                <w:spacing w:val="-2"/>
                <w:sz w:val="20"/>
              </w:rPr>
              <w:t xml:space="preserve"> </w:t>
            </w:r>
            <w:r>
              <w:rPr>
                <w:i/>
                <w:color w:val="231F20"/>
                <w:sz w:val="20"/>
              </w:rPr>
              <w:t>адміністрування</w:t>
            </w:r>
          </w:p>
          <w:p w14:paraId="0214D79F" w14:textId="77777777" w:rsidR="00DE575E" w:rsidRDefault="002E7560">
            <w:pPr>
              <w:pStyle w:val="TableParagraph"/>
              <w:spacing w:line="225" w:lineRule="auto"/>
              <w:ind w:right="45"/>
              <w:rPr>
                <w:sz w:val="20"/>
              </w:rPr>
            </w:pPr>
            <w:r>
              <w:rPr>
                <w:color w:val="231F20"/>
                <w:sz w:val="20"/>
              </w:rPr>
              <w:t>Поняття, юридичне значення та ознаки адмі- ністративного договору.</w:t>
            </w:r>
          </w:p>
          <w:p w14:paraId="74A09173" w14:textId="77777777" w:rsidR="00DE575E" w:rsidRDefault="002E7560">
            <w:pPr>
              <w:pStyle w:val="TableParagraph"/>
              <w:spacing w:line="210" w:lineRule="exact"/>
              <w:rPr>
                <w:sz w:val="20"/>
              </w:rPr>
            </w:pPr>
            <w:r>
              <w:rPr>
                <w:color w:val="231F20"/>
                <w:sz w:val="20"/>
              </w:rPr>
              <w:t>Види адміністративних договорів.</w:t>
            </w:r>
          </w:p>
        </w:tc>
        <w:tc>
          <w:tcPr>
            <w:tcW w:w="732" w:type="dxa"/>
          </w:tcPr>
          <w:p w14:paraId="4EF8ECCE" w14:textId="77777777" w:rsidR="00DE575E" w:rsidRDefault="00DE575E">
            <w:pPr>
              <w:pStyle w:val="TableParagraph"/>
              <w:ind w:left="0"/>
              <w:rPr>
                <w:rFonts w:ascii="Times New Roman"/>
                <w:sz w:val="18"/>
              </w:rPr>
            </w:pPr>
          </w:p>
        </w:tc>
        <w:tc>
          <w:tcPr>
            <w:tcW w:w="732" w:type="dxa"/>
          </w:tcPr>
          <w:p w14:paraId="3EA16757" w14:textId="77777777" w:rsidR="00DE575E" w:rsidRDefault="00DE575E">
            <w:pPr>
              <w:pStyle w:val="TableParagraph"/>
              <w:ind w:left="0"/>
              <w:rPr>
                <w:rFonts w:ascii="Times New Roman"/>
                <w:sz w:val="18"/>
              </w:rPr>
            </w:pPr>
          </w:p>
        </w:tc>
      </w:tr>
    </w:tbl>
    <w:p w14:paraId="76DA412A" w14:textId="77777777" w:rsidR="00DE575E" w:rsidRDefault="00DE575E">
      <w:pPr>
        <w:pStyle w:val="BodyText"/>
        <w:rPr>
          <w:rFonts w:ascii="AdonisC"/>
          <w:i/>
          <w:sz w:val="18"/>
        </w:rPr>
      </w:pPr>
    </w:p>
    <w:p w14:paraId="2E02E6E3" w14:textId="77777777" w:rsidR="00DE575E" w:rsidRDefault="002E7560">
      <w:pPr>
        <w:spacing w:before="124"/>
        <w:ind w:left="533"/>
        <w:rPr>
          <w:rFonts w:ascii="Times New Roman"/>
          <w:sz w:val="20"/>
        </w:rPr>
      </w:pPr>
      <w:r>
        <w:rPr>
          <w:rFonts w:ascii="Times New Roman"/>
          <w:color w:val="231F20"/>
          <w:sz w:val="20"/>
        </w:rPr>
        <w:t>576</w:t>
      </w:r>
    </w:p>
    <w:p w14:paraId="40606B68" w14:textId="77777777" w:rsidR="00DE575E" w:rsidRDefault="00DE575E">
      <w:pPr>
        <w:rPr>
          <w:rFonts w:ascii="Times New Roman"/>
          <w:sz w:val="20"/>
        </w:rPr>
        <w:sectPr w:rsidR="00DE575E">
          <w:pgSz w:w="8510" w:h="12760"/>
          <w:pgMar w:top="660" w:right="720" w:bottom="280" w:left="600" w:header="720" w:footer="720" w:gutter="0"/>
          <w:cols w:space="720"/>
        </w:sectPr>
      </w:pPr>
    </w:p>
    <w:p w14:paraId="4E053F8F" w14:textId="77777777" w:rsidR="00DE575E" w:rsidRDefault="002E7560">
      <w:pPr>
        <w:spacing w:before="72" w:after="9"/>
        <w:ind w:right="411"/>
        <w:jc w:val="right"/>
        <w:rPr>
          <w:rFonts w:ascii="AdonisC" w:hAnsi="AdonisC"/>
          <w:i/>
          <w:sz w:val="18"/>
        </w:rPr>
      </w:pPr>
      <w:r>
        <w:rPr>
          <w:rFonts w:ascii="AdonisC" w:hAnsi="AdonisC"/>
          <w:i/>
          <w:color w:val="231F20"/>
          <w:sz w:val="18"/>
        </w:rPr>
        <w:t>Додаток</w:t>
      </w:r>
    </w:p>
    <w:p w14:paraId="3A64356E" w14:textId="5FB41489"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3F9DE231" wp14:editId="5123A66A">
                <wp:extent cx="4140200" cy="6350"/>
                <wp:effectExtent l="0" t="0" r="12700" b="6350"/>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6" name="Line 1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5C6010" id="Group_x0020_1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BDXhlifQIAAJQFAAAOAAAA&#10;AAAAAAAAAAAAACwCAABkcnMvZTJvRG9jLnhtbFBLAQItABQABgAIAAAAIQBMp7CQ2QAAAAMBAAAP&#10;AAAAAAAAAAAAAAAAANUEAABkcnMvZG93bnJldi54bWxQSwUGAAAAAAQABADzAAAA2wUAAAAA&#10;">
                <v:line id="Line_x0020_1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x2/8IAAADbAAAADwAAAGRycy9kb3ducmV2LnhtbERPzYrCMBC+C/sOYRa8yJqqIFKNsiws&#10;iAd17T7A2Ixt2WRSm2irT2+EBW/z8f3OYtVZI67U+MqxgtEwAUGcO11xoeA3+/6YgfABWaNxTApu&#10;5GG1fOstMNWu5R+6HkIhYgj7FBWUIdSplD4vyaIfupo4cifXWAwRNoXUDbYx3Bo5TpKptFhxbCix&#10;pq+S8r/DxSrIzoNg9ruNabPdcSKP5+3kftkq1X/vPucgAnXhJf53r3WcP4XnL/EA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Ix2/8IAAADbAAAADwAAAAAAAAAAAAAA&#10;AAChAgAAZHJzL2Rvd25yZXYueG1sUEsFBgAAAAAEAAQA+QAAAJADAAAAAA==&#10;" strokecolor="#231f20" strokeweight=".5pt"/>
                <w10:anchorlock/>
              </v:group>
            </w:pict>
          </mc:Fallback>
        </mc:AlternateContent>
      </w:r>
    </w:p>
    <w:p w14:paraId="316286B1"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3AD3EBE8" w14:textId="77777777">
        <w:trPr>
          <w:trHeight w:val="888"/>
        </w:trPr>
        <w:tc>
          <w:tcPr>
            <w:tcW w:w="567" w:type="dxa"/>
          </w:tcPr>
          <w:p w14:paraId="2BD603F3" w14:textId="77777777" w:rsidR="00DE575E" w:rsidRDefault="00DE575E">
            <w:pPr>
              <w:pStyle w:val="TableParagraph"/>
              <w:ind w:left="0"/>
              <w:rPr>
                <w:rFonts w:ascii="Times New Roman"/>
                <w:sz w:val="20"/>
              </w:rPr>
            </w:pPr>
          </w:p>
        </w:tc>
        <w:tc>
          <w:tcPr>
            <w:tcW w:w="4493" w:type="dxa"/>
          </w:tcPr>
          <w:p w14:paraId="4C625E56" w14:textId="77777777" w:rsidR="00DE575E" w:rsidRDefault="002E7560">
            <w:pPr>
              <w:pStyle w:val="TableParagraph"/>
              <w:spacing w:before="39" w:line="210" w:lineRule="exact"/>
              <w:ind w:right="45"/>
              <w:jc w:val="both"/>
              <w:rPr>
                <w:sz w:val="20"/>
              </w:rPr>
            </w:pPr>
            <w:r>
              <w:rPr>
                <w:color w:val="231F20"/>
                <w:spacing w:val="-4"/>
                <w:sz w:val="20"/>
              </w:rPr>
              <w:t xml:space="preserve">Чинність </w:t>
            </w:r>
            <w:r>
              <w:rPr>
                <w:color w:val="231F20"/>
                <w:spacing w:val="-5"/>
                <w:sz w:val="20"/>
              </w:rPr>
              <w:t xml:space="preserve">адміністративного договору </w:t>
            </w:r>
            <w:r>
              <w:rPr>
                <w:color w:val="231F20"/>
                <w:spacing w:val="-4"/>
                <w:sz w:val="20"/>
              </w:rPr>
              <w:t xml:space="preserve">(умови чинності, припинення чинності). </w:t>
            </w:r>
            <w:r>
              <w:rPr>
                <w:color w:val="231F20"/>
                <w:spacing w:val="-5"/>
                <w:sz w:val="20"/>
              </w:rPr>
              <w:t xml:space="preserve">Поняття </w:t>
            </w:r>
            <w:r>
              <w:rPr>
                <w:color w:val="231F20"/>
                <w:spacing w:val="-4"/>
                <w:sz w:val="20"/>
              </w:rPr>
              <w:t xml:space="preserve">нікчем- ності </w:t>
            </w:r>
            <w:r>
              <w:rPr>
                <w:color w:val="231F20"/>
                <w:spacing w:val="-5"/>
                <w:sz w:val="20"/>
              </w:rPr>
              <w:t xml:space="preserve">адміністративного </w:t>
            </w:r>
            <w:r>
              <w:rPr>
                <w:color w:val="231F20"/>
                <w:spacing w:val="-6"/>
                <w:sz w:val="20"/>
              </w:rPr>
              <w:t xml:space="preserve">договору. </w:t>
            </w:r>
            <w:r>
              <w:rPr>
                <w:color w:val="231F20"/>
                <w:spacing w:val="-5"/>
                <w:sz w:val="20"/>
              </w:rPr>
              <w:t xml:space="preserve">Підстави </w:t>
            </w:r>
            <w:r>
              <w:rPr>
                <w:color w:val="231F20"/>
                <w:spacing w:val="-4"/>
                <w:sz w:val="20"/>
              </w:rPr>
              <w:t xml:space="preserve">визнання </w:t>
            </w:r>
            <w:r>
              <w:rPr>
                <w:color w:val="231F20"/>
                <w:spacing w:val="-5"/>
                <w:sz w:val="20"/>
              </w:rPr>
              <w:t xml:space="preserve">адміністративного договору </w:t>
            </w:r>
            <w:r>
              <w:rPr>
                <w:color w:val="231F20"/>
                <w:spacing w:val="-4"/>
                <w:sz w:val="20"/>
              </w:rPr>
              <w:t>нікчемним.</w:t>
            </w:r>
          </w:p>
        </w:tc>
        <w:tc>
          <w:tcPr>
            <w:tcW w:w="732" w:type="dxa"/>
          </w:tcPr>
          <w:p w14:paraId="74C9FA02" w14:textId="77777777" w:rsidR="00DE575E" w:rsidRDefault="00DE575E">
            <w:pPr>
              <w:pStyle w:val="TableParagraph"/>
              <w:ind w:left="0"/>
              <w:rPr>
                <w:rFonts w:ascii="Times New Roman"/>
                <w:sz w:val="20"/>
              </w:rPr>
            </w:pPr>
          </w:p>
        </w:tc>
        <w:tc>
          <w:tcPr>
            <w:tcW w:w="732" w:type="dxa"/>
          </w:tcPr>
          <w:p w14:paraId="038906BB" w14:textId="77777777" w:rsidR="00DE575E" w:rsidRDefault="00DE575E">
            <w:pPr>
              <w:pStyle w:val="TableParagraph"/>
              <w:ind w:left="0"/>
              <w:rPr>
                <w:rFonts w:ascii="Times New Roman"/>
                <w:sz w:val="20"/>
              </w:rPr>
            </w:pPr>
          </w:p>
        </w:tc>
      </w:tr>
      <w:tr w:rsidR="00DE575E" w14:paraId="4A16657D" w14:textId="77777777">
        <w:trPr>
          <w:trHeight w:val="2358"/>
        </w:trPr>
        <w:tc>
          <w:tcPr>
            <w:tcW w:w="567" w:type="dxa"/>
          </w:tcPr>
          <w:p w14:paraId="6F0DF10E" w14:textId="77777777" w:rsidR="00DE575E" w:rsidRDefault="002E7560">
            <w:pPr>
              <w:pStyle w:val="TableParagraph"/>
              <w:spacing w:before="17"/>
              <w:rPr>
                <w:sz w:val="20"/>
              </w:rPr>
            </w:pPr>
            <w:r>
              <w:rPr>
                <w:color w:val="231F20"/>
                <w:sz w:val="20"/>
              </w:rPr>
              <w:t>6.5.</w:t>
            </w:r>
          </w:p>
        </w:tc>
        <w:tc>
          <w:tcPr>
            <w:tcW w:w="4493" w:type="dxa"/>
          </w:tcPr>
          <w:p w14:paraId="04E594C2" w14:textId="77777777" w:rsidR="00DE575E" w:rsidRDefault="002E7560">
            <w:pPr>
              <w:pStyle w:val="TableParagraph"/>
              <w:spacing w:before="39" w:line="210" w:lineRule="exact"/>
              <w:ind w:right="45"/>
              <w:jc w:val="both"/>
              <w:rPr>
                <w:sz w:val="20"/>
              </w:rPr>
            </w:pPr>
            <w:r>
              <w:rPr>
                <w:i/>
                <w:color w:val="231F20"/>
                <w:sz w:val="20"/>
              </w:rPr>
              <w:t>План</w:t>
            </w:r>
            <w:r>
              <w:rPr>
                <w:i/>
                <w:color w:val="231F20"/>
                <w:spacing w:val="-17"/>
                <w:sz w:val="20"/>
              </w:rPr>
              <w:t xml:space="preserve"> </w:t>
            </w:r>
            <w:r>
              <w:rPr>
                <w:i/>
                <w:color w:val="231F20"/>
                <w:sz w:val="20"/>
              </w:rPr>
              <w:t>як</w:t>
            </w:r>
            <w:r>
              <w:rPr>
                <w:i/>
                <w:color w:val="231F20"/>
                <w:spacing w:val="-17"/>
                <w:sz w:val="20"/>
              </w:rPr>
              <w:t xml:space="preserve"> </w:t>
            </w:r>
            <w:r>
              <w:rPr>
                <w:i/>
                <w:color w:val="231F20"/>
                <w:sz w:val="20"/>
              </w:rPr>
              <w:t>інструмент</w:t>
            </w:r>
            <w:r>
              <w:rPr>
                <w:i/>
                <w:color w:val="231F20"/>
                <w:spacing w:val="-17"/>
                <w:sz w:val="20"/>
              </w:rPr>
              <w:t xml:space="preserve"> </w:t>
            </w:r>
            <w:r>
              <w:rPr>
                <w:i/>
                <w:color w:val="231F20"/>
                <w:sz w:val="20"/>
              </w:rPr>
              <w:t>публічного</w:t>
            </w:r>
            <w:r>
              <w:rPr>
                <w:i/>
                <w:color w:val="231F20"/>
                <w:spacing w:val="-16"/>
                <w:sz w:val="20"/>
              </w:rPr>
              <w:t xml:space="preserve"> </w:t>
            </w:r>
            <w:r>
              <w:rPr>
                <w:i/>
                <w:color w:val="231F20"/>
                <w:sz w:val="20"/>
              </w:rPr>
              <w:t xml:space="preserve">адміністрування </w:t>
            </w:r>
            <w:r>
              <w:rPr>
                <w:color w:val="231F20"/>
                <w:spacing w:val="-3"/>
                <w:sz w:val="20"/>
              </w:rPr>
              <w:t xml:space="preserve">Поняття, юридичне значення </w:t>
            </w:r>
            <w:r>
              <w:rPr>
                <w:color w:val="231F20"/>
                <w:sz w:val="20"/>
              </w:rPr>
              <w:t xml:space="preserve">та ознаки  плану як інструменту публічного </w:t>
            </w:r>
            <w:r>
              <w:rPr>
                <w:color w:val="231F20"/>
                <w:spacing w:val="-3"/>
                <w:sz w:val="20"/>
              </w:rPr>
              <w:t xml:space="preserve">адміністрування. </w:t>
            </w:r>
            <w:r>
              <w:rPr>
                <w:color w:val="231F20"/>
                <w:sz w:val="20"/>
              </w:rPr>
              <w:t xml:space="preserve">Сфера застосування планів. </w:t>
            </w:r>
            <w:r>
              <w:rPr>
                <w:color w:val="231F20"/>
                <w:spacing w:val="-3"/>
                <w:sz w:val="20"/>
              </w:rPr>
              <w:t xml:space="preserve">Види </w:t>
            </w:r>
            <w:r>
              <w:rPr>
                <w:color w:val="231F20"/>
                <w:sz w:val="20"/>
              </w:rPr>
              <w:t xml:space="preserve">планів </w:t>
            </w:r>
            <w:r>
              <w:rPr>
                <w:color w:val="231F20"/>
                <w:spacing w:val="-2"/>
                <w:sz w:val="20"/>
              </w:rPr>
              <w:t xml:space="preserve">(за </w:t>
            </w:r>
            <w:r>
              <w:rPr>
                <w:color w:val="231F20"/>
                <w:spacing w:val="-3"/>
                <w:sz w:val="20"/>
              </w:rPr>
              <w:t xml:space="preserve">рівнем юридичної </w:t>
            </w:r>
            <w:r>
              <w:rPr>
                <w:color w:val="231F20"/>
                <w:spacing w:val="-2"/>
                <w:sz w:val="20"/>
              </w:rPr>
              <w:t xml:space="preserve">обов’язковості, </w:t>
            </w:r>
            <w:r>
              <w:rPr>
                <w:color w:val="231F20"/>
                <w:sz w:val="20"/>
              </w:rPr>
              <w:t xml:space="preserve">за </w:t>
            </w:r>
            <w:r>
              <w:rPr>
                <w:color w:val="231F20"/>
                <w:spacing w:val="-3"/>
                <w:sz w:val="20"/>
              </w:rPr>
              <w:t xml:space="preserve">напрямком юридичного </w:t>
            </w:r>
            <w:r>
              <w:rPr>
                <w:color w:val="231F20"/>
                <w:spacing w:val="-5"/>
                <w:sz w:val="20"/>
              </w:rPr>
              <w:t xml:space="preserve">впливу, </w:t>
            </w:r>
            <w:r>
              <w:rPr>
                <w:color w:val="231F20"/>
                <w:sz w:val="20"/>
              </w:rPr>
              <w:t xml:space="preserve">за змістом </w:t>
            </w:r>
            <w:r>
              <w:rPr>
                <w:color w:val="231F20"/>
                <w:spacing w:val="-4"/>
                <w:sz w:val="20"/>
              </w:rPr>
              <w:t xml:space="preserve">регулятивного </w:t>
            </w:r>
            <w:r>
              <w:rPr>
                <w:color w:val="231F20"/>
                <w:sz w:val="20"/>
              </w:rPr>
              <w:t xml:space="preserve">впливу). </w:t>
            </w:r>
            <w:r>
              <w:rPr>
                <w:color w:val="231F20"/>
                <w:spacing w:val="-3"/>
                <w:sz w:val="20"/>
              </w:rPr>
              <w:t xml:space="preserve">Приклади </w:t>
            </w:r>
            <w:r>
              <w:rPr>
                <w:color w:val="231F20"/>
                <w:sz w:val="20"/>
              </w:rPr>
              <w:t>з</w:t>
            </w:r>
            <w:r>
              <w:rPr>
                <w:color w:val="231F20"/>
                <w:sz w:val="20"/>
              </w:rPr>
              <w:t xml:space="preserve">астосування плану в </w:t>
            </w:r>
            <w:r>
              <w:rPr>
                <w:color w:val="231F20"/>
                <w:spacing w:val="-3"/>
                <w:sz w:val="20"/>
              </w:rPr>
              <w:t xml:space="preserve">різних </w:t>
            </w:r>
            <w:r>
              <w:rPr>
                <w:color w:val="231F20"/>
                <w:sz w:val="20"/>
              </w:rPr>
              <w:t xml:space="preserve">сферах </w:t>
            </w:r>
            <w:r>
              <w:rPr>
                <w:color w:val="231F20"/>
                <w:spacing w:val="-3"/>
                <w:sz w:val="20"/>
              </w:rPr>
              <w:t xml:space="preserve">(генеральний </w:t>
            </w:r>
            <w:r>
              <w:rPr>
                <w:color w:val="231F20"/>
                <w:sz w:val="20"/>
              </w:rPr>
              <w:t xml:space="preserve">план населеного </w:t>
            </w:r>
            <w:r>
              <w:rPr>
                <w:color w:val="231F20"/>
                <w:spacing w:val="-4"/>
                <w:sz w:val="20"/>
              </w:rPr>
              <w:t xml:space="preserve">пункту, </w:t>
            </w:r>
            <w:r>
              <w:rPr>
                <w:color w:val="231F20"/>
                <w:spacing w:val="-3"/>
                <w:sz w:val="20"/>
              </w:rPr>
              <w:t xml:space="preserve">детальний </w:t>
            </w:r>
            <w:r>
              <w:rPr>
                <w:color w:val="231F20"/>
                <w:sz w:val="20"/>
              </w:rPr>
              <w:t xml:space="preserve">план території, план </w:t>
            </w:r>
            <w:r>
              <w:rPr>
                <w:color w:val="231F20"/>
                <w:spacing w:val="-3"/>
                <w:sz w:val="20"/>
              </w:rPr>
              <w:t xml:space="preserve">зонування </w:t>
            </w:r>
            <w:r>
              <w:rPr>
                <w:color w:val="231F20"/>
                <w:sz w:val="20"/>
              </w:rPr>
              <w:t xml:space="preserve">тери- торії, </w:t>
            </w:r>
            <w:r>
              <w:rPr>
                <w:color w:val="231F20"/>
                <w:spacing w:val="-4"/>
                <w:sz w:val="20"/>
              </w:rPr>
              <w:t xml:space="preserve">бюджет </w:t>
            </w:r>
            <w:r>
              <w:rPr>
                <w:color w:val="231F20"/>
                <w:sz w:val="20"/>
              </w:rPr>
              <w:t xml:space="preserve">як вид </w:t>
            </w:r>
            <w:r>
              <w:rPr>
                <w:color w:val="231F20"/>
                <w:spacing w:val="-3"/>
                <w:sz w:val="20"/>
              </w:rPr>
              <w:t xml:space="preserve">фінансового </w:t>
            </w:r>
            <w:r>
              <w:rPr>
                <w:color w:val="231F20"/>
                <w:spacing w:val="-5"/>
                <w:sz w:val="20"/>
              </w:rPr>
              <w:t xml:space="preserve">плану, </w:t>
            </w:r>
            <w:r>
              <w:rPr>
                <w:color w:val="231F20"/>
                <w:spacing w:val="-3"/>
                <w:sz w:val="20"/>
              </w:rPr>
              <w:t xml:space="preserve">концеп- </w:t>
            </w:r>
            <w:r>
              <w:rPr>
                <w:color w:val="231F20"/>
                <w:sz w:val="20"/>
              </w:rPr>
              <w:t xml:space="preserve">ція </w:t>
            </w:r>
            <w:r>
              <w:rPr>
                <w:color w:val="231F20"/>
                <w:spacing w:val="-3"/>
                <w:sz w:val="20"/>
              </w:rPr>
              <w:t>розвитку</w:t>
            </w:r>
            <w:r>
              <w:rPr>
                <w:color w:val="231F20"/>
                <w:spacing w:val="-10"/>
                <w:sz w:val="20"/>
              </w:rPr>
              <w:t xml:space="preserve"> </w:t>
            </w:r>
            <w:r>
              <w:rPr>
                <w:color w:val="231F20"/>
                <w:spacing w:val="-2"/>
                <w:sz w:val="20"/>
              </w:rPr>
              <w:t>тощо).</w:t>
            </w:r>
          </w:p>
        </w:tc>
        <w:tc>
          <w:tcPr>
            <w:tcW w:w="732" w:type="dxa"/>
          </w:tcPr>
          <w:p w14:paraId="768894E4" w14:textId="77777777" w:rsidR="00DE575E" w:rsidRDefault="00DE575E">
            <w:pPr>
              <w:pStyle w:val="TableParagraph"/>
              <w:ind w:left="0"/>
              <w:rPr>
                <w:rFonts w:ascii="Times New Roman"/>
                <w:sz w:val="20"/>
              </w:rPr>
            </w:pPr>
          </w:p>
        </w:tc>
        <w:tc>
          <w:tcPr>
            <w:tcW w:w="732" w:type="dxa"/>
          </w:tcPr>
          <w:p w14:paraId="70C4D46E" w14:textId="77777777" w:rsidR="00DE575E" w:rsidRDefault="00DE575E">
            <w:pPr>
              <w:pStyle w:val="TableParagraph"/>
              <w:ind w:left="0"/>
              <w:rPr>
                <w:rFonts w:ascii="Times New Roman"/>
                <w:sz w:val="20"/>
              </w:rPr>
            </w:pPr>
          </w:p>
        </w:tc>
      </w:tr>
      <w:tr w:rsidR="00DE575E" w14:paraId="5D84B844" w14:textId="77777777">
        <w:trPr>
          <w:trHeight w:val="1938"/>
        </w:trPr>
        <w:tc>
          <w:tcPr>
            <w:tcW w:w="567" w:type="dxa"/>
          </w:tcPr>
          <w:p w14:paraId="58404B0B" w14:textId="77777777" w:rsidR="00DE575E" w:rsidRDefault="002E7560">
            <w:pPr>
              <w:pStyle w:val="TableParagraph"/>
              <w:spacing w:before="17"/>
              <w:rPr>
                <w:sz w:val="20"/>
              </w:rPr>
            </w:pPr>
            <w:r>
              <w:rPr>
                <w:color w:val="231F20"/>
                <w:sz w:val="20"/>
              </w:rPr>
              <w:t>6.6.</w:t>
            </w:r>
          </w:p>
        </w:tc>
        <w:tc>
          <w:tcPr>
            <w:tcW w:w="4493" w:type="dxa"/>
          </w:tcPr>
          <w:p w14:paraId="358BCEA5" w14:textId="77777777" w:rsidR="00DE575E" w:rsidRDefault="002E7560">
            <w:pPr>
              <w:pStyle w:val="TableParagraph"/>
              <w:spacing w:before="36" w:line="216" w:lineRule="auto"/>
              <w:ind w:right="45"/>
              <w:jc w:val="both"/>
              <w:rPr>
                <w:i/>
                <w:sz w:val="20"/>
              </w:rPr>
            </w:pPr>
            <w:r>
              <w:rPr>
                <w:i/>
                <w:color w:val="231F20"/>
                <w:sz w:val="20"/>
              </w:rPr>
              <w:t>Фактична дія як інструмент публічного адміні- стрування</w:t>
            </w:r>
          </w:p>
          <w:p w14:paraId="4F836E20" w14:textId="77777777" w:rsidR="00DE575E" w:rsidRDefault="002E7560">
            <w:pPr>
              <w:pStyle w:val="TableParagraph"/>
              <w:spacing w:before="1" w:line="210" w:lineRule="exact"/>
              <w:ind w:right="43"/>
              <w:jc w:val="both"/>
              <w:rPr>
                <w:sz w:val="20"/>
              </w:rPr>
            </w:pPr>
            <w:r>
              <w:rPr>
                <w:color w:val="231F20"/>
                <w:sz w:val="20"/>
              </w:rPr>
              <w:t>Поняття,</w:t>
            </w:r>
            <w:r>
              <w:rPr>
                <w:color w:val="231F20"/>
                <w:spacing w:val="-8"/>
                <w:sz w:val="20"/>
              </w:rPr>
              <w:t xml:space="preserve"> </w:t>
            </w:r>
            <w:r>
              <w:rPr>
                <w:color w:val="231F20"/>
                <w:sz w:val="20"/>
              </w:rPr>
              <w:t>юридичне</w:t>
            </w:r>
            <w:r>
              <w:rPr>
                <w:color w:val="231F20"/>
                <w:spacing w:val="-8"/>
                <w:sz w:val="20"/>
              </w:rPr>
              <w:t xml:space="preserve"> </w:t>
            </w:r>
            <w:r>
              <w:rPr>
                <w:color w:val="231F20"/>
                <w:sz w:val="20"/>
              </w:rPr>
              <w:t>значення</w:t>
            </w:r>
            <w:r>
              <w:rPr>
                <w:color w:val="231F20"/>
                <w:spacing w:val="-8"/>
                <w:sz w:val="20"/>
              </w:rPr>
              <w:t xml:space="preserve"> </w:t>
            </w:r>
            <w:r>
              <w:rPr>
                <w:color w:val="231F20"/>
                <w:sz w:val="20"/>
              </w:rPr>
              <w:t>та</w:t>
            </w:r>
            <w:r>
              <w:rPr>
                <w:color w:val="231F20"/>
                <w:spacing w:val="-8"/>
                <w:sz w:val="20"/>
              </w:rPr>
              <w:t xml:space="preserve"> </w:t>
            </w:r>
            <w:r>
              <w:rPr>
                <w:color w:val="231F20"/>
                <w:sz w:val="20"/>
              </w:rPr>
              <w:t>ознаки</w:t>
            </w:r>
            <w:r>
              <w:rPr>
                <w:color w:val="231F20"/>
                <w:spacing w:val="-8"/>
                <w:sz w:val="20"/>
              </w:rPr>
              <w:t xml:space="preserve"> </w:t>
            </w:r>
            <w:r>
              <w:rPr>
                <w:color w:val="231F20"/>
                <w:sz w:val="20"/>
              </w:rPr>
              <w:t>фактич- ної дії як інструменту публічного адміністру- вання. Сфера застосування фактичних дій.  Види фактичних дій (інформування населення, проведення перевірки, здійснення</w:t>
            </w:r>
            <w:r>
              <w:rPr>
                <w:color w:val="231F20"/>
                <w:spacing w:val="-27"/>
                <w:sz w:val="20"/>
              </w:rPr>
              <w:t xml:space="preserve"> </w:t>
            </w:r>
            <w:r>
              <w:rPr>
                <w:color w:val="231F20"/>
                <w:sz w:val="20"/>
              </w:rPr>
              <w:t>моніторингу, надання довідок, виплата грошових</w:t>
            </w:r>
            <w:r>
              <w:rPr>
                <w:color w:val="231F20"/>
                <w:sz w:val="20"/>
              </w:rPr>
              <w:t xml:space="preserve"> коштів, адміністрування реєстрів</w:t>
            </w:r>
            <w:r>
              <w:rPr>
                <w:color w:val="231F20"/>
                <w:spacing w:val="-4"/>
                <w:sz w:val="20"/>
              </w:rPr>
              <w:t xml:space="preserve"> </w:t>
            </w:r>
            <w:r>
              <w:rPr>
                <w:color w:val="231F20"/>
                <w:sz w:val="20"/>
              </w:rPr>
              <w:t>тощо).</w:t>
            </w:r>
          </w:p>
        </w:tc>
        <w:tc>
          <w:tcPr>
            <w:tcW w:w="732" w:type="dxa"/>
          </w:tcPr>
          <w:p w14:paraId="0024A7D5" w14:textId="77777777" w:rsidR="00DE575E" w:rsidRDefault="00DE575E">
            <w:pPr>
              <w:pStyle w:val="TableParagraph"/>
              <w:ind w:left="0"/>
              <w:rPr>
                <w:rFonts w:ascii="Times New Roman"/>
                <w:sz w:val="20"/>
              </w:rPr>
            </w:pPr>
          </w:p>
        </w:tc>
        <w:tc>
          <w:tcPr>
            <w:tcW w:w="732" w:type="dxa"/>
          </w:tcPr>
          <w:p w14:paraId="19474091" w14:textId="77777777" w:rsidR="00DE575E" w:rsidRDefault="00DE575E">
            <w:pPr>
              <w:pStyle w:val="TableParagraph"/>
              <w:ind w:left="0"/>
              <w:rPr>
                <w:rFonts w:ascii="Times New Roman"/>
                <w:sz w:val="20"/>
              </w:rPr>
            </w:pPr>
          </w:p>
        </w:tc>
      </w:tr>
      <w:tr w:rsidR="00DE575E" w14:paraId="62392E91" w14:textId="77777777">
        <w:trPr>
          <w:trHeight w:val="3198"/>
        </w:trPr>
        <w:tc>
          <w:tcPr>
            <w:tcW w:w="567" w:type="dxa"/>
          </w:tcPr>
          <w:p w14:paraId="479DFCC0" w14:textId="77777777" w:rsidR="00DE575E" w:rsidRDefault="002E7560">
            <w:pPr>
              <w:pStyle w:val="TableParagraph"/>
              <w:spacing w:before="17"/>
              <w:rPr>
                <w:sz w:val="20"/>
              </w:rPr>
            </w:pPr>
            <w:r>
              <w:rPr>
                <w:color w:val="231F20"/>
                <w:sz w:val="20"/>
              </w:rPr>
              <w:t>6.7.</w:t>
            </w:r>
          </w:p>
        </w:tc>
        <w:tc>
          <w:tcPr>
            <w:tcW w:w="4493" w:type="dxa"/>
          </w:tcPr>
          <w:p w14:paraId="12F61AF5" w14:textId="77777777" w:rsidR="00DE575E" w:rsidRDefault="002E7560">
            <w:pPr>
              <w:pStyle w:val="TableParagraph"/>
              <w:spacing w:before="36" w:line="216" w:lineRule="auto"/>
              <w:ind w:right="45"/>
              <w:jc w:val="both"/>
              <w:rPr>
                <w:i/>
                <w:sz w:val="20"/>
              </w:rPr>
            </w:pPr>
            <w:r>
              <w:rPr>
                <w:i/>
                <w:color w:val="231F20"/>
                <w:sz w:val="20"/>
              </w:rPr>
              <w:t>Адміністративний розсуд у публічному адміні- струванні</w:t>
            </w:r>
          </w:p>
          <w:p w14:paraId="0674EE3E" w14:textId="77777777" w:rsidR="00DE575E" w:rsidRDefault="002E7560">
            <w:pPr>
              <w:pStyle w:val="TableParagraph"/>
              <w:spacing w:line="201" w:lineRule="exact"/>
              <w:rPr>
                <w:sz w:val="20"/>
              </w:rPr>
            </w:pPr>
            <w:r>
              <w:rPr>
                <w:color w:val="231F20"/>
                <w:sz w:val="20"/>
              </w:rPr>
              <w:t>Поняття адміністративного розсуду.</w:t>
            </w:r>
          </w:p>
          <w:p w14:paraId="4EE46DB4" w14:textId="77777777" w:rsidR="00DE575E" w:rsidRDefault="002E7560">
            <w:pPr>
              <w:pStyle w:val="TableParagraph"/>
              <w:spacing w:before="10" w:line="210" w:lineRule="exact"/>
              <w:ind w:right="45"/>
              <w:jc w:val="both"/>
              <w:rPr>
                <w:sz w:val="20"/>
              </w:rPr>
            </w:pPr>
            <w:r>
              <w:rPr>
                <w:color w:val="231F20"/>
                <w:spacing w:val="-3"/>
                <w:sz w:val="20"/>
              </w:rPr>
              <w:t xml:space="preserve">Умови </w:t>
            </w:r>
            <w:r>
              <w:rPr>
                <w:color w:val="231F20"/>
                <w:sz w:val="20"/>
              </w:rPr>
              <w:t xml:space="preserve">застосування адміністративного </w:t>
            </w:r>
            <w:r>
              <w:rPr>
                <w:color w:val="231F20"/>
                <w:spacing w:val="-3"/>
                <w:sz w:val="20"/>
              </w:rPr>
              <w:t xml:space="preserve">розсуду </w:t>
            </w:r>
            <w:r>
              <w:rPr>
                <w:color w:val="231F20"/>
                <w:sz w:val="20"/>
              </w:rPr>
              <w:t xml:space="preserve">(наявність законодавчого уповноваження на адміністративний </w:t>
            </w:r>
            <w:r>
              <w:rPr>
                <w:color w:val="231F20"/>
                <w:spacing w:val="-3"/>
                <w:sz w:val="20"/>
              </w:rPr>
              <w:t xml:space="preserve">розсуд; </w:t>
            </w:r>
            <w:r>
              <w:rPr>
                <w:color w:val="231F20"/>
                <w:sz w:val="20"/>
              </w:rPr>
              <w:t>оприлюднення норм, що</w:t>
            </w:r>
            <w:r>
              <w:rPr>
                <w:color w:val="231F20"/>
                <w:spacing w:val="-12"/>
                <w:sz w:val="20"/>
              </w:rPr>
              <w:t xml:space="preserve"> </w:t>
            </w:r>
            <w:r>
              <w:rPr>
                <w:color w:val="231F20"/>
                <w:sz w:val="20"/>
              </w:rPr>
              <w:t>уповноважують</w:t>
            </w:r>
            <w:r>
              <w:rPr>
                <w:color w:val="231F20"/>
                <w:spacing w:val="-12"/>
                <w:sz w:val="20"/>
              </w:rPr>
              <w:t xml:space="preserve"> </w:t>
            </w:r>
            <w:r>
              <w:rPr>
                <w:color w:val="231F20"/>
                <w:sz w:val="20"/>
              </w:rPr>
              <w:t>на</w:t>
            </w:r>
            <w:r>
              <w:rPr>
                <w:color w:val="231F20"/>
                <w:spacing w:val="-12"/>
                <w:sz w:val="20"/>
              </w:rPr>
              <w:t xml:space="preserve"> </w:t>
            </w:r>
            <w:r>
              <w:rPr>
                <w:color w:val="231F20"/>
                <w:sz w:val="20"/>
              </w:rPr>
              <w:t>адміністративний</w:t>
            </w:r>
            <w:r>
              <w:rPr>
                <w:color w:val="231F20"/>
                <w:spacing w:val="-12"/>
                <w:sz w:val="20"/>
              </w:rPr>
              <w:t xml:space="preserve"> </w:t>
            </w:r>
            <w:r>
              <w:rPr>
                <w:color w:val="231F20"/>
                <w:spacing w:val="-3"/>
                <w:sz w:val="20"/>
              </w:rPr>
              <w:t xml:space="preserve">розсуд; </w:t>
            </w:r>
            <w:r>
              <w:rPr>
                <w:color w:val="231F20"/>
                <w:sz w:val="20"/>
              </w:rPr>
              <w:t xml:space="preserve">достатність юридичної визначеності уповнова- жень на адміністративний </w:t>
            </w:r>
            <w:r>
              <w:rPr>
                <w:color w:val="231F20"/>
                <w:spacing w:val="-3"/>
                <w:sz w:val="20"/>
              </w:rPr>
              <w:t xml:space="preserve">розсуд; </w:t>
            </w:r>
            <w:r>
              <w:rPr>
                <w:color w:val="231F20"/>
                <w:sz w:val="20"/>
              </w:rPr>
              <w:t>обов’язок дотримуватися мети уповноваження; обов’язок ретельно</w:t>
            </w:r>
            <w:r>
              <w:rPr>
                <w:color w:val="231F20"/>
                <w:spacing w:val="-20"/>
                <w:sz w:val="20"/>
              </w:rPr>
              <w:t xml:space="preserve"> </w:t>
            </w:r>
            <w:r>
              <w:rPr>
                <w:color w:val="231F20"/>
                <w:sz w:val="20"/>
              </w:rPr>
              <w:t>з’ясовувати</w:t>
            </w:r>
            <w:r>
              <w:rPr>
                <w:color w:val="231F20"/>
                <w:spacing w:val="-20"/>
                <w:sz w:val="20"/>
              </w:rPr>
              <w:t xml:space="preserve"> </w:t>
            </w:r>
            <w:r>
              <w:rPr>
                <w:color w:val="231F20"/>
                <w:sz w:val="20"/>
              </w:rPr>
              <w:t>обставини</w:t>
            </w:r>
            <w:r>
              <w:rPr>
                <w:color w:val="231F20"/>
                <w:spacing w:val="-20"/>
                <w:sz w:val="20"/>
              </w:rPr>
              <w:t xml:space="preserve"> </w:t>
            </w:r>
            <w:r>
              <w:rPr>
                <w:color w:val="231F20"/>
                <w:sz w:val="20"/>
              </w:rPr>
              <w:t>в</w:t>
            </w:r>
            <w:r>
              <w:rPr>
                <w:color w:val="231F20"/>
                <w:spacing w:val="-21"/>
                <w:sz w:val="20"/>
              </w:rPr>
              <w:t xml:space="preserve"> </w:t>
            </w:r>
            <w:r>
              <w:rPr>
                <w:color w:val="231F20"/>
                <w:sz w:val="20"/>
              </w:rPr>
              <w:t>справі;</w:t>
            </w:r>
            <w:r>
              <w:rPr>
                <w:color w:val="231F20"/>
                <w:spacing w:val="-20"/>
                <w:sz w:val="20"/>
              </w:rPr>
              <w:t xml:space="preserve"> </w:t>
            </w:r>
            <w:r>
              <w:rPr>
                <w:color w:val="231F20"/>
                <w:sz w:val="20"/>
              </w:rPr>
              <w:t>обов’я- зок дотриму</w:t>
            </w:r>
            <w:r>
              <w:rPr>
                <w:color w:val="231F20"/>
                <w:sz w:val="20"/>
              </w:rPr>
              <w:t>ватися принципу пропорційності; обов’язок дотримуватися принципу рівності; обов’язок</w:t>
            </w:r>
            <w:r>
              <w:rPr>
                <w:color w:val="231F20"/>
                <w:spacing w:val="-12"/>
                <w:sz w:val="20"/>
              </w:rPr>
              <w:t xml:space="preserve"> </w:t>
            </w:r>
            <w:r>
              <w:rPr>
                <w:color w:val="231F20"/>
                <w:sz w:val="20"/>
              </w:rPr>
              <w:t>дотримуватися</w:t>
            </w:r>
            <w:r>
              <w:rPr>
                <w:color w:val="231F20"/>
                <w:spacing w:val="-12"/>
                <w:sz w:val="20"/>
              </w:rPr>
              <w:t xml:space="preserve"> </w:t>
            </w:r>
            <w:r>
              <w:rPr>
                <w:color w:val="231F20"/>
                <w:sz w:val="20"/>
              </w:rPr>
              <w:t>критеріїв</w:t>
            </w:r>
            <w:r>
              <w:rPr>
                <w:color w:val="231F20"/>
                <w:spacing w:val="-12"/>
                <w:sz w:val="20"/>
              </w:rPr>
              <w:t xml:space="preserve"> </w:t>
            </w:r>
            <w:r>
              <w:rPr>
                <w:color w:val="231F20"/>
                <w:sz w:val="20"/>
              </w:rPr>
              <w:t>розсудливо- сті; обов’язок мотивувати свої</w:t>
            </w:r>
            <w:r>
              <w:rPr>
                <w:color w:val="231F20"/>
                <w:spacing w:val="-7"/>
                <w:sz w:val="20"/>
              </w:rPr>
              <w:t xml:space="preserve"> </w:t>
            </w:r>
            <w:r>
              <w:rPr>
                <w:color w:val="231F20"/>
                <w:sz w:val="20"/>
              </w:rPr>
              <w:t>рішення).</w:t>
            </w:r>
          </w:p>
        </w:tc>
        <w:tc>
          <w:tcPr>
            <w:tcW w:w="732" w:type="dxa"/>
          </w:tcPr>
          <w:p w14:paraId="2C518089" w14:textId="77777777" w:rsidR="00DE575E" w:rsidRDefault="00DE575E">
            <w:pPr>
              <w:pStyle w:val="TableParagraph"/>
              <w:ind w:left="0"/>
              <w:rPr>
                <w:rFonts w:ascii="Times New Roman"/>
                <w:sz w:val="20"/>
              </w:rPr>
            </w:pPr>
          </w:p>
        </w:tc>
        <w:tc>
          <w:tcPr>
            <w:tcW w:w="732" w:type="dxa"/>
          </w:tcPr>
          <w:p w14:paraId="4DBCE20F" w14:textId="77777777" w:rsidR="00DE575E" w:rsidRDefault="00DE575E">
            <w:pPr>
              <w:pStyle w:val="TableParagraph"/>
              <w:ind w:left="0"/>
              <w:rPr>
                <w:rFonts w:ascii="Times New Roman"/>
                <w:sz w:val="20"/>
              </w:rPr>
            </w:pPr>
          </w:p>
        </w:tc>
      </w:tr>
      <w:tr w:rsidR="00DE575E" w14:paraId="4327E8B3" w14:textId="77777777">
        <w:trPr>
          <w:trHeight w:val="1518"/>
        </w:trPr>
        <w:tc>
          <w:tcPr>
            <w:tcW w:w="567" w:type="dxa"/>
          </w:tcPr>
          <w:p w14:paraId="46BC57B4" w14:textId="77777777" w:rsidR="00DE575E" w:rsidRDefault="002E7560">
            <w:pPr>
              <w:pStyle w:val="TableParagraph"/>
              <w:spacing w:before="17"/>
              <w:rPr>
                <w:sz w:val="20"/>
              </w:rPr>
            </w:pPr>
            <w:r>
              <w:rPr>
                <w:color w:val="231F20"/>
                <w:sz w:val="20"/>
              </w:rPr>
              <w:t>6.8.</w:t>
            </w:r>
          </w:p>
        </w:tc>
        <w:tc>
          <w:tcPr>
            <w:tcW w:w="4493" w:type="dxa"/>
          </w:tcPr>
          <w:p w14:paraId="427D64DD" w14:textId="77777777" w:rsidR="00DE575E" w:rsidRDefault="002E7560">
            <w:pPr>
              <w:pStyle w:val="TableParagraph"/>
              <w:tabs>
                <w:tab w:val="left" w:pos="1592"/>
                <w:tab w:val="left" w:pos="3082"/>
                <w:tab w:val="left" w:pos="4336"/>
              </w:tabs>
              <w:spacing w:before="36" w:line="216" w:lineRule="auto"/>
              <w:ind w:right="45"/>
              <w:rPr>
                <w:i/>
                <w:sz w:val="20"/>
              </w:rPr>
            </w:pPr>
            <w:r>
              <w:rPr>
                <w:i/>
                <w:color w:val="231F20"/>
                <w:sz w:val="20"/>
              </w:rPr>
              <w:t>Використання</w:t>
            </w:r>
            <w:r>
              <w:rPr>
                <w:i/>
                <w:color w:val="231F20"/>
                <w:sz w:val="20"/>
              </w:rPr>
              <w:tab/>
              <w:t>електронного</w:t>
            </w:r>
            <w:r>
              <w:rPr>
                <w:i/>
                <w:color w:val="231F20"/>
                <w:sz w:val="20"/>
              </w:rPr>
              <w:tab/>
              <w:t>врядування</w:t>
            </w:r>
            <w:r>
              <w:rPr>
                <w:i/>
                <w:color w:val="231F20"/>
                <w:sz w:val="20"/>
              </w:rPr>
              <w:tab/>
              <w:t>в публічному</w:t>
            </w:r>
            <w:r>
              <w:rPr>
                <w:i/>
                <w:color w:val="231F20"/>
                <w:spacing w:val="-2"/>
                <w:sz w:val="20"/>
              </w:rPr>
              <w:t xml:space="preserve"> </w:t>
            </w:r>
            <w:r>
              <w:rPr>
                <w:i/>
                <w:color w:val="231F20"/>
                <w:sz w:val="20"/>
              </w:rPr>
              <w:t>адмініструванні</w:t>
            </w:r>
          </w:p>
          <w:p w14:paraId="5F934F45" w14:textId="77777777" w:rsidR="00DE575E" w:rsidRDefault="002E7560">
            <w:pPr>
              <w:pStyle w:val="TableParagraph"/>
              <w:spacing w:line="216" w:lineRule="auto"/>
              <w:ind w:right="29"/>
              <w:rPr>
                <w:sz w:val="20"/>
              </w:rPr>
            </w:pPr>
            <w:r>
              <w:rPr>
                <w:color w:val="231F20"/>
                <w:spacing w:val="-7"/>
                <w:sz w:val="20"/>
              </w:rPr>
              <w:t xml:space="preserve">Поняття </w:t>
            </w:r>
            <w:r>
              <w:rPr>
                <w:color w:val="231F20"/>
                <w:spacing w:val="-6"/>
                <w:sz w:val="20"/>
              </w:rPr>
              <w:t xml:space="preserve">електронного врядування. </w:t>
            </w:r>
            <w:r>
              <w:rPr>
                <w:color w:val="231F20"/>
                <w:spacing w:val="-7"/>
                <w:sz w:val="20"/>
              </w:rPr>
              <w:t xml:space="preserve">Елементи </w:t>
            </w:r>
            <w:r>
              <w:rPr>
                <w:color w:val="231F20"/>
                <w:spacing w:val="-6"/>
                <w:sz w:val="20"/>
              </w:rPr>
              <w:t>електронного врядування. Співвідношення понять</w:t>
            </w:r>
          </w:p>
          <w:p w14:paraId="3154F3DE" w14:textId="77777777" w:rsidR="00DE575E" w:rsidRDefault="002E7560">
            <w:pPr>
              <w:pStyle w:val="TableParagraph"/>
              <w:spacing w:line="201" w:lineRule="exact"/>
              <w:rPr>
                <w:sz w:val="20"/>
              </w:rPr>
            </w:pPr>
            <w:r>
              <w:rPr>
                <w:color w:val="231F20"/>
                <w:spacing w:val="-6"/>
                <w:sz w:val="20"/>
              </w:rPr>
              <w:t xml:space="preserve">«електронне  врядування»,  «електронна </w:t>
            </w:r>
            <w:r>
              <w:rPr>
                <w:color w:val="231F20"/>
                <w:spacing w:val="-7"/>
                <w:sz w:val="20"/>
              </w:rPr>
              <w:t>держава»,</w:t>
            </w:r>
          </w:p>
          <w:p w14:paraId="231C5169" w14:textId="77777777" w:rsidR="00DE575E" w:rsidRDefault="002E7560">
            <w:pPr>
              <w:pStyle w:val="TableParagraph"/>
              <w:spacing w:before="8" w:line="210" w:lineRule="exact"/>
              <w:ind w:right="25"/>
              <w:rPr>
                <w:sz w:val="20"/>
              </w:rPr>
            </w:pPr>
            <w:r>
              <w:rPr>
                <w:color w:val="231F20"/>
                <w:sz w:val="20"/>
              </w:rPr>
              <w:t>«електронна демократія», «електронний парла- мент», «електронний уряд», «електронний суд».</w:t>
            </w:r>
          </w:p>
        </w:tc>
        <w:tc>
          <w:tcPr>
            <w:tcW w:w="732" w:type="dxa"/>
          </w:tcPr>
          <w:p w14:paraId="106BE0BF" w14:textId="77777777" w:rsidR="00DE575E" w:rsidRDefault="00DE575E">
            <w:pPr>
              <w:pStyle w:val="TableParagraph"/>
              <w:ind w:left="0"/>
              <w:rPr>
                <w:rFonts w:ascii="Times New Roman"/>
                <w:sz w:val="20"/>
              </w:rPr>
            </w:pPr>
          </w:p>
        </w:tc>
        <w:tc>
          <w:tcPr>
            <w:tcW w:w="732" w:type="dxa"/>
          </w:tcPr>
          <w:p w14:paraId="1599AA53" w14:textId="77777777" w:rsidR="00DE575E" w:rsidRDefault="00DE575E">
            <w:pPr>
              <w:pStyle w:val="TableParagraph"/>
              <w:ind w:left="0"/>
              <w:rPr>
                <w:rFonts w:ascii="Times New Roman"/>
                <w:sz w:val="20"/>
              </w:rPr>
            </w:pPr>
          </w:p>
        </w:tc>
      </w:tr>
    </w:tbl>
    <w:p w14:paraId="6D16FDDB" w14:textId="77777777" w:rsidR="00DE575E" w:rsidRDefault="00DE575E">
      <w:pPr>
        <w:pStyle w:val="BodyText"/>
        <w:rPr>
          <w:rFonts w:ascii="AdonisC"/>
          <w:i/>
          <w:sz w:val="18"/>
        </w:rPr>
      </w:pPr>
    </w:p>
    <w:p w14:paraId="2615AACE" w14:textId="77777777" w:rsidR="00DE575E" w:rsidRDefault="002E7560">
      <w:pPr>
        <w:spacing w:before="143"/>
        <w:ind w:right="411"/>
        <w:jc w:val="right"/>
        <w:rPr>
          <w:rFonts w:ascii="Times New Roman"/>
          <w:sz w:val="20"/>
        </w:rPr>
      </w:pPr>
      <w:r>
        <w:rPr>
          <w:rFonts w:ascii="Times New Roman"/>
          <w:color w:val="231F20"/>
          <w:w w:val="90"/>
          <w:sz w:val="20"/>
        </w:rPr>
        <w:t>577</w:t>
      </w:r>
    </w:p>
    <w:p w14:paraId="28465836"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2DB2CC03"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F495200" w14:textId="3DB8456E"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13B98B6C" wp14:editId="6DD5CA21">
                <wp:extent cx="4140200" cy="6350"/>
                <wp:effectExtent l="0" t="0" r="12700" b="635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4" name="Line 13"/>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555AA8" id="Group_x0020_12"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">
                <v:line id="Line_x0020_13"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JNE8MAAADbAAAADwAAAGRycy9kb3ducmV2LnhtbERPzWrCQBC+C32HZQpeRDetUkp0E0qh&#10;UDyoNX2AMTtNQndnY3Y10afvFgRv8/H9ziofrBFn6nzjWMHTLAFBXDrdcKXgu/iYvoLwAVmjcUwK&#10;LuQhzx5GK0y16/mLzvtQiRjCPkUFdQhtKqUva7LoZ64ljtyP6yyGCLtK6g77GG6NfE6SF2mx4dhQ&#10;Y0vvNZW/+5NVUBwnwey2a9MX28NcHo6b+fW0UWr8OLwtQQQawl18c3/qOH8B/7/EA2T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sSTRPDAAAA2wAAAA8AAAAAAAAAAAAA&#10;AAAAoQIAAGRycy9kb3ducmV2LnhtbFBLBQYAAAAABAAEAPkAAACRAwAAAAA=&#10;" strokecolor="#231f20" strokeweight=".5pt"/>
                <w10:anchorlock/>
              </v:group>
            </w:pict>
          </mc:Fallback>
        </mc:AlternateContent>
      </w:r>
    </w:p>
    <w:p w14:paraId="7ADBABB4"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0F64486E" w14:textId="77777777">
        <w:trPr>
          <w:trHeight w:val="258"/>
        </w:trPr>
        <w:tc>
          <w:tcPr>
            <w:tcW w:w="567" w:type="dxa"/>
          </w:tcPr>
          <w:p w14:paraId="58571332" w14:textId="77777777" w:rsidR="00DE575E" w:rsidRDefault="002E7560">
            <w:pPr>
              <w:pStyle w:val="TableParagraph"/>
              <w:spacing w:before="17" w:line="222" w:lineRule="exact"/>
              <w:rPr>
                <w:sz w:val="20"/>
              </w:rPr>
            </w:pPr>
            <w:r>
              <w:rPr>
                <w:color w:val="231F20"/>
                <w:sz w:val="20"/>
              </w:rPr>
              <w:t>7.</w:t>
            </w:r>
          </w:p>
        </w:tc>
        <w:tc>
          <w:tcPr>
            <w:tcW w:w="4493" w:type="dxa"/>
          </w:tcPr>
          <w:p w14:paraId="1F885A47" w14:textId="77777777" w:rsidR="00DE575E" w:rsidRDefault="002E7560">
            <w:pPr>
              <w:pStyle w:val="TableParagraph"/>
              <w:spacing w:before="17" w:line="222" w:lineRule="exact"/>
              <w:rPr>
                <w:sz w:val="20"/>
              </w:rPr>
            </w:pPr>
            <w:r>
              <w:rPr>
                <w:color w:val="231F20"/>
                <w:sz w:val="20"/>
              </w:rPr>
              <w:t>Адміністративна процедура</w:t>
            </w:r>
          </w:p>
        </w:tc>
        <w:tc>
          <w:tcPr>
            <w:tcW w:w="732" w:type="dxa"/>
          </w:tcPr>
          <w:p w14:paraId="4CFC2BF6" w14:textId="77777777" w:rsidR="00DE575E" w:rsidRDefault="002E7560">
            <w:pPr>
              <w:pStyle w:val="TableParagraph"/>
              <w:spacing w:before="17" w:line="222" w:lineRule="exact"/>
              <w:ind w:left="234" w:right="226"/>
              <w:jc w:val="center"/>
              <w:rPr>
                <w:sz w:val="20"/>
              </w:rPr>
            </w:pPr>
            <w:r>
              <w:rPr>
                <w:color w:val="231F20"/>
                <w:sz w:val="20"/>
              </w:rPr>
              <w:t>10</w:t>
            </w:r>
          </w:p>
        </w:tc>
        <w:tc>
          <w:tcPr>
            <w:tcW w:w="732" w:type="dxa"/>
          </w:tcPr>
          <w:p w14:paraId="012F51DD" w14:textId="77777777" w:rsidR="00DE575E" w:rsidRDefault="002E7560">
            <w:pPr>
              <w:pStyle w:val="TableParagraph"/>
              <w:spacing w:before="17" w:line="222" w:lineRule="exact"/>
              <w:ind w:left="303"/>
              <w:rPr>
                <w:sz w:val="20"/>
              </w:rPr>
            </w:pPr>
            <w:r>
              <w:rPr>
                <w:color w:val="231F20"/>
                <w:sz w:val="20"/>
              </w:rPr>
              <w:t>В</w:t>
            </w:r>
          </w:p>
        </w:tc>
      </w:tr>
      <w:tr w:rsidR="00DE575E" w14:paraId="1DD2005E" w14:textId="77777777">
        <w:trPr>
          <w:trHeight w:val="1542"/>
        </w:trPr>
        <w:tc>
          <w:tcPr>
            <w:tcW w:w="567" w:type="dxa"/>
          </w:tcPr>
          <w:p w14:paraId="153B5FD5" w14:textId="77777777" w:rsidR="00DE575E" w:rsidRDefault="002E7560">
            <w:pPr>
              <w:pStyle w:val="TableParagraph"/>
              <w:spacing w:before="17"/>
              <w:rPr>
                <w:sz w:val="20"/>
              </w:rPr>
            </w:pPr>
            <w:r>
              <w:rPr>
                <w:color w:val="231F20"/>
                <w:sz w:val="20"/>
              </w:rPr>
              <w:t>7.1.</w:t>
            </w:r>
          </w:p>
        </w:tc>
        <w:tc>
          <w:tcPr>
            <w:tcW w:w="4493" w:type="dxa"/>
          </w:tcPr>
          <w:p w14:paraId="21D83261" w14:textId="77777777" w:rsidR="00DE575E" w:rsidRDefault="002E7560">
            <w:pPr>
              <w:pStyle w:val="TableParagraph"/>
              <w:tabs>
                <w:tab w:val="left" w:pos="1900"/>
                <w:tab w:val="left" w:pos="3153"/>
              </w:tabs>
              <w:spacing w:before="34" w:line="218" w:lineRule="auto"/>
              <w:ind w:right="46"/>
              <w:rPr>
                <w:sz w:val="20"/>
              </w:rPr>
            </w:pPr>
            <w:r>
              <w:rPr>
                <w:i/>
                <w:color w:val="231F20"/>
                <w:sz w:val="20"/>
              </w:rPr>
              <w:t xml:space="preserve">Розуміння адміністративної процедури </w:t>
            </w:r>
            <w:r>
              <w:rPr>
                <w:color w:val="231F20"/>
                <w:sz w:val="20"/>
              </w:rPr>
              <w:t>Поняття адміністративної процедури. Види адміністративної</w:t>
            </w:r>
            <w:r>
              <w:rPr>
                <w:color w:val="231F20"/>
                <w:sz w:val="20"/>
              </w:rPr>
              <w:tab/>
              <w:t>процедури</w:t>
            </w:r>
            <w:r>
              <w:rPr>
                <w:color w:val="231F20"/>
                <w:sz w:val="20"/>
              </w:rPr>
              <w:tab/>
            </w:r>
            <w:r>
              <w:rPr>
                <w:color w:val="231F20"/>
                <w:sz w:val="20"/>
              </w:rPr>
              <w:t>(реєстраційні,</w:t>
            </w:r>
          </w:p>
          <w:p w14:paraId="7E1173B6" w14:textId="77777777" w:rsidR="00DE575E" w:rsidRDefault="002E7560">
            <w:pPr>
              <w:pStyle w:val="TableParagraph"/>
              <w:spacing w:before="4" w:line="214" w:lineRule="exact"/>
              <w:ind w:right="44"/>
              <w:jc w:val="both"/>
              <w:rPr>
                <w:sz w:val="20"/>
              </w:rPr>
            </w:pPr>
            <w:r>
              <w:rPr>
                <w:color w:val="231F20"/>
                <w:sz w:val="20"/>
              </w:rPr>
              <w:t>дозвільні, інспекційні процедури, процедури щодо притягнення до відповідальності; проце- дури за заявою особи, процедури за службовим обов’язком).</w:t>
            </w:r>
          </w:p>
        </w:tc>
        <w:tc>
          <w:tcPr>
            <w:tcW w:w="732" w:type="dxa"/>
          </w:tcPr>
          <w:p w14:paraId="7E9105B6" w14:textId="77777777" w:rsidR="00DE575E" w:rsidRDefault="00DE575E">
            <w:pPr>
              <w:pStyle w:val="TableParagraph"/>
              <w:ind w:left="0"/>
              <w:rPr>
                <w:rFonts w:ascii="Times New Roman"/>
                <w:sz w:val="18"/>
              </w:rPr>
            </w:pPr>
          </w:p>
        </w:tc>
        <w:tc>
          <w:tcPr>
            <w:tcW w:w="732" w:type="dxa"/>
          </w:tcPr>
          <w:p w14:paraId="1C9511A1" w14:textId="77777777" w:rsidR="00DE575E" w:rsidRDefault="00DE575E">
            <w:pPr>
              <w:pStyle w:val="TableParagraph"/>
              <w:ind w:left="0"/>
              <w:rPr>
                <w:rFonts w:ascii="Times New Roman"/>
                <w:sz w:val="18"/>
              </w:rPr>
            </w:pPr>
          </w:p>
        </w:tc>
      </w:tr>
      <w:tr w:rsidR="00DE575E" w14:paraId="31CACF22" w14:textId="77777777">
        <w:trPr>
          <w:trHeight w:val="1756"/>
        </w:trPr>
        <w:tc>
          <w:tcPr>
            <w:tcW w:w="567" w:type="dxa"/>
          </w:tcPr>
          <w:p w14:paraId="1C64D670" w14:textId="77777777" w:rsidR="00DE575E" w:rsidRDefault="002E7560">
            <w:pPr>
              <w:pStyle w:val="TableParagraph"/>
              <w:spacing w:before="17"/>
              <w:rPr>
                <w:sz w:val="20"/>
              </w:rPr>
            </w:pPr>
            <w:r>
              <w:rPr>
                <w:color w:val="231F20"/>
                <w:sz w:val="20"/>
              </w:rPr>
              <w:t>7.2.</w:t>
            </w:r>
          </w:p>
        </w:tc>
        <w:tc>
          <w:tcPr>
            <w:tcW w:w="4493" w:type="dxa"/>
          </w:tcPr>
          <w:p w14:paraId="63835AAE" w14:textId="77777777" w:rsidR="00DE575E" w:rsidRDefault="002E7560">
            <w:pPr>
              <w:pStyle w:val="TableParagraph"/>
              <w:spacing w:before="17" w:line="224" w:lineRule="exact"/>
              <w:rPr>
                <w:i/>
                <w:sz w:val="20"/>
              </w:rPr>
            </w:pPr>
            <w:r>
              <w:rPr>
                <w:i/>
                <w:color w:val="231F20"/>
                <w:sz w:val="20"/>
              </w:rPr>
              <w:t>Принципи адміністративної процедури</w:t>
            </w:r>
          </w:p>
          <w:p w14:paraId="413AB6CD" w14:textId="77777777" w:rsidR="00DE575E" w:rsidRDefault="002E7560">
            <w:pPr>
              <w:pStyle w:val="TableParagraph"/>
              <w:spacing w:before="9" w:line="214" w:lineRule="exact"/>
              <w:ind w:right="43"/>
              <w:jc w:val="both"/>
              <w:rPr>
                <w:sz w:val="20"/>
              </w:rPr>
            </w:pPr>
            <w:r>
              <w:rPr>
                <w:color w:val="231F20"/>
                <w:sz w:val="20"/>
              </w:rPr>
              <w:t xml:space="preserve">Система принципів адміністративної проце- дури. Зміст окремих принципів адміністратив- ної процедури (рівність перед законом, доступ до інформації, право на допомогу та представ- ництво, право бути вислуханим, ефективність, оперативність (розумні строки), </w:t>
            </w:r>
            <w:r>
              <w:rPr>
                <w:color w:val="231F20"/>
                <w:sz w:val="20"/>
              </w:rPr>
              <w:t>вмотивова- ність рішення, ефективний засіб захисту).</w:t>
            </w:r>
          </w:p>
        </w:tc>
        <w:tc>
          <w:tcPr>
            <w:tcW w:w="732" w:type="dxa"/>
          </w:tcPr>
          <w:p w14:paraId="0483BE67" w14:textId="77777777" w:rsidR="00DE575E" w:rsidRDefault="00DE575E">
            <w:pPr>
              <w:pStyle w:val="TableParagraph"/>
              <w:ind w:left="0"/>
              <w:rPr>
                <w:rFonts w:ascii="Times New Roman"/>
                <w:sz w:val="18"/>
              </w:rPr>
            </w:pPr>
          </w:p>
        </w:tc>
        <w:tc>
          <w:tcPr>
            <w:tcW w:w="732" w:type="dxa"/>
          </w:tcPr>
          <w:p w14:paraId="4D2C266C" w14:textId="77777777" w:rsidR="00DE575E" w:rsidRDefault="00DE575E">
            <w:pPr>
              <w:pStyle w:val="TableParagraph"/>
              <w:ind w:left="0"/>
              <w:rPr>
                <w:rFonts w:ascii="Times New Roman"/>
                <w:sz w:val="18"/>
              </w:rPr>
            </w:pPr>
          </w:p>
        </w:tc>
      </w:tr>
      <w:tr w:rsidR="00DE575E" w14:paraId="73A95182" w14:textId="77777777">
        <w:trPr>
          <w:trHeight w:val="900"/>
        </w:trPr>
        <w:tc>
          <w:tcPr>
            <w:tcW w:w="567" w:type="dxa"/>
          </w:tcPr>
          <w:p w14:paraId="4C791348" w14:textId="77777777" w:rsidR="00DE575E" w:rsidRDefault="002E7560">
            <w:pPr>
              <w:pStyle w:val="TableParagraph"/>
              <w:spacing w:before="17"/>
              <w:rPr>
                <w:sz w:val="20"/>
              </w:rPr>
            </w:pPr>
            <w:r>
              <w:rPr>
                <w:color w:val="231F20"/>
                <w:sz w:val="20"/>
              </w:rPr>
              <w:t>7.3.</w:t>
            </w:r>
          </w:p>
        </w:tc>
        <w:tc>
          <w:tcPr>
            <w:tcW w:w="4493" w:type="dxa"/>
          </w:tcPr>
          <w:p w14:paraId="5BE59961" w14:textId="77777777" w:rsidR="00DE575E" w:rsidRDefault="002E7560">
            <w:pPr>
              <w:pStyle w:val="TableParagraph"/>
              <w:spacing w:before="36" w:line="214" w:lineRule="exact"/>
              <w:ind w:right="45"/>
              <w:rPr>
                <w:sz w:val="20"/>
              </w:rPr>
            </w:pPr>
            <w:r>
              <w:rPr>
                <w:i/>
                <w:color w:val="231F20"/>
                <w:sz w:val="20"/>
              </w:rPr>
              <w:t xml:space="preserve">Учасники адміністративної процедури </w:t>
            </w:r>
            <w:r>
              <w:rPr>
                <w:color w:val="231F20"/>
                <w:sz w:val="20"/>
              </w:rPr>
              <w:t>Адміністративний орган. Адресат (зокрема заявник). Заінтересовані особи. Представни- цтво в адміністративній процедурі.</w:t>
            </w:r>
          </w:p>
        </w:tc>
        <w:tc>
          <w:tcPr>
            <w:tcW w:w="732" w:type="dxa"/>
          </w:tcPr>
          <w:p w14:paraId="123A117B" w14:textId="77777777" w:rsidR="00DE575E" w:rsidRDefault="00DE575E">
            <w:pPr>
              <w:pStyle w:val="TableParagraph"/>
              <w:ind w:left="0"/>
              <w:rPr>
                <w:rFonts w:ascii="Times New Roman"/>
                <w:sz w:val="18"/>
              </w:rPr>
            </w:pPr>
          </w:p>
        </w:tc>
        <w:tc>
          <w:tcPr>
            <w:tcW w:w="732" w:type="dxa"/>
          </w:tcPr>
          <w:p w14:paraId="58BD5D18" w14:textId="77777777" w:rsidR="00DE575E" w:rsidRDefault="00DE575E">
            <w:pPr>
              <w:pStyle w:val="TableParagraph"/>
              <w:ind w:left="0"/>
              <w:rPr>
                <w:rFonts w:ascii="Times New Roman"/>
                <w:sz w:val="18"/>
              </w:rPr>
            </w:pPr>
          </w:p>
        </w:tc>
      </w:tr>
      <w:tr w:rsidR="00DE575E" w14:paraId="634E002E" w14:textId="77777777">
        <w:trPr>
          <w:trHeight w:val="1328"/>
        </w:trPr>
        <w:tc>
          <w:tcPr>
            <w:tcW w:w="567" w:type="dxa"/>
          </w:tcPr>
          <w:p w14:paraId="41A8E8BB" w14:textId="77777777" w:rsidR="00DE575E" w:rsidRDefault="002E7560">
            <w:pPr>
              <w:pStyle w:val="TableParagraph"/>
              <w:spacing w:before="17"/>
              <w:rPr>
                <w:sz w:val="20"/>
              </w:rPr>
            </w:pPr>
            <w:r>
              <w:rPr>
                <w:color w:val="231F20"/>
                <w:sz w:val="20"/>
              </w:rPr>
              <w:t>7.4.</w:t>
            </w:r>
          </w:p>
        </w:tc>
        <w:tc>
          <w:tcPr>
            <w:tcW w:w="4493" w:type="dxa"/>
          </w:tcPr>
          <w:p w14:paraId="07F51532" w14:textId="77777777" w:rsidR="00DE575E" w:rsidRDefault="002E7560">
            <w:pPr>
              <w:pStyle w:val="TableParagraph"/>
              <w:spacing w:before="36" w:line="214" w:lineRule="exact"/>
              <w:ind w:right="45"/>
              <w:rPr>
                <w:sz w:val="20"/>
              </w:rPr>
            </w:pPr>
            <w:r>
              <w:rPr>
                <w:i/>
                <w:color w:val="231F20"/>
                <w:sz w:val="20"/>
              </w:rPr>
              <w:t xml:space="preserve">Стадії адміністративної процедури </w:t>
            </w:r>
            <w:r>
              <w:rPr>
                <w:color w:val="231F20"/>
                <w:sz w:val="20"/>
              </w:rPr>
              <w:t xml:space="preserve">Ініціювання та початок провадження. Підго- товка справи до </w:t>
            </w:r>
            <w:r>
              <w:rPr>
                <w:color w:val="231F20"/>
                <w:spacing w:val="-4"/>
                <w:sz w:val="20"/>
              </w:rPr>
              <w:t xml:space="preserve">розгляду. </w:t>
            </w:r>
            <w:r>
              <w:rPr>
                <w:color w:val="231F20"/>
                <w:spacing w:val="-3"/>
                <w:sz w:val="20"/>
              </w:rPr>
              <w:t xml:space="preserve">Розгляд </w:t>
            </w:r>
            <w:r>
              <w:rPr>
                <w:color w:val="231F20"/>
                <w:sz w:val="20"/>
              </w:rPr>
              <w:t>і вирішення справи. Оформлення адміністративного акта, його доведення до відома адресатів та</w:t>
            </w:r>
            <w:r>
              <w:rPr>
                <w:color w:val="231F20"/>
                <w:spacing w:val="-28"/>
                <w:sz w:val="20"/>
              </w:rPr>
              <w:t xml:space="preserve"> </w:t>
            </w:r>
            <w:r>
              <w:rPr>
                <w:color w:val="231F20"/>
                <w:sz w:val="20"/>
              </w:rPr>
              <w:t>заінтере- сованих осіб. Перегляд адміністративного</w:t>
            </w:r>
            <w:r>
              <w:rPr>
                <w:color w:val="231F20"/>
                <w:spacing w:val="-25"/>
                <w:sz w:val="20"/>
              </w:rPr>
              <w:t xml:space="preserve"> </w:t>
            </w:r>
            <w:r>
              <w:rPr>
                <w:color w:val="231F20"/>
                <w:sz w:val="20"/>
              </w:rPr>
              <w:t>а</w:t>
            </w:r>
            <w:r>
              <w:rPr>
                <w:color w:val="231F20"/>
                <w:sz w:val="20"/>
              </w:rPr>
              <w:t>кта.</w:t>
            </w:r>
          </w:p>
        </w:tc>
        <w:tc>
          <w:tcPr>
            <w:tcW w:w="732" w:type="dxa"/>
          </w:tcPr>
          <w:p w14:paraId="603AC8AC" w14:textId="77777777" w:rsidR="00DE575E" w:rsidRDefault="00DE575E">
            <w:pPr>
              <w:pStyle w:val="TableParagraph"/>
              <w:ind w:left="0"/>
              <w:rPr>
                <w:rFonts w:ascii="Times New Roman"/>
                <w:sz w:val="18"/>
              </w:rPr>
            </w:pPr>
          </w:p>
        </w:tc>
        <w:tc>
          <w:tcPr>
            <w:tcW w:w="732" w:type="dxa"/>
          </w:tcPr>
          <w:p w14:paraId="4A316073" w14:textId="77777777" w:rsidR="00DE575E" w:rsidRDefault="00DE575E">
            <w:pPr>
              <w:pStyle w:val="TableParagraph"/>
              <w:ind w:left="0"/>
              <w:rPr>
                <w:rFonts w:ascii="Times New Roman"/>
                <w:sz w:val="18"/>
              </w:rPr>
            </w:pPr>
          </w:p>
        </w:tc>
      </w:tr>
      <w:tr w:rsidR="00DE575E" w14:paraId="7CA219F4" w14:textId="77777777">
        <w:trPr>
          <w:trHeight w:val="258"/>
        </w:trPr>
        <w:tc>
          <w:tcPr>
            <w:tcW w:w="567" w:type="dxa"/>
          </w:tcPr>
          <w:p w14:paraId="4269CDD6" w14:textId="77777777" w:rsidR="00DE575E" w:rsidRDefault="002E7560">
            <w:pPr>
              <w:pStyle w:val="TableParagraph"/>
              <w:spacing w:before="17" w:line="222" w:lineRule="exact"/>
              <w:rPr>
                <w:sz w:val="20"/>
              </w:rPr>
            </w:pPr>
            <w:r>
              <w:rPr>
                <w:color w:val="231F20"/>
                <w:sz w:val="20"/>
              </w:rPr>
              <w:t>8.</w:t>
            </w:r>
          </w:p>
        </w:tc>
        <w:tc>
          <w:tcPr>
            <w:tcW w:w="4493" w:type="dxa"/>
          </w:tcPr>
          <w:p w14:paraId="700A5E82" w14:textId="77777777" w:rsidR="00DE575E" w:rsidRDefault="002E7560">
            <w:pPr>
              <w:pStyle w:val="TableParagraph"/>
              <w:spacing w:before="17" w:line="222" w:lineRule="exact"/>
              <w:rPr>
                <w:sz w:val="20"/>
              </w:rPr>
            </w:pPr>
            <w:r>
              <w:rPr>
                <w:color w:val="231F20"/>
                <w:sz w:val="20"/>
              </w:rPr>
              <w:t>Адміністративна послуга</w:t>
            </w:r>
          </w:p>
        </w:tc>
        <w:tc>
          <w:tcPr>
            <w:tcW w:w="732" w:type="dxa"/>
          </w:tcPr>
          <w:p w14:paraId="58D8A446" w14:textId="77777777" w:rsidR="00DE575E" w:rsidRDefault="002E7560">
            <w:pPr>
              <w:pStyle w:val="TableParagraph"/>
              <w:spacing w:before="17" w:line="222" w:lineRule="exact"/>
              <w:ind w:left="8"/>
              <w:jc w:val="center"/>
              <w:rPr>
                <w:sz w:val="20"/>
              </w:rPr>
            </w:pPr>
            <w:r>
              <w:rPr>
                <w:color w:val="231F20"/>
                <w:sz w:val="20"/>
              </w:rPr>
              <w:t>5</w:t>
            </w:r>
          </w:p>
        </w:tc>
        <w:tc>
          <w:tcPr>
            <w:tcW w:w="732" w:type="dxa"/>
          </w:tcPr>
          <w:p w14:paraId="0A2305CC" w14:textId="77777777" w:rsidR="00DE575E" w:rsidRDefault="002E7560">
            <w:pPr>
              <w:pStyle w:val="TableParagraph"/>
              <w:spacing w:before="17" w:line="222" w:lineRule="exact"/>
              <w:ind w:left="308"/>
              <w:rPr>
                <w:sz w:val="20"/>
              </w:rPr>
            </w:pPr>
            <w:r>
              <w:rPr>
                <w:color w:val="231F20"/>
                <w:sz w:val="20"/>
              </w:rPr>
              <w:t>С</w:t>
            </w:r>
          </w:p>
        </w:tc>
      </w:tr>
      <w:tr w:rsidR="00DE575E" w14:paraId="69FCD186" w14:textId="77777777">
        <w:trPr>
          <w:trHeight w:val="1542"/>
        </w:trPr>
        <w:tc>
          <w:tcPr>
            <w:tcW w:w="567" w:type="dxa"/>
          </w:tcPr>
          <w:p w14:paraId="71CAA457" w14:textId="77777777" w:rsidR="00DE575E" w:rsidRDefault="002E7560">
            <w:pPr>
              <w:pStyle w:val="TableParagraph"/>
              <w:spacing w:before="17"/>
              <w:rPr>
                <w:sz w:val="20"/>
              </w:rPr>
            </w:pPr>
            <w:r>
              <w:rPr>
                <w:color w:val="231F20"/>
                <w:sz w:val="20"/>
              </w:rPr>
              <w:t>8.1.</w:t>
            </w:r>
          </w:p>
        </w:tc>
        <w:tc>
          <w:tcPr>
            <w:tcW w:w="4493" w:type="dxa"/>
          </w:tcPr>
          <w:p w14:paraId="060FA3CE" w14:textId="77777777" w:rsidR="00DE575E" w:rsidRDefault="002E7560">
            <w:pPr>
              <w:pStyle w:val="TableParagraph"/>
              <w:spacing w:before="34" w:line="218" w:lineRule="auto"/>
              <w:ind w:right="44"/>
              <w:jc w:val="both"/>
              <w:rPr>
                <w:i/>
                <w:sz w:val="20"/>
              </w:rPr>
            </w:pPr>
            <w:r>
              <w:rPr>
                <w:i/>
                <w:color w:val="231F20"/>
                <w:sz w:val="20"/>
              </w:rPr>
              <w:t>Поняття, ознаки та види адміністративних послуг</w:t>
            </w:r>
          </w:p>
          <w:p w14:paraId="210BD59A" w14:textId="77777777" w:rsidR="00DE575E" w:rsidRDefault="002E7560">
            <w:pPr>
              <w:pStyle w:val="TableParagraph"/>
              <w:spacing w:before="1" w:line="218" w:lineRule="auto"/>
              <w:ind w:right="574"/>
              <w:rPr>
                <w:sz w:val="20"/>
              </w:rPr>
            </w:pPr>
            <w:r>
              <w:rPr>
                <w:color w:val="231F20"/>
                <w:sz w:val="20"/>
              </w:rPr>
              <w:t>Поняття адміністративної послуги. Ознаки адміністративної послуги.</w:t>
            </w:r>
          </w:p>
          <w:p w14:paraId="5E0E3E86" w14:textId="77777777" w:rsidR="00DE575E" w:rsidRDefault="002E7560">
            <w:pPr>
              <w:pStyle w:val="TableParagraph"/>
              <w:spacing w:before="3" w:line="214" w:lineRule="exact"/>
              <w:ind w:right="45"/>
              <w:jc w:val="both"/>
              <w:rPr>
                <w:sz w:val="20"/>
              </w:rPr>
            </w:pPr>
            <w:r>
              <w:rPr>
                <w:color w:val="231F20"/>
                <w:sz w:val="20"/>
              </w:rPr>
              <w:t>Відмінність адміністративної послуги від інших видів послуг у публічній сфері. Види</w:t>
            </w:r>
            <w:r>
              <w:rPr>
                <w:color w:val="231F20"/>
                <w:spacing w:val="-29"/>
                <w:sz w:val="20"/>
              </w:rPr>
              <w:t xml:space="preserve"> </w:t>
            </w:r>
            <w:r>
              <w:rPr>
                <w:color w:val="231F20"/>
                <w:sz w:val="20"/>
              </w:rPr>
              <w:t>адміністра- тивних</w:t>
            </w:r>
            <w:r>
              <w:rPr>
                <w:color w:val="231F20"/>
                <w:spacing w:val="-1"/>
                <w:sz w:val="20"/>
              </w:rPr>
              <w:t xml:space="preserve"> </w:t>
            </w:r>
            <w:r>
              <w:rPr>
                <w:color w:val="231F20"/>
                <w:spacing w:val="-3"/>
                <w:sz w:val="20"/>
              </w:rPr>
              <w:t>послуг.</w:t>
            </w:r>
          </w:p>
        </w:tc>
        <w:tc>
          <w:tcPr>
            <w:tcW w:w="732" w:type="dxa"/>
          </w:tcPr>
          <w:p w14:paraId="638182C1" w14:textId="77777777" w:rsidR="00DE575E" w:rsidRDefault="00DE575E">
            <w:pPr>
              <w:pStyle w:val="TableParagraph"/>
              <w:ind w:left="0"/>
              <w:rPr>
                <w:rFonts w:ascii="Times New Roman"/>
                <w:sz w:val="18"/>
              </w:rPr>
            </w:pPr>
          </w:p>
        </w:tc>
        <w:tc>
          <w:tcPr>
            <w:tcW w:w="732" w:type="dxa"/>
          </w:tcPr>
          <w:p w14:paraId="7A820B6A" w14:textId="77777777" w:rsidR="00DE575E" w:rsidRDefault="00DE575E">
            <w:pPr>
              <w:pStyle w:val="TableParagraph"/>
              <w:ind w:left="0"/>
              <w:rPr>
                <w:rFonts w:ascii="Times New Roman"/>
                <w:sz w:val="18"/>
              </w:rPr>
            </w:pPr>
          </w:p>
        </w:tc>
      </w:tr>
      <w:tr w:rsidR="00DE575E" w14:paraId="3C3393F9" w14:textId="77777777">
        <w:trPr>
          <w:trHeight w:val="1328"/>
        </w:trPr>
        <w:tc>
          <w:tcPr>
            <w:tcW w:w="567" w:type="dxa"/>
          </w:tcPr>
          <w:p w14:paraId="22FEF0CD" w14:textId="77777777" w:rsidR="00DE575E" w:rsidRDefault="002E7560">
            <w:pPr>
              <w:pStyle w:val="TableParagraph"/>
              <w:spacing w:before="17"/>
              <w:rPr>
                <w:sz w:val="20"/>
              </w:rPr>
            </w:pPr>
            <w:r>
              <w:rPr>
                <w:color w:val="231F20"/>
                <w:sz w:val="20"/>
              </w:rPr>
              <w:t>8.2.</w:t>
            </w:r>
          </w:p>
        </w:tc>
        <w:tc>
          <w:tcPr>
            <w:tcW w:w="4493" w:type="dxa"/>
          </w:tcPr>
          <w:p w14:paraId="2968AA43" w14:textId="77777777" w:rsidR="00DE575E" w:rsidRDefault="002E7560">
            <w:pPr>
              <w:pStyle w:val="TableParagraph"/>
              <w:spacing w:before="34" w:line="218" w:lineRule="auto"/>
              <w:ind w:right="12"/>
              <w:rPr>
                <w:i/>
                <w:sz w:val="20"/>
              </w:rPr>
            </w:pPr>
            <w:r>
              <w:rPr>
                <w:i/>
                <w:color w:val="231F20"/>
                <w:sz w:val="20"/>
              </w:rPr>
              <w:t>Суб’єкти відносин щодо надання адміністратив- них послуг</w:t>
            </w:r>
          </w:p>
          <w:p w14:paraId="2F589240" w14:textId="77777777" w:rsidR="00DE575E" w:rsidRDefault="002E7560">
            <w:pPr>
              <w:pStyle w:val="TableParagraph"/>
              <w:spacing w:line="208" w:lineRule="exact"/>
              <w:rPr>
                <w:sz w:val="20"/>
              </w:rPr>
            </w:pPr>
            <w:r>
              <w:rPr>
                <w:color w:val="231F20"/>
                <w:sz w:val="20"/>
              </w:rPr>
              <w:t>Суб’єкт звернення.</w:t>
            </w:r>
          </w:p>
          <w:p w14:paraId="73EF66C8" w14:textId="77777777" w:rsidR="00DE575E" w:rsidRDefault="002E7560">
            <w:pPr>
              <w:pStyle w:val="TableParagraph"/>
              <w:spacing w:before="9" w:line="214" w:lineRule="exact"/>
              <w:ind w:right="10"/>
              <w:rPr>
                <w:sz w:val="20"/>
              </w:rPr>
            </w:pPr>
            <w:r>
              <w:rPr>
                <w:color w:val="231F20"/>
                <w:sz w:val="20"/>
              </w:rPr>
              <w:t>Суб’єкт надання адміністративних послуг. Центри надання адміністративних послуг. Адмі- ністратори.</w:t>
            </w:r>
          </w:p>
        </w:tc>
        <w:tc>
          <w:tcPr>
            <w:tcW w:w="732" w:type="dxa"/>
          </w:tcPr>
          <w:p w14:paraId="4246F613" w14:textId="77777777" w:rsidR="00DE575E" w:rsidRDefault="00DE575E">
            <w:pPr>
              <w:pStyle w:val="TableParagraph"/>
              <w:ind w:left="0"/>
              <w:rPr>
                <w:rFonts w:ascii="Times New Roman"/>
                <w:sz w:val="18"/>
              </w:rPr>
            </w:pPr>
          </w:p>
        </w:tc>
        <w:tc>
          <w:tcPr>
            <w:tcW w:w="732" w:type="dxa"/>
          </w:tcPr>
          <w:p w14:paraId="375B14A3" w14:textId="77777777" w:rsidR="00DE575E" w:rsidRDefault="00DE575E">
            <w:pPr>
              <w:pStyle w:val="TableParagraph"/>
              <w:ind w:left="0"/>
              <w:rPr>
                <w:rFonts w:ascii="Times New Roman"/>
                <w:sz w:val="18"/>
              </w:rPr>
            </w:pPr>
          </w:p>
        </w:tc>
      </w:tr>
      <w:tr w:rsidR="00DE575E" w14:paraId="2C41F2B4" w14:textId="77777777">
        <w:trPr>
          <w:trHeight w:val="900"/>
        </w:trPr>
        <w:tc>
          <w:tcPr>
            <w:tcW w:w="567" w:type="dxa"/>
          </w:tcPr>
          <w:p w14:paraId="21C07A5F" w14:textId="77777777" w:rsidR="00DE575E" w:rsidRDefault="002E7560">
            <w:pPr>
              <w:pStyle w:val="TableParagraph"/>
              <w:spacing w:before="17"/>
              <w:rPr>
                <w:sz w:val="20"/>
              </w:rPr>
            </w:pPr>
            <w:r>
              <w:rPr>
                <w:color w:val="231F20"/>
                <w:sz w:val="20"/>
              </w:rPr>
              <w:t>8.3.</w:t>
            </w:r>
          </w:p>
        </w:tc>
        <w:tc>
          <w:tcPr>
            <w:tcW w:w="4493" w:type="dxa"/>
          </w:tcPr>
          <w:p w14:paraId="702349DA" w14:textId="77777777" w:rsidR="00DE575E" w:rsidRDefault="002E7560">
            <w:pPr>
              <w:pStyle w:val="TableParagraph"/>
              <w:spacing w:before="36" w:line="214" w:lineRule="exact"/>
              <w:ind w:right="-6"/>
              <w:rPr>
                <w:sz w:val="20"/>
              </w:rPr>
            </w:pPr>
            <w:r>
              <w:rPr>
                <w:i/>
                <w:color w:val="231F20"/>
                <w:sz w:val="20"/>
              </w:rPr>
              <w:t xml:space="preserve">Порядок надання адміністративних послуг </w:t>
            </w:r>
            <w:r>
              <w:rPr>
                <w:color w:val="231F20"/>
                <w:sz w:val="20"/>
              </w:rPr>
              <w:t>Стадії процедури надання адміністративної послуги. Юридичні документи та дії, що супро- воджують процедуру надання адміністративних</w:t>
            </w:r>
          </w:p>
        </w:tc>
        <w:tc>
          <w:tcPr>
            <w:tcW w:w="732" w:type="dxa"/>
          </w:tcPr>
          <w:p w14:paraId="14D52B01" w14:textId="77777777" w:rsidR="00DE575E" w:rsidRDefault="00DE575E">
            <w:pPr>
              <w:pStyle w:val="TableParagraph"/>
              <w:ind w:left="0"/>
              <w:rPr>
                <w:rFonts w:ascii="Times New Roman"/>
                <w:sz w:val="18"/>
              </w:rPr>
            </w:pPr>
          </w:p>
        </w:tc>
        <w:tc>
          <w:tcPr>
            <w:tcW w:w="732" w:type="dxa"/>
          </w:tcPr>
          <w:p w14:paraId="50DF941D" w14:textId="77777777" w:rsidR="00DE575E" w:rsidRDefault="00DE575E">
            <w:pPr>
              <w:pStyle w:val="TableParagraph"/>
              <w:ind w:left="0"/>
              <w:rPr>
                <w:rFonts w:ascii="Times New Roman"/>
                <w:sz w:val="18"/>
              </w:rPr>
            </w:pPr>
          </w:p>
        </w:tc>
      </w:tr>
    </w:tbl>
    <w:p w14:paraId="7908B8E1" w14:textId="77777777" w:rsidR="00DE575E" w:rsidRDefault="00DE575E">
      <w:pPr>
        <w:pStyle w:val="BodyText"/>
        <w:rPr>
          <w:rFonts w:ascii="AdonisC"/>
          <w:i/>
          <w:sz w:val="18"/>
        </w:rPr>
      </w:pPr>
    </w:p>
    <w:p w14:paraId="5EA9999B" w14:textId="77777777" w:rsidR="00DE575E" w:rsidRDefault="00DE575E">
      <w:pPr>
        <w:pStyle w:val="BodyText"/>
        <w:spacing w:before="5"/>
        <w:rPr>
          <w:rFonts w:ascii="AdonisC"/>
          <w:i/>
          <w:sz w:val="17"/>
        </w:rPr>
      </w:pPr>
    </w:p>
    <w:p w14:paraId="2B76B18B" w14:textId="77777777" w:rsidR="00DE575E" w:rsidRDefault="002E7560">
      <w:pPr>
        <w:ind w:left="533"/>
        <w:rPr>
          <w:rFonts w:ascii="Times New Roman"/>
          <w:sz w:val="20"/>
        </w:rPr>
      </w:pPr>
      <w:r>
        <w:rPr>
          <w:rFonts w:ascii="Times New Roman"/>
          <w:color w:val="231F20"/>
          <w:sz w:val="20"/>
        </w:rPr>
        <w:t>578</w:t>
      </w:r>
    </w:p>
    <w:p w14:paraId="0385D9FF" w14:textId="77777777" w:rsidR="00DE575E" w:rsidRDefault="00DE575E">
      <w:pPr>
        <w:rPr>
          <w:rFonts w:ascii="Times New Roman"/>
          <w:sz w:val="20"/>
        </w:rPr>
        <w:sectPr w:rsidR="00DE575E">
          <w:pgSz w:w="8510" w:h="12760"/>
          <w:pgMar w:top="660" w:right="720" w:bottom="280" w:left="600" w:header="720" w:footer="720" w:gutter="0"/>
          <w:cols w:space="720"/>
        </w:sectPr>
      </w:pPr>
    </w:p>
    <w:p w14:paraId="4108BD77" w14:textId="77777777" w:rsidR="00DE575E" w:rsidRDefault="002E7560">
      <w:pPr>
        <w:spacing w:before="72" w:after="9"/>
        <w:ind w:right="411"/>
        <w:jc w:val="right"/>
        <w:rPr>
          <w:rFonts w:ascii="AdonisC" w:hAnsi="AdonisC"/>
          <w:i/>
          <w:sz w:val="18"/>
        </w:rPr>
      </w:pPr>
      <w:r>
        <w:rPr>
          <w:rFonts w:ascii="AdonisC" w:hAnsi="AdonisC"/>
          <w:i/>
          <w:color w:val="231F20"/>
          <w:sz w:val="18"/>
        </w:rPr>
        <w:t>Додаток</w:t>
      </w:r>
    </w:p>
    <w:p w14:paraId="0759500E" w14:textId="75F3BA68"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D95FCBB" wp14:editId="7454D81D">
                <wp:extent cx="4140200" cy="6350"/>
                <wp:effectExtent l="0" t="0" r="12700" b="635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2" name="Line 11"/>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6CB9F" id="Group_x0020_10"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">
                <v:line id="Line_x0020_11"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dw/MMAAADbAAAADwAAAGRycy9kb3ducmV2LnhtbERPS2rDMBDdB3oHMYVsQiM3gVDcyKYU&#10;CiWL/NwDjK2pbSqNHEuJnZw+KhS6m8f7zjofrREX6n3rWMHzPAFBXDndcq3gq/h4egHhA7JG45gU&#10;XMlDnj1M1phqN/CBLsdQixjCPkUFTQhdKqWvGrLo564jjty36y2GCPta6h6HGG6NXCTJSlpsOTY0&#10;2NF7Q9XP8WwVFKdZMPvdxgzFrlzK8rRd3s5bpaaP49sriEBj+Bf/uT91nL+A31/iATK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u3cPzDAAAA2wAAAA8AAAAAAAAAAAAA&#10;AAAAoQIAAGRycy9kb3ducmV2LnhtbFBLBQYAAAAABAAEAPkAAACRAwAAAAA=&#10;" strokecolor="#231f20" strokeweight=".5pt"/>
                <w10:anchorlock/>
              </v:group>
            </w:pict>
          </mc:Fallback>
        </mc:AlternateContent>
      </w:r>
    </w:p>
    <w:p w14:paraId="0860EA0D"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11E4AE43" w14:textId="77777777">
        <w:trPr>
          <w:trHeight w:val="918"/>
        </w:trPr>
        <w:tc>
          <w:tcPr>
            <w:tcW w:w="567" w:type="dxa"/>
          </w:tcPr>
          <w:p w14:paraId="08FFBAB6" w14:textId="77777777" w:rsidR="00DE575E" w:rsidRDefault="00DE575E">
            <w:pPr>
              <w:pStyle w:val="TableParagraph"/>
              <w:ind w:left="0"/>
              <w:rPr>
                <w:rFonts w:ascii="Times New Roman"/>
                <w:sz w:val="18"/>
              </w:rPr>
            </w:pPr>
          </w:p>
        </w:tc>
        <w:tc>
          <w:tcPr>
            <w:tcW w:w="4493" w:type="dxa"/>
          </w:tcPr>
          <w:p w14:paraId="55AA7E41" w14:textId="77777777" w:rsidR="00DE575E" w:rsidRDefault="002E7560">
            <w:pPr>
              <w:pStyle w:val="TableParagraph"/>
              <w:spacing w:before="28" w:line="225" w:lineRule="auto"/>
              <w:ind w:right="45"/>
              <w:rPr>
                <w:sz w:val="20"/>
              </w:rPr>
            </w:pPr>
            <w:r>
              <w:rPr>
                <w:color w:val="231F20"/>
                <w:sz w:val="20"/>
              </w:rPr>
              <w:t>послуг. Плата за надання адміністративних послуг (адміністративний збір).</w:t>
            </w:r>
          </w:p>
          <w:p w14:paraId="08BA6EEA" w14:textId="77777777" w:rsidR="00DE575E" w:rsidRDefault="002E7560">
            <w:pPr>
              <w:pStyle w:val="TableParagraph"/>
              <w:spacing w:before="2" w:line="220" w:lineRule="exact"/>
              <w:ind w:right="45"/>
              <w:rPr>
                <w:sz w:val="20"/>
              </w:rPr>
            </w:pPr>
            <w:r>
              <w:rPr>
                <w:color w:val="231F20"/>
                <w:sz w:val="20"/>
              </w:rPr>
              <w:t>Вимоги до якості надання адміністративних послуг.</w:t>
            </w:r>
          </w:p>
        </w:tc>
        <w:tc>
          <w:tcPr>
            <w:tcW w:w="732" w:type="dxa"/>
          </w:tcPr>
          <w:p w14:paraId="733DBEAD" w14:textId="77777777" w:rsidR="00DE575E" w:rsidRDefault="00DE575E">
            <w:pPr>
              <w:pStyle w:val="TableParagraph"/>
              <w:ind w:left="0"/>
              <w:rPr>
                <w:rFonts w:ascii="Times New Roman"/>
                <w:sz w:val="18"/>
              </w:rPr>
            </w:pPr>
          </w:p>
        </w:tc>
        <w:tc>
          <w:tcPr>
            <w:tcW w:w="732" w:type="dxa"/>
          </w:tcPr>
          <w:p w14:paraId="22C8F17B" w14:textId="77777777" w:rsidR="00DE575E" w:rsidRDefault="00DE575E">
            <w:pPr>
              <w:pStyle w:val="TableParagraph"/>
              <w:ind w:left="0"/>
              <w:rPr>
                <w:rFonts w:ascii="Times New Roman"/>
                <w:sz w:val="18"/>
              </w:rPr>
            </w:pPr>
          </w:p>
        </w:tc>
      </w:tr>
      <w:tr w:rsidR="00DE575E" w14:paraId="70C71728" w14:textId="77777777">
        <w:trPr>
          <w:trHeight w:val="478"/>
        </w:trPr>
        <w:tc>
          <w:tcPr>
            <w:tcW w:w="567" w:type="dxa"/>
          </w:tcPr>
          <w:p w14:paraId="0CFE0B1F" w14:textId="77777777" w:rsidR="00DE575E" w:rsidRDefault="002E7560">
            <w:pPr>
              <w:pStyle w:val="TableParagraph"/>
              <w:spacing w:before="17"/>
              <w:rPr>
                <w:sz w:val="20"/>
              </w:rPr>
            </w:pPr>
            <w:r>
              <w:rPr>
                <w:color w:val="231F20"/>
                <w:sz w:val="20"/>
              </w:rPr>
              <w:t>9.</w:t>
            </w:r>
          </w:p>
        </w:tc>
        <w:tc>
          <w:tcPr>
            <w:tcW w:w="4493" w:type="dxa"/>
          </w:tcPr>
          <w:p w14:paraId="08FD6262" w14:textId="77777777" w:rsidR="00DE575E" w:rsidRDefault="002E7560">
            <w:pPr>
              <w:pStyle w:val="TableParagraph"/>
              <w:spacing w:before="31" w:line="220" w:lineRule="exact"/>
              <w:ind w:right="6"/>
              <w:rPr>
                <w:sz w:val="20"/>
              </w:rPr>
            </w:pPr>
            <w:r>
              <w:rPr>
                <w:color w:val="231F20"/>
                <w:sz w:val="20"/>
              </w:rPr>
              <w:t>Захист приватної особи у сфері публічного адмі- ністрування</w:t>
            </w:r>
          </w:p>
        </w:tc>
        <w:tc>
          <w:tcPr>
            <w:tcW w:w="732" w:type="dxa"/>
          </w:tcPr>
          <w:p w14:paraId="7BB3ECF7" w14:textId="77777777" w:rsidR="00DE575E" w:rsidRDefault="002E7560">
            <w:pPr>
              <w:pStyle w:val="TableParagraph"/>
              <w:spacing w:before="17"/>
              <w:ind w:left="234" w:right="226"/>
              <w:jc w:val="center"/>
              <w:rPr>
                <w:sz w:val="20"/>
              </w:rPr>
            </w:pPr>
            <w:r>
              <w:rPr>
                <w:color w:val="231F20"/>
                <w:sz w:val="20"/>
              </w:rPr>
              <w:t>10</w:t>
            </w:r>
          </w:p>
        </w:tc>
        <w:tc>
          <w:tcPr>
            <w:tcW w:w="732" w:type="dxa"/>
          </w:tcPr>
          <w:p w14:paraId="4096B5BE" w14:textId="77777777" w:rsidR="00DE575E" w:rsidRDefault="002E7560">
            <w:pPr>
              <w:pStyle w:val="TableParagraph"/>
              <w:spacing w:before="17"/>
              <w:ind w:left="7"/>
              <w:jc w:val="center"/>
              <w:rPr>
                <w:sz w:val="20"/>
              </w:rPr>
            </w:pPr>
            <w:r>
              <w:rPr>
                <w:color w:val="231F20"/>
                <w:sz w:val="20"/>
              </w:rPr>
              <w:t>С</w:t>
            </w:r>
          </w:p>
        </w:tc>
      </w:tr>
      <w:tr w:rsidR="00DE575E" w14:paraId="6E98124A" w14:textId="77777777">
        <w:trPr>
          <w:trHeight w:val="1138"/>
        </w:trPr>
        <w:tc>
          <w:tcPr>
            <w:tcW w:w="567" w:type="dxa"/>
          </w:tcPr>
          <w:p w14:paraId="20D05145" w14:textId="77777777" w:rsidR="00DE575E" w:rsidRDefault="002E7560">
            <w:pPr>
              <w:pStyle w:val="TableParagraph"/>
              <w:spacing w:before="17"/>
              <w:rPr>
                <w:sz w:val="20"/>
              </w:rPr>
            </w:pPr>
            <w:r>
              <w:rPr>
                <w:color w:val="231F20"/>
                <w:sz w:val="20"/>
              </w:rPr>
              <w:t>9.1.</w:t>
            </w:r>
          </w:p>
        </w:tc>
        <w:tc>
          <w:tcPr>
            <w:tcW w:w="4493" w:type="dxa"/>
          </w:tcPr>
          <w:p w14:paraId="72CA81BB" w14:textId="77777777" w:rsidR="00DE575E" w:rsidRDefault="002E7560">
            <w:pPr>
              <w:pStyle w:val="TableParagraph"/>
              <w:spacing w:before="28" w:line="225" w:lineRule="auto"/>
              <w:ind w:right="45"/>
              <w:jc w:val="both"/>
              <w:rPr>
                <w:i/>
                <w:sz w:val="20"/>
              </w:rPr>
            </w:pPr>
            <w:r>
              <w:rPr>
                <w:i/>
                <w:color w:val="231F20"/>
                <w:sz w:val="20"/>
              </w:rPr>
              <w:t>Інструменти захисту прав, свобод та інтересів приватних осіб у сфері публічного адміністру- вання</w:t>
            </w:r>
          </w:p>
          <w:p w14:paraId="5DDFCF94" w14:textId="77777777" w:rsidR="00DE575E" w:rsidRDefault="002E7560">
            <w:pPr>
              <w:pStyle w:val="TableParagraph"/>
              <w:spacing w:before="2" w:line="220" w:lineRule="exact"/>
              <w:ind w:right="45"/>
              <w:jc w:val="both"/>
              <w:rPr>
                <w:sz w:val="20"/>
              </w:rPr>
            </w:pPr>
            <w:r>
              <w:rPr>
                <w:color w:val="231F20"/>
                <w:sz w:val="20"/>
              </w:rPr>
              <w:t>Види</w:t>
            </w:r>
            <w:r>
              <w:rPr>
                <w:color w:val="231F20"/>
                <w:spacing w:val="-8"/>
                <w:sz w:val="20"/>
              </w:rPr>
              <w:t xml:space="preserve"> </w:t>
            </w:r>
            <w:r>
              <w:rPr>
                <w:color w:val="231F20"/>
                <w:sz w:val="20"/>
              </w:rPr>
              <w:t>інструментів</w:t>
            </w:r>
            <w:r>
              <w:rPr>
                <w:color w:val="231F20"/>
                <w:spacing w:val="-8"/>
                <w:sz w:val="20"/>
              </w:rPr>
              <w:t xml:space="preserve"> </w:t>
            </w:r>
            <w:r>
              <w:rPr>
                <w:color w:val="231F20"/>
                <w:sz w:val="20"/>
              </w:rPr>
              <w:t>захисту</w:t>
            </w:r>
            <w:r>
              <w:rPr>
                <w:color w:val="231F20"/>
                <w:spacing w:val="-8"/>
                <w:sz w:val="20"/>
              </w:rPr>
              <w:t xml:space="preserve"> </w:t>
            </w:r>
            <w:r>
              <w:rPr>
                <w:color w:val="231F20"/>
                <w:sz w:val="20"/>
              </w:rPr>
              <w:t>особи</w:t>
            </w:r>
            <w:r>
              <w:rPr>
                <w:color w:val="231F20"/>
                <w:spacing w:val="-8"/>
                <w:sz w:val="20"/>
              </w:rPr>
              <w:t xml:space="preserve"> </w:t>
            </w:r>
            <w:r>
              <w:rPr>
                <w:color w:val="231F20"/>
                <w:sz w:val="20"/>
              </w:rPr>
              <w:t>та</w:t>
            </w:r>
            <w:r>
              <w:rPr>
                <w:color w:val="231F20"/>
                <w:spacing w:val="-8"/>
                <w:sz w:val="20"/>
              </w:rPr>
              <w:t xml:space="preserve"> </w:t>
            </w:r>
            <w:r>
              <w:rPr>
                <w:color w:val="231F20"/>
                <w:sz w:val="20"/>
              </w:rPr>
              <w:t>їх</w:t>
            </w:r>
            <w:r>
              <w:rPr>
                <w:color w:val="231F20"/>
                <w:spacing w:val="-8"/>
                <w:sz w:val="20"/>
              </w:rPr>
              <w:t xml:space="preserve"> </w:t>
            </w:r>
            <w:r>
              <w:rPr>
                <w:color w:val="231F20"/>
                <w:sz w:val="20"/>
              </w:rPr>
              <w:t>співвідно- шення між собою.</w:t>
            </w:r>
          </w:p>
        </w:tc>
        <w:tc>
          <w:tcPr>
            <w:tcW w:w="732" w:type="dxa"/>
          </w:tcPr>
          <w:p w14:paraId="6E2B494A" w14:textId="77777777" w:rsidR="00DE575E" w:rsidRDefault="00DE575E">
            <w:pPr>
              <w:pStyle w:val="TableParagraph"/>
              <w:ind w:left="0"/>
              <w:rPr>
                <w:rFonts w:ascii="Times New Roman"/>
                <w:sz w:val="18"/>
              </w:rPr>
            </w:pPr>
          </w:p>
        </w:tc>
        <w:tc>
          <w:tcPr>
            <w:tcW w:w="732" w:type="dxa"/>
          </w:tcPr>
          <w:p w14:paraId="0DA784A3" w14:textId="77777777" w:rsidR="00DE575E" w:rsidRDefault="00DE575E">
            <w:pPr>
              <w:pStyle w:val="TableParagraph"/>
              <w:ind w:left="0"/>
              <w:rPr>
                <w:rFonts w:ascii="Times New Roman"/>
                <w:sz w:val="18"/>
              </w:rPr>
            </w:pPr>
          </w:p>
        </w:tc>
      </w:tr>
      <w:tr w:rsidR="00DE575E" w14:paraId="6A775C44" w14:textId="77777777">
        <w:trPr>
          <w:trHeight w:val="1138"/>
        </w:trPr>
        <w:tc>
          <w:tcPr>
            <w:tcW w:w="567" w:type="dxa"/>
          </w:tcPr>
          <w:p w14:paraId="5B02A01C" w14:textId="77777777" w:rsidR="00DE575E" w:rsidRDefault="002E7560">
            <w:pPr>
              <w:pStyle w:val="TableParagraph"/>
              <w:spacing w:before="17"/>
              <w:rPr>
                <w:sz w:val="20"/>
              </w:rPr>
            </w:pPr>
            <w:r>
              <w:rPr>
                <w:color w:val="231F20"/>
                <w:sz w:val="20"/>
              </w:rPr>
              <w:t>9.2.</w:t>
            </w:r>
          </w:p>
        </w:tc>
        <w:tc>
          <w:tcPr>
            <w:tcW w:w="4493" w:type="dxa"/>
          </w:tcPr>
          <w:p w14:paraId="0EC53C80" w14:textId="77777777" w:rsidR="00DE575E" w:rsidRDefault="002E7560">
            <w:pPr>
              <w:pStyle w:val="TableParagraph"/>
              <w:spacing w:before="31" w:line="220" w:lineRule="exact"/>
              <w:ind w:right="15"/>
              <w:rPr>
                <w:sz w:val="20"/>
              </w:rPr>
            </w:pPr>
            <w:r>
              <w:rPr>
                <w:i/>
                <w:color w:val="231F20"/>
                <w:sz w:val="20"/>
              </w:rPr>
              <w:t xml:space="preserve">Ініціювання особою перегляду рішення суб’єктом </w:t>
            </w:r>
            <w:r>
              <w:rPr>
                <w:i/>
                <w:color w:val="231F20"/>
                <w:sz w:val="20"/>
              </w:rPr>
              <w:t xml:space="preserve">публічного адміністрування, який його ухвалив </w:t>
            </w:r>
            <w:r>
              <w:rPr>
                <w:color w:val="231F20"/>
                <w:sz w:val="20"/>
              </w:rPr>
              <w:t>Подання заяви про перегляд. Переговори. Меді- ація. Можливі наслідки перегляду. Переваги та недоліки цього інструменту.</w:t>
            </w:r>
          </w:p>
        </w:tc>
        <w:tc>
          <w:tcPr>
            <w:tcW w:w="732" w:type="dxa"/>
          </w:tcPr>
          <w:p w14:paraId="3FAEA44F" w14:textId="77777777" w:rsidR="00DE575E" w:rsidRDefault="00DE575E">
            <w:pPr>
              <w:pStyle w:val="TableParagraph"/>
              <w:ind w:left="0"/>
              <w:rPr>
                <w:rFonts w:ascii="Times New Roman"/>
                <w:sz w:val="18"/>
              </w:rPr>
            </w:pPr>
          </w:p>
        </w:tc>
        <w:tc>
          <w:tcPr>
            <w:tcW w:w="732" w:type="dxa"/>
          </w:tcPr>
          <w:p w14:paraId="29E2522D" w14:textId="77777777" w:rsidR="00DE575E" w:rsidRDefault="00DE575E">
            <w:pPr>
              <w:pStyle w:val="TableParagraph"/>
              <w:ind w:left="0"/>
              <w:rPr>
                <w:rFonts w:ascii="Times New Roman"/>
                <w:sz w:val="18"/>
              </w:rPr>
            </w:pPr>
          </w:p>
        </w:tc>
      </w:tr>
      <w:tr w:rsidR="00DE575E" w14:paraId="31365D01" w14:textId="77777777">
        <w:trPr>
          <w:trHeight w:val="258"/>
        </w:trPr>
        <w:tc>
          <w:tcPr>
            <w:tcW w:w="567" w:type="dxa"/>
          </w:tcPr>
          <w:p w14:paraId="001B8755" w14:textId="77777777" w:rsidR="00DE575E" w:rsidRDefault="002E7560">
            <w:pPr>
              <w:pStyle w:val="TableParagraph"/>
              <w:spacing w:before="17" w:line="222" w:lineRule="exact"/>
              <w:rPr>
                <w:sz w:val="20"/>
              </w:rPr>
            </w:pPr>
            <w:r>
              <w:rPr>
                <w:color w:val="231F20"/>
                <w:sz w:val="20"/>
              </w:rPr>
              <w:t>9.3.</w:t>
            </w:r>
          </w:p>
        </w:tc>
        <w:tc>
          <w:tcPr>
            <w:tcW w:w="4493" w:type="dxa"/>
          </w:tcPr>
          <w:p w14:paraId="3B236733" w14:textId="77777777" w:rsidR="00DE575E" w:rsidRDefault="002E7560">
            <w:pPr>
              <w:pStyle w:val="TableParagraph"/>
              <w:spacing w:before="17" w:line="222" w:lineRule="exact"/>
              <w:rPr>
                <w:i/>
                <w:sz w:val="20"/>
              </w:rPr>
            </w:pPr>
            <w:r>
              <w:rPr>
                <w:i/>
                <w:color w:val="231F20"/>
                <w:sz w:val="20"/>
              </w:rPr>
              <w:t>Адміністративне оскарження</w:t>
            </w:r>
          </w:p>
        </w:tc>
        <w:tc>
          <w:tcPr>
            <w:tcW w:w="732" w:type="dxa"/>
          </w:tcPr>
          <w:p w14:paraId="583AE685" w14:textId="77777777" w:rsidR="00DE575E" w:rsidRDefault="00DE575E">
            <w:pPr>
              <w:pStyle w:val="TableParagraph"/>
              <w:ind w:left="0"/>
              <w:rPr>
                <w:rFonts w:ascii="Times New Roman"/>
                <w:sz w:val="18"/>
              </w:rPr>
            </w:pPr>
          </w:p>
        </w:tc>
        <w:tc>
          <w:tcPr>
            <w:tcW w:w="732" w:type="dxa"/>
          </w:tcPr>
          <w:p w14:paraId="66AA601E" w14:textId="77777777" w:rsidR="00DE575E" w:rsidRDefault="00DE575E">
            <w:pPr>
              <w:pStyle w:val="TableParagraph"/>
              <w:ind w:left="0"/>
              <w:rPr>
                <w:rFonts w:ascii="Times New Roman"/>
                <w:sz w:val="18"/>
              </w:rPr>
            </w:pPr>
          </w:p>
        </w:tc>
      </w:tr>
      <w:tr w:rsidR="00DE575E" w14:paraId="2D05C6B2" w14:textId="77777777">
        <w:trPr>
          <w:trHeight w:val="918"/>
        </w:trPr>
        <w:tc>
          <w:tcPr>
            <w:tcW w:w="567" w:type="dxa"/>
          </w:tcPr>
          <w:p w14:paraId="0D9ABDBE" w14:textId="77777777" w:rsidR="00DE575E" w:rsidRDefault="00DE575E">
            <w:pPr>
              <w:pStyle w:val="TableParagraph"/>
              <w:ind w:left="0"/>
              <w:rPr>
                <w:rFonts w:ascii="Times New Roman"/>
                <w:sz w:val="18"/>
              </w:rPr>
            </w:pPr>
          </w:p>
        </w:tc>
        <w:tc>
          <w:tcPr>
            <w:tcW w:w="4493" w:type="dxa"/>
          </w:tcPr>
          <w:p w14:paraId="046DD55A" w14:textId="77777777" w:rsidR="00DE575E" w:rsidRDefault="002E7560">
            <w:pPr>
              <w:pStyle w:val="TableParagraph"/>
              <w:spacing w:before="31" w:line="220" w:lineRule="exact"/>
              <w:ind w:right="45"/>
              <w:jc w:val="both"/>
              <w:rPr>
                <w:sz w:val="20"/>
              </w:rPr>
            </w:pPr>
            <w:r>
              <w:rPr>
                <w:color w:val="231F20"/>
                <w:sz w:val="20"/>
              </w:rPr>
              <w:t xml:space="preserve">Підстави та порядок подання скарги. Предмет оскарження. </w:t>
            </w:r>
            <w:r>
              <w:rPr>
                <w:color w:val="231F20"/>
                <w:spacing w:val="-4"/>
                <w:sz w:val="20"/>
              </w:rPr>
              <w:t xml:space="preserve">Суб’єкти </w:t>
            </w:r>
            <w:r>
              <w:rPr>
                <w:color w:val="231F20"/>
                <w:sz w:val="20"/>
              </w:rPr>
              <w:t xml:space="preserve">розгляду </w:t>
            </w:r>
            <w:r>
              <w:rPr>
                <w:color w:val="231F20"/>
                <w:spacing w:val="-3"/>
                <w:sz w:val="20"/>
              </w:rPr>
              <w:t>скарг.</w:t>
            </w:r>
            <w:r>
              <w:rPr>
                <w:color w:val="231F20"/>
                <w:spacing w:val="-34"/>
                <w:sz w:val="20"/>
              </w:rPr>
              <w:t xml:space="preserve"> </w:t>
            </w:r>
            <w:r>
              <w:rPr>
                <w:color w:val="231F20"/>
                <w:sz w:val="20"/>
              </w:rPr>
              <w:t xml:space="preserve">Процедура розгляду скарги. Можливі наслідки </w:t>
            </w:r>
            <w:r>
              <w:rPr>
                <w:color w:val="231F20"/>
                <w:spacing w:val="-3"/>
                <w:sz w:val="20"/>
              </w:rPr>
              <w:t xml:space="preserve">розгляду </w:t>
            </w:r>
            <w:r>
              <w:rPr>
                <w:color w:val="231F20"/>
                <w:sz w:val="20"/>
              </w:rPr>
              <w:t>скарги.</w:t>
            </w:r>
            <w:r>
              <w:rPr>
                <w:color w:val="231F20"/>
                <w:spacing w:val="-14"/>
                <w:sz w:val="20"/>
              </w:rPr>
              <w:t xml:space="preserve"> </w:t>
            </w:r>
            <w:r>
              <w:rPr>
                <w:color w:val="231F20"/>
                <w:sz w:val="20"/>
              </w:rPr>
              <w:t>Переваги</w:t>
            </w:r>
            <w:r>
              <w:rPr>
                <w:color w:val="231F20"/>
                <w:spacing w:val="-14"/>
                <w:sz w:val="20"/>
              </w:rPr>
              <w:t xml:space="preserve"> </w:t>
            </w:r>
            <w:r>
              <w:rPr>
                <w:color w:val="231F20"/>
                <w:sz w:val="20"/>
              </w:rPr>
              <w:t>та</w:t>
            </w:r>
            <w:r>
              <w:rPr>
                <w:color w:val="231F20"/>
                <w:spacing w:val="-14"/>
                <w:sz w:val="20"/>
              </w:rPr>
              <w:t xml:space="preserve"> </w:t>
            </w:r>
            <w:r>
              <w:rPr>
                <w:color w:val="231F20"/>
                <w:sz w:val="20"/>
              </w:rPr>
              <w:t>недоліки</w:t>
            </w:r>
            <w:r>
              <w:rPr>
                <w:color w:val="231F20"/>
                <w:spacing w:val="-14"/>
                <w:sz w:val="20"/>
              </w:rPr>
              <w:t xml:space="preserve"> </w:t>
            </w:r>
            <w:r>
              <w:rPr>
                <w:color w:val="231F20"/>
                <w:sz w:val="20"/>
              </w:rPr>
              <w:t>цього</w:t>
            </w:r>
            <w:r>
              <w:rPr>
                <w:color w:val="231F20"/>
                <w:spacing w:val="-14"/>
                <w:sz w:val="20"/>
              </w:rPr>
              <w:t xml:space="preserve"> </w:t>
            </w:r>
            <w:r>
              <w:rPr>
                <w:color w:val="231F20"/>
                <w:sz w:val="20"/>
              </w:rPr>
              <w:t>інструменту.</w:t>
            </w:r>
          </w:p>
        </w:tc>
        <w:tc>
          <w:tcPr>
            <w:tcW w:w="732" w:type="dxa"/>
          </w:tcPr>
          <w:p w14:paraId="049EA16F" w14:textId="77777777" w:rsidR="00DE575E" w:rsidRDefault="00DE575E">
            <w:pPr>
              <w:pStyle w:val="TableParagraph"/>
              <w:ind w:left="0"/>
              <w:rPr>
                <w:rFonts w:ascii="Times New Roman"/>
                <w:sz w:val="18"/>
              </w:rPr>
            </w:pPr>
          </w:p>
        </w:tc>
        <w:tc>
          <w:tcPr>
            <w:tcW w:w="732" w:type="dxa"/>
          </w:tcPr>
          <w:p w14:paraId="54A3DA97" w14:textId="77777777" w:rsidR="00DE575E" w:rsidRDefault="00DE575E">
            <w:pPr>
              <w:pStyle w:val="TableParagraph"/>
              <w:ind w:left="0"/>
              <w:rPr>
                <w:rFonts w:ascii="Times New Roman"/>
                <w:sz w:val="18"/>
              </w:rPr>
            </w:pPr>
          </w:p>
        </w:tc>
      </w:tr>
      <w:tr w:rsidR="00DE575E" w14:paraId="134BFB3A" w14:textId="77777777">
        <w:trPr>
          <w:trHeight w:val="1358"/>
        </w:trPr>
        <w:tc>
          <w:tcPr>
            <w:tcW w:w="567" w:type="dxa"/>
          </w:tcPr>
          <w:p w14:paraId="51A46D76" w14:textId="77777777" w:rsidR="00DE575E" w:rsidRDefault="002E7560">
            <w:pPr>
              <w:pStyle w:val="TableParagraph"/>
              <w:spacing w:before="17"/>
              <w:rPr>
                <w:sz w:val="20"/>
              </w:rPr>
            </w:pPr>
            <w:r>
              <w:rPr>
                <w:color w:val="231F20"/>
                <w:sz w:val="20"/>
              </w:rPr>
              <w:t>9.4.</w:t>
            </w:r>
          </w:p>
        </w:tc>
        <w:tc>
          <w:tcPr>
            <w:tcW w:w="4493" w:type="dxa"/>
          </w:tcPr>
          <w:p w14:paraId="2C0816B1" w14:textId="77777777" w:rsidR="00DE575E" w:rsidRDefault="002E7560">
            <w:pPr>
              <w:pStyle w:val="TableParagraph"/>
              <w:spacing w:before="28" w:line="225" w:lineRule="auto"/>
              <w:ind w:right="45"/>
              <w:jc w:val="both"/>
              <w:rPr>
                <w:i/>
                <w:sz w:val="20"/>
              </w:rPr>
            </w:pPr>
            <w:r>
              <w:rPr>
                <w:i/>
                <w:color w:val="231F20"/>
                <w:sz w:val="20"/>
              </w:rPr>
              <w:t>Захист особи з ініціативи суб’єкта публічного адміністрування</w:t>
            </w:r>
          </w:p>
          <w:p w14:paraId="4D5B6170" w14:textId="77777777" w:rsidR="00DE575E" w:rsidRDefault="002E7560">
            <w:pPr>
              <w:pStyle w:val="TableParagraph"/>
              <w:spacing w:before="2" w:line="220" w:lineRule="exact"/>
              <w:ind w:right="44"/>
              <w:jc w:val="both"/>
              <w:rPr>
                <w:sz w:val="20"/>
              </w:rPr>
            </w:pPr>
            <w:r>
              <w:rPr>
                <w:color w:val="231F20"/>
                <w:sz w:val="20"/>
              </w:rPr>
              <w:t>Випадки та процедури, за якими суб’єкт публіч- ного адміністрування може надати особі захист із власної ініціативи. Переваги та недоліки цього інструменту.</w:t>
            </w:r>
          </w:p>
        </w:tc>
        <w:tc>
          <w:tcPr>
            <w:tcW w:w="732" w:type="dxa"/>
          </w:tcPr>
          <w:p w14:paraId="45B5D70F" w14:textId="77777777" w:rsidR="00DE575E" w:rsidRDefault="00DE575E">
            <w:pPr>
              <w:pStyle w:val="TableParagraph"/>
              <w:ind w:left="0"/>
              <w:rPr>
                <w:rFonts w:ascii="Times New Roman"/>
                <w:sz w:val="18"/>
              </w:rPr>
            </w:pPr>
          </w:p>
        </w:tc>
        <w:tc>
          <w:tcPr>
            <w:tcW w:w="732" w:type="dxa"/>
          </w:tcPr>
          <w:p w14:paraId="6C083E54" w14:textId="77777777" w:rsidR="00DE575E" w:rsidRDefault="00DE575E">
            <w:pPr>
              <w:pStyle w:val="TableParagraph"/>
              <w:ind w:left="0"/>
              <w:rPr>
                <w:rFonts w:ascii="Times New Roman"/>
                <w:sz w:val="18"/>
              </w:rPr>
            </w:pPr>
          </w:p>
        </w:tc>
      </w:tr>
      <w:tr w:rsidR="00DE575E" w14:paraId="07F3D12D" w14:textId="77777777">
        <w:trPr>
          <w:trHeight w:val="1358"/>
        </w:trPr>
        <w:tc>
          <w:tcPr>
            <w:tcW w:w="567" w:type="dxa"/>
          </w:tcPr>
          <w:p w14:paraId="64F1AA53" w14:textId="77777777" w:rsidR="00DE575E" w:rsidRDefault="002E7560">
            <w:pPr>
              <w:pStyle w:val="TableParagraph"/>
              <w:spacing w:before="17"/>
              <w:rPr>
                <w:sz w:val="20"/>
              </w:rPr>
            </w:pPr>
            <w:r>
              <w:rPr>
                <w:color w:val="231F20"/>
                <w:sz w:val="20"/>
              </w:rPr>
              <w:t>9.5.</w:t>
            </w:r>
          </w:p>
        </w:tc>
        <w:tc>
          <w:tcPr>
            <w:tcW w:w="4493" w:type="dxa"/>
          </w:tcPr>
          <w:p w14:paraId="26200C38" w14:textId="77777777" w:rsidR="00DE575E" w:rsidRDefault="002E7560">
            <w:pPr>
              <w:pStyle w:val="TableParagraph"/>
              <w:spacing w:before="17" w:line="227" w:lineRule="exact"/>
              <w:rPr>
                <w:i/>
                <w:sz w:val="20"/>
              </w:rPr>
            </w:pPr>
            <w:r>
              <w:rPr>
                <w:i/>
                <w:color w:val="231F20"/>
                <w:sz w:val="20"/>
              </w:rPr>
              <w:t>Відшкодування шкоди</w:t>
            </w:r>
          </w:p>
          <w:p w14:paraId="3681808F" w14:textId="77777777" w:rsidR="00DE575E" w:rsidRDefault="002E7560">
            <w:pPr>
              <w:pStyle w:val="TableParagraph"/>
              <w:spacing w:before="7" w:line="220" w:lineRule="exact"/>
              <w:ind w:right="45"/>
              <w:jc w:val="both"/>
              <w:rPr>
                <w:sz w:val="20"/>
              </w:rPr>
            </w:pPr>
            <w:r>
              <w:rPr>
                <w:color w:val="231F20"/>
                <w:sz w:val="20"/>
              </w:rPr>
              <w:t xml:space="preserve">Підстави та процедури, за якими </w:t>
            </w:r>
            <w:r>
              <w:rPr>
                <w:color w:val="231F20"/>
                <w:spacing w:val="-4"/>
                <w:sz w:val="20"/>
              </w:rPr>
              <w:t xml:space="preserve">суб’єкт </w:t>
            </w:r>
            <w:r>
              <w:rPr>
                <w:color w:val="231F20"/>
                <w:sz w:val="20"/>
              </w:rPr>
              <w:t xml:space="preserve">публіч- ного адміністрування відшкодовує </w:t>
            </w:r>
            <w:r>
              <w:rPr>
                <w:color w:val="231F20"/>
                <w:spacing w:val="-5"/>
                <w:sz w:val="20"/>
              </w:rPr>
              <w:t xml:space="preserve">шкоду, </w:t>
            </w:r>
            <w:r>
              <w:rPr>
                <w:color w:val="231F20"/>
                <w:sz w:val="20"/>
              </w:rPr>
              <w:t>завдану приватній особі. Способи відшко- дування шкоди. Переваги та недоліки цього інструменту.</w:t>
            </w:r>
          </w:p>
        </w:tc>
        <w:tc>
          <w:tcPr>
            <w:tcW w:w="732" w:type="dxa"/>
          </w:tcPr>
          <w:p w14:paraId="212DBAFA" w14:textId="77777777" w:rsidR="00DE575E" w:rsidRDefault="00DE575E">
            <w:pPr>
              <w:pStyle w:val="TableParagraph"/>
              <w:ind w:left="0"/>
              <w:rPr>
                <w:rFonts w:ascii="Times New Roman"/>
                <w:sz w:val="18"/>
              </w:rPr>
            </w:pPr>
          </w:p>
        </w:tc>
        <w:tc>
          <w:tcPr>
            <w:tcW w:w="732" w:type="dxa"/>
          </w:tcPr>
          <w:p w14:paraId="726AD82B" w14:textId="77777777" w:rsidR="00DE575E" w:rsidRDefault="00DE575E">
            <w:pPr>
              <w:pStyle w:val="TableParagraph"/>
              <w:ind w:left="0"/>
              <w:rPr>
                <w:rFonts w:ascii="Times New Roman"/>
                <w:sz w:val="18"/>
              </w:rPr>
            </w:pPr>
          </w:p>
        </w:tc>
      </w:tr>
      <w:tr w:rsidR="00DE575E" w14:paraId="380FB9C2" w14:textId="77777777">
        <w:trPr>
          <w:trHeight w:val="2238"/>
        </w:trPr>
        <w:tc>
          <w:tcPr>
            <w:tcW w:w="567" w:type="dxa"/>
          </w:tcPr>
          <w:p w14:paraId="2FAC6006" w14:textId="77777777" w:rsidR="00DE575E" w:rsidRDefault="002E7560">
            <w:pPr>
              <w:pStyle w:val="TableParagraph"/>
              <w:spacing w:before="17"/>
              <w:rPr>
                <w:sz w:val="20"/>
              </w:rPr>
            </w:pPr>
            <w:r>
              <w:rPr>
                <w:color w:val="231F20"/>
                <w:sz w:val="20"/>
              </w:rPr>
              <w:t>9.6.</w:t>
            </w:r>
          </w:p>
        </w:tc>
        <w:tc>
          <w:tcPr>
            <w:tcW w:w="4493" w:type="dxa"/>
          </w:tcPr>
          <w:p w14:paraId="02EC9442" w14:textId="77777777" w:rsidR="00DE575E" w:rsidRDefault="002E7560">
            <w:pPr>
              <w:pStyle w:val="TableParagraph"/>
              <w:spacing w:before="28" w:line="225" w:lineRule="auto"/>
              <w:ind w:right="45"/>
              <w:jc w:val="both"/>
              <w:rPr>
                <w:i/>
                <w:sz w:val="20"/>
              </w:rPr>
            </w:pPr>
            <w:r>
              <w:rPr>
                <w:i/>
                <w:color w:val="231F20"/>
                <w:sz w:val="20"/>
              </w:rPr>
              <w:t>Адміністративна юстиція як інструмент захисту прав особи</w:t>
            </w:r>
          </w:p>
          <w:p w14:paraId="490065CB" w14:textId="77777777" w:rsidR="00DE575E" w:rsidRDefault="002E7560">
            <w:pPr>
              <w:pStyle w:val="TableParagraph"/>
              <w:spacing w:line="225" w:lineRule="auto"/>
              <w:ind w:right="44"/>
              <w:jc w:val="both"/>
              <w:rPr>
                <w:sz w:val="20"/>
              </w:rPr>
            </w:pPr>
            <w:r>
              <w:rPr>
                <w:color w:val="231F20"/>
                <w:sz w:val="20"/>
              </w:rPr>
              <w:t>Завдання адміністративного судочинства. Система</w:t>
            </w:r>
            <w:r>
              <w:rPr>
                <w:color w:val="231F20"/>
                <w:sz w:val="20"/>
              </w:rPr>
              <w:t xml:space="preserve"> адміністративних </w:t>
            </w:r>
            <w:r>
              <w:rPr>
                <w:color w:val="231F20"/>
                <w:spacing w:val="-3"/>
                <w:sz w:val="20"/>
              </w:rPr>
              <w:t xml:space="preserve">судів. </w:t>
            </w:r>
            <w:r>
              <w:rPr>
                <w:color w:val="231F20"/>
                <w:sz w:val="20"/>
              </w:rPr>
              <w:t xml:space="preserve">Принципи адміністративного   судочинства.   Юрисдик- ція адміністративних </w:t>
            </w:r>
            <w:r>
              <w:rPr>
                <w:color w:val="231F20"/>
                <w:spacing w:val="-3"/>
                <w:sz w:val="20"/>
              </w:rPr>
              <w:t xml:space="preserve">судів. </w:t>
            </w:r>
            <w:r>
              <w:rPr>
                <w:color w:val="231F20"/>
                <w:sz w:val="20"/>
              </w:rPr>
              <w:t xml:space="preserve">Адміністративний позов та вимоги до нього. Способи </w:t>
            </w:r>
            <w:r>
              <w:rPr>
                <w:color w:val="231F20"/>
                <w:spacing w:val="-3"/>
                <w:sz w:val="20"/>
              </w:rPr>
              <w:t xml:space="preserve">судового </w:t>
            </w:r>
            <w:r>
              <w:rPr>
                <w:color w:val="231F20"/>
                <w:sz w:val="20"/>
              </w:rPr>
              <w:t>захисту.</w:t>
            </w:r>
          </w:p>
          <w:p w14:paraId="2F4DF0F8" w14:textId="77777777" w:rsidR="00DE575E" w:rsidRDefault="002E7560">
            <w:pPr>
              <w:pStyle w:val="TableParagraph"/>
              <w:spacing w:line="220" w:lineRule="exact"/>
              <w:ind w:right="47"/>
              <w:jc w:val="both"/>
              <w:rPr>
                <w:sz w:val="20"/>
              </w:rPr>
            </w:pPr>
            <w:r>
              <w:rPr>
                <w:color w:val="231F20"/>
                <w:sz w:val="20"/>
              </w:rPr>
              <w:t>Переваги та недоліки адміністративної юстиції як інструменту захисту особи.</w:t>
            </w:r>
          </w:p>
        </w:tc>
        <w:tc>
          <w:tcPr>
            <w:tcW w:w="732" w:type="dxa"/>
          </w:tcPr>
          <w:p w14:paraId="5C222ADD" w14:textId="77777777" w:rsidR="00DE575E" w:rsidRDefault="00DE575E">
            <w:pPr>
              <w:pStyle w:val="TableParagraph"/>
              <w:ind w:left="0"/>
              <w:rPr>
                <w:rFonts w:ascii="Times New Roman"/>
                <w:sz w:val="18"/>
              </w:rPr>
            </w:pPr>
          </w:p>
        </w:tc>
        <w:tc>
          <w:tcPr>
            <w:tcW w:w="732" w:type="dxa"/>
          </w:tcPr>
          <w:p w14:paraId="25D35925" w14:textId="77777777" w:rsidR="00DE575E" w:rsidRDefault="00DE575E">
            <w:pPr>
              <w:pStyle w:val="TableParagraph"/>
              <w:ind w:left="0"/>
              <w:rPr>
                <w:rFonts w:ascii="Times New Roman"/>
                <w:sz w:val="18"/>
              </w:rPr>
            </w:pPr>
          </w:p>
        </w:tc>
      </w:tr>
    </w:tbl>
    <w:p w14:paraId="4E560EBC" w14:textId="77777777" w:rsidR="00DE575E" w:rsidRDefault="00DE575E">
      <w:pPr>
        <w:pStyle w:val="BodyText"/>
        <w:rPr>
          <w:rFonts w:ascii="AdonisC"/>
          <w:i/>
          <w:sz w:val="18"/>
        </w:rPr>
      </w:pPr>
    </w:p>
    <w:p w14:paraId="5680122B" w14:textId="77777777" w:rsidR="00DE575E" w:rsidRDefault="00DE575E">
      <w:pPr>
        <w:pStyle w:val="BodyText"/>
        <w:spacing w:before="4"/>
        <w:rPr>
          <w:rFonts w:ascii="AdonisC"/>
          <w:i/>
          <w:sz w:val="18"/>
        </w:rPr>
      </w:pPr>
    </w:p>
    <w:p w14:paraId="0A45ED97" w14:textId="77777777" w:rsidR="00DE575E" w:rsidRDefault="002E7560">
      <w:pPr>
        <w:spacing w:before="1"/>
        <w:ind w:right="411"/>
        <w:jc w:val="right"/>
        <w:rPr>
          <w:rFonts w:ascii="Times New Roman"/>
          <w:sz w:val="20"/>
        </w:rPr>
      </w:pPr>
      <w:r>
        <w:rPr>
          <w:rFonts w:ascii="Times New Roman"/>
          <w:color w:val="231F20"/>
          <w:w w:val="90"/>
          <w:sz w:val="20"/>
        </w:rPr>
        <w:t>579</w:t>
      </w:r>
    </w:p>
    <w:p w14:paraId="37B877E6"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3ADC7551"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368D7832" w14:textId="621CED0F"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9B799F1" wp14:editId="25B31442">
                <wp:extent cx="4140200" cy="6350"/>
                <wp:effectExtent l="0" t="0" r="12700" b="6350"/>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10" name="Line 9"/>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33D3C" id="Group_x0020_8"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">
                <v:line id="Line_x0020_9"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lLEMYAAADbAAAADwAAAGRycy9kb3ducmV2LnhtbESPQWvCQBCF70L/wzIFL1I3VRBJXaUU&#10;CqUHrcYfMGbHJLg7G7OrSfvrO4dCbzO8N+99s9oM3qk7dbEJbOB5moEiLoNtuDJwLN6flqBiQrbo&#10;ApOBb4qwWT+MVpjb0POe7odUKQnhmKOBOqU21zqWNXmM09ASi3YOnccka1dp22Ev4d7pWZYttMeG&#10;paHGlt5qKi+HmzdQXCfJfe0+XV/sTnN9um7nP7etMePH4fUFVKIh/Zv/rj+s4Au9/CID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QpSxDGAAAA2wAAAA8AAAAAAAAA&#10;AAAAAAAAoQIAAGRycy9kb3ducmV2LnhtbFBLBQYAAAAABAAEAPkAAACUAwAAAAA=&#10;" strokecolor="#231f20" strokeweight=".5pt"/>
                <w10:anchorlock/>
              </v:group>
            </w:pict>
          </mc:Fallback>
        </mc:AlternateContent>
      </w:r>
    </w:p>
    <w:p w14:paraId="6C48F2D9"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4DFED060" w14:textId="77777777">
        <w:trPr>
          <w:trHeight w:val="258"/>
        </w:trPr>
        <w:tc>
          <w:tcPr>
            <w:tcW w:w="567" w:type="dxa"/>
          </w:tcPr>
          <w:p w14:paraId="4599631F" w14:textId="77777777" w:rsidR="00DE575E" w:rsidRDefault="002E7560">
            <w:pPr>
              <w:pStyle w:val="TableParagraph"/>
              <w:spacing w:before="17" w:line="222" w:lineRule="exact"/>
              <w:rPr>
                <w:sz w:val="20"/>
              </w:rPr>
            </w:pPr>
            <w:r>
              <w:rPr>
                <w:color w:val="231F20"/>
                <w:sz w:val="20"/>
              </w:rPr>
              <w:t>10.</w:t>
            </w:r>
          </w:p>
        </w:tc>
        <w:tc>
          <w:tcPr>
            <w:tcW w:w="4493" w:type="dxa"/>
          </w:tcPr>
          <w:p w14:paraId="287C7282" w14:textId="77777777" w:rsidR="00DE575E" w:rsidRDefault="002E7560">
            <w:pPr>
              <w:pStyle w:val="TableParagraph"/>
              <w:spacing w:before="17" w:line="222" w:lineRule="exact"/>
              <w:rPr>
                <w:sz w:val="20"/>
              </w:rPr>
            </w:pPr>
            <w:r>
              <w:rPr>
                <w:color w:val="231F20"/>
                <w:sz w:val="20"/>
              </w:rPr>
              <w:t>Службове право</w:t>
            </w:r>
          </w:p>
        </w:tc>
        <w:tc>
          <w:tcPr>
            <w:tcW w:w="732" w:type="dxa"/>
          </w:tcPr>
          <w:p w14:paraId="49419B53" w14:textId="77777777" w:rsidR="00DE575E" w:rsidRDefault="002E7560">
            <w:pPr>
              <w:pStyle w:val="TableParagraph"/>
              <w:spacing w:before="17" w:line="222" w:lineRule="exact"/>
              <w:ind w:left="234" w:right="226"/>
              <w:jc w:val="center"/>
              <w:rPr>
                <w:sz w:val="20"/>
              </w:rPr>
            </w:pPr>
            <w:r>
              <w:rPr>
                <w:color w:val="231F20"/>
                <w:sz w:val="20"/>
              </w:rPr>
              <w:t>10</w:t>
            </w:r>
          </w:p>
        </w:tc>
        <w:tc>
          <w:tcPr>
            <w:tcW w:w="732" w:type="dxa"/>
          </w:tcPr>
          <w:p w14:paraId="74F09E88" w14:textId="77777777" w:rsidR="00DE575E" w:rsidRDefault="002E7560">
            <w:pPr>
              <w:pStyle w:val="TableParagraph"/>
              <w:spacing w:before="17" w:line="222" w:lineRule="exact"/>
              <w:ind w:left="7"/>
              <w:jc w:val="center"/>
              <w:rPr>
                <w:sz w:val="20"/>
              </w:rPr>
            </w:pPr>
            <w:r>
              <w:rPr>
                <w:color w:val="231F20"/>
                <w:sz w:val="20"/>
              </w:rPr>
              <w:t>С</w:t>
            </w:r>
          </w:p>
        </w:tc>
      </w:tr>
      <w:tr w:rsidR="00DE575E" w14:paraId="106B188E" w14:textId="77777777">
        <w:trPr>
          <w:trHeight w:val="1578"/>
        </w:trPr>
        <w:tc>
          <w:tcPr>
            <w:tcW w:w="567" w:type="dxa"/>
          </w:tcPr>
          <w:p w14:paraId="438CCE36" w14:textId="77777777" w:rsidR="00DE575E" w:rsidRDefault="002E7560">
            <w:pPr>
              <w:pStyle w:val="TableParagraph"/>
              <w:spacing w:before="17"/>
              <w:rPr>
                <w:sz w:val="20"/>
              </w:rPr>
            </w:pPr>
            <w:r>
              <w:rPr>
                <w:color w:val="231F20"/>
                <w:sz w:val="20"/>
              </w:rPr>
              <w:t>10.1.</w:t>
            </w:r>
          </w:p>
        </w:tc>
        <w:tc>
          <w:tcPr>
            <w:tcW w:w="4493" w:type="dxa"/>
          </w:tcPr>
          <w:p w14:paraId="0BCFD792" w14:textId="77777777" w:rsidR="00DE575E" w:rsidRDefault="002E7560">
            <w:pPr>
              <w:pStyle w:val="TableParagraph"/>
              <w:spacing w:before="17" w:line="227" w:lineRule="exact"/>
              <w:rPr>
                <w:i/>
                <w:sz w:val="20"/>
              </w:rPr>
            </w:pPr>
            <w:r>
              <w:rPr>
                <w:i/>
                <w:color w:val="231F20"/>
                <w:sz w:val="20"/>
              </w:rPr>
              <w:t>Публічна служба та публічні службовці</w:t>
            </w:r>
          </w:p>
          <w:p w14:paraId="3F8DA95F" w14:textId="77777777" w:rsidR="00DE575E" w:rsidRDefault="002E7560">
            <w:pPr>
              <w:pStyle w:val="TableParagraph"/>
              <w:spacing w:before="7" w:line="220" w:lineRule="exact"/>
              <w:ind w:right="45"/>
              <w:jc w:val="both"/>
              <w:rPr>
                <w:sz w:val="20"/>
              </w:rPr>
            </w:pPr>
            <w:r>
              <w:rPr>
                <w:color w:val="231F20"/>
                <w:sz w:val="20"/>
              </w:rPr>
              <w:t xml:space="preserve">Поняття та сутність публічної служби. Відмін- ність публічної служби від інших видів </w:t>
            </w:r>
            <w:r>
              <w:rPr>
                <w:color w:val="231F20"/>
                <w:spacing w:val="-3"/>
                <w:sz w:val="20"/>
              </w:rPr>
              <w:t xml:space="preserve">трудо- </w:t>
            </w:r>
            <w:r>
              <w:rPr>
                <w:color w:val="231F20"/>
                <w:sz w:val="20"/>
              </w:rPr>
              <w:t>вої діяльності особи. Види публічної служби. Поняття публічного службовця. Класифікація публічних службовців. Посади публічної</w:t>
            </w:r>
            <w:r>
              <w:rPr>
                <w:color w:val="231F20"/>
                <w:spacing w:val="-13"/>
                <w:sz w:val="20"/>
              </w:rPr>
              <w:t xml:space="preserve"> </w:t>
            </w:r>
            <w:r>
              <w:rPr>
                <w:color w:val="231F20"/>
                <w:sz w:val="20"/>
              </w:rPr>
              <w:t>служби та їх</w:t>
            </w:r>
            <w:r>
              <w:rPr>
                <w:color w:val="231F20"/>
                <w:spacing w:val="-2"/>
                <w:sz w:val="20"/>
              </w:rPr>
              <w:t xml:space="preserve"> </w:t>
            </w:r>
            <w:r>
              <w:rPr>
                <w:color w:val="231F20"/>
                <w:sz w:val="20"/>
              </w:rPr>
              <w:t>категорії.</w:t>
            </w:r>
          </w:p>
        </w:tc>
        <w:tc>
          <w:tcPr>
            <w:tcW w:w="732" w:type="dxa"/>
          </w:tcPr>
          <w:p w14:paraId="38A7773B" w14:textId="77777777" w:rsidR="00DE575E" w:rsidRDefault="00DE575E">
            <w:pPr>
              <w:pStyle w:val="TableParagraph"/>
              <w:ind w:left="0"/>
              <w:rPr>
                <w:rFonts w:ascii="Times New Roman"/>
                <w:sz w:val="18"/>
              </w:rPr>
            </w:pPr>
          </w:p>
        </w:tc>
        <w:tc>
          <w:tcPr>
            <w:tcW w:w="732" w:type="dxa"/>
          </w:tcPr>
          <w:p w14:paraId="0B95E47C" w14:textId="77777777" w:rsidR="00DE575E" w:rsidRDefault="00DE575E">
            <w:pPr>
              <w:pStyle w:val="TableParagraph"/>
              <w:ind w:left="0"/>
              <w:rPr>
                <w:rFonts w:ascii="Times New Roman"/>
                <w:sz w:val="18"/>
              </w:rPr>
            </w:pPr>
          </w:p>
        </w:tc>
      </w:tr>
      <w:tr w:rsidR="00DE575E" w14:paraId="4BD4E541" w14:textId="77777777">
        <w:trPr>
          <w:trHeight w:val="1578"/>
        </w:trPr>
        <w:tc>
          <w:tcPr>
            <w:tcW w:w="567" w:type="dxa"/>
          </w:tcPr>
          <w:p w14:paraId="7799B934" w14:textId="77777777" w:rsidR="00DE575E" w:rsidRDefault="002E7560">
            <w:pPr>
              <w:pStyle w:val="TableParagraph"/>
              <w:spacing w:before="17"/>
              <w:rPr>
                <w:sz w:val="20"/>
              </w:rPr>
            </w:pPr>
            <w:r>
              <w:rPr>
                <w:color w:val="231F20"/>
                <w:sz w:val="20"/>
              </w:rPr>
              <w:t>10.2.</w:t>
            </w:r>
          </w:p>
        </w:tc>
        <w:tc>
          <w:tcPr>
            <w:tcW w:w="4493" w:type="dxa"/>
          </w:tcPr>
          <w:p w14:paraId="5F62F3E1" w14:textId="77777777" w:rsidR="00DE575E" w:rsidRDefault="002E7560">
            <w:pPr>
              <w:pStyle w:val="TableParagraph"/>
              <w:spacing w:before="28" w:line="225" w:lineRule="auto"/>
              <w:ind w:right="45"/>
              <w:rPr>
                <w:sz w:val="20"/>
              </w:rPr>
            </w:pPr>
            <w:r>
              <w:rPr>
                <w:i/>
                <w:color w:val="231F20"/>
                <w:sz w:val="20"/>
              </w:rPr>
              <w:t xml:space="preserve">Юридичний статус публічного службовця </w:t>
            </w:r>
            <w:r>
              <w:rPr>
                <w:color w:val="231F20"/>
                <w:sz w:val="20"/>
              </w:rPr>
              <w:t>Основи юридичного статусу публічного служ- бовця.</w:t>
            </w:r>
          </w:p>
          <w:p w14:paraId="7232DF78" w14:textId="77777777" w:rsidR="00DE575E" w:rsidRDefault="002E7560">
            <w:pPr>
              <w:pStyle w:val="TableParagraph"/>
              <w:spacing w:line="225" w:lineRule="auto"/>
              <w:ind w:right="549"/>
              <w:rPr>
                <w:sz w:val="20"/>
              </w:rPr>
            </w:pPr>
            <w:r>
              <w:rPr>
                <w:color w:val="231F20"/>
                <w:sz w:val="20"/>
              </w:rPr>
              <w:t>Обов’язки та права публічного службовця. Етика публічної служби.</w:t>
            </w:r>
          </w:p>
          <w:p w14:paraId="24B3EB8B" w14:textId="77777777" w:rsidR="00DE575E" w:rsidRDefault="002E7560">
            <w:pPr>
              <w:pStyle w:val="TableParagraph"/>
              <w:spacing w:before="1" w:line="220" w:lineRule="exact"/>
              <w:ind w:right="45"/>
              <w:rPr>
                <w:sz w:val="20"/>
              </w:rPr>
            </w:pPr>
            <w:r>
              <w:rPr>
                <w:color w:val="231F20"/>
                <w:sz w:val="20"/>
              </w:rPr>
              <w:t>Матеріальне й соціальне забезпечення публіч- них службовців.</w:t>
            </w:r>
          </w:p>
        </w:tc>
        <w:tc>
          <w:tcPr>
            <w:tcW w:w="732" w:type="dxa"/>
          </w:tcPr>
          <w:p w14:paraId="255FEB2B" w14:textId="77777777" w:rsidR="00DE575E" w:rsidRDefault="00DE575E">
            <w:pPr>
              <w:pStyle w:val="TableParagraph"/>
              <w:ind w:left="0"/>
              <w:rPr>
                <w:rFonts w:ascii="Times New Roman"/>
                <w:sz w:val="18"/>
              </w:rPr>
            </w:pPr>
          </w:p>
        </w:tc>
        <w:tc>
          <w:tcPr>
            <w:tcW w:w="732" w:type="dxa"/>
          </w:tcPr>
          <w:p w14:paraId="6BCDA8E2" w14:textId="77777777" w:rsidR="00DE575E" w:rsidRDefault="00DE575E">
            <w:pPr>
              <w:pStyle w:val="TableParagraph"/>
              <w:ind w:left="0"/>
              <w:rPr>
                <w:rFonts w:ascii="Times New Roman"/>
                <w:sz w:val="18"/>
              </w:rPr>
            </w:pPr>
          </w:p>
        </w:tc>
      </w:tr>
      <w:tr w:rsidR="00DE575E" w14:paraId="0CEEB939" w14:textId="77777777">
        <w:trPr>
          <w:trHeight w:val="3558"/>
        </w:trPr>
        <w:tc>
          <w:tcPr>
            <w:tcW w:w="567" w:type="dxa"/>
          </w:tcPr>
          <w:p w14:paraId="416BD1E5" w14:textId="77777777" w:rsidR="00DE575E" w:rsidRDefault="002E7560">
            <w:pPr>
              <w:pStyle w:val="TableParagraph"/>
              <w:spacing w:before="17"/>
              <w:rPr>
                <w:sz w:val="20"/>
              </w:rPr>
            </w:pPr>
            <w:r>
              <w:rPr>
                <w:color w:val="231F20"/>
                <w:sz w:val="20"/>
              </w:rPr>
              <w:t>10.3.</w:t>
            </w:r>
          </w:p>
        </w:tc>
        <w:tc>
          <w:tcPr>
            <w:tcW w:w="4493" w:type="dxa"/>
          </w:tcPr>
          <w:p w14:paraId="60600B84" w14:textId="77777777" w:rsidR="00DE575E" w:rsidRDefault="002E7560">
            <w:pPr>
              <w:pStyle w:val="TableParagraph"/>
              <w:spacing w:before="28" w:line="225" w:lineRule="auto"/>
              <w:ind w:right="45"/>
              <w:rPr>
                <w:i/>
                <w:sz w:val="20"/>
              </w:rPr>
            </w:pPr>
            <w:r>
              <w:rPr>
                <w:i/>
                <w:color w:val="231F20"/>
                <w:sz w:val="20"/>
              </w:rPr>
              <w:t>Запобігання корупційним проявам у публічній службі</w:t>
            </w:r>
          </w:p>
          <w:p w14:paraId="5FA6B22D" w14:textId="77777777" w:rsidR="00DE575E" w:rsidRDefault="002E7560">
            <w:pPr>
              <w:pStyle w:val="TableParagraph"/>
              <w:spacing w:line="225" w:lineRule="auto"/>
              <w:ind w:right="45"/>
              <w:rPr>
                <w:sz w:val="20"/>
              </w:rPr>
            </w:pPr>
            <w:r>
              <w:rPr>
                <w:color w:val="231F20"/>
                <w:sz w:val="20"/>
              </w:rPr>
              <w:t>Обмеження щодо використання службових повноважень чи свого становища.</w:t>
            </w:r>
          </w:p>
          <w:p w14:paraId="190E3F6B" w14:textId="77777777" w:rsidR="00DE575E" w:rsidRDefault="002E7560">
            <w:pPr>
              <w:pStyle w:val="TableParagraph"/>
              <w:spacing w:line="225" w:lineRule="auto"/>
              <w:ind w:right="45"/>
              <w:rPr>
                <w:sz w:val="20"/>
              </w:rPr>
            </w:pPr>
            <w:r>
              <w:rPr>
                <w:color w:val="231F20"/>
                <w:sz w:val="20"/>
              </w:rPr>
              <w:t>Обмеження щодо одержання подарунків. Запобігання одержанню неправомірної вигоди або подарунка та поводження з ними.</w:t>
            </w:r>
          </w:p>
          <w:p w14:paraId="52A3A1E5" w14:textId="77777777" w:rsidR="00DE575E" w:rsidRDefault="002E7560">
            <w:pPr>
              <w:pStyle w:val="TableParagraph"/>
              <w:spacing w:line="225" w:lineRule="auto"/>
              <w:ind w:right="45"/>
              <w:rPr>
                <w:sz w:val="20"/>
              </w:rPr>
            </w:pPr>
            <w:r>
              <w:rPr>
                <w:color w:val="231F20"/>
                <w:sz w:val="20"/>
              </w:rPr>
              <w:t>Обмеження щодо сумісництва та суміщення з іншими видами діяльності.</w:t>
            </w:r>
          </w:p>
          <w:p w14:paraId="6A86A69B" w14:textId="77777777" w:rsidR="00DE575E" w:rsidRDefault="002E7560">
            <w:pPr>
              <w:pStyle w:val="TableParagraph"/>
              <w:spacing w:line="225" w:lineRule="auto"/>
              <w:ind w:right="26"/>
              <w:rPr>
                <w:sz w:val="20"/>
              </w:rPr>
            </w:pPr>
            <w:r>
              <w:rPr>
                <w:color w:val="231F20"/>
                <w:sz w:val="20"/>
              </w:rPr>
              <w:t>Обмеження спільної роботи близьких осіб. Обмеження після припинення діял</w:t>
            </w:r>
            <w:r>
              <w:rPr>
                <w:color w:val="231F20"/>
                <w:sz w:val="20"/>
              </w:rPr>
              <w:t>ьності, пов’я- заної з виконанням функцій держави, місцевого самоврядування.</w:t>
            </w:r>
          </w:p>
          <w:p w14:paraId="4AB26F09" w14:textId="77777777" w:rsidR="00DE575E" w:rsidRDefault="002E7560">
            <w:pPr>
              <w:pStyle w:val="TableParagraph"/>
              <w:spacing w:line="220" w:lineRule="exact"/>
              <w:ind w:right="45"/>
              <w:rPr>
                <w:sz w:val="20"/>
              </w:rPr>
            </w:pPr>
            <w:r>
              <w:rPr>
                <w:color w:val="231F20"/>
                <w:spacing w:val="-6"/>
                <w:sz w:val="20"/>
              </w:rPr>
              <w:t xml:space="preserve">Запобігання </w:t>
            </w:r>
            <w:r>
              <w:rPr>
                <w:color w:val="231F20"/>
                <w:spacing w:val="-4"/>
                <w:sz w:val="20"/>
              </w:rPr>
              <w:t xml:space="preserve">та </w:t>
            </w:r>
            <w:r>
              <w:rPr>
                <w:color w:val="231F20"/>
                <w:spacing w:val="-7"/>
                <w:sz w:val="20"/>
              </w:rPr>
              <w:t xml:space="preserve">врегулювання </w:t>
            </w:r>
            <w:r>
              <w:rPr>
                <w:color w:val="231F20"/>
                <w:spacing w:val="-6"/>
                <w:sz w:val="20"/>
              </w:rPr>
              <w:t>конфлікту інтересів. Правила етичної поведінки публічних службовців. Фінансовий контроль щодо публічних службовців.</w:t>
            </w:r>
          </w:p>
        </w:tc>
        <w:tc>
          <w:tcPr>
            <w:tcW w:w="732" w:type="dxa"/>
          </w:tcPr>
          <w:p w14:paraId="3A5A873C" w14:textId="77777777" w:rsidR="00DE575E" w:rsidRDefault="00DE575E">
            <w:pPr>
              <w:pStyle w:val="TableParagraph"/>
              <w:ind w:left="0"/>
              <w:rPr>
                <w:rFonts w:ascii="Times New Roman"/>
                <w:sz w:val="18"/>
              </w:rPr>
            </w:pPr>
          </w:p>
        </w:tc>
        <w:tc>
          <w:tcPr>
            <w:tcW w:w="732" w:type="dxa"/>
          </w:tcPr>
          <w:p w14:paraId="3E02CFE7" w14:textId="77777777" w:rsidR="00DE575E" w:rsidRDefault="00DE575E">
            <w:pPr>
              <w:pStyle w:val="TableParagraph"/>
              <w:ind w:left="0"/>
              <w:rPr>
                <w:rFonts w:ascii="Times New Roman"/>
                <w:sz w:val="18"/>
              </w:rPr>
            </w:pPr>
          </w:p>
        </w:tc>
      </w:tr>
      <w:tr w:rsidR="00DE575E" w14:paraId="1A076B7C" w14:textId="77777777">
        <w:trPr>
          <w:trHeight w:val="1358"/>
        </w:trPr>
        <w:tc>
          <w:tcPr>
            <w:tcW w:w="567" w:type="dxa"/>
          </w:tcPr>
          <w:p w14:paraId="3D446D30" w14:textId="77777777" w:rsidR="00DE575E" w:rsidRDefault="002E7560">
            <w:pPr>
              <w:pStyle w:val="TableParagraph"/>
              <w:spacing w:before="17"/>
              <w:rPr>
                <w:sz w:val="20"/>
              </w:rPr>
            </w:pPr>
            <w:r>
              <w:rPr>
                <w:color w:val="231F20"/>
                <w:sz w:val="20"/>
              </w:rPr>
              <w:t>10.4.</w:t>
            </w:r>
          </w:p>
        </w:tc>
        <w:tc>
          <w:tcPr>
            <w:tcW w:w="4493" w:type="dxa"/>
          </w:tcPr>
          <w:p w14:paraId="051DAE19" w14:textId="77777777" w:rsidR="00DE575E" w:rsidRDefault="002E7560">
            <w:pPr>
              <w:pStyle w:val="TableParagraph"/>
              <w:spacing w:before="17" w:line="227" w:lineRule="exact"/>
              <w:rPr>
                <w:i/>
                <w:sz w:val="20"/>
              </w:rPr>
            </w:pPr>
            <w:r>
              <w:rPr>
                <w:i/>
                <w:color w:val="231F20"/>
                <w:sz w:val="20"/>
              </w:rPr>
              <w:t>Проходження публічної служби</w:t>
            </w:r>
          </w:p>
          <w:p w14:paraId="5EAC9886" w14:textId="77777777" w:rsidR="00DE575E" w:rsidRDefault="002E7560">
            <w:pPr>
              <w:pStyle w:val="TableParagraph"/>
              <w:spacing w:before="4" w:line="225" w:lineRule="auto"/>
              <w:ind w:right="43"/>
              <w:jc w:val="both"/>
              <w:rPr>
                <w:sz w:val="20"/>
              </w:rPr>
            </w:pPr>
            <w:r>
              <w:rPr>
                <w:color w:val="231F20"/>
                <w:sz w:val="20"/>
              </w:rPr>
              <w:t>Вступ на публічну службу. Службова кар’єра. Припинення публічної служби.</w:t>
            </w:r>
          </w:p>
          <w:p w14:paraId="1E64234D" w14:textId="77777777" w:rsidR="00DE575E" w:rsidRDefault="002E7560">
            <w:pPr>
              <w:pStyle w:val="TableParagraph"/>
              <w:spacing w:before="2" w:line="220" w:lineRule="exact"/>
              <w:ind w:right="45"/>
              <w:jc w:val="both"/>
              <w:rPr>
                <w:sz w:val="20"/>
              </w:rPr>
            </w:pPr>
            <w:r>
              <w:rPr>
                <w:color w:val="231F20"/>
                <w:sz w:val="20"/>
              </w:rPr>
              <w:t>Особливості проходження державної служби. Особливості проходження служби в органах місцевого самоврядування.</w:t>
            </w:r>
          </w:p>
        </w:tc>
        <w:tc>
          <w:tcPr>
            <w:tcW w:w="732" w:type="dxa"/>
          </w:tcPr>
          <w:p w14:paraId="02AAF38E" w14:textId="77777777" w:rsidR="00DE575E" w:rsidRDefault="00DE575E">
            <w:pPr>
              <w:pStyle w:val="TableParagraph"/>
              <w:ind w:left="0"/>
              <w:rPr>
                <w:rFonts w:ascii="Times New Roman"/>
                <w:sz w:val="18"/>
              </w:rPr>
            </w:pPr>
          </w:p>
        </w:tc>
        <w:tc>
          <w:tcPr>
            <w:tcW w:w="732" w:type="dxa"/>
          </w:tcPr>
          <w:p w14:paraId="734E3300" w14:textId="77777777" w:rsidR="00DE575E" w:rsidRDefault="00DE575E">
            <w:pPr>
              <w:pStyle w:val="TableParagraph"/>
              <w:ind w:left="0"/>
              <w:rPr>
                <w:rFonts w:ascii="Times New Roman"/>
                <w:sz w:val="18"/>
              </w:rPr>
            </w:pPr>
          </w:p>
        </w:tc>
      </w:tr>
      <w:tr w:rsidR="00DE575E" w14:paraId="7111FF73" w14:textId="77777777">
        <w:trPr>
          <w:trHeight w:val="1578"/>
        </w:trPr>
        <w:tc>
          <w:tcPr>
            <w:tcW w:w="567" w:type="dxa"/>
          </w:tcPr>
          <w:p w14:paraId="29B32E6B" w14:textId="77777777" w:rsidR="00DE575E" w:rsidRDefault="002E7560">
            <w:pPr>
              <w:pStyle w:val="TableParagraph"/>
              <w:spacing w:before="17"/>
              <w:rPr>
                <w:sz w:val="20"/>
              </w:rPr>
            </w:pPr>
            <w:r>
              <w:rPr>
                <w:color w:val="231F20"/>
                <w:sz w:val="20"/>
              </w:rPr>
              <w:t>10.5.</w:t>
            </w:r>
          </w:p>
        </w:tc>
        <w:tc>
          <w:tcPr>
            <w:tcW w:w="4493" w:type="dxa"/>
          </w:tcPr>
          <w:p w14:paraId="5A088574" w14:textId="77777777" w:rsidR="00DE575E" w:rsidRDefault="002E7560">
            <w:pPr>
              <w:pStyle w:val="TableParagraph"/>
              <w:spacing w:before="28" w:line="225" w:lineRule="auto"/>
              <w:ind w:right="45"/>
              <w:jc w:val="both"/>
              <w:rPr>
                <w:i/>
                <w:sz w:val="20"/>
              </w:rPr>
            </w:pPr>
            <w:r>
              <w:rPr>
                <w:i/>
                <w:color w:val="231F20"/>
                <w:sz w:val="20"/>
              </w:rPr>
              <w:t>Дисциплінарна та матеріальна відповідаль- ність публічних службовців</w:t>
            </w:r>
          </w:p>
          <w:p w14:paraId="13F49107" w14:textId="77777777" w:rsidR="00DE575E" w:rsidRDefault="002E7560">
            <w:pPr>
              <w:pStyle w:val="TableParagraph"/>
              <w:spacing w:before="2" w:line="220" w:lineRule="exact"/>
              <w:ind w:right="44"/>
              <w:jc w:val="both"/>
              <w:rPr>
                <w:sz w:val="20"/>
              </w:rPr>
            </w:pPr>
            <w:r>
              <w:rPr>
                <w:color w:val="231F20"/>
                <w:sz w:val="20"/>
              </w:rPr>
              <w:t>Підстави для притягнення до відповідальності. Порядок притягнення до відповідальності. Система дисциплінарних стягнень і принципи їх застосування. Засоби юридичного захисту публічних служ</w:t>
            </w:r>
            <w:r>
              <w:rPr>
                <w:color w:val="231F20"/>
                <w:sz w:val="20"/>
              </w:rPr>
              <w:t>бовців.</w:t>
            </w:r>
          </w:p>
        </w:tc>
        <w:tc>
          <w:tcPr>
            <w:tcW w:w="732" w:type="dxa"/>
          </w:tcPr>
          <w:p w14:paraId="286C83E0" w14:textId="77777777" w:rsidR="00DE575E" w:rsidRDefault="00DE575E">
            <w:pPr>
              <w:pStyle w:val="TableParagraph"/>
              <w:ind w:left="0"/>
              <w:rPr>
                <w:rFonts w:ascii="Times New Roman"/>
                <w:sz w:val="18"/>
              </w:rPr>
            </w:pPr>
          </w:p>
        </w:tc>
        <w:tc>
          <w:tcPr>
            <w:tcW w:w="732" w:type="dxa"/>
          </w:tcPr>
          <w:p w14:paraId="660BE30B" w14:textId="77777777" w:rsidR="00DE575E" w:rsidRDefault="00DE575E">
            <w:pPr>
              <w:pStyle w:val="TableParagraph"/>
              <w:ind w:left="0"/>
              <w:rPr>
                <w:rFonts w:ascii="Times New Roman"/>
                <w:sz w:val="18"/>
              </w:rPr>
            </w:pPr>
          </w:p>
        </w:tc>
      </w:tr>
    </w:tbl>
    <w:p w14:paraId="5A81D28A" w14:textId="77777777" w:rsidR="00DE575E" w:rsidRDefault="00DE575E">
      <w:pPr>
        <w:pStyle w:val="BodyText"/>
        <w:rPr>
          <w:rFonts w:ascii="AdonisC"/>
          <w:i/>
          <w:sz w:val="18"/>
        </w:rPr>
      </w:pPr>
    </w:p>
    <w:p w14:paraId="4176EA66" w14:textId="77777777" w:rsidR="00DE575E" w:rsidRDefault="002E7560">
      <w:pPr>
        <w:spacing w:before="124"/>
        <w:ind w:left="533"/>
        <w:rPr>
          <w:rFonts w:ascii="Times New Roman"/>
          <w:sz w:val="20"/>
        </w:rPr>
      </w:pPr>
      <w:r>
        <w:rPr>
          <w:rFonts w:ascii="Times New Roman"/>
          <w:color w:val="231F20"/>
          <w:sz w:val="20"/>
        </w:rPr>
        <w:t>580</w:t>
      </w:r>
    </w:p>
    <w:p w14:paraId="0A0B24F9" w14:textId="77777777" w:rsidR="00DE575E" w:rsidRDefault="00DE575E">
      <w:pPr>
        <w:rPr>
          <w:rFonts w:ascii="Times New Roman"/>
          <w:sz w:val="20"/>
        </w:rPr>
        <w:sectPr w:rsidR="00DE575E">
          <w:pgSz w:w="8510" w:h="12760"/>
          <w:pgMar w:top="660" w:right="720" w:bottom="280" w:left="600" w:header="720" w:footer="720" w:gutter="0"/>
          <w:cols w:space="720"/>
        </w:sectPr>
      </w:pPr>
    </w:p>
    <w:p w14:paraId="689616BB" w14:textId="77777777" w:rsidR="00DE575E" w:rsidRDefault="002E7560">
      <w:pPr>
        <w:spacing w:before="72" w:after="9"/>
        <w:ind w:right="411"/>
        <w:jc w:val="right"/>
        <w:rPr>
          <w:rFonts w:ascii="AdonisC" w:hAnsi="AdonisC"/>
          <w:i/>
          <w:sz w:val="18"/>
        </w:rPr>
      </w:pPr>
      <w:r>
        <w:rPr>
          <w:rFonts w:ascii="AdonisC" w:hAnsi="AdonisC"/>
          <w:i/>
          <w:color w:val="231F20"/>
          <w:sz w:val="18"/>
        </w:rPr>
        <w:t>Додаток</w:t>
      </w:r>
    </w:p>
    <w:p w14:paraId="60F2FF90" w14:textId="652476C7" w:rsidR="00DE575E" w:rsidRDefault="002E7560">
      <w:pPr>
        <w:pStyle w:val="BodyText"/>
        <w:spacing w:line="20" w:lineRule="exact"/>
        <w:ind w:left="245"/>
        <w:rPr>
          <w:rFonts w:ascii="AdonisC"/>
          <w:sz w:val="2"/>
        </w:rPr>
      </w:pPr>
      <w:r>
        <w:rPr>
          <w:rFonts w:ascii="AdonisC"/>
          <w:noProof/>
          <w:sz w:val="2"/>
        </w:rPr>
        <mc:AlternateContent>
          <mc:Choice Requires="wpg">
            <w:drawing>
              <wp:inline distT="0" distB="0" distL="0" distR="0" wp14:anchorId="68ED18FC" wp14:editId="1A485D00">
                <wp:extent cx="4140200" cy="6350"/>
                <wp:effectExtent l="0" t="0" r="12700" b="6350"/>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8" name="Line 7"/>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D6D0E3" id="Group_x0020_6"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">
                <v:line id="Line_x0020_7"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aWP8AAAADaAAAADwAAAGRycy9kb3ducmV2LnhtbERPy4rCMBTdC/MP4Q64kTFVQaRjlGFA&#10;GGbhq37Atbm2xeSmNtFWv94sBJeH854vO2vEjRpfOVYwGiYgiHOnKy4UHLLV1wyED8gajWNScCcP&#10;y8VHb46pdi3v6LYPhYgh7FNUUIZQp1L6vCSLfuhq4sidXGMxRNgUUjfYxnBr5DhJptJixbGhxJp+&#10;S8rP+6tVkF0GwWw3/6bNNseJPF7Wk8d1rVT/s/v5BhGoC2/xy/2nFcSt8Uq8AXLx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2Glj/AAAAA2gAAAA8AAAAAAAAAAAAAAAAA&#10;oQIAAGRycy9kb3ducmV2LnhtbFBLBQYAAAAABAAEAPkAAACOAwAAAAA=&#10;" strokecolor="#231f20" strokeweight=".5pt"/>
                <w10:anchorlock/>
              </v:group>
            </w:pict>
          </mc:Fallback>
        </mc:AlternateContent>
      </w:r>
    </w:p>
    <w:p w14:paraId="65432C46" w14:textId="77777777" w:rsidR="00DE575E" w:rsidRDefault="00DE575E">
      <w:pPr>
        <w:pStyle w:val="BodyText"/>
        <w:spacing w:before="1"/>
        <w:rPr>
          <w:rFonts w:ascii="AdonisC"/>
          <w:i/>
          <w:sz w:val="23"/>
        </w:rPr>
      </w:pPr>
    </w:p>
    <w:tbl>
      <w:tblPr>
        <w:tblW w:w="0" w:type="auto"/>
        <w:tblInd w:w="2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4D28163E" w14:textId="77777777">
        <w:trPr>
          <w:trHeight w:val="258"/>
        </w:trPr>
        <w:tc>
          <w:tcPr>
            <w:tcW w:w="567" w:type="dxa"/>
          </w:tcPr>
          <w:p w14:paraId="5D066806" w14:textId="77777777" w:rsidR="00DE575E" w:rsidRDefault="002E7560">
            <w:pPr>
              <w:pStyle w:val="TableParagraph"/>
              <w:spacing w:before="17" w:line="222" w:lineRule="exact"/>
              <w:rPr>
                <w:sz w:val="20"/>
              </w:rPr>
            </w:pPr>
            <w:r>
              <w:rPr>
                <w:color w:val="231F20"/>
                <w:sz w:val="20"/>
              </w:rPr>
              <w:t>11.</w:t>
            </w:r>
          </w:p>
        </w:tc>
        <w:tc>
          <w:tcPr>
            <w:tcW w:w="4493" w:type="dxa"/>
          </w:tcPr>
          <w:p w14:paraId="59D18BEA" w14:textId="77777777" w:rsidR="00DE575E" w:rsidRDefault="002E7560">
            <w:pPr>
              <w:pStyle w:val="TableParagraph"/>
              <w:spacing w:before="17" w:line="222" w:lineRule="exact"/>
              <w:rPr>
                <w:sz w:val="20"/>
              </w:rPr>
            </w:pPr>
            <w:r>
              <w:rPr>
                <w:color w:val="231F20"/>
                <w:sz w:val="20"/>
              </w:rPr>
              <w:t>Адміністративне деліктне право</w:t>
            </w:r>
          </w:p>
        </w:tc>
        <w:tc>
          <w:tcPr>
            <w:tcW w:w="732" w:type="dxa"/>
          </w:tcPr>
          <w:p w14:paraId="56F172C3" w14:textId="77777777" w:rsidR="00DE575E" w:rsidRDefault="002E7560">
            <w:pPr>
              <w:pStyle w:val="TableParagraph"/>
              <w:spacing w:before="17" w:line="222" w:lineRule="exact"/>
              <w:ind w:left="234" w:right="226"/>
              <w:jc w:val="center"/>
              <w:rPr>
                <w:sz w:val="20"/>
              </w:rPr>
            </w:pPr>
            <w:r>
              <w:rPr>
                <w:color w:val="231F20"/>
                <w:sz w:val="20"/>
              </w:rPr>
              <w:t>10</w:t>
            </w:r>
          </w:p>
        </w:tc>
        <w:tc>
          <w:tcPr>
            <w:tcW w:w="732" w:type="dxa"/>
          </w:tcPr>
          <w:p w14:paraId="07CC8C1E" w14:textId="77777777" w:rsidR="00DE575E" w:rsidRDefault="002E7560">
            <w:pPr>
              <w:pStyle w:val="TableParagraph"/>
              <w:spacing w:before="17" w:line="222" w:lineRule="exact"/>
              <w:ind w:left="7"/>
              <w:jc w:val="center"/>
              <w:rPr>
                <w:sz w:val="20"/>
              </w:rPr>
            </w:pPr>
            <w:r>
              <w:rPr>
                <w:color w:val="231F20"/>
                <w:sz w:val="20"/>
              </w:rPr>
              <w:t>С</w:t>
            </w:r>
          </w:p>
        </w:tc>
      </w:tr>
      <w:tr w:rsidR="00DE575E" w14:paraId="4C1D7976" w14:textId="77777777">
        <w:trPr>
          <w:trHeight w:val="3498"/>
        </w:trPr>
        <w:tc>
          <w:tcPr>
            <w:tcW w:w="567" w:type="dxa"/>
          </w:tcPr>
          <w:p w14:paraId="15EA1CF8" w14:textId="77777777" w:rsidR="00DE575E" w:rsidRDefault="002E7560">
            <w:pPr>
              <w:pStyle w:val="TableParagraph"/>
              <w:spacing w:before="17"/>
              <w:rPr>
                <w:sz w:val="20"/>
              </w:rPr>
            </w:pPr>
            <w:r>
              <w:rPr>
                <w:color w:val="231F20"/>
                <w:sz w:val="20"/>
              </w:rPr>
              <w:t>11.1.</w:t>
            </w:r>
          </w:p>
        </w:tc>
        <w:tc>
          <w:tcPr>
            <w:tcW w:w="4493" w:type="dxa"/>
          </w:tcPr>
          <w:p w14:paraId="516624C5" w14:textId="77777777" w:rsidR="00DE575E" w:rsidRDefault="002E7560">
            <w:pPr>
              <w:pStyle w:val="TableParagraph"/>
              <w:spacing w:before="32" w:line="220" w:lineRule="auto"/>
              <w:ind w:right="45"/>
              <w:jc w:val="both"/>
              <w:rPr>
                <w:i/>
                <w:sz w:val="20"/>
              </w:rPr>
            </w:pPr>
            <w:r>
              <w:rPr>
                <w:i/>
                <w:color w:val="231F20"/>
                <w:sz w:val="20"/>
              </w:rPr>
              <w:t>Адміністративний проступок і адміністра- тивна відповідальність</w:t>
            </w:r>
          </w:p>
          <w:p w14:paraId="569D68C4" w14:textId="77777777" w:rsidR="00DE575E" w:rsidRDefault="002E7560">
            <w:pPr>
              <w:pStyle w:val="TableParagraph"/>
              <w:spacing w:before="1" w:line="220" w:lineRule="auto"/>
              <w:ind w:right="45"/>
              <w:jc w:val="both"/>
              <w:rPr>
                <w:sz w:val="20"/>
              </w:rPr>
            </w:pPr>
            <w:r>
              <w:rPr>
                <w:color w:val="231F20"/>
                <w:sz w:val="20"/>
              </w:rPr>
              <w:t>Поняття адміністративного проступку. Ознаки адміністративного</w:t>
            </w:r>
            <w:r>
              <w:rPr>
                <w:color w:val="231F20"/>
                <w:spacing w:val="-12"/>
                <w:sz w:val="20"/>
              </w:rPr>
              <w:t xml:space="preserve"> </w:t>
            </w:r>
            <w:r>
              <w:rPr>
                <w:color w:val="231F20"/>
                <w:sz w:val="20"/>
              </w:rPr>
              <w:t>проступку</w:t>
            </w:r>
            <w:r>
              <w:rPr>
                <w:color w:val="231F20"/>
                <w:spacing w:val="-12"/>
                <w:sz w:val="20"/>
              </w:rPr>
              <w:t xml:space="preserve"> </w:t>
            </w:r>
            <w:r>
              <w:rPr>
                <w:color w:val="231F20"/>
                <w:sz w:val="20"/>
              </w:rPr>
              <w:t>(діяння,</w:t>
            </w:r>
            <w:r>
              <w:rPr>
                <w:color w:val="231F20"/>
                <w:spacing w:val="-12"/>
                <w:sz w:val="20"/>
              </w:rPr>
              <w:t xml:space="preserve"> </w:t>
            </w:r>
            <w:r>
              <w:rPr>
                <w:color w:val="231F20"/>
                <w:sz w:val="20"/>
              </w:rPr>
              <w:t>суспільна шкідливість, протиправність, винність, кара- ність). Відмежування адміністративного проступку від кримінального правопорушення. Адміністративна відповідальність як вид юридичної відповідальності. Ознаки адмініст- ративної відповідальності. Відмеж</w:t>
            </w:r>
            <w:r>
              <w:rPr>
                <w:color w:val="231F20"/>
                <w:sz w:val="20"/>
              </w:rPr>
              <w:t>ування адмі- ністративної відповідальності від інших видів відповідальності.</w:t>
            </w:r>
          </w:p>
          <w:p w14:paraId="6FC900D1" w14:textId="77777777" w:rsidR="00DE575E" w:rsidRDefault="002E7560">
            <w:pPr>
              <w:pStyle w:val="TableParagraph"/>
              <w:spacing w:before="3" w:line="220" w:lineRule="auto"/>
              <w:ind w:right="47"/>
              <w:jc w:val="both"/>
              <w:rPr>
                <w:sz w:val="20"/>
              </w:rPr>
            </w:pPr>
            <w:r>
              <w:rPr>
                <w:color w:val="231F20"/>
                <w:sz w:val="20"/>
              </w:rPr>
              <w:t>Особливості адміністративної відповідальності юридичних осіб.</w:t>
            </w:r>
          </w:p>
          <w:p w14:paraId="0D31350F" w14:textId="77777777" w:rsidR="00DE575E" w:rsidRDefault="002E7560">
            <w:pPr>
              <w:pStyle w:val="TableParagraph"/>
              <w:spacing w:before="2" w:line="216" w:lineRule="exact"/>
              <w:ind w:right="45"/>
              <w:jc w:val="both"/>
              <w:rPr>
                <w:sz w:val="20"/>
              </w:rPr>
            </w:pPr>
            <w:r>
              <w:rPr>
                <w:color w:val="231F20"/>
                <w:sz w:val="20"/>
              </w:rPr>
              <w:t>Законодавчі акти, що регулюють відносини адміністративної відповідальності.</w:t>
            </w:r>
          </w:p>
        </w:tc>
        <w:tc>
          <w:tcPr>
            <w:tcW w:w="732" w:type="dxa"/>
          </w:tcPr>
          <w:p w14:paraId="33CD3FEA" w14:textId="77777777" w:rsidR="00DE575E" w:rsidRDefault="00DE575E">
            <w:pPr>
              <w:pStyle w:val="TableParagraph"/>
              <w:ind w:left="0"/>
              <w:rPr>
                <w:rFonts w:ascii="Times New Roman"/>
                <w:sz w:val="18"/>
              </w:rPr>
            </w:pPr>
          </w:p>
        </w:tc>
        <w:tc>
          <w:tcPr>
            <w:tcW w:w="732" w:type="dxa"/>
          </w:tcPr>
          <w:p w14:paraId="6419C813" w14:textId="77777777" w:rsidR="00DE575E" w:rsidRDefault="00DE575E">
            <w:pPr>
              <w:pStyle w:val="TableParagraph"/>
              <w:ind w:left="0"/>
              <w:rPr>
                <w:rFonts w:ascii="Times New Roman"/>
                <w:sz w:val="18"/>
              </w:rPr>
            </w:pPr>
          </w:p>
        </w:tc>
      </w:tr>
      <w:tr w:rsidR="00DE575E" w14:paraId="205D0421" w14:textId="77777777">
        <w:trPr>
          <w:trHeight w:val="1770"/>
        </w:trPr>
        <w:tc>
          <w:tcPr>
            <w:tcW w:w="567" w:type="dxa"/>
          </w:tcPr>
          <w:p w14:paraId="21C987AD" w14:textId="77777777" w:rsidR="00DE575E" w:rsidRDefault="002E7560">
            <w:pPr>
              <w:pStyle w:val="TableParagraph"/>
              <w:spacing w:before="17"/>
              <w:rPr>
                <w:sz w:val="20"/>
              </w:rPr>
            </w:pPr>
            <w:r>
              <w:rPr>
                <w:color w:val="231F20"/>
                <w:sz w:val="20"/>
              </w:rPr>
              <w:t>11.2.</w:t>
            </w:r>
          </w:p>
        </w:tc>
        <w:tc>
          <w:tcPr>
            <w:tcW w:w="4493" w:type="dxa"/>
          </w:tcPr>
          <w:p w14:paraId="4B66A93A" w14:textId="77777777" w:rsidR="00DE575E" w:rsidRDefault="002E7560">
            <w:pPr>
              <w:pStyle w:val="TableParagraph"/>
              <w:spacing w:before="32" w:line="220" w:lineRule="auto"/>
              <w:ind w:right="-6"/>
              <w:rPr>
                <w:sz w:val="20"/>
              </w:rPr>
            </w:pPr>
            <w:r>
              <w:rPr>
                <w:i/>
                <w:color w:val="231F20"/>
                <w:sz w:val="20"/>
              </w:rPr>
              <w:t xml:space="preserve">Юридичний склад адміністративного проступку </w:t>
            </w:r>
            <w:r>
              <w:rPr>
                <w:color w:val="231F20"/>
                <w:sz w:val="20"/>
              </w:rPr>
              <w:t>Поняття юридичного складу правопорушення. Юридичний склад адміністративного проступку (об’єкт, суб’єкт, об’єктивна сторона, суб’єктивна сторона).</w:t>
            </w:r>
          </w:p>
          <w:p w14:paraId="3C76E472" w14:textId="77777777" w:rsidR="00DE575E" w:rsidRDefault="002E7560">
            <w:pPr>
              <w:pStyle w:val="TableParagraph"/>
              <w:spacing w:before="4" w:line="216" w:lineRule="exact"/>
              <w:ind w:right="45"/>
              <w:jc w:val="both"/>
              <w:rPr>
                <w:sz w:val="20"/>
              </w:rPr>
            </w:pPr>
            <w:r>
              <w:rPr>
                <w:color w:val="231F20"/>
                <w:sz w:val="20"/>
              </w:rPr>
              <w:t xml:space="preserve">Особливості юридичного складу адміністратив- ного правопорушення, </w:t>
            </w:r>
            <w:r>
              <w:rPr>
                <w:color w:val="231F20"/>
                <w:sz w:val="20"/>
              </w:rPr>
              <w:t>зафіксованого в автома- тичному режимі.</w:t>
            </w:r>
          </w:p>
        </w:tc>
        <w:tc>
          <w:tcPr>
            <w:tcW w:w="732" w:type="dxa"/>
          </w:tcPr>
          <w:p w14:paraId="3826C31B" w14:textId="77777777" w:rsidR="00DE575E" w:rsidRDefault="00DE575E">
            <w:pPr>
              <w:pStyle w:val="TableParagraph"/>
              <w:ind w:left="0"/>
              <w:rPr>
                <w:rFonts w:ascii="Times New Roman"/>
                <w:sz w:val="18"/>
              </w:rPr>
            </w:pPr>
          </w:p>
        </w:tc>
        <w:tc>
          <w:tcPr>
            <w:tcW w:w="732" w:type="dxa"/>
          </w:tcPr>
          <w:p w14:paraId="4217A68B" w14:textId="77777777" w:rsidR="00DE575E" w:rsidRDefault="00DE575E">
            <w:pPr>
              <w:pStyle w:val="TableParagraph"/>
              <w:ind w:left="0"/>
              <w:rPr>
                <w:rFonts w:ascii="Times New Roman"/>
                <w:sz w:val="18"/>
              </w:rPr>
            </w:pPr>
          </w:p>
        </w:tc>
      </w:tr>
      <w:tr w:rsidR="00DE575E" w14:paraId="030C7CA8" w14:textId="77777777">
        <w:trPr>
          <w:trHeight w:val="1554"/>
        </w:trPr>
        <w:tc>
          <w:tcPr>
            <w:tcW w:w="567" w:type="dxa"/>
          </w:tcPr>
          <w:p w14:paraId="2B743377" w14:textId="77777777" w:rsidR="00DE575E" w:rsidRDefault="002E7560">
            <w:pPr>
              <w:pStyle w:val="TableParagraph"/>
              <w:spacing w:before="17"/>
              <w:rPr>
                <w:sz w:val="20"/>
              </w:rPr>
            </w:pPr>
            <w:r>
              <w:rPr>
                <w:color w:val="231F20"/>
                <w:sz w:val="20"/>
              </w:rPr>
              <w:t>11.3.</w:t>
            </w:r>
          </w:p>
        </w:tc>
        <w:tc>
          <w:tcPr>
            <w:tcW w:w="4493" w:type="dxa"/>
          </w:tcPr>
          <w:p w14:paraId="23E72F07" w14:textId="77777777" w:rsidR="00DE575E" w:rsidRDefault="002E7560">
            <w:pPr>
              <w:pStyle w:val="TableParagraph"/>
              <w:spacing w:before="32" w:line="220" w:lineRule="auto"/>
              <w:rPr>
                <w:sz w:val="20"/>
              </w:rPr>
            </w:pPr>
            <w:r>
              <w:rPr>
                <w:i/>
                <w:color w:val="231F20"/>
                <w:sz w:val="20"/>
              </w:rPr>
              <w:t xml:space="preserve">Заходи адміністративної відповідальності </w:t>
            </w:r>
            <w:r>
              <w:rPr>
                <w:color w:val="231F20"/>
                <w:sz w:val="20"/>
              </w:rPr>
              <w:t>Поняття адміністративного стягнення. Система й види адміністративних стягнень.</w:t>
            </w:r>
          </w:p>
          <w:p w14:paraId="7703EE5D" w14:textId="77777777" w:rsidR="00DE575E" w:rsidRDefault="002E7560">
            <w:pPr>
              <w:pStyle w:val="TableParagraph"/>
              <w:spacing w:before="3" w:line="216" w:lineRule="exact"/>
              <w:ind w:right="45"/>
              <w:jc w:val="both"/>
              <w:rPr>
                <w:sz w:val="20"/>
              </w:rPr>
            </w:pPr>
            <w:r>
              <w:rPr>
                <w:color w:val="231F20"/>
                <w:sz w:val="20"/>
              </w:rPr>
              <w:t>Заходи впливу, що застосовуються до непо- внолітніх осіб за вчинення адміністративних проступків. Загальні правила накладення адмі- ністративних стягнень.</w:t>
            </w:r>
          </w:p>
        </w:tc>
        <w:tc>
          <w:tcPr>
            <w:tcW w:w="732" w:type="dxa"/>
          </w:tcPr>
          <w:p w14:paraId="6CDC6948" w14:textId="77777777" w:rsidR="00DE575E" w:rsidRDefault="00DE575E">
            <w:pPr>
              <w:pStyle w:val="TableParagraph"/>
              <w:ind w:left="0"/>
              <w:rPr>
                <w:rFonts w:ascii="Times New Roman"/>
                <w:sz w:val="18"/>
              </w:rPr>
            </w:pPr>
          </w:p>
        </w:tc>
        <w:tc>
          <w:tcPr>
            <w:tcW w:w="732" w:type="dxa"/>
          </w:tcPr>
          <w:p w14:paraId="5EBFE6F7" w14:textId="77777777" w:rsidR="00DE575E" w:rsidRDefault="00DE575E">
            <w:pPr>
              <w:pStyle w:val="TableParagraph"/>
              <w:ind w:left="0"/>
              <w:rPr>
                <w:rFonts w:ascii="Times New Roman"/>
                <w:sz w:val="18"/>
              </w:rPr>
            </w:pPr>
          </w:p>
        </w:tc>
      </w:tr>
      <w:tr w:rsidR="00DE575E" w14:paraId="5B04EB51" w14:textId="77777777">
        <w:trPr>
          <w:trHeight w:val="2850"/>
        </w:trPr>
        <w:tc>
          <w:tcPr>
            <w:tcW w:w="567" w:type="dxa"/>
          </w:tcPr>
          <w:p w14:paraId="1116F43A" w14:textId="77777777" w:rsidR="00DE575E" w:rsidRDefault="002E7560">
            <w:pPr>
              <w:pStyle w:val="TableParagraph"/>
              <w:spacing w:before="17"/>
              <w:rPr>
                <w:sz w:val="20"/>
              </w:rPr>
            </w:pPr>
            <w:r>
              <w:rPr>
                <w:color w:val="231F20"/>
                <w:sz w:val="20"/>
              </w:rPr>
              <w:t>11.4.</w:t>
            </w:r>
          </w:p>
        </w:tc>
        <w:tc>
          <w:tcPr>
            <w:tcW w:w="4493" w:type="dxa"/>
          </w:tcPr>
          <w:p w14:paraId="38A41B95" w14:textId="77777777" w:rsidR="00DE575E" w:rsidRDefault="002E7560">
            <w:pPr>
              <w:pStyle w:val="TableParagraph"/>
              <w:spacing w:before="32" w:line="220" w:lineRule="auto"/>
              <w:ind w:right="44"/>
              <w:jc w:val="both"/>
              <w:rPr>
                <w:i/>
                <w:sz w:val="20"/>
              </w:rPr>
            </w:pPr>
            <w:r>
              <w:rPr>
                <w:i/>
                <w:color w:val="231F20"/>
                <w:sz w:val="20"/>
              </w:rPr>
              <w:t>Провадження в справі про адміністративний проступок</w:t>
            </w:r>
          </w:p>
          <w:p w14:paraId="0AC2EAB0" w14:textId="77777777" w:rsidR="00DE575E" w:rsidRDefault="002E7560">
            <w:pPr>
              <w:pStyle w:val="TableParagraph"/>
              <w:spacing w:before="1" w:line="220" w:lineRule="auto"/>
              <w:ind w:right="45"/>
              <w:jc w:val="both"/>
              <w:rPr>
                <w:sz w:val="20"/>
              </w:rPr>
            </w:pPr>
            <w:r>
              <w:rPr>
                <w:color w:val="231F20"/>
                <w:sz w:val="20"/>
              </w:rPr>
              <w:t>Стадії провадження в справі про адміністратив- ний проступок. Звичайне провадження. Спро- щене провадження.</w:t>
            </w:r>
          </w:p>
          <w:p w14:paraId="72B22751" w14:textId="77777777" w:rsidR="00DE575E" w:rsidRDefault="002E7560">
            <w:pPr>
              <w:pStyle w:val="TableParagraph"/>
              <w:spacing w:before="1" w:line="220" w:lineRule="auto"/>
              <w:ind w:right="44"/>
              <w:jc w:val="both"/>
              <w:rPr>
                <w:sz w:val="20"/>
              </w:rPr>
            </w:pPr>
            <w:r>
              <w:rPr>
                <w:color w:val="231F20"/>
                <w:sz w:val="20"/>
              </w:rPr>
              <w:t>Складання протоколу в справі про адміні- стративне правопорушення. Органи та поса- дові особи, уповноважені складати протокол. Випадки, коли протокол у справі про адміні- стративне правопорушення не складається.</w:t>
            </w:r>
          </w:p>
          <w:p w14:paraId="379B5646" w14:textId="77777777" w:rsidR="00DE575E" w:rsidRDefault="002E7560">
            <w:pPr>
              <w:pStyle w:val="TableParagraph"/>
              <w:spacing w:before="3" w:line="216" w:lineRule="exact"/>
              <w:ind w:right="44"/>
              <w:jc w:val="both"/>
              <w:rPr>
                <w:sz w:val="20"/>
              </w:rPr>
            </w:pPr>
            <w:r>
              <w:rPr>
                <w:color w:val="231F20"/>
                <w:sz w:val="20"/>
              </w:rPr>
              <w:t xml:space="preserve">Розгляд справи про адміністративний просту- </w:t>
            </w:r>
            <w:r>
              <w:rPr>
                <w:color w:val="231F20"/>
                <w:sz w:val="20"/>
              </w:rPr>
              <w:t>пок. Органи та посадові особи, уповноважені розглядати справу про адміністративний</w:t>
            </w:r>
          </w:p>
        </w:tc>
        <w:tc>
          <w:tcPr>
            <w:tcW w:w="732" w:type="dxa"/>
          </w:tcPr>
          <w:p w14:paraId="5D497B0B" w14:textId="77777777" w:rsidR="00DE575E" w:rsidRDefault="00DE575E">
            <w:pPr>
              <w:pStyle w:val="TableParagraph"/>
              <w:ind w:left="0"/>
              <w:rPr>
                <w:rFonts w:ascii="Times New Roman"/>
                <w:sz w:val="18"/>
              </w:rPr>
            </w:pPr>
          </w:p>
        </w:tc>
        <w:tc>
          <w:tcPr>
            <w:tcW w:w="732" w:type="dxa"/>
          </w:tcPr>
          <w:p w14:paraId="67023700" w14:textId="77777777" w:rsidR="00DE575E" w:rsidRDefault="00DE575E">
            <w:pPr>
              <w:pStyle w:val="TableParagraph"/>
              <w:ind w:left="0"/>
              <w:rPr>
                <w:rFonts w:ascii="Times New Roman"/>
                <w:sz w:val="18"/>
              </w:rPr>
            </w:pPr>
          </w:p>
        </w:tc>
      </w:tr>
    </w:tbl>
    <w:p w14:paraId="66C466FA" w14:textId="77777777" w:rsidR="00DE575E" w:rsidRDefault="00DE575E">
      <w:pPr>
        <w:pStyle w:val="BodyText"/>
        <w:rPr>
          <w:rFonts w:ascii="AdonisC"/>
          <w:i/>
          <w:sz w:val="18"/>
        </w:rPr>
      </w:pPr>
    </w:p>
    <w:p w14:paraId="17AF7BE2" w14:textId="77777777" w:rsidR="00DE575E" w:rsidRDefault="002E7560">
      <w:pPr>
        <w:spacing w:before="113"/>
        <w:ind w:right="411"/>
        <w:jc w:val="right"/>
        <w:rPr>
          <w:rFonts w:ascii="Times New Roman"/>
          <w:sz w:val="20"/>
        </w:rPr>
      </w:pPr>
      <w:r>
        <w:rPr>
          <w:rFonts w:ascii="Times New Roman"/>
          <w:color w:val="231F20"/>
          <w:w w:val="90"/>
          <w:sz w:val="20"/>
        </w:rPr>
        <w:t>581</w:t>
      </w:r>
    </w:p>
    <w:p w14:paraId="423058A1" w14:textId="77777777" w:rsidR="00DE575E" w:rsidRDefault="00DE575E">
      <w:pPr>
        <w:jc w:val="right"/>
        <w:rPr>
          <w:rFonts w:ascii="Times New Roman"/>
          <w:sz w:val="20"/>
        </w:rPr>
        <w:sectPr w:rsidR="00DE575E">
          <w:pgSz w:w="8510" w:h="12760"/>
          <w:pgMar w:top="860" w:right="720" w:bottom="280" w:left="600" w:header="720" w:footer="720" w:gutter="0"/>
          <w:cols w:space="720"/>
        </w:sectPr>
      </w:pPr>
    </w:p>
    <w:p w14:paraId="53C4F5EC" w14:textId="77777777" w:rsidR="00DE575E" w:rsidRDefault="002E7560">
      <w:pPr>
        <w:spacing w:before="78" w:line="249" w:lineRule="auto"/>
        <w:ind w:left="533" w:right="4022"/>
        <w:rPr>
          <w:rFonts w:ascii="AdonisC" w:hAnsi="AdonisC"/>
          <w:i/>
          <w:sz w:val="18"/>
        </w:rPr>
      </w:pPr>
      <w:r>
        <w:rPr>
          <w:rFonts w:ascii="AdonisC" w:hAnsi="AdonisC"/>
          <w:i/>
          <w:color w:val="231F20"/>
          <w:sz w:val="18"/>
        </w:rPr>
        <w:t>Адміністративне право України. Повний курс</w:t>
      </w:r>
    </w:p>
    <w:p w14:paraId="461B4BFB" w14:textId="39D7FD55" w:rsidR="00DE575E" w:rsidRDefault="002E7560">
      <w:pPr>
        <w:pStyle w:val="BodyText"/>
        <w:spacing w:line="20" w:lineRule="exact"/>
        <w:ind w:left="528"/>
        <w:rPr>
          <w:rFonts w:ascii="AdonisC"/>
          <w:sz w:val="2"/>
        </w:rPr>
      </w:pPr>
      <w:r>
        <w:rPr>
          <w:rFonts w:ascii="AdonisC"/>
          <w:noProof/>
          <w:sz w:val="2"/>
        </w:rPr>
        <mc:AlternateContent>
          <mc:Choice Requires="wpg">
            <w:drawing>
              <wp:inline distT="0" distB="0" distL="0" distR="0" wp14:anchorId="5644B645" wp14:editId="6FE4DBFA">
                <wp:extent cx="4140200" cy="6350"/>
                <wp:effectExtent l="0" t="0" r="12700" b="6350"/>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350"/>
                          <a:chOff x="0" y="0"/>
                          <a:chExt cx="6520" cy="10"/>
                        </a:xfrm>
                      </wpg:grpSpPr>
                      <wps:wsp>
                        <wps:cNvPr id="6" name="Line 5"/>
                        <wps:cNvCnPr>
                          <a:cxnSpLocks noChangeShapeType="1"/>
                        </wps:cNvCnPr>
                        <wps:spPr bwMode="auto">
                          <a:xfrm>
                            <a:off x="0" y="5"/>
                            <a:ext cx="65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67795D" id="Group_x0020_4" o:spid="_x0000_s1026" style="width:326pt;height:.5pt;mso-position-horizontal-relative:char;mso-position-vertical-relative:line" coordsize="65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">
                <v:line id="Line_x0020_5" o:spid="_x0000_s1027" style="position:absolute;visibility:visible;mso-wrap-style:square" from="0,5" to="6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Wn1sQAAADaAAAADwAAAGRycy9kb3ducmV2LnhtbESP0WrCQBRE34X+w3ILvkjdqCASXaUU&#10;CuKDWtMPuGavSeju3ZhdTfTrXaHg4zAzZ5jFqrNGXKnxlWMFo2ECgjh3uuJCwW/2/TED4QOyRuOY&#10;FNzIw2r51ltgql3LP3Q9hEJECPsUFZQh1KmUPi/Joh+6mjh6J9dYDFE2hdQNthFujRwnyVRarDgu&#10;lFjTV0n53+FiFWTnQTD73ca02e44kcfzdnK/bJXqv3efcxCBuvAK/7fXWsEUnlfiDZD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VafWxAAAANoAAAAPAAAAAAAAAAAA&#10;AAAAAKECAABkcnMvZG93bnJldi54bWxQSwUGAAAAAAQABAD5AAAAkgMAAAAA&#10;" strokecolor="#231f20" strokeweight=".5pt"/>
                <w10:anchorlock/>
              </v:group>
            </w:pict>
          </mc:Fallback>
        </mc:AlternateContent>
      </w:r>
    </w:p>
    <w:p w14:paraId="203EAF95" w14:textId="77777777" w:rsidR="00DE575E" w:rsidRDefault="00DE575E">
      <w:pPr>
        <w:pStyle w:val="BodyText"/>
        <w:spacing w:before="6"/>
        <w:rPr>
          <w:rFonts w:ascii="AdonisC"/>
          <w:i/>
          <w:sz w:val="22"/>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4493"/>
        <w:gridCol w:w="732"/>
        <w:gridCol w:w="732"/>
      </w:tblGrid>
      <w:tr w:rsidR="00DE575E" w14:paraId="1AFCDE84" w14:textId="77777777">
        <w:trPr>
          <w:trHeight w:val="2898"/>
        </w:trPr>
        <w:tc>
          <w:tcPr>
            <w:tcW w:w="567" w:type="dxa"/>
          </w:tcPr>
          <w:p w14:paraId="1FE2A0FA" w14:textId="77777777" w:rsidR="00DE575E" w:rsidRDefault="002E7560">
            <w:pPr>
              <w:pStyle w:val="TableParagraph"/>
              <w:spacing w:before="17"/>
              <w:rPr>
                <w:sz w:val="20"/>
              </w:rPr>
            </w:pPr>
            <w:r>
              <w:rPr>
                <w:color w:val="231F20"/>
                <w:sz w:val="20"/>
              </w:rPr>
              <w:t>11.4.</w:t>
            </w:r>
          </w:p>
        </w:tc>
        <w:tc>
          <w:tcPr>
            <w:tcW w:w="4493" w:type="dxa"/>
          </w:tcPr>
          <w:p w14:paraId="544652FD" w14:textId="77777777" w:rsidR="00DE575E" w:rsidRDefault="002E7560">
            <w:pPr>
              <w:pStyle w:val="TableParagraph"/>
              <w:spacing w:before="28" w:line="225" w:lineRule="auto"/>
              <w:ind w:right="45"/>
              <w:jc w:val="both"/>
              <w:rPr>
                <w:sz w:val="20"/>
              </w:rPr>
            </w:pPr>
            <w:r>
              <w:rPr>
                <w:color w:val="231F20"/>
                <w:sz w:val="20"/>
              </w:rPr>
              <w:t>проступок. Основні етапи розгляду справи про адміністративний поступок (підготовка справи, аналіз зібраних матеріалів, прийняття поста- нови, доведення постанови до відома).</w:t>
            </w:r>
          </w:p>
          <w:p w14:paraId="28EA8848" w14:textId="77777777" w:rsidR="00DE575E" w:rsidRDefault="002E7560">
            <w:pPr>
              <w:pStyle w:val="TableParagraph"/>
              <w:spacing w:line="225" w:lineRule="auto"/>
              <w:ind w:right="44"/>
              <w:jc w:val="both"/>
              <w:rPr>
                <w:sz w:val="20"/>
              </w:rPr>
            </w:pPr>
            <w:r>
              <w:rPr>
                <w:color w:val="231F20"/>
                <w:sz w:val="20"/>
              </w:rPr>
              <w:t xml:space="preserve">Особливості провадження в справах про адмі- ністративні правопорушення в сфері забезпе- чення  безпеки  дорожнього  </w:t>
            </w:r>
            <w:r>
              <w:rPr>
                <w:color w:val="231F20"/>
                <w:spacing w:val="-5"/>
                <w:sz w:val="20"/>
              </w:rPr>
              <w:t xml:space="preserve">руху,   </w:t>
            </w:r>
            <w:r>
              <w:rPr>
                <w:color w:val="231F20"/>
                <w:sz w:val="20"/>
              </w:rPr>
              <w:t>зафіксовані в автоматичному</w:t>
            </w:r>
            <w:r>
              <w:rPr>
                <w:color w:val="231F20"/>
                <w:spacing w:val="-2"/>
                <w:sz w:val="20"/>
              </w:rPr>
              <w:t xml:space="preserve"> </w:t>
            </w:r>
            <w:r>
              <w:rPr>
                <w:color w:val="231F20"/>
                <w:sz w:val="20"/>
              </w:rPr>
              <w:t>режимі.</w:t>
            </w:r>
          </w:p>
          <w:p w14:paraId="487AF9DD" w14:textId="77777777" w:rsidR="00DE575E" w:rsidRDefault="002E7560">
            <w:pPr>
              <w:pStyle w:val="TableParagraph"/>
              <w:spacing w:line="220" w:lineRule="exact"/>
              <w:rPr>
                <w:sz w:val="20"/>
              </w:rPr>
            </w:pPr>
            <w:r>
              <w:rPr>
                <w:color w:val="231F20"/>
                <w:sz w:val="20"/>
              </w:rPr>
              <w:t>Оскарження й перегляд постанови в справі про адміністративний проступок. Порядок і строк оскарже</w:t>
            </w:r>
            <w:r>
              <w:rPr>
                <w:color w:val="231F20"/>
                <w:sz w:val="20"/>
              </w:rPr>
              <w:t>ння постанови. Результати перегляду. Виконання постанови про накладення адмініст- ративного стягнення.</w:t>
            </w:r>
          </w:p>
        </w:tc>
        <w:tc>
          <w:tcPr>
            <w:tcW w:w="732" w:type="dxa"/>
          </w:tcPr>
          <w:p w14:paraId="30D0669B" w14:textId="77777777" w:rsidR="00DE575E" w:rsidRDefault="00DE575E">
            <w:pPr>
              <w:pStyle w:val="TableParagraph"/>
              <w:ind w:left="0"/>
              <w:rPr>
                <w:rFonts w:ascii="Times New Roman"/>
                <w:sz w:val="18"/>
              </w:rPr>
            </w:pPr>
          </w:p>
        </w:tc>
        <w:tc>
          <w:tcPr>
            <w:tcW w:w="732" w:type="dxa"/>
          </w:tcPr>
          <w:p w14:paraId="45FD218C" w14:textId="77777777" w:rsidR="00DE575E" w:rsidRDefault="00DE575E">
            <w:pPr>
              <w:pStyle w:val="TableParagraph"/>
              <w:ind w:left="0"/>
              <w:rPr>
                <w:rFonts w:ascii="Times New Roman"/>
                <w:sz w:val="18"/>
              </w:rPr>
            </w:pPr>
          </w:p>
        </w:tc>
      </w:tr>
    </w:tbl>
    <w:p w14:paraId="71F11B95" w14:textId="77777777" w:rsidR="00DE575E" w:rsidRDefault="00DE575E">
      <w:pPr>
        <w:pStyle w:val="BodyText"/>
        <w:rPr>
          <w:rFonts w:ascii="AdonisC"/>
          <w:i/>
          <w:sz w:val="18"/>
        </w:rPr>
      </w:pPr>
    </w:p>
    <w:p w14:paraId="49BC14B8" w14:textId="77777777" w:rsidR="00DE575E" w:rsidRDefault="00DE575E">
      <w:pPr>
        <w:pStyle w:val="BodyText"/>
        <w:rPr>
          <w:rFonts w:ascii="AdonisC"/>
          <w:i/>
          <w:sz w:val="18"/>
        </w:rPr>
      </w:pPr>
    </w:p>
    <w:p w14:paraId="4F73BEC5" w14:textId="77777777" w:rsidR="00DE575E" w:rsidRDefault="00DE575E">
      <w:pPr>
        <w:pStyle w:val="BodyText"/>
        <w:rPr>
          <w:rFonts w:ascii="AdonisC"/>
          <w:i/>
          <w:sz w:val="18"/>
        </w:rPr>
      </w:pPr>
    </w:p>
    <w:p w14:paraId="266A62EF" w14:textId="77777777" w:rsidR="00DE575E" w:rsidRDefault="00DE575E">
      <w:pPr>
        <w:pStyle w:val="BodyText"/>
        <w:rPr>
          <w:rFonts w:ascii="AdonisC"/>
          <w:i/>
          <w:sz w:val="18"/>
        </w:rPr>
      </w:pPr>
    </w:p>
    <w:p w14:paraId="5A623CB8" w14:textId="77777777" w:rsidR="00DE575E" w:rsidRDefault="00DE575E">
      <w:pPr>
        <w:pStyle w:val="BodyText"/>
        <w:rPr>
          <w:rFonts w:ascii="AdonisC"/>
          <w:i/>
          <w:sz w:val="18"/>
        </w:rPr>
      </w:pPr>
    </w:p>
    <w:p w14:paraId="05C04D24" w14:textId="77777777" w:rsidR="00DE575E" w:rsidRDefault="00DE575E">
      <w:pPr>
        <w:pStyle w:val="BodyText"/>
        <w:rPr>
          <w:rFonts w:ascii="AdonisC"/>
          <w:i/>
          <w:sz w:val="18"/>
        </w:rPr>
      </w:pPr>
    </w:p>
    <w:p w14:paraId="3D5C1FF1" w14:textId="77777777" w:rsidR="00DE575E" w:rsidRDefault="00DE575E">
      <w:pPr>
        <w:pStyle w:val="BodyText"/>
        <w:rPr>
          <w:rFonts w:ascii="AdonisC"/>
          <w:i/>
          <w:sz w:val="18"/>
        </w:rPr>
      </w:pPr>
    </w:p>
    <w:p w14:paraId="12422D6E" w14:textId="77777777" w:rsidR="00DE575E" w:rsidRDefault="00DE575E">
      <w:pPr>
        <w:pStyle w:val="BodyText"/>
        <w:rPr>
          <w:rFonts w:ascii="AdonisC"/>
          <w:i/>
          <w:sz w:val="18"/>
        </w:rPr>
      </w:pPr>
    </w:p>
    <w:p w14:paraId="0FD59660" w14:textId="77777777" w:rsidR="00DE575E" w:rsidRDefault="00DE575E">
      <w:pPr>
        <w:pStyle w:val="BodyText"/>
        <w:rPr>
          <w:rFonts w:ascii="AdonisC"/>
          <w:i/>
          <w:sz w:val="18"/>
        </w:rPr>
      </w:pPr>
    </w:p>
    <w:p w14:paraId="0FF6AA4F" w14:textId="77777777" w:rsidR="00DE575E" w:rsidRDefault="00DE575E">
      <w:pPr>
        <w:pStyle w:val="BodyText"/>
        <w:rPr>
          <w:rFonts w:ascii="AdonisC"/>
          <w:i/>
          <w:sz w:val="18"/>
        </w:rPr>
      </w:pPr>
    </w:p>
    <w:p w14:paraId="04F04C7B" w14:textId="77777777" w:rsidR="00DE575E" w:rsidRDefault="00DE575E">
      <w:pPr>
        <w:pStyle w:val="BodyText"/>
        <w:rPr>
          <w:rFonts w:ascii="AdonisC"/>
          <w:i/>
          <w:sz w:val="18"/>
        </w:rPr>
      </w:pPr>
    </w:p>
    <w:p w14:paraId="11B2AB81" w14:textId="77777777" w:rsidR="00DE575E" w:rsidRDefault="00DE575E">
      <w:pPr>
        <w:pStyle w:val="BodyText"/>
        <w:rPr>
          <w:rFonts w:ascii="AdonisC"/>
          <w:i/>
          <w:sz w:val="18"/>
        </w:rPr>
      </w:pPr>
    </w:p>
    <w:p w14:paraId="0E6A3CC6" w14:textId="77777777" w:rsidR="00DE575E" w:rsidRDefault="00DE575E">
      <w:pPr>
        <w:pStyle w:val="BodyText"/>
        <w:rPr>
          <w:rFonts w:ascii="AdonisC"/>
          <w:i/>
          <w:sz w:val="18"/>
        </w:rPr>
      </w:pPr>
    </w:p>
    <w:p w14:paraId="1CAA214B" w14:textId="77777777" w:rsidR="00DE575E" w:rsidRDefault="00DE575E">
      <w:pPr>
        <w:pStyle w:val="BodyText"/>
        <w:rPr>
          <w:rFonts w:ascii="AdonisC"/>
          <w:i/>
          <w:sz w:val="18"/>
        </w:rPr>
      </w:pPr>
    </w:p>
    <w:p w14:paraId="45CBF7E9" w14:textId="77777777" w:rsidR="00DE575E" w:rsidRDefault="00DE575E">
      <w:pPr>
        <w:pStyle w:val="BodyText"/>
        <w:rPr>
          <w:rFonts w:ascii="AdonisC"/>
          <w:i/>
          <w:sz w:val="18"/>
        </w:rPr>
      </w:pPr>
    </w:p>
    <w:p w14:paraId="3CF2924B" w14:textId="77777777" w:rsidR="00DE575E" w:rsidRDefault="00DE575E">
      <w:pPr>
        <w:pStyle w:val="BodyText"/>
        <w:rPr>
          <w:rFonts w:ascii="AdonisC"/>
          <w:i/>
          <w:sz w:val="18"/>
        </w:rPr>
      </w:pPr>
    </w:p>
    <w:p w14:paraId="40E30942" w14:textId="77777777" w:rsidR="00DE575E" w:rsidRDefault="00DE575E">
      <w:pPr>
        <w:pStyle w:val="BodyText"/>
        <w:rPr>
          <w:rFonts w:ascii="AdonisC"/>
          <w:i/>
          <w:sz w:val="18"/>
        </w:rPr>
      </w:pPr>
    </w:p>
    <w:p w14:paraId="60E703CA" w14:textId="77777777" w:rsidR="00DE575E" w:rsidRDefault="00DE575E">
      <w:pPr>
        <w:pStyle w:val="BodyText"/>
        <w:rPr>
          <w:rFonts w:ascii="AdonisC"/>
          <w:i/>
          <w:sz w:val="18"/>
        </w:rPr>
      </w:pPr>
    </w:p>
    <w:p w14:paraId="19893BEB" w14:textId="77777777" w:rsidR="00DE575E" w:rsidRDefault="00DE575E">
      <w:pPr>
        <w:pStyle w:val="BodyText"/>
        <w:rPr>
          <w:rFonts w:ascii="AdonisC"/>
          <w:i/>
          <w:sz w:val="18"/>
        </w:rPr>
      </w:pPr>
    </w:p>
    <w:p w14:paraId="40CC708D" w14:textId="77777777" w:rsidR="00DE575E" w:rsidRDefault="00DE575E">
      <w:pPr>
        <w:pStyle w:val="BodyText"/>
        <w:rPr>
          <w:rFonts w:ascii="AdonisC"/>
          <w:i/>
          <w:sz w:val="18"/>
        </w:rPr>
      </w:pPr>
    </w:p>
    <w:p w14:paraId="7E06A451" w14:textId="77777777" w:rsidR="00DE575E" w:rsidRDefault="00DE575E">
      <w:pPr>
        <w:pStyle w:val="BodyText"/>
        <w:rPr>
          <w:rFonts w:ascii="AdonisC"/>
          <w:i/>
          <w:sz w:val="18"/>
        </w:rPr>
      </w:pPr>
    </w:p>
    <w:p w14:paraId="5FDAA21F" w14:textId="77777777" w:rsidR="00DE575E" w:rsidRDefault="00DE575E">
      <w:pPr>
        <w:pStyle w:val="BodyText"/>
        <w:rPr>
          <w:rFonts w:ascii="AdonisC"/>
          <w:i/>
          <w:sz w:val="18"/>
        </w:rPr>
      </w:pPr>
    </w:p>
    <w:p w14:paraId="618A7246" w14:textId="77777777" w:rsidR="00DE575E" w:rsidRDefault="00DE575E">
      <w:pPr>
        <w:pStyle w:val="BodyText"/>
        <w:rPr>
          <w:rFonts w:ascii="AdonisC"/>
          <w:i/>
          <w:sz w:val="18"/>
        </w:rPr>
      </w:pPr>
    </w:p>
    <w:p w14:paraId="174EE0AB" w14:textId="77777777" w:rsidR="00DE575E" w:rsidRDefault="00DE575E">
      <w:pPr>
        <w:pStyle w:val="BodyText"/>
        <w:rPr>
          <w:rFonts w:ascii="AdonisC"/>
          <w:i/>
          <w:sz w:val="18"/>
        </w:rPr>
      </w:pPr>
    </w:p>
    <w:p w14:paraId="480DAF8D" w14:textId="77777777" w:rsidR="00DE575E" w:rsidRDefault="00DE575E">
      <w:pPr>
        <w:pStyle w:val="BodyText"/>
        <w:rPr>
          <w:rFonts w:ascii="AdonisC"/>
          <w:i/>
          <w:sz w:val="18"/>
        </w:rPr>
      </w:pPr>
    </w:p>
    <w:p w14:paraId="50148D3D" w14:textId="77777777" w:rsidR="00DE575E" w:rsidRDefault="00DE575E">
      <w:pPr>
        <w:pStyle w:val="BodyText"/>
        <w:rPr>
          <w:rFonts w:ascii="AdonisC"/>
          <w:i/>
          <w:sz w:val="18"/>
        </w:rPr>
      </w:pPr>
    </w:p>
    <w:p w14:paraId="3F7B2EE8" w14:textId="77777777" w:rsidR="00DE575E" w:rsidRDefault="00DE575E">
      <w:pPr>
        <w:pStyle w:val="BodyText"/>
        <w:rPr>
          <w:rFonts w:ascii="AdonisC"/>
          <w:i/>
          <w:sz w:val="18"/>
        </w:rPr>
      </w:pPr>
    </w:p>
    <w:p w14:paraId="73C35AA3" w14:textId="77777777" w:rsidR="00DE575E" w:rsidRDefault="00DE575E">
      <w:pPr>
        <w:pStyle w:val="BodyText"/>
        <w:rPr>
          <w:rFonts w:ascii="AdonisC"/>
          <w:i/>
          <w:sz w:val="18"/>
        </w:rPr>
      </w:pPr>
    </w:p>
    <w:p w14:paraId="28790FAF" w14:textId="77777777" w:rsidR="00DE575E" w:rsidRDefault="00DE575E">
      <w:pPr>
        <w:pStyle w:val="BodyText"/>
        <w:rPr>
          <w:rFonts w:ascii="AdonisC"/>
          <w:i/>
          <w:sz w:val="18"/>
        </w:rPr>
      </w:pPr>
    </w:p>
    <w:p w14:paraId="475B78C7" w14:textId="77777777" w:rsidR="00DE575E" w:rsidRDefault="00DE575E">
      <w:pPr>
        <w:pStyle w:val="BodyText"/>
        <w:rPr>
          <w:rFonts w:ascii="AdonisC"/>
          <w:i/>
          <w:sz w:val="18"/>
        </w:rPr>
      </w:pPr>
    </w:p>
    <w:p w14:paraId="1B3539B8" w14:textId="77777777" w:rsidR="00DE575E" w:rsidRDefault="00DE575E">
      <w:pPr>
        <w:pStyle w:val="BodyText"/>
        <w:rPr>
          <w:rFonts w:ascii="AdonisC"/>
          <w:i/>
          <w:sz w:val="18"/>
        </w:rPr>
      </w:pPr>
    </w:p>
    <w:p w14:paraId="63F40FFF" w14:textId="77777777" w:rsidR="00DE575E" w:rsidRDefault="00DE575E">
      <w:pPr>
        <w:pStyle w:val="BodyText"/>
        <w:rPr>
          <w:rFonts w:ascii="AdonisC"/>
          <w:i/>
          <w:sz w:val="18"/>
        </w:rPr>
      </w:pPr>
    </w:p>
    <w:p w14:paraId="2516A6C5" w14:textId="77777777" w:rsidR="00DE575E" w:rsidRDefault="00DE575E">
      <w:pPr>
        <w:pStyle w:val="BodyText"/>
        <w:rPr>
          <w:rFonts w:ascii="AdonisC"/>
          <w:i/>
          <w:sz w:val="18"/>
        </w:rPr>
      </w:pPr>
    </w:p>
    <w:p w14:paraId="71089414" w14:textId="77777777" w:rsidR="00DE575E" w:rsidRDefault="00DE575E">
      <w:pPr>
        <w:pStyle w:val="BodyText"/>
        <w:rPr>
          <w:rFonts w:ascii="AdonisC"/>
          <w:i/>
          <w:sz w:val="18"/>
        </w:rPr>
      </w:pPr>
    </w:p>
    <w:p w14:paraId="7125AC2A" w14:textId="77777777" w:rsidR="00DE575E" w:rsidRDefault="00DE575E">
      <w:pPr>
        <w:pStyle w:val="BodyText"/>
        <w:rPr>
          <w:rFonts w:ascii="AdonisC"/>
          <w:i/>
          <w:sz w:val="18"/>
        </w:rPr>
      </w:pPr>
    </w:p>
    <w:p w14:paraId="4D4AAC7C" w14:textId="77777777" w:rsidR="00DE575E" w:rsidRDefault="00DE575E">
      <w:pPr>
        <w:pStyle w:val="BodyText"/>
        <w:rPr>
          <w:rFonts w:ascii="AdonisC"/>
          <w:i/>
          <w:sz w:val="18"/>
        </w:rPr>
      </w:pPr>
    </w:p>
    <w:p w14:paraId="44C7FA2C" w14:textId="77777777" w:rsidR="00DE575E" w:rsidRDefault="00DE575E">
      <w:pPr>
        <w:pStyle w:val="BodyText"/>
        <w:rPr>
          <w:rFonts w:ascii="AdonisC"/>
          <w:i/>
          <w:sz w:val="18"/>
        </w:rPr>
      </w:pPr>
    </w:p>
    <w:p w14:paraId="46D53DC1" w14:textId="77777777" w:rsidR="00DE575E" w:rsidRDefault="00DE575E">
      <w:pPr>
        <w:pStyle w:val="BodyText"/>
        <w:spacing w:before="7"/>
        <w:rPr>
          <w:rFonts w:ascii="AdonisC"/>
          <w:i/>
          <w:sz w:val="22"/>
        </w:rPr>
      </w:pPr>
    </w:p>
    <w:p w14:paraId="7DAEF1CC" w14:textId="77777777" w:rsidR="00DE575E" w:rsidRDefault="002E7560">
      <w:pPr>
        <w:ind w:left="533"/>
        <w:rPr>
          <w:rFonts w:ascii="Times New Roman"/>
          <w:sz w:val="20"/>
        </w:rPr>
      </w:pPr>
      <w:r>
        <w:rPr>
          <w:rFonts w:ascii="Times New Roman"/>
          <w:color w:val="231F20"/>
          <w:sz w:val="20"/>
        </w:rPr>
        <w:t>582</w:t>
      </w:r>
    </w:p>
    <w:p w14:paraId="3B7F1366" w14:textId="77777777" w:rsidR="00DE575E" w:rsidRDefault="00DE575E">
      <w:pPr>
        <w:rPr>
          <w:rFonts w:ascii="Times New Roman"/>
          <w:sz w:val="20"/>
        </w:rPr>
        <w:sectPr w:rsidR="00DE575E">
          <w:pgSz w:w="8510" w:h="12760"/>
          <w:pgMar w:top="660" w:right="720" w:bottom="280" w:left="600" w:header="720" w:footer="720" w:gutter="0"/>
          <w:cols w:space="720"/>
        </w:sectPr>
      </w:pPr>
    </w:p>
    <w:p w14:paraId="1518064D" w14:textId="77777777" w:rsidR="00DE575E" w:rsidRDefault="00DE575E">
      <w:pPr>
        <w:pStyle w:val="BodyText"/>
        <w:rPr>
          <w:rFonts w:ascii="Times New Roman"/>
          <w:sz w:val="20"/>
        </w:rPr>
      </w:pPr>
    </w:p>
    <w:p w14:paraId="55B66E12" w14:textId="77777777" w:rsidR="00DE575E" w:rsidRDefault="00DE575E">
      <w:pPr>
        <w:pStyle w:val="BodyText"/>
        <w:rPr>
          <w:rFonts w:ascii="Times New Roman"/>
          <w:sz w:val="20"/>
        </w:rPr>
      </w:pPr>
    </w:p>
    <w:p w14:paraId="52A987EC" w14:textId="77777777" w:rsidR="00DE575E" w:rsidRDefault="00DE575E">
      <w:pPr>
        <w:pStyle w:val="BodyText"/>
        <w:rPr>
          <w:rFonts w:ascii="Times New Roman"/>
          <w:sz w:val="20"/>
        </w:rPr>
      </w:pPr>
    </w:p>
    <w:p w14:paraId="4CD04B57" w14:textId="77777777" w:rsidR="00DE575E" w:rsidRDefault="00DE575E">
      <w:pPr>
        <w:pStyle w:val="BodyText"/>
        <w:spacing w:before="4"/>
        <w:rPr>
          <w:rFonts w:ascii="Times New Roman"/>
        </w:rPr>
      </w:pPr>
    </w:p>
    <w:p w14:paraId="6DE723F1" w14:textId="77777777" w:rsidR="00DE575E" w:rsidRDefault="002E7560">
      <w:pPr>
        <w:spacing w:before="100"/>
        <w:ind w:left="496" w:right="658"/>
        <w:jc w:val="center"/>
        <w:rPr>
          <w:i/>
          <w:sz w:val="24"/>
        </w:rPr>
      </w:pPr>
      <w:r>
        <w:rPr>
          <w:i/>
          <w:color w:val="231F20"/>
          <w:sz w:val="24"/>
        </w:rPr>
        <w:t>Навчальне видання</w:t>
      </w:r>
    </w:p>
    <w:p w14:paraId="575ABE80" w14:textId="77777777" w:rsidR="00DE575E" w:rsidRDefault="00DE575E">
      <w:pPr>
        <w:pStyle w:val="BodyText"/>
        <w:rPr>
          <w:i/>
          <w:sz w:val="28"/>
        </w:rPr>
      </w:pPr>
    </w:p>
    <w:p w14:paraId="4F4B0858" w14:textId="77777777" w:rsidR="00DE575E" w:rsidRDefault="00DE575E">
      <w:pPr>
        <w:pStyle w:val="BodyText"/>
        <w:spacing w:before="9"/>
        <w:rPr>
          <w:i/>
          <w:sz w:val="37"/>
        </w:rPr>
      </w:pPr>
    </w:p>
    <w:p w14:paraId="0C8BFBA0" w14:textId="77777777" w:rsidR="00DE575E" w:rsidRDefault="002E7560">
      <w:pPr>
        <w:spacing w:line="230" w:lineRule="auto"/>
        <w:ind w:left="497" w:right="658"/>
        <w:jc w:val="center"/>
        <w:rPr>
          <w:b/>
          <w:sz w:val="32"/>
        </w:rPr>
      </w:pPr>
      <w:r>
        <w:rPr>
          <w:b/>
          <w:color w:val="231F20"/>
          <w:spacing w:val="-4"/>
          <w:sz w:val="32"/>
        </w:rPr>
        <w:t xml:space="preserve">АДМІНІСТРАТИВНЕ </w:t>
      </w:r>
      <w:r>
        <w:rPr>
          <w:b/>
          <w:color w:val="231F20"/>
          <w:spacing w:val="-7"/>
          <w:sz w:val="32"/>
        </w:rPr>
        <w:t xml:space="preserve">ПРАВО </w:t>
      </w:r>
      <w:r>
        <w:rPr>
          <w:b/>
          <w:color w:val="231F20"/>
          <w:spacing w:val="-4"/>
          <w:sz w:val="32"/>
        </w:rPr>
        <w:t xml:space="preserve">УКРАЇНИ. </w:t>
      </w:r>
      <w:r>
        <w:rPr>
          <w:b/>
          <w:color w:val="231F20"/>
          <w:sz w:val="32"/>
        </w:rPr>
        <w:t>ПОВНИЙ КУРС</w:t>
      </w:r>
    </w:p>
    <w:p w14:paraId="7140F2ED" w14:textId="77777777" w:rsidR="00DE575E" w:rsidRDefault="002E7560">
      <w:pPr>
        <w:spacing w:before="254" w:line="439" w:lineRule="auto"/>
        <w:ind w:left="2467" w:right="2629" w:hanging="1"/>
        <w:jc w:val="center"/>
        <w:rPr>
          <w:i/>
          <w:sz w:val="24"/>
        </w:rPr>
      </w:pPr>
      <w:r>
        <w:rPr>
          <w:b/>
          <w:color w:val="231F20"/>
          <w:sz w:val="28"/>
        </w:rPr>
        <w:t xml:space="preserve">Видання третє </w:t>
      </w:r>
      <w:r>
        <w:rPr>
          <w:color w:val="231F20"/>
          <w:sz w:val="28"/>
        </w:rPr>
        <w:t xml:space="preserve">Підручник </w:t>
      </w:r>
      <w:r>
        <w:rPr>
          <w:i/>
          <w:color w:val="231F20"/>
          <w:sz w:val="24"/>
        </w:rPr>
        <w:t>Українською</w:t>
      </w:r>
      <w:r>
        <w:rPr>
          <w:i/>
          <w:color w:val="231F20"/>
          <w:spacing w:val="-22"/>
          <w:sz w:val="24"/>
        </w:rPr>
        <w:t xml:space="preserve"> </w:t>
      </w:r>
      <w:r>
        <w:rPr>
          <w:i/>
          <w:color w:val="231F20"/>
          <w:sz w:val="24"/>
        </w:rPr>
        <w:t>мовою</w:t>
      </w:r>
    </w:p>
    <w:p w14:paraId="63B46B14" w14:textId="77777777" w:rsidR="00DE575E" w:rsidRDefault="00DE575E">
      <w:pPr>
        <w:pStyle w:val="BodyText"/>
        <w:rPr>
          <w:i/>
          <w:sz w:val="23"/>
        </w:rPr>
      </w:pPr>
    </w:p>
    <w:p w14:paraId="1B7CB735" w14:textId="77777777" w:rsidR="00DE575E" w:rsidRDefault="002E7560">
      <w:pPr>
        <w:pStyle w:val="Heading5"/>
        <w:ind w:left="497" w:right="658"/>
        <w:jc w:val="center"/>
      </w:pPr>
      <w:r>
        <w:rPr>
          <w:color w:val="231F20"/>
        </w:rPr>
        <w:t>За редакцією:</w:t>
      </w:r>
    </w:p>
    <w:p w14:paraId="1A8D3709" w14:textId="77777777" w:rsidR="00DE575E" w:rsidRDefault="002E7560">
      <w:pPr>
        <w:spacing w:before="6"/>
        <w:ind w:left="496" w:right="658"/>
        <w:jc w:val="center"/>
        <w:rPr>
          <w:b/>
          <w:sz w:val="21"/>
        </w:rPr>
      </w:pPr>
      <w:r>
        <w:rPr>
          <w:color w:val="231F20"/>
          <w:sz w:val="21"/>
        </w:rPr>
        <w:t xml:space="preserve">доктора юридичних наук, професора </w:t>
      </w:r>
      <w:r>
        <w:rPr>
          <w:b/>
          <w:color w:val="231F20"/>
          <w:sz w:val="21"/>
        </w:rPr>
        <w:t>В. Галунька</w:t>
      </w:r>
    </w:p>
    <w:p w14:paraId="36851263" w14:textId="77777777" w:rsidR="00DE575E" w:rsidRDefault="002E7560">
      <w:pPr>
        <w:spacing w:before="6"/>
        <w:ind w:left="397" w:right="558"/>
        <w:jc w:val="center"/>
        <w:rPr>
          <w:b/>
          <w:sz w:val="21"/>
        </w:rPr>
      </w:pPr>
      <w:r>
        <w:rPr>
          <w:color w:val="231F20"/>
          <w:sz w:val="21"/>
        </w:rPr>
        <w:t xml:space="preserve">та докторки юридичних наук, професорки </w:t>
      </w:r>
      <w:r>
        <w:rPr>
          <w:b/>
          <w:color w:val="231F20"/>
          <w:sz w:val="21"/>
        </w:rPr>
        <w:t>О. Правоторової</w:t>
      </w:r>
    </w:p>
    <w:p w14:paraId="2A1F29B2" w14:textId="77777777" w:rsidR="00DE575E" w:rsidRDefault="00DE575E">
      <w:pPr>
        <w:pStyle w:val="BodyText"/>
        <w:rPr>
          <w:b/>
          <w:sz w:val="24"/>
        </w:rPr>
      </w:pPr>
    </w:p>
    <w:p w14:paraId="088F6151" w14:textId="77777777" w:rsidR="00DE575E" w:rsidRDefault="00DE575E">
      <w:pPr>
        <w:pStyle w:val="BodyText"/>
        <w:rPr>
          <w:b/>
          <w:sz w:val="24"/>
        </w:rPr>
      </w:pPr>
    </w:p>
    <w:p w14:paraId="7F95171F" w14:textId="77777777" w:rsidR="00DE575E" w:rsidRDefault="00DE575E">
      <w:pPr>
        <w:pStyle w:val="BodyText"/>
        <w:rPr>
          <w:b/>
          <w:sz w:val="24"/>
        </w:rPr>
      </w:pPr>
    </w:p>
    <w:p w14:paraId="15A4F108" w14:textId="77777777" w:rsidR="00DE575E" w:rsidRDefault="00DE575E">
      <w:pPr>
        <w:pStyle w:val="BodyText"/>
        <w:spacing w:before="7"/>
        <w:rPr>
          <w:b/>
          <w:sz w:val="20"/>
        </w:rPr>
      </w:pPr>
    </w:p>
    <w:p w14:paraId="73BF819E" w14:textId="77777777" w:rsidR="00DE575E" w:rsidRDefault="002E7560">
      <w:pPr>
        <w:ind w:left="497" w:right="658"/>
        <w:jc w:val="center"/>
        <w:rPr>
          <w:sz w:val="18"/>
        </w:rPr>
      </w:pPr>
      <w:r>
        <w:rPr>
          <w:color w:val="231F20"/>
          <w:sz w:val="18"/>
        </w:rPr>
        <w:t>Верстка – Н. Ковальчук</w:t>
      </w:r>
    </w:p>
    <w:p w14:paraId="14DC6FB4" w14:textId="77777777" w:rsidR="00DE575E" w:rsidRDefault="00DE575E">
      <w:pPr>
        <w:pStyle w:val="BodyText"/>
        <w:rPr>
          <w:sz w:val="20"/>
        </w:rPr>
      </w:pPr>
    </w:p>
    <w:p w14:paraId="67B6160B" w14:textId="77777777" w:rsidR="00DE575E" w:rsidRDefault="00DE575E">
      <w:pPr>
        <w:pStyle w:val="BodyText"/>
        <w:rPr>
          <w:sz w:val="20"/>
        </w:rPr>
      </w:pPr>
    </w:p>
    <w:p w14:paraId="4F78930A" w14:textId="77777777" w:rsidR="00DE575E" w:rsidRDefault="002E7560">
      <w:pPr>
        <w:spacing w:before="129" w:line="228" w:lineRule="auto"/>
        <w:ind w:left="1377" w:right="1537" w:hanging="2"/>
        <w:jc w:val="center"/>
        <w:rPr>
          <w:sz w:val="18"/>
        </w:rPr>
      </w:pPr>
      <w:r>
        <w:rPr>
          <w:color w:val="231F20"/>
          <w:sz w:val="18"/>
        </w:rPr>
        <w:t>Підписано до друку 25.03.2020 р. Формат 60х90/16. Папір офсетний. Гарнітура Cambria. Цифровий друк.</w:t>
      </w:r>
    </w:p>
    <w:p w14:paraId="5FADC7D0" w14:textId="77777777" w:rsidR="00DE575E" w:rsidRDefault="002E7560">
      <w:pPr>
        <w:spacing w:line="228" w:lineRule="auto"/>
        <w:ind w:left="1093" w:right="1253"/>
        <w:jc w:val="center"/>
        <w:rPr>
          <w:sz w:val="18"/>
        </w:rPr>
      </w:pPr>
      <w:r>
        <w:rPr>
          <w:color w:val="231F20"/>
          <w:sz w:val="18"/>
        </w:rPr>
        <w:t>Ум. друк. арк. 36,5. Тираж 1000. Замовлення № 0704-214-п. Ціна договірна. Віддруковано з готового оригінал-макета.</w:t>
      </w:r>
    </w:p>
    <w:p w14:paraId="28D766F5" w14:textId="77777777" w:rsidR="00DE575E" w:rsidRDefault="00DE575E">
      <w:pPr>
        <w:pStyle w:val="BodyText"/>
        <w:spacing w:before="10"/>
        <w:rPr>
          <w:sz w:val="16"/>
        </w:rPr>
      </w:pPr>
    </w:p>
    <w:p w14:paraId="6A958A29" w14:textId="25D9C539" w:rsidR="00DE575E" w:rsidRDefault="002E7560">
      <w:pPr>
        <w:spacing w:before="1" w:line="228" w:lineRule="auto"/>
        <w:ind w:left="1941" w:right="2100" w:hanging="4"/>
        <w:jc w:val="center"/>
        <w:rPr>
          <w:sz w:val="18"/>
        </w:rPr>
      </w:pPr>
      <w:r>
        <w:rPr>
          <w:noProof/>
        </w:rPr>
        <mc:AlternateContent>
          <mc:Choice Requires="wps">
            <w:drawing>
              <wp:anchor distT="0" distB="0" distL="0" distR="0" simplePos="0" relativeHeight="20872" behindDoc="0" locked="0" layoutInCell="1" allowOverlap="1" wp14:anchorId="2845BB54" wp14:editId="2C21C044">
                <wp:simplePos x="0" y="0"/>
                <wp:positionH relativeFrom="page">
                  <wp:posOffset>2159635</wp:posOffset>
                </wp:positionH>
                <wp:positionV relativeFrom="paragraph">
                  <wp:posOffset>454660</wp:posOffset>
                </wp:positionV>
                <wp:extent cx="899795" cy="0"/>
                <wp:effectExtent l="13335" t="10160" r="26670" b="2794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F207A" id="Line_x0020_3" o:spid="_x0000_s1026" style="position:absolute;z-index:20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0.05pt,35.8pt" to="240.9pt,3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" strokecolor="#231f20" strokeweight=".5pt">
                <w10:wrap type="topAndBottom" anchorx="page"/>
              </v:line>
            </w:pict>
          </mc:Fallback>
        </mc:AlternateContent>
      </w:r>
      <w:r>
        <w:rPr>
          <w:color w:val="231F20"/>
          <w:sz w:val="18"/>
        </w:rPr>
        <w:t>Видавництво та друк: «ОЛДІ-ПЛЮС» вул. П</w:t>
      </w:r>
      <w:r>
        <w:rPr>
          <w:color w:val="231F20"/>
          <w:sz w:val="18"/>
        </w:rPr>
        <w:t>аровозна, 46-А, м. Херсон, 73034 Свідоцтво ДК № 6532 від 13.12.2018 р.</w:t>
      </w:r>
    </w:p>
    <w:p w14:paraId="05E239D7" w14:textId="77777777" w:rsidR="00DE575E" w:rsidRDefault="002E7560">
      <w:pPr>
        <w:spacing w:before="42" w:line="206" w:lineRule="exact"/>
        <w:ind w:left="500" w:right="658"/>
        <w:jc w:val="center"/>
        <w:rPr>
          <w:sz w:val="18"/>
        </w:rPr>
      </w:pPr>
      <w:r>
        <w:rPr>
          <w:color w:val="231F20"/>
          <w:sz w:val="18"/>
        </w:rPr>
        <w:t>Тел.: +38 (0552) 399-580, +38 (098) 559-45-45,</w:t>
      </w:r>
    </w:p>
    <w:p w14:paraId="52D192A5" w14:textId="77777777" w:rsidR="00DE575E" w:rsidRDefault="002E7560">
      <w:pPr>
        <w:spacing w:line="200" w:lineRule="exact"/>
        <w:ind w:left="500" w:right="658"/>
        <w:jc w:val="center"/>
        <w:rPr>
          <w:sz w:val="18"/>
        </w:rPr>
      </w:pPr>
      <w:r>
        <w:rPr>
          <w:color w:val="231F20"/>
          <w:sz w:val="18"/>
        </w:rPr>
        <w:t>+38 (095) 559-45-45, +38 (093) 559-45-45</w:t>
      </w:r>
    </w:p>
    <w:p w14:paraId="4CF39DDB" w14:textId="77777777" w:rsidR="00DE575E" w:rsidRDefault="002E7560">
      <w:pPr>
        <w:spacing w:before="3" w:line="228" w:lineRule="auto"/>
        <w:ind w:left="1481" w:right="1642"/>
        <w:jc w:val="center"/>
        <w:rPr>
          <w:sz w:val="18"/>
        </w:rPr>
      </w:pPr>
      <w:r>
        <w:rPr>
          <w:color w:val="231F20"/>
          <w:sz w:val="18"/>
        </w:rPr>
        <w:t xml:space="preserve">Для листування: а/с 20, м. Херсон, Україна, 73021 E-mail: </w:t>
      </w:r>
      <w:hyperlink r:id="rId50">
        <w:r>
          <w:rPr>
            <w:color w:val="231F20"/>
            <w:sz w:val="18"/>
          </w:rPr>
          <w:t>office@oldiplus.ua</w:t>
        </w:r>
      </w:hyperlink>
    </w:p>
    <w:p w14:paraId="38FBB333" w14:textId="77777777" w:rsidR="00DE575E" w:rsidRDefault="00DE575E">
      <w:pPr>
        <w:spacing w:line="228" w:lineRule="auto"/>
        <w:jc w:val="center"/>
        <w:rPr>
          <w:sz w:val="18"/>
        </w:rPr>
        <w:sectPr w:rsidR="00DE575E">
          <w:pgSz w:w="8510" w:h="12760"/>
          <w:pgMar w:top="1180" w:right="720" w:bottom="280" w:left="600" w:header="720" w:footer="720" w:gutter="0"/>
          <w:cols w:space="720"/>
        </w:sectPr>
      </w:pPr>
    </w:p>
    <w:p w14:paraId="2B1680CC" w14:textId="77777777" w:rsidR="00DE575E" w:rsidRDefault="00DE575E">
      <w:pPr>
        <w:pStyle w:val="BodyText"/>
        <w:spacing w:before="7"/>
        <w:rPr>
          <w:sz w:val="27"/>
        </w:rPr>
      </w:pPr>
    </w:p>
    <w:p w14:paraId="1957E0B6" w14:textId="77777777" w:rsidR="00DE575E" w:rsidRDefault="002E7560">
      <w:pPr>
        <w:spacing w:before="100"/>
        <w:ind w:left="695" w:right="292"/>
        <w:jc w:val="center"/>
        <w:rPr>
          <w:i/>
          <w:sz w:val="24"/>
        </w:rPr>
      </w:pPr>
      <w:r>
        <w:rPr>
          <w:i/>
          <w:color w:val="231F20"/>
          <w:sz w:val="24"/>
        </w:rPr>
        <w:t>Scientific publication</w:t>
      </w:r>
    </w:p>
    <w:p w14:paraId="5B546E59" w14:textId="77777777" w:rsidR="00DE575E" w:rsidRDefault="00DE575E">
      <w:pPr>
        <w:pStyle w:val="BodyText"/>
        <w:rPr>
          <w:i/>
          <w:sz w:val="28"/>
        </w:rPr>
      </w:pPr>
    </w:p>
    <w:p w14:paraId="511A2A11" w14:textId="77777777" w:rsidR="00DE575E" w:rsidRDefault="00DE575E">
      <w:pPr>
        <w:pStyle w:val="BodyText"/>
        <w:spacing w:before="9"/>
        <w:rPr>
          <w:i/>
          <w:sz w:val="37"/>
        </w:rPr>
      </w:pPr>
    </w:p>
    <w:p w14:paraId="73CCB0EE" w14:textId="77777777" w:rsidR="00DE575E" w:rsidRDefault="002E7560">
      <w:pPr>
        <w:spacing w:line="230" w:lineRule="auto"/>
        <w:ind w:left="1061" w:right="658"/>
        <w:jc w:val="center"/>
        <w:rPr>
          <w:b/>
          <w:sz w:val="32"/>
        </w:rPr>
      </w:pPr>
      <w:r>
        <w:rPr>
          <w:b/>
          <w:color w:val="231F20"/>
          <w:sz w:val="32"/>
        </w:rPr>
        <w:t>ADMINISTRATIVE LAW OF UKRAINE. FULL COURSE</w:t>
      </w:r>
    </w:p>
    <w:p w14:paraId="0EAC83BD" w14:textId="77777777" w:rsidR="00DE575E" w:rsidRDefault="00DE575E">
      <w:pPr>
        <w:pStyle w:val="BodyText"/>
        <w:spacing w:before="4"/>
        <w:rPr>
          <w:b/>
          <w:sz w:val="52"/>
        </w:rPr>
      </w:pPr>
    </w:p>
    <w:p w14:paraId="0B46A515" w14:textId="77777777" w:rsidR="00DE575E" w:rsidRDefault="002E7560">
      <w:pPr>
        <w:ind w:left="695" w:right="292"/>
        <w:jc w:val="center"/>
        <w:rPr>
          <w:b/>
          <w:sz w:val="28"/>
        </w:rPr>
      </w:pPr>
      <w:r>
        <w:rPr>
          <w:b/>
          <w:color w:val="231F20"/>
          <w:sz w:val="28"/>
        </w:rPr>
        <w:t>Third edition</w:t>
      </w:r>
    </w:p>
    <w:p w14:paraId="3037CBAE" w14:textId="77777777" w:rsidR="00DE575E" w:rsidRDefault="002E7560">
      <w:pPr>
        <w:spacing w:before="260"/>
        <w:ind w:left="695" w:right="292"/>
        <w:jc w:val="center"/>
        <w:rPr>
          <w:sz w:val="28"/>
        </w:rPr>
      </w:pPr>
      <w:r>
        <w:rPr>
          <w:color w:val="231F20"/>
          <w:sz w:val="28"/>
        </w:rPr>
        <w:t>Textbook</w:t>
      </w:r>
    </w:p>
    <w:p w14:paraId="678D9CC3" w14:textId="77777777" w:rsidR="00DE575E" w:rsidRDefault="002E7560">
      <w:pPr>
        <w:spacing w:before="285"/>
        <w:ind w:left="695" w:right="292"/>
        <w:jc w:val="center"/>
        <w:rPr>
          <w:i/>
          <w:sz w:val="24"/>
        </w:rPr>
      </w:pPr>
      <w:r>
        <w:rPr>
          <w:i/>
          <w:color w:val="231F20"/>
          <w:sz w:val="24"/>
        </w:rPr>
        <w:t>In Ukrainian</w:t>
      </w:r>
    </w:p>
    <w:p w14:paraId="3EC3DAC7" w14:textId="77777777" w:rsidR="00DE575E" w:rsidRDefault="00DE575E">
      <w:pPr>
        <w:pStyle w:val="BodyText"/>
        <w:rPr>
          <w:i/>
          <w:sz w:val="28"/>
        </w:rPr>
      </w:pPr>
    </w:p>
    <w:p w14:paraId="7AACDA62" w14:textId="77777777" w:rsidR="00DE575E" w:rsidRDefault="002E7560">
      <w:pPr>
        <w:pStyle w:val="Heading5"/>
        <w:spacing w:before="175"/>
        <w:ind w:left="695" w:right="292"/>
        <w:jc w:val="center"/>
      </w:pPr>
      <w:r>
        <w:rPr>
          <w:color w:val="231F20"/>
        </w:rPr>
        <w:t>Editorial Board:</w:t>
      </w:r>
    </w:p>
    <w:p w14:paraId="5442D67D" w14:textId="77777777" w:rsidR="00DE575E" w:rsidRDefault="002E7560">
      <w:pPr>
        <w:pStyle w:val="BodyText"/>
        <w:spacing w:before="6"/>
        <w:ind w:left="695" w:right="292"/>
        <w:jc w:val="center"/>
        <w:rPr>
          <w:b/>
        </w:rPr>
      </w:pPr>
      <w:r>
        <w:rPr>
          <w:color w:val="231F20"/>
        </w:rPr>
        <w:t xml:space="preserve">Doctor of Juridical Sciences, Professor </w:t>
      </w:r>
      <w:r>
        <w:rPr>
          <w:b/>
          <w:color w:val="231F20"/>
        </w:rPr>
        <w:t>V. Halunko</w:t>
      </w:r>
    </w:p>
    <w:p w14:paraId="232B610A" w14:textId="77777777" w:rsidR="00DE575E" w:rsidRDefault="002E7560">
      <w:pPr>
        <w:spacing w:before="6"/>
        <w:ind w:left="695" w:right="292"/>
        <w:jc w:val="center"/>
        <w:rPr>
          <w:b/>
          <w:sz w:val="21"/>
        </w:rPr>
      </w:pPr>
      <w:r>
        <w:rPr>
          <w:color w:val="231F20"/>
          <w:sz w:val="21"/>
        </w:rPr>
        <w:t xml:space="preserve">and Doctor of Juridical Sciences, Professor </w:t>
      </w:r>
      <w:r>
        <w:rPr>
          <w:b/>
          <w:color w:val="231F20"/>
          <w:sz w:val="21"/>
        </w:rPr>
        <w:t>О. Pravotorova</w:t>
      </w:r>
    </w:p>
    <w:p w14:paraId="52367820" w14:textId="77777777" w:rsidR="00DE575E" w:rsidRDefault="00DE575E">
      <w:pPr>
        <w:pStyle w:val="BodyText"/>
        <w:rPr>
          <w:b/>
          <w:sz w:val="24"/>
        </w:rPr>
      </w:pPr>
    </w:p>
    <w:p w14:paraId="0EAB4602" w14:textId="77777777" w:rsidR="00DE575E" w:rsidRDefault="00DE575E">
      <w:pPr>
        <w:pStyle w:val="BodyText"/>
        <w:rPr>
          <w:b/>
          <w:sz w:val="24"/>
        </w:rPr>
      </w:pPr>
    </w:p>
    <w:p w14:paraId="5BA98128" w14:textId="77777777" w:rsidR="00DE575E" w:rsidRDefault="00DE575E">
      <w:pPr>
        <w:pStyle w:val="BodyText"/>
        <w:rPr>
          <w:b/>
          <w:sz w:val="24"/>
        </w:rPr>
      </w:pPr>
    </w:p>
    <w:p w14:paraId="10CCD1D9" w14:textId="77777777" w:rsidR="00DE575E" w:rsidRDefault="00DE575E">
      <w:pPr>
        <w:pStyle w:val="BodyText"/>
        <w:rPr>
          <w:b/>
          <w:sz w:val="24"/>
        </w:rPr>
      </w:pPr>
    </w:p>
    <w:p w14:paraId="1C9B1E0B" w14:textId="77777777" w:rsidR="00DE575E" w:rsidRDefault="00DE575E">
      <w:pPr>
        <w:pStyle w:val="BodyText"/>
        <w:spacing w:before="2"/>
        <w:rPr>
          <w:b/>
          <w:sz w:val="35"/>
        </w:rPr>
      </w:pPr>
    </w:p>
    <w:p w14:paraId="05DC45EB" w14:textId="77777777" w:rsidR="00DE575E" w:rsidRDefault="002E7560">
      <w:pPr>
        <w:ind w:left="695" w:right="292"/>
        <w:jc w:val="center"/>
        <w:rPr>
          <w:sz w:val="18"/>
        </w:rPr>
      </w:pPr>
      <w:r>
        <w:rPr>
          <w:color w:val="231F20"/>
          <w:sz w:val="18"/>
        </w:rPr>
        <w:t>Layout by N. Kovalchuk</w:t>
      </w:r>
    </w:p>
    <w:p w14:paraId="6E730B81" w14:textId="77777777" w:rsidR="00DE575E" w:rsidRDefault="00DE575E">
      <w:pPr>
        <w:pStyle w:val="BodyText"/>
        <w:rPr>
          <w:sz w:val="20"/>
        </w:rPr>
      </w:pPr>
    </w:p>
    <w:p w14:paraId="4E8D4A79" w14:textId="77777777" w:rsidR="00DE575E" w:rsidRDefault="002E7560">
      <w:pPr>
        <w:spacing w:before="163" w:line="228" w:lineRule="auto"/>
        <w:ind w:left="1679" w:right="1272"/>
        <w:jc w:val="center"/>
        <w:rPr>
          <w:sz w:val="18"/>
        </w:rPr>
      </w:pPr>
      <w:r>
        <w:rPr>
          <w:color w:val="231F20"/>
          <w:sz w:val="18"/>
        </w:rPr>
        <w:t>Signed for printing 25.03.2020. Format 60х90/16. Offset paper. Typeface Cambria. Digital printing.</w:t>
      </w:r>
    </w:p>
    <w:p w14:paraId="1D6EF27B" w14:textId="77777777" w:rsidR="00DE575E" w:rsidRDefault="002E7560">
      <w:pPr>
        <w:spacing w:line="196" w:lineRule="exact"/>
        <w:ind w:left="695" w:right="289"/>
        <w:jc w:val="center"/>
        <w:rPr>
          <w:sz w:val="18"/>
        </w:rPr>
      </w:pPr>
      <w:r>
        <w:rPr>
          <w:color w:val="231F20"/>
          <w:sz w:val="18"/>
        </w:rPr>
        <w:t>Con. print sheets: 36,5. Print run: 1000. Order No. 0704-214-п.</w:t>
      </w:r>
    </w:p>
    <w:p w14:paraId="44590916" w14:textId="77777777" w:rsidR="00DE575E" w:rsidRDefault="002E7560">
      <w:pPr>
        <w:spacing w:line="206" w:lineRule="exact"/>
        <w:ind w:left="695" w:right="291"/>
        <w:jc w:val="center"/>
        <w:rPr>
          <w:sz w:val="18"/>
        </w:rPr>
      </w:pPr>
      <w:r>
        <w:rPr>
          <w:color w:val="231F20"/>
          <w:sz w:val="18"/>
        </w:rPr>
        <w:t>Negot</w:t>
      </w:r>
      <w:r>
        <w:rPr>
          <w:color w:val="231F20"/>
          <w:sz w:val="18"/>
        </w:rPr>
        <w:t>iated price. Printed from the original ready file.</w:t>
      </w:r>
    </w:p>
    <w:p w14:paraId="26BE77DF" w14:textId="77777777" w:rsidR="00DE575E" w:rsidRDefault="00DE575E">
      <w:pPr>
        <w:pStyle w:val="BodyText"/>
        <w:spacing w:before="10"/>
        <w:rPr>
          <w:sz w:val="16"/>
        </w:rPr>
      </w:pPr>
    </w:p>
    <w:p w14:paraId="7409688C" w14:textId="7337EEB5" w:rsidR="00DE575E" w:rsidRDefault="002E7560">
      <w:pPr>
        <w:spacing w:line="228" w:lineRule="auto"/>
        <w:ind w:left="2216" w:right="1808" w:hanging="3"/>
        <w:jc w:val="center"/>
        <w:rPr>
          <w:sz w:val="18"/>
        </w:rPr>
      </w:pPr>
      <w:r>
        <w:rPr>
          <w:noProof/>
        </w:rPr>
        <mc:AlternateContent>
          <mc:Choice Requires="wps">
            <w:drawing>
              <wp:anchor distT="0" distB="0" distL="0" distR="0" simplePos="0" relativeHeight="20896" behindDoc="0" locked="0" layoutInCell="1" allowOverlap="1" wp14:anchorId="16304FEC" wp14:editId="279AA851">
                <wp:simplePos x="0" y="0"/>
                <wp:positionH relativeFrom="page">
                  <wp:posOffset>2339975</wp:posOffset>
                </wp:positionH>
                <wp:positionV relativeFrom="paragraph">
                  <wp:posOffset>454025</wp:posOffset>
                </wp:positionV>
                <wp:extent cx="899795" cy="0"/>
                <wp:effectExtent l="15875" t="9525" r="24130" b="2857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6C0C2" id="Line_x0020_2" o:spid="_x0000_s1026" style="position:absolute;z-index:2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4.25pt,35.75pt" to="255.1pt,3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" strokecolor="#231f20" strokeweight=".5pt">
                <w10:wrap type="topAndBottom" anchorx="page"/>
              </v:line>
            </w:pict>
          </mc:Fallback>
        </mc:AlternateContent>
      </w:r>
      <w:r>
        <w:rPr>
          <w:color w:val="231F20"/>
          <w:sz w:val="18"/>
        </w:rPr>
        <w:t>Publishing and printing: «OLDI-PLUS» 46-A, Parovozna str., Kherson, 73034 Certificate ДК № 6532 dated 13.12.2018.</w:t>
      </w:r>
    </w:p>
    <w:p w14:paraId="27FCA817" w14:textId="77777777" w:rsidR="00DE575E" w:rsidRDefault="002E7560">
      <w:pPr>
        <w:spacing w:before="42" w:line="206" w:lineRule="exact"/>
        <w:ind w:left="695" w:right="289"/>
        <w:jc w:val="center"/>
        <w:rPr>
          <w:sz w:val="18"/>
        </w:rPr>
      </w:pPr>
      <w:r>
        <w:rPr>
          <w:color w:val="231F20"/>
          <w:sz w:val="18"/>
        </w:rPr>
        <w:t>Tel.: +38 (0552) 399-580, +38 (098) 559-45-45,</w:t>
      </w:r>
    </w:p>
    <w:p w14:paraId="22C93D1E" w14:textId="77777777" w:rsidR="00DE575E" w:rsidRDefault="002E7560">
      <w:pPr>
        <w:spacing w:line="200" w:lineRule="exact"/>
        <w:ind w:left="695" w:right="290"/>
        <w:jc w:val="center"/>
        <w:rPr>
          <w:sz w:val="18"/>
        </w:rPr>
      </w:pPr>
      <w:r>
        <w:rPr>
          <w:color w:val="231F20"/>
          <w:sz w:val="18"/>
        </w:rPr>
        <w:t>+38 (095) 559-45-45, +38 (093) 559-45-45</w:t>
      </w:r>
    </w:p>
    <w:p w14:paraId="1D3A7BAC" w14:textId="77777777" w:rsidR="00DE575E" w:rsidRDefault="002E7560">
      <w:pPr>
        <w:spacing w:before="3" w:line="228" w:lineRule="auto"/>
        <w:ind w:left="1634" w:right="1229"/>
        <w:jc w:val="center"/>
        <w:rPr>
          <w:sz w:val="18"/>
        </w:rPr>
      </w:pPr>
      <w:r>
        <w:rPr>
          <w:color w:val="231F20"/>
          <w:sz w:val="18"/>
        </w:rPr>
        <w:t xml:space="preserve">For correspondence: P.O.B. 20, Kherson, Ukraine, 73021 E-mail: </w:t>
      </w:r>
      <w:hyperlink r:id="rId51">
        <w:r>
          <w:rPr>
            <w:color w:val="231F20"/>
            <w:sz w:val="18"/>
          </w:rPr>
          <w:t>office@oldiplus.ua</w:t>
        </w:r>
      </w:hyperlink>
    </w:p>
    <w:sectPr w:rsidR="00DE575E">
      <w:pgSz w:w="8510" w:h="12760"/>
      <w:pgMar w:top="1180" w:right="7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YanusC">
    <w:altName w:val="Arial"/>
    <w:charset w:val="CC"/>
    <w:family w:val="modern"/>
    <w:pitch w:val="variable"/>
  </w:font>
  <w:font w:name="AdonisC">
    <w:altName w:val="Times New Roman"/>
    <w:charset w:val="CC"/>
    <w:family w:val="auto"/>
    <w:pitch w:val="variable"/>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7FA9"/>
    <w:multiLevelType w:val="multilevel"/>
    <w:tmpl w:val="8FD20CD0"/>
    <w:lvl w:ilvl="0">
      <w:start w:val="3"/>
      <w:numFmt w:val="decimal"/>
      <w:lvlText w:val="%1"/>
      <w:lvlJc w:val="left"/>
      <w:pPr>
        <w:ind w:left="647" w:hanging="397"/>
        <w:jc w:val="left"/>
      </w:pPr>
      <w:rPr>
        <w:rFonts w:hint="default"/>
      </w:rPr>
    </w:lvl>
    <w:lvl w:ilvl="1">
      <w:start w:val="1"/>
      <w:numFmt w:val="decimal"/>
      <w:lvlText w:val="%1.%2."/>
      <w:lvlJc w:val="left"/>
      <w:pPr>
        <w:ind w:left="647" w:hanging="397"/>
        <w:jc w:val="right"/>
      </w:pPr>
      <w:rPr>
        <w:rFonts w:ascii="Cambria" w:eastAsia="Cambria" w:hAnsi="Cambria" w:cs="Cambria" w:hint="default"/>
        <w:b/>
        <w:bCs/>
        <w:color w:val="231F20"/>
        <w:spacing w:val="-1"/>
        <w:w w:val="100"/>
        <w:sz w:val="21"/>
        <w:szCs w:val="21"/>
      </w:rPr>
    </w:lvl>
    <w:lvl w:ilvl="2">
      <w:numFmt w:val="bullet"/>
      <w:lvlText w:val="•"/>
      <w:lvlJc w:val="left"/>
      <w:pPr>
        <w:ind w:left="1948" w:hanging="397"/>
      </w:pPr>
      <w:rPr>
        <w:rFonts w:hint="default"/>
      </w:rPr>
    </w:lvl>
    <w:lvl w:ilvl="3">
      <w:numFmt w:val="bullet"/>
      <w:lvlText w:val="•"/>
      <w:lvlJc w:val="left"/>
      <w:pPr>
        <w:ind w:left="2603" w:hanging="397"/>
      </w:pPr>
      <w:rPr>
        <w:rFonts w:hint="default"/>
      </w:rPr>
    </w:lvl>
    <w:lvl w:ilvl="4">
      <w:numFmt w:val="bullet"/>
      <w:lvlText w:val="•"/>
      <w:lvlJc w:val="left"/>
      <w:pPr>
        <w:ind w:left="3257" w:hanging="397"/>
      </w:pPr>
      <w:rPr>
        <w:rFonts w:hint="default"/>
      </w:rPr>
    </w:lvl>
    <w:lvl w:ilvl="5">
      <w:numFmt w:val="bullet"/>
      <w:lvlText w:val="•"/>
      <w:lvlJc w:val="left"/>
      <w:pPr>
        <w:ind w:left="3911" w:hanging="397"/>
      </w:pPr>
      <w:rPr>
        <w:rFonts w:hint="default"/>
      </w:rPr>
    </w:lvl>
    <w:lvl w:ilvl="6">
      <w:numFmt w:val="bullet"/>
      <w:lvlText w:val="•"/>
      <w:lvlJc w:val="left"/>
      <w:pPr>
        <w:ind w:left="4566" w:hanging="397"/>
      </w:pPr>
      <w:rPr>
        <w:rFonts w:hint="default"/>
      </w:rPr>
    </w:lvl>
    <w:lvl w:ilvl="7">
      <w:numFmt w:val="bullet"/>
      <w:lvlText w:val="•"/>
      <w:lvlJc w:val="left"/>
      <w:pPr>
        <w:ind w:left="5220" w:hanging="397"/>
      </w:pPr>
      <w:rPr>
        <w:rFonts w:hint="default"/>
      </w:rPr>
    </w:lvl>
    <w:lvl w:ilvl="8">
      <w:numFmt w:val="bullet"/>
      <w:lvlText w:val="•"/>
      <w:lvlJc w:val="left"/>
      <w:pPr>
        <w:ind w:left="5875" w:hanging="397"/>
      </w:pPr>
      <w:rPr>
        <w:rFonts w:hint="default"/>
      </w:rPr>
    </w:lvl>
  </w:abstractNum>
  <w:abstractNum w:abstractNumId="1">
    <w:nsid w:val="013616DF"/>
    <w:multiLevelType w:val="hybridMultilevel"/>
    <w:tmpl w:val="47D2B842"/>
    <w:lvl w:ilvl="0" w:tplc="74C654BC">
      <w:start w:val="1"/>
      <w:numFmt w:val="decimal"/>
      <w:lvlText w:val="%1)"/>
      <w:lvlJc w:val="left"/>
      <w:pPr>
        <w:ind w:left="250" w:hanging="284"/>
        <w:jc w:val="left"/>
      </w:pPr>
      <w:rPr>
        <w:rFonts w:ascii="Cambria" w:eastAsia="Cambria" w:hAnsi="Cambria" w:cs="Cambria" w:hint="default"/>
        <w:color w:val="231F20"/>
        <w:spacing w:val="-23"/>
        <w:w w:val="100"/>
        <w:sz w:val="21"/>
        <w:szCs w:val="21"/>
      </w:rPr>
    </w:lvl>
    <w:lvl w:ilvl="1" w:tplc="318880F4">
      <w:numFmt w:val="bullet"/>
      <w:lvlText w:val="•"/>
      <w:lvlJc w:val="left"/>
      <w:pPr>
        <w:ind w:left="952" w:hanging="284"/>
      </w:pPr>
      <w:rPr>
        <w:rFonts w:hint="default"/>
      </w:rPr>
    </w:lvl>
    <w:lvl w:ilvl="2" w:tplc="AC76A23A">
      <w:numFmt w:val="bullet"/>
      <w:lvlText w:val="•"/>
      <w:lvlJc w:val="left"/>
      <w:pPr>
        <w:ind w:left="1644" w:hanging="284"/>
      </w:pPr>
      <w:rPr>
        <w:rFonts w:hint="default"/>
      </w:rPr>
    </w:lvl>
    <w:lvl w:ilvl="3" w:tplc="F5C66E50">
      <w:numFmt w:val="bullet"/>
      <w:lvlText w:val="•"/>
      <w:lvlJc w:val="left"/>
      <w:pPr>
        <w:ind w:left="2337" w:hanging="284"/>
      </w:pPr>
      <w:rPr>
        <w:rFonts w:hint="default"/>
      </w:rPr>
    </w:lvl>
    <w:lvl w:ilvl="4" w:tplc="7DCA343E">
      <w:numFmt w:val="bullet"/>
      <w:lvlText w:val="•"/>
      <w:lvlJc w:val="left"/>
      <w:pPr>
        <w:ind w:left="3029" w:hanging="284"/>
      </w:pPr>
      <w:rPr>
        <w:rFonts w:hint="default"/>
      </w:rPr>
    </w:lvl>
    <w:lvl w:ilvl="5" w:tplc="7E809B56">
      <w:numFmt w:val="bullet"/>
      <w:lvlText w:val="•"/>
      <w:lvlJc w:val="left"/>
      <w:pPr>
        <w:ind w:left="3721" w:hanging="284"/>
      </w:pPr>
      <w:rPr>
        <w:rFonts w:hint="default"/>
      </w:rPr>
    </w:lvl>
    <w:lvl w:ilvl="6" w:tplc="A80A060A">
      <w:numFmt w:val="bullet"/>
      <w:lvlText w:val="•"/>
      <w:lvlJc w:val="left"/>
      <w:pPr>
        <w:ind w:left="4414" w:hanging="284"/>
      </w:pPr>
      <w:rPr>
        <w:rFonts w:hint="default"/>
      </w:rPr>
    </w:lvl>
    <w:lvl w:ilvl="7" w:tplc="2C5889CA">
      <w:numFmt w:val="bullet"/>
      <w:lvlText w:val="•"/>
      <w:lvlJc w:val="left"/>
      <w:pPr>
        <w:ind w:left="5106" w:hanging="284"/>
      </w:pPr>
      <w:rPr>
        <w:rFonts w:hint="default"/>
      </w:rPr>
    </w:lvl>
    <w:lvl w:ilvl="8" w:tplc="927AEA14">
      <w:numFmt w:val="bullet"/>
      <w:lvlText w:val="•"/>
      <w:lvlJc w:val="left"/>
      <w:pPr>
        <w:ind w:left="5799" w:hanging="284"/>
      </w:pPr>
      <w:rPr>
        <w:rFonts w:hint="default"/>
      </w:rPr>
    </w:lvl>
  </w:abstractNum>
  <w:abstractNum w:abstractNumId="2">
    <w:nsid w:val="019F600B"/>
    <w:multiLevelType w:val="hybridMultilevel"/>
    <w:tmpl w:val="A0AA0DAA"/>
    <w:lvl w:ilvl="0" w:tplc="B330DF10">
      <w:start w:val="1"/>
      <w:numFmt w:val="decimal"/>
      <w:lvlText w:val="%1)"/>
      <w:lvlJc w:val="left"/>
      <w:pPr>
        <w:ind w:left="250" w:hanging="284"/>
        <w:jc w:val="left"/>
      </w:pPr>
      <w:rPr>
        <w:rFonts w:ascii="Cambria" w:eastAsia="Cambria" w:hAnsi="Cambria" w:cs="Cambria" w:hint="default"/>
        <w:color w:val="231F20"/>
        <w:spacing w:val="-24"/>
        <w:w w:val="100"/>
        <w:sz w:val="21"/>
        <w:szCs w:val="21"/>
      </w:rPr>
    </w:lvl>
    <w:lvl w:ilvl="1" w:tplc="E8B862CC">
      <w:numFmt w:val="bullet"/>
      <w:lvlText w:val=""/>
      <w:lvlJc w:val="left"/>
      <w:pPr>
        <w:ind w:left="533" w:hanging="284"/>
      </w:pPr>
      <w:rPr>
        <w:rFonts w:ascii="Wingdings" w:eastAsia="Wingdings" w:hAnsi="Wingdings" w:cs="Wingdings" w:hint="default"/>
        <w:color w:val="231F20"/>
        <w:w w:val="100"/>
        <w:sz w:val="21"/>
        <w:szCs w:val="21"/>
      </w:rPr>
    </w:lvl>
    <w:lvl w:ilvl="2" w:tplc="B24ECE74">
      <w:numFmt w:val="bullet"/>
      <w:lvlText w:val="•"/>
      <w:lvlJc w:val="left"/>
      <w:pPr>
        <w:ind w:left="1278" w:hanging="284"/>
      </w:pPr>
      <w:rPr>
        <w:rFonts w:hint="default"/>
      </w:rPr>
    </w:lvl>
    <w:lvl w:ilvl="3" w:tplc="BFD853BA">
      <w:numFmt w:val="bullet"/>
      <w:lvlText w:val="•"/>
      <w:lvlJc w:val="left"/>
      <w:pPr>
        <w:ind w:left="2016" w:hanging="284"/>
      </w:pPr>
      <w:rPr>
        <w:rFonts w:hint="default"/>
      </w:rPr>
    </w:lvl>
    <w:lvl w:ilvl="4" w:tplc="8AD0DB0E">
      <w:numFmt w:val="bullet"/>
      <w:lvlText w:val="•"/>
      <w:lvlJc w:val="left"/>
      <w:pPr>
        <w:ind w:left="2754" w:hanging="284"/>
      </w:pPr>
      <w:rPr>
        <w:rFonts w:hint="default"/>
      </w:rPr>
    </w:lvl>
    <w:lvl w:ilvl="5" w:tplc="50A08790">
      <w:numFmt w:val="bullet"/>
      <w:lvlText w:val="•"/>
      <w:lvlJc w:val="left"/>
      <w:pPr>
        <w:ind w:left="3492" w:hanging="284"/>
      </w:pPr>
      <w:rPr>
        <w:rFonts w:hint="default"/>
      </w:rPr>
    </w:lvl>
    <w:lvl w:ilvl="6" w:tplc="05AACAD2">
      <w:numFmt w:val="bullet"/>
      <w:lvlText w:val="•"/>
      <w:lvlJc w:val="left"/>
      <w:pPr>
        <w:ind w:left="4231" w:hanging="284"/>
      </w:pPr>
      <w:rPr>
        <w:rFonts w:hint="default"/>
      </w:rPr>
    </w:lvl>
    <w:lvl w:ilvl="7" w:tplc="763071AA">
      <w:numFmt w:val="bullet"/>
      <w:lvlText w:val="•"/>
      <w:lvlJc w:val="left"/>
      <w:pPr>
        <w:ind w:left="4969" w:hanging="284"/>
      </w:pPr>
      <w:rPr>
        <w:rFonts w:hint="default"/>
      </w:rPr>
    </w:lvl>
    <w:lvl w:ilvl="8" w:tplc="FF4CA21A">
      <w:numFmt w:val="bullet"/>
      <w:lvlText w:val="•"/>
      <w:lvlJc w:val="left"/>
      <w:pPr>
        <w:ind w:left="5707" w:hanging="284"/>
      </w:pPr>
      <w:rPr>
        <w:rFonts w:hint="default"/>
      </w:rPr>
    </w:lvl>
  </w:abstractNum>
  <w:abstractNum w:abstractNumId="3">
    <w:nsid w:val="02F1124C"/>
    <w:multiLevelType w:val="hybridMultilevel"/>
    <w:tmpl w:val="60CCFC82"/>
    <w:lvl w:ilvl="0" w:tplc="CDA0094C">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1D801E64">
      <w:numFmt w:val="bullet"/>
      <w:lvlText w:val="•"/>
      <w:lvlJc w:val="left"/>
      <w:pPr>
        <w:ind w:left="952" w:hanging="284"/>
      </w:pPr>
      <w:rPr>
        <w:rFonts w:hint="default"/>
      </w:rPr>
    </w:lvl>
    <w:lvl w:ilvl="2" w:tplc="30AA6ACC">
      <w:numFmt w:val="bullet"/>
      <w:lvlText w:val="•"/>
      <w:lvlJc w:val="left"/>
      <w:pPr>
        <w:ind w:left="1644" w:hanging="284"/>
      </w:pPr>
      <w:rPr>
        <w:rFonts w:hint="default"/>
      </w:rPr>
    </w:lvl>
    <w:lvl w:ilvl="3" w:tplc="AB38143C">
      <w:numFmt w:val="bullet"/>
      <w:lvlText w:val="•"/>
      <w:lvlJc w:val="left"/>
      <w:pPr>
        <w:ind w:left="2337" w:hanging="284"/>
      </w:pPr>
      <w:rPr>
        <w:rFonts w:hint="default"/>
      </w:rPr>
    </w:lvl>
    <w:lvl w:ilvl="4" w:tplc="C5805B4A">
      <w:numFmt w:val="bullet"/>
      <w:lvlText w:val="•"/>
      <w:lvlJc w:val="left"/>
      <w:pPr>
        <w:ind w:left="3029" w:hanging="284"/>
      </w:pPr>
      <w:rPr>
        <w:rFonts w:hint="default"/>
      </w:rPr>
    </w:lvl>
    <w:lvl w:ilvl="5" w:tplc="A02A1646">
      <w:numFmt w:val="bullet"/>
      <w:lvlText w:val="•"/>
      <w:lvlJc w:val="left"/>
      <w:pPr>
        <w:ind w:left="3721" w:hanging="284"/>
      </w:pPr>
      <w:rPr>
        <w:rFonts w:hint="default"/>
      </w:rPr>
    </w:lvl>
    <w:lvl w:ilvl="6" w:tplc="F27AD26E">
      <w:numFmt w:val="bullet"/>
      <w:lvlText w:val="•"/>
      <w:lvlJc w:val="left"/>
      <w:pPr>
        <w:ind w:left="4414" w:hanging="284"/>
      </w:pPr>
      <w:rPr>
        <w:rFonts w:hint="default"/>
      </w:rPr>
    </w:lvl>
    <w:lvl w:ilvl="7" w:tplc="67C67FA2">
      <w:numFmt w:val="bullet"/>
      <w:lvlText w:val="•"/>
      <w:lvlJc w:val="left"/>
      <w:pPr>
        <w:ind w:left="5106" w:hanging="284"/>
      </w:pPr>
      <w:rPr>
        <w:rFonts w:hint="default"/>
      </w:rPr>
    </w:lvl>
    <w:lvl w:ilvl="8" w:tplc="FA3EE710">
      <w:numFmt w:val="bullet"/>
      <w:lvlText w:val="•"/>
      <w:lvlJc w:val="left"/>
      <w:pPr>
        <w:ind w:left="5799" w:hanging="284"/>
      </w:pPr>
      <w:rPr>
        <w:rFonts w:hint="default"/>
      </w:rPr>
    </w:lvl>
  </w:abstractNum>
  <w:abstractNum w:abstractNumId="4">
    <w:nsid w:val="03190FDF"/>
    <w:multiLevelType w:val="hybridMultilevel"/>
    <w:tmpl w:val="1C542CE2"/>
    <w:lvl w:ilvl="0" w:tplc="45ECDE0A">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BC2C9CEE">
      <w:numFmt w:val="bullet"/>
      <w:lvlText w:val="•"/>
      <w:lvlJc w:val="left"/>
      <w:pPr>
        <w:ind w:left="952" w:hanging="284"/>
      </w:pPr>
      <w:rPr>
        <w:rFonts w:hint="default"/>
      </w:rPr>
    </w:lvl>
    <w:lvl w:ilvl="2" w:tplc="07FCA0CA">
      <w:numFmt w:val="bullet"/>
      <w:lvlText w:val="•"/>
      <w:lvlJc w:val="left"/>
      <w:pPr>
        <w:ind w:left="1644" w:hanging="284"/>
      </w:pPr>
      <w:rPr>
        <w:rFonts w:hint="default"/>
      </w:rPr>
    </w:lvl>
    <w:lvl w:ilvl="3" w:tplc="DB3647AA">
      <w:numFmt w:val="bullet"/>
      <w:lvlText w:val="•"/>
      <w:lvlJc w:val="left"/>
      <w:pPr>
        <w:ind w:left="2337" w:hanging="284"/>
      </w:pPr>
      <w:rPr>
        <w:rFonts w:hint="default"/>
      </w:rPr>
    </w:lvl>
    <w:lvl w:ilvl="4" w:tplc="D22C8B16">
      <w:numFmt w:val="bullet"/>
      <w:lvlText w:val="•"/>
      <w:lvlJc w:val="left"/>
      <w:pPr>
        <w:ind w:left="3029" w:hanging="284"/>
      </w:pPr>
      <w:rPr>
        <w:rFonts w:hint="default"/>
      </w:rPr>
    </w:lvl>
    <w:lvl w:ilvl="5" w:tplc="3EA238D6">
      <w:numFmt w:val="bullet"/>
      <w:lvlText w:val="•"/>
      <w:lvlJc w:val="left"/>
      <w:pPr>
        <w:ind w:left="3721" w:hanging="284"/>
      </w:pPr>
      <w:rPr>
        <w:rFonts w:hint="default"/>
      </w:rPr>
    </w:lvl>
    <w:lvl w:ilvl="6" w:tplc="EB722510">
      <w:numFmt w:val="bullet"/>
      <w:lvlText w:val="•"/>
      <w:lvlJc w:val="left"/>
      <w:pPr>
        <w:ind w:left="4414" w:hanging="284"/>
      </w:pPr>
      <w:rPr>
        <w:rFonts w:hint="default"/>
      </w:rPr>
    </w:lvl>
    <w:lvl w:ilvl="7" w:tplc="2B8E49B0">
      <w:numFmt w:val="bullet"/>
      <w:lvlText w:val="•"/>
      <w:lvlJc w:val="left"/>
      <w:pPr>
        <w:ind w:left="5106" w:hanging="284"/>
      </w:pPr>
      <w:rPr>
        <w:rFonts w:hint="default"/>
      </w:rPr>
    </w:lvl>
    <w:lvl w:ilvl="8" w:tplc="5456D442">
      <w:numFmt w:val="bullet"/>
      <w:lvlText w:val="•"/>
      <w:lvlJc w:val="left"/>
      <w:pPr>
        <w:ind w:left="5799" w:hanging="284"/>
      </w:pPr>
      <w:rPr>
        <w:rFonts w:hint="default"/>
      </w:rPr>
    </w:lvl>
  </w:abstractNum>
  <w:abstractNum w:abstractNumId="5">
    <w:nsid w:val="0387713E"/>
    <w:multiLevelType w:val="hybridMultilevel"/>
    <w:tmpl w:val="348E83CA"/>
    <w:lvl w:ilvl="0" w:tplc="3EF24488">
      <w:numFmt w:val="bullet"/>
      <w:lvlText w:val="–"/>
      <w:lvlJc w:val="left"/>
      <w:pPr>
        <w:ind w:left="533" w:hanging="154"/>
      </w:pPr>
      <w:rPr>
        <w:rFonts w:ascii="Cambria" w:eastAsia="Cambria" w:hAnsi="Cambria" w:cs="Cambria" w:hint="default"/>
        <w:i/>
        <w:color w:val="231F20"/>
        <w:spacing w:val="-17"/>
        <w:w w:val="100"/>
        <w:sz w:val="18"/>
        <w:szCs w:val="18"/>
      </w:rPr>
    </w:lvl>
    <w:lvl w:ilvl="1" w:tplc="63123452">
      <w:numFmt w:val="bullet"/>
      <w:lvlText w:val="•"/>
      <w:lvlJc w:val="left"/>
      <w:pPr>
        <w:ind w:left="1204" w:hanging="154"/>
      </w:pPr>
      <w:rPr>
        <w:rFonts w:hint="default"/>
      </w:rPr>
    </w:lvl>
    <w:lvl w:ilvl="2" w:tplc="9BF8FED4">
      <w:numFmt w:val="bullet"/>
      <w:lvlText w:val="•"/>
      <w:lvlJc w:val="left"/>
      <w:pPr>
        <w:ind w:left="1868" w:hanging="154"/>
      </w:pPr>
      <w:rPr>
        <w:rFonts w:hint="default"/>
      </w:rPr>
    </w:lvl>
    <w:lvl w:ilvl="3" w:tplc="8DFC9766">
      <w:numFmt w:val="bullet"/>
      <w:lvlText w:val="•"/>
      <w:lvlJc w:val="left"/>
      <w:pPr>
        <w:ind w:left="2533" w:hanging="154"/>
      </w:pPr>
      <w:rPr>
        <w:rFonts w:hint="default"/>
      </w:rPr>
    </w:lvl>
    <w:lvl w:ilvl="4" w:tplc="C5DC459C">
      <w:numFmt w:val="bullet"/>
      <w:lvlText w:val="•"/>
      <w:lvlJc w:val="left"/>
      <w:pPr>
        <w:ind w:left="3197" w:hanging="154"/>
      </w:pPr>
      <w:rPr>
        <w:rFonts w:hint="default"/>
      </w:rPr>
    </w:lvl>
    <w:lvl w:ilvl="5" w:tplc="D8C6D01C">
      <w:numFmt w:val="bullet"/>
      <w:lvlText w:val="•"/>
      <w:lvlJc w:val="left"/>
      <w:pPr>
        <w:ind w:left="3861" w:hanging="154"/>
      </w:pPr>
      <w:rPr>
        <w:rFonts w:hint="default"/>
      </w:rPr>
    </w:lvl>
    <w:lvl w:ilvl="6" w:tplc="3C7841A6">
      <w:numFmt w:val="bullet"/>
      <w:lvlText w:val="•"/>
      <w:lvlJc w:val="left"/>
      <w:pPr>
        <w:ind w:left="4526" w:hanging="154"/>
      </w:pPr>
      <w:rPr>
        <w:rFonts w:hint="default"/>
      </w:rPr>
    </w:lvl>
    <w:lvl w:ilvl="7" w:tplc="F63A93FC">
      <w:numFmt w:val="bullet"/>
      <w:lvlText w:val="•"/>
      <w:lvlJc w:val="left"/>
      <w:pPr>
        <w:ind w:left="5190" w:hanging="154"/>
      </w:pPr>
      <w:rPr>
        <w:rFonts w:hint="default"/>
      </w:rPr>
    </w:lvl>
    <w:lvl w:ilvl="8" w:tplc="B9045D7C">
      <w:numFmt w:val="bullet"/>
      <w:lvlText w:val="•"/>
      <w:lvlJc w:val="left"/>
      <w:pPr>
        <w:ind w:left="5855" w:hanging="154"/>
      </w:pPr>
      <w:rPr>
        <w:rFonts w:hint="default"/>
      </w:rPr>
    </w:lvl>
  </w:abstractNum>
  <w:abstractNum w:abstractNumId="6">
    <w:nsid w:val="03D778F9"/>
    <w:multiLevelType w:val="multilevel"/>
    <w:tmpl w:val="085AADC0"/>
    <w:lvl w:ilvl="0">
      <w:start w:val="7"/>
      <w:numFmt w:val="decimal"/>
      <w:lvlText w:val="%1"/>
      <w:lvlJc w:val="left"/>
      <w:pPr>
        <w:ind w:left="1098" w:hanging="565"/>
        <w:jc w:val="left"/>
      </w:pPr>
      <w:rPr>
        <w:rFonts w:hint="default"/>
      </w:rPr>
    </w:lvl>
    <w:lvl w:ilvl="1">
      <w:start w:val="3"/>
      <w:numFmt w:val="decimal"/>
      <w:lvlText w:val="%1.%2"/>
      <w:lvlJc w:val="left"/>
      <w:pPr>
        <w:ind w:left="1098" w:hanging="565"/>
        <w:jc w:val="left"/>
      </w:pPr>
      <w:rPr>
        <w:rFonts w:hint="default"/>
      </w:rPr>
    </w:lvl>
    <w:lvl w:ilvl="2">
      <w:start w:val="3"/>
      <w:numFmt w:val="decimal"/>
      <w:lvlText w:val="%1.%2.%3."/>
      <w:lvlJc w:val="left"/>
      <w:pPr>
        <w:ind w:left="1098" w:hanging="565"/>
        <w:jc w:val="righ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7">
    <w:nsid w:val="04456FEA"/>
    <w:multiLevelType w:val="hybridMultilevel"/>
    <w:tmpl w:val="475287DC"/>
    <w:lvl w:ilvl="0" w:tplc="A59CC182">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478C37D8">
      <w:numFmt w:val="bullet"/>
      <w:lvlText w:val=""/>
      <w:lvlJc w:val="left"/>
      <w:pPr>
        <w:ind w:left="533" w:hanging="284"/>
      </w:pPr>
      <w:rPr>
        <w:rFonts w:ascii="Wingdings" w:eastAsia="Wingdings" w:hAnsi="Wingdings" w:cs="Wingdings" w:hint="default"/>
        <w:color w:val="231F20"/>
        <w:w w:val="100"/>
        <w:sz w:val="21"/>
        <w:szCs w:val="21"/>
      </w:rPr>
    </w:lvl>
    <w:lvl w:ilvl="2" w:tplc="AA38A9DE">
      <w:numFmt w:val="bullet"/>
      <w:lvlText w:val="•"/>
      <w:lvlJc w:val="left"/>
      <w:pPr>
        <w:ind w:left="1278" w:hanging="284"/>
      </w:pPr>
      <w:rPr>
        <w:rFonts w:hint="default"/>
      </w:rPr>
    </w:lvl>
    <w:lvl w:ilvl="3" w:tplc="22F6B934">
      <w:numFmt w:val="bullet"/>
      <w:lvlText w:val="•"/>
      <w:lvlJc w:val="left"/>
      <w:pPr>
        <w:ind w:left="2016" w:hanging="284"/>
      </w:pPr>
      <w:rPr>
        <w:rFonts w:hint="default"/>
      </w:rPr>
    </w:lvl>
    <w:lvl w:ilvl="4" w:tplc="99721FF6">
      <w:numFmt w:val="bullet"/>
      <w:lvlText w:val="•"/>
      <w:lvlJc w:val="left"/>
      <w:pPr>
        <w:ind w:left="2754" w:hanging="284"/>
      </w:pPr>
      <w:rPr>
        <w:rFonts w:hint="default"/>
      </w:rPr>
    </w:lvl>
    <w:lvl w:ilvl="5" w:tplc="613A4F5A">
      <w:numFmt w:val="bullet"/>
      <w:lvlText w:val="•"/>
      <w:lvlJc w:val="left"/>
      <w:pPr>
        <w:ind w:left="3492" w:hanging="284"/>
      </w:pPr>
      <w:rPr>
        <w:rFonts w:hint="default"/>
      </w:rPr>
    </w:lvl>
    <w:lvl w:ilvl="6" w:tplc="9198E7CC">
      <w:numFmt w:val="bullet"/>
      <w:lvlText w:val="•"/>
      <w:lvlJc w:val="left"/>
      <w:pPr>
        <w:ind w:left="4231" w:hanging="284"/>
      </w:pPr>
      <w:rPr>
        <w:rFonts w:hint="default"/>
      </w:rPr>
    </w:lvl>
    <w:lvl w:ilvl="7" w:tplc="33B86BEE">
      <w:numFmt w:val="bullet"/>
      <w:lvlText w:val="•"/>
      <w:lvlJc w:val="left"/>
      <w:pPr>
        <w:ind w:left="4969" w:hanging="284"/>
      </w:pPr>
      <w:rPr>
        <w:rFonts w:hint="default"/>
      </w:rPr>
    </w:lvl>
    <w:lvl w:ilvl="8" w:tplc="1C8810B4">
      <w:numFmt w:val="bullet"/>
      <w:lvlText w:val="•"/>
      <w:lvlJc w:val="left"/>
      <w:pPr>
        <w:ind w:left="5707" w:hanging="284"/>
      </w:pPr>
      <w:rPr>
        <w:rFonts w:hint="default"/>
      </w:rPr>
    </w:lvl>
  </w:abstractNum>
  <w:abstractNum w:abstractNumId="8">
    <w:nsid w:val="044A34F9"/>
    <w:multiLevelType w:val="multilevel"/>
    <w:tmpl w:val="251C2944"/>
    <w:lvl w:ilvl="0">
      <w:start w:val="4"/>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start w:val="1"/>
      <w:numFmt w:val="decimal"/>
      <w:lvlText w:val="%1.%2.%3."/>
      <w:lvlJc w:val="left"/>
      <w:pPr>
        <w:ind w:left="1214" w:hanging="567"/>
        <w:jc w:val="left"/>
      </w:pPr>
      <w:rPr>
        <w:rFonts w:hint="default"/>
        <w:spacing w:val="-4"/>
        <w:w w:val="81"/>
      </w:rPr>
    </w:lvl>
    <w:lvl w:ilvl="3">
      <w:start w:val="1"/>
      <w:numFmt w:val="decimal"/>
      <w:lvlText w:val="%1.%2.%3.%4."/>
      <w:lvlJc w:val="left"/>
      <w:pPr>
        <w:ind w:left="1930" w:hanging="717"/>
        <w:jc w:val="left"/>
      </w:pPr>
      <w:rPr>
        <w:rFonts w:ascii="Cambria" w:eastAsia="Cambria" w:hAnsi="Cambria" w:cs="Cambria" w:hint="default"/>
        <w:color w:val="231F20"/>
        <w:spacing w:val="-14"/>
        <w:w w:val="81"/>
        <w:sz w:val="21"/>
        <w:szCs w:val="21"/>
      </w:rPr>
    </w:lvl>
    <w:lvl w:ilvl="4">
      <w:start w:val="1"/>
      <w:numFmt w:val="decimal"/>
      <w:lvlText w:val="%1.%2.%3.%4.%5."/>
      <w:lvlJc w:val="left"/>
      <w:pPr>
        <w:ind w:left="2069" w:hanging="856"/>
        <w:jc w:val="left"/>
      </w:pPr>
      <w:rPr>
        <w:rFonts w:ascii="Cambria" w:eastAsia="Cambria" w:hAnsi="Cambria" w:cs="Cambria" w:hint="default"/>
        <w:i/>
        <w:color w:val="231F20"/>
        <w:spacing w:val="-1"/>
        <w:w w:val="81"/>
        <w:sz w:val="21"/>
        <w:szCs w:val="21"/>
      </w:rPr>
    </w:lvl>
    <w:lvl w:ilvl="5">
      <w:numFmt w:val="bullet"/>
      <w:lvlText w:val="•"/>
      <w:lvlJc w:val="left"/>
      <w:pPr>
        <w:ind w:left="3523" w:hanging="856"/>
      </w:pPr>
      <w:rPr>
        <w:rFonts w:hint="default"/>
      </w:rPr>
    </w:lvl>
    <w:lvl w:ilvl="6">
      <w:numFmt w:val="bullet"/>
      <w:lvlText w:val="•"/>
      <w:lvlJc w:val="left"/>
      <w:pPr>
        <w:ind w:left="4255" w:hanging="856"/>
      </w:pPr>
      <w:rPr>
        <w:rFonts w:hint="default"/>
      </w:rPr>
    </w:lvl>
    <w:lvl w:ilvl="7">
      <w:numFmt w:val="bullet"/>
      <w:lvlText w:val="•"/>
      <w:lvlJc w:val="left"/>
      <w:pPr>
        <w:ind w:left="4987" w:hanging="856"/>
      </w:pPr>
      <w:rPr>
        <w:rFonts w:hint="default"/>
      </w:rPr>
    </w:lvl>
    <w:lvl w:ilvl="8">
      <w:numFmt w:val="bullet"/>
      <w:lvlText w:val="•"/>
      <w:lvlJc w:val="left"/>
      <w:pPr>
        <w:ind w:left="5719" w:hanging="856"/>
      </w:pPr>
      <w:rPr>
        <w:rFonts w:hint="default"/>
      </w:rPr>
    </w:lvl>
  </w:abstractNum>
  <w:abstractNum w:abstractNumId="9">
    <w:nsid w:val="045313C5"/>
    <w:multiLevelType w:val="hybridMultilevel"/>
    <w:tmpl w:val="50427974"/>
    <w:lvl w:ilvl="0" w:tplc="EC9CBAB8">
      <w:start w:val="1"/>
      <w:numFmt w:val="decimal"/>
      <w:lvlText w:val="%1)"/>
      <w:lvlJc w:val="left"/>
      <w:pPr>
        <w:ind w:left="250" w:hanging="284"/>
        <w:jc w:val="left"/>
      </w:pPr>
      <w:rPr>
        <w:rFonts w:ascii="Cambria" w:eastAsia="Cambria" w:hAnsi="Cambria" w:cs="Cambria" w:hint="default"/>
        <w:color w:val="231F20"/>
        <w:spacing w:val="-17"/>
        <w:w w:val="100"/>
        <w:sz w:val="21"/>
        <w:szCs w:val="21"/>
      </w:rPr>
    </w:lvl>
    <w:lvl w:ilvl="1" w:tplc="DB6AFC68">
      <w:numFmt w:val="bullet"/>
      <w:lvlText w:val="•"/>
      <w:lvlJc w:val="left"/>
      <w:pPr>
        <w:ind w:left="952" w:hanging="284"/>
      </w:pPr>
      <w:rPr>
        <w:rFonts w:hint="default"/>
      </w:rPr>
    </w:lvl>
    <w:lvl w:ilvl="2" w:tplc="D96483CE">
      <w:numFmt w:val="bullet"/>
      <w:lvlText w:val="•"/>
      <w:lvlJc w:val="left"/>
      <w:pPr>
        <w:ind w:left="1644" w:hanging="284"/>
      </w:pPr>
      <w:rPr>
        <w:rFonts w:hint="default"/>
      </w:rPr>
    </w:lvl>
    <w:lvl w:ilvl="3" w:tplc="F7F2AC86">
      <w:numFmt w:val="bullet"/>
      <w:lvlText w:val="•"/>
      <w:lvlJc w:val="left"/>
      <w:pPr>
        <w:ind w:left="2337" w:hanging="284"/>
      </w:pPr>
      <w:rPr>
        <w:rFonts w:hint="default"/>
      </w:rPr>
    </w:lvl>
    <w:lvl w:ilvl="4" w:tplc="FDB487EC">
      <w:numFmt w:val="bullet"/>
      <w:lvlText w:val="•"/>
      <w:lvlJc w:val="left"/>
      <w:pPr>
        <w:ind w:left="3029" w:hanging="284"/>
      </w:pPr>
      <w:rPr>
        <w:rFonts w:hint="default"/>
      </w:rPr>
    </w:lvl>
    <w:lvl w:ilvl="5" w:tplc="E0BC2CA2">
      <w:numFmt w:val="bullet"/>
      <w:lvlText w:val="•"/>
      <w:lvlJc w:val="left"/>
      <w:pPr>
        <w:ind w:left="3721" w:hanging="284"/>
      </w:pPr>
      <w:rPr>
        <w:rFonts w:hint="default"/>
      </w:rPr>
    </w:lvl>
    <w:lvl w:ilvl="6" w:tplc="9BAA6834">
      <w:numFmt w:val="bullet"/>
      <w:lvlText w:val="•"/>
      <w:lvlJc w:val="left"/>
      <w:pPr>
        <w:ind w:left="4414" w:hanging="284"/>
      </w:pPr>
      <w:rPr>
        <w:rFonts w:hint="default"/>
      </w:rPr>
    </w:lvl>
    <w:lvl w:ilvl="7" w:tplc="20E66F5E">
      <w:numFmt w:val="bullet"/>
      <w:lvlText w:val="•"/>
      <w:lvlJc w:val="left"/>
      <w:pPr>
        <w:ind w:left="5106" w:hanging="284"/>
      </w:pPr>
      <w:rPr>
        <w:rFonts w:hint="default"/>
      </w:rPr>
    </w:lvl>
    <w:lvl w:ilvl="8" w:tplc="FBB29720">
      <w:numFmt w:val="bullet"/>
      <w:lvlText w:val="•"/>
      <w:lvlJc w:val="left"/>
      <w:pPr>
        <w:ind w:left="5799" w:hanging="284"/>
      </w:pPr>
      <w:rPr>
        <w:rFonts w:hint="default"/>
      </w:rPr>
    </w:lvl>
  </w:abstractNum>
  <w:abstractNum w:abstractNumId="10">
    <w:nsid w:val="048169AD"/>
    <w:multiLevelType w:val="hybridMultilevel"/>
    <w:tmpl w:val="D2FEE06A"/>
    <w:lvl w:ilvl="0" w:tplc="CAD62B92">
      <w:numFmt w:val="bullet"/>
      <w:lvlText w:val=""/>
      <w:lvlJc w:val="left"/>
      <w:pPr>
        <w:ind w:left="533" w:hanging="284"/>
      </w:pPr>
      <w:rPr>
        <w:rFonts w:ascii="Wingdings" w:eastAsia="Wingdings" w:hAnsi="Wingdings" w:cs="Wingdings" w:hint="default"/>
        <w:color w:val="231F20"/>
        <w:w w:val="100"/>
        <w:sz w:val="21"/>
        <w:szCs w:val="21"/>
      </w:rPr>
    </w:lvl>
    <w:lvl w:ilvl="1" w:tplc="007847D4">
      <w:numFmt w:val="bullet"/>
      <w:lvlText w:val="•"/>
      <w:lvlJc w:val="left"/>
      <w:pPr>
        <w:ind w:left="1204" w:hanging="284"/>
      </w:pPr>
      <w:rPr>
        <w:rFonts w:hint="default"/>
      </w:rPr>
    </w:lvl>
    <w:lvl w:ilvl="2" w:tplc="1C146F82">
      <w:numFmt w:val="bullet"/>
      <w:lvlText w:val="•"/>
      <w:lvlJc w:val="left"/>
      <w:pPr>
        <w:ind w:left="1868" w:hanging="284"/>
      </w:pPr>
      <w:rPr>
        <w:rFonts w:hint="default"/>
      </w:rPr>
    </w:lvl>
    <w:lvl w:ilvl="3" w:tplc="58AC2786">
      <w:numFmt w:val="bullet"/>
      <w:lvlText w:val="•"/>
      <w:lvlJc w:val="left"/>
      <w:pPr>
        <w:ind w:left="2533" w:hanging="284"/>
      </w:pPr>
      <w:rPr>
        <w:rFonts w:hint="default"/>
      </w:rPr>
    </w:lvl>
    <w:lvl w:ilvl="4" w:tplc="88B06D20">
      <w:numFmt w:val="bullet"/>
      <w:lvlText w:val="•"/>
      <w:lvlJc w:val="left"/>
      <w:pPr>
        <w:ind w:left="3197" w:hanging="284"/>
      </w:pPr>
      <w:rPr>
        <w:rFonts w:hint="default"/>
      </w:rPr>
    </w:lvl>
    <w:lvl w:ilvl="5" w:tplc="C73CD9BC">
      <w:numFmt w:val="bullet"/>
      <w:lvlText w:val="•"/>
      <w:lvlJc w:val="left"/>
      <w:pPr>
        <w:ind w:left="3861" w:hanging="284"/>
      </w:pPr>
      <w:rPr>
        <w:rFonts w:hint="default"/>
      </w:rPr>
    </w:lvl>
    <w:lvl w:ilvl="6" w:tplc="B9BE2034">
      <w:numFmt w:val="bullet"/>
      <w:lvlText w:val="•"/>
      <w:lvlJc w:val="left"/>
      <w:pPr>
        <w:ind w:left="4526" w:hanging="284"/>
      </w:pPr>
      <w:rPr>
        <w:rFonts w:hint="default"/>
      </w:rPr>
    </w:lvl>
    <w:lvl w:ilvl="7" w:tplc="D15A1C26">
      <w:numFmt w:val="bullet"/>
      <w:lvlText w:val="•"/>
      <w:lvlJc w:val="left"/>
      <w:pPr>
        <w:ind w:left="5190" w:hanging="284"/>
      </w:pPr>
      <w:rPr>
        <w:rFonts w:hint="default"/>
      </w:rPr>
    </w:lvl>
    <w:lvl w:ilvl="8" w:tplc="3C8652BE">
      <w:numFmt w:val="bullet"/>
      <w:lvlText w:val="•"/>
      <w:lvlJc w:val="left"/>
      <w:pPr>
        <w:ind w:left="5855" w:hanging="284"/>
      </w:pPr>
      <w:rPr>
        <w:rFonts w:hint="default"/>
      </w:rPr>
    </w:lvl>
  </w:abstractNum>
  <w:abstractNum w:abstractNumId="11">
    <w:nsid w:val="04B36C86"/>
    <w:multiLevelType w:val="hybridMultilevel"/>
    <w:tmpl w:val="1B3E5B40"/>
    <w:lvl w:ilvl="0" w:tplc="31FCE5C0">
      <w:numFmt w:val="bullet"/>
      <w:lvlText w:val=""/>
      <w:lvlJc w:val="left"/>
      <w:pPr>
        <w:ind w:left="250" w:hanging="284"/>
      </w:pPr>
      <w:rPr>
        <w:rFonts w:ascii="Wingdings" w:eastAsia="Wingdings" w:hAnsi="Wingdings" w:cs="Wingdings" w:hint="default"/>
        <w:color w:val="231F20"/>
        <w:w w:val="100"/>
        <w:sz w:val="21"/>
        <w:szCs w:val="21"/>
      </w:rPr>
    </w:lvl>
    <w:lvl w:ilvl="1" w:tplc="722A1AA2">
      <w:numFmt w:val="bullet"/>
      <w:lvlText w:val="•"/>
      <w:lvlJc w:val="left"/>
      <w:pPr>
        <w:ind w:left="540" w:hanging="284"/>
      </w:pPr>
      <w:rPr>
        <w:rFonts w:hint="default"/>
      </w:rPr>
    </w:lvl>
    <w:lvl w:ilvl="2" w:tplc="33884A6C">
      <w:numFmt w:val="bullet"/>
      <w:lvlText w:val="•"/>
      <w:lvlJc w:val="left"/>
      <w:pPr>
        <w:ind w:left="1278" w:hanging="284"/>
      </w:pPr>
      <w:rPr>
        <w:rFonts w:hint="default"/>
      </w:rPr>
    </w:lvl>
    <w:lvl w:ilvl="3" w:tplc="913664AE">
      <w:numFmt w:val="bullet"/>
      <w:lvlText w:val="•"/>
      <w:lvlJc w:val="left"/>
      <w:pPr>
        <w:ind w:left="2016" w:hanging="284"/>
      </w:pPr>
      <w:rPr>
        <w:rFonts w:hint="default"/>
      </w:rPr>
    </w:lvl>
    <w:lvl w:ilvl="4" w:tplc="F11E92CA">
      <w:numFmt w:val="bullet"/>
      <w:lvlText w:val="•"/>
      <w:lvlJc w:val="left"/>
      <w:pPr>
        <w:ind w:left="2754" w:hanging="284"/>
      </w:pPr>
      <w:rPr>
        <w:rFonts w:hint="default"/>
      </w:rPr>
    </w:lvl>
    <w:lvl w:ilvl="5" w:tplc="B8C63BD0">
      <w:numFmt w:val="bullet"/>
      <w:lvlText w:val="•"/>
      <w:lvlJc w:val="left"/>
      <w:pPr>
        <w:ind w:left="3492" w:hanging="284"/>
      </w:pPr>
      <w:rPr>
        <w:rFonts w:hint="default"/>
      </w:rPr>
    </w:lvl>
    <w:lvl w:ilvl="6" w:tplc="0CD002C0">
      <w:numFmt w:val="bullet"/>
      <w:lvlText w:val="•"/>
      <w:lvlJc w:val="left"/>
      <w:pPr>
        <w:ind w:left="4231" w:hanging="284"/>
      </w:pPr>
      <w:rPr>
        <w:rFonts w:hint="default"/>
      </w:rPr>
    </w:lvl>
    <w:lvl w:ilvl="7" w:tplc="E578BDFC">
      <w:numFmt w:val="bullet"/>
      <w:lvlText w:val="•"/>
      <w:lvlJc w:val="left"/>
      <w:pPr>
        <w:ind w:left="4969" w:hanging="284"/>
      </w:pPr>
      <w:rPr>
        <w:rFonts w:hint="default"/>
      </w:rPr>
    </w:lvl>
    <w:lvl w:ilvl="8" w:tplc="0B9482DE">
      <w:numFmt w:val="bullet"/>
      <w:lvlText w:val="•"/>
      <w:lvlJc w:val="left"/>
      <w:pPr>
        <w:ind w:left="5707" w:hanging="284"/>
      </w:pPr>
      <w:rPr>
        <w:rFonts w:hint="default"/>
      </w:rPr>
    </w:lvl>
  </w:abstractNum>
  <w:abstractNum w:abstractNumId="12">
    <w:nsid w:val="051E035A"/>
    <w:multiLevelType w:val="hybridMultilevel"/>
    <w:tmpl w:val="742C4364"/>
    <w:lvl w:ilvl="0" w:tplc="DD6291BC">
      <w:start w:val="11"/>
      <w:numFmt w:val="decimal"/>
      <w:lvlText w:val="%1)"/>
      <w:lvlJc w:val="left"/>
      <w:pPr>
        <w:ind w:left="970" w:hanging="437"/>
        <w:jc w:val="left"/>
      </w:pPr>
      <w:rPr>
        <w:rFonts w:ascii="Cambria" w:eastAsia="Cambria" w:hAnsi="Cambria" w:cs="Cambria" w:hint="default"/>
        <w:color w:val="231F20"/>
        <w:spacing w:val="-16"/>
        <w:w w:val="100"/>
        <w:sz w:val="21"/>
        <w:szCs w:val="21"/>
      </w:rPr>
    </w:lvl>
    <w:lvl w:ilvl="1" w:tplc="7FBCDB44">
      <w:numFmt w:val="bullet"/>
      <w:lvlText w:val="•"/>
      <w:lvlJc w:val="left"/>
      <w:pPr>
        <w:ind w:left="1600" w:hanging="437"/>
      </w:pPr>
      <w:rPr>
        <w:rFonts w:hint="default"/>
      </w:rPr>
    </w:lvl>
    <w:lvl w:ilvl="2" w:tplc="834EC1BA">
      <w:numFmt w:val="bullet"/>
      <w:lvlText w:val="•"/>
      <w:lvlJc w:val="left"/>
      <w:pPr>
        <w:ind w:left="2220" w:hanging="437"/>
      </w:pPr>
      <w:rPr>
        <w:rFonts w:hint="default"/>
      </w:rPr>
    </w:lvl>
    <w:lvl w:ilvl="3" w:tplc="73DC2C5C">
      <w:numFmt w:val="bullet"/>
      <w:lvlText w:val="•"/>
      <w:lvlJc w:val="left"/>
      <w:pPr>
        <w:ind w:left="2841" w:hanging="437"/>
      </w:pPr>
      <w:rPr>
        <w:rFonts w:hint="default"/>
      </w:rPr>
    </w:lvl>
    <w:lvl w:ilvl="4" w:tplc="37FC09F8">
      <w:numFmt w:val="bullet"/>
      <w:lvlText w:val="•"/>
      <w:lvlJc w:val="left"/>
      <w:pPr>
        <w:ind w:left="3461" w:hanging="437"/>
      </w:pPr>
      <w:rPr>
        <w:rFonts w:hint="default"/>
      </w:rPr>
    </w:lvl>
    <w:lvl w:ilvl="5" w:tplc="CDE2FCEA">
      <w:numFmt w:val="bullet"/>
      <w:lvlText w:val="•"/>
      <w:lvlJc w:val="left"/>
      <w:pPr>
        <w:ind w:left="4081" w:hanging="437"/>
      </w:pPr>
      <w:rPr>
        <w:rFonts w:hint="default"/>
      </w:rPr>
    </w:lvl>
    <w:lvl w:ilvl="6" w:tplc="58B0A8F4">
      <w:numFmt w:val="bullet"/>
      <w:lvlText w:val="•"/>
      <w:lvlJc w:val="left"/>
      <w:pPr>
        <w:ind w:left="4702" w:hanging="437"/>
      </w:pPr>
      <w:rPr>
        <w:rFonts w:hint="default"/>
      </w:rPr>
    </w:lvl>
    <w:lvl w:ilvl="7" w:tplc="33942784">
      <w:numFmt w:val="bullet"/>
      <w:lvlText w:val="•"/>
      <w:lvlJc w:val="left"/>
      <w:pPr>
        <w:ind w:left="5322" w:hanging="437"/>
      </w:pPr>
      <w:rPr>
        <w:rFonts w:hint="default"/>
      </w:rPr>
    </w:lvl>
    <w:lvl w:ilvl="8" w:tplc="72140484">
      <w:numFmt w:val="bullet"/>
      <w:lvlText w:val="•"/>
      <w:lvlJc w:val="left"/>
      <w:pPr>
        <w:ind w:left="5943" w:hanging="437"/>
      </w:pPr>
      <w:rPr>
        <w:rFonts w:hint="default"/>
      </w:rPr>
    </w:lvl>
  </w:abstractNum>
  <w:abstractNum w:abstractNumId="13">
    <w:nsid w:val="052F03F1"/>
    <w:multiLevelType w:val="hybridMultilevel"/>
    <w:tmpl w:val="A48ABB86"/>
    <w:lvl w:ilvl="0" w:tplc="72E2A128">
      <w:start w:val="1"/>
      <w:numFmt w:val="decimal"/>
      <w:lvlText w:val="%1."/>
      <w:lvlJc w:val="left"/>
      <w:pPr>
        <w:ind w:left="533" w:hanging="284"/>
        <w:jc w:val="left"/>
      </w:pPr>
      <w:rPr>
        <w:rFonts w:ascii="Cambria" w:eastAsia="Cambria" w:hAnsi="Cambria" w:cs="Cambria" w:hint="default"/>
        <w:b/>
        <w:bCs/>
        <w:color w:val="231F20"/>
        <w:spacing w:val="-9"/>
        <w:w w:val="100"/>
        <w:sz w:val="21"/>
        <w:szCs w:val="21"/>
      </w:rPr>
    </w:lvl>
    <w:lvl w:ilvl="1" w:tplc="ED380390">
      <w:numFmt w:val="bullet"/>
      <w:lvlText w:val="•"/>
      <w:lvlJc w:val="left"/>
      <w:pPr>
        <w:ind w:left="1204" w:hanging="284"/>
      </w:pPr>
      <w:rPr>
        <w:rFonts w:hint="default"/>
      </w:rPr>
    </w:lvl>
    <w:lvl w:ilvl="2" w:tplc="12D621FC">
      <w:numFmt w:val="bullet"/>
      <w:lvlText w:val="•"/>
      <w:lvlJc w:val="left"/>
      <w:pPr>
        <w:ind w:left="1868" w:hanging="284"/>
      </w:pPr>
      <w:rPr>
        <w:rFonts w:hint="default"/>
      </w:rPr>
    </w:lvl>
    <w:lvl w:ilvl="3" w:tplc="2990CFD0">
      <w:numFmt w:val="bullet"/>
      <w:lvlText w:val="•"/>
      <w:lvlJc w:val="left"/>
      <w:pPr>
        <w:ind w:left="2533" w:hanging="284"/>
      </w:pPr>
      <w:rPr>
        <w:rFonts w:hint="default"/>
      </w:rPr>
    </w:lvl>
    <w:lvl w:ilvl="4" w:tplc="E8242D96">
      <w:numFmt w:val="bullet"/>
      <w:lvlText w:val="•"/>
      <w:lvlJc w:val="left"/>
      <w:pPr>
        <w:ind w:left="3197" w:hanging="284"/>
      </w:pPr>
      <w:rPr>
        <w:rFonts w:hint="default"/>
      </w:rPr>
    </w:lvl>
    <w:lvl w:ilvl="5" w:tplc="2F5093AE">
      <w:numFmt w:val="bullet"/>
      <w:lvlText w:val="•"/>
      <w:lvlJc w:val="left"/>
      <w:pPr>
        <w:ind w:left="3861" w:hanging="284"/>
      </w:pPr>
      <w:rPr>
        <w:rFonts w:hint="default"/>
      </w:rPr>
    </w:lvl>
    <w:lvl w:ilvl="6" w:tplc="114258D6">
      <w:numFmt w:val="bullet"/>
      <w:lvlText w:val="•"/>
      <w:lvlJc w:val="left"/>
      <w:pPr>
        <w:ind w:left="4526" w:hanging="284"/>
      </w:pPr>
      <w:rPr>
        <w:rFonts w:hint="default"/>
      </w:rPr>
    </w:lvl>
    <w:lvl w:ilvl="7" w:tplc="6CE89918">
      <w:numFmt w:val="bullet"/>
      <w:lvlText w:val="•"/>
      <w:lvlJc w:val="left"/>
      <w:pPr>
        <w:ind w:left="5190" w:hanging="284"/>
      </w:pPr>
      <w:rPr>
        <w:rFonts w:hint="default"/>
      </w:rPr>
    </w:lvl>
    <w:lvl w:ilvl="8" w:tplc="A520317A">
      <w:numFmt w:val="bullet"/>
      <w:lvlText w:val="•"/>
      <w:lvlJc w:val="left"/>
      <w:pPr>
        <w:ind w:left="5855" w:hanging="284"/>
      </w:pPr>
      <w:rPr>
        <w:rFonts w:hint="default"/>
      </w:rPr>
    </w:lvl>
  </w:abstractNum>
  <w:abstractNum w:abstractNumId="14">
    <w:nsid w:val="05C50607"/>
    <w:multiLevelType w:val="hybridMultilevel"/>
    <w:tmpl w:val="D80AB628"/>
    <w:lvl w:ilvl="0" w:tplc="8A9E6732">
      <w:numFmt w:val="bullet"/>
      <w:lvlText w:val=""/>
      <w:lvlJc w:val="left"/>
      <w:pPr>
        <w:ind w:left="533" w:hanging="284"/>
      </w:pPr>
      <w:rPr>
        <w:rFonts w:ascii="Wingdings" w:eastAsia="Wingdings" w:hAnsi="Wingdings" w:cs="Wingdings" w:hint="default"/>
        <w:color w:val="231F20"/>
        <w:w w:val="100"/>
        <w:sz w:val="21"/>
        <w:szCs w:val="21"/>
      </w:rPr>
    </w:lvl>
    <w:lvl w:ilvl="1" w:tplc="53A202F4">
      <w:numFmt w:val="bullet"/>
      <w:lvlText w:val="•"/>
      <w:lvlJc w:val="left"/>
      <w:pPr>
        <w:ind w:left="1204" w:hanging="284"/>
      </w:pPr>
      <w:rPr>
        <w:rFonts w:hint="default"/>
      </w:rPr>
    </w:lvl>
    <w:lvl w:ilvl="2" w:tplc="B100F9F0">
      <w:numFmt w:val="bullet"/>
      <w:lvlText w:val="•"/>
      <w:lvlJc w:val="left"/>
      <w:pPr>
        <w:ind w:left="1868" w:hanging="284"/>
      </w:pPr>
      <w:rPr>
        <w:rFonts w:hint="default"/>
      </w:rPr>
    </w:lvl>
    <w:lvl w:ilvl="3" w:tplc="25F8F426">
      <w:numFmt w:val="bullet"/>
      <w:lvlText w:val="•"/>
      <w:lvlJc w:val="left"/>
      <w:pPr>
        <w:ind w:left="2533" w:hanging="284"/>
      </w:pPr>
      <w:rPr>
        <w:rFonts w:hint="default"/>
      </w:rPr>
    </w:lvl>
    <w:lvl w:ilvl="4" w:tplc="DC7C3958">
      <w:numFmt w:val="bullet"/>
      <w:lvlText w:val="•"/>
      <w:lvlJc w:val="left"/>
      <w:pPr>
        <w:ind w:left="3197" w:hanging="284"/>
      </w:pPr>
      <w:rPr>
        <w:rFonts w:hint="default"/>
      </w:rPr>
    </w:lvl>
    <w:lvl w:ilvl="5" w:tplc="394A3952">
      <w:numFmt w:val="bullet"/>
      <w:lvlText w:val="•"/>
      <w:lvlJc w:val="left"/>
      <w:pPr>
        <w:ind w:left="3861" w:hanging="284"/>
      </w:pPr>
      <w:rPr>
        <w:rFonts w:hint="default"/>
      </w:rPr>
    </w:lvl>
    <w:lvl w:ilvl="6" w:tplc="92566938">
      <w:numFmt w:val="bullet"/>
      <w:lvlText w:val="•"/>
      <w:lvlJc w:val="left"/>
      <w:pPr>
        <w:ind w:left="4526" w:hanging="284"/>
      </w:pPr>
      <w:rPr>
        <w:rFonts w:hint="default"/>
      </w:rPr>
    </w:lvl>
    <w:lvl w:ilvl="7" w:tplc="18829DA8">
      <w:numFmt w:val="bullet"/>
      <w:lvlText w:val="•"/>
      <w:lvlJc w:val="left"/>
      <w:pPr>
        <w:ind w:left="5190" w:hanging="284"/>
      </w:pPr>
      <w:rPr>
        <w:rFonts w:hint="default"/>
      </w:rPr>
    </w:lvl>
    <w:lvl w:ilvl="8" w:tplc="E6085920">
      <w:numFmt w:val="bullet"/>
      <w:lvlText w:val="•"/>
      <w:lvlJc w:val="left"/>
      <w:pPr>
        <w:ind w:left="5855" w:hanging="284"/>
      </w:pPr>
      <w:rPr>
        <w:rFonts w:hint="default"/>
      </w:rPr>
    </w:lvl>
  </w:abstractNum>
  <w:abstractNum w:abstractNumId="15">
    <w:nsid w:val="06226B7E"/>
    <w:multiLevelType w:val="hybridMultilevel"/>
    <w:tmpl w:val="32F427D6"/>
    <w:lvl w:ilvl="0" w:tplc="853A968E">
      <w:start w:val="1"/>
      <w:numFmt w:val="decimal"/>
      <w:lvlText w:val="%1)"/>
      <w:lvlJc w:val="left"/>
      <w:pPr>
        <w:ind w:left="533" w:hanging="284"/>
        <w:jc w:val="left"/>
      </w:pPr>
      <w:rPr>
        <w:rFonts w:ascii="Cambria" w:eastAsia="Cambria" w:hAnsi="Cambria" w:cs="Cambria" w:hint="default"/>
        <w:color w:val="231F20"/>
        <w:spacing w:val="-13"/>
        <w:w w:val="100"/>
        <w:sz w:val="21"/>
        <w:szCs w:val="21"/>
      </w:rPr>
    </w:lvl>
    <w:lvl w:ilvl="1" w:tplc="298AE2B2">
      <w:numFmt w:val="bullet"/>
      <w:lvlText w:val="•"/>
      <w:lvlJc w:val="left"/>
      <w:pPr>
        <w:ind w:left="1204" w:hanging="284"/>
      </w:pPr>
      <w:rPr>
        <w:rFonts w:hint="default"/>
      </w:rPr>
    </w:lvl>
    <w:lvl w:ilvl="2" w:tplc="6062F3F8">
      <w:numFmt w:val="bullet"/>
      <w:lvlText w:val="•"/>
      <w:lvlJc w:val="left"/>
      <w:pPr>
        <w:ind w:left="1868" w:hanging="284"/>
      </w:pPr>
      <w:rPr>
        <w:rFonts w:hint="default"/>
      </w:rPr>
    </w:lvl>
    <w:lvl w:ilvl="3" w:tplc="0974E1B4">
      <w:numFmt w:val="bullet"/>
      <w:lvlText w:val="•"/>
      <w:lvlJc w:val="left"/>
      <w:pPr>
        <w:ind w:left="2533" w:hanging="284"/>
      </w:pPr>
      <w:rPr>
        <w:rFonts w:hint="default"/>
      </w:rPr>
    </w:lvl>
    <w:lvl w:ilvl="4" w:tplc="4FD61486">
      <w:numFmt w:val="bullet"/>
      <w:lvlText w:val="•"/>
      <w:lvlJc w:val="left"/>
      <w:pPr>
        <w:ind w:left="3197" w:hanging="284"/>
      </w:pPr>
      <w:rPr>
        <w:rFonts w:hint="default"/>
      </w:rPr>
    </w:lvl>
    <w:lvl w:ilvl="5" w:tplc="ADCACCD2">
      <w:numFmt w:val="bullet"/>
      <w:lvlText w:val="•"/>
      <w:lvlJc w:val="left"/>
      <w:pPr>
        <w:ind w:left="3861" w:hanging="284"/>
      </w:pPr>
      <w:rPr>
        <w:rFonts w:hint="default"/>
      </w:rPr>
    </w:lvl>
    <w:lvl w:ilvl="6" w:tplc="1B5AD13E">
      <w:numFmt w:val="bullet"/>
      <w:lvlText w:val="•"/>
      <w:lvlJc w:val="left"/>
      <w:pPr>
        <w:ind w:left="4526" w:hanging="284"/>
      </w:pPr>
      <w:rPr>
        <w:rFonts w:hint="default"/>
      </w:rPr>
    </w:lvl>
    <w:lvl w:ilvl="7" w:tplc="F0E4050A">
      <w:numFmt w:val="bullet"/>
      <w:lvlText w:val="•"/>
      <w:lvlJc w:val="left"/>
      <w:pPr>
        <w:ind w:left="5190" w:hanging="284"/>
      </w:pPr>
      <w:rPr>
        <w:rFonts w:hint="default"/>
      </w:rPr>
    </w:lvl>
    <w:lvl w:ilvl="8" w:tplc="CFCEB93C">
      <w:numFmt w:val="bullet"/>
      <w:lvlText w:val="•"/>
      <w:lvlJc w:val="left"/>
      <w:pPr>
        <w:ind w:left="5855" w:hanging="284"/>
      </w:pPr>
      <w:rPr>
        <w:rFonts w:hint="default"/>
      </w:rPr>
    </w:lvl>
  </w:abstractNum>
  <w:abstractNum w:abstractNumId="16">
    <w:nsid w:val="06493E7F"/>
    <w:multiLevelType w:val="hybridMultilevel"/>
    <w:tmpl w:val="8260FD64"/>
    <w:lvl w:ilvl="0" w:tplc="7CBCCDEE">
      <w:numFmt w:val="bullet"/>
      <w:lvlText w:val="•"/>
      <w:lvlJc w:val="left"/>
      <w:pPr>
        <w:ind w:left="533" w:hanging="284"/>
      </w:pPr>
      <w:rPr>
        <w:rFonts w:ascii="Cambria" w:eastAsia="Cambria" w:hAnsi="Cambria" w:cs="Cambria" w:hint="default"/>
        <w:b/>
        <w:bCs/>
        <w:i/>
        <w:color w:val="231F20"/>
        <w:spacing w:val="-11"/>
        <w:w w:val="100"/>
        <w:sz w:val="21"/>
        <w:szCs w:val="21"/>
      </w:rPr>
    </w:lvl>
    <w:lvl w:ilvl="1" w:tplc="AB6CE81C">
      <w:numFmt w:val="bullet"/>
      <w:lvlText w:val="•"/>
      <w:lvlJc w:val="left"/>
      <w:pPr>
        <w:ind w:left="1204" w:hanging="284"/>
      </w:pPr>
      <w:rPr>
        <w:rFonts w:hint="default"/>
      </w:rPr>
    </w:lvl>
    <w:lvl w:ilvl="2" w:tplc="FE165BDC">
      <w:numFmt w:val="bullet"/>
      <w:lvlText w:val="•"/>
      <w:lvlJc w:val="left"/>
      <w:pPr>
        <w:ind w:left="1868" w:hanging="284"/>
      </w:pPr>
      <w:rPr>
        <w:rFonts w:hint="default"/>
      </w:rPr>
    </w:lvl>
    <w:lvl w:ilvl="3" w:tplc="7696F59A">
      <w:numFmt w:val="bullet"/>
      <w:lvlText w:val="•"/>
      <w:lvlJc w:val="left"/>
      <w:pPr>
        <w:ind w:left="2533" w:hanging="284"/>
      </w:pPr>
      <w:rPr>
        <w:rFonts w:hint="default"/>
      </w:rPr>
    </w:lvl>
    <w:lvl w:ilvl="4" w:tplc="A43293C2">
      <w:numFmt w:val="bullet"/>
      <w:lvlText w:val="•"/>
      <w:lvlJc w:val="left"/>
      <w:pPr>
        <w:ind w:left="3197" w:hanging="284"/>
      </w:pPr>
      <w:rPr>
        <w:rFonts w:hint="default"/>
      </w:rPr>
    </w:lvl>
    <w:lvl w:ilvl="5" w:tplc="15CA3142">
      <w:numFmt w:val="bullet"/>
      <w:lvlText w:val="•"/>
      <w:lvlJc w:val="left"/>
      <w:pPr>
        <w:ind w:left="3861" w:hanging="284"/>
      </w:pPr>
      <w:rPr>
        <w:rFonts w:hint="default"/>
      </w:rPr>
    </w:lvl>
    <w:lvl w:ilvl="6" w:tplc="2646BC92">
      <w:numFmt w:val="bullet"/>
      <w:lvlText w:val="•"/>
      <w:lvlJc w:val="left"/>
      <w:pPr>
        <w:ind w:left="4526" w:hanging="284"/>
      </w:pPr>
      <w:rPr>
        <w:rFonts w:hint="default"/>
      </w:rPr>
    </w:lvl>
    <w:lvl w:ilvl="7" w:tplc="C970875A">
      <w:numFmt w:val="bullet"/>
      <w:lvlText w:val="•"/>
      <w:lvlJc w:val="left"/>
      <w:pPr>
        <w:ind w:left="5190" w:hanging="284"/>
      </w:pPr>
      <w:rPr>
        <w:rFonts w:hint="default"/>
      </w:rPr>
    </w:lvl>
    <w:lvl w:ilvl="8" w:tplc="FEA83A54">
      <w:numFmt w:val="bullet"/>
      <w:lvlText w:val="•"/>
      <w:lvlJc w:val="left"/>
      <w:pPr>
        <w:ind w:left="5855" w:hanging="284"/>
      </w:pPr>
      <w:rPr>
        <w:rFonts w:hint="default"/>
      </w:rPr>
    </w:lvl>
  </w:abstractNum>
  <w:abstractNum w:abstractNumId="17">
    <w:nsid w:val="06DE185D"/>
    <w:multiLevelType w:val="hybridMultilevel"/>
    <w:tmpl w:val="A672DF32"/>
    <w:lvl w:ilvl="0" w:tplc="0D3035D8">
      <w:start w:val="3"/>
      <w:numFmt w:val="decimal"/>
      <w:lvlText w:val="%1)"/>
      <w:lvlJc w:val="left"/>
      <w:pPr>
        <w:ind w:left="533" w:hanging="284"/>
        <w:jc w:val="left"/>
      </w:pPr>
      <w:rPr>
        <w:rFonts w:ascii="Cambria" w:eastAsia="Cambria" w:hAnsi="Cambria" w:cs="Cambria" w:hint="default"/>
        <w:color w:val="231F20"/>
        <w:spacing w:val="-18"/>
        <w:w w:val="100"/>
        <w:sz w:val="21"/>
        <w:szCs w:val="21"/>
      </w:rPr>
    </w:lvl>
    <w:lvl w:ilvl="1" w:tplc="233630FC">
      <w:numFmt w:val="bullet"/>
      <w:lvlText w:val="•"/>
      <w:lvlJc w:val="left"/>
      <w:pPr>
        <w:ind w:left="1204" w:hanging="284"/>
      </w:pPr>
      <w:rPr>
        <w:rFonts w:hint="default"/>
      </w:rPr>
    </w:lvl>
    <w:lvl w:ilvl="2" w:tplc="A7109300">
      <w:numFmt w:val="bullet"/>
      <w:lvlText w:val="•"/>
      <w:lvlJc w:val="left"/>
      <w:pPr>
        <w:ind w:left="1868" w:hanging="284"/>
      </w:pPr>
      <w:rPr>
        <w:rFonts w:hint="default"/>
      </w:rPr>
    </w:lvl>
    <w:lvl w:ilvl="3" w:tplc="D4E00FBC">
      <w:numFmt w:val="bullet"/>
      <w:lvlText w:val="•"/>
      <w:lvlJc w:val="left"/>
      <w:pPr>
        <w:ind w:left="2533" w:hanging="284"/>
      </w:pPr>
      <w:rPr>
        <w:rFonts w:hint="default"/>
      </w:rPr>
    </w:lvl>
    <w:lvl w:ilvl="4" w:tplc="147089A4">
      <w:numFmt w:val="bullet"/>
      <w:lvlText w:val="•"/>
      <w:lvlJc w:val="left"/>
      <w:pPr>
        <w:ind w:left="3197" w:hanging="284"/>
      </w:pPr>
      <w:rPr>
        <w:rFonts w:hint="default"/>
      </w:rPr>
    </w:lvl>
    <w:lvl w:ilvl="5" w:tplc="F54C212E">
      <w:numFmt w:val="bullet"/>
      <w:lvlText w:val="•"/>
      <w:lvlJc w:val="left"/>
      <w:pPr>
        <w:ind w:left="3861" w:hanging="284"/>
      </w:pPr>
      <w:rPr>
        <w:rFonts w:hint="default"/>
      </w:rPr>
    </w:lvl>
    <w:lvl w:ilvl="6" w:tplc="527498E8">
      <w:numFmt w:val="bullet"/>
      <w:lvlText w:val="•"/>
      <w:lvlJc w:val="left"/>
      <w:pPr>
        <w:ind w:left="4526" w:hanging="284"/>
      </w:pPr>
      <w:rPr>
        <w:rFonts w:hint="default"/>
      </w:rPr>
    </w:lvl>
    <w:lvl w:ilvl="7" w:tplc="70B2CFE4">
      <w:numFmt w:val="bullet"/>
      <w:lvlText w:val="•"/>
      <w:lvlJc w:val="left"/>
      <w:pPr>
        <w:ind w:left="5190" w:hanging="284"/>
      </w:pPr>
      <w:rPr>
        <w:rFonts w:hint="default"/>
      </w:rPr>
    </w:lvl>
    <w:lvl w:ilvl="8" w:tplc="EFEA8BBC">
      <w:numFmt w:val="bullet"/>
      <w:lvlText w:val="•"/>
      <w:lvlJc w:val="left"/>
      <w:pPr>
        <w:ind w:left="5855" w:hanging="284"/>
      </w:pPr>
      <w:rPr>
        <w:rFonts w:hint="default"/>
      </w:rPr>
    </w:lvl>
  </w:abstractNum>
  <w:abstractNum w:abstractNumId="18">
    <w:nsid w:val="06EC4265"/>
    <w:multiLevelType w:val="hybridMultilevel"/>
    <w:tmpl w:val="E3282C32"/>
    <w:lvl w:ilvl="0" w:tplc="C4241712">
      <w:start w:val="2"/>
      <w:numFmt w:val="decimal"/>
      <w:lvlText w:val="%1)"/>
      <w:lvlJc w:val="left"/>
      <w:pPr>
        <w:ind w:left="1100" w:hanging="284"/>
        <w:jc w:val="left"/>
      </w:pPr>
      <w:rPr>
        <w:rFonts w:ascii="Cambria" w:eastAsia="Cambria" w:hAnsi="Cambria" w:cs="Cambria" w:hint="default"/>
        <w:color w:val="231F20"/>
        <w:spacing w:val="-6"/>
        <w:w w:val="100"/>
        <w:sz w:val="21"/>
        <w:szCs w:val="21"/>
      </w:rPr>
    </w:lvl>
    <w:lvl w:ilvl="1" w:tplc="5BB00BAE">
      <w:numFmt w:val="bullet"/>
      <w:lvlText w:val="•"/>
      <w:lvlJc w:val="left"/>
      <w:pPr>
        <w:ind w:left="1708" w:hanging="284"/>
      </w:pPr>
      <w:rPr>
        <w:rFonts w:hint="default"/>
      </w:rPr>
    </w:lvl>
    <w:lvl w:ilvl="2" w:tplc="7D441664">
      <w:numFmt w:val="bullet"/>
      <w:lvlText w:val="•"/>
      <w:lvlJc w:val="left"/>
      <w:pPr>
        <w:ind w:left="2316" w:hanging="284"/>
      </w:pPr>
      <w:rPr>
        <w:rFonts w:hint="default"/>
      </w:rPr>
    </w:lvl>
    <w:lvl w:ilvl="3" w:tplc="7B82A7C4">
      <w:numFmt w:val="bullet"/>
      <w:lvlText w:val="•"/>
      <w:lvlJc w:val="left"/>
      <w:pPr>
        <w:ind w:left="2925" w:hanging="284"/>
      </w:pPr>
      <w:rPr>
        <w:rFonts w:hint="default"/>
      </w:rPr>
    </w:lvl>
    <w:lvl w:ilvl="4" w:tplc="754C6AD8">
      <w:numFmt w:val="bullet"/>
      <w:lvlText w:val="•"/>
      <w:lvlJc w:val="left"/>
      <w:pPr>
        <w:ind w:left="3533" w:hanging="284"/>
      </w:pPr>
      <w:rPr>
        <w:rFonts w:hint="default"/>
      </w:rPr>
    </w:lvl>
    <w:lvl w:ilvl="5" w:tplc="47340DF4">
      <w:numFmt w:val="bullet"/>
      <w:lvlText w:val="•"/>
      <w:lvlJc w:val="left"/>
      <w:pPr>
        <w:ind w:left="4141" w:hanging="284"/>
      </w:pPr>
      <w:rPr>
        <w:rFonts w:hint="default"/>
      </w:rPr>
    </w:lvl>
    <w:lvl w:ilvl="6" w:tplc="BDBC6C6C">
      <w:numFmt w:val="bullet"/>
      <w:lvlText w:val="•"/>
      <w:lvlJc w:val="left"/>
      <w:pPr>
        <w:ind w:left="4750" w:hanging="284"/>
      </w:pPr>
      <w:rPr>
        <w:rFonts w:hint="default"/>
      </w:rPr>
    </w:lvl>
    <w:lvl w:ilvl="7" w:tplc="0D4EBFE6">
      <w:numFmt w:val="bullet"/>
      <w:lvlText w:val="•"/>
      <w:lvlJc w:val="left"/>
      <w:pPr>
        <w:ind w:left="5358" w:hanging="284"/>
      </w:pPr>
      <w:rPr>
        <w:rFonts w:hint="default"/>
      </w:rPr>
    </w:lvl>
    <w:lvl w:ilvl="8" w:tplc="67221BCC">
      <w:numFmt w:val="bullet"/>
      <w:lvlText w:val="•"/>
      <w:lvlJc w:val="left"/>
      <w:pPr>
        <w:ind w:left="5967" w:hanging="284"/>
      </w:pPr>
      <w:rPr>
        <w:rFonts w:hint="default"/>
      </w:rPr>
    </w:lvl>
  </w:abstractNum>
  <w:abstractNum w:abstractNumId="19">
    <w:nsid w:val="07266D8B"/>
    <w:multiLevelType w:val="hybridMultilevel"/>
    <w:tmpl w:val="61403720"/>
    <w:lvl w:ilvl="0" w:tplc="4AEA833A">
      <w:start w:val="1"/>
      <w:numFmt w:val="decimal"/>
      <w:lvlText w:val="%1)"/>
      <w:lvlJc w:val="left"/>
      <w:pPr>
        <w:ind w:left="817" w:hanging="284"/>
        <w:jc w:val="left"/>
      </w:pPr>
      <w:rPr>
        <w:rFonts w:ascii="Cambria" w:eastAsia="Cambria" w:hAnsi="Cambria" w:cs="Cambria" w:hint="default"/>
        <w:color w:val="231F20"/>
        <w:spacing w:val="-6"/>
        <w:w w:val="100"/>
        <w:sz w:val="21"/>
        <w:szCs w:val="21"/>
      </w:rPr>
    </w:lvl>
    <w:lvl w:ilvl="1" w:tplc="ED5C8C06">
      <w:numFmt w:val="bullet"/>
      <w:lvlText w:val="•"/>
      <w:lvlJc w:val="left"/>
      <w:pPr>
        <w:ind w:left="1456" w:hanging="284"/>
      </w:pPr>
      <w:rPr>
        <w:rFonts w:hint="default"/>
      </w:rPr>
    </w:lvl>
    <w:lvl w:ilvl="2" w:tplc="46DAADB8">
      <w:numFmt w:val="bullet"/>
      <w:lvlText w:val="•"/>
      <w:lvlJc w:val="left"/>
      <w:pPr>
        <w:ind w:left="2092" w:hanging="284"/>
      </w:pPr>
      <w:rPr>
        <w:rFonts w:hint="default"/>
      </w:rPr>
    </w:lvl>
    <w:lvl w:ilvl="3" w:tplc="FA74F97E">
      <w:numFmt w:val="bullet"/>
      <w:lvlText w:val="•"/>
      <w:lvlJc w:val="left"/>
      <w:pPr>
        <w:ind w:left="2729" w:hanging="284"/>
      </w:pPr>
      <w:rPr>
        <w:rFonts w:hint="default"/>
      </w:rPr>
    </w:lvl>
    <w:lvl w:ilvl="4" w:tplc="F39EB69C">
      <w:numFmt w:val="bullet"/>
      <w:lvlText w:val="•"/>
      <w:lvlJc w:val="left"/>
      <w:pPr>
        <w:ind w:left="3365" w:hanging="284"/>
      </w:pPr>
      <w:rPr>
        <w:rFonts w:hint="default"/>
      </w:rPr>
    </w:lvl>
    <w:lvl w:ilvl="5" w:tplc="1FF07FD0">
      <w:numFmt w:val="bullet"/>
      <w:lvlText w:val="•"/>
      <w:lvlJc w:val="left"/>
      <w:pPr>
        <w:ind w:left="4001" w:hanging="284"/>
      </w:pPr>
      <w:rPr>
        <w:rFonts w:hint="default"/>
      </w:rPr>
    </w:lvl>
    <w:lvl w:ilvl="6" w:tplc="E74E1B8E">
      <w:numFmt w:val="bullet"/>
      <w:lvlText w:val="•"/>
      <w:lvlJc w:val="left"/>
      <w:pPr>
        <w:ind w:left="4638" w:hanging="284"/>
      </w:pPr>
      <w:rPr>
        <w:rFonts w:hint="default"/>
      </w:rPr>
    </w:lvl>
    <w:lvl w:ilvl="7" w:tplc="886CFD64">
      <w:numFmt w:val="bullet"/>
      <w:lvlText w:val="•"/>
      <w:lvlJc w:val="left"/>
      <w:pPr>
        <w:ind w:left="5274" w:hanging="284"/>
      </w:pPr>
      <w:rPr>
        <w:rFonts w:hint="default"/>
      </w:rPr>
    </w:lvl>
    <w:lvl w:ilvl="8" w:tplc="93FEF49A">
      <w:numFmt w:val="bullet"/>
      <w:lvlText w:val="•"/>
      <w:lvlJc w:val="left"/>
      <w:pPr>
        <w:ind w:left="5911" w:hanging="284"/>
      </w:pPr>
      <w:rPr>
        <w:rFonts w:hint="default"/>
      </w:rPr>
    </w:lvl>
  </w:abstractNum>
  <w:abstractNum w:abstractNumId="20">
    <w:nsid w:val="077076CA"/>
    <w:multiLevelType w:val="hybridMultilevel"/>
    <w:tmpl w:val="D72A007C"/>
    <w:lvl w:ilvl="0" w:tplc="12AA453E">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BF50088C">
      <w:numFmt w:val="bullet"/>
      <w:lvlText w:val="•"/>
      <w:lvlJc w:val="left"/>
      <w:pPr>
        <w:ind w:left="952" w:hanging="284"/>
      </w:pPr>
      <w:rPr>
        <w:rFonts w:hint="default"/>
      </w:rPr>
    </w:lvl>
    <w:lvl w:ilvl="2" w:tplc="57142EC8">
      <w:numFmt w:val="bullet"/>
      <w:lvlText w:val="•"/>
      <w:lvlJc w:val="left"/>
      <w:pPr>
        <w:ind w:left="1644" w:hanging="284"/>
      </w:pPr>
      <w:rPr>
        <w:rFonts w:hint="default"/>
      </w:rPr>
    </w:lvl>
    <w:lvl w:ilvl="3" w:tplc="F60605FA">
      <w:numFmt w:val="bullet"/>
      <w:lvlText w:val="•"/>
      <w:lvlJc w:val="left"/>
      <w:pPr>
        <w:ind w:left="2337" w:hanging="284"/>
      </w:pPr>
      <w:rPr>
        <w:rFonts w:hint="default"/>
      </w:rPr>
    </w:lvl>
    <w:lvl w:ilvl="4" w:tplc="C2A020C6">
      <w:numFmt w:val="bullet"/>
      <w:lvlText w:val="•"/>
      <w:lvlJc w:val="left"/>
      <w:pPr>
        <w:ind w:left="3029" w:hanging="284"/>
      </w:pPr>
      <w:rPr>
        <w:rFonts w:hint="default"/>
      </w:rPr>
    </w:lvl>
    <w:lvl w:ilvl="5" w:tplc="D20E2152">
      <w:numFmt w:val="bullet"/>
      <w:lvlText w:val="•"/>
      <w:lvlJc w:val="left"/>
      <w:pPr>
        <w:ind w:left="3721" w:hanging="284"/>
      </w:pPr>
      <w:rPr>
        <w:rFonts w:hint="default"/>
      </w:rPr>
    </w:lvl>
    <w:lvl w:ilvl="6" w:tplc="CDDABFCC">
      <w:numFmt w:val="bullet"/>
      <w:lvlText w:val="•"/>
      <w:lvlJc w:val="left"/>
      <w:pPr>
        <w:ind w:left="4414" w:hanging="284"/>
      </w:pPr>
      <w:rPr>
        <w:rFonts w:hint="default"/>
      </w:rPr>
    </w:lvl>
    <w:lvl w:ilvl="7" w:tplc="9B9ACF00">
      <w:numFmt w:val="bullet"/>
      <w:lvlText w:val="•"/>
      <w:lvlJc w:val="left"/>
      <w:pPr>
        <w:ind w:left="5106" w:hanging="284"/>
      </w:pPr>
      <w:rPr>
        <w:rFonts w:hint="default"/>
      </w:rPr>
    </w:lvl>
    <w:lvl w:ilvl="8" w:tplc="E4426A40">
      <w:numFmt w:val="bullet"/>
      <w:lvlText w:val="•"/>
      <w:lvlJc w:val="left"/>
      <w:pPr>
        <w:ind w:left="5799" w:hanging="284"/>
      </w:pPr>
      <w:rPr>
        <w:rFonts w:hint="default"/>
      </w:rPr>
    </w:lvl>
  </w:abstractNum>
  <w:abstractNum w:abstractNumId="21">
    <w:nsid w:val="077F39ED"/>
    <w:multiLevelType w:val="hybridMultilevel"/>
    <w:tmpl w:val="D2000146"/>
    <w:lvl w:ilvl="0" w:tplc="17C067A4">
      <w:numFmt w:val="bullet"/>
      <w:lvlText w:val="–"/>
      <w:lvlJc w:val="left"/>
      <w:pPr>
        <w:ind w:left="533" w:hanging="284"/>
      </w:pPr>
      <w:rPr>
        <w:rFonts w:ascii="Cambria" w:eastAsia="Cambria" w:hAnsi="Cambria" w:cs="Cambria" w:hint="default"/>
        <w:color w:val="231F20"/>
        <w:spacing w:val="-32"/>
        <w:w w:val="100"/>
        <w:sz w:val="21"/>
        <w:szCs w:val="21"/>
      </w:rPr>
    </w:lvl>
    <w:lvl w:ilvl="1" w:tplc="7AE89C16">
      <w:numFmt w:val="bullet"/>
      <w:lvlText w:val="•"/>
      <w:lvlJc w:val="left"/>
      <w:pPr>
        <w:ind w:left="1204" w:hanging="284"/>
      </w:pPr>
      <w:rPr>
        <w:rFonts w:hint="default"/>
      </w:rPr>
    </w:lvl>
    <w:lvl w:ilvl="2" w:tplc="9A4AB2FA">
      <w:numFmt w:val="bullet"/>
      <w:lvlText w:val="•"/>
      <w:lvlJc w:val="left"/>
      <w:pPr>
        <w:ind w:left="1868" w:hanging="284"/>
      </w:pPr>
      <w:rPr>
        <w:rFonts w:hint="default"/>
      </w:rPr>
    </w:lvl>
    <w:lvl w:ilvl="3" w:tplc="A8F43B4C">
      <w:numFmt w:val="bullet"/>
      <w:lvlText w:val="•"/>
      <w:lvlJc w:val="left"/>
      <w:pPr>
        <w:ind w:left="2533" w:hanging="284"/>
      </w:pPr>
      <w:rPr>
        <w:rFonts w:hint="default"/>
      </w:rPr>
    </w:lvl>
    <w:lvl w:ilvl="4" w:tplc="232EFCF4">
      <w:numFmt w:val="bullet"/>
      <w:lvlText w:val="•"/>
      <w:lvlJc w:val="left"/>
      <w:pPr>
        <w:ind w:left="3197" w:hanging="284"/>
      </w:pPr>
      <w:rPr>
        <w:rFonts w:hint="default"/>
      </w:rPr>
    </w:lvl>
    <w:lvl w:ilvl="5" w:tplc="E04A1EB6">
      <w:numFmt w:val="bullet"/>
      <w:lvlText w:val="•"/>
      <w:lvlJc w:val="left"/>
      <w:pPr>
        <w:ind w:left="3861" w:hanging="284"/>
      </w:pPr>
      <w:rPr>
        <w:rFonts w:hint="default"/>
      </w:rPr>
    </w:lvl>
    <w:lvl w:ilvl="6" w:tplc="B65EAFC6">
      <w:numFmt w:val="bullet"/>
      <w:lvlText w:val="•"/>
      <w:lvlJc w:val="left"/>
      <w:pPr>
        <w:ind w:left="4526" w:hanging="284"/>
      </w:pPr>
      <w:rPr>
        <w:rFonts w:hint="default"/>
      </w:rPr>
    </w:lvl>
    <w:lvl w:ilvl="7" w:tplc="DCD8E202">
      <w:numFmt w:val="bullet"/>
      <w:lvlText w:val="•"/>
      <w:lvlJc w:val="left"/>
      <w:pPr>
        <w:ind w:left="5190" w:hanging="284"/>
      </w:pPr>
      <w:rPr>
        <w:rFonts w:hint="default"/>
      </w:rPr>
    </w:lvl>
    <w:lvl w:ilvl="8" w:tplc="F4AC0BD8">
      <w:numFmt w:val="bullet"/>
      <w:lvlText w:val="•"/>
      <w:lvlJc w:val="left"/>
      <w:pPr>
        <w:ind w:left="5855" w:hanging="284"/>
      </w:pPr>
      <w:rPr>
        <w:rFonts w:hint="default"/>
      </w:rPr>
    </w:lvl>
  </w:abstractNum>
  <w:abstractNum w:abstractNumId="22">
    <w:nsid w:val="085F6469"/>
    <w:multiLevelType w:val="hybridMultilevel"/>
    <w:tmpl w:val="BF0CA458"/>
    <w:lvl w:ilvl="0" w:tplc="34C249D4">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CEFAD656">
      <w:numFmt w:val="bullet"/>
      <w:lvlText w:val="•"/>
      <w:lvlJc w:val="left"/>
      <w:pPr>
        <w:ind w:left="1204" w:hanging="284"/>
      </w:pPr>
      <w:rPr>
        <w:rFonts w:hint="default"/>
      </w:rPr>
    </w:lvl>
    <w:lvl w:ilvl="2" w:tplc="271A6C42">
      <w:numFmt w:val="bullet"/>
      <w:lvlText w:val="•"/>
      <w:lvlJc w:val="left"/>
      <w:pPr>
        <w:ind w:left="1868" w:hanging="284"/>
      </w:pPr>
      <w:rPr>
        <w:rFonts w:hint="default"/>
      </w:rPr>
    </w:lvl>
    <w:lvl w:ilvl="3" w:tplc="BBFEB714">
      <w:numFmt w:val="bullet"/>
      <w:lvlText w:val="•"/>
      <w:lvlJc w:val="left"/>
      <w:pPr>
        <w:ind w:left="2533" w:hanging="284"/>
      </w:pPr>
      <w:rPr>
        <w:rFonts w:hint="default"/>
      </w:rPr>
    </w:lvl>
    <w:lvl w:ilvl="4" w:tplc="2076B44C">
      <w:numFmt w:val="bullet"/>
      <w:lvlText w:val="•"/>
      <w:lvlJc w:val="left"/>
      <w:pPr>
        <w:ind w:left="3197" w:hanging="284"/>
      </w:pPr>
      <w:rPr>
        <w:rFonts w:hint="default"/>
      </w:rPr>
    </w:lvl>
    <w:lvl w:ilvl="5" w:tplc="5182633A">
      <w:numFmt w:val="bullet"/>
      <w:lvlText w:val="•"/>
      <w:lvlJc w:val="left"/>
      <w:pPr>
        <w:ind w:left="3861" w:hanging="284"/>
      </w:pPr>
      <w:rPr>
        <w:rFonts w:hint="default"/>
      </w:rPr>
    </w:lvl>
    <w:lvl w:ilvl="6" w:tplc="24262130">
      <w:numFmt w:val="bullet"/>
      <w:lvlText w:val="•"/>
      <w:lvlJc w:val="left"/>
      <w:pPr>
        <w:ind w:left="4526" w:hanging="284"/>
      </w:pPr>
      <w:rPr>
        <w:rFonts w:hint="default"/>
      </w:rPr>
    </w:lvl>
    <w:lvl w:ilvl="7" w:tplc="971A320E">
      <w:numFmt w:val="bullet"/>
      <w:lvlText w:val="•"/>
      <w:lvlJc w:val="left"/>
      <w:pPr>
        <w:ind w:left="5190" w:hanging="284"/>
      </w:pPr>
      <w:rPr>
        <w:rFonts w:hint="default"/>
      </w:rPr>
    </w:lvl>
    <w:lvl w:ilvl="8" w:tplc="C6789050">
      <w:numFmt w:val="bullet"/>
      <w:lvlText w:val="•"/>
      <w:lvlJc w:val="left"/>
      <w:pPr>
        <w:ind w:left="5855" w:hanging="284"/>
      </w:pPr>
      <w:rPr>
        <w:rFonts w:hint="default"/>
      </w:rPr>
    </w:lvl>
  </w:abstractNum>
  <w:abstractNum w:abstractNumId="23">
    <w:nsid w:val="08FE3612"/>
    <w:multiLevelType w:val="hybridMultilevel"/>
    <w:tmpl w:val="13DE8996"/>
    <w:lvl w:ilvl="0" w:tplc="B3BCBEEA">
      <w:numFmt w:val="bullet"/>
      <w:lvlText w:val=""/>
      <w:lvlJc w:val="left"/>
      <w:pPr>
        <w:ind w:left="533" w:hanging="284"/>
      </w:pPr>
      <w:rPr>
        <w:rFonts w:ascii="Wingdings" w:eastAsia="Wingdings" w:hAnsi="Wingdings" w:cs="Wingdings" w:hint="default"/>
        <w:color w:val="231F20"/>
        <w:w w:val="100"/>
        <w:sz w:val="21"/>
        <w:szCs w:val="21"/>
      </w:rPr>
    </w:lvl>
    <w:lvl w:ilvl="1" w:tplc="BFFA4C12">
      <w:numFmt w:val="bullet"/>
      <w:lvlText w:val="•"/>
      <w:lvlJc w:val="left"/>
      <w:pPr>
        <w:ind w:left="1204" w:hanging="284"/>
      </w:pPr>
      <w:rPr>
        <w:rFonts w:hint="default"/>
      </w:rPr>
    </w:lvl>
    <w:lvl w:ilvl="2" w:tplc="D7267B42">
      <w:numFmt w:val="bullet"/>
      <w:lvlText w:val="•"/>
      <w:lvlJc w:val="left"/>
      <w:pPr>
        <w:ind w:left="1868" w:hanging="284"/>
      </w:pPr>
      <w:rPr>
        <w:rFonts w:hint="default"/>
      </w:rPr>
    </w:lvl>
    <w:lvl w:ilvl="3" w:tplc="F2CC35EA">
      <w:numFmt w:val="bullet"/>
      <w:lvlText w:val="•"/>
      <w:lvlJc w:val="left"/>
      <w:pPr>
        <w:ind w:left="2533" w:hanging="284"/>
      </w:pPr>
      <w:rPr>
        <w:rFonts w:hint="default"/>
      </w:rPr>
    </w:lvl>
    <w:lvl w:ilvl="4" w:tplc="A1D044C8">
      <w:numFmt w:val="bullet"/>
      <w:lvlText w:val="•"/>
      <w:lvlJc w:val="left"/>
      <w:pPr>
        <w:ind w:left="3197" w:hanging="284"/>
      </w:pPr>
      <w:rPr>
        <w:rFonts w:hint="default"/>
      </w:rPr>
    </w:lvl>
    <w:lvl w:ilvl="5" w:tplc="1F72AC44">
      <w:numFmt w:val="bullet"/>
      <w:lvlText w:val="•"/>
      <w:lvlJc w:val="left"/>
      <w:pPr>
        <w:ind w:left="3861" w:hanging="284"/>
      </w:pPr>
      <w:rPr>
        <w:rFonts w:hint="default"/>
      </w:rPr>
    </w:lvl>
    <w:lvl w:ilvl="6" w:tplc="3BF2071E">
      <w:numFmt w:val="bullet"/>
      <w:lvlText w:val="•"/>
      <w:lvlJc w:val="left"/>
      <w:pPr>
        <w:ind w:left="4526" w:hanging="284"/>
      </w:pPr>
      <w:rPr>
        <w:rFonts w:hint="default"/>
      </w:rPr>
    </w:lvl>
    <w:lvl w:ilvl="7" w:tplc="7F9ABD5E">
      <w:numFmt w:val="bullet"/>
      <w:lvlText w:val="•"/>
      <w:lvlJc w:val="left"/>
      <w:pPr>
        <w:ind w:left="5190" w:hanging="284"/>
      </w:pPr>
      <w:rPr>
        <w:rFonts w:hint="default"/>
      </w:rPr>
    </w:lvl>
    <w:lvl w:ilvl="8" w:tplc="79D2CD68">
      <w:numFmt w:val="bullet"/>
      <w:lvlText w:val="•"/>
      <w:lvlJc w:val="left"/>
      <w:pPr>
        <w:ind w:left="5855" w:hanging="284"/>
      </w:pPr>
      <w:rPr>
        <w:rFonts w:hint="default"/>
      </w:rPr>
    </w:lvl>
  </w:abstractNum>
  <w:abstractNum w:abstractNumId="24">
    <w:nsid w:val="0A797428"/>
    <w:multiLevelType w:val="hybridMultilevel"/>
    <w:tmpl w:val="C6D8D89E"/>
    <w:lvl w:ilvl="0" w:tplc="C1F2191C">
      <w:start w:val="1"/>
      <w:numFmt w:val="decimal"/>
      <w:lvlText w:val="%1)"/>
      <w:lvlJc w:val="left"/>
      <w:pPr>
        <w:ind w:left="250" w:hanging="284"/>
        <w:jc w:val="left"/>
      </w:pPr>
      <w:rPr>
        <w:rFonts w:ascii="Cambria" w:eastAsia="Cambria" w:hAnsi="Cambria" w:cs="Cambria" w:hint="default"/>
        <w:color w:val="231F20"/>
        <w:spacing w:val="-20"/>
        <w:w w:val="100"/>
        <w:sz w:val="21"/>
        <w:szCs w:val="21"/>
      </w:rPr>
    </w:lvl>
    <w:lvl w:ilvl="1" w:tplc="BD5AA0A2">
      <w:start w:val="1"/>
      <w:numFmt w:val="decimal"/>
      <w:lvlText w:val="%2)"/>
      <w:lvlJc w:val="left"/>
      <w:pPr>
        <w:ind w:left="533" w:hanging="284"/>
        <w:jc w:val="left"/>
      </w:pPr>
      <w:rPr>
        <w:rFonts w:ascii="Cambria" w:eastAsia="Cambria" w:hAnsi="Cambria" w:cs="Cambria" w:hint="default"/>
        <w:color w:val="231F20"/>
        <w:spacing w:val="-19"/>
        <w:w w:val="100"/>
        <w:sz w:val="21"/>
        <w:szCs w:val="21"/>
      </w:rPr>
    </w:lvl>
    <w:lvl w:ilvl="2" w:tplc="EF788BDA">
      <w:numFmt w:val="bullet"/>
      <w:lvlText w:val="–"/>
      <w:lvlJc w:val="left"/>
      <w:pPr>
        <w:ind w:left="1384" w:hanging="284"/>
      </w:pPr>
      <w:rPr>
        <w:rFonts w:ascii="Cambria" w:eastAsia="Cambria" w:hAnsi="Cambria" w:cs="Cambria" w:hint="default"/>
        <w:color w:val="231F20"/>
        <w:spacing w:val="-7"/>
        <w:w w:val="100"/>
        <w:sz w:val="21"/>
        <w:szCs w:val="21"/>
      </w:rPr>
    </w:lvl>
    <w:lvl w:ilvl="3" w:tplc="ABDA3594">
      <w:numFmt w:val="bullet"/>
      <w:lvlText w:val="•"/>
      <w:lvlJc w:val="left"/>
      <w:pPr>
        <w:ind w:left="2105" w:hanging="284"/>
      </w:pPr>
      <w:rPr>
        <w:rFonts w:hint="default"/>
      </w:rPr>
    </w:lvl>
    <w:lvl w:ilvl="4" w:tplc="BCEAFF2E">
      <w:numFmt w:val="bullet"/>
      <w:lvlText w:val="•"/>
      <w:lvlJc w:val="left"/>
      <w:pPr>
        <w:ind w:left="2830" w:hanging="284"/>
      </w:pPr>
      <w:rPr>
        <w:rFonts w:hint="default"/>
      </w:rPr>
    </w:lvl>
    <w:lvl w:ilvl="5" w:tplc="22EE88CE">
      <w:numFmt w:val="bullet"/>
      <w:lvlText w:val="•"/>
      <w:lvlJc w:val="left"/>
      <w:pPr>
        <w:ind w:left="3556" w:hanging="284"/>
      </w:pPr>
      <w:rPr>
        <w:rFonts w:hint="default"/>
      </w:rPr>
    </w:lvl>
    <w:lvl w:ilvl="6" w:tplc="B9F8005A">
      <w:numFmt w:val="bullet"/>
      <w:lvlText w:val="•"/>
      <w:lvlJc w:val="left"/>
      <w:pPr>
        <w:ind w:left="4281" w:hanging="284"/>
      </w:pPr>
      <w:rPr>
        <w:rFonts w:hint="default"/>
      </w:rPr>
    </w:lvl>
    <w:lvl w:ilvl="7" w:tplc="CDCA417E">
      <w:numFmt w:val="bullet"/>
      <w:lvlText w:val="•"/>
      <w:lvlJc w:val="left"/>
      <w:pPr>
        <w:ind w:left="5007" w:hanging="284"/>
      </w:pPr>
      <w:rPr>
        <w:rFonts w:hint="default"/>
      </w:rPr>
    </w:lvl>
    <w:lvl w:ilvl="8" w:tplc="FD1CBD4E">
      <w:numFmt w:val="bullet"/>
      <w:lvlText w:val="•"/>
      <w:lvlJc w:val="left"/>
      <w:pPr>
        <w:ind w:left="5732" w:hanging="284"/>
      </w:pPr>
      <w:rPr>
        <w:rFonts w:hint="default"/>
      </w:rPr>
    </w:lvl>
  </w:abstractNum>
  <w:abstractNum w:abstractNumId="25">
    <w:nsid w:val="0C182EFE"/>
    <w:multiLevelType w:val="hybridMultilevel"/>
    <w:tmpl w:val="06D43858"/>
    <w:lvl w:ilvl="0" w:tplc="1514F82A">
      <w:start w:val="1"/>
      <w:numFmt w:val="decimal"/>
      <w:lvlText w:val="%1)"/>
      <w:lvlJc w:val="left"/>
      <w:pPr>
        <w:ind w:left="817" w:hanging="284"/>
        <w:jc w:val="left"/>
      </w:pPr>
      <w:rPr>
        <w:rFonts w:ascii="Cambria" w:eastAsia="Cambria" w:hAnsi="Cambria" w:cs="Cambria" w:hint="default"/>
        <w:color w:val="231F20"/>
        <w:spacing w:val="-6"/>
        <w:w w:val="100"/>
        <w:sz w:val="21"/>
        <w:szCs w:val="21"/>
      </w:rPr>
    </w:lvl>
    <w:lvl w:ilvl="1" w:tplc="24CE4180">
      <w:numFmt w:val="bullet"/>
      <w:lvlText w:val="•"/>
      <w:lvlJc w:val="left"/>
      <w:pPr>
        <w:ind w:left="1456" w:hanging="284"/>
      </w:pPr>
      <w:rPr>
        <w:rFonts w:hint="default"/>
      </w:rPr>
    </w:lvl>
    <w:lvl w:ilvl="2" w:tplc="464C3100">
      <w:numFmt w:val="bullet"/>
      <w:lvlText w:val="•"/>
      <w:lvlJc w:val="left"/>
      <w:pPr>
        <w:ind w:left="2092" w:hanging="284"/>
      </w:pPr>
      <w:rPr>
        <w:rFonts w:hint="default"/>
      </w:rPr>
    </w:lvl>
    <w:lvl w:ilvl="3" w:tplc="339AEEB2">
      <w:numFmt w:val="bullet"/>
      <w:lvlText w:val="•"/>
      <w:lvlJc w:val="left"/>
      <w:pPr>
        <w:ind w:left="2729" w:hanging="284"/>
      </w:pPr>
      <w:rPr>
        <w:rFonts w:hint="default"/>
      </w:rPr>
    </w:lvl>
    <w:lvl w:ilvl="4" w:tplc="BFB410B0">
      <w:numFmt w:val="bullet"/>
      <w:lvlText w:val="•"/>
      <w:lvlJc w:val="left"/>
      <w:pPr>
        <w:ind w:left="3365" w:hanging="284"/>
      </w:pPr>
      <w:rPr>
        <w:rFonts w:hint="default"/>
      </w:rPr>
    </w:lvl>
    <w:lvl w:ilvl="5" w:tplc="74405460">
      <w:numFmt w:val="bullet"/>
      <w:lvlText w:val="•"/>
      <w:lvlJc w:val="left"/>
      <w:pPr>
        <w:ind w:left="4001" w:hanging="284"/>
      </w:pPr>
      <w:rPr>
        <w:rFonts w:hint="default"/>
      </w:rPr>
    </w:lvl>
    <w:lvl w:ilvl="6" w:tplc="3D902472">
      <w:numFmt w:val="bullet"/>
      <w:lvlText w:val="•"/>
      <w:lvlJc w:val="left"/>
      <w:pPr>
        <w:ind w:left="4638" w:hanging="284"/>
      </w:pPr>
      <w:rPr>
        <w:rFonts w:hint="default"/>
      </w:rPr>
    </w:lvl>
    <w:lvl w:ilvl="7" w:tplc="99B09ADA">
      <w:numFmt w:val="bullet"/>
      <w:lvlText w:val="•"/>
      <w:lvlJc w:val="left"/>
      <w:pPr>
        <w:ind w:left="5274" w:hanging="284"/>
      </w:pPr>
      <w:rPr>
        <w:rFonts w:hint="default"/>
      </w:rPr>
    </w:lvl>
    <w:lvl w:ilvl="8" w:tplc="4368679C">
      <w:numFmt w:val="bullet"/>
      <w:lvlText w:val="•"/>
      <w:lvlJc w:val="left"/>
      <w:pPr>
        <w:ind w:left="5911" w:hanging="284"/>
      </w:pPr>
      <w:rPr>
        <w:rFonts w:hint="default"/>
      </w:rPr>
    </w:lvl>
  </w:abstractNum>
  <w:abstractNum w:abstractNumId="26">
    <w:nsid w:val="0C3C0AA0"/>
    <w:multiLevelType w:val="hybridMultilevel"/>
    <w:tmpl w:val="BD46AC32"/>
    <w:lvl w:ilvl="0" w:tplc="A866EBBC">
      <w:numFmt w:val="bullet"/>
      <w:lvlText w:val=""/>
      <w:lvlJc w:val="left"/>
      <w:pPr>
        <w:ind w:left="533" w:hanging="284"/>
      </w:pPr>
      <w:rPr>
        <w:rFonts w:ascii="Wingdings" w:eastAsia="Wingdings" w:hAnsi="Wingdings" w:cs="Wingdings" w:hint="default"/>
        <w:color w:val="231F20"/>
        <w:w w:val="100"/>
        <w:sz w:val="21"/>
        <w:szCs w:val="21"/>
      </w:rPr>
    </w:lvl>
    <w:lvl w:ilvl="1" w:tplc="1F041F74">
      <w:numFmt w:val="bullet"/>
      <w:lvlText w:val="•"/>
      <w:lvlJc w:val="left"/>
      <w:pPr>
        <w:ind w:left="1204" w:hanging="284"/>
      </w:pPr>
      <w:rPr>
        <w:rFonts w:hint="default"/>
      </w:rPr>
    </w:lvl>
    <w:lvl w:ilvl="2" w:tplc="25BC2564">
      <w:numFmt w:val="bullet"/>
      <w:lvlText w:val="•"/>
      <w:lvlJc w:val="left"/>
      <w:pPr>
        <w:ind w:left="1868" w:hanging="284"/>
      </w:pPr>
      <w:rPr>
        <w:rFonts w:hint="default"/>
      </w:rPr>
    </w:lvl>
    <w:lvl w:ilvl="3" w:tplc="DF1CDA76">
      <w:numFmt w:val="bullet"/>
      <w:lvlText w:val="•"/>
      <w:lvlJc w:val="left"/>
      <w:pPr>
        <w:ind w:left="2533" w:hanging="284"/>
      </w:pPr>
      <w:rPr>
        <w:rFonts w:hint="default"/>
      </w:rPr>
    </w:lvl>
    <w:lvl w:ilvl="4" w:tplc="7F2C4996">
      <w:numFmt w:val="bullet"/>
      <w:lvlText w:val="•"/>
      <w:lvlJc w:val="left"/>
      <w:pPr>
        <w:ind w:left="3197" w:hanging="284"/>
      </w:pPr>
      <w:rPr>
        <w:rFonts w:hint="default"/>
      </w:rPr>
    </w:lvl>
    <w:lvl w:ilvl="5" w:tplc="85E4FD3A">
      <w:numFmt w:val="bullet"/>
      <w:lvlText w:val="•"/>
      <w:lvlJc w:val="left"/>
      <w:pPr>
        <w:ind w:left="3861" w:hanging="284"/>
      </w:pPr>
      <w:rPr>
        <w:rFonts w:hint="default"/>
      </w:rPr>
    </w:lvl>
    <w:lvl w:ilvl="6" w:tplc="1DF8206C">
      <w:numFmt w:val="bullet"/>
      <w:lvlText w:val="•"/>
      <w:lvlJc w:val="left"/>
      <w:pPr>
        <w:ind w:left="4526" w:hanging="284"/>
      </w:pPr>
      <w:rPr>
        <w:rFonts w:hint="default"/>
      </w:rPr>
    </w:lvl>
    <w:lvl w:ilvl="7" w:tplc="2E5ABF6C">
      <w:numFmt w:val="bullet"/>
      <w:lvlText w:val="•"/>
      <w:lvlJc w:val="left"/>
      <w:pPr>
        <w:ind w:left="5190" w:hanging="284"/>
      </w:pPr>
      <w:rPr>
        <w:rFonts w:hint="default"/>
      </w:rPr>
    </w:lvl>
    <w:lvl w:ilvl="8" w:tplc="2D1E4846">
      <w:numFmt w:val="bullet"/>
      <w:lvlText w:val="•"/>
      <w:lvlJc w:val="left"/>
      <w:pPr>
        <w:ind w:left="5855" w:hanging="284"/>
      </w:pPr>
      <w:rPr>
        <w:rFonts w:hint="default"/>
      </w:rPr>
    </w:lvl>
  </w:abstractNum>
  <w:abstractNum w:abstractNumId="27">
    <w:nsid w:val="0C9B5599"/>
    <w:multiLevelType w:val="hybridMultilevel"/>
    <w:tmpl w:val="4FB8D29A"/>
    <w:lvl w:ilvl="0" w:tplc="E536D89E">
      <w:numFmt w:val="bullet"/>
      <w:lvlText w:val="–"/>
      <w:lvlJc w:val="left"/>
      <w:pPr>
        <w:ind w:left="533" w:hanging="284"/>
      </w:pPr>
      <w:rPr>
        <w:rFonts w:ascii="Cambria" w:eastAsia="Cambria" w:hAnsi="Cambria" w:cs="Cambria" w:hint="default"/>
        <w:i/>
        <w:color w:val="231F20"/>
        <w:spacing w:val="-7"/>
        <w:w w:val="100"/>
        <w:sz w:val="21"/>
        <w:szCs w:val="21"/>
      </w:rPr>
    </w:lvl>
    <w:lvl w:ilvl="1" w:tplc="CCAA11FA">
      <w:numFmt w:val="bullet"/>
      <w:lvlText w:val="•"/>
      <w:lvlJc w:val="left"/>
      <w:pPr>
        <w:ind w:left="1204" w:hanging="284"/>
      </w:pPr>
      <w:rPr>
        <w:rFonts w:hint="default"/>
      </w:rPr>
    </w:lvl>
    <w:lvl w:ilvl="2" w:tplc="2626E32C">
      <w:numFmt w:val="bullet"/>
      <w:lvlText w:val="•"/>
      <w:lvlJc w:val="left"/>
      <w:pPr>
        <w:ind w:left="1868" w:hanging="284"/>
      </w:pPr>
      <w:rPr>
        <w:rFonts w:hint="default"/>
      </w:rPr>
    </w:lvl>
    <w:lvl w:ilvl="3" w:tplc="9FDA1004">
      <w:numFmt w:val="bullet"/>
      <w:lvlText w:val="•"/>
      <w:lvlJc w:val="left"/>
      <w:pPr>
        <w:ind w:left="2533" w:hanging="284"/>
      </w:pPr>
      <w:rPr>
        <w:rFonts w:hint="default"/>
      </w:rPr>
    </w:lvl>
    <w:lvl w:ilvl="4" w:tplc="C228ECD8">
      <w:numFmt w:val="bullet"/>
      <w:lvlText w:val="•"/>
      <w:lvlJc w:val="left"/>
      <w:pPr>
        <w:ind w:left="3197" w:hanging="284"/>
      </w:pPr>
      <w:rPr>
        <w:rFonts w:hint="default"/>
      </w:rPr>
    </w:lvl>
    <w:lvl w:ilvl="5" w:tplc="BC5C8BC2">
      <w:numFmt w:val="bullet"/>
      <w:lvlText w:val="•"/>
      <w:lvlJc w:val="left"/>
      <w:pPr>
        <w:ind w:left="3861" w:hanging="284"/>
      </w:pPr>
      <w:rPr>
        <w:rFonts w:hint="default"/>
      </w:rPr>
    </w:lvl>
    <w:lvl w:ilvl="6" w:tplc="132E1730">
      <w:numFmt w:val="bullet"/>
      <w:lvlText w:val="•"/>
      <w:lvlJc w:val="left"/>
      <w:pPr>
        <w:ind w:left="4526" w:hanging="284"/>
      </w:pPr>
      <w:rPr>
        <w:rFonts w:hint="default"/>
      </w:rPr>
    </w:lvl>
    <w:lvl w:ilvl="7" w:tplc="FFEEDC70">
      <w:numFmt w:val="bullet"/>
      <w:lvlText w:val="•"/>
      <w:lvlJc w:val="left"/>
      <w:pPr>
        <w:ind w:left="5190" w:hanging="284"/>
      </w:pPr>
      <w:rPr>
        <w:rFonts w:hint="default"/>
      </w:rPr>
    </w:lvl>
    <w:lvl w:ilvl="8" w:tplc="66DC8104">
      <w:numFmt w:val="bullet"/>
      <w:lvlText w:val="•"/>
      <w:lvlJc w:val="left"/>
      <w:pPr>
        <w:ind w:left="5855" w:hanging="284"/>
      </w:pPr>
      <w:rPr>
        <w:rFonts w:hint="default"/>
      </w:rPr>
    </w:lvl>
  </w:abstractNum>
  <w:abstractNum w:abstractNumId="28">
    <w:nsid w:val="0D38462D"/>
    <w:multiLevelType w:val="hybridMultilevel"/>
    <w:tmpl w:val="CEE4B266"/>
    <w:lvl w:ilvl="0" w:tplc="80FA53D6">
      <w:start w:val="1"/>
      <w:numFmt w:val="decimal"/>
      <w:lvlText w:val="%1."/>
      <w:lvlJc w:val="left"/>
      <w:pPr>
        <w:ind w:left="250" w:hanging="284"/>
        <w:jc w:val="right"/>
      </w:pPr>
      <w:rPr>
        <w:rFonts w:ascii="Cambria" w:eastAsia="Cambria" w:hAnsi="Cambria" w:cs="Cambria" w:hint="default"/>
        <w:color w:val="231F20"/>
        <w:spacing w:val="-15"/>
        <w:w w:val="100"/>
        <w:sz w:val="21"/>
        <w:szCs w:val="21"/>
      </w:rPr>
    </w:lvl>
    <w:lvl w:ilvl="1" w:tplc="B7A6E15E">
      <w:numFmt w:val="bullet"/>
      <w:lvlText w:val="•"/>
      <w:lvlJc w:val="left"/>
      <w:pPr>
        <w:ind w:left="952" w:hanging="284"/>
      </w:pPr>
      <w:rPr>
        <w:rFonts w:hint="default"/>
      </w:rPr>
    </w:lvl>
    <w:lvl w:ilvl="2" w:tplc="609A7D56">
      <w:numFmt w:val="bullet"/>
      <w:lvlText w:val="•"/>
      <w:lvlJc w:val="left"/>
      <w:pPr>
        <w:ind w:left="1644" w:hanging="284"/>
      </w:pPr>
      <w:rPr>
        <w:rFonts w:hint="default"/>
      </w:rPr>
    </w:lvl>
    <w:lvl w:ilvl="3" w:tplc="CFE8A2E6">
      <w:numFmt w:val="bullet"/>
      <w:lvlText w:val="•"/>
      <w:lvlJc w:val="left"/>
      <w:pPr>
        <w:ind w:left="2337" w:hanging="284"/>
      </w:pPr>
      <w:rPr>
        <w:rFonts w:hint="default"/>
      </w:rPr>
    </w:lvl>
    <w:lvl w:ilvl="4" w:tplc="F40859FA">
      <w:numFmt w:val="bullet"/>
      <w:lvlText w:val="•"/>
      <w:lvlJc w:val="left"/>
      <w:pPr>
        <w:ind w:left="3029" w:hanging="284"/>
      </w:pPr>
      <w:rPr>
        <w:rFonts w:hint="default"/>
      </w:rPr>
    </w:lvl>
    <w:lvl w:ilvl="5" w:tplc="3B687956">
      <w:numFmt w:val="bullet"/>
      <w:lvlText w:val="•"/>
      <w:lvlJc w:val="left"/>
      <w:pPr>
        <w:ind w:left="3721" w:hanging="284"/>
      </w:pPr>
      <w:rPr>
        <w:rFonts w:hint="default"/>
      </w:rPr>
    </w:lvl>
    <w:lvl w:ilvl="6" w:tplc="4E5A3DD6">
      <w:numFmt w:val="bullet"/>
      <w:lvlText w:val="•"/>
      <w:lvlJc w:val="left"/>
      <w:pPr>
        <w:ind w:left="4414" w:hanging="284"/>
      </w:pPr>
      <w:rPr>
        <w:rFonts w:hint="default"/>
      </w:rPr>
    </w:lvl>
    <w:lvl w:ilvl="7" w:tplc="9E1C0300">
      <w:numFmt w:val="bullet"/>
      <w:lvlText w:val="•"/>
      <w:lvlJc w:val="left"/>
      <w:pPr>
        <w:ind w:left="5106" w:hanging="284"/>
      </w:pPr>
      <w:rPr>
        <w:rFonts w:hint="default"/>
      </w:rPr>
    </w:lvl>
    <w:lvl w:ilvl="8" w:tplc="9A9242E2">
      <w:numFmt w:val="bullet"/>
      <w:lvlText w:val="•"/>
      <w:lvlJc w:val="left"/>
      <w:pPr>
        <w:ind w:left="5799" w:hanging="284"/>
      </w:pPr>
      <w:rPr>
        <w:rFonts w:hint="default"/>
      </w:rPr>
    </w:lvl>
  </w:abstractNum>
  <w:abstractNum w:abstractNumId="29">
    <w:nsid w:val="0DDA0F3C"/>
    <w:multiLevelType w:val="hybridMultilevel"/>
    <w:tmpl w:val="3D401498"/>
    <w:lvl w:ilvl="0" w:tplc="5A1AFBC2">
      <w:numFmt w:val="bullet"/>
      <w:lvlText w:val=""/>
      <w:lvlJc w:val="left"/>
      <w:pPr>
        <w:ind w:left="533" w:hanging="284"/>
      </w:pPr>
      <w:rPr>
        <w:rFonts w:ascii="Wingdings" w:eastAsia="Wingdings" w:hAnsi="Wingdings" w:cs="Wingdings" w:hint="default"/>
        <w:color w:val="231F20"/>
        <w:w w:val="100"/>
        <w:sz w:val="21"/>
        <w:szCs w:val="21"/>
      </w:rPr>
    </w:lvl>
    <w:lvl w:ilvl="1" w:tplc="FB3A63F6">
      <w:numFmt w:val="bullet"/>
      <w:lvlText w:val="•"/>
      <w:lvlJc w:val="left"/>
      <w:pPr>
        <w:ind w:left="1204" w:hanging="284"/>
      </w:pPr>
      <w:rPr>
        <w:rFonts w:hint="default"/>
      </w:rPr>
    </w:lvl>
    <w:lvl w:ilvl="2" w:tplc="4CEA13AC">
      <w:numFmt w:val="bullet"/>
      <w:lvlText w:val="•"/>
      <w:lvlJc w:val="left"/>
      <w:pPr>
        <w:ind w:left="1868" w:hanging="284"/>
      </w:pPr>
      <w:rPr>
        <w:rFonts w:hint="default"/>
      </w:rPr>
    </w:lvl>
    <w:lvl w:ilvl="3" w:tplc="17C43F1A">
      <w:numFmt w:val="bullet"/>
      <w:lvlText w:val="•"/>
      <w:lvlJc w:val="left"/>
      <w:pPr>
        <w:ind w:left="2533" w:hanging="284"/>
      </w:pPr>
      <w:rPr>
        <w:rFonts w:hint="default"/>
      </w:rPr>
    </w:lvl>
    <w:lvl w:ilvl="4" w:tplc="1E947A14">
      <w:numFmt w:val="bullet"/>
      <w:lvlText w:val="•"/>
      <w:lvlJc w:val="left"/>
      <w:pPr>
        <w:ind w:left="3197" w:hanging="284"/>
      </w:pPr>
      <w:rPr>
        <w:rFonts w:hint="default"/>
      </w:rPr>
    </w:lvl>
    <w:lvl w:ilvl="5" w:tplc="E33AC23A">
      <w:numFmt w:val="bullet"/>
      <w:lvlText w:val="•"/>
      <w:lvlJc w:val="left"/>
      <w:pPr>
        <w:ind w:left="3861" w:hanging="284"/>
      </w:pPr>
      <w:rPr>
        <w:rFonts w:hint="default"/>
      </w:rPr>
    </w:lvl>
    <w:lvl w:ilvl="6" w:tplc="B6405E9E">
      <w:numFmt w:val="bullet"/>
      <w:lvlText w:val="•"/>
      <w:lvlJc w:val="left"/>
      <w:pPr>
        <w:ind w:left="4526" w:hanging="284"/>
      </w:pPr>
      <w:rPr>
        <w:rFonts w:hint="default"/>
      </w:rPr>
    </w:lvl>
    <w:lvl w:ilvl="7" w:tplc="2A8EF244">
      <w:numFmt w:val="bullet"/>
      <w:lvlText w:val="•"/>
      <w:lvlJc w:val="left"/>
      <w:pPr>
        <w:ind w:left="5190" w:hanging="284"/>
      </w:pPr>
      <w:rPr>
        <w:rFonts w:hint="default"/>
      </w:rPr>
    </w:lvl>
    <w:lvl w:ilvl="8" w:tplc="A07EB2BA">
      <w:numFmt w:val="bullet"/>
      <w:lvlText w:val="•"/>
      <w:lvlJc w:val="left"/>
      <w:pPr>
        <w:ind w:left="5855" w:hanging="284"/>
      </w:pPr>
      <w:rPr>
        <w:rFonts w:hint="default"/>
      </w:rPr>
    </w:lvl>
  </w:abstractNum>
  <w:abstractNum w:abstractNumId="30">
    <w:nsid w:val="0DE2574F"/>
    <w:multiLevelType w:val="multilevel"/>
    <w:tmpl w:val="884A047A"/>
    <w:lvl w:ilvl="0">
      <w:start w:val="4"/>
      <w:numFmt w:val="decimal"/>
      <w:lvlText w:val="%1"/>
      <w:lvlJc w:val="left"/>
      <w:pPr>
        <w:ind w:left="1098" w:hanging="565"/>
        <w:jc w:val="left"/>
      </w:pPr>
      <w:rPr>
        <w:rFonts w:hint="default"/>
      </w:rPr>
    </w:lvl>
    <w:lvl w:ilvl="1">
      <w:start w:val="4"/>
      <w:numFmt w:val="decimal"/>
      <w:lvlText w:val="%1.%2"/>
      <w:lvlJc w:val="left"/>
      <w:pPr>
        <w:ind w:left="1098" w:hanging="565"/>
        <w:jc w:val="left"/>
      </w:pPr>
      <w:rPr>
        <w:rFonts w:hint="default"/>
      </w:rPr>
    </w:lvl>
    <w:lvl w:ilvl="2">
      <w:start w:val="1"/>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start w:val="1"/>
      <w:numFmt w:val="decimal"/>
      <w:lvlText w:val="%1.%2.%3.%4."/>
      <w:lvlJc w:val="left"/>
      <w:pPr>
        <w:ind w:left="1534" w:hanging="718"/>
        <w:jc w:val="right"/>
      </w:pPr>
      <w:rPr>
        <w:rFonts w:ascii="Cambria" w:eastAsia="Cambria" w:hAnsi="Cambria" w:cs="Cambria" w:hint="default"/>
        <w:b/>
        <w:bCs/>
        <w:i/>
        <w:color w:val="231F20"/>
        <w:spacing w:val="-12"/>
        <w:w w:val="100"/>
        <w:sz w:val="21"/>
        <w:szCs w:val="21"/>
      </w:rPr>
    </w:lvl>
    <w:lvl w:ilvl="4">
      <w:numFmt w:val="bullet"/>
      <w:lvlText w:val="•"/>
      <w:lvlJc w:val="left"/>
      <w:pPr>
        <w:ind w:left="3421" w:hanging="718"/>
      </w:pPr>
      <w:rPr>
        <w:rFonts w:hint="default"/>
      </w:rPr>
    </w:lvl>
    <w:lvl w:ilvl="5">
      <w:numFmt w:val="bullet"/>
      <w:lvlText w:val="•"/>
      <w:lvlJc w:val="left"/>
      <w:pPr>
        <w:ind w:left="4048" w:hanging="718"/>
      </w:pPr>
      <w:rPr>
        <w:rFonts w:hint="default"/>
      </w:rPr>
    </w:lvl>
    <w:lvl w:ilvl="6">
      <w:numFmt w:val="bullet"/>
      <w:lvlText w:val="•"/>
      <w:lvlJc w:val="left"/>
      <w:pPr>
        <w:ind w:left="4675" w:hanging="718"/>
      </w:pPr>
      <w:rPr>
        <w:rFonts w:hint="default"/>
      </w:rPr>
    </w:lvl>
    <w:lvl w:ilvl="7">
      <w:numFmt w:val="bullet"/>
      <w:lvlText w:val="•"/>
      <w:lvlJc w:val="left"/>
      <w:pPr>
        <w:ind w:left="5302" w:hanging="718"/>
      </w:pPr>
      <w:rPr>
        <w:rFonts w:hint="default"/>
      </w:rPr>
    </w:lvl>
    <w:lvl w:ilvl="8">
      <w:numFmt w:val="bullet"/>
      <w:lvlText w:val="•"/>
      <w:lvlJc w:val="left"/>
      <w:pPr>
        <w:ind w:left="5929" w:hanging="718"/>
      </w:pPr>
      <w:rPr>
        <w:rFonts w:hint="default"/>
      </w:rPr>
    </w:lvl>
  </w:abstractNum>
  <w:abstractNum w:abstractNumId="31">
    <w:nsid w:val="0E8F43DA"/>
    <w:multiLevelType w:val="hybridMultilevel"/>
    <w:tmpl w:val="7B4C817E"/>
    <w:lvl w:ilvl="0" w:tplc="3E164600">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C42C6068">
      <w:numFmt w:val="bullet"/>
      <w:lvlText w:val="•"/>
      <w:lvlJc w:val="left"/>
      <w:pPr>
        <w:ind w:left="952" w:hanging="284"/>
      </w:pPr>
      <w:rPr>
        <w:rFonts w:hint="default"/>
      </w:rPr>
    </w:lvl>
    <w:lvl w:ilvl="2" w:tplc="D48EFED6">
      <w:numFmt w:val="bullet"/>
      <w:lvlText w:val="•"/>
      <w:lvlJc w:val="left"/>
      <w:pPr>
        <w:ind w:left="1644" w:hanging="284"/>
      </w:pPr>
      <w:rPr>
        <w:rFonts w:hint="default"/>
      </w:rPr>
    </w:lvl>
    <w:lvl w:ilvl="3" w:tplc="EEF4A31A">
      <w:numFmt w:val="bullet"/>
      <w:lvlText w:val="•"/>
      <w:lvlJc w:val="left"/>
      <w:pPr>
        <w:ind w:left="2337" w:hanging="284"/>
      </w:pPr>
      <w:rPr>
        <w:rFonts w:hint="default"/>
      </w:rPr>
    </w:lvl>
    <w:lvl w:ilvl="4" w:tplc="9A8ECFC6">
      <w:numFmt w:val="bullet"/>
      <w:lvlText w:val="•"/>
      <w:lvlJc w:val="left"/>
      <w:pPr>
        <w:ind w:left="3029" w:hanging="284"/>
      </w:pPr>
      <w:rPr>
        <w:rFonts w:hint="default"/>
      </w:rPr>
    </w:lvl>
    <w:lvl w:ilvl="5" w:tplc="97A2A73C">
      <w:numFmt w:val="bullet"/>
      <w:lvlText w:val="•"/>
      <w:lvlJc w:val="left"/>
      <w:pPr>
        <w:ind w:left="3721" w:hanging="284"/>
      </w:pPr>
      <w:rPr>
        <w:rFonts w:hint="default"/>
      </w:rPr>
    </w:lvl>
    <w:lvl w:ilvl="6" w:tplc="214E2426">
      <w:numFmt w:val="bullet"/>
      <w:lvlText w:val="•"/>
      <w:lvlJc w:val="left"/>
      <w:pPr>
        <w:ind w:left="4414" w:hanging="284"/>
      </w:pPr>
      <w:rPr>
        <w:rFonts w:hint="default"/>
      </w:rPr>
    </w:lvl>
    <w:lvl w:ilvl="7" w:tplc="1E32B112">
      <w:numFmt w:val="bullet"/>
      <w:lvlText w:val="•"/>
      <w:lvlJc w:val="left"/>
      <w:pPr>
        <w:ind w:left="5106" w:hanging="284"/>
      </w:pPr>
      <w:rPr>
        <w:rFonts w:hint="default"/>
      </w:rPr>
    </w:lvl>
    <w:lvl w:ilvl="8" w:tplc="6BD41A72">
      <w:numFmt w:val="bullet"/>
      <w:lvlText w:val="•"/>
      <w:lvlJc w:val="left"/>
      <w:pPr>
        <w:ind w:left="5799" w:hanging="284"/>
      </w:pPr>
      <w:rPr>
        <w:rFonts w:hint="default"/>
      </w:rPr>
    </w:lvl>
  </w:abstractNum>
  <w:abstractNum w:abstractNumId="32">
    <w:nsid w:val="0E9D5876"/>
    <w:multiLevelType w:val="multilevel"/>
    <w:tmpl w:val="F5C8A580"/>
    <w:lvl w:ilvl="0">
      <w:start w:val="3"/>
      <w:numFmt w:val="decimal"/>
      <w:lvlText w:val="%1"/>
      <w:lvlJc w:val="left"/>
      <w:pPr>
        <w:ind w:left="651" w:hanging="411"/>
        <w:jc w:val="left"/>
      </w:pPr>
      <w:rPr>
        <w:rFonts w:hint="default"/>
      </w:rPr>
    </w:lvl>
    <w:lvl w:ilvl="1">
      <w:start w:val="1"/>
      <w:numFmt w:val="decimal"/>
      <w:lvlText w:val="%1.%2."/>
      <w:lvlJc w:val="left"/>
      <w:pPr>
        <w:ind w:left="651" w:hanging="411"/>
        <w:jc w:val="right"/>
      </w:pPr>
      <w:rPr>
        <w:rFonts w:ascii="Cambria" w:eastAsia="Cambria" w:hAnsi="Cambria" w:cs="Cambria" w:hint="default"/>
        <w:b/>
        <w:bCs/>
        <w:color w:val="231F20"/>
        <w:spacing w:val="-1"/>
        <w:w w:val="100"/>
        <w:sz w:val="22"/>
        <w:szCs w:val="22"/>
      </w:rPr>
    </w:lvl>
    <w:lvl w:ilvl="2">
      <w:numFmt w:val="bullet"/>
      <w:lvlText w:val="–"/>
      <w:lvlJc w:val="left"/>
      <w:pPr>
        <w:ind w:left="533" w:hanging="284"/>
      </w:pPr>
      <w:rPr>
        <w:rFonts w:ascii="Cambria" w:eastAsia="Cambria" w:hAnsi="Cambria" w:cs="Cambria" w:hint="default"/>
        <w:color w:val="231F20"/>
        <w:spacing w:val="-14"/>
        <w:w w:val="100"/>
        <w:sz w:val="21"/>
        <w:szCs w:val="21"/>
      </w:rPr>
    </w:lvl>
    <w:lvl w:ilvl="3">
      <w:numFmt w:val="bullet"/>
      <w:lvlText w:val="•"/>
      <w:lvlJc w:val="left"/>
      <w:pPr>
        <w:ind w:left="2109" w:hanging="284"/>
      </w:pPr>
      <w:rPr>
        <w:rFonts w:hint="default"/>
      </w:rPr>
    </w:lvl>
    <w:lvl w:ilvl="4">
      <w:numFmt w:val="bullet"/>
      <w:lvlText w:val="•"/>
      <w:lvlJc w:val="left"/>
      <w:pPr>
        <w:ind w:left="2834" w:hanging="284"/>
      </w:pPr>
      <w:rPr>
        <w:rFonts w:hint="default"/>
      </w:rPr>
    </w:lvl>
    <w:lvl w:ilvl="5">
      <w:numFmt w:val="bullet"/>
      <w:lvlText w:val="•"/>
      <w:lvlJc w:val="left"/>
      <w:pPr>
        <w:ind w:left="3559" w:hanging="284"/>
      </w:pPr>
      <w:rPr>
        <w:rFonts w:hint="default"/>
      </w:rPr>
    </w:lvl>
    <w:lvl w:ilvl="6">
      <w:numFmt w:val="bullet"/>
      <w:lvlText w:val="•"/>
      <w:lvlJc w:val="left"/>
      <w:pPr>
        <w:ind w:left="4284" w:hanging="284"/>
      </w:pPr>
      <w:rPr>
        <w:rFonts w:hint="default"/>
      </w:rPr>
    </w:lvl>
    <w:lvl w:ilvl="7">
      <w:numFmt w:val="bullet"/>
      <w:lvlText w:val="•"/>
      <w:lvlJc w:val="left"/>
      <w:pPr>
        <w:ind w:left="5009" w:hanging="284"/>
      </w:pPr>
      <w:rPr>
        <w:rFonts w:hint="default"/>
      </w:rPr>
    </w:lvl>
    <w:lvl w:ilvl="8">
      <w:numFmt w:val="bullet"/>
      <w:lvlText w:val="•"/>
      <w:lvlJc w:val="left"/>
      <w:pPr>
        <w:ind w:left="5734" w:hanging="284"/>
      </w:pPr>
      <w:rPr>
        <w:rFonts w:hint="default"/>
      </w:rPr>
    </w:lvl>
  </w:abstractNum>
  <w:abstractNum w:abstractNumId="33">
    <w:nsid w:val="0EE47945"/>
    <w:multiLevelType w:val="hybridMultilevel"/>
    <w:tmpl w:val="2A849822"/>
    <w:lvl w:ilvl="0" w:tplc="C3DAFA4C">
      <w:numFmt w:val="bullet"/>
      <w:lvlText w:val="–"/>
      <w:lvlJc w:val="left"/>
      <w:pPr>
        <w:ind w:left="533" w:hanging="284"/>
      </w:pPr>
      <w:rPr>
        <w:rFonts w:ascii="Cambria" w:eastAsia="Cambria" w:hAnsi="Cambria" w:cs="Cambria" w:hint="default"/>
        <w:color w:val="231F20"/>
        <w:spacing w:val="-21"/>
        <w:w w:val="100"/>
        <w:sz w:val="21"/>
        <w:szCs w:val="21"/>
      </w:rPr>
    </w:lvl>
    <w:lvl w:ilvl="1" w:tplc="EABCEE3E">
      <w:numFmt w:val="bullet"/>
      <w:lvlText w:val="•"/>
      <w:lvlJc w:val="left"/>
      <w:pPr>
        <w:ind w:left="1204" w:hanging="284"/>
      </w:pPr>
      <w:rPr>
        <w:rFonts w:hint="default"/>
      </w:rPr>
    </w:lvl>
    <w:lvl w:ilvl="2" w:tplc="6442A2AA">
      <w:numFmt w:val="bullet"/>
      <w:lvlText w:val="•"/>
      <w:lvlJc w:val="left"/>
      <w:pPr>
        <w:ind w:left="1868" w:hanging="284"/>
      </w:pPr>
      <w:rPr>
        <w:rFonts w:hint="default"/>
      </w:rPr>
    </w:lvl>
    <w:lvl w:ilvl="3" w:tplc="D97AAB6E">
      <w:numFmt w:val="bullet"/>
      <w:lvlText w:val="•"/>
      <w:lvlJc w:val="left"/>
      <w:pPr>
        <w:ind w:left="2533" w:hanging="284"/>
      </w:pPr>
      <w:rPr>
        <w:rFonts w:hint="default"/>
      </w:rPr>
    </w:lvl>
    <w:lvl w:ilvl="4" w:tplc="4EDA930E">
      <w:numFmt w:val="bullet"/>
      <w:lvlText w:val="•"/>
      <w:lvlJc w:val="left"/>
      <w:pPr>
        <w:ind w:left="3197" w:hanging="284"/>
      </w:pPr>
      <w:rPr>
        <w:rFonts w:hint="default"/>
      </w:rPr>
    </w:lvl>
    <w:lvl w:ilvl="5" w:tplc="2CF2C2D4">
      <w:numFmt w:val="bullet"/>
      <w:lvlText w:val="•"/>
      <w:lvlJc w:val="left"/>
      <w:pPr>
        <w:ind w:left="3861" w:hanging="284"/>
      </w:pPr>
      <w:rPr>
        <w:rFonts w:hint="default"/>
      </w:rPr>
    </w:lvl>
    <w:lvl w:ilvl="6" w:tplc="C422F38E">
      <w:numFmt w:val="bullet"/>
      <w:lvlText w:val="•"/>
      <w:lvlJc w:val="left"/>
      <w:pPr>
        <w:ind w:left="4526" w:hanging="284"/>
      </w:pPr>
      <w:rPr>
        <w:rFonts w:hint="default"/>
      </w:rPr>
    </w:lvl>
    <w:lvl w:ilvl="7" w:tplc="1938F0CE">
      <w:numFmt w:val="bullet"/>
      <w:lvlText w:val="•"/>
      <w:lvlJc w:val="left"/>
      <w:pPr>
        <w:ind w:left="5190" w:hanging="284"/>
      </w:pPr>
      <w:rPr>
        <w:rFonts w:hint="default"/>
      </w:rPr>
    </w:lvl>
    <w:lvl w:ilvl="8" w:tplc="AE4C47D6">
      <w:numFmt w:val="bullet"/>
      <w:lvlText w:val="•"/>
      <w:lvlJc w:val="left"/>
      <w:pPr>
        <w:ind w:left="5855" w:hanging="284"/>
      </w:pPr>
      <w:rPr>
        <w:rFonts w:hint="default"/>
      </w:rPr>
    </w:lvl>
  </w:abstractNum>
  <w:abstractNum w:abstractNumId="34">
    <w:nsid w:val="0EFE4A98"/>
    <w:multiLevelType w:val="multilevel"/>
    <w:tmpl w:val="C1DA749A"/>
    <w:lvl w:ilvl="0">
      <w:start w:val="2"/>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start w:val="1"/>
      <w:numFmt w:val="decimal"/>
      <w:lvlText w:val="%1.%2.%3."/>
      <w:lvlJc w:val="left"/>
      <w:pPr>
        <w:ind w:left="1214" w:hanging="567"/>
        <w:jc w:val="left"/>
      </w:pPr>
      <w:rPr>
        <w:rFonts w:ascii="Cambria" w:eastAsia="Cambria" w:hAnsi="Cambria" w:cs="Cambria" w:hint="default"/>
        <w:color w:val="231F20"/>
        <w:spacing w:val="-4"/>
        <w:w w:val="81"/>
        <w:sz w:val="21"/>
        <w:szCs w:val="21"/>
      </w:rPr>
    </w:lvl>
    <w:lvl w:ilvl="3">
      <w:start w:val="1"/>
      <w:numFmt w:val="decimal"/>
      <w:lvlText w:val="%1.%2.%3.%4."/>
      <w:lvlJc w:val="left"/>
      <w:pPr>
        <w:ind w:left="487" w:hanging="717"/>
        <w:jc w:val="right"/>
      </w:pPr>
      <w:rPr>
        <w:rFonts w:ascii="Cambria" w:eastAsia="Cambria" w:hAnsi="Cambria" w:cs="Cambria" w:hint="default"/>
        <w:color w:val="231F20"/>
        <w:spacing w:val="-14"/>
        <w:w w:val="100"/>
        <w:sz w:val="21"/>
        <w:szCs w:val="21"/>
      </w:rPr>
    </w:lvl>
    <w:lvl w:ilvl="4">
      <w:numFmt w:val="bullet"/>
      <w:lvlText w:val="•"/>
      <w:lvlJc w:val="left"/>
      <w:pPr>
        <w:ind w:left="2710" w:hanging="717"/>
      </w:pPr>
      <w:rPr>
        <w:rFonts w:hint="default"/>
      </w:rPr>
    </w:lvl>
    <w:lvl w:ilvl="5">
      <w:numFmt w:val="bullet"/>
      <w:lvlText w:val="•"/>
      <w:lvlJc w:val="left"/>
      <w:pPr>
        <w:ind w:left="3456" w:hanging="717"/>
      </w:pPr>
      <w:rPr>
        <w:rFonts w:hint="default"/>
      </w:rPr>
    </w:lvl>
    <w:lvl w:ilvl="6">
      <w:numFmt w:val="bullet"/>
      <w:lvlText w:val="•"/>
      <w:lvlJc w:val="left"/>
      <w:pPr>
        <w:ind w:left="4201" w:hanging="717"/>
      </w:pPr>
      <w:rPr>
        <w:rFonts w:hint="default"/>
      </w:rPr>
    </w:lvl>
    <w:lvl w:ilvl="7">
      <w:numFmt w:val="bullet"/>
      <w:lvlText w:val="•"/>
      <w:lvlJc w:val="left"/>
      <w:pPr>
        <w:ind w:left="4947" w:hanging="717"/>
      </w:pPr>
      <w:rPr>
        <w:rFonts w:hint="default"/>
      </w:rPr>
    </w:lvl>
    <w:lvl w:ilvl="8">
      <w:numFmt w:val="bullet"/>
      <w:lvlText w:val="•"/>
      <w:lvlJc w:val="left"/>
      <w:pPr>
        <w:ind w:left="5692" w:hanging="717"/>
      </w:pPr>
      <w:rPr>
        <w:rFonts w:hint="default"/>
      </w:rPr>
    </w:lvl>
  </w:abstractNum>
  <w:abstractNum w:abstractNumId="35">
    <w:nsid w:val="0FC65D9A"/>
    <w:multiLevelType w:val="multilevel"/>
    <w:tmpl w:val="990872E6"/>
    <w:lvl w:ilvl="0">
      <w:start w:val="5"/>
      <w:numFmt w:val="decimal"/>
      <w:lvlText w:val="%1"/>
      <w:lvlJc w:val="left"/>
      <w:pPr>
        <w:ind w:left="1382" w:hanging="565"/>
        <w:jc w:val="left"/>
      </w:pPr>
      <w:rPr>
        <w:rFonts w:hint="default"/>
      </w:rPr>
    </w:lvl>
    <w:lvl w:ilvl="1">
      <w:start w:val="1"/>
      <w:numFmt w:val="decimal"/>
      <w:lvlText w:val="%1.%2"/>
      <w:lvlJc w:val="left"/>
      <w:pPr>
        <w:ind w:left="1382" w:hanging="565"/>
        <w:jc w:val="left"/>
      </w:pPr>
      <w:rPr>
        <w:rFonts w:hint="default"/>
      </w:rPr>
    </w:lvl>
    <w:lvl w:ilvl="2">
      <w:start w:val="1"/>
      <w:numFmt w:val="decimal"/>
      <w:lvlText w:val="%1.%2.%3."/>
      <w:lvlJc w:val="left"/>
      <w:pPr>
        <w:ind w:left="1382" w:hanging="565"/>
        <w:jc w:val="left"/>
      </w:pPr>
      <w:rPr>
        <w:rFonts w:ascii="Cambria" w:eastAsia="Cambria" w:hAnsi="Cambria" w:cs="Cambria" w:hint="default"/>
        <w:b/>
        <w:bCs/>
        <w:color w:val="231F20"/>
        <w:spacing w:val="-1"/>
        <w:w w:val="100"/>
        <w:sz w:val="21"/>
        <w:szCs w:val="21"/>
      </w:rPr>
    </w:lvl>
    <w:lvl w:ilvl="3">
      <w:start w:val="1"/>
      <w:numFmt w:val="decimal"/>
      <w:lvlText w:val="%1.%2.%3.%4."/>
      <w:lvlJc w:val="left"/>
      <w:pPr>
        <w:ind w:left="1534" w:hanging="718"/>
        <w:jc w:val="left"/>
      </w:pPr>
      <w:rPr>
        <w:rFonts w:ascii="Cambria" w:eastAsia="Cambria" w:hAnsi="Cambria" w:cs="Cambria" w:hint="default"/>
        <w:b/>
        <w:bCs/>
        <w:i/>
        <w:color w:val="231F20"/>
        <w:spacing w:val="-9"/>
        <w:w w:val="100"/>
        <w:sz w:val="21"/>
        <w:szCs w:val="21"/>
      </w:rPr>
    </w:lvl>
    <w:lvl w:ilvl="4">
      <w:numFmt w:val="bullet"/>
      <w:lvlText w:val="•"/>
      <w:lvlJc w:val="left"/>
      <w:pPr>
        <w:ind w:left="3421" w:hanging="718"/>
      </w:pPr>
      <w:rPr>
        <w:rFonts w:hint="default"/>
      </w:rPr>
    </w:lvl>
    <w:lvl w:ilvl="5">
      <w:numFmt w:val="bullet"/>
      <w:lvlText w:val="•"/>
      <w:lvlJc w:val="left"/>
      <w:pPr>
        <w:ind w:left="4048" w:hanging="718"/>
      </w:pPr>
      <w:rPr>
        <w:rFonts w:hint="default"/>
      </w:rPr>
    </w:lvl>
    <w:lvl w:ilvl="6">
      <w:numFmt w:val="bullet"/>
      <w:lvlText w:val="•"/>
      <w:lvlJc w:val="left"/>
      <w:pPr>
        <w:ind w:left="4675" w:hanging="718"/>
      </w:pPr>
      <w:rPr>
        <w:rFonts w:hint="default"/>
      </w:rPr>
    </w:lvl>
    <w:lvl w:ilvl="7">
      <w:numFmt w:val="bullet"/>
      <w:lvlText w:val="•"/>
      <w:lvlJc w:val="left"/>
      <w:pPr>
        <w:ind w:left="5302" w:hanging="718"/>
      </w:pPr>
      <w:rPr>
        <w:rFonts w:hint="default"/>
      </w:rPr>
    </w:lvl>
    <w:lvl w:ilvl="8">
      <w:numFmt w:val="bullet"/>
      <w:lvlText w:val="•"/>
      <w:lvlJc w:val="left"/>
      <w:pPr>
        <w:ind w:left="5929" w:hanging="718"/>
      </w:pPr>
      <w:rPr>
        <w:rFonts w:hint="default"/>
      </w:rPr>
    </w:lvl>
  </w:abstractNum>
  <w:abstractNum w:abstractNumId="36">
    <w:nsid w:val="101F1A3E"/>
    <w:multiLevelType w:val="hybridMultilevel"/>
    <w:tmpl w:val="0B5E62E4"/>
    <w:lvl w:ilvl="0" w:tplc="5F38436A">
      <w:numFmt w:val="bullet"/>
      <w:lvlText w:val="•"/>
      <w:lvlJc w:val="left"/>
      <w:pPr>
        <w:ind w:left="533" w:hanging="284"/>
      </w:pPr>
      <w:rPr>
        <w:rFonts w:ascii="Cambria" w:eastAsia="Cambria" w:hAnsi="Cambria" w:cs="Cambria" w:hint="default"/>
        <w:color w:val="231F20"/>
        <w:spacing w:val="-11"/>
        <w:w w:val="100"/>
        <w:sz w:val="21"/>
        <w:szCs w:val="21"/>
      </w:rPr>
    </w:lvl>
    <w:lvl w:ilvl="1" w:tplc="AB96037C">
      <w:numFmt w:val="bullet"/>
      <w:lvlText w:val="•"/>
      <w:lvlJc w:val="left"/>
      <w:pPr>
        <w:ind w:left="1204" w:hanging="284"/>
      </w:pPr>
      <w:rPr>
        <w:rFonts w:hint="default"/>
      </w:rPr>
    </w:lvl>
    <w:lvl w:ilvl="2" w:tplc="FD5670D6">
      <w:numFmt w:val="bullet"/>
      <w:lvlText w:val="•"/>
      <w:lvlJc w:val="left"/>
      <w:pPr>
        <w:ind w:left="1868" w:hanging="284"/>
      </w:pPr>
      <w:rPr>
        <w:rFonts w:hint="default"/>
      </w:rPr>
    </w:lvl>
    <w:lvl w:ilvl="3" w:tplc="34563DCC">
      <w:numFmt w:val="bullet"/>
      <w:lvlText w:val="•"/>
      <w:lvlJc w:val="left"/>
      <w:pPr>
        <w:ind w:left="2533" w:hanging="284"/>
      </w:pPr>
      <w:rPr>
        <w:rFonts w:hint="default"/>
      </w:rPr>
    </w:lvl>
    <w:lvl w:ilvl="4" w:tplc="06C89974">
      <w:numFmt w:val="bullet"/>
      <w:lvlText w:val="•"/>
      <w:lvlJc w:val="left"/>
      <w:pPr>
        <w:ind w:left="3197" w:hanging="284"/>
      </w:pPr>
      <w:rPr>
        <w:rFonts w:hint="default"/>
      </w:rPr>
    </w:lvl>
    <w:lvl w:ilvl="5" w:tplc="7BD2CD96">
      <w:numFmt w:val="bullet"/>
      <w:lvlText w:val="•"/>
      <w:lvlJc w:val="left"/>
      <w:pPr>
        <w:ind w:left="3861" w:hanging="284"/>
      </w:pPr>
      <w:rPr>
        <w:rFonts w:hint="default"/>
      </w:rPr>
    </w:lvl>
    <w:lvl w:ilvl="6" w:tplc="78749F1A">
      <w:numFmt w:val="bullet"/>
      <w:lvlText w:val="•"/>
      <w:lvlJc w:val="left"/>
      <w:pPr>
        <w:ind w:left="4526" w:hanging="284"/>
      </w:pPr>
      <w:rPr>
        <w:rFonts w:hint="default"/>
      </w:rPr>
    </w:lvl>
    <w:lvl w:ilvl="7" w:tplc="121E8832">
      <w:numFmt w:val="bullet"/>
      <w:lvlText w:val="•"/>
      <w:lvlJc w:val="left"/>
      <w:pPr>
        <w:ind w:left="5190" w:hanging="284"/>
      </w:pPr>
      <w:rPr>
        <w:rFonts w:hint="default"/>
      </w:rPr>
    </w:lvl>
    <w:lvl w:ilvl="8" w:tplc="761C88C0">
      <w:numFmt w:val="bullet"/>
      <w:lvlText w:val="•"/>
      <w:lvlJc w:val="left"/>
      <w:pPr>
        <w:ind w:left="5855" w:hanging="284"/>
      </w:pPr>
      <w:rPr>
        <w:rFonts w:hint="default"/>
      </w:rPr>
    </w:lvl>
  </w:abstractNum>
  <w:abstractNum w:abstractNumId="37">
    <w:nsid w:val="108034FD"/>
    <w:multiLevelType w:val="hybridMultilevel"/>
    <w:tmpl w:val="21A052EA"/>
    <w:lvl w:ilvl="0" w:tplc="3F029ADE">
      <w:numFmt w:val="bullet"/>
      <w:lvlText w:val="–"/>
      <w:lvlJc w:val="left"/>
      <w:pPr>
        <w:ind w:left="533" w:hanging="284"/>
      </w:pPr>
      <w:rPr>
        <w:rFonts w:ascii="Cambria" w:eastAsia="Cambria" w:hAnsi="Cambria" w:cs="Cambria" w:hint="default"/>
        <w:color w:val="231F20"/>
        <w:spacing w:val="-18"/>
        <w:w w:val="100"/>
        <w:sz w:val="21"/>
        <w:szCs w:val="21"/>
      </w:rPr>
    </w:lvl>
    <w:lvl w:ilvl="1" w:tplc="B09E15F8">
      <w:numFmt w:val="bullet"/>
      <w:lvlText w:val="•"/>
      <w:lvlJc w:val="left"/>
      <w:pPr>
        <w:ind w:left="1204" w:hanging="284"/>
      </w:pPr>
      <w:rPr>
        <w:rFonts w:hint="default"/>
      </w:rPr>
    </w:lvl>
    <w:lvl w:ilvl="2" w:tplc="1ACA1EE2">
      <w:numFmt w:val="bullet"/>
      <w:lvlText w:val="•"/>
      <w:lvlJc w:val="left"/>
      <w:pPr>
        <w:ind w:left="1868" w:hanging="284"/>
      </w:pPr>
      <w:rPr>
        <w:rFonts w:hint="default"/>
      </w:rPr>
    </w:lvl>
    <w:lvl w:ilvl="3" w:tplc="2B5E4480">
      <w:numFmt w:val="bullet"/>
      <w:lvlText w:val="•"/>
      <w:lvlJc w:val="left"/>
      <w:pPr>
        <w:ind w:left="2533" w:hanging="284"/>
      </w:pPr>
      <w:rPr>
        <w:rFonts w:hint="default"/>
      </w:rPr>
    </w:lvl>
    <w:lvl w:ilvl="4" w:tplc="72186ED6">
      <w:numFmt w:val="bullet"/>
      <w:lvlText w:val="•"/>
      <w:lvlJc w:val="left"/>
      <w:pPr>
        <w:ind w:left="3197" w:hanging="284"/>
      </w:pPr>
      <w:rPr>
        <w:rFonts w:hint="default"/>
      </w:rPr>
    </w:lvl>
    <w:lvl w:ilvl="5" w:tplc="93DE1CE6">
      <w:numFmt w:val="bullet"/>
      <w:lvlText w:val="•"/>
      <w:lvlJc w:val="left"/>
      <w:pPr>
        <w:ind w:left="3861" w:hanging="284"/>
      </w:pPr>
      <w:rPr>
        <w:rFonts w:hint="default"/>
      </w:rPr>
    </w:lvl>
    <w:lvl w:ilvl="6" w:tplc="2DE04D2E">
      <w:numFmt w:val="bullet"/>
      <w:lvlText w:val="•"/>
      <w:lvlJc w:val="left"/>
      <w:pPr>
        <w:ind w:left="4526" w:hanging="284"/>
      </w:pPr>
      <w:rPr>
        <w:rFonts w:hint="default"/>
      </w:rPr>
    </w:lvl>
    <w:lvl w:ilvl="7" w:tplc="572488E0">
      <w:numFmt w:val="bullet"/>
      <w:lvlText w:val="•"/>
      <w:lvlJc w:val="left"/>
      <w:pPr>
        <w:ind w:left="5190" w:hanging="284"/>
      </w:pPr>
      <w:rPr>
        <w:rFonts w:hint="default"/>
      </w:rPr>
    </w:lvl>
    <w:lvl w:ilvl="8" w:tplc="98F221A0">
      <w:numFmt w:val="bullet"/>
      <w:lvlText w:val="•"/>
      <w:lvlJc w:val="left"/>
      <w:pPr>
        <w:ind w:left="5855" w:hanging="284"/>
      </w:pPr>
      <w:rPr>
        <w:rFonts w:hint="default"/>
      </w:rPr>
    </w:lvl>
  </w:abstractNum>
  <w:abstractNum w:abstractNumId="38">
    <w:nsid w:val="10A6632D"/>
    <w:multiLevelType w:val="hybridMultilevel"/>
    <w:tmpl w:val="047AFC16"/>
    <w:lvl w:ilvl="0" w:tplc="7B1E9BEE">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76E6BA44">
      <w:numFmt w:val="bullet"/>
      <w:lvlText w:val="•"/>
      <w:lvlJc w:val="left"/>
      <w:pPr>
        <w:ind w:left="952" w:hanging="284"/>
      </w:pPr>
      <w:rPr>
        <w:rFonts w:hint="default"/>
      </w:rPr>
    </w:lvl>
    <w:lvl w:ilvl="2" w:tplc="4F307158">
      <w:numFmt w:val="bullet"/>
      <w:lvlText w:val="•"/>
      <w:lvlJc w:val="left"/>
      <w:pPr>
        <w:ind w:left="1644" w:hanging="284"/>
      </w:pPr>
      <w:rPr>
        <w:rFonts w:hint="default"/>
      </w:rPr>
    </w:lvl>
    <w:lvl w:ilvl="3" w:tplc="A92468B4">
      <w:numFmt w:val="bullet"/>
      <w:lvlText w:val="•"/>
      <w:lvlJc w:val="left"/>
      <w:pPr>
        <w:ind w:left="2337" w:hanging="284"/>
      </w:pPr>
      <w:rPr>
        <w:rFonts w:hint="default"/>
      </w:rPr>
    </w:lvl>
    <w:lvl w:ilvl="4" w:tplc="32CAC70C">
      <w:numFmt w:val="bullet"/>
      <w:lvlText w:val="•"/>
      <w:lvlJc w:val="left"/>
      <w:pPr>
        <w:ind w:left="3029" w:hanging="284"/>
      </w:pPr>
      <w:rPr>
        <w:rFonts w:hint="default"/>
      </w:rPr>
    </w:lvl>
    <w:lvl w:ilvl="5" w:tplc="BB08B998">
      <w:numFmt w:val="bullet"/>
      <w:lvlText w:val="•"/>
      <w:lvlJc w:val="left"/>
      <w:pPr>
        <w:ind w:left="3721" w:hanging="284"/>
      </w:pPr>
      <w:rPr>
        <w:rFonts w:hint="default"/>
      </w:rPr>
    </w:lvl>
    <w:lvl w:ilvl="6" w:tplc="7BD40DFA">
      <w:numFmt w:val="bullet"/>
      <w:lvlText w:val="•"/>
      <w:lvlJc w:val="left"/>
      <w:pPr>
        <w:ind w:left="4414" w:hanging="284"/>
      </w:pPr>
      <w:rPr>
        <w:rFonts w:hint="default"/>
      </w:rPr>
    </w:lvl>
    <w:lvl w:ilvl="7" w:tplc="A73E7622">
      <w:numFmt w:val="bullet"/>
      <w:lvlText w:val="•"/>
      <w:lvlJc w:val="left"/>
      <w:pPr>
        <w:ind w:left="5106" w:hanging="284"/>
      </w:pPr>
      <w:rPr>
        <w:rFonts w:hint="default"/>
      </w:rPr>
    </w:lvl>
    <w:lvl w:ilvl="8" w:tplc="7A4E9BB8">
      <w:numFmt w:val="bullet"/>
      <w:lvlText w:val="•"/>
      <w:lvlJc w:val="left"/>
      <w:pPr>
        <w:ind w:left="5799" w:hanging="284"/>
      </w:pPr>
      <w:rPr>
        <w:rFonts w:hint="default"/>
      </w:rPr>
    </w:lvl>
  </w:abstractNum>
  <w:abstractNum w:abstractNumId="39">
    <w:nsid w:val="10C76648"/>
    <w:multiLevelType w:val="hybridMultilevel"/>
    <w:tmpl w:val="61CAE142"/>
    <w:lvl w:ilvl="0" w:tplc="25E8A488">
      <w:start w:val="1"/>
      <w:numFmt w:val="decimal"/>
      <w:lvlText w:val="%1."/>
      <w:lvlJc w:val="left"/>
      <w:pPr>
        <w:ind w:left="533" w:hanging="284"/>
        <w:jc w:val="left"/>
      </w:pPr>
      <w:rPr>
        <w:rFonts w:ascii="Cambria" w:eastAsia="Cambria" w:hAnsi="Cambria" w:cs="Cambria" w:hint="default"/>
        <w:color w:val="231F20"/>
        <w:spacing w:val="-18"/>
        <w:w w:val="100"/>
        <w:sz w:val="21"/>
        <w:szCs w:val="21"/>
      </w:rPr>
    </w:lvl>
    <w:lvl w:ilvl="1" w:tplc="7AE4E66C">
      <w:numFmt w:val="bullet"/>
      <w:lvlText w:val="•"/>
      <w:lvlJc w:val="left"/>
      <w:pPr>
        <w:ind w:left="1204" w:hanging="284"/>
      </w:pPr>
      <w:rPr>
        <w:rFonts w:hint="default"/>
      </w:rPr>
    </w:lvl>
    <w:lvl w:ilvl="2" w:tplc="78E684CC">
      <w:numFmt w:val="bullet"/>
      <w:lvlText w:val="•"/>
      <w:lvlJc w:val="left"/>
      <w:pPr>
        <w:ind w:left="1868" w:hanging="284"/>
      </w:pPr>
      <w:rPr>
        <w:rFonts w:hint="default"/>
      </w:rPr>
    </w:lvl>
    <w:lvl w:ilvl="3" w:tplc="2B90987E">
      <w:numFmt w:val="bullet"/>
      <w:lvlText w:val="•"/>
      <w:lvlJc w:val="left"/>
      <w:pPr>
        <w:ind w:left="2533" w:hanging="284"/>
      </w:pPr>
      <w:rPr>
        <w:rFonts w:hint="default"/>
      </w:rPr>
    </w:lvl>
    <w:lvl w:ilvl="4" w:tplc="C820E7DC">
      <w:numFmt w:val="bullet"/>
      <w:lvlText w:val="•"/>
      <w:lvlJc w:val="left"/>
      <w:pPr>
        <w:ind w:left="3197" w:hanging="284"/>
      </w:pPr>
      <w:rPr>
        <w:rFonts w:hint="default"/>
      </w:rPr>
    </w:lvl>
    <w:lvl w:ilvl="5" w:tplc="6B200158">
      <w:numFmt w:val="bullet"/>
      <w:lvlText w:val="•"/>
      <w:lvlJc w:val="left"/>
      <w:pPr>
        <w:ind w:left="3861" w:hanging="284"/>
      </w:pPr>
      <w:rPr>
        <w:rFonts w:hint="default"/>
      </w:rPr>
    </w:lvl>
    <w:lvl w:ilvl="6" w:tplc="EAF2FD4C">
      <w:numFmt w:val="bullet"/>
      <w:lvlText w:val="•"/>
      <w:lvlJc w:val="left"/>
      <w:pPr>
        <w:ind w:left="4526" w:hanging="284"/>
      </w:pPr>
      <w:rPr>
        <w:rFonts w:hint="default"/>
      </w:rPr>
    </w:lvl>
    <w:lvl w:ilvl="7" w:tplc="1098EF88">
      <w:numFmt w:val="bullet"/>
      <w:lvlText w:val="•"/>
      <w:lvlJc w:val="left"/>
      <w:pPr>
        <w:ind w:left="5190" w:hanging="284"/>
      </w:pPr>
      <w:rPr>
        <w:rFonts w:hint="default"/>
      </w:rPr>
    </w:lvl>
    <w:lvl w:ilvl="8" w:tplc="BA7CB7AE">
      <w:numFmt w:val="bullet"/>
      <w:lvlText w:val="•"/>
      <w:lvlJc w:val="left"/>
      <w:pPr>
        <w:ind w:left="5855" w:hanging="284"/>
      </w:pPr>
      <w:rPr>
        <w:rFonts w:hint="default"/>
      </w:rPr>
    </w:lvl>
  </w:abstractNum>
  <w:abstractNum w:abstractNumId="40">
    <w:nsid w:val="10DD1EAC"/>
    <w:multiLevelType w:val="hybridMultilevel"/>
    <w:tmpl w:val="D3A86E84"/>
    <w:lvl w:ilvl="0" w:tplc="2174C750">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DC5688F0">
      <w:numFmt w:val="bullet"/>
      <w:lvlText w:val="•"/>
      <w:lvlJc w:val="left"/>
      <w:pPr>
        <w:ind w:left="952" w:hanging="284"/>
      </w:pPr>
      <w:rPr>
        <w:rFonts w:hint="default"/>
      </w:rPr>
    </w:lvl>
    <w:lvl w:ilvl="2" w:tplc="CF34A896">
      <w:numFmt w:val="bullet"/>
      <w:lvlText w:val="•"/>
      <w:lvlJc w:val="left"/>
      <w:pPr>
        <w:ind w:left="1644" w:hanging="284"/>
      </w:pPr>
      <w:rPr>
        <w:rFonts w:hint="default"/>
      </w:rPr>
    </w:lvl>
    <w:lvl w:ilvl="3" w:tplc="13A28562">
      <w:numFmt w:val="bullet"/>
      <w:lvlText w:val="•"/>
      <w:lvlJc w:val="left"/>
      <w:pPr>
        <w:ind w:left="2337" w:hanging="284"/>
      </w:pPr>
      <w:rPr>
        <w:rFonts w:hint="default"/>
      </w:rPr>
    </w:lvl>
    <w:lvl w:ilvl="4" w:tplc="63C4AE12">
      <w:numFmt w:val="bullet"/>
      <w:lvlText w:val="•"/>
      <w:lvlJc w:val="left"/>
      <w:pPr>
        <w:ind w:left="3029" w:hanging="284"/>
      </w:pPr>
      <w:rPr>
        <w:rFonts w:hint="default"/>
      </w:rPr>
    </w:lvl>
    <w:lvl w:ilvl="5" w:tplc="5CF45F90">
      <w:numFmt w:val="bullet"/>
      <w:lvlText w:val="•"/>
      <w:lvlJc w:val="left"/>
      <w:pPr>
        <w:ind w:left="3721" w:hanging="284"/>
      </w:pPr>
      <w:rPr>
        <w:rFonts w:hint="default"/>
      </w:rPr>
    </w:lvl>
    <w:lvl w:ilvl="6" w:tplc="B25C0430">
      <w:numFmt w:val="bullet"/>
      <w:lvlText w:val="•"/>
      <w:lvlJc w:val="left"/>
      <w:pPr>
        <w:ind w:left="4414" w:hanging="284"/>
      </w:pPr>
      <w:rPr>
        <w:rFonts w:hint="default"/>
      </w:rPr>
    </w:lvl>
    <w:lvl w:ilvl="7" w:tplc="2752C64E">
      <w:numFmt w:val="bullet"/>
      <w:lvlText w:val="•"/>
      <w:lvlJc w:val="left"/>
      <w:pPr>
        <w:ind w:left="5106" w:hanging="284"/>
      </w:pPr>
      <w:rPr>
        <w:rFonts w:hint="default"/>
      </w:rPr>
    </w:lvl>
    <w:lvl w:ilvl="8" w:tplc="4E882BEC">
      <w:numFmt w:val="bullet"/>
      <w:lvlText w:val="•"/>
      <w:lvlJc w:val="left"/>
      <w:pPr>
        <w:ind w:left="5799" w:hanging="284"/>
      </w:pPr>
      <w:rPr>
        <w:rFonts w:hint="default"/>
      </w:rPr>
    </w:lvl>
  </w:abstractNum>
  <w:abstractNum w:abstractNumId="41">
    <w:nsid w:val="11470F6C"/>
    <w:multiLevelType w:val="hybridMultilevel"/>
    <w:tmpl w:val="A5FC55BA"/>
    <w:lvl w:ilvl="0" w:tplc="4AE830DA">
      <w:start w:val="1"/>
      <w:numFmt w:val="decimal"/>
      <w:lvlText w:val="%1)"/>
      <w:lvlJc w:val="left"/>
      <w:pPr>
        <w:ind w:left="533" w:hanging="284"/>
        <w:jc w:val="left"/>
      </w:pPr>
      <w:rPr>
        <w:rFonts w:ascii="Cambria" w:eastAsia="Cambria" w:hAnsi="Cambria" w:cs="Cambria" w:hint="default"/>
        <w:color w:val="231F20"/>
        <w:spacing w:val="-23"/>
        <w:w w:val="100"/>
        <w:sz w:val="21"/>
        <w:szCs w:val="21"/>
      </w:rPr>
    </w:lvl>
    <w:lvl w:ilvl="1" w:tplc="A066EBA4">
      <w:numFmt w:val="bullet"/>
      <w:lvlText w:val="•"/>
      <w:lvlJc w:val="left"/>
      <w:pPr>
        <w:ind w:left="1204" w:hanging="284"/>
      </w:pPr>
      <w:rPr>
        <w:rFonts w:hint="default"/>
      </w:rPr>
    </w:lvl>
    <w:lvl w:ilvl="2" w:tplc="70C48834">
      <w:numFmt w:val="bullet"/>
      <w:lvlText w:val="•"/>
      <w:lvlJc w:val="left"/>
      <w:pPr>
        <w:ind w:left="1868" w:hanging="284"/>
      </w:pPr>
      <w:rPr>
        <w:rFonts w:hint="default"/>
      </w:rPr>
    </w:lvl>
    <w:lvl w:ilvl="3" w:tplc="AA261914">
      <w:numFmt w:val="bullet"/>
      <w:lvlText w:val="•"/>
      <w:lvlJc w:val="left"/>
      <w:pPr>
        <w:ind w:left="2533" w:hanging="284"/>
      </w:pPr>
      <w:rPr>
        <w:rFonts w:hint="default"/>
      </w:rPr>
    </w:lvl>
    <w:lvl w:ilvl="4" w:tplc="922C1814">
      <w:numFmt w:val="bullet"/>
      <w:lvlText w:val="•"/>
      <w:lvlJc w:val="left"/>
      <w:pPr>
        <w:ind w:left="3197" w:hanging="284"/>
      </w:pPr>
      <w:rPr>
        <w:rFonts w:hint="default"/>
      </w:rPr>
    </w:lvl>
    <w:lvl w:ilvl="5" w:tplc="345ADAF0">
      <w:numFmt w:val="bullet"/>
      <w:lvlText w:val="•"/>
      <w:lvlJc w:val="left"/>
      <w:pPr>
        <w:ind w:left="3861" w:hanging="284"/>
      </w:pPr>
      <w:rPr>
        <w:rFonts w:hint="default"/>
      </w:rPr>
    </w:lvl>
    <w:lvl w:ilvl="6" w:tplc="EA404A88">
      <w:numFmt w:val="bullet"/>
      <w:lvlText w:val="•"/>
      <w:lvlJc w:val="left"/>
      <w:pPr>
        <w:ind w:left="4526" w:hanging="284"/>
      </w:pPr>
      <w:rPr>
        <w:rFonts w:hint="default"/>
      </w:rPr>
    </w:lvl>
    <w:lvl w:ilvl="7" w:tplc="9B1E5788">
      <w:numFmt w:val="bullet"/>
      <w:lvlText w:val="•"/>
      <w:lvlJc w:val="left"/>
      <w:pPr>
        <w:ind w:left="5190" w:hanging="284"/>
      </w:pPr>
      <w:rPr>
        <w:rFonts w:hint="default"/>
      </w:rPr>
    </w:lvl>
    <w:lvl w:ilvl="8" w:tplc="7F5EA268">
      <w:numFmt w:val="bullet"/>
      <w:lvlText w:val="•"/>
      <w:lvlJc w:val="left"/>
      <w:pPr>
        <w:ind w:left="5855" w:hanging="284"/>
      </w:pPr>
      <w:rPr>
        <w:rFonts w:hint="default"/>
      </w:rPr>
    </w:lvl>
  </w:abstractNum>
  <w:abstractNum w:abstractNumId="42">
    <w:nsid w:val="121C7B8C"/>
    <w:multiLevelType w:val="hybridMultilevel"/>
    <w:tmpl w:val="D92060B0"/>
    <w:lvl w:ilvl="0" w:tplc="A0BA7328">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665C6DB4">
      <w:numFmt w:val="bullet"/>
      <w:lvlText w:val="•"/>
      <w:lvlJc w:val="left"/>
      <w:pPr>
        <w:ind w:left="1204" w:hanging="284"/>
      </w:pPr>
      <w:rPr>
        <w:rFonts w:hint="default"/>
      </w:rPr>
    </w:lvl>
    <w:lvl w:ilvl="2" w:tplc="322408E8">
      <w:numFmt w:val="bullet"/>
      <w:lvlText w:val="•"/>
      <w:lvlJc w:val="left"/>
      <w:pPr>
        <w:ind w:left="1868" w:hanging="284"/>
      </w:pPr>
      <w:rPr>
        <w:rFonts w:hint="default"/>
      </w:rPr>
    </w:lvl>
    <w:lvl w:ilvl="3" w:tplc="2B9EA404">
      <w:numFmt w:val="bullet"/>
      <w:lvlText w:val="•"/>
      <w:lvlJc w:val="left"/>
      <w:pPr>
        <w:ind w:left="2533" w:hanging="284"/>
      </w:pPr>
      <w:rPr>
        <w:rFonts w:hint="default"/>
      </w:rPr>
    </w:lvl>
    <w:lvl w:ilvl="4" w:tplc="E0801D60">
      <w:numFmt w:val="bullet"/>
      <w:lvlText w:val="•"/>
      <w:lvlJc w:val="left"/>
      <w:pPr>
        <w:ind w:left="3197" w:hanging="284"/>
      </w:pPr>
      <w:rPr>
        <w:rFonts w:hint="default"/>
      </w:rPr>
    </w:lvl>
    <w:lvl w:ilvl="5" w:tplc="5D42034E">
      <w:numFmt w:val="bullet"/>
      <w:lvlText w:val="•"/>
      <w:lvlJc w:val="left"/>
      <w:pPr>
        <w:ind w:left="3861" w:hanging="284"/>
      </w:pPr>
      <w:rPr>
        <w:rFonts w:hint="default"/>
      </w:rPr>
    </w:lvl>
    <w:lvl w:ilvl="6" w:tplc="2682D26C">
      <w:numFmt w:val="bullet"/>
      <w:lvlText w:val="•"/>
      <w:lvlJc w:val="left"/>
      <w:pPr>
        <w:ind w:left="4526" w:hanging="284"/>
      </w:pPr>
      <w:rPr>
        <w:rFonts w:hint="default"/>
      </w:rPr>
    </w:lvl>
    <w:lvl w:ilvl="7" w:tplc="1D84A348">
      <w:numFmt w:val="bullet"/>
      <w:lvlText w:val="•"/>
      <w:lvlJc w:val="left"/>
      <w:pPr>
        <w:ind w:left="5190" w:hanging="284"/>
      </w:pPr>
      <w:rPr>
        <w:rFonts w:hint="default"/>
      </w:rPr>
    </w:lvl>
    <w:lvl w:ilvl="8" w:tplc="B05AEEF2">
      <w:numFmt w:val="bullet"/>
      <w:lvlText w:val="•"/>
      <w:lvlJc w:val="left"/>
      <w:pPr>
        <w:ind w:left="5855" w:hanging="284"/>
      </w:pPr>
      <w:rPr>
        <w:rFonts w:hint="default"/>
      </w:rPr>
    </w:lvl>
  </w:abstractNum>
  <w:abstractNum w:abstractNumId="43">
    <w:nsid w:val="12B55E5B"/>
    <w:multiLevelType w:val="hybridMultilevel"/>
    <w:tmpl w:val="0DC2365E"/>
    <w:lvl w:ilvl="0" w:tplc="2AC40FC8">
      <w:numFmt w:val="bullet"/>
      <w:lvlText w:val="–"/>
      <w:lvlJc w:val="left"/>
      <w:pPr>
        <w:ind w:left="250" w:hanging="284"/>
      </w:pPr>
      <w:rPr>
        <w:rFonts w:ascii="Cambria" w:eastAsia="Cambria" w:hAnsi="Cambria" w:cs="Cambria" w:hint="default"/>
        <w:color w:val="231F20"/>
        <w:spacing w:val="-12"/>
        <w:w w:val="100"/>
        <w:sz w:val="21"/>
        <w:szCs w:val="21"/>
      </w:rPr>
    </w:lvl>
    <w:lvl w:ilvl="1" w:tplc="BA88ACB6">
      <w:numFmt w:val="bullet"/>
      <w:lvlText w:val="•"/>
      <w:lvlJc w:val="left"/>
      <w:pPr>
        <w:ind w:left="952" w:hanging="284"/>
      </w:pPr>
      <w:rPr>
        <w:rFonts w:hint="default"/>
      </w:rPr>
    </w:lvl>
    <w:lvl w:ilvl="2" w:tplc="6D9A418C">
      <w:numFmt w:val="bullet"/>
      <w:lvlText w:val="•"/>
      <w:lvlJc w:val="left"/>
      <w:pPr>
        <w:ind w:left="1644" w:hanging="284"/>
      </w:pPr>
      <w:rPr>
        <w:rFonts w:hint="default"/>
      </w:rPr>
    </w:lvl>
    <w:lvl w:ilvl="3" w:tplc="26C0E4C8">
      <w:numFmt w:val="bullet"/>
      <w:lvlText w:val="•"/>
      <w:lvlJc w:val="left"/>
      <w:pPr>
        <w:ind w:left="2337" w:hanging="284"/>
      </w:pPr>
      <w:rPr>
        <w:rFonts w:hint="default"/>
      </w:rPr>
    </w:lvl>
    <w:lvl w:ilvl="4" w:tplc="7B387180">
      <w:numFmt w:val="bullet"/>
      <w:lvlText w:val="•"/>
      <w:lvlJc w:val="left"/>
      <w:pPr>
        <w:ind w:left="3029" w:hanging="284"/>
      </w:pPr>
      <w:rPr>
        <w:rFonts w:hint="default"/>
      </w:rPr>
    </w:lvl>
    <w:lvl w:ilvl="5" w:tplc="B2107E48">
      <w:numFmt w:val="bullet"/>
      <w:lvlText w:val="•"/>
      <w:lvlJc w:val="left"/>
      <w:pPr>
        <w:ind w:left="3721" w:hanging="284"/>
      </w:pPr>
      <w:rPr>
        <w:rFonts w:hint="default"/>
      </w:rPr>
    </w:lvl>
    <w:lvl w:ilvl="6" w:tplc="EF1A45D4">
      <w:numFmt w:val="bullet"/>
      <w:lvlText w:val="•"/>
      <w:lvlJc w:val="left"/>
      <w:pPr>
        <w:ind w:left="4414" w:hanging="284"/>
      </w:pPr>
      <w:rPr>
        <w:rFonts w:hint="default"/>
      </w:rPr>
    </w:lvl>
    <w:lvl w:ilvl="7" w:tplc="6D9C7100">
      <w:numFmt w:val="bullet"/>
      <w:lvlText w:val="•"/>
      <w:lvlJc w:val="left"/>
      <w:pPr>
        <w:ind w:left="5106" w:hanging="284"/>
      </w:pPr>
      <w:rPr>
        <w:rFonts w:hint="default"/>
      </w:rPr>
    </w:lvl>
    <w:lvl w:ilvl="8" w:tplc="9F26244A">
      <w:numFmt w:val="bullet"/>
      <w:lvlText w:val="•"/>
      <w:lvlJc w:val="left"/>
      <w:pPr>
        <w:ind w:left="5799" w:hanging="284"/>
      </w:pPr>
      <w:rPr>
        <w:rFonts w:hint="default"/>
      </w:rPr>
    </w:lvl>
  </w:abstractNum>
  <w:abstractNum w:abstractNumId="44">
    <w:nsid w:val="12F4439D"/>
    <w:multiLevelType w:val="hybridMultilevel"/>
    <w:tmpl w:val="3FBC6F42"/>
    <w:lvl w:ilvl="0" w:tplc="CC2C5A86">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5E181D08">
      <w:numFmt w:val="bullet"/>
      <w:lvlText w:val="•"/>
      <w:lvlJc w:val="left"/>
      <w:pPr>
        <w:ind w:left="1204" w:hanging="284"/>
      </w:pPr>
      <w:rPr>
        <w:rFonts w:hint="default"/>
      </w:rPr>
    </w:lvl>
    <w:lvl w:ilvl="2" w:tplc="15582D0C">
      <w:numFmt w:val="bullet"/>
      <w:lvlText w:val="•"/>
      <w:lvlJc w:val="left"/>
      <w:pPr>
        <w:ind w:left="1868" w:hanging="284"/>
      </w:pPr>
      <w:rPr>
        <w:rFonts w:hint="default"/>
      </w:rPr>
    </w:lvl>
    <w:lvl w:ilvl="3" w:tplc="88161D8C">
      <w:numFmt w:val="bullet"/>
      <w:lvlText w:val="•"/>
      <w:lvlJc w:val="left"/>
      <w:pPr>
        <w:ind w:left="2533" w:hanging="284"/>
      </w:pPr>
      <w:rPr>
        <w:rFonts w:hint="default"/>
      </w:rPr>
    </w:lvl>
    <w:lvl w:ilvl="4" w:tplc="F8DE12AC">
      <w:numFmt w:val="bullet"/>
      <w:lvlText w:val="•"/>
      <w:lvlJc w:val="left"/>
      <w:pPr>
        <w:ind w:left="3197" w:hanging="284"/>
      </w:pPr>
      <w:rPr>
        <w:rFonts w:hint="default"/>
      </w:rPr>
    </w:lvl>
    <w:lvl w:ilvl="5" w:tplc="D4E600A0">
      <w:numFmt w:val="bullet"/>
      <w:lvlText w:val="•"/>
      <w:lvlJc w:val="left"/>
      <w:pPr>
        <w:ind w:left="3861" w:hanging="284"/>
      </w:pPr>
      <w:rPr>
        <w:rFonts w:hint="default"/>
      </w:rPr>
    </w:lvl>
    <w:lvl w:ilvl="6" w:tplc="79D2DABE">
      <w:numFmt w:val="bullet"/>
      <w:lvlText w:val="•"/>
      <w:lvlJc w:val="left"/>
      <w:pPr>
        <w:ind w:left="4526" w:hanging="284"/>
      </w:pPr>
      <w:rPr>
        <w:rFonts w:hint="default"/>
      </w:rPr>
    </w:lvl>
    <w:lvl w:ilvl="7" w:tplc="66BEFF34">
      <w:numFmt w:val="bullet"/>
      <w:lvlText w:val="•"/>
      <w:lvlJc w:val="left"/>
      <w:pPr>
        <w:ind w:left="5190" w:hanging="284"/>
      </w:pPr>
      <w:rPr>
        <w:rFonts w:hint="default"/>
      </w:rPr>
    </w:lvl>
    <w:lvl w:ilvl="8" w:tplc="119A84C2">
      <w:numFmt w:val="bullet"/>
      <w:lvlText w:val="•"/>
      <w:lvlJc w:val="left"/>
      <w:pPr>
        <w:ind w:left="5855" w:hanging="284"/>
      </w:pPr>
      <w:rPr>
        <w:rFonts w:hint="default"/>
      </w:rPr>
    </w:lvl>
  </w:abstractNum>
  <w:abstractNum w:abstractNumId="45">
    <w:nsid w:val="130C602D"/>
    <w:multiLevelType w:val="hybridMultilevel"/>
    <w:tmpl w:val="B276DA10"/>
    <w:lvl w:ilvl="0" w:tplc="43E0705A">
      <w:numFmt w:val="bullet"/>
      <w:lvlText w:val="–"/>
      <w:lvlJc w:val="left"/>
      <w:pPr>
        <w:ind w:left="250" w:hanging="284"/>
      </w:pPr>
      <w:rPr>
        <w:rFonts w:ascii="Cambria" w:eastAsia="Cambria" w:hAnsi="Cambria" w:cs="Cambria" w:hint="default"/>
        <w:color w:val="231F20"/>
        <w:spacing w:val="-20"/>
        <w:w w:val="100"/>
        <w:sz w:val="21"/>
        <w:szCs w:val="21"/>
      </w:rPr>
    </w:lvl>
    <w:lvl w:ilvl="1" w:tplc="86B2FA30">
      <w:numFmt w:val="bullet"/>
      <w:lvlText w:val="•"/>
      <w:lvlJc w:val="left"/>
      <w:pPr>
        <w:ind w:left="952" w:hanging="284"/>
      </w:pPr>
      <w:rPr>
        <w:rFonts w:hint="default"/>
      </w:rPr>
    </w:lvl>
    <w:lvl w:ilvl="2" w:tplc="CCA8F018">
      <w:numFmt w:val="bullet"/>
      <w:lvlText w:val="•"/>
      <w:lvlJc w:val="left"/>
      <w:pPr>
        <w:ind w:left="1644" w:hanging="284"/>
      </w:pPr>
      <w:rPr>
        <w:rFonts w:hint="default"/>
      </w:rPr>
    </w:lvl>
    <w:lvl w:ilvl="3" w:tplc="5D18D72A">
      <w:numFmt w:val="bullet"/>
      <w:lvlText w:val="•"/>
      <w:lvlJc w:val="left"/>
      <w:pPr>
        <w:ind w:left="2337" w:hanging="284"/>
      </w:pPr>
      <w:rPr>
        <w:rFonts w:hint="default"/>
      </w:rPr>
    </w:lvl>
    <w:lvl w:ilvl="4" w:tplc="20EC47D6">
      <w:numFmt w:val="bullet"/>
      <w:lvlText w:val="•"/>
      <w:lvlJc w:val="left"/>
      <w:pPr>
        <w:ind w:left="3029" w:hanging="284"/>
      </w:pPr>
      <w:rPr>
        <w:rFonts w:hint="default"/>
      </w:rPr>
    </w:lvl>
    <w:lvl w:ilvl="5" w:tplc="673A854E">
      <w:numFmt w:val="bullet"/>
      <w:lvlText w:val="•"/>
      <w:lvlJc w:val="left"/>
      <w:pPr>
        <w:ind w:left="3721" w:hanging="284"/>
      </w:pPr>
      <w:rPr>
        <w:rFonts w:hint="default"/>
      </w:rPr>
    </w:lvl>
    <w:lvl w:ilvl="6" w:tplc="8CC03BEA">
      <w:numFmt w:val="bullet"/>
      <w:lvlText w:val="•"/>
      <w:lvlJc w:val="left"/>
      <w:pPr>
        <w:ind w:left="4414" w:hanging="284"/>
      </w:pPr>
      <w:rPr>
        <w:rFonts w:hint="default"/>
      </w:rPr>
    </w:lvl>
    <w:lvl w:ilvl="7" w:tplc="D256D106">
      <w:numFmt w:val="bullet"/>
      <w:lvlText w:val="•"/>
      <w:lvlJc w:val="left"/>
      <w:pPr>
        <w:ind w:left="5106" w:hanging="284"/>
      </w:pPr>
      <w:rPr>
        <w:rFonts w:hint="default"/>
      </w:rPr>
    </w:lvl>
    <w:lvl w:ilvl="8" w:tplc="8F7C1232">
      <w:numFmt w:val="bullet"/>
      <w:lvlText w:val="•"/>
      <w:lvlJc w:val="left"/>
      <w:pPr>
        <w:ind w:left="5799" w:hanging="284"/>
      </w:pPr>
      <w:rPr>
        <w:rFonts w:hint="default"/>
      </w:rPr>
    </w:lvl>
  </w:abstractNum>
  <w:abstractNum w:abstractNumId="46">
    <w:nsid w:val="13B83160"/>
    <w:multiLevelType w:val="multilevel"/>
    <w:tmpl w:val="7BECAD7E"/>
    <w:lvl w:ilvl="0">
      <w:start w:val="6"/>
      <w:numFmt w:val="decimal"/>
      <w:lvlText w:val="%1"/>
      <w:lvlJc w:val="left"/>
      <w:pPr>
        <w:ind w:left="1098" w:hanging="565"/>
        <w:jc w:val="left"/>
      </w:pPr>
      <w:rPr>
        <w:rFonts w:hint="default"/>
      </w:rPr>
    </w:lvl>
    <w:lvl w:ilvl="1">
      <w:start w:val="2"/>
      <w:numFmt w:val="decimal"/>
      <w:lvlText w:val="%1.%2"/>
      <w:lvlJc w:val="left"/>
      <w:pPr>
        <w:ind w:left="1098" w:hanging="565"/>
        <w:jc w:val="left"/>
      </w:pPr>
      <w:rPr>
        <w:rFonts w:hint="default"/>
      </w:rPr>
    </w:lvl>
    <w:lvl w:ilvl="2">
      <w:start w:val="3"/>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47">
    <w:nsid w:val="1465097E"/>
    <w:multiLevelType w:val="hybridMultilevel"/>
    <w:tmpl w:val="9AA65C76"/>
    <w:lvl w:ilvl="0" w:tplc="95601736">
      <w:start w:val="13"/>
      <w:numFmt w:val="decimal"/>
      <w:lvlText w:val="%1)"/>
      <w:lvlJc w:val="left"/>
      <w:pPr>
        <w:ind w:left="613" w:hanging="364"/>
        <w:jc w:val="left"/>
      </w:pPr>
      <w:rPr>
        <w:rFonts w:ascii="Cambria" w:eastAsia="Cambria" w:hAnsi="Cambria" w:cs="Cambria" w:hint="default"/>
        <w:color w:val="231F20"/>
        <w:spacing w:val="-19"/>
        <w:w w:val="100"/>
        <w:sz w:val="21"/>
        <w:szCs w:val="21"/>
      </w:rPr>
    </w:lvl>
    <w:lvl w:ilvl="1" w:tplc="F1A048D2">
      <w:numFmt w:val="bullet"/>
      <w:lvlText w:val=""/>
      <w:lvlJc w:val="left"/>
      <w:pPr>
        <w:ind w:left="533" w:hanging="284"/>
      </w:pPr>
      <w:rPr>
        <w:rFonts w:ascii="Wingdings" w:eastAsia="Wingdings" w:hAnsi="Wingdings" w:cs="Wingdings" w:hint="default"/>
        <w:color w:val="231F20"/>
        <w:w w:val="100"/>
        <w:sz w:val="21"/>
        <w:szCs w:val="21"/>
      </w:rPr>
    </w:lvl>
    <w:lvl w:ilvl="2" w:tplc="FB8A7860">
      <w:numFmt w:val="bullet"/>
      <w:lvlText w:val="–"/>
      <w:lvlJc w:val="left"/>
      <w:pPr>
        <w:ind w:left="1384" w:hanging="284"/>
      </w:pPr>
      <w:rPr>
        <w:rFonts w:ascii="Cambria" w:eastAsia="Cambria" w:hAnsi="Cambria" w:cs="Cambria" w:hint="default"/>
        <w:color w:val="231F20"/>
        <w:spacing w:val="-9"/>
        <w:w w:val="100"/>
        <w:sz w:val="21"/>
        <w:szCs w:val="21"/>
      </w:rPr>
    </w:lvl>
    <w:lvl w:ilvl="3" w:tplc="68F8613A">
      <w:numFmt w:val="bullet"/>
      <w:lvlText w:val="•"/>
      <w:lvlJc w:val="left"/>
      <w:pPr>
        <w:ind w:left="2105" w:hanging="284"/>
      </w:pPr>
      <w:rPr>
        <w:rFonts w:hint="default"/>
      </w:rPr>
    </w:lvl>
    <w:lvl w:ilvl="4" w:tplc="7A347C2A">
      <w:numFmt w:val="bullet"/>
      <w:lvlText w:val="•"/>
      <w:lvlJc w:val="left"/>
      <w:pPr>
        <w:ind w:left="2830" w:hanging="284"/>
      </w:pPr>
      <w:rPr>
        <w:rFonts w:hint="default"/>
      </w:rPr>
    </w:lvl>
    <w:lvl w:ilvl="5" w:tplc="C8E6D478">
      <w:numFmt w:val="bullet"/>
      <w:lvlText w:val="•"/>
      <w:lvlJc w:val="left"/>
      <w:pPr>
        <w:ind w:left="3556" w:hanging="284"/>
      </w:pPr>
      <w:rPr>
        <w:rFonts w:hint="default"/>
      </w:rPr>
    </w:lvl>
    <w:lvl w:ilvl="6" w:tplc="A4EA1E9C">
      <w:numFmt w:val="bullet"/>
      <w:lvlText w:val="•"/>
      <w:lvlJc w:val="left"/>
      <w:pPr>
        <w:ind w:left="4281" w:hanging="284"/>
      </w:pPr>
      <w:rPr>
        <w:rFonts w:hint="default"/>
      </w:rPr>
    </w:lvl>
    <w:lvl w:ilvl="7" w:tplc="CF3E02E2">
      <w:numFmt w:val="bullet"/>
      <w:lvlText w:val="•"/>
      <w:lvlJc w:val="left"/>
      <w:pPr>
        <w:ind w:left="5007" w:hanging="284"/>
      </w:pPr>
      <w:rPr>
        <w:rFonts w:hint="default"/>
      </w:rPr>
    </w:lvl>
    <w:lvl w:ilvl="8" w:tplc="DF544CAA">
      <w:numFmt w:val="bullet"/>
      <w:lvlText w:val="•"/>
      <w:lvlJc w:val="left"/>
      <w:pPr>
        <w:ind w:left="5732" w:hanging="284"/>
      </w:pPr>
      <w:rPr>
        <w:rFonts w:hint="default"/>
      </w:rPr>
    </w:lvl>
  </w:abstractNum>
  <w:abstractNum w:abstractNumId="48">
    <w:nsid w:val="149F4615"/>
    <w:multiLevelType w:val="multilevel"/>
    <w:tmpl w:val="53CE99DA"/>
    <w:lvl w:ilvl="0">
      <w:start w:val="4"/>
      <w:numFmt w:val="decimal"/>
      <w:lvlText w:val="%1"/>
      <w:lvlJc w:val="left"/>
      <w:pPr>
        <w:ind w:left="533" w:hanging="565"/>
        <w:jc w:val="left"/>
      </w:pPr>
      <w:rPr>
        <w:rFonts w:hint="default"/>
      </w:rPr>
    </w:lvl>
    <w:lvl w:ilvl="1">
      <w:start w:val="4"/>
      <w:numFmt w:val="decimal"/>
      <w:lvlText w:val="%1.%2"/>
      <w:lvlJc w:val="left"/>
      <w:pPr>
        <w:ind w:left="533" w:hanging="565"/>
        <w:jc w:val="left"/>
      </w:pPr>
      <w:rPr>
        <w:rFonts w:hint="default"/>
      </w:rPr>
    </w:lvl>
    <w:lvl w:ilvl="2">
      <w:start w:val="3"/>
      <w:numFmt w:val="decimal"/>
      <w:lvlText w:val="%1.%2.%3."/>
      <w:lvlJc w:val="left"/>
      <w:pPr>
        <w:ind w:left="533" w:hanging="565"/>
        <w:jc w:val="left"/>
      </w:pPr>
      <w:rPr>
        <w:rFonts w:ascii="Cambria" w:eastAsia="Cambria" w:hAnsi="Cambria" w:cs="Cambria" w:hint="default"/>
        <w:b/>
        <w:bCs/>
        <w:color w:val="231F20"/>
        <w:spacing w:val="-1"/>
        <w:w w:val="100"/>
        <w:sz w:val="21"/>
        <w:szCs w:val="21"/>
      </w:rPr>
    </w:lvl>
    <w:lvl w:ilvl="3">
      <w:numFmt w:val="bullet"/>
      <w:lvlText w:val="•"/>
      <w:lvlJc w:val="left"/>
      <w:pPr>
        <w:ind w:left="2533" w:hanging="565"/>
      </w:pPr>
      <w:rPr>
        <w:rFonts w:hint="default"/>
      </w:rPr>
    </w:lvl>
    <w:lvl w:ilvl="4">
      <w:numFmt w:val="bullet"/>
      <w:lvlText w:val="•"/>
      <w:lvlJc w:val="left"/>
      <w:pPr>
        <w:ind w:left="3197" w:hanging="565"/>
      </w:pPr>
      <w:rPr>
        <w:rFonts w:hint="default"/>
      </w:rPr>
    </w:lvl>
    <w:lvl w:ilvl="5">
      <w:numFmt w:val="bullet"/>
      <w:lvlText w:val="•"/>
      <w:lvlJc w:val="left"/>
      <w:pPr>
        <w:ind w:left="3861" w:hanging="565"/>
      </w:pPr>
      <w:rPr>
        <w:rFonts w:hint="default"/>
      </w:rPr>
    </w:lvl>
    <w:lvl w:ilvl="6">
      <w:numFmt w:val="bullet"/>
      <w:lvlText w:val="•"/>
      <w:lvlJc w:val="left"/>
      <w:pPr>
        <w:ind w:left="4526" w:hanging="565"/>
      </w:pPr>
      <w:rPr>
        <w:rFonts w:hint="default"/>
      </w:rPr>
    </w:lvl>
    <w:lvl w:ilvl="7">
      <w:numFmt w:val="bullet"/>
      <w:lvlText w:val="•"/>
      <w:lvlJc w:val="left"/>
      <w:pPr>
        <w:ind w:left="5190" w:hanging="565"/>
      </w:pPr>
      <w:rPr>
        <w:rFonts w:hint="default"/>
      </w:rPr>
    </w:lvl>
    <w:lvl w:ilvl="8">
      <w:numFmt w:val="bullet"/>
      <w:lvlText w:val="•"/>
      <w:lvlJc w:val="left"/>
      <w:pPr>
        <w:ind w:left="5855" w:hanging="565"/>
      </w:pPr>
      <w:rPr>
        <w:rFonts w:hint="default"/>
      </w:rPr>
    </w:lvl>
  </w:abstractNum>
  <w:abstractNum w:abstractNumId="49">
    <w:nsid w:val="14B40016"/>
    <w:multiLevelType w:val="hybridMultilevel"/>
    <w:tmpl w:val="D3BA3824"/>
    <w:lvl w:ilvl="0" w:tplc="1CBCE2E2">
      <w:numFmt w:val="bullet"/>
      <w:lvlText w:val="–"/>
      <w:lvlJc w:val="left"/>
      <w:pPr>
        <w:ind w:left="533" w:hanging="284"/>
      </w:pPr>
      <w:rPr>
        <w:rFonts w:ascii="Cambria" w:eastAsia="Cambria" w:hAnsi="Cambria" w:cs="Cambria" w:hint="default"/>
        <w:color w:val="231F20"/>
        <w:spacing w:val="-7"/>
        <w:w w:val="100"/>
        <w:sz w:val="21"/>
        <w:szCs w:val="21"/>
      </w:rPr>
    </w:lvl>
    <w:lvl w:ilvl="1" w:tplc="7C508774">
      <w:numFmt w:val="bullet"/>
      <w:lvlText w:val="•"/>
      <w:lvlJc w:val="left"/>
      <w:pPr>
        <w:ind w:left="1204" w:hanging="284"/>
      </w:pPr>
      <w:rPr>
        <w:rFonts w:hint="default"/>
      </w:rPr>
    </w:lvl>
    <w:lvl w:ilvl="2" w:tplc="F878C170">
      <w:numFmt w:val="bullet"/>
      <w:lvlText w:val="•"/>
      <w:lvlJc w:val="left"/>
      <w:pPr>
        <w:ind w:left="1868" w:hanging="284"/>
      </w:pPr>
      <w:rPr>
        <w:rFonts w:hint="default"/>
      </w:rPr>
    </w:lvl>
    <w:lvl w:ilvl="3" w:tplc="74E0140C">
      <w:numFmt w:val="bullet"/>
      <w:lvlText w:val="•"/>
      <w:lvlJc w:val="left"/>
      <w:pPr>
        <w:ind w:left="2533" w:hanging="284"/>
      </w:pPr>
      <w:rPr>
        <w:rFonts w:hint="default"/>
      </w:rPr>
    </w:lvl>
    <w:lvl w:ilvl="4" w:tplc="8D768176">
      <w:numFmt w:val="bullet"/>
      <w:lvlText w:val="•"/>
      <w:lvlJc w:val="left"/>
      <w:pPr>
        <w:ind w:left="3197" w:hanging="284"/>
      </w:pPr>
      <w:rPr>
        <w:rFonts w:hint="default"/>
      </w:rPr>
    </w:lvl>
    <w:lvl w:ilvl="5" w:tplc="10EED01A">
      <w:numFmt w:val="bullet"/>
      <w:lvlText w:val="•"/>
      <w:lvlJc w:val="left"/>
      <w:pPr>
        <w:ind w:left="3861" w:hanging="284"/>
      </w:pPr>
      <w:rPr>
        <w:rFonts w:hint="default"/>
      </w:rPr>
    </w:lvl>
    <w:lvl w:ilvl="6" w:tplc="200CF102">
      <w:numFmt w:val="bullet"/>
      <w:lvlText w:val="•"/>
      <w:lvlJc w:val="left"/>
      <w:pPr>
        <w:ind w:left="4526" w:hanging="284"/>
      </w:pPr>
      <w:rPr>
        <w:rFonts w:hint="default"/>
      </w:rPr>
    </w:lvl>
    <w:lvl w:ilvl="7" w:tplc="9A32F08A">
      <w:numFmt w:val="bullet"/>
      <w:lvlText w:val="•"/>
      <w:lvlJc w:val="left"/>
      <w:pPr>
        <w:ind w:left="5190" w:hanging="284"/>
      </w:pPr>
      <w:rPr>
        <w:rFonts w:hint="default"/>
      </w:rPr>
    </w:lvl>
    <w:lvl w:ilvl="8" w:tplc="8E26D0F8">
      <w:numFmt w:val="bullet"/>
      <w:lvlText w:val="•"/>
      <w:lvlJc w:val="left"/>
      <w:pPr>
        <w:ind w:left="5855" w:hanging="284"/>
      </w:pPr>
      <w:rPr>
        <w:rFonts w:hint="default"/>
      </w:rPr>
    </w:lvl>
  </w:abstractNum>
  <w:abstractNum w:abstractNumId="50">
    <w:nsid w:val="15290A63"/>
    <w:multiLevelType w:val="hybridMultilevel"/>
    <w:tmpl w:val="6A104420"/>
    <w:lvl w:ilvl="0" w:tplc="FB9C34D4">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28E096DA">
      <w:numFmt w:val="bullet"/>
      <w:lvlText w:val="•"/>
      <w:lvlJc w:val="left"/>
      <w:pPr>
        <w:ind w:left="1204" w:hanging="284"/>
      </w:pPr>
      <w:rPr>
        <w:rFonts w:hint="default"/>
      </w:rPr>
    </w:lvl>
    <w:lvl w:ilvl="2" w:tplc="C9929B04">
      <w:numFmt w:val="bullet"/>
      <w:lvlText w:val="•"/>
      <w:lvlJc w:val="left"/>
      <w:pPr>
        <w:ind w:left="1868" w:hanging="284"/>
      </w:pPr>
      <w:rPr>
        <w:rFonts w:hint="default"/>
      </w:rPr>
    </w:lvl>
    <w:lvl w:ilvl="3" w:tplc="81DA11EE">
      <w:numFmt w:val="bullet"/>
      <w:lvlText w:val="•"/>
      <w:lvlJc w:val="left"/>
      <w:pPr>
        <w:ind w:left="2533" w:hanging="284"/>
      </w:pPr>
      <w:rPr>
        <w:rFonts w:hint="default"/>
      </w:rPr>
    </w:lvl>
    <w:lvl w:ilvl="4" w:tplc="26F4D8C4">
      <w:numFmt w:val="bullet"/>
      <w:lvlText w:val="•"/>
      <w:lvlJc w:val="left"/>
      <w:pPr>
        <w:ind w:left="3197" w:hanging="284"/>
      </w:pPr>
      <w:rPr>
        <w:rFonts w:hint="default"/>
      </w:rPr>
    </w:lvl>
    <w:lvl w:ilvl="5" w:tplc="74B273C2">
      <w:numFmt w:val="bullet"/>
      <w:lvlText w:val="•"/>
      <w:lvlJc w:val="left"/>
      <w:pPr>
        <w:ind w:left="3861" w:hanging="284"/>
      </w:pPr>
      <w:rPr>
        <w:rFonts w:hint="default"/>
      </w:rPr>
    </w:lvl>
    <w:lvl w:ilvl="6" w:tplc="4FF60422">
      <w:numFmt w:val="bullet"/>
      <w:lvlText w:val="•"/>
      <w:lvlJc w:val="left"/>
      <w:pPr>
        <w:ind w:left="4526" w:hanging="284"/>
      </w:pPr>
      <w:rPr>
        <w:rFonts w:hint="default"/>
      </w:rPr>
    </w:lvl>
    <w:lvl w:ilvl="7" w:tplc="09486ABA">
      <w:numFmt w:val="bullet"/>
      <w:lvlText w:val="•"/>
      <w:lvlJc w:val="left"/>
      <w:pPr>
        <w:ind w:left="5190" w:hanging="284"/>
      </w:pPr>
      <w:rPr>
        <w:rFonts w:hint="default"/>
      </w:rPr>
    </w:lvl>
    <w:lvl w:ilvl="8" w:tplc="F934CD10">
      <w:numFmt w:val="bullet"/>
      <w:lvlText w:val="•"/>
      <w:lvlJc w:val="left"/>
      <w:pPr>
        <w:ind w:left="5855" w:hanging="284"/>
      </w:pPr>
      <w:rPr>
        <w:rFonts w:hint="default"/>
      </w:rPr>
    </w:lvl>
  </w:abstractNum>
  <w:abstractNum w:abstractNumId="51">
    <w:nsid w:val="154536DF"/>
    <w:multiLevelType w:val="hybridMultilevel"/>
    <w:tmpl w:val="8BCC84FE"/>
    <w:lvl w:ilvl="0" w:tplc="89202082">
      <w:numFmt w:val="bullet"/>
      <w:lvlText w:val="–"/>
      <w:lvlJc w:val="left"/>
      <w:pPr>
        <w:ind w:left="533" w:hanging="284"/>
      </w:pPr>
      <w:rPr>
        <w:rFonts w:ascii="Cambria" w:eastAsia="Cambria" w:hAnsi="Cambria" w:cs="Cambria" w:hint="default"/>
        <w:color w:val="231F20"/>
        <w:spacing w:val="-21"/>
        <w:w w:val="100"/>
        <w:sz w:val="21"/>
        <w:szCs w:val="21"/>
      </w:rPr>
    </w:lvl>
    <w:lvl w:ilvl="1" w:tplc="85E874F4">
      <w:numFmt w:val="bullet"/>
      <w:lvlText w:val="•"/>
      <w:lvlJc w:val="left"/>
      <w:pPr>
        <w:ind w:left="1204" w:hanging="284"/>
      </w:pPr>
      <w:rPr>
        <w:rFonts w:hint="default"/>
      </w:rPr>
    </w:lvl>
    <w:lvl w:ilvl="2" w:tplc="19180DF0">
      <w:numFmt w:val="bullet"/>
      <w:lvlText w:val="•"/>
      <w:lvlJc w:val="left"/>
      <w:pPr>
        <w:ind w:left="1868" w:hanging="284"/>
      </w:pPr>
      <w:rPr>
        <w:rFonts w:hint="default"/>
      </w:rPr>
    </w:lvl>
    <w:lvl w:ilvl="3" w:tplc="2FF2CF62">
      <w:numFmt w:val="bullet"/>
      <w:lvlText w:val="•"/>
      <w:lvlJc w:val="left"/>
      <w:pPr>
        <w:ind w:left="2533" w:hanging="284"/>
      </w:pPr>
      <w:rPr>
        <w:rFonts w:hint="default"/>
      </w:rPr>
    </w:lvl>
    <w:lvl w:ilvl="4" w:tplc="56ECEF36">
      <w:numFmt w:val="bullet"/>
      <w:lvlText w:val="•"/>
      <w:lvlJc w:val="left"/>
      <w:pPr>
        <w:ind w:left="3197" w:hanging="284"/>
      </w:pPr>
      <w:rPr>
        <w:rFonts w:hint="default"/>
      </w:rPr>
    </w:lvl>
    <w:lvl w:ilvl="5" w:tplc="80A246D0">
      <w:numFmt w:val="bullet"/>
      <w:lvlText w:val="•"/>
      <w:lvlJc w:val="left"/>
      <w:pPr>
        <w:ind w:left="3861" w:hanging="284"/>
      </w:pPr>
      <w:rPr>
        <w:rFonts w:hint="default"/>
      </w:rPr>
    </w:lvl>
    <w:lvl w:ilvl="6" w:tplc="0BA4FEAC">
      <w:numFmt w:val="bullet"/>
      <w:lvlText w:val="•"/>
      <w:lvlJc w:val="left"/>
      <w:pPr>
        <w:ind w:left="4526" w:hanging="284"/>
      </w:pPr>
      <w:rPr>
        <w:rFonts w:hint="default"/>
      </w:rPr>
    </w:lvl>
    <w:lvl w:ilvl="7" w:tplc="BA0AAD26">
      <w:numFmt w:val="bullet"/>
      <w:lvlText w:val="•"/>
      <w:lvlJc w:val="left"/>
      <w:pPr>
        <w:ind w:left="5190" w:hanging="284"/>
      </w:pPr>
      <w:rPr>
        <w:rFonts w:hint="default"/>
      </w:rPr>
    </w:lvl>
    <w:lvl w:ilvl="8" w:tplc="1FE296F4">
      <w:numFmt w:val="bullet"/>
      <w:lvlText w:val="•"/>
      <w:lvlJc w:val="left"/>
      <w:pPr>
        <w:ind w:left="5855" w:hanging="284"/>
      </w:pPr>
      <w:rPr>
        <w:rFonts w:hint="default"/>
      </w:rPr>
    </w:lvl>
  </w:abstractNum>
  <w:abstractNum w:abstractNumId="52">
    <w:nsid w:val="16376666"/>
    <w:multiLevelType w:val="hybridMultilevel"/>
    <w:tmpl w:val="53A2EA32"/>
    <w:lvl w:ilvl="0" w:tplc="4710919E">
      <w:start w:val="3"/>
      <w:numFmt w:val="decimal"/>
      <w:lvlText w:val="%1)"/>
      <w:lvlJc w:val="left"/>
      <w:pPr>
        <w:ind w:left="250" w:hanging="284"/>
        <w:jc w:val="left"/>
      </w:pPr>
      <w:rPr>
        <w:rFonts w:ascii="Cambria" w:eastAsia="Cambria" w:hAnsi="Cambria" w:cs="Cambria" w:hint="default"/>
        <w:i/>
        <w:color w:val="231F20"/>
        <w:spacing w:val="-4"/>
        <w:w w:val="100"/>
        <w:sz w:val="21"/>
        <w:szCs w:val="21"/>
      </w:rPr>
    </w:lvl>
    <w:lvl w:ilvl="1" w:tplc="CE46E444">
      <w:numFmt w:val="bullet"/>
      <w:lvlText w:val="•"/>
      <w:lvlJc w:val="left"/>
      <w:pPr>
        <w:ind w:left="952" w:hanging="284"/>
      </w:pPr>
      <w:rPr>
        <w:rFonts w:hint="default"/>
      </w:rPr>
    </w:lvl>
    <w:lvl w:ilvl="2" w:tplc="87A67B82">
      <w:numFmt w:val="bullet"/>
      <w:lvlText w:val="•"/>
      <w:lvlJc w:val="left"/>
      <w:pPr>
        <w:ind w:left="1644" w:hanging="284"/>
      </w:pPr>
      <w:rPr>
        <w:rFonts w:hint="default"/>
      </w:rPr>
    </w:lvl>
    <w:lvl w:ilvl="3" w:tplc="C5B6546C">
      <w:numFmt w:val="bullet"/>
      <w:lvlText w:val="•"/>
      <w:lvlJc w:val="left"/>
      <w:pPr>
        <w:ind w:left="2337" w:hanging="284"/>
      </w:pPr>
      <w:rPr>
        <w:rFonts w:hint="default"/>
      </w:rPr>
    </w:lvl>
    <w:lvl w:ilvl="4" w:tplc="2DFC8076">
      <w:numFmt w:val="bullet"/>
      <w:lvlText w:val="•"/>
      <w:lvlJc w:val="left"/>
      <w:pPr>
        <w:ind w:left="3029" w:hanging="284"/>
      </w:pPr>
      <w:rPr>
        <w:rFonts w:hint="default"/>
      </w:rPr>
    </w:lvl>
    <w:lvl w:ilvl="5" w:tplc="BC2453C0">
      <w:numFmt w:val="bullet"/>
      <w:lvlText w:val="•"/>
      <w:lvlJc w:val="left"/>
      <w:pPr>
        <w:ind w:left="3721" w:hanging="284"/>
      </w:pPr>
      <w:rPr>
        <w:rFonts w:hint="default"/>
      </w:rPr>
    </w:lvl>
    <w:lvl w:ilvl="6" w:tplc="7A48B150">
      <w:numFmt w:val="bullet"/>
      <w:lvlText w:val="•"/>
      <w:lvlJc w:val="left"/>
      <w:pPr>
        <w:ind w:left="4414" w:hanging="284"/>
      </w:pPr>
      <w:rPr>
        <w:rFonts w:hint="default"/>
      </w:rPr>
    </w:lvl>
    <w:lvl w:ilvl="7" w:tplc="DEF88FE8">
      <w:numFmt w:val="bullet"/>
      <w:lvlText w:val="•"/>
      <w:lvlJc w:val="left"/>
      <w:pPr>
        <w:ind w:left="5106" w:hanging="284"/>
      </w:pPr>
      <w:rPr>
        <w:rFonts w:hint="default"/>
      </w:rPr>
    </w:lvl>
    <w:lvl w:ilvl="8" w:tplc="22126D7A">
      <w:numFmt w:val="bullet"/>
      <w:lvlText w:val="•"/>
      <w:lvlJc w:val="left"/>
      <w:pPr>
        <w:ind w:left="5799" w:hanging="284"/>
      </w:pPr>
      <w:rPr>
        <w:rFonts w:hint="default"/>
      </w:rPr>
    </w:lvl>
  </w:abstractNum>
  <w:abstractNum w:abstractNumId="53">
    <w:nsid w:val="1661342C"/>
    <w:multiLevelType w:val="hybridMultilevel"/>
    <w:tmpl w:val="64C684B6"/>
    <w:lvl w:ilvl="0" w:tplc="D3D87E88">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9DE28946">
      <w:numFmt w:val="bullet"/>
      <w:lvlText w:val="•"/>
      <w:lvlJc w:val="left"/>
      <w:pPr>
        <w:ind w:left="952" w:hanging="284"/>
      </w:pPr>
      <w:rPr>
        <w:rFonts w:hint="default"/>
      </w:rPr>
    </w:lvl>
    <w:lvl w:ilvl="2" w:tplc="E0801784">
      <w:numFmt w:val="bullet"/>
      <w:lvlText w:val="•"/>
      <w:lvlJc w:val="left"/>
      <w:pPr>
        <w:ind w:left="1644" w:hanging="284"/>
      </w:pPr>
      <w:rPr>
        <w:rFonts w:hint="default"/>
      </w:rPr>
    </w:lvl>
    <w:lvl w:ilvl="3" w:tplc="72221D00">
      <w:numFmt w:val="bullet"/>
      <w:lvlText w:val="•"/>
      <w:lvlJc w:val="left"/>
      <w:pPr>
        <w:ind w:left="2337" w:hanging="284"/>
      </w:pPr>
      <w:rPr>
        <w:rFonts w:hint="default"/>
      </w:rPr>
    </w:lvl>
    <w:lvl w:ilvl="4" w:tplc="F16C55C4">
      <w:numFmt w:val="bullet"/>
      <w:lvlText w:val="•"/>
      <w:lvlJc w:val="left"/>
      <w:pPr>
        <w:ind w:left="3029" w:hanging="284"/>
      </w:pPr>
      <w:rPr>
        <w:rFonts w:hint="default"/>
      </w:rPr>
    </w:lvl>
    <w:lvl w:ilvl="5" w:tplc="AF1898F0">
      <w:numFmt w:val="bullet"/>
      <w:lvlText w:val="•"/>
      <w:lvlJc w:val="left"/>
      <w:pPr>
        <w:ind w:left="3721" w:hanging="284"/>
      </w:pPr>
      <w:rPr>
        <w:rFonts w:hint="default"/>
      </w:rPr>
    </w:lvl>
    <w:lvl w:ilvl="6" w:tplc="BAAAAED0">
      <w:numFmt w:val="bullet"/>
      <w:lvlText w:val="•"/>
      <w:lvlJc w:val="left"/>
      <w:pPr>
        <w:ind w:left="4414" w:hanging="284"/>
      </w:pPr>
      <w:rPr>
        <w:rFonts w:hint="default"/>
      </w:rPr>
    </w:lvl>
    <w:lvl w:ilvl="7" w:tplc="F6688040">
      <w:numFmt w:val="bullet"/>
      <w:lvlText w:val="•"/>
      <w:lvlJc w:val="left"/>
      <w:pPr>
        <w:ind w:left="5106" w:hanging="284"/>
      </w:pPr>
      <w:rPr>
        <w:rFonts w:hint="default"/>
      </w:rPr>
    </w:lvl>
    <w:lvl w:ilvl="8" w:tplc="9BF6B63A">
      <w:numFmt w:val="bullet"/>
      <w:lvlText w:val="•"/>
      <w:lvlJc w:val="left"/>
      <w:pPr>
        <w:ind w:left="5799" w:hanging="284"/>
      </w:pPr>
      <w:rPr>
        <w:rFonts w:hint="default"/>
      </w:rPr>
    </w:lvl>
  </w:abstractNum>
  <w:abstractNum w:abstractNumId="54">
    <w:nsid w:val="17AD7C3A"/>
    <w:multiLevelType w:val="hybridMultilevel"/>
    <w:tmpl w:val="2B42DECE"/>
    <w:lvl w:ilvl="0" w:tplc="4A32E77C">
      <w:numFmt w:val="bullet"/>
      <w:lvlText w:val=""/>
      <w:lvlJc w:val="left"/>
      <w:pPr>
        <w:ind w:left="1100" w:hanging="284"/>
      </w:pPr>
      <w:rPr>
        <w:rFonts w:ascii="Wingdings" w:eastAsia="Wingdings" w:hAnsi="Wingdings" w:cs="Wingdings" w:hint="default"/>
        <w:color w:val="231F20"/>
        <w:w w:val="100"/>
        <w:sz w:val="21"/>
        <w:szCs w:val="21"/>
      </w:rPr>
    </w:lvl>
    <w:lvl w:ilvl="1" w:tplc="1C94D1F0">
      <w:numFmt w:val="bullet"/>
      <w:lvlText w:val="•"/>
      <w:lvlJc w:val="left"/>
      <w:pPr>
        <w:ind w:left="1708" w:hanging="284"/>
      </w:pPr>
      <w:rPr>
        <w:rFonts w:hint="default"/>
      </w:rPr>
    </w:lvl>
    <w:lvl w:ilvl="2" w:tplc="7874904C">
      <w:numFmt w:val="bullet"/>
      <w:lvlText w:val="•"/>
      <w:lvlJc w:val="left"/>
      <w:pPr>
        <w:ind w:left="2316" w:hanging="284"/>
      </w:pPr>
      <w:rPr>
        <w:rFonts w:hint="default"/>
      </w:rPr>
    </w:lvl>
    <w:lvl w:ilvl="3" w:tplc="425AE6D2">
      <w:numFmt w:val="bullet"/>
      <w:lvlText w:val="•"/>
      <w:lvlJc w:val="left"/>
      <w:pPr>
        <w:ind w:left="2925" w:hanging="284"/>
      </w:pPr>
      <w:rPr>
        <w:rFonts w:hint="default"/>
      </w:rPr>
    </w:lvl>
    <w:lvl w:ilvl="4" w:tplc="8C26053A">
      <w:numFmt w:val="bullet"/>
      <w:lvlText w:val="•"/>
      <w:lvlJc w:val="left"/>
      <w:pPr>
        <w:ind w:left="3533" w:hanging="284"/>
      </w:pPr>
      <w:rPr>
        <w:rFonts w:hint="default"/>
      </w:rPr>
    </w:lvl>
    <w:lvl w:ilvl="5" w:tplc="BE869798">
      <w:numFmt w:val="bullet"/>
      <w:lvlText w:val="•"/>
      <w:lvlJc w:val="left"/>
      <w:pPr>
        <w:ind w:left="4141" w:hanging="284"/>
      </w:pPr>
      <w:rPr>
        <w:rFonts w:hint="default"/>
      </w:rPr>
    </w:lvl>
    <w:lvl w:ilvl="6" w:tplc="1E2E4A6E">
      <w:numFmt w:val="bullet"/>
      <w:lvlText w:val="•"/>
      <w:lvlJc w:val="left"/>
      <w:pPr>
        <w:ind w:left="4750" w:hanging="284"/>
      </w:pPr>
      <w:rPr>
        <w:rFonts w:hint="default"/>
      </w:rPr>
    </w:lvl>
    <w:lvl w:ilvl="7" w:tplc="C298F4EA">
      <w:numFmt w:val="bullet"/>
      <w:lvlText w:val="•"/>
      <w:lvlJc w:val="left"/>
      <w:pPr>
        <w:ind w:left="5358" w:hanging="284"/>
      </w:pPr>
      <w:rPr>
        <w:rFonts w:hint="default"/>
      </w:rPr>
    </w:lvl>
    <w:lvl w:ilvl="8" w:tplc="388CBA72">
      <w:numFmt w:val="bullet"/>
      <w:lvlText w:val="•"/>
      <w:lvlJc w:val="left"/>
      <w:pPr>
        <w:ind w:left="5967" w:hanging="284"/>
      </w:pPr>
      <w:rPr>
        <w:rFonts w:hint="default"/>
      </w:rPr>
    </w:lvl>
  </w:abstractNum>
  <w:abstractNum w:abstractNumId="55">
    <w:nsid w:val="180A6E0D"/>
    <w:multiLevelType w:val="hybridMultilevel"/>
    <w:tmpl w:val="9250A05A"/>
    <w:lvl w:ilvl="0" w:tplc="461AB264">
      <w:start w:val="1"/>
      <w:numFmt w:val="decimal"/>
      <w:lvlText w:val="%1)"/>
      <w:lvlJc w:val="left"/>
      <w:pPr>
        <w:ind w:left="250" w:hanging="284"/>
        <w:jc w:val="left"/>
      </w:pPr>
      <w:rPr>
        <w:rFonts w:ascii="Cambria" w:eastAsia="Cambria" w:hAnsi="Cambria" w:cs="Cambria" w:hint="default"/>
        <w:color w:val="231F20"/>
        <w:spacing w:val="-13"/>
        <w:w w:val="100"/>
        <w:sz w:val="21"/>
        <w:szCs w:val="21"/>
      </w:rPr>
    </w:lvl>
    <w:lvl w:ilvl="1" w:tplc="31225172">
      <w:numFmt w:val="bullet"/>
      <w:lvlText w:val="•"/>
      <w:lvlJc w:val="left"/>
      <w:pPr>
        <w:ind w:left="540" w:hanging="284"/>
      </w:pPr>
      <w:rPr>
        <w:rFonts w:hint="default"/>
      </w:rPr>
    </w:lvl>
    <w:lvl w:ilvl="2" w:tplc="1ADE0384">
      <w:numFmt w:val="bullet"/>
      <w:lvlText w:val="•"/>
      <w:lvlJc w:val="left"/>
      <w:pPr>
        <w:ind w:left="1278" w:hanging="284"/>
      </w:pPr>
      <w:rPr>
        <w:rFonts w:hint="default"/>
      </w:rPr>
    </w:lvl>
    <w:lvl w:ilvl="3" w:tplc="3554276E">
      <w:numFmt w:val="bullet"/>
      <w:lvlText w:val="•"/>
      <w:lvlJc w:val="left"/>
      <w:pPr>
        <w:ind w:left="2016" w:hanging="284"/>
      </w:pPr>
      <w:rPr>
        <w:rFonts w:hint="default"/>
      </w:rPr>
    </w:lvl>
    <w:lvl w:ilvl="4" w:tplc="08D41EEE">
      <w:numFmt w:val="bullet"/>
      <w:lvlText w:val="•"/>
      <w:lvlJc w:val="left"/>
      <w:pPr>
        <w:ind w:left="2754" w:hanging="284"/>
      </w:pPr>
      <w:rPr>
        <w:rFonts w:hint="default"/>
      </w:rPr>
    </w:lvl>
    <w:lvl w:ilvl="5" w:tplc="D916D1E8">
      <w:numFmt w:val="bullet"/>
      <w:lvlText w:val="•"/>
      <w:lvlJc w:val="left"/>
      <w:pPr>
        <w:ind w:left="3492" w:hanging="284"/>
      </w:pPr>
      <w:rPr>
        <w:rFonts w:hint="default"/>
      </w:rPr>
    </w:lvl>
    <w:lvl w:ilvl="6" w:tplc="48707FA2">
      <w:numFmt w:val="bullet"/>
      <w:lvlText w:val="•"/>
      <w:lvlJc w:val="left"/>
      <w:pPr>
        <w:ind w:left="4231" w:hanging="284"/>
      </w:pPr>
      <w:rPr>
        <w:rFonts w:hint="default"/>
      </w:rPr>
    </w:lvl>
    <w:lvl w:ilvl="7" w:tplc="F25EC554">
      <w:numFmt w:val="bullet"/>
      <w:lvlText w:val="•"/>
      <w:lvlJc w:val="left"/>
      <w:pPr>
        <w:ind w:left="4969" w:hanging="284"/>
      </w:pPr>
      <w:rPr>
        <w:rFonts w:hint="default"/>
      </w:rPr>
    </w:lvl>
    <w:lvl w:ilvl="8" w:tplc="B380EC4A">
      <w:numFmt w:val="bullet"/>
      <w:lvlText w:val="•"/>
      <w:lvlJc w:val="left"/>
      <w:pPr>
        <w:ind w:left="5707" w:hanging="284"/>
      </w:pPr>
      <w:rPr>
        <w:rFonts w:hint="default"/>
      </w:rPr>
    </w:lvl>
  </w:abstractNum>
  <w:abstractNum w:abstractNumId="56">
    <w:nsid w:val="190343F2"/>
    <w:multiLevelType w:val="hybridMultilevel"/>
    <w:tmpl w:val="C0AC1690"/>
    <w:lvl w:ilvl="0" w:tplc="D91A42F8">
      <w:start w:val="1"/>
      <w:numFmt w:val="decimal"/>
      <w:lvlText w:val="%1)"/>
      <w:lvlJc w:val="left"/>
      <w:pPr>
        <w:ind w:left="533" w:hanging="284"/>
        <w:jc w:val="left"/>
      </w:pPr>
      <w:rPr>
        <w:rFonts w:ascii="Cambria" w:eastAsia="Cambria" w:hAnsi="Cambria" w:cs="Cambria" w:hint="default"/>
        <w:color w:val="231F20"/>
        <w:spacing w:val="-23"/>
        <w:w w:val="100"/>
        <w:sz w:val="21"/>
        <w:szCs w:val="21"/>
      </w:rPr>
    </w:lvl>
    <w:lvl w:ilvl="1" w:tplc="6FE2A0B0">
      <w:numFmt w:val="bullet"/>
      <w:lvlText w:val="•"/>
      <w:lvlJc w:val="left"/>
      <w:pPr>
        <w:ind w:left="1204" w:hanging="284"/>
      </w:pPr>
      <w:rPr>
        <w:rFonts w:hint="default"/>
      </w:rPr>
    </w:lvl>
    <w:lvl w:ilvl="2" w:tplc="FF6C8BC8">
      <w:numFmt w:val="bullet"/>
      <w:lvlText w:val="•"/>
      <w:lvlJc w:val="left"/>
      <w:pPr>
        <w:ind w:left="1868" w:hanging="284"/>
      </w:pPr>
      <w:rPr>
        <w:rFonts w:hint="default"/>
      </w:rPr>
    </w:lvl>
    <w:lvl w:ilvl="3" w:tplc="04987DD6">
      <w:numFmt w:val="bullet"/>
      <w:lvlText w:val="•"/>
      <w:lvlJc w:val="left"/>
      <w:pPr>
        <w:ind w:left="2533" w:hanging="284"/>
      </w:pPr>
      <w:rPr>
        <w:rFonts w:hint="default"/>
      </w:rPr>
    </w:lvl>
    <w:lvl w:ilvl="4" w:tplc="1BBC478E">
      <w:numFmt w:val="bullet"/>
      <w:lvlText w:val="•"/>
      <w:lvlJc w:val="left"/>
      <w:pPr>
        <w:ind w:left="3197" w:hanging="284"/>
      </w:pPr>
      <w:rPr>
        <w:rFonts w:hint="default"/>
      </w:rPr>
    </w:lvl>
    <w:lvl w:ilvl="5" w:tplc="665402C4">
      <w:numFmt w:val="bullet"/>
      <w:lvlText w:val="•"/>
      <w:lvlJc w:val="left"/>
      <w:pPr>
        <w:ind w:left="3861" w:hanging="284"/>
      </w:pPr>
      <w:rPr>
        <w:rFonts w:hint="default"/>
      </w:rPr>
    </w:lvl>
    <w:lvl w:ilvl="6" w:tplc="6EA2D43C">
      <w:numFmt w:val="bullet"/>
      <w:lvlText w:val="•"/>
      <w:lvlJc w:val="left"/>
      <w:pPr>
        <w:ind w:left="4526" w:hanging="284"/>
      </w:pPr>
      <w:rPr>
        <w:rFonts w:hint="default"/>
      </w:rPr>
    </w:lvl>
    <w:lvl w:ilvl="7" w:tplc="891432F6">
      <w:numFmt w:val="bullet"/>
      <w:lvlText w:val="•"/>
      <w:lvlJc w:val="left"/>
      <w:pPr>
        <w:ind w:left="5190" w:hanging="284"/>
      </w:pPr>
      <w:rPr>
        <w:rFonts w:hint="default"/>
      </w:rPr>
    </w:lvl>
    <w:lvl w:ilvl="8" w:tplc="8BE66EE4">
      <w:numFmt w:val="bullet"/>
      <w:lvlText w:val="•"/>
      <w:lvlJc w:val="left"/>
      <w:pPr>
        <w:ind w:left="5855" w:hanging="284"/>
      </w:pPr>
      <w:rPr>
        <w:rFonts w:hint="default"/>
      </w:rPr>
    </w:lvl>
  </w:abstractNum>
  <w:abstractNum w:abstractNumId="57">
    <w:nsid w:val="194C3DC3"/>
    <w:multiLevelType w:val="hybridMultilevel"/>
    <w:tmpl w:val="31E0D3A4"/>
    <w:lvl w:ilvl="0" w:tplc="DDA6D1A8">
      <w:numFmt w:val="bullet"/>
      <w:lvlText w:val=""/>
      <w:lvlJc w:val="left"/>
      <w:pPr>
        <w:ind w:left="533" w:hanging="284"/>
      </w:pPr>
      <w:rPr>
        <w:rFonts w:ascii="Wingdings" w:eastAsia="Wingdings" w:hAnsi="Wingdings" w:cs="Wingdings" w:hint="default"/>
        <w:color w:val="231F20"/>
        <w:w w:val="100"/>
        <w:sz w:val="21"/>
        <w:szCs w:val="21"/>
      </w:rPr>
    </w:lvl>
    <w:lvl w:ilvl="1" w:tplc="C20E0A00">
      <w:numFmt w:val="bullet"/>
      <w:lvlText w:val="•"/>
      <w:lvlJc w:val="left"/>
      <w:pPr>
        <w:ind w:left="1204" w:hanging="284"/>
      </w:pPr>
      <w:rPr>
        <w:rFonts w:hint="default"/>
      </w:rPr>
    </w:lvl>
    <w:lvl w:ilvl="2" w:tplc="204C86EE">
      <w:numFmt w:val="bullet"/>
      <w:lvlText w:val="•"/>
      <w:lvlJc w:val="left"/>
      <w:pPr>
        <w:ind w:left="1868" w:hanging="284"/>
      </w:pPr>
      <w:rPr>
        <w:rFonts w:hint="default"/>
      </w:rPr>
    </w:lvl>
    <w:lvl w:ilvl="3" w:tplc="D7AC5936">
      <w:numFmt w:val="bullet"/>
      <w:lvlText w:val="•"/>
      <w:lvlJc w:val="left"/>
      <w:pPr>
        <w:ind w:left="2533" w:hanging="284"/>
      </w:pPr>
      <w:rPr>
        <w:rFonts w:hint="default"/>
      </w:rPr>
    </w:lvl>
    <w:lvl w:ilvl="4" w:tplc="F124B718">
      <w:numFmt w:val="bullet"/>
      <w:lvlText w:val="•"/>
      <w:lvlJc w:val="left"/>
      <w:pPr>
        <w:ind w:left="3197" w:hanging="284"/>
      </w:pPr>
      <w:rPr>
        <w:rFonts w:hint="default"/>
      </w:rPr>
    </w:lvl>
    <w:lvl w:ilvl="5" w:tplc="B1EACEC0">
      <w:numFmt w:val="bullet"/>
      <w:lvlText w:val="•"/>
      <w:lvlJc w:val="left"/>
      <w:pPr>
        <w:ind w:left="3861" w:hanging="284"/>
      </w:pPr>
      <w:rPr>
        <w:rFonts w:hint="default"/>
      </w:rPr>
    </w:lvl>
    <w:lvl w:ilvl="6" w:tplc="28B2B4AA">
      <w:numFmt w:val="bullet"/>
      <w:lvlText w:val="•"/>
      <w:lvlJc w:val="left"/>
      <w:pPr>
        <w:ind w:left="4526" w:hanging="284"/>
      </w:pPr>
      <w:rPr>
        <w:rFonts w:hint="default"/>
      </w:rPr>
    </w:lvl>
    <w:lvl w:ilvl="7" w:tplc="89BA32A2">
      <w:numFmt w:val="bullet"/>
      <w:lvlText w:val="•"/>
      <w:lvlJc w:val="left"/>
      <w:pPr>
        <w:ind w:left="5190" w:hanging="284"/>
      </w:pPr>
      <w:rPr>
        <w:rFonts w:hint="default"/>
      </w:rPr>
    </w:lvl>
    <w:lvl w:ilvl="8" w:tplc="F6F02170">
      <w:numFmt w:val="bullet"/>
      <w:lvlText w:val="•"/>
      <w:lvlJc w:val="left"/>
      <w:pPr>
        <w:ind w:left="5855" w:hanging="284"/>
      </w:pPr>
      <w:rPr>
        <w:rFonts w:hint="default"/>
      </w:rPr>
    </w:lvl>
  </w:abstractNum>
  <w:abstractNum w:abstractNumId="58">
    <w:nsid w:val="19534B67"/>
    <w:multiLevelType w:val="multilevel"/>
    <w:tmpl w:val="E72C4006"/>
    <w:lvl w:ilvl="0">
      <w:start w:val="1"/>
      <w:numFmt w:val="decimal"/>
      <w:lvlText w:val="%1"/>
      <w:lvlJc w:val="left"/>
      <w:pPr>
        <w:ind w:left="555" w:hanging="411"/>
        <w:jc w:val="left"/>
      </w:pPr>
      <w:rPr>
        <w:rFonts w:hint="default"/>
      </w:rPr>
    </w:lvl>
    <w:lvl w:ilvl="1">
      <w:start w:val="1"/>
      <w:numFmt w:val="decimal"/>
      <w:lvlText w:val="%1.%2."/>
      <w:lvlJc w:val="left"/>
      <w:pPr>
        <w:ind w:left="555" w:hanging="411"/>
        <w:jc w:val="left"/>
      </w:pPr>
      <w:rPr>
        <w:rFonts w:ascii="Cambria" w:eastAsia="Cambria" w:hAnsi="Cambria" w:cs="Cambria" w:hint="default"/>
        <w:b/>
        <w:bCs/>
        <w:color w:val="231F20"/>
        <w:spacing w:val="-1"/>
        <w:w w:val="100"/>
        <w:sz w:val="22"/>
        <w:szCs w:val="22"/>
      </w:rPr>
    </w:lvl>
    <w:lvl w:ilvl="2">
      <w:numFmt w:val="bullet"/>
      <w:lvlText w:val=""/>
      <w:lvlJc w:val="left"/>
      <w:pPr>
        <w:ind w:left="250" w:hanging="284"/>
      </w:pPr>
      <w:rPr>
        <w:rFonts w:ascii="Wingdings" w:eastAsia="Wingdings" w:hAnsi="Wingdings" w:cs="Wingdings" w:hint="default"/>
        <w:color w:val="231F20"/>
        <w:w w:val="100"/>
        <w:sz w:val="21"/>
        <w:szCs w:val="21"/>
      </w:rPr>
    </w:lvl>
    <w:lvl w:ilvl="3">
      <w:numFmt w:val="bullet"/>
      <w:lvlText w:val="•"/>
      <w:lvlJc w:val="left"/>
      <w:pPr>
        <w:ind w:left="1675" w:hanging="284"/>
      </w:pPr>
      <w:rPr>
        <w:rFonts w:hint="default"/>
      </w:rPr>
    </w:lvl>
    <w:lvl w:ilvl="4">
      <w:numFmt w:val="bullet"/>
      <w:lvlText w:val="•"/>
      <w:lvlJc w:val="left"/>
      <w:pPr>
        <w:ind w:left="2233" w:hanging="284"/>
      </w:pPr>
      <w:rPr>
        <w:rFonts w:hint="default"/>
      </w:rPr>
    </w:lvl>
    <w:lvl w:ilvl="5">
      <w:numFmt w:val="bullet"/>
      <w:lvlText w:val="•"/>
      <w:lvlJc w:val="left"/>
      <w:pPr>
        <w:ind w:left="2791" w:hanging="284"/>
      </w:pPr>
      <w:rPr>
        <w:rFonts w:hint="default"/>
      </w:rPr>
    </w:lvl>
    <w:lvl w:ilvl="6">
      <w:numFmt w:val="bullet"/>
      <w:lvlText w:val="•"/>
      <w:lvlJc w:val="left"/>
      <w:pPr>
        <w:ind w:left="3349" w:hanging="284"/>
      </w:pPr>
      <w:rPr>
        <w:rFonts w:hint="default"/>
      </w:rPr>
    </w:lvl>
    <w:lvl w:ilvl="7">
      <w:numFmt w:val="bullet"/>
      <w:lvlText w:val="•"/>
      <w:lvlJc w:val="left"/>
      <w:pPr>
        <w:ind w:left="3907" w:hanging="284"/>
      </w:pPr>
      <w:rPr>
        <w:rFonts w:hint="default"/>
      </w:rPr>
    </w:lvl>
    <w:lvl w:ilvl="8">
      <w:numFmt w:val="bullet"/>
      <w:lvlText w:val="•"/>
      <w:lvlJc w:val="left"/>
      <w:pPr>
        <w:ind w:left="4465" w:hanging="284"/>
      </w:pPr>
      <w:rPr>
        <w:rFonts w:hint="default"/>
      </w:rPr>
    </w:lvl>
  </w:abstractNum>
  <w:abstractNum w:abstractNumId="59">
    <w:nsid w:val="19D10D62"/>
    <w:multiLevelType w:val="multilevel"/>
    <w:tmpl w:val="7ABC0D90"/>
    <w:lvl w:ilvl="0">
      <w:start w:val="9"/>
      <w:numFmt w:val="decimal"/>
      <w:lvlText w:val="%1"/>
      <w:lvlJc w:val="left"/>
      <w:pPr>
        <w:ind w:left="930" w:hanging="397"/>
        <w:jc w:val="left"/>
      </w:pPr>
      <w:rPr>
        <w:rFonts w:hint="default"/>
      </w:rPr>
    </w:lvl>
    <w:lvl w:ilvl="1">
      <w:start w:val="1"/>
      <w:numFmt w:val="decimal"/>
      <w:lvlText w:val="%1.%2."/>
      <w:lvlJc w:val="left"/>
      <w:pPr>
        <w:ind w:left="930" w:hanging="397"/>
        <w:jc w:val="left"/>
      </w:pPr>
      <w:rPr>
        <w:rFonts w:ascii="Cambria" w:eastAsia="Cambria" w:hAnsi="Cambria" w:cs="Cambria" w:hint="default"/>
        <w:b/>
        <w:bCs/>
        <w:color w:val="231F20"/>
        <w:spacing w:val="-1"/>
        <w:w w:val="100"/>
        <w:sz w:val="21"/>
        <w:szCs w:val="21"/>
      </w:rPr>
    </w:lvl>
    <w:lvl w:ilvl="2">
      <w:start w:val="1"/>
      <w:numFmt w:val="decimal"/>
      <w:lvlText w:val="%1.%2.%3."/>
      <w:lvlJc w:val="left"/>
      <w:pPr>
        <w:ind w:left="1497" w:hanging="567"/>
        <w:jc w:val="left"/>
      </w:pPr>
      <w:rPr>
        <w:rFonts w:ascii="Cambria" w:eastAsia="Cambria" w:hAnsi="Cambria" w:cs="Cambria" w:hint="default"/>
        <w:color w:val="231F20"/>
        <w:spacing w:val="-4"/>
        <w:w w:val="100"/>
        <w:sz w:val="21"/>
        <w:szCs w:val="21"/>
      </w:rPr>
    </w:lvl>
    <w:lvl w:ilvl="3">
      <w:numFmt w:val="bullet"/>
      <w:lvlText w:val="•"/>
      <w:lvlJc w:val="left"/>
      <w:pPr>
        <w:ind w:left="2763" w:hanging="567"/>
      </w:pPr>
      <w:rPr>
        <w:rFonts w:hint="default"/>
      </w:rPr>
    </w:lvl>
    <w:lvl w:ilvl="4">
      <w:numFmt w:val="bullet"/>
      <w:lvlText w:val="•"/>
      <w:lvlJc w:val="left"/>
      <w:pPr>
        <w:ind w:left="3394" w:hanging="567"/>
      </w:pPr>
      <w:rPr>
        <w:rFonts w:hint="default"/>
      </w:rPr>
    </w:lvl>
    <w:lvl w:ilvl="5">
      <w:numFmt w:val="bullet"/>
      <w:lvlText w:val="•"/>
      <w:lvlJc w:val="left"/>
      <w:pPr>
        <w:ind w:left="4026" w:hanging="567"/>
      </w:pPr>
      <w:rPr>
        <w:rFonts w:hint="default"/>
      </w:rPr>
    </w:lvl>
    <w:lvl w:ilvl="6">
      <w:numFmt w:val="bullet"/>
      <w:lvlText w:val="•"/>
      <w:lvlJc w:val="left"/>
      <w:pPr>
        <w:ind w:left="4657" w:hanging="567"/>
      </w:pPr>
      <w:rPr>
        <w:rFonts w:hint="default"/>
      </w:rPr>
    </w:lvl>
    <w:lvl w:ilvl="7">
      <w:numFmt w:val="bullet"/>
      <w:lvlText w:val="•"/>
      <w:lvlJc w:val="left"/>
      <w:pPr>
        <w:ind w:left="5289" w:hanging="567"/>
      </w:pPr>
      <w:rPr>
        <w:rFonts w:hint="default"/>
      </w:rPr>
    </w:lvl>
    <w:lvl w:ilvl="8">
      <w:numFmt w:val="bullet"/>
      <w:lvlText w:val="•"/>
      <w:lvlJc w:val="left"/>
      <w:pPr>
        <w:ind w:left="5920" w:hanging="567"/>
      </w:pPr>
      <w:rPr>
        <w:rFonts w:hint="default"/>
      </w:rPr>
    </w:lvl>
  </w:abstractNum>
  <w:abstractNum w:abstractNumId="60">
    <w:nsid w:val="1A3F1DC1"/>
    <w:multiLevelType w:val="hybridMultilevel"/>
    <w:tmpl w:val="7C9E23A8"/>
    <w:lvl w:ilvl="0" w:tplc="54326CF6">
      <w:numFmt w:val="bullet"/>
      <w:lvlText w:val="–"/>
      <w:lvlJc w:val="left"/>
      <w:pPr>
        <w:ind w:left="1384" w:hanging="284"/>
      </w:pPr>
      <w:rPr>
        <w:rFonts w:ascii="Cambria" w:eastAsia="Cambria" w:hAnsi="Cambria" w:cs="Cambria" w:hint="default"/>
        <w:color w:val="231F20"/>
        <w:spacing w:val="-13"/>
        <w:w w:val="100"/>
        <w:sz w:val="21"/>
        <w:szCs w:val="21"/>
      </w:rPr>
    </w:lvl>
    <w:lvl w:ilvl="1" w:tplc="A2562F96">
      <w:numFmt w:val="bullet"/>
      <w:lvlText w:val="•"/>
      <w:lvlJc w:val="left"/>
      <w:pPr>
        <w:ind w:left="1960" w:hanging="284"/>
      </w:pPr>
      <w:rPr>
        <w:rFonts w:hint="default"/>
      </w:rPr>
    </w:lvl>
    <w:lvl w:ilvl="2" w:tplc="F3905ECE">
      <w:numFmt w:val="bullet"/>
      <w:lvlText w:val="•"/>
      <w:lvlJc w:val="left"/>
      <w:pPr>
        <w:ind w:left="2540" w:hanging="284"/>
      </w:pPr>
      <w:rPr>
        <w:rFonts w:hint="default"/>
      </w:rPr>
    </w:lvl>
    <w:lvl w:ilvl="3" w:tplc="8878C2AA">
      <w:numFmt w:val="bullet"/>
      <w:lvlText w:val="•"/>
      <w:lvlJc w:val="left"/>
      <w:pPr>
        <w:ind w:left="3121" w:hanging="284"/>
      </w:pPr>
      <w:rPr>
        <w:rFonts w:hint="default"/>
      </w:rPr>
    </w:lvl>
    <w:lvl w:ilvl="4" w:tplc="964EBEDE">
      <w:numFmt w:val="bullet"/>
      <w:lvlText w:val="•"/>
      <w:lvlJc w:val="left"/>
      <w:pPr>
        <w:ind w:left="3701" w:hanging="284"/>
      </w:pPr>
      <w:rPr>
        <w:rFonts w:hint="default"/>
      </w:rPr>
    </w:lvl>
    <w:lvl w:ilvl="5" w:tplc="E3840488">
      <w:numFmt w:val="bullet"/>
      <w:lvlText w:val="•"/>
      <w:lvlJc w:val="left"/>
      <w:pPr>
        <w:ind w:left="4281" w:hanging="284"/>
      </w:pPr>
      <w:rPr>
        <w:rFonts w:hint="default"/>
      </w:rPr>
    </w:lvl>
    <w:lvl w:ilvl="6" w:tplc="268C36AA">
      <w:numFmt w:val="bullet"/>
      <w:lvlText w:val="•"/>
      <w:lvlJc w:val="left"/>
      <w:pPr>
        <w:ind w:left="4862" w:hanging="284"/>
      </w:pPr>
      <w:rPr>
        <w:rFonts w:hint="default"/>
      </w:rPr>
    </w:lvl>
    <w:lvl w:ilvl="7" w:tplc="A9246DB4">
      <w:numFmt w:val="bullet"/>
      <w:lvlText w:val="•"/>
      <w:lvlJc w:val="left"/>
      <w:pPr>
        <w:ind w:left="5442" w:hanging="284"/>
      </w:pPr>
      <w:rPr>
        <w:rFonts w:hint="default"/>
      </w:rPr>
    </w:lvl>
    <w:lvl w:ilvl="8" w:tplc="EE721096">
      <w:numFmt w:val="bullet"/>
      <w:lvlText w:val="•"/>
      <w:lvlJc w:val="left"/>
      <w:pPr>
        <w:ind w:left="6023" w:hanging="284"/>
      </w:pPr>
      <w:rPr>
        <w:rFonts w:hint="default"/>
      </w:rPr>
    </w:lvl>
  </w:abstractNum>
  <w:abstractNum w:abstractNumId="61">
    <w:nsid w:val="1A7A60CC"/>
    <w:multiLevelType w:val="hybridMultilevel"/>
    <w:tmpl w:val="6658C01E"/>
    <w:lvl w:ilvl="0" w:tplc="C11273F8">
      <w:numFmt w:val="bullet"/>
      <w:lvlText w:val="•"/>
      <w:lvlJc w:val="left"/>
      <w:pPr>
        <w:ind w:left="533" w:hanging="284"/>
      </w:pPr>
      <w:rPr>
        <w:rFonts w:ascii="Cambria" w:eastAsia="Cambria" w:hAnsi="Cambria" w:cs="Cambria" w:hint="default"/>
        <w:color w:val="231F20"/>
        <w:spacing w:val="-6"/>
        <w:w w:val="100"/>
        <w:sz w:val="21"/>
        <w:szCs w:val="21"/>
      </w:rPr>
    </w:lvl>
    <w:lvl w:ilvl="1" w:tplc="5656B136">
      <w:numFmt w:val="bullet"/>
      <w:lvlText w:val="•"/>
      <w:lvlJc w:val="left"/>
      <w:pPr>
        <w:ind w:left="1204" w:hanging="284"/>
      </w:pPr>
      <w:rPr>
        <w:rFonts w:hint="default"/>
      </w:rPr>
    </w:lvl>
    <w:lvl w:ilvl="2" w:tplc="F5A8C93C">
      <w:numFmt w:val="bullet"/>
      <w:lvlText w:val="•"/>
      <w:lvlJc w:val="left"/>
      <w:pPr>
        <w:ind w:left="1868" w:hanging="284"/>
      </w:pPr>
      <w:rPr>
        <w:rFonts w:hint="default"/>
      </w:rPr>
    </w:lvl>
    <w:lvl w:ilvl="3" w:tplc="BF6050F8">
      <w:numFmt w:val="bullet"/>
      <w:lvlText w:val="•"/>
      <w:lvlJc w:val="left"/>
      <w:pPr>
        <w:ind w:left="2533" w:hanging="284"/>
      </w:pPr>
      <w:rPr>
        <w:rFonts w:hint="default"/>
      </w:rPr>
    </w:lvl>
    <w:lvl w:ilvl="4" w:tplc="A18E6FA0">
      <w:numFmt w:val="bullet"/>
      <w:lvlText w:val="•"/>
      <w:lvlJc w:val="left"/>
      <w:pPr>
        <w:ind w:left="3197" w:hanging="284"/>
      </w:pPr>
      <w:rPr>
        <w:rFonts w:hint="default"/>
      </w:rPr>
    </w:lvl>
    <w:lvl w:ilvl="5" w:tplc="EE26C820">
      <w:numFmt w:val="bullet"/>
      <w:lvlText w:val="•"/>
      <w:lvlJc w:val="left"/>
      <w:pPr>
        <w:ind w:left="3861" w:hanging="284"/>
      </w:pPr>
      <w:rPr>
        <w:rFonts w:hint="default"/>
      </w:rPr>
    </w:lvl>
    <w:lvl w:ilvl="6" w:tplc="09BCC9A2">
      <w:numFmt w:val="bullet"/>
      <w:lvlText w:val="•"/>
      <w:lvlJc w:val="left"/>
      <w:pPr>
        <w:ind w:left="4526" w:hanging="284"/>
      </w:pPr>
      <w:rPr>
        <w:rFonts w:hint="default"/>
      </w:rPr>
    </w:lvl>
    <w:lvl w:ilvl="7" w:tplc="FBA22D88">
      <w:numFmt w:val="bullet"/>
      <w:lvlText w:val="•"/>
      <w:lvlJc w:val="left"/>
      <w:pPr>
        <w:ind w:left="5190" w:hanging="284"/>
      </w:pPr>
      <w:rPr>
        <w:rFonts w:hint="default"/>
      </w:rPr>
    </w:lvl>
    <w:lvl w:ilvl="8" w:tplc="1C4E1D82">
      <w:numFmt w:val="bullet"/>
      <w:lvlText w:val="•"/>
      <w:lvlJc w:val="left"/>
      <w:pPr>
        <w:ind w:left="5855" w:hanging="284"/>
      </w:pPr>
      <w:rPr>
        <w:rFonts w:hint="default"/>
      </w:rPr>
    </w:lvl>
  </w:abstractNum>
  <w:abstractNum w:abstractNumId="62">
    <w:nsid w:val="1B692F14"/>
    <w:multiLevelType w:val="hybridMultilevel"/>
    <w:tmpl w:val="A8CE8B7A"/>
    <w:lvl w:ilvl="0" w:tplc="45B0FDAE">
      <w:numFmt w:val="bullet"/>
      <w:lvlText w:val="–"/>
      <w:lvlJc w:val="left"/>
      <w:pPr>
        <w:ind w:left="250" w:hanging="284"/>
      </w:pPr>
      <w:rPr>
        <w:rFonts w:ascii="Cambria" w:eastAsia="Cambria" w:hAnsi="Cambria" w:cs="Cambria" w:hint="default"/>
        <w:color w:val="231F20"/>
        <w:spacing w:val="-13"/>
        <w:w w:val="100"/>
        <w:sz w:val="21"/>
        <w:szCs w:val="21"/>
      </w:rPr>
    </w:lvl>
    <w:lvl w:ilvl="1" w:tplc="855240B2">
      <w:numFmt w:val="bullet"/>
      <w:lvlText w:val=""/>
      <w:lvlJc w:val="left"/>
      <w:pPr>
        <w:ind w:left="533" w:hanging="284"/>
      </w:pPr>
      <w:rPr>
        <w:rFonts w:ascii="Wingdings" w:eastAsia="Wingdings" w:hAnsi="Wingdings" w:cs="Wingdings" w:hint="default"/>
        <w:color w:val="231F20"/>
        <w:w w:val="100"/>
        <w:sz w:val="21"/>
        <w:szCs w:val="21"/>
      </w:rPr>
    </w:lvl>
    <w:lvl w:ilvl="2" w:tplc="71400A8E">
      <w:numFmt w:val="bullet"/>
      <w:lvlText w:val="•"/>
      <w:lvlJc w:val="left"/>
      <w:pPr>
        <w:ind w:left="1278" w:hanging="284"/>
      </w:pPr>
      <w:rPr>
        <w:rFonts w:hint="default"/>
      </w:rPr>
    </w:lvl>
    <w:lvl w:ilvl="3" w:tplc="370C460C">
      <w:numFmt w:val="bullet"/>
      <w:lvlText w:val="•"/>
      <w:lvlJc w:val="left"/>
      <w:pPr>
        <w:ind w:left="2016" w:hanging="284"/>
      </w:pPr>
      <w:rPr>
        <w:rFonts w:hint="default"/>
      </w:rPr>
    </w:lvl>
    <w:lvl w:ilvl="4" w:tplc="C710558C">
      <w:numFmt w:val="bullet"/>
      <w:lvlText w:val="•"/>
      <w:lvlJc w:val="left"/>
      <w:pPr>
        <w:ind w:left="2754" w:hanging="284"/>
      </w:pPr>
      <w:rPr>
        <w:rFonts w:hint="default"/>
      </w:rPr>
    </w:lvl>
    <w:lvl w:ilvl="5" w:tplc="65A846CA">
      <w:numFmt w:val="bullet"/>
      <w:lvlText w:val="•"/>
      <w:lvlJc w:val="left"/>
      <w:pPr>
        <w:ind w:left="3492" w:hanging="284"/>
      </w:pPr>
      <w:rPr>
        <w:rFonts w:hint="default"/>
      </w:rPr>
    </w:lvl>
    <w:lvl w:ilvl="6" w:tplc="4A2E299C">
      <w:numFmt w:val="bullet"/>
      <w:lvlText w:val="•"/>
      <w:lvlJc w:val="left"/>
      <w:pPr>
        <w:ind w:left="4231" w:hanging="284"/>
      </w:pPr>
      <w:rPr>
        <w:rFonts w:hint="default"/>
      </w:rPr>
    </w:lvl>
    <w:lvl w:ilvl="7" w:tplc="CF160BE6">
      <w:numFmt w:val="bullet"/>
      <w:lvlText w:val="•"/>
      <w:lvlJc w:val="left"/>
      <w:pPr>
        <w:ind w:left="4969" w:hanging="284"/>
      </w:pPr>
      <w:rPr>
        <w:rFonts w:hint="default"/>
      </w:rPr>
    </w:lvl>
    <w:lvl w:ilvl="8" w:tplc="D4A08EBA">
      <w:numFmt w:val="bullet"/>
      <w:lvlText w:val="•"/>
      <w:lvlJc w:val="left"/>
      <w:pPr>
        <w:ind w:left="5707" w:hanging="284"/>
      </w:pPr>
      <w:rPr>
        <w:rFonts w:hint="default"/>
      </w:rPr>
    </w:lvl>
  </w:abstractNum>
  <w:abstractNum w:abstractNumId="63">
    <w:nsid w:val="1B6A6866"/>
    <w:multiLevelType w:val="hybridMultilevel"/>
    <w:tmpl w:val="983A75CA"/>
    <w:lvl w:ilvl="0" w:tplc="518A74DC">
      <w:numFmt w:val="bullet"/>
      <w:lvlText w:val="•"/>
      <w:lvlJc w:val="left"/>
      <w:pPr>
        <w:ind w:left="56" w:hanging="260"/>
      </w:pPr>
      <w:rPr>
        <w:rFonts w:ascii="Cambria" w:eastAsia="Cambria" w:hAnsi="Cambria" w:cs="Cambria" w:hint="default"/>
        <w:color w:val="231F20"/>
        <w:spacing w:val="-12"/>
        <w:w w:val="100"/>
        <w:sz w:val="20"/>
        <w:szCs w:val="20"/>
      </w:rPr>
    </w:lvl>
    <w:lvl w:ilvl="1" w:tplc="971801B0">
      <w:numFmt w:val="bullet"/>
      <w:lvlText w:val="•"/>
      <w:lvlJc w:val="left"/>
      <w:pPr>
        <w:ind w:left="378" w:hanging="260"/>
      </w:pPr>
      <w:rPr>
        <w:rFonts w:hint="default"/>
      </w:rPr>
    </w:lvl>
    <w:lvl w:ilvl="2" w:tplc="3524EDF0">
      <w:numFmt w:val="bullet"/>
      <w:lvlText w:val="•"/>
      <w:lvlJc w:val="left"/>
      <w:pPr>
        <w:ind w:left="697" w:hanging="260"/>
      </w:pPr>
      <w:rPr>
        <w:rFonts w:hint="default"/>
      </w:rPr>
    </w:lvl>
    <w:lvl w:ilvl="3" w:tplc="98240D08">
      <w:numFmt w:val="bullet"/>
      <w:lvlText w:val="•"/>
      <w:lvlJc w:val="left"/>
      <w:pPr>
        <w:ind w:left="1015" w:hanging="260"/>
      </w:pPr>
      <w:rPr>
        <w:rFonts w:hint="default"/>
      </w:rPr>
    </w:lvl>
    <w:lvl w:ilvl="4" w:tplc="51AEF34E">
      <w:numFmt w:val="bullet"/>
      <w:lvlText w:val="•"/>
      <w:lvlJc w:val="left"/>
      <w:pPr>
        <w:ind w:left="1334" w:hanging="260"/>
      </w:pPr>
      <w:rPr>
        <w:rFonts w:hint="default"/>
      </w:rPr>
    </w:lvl>
    <w:lvl w:ilvl="5" w:tplc="813C5496">
      <w:numFmt w:val="bullet"/>
      <w:lvlText w:val="•"/>
      <w:lvlJc w:val="left"/>
      <w:pPr>
        <w:ind w:left="1652" w:hanging="260"/>
      </w:pPr>
      <w:rPr>
        <w:rFonts w:hint="default"/>
      </w:rPr>
    </w:lvl>
    <w:lvl w:ilvl="6" w:tplc="6986B4B8">
      <w:numFmt w:val="bullet"/>
      <w:lvlText w:val="•"/>
      <w:lvlJc w:val="left"/>
      <w:pPr>
        <w:ind w:left="1971" w:hanging="260"/>
      </w:pPr>
      <w:rPr>
        <w:rFonts w:hint="default"/>
      </w:rPr>
    </w:lvl>
    <w:lvl w:ilvl="7" w:tplc="A54A88A0">
      <w:numFmt w:val="bullet"/>
      <w:lvlText w:val="•"/>
      <w:lvlJc w:val="left"/>
      <w:pPr>
        <w:ind w:left="2289" w:hanging="260"/>
      </w:pPr>
      <w:rPr>
        <w:rFonts w:hint="default"/>
      </w:rPr>
    </w:lvl>
    <w:lvl w:ilvl="8" w:tplc="C47A2248">
      <w:numFmt w:val="bullet"/>
      <w:lvlText w:val="•"/>
      <w:lvlJc w:val="left"/>
      <w:pPr>
        <w:ind w:left="2608" w:hanging="260"/>
      </w:pPr>
      <w:rPr>
        <w:rFonts w:hint="default"/>
      </w:rPr>
    </w:lvl>
  </w:abstractNum>
  <w:abstractNum w:abstractNumId="64">
    <w:nsid w:val="1C023BFB"/>
    <w:multiLevelType w:val="multilevel"/>
    <w:tmpl w:val="9104AE36"/>
    <w:lvl w:ilvl="0">
      <w:start w:val="8"/>
      <w:numFmt w:val="decimal"/>
      <w:lvlText w:val="%1"/>
      <w:lvlJc w:val="left"/>
      <w:pPr>
        <w:ind w:left="1382" w:hanging="565"/>
        <w:jc w:val="left"/>
      </w:pPr>
      <w:rPr>
        <w:rFonts w:hint="default"/>
      </w:rPr>
    </w:lvl>
    <w:lvl w:ilvl="1">
      <w:start w:val="2"/>
      <w:numFmt w:val="decimal"/>
      <w:lvlText w:val="%1.%2"/>
      <w:lvlJc w:val="left"/>
      <w:pPr>
        <w:ind w:left="1382" w:hanging="565"/>
        <w:jc w:val="left"/>
      </w:pPr>
      <w:rPr>
        <w:rFonts w:hint="default"/>
      </w:rPr>
    </w:lvl>
    <w:lvl w:ilvl="2">
      <w:start w:val="3"/>
      <w:numFmt w:val="decimal"/>
      <w:lvlText w:val="%1.%2.%3."/>
      <w:lvlJc w:val="left"/>
      <w:pPr>
        <w:ind w:left="1382" w:hanging="565"/>
        <w:jc w:val="right"/>
      </w:pPr>
      <w:rPr>
        <w:rFonts w:ascii="Cambria" w:eastAsia="Cambria" w:hAnsi="Cambria" w:cs="Cambria" w:hint="default"/>
        <w:b/>
        <w:bCs/>
        <w:color w:val="231F20"/>
        <w:spacing w:val="-1"/>
        <w:w w:val="100"/>
        <w:sz w:val="21"/>
        <w:szCs w:val="21"/>
      </w:rPr>
    </w:lvl>
    <w:lvl w:ilvl="3">
      <w:numFmt w:val="bullet"/>
      <w:lvlText w:val="•"/>
      <w:lvlJc w:val="left"/>
      <w:pPr>
        <w:ind w:left="3121" w:hanging="565"/>
      </w:pPr>
      <w:rPr>
        <w:rFonts w:hint="default"/>
      </w:rPr>
    </w:lvl>
    <w:lvl w:ilvl="4">
      <w:numFmt w:val="bullet"/>
      <w:lvlText w:val="•"/>
      <w:lvlJc w:val="left"/>
      <w:pPr>
        <w:ind w:left="3701" w:hanging="565"/>
      </w:pPr>
      <w:rPr>
        <w:rFonts w:hint="default"/>
      </w:rPr>
    </w:lvl>
    <w:lvl w:ilvl="5">
      <w:numFmt w:val="bullet"/>
      <w:lvlText w:val="•"/>
      <w:lvlJc w:val="left"/>
      <w:pPr>
        <w:ind w:left="4281" w:hanging="565"/>
      </w:pPr>
      <w:rPr>
        <w:rFonts w:hint="default"/>
      </w:rPr>
    </w:lvl>
    <w:lvl w:ilvl="6">
      <w:numFmt w:val="bullet"/>
      <w:lvlText w:val="•"/>
      <w:lvlJc w:val="left"/>
      <w:pPr>
        <w:ind w:left="4862" w:hanging="565"/>
      </w:pPr>
      <w:rPr>
        <w:rFonts w:hint="default"/>
      </w:rPr>
    </w:lvl>
    <w:lvl w:ilvl="7">
      <w:numFmt w:val="bullet"/>
      <w:lvlText w:val="•"/>
      <w:lvlJc w:val="left"/>
      <w:pPr>
        <w:ind w:left="5442" w:hanging="565"/>
      </w:pPr>
      <w:rPr>
        <w:rFonts w:hint="default"/>
      </w:rPr>
    </w:lvl>
    <w:lvl w:ilvl="8">
      <w:numFmt w:val="bullet"/>
      <w:lvlText w:val="•"/>
      <w:lvlJc w:val="left"/>
      <w:pPr>
        <w:ind w:left="6023" w:hanging="565"/>
      </w:pPr>
      <w:rPr>
        <w:rFonts w:hint="default"/>
      </w:rPr>
    </w:lvl>
  </w:abstractNum>
  <w:abstractNum w:abstractNumId="65">
    <w:nsid w:val="1C274847"/>
    <w:multiLevelType w:val="hybridMultilevel"/>
    <w:tmpl w:val="24542B92"/>
    <w:lvl w:ilvl="0" w:tplc="DD8AA268">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11DECABE">
      <w:numFmt w:val="bullet"/>
      <w:lvlText w:val="•"/>
      <w:lvlJc w:val="left"/>
      <w:pPr>
        <w:ind w:left="1204" w:hanging="284"/>
      </w:pPr>
      <w:rPr>
        <w:rFonts w:hint="default"/>
      </w:rPr>
    </w:lvl>
    <w:lvl w:ilvl="2" w:tplc="7A188BB8">
      <w:numFmt w:val="bullet"/>
      <w:lvlText w:val="•"/>
      <w:lvlJc w:val="left"/>
      <w:pPr>
        <w:ind w:left="1868" w:hanging="284"/>
      </w:pPr>
      <w:rPr>
        <w:rFonts w:hint="default"/>
      </w:rPr>
    </w:lvl>
    <w:lvl w:ilvl="3" w:tplc="8054A6CC">
      <w:numFmt w:val="bullet"/>
      <w:lvlText w:val="•"/>
      <w:lvlJc w:val="left"/>
      <w:pPr>
        <w:ind w:left="2533" w:hanging="284"/>
      </w:pPr>
      <w:rPr>
        <w:rFonts w:hint="default"/>
      </w:rPr>
    </w:lvl>
    <w:lvl w:ilvl="4" w:tplc="5594636E">
      <w:numFmt w:val="bullet"/>
      <w:lvlText w:val="•"/>
      <w:lvlJc w:val="left"/>
      <w:pPr>
        <w:ind w:left="3197" w:hanging="284"/>
      </w:pPr>
      <w:rPr>
        <w:rFonts w:hint="default"/>
      </w:rPr>
    </w:lvl>
    <w:lvl w:ilvl="5" w:tplc="EC5C123C">
      <w:numFmt w:val="bullet"/>
      <w:lvlText w:val="•"/>
      <w:lvlJc w:val="left"/>
      <w:pPr>
        <w:ind w:left="3861" w:hanging="284"/>
      </w:pPr>
      <w:rPr>
        <w:rFonts w:hint="default"/>
      </w:rPr>
    </w:lvl>
    <w:lvl w:ilvl="6" w:tplc="CC5C825A">
      <w:numFmt w:val="bullet"/>
      <w:lvlText w:val="•"/>
      <w:lvlJc w:val="left"/>
      <w:pPr>
        <w:ind w:left="4526" w:hanging="284"/>
      </w:pPr>
      <w:rPr>
        <w:rFonts w:hint="default"/>
      </w:rPr>
    </w:lvl>
    <w:lvl w:ilvl="7" w:tplc="5E822DFA">
      <w:numFmt w:val="bullet"/>
      <w:lvlText w:val="•"/>
      <w:lvlJc w:val="left"/>
      <w:pPr>
        <w:ind w:left="5190" w:hanging="284"/>
      </w:pPr>
      <w:rPr>
        <w:rFonts w:hint="default"/>
      </w:rPr>
    </w:lvl>
    <w:lvl w:ilvl="8" w:tplc="30408BB8">
      <w:numFmt w:val="bullet"/>
      <w:lvlText w:val="•"/>
      <w:lvlJc w:val="left"/>
      <w:pPr>
        <w:ind w:left="5855" w:hanging="284"/>
      </w:pPr>
      <w:rPr>
        <w:rFonts w:hint="default"/>
      </w:rPr>
    </w:lvl>
  </w:abstractNum>
  <w:abstractNum w:abstractNumId="66">
    <w:nsid w:val="1CA34258"/>
    <w:multiLevelType w:val="hybridMultilevel"/>
    <w:tmpl w:val="FE50D03C"/>
    <w:lvl w:ilvl="0" w:tplc="3084871C">
      <w:start w:val="1"/>
      <w:numFmt w:val="decimal"/>
      <w:lvlText w:val="%1."/>
      <w:lvlJc w:val="left"/>
      <w:pPr>
        <w:ind w:left="533" w:hanging="284"/>
        <w:jc w:val="left"/>
      </w:pPr>
      <w:rPr>
        <w:rFonts w:ascii="Cambria" w:eastAsia="Cambria" w:hAnsi="Cambria" w:cs="Cambria" w:hint="default"/>
        <w:color w:val="231F20"/>
        <w:spacing w:val="-17"/>
        <w:w w:val="100"/>
        <w:sz w:val="21"/>
        <w:szCs w:val="21"/>
      </w:rPr>
    </w:lvl>
    <w:lvl w:ilvl="1" w:tplc="C2C49062">
      <w:numFmt w:val="bullet"/>
      <w:lvlText w:val="•"/>
      <w:lvlJc w:val="left"/>
      <w:pPr>
        <w:ind w:left="1204" w:hanging="284"/>
      </w:pPr>
      <w:rPr>
        <w:rFonts w:hint="default"/>
      </w:rPr>
    </w:lvl>
    <w:lvl w:ilvl="2" w:tplc="7F1A86D0">
      <w:numFmt w:val="bullet"/>
      <w:lvlText w:val="•"/>
      <w:lvlJc w:val="left"/>
      <w:pPr>
        <w:ind w:left="1868" w:hanging="284"/>
      </w:pPr>
      <w:rPr>
        <w:rFonts w:hint="default"/>
      </w:rPr>
    </w:lvl>
    <w:lvl w:ilvl="3" w:tplc="706AF6FE">
      <w:numFmt w:val="bullet"/>
      <w:lvlText w:val="•"/>
      <w:lvlJc w:val="left"/>
      <w:pPr>
        <w:ind w:left="2533" w:hanging="284"/>
      </w:pPr>
      <w:rPr>
        <w:rFonts w:hint="default"/>
      </w:rPr>
    </w:lvl>
    <w:lvl w:ilvl="4" w:tplc="1E9CC9C8">
      <w:numFmt w:val="bullet"/>
      <w:lvlText w:val="•"/>
      <w:lvlJc w:val="left"/>
      <w:pPr>
        <w:ind w:left="3197" w:hanging="284"/>
      </w:pPr>
      <w:rPr>
        <w:rFonts w:hint="default"/>
      </w:rPr>
    </w:lvl>
    <w:lvl w:ilvl="5" w:tplc="A39C177C">
      <w:numFmt w:val="bullet"/>
      <w:lvlText w:val="•"/>
      <w:lvlJc w:val="left"/>
      <w:pPr>
        <w:ind w:left="3861" w:hanging="284"/>
      </w:pPr>
      <w:rPr>
        <w:rFonts w:hint="default"/>
      </w:rPr>
    </w:lvl>
    <w:lvl w:ilvl="6" w:tplc="4CDE4E72">
      <w:numFmt w:val="bullet"/>
      <w:lvlText w:val="•"/>
      <w:lvlJc w:val="left"/>
      <w:pPr>
        <w:ind w:left="4526" w:hanging="284"/>
      </w:pPr>
      <w:rPr>
        <w:rFonts w:hint="default"/>
      </w:rPr>
    </w:lvl>
    <w:lvl w:ilvl="7" w:tplc="D7601638">
      <w:numFmt w:val="bullet"/>
      <w:lvlText w:val="•"/>
      <w:lvlJc w:val="left"/>
      <w:pPr>
        <w:ind w:left="5190" w:hanging="284"/>
      </w:pPr>
      <w:rPr>
        <w:rFonts w:hint="default"/>
      </w:rPr>
    </w:lvl>
    <w:lvl w:ilvl="8" w:tplc="C008A254">
      <w:numFmt w:val="bullet"/>
      <w:lvlText w:val="•"/>
      <w:lvlJc w:val="left"/>
      <w:pPr>
        <w:ind w:left="5855" w:hanging="284"/>
      </w:pPr>
      <w:rPr>
        <w:rFonts w:hint="default"/>
      </w:rPr>
    </w:lvl>
  </w:abstractNum>
  <w:abstractNum w:abstractNumId="67">
    <w:nsid w:val="1CF50CC2"/>
    <w:multiLevelType w:val="hybridMultilevel"/>
    <w:tmpl w:val="47982146"/>
    <w:lvl w:ilvl="0" w:tplc="ED6259B4">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D422B664">
      <w:numFmt w:val="bullet"/>
      <w:lvlText w:val="•"/>
      <w:lvlJc w:val="left"/>
      <w:pPr>
        <w:ind w:left="952" w:hanging="284"/>
      </w:pPr>
      <w:rPr>
        <w:rFonts w:hint="default"/>
      </w:rPr>
    </w:lvl>
    <w:lvl w:ilvl="2" w:tplc="C8BED1CE">
      <w:numFmt w:val="bullet"/>
      <w:lvlText w:val="•"/>
      <w:lvlJc w:val="left"/>
      <w:pPr>
        <w:ind w:left="1644" w:hanging="284"/>
      </w:pPr>
      <w:rPr>
        <w:rFonts w:hint="default"/>
      </w:rPr>
    </w:lvl>
    <w:lvl w:ilvl="3" w:tplc="63C4B154">
      <w:numFmt w:val="bullet"/>
      <w:lvlText w:val="•"/>
      <w:lvlJc w:val="left"/>
      <w:pPr>
        <w:ind w:left="2337" w:hanging="284"/>
      </w:pPr>
      <w:rPr>
        <w:rFonts w:hint="default"/>
      </w:rPr>
    </w:lvl>
    <w:lvl w:ilvl="4" w:tplc="82741658">
      <w:numFmt w:val="bullet"/>
      <w:lvlText w:val="•"/>
      <w:lvlJc w:val="left"/>
      <w:pPr>
        <w:ind w:left="3029" w:hanging="284"/>
      </w:pPr>
      <w:rPr>
        <w:rFonts w:hint="default"/>
      </w:rPr>
    </w:lvl>
    <w:lvl w:ilvl="5" w:tplc="73642AAE">
      <w:numFmt w:val="bullet"/>
      <w:lvlText w:val="•"/>
      <w:lvlJc w:val="left"/>
      <w:pPr>
        <w:ind w:left="3721" w:hanging="284"/>
      </w:pPr>
      <w:rPr>
        <w:rFonts w:hint="default"/>
      </w:rPr>
    </w:lvl>
    <w:lvl w:ilvl="6" w:tplc="CAD600DE">
      <w:numFmt w:val="bullet"/>
      <w:lvlText w:val="•"/>
      <w:lvlJc w:val="left"/>
      <w:pPr>
        <w:ind w:left="4414" w:hanging="284"/>
      </w:pPr>
      <w:rPr>
        <w:rFonts w:hint="default"/>
      </w:rPr>
    </w:lvl>
    <w:lvl w:ilvl="7" w:tplc="949E1DF4">
      <w:numFmt w:val="bullet"/>
      <w:lvlText w:val="•"/>
      <w:lvlJc w:val="left"/>
      <w:pPr>
        <w:ind w:left="5106" w:hanging="284"/>
      </w:pPr>
      <w:rPr>
        <w:rFonts w:hint="default"/>
      </w:rPr>
    </w:lvl>
    <w:lvl w:ilvl="8" w:tplc="83BAFEEC">
      <w:numFmt w:val="bullet"/>
      <w:lvlText w:val="•"/>
      <w:lvlJc w:val="left"/>
      <w:pPr>
        <w:ind w:left="5799" w:hanging="284"/>
      </w:pPr>
      <w:rPr>
        <w:rFonts w:hint="default"/>
      </w:rPr>
    </w:lvl>
  </w:abstractNum>
  <w:abstractNum w:abstractNumId="68">
    <w:nsid w:val="1D39501F"/>
    <w:multiLevelType w:val="hybridMultilevel"/>
    <w:tmpl w:val="1A8A9AD6"/>
    <w:lvl w:ilvl="0" w:tplc="9CA02340">
      <w:numFmt w:val="bullet"/>
      <w:lvlText w:val="•"/>
      <w:lvlJc w:val="left"/>
      <w:pPr>
        <w:ind w:left="56" w:hanging="260"/>
      </w:pPr>
      <w:rPr>
        <w:rFonts w:ascii="Cambria" w:eastAsia="Cambria" w:hAnsi="Cambria" w:cs="Cambria" w:hint="default"/>
        <w:color w:val="231F20"/>
        <w:spacing w:val="-5"/>
        <w:w w:val="100"/>
        <w:sz w:val="20"/>
        <w:szCs w:val="20"/>
      </w:rPr>
    </w:lvl>
    <w:lvl w:ilvl="1" w:tplc="B69E8492">
      <w:numFmt w:val="bullet"/>
      <w:lvlText w:val="•"/>
      <w:lvlJc w:val="left"/>
      <w:pPr>
        <w:ind w:left="378" w:hanging="260"/>
      </w:pPr>
      <w:rPr>
        <w:rFonts w:hint="default"/>
      </w:rPr>
    </w:lvl>
    <w:lvl w:ilvl="2" w:tplc="7D188686">
      <w:numFmt w:val="bullet"/>
      <w:lvlText w:val="•"/>
      <w:lvlJc w:val="left"/>
      <w:pPr>
        <w:ind w:left="697" w:hanging="260"/>
      </w:pPr>
      <w:rPr>
        <w:rFonts w:hint="default"/>
      </w:rPr>
    </w:lvl>
    <w:lvl w:ilvl="3" w:tplc="4D24D0A6">
      <w:numFmt w:val="bullet"/>
      <w:lvlText w:val="•"/>
      <w:lvlJc w:val="left"/>
      <w:pPr>
        <w:ind w:left="1015" w:hanging="260"/>
      </w:pPr>
      <w:rPr>
        <w:rFonts w:hint="default"/>
      </w:rPr>
    </w:lvl>
    <w:lvl w:ilvl="4" w:tplc="0C72D696">
      <w:numFmt w:val="bullet"/>
      <w:lvlText w:val="•"/>
      <w:lvlJc w:val="left"/>
      <w:pPr>
        <w:ind w:left="1334" w:hanging="260"/>
      </w:pPr>
      <w:rPr>
        <w:rFonts w:hint="default"/>
      </w:rPr>
    </w:lvl>
    <w:lvl w:ilvl="5" w:tplc="DE249FAA">
      <w:numFmt w:val="bullet"/>
      <w:lvlText w:val="•"/>
      <w:lvlJc w:val="left"/>
      <w:pPr>
        <w:ind w:left="1652" w:hanging="260"/>
      </w:pPr>
      <w:rPr>
        <w:rFonts w:hint="default"/>
      </w:rPr>
    </w:lvl>
    <w:lvl w:ilvl="6" w:tplc="EDB02E96">
      <w:numFmt w:val="bullet"/>
      <w:lvlText w:val="•"/>
      <w:lvlJc w:val="left"/>
      <w:pPr>
        <w:ind w:left="1971" w:hanging="260"/>
      </w:pPr>
      <w:rPr>
        <w:rFonts w:hint="default"/>
      </w:rPr>
    </w:lvl>
    <w:lvl w:ilvl="7" w:tplc="BE72AAB4">
      <w:numFmt w:val="bullet"/>
      <w:lvlText w:val="•"/>
      <w:lvlJc w:val="left"/>
      <w:pPr>
        <w:ind w:left="2289" w:hanging="260"/>
      </w:pPr>
      <w:rPr>
        <w:rFonts w:hint="default"/>
      </w:rPr>
    </w:lvl>
    <w:lvl w:ilvl="8" w:tplc="2E086514">
      <w:numFmt w:val="bullet"/>
      <w:lvlText w:val="•"/>
      <w:lvlJc w:val="left"/>
      <w:pPr>
        <w:ind w:left="2608" w:hanging="260"/>
      </w:pPr>
      <w:rPr>
        <w:rFonts w:hint="default"/>
      </w:rPr>
    </w:lvl>
  </w:abstractNum>
  <w:abstractNum w:abstractNumId="69">
    <w:nsid w:val="1D3B1D13"/>
    <w:multiLevelType w:val="hybridMultilevel"/>
    <w:tmpl w:val="10BAFA0E"/>
    <w:lvl w:ilvl="0" w:tplc="792C23E2">
      <w:start w:val="1"/>
      <w:numFmt w:val="decimal"/>
      <w:lvlText w:val="%1)"/>
      <w:lvlJc w:val="left"/>
      <w:pPr>
        <w:ind w:left="250" w:hanging="284"/>
        <w:jc w:val="left"/>
      </w:pPr>
      <w:rPr>
        <w:rFonts w:ascii="Cambria" w:eastAsia="Cambria" w:hAnsi="Cambria" w:cs="Cambria" w:hint="default"/>
        <w:color w:val="231F20"/>
        <w:spacing w:val="-12"/>
        <w:w w:val="100"/>
        <w:sz w:val="21"/>
        <w:szCs w:val="21"/>
      </w:rPr>
    </w:lvl>
    <w:lvl w:ilvl="1" w:tplc="FD241682">
      <w:start w:val="1"/>
      <w:numFmt w:val="decimal"/>
      <w:lvlText w:val="%2."/>
      <w:lvlJc w:val="left"/>
      <w:pPr>
        <w:ind w:left="533" w:hanging="284"/>
        <w:jc w:val="right"/>
      </w:pPr>
      <w:rPr>
        <w:rFonts w:ascii="Cambria" w:eastAsia="Cambria" w:hAnsi="Cambria" w:cs="Cambria" w:hint="default"/>
        <w:color w:val="231F20"/>
        <w:spacing w:val="-15"/>
        <w:w w:val="100"/>
        <w:sz w:val="21"/>
        <w:szCs w:val="21"/>
      </w:rPr>
    </w:lvl>
    <w:lvl w:ilvl="2" w:tplc="F324510E">
      <w:numFmt w:val="bullet"/>
      <w:lvlText w:val="•"/>
      <w:lvlJc w:val="left"/>
      <w:pPr>
        <w:ind w:left="1278" w:hanging="284"/>
      </w:pPr>
      <w:rPr>
        <w:rFonts w:hint="default"/>
      </w:rPr>
    </w:lvl>
    <w:lvl w:ilvl="3" w:tplc="1A7EB35C">
      <w:numFmt w:val="bullet"/>
      <w:lvlText w:val="•"/>
      <w:lvlJc w:val="left"/>
      <w:pPr>
        <w:ind w:left="2016" w:hanging="284"/>
      </w:pPr>
      <w:rPr>
        <w:rFonts w:hint="default"/>
      </w:rPr>
    </w:lvl>
    <w:lvl w:ilvl="4" w:tplc="882EBF1C">
      <w:numFmt w:val="bullet"/>
      <w:lvlText w:val="•"/>
      <w:lvlJc w:val="left"/>
      <w:pPr>
        <w:ind w:left="2754" w:hanging="284"/>
      </w:pPr>
      <w:rPr>
        <w:rFonts w:hint="default"/>
      </w:rPr>
    </w:lvl>
    <w:lvl w:ilvl="5" w:tplc="0F68765E">
      <w:numFmt w:val="bullet"/>
      <w:lvlText w:val="•"/>
      <w:lvlJc w:val="left"/>
      <w:pPr>
        <w:ind w:left="3492" w:hanging="284"/>
      </w:pPr>
      <w:rPr>
        <w:rFonts w:hint="default"/>
      </w:rPr>
    </w:lvl>
    <w:lvl w:ilvl="6" w:tplc="73DC203A">
      <w:numFmt w:val="bullet"/>
      <w:lvlText w:val="•"/>
      <w:lvlJc w:val="left"/>
      <w:pPr>
        <w:ind w:left="4231" w:hanging="284"/>
      </w:pPr>
      <w:rPr>
        <w:rFonts w:hint="default"/>
      </w:rPr>
    </w:lvl>
    <w:lvl w:ilvl="7" w:tplc="D8B8AC4A">
      <w:numFmt w:val="bullet"/>
      <w:lvlText w:val="•"/>
      <w:lvlJc w:val="left"/>
      <w:pPr>
        <w:ind w:left="4969" w:hanging="284"/>
      </w:pPr>
      <w:rPr>
        <w:rFonts w:hint="default"/>
      </w:rPr>
    </w:lvl>
    <w:lvl w:ilvl="8" w:tplc="0336781E">
      <w:numFmt w:val="bullet"/>
      <w:lvlText w:val="•"/>
      <w:lvlJc w:val="left"/>
      <w:pPr>
        <w:ind w:left="5707" w:hanging="284"/>
      </w:pPr>
      <w:rPr>
        <w:rFonts w:hint="default"/>
      </w:rPr>
    </w:lvl>
  </w:abstractNum>
  <w:abstractNum w:abstractNumId="70">
    <w:nsid w:val="1E776107"/>
    <w:multiLevelType w:val="hybridMultilevel"/>
    <w:tmpl w:val="03FAF9CA"/>
    <w:lvl w:ilvl="0" w:tplc="3FFC0012">
      <w:numFmt w:val="bullet"/>
      <w:lvlText w:val="–"/>
      <w:lvlJc w:val="left"/>
      <w:pPr>
        <w:ind w:left="250" w:hanging="284"/>
      </w:pPr>
      <w:rPr>
        <w:rFonts w:ascii="Cambria" w:eastAsia="Cambria" w:hAnsi="Cambria" w:cs="Cambria" w:hint="default"/>
        <w:color w:val="231F20"/>
        <w:spacing w:val="-9"/>
        <w:w w:val="100"/>
        <w:sz w:val="21"/>
        <w:szCs w:val="21"/>
      </w:rPr>
    </w:lvl>
    <w:lvl w:ilvl="1" w:tplc="1C9E3838">
      <w:numFmt w:val="bullet"/>
      <w:lvlText w:val="•"/>
      <w:lvlJc w:val="left"/>
      <w:pPr>
        <w:ind w:left="952" w:hanging="284"/>
      </w:pPr>
      <w:rPr>
        <w:rFonts w:hint="default"/>
      </w:rPr>
    </w:lvl>
    <w:lvl w:ilvl="2" w:tplc="4114F976">
      <w:numFmt w:val="bullet"/>
      <w:lvlText w:val="•"/>
      <w:lvlJc w:val="left"/>
      <w:pPr>
        <w:ind w:left="1644" w:hanging="284"/>
      </w:pPr>
      <w:rPr>
        <w:rFonts w:hint="default"/>
      </w:rPr>
    </w:lvl>
    <w:lvl w:ilvl="3" w:tplc="DB2A7FAA">
      <w:numFmt w:val="bullet"/>
      <w:lvlText w:val="•"/>
      <w:lvlJc w:val="left"/>
      <w:pPr>
        <w:ind w:left="2337" w:hanging="284"/>
      </w:pPr>
      <w:rPr>
        <w:rFonts w:hint="default"/>
      </w:rPr>
    </w:lvl>
    <w:lvl w:ilvl="4" w:tplc="254E9138">
      <w:numFmt w:val="bullet"/>
      <w:lvlText w:val="•"/>
      <w:lvlJc w:val="left"/>
      <w:pPr>
        <w:ind w:left="3029" w:hanging="284"/>
      </w:pPr>
      <w:rPr>
        <w:rFonts w:hint="default"/>
      </w:rPr>
    </w:lvl>
    <w:lvl w:ilvl="5" w:tplc="781C6E1A">
      <w:numFmt w:val="bullet"/>
      <w:lvlText w:val="•"/>
      <w:lvlJc w:val="left"/>
      <w:pPr>
        <w:ind w:left="3721" w:hanging="284"/>
      </w:pPr>
      <w:rPr>
        <w:rFonts w:hint="default"/>
      </w:rPr>
    </w:lvl>
    <w:lvl w:ilvl="6" w:tplc="7E46D968">
      <w:numFmt w:val="bullet"/>
      <w:lvlText w:val="•"/>
      <w:lvlJc w:val="left"/>
      <w:pPr>
        <w:ind w:left="4414" w:hanging="284"/>
      </w:pPr>
      <w:rPr>
        <w:rFonts w:hint="default"/>
      </w:rPr>
    </w:lvl>
    <w:lvl w:ilvl="7" w:tplc="EFD67E5A">
      <w:numFmt w:val="bullet"/>
      <w:lvlText w:val="•"/>
      <w:lvlJc w:val="left"/>
      <w:pPr>
        <w:ind w:left="5106" w:hanging="284"/>
      </w:pPr>
      <w:rPr>
        <w:rFonts w:hint="default"/>
      </w:rPr>
    </w:lvl>
    <w:lvl w:ilvl="8" w:tplc="E940EBA2">
      <w:numFmt w:val="bullet"/>
      <w:lvlText w:val="•"/>
      <w:lvlJc w:val="left"/>
      <w:pPr>
        <w:ind w:left="5799" w:hanging="284"/>
      </w:pPr>
      <w:rPr>
        <w:rFonts w:hint="default"/>
      </w:rPr>
    </w:lvl>
  </w:abstractNum>
  <w:abstractNum w:abstractNumId="71">
    <w:nsid w:val="1E875263"/>
    <w:multiLevelType w:val="multilevel"/>
    <w:tmpl w:val="C0287732"/>
    <w:lvl w:ilvl="0">
      <w:start w:val="7"/>
      <w:numFmt w:val="decimal"/>
      <w:lvlText w:val="%1"/>
      <w:lvlJc w:val="left"/>
      <w:pPr>
        <w:ind w:left="1098" w:hanging="565"/>
        <w:jc w:val="left"/>
      </w:pPr>
      <w:rPr>
        <w:rFonts w:hint="default"/>
      </w:rPr>
    </w:lvl>
    <w:lvl w:ilvl="1">
      <w:start w:val="7"/>
      <w:numFmt w:val="decimal"/>
      <w:lvlText w:val="%1.%2"/>
      <w:lvlJc w:val="left"/>
      <w:pPr>
        <w:ind w:left="1098" w:hanging="565"/>
        <w:jc w:val="left"/>
      </w:pPr>
      <w:rPr>
        <w:rFonts w:hint="default"/>
      </w:rPr>
    </w:lvl>
    <w:lvl w:ilvl="2">
      <w:start w:val="2"/>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72">
    <w:nsid w:val="1EF13753"/>
    <w:multiLevelType w:val="hybridMultilevel"/>
    <w:tmpl w:val="78143630"/>
    <w:lvl w:ilvl="0" w:tplc="15D6012C">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2C307D84">
      <w:numFmt w:val="bullet"/>
      <w:lvlText w:val="•"/>
      <w:lvlJc w:val="left"/>
      <w:pPr>
        <w:ind w:left="1204" w:hanging="284"/>
      </w:pPr>
      <w:rPr>
        <w:rFonts w:hint="default"/>
      </w:rPr>
    </w:lvl>
    <w:lvl w:ilvl="2" w:tplc="A3826418">
      <w:numFmt w:val="bullet"/>
      <w:lvlText w:val="•"/>
      <w:lvlJc w:val="left"/>
      <w:pPr>
        <w:ind w:left="1868" w:hanging="284"/>
      </w:pPr>
      <w:rPr>
        <w:rFonts w:hint="default"/>
      </w:rPr>
    </w:lvl>
    <w:lvl w:ilvl="3" w:tplc="83CEEC3E">
      <w:numFmt w:val="bullet"/>
      <w:lvlText w:val="•"/>
      <w:lvlJc w:val="left"/>
      <w:pPr>
        <w:ind w:left="2533" w:hanging="284"/>
      </w:pPr>
      <w:rPr>
        <w:rFonts w:hint="default"/>
      </w:rPr>
    </w:lvl>
    <w:lvl w:ilvl="4" w:tplc="A8D2FA64">
      <w:numFmt w:val="bullet"/>
      <w:lvlText w:val="•"/>
      <w:lvlJc w:val="left"/>
      <w:pPr>
        <w:ind w:left="3197" w:hanging="284"/>
      </w:pPr>
      <w:rPr>
        <w:rFonts w:hint="default"/>
      </w:rPr>
    </w:lvl>
    <w:lvl w:ilvl="5" w:tplc="662E906C">
      <w:numFmt w:val="bullet"/>
      <w:lvlText w:val="•"/>
      <w:lvlJc w:val="left"/>
      <w:pPr>
        <w:ind w:left="3861" w:hanging="284"/>
      </w:pPr>
      <w:rPr>
        <w:rFonts w:hint="default"/>
      </w:rPr>
    </w:lvl>
    <w:lvl w:ilvl="6" w:tplc="158E5BF0">
      <w:numFmt w:val="bullet"/>
      <w:lvlText w:val="•"/>
      <w:lvlJc w:val="left"/>
      <w:pPr>
        <w:ind w:left="4526" w:hanging="284"/>
      </w:pPr>
      <w:rPr>
        <w:rFonts w:hint="default"/>
      </w:rPr>
    </w:lvl>
    <w:lvl w:ilvl="7" w:tplc="89202CD6">
      <w:numFmt w:val="bullet"/>
      <w:lvlText w:val="•"/>
      <w:lvlJc w:val="left"/>
      <w:pPr>
        <w:ind w:left="5190" w:hanging="284"/>
      </w:pPr>
      <w:rPr>
        <w:rFonts w:hint="default"/>
      </w:rPr>
    </w:lvl>
    <w:lvl w:ilvl="8" w:tplc="929E4080">
      <w:numFmt w:val="bullet"/>
      <w:lvlText w:val="•"/>
      <w:lvlJc w:val="left"/>
      <w:pPr>
        <w:ind w:left="5855" w:hanging="284"/>
      </w:pPr>
      <w:rPr>
        <w:rFonts w:hint="default"/>
      </w:rPr>
    </w:lvl>
  </w:abstractNum>
  <w:abstractNum w:abstractNumId="73">
    <w:nsid w:val="1F2F7C4E"/>
    <w:multiLevelType w:val="multilevel"/>
    <w:tmpl w:val="58D2F55E"/>
    <w:lvl w:ilvl="0">
      <w:start w:val="8"/>
      <w:numFmt w:val="decimal"/>
      <w:lvlText w:val="%1"/>
      <w:lvlJc w:val="left"/>
      <w:pPr>
        <w:ind w:left="533" w:hanging="565"/>
        <w:jc w:val="left"/>
      </w:pPr>
      <w:rPr>
        <w:rFonts w:hint="default"/>
      </w:rPr>
    </w:lvl>
    <w:lvl w:ilvl="1">
      <w:start w:val="5"/>
      <w:numFmt w:val="decimal"/>
      <w:lvlText w:val="%1.%2"/>
      <w:lvlJc w:val="left"/>
      <w:pPr>
        <w:ind w:left="533" w:hanging="565"/>
        <w:jc w:val="left"/>
      </w:pPr>
      <w:rPr>
        <w:rFonts w:hint="default"/>
      </w:rPr>
    </w:lvl>
    <w:lvl w:ilvl="2">
      <w:start w:val="2"/>
      <w:numFmt w:val="decimal"/>
      <w:lvlText w:val="%1.%2.%3."/>
      <w:lvlJc w:val="left"/>
      <w:pPr>
        <w:ind w:left="533" w:hanging="565"/>
        <w:jc w:val="right"/>
      </w:pPr>
      <w:rPr>
        <w:rFonts w:ascii="Cambria" w:eastAsia="Cambria" w:hAnsi="Cambria" w:cs="Cambria" w:hint="default"/>
        <w:b/>
        <w:bCs/>
        <w:color w:val="231F20"/>
        <w:spacing w:val="-1"/>
        <w:w w:val="100"/>
        <w:sz w:val="21"/>
        <w:szCs w:val="21"/>
      </w:rPr>
    </w:lvl>
    <w:lvl w:ilvl="3">
      <w:numFmt w:val="bullet"/>
      <w:lvlText w:val="•"/>
      <w:lvlJc w:val="left"/>
      <w:pPr>
        <w:ind w:left="2533" w:hanging="565"/>
      </w:pPr>
      <w:rPr>
        <w:rFonts w:hint="default"/>
      </w:rPr>
    </w:lvl>
    <w:lvl w:ilvl="4">
      <w:numFmt w:val="bullet"/>
      <w:lvlText w:val="•"/>
      <w:lvlJc w:val="left"/>
      <w:pPr>
        <w:ind w:left="3197" w:hanging="565"/>
      </w:pPr>
      <w:rPr>
        <w:rFonts w:hint="default"/>
      </w:rPr>
    </w:lvl>
    <w:lvl w:ilvl="5">
      <w:numFmt w:val="bullet"/>
      <w:lvlText w:val="•"/>
      <w:lvlJc w:val="left"/>
      <w:pPr>
        <w:ind w:left="3861" w:hanging="565"/>
      </w:pPr>
      <w:rPr>
        <w:rFonts w:hint="default"/>
      </w:rPr>
    </w:lvl>
    <w:lvl w:ilvl="6">
      <w:numFmt w:val="bullet"/>
      <w:lvlText w:val="•"/>
      <w:lvlJc w:val="left"/>
      <w:pPr>
        <w:ind w:left="4526" w:hanging="565"/>
      </w:pPr>
      <w:rPr>
        <w:rFonts w:hint="default"/>
      </w:rPr>
    </w:lvl>
    <w:lvl w:ilvl="7">
      <w:numFmt w:val="bullet"/>
      <w:lvlText w:val="•"/>
      <w:lvlJc w:val="left"/>
      <w:pPr>
        <w:ind w:left="5190" w:hanging="565"/>
      </w:pPr>
      <w:rPr>
        <w:rFonts w:hint="default"/>
      </w:rPr>
    </w:lvl>
    <w:lvl w:ilvl="8">
      <w:numFmt w:val="bullet"/>
      <w:lvlText w:val="•"/>
      <w:lvlJc w:val="left"/>
      <w:pPr>
        <w:ind w:left="5855" w:hanging="565"/>
      </w:pPr>
      <w:rPr>
        <w:rFonts w:hint="default"/>
      </w:rPr>
    </w:lvl>
  </w:abstractNum>
  <w:abstractNum w:abstractNumId="74">
    <w:nsid w:val="1F7E5D0E"/>
    <w:multiLevelType w:val="hybridMultilevel"/>
    <w:tmpl w:val="7D968108"/>
    <w:lvl w:ilvl="0" w:tplc="B4C8E4AE">
      <w:numFmt w:val="bullet"/>
      <w:lvlText w:val="–"/>
      <w:lvlJc w:val="left"/>
      <w:pPr>
        <w:ind w:left="250" w:hanging="284"/>
      </w:pPr>
      <w:rPr>
        <w:rFonts w:ascii="Cambria" w:eastAsia="Cambria" w:hAnsi="Cambria" w:cs="Cambria" w:hint="default"/>
        <w:i/>
        <w:color w:val="231F20"/>
        <w:spacing w:val="-13"/>
        <w:w w:val="100"/>
        <w:sz w:val="21"/>
        <w:szCs w:val="21"/>
      </w:rPr>
    </w:lvl>
    <w:lvl w:ilvl="1" w:tplc="742E781A">
      <w:numFmt w:val="bullet"/>
      <w:lvlText w:val="•"/>
      <w:lvlJc w:val="left"/>
      <w:pPr>
        <w:ind w:left="952" w:hanging="284"/>
      </w:pPr>
      <w:rPr>
        <w:rFonts w:hint="default"/>
      </w:rPr>
    </w:lvl>
    <w:lvl w:ilvl="2" w:tplc="FEE8C254">
      <w:numFmt w:val="bullet"/>
      <w:lvlText w:val="•"/>
      <w:lvlJc w:val="left"/>
      <w:pPr>
        <w:ind w:left="1644" w:hanging="284"/>
      </w:pPr>
      <w:rPr>
        <w:rFonts w:hint="default"/>
      </w:rPr>
    </w:lvl>
    <w:lvl w:ilvl="3" w:tplc="88E2C0A8">
      <w:numFmt w:val="bullet"/>
      <w:lvlText w:val="•"/>
      <w:lvlJc w:val="left"/>
      <w:pPr>
        <w:ind w:left="2337" w:hanging="284"/>
      </w:pPr>
      <w:rPr>
        <w:rFonts w:hint="default"/>
      </w:rPr>
    </w:lvl>
    <w:lvl w:ilvl="4" w:tplc="6A8629AC">
      <w:numFmt w:val="bullet"/>
      <w:lvlText w:val="•"/>
      <w:lvlJc w:val="left"/>
      <w:pPr>
        <w:ind w:left="3029" w:hanging="284"/>
      </w:pPr>
      <w:rPr>
        <w:rFonts w:hint="default"/>
      </w:rPr>
    </w:lvl>
    <w:lvl w:ilvl="5" w:tplc="24F0989E">
      <w:numFmt w:val="bullet"/>
      <w:lvlText w:val="•"/>
      <w:lvlJc w:val="left"/>
      <w:pPr>
        <w:ind w:left="3721" w:hanging="284"/>
      </w:pPr>
      <w:rPr>
        <w:rFonts w:hint="default"/>
      </w:rPr>
    </w:lvl>
    <w:lvl w:ilvl="6" w:tplc="6F524054">
      <w:numFmt w:val="bullet"/>
      <w:lvlText w:val="•"/>
      <w:lvlJc w:val="left"/>
      <w:pPr>
        <w:ind w:left="4414" w:hanging="284"/>
      </w:pPr>
      <w:rPr>
        <w:rFonts w:hint="default"/>
      </w:rPr>
    </w:lvl>
    <w:lvl w:ilvl="7" w:tplc="5548234C">
      <w:numFmt w:val="bullet"/>
      <w:lvlText w:val="•"/>
      <w:lvlJc w:val="left"/>
      <w:pPr>
        <w:ind w:left="5106" w:hanging="284"/>
      </w:pPr>
      <w:rPr>
        <w:rFonts w:hint="default"/>
      </w:rPr>
    </w:lvl>
    <w:lvl w:ilvl="8" w:tplc="6F00AD00">
      <w:numFmt w:val="bullet"/>
      <w:lvlText w:val="•"/>
      <w:lvlJc w:val="left"/>
      <w:pPr>
        <w:ind w:left="5799" w:hanging="284"/>
      </w:pPr>
      <w:rPr>
        <w:rFonts w:hint="default"/>
      </w:rPr>
    </w:lvl>
  </w:abstractNum>
  <w:abstractNum w:abstractNumId="75">
    <w:nsid w:val="1FE2503F"/>
    <w:multiLevelType w:val="hybridMultilevel"/>
    <w:tmpl w:val="AA7A84B0"/>
    <w:lvl w:ilvl="0" w:tplc="D30E5D9E">
      <w:start w:val="4"/>
      <w:numFmt w:val="decimal"/>
      <w:lvlText w:val="%1)"/>
      <w:lvlJc w:val="left"/>
      <w:pPr>
        <w:ind w:left="250" w:hanging="284"/>
        <w:jc w:val="left"/>
      </w:pPr>
      <w:rPr>
        <w:rFonts w:ascii="Cambria" w:eastAsia="Cambria" w:hAnsi="Cambria" w:cs="Cambria" w:hint="default"/>
        <w:color w:val="231F20"/>
        <w:spacing w:val="-13"/>
        <w:w w:val="100"/>
        <w:sz w:val="21"/>
        <w:szCs w:val="21"/>
      </w:rPr>
    </w:lvl>
    <w:lvl w:ilvl="1" w:tplc="C9F2E860">
      <w:numFmt w:val="bullet"/>
      <w:lvlText w:val="•"/>
      <w:lvlJc w:val="left"/>
      <w:pPr>
        <w:ind w:left="952" w:hanging="284"/>
      </w:pPr>
      <w:rPr>
        <w:rFonts w:hint="default"/>
      </w:rPr>
    </w:lvl>
    <w:lvl w:ilvl="2" w:tplc="2B1C4470">
      <w:numFmt w:val="bullet"/>
      <w:lvlText w:val="•"/>
      <w:lvlJc w:val="left"/>
      <w:pPr>
        <w:ind w:left="1644" w:hanging="284"/>
      </w:pPr>
      <w:rPr>
        <w:rFonts w:hint="default"/>
      </w:rPr>
    </w:lvl>
    <w:lvl w:ilvl="3" w:tplc="00DC4436">
      <w:numFmt w:val="bullet"/>
      <w:lvlText w:val="•"/>
      <w:lvlJc w:val="left"/>
      <w:pPr>
        <w:ind w:left="2337" w:hanging="284"/>
      </w:pPr>
      <w:rPr>
        <w:rFonts w:hint="default"/>
      </w:rPr>
    </w:lvl>
    <w:lvl w:ilvl="4" w:tplc="57722850">
      <w:numFmt w:val="bullet"/>
      <w:lvlText w:val="•"/>
      <w:lvlJc w:val="left"/>
      <w:pPr>
        <w:ind w:left="3029" w:hanging="284"/>
      </w:pPr>
      <w:rPr>
        <w:rFonts w:hint="default"/>
      </w:rPr>
    </w:lvl>
    <w:lvl w:ilvl="5" w:tplc="DE24B88A">
      <w:numFmt w:val="bullet"/>
      <w:lvlText w:val="•"/>
      <w:lvlJc w:val="left"/>
      <w:pPr>
        <w:ind w:left="3721" w:hanging="284"/>
      </w:pPr>
      <w:rPr>
        <w:rFonts w:hint="default"/>
      </w:rPr>
    </w:lvl>
    <w:lvl w:ilvl="6" w:tplc="0F6AA27A">
      <w:numFmt w:val="bullet"/>
      <w:lvlText w:val="•"/>
      <w:lvlJc w:val="left"/>
      <w:pPr>
        <w:ind w:left="4414" w:hanging="284"/>
      </w:pPr>
      <w:rPr>
        <w:rFonts w:hint="default"/>
      </w:rPr>
    </w:lvl>
    <w:lvl w:ilvl="7" w:tplc="C5D61550">
      <w:numFmt w:val="bullet"/>
      <w:lvlText w:val="•"/>
      <w:lvlJc w:val="left"/>
      <w:pPr>
        <w:ind w:left="5106" w:hanging="284"/>
      </w:pPr>
      <w:rPr>
        <w:rFonts w:hint="default"/>
      </w:rPr>
    </w:lvl>
    <w:lvl w:ilvl="8" w:tplc="F5C631E4">
      <w:numFmt w:val="bullet"/>
      <w:lvlText w:val="•"/>
      <w:lvlJc w:val="left"/>
      <w:pPr>
        <w:ind w:left="5799" w:hanging="284"/>
      </w:pPr>
      <w:rPr>
        <w:rFonts w:hint="default"/>
      </w:rPr>
    </w:lvl>
  </w:abstractNum>
  <w:abstractNum w:abstractNumId="76">
    <w:nsid w:val="20034BF2"/>
    <w:multiLevelType w:val="hybridMultilevel"/>
    <w:tmpl w:val="6C963D12"/>
    <w:lvl w:ilvl="0" w:tplc="28F0C764">
      <w:start w:val="1"/>
      <w:numFmt w:val="decimal"/>
      <w:lvlText w:val="%1)"/>
      <w:lvlJc w:val="left"/>
      <w:pPr>
        <w:ind w:left="250" w:hanging="284"/>
        <w:jc w:val="left"/>
      </w:pPr>
      <w:rPr>
        <w:rFonts w:ascii="Cambria" w:eastAsia="Cambria" w:hAnsi="Cambria" w:cs="Cambria" w:hint="default"/>
        <w:color w:val="231F20"/>
        <w:spacing w:val="-11"/>
        <w:w w:val="100"/>
        <w:sz w:val="21"/>
        <w:szCs w:val="21"/>
      </w:rPr>
    </w:lvl>
    <w:lvl w:ilvl="1" w:tplc="CD06E710">
      <w:numFmt w:val="bullet"/>
      <w:lvlText w:val="•"/>
      <w:lvlJc w:val="left"/>
      <w:pPr>
        <w:ind w:left="952" w:hanging="284"/>
      </w:pPr>
      <w:rPr>
        <w:rFonts w:hint="default"/>
      </w:rPr>
    </w:lvl>
    <w:lvl w:ilvl="2" w:tplc="138426B8">
      <w:numFmt w:val="bullet"/>
      <w:lvlText w:val="•"/>
      <w:lvlJc w:val="left"/>
      <w:pPr>
        <w:ind w:left="1644" w:hanging="284"/>
      </w:pPr>
      <w:rPr>
        <w:rFonts w:hint="default"/>
      </w:rPr>
    </w:lvl>
    <w:lvl w:ilvl="3" w:tplc="C8AC04C0">
      <w:numFmt w:val="bullet"/>
      <w:lvlText w:val="•"/>
      <w:lvlJc w:val="left"/>
      <w:pPr>
        <w:ind w:left="2337" w:hanging="284"/>
      </w:pPr>
      <w:rPr>
        <w:rFonts w:hint="default"/>
      </w:rPr>
    </w:lvl>
    <w:lvl w:ilvl="4" w:tplc="B22845CE">
      <w:numFmt w:val="bullet"/>
      <w:lvlText w:val="•"/>
      <w:lvlJc w:val="left"/>
      <w:pPr>
        <w:ind w:left="3029" w:hanging="284"/>
      </w:pPr>
      <w:rPr>
        <w:rFonts w:hint="default"/>
      </w:rPr>
    </w:lvl>
    <w:lvl w:ilvl="5" w:tplc="6A92DF4C">
      <w:numFmt w:val="bullet"/>
      <w:lvlText w:val="•"/>
      <w:lvlJc w:val="left"/>
      <w:pPr>
        <w:ind w:left="3721" w:hanging="284"/>
      </w:pPr>
      <w:rPr>
        <w:rFonts w:hint="default"/>
      </w:rPr>
    </w:lvl>
    <w:lvl w:ilvl="6" w:tplc="1C80B138">
      <w:numFmt w:val="bullet"/>
      <w:lvlText w:val="•"/>
      <w:lvlJc w:val="left"/>
      <w:pPr>
        <w:ind w:left="4414" w:hanging="284"/>
      </w:pPr>
      <w:rPr>
        <w:rFonts w:hint="default"/>
      </w:rPr>
    </w:lvl>
    <w:lvl w:ilvl="7" w:tplc="3600FF76">
      <w:numFmt w:val="bullet"/>
      <w:lvlText w:val="•"/>
      <w:lvlJc w:val="left"/>
      <w:pPr>
        <w:ind w:left="5106" w:hanging="284"/>
      </w:pPr>
      <w:rPr>
        <w:rFonts w:hint="default"/>
      </w:rPr>
    </w:lvl>
    <w:lvl w:ilvl="8" w:tplc="DE9ECDBE">
      <w:numFmt w:val="bullet"/>
      <w:lvlText w:val="•"/>
      <w:lvlJc w:val="left"/>
      <w:pPr>
        <w:ind w:left="5799" w:hanging="284"/>
      </w:pPr>
      <w:rPr>
        <w:rFonts w:hint="default"/>
      </w:rPr>
    </w:lvl>
  </w:abstractNum>
  <w:abstractNum w:abstractNumId="77">
    <w:nsid w:val="20341A2D"/>
    <w:multiLevelType w:val="hybridMultilevel"/>
    <w:tmpl w:val="C8D87C56"/>
    <w:lvl w:ilvl="0" w:tplc="77FEC8B4">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2A405576">
      <w:numFmt w:val="bullet"/>
      <w:lvlText w:val="•"/>
      <w:lvlJc w:val="left"/>
      <w:pPr>
        <w:ind w:left="952" w:hanging="284"/>
      </w:pPr>
      <w:rPr>
        <w:rFonts w:hint="default"/>
      </w:rPr>
    </w:lvl>
    <w:lvl w:ilvl="2" w:tplc="FB129154">
      <w:numFmt w:val="bullet"/>
      <w:lvlText w:val="•"/>
      <w:lvlJc w:val="left"/>
      <w:pPr>
        <w:ind w:left="1644" w:hanging="284"/>
      </w:pPr>
      <w:rPr>
        <w:rFonts w:hint="default"/>
      </w:rPr>
    </w:lvl>
    <w:lvl w:ilvl="3" w:tplc="D29EA12E">
      <w:numFmt w:val="bullet"/>
      <w:lvlText w:val="•"/>
      <w:lvlJc w:val="left"/>
      <w:pPr>
        <w:ind w:left="2337" w:hanging="284"/>
      </w:pPr>
      <w:rPr>
        <w:rFonts w:hint="default"/>
      </w:rPr>
    </w:lvl>
    <w:lvl w:ilvl="4" w:tplc="E25EC5FC">
      <w:numFmt w:val="bullet"/>
      <w:lvlText w:val="•"/>
      <w:lvlJc w:val="left"/>
      <w:pPr>
        <w:ind w:left="3029" w:hanging="284"/>
      </w:pPr>
      <w:rPr>
        <w:rFonts w:hint="default"/>
      </w:rPr>
    </w:lvl>
    <w:lvl w:ilvl="5" w:tplc="007AA40E">
      <w:numFmt w:val="bullet"/>
      <w:lvlText w:val="•"/>
      <w:lvlJc w:val="left"/>
      <w:pPr>
        <w:ind w:left="3721" w:hanging="284"/>
      </w:pPr>
      <w:rPr>
        <w:rFonts w:hint="default"/>
      </w:rPr>
    </w:lvl>
    <w:lvl w:ilvl="6" w:tplc="474A5A76">
      <w:numFmt w:val="bullet"/>
      <w:lvlText w:val="•"/>
      <w:lvlJc w:val="left"/>
      <w:pPr>
        <w:ind w:left="4414" w:hanging="284"/>
      </w:pPr>
      <w:rPr>
        <w:rFonts w:hint="default"/>
      </w:rPr>
    </w:lvl>
    <w:lvl w:ilvl="7" w:tplc="D02A6DF4">
      <w:numFmt w:val="bullet"/>
      <w:lvlText w:val="•"/>
      <w:lvlJc w:val="left"/>
      <w:pPr>
        <w:ind w:left="5106" w:hanging="284"/>
      </w:pPr>
      <w:rPr>
        <w:rFonts w:hint="default"/>
      </w:rPr>
    </w:lvl>
    <w:lvl w:ilvl="8" w:tplc="ADD8DF70">
      <w:numFmt w:val="bullet"/>
      <w:lvlText w:val="•"/>
      <w:lvlJc w:val="left"/>
      <w:pPr>
        <w:ind w:left="5799" w:hanging="284"/>
      </w:pPr>
      <w:rPr>
        <w:rFonts w:hint="default"/>
      </w:rPr>
    </w:lvl>
  </w:abstractNum>
  <w:abstractNum w:abstractNumId="78">
    <w:nsid w:val="20EB18BA"/>
    <w:multiLevelType w:val="hybridMultilevel"/>
    <w:tmpl w:val="95FA4368"/>
    <w:lvl w:ilvl="0" w:tplc="4642E22C">
      <w:numFmt w:val="bullet"/>
      <w:lvlText w:val=""/>
      <w:lvlJc w:val="left"/>
      <w:pPr>
        <w:ind w:left="533" w:hanging="284"/>
      </w:pPr>
      <w:rPr>
        <w:rFonts w:ascii="Wingdings" w:eastAsia="Wingdings" w:hAnsi="Wingdings" w:cs="Wingdings" w:hint="default"/>
        <w:color w:val="231F20"/>
        <w:w w:val="100"/>
        <w:sz w:val="21"/>
        <w:szCs w:val="21"/>
      </w:rPr>
    </w:lvl>
    <w:lvl w:ilvl="1" w:tplc="4A3A0A8A">
      <w:numFmt w:val="bullet"/>
      <w:lvlText w:val="•"/>
      <w:lvlJc w:val="left"/>
      <w:pPr>
        <w:ind w:left="1204" w:hanging="284"/>
      </w:pPr>
      <w:rPr>
        <w:rFonts w:hint="default"/>
      </w:rPr>
    </w:lvl>
    <w:lvl w:ilvl="2" w:tplc="CE4EFCC6">
      <w:numFmt w:val="bullet"/>
      <w:lvlText w:val="•"/>
      <w:lvlJc w:val="left"/>
      <w:pPr>
        <w:ind w:left="1868" w:hanging="284"/>
      </w:pPr>
      <w:rPr>
        <w:rFonts w:hint="default"/>
      </w:rPr>
    </w:lvl>
    <w:lvl w:ilvl="3" w:tplc="F3080086">
      <w:numFmt w:val="bullet"/>
      <w:lvlText w:val="•"/>
      <w:lvlJc w:val="left"/>
      <w:pPr>
        <w:ind w:left="2533" w:hanging="284"/>
      </w:pPr>
      <w:rPr>
        <w:rFonts w:hint="default"/>
      </w:rPr>
    </w:lvl>
    <w:lvl w:ilvl="4" w:tplc="51244A54">
      <w:numFmt w:val="bullet"/>
      <w:lvlText w:val="•"/>
      <w:lvlJc w:val="left"/>
      <w:pPr>
        <w:ind w:left="3197" w:hanging="284"/>
      </w:pPr>
      <w:rPr>
        <w:rFonts w:hint="default"/>
      </w:rPr>
    </w:lvl>
    <w:lvl w:ilvl="5" w:tplc="07F6B416">
      <w:numFmt w:val="bullet"/>
      <w:lvlText w:val="•"/>
      <w:lvlJc w:val="left"/>
      <w:pPr>
        <w:ind w:left="3861" w:hanging="284"/>
      </w:pPr>
      <w:rPr>
        <w:rFonts w:hint="default"/>
      </w:rPr>
    </w:lvl>
    <w:lvl w:ilvl="6" w:tplc="510A5C80">
      <w:numFmt w:val="bullet"/>
      <w:lvlText w:val="•"/>
      <w:lvlJc w:val="left"/>
      <w:pPr>
        <w:ind w:left="4526" w:hanging="284"/>
      </w:pPr>
      <w:rPr>
        <w:rFonts w:hint="default"/>
      </w:rPr>
    </w:lvl>
    <w:lvl w:ilvl="7" w:tplc="0380A85C">
      <w:numFmt w:val="bullet"/>
      <w:lvlText w:val="•"/>
      <w:lvlJc w:val="left"/>
      <w:pPr>
        <w:ind w:left="5190" w:hanging="284"/>
      </w:pPr>
      <w:rPr>
        <w:rFonts w:hint="default"/>
      </w:rPr>
    </w:lvl>
    <w:lvl w:ilvl="8" w:tplc="53F8B0B2">
      <w:numFmt w:val="bullet"/>
      <w:lvlText w:val="•"/>
      <w:lvlJc w:val="left"/>
      <w:pPr>
        <w:ind w:left="5855" w:hanging="284"/>
      </w:pPr>
      <w:rPr>
        <w:rFonts w:hint="default"/>
      </w:rPr>
    </w:lvl>
  </w:abstractNum>
  <w:abstractNum w:abstractNumId="79">
    <w:nsid w:val="20F0550C"/>
    <w:multiLevelType w:val="multilevel"/>
    <w:tmpl w:val="CCDC9914"/>
    <w:lvl w:ilvl="0">
      <w:start w:val="7"/>
      <w:numFmt w:val="decimal"/>
      <w:lvlText w:val="%1"/>
      <w:lvlJc w:val="left"/>
      <w:pPr>
        <w:ind w:left="1506" w:hanging="689"/>
        <w:jc w:val="left"/>
      </w:pPr>
      <w:rPr>
        <w:rFonts w:hint="default"/>
      </w:rPr>
    </w:lvl>
    <w:lvl w:ilvl="1">
      <w:start w:val="12"/>
      <w:numFmt w:val="decimal"/>
      <w:lvlText w:val="%1.%2"/>
      <w:lvlJc w:val="left"/>
      <w:pPr>
        <w:ind w:left="1506" w:hanging="689"/>
        <w:jc w:val="left"/>
      </w:pPr>
      <w:rPr>
        <w:rFonts w:hint="default"/>
      </w:rPr>
    </w:lvl>
    <w:lvl w:ilvl="2">
      <w:start w:val="1"/>
      <w:numFmt w:val="decimal"/>
      <w:lvlText w:val="%1.%2.%3."/>
      <w:lvlJc w:val="left"/>
      <w:pPr>
        <w:ind w:left="1506" w:hanging="689"/>
        <w:jc w:val="left"/>
      </w:pPr>
      <w:rPr>
        <w:rFonts w:ascii="Cambria" w:eastAsia="Cambria" w:hAnsi="Cambria" w:cs="Cambria" w:hint="default"/>
        <w:b/>
        <w:bCs/>
        <w:color w:val="231F20"/>
        <w:spacing w:val="-1"/>
        <w:w w:val="100"/>
        <w:sz w:val="21"/>
        <w:szCs w:val="21"/>
      </w:rPr>
    </w:lvl>
    <w:lvl w:ilvl="3">
      <w:numFmt w:val="bullet"/>
      <w:lvlText w:val="•"/>
      <w:lvlJc w:val="left"/>
      <w:pPr>
        <w:ind w:left="3205" w:hanging="689"/>
      </w:pPr>
      <w:rPr>
        <w:rFonts w:hint="default"/>
      </w:rPr>
    </w:lvl>
    <w:lvl w:ilvl="4">
      <w:numFmt w:val="bullet"/>
      <w:lvlText w:val="•"/>
      <w:lvlJc w:val="left"/>
      <w:pPr>
        <w:ind w:left="3773" w:hanging="689"/>
      </w:pPr>
      <w:rPr>
        <w:rFonts w:hint="default"/>
      </w:rPr>
    </w:lvl>
    <w:lvl w:ilvl="5">
      <w:numFmt w:val="bullet"/>
      <w:lvlText w:val="•"/>
      <w:lvlJc w:val="left"/>
      <w:pPr>
        <w:ind w:left="4341" w:hanging="689"/>
      </w:pPr>
      <w:rPr>
        <w:rFonts w:hint="default"/>
      </w:rPr>
    </w:lvl>
    <w:lvl w:ilvl="6">
      <w:numFmt w:val="bullet"/>
      <w:lvlText w:val="•"/>
      <w:lvlJc w:val="left"/>
      <w:pPr>
        <w:ind w:left="4910" w:hanging="689"/>
      </w:pPr>
      <w:rPr>
        <w:rFonts w:hint="default"/>
      </w:rPr>
    </w:lvl>
    <w:lvl w:ilvl="7">
      <w:numFmt w:val="bullet"/>
      <w:lvlText w:val="•"/>
      <w:lvlJc w:val="left"/>
      <w:pPr>
        <w:ind w:left="5478" w:hanging="689"/>
      </w:pPr>
      <w:rPr>
        <w:rFonts w:hint="default"/>
      </w:rPr>
    </w:lvl>
    <w:lvl w:ilvl="8">
      <w:numFmt w:val="bullet"/>
      <w:lvlText w:val="•"/>
      <w:lvlJc w:val="left"/>
      <w:pPr>
        <w:ind w:left="6047" w:hanging="689"/>
      </w:pPr>
      <w:rPr>
        <w:rFonts w:hint="default"/>
      </w:rPr>
    </w:lvl>
  </w:abstractNum>
  <w:abstractNum w:abstractNumId="80">
    <w:nsid w:val="212F2EF8"/>
    <w:multiLevelType w:val="hybridMultilevel"/>
    <w:tmpl w:val="4DCE5E96"/>
    <w:lvl w:ilvl="0" w:tplc="1F66073A">
      <w:numFmt w:val="bullet"/>
      <w:lvlText w:val="•"/>
      <w:lvlJc w:val="left"/>
      <w:pPr>
        <w:ind w:left="250" w:hanging="284"/>
      </w:pPr>
      <w:rPr>
        <w:rFonts w:ascii="Cambria" w:eastAsia="Cambria" w:hAnsi="Cambria" w:cs="Cambria" w:hint="default"/>
        <w:color w:val="231F20"/>
        <w:spacing w:val="-21"/>
        <w:w w:val="100"/>
        <w:sz w:val="21"/>
        <w:szCs w:val="21"/>
      </w:rPr>
    </w:lvl>
    <w:lvl w:ilvl="1" w:tplc="BF8C04F0">
      <w:numFmt w:val="bullet"/>
      <w:lvlText w:val="•"/>
      <w:lvlJc w:val="left"/>
      <w:pPr>
        <w:ind w:left="952" w:hanging="284"/>
      </w:pPr>
      <w:rPr>
        <w:rFonts w:hint="default"/>
      </w:rPr>
    </w:lvl>
    <w:lvl w:ilvl="2" w:tplc="A62EA314">
      <w:numFmt w:val="bullet"/>
      <w:lvlText w:val="•"/>
      <w:lvlJc w:val="left"/>
      <w:pPr>
        <w:ind w:left="1644" w:hanging="284"/>
      </w:pPr>
      <w:rPr>
        <w:rFonts w:hint="default"/>
      </w:rPr>
    </w:lvl>
    <w:lvl w:ilvl="3" w:tplc="ABF69FB6">
      <w:numFmt w:val="bullet"/>
      <w:lvlText w:val="•"/>
      <w:lvlJc w:val="left"/>
      <w:pPr>
        <w:ind w:left="2337" w:hanging="284"/>
      </w:pPr>
      <w:rPr>
        <w:rFonts w:hint="default"/>
      </w:rPr>
    </w:lvl>
    <w:lvl w:ilvl="4" w:tplc="86723FF2">
      <w:numFmt w:val="bullet"/>
      <w:lvlText w:val="•"/>
      <w:lvlJc w:val="left"/>
      <w:pPr>
        <w:ind w:left="3029" w:hanging="284"/>
      </w:pPr>
      <w:rPr>
        <w:rFonts w:hint="default"/>
      </w:rPr>
    </w:lvl>
    <w:lvl w:ilvl="5" w:tplc="7084DA44">
      <w:numFmt w:val="bullet"/>
      <w:lvlText w:val="•"/>
      <w:lvlJc w:val="left"/>
      <w:pPr>
        <w:ind w:left="3721" w:hanging="284"/>
      </w:pPr>
      <w:rPr>
        <w:rFonts w:hint="default"/>
      </w:rPr>
    </w:lvl>
    <w:lvl w:ilvl="6" w:tplc="04E4104C">
      <w:numFmt w:val="bullet"/>
      <w:lvlText w:val="•"/>
      <w:lvlJc w:val="left"/>
      <w:pPr>
        <w:ind w:left="4414" w:hanging="284"/>
      </w:pPr>
      <w:rPr>
        <w:rFonts w:hint="default"/>
      </w:rPr>
    </w:lvl>
    <w:lvl w:ilvl="7" w:tplc="A3D6C902">
      <w:numFmt w:val="bullet"/>
      <w:lvlText w:val="•"/>
      <w:lvlJc w:val="left"/>
      <w:pPr>
        <w:ind w:left="5106" w:hanging="284"/>
      </w:pPr>
      <w:rPr>
        <w:rFonts w:hint="default"/>
      </w:rPr>
    </w:lvl>
    <w:lvl w:ilvl="8" w:tplc="0E66A69C">
      <w:numFmt w:val="bullet"/>
      <w:lvlText w:val="•"/>
      <w:lvlJc w:val="left"/>
      <w:pPr>
        <w:ind w:left="5799" w:hanging="284"/>
      </w:pPr>
      <w:rPr>
        <w:rFonts w:hint="default"/>
      </w:rPr>
    </w:lvl>
  </w:abstractNum>
  <w:abstractNum w:abstractNumId="81">
    <w:nsid w:val="22652A28"/>
    <w:multiLevelType w:val="hybridMultilevel"/>
    <w:tmpl w:val="1B9A404A"/>
    <w:lvl w:ilvl="0" w:tplc="B036A8CC">
      <w:start w:val="2"/>
      <w:numFmt w:val="decimal"/>
      <w:lvlText w:val="%1."/>
      <w:lvlJc w:val="left"/>
      <w:pPr>
        <w:ind w:left="250" w:hanging="284"/>
        <w:jc w:val="left"/>
      </w:pPr>
      <w:rPr>
        <w:rFonts w:ascii="Cambria" w:eastAsia="Cambria" w:hAnsi="Cambria" w:cs="Cambria" w:hint="default"/>
        <w:color w:val="231F20"/>
        <w:spacing w:val="-19"/>
        <w:w w:val="100"/>
        <w:sz w:val="21"/>
        <w:szCs w:val="21"/>
      </w:rPr>
    </w:lvl>
    <w:lvl w:ilvl="1" w:tplc="485C479C">
      <w:numFmt w:val="bullet"/>
      <w:lvlText w:val="•"/>
      <w:lvlJc w:val="left"/>
      <w:pPr>
        <w:ind w:left="952" w:hanging="284"/>
      </w:pPr>
      <w:rPr>
        <w:rFonts w:hint="default"/>
      </w:rPr>
    </w:lvl>
    <w:lvl w:ilvl="2" w:tplc="8312C898">
      <w:numFmt w:val="bullet"/>
      <w:lvlText w:val="•"/>
      <w:lvlJc w:val="left"/>
      <w:pPr>
        <w:ind w:left="1644" w:hanging="284"/>
      </w:pPr>
      <w:rPr>
        <w:rFonts w:hint="default"/>
      </w:rPr>
    </w:lvl>
    <w:lvl w:ilvl="3" w:tplc="FDE4D22E">
      <w:numFmt w:val="bullet"/>
      <w:lvlText w:val="•"/>
      <w:lvlJc w:val="left"/>
      <w:pPr>
        <w:ind w:left="2337" w:hanging="284"/>
      </w:pPr>
      <w:rPr>
        <w:rFonts w:hint="default"/>
      </w:rPr>
    </w:lvl>
    <w:lvl w:ilvl="4" w:tplc="B66C035E">
      <w:numFmt w:val="bullet"/>
      <w:lvlText w:val="•"/>
      <w:lvlJc w:val="left"/>
      <w:pPr>
        <w:ind w:left="3029" w:hanging="284"/>
      </w:pPr>
      <w:rPr>
        <w:rFonts w:hint="default"/>
      </w:rPr>
    </w:lvl>
    <w:lvl w:ilvl="5" w:tplc="9BAEED3E">
      <w:numFmt w:val="bullet"/>
      <w:lvlText w:val="•"/>
      <w:lvlJc w:val="left"/>
      <w:pPr>
        <w:ind w:left="3721" w:hanging="284"/>
      </w:pPr>
      <w:rPr>
        <w:rFonts w:hint="default"/>
      </w:rPr>
    </w:lvl>
    <w:lvl w:ilvl="6" w:tplc="00481164">
      <w:numFmt w:val="bullet"/>
      <w:lvlText w:val="•"/>
      <w:lvlJc w:val="left"/>
      <w:pPr>
        <w:ind w:left="4414" w:hanging="284"/>
      </w:pPr>
      <w:rPr>
        <w:rFonts w:hint="default"/>
      </w:rPr>
    </w:lvl>
    <w:lvl w:ilvl="7" w:tplc="87A06952">
      <w:numFmt w:val="bullet"/>
      <w:lvlText w:val="•"/>
      <w:lvlJc w:val="left"/>
      <w:pPr>
        <w:ind w:left="5106" w:hanging="284"/>
      </w:pPr>
      <w:rPr>
        <w:rFonts w:hint="default"/>
      </w:rPr>
    </w:lvl>
    <w:lvl w:ilvl="8" w:tplc="F27412F0">
      <w:numFmt w:val="bullet"/>
      <w:lvlText w:val="•"/>
      <w:lvlJc w:val="left"/>
      <w:pPr>
        <w:ind w:left="5799" w:hanging="284"/>
      </w:pPr>
      <w:rPr>
        <w:rFonts w:hint="default"/>
      </w:rPr>
    </w:lvl>
  </w:abstractNum>
  <w:abstractNum w:abstractNumId="82">
    <w:nsid w:val="22BD763E"/>
    <w:multiLevelType w:val="hybridMultilevel"/>
    <w:tmpl w:val="E3B66DEA"/>
    <w:lvl w:ilvl="0" w:tplc="07467632">
      <w:numFmt w:val="bullet"/>
      <w:lvlText w:val=""/>
      <w:lvlJc w:val="left"/>
      <w:pPr>
        <w:ind w:left="533" w:hanging="284"/>
      </w:pPr>
      <w:rPr>
        <w:rFonts w:ascii="Wingdings" w:eastAsia="Wingdings" w:hAnsi="Wingdings" w:cs="Wingdings" w:hint="default"/>
        <w:color w:val="231F20"/>
        <w:w w:val="100"/>
        <w:sz w:val="21"/>
        <w:szCs w:val="21"/>
      </w:rPr>
    </w:lvl>
    <w:lvl w:ilvl="1" w:tplc="EE04C884">
      <w:numFmt w:val="bullet"/>
      <w:lvlText w:val="•"/>
      <w:lvlJc w:val="left"/>
      <w:pPr>
        <w:ind w:left="1204" w:hanging="284"/>
      </w:pPr>
      <w:rPr>
        <w:rFonts w:hint="default"/>
      </w:rPr>
    </w:lvl>
    <w:lvl w:ilvl="2" w:tplc="1F184426">
      <w:numFmt w:val="bullet"/>
      <w:lvlText w:val="•"/>
      <w:lvlJc w:val="left"/>
      <w:pPr>
        <w:ind w:left="1868" w:hanging="284"/>
      </w:pPr>
      <w:rPr>
        <w:rFonts w:hint="default"/>
      </w:rPr>
    </w:lvl>
    <w:lvl w:ilvl="3" w:tplc="F2FC76B8">
      <w:numFmt w:val="bullet"/>
      <w:lvlText w:val="•"/>
      <w:lvlJc w:val="left"/>
      <w:pPr>
        <w:ind w:left="2533" w:hanging="284"/>
      </w:pPr>
      <w:rPr>
        <w:rFonts w:hint="default"/>
      </w:rPr>
    </w:lvl>
    <w:lvl w:ilvl="4" w:tplc="D5C80862">
      <w:numFmt w:val="bullet"/>
      <w:lvlText w:val="•"/>
      <w:lvlJc w:val="left"/>
      <w:pPr>
        <w:ind w:left="3197" w:hanging="284"/>
      </w:pPr>
      <w:rPr>
        <w:rFonts w:hint="default"/>
      </w:rPr>
    </w:lvl>
    <w:lvl w:ilvl="5" w:tplc="F87442B0">
      <w:numFmt w:val="bullet"/>
      <w:lvlText w:val="•"/>
      <w:lvlJc w:val="left"/>
      <w:pPr>
        <w:ind w:left="3861" w:hanging="284"/>
      </w:pPr>
      <w:rPr>
        <w:rFonts w:hint="default"/>
      </w:rPr>
    </w:lvl>
    <w:lvl w:ilvl="6" w:tplc="E9F4B35A">
      <w:numFmt w:val="bullet"/>
      <w:lvlText w:val="•"/>
      <w:lvlJc w:val="left"/>
      <w:pPr>
        <w:ind w:left="4526" w:hanging="284"/>
      </w:pPr>
      <w:rPr>
        <w:rFonts w:hint="default"/>
      </w:rPr>
    </w:lvl>
    <w:lvl w:ilvl="7" w:tplc="2E8AF19E">
      <w:numFmt w:val="bullet"/>
      <w:lvlText w:val="•"/>
      <w:lvlJc w:val="left"/>
      <w:pPr>
        <w:ind w:left="5190" w:hanging="284"/>
      </w:pPr>
      <w:rPr>
        <w:rFonts w:hint="default"/>
      </w:rPr>
    </w:lvl>
    <w:lvl w:ilvl="8" w:tplc="EB2A645E">
      <w:numFmt w:val="bullet"/>
      <w:lvlText w:val="•"/>
      <w:lvlJc w:val="left"/>
      <w:pPr>
        <w:ind w:left="5855" w:hanging="284"/>
      </w:pPr>
      <w:rPr>
        <w:rFonts w:hint="default"/>
      </w:rPr>
    </w:lvl>
  </w:abstractNum>
  <w:abstractNum w:abstractNumId="83">
    <w:nsid w:val="22E15687"/>
    <w:multiLevelType w:val="multilevel"/>
    <w:tmpl w:val="1180C4B2"/>
    <w:lvl w:ilvl="0">
      <w:start w:val="3"/>
      <w:numFmt w:val="decimal"/>
      <w:lvlText w:val="%1"/>
      <w:lvlJc w:val="left"/>
      <w:pPr>
        <w:ind w:left="2170" w:hanging="411"/>
        <w:jc w:val="left"/>
      </w:pPr>
      <w:rPr>
        <w:rFonts w:hint="default"/>
      </w:rPr>
    </w:lvl>
    <w:lvl w:ilvl="1">
      <w:start w:val="4"/>
      <w:numFmt w:val="decimal"/>
      <w:lvlText w:val="%1.%2."/>
      <w:lvlJc w:val="left"/>
      <w:pPr>
        <w:ind w:left="2170" w:hanging="411"/>
        <w:jc w:val="right"/>
      </w:pPr>
      <w:rPr>
        <w:rFonts w:ascii="Cambria" w:eastAsia="Cambria" w:hAnsi="Cambria" w:cs="Cambria" w:hint="default"/>
        <w:b/>
        <w:bCs/>
        <w:color w:val="231F20"/>
        <w:spacing w:val="-1"/>
        <w:w w:val="100"/>
        <w:sz w:val="22"/>
        <w:szCs w:val="22"/>
      </w:rPr>
    </w:lvl>
    <w:lvl w:ilvl="2">
      <w:numFmt w:val="bullet"/>
      <w:lvlText w:val="•"/>
      <w:lvlJc w:val="left"/>
      <w:pPr>
        <w:ind w:left="3180" w:hanging="411"/>
      </w:pPr>
      <w:rPr>
        <w:rFonts w:hint="default"/>
      </w:rPr>
    </w:lvl>
    <w:lvl w:ilvl="3">
      <w:numFmt w:val="bullet"/>
      <w:lvlText w:val="•"/>
      <w:lvlJc w:val="left"/>
      <w:pPr>
        <w:ind w:left="3681" w:hanging="411"/>
      </w:pPr>
      <w:rPr>
        <w:rFonts w:hint="default"/>
      </w:rPr>
    </w:lvl>
    <w:lvl w:ilvl="4">
      <w:numFmt w:val="bullet"/>
      <w:lvlText w:val="•"/>
      <w:lvlJc w:val="left"/>
      <w:pPr>
        <w:ind w:left="4181" w:hanging="411"/>
      </w:pPr>
      <w:rPr>
        <w:rFonts w:hint="default"/>
      </w:rPr>
    </w:lvl>
    <w:lvl w:ilvl="5">
      <w:numFmt w:val="bullet"/>
      <w:lvlText w:val="•"/>
      <w:lvlJc w:val="left"/>
      <w:pPr>
        <w:ind w:left="4681" w:hanging="411"/>
      </w:pPr>
      <w:rPr>
        <w:rFonts w:hint="default"/>
      </w:rPr>
    </w:lvl>
    <w:lvl w:ilvl="6">
      <w:numFmt w:val="bullet"/>
      <w:lvlText w:val="•"/>
      <w:lvlJc w:val="left"/>
      <w:pPr>
        <w:ind w:left="5182" w:hanging="411"/>
      </w:pPr>
      <w:rPr>
        <w:rFonts w:hint="default"/>
      </w:rPr>
    </w:lvl>
    <w:lvl w:ilvl="7">
      <w:numFmt w:val="bullet"/>
      <w:lvlText w:val="•"/>
      <w:lvlJc w:val="left"/>
      <w:pPr>
        <w:ind w:left="5682" w:hanging="411"/>
      </w:pPr>
      <w:rPr>
        <w:rFonts w:hint="default"/>
      </w:rPr>
    </w:lvl>
    <w:lvl w:ilvl="8">
      <w:numFmt w:val="bullet"/>
      <w:lvlText w:val="•"/>
      <w:lvlJc w:val="left"/>
      <w:pPr>
        <w:ind w:left="6183" w:hanging="411"/>
      </w:pPr>
      <w:rPr>
        <w:rFonts w:hint="default"/>
      </w:rPr>
    </w:lvl>
  </w:abstractNum>
  <w:abstractNum w:abstractNumId="84">
    <w:nsid w:val="22E5677A"/>
    <w:multiLevelType w:val="hybridMultilevel"/>
    <w:tmpl w:val="DBD04ADE"/>
    <w:lvl w:ilvl="0" w:tplc="A9581B7C">
      <w:start w:val="5"/>
      <w:numFmt w:val="decimal"/>
      <w:lvlText w:val="%1."/>
      <w:lvlJc w:val="left"/>
      <w:pPr>
        <w:ind w:left="533" w:hanging="284"/>
        <w:jc w:val="left"/>
      </w:pPr>
      <w:rPr>
        <w:rFonts w:ascii="Cambria" w:eastAsia="Cambria" w:hAnsi="Cambria" w:cs="Cambria" w:hint="default"/>
        <w:color w:val="231F20"/>
        <w:spacing w:val="-15"/>
        <w:w w:val="100"/>
        <w:sz w:val="21"/>
        <w:szCs w:val="21"/>
      </w:rPr>
    </w:lvl>
    <w:lvl w:ilvl="1" w:tplc="A554229E">
      <w:numFmt w:val="bullet"/>
      <w:lvlText w:val="•"/>
      <w:lvlJc w:val="left"/>
      <w:pPr>
        <w:ind w:left="1204" w:hanging="284"/>
      </w:pPr>
      <w:rPr>
        <w:rFonts w:hint="default"/>
      </w:rPr>
    </w:lvl>
    <w:lvl w:ilvl="2" w:tplc="4C304F7C">
      <w:numFmt w:val="bullet"/>
      <w:lvlText w:val="•"/>
      <w:lvlJc w:val="left"/>
      <w:pPr>
        <w:ind w:left="1868" w:hanging="284"/>
      </w:pPr>
      <w:rPr>
        <w:rFonts w:hint="default"/>
      </w:rPr>
    </w:lvl>
    <w:lvl w:ilvl="3" w:tplc="A70C1A30">
      <w:numFmt w:val="bullet"/>
      <w:lvlText w:val="•"/>
      <w:lvlJc w:val="left"/>
      <w:pPr>
        <w:ind w:left="2533" w:hanging="284"/>
      </w:pPr>
      <w:rPr>
        <w:rFonts w:hint="default"/>
      </w:rPr>
    </w:lvl>
    <w:lvl w:ilvl="4" w:tplc="1954FE76">
      <w:numFmt w:val="bullet"/>
      <w:lvlText w:val="•"/>
      <w:lvlJc w:val="left"/>
      <w:pPr>
        <w:ind w:left="3197" w:hanging="284"/>
      </w:pPr>
      <w:rPr>
        <w:rFonts w:hint="default"/>
      </w:rPr>
    </w:lvl>
    <w:lvl w:ilvl="5" w:tplc="87F659A2">
      <w:numFmt w:val="bullet"/>
      <w:lvlText w:val="•"/>
      <w:lvlJc w:val="left"/>
      <w:pPr>
        <w:ind w:left="3861" w:hanging="284"/>
      </w:pPr>
      <w:rPr>
        <w:rFonts w:hint="default"/>
      </w:rPr>
    </w:lvl>
    <w:lvl w:ilvl="6" w:tplc="F912ABE8">
      <w:numFmt w:val="bullet"/>
      <w:lvlText w:val="•"/>
      <w:lvlJc w:val="left"/>
      <w:pPr>
        <w:ind w:left="4526" w:hanging="284"/>
      </w:pPr>
      <w:rPr>
        <w:rFonts w:hint="default"/>
      </w:rPr>
    </w:lvl>
    <w:lvl w:ilvl="7" w:tplc="9964FE14">
      <w:numFmt w:val="bullet"/>
      <w:lvlText w:val="•"/>
      <w:lvlJc w:val="left"/>
      <w:pPr>
        <w:ind w:left="5190" w:hanging="284"/>
      </w:pPr>
      <w:rPr>
        <w:rFonts w:hint="default"/>
      </w:rPr>
    </w:lvl>
    <w:lvl w:ilvl="8" w:tplc="EA9C2A62">
      <w:numFmt w:val="bullet"/>
      <w:lvlText w:val="•"/>
      <w:lvlJc w:val="left"/>
      <w:pPr>
        <w:ind w:left="5855" w:hanging="284"/>
      </w:pPr>
      <w:rPr>
        <w:rFonts w:hint="default"/>
      </w:rPr>
    </w:lvl>
  </w:abstractNum>
  <w:abstractNum w:abstractNumId="85">
    <w:nsid w:val="22E721CC"/>
    <w:multiLevelType w:val="multilevel"/>
    <w:tmpl w:val="5BE4AD2E"/>
    <w:lvl w:ilvl="0">
      <w:start w:val="1"/>
      <w:numFmt w:val="decimal"/>
      <w:lvlText w:val="%1"/>
      <w:lvlJc w:val="left"/>
      <w:pPr>
        <w:ind w:left="1014" w:hanging="411"/>
        <w:jc w:val="left"/>
      </w:pPr>
      <w:rPr>
        <w:rFonts w:hint="default"/>
      </w:rPr>
    </w:lvl>
    <w:lvl w:ilvl="1">
      <w:start w:val="1"/>
      <w:numFmt w:val="decimal"/>
      <w:lvlText w:val="%1.%2."/>
      <w:lvlJc w:val="left"/>
      <w:pPr>
        <w:ind w:left="1014" w:hanging="411"/>
        <w:jc w:val="right"/>
      </w:pPr>
      <w:rPr>
        <w:rFonts w:ascii="Cambria" w:eastAsia="Cambria" w:hAnsi="Cambria" w:cs="Cambria" w:hint="default"/>
        <w:b/>
        <w:bCs/>
        <w:color w:val="231F20"/>
        <w:spacing w:val="-1"/>
        <w:w w:val="100"/>
        <w:sz w:val="22"/>
        <w:szCs w:val="22"/>
      </w:rPr>
    </w:lvl>
    <w:lvl w:ilvl="2">
      <w:start w:val="1"/>
      <w:numFmt w:val="decimal"/>
      <w:lvlText w:val="%1.%2.%3."/>
      <w:lvlJc w:val="left"/>
      <w:pPr>
        <w:ind w:left="533" w:hanging="565"/>
        <w:jc w:val="left"/>
      </w:pPr>
      <w:rPr>
        <w:rFonts w:ascii="Cambria" w:eastAsia="Cambria" w:hAnsi="Cambria" w:cs="Cambria" w:hint="default"/>
        <w:b/>
        <w:bCs/>
        <w:color w:val="231F20"/>
        <w:spacing w:val="-1"/>
        <w:w w:val="100"/>
        <w:sz w:val="21"/>
        <w:szCs w:val="21"/>
      </w:rPr>
    </w:lvl>
    <w:lvl w:ilvl="3">
      <w:numFmt w:val="bullet"/>
      <w:lvlText w:val="•"/>
      <w:lvlJc w:val="left"/>
      <w:pPr>
        <w:ind w:left="1790" w:hanging="565"/>
      </w:pPr>
      <w:rPr>
        <w:rFonts w:hint="default"/>
      </w:rPr>
    </w:lvl>
    <w:lvl w:ilvl="4">
      <w:numFmt w:val="bullet"/>
      <w:lvlText w:val="•"/>
      <w:lvlJc w:val="left"/>
      <w:pPr>
        <w:ind w:left="2560" w:hanging="565"/>
      </w:pPr>
      <w:rPr>
        <w:rFonts w:hint="default"/>
      </w:rPr>
    </w:lvl>
    <w:lvl w:ilvl="5">
      <w:numFmt w:val="bullet"/>
      <w:lvlText w:val="•"/>
      <w:lvlJc w:val="left"/>
      <w:pPr>
        <w:ind w:left="3331" w:hanging="565"/>
      </w:pPr>
      <w:rPr>
        <w:rFonts w:hint="default"/>
      </w:rPr>
    </w:lvl>
    <w:lvl w:ilvl="6">
      <w:numFmt w:val="bullet"/>
      <w:lvlText w:val="•"/>
      <w:lvlJc w:val="left"/>
      <w:pPr>
        <w:ind w:left="4101" w:hanging="565"/>
      </w:pPr>
      <w:rPr>
        <w:rFonts w:hint="default"/>
      </w:rPr>
    </w:lvl>
    <w:lvl w:ilvl="7">
      <w:numFmt w:val="bullet"/>
      <w:lvlText w:val="•"/>
      <w:lvlJc w:val="left"/>
      <w:pPr>
        <w:ind w:left="4872" w:hanging="565"/>
      </w:pPr>
      <w:rPr>
        <w:rFonts w:hint="default"/>
      </w:rPr>
    </w:lvl>
    <w:lvl w:ilvl="8">
      <w:numFmt w:val="bullet"/>
      <w:lvlText w:val="•"/>
      <w:lvlJc w:val="left"/>
      <w:pPr>
        <w:ind w:left="5642" w:hanging="565"/>
      </w:pPr>
      <w:rPr>
        <w:rFonts w:hint="default"/>
      </w:rPr>
    </w:lvl>
  </w:abstractNum>
  <w:abstractNum w:abstractNumId="86">
    <w:nsid w:val="23C14FEF"/>
    <w:multiLevelType w:val="hybridMultilevel"/>
    <w:tmpl w:val="9A202BE4"/>
    <w:lvl w:ilvl="0" w:tplc="2A905716">
      <w:numFmt w:val="bullet"/>
      <w:lvlText w:val="–"/>
      <w:lvlJc w:val="left"/>
      <w:pPr>
        <w:ind w:left="533" w:hanging="284"/>
      </w:pPr>
      <w:rPr>
        <w:rFonts w:ascii="Cambria" w:eastAsia="Cambria" w:hAnsi="Cambria" w:cs="Cambria" w:hint="default"/>
        <w:i/>
        <w:color w:val="231F20"/>
        <w:spacing w:val="-24"/>
        <w:w w:val="100"/>
        <w:sz w:val="21"/>
        <w:szCs w:val="21"/>
      </w:rPr>
    </w:lvl>
    <w:lvl w:ilvl="1" w:tplc="80F22478">
      <w:numFmt w:val="bullet"/>
      <w:lvlText w:val="•"/>
      <w:lvlJc w:val="left"/>
      <w:pPr>
        <w:ind w:left="1204" w:hanging="284"/>
      </w:pPr>
      <w:rPr>
        <w:rFonts w:hint="default"/>
      </w:rPr>
    </w:lvl>
    <w:lvl w:ilvl="2" w:tplc="72B4C30E">
      <w:numFmt w:val="bullet"/>
      <w:lvlText w:val="•"/>
      <w:lvlJc w:val="left"/>
      <w:pPr>
        <w:ind w:left="1868" w:hanging="284"/>
      </w:pPr>
      <w:rPr>
        <w:rFonts w:hint="default"/>
      </w:rPr>
    </w:lvl>
    <w:lvl w:ilvl="3" w:tplc="66ECD0BE">
      <w:numFmt w:val="bullet"/>
      <w:lvlText w:val="•"/>
      <w:lvlJc w:val="left"/>
      <w:pPr>
        <w:ind w:left="2533" w:hanging="284"/>
      </w:pPr>
      <w:rPr>
        <w:rFonts w:hint="default"/>
      </w:rPr>
    </w:lvl>
    <w:lvl w:ilvl="4" w:tplc="A5924FAA">
      <w:numFmt w:val="bullet"/>
      <w:lvlText w:val="•"/>
      <w:lvlJc w:val="left"/>
      <w:pPr>
        <w:ind w:left="3197" w:hanging="284"/>
      </w:pPr>
      <w:rPr>
        <w:rFonts w:hint="default"/>
      </w:rPr>
    </w:lvl>
    <w:lvl w:ilvl="5" w:tplc="BB4026C8">
      <w:numFmt w:val="bullet"/>
      <w:lvlText w:val="•"/>
      <w:lvlJc w:val="left"/>
      <w:pPr>
        <w:ind w:left="3861" w:hanging="284"/>
      </w:pPr>
      <w:rPr>
        <w:rFonts w:hint="default"/>
      </w:rPr>
    </w:lvl>
    <w:lvl w:ilvl="6" w:tplc="0AC688E4">
      <w:numFmt w:val="bullet"/>
      <w:lvlText w:val="•"/>
      <w:lvlJc w:val="left"/>
      <w:pPr>
        <w:ind w:left="4526" w:hanging="284"/>
      </w:pPr>
      <w:rPr>
        <w:rFonts w:hint="default"/>
      </w:rPr>
    </w:lvl>
    <w:lvl w:ilvl="7" w:tplc="FE14F5F6">
      <w:numFmt w:val="bullet"/>
      <w:lvlText w:val="•"/>
      <w:lvlJc w:val="left"/>
      <w:pPr>
        <w:ind w:left="5190" w:hanging="284"/>
      </w:pPr>
      <w:rPr>
        <w:rFonts w:hint="default"/>
      </w:rPr>
    </w:lvl>
    <w:lvl w:ilvl="8" w:tplc="76F61DE2">
      <w:numFmt w:val="bullet"/>
      <w:lvlText w:val="•"/>
      <w:lvlJc w:val="left"/>
      <w:pPr>
        <w:ind w:left="5855" w:hanging="284"/>
      </w:pPr>
      <w:rPr>
        <w:rFonts w:hint="default"/>
      </w:rPr>
    </w:lvl>
  </w:abstractNum>
  <w:abstractNum w:abstractNumId="87">
    <w:nsid w:val="247555ED"/>
    <w:multiLevelType w:val="hybridMultilevel"/>
    <w:tmpl w:val="4D121CE0"/>
    <w:lvl w:ilvl="0" w:tplc="43FA2E88">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9084C330">
      <w:numFmt w:val="bullet"/>
      <w:lvlText w:val="–"/>
      <w:lvlJc w:val="left"/>
      <w:pPr>
        <w:ind w:left="1384" w:hanging="284"/>
      </w:pPr>
      <w:rPr>
        <w:rFonts w:ascii="Cambria" w:eastAsia="Cambria" w:hAnsi="Cambria" w:cs="Cambria" w:hint="default"/>
        <w:color w:val="231F20"/>
        <w:spacing w:val="-13"/>
        <w:w w:val="100"/>
        <w:sz w:val="21"/>
        <w:szCs w:val="21"/>
      </w:rPr>
    </w:lvl>
    <w:lvl w:ilvl="2" w:tplc="C41876B6">
      <w:numFmt w:val="bullet"/>
      <w:lvlText w:val="•"/>
      <w:lvlJc w:val="left"/>
      <w:pPr>
        <w:ind w:left="2024" w:hanging="284"/>
      </w:pPr>
      <w:rPr>
        <w:rFonts w:hint="default"/>
      </w:rPr>
    </w:lvl>
    <w:lvl w:ilvl="3" w:tplc="7FE02BC6">
      <w:numFmt w:val="bullet"/>
      <w:lvlText w:val="•"/>
      <w:lvlJc w:val="left"/>
      <w:pPr>
        <w:ind w:left="2669" w:hanging="284"/>
      </w:pPr>
      <w:rPr>
        <w:rFonts w:hint="default"/>
      </w:rPr>
    </w:lvl>
    <w:lvl w:ilvl="4" w:tplc="CB8EA1C2">
      <w:numFmt w:val="bullet"/>
      <w:lvlText w:val="•"/>
      <w:lvlJc w:val="left"/>
      <w:pPr>
        <w:ind w:left="3314" w:hanging="284"/>
      </w:pPr>
      <w:rPr>
        <w:rFonts w:hint="default"/>
      </w:rPr>
    </w:lvl>
    <w:lvl w:ilvl="5" w:tplc="0E10EDD0">
      <w:numFmt w:val="bullet"/>
      <w:lvlText w:val="•"/>
      <w:lvlJc w:val="left"/>
      <w:pPr>
        <w:ind w:left="3959" w:hanging="284"/>
      </w:pPr>
      <w:rPr>
        <w:rFonts w:hint="default"/>
      </w:rPr>
    </w:lvl>
    <w:lvl w:ilvl="6" w:tplc="CF7EAAA6">
      <w:numFmt w:val="bullet"/>
      <w:lvlText w:val="•"/>
      <w:lvlJc w:val="left"/>
      <w:pPr>
        <w:ind w:left="4604" w:hanging="284"/>
      </w:pPr>
      <w:rPr>
        <w:rFonts w:hint="default"/>
      </w:rPr>
    </w:lvl>
    <w:lvl w:ilvl="7" w:tplc="234C735A">
      <w:numFmt w:val="bullet"/>
      <w:lvlText w:val="•"/>
      <w:lvlJc w:val="left"/>
      <w:pPr>
        <w:ind w:left="5249" w:hanging="284"/>
      </w:pPr>
      <w:rPr>
        <w:rFonts w:hint="default"/>
      </w:rPr>
    </w:lvl>
    <w:lvl w:ilvl="8" w:tplc="A554FC8A">
      <w:numFmt w:val="bullet"/>
      <w:lvlText w:val="•"/>
      <w:lvlJc w:val="left"/>
      <w:pPr>
        <w:ind w:left="5894" w:hanging="284"/>
      </w:pPr>
      <w:rPr>
        <w:rFonts w:hint="default"/>
      </w:rPr>
    </w:lvl>
  </w:abstractNum>
  <w:abstractNum w:abstractNumId="88">
    <w:nsid w:val="251846F0"/>
    <w:multiLevelType w:val="hybridMultilevel"/>
    <w:tmpl w:val="2B941EA8"/>
    <w:lvl w:ilvl="0" w:tplc="5FE2BC76">
      <w:start w:val="8"/>
      <w:numFmt w:val="decimal"/>
      <w:lvlText w:val="%1)"/>
      <w:lvlJc w:val="left"/>
      <w:pPr>
        <w:ind w:left="250" w:hanging="284"/>
        <w:jc w:val="left"/>
      </w:pPr>
      <w:rPr>
        <w:rFonts w:ascii="Cambria" w:eastAsia="Cambria" w:hAnsi="Cambria" w:cs="Cambria" w:hint="default"/>
        <w:color w:val="231F20"/>
        <w:spacing w:val="-15"/>
        <w:w w:val="100"/>
        <w:sz w:val="21"/>
        <w:szCs w:val="21"/>
      </w:rPr>
    </w:lvl>
    <w:lvl w:ilvl="1" w:tplc="819E0F48">
      <w:start w:val="1"/>
      <w:numFmt w:val="decimal"/>
      <w:lvlText w:val="%2)"/>
      <w:lvlJc w:val="left"/>
      <w:pPr>
        <w:ind w:left="533" w:hanging="284"/>
        <w:jc w:val="right"/>
      </w:pPr>
      <w:rPr>
        <w:rFonts w:ascii="Cambria" w:eastAsia="Cambria" w:hAnsi="Cambria" w:cs="Cambria" w:hint="default"/>
        <w:color w:val="231F20"/>
        <w:spacing w:val="-6"/>
        <w:w w:val="100"/>
        <w:sz w:val="21"/>
        <w:szCs w:val="21"/>
      </w:rPr>
    </w:lvl>
    <w:lvl w:ilvl="2" w:tplc="9AD6894C">
      <w:numFmt w:val="bullet"/>
      <w:lvlText w:val="•"/>
      <w:lvlJc w:val="left"/>
      <w:pPr>
        <w:ind w:left="1278" w:hanging="284"/>
      </w:pPr>
      <w:rPr>
        <w:rFonts w:hint="default"/>
      </w:rPr>
    </w:lvl>
    <w:lvl w:ilvl="3" w:tplc="9CB66918">
      <w:numFmt w:val="bullet"/>
      <w:lvlText w:val="•"/>
      <w:lvlJc w:val="left"/>
      <w:pPr>
        <w:ind w:left="2016" w:hanging="284"/>
      </w:pPr>
      <w:rPr>
        <w:rFonts w:hint="default"/>
      </w:rPr>
    </w:lvl>
    <w:lvl w:ilvl="4" w:tplc="55FC0034">
      <w:numFmt w:val="bullet"/>
      <w:lvlText w:val="•"/>
      <w:lvlJc w:val="left"/>
      <w:pPr>
        <w:ind w:left="2754" w:hanging="284"/>
      </w:pPr>
      <w:rPr>
        <w:rFonts w:hint="default"/>
      </w:rPr>
    </w:lvl>
    <w:lvl w:ilvl="5" w:tplc="01E8693C">
      <w:numFmt w:val="bullet"/>
      <w:lvlText w:val="•"/>
      <w:lvlJc w:val="left"/>
      <w:pPr>
        <w:ind w:left="3492" w:hanging="284"/>
      </w:pPr>
      <w:rPr>
        <w:rFonts w:hint="default"/>
      </w:rPr>
    </w:lvl>
    <w:lvl w:ilvl="6" w:tplc="C3E4B3A8">
      <w:numFmt w:val="bullet"/>
      <w:lvlText w:val="•"/>
      <w:lvlJc w:val="left"/>
      <w:pPr>
        <w:ind w:left="4231" w:hanging="284"/>
      </w:pPr>
      <w:rPr>
        <w:rFonts w:hint="default"/>
      </w:rPr>
    </w:lvl>
    <w:lvl w:ilvl="7" w:tplc="A02E78E2">
      <w:numFmt w:val="bullet"/>
      <w:lvlText w:val="•"/>
      <w:lvlJc w:val="left"/>
      <w:pPr>
        <w:ind w:left="4969" w:hanging="284"/>
      </w:pPr>
      <w:rPr>
        <w:rFonts w:hint="default"/>
      </w:rPr>
    </w:lvl>
    <w:lvl w:ilvl="8" w:tplc="180E4C86">
      <w:numFmt w:val="bullet"/>
      <w:lvlText w:val="•"/>
      <w:lvlJc w:val="left"/>
      <w:pPr>
        <w:ind w:left="5707" w:hanging="284"/>
      </w:pPr>
      <w:rPr>
        <w:rFonts w:hint="default"/>
      </w:rPr>
    </w:lvl>
  </w:abstractNum>
  <w:abstractNum w:abstractNumId="89">
    <w:nsid w:val="25C6655D"/>
    <w:multiLevelType w:val="hybridMultilevel"/>
    <w:tmpl w:val="0012F684"/>
    <w:lvl w:ilvl="0" w:tplc="AA90FDE0">
      <w:start w:val="1"/>
      <w:numFmt w:val="decimal"/>
      <w:lvlText w:val="%1)"/>
      <w:lvlJc w:val="left"/>
      <w:pPr>
        <w:ind w:left="250" w:hanging="284"/>
        <w:jc w:val="left"/>
      </w:pPr>
      <w:rPr>
        <w:rFonts w:ascii="Cambria" w:eastAsia="Cambria" w:hAnsi="Cambria" w:cs="Cambria" w:hint="default"/>
        <w:color w:val="231F20"/>
        <w:spacing w:val="-14"/>
        <w:w w:val="100"/>
        <w:sz w:val="21"/>
        <w:szCs w:val="21"/>
      </w:rPr>
    </w:lvl>
    <w:lvl w:ilvl="1" w:tplc="0D7CB54A">
      <w:numFmt w:val="bullet"/>
      <w:lvlText w:val="–"/>
      <w:lvlJc w:val="left"/>
      <w:pPr>
        <w:ind w:left="1100" w:hanging="284"/>
      </w:pPr>
      <w:rPr>
        <w:rFonts w:ascii="Cambria" w:eastAsia="Cambria" w:hAnsi="Cambria" w:cs="Cambria" w:hint="default"/>
        <w:color w:val="231F20"/>
        <w:spacing w:val="-7"/>
        <w:w w:val="100"/>
        <w:sz w:val="21"/>
        <w:szCs w:val="21"/>
      </w:rPr>
    </w:lvl>
    <w:lvl w:ilvl="2" w:tplc="53A68CD0">
      <w:numFmt w:val="bullet"/>
      <w:lvlText w:val="•"/>
      <w:lvlJc w:val="left"/>
      <w:pPr>
        <w:ind w:left="1775" w:hanging="284"/>
      </w:pPr>
      <w:rPr>
        <w:rFonts w:hint="default"/>
      </w:rPr>
    </w:lvl>
    <w:lvl w:ilvl="3" w:tplc="9DA8A0D6">
      <w:numFmt w:val="bullet"/>
      <w:lvlText w:val="•"/>
      <w:lvlJc w:val="left"/>
      <w:pPr>
        <w:ind w:left="2451" w:hanging="284"/>
      </w:pPr>
      <w:rPr>
        <w:rFonts w:hint="default"/>
      </w:rPr>
    </w:lvl>
    <w:lvl w:ilvl="4" w:tplc="B462AF78">
      <w:numFmt w:val="bullet"/>
      <w:lvlText w:val="•"/>
      <w:lvlJc w:val="left"/>
      <w:pPr>
        <w:ind w:left="3127" w:hanging="284"/>
      </w:pPr>
      <w:rPr>
        <w:rFonts w:hint="default"/>
      </w:rPr>
    </w:lvl>
    <w:lvl w:ilvl="5" w:tplc="2DFA6068">
      <w:numFmt w:val="bullet"/>
      <w:lvlText w:val="•"/>
      <w:lvlJc w:val="left"/>
      <w:pPr>
        <w:ind w:left="3803" w:hanging="284"/>
      </w:pPr>
      <w:rPr>
        <w:rFonts w:hint="default"/>
      </w:rPr>
    </w:lvl>
    <w:lvl w:ilvl="6" w:tplc="CD98B992">
      <w:numFmt w:val="bullet"/>
      <w:lvlText w:val="•"/>
      <w:lvlJc w:val="left"/>
      <w:pPr>
        <w:ind w:left="4479" w:hanging="284"/>
      </w:pPr>
      <w:rPr>
        <w:rFonts w:hint="default"/>
      </w:rPr>
    </w:lvl>
    <w:lvl w:ilvl="7" w:tplc="C37260C2">
      <w:numFmt w:val="bullet"/>
      <w:lvlText w:val="•"/>
      <w:lvlJc w:val="left"/>
      <w:pPr>
        <w:ind w:left="5155" w:hanging="284"/>
      </w:pPr>
      <w:rPr>
        <w:rFonts w:hint="default"/>
      </w:rPr>
    </w:lvl>
    <w:lvl w:ilvl="8" w:tplc="48462034">
      <w:numFmt w:val="bullet"/>
      <w:lvlText w:val="•"/>
      <w:lvlJc w:val="left"/>
      <w:pPr>
        <w:ind w:left="5831" w:hanging="284"/>
      </w:pPr>
      <w:rPr>
        <w:rFonts w:hint="default"/>
      </w:rPr>
    </w:lvl>
  </w:abstractNum>
  <w:abstractNum w:abstractNumId="90">
    <w:nsid w:val="26026435"/>
    <w:multiLevelType w:val="multilevel"/>
    <w:tmpl w:val="40CAE7D0"/>
    <w:lvl w:ilvl="0">
      <w:start w:val="5"/>
      <w:numFmt w:val="decimal"/>
      <w:lvlText w:val="%1"/>
      <w:lvlJc w:val="left"/>
      <w:pPr>
        <w:ind w:left="930" w:hanging="397"/>
        <w:jc w:val="left"/>
      </w:pPr>
      <w:rPr>
        <w:rFonts w:hint="default"/>
      </w:rPr>
    </w:lvl>
    <w:lvl w:ilvl="1">
      <w:start w:val="1"/>
      <w:numFmt w:val="decimal"/>
      <w:lvlText w:val="%1.%2."/>
      <w:lvlJc w:val="left"/>
      <w:pPr>
        <w:ind w:left="930" w:hanging="397"/>
        <w:jc w:val="left"/>
      </w:pPr>
      <w:rPr>
        <w:rFonts w:ascii="Cambria" w:eastAsia="Cambria" w:hAnsi="Cambria" w:cs="Cambria" w:hint="default"/>
        <w:b/>
        <w:bCs/>
        <w:color w:val="231F20"/>
        <w:spacing w:val="-1"/>
        <w:w w:val="100"/>
        <w:sz w:val="21"/>
        <w:szCs w:val="21"/>
      </w:rPr>
    </w:lvl>
    <w:lvl w:ilvl="2">
      <w:numFmt w:val="bullet"/>
      <w:lvlText w:val="•"/>
      <w:lvlJc w:val="left"/>
      <w:pPr>
        <w:ind w:left="2188" w:hanging="397"/>
      </w:pPr>
      <w:rPr>
        <w:rFonts w:hint="default"/>
      </w:rPr>
    </w:lvl>
    <w:lvl w:ilvl="3">
      <w:numFmt w:val="bullet"/>
      <w:lvlText w:val="•"/>
      <w:lvlJc w:val="left"/>
      <w:pPr>
        <w:ind w:left="2813" w:hanging="397"/>
      </w:pPr>
      <w:rPr>
        <w:rFonts w:hint="default"/>
      </w:rPr>
    </w:lvl>
    <w:lvl w:ilvl="4">
      <w:numFmt w:val="bullet"/>
      <w:lvlText w:val="•"/>
      <w:lvlJc w:val="left"/>
      <w:pPr>
        <w:ind w:left="3437" w:hanging="397"/>
      </w:pPr>
      <w:rPr>
        <w:rFonts w:hint="default"/>
      </w:rPr>
    </w:lvl>
    <w:lvl w:ilvl="5">
      <w:numFmt w:val="bullet"/>
      <w:lvlText w:val="•"/>
      <w:lvlJc w:val="left"/>
      <w:pPr>
        <w:ind w:left="4061" w:hanging="397"/>
      </w:pPr>
      <w:rPr>
        <w:rFonts w:hint="default"/>
      </w:rPr>
    </w:lvl>
    <w:lvl w:ilvl="6">
      <w:numFmt w:val="bullet"/>
      <w:lvlText w:val="•"/>
      <w:lvlJc w:val="left"/>
      <w:pPr>
        <w:ind w:left="4686" w:hanging="397"/>
      </w:pPr>
      <w:rPr>
        <w:rFonts w:hint="default"/>
      </w:rPr>
    </w:lvl>
    <w:lvl w:ilvl="7">
      <w:numFmt w:val="bullet"/>
      <w:lvlText w:val="•"/>
      <w:lvlJc w:val="left"/>
      <w:pPr>
        <w:ind w:left="5310" w:hanging="397"/>
      </w:pPr>
      <w:rPr>
        <w:rFonts w:hint="default"/>
      </w:rPr>
    </w:lvl>
    <w:lvl w:ilvl="8">
      <w:numFmt w:val="bullet"/>
      <w:lvlText w:val="•"/>
      <w:lvlJc w:val="left"/>
      <w:pPr>
        <w:ind w:left="5935" w:hanging="397"/>
      </w:pPr>
      <w:rPr>
        <w:rFonts w:hint="default"/>
      </w:rPr>
    </w:lvl>
  </w:abstractNum>
  <w:abstractNum w:abstractNumId="91">
    <w:nsid w:val="260C51D1"/>
    <w:multiLevelType w:val="hybridMultilevel"/>
    <w:tmpl w:val="F3FCCF4A"/>
    <w:lvl w:ilvl="0" w:tplc="EB1A08E8">
      <w:numFmt w:val="bullet"/>
      <w:lvlText w:val="•"/>
      <w:lvlJc w:val="left"/>
      <w:pPr>
        <w:ind w:left="250" w:hanging="284"/>
      </w:pPr>
      <w:rPr>
        <w:rFonts w:ascii="Cambria" w:eastAsia="Cambria" w:hAnsi="Cambria" w:cs="Cambria" w:hint="default"/>
        <w:color w:val="231F20"/>
        <w:spacing w:val="-12"/>
        <w:w w:val="100"/>
        <w:sz w:val="21"/>
        <w:szCs w:val="21"/>
      </w:rPr>
    </w:lvl>
    <w:lvl w:ilvl="1" w:tplc="F88494EC">
      <w:numFmt w:val="bullet"/>
      <w:lvlText w:val="•"/>
      <w:lvlJc w:val="left"/>
      <w:pPr>
        <w:ind w:left="952" w:hanging="284"/>
      </w:pPr>
      <w:rPr>
        <w:rFonts w:hint="default"/>
      </w:rPr>
    </w:lvl>
    <w:lvl w:ilvl="2" w:tplc="CBFC3A1E">
      <w:numFmt w:val="bullet"/>
      <w:lvlText w:val="•"/>
      <w:lvlJc w:val="left"/>
      <w:pPr>
        <w:ind w:left="1644" w:hanging="284"/>
      </w:pPr>
      <w:rPr>
        <w:rFonts w:hint="default"/>
      </w:rPr>
    </w:lvl>
    <w:lvl w:ilvl="3" w:tplc="E02805FC">
      <w:numFmt w:val="bullet"/>
      <w:lvlText w:val="•"/>
      <w:lvlJc w:val="left"/>
      <w:pPr>
        <w:ind w:left="2337" w:hanging="284"/>
      </w:pPr>
      <w:rPr>
        <w:rFonts w:hint="default"/>
      </w:rPr>
    </w:lvl>
    <w:lvl w:ilvl="4" w:tplc="D2EE9102">
      <w:numFmt w:val="bullet"/>
      <w:lvlText w:val="•"/>
      <w:lvlJc w:val="left"/>
      <w:pPr>
        <w:ind w:left="3029" w:hanging="284"/>
      </w:pPr>
      <w:rPr>
        <w:rFonts w:hint="default"/>
      </w:rPr>
    </w:lvl>
    <w:lvl w:ilvl="5" w:tplc="8FF88800">
      <w:numFmt w:val="bullet"/>
      <w:lvlText w:val="•"/>
      <w:lvlJc w:val="left"/>
      <w:pPr>
        <w:ind w:left="3721" w:hanging="284"/>
      </w:pPr>
      <w:rPr>
        <w:rFonts w:hint="default"/>
      </w:rPr>
    </w:lvl>
    <w:lvl w:ilvl="6" w:tplc="FA46FB70">
      <w:numFmt w:val="bullet"/>
      <w:lvlText w:val="•"/>
      <w:lvlJc w:val="left"/>
      <w:pPr>
        <w:ind w:left="4414" w:hanging="284"/>
      </w:pPr>
      <w:rPr>
        <w:rFonts w:hint="default"/>
      </w:rPr>
    </w:lvl>
    <w:lvl w:ilvl="7" w:tplc="90F482FC">
      <w:numFmt w:val="bullet"/>
      <w:lvlText w:val="•"/>
      <w:lvlJc w:val="left"/>
      <w:pPr>
        <w:ind w:left="5106" w:hanging="284"/>
      </w:pPr>
      <w:rPr>
        <w:rFonts w:hint="default"/>
      </w:rPr>
    </w:lvl>
    <w:lvl w:ilvl="8" w:tplc="9CB68E92">
      <w:numFmt w:val="bullet"/>
      <w:lvlText w:val="•"/>
      <w:lvlJc w:val="left"/>
      <w:pPr>
        <w:ind w:left="5799" w:hanging="284"/>
      </w:pPr>
      <w:rPr>
        <w:rFonts w:hint="default"/>
      </w:rPr>
    </w:lvl>
  </w:abstractNum>
  <w:abstractNum w:abstractNumId="92">
    <w:nsid w:val="269B440C"/>
    <w:multiLevelType w:val="multilevel"/>
    <w:tmpl w:val="C068D5A8"/>
    <w:lvl w:ilvl="0">
      <w:start w:val="7"/>
      <w:numFmt w:val="decimal"/>
      <w:lvlText w:val="%1"/>
      <w:lvlJc w:val="left"/>
      <w:pPr>
        <w:ind w:left="1382" w:hanging="565"/>
        <w:jc w:val="left"/>
      </w:pPr>
      <w:rPr>
        <w:rFonts w:hint="default"/>
      </w:rPr>
    </w:lvl>
    <w:lvl w:ilvl="1">
      <w:start w:val="3"/>
      <w:numFmt w:val="decimal"/>
      <w:lvlText w:val="%1.%2"/>
      <w:lvlJc w:val="left"/>
      <w:pPr>
        <w:ind w:left="1382" w:hanging="565"/>
        <w:jc w:val="left"/>
      </w:pPr>
      <w:rPr>
        <w:rFonts w:hint="default"/>
      </w:rPr>
    </w:lvl>
    <w:lvl w:ilvl="2">
      <w:start w:val="1"/>
      <w:numFmt w:val="decimal"/>
      <w:lvlText w:val="%1.%2.%3."/>
      <w:lvlJc w:val="left"/>
      <w:pPr>
        <w:ind w:left="1382" w:hanging="565"/>
        <w:jc w:val="right"/>
      </w:pPr>
      <w:rPr>
        <w:rFonts w:ascii="Cambria" w:eastAsia="Cambria" w:hAnsi="Cambria" w:cs="Cambria" w:hint="default"/>
        <w:b/>
        <w:bCs/>
        <w:color w:val="231F20"/>
        <w:spacing w:val="-1"/>
        <w:w w:val="100"/>
        <w:sz w:val="21"/>
        <w:szCs w:val="21"/>
      </w:rPr>
    </w:lvl>
    <w:lvl w:ilvl="3">
      <w:numFmt w:val="bullet"/>
      <w:lvlText w:val="•"/>
      <w:lvlJc w:val="left"/>
      <w:pPr>
        <w:ind w:left="3121" w:hanging="565"/>
      </w:pPr>
      <w:rPr>
        <w:rFonts w:hint="default"/>
      </w:rPr>
    </w:lvl>
    <w:lvl w:ilvl="4">
      <w:numFmt w:val="bullet"/>
      <w:lvlText w:val="•"/>
      <w:lvlJc w:val="left"/>
      <w:pPr>
        <w:ind w:left="3701" w:hanging="565"/>
      </w:pPr>
      <w:rPr>
        <w:rFonts w:hint="default"/>
      </w:rPr>
    </w:lvl>
    <w:lvl w:ilvl="5">
      <w:numFmt w:val="bullet"/>
      <w:lvlText w:val="•"/>
      <w:lvlJc w:val="left"/>
      <w:pPr>
        <w:ind w:left="4281" w:hanging="565"/>
      </w:pPr>
      <w:rPr>
        <w:rFonts w:hint="default"/>
      </w:rPr>
    </w:lvl>
    <w:lvl w:ilvl="6">
      <w:numFmt w:val="bullet"/>
      <w:lvlText w:val="•"/>
      <w:lvlJc w:val="left"/>
      <w:pPr>
        <w:ind w:left="4862" w:hanging="565"/>
      </w:pPr>
      <w:rPr>
        <w:rFonts w:hint="default"/>
      </w:rPr>
    </w:lvl>
    <w:lvl w:ilvl="7">
      <w:numFmt w:val="bullet"/>
      <w:lvlText w:val="•"/>
      <w:lvlJc w:val="left"/>
      <w:pPr>
        <w:ind w:left="5442" w:hanging="565"/>
      </w:pPr>
      <w:rPr>
        <w:rFonts w:hint="default"/>
      </w:rPr>
    </w:lvl>
    <w:lvl w:ilvl="8">
      <w:numFmt w:val="bullet"/>
      <w:lvlText w:val="•"/>
      <w:lvlJc w:val="left"/>
      <w:pPr>
        <w:ind w:left="6023" w:hanging="565"/>
      </w:pPr>
      <w:rPr>
        <w:rFonts w:hint="default"/>
      </w:rPr>
    </w:lvl>
  </w:abstractNum>
  <w:abstractNum w:abstractNumId="93">
    <w:nsid w:val="26B35E47"/>
    <w:multiLevelType w:val="hybridMultilevel"/>
    <w:tmpl w:val="0BFE5B08"/>
    <w:lvl w:ilvl="0" w:tplc="9CB44164">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17F8E73C">
      <w:numFmt w:val="bullet"/>
      <w:lvlText w:val="•"/>
      <w:lvlJc w:val="left"/>
      <w:pPr>
        <w:ind w:left="952" w:hanging="284"/>
      </w:pPr>
      <w:rPr>
        <w:rFonts w:hint="default"/>
      </w:rPr>
    </w:lvl>
    <w:lvl w:ilvl="2" w:tplc="75A235A8">
      <w:numFmt w:val="bullet"/>
      <w:lvlText w:val="•"/>
      <w:lvlJc w:val="left"/>
      <w:pPr>
        <w:ind w:left="1644" w:hanging="284"/>
      </w:pPr>
      <w:rPr>
        <w:rFonts w:hint="default"/>
      </w:rPr>
    </w:lvl>
    <w:lvl w:ilvl="3" w:tplc="C95C7220">
      <w:numFmt w:val="bullet"/>
      <w:lvlText w:val="•"/>
      <w:lvlJc w:val="left"/>
      <w:pPr>
        <w:ind w:left="2337" w:hanging="284"/>
      </w:pPr>
      <w:rPr>
        <w:rFonts w:hint="default"/>
      </w:rPr>
    </w:lvl>
    <w:lvl w:ilvl="4" w:tplc="D77AE258">
      <w:numFmt w:val="bullet"/>
      <w:lvlText w:val="•"/>
      <w:lvlJc w:val="left"/>
      <w:pPr>
        <w:ind w:left="3029" w:hanging="284"/>
      </w:pPr>
      <w:rPr>
        <w:rFonts w:hint="default"/>
      </w:rPr>
    </w:lvl>
    <w:lvl w:ilvl="5" w:tplc="ED00ACE0">
      <w:numFmt w:val="bullet"/>
      <w:lvlText w:val="•"/>
      <w:lvlJc w:val="left"/>
      <w:pPr>
        <w:ind w:left="3721" w:hanging="284"/>
      </w:pPr>
      <w:rPr>
        <w:rFonts w:hint="default"/>
      </w:rPr>
    </w:lvl>
    <w:lvl w:ilvl="6" w:tplc="8C6CA8EE">
      <w:numFmt w:val="bullet"/>
      <w:lvlText w:val="•"/>
      <w:lvlJc w:val="left"/>
      <w:pPr>
        <w:ind w:left="4414" w:hanging="284"/>
      </w:pPr>
      <w:rPr>
        <w:rFonts w:hint="default"/>
      </w:rPr>
    </w:lvl>
    <w:lvl w:ilvl="7" w:tplc="1B84EB40">
      <w:numFmt w:val="bullet"/>
      <w:lvlText w:val="•"/>
      <w:lvlJc w:val="left"/>
      <w:pPr>
        <w:ind w:left="5106" w:hanging="284"/>
      </w:pPr>
      <w:rPr>
        <w:rFonts w:hint="default"/>
      </w:rPr>
    </w:lvl>
    <w:lvl w:ilvl="8" w:tplc="B1FEE0D2">
      <w:numFmt w:val="bullet"/>
      <w:lvlText w:val="•"/>
      <w:lvlJc w:val="left"/>
      <w:pPr>
        <w:ind w:left="5799" w:hanging="284"/>
      </w:pPr>
      <w:rPr>
        <w:rFonts w:hint="default"/>
      </w:rPr>
    </w:lvl>
  </w:abstractNum>
  <w:abstractNum w:abstractNumId="94">
    <w:nsid w:val="26E56482"/>
    <w:multiLevelType w:val="multilevel"/>
    <w:tmpl w:val="20C6CB4A"/>
    <w:lvl w:ilvl="0">
      <w:start w:val="7"/>
      <w:numFmt w:val="decimal"/>
      <w:lvlText w:val="%1"/>
      <w:lvlJc w:val="left"/>
      <w:pPr>
        <w:ind w:left="1098" w:hanging="565"/>
        <w:jc w:val="left"/>
      </w:pPr>
      <w:rPr>
        <w:rFonts w:hint="default"/>
      </w:rPr>
    </w:lvl>
    <w:lvl w:ilvl="1">
      <w:start w:val="4"/>
      <w:numFmt w:val="decimal"/>
      <w:lvlText w:val="%1.%2"/>
      <w:lvlJc w:val="left"/>
      <w:pPr>
        <w:ind w:left="1098" w:hanging="565"/>
        <w:jc w:val="left"/>
      </w:pPr>
      <w:rPr>
        <w:rFonts w:hint="default"/>
      </w:rPr>
    </w:lvl>
    <w:lvl w:ilvl="2">
      <w:start w:val="1"/>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95">
    <w:nsid w:val="27406E10"/>
    <w:multiLevelType w:val="hybridMultilevel"/>
    <w:tmpl w:val="7C4A9EC8"/>
    <w:lvl w:ilvl="0" w:tplc="0464D158">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A1BAEED0">
      <w:numFmt w:val="bullet"/>
      <w:lvlText w:val="•"/>
      <w:lvlJc w:val="left"/>
      <w:pPr>
        <w:ind w:left="1204" w:hanging="284"/>
      </w:pPr>
      <w:rPr>
        <w:rFonts w:hint="default"/>
      </w:rPr>
    </w:lvl>
    <w:lvl w:ilvl="2" w:tplc="3280CC68">
      <w:numFmt w:val="bullet"/>
      <w:lvlText w:val="•"/>
      <w:lvlJc w:val="left"/>
      <w:pPr>
        <w:ind w:left="1868" w:hanging="284"/>
      </w:pPr>
      <w:rPr>
        <w:rFonts w:hint="default"/>
      </w:rPr>
    </w:lvl>
    <w:lvl w:ilvl="3" w:tplc="2730E622">
      <w:numFmt w:val="bullet"/>
      <w:lvlText w:val="•"/>
      <w:lvlJc w:val="left"/>
      <w:pPr>
        <w:ind w:left="2533" w:hanging="284"/>
      </w:pPr>
      <w:rPr>
        <w:rFonts w:hint="default"/>
      </w:rPr>
    </w:lvl>
    <w:lvl w:ilvl="4" w:tplc="6BB220F0">
      <w:numFmt w:val="bullet"/>
      <w:lvlText w:val="•"/>
      <w:lvlJc w:val="left"/>
      <w:pPr>
        <w:ind w:left="3197" w:hanging="284"/>
      </w:pPr>
      <w:rPr>
        <w:rFonts w:hint="default"/>
      </w:rPr>
    </w:lvl>
    <w:lvl w:ilvl="5" w:tplc="17F689F0">
      <w:numFmt w:val="bullet"/>
      <w:lvlText w:val="•"/>
      <w:lvlJc w:val="left"/>
      <w:pPr>
        <w:ind w:left="3861" w:hanging="284"/>
      </w:pPr>
      <w:rPr>
        <w:rFonts w:hint="default"/>
      </w:rPr>
    </w:lvl>
    <w:lvl w:ilvl="6" w:tplc="435A2B88">
      <w:numFmt w:val="bullet"/>
      <w:lvlText w:val="•"/>
      <w:lvlJc w:val="left"/>
      <w:pPr>
        <w:ind w:left="4526" w:hanging="284"/>
      </w:pPr>
      <w:rPr>
        <w:rFonts w:hint="default"/>
      </w:rPr>
    </w:lvl>
    <w:lvl w:ilvl="7" w:tplc="73FE7762">
      <w:numFmt w:val="bullet"/>
      <w:lvlText w:val="•"/>
      <w:lvlJc w:val="left"/>
      <w:pPr>
        <w:ind w:left="5190" w:hanging="284"/>
      </w:pPr>
      <w:rPr>
        <w:rFonts w:hint="default"/>
      </w:rPr>
    </w:lvl>
    <w:lvl w:ilvl="8" w:tplc="8220933E">
      <w:numFmt w:val="bullet"/>
      <w:lvlText w:val="•"/>
      <w:lvlJc w:val="left"/>
      <w:pPr>
        <w:ind w:left="5855" w:hanging="284"/>
      </w:pPr>
      <w:rPr>
        <w:rFonts w:hint="default"/>
      </w:rPr>
    </w:lvl>
  </w:abstractNum>
  <w:abstractNum w:abstractNumId="96">
    <w:nsid w:val="279653EE"/>
    <w:multiLevelType w:val="hybridMultilevel"/>
    <w:tmpl w:val="4446B134"/>
    <w:lvl w:ilvl="0" w:tplc="C06EE740">
      <w:start w:val="1"/>
      <w:numFmt w:val="decimal"/>
      <w:lvlText w:val="%1."/>
      <w:lvlJc w:val="left"/>
      <w:pPr>
        <w:ind w:left="250" w:hanging="284"/>
        <w:jc w:val="left"/>
      </w:pPr>
      <w:rPr>
        <w:rFonts w:ascii="Cambria" w:eastAsia="Cambria" w:hAnsi="Cambria" w:cs="Cambria" w:hint="default"/>
        <w:color w:val="231F20"/>
        <w:spacing w:val="-27"/>
        <w:w w:val="100"/>
        <w:sz w:val="21"/>
        <w:szCs w:val="21"/>
      </w:rPr>
    </w:lvl>
    <w:lvl w:ilvl="1" w:tplc="1FB4AABA">
      <w:numFmt w:val="bullet"/>
      <w:lvlText w:val="•"/>
      <w:lvlJc w:val="left"/>
      <w:pPr>
        <w:ind w:left="952" w:hanging="284"/>
      </w:pPr>
      <w:rPr>
        <w:rFonts w:hint="default"/>
      </w:rPr>
    </w:lvl>
    <w:lvl w:ilvl="2" w:tplc="56B60A0E">
      <w:numFmt w:val="bullet"/>
      <w:lvlText w:val="•"/>
      <w:lvlJc w:val="left"/>
      <w:pPr>
        <w:ind w:left="1644" w:hanging="284"/>
      </w:pPr>
      <w:rPr>
        <w:rFonts w:hint="default"/>
      </w:rPr>
    </w:lvl>
    <w:lvl w:ilvl="3" w:tplc="405C704A">
      <w:numFmt w:val="bullet"/>
      <w:lvlText w:val="•"/>
      <w:lvlJc w:val="left"/>
      <w:pPr>
        <w:ind w:left="2337" w:hanging="284"/>
      </w:pPr>
      <w:rPr>
        <w:rFonts w:hint="default"/>
      </w:rPr>
    </w:lvl>
    <w:lvl w:ilvl="4" w:tplc="2F2E466E">
      <w:numFmt w:val="bullet"/>
      <w:lvlText w:val="•"/>
      <w:lvlJc w:val="left"/>
      <w:pPr>
        <w:ind w:left="3029" w:hanging="284"/>
      </w:pPr>
      <w:rPr>
        <w:rFonts w:hint="default"/>
      </w:rPr>
    </w:lvl>
    <w:lvl w:ilvl="5" w:tplc="5302FEA2">
      <w:numFmt w:val="bullet"/>
      <w:lvlText w:val="•"/>
      <w:lvlJc w:val="left"/>
      <w:pPr>
        <w:ind w:left="3721" w:hanging="284"/>
      </w:pPr>
      <w:rPr>
        <w:rFonts w:hint="default"/>
      </w:rPr>
    </w:lvl>
    <w:lvl w:ilvl="6" w:tplc="2BA49512">
      <w:numFmt w:val="bullet"/>
      <w:lvlText w:val="•"/>
      <w:lvlJc w:val="left"/>
      <w:pPr>
        <w:ind w:left="4414" w:hanging="284"/>
      </w:pPr>
      <w:rPr>
        <w:rFonts w:hint="default"/>
      </w:rPr>
    </w:lvl>
    <w:lvl w:ilvl="7" w:tplc="4EE28CB4">
      <w:numFmt w:val="bullet"/>
      <w:lvlText w:val="•"/>
      <w:lvlJc w:val="left"/>
      <w:pPr>
        <w:ind w:left="5106" w:hanging="284"/>
      </w:pPr>
      <w:rPr>
        <w:rFonts w:hint="default"/>
      </w:rPr>
    </w:lvl>
    <w:lvl w:ilvl="8" w:tplc="7BE476A6">
      <w:numFmt w:val="bullet"/>
      <w:lvlText w:val="•"/>
      <w:lvlJc w:val="left"/>
      <w:pPr>
        <w:ind w:left="5799" w:hanging="284"/>
      </w:pPr>
      <w:rPr>
        <w:rFonts w:hint="default"/>
      </w:rPr>
    </w:lvl>
  </w:abstractNum>
  <w:abstractNum w:abstractNumId="97">
    <w:nsid w:val="27DA1C9D"/>
    <w:multiLevelType w:val="hybridMultilevel"/>
    <w:tmpl w:val="B5C62286"/>
    <w:lvl w:ilvl="0" w:tplc="C4163D92">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8D00E404">
      <w:numFmt w:val="bullet"/>
      <w:lvlText w:val=""/>
      <w:lvlJc w:val="left"/>
      <w:pPr>
        <w:ind w:left="1100" w:hanging="284"/>
      </w:pPr>
      <w:rPr>
        <w:rFonts w:ascii="Wingdings" w:eastAsia="Wingdings" w:hAnsi="Wingdings" w:cs="Wingdings" w:hint="default"/>
        <w:color w:val="231F20"/>
        <w:w w:val="100"/>
        <w:sz w:val="21"/>
        <w:szCs w:val="21"/>
      </w:rPr>
    </w:lvl>
    <w:lvl w:ilvl="2" w:tplc="E7E4B9AE">
      <w:numFmt w:val="bullet"/>
      <w:lvlText w:val="•"/>
      <w:lvlJc w:val="left"/>
      <w:pPr>
        <w:ind w:left="1775" w:hanging="284"/>
      </w:pPr>
      <w:rPr>
        <w:rFonts w:hint="default"/>
      </w:rPr>
    </w:lvl>
    <w:lvl w:ilvl="3" w:tplc="C088980C">
      <w:numFmt w:val="bullet"/>
      <w:lvlText w:val="•"/>
      <w:lvlJc w:val="left"/>
      <w:pPr>
        <w:ind w:left="2451" w:hanging="284"/>
      </w:pPr>
      <w:rPr>
        <w:rFonts w:hint="default"/>
      </w:rPr>
    </w:lvl>
    <w:lvl w:ilvl="4" w:tplc="6A629E5C">
      <w:numFmt w:val="bullet"/>
      <w:lvlText w:val="•"/>
      <w:lvlJc w:val="left"/>
      <w:pPr>
        <w:ind w:left="3127" w:hanging="284"/>
      </w:pPr>
      <w:rPr>
        <w:rFonts w:hint="default"/>
      </w:rPr>
    </w:lvl>
    <w:lvl w:ilvl="5" w:tplc="A8E03B9A">
      <w:numFmt w:val="bullet"/>
      <w:lvlText w:val="•"/>
      <w:lvlJc w:val="left"/>
      <w:pPr>
        <w:ind w:left="3803" w:hanging="284"/>
      </w:pPr>
      <w:rPr>
        <w:rFonts w:hint="default"/>
      </w:rPr>
    </w:lvl>
    <w:lvl w:ilvl="6" w:tplc="FC283018">
      <w:numFmt w:val="bullet"/>
      <w:lvlText w:val="•"/>
      <w:lvlJc w:val="left"/>
      <w:pPr>
        <w:ind w:left="4479" w:hanging="284"/>
      </w:pPr>
      <w:rPr>
        <w:rFonts w:hint="default"/>
      </w:rPr>
    </w:lvl>
    <w:lvl w:ilvl="7" w:tplc="8FCE4C48">
      <w:numFmt w:val="bullet"/>
      <w:lvlText w:val="•"/>
      <w:lvlJc w:val="left"/>
      <w:pPr>
        <w:ind w:left="5155" w:hanging="284"/>
      </w:pPr>
      <w:rPr>
        <w:rFonts w:hint="default"/>
      </w:rPr>
    </w:lvl>
    <w:lvl w:ilvl="8" w:tplc="BB8C9518">
      <w:numFmt w:val="bullet"/>
      <w:lvlText w:val="•"/>
      <w:lvlJc w:val="left"/>
      <w:pPr>
        <w:ind w:left="5831" w:hanging="284"/>
      </w:pPr>
      <w:rPr>
        <w:rFonts w:hint="default"/>
      </w:rPr>
    </w:lvl>
  </w:abstractNum>
  <w:abstractNum w:abstractNumId="98">
    <w:nsid w:val="28534168"/>
    <w:multiLevelType w:val="multilevel"/>
    <w:tmpl w:val="914E031C"/>
    <w:lvl w:ilvl="0">
      <w:start w:val="4"/>
      <w:numFmt w:val="decimal"/>
      <w:lvlText w:val="%1"/>
      <w:lvlJc w:val="left"/>
      <w:pPr>
        <w:ind w:left="1382" w:hanging="565"/>
        <w:jc w:val="left"/>
      </w:pPr>
      <w:rPr>
        <w:rFonts w:hint="default"/>
      </w:rPr>
    </w:lvl>
    <w:lvl w:ilvl="1">
      <w:start w:val="1"/>
      <w:numFmt w:val="decimal"/>
      <w:lvlText w:val="%1.%2"/>
      <w:lvlJc w:val="left"/>
      <w:pPr>
        <w:ind w:left="1382" w:hanging="565"/>
        <w:jc w:val="left"/>
      </w:pPr>
      <w:rPr>
        <w:rFonts w:hint="default"/>
      </w:rPr>
    </w:lvl>
    <w:lvl w:ilvl="2">
      <w:start w:val="1"/>
      <w:numFmt w:val="decimal"/>
      <w:lvlText w:val="%1.%2.%3."/>
      <w:lvlJc w:val="left"/>
      <w:pPr>
        <w:ind w:left="1382" w:hanging="565"/>
        <w:jc w:val="right"/>
      </w:pPr>
      <w:rPr>
        <w:rFonts w:ascii="Cambria" w:eastAsia="Cambria" w:hAnsi="Cambria" w:cs="Cambria" w:hint="default"/>
        <w:b/>
        <w:bCs/>
        <w:color w:val="231F20"/>
        <w:spacing w:val="-1"/>
        <w:w w:val="100"/>
        <w:sz w:val="21"/>
        <w:szCs w:val="21"/>
      </w:rPr>
    </w:lvl>
    <w:lvl w:ilvl="3">
      <w:numFmt w:val="bullet"/>
      <w:lvlText w:val="•"/>
      <w:lvlJc w:val="left"/>
      <w:pPr>
        <w:ind w:left="3121" w:hanging="565"/>
      </w:pPr>
      <w:rPr>
        <w:rFonts w:hint="default"/>
      </w:rPr>
    </w:lvl>
    <w:lvl w:ilvl="4">
      <w:numFmt w:val="bullet"/>
      <w:lvlText w:val="•"/>
      <w:lvlJc w:val="left"/>
      <w:pPr>
        <w:ind w:left="3701" w:hanging="565"/>
      </w:pPr>
      <w:rPr>
        <w:rFonts w:hint="default"/>
      </w:rPr>
    </w:lvl>
    <w:lvl w:ilvl="5">
      <w:numFmt w:val="bullet"/>
      <w:lvlText w:val="•"/>
      <w:lvlJc w:val="left"/>
      <w:pPr>
        <w:ind w:left="4281" w:hanging="565"/>
      </w:pPr>
      <w:rPr>
        <w:rFonts w:hint="default"/>
      </w:rPr>
    </w:lvl>
    <w:lvl w:ilvl="6">
      <w:numFmt w:val="bullet"/>
      <w:lvlText w:val="•"/>
      <w:lvlJc w:val="left"/>
      <w:pPr>
        <w:ind w:left="4862" w:hanging="565"/>
      </w:pPr>
      <w:rPr>
        <w:rFonts w:hint="default"/>
      </w:rPr>
    </w:lvl>
    <w:lvl w:ilvl="7">
      <w:numFmt w:val="bullet"/>
      <w:lvlText w:val="•"/>
      <w:lvlJc w:val="left"/>
      <w:pPr>
        <w:ind w:left="5442" w:hanging="565"/>
      </w:pPr>
      <w:rPr>
        <w:rFonts w:hint="default"/>
      </w:rPr>
    </w:lvl>
    <w:lvl w:ilvl="8">
      <w:numFmt w:val="bullet"/>
      <w:lvlText w:val="•"/>
      <w:lvlJc w:val="left"/>
      <w:pPr>
        <w:ind w:left="6023" w:hanging="565"/>
      </w:pPr>
      <w:rPr>
        <w:rFonts w:hint="default"/>
      </w:rPr>
    </w:lvl>
  </w:abstractNum>
  <w:abstractNum w:abstractNumId="99">
    <w:nsid w:val="29055717"/>
    <w:multiLevelType w:val="multilevel"/>
    <w:tmpl w:val="882465DA"/>
    <w:lvl w:ilvl="0">
      <w:start w:val="4"/>
      <w:numFmt w:val="decimal"/>
      <w:lvlText w:val="%1"/>
      <w:lvlJc w:val="left"/>
      <w:pPr>
        <w:ind w:left="2452" w:hanging="411"/>
        <w:jc w:val="left"/>
      </w:pPr>
      <w:rPr>
        <w:rFonts w:hint="default"/>
      </w:rPr>
    </w:lvl>
    <w:lvl w:ilvl="1">
      <w:start w:val="1"/>
      <w:numFmt w:val="decimal"/>
      <w:lvlText w:val="%1.%2."/>
      <w:lvlJc w:val="left"/>
      <w:pPr>
        <w:ind w:left="2452" w:hanging="411"/>
        <w:jc w:val="right"/>
      </w:pPr>
      <w:rPr>
        <w:rFonts w:ascii="Cambria" w:eastAsia="Cambria" w:hAnsi="Cambria" w:cs="Cambria" w:hint="default"/>
        <w:b/>
        <w:bCs/>
        <w:color w:val="231F20"/>
        <w:spacing w:val="-1"/>
        <w:w w:val="100"/>
        <w:sz w:val="22"/>
        <w:szCs w:val="22"/>
      </w:rPr>
    </w:lvl>
    <w:lvl w:ilvl="2">
      <w:numFmt w:val="bullet"/>
      <w:lvlText w:val="–"/>
      <w:lvlJc w:val="left"/>
      <w:pPr>
        <w:ind w:left="533" w:hanging="284"/>
      </w:pPr>
      <w:rPr>
        <w:rFonts w:ascii="Cambria" w:eastAsia="Cambria" w:hAnsi="Cambria" w:cs="Cambria" w:hint="default"/>
        <w:color w:val="231F20"/>
        <w:spacing w:val="-21"/>
        <w:w w:val="100"/>
        <w:sz w:val="21"/>
        <w:szCs w:val="21"/>
      </w:rPr>
    </w:lvl>
    <w:lvl w:ilvl="3">
      <w:numFmt w:val="bullet"/>
      <w:lvlText w:val="•"/>
      <w:lvlJc w:val="left"/>
      <w:pPr>
        <w:ind w:left="3509" w:hanging="284"/>
      </w:pPr>
      <w:rPr>
        <w:rFonts w:hint="default"/>
      </w:rPr>
    </w:lvl>
    <w:lvl w:ilvl="4">
      <w:numFmt w:val="bullet"/>
      <w:lvlText w:val="•"/>
      <w:lvlJc w:val="left"/>
      <w:pPr>
        <w:ind w:left="4034" w:hanging="284"/>
      </w:pPr>
      <w:rPr>
        <w:rFonts w:hint="default"/>
      </w:rPr>
    </w:lvl>
    <w:lvl w:ilvl="5">
      <w:numFmt w:val="bullet"/>
      <w:lvlText w:val="•"/>
      <w:lvlJc w:val="left"/>
      <w:pPr>
        <w:ind w:left="4559" w:hanging="284"/>
      </w:pPr>
      <w:rPr>
        <w:rFonts w:hint="default"/>
      </w:rPr>
    </w:lvl>
    <w:lvl w:ilvl="6">
      <w:numFmt w:val="bullet"/>
      <w:lvlText w:val="•"/>
      <w:lvlJc w:val="left"/>
      <w:pPr>
        <w:ind w:left="5084" w:hanging="284"/>
      </w:pPr>
      <w:rPr>
        <w:rFonts w:hint="default"/>
      </w:rPr>
    </w:lvl>
    <w:lvl w:ilvl="7">
      <w:numFmt w:val="bullet"/>
      <w:lvlText w:val="•"/>
      <w:lvlJc w:val="left"/>
      <w:pPr>
        <w:ind w:left="5609" w:hanging="284"/>
      </w:pPr>
      <w:rPr>
        <w:rFonts w:hint="default"/>
      </w:rPr>
    </w:lvl>
    <w:lvl w:ilvl="8">
      <w:numFmt w:val="bullet"/>
      <w:lvlText w:val="•"/>
      <w:lvlJc w:val="left"/>
      <w:pPr>
        <w:ind w:left="6134" w:hanging="284"/>
      </w:pPr>
      <w:rPr>
        <w:rFonts w:hint="default"/>
      </w:rPr>
    </w:lvl>
  </w:abstractNum>
  <w:abstractNum w:abstractNumId="100">
    <w:nsid w:val="297C3859"/>
    <w:multiLevelType w:val="hybridMultilevel"/>
    <w:tmpl w:val="E5383E9C"/>
    <w:lvl w:ilvl="0" w:tplc="72824E22">
      <w:start w:val="5"/>
      <w:numFmt w:val="decimal"/>
      <w:lvlText w:val="%1."/>
      <w:lvlJc w:val="left"/>
      <w:pPr>
        <w:ind w:left="250" w:hanging="288"/>
        <w:jc w:val="right"/>
      </w:pPr>
      <w:rPr>
        <w:rFonts w:ascii="Cambria" w:eastAsia="Cambria" w:hAnsi="Cambria" w:cs="Cambria" w:hint="default"/>
        <w:color w:val="231F20"/>
        <w:spacing w:val="-11"/>
        <w:w w:val="100"/>
        <w:sz w:val="21"/>
        <w:szCs w:val="21"/>
      </w:rPr>
    </w:lvl>
    <w:lvl w:ilvl="1" w:tplc="C2EEC652">
      <w:start w:val="5"/>
      <w:numFmt w:val="decimal"/>
      <w:lvlText w:val="%2."/>
      <w:lvlJc w:val="left"/>
      <w:pPr>
        <w:ind w:left="533" w:hanging="284"/>
        <w:jc w:val="left"/>
      </w:pPr>
      <w:rPr>
        <w:rFonts w:ascii="Cambria" w:eastAsia="Cambria" w:hAnsi="Cambria" w:cs="Cambria" w:hint="default"/>
        <w:color w:val="231F20"/>
        <w:spacing w:val="-24"/>
        <w:w w:val="100"/>
        <w:sz w:val="21"/>
        <w:szCs w:val="21"/>
      </w:rPr>
    </w:lvl>
    <w:lvl w:ilvl="2" w:tplc="ADA4E7BE">
      <w:numFmt w:val="bullet"/>
      <w:lvlText w:val="•"/>
      <w:lvlJc w:val="left"/>
      <w:pPr>
        <w:ind w:left="1278" w:hanging="284"/>
      </w:pPr>
      <w:rPr>
        <w:rFonts w:hint="default"/>
      </w:rPr>
    </w:lvl>
    <w:lvl w:ilvl="3" w:tplc="08668A56">
      <w:numFmt w:val="bullet"/>
      <w:lvlText w:val="•"/>
      <w:lvlJc w:val="left"/>
      <w:pPr>
        <w:ind w:left="2016" w:hanging="284"/>
      </w:pPr>
      <w:rPr>
        <w:rFonts w:hint="default"/>
      </w:rPr>
    </w:lvl>
    <w:lvl w:ilvl="4" w:tplc="6D0AA232">
      <w:numFmt w:val="bullet"/>
      <w:lvlText w:val="•"/>
      <w:lvlJc w:val="left"/>
      <w:pPr>
        <w:ind w:left="2754" w:hanging="284"/>
      </w:pPr>
      <w:rPr>
        <w:rFonts w:hint="default"/>
      </w:rPr>
    </w:lvl>
    <w:lvl w:ilvl="5" w:tplc="DF2076B6">
      <w:numFmt w:val="bullet"/>
      <w:lvlText w:val="•"/>
      <w:lvlJc w:val="left"/>
      <w:pPr>
        <w:ind w:left="3492" w:hanging="284"/>
      </w:pPr>
      <w:rPr>
        <w:rFonts w:hint="default"/>
      </w:rPr>
    </w:lvl>
    <w:lvl w:ilvl="6" w:tplc="B04C08AE">
      <w:numFmt w:val="bullet"/>
      <w:lvlText w:val="•"/>
      <w:lvlJc w:val="left"/>
      <w:pPr>
        <w:ind w:left="4231" w:hanging="284"/>
      </w:pPr>
      <w:rPr>
        <w:rFonts w:hint="default"/>
      </w:rPr>
    </w:lvl>
    <w:lvl w:ilvl="7" w:tplc="56EAE63A">
      <w:numFmt w:val="bullet"/>
      <w:lvlText w:val="•"/>
      <w:lvlJc w:val="left"/>
      <w:pPr>
        <w:ind w:left="4969" w:hanging="284"/>
      </w:pPr>
      <w:rPr>
        <w:rFonts w:hint="default"/>
      </w:rPr>
    </w:lvl>
    <w:lvl w:ilvl="8" w:tplc="F88CDD60">
      <w:numFmt w:val="bullet"/>
      <w:lvlText w:val="•"/>
      <w:lvlJc w:val="left"/>
      <w:pPr>
        <w:ind w:left="5707" w:hanging="284"/>
      </w:pPr>
      <w:rPr>
        <w:rFonts w:hint="default"/>
      </w:rPr>
    </w:lvl>
  </w:abstractNum>
  <w:abstractNum w:abstractNumId="101">
    <w:nsid w:val="2A0254D7"/>
    <w:multiLevelType w:val="hybridMultilevel"/>
    <w:tmpl w:val="23E6B8AE"/>
    <w:lvl w:ilvl="0" w:tplc="65C00C42">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A5D8BA00">
      <w:numFmt w:val="bullet"/>
      <w:lvlText w:val="•"/>
      <w:lvlJc w:val="left"/>
      <w:pPr>
        <w:ind w:left="1204" w:hanging="284"/>
      </w:pPr>
      <w:rPr>
        <w:rFonts w:hint="default"/>
      </w:rPr>
    </w:lvl>
    <w:lvl w:ilvl="2" w:tplc="2D989D4A">
      <w:numFmt w:val="bullet"/>
      <w:lvlText w:val="•"/>
      <w:lvlJc w:val="left"/>
      <w:pPr>
        <w:ind w:left="1868" w:hanging="284"/>
      </w:pPr>
      <w:rPr>
        <w:rFonts w:hint="default"/>
      </w:rPr>
    </w:lvl>
    <w:lvl w:ilvl="3" w:tplc="A1A26AB0">
      <w:numFmt w:val="bullet"/>
      <w:lvlText w:val="•"/>
      <w:lvlJc w:val="left"/>
      <w:pPr>
        <w:ind w:left="2533" w:hanging="284"/>
      </w:pPr>
      <w:rPr>
        <w:rFonts w:hint="default"/>
      </w:rPr>
    </w:lvl>
    <w:lvl w:ilvl="4" w:tplc="829AEBDA">
      <w:numFmt w:val="bullet"/>
      <w:lvlText w:val="•"/>
      <w:lvlJc w:val="left"/>
      <w:pPr>
        <w:ind w:left="3197" w:hanging="284"/>
      </w:pPr>
      <w:rPr>
        <w:rFonts w:hint="default"/>
      </w:rPr>
    </w:lvl>
    <w:lvl w:ilvl="5" w:tplc="B93CE310">
      <w:numFmt w:val="bullet"/>
      <w:lvlText w:val="•"/>
      <w:lvlJc w:val="left"/>
      <w:pPr>
        <w:ind w:left="3861" w:hanging="284"/>
      </w:pPr>
      <w:rPr>
        <w:rFonts w:hint="default"/>
      </w:rPr>
    </w:lvl>
    <w:lvl w:ilvl="6" w:tplc="65FA9F8C">
      <w:numFmt w:val="bullet"/>
      <w:lvlText w:val="•"/>
      <w:lvlJc w:val="left"/>
      <w:pPr>
        <w:ind w:left="4526" w:hanging="284"/>
      </w:pPr>
      <w:rPr>
        <w:rFonts w:hint="default"/>
      </w:rPr>
    </w:lvl>
    <w:lvl w:ilvl="7" w:tplc="657EFE6E">
      <w:numFmt w:val="bullet"/>
      <w:lvlText w:val="•"/>
      <w:lvlJc w:val="left"/>
      <w:pPr>
        <w:ind w:left="5190" w:hanging="284"/>
      </w:pPr>
      <w:rPr>
        <w:rFonts w:hint="default"/>
      </w:rPr>
    </w:lvl>
    <w:lvl w:ilvl="8" w:tplc="8772C4F0">
      <w:numFmt w:val="bullet"/>
      <w:lvlText w:val="•"/>
      <w:lvlJc w:val="left"/>
      <w:pPr>
        <w:ind w:left="5855" w:hanging="284"/>
      </w:pPr>
      <w:rPr>
        <w:rFonts w:hint="default"/>
      </w:rPr>
    </w:lvl>
  </w:abstractNum>
  <w:abstractNum w:abstractNumId="102">
    <w:nsid w:val="2A0A6A82"/>
    <w:multiLevelType w:val="hybridMultilevel"/>
    <w:tmpl w:val="7C2AB2E8"/>
    <w:lvl w:ilvl="0" w:tplc="1E04D1CA">
      <w:numFmt w:val="bullet"/>
      <w:lvlText w:val="•"/>
      <w:lvlJc w:val="left"/>
      <w:pPr>
        <w:ind w:left="533" w:hanging="284"/>
      </w:pPr>
      <w:rPr>
        <w:rFonts w:ascii="Cambria" w:eastAsia="Cambria" w:hAnsi="Cambria" w:cs="Cambria" w:hint="default"/>
        <w:color w:val="231F20"/>
        <w:spacing w:val="-21"/>
        <w:w w:val="100"/>
        <w:sz w:val="21"/>
        <w:szCs w:val="21"/>
      </w:rPr>
    </w:lvl>
    <w:lvl w:ilvl="1" w:tplc="EB664190">
      <w:numFmt w:val="bullet"/>
      <w:lvlText w:val="•"/>
      <w:lvlJc w:val="left"/>
      <w:pPr>
        <w:ind w:left="1204" w:hanging="284"/>
      </w:pPr>
      <w:rPr>
        <w:rFonts w:hint="default"/>
      </w:rPr>
    </w:lvl>
    <w:lvl w:ilvl="2" w:tplc="840AD264">
      <w:numFmt w:val="bullet"/>
      <w:lvlText w:val="•"/>
      <w:lvlJc w:val="left"/>
      <w:pPr>
        <w:ind w:left="1868" w:hanging="284"/>
      </w:pPr>
      <w:rPr>
        <w:rFonts w:hint="default"/>
      </w:rPr>
    </w:lvl>
    <w:lvl w:ilvl="3" w:tplc="FB1CFBA6">
      <w:numFmt w:val="bullet"/>
      <w:lvlText w:val="•"/>
      <w:lvlJc w:val="left"/>
      <w:pPr>
        <w:ind w:left="2533" w:hanging="284"/>
      </w:pPr>
      <w:rPr>
        <w:rFonts w:hint="default"/>
      </w:rPr>
    </w:lvl>
    <w:lvl w:ilvl="4" w:tplc="99143ECC">
      <w:numFmt w:val="bullet"/>
      <w:lvlText w:val="•"/>
      <w:lvlJc w:val="left"/>
      <w:pPr>
        <w:ind w:left="3197" w:hanging="284"/>
      </w:pPr>
      <w:rPr>
        <w:rFonts w:hint="default"/>
      </w:rPr>
    </w:lvl>
    <w:lvl w:ilvl="5" w:tplc="A16074A0">
      <w:numFmt w:val="bullet"/>
      <w:lvlText w:val="•"/>
      <w:lvlJc w:val="left"/>
      <w:pPr>
        <w:ind w:left="3861" w:hanging="284"/>
      </w:pPr>
      <w:rPr>
        <w:rFonts w:hint="default"/>
      </w:rPr>
    </w:lvl>
    <w:lvl w:ilvl="6" w:tplc="986288D2">
      <w:numFmt w:val="bullet"/>
      <w:lvlText w:val="•"/>
      <w:lvlJc w:val="left"/>
      <w:pPr>
        <w:ind w:left="4526" w:hanging="284"/>
      </w:pPr>
      <w:rPr>
        <w:rFonts w:hint="default"/>
      </w:rPr>
    </w:lvl>
    <w:lvl w:ilvl="7" w:tplc="62B8C4AC">
      <w:numFmt w:val="bullet"/>
      <w:lvlText w:val="•"/>
      <w:lvlJc w:val="left"/>
      <w:pPr>
        <w:ind w:left="5190" w:hanging="284"/>
      </w:pPr>
      <w:rPr>
        <w:rFonts w:hint="default"/>
      </w:rPr>
    </w:lvl>
    <w:lvl w:ilvl="8" w:tplc="A8A89FC8">
      <w:numFmt w:val="bullet"/>
      <w:lvlText w:val="•"/>
      <w:lvlJc w:val="left"/>
      <w:pPr>
        <w:ind w:left="5855" w:hanging="284"/>
      </w:pPr>
      <w:rPr>
        <w:rFonts w:hint="default"/>
      </w:rPr>
    </w:lvl>
  </w:abstractNum>
  <w:abstractNum w:abstractNumId="103">
    <w:nsid w:val="2B1D2B80"/>
    <w:multiLevelType w:val="hybridMultilevel"/>
    <w:tmpl w:val="285C9AD6"/>
    <w:lvl w:ilvl="0" w:tplc="92F652FE">
      <w:start w:val="1"/>
      <w:numFmt w:val="decimal"/>
      <w:lvlText w:val="%1)"/>
      <w:lvlJc w:val="left"/>
      <w:pPr>
        <w:ind w:left="533" w:hanging="284"/>
        <w:jc w:val="left"/>
      </w:pPr>
      <w:rPr>
        <w:rFonts w:ascii="Cambria" w:eastAsia="Cambria" w:hAnsi="Cambria" w:cs="Cambria" w:hint="default"/>
        <w:color w:val="231F20"/>
        <w:spacing w:val="-22"/>
        <w:w w:val="100"/>
        <w:sz w:val="21"/>
        <w:szCs w:val="21"/>
      </w:rPr>
    </w:lvl>
    <w:lvl w:ilvl="1" w:tplc="2BA00562">
      <w:numFmt w:val="bullet"/>
      <w:lvlText w:val="•"/>
      <w:lvlJc w:val="left"/>
      <w:pPr>
        <w:ind w:left="1204" w:hanging="284"/>
      </w:pPr>
      <w:rPr>
        <w:rFonts w:hint="default"/>
      </w:rPr>
    </w:lvl>
    <w:lvl w:ilvl="2" w:tplc="C9B80E0A">
      <w:numFmt w:val="bullet"/>
      <w:lvlText w:val="•"/>
      <w:lvlJc w:val="left"/>
      <w:pPr>
        <w:ind w:left="1868" w:hanging="284"/>
      </w:pPr>
      <w:rPr>
        <w:rFonts w:hint="default"/>
      </w:rPr>
    </w:lvl>
    <w:lvl w:ilvl="3" w:tplc="16681354">
      <w:numFmt w:val="bullet"/>
      <w:lvlText w:val="•"/>
      <w:lvlJc w:val="left"/>
      <w:pPr>
        <w:ind w:left="2533" w:hanging="284"/>
      </w:pPr>
      <w:rPr>
        <w:rFonts w:hint="default"/>
      </w:rPr>
    </w:lvl>
    <w:lvl w:ilvl="4" w:tplc="BEECF22C">
      <w:numFmt w:val="bullet"/>
      <w:lvlText w:val="•"/>
      <w:lvlJc w:val="left"/>
      <w:pPr>
        <w:ind w:left="3197" w:hanging="284"/>
      </w:pPr>
      <w:rPr>
        <w:rFonts w:hint="default"/>
      </w:rPr>
    </w:lvl>
    <w:lvl w:ilvl="5" w:tplc="0D46924E">
      <w:numFmt w:val="bullet"/>
      <w:lvlText w:val="•"/>
      <w:lvlJc w:val="left"/>
      <w:pPr>
        <w:ind w:left="3861" w:hanging="284"/>
      </w:pPr>
      <w:rPr>
        <w:rFonts w:hint="default"/>
      </w:rPr>
    </w:lvl>
    <w:lvl w:ilvl="6" w:tplc="5122E1D4">
      <w:numFmt w:val="bullet"/>
      <w:lvlText w:val="•"/>
      <w:lvlJc w:val="left"/>
      <w:pPr>
        <w:ind w:left="4526" w:hanging="284"/>
      </w:pPr>
      <w:rPr>
        <w:rFonts w:hint="default"/>
      </w:rPr>
    </w:lvl>
    <w:lvl w:ilvl="7" w:tplc="03567026">
      <w:numFmt w:val="bullet"/>
      <w:lvlText w:val="•"/>
      <w:lvlJc w:val="left"/>
      <w:pPr>
        <w:ind w:left="5190" w:hanging="284"/>
      </w:pPr>
      <w:rPr>
        <w:rFonts w:hint="default"/>
      </w:rPr>
    </w:lvl>
    <w:lvl w:ilvl="8" w:tplc="DE7E233C">
      <w:numFmt w:val="bullet"/>
      <w:lvlText w:val="•"/>
      <w:lvlJc w:val="left"/>
      <w:pPr>
        <w:ind w:left="5855" w:hanging="284"/>
      </w:pPr>
      <w:rPr>
        <w:rFonts w:hint="default"/>
      </w:rPr>
    </w:lvl>
  </w:abstractNum>
  <w:abstractNum w:abstractNumId="104">
    <w:nsid w:val="2B65039C"/>
    <w:multiLevelType w:val="hybridMultilevel"/>
    <w:tmpl w:val="27C2A602"/>
    <w:lvl w:ilvl="0" w:tplc="1A6263DA">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35C8AFFA">
      <w:numFmt w:val="bullet"/>
      <w:lvlText w:val="•"/>
      <w:lvlJc w:val="left"/>
      <w:pPr>
        <w:ind w:left="952" w:hanging="284"/>
      </w:pPr>
      <w:rPr>
        <w:rFonts w:hint="default"/>
      </w:rPr>
    </w:lvl>
    <w:lvl w:ilvl="2" w:tplc="7C02BB4A">
      <w:numFmt w:val="bullet"/>
      <w:lvlText w:val="•"/>
      <w:lvlJc w:val="left"/>
      <w:pPr>
        <w:ind w:left="1644" w:hanging="284"/>
      </w:pPr>
      <w:rPr>
        <w:rFonts w:hint="default"/>
      </w:rPr>
    </w:lvl>
    <w:lvl w:ilvl="3" w:tplc="B750F6F8">
      <w:numFmt w:val="bullet"/>
      <w:lvlText w:val="•"/>
      <w:lvlJc w:val="left"/>
      <w:pPr>
        <w:ind w:left="2337" w:hanging="284"/>
      </w:pPr>
      <w:rPr>
        <w:rFonts w:hint="default"/>
      </w:rPr>
    </w:lvl>
    <w:lvl w:ilvl="4" w:tplc="475CEF1A">
      <w:numFmt w:val="bullet"/>
      <w:lvlText w:val="•"/>
      <w:lvlJc w:val="left"/>
      <w:pPr>
        <w:ind w:left="3029" w:hanging="284"/>
      </w:pPr>
      <w:rPr>
        <w:rFonts w:hint="default"/>
      </w:rPr>
    </w:lvl>
    <w:lvl w:ilvl="5" w:tplc="6A801D68">
      <w:numFmt w:val="bullet"/>
      <w:lvlText w:val="•"/>
      <w:lvlJc w:val="left"/>
      <w:pPr>
        <w:ind w:left="3721" w:hanging="284"/>
      </w:pPr>
      <w:rPr>
        <w:rFonts w:hint="default"/>
      </w:rPr>
    </w:lvl>
    <w:lvl w:ilvl="6" w:tplc="70CCA85E">
      <w:numFmt w:val="bullet"/>
      <w:lvlText w:val="•"/>
      <w:lvlJc w:val="left"/>
      <w:pPr>
        <w:ind w:left="4414" w:hanging="284"/>
      </w:pPr>
      <w:rPr>
        <w:rFonts w:hint="default"/>
      </w:rPr>
    </w:lvl>
    <w:lvl w:ilvl="7" w:tplc="87E6EBBA">
      <w:numFmt w:val="bullet"/>
      <w:lvlText w:val="•"/>
      <w:lvlJc w:val="left"/>
      <w:pPr>
        <w:ind w:left="5106" w:hanging="284"/>
      </w:pPr>
      <w:rPr>
        <w:rFonts w:hint="default"/>
      </w:rPr>
    </w:lvl>
    <w:lvl w:ilvl="8" w:tplc="FD8469B4">
      <w:numFmt w:val="bullet"/>
      <w:lvlText w:val="•"/>
      <w:lvlJc w:val="left"/>
      <w:pPr>
        <w:ind w:left="5799" w:hanging="284"/>
      </w:pPr>
      <w:rPr>
        <w:rFonts w:hint="default"/>
      </w:rPr>
    </w:lvl>
  </w:abstractNum>
  <w:abstractNum w:abstractNumId="105">
    <w:nsid w:val="2BBE5DE0"/>
    <w:multiLevelType w:val="hybridMultilevel"/>
    <w:tmpl w:val="41D045B2"/>
    <w:lvl w:ilvl="0" w:tplc="20BAE3D8">
      <w:numFmt w:val="bullet"/>
      <w:lvlText w:val=""/>
      <w:lvlJc w:val="left"/>
      <w:pPr>
        <w:ind w:left="533" w:hanging="284"/>
      </w:pPr>
      <w:rPr>
        <w:rFonts w:ascii="Wingdings" w:eastAsia="Wingdings" w:hAnsi="Wingdings" w:cs="Wingdings" w:hint="default"/>
        <w:color w:val="231F20"/>
        <w:w w:val="100"/>
        <w:sz w:val="21"/>
        <w:szCs w:val="21"/>
      </w:rPr>
    </w:lvl>
    <w:lvl w:ilvl="1" w:tplc="99305FDE">
      <w:numFmt w:val="bullet"/>
      <w:lvlText w:val="•"/>
      <w:lvlJc w:val="left"/>
      <w:pPr>
        <w:ind w:left="1204" w:hanging="284"/>
      </w:pPr>
      <w:rPr>
        <w:rFonts w:hint="default"/>
      </w:rPr>
    </w:lvl>
    <w:lvl w:ilvl="2" w:tplc="1B6EB236">
      <w:numFmt w:val="bullet"/>
      <w:lvlText w:val="•"/>
      <w:lvlJc w:val="left"/>
      <w:pPr>
        <w:ind w:left="1868" w:hanging="284"/>
      </w:pPr>
      <w:rPr>
        <w:rFonts w:hint="default"/>
      </w:rPr>
    </w:lvl>
    <w:lvl w:ilvl="3" w:tplc="4A425D78">
      <w:numFmt w:val="bullet"/>
      <w:lvlText w:val="•"/>
      <w:lvlJc w:val="left"/>
      <w:pPr>
        <w:ind w:left="2533" w:hanging="284"/>
      </w:pPr>
      <w:rPr>
        <w:rFonts w:hint="default"/>
      </w:rPr>
    </w:lvl>
    <w:lvl w:ilvl="4" w:tplc="2D0EDF98">
      <w:numFmt w:val="bullet"/>
      <w:lvlText w:val="•"/>
      <w:lvlJc w:val="left"/>
      <w:pPr>
        <w:ind w:left="3197" w:hanging="284"/>
      </w:pPr>
      <w:rPr>
        <w:rFonts w:hint="default"/>
      </w:rPr>
    </w:lvl>
    <w:lvl w:ilvl="5" w:tplc="84B22D2A">
      <w:numFmt w:val="bullet"/>
      <w:lvlText w:val="•"/>
      <w:lvlJc w:val="left"/>
      <w:pPr>
        <w:ind w:left="3861" w:hanging="284"/>
      </w:pPr>
      <w:rPr>
        <w:rFonts w:hint="default"/>
      </w:rPr>
    </w:lvl>
    <w:lvl w:ilvl="6" w:tplc="EFCE4F5C">
      <w:numFmt w:val="bullet"/>
      <w:lvlText w:val="•"/>
      <w:lvlJc w:val="left"/>
      <w:pPr>
        <w:ind w:left="4526" w:hanging="284"/>
      </w:pPr>
      <w:rPr>
        <w:rFonts w:hint="default"/>
      </w:rPr>
    </w:lvl>
    <w:lvl w:ilvl="7" w:tplc="0364882E">
      <w:numFmt w:val="bullet"/>
      <w:lvlText w:val="•"/>
      <w:lvlJc w:val="left"/>
      <w:pPr>
        <w:ind w:left="5190" w:hanging="284"/>
      </w:pPr>
      <w:rPr>
        <w:rFonts w:hint="default"/>
      </w:rPr>
    </w:lvl>
    <w:lvl w:ilvl="8" w:tplc="B67E8CA0">
      <w:numFmt w:val="bullet"/>
      <w:lvlText w:val="•"/>
      <w:lvlJc w:val="left"/>
      <w:pPr>
        <w:ind w:left="5855" w:hanging="284"/>
      </w:pPr>
      <w:rPr>
        <w:rFonts w:hint="default"/>
      </w:rPr>
    </w:lvl>
  </w:abstractNum>
  <w:abstractNum w:abstractNumId="106">
    <w:nsid w:val="2BCA2814"/>
    <w:multiLevelType w:val="hybridMultilevel"/>
    <w:tmpl w:val="A89ABC1E"/>
    <w:lvl w:ilvl="0" w:tplc="4EEAD84E">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C28AAA86">
      <w:start w:val="3"/>
      <w:numFmt w:val="decimal"/>
      <w:lvlText w:val="%2)"/>
      <w:lvlJc w:val="left"/>
      <w:pPr>
        <w:ind w:left="533" w:hanging="284"/>
        <w:jc w:val="left"/>
      </w:pPr>
      <w:rPr>
        <w:rFonts w:ascii="Cambria" w:eastAsia="Cambria" w:hAnsi="Cambria" w:cs="Cambria" w:hint="default"/>
        <w:color w:val="231F20"/>
        <w:spacing w:val="-6"/>
        <w:w w:val="100"/>
        <w:sz w:val="21"/>
        <w:szCs w:val="21"/>
      </w:rPr>
    </w:lvl>
    <w:lvl w:ilvl="2" w:tplc="4D8C6838">
      <w:numFmt w:val="bullet"/>
      <w:lvlText w:val="•"/>
      <w:lvlJc w:val="left"/>
      <w:pPr>
        <w:ind w:left="1278" w:hanging="284"/>
      </w:pPr>
      <w:rPr>
        <w:rFonts w:hint="default"/>
      </w:rPr>
    </w:lvl>
    <w:lvl w:ilvl="3" w:tplc="C8F05012">
      <w:numFmt w:val="bullet"/>
      <w:lvlText w:val="•"/>
      <w:lvlJc w:val="left"/>
      <w:pPr>
        <w:ind w:left="2016" w:hanging="284"/>
      </w:pPr>
      <w:rPr>
        <w:rFonts w:hint="default"/>
      </w:rPr>
    </w:lvl>
    <w:lvl w:ilvl="4" w:tplc="3D2AE9F2">
      <w:numFmt w:val="bullet"/>
      <w:lvlText w:val="•"/>
      <w:lvlJc w:val="left"/>
      <w:pPr>
        <w:ind w:left="2754" w:hanging="284"/>
      </w:pPr>
      <w:rPr>
        <w:rFonts w:hint="default"/>
      </w:rPr>
    </w:lvl>
    <w:lvl w:ilvl="5" w:tplc="99F26CBA">
      <w:numFmt w:val="bullet"/>
      <w:lvlText w:val="•"/>
      <w:lvlJc w:val="left"/>
      <w:pPr>
        <w:ind w:left="3492" w:hanging="284"/>
      </w:pPr>
      <w:rPr>
        <w:rFonts w:hint="default"/>
      </w:rPr>
    </w:lvl>
    <w:lvl w:ilvl="6" w:tplc="9260E3AE">
      <w:numFmt w:val="bullet"/>
      <w:lvlText w:val="•"/>
      <w:lvlJc w:val="left"/>
      <w:pPr>
        <w:ind w:left="4231" w:hanging="284"/>
      </w:pPr>
      <w:rPr>
        <w:rFonts w:hint="default"/>
      </w:rPr>
    </w:lvl>
    <w:lvl w:ilvl="7" w:tplc="13DC51A4">
      <w:numFmt w:val="bullet"/>
      <w:lvlText w:val="•"/>
      <w:lvlJc w:val="left"/>
      <w:pPr>
        <w:ind w:left="4969" w:hanging="284"/>
      </w:pPr>
      <w:rPr>
        <w:rFonts w:hint="default"/>
      </w:rPr>
    </w:lvl>
    <w:lvl w:ilvl="8" w:tplc="7660AB50">
      <w:numFmt w:val="bullet"/>
      <w:lvlText w:val="•"/>
      <w:lvlJc w:val="left"/>
      <w:pPr>
        <w:ind w:left="5707" w:hanging="284"/>
      </w:pPr>
      <w:rPr>
        <w:rFonts w:hint="default"/>
      </w:rPr>
    </w:lvl>
  </w:abstractNum>
  <w:abstractNum w:abstractNumId="107">
    <w:nsid w:val="2C55782F"/>
    <w:multiLevelType w:val="hybridMultilevel"/>
    <w:tmpl w:val="FA041A16"/>
    <w:lvl w:ilvl="0" w:tplc="03BC817E">
      <w:numFmt w:val="bullet"/>
      <w:lvlText w:val=""/>
      <w:lvlJc w:val="left"/>
      <w:pPr>
        <w:ind w:left="533" w:hanging="284"/>
      </w:pPr>
      <w:rPr>
        <w:rFonts w:ascii="Wingdings" w:eastAsia="Wingdings" w:hAnsi="Wingdings" w:cs="Wingdings" w:hint="default"/>
        <w:color w:val="231F20"/>
        <w:w w:val="100"/>
        <w:sz w:val="21"/>
        <w:szCs w:val="21"/>
      </w:rPr>
    </w:lvl>
    <w:lvl w:ilvl="1" w:tplc="40AEA81A">
      <w:numFmt w:val="bullet"/>
      <w:lvlText w:val="•"/>
      <w:lvlJc w:val="left"/>
      <w:pPr>
        <w:ind w:left="1204" w:hanging="284"/>
      </w:pPr>
      <w:rPr>
        <w:rFonts w:hint="default"/>
      </w:rPr>
    </w:lvl>
    <w:lvl w:ilvl="2" w:tplc="910E490A">
      <w:numFmt w:val="bullet"/>
      <w:lvlText w:val="•"/>
      <w:lvlJc w:val="left"/>
      <w:pPr>
        <w:ind w:left="1868" w:hanging="284"/>
      </w:pPr>
      <w:rPr>
        <w:rFonts w:hint="default"/>
      </w:rPr>
    </w:lvl>
    <w:lvl w:ilvl="3" w:tplc="994C5E40">
      <w:numFmt w:val="bullet"/>
      <w:lvlText w:val="•"/>
      <w:lvlJc w:val="left"/>
      <w:pPr>
        <w:ind w:left="2533" w:hanging="284"/>
      </w:pPr>
      <w:rPr>
        <w:rFonts w:hint="default"/>
      </w:rPr>
    </w:lvl>
    <w:lvl w:ilvl="4" w:tplc="177EA24E">
      <w:numFmt w:val="bullet"/>
      <w:lvlText w:val="•"/>
      <w:lvlJc w:val="left"/>
      <w:pPr>
        <w:ind w:left="3197" w:hanging="284"/>
      </w:pPr>
      <w:rPr>
        <w:rFonts w:hint="default"/>
      </w:rPr>
    </w:lvl>
    <w:lvl w:ilvl="5" w:tplc="1DC4312A">
      <w:numFmt w:val="bullet"/>
      <w:lvlText w:val="•"/>
      <w:lvlJc w:val="left"/>
      <w:pPr>
        <w:ind w:left="3861" w:hanging="284"/>
      </w:pPr>
      <w:rPr>
        <w:rFonts w:hint="default"/>
      </w:rPr>
    </w:lvl>
    <w:lvl w:ilvl="6" w:tplc="672EAC4E">
      <w:numFmt w:val="bullet"/>
      <w:lvlText w:val="•"/>
      <w:lvlJc w:val="left"/>
      <w:pPr>
        <w:ind w:left="4526" w:hanging="284"/>
      </w:pPr>
      <w:rPr>
        <w:rFonts w:hint="default"/>
      </w:rPr>
    </w:lvl>
    <w:lvl w:ilvl="7" w:tplc="A650C2E8">
      <w:numFmt w:val="bullet"/>
      <w:lvlText w:val="•"/>
      <w:lvlJc w:val="left"/>
      <w:pPr>
        <w:ind w:left="5190" w:hanging="284"/>
      </w:pPr>
      <w:rPr>
        <w:rFonts w:hint="default"/>
      </w:rPr>
    </w:lvl>
    <w:lvl w:ilvl="8" w:tplc="C5D28E6C">
      <w:numFmt w:val="bullet"/>
      <w:lvlText w:val="•"/>
      <w:lvlJc w:val="left"/>
      <w:pPr>
        <w:ind w:left="5855" w:hanging="284"/>
      </w:pPr>
      <w:rPr>
        <w:rFonts w:hint="default"/>
      </w:rPr>
    </w:lvl>
  </w:abstractNum>
  <w:abstractNum w:abstractNumId="108">
    <w:nsid w:val="2C7B24B2"/>
    <w:multiLevelType w:val="hybridMultilevel"/>
    <w:tmpl w:val="ED64AE02"/>
    <w:lvl w:ilvl="0" w:tplc="148CB388">
      <w:numFmt w:val="bullet"/>
      <w:lvlText w:val="•"/>
      <w:lvlJc w:val="left"/>
      <w:pPr>
        <w:ind w:left="533" w:hanging="284"/>
      </w:pPr>
      <w:rPr>
        <w:rFonts w:ascii="Cambria" w:eastAsia="Cambria" w:hAnsi="Cambria" w:cs="Cambria" w:hint="default"/>
        <w:color w:val="231F20"/>
        <w:spacing w:val="-21"/>
        <w:w w:val="100"/>
        <w:sz w:val="21"/>
        <w:szCs w:val="21"/>
      </w:rPr>
    </w:lvl>
    <w:lvl w:ilvl="1" w:tplc="ECC6E942">
      <w:numFmt w:val="bullet"/>
      <w:lvlText w:val="•"/>
      <w:lvlJc w:val="left"/>
      <w:pPr>
        <w:ind w:left="1204" w:hanging="284"/>
      </w:pPr>
      <w:rPr>
        <w:rFonts w:hint="default"/>
      </w:rPr>
    </w:lvl>
    <w:lvl w:ilvl="2" w:tplc="3D9E3558">
      <w:numFmt w:val="bullet"/>
      <w:lvlText w:val="•"/>
      <w:lvlJc w:val="left"/>
      <w:pPr>
        <w:ind w:left="1868" w:hanging="284"/>
      </w:pPr>
      <w:rPr>
        <w:rFonts w:hint="default"/>
      </w:rPr>
    </w:lvl>
    <w:lvl w:ilvl="3" w:tplc="BA1A2E84">
      <w:numFmt w:val="bullet"/>
      <w:lvlText w:val="•"/>
      <w:lvlJc w:val="left"/>
      <w:pPr>
        <w:ind w:left="2533" w:hanging="284"/>
      </w:pPr>
      <w:rPr>
        <w:rFonts w:hint="default"/>
      </w:rPr>
    </w:lvl>
    <w:lvl w:ilvl="4" w:tplc="F258AE7E">
      <w:numFmt w:val="bullet"/>
      <w:lvlText w:val="•"/>
      <w:lvlJc w:val="left"/>
      <w:pPr>
        <w:ind w:left="3197" w:hanging="284"/>
      </w:pPr>
      <w:rPr>
        <w:rFonts w:hint="default"/>
      </w:rPr>
    </w:lvl>
    <w:lvl w:ilvl="5" w:tplc="C12E8F42">
      <w:numFmt w:val="bullet"/>
      <w:lvlText w:val="•"/>
      <w:lvlJc w:val="left"/>
      <w:pPr>
        <w:ind w:left="3861" w:hanging="284"/>
      </w:pPr>
      <w:rPr>
        <w:rFonts w:hint="default"/>
      </w:rPr>
    </w:lvl>
    <w:lvl w:ilvl="6" w:tplc="414ECFF2">
      <w:numFmt w:val="bullet"/>
      <w:lvlText w:val="•"/>
      <w:lvlJc w:val="left"/>
      <w:pPr>
        <w:ind w:left="4526" w:hanging="284"/>
      </w:pPr>
      <w:rPr>
        <w:rFonts w:hint="default"/>
      </w:rPr>
    </w:lvl>
    <w:lvl w:ilvl="7" w:tplc="15944EC8">
      <w:numFmt w:val="bullet"/>
      <w:lvlText w:val="•"/>
      <w:lvlJc w:val="left"/>
      <w:pPr>
        <w:ind w:left="5190" w:hanging="284"/>
      </w:pPr>
      <w:rPr>
        <w:rFonts w:hint="default"/>
      </w:rPr>
    </w:lvl>
    <w:lvl w:ilvl="8" w:tplc="BCAA3C2E">
      <w:numFmt w:val="bullet"/>
      <w:lvlText w:val="•"/>
      <w:lvlJc w:val="left"/>
      <w:pPr>
        <w:ind w:left="5855" w:hanging="284"/>
      </w:pPr>
      <w:rPr>
        <w:rFonts w:hint="default"/>
      </w:rPr>
    </w:lvl>
  </w:abstractNum>
  <w:abstractNum w:abstractNumId="109">
    <w:nsid w:val="2CC954EF"/>
    <w:multiLevelType w:val="hybridMultilevel"/>
    <w:tmpl w:val="57BC6306"/>
    <w:lvl w:ilvl="0" w:tplc="4282FC22">
      <w:numFmt w:val="bullet"/>
      <w:lvlText w:val=""/>
      <w:lvlJc w:val="left"/>
      <w:pPr>
        <w:ind w:left="250" w:hanging="284"/>
      </w:pPr>
      <w:rPr>
        <w:rFonts w:ascii="Wingdings" w:eastAsia="Wingdings" w:hAnsi="Wingdings" w:cs="Wingdings" w:hint="default"/>
        <w:color w:val="231F20"/>
        <w:w w:val="100"/>
        <w:sz w:val="21"/>
        <w:szCs w:val="21"/>
      </w:rPr>
    </w:lvl>
    <w:lvl w:ilvl="1" w:tplc="29588DB4">
      <w:numFmt w:val="bullet"/>
      <w:lvlText w:val="•"/>
      <w:lvlJc w:val="left"/>
      <w:pPr>
        <w:ind w:left="952" w:hanging="284"/>
      </w:pPr>
      <w:rPr>
        <w:rFonts w:hint="default"/>
      </w:rPr>
    </w:lvl>
    <w:lvl w:ilvl="2" w:tplc="997EF950">
      <w:numFmt w:val="bullet"/>
      <w:lvlText w:val="•"/>
      <w:lvlJc w:val="left"/>
      <w:pPr>
        <w:ind w:left="1644" w:hanging="284"/>
      </w:pPr>
      <w:rPr>
        <w:rFonts w:hint="default"/>
      </w:rPr>
    </w:lvl>
    <w:lvl w:ilvl="3" w:tplc="210AFFDE">
      <w:numFmt w:val="bullet"/>
      <w:lvlText w:val="•"/>
      <w:lvlJc w:val="left"/>
      <w:pPr>
        <w:ind w:left="2337" w:hanging="284"/>
      </w:pPr>
      <w:rPr>
        <w:rFonts w:hint="default"/>
      </w:rPr>
    </w:lvl>
    <w:lvl w:ilvl="4" w:tplc="76366E8A">
      <w:numFmt w:val="bullet"/>
      <w:lvlText w:val="•"/>
      <w:lvlJc w:val="left"/>
      <w:pPr>
        <w:ind w:left="3029" w:hanging="284"/>
      </w:pPr>
      <w:rPr>
        <w:rFonts w:hint="default"/>
      </w:rPr>
    </w:lvl>
    <w:lvl w:ilvl="5" w:tplc="3D38E5D2">
      <w:numFmt w:val="bullet"/>
      <w:lvlText w:val="•"/>
      <w:lvlJc w:val="left"/>
      <w:pPr>
        <w:ind w:left="3721" w:hanging="284"/>
      </w:pPr>
      <w:rPr>
        <w:rFonts w:hint="default"/>
      </w:rPr>
    </w:lvl>
    <w:lvl w:ilvl="6" w:tplc="5A6E9AF4">
      <w:numFmt w:val="bullet"/>
      <w:lvlText w:val="•"/>
      <w:lvlJc w:val="left"/>
      <w:pPr>
        <w:ind w:left="4414" w:hanging="284"/>
      </w:pPr>
      <w:rPr>
        <w:rFonts w:hint="default"/>
      </w:rPr>
    </w:lvl>
    <w:lvl w:ilvl="7" w:tplc="2FDC94A6">
      <w:numFmt w:val="bullet"/>
      <w:lvlText w:val="•"/>
      <w:lvlJc w:val="left"/>
      <w:pPr>
        <w:ind w:left="5106" w:hanging="284"/>
      </w:pPr>
      <w:rPr>
        <w:rFonts w:hint="default"/>
      </w:rPr>
    </w:lvl>
    <w:lvl w:ilvl="8" w:tplc="2F424BC6">
      <w:numFmt w:val="bullet"/>
      <w:lvlText w:val="•"/>
      <w:lvlJc w:val="left"/>
      <w:pPr>
        <w:ind w:left="5799" w:hanging="284"/>
      </w:pPr>
      <w:rPr>
        <w:rFonts w:hint="default"/>
      </w:rPr>
    </w:lvl>
  </w:abstractNum>
  <w:abstractNum w:abstractNumId="110">
    <w:nsid w:val="2CE80BFD"/>
    <w:multiLevelType w:val="hybridMultilevel"/>
    <w:tmpl w:val="310E3458"/>
    <w:lvl w:ilvl="0" w:tplc="6CE8571C">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5C882C98">
      <w:numFmt w:val="bullet"/>
      <w:lvlText w:val="•"/>
      <w:lvlJc w:val="left"/>
      <w:pPr>
        <w:ind w:left="1204" w:hanging="284"/>
      </w:pPr>
      <w:rPr>
        <w:rFonts w:hint="default"/>
      </w:rPr>
    </w:lvl>
    <w:lvl w:ilvl="2" w:tplc="1B3C39CA">
      <w:numFmt w:val="bullet"/>
      <w:lvlText w:val="•"/>
      <w:lvlJc w:val="left"/>
      <w:pPr>
        <w:ind w:left="1868" w:hanging="284"/>
      </w:pPr>
      <w:rPr>
        <w:rFonts w:hint="default"/>
      </w:rPr>
    </w:lvl>
    <w:lvl w:ilvl="3" w:tplc="705612DE">
      <w:numFmt w:val="bullet"/>
      <w:lvlText w:val="•"/>
      <w:lvlJc w:val="left"/>
      <w:pPr>
        <w:ind w:left="2533" w:hanging="284"/>
      </w:pPr>
      <w:rPr>
        <w:rFonts w:hint="default"/>
      </w:rPr>
    </w:lvl>
    <w:lvl w:ilvl="4" w:tplc="1032A210">
      <w:numFmt w:val="bullet"/>
      <w:lvlText w:val="•"/>
      <w:lvlJc w:val="left"/>
      <w:pPr>
        <w:ind w:left="3197" w:hanging="284"/>
      </w:pPr>
      <w:rPr>
        <w:rFonts w:hint="default"/>
      </w:rPr>
    </w:lvl>
    <w:lvl w:ilvl="5" w:tplc="B7D6273E">
      <w:numFmt w:val="bullet"/>
      <w:lvlText w:val="•"/>
      <w:lvlJc w:val="left"/>
      <w:pPr>
        <w:ind w:left="3861" w:hanging="284"/>
      </w:pPr>
      <w:rPr>
        <w:rFonts w:hint="default"/>
      </w:rPr>
    </w:lvl>
    <w:lvl w:ilvl="6" w:tplc="DDEEA390">
      <w:numFmt w:val="bullet"/>
      <w:lvlText w:val="•"/>
      <w:lvlJc w:val="left"/>
      <w:pPr>
        <w:ind w:left="4526" w:hanging="284"/>
      </w:pPr>
      <w:rPr>
        <w:rFonts w:hint="default"/>
      </w:rPr>
    </w:lvl>
    <w:lvl w:ilvl="7" w:tplc="5C48BCEA">
      <w:numFmt w:val="bullet"/>
      <w:lvlText w:val="•"/>
      <w:lvlJc w:val="left"/>
      <w:pPr>
        <w:ind w:left="5190" w:hanging="284"/>
      </w:pPr>
      <w:rPr>
        <w:rFonts w:hint="default"/>
      </w:rPr>
    </w:lvl>
    <w:lvl w:ilvl="8" w:tplc="F2C29EC8">
      <w:numFmt w:val="bullet"/>
      <w:lvlText w:val="•"/>
      <w:lvlJc w:val="left"/>
      <w:pPr>
        <w:ind w:left="5855" w:hanging="284"/>
      </w:pPr>
      <w:rPr>
        <w:rFonts w:hint="default"/>
      </w:rPr>
    </w:lvl>
  </w:abstractNum>
  <w:abstractNum w:abstractNumId="111">
    <w:nsid w:val="2DD03C83"/>
    <w:multiLevelType w:val="multilevel"/>
    <w:tmpl w:val="F3383A2A"/>
    <w:lvl w:ilvl="0">
      <w:start w:val="5"/>
      <w:numFmt w:val="decimal"/>
      <w:lvlText w:val="%1"/>
      <w:lvlJc w:val="left"/>
      <w:pPr>
        <w:ind w:left="1382" w:hanging="565"/>
        <w:jc w:val="left"/>
      </w:pPr>
      <w:rPr>
        <w:rFonts w:hint="default"/>
      </w:rPr>
    </w:lvl>
    <w:lvl w:ilvl="1">
      <w:start w:val="3"/>
      <w:numFmt w:val="decimal"/>
      <w:lvlText w:val="%1.%2"/>
      <w:lvlJc w:val="left"/>
      <w:pPr>
        <w:ind w:left="1382" w:hanging="565"/>
        <w:jc w:val="left"/>
      </w:pPr>
      <w:rPr>
        <w:rFonts w:hint="default"/>
      </w:rPr>
    </w:lvl>
    <w:lvl w:ilvl="2">
      <w:start w:val="1"/>
      <w:numFmt w:val="decimal"/>
      <w:lvlText w:val="%1.%2.%3."/>
      <w:lvlJc w:val="left"/>
      <w:pPr>
        <w:ind w:left="1382" w:hanging="565"/>
        <w:jc w:val="right"/>
      </w:pPr>
      <w:rPr>
        <w:rFonts w:ascii="Cambria" w:eastAsia="Cambria" w:hAnsi="Cambria" w:cs="Cambria" w:hint="default"/>
        <w:b/>
        <w:bCs/>
        <w:color w:val="231F20"/>
        <w:spacing w:val="-1"/>
        <w:w w:val="100"/>
        <w:sz w:val="21"/>
        <w:szCs w:val="21"/>
      </w:rPr>
    </w:lvl>
    <w:lvl w:ilvl="3">
      <w:start w:val="1"/>
      <w:numFmt w:val="decimal"/>
      <w:lvlText w:val="%1.%2.%3.%4."/>
      <w:lvlJc w:val="left"/>
      <w:pPr>
        <w:ind w:left="1251" w:hanging="718"/>
        <w:jc w:val="left"/>
      </w:pPr>
      <w:rPr>
        <w:rFonts w:ascii="Cambria" w:eastAsia="Cambria" w:hAnsi="Cambria" w:cs="Cambria" w:hint="default"/>
        <w:b/>
        <w:bCs/>
        <w:i/>
        <w:color w:val="231F20"/>
        <w:spacing w:val="-3"/>
        <w:w w:val="100"/>
        <w:sz w:val="21"/>
        <w:szCs w:val="21"/>
      </w:rPr>
    </w:lvl>
    <w:lvl w:ilvl="4">
      <w:numFmt w:val="bullet"/>
      <w:lvlText w:val="•"/>
      <w:lvlJc w:val="left"/>
      <w:pPr>
        <w:ind w:left="3314" w:hanging="718"/>
      </w:pPr>
      <w:rPr>
        <w:rFonts w:hint="default"/>
      </w:rPr>
    </w:lvl>
    <w:lvl w:ilvl="5">
      <w:numFmt w:val="bullet"/>
      <w:lvlText w:val="•"/>
      <w:lvlJc w:val="left"/>
      <w:pPr>
        <w:ind w:left="3959" w:hanging="718"/>
      </w:pPr>
      <w:rPr>
        <w:rFonts w:hint="default"/>
      </w:rPr>
    </w:lvl>
    <w:lvl w:ilvl="6">
      <w:numFmt w:val="bullet"/>
      <w:lvlText w:val="•"/>
      <w:lvlJc w:val="left"/>
      <w:pPr>
        <w:ind w:left="4604" w:hanging="718"/>
      </w:pPr>
      <w:rPr>
        <w:rFonts w:hint="default"/>
      </w:rPr>
    </w:lvl>
    <w:lvl w:ilvl="7">
      <w:numFmt w:val="bullet"/>
      <w:lvlText w:val="•"/>
      <w:lvlJc w:val="left"/>
      <w:pPr>
        <w:ind w:left="5249" w:hanging="718"/>
      </w:pPr>
      <w:rPr>
        <w:rFonts w:hint="default"/>
      </w:rPr>
    </w:lvl>
    <w:lvl w:ilvl="8">
      <w:numFmt w:val="bullet"/>
      <w:lvlText w:val="•"/>
      <w:lvlJc w:val="left"/>
      <w:pPr>
        <w:ind w:left="5894" w:hanging="718"/>
      </w:pPr>
      <w:rPr>
        <w:rFonts w:hint="default"/>
      </w:rPr>
    </w:lvl>
  </w:abstractNum>
  <w:abstractNum w:abstractNumId="112">
    <w:nsid w:val="2DF72687"/>
    <w:multiLevelType w:val="multilevel"/>
    <w:tmpl w:val="B3823406"/>
    <w:lvl w:ilvl="0">
      <w:start w:val="1"/>
      <w:numFmt w:val="decimal"/>
      <w:lvlText w:val="%1"/>
      <w:lvlJc w:val="left"/>
      <w:pPr>
        <w:ind w:left="817" w:hanging="565"/>
        <w:jc w:val="left"/>
      </w:pPr>
      <w:rPr>
        <w:rFonts w:hint="default"/>
      </w:rPr>
    </w:lvl>
    <w:lvl w:ilvl="1">
      <w:start w:val="2"/>
      <w:numFmt w:val="decimal"/>
      <w:lvlText w:val="%1.%2"/>
      <w:lvlJc w:val="left"/>
      <w:pPr>
        <w:ind w:left="817" w:hanging="565"/>
        <w:jc w:val="left"/>
      </w:pPr>
      <w:rPr>
        <w:rFonts w:hint="default"/>
      </w:rPr>
    </w:lvl>
    <w:lvl w:ilvl="2">
      <w:start w:val="4"/>
      <w:numFmt w:val="decimal"/>
      <w:lvlText w:val="%1.%2.%3."/>
      <w:lvlJc w:val="left"/>
      <w:pPr>
        <w:ind w:left="817" w:hanging="565"/>
        <w:jc w:val="left"/>
      </w:pPr>
      <w:rPr>
        <w:rFonts w:ascii="Cambria" w:eastAsia="Cambria" w:hAnsi="Cambria" w:cs="Cambria" w:hint="default"/>
        <w:b/>
        <w:bCs/>
        <w:color w:val="231F20"/>
        <w:spacing w:val="-1"/>
        <w:w w:val="100"/>
        <w:sz w:val="21"/>
        <w:szCs w:val="21"/>
      </w:rPr>
    </w:lvl>
    <w:lvl w:ilvl="3">
      <w:numFmt w:val="bullet"/>
      <w:lvlText w:val="•"/>
      <w:lvlJc w:val="left"/>
      <w:pPr>
        <w:ind w:left="2729" w:hanging="565"/>
      </w:pPr>
      <w:rPr>
        <w:rFonts w:hint="default"/>
      </w:rPr>
    </w:lvl>
    <w:lvl w:ilvl="4">
      <w:numFmt w:val="bullet"/>
      <w:lvlText w:val="•"/>
      <w:lvlJc w:val="left"/>
      <w:pPr>
        <w:ind w:left="3365" w:hanging="565"/>
      </w:pPr>
      <w:rPr>
        <w:rFonts w:hint="default"/>
      </w:rPr>
    </w:lvl>
    <w:lvl w:ilvl="5">
      <w:numFmt w:val="bullet"/>
      <w:lvlText w:val="•"/>
      <w:lvlJc w:val="left"/>
      <w:pPr>
        <w:ind w:left="4001" w:hanging="565"/>
      </w:pPr>
      <w:rPr>
        <w:rFonts w:hint="default"/>
      </w:rPr>
    </w:lvl>
    <w:lvl w:ilvl="6">
      <w:numFmt w:val="bullet"/>
      <w:lvlText w:val="•"/>
      <w:lvlJc w:val="left"/>
      <w:pPr>
        <w:ind w:left="4638" w:hanging="565"/>
      </w:pPr>
      <w:rPr>
        <w:rFonts w:hint="default"/>
      </w:rPr>
    </w:lvl>
    <w:lvl w:ilvl="7">
      <w:numFmt w:val="bullet"/>
      <w:lvlText w:val="•"/>
      <w:lvlJc w:val="left"/>
      <w:pPr>
        <w:ind w:left="5274" w:hanging="565"/>
      </w:pPr>
      <w:rPr>
        <w:rFonts w:hint="default"/>
      </w:rPr>
    </w:lvl>
    <w:lvl w:ilvl="8">
      <w:numFmt w:val="bullet"/>
      <w:lvlText w:val="•"/>
      <w:lvlJc w:val="left"/>
      <w:pPr>
        <w:ind w:left="5911" w:hanging="565"/>
      </w:pPr>
      <w:rPr>
        <w:rFonts w:hint="default"/>
      </w:rPr>
    </w:lvl>
  </w:abstractNum>
  <w:abstractNum w:abstractNumId="113">
    <w:nsid w:val="2E5E14FF"/>
    <w:multiLevelType w:val="hybridMultilevel"/>
    <w:tmpl w:val="7BDC1546"/>
    <w:lvl w:ilvl="0" w:tplc="69241EC4">
      <w:numFmt w:val="bullet"/>
      <w:lvlText w:val=""/>
      <w:lvlJc w:val="left"/>
      <w:pPr>
        <w:ind w:left="533" w:hanging="284"/>
      </w:pPr>
      <w:rPr>
        <w:rFonts w:ascii="Wingdings" w:eastAsia="Wingdings" w:hAnsi="Wingdings" w:cs="Wingdings" w:hint="default"/>
        <w:color w:val="231F20"/>
        <w:w w:val="100"/>
        <w:sz w:val="21"/>
        <w:szCs w:val="21"/>
      </w:rPr>
    </w:lvl>
    <w:lvl w:ilvl="1" w:tplc="89749094">
      <w:numFmt w:val="bullet"/>
      <w:lvlText w:val="•"/>
      <w:lvlJc w:val="left"/>
      <w:pPr>
        <w:ind w:left="1204" w:hanging="284"/>
      </w:pPr>
      <w:rPr>
        <w:rFonts w:hint="default"/>
      </w:rPr>
    </w:lvl>
    <w:lvl w:ilvl="2" w:tplc="1804B52C">
      <w:numFmt w:val="bullet"/>
      <w:lvlText w:val="•"/>
      <w:lvlJc w:val="left"/>
      <w:pPr>
        <w:ind w:left="1868" w:hanging="284"/>
      </w:pPr>
      <w:rPr>
        <w:rFonts w:hint="default"/>
      </w:rPr>
    </w:lvl>
    <w:lvl w:ilvl="3" w:tplc="FC9A4DEA">
      <w:numFmt w:val="bullet"/>
      <w:lvlText w:val="•"/>
      <w:lvlJc w:val="left"/>
      <w:pPr>
        <w:ind w:left="2533" w:hanging="284"/>
      </w:pPr>
      <w:rPr>
        <w:rFonts w:hint="default"/>
      </w:rPr>
    </w:lvl>
    <w:lvl w:ilvl="4" w:tplc="8FD0AAE4">
      <w:numFmt w:val="bullet"/>
      <w:lvlText w:val="•"/>
      <w:lvlJc w:val="left"/>
      <w:pPr>
        <w:ind w:left="3197" w:hanging="284"/>
      </w:pPr>
      <w:rPr>
        <w:rFonts w:hint="default"/>
      </w:rPr>
    </w:lvl>
    <w:lvl w:ilvl="5" w:tplc="61C0737C">
      <w:numFmt w:val="bullet"/>
      <w:lvlText w:val="•"/>
      <w:lvlJc w:val="left"/>
      <w:pPr>
        <w:ind w:left="3861" w:hanging="284"/>
      </w:pPr>
      <w:rPr>
        <w:rFonts w:hint="default"/>
      </w:rPr>
    </w:lvl>
    <w:lvl w:ilvl="6" w:tplc="E3E2EF42">
      <w:numFmt w:val="bullet"/>
      <w:lvlText w:val="•"/>
      <w:lvlJc w:val="left"/>
      <w:pPr>
        <w:ind w:left="4526" w:hanging="284"/>
      </w:pPr>
      <w:rPr>
        <w:rFonts w:hint="default"/>
      </w:rPr>
    </w:lvl>
    <w:lvl w:ilvl="7" w:tplc="4CE670CC">
      <w:numFmt w:val="bullet"/>
      <w:lvlText w:val="•"/>
      <w:lvlJc w:val="left"/>
      <w:pPr>
        <w:ind w:left="5190" w:hanging="284"/>
      </w:pPr>
      <w:rPr>
        <w:rFonts w:hint="default"/>
      </w:rPr>
    </w:lvl>
    <w:lvl w:ilvl="8" w:tplc="E39C7DCC">
      <w:numFmt w:val="bullet"/>
      <w:lvlText w:val="•"/>
      <w:lvlJc w:val="left"/>
      <w:pPr>
        <w:ind w:left="5855" w:hanging="284"/>
      </w:pPr>
      <w:rPr>
        <w:rFonts w:hint="default"/>
      </w:rPr>
    </w:lvl>
  </w:abstractNum>
  <w:abstractNum w:abstractNumId="114">
    <w:nsid w:val="2E8E3879"/>
    <w:multiLevelType w:val="hybridMultilevel"/>
    <w:tmpl w:val="4E2AF8F0"/>
    <w:lvl w:ilvl="0" w:tplc="CF8837D6">
      <w:start w:val="1"/>
      <w:numFmt w:val="decimal"/>
      <w:lvlText w:val="%1)"/>
      <w:lvlJc w:val="left"/>
      <w:pPr>
        <w:ind w:left="250" w:hanging="284"/>
        <w:jc w:val="left"/>
      </w:pPr>
      <w:rPr>
        <w:rFonts w:ascii="Cambria" w:eastAsia="Cambria" w:hAnsi="Cambria" w:cs="Cambria" w:hint="default"/>
        <w:color w:val="231F20"/>
        <w:spacing w:val="-22"/>
        <w:w w:val="100"/>
        <w:sz w:val="21"/>
        <w:szCs w:val="21"/>
      </w:rPr>
    </w:lvl>
    <w:lvl w:ilvl="1" w:tplc="6C5EDCA6">
      <w:numFmt w:val="bullet"/>
      <w:lvlText w:val="•"/>
      <w:lvlJc w:val="left"/>
      <w:pPr>
        <w:ind w:left="952" w:hanging="284"/>
      </w:pPr>
      <w:rPr>
        <w:rFonts w:hint="default"/>
      </w:rPr>
    </w:lvl>
    <w:lvl w:ilvl="2" w:tplc="82D6ABC0">
      <w:numFmt w:val="bullet"/>
      <w:lvlText w:val="•"/>
      <w:lvlJc w:val="left"/>
      <w:pPr>
        <w:ind w:left="1644" w:hanging="284"/>
      </w:pPr>
      <w:rPr>
        <w:rFonts w:hint="default"/>
      </w:rPr>
    </w:lvl>
    <w:lvl w:ilvl="3" w:tplc="86DE9788">
      <w:numFmt w:val="bullet"/>
      <w:lvlText w:val="•"/>
      <w:lvlJc w:val="left"/>
      <w:pPr>
        <w:ind w:left="2337" w:hanging="284"/>
      </w:pPr>
      <w:rPr>
        <w:rFonts w:hint="default"/>
      </w:rPr>
    </w:lvl>
    <w:lvl w:ilvl="4" w:tplc="A32EAA5C">
      <w:numFmt w:val="bullet"/>
      <w:lvlText w:val="•"/>
      <w:lvlJc w:val="left"/>
      <w:pPr>
        <w:ind w:left="3029" w:hanging="284"/>
      </w:pPr>
      <w:rPr>
        <w:rFonts w:hint="default"/>
      </w:rPr>
    </w:lvl>
    <w:lvl w:ilvl="5" w:tplc="380ECEBA">
      <w:numFmt w:val="bullet"/>
      <w:lvlText w:val="•"/>
      <w:lvlJc w:val="left"/>
      <w:pPr>
        <w:ind w:left="3721" w:hanging="284"/>
      </w:pPr>
      <w:rPr>
        <w:rFonts w:hint="default"/>
      </w:rPr>
    </w:lvl>
    <w:lvl w:ilvl="6" w:tplc="6262A0B2">
      <w:numFmt w:val="bullet"/>
      <w:lvlText w:val="•"/>
      <w:lvlJc w:val="left"/>
      <w:pPr>
        <w:ind w:left="4414" w:hanging="284"/>
      </w:pPr>
      <w:rPr>
        <w:rFonts w:hint="default"/>
      </w:rPr>
    </w:lvl>
    <w:lvl w:ilvl="7" w:tplc="3C0E63BE">
      <w:numFmt w:val="bullet"/>
      <w:lvlText w:val="•"/>
      <w:lvlJc w:val="left"/>
      <w:pPr>
        <w:ind w:left="5106" w:hanging="284"/>
      </w:pPr>
      <w:rPr>
        <w:rFonts w:hint="default"/>
      </w:rPr>
    </w:lvl>
    <w:lvl w:ilvl="8" w:tplc="1026C41E">
      <w:numFmt w:val="bullet"/>
      <w:lvlText w:val="•"/>
      <w:lvlJc w:val="left"/>
      <w:pPr>
        <w:ind w:left="5799" w:hanging="284"/>
      </w:pPr>
      <w:rPr>
        <w:rFonts w:hint="default"/>
      </w:rPr>
    </w:lvl>
  </w:abstractNum>
  <w:abstractNum w:abstractNumId="115">
    <w:nsid w:val="2F6330AF"/>
    <w:multiLevelType w:val="hybridMultilevel"/>
    <w:tmpl w:val="C6401070"/>
    <w:lvl w:ilvl="0" w:tplc="12188B5A">
      <w:numFmt w:val="bullet"/>
      <w:lvlText w:val="–"/>
      <w:lvlJc w:val="left"/>
      <w:pPr>
        <w:ind w:left="1100" w:hanging="284"/>
      </w:pPr>
      <w:rPr>
        <w:rFonts w:ascii="Times New Roman" w:eastAsia="Times New Roman" w:hAnsi="Times New Roman" w:cs="Times New Roman" w:hint="default"/>
        <w:color w:val="231F20"/>
        <w:spacing w:val="-3"/>
        <w:w w:val="100"/>
        <w:sz w:val="21"/>
        <w:szCs w:val="21"/>
      </w:rPr>
    </w:lvl>
    <w:lvl w:ilvl="1" w:tplc="A6E417BA">
      <w:numFmt w:val="bullet"/>
      <w:lvlText w:val="•"/>
      <w:lvlJc w:val="left"/>
      <w:pPr>
        <w:ind w:left="1708" w:hanging="284"/>
      </w:pPr>
      <w:rPr>
        <w:rFonts w:hint="default"/>
      </w:rPr>
    </w:lvl>
    <w:lvl w:ilvl="2" w:tplc="86BA3604">
      <w:numFmt w:val="bullet"/>
      <w:lvlText w:val="•"/>
      <w:lvlJc w:val="left"/>
      <w:pPr>
        <w:ind w:left="2316" w:hanging="284"/>
      </w:pPr>
      <w:rPr>
        <w:rFonts w:hint="default"/>
      </w:rPr>
    </w:lvl>
    <w:lvl w:ilvl="3" w:tplc="98321B26">
      <w:numFmt w:val="bullet"/>
      <w:lvlText w:val="•"/>
      <w:lvlJc w:val="left"/>
      <w:pPr>
        <w:ind w:left="2925" w:hanging="284"/>
      </w:pPr>
      <w:rPr>
        <w:rFonts w:hint="default"/>
      </w:rPr>
    </w:lvl>
    <w:lvl w:ilvl="4" w:tplc="F63E6DB4">
      <w:numFmt w:val="bullet"/>
      <w:lvlText w:val="•"/>
      <w:lvlJc w:val="left"/>
      <w:pPr>
        <w:ind w:left="3533" w:hanging="284"/>
      </w:pPr>
      <w:rPr>
        <w:rFonts w:hint="default"/>
      </w:rPr>
    </w:lvl>
    <w:lvl w:ilvl="5" w:tplc="28663D10">
      <w:numFmt w:val="bullet"/>
      <w:lvlText w:val="•"/>
      <w:lvlJc w:val="left"/>
      <w:pPr>
        <w:ind w:left="4141" w:hanging="284"/>
      </w:pPr>
      <w:rPr>
        <w:rFonts w:hint="default"/>
      </w:rPr>
    </w:lvl>
    <w:lvl w:ilvl="6" w:tplc="17E408EA">
      <w:numFmt w:val="bullet"/>
      <w:lvlText w:val="•"/>
      <w:lvlJc w:val="left"/>
      <w:pPr>
        <w:ind w:left="4750" w:hanging="284"/>
      </w:pPr>
      <w:rPr>
        <w:rFonts w:hint="default"/>
      </w:rPr>
    </w:lvl>
    <w:lvl w:ilvl="7" w:tplc="6F26681E">
      <w:numFmt w:val="bullet"/>
      <w:lvlText w:val="•"/>
      <w:lvlJc w:val="left"/>
      <w:pPr>
        <w:ind w:left="5358" w:hanging="284"/>
      </w:pPr>
      <w:rPr>
        <w:rFonts w:hint="default"/>
      </w:rPr>
    </w:lvl>
    <w:lvl w:ilvl="8" w:tplc="D250EEFC">
      <w:numFmt w:val="bullet"/>
      <w:lvlText w:val="•"/>
      <w:lvlJc w:val="left"/>
      <w:pPr>
        <w:ind w:left="5967" w:hanging="284"/>
      </w:pPr>
      <w:rPr>
        <w:rFonts w:hint="default"/>
      </w:rPr>
    </w:lvl>
  </w:abstractNum>
  <w:abstractNum w:abstractNumId="116">
    <w:nsid w:val="2FF57634"/>
    <w:multiLevelType w:val="hybridMultilevel"/>
    <w:tmpl w:val="E2789E96"/>
    <w:lvl w:ilvl="0" w:tplc="90023836">
      <w:start w:val="1"/>
      <w:numFmt w:val="decimal"/>
      <w:lvlText w:val="%1)"/>
      <w:lvlJc w:val="left"/>
      <w:pPr>
        <w:ind w:left="250" w:hanging="284"/>
        <w:jc w:val="left"/>
      </w:pPr>
      <w:rPr>
        <w:rFonts w:ascii="Cambria" w:eastAsia="Cambria" w:hAnsi="Cambria" w:cs="Cambria" w:hint="default"/>
        <w:color w:val="231F20"/>
        <w:spacing w:val="-22"/>
        <w:w w:val="100"/>
        <w:sz w:val="21"/>
        <w:szCs w:val="21"/>
      </w:rPr>
    </w:lvl>
    <w:lvl w:ilvl="1" w:tplc="C38EA730">
      <w:numFmt w:val="bullet"/>
      <w:lvlText w:val="•"/>
      <w:lvlJc w:val="left"/>
      <w:pPr>
        <w:ind w:left="952" w:hanging="284"/>
      </w:pPr>
      <w:rPr>
        <w:rFonts w:hint="default"/>
      </w:rPr>
    </w:lvl>
    <w:lvl w:ilvl="2" w:tplc="46C4540A">
      <w:numFmt w:val="bullet"/>
      <w:lvlText w:val="•"/>
      <w:lvlJc w:val="left"/>
      <w:pPr>
        <w:ind w:left="1644" w:hanging="284"/>
      </w:pPr>
      <w:rPr>
        <w:rFonts w:hint="default"/>
      </w:rPr>
    </w:lvl>
    <w:lvl w:ilvl="3" w:tplc="74A6722C">
      <w:numFmt w:val="bullet"/>
      <w:lvlText w:val="•"/>
      <w:lvlJc w:val="left"/>
      <w:pPr>
        <w:ind w:left="2337" w:hanging="284"/>
      </w:pPr>
      <w:rPr>
        <w:rFonts w:hint="default"/>
      </w:rPr>
    </w:lvl>
    <w:lvl w:ilvl="4" w:tplc="683C48A0">
      <w:numFmt w:val="bullet"/>
      <w:lvlText w:val="•"/>
      <w:lvlJc w:val="left"/>
      <w:pPr>
        <w:ind w:left="3029" w:hanging="284"/>
      </w:pPr>
      <w:rPr>
        <w:rFonts w:hint="default"/>
      </w:rPr>
    </w:lvl>
    <w:lvl w:ilvl="5" w:tplc="715C79A4">
      <w:numFmt w:val="bullet"/>
      <w:lvlText w:val="•"/>
      <w:lvlJc w:val="left"/>
      <w:pPr>
        <w:ind w:left="3721" w:hanging="284"/>
      </w:pPr>
      <w:rPr>
        <w:rFonts w:hint="default"/>
      </w:rPr>
    </w:lvl>
    <w:lvl w:ilvl="6" w:tplc="1576C408">
      <w:numFmt w:val="bullet"/>
      <w:lvlText w:val="•"/>
      <w:lvlJc w:val="left"/>
      <w:pPr>
        <w:ind w:left="4414" w:hanging="284"/>
      </w:pPr>
      <w:rPr>
        <w:rFonts w:hint="default"/>
      </w:rPr>
    </w:lvl>
    <w:lvl w:ilvl="7" w:tplc="F23698B6">
      <w:numFmt w:val="bullet"/>
      <w:lvlText w:val="•"/>
      <w:lvlJc w:val="left"/>
      <w:pPr>
        <w:ind w:left="5106" w:hanging="284"/>
      </w:pPr>
      <w:rPr>
        <w:rFonts w:hint="default"/>
      </w:rPr>
    </w:lvl>
    <w:lvl w:ilvl="8" w:tplc="EBE8DFEC">
      <w:numFmt w:val="bullet"/>
      <w:lvlText w:val="•"/>
      <w:lvlJc w:val="left"/>
      <w:pPr>
        <w:ind w:left="5799" w:hanging="284"/>
      </w:pPr>
      <w:rPr>
        <w:rFonts w:hint="default"/>
      </w:rPr>
    </w:lvl>
  </w:abstractNum>
  <w:abstractNum w:abstractNumId="117">
    <w:nsid w:val="30306E9F"/>
    <w:multiLevelType w:val="hybridMultilevel"/>
    <w:tmpl w:val="36385E80"/>
    <w:lvl w:ilvl="0" w:tplc="C7BACD30">
      <w:numFmt w:val="bullet"/>
      <w:lvlText w:val="–"/>
      <w:lvlJc w:val="left"/>
      <w:pPr>
        <w:ind w:left="250" w:hanging="284"/>
      </w:pPr>
      <w:rPr>
        <w:rFonts w:ascii="Cambria" w:eastAsia="Cambria" w:hAnsi="Cambria" w:cs="Cambria" w:hint="default"/>
        <w:color w:val="231F20"/>
        <w:spacing w:val="-7"/>
        <w:w w:val="100"/>
        <w:sz w:val="21"/>
        <w:szCs w:val="21"/>
      </w:rPr>
    </w:lvl>
    <w:lvl w:ilvl="1" w:tplc="35A44DB0">
      <w:numFmt w:val="bullet"/>
      <w:lvlText w:val=""/>
      <w:lvlJc w:val="left"/>
      <w:pPr>
        <w:ind w:left="1100" w:hanging="284"/>
      </w:pPr>
      <w:rPr>
        <w:rFonts w:ascii="Wingdings" w:eastAsia="Wingdings" w:hAnsi="Wingdings" w:cs="Wingdings" w:hint="default"/>
        <w:color w:val="231F20"/>
        <w:w w:val="100"/>
        <w:sz w:val="21"/>
        <w:szCs w:val="21"/>
      </w:rPr>
    </w:lvl>
    <w:lvl w:ilvl="2" w:tplc="C5C49AE6">
      <w:numFmt w:val="bullet"/>
      <w:lvlText w:val="•"/>
      <w:lvlJc w:val="left"/>
      <w:pPr>
        <w:ind w:left="1775" w:hanging="284"/>
      </w:pPr>
      <w:rPr>
        <w:rFonts w:hint="default"/>
      </w:rPr>
    </w:lvl>
    <w:lvl w:ilvl="3" w:tplc="EDBABCC8">
      <w:numFmt w:val="bullet"/>
      <w:lvlText w:val="•"/>
      <w:lvlJc w:val="left"/>
      <w:pPr>
        <w:ind w:left="2451" w:hanging="284"/>
      </w:pPr>
      <w:rPr>
        <w:rFonts w:hint="default"/>
      </w:rPr>
    </w:lvl>
    <w:lvl w:ilvl="4" w:tplc="C150D05C">
      <w:numFmt w:val="bullet"/>
      <w:lvlText w:val="•"/>
      <w:lvlJc w:val="left"/>
      <w:pPr>
        <w:ind w:left="3127" w:hanging="284"/>
      </w:pPr>
      <w:rPr>
        <w:rFonts w:hint="default"/>
      </w:rPr>
    </w:lvl>
    <w:lvl w:ilvl="5" w:tplc="F0963C70">
      <w:numFmt w:val="bullet"/>
      <w:lvlText w:val="•"/>
      <w:lvlJc w:val="left"/>
      <w:pPr>
        <w:ind w:left="3803" w:hanging="284"/>
      </w:pPr>
      <w:rPr>
        <w:rFonts w:hint="default"/>
      </w:rPr>
    </w:lvl>
    <w:lvl w:ilvl="6" w:tplc="F384A688">
      <w:numFmt w:val="bullet"/>
      <w:lvlText w:val="•"/>
      <w:lvlJc w:val="left"/>
      <w:pPr>
        <w:ind w:left="4479" w:hanging="284"/>
      </w:pPr>
      <w:rPr>
        <w:rFonts w:hint="default"/>
      </w:rPr>
    </w:lvl>
    <w:lvl w:ilvl="7" w:tplc="49BAF9D2">
      <w:numFmt w:val="bullet"/>
      <w:lvlText w:val="•"/>
      <w:lvlJc w:val="left"/>
      <w:pPr>
        <w:ind w:left="5155" w:hanging="284"/>
      </w:pPr>
      <w:rPr>
        <w:rFonts w:hint="default"/>
      </w:rPr>
    </w:lvl>
    <w:lvl w:ilvl="8" w:tplc="8F2287D0">
      <w:numFmt w:val="bullet"/>
      <w:lvlText w:val="•"/>
      <w:lvlJc w:val="left"/>
      <w:pPr>
        <w:ind w:left="5831" w:hanging="284"/>
      </w:pPr>
      <w:rPr>
        <w:rFonts w:hint="default"/>
      </w:rPr>
    </w:lvl>
  </w:abstractNum>
  <w:abstractNum w:abstractNumId="118">
    <w:nsid w:val="3113734F"/>
    <w:multiLevelType w:val="multilevel"/>
    <w:tmpl w:val="1BDC44A4"/>
    <w:lvl w:ilvl="0">
      <w:start w:val="2"/>
      <w:numFmt w:val="decimal"/>
      <w:lvlText w:val="%1"/>
      <w:lvlJc w:val="left"/>
      <w:pPr>
        <w:ind w:left="1382" w:hanging="565"/>
        <w:jc w:val="left"/>
      </w:pPr>
      <w:rPr>
        <w:rFonts w:hint="default"/>
      </w:rPr>
    </w:lvl>
    <w:lvl w:ilvl="1">
      <w:start w:val="3"/>
      <w:numFmt w:val="decimal"/>
      <w:lvlText w:val="%1.%2"/>
      <w:lvlJc w:val="left"/>
      <w:pPr>
        <w:ind w:left="1382" w:hanging="565"/>
        <w:jc w:val="left"/>
      </w:pPr>
      <w:rPr>
        <w:rFonts w:hint="default"/>
      </w:rPr>
    </w:lvl>
    <w:lvl w:ilvl="2">
      <w:start w:val="1"/>
      <w:numFmt w:val="decimal"/>
      <w:lvlText w:val="%1.%2.%3."/>
      <w:lvlJc w:val="left"/>
      <w:pPr>
        <w:ind w:left="1382" w:hanging="565"/>
        <w:jc w:val="left"/>
      </w:pPr>
      <w:rPr>
        <w:rFonts w:ascii="Cambria" w:eastAsia="Cambria" w:hAnsi="Cambria" w:cs="Cambria" w:hint="default"/>
        <w:b/>
        <w:bCs/>
        <w:color w:val="231F20"/>
        <w:spacing w:val="-1"/>
        <w:w w:val="100"/>
        <w:sz w:val="21"/>
        <w:szCs w:val="21"/>
      </w:rPr>
    </w:lvl>
    <w:lvl w:ilvl="3">
      <w:start w:val="1"/>
      <w:numFmt w:val="decimal"/>
      <w:lvlText w:val="%1.%2.%3.%4."/>
      <w:lvlJc w:val="left"/>
      <w:pPr>
        <w:ind w:left="533" w:hanging="811"/>
        <w:jc w:val="right"/>
      </w:pPr>
      <w:rPr>
        <w:rFonts w:ascii="Cambria" w:eastAsia="Cambria" w:hAnsi="Cambria" w:cs="Cambria" w:hint="default"/>
        <w:b/>
        <w:bCs/>
        <w:i/>
        <w:color w:val="231F20"/>
        <w:spacing w:val="-3"/>
        <w:w w:val="100"/>
        <w:sz w:val="21"/>
        <w:szCs w:val="21"/>
      </w:rPr>
    </w:lvl>
    <w:lvl w:ilvl="4">
      <w:numFmt w:val="bullet"/>
      <w:lvlText w:val="•"/>
      <w:lvlJc w:val="left"/>
      <w:pPr>
        <w:ind w:left="3314" w:hanging="811"/>
      </w:pPr>
      <w:rPr>
        <w:rFonts w:hint="default"/>
      </w:rPr>
    </w:lvl>
    <w:lvl w:ilvl="5">
      <w:numFmt w:val="bullet"/>
      <w:lvlText w:val="•"/>
      <w:lvlJc w:val="left"/>
      <w:pPr>
        <w:ind w:left="3959" w:hanging="811"/>
      </w:pPr>
      <w:rPr>
        <w:rFonts w:hint="default"/>
      </w:rPr>
    </w:lvl>
    <w:lvl w:ilvl="6">
      <w:numFmt w:val="bullet"/>
      <w:lvlText w:val="•"/>
      <w:lvlJc w:val="left"/>
      <w:pPr>
        <w:ind w:left="4604" w:hanging="811"/>
      </w:pPr>
      <w:rPr>
        <w:rFonts w:hint="default"/>
      </w:rPr>
    </w:lvl>
    <w:lvl w:ilvl="7">
      <w:numFmt w:val="bullet"/>
      <w:lvlText w:val="•"/>
      <w:lvlJc w:val="left"/>
      <w:pPr>
        <w:ind w:left="5249" w:hanging="811"/>
      </w:pPr>
      <w:rPr>
        <w:rFonts w:hint="default"/>
      </w:rPr>
    </w:lvl>
    <w:lvl w:ilvl="8">
      <w:numFmt w:val="bullet"/>
      <w:lvlText w:val="•"/>
      <w:lvlJc w:val="left"/>
      <w:pPr>
        <w:ind w:left="5894" w:hanging="811"/>
      </w:pPr>
      <w:rPr>
        <w:rFonts w:hint="default"/>
      </w:rPr>
    </w:lvl>
  </w:abstractNum>
  <w:abstractNum w:abstractNumId="119">
    <w:nsid w:val="31831D84"/>
    <w:multiLevelType w:val="hybridMultilevel"/>
    <w:tmpl w:val="1A408CB6"/>
    <w:lvl w:ilvl="0" w:tplc="CDD6404A">
      <w:start w:val="1"/>
      <w:numFmt w:val="decimal"/>
      <w:lvlText w:val="%1."/>
      <w:lvlJc w:val="left"/>
      <w:pPr>
        <w:ind w:left="533" w:hanging="284"/>
        <w:jc w:val="left"/>
      </w:pPr>
      <w:rPr>
        <w:rFonts w:ascii="Cambria" w:eastAsia="Cambria" w:hAnsi="Cambria" w:cs="Cambria" w:hint="default"/>
        <w:color w:val="231F20"/>
        <w:spacing w:val="-17"/>
        <w:w w:val="100"/>
        <w:sz w:val="21"/>
        <w:szCs w:val="21"/>
      </w:rPr>
    </w:lvl>
    <w:lvl w:ilvl="1" w:tplc="DA929278">
      <w:numFmt w:val="bullet"/>
      <w:lvlText w:val="•"/>
      <w:lvlJc w:val="left"/>
      <w:pPr>
        <w:ind w:left="1204" w:hanging="284"/>
      </w:pPr>
      <w:rPr>
        <w:rFonts w:hint="default"/>
      </w:rPr>
    </w:lvl>
    <w:lvl w:ilvl="2" w:tplc="86C814EA">
      <w:numFmt w:val="bullet"/>
      <w:lvlText w:val="•"/>
      <w:lvlJc w:val="left"/>
      <w:pPr>
        <w:ind w:left="1868" w:hanging="284"/>
      </w:pPr>
      <w:rPr>
        <w:rFonts w:hint="default"/>
      </w:rPr>
    </w:lvl>
    <w:lvl w:ilvl="3" w:tplc="A2C8425E">
      <w:numFmt w:val="bullet"/>
      <w:lvlText w:val="•"/>
      <w:lvlJc w:val="left"/>
      <w:pPr>
        <w:ind w:left="2533" w:hanging="284"/>
      </w:pPr>
      <w:rPr>
        <w:rFonts w:hint="default"/>
      </w:rPr>
    </w:lvl>
    <w:lvl w:ilvl="4" w:tplc="83B4F5BC">
      <w:numFmt w:val="bullet"/>
      <w:lvlText w:val="•"/>
      <w:lvlJc w:val="left"/>
      <w:pPr>
        <w:ind w:left="3197" w:hanging="284"/>
      </w:pPr>
      <w:rPr>
        <w:rFonts w:hint="default"/>
      </w:rPr>
    </w:lvl>
    <w:lvl w:ilvl="5" w:tplc="F2EAC410">
      <w:numFmt w:val="bullet"/>
      <w:lvlText w:val="•"/>
      <w:lvlJc w:val="left"/>
      <w:pPr>
        <w:ind w:left="3861" w:hanging="284"/>
      </w:pPr>
      <w:rPr>
        <w:rFonts w:hint="default"/>
      </w:rPr>
    </w:lvl>
    <w:lvl w:ilvl="6" w:tplc="44C6F6DE">
      <w:numFmt w:val="bullet"/>
      <w:lvlText w:val="•"/>
      <w:lvlJc w:val="left"/>
      <w:pPr>
        <w:ind w:left="4526" w:hanging="284"/>
      </w:pPr>
      <w:rPr>
        <w:rFonts w:hint="default"/>
      </w:rPr>
    </w:lvl>
    <w:lvl w:ilvl="7" w:tplc="5EBA9C7C">
      <w:numFmt w:val="bullet"/>
      <w:lvlText w:val="•"/>
      <w:lvlJc w:val="left"/>
      <w:pPr>
        <w:ind w:left="5190" w:hanging="284"/>
      </w:pPr>
      <w:rPr>
        <w:rFonts w:hint="default"/>
      </w:rPr>
    </w:lvl>
    <w:lvl w:ilvl="8" w:tplc="B7B42748">
      <w:numFmt w:val="bullet"/>
      <w:lvlText w:val="•"/>
      <w:lvlJc w:val="left"/>
      <w:pPr>
        <w:ind w:left="5855" w:hanging="284"/>
      </w:pPr>
      <w:rPr>
        <w:rFonts w:hint="default"/>
      </w:rPr>
    </w:lvl>
  </w:abstractNum>
  <w:abstractNum w:abstractNumId="120">
    <w:nsid w:val="31B47773"/>
    <w:multiLevelType w:val="multilevel"/>
    <w:tmpl w:val="C97E6FFA"/>
    <w:lvl w:ilvl="0">
      <w:start w:val="5"/>
      <w:numFmt w:val="decimal"/>
      <w:lvlText w:val="%1"/>
      <w:lvlJc w:val="left"/>
      <w:pPr>
        <w:ind w:left="1251" w:hanging="718"/>
        <w:jc w:val="left"/>
      </w:pPr>
      <w:rPr>
        <w:rFonts w:hint="default"/>
      </w:rPr>
    </w:lvl>
    <w:lvl w:ilvl="1">
      <w:start w:val="3"/>
      <w:numFmt w:val="decimal"/>
      <w:lvlText w:val="%1.%2"/>
      <w:lvlJc w:val="left"/>
      <w:pPr>
        <w:ind w:left="1251" w:hanging="718"/>
        <w:jc w:val="left"/>
      </w:pPr>
      <w:rPr>
        <w:rFonts w:hint="default"/>
      </w:rPr>
    </w:lvl>
    <w:lvl w:ilvl="2">
      <w:start w:val="2"/>
      <w:numFmt w:val="decimal"/>
      <w:lvlText w:val="%1.%2.%3"/>
      <w:lvlJc w:val="left"/>
      <w:pPr>
        <w:ind w:left="1251" w:hanging="718"/>
        <w:jc w:val="left"/>
      </w:pPr>
      <w:rPr>
        <w:rFonts w:hint="default"/>
      </w:rPr>
    </w:lvl>
    <w:lvl w:ilvl="3">
      <w:start w:val="3"/>
      <w:numFmt w:val="decimal"/>
      <w:lvlText w:val="%1.%2.%3.%4."/>
      <w:lvlJc w:val="left"/>
      <w:pPr>
        <w:ind w:left="1251" w:hanging="718"/>
        <w:jc w:val="left"/>
      </w:pPr>
      <w:rPr>
        <w:rFonts w:ascii="Cambria" w:eastAsia="Cambria" w:hAnsi="Cambria" w:cs="Cambria" w:hint="default"/>
        <w:b/>
        <w:bCs/>
        <w:i/>
        <w:color w:val="231F20"/>
        <w:spacing w:val="-3"/>
        <w:w w:val="100"/>
        <w:sz w:val="21"/>
        <w:szCs w:val="21"/>
      </w:rPr>
    </w:lvl>
    <w:lvl w:ilvl="4">
      <w:numFmt w:val="bullet"/>
      <w:lvlText w:val=""/>
      <w:lvlJc w:val="left"/>
      <w:pPr>
        <w:ind w:left="533" w:hanging="284"/>
      </w:pPr>
      <w:rPr>
        <w:rFonts w:ascii="Wingdings" w:eastAsia="Wingdings" w:hAnsi="Wingdings" w:cs="Wingdings" w:hint="default"/>
        <w:color w:val="231F20"/>
        <w:w w:val="100"/>
        <w:sz w:val="21"/>
        <w:szCs w:val="21"/>
      </w:rPr>
    </w:lvl>
    <w:lvl w:ilvl="5">
      <w:numFmt w:val="bullet"/>
      <w:lvlText w:val="•"/>
      <w:lvlJc w:val="left"/>
      <w:pPr>
        <w:ind w:left="3892" w:hanging="284"/>
      </w:pPr>
      <w:rPr>
        <w:rFonts w:hint="default"/>
      </w:rPr>
    </w:lvl>
    <w:lvl w:ilvl="6">
      <w:numFmt w:val="bullet"/>
      <w:lvlText w:val="•"/>
      <w:lvlJc w:val="left"/>
      <w:pPr>
        <w:ind w:left="4551" w:hanging="284"/>
      </w:pPr>
      <w:rPr>
        <w:rFonts w:hint="default"/>
      </w:rPr>
    </w:lvl>
    <w:lvl w:ilvl="7">
      <w:numFmt w:val="bullet"/>
      <w:lvlText w:val="•"/>
      <w:lvlJc w:val="left"/>
      <w:pPr>
        <w:ind w:left="5209" w:hanging="284"/>
      </w:pPr>
      <w:rPr>
        <w:rFonts w:hint="default"/>
      </w:rPr>
    </w:lvl>
    <w:lvl w:ilvl="8">
      <w:numFmt w:val="bullet"/>
      <w:lvlText w:val="•"/>
      <w:lvlJc w:val="left"/>
      <w:pPr>
        <w:ind w:left="5867" w:hanging="284"/>
      </w:pPr>
      <w:rPr>
        <w:rFonts w:hint="default"/>
      </w:rPr>
    </w:lvl>
  </w:abstractNum>
  <w:abstractNum w:abstractNumId="121">
    <w:nsid w:val="322B4C10"/>
    <w:multiLevelType w:val="multilevel"/>
    <w:tmpl w:val="5AD075EE"/>
    <w:lvl w:ilvl="0">
      <w:start w:val="2"/>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numFmt w:val="bullet"/>
      <w:lvlText w:val="•"/>
      <w:lvlJc w:val="left"/>
      <w:pPr>
        <w:ind w:left="1948" w:hanging="397"/>
      </w:pPr>
      <w:rPr>
        <w:rFonts w:hint="default"/>
      </w:rPr>
    </w:lvl>
    <w:lvl w:ilvl="3">
      <w:numFmt w:val="bullet"/>
      <w:lvlText w:val="•"/>
      <w:lvlJc w:val="left"/>
      <w:pPr>
        <w:ind w:left="2603" w:hanging="397"/>
      </w:pPr>
      <w:rPr>
        <w:rFonts w:hint="default"/>
      </w:rPr>
    </w:lvl>
    <w:lvl w:ilvl="4">
      <w:numFmt w:val="bullet"/>
      <w:lvlText w:val="•"/>
      <w:lvlJc w:val="left"/>
      <w:pPr>
        <w:ind w:left="3257" w:hanging="397"/>
      </w:pPr>
      <w:rPr>
        <w:rFonts w:hint="default"/>
      </w:rPr>
    </w:lvl>
    <w:lvl w:ilvl="5">
      <w:numFmt w:val="bullet"/>
      <w:lvlText w:val="•"/>
      <w:lvlJc w:val="left"/>
      <w:pPr>
        <w:ind w:left="3911" w:hanging="397"/>
      </w:pPr>
      <w:rPr>
        <w:rFonts w:hint="default"/>
      </w:rPr>
    </w:lvl>
    <w:lvl w:ilvl="6">
      <w:numFmt w:val="bullet"/>
      <w:lvlText w:val="•"/>
      <w:lvlJc w:val="left"/>
      <w:pPr>
        <w:ind w:left="4566" w:hanging="397"/>
      </w:pPr>
      <w:rPr>
        <w:rFonts w:hint="default"/>
      </w:rPr>
    </w:lvl>
    <w:lvl w:ilvl="7">
      <w:numFmt w:val="bullet"/>
      <w:lvlText w:val="•"/>
      <w:lvlJc w:val="left"/>
      <w:pPr>
        <w:ind w:left="5220" w:hanging="397"/>
      </w:pPr>
      <w:rPr>
        <w:rFonts w:hint="default"/>
      </w:rPr>
    </w:lvl>
    <w:lvl w:ilvl="8">
      <w:numFmt w:val="bullet"/>
      <w:lvlText w:val="•"/>
      <w:lvlJc w:val="left"/>
      <w:pPr>
        <w:ind w:left="5875" w:hanging="397"/>
      </w:pPr>
      <w:rPr>
        <w:rFonts w:hint="default"/>
      </w:rPr>
    </w:lvl>
  </w:abstractNum>
  <w:abstractNum w:abstractNumId="122">
    <w:nsid w:val="32C55F58"/>
    <w:multiLevelType w:val="multilevel"/>
    <w:tmpl w:val="CEB475C4"/>
    <w:lvl w:ilvl="0">
      <w:start w:val="6"/>
      <w:numFmt w:val="decimal"/>
      <w:lvlText w:val="%1"/>
      <w:lvlJc w:val="left"/>
      <w:pPr>
        <w:ind w:left="930" w:hanging="397"/>
        <w:jc w:val="left"/>
      </w:pPr>
      <w:rPr>
        <w:rFonts w:hint="default"/>
      </w:rPr>
    </w:lvl>
    <w:lvl w:ilvl="1">
      <w:start w:val="1"/>
      <w:numFmt w:val="decimal"/>
      <w:lvlText w:val="%1.%2."/>
      <w:lvlJc w:val="left"/>
      <w:pPr>
        <w:ind w:left="930" w:hanging="397"/>
        <w:jc w:val="right"/>
      </w:pPr>
      <w:rPr>
        <w:rFonts w:ascii="Cambria" w:eastAsia="Cambria" w:hAnsi="Cambria" w:cs="Cambria" w:hint="default"/>
        <w:b/>
        <w:bCs/>
        <w:color w:val="231F20"/>
        <w:spacing w:val="-1"/>
        <w:w w:val="100"/>
        <w:sz w:val="21"/>
        <w:szCs w:val="21"/>
      </w:rPr>
    </w:lvl>
    <w:lvl w:ilvl="2">
      <w:numFmt w:val="bullet"/>
      <w:lvlText w:val="•"/>
      <w:lvlJc w:val="left"/>
      <w:pPr>
        <w:ind w:left="2188" w:hanging="397"/>
      </w:pPr>
      <w:rPr>
        <w:rFonts w:hint="default"/>
      </w:rPr>
    </w:lvl>
    <w:lvl w:ilvl="3">
      <w:numFmt w:val="bullet"/>
      <w:lvlText w:val="•"/>
      <w:lvlJc w:val="left"/>
      <w:pPr>
        <w:ind w:left="2813" w:hanging="397"/>
      </w:pPr>
      <w:rPr>
        <w:rFonts w:hint="default"/>
      </w:rPr>
    </w:lvl>
    <w:lvl w:ilvl="4">
      <w:numFmt w:val="bullet"/>
      <w:lvlText w:val="•"/>
      <w:lvlJc w:val="left"/>
      <w:pPr>
        <w:ind w:left="3437" w:hanging="397"/>
      </w:pPr>
      <w:rPr>
        <w:rFonts w:hint="default"/>
      </w:rPr>
    </w:lvl>
    <w:lvl w:ilvl="5">
      <w:numFmt w:val="bullet"/>
      <w:lvlText w:val="•"/>
      <w:lvlJc w:val="left"/>
      <w:pPr>
        <w:ind w:left="4061" w:hanging="397"/>
      </w:pPr>
      <w:rPr>
        <w:rFonts w:hint="default"/>
      </w:rPr>
    </w:lvl>
    <w:lvl w:ilvl="6">
      <w:numFmt w:val="bullet"/>
      <w:lvlText w:val="•"/>
      <w:lvlJc w:val="left"/>
      <w:pPr>
        <w:ind w:left="4686" w:hanging="397"/>
      </w:pPr>
      <w:rPr>
        <w:rFonts w:hint="default"/>
      </w:rPr>
    </w:lvl>
    <w:lvl w:ilvl="7">
      <w:numFmt w:val="bullet"/>
      <w:lvlText w:val="•"/>
      <w:lvlJc w:val="left"/>
      <w:pPr>
        <w:ind w:left="5310" w:hanging="397"/>
      </w:pPr>
      <w:rPr>
        <w:rFonts w:hint="default"/>
      </w:rPr>
    </w:lvl>
    <w:lvl w:ilvl="8">
      <w:numFmt w:val="bullet"/>
      <w:lvlText w:val="•"/>
      <w:lvlJc w:val="left"/>
      <w:pPr>
        <w:ind w:left="5935" w:hanging="397"/>
      </w:pPr>
      <w:rPr>
        <w:rFonts w:hint="default"/>
      </w:rPr>
    </w:lvl>
  </w:abstractNum>
  <w:abstractNum w:abstractNumId="123">
    <w:nsid w:val="32E07BB1"/>
    <w:multiLevelType w:val="multilevel"/>
    <w:tmpl w:val="5DD8C51E"/>
    <w:lvl w:ilvl="0">
      <w:start w:val="1"/>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numFmt w:val="bullet"/>
      <w:lvlText w:val="•"/>
      <w:lvlJc w:val="left"/>
      <w:pPr>
        <w:ind w:left="1948" w:hanging="397"/>
      </w:pPr>
      <w:rPr>
        <w:rFonts w:hint="default"/>
      </w:rPr>
    </w:lvl>
    <w:lvl w:ilvl="3">
      <w:numFmt w:val="bullet"/>
      <w:lvlText w:val="•"/>
      <w:lvlJc w:val="left"/>
      <w:pPr>
        <w:ind w:left="2603" w:hanging="397"/>
      </w:pPr>
      <w:rPr>
        <w:rFonts w:hint="default"/>
      </w:rPr>
    </w:lvl>
    <w:lvl w:ilvl="4">
      <w:numFmt w:val="bullet"/>
      <w:lvlText w:val="•"/>
      <w:lvlJc w:val="left"/>
      <w:pPr>
        <w:ind w:left="3257" w:hanging="397"/>
      </w:pPr>
      <w:rPr>
        <w:rFonts w:hint="default"/>
      </w:rPr>
    </w:lvl>
    <w:lvl w:ilvl="5">
      <w:numFmt w:val="bullet"/>
      <w:lvlText w:val="•"/>
      <w:lvlJc w:val="left"/>
      <w:pPr>
        <w:ind w:left="3911" w:hanging="397"/>
      </w:pPr>
      <w:rPr>
        <w:rFonts w:hint="default"/>
      </w:rPr>
    </w:lvl>
    <w:lvl w:ilvl="6">
      <w:numFmt w:val="bullet"/>
      <w:lvlText w:val="•"/>
      <w:lvlJc w:val="left"/>
      <w:pPr>
        <w:ind w:left="4566" w:hanging="397"/>
      </w:pPr>
      <w:rPr>
        <w:rFonts w:hint="default"/>
      </w:rPr>
    </w:lvl>
    <w:lvl w:ilvl="7">
      <w:numFmt w:val="bullet"/>
      <w:lvlText w:val="•"/>
      <w:lvlJc w:val="left"/>
      <w:pPr>
        <w:ind w:left="5220" w:hanging="397"/>
      </w:pPr>
      <w:rPr>
        <w:rFonts w:hint="default"/>
      </w:rPr>
    </w:lvl>
    <w:lvl w:ilvl="8">
      <w:numFmt w:val="bullet"/>
      <w:lvlText w:val="•"/>
      <w:lvlJc w:val="left"/>
      <w:pPr>
        <w:ind w:left="5875" w:hanging="397"/>
      </w:pPr>
      <w:rPr>
        <w:rFonts w:hint="default"/>
      </w:rPr>
    </w:lvl>
  </w:abstractNum>
  <w:abstractNum w:abstractNumId="124">
    <w:nsid w:val="334A54B3"/>
    <w:multiLevelType w:val="hybridMultilevel"/>
    <w:tmpl w:val="63A0606E"/>
    <w:lvl w:ilvl="0" w:tplc="B7606D06">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DC183EC6">
      <w:numFmt w:val="bullet"/>
      <w:lvlText w:val="•"/>
      <w:lvlJc w:val="left"/>
      <w:pPr>
        <w:ind w:left="1204" w:hanging="284"/>
      </w:pPr>
      <w:rPr>
        <w:rFonts w:hint="default"/>
      </w:rPr>
    </w:lvl>
    <w:lvl w:ilvl="2" w:tplc="AD0C581E">
      <w:numFmt w:val="bullet"/>
      <w:lvlText w:val="•"/>
      <w:lvlJc w:val="left"/>
      <w:pPr>
        <w:ind w:left="1868" w:hanging="284"/>
      </w:pPr>
      <w:rPr>
        <w:rFonts w:hint="default"/>
      </w:rPr>
    </w:lvl>
    <w:lvl w:ilvl="3" w:tplc="EF6EE5E2">
      <w:numFmt w:val="bullet"/>
      <w:lvlText w:val="•"/>
      <w:lvlJc w:val="left"/>
      <w:pPr>
        <w:ind w:left="2533" w:hanging="284"/>
      </w:pPr>
      <w:rPr>
        <w:rFonts w:hint="default"/>
      </w:rPr>
    </w:lvl>
    <w:lvl w:ilvl="4" w:tplc="BBD8FB28">
      <w:numFmt w:val="bullet"/>
      <w:lvlText w:val="•"/>
      <w:lvlJc w:val="left"/>
      <w:pPr>
        <w:ind w:left="3197" w:hanging="284"/>
      </w:pPr>
      <w:rPr>
        <w:rFonts w:hint="default"/>
      </w:rPr>
    </w:lvl>
    <w:lvl w:ilvl="5" w:tplc="F9D6506A">
      <w:numFmt w:val="bullet"/>
      <w:lvlText w:val="•"/>
      <w:lvlJc w:val="left"/>
      <w:pPr>
        <w:ind w:left="3861" w:hanging="284"/>
      </w:pPr>
      <w:rPr>
        <w:rFonts w:hint="default"/>
      </w:rPr>
    </w:lvl>
    <w:lvl w:ilvl="6" w:tplc="49D01024">
      <w:numFmt w:val="bullet"/>
      <w:lvlText w:val="•"/>
      <w:lvlJc w:val="left"/>
      <w:pPr>
        <w:ind w:left="4526" w:hanging="284"/>
      </w:pPr>
      <w:rPr>
        <w:rFonts w:hint="default"/>
      </w:rPr>
    </w:lvl>
    <w:lvl w:ilvl="7" w:tplc="A0DA5EFC">
      <w:numFmt w:val="bullet"/>
      <w:lvlText w:val="•"/>
      <w:lvlJc w:val="left"/>
      <w:pPr>
        <w:ind w:left="5190" w:hanging="284"/>
      </w:pPr>
      <w:rPr>
        <w:rFonts w:hint="default"/>
      </w:rPr>
    </w:lvl>
    <w:lvl w:ilvl="8" w:tplc="79345C96">
      <w:numFmt w:val="bullet"/>
      <w:lvlText w:val="•"/>
      <w:lvlJc w:val="left"/>
      <w:pPr>
        <w:ind w:left="5855" w:hanging="284"/>
      </w:pPr>
      <w:rPr>
        <w:rFonts w:hint="default"/>
      </w:rPr>
    </w:lvl>
  </w:abstractNum>
  <w:abstractNum w:abstractNumId="125">
    <w:nsid w:val="3361587E"/>
    <w:multiLevelType w:val="hybridMultilevel"/>
    <w:tmpl w:val="28AA8C6E"/>
    <w:lvl w:ilvl="0" w:tplc="E11229AE">
      <w:numFmt w:val="bullet"/>
      <w:lvlText w:val=""/>
      <w:lvlJc w:val="left"/>
      <w:pPr>
        <w:ind w:left="250" w:hanging="284"/>
      </w:pPr>
      <w:rPr>
        <w:rFonts w:ascii="Wingdings" w:eastAsia="Wingdings" w:hAnsi="Wingdings" w:cs="Wingdings" w:hint="default"/>
        <w:color w:val="231F20"/>
        <w:w w:val="100"/>
        <w:sz w:val="21"/>
        <w:szCs w:val="21"/>
      </w:rPr>
    </w:lvl>
    <w:lvl w:ilvl="1" w:tplc="769A536C">
      <w:numFmt w:val="bullet"/>
      <w:lvlText w:val=""/>
      <w:lvlJc w:val="left"/>
      <w:pPr>
        <w:ind w:left="533" w:hanging="284"/>
      </w:pPr>
      <w:rPr>
        <w:rFonts w:ascii="Wingdings" w:eastAsia="Wingdings" w:hAnsi="Wingdings" w:cs="Wingdings" w:hint="default"/>
        <w:color w:val="231F20"/>
        <w:w w:val="100"/>
        <w:sz w:val="21"/>
        <w:szCs w:val="21"/>
      </w:rPr>
    </w:lvl>
    <w:lvl w:ilvl="2" w:tplc="B2E0C94C">
      <w:numFmt w:val="bullet"/>
      <w:lvlText w:val="•"/>
      <w:lvlJc w:val="left"/>
      <w:pPr>
        <w:ind w:left="1278" w:hanging="284"/>
      </w:pPr>
      <w:rPr>
        <w:rFonts w:hint="default"/>
      </w:rPr>
    </w:lvl>
    <w:lvl w:ilvl="3" w:tplc="15CCADEA">
      <w:numFmt w:val="bullet"/>
      <w:lvlText w:val="•"/>
      <w:lvlJc w:val="left"/>
      <w:pPr>
        <w:ind w:left="2016" w:hanging="284"/>
      </w:pPr>
      <w:rPr>
        <w:rFonts w:hint="default"/>
      </w:rPr>
    </w:lvl>
    <w:lvl w:ilvl="4" w:tplc="57664784">
      <w:numFmt w:val="bullet"/>
      <w:lvlText w:val="•"/>
      <w:lvlJc w:val="left"/>
      <w:pPr>
        <w:ind w:left="2754" w:hanging="284"/>
      </w:pPr>
      <w:rPr>
        <w:rFonts w:hint="default"/>
      </w:rPr>
    </w:lvl>
    <w:lvl w:ilvl="5" w:tplc="ED624EA0">
      <w:numFmt w:val="bullet"/>
      <w:lvlText w:val="•"/>
      <w:lvlJc w:val="left"/>
      <w:pPr>
        <w:ind w:left="3492" w:hanging="284"/>
      </w:pPr>
      <w:rPr>
        <w:rFonts w:hint="default"/>
      </w:rPr>
    </w:lvl>
    <w:lvl w:ilvl="6" w:tplc="A7BA116E">
      <w:numFmt w:val="bullet"/>
      <w:lvlText w:val="•"/>
      <w:lvlJc w:val="left"/>
      <w:pPr>
        <w:ind w:left="4231" w:hanging="284"/>
      </w:pPr>
      <w:rPr>
        <w:rFonts w:hint="default"/>
      </w:rPr>
    </w:lvl>
    <w:lvl w:ilvl="7" w:tplc="16EEFAC0">
      <w:numFmt w:val="bullet"/>
      <w:lvlText w:val="•"/>
      <w:lvlJc w:val="left"/>
      <w:pPr>
        <w:ind w:left="4969" w:hanging="284"/>
      </w:pPr>
      <w:rPr>
        <w:rFonts w:hint="default"/>
      </w:rPr>
    </w:lvl>
    <w:lvl w:ilvl="8" w:tplc="25047156">
      <w:numFmt w:val="bullet"/>
      <w:lvlText w:val="•"/>
      <w:lvlJc w:val="left"/>
      <w:pPr>
        <w:ind w:left="5707" w:hanging="284"/>
      </w:pPr>
      <w:rPr>
        <w:rFonts w:hint="default"/>
      </w:rPr>
    </w:lvl>
  </w:abstractNum>
  <w:abstractNum w:abstractNumId="126">
    <w:nsid w:val="33853A48"/>
    <w:multiLevelType w:val="hybridMultilevel"/>
    <w:tmpl w:val="54688A78"/>
    <w:lvl w:ilvl="0" w:tplc="9ABC9982">
      <w:numFmt w:val="bullet"/>
      <w:lvlText w:val=""/>
      <w:lvlJc w:val="left"/>
      <w:pPr>
        <w:ind w:left="533" w:hanging="284"/>
      </w:pPr>
      <w:rPr>
        <w:rFonts w:ascii="Wingdings" w:eastAsia="Wingdings" w:hAnsi="Wingdings" w:cs="Wingdings" w:hint="default"/>
        <w:color w:val="231F20"/>
        <w:w w:val="100"/>
        <w:sz w:val="21"/>
        <w:szCs w:val="21"/>
      </w:rPr>
    </w:lvl>
    <w:lvl w:ilvl="1" w:tplc="86364078">
      <w:numFmt w:val="bullet"/>
      <w:lvlText w:val="•"/>
      <w:lvlJc w:val="left"/>
      <w:pPr>
        <w:ind w:left="1204" w:hanging="284"/>
      </w:pPr>
      <w:rPr>
        <w:rFonts w:hint="default"/>
      </w:rPr>
    </w:lvl>
    <w:lvl w:ilvl="2" w:tplc="9FEA7886">
      <w:numFmt w:val="bullet"/>
      <w:lvlText w:val="•"/>
      <w:lvlJc w:val="left"/>
      <w:pPr>
        <w:ind w:left="1868" w:hanging="284"/>
      </w:pPr>
      <w:rPr>
        <w:rFonts w:hint="default"/>
      </w:rPr>
    </w:lvl>
    <w:lvl w:ilvl="3" w:tplc="271CDCD6">
      <w:numFmt w:val="bullet"/>
      <w:lvlText w:val="•"/>
      <w:lvlJc w:val="left"/>
      <w:pPr>
        <w:ind w:left="2533" w:hanging="284"/>
      </w:pPr>
      <w:rPr>
        <w:rFonts w:hint="default"/>
      </w:rPr>
    </w:lvl>
    <w:lvl w:ilvl="4" w:tplc="791CB9EC">
      <w:numFmt w:val="bullet"/>
      <w:lvlText w:val="•"/>
      <w:lvlJc w:val="left"/>
      <w:pPr>
        <w:ind w:left="3197" w:hanging="284"/>
      </w:pPr>
      <w:rPr>
        <w:rFonts w:hint="default"/>
      </w:rPr>
    </w:lvl>
    <w:lvl w:ilvl="5" w:tplc="1D9096CC">
      <w:numFmt w:val="bullet"/>
      <w:lvlText w:val="•"/>
      <w:lvlJc w:val="left"/>
      <w:pPr>
        <w:ind w:left="3861" w:hanging="284"/>
      </w:pPr>
      <w:rPr>
        <w:rFonts w:hint="default"/>
      </w:rPr>
    </w:lvl>
    <w:lvl w:ilvl="6" w:tplc="96F857E8">
      <w:numFmt w:val="bullet"/>
      <w:lvlText w:val="•"/>
      <w:lvlJc w:val="left"/>
      <w:pPr>
        <w:ind w:left="4526" w:hanging="284"/>
      </w:pPr>
      <w:rPr>
        <w:rFonts w:hint="default"/>
      </w:rPr>
    </w:lvl>
    <w:lvl w:ilvl="7" w:tplc="B3041CC4">
      <w:numFmt w:val="bullet"/>
      <w:lvlText w:val="•"/>
      <w:lvlJc w:val="left"/>
      <w:pPr>
        <w:ind w:left="5190" w:hanging="284"/>
      </w:pPr>
      <w:rPr>
        <w:rFonts w:hint="default"/>
      </w:rPr>
    </w:lvl>
    <w:lvl w:ilvl="8" w:tplc="D144D8D0">
      <w:numFmt w:val="bullet"/>
      <w:lvlText w:val="•"/>
      <w:lvlJc w:val="left"/>
      <w:pPr>
        <w:ind w:left="5855" w:hanging="284"/>
      </w:pPr>
      <w:rPr>
        <w:rFonts w:hint="default"/>
      </w:rPr>
    </w:lvl>
  </w:abstractNum>
  <w:abstractNum w:abstractNumId="127">
    <w:nsid w:val="33EF051F"/>
    <w:multiLevelType w:val="hybridMultilevel"/>
    <w:tmpl w:val="4BC6390C"/>
    <w:lvl w:ilvl="0" w:tplc="E7CE64DE">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1C1A9374">
      <w:numFmt w:val="bullet"/>
      <w:lvlText w:val="•"/>
      <w:lvlJc w:val="left"/>
      <w:pPr>
        <w:ind w:left="952" w:hanging="284"/>
      </w:pPr>
      <w:rPr>
        <w:rFonts w:hint="default"/>
      </w:rPr>
    </w:lvl>
    <w:lvl w:ilvl="2" w:tplc="781E7338">
      <w:numFmt w:val="bullet"/>
      <w:lvlText w:val="•"/>
      <w:lvlJc w:val="left"/>
      <w:pPr>
        <w:ind w:left="1644" w:hanging="284"/>
      </w:pPr>
      <w:rPr>
        <w:rFonts w:hint="default"/>
      </w:rPr>
    </w:lvl>
    <w:lvl w:ilvl="3" w:tplc="93941ABA">
      <w:numFmt w:val="bullet"/>
      <w:lvlText w:val="•"/>
      <w:lvlJc w:val="left"/>
      <w:pPr>
        <w:ind w:left="2337" w:hanging="284"/>
      </w:pPr>
      <w:rPr>
        <w:rFonts w:hint="default"/>
      </w:rPr>
    </w:lvl>
    <w:lvl w:ilvl="4" w:tplc="A2DC41B8">
      <w:numFmt w:val="bullet"/>
      <w:lvlText w:val="•"/>
      <w:lvlJc w:val="left"/>
      <w:pPr>
        <w:ind w:left="3029" w:hanging="284"/>
      </w:pPr>
      <w:rPr>
        <w:rFonts w:hint="default"/>
      </w:rPr>
    </w:lvl>
    <w:lvl w:ilvl="5" w:tplc="A73E8EDA">
      <w:numFmt w:val="bullet"/>
      <w:lvlText w:val="•"/>
      <w:lvlJc w:val="left"/>
      <w:pPr>
        <w:ind w:left="3721" w:hanging="284"/>
      </w:pPr>
      <w:rPr>
        <w:rFonts w:hint="default"/>
      </w:rPr>
    </w:lvl>
    <w:lvl w:ilvl="6" w:tplc="D8188F38">
      <w:numFmt w:val="bullet"/>
      <w:lvlText w:val="•"/>
      <w:lvlJc w:val="left"/>
      <w:pPr>
        <w:ind w:left="4414" w:hanging="284"/>
      </w:pPr>
      <w:rPr>
        <w:rFonts w:hint="default"/>
      </w:rPr>
    </w:lvl>
    <w:lvl w:ilvl="7" w:tplc="F9026C72">
      <w:numFmt w:val="bullet"/>
      <w:lvlText w:val="•"/>
      <w:lvlJc w:val="left"/>
      <w:pPr>
        <w:ind w:left="5106" w:hanging="284"/>
      </w:pPr>
      <w:rPr>
        <w:rFonts w:hint="default"/>
      </w:rPr>
    </w:lvl>
    <w:lvl w:ilvl="8" w:tplc="ACCA6816">
      <w:numFmt w:val="bullet"/>
      <w:lvlText w:val="•"/>
      <w:lvlJc w:val="left"/>
      <w:pPr>
        <w:ind w:left="5799" w:hanging="284"/>
      </w:pPr>
      <w:rPr>
        <w:rFonts w:hint="default"/>
      </w:rPr>
    </w:lvl>
  </w:abstractNum>
  <w:abstractNum w:abstractNumId="128">
    <w:nsid w:val="34490878"/>
    <w:multiLevelType w:val="multilevel"/>
    <w:tmpl w:val="99F495D6"/>
    <w:lvl w:ilvl="0">
      <w:start w:val="6"/>
      <w:numFmt w:val="decimal"/>
      <w:lvlText w:val="%1"/>
      <w:lvlJc w:val="left"/>
      <w:pPr>
        <w:ind w:left="1098" w:hanging="565"/>
        <w:jc w:val="left"/>
      </w:pPr>
      <w:rPr>
        <w:rFonts w:hint="default"/>
      </w:rPr>
    </w:lvl>
    <w:lvl w:ilvl="1">
      <w:start w:val="1"/>
      <w:numFmt w:val="decimal"/>
      <w:lvlText w:val="%1.%2"/>
      <w:lvlJc w:val="left"/>
      <w:pPr>
        <w:ind w:left="1098" w:hanging="565"/>
        <w:jc w:val="left"/>
      </w:pPr>
      <w:rPr>
        <w:rFonts w:hint="default"/>
      </w:rPr>
    </w:lvl>
    <w:lvl w:ilvl="2">
      <w:start w:val="4"/>
      <w:numFmt w:val="decimal"/>
      <w:lvlText w:val="%1.%2.%3."/>
      <w:lvlJc w:val="left"/>
      <w:pPr>
        <w:ind w:left="1098" w:hanging="565"/>
        <w:jc w:val="righ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129">
    <w:nsid w:val="35802097"/>
    <w:multiLevelType w:val="multilevel"/>
    <w:tmpl w:val="C986A13C"/>
    <w:lvl w:ilvl="0">
      <w:start w:val="3"/>
      <w:numFmt w:val="decimal"/>
      <w:lvlText w:val="%1"/>
      <w:lvlJc w:val="left"/>
      <w:pPr>
        <w:ind w:left="817" w:hanging="565"/>
        <w:jc w:val="left"/>
      </w:pPr>
      <w:rPr>
        <w:rFonts w:hint="default"/>
      </w:rPr>
    </w:lvl>
    <w:lvl w:ilvl="1">
      <w:start w:val="4"/>
      <w:numFmt w:val="decimal"/>
      <w:lvlText w:val="%1.%2"/>
      <w:lvlJc w:val="left"/>
      <w:pPr>
        <w:ind w:left="817" w:hanging="565"/>
        <w:jc w:val="left"/>
      </w:pPr>
      <w:rPr>
        <w:rFonts w:hint="default"/>
      </w:rPr>
    </w:lvl>
    <w:lvl w:ilvl="2">
      <w:start w:val="1"/>
      <w:numFmt w:val="decimal"/>
      <w:lvlText w:val="%1.%2.%3."/>
      <w:lvlJc w:val="left"/>
      <w:pPr>
        <w:ind w:left="817" w:hanging="565"/>
        <w:jc w:val="left"/>
      </w:pPr>
      <w:rPr>
        <w:rFonts w:ascii="Cambria" w:eastAsia="Cambria" w:hAnsi="Cambria" w:cs="Cambria" w:hint="default"/>
        <w:b/>
        <w:bCs/>
        <w:color w:val="231F20"/>
        <w:spacing w:val="-1"/>
        <w:w w:val="100"/>
        <w:sz w:val="21"/>
        <w:szCs w:val="21"/>
      </w:rPr>
    </w:lvl>
    <w:lvl w:ilvl="3">
      <w:numFmt w:val="bullet"/>
      <w:lvlText w:val="•"/>
      <w:lvlJc w:val="left"/>
      <w:pPr>
        <w:ind w:left="2729" w:hanging="565"/>
      </w:pPr>
      <w:rPr>
        <w:rFonts w:hint="default"/>
      </w:rPr>
    </w:lvl>
    <w:lvl w:ilvl="4">
      <w:numFmt w:val="bullet"/>
      <w:lvlText w:val="•"/>
      <w:lvlJc w:val="left"/>
      <w:pPr>
        <w:ind w:left="3365" w:hanging="565"/>
      </w:pPr>
      <w:rPr>
        <w:rFonts w:hint="default"/>
      </w:rPr>
    </w:lvl>
    <w:lvl w:ilvl="5">
      <w:numFmt w:val="bullet"/>
      <w:lvlText w:val="•"/>
      <w:lvlJc w:val="left"/>
      <w:pPr>
        <w:ind w:left="4001" w:hanging="565"/>
      </w:pPr>
      <w:rPr>
        <w:rFonts w:hint="default"/>
      </w:rPr>
    </w:lvl>
    <w:lvl w:ilvl="6">
      <w:numFmt w:val="bullet"/>
      <w:lvlText w:val="•"/>
      <w:lvlJc w:val="left"/>
      <w:pPr>
        <w:ind w:left="4638" w:hanging="565"/>
      </w:pPr>
      <w:rPr>
        <w:rFonts w:hint="default"/>
      </w:rPr>
    </w:lvl>
    <w:lvl w:ilvl="7">
      <w:numFmt w:val="bullet"/>
      <w:lvlText w:val="•"/>
      <w:lvlJc w:val="left"/>
      <w:pPr>
        <w:ind w:left="5274" w:hanging="565"/>
      </w:pPr>
      <w:rPr>
        <w:rFonts w:hint="default"/>
      </w:rPr>
    </w:lvl>
    <w:lvl w:ilvl="8">
      <w:numFmt w:val="bullet"/>
      <w:lvlText w:val="•"/>
      <w:lvlJc w:val="left"/>
      <w:pPr>
        <w:ind w:left="5911" w:hanging="565"/>
      </w:pPr>
      <w:rPr>
        <w:rFonts w:hint="default"/>
      </w:rPr>
    </w:lvl>
  </w:abstractNum>
  <w:abstractNum w:abstractNumId="130">
    <w:nsid w:val="36633B96"/>
    <w:multiLevelType w:val="hybridMultilevel"/>
    <w:tmpl w:val="5AE8E908"/>
    <w:lvl w:ilvl="0" w:tplc="8C8C6C0E">
      <w:start w:val="1"/>
      <w:numFmt w:val="decimal"/>
      <w:lvlText w:val="%1)"/>
      <w:lvlJc w:val="left"/>
      <w:pPr>
        <w:ind w:left="1100" w:hanging="284"/>
        <w:jc w:val="left"/>
      </w:pPr>
      <w:rPr>
        <w:rFonts w:ascii="Cambria" w:eastAsia="Cambria" w:hAnsi="Cambria" w:cs="Cambria" w:hint="default"/>
        <w:color w:val="231F20"/>
        <w:spacing w:val="-6"/>
        <w:w w:val="100"/>
        <w:sz w:val="21"/>
        <w:szCs w:val="21"/>
      </w:rPr>
    </w:lvl>
    <w:lvl w:ilvl="1" w:tplc="DA08E992">
      <w:numFmt w:val="bullet"/>
      <w:lvlText w:val="•"/>
      <w:lvlJc w:val="left"/>
      <w:pPr>
        <w:ind w:left="1708" w:hanging="284"/>
      </w:pPr>
      <w:rPr>
        <w:rFonts w:hint="default"/>
      </w:rPr>
    </w:lvl>
    <w:lvl w:ilvl="2" w:tplc="4088130A">
      <w:numFmt w:val="bullet"/>
      <w:lvlText w:val="•"/>
      <w:lvlJc w:val="left"/>
      <w:pPr>
        <w:ind w:left="2316" w:hanging="284"/>
      </w:pPr>
      <w:rPr>
        <w:rFonts w:hint="default"/>
      </w:rPr>
    </w:lvl>
    <w:lvl w:ilvl="3" w:tplc="DAAA25C8">
      <w:numFmt w:val="bullet"/>
      <w:lvlText w:val="•"/>
      <w:lvlJc w:val="left"/>
      <w:pPr>
        <w:ind w:left="2925" w:hanging="284"/>
      </w:pPr>
      <w:rPr>
        <w:rFonts w:hint="default"/>
      </w:rPr>
    </w:lvl>
    <w:lvl w:ilvl="4" w:tplc="C5BA1658">
      <w:numFmt w:val="bullet"/>
      <w:lvlText w:val="•"/>
      <w:lvlJc w:val="left"/>
      <w:pPr>
        <w:ind w:left="3533" w:hanging="284"/>
      </w:pPr>
      <w:rPr>
        <w:rFonts w:hint="default"/>
      </w:rPr>
    </w:lvl>
    <w:lvl w:ilvl="5" w:tplc="9EA2595A">
      <w:numFmt w:val="bullet"/>
      <w:lvlText w:val="•"/>
      <w:lvlJc w:val="left"/>
      <w:pPr>
        <w:ind w:left="4141" w:hanging="284"/>
      </w:pPr>
      <w:rPr>
        <w:rFonts w:hint="default"/>
      </w:rPr>
    </w:lvl>
    <w:lvl w:ilvl="6" w:tplc="38C8A780">
      <w:numFmt w:val="bullet"/>
      <w:lvlText w:val="•"/>
      <w:lvlJc w:val="left"/>
      <w:pPr>
        <w:ind w:left="4750" w:hanging="284"/>
      </w:pPr>
      <w:rPr>
        <w:rFonts w:hint="default"/>
      </w:rPr>
    </w:lvl>
    <w:lvl w:ilvl="7" w:tplc="79E6D85E">
      <w:numFmt w:val="bullet"/>
      <w:lvlText w:val="•"/>
      <w:lvlJc w:val="left"/>
      <w:pPr>
        <w:ind w:left="5358" w:hanging="284"/>
      </w:pPr>
      <w:rPr>
        <w:rFonts w:hint="default"/>
      </w:rPr>
    </w:lvl>
    <w:lvl w:ilvl="8" w:tplc="4B709C10">
      <w:numFmt w:val="bullet"/>
      <w:lvlText w:val="•"/>
      <w:lvlJc w:val="left"/>
      <w:pPr>
        <w:ind w:left="5967" w:hanging="284"/>
      </w:pPr>
      <w:rPr>
        <w:rFonts w:hint="default"/>
      </w:rPr>
    </w:lvl>
  </w:abstractNum>
  <w:abstractNum w:abstractNumId="131">
    <w:nsid w:val="369D60CD"/>
    <w:multiLevelType w:val="hybridMultilevel"/>
    <w:tmpl w:val="D130A25A"/>
    <w:lvl w:ilvl="0" w:tplc="E2545BA2">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E4D8C138">
      <w:numFmt w:val="bullet"/>
      <w:lvlText w:val="•"/>
      <w:lvlJc w:val="left"/>
      <w:pPr>
        <w:ind w:left="1204" w:hanging="284"/>
      </w:pPr>
      <w:rPr>
        <w:rFonts w:hint="default"/>
      </w:rPr>
    </w:lvl>
    <w:lvl w:ilvl="2" w:tplc="16E0D690">
      <w:numFmt w:val="bullet"/>
      <w:lvlText w:val="•"/>
      <w:lvlJc w:val="left"/>
      <w:pPr>
        <w:ind w:left="1868" w:hanging="284"/>
      </w:pPr>
      <w:rPr>
        <w:rFonts w:hint="default"/>
      </w:rPr>
    </w:lvl>
    <w:lvl w:ilvl="3" w:tplc="0A800B30">
      <w:numFmt w:val="bullet"/>
      <w:lvlText w:val="•"/>
      <w:lvlJc w:val="left"/>
      <w:pPr>
        <w:ind w:left="2533" w:hanging="284"/>
      </w:pPr>
      <w:rPr>
        <w:rFonts w:hint="default"/>
      </w:rPr>
    </w:lvl>
    <w:lvl w:ilvl="4" w:tplc="76CCE67A">
      <w:numFmt w:val="bullet"/>
      <w:lvlText w:val="•"/>
      <w:lvlJc w:val="left"/>
      <w:pPr>
        <w:ind w:left="3197" w:hanging="284"/>
      </w:pPr>
      <w:rPr>
        <w:rFonts w:hint="default"/>
      </w:rPr>
    </w:lvl>
    <w:lvl w:ilvl="5" w:tplc="925A0E50">
      <w:numFmt w:val="bullet"/>
      <w:lvlText w:val="•"/>
      <w:lvlJc w:val="left"/>
      <w:pPr>
        <w:ind w:left="3861" w:hanging="284"/>
      </w:pPr>
      <w:rPr>
        <w:rFonts w:hint="default"/>
      </w:rPr>
    </w:lvl>
    <w:lvl w:ilvl="6" w:tplc="55F8A420">
      <w:numFmt w:val="bullet"/>
      <w:lvlText w:val="•"/>
      <w:lvlJc w:val="left"/>
      <w:pPr>
        <w:ind w:left="4526" w:hanging="284"/>
      </w:pPr>
      <w:rPr>
        <w:rFonts w:hint="default"/>
      </w:rPr>
    </w:lvl>
    <w:lvl w:ilvl="7" w:tplc="EA927352">
      <w:numFmt w:val="bullet"/>
      <w:lvlText w:val="•"/>
      <w:lvlJc w:val="left"/>
      <w:pPr>
        <w:ind w:left="5190" w:hanging="284"/>
      </w:pPr>
      <w:rPr>
        <w:rFonts w:hint="default"/>
      </w:rPr>
    </w:lvl>
    <w:lvl w:ilvl="8" w:tplc="78C2200E">
      <w:numFmt w:val="bullet"/>
      <w:lvlText w:val="•"/>
      <w:lvlJc w:val="left"/>
      <w:pPr>
        <w:ind w:left="5855" w:hanging="284"/>
      </w:pPr>
      <w:rPr>
        <w:rFonts w:hint="default"/>
      </w:rPr>
    </w:lvl>
  </w:abstractNum>
  <w:abstractNum w:abstractNumId="132">
    <w:nsid w:val="36AC1C03"/>
    <w:multiLevelType w:val="hybridMultilevel"/>
    <w:tmpl w:val="A8265E64"/>
    <w:lvl w:ilvl="0" w:tplc="74C6620C">
      <w:start w:val="1"/>
      <w:numFmt w:val="decimal"/>
      <w:lvlText w:val="%1)"/>
      <w:lvlJc w:val="left"/>
      <w:pPr>
        <w:ind w:left="250" w:hanging="284"/>
        <w:jc w:val="right"/>
      </w:pPr>
      <w:rPr>
        <w:rFonts w:ascii="Cambria" w:eastAsia="Cambria" w:hAnsi="Cambria" w:cs="Cambria" w:hint="default"/>
        <w:color w:val="231F20"/>
        <w:spacing w:val="-18"/>
        <w:w w:val="100"/>
        <w:sz w:val="21"/>
        <w:szCs w:val="21"/>
      </w:rPr>
    </w:lvl>
    <w:lvl w:ilvl="1" w:tplc="C358871E">
      <w:numFmt w:val="bullet"/>
      <w:lvlText w:val="•"/>
      <w:lvlJc w:val="left"/>
      <w:pPr>
        <w:ind w:left="952" w:hanging="284"/>
      </w:pPr>
      <w:rPr>
        <w:rFonts w:hint="default"/>
      </w:rPr>
    </w:lvl>
    <w:lvl w:ilvl="2" w:tplc="233AA974">
      <w:numFmt w:val="bullet"/>
      <w:lvlText w:val="•"/>
      <w:lvlJc w:val="left"/>
      <w:pPr>
        <w:ind w:left="1644" w:hanging="284"/>
      </w:pPr>
      <w:rPr>
        <w:rFonts w:hint="default"/>
      </w:rPr>
    </w:lvl>
    <w:lvl w:ilvl="3" w:tplc="3FCCC090">
      <w:numFmt w:val="bullet"/>
      <w:lvlText w:val="•"/>
      <w:lvlJc w:val="left"/>
      <w:pPr>
        <w:ind w:left="2337" w:hanging="284"/>
      </w:pPr>
      <w:rPr>
        <w:rFonts w:hint="default"/>
      </w:rPr>
    </w:lvl>
    <w:lvl w:ilvl="4" w:tplc="FDBEEE4A">
      <w:numFmt w:val="bullet"/>
      <w:lvlText w:val="•"/>
      <w:lvlJc w:val="left"/>
      <w:pPr>
        <w:ind w:left="3029" w:hanging="284"/>
      </w:pPr>
      <w:rPr>
        <w:rFonts w:hint="default"/>
      </w:rPr>
    </w:lvl>
    <w:lvl w:ilvl="5" w:tplc="2EE671B6">
      <w:numFmt w:val="bullet"/>
      <w:lvlText w:val="•"/>
      <w:lvlJc w:val="left"/>
      <w:pPr>
        <w:ind w:left="3721" w:hanging="284"/>
      </w:pPr>
      <w:rPr>
        <w:rFonts w:hint="default"/>
      </w:rPr>
    </w:lvl>
    <w:lvl w:ilvl="6" w:tplc="B90EF50A">
      <w:numFmt w:val="bullet"/>
      <w:lvlText w:val="•"/>
      <w:lvlJc w:val="left"/>
      <w:pPr>
        <w:ind w:left="4414" w:hanging="284"/>
      </w:pPr>
      <w:rPr>
        <w:rFonts w:hint="default"/>
      </w:rPr>
    </w:lvl>
    <w:lvl w:ilvl="7" w:tplc="246CBDD6">
      <w:numFmt w:val="bullet"/>
      <w:lvlText w:val="•"/>
      <w:lvlJc w:val="left"/>
      <w:pPr>
        <w:ind w:left="5106" w:hanging="284"/>
      </w:pPr>
      <w:rPr>
        <w:rFonts w:hint="default"/>
      </w:rPr>
    </w:lvl>
    <w:lvl w:ilvl="8" w:tplc="61D0EECC">
      <w:numFmt w:val="bullet"/>
      <w:lvlText w:val="•"/>
      <w:lvlJc w:val="left"/>
      <w:pPr>
        <w:ind w:left="5799" w:hanging="284"/>
      </w:pPr>
      <w:rPr>
        <w:rFonts w:hint="default"/>
      </w:rPr>
    </w:lvl>
  </w:abstractNum>
  <w:abstractNum w:abstractNumId="133">
    <w:nsid w:val="36C73ADD"/>
    <w:multiLevelType w:val="hybridMultilevel"/>
    <w:tmpl w:val="E8FA56FC"/>
    <w:lvl w:ilvl="0" w:tplc="7E505F36">
      <w:numFmt w:val="bullet"/>
      <w:lvlText w:val="–"/>
      <w:lvlJc w:val="left"/>
      <w:pPr>
        <w:ind w:left="1100" w:hanging="284"/>
      </w:pPr>
      <w:rPr>
        <w:rFonts w:ascii="Cambria" w:eastAsia="Cambria" w:hAnsi="Cambria" w:cs="Cambria" w:hint="default"/>
        <w:color w:val="231F20"/>
        <w:spacing w:val="-7"/>
        <w:w w:val="100"/>
        <w:sz w:val="21"/>
        <w:szCs w:val="21"/>
      </w:rPr>
    </w:lvl>
    <w:lvl w:ilvl="1" w:tplc="2BFA843C">
      <w:numFmt w:val="bullet"/>
      <w:lvlText w:val="•"/>
      <w:lvlJc w:val="left"/>
      <w:pPr>
        <w:ind w:left="1708" w:hanging="284"/>
      </w:pPr>
      <w:rPr>
        <w:rFonts w:hint="default"/>
      </w:rPr>
    </w:lvl>
    <w:lvl w:ilvl="2" w:tplc="87625976">
      <w:numFmt w:val="bullet"/>
      <w:lvlText w:val="•"/>
      <w:lvlJc w:val="left"/>
      <w:pPr>
        <w:ind w:left="2316" w:hanging="284"/>
      </w:pPr>
      <w:rPr>
        <w:rFonts w:hint="default"/>
      </w:rPr>
    </w:lvl>
    <w:lvl w:ilvl="3" w:tplc="9188AFAA">
      <w:numFmt w:val="bullet"/>
      <w:lvlText w:val="•"/>
      <w:lvlJc w:val="left"/>
      <w:pPr>
        <w:ind w:left="2925" w:hanging="284"/>
      </w:pPr>
      <w:rPr>
        <w:rFonts w:hint="default"/>
      </w:rPr>
    </w:lvl>
    <w:lvl w:ilvl="4" w:tplc="8F52E730">
      <w:numFmt w:val="bullet"/>
      <w:lvlText w:val="•"/>
      <w:lvlJc w:val="left"/>
      <w:pPr>
        <w:ind w:left="3533" w:hanging="284"/>
      </w:pPr>
      <w:rPr>
        <w:rFonts w:hint="default"/>
      </w:rPr>
    </w:lvl>
    <w:lvl w:ilvl="5" w:tplc="AD181D8A">
      <w:numFmt w:val="bullet"/>
      <w:lvlText w:val="•"/>
      <w:lvlJc w:val="left"/>
      <w:pPr>
        <w:ind w:left="4141" w:hanging="284"/>
      </w:pPr>
      <w:rPr>
        <w:rFonts w:hint="default"/>
      </w:rPr>
    </w:lvl>
    <w:lvl w:ilvl="6" w:tplc="7CD43DF0">
      <w:numFmt w:val="bullet"/>
      <w:lvlText w:val="•"/>
      <w:lvlJc w:val="left"/>
      <w:pPr>
        <w:ind w:left="4750" w:hanging="284"/>
      </w:pPr>
      <w:rPr>
        <w:rFonts w:hint="default"/>
      </w:rPr>
    </w:lvl>
    <w:lvl w:ilvl="7" w:tplc="89888E72">
      <w:numFmt w:val="bullet"/>
      <w:lvlText w:val="•"/>
      <w:lvlJc w:val="left"/>
      <w:pPr>
        <w:ind w:left="5358" w:hanging="284"/>
      </w:pPr>
      <w:rPr>
        <w:rFonts w:hint="default"/>
      </w:rPr>
    </w:lvl>
    <w:lvl w:ilvl="8" w:tplc="1FBE373E">
      <w:numFmt w:val="bullet"/>
      <w:lvlText w:val="•"/>
      <w:lvlJc w:val="left"/>
      <w:pPr>
        <w:ind w:left="5967" w:hanging="284"/>
      </w:pPr>
      <w:rPr>
        <w:rFonts w:hint="default"/>
      </w:rPr>
    </w:lvl>
  </w:abstractNum>
  <w:abstractNum w:abstractNumId="134">
    <w:nsid w:val="36E23980"/>
    <w:multiLevelType w:val="hybridMultilevel"/>
    <w:tmpl w:val="53A42964"/>
    <w:lvl w:ilvl="0" w:tplc="598E02A8">
      <w:start w:val="1"/>
      <w:numFmt w:val="decimal"/>
      <w:lvlText w:val="%1)"/>
      <w:lvlJc w:val="left"/>
      <w:pPr>
        <w:ind w:left="533" w:hanging="284"/>
        <w:jc w:val="left"/>
      </w:pPr>
      <w:rPr>
        <w:rFonts w:ascii="Cambria" w:eastAsia="Cambria" w:hAnsi="Cambria" w:cs="Cambria" w:hint="default"/>
        <w:color w:val="231F20"/>
        <w:spacing w:val="-13"/>
        <w:w w:val="100"/>
        <w:sz w:val="21"/>
        <w:szCs w:val="21"/>
      </w:rPr>
    </w:lvl>
    <w:lvl w:ilvl="1" w:tplc="5D24A272">
      <w:numFmt w:val="bullet"/>
      <w:lvlText w:val="•"/>
      <w:lvlJc w:val="left"/>
      <w:pPr>
        <w:ind w:left="1204" w:hanging="284"/>
      </w:pPr>
      <w:rPr>
        <w:rFonts w:hint="default"/>
      </w:rPr>
    </w:lvl>
    <w:lvl w:ilvl="2" w:tplc="72CEB76E">
      <w:numFmt w:val="bullet"/>
      <w:lvlText w:val="•"/>
      <w:lvlJc w:val="left"/>
      <w:pPr>
        <w:ind w:left="1868" w:hanging="284"/>
      </w:pPr>
      <w:rPr>
        <w:rFonts w:hint="default"/>
      </w:rPr>
    </w:lvl>
    <w:lvl w:ilvl="3" w:tplc="7A5ECA7C">
      <w:numFmt w:val="bullet"/>
      <w:lvlText w:val="•"/>
      <w:lvlJc w:val="left"/>
      <w:pPr>
        <w:ind w:left="2533" w:hanging="284"/>
      </w:pPr>
      <w:rPr>
        <w:rFonts w:hint="default"/>
      </w:rPr>
    </w:lvl>
    <w:lvl w:ilvl="4" w:tplc="98184018">
      <w:numFmt w:val="bullet"/>
      <w:lvlText w:val="•"/>
      <w:lvlJc w:val="left"/>
      <w:pPr>
        <w:ind w:left="3197" w:hanging="284"/>
      </w:pPr>
      <w:rPr>
        <w:rFonts w:hint="default"/>
      </w:rPr>
    </w:lvl>
    <w:lvl w:ilvl="5" w:tplc="2F646A84">
      <w:numFmt w:val="bullet"/>
      <w:lvlText w:val="•"/>
      <w:lvlJc w:val="left"/>
      <w:pPr>
        <w:ind w:left="3861" w:hanging="284"/>
      </w:pPr>
      <w:rPr>
        <w:rFonts w:hint="default"/>
      </w:rPr>
    </w:lvl>
    <w:lvl w:ilvl="6" w:tplc="D4C04F14">
      <w:numFmt w:val="bullet"/>
      <w:lvlText w:val="•"/>
      <w:lvlJc w:val="left"/>
      <w:pPr>
        <w:ind w:left="4526" w:hanging="284"/>
      </w:pPr>
      <w:rPr>
        <w:rFonts w:hint="default"/>
      </w:rPr>
    </w:lvl>
    <w:lvl w:ilvl="7" w:tplc="3A18208E">
      <w:numFmt w:val="bullet"/>
      <w:lvlText w:val="•"/>
      <w:lvlJc w:val="left"/>
      <w:pPr>
        <w:ind w:left="5190" w:hanging="284"/>
      </w:pPr>
      <w:rPr>
        <w:rFonts w:hint="default"/>
      </w:rPr>
    </w:lvl>
    <w:lvl w:ilvl="8" w:tplc="6DA02AA4">
      <w:numFmt w:val="bullet"/>
      <w:lvlText w:val="•"/>
      <w:lvlJc w:val="left"/>
      <w:pPr>
        <w:ind w:left="5855" w:hanging="284"/>
      </w:pPr>
      <w:rPr>
        <w:rFonts w:hint="default"/>
      </w:rPr>
    </w:lvl>
  </w:abstractNum>
  <w:abstractNum w:abstractNumId="135">
    <w:nsid w:val="372951BF"/>
    <w:multiLevelType w:val="hybridMultilevel"/>
    <w:tmpl w:val="C6EE3090"/>
    <w:lvl w:ilvl="0" w:tplc="6D4A4C40">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B6822398">
      <w:numFmt w:val="bullet"/>
      <w:lvlText w:val="•"/>
      <w:lvlJc w:val="left"/>
      <w:pPr>
        <w:ind w:left="1204" w:hanging="284"/>
      </w:pPr>
      <w:rPr>
        <w:rFonts w:hint="default"/>
      </w:rPr>
    </w:lvl>
    <w:lvl w:ilvl="2" w:tplc="FA5087CA">
      <w:numFmt w:val="bullet"/>
      <w:lvlText w:val="•"/>
      <w:lvlJc w:val="left"/>
      <w:pPr>
        <w:ind w:left="1868" w:hanging="284"/>
      </w:pPr>
      <w:rPr>
        <w:rFonts w:hint="default"/>
      </w:rPr>
    </w:lvl>
    <w:lvl w:ilvl="3" w:tplc="EE9A3D08">
      <w:numFmt w:val="bullet"/>
      <w:lvlText w:val="•"/>
      <w:lvlJc w:val="left"/>
      <w:pPr>
        <w:ind w:left="2533" w:hanging="284"/>
      </w:pPr>
      <w:rPr>
        <w:rFonts w:hint="default"/>
      </w:rPr>
    </w:lvl>
    <w:lvl w:ilvl="4" w:tplc="DBC6EC3A">
      <w:numFmt w:val="bullet"/>
      <w:lvlText w:val="•"/>
      <w:lvlJc w:val="left"/>
      <w:pPr>
        <w:ind w:left="3197" w:hanging="284"/>
      </w:pPr>
      <w:rPr>
        <w:rFonts w:hint="default"/>
      </w:rPr>
    </w:lvl>
    <w:lvl w:ilvl="5" w:tplc="EF66B626">
      <w:numFmt w:val="bullet"/>
      <w:lvlText w:val="•"/>
      <w:lvlJc w:val="left"/>
      <w:pPr>
        <w:ind w:left="3861" w:hanging="284"/>
      </w:pPr>
      <w:rPr>
        <w:rFonts w:hint="default"/>
      </w:rPr>
    </w:lvl>
    <w:lvl w:ilvl="6" w:tplc="6BBCA5C4">
      <w:numFmt w:val="bullet"/>
      <w:lvlText w:val="•"/>
      <w:lvlJc w:val="left"/>
      <w:pPr>
        <w:ind w:left="4526" w:hanging="284"/>
      </w:pPr>
      <w:rPr>
        <w:rFonts w:hint="default"/>
      </w:rPr>
    </w:lvl>
    <w:lvl w:ilvl="7" w:tplc="E4D0BBE8">
      <w:numFmt w:val="bullet"/>
      <w:lvlText w:val="•"/>
      <w:lvlJc w:val="left"/>
      <w:pPr>
        <w:ind w:left="5190" w:hanging="284"/>
      </w:pPr>
      <w:rPr>
        <w:rFonts w:hint="default"/>
      </w:rPr>
    </w:lvl>
    <w:lvl w:ilvl="8" w:tplc="5ABC6D6A">
      <w:numFmt w:val="bullet"/>
      <w:lvlText w:val="•"/>
      <w:lvlJc w:val="left"/>
      <w:pPr>
        <w:ind w:left="5855" w:hanging="284"/>
      </w:pPr>
      <w:rPr>
        <w:rFonts w:hint="default"/>
      </w:rPr>
    </w:lvl>
  </w:abstractNum>
  <w:abstractNum w:abstractNumId="136">
    <w:nsid w:val="372A089C"/>
    <w:multiLevelType w:val="hybridMultilevel"/>
    <w:tmpl w:val="DF404A34"/>
    <w:lvl w:ilvl="0" w:tplc="3A5E9B84">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82FC6EAC">
      <w:start w:val="1"/>
      <w:numFmt w:val="decimal"/>
      <w:lvlText w:val="%2)"/>
      <w:lvlJc w:val="left"/>
      <w:pPr>
        <w:ind w:left="533" w:hanging="284"/>
        <w:jc w:val="left"/>
      </w:pPr>
      <w:rPr>
        <w:rFonts w:ascii="Cambria" w:eastAsia="Cambria" w:hAnsi="Cambria" w:cs="Cambria" w:hint="default"/>
        <w:color w:val="231F20"/>
        <w:spacing w:val="-14"/>
        <w:w w:val="100"/>
        <w:sz w:val="21"/>
        <w:szCs w:val="21"/>
      </w:rPr>
    </w:lvl>
    <w:lvl w:ilvl="2" w:tplc="18221986">
      <w:numFmt w:val="bullet"/>
      <w:lvlText w:val="•"/>
      <w:lvlJc w:val="left"/>
      <w:pPr>
        <w:ind w:left="1278" w:hanging="284"/>
      </w:pPr>
      <w:rPr>
        <w:rFonts w:hint="default"/>
      </w:rPr>
    </w:lvl>
    <w:lvl w:ilvl="3" w:tplc="8A0088B2">
      <w:numFmt w:val="bullet"/>
      <w:lvlText w:val="•"/>
      <w:lvlJc w:val="left"/>
      <w:pPr>
        <w:ind w:left="2016" w:hanging="284"/>
      </w:pPr>
      <w:rPr>
        <w:rFonts w:hint="default"/>
      </w:rPr>
    </w:lvl>
    <w:lvl w:ilvl="4" w:tplc="BD24A214">
      <w:numFmt w:val="bullet"/>
      <w:lvlText w:val="•"/>
      <w:lvlJc w:val="left"/>
      <w:pPr>
        <w:ind w:left="2754" w:hanging="284"/>
      </w:pPr>
      <w:rPr>
        <w:rFonts w:hint="default"/>
      </w:rPr>
    </w:lvl>
    <w:lvl w:ilvl="5" w:tplc="56A44C7A">
      <w:numFmt w:val="bullet"/>
      <w:lvlText w:val="•"/>
      <w:lvlJc w:val="left"/>
      <w:pPr>
        <w:ind w:left="3492" w:hanging="284"/>
      </w:pPr>
      <w:rPr>
        <w:rFonts w:hint="default"/>
      </w:rPr>
    </w:lvl>
    <w:lvl w:ilvl="6" w:tplc="4560EF8A">
      <w:numFmt w:val="bullet"/>
      <w:lvlText w:val="•"/>
      <w:lvlJc w:val="left"/>
      <w:pPr>
        <w:ind w:left="4231" w:hanging="284"/>
      </w:pPr>
      <w:rPr>
        <w:rFonts w:hint="default"/>
      </w:rPr>
    </w:lvl>
    <w:lvl w:ilvl="7" w:tplc="05EC9AF2">
      <w:numFmt w:val="bullet"/>
      <w:lvlText w:val="•"/>
      <w:lvlJc w:val="left"/>
      <w:pPr>
        <w:ind w:left="4969" w:hanging="284"/>
      </w:pPr>
      <w:rPr>
        <w:rFonts w:hint="default"/>
      </w:rPr>
    </w:lvl>
    <w:lvl w:ilvl="8" w:tplc="D906712A">
      <w:numFmt w:val="bullet"/>
      <w:lvlText w:val="•"/>
      <w:lvlJc w:val="left"/>
      <w:pPr>
        <w:ind w:left="5707" w:hanging="284"/>
      </w:pPr>
      <w:rPr>
        <w:rFonts w:hint="default"/>
      </w:rPr>
    </w:lvl>
  </w:abstractNum>
  <w:abstractNum w:abstractNumId="137">
    <w:nsid w:val="376E3902"/>
    <w:multiLevelType w:val="hybridMultilevel"/>
    <w:tmpl w:val="8F1EF102"/>
    <w:lvl w:ilvl="0" w:tplc="9F4256AC">
      <w:start w:val="1"/>
      <w:numFmt w:val="decimal"/>
      <w:lvlText w:val="%1)"/>
      <w:lvlJc w:val="left"/>
      <w:pPr>
        <w:ind w:left="250" w:hanging="284"/>
        <w:jc w:val="right"/>
      </w:pPr>
      <w:rPr>
        <w:rFonts w:ascii="Cambria" w:eastAsia="Cambria" w:hAnsi="Cambria" w:cs="Cambria" w:hint="default"/>
        <w:color w:val="231F20"/>
        <w:spacing w:val="-6"/>
        <w:w w:val="100"/>
        <w:sz w:val="21"/>
        <w:szCs w:val="21"/>
      </w:rPr>
    </w:lvl>
    <w:lvl w:ilvl="1" w:tplc="8D6CCCFE">
      <w:numFmt w:val="bullet"/>
      <w:lvlText w:val=""/>
      <w:lvlJc w:val="left"/>
      <w:pPr>
        <w:ind w:left="1100" w:hanging="284"/>
      </w:pPr>
      <w:rPr>
        <w:rFonts w:ascii="Wingdings" w:eastAsia="Wingdings" w:hAnsi="Wingdings" w:cs="Wingdings" w:hint="default"/>
        <w:color w:val="231F20"/>
        <w:w w:val="100"/>
        <w:sz w:val="21"/>
        <w:szCs w:val="21"/>
      </w:rPr>
    </w:lvl>
    <w:lvl w:ilvl="2" w:tplc="E58CB00E">
      <w:numFmt w:val="bullet"/>
      <w:lvlText w:val="•"/>
      <w:lvlJc w:val="left"/>
      <w:pPr>
        <w:ind w:left="1380" w:hanging="284"/>
      </w:pPr>
      <w:rPr>
        <w:rFonts w:hint="default"/>
      </w:rPr>
    </w:lvl>
    <w:lvl w:ilvl="3" w:tplc="8D6A7C20">
      <w:numFmt w:val="bullet"/>
      <w:lvlText w:val="•"/>
      <w:lvlJc w:val="left"/>
      <w:pPr>
        <w:ind w:left="2105" w:hanging="284"/>
      </w:pPr>
      <w:rPr>
        <w:rFonts w:hint="default"/>
      </w:rPr>
    </w:lvl>
    <w:lvl w:ilvl="4" w:tplc="3542933C">
      <w:numFmt w:val="bullet"/>
      <w:lvlText w:val="•"/>
      <w:lvlJc w:val="left"/>
      <w:pPr>
        <w:ind w:left="2830" w:hanging="284"/>
      </w:pPr>
      <w:rPr>
        <w:rFonts w:hint="default"/>
      </w:rPr>
    </w:lvl>
    <w:lvl w:ilvl="5" w:tplc="D9483F22">
      <w:numFmt w:val="bullet"/>
      <w:lvlText w:val="•"/>
      <w:lvlJc w:val="left"/>
      <w:pPr>
        <w:ind w:left="3556" w:hanging="284"/>
      </w:pPr>
      <w:rPr>
        <w:rFonts w:hint="default"/>
      </w:rPr>
    </w:lvl>
    <w:lvl w:ilvl="6" w:tplc="77265B04">
      <w:numFmt w:val="bullet"/>
      <w:lvlText w:val="•"/>
      <w:lvlJc w:val="left"/>
      <w:pPr>
        <w:ind w:left="4281" w:hanging="284"/>
      </w:pPr>
      <w:rPr>
        <w:rFonts w:hint="default"/>
      </w:rPr>
    </w:lvl>
    <w:lvl w:ilvl="7" w:tplc="3E2C7990">
      <w:numFmt w:val="bullet"/>
      <w:lvlText w:val="•"/>
      <w:lvlJc w:val="left"/>
      <w:pPr>
        <w:ind w:left="5007" w:hanging="284"/>
      </w:pPr>
      <w:rPr>
        <w:rFonts w:hint="default"/>
      </w:rPr>
    </w:lvl>
    <w:lvl w:ilvl="8" w:tplc="EA9CDF16">
      <w:numFmt w:val="bullet"/>
      <w:lvlText w:val="•"/>
      <w:lvlJc w:val="left"/>
      <w:pPr>
        <w:ind w:left="5732" w:hanging="284"/>
      </w:pPr>
      <w:rPr>
        <w:rFonts w:hint="default"/>
      </w:rPr>
    </w:lvl>
  </w:abstractNum>
  <w:abstractNum w:abstractNumId="138">
    <w:nsid w:val="37AD3032"/>
    <w:multiLevelType w:val="hybridMultilevel"/>
    <w:tmpl w:val="60C61EC2"/>
    <w:lvl w:ilvl="0" w:tplc="71624112">
      <w:start w:val="2"/>
      <w:numFmt w:val="decimal"/>
      <w:lvlText w:val="%1)"/>
      <w:lvlJc w:val="left"/>
      <w:pPr>
        <w:ind w:left="250" w:hanging="284"/>
        <w:jc w:val="left"/>
      </w:pPr>
      <w:rPr>
        <w:rFonts w:ascii="Cambria" w:eastAsia="Cambria" w:hAnsi="Cambria" w:cs="Cambria" w:hint="default"/>
        <w:color w:val="231F20"/>
        <w:spacing w:val="-15"/>
        <w:w w:val="100"/>
        <w:sz w:val="21"/>
        <w:szCs w:val="21"/>
      </w:rPr>
    </w:lvl>
    <w:lvl w:ilvl="1" w:tplc="E4AE9198">
      <w:start w:val="1"/>
      <w:numFmt w:val="decimal"/>
      <w:lvlText w:val="%2)"/>
      <w:lvlJc w:val="left"/>
      <w:pPr>
        <w:ind w:left="533" w:hanging="284"/>
        <w:jc w:val="left"/>
      </w:pPr>
      <w:rPr>
        <w:rFonts w:ascii="Cambria" w:eastAsia="Cambria" w:hAnsi="Cambria" w:cs="Cambria" w:hint="default"/>
        <w:i/>
        <w:color w:val="231F20"/>
        <w:spacing w:val="-23"/>
        <w:w w:val="100"/>
        <w:sz w:val="21"/>
        <w:szCs w:val="21"/>
      </w:rPr>
    </w:lvl>
    <w:lvl w:ilvl="2" w:tplc="14E04526">
      <w:numFmt w:val="bullet"/>
      <w:lvlText w:val="•"/>
      <w:lvlJc w:val="left"/>
      <w:pPr>
        <w:ind w:left="1278" w:hanging="284"/>
      </w:pPr>
      <w:rPr>
        <w:rFonts w:hint="default"/>
      </w:rPr>
    </w:lvl>
    <w:lvl w:ilvl="3" w:tplc="562406AE">
      <w:numFmt w:val="bullet"/>
      <w:lvlText w:val="•"/>
      <w:lvlJc w:val="left"/>
      <w:pPr>
        <w:ind w:left="2016" w:hanging="284"/>
      </w:pPr>
      <w:rPr>
        <w:rFonts w:hint="default"/>
      </w:rPr>
    </w:lvl>
    <w:lvl w:ilvl="4" w:tplc="7C00B03C">
      <w:numFmt w:val="bullet"/>
      <w:lvlText w:val="•"/>
      <w:lvlJc w:val="left"/>
      <w:pPr>
        <w:ind w:left="2754" w:hanging="284"/>
      </w:pPr>
      <w:rPr>
        <w:rFonts w:hint="default"/>
      </w:rPr>
    </w:lvl>
    <w:lvl w:ilvl="5" w:tplc="605C1ABA">
      <w:numFmt w:val="bullet"/>
      <w:lvlText w:val="•"/>
      <w:lvlJc w:val="left"/>
      <w:pPr>
        <w:ind w:left="3492" w:hanging="284"/>
      </w:pPr>
      <w:rPr>
        <w:rFonts w:hint="default"/>
      </w:rPr>
    </w:lvl>
    <w:lvl w:ilvl="6" w:tplc="C54A3E96">
      <w:numFmt w:val="bullet"/>
      <w:lvlText w:val="•"/>
      <w:lvlJc w:val="left"/>
      <w:pPr>
        <w:ind w:left="4231" w:hanging="284"/>
      </w:pPr>
      <w:rPr>
        <w:rFonts w:hint="default"/>
      </w:rPr>
    </w:lvl>
    <w:lvl w:ilvl="7" w:tplc="4AE6BD9A">
      <w:numFmt w:val="bullet"/>
      <w:lvlText w:val="•"/>
      <w:lvlJc w:val="left"/>
      <w:pPr>
        <w:ind w:left="4969" w:hanging="284"/>
      </w:pPr>
      <w:rPr>
        <w:rFonts w:hint="default"/>
      </w:rPr>
    </w:lvl>
    <w:lvl w:ilvl="8" w:tplc="50705FFE">
      <w:numFmt w:val="bullet"/>
      <w:lvlText w:val="•"/>
      <w:lvlJc w:val="left"/>
      <w:pPr>
        <w:ind w:left="5707" w:hanging="284"/>
      </w:pPr>
      <w:rPr>
        <w:rFonts w:hint="default"/>
      </w:rPr>
    </w:lvl>
  </w:abstractNum>
  <w:abstractNum w:abstractNumId="139">
    <w:nsid w:val="37B568EB"/>
    <w:multiLevelType w:val="hybridMultilevel"/>
    <w:tmpl w:val="AA88D1B0"/>
    <w:lvl w:ilvl="0" w:tplc="EDBCD980">
      <w:start w:val="2"/>
      <w:numFmt w:val="decimal"/>
      <w:lvlText w:val="%1)"/>
      <w:lvlJc w:val="left"/>
      <w:pPr>
        <w:ind w:left="533" w:hanging="284"/>
        <w:jc w:val="left"/>
      </w:pPr>
      <w:rPr>
        <w:rFonts w:ascii="Cambria" w:eastAsia="Cambria" w:hAnsi="Cambria" w:cs="Cambria" w:hint="default"/>
        <w:color w:val="231F20"/>
        <w:spacing w:val="-6"/>
        <w:w w:val="100"/>
        <w:sz w:val="21"/>
        <w:szCs w:val="21"/>
      </w:rPr>
    </w:lvl>
    <w:lvl w:ilvl="1" w:tplc="95E268E0">
      <w:numFmt w:val="bullet"/>
      <w:lvlText w:val="•"/>
      <w:lvlJc w:val="left"/>
      <w:pPr>
        <w:ind w:left="1204" w:hanging="284"/>
      </w:pPr>
      <w:rPr>
        <w:rFonts w:hint="default"/>
      </w:rPr>
    </w:lvl>
    <w:lvl w:ilvl="2" w:tplc="EEE8E226">
      <w:numFmt w:val="bullet"/>
      <w:lvlText w:val="•"/>
      <w:lvlJc w:val="left"/>
      <w:pPr>
        <w:ind w:left="1868" w:hanging="284"/>
      </w:pPr>
      <w:rPr>
        <w:rFonts w:hint="default"/>
      </w:rPr>
    </w:lvl>
    <w:lvl w:ilvl="3" w:tplc="6CFC6FFE">
      <w:numFmt w:val="bullet"/>
      <w:lvlText w:val="•"/>
      <w:lvlJc w:val="left"/>
      <w:pPr>
        <w:ind w:left="2533" w:hanging="284"/>
      </w:pPr>
      <w:rPr>
        <w:rFonts w:hint="default"/>
      </w:rPr>
    </w:lvl>
    <w:lvl w:ilvl="4" w:tplc="D76CCBD2">
      <w:numFmt w:val="bullet"/>
      <w:lvlText w:val="•"/>
      <w:lvlJc w:val="left"/>
      <w:pPr>
        <w:ind w:left="3197" w:hanging="284"/>
      </w:pPr>
      <w:rPr>
        <w:rFonts w:hint="default"/>
      </w:rPr>
    </w:lvl>
    <w:lvl w:ilvl="5" w:tplc="C84A54FE">
      <w:numFmt w:val="bullet"/>
      <w:lvlText w:val="•"/>
      <w:lvlJc w:val="left"/>
      <w:pPr>
        <w:ind w:left="3861" w:hanging="284"/>
      </w:pPr>
      <w:rPr>
        <w:rFonts w:hint="default"/>
      </w:rPr>
    </w:lvl>
    <w:lvl w:ilvl="6" w:tplc="2A14CA1A">
      <w:numFmt w:val="bullet"/>
      <w:lvlText w:val="•"/>
      <w:lvlJc w:val="left"/>
      <w:pPr>
        <w:ind w:left="4526" w:hanging="284"/>
      </w:pPr>
      <w:rPr>
        <w:rFonts w:hint="default"/>
      </w:rPr>
    </w:lvl>
    <w:lvl w:ilvl="7" w:tplc="BB9CD66A">
      <w:numFmt w:val="bullet"/>
      <w:lvlText w:val="•"/>
      <w:lvlJc w:val="left"/>
      <w:pPr>
        <w:ind w:left="5190" w:hanging="284"/>
      </w:pPr>
      <w:rPr>
        <w:rFonts w:hint="default"/>
      </w:rPr>
    </w:lvl>
    <w:lvl w:ilvl="8" w:tplc="5C3E26C8">
      <w:numFmt w:val="bullet"/>
      <w:lvlText w:val="•"/>
      <w:lvlJc w:val="left"/>
      <w:pPr>
        <w:ind w:left="5855" w:hanging="284"/>
      </w:pPr>
      <w:rPr>
        <w:rFonts w:hint="default"/>
      </w:rPr>
    </w:lvl>
  </w:abstractNum>
  <w:abstractNum w:abstractNumId="140">
    <w:nsid w:val="37F56261"/>
    <w:multiLevelType w:val="hybridMultilevel"/>
    <w:tmpl w:val="D45C7134"/>
    <w:lvl w:ilvl="0" w:tplc="335EE840">
      <w:numFmt w:val="bullet"/>
      <w:lvlText w:val="–"/>
      <w:lvlJc w:val="left"/>
      <w:pPr>
        <w:ind w:left="533" w:hanging="284"/>
      </w:pPr>
      <w:rPr>
        <w:rFonts w:ascii="Cambria" w:eastAsia="Cambria" w:hAnsi="Cambria" w:cs="Cambria" w:hint="default"/>
        <w:color w:val="231F20"/>
        <w:spacing w:val="-7"/>
        <w:w w:val="100"/>
        <w:sz w:val="21"/>
        <w:szCs w:val="21"/>
      </w:rPr>
    </w:lvl>
    <w:lvl w:ilvl="1" w:tplc="7D34CDD0">
      <w:numFmt w:val="bullet"/>
      <w:lvlText w:val="•"/>
      <w:lvlJc w:val="left"/>
      <w:pPr>
        <w:ind w:left="1204" w:hanging="284"/>
      </w:pPr>
      <w:rPr>
        <w:rFonts w:hint="default"/>
      </w:rPr>
    </w:lvl>
    <w:lvl w:ilvl="2" w:tplc="1AE4DC94">
      <w:numFmt w:val="bullet"/>
      <w:lvlText w:val="•"/>
      <w:lvlJc w:val="left"/>
      <w:pPr>
        <w:ind w:left="1868" w:hanging="284"/>
      </w:pPr>
      <w:rPr>
        <w:rFonts w:hint="default"/>
      </w:rPr>
    </w:lvl>
    <w:lvl w:ilvl="3" w:tplc="CBA039FE">
      <w:numFmt w:val="bullet"/>
      <w:lvlText w:val="•"/>
      <w:lvlJc w:val="left"/>
      <w:pPr>
        <w:ind w:left="2533" w:hanging="284"/>
      </w:pPr>
      <w:rPr>
        <w:rFonts w:hint="default"/>
      </w:rPr>
    </w:lvl>
    <w:lvl w:ilvl="4" w:tplc="39D4F7AA">
      <w:numFmt w:val="bullet"/>
      <w:lvlText w:val="•"/>
      <w:lvlJc w:val="left"/>
      <w:pPr>
        <w:ind w:left="3197" w:hanging="284"/>
      </w:pPr>
      <w:rPr>
        <w:rFonts w:hint="default"/>
      </w:rPr>
    </w:lvl>
    <w:lvl w:ilvl="5" w:tplc="DF9878E4">
      <w:numFmt w:val="bullet"/>
      <w:lvlText w:val="•"/>
      <w:lvlJc w:val="left"/>
      <w:pPr>
        <w:ind w:left="3861" w:hanging="284"/>
      </w:pPr>
      <w:rPr>
        <w:rFonts w:hint="default"/>
      </w:rPr>
    </w:lvl>
    <w:lvl w:ilvl="6" w:tplc="421463AE">
      <w:numFmt w:val="bullet"/>
      <w:lvlText w:val="•"/>
      <w:lvlJc w:val="left"/>
      <w:pPr>
        <w:ind w:left="4526" w:hanging="284"/>
      </w:pPr>
      <w:rPr>
        <w:rFonts w:hint="default"/>
      </w:rPr>
    </w:lvl>
    <w:lvl w:ilvl="7" w:tplc="62361E3C">
      <w:numFmt w:val="bullet"/>
      <w:lvlText w:val="•"/>
      <w:lvlJc w:val="left"/>
      <w:pPr>
        <w:ind w:left="5190" w:hanging="284"/>
      </w:pPr>
      <w:rPr>
        <w:rFonts w:hint="default"/>
      </w:rPr>
    </w:lvl>
    <w:lvl w:ilvl="8" w:tplc="438A65DE">
      <w:numFmt w:val="bullet"/>
      <w:lvlText w:val="•"/>
      <w:lvlJc w:val="left"/>
      <w:pPr>
        <w:ind w:left="5855" w:hanging="284"/>
      </w:pPr>
      <w:rPr>
        <w:rFonts w:hint="default"/>
      </w:rPr>
    </w:lvl>
  </w:abstractNum>
  <w:abstractNum w:abstractNumId="141">
    <w:nsid w:val="380C55B6"/>
    <w:multiLevelType w:val="hybridMultilevel"/>
    <w:tmpl w:val="DB388596"/>
    <w:lvl w:ilvl="0" w:tplc="313EA608">
      <w:start w:val="1"/>
      <w:numFmt w:val="decimal"/>
      <w:lvlText w:val="%1)"/>
      <w:lvlJc w:val="left"/>
      <w:pPr>
        <w:ind w:left="533" w:hanging="284"/>
        <w:jc w:val="left"/>
      </w:pPr>
      <w:rPr>
        <w:rFonts w:ascii="Cambria" w:eastAsia="Cambria" w:hAnsi="Cambria" w:cs="Cambria" w:hint="default"/>
        <w:b/>
        <w:bCs/>
        <w:i/>
        <w:color w:val="231F20"/>
        <w:spacing w:val="-22"/>
        <w:w w:val="100"/>
        <w:sz w:val="21"/>
        <w:szCs w:val="21"/>
      </w:rPr>
    </w:lvl>
    <w:lvl w:ilvl="1" w:tplc="191A3D72">
      <w:numFmt w:val="bullet"/>
      <w:lvlText w:val=""/>
      <w:lvlJc w:val="left"/>
      <w:pPr>
        <w:ind w:left="817" w:hanging="284"/>
      </w:pPr>
      <w:rPr>
        <w:rFonts w:ascii="Wingdings" w:eastAsia="Wingdings" w:hAnsi="Wingdings" w:cs="Wingdings" w:hint="default"/>
        <w:color w:val="231F20"/>
        <w:w w:val="100"/>
        <w:sz w:val="21"/>
        <w:szCs w:val="21"/>
      </w:rPr>
    </w:lvl>
    <w:lvl w:ilvl="2" w:tplc="BF582412">
      <w:numFmt w:val="bullet"/>
      <w:lvlText w:val="•"/>
      <w:lvlJc w:val="left"/>
      <w:pPr>
        <w:ind w:left="1380" w:hanging="284"/>
      </w:pPr>
      <w:rPr>
        <w:rFonts w:hint="default"/>
      </w:rPr>
    </w:lvl>
    <w:lvl w:ilvl="3" w:tplc="48044FAE">
      <w:numFmt w:val="bullet"/>
      <w:lvlText w:val="•"/>
      <w:lvlJc w:val="left"/>
      <w:pPr>
        <w:ind w:left="2105" w:hanging="284"/>
      </w:pPr>
      <w:rPr>
        <w:rFonts w:hint="default"/>
      </w:rPr>
    </w:lvl>
    <w:lvl w:ilvl="4" w:tplc="474E03CE">
      <w:numFmt w:val="bullet"/>
      <w:lvlText w:val="•"/>
      <w:lvlJc w:val="left"/>
      <w:pPr>
        <w:ind w:left="2830" w:hanging="284"/>
      </w:pPr>
      <w:rPr>
        <w:rFonts w:hint="default"/>
      </w:rPr>
    </w:lvl>
    <w:lvl w:ilvl="5" w:tplc="4CFE21B6">
      <w:numFmt w:val="bullet"/>
      <w:lvlText w:val="•"/>
      <w:lvlJc w:val="left"/>
      <w:pPr>
        <w:ind w:left="3556" w:hanging="284"/>
      </w:pPr>
      <w:rPr>
        <w:rFonts w:hint="default"/>
      </w:rPr>
    </w:lvl>
    <w:lvl w:ilvl="6" w:tplc="B2E48874">
      <w:numFmt w:val="bullet"/>
      <w:lvlText w:val="•"/>
      <w:lvlJc w:val="left"/>
      <w:pPr>
        <w:ind w:left="4281" w:hanging="284"/>
      </w:pPr>
      <w:rPr>
        <w:rFonts w:hint="default"/>
      </w:rPr>
    </w:lvl>
    <w:lvl w:ilvl="7" w:tplc="55E81E0C">
      <w:numFmt w:val="bullet"/>
      <w:lvlText w:val="•"/>
      <w:lvlJc w:val="left"/>
      <w:pPr>
        <w:ind w:left="5007" w:hanging="284"/>
      </w:pPr>
      <w:rPr>
        <w:rFonts w:hint="default"/>
      </w:rPr>
    </w:lvl>
    <w:lvl w:ilvl="8" w:tplc="314EDE18">
      <w:numFmt w:val="bullet"/>
      <w:lvlText w:val="•"/>
      <w:lvlJc w:val="left"/>
      <w:pPr>
        <w:ind w:left="5732" w:hanging="284"/>
      </w:pPr>
      <w:rPr>
        <w:rFonts w:hint="default"/>
      </w:rPr>
    </w:lvl>
  </w:abstractNum>
  <w:abstractNum w:abstractNumId="142">
    <w:nsid w:val="389C08DA"/>
    <w:multiLevelType w:val="multilevel"/>
    <w:tmpl w:val="F13665DE"/>
    <w:lvl w:ilvl="0">
      <w:start w:val="7"/>
      <w:numFmt w:val="decimal"/>
      <w:lvlText w:val="%1"/>
      <w:lvlJc w:val="left"/>
      <w:pPr>
        <w:ind w:left="1251" w:hanging="718"/>
        <w:jc w:val="left"/>
      </w:pPr>
      <w:rPr>
        <w:rFonts w:hint="default"/>
      </w:rPr>
    </w:lvl>
    <w:lvl w:ilvl="1">
      <w:start w:val="8"/>
      <w:numFmt w:val="decimal"/>
      <w:lvlText w:val="%1.%2"/>
      <w:lvlJc w:val="left"/>
      <w:pPr>
        <w:ind w:left="1251" w:hanging="718"/>
        <w:jc w:val="left"/>
      </w:pPr>
      <w:rPr>
        <w:rFonts w:hint="default"/>
      </w:rPr>
    </w:lvl>
    <w:lvl w:ilvl="2">
      <w:start w:val="3"/>
      <w:numFmt w:val="decimal"/>
      <w:lvlText w:val="%1.%2.%3"/>
      <w:lvlJc w:val="left"/>
      <w:pPr>
        <w:ind w:left="1251" w:hanging="718"/>
        <w:jc w:val="left"/>
      </w:pPr>
      <w:rPr>
        <w:rFonts w:hint="default"/>
      </w:rPr>
    </w:lvl>
    <w:lvl w:ilvl="3">
      <w:start w:val="1"/>
      <w:numFmt w:val="decimal"/>
      <w:lvlText w:val="%1.%2.%3.%4."/>
      <w:lvlJc w:val="left"/>
      <w:pPr>
        <w:ind w:left="1251" w:hanging="718"/>
        <w:jc w:val="left"/>
      </w:pPr>
      <w:rPr>
        <w:rFonts w:ascii="Cambria" w:eastAsia="Cambria" w:hAnsi="Cambria" w:cs="Cambria" w:hint="default"/>
        <w:b/>
        <w:bCs/>
        <w:i/>
        <w:color w:val="231F20"/>
        <w:spacing w:val="-2"/>
        <w:w w:val="100"/>
        <w:sz w:val="21"/>
        <w:szCs w:val="21"/>
      </w:rPr>
    </w:lvl>
    <w:lvl w:ilvl="4">
      <w:numFmt w:val="bullet"/>
      <w:lvlText w:val="•"/>
      <w:lvlJc w:val="left"/>
      <w:pPr>
        <w:ind w:left="3629" w:hanging="718"/>
      </w:pPr>
      <w:rPr>
        <w:rFonts w:hint="default"/>
      </w:rPr>
    </w:lvl>
    <w:lvl w:ilvl="5">
      <w:numFmt w:val="bullet"/>
      <w:lvlText w:val="•"/>
      <w:lvlJc w:val="left"/>
      <w:pPr>
        <w:ind w:left="4221" w:hanging="718"/>
      </w:pPr>
      <w:rPr>
        <w:rFonts w:hint="default"/>
      </w:rPr>
    </w:lvl>
    <w:lvl w:ilvl="6">
      <w:numFmt w:val="bullet"/>
      <w:lvlText w:val="•"/>
      <w:lvlJc w:val="left"/>
      <w:pPr>
        <w:ind w:left="4814" w:hanging="718"/>
      </w:pPr>
      <w:rPr>
        <w:rFonts w:hint="default"/>
      </w:rPr>
    </w:lvl>
    <w:lvl w:ilvl="7">
      <w:numFmt w:val="bullet"/>
      <w:lvlText w:val="•"/>
      <w:lvlJc w:val="left"/>
      <w:pPr>
        <w:ind w:left="5406" w:hanging="718"/>
      </w:pPr>
      <w:rPr>
        <w:rFonts w:hint="default"/>
      </w:rPr>
    </w:lvl>
    <w:lvl w:ilvl="8">
      <w:numFmt w:val="bullet"/>
      <w:lvlText w:val="•"/>
      <w:lvlJc w:val="left"/>
      <w:pPr>
        <w:ind w:left="5999" w:hanging="718"/>
      </w:pPr>
      <w:rPr>
        <w:rFonts w:hint="default"/>
      </w:rPr>
    </w:lvl>
  </w:abstractNum>
  <w:abstractNum w:abstractNumId="143">
    <w:nsid w:val="39762AC0"/>
    <w:multiLevelType w:val="hybridMultilevel"/>
    <w:tmpl w:val="75D60CB0"/>
    <w:lvl w:ilvl="0" w:tplc="FED00A06">
      <w:numFmt w:val="bullet"/>
      <w:lvlText w:val="–"/>
      <w:lvlJc w:val="left"/>
      <w:pPr>
        <w:ind w:left="533" w:hanging="284"/>
      </w:pPr>
      <w:rPr>
        <w:rFonts w:ascii="Cambria" w:eastAsia="Cambria" w:hAnsi="Cambria" w:cs="Cambria" w:hint="default"/>
        <w:color w:val="231F20"/>
        <w:spacing w:val="-7"/>
        <w:w w:val="100"/>
        <w:sz w:val="21"/>
        <w:szCs w:val="21"/>
      </w:rPr>
    </w:lvl>
    <w:lvl w:ilvl="1" w:tplc="E662F492">
      <w:numFmt w:val="bullet"/>
      <w:lvlText w:val="•"/>
      <w:lvlJc w:val="left"/>
      <w:pPr>
        <w:ind w:left="1204" w:hanging="284"/>
      </w:pPr>
      <w:rPr>
        <w:rFonts w:hint="default"/>
      </w:rPr>
    </w:lvl>
    <w:lvl w:ilvl="2" w:tplc="4F32833A">
      <w:numFmt w:val="bullet"/>
      <w:lvlText w:val="•"/>
      <w:lvlJc w:val="left"/>
      <w:pPr>
        <w:ind w:left="1868" w:hanging="284"/>
      </w:pPr>
      <w:rPr>
        <w:rFonts w:hint="default"/>
      </w:rPr>
    </w:lvl>
    <w:lvl w:ilvl="3" w:tplc="D626095E">
      <w:numFmt w:val="bullet"/>
      <w:lvlText w:val="•"/>
      <w:lvlJc w:val="left"/>
      <w:pPr>
        <w:ind w:left="2533" w:hanging="284"/>
      </w:pPr>
      <w:rPr>
        <w:rFonts w:hint="default"/>
      </w:rPr>
    </w:lvl>
    <w:lvl w:ilvl="4" w:tplc="BCC2CD30">
      <w:numFmt w:val="bullet"/>
      <w:lvlText w:val="•"/>
      <w:lvlJc w:val="left"/>
      <w:pPr>
        <w:ind w:left="3197" w:hanging="284"/>
      </w:pPr>
      <w:rPr>
        <w:rFonts w:hint="default"/>
      </w:rPr>
    </w:lvl>
    <w:lvl w:ilvl="5" w:tplc="5540121A">
      <w:numFmt w:val="bullet"/>
      <w:lvlText w:val="•"/>
      <w:lvlJc w:val="left"/>
      <w:pPr>
        <w:ind w:left="3861" w:hanging="284"/>
      </w:pPr>
      <w:rPr>
        <w:rFonts w:hint="default"/>
      </w:rPr>
    </w:lvl>
    <w:lvl w:ilvl="6" w:tplc="DD26A25A">
      <w:numFmt w:val="bullet"/>
      <w:lvlText w:val="•"/>
      <w:lvlJc w:val="left"/>
      <w:pPr>
        <w:ind w:left="4526" w:hanging="284"/>
      </w:pPr>
      <w:rPr>
        <w:rFonts w:hint="default"/>
      </w:rPr>
    </w:lvl>
    <w:lvl w:ilvl="7" w:tplc="D200E03A">
      <w:numFmt w:val="bullet"/>
      <w:lvlText w:val="•"/>
      <w:lvlJc w:val="left"/>
      <w:pPr>
        <w:ind w:left="5190" w:hanging="284"/>
      </w:pPr>
      <w:rPr>
        <w:rFonts w:hint="default"/>
      </w:rPr>
    </w:lvl>
    <w:lvl w:ilvl="8" w:tplc="9A52CF8E">
      <w:numFmt w:val="bullet"/>
      <w:lvlText w:val="•"/>
      <w:lvlJc w:val="left"/>
      <w:pPr>
        <w:ind w:left="5855" w:hanging="284"/>
      </w:pPr>
      <w:rPr>
        <w:rFonts w:hint="default"/>
      </w:rPr>
    </w:lvl>
  </w:abstractNum>
  <w:abstractNum w:abstractNumId="144">
    <w:nsid w:val="39BD52E3"/>
    <w:multiLevelType w:val="hybridMultilevel"/>
    <w:tmpl w:val="4632747E"/>
    <w:lvl w:ilvl="0" w:tplc="9B1613DC">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3DC29EE0">
      <w:numFmt w:val="bullet"/>
      <w:lvlText w:val=""/>
      <w:lvlJc w:val="left"/>
      <w:pPr>
        <w:ind w:left="533" w:hanging="284"/>
      </w:pPr>
      <w:rPr>
        <w:rFonts w:ascii="Wingdings" w:eastAsia="Wingdings" w:hAnsi="Wingdings" w:cs="Wingdings" w:hint="default"/>
        <w:color w:val="231F20"/>
        <w:w w:val="100"/>
        <w:sz w:val="21"/>
        <w:szCs w:val="21"/>
      </w:rPr>
    </w:lvl>
    <w:lvl w:ilvl="2" w:tplc="841A7698">
      <w:numFmt w:val="bullet"/>
      <w:lvlText w:val="•"/>
      <w:lvlJc w:val="left"/>
      <w:pPr>
        <w:ind w:left="1278" w:hanging="284"/>
      </w:pPr>
      <w:rPr>
        <w:rFonts w:hint="default"/>
      </w:rPr>
    </w:lvl>
    <w:lvl w:ilvl="3" w:tplc="2E747D62">
      <w:numFmt w:val="bullet"/>
      <w:lvlText w:val="•"/>
      <w:lvlJc w:val="left"/>
      <w:pPr>
        <w:ind w:left="2016" w:hanging="284"/>
      </w:pPr>
      <w:rPr>
        <w:rFonts w:hint="default"/>
      </w:rPr>
    </w:lvl>
    <w:lvl w:ilvl="4" w:tplc="7D96852E">
      <w:numFmt w:val="bullet"/>
      <w:lvlText w:val="•"/>
      <w:lvlJc w:val="left"/>
      <w:pPr>
        <w:ind w:left="2754" w:hanging="284"/>
      </w:pPr>
      <w:rPr>
        <w:rFonts w:hint="default"/>
      </w:rPr>
    </w:lvl>
    <w:lvl w:ilvl="5" w:tplc="9B5A5718">
      <w:numFmt w:val="bullet"/>
      <w:lvlText w:val="•"/>
      <w:lvlJc w:val="left"/>
      <w:pPr>
        <w:ind w:left="3492" w:hanging="284"/>
      </w:pPr>
      <w:rPr>
        <w:rFonts w:hint="default"/>
      </w:rPr>
    </w:lvl>
    <w:lvl w:ilvl="6" w:tplc="ADE6065A">
      <w:numFmt w:val="bullet"/>
      <w:lvlText w:val="•"/>
      <w:lvlJc w:val="left"/>
      <w:pPr>
        <w:ind w:left="4231" w:hanging="284"/>
      </w:pPr>
      <w:rPr>
        <w:rFonts w:hint="default"/>
      </w:rPr>
    </w:lvl>
    <w:lvl w:ilvl="7" w:tplc="E4063514">
      <w:numFmt w:val="bullet"/>
      <w:lvlText w:val="•"/>
      <w:lvlJc w:val="left"/>
      <w:pPr>
        <w:ind w:left="4969" w:hanging="284"/>
      </w:pPr>
      <w:rPr>
        <w:rFonts w:hint="default"/>
      </w:rPr>
    </w:lvl>
    <w:lvl w:ilvl="8" w:tplc="A4B6606A">
      <w:numFmt w:val="bullet"/>
      <w:lvlText w:val="•"/>
      <w:lvlJc w:val="left"/>
      <w:pPr>
        <w:ind w:left="5707" w:hanging="284"/>
      </w:pPr>
      <w:rPr>
        <w:rFonts w:hint="default"/>
      </w:rPr>
    </w:lvl>
  </w:abstractNum>
  <w:abstractNum w:abstractNumId="145">
    <w:nsid w:val="39DB4833"/>
    <w:multiLevelType w:val="hybridMultilevel"/>
    <w:tmpl w:val="1304C816"/>
    <w:lvl w:ilvl="0" w:tplc="7E560C2A">
      <w:numFmt w:val="bullet"/>
      <w:lvlText w:val=""/>
      <w:lvlJc w:val="left"/>
      <w:pPr>
        <w:ind w:left="250" w:hanging="284"/>
      </w:pPr>
      <w:rPr>
        <w:rFonts w:ascii="Wingdings" w:eastAsia="Wingdings" w:hAnsi="Wingdings" w:cs="Wingdings" w:hint="default"/>
        <w:color w:val="231F20"/>
        <w:w w:val="100"/>
        <w:sz w:val="21"/>
        <w:szCs w:val="21"/>
      </w:rPr>
    </w:lvl>
    <w:lvl w:ilvl="1" w:tplc="1C6CD712">
      <w:numFmt w:val="bullet"/>
      <w:lvlText w:val="•"/>
      <w:lvlJc w:val="left"/>
      <w:pPr>
        <w:ind w:left="952" w:hanging="284"/>
      </w:pPr>
      <w:rPr>
        <w:rFonts w:hint="default"/>
      </w:rPr>
    </w:lvl>
    <w:lvl w:ilvl="2" w:tplc="5E8A4A34">
      <w:numFmt w:val="bullet"/>
      <w:lvlText w:val="•"/>
      <w:lvlJc w:val="left"/>
      <w:pPr>
        <w:ind w:left="1644" w:hanging="284"/>
      </w:pPr>
      <w:rPr>
        <w:rFonts w:hint="default"/>
      </w:rPr>
    </w:lvl>
    <w:lvl w:ilvl="3" w:tplc="FD5EADAC">
      <w:numFmt w:val="bullet"/>
      <w:lvlText w:val="•"/>
      <w:lvlJc w:val="left"/>
      <w:pPr>
        <w:ind w:left="2337" w:hanging="284"/>
      </w:pPr>
      <w:rPr>
        <w:rFonts w:hint="default"/>
      </w:rPr>
    </w:lvl>
    <w:lvl w:ilvl="4" w:tplc="4DECE626">
      <w:numFmt w:val="bullet"/>
      <w:lvlText w:val="•"/>
      <w:lvlJc w:val="left"/>
      <w:pPr>
        <w:ind w:left="3029" w:hanging="284"/>
      </w:pPr>
      <w:rPr>
        <w:rFonts w:hint="default"/>
      </w:rPr>
    </w:lvl>
    <w:lvl w:ilvl="5" w:tplc="DD4C5C30">
      <w:numFmt w:val="bullet"/>
      <w:lvlText w:val="•"/>
      <w:lvlJc w:val="left"/>
      <w:pPr>
        <w:ind w:left="3721" w:hanging="284"/>
      </w:pPr>
      <w:rPr>
        <w:rFonts w:hint="default"/>
      </w:rPr>
    </w:lvl>
    <w:lvl w:ilvl="6" w:tplc="24BCB2A6">
      <w:numFmt w:val="bullet"/>
      <w:lvlText w:val="•"/>
      <w:lvlJc w:val="left"/>
      <w:pPr>
        <w:ind w:left="4414" w:hanging="284"/>
      </w:pPr>
      <w:rPr>
        <w:rFonts w:hint="default"/>
      </w:rPr>
    </w:lvl>
    <w:lvl w:ilvl="7" w:tplc="0C36DC18">
      <w:numFmt w:val="bullet"/>
      <w:lvlText w:val="•"/>
      <w:lvlJc w:val="left"/>
      <w:pPr>
        <w:ind w:left="5106" w:hanging="284"/>
      </w:pPr>
      <w:rPr>
        <w:rFonts w:hint="default"/>
      </w:rPr>
    </w:lvl>
    <w:lvl w:ilvl="8" w:tplc="FFA27DB2">
      <w:numFmt w:val="bullet"/>
      <w:lvlText w:val="•"/>
      <w:lvlJc w:val="left"/>
      <w:pPr>
        <w:ind w:left="5799" w:hanging="284"/>
      </w:pPr>
      <w:rPr>
        <w:rFonts w:hint="default"/>
      </w:rPr>
    </w:lvl>
  </w:abstractNum>
  <w:abstractNum w:abstractNumId="146">
    <w:nsid w:val="3AD36C3A"/>
    <w:multiLevelType w:val="hybridMultilevel"/>
    <w:tmpl w:val="8FC030A2"/>
    <w:lvl w:ilvl="0" w:tplc="16447C0A">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1A1AC838">
      <w:numFmt w:val="bullet"/>
      <w:lvlText w:val="•"/>
      <w:lvlJc w:val="left"/>
      <w:pPr>
        <w:ind w:left="1204" w:hanging="284"/>
      </w:pPr>
      <w:rPr>
        <w:rFonts w:hint="default"/>
      </w:rPr>
    </w:lvl>
    <w:lvl w:ilvl="2" w:tplc="B08680B8">
      <w:numFmt w:val="bullet"/>
      <w:lvlText w:val="•"/>
      <w:lvlJc w:val="left"/>
      <w:pPr>
        <w:ind w:left="1868" w:hanging="284"/>
      </w:pPr>
      <w:rPr>
        <w:rFonts w:hint="default"/>
      </w:rPr>
    </w:lvl>
    <w:lvl w:ilvl="3" w:tplc="B39E2BF2">
      <w:numFmt w:val="bullet"/>
      <w:lvlText w:val="•"/>
      <w:lvlJc w:val="left"/>
      <w:pPr>
        <w:ind w:left="2533" w:hanging="284"/>
      </w:pPr>
      <w:rPr>
        <w:rFonts w:hint="default"/>
      </w:rPr>
    </w:lvl>
    <w:lvl w:ilvl="4" w:tplc="54828A9C">
      <w:numFmt w:val="bullet"/>
      <w:lvlText w:val="•"/>
      <w:lvlJc w:val="left"/>
      <w:pPr>
        <w:ind w:left="3197" w:hanging="284"/>
      </w:pPr>
      <w:rPr>
        <w:rFonts w:hint="default"/>
      </w:rPr>
    </w:lvl>
    <w:lvl w:ilvl="5" w:tplc="217E3E7A">
      <w:numFmt w:val="bullet"/>
      <w:lvlText w:val="•"/>
      <w:lvlJc w:val="left"/>
      <w:pPr>
        <w:ind w:left="3861" w:hanging="284"/>
      </w:pPr>
      <w:rPr>
        <w:rFonts w:hint="default"/>
      </w:rPr>
    </w:lvl>
    <w:lvl w:ilvl="6" w:tplc="1C449E6A">
      <w:numFmt w:val="bullet"/>
      <w:lvlText w:val="•"/>
      <w:lvlJc w:val="left"/>
      <w:pPr>
        <w:ind w:left="4526" w:hanging="284"/>
      </w:pPr>
      <w:rPr>
        <w:rFonts w:hint="default"/>
      </w:rPr>
    </w:lvl>
    <w:lvl w:ilvl="7" w:tplc="DDA6CA7C">
      <w:numFmt w:val="bullet"/>
      <w:lvlText w:val="•"/>
      <w:lvlJc w:val="left"/>
      <w:pPr>
        <w:ind w:left="5190" w:hanging="284"/>
      </w:pPr>
      <w:rPr>
        <w:rFonts w:hint="default"/>
      </w:rPr>
    </w:lvl>
    <w:lvl w:ilvl="8" w:tplc="6E0C518E">
      <w:numFmt w:val="bullet"/>
      <w:lvlText w:val="•"/>
      <w:lvlJc w:val="left"/>
      <w:pPr>
        <w:ind w:left="5855" w:hanging="284"/>
      </w:pPr>
      <w:rPr>
        <w:rFonts w:hint="default"/>
      </w:rPr>
    </w:lvl>
  </w:abstractNum>
  <w:abstractNum w:abstractNumId="147">
    <w:nsid w:val="3ADE2262"/>
    <w:multiLevelType w:val="hybridMultilevel"/>
    <w:tmpl w:val="8430CB6E"/>
    <w:lvl w:ilvl="0" w:tplc="C8D4EABA">
      <w:start w:val="1"/>
      <w:numFmt w:val="decimal"/>
      <w:lvlText w:val="%1)"/>
      <w:lvlJc w:val="left"/>
      <w:pPr>
        <w:ind w:left="533" w:hanging="284"/>
        <w:jc w:val="left"/>
      </w:pPr>
      <w:rPr>
        <w:rFonts w:ascii="Cambria" w:eastAsia="Cambria" w:hAnsi="Cambria" w:cs="Cambria" w:hint="default"/>
        <w:color w:val="231F20"/>
        <w:spacing w:val="-19"/>
        <w:w w:val="100"/>
        <w:sz w:val="21"/>
        <w:szCs w:val="21"/>
      </w:rPr>
    </w:lvl>
    <w:lvl w:ilvl="1" w:tplc="A16AD24C">
      <w:numFmt w:val="bullet"/>
      <w:lvlText w:val="•"/>
      <w:lvlJc w:val="left"/>
      <w:pPr>
        <w:ind w:left="1204" w:hanging="284"/>
      </w:pPr>
      <w:rPr>
        <w:rFonts w:hint="default"/>
      </w:rPr>
    </w:lvl>
    <w:lvl w:ilvl="2" w:tplc="5E649772">
      <w:numFmt w:val="bullet"/>
      <w:lvlText w:val="•"/>
      <w:lvlJc w:val="left"/>
      <w:pPr>
        <w:ind w:left="1868" w:hanging="284"/>
      </w:pPr>
      <w:rPr>
        <w:rFonts w:hint="default"/>
      </w:rPr>
    </w:lvl>
    <w:lvl w:ilvl="3" w:tplc="74708146">
      <w:numFmt w:val="bullet"/>
      <w:lvlText w:val="•"/>
      <w:lvlJc w:val="left"/>
      <w:pPr>
        <w:ind w:left="2533" w:hanging="284"/>
      </w:pPr>
      <w:rPr>
        <w:rFonts w:hint="default"/>
      </w:rPr>
    </w:lvl>
    <w:lvl w:ilvl="4" w:tplc="F31C0BF0">
      <w:numFmt w:val="bullet"/>
      <w:lvlText w:val="•"/>
      <w:lvlJc w:val="left"/>
      <w:pPr>
        <w:ind w:left="3197" w:hanging="284"/>
      </w:pPr>
      <w:rPr>
        <w:rFonts w:hint="default"/>
      </w:rPr>
    </w:lvl>
    <w:lvl w:ilvl="5" w:tplc="560EAB58">
      <w:numFmt w:val="bullet"/>
      <w:lvlText w:val="•"/>
      <w:lvlJc w:val="left"/>
      <w:pPr>
        <w:ind w:left="3861" w:hanging="284"/>
      </w:pPr>
      <w:rPr>
        <w:rFonts w:hint="default"/>
      </w:rPr>
    </w:lvl>
    <w:lvl w:ilvl="6" w:tplc="D2D016D6">
      <w:numFmt w:val="bullet"/>
      <w:lvlText w:val="•"/>
      <w:lvlJc w:val="left"/>
      <w:pPr>
        <w:ind w:left="4526" w:hanging="284"/>
      </w:pPr>
      <w:rPr>
        <w:rFonts w:hint="default"/>
      </w:rPr>
    </w:lvl>
    <w:lvl w:ilvl="7" w:tplc="84F29D28">
      <w:numFmt w:val="bullet"/>
      <w:lvlText w:val="•"/>
      <w:lvlJc w:val="left"/>
      <w:pPr>
        <w:ind w:left="5190" w:hanging="284"/>
      </w:pPr>
      <w:rPr>
        <w:rFonts w:hint="default"/>
      </w:rPr>
    </w:lvl>
    <w:lvl w:ilvl="8" w:tplc="ABF673B0">
      <w:numFmt w:val="bullet"/>
      <w:lvlText w:val="•"/>
      <w:lvlJc w:val="left"/>
      <w:pPr>
        <w:ind w:left="5855" w:hanging="284"/>
      </w:pPr>
      <w:rPr>
        <w:rFonts w:hint="default"/>
      </w:rPr>
    </w:lvl>
  </w:abstractNum>
  <w:abstractNum w:abstractNumId="148">
    <w:nsid w:val="3AFF75C6"/>
    <w:multiLevelType w:val="hybridMultilevel"/>
    <w:tmpl w:val="09460414"/>
    <w:lvl w:ilvl="0" w:tplc="EA6CD110">
      <w:start w:val="1"/>
      <w:numFmt w:val="decimal"/>
      <w:lvlText w:val="%1)"/>
      <w:lvlJc w:val="left"/>
      <w:pPr>
        <w:ind w:left="250" w:hanging="284"/>
        <w:jc w:val="left"/>
      </w:pPr>
      <w:rPr>
        <w:rFonts w:ascii="Cambria" w:eastAsia="Cambria" w:hAnsi="Cambria" w:cs="Cambria" w:hint="default"/>
        <w:color w:val="231F20"/>
        <w:spacing w:val="-10"/>
        <w:w w:val="100"/>
        <w:sz w:val="21"/>
        <w:szCs w:val="21"/>
      </w:rPr>
    </w:lvl>
    <w:lvl w:ilvl="1" w:tplc="0EE4B3DA">
      <w:start w:val="1"/>
      <w:numFmt w:val="decimal"/>
      <w:lvlText w:val="%2)"/>
      <w:lvlJc w:val="left"/>
      <w:pPr>
        <w:ind w:left="1100" w:hanging="284"/>
        <w:jc w:val="left"/>
      </w:pPr>
      <w:rPr>
        <w:rFonts w:ascii="Cambria" w:eastAsia="Cambria" w:hAnsi="Cambria" w:cs="Cambria" w:hint="default"/>
        <w:color w:val="231F20"/>
        <w:spacing w:val="-6"/>
        <w:w w:val="100"/>
        <w:sz w:val="21"/>
        <w:szCs w:val="21"/>
      </w:rPr>
    </w:lvl>
    <w:lvl w:ilvl="2" w:tplc="53985ED4">
      <w:numFmt w:val="bullet"/>
      <w:lvlText w:val="•"/>
      <w:lvlJc w:val="left"/>
      <w:pPr>
        <w:ind w:left="1775" w:hanging="284"/>
      </w:pPr>
      <w:rPr>
        <w:rFonts w:hint="default"/>
      </w:rPr>
    </w:lvl>
    <w:lvl w:ilvl="3" w:tplc="45B6AEA4">
      <w:numFmt w:val="bullet"/>
      <w:lvlText w:val="•"/>
      <w:lvlJc w:val="left"/>
      <w:pPr>
        <w:ind w:left="2451" w:hanging="284"/>
      </w:pPr>
      <w:rPr>
        <w:rFonts w:hint="default"/>
      </w:rPr>
    </w:lvl>
    <w:lvl w:ilvl="4" w:tplc="50261444">
      <w:numFmt w:val="bullet"/>
      <w:lvlText w:val="•"/>
      <w:lvlJc w:val="left"/>
      <w:pPr>
        <w:ind w:left="3127" w:hanging="284"/>
      </w:pPr>
      <w:rPr>
        <w:rFonts w:hint="default"/>
      </w:rPr>
    </w:lvl>
    <w:lvl w:ilvl="5" w:tplc="E24623FE">
      <w:numFmt w:val="bullet"/>
      <w:lvlText w:val="•"/>
      <w:lvlJc w:val="left"/>
      <w:pPr>
        <w:ind w:left="3803" w:hanging="284"/>
      </w:pPr>
      <w:rPr>
        <w:rFonts w:hint="default"/>
      </w:rPr>
    </w:lvl>
    <w:lvl w:ilvl="6" w:tplc="1850018A">
      <w:numFmt w:val="bullet"/>
      <w:lvlText w:val="•"/>
      <w:lvlJc w:val="left"/>
      <w:pPr>
        <w:ind w:left="4479" w:hanging="284"/>
      </w:pPr>
      <w:rPr>
        <w:rFonts w:hint="default"/>
      </w:rPr>
    </w:lvl>
    <w:lvl w:ilvl="7" w:tplc="848EE2AC">
      <w:numFmt w:val="bullet"/>
      <w:lvlText w:val="•"/>
      <w:lvlJc w:val="left"/>
      <w:pPr>
        <w:ind w:left="5155" w:hanging="284"/>
      </w:pPr>
      <w:rPr>
        <w:rFonts w:hint="default"/>
      </w:rPr>
    </w:lvl>
    <w:lvl w:ilvl="8" w:tplc="5D201F3A">
      <w:numFmt w:val="bullet"/>
      <w:lvlText w:val="•"/>
      <w:lvlJc w:val="left"/>
      <w:pPr>
        <w:ind w:left="5831" w:hanging="284"/>
      </w:pPr>
      <w:rPr>
        <w:rFonts w:hint="default"/>
      </w:rPr>
    </w:lvl>
  </w:abstractNum>
  <w:abstractNum w:abstractNumId="149">
    <w:nsid w:val="3B13158A"/>
    <w:multiLevelType w:val="multilevel"/>
    <w:tmpl w:val="7F4E3BC8"/>
    <w:lvl w:ilvl="0">
      <w:start w:val="5"/>
      <w:numFmt w:val="decimal"/>
      <w:lvlText w:val="%1"/>
      <w:lvlJc w:val="left"/>
      <w:pPr>
        <w:ind w:left="2271" w:hanging="411"/>
        <w:jc w:val="left"/>
      </w:pPr>
      <w:rPr>
        <w:rFonts w:hint="default"/>
      </w:rPr>
    </w:lvl>
    <w:lvl w:ilvl="1">
      <w:start w:val="1"/>
      <w:numFmt w:val="decimal"/>
      <w:lvlText w:val="%1.%2."/>
      <w:lvlJc w:val="left"/>
      <w:pPr>
        <w:ind w:left="1827" w:hanging="411"/>
        <w:jc w:val="right"/>
      </w:pPr>
      <w:rPr>
        <w:rFonts w:ascii="Cambria" w:eastAsia="Cambria" w:hAnsi="Cambria" w:cs="Cambria" w:hint="default"/>
        <w:b/>
        <w:bCs/>
        <w:color w:val="231F20"/>
        <w:spacing w:val="-1"/>
        <w:w w:val="100"/>
        <w:sz w:val="22"/>
        <w:szCs w:val="22"/>
      </w:rPr>
    </w:lvl>
    <w:lvl w:ilvl="2">
      <w:numFmt w:val="bullet"/>
      <w:lvlText w:val="•"/>
      <w:lvlJc w:val="left"/>
      <w:pPr>
        <w:ind w:left="2824" w:hanging="411"/>
      </w:pPr>
      <w:rPr>
        <w:rFonts w:hint="default"/>
      </w:rPr>
    </w:lvl>
    <w:lvl w:ilvl="3">
      <w:numFmt w:val="bullet"/>
      <w:lvlText w:val="•"/>
      <w:lvlJc w:val="left"/>
      <w:pPr>
        <w:ind w:left="3369" w:hanging="411"/>
      </w:pPr>
      <w:rPr>
        <w:rFonts w:hint="default"/>
      </w:rPr>
    </w:lvl>
    <w:lvl w:ilvl="4">
      <w:numFmt w:val="bullet"/>
      <w:lvlText w:val="•"/>
      <w:lvlJc w:val="left"/>
      <w:pPr>
        <w:ind w:left="3914" w:hanging="411"/>
      </w:pPr>
      <w:rPr>
        <w:rFonts w:hint="default"/>
      </w:rPr>
    </w:lvl>
    <w:lvl w:ilvl="5">
      <w:numFmt w:val="bullet"/>
      <w:lvlText w:val="•"/>
      <w:lvlJc w:val="left"/>
      <w:pPr>
        <w:ind w:left="4459" w:hanging="411"/>
      </w:pPr>
      <w:rPr>
        <w:rFonts w:hint="default"/>
      </w:rPr>
    </w:lvl>
    <w:lvl w:ilvl="6">
      <w:numFmt w:val="bullet"/>
      <w:lvlText w:val="•"/>
      <w:lvlJc w:val="left"/>
      <w:pPr>
        <w:ind w:left="5004" w:hanging="411"/>
      </w:pPr>
      <w:rPr>
        <w:rFonts w:hint="default"/>
      </w:rPr>
    </w:lvl>
    <w:lvl w:ilvl="7">
      <w:numFmt w:val="bullet"/>
      <w:lvlText w:val="•"/>
      <w:lvlJc w:val="left"/>
      <w:pPr>
        <w:ind w:left="5549" w:hanging="411"/>
      </w:pPr>
      <w:rPr>
        <w:rFonts w:hint="default"/>
      </w:rPr>
    </w:lvl>
    <w:lvl w:ilvl="8">
      <w:numFmt w:val="bullet"/>
      <w:lvlText w:val="•"/>
      <w:lvlJc w:val="left"/>
      <w:pPr>
        <w:ind w:left="6094" w:hanging="411"/>
      </w:pPr>
      <w:rPr>
        <w:rFonts w:hint="default"/>
      </w:rPr>
    </w:lvl>
  </w:abstractNum>
  <w:abstractNum w:abstractNumId="150">
    <w:nsid w:val="3B6F3E7E"/>
    <w:multiLevelType w:val="hybridMultilevel"/>
    <w:tmpl w:val="54D4D882"/>
    <w:lvl w:ilvl="0" w:tplc="B0AE8476">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20328704">
      <w:numFmt w:val="bullet"/>
      <w:lvlText w:val="•"/>
      <w:lvlJc w:val="left"/>
      <w:pPr>
        <w:ind w:left="952" w:hanging="284"/>
      </w:pPr>
      <w:rPr>
        <w:rFonts w:hint="default"/>
      </w:rPr>
    </w:lvl>
    <w:lvl w:ilvl="2" w:tplc="366048C0">
      <w:numFmt w:val="bullet"/>
      <w:lvlText w:val="•"/>
      <w:lvlJc w:val="left"/>
      <w:pPr>
        <w:ind w:left="1644" w:hanging="284"/>
      </w:pPr>
      <w:rPr>
        <w:rFonts w:hint="default"/>
      </w:rPr>
    </w:lvl>
    <w:lvl w:ilvl="3" w:tplc="6DE2EB30">
      <w:numFmt w:val="bullet"/>
      <w:lvlText w:val="•"/>
      <w:lvlJc w:val="left"/>
      <w:pPr>
        <w:ind w:left="2337" w:hanging="284"/>
      </w:pPr>
      <w:rPr>
        <w:rFonts w:hint="default"/>
      </w:rPr>
    </w:lvl>
    <w:lvl w:ilvl="4" w:tplc="51883962">
      <w:numFmt w:val="bullet"/>
      <w:lvlText w:val="•"/>
      <w:lvlJc w:val="left"/>
      <w:pPr>
        <w:ind w:left="3029" w:hanging="284"/>
      </w:pPr>
      <w:rPr>
        <w:rFonts w:hint="default"/>
      </w:rPr>
    </w:lvl>
    <w:lvl w:ilvl="5" w:tplc="F04AD54C">
      <w:numFmt w:val="bullet"/>
      <w:lvlText w:val="•"/>
      <w:lvlJc w:val="left"/>
      <w:pPr>
        <w:ind w:left="3721" w:hanging="284"/>
      </w:pPr>
      <w:rPr>
        <w:rFonts w:hint="default"/>
      </w:rPr>
    </w:lvl>
    <w:lvl w:ilvl="6" w:tplc="45509378">
      <w:numFmt w:val="bullet"/>
      <w:lvlText w:val="•"/>
      <w:lvlJc w:val="left"/>
      <w:pPr>
        <w:ind w:left="4414" w:hanging="284"/>
      </w:pPr>
      <w:rPr>
        <w:rFonts w:hint="default"/>
      </w:rPr>
    </w:lvl>
    <w:lvl w:ilvl="7" w:tplc="0F929C2E">
      <w:numFmt w:val="bullet"/>
      <w:lvlText w:val="•"/>
      <w:lvlJc w:val="left"/>
      <w:pPr>
        <w:ind w:left="5106" w:hanging="284"/>
      </w:pPr>
      <w:rPr>
        <w:rFonts w:hint="default"/>
      </w:rPr>
    </w:lvl>
    <w:lvl w:ilvl="8" w:tplc="36FE0262">
      <w:numFmt w:val="bullet"/>
      <w:lvlText w:val="•"/>
      <w:lvlJc w:val="left"/>
      <w:pPr>
        <w:ind w:left="5799" w:hanging="284"/>
      </w:pPr>
      <w:rPr>
        <w:rFonts w:hint="default"/>
      </w:rPr>
    </w:lvl>
  </w:abstractNum>
  <w:abstractNum w:abstractNumId="151">
    <w:nsid w:val="3BCA6328"/>
    <w:multiLevelType w:val="multilevel"/>
    <w:tmpl w:val="C11282A8"/>
    <w:lvl w:ilvl="0">
      <w:start w:val="3"/>
      <w:numFmt w:val="decimal"/>
      <w:lvlText w:val="%1"/>
      <w:lvlJc w:val="left"/>
      <w:pPr>
        <w:ind w:left="1562" w:hanging="411"/>
        <w:jc w:val="left"/>
      </w:pPr>
      <w:rPr>
        <w:rFonts w:hint="default"/>
      </w:rPr>
    </w:lvl>
    <w:lvl w:ilvl="1">
      <w:start w:val="1"/>
      <w:numFmt w:val="decimal"/>
      <w:lvlText w:val="%1.%2."/>
      <w:lvlJc w:val="left"/>
      <w:pPr>
        <w:ind w:left="1562" w:hanging="411"/>
        <w:jc w:val="right"/>
      </w:pPr>
      <w:rPr>
        <w:rFonts w:ascii="Cambria" w:eastAsia="Cambria" w:hAnsi="Cambria" w:cs="Cambria" w:hint="default"/>
        <w:b/>
        <w:bCs/>
        <w:color w:val="231F20"/>
        <w:spacing w:val="-1"/>
        <w:w w:val="100"/>
        <w:sz w:val="22"/>
        <w:szCs w:val="22"/>
      </w:rPr>
    </w:lvl>
    <w:lvl w:ilvl="2">
      <w:numFmt w:val="bullet"/>
      <w:lvlText w:val="•"/>
      <w:lvlJc w:val="left"/>
      <w:pPr>
        <w:ind w:left="2684" w:hanging="411"/>
      </w:pPr>
      <w:rPr>
        <w:rFonts w:hint="default"/>
      </w:rPr>
    </w:lvl>
    <w:lvl w:ilvl="3">
      <w:numFmt w:val="bullet"/>
      <w:lvlText w:val="•"/>
      <w:lvlJc w:val="left"/>
      <w:pPr>
        <w:ind w:left="3247" w:hanging="411"/>
      </w:pPr>
      <w:rPr>
        <w:rFonts w:hint="default"/>
      </w:rPr>
    </w:lvl>
    <w:lvl w:ilvl="4">
      <w:numFmt w:val="bullet"/>
      <w:lvlText w:val="•"/>
      <w:lvlJc w:val="left"/>
      <w:pPr>
        <w:ind w:left="3809" w:hanging="411"/>
      </w:pPr>
      <w:rPr>
        <w:rFonts w:hint="default"/>
      </w:rPr>
    </w:lvl>
    <w:lvl w:ilvl="5">
      <w:numFmt w:val="bullet"/>
      <w:lvlText w:val="•"/>
      <w:lvlJc w:val="left"/>
      <w:pPr>
        <w:ind w:left="4371" w:hanging="411"/>
      </w:pPr>
      <w:rPr>
        <w:rFonts w:hint="default"/>
      </w:rPr>
    </w:lvl>
    <w:lvl w:ilvl="6">
      <w:numFmt w:val="bullet"/>
      <w:lvlText w:val="•"/>
      <w:lvlJc w:val="left"/>
      <w:pPr>
        <w:ind w:left="4934" w:hanging="411"/>
      </w:pPr>
      <w:rPr>
        <w:rFonts w:hint="default"/>
      </w:rPr>
    </w:lvl>
    <w:lvl w:ilvl="7">
      <w:numFmt w:val="bullet"/>
      <w:lvlText w:val="•"/>
      <w:lvlJc w:val="left"/>
      <w:pPr>
        <w:ind w:left="5496" w:hanging="411"/>
      </w:pPr>
      <w:rPr>
        <w:rFonts w:hint="default"/>
      </w:rPr>
    </w:lvl>
    <w:lvl w:ilvl="8">
      <w:numFmt w:val="bullet"/>
      <w:lvlText w:val="•"/>
      <w:lvlJc w:val="left"/>
      <w:pPr>
        <w:ind w:left="6059" w:hanging="411"/>
      </w:pPr>
      <w:rPr>
        <w:rFonts w:hint="default"/>
      </w:rPr>
    </w:lvl>
  </w:abstractNum>
  <w:abstractNum w:abstractNumId="152">
    <w:nsid w:val="3C375C0B"/>
    <w:multiLevelType w:val="hybridMultilevel"/>
    <w:tmpl w:val="A6F479C2"/>
    <w:lvl w:ilvl="0" w:tplc="77009D56">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730E7CBA">
      <w:numFmt w:val="bullet"/>
      <w:lvlText w:val="•"/>
      <w:lvlJc w:val="left"/>
      <w:pPr>
        <w:ind w:left="1204" w:hanging="284"/>
      </w:pPr>
      <w:rPr>
        <w:rFonts w:hint="default"/>
      </w:rPr>
    </w:lvl>
    <w:lvl w:ilvl="2" w:tplc="854AC8D0">
      <w:numFmt w:val="bullet"/>
      <w:lvlText w:val="•"/>
      <w:lvlJc w:val="left"/>
      <w:pPr>
        <w:ind w:left="1868" w:hanging="284"/>
      </w:pPr>
      <w:rPr>
        <w:rFonts w:hint="default"/>
      </w:rPr>
    </w:lvl>
    <w:lvl w:ilvl="3" w:tplc="7B70E904">
      <w:numFmt w:val="bullet"/>
      <w:lvlText w:val="•"/>
      <w:lvlJc w:val="left"/>
      <w:pPr>
        <w:ind w:left="2533" w:hanging="284"/>
      </w:pPr>
      <w:rPr>
        <w:rFonts w:hint="default"/>
      </w:rPr>
    </w:lvl>
    <w:lvl w:ilvl="4" w:tplc="DCF05BF8">
      <w:numFmt w:val="bullet"/>
      <w:lvlText w:val="•"/>
      <w:lvlJc w:val="left"/>
      <w:pPr>
        <w:ind w:left="3197" w:hanging="284"/>
      </w:pPr>
      <w:rPr>
        <w:rFonts w:hint="default"/>
      </w:rPr>
    </w:lvl>
    <w:lvl w:ilvl="5" w:tplc="9C6EBC12">
      <w:numFmt w:val="bullet"/>
      <w:lvlText w:val="•"/>
      <w:lvlJc w:val="left"/>
      <w:pPr>
        <w:ind w:left="3861" w:hanging="284"/>
      </w:pPr>
      <w:rPr>
        <w:rFonts w:hint="default"/>
      </w:rPr>
    </w:lvl>
    <w:lvl w:ilvl="6" w:tplc="A692C6D0">
      <w:numFmt w:val="bullet"/>
      <w:lvlText w:val="•"/>
      <w:lvlJc w:val="left"/>
      <w:pPr>
        <w:ind w:left="4526" w:hanging="284"/>
      </w:pPr>
      <w:rPr>
        <w:rFonts w:hint="default"/>
      </w:rPr>
    </w:lvl>
    <w:lvl w:ilvl="7" w:tplc="C0E24AEA">
      <w:numFmt w:val="bullet"/>
      <w:lvlText w:val="•"/>
      <w:lvlJc w:val="left"/>
      <w:pPr>
        <w:ind w:left="5190" w:hanging="284"/>
      </w:pPr>
      <w:rPr>
        <w:rFonts w:hint="default"/>
      </w:rPr>
    </w:lvl>
    <w:lvl w:ilvl="8" w:tplc="67E09846">
      <w:numFmt w:val="bullet"/>
      <w:lvlText w:val="•"/>
      <w:lvlJc w:val="left"/>
      <w:pPr>
        <w:ind w:left="5855" w:hanging="284"/>
      </w:pPr>
      <w:rPr>
        <w:rFonts w:hint="default"/>
      </w:rPr>
    </w:lvl>
  </w:abstractNum>
  <w:abstractNum w:abstractNumId="153">
    <w:nsid w:val="3CC46C0A"/>
    <w:multiLevelType w:val="multilevel"/>
    <w:tmpl w:val="C7743C22"/>
    <w:lvl w:ilvl="0">
      <w:start w:val="2"/>
      <w:numFmt w:val="decimal"/>
      <w:lvlText w:val="%1"/>
      <w:lvlJc w:val="left"/>
      <w:pPr>
        <w:ind w:left="1295" w:hanging="411"/>
        <w:jc w:val="left"/>
      </w:pPr>
      <w:rPr>
        <w:rFonts w:hint="default"/>
      </w:rPr>
    </w:lvl>
    <w:lvl w:ilvl="1">
      <w:start w:val="1"/>
      <w:numFmt w:val="decimal"/>
      <w:lvlText w:val="%1.%2."/>
      <w:lvlJc w:val="left"/>
      <w:pPr>
        <w:ind w:left="1572" w:hanging="411"/>
        <w:jc w:val="right"/>
      </w:pPr>
      <w:rPr>
        <w:rFonts w:ascii="Cambria" w:eastAsia="Cambria" w:hAnsi="Cambria" w:cs="Cambria" w:hint="default"/>
        <w:b/>
        <w:bCs/>
        <w:color w:val="231F20"/>
        <w:spacing w:val="-1"/>
        <w:w w:val="100"/>
        <w:sz w:val="22"/>
        <w:szCs w:val="22"/>
      </w:rPr>
    </w:lvl>
    <w:lvl w:ilvl="2">
      <w:numFmt w:val="bullet"/>
      <w:lvlText w:val="•"/>
      <w:lvlJc w:val="left"/>
      <w:pPr>
        <w:ind w:left="2202" w:hanging="411"/>
      </w:pPr>
      <w:rPr>
        <w:rFonts w:hint="default"/>
      </w:rPr>
    </w:lvl>
    <w:lvl w:ilvl="3">
      <w:numFmt w:val="bullet"/>
      <w:lvlText w:val="•"/>
      <w:lvlJc w:val="left"/>
      <w:pPr>
        <w:ind w:left="2825" w:hanging="411"/>
      </w:pPr>
      <w:rPr>
        <w:rFonts w:hint="default"/>
      </w:rPr>
    </w:lvl>
    <w:lvl w:ilvl="4">
      <w:numFmt w:val="bullet"/>
      <w:lvlText w:val="•"/>
      <w:lvlJc w:val="left"/>
      <w:pPr>
        <w:ind w:left="3447" w:hanging="411"/>
      </w:pPr>
      <w:rPr>
        <w:rFonts w:hint="default"/>
      </w:rPr>
    </w:lvl>
    <w:lvl w:ilvl="5">
      <w:numFmt w:val="bullet"/>
      <w:lvlText w:val="•"/>
      <w:lvlJc w:val="left"/>
      <w:pPr>
        <w:ind w:left="4070" w:hanging="411"/>
      </w:pPr>
      <w:rPr>
        <w:rFonts w:hint="default"/>
      </w:rPr>
    </w:lvl>
    <w:lvl w:ilvl="6">
      <w:numFmt w:val="bullet"/>
      <w:lvlText w:val="•"/>
      <w:lvlJc w:val="left"/>
      <w:pPr>
        <w:ind w:left="4693" w:hanging="411"/>
      </w:pPr>
      <w:rPr>
        <w:rFonts w:hint="default"/>
      </w:rPr>
    </w:lvl>
    <w:lvl w:ilvl="7">
      <w:numFmt w:val="bullet"/>
      <w:lvlText w:val="•"/>
      <w:lvlJc w:val="left"/>
      <w:pPr>
        <w:ind w:left="5315" w:hanging="411"/>
      </w:pPr>
      <w:rPr>
        <w:rFonts w:hint="default"/>
      </w:rPr>
    </w:lvl>
    <w:lvl w:ilvl="8">
      <w:numFmt w:val="bullet"/>
      <w:lvlText w:val="•"/>
      <w:lvlJc w:val="left"/>
      <w:pPr>
        <w:ind w:left="5938" w:hanging="411"/>
      </w:pPr>
      <w:rPr>
        <w:rFonts w:hint="default"/>
      </w:rPr>
    </w:lvl>
  </w:abstractNum>
  <w:abstractNum w:abstractNumId="154">
    <w:nsid w:val="3CD443FF"/>
    <w:multiLevelType w:val="hybridMultilevel"/>
    <w:tmpl w:val="A96045C6"/>
    <w:lvl w:ilvl="0" w:tplc="2D72E9B2">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CDEC8746">
      <w:start w:val="1"/>
      <w:numFmt w:val="decimal"/>
      <w:lvlText w:val="%2)"/>
      <w:lvlJc w:val="left"/>
      <w:pPr>
        <w:ind w:left="250" w:hanging="284"/>
        <w:jc w:val="right"/>
      </w:pPr>
      <w:rPr>
        <w:rFonts w:ascii="Cambria" w:eastAsia="Cambria" w:hAnsi="Cambria" w:cs="Cambria" w:hint="default"/>
        <w:color w:val="231F20"/>
        <w:spacing w:val="-6"/>
        <w:w w:val="100"/>
        <w:sz w:val="21"/>
        <w:szCs w:val="21"/>
      </w:rPr>
    </w:lvl>
    <w:lvl w:ilvl="2" w:tplc="21ECBD34">
      <w:start w:val="1"/>
      <w:numFmt w:val="decimal"/>
      <w:lvlText w:val="%3)"/>
      <w:lvlJc w:val="left"/>
      <w:pPr>
        <w:ind w:left="533" w:hanging="284"/>
        <w:jc w:val="left"/>
      </w:pPr>
      <w:rPr>
        <w:rFonts w:ascii="Cambria" w:eastAsia="Cambria" w:hAnsi="Cambria" w:cs="Cambria" w:hint="default"/>
        <w:color w:val="231F20"/>
        <w:spacing w:val="-6"/>
        <w:w w:val="100"/>
        <w:sz w:val="21"/>
        <w:szCs w:val="21"/>
      </w:rPr>
    </w:lvl>
    <w:lvl w:ilvl="3" w:tplc="007AA400">
      <w:numFmt w:val="bullet"/>
      <w:lvlText w:val="•"/>
      <w:lvlJc w:val="left"/>
      <w:pPr>
        <w:ind w:left="2016" w:hanging="284"/>
      </w:pPr>
      <w:rPr>
        <w:rFonts w:hint="default"/>
      </w:rPr>
    </w:lvl>
    <w:lvl w:ilvl="4" w:tplc="3388547C">
      <w:numFmt w:val="bullet"/>
      <w:lvlText w:val="•"/>
      <w:lvlJc w:val="left"/>
      <w:pPr>
        <w:ind w:left="2754" w:hanging="284"/>
      </w:pPr>
      <w:rPr>
        <w:rFonts w:hint="default"/>
      </w:rPr>
    </w:lvl>
    <w:lvl w:ilvl="5" w:tplc="B0CE3F92">
      <w:numFmt w:val="bullet"/>
      <w:lvlText w:val="•"/>
      <w:lvlJc w:val="left"/>
      <w:pPr>
        <w:ind w:left="3492" w:hanging="284"/>
      </w:pPr>
      <w:rPr>
        <w:rFonts w:hint="default"/>
      </w:rPr>
    </w:lvl>
    <w:lvl w:ilvl="6" w:tplc="584CD6BE">
      <w:numFmt w:val="bullet"/>
      <w:lvlText w:val="•"/>
      <w:lvlJc w:val="left"/>
      <w:pPr>
        <w:ind w:left="4231" w:hanging="284"/>
      </w:pPr>
      <w:rPr>
        <w:rFonts w:hint="default"/>
      </w:rPr>
    </w:lvl>
    <w:lvl w:ilvl="7" w:tplc="B9068BA6">
      <w:numFmt w:val="bullet"/>
      <w:lvlText w:val="•"/>
      <w:lvlJc w:val="left"/>
      <w:pPr>
        <w:ind w:left="4969" w:hanging="284"/>
      </w:pPr>
      <w:rPr>
        <w:rFonts w:hint="default"/>
      </w:rPr>
    </w:lvl>
    <w:lvl w:ilvl="8" w:tplc="C5C22F0C">
      <w:numFmt w:val="bullet"/>
      <w:lvlText w:val="•"/>
      <w:lvlJc w:val="left"/>
      <w:pPr>
        <w:ind w:left="5707" w:hanging="284"/>
      </w:pPr>
      <w:rPr>
        <w:rFonts w:hint="default"/>
      </w:rPr>
    </w:lvl>
  </w:abstractNum>
  <w:abstractNum w:abstractNumId="155">
    <w:nsid w:val="3D117BC2"/>
    <w:multiLevelType w:val="hybridMultilevel"/>
    <w:tmpl w:val="156293AC"/>
    <w:lvl w:ilvl="0" w:tplc="9DCAC99E">
      <w:start w:val="1"/>
      <w:numFmt w:val="decimal"/>
      <w:lvlText w:val="%1)"/>
      <w:lvlJc w:val="left"/>
      <w:pPr>
        <w:ind w:left="533" w:hanging="284"/>
        <w:jc w:val="left"/>
      </w:pPr>
      <w:rPr>
        <w:rFonts w:ascii="Cambria" w:eastAsia="Cambria" w:hAnsi="Cambria" w:cs="Cambria" w:hint="default"/>
        <w:i/>
        <w:color w:val="231F20"/>
        <w:spacing w:val="-9"/>
        <w:w w:val="100"/>
        <w:sz w:val="21"/>
        <w:szCs w:val="21"/>
      </w:rPr>
    </w:lvl>
    <w:lvl w:ilvl="1" w:tplc="7018B6D2">
      <w:numFmt w:val="bullet"/>
      <w:lvlText w:val="•"/>
      <w:lvlJc w:val="left"/>
      <w:pPr>
        <w:ind w:left="1204" w:hanging="284"/>
      </w:pPr>
      <w:rPr>
        <w:rFonts w:hint="default"/>
      </w:rPr>
    </w:lvl>
    <w:lvl w:ilvl="2" w:tplc="2108B496">
      <w:numFmt w:val="bullet"/>
      <w:lvlText w:val="•"/>
      <w:lvlJc w:val="left"/>
      <w:pPr>
        <w:ind w:left="1868" w:hanging="284"/>
      </w:pPr>
      <w:rPr>
        <w:rFonts w:hint="default"/>
      </w:rPr>
    </w:lvl>
    <w:lvl w:ilvl="3" w:tplc="7750D448">
      <w:numFmt w:val="bullet"/>
      <w:lvlText w:val="•"/>
      <w:lvlJc w:val="left"/>
      <w:pPr>
        <w:ind w:left="2533" w:hanging="284"/>
      </w:pPr>
      <w:rPr>
        <w:rFonts w:hint="default"/>
      </w:rPr>
    </w:lvl>
    <w:lvl w:ilvl="4" w:tplc="65363430">
      <w:numFmt w:val="bullet"/>
      <w:lvlText w:val="•"/>
      <w:lvlJc w:val="left"/>
      <w:pPr>
        <w:ind w:left="3197" w:hanging="284"/>
      </w:pPr>
      <w:rPr>
        <w:rFonts w:hint="default"/>
      </w:rPr>
    </w:lvl>
    <w:lvl w:ilvl="5" w:tplc="A64C4FFC">
      <w:numFmt w:val="bullet"/>
      <w:lvlText w:val="•"/>
      <w:lvlJc w:val="left"/>
      <w:pPr>
        <w:ind w:left="3861" w:hanging="284"/>
      </w:pPr>
      <w:rPr>
        <w:rFonts w:hint="default"/>
      </w:rPr>
    </w:lvl>
    <w:lvl w:ilvl="6" w:tplc="D35AB0B0">
      <w:numFmt w:val="bullet"/>
      <w:lvlText w:val="•"/>
      <w:lvlJc w:val="left"/>
      <w:pPr>
        <w:ind w:left="4526" w:hanging="284"/>
      </w:pPr>
      <w:rPr>
        <w:rFonts w:hint="default"/>
      </w:rPr>
    </w:lvl>
    <w:lvl w:ilvl="7" w:tplc="CF187104">
      <w:numFmt w:val="bullet"/>
      <w:lvlText w:val="•"/>
      <w:lvlJc w:val="left"/>
      <w:pPr>
        <w:ind w:left="5190" w:hanging="284"/>
      </w:pPr>
      <w:rPr>
        <w:rFonts w:hint="default"/>
      </w:rPr>
    </w:lvl>
    <w:lvl w:ilvl="8" w:tplc="25C2E980">
      <w:numFmt w:val="bullet"/>
      <w:lvlText w:val="•"/>
      <w:lvlJc w:val="left"/>
      <w:pPr>
        <w:ind w:left="5855" w:hanging="284"/>
      </w:pPr>
      <w:rPr>
        <w:rFonts w:hint="default"/>
      </w:rPr>
    </w:lvl>
  </w:abstractNum>
  <w:abstractNum w:abstractNumId="156">
    <w:nsid w:val="3D1D50CA"/>
    <w:multiLevelType w:val="hybridMultilevel"/>
    <w:tmpl w:val="2A883024"/>
    <w:lvl w:ilvl="0" w:tplc="4508BD14">
      <w:start w:val="3"/>
      <w:numFmt w:val="decimal"/>
      <w:lvlText w:val="%1)"/>
      <w:lvlJc w:val="left"/>
      <w:pPr>
        <w:ind w:left="533" w:hanging="284"/>
        <w:jc w:val="left"/>
      </w:pPr>
      <w:rPr>
        <w:rFonts w:ascii="Cambria" w:eastAsia="Cambria" w:hAnsi="Cambria" w:cs="Cambria" w:hint="default"/>
        <w:color w:val="231F20"/>
        <w:spacing w:val="-10"/>
        <w:w w:val="100"/>
        <w:sz w:val="21"/>
        <w:szCs w:val="21"/>
      </w:rPr>
    </w:lvl>
    <w:lvl w:ilvl="1" w:tplc="469ADC58">
      <w:numFmt w:val="bullet"/>
      <w:lvlText w:val="•"/>
      <w:lvlJc w:val="left"/>
      <w:pPr>
        <w:ind w:left="1204" w:hanging="284"/>
      </w:pPr>
      <w:rPr>
        <w:rFonts w:hint="default"/>
      </w:rPr>
    </w:lvl>
    <w:lvl w:ilvl="2" w:tplc="CA42F3BE">
      <w:numFmt w:val="bullet"/>
      <w:lvlText w:val="•"/>
      <w:lvlJc w:val="left"/>
      <w:pPr>
        <w:ind w:left="1868" w:hanging="284"/>
      </w:pPr>
      <w:rPr>
        <w:rFonts w:hint="default"/>
      </w:rPr>
    </w:lvl>
    <w:lvl w:ilvl="3" w:tplc="3FB6B674">
      <w:numFmt w:val="bullet"/>
      <w:lvlText w:val="•"/>
      <w:lvlJc w:val="left"/>
      <w:pPr>
        <w:ind w:left="2533" w:hanging="284"/>
      </w:pPr>
      <w:rPr>
        <w:rFonts w:hint="default"/>
      </w:rPr>
    </w:lvl>
    <w:lvl w:ilvl="4" w:tplc="1FC413C8">
      <w:numFmt w:val="bullet"/>
      <w:lvlText w:val="•"/>
      <w:lvlJc w:val="left"/>
      <w:pPr>
        <w:ind w:left="3197" w:hanging="284"/>
      </w:pPr>
      <w:rPr>
        <w:rFonts w:hint="default"/>
      </w:rPr>
    </w:lvl>
    <w:lvl w:ilvl="5" w:tplc="595A483A">
      <w:numFmt w:val="bullet"/>
      <w:lvlText w:val="•"/>
      <w:lvlJc w:val="left"/>
      <w:pPr>
        <w:ind w:left="3861" w:hanging="284"/>
      </w:pPr>
      <w:rPr>
        <w:rFonts w:hint="default"/>
      </w:rPr>
    </w:lvl>
    <w:lvl w:ilvl="6" w:tplc="6D4C6956">
      <w:numFmt w:val="bullet"/>
      <w:lvlText w:val="•"/>
      <w:lvlJc w:val="left"/>
      <w:pPr>
        <w:ind w:left="4526" w:hanging="284"/>
      </w:pPr>
      <w:rPr>
        <w:rFonts w:hint="default"/>
      </w:rPr>
    </w:lvl>
    <w:lvl w:ilvl="7" w:tplc="75628A68">
      <w:numFmt w:val="bullet"/>
      <w:lvlText w:val="•"/>
      <w:lvlJc w:val="left"/>
      <w:pPr>
        <w:ind w:left="5190" w:hanging="284"/>
      </w:pPr>
      <w:rPr>
        <w:rFonts w:hint="default"/>
      </w:rPr>
    </w:lvl>
    <w:lvl w:ilvl="8" w:tplc="3E40A08C">
      <w:numFmt w:val="bullet"/>
      <w:lvlText w:val="•"/>
      <w:lvlJc w:val="left"/>
      <w:pPr>
        <w:ind w:left="5855" w:hanging="284"/>
      </w:pPr>
      <w:rPr>
        <w:rFonts w:hint="default"/>
      </w:rPr>
    </w:lvl>
  </w:abstractNum>
  <w:abstractNum w:abstractNumId="157">
    <w:nsid w:val="3D4F4528"/>
    <w:multiLevelType w:val="hybridMultilevel"/>
    <w:tmpl w:val="A894C39E"/>
    <w:lvl w:ilvl="0" w:tplc="F8C6736E">
      <w:start w:val="1"/>
      <w:numFmt w:val="decimal"/>
      <w:lvlText w:val="%1)"/>
      <w:lvlJc w:val="left"/>
      <w:pPr>
        <w:ind w:left="250" w:hanging="284"/>
        <w:jc w:val="right"/>
      </w:pPr>
      <w:rPr>
        <w:rFonts w:ascii="Cambria" w:eastAsia="Cambria" w:hAnsi="Cambria" w:cs="Cambria" w:hint="default"/>
        <w:color w:val="231F20"/>
        <w:spacing w:val="-6"/>
        <w:w w:val="100"/>
        <w:sz w:val="21"/>
        <w:szCs w:val="21"/>
      </w:rPr>
    </w:lvl>
    <w:lvl w:ilvl="1" w:tplc="E07CA1B2">
      <w:numFmt w:val="bullet"/>
      <w:lvlText w:val=""/>
      <w:lvlJc w:val="left"/>
      <w:pPr>
        <w:ind w:left="533" w:hanging="284"/>
      </w:pPr>
      <w:rPr>
        <w:rFonts w:ascii="Wingdings" w:eastAsia="Wingdings" w:hAnsi="Wingdings" w:cs="Wingdings" w:hint="default"/>
        <w:color w:val="231F20"/>
        <w:w w:val="100"/>
        <w:sz w:val="21"/>
        <w:szCs w:val="21"/>
      </w:rPr>
    </w:lvl>
    <w:lvl w:ilvl="2" w:tplc="BD5CEC08">
      <w:numFmt w:val="bullet"/>
      <w:lvlText w:val="•"/>
      <w:lvlJc w:val="left"/>
      <w:pPr>
        <w:ind w:left="1278" w:hanging="284"/>
      </w:pPr>
      <w:rPr>
        <w:rFonts w:hint="default"/>
      </w:rPr>
    </w:lvl>
    <w:lvl w:ilvl="3" w:tplc="7EC85F9A">
      <w:numFmt w:val="bullet"/>
      <w:lvlText w:val="•"/>
      <w:lvlJc w:val="left"/>
      <w:pPr>
        <w:ind w:left="2016" w:hanging="284"/>
      </w:pPr>
      <w:rPr>
        <w:rFonts w:hint="default"/>
      </w:rPr>
    </w:lvl>
    <w:lvl w:ilvl="4" w:tplc="1D6648DA">
      <w:numFmt w:val="bullet"/>
      <w:lvlText w:val="•"/>
      <w:lvlJc w:val="left"/>
      <w:pPr>
        <w:ind w:left="2754" w:hanging="284"/>
      </w:pPr>
      <w:rPr>
        <w:rFonts w:hint="default"/>
      </w:rPr>
    </w:lvl>
    <w:lvl w:ilvl="5" w:tplc="3CBEC6F0">
      <w:numFmt w:val="bullet"/>
      <w:lvlText w:val="•"/>
      <w:lvlJc w:val="left"/>
      <w:pPr>
        <w:ind w:left="3492" w:hanging="284"/>
      </w:pPr>
      <w:rPr>
        <w:rFonts w:hint="default"/>
      </w:rPr>
    </w:lvl>
    <w:lvl w:ilvl="6" w:tplc="8318D684">
      <w:numFmt w:val="bullet"/>
      <w:lvlText w:val="•"/>
      <w:lvlJc w:val="left"/>
      <w:pPr>
        <w:ind w:left="4231" w:hanging="284"/>
      </w:pPr>
      <w:rPr>
        <w:rFonts w:hint="default"/>
      </w:rPr>
    </w:lvl>
    <w:lvl w:ilvl="7" w:tplc="3ADC5556">
      <w:numFmt w:val="bullet"/>
      <w:lvlText w:val="•"/>
      <w:lvlJc w:val="left"/>
      <w:pPr>
        <w:ind w:left="4969" w:hanging="284"/>
      </w:pPr>
      <w:rPr>
        <w:rFonts w:hint="default"/>
      </w:rPr>
    </w:lvl>
    <w:lvl w:ilvl="8" w:tplc="50F4088E">
      <w:numFmt w:val="bullet"/>
      <w:lvlText w:val="•"/>
      <w:lvlJc w:val="left"/>
      <w:pPr>
        <w:ind w:left="5707" w:hanging="284"/>
      </w:pPr>
      <w:rPr>
        <w:rFonts w:hint="default"/>
      </w:rPr>
    </w:lvl>
  </w:abstractNum>
  <w:abstractNum w:abstractNumId="158">
    <w:nsid w:val="3D6F12D8"/>
    <w:multiLevelType w:val="hybridMultilevel"/>
    <w:tmpl w:val="3B12AB00"/>
    <w:lvl w:ilvl="0" w:tplc="AA286636">
      <w:numFmt w:val="bullet"/>
      <w:lvlText w:val=""/>
      <w:lvlJc w:val="left"/>
      <w:pPr>
        <w:ind w:left="250" w:hanging="284"/>
      </w:pPr>
      <w:rPr>
        <w:rFonts w:ascii="Wingdings" w:eastAsia="Wingdings" w:hAnsi="Wingdings" w:cs="Wingdings" w:hint="default"/>
        <w:color w:val="231F20"/>
        <w:w w:val="100"/>
        <w:sz w:val="21"/>
        <w:szCs w:val="21"/>
      </w:rPr>
    </w:lvl>
    <w:lvl w:ilvl="1" w:tplc="7D9C511E">
      <w:numFmt w:val="bullet"/>
      <w:lvlText w:val="•"/>
      <w:lvlJc w:val="left"/>
      <w:pPr>
        <w:ind w:left="952" w:hanging="284"/>
      </w:pPr>
      <w:rPr>
        <w:rFonts w:hint="default"/>
      </w:rPr>
    </w:lvl>
    <w:lvl w:ilvl="2" w:tplc="41DCEE26">
      <w:numFmt w:val="bullet"/>
      <w:lvlText w:val="•"/>
      <w:lvlJc w:val="left"/>
      <w:pPr>
        <w:ind w:left="1644" w:hanging="284"/>
      </w:pPr>
      <w:rPr>
        <w:rFonts w:hint="default"/>
      </w:rPr>
    </w:lvl>
    <w:lvl w:ilvl="3" w:tplc="A7D652B8">
      <w:numFmt w:val="bullet"/>
      <w:lvlText w:val="•"/>
      <w:lvlJc w:val="left"/>
      <w:pPr>
        <w:ind w:left="2337" w:hanging="284"/>
      </w:pPr>
      <w:rPr>
        <w:rFonts w:hint="default"/>
      </w:rPr>
    </w:lvl>
    <w:lvl w:ilvl="4" w:tplc="D51E9928">
      <w:numFmt w:val="bullet"/>
      <w:lvlText w:val="•"/>
      <w:lvlJc w:val="left"/>
      <w:pPr>
        <w:ind w:left="3029" w:hanging="284"/>
      </w:pPr>
      <w:rPr>
        <w:rFonts w:hint="default"/>
      </w:rPr>
    </w:lvl>
    <w:lvl w:ilvl="5" w:tplc="1E90D264">
      <w:numFmt w:val="bullet"/>
      <w:lvlText w:val="•"/>
      <w:lvlJc w:val="left"/>
      <w:pPr>
        <w:ind w:left="3721" w:hanging="284"/>
      </w:pPr>
      <w:rPr>
        <w:rFonts w:hint="default"/>
      </w:rPr>
    </w:lvl>
    <w:lvl w:ilvl="6" w:tplc="C3A6462C">
      <w:numFmt w:val="bullet"/>
      <w:lvlText w:val="•"/>
      <w:lvlJc w:val="left"/>
      <w:pPr>
        <w:ind w:left="4414" w:hanging="284"/>
      </w:pPr>
      <w:rPr>
        <w:rFonts w:hint="default"/>
      </w:rPr>
    </w:lvl>
    <w:lvl w:ilvl="7" w:tplc="67A23E36">
      <w:numFmt w:val="bullet"/>
      <w:lvlText w:val="•"/>
      <w:lvlJc w:val="left"/>
      <w:pPr>
        <w:ind w:left="5106" w:hanging="284"/>
      </w:pPr>
      <w:rPr>
        <w:rFonts w:hint="default"/>
      </w:rPr>
    </w:lvl>
    <w:lvl w:ilvl="8" w:tplc="14E4C61A">
      <w:numFmt w:val="bullet"/>
      <w:lvlText w:val="•"/>
      <w:lvlJc w:val="left"/>
      <w:pPr>
        <w:ind w:left="5799" w:hanging="284"/>
      </w:pPr>
      <w:rPr>
        <w:rFonts w:hint="default"/>
      </w:rPr>
    </w:lvl>
  </w:abstractNum>
  <w:abstractNum w:abstractNumId="159">
    <w:nsid w:val="3D982A9F"/>
    <w:multiLevelType w:val="hybridMultilevel"/>
    <w:tmpl w:val="9866EA56"/>
    <w:lvl w:ilvl="0" w:tplc="A23A310A">
      <w:start w:val="2"/>
      <w:numFmt w:val="decimal"/>
      <w:lvlText w:val="%1."/>
      <w:lvlJc w:val="left"/>
      <w:pPr>
        <w:ind w:left="533" w:hanging="284"/>
        <w:jc w:val="left"/>
      </w:pPr>
      <w:rPr>
        <w:rFonts w:ascii="Cambria" w:eastAsia="Cambria" w:hAnsi="Cambria" w:cs="Cambria" w:hint="default"/>
        <w:color w:val="231F20"/>
        <w:spacing w:val="-15"/>
        <w:w w:val="100"/>
        <w:sz w:val="21"/>
        <w:szCs w:val="21"/>
      </w:rPr>
    </w:lvl>
    <w:lvl w:ilvl="1" w:tplc="BF245C4E">
      <w:numFmt w:val="bullet"/>
      <w:lvlText w:val="•"/>
      <w:lvlJc w:val="left"/>
      <w:pPr>
        <w:ind w:left="1204" w:hanging="284"/>
      </w:pPr>
      <w:rPr>
        <w:rFonts w:hint="default"/>
      </w:rPr>
    </w:lvl>
    <w:lvl w:ilvl="2" w:tplc="B0621F30">
      <w:numFmt w:val="bullet"/>
      <w:lvlText w:val="•"/>
      <w:lvlJc w:val="left"/>
      <w:pPr>
        <w:ind w:left="1868" w:hanging="284"/>
      </w:pPr>
      <w:rPr>
        <w:rFonts w:hint="default"/>
      </w:rPr>
    </w:lvl>
    <w:lvl w:ilvl="3" w:tplc="E362D924">
      <w:numFmt w:val="bullet"/>
      <w:lvlText w:val="•"/>
      <w:lvlJc w:val="left"/>
      <w:pPr>
        <w:ind w:left="2533" w:hanging="284"/>
      </w:pPr>
      <w:rPr>
        <w:rFonts w:hint="default"/>
      </w:rPr>
    </w:lvl>
    <w:lvl w:ilvl="4" w:tplc="C44E5922">
      <w:numFmt w:val="bullet"/>
      <w:lvlText w:val="•"/>
      <w:lvlJc w:val="left"/>
      <w:pPr>
        <w:ind w:left="3197" w:hanging="284"/>
      </w:pPr>
      <w:rPr>
        <w:rFonts w:hint="default"/>
      </w:rPr>
    </w:lvl>
    <w:lvl w:ilvl="5" w:tplc="EB304418">
      <w:numFmt w:val="bullet"/>
      <w:lvlText w:val="•"/>
      <w:lvlJc w:val="left"/>
      <w:pPr>
        <w:ind w:left="3861" w:hanging="284"/>
      </w:pPr>
      <w:rPr>
        <w:rFonts w:hint="default"/>
      </w:rPr>
    </w:lvl>
    <w:lvl w:ilvl="6" w:tplc="D53C1E18">
      <w:numFmt w:val="bullet"/>
      <w:lvlText w:val="•"/>
      <w:lvlJc w:val="left"/>
      <w:pPr>
        <w:ind w:left="4526" w:hanging="284"/>
      </w:pPr>
      <w:rPr>
        <w:rFonts w:hint="default"/>
      </w:rPr>
    </w:lvl>
    <w:lvl w:ilvl="7" w:tplc="01B00A6E">
      <w:numFmt w:val="bullet"/>
      <w:lvlText w:val="•"/>
      <w:lvlJc w:val="left"/>
      <w:pPr>
        <w:ind w:left="5190" w:hanging="284"/>
      </w:pPr>
      <w:rPr>
        <w:rFonts w:hint="default"/>
      </w:rPr>
    </w:lvl>
    <w:lvl w:ilvl="8" w:tplc="8F08AB1E">
      <w:numFmt w:val="bullet"/>
      <w:lvlText w:val="•"/>
      <w:lvlJc w:val="left"/>
      <w:pPr>
        <w:ind w:left="5855" w:hanging="284"/>
      </w:pPr>
      <w:rPr>
        <w:rFonts w:hint="default"/>
      </w:rPr>
    </w:lvl>
  </w:abstractNum>
  <w:abstractNum w:abstractNumId="160">
    <w:nsid w:val="3E5340BB"/>
    <w:multiLevelType w:val="hybridMultilevel"/>
    <w:tmpl w:val="05749242"/>
    <w:lvl w:ilvl="0" w:tplc="873CA13C">
      <w:numFmt w:val="bullet"/>
      <w:lvlText w:val="–"/>
      <w:lvlJc w:val="left"/>
      <w:pPr>
        <w:ind w:left="533" w:hanging="284"/>
      </w:pPr>
      <w:rPr>
        <w:rFonts w:ascii="Cambria" w:eastAsia="Cambria" w:hAnsi="Cambria" w:cs="Cambria" w:hint="default"/>
        <w:color w:val="231F20"/>
        <w:spacing w:val="-7"/>
        <w:w w:val="100"/>
        <w:sz w:val="21"/>
        <w:szCs w:val="21"/>
      </w:rPr>
    </w:lvl>
    <w:lvl w:ilvl="1" w:tplc="E3606638">
      <w:numFmt w:val="bullet"/>
      <w:lvlText w:val="•"/>
      <w:lvlJc w:val="left"/>
      <w:pPr>
        <w:ind w:left="1204" w:hanging="284"/>
      </w:pPr>
      <w:rPr>
        <w:rFonts w:hint="default"/>
      </w:rPr>
    </w:lvl>
    <w:lvl w:ilvl="2" w:tplc="133C3D4E">
      <w:numFmt w:val="bullet"/>
      <w:lvlText w:val="•"/>
      <w:lvlJc w:val="left"/>
      <w:pPr>
        <w:ind w:left="1868" w:hanging="284"/>
      </w:pPr>
      <w:rPr>
        <w:rFonts w:hint="default"/>
      </w:rPr>
    </w:lvl>
    <w:lvl w:ilvl="3" w:tplc="6C2C4CB4">
      <w:numFmt w:val="bullet"/>
      <w:lvlText w:val="•"/>
      <w:lvlJc w:val="left"/>
      <w:pPr>
        <w:ind w:left="2533" w:hanging="284"/>
      </w:pPr>
      <w:rPr>
        <w:rFonts w:hint="default"/>
      </w:rPr>
    </w:lvl>
    <w:lvl w:ilvl="4" w:tplc="E27E778E">
      <w:numFmt w:val="bullet"/>
      <w:lvlText w:val="•"/>
      <w:lvlJc w:val="left"/>
      <w:pPr>
        <w:ind w:left="3197" w:hanging="284"/>
      </w:pPr>
      <w:rPr>
        <w:rFonts w:hint="default"/>
      </w:rPr>
    </w:lvl>
    <w:lvl w:ilvl="5" w:tplc="15E8C0E8">
      <w:numFmt w:val="bullet"/>
      <w:lvlText w:val="•"/>
      <w:lvlJc w:val="left"/>
      <w:pPr>
        <w:ind w:left="3861" w:hanging="284"/>
      </w:pPr>
      <w:rPr>
        <w:rFonts w:hint="default"/>
      </w:rPr>
    </w:lvl>
    <w:lvl w:ilvl="6" w:tplc="15E079AC">
      <w:numFmt w:val="bullet"/>
      <w:lvlText w:val="•"/>
      <w:lvlJc w:val="left"/>
      <w:pPr>
        <w:ind w:left="4526" w:hanging="284"/>
      </w:pPr>
      <w:rPr>
        <w:rFonts w:hint="default"/>
      </w:rPr>
    </w:lvl>
    <w:lvl w:ilvl="7" w:tplc="3266D844">
      <w:numFmt w:val="bullet"/>
      <w:lvlText w:val="•"/>
      <w:lvlJc w:val="left"/>
      <w:pPr>
        <w:ind w:left="5190" w:hanging="284"/>
      </w:pPr>
      <w:rPr>
        <w:rFonts w:hint="default"/>
      </w:rPr>
    </w:lvl>
    <w:lvl w:ilvl="8" w:tplc="3A8C89B6">
      <w:numFmt w:val="bullet"/>
      <w:lvlText w:val="•"/>
      <w:lvlJc w:val="left"/>
      <w:pPr>
        <w:ind w:left="5855" w:hanging="284"/>
      </w:pPr>
      <w:rPr>
        <w:rFonts w:hint="default"/>
      </w:rPr>
    </w:lvl>
  </w:abstractNum>
  <w:abstractNum w:abstractNumId="161">
    <w:nsid w:val="3E5459C7"/>
    <w:multiLevelType w:val="hybridMultilevel"/>
    <w:tmpl w:val="DC24041C"/>
    <w:lvl w:ilvl="0" w:tplc="203C0914">
      <w:numFmt w:val="bullet"/>
      <w:lvlText w:val=""/>
      <w:lvlJc w:val="left"/>
      <w:pPr>
        <w:ind w:left="533" w:hanging="284"/>
      </w:pPr>
      <w:rPr>
        <w:rFonts w:ascii="Wingdings" w:eastAsia="Wingdings" w:hAnsi="Wingdings" w:cs="Wingdings" w:hint="default"/>
        <w:color w:val="231F20"/>
        <w:w w:val="100"/>
        <w:sz w:val="21"/>
        <w:szCs w:val="21"/>
      </w:rPr>
    </w:lvl>
    <w:lvl w:ilvl="1" w:tplc="9F701986">
      <w:numFmt w:val="bullet"/>
      <w:lvlText w:val="•"/>
      <w:lvlJc w:val="left"/>
      <w:pPr>
        <w:ind w:left="1204" w:hanging="284"/>
      </w:pPr>
      <w:rPr>
        <w:rFonts w:hint="default"/>
      </w:rPr>
    </w:lvl>
    <w:lvl w:ilvl="2" w:tplc="92E62D74">
      <w:numFmt w:val="bullet"/>
      <w:lvlText w:val="•"/>
      <w:lvlJc w:val="left"/>
      <w:pPr>
        <w:ind w:left="1868" w:hanging="284"/>
      </w:pPr>
      <w:rPr>
        <w:rFonts w:hint="default"/>
      </w:rPr>
    </w:lvl>
    <w:lvl w:ilvl="3" w:tplc="0FFA28AC">
      <w:numFmt w:val="bullet"/>
      <w:lvlText w:val="•"/>
      <w:lvlJc w:val="left"/>
      <w:pPr>
        <w:ind w:left="2533" w:hanging="284"/>
      </w:pPr>
      <w:rPr>
        <w:rFonts w:hint="default"/>
      </w:rPr>
    </w:lvl>
    <w:lvl w:ilvl="4" w:tplc="BC3CB924">
      <w:numFmt w:val="bullet"/>
      <w:lvlText w:val="•"/>
      <w:lvlJc w:val="left"/>
      <w:pPr>
        <w:ind w:left="3197" w:hanging="284"/>
      </w:pPr>
      <w:rPr>
        <w:rFonts w:hint="default"/>
      </w:rPr>
    </w:lvl>
    <w:lvl w:ilvl="5" w:tplc="2B20C330">
      <w:numFmt w:val="bullet"/>
      <w:lvlText w:val="•"/>
      <w:lvlJc w:val="left"/>
      <w:pPr>
        <w:ind w:left="3861" w:hanging="284"/>
      </w:pPr>
      <w:rPr>
        <w:rFonts w:hint="default"/>
      </w:rPr>
    </w:lvl>
    <w:lvl w:ilvl="6" w:tplc="AA061DEC">
      <w:numFmt w:val="bullet"/>
      <w:lvlText w:val="•"/>
      <w:lvlJc w:val="left"/>
      <w:pPr>
        <w:ind w:left="4526" w:hanging="284"/>
      </w:pPr>
      <w:rPr>
        <w:rFonts w:hint="default"/>
      </w:rPr>
    </w:lvl>
    <w:lvl w:ilvl="7" w:tplc="48007F64">
      <w:numFmt w:val="bullet"/>
      <w:lvlText w:val="•"/>
      <w:lvlJc w:val="left"/>
      <w:pPr>
        <w:ind w:left="5190" w:hanging="284"/>
      </w:pPr>
      <w:rPr>
        <w:rFonts w:hint="default"/>
      </w:rPr>
    </w:lvl>
    <w:lvl w:ilvl="8" w:tplc="AAF4C032">
      <w:numFmt w:val="bullet"/>
      <w:lvlText w:val="•"/>
      <w:lvlJc w:val="left"/>
      <w:pPr>
        <w:ind w:left="5855" w:hanging="284"/>
      </w:pPr>
      <w:rPr>
        <w:rFonts w:hint="default"/>
      </w:rPr>
    </w:lvl>
  </w:abstractNum>
  <w:abstractNum w:abstractNumId="162">
    <w:nsid w:val="3E76052F"/>
    <w:multiLevelType w:val="multilevel"/>
    <w:tmpl w:val="5F3ACF20"/>
    <w:lvl w:ilvl="0">
      <w:start w:val="2"/>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numFmt w:val="bullet"/>
      <w:lvlText w:val="•"/>
      <w:lvlJc w:val="left"/>
      <w:pPr>
        <w:ind w:left="1948" w:hanging="397"/>
      </w:pPr>
      <w:rPr>
        <w:rFonts w:hint="default"/>
      </w:rPr>
    </w:lvl>
    <w:lvl w:ilvl="3">
      <w:numFmt w:val="bullet"/>
      <w:lvlText w:val="•"/>
      <w:lvlJc w:val="left"/>
      <w:pPr>
        <w:ind w:left="2603" w:hanging="397"/>
      </w:pPr>
      <w:rPr>
        <w:rFonts w:hint="default"/>
      </w:rPr>
    </w:lvl>
    <w:lvl w:ilvl="4">
      <w:numFmt w:val="bullet"/>
      <w:lvlText w:val="•"/>
      <w:lvlJc w:val="left"/>
      <w:pPr>
        <w:ind w:left="3257" w:hanging="397"/>
      </w:pPr>
      <w:rPr>
        <w:rFonts w:hint="default"/>
      </w:rPr>
    </w:lvl>
    <w:lvl w:ilvl="5">
      <w:numFmt w:val="bullet"/>
      <w:lvlText w:val="•"/>
      <w:lvlJc w:val="left"/>
      <w:pPr>
        <w:ind w:left="3911" w:hanging="397"/>
      </w:pPr>
      <w:rPr>
        <w:rFonts w:hint="default"/>
      </w:rPr>
    </w:lvl>
    <w:lvl w:ilvl="6">
      <w:numFmt w:val="bullet"/>
      <w:lvlText w:val="•"/>
      <w:lvlJc w:val="left"/>
      <w:pPr>
        <w:ind w:left="4566" w:hanging="397"/>
      </w:pPr>
      <w:rPr>
        <w:rFonts w:hint="default"/>
      </w:rPr>
    </w:lvl>
    <w:lvl w:ilvl="7">
      <w:numFmt w:val="bullet"/>
      <w:lvlText w:val="•"/>
      <w:lvlJc w:val="left"/>
      <w:pPr>
        <w:ind w:left="5220" w:hanging="397"/>
      </w:pPr>
      <w:rPr>
        <w:rFonts w:hint="default"/>
      </w:rPr>
    </w:lvl>
    <w:lvl w:ilvl="8">
      <w:numFmt w:val="bullet"/>
      <w:lvlText w:val="•"/>
      <w:lvlJc w:val="left"/>
      <w:pPr>
        <w:ind w:left="5875" w:hanging="397"/>
      </w:pPr>
      <w:rPr>
        <w:rFonts w:hint="default"/>
      </w:rPr>
    </w:lvl>
  </w:abstractNum>
  <w:abstractNum w:abstractNumId="163">
    <w:nsid w:val="3E7A176F"/>
    <w:multiLevelType w:val="multilevel"/>
    <w:tmpl w:val="8D5686BE"/>
    <w:lvl w:ilvl="0">
      <w:start w:val="8"/>
      <w:numFmt w:val="decimal"/>
      <w:lvlText w:val="%1"/>
      <w:lvlJc w:val="left"/>
      <w:pPr>
        <w:ind w:left="647" w:hanging="397"/>
        <w:jc w:val="left"/>
      </w:pPr>
      <w:rPr>
        <w:rFonts w:hint="default"/>
      </w:rPr>
    </w:lvl>
    <w:lvl w:ilvl="1">
      <w:start w:val="1"/>
      <w:numFmt w:val="decimal"/>
      <w:lvlText w:val="%1.%2."/>
      <w:lvlJc w:val="left"/>
      <w:pPr>
        <w:ind w:left="647" w:hanging="397"/>
        <w:jc w:val="right"/>
      </w:pPr>
      <w:rPr>
        <w:rFonts w:ascii="Cambria" w:eastAsia="Cambria" w:hAnsi="Cambria" w:cs="Cambria" w:hint="default"/>
        <w:b/>
        <w:bCs/>
        <w:color w:val="231F20"/>
        <w:spacing w:val="-1"/>
        <w:w w:val="100"/>
        <w:sz w:val="21"/>
        <w:szCs w:val="21"/>
      </w:rPr>
    </w:lvl>
    <w:lvl w:ilvl="2">
      <w:start w:val="1"/>
      <w:numFmt w:val="decimal"/>
      <w:lvlText w:val="%1.%2.%3."/>
      <w:lvlJc w:val="left"/>
      <w:pPr>
        <w:ind w:left="1214" w:hanging="567"/>
        <w:jc w:val="left"/>
      </w:pPr>
      <w:rPr>
        <w:rFonts w:ascii="Cambria" w:eastAsia="Cambria" w:hAnsi="Cambria" w:cs="Cambria" w:hint="default"/>
        <w:color w:val="231F20"/>
        <w:spacing w:val="-4"/>
        <w:w w:val="81"/>
        <w:sz w:val="21"/>
        <w:szCs w:val="21"/>
      </w:rPr>
    </w:lvl>
    <w:lvl w:ilvl="3">
      <w:numFmt w:val="bullet"/>
      <w:lvlText w:val="•"/>
      <w:lvlJc w:val="left"/>
      <w:pPr>
        <w:ind w:left="2210" w:hanging="567"/>
      </w:pPr>
      <w:rPr>
        <w:rFonts w:hint="default"/>
      </w:rPr>
    </w:lvl>
    <w:lvl w:ilvl="4">
      <w:numFmt w:val="bullet"/>
      <w:lvlText w:val="•"/>
      <w:lvlJc w:val="left"/>
      <w:pPr>
        <w:ind w:left="2920" w:hanging="567"/>
      </w:pPr>
      <w:rPr>
        <w:rFonts w:hint="default"/>
      </w:rPr>
    </w:lvl>
    <w:lvl w:ilvl="5">
      <w:numFmt w:val="bullet"/>
      <w:lvlText w:val="•"/>
      <w:lvlJc w:val="left"/>
      <w:pPr>
        <w:ind w:left="3631" w:hanging="567"/>
      </w:pPr>
      <w:rPr>
        <w:rFonts w:hint="default"/>
      </w:rPr>
    </w:lvl>
    <w:lvl w:ilvl="6">
      <w:numFmt w:val="bullet"/>
      <w:lvlText w:val="•"/>
      <w:lvlJc w:val="left"/>
      <w:pPr>
        <w:ind w:left="4341" w:hanging="567"/>
      </w:pPr>
      <w:rPr>
        <w:rFonts w:hint="default"/>
      </w:rPr>
    </w:lvl>
    <w:lvl w:ilvl="7">
      <w:numFmt w:val="bullet"/>
      <w:lvlText w:val="•"/>
      <w:lvlJc w:val="left"/>
      <w:pPr>
        <w:ind w:left="5052" w:hanging="567"/>
      </w:pPr>
      <w:rPr>
        <w:rFonts w:hint="default"/>
      </w:rPr>
    </w:lvl>
    <w:lvl w:ilvl="8">
      <w:numFmt w:val="bullet"/>
      <w:lvlText w:val="•"/>
      <w:lvlJc w:val="left"/>
      <w:pPr>
        <w:ind w:left="5762" w:hanging="567"/>
      </w:pPr>
      <w:rPr>
        <w:rFonts w:hint="default"/>
      </w:rPr>
    </w:lvl>
  </w:abstractNum>
  <w:abstractNum w:abstractNumId="164">
    <w:nsid w:val="3EAB7A07"/>
    <w:multiLevelType w:val="multilevel"/>
    <w:tmpl w:val="92740504"/>
    <w:lvl w:ilvl="0">
      <w:start w:val="3"/>
      <w:numFmt w:val="decimal"/>
      <w:lvlText w:val="%1"/>
      <w:lvlJc w:val="left"/>
      <w:pPr>
        <w:ind w:left="647" w:hanging="397"/>
        <w:jc w:val="left"/>
      </w:pPr>
      <w:rPr>
        <w:rFonts w:hint="default"/>
      </w:rPr>
    </w:lvl>
    <w:lvl w:ilvl="1">
      <w:start w:val="1"/>
      <w:numFmt w:val="decimal"/>
      <w:lvlText w:val="%1.%2."/>
      <w:lvlJc w:val="left"/>
      <w:pPr>
        <w:ind w:left="647" w:hanging="397"/>
        <w:jc w:val="right"/>
      </w:pPr>
      <w:rPr>
        <w:rFonts w:ascii="Cambria" w:eastAsia="Cambria" w:hAnsi="Cambria" w:cs="Cambria" w:hint="default"/>
        <w:b/>
        <w:bCs/>
        <w:color w:val="231F20"/>
        <w:spacing w:val="-1"/>
        <w:w w:val="100"/>
        <w:sz w:val="21"/>
        <w:szCs w:val="21"/>
      </w:rPr>
    </w:lvl>
    <w:lvl w:ilvl="2">
      <w:numFmt w:val="bullet"/>
      <w:lvlText w:val="•"/>
      <w:lvlJc w:val="left"/>
      <w:pPr>
        <w:ind w:left="1948" w:hanging="397"/>
      </w:pPr>
      <w:rPr>
        <w:rFonts w:hint="default"/>
      </w:rPr>
    </w:lvl>
    <w:lvl w:ilvl="3">
      <w:numFmt w:val="bullet"/>
      <w:lvlText w:val="•"/>
      <w:lvlJc w:val="left"/>
      <w:pPr>
        <w:ind w:left="2603" w:hanging="397"/>
      </w:pPr>
      <w:rPr>
        <w:rFonts w:hint="default"/>
      </w:rPr>
    </w:lvl>
    <w:lvl w:ilvl="4">
      <w:numFmt w:val="bullet"/>
      <w:lvlText w:val="•"/>
      <w:lvlJc w:val="left"/>
      <w:pPr>
        <w:ind w:left="3257" w:hanging="397"/>
      </w:pPr>
      <w:rPr>
        <w:rFonts w:hint="default"/>
      </w:rPr>
    </w:lvl>
    <w:lvl w:ilvl="5">
      <w:numFmt w:val="bullet"/>
      <w:lvlText w:val="•"/>
      <w:lvlJc w:val="left"/>
      <w:pPr>
        <w:ind w:left="3911" w:hanging="397"/>
      </w:pPr>
      <w:rPr>
        <w:rFonts w:hint="default"/>
      </w:rPr>
    </w:lvl>
    <w:lvl w:ilvl="6">
      <w:numFmt w:val="bullet"/>
      <w:lvlText w:val="•"/>
      <w:lvlJc w:val="left"/>
      <w:pPr>
        <w:ind w:left="4566" w:hanging="397"/>
      </w:pPr>
      <w:rPr>
        <w:rFonts w:hint="default"/>
      </w:rPr>
    </w:lvl>
    <w:lvl w:ilvl="7">
      <w:numFmt w:val="bullet"/>
      <w:lvlText w:val="•"/>
      <w:lvlJc w:val="left"/>
      <w:pPr>
        <w:ind w:left="5220" w:hanging="397"/>
      </w:pPr>
      <w:rPr>
        <w:rFonts w:hint="default"/>
      </w:rPr>
    </w:lvl>
    <w:lvl w:ilvl="8">
      <w:numFmt w:val="bullet"/>
      <w:lvlText w:val="•"/>
      <w:lvlJc w:val="left"/>
      <w:pPr>
        <w:ind w:left="5875" w:hanging="397"/>
      </w:pPr>
      <w:rPr>
        <w:rFonts w:hint="default"/>
      </w:rPr>
    </w:lvl>
  </w:abstractNum>
  <w:abstractNum w:abstractNumId="165">
    <w:nsid w:val="3F5427D7"/>
    <w:multiLevelType w:val="hybridMultilevel"/>
    <w:tmpl w:val="1BD4EE02"/>
    <w:lvl w:ilvl="0" w:tplc="89D6802A">
      <w:start w:val="2"/>
      <w:numFmt w:val="decimal"/>
      <w:lvlText w:val="%1."/>
      <w:lvlJc w:val="left"/>
      <w:pPr>
        <w:ind w:left="250" w:hanging="284"/>
        <w:jc w:val="left"/>
      </w:pPr>
      <w:rPr>
        <w:rFonts w:ascii="Cambria" w:eastAsia="Cambria" w:hAnsi="Cambria" w:cs="Cambria" w:hint="default"/>
        <w:color w:val="231F20"/>
        <w:spacing w:val="-27"/>
        <w:w w:val="100"/>
        <w:sz w:val="21"/>
        <w:szCs w:val="21"/>
      </w:rPr>
    </w:lvl>
    <w:lvl w:ilvl="1" w:tplc="669CEB36">
      <w:numFmt w:val="bullet"/>
      <w:lvlText w:val="•"/>
      <w:lvlJc w:val="left"/>
      <w:pPr>
        <w:ind w:left="952" w:hanging="284"/>
      </w:pPr>
      <w:rPr>
        <w:rFonts w:hint="default"/>
      </w:rPr>
    </w:lvl>
    <w:lvl w:ilvl="2" w:tplc="33467500">
      <w:numFmt w:val="bullet"/>
      <w:lvlText w:val="•"/>
      <w:lvlJc w:val="left"/>
      <w:pPr>
        <w:ind w:left="1644" w:hanging="284"/>
      </w:pPr>
      <w:rPr>
        <w:rFonts w:hint="default"/>
      </w:rPr>
    </w:lvl>
    <w:lvl w:ilvl="3" w:tplc="F8B4AA4E">
      <w:numFmt w:val="bullet"/>
      <w:lvlText w:val="•"/>
      <w:lvlJc w:val="left"/>
      <w:pPr>
        <w:ind w:left="2337" w:hanging="284"/>
      </w:pPr>
      <w:rPr>
        <w:rFonts w:hint="default"/>
      </w:rPr>
    </w:lvl>
    <w:lvl w:ilvl="4" w:tplc="0EA639D6">
      <w:numFmt w:val="bullet"/>
      <w:lvlText w:val="•"/>
      <w:lvlJc w:val="left"/>
      <w:pPr>
        <w:ind w:left="3029" w:hanging="284"/>
      </w:pPr>
      <w:rPr>
        <w:rFonts w:hint="default"/>
      </w:rPr>
    </w:lvl>
    <w:lvl w:ilvl="5" w:tplc="3F200BEA">
      <w:numFmt w:val="bullet"/>
      <w:lvlText w:val="•"/>
      <w:lvlJc w:val="left"/>
      <w:pPr>
        <w:ind w:left="3721" w:hanging="284"/>
      </w:pPr>
      <w:rPr>
        <w:rFonts w:hint="default"/>
      </w:rPr>
    </w:lvl>
    <w:lvl w:ilvl="6" w:tplc="8A2885C6">
      <w:numFmt w:val="bullet"/>
      <w:lvlText w:val="•"/>
      <w:lvlJc w:val="left"/>
      <w:pPr>
        <w:ind w:left="4414" w:hanging="284"/>
      </w:pPr>
      <w:rPr>
        <w:rFonts w:hint="default"/>
      </w:rPr>
    </w:lvl>
    <w:lvl w:ilvl="7" w:tplc="9D22C652">
      <w:numFmt w:val="bullet"/>
      <w:lvlText w:val="•"/>
      <w:lvlJc w:val="left"/>
      <w:pPr>
        <w:ind w:left="5106" w:hanging="284"/>
      </w:pPr>
      <w:rPr>
        <w:rFonts w:hint="default"/>
      </w:rPr>
    </w:lvl>
    <w:lvl w:ilvl="8" w:tplc="D77AFA50">
      <w:numFmt w:val="bullet"/>
      <w:lvlText w:val="•"/>
      <w:lvlJc w:val="left"/>
      <w:pPr>
        <w:ind w:left="5799" w:hanging="284"/>
      </w:pPr>
      <w:rPr>
        <w:rFonts w:hint="default"/>
      </w:rPr>
    </w:lvl>
  </w:abstractNum>
  <w:abstractNum w:abstractNumId="166">
    <w:nsid w:val="3F962A35"/>
    <w:multiLevelType w:val="hybridMultilevel"/>
    <w:tmpl w:val="BA20084A"/>
    <w:lvl w:ilvl="0" w:tplc="42D2FAF6">
      <w:start w:val="1"/>
      <w:numFmt w:val="decimal"/>
      <w:lvlText w:val="%1."/>
      <w:lvlJc w:val="left"/>
      <w:pPr>
        <w:ind w:left="250" w:hanging="284"/>
        <w:jc w:val="left"/>
      </w:pPr>
      <w:rPr>
        <w:rFonts w:ascii="Cambria" w:eastAsia="Cambria" w:hAnsi="Cambria" w:cs="Cambria" w:hint="default"/>
        <w:color w:val="231F20"/>
        <w:spacing w:val="-15"/>
        <w:w w:val="100"/>
        <w:sz w:val="21"/>
        <w:szCs w:val="21"/>
      </w:rPr>
    </w:lvl>
    <w:lvl w:ilvl="1" w:tplc="6D12C622">
      <w:numFmt w:val="bullet"/>
      <w:lvlText w:val=""/>
      <w:lvlJc w:val="left"/>
      <w:pPr>
        <w:ind w:left="533" w:hanging="284"/>
      </w:pPr>
      <w:rPr>
        <w:rFonts w:ascii="Wingdings" w:eastAsia="Wingdings" w:hAnsi="Wingdings" w:cs="Wingdings" w:hint="default"/>
        <w:color w:val="231F20"/>
        <w:w w:val="100"/>
        <w:sz w:val="21"/>
        <w:szCs w:val="21"/>
      </w:rPr>
    </w:lvl>
    <w:lvl w:ilvl="2" w:tplc="AD58A0AC">
      <w:numFmt w:val="bullet"/>
      <w:lvlText w:val="•"/>
      <w:lvlJc w:val="left"/>
      <w:pPr>
        <w:ind w:left="1278" w:hanging="284"/>
      </w:pPr>
      <w:rPr>
        <w:rFonts w:hint="default"/>
      </w:rPr>
    </w:lvl>
    <w:lvl w:ilvl="3" w:tplc="88BE693C">
      <w:numFmt w:val="bullet"/>
      <w:lvlText w:val="•"/>
      <w:lvlJc w:val="left"/>
      <w:pPr>
        <w:ind w:left="2016" w:hanging="284"/>
      </w:pPr>
      <w:rPr>
        <w:rFonts w:hint="default"/>
      </w:rPr>
    </w:lvl>
    <w:lvl w:ilvl="4" w:tplc="7C4E4740">
      <w:numFmt w:val="bullet"/>
      <w:lvlText w:val="•"/>
      <w:lvlJc w:val="left"/>
      <w:pPr>
        <w:ind w:left="2754" w:hanging="284"/>
      </w:pPr>
      <w:rPr>
        <w:rFonts w:hint="default"/>
      </w:rPr>
    </w:lvl>
    <w:lvl w:ilvl="5" w:tplc="C7D84A26">
      <w:numFmt w:val="bullet"/>
      <w:lvlText w:val="•"/>
      <w:lvlJc w:val="left"/>
      <w:pPr>
        <w:ind w:left="3492" w:hanging="284"/>
      </w:pPr>
      <w:rPr>
        <w:rFonts w:hint="default"/>
      </w:rPr>
    </w:lvl>
    <w:lvl w:ilvl="6" w:tplc="0494EC2E">
      <w:numFmt w:val="bullet"/>
      <w:lvlText w:val="•"/>
      <w:lvlJc w:val="left"/>
      <w:pPr>
        <w:ind w:left="4231" w:hanging="284"/>
      </w:pPr>
      <w:rPr>
        <w:rFonts w:hint="default"/>
      </w:rPr>
    </w:lvl>
    <w:lvl w:ilvl="7" w:tplc="4E2EC468">
      <w:numFmt w:val="bullet"/>
      <w:lvlText w:val="•"/>
      <w:lvlJc w:val="left"/>
      <w:pPr>
        <w:ind w:left="4969" w:hanging="284"/>
      </w:pPr>
      <w:rPr>
        <w:rFonts w:hint="default"/>
      </w:rPr>
    </w:lvl>
    <w:lvl w:ilvl="8" w:tplc="837255D8">
      <w:numFmt w:val="bullet"/>
      <w:lvlText w:val="•"/>
      <w:lvlJc w:val="left"/>
      <w:pPr>
        <w:ind w:left="5707" w:hanging="284"/>
      </w:pPr>
      <w:rPr>
        <w:rFonts w:hint="default"/>
      </w:rPr>
    </w:lvl>
  </w:abstractNum>
  <w:abstractNum w:abstractNumId="167">
    <w:nsid w:val="3FB846A1"/>
    <w:multiLevelType w:val="multilevel"/>
    <w:tmpl w:val="ED0682AC"/>
    <w:lvl w:ilvl="0">
      <w:start w:val="5"/>
      <w:numFmt w:val="decimal"/>
      <w:lvlText w:val="%1"/>
      <w:lvlJc w:val="left"/>
      <w:pPr>
        <w:ind w:left="938" w:hanging="411"/>
        <w:jc w:val="left"/>
      </w:pPr>
      <w:rPr>
        <w:rFonts w:hint="default"/>
      </w:rPr>
    </w:lvl>
    <w:lvl w:ilvl="1">
      <w:start w:val="2"/>
      <w:numFmt w:val="decimal"/>
      <w:lvlText w:val="%1.%2."/>
      <w:lvlJc w:val="left"/>
      <w:pPr>
        <w:ind w:left="938" w:hanging="411"/>
        <w:jc w:val="right"/>
      </w:pPr>
      <w:rPr>
        <w:rFonts w:ascii="Cambria" w:eastAsia="Cambria" w:hAnsi="Cambria" w:cs="Cambria" w:hint="default"/>
        <w:b/>
        <w:bCs/>
        <w:color w:val="231F20"/>
        <w:spacing w:val="-1"/>
        <w:w w:val="100"/>
        <w:sz w:val="22"/>
        <w:szCs w:val="22"/>
      </w:rPr>
    </w:lvl>
    <w:lvl w:ilvl="2">
      <w:start w:val="1"/>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numFmt w:val="bullet"/>
      <w:lvlText w:val="•"/>
      <w:lvlJc w:val="left"/>
      <w:pPr>
        <w:ind w:left="2451" w:hanging="565"/>
      </w:pPr>
      <w:rPr>
        <w:rFonts w:hint="default"/>
      </w:rPr>
    </w:lvl>
    <w:lvl w:ilvl="4">
      <w:numFmt w:val="bullet"/>
      <w:lvlText w:val="•"/>
      <w:lvlJc w:val="left"/>
      <w:pPr>
        <w:ind w:left="3127" w:hanging="565"/>
      </w:pPr>
      <w:rPr>
        <w:rFonts w:hint="default"/>
      </w:rPr>
    </w:lvl>
    <w:lvl w:ilvl="5">
      <w:numFmt w:val="bullet"/>
      <w:lvlText w:val="•"/>
      <w:lvlJc w:val="left"/>
      <w:pPr>
        <w:ind w:left="3803" w:hanging="565"/>
      </w:pPr>
      <w:rPr>
        <w:rFonts w:hint="default"/>
      </w:rPr>
    </w:lvl>
    <w:lvl w:ilvl="6">
      <w:numFmt w:val="bullet"/>
      <w:lvlText w:val="•"/>
      <w:lvlJc w:val="left"/>
      <w:pPr>
        <w:ind w:left="4479" w:hanging="565"/>
      </w:pPr>
      <w:rPr>
        <w:rFonts w:hint="default"/>
      </w:rPr>
    </w:lvl>
    <w:lvl w:ilvl="7">
      <w:numFmt w:val="bullet"/>
      <w:lvlText w:val="•"/>
      <w:lvlJc w:val="left"/>
      <w:pPr>
        <w:ind w:left="5155" w:hanging="565"/>
      </w:pPr>
      <w:rPr>
        <w:rFonts w:hint="default"/>
      </w:rPr>
    </w:lvl>
    <w:lvl w:ilvl="8">
      <w:numFmt w:val="bullet"/>
      <w:lvlText w:val="•"/>
      <w:lvlJc w:val="left"/>
      <w:pPr>
        <w:ind w:left="5831" w:hanging="565"/>
      </w:pPr>
      <w:rPr>
        <w:rFonts w:hint="default"/>
      </w:rPr>
    </w:lvl>
  </w:abstractNum>
  <w:abstractNum w:abstractNumId="168">
    <w:nsid w:val="40053151"/>
    <w:multiLevelType w:val="hybridMultilevel"/>
    <w:tmpl w:val="442A6932"/>
    <w:lvl w:ilvl="0" w:tplc="08341EEC">
      <w:numFmt w:val="bullet"/>
      <w:lvlText w:val=""/>
      <w:lvlJc w:val="left"/>
      <w:pPr>
        <w:ind w:left="250" w:hanging="284"/>
      </w:pPr>
      <w:rPr>
        <w:rFonts w:ascii="Wingdings" w:eastAsia="Wingdings" w:hAnsi="Wingdings" w:cs="Wingdings" w:hint="default"/>
        <w:color w:val="231F20"/>
        <w:w w:val="100"/>
        <w:sz w:val="21"/>
        <w:szCs w:val="21"/>
      </w:rPr>
    </w:lvl>
    <w:lvl w:ilvl="1" w:tplc="BC8E3840">
      <w:numFmt w:val="bullet"/>
      <w:lvlText w:val=""/>
      <w:lvlJc w:val="left"/>
      <w:pPr>
        <w:ind w:left="533" w:hanging="284"/>
      </w:pPr>
      <w:rPr>
        <w:rFonts w:ascii="Wingdings" w:eastAsia="Wingdings" w:hAnsi="Wingdings" w:cs="Wingdings" w:hint="default"/>
        <w:color w:val="231F20"/>
        <w:w w:val="100"/>
        <w:sz w:val="21"/>
        <w:szCs w:val="21"/>
      </w:rPr>
    </w:lvl>
    <w:lvl w:ilvl="2" w:tplc="7BB42BF2">
      <w:numFmt w:val="bullet"/>
      <w:lvlText w:val="•"/>
      <w:lvlJc w:val="left"/>
      <w:pPr>
        <w:ind w:left="1278" w:hanging="284"/>
      </w:pPr>
      <w:rPr>
        <w:rFonts w:hint="default"/>
      </w:rPr>
    </w:lvl>
    <w:lvl w:ilvl="3" w:tplc="27EAC92E">
      <w:numFmt w:val="bullet"/>
      <w:lvlText w:val="•"/>
      <w:lvlJc w:val="left"/>
      <w:pPr>
        <w:ind w:left="2016" w:hanging="284"/>
      </w:pPr>
      <w:rPr>
        <w:rFonts w:hint="default"/>
      </w:rPr>
    </w:lvl>
    <w:lvl w:ilvl="4" w:tplc="A0C43184">
      <w:numFmt w:val="bullet"/>
      <w:lvlText w:val="•"/>
      <w:lvlJc w:val="left"/>
      <w:pPr>
        <w:ind w:left="2754" w:hanging="284"/>
      </w:pPr>
      <w:rPr>
        <w:rFonts w:hint="default"/>
      </w:rPr>
    </w:lvl>
    <w:lvl w:ilvl="5" w:tplc="07A8166A">
      <w:numFmt w:val="bullet"/>
      <w:lvlText w:val="•"/>
      <w:lvlJc w:val="left"/>
      <w:pPr>
        <w:ind w:left="3492" w:hanging="284"/>
      </w:pPr>
      <w:rPr>
        <w:rFonts w:hint="default"/>
      </w:rPr>
    </w:lvl>
    <w:lvl w:ilvl="6" w:tplc="22F6A552">
      <w:numFmt w:val="bullet"/>
      <w:lvlText w:val="•"/>
      <w:lvlJc w:val="left"/>
      <w:pPr>
        <w:ind w:left="4231" w:hanging="284"/>
      </w:pPr>
      <w:rPr>
        <w:rFonts w:hint="default"/>
      </w:rPr>
    </w:lvl>
    <w:lvl w:ilvl="7" w:tplc="D53628BC">
      <w:numFmt w:val="bullet"/>
      <w:lvlText w:val="•"/>
      <w:lvlJc w:val="left"/>
      <w:pPr>
        <w:ind w:left="4969" w:hanging="284"/>
      </w:pPr>
      <w:rPr>
        <w:rFonts w:hint="default"/>
      </w:rPr>
    </w:lvl>
    <w:lvl w:ilvl="8" w:tplc="2C8A127E">
      <w:numFmt w:val="bullet"/>
      <w:lvlText w:val="•"/>
      <w:lvlJc w:val="left"/>
      <w:pPr>
        <w:ind w:left="5707" w:hanging="284"/>
      </w:pPr>
      <w:rPr>
        <w:rFonts w:hint="default"/>
      </w:rPr>
    </w:lvl>
  </w:abstractNum>
  <w:abstractNum w:abstractNumId="169">
    <w:nsid w:val="402F1CD8"/>
    <w:multiLevelType w:val="hybridMultilevel"/>
    <w:tmpl w:val="834EEEF2"/>
    <w:lvl w:ilvl="0" w:tplc="5E9277D2">
      <w:start w:val="3"/>
      <w:numFmt w:val="decimal"/>
      <w:lvlText w:val="%1."/>
      <w:lvlJc w:val="left"/>
      <w:pPr>
        <w:ind w:left="250" w:hanging="284"/>
        <w:jc w:val="left"/>
      </w:pPr>
      <w:rPr>
        <w:rFonts w:ascii="Cambria" w:eastAsia="Cambria" w:hAnsi="Cambria" w:cs="Cambria" w:hint="default"/>
        <w:color w:val="231F20"/>
        <w:spacing w:val="-15"/>
        <w:w w:val="100"/>
        <w:sz w:val="21"/>
        <w:szCs w:val="21"/>
      </w:rPr>
    </w:lvl>
    <w:lvl w:ilvl="1" w:tplc="0E7A9A62">
      <w:numFmt w:val="bullet"/>
      <w:lvlText w:val="•"/>
      <w:lvlJc w:val="left"/>
      <w:pPr>
        <w:ind w:left="952" w:hanging="284"/>
      </w:pPr>
      <w:rPr>
        <w:rFonts w:hint="default"/>
      </w:rPr>
    </w:lvl>
    <w:lvl w:ilvl="2" w:tplc="288E47A2">
      <w:numFmt w:val="bullet"/>
      <w:lvlText w:val="•"/>
      <w:lvlJc w:val="left"/>
      <w:pPr>
        <w:ind w:left="1644" w:hanging="284"/>
      </w:pPr>
      <w:rPr>
        <w:rFonts w:hint="default"/>
      </w:rPr>
    </w:lvl>
    <w:lvl w:ilvl="3" w:tplc="68DACF5E">
      <w:numFmt w:val="bullet"/>
      <w:lvlText w:val="•"/>
      <w:lvlJc w:val="left"/>
      <w:pPr>
        <w:ind w:left="2337" w:hanging="284"/>
      </w:pPr>
      <w:rPr>
        <w:rFonts w:hint="default"/>
      </w:rPr>
    </w:lvl>
    <w:lvl w:ilvl="4" w:tplc="C948858A">
      <w:numFmt w:val="bullet"/>
      <w:lvlText w:val="•"/>
      <w:lvlJc w:val="left"/>
      <w:pPr>
        <w:ind w:left="3029" w:hanging="284"/>
      </w:pPr>
      <w:rPr>
        <w:rFonts w:hint="default"/>
      </w:rPr>
    </w:lvl>
    <w:lvl w:ilvl="5" w:tplc="9A88C25A">
      <w:numFmt w:val="bullet"/>
      <w:lvlText w:val="•"/>
      <w:lvlJc w:val="left"/>
      <w:pPr>
        <w:ind w:left="3721" w:hanging="284"/>
      </w:pPr>
      <w:rPr>
        <w:rFonts w:hint="default"/>
      </w:rPr>
    </w:lvl>
    <w:lvl w:ilvl="6" w:tplc="75F81122">
      <w:numFmt w:val="bullet"/>
      <w:lvlText w:val="•"/>
      <w:lvlJc w:val="left"/>
      <w:pPr>
        <w:ind w:left="4414" w:hanging="284"/>
      </w:pPr>
      <w:rPr>
        <w:rFonts w:hint="default"/>
      </w:rPr>
    </w:lvl>
    <w:lvl w:ilvl="7" w:tplc="A0D6A656">
      <w:numFmt w:val="bullet"/>
      <w:lvlText w:val="•"/>
      <w:lvlJc w:val="left"/>
      <w:pPr>
        <w:ind w:left="5106" w:hanging="284"/>
      </w:pPr>
      <w:rPr>
        <w:rFonts w:hint="default"/>
      </w:rPr>
    </w:lvl>
    <w:lvl w:ilvl="8" w:tplc="9C9EC380">
      <w:numFmt w:val="bullet"/>
      <w:lvlText w:val="•"/>
      <w:lvlJc w:val="left"/>
      <w:pPr>
        <w:ind w:left="5799" w:hanging="284"/>
      </w:pPr>
      <w:rPr>
        <w:rFonts w:hint="default"/>
      </w:rPr>
    </w:lvl>
  </w:abstractNum>
  <w:abstractNum w:abstractNumId="170">
    <w:nsid w:val="408A38CC"/>
    <w:multiLevelType w:val="hybridMultilevel"/>
    <w:tmpl w:val="2F86B39E"/>
    <w:lvl w:ilvl="0" w:tplc="6690037C">
      <w:start w:val="8"/>
      <w:numFmt w:val="decimal"/>
      <w:lvlText w:val="%1."/>
      <w:lvlJc w:val="left"/>
      <w:pPr>
        <w:ind w:left="250" w:hanging="284"/>
        <w:jc w:val="left"/>
      </w:pPr>
      <w:rPr>
        <w:rFonts w:ascii="Cambria" w:eastAsia="Cambria" w:hAnsi="Cambria" w:cs="Cambria" w:hint="default"/>
        <w:color w:val="231F20"/>
        <w:spacing w:val="-27"/>
        <w:w w:val="100"/>
        <w:sz w:val="21"/>
        <w:szCs w:val="21"/>
      </w:rPr>
    </w:lvl>
    <w:lvl w:ilvl="1" w:tplc="18DE7D24">
      <w:numFmt w:val="bullet"/>
      <w:lvlText w:val="•"/>
      <w:lvlJc w:val="left"/>
      <w:pPr>
        <w:ind w:left="533" w:hanging="284"/>
      </w:pPr>
      <w:rPr>
        <w:rFonts w:ascii="Cambria" w:eastAsia="Cambria" w:hAnsi="Cambria" w:cs="Cambria" w:hint="default"/>
        <w:color w:val="231F20"/>
        <w:spacing w:val="-6"/>
        <w:w w:val="100"/>
        <w:sz w:val="21"/>
        <w:szCs w:val="21"/>
      </w:rPr>
    </w:lvl>
    <w:lvl w:ilvl="2" w:tplc="395CCDC2">
      <w:numFmt w:val="bullet"/>
      <w:lvlText w:val="•"/>
      <w:lvlJc w:val="left"/>
      <w:pPr>
        <w:ind w:left="1278" w:hanging="284"/>
      </w:pPr>
      <w:rPr>
        <w:rFonts w:hint="default"/>
      </w:rPr>
    </w:lvl>
    <w:lvl w:ilvl="3" w:tplc="01AEBFB2">
      <w:numFmt w:val="bullet"/>
      <w:lvlText w:val="•"/>
      <w:lvlJc w:val="left"/>
      <w:pPr>
        <w:ind w:left="2016" w:hanging="284"/>
      </w:pPr>
      <w:rPr>
        <w:rFonts w:hint="default"/>
      </w:rPr>
    </w:lvl>
    <w:lvl w:ilvl="4" w:tplc="B8DA10C2">
      <w:numFmt w:val="bullet"/>
      <w:lvlText w:val="•"/>
      <w:lvlJc w:val="left"/>
      <w:pPr>
        <w:ind w:left="2754" w:hanging="284"/>
      </w:pPr>
      <w:rPr>
        <w:rFonts w:hint="default"/>
      </w:rPr>
    </w:lvl>
    <w:lvl w:ilvl="5" w:tplc="695EACEC">
      <w:numFmt w:val="bullet"/>
      <w:lvlText w:val="•"/>
      <w:lvlJc w:val="left"/>
      <w:pPr>
        <w:ind w:left="3492" w:hanging="284"/>
      </w:pPr>
      <w:rPr>
        <w:rFonts w:hint="default"/>
      </w:rPr>
    </w:lvl>
    <w:lvl w:ilvl="6" w:tplc="532E9D88">
      <w:numFmt w:val="bullet"/>
      <w:lvlText w:val="•"/>
      <w:lvlJc w:val="left"/>
      <w:pPr>
        <w:ind w:left="4231" w:hanging="284"/>
      </w:pPr>
      <w:rPr>
        <w:rFonts w:hint="default"/>
      </w:rPr>
    </w:lvl>
    <w:lvl w:ilvl="7" w:tplc="07B0293A">
      <w:numFmt w:val="bullet"/>
      <w:lvlText w:val="•"/>
      <w:lvlJc w:val="left"/>
      <w:pPr>
        <w:ind w:left="4969" w:hanging="284"/>
      </w:pPr>
      <w:rPr>
        <w:rFonts w:hint="default"/>
      </w:rPr>
    </w:lvl>
    <w:lvl w:ilvl="8" w:tplc="0C1E173C">
      <w:numFmt w:val="bullet"/>
      <w:lvlText w:val="•"/>
      <w:lvlJc w:val="left"/>
      <w:pPr>
        <w:ind w:left="5707" w:hanging="284"/>
      </w:pPr>
      <w:rPr>
        <w:rFonts w:hint="default"/>
      </w:rPr>
    </w:lvl>
  </w:abstractNum>
  <w:abstractNum w:abstractNumId="171">
    <w:nsid w:val="40D314D0"/>
    <w:multiLevelType w:val="multilevel"/>
    <w:tmpl w:val="763C6CEC"/>
    <w:lvl w:ilvl="0">
      <w:start w:val="6"/>
      <w:numFmt w:val="decimal"/>
      <w:lvlText w:val="%1"/>
      <w:lvlJc w:val="left"/>
      <w:pPr>
        <w:ind w:left="930" w:hanging="397"/>
        <w:jc w:val="left"/>
      </w:pPr>
      <w:rPr>
        <w:rFonts w:hint="default"/>
      </w:rPr>
    </w:lvl>
    <w:lvl w:ilvl="1">
      <w:start w:val="1"/>
      <w:numFmt w:val="decimal"/>
      <w:lvlText w:val="%1.%2."/>
      <w:lvlJc w:val="left"/>
      <w:pPr>
        <w:ind w:left="930" w:hanging="397"/>
        <w:jc w:val="right"/>
      </w:pPr>
      <w:rPr>
        <w:rFonts w:ascii="Cambria" w:eastAsia="Cambria" w:hAnsi="Cambria" w:cs="Cambria" w:hint="default"/>
        <w:b/>
        <w:bCs/>
        <w:color w:val="231F20"/>
        <w:spacing w:val="-1"/>
        <w:w w:val="100"/>
        <w:sz w:val="21"/>
        <w:szCs w:val="21"/>
      </w:rPr>
    </w:lvl>
    <w:lvl w:ilvl="2">
      <w:start w:val="1"/>
      <w:numFmt w:val="decimal"/>
      <w:lvlText w:val="%1.%2.%3."/>
      <w:lvlJc w:val="left"/>
      <w:pPr>
        <w:ind w:left="1497" w:hanging="567"/>
        <w:jc w:val="left"/>
      </w:pPr>
      <w:rPr>
        <w:rFonts w:ascii="Cambria" w:eastAsia="Cambria" w:hAnsi="Cambria" w:cs="Cambria" w:hint="default"/>
        <w:color w:val="231F20"/>
        <w:spacing w:val="-4"/>
        <w:w w:val="81"/>
        <w:sz w:val="21"/>
        <w:szCs w:val="21"/>
      </w:rPr>
    </w:lvl>
    <w:lvl w:ilvl="3">
      <w:numFmt w:val="bullet"/>
      <w:lvlText w:val="•"/>
      <w:lvlJc w:val="left"/>
      <w:pPr>
        <w:ind w:left="2210" w:hanging="567"/>
      </w:pPr>
      <w:rPr>
        <w:rFonts w:hint="default"/>
      </w:rPr>
    </w:lvl>
    <w:lvl w:ilvl="4">
      <w:numFmt w:val="bullet"/>
      <w:lvlText w:val="•"/>
      <w:lvlJc w:val="left"/>
      <w:pPr>
        <w:ind w:left="2920" w:hanging="567"/>
      </w:pPr>
      <w:rPr>
        <w:rFonts w:hint="default"/>
      </w:rPr>
    </w:lvl>
    <w:lvl w:ilvl="5">
      <w:numFmt w:val="bullet"/>
      <w:lvlText w:val="•"/>
      <w:lvlJc w:val="left"/>
      <w:pPr>
        <w:ind w:left="3631" w:hanging="567"/>
      </w:pPr>
      <w:rPr>
        <w:rFonts w:hint="default"/>
      </w:rPr>
    </w:lvl>
    <w:lvl w:ilvl="6">
      <w:numFmt w:val="bullet"/>
      <w:lvlText w:val="•"/>
      <w:lvlJc w:val="left"/>
      <w:pPr>
        <w:ind w:left="4341" w:hanging="567"/>
      </w:pPr>
      <w:rPr>
        <w:rFonts w:hint="default"/>
      </w:rPr>
    </w:lvl>
    <w:lvl w:ilvl="7">
      <w:numFmt w:val="bullet"/>
      <w:lvlText w:val="•"/>
      <w:lvlJc w:val="left"/>
      <w:pPr>
        <w:ind w:left="5052" w:hanging="567"/>
      </w:pPr>
      <w:rPr>
        <w:rFonts w:hint="default"/>
      </w:rPr>
    </w:lvl>
    <w:lvl w:ilvl="8">
      <w:numFmt w:val="bullet"/>
      <w:lvlText w:val="•"/>
      <w:lvlJc w:val="left"/>
      <w:pPr>
        <w:ind w:left="5762" w:hanging="567"/>
      </w:pPr>
      <w:rPr>
        <w:rFonts w:hint="default"/>
      </w:rPr>
    </w:lvl>
  </w:abstractNum>
  <w:abstractNum w:abstractNumId="172">
    <w:nsid w:val="40ED18A7"/>
    <w:multiLevelType w:val="hybridMultilevel"/>
    <w:tmpl w:val="F7C29914"/>
    <w:lvl w:ilvl="0" w:tplc="2DC4265C">
      <w:numFmt w:val="bullet"/>
      <w:lvlText w:val=""/>
      <w:lvlJc w:val="left"/>
      <w:pPr>
        <w:ind w:left="533" w:hanging="284"/>
      </w:pPr>
      <w:rPr>
        <w:rFonts w:ascii="Wingdings" w:eastAsia="Wingdings" w:hAnsi="Wingdings" w:cs="Wingdings" w:hint="default"/>
        <w:color w:val="231F20"/>
        <w:w w:val="100"/>
        <w:sz w:val="21"/>
        <w:szCs w:val="21"/>
      </w:rPr>
    </w:lvl>
    <w:lvl w:ilvl="1" w:tplc="1B44806A">
      <w:numFmt w:val="bullet"/>
      <w:lvlText w:val="•"/>
      <w:lvlJc w:val="left"/>
      <w:pPr>
        <w:ind w:left="1204" w:hanging="284"/>
      </w:pPr>
      <w:rPr>
        <w:rFonts w:hint="default"/>
      </w:rPr>
    </w:lvl>
    <w:lvl w:ilvl="2" w:tplc="D65E4AF0">
      <w:numFmt w:val="bullet"/>
      <w:lvlText w:val="•"/>
      <w:lvlJc w:val="left"/>
      <w:pPr>
        <w:ind w:left="1868" w:hanging="284"/>
      </w:pPr>
      <w:rPr>
        <w:rFonts w:hint="default"/>
      </w:rPr>
    </w:lvl>
    <w:lvl w:ilvl="3" w:tplc="68A290B2">
      <w:numFmt w:val="bullet"/>
      <w:lvlText w:val="•"/>
      <w:lvlJc w:val="left"/>
      <w:pPr>
        <w:ind w:left="2533" w:hanging="284"/>
      </w:pPr>
      <w:rPr>
        <w:rFonts w:hint="default"/>
      </w:rPr>
    </w:lvl>
    <w:lvl w:ilvl="4" w:tplc="79D8B8B0">
      <w:numFmt w:val="bullet"/>
      <w:lvlText w:val="•"/>
      <w:lvlJc w:val="left"/>
      <w:pPr>
        <w:ind w:left="3197" w:hanging="284"/>
      </w:pPr>
      <w:rPr>
        <w:rFonts w:hint="default"/>
      </w:rPr>
    </w:lvl>
    <w:lvl w:ilvl="5" w:tplc="F0429CFC">
      <w:numFmt w:val="bullet"/>
      <w:lvlText w:val="•"/>
      <w:lvlJc w:val="left"/>
      <w:pPr>
        <w:ind w:left="3861" w:hanging="284"/>
      </w:pPr>
      <w:rPr>
        <w:rFonts w:hint="default"/>
      </w:rPr>
    </w:lvl>
    <w:lvl w:ilvl="6" w:tplc="E774F5FC">
      <w:numFmt w:val="bullet"/>
      <w:lvlText w:val="•"/>
      <w:lvlJc w:val="left"/>
      <w:pPr>
        <w:ind w:left="4526" w:hanging="284"/>
      </w:pPr>
      <w:rPr>
        <w:rFonts w:hint="default"/>
      </w:rPr>
    </w:lvl>
    <w:lvl w:ilvl="7" w:tplc="6BA868B8">
      <w:numFmt w:val="bullet"/>
      <w:lvlText w:val="•"/>
      <w:lvlJc w:val="left"/>
      <w:pPr>
        <w:ind w:left="5190" w:hanging="284"/>
      </w:pPr>
      <w:rPr>
        <w:rFonts w:hint="default"/>
      </w:rPr>
    </w:lvl>
    <w:lvl w:ilvl="8" w:tplc="EEC0D67A">
      <w:numFmt w:val="bullet"/>
      <w:lvlText w:val="•"/>
      <w:lvlJc w:val="left"/>
      <w:pPr>
        <w:ind w:left="5855" w:hanging="284"/>
      </w:pPr>
      <w:rPr>
        <w:rFonts w:hint="default"/>
      </w:rPr>
    </w:lvl>
  </w:abstractNum>
  <w:abstractNum w:abstractNumId="173">
    <w:nsid w:val="414A0447"/>
    <w:multiLevelType w:val="hybridMultilevel"/>
    <w:tmpl w:val="A372BE76"/>
    <w:lvl w:ilvl="0" w:tplc="6944C23E">
      <w:start w:val="6"/>
      <w:numFmt w:val="decimal"/>
      <w:lvlText w:val="%1)"/>
      <w:lvlJc w:val="left"/>
      <w:pPr>
        <w:ind w:left="533" w:hanging="284"/>
        <w:jc w:val="left"/>
      </w:pPr>
      <w:rPr>
        <w:rFonts w:ascii="Cambria" w:eastAsia="Cambria" w:hAnsi="Cambria" w:cs="Cambria" w:hint="default"/>
        <w:color w:val="231F20"/>
        <w:spacing w:val="-6"/>
        <w:w w:val="100"/>
        <w:sz w:val="21"/>
        <w:szCs w:val="21"/>
      </w:rPr>
    </w:lvl>
    <w:lvl w:ilvl="1" w:tplc="4CEEDE72">
      <w:numFmt w:val="bullet"/>
      <w:lvlText w:val="•"/>
      <w:lvlJc w:val="left"/>
      <w:pPr>
        <w:ind w:left="1204" w:hanging="284"/>
      </w:pPr>
      <w:rPr>
        <w:rFonts w:hint="default"/>
      </w:rPr>
    </w:lvl>
    <w:lvl w:ilvl="2" w:tplc="387EBE30">
      <w:numFmt w:val="bullet"/>
      <w:lvlText w:val="•"/>
      <w:lvlJc w:val="left"/>
      <w:pPr>
        <w:ind w:left="1868" w:hanging="284"/>
      </w:pPr>
      <w:rPr>
        <w:rFonts w:hint="default"/>
      </w:rPr>
    </w:lvl>
    <w:lvl w:ilvl="3" w:tplc="AB9E693E">
      <w:numFmt w:val="bullet"/>
      <w:lvlText w:val="•"/>
      <w:lvlJc w:val="left"/>
      <w:pPr>
        <w:ind w:left="2533" w:hanging="284"/>
      </w:pPr>
      <w:rPr>
        <w:rFonts w:hint="default"/>
      </w:rPr>
    </w:lvl>
    <w:lvl w:ilvl="4" w:tplc="D8DAB136">
      <w:numFmt w:val="bullet"/>
      <w:lvlText w:val="•"/>
      <w:lvlJc w:val="left"/>
      <w:pPr>
        <w:ind w:left="3197" w:hanging="284"/>
      </w:pPr>
      <w:rPr>
        <w:rFonts w:hint="default"/>
      </w:rPr>
    </w:lvl>
    <w:lvl w:ilvl="5" w:tplc="F39E764A">
      <w:numFmt w:val="bullet"/>
      <w:lvlText w:val="•"/>
      <w:lvlJc w:val="left"/>
      <w:pPr>
        <w:ind w:left="3861" w:hanging="284"/>
      </w:pPr>
      <w:rPr>
        <w:rFonts w:hint="default"/>
      </w:rPr>
    </w:lvl>
    <w:lvl w:ilvl="6" w:tplc="8F4487FC">
      <w:numFmt w:val="bullet"/>
      <w:lvlText w:val="•"/>
      <w:lvlJc w:val="left"/>
      <w:pPr>
        <w:ind w:left="4526" w:hanging="284"/>
      </w:pPr>
      <w:rPr>
        <w:rFonts w:hint="default"/>
      </w:rPr>
    </w:lvl>
    <w:lvl w:ilvl="7" w:tplc="3A3446C2">
      <w:numFmt w:val="bullet"/>
      <w:lvlText w:val="•"/>
      <w:lvlJc w:val="left"/>
      <w:pPr>
        <w:ind w:left="5190" w:hanging="284"/>
      </w:pPr>
      <w:rPr>
        <w:rFonts w:hint="default"/>
      </w:rPr>
    </w:lvl>
    <w:lvl w:ilvl="8" w:tplc="DCF6804C">
      <w:numFmt w:val="bullet"/>
      <w:lvlText w:val="•"/>
      <w:lvlJc w:val="left"/>
      <w:pPr>
        <w:ind w:left="5855" w:hanging="284"/>
      </w:pPr>
      <w:rPr>
        <w:rFonts w:hint="default"/>
      </w:rPr>
    </w:lvl>
  </w:abstractNum>
  <w:abstractNum w:abstractNumId="174">
    <w:nsid w:val="416D25DD"/>
    <w:multiLevelType w:val="hybridMultilevel"/>
    <w:tmpl w:val="9DE02866"/>
    <w:lvl w:ilvl="0" w:tplc="4534712C">
      <w:start w:val="1"/>
      <w:numFmt w:val="decimal"/>
      <w:lvlText w:val="%1)"/>
      <w:lvlJc w:val="left"/>
      <w:pPr>
        <w:ind w:left="533" w:hanging="284"/>
        <w:jc w:val="left"/>
      </w:pPr>
      <w:rPr>
        <w:rFonts w:ascii="Cambria" w:eastAsia="Cambria" w:hAnsi="Cambria" w:cs="Cambria" w:hint="default"/>
        <w:color w:val="231F20"/>
        <w:spacing w:val="-13"/>
        <w:w w:val="100"/>
        <w:sz w:val="21"/>
        <w:szCs w:val="21"/>
      </w:rPr>
    </w:lvl>
    <w:lvl w:ilvl="1" w:tplc="30C452BE">
      <w:numFmt w:val="bullet"/>
      <w:lvlText w:val="•"/>
      <w:lvlJc w:val="left"/>
      <w:pPr>
        <w:ind w:left="1204" w:hanging="284"/>
      </w:pPr>
      <w:rPr>
        <w:rFonts w:hint="default"/>
      </w:rPr>
    </w:lvl>
    <w:lvl w:ilvl="2" w:tplc="CFD25250">
      <w:numFmt w:val="bullet"/>
      <w:lvlText w:val="•"/>
      <w:lvlJc w:val="left"/>
      <w:pPr>
        <w:ind w:left="1868" w:hanging="284"/>
      </w:pPr>
      <w:rPr>
        <w:rFonts w:hint="default"/>
      </w:rPr>
    </w:lvl>
    <w:lvl w:ilvl="3" w:tplc="3310486E">
      <w:numFmt w:val="bullet"/>
      <w:lvlText w:val="•"/>
      <w:lvlJc w:val="left"/>
      <w:pPr>
        <w:ind w:left="2533" w:hanging="284"/>
      </w:pPr>
      <w:rPr>
        <w:rFonts w:hint="default"/>
      </w:rPr>
    </w:lvl>
    <w:lvl w:ilvl="4" w:tplc="1D5C9B46">
      <w:numFmt w:val="bullet"/>
      <w:lvlText w:val="•"/>
      <w:lvlJc w:val="left"/>
      <w:pPr>
        <w:ind w:left="3197" w:hanging="284"/>
      </w:pPr>
      <w:rPr>
        <w:rFonts w:hint="default"/>
      </w:rPr>
    </w:lvl>
    <w:lvl w:ilvl="5" w:tplc="4CBE7F42">
      <w:numFmt w:val="bullet"/>
      <w:lvlText w:val="•"/>
      <w:lvlJc w:val="left"/>
      <w:pPr>
        <w:ind w:left="3861" w:hanging="284"/>
      </w:pPr>
      <w:rPr>
        <w:rFonts w:hint="default"/>
      </w:rPr>
    </w:lvl>
    <w:lvl w:ilvl="6" w:tplc="AD1EF972">
      <w:numFmt w:val="bullet"/>
      <w:lvlText w:val="•"/>
      <w:lvlJc w:val="left"/>
      <w:pPr>
        <w:ind w:left="4526" w:hanging="284"/>
      </w:pPr>
      <w:rPr>
        <w:rFonts w:hint="default"/>
      </w:rPr>
    </w:lvl>
    <w:lvl w:ilvl="7" w:tplc="42B21224">
      <w:numFmt w:val="bullet"/>
      <w:lvlText w:val="•"/>
      <w:lvlJc w:val="left"/>
      <w:pPr>
        <w:ind w:left="5190" w:hanging="284"/>
      </w:pPr>
      <w:rPr>
        <w:rFonts w:hint="default"/>
      </w:rPr>
    </w:lvl>
    <w:lvl w:ilvl="8" w:tplc="6A68B208">
      <w:numFmt w:val="bullet"/>
      <w:lvlText w:val="•"/>
      <w:lvlJc w:val="left"/>
      <w:pPr>
        <w:ind w:left="5855" w:hanging="284"/>
      </w:pPr>
      <w:rPr>
        <w:rFonts w:hint="default"/>
      </w:rPr>
    </w:lvl>
  </w:abstractNum>
  <w:abstractNum w:abstractNumId="175">
    <w:nsid w:val="41AD4AF1"/>
    <w:multiLevelType w:val="hybridMultilevel"/>
    <w:tmpl w:val="7E62DB82"/>
    <w:lvl w:ilvl="0" w:tplc="AAE8F3FE">
      <w:numFmt w:val="bullet"/>
      <w:lvlText w:val=""/>
      <w:lvlJc w:val="left"/>
      <w:pPr>
        <w:ind w:left="533" w:hanging="284"/>
      </w:pPr>
      <w:rPr>
        <w:rFonts w:ascii="Wingdings" w:eastAsia="Wingdings" w:hAnsi="Wingdings" w:cs="Wingdings" w:hint="default"/>
        <w:color w:val="231F20"/>
        <w:w w:val="100"/>
        <w:sz w:val="21"/>
        <w:szCs w:val="21"/>
      </w:rPr>
    </w:lvl>
    <w:lvl w:ilvl="1" w:tplc="F3B61D70">
      <w:numFmt w:val="bullet"/>
      <w:lvlText w:val="•"/>
      <w:lvlJc w:val="left"/>
      <w:pPr>
        <w:ind w:left="1204" w:hanging="284"/>
      </w:pPr>
      <w:rPr>
        <w:rFonts w:hint="default"/>
      </w:rPr>
    </w:lvl>
    <w:lvl w:ilvl="2" w:tplc="CC8A61DC">
      <w:numFmt w:val="bullet"/>
      <w:lvlText w:val="•"/>
      <w:lvlJc w:val="left"/>
      <w:pPr>
        <w:ind w:left="1868" w:hanging="284"/>
      </w:pPr>
      <w:rPr>
        <w:rFonts w:hint="default"/>
      </w:rPr>
    </w:lvl>
    <w:lvl w:ilvl="3" w:tplc="C3D8EE28">
      <w:numFmt w:val="bullet"/>
      <w:lvlText w:val="•"/>
      <w:lvlJc w:val="left"/>
      <w:pPr>
        <w:ind w:left="2533" w:hanging="284"/>
      </w:pPr>
      <w:rPr>
        <w:rFonts w:hint="default"/>
      </w:rPr>
    </w:lvl>
    <w:lvl w:ilvl="4" w:tplc="FDD21280">
      <w:numFmt w:val="bullet"/>
      <w:lvlText w:val="•"/>
      <w:lvlJc w:val="left"/>
      <w:pPr>
        <w:ind w:left="3197" w:hanging="284"/>
      </w:pPr>
      <w:rPr>
        <w:rFonts w:hint="default"/>
      </w:rPr>
    </w:lvl>
    <w:lvl w:ilvl="5" w:tplc="10CA53EA">
      <w:numFmt w:val="bullet"/>
      <w:lvlText w:val="•"/>
      <w:lvlJc w:val="left"/>
      <w:pPr>
        <w:ind w:left="3861" w:hanging="284"/>
      </w:pPr>
      <w:rPr>
        <w:rFonts w:hint="default"/>
      </w:rPr>
    </w:lvl>
    <w:lvl w:ilvl="6" w:tplc="91FCF9A2">
      <w:numFmt w:val="bullet"/>
      <w:lvlText w:val="•"/>
      <w:lvlJc w:val="left"/>
      <w:pPr>
        <w:ind w:left="4526" w:hanging="284"/>
      </w:pPr>
      <w:rPr>
        <w:rFonts w:hint="default"/>
      </w:rPr>
    </w:lvl>
    <w:lvl w:ilvl="7" w:tplc="7654D008">
      <w:numFmt w:val="bullet"/>
      <w:lvlText w:val="•"/>
      <w:lvlJc w:val="left"/>
      <w:pPr>
        <w:ind w:left="5190" w:hanging="284"/>
      </w:pPr>
      <w:rPr>
        <w:rFonts w:hint="default"/>
      </w:rPr>
    </w:lvl>
    <w:lvl w:ilvl="8" w:tplc="463E41C4">
      <w:numFmt w:val="bullet"/>
      <w:lvlText w:val="•"/>
      <w:lvlJc w:val="left"/>
      <w:pPr>
        <w:ind w:left="5855" w:hanging="284"/>
      </w:pPr>
      <w:rPr>
        <w:rFonts w:hint="default"/>
      </w:rPr>
    </w:lvl>
  </w:abstractNum>
  <w:abstractNum w:abstractNumId="176">
    <w:nsid w:val="41C30703"/>
    <w:multiLevelType w:val="hybridMultilevel"/>
    <w:tmpl w:val="4C9EA2B4"/>
    <w:lvl w:ilvl="0" w:tplc="4BE64F2A">
      <w:start w:val="2"/>
      <w:numFmt w:val="decimal"/>
      <w:lvlText w:val="%1)"/>
      <w:lvlJc w:val="left"/>
      <w:pPr>
        <w:ind w:left="250" w:hanging="284"/>
        <w:jc w:val="left"/>
      </w:pPr>
      <w:rPr>
        <w:rFonts w:ascii="Cambria" w:eastAsia="Cambria" w:hAnsi="Cambria" w:cs="Cambria" w:hint="default"/>
        <w:color w:val="231F20"/>
        <w:spacing w:val="-14"/>
        <w:w w:val="100"/>
        <w:sz w:val="21"/>
        <w:szCs w:val="21"/>
      </w:rPr>
    </w:lvl>
    <w:lvl w:ilvl="1" w:tplc="5F720D52">
      <w:numFmt w:val="bullet"/>
      <w:lvlText w:val="–"/>
      <w:lvlJc w:val="left"/>
      <w:pPr>
        <w:ind w:left="533" w:hanging="284"/>
      </w:pPr>
      <w:rPr>
        <w:rFonts w:ascii="Cambria" w:eastAsia="Cambria" w:hAnsi="Cambria" w:cs="Cambria" w:hint="default"/>
        <w:color w:val="231F20"/>
        <w:spacing w:val="-23"/>
        <w:w w:val="100"/>
        <w:sz w:val="21"/>
        <w:szCs w:val="21"/>
      </w:rPr>
    </w:lvl>
    <w:lvl w:ilvl="2" w:tplc="49106B88">
      <w:numFmt w:val="bullet"/>
      <w:lvlText w:val="•"/>
      <w:lvlJc w:val="left"/>
      <w:pPr>
        <w:ind w:left="1278" w:hanging="284"/>
      </w:pPr>
      <w:rPr>
        <w:rFonts w:hint="default"/>
      </w:rPr>
    </w:lvl>
    <w:lvl w:ilvl="3" w:tplc="AFF6FA04">
      <w:numFmt w:val="bullet"/>
      <w:lvlText w:val="•"/>
      <w:lvlJc w:val="left"/>
      <w:pPr>
        <w:ind w:left="2016" w:hanging="284"/>
      </w:pPr>
      <w:rPr>
        <w:rFonts w:hint="default"/>
      </w:rPr>
    </w:lvl>
    <w:lvl w:ilvl="4" w:tplc="F8EAC6F4">
      <w:numFmt w:val="bullet"/>
      <w:lvlText w:val="•"/>
      <w:lvlJc w:val="left"/>
      <w:pPr>
        <w:ind w:left="2754" w:hanging="284"/>
      </w:pPr>
      <w:rPr>
        <w:rFonts w:hint="default"/>
      </w:rPr>
    </w:lvl>
    <w:lvl w:ilvl="5" w:tplc="1A382B2E">
      <w:numFmt w:val="bullet"/>
      <w:lvlText w:val="•"/>
      <w:lvlJc w:val="left"/>
      <w:pPr>
        <w:ind w:left="3492" w:hanging="284"/>
      </w:pPr>
      <w:rPr>
        <w:rFonts w:hint="default"/>
      </w:rPr>
    </w:lvl>
    <w:lvl w:ilvl="6" w:tplc="DDBAEDB0">
      <w:numFmt w:val="bullet"/>
      <w:lvlText w:val="•"/>
      <w:lvlJc w:val="left"/>
      <w:pPr>
        <w:ind w:left="4231" w:hanging="284"/>
      </w:pPr>
      <w:rPr>
        <w:rFonts w:hint="default"/>
      </w:rPr>
    </w:lvl>
    <w:lvl w:ilvl="7" w:tplc="0E90F506">
      <w:numFmt w:val="bullet"/>
      <w:lvlText w:val="•"/>
      <w:lvlJc w:val="left"/>
      <w:pPr>
        <w:ind w:left="4969" w:hanging="284"/>
      </w:pPr>
      <w:rPr>
        <w:rFonts w:hint="default"/>
      </w:rPr>
    </w:lvl>
    <w:lvl w:ilvl="8" w:tplc="890AEECE">
      <w:numFmt w:val="bullet"/>
      <w:lvlText w:val="•"/>
      <w:lvlJc w:val="left"/>
      <w:pPr>
        <w:ind w:left="5707" w:hanging="284"/>
      </w:pPr>
      <w:rPr>
        <w:rFonts w:hint="default"/>
      </w:rPr>
    </w:lvl>
  </w:abstractNum>
  <w:abstractNum w:abstractNumId="177">
    <w:nsid w:val="428C293A"/>
    <w:multiLevelType w:val="hybridMultilevel"/>
    <w:tmpl w:val="9580CB56"/>
    <w:lvl w:ilvl="0" w:tplc="4E64DCAA">
      <w:start w:val="1"/>
      <w:numFmt w:val="decimal"/>
      <w:lvlText w:val="%1)"/>
      <w:lvlJc w:val="left"/>
      <w:pPr>
        <w:ind w:left="250" w:hanging="284"/>
        <w:jc w:val="left"/>
      </w:pPr>
      <w:rPr>
        <w:rFonts w:ascii="Cambria" w:eastAsia="Cambria" w:hAnsi="Cambria" w:cs="Cambria" w:hint="default"/>
        <w:color w:val="231F20"/>
        <w:spacing w:val="-20"/>
        <w:w w:val="100"/>
        <w:sz w:val="21"/>
        <w:szCs w:val="21"/>
      </w:rPr>
    </w:lvl>
    <w:lvl w:ilvl="1" w:tplc="0976574A">
      <w:numFmt w:val="bullet"/>
      <w:lvlText w:val=""/>
      <w:lvlJc w:val="left"/>
      <w:pPr>
        <w:ind w:left="533" w:hanging="284"/>
      </w:pPr>
      <w:rPr>
        <w:rFonts w:ascii="Wingdings" w:eastAsia="Wingdings" w:hAnsi="Wingdings" w:cs="Wingdings" w:hint="default"/>
        <w:color w:val="231F20"/>
        <w:w w:val="100"/>
        <w:sz w:val="21"/>
        <w:szCs w:val="21"/>
      </w:rPr>
    </w:lvl>
    <w:lvl w:ilvl="2" w:tplc="299A4CCE">
      <w:numFmt w:val="bullet"/>
      <w:lvlText w:val="•"/>
      <w:lvlJc w:val="left"/>
      <w:pPr>
        <w:ind w:left="1278" w:hanging="284"/>
      </w:pPr>
      <w:rPr>
        <w:rFonts w:hint="default"/>
      </w:rPr>
    </w:lvl>
    <w:lvl w:ilvl="3" w:tplc="E56292BC">
      <w:numFmt w:val="bullet"/>
      <w:lvlText w:val="•"/>
      <w:lvlJc w:val="left"/>
      <w:pPr>
        <w:ind w:left="2016" w:hanging="284"/>
      </w:pPr>
      <w:rPr>
        <w:rFonts w:hint="default"/>
      </w:rPr>
    </w:lvl>
    <w:lvl w:ilvl="4" w:tplc="D346D8E4">
      <w:numFmt w:val="bullet"/>
      <w:lvlText w:val="•"/>
      <w:lvlJc w:val="left"/>
      <w:pPr>
        <w:ind w:left="2754" w:hanging="284"/>
      </w:pPr>
      <w:rPr>
        <w:rFonts w:hint="default"/>
      </w:rPr>
    </w:lvl>
    <w:lvl w:ilvl="5" w:tplc="54BE7C56">
      <w:numFmt w:val="bullet"/>
      <w:lvlText w:val="•"/>
      <w:lvlJc w:val="left"/>
      <w:pPr>
        <w:ind w:left="3492" w:hanging="284"/>
      </w:pPr>
      <w:rPr>
        <w:rFonts w:hint="default"/>
      </w:rPr>
    </w:lvl>
    <w:lvl w:ilvl="6" w:tplc="69CE750E">
      <w:numFmt w:val="bullet"/>
      <w:lvlText w:val="•"/>
      <w:lvlJc w:val="left"/>
      <w:pPr>
        <w:ind w:left="4231" w:hanging="284"/>
      </w:pPr>
      <w:rPr>
        <w:rFonts w:hint="default"/>
      </w:rPr>
    </w:lvl>
    <w:lvl w:ilvl="7" w:tplc="1DBE85BA">
      <w:numFmt w:val="bullet"/>
      <w:lvlText w:val="•"/>
      <w:lvlJc w:val="left"/>
      <w:pPr>
        <w:ind w:left="4969" w:hanging="284"/>
      </w:pPr>
      <w:rPr>
        <w:rFonts w:hint="default"/>
      </w:rPr>
    </w:lvl>
    <w:lvl w:ilvl="8" w:tplc="C95ECA8A">
      <w:numFmt w:val="bullet"/>
      <w:lvlText w:val="•"/>
      <w:lvlJc w:val="left"/>
      <w:pPr>
        <w:ind w:left="5707" w:hanging="284"/>
      </w:pPr>
      <w:rPr>
        <w:rFonts w:hint="default"/>
      </w:rPr>
    </w:lvl>
  </w:abstractNum>
  <w:abstractNum w:abstractNumId="178">
    <w:nsid w:val="42CD6732"/>
    <w:multiLevelType w:val="hybridMultilevel"/>
    <w:tmpl w:val="847ACEF2"/>
    <w:lvl w:ilvl="0" w:tplc="9730AFCC">
      <w:start w:val="1"/>
      <w:numFmt w:val="decimal"/>
      <w:lvlText w:val="%1)"/>
      <w:lvlJc w:val="left"/>
      <w:pPr>
        <w:ind w:left="250" w:hanging="239"/>
        <w:jc w:val="left"/>
      </w:pPr>
      <w:rPr>
        <w:rFonts w:ascii="Cambria" w:eastAsia="Cambria" w:hAnsi="Cambria" w:cs="Cambria" w:hint="default"/>
        <w:color w:val="231F20"/>
        <w:w w:val="100"/>
        <w:sz w:val="21"/>
        <w:szCs w:val="21"/>
      </w:rPr>
    </w:lvl>
    <w:lvl w:ilvl="1" w:tplc="9B78E06A">
      <w:start w:val="1"/>
      <w:numFmt w:val="decimal"/>
      <w:lvlText w:val="%2."/>
      <w:lvlJc w:val="left"/>
      <w:pPr>
        <w:ind w:left="250" w:hanging="284"/>
        <w:jc w:val="left"/>
      </w:pPr>
      <w:rPr>
        <w:rFonts w:ascii="Cambria" w:eastAsia="Cambria" w:hAnsi="Cambria" w:cs="Cambria" w:hint="default"/>
        <w:color w:val="231F20"/>
        <w:spacing w:val="-15"/>
        <w:w w:val="100"/>
        <w:sz w:val="21"/>
        <w:szCs w:val="21"/>
      </w:rPr>
    </w:lvl>
    <w:lvl w:ilvl="2" w:tplc="E3DCFF96">
      <w:numFmt w:val="bullet"/>
      <w:lvlText w:val="•"/>
      <w:lvlJc w:val="left"/>
      <w:pPr>
        <w:ind w:left="1644" w:hanging="284"/>
      </w:pPr>
      <w:rPr>
        <w:rFonts w:hint="default"/>
      </w:rPr>
    </w:lvl>
    <w:lvl w:ilvl="3" w:tplc="A8E87218">
      <w:numFmt w:val="bullet"/>
      <w:lvlText w:val="•"/>
      <w:lvlJc w:val="left"/>
      <w:pPr>
        <w:ind w:left="2337" w:hanging="284"/>
      </w:pPr>
      <w:rPr>
        <w:rFonts w:hint="default"/>
      </w:rPr>
    </w:lvl>
    <w:lvl w:ilvl="4" w:tplc="9746D9C8">
      <w:numFmt w:val="bullet"/>
      <w:lvlText w:val="•"/>
      <w:lvlJc w:val="left"/>
      <w:pPr>
        <w:ind w:left="3029" w:hanging="284"/>
      </w:pPr>
      <w:rPr>
        <w:rFonts w:hint="default"/>
      </w:rPr>
    </w:lvl>
    <w:lvl w:ilvl="5" w:tplc="8AE61F20">
      <w:numFmt w:val="bullet"/>
      <w:lvlText w:val="•"/>
      <w:lvlJc w:val="left"/>
      <w:pPr>
        <w:ind w:left="3721" w:hanging="284"/>
      </w:pPr>
      <w:rPr>
        <w:rFonts w:hint="default"/>
      </w:rPr>
    </w:lvl>
    <w:lvl w:ilvl="6" w:tplc="65F4C79A">
      <w:numFmt w:val="bullet"/>
      <w:lvlText w:val="•"/>
      <w:lvlJc w:val="left"/>
      <w:pPr>
        <w:ind w:left="4414" w:hanging="284"/>
      </w:pPr>
      <w:rPr>
        <w:rFonts w:hint="default"/>
      </w:rPr>
    </w:lvl>
    <w:lvl w:ilvl="7" w:tplc="D1227F80">
      <w:numFmt w:val="bullet"/>
      <w:lvlText w:val="•"/>
      <w:lvlJc w:val="left"/>
      <w:pPr>
        <w:ind w:left="5106" w:hanging="284"/>
      </w:pPr>
      <w:rPr>
        <w:rFonts w:hint="default"/>
      </w:rPr>
    </w:lvl>
    <w:lvl w:ilvl="8" w:tplc="C70CAE9C">
      <w:numFmt w:val="bullet"/>
      <w:lvlText w:val="•"/>
      <w:lvlJc w:val="left"/>
      <w:pPr>
        <w:ind w:left="5799" w:hanging="284"/>
      </w:pPr>
      <w:rPr>
        <w:rFonts w:hint="default"/>
      </w:rPr>
    </w:lvl>
  </w:abstractNum>
  <w:abstractNum w:abstractNumId="179">
    <w:nsid w:val="433A4928"/>
    <w:multiLevelType w:val="hybridMultilevel"/>
    <w:tmpl w:val="8B4AF92A"/>
    <w:lvl w:ilvl="0" w:tplc="447A795A">
      <w:start w:val="1"/>
      <w:numFmt w:val="decimal"/>
      <w:lvlText w:val="%1)"/>
      <w:lvlJc w:val="left"/>
      <w:pPr>
        <w:ind w:left="533" w:hanging="284"/>
        <w:jc w:val="left"/>
      </w:pPr>
      <w:rPr>
        <w:rFonts w:ascii="Cambria" w:eastAsia="Cambria" w:hAnsi="Cambria" w:cs="Cambria" w:hint="default"/>
        <w:b/>
        <w:bCs/>
        <w:i/>
        <w:color w:val="231F20"/>
        <w:spacing w:val="-23"/>
        <w:w w:val="100"/>
        <w:sz w:val="21"/>
        <w:szCs w:val="21"/>
      </w:rPr>
    </w:lvl>
    <w:lvl w:ilvl="1" w:tplc="EE086310">
      <w:numFmt w:val="bullet"/>
      <w:lvlText w:val="•"/>
      <w:lvlJc w:val="left"/>
      <w:pPr>
        <w:ind w:left="1204" w:hanging="284"/>
      </w:pPr>
      <w:rPr>
        <w:rFonts w:hint="default"/>
      </w:rPr>
    </w:lvl>
    <w:lvl w:ilvl="2" w:tplc="BE96FA3E">
      <w:numFmt w:val="bullet"/>
      <w:lvlText w:val="•"/>
      <w:lvlJc w:val="left"/>
      <w:pPr>
        <w:ind w:left="1868" w:hanging="284"/>
      </w:pPr>
      <w:rPr>
        <w:rFonts w:hint="default"/>
      </w:rPr>
    </w:lvl>
    <w:lvl w:ilvl="3" w:tplc="A16C47BC">
      <w:numFmt w:val="bullet"/>
      <w:lvlText w:val="•"/>
      <w:lvlJc w:val="left"/>
      <w:pPr>
        <w:ind w:left="2533" w:hanging="284"/>
      </w:pPr>
      <w:rPr>
        <w:rFonts w:hint="default"/>
      </w:rPr>
    </w:lvl>
    <w:lvl w:ilvl="4" w:tplc="75C4530A">
      <w:numFmt w:val="bullet"/>
      <w:lvlText w:val="•"/>
      <w:lvlJc w:val="left"/>
      <w:pPr>
        <w:ind w:left="3197" w:hanging="284"/>
      </w:pPr>
      <w:rPr>
        <w:rFonts w:hint="default"/>
      </w:rPr>
    </w:lvl>
    <w:lvl w:ilvl="5" w:tplc="01543548">
      <w:numFmt w:val="bullet"/>
      <w:lvlText w:val="•"/>
      <w:lvlJc w:val="left"/>
      <w:pPr>
        <w:ind w:left="3861" w:hanging="284"/>
      </w:pPr>
      <w:rPr>
        <w:rFonts w:hint="default"/>
      </w:rPr>
    </w:lvl>
    <w:lvl w:ilvl="6" w:tplc="742636A2">
      <w:numFmt w:val="bullet"/>
      <w:lvlText w:val="•"/>
      <w:lvlJc w:val="left"/>
      <w:pPr>
        <w:ind w:left="4526" w:hanging="284"/>
      </w:pPr>
      <w:rPr>
        <w:rFonts w:hint="default"/>
      </w:rPr>
    </w:lvl>
    <w:lvl w:ilvl="7" w:tplc="76180592">
      <w:numFmt w:val="bullet"/>
      <w:lvlText w:val="•"/>
      <w:lvlJc w:val="left"/>
      <w:pPr>
        <w:ind w:left="5190" w:hanging="284"/>
      </w:pPr>
      <w:rPr>
        <w:rFonts w:hint="default"/>
      </w:rPr>
    </w:lvl>
    <w:lvl w:ilvl="8" w:tplc="EA706104">
      <w:numFmt w:val="bullet"/>
      <w:lvlText w:val="•"/>
      <w:lvlJc w:val="left"/>
      <w:pPr>
        <w:ind w:left="5855" w:hanging="284"/>
      </w:pPr>
      <w:rPr>
        <w:rFonts w:hint="default"/>
      </w:rPr>
    </w:lvl>
  </w:abstractNum>
  <w:abstractNum w:abstractNumId="180">
    <w:nsid w:val="437527DF"/>
    <w:multiLevelType w:val="hybridMultilevel"/>
    <w:tmpl w:val="7C9282BE"/>
    <w:lvl w:ilvl="0" w:tplc="3CFAC378">
      <w:start w:val="4"/>
      <w:numFmt w:val="decimal"/>
      <w:lvlText w:val="%1)"/>
      <w:lvlJc w:val="left"/>
      <w:pPr>
        <w:ind w:left="533" w:hanging="284"/>
        <w:jc w:val="left"/>
      </w:pPr>
      <w:rPr>
        <w:rFonts w:ascii="Cambria" w:eastAsia="Cambria" w:hAnsi="Cambria" w:cs="Cambria" w:hint="default"/>
        <w:color w:val="231F20"/>
        <w:spacing w:val="-21"/>
        <w:w w:val="100"/>
        <w:sz w:val="21"/>
        <w:szCs w:val="21"/>
      </w:rPr>
    </w:lvl>
    <w:lvl w:ilvl="1" w:tplc="8B58432A">
      <w:numFmt w:val="bullet"/>
      <w:lvlText w:val="•"/>
      <w:lvlJc w:val="left"/>
      <w:pPr>
        <w:ind w:left="1204" w:hanging="284"/>
      </w:pPr>
      <w:rPr>
        <w:rFonts w:hint="default"/>
      </w:rPr>
    </w:lvl>
    <w:lvl w:ilvl="2" w:tplc="EF7CE768">
      <w:numFmt w:val="bullet"/>
      <w:lvlText w:val="•"/>
      <w:lvlJc w:val="left"/>
      <w:pPr>
        <w:ind w:left="1868" w:hanging="284"/>
      </w:pPr>
      <w:rPr>
        <w:rFonts w:hint="default"/>
      </w:rPr>
    </w:lvl>
    <w:lvl w:ilvl="3" w:tplc="21CC15C2">
      <w:numFmt w:val="bullet"/>
      <w:lvlText w:val="•"/>
      <w:lvlJc w:val="left"/>
      <w:pPr>
        <w:ind w:left="2533" w:hanging="284"/>
      </w:pPr>
      <w:rPr>
        <w:rFonts w:hint="default"/>
      </w:rPr>
    </w:lvl>
    <w:lvl w:ilvl="4" w:tplc="142E69C4">
      <w:numFmt w:val="bullet"/>
      <w:lvlText w:val="•"/>
      <w:lvlJc w:val="left"/>
      <w:pPr>
        <w:ind w:left="3197" w:hanging="284"/>
      </w:pPr>
      <w:rPr>
        <w:rFonts w:hint="default"/>
      </w:rPr>
    </w:lvl>
    <w:lvl w:ilvl="5" w:tplc="EB502510">
      <w:numFmt w:val="bullet"/>
      <w:lvlText w:val="•"/>
      <w:lvlJc w:val="left"/>
      <w:pPr>
        <w:ind w:left="3861" w:hanging="284"/>
      </w:pPr>
      <w:rPr>
        <w:rFonts w:hint="default"/>
      </w:rPr>
    </w:lvl>
    <w:lvl w:ilvl="6" w:tplc="5AC0F86E">
      <w:numFmt w:val="bullet"/>
      <w:lvlText w:val="•"/>
      <w:lvlJc w:val="left"/>
      <w:pPr>
        <w:ind w:left="4526" w:hanging="284"/>
      </w:pPr>
      <w:rPr>
        <w:rFonts w:hint="default"/>
      </w:rPr>
    </w:lvl>
    <w:lvl w:ilvl="7" w:tplc="312606CE">
      <w:numFmt w:val="bullet"/>
      <w:lvlText w:val="•"/>
      <w:lvlJc w:val="left"/>
      <w:pPr>
        <w:ind w:left="5190" w:hanging="284"/>
      </w:pPr>
      <w:rPr>
        <w:rFonts w:hint="default"/>
      </w:rPr>
    </w:lvl>
    <w:lvl w:ilvl="8" w:tplc="6A42DEC4">
      <w:numFmt w:val="bullet"/>
      <w:lvlText w:val="•"/>
      <w:lvlJc w:val="left"/>
      <w:pPr>
        <w:ind w:left="5855" w:hanging="284"/>
      </w:pPr>
      <w:rPr>
        <w:rFonts w:hint="default"/>
      </w:rPr>
    </w:lvl>
  </w:abstractNum>
  <w:abstractNum w:abstractNumId="181">
    <w:nsid w:val="438E684C"/>
    <w:multiLevelType w:val="hybridMultilevel"/>
    <w:tmpl w:val="FD2E6A06"/>
    <w:lvl w:ilvl="0" w:tplc="08BA4C10">
      <w:start w:val="3"/>
      <w:numFmt w:val="decimal"/>
      <w:lvlText w:val="%1)"/>
      <w:lvlJc w:val="left"/>
      <w:pPr>
        <w:ind w:left="250" w:hanging="284"/>
        <w:jc w:val="left"/>
      </w:pPr>
      <w:rPr>
        <w:rFonts w:ascii="Cambria" w:eastAsia="Cambria" w:hAnsi="Cambria" w:cs="Cambria" w:hint="default"/>
        <w:b/>
        <w:bCs/>
        <w:i/>
        <w:color w:val="231F20"/>
        <w:spacing w:val="-18"/>
        <w:w w:val="100"/>
        <w:sz w:val="21"/>
        <w:szCs w:val="21"/>
      </w:rPr>
    </w:lvl>
    <w:lvl w:ilvl="1" w:tplc="6ACA46DA">
      <w:numFmt w:val="bullet"/>
      <w:lvlText w:val="•"/>
      <w:lvlJc w:val="left"/>
      <w:pPr>
        <w:ind w:left="952" w:hanging="284"/>
      </w:pPr>
      <w:rPr>
        <w:rFonts w:hint="default"/>
      </w:rPr>
    </w:lvl>
    <w:lvl w:ilvl="2" w:tplc="7806EDC8">
      <w:numFmt w:val="bullet"/>
      <w:lvlText w:val="•"/>
      <w:lvlJc w:val="left"/>
      <w:pPr>
        <w:ind w:left="1644" w:hanging="284"/>
      </w:pPr>
      <w:rPr>
        <w:rFonts w:hint="default"/>
      </w:rPr>
    </w:lvl>
    <w:lvl w:ilvl="3" w:tplc="CA9C4316">
      <w:numFmt w:val="bullet"/>
      <w:lvlText w:val="•"/>
      <w:lvlJc w:val="left"/>
      <w:pPr>
        <w:ind w:left="2337" w:hanging="284"/>
      </w:pPr>
      <w:rPr>
        <w:rFonts w:hint="default"/>
      </w:rPr>
    </w:lvl>
    <w:lvl w:ilvl="4" w:tplc="257EAD72">
      <w:numFmt w:val="bullet"/>
      <w:lvlText w:val="•"/>
      <w:lvlJc w:val="left"/>
      <w:pPr>
        <w:ind w:left="3029" w:hanging="284"/>
      </w:pPr>
      <w:rPr>
        <w:rFonts w:hint="default"/>
      </w:rPr>
    </w:lvl>
    <w:lvl w:ilvl="5" w:tplc="7D442E56">
      <w:numFmt w:val="bullet"/>
      <w:lvlText w:val="•"/>
      <w:lvlJc w:val="left"/>
      <w:pPr>
        <w:ind w:left="3721" w:hanging="284"/>
      </w:pPr>
      <w:rPr>
        <w:rFonts w:hint="default"/>
      </w:rPr>
    </w:lvl>
    <w:lvl w:ilvl="6" w:tplc="0D1075FC">
      <w:numFmt w:val="bullet"/>
      <w:lvlText w:val="•"/>
      <w:lvlJc w:val="left"/>
      <w:pPr>
        <w:ind w:left="4414" w:hanging="284"/>
      </w:pPr>
      <w:rPr>
        <w:rFonts w:hint="default"/>
      </w:rPr>
    </w:lvl>
    <w:lvl w:ilvl="7" w:tplc="BE38100A">
      <w:numFmt w:val="bullet"/>
      <w:lvlText w:val="•"/>
      <w:lvlJc w:val="left"/>
      <w:pPr>
        <w:ind w:left="5106" w:hanging="284"/>
      </w:pPr>
      <w:rPr>
        <w:rFonts w:hint="default"/>
      </w:rPr>
    </w:lvl>
    <w:lvl w:ilvl="8" w:tplc="8CF282C6">
      <w:numFmt w:val="bullet"/>
      <w:lvlText w:val="•"/>
      <w:lvlJc w:val="left"/>
      <w:pPr>
        <w:ind w:left="5799" w:hanging="284"/>
      </w:pPr>
      <w:rPr>
        <w:rFonts w:hint="default"/>
      </w:rPr>
    </w:lvl>
  </w:abstractNum>
  <w:abstractNum w:abstractNumId="182">
    <w:nsid w:val="43E454CE"/>
    <w:multiLevelType w:val="hybridMultilevel"/>
    <w:tmpl w:val="603A160C"/>
    <w:lvl w:ilvl="0" w:tplc="1C8469F4">
      <w:numFmt w:val="bullet"/>
      <w:lvlText w:val=""/>
      <w:lvlJc w:val="left"/>
      <w:pPr>
        <w:ind w:left="250" w:hanging="284"/>
      </w:pPr>
      <w:rPr>
        <w:rFonts w:ascii="Wingdings" w:eastAsia="Wingdings" w:hAnsi="Wingdings" w:cs="Wingdings" w:hint="default"/>
        <w:color w:val="231F20"/>
        <w:w w:val="100"/>
        <w:sz w:val="21"/>
        <w:szCs w:val="21"/>
      </w:rPr>
    </w:lvl>
    <w:lvl w:ilvl="1" w:tplc="4BBA911C">
      <w:numFmt w:val="bullet"/>
      <w:lvlText w:val="•"/>
      <w:lvlJc w:val="left"/>
      <w:pPr>
        <w:ind w:left="952" w:hanging="284"/>
      </w:pPr>
      <w:rPr>
        <w:rFonts w:hint="default"/>
      </w:rPr>
    </w:lvl>
    <w:lvl w:ilvl="2" w:tplc="8C2A8E58">
      <w:numFmt w:val="bullet"/>
      <w:lvlText w:val="•"/>
      <w:lvlJc w:val="left"/>
      <w:pPr>
        <w:ind w:left="1644" w:hanging="284"/>
      </w:pPr>
      <w:rPr>
        <w:rFonts w:hint="default"/>
      </w:rPr>
    </w:lvl>
    <w:lvl w:ilvl="3" w:tplc="441EA2A4">
      <w:numFmt w:val="bullet"/>
      <w:lvlText w:val="•"/>
      <w:lvlJc w:val="left"/>
      <w:pPr>
        <w:ind w:left="2337" w:hanging="284"/>
      </w:pPr>
      <w:rPr>
        <w:rFonts w:hint="default"/>
      </w:rPr>
    </w:lvl>
    <w:lvl w:ilvl="4" w:tplc="1B88B500">
      <w:numFmt w:val="bullet"/>
      <w:lvlText w:val="•"/>
      <w:lvlJc w:val="left"/>
      <w:pPr>
        <w:ind w:left="3029" w:hanging="284"/>
      </w:pPr>
      <w:rPr>
        <w:rFonts w:hint="default"/>
      </w:rPr>
    </w:lvl>
    <w:lvl w:ilvl="5" w:tplc="687AA55A">
      <w:numFmt w:val="bullet"/>
      <w:lvlText w:val="•"/>
      <w:lvlJc w:val="left"/>
      <w:pPr>
        <w:ind w:left="3721" w:hanging="284"/>
      </w:pPr>
      <w:rPr>
        <w:rFonts w:hint="default"/>
      </w:rPr>
    </w:lvl>
    <w:lvl w:ilvl="6" w:tplc="DA20BF76">
      <w:numFmt w:val="bullet"/>
      <w:lvlText w:val="•"/>
      <w:lvlJc w:val="left"/>
      <w:pPr>
        <w:ind w:left="4414" w:hanging="284"/>
      </w:pPr>
      <w:rPr>
        <w:rFonts w:hint="default"/>
      </w:rPr>
    </w:lvl>
    <w:lvl w:ilvl="7" w:tplc="BCCC8DA2">
      <w:numFmt w:val="bullet"/>
      <w:lvlText w:val="•"/>
      <w:lvlJc w:val="left"/>
      <w:pPr>
        <w:ind w:left="5106" w:hanging="284"/>
      </w:pPr>
      <w:rPr>
        <w:rFonts w:hint="default"/>
      </w:rPr>
    </w:lvl>
    <w:lvl w:ilvl="8" w:tplc="E3C8F55C">
      <w:numFmt w:val="bullet"/>
      <w:lvlText w:val="•"/>
      <w:lvlJc w:val="left"/>
      <w:pPr>
        <w:ind w:left="5799" w:hanging="284"/>
      </w:pPr>
      <w:rPr>
        <w:rFonts w:hint="default"/>
      </w:rPr>
    </w:lvl>
  </w:abstractNum>
  <w:abstractNum w:abstractNumId="183">
    <w:nsid w:val="4463479C"/>
    <w:multiLevelType w:val="hybridMultilevel"/>
    <w:tmpl w:val="045468D0"/>
    <w:lvl w:ilvl="0" w:tplc="6BDC3D30">
      <w:numFmt w:val="bullet"/>
      <w:lvlText w:val="–"/>
      <w:lvlJc w:val="left"/>
      <w:pPr>
        <w:ind w:left="533" w:hanging="284"/>
      </w:pPr>
      <w:rPr>
        <w:rFonts w:ascii="Cambria" w:eastAsia="Cambria" w:hAnsi="Cambria" w:cs="Cambria" w:hint="default"/>
        <w:color w:val="231F20"/>
        <w:spacing w:val="-7"/>
        <w:w w:val="100"/>
        <w:sz w:val="21"/>
        <w:szCs w:val="21"/>
      </w:rPr>
    </w:lvl>
    <w:lvl w:ilvl="1" w:tplc="C152E058">
      <w:numFmt w:val="bullet"/>
      <w:lvlText w:val="•"/>
      <w:lvlJc w:val="left"/>
      <w:pPr>
        <w:ind w:left="1204" w:hanging="284"/>
      </w:pPr>
      <w:rPr>
        <w:rFonts w:hint="default"/>
      </w:rPr>
    </w:lvl>
    <w:lvl w:ilvl="2" w:tplc="247AE860">
      <w:numFmt w:val="bullet"/>
      <w:lvlText w:val="•"/>
      <w:lvlJc w:val="left"/>
      <w:pPr>
        <w:ind w:left="1868" w:hanging="284"/>
      </w:pPr>
      <w:rPr>
        <w:rFonts w:hint="default"/>
      </w:rPr>
    </w:lvl>
    <w:lvl w:ilvl="3" w:tplc="6764D240">
      <w:numFmt w:val="bullet"/>
      <w:lvlText w:val="•"/>
      <w:lvlJc w:val="left"/>
      <w:pPr>
        <w:ind w:left="2533" w:hanging="284"/>
      </w:pPr>
      <w:rPr>
        <w:rFonts w:hint="default"/>
      </w:rPr>
    </w:lvl>
    <w:lvl w:ilvl="4" w:tplc="A17EE57E">
      <w:numFmt w:val="bullet"/>
      <w:lvlText w:val="•"/>
      <w:lvlJc w:val="left"/>
      <w:pPr>
        <w:ind w:left="3197" w:hanging="284"/>
      </w:pPr>
      <w:rPr>
        <w:rFonts w:hint="default"/>
      </w:rPr>
    </w:lvl>
    <w:lvl w:ilvl="5" w:tplc="B25C1852">
      <w:numFmt w:val="bullet"/>
      <w:lvlText w:val="•"/>
      <w:lvlJc w:val="left"/>
      <w:pPr>
        <w:ind w:left="3861" w:hanging="284"/>
      </w:pPr>
      <w:rPr>
        <w:rFonts w:hint="default"/>
      </w:rPr>
    </w:lvl>
    <w:lvl w:ilvl="6" w:tplc="40126ADC">
      <w:numFmt w:val="bullet"/>
      <w:lvlText w:val="•"/>
      <w:lvlJc w:val="left"/>
      <w:pPr>
        <w:ind w:left="4526" w:hanging="284"/>
      </w:pPr>
      <w:rPr>
        <w:rFonts w:hint="default"/>
      </w:rPr>
    </w:lvl>
    <w:lvl w:ilvl="7" w:tplc="06CC12F2">
      <w:numFmt w:val="bullet"/>
      <w:lvlText w:val="•"/>
      <w:lvlJc w:val="left"/>
      <w:pPr>
        <w:ind w:left="5190" w:hanging="284"/>
      </w:pPr>
      <w:rPr>
        <w:rFonts w:hint="default"/>
      </w:rPr>
    </w:lvl>
    <w:lvl w:ilvl="8" w:tplc="143CC776">
      <w:numFmt w:val="bullet"/>
      <w:lvlText w:val="•"/>
      <w:lvlJc w:val="left"/>
      <w:pPr>
        <w:ind w:left="5855" w:hanging="284"/>
      </w:pPr>
      <w:rPr>
        <w:rFonts w:hint="default"/>
      </w:rPr>
    </w:lvl>
  </w:abstractNum>
  <w:abstractNum w:abstractNumId="184">
    <w:nsid w:val="446A55BB"/>
    <w:multiLevelType w:val="hybridMultilevel"/>
    <w:tmpl w:val="496E8A30"/>
    <w:lvl w:ilvl="0" w:tplc="ECC4B44C">
      <w:start w:val="1"/>
      <w:numFmt w:val="decimal"/>
      <w:lvlText w:val="%1)"/>
      <w:lvlJc w:val="left"/>
      <w:pPr>
        <w:ind w:left="250" w:hanging="284"/>
        <w:jc w:val="left"/>
      </w:pPr>
      <w:rPr>
        <w:rFonts w:ascii="Cambria" w:eastAsia="Cambria" w:hAnsi="Cambria" w:cs="Cambria" w:hint="default"/>
        <w:color w:val="231F20"/>
        <w:spacing w:val="-19"/>
        <w:w w:val="100"/>
        <w:sz w:val="21"/>
        <w:szCs w:val="21"/>
      </w:rPr>
    </w:lvl>
    <w:lvl w:ilvl="1" w:tplc="7BDC2508">
      <w:numFmt w:val="bullet"/>
      <w:lvlText w:val="•"/>
      <w:lvlJc w:val="left"/>
      <w:pPr>
        <w:ind w:left="952" w:hanging="284"/>
      </w:pPr>
      <w:rPr>
        <w:rFonts w:hint="default"/>
      </w:rPr>
    </w:lvl>
    <w:lvl w:ilvl="2" w:tplc="2E223238">
      <w:numFmt w:val="bullet"/>
      <w:lvlText w:val="•"/>
      <w:lvlJc w:val="left"/>
      <w:pPr>
        <w:ind w:left="1644" w:hanging="284"/>
      </w:pPr>
      <w:rPr>
        <w:rFonts w:hint="default"/>
      </w:rPr>
    </w:lvl>
    <w:lvl w:ilvl="3" w:tplc="EFD6AB26">
      <w:numFmt w:val="bullet"/>
      <w:lvlText w:val="•"/>
      <w:lvlJc w:val="left"/>
      <w:pPr>
        <w:ind w:left="2337" w:hanging="284"/>
      </w:pPr>
      <w:rPr>
        <w:rFonts w:hint="default"/>
      </w:rPr>
    </w:lvl>
    <w:lvl w:ilvl="4" w:tplc="75443FB2">
      <w:numFmt w:val="bullet"/>
      <w:lvlText w:val="•"/>
      <w:lvlJc w:val="left"/>
      <w:pPr>
        <w:ind w:left="3029" w:hanging="284"/>
      </w:pPr>
      <w:rPr>
        <w:rFonts w:hint="default"/>
      </w:rPr>
    </w:lvl>
    <w:lvl w:ilvl="5" w:tplc="23CEFFB8">
      <w:numFmt w:val="bullet"/>
      <w:lvlText w:val="•"/>
      <w:lvlJc w:val="left"/>
      <w:pPr>
        <w:ind w:left="3721" w:hanging="284"/>
      </w:pPr>
      <w:rPr>
        <w:rFonts w:hint="default"/>
      </w:rPr>
    </w:lvl>
    <w:lvl w:ilvl="6" w:tplc="D6C03B5C">
      <w:numFmt w:val="bullet"/>
      <w:lvlText w:val="•"/>
      <w:lvlJc w:val="left"/>
      <w:pPr>
        <w:ind w:left="4414" w:hanging="284"/>
      </w:pPr>
      <w:rPr>
        <w:rFonts w:hint="default"/>
      </w:rPr>
    </w:lvl>
    <w:lvl w:ilvl="7" w:tplc="C446297C">
      <w:numFmt w:val="bullet"/>
      <w:lvlText w:val="•"/>
      <w:lvlJc w:val="left"/>
      <w:pPr>
        <w:ind w:left="5106" w:hanging="284"/>
      </w:pPr>
      <w:rPr>
        <w:rFonts w:hint="default"/>
      </w:rPr>
    </w:lvl>
    <w:lvl w:ilvl="8" w:tplc="04E2D352">
      <w:numFmt w:val="bullet"/>
      <w:lvlText w:val="•"/>
      <w:lvlJc w:val="left"/>
      <w:pPr>
        <w:ind w:left="5799" w:hanging="284"/>
      </w:pPr>
      <w:rPr>
        <w:rFonts w:hint="default"/>
      </w:rPr>
    </w:lvl>
  </w:abstractNum>
  <w:abstractNum w:abstractNumId="185">
    <w:nsid w:val="44A65036"/>
    <w:multiLevelType w:val="hybridMultilevel"/>
    <w:tmpl w:val="D06C77E8"/>
    <w:lvl w:ilvl="0" w:tplc="9F98365E">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3AE00A2E">
      <w:numFmt w:val="bullet"/>
      <w:lvlText w:val="•"/>
      <w:lvlJc w:val="left"/>
      <w:pPr>
        <w:ind w:left="1204" w:hanging="284"/>
      </w:pPr>
      <w:rPr>
        <w:rFonts w:hint="default"/>
      </w:rPr>
    </w:lvl>
    <w:lvl w:ilvl="2" w:tplc="0930CC5E">
      <w:numFmt w:val="bullet"/>
      <w:lvlText w:val="•"/>
      <w:lvlJc w:val="left"/>
      <w:pPr>
        <w:ind w:left="1868" w:hanging="284"/>
      </w:pPr>
      <w:rPr>
        <w:rFonts w:hint="default"/>
      </w:rPr>
    </w:lvl>
    <w:lvl w:ilvl="3" w:tplc="BA12D61A">
      <w:numFmt w:val="bullet"/>
      <w:lvlText w:val="•"/>
      <w:lvlJc w:val="left"/>
      <w:pPr>
        <w:ind w:left="2533" w:hanging="284"/>
      </w:pPr>
      <w:rPr>
        <w:rFonts w:hint="default"/>
      </w:rPr>
    </w:lvl>
    <w:lvl w:ilvl="4" w:tplc="494671DC">
      <w:numFmt w:val="bullet"/>
      <w:lvlText w:val="•"/>
      <w:lvlJc w:val="left"/>
      <w:pPr>
        <w:ind w:left="3197" w:hanging="284"/>
      </w:pPr>
      <w:rPr>
        <w:rFonts w:hint="default"/>
      </w:rPr>
    </w:lvl>
    <w:lvl w:ilvl="5" w:tplc="7D56E392">
      <w:numFmt w:val="bullet"/>
      <w:lvlText w:val="•"/>
      <w:lvlJc w:val="left"/>
      <w:pPr>
        <w:ind w:left="3861" w:hanging="284"/>
      </w:pPr>
      <w:rPr>
        <w:rFonts w:hint="default"/>
      </w:rPr>
    </w:lvl>
    <w:lvl w:ilvl="6" w:tplc="F20C677C">
      <w:numFmt w:val="bullet"/>
      <w:lvlText w:val="•"/>
      <w:lvlJc w:val="left"/>
      <w:pPr>
        <w:ind w:left="4526" w:hanging="284"/>
      </w:pPr>
      <w:rPr>
        <w:rFonts w:hint="default"/>
      </w:rPr>
    </w:lvl>
    <w:lvl w:ilvl="7" w:tplc="6B400622">
      <w:numFmt w:val="bullet"/>
      <w:lvlText w:val="•"/>
      <w:lvlJc w:val="left"/>
      <w:pPr>
        <w:ind w:left="5190" w:hanging="284"/>
      </w:pPr>
      <w:rPr>
        <w:rFonts w:hint="default"/>
      </w:rPr>
    </w:lvl>
    <w:lvl w:ilvl="8" w:tplc="A30A24DC">
      <w:numFmt w:val="bullet"/>
      <w:lvlText w:val="•"/>
      <w:lvlJc w:val="left"/>
      <w:pPr>
        <w:ind w:left="5855" w:hanging="284"/>
      </w:pPr>
      <w:rPr>
        <w:rFonts w:hint="default"/>
      </w:rPr>
    </w:lvl>
  </w:abstractNum>
  <w:abstractNum w:abstractNumId="186">
    <w:nsid w:val="44E13D5D"/>
    <w:multiLevelType w:val="hybridMultilevel"/>
    <w:tmpl w:val="9D52C45E"/>
    <w:lvl w:ilvl="0" w:tplc="05BC6204">
      <w:numFmt w:val="bullet"/>
      <w:lvlText w:val=""/>
      <w:lvlJc w:val="left"/>
      <w:pPr>
        <w:ind w:left="533" w:hanging="284"/>
      </w:pPr>
      <w:rPr>
        <w:rFonts w:ascii="Wingdings" w:eastAsia="Wingdings" w:hAnsi="Wingdings" w:cs="Wingdings" w:hint="default"/>
        <w:color w:val="231F20"/>
        <w:w w:val="100"/>
        <w:sz w:val="21"/>
        <w:szCs w:val="21"/>
      </w:rPr>
    </w:lvl>
    <w:lvl w:ilvl="1" w:tplc="A978DC94">
      <w:numFmt w:val="bullet"/>
      <w:lvlText w:val="•"/>
      <w:lvlJc w:val="left"/>
      <w:pPr>
        <w:ind w:left="1204" w:hanging="284"/>
      </w:pPr>
      <w:rPr>
        <w:rFonts w:hint="default"/>
      </w:rPr>
    </w:lvl>
    <w:lvl w:ilvl="2" w:tplc="A72A6594">
      <w:numFmt w:val="bullet"/>
      <w:lvlText w:val="•"/>
      <w:lvlJc w:val="left"/>
      <w:pPr>
        <w:ind w:left="1868" w:hanging="284"/>
      </w:pPr>
      <w:rPr>
        <w:rFonts w:hint="default"/>
      </w:rPr>
    </w:lvl>
    <w:lvl w:ilvl="3" w:tplc="78EC7298">
      <w:numFmt w:val="bullet"/>
      <w:lvlText w:val="•"/>
      <w:lvlJc w:val="left"/>
      <w:pPr>
        <w:ind w:left="2533" w:hanging="284"/>
      </w:pPr>
      <w:rPr>
        <w:rFonts w:hint="default"/>
      </w:rPr>
    </w:lvl>
    <w:lvl w:ilvl="4" w:tplc="935CA28E">
      <w:numFmt w:val="bullet"/>
      <w:lvlText w:val="•"/>
      <w:lvlJc w:val="left"/>
      <w:pPr>
        <w:ind w:left="3197" w:hanging="284"/>
      </w:pPr>
      <w:rPr>
        <w:rFonts w:hint="default"/>
      </w:rPr>
    </w:lvl>
    <w:lvl w:ilvl="5" w:tplc="A0B48310">
      <w:numFmt w:val="bullet"/>
      <w:lvlText w:val="•"/>
      <w:lvlJc w:val="left"/>
      <w:pPr>
        <w:ind w:left="3861" w:hanging="284"/>
      </w:pPr>
      <w:rPr>
        <w:rFonts w:hint="default"/>
      </w:rPr>
    </w:lvl>
    <w:lvl w:ilvl="6" w:tplc="8D161E00">
      <w:numFmt w:val="bullet"/>
      <w:lvlText w:val="•"/>
      <w:lvlJc w:val="left"/>
      <w:pPr>
        <w:ind w:left="4526" w:hanging="284"/>
      </w:pPr>
      <w:rPr>
        <w:rFonts w:hint="default"/>
      </w:rPr>
    </w:lvl>
    <w:lvl w:ilvl="7" w:tplc="48348A6C">
      <w:numFmt w:val="bullet"/>
      <w:lvlText w:val="•"/>
      <w:lvlJc w:val="left"/>
      <w:pPr>
        <w:ind w:left="5190" w:hanging="284"/>
      </w:pPr>
      <w:rPr>
        <w:rFonts w:hint="default"/>
      </w:rPr>
    </w:lvl>
    <w:lvl w:ilvl="8" w:tplc="B1B87782">
      <w:numFmt w:val="bullet"/>
      <w:lvlText w:val="•"/>
      <w:lvlJc w:val="left"/>
      <w:pPr>
        <w:ind w:left="5855" w:hanging="284"/>
      </w:pPr>
      <w:rPr>
        <w:rFonts w:hint="default"/>
      </w:rPr>
    </w:lvl>
  </w:abstractNum>
  <w:abstractNum w:abstractNumId="187">
    <w:nsid w:val="454E03C8"/>
    <w:multiLevelType w:val="hybridMultilevel"/>
    <w:tmpl w:val="606A41B0"/>
    <w:lvl w:ilvl="0" w:tplc="64544A56">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47AABA9A">
      <w:numFmt w:val="bullet"/>
      <w:lvlText w:val="•"/>
      <w:lvlJc w:val="left"/>
      <w:pPr>
        <w:ind w:left="952" w:hanging="284"/>
      </w:pPr>
      <w:rPr>
        <w:rFonts w:hint="default"/>
      </w:rPr>
    </w:lvl>
    <w:lvl w:ilvl="2" w:tplc="4036B14C">
      <w:numFmt w:val="bullet"/>
      <w:lvlText w:val="•"/>
      <w:lvlJc w:val="left"/>
      <w:pPr>
        <w:ind w:left="1644" w:hanging="284"/>
      </w:pPr>
      <w:rPr>
        <w:rFonts w:hint="default"/>
      </w:rPr>
    </w:lvl>
    <w:lvl w:ilvl="3" w:tplc="2FB49222">
      <w:numFmt w:val="bullet"/>
      <w:lvlText w:val="•"/>
      <w:lvlJc w:val="left"/>
      <w:pPr>
        <w:ind w:left="2337" w:hanging="284"/>
      </w:pPr>
      <w:rPr>
        <w:rFonts w:hint="default"/>
      </w:rPr>
    </w:lvl>
    <w:lvl w:ilvl="4" w:tplc="8FD8B356">
      <w:numFmt w:val="bullet"/>
      <w:lvlText w:val="•"/>
      <w:lvlJc w:val="left"/>
      <w:pPr>
        <w:ind w:left="3029" w:hanging="284"/>
      </w:pPr>
      <w:rPr>
        <w:rFonts w:hint="default"/>
      </w:rPr>
    </w:lvl>
    <w:lvl w:ilvl="5" w:tplc="68F4C4B8">
      <w:numFmt w:val="bullet"/>
      <w:lvlText w:val="•"/>
      <w:lvlJc w:val="left"/>
      <w:pPr>
        <w:ind w:left="3721" w:hanging="284"/>
      </w:pPr>
      <w:rPr>
        <w:rFonts w:hint="default"/>
      </w:rPr>
    </w:lvl>
    <w:lvl w:ilvl="6" w:tplc="66484ED2">
      <w:numFmt w:val="bullet"/>
      <w:lvlText w:val="•"/>
      <w:lvlJc w:val="left"/>
      <w:pPr>
        <w:ind w:left="4414" w:hanging="284"/>
      </w:pPr>
      <w:rPr>
        <w:rFonts w:hint="default"/>
      </w:rPr>
    </w:lvl>
    <w:lvl w:ilvl="7" w:tplc="395E517A">
      <w:numFmt w:val="bullet"/>
      <w:lvlText w:val="•"/>
      <w:lvlJc w:val="left"/>
      <w:pPr>
        <w:ind w:left="5106" w:hanging="284"/>
      </w:pPr>
      <w:rPr>
        <w:rFonts w:hint="default"/>
      </w:rPr>
    </w:lvl>
    <w:lvl w:ilvl="8" w:tplc="21CE1CF4">
      <w:numFmt w:val="bullet"/>
      <w:lvlText w:val="•"/>
      <w:lvlJc w:val="left"/>
      <w:pPr>
        <w:ind w:left="5799" w:hanging="284"/>
      </w:pPr>
      <w:rPr>
        <w:rFonts w:hint="default"/>
      </w:rPr>
    </w:lvl>
  </w:abstractNum>
  <w:abstractNum w:abstractNumId="188">
    <w:nsid w:val="45620021"/>
    <w:multiLevelType w:val="hybridMultilevel"/>
    <w:tmpl w:val="66B6B400"/>
    <w:lvl w:ilvl="0" w:tplc="E79252F2">
      <w:numFmt w:val="bullet"/>
      <w:lvlText w:val="–"/>
      <w:lvlJc w:val="left"/>
      <w:pPr>
        <w:ind w:left="250" w:hanging="284"/>
      </w:pPr>
      <w:rPr>
        <w:rFonts w:ascii="Cambria" w:eastAsia="Cambria" w:hAnsi="Cambria" w:cs="Cambria" w:hint="default"/>
        <w:i/>
        <w:color w:val="231F20"/>
        <w:spacing w:val="-11"/>
        <w:w w:val="100"/>
        <w:sz w:val="21"/>
        <w:szCs w:val="21"/>
      </w:rPr>
    </w:lvl>
    <w:lvl w:ilvl="1" w:tplc="A01CDA7E">
      <w:numFmt w:val="bullet"/>
      <w:lvlText w:val="•"/>
      <w:lvlJc w:val="left"/>
      <w:pPr>
        <w:ind w:left="952" w:hanging="284"/>
      </w:pPr>
      <w:rPr>
        <w:rFonts w:hint="default"/>
      </w:rPr>
    </w:lvl>
    <w:lvl w:ilvl="2" w:tplc="CEA0497E">
      <w:numFmt w:val="bullet"/>
      <w:lvlText w:val="•"/>
      <w:lvlJc w:val="left"/>
      <w:pPr>
        <w:ind w:left="1644" w:hanging="284"/>
      </w:pPr>
      <w:rPr>
        <w:rFonts w:hint="default"/>
      </w:rPr>
    </w:lvl>
    <w:lvl w:ilvl="3" w:tplc="D5723458">
      <w:numFmt w:val="bullet"/>
      <w:lvlText w:val="•"/>
      <w:lvlJc w:val="left"/>
      <w:pPr>
        <w:ind w:left="2337" w:hanging="284"/>
      </w:pPr>
      <w:rPr>
        <w:rFonts w:hint="default"/>
      </w:rPr>
    </w:lvl>
    <w:lvl w:ilvl="4" w:tplc="70722928">
      <w:numFmt w:val="bullet"/>
      <w:lvlText w:val="•"/>
      <w:lvlJc w:val="left"/>
      <w:pPr>
        <w:ind w:left="3029" w:hanging="284"/>
      </w:pPr>
      <w:rPr>
        <w:rFonts w:hint="default"/>
      </w:rPr>
    </w:lvl>
    <w:lvl w:ilvl="5" w:tplc="6FB62858">
      <w:numFmt w:val="bullet"/>
      <w:lvlText w:val="•"/>
      <w:lvlJc w:val="left"/>
      <w:pPr>
        <w:ind w:left="3721" w:hanging="284"/>
      </w:pPr>
      <w:rPr>
        <w:rFonts w:hint="default"/>
      </w:rPr>
    </w:lvl>
    <w:lvl w:ilvl="6" w:tplc="383808B6">
      <w:numFmt w:val="bullet"/>
      <w:lvlText w:val="•"/>
      <w:lvlJc w:val="left"/>
      <w:pPr>
        <w:ind w:left="4414" w:hanging="284"/>
      </w:pPr>
      <w:rPr>
        <w:rFonts w:hint="default"/>
      </w:rPr>
    </w:lvl>
    <w:lvl w:ilvl="7" w:tplc="A2C4D854">
      <w:numFmt w:val="bullet"/>
      <w:lvlText w:val="•"/>
      <w:lvlJc w:val="left"/>
      <w:pPr>
        <w:ind w:left="5106" w:hanging="284"/>
      </w:pPr>
      <w:rPr>
        <w:rFonts w:hint="default"/>
      </w:rPr>
    </w:lvl>
    <w:lvl w:ilvl="8" w:tplc="CF38158C">
      <w:numFmt w:val="bullet"/>
      <w:lvlText w:val="•"/>
      <w:lvlJc w:val="left"/>
      <w:pPr>
        <w:ind w:left="5799" w:hanging="284"/>
      </w:pPr>
      <w:rPr>
        <w:rFonts w:hint="default"/>
      </w:rPr>
    </w:lvl>
  </w:abstractNum>
  <w:abstractNum w:abstractNumId="189">
    <w:nsid w:val="45BE4B18"/>
    <w:multiLevelType w:val="hybridMultilevel"/>
    <w:tmpl w:val="5ED0B952"/>
    <w:lvl w:ilvl="0" w:tplc="F7AACF50">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B47EE596">
      <w:numFmt w:val="bullet"/>
      <w:lvlText w:val="•"/>
      <w:lvlJc w:val="left"/>
      <w:pPr>
        <w:ind w:left="1204" w:hanging="284"/>
      </w:pPr>
      <w:rPr>
        <w:rFonts w:hint="default"/>
      </w:rPr>
    </w:lvl>
    <w:lvl w:ilvl="2" w:tplc="27149888">
      <w:numFmt w:val="bullet"/>
      <w:lvlText w:val="•"/>
      <w:lvlJc w:val="left"/>
      <w:pPr>
        <w:ind w:left="1868" w:hanging="284"/>
      </w:pPr>
      <w:rPr>
        <w:rFonts w:hint="default"/>
      </w:rPr>
    </w:lvl>
    <w:lvl w:ilvl="3" w:tplc="FD540DF8">
      <w:numFmt w:val="bullet"/>
      <w:lvlText w:val="•"/>
      <w:lvlJc w:val="left"/>
      <w:pPr>
        <w:ind w:left="2533" w:hanging="284"/>
      </w:pPr>
      <w:rPr>
        <w:rFonts w:hint="default"/>
      </w:rPr>
    </w:lvl>
    <w:lvl w:ilvl="4" w:tplc="68CE2CD0">
      <w:numFmt w:val="bullet"/>
      <w:lvlText w:val="•"/>
      <w:lvlJc w:val="left"/>
      <w:pPr>
        <w:ind w:left="3197" w:hanging="284"/>
      </w:pPr>
      <w:rPr>
        <w:rFonts w:hint="default"/>
      </w:rPr>
    </w:lvl>
    <w:lvl w:ilvl="5" w:tplc="A48630B0">
      <w:numFmt w:val="bullet"/>
      <w:lvlText w:val="•"/>
      <w:lvlJc w:val="left"/>
      <w:pPr>
        <w:ind w:left="3861" w:hanging="284"/>
      </w:pPr>
      <w:rPr>
        <w:rFonts w:hint="default"/>
      </w:rPr>
    </w:lvl>
    <w:lvl w:ilvl="6" w:tplc="3F061BBE">
      <w:numFmt w:val="bullet"/>
      <w:lvlText w:val="•"/>
      <w:lvlJc w:val="left"/>
      <w:pPr>
        <w:ind w:left="4526" w:hanging="284"/>
      </w:pPr>
      <w:rPr>
        <w:rFonts w:hint="default"/>
      </w:rPr>
    </w:lvl>
    <w:lvl w:ilvl="7" w:tplc="CFA69E04">
      <w:numFmt w:val="bullet"/>
      <w:lvlText w:val="•"/>
      <w:lvlJc w:val="left"/>
      <w:pPr>
        <w:ind w:left="5190" w:hanging="284"/>
      </w:pPr>
      <w:rPr>
        <w:rFonts w:hint="default"/>
      </w:rPr>
    </w:lvl>
    <w:lvl w:ilvl="8" w:tplc="917CBC76">
      <w:numFmt w:val="bullet"/>
      <w:lvlText w:val="•"/>
      <w:lvlJc w:val="left"/>
      <w:pPr>
        <w:ind w:left="5855" w:hanging="284"/>
      </w:pPr>
      <w:rPr>
        <w:rFonts w:hint="default"/>
      </w:rPr>
    </w:lvl>
  </w:abstractNum>
  <w:abstractNum w:abstractNumId="190">
    <w:nsid w:val="45D250DE"/>
    <w:multiLevelType w:val="multilevel"/>
    <w:tmpl w:val="26A0482E"/>
    <w:lvl w:ilvl="0">
      <w:start w:val="5"/>
      <w:numFmt w:val="decimal"/>
      <w:lvlText w:val="%1"/>
      <w:lvlJc w:val="left"/>
      <w:pPr>
        <w:ind w:left="930" w:hanging="397"/>
        <w:jc w:val="left"/>
      </w:pPr>
      <w:rPr>
        <w:rFonts w:hint="default"/>
      </w:rPr>
    </w:lvl>
    <w:lvl w:ilvl="1">
      <w:start w:val="1"/>
      <w:numFmt w:val="decimal"/>
      <w:lvlText w:val="%1.%2."/>
      <w:lvlJc w:val="left"/>
      <w:pPr>
        <w:ind w:left="930" w:hanging="397"/>
        <w:jc w:val="left"/>
      </w:pPr>
      <w:rPr>
        <w:rFonts w:ascii="Cambria" w:eastAsia="Cambria" w:hAnsi="Cambria" w:cs="Cambria" w:hint="default"/>
        <w:b/>
        <w:bCs/>
        <w:color w:val="231F20"/>
        <w:spacing w:val="-1"/>
        <w:w w:val="100"/>
        <w:sz w:val="21"/>
        <w:szCs w:val="21"/>
      </w:rPr>
    </w:lvl>
    <w:lvl w:ilvl="2">
      <w:start w:val="1"/>
      <w:numFmt w:val="decimal"/>
      <w:lvlText w:val="%1.%2.%3."/>
      <w:lvlJc w:val="left"/>
      <w:pPr>
        <w:ind w:left="1497" w:hanging="567"/>
        <w:jc w:val="left"/>
      </w:pPr>
      <w:rPr>
        <w:rFonts w:ascii="Cambria" w:eastAsia="Cambria" w:hAnsi="Cambria" w:cs="Cambria" w:hint="default"/>
        <w:color w:val="231F20"/>
        <w:spacing w:val="-4"/>
        <w:w w:val="81"/>
        <w:sz w:val="21"/>
        <w:szCs w:val="21"/>
      </w:rPr>
    </w:lvl>
    <w:lvl w:ilvl="3">
      <w:start w:val="1"/>
      <w:numFmt w:val="decimal"/>
      <w:lvlText w:val="%1.%2.%3.%4."/>
      <w:lvlJc w:val="left"/>
      <w:pPr>
        <w:ind w:left="2213" w:hanging="717"/>
        <w:jc w:val="left"/>
      </w:pPr>
      <w:rPr>
        <w:rFonts w:ascii="Cambria" w:eastAsia="Cambria" w:hAnsi="Cambria" w:cs="Cambria" w:hint="default"/>
        <w:color w:val="231F20"/>
        <w:spacing w:val="-14"/>
        <w:w w:val="81"/>
        <w:sz w:val="21"/>
        <w:szCs w:val="21"/>
      </w:rPr>
    </w:lvl>
    <w:lvl w:ilvl="4">
      <w:numFmt w:val="bullet"/>
      <w:lvlText w:val="•"/>
      <w:lvlJc w:val="left"/>
      <w:pPr>
        <w:ind w:left="3460" w:hanging="717"/>
      </w:pPr>
      <w:rPr>
        <w:rFonts w:hint="default"/>
      </w:rPr>
    </w:lvl>
    <w:lvl w:ilvl="5">
      <w:numFmt w:val="bullet"/>
      <w:lvlText w:val="•"/>
      <w:lvlJc w:val="left"/>
      <w:pPr>
        <w:ind w:left="4081" w:hanging="717"/>
      </w:pPr>
      <w:rPr>
        <w:rFonts w:hint="default"/>
      </w:rPr>
    </w:lvl>
    <w:lvl w:ilvl="6">
      <w:numFmt w:val="bullet"/>
      <w:lvlText w:val="•"/>
      <w:lvlJc w:val="left"/>
      <w:pPr>
        <w:ind w:left="4701" w:hanging="717"/>
      </w:pPr>
      <w:rPr>
        <w:rFonts w:hint="default"/>
      </w:rPr>
    </w:lvl>
    <w:lvl w:ilvl="7">
      <w:numFmt w:val="bullet"/>
      <w:lvlText w:val="•"/>
      <w:lvlJc w:val="left"/>
      <w:pPr>
        <w:ind w:left="5322" w:hanging="717"/>
      </w:pPr>
      <w:rPr>
        <w:rFonts w:hint="default"/>
      </w:rPr>
    </w:lvl>
    <w:lvl w:ilvl="8">
      <w:numFmt w:val="bullet"/>
      <w:lvlText w:val="•"/>
      <w:lvlJc w:val="left"/>
      <w:pPr>
        <w:ind w:left="5942" w:hanging="717"/>
      </w:pPr>
      <w:rPr>
        <w:rFonts w:hint="default"/>
      </w:rPr>
    </w:lvl>
  </w:abstractNum>
  <w:abstractNum w:abstractNumId="191">
    <w:nsid w:val="45D946EC"/>
    <w:multiLevelType w:val="hybridMultilevel"/>
    <w:tmpl w:val="42EA7A72"/>
    <w:lvl w:ilvl="0" w:tplc="E0828FFE">
      <w:start w:val="6"/>
      <w:numFmt w:val="decimal"/>
      <w:lvlText w:val="%1)"/>
      <w:lvlJc w:val="left"/>
      <w:pPr>
        <w:ind w:left="533" w:hanging="239"/>
        <w:jc w:val="left"/>
      </w:pPr>
      <w:rPr>
        <w:rFonts w:ascii="Cambria" w:eastAsia="Cambria" w:hAnsi="Cambria" w:cs="Cambria" w:hint="default"/>
        <w:color w:val="231F20"/>
        <w:w w:val="100"/>
        <w:sz w:val="21"/>
        <w:szCs w:val="21"/>
      </w:rPr>
    </w:lvl>
    <w:lvl w:ilvl="1" w:tplc="8E0873B8">
      <w:start w:val="1"/>
      <w:numFmt w:val="decimal"/>
      <w:lvlText w:val="%2)"/>
      <w:lvlJc w:val="left"/>
      <w:pPr>
        <w:ind w:left="533" w:hanging="284"/>
        <w:jc w:val="left"/>
      </w:pPr>
      <w:rPr>
        <w:rFonts w:ascii="Cambria" w:eastAsia="Cambria" w:hAnsi="Cambria" w:cs="Cambria" w:hint="default"/>
        <w:color w:val="231F20"/>
        <w:spacing w:val="-6"/>
        <w:w w:val="100"/>
        <w:sz w:val="21"/>
        <w:szCs w:val="21"/>
      </w:rPr>
    </w:lvl>
    <w:lvl w:ilvl="2" w:tplc="BE22A55E">
      <w:numFmt w:val="bullet"/>
      <w:lvlText w:val="•"/>
      <w:lvlJc w:val="left"/>
      <w:pPr>
        <w:ind w:left="1868" w:hanging="284"/>
      </w:pPr>
      <w:rPr>
        <w:rFonts w:hint="default"/>
      </w:rPr>
    </w:lvl>
    <w:lvl w:ilvl="3" w:tplc="86C4790C">
      <w:numFmt w:val="bullet"/>
      <w:lvlText w:val="•"/>
      <w:lvlJc w:val="left"/>
      <w:pPr>
        <w:ind w:left="2533" w:hanging="284"/>
      </w:pPr>
      <w:rPr>
        <w:rFonts w:hint="default"/>
      </w:rPr>
    </w:lvl>
    <w:lvl w:ilvl="4" w:tplc="33E8BB66">
      <w:numFmt w:val="bullet"/>
      <w:lvlText w:val="•"/>
      <w:lvlJc w:val="left"/>
      <w:pPr>
        <w:ind w:left="3197" w:hanging="284"/>
      </w:pPr>
      <w:rPr>
        <w:rFonts w:hint="default"/>
      </w:rPr>
    </w:lvl>
    <w:lvl w:ilvl="5" w:tplc="BD5272FA">
      <w:numFmt w:val="bullet"/>
      <w:lvlText w:val="•"/>
      <w:lvlJc w:val="left"/>
      <w:pPr>
        <w:ind w:left="3861" w:hanging="284"/>
      </w:pPr>
      <w:rPr>
        <w:rFonts w:hint="default"/>
      </w:rPr>
    </w:lvl>
    <w:lvl w:ilvl="6" w:tplc="5EB47C94">
      <w:numFmt w:val="bullet"/>
      <w:lvlText w:val="•"/>
      <w:lvlJc w:val="left"/>
      <w:pPr>
        <w:ind w:left="4526" w:hanging="284"/>
      </w:pPr>
      <w:rPr>
        <w:rFonts w:hint="default"/>
      </w:rPr>
    </w:lvl>
    <w:lvl w:ilvl="7" w:tplc="992E1B84">
      <w:numFmt w:val="bullet"/>
      <w:lvlText w:val="•"/>
      <w:lvlJc w:val="left"/>
      <w:pPr>
        <w:ind w:left="5190" w:hanging="284"/>
      </w:pPr>
      <w:rPr>
        <w:rFonts w:hint="default"/>
      </w:rPr>
    </w:lvl>
    <w:lvl w:ilvl="8" w:tplc="D6C60F18">
      <w:numFmt w:val="bullet"/>
      <w:lvlText w:val="•"/>
      <w:lvlJc w:val="left"/>
      <w:pPr>
        <w:ind w:left="5855" w:hanging="284"/>
      </w:pPr>
      <w:rPr>
        <w:rFonts w:hint="default"/>
      </w:rPr>
    </w:lvl>
  </w:abstractNum>
  <w:abstractNum w:abstractNumId="192">
    <w:nsid w:val="45E2434E"/>
    <w:multiLevelType w:val="hybridMultilevel"/>
    <w:tmpl w:val="70E09AA0"/>
    <w:lvl w:ilvl="0" w:tplc="9B522F9E">
      <w:numFmt w:val="bullet"/>
      <w:lvlText w:val=""/>
      <w:lvlJc w:val="left"/>
      <w:pPr>
        <w:ind w:left="533" w:hanging="284"/>
      </w:pPr>
      <w:rPr>
        <w:rFonts w:ascii="Wingdings" w:eastAsia="Wingdings" w:hAnsi="Wingdings" w:cs="Wingdings" w:hint="default"/>
        <w:color w:val="231F20"/>
        <w:w w:val="100"/>
        <w:sz w:val="21"/>
        <w:szCs w:val="21"/>
      </w:rPr>
    </w:lvl>
    <w:lvl w:ilvl="1" w:tplc="0A68B9FA">
      <w:numFmt w:val="bullet"/>
      <w:lvlText w:val="•"/>
      <w:lvlJc w:val="left"/>
      <w:pPr>
        <w:ind w:left="1204" w:hanging="284"/>
      </w:pPr>
      <w:rPr>
        <w:rFonts w:hint="default"/>
      </w:rPr>
    </w:lvl>
    <w:lvl w:ilvl="2" w:tplc="59FA4292">
      <w:numFmt w:val="bullet"/>
      <w:lvlText w:val="•"/>
      <w:lvlJc w:val="left"/>
      <w:pPr>
        <w:ind w:left="1868" w:hanging="284"/>
      </w:pPr>
      <w:rPr>
        <w:rFonts w:hint="default"/>
      </w:rPr>
    </w:lvl>
    <w:lvl w:ilvl="3" w:tplc="60CE4822">
      <w:numFmt w:val="bullet"/>
      <w:lvlText w:val="•"/>
      <w:lvlJc w:val="left"/>
      <w:pPr>
        <w:ind w:left="2533" w:hanging="284"/>
      </w:pPr>
      <w:rPr>
        <w:rFonts w:hint="default"/>
      </w:rPr>
    </w:lvl>
    <w:lvl w:ilvl="4" w:tplc="B14C2350">
      <w:numFmt w:val="bullet"/>
      <w:lvlText w:val="•"/>
      <w:lvlJc w:val="left"/>
      <w:pPr>
        <w:ind w:left="3197" w:hanging="284"/>
      </w:pPr>
      <w:rPr>
        <w:rFonts w:hint="default"/>
      </w:rPr>
    </w:lvl>
    <w:lvl w:ilvl="5" w:tplc="27C077EA">
      <w:numFmt w:val="bullet"/>
      <w:lvlText w:val="•"/>
      <w:lvlJc w:val="left"/>
      <w:pPr>
        <w:ind w:left="3861" w:hanging="284"/>
      </w:pPr>
      <w:rPr>
        <w:rFonts w:hint="default"/>
      </w:rPr>
    </w:lvl>
    <w:lvl w:ilvl="6" w:tplc="E36425DC">
      <w:numFmt w:val="bullet"/>
      <w:lvlText w:val="•"/>
      <w:lvlJc w:val="left"/>
      <w:pPr>
        <w:ind w:left="4526" w:hanging="284"/>
      </w:pPr>
      <w:rPr>
        <w:rFonts w:hint="default"/>
      </w:rPr>
    </w:lvl>
    <w:lvl w:ilvl="7" w:tplc="E96EE7CA">
      <w:numFmt w:val="bullet"/>
      <w:lvlText w:val="•"/>
      <w:lvlJc w:val="left"/>
      <w:pPr>
        <w:ind w:left="5190" w:hanging="284"/>
      </w:pPr>
      <w:rPr>
        <w:rFonts w:hint="default"/>
      </w:rPr>
    </w:lvl>
    <w:lvl w:ilvl="8" w:tplc="B17C8A4C">
      <w:numFmt w:val="bullet"/>
      <w:lvlText w:val="•"/>
      <w:lvlJc w:val="left"/>
      <w:pPr>
        <w:ind w:left="5855" w:hanging="284"/>
      </w:pPr>
      <w:rPr>
        <w:rFonts w:hint="default"/>
      </w:rPr>
    </w:lvl>
  </w:abstractNum>
  <w:abstractNum w:abstractNumId="193">
    <w:nsid w:val="4633561D"/>
    <w:multiLevelType w:val="hybridMultilevel"/>
    <w:tmpl w:val="A8EE6662"/>
    <w:lvl w:ilvl="0" w:tplc="533A729E">
      <w:start w:val="4"/>
      <w:numFmt w:val="decimal"/>
      <w:lvlText w:val="%1)"/>
      <w:lvlJc w:val="left"/>
      <w:pPr>
        <w:ind w:left="533" w:hanging="284"/>
        <w:jc w:val="right"/>
      </w:pPr>
      <w:rPr>
        <w:rFonts w:ascii="Cambria" w:eastAsia="Cambria" w:hAnsi="Cambria" w:cs="Cambria" w:hint="default"/>
        <w:color w:val="231F20"/>
        <w:spacing w:val="-9"/>
        <w:w w:val="100"/>
        <w:sz w:val="21"/>
        <w:szCs w:val="21"/>
      </w:rPr>
    </w:lvl>
    <w:lvl w:ilvl="1" w:tplc="AC20D30E">
      <w:numFmt w:val="bullet"/>
      <w:lvlText w:val="•"/>
      <w:lvlJc w:val="left"/>
      <w:pPr>
        <w:ind w:left="1204" w:hanging="284"/>
      </w:pPr>
      <w:rPr>
        <w:rFonts w:hint="default"/>
      </w:rPr>
    </w:lvl>
    <w:lvl w:ilvl="2" w:tplc="8146C366">
      <w:numFmt w:val="bullet"/>
      <w:lvlText w:val="•"/>
      <w:lvlJc w:val="left"/>
      <w:pPr>
        <w:ind w:left="1868" w:hanging="284"/>
      </w:pPr>
      <w:rPr>
        <w:rFonts w:hint="default"/>
      </w:rPr>
    </w:lvl>
    <w:lvl w:ilvl="3" w:tplc="D87C8DFC">
      <w:numFmt w:val="bullet"/>
      <w:lvlText w:val="•"/>
      <w:lvlJc w:val="left"/>
      <w:pPr>
        <w:ind w:left="2533" w:hanging="284"/>
      </w:pPr>
      <w:rPr>
        <w:rFonts w:hint="default"/>
      </w:rPr>
    </w:lvl>
    <w:lvl w:ilvl="4" w:tplc="6C3823D8">
      <w:numFmt w:val="bullet"/>
      <w:lvlText w:val="•"/>
      <w:lvlJc w:val="left"/>
      <w:pPr>
        <w:ind w:left="3197" w:hanging="284"/>
      </w:pPr>
      <w:rPr>
        <w:rFonts w:hint="default"/>
      </w:rPr>
    </w:lvl>
    <w:lvl w:ilvl="5" w:tplc="72DC04D6">
      <w:numFmt w:val="bullet"/>
      <w:lvlText w:val="•"/>
      <w:lvlJc w:val="left"/>
      <w:pPr>
        <w:ind w:left="3861" w:hanging="284"/>
      </w:pPr>
      <w:rPr>
        <w:rFonts w:hint="default"/>
      </w:rPr>
    </w:lvl>
    <w:lvl w:ilvl="6" w:tplc="D958942A">
      <w:numFmt w:val="bullet"/>
      <w:lvlText w:val="•"/>
      <w:lvlJc w:val="left"/>
      <w:pPr>
        <w:ind w:left="4526" w:hanging="284"/>
      </w:pPr>
      <w:rPr>
        <w:rFonts w:hint="default"/>
      </w:rPr>
    </w:lvl>
    <w:lvl w:ilvl="7" w:tplc="A546EB16">
      <w:numFmt w:val="bullet"/>
      <w:lvlText w:val="•"/>
      <w:lvlJc w:val="left"/>
      <w:pPr>
        <w:ind w:left="5190" w:hanging="284"/>
      </w:pPr>
      <w:rPr>
        <w:rFonts w:hint="default"/>
      </w:rPr>
    </w:lvl>
    <w:lvl w:ilvl="8" w:tplc="3F8A0C3E">
      <w:numFmt w:val="bullet"/>
      <w:lvlText w:val="•"/>
      <w:lvlJc w:val="left"/>
      <w:pPr>
        <w:ind w:left="5855" w:hanging="284"/>
      </w:pPr>
      <w:rPr>
        <w:rFonts w:hint="default"/>
      </w:rPr>
    </w:lvl>
  </w:abstractNum>
  <w:abstractNum w:abstractNumId="194">
    <w:nsid w:val="465450F9"/>
    <w:multiLevelType w:val="hybridMultilevel"/>
    <w:tmpl w:val="73FE5364"/>
    <w:lvl w:ilvl="0" w:tplc="7952B05E">
      <w:numFmt w:val="bullet"/>
      <w:lvlText w:val=""/>
      <w:lvlJc w:val="left"/>
      <w:pPr>
        <w:ind w:left="533" w:hanging="284"/>
      </w:pPr>
      <w:rPr>
        <w:rFonts w:ascii="Wingdings" w:eastAsia="Wingdings" w:hAnsi="Wingdings" w:cs="Wingdings" w:hint="default"/>
        <w:color w:val="231F20"/>
        <w:w w:val="100"/>
        <w:sz w:val="21"/>
        <w:szCs w:val="21"/>
      </w:rPr>
    </w:lvl>
    <w:lvl w:ilvl="1" w:tplc="B9D46C60">
      <w:numFmt w:val="bullet"/>
      <w:lvlText w:val="•"/>
      <w:lvlJc w:val="left"/>
      <w:pPr>
        <w:ind w:left="1204" w:hanging="284"/>
      </w:pPr>
      <w:rPr>
        <w:rFonts w:hint="default"/>
      </w:rPr>
    </w:lvl>
    <w:lvl w:ilvl="2" w:tplc="339C4E44">
      <w:numFmt w:val="bullet"/>
      <w:lvlText w:val="•"/>
      <w:lvlJc w:val="left"/>
      <w:pPr>
        <w:ind w:left="1868" w:hanging="284"/>
      </w:pPr>
      <w:rPr>
        <w:rFonts w:hint="default"/>
      </w:rPr>
    </w:lvl>
    <w:lvl w:ilvl="3" w:tplc="030E7BA2">
      <w:numFmt w:val="bullet"/>
      <w:lvlText w:val="•"/>
      <w:lvlJc w:val="left"/>
      <w:pPr>
        <w:ind w:left="2533" w:hanging="284"/>
      </w:pPr>
      <w:rPr>
        <w:rFonts w:hint="default"/>
      </w:rPr>
    </w:lvl>
    <w:lvl w:ilvl="4" w:tplc="80C21CCE">
      <w:numFmt w:val="bullet"/>
      <w:lvlText w:val="•"/>
      <w:lvlJc w:val="left"/>
      <w:pPr>
        <w:ind w:left="3197" w:hanging="284"/>
      </w:pPr>
      <w:rPr>
        <w:rFonts w:hint="default"/>
      </w:rPr>
    </w:lvl>
    <w:lvl w:ilvl="5" w:tplc="8A7C307E">
      <w:numFmt w:val="bullet"/>
      <w:lvlText w:val="•"/>
      <w:lvlJc w:val="left"/>
      <w:pPr>
        <w:ind w:left="3861" w:hanging="284"/>
      </w:pPr>
      <w:rPr>
        <w:rFonts w:hint="default"/>
      </w:rPr>
    </w:lvl>
    <w:lvl w:ilvl="6" w:tplc="B4360AC6">
      <w:numFmt w:val="bullet"/>
      <w:lvlText w:val="•"/>
      <w:lvlJc w:val="left"/>
      <w:pPr>
        <w:ind w:left="4526" w:hanging="284"/>
      </w:pPr>
      <w:rPr>
        <w:rFonts w:hint="default"/>
      </w:rPr>
    </w:lvl>
    <w:lvl w:ilvl="7" w:tplc="9DD0A70E">
      <w:numFmt w:val="bullet"/>
      <w:lvlText w:val="•"/>
      <w:lvlJc w:val="left"/>
      <w:pPr>
        <w:ind w:left="5190" w:hanging="284"/>
      </w:pPr>
      <w:rPr>
        <w:rFonts w:hint="default"/>
      </w:rPr>
    </w:lvl>
    <w:lvl w:ilvl="8" w:tplc="44946DD4">
      <w:numFmt w:val="bullet"/>
      <w:lvlText w:val="•"/>
      <w:lvlJc w:val="left"/>
      <w:pPr>
        <w:ind w:left="5855" w:hanging="284"/>
      </w:pPr>
      <w:rPr>
        <w:rFonts w:hint="default"/>
      </w:rPr>
    </w:lvl>
  </w:abstractNum>
  <w:abstractNum w:abstractNumId="195">
    <w:nsid w:val="46C65055"/>
    <w:multiLevelType w:val="multilevel"/>
    <w:tmpl w:val="8556DB16"/>
    <w:lvl w:ilvl="0">
      <w:start w:val="6"/>
      <w:numFmt w:val="decimal"/>
      <w:lvlText w:val="%1"/>
      <w:lvlJc w:val="left"/>
      <w:pPr>
        <w:ind w:left="2567" w:hanging="411"/>
        <w:jc w:val="left"/>
      </w:pPr>
      <w:rPr>
        <w:rFonts w:hint="default"/>
      </w:rPr>
    </w:lvl>
    <w:lvl w:ilvl="1">
      <w:start w:val="1"/>
      <w:numFmt w:val="decimal"/>
      <w:lvlText w:val="%1.%2."/>
      <w:lvlJc w:val="left"/>
      <w:pPr>
        <w:ind w:left="2567" w:hanging="411"/>
        <w:jc w:val="right"/>
      </w:pPr>
      <w:rPr>
        <w:rFonts w:ascii="Cambria" w:eastAsia="Cambria" w:hAnsi="Cambria" w:cs="Cambria" w:hint="default"/>
        <w:b/>
        <w:bCs/>
        <w:color w:val="231F20"/>
        <w:spacing w:val="-1"/>
        <w:w w:val="100"/>
        <w:sz w:val="22"/>
        <w:szCs w:val="22"/>
      </w:rPr>
    </w:lvl>
    <w:lvl w:ilvl="2">
      <w:start w:val="1"/>
      <w:numFmt w:val="decimal"/>
      <w:lvlText w:val="%3."/>
      <w:lvlJc w:val="left"/>
      <w:pPr>
        <w:ind w:left="533" w:hanging="284"/>
        <w:jc w:val="left"/>
      </w:pPr>
      <w:rPr>
        <w:rFonts w:ascii="Cambria" w:eastAsia="Cambria" w:hAnsi="Cambria" w:cs="Cambria" w:hint="default"/>
        <w:color w:val="231F20"/>
        <w:spacing w:val="-21"/>
        <w:w w:val="100"/>
        <w:sz w:val="21"/>
        <w:szCs w:val="21"/>
      </w:rPr>
    </w:lvl>
    <w:lvl w:ilvl="3">
      <w:numFmt w:val="bullet"/>
      <w:lvlText w:val="•"/>
      <w:lvlJc w:val="left"/>
      <w:pPr>
        <w:ind w:left="3587" w:hanging="284"/>
      </w:pPr>
      <w:rPr>
        <w:rFonts w:hint="default"/>
      </w:rPr>
    </w:lvl>
    <w:lvl w:ilvl="4">
      <w:numFmt w:val="bullet"/>
      <w:lvlText w:val="•"/>
      <w:lvlJc w:val="left"/>
      <w:pPr>
        <w:ind w:left="4101" w:hanging="284"/>
      </w:pPr>
      <w:rPr>
        <w:rFonts w:hint="default"/>
      </w:rPr>
    </w:lvl>
    <w:lvl w:ilvl="5">
      <w:numFmt w:val="bullet"/>
      <w:lvlText w:val="•"/>
      <w:lvlJc w:val="left"/>
      <w:pPr>
        <w:ind w:left="4615" w:hanging="284"/>
      </w:pPr>
      <w:rPr>
        <w:rFonts w:hint="default"/>
      </w:rPr>
    </w:lvl>
    <w:lvl w:ilvl="6">
      <w:numFmt w:val="bullet"/>
      <w:lvlText w:val="•"/>
      <w:lvlJc w:val="left"/>
      <w:pPr>
        <w:ind w:left="5128" w:hanging="284"/>
      </w:pPr>
      <w:rPr>
        <w:rFonts w:hint="default"/>
      </w:rPr>
    </w:lvl>
    <w:lvl w:ilvl="7">
      <w:numFmt w:val="bullet"/>
      <w:lvlText w:val="•"/>
      <w:lvlJc w:val="left"/>
      <w:pPr>
        <w:ind w:left="5642" w:hanging="284"/>
      </w:pPr>
      <w:rPr>
        <w:rFonts w:hint="default"/>
      </w:rPr>
    </w:lvl>
    <w:lvl w:ilvl="8">
      <w:numFmt w:val="bullet"/>
      <w:lvlText w:val="•"/>
      <w:lvlJc w:val="left"/>
      <w:pPr>
        <w:ind w:left="6156" w:hanging="284"/>
      </w:pPr>
      <w:rPr>
        <w:rFonts w:hint="default"/>
      </w:rPr>
    </w:lvl>
  </w:abstractNum>
  <w:abstractNum w:abstractNumId="196">
    <w:nsid w:val="470F41A1"/>
    <w:multiLevelType w:val="multilevel"/>
    <w:tmpl w:val="5C021270"/>
    <w:lvl w:ilvl="0">
      <w:start w:val="1"/>
      <w:numFmt w:val="decimal"/>
      <w:lvlText w:val="%1)"/>
      <w:lvlJc w:val="left"/>
      <w:pPr>
        <w:ind w:left="1100" w:hanging="284"/>
        <w:jc w:val="left"/>
      </w:pPr>
      <w:rPr>
        <w:rFonts w:ascii="Cambria" w:eastAsia="Cambria" w:hAnsi="Cambria" w:cs="Cambria" w:hint="default"/>
        <w:color w:val="231F20"/>
        <w:spacing w:val="-6"/>
        <w:w w:val="100"/>
        <w:sz w:val="21"/>
        <w:szCs w:val="21"/>
      </w:rPr>
    </w:lvl>
    <w:lvl w:ilvl="1">
      <w:start w:val="1"/>
      <w:numFmt w:val="decimal"/>
      <w:lvlText w:val="%1.%2)"/>
      <w:lvlJc w:val="left"/>
      <w:pPr>
        <w:ind w:left="1497" w:hanging="397"/>
        <w:jc w:val="left"/>
      </w:pPr>
      <w:rPr>
        <w:rFonts w:ascii="Cambria" w:eastAsia="Cambria" w:hAnsi="Cambria" w:cs="Cambria" w:hint="default"/>
        <w:i/>
        <w:color w:val="231F20"/>
        <w:spacing w:val="0"/>
        <w:w w:val="100"/>
        <w:sz w:val="21"/>
        <w:szCs w:val="21"/>
      </w:rPr>
    </w:lvl>
    <w:lvl w:ilvl="2">
      <w:numFmt w:val="bullet"/>
      <w:lvlText w:val="•"/>
      <w:lvlJc w:val="left"/>
      <w:pPr>
        <w:ind w:left="2131" w:hanging="397"/>
      </w:pPr>
      <w:rPr>
        <w:rFonts w:hint="default"/>
      </w:rPr>
    </w:lvl>
    <w:lvl w:ilvl="3">
      <w:numFmt w:val="bullet"/>
      <w:lvlText w:val="•"/>
      <w:lvlJc w:val="left"/>
      <w:pPr>
        <w:ind w:left="2763" w:hanging="397"/>
      </w:pPr>
      <w:rPr>
        <w:rFonts w:hint="default"/>
      </w:rPr>
    </w:lvl>
    <w:lvl w:ilvl="4">
      <w:numFmt w:val="bullet"/>
      <w:lvlText w:val="•"/>
      <w:lvlJc w:val="left"/>
      <w:pPr>
        <w:ind w:left="3394" w:hanging="397"/>
      </w:pPr>
      <w:rPr>
        <w:rFonts w:hint="default"/>
      </w:rPr>
    </w:lvl>
    <w:lvl w:ilvl="5">
      <w:numFmt w:val="bullet"/>
      <w:lvlText w:val="•"/>
      <w:lvlJc w:val="left"/>
      <w:pPr>
        <w:ind w:left="4026" w:hanging="397"/>
      </w:pPr>
      <w:rPr>
        <w:rFonts w:hint="default"/>
      </w:rPr>
    </w:lvl>
    <w:lvl w:ilvl="6">
      <w:numFmt w:val="bullet"/>
      <w:lvlText w:val="•"/>
      <w:lvlJc w:val="left"/>
      <w:pPr>
        <w:ind w:left="4657" w:hanging="397"/>
      </w:pPr>
      <w:rPr>
        <w:rFonts w:hint="default"/>
      </w:rPr>
    </w:lvl>
    <w:lvl w:ilvl="7">
      <w:numFmt w:val="bullet"/>
      <w:lvlText w:val="•"/>
      <w:lvlJc w:val="left"/>
      <w:pPr>
        <w:ind w:left="5289" w:hanging="397"/>
      </w:pPr>
      <w:rPr>
        <w:rFonts w:hint="default"/>
      </w:rPr>
    </w:lvl>
    <w:lvl w:ilvl="8">
      <w:numFmt w:val="bullet"/>
      <w:lvlText w:val="•"/>
      <w:lvlJc w:val="left"/>
      <w:pPr>
        <w:ind w:left="5920" w:hanging="397"/>
      </w:pPr>
      <w:rPr>
        <w:rFonts w:hint="default"/>
      </w:rPr>
    </w:lvl>
  </w:abstractNum>
  <w:abstractNum w:abstractNumId="197">
    <w:nsid w:val="471B2C84"/>
    <w:multiLevelType w:val="multilevel"/>
    <w:tmpl w:val="C1C8AB32"/>
    <w:lvl w:ilvl="0">
      <w:start w:val="1"/>
      <w:numFmt w:val="decimal"/>
      <w:lvlText w:val="%1)"/>
      <w:lvlJc w:val="left"/>
      <w:pPr>
        <w:ind w:left="250" w:hanging="284"/>
        <w:jc w:val="left"/>
      </w:pPr>
      <w:rPr>
        <w:rFonts w:ascii="Cambria" w:eastAsia="Cambria" w:hAnsi="Cambria" w:cs="Cambria" w:hint="default"/>
        <w:color w:val="231F20"/>
        <w:spacing w:val="-11"/>
        <w:w w:val="100"/>
        <w:sz w:val="21"/>
        <w:szCs w:val="21"/>
      </w:rPr>
    </w:lvl>
    <w:lvl w:ilvl="1">
      <w:start w:val="1"/>
      <w:numFmt w:val="decimal"/>
      <w:lvlText w:val="%1.%2)"/>
      <w:lvlJc w:val="left"/>
      <w:pPr>
        <w:ind w:left="1270" w:hanging="454"/>
        <w:jc w:val="left"/>
      </w:pPr>
      <w:rPr>
        <w:rFonts w:ascii="Cambria" w:eastAsia="Cambria" w:hAnsi="Cambria" w:cs="Cambria" w:hint="default"/>
        <w:i/>
        <w:color w:val="231F20"/>
        <w:spacing w:val="-20"/>
        <w:w w:val="100"/>
        <w:sz w:val="21"/>
        <w:szCs w:val="21"/>
      </w:rPr>
    </w:lvl>
    <w:lvl w:ilvl="2">
      <w:numFmt w:val="bullet"/>
      <w:lvlText w:val="•"/>
      <w:lvlJc w:val="left"/>
      <w:pPr>
        <w:ind w:left="1935" w:hanging="454"/>
      </w:pPr>
      <w:rPr>
        <w:rFonts w:hint="default"/>
      </w:rPr>
    </w:lvl>
    <w:lvl w:ilvl="3">
      <w:numFmt w:val="bullet"/>
      <w:lvlText w:val="•"/>
      <w:lvlJc w:val="left"/>
      <w:pPr>
        <w:ind w:left="2591" w:hanging="454"/>
      </w:pPr>
      <w:rPr>
        <w:rFonts w:hint="default"/>
      </w:rPr>
    </w:lvl>
    <w:lvl w:ilvl="4">
      <w:numFmt w:val="bullet"/>
      <w:lvlText w:val="•"/>
      <w:lvlJc w:val="left"/>
      <w:pPr>
        <w:ind w:left="3247" w:hanging="454"/>
      </w:pPr>
      <w:rPr>
        <w:rFonts w:hint="default"/>
      </w:rPr>
    </w:lvl>
    <w:lvl w:ilvl="5">
      <w:numFmt w:val="bullet"/>
      <w:lvlText w:val="•"/>
      <w:lvlJc w:val="left"/>
      <w:pPr>
        <w:ind w:left="3903" w:hanging="454"/>
      </w:pPr>
      <w:rPr>
        <w:rFonts w:hint="default"/>
      </w:rPr>
    </w:lvl>
    <w:lvl w:ilvl="6">
      <w:numFmt w:val="bullet"/>
      <w:lvlText w:val="•"/>
      <w:lvlJc w:val="left"/>
      <w:pPr>
        <w:ind w:left="4559" w:hanging="454"/>
      </w:pPr>
      <w:rPr>
        <w:rFonts w:hint="default"/>
      </w:rPr>
    </w:lvl>
    <w:lvl w:ilvl="7">
      <w:numFmt w:val="bullet"/>
      <w:lvlText w:val="•"/>
      <w:lvlJc w:val="left"/>
      <w:pPr>
        <w:ind w:left="5215" w:hanging="454"/>
      </w:pPr>
      <w:rPr>
        <w:rFonts w:hint="default"/>
      </w:rPr>
    </w:lvl>
    <w:lvl w:ilvl="8">
      <w:numFmt w:val="bullet"/>
      <w:lvlText w:val="•"/>
      <w:lvlJc w:val="left"/>
      <w:pPr>
        <w:ind w:left="5871" w:hanging="454"/>
      </w:pPr>
      <w:rPr>
        <w:rFonts w:hint="default"/>
      </w:rPr>
    </w:lvl>
  </w:abstractNum>
  <w:abstractNum w:abstractNumId="198">
    <w:nsid w:val="475D0AD4"/>
    <w:multiLevelType w:val="hybridMultilevel"/>
    <w:tmpl w:val="42F89B28"/>
    <w:lvl w:ilvl="0" w:tplc="D7B8493A">
      <w:numFmt w:val="bullet"/>
      <w:lvlText w:val="•"/>
      <w:lvlJc w:val="left"/>
      <w:pPr>
        <w:ind w:left="533" w:hanging="284"/>
      </w:pPr>
      <w:rPr>
        <w:rFonts w:ascii="Cambria" w:eastAsia="Cambria" w:hAnsi="Cambria" w:cs="Cambria" w:hint="default"/>
        <w:color w:val="231F20"/>
        <w:spacing w:val="-11"/>
        <w:w w:val="100"/>
        <w:sz w:val="21"/>
        <w:szCs w:val="21"/>
      </w:rPr>
    </w:lvl>
    <w:lvl w:ilvl="1" w:tplc="84DC8242">
      <w:numFmt w:val="bullet"/>
      <w:lvlText w:val="•"/>
      <w:lvlJc w:val="left"/>
      <w:pPr>
        <w:ind w:left="1204" w:hanging="284"/>
      </w:pPr>
      <w:rPr>
        <w:rFonts w:hint="default"/>
      </w:rPr>
    </w:lvl>
    <w:lvl w:ilvl="2" w:tplc="91A88672">
      <w:numFmt w:val="bullet"/>
      <w:lvlText w:val="•"/>
      <w:lvlJc w:val="left"/>
      <w:pPr>
        <w:ind w:left="1868" w:hanging="284"/>
      </w:pPr>
      <w:rPr>
        <w:rFonts w:hint="default"/>
      </w:rPr>
    </w:lvl>
    <w:lvl w:ilvl="3" w:tplc="3F0ABB50">
      <w:numFmt w:val="bullet"/>
      <w:lvlText w:val="•"/>
      <w:lvlJc w:val="left"/>
      <w:pPr>
        <w:ind w:left="2533" w:hanging="284"/>
      </w:pPr>
      <w:rPr>
        <w:rFonts w:hint="default"/>
      </w:rPr>
    </w:lvl>
    <w:lvl w:ilvl="4" w:tplc="7E6C70EE">
      <w:numFmt w:val="bullet"/>
      <w:lvlText w:val="•"/>
      <w:lvlJc w:val="left"/>
      <w:pPr>
        <w:ind w:left="3197" w:hanging="284"/>
      </w:pPr>
      <w:rPr>
        <w:rFonts w:hint="default"/>
      </w:rPr>
    </w:lvl>
    <w:lvl w:ilvl="5" w:tplc="B8588528">
      <w:numFmt w:val="bullet"/>
      <w:lvlText w:val="•"/>
      <w:lvlJc w:val="left"/>
      <w:pPr>
        <w:ind w:left="3861" w:hanging="284"/>
      </w:pPr>
      <w:rPr>
        <w:rFonts w:hint="default"/>
      </w:rPr>
    </w:lvl>
    <w:lvl w:ilvl="6" w:tplc="BED230AA">
      <w:numFmt w:val="bullet"/>
      <w:lvlText w:val="•"/>
      <w:lvlJc w:val="left"/>
      <w:pPr>
        <w:ind w:left="4526" w:hanging="284"/>
      </w:pPr>
      <w:rPr>
        <w:rFonts w:hint="default"/>
      </w:rPr>
    </w:lvl>
    <w:lvl w:ilvl="7" w:tplc="5BD0A8CA">
      <w:numFmt w:val="bullet"/>
      <w:lvlText w:val="•"/>
      <w:lvlJc w:val="left"/>
      <w:pPr>
        <w:ind w:left="5190" w:hanging="284"/>
      </w:pPr>
      <w:rPr>
        <w:rFonts w:hint="default"/>
      </w:rPr>
    </w:lvl>
    <w:lvl w:ilvl="8" w:tplc="D4F8A5BE">
      <w:numFmt w:val="bullet"/>
      <w:lvlText w:val="•"/>
      <w:lvlJc w:val="left"/>
      <w:pPr>
        <w:ind w:left="5855" w:hanging="284"/>
      </w:pPr>
      <w:rPr>
        <w:rFonts w:hint="default"/>
      </w:rPr>
    </w:lvl>
  </w:abstractNum>
  <w:abstractNum w:abstractNumId="199">
    <w:nsid w:val="479B45A9"/>
    <w:multiLevelType w:val="hybridMultilevel"/>
    <w:tmpl w:val="66BE2668"/>
    <w:lvl w:ilvl="0" w:tplc="B3DEC60E">
      <w:start w:val="4"/>
      <w:numFmt w:val="decimal"/>
      <w:lvlText w:val="%1)"/>
      <w:lvlJc w:val="left"/>
      <w:pPr>
        <w:ind w:left="533" w:hanging="284"/>
        <w:jc w:val="left"/>
      </w:pPr>
      <w:rPr>
        <w:rFonts w:ascii="Cambria" w:eastAsia="Cambria" w:hAnsi="Cambria" w:cs="Cambria" w:hint="default"/>
        <w:color w:val="231F20"/>
        <w:spacing w:val="-21"/>
        <w:w w:val="100"/>
        <w:sz w:val="21"/>
        <w:szCs w:val="21"/>
      </w:rPr>
    </w:lvl>
    <w:lvl w:ilvl="1" w:tplc="83721E60">
      <w:numFmt w:val="bullet"/>
      <w:lvlText w:val="•"/>
      <w:lvlJc w:val="left"/>
      <w:pPr>
        <w:ind w:left="1204" w:hanging="284"/>
      </w:pPr>
      <w:rPr>
        <w:rFonts w:hint="default"/>
      </w:rPr>
    </w:lvl>
    <w:lvl w:ilvl="2" w:tplc="B01A496C">
      <w:numFmt w:val="bullet"/>
      <w:lvlText w:val="•"/>
      <w:lvlJc w:val="left"/>
      <w:pPr>
        <w:ind w:left="1868" w:hanging="284"/>
      </w:pPr>
      <w:rPr>
        <w:rFonts w:hint="default"/>
      </w:rPr>
    </w:lvl>
    <w:lvl w:ilvl="3" w:tplc="4382231A">
      <w:numFmt w:val="bullet"/>
      <w:lvlText w:val="•"/>
      <w:lvlJc w:val="left"/>
      <w:pPr>
        <w:ind w:left="2533" w:hanging="284"/>
      </w:pPr>
      <w:rPr>
        <w:rFonts w:hint="default"/>
      </w:rPr>
    </w:lvl>
    <w:lvl w:ilvl="4" w:tplc="E5B8726E">
      <w:numFmt w:val="bullet"/>
      <w:lvlText w:val="•"/>
      <w:lvlJc w:val="left"/>
      <w:pPr>
        <w:ind w:left="3197" w:hanging="284"/>
      </w:pPr>
      <w:rPr>
        <w:rFonts w:hint="default"/>
      </w:rPr>
    </w:lvl>
    <w:lvl w:ilvl="5" w:tplc="5A32B61E">
      <w:numFmt w:val="bullet"/>
      <w:lvlText w:val="•"/>
      <w:lvlJc w:val="left"/>
      <w:pPr>
        <w:ind w:left="3861" w:hanging="284"/>
      </w:pPr>
      <w:rPr>
        <w:rFonts w:hint="default"/>
      </w:rPr>
    </w:lvl>
    <w:lvl w:ilvl="6" w:tplc="1DDCC2F6">
      <w:numFmt w:val="bullet"/>
      <w:lvlText w:val="•"/>
      <w:lvlJc w:val="left"/>
      <w:pPr>
        <w:ind w:left="4526" w:hanging="284"/>
      </w:pPr>
      <w:rPr>
        <w:rFonts w:hint="default"/>
      </w:rPr>
    </w:lvl>
    <w:lvl w:ilvl="7" w:tplc="08C27520">
      <w:numFmt w:val="bullet"/>
      <w:lvlText w:val="•"/>
      <w:lvlJc w:val="left"/>
      <w:pPr>
        <w:ind w:left="5190" w:hanging="284"/>
      </w:pPr>
      <w:rPr>
        <w:rFonts w:hint="default"/>
      </w:rPr>
    </w:lvl>
    <w:lvl w:ilvl="8" w:tplc="B3BA5668">
      <w:numFmt w:val="bullet"/>
      <w:lvlText w:val="•"/>
      <w:lvlJc w:val="left"/>
      <w:pPr>
        <w:ind w:left="5855" w:hanging="284"/>
      </w:pPr>
      <w:rPr>
        <w:rFonts w:hint="default"/>
      </w:rPr>
    </w:lvl>
  </w:abstractNum>
  <w:abstractNum w:abstractNumId="200">
    <w:nsid w:val="48906E19"/>
    <w:multiLevelType w:val="multilevel"/>
    <w:tmpl w:val="1C880CD6"/>
    <w:lvl w:ilvl="0">
      <w:start w:val="1"/>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numFmt w:val="bullet"/>
      <w:lvlText w:val="•"/>
      <w:lvlJc w:val="left"/>
      <w:pPr>
        <w:ind w:left="1948" w:hanging="397"/>
      </w:pPr>
      <w:rPr>
        <w:rFonts w:hint="default"/>
      </w:rPr>
    </w:lvl>
    <w:lvl w:ilvl="3">
      <w:numFmt w:val="bullet"/>
      <w:lvlText w:val="•"/>
      <w:lvlJc w:val="left"/>
      <w:pPr>
        <w:ind w:left="2603" w:hanging="397"/>
      </w:pPr>
      <w:rPr>
        <w:rFonts w:hint="default"/>
      </w:rPr>
    </w:lvl>
    <w:lvl w:ilvl="4">
      <w:numFmt w:val="bullet"/>
      <w:lvlText w:val="•"/>
      <w:lvlJc w:val="left"/>
      <w:pPr>
        <w:ind w:left="3257" w:hanging="397"/>
      </w:pPr>
      <w:rPr>
        <w:rFonts w:hint="default"/>
      </w:rPr>
    </w:lvl>
    <w:lvl w:ilvl="5">
      <w:numFmt w:val="bullet"/>
      <w:lvlText w:val="•"/>
      <w:lvlJc w:val="left"/>
      <w:pPr>
        <w:ind w:left="3911" w:hanging="397"/>
      </w:pPr>
      <w:rPr>
        <w:rFonts w:hint="default"/>
      </w:rPr>
    </w:lvl>
    <w:lvl w:ilvl="6">
      <w:numFmt w:val="bullet"/>
      <w:lvlText w:val="•"/>
      <w:lvlJc w:val="left"/>
      <w:pPr>
        <w:ind w:left="4566" w:hanging="397"/>
      </w:pPr>
      <w:rPr>
        <w:rFonts w:hint="default"/>
      </w:rPr>
    </w:lvl>
    <w:lvl w:ilvl="7">
      <w:numFmt w:val="bullet"/>
      <w:lvlText w:val="•"/>
      <w:lvlJc w:val="left"/>
      <w:pPr>
        <w:ind w:left="5220" w:hanging="397"/>
      </w:pPr>
      <w:rPr>
        <w:rFonts w:hint="default"/>
      </w:rPr>
    </w:lvl>
    <w:lvl w:ilvl="8">
      <w:numFmt w:val="bullet"/>
      <w:lvlText w:val="•"/>
      <w:lvlJc w:val="left"/>
      <w:pPr>
        <w:ind w:left="5875" w:hanging="397"/>
      </w:pPr>
      <w:rPr>
        <w:rFonts w:hint="default"/>
      </w:rPr>
    </w:lvl>
  </w:abstractNum>
  <w:abstractNum w:abstractNumId="201">
    <w:nsid w:val="4926696D"/>
    <w:multiLevelType w:val="hybridMultilevel"/>
    <w:tmpl w:val="A23AFD22"/>
    <w:lvl w:ilvl="0" w:tplc="AF4C8526">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70EC9720">
      <w:start w:val="1"/>
      <w:numFmt w:val="decimal"/>
      <w:lvlText w:val="%2."/>
      <w:lvlJc w:val="left"/>
      <w:pPr>
        <w:ind w:left="533" w:hanging="284"/>
        <w:jc w:val="left"/>
      </w:pPr>
      <w:rPr>
        <w:rFonts w:ascii="Cambria" w:eastAsia="Cambria" w:hAnsi="Cambria" w:cs="Cambria" w:hint="default"/>
        <w:color w:val="231F20"/>
        <w:spacing w:val="-15"/>
        <w:w w:val="100"/>
        <w:sz w:val="21"/>
        <w:szCs w:val="21"/>
      </w:rPr>
    </w:lvl>
    <w:lvl w:ilvl="2" w:tplc="27BCCDCA">
      <w:numFmt w:val="bullet"/>
      <w:lvlText w:val="•"/>
      <w:lvlJc w:val="left"/>
      <w:pPr>
        <w:ind w:left="1278" w:hanging="284"/>
      </w:pPr>
      <w:rPr>
        <w:rFonts w:hint="default"/>
      </w:rPr>
    </w:lvl>
    <w:lvl w:ilvl="3" w:tplc="5502C6A4">
      <w:numFmt w:val="bullet"/>
      <w:lvlText w:val="•"/>
      <w:lvlJc w:val="left"/>
      <w:pPr>
        <w:ind w:left="2016" w:hanging="284"/>
      </w:pPr>
      <w:rPr>
        <w:rFonts w:hint="default"/>
      </w:rPr>
    </w:lvl>
    <w:lvl w:ilvl="4" w:tplc="F8567F8E">
      <w:numFmt w:val="bullet"/>
      <w:lvlText w:val="•"/>
      <w:lvlJc w:val="left"/>
      <w:pPr>
        <w:ind w:left="2754" w:hanging="284"/>
      </w:pPr>
      <w:rPr>
        <w:rFonts w:hint="default"/>
      </w:rPr>
    </w:lvl>
    <w:lvl w:ilvl="5" w:tplc="0B6A2C90">
      <w:numFmt w:val="bullet"/>
      <w:lvlText w:val="•"/>
      <w:lvlJc w:val="left"/>
      <w:pPr>
        <w:ind w:left="3492" w:hanging="284"/>
      </w:pPr>
      <w:rPr>
        <w:rFonts w:hint="default"/>
      </w:rPr>
    </w:lvl>
    <w:lvl w:ilvl="6" w:tplc="0548E0EA">
      <w:numFmt w:val="bullet"/>
      <w:lvlText w:val="•"/>
      <w:lvlJc w:val="left"/>
      <w:pPr>
        <w:ind w:left="4231" w:hanging="284"/>
      </w:pPr>
      <w:rPr>
        <w:rFonts w:hint="default"/>
      </w:rPr>
    </w:lvl>
    <w:lvl w:ilvl="7" w:tplc="1488E59C">
      <w:numFmt w:val="bullet"/>
      <w:lvlText w:val="•"/>
      <w:lvlJc w:val="left"/>
      <w:pPr>
        <w:ind w:left="4969" w:hanging="284"/>
      </w:pPr>
      <w:rPr>
        <w:rFonts w:hint="default"/>
      </w:rPr>
    </w:lvl>
    <w:lvl w:ilvl="8" w:tplc="22AEF824">
      <w:numFmt w:val="bullet"/>
      <w:lvlText w:val="•"/>
      <w:lvlJc w:val="left"/>
      <w:pPr>
        <w:ind w:left="5707" w:hanging="284"/>
      </w:pPr>
      <w:rPr>
        <w:rFonts w:hint="default"/>
      </w:rPr>
    </w:lvl>
  </w:abstractNum>
  <w:abstractNum w:abstractNumId="202">
    <w:nsid w:val="494B1587"/>
    <w:multiLevelType w:val="hybridMultilevel"/>
    <w:tmpl w:val="0F522F7C"/>
    <w:lvl w:ilvl="0" w:tplc="2EFA7DC2">
      <w:numFmt w:val="bullet"/>
      <w:lvlText w:val="–"/>
      <w:lvlJc w:val="left"/>
      <w:pPr>
        <w:ind w:left="250" w:hanging="284"/>
      </w:pPr>
      <w:rPr>
        <w:rFonts w:ascii="Cambria" w:eastAsia="Cambria" w:hAnsi="Cambria" w:cs="Cambria" w:hint="default"/>
        <w:color w:val="231F20"/>
        <w:spacing w:val="-21"/>
        <w:w w:val="100"/>
        <w:sz w:val="21"/>
        <w:szCs w:val="21"/>
      </w:rPr>
    </w:lvl>
    <w:lvl w:ilvl="1" w:tplc="1A080898">
      <w:numFmt w:val="bullet"/>
      <w:lvlText w:val="•"/>
      <w:lvlJc w:val="left"/>
      <w:pPr>
        <w:ind w:left="952" w:hanging="284"/>
      </w:pPr>
      <w:rPr>
        <w:rFonts w:hint="default"/>
      </w:rPr>
    </w:lvl>
    <w:lvl w:ilvl="2" w:tplc="FACAD944">
      <w:numFmt w:val="bullet"/>
      <w:lvlText w:val="•"/>
      <w:lvlJc w:val="left"/>
      <w:pPr>
        <w:ind w:left="1644" w:hanging="284"/>
      </w:pPr>
      <w:rPr>
        <w:rFonts w:hint="default"/>
      </w:rPr>
    </w:lvl>
    <w:lvl w:ilvl="3" w:tplc="A9C0C146">
      <w:numFmt w:val="bullet"/>
      <w:lvlText w:val="•"/>
      <w:lvlJc w:val="left"/>
      <w:pPr>
        <w:ind w:left="2337" w:hanging="284"/>
      </w:pPr>
      <w:rPr>
        <w:rFonts w:hint="default"/>
      </w:rPr>
    </w:lvl>
    <w:lvl w:ilvl="4" w:tplc="1E2A97DC">
      <w:numFmt w:val="bullet"/>
      <w:lvlText w:val="•"/>
      <w:lvlJc w:val="left"/>
      <w:pPr>
        <w:ind w:left="3029" w:hanging="284"/>
      </w:pPr>
      <w:rPr>
        <w:rFonts w:hint="default"/>
      </w:rPr>
    </w:lvl>
    <w:lvl w:ilvl="5" w:tplc="50787D46">
      <w:numFmt w:val="bullet"/>
      <w:lvlText w:val="•"/>
      <w:lvlJc w:val="left"/>
      <w:pPr>
        <w:ind w:left="3721" w:hanging="284"/>
      </w:pPr>
      <w:rPr>
        <w:rFonts w:hint="default"/>
      </w:rPr>
    </w:lvl>
    <w:lvl w:ilvl="6" w:tplc="897E3A92">
      <w:numFmt w:val="bullet"/>
      <w:lvlText w:val="•"/>
      <w:lvlJc w:val="left"/>
      <w:pPr>
        <w:ind w:left="4414" w:hanging="284"/>
      </w:pPr>
      <w:rPr>
        <w:rFonts w:hint="default"/>
      </w:rPr>
    </w:lvl>
    <w:lvl w:ilvl="7" w:tplc="83281682">
      <w:numFmt w:val="bullet"/>
      <w:lvlText w:val="•"/>
      <w:lvlJc w:val="left"/>
      <w:pPr>
        <w:ind w:left="5106" w:hanging="284"/>
      </w:pPr>
      <w:rPr>
        <w:rFonts w:hint="default"/>
      </w:rPr>
    </w:lvl>
    <w:lvl w:ilvl="8" w:tplc="F3406C40">
      <w:numFmt w:val="bullet"/>
      <w:lvlText w:val="•"/>
      <w:lvlJc w:val="left"/>
      <w:pPr>
        <w:ind w:left="5799" w:hanging="284"/>
      </w:pPr>
      <w:rPr>
        <w:rFonts w:hint="default"/>
      </w:rPr>
    </w:lvl>
  </w:abstractNum>
  <w:abstractNum w:abstractNumId="203">
    <w:nsid w:val="49EF13C8"/>
    <w:multiLevelType w:val="hybridMultilevel"/>
    <w:tmpl w:val="1574748A"/>
    <w:lvl w:ilvl="0" w:tplc="2C74C3B2">
      <w:start w:val="1"/>
      <w:numFmt w:val="decimal"/>
      <w:lvlText w:val="%1)"/>
      <w:lvlJc w:val="left"/>
      <w:pPr>
        <w:ind w:left="1100" w:hanging="284"/>
        <w:jc w:val="left"/>
      </w:pPr>
      <w:rPr>
        <w:rFonts w:ascii="Cambria" w:eastAsia="Cambria" w:hAnsi="Cambria" w:cs="Cambria" w:hint="default"/>
        <w:color w:val="231F20"/>
        <w:spacing w:val="-6"/>
        <w:w w:val="100"/>
        <w:sz w:val="21"/>
        <w:szCs w:val="21"/>
      </w:rPr>
    </w:lvl>
    <w:lvl w:ilvl="1" w:tplc="0CB285DC">
      <w:numFmt w:val="bullet"/>
      <w:lvlText w:val="•"/>
      <w:lvlJc w:val="left"/>
      <w:pPr>
        <w:ind w:left="1708" w:hanging="284"/>
      </w:pPr>
      <w:rPr>
        <w:rFonts w:hint="default"/>
      </w:rPr>
    </w:lvl>
    <w:lvl w:ilvl="2" w:tplc="AB008A20">
      <w:numFmt w:val="bullet"/>
      <w:lvlText w:val="•"/>
      <w:lvlJc w:val="left"/>
      <w:pPr>
        <w:ind w:left="2316" w:hanging="284"/>
      </w:pPr>
      <w:rPr>
        <w:rFonts w:hint="default"/>
      </w:rPr>
    </w:lvl>
    <w:lvl w:ilvl="3" w:tplc="4D5649B2">
      <w:numFmt w:val="bullet"/>
      <w:lvlText w:val="•"/>
      <w:lvlJc w:val="left"/>
      <w:pPr>
        <w:ind w:left="2925" w:hanging="284"/>
      </w:pPr>
      <w:rPr>
        <w:rFonts w:hint="default"/>
      </w:rPr>
    </w:lvl>
    <w:lvl w:ilvl="4" w:tplc="C518A994">
      <w:numFmt w:val="bullet"/>
      <w:lvlText w:val="•"/>
      <w:lvlJc w:val="left"/>
      <w:pPr>
        <w:ind w:left="3533" w:hanging="284"/>
      </w:pPr>
      <w:rPr>
        <w:rFonts w:hint="default"/>
      </w:rPr>
    </w:lvl>
    <w:lvl w:ilvl="5" w:tplc="392490A6">
      <w:numFmt w:val="bullet"/>
      <w:lvlText w:val="•"/>
      <w:lvlJc w:val="left"/>
      <w:pPr>
        <w:ind w:left="4141" w:hanging="284"/>
      </w:pPr>
      <w:rPr>
        <w:rFonts w:hint="default"/>
      </w:rPr>
    </w:lvl>
    <w:lvl w:ilvl="6" w:tplc="AA364D06">
      <w:numFmt w:val="bullet"/>
      <w:lvlText w:val="•"/>
      <w:lvlJc w:val="left"/>
      <w:pPr>
        <w:ind w:left="4750" w:hanging="284"/>
      </w:pPr>
      <w:rPr>
        <w:rFonts w:hint="default"/>
      </w:rPr>
    </w:lvl>
    <w:lvl w:ilvl="7" w:tplc="6764FDBC">
      <w:numFmt w:val="bullet"/>
      <w:lvlText w:val="•"/>
      <w:lvlJc w:val="left"/>
      <w:pPr>
        <w:ind w:left="5358" w:hanging="284"/>
      </w:pPr>
      <w:rPr>
        <w:rFonts w:hint="default"/>
      </w:rPr>
    </w:lvl>
    <w:lvl w:ilvl="8" w:tplc="D08ADF84">
      <w:numFmt w:val="bullet"/>
      <w:lvlText w:val="•"/>
      <w:lvlJc w:val="left"/>
      <w:pPr>
        <w:ind w:left="5967" w:hanging="284"/>
      </w:pPr>
      <w:rPr>
        <w:rFonts w:hint="default"/>
      </w:rPr>
    </w:lvl>
  </w:abstractNum>
  <w:abstractNum w:abstractNumId="204">
    <w:nsid w:val="4A7C3163"/>
    <w:multiLevelType w:val="hybridMultilevel"/>
    <w:tmpl w:val="C36445A8"/>
    <w:lvl w:ilvl="0" w:tplc="A55C6802">
      <w:numFmt w:val="bullet"/>
      <w:lvlText w:val="–"/>
      <w:lvlJc w:val="left"/>
      <w:pPr>
        <w:ind w:left="1667" w:hanging="227"/>
      </w:pPr>
      <w:rPr>
        <w:rFonts w:ascii="Times New Roman" w:eastAsia="Times New Roman" w:hAnsi="Times New Roman" w:cs="Times New Roman" w:hint="default"/>
        <w:color w:val="231F20"/>
        <w:spacing w:val="-20"/>
        <w:w w:val="100"/>
        <w:sz w:val="21"/>
        <w:szCs w:val="21"/>
      </w:rPr>
    </w:lvl>
    <w:lvl w:ilvl="1" w:tplc="8876B4D6">
      <w:numFmt w:val="bullet"/>
      <w:lvlText w:val="•"/>
      <w:lvlJc w:val="left"/>
      <w:pPr>
        <w:ind w:left="2212" w:hanging="227"/>
      </w:pPr>
      <w:rPr>
        <w:rFonts w:hint="default"/>
      </w:rPr>
    </w:lvl>
    <w:lvl w:ilvl="2" w:tplc="FA6A3660">
      <w:numFmt w:val="bullet"/>
      <w:lvlText w:val="•"/>
      <w:lvlJc w:val="left"/>
      <w:pPr>
        <w:ind w:left="2764" w:hanging="227"/>
      </w:pPr>
      <w:rPr>
        <w:rFonts w:hint="default"/>
      </w:rPr>
    </w:lvl>
    <w:lvl w:ilvl="3" w:tplc="596291E4">
      <w:numFmt w:val="bullet"/>
      <w:lvlText w:val="•"/>
      <w:lvlJc w:val="left"/>
      <w:pPr>
        <w:ind w:left="3317" w:hanging="227"/>
      </w:pPr>
      <w:rPr>
        <w:rFonts w:hint="default"/>
      </w:rPr>
    </w:lvl>
    <w:lvl w:ilvl="4" w:tplc="5086B19E">
      <w:numFmt w:val="bullet"/>
      <w:lvlText w:val="•"/>
      <w:lvlJc w:val="left"/>
      <w:pPr>
        <w:ind w:left="3869" w:hanging="227"/>
      </w:pPr>
      <w:rPr>
        <w:rFonts w:hint="default"/>
      </w:rPr>
    </w:lvl>
    <w:lvl w:ilvl="5" w:tplc="A5820F16">
      <w:numFmt w:val="bullet"/>
      <w:lvlText w:val="•"/>
      <w:lvlJc w:val="left"/>
      <w:pPr>
        <w:ind w:left="4421" w:hanging="227"/>
      </w:pPr>
      <w:rPr>
        <w:rFonts w:hint="default"/>
      </w:rPr>
    </w:lvl>
    <w:lvl w:ilvl="6" w:tplc="3CC6FE28">
      <w:numFmt w:val="bullet"/>
      <w:lvlText w:val="•"/>
      <w:lvlJc w:val="left"/>
      <w:pPr>
        <w:ind w:left="4974" w:hanging="227"/>
      </w:pPr>
      <w:rPr>
        <w:rFonts w:hint="default"/>
      </w:rPr>
    </w:lvl>
    <w:lvl w:ilvl="7" w:tplc="F1CA7B82">
      <w:numFmt w:val="bullet"/>
      <w:lvlText w:val="•"/>
      <w:lvlJc w:val="left"/>
      <w:pPr>
        <w:ind w:left="5526" w:hanging="227"/>
      </w:pPr>
      <w:rPr>
        <w:rFonts w:hint="default"/>
      </w:rPr>
    </w:lvl>
    <w:lvl w:ilvl="8" w:tplc="91D04222">
      <w:numFmt w:val="bullet"/>
      <w:lvlText w:val="•"/>
      <w:lvlJc w:val="left"/>
      <w:pPr>
        <w:ind w:left="6079" w:hanging="227"/>
      </w:pPr>
      <w:rPr>
        <w:rFonts w:hint="default"/>
      </w:rPr>
    </w:lvl>
  </w:abstractNum>
  <w:abstractNum w:abstractNumId="205">
    <w:nsid w:val="4B0F4FE2"/>
    <w:multiLevelType w:val="hybridMultilevel"/>
    <w:tmpl w:val="A808D1DC"/>
    <w:lvl w:ilvl="0" w:tplc="69CC477E">
      <w:start w:val="2"/>
      <w:numFmt w:val="decimal"/>
      <w:lvlText w:val="%1)"/>
      <w:lvlJc w:val="left"/>
      <w:pPr>
        <w:ind w:left="250" w:hanging="284"/>
        <w:jc w:val="left"/>
      </w:pPr>
      <w:rPr>
        <w:rFonts w:ascii="Cambria" w:eastAsia="Cambria" w:hAnsi="Cambria" w:cs="Cambria" w:hint="default"/>
        <w:color w:val="231F20"/>
        <w:spacing w:val="-15"/>
        <w:w w:val="100"/>
        <w:sz w:val="21"/>
        <w:szCs w:val="21"/>
      </w:rPr>
    </w:lvl>
    <w:lvl w:ilvl="1" w:tplc="08F03456">
      <w:numFmt w:val="bullet"/>
      <w:lvlText w:val="•"/>
      <w:lvlJc w:val="left"/>
      <w:pPr>
        <w:ind w:left="952" w:hanging="284"/>
      </w:pPr>
      <w:rPr>
        <w:rFonts w:hint="default"/>
      </w:rPr>
    </w:lvl>
    <w:lvl w:ilvl="2" w:tplc="3622FE16">
      <w:numFmt w:val="bullet"/>
      <w:lvlText w:val="•"/>
      <w:lvlJc w:val="left"/>
      <w:pPr>
        <w:ind w:left="1644" w:hanging="284"/>
      </w:pPr>
      <w:rPr>
        <w:rFonts w:hint="default"/>
      </w:rPr>
    </w:lvl>
    <w:lvl w:ilvl="3" w:tplc="416420F6">
      <w:numFmt w:val="bullet"/>
      <w:lvlText w:val="•"/>
      <w:lvlJc w:val="left"/>
      <w:pPr>
        <w:ind w:left="2337" w:hanging="284"/>
      </w:pPr>
      <w:rPr>
        <w:rFonts w:hint="default"/>
      </w:rPr>
    </w:lvl>
    <w:lvl w:ilvl="4" w:tplc="CE5AD71C">
      <w:numFmt w:val="bullet"/>
      <w:lvlText w:val="•"/>
      <w:lvlJc w:val="left"/>
      <w:pPr>
        <w:ind w:left="3029" w:hanging="284"/>
      </w:pPr>
      <w:rPr>
        <w:rFonts w:hint="default"/>
      </w:rPr>
    </w:lvl>
    <w:lvl w:ilvl="5" w:tplc="0F60259C">
      <w:numFmt w:val="bullet"/>
      <w:lvlText w:val="•"/>
      <w:lvlJc w:val="left"/>
      <w:pPr>
        <w:ind w:left="3721" w:hanging="284"/>
      </w:pPr>
      <w:rPr>
        <w:rFonts w:hint="default"/>
      </w:rPr>
    </w:lvl>
    <w:lvl w:ilvl="6" w:tplc="38A8E336">
      <w:numFmt w:val="bullet"/>
      <w:lvlText w:val="•"/>
      <w:lvlJc w:val="left"/>
      <w:pPr>
        <w:ind w:left="4414" w:hanging="284"/>
      </w:pPr>
      <w:rPr>
        <w:rFonts w:hint="default"/>
      </w:rPr>
    </w:lvl>
    <w:lvl w:ilvl="7" w:tplc="4D8A2480">
      <w:numFmt w:val="bullet"/>
      <w:lvlText w:val="•"/>
      <w:lvlJc w:val="left"/>
      <w:pPr>
        <w:ind w:left="5106" w:hanging="284"/>
      </w:pPr>
      <w:rPr>
        <w:rFonts w:hint="default"/>
      </w:rPr>
    </w:lvl>
    <w:lvl w:ilvl="8" w:tplc="C7848710">
      <w:numFmt w:val="bullet"/>
      <w:lvlText w:val="•"/>
      <w:lvlJc w:val="left"/>
      <w:pPr>
        <w:ind w:left="5799" w:hanging="284"/>
      </w:pPr>
      <w:rPr>
        <w:rFonts w:hint="default"/>
      </w:rPr>
    </w:lvl>
  </w:abstractNum>
  <w:abstractNum w:abstractNumId="206">
    <w:nsid w:val="4B816675"/>
    <w:multiLevelType w:val="hybridMultilevel"/>
    <w:tmpl w:val="AF76D564"/>
    <w:lvl w:ilvl="0" w:tplc="F21807F0">
      <w:start w:val="2"/>
      <w:numFmt w:val="decimal"/>
      <w:lvlText w:val="%1)"/>
      <w:lvlJc w:val="left"/>
      <w:pPr>
        <w:ind w:left="250" w:hanging="246"/>
        <w:jc w:val="left"/>
      </w:pPr>
      <w:rPr>
        <w:rFonts w:ascii="Cambria" w:eastAsia="Cambria" w:hAnsi="Cambria" w:cs="Cambria" w:hint="default"/>
        <w:color w:val="231F20"/>
        <w:spacing w:val="-13"/>
        <w:w w:val="100"/>
        <w:sz w:val="21"/>
        <w:szCs w:val="21"/>
      </w:rPr>
    </w:lvl>
    <w:lvl w:ilvl="1" w:tplc="E43A18C6">
      <w:start w:val="1"/>
      <w:numFmt w:val="decimal"/>
      <w:lvlText w:val="%2)"/>
      <w:lvlJc w:val="left"/>
      <w:pPr>
        <w:ind w:left="817" w:hanging="284"/>
        <w:jc w:val="left"/>
      </w:pPr>
      <w:rPr>
        <w:rFonts w:ascii="Cambria" w:eastAsia="Cambria" w:hAnsi="Cambria" w:cs="Cambria" w:hint="default"/>
        <w:color w:val="231F20"/>
        <w:spacing w:val="-6"/>
        <w:w w:val="100"/>
        <w:sz w:val="21"/>
        <w:szCs w:val="21"/>
      </w:rPr>
    </w:lvl>
    <w:lvl w:ilvl="2" w:tplc="D44CEC82">
      <w:numFmt w:val="bullet"/>
      <w:lvlText w:val="•"/>
      <w:lvlJc w:val="left"/>
      <w:pPr>
        <w:ind w:left="1527" w:hanging="284"/>
      </w:pPr>
      <w:rPr>
        <w:rFonts w:hint="default"/>
      </w:rPr>
    </w:lvl>
    <w:lvl w:ilvl="3" w:tplc="D6343148">
      <w:numFmt w:val="bullet"/>
      <w:lvlText w:val="•"/>
      <w:lvlJc w:val="left"/>
      <w:pPr>
        <w:ind w:left="2234" w:hanging="284"/>
      </w:pPr>
      <w:rPr>
        <w:rFonts w:hint="default"/>
      </w:rPr>
    </w:lvl>
    <w:lvl w:ilvl="4" w:tplc="1C5A0508">
      <w:numFmt w:val="bullet"/>
      <w:lvlText w:val="•"/>
      <w:lvlJc w:val="left"/>
      <w:pPr>
        <w:ind w:left="2941" w:hanging="284"/>
      </w:pPr>
      <w:rPr>
        <w:rFonts w:hint="default"/>
      </w:rPr>
    </w:lvl>
    <w:lvl w:ilvl="5" w:tplc="625E377A">
      <w:numFmt w:val="bullet"/>
      <w:lvlText w:val="•"/>
      <w:lvlJc w:val="left"/>
      <w:pPr>
        <w:ind w:left="3648" w:hanging="284"/>
      </w:pPr>
      <w:rPr>
        <w:rFonts w:hint="default"/>
      </w:rPr>
    </w:lvl>
    <w:lvl w:ilvl="6" w:tplc="B650B3B6">
      <w:numFmt w:val="bullet"/>
      <w:lvlText w:val="•"/>
      <w:lvlJc w:val="left"/>
      <w:pPr>
        <w:ind w:left="4355" w:hanging="284"/>
      </w:pPr>
      <w:rPr>
        <w:rFonts w:hint="default"/>
      </w:rPr>
    </w:lvl>
    <w:lvl w:ilvl="7" w:tplc="C5749604">
      <w:numFmt w:val="bullet"/>
      <w:lvlText w:val="•"/>
      <w:lvlJc w:val="left"/>
      <w:pPr>
        <w:ind w:left="5062" w:hanging="284"/>
      </w:pPr>
      <w:rPr>
        <w:rFonts w:hint="default"/>
      </w:rPr>
    </w:lvl>
    <w:lvl w:ilvl="8" w:tplc="8B20C938">
      <w:numFmt w:val="bullet"/>
      <w:lvlText w:val="•"/>
      <w:lvlJc w:val="left"/>
      <w:pPr>
        <w:ind w:left="5769" w:hanging="284"/>
      </w:pPr>
      <w:rPr>
        <w:rFonts w:hint="default"/>
      </w:rPr>
    </w:lvl>
  </w:abstractNum>
  <w:abstractNum w:abstractNumId="207">
    <w:nsid w:val="4B8D1752"/>
    <w:multiLevelType w:val="hybridMultilevel"/>
    <w:tmpl w:val="B01EDEAC"/>
    <w:lvl w:ilvl="0" w:tplc="FA6001C2">
      <w:numFmt w:val="bullet"/>
      <w:lvlText w:val="–"/>
      <w:lvlJc w:val="left"/>
      <w:pPr>
        <w:ind w:left="250" w:hanging="284"/>
      </w:pPr>
      <w:rPr>
        <w:rFonts w:ascii="Cambria" w:eastAsia="Cambria" w:hAnsi="Cambria" w:cs="Cambria" w:hint="default"/>
        <w:color w:val="231F20"/>
        <w:spacing w:val="-7"/>
        <w:w w:val="100"/>
        <w:sz w:val="21"/>
        <w:szCs w:val="21"/>
      </w:rPr>
    </w:lvl>
    <w:lvl w:ilvl="1" w:tplc="EF5C451E">
      <w:numFmt w:val="bullet"/>
      <w:lvlText w:val="•"/>
      <w:lvlJc w:val="left"/>
      <w:pPr>
        <w:ind w:left="952" w:hanging="284"/>
      </w:pPr>
      <w:rPr>
        <w:rFonts w:hint="default"/>
      </w:rPr>
    </w:lvl>
    <w:lvl w:ilvl="2" w:tplc="EB385CE4">
      <w:numFmt w:val="bullet"/>
      <w:lvlText w:val="•"/>
      <w:lvlJc w:val="left"/>
      <w:pPr>
        <w:ind w:left="1644" w:hanging="284"/>
      </w:pPr>
      <w:rPr>
        <w:rFonts w:hint="default"/>
      </w:rPr>
    </w:lvl>
    <w:lvl w:ilvl="3" w:tplc="186C4AFE">
      <w:numFmt w:val="bullet"/>
      <w:lvlText w:val="•"/>
      <w:lvlJc w:val="left"/>
      <w:pPr>
        <w:ind w:left="2337" w:hanging="284"/>
      </w:pPr>
      <w:rPr>
        <w:rFonts w:hint="default"/>
      </w:rPr>
    </w:lvl>
    <w:lvl w:ilvl="4" w:tplc="8B90AC5E">
      <w:numFmt w:val="bullet"/>
      <w:lvlText w:val="•"/>
      <w:lvlJc w:val="left"/>
      <w:pPr>
        <w:ind w:left="3029" w:hanging="284"/>
      </w:pPr>
      <w:rPr>
        <w:rFonts w:hint="default"/>
      </w:rPr>
    </w:lvl>
    <w:lvl w:ilvl="5" w:tplc="0D503728">
      <w:numFmt w:val="bullet"/>
      <w:lvlText w:val="•"/>
      <w:lvlJc w:val="left"/>
      <w:pPr>
        <w:ind w:left="3721" w:hanging="284"/>
      </w:pPr>
      <w:rPr>
        <w:rFonts w:hint="default"/>
      </w:rPr>
    </w:lvl>
    <w:lvl w:ilvl="6" w:tplc="5FC0BE3E">
      <w:numFmt w:val="bullet"/>
      <w:lvlText w:val="•"/>
      <w:lvlJc w:val="left"/>
      <w:pPr>
        <w:ind w:left="4414" w:hanging="284"/>
      </w:pPr>
      <w:rPr>
        <w:rFonts w:hint="default"/>
      </w:rPr>
    </w:lvl>
    <w:lvl w:ilvl="7" w:tplc="D5C4419A">
      <w:numFmt w:val="bullet"/>
      <w:lvlText w:val="•"/>
      <w:lvlJc w:val="left"/>
      <w:pPr>
        <w:ind w:left="5106" w:hanging="284"/>
      </w:pPr>
      <w:rPr>
        <w:rFonts w:hint="default"/>
      </w:rPr>
    </w:lvl>
    <w:lvl w:ilvl="8" w:tplc="140A0022">
      <w:numFmt w:val="bullet"/>
      <w:lvlText w:val="•"/>
      <w:lvlJc w:val="left"/>
      <w:pPr>
        <w:ind w:left="5799" w:hanging="284"/>
      </w:pPr>
      <w:rPr>
        <w:rFonts w:hint="default"/>
      </w:rPr>
    </w:lvl>
  </w:abstractNum>
  <w:abstractNum w:abstractNumId="208">
    <w:nsid w:val="4C007372"/>
    <w:multiLevelType w:val="hybridMultilevel"/>
    <w:tmpl w:val="713C7FA6"/>
    <w:lvl w:ilvl="0" w:tplc="6F22D7E6">
      <w:start w:val="1"/>
      <w:numFmt w:val="decimal"/>
      <w:lvlText w:val="%1."/>
      <w:lvlJc w:val="left"/>
      <w:pPr>
        <w:ind w:left="533" w:hanging="284"/>
        <w:jc w:val="right"/>
      </w:pPr>
      <w:rPr>
        <w:rFonts w:ascii="Cambria" w:eastAsia="Cambria" w:hAnsi="Cambria" w:cs="Cambria" w:hint="default"/>
        <w:color w:val="231F20"/>
        <w:spacing w:val="-15"/>
        <w:w w:val="100"/>
        <w:sz w:val="21"/>
        <w:szCs w:val="21"/>
      </w:rPr>
    </w:lvl>
    <w:lvl w:ilvl="1" w:tplc="560EEAD2">
      <w:numFmt w:val="bullet"/>
      <w:lvlText w:val="•"/>
      <w:lvlJc w:val="left"/>
      <w:pPr>
        <w:ind w:left="1204" w:hanging="284"/>
      </w:pPr>
      <w:rPr>
        <w:rFonts w:hint="default"/>
      </w:rPr>
    </w:lvl>
    <w:lvl w:ilvl="2" w:tplc="2A8A6476">
      <w:numFmt w:val="bullet"/>
      <w:lvlText w:val="•"/>
      <w:lvlJc w:val="left"/>
      <w:pPr>
        <w:ind w:left="1868" w:hanging="284"/>
      </w:pPr>
      <w:rPr>
        <w:rFonts w:hint="default"/>
      </w:rPr>
    </w:lvl>
    <w:lvl w:ilvl="3" w:tplc="7E26FAEA">
      <w:numFmt w:val="bullet"/>
      <w:lvlText w:val="•"/>
      <w:lvlJc w:val="left"/>
      <w:pPr>
        <w:ind w:left="2533" w:hanging="284"/>
      </w:pPr>
      <w:rPr>
        <w:rFonts w:hint="default"/>
      </w:rPr>
    </w:lvl>
    <w:lvl w:ilvl="4" w:tplc="7E228406">
      <w:numFmt w:val="bullet"/>
      <w:lvlText w:val="•"/>
      <w:lvlJc w:val="left"/>
      <w:pPr>
        <w:ind w:left="3197" w:hanging="284"/>
      </w:pPr>
      <w:rPr>
        <w:rFonts w:hint="default"/>
      </w:rPr>
    </w:lvl>
    <w:lvl w:ilvl="5" w:tplc="672A238A">
      <w:numFmt w:val="bullet"/>
      <w:lvlText w:val="•"/>
      <w:lvlJc w:val="left"/>
      <w:pPr>
        <w:ind w:left="3861" w:hanging="284"/>
      </w:pPr>
      <w:rPr>
        <w:rFonts w:hint="default"/>
      </w:rPr>
    </w:lvl>
    <w:lvl w:ilvl="6" w:tplc="AAC60866">
      <w:numFmt w:val="bullet"/>
      <w:lvlText w:val="•"/>
      <w:lvlJc w:val="left"/>
      <w:pPr>
        <w:ind w:left="4526" w:hanging="284"/>
      </w:pPr>
      <w:rPr>
        <w:rFonts w:hint="default"/>
      </w:rPr>
    </w:lvl>
    <w:lvl w:ilvl="7" w:tplc="9ECC7ADE">
      <w:numFmt w:val="bullet"/>
      <w:lvlText w:val="•"/>
      <w:lvlJc w:val="left"/>
      <w:pPr>
        <w:ind w:left="5190" w:hanging="284"/>
      </w:pPr>
      <w:rPr>
        <w:rFonts w:hint="default"/>
      </w:rPr>
    </w:lvl>
    <w:lvl w:ilvl="8" w:tplc="3DE27E8C">
      <w:numFmt w:val="bullet"/>
      <w:lvlText w:val="•"/>
      <w:lvlJc w:val="left"/>
      <w:pPr>
        <w:ind w:left="5855" w:hanging="284"/>
      </w:pPr>
      <w:rPr>
        <w:rFonts w:hint="default"/>
      </w:rPr>
    </w:lvl>
  </w:abstractNum>
  <w:abstractNum w:abstractNumId="209">
    <w:nsid w:val="4C1E6F05"/>
    <w:multiLevelType w:val="hybridMultilevel"/>
    <w:tmpl w:val="A81825FA"/>
    <w:lvl w:ilvl="0" w:tplc="2D9867A2">
      <w:start w:val="1"/>
      <w:numFmt w:val="decimal"/>
      <w:lvlText w:val="%1)"/>
      <w:lvlJc w:val="left"/>
      <w:pPr>
        <w:ind w:left="533" w:hanging="284"/>
        <w:jc w:val="left"/>
      </w:pPr>
      <w:rPr>
        <w:rFonts w:ascii="Cambria" w:eastAsia="Cambria" w:hAnsi="Cambria" w:cs="Cambria" w:hint="default"/>
        <w:color w:val="231F20"/>
        <w:spacing w:val="-18"/>
        <w:w w:val="100"/>
        <w:sz w:val="21"/>
        <w:szCs w:val="21"/>
      </w:rPr>
    </w:lvl>
    <w:lvl w:ilvl="1" w:tplc="47FACFEA">
      <w:numFmt w:val="bullet"/>
      <w:lvlText w:val="•"/>
      <w:lvlJc w:val="left"/>
      <w:pPr>
        <w:ind w:left="1204" w:hanging="284"/>
      </w:pPr>
      <w:rPr>
        <w:rFonts w:hint="default"/>
      </w:rPr>
    </w:lvl>
    <w:lvl w:ilvl="2" w:tplc="F10273C6">
      <w:numFmt w:val="bullet"/>
      <w:lvlText w:val="•"/>
      <w:lvlJc w:val="left"/>
      <w:pPr>
        <w:ind w:left="1868" w:hanging="284"/>
      </w:pPr>
      <w:rPr>
        <w:rFonts w:hint="default"/>
      </w:rPr>
    </w:lvl>
    <w:lvl w:ilvl="3" w:tplc="0E0C4CD4">
      <w:numFmt w:val="bullet"/>
      <w:lvlText w:val="•"/>
      <w:lvlJc w:val="left"/>
      <w:pPr>
        <w:ind w:left="2533" w:hanging="284"/>
      </w:pPr>
      <w:rPr>
        <w:rFonts w:hint="default"/>
      </w:rPr>
    </w:lvl>
    <w:lvl w:ilvl="4" w:tplc="D5AA5C5C">
      <w:numFmt w:val="bullet"/>
      <w:lvlText w:val="•"/>
      <w:lvlJc w:val="left"/>
      <w:pPr>
        <w:ind w:left="3197" w:hanging="284"/>
      </w:pPr>
      <w:rPr>
        <w:rFonts w:hint="default"/>
      </w:rPr>
    </w:lvl>
    <w:lvl w:ilvl="5" w:tplc="AC6AE208">
      <w:numFmt w:val="bullet"/>
      <w:lvlText w:val="•"/>
      <w:lvlJc w:val="left"/>
      <w:pPr>
        <w:ind w:left="3861" w:hanging="284"/>
      </w:pPr>
      <w:rPr>
        <w:rFonts w:hint="default"/>
      </w:rPr>
    </w:lvl>
    <w:lvl w:ilvl="6" w:tplc="099289F4">
      <w:numFmt w:val="bullet"/>
      <w:lvlText w:val="•"/>
      <w:lvlJc w:val="left"/>
      <w:pPr>
        <w:ind w:left="4526" w:hanging="284"/>
      </w:pPr>
      <w:rPr>
        <w:rFonts w:hint="default"/>
      </w:rPr>
    </w:lvl>
    <w:lvl w:ilvl="7" w:tplc="C8480942">
      <w:numFmt w:val="bullet"/>
      <w:lvlText w:val="•"/>
      <w:lvlJc w:val="left"/>
      <w:pPr>
        <w:ind w:left="5190" w:hanging="284"/>
      </w:pPr>
      <w:rPr>
        <w:rFonts w:hint="default"/>
      </w:rPr>
    </w:lvl>
    <w:lvl w:ilvl="8" w:tplc="8AA8B8E2">
      <w:numFmt w:val="bullet"/>
      <w:lvlText w:val="•"/>
      <w:lvlJc w:val="left"/>
      <w:pPr>
        <w:ind w:left="5855" w:hanging="284"/>
      </w:pPr>
      <w:rPr>
        <w:rFonts w:hint="default"/>
      </w:rPr>
    </w:lvl>
  </w:abstractNum>
  <w:abstractNum w:abstractNumId="210">
    <w:nsid w:val="4C341DAD"/>
    <w:multiLevelType w:val="hybridMultilevel"/>
    <w:tmpl w:val="3ABA39B8"/>
    <w:lvl w:ilvl="0" w:tplc="C55866E0">
      <w:start w:val="1"/>
      <w:numFmt w:val="decimal"/>
      <w:lvlText w:val="%1."/>
      <w:lvlJc w:val="left"/>
      <w:pPr>
        <w:ind w:left="250" w:hanging="284"/>
        <w:jc w:val="left"/>
      </w:pPr>
      <w:rPr>
        <w:rFonts w:ascii="Cambria" w:eastAsia="Cambria" w:hAnsi="Cambria" w:cs="Cambria" w:hint="default"/>
        <w:color w:val="231F20"/>
        <w:spacing w:val="-18"/>
        <w:w w:val="100"/>
        <w:sz w:val="21"/>
        <w:szCs w:val="21"/>
      </w:rPr>
    </w:lvl>
    <w:lvl w:ilvl="1" w:tplc="3D289BE2">
      <w:start w:val="2"/>
      <w:numFmt w:val="decimal"/>
      <w:lvlText w:val="%2."/>
      <w:lvlJc w:val="left"/>
      <w:pPr>
        <w:ind w:left="533" w:hanging="284"/>
        <w:jc w:val="left"/>
      </w:pPr>
      <w:rPr>
        <w:rFonts w:ascii="Cambria" w:eastAsia="Cambria" w:hAnsi="Cambria" w:cs="Cambria" w:hint="default"/>
        <w:b/>
        <w:bCs/>
        <w:i/>
        <w:color w:val="231F20"/>
        <w:spacing w:val="-23"/>
        <w:w w:val="100"/>
        <w:sz w:val="21"/>
        <w:szCs w:val="21"/>
      </w:rPr>
    </w:lvl>
    <w:lvl w:ilvl="2" w:tplc="CEE00D7A">
      <w:numFmt w:val="bullet"/>
      <w:lvlText w:val="•"/>
      <w:lvlJc w:val="left"/>
      <w:pPr>
        <w:ind w:left="1278" w:hanging="284"/>
      </w:pPr>
      <w:rPr>
        <w:rFonts w:hint="default"/>
      </w:rPr>
    </w:lvl>
    <w:lvl w:ilvl="3" w:tplc="880A51EE">
      <w:numFmt w:val="bullet"/>
      <w:lvlText w:val="•"/>
      <w:lvlJc w:val="left"/>
      <w:pPr>
        <w:ind w:left="2016" w:hanging="284"/>
      </w:pPr>
      <w:rPr>
        <w:rFonts w:hint="default"/>
      </w:rPr>
    </w:lvl>
    <w:lvl w:ilvl="4" w:tplc="AED4A806">
      <w:numFmt w:val="bullet"/>
      <w:lvlText w:val="•"/>
      <w:lvlJc w:val="left"/>
      <w:pPr>
        <w:ind w:left="2754" w:hanging="284"/>
      </w:pPr>
      <w:rPr>
        <w:rFonts w:hint="default"/>
      </w:rPr>
    </w:lvl>
    <w:lvl w:ilvl="5" w:tplc="91501A94">
      <w:numFmt w:val="bullet"/>
      <w:lvlText w:val="•"/>
      <w:lvlJc w:val="left"/>
      <w:pPr>
        <w:ind w:left="3492" w:hanging="284"/>
      </w:pPr>
      <w:rPr>
        <w:rFonts w:hint="default"/>
      </w:rPr>
    </w:lvl>
    <w:lvl w:ilvl="6" w:tplc="E3EA0D1E">
      <w:numFmt w:val="bullet"/>
      <w:lvlText w:val="•"/>
      <w:lvlJc w:val="left"/>
      <w:pPr>
        <w:ind w:left="4231" w:hanging="284"/>
      </w:pPr>
      <w:rPr>
        <w:rFonts w:hint="default"/>
      </w:rPr>
    </w:lvl>
    <w:lvl w:ilvl="7" w:tplc="774647D0">
      <w:numFmt w:val="bullet"/>
      <w:lvlText w:val="•"/>
      <w:lvlJc w:val="left"/>
      <w:pPr>
        <w:ind w:left="4969" w:hanging="284"/>
      </w:pPr>
      <w:rPr>
        <w:rFonts w:hint="default"/>
      </w:rPr>
    </w:lvl>
    <w:lvl w:ilvl="8" w:tplc="80E42766">
      <w:numFmt w:val="bullet"/>
      <w:lvlText w:val="•"/>
      <w:lvlJc w:val="left"/>
      <w:pPr>
        <w:ind w:left="5707" w:hanging="284"/>
      </w:pPr>
      <w:rPr>
        <w:rFonts w:hint="default"/>
      </w:rPr>
    </w:lvl>
  </w:abstractNum>
  <w:abstractNum w:abstractNumId="211">
    <w:nsid w:val="4C581F20"/>
    <w:multiLevelType w:val="multilevel"/>
    <w:tmpl w:val="ED0A307C"/>
    <w:lvl w:ilvl="0">
      <w:start w:val="7"/>
      <w:numFmt w:val="decimal"/>
      <w:lvlText w:val="%1"/>
      <w:lvlJc w:val="left"/>
      <w:pPr>
        <w:ind w:left="647" w:hanging="397"/>
        <w:jc w:val="left"/>
      </w:pPr>
      <w:rPr>
        <w:rFonts w:hint="default"/>
      </w:rPr>
    </w:lvl>
    <w:lvl w:ilvl="1">
      <w:start w:val="1"/>
      <w:numFmt w:val="decimal"/>
      <w:lvlText w:val="%1.%2."/>
      <w:lvlJc w:val="left"/>
      <w:pPr>
        <w:ind w:left="647" w:hanging="397"/>
        <w:jc w:val="right"/>
      </w:pPr>
      <w:rPr>
        <w:rFonts w:ascii="Cambria" w:eastAsia="Cambria" w:hAnsi="Cambria" w:cs="Cambria" w:hint="default"/>
        <w:b/>
        <w:bCs/>
        <w:color w:val="231F20"/>
        <w:spacing w:val="-1"/>
        <w:w w:val="100"/>
        <w:sz w:val="21"/>
        <w:szCs w:val="21"/>
      </w:rPr>
    </w:lvl>
    <w:lvl w:ilvl="2">
      <w:start w:val="1"/>
      <w:numFmt w:val="decimal"/>
      <w:lvlText w:val="%1.%2.%3."/>
      <w:lvlJc w:val="left"/>
      <w:pPr>
        <w:ind w:left="1214" w:hanging="567"/>
        <w:jc w:val="left"/>
      </w:pPr>
      <w:rPr>
        <w:rFonts w:ascii="Cambria" w:eastAsia="Cambria" w:hAnsi="Cambria" w:cs="Cambria" w:hint="default"/>
        <w:color w:val="231F20"/>
        <w:spacing w:val="-4"/>
        <w:w w:val="81"/>
        <w:sz w:val="21"/>
        <w:szCs w:val="21"/>
      </w:rPr>
    </w:lvl>
    <w:lvl w:ilvl="3">
      <w:start w:val="1"/>
      <w:numFmt w:val="decimal"/>
      <w:lvlText w:val="%1.%2.%3.%4."/>
      <w:lvlJc w:val="left"/>
      <w:pPr>
        <w:ind w:left="1894" w:hanging="717"/>
        <w:jc w:val="left"/>
      </w:pPr>
      <w:rPr>
        <w:rFonts w:ascii="Cambria" w:eastAsia="Cambria" w:hAnsi="Cambria" w:cs="Cambria" w:hint="default"/>
        <w:color w:val="231F20"/>
        <w:spacing w:val="-14"/>
        <w:w w:val="81"/>
        <w:sz w:val="21"/>
        <w:szCs w:val="21"/>
      </w:rPr>
    </w:lvl>
    <w:lvl w:ilvl="4">
      <w:numFmt w:val="bullet"/>
      <w:lvlText w:val="•"/>
      <w:lvlJc w:val="left"/>
      <w:pPr>
        <w:ind w:left="1620" w:hanging="717"/>
      </w:pPr>
      <w:rPr>
        <w:rFonts w:hint="default"/>
      </w:rPr>
    </w:lvl>
    <w:lvl w:ilvl="5">
      <w:numFmt w:val="bullet"/>
      <w:lvlText w:val="•"/>
      <w:lvlJc w:val="left"/>
      <w:pPr>
        <w:ind w:left="1900" w:hanging="717"/>
      </w:pPr>
      <w:rPr>
        <w:rFonts w:hint="default"/>
      </w:rPr>
    </w:lvl>
    <w:lvl w:ilvl="6">
      <w:numFmt w:val="bullet"/>
      <w:lvlText w:val="•"/>
      <w:lvlJc w:val="left"/>
      <w:pPr>
        <w:ind w:left="2956" w:hanging="717"/>
      </w:pPr>
      <w:rPr>
        <w:rFonts w:hint="default"/>
      </w:rPr>
    </w:lvl>
    <w:lvl w:ilvl="7">
      <w:numFmt w:val="bullet"/>
      <w:lvlText w:val="•"/>
      <w:lvlJc w:val="left"/>
      <w:pPr>
        <w:ind w:left="4013" w:hanging="717"/>
      </w:pPr>
      <w:rPr>
        <w:rFonts w:hint="default"/>
      </w:rPr>
    </w:lvl>
    <w:lvl w:ilvl="8">
      <w:numFmt w:val="bullet"/>
      <w:lvlText w:val="•"/>
      <w:lvlJc w:val="left"/>
      <w:pPr>
        <w:ind w:left="5070" w:hanging="717"/>
      </w:pPr>
      <w:rPr>
        <w:rFonts w:hint="default"/>
      </w:rPr>
    </w:lvl>
  </w:abstractNum>
  <w:abstractNum w:abstractNumId="212">
    <w:nsid w:val="4C662961"/>
    <w:multiLevelType w:val="hybridMultilevel"/>
    <w:tmpl w:val="3A0AF66A"/>
    <w:lvl w:ilvl="0" w:tplc="0B147D50">
      <w:numFmt w:val="bullet"/>
      <w:lvlText w:val=""/>
      <w:lvlJc w:val="left"/>
      <w:pPr>
        <w:ind w:left="533" w:hanging="284"/>
      </w:pPr>
      <w:rPr>
        <w:rFonts w:ascii="Wingdings" w:eastAsia="Wingdings" w:hAnsi="Wingdings" w:cs="Wingdings" w:hint="default"/>
        <w:color w:val="231F20"/>
        <w:w w:val="100"/>
        <w:sz w:val="21"/>
        <w:szCs w:val="21"/>
      </w:rPr>
    </w:lvl>
    <w:lvl w:ilvl="1" w:tplc="FE8AB2E6">
      <w:numFmt w:val="bullet"/>
      <w:lvlText w:val="•"/>
      <w:lvlJc w:val="left"/>
      <w:pPr>
        <w:ind w:left="1204" w:hanging="284"/>
      </w:pPr>
      <w:rPr>
        <w:rFonts w:hint="default"/>
      </w:rPr>
    </w:lvl>
    <w:lvl w:ilvl="2" w:tplc="C56414A2">
      <w:numFmt w:val="bullet"/>
      <w:lvlText w:val="•"/>
      <w:lvlJc w:val="left"/>
      <w:pPr>
        <w:ind w:left="1868" w:hanging="284"/>
      </w:pPr>
      <w:rPr>
        <w:rFonts w:hint="default"/>
      </w:rPr>
    </w:lvl>
    <w:lvl w:ilvl="3" w:tplc="F71A3850">
      <w:numFmt w:val="bullet"/>
      <w:lvlText w:val="•"/>
      <w:lvlJc w:val="left"/>
      <w:pPr>
        <w:ind w:left="2533" w:hanging="284"/>
      </w:pPr>
      <w:rPr>
        <w:rFonts w:hint="default"/>
      </w:rPr>
    </w:lvl>
    <w:lvl w:ilvl="4" w:tplc="B49670BE">
      <w:numFmt w:val="bullet"/>
      <w:lvlText w:val="•"/>
      <w:lvlJc w:val="left"/>
      <w:pPr>
        <w:ind w:left="3197" w:hanging="284"/>
      </w:pPr>
      <w:rPr>
        <w:rFonts w:hint="default"/>
      </w:rPr>
    </w:lvl>
    <w:lvl w:ilvl="5" w:tplc="9D789854">
      <w:numFmt w:val="bullet"/>
      <w:lvlText w:val="•"/>
      <w:lvlJc w:val="left"/>
      <w:pPr>
        <w:ind w:left="3861" w:hanging="284"/>
      </w:pPr>
      <w:rPr>
        <w:rFonts w:hint="default"/>
      </w:rPr>
    </w:lvl>
    <w:lvl w:ilvl="6" w:tplc="69684A62">
      <w:numFmt w:val="bullet"/>
      <w:lvlText w:val="•"/>
      <w:lvlJc w:val="left"/>
      <w:pPr>
        <w:ind w:left="4526" w:hanging="284"/>
      </w:pPr>
      <w:rPr>
        <w:rFonts w:hint="default"/>
      </w:rPr>
    </w:lvl>
    <w:lvl w:ilvl="7" w:tplc="F0A8F7F2">
      <w:numFmt w:val="bullet"/>
      <w:lvlText w:val="•"/>
      <w:lvlJc w:val="left"/>
      <w:pPr>
        <w:ind w:left="5190" w:hanging="284"/>
      </w:pPr>
      <w:rPr>
        <w:rFonts w:hint="default"/>
      </w:rPr>
    </w:lvl>
    <w:lvl w:ilvl="8" w:tplc="A286870A">
      <w:numFmt w:val="bullet"/>
      <w:lvlText w:val="•"/>
      <w:lvlJc w:val="left"/>
      <w:pPr>
        <w:ind w:left="5855" w:hanging="284"/>
      </w:pPr>
      <w:rPr>
        <w:rFonts w:hint="default"/>
      </w:rPr>
    </w:lvl>
  </w:abstractNum>
  <w:abstractNum w:abstractNumId="213">
    <w:nsid w:val="4C6742E4"/>
    <w:multiLevelType w:val="hybridMultilevel"/>
    <w:tmpl w:val="D2B27BCA"/>
    <w:lvl w:ilvl="0" w:tplc="9754FBBE">
      <w:start w:val="3"/>
      <w:numFmt w:val="decimal"/>
      <w:lvlText w:val="%1)"/>
      <w:lvlJc w:val="left"/>
      <w:pPr>
        <w:ind w:left="1100" w:hanging="284"/>
        <w:jc w:val="left"/>
      </w:pPr>
      <w:rPr>
        <w:rFonts w:ascii="Cambria" w:eastAsia="Cambria" w:hAnsi="Cambria" w:cs="Cambria" w:hint="default"/>
        <w:color w:val="231F20"/>
        <w:spacing w:val="-6"/>
        <w:w w:val="100"/>
        <w:sz w:val="21"/>
        <w:szCs w:val="21"/>
      </w:rPr>
    </w:lvl>
    <w:lvl w:ilvl="1" w:tplc="5CFC81C4">
      <w:numFmt w:val="bullet"/>
      <w:lvlText w:val="•"/>
      <w:lvlJc w:val="left"/>
      <w:pPr>
        <w:ind w:left="1708" w:hanging="284"/>
      </w:pPr>
      <w:rPr>
        <w:rFonts w:hint="default"/>
      </w:rPr>
    </w:lvl>
    <w:lvl w:ilvl="2" w:tplc="9A18EFA8">
      <w:numFmt w:val="bullet"/>
      <w:lvlText w:val="•"/>
      <w:lvlJc w:val="left"/>
      <w:pPr>
        <w:ind w:left="2316" w:hanging="284"/>
      </w:pPr>
      <w:rPr>
        <w:rFonts w:hint="default"/>
      </w:rPr>
    </w:lvl>
    <w:lvl w:ilvl="3" w:tplc="A49A40B0">
      <w:numFmt w:val="bullet"/>
      <w:lvlText w:val="•"/>
      <w:lvlJc w:val="left"/>
      <w:pPr>
        <w:ind w:left="2925" w:hanging="284"/>
      </w:pPr>
      <w:rPr>
        <w:rFonts w:hint="default"/>
      </w:rPr>
    </w:lvl>
    <w:lvl w:ilvl="4" w:tplc="1E96C1DA">
      <w:numFmt w:val="bullet"/>
      <w:lvlText w:val="•"/>
      <w:lvlJc w:val="left"/>
      <w:pPr>
        <w:ind w:left="3533" w:hanging="284"/>
      </w:pPr>
      <w:rPr>
        <w:rFonts w:hint="default"/>
      </w:rPr>
    </w:lvl>
    <w:lvl w:ilvl="5" w:tplc="7E945B0A">
      <w:numFmt w:val="bullet"/>
      <w:lvlText w:val="•"/>
      <w:lvlJc w:val="left"/>
      <w:pPr>
        <w:ind w:left="4141" w:hanging="284"/>
      </w:pPr>
      <w:rPr>
        <w:rFonts w:hint="default"/>
      </w:rPr>
    </w:lvl>
    <w:lvl w:ilvl="6" w:tplc="14685564">
      <w:numFmt w:val="bullet"/>
      <w:lvlText w:val="•"/>
      <w:lvlJc w:val="left"/>
      <w:pPr>
        <w:ind w:left="4750" w:hanging="284"/>
      </w:pPr>
      <w:rPr>
        <w:rFonts w:hint="default"/>
      </w:rPr>
    </w:lvl>
    <w:lvl w:ilvl="7" w:tplc="37CAB8CE">
      <w:numFmt w:val="bullet"/>
      <w:lvlText w:val="•"/>
      <w:lvlJc w:val="left"/>
      <w:pPr>
        <w:ind w:left="5358" w:hanging="284"/>
      </w:pPr>
      <w:rPr>
        <w:rFonts w:hint="default"/>
      </w:rPr>
    </w:lvl>
    <w:lvl w:ilvl="8" w:tplc="4A0C0E32">
      <w:numFmt w:val="bullet"/>
      <w:lvlText w:val="•"/>
      <w:lvlJc w:val="left"/>
      <w:pPr>
        <w:ind w:left="5967" w:hanging="284"/>
      </w:pPr>
      <w:rPr>
        <w:rFonts w:hint="default"/>
      </w:rPr>
    </w:lvl>
  </w:abstractNum>
  <w:abstractNum w:abstractNumId="214">
    <w:nsid w:val="4C897A46"/>
    <w:multiLevelType w:val="multilevel"/>
    <w:tmpl w:val="6FFC9AFC"/>
    <w:lvl w:ilvl="0">
      <w:start w:val="9"/>
      <w:numFmt w:val="decimal"/>
      <w:lvlText w:val="%1"/>
      <w:lvlJc w:val="left"/>
      <w:pPr>
        <w:ind w:left="2067" w:hanging="411"/>
        <w:jc w:val="left"/>
      </w:pPr>
      <w:rPr>
        <w:rFonts w:hint="default"/>
      </w:rPr>
    </w:lvl>
    <w:lvl w:ilvl="1">
      <w:start w:val="4"/>
      <w:numFmt w:val="decimal"/>
      <w:lvlText w:val="%1.%2."/>
      <w:lvlJc w:val="left"/>
      <w:pPr>
        <w:ind w:left="2067" w:hanging="411"/>
        <w:jc w:val="left"/>
      </w:pPr>
      <w:rPr>
        <w:rFonts w:ascii="Cambria" w:eastAsia="Cambria" w:hAnsi="Cambria" w:cs="Cambria" w:hint="default"/>
        <w:b/>
        <w:bCs/>
        <w:color w:val="231F20"/>
        <w:spacing w:val="-1"/>
        <w:w w:val="100"/>
        <w:sz w:val="22"/>
        <w:szCs w:val="22"/>
      </w:rPr>
    </w:lvl>
    <w:lvl w:ilvl="2">
      <w:numFmt w:val="bullet"/>
      <w:lvlText w:val=""/>
      <w:lvlJc w:val="left"/>
      <w:pPr>
        <w:ind w:left="533" w:hanging="284"/>
      </w:pPr>
      <w:rPr>
        <w:rFonts w:ascii="Wingdings" w:eastAsia="Wingdings" w:hAnsi="Wingdings" w:cs="Wingdings" w:hint="default"/>
        <w:color w:val="231F20"/>
        <w:w w:val="100"/>
        <w:sz w:val="21"/>
        <w:szCs w:val="21"/>
      </w:rPr>
    </w:lvl>
    <w:lvl w:ilvl="3">
      <w:numFmt w:val="bullet"/>
      <w:lvlText w:val="•"/>
      <w:lvlJc w:val="left"/>
      <w:pPr>
        <w:ind w:left="3198" w:hanging="284"/>
      </w:pPr>
      <w:rPr>
        <w:rFonts w:hint="default"/>
      </w:rPr>
    </w:lvl>
    <w:lvl w:ilvl="4">
      <w:numFmt w:val="bullet"/>
      <w:lvlText w:val="•"/>
      <w:lvlJc w:val="left"/>
      <w:pPr>
        <w:ind w:left="3767" w:hanging="284"/>
      </w:pPr>
      <w:rPr>
        <w:rFonts w:hint="default"/>
      </w:rPr>
    </w:lvl>
    <w:lvl w:ilvl="5">
      <w:numFmt w:val="bullet"/>
      <w:lvlText w:val="•"/>
      <w:lvlJc w:val="left"/>
      <w:pPr>
        <w:ind w:left="4337" w:hanging="284"/>
      </w:pPr>
      <w:rPr>
        <w:rFonts w:hint="default"/>
      </w:rPr>
    </w:lvl>
    <w:lvl w:ilvl="6">
      <w:numFmt w:val="bullet"/>
      <w:lvlText w:val="•"/>
      <w:lvlJc w:val="left"/>
      <w:pPr>
        <w:ind w:left="4906" w:hanging="284"/>
      </w:pPr>
      <w:rPr>
        <w:rFonts w:hint="default"/>
      </w:rPr>
    </w:lvl>
    <w:lvl w:ilvl="7">
      <w:numFmt w:val="bullet"/>
      <w:lvlText w:val="•"/>
      <w:lvlJc w:val="left"/>
      <w:pPr>
        <w:ind w:left="5475" w:hanging="284"/>
      </w:pPr>
      <w:rPr>
        <w:rFonts w:hint="default"/>
      </w:rPr>
    </w:lvl>
    <w:lvl w:ilvl="8">
      <w:numFmt w:val="bullet"/>
      <w:lvlText w:val="•"/>
      <w:lvlJc w:val="left"/>
      <w:pPr>
        <w:ind w:left="6045" w:hanging="284"/>
      </w:pPr>
      <w:rPr>
        <w:rFonts w:hint="default"/>
      </w:rPr>
    </w:lvl>
  </w:abstractNum>
  <w:abstractNum w:abstractNumId="215">
    <w:nsid w:val="4CC72141"/>
    <w:multiLevelType w:val="hybridMultilevel"/>
    <w:tmpl w:val="CCF08F70"/>
    <w:lvl w:ilvl="0" w:tplc="2F62502E">
      <w:numFmt w:val="bullet"/>
      <w:lvlText w:val=""/>
      <w:lvlJc w:val="left"/>
      <w:pPr>
        <w:ind w:left="1100" w:hanging="284"/>
      </w:pPr>
      <w:rPr>
        <w:rFonts w:ascii="Wingdings" w:eastAsia="Wingdings" w:hAnsi="Wingdings" w:cs="Wingdings" w:hint="default"/>
        <w:color w:val="231F20"/>
        <w:w w:val="100"/>
        <w:sz w:val="21"/>
        <w:szCs w:val="21"/>
      </w:rPr>
    </w:lvl>
    <w:lvl w:ilvl="1" w:tplc="5C84AF1C">
      <w:numFmt w:val="bullet"/>
      <w:lvlText w:val="•"/>
      <w:lvlJc w:val="left"/>
      <w:pPr>
        <w:ind w:left="1708" w:hanging="284"/>
      </w:pPr>
      <w:rPr>
        <w:rFonts w:hint="default"/>
      </w:rPr>
    </w:lvl>
    <w:lvl w:ilvl="2" w:tplc="36E66482">
      <w:numFmt w:val="bullet"/>
      <w:lvlText w:val="•"/>
      <w:lvlJc w:val="left"/>
      <w:pPr>
        <w:ind w:left="2316" w:hanging="284"/>
      </w:pPr>
      <w:rPr>
        <w:rFonts w:hint="default"/>
      </w:rPr>
    </w:lvl>
    <w:lvl w:ilvl="3" w:tplc="2C4473BE">
      <w:numFmt w:val="bullet"/>
      <w:lvlText w:val="•"/>
      <w:lvlJc w:val="left"/>
      <w:pPr>
        <w:ind w:left="2925" w:hanging="284"/>
      </w:pPr>
      <w:rPr>
        <w:rFonts w:hint="default"/>
      </w:rPr>
    </w:lvl>
    <w:lvl w:ilvl="4" w:tplc="B8F4DA52">
      <w:numFmt w:val="bullet"/>
      <w:lvlText w:val="•"/>
      <w:lvlJc w:val="left"/>
      <w:pPr>
        <w:ind w:left="3533" w:hanging="284"/>
      </w:pPr>
      <w:rPr>
        <w:rFonts w:hint="default"/>
      </w:rPr>
    </w:lvl>
    <w:lvl w:ilvl="5" w:tplc="F3C2E156">
      <w:numFmt w:val="bullet"/>
      <w:lvlText w:val="•"/>
      <w:lvlJc w:val="left"/>
      <w:pPr>
        <w:ind w:left="4141" w:hanging="284"/>
      </w:pPr>
      <w:rPr>
        <w:rFonts w:hint="default"/>
      </w:rPr>
    </w:lvl>
    <w:lvl w:ilvl="6" w:tplc="42505E84">
      <w:numFmt w:val="bullet"/>
      <w:lvlText w:val="•"/>
      <w:lvlJc w:val="left"/>
      <w:pPr>
        <w:ind w:left="4750" w:hanging="284"/>
      </w:pPr>
      <w:rPr>
        <w:rFonts w:hint="default"/>
      </w:rPr>
    </w:lvl>
    <w:lvl w:ilvl="7" w:tplc="5D68F1B8">
      <w:numFmt w:val="bullet"/>
      <w:lvlText w:val="•"/>
      <w:lvlJc w:val="left"/>
      <w:pPr>
        <w:ind w:left="5358" w:hanging="284"/>
      </w:pPr>
      <w:rPr>
        <w:rFonts w:hint="default"/>
      </w:rPr>
    </w:lvl>
    <w:lvl w:ilvl="8" w:tplc="D20CC4CE">
      <w:numFmt w:val="bullet"/>
      <w:lvlText w:val="•"/>
      <w:lvlJc w:val="left"/>
      <w:pPr>
        <w:ind w:left="5967" w:hanging="284"/>
      </w:pPr>
      <w:rPr>
        <w:rFonts w:hint="default"/>
      </w:rPr>
    </w:lvl>
  </w:abstractNum>
  <w:abstractNum w:abstractNumId="216">
    <w:nsid w:val="4DE16965"/>
    <w:multiLevelType w:val="hybridMultilevel"/>
    <w:tmpl w:val="1FEE4114"/>
    <w:lvl w:ilvl="0" w:tplc="ED4C04EE">
      <w:numFmt w:val="bullet"/>
      <w:lvlText w:val="–"/>
      <w:lvlJc w:val="left"/>
      <w:pPr>
        <w:ind w:left="533" w:hanging="284"/>
      </w:pPr>
      <w:rPr>
        <w:rFonts w:ascii="Cambria" w:eastAsia="Cambria" w:hAnsi="Cambria" w:cs="Cambria" w:hint="default"/>
        <w:color w:val="231F20"/>
        <w:spacing w:val="-7"/>
        <w:w w:val="100"/>
        <w:sz w:val="21"/>
        <w:szCs w:val="21"/>
      </w:rPr>
    </w:lvl>
    <w:lvl w:ilvl="1" w:tplc="68501B56">
      <w:numFmt w:val="bullet"/>
      <w:lvlText w:val="•"/>
      <w:lvlJc w:val="left"/>
      <w:pPr>
        <w:ind w:left="1204" w:hanging="284"/>
      </w:pPr>
      <w:rPr>
        <w:rFonts w:hint="default"/>
      </w:rPr>
    </w:lvl>
    <w:lvl w:ilvl="2" w:tplc="3AA88E3E">
      <w:numFmt w:val="bullet"/>
      <w:lvlText w:val="•"/>
      <w:lvlJc w:val="left"/>
      <w:pPr>
        <w:ind w:left="1868" w:hanging="284"/>
      </w:pPr>
      <w:rPr>
        <w:rFonts w:hint="default"/>
      </w:rPr>
    </w:lvl>
    <w:lvl w:ilvl="3" w:tplc="56C8ABB6">
      <w:numFmt w:val="bullet"/>
      <w:lvlText w:val="•"/>
      <w:lvlJc w:val="left"/>
      <w:pPr>
        <w:ind w:left="2533" w:hanging="284"/>
      </w:pPr>
      <w:rPr>
        <w:rFonts w:hint="default"/>
      </w:rPr>
    </w:lvl>
    <w:lvl w:ilvl="4" w:tplc="E3F27018">
      <w:numFmt w:val="bullet"/>
      <w:lvlText w:val="•"/>
      <w:lvlJc w:val="left"/>
      <w:pPr>
        <w:ind w:left="3197" w:hanging="284"/>
      </w:pPr>
      <w:rPr>
        <w:rFonts w:hint="default"/>
      </w:rPr>
    </w:lvl>
    <w:lvl w:ilvl="5" w:tplc="BF281460">
      <w:numFmt w:val="bullet"/>
      <w:lvlText w:val="•"/>
      <w:lvlJc w:val="left"/>
      <w:pPr>
        <w:ind w:left="3861" w:hanging="284"/>
      </w:pPr>
      <w:rPr>
        <w:rFonts w:hint="default"/>
      </w:rPr>
    </w:lvl>
    <w:lvl w:ilvl="6" w:tplc="EF04319C">
      <w:numFmt w:val="bullet"/>
      <w:lvlText w:val="•"/>
      <w:lvlJc w:val="left"/>
      <w:pPr>
        <w:ind w:left="4526" w:hanging="284"/>
      </w:pPr>
      <w:rPr>
        <w:rFonts w:hint="default"/>
      </w:rPr>
    </w:lvl>
    <w:lvl w:ilvl="7" w:tplc="A2CCE4F0">
      <w:numFmt w:val="bullet"/>
      <w:lvlText w:val="•"/>
      <w:lvlJc w:val="left"/>
      <w:pPr>
        <w:ind w:left="5190" w:hanging="284"/>
      </w:pPr>
      <w:rPr>
        <w:rFonts w:hint="default"/>
      </w:rPr>
    </w:lvl>
    <w:lvl w:ilvl="8" w:tplc="4E941B8A">
      <w:numFmt w:val="bullet"/>
      <w:lvlText w:val="•"/>
      <w:lvlJc w:val="left"/>
      <w:pPr>
        <w:ind w:left="5855" w:hanging="284"/>
      </w:pPr>
      <w:rPr>
        <w:rFonts w:hint="default"/>
      </w:rPr>
    </w:lvl>
  </w:abstractNum>
  <w:abstractNum w:abstractNumId="217">
    <w:nsid w:val="4EA13FD6"/>
    <w:multiLevelType w:val="hybridMultilevel"/>
    <w:tmpl w:val="65226352"/>
    <w:lvl w:ilvl="0" w:tplc="BE4E4174">
      <w:start w:val="3"/>
      <w:numFmt w:val="decimal"/>
      <w:lvlText w:val="%1)"/>
      <w:lvlJc w:val="left"/>
      <w:pPr>
        <w:ind w:left="250" w:hanging="284"/>
        <w:jc w:val="left"/>
      </w:pPr>
      <w:rPr>
        <w:rFonts w:ascii="Cambria" w:eastAsia="Cambria" w:hAnsi="Cambria" w:cs="Cambria" w:hint="default"/>
        <w:color w:val="231F20"/>
        <w:spacing w:val="-18"/>
        <w:w w:val="100"/>
        <w:sz w:val="21"/>
        <w:szCs w:val="21"/>
      </w:rPr>
    </w:lvl>
    <w:lvl w:ilvl="1" w:tplc="5BC4DB2A">
      <w:numFmt w:val="bullet"/>
      <w:lvlText w:val="•"/>
      <w:lvlJc w:val="left"/>
      <w:pPr>
        <w:ind w:left="952" w:hanging="284"/>
      </w:pPr>
      <w:rPr>
        <w:rFonts w:hint="default"/>
      </w:rPr>
    </w:lvl>
    <w:lvl w:ilvl="2" w:tplc="79845768">
      <w:numFmt w:val="bullet"/>
      <w:lvlText w:val="•"/>
      <w:lvlJc w:val="left"/>
      <w:pPr>
        <w:ind w:left="1644" w:hanging="284"/>
      </w:pPr>
      <w:rPr>
        <w:rFonts w:hint="default"/>
      </w:rPr>
    </w:lvl>
    <w:lvl w:ilvl="3" w:tplc="BA0A8796">
      <w:numFmt w:val="bullet"/>
      <w:lvlText w:val="•"/>
      <w:lvlJc w:val="left"/>
      <w:pPr>
        <w:ind w:left="2337" w:hanging="284"/>
      </w:pPr>
      <w:rPr>
        <w:rFonts w:hint="default"/>
      </w:rPr>
    </w:lvl>
    <w:lvl w:ilvl="4" w:tplc="F9840596">
      <w:numFmt w:val="bullet"/>
      <w:lvlText w:val="•"/>
      <w:lvlJc w:val="left"/>
      <w:pPr>
        <w:ind w:left="3029" w:hanging="284"/>
      </w:pPr>
      <w:rPr>
        <w:rFonts w:hint="default"/>
      </w:rPr>
    </w:lvl>
    <w:lvl w:ilvl="5" w:tplc="CAACBAB8">
      <w:numFmt w:val="bullet"/>
      <w:lvlText w:val="•"/>
      <w:lvlJc w:val="left"/>
      <w:pPr>
        <w:ind w:left="3721" w:hanging="284"/>
      </w:pPr>
      <w:rPr>
        <w:rFonts w:hint="default"/>
      </w:rPr>
    </w:lvl>
    <w:lvl w:ilvl="6" w:tplc="ADCC0508">
      <w:numFmt w:val="bullet"/>
      <w:lvlText w:val="•"/>
      <w:lvlJc w:val="left"/>
      <w:pPr>
        <w:ind w:left="4414" w:hanging="284"/>
      </w:pPr>
      <w:rPr>
        <w:rFonts w:hint="default"/>
      </w:rPr>
    </w:lvl>
    <w:lvl w:ilvl="7" w:tplc="3EC43EE0">
      <w:numFmt w:val="bullet"/>
      <w:lvlText w:val="•"/>
      <w:lvlJc w:val="left"/>
      <w:pPr>
        <w:ind w:left="5106" w:hanging="284"/>
      </w:pPr>
      <w:rPr>
        <w:rFonts w:hint="default"/>
      </w:rPr>
    </w:lvl>
    <w:lvl w:ilvl="8" w:tplc="64FEBE32">
      <w:numFmt w:val="bullet"/>
      <w:lvlText w:val="•"/>
      <w:lvlJc w:val="left"/>
      <w:pPr>
        <w:ind w:left="5799" w:hanging="284"/>
      </w:pPr>
      <w:rPr>
        <w:rFonts w:hint="default"/>
      </w:rPr>
    </w:lvl>
  </w:abstractNum>
  <w:abstractNum w:abstractNumId="218">
    <w:nsid w:val="4F361553"/>
    <w:multiLevelType w:val="hybridMultilevel"/>
    <w:tmpl w:val="8AD81D02"/>
    <w:lvl w:ilvl="0" w:tplc="51767BD6">
      <w:start w:val="1"/>
      <w:numFmt w:val="decimal"/>
      <w:lvlText w:val="%1."/>
      <w:lvlJc w:val="left"/>
      <w:pPr>
        <w:ind w:left="250" w:hanging="284"/>
        <w:jc w:val="left"/>
      </w:pPr>
      <w:rPr>
        <w:rFonts w:ascii="Cambria" w:eastAsia="Cambria" w:hAnsi="Cambria" w:cs="Cambria" w:hint="default"/>
        <w:color w:val="231F20"/>
        <w:spacing w:val="-20"/>
        <w:w w:val="100"/>
        <w:sz w:val="21"/>
        <w:szCs w:val="21"/>
      </w:rPr>
    </w:lvl>
    <w:lvl w:ilvl="1" w:tplc="56B82194">
      <w:numFmt w:val="bullet"/>
      <w:lvlText w:val="•"/>
      <w:lvlJc w:val="left"/>
      <w:pPr>
        <w:ind w:left="952" w:hanging="284"/>
      </w:pPr>
      <w:rPr>
        <w:rFonts w:hint="default"/>
      </w:rPr>
    </w:lvl>
    <w:lvl w:ilvl="2" w:tplc="986CD2A6">
      <w:numFmt w:val="bullet"/>
      <w:lvlText w:val="•"/>
      <w:lvlJc w:val="left"/>
      <w:pPr>
        <w:ind w:left="1644" w:hanging="284"/>
      </w:pPr>
      <w:rPr>
        <w:rFonts w:hint="default"/>
      </w:rPr>
    </w:lvl>
    <w:lvl w:ilvl="3" w:tplc="E59068C2">
      <w:numFmt w:val="bullet"/>
      <w:lvlText w:val="•"/>
      <w:lvlJc w:val="left"/>
      <w:pPr>
        <w:ind w:left="2337" w:hanging="284"/>
      </w:pPr>
      <w:rPr>
        <w:rFonts w:hint="default"/>
      </w:rPr>
    </w:lvl>
    <w:lvl w:ilvl="4" w:tplc="56B00E00">
      <w:numFmt w:val="bullet"/>
      <w:lvlText w:val="•"/>
      <w:lvlJc w:val="left"/>
      <w:pPr>
        <w:ind w:left="3029" w:hanging="284"/>
      </w:pPr>
      <w:rPr>
        <w:rFonts w:hint="default"/>
      </w:rPr>
    </w:lvl>
    <w:lvl w:ilvl="5" w:tplc="70B2B988">
      <w:numFmt w:val="bullet"/>
      <w:lvlText w:val="•"/>
      <w:lvlJc w:val="left"/>
      <w:pPr>
        <w:ind w:left="3721" w:hanging="284"/>
      </w:pPr>
      <w:rPr>
        <w:rFonts w:hint="default"/>
      </w:rPr>
    </w:lvl>
    <w:lvl w:ilvl="6" w:tplc="26EEED14">
      <w:numFmt w:val="bullet"/>
      <w:lvlText w:val="•"/>
      <w:lvlJc w:val="left"/>
      <w:pPr>
        <w:ind w:left="4414" w:hanging="284"/>
      </w:pPr>
      <w:rPr>
        <w:rFonts w:hint="default"/>
      </w:rPr>
    </w:lvl>
    <w:lvl w:ilvl="7" w:tplc="B1129D6C">
      <w:numFmt w:val="bullet"/>
      <w:lvlText w:val="•"/>
      <w:lvlJc w:val="left"/>
      <w:pPr>
        <w:ind w:left="5106" w:hanging="284"/>
      </w:pPr>
      <w:rPr>
        <w:rFonts w:hint="default"/>
      </w:rPr>
    </w:lvl>
    <w:lvl w:ilvl="8" w:tplc="E584B9E8">
      <w:numFmt w:val="bullet"/>
      <w:lvlText w:val="•"/>
      <w:lvlJc w:val="left"/>
      <w:pPr>
        <w:ind w:left="5799" w:hanging="284"/>
      </w:pPr>
      <w:rPr>
        <w:rFonts w:hint="default"/>
      </w:rPr>
    </w:lvl>
  </w:abstractNum>
  <w:abstractNum w:abstractNumId="219">
    <w:nsid w:val="4FC61FD1"/>
    <w:multiLevelType w:val="hybridMultilevel"/>
    <w:tmpl w:val="9FEA81A8"/>
    <w:lvl w:ilvl="0" w:tplc="75D296EE">
      <w:numFmt w:val="bullet"/>
      <w:lvlText w:val=""/>
      <w:lvlJc w:val="left"/>
      <w:pPr>
        <w:ind w:left="533" w:hanging="284"/>
      </w:pPr>
      <w:rPr>
        <w:rFonts w:ascii="Wingdings" w:eastAsia="Wingdings" w:hAnsi="Wingdings" w:cs="Wingdings" w:hint="default"/>
        <w:color w:val="231F20"/>
        <w:w w:val="100"/>
        <w:sz w:val="21"/>
        <w:szCs w:val="21"/>
      </w:rPr>
    </w:lvl>
    <w:lvl w:ilvl="1" w:tplc="D12884E6">
      <w:numFmt w:val="bullet"/>
      <w:lvlText w:val="•"/>
      <w:lvlJc w:val="left"/>
      <w:pPr>
        <w:ind w:left="1204" w:hanging="284"/>
      </w:pPr>
      <w:rPr>
        <w:rFonts w:hint="default"/>
      </w:rPr>
    </w:lvl>
    <w:lvl w:ilvl="2" w:tplc="133C2932">
      <w:numFmt w:val="bullet"/>
      <w:lvlText w:val="•"/>
      <w:lvlJc w:val="left"/>
      <w:pPr>
        <w:ind w:left="1868" w:hanging="284"/>
      </w:pPr>
      <w:rPr>
        <w:rFonts w:hint="default"/>
      </w:rPr>
    </w:lvl>
    <w:lvl w:ilvl="3" w:tplc="C1405EB8">
      <w:numFmt w:val="bullet"/>
      <w:lvlText w:val="•"/>
      <w:lvlJc w:val="left"/>
      <w:pPr>
        <w:ind w:left="2533" w:hanging="284"/>
      </w:pPr>
      <w:rPr>
        <w:rFonts w:hint="default"/>
      </w:rPr>
    </w:lvl>
    <w:lvl w:ilvl="4" w:tplc="303CCF88">
      <w:numFmt w:val="bullet"/>
      <w:lvlText w:val="•"/>
      <w:lvlJc w:val="left"/>
      <w:pPr>
        <w:ind w:left="3197" w:hanging="284"/>
      </w:pPr>
      <w:rPr>
        <w:rFonts w:hint="default"/>
      </w:rPr>
    </w:lvl>
    <w:lvl w:ilvl="5" w:tplc="4FDE6B6E">
      <w:numFmt w:val="bullet"/>
      <w:lvlText w:val="•"/>
      <w:lvlJc w:val="left"/>
      <w:pPr>
        <w:ind w:left="3861" w:hanging="284"/>
      </w:pPr>
      <w:rPr>
        <w:rFonts w:hint="default"/>
      </w:rPr>
    </w:lvl>
    <w:lvl w:ilvl="6" w:tplc="B6489E2E">
      <w:numFmt w:val="bullet"/>
      <w:lvlText w:val="•"/>
      <w:lvlJc w:val="left"/>
      <w:pPr>
        <w:ind w:left="4526" w:hanging="284"/>
      </w:pPr>
      <w:rPr>
        <w:rFonts w:hint="default"/>
      </w:rPr>
    </w:lvl>
    <w:lvl w:ilvl="7" w:tplc="C1846E4A">
      <w:numFmt w:val="bullet"/>
      <w:lvlText w:val="•"/>
      <w:lvlJc w:val="left"/>
      <w:pPr>
        <w:ind w:left="5190" w:hanging="284"/>
      </w:pPr>
      <w:rPr>
        <w:rFonts w:hint="default"/>
      </w:rPr>
    </w:lvl>
    <w:lvl w:ilvl="8" w:tplc="6CF69F34">
      <w:numFmt w:val="bullet"/>
      <w:lvlText w:val="•"/>
      <w:lvlJc w:val="left"/>
      <w:pPr>
        <w:ind w:left="5855" w:hanging="284"/>
      </w:pPr>
      <w:rPr>
        <w:rFonts w:hint="default"/>
      </w:rPr>
    </w:lvl>
  </w:abstractNum>
  <w:abstractNum w:abstractNumId="220">
    <w:nsid w:val="4FD43C30"/>
    <w:multiLevelType w:val="hybridMultilevel"/>
    <w:tmpl w:val="5EBCBAB4"/>
    <w:lvl w:ilvl="0" w:tplc="1416E84E">
      <w:numFmt w:val="bullet"/>
      <w:lvlText w:val="–"/>
      <w:lvlJc w:val="left"/>
      <w:pPr>
        <w:ind w:left="533" w:hanging="284"/>
      </w:pPr>
      <w:rPr>
        <w:rFonts w:ascii="Cambria" w:eastAsia="Cambria" w:hAnsi="Cambria" w:cs="Cambria" w:hint="default"/>
        <w:color w:val="231F20"/>
        <w:spacing w:val="-16"/>
        <w:w w:val="100"/>
        <w:sz w:val="21"/>
        <w:szCs w:val="21"/>
      </w:rPr>
    </w:lvl>
    <w:lvl w:ilvl="1" w:tplc="846A4006">
      <w:numFmt w:val="bullet"/>
      <w:lvlText w:val="•"/>
      <w:lvlJc w:val="left"/>
      <w:pPr>
        <w:ind w:left="1204" w:hanging="284"/>
      </w:pPr>
      <w:rPr>
        <w:rFonts w:hint="default"/>
      </w:rPr>
    </w:lvl>
    <w:lvl w:ilvl="2" w:tplc="B2D0898E">
      <w:numFmt w:val="bullet"/>
      <w:lvlText w:val="•"/>
      <w:lvlJc w:val="left"/>
      <w:pPr>
        <w:ind w:left="1868" w:hanging="284"/>
      </w:pPr>
      <w:rPr>
        <w:rFonts w:hint="default"/>
      </w:rPr>
    </w:lvl>
    <w:lvl w:ilvl="3" w:tplc="91D6263C">
      <w:numFmt w:val="bullet"/>
      <w:lvlText w:val="•"/>
      <w:lvlJc w:val="left"/>
      <w:pPr>
        <w:ind w:left="2533" w:hanging="284"/>
      </w:pPr>
      <w:rPr>
        <w:rFonts w:hint="default"/>
      </w:rPr>
    </w:lvl>
    <w:lvl w:ilvl="4" w:tplc="2D7C7B98">
      <w:numFmt w:val="bullet"/>
      <w:lvlText w:val="•"/>
      <w:lvlJc w:val="left"/>
      <w:pPr>
        <w:ind w:left="3197" w:hanging="284"/>
      </w:pPr>
      <w:rPr>
        <w:rFonts w:hint="default"/>
      </w:rPr>
    </w:lvl>
    <w:lvl w:ilvl="5" w:tplc="07D4AB9C">
      <w:numFmt w:val="bullet"/>
      <w:lvlText w:val="•"/>
      <w:lvlJc w:val="left"/>
      <w:pPr>
        <w:ind w:left="3861" w:hanging="284"/>
      </w:pPr>
      <w:rPr>
        <w:rFonts w:hint="default"/>
      </w:rPr>
    </w:lvl>
    <w:lvl w:ilvl="6" w:tplc="F4006CBC">
      <w:numFmt w:val="bullet"/>
      <w:lvlText w:val="•"/>
      <w:lvlJc w:val="left"/>
      <w:pPr>
        <w:ind w:left="4526" w:hanging="284"/>
      </w:pPr>
      <w:rPr>
        <w:rFonts w:hint="default"/>
      </w:rPr>
    </w:lvl>
    <w:lvl w:ilvl="7" w:tplc="F594FA22">
      <w:numFmt w:val="bullet"/>
      <w:lvlText w:val="•"/>
      <w:lvlJc w:val="left"/>
      <w:pPr>
        <w:ind w:left="5190" w:hanging="284"/>
      </w:pPr>
      <w:rPr>
        <w:rFonts w:hint="default"/>
      </w:rPr>
    </w:lvl>
    <w:lvl w:ilvl="8" w:tplc="B0287C06">
      <w:numFmt w:val="bullet"/>
      <w:lvlText w:val="•"/>
      <w:lvlJc w:val="left"/>
      <w:pPr>
        <w:ind w:left="5855" w:hanging="284"/>
      </w:pPr>
      <w:rPr>
        <w:rFonts w:hint="default"/>
      </w:rPr>
    </w:lvl>
  </w:abstractNum>
  <w:abstractNum w:abstractNumId="221">
    <w:nsid w:val="519223B3"/>
    <w:multiLevelType w:val="hybridMultilevel"/>
    <w:tmpl w:val="A1E41BB8"/>
    <w:lvl w:ilvl="0" w:tplc="DE8E6700">
      <w:start w:val="4"/>
      <w:numFmt w:val="decimal"/>
      <w:lvlText w:val="%1."/>
      <w:lvlJc w:val="left"/>
      <w:pPr>
        <w:ind w:left="250" w:hanging="284"/>
        <w:jc w:val="left"/>
      </w:pPr>
      <w:rPr>
        <w:rFonts w:ascii="Cambria" w:eastAsia="Cambria" w:hAnsi="Cambria" w:cs="Cambria" w:hint="default"/>
        <w:color w:val="231F20"/>
        <w:spacing w:val="-16"/>
        <w:w w:val="100"/>
        <w:sz w:val="21"/>
        <w:szCs w:val="21"/>
      </w:rPr>
    </w:lvl>
    <w:lvl w:ilvl="1" w:tplc="E848AEC4">
      <w:numFmt w:val="bullet"/>
      <w:lvlText w:val=""/>
      <w:lvlJc w:val="left"/>
      <w:pPr>
        <w:ind w:left="533" w:hanging="284"/>
      </w:pPr>
      <w:rPr>
        <w:rFonts w:ascii="Wingdings" w:eastAsia="Wingdings" w:hAnsi="Wingdings" w:cs="Wingdings" w:hint="default"/>
        <w:color w:val="231F20"/>
        <w:w w:val="100"/>
        <w:sz w:val="21"/>
        <w:szCs w:val="21"/>
      </w:rPr>
    </w:lvl>
    <w:lvl w:ilvl="2" w:tplc="05E2EFA4">
      <w:numFmt w:val="bullet"/>
      <w:lvlText w:val="•"/>
      <w:lvlJc w:val="left"/>
      <w:pPr>
        <w:ind w:left="1278" w:hanging="284"/>
      </w:pPr>
      <w:rPr>
        <w:rFonts w:hint="default"/>
      </w:rPr>
    </w:lvl>
    <w:lvl w:ilvl="3" w:tplc="0568BF92">
      <w:numFmt w:val="bullet"/>
      <w:lvlText w:val="•"/>
      <w:lvlJc w:val="left"/>
      <w:pPr>
        <w:ind w:left="2016" w:hanging="284"/>
      </w:pPr>
      <w:rPr>
        <w:rFonts w:hint="default"/>
      </w:rPr>
    </w:lvl>
    <w:lvl w:ilvl="4" w:tplc="D696EA68">
      <w:numFmt w:val="bullet"/>
      <w:lvlText w:val="•"/>
      <w:lvlJc w:val="left"/>
      <w:pPr>
        <w:ind w:left="2754" w:hanging="284"/>
      </w:pPr>
      <w:rPr>
        <w:rFonts w:hint="default"/>
      </w:rPr>
    </w:lvl>
    <w:lvl w:ilvl="5" w:tplc="34AC0EC0">
      <w:numFmt w:val="bullet"/>
      <w:lvlText w:val="•"/>
      <w:lvlJc w:val="left"/>
      <w:pPr>
        <w:ind w:left="3492" w:hanging="284"/>
      </w:pPr>
      <w:rPr>
        <w:rFonts w:hint="default"/>
      </w:rPr>
    </w:lvl>
    <w:lvl w:ilvl="6" w:tplc="440ABC64">
      <w:numFmt w:val="bullet"/>
      <w:lvlText w:val="•"/>
      <w:lvlJc w:val="left"/>
      <w:pPr>
        <w:ind w:left="4231" w:hanging="284"/>
      </w:pPr>
      <w:rPr>
        <w:rFonts w:hint="default"/>
      </w:rPr>
    </w:lvl>
    <w:lvl w:ilvl="7" w:tplc="D1A066F0">
      <w:numFmt w:val="bullet"/>
      <w:lvlText w:val="•"/>
      <w:lvlJc w:val="left"/>
      <w:pPr>
        <w:ind w:left="4969" w:hanging="284"/>
      </w:pPr>
      <w:rPr>
        <w:rFonts w:hint="default"/>
      </w:rPr>
    </w:lvl>
    <w:lvl w:ilvl="8" w:tplc="716A55E6">
      <w:numFmt w:val="bullet"/>
      <w:lvlText w:val="•"/>
      <w:lvlJc w:val="left"/>
      <w:pPr>
        <w:ind w:left="5707" w:hanging="284"/>
      </w:pPr>
      <w:rPr>
        <w:rFonts w:hint="default"/>
      </w:rPr>
    </w:lvl>
  </w:abstractNum>
  <w:abstractNum w:abstractNumId="222">
    <w:nsid w:val="52537929"/>
    <w:multiLevelType w:val="hybridMultilevel"/>
    <w:tmpl w:val="D296583E"/>
    <w:lvl w:ilvl="0" w:tplc="B75E22F8">
      <w:start w:val="8"/>
      <w:numFmt w:val="decimal"/>
      <w:lvlText w:val="%1."/>
      <w:lvlJc w:val="left"/>
      <w:pPr>
        <w:ind w:left="250" w:hanging="284"/>
        <w:jc w:val="left"/>
      </w:pPr>
      <w:rPr>
        <w:rFonts w:ascii="Cambria" w:eastAsia="Cambria" w:hAnsi="Cambria" w:cs="Cambria" w:hint="default"/>
        <w:color w:val="231F20"/>
        <w:spacing w:val="-17"/>
        <w:w w:val="100"/>
        <w:sz w:val="21"/>
        <w:szCs w:val="21"/>
      </w:rPr>
    </w:lvl>
    <w:lvl w:ilvl="1" w:tplc="CA024A40">
      <w:numFmt w:val="bullet"/>
      <w:lvlText w:val="•"/>
      <w:lvlJc w:val="left"/>
      <w:pPr>
        <w:ind w:left="952" w:hanging="284"/>
      </w:pPr>
      <w:rPr>
        <w:rFonts w:hint="default"/>
      </w:rPr>
    </w:lvl>
    <w:lvl w:ilvl="2" w:tplc="EC16A79A">
      <w:numFmt w:val="bullet"/>
      <w:lvlText w:val="•"/>
      <w:lvlJc w:val="left"/>
      <w:pPr>
        <w:ind w:left="1644" w:hanging="284"/>
      </w:pPr>
      <w:rPr>
        <w:rFonts w:hint="default"/>
      </w:rPr>
    </w:lvl>
    <w:lvl w:ilvl="3" w:tplc="3FFAE522">
      <w:numFmt w:val="bullet"/>
      <w:lvlText w:val="•"/>
      <w:lvlJc w:val="left"/>
      <w:pPr>
        <w:ind w:left="2337" w:hanging="284"/>
      </w:pPr>
      <w:rPr>
        <w:rFonts w:hint="default"/>
      </w:rPr>
    </w:lvl>
    <w:lvl w:ilvl="4" w:tplc="C666DD3A">
      <w:numFmt w:val="bullet"/>
      <w:lvlText w:val="•"/>
      <w:lvlJc w:val="left"/>
      <w:pPr>
        <w:ind w:left="3029" w:hanging="284"/>
      </w:pPr>
      <w:rPr>
        <w:rFonts w:hint="default"/>
      </w:rPr>
    </w:lvl>
    <w:lvl w:ilvl="5" w:tplc="96166CD4">
      <w:numFmt w:val="bullet"/>
      <w:lvlText w:val="•"/>
      <w:lvlJc w:val="left"/>
      <w:pPr>
        <w:ind w:left="3721" w:hanging="284"/>
      </w:pPr>
      <w:rPr>
        <w:rFonts w:hint="default"/>
      </w:rPr>
    </w:lvl>
    <w:lvl w:ilvl="6" w:tplc="6B8C5F04">
      <w:numFmt w:val="bullet"/>
      <w:lvlText w:val="•"/>
      <w:lvlJc w:val="left"/>
      <w:pPr>
        <w:ind w:left="4414" w:hanging="284"/>
      </w:pPr>
      <w:rPr>
        <w:rFonts w:hint="default"/>
      </w:rPr>
    </w:lvl>
    <w:lvl w:ilvl="7" w:tplc="B6A8BBC4">
      <w:numFmt w:val="bullet"/>
      <w:lvlText w:val="•"/>
      <w:lvlJc w:val="left"/>
      <w:pPr>
        <w:ind w:left="5106" w:hanging="284"/>
      </w:pPr>
      <w:rPr>
        <w:rFonts w:hint="default"/>
      </w:rPr>
    </w:lvl>
    <w:lvl w:ilvl="8" w:tplc="F6AAA318">
      <w:numFmt w:val="bullet"/>
      <w:lvlText w:val="•"/>
      <w:lvlJc w:val="left"/>
      <w:pPr>
        <w:ind w:left="5799" w:hanging="284"/>
      </w:pPr>
      <w:rPr>
        <w:rFonts w:hint="default"/>
      </w:rPr>
    </w:lvl>
  </w:abstractNum>
  <w:abstractNum w:abstractNumId="223">
    <w:nsid w:val="52640E69"/>
    <w:multiLevelType w:val="hybridMultilevel"/>
    <w:tmpl w:val="178E0F60"/>
    <w:lvl w:ilvl="0" w:tplc="541C1464">
      <w:numFmt w:val="bullet"/>
      <w:lvlText w:val="–"/>
      <w:lvlJc w:val="left"/>
      <w:pPr>
        <w:ind w:left="533" w:hanging="284"/>
      </w:pPr>
      <w:rPr>
        <w:rFonts w:ascii="Cambria" w:eastAsia="Cambria" w:hAnsi="Cambria" w:cs="Cambria" w:hint="default"/>
        <w:color w:val="231F20"/>
        <w:spacing w:val="-11"/>
        <w:w w:val="100"/>
        <w:sz w:val="21"/>
        <w:szCs w:val="21"/>
      </w:rPr>
    </w:lvl>
    <w:lvl w:ilvl="1" w:tplc="ADB485CC">
      <w:numFmt w:val="bullet"/>
      <w:lvlText w:val="•"/>
      <w:lvlJc w:val="left"/>
      <w:pPr>
        <w:ind w:left="1204" w:hanging="284"/>
      </w:pPr>
      <w:rPr>
        <w:rFonts w:hint="default"/>
      </w:rPr>
    </w:lvl>
    <w:lvl w:ilvl="2" w:tplc="7944B8DE">
      <w:numFmt w:val="bullet"/>
      <w:lvlText w:val="•"/>
      <w:lvlJc w:val="left"/>
      <w:pPr>
        <w:ind w:left="1868" w:hanging="284"/>
      </w:pPr>
      <w:rPr>
        <w:rFonts w:hint="default"/>
      </w:rPr>
    </w:lvl>
    <w:lvl w:ilvl="3" w:tplc="A1E8EC70">
      <w:numFmt w:val="bullet"/>
      <w:lvlText w:val="•"/>
      <w:lvlJc w:val="left"/>
      <w:pPr>
        <w:ind w:left="2533" w:hanging="284"/>
      </w:pPr>
      <w:rPr>
        <w:rFonts w:hint="default"/>
      </w:rPr>
    </w:lvl>
    <w:lvl w:ilvl="4" w:tplc="333CF974">
      <w:numFmt w:val="bullet"/>
      <w:lvlText w:val="•"/>
      <w:lvlJc w:val="left"/>
      <w:pPr>
        <w:ind w:left="3197" w:hanging="284"/>
      </w:pPr>
      <w:rPr>
        <w:rFonts w:hint="default"/>
      </w:rPr>
    </w:lvl>
    <w:lvl w:ilvl="5" w:tplc="8CB2F48E">
      <w:numFmt w:val="bullet"/>
      <w:lvlText w:val="•"/>
      <w:lvlJc w:val="left"/>
      <w:pPr>
        <w:ind w:left="3861" w:hanging="284"/>
      </w:pPr>
      <w:rPr>
        <w:rFonts w:hint="default"/>
      </w:rPr>
    </w:lvl>
    <w:lvl w:ilvl="6" w:tplc="7934291C">
      <w:numFmt w:val="bullet"/>
      <w:lvlText w:val="•"/>
      <w:lvlJc w:val="left"/>
      <w:pPr>
        <w:ind w:left="4526" w:hanging="284"/>
      </w:pPr>
      <w:rPr>
        <w:rFonts w:hint="default"/>
      </w:rPr>
    </w:lvl>
    <w:lvl w:ilvl="7" w:tplc="99246752">
      <w:numFmt w:val="bullet"/>
      <w:lvlText w:val="•"/>
      <w:lvlJc w:val="left"/>
      <w:pPr>
        <w:ind w:left="5190" w:hanging="284"/>
      </w:pPr>
      <w:rPr>
        <w:rFonts w:hint="default"/>
      </w:rPr>
    </w:lvl>
    <w:lvl w:ilvl="8" w:tplc="2CA06A4C">
      <w:numFmt w:val="bullet"/>
      <w:lvlText w:val="•"/>
      <w:lvlJc w:val="left"/>
      <w:pPr>
        <w:ind w:left="5855" w:hanging="284"/>
      </w:pPr>
      <w:rPr>
        <w:rFonts w:hint="default"/>
      </w:rPr>
    </w:lvl>
  </w:abstractNum>
  <w:abstractNum w:abstractNumId="224">
    <w:nsid w:val="52827A11"/>
    <w:multiLevelType w:val="multilevel"/>
    <w:tmpl w:val="20EAF918"/>
    <w:lvl w:ilvl="0">
      <w:start w:val="7"/>
      <w:numFmt w:val="decimal"/>
      <w:lvlText w:val="%1"/>
      <w:lvlJc w:val="left"/>
      <w:pPr>
        <w:ind w:left="1222" w:hanging="689"/>
        <w:jc w:val="left"/>
      </w:pPr>
      <w:rPr>
        <w:rFonts w:hint="default"/>
      </w:rPr>
    </w:lvl>
    <w:lvl w:ilvl="1">
      <w:start w:val="10"/>
      <w:numFmt w:val="decimal"/>
      <w:lvlText w:val="%1.%2"/>
      <w:lvlJc w:val="left"/>
      <w:pPr>
        <w:ind w:left="1222" w:hanging="689"/>
        <w:jc w:val="left"/>
      </w:pPr>
      <w:rPr>
        <w:rFonts w:hint="default"/>
      </w:rPr>
    </w:lvl>
    <w:lvl w:ilvl="2">
      <w:start w:val="1"/>
      <w:numFmt w:val="decimal"/>
      <w:lvlText w:val="%1.%2.%3."/>
      <w:lvlJc w:val="left"/>
      <w:pPr>
        <w:ind w:left="817" w:hanging="689"/>
        <w:jc w:val="right"/>
      </w:pPr>
      <w:rPr>
        <w:rFonts w:ascii="Cambria" w:eastAsia="Cambria" w:hAnsi="Cambria" w:cs="Cambria" w:hint="default"/>
        <w:b/>
        <w:bCs/>
        <w:color w:val="231F20"/>
        <w:spacing w:val="-1"/>
        <w:w w:val="100"/>
        <w:sz w:val="21"/>
        <w:szCs w:val="21"/>
      </w:rPr>
    </w:lvl>
    <w:lvl w:ilvl="3">
      <w:start w:val="1"/>
      <w:numFmt w:val="decimal"/>
      <w:lvlText w:val="%4)"/>
      <w:lvlJc w:val="left"/>
      <w:pPr>
        <w:ind w:left="1100" w:hanging="284"/>
        <w:jc w:val="left"/>
      </w:pPr>
      <w:rPr>
        <w:rFonts w:ascii="Cambria" w:eastAsia="Cambria" w:hAnsi="Cambria" w:cs="Cambria" w:hint="default"/>
        <w:color w:val="231F20"/>
        <w:spacing w:val="-6"/>
        <w:w w:val="100"/>
        <w:sz w:val="21"/>
        <w:szCs w:val="21"/>
      </w:rPr>
    </w:lvl>
    <w:lvl w:ilvl="4">
      <w:numFmt w:val="bullet"/>
      <w:lvlText w:val="•"/>
      <w:lvlJc w:val="left"/>
      <w:pPr>
        <w:ind w:left="2710" w:hanging="284"/>
      </w:pPr>
      <w:rPr>
        <w:rFonts w:hint="default"/>
      </w:rPr>
    </w:lvl>
    <w:lvl w:ilvl="5">
      <w:numFmt w:val="bullet"/>
      <w:lvlText w:val="•"/>
      <w:lvlJc w:val="left"/>
      <w:pPr>
        <w:ind w:left="3456" w:hanging="284"/>
      </w:pPr>
      <w:rPr>
        <w:rFonts w:hint="default"/>
      </w:rPr>
    </w:lvl>
    <w:lvl w:ilvl="6">
      <w:numFmt w:val="bullet"/>
      <w:lvlText w:val="•"/>
      <w:lvlJc w:val="left"/>
      <w:pPr>
        <w:ind w:left="4201" w:hanging="284"/>
      </w:pPr>
      <w:rPr>
        <w:rFonts w:hint="default"/>
      </w:rPr>
    </w:lvl>
    <w:lvl w:ilvl="7">
      <w:numFmt w:val="bullet"/>
      <w:lvlText w:val="•"/>
      <w:lvlJc w:val="left"/>
      <w:pPr>
        <w:ind w:left="4947" w:hanging="284"/>
      </w:pPr>
      <w:rPr>
        <w:rFonts w:hint="default"/>
      </w:rPr>
    </w:lvl>
    <w:lvl w:ilvl="8">
      <w:numFmt w:val="bullet"/>
      <w:lvlText w:val="•"/>
      <w:lvlJc w:val="left"/>
      <w:pPr>
        <w:ind w:left="5692" w:hanging="284"/>
      </w:pPr>
      <w:rPr>
        <w:rFonts w:hint="default"/>
      </w:rPr>
    </w:lvl>
  </w:abstractNum>
  <w:abstractNum w:abstractNumId="225">
    <w:nsid w:val="52BC2D95"/>
    <w:multiLevelType w:val="multilevel"/>
    <w:tmpl w:val="D37006E6"/>
    <w:lvl w:ilvl="0">
      <w:start w:val="6"/>
      <w:numFmt w:val="decimal"/>
      <w:lvlText w:val="%1"/>
      <w:lvlJc w:val="left"/>
      <w:pPr>
        <w:ind w:left="1332" w:hanging="411"/>
        <w:jc w:val="left"/>
      </w:pPr>
      <w:rPr>
        <w:rFonts w:hint="default"/>
      </w:rPr>
    </w:lvl>
    <w:lvl w:ilvl="1">
      <w:start w:val="1"/>
      <w:numFmt w:val="decimal"/>
      <w:lvlText w:val="%1.%2."/>
      <w:lvlJc w:val="left"/>
      <w:pPr>
        <w:ind w:left="1332" w:hanging="411"/>
        <w:jc w:val="right"/>
      </w:pPr>
      <w:rPr>
        <w:rFonts w:ascii="Cambria" w:eastAsia="Cambria" w:hAnsi="Cambria" w:cs="Cambria" w:hint="default"/>
        <w:b/>
        <w:bCs/>
        <w:color w:val="231F20"/>
        <w:spacing w:val="-1"/>
        <w:w w:val="100"/>
        <w:sz w:val="22"/>
        <w:szCs w:val="22"/>
      </w:rPr>
    </w:lvl>
    <w:lvl w:ilvl="2">
      <w:start w:val="1"/>
      <w:numFmt w:val="decimal"/>
      <w:lvlText w:val="%1.%2.%3."/>
      <w:lvlJc w:val="left"/>
      <w:pPr>
        <w:ind w:left="1382" w:hanging="565"/>
        <w:jc w:val="left"/>
      </w:pPr>
      <w:rPr>
        <w:rFonts w:hint="default"/>
        <w:b/>
        <w:bCs/>
        <w:spacing w:val="-1"/>
        <w:w w:val="100"/>
      </w:rPr>
    </w:lvl>
    <w:lvl w:ilvl="3">
      <w:numFmt w:val="bullet"/>
      <w:lvlText w:val="•"/>
      <w:lvlJc w:val="left"/>
      <w:pPr>
        <w:ind w:left="2669" w:hanging="565"/>
      </w:pPr>
      <w:rPr>
        <w:rFonts w:hint="default"/>
      </w:rPr>
    </w:lvl>
    <w:lvl w:ilvl="4">
      <w:numFmt w:val="bullet"/>
      <w:lvlText w:val="•"/>
      <w:lvlJc w:val="left"/>
      <w:pPr>
        <w:ind w:left="3314" w:hanging="565"/>
      </w:pPr>
      <w:rPr>
        <w:rFonts w:hint="default"/>
      </w:rPr>
    </w:lvl>
    <w:lvl w:ilvl="5">
      <w:numFmt w:val="bullet"/>
      <w:lvlText w:val="•"/>
      <w:lvlJc w:val="left"/>
      <w:pPr>
        <w:ind w:left="3959" w:hanging="565"/>
      </w:pPr>
      <w:rPr>
        <w:rFonts w:hint="default"/>
      </w:rPr>
    </w:lvl>
    <w:lvl w:ilvl="6">
      <w:numFmt w:val="bullet"/>
      <w:lvlText w:val="•"/>
      <w:lvlJc w:val="left"/>
      <w:pPr>
        <w:ind w:left="4604" w:hanging="565"/>
      </w:pPr>
      <w:rPr>
        <w:rFonts w:hint="default"/>
      </w:rPr>
    </w:lvl>
    <w:lvl w:ilvl="7">
      <w:numFmt w:val="bullet"/>
      <w:lvlText w:val="•"/>
      <w:lvlJc w:val="left"/>
      <w:pPr>
        <w:ind w:left="5249" w:hanging="565"/>
      </w:pPr>
      <w:rPr>
        <w:rFonts w:hint="default"/>
      </w:rPr>
    </w:lvl>
    <w:lvl w:ilvl="8">
      <w:numFmt w:val="bullet"/>
      <w:lvlText w:val="•"/>
      <w:lvlJc w:val="left"/>
      <w:pPr>
        <w:ind w:left="5894" w:hanging="565"/>
      </w:pPr>
      <w:rPr>
        <w:rFonts w:hint="default"/>
      </w:rPr>
    </w:lvl>
  </w:abstractNum>
  <w:abstractNum w:abstractNumId="226">
    <w:nsid w:val="547E300B"/>
    <w:multiLevelType w:val="hybridMultilevel"/>
    <w:tmpl w:val="88E8B516"/>
    <w:lvl w:ilvl="0" w:tplc="99FAB6AC">
      <w:start w:val="1"/>
      <w:numFmt w:val="decimal"/>
      <w:lvlText w:val="%1)"/>
      <w:lvlJc w:val="left"/>
      <w:pPr>
        <w:ind w:left="250" w:hanging="284"/>
        <w:jc w:val="left"/>
      </w:pPr>
      <w:rPr>
        <w:rFonts w:ascii="Cambria" w:eastAsia="Cambria" w:hAnsi="Cambria" w:cs="Cambria" w:hint="default"/>
        <w:color w:val="231F20"/>
        <w:spacing w:val="-23"/>
        <w:w w:val="100"/>
        <w:sz w:val="21"/>
        <w:szCs w:val="21"/>
      </w:rPr>
    </w:lvl>
    <w:lvl w:ilvl="1" w:tplc="6C7C2D3C">
      <w:numFmt w:val="bullet"/>
      <w:lvlText w:val="–"/>
      <w:lvlJc w:val="left"/>
      <w:pPr>
        <w:ind w:left="533" w:hanging="284"/>
      </w:pPr>
      <w:rPr>
        <w:rFonts w:ascii="Cambria" w:eastAsia="Cambria" w:hAnsi="Cambria" w:cs="Cambria" w:hint="default"/>
        <w:color w:val="231F20"/>
        <w:spacing w:val="-7"/>
        <w:w w:val="100"/>
        <w:sz w:val="21"/>
        <w:szCs w:val="21"/>
      </w:rPr>
    </w:lvl>
    <w:lvl w:ilvl="2" w:tplc="C8223410">
      <w:numFmt w:val="bullet"/>
      <w:lvlText w:val="•"/>
      <w:lvlJc w:val="left"/>
      <w:pPr>
        <w:ind w:left="1278" w:hanging="284"/>
      </w:pPr>
      <w:rPr>
        <w:rFonts w:hint="default"/>
      </w:rPr>
    </w:lvl>
    <w:lvl w:ilvl="3" w:tplc="D4B6CD68">
      <w:numFmt w:val="bullet"/>
      <w:lvlText w:val="•"/>
      <w:lvlJc w:val="left"/>
      <w:pPr>
        <w:ind w:left="2016" w:hanging="284"/>
      </w:pPr>
      <w:rPr>
        <w:rFonts w:hint="default"/>
      </w:rPr>
    </w:lvl>
    <w:lvl w:ilvl="4" w:tplc="954C1850">
      <w:numFmt w:val="bullet"/>
      <w:lvlText w:val="•"/>
      <w:lvlJc w:val="left"/>
      <w:pPr>
        <w:ind w:left="2754" w:hanging="284"/>
      </w:pPr>
      <w:rPr>
        <w:rFonts w:hint="default"/>
      </w:rPr>
    </w:lvl>
    <w:lvl w:ilvl="5" w:tplc="21D2BD4C">
      <w:numFmt w:val="bullet"/>
      <w:lvlText w:val="•"/>
      <w:lvlJc w:val="left"/>
      <w:pPr>
        <w:ind w:left="3492" w:hanging="284"/>
      </w:pPr>
      <w:rPr>
        <w:rFonts w:hint="default"/>
      </w:rPr>
    </w:lvl>
    <w:lvl w:ilvl="6" w:tplc="7DEA00A4">
      <w:numFmt w:val="bullet"/>
      <w:lvlText w:val="•"/>
      <w:lvlJc w:val="left"/>
      <w:pPr>
        <w:ind w:left="4231" w:hanging="284"/>
      </w:pPr>
      <w:rPr>
        <w:rFonts w:hint="default"/>
      </w:rPr>
    </w:lvl>
    <w:lvl w:ilvl="7" w:tplc="F6746CD4">
      <w:numFmt w:val="bullet"/>
      <w:lvlText w:val="•"/>
      <w:lvlJc w:val="left"/>
      <w:pPr>
        <w:ind w:left="4969" w:hanging="284"/>
      </w:pPr>
      <w:rPr>
        <w:rFonts w:hint="default"/>
      </w:rPr>
    </w:lvl>
    <w:lvl w:ilvl="8" w:tplc="A1D4A8E6">
      <w:numFmt w:val="bullet"/>
      <w:lvlText w:val="•"/>
      <w:lvlJc w:val="left"/>
      <w:pPr>
        <w:ind w:left="5707" w:hanging="284"/>
      </w:pPr>
      <w:rPr>
        <w:rFonts w:hint="default"/>
      </w:rPr>
    </w:lvl>
  </w:abstractNum>
  <w:abstractNum w:abstractNumId="227">
    <w:nsid w:val="549F10A3"/>
    <w:multiLevelType w:val="hybridMultilevel"/>
    <w:tmpl w:val="D97CF3F0"/>
    <w:lvl w:ilvl="0" w:tplc="EBFE2B4E">
      <w:numFmt w:val="bullet"/>
      <w:lvlText w:val=""/>
      <w:lvlJc w:val="left"/>
      <w:pPr>
        <w:ind w:left="250" w:hanging="284"/>
      </w:pPr>
      <w:rPr>
        <w:rFonts w:ascii="Wingdings" w:eastAsia="Wingdings" w:hAnsi="Wingdings" w:cs="Wingdings" w:hint="default"/>
        <w:color w:val="231F20"/>
        <w:w w:val="100"/>
        <w:sz w:val="21"/>
        <w:szCs w:val="21"/>
      </w:rPr>
    </w:lvl>
    <w:lvl w:ilvl="1" w:tplc="CA7C6C38">
      <w:numFmt w:val="bullet"/>
      <w:lvlText w:val="•"/>
      <w:lvlJc w:val="left"/>
      <w:pPr>
        <w:ind w:left="952" w:hanging="284"/>
      </w:pPr>
      <w:rPr>
        <w:rFonts w:hint="default"/>
      </w:rPr>
    </w:lvl>
    <w:lvl w:ilvl="2" w:tplc="177431C8">
      <w:numFmt w:val="bullet"/>
      <w:lvlText w:val="•"/>
      <w:lvlJc w:val="left"/>
      <w:pPr>
        <w:ind w:left="1644" w:hanging="284"/>
      </w:pPr>
      <w:rPr>
        <w:rFonts w:hint="default"/>
      </w:rPr>
    </w:lvl>
    <w:lvl w:ilvl="3" w:tplc="448E6BD0">
      <w:numFmt w:val="bullet"/>
      <w:lvlText w:val="•"/>
      <w:lvlJc w:val="left"/>
      <w:pPr>
        <w:ind w:left="2337" w:hanging="284"/>
      </w:pPr>
      <w:rPr>
        <w:rFonts w:hint="default"/>
      </w:rPr>
    </w:lvl>
    <w:lvl w:ilvl="4" w:tplc="8BEAF732">
      <w:numFmt w:val="bullet"/>
      <w:lvlText w:val="•"/>
      <w:lvlJc w:val="left"/>
      <w:pPr>
        <w:ind w:left="3029" w:hanging="284"/>
      </w:pPr>
      <w:rPr>
        <w:rFonts w:hint="default"/>
      </w:rPr>
    </w:lvl>
    <w:lvl w:ilvl="5" w:tplc="B9CEB3FC">
      <w:numFmt w:val="bullet"/>
      <w:lvlText w:val="•"/>
      <w:lvlJc w:val="left"/>
      <w:pPr>
        <w:ind w:left="3721" w:hanging="284"/>
      </w:pPr>
      <w:rPr>
        <w:rFonts w:hint="default"/>
      </w:rPr>
    </w:lvl>
    <w:lvl w:ilvl="6" w:tplc="743219B6">
      <w:numFmt w:val="bullet"/>
      <w:lvlText w:val="•"/>
      <w:lvlJc w:val="left"/>
      <w:pPr>
        <w:ind w:left="4414" w:hanging="284"/>
      </w:pPr>
      <w:rPr>
        <w:rFonts w:hint="default"/>
      </w:rPr>
    </w:lvl>
    <w:lvl w:ilvl="7" w:tplc="CE32C9CE">
      <w:numFmt w:val="bullet"/>
      <w:lvlText w:val="•"/>
      <w:lvlJc w:val="left"/>
      <w:pPr>
        <w:ind w:left="5106" w:hanging="284"/>
      </w:pPr>
      <w:rPr>
        <w:rFonts w:hint="default"/>
      </w:rPr>
    </w:lvl>
    <w:lvl w:ilvl="8" w:tplc="99AAA26C">
      <w:numFmt w:val="bullet"/>
      <w:lvlText w:val="•"/>
      <w:lvlJc w:val="left"/>
      <w:pPr>
        <w:ind w:left="5799" w:hanging="284"/>
      </w:pPr>
      <w:rPr>
        <w:rFonts w:hint="default"/>
      </w:rPr>
    </w:lvl>
  </w:abstractNum>
  <w:abstractNum w:abstractNumId="228">
    <w:nsid w:val="54CC6EE8"/>
    <w:multiLevelType w:val="hybridMultilevel"/>
    <w:tmpl w:val="3280C812"/>
    <w:lvl w:ilvl="0" w:tplc="E256C188">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F25A04EA">
      <w:start w:val="1"/>
      <w:numFmt w:val="decimal"/>
      <w:lvlText w:val="%2)"/>
      <w:lvlJc w:val="left"/>
      <w:pPr>
        <w:ind w:left="533" w:hanging="284"/>
        <w:jc w:val="left"/>
      </w:pPr>
      <w:rPr>
        <w:rFonts w:ascii="Cambria" w:eastAsia="Cambria" w:hAnsi="Cambria" w:cs="Cambria" w:hint="default"/>
        <w:color w:val="231F20"/>
        <w:spacing w:val="-23"/>
        <w:w w:val="100"/>
        <w:sz w:val="21"/>
        <w:szCs w:val="21"/>
      </w:rPr>
    </w:lvl>
    <w:lvl w:ilvl="2" w:tplc="BE4E655E">
      <w:numFmt w:val="bullet"/>
      <w:lvlText w:val="•"/>
      <w:lvlJc w:val="left"/>
      <w:pPr>
        <w:ind w:left="1278" w:hanging="284"/>
      </w:pPr>
      <w:rPr>
        <w:rFonts w:hint="default"/>
      </w:rPr>
    </w:lvl>
    <w:lvl w:ilvl="3" w:tplc="2092D21C">
      <w:numFmt w:val="bullet"/>
      <w:lvlText w:val="•"/>
      <w:lvlJc w:val="left"/>
      <w:pPr>
        <w:ind w:left="2016" w:hanging="284"/>
      </w:pPr>
      <w:rPr>
        <w:rFonts w:hint="default"/>
      </w:rPr>
    </w:lvl>
    <w:lvl w:ilvl="4" w:tplc="315615CE">
      <w:numFmt w:val="bullet"/>
      <w:lvlText w:val="•"/>
      <w:lvlJc w:val="left"/>
      <w:pPr>
        <w:ind w:left="2754" w:hanging="284"/>
      </w:pPr>
      <w:rPr>
        <w:rFonts w:hint="default"/>
      </w:rPr>
    </w:lvl>
    <w:lvl w:ilvl="5" w:tplc="E29CF89A">
      <w:numFmt w:val="bullet"/>
      <w:lvlText w:val="•"/>
      <w:lvlJc w:val="left"/>
      <w:pPr>
        <w:ind w:left="3492" w:hanging="284"/>
      </w:pPr>
      <w:rPr>
        <w:rFonts w:hint="default"/>
      </w:rPr>
    </w:lvl>
    <w:lvl w:ilvl="6" w:tplc="B8CABBE0">
      <w:numFmt w:val="bullet"/>
      <w:lvlText w:val="•"/>
      <w:lvlJc w:val="left"/>
      <w:pPr>
        <w:ind w:left="4231" w:hanging="284"/>
      </w:pPr>
      <w:rPr>
        <w:rFonts w:hint="default"/>
      </w:rPr>
    </w:lvl>
    <w:lvl w:ilvl="7" w:tplc="2C867D16">
      <w:numFmt w:val="bullet"/>
      <w:lvlText w:val="•"/>
      <w:lvlJc w:val="left"/>
      <w:pPr>
        <w:ind w:left="4969" w:hanging="284"/>
      </w:pPr>
      <w:rPr>
        <w:rFonts w:hint="default"/>
      </w:rPr>
    </w:lvl>
    <w:lvl w:ilvl="8" w:tplc="22DEE538">
      <w:numFmt w:val="bullet"/>
      <w:lvlText w:val="•"/>
      <w:lvlJc w:val="left"/>
      <w:pPr>
        <w:ind w:left="5707" w:hanging="284"/>
      </w:pPr>
      <w:rPr>
        <w:rFonts w:hint="default"/>
      </w:rPr>
    </w:lvl>
  </w:abstractNum>
  <w:abstractNum w:abstractNumId="229">
    <w:nsid w:val="55486CE6"/>
    <w:multiLevelType w:val="hybridMultilevel"/>
    <w:tmpl w:val="172C769E"/>
    <w:lvl w:ilvl="0" w:tplc="EFFE8F78">
      <w:numFmt w:val="bullet"/>
      <w:lvlText w:val=""/>
      <w:lvlJc w:val="left"/>
      <w:pPr>
        <w:ind w:left="533" w:hanging="284"/>
      </w:pPr>
      <w:rPr>
        <w:rFonts w:ascii="Wingdings" w:eastAsia="Wingdings" w:hAnsi="Wingdings" w:cs="Wingdings" w:hint="default"/>
        <w:color w:val="231F20"/>
        <w:w w:val="100"/>
        <w:sz w:val="21"/>
        <w:szCs w:val="21"/>
      </w:rPr>
    </w:lvl>
    <w:lvl w:ilvl="1" w:tplc="6C4657B0">
      <w:numFmt w:val="bullet"/>
      <w:lvlText w:val="•"/>
      <w:lvlJc w:val="left"/>
      <w:pPr>
        <w:ind w:left="1204" w:hanging="284"/>
      </w:pPr>
      <w:rPr>
        <w:rFonts w:hint="default"/>
      </w:rPr>
    </w:lvl>
    <w:lvl w:ilvl="2" w:tplc="66CADABA">
      <w:numFmt w:val="bullet"/>
      <w:lvlText w:val="•"/>
      <w:lvlJc w:val="left"/>
      <w:pPr>
        <w:ind w:left="1868" w:hanging="284"/>
      </w:pPr>
      <w:rPr>
        <w:rFonts w:hint="default"/>
      </w:rPr>
    </w:lvl>
    <w:lvl w:ilvl="3" w:tplc="C91E2948">
      <w:numFmt w:val="bullet"/>
      <w:lvlText w:val="•"/>
      <w:lvlJc w:val="left"/>
      <w:pPr>
        <w:ind w:left="2533" w:hanging="284"/>
      </w:pPr>
      <w:rPr>
        <w:rFonts w:hint="default"/>
      </w:rPr>
    </w:lvl>
    <w:lvl w:ilvl="4" w:tplc="12C8DFFE">
      <w:numFmt w:val="bullet"/>
      <w:lvlText w:val="•"/>
      <w:lvlJc w:val="left"/>
      <w:pPr>
        <w:ind w:left="3197" w:hanging="284"/>
      </w:pPr>
      <w:rPr>
        <w:rFonts w:hint="default"/>
      </w:rPr>
    </w:lvl>
    <w:lvl w:ilvl="5" w:tplc="9498F8B8">
      <w:numFmt w:val="bullet"/>
      <w:lvlText w:val="•"/>
      <w:lvlJc w:val="left"/>
      <w:pPr>
        <w:ind w:left="3861" w:hanging="284"/>
      </w:pPr>
      <w:rPr>
        <w:rFonts w:hint="default"/>
      </w:rPr>
    </w:lvl>
    <w:lvl w:ilvl="6" w:tplc="6F882D70">
      <w:numFmt w:val="bullet"/>
      <w:lvlText w:val="•"/>
      <w:lvlJc w:val="left"/>
      <w:pPr>
        <w:ind w:left="4526" w:hanging="284"/>
      </w:pPr>
      <w:rPr>
        <w:rFonts w:hint="default"/>
      </w:rPr>
    </w:lvl>
    <w:lvl w:ilvl="7" w:tplc="AB94D940">
      <w:numFmt w:val="bullet"/>
      <w:lvlText w:val="•"/>
      <w:lvlJc w:val="left"/>
      <w:pPr>
        <w:ind w:left="5190" w:hanging="284"/>
      </w:pPr>
      <w:rPr>
        <w:rFonts w:hint="default"/>
      </w:rPr>
    </w:lvl>
    <w:lvl w:ilvl="8" w:tplc="EEAA8ACE">
      <w:numFmt w:val="bullet"/>
      <w:lvlText w:val="•"/>
      <w:lvlJc w:val="left"/>
      <w:pPr>
        <w:ind w:left="5855" w:hanging="284"/>
      </w:pPr>
      <w:rPr>
        <w:rFonts w:hint="default"/>
      </w:rPr>
    </w:lvl>
  </w:abstractNum>
  <w:abstractNum w:abstractNumId="230">
    <w:nsid w:val="55C4167A"/>
    <w:multiLevelType w:val="hybridMultilevel"/>
    <w:tmpl w:val="F0404BEA"/>
    <w:lvl w:ilvl="0" w:tplc="C34E3A4C">
      <w:start w:val="1"/>
      <w:numFmt w:val="decimal"/>
      <w:lvlText w:val="%1)"/>
      <w:lvlJc w:val="left"/>
      <w:pPr>
        <w:ind w:left="250" w:hanging="284"/>
        <w:jc w:val="left"/>
      </w:pPr>
      <w:rPr>
        <w:rFonts w:ascii="Cambria" w:eastAsia="Cambria" w:hAnsi="Cambria" w:cs="Cambria" w:hint="default"/>
        <w:color w:val="231F20"/>
        <w:spacing w:val="-12"/>
        <w:w w:val="100"/>
        <w:sz w:val="21"/>
        <w:szCs w:val="21"/>
      </w:rPr>
    </w:lvl>
    <w:lvl w:ilvl="1" w:tplc="D86AD3BC">
      <w:numFmt w:val="bullet"/>
      <w:lvlText w:val="–"/>
      <w:lvlJc w:val="left"/>
      <w:pPr>
        <w:ind w:left="533" w:hanging="284"/>
      </w:pPr>
      <w:rPr>
        <w:rFonts w:ascii="Cambria" w:eastAsia="Cambria" w:hAnsi="Cambria" w:cs="Cambria" w:hint="default"/>
        <w:color w:val="231F20"/>
        <w:spacing w:val="-18"/>
        <w:w w:val="100"/>
        <w:sz w:val="21"/>
        <w:szCs w:val="21"/>
      </w:rPr>
    </w:lvl>
    <w:lvl w:ilvl="2" w:tplc="660AF5C0">
      <w:numFmt w:val="bullet"/>
      <w:lvlText w:val="•"/>
      <w:lvlJc w:val="left"/>
      <w:pPr>
        <w:ind w:left="1278" w:hanging="284"/>
      </w:pPr>
      <w:rPr>
        <w:rFonts w:hint="default"/>
      </w:rPr>
    </w:lvl>
    <w:lvl w:ilvl="3" w:tplc="7A4C1944">
      <w:numFmt w:val="bullet"/>
      <w:lvlText w:val="•"/>
      <w:lvlJc w:val="left"/>
      <w:pPr>
        <w:ind w:left="2016" w:hanging="284"/>
      </w:pPr>
      <w:rPr>
        <w:rFonts w:hint="default"/>
      </w:rPr>
    </w:lvl>
    <w:lvl w:ilvl="4" w:tplc="CAF0CCF6">
      <w:numFmt w:val="bullet"/>
      <w:lvlText w:val="•"/>
      <w:lvlJc w:val="left"/>
      <w:pPr>
        <w:ind w:left="2754" w:hanging="284"/>
      </w:pPr>
      <w:rPr>
        <w:rFonts w:hint="default"/>
      </w:rPr>
    </w:lvl>
    <w:lvl w:ilvl="5" w:tplc="A212117C">
      <w:numFmt w:val="bullet"/>
      <w:lvlText w:val="•"/>
      <w:lvlJc w:val="left"/>
      <w:pPr>
        <w:ind w:left="3492" w:hanging="284"/>
      </w:pPr>
      <w:rPr>
        <w:rFonts w:hint="default"/>
      </w:rPr>
    </w:lvl>
    <w:lvl w:ilvl="6" w:tplc="38801664">
      <w:numFmt w:val="bullet"/>
      <w:lvlText w:val="•"/>
      <w:lvlJc w:val="left"/>
      <w:pPr>
        <w:ind w:left="4231" w:hanging="284"/>
      </w:pPr>
      <w:rPr>
        <w:rFonts w:hint="default"/>
      </w:rPr>
    </w:lvl>
    <w:lvl w:ilvl="7" w:tplc="78E42862">
      <w:numFmt w:val="bullet"/>
      <w:lvlText w:val="•"/>
      <w:lvlJc w:val="left"/>
      <w:pPr>
        <w:ind w:left="4969" w:hanging="284"/>
      </w:pPr>
      <w:rPr>
        <w:rFonts w:hint="default"/>
      </w:rPr>
    </w:lvl>
    <w:lvl w:ilvl="8" w:tplc="BF4EAF96">
      <w:numFmt w:val="bullet"/>
      <w:lvlText w:val="•"/>
      <w:lvlJc w:val="left"/>
      <w:pPr>
        <w:ind w:left="5707" w:hanging="284"/>
      </w:pPr>
      <w:rPr>
        <w:rFonts w:hint="default"/>
      </w:rPr>
    </w:lvl>
  </w:abstractNum>
  <w:abstractNum w:abstractNumId="231">
    <w:nsid w:val="55E170D3"/>
    <w:multiLevelType w:val="hybridMultilevel"/>
    <w:tmpl w:val="20DC0CD4"/>
    <w:lvl w:ilvl="0" w:tplc="78500B96">
      <w:numFmt w:val="bullet"/>
      <w:lvlText w:val="–"/>
      <w:lvlJc w:val="left"/>
      <w:pPr>
        <w:ind w:left="250" w:hanging="179"/>
      </w:pPr>
      <w:rPr>
        <w:rFonts w:ascii="Cambria" w:eastAsia="Cambria" w:hAnsi="Cambria" w:cs="Cambria" w:hint="default"/>
        <w:color w:val="231F20"/>
        <w:spacing w:val="-21"/>
        <w:w w:val="100"/>
        <w:sz w:val="21"/>
        <w:szCs w:val="21"/>
      </w:rPr>
    </w:lvl>
    <w:lvl w:ilvl="1" w:tplc="C56A21A2">
      <w:numFmt w:val="bullet"/>
      <w:lvlText w:val="•"/>
      <w:lvlJc w:val="left"/>
      <w:pPr>
        <w:ind w:left="952" w:hanging="179"/>
      </w:pPr>
      <w:rPr>
        <w:rFonts w:hint="default"/>
      </w:rPr>
    </w:lvl>
    <w:lvl w:ilvl="2" w:tplc="B9D8398A">
      <w:numFmt w:val="bullet"/>
      <w:lvlText w:val="•"/>
      <w:lvlJc w:val="left"/>
      <w:pPr>
        <w:ind w:left="1644" w:hanging="179"/>
      </w:pPr>
      <w:rPr>
        <w:rFonts w:hint="default"/>
      </w:rPr>
    </w:lvl>
    <w:lvl w:ilvl="3" w:tplc="AEA818F2">
      <w:numFmt w:val="bullet"/>
      <w:lvlText w:val="•"/>
      <w:lvlJc w:val="left"/>
      <w:pPr>
        <w:ind w:left="2337" w:hanging="179"/>
      </w:pPr>
      <w:rPr>
        <w:rFonts w:hint="default"/>
      </w:rPr>
    </w:lvl>
    <w:lvl w:ilvl="4" w:tplc="401822FA">
      <w:numFmt w:val="bullet"/>
      <w:lvlText w:val="•"/>
      <w:lvlJc w:val="left"/>
      <w:pPr>
        <w:ind w:left="3029" w:hanging="179"/>
      </w:pPr>
      <w:rPr>
        <w:rFonts w:hint="default"/>
      </w:rPr>
    </w:lvl>
    <w:lvl w:ilvl="5" w:tplc="43966222">
      <w:numFmt w:val="bullet"/>
      <w:lvlText w:val="•"/>
      <w:lvlJc w:val="left"/>
      <w:pPr>
        <w:ind w:left="3721" w:hanging="179"/>
      </w:pPr>
      <w:rPr>
        <w:rFonts w:hint="default"/>
      </w:rPr>
    </w:lvl>
    <w:lvl w:ilvl="6" w:tplc="297830D2">
      <w:numFmt w:val="bullet"/>
      <w:lvlText w:val="•"/>
      <w:lvlJc w:val="left"/>
      <w:pPr>
        <w:ind w:left="4414" w:hanging="179"/>
      </w:pPr>
      <w:rPr>
        <w:rFonts w:hint="default"/>
      </w:rPr>
    </w:lvl>
    <w:lvl w:ilvl="7" w:tplc="51909606">
      <w:numFmt w:val="bullet"/>
      <w:lvlText w:val="•"/>
      <w:lvlJc w:val="left"/>
      <w:pPr>
        <w:ind w:left="5106" w:hanging="179"/>
      </w:pPr>
      <w:rPr>
        <w:rFonts w:hint="default"/>
      </w:rPr>
    </w:lvl>
    <w:lvl w:ilvl="8" w:tplc="0118651A">
      <w:numFmt w:val="bullet"/>
      <w:lvlText w:val="•"/>
      <w:lvlJc w:val="left"/>
      <w:pPr>
        <w:ind w:left="5799" w:hanging="179"/>
      </w:pPr>
      <w:rPr>
        <w:rFonts w:hint="default"/>
      </w:rPr>
    </w:lvl>
  </w:abstractNum>
  <w:abstractNum w:abstractNumId="232">
    <w:nsid w:val="56070283"/>
    <w:multiLevelType w:val="hybridMultilevel"/>
    <w:tmpl w:val="19E254A2"/>
    <w:lvl w:ilvl="0" w:tplc="51C8B4CC">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7C3211AA">
      <w:numFmt w:val="bullet"/>
      <w:lvlText w:val="–"/>
      <w:lvlJc w:val="left"/>
      <w:pPr>
        <w:ind w:left="533" w:hanging="284"/>
      </w:pPr>
      <w:rPr>
        <w:rFonts w:ascii="Cambria" w:eastAsia="Cambria" w:hAnsi="Cambria" w:cs="Cambria" w:hint="default"/>
        <w:color w:val="231F20"/>
        <w:spacing w:val="-17"/>
        <w:w w:val="100"/>
        <w:sz w:val="21"/>
        <w:szCs w:val="21"/>
      </w:rPr>
    </w:lvl>
    <w:lvl w:ilvl="2" w:tplc="019C1B5A">
      <w:numFmt w:val="bullet"/>
      <w:lvlText w:val="•"/>
      <w:lvlJc w:val="left"/>
      <w:pPr>
        <w:ind w:left="1278" w:hanging="284"/>
      </w:pPr>
      <w:rPr>
        <w:rFonts w:hint="default"/>
      </w:rPr>
    </w:lvl>
    <w:lvl w:ilvl="3" w:tplc="B2EEE9B4">
      <w:numFmt w:val="bullet"/>
      <w:lvlText w:val="•"/>
      <w:lvlJc w:val="left"/>
      <w:pPr>
        <w:ind w:left="2016" w:hanging="284"/>
      </w:pPr>
      <w:rPr>
        <w:rFonts w:hint="default"/>
      </w:rPr>
    </w:lvl>
    <w:lvl w:ilvl="4" w:tplc="4642B3CE">
      <w:numFmt w:val="bullet"/>
      <w:lvlText w:val="•"/>
      <w:lvlJc w:val="left"/>
      <w:pPr>
        <w:ind w:left="2754" w:hanging="284"/>
      </w:pPr>
      <w:rPr>
        <w:rFonts w:hint="default"/>
      </w:rPr>
    </w:lvl>
    <w:lvl w:ilvl="5" w:tplc="5A26D89E">
      <w:numFmt w:val="bullet"/>
      <w:lvlText w:val="•"/>
      <w:lvlJc w:val="left"/>
      <w:pPr>
        <w:ind w:left="3492" w:hanging="284"/>
      </w:pPr>
      <w:rPr>
        <w:rFonts w:hint="default"/>
      </w:rPr>
    </w:lvl>
    <w:lvl w:ilvl="6" w:tplc="DFEE6F22">
      <w:numFmt w:val="bullet"/>
      <w:lvlText w:val="•"/>
      <w:lvlJc w:val="left"/>
      <w:pPr>
        <w:ind w:left="4231" w:hanging="284"/>
      </w:pPr>
      <w:rPr>
        <w:rFonts w:hint="default"/>
      </w:rPr>
    </w:lvl>
    <w:lvl w:ilvl="7" w:tplc="C7EC45BE">
      <w:numFmt w:val="bullet"/>
      <w:lvlText w:val="•"/>
      <w:lvlJc w:val="left"/>
      <w:pPr>
        <w:ind w:left="4969" w:hanging="284"/>
      </w:pPr>
      <w:rPr>
        <w:rFonts w:hint="default"/>
      </w:rPr>
    </w:lvl>
    <w:lvl w:ilvl="8" w:tplc="E63E8710">
      <w:numFmt w:val="bullet"/>
      <w:lvlText w:val="•"/>
      <w:lvlJc w:val="left"/>
      <w:pPr>
        <w:ind w:left="5707" w:hanging="284"/>
      </w:pPr>
      <w:rPr>
        <w:rFonts w:hint="default"/>
      </w:rPr>
    </w:lvl>
  </w:abstractNum>
  <w:abstractNum w:abstractNumId="233">
    <w:nsid w:val="564E45C6"/>
    <w:multiLevelType w:val="hybridMultilevel"/>
    <w:tmpl w:val="F41A4920"/>
    <w:lvl w:ilvl="0" w:tplc="A4665006">
      <w:start w:val="1"/>
      <w:numFmt w:val="decimal"/>
      <w:lvlText w:val="%1)"/>
      <w:lvlJc w:val="left"/>
      <w:pPr>
        <w:ind w:left="250" w:hanging="284"/>
        <w:jc w:val="left"/>
      </w:pPr>
      <w:rPr>
        <w:rFonts w:ascii="Cambria" w:eastAsia="Cambria" w:hAnsi="Cambria" w:cs="Cambria" w:hint="default"/>
        <w:color w:val="231F20"/>
        <w:spacing w:val="-17"/>
        <w:w w:val="100"/>
        <w:sz w:val="21"/>
        <w:szCs w:val="21"/>
      </w:rPr>
    </w:lvl>
    <w:lvl w:ilvl="1" w:tplc="4BFEC25A">
      <w:numFmt w:val="bullet"/>
      <w:lvlText w:val="•"/>
      <w:lvlJc w:val="left"/>
      <w:pPr>
        <w:ind w:left="952" w:hanging="284"/>
      </w:pPr>
      <w:rPr>
        <w:rFonts w:hint="default"/>
      </w:rPr>
    </w:lvl>
    <w:lvl w:ilvl="2" w:tplc="AD60CE2E">
      <w:numFmt w:val="bullet"/>
      <w:lvlText w:val="•"/>
      <w:lvlJc w:val="left"/>
      <w:pPr>
        <w:ind w:left="1644" w:hanging="284"/>
      </w:pPr>
      <w:rPr>
        <w:rFonts w:hint="default"/>
      </w:rPr>
    </w:lvl>
    <w:lvl w:ilvl="3" w:tplc="45CAE320">
      <w:numFmt w:val="bullet"/>
      <w:lvlText w:val="•"/>
      <w:lvlJc w:val="left"/>
      <w:pPr>
        <w:ind w:left="2337" w:hanging="284"/>
      </w:pPr>
      <w:rPr>
        <w:rFonts w:hint="default"/>
      </w:rPr>
    </w:lvl>
    <w:lvl w:ilvl="4" w:tplc="FFF29C34">
      <w:numFmt w:val="bullet"/>
      <w:lvlText w:val="•"/>
      <w:lvlJc w:val="left"/>
      <w:pPr>
        <w:ind w:left="3029" w:hanging="284"/>
      </w:pPr>
      <w:rPr>
        <w:rFonts w:hint="default"/>
      </w:rPr>
    </w:lvl>
    <w:lvl w:ilvl="5" w:tplc="E49CC39E">
      <w:numFmt w:val="bullet"/>
      <w:lvlText w:val="•"/>
      <w:lvlJc w:val="left"/>
      <w:pPr>
        <w:ind w:left="3721" w:hanging="284"/>
      </w:pPr>
      <w:rPr>
        <w:rFonts w:hint="default"/>
      </w:rPr>
    </w:lvl>
    <w:lvl w:ilvl="6" w:tplc="4106EE7A">
      <w:numFmt w:val="bullet"/>
      <w:lvlText w:val="•"/>
      <w:lvlJc w:val="left"/>
      <w:pPr>
        <w:ind w:left="4414" w:hanging="284"/>
      </w:pPr>
      <w:rPr>
        <w:rFonts w:hint="default"/>
      </w:rPr>
    </w:lvl>
    <w:lvl w:ilvl="7" w:tplc="67B4017A">
      <w:numFmt w:val="bullet"/>
      <w:lvlText w:val="•"/>
      <w:lvlJc w:val="left"/>
      <w:pPr>
        <w:ind w:left="5106" w:hanging="284"/>
      </w:pPr>
      <w:rPr>
        <w:rFonts w:hint="default"/>
      </w:rPr>
    </w:lvl>
    <w:lvl w:ilvl="8" w:tplc="EF5406C8">
      <w:numFmt w:val="bullet"/>
      <w:lvlText w:val="•"/>
      <w:lvlJc w:val="left"/>
      <w:pPr>
        <w:ind w:left="5799" w:hanging="284"/>
      </w:pPr>
      <w:rPr>
        <w:rFonts w:hint="default"/>
      </w:rPr>
    </w:lvl>
  </w:abstractNum>
  <w:abstractNum w:abstractNumId="234">
    <w:nsid w:val="57312C72"/>
    <w:multiLevelType w:val="hybridMultilevel"/>
    <w:tmpl w:val="910E6DB8"/>
    <w:lvl w:ilvl="0" w:tplc="9C224850">
      <w:start w:val="1"/>
      <w:numFmt w:val="decimal"/>
      <w:lvlText w:val="%1."/>
      <w:lvlJc w:val="left"/>
      <w:pPr>
        <w:ind w:left="250" w:hanging="284"/>
        <w:jc w:val="left"/>
      </w:pPr>
      <w:rPr>
        <w:rFonts w:ascii="Cambria" w:eastAsia="Cambria" w:hAnsi="Cambria" w:cs="Cambria" w:hint="default"/>
        <w:b/>
        <w:bCs/>
        <w:color w:val="231F20"/>
        <w:spacing w:val="-21"/>
        <w:w w:val="100"/>
        <w:sz w:val="21"/>
        <w:szCs w:val="21"/>
      </w:rPr>
    </w:lvl>
    <w:lvl w:ilvl="1" w:tplc="8CE47E20">
      <w:numFmt w:val="bullet"/>
      <w:lvlText w:val="•"/>
      <w:lvlJc w:val="left"/>
      <w:pPr>
        <w:ind w:left="952" w:hanging="284"/>
      </w:pPr>
      <w:rPr>
        <w:rFonts w:hint="default"/>
      </w:rPr>
    </w:lvl>
    <w:lvl w:ilvl="2" w:tplc="0F8852BE">
      <w:numFmt w:val="bullet"/>
      <w:lvlText w:val="•"/>
      <w:lvlJc w:val="left"/>
      <w:pPr>
        <w:ind w:left="1644" w:hanging="284"/>
      </w:pPr>
      <w:rPr>
        <w:rFonts w:hint="default"/>
      </w:rPr>
    </w:lvl>
    <w:lvl w:ilvl="3" w:tplc="BB78A28C">
      <w:numFmt w:val="bullet"/>
      <w:lvlText w:val="•"/>
      <w:lvlJc w:val="left"/>
      <w:pPr>
        <w:ind w:left="2337" w:hanging="284"/>
      </w:pPr>
      <w:rPr>
        <w:rFonts w:hint="default"/>
      </w:rPr>
    </w:lvl>
    <w:lvl w:ilvl="4" w:tplc="47887DE6">
      <w:numFmt w:val="bullet"/>
      <w:lvlText w:val="•"/>
      <w:lvlJc w:val="left"/>
      <w:pPr>
        <w:ind w:left="3029" w:hanging="284"/>
      </w:pPr>
      <w:rPr>
        <w:rFonts w:hint="default"/>
      </w:rPr>
    </w:lvl>
    <w:lvl w:ilvl="5" w:tplc="7E9A3B00">
      <w:numFmt w:val="bullet"/>
      <w:lvlText w:val="•"/>
      <w:lvlJc w:val="left"/>
      <w:pPr>
        <w:ind w:left="3721" w:hanging="284"/>
      </w:pPr>
      <w:rPr>
        <w:rFonts w:hint="default"/>
      </w:rPr>
    </w:lvl>
    <w:lvl w:ilvl="6" w:tplc="F40641F0">
      <w:numFmt w:val="bullet"/>
      <w:lvlText w:val="•"/>
      <w:lvlJc w:val="left"/>
      <w:pPr>
        <w:ind w:left="4414" w:hanging="284"/>
      </w:pPr>
      <w:rPr>
        <w:rFonts w:hint="default"/>
      </w:rPr>
    </w:lvl>
    <w:lvl w:ilvl="7" w:tplc="25B058AC">
      <w:numFmt w:val="bullet"/>
      <w:lvlText w:val="•"/>
      <w:lvlJc w:val="left"/>
      <w:pPr>
        <w:ind w:left="5106" w:hanging="284"/>
      </w:pPr>
      <w:rPr>
        <w:rFonts w:hint="default"/>
      </w:rPr>
    </w:lvl>
    <w:lvl w:ilvl="8" w:tplc="0FFEEEC8">
      <w:numFmt w:val="bullet"/>
      <w:lvlText w:val="•"/>
      <w:lvlJc w:val="left"/>
      <w:pPr>
        <w:ind w:left="5799" w:hanging="284"/>
      </w:pPr>
      <w:rPr>
        <w:rFonts w:hint="default"/>
      </w:rPr>
    </w:lvl>
  </w:abstractNum>
  <w:abstractNum w:abstractNumId="235">
    <w:nsid w:val="5740018B"/>
    <w:multiLevelType w:val="hybridMultilevel"/>
    <w:tmpl w:val="B314B492"/>
    <w:lvl w:ilvl="0" w:tplc="BE22D9AC">
      <w:start w:val="3"/>
      <w:numFmt w:val="decimal"/>
      <w:lvlText w:val="%1)"/>
      <w:lvlJc w:val="left"/>
      <w:pPr>
        <w:ind w:left="250" w:hanging="243"/>
        <w:jc w:val="left"/>
      </w:pPr>
      <w:rPr>
        <w:rFonts w:ascii="Cambria" w:eastAsia="Cambria" w:hAnsi="Cambria" w:cs="Cambria" w:hint="default"/>
        <w:color w:val="231F20"/>
        <w:w w:val="100"/>
        <w:sz w:val="21"/>
        <w:szCs w:val="21"/>
      </w:rPr>
    </w:lvl>
    <w:lvl w:ilvl="1" w:tplc="414C4DEE">
      <w:numFmt w:val="bullet"/>
      <w:lvlText w:val=""/>
      <w:lvlJc w:val="left"/>
      <w:pPr>
        <w:ind w:left="250" w:hanging="284"/>
      </w:pPr>
      <w:rPr>
        <w:rFonts w:ascii="Wingdings" w:eastAsia="Wingdings" w:hAnsi="Wingdings" w:cs="Wingdings" w:hint="default"/>
        <w:color w:val="231F20"/>
        <w:w w:val="100"/>
        <w:sz w:val="21"/>
        <w:szCs w:val="21"/>
      </w:rPr>
    </w:lvl>
    <w:lvl w:ilvl="2" w:tplc="2CB45854">
      <w:numFmt w:val="bullet"/>
      <w:lvlText w:val="•"/>
      <w:lvlJc w:val="left"/>
      <w:pPr>
        <w:ind w:left="1644" w:hanging="284"/>
      </w:pPr>
      <w:rPr>
        <w:rFonts w:hint="default"/>
      </w:rPr>
    </w:lvl>
    <w:lvl w:ilvl="3" w:tplc="F9525030">
      <w:numFmt w:val="bullet"/>
      <w:lvlText w:val="•"/>
      <w:lvlJc w:val="left"/>
      <w:pPr>
        <w:ind w:left="2337" w:hanging="284"/>
      </w:pPr>
      <w:rPr>
        <w:rFonts w:hint="default"/>
      </w:rPr>
    </w:lvl>
    <w:lvl w:ilvl="4" w:tplc="BA40B620">
      <w:numFmt w:val="bullet"/>
      <w:lvlText w:val="•"/>
      <w:lvlJc w:val="left"/>
      <w:pPr>
        <w:ind w:left="3029" w:hanging="284"/>
      </w:pPr>
      <w:rPr>
        <w:rFonts w:hint="default"/>
      </w:rPr>
    </w:lvl>
    <w:lvl w:ilvl="5" w:tplc="63C26BE0">
      <w:numFmt w:val="bullet"/>
      <w:lvlText w:val="•"/>
      <w:lvlJc w:val="left"/>
      <w:pPr>
        <w:ind w:left="3721" w:hanging="284"/>
      </w:pPr>
      <w:rPr>
        <w:rFonts w:hint="default"/>
      </w:rPr>
    </w:lvl>
    <w:lvl w:ilvl="6" w:tplc="EB7220E0">
      <w:numFmt w:val="bullet"/>
      <w:lvlText w:val="•"/>
      <w:lvlJc w:val="left"/>
      <w:pPr>
        <w:ind w:left="4414" w:hanging="284"/>
      </w:pPr>
      <w:rPr>
        <w:rFonts w:hint="default"/>
      </w:rPr>
    </w:lvl>
    <w:lvl w:ilvl="7" w:tplc="A9BAC12C">
      <w:numFmt w:val="bullet"/>
      <w:lvlText w:val="•"/>
      <w:lvlJc w:val="left"/>
      <w:pPr>
        <w:ind w:left="5106" w:hanging="284"/>
      </w:pPr>
      <w:rPr>
        <w:rFonts w:hint="default"/>
      </w:rPr>
    </w:lvl>
    <w:lvl w:ilvl="8" w:tplc="3E72F666">
      <w:numFmt w:val="bullet"/>
      <w:lvlText w:val="•"/>
      <w:lvlJc w:val="left"/>
      <w:pPr>
        <w:ind w:left="5799" w:hanging="284"/>
      </w:pPr>
      <w:rPr>
        <w:rFonts w:hint="default"/>
      </w:rPr>
    </w:lvl>
  </w:abstractNum>
  <w:abstractNum w:abstractNumId="236">
    <w:nsid w:val="57D26083"/>
    <w:multiLevelType w:val="hybridMultilevel"/>
    <w:tmpl w:val="800E0F64"/>
    <w:lvl w:ilvl="0" w:tplc="CBEE2722">
      <w:start w:val="2"/>
      <w:numFmt w:val="decimal"/>
      <w:lvlText w:val="%1)"/>
      <w:lvlJc w:val="left"/>
      <w:pPr>
        <w:ind w:left="250" w:hanging="284"/>
        <w:jc w:val="left"/>
      </w:pPr>
      <w:rPr>
        <w:rFonts w:hint="default"/>
        <w:spacing w:val="-21"/>
        <w:w w:val="100"/>
      </w:rPr>
    </w:lvl>
    <w:lvl w:ilvl="1" w:tplc="B1B2880E">
      <w:numFmt w:val="bullet"/>
      <w:lvlText w:val="•"/>
      <w:lvlJc w:val="left"/>
      <w:pPr>
        <w:ind w:left="540" w:hanging="284"/>
      </w:pPr>
      <w:rPr>
        <w:rFonts w:hint="default"/>
      </w:rPr>
    </w:lvl>
    <w:lvl w:ilvl="2" w:tplc="F56E2556">
      <w:numFmt w:val="bullet"/>
      <w:lvlText w:val="•"/>
      <w:lvlJc w:val="left"/>
      <w:pPr>
        <w:ind w:left="1278" w:hanging="284"/>
      </w:pPr>
      <w:rPr>
        <w:rFonts w:hint="default"/>
      </w:rPr>
    </w:lvl>
    <w:lvl w:ilvl="3" w:tplc="A9FCBFE8">
      <w:numFmt w:val="bullet"/>
      <w:lvlText w:val="•"/>
      <w:lvlJc w:val="left"/>
      <w:pPr>
        <w:ind w:left="2016" w:hanging="284"/>
      </w:pPr>
      <w:rPr>
        <w:rFonts w:hint="default"/>
      </w:rPr>
    </w:lvl>
    <w:lvl w:ilvl="4" w:tplc="B52276E0">
      <w:numFmt w:val="bullet"/>
      <w:lvlText w:val="•"/>
      <w:lvlJc w:val="left"/>
      <w:pPr>
        <w:ind w:left="2754" w:hanging="284"/>
      </w:pPr>
      <w:rPr>
        <w:rFonts w:hint="default"/>
      </w:rPr>
    </w:lvl>
    <w:lvl w:ilvl="5" w:tplc="D7DEEC4C">
      <w:numFmt w:val="bullet"/>
      <w:lvlText w:val="•"/>
      <w:lvlJc w:val="left"/>
      <w:pPr>
        <w:ind w:left="3492" w:hanging="284"/>
      </w:pPr>
      <w:rPr>
        <w:rFonts w:hint="default"/>
      </w:rPr>
    </w:lvl>
    <w:lvl w:ilvl="6" w:tplc="C87A9FAC">
      <w:numFmt w:val="bullet"/>
      <w:lvlText w:val="•"/>
      <w:lvlJc w:val="left"/>
      <w:pPr>
        <w:ind w:left="4231" w:hanging="284"/>
      </w:pPr>
      <w:rPr>
        <w:rFonts w:hint="default"/>
      </w:rPr>
    </w:lvl>
    <w:lvl w:ilvl="7" w:tplc="0D667E5A">
      <w:numFmt w:val="bullet"/>
      <w:lvlText w:val="•"/>
      <w:lvlJc w:val="left"/>
      <w:pPr>
        <w:ind w:left="4969" w:hanging="284"/>
      </w:pPr>
      <w:rPr>
        <w:rFonts w:hint="default"/>
      </w:rPr>
    </w:lvl>
    <w:lvl w:ilvl="8" w:tplc="D854C2E0">
      <w:numFmt w:val="bullet"/>
      <w:lvlText w:val="•"/>
      <w:lvlJc w:val="left"/>
      <w:pPr>
        <w:ind w:left="5707" w:hanging="284"/>
      </w:pPr>
      <w:rPr>
        <w:rFonts w:hint="default"/>
      </w:rPr>
    </w:lvl>
  </w:abstractNum>
  <w:abstractNum w:abstractNumId="237">
    <w:nsid w:val="57D8416C"/>
    <w:multiLevelType w:val="hybridMultilevel"/>
    <w:tmpl w:val="38DE1836"/>
    <w:lvl w:ilvl="0" w:tplc="41C826D8">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87EA96A4">
      <w:numFmt w:val="bullet"/>
      <w:lvlText w:val="•"/>
      <w:lvlJc w:val="left"/>
      <w:pPr>
        <w:ind w:left="1204" w:hanging="284"/>
      </w:pPr>
      <w:rPr>
        <w:rFonts w:hint="default"/>
      </w:rPr>
    </w:lvl>
    <w:lvl w:ilvl="2" w:tplc="8FAE7A9E">
      <w:numFmt w:val="bullet"/>
      <w:lvlText w:val="•"/>
      <w:lvlJc w:val="left"/>
      <w:pPr>
        <w:ind w:left="1868" w:hanging="284"/>
      </w:pPr>
      <w:rPr>
        <w:rFonts w:hint="default"/>
      </w:rPr>
    </w:lvl>
    <w:lvl w:ilvl="3" w:tplc="9A403502">
      <w:numFmt w:val="bullet"/>
      <w:lvlText w:val="•"/>
      <w:lvlJc w:val="left"/>
      <w:pPr>
        <w:ind w:left="2533" w:hanging="284"/>
      </w:pPr>
      <w:rPr>
        <w:rFonts w:hint="default"/>
      </w:rPr>
    </w:lvl>
    <w:lvl w:ilvl="4" w:tplc="1C78A126">
      <w:numFmt w:val="bullet"/>
      <w:lvlText w:val="•"/>
      <w:lvlJc w:val="left"/>
      <w:pPr>
        <w:ind w:left="3197" w:hanging="284"/>
      </w:pPr>
      <w:rPr>
        <w:rFonts w:hint="default"/>
      </w:rPr>
    </w:lvl>
    <w:lvl w:ilvl="5" w:tplc="CABE8A36">
      <w:numFmt w:val="bullet"/>
      <w:lvlText w:val="•"/>
      <w:lvlJc w:val="left"/>
      <w:pPr>
        <w:ind w:left="3861" w:hanging="284"/>
      </w:pPr>
      <w:rPr>
        <w:rFonts w:hint="default"/>
      </w:rPr>
    </w:lvl>
    <w:lvl w:ilvl="6" w:tplc="A2BA63D0">
      <w:numFmt w:val="bullet"/>
      <w:lvlText w:val="•"/>
      <w:lvlJc w:val="left"/>
      <w:pPr>
        <w:ind w:left="4526" w:hanging="284"/>
      </w:pPr>
      <w:rPr>
        <w:rFonts w:hint="default"/>
      </w:rPr>
    </w:lvl>
    <w:lvl w:ilvl="7" w:tplc="9A009AEA">
      <w:numFmt w:val="bullet"/>
      <w:lvlText w:val="•"/>
      <w:lvlJc w:val="left"/>
      <w:pPr>
        <w:ind w:left="5190" w:hanging="284"/>
      </w:pPr>
      <w:rPr>
        <w:rFonts w:hint="default"/>
      </w:rPr>
    </w:lvl>
    <w:lvl w:ilvl="8" w:tplc="91CE196C">
      <w:numFmt w:val="bullet"/>
      <w:lvlText w:val="•"/>
      <w:lvlJc w:val="left"/>
      <w:pPr>
        <w:ind w:left="5855" w:hanging="284"/>
      </w:pPr>
      <w:rPr>
        <w:rFonts w:hint="default"/>
      </w:rPr>
    </w:lvl>
  </w:abstractNum>
  <w:abstractNum w:abstractNumId="238">
    <w:nsid w:val="57FB0E2B"/>
    <w:multiLevelType w:val="multilevel"/>
    <w:tmpl w:val="11DEF61C"/>
    <w:lvl w:ilvl="0">
      <w:start w:val="7"/>
      <w:numFmt w:val="decimal"/>
      <w:lvlText w:val="%1"/>
      <w:lvlJc w:val="left"/>
      <w:pPr>
        <w:ind w:left="533" w:hanging="689"/>
        <w:jc w:val="left"/>
      </w:pPr>
      <w:rPr>
        <w:rFonts w:hint="default"/>
      </w:rPr>
    </w:lvl>
    <w:lvl w:ilvl="1">
      <w:start w:val="11"/>
      <w:numFmt w:val="decimal"/>
      <w:lvlText w:val="%1.%2"/>
      <w:lvlJc w:val="left"/>
      <w:pPr>
        <w:ind w:left="533" w:hanging="689"/>
        <w:jc w:val="left"/>
      </w:pPr>
      <w:rPr>
        <w:rFonts w:hint="default"/>
      </w:rPr>
    </w:lvl>
    <w:lvl w:ilvl="2">
      <w:start w:val="1"/>
      <w:numFmt w:val="decimal"/>
      <w:lvlText w:val="%1.%2.%3."/>
      <w:lvlJc w:val="left"/>
      <w:pPr>
        <w:ind w:left="533" w:hanging="689"/>
        <w:jc w:val="left"/>
      </w:pPr>
      <w:rPr>
        <w:rFonts w:ascii="Cambria" w:eastAsia="Cambria" w:hAnsi="Cambria" w:cs="Cambria" w:hint="default"/>
        <w:b/>
        <w:bCs/>
        <w:color w:val="231F20"/>
        <w:spacing w:val="-1"/>
        <w:w w:val="100"/>
        <w:sz w:val="21"/>
        <w:szCs w:val="21"/>
      </w:rPr>
    </w:lvl>
    <w:lvl w:ilvl="3">
      <w:numFmt w:val="bullet"/>
      <w:lvlText w:val="•"/>
      <w:lvlJc w:val="left"/>
      <w:pPr>
        <w:ind w:left="2533" w:hanging="689"/>
      </w:pPr>
      <w:rPr>
        <w:rFonts w:hint="default"/>
      </w:rPr>
    </w:lvl>
    <w:lvl w:ilvl="4">
      <w:numFmt w:val="bullet"/>
      <w:lvlText w:val="•"/>
      <w:lvlJc w:val="left"/>
      <w:pPr>
        <w:ind w:left="3197" w:hanging="689"/>
      </w:pPr>
      <w:rPr>
        <w:rFonts w:hint="default"/>
      </w:rPr>
    </w:lvl>
    <w:lvl w:ilvl="5">
      <w:numFmt w:val="bullet"/>
      <w:lvlText w:val="•"/>
      <w:lvlJc w:val="left"/>
      <w:pPr>
        <w:ind w:left="3861" w:hanging="689"/>
      </w:pPr>
      <w:rPr>
        <w:rFonts w:hint="default"/>
      </w:rPr>
    </w:lvl>
    <w:lvl w:ilvl="6">
      <w:numFmt w:val="bullet"/>
      <w:lvlText w:val="•"/>
      <w:lvlJc w:val="left"/>
      <w:pPr>
        <w:ind w:left="4526" w:hanging="689"/>
      </w:pPr>
      <w:rPr>
        <w:rFonts w:hint="default"/>
      </w:rPr>
    </w:lvl>
    <w:lvl w:ilvl="7">
      <w:numFmt w:val="bullet"/>
      <w:lvlText w:val="•"/>
      <w:lvlJc w:val="left"/>
      <w:pPr>
        <w:ind w:left="5190" w:hanging="689"/>
      </w:pPr>
      <w:rPr>
        <w:rFonts w:hint="default"/>
      </w:rPr>
    </w:lvl>
    <w:lvl w:ilvl="8">
      <w:numFmt w:val="bullet"/>
      <w:lvlText w:val="•"/>
      <w:lvlJc w:val="left"/>
      <w:pPr>
        <w:ind w:left="5855" w:hanging="689"/>
      </w:pPr>
      <w:rPr>
        <w:rFonts w:hint="default"/>
      </w:rPr>
    </w:lvl>
  </w:abstractNum>
  <w:abstractNum w:abstractNumId="239">
    <w:nsid w:val="589F1030"/>
    <w:multiLevelType w:val="hybridMultilevel"/>
    <w:tmpl w:val="574206B8"/>
    <w:lvl w:ilvl="0" w:tplc="35BAB0C4">
      <w:numFmt w:val="bullet"/>
      <w:lvlText w:val="–"/>
      <w:lvlJc w:val="left"/>
      <w:pPr>
        <w:ind w:left="533" w:hanging="284"/>
      </w:pPr>
      <w:rPr>
        <w:rFonts w:ascii="Cambria" w:eastAsia="Cambria" w:hAnsi="Cambria" w:cs="Cambria" w:hint="default"/>
        <w:color w:val="231F20"/>
        <w:spacing w:val="-7"/>
        <w:w w:val="100"/>
        <w:sz w:val="21"/>
        <w:szCs w:val="21"/>
      </w:rPr>
    </w:lvl>
    <w:lvl w:ilvl="1" w:tplc="E44021C6">
      <w:numFmt w:val="bullet"/>
      <w:lvlText w:val="–"/>
      <w:lvlJc w:val="left"/>
      <w:pPr>
        <w:ind w:left="817" w:hanging="154"/>
      </w:pPr>
      <w:rPr>
        <w:rFonts w:ascii="Cambria" w:eastAsia="Cambria" w:hAnsi="Cambria" w:cs="Cambria" w:hint="default"/>
        <w:i/>
        <w:color w:val="231F20"/>
        <w:spacing w:val="-17"/>
        <w:w w:val="100"/>
        <w:sz w:val="18"/>
        <w:szCs w:val="18"/>
      </w:rPr>
    </w:lvl>
    <w:lvl w:ilvl="2" w:tplc="EE9697F0">
      <w:numFmt w:val="bullet"/>
      <w:lvlText w:val="•"/>
      <w:lvlJc w:val="left"/>
      <w:pPr>
        <w:ind w:left="1527" w:hanging="154"/>
      </w:pPr>
      <w:rPr>
        <w:rFonts w:hint="default"/>
      </w:rPr>
    </w:lvl>
    <w:lvl w:ilvl="3" w:tplc="36D02252">
      <w:numFmt w:val="bullet"/>
      <w:lvlText w:val="•"/>
      <w:lvlJc w:val="left"/>
      <w:pPr>
        <w:ind w:left="2234" w:hanging="154"/>
      </w:pPr>
      <w:rPr>
        <w:rFonts w:hint="default"/>
      </w:rPr>
    </w:lvl>
    <w:lvl w:ilvl="4" w:tplc="28FEF05E">
      <w:numFmt w:val="bullet"/>
      <w:lvlText w:val="•"/>
      <w:lvlJc w:val="left"/>
      <w:pPr>
        <w:ind w:left="2941" w:hanging="154"/>
      </w:pPr>
      <w:rPr>
        <w:rFonts w:hint="default"/>
      </w:rPr>
    </w:lvl>
    <w:lvl w:ilvl="5" w:tplc="E74E332A">
      <w:numFmt w:val="bullet"/>
      <w:lvlText w:val="•"/>
      <w:lvlJc w:val="left"/>
      <w:pPr>
        <w:ind w:left="3648" w:hanging="154"/>
      </w:pPr>
      <w:rPr>
        <w:rFonts w:hint="default"/>
      </w:rPr>
    </w:lvl>
    <w:lvl w:ilvl="6" w:tplc="5CD00646">
      <w:numFmt w:val="bullet"/>
      <w:lvlText w:val="•"/>
      <w:lvlJc w:val="left"/>
      <w:pPr>
        <w:ind w:left="4355" w:hanging="154"/>
      </w:pPr>
      <w:rPr>
        <w:rFonts w:hint="default"/>
      </w:rPr>
    </w:lvl>
    <w:lvl w:ilvl="7" w:tplc="FAD8BB70">
      <w:numFmt w:val="bullet"/>
      <w:lvlText w:val="•"/>
      <w:lvlJc w:val="left"/>
      <w:pPr>
        <w:ind w:left="5062" w:hanging="154"/>
      </w:pPr>
      <w:rPr>
        <w:rFonts w:hint="default"/>
      </w:rPr>
    </w:lvl>
    <w:lvl w:ilvl="8" w:tplc="4C105BFA">
      <w:numFmt w:val="bullet"/>
      <w:lvlText w:val="•"/>
      <w:lvlJc w:val="left"/>
      <w:pPr>
        <w:ind w:left="5769" w:hanging="154"/>
      </w:pPr>
      <w:rPr>
        <w:rFonts w:hint="default"/>
      </w:rPr>
    </w:lvl>
  </w:abstractNum>
  <w:abstractNum w:abstractNumId="240">
    <w:nsid w:val="58D112F7"/>
    <w:multiLevelType w:val="hybridMultilevel"/>
    <w:tmpl w:val="827C47D8"/>
    <w:lvl w:ilvl="0" w:tplc="B07C18CA">
      <w:start w:val="1"/>
      <w:numFmt w:val="decimal"/>
      <w:lvlText w:val="%1."/>
      <w:lvlJc w:val="left"/>
      <w:pPr>
        <w:ind w:left="533" w:hanging="284"/>
        <w:jc w:val="left"/>
      </w:pPr>
      <w:rPr>
        <w:rFonts w:ascii="Cambria" w:eastAsia="Cambria" w:hAnsi="Cambria" w:cs="Cambria" w:hint="default"/>
        <w:color w:val="231F20"/>
        <w:spacing w:val="-27"/>
        <w:w w:val="100"/>
        <w:sz w:val="21"/>
        <w:szCs w:val="21"/>
      </w:rPr>
    </w:lvl>
    <w:lvl w:ilvl="1" w:tplc="4680F1AE">
      <w:numFmt w:val="bullet"/>
      <w:lvlText w:val="•"/>
      <w:lvlJc w:val="left"/>
      <w:pPr>
        <w:ind w:left="1204" w:hanging="284"/>
      </w:pPr>
      <w:rPr>
        <w:rFonts w:hint="default"/>
      </w:rPr>
    </w:lvl>
    <w:lvl w:ilvl="2" w:tplc="46C8DBEC">
      <w:numFmt w:val="bullet"/>
      <w:lvlText w:val="•"/>
      <w:lvlJc w:val="left"/>
      <w:pPr>
        <w:ind w:left="1868" w:hanging="284"/>
      </w:pPr>
      <w:rPr>
        <w:rFonts w:hint="default"/>
      </w:rPr>
    </w:lvl>
    <w:lvl w:ilvl="3" w:tplc="7A28F7E2">
      <w:numFmt w:val="bullet"/>
      <w:lvlText w:val="•"/>
      <w:lvlJc w:val="left"/>
      <w:pPr>
        <w:ind w:left="2533" w:hanging="284"/>
      </w:pPr>
      <w:rPr>
        <w:rFonts w:hint="default"/>
      </w:rPr>
    </w:lvl>
    <w:lvl w:ilvl="4" w:tplc="54C69286">
      <w:numFmt w:val="bullet"/>
      <w:lvlText w:val="•"/>
      <w:lvlJc w:val="left"/>
      <w:pPr>
        <w:ind w:left="3197" w:hanging="284"/>
      </w:pPr>
      <w:rPr>
        <w:rFonts w:hint="default"/>
      </w:rPr>
    </w:lvl>
    <w:lvl w:ilvl="5" w:tplc="997CAEB2">
      <w:numFmt w:val="bullet"/>
      <w:lvlText w:val="•"/>
      <w:lvlJc w:val="left"/>
      <w:pPr>
        <w:ind w:left="3861" w:hanging="284"/>
      </w:pPr>
      <w:rPr>
        <w:rFonts w:hint="default"/>
      </w:rPr>
    </w:lvl>
    <w:lvl w:ilvl="6" w:tplc="910E48E6">
      <w:numFmt w:val="bullet"/>
      <w:lvlText w:val="•"/>
      <w:lvlJc w:val="left"/>
      <w:pPr>
        <w:ind w:left="4526" w:hanging="284"/>
      </w:pPr>
      <w:rPr>
        <w:rFonts w:hint="default"/>
      </w:rPr>
    </w:lvl>
    <w:lvl w:ilvl="7" w:tplc="04A0F190">
      <w:numFmt w:val="bullet"/>
      <w:lvlText w:val="•"/>
      <w:lvlJc w:val="left"/>
      <w:pPr>
        <w:ind w:left="5190" w:hanging="284"/>
      </w:pPr>
      <w:rPr>
        <w:rFonts w:hint="default"/>
      </w:rPr>
    </w:lvl>
    <w:lvl w:ilvl="8" w:tplc="E29645AE">
      <w:numFmt w:val="bullet"/>
      <w:lvlText w:val="•"/>
      <w:lvlJc w:val="left"/>
      <w:pPr>
        <w:ind w:left="5855" w:hanging="284"/>
      </w:pPr>
      <w:rPr>
        <w:rFonts w:hint="default"/>
      </w:rPr>
    </w:lvl>
  </w:abstractNum>
  <w:abstractNum w:abstractNumId="241">
    <w:nsid w:val="593A5462"/>
    <w:multiLevelType w:val="hybridMultilevel"/>
    <w:tmpl w:val="FF4EE352"/>
    <w:lvl w:ilvl="0" w:tplc="5CF8F1D6">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2DF44716">
      <w:numFmt w:val="bullet"/>
      <w:lvlText w:val=""/>
      <w:lvlJc w:val="left"/>
      <w:pPr>
        <w:ind w:left="533" w:hanging="284"/>
      </w:pPr>
      <w:rPr>
        <w:rFonts w:ascii="Wingdings" w:eastAsia="Wingdings" w:hAnsi="Wingdings" w:cs="Wingdings" w:hint="default"/>
        <w:color w:val="231F20"/>
        <w:w w:val="100"/>
        <w:sz w:val="21"/>
        <w:szCs w:val="21"/>
      </w:rPr>
    </w:lvl>
    <w:lvl w:ilvl="2" w:tplc="6BCABEF8">
      <w:numFmt w:val="bullet"/>
      <w:lvlText w:val="•"/>
      <w:lvlJc w:val="left"/>
      <w:pPr>
        <w:ind w:left="1278" w:hanging="284"/>
      </w:pPr>
      <w:rPr>
        <w:rFonts w:hint="default"/>
      </w:rPr>
    </w:lvl>
    <w:lvl w:ilvl="3" w:tplc="B61CEB06">
      <w:numFmt w:val="bullet"/>
      <w:lvlText w:val="•"/>
      <w:lvlJc w:val="left"/>
      <w:pPr>
        <w:ind w:left="2016" w:hanging="284"/>
      </w:pPr>
      <w:rPr>
        <w:rFonts w:hint="default"/>
      </w:rPr>
    </w:lvl>
    <w:lvl w:ilvl="4" w:tplc="C92AF3B0">
      <w:numFmt w:val="bullet"/>
      <w:lvlText w:val="•"/>
      <w:lvlJc w:val="left"/>
      <w:pPr>
        <w:ind w:left="2754" w:hanging="284"/>
      </w:pPr>
      <w:rPr>
        <w:rFonts w:hint="default"/>
      </w:rPr>
    </w:lvl>
    <w:lvl w:ilvl="5" w:tplc="43326A1C">
      <w:numFmt w:val="bullet"/>
      <w:lvlText w:val="•"/>
      <w:lvlJc w:val="left"/>
      <w:pPr>
        <w:ind w:left="3492" w:hanging="284"/>
      </w:pPr>
      <w:rPr>
        <w:rFonts w:hint="default"/>
      </w:rPr>
    </w:lvl>
    <w:lvl w:ilvl="6" w:tplc="0FE04894">
      <w:numFmt w:val="bullet"/>
      <w:lvlText w:val="•"/>
      <w:lvlJc w:val="left"/>
      <w:pPr>
        <w:ind w:left="4231" w:hanging="284"/>
      </w:pPr>
      <w:rPr>
        <w:rFonts w:hint="default"/>
      </w:rPr>
    </w:lvl>
    <w:lvl w:ilvl="7" w:tplc="C1F4680A">
      <w:numFmt w:val="bullet"/>
      <w:lvlText w:val="•"/>
      <w:lvlJc w:val="left"/>
      <w:pPr>
        <w:ind w:left="4969" w:hanging="284"/>
      </w:pPr>
      <w:rPr>
        <w:rFonts w:hint="default"/>
      </w:rPr>
    </w:lvl>
    <w:lvl w:ilvl="8" w:tplc="C650925A">
      <w:numFmt w:val="bullet"/>
      <w:lvlText w:val="•"/>
      <w:lvlJc w:val="left"/>
      <w:pPr>
        <w:ind w:left="5707" w:hanging="284"/>
      </w:pPr>
      <w:rPr>
        <w:rFonts w:hint="default"/>
      </w:rPr>
    </w:lvl>
  </w:abstractNum>
  <w:abstractNum w:abstractNumId="242">
    <w:nsid w:val="59A43522"/>
    <w:multiLevelType w:val="hybridMultilevel"/>
    <w:tmpl w:val="0B4E0F7C"/>
    <w:lvl w:ilvl="0" w:tplc="681465EA">
      <w:start w:val="1"/>
      <w:numFmt w:val="decimal"/>
      <w:lvlText w:val="%1."/>
      <w:lvlJc w:val="left"/>
      <w:pPr>
        <w:ind w:left="250" w:hanging="284"/>
        <w:jc w:val="left"/>
      </w:pPr>
      <w:rPr>
        <w:rFonts w:ascii="Cambria" w:eastAsia="Cambria" w:hAnsi="Cambria" w:cs="Cambria" w:hint="default"/>
        <w:color w:val="231F20"/>
        <w:spacing w:val="-24"/>
        <w:w w:val="100"/>
        <w:sz w:val="21"/>
        <w:szCs w:val="21"/>
      </w:rPr>
    </w:lvl>
    <w:lvl w:ilvl="1" w:tplc="1C1A5D52">
      <w:numFmt w:val="bullet"/>
      <w:lvlText w:val="•"/>
      <w:lvlJc w:val="left"/>
      <w:pPr>
        <w:ind w:left="952" w:hanging="284"/>
      </w:pPr>
      <w:rPr>
        <w:rFonts w:hint="default"/>
      </w:rPr>
    </w:lvl>
    <w:lvl w:ilvl="2" w:tplc="8924C554">
      <w:numFmt w:val="bullet"/>
      <w:lvlText w:val="•"/>
      <w:lvlJc w:val="left"/>
      <w:pPr>
        <w:ind w:left="1644" w:hanging="284"/>
      </w:pPr>
      <w:rPr>
        <w:rFonts w:hint="default"/>
      </w:rPr>
    </w:lvl>
    <w:lvl w:ilvl="3" w:tplc="A0E4C50E">
      <w:numFmt w:val="bullet"/>
      <w:lvlText w:val="•"/>
      <w:lvlJc w:val="left"/>
      <w:pPr>
        <w:ind w:left="2337" w:hanging="284"/>
      </w:pPr>
      <w:rPr>
        <w:rFonts w:hint="default"/>
      </w:rPr>
    </w:lvl>
    <w:lvl w:ilvl="4" w:tplc="4C548F0C">
      <w:numFmt w:val="bullet"/>
      <w:lvlText w:val="•"/>
      <w:lvlJc w:val="left"/>
      <w:pPr>
        <w:ind w:left="3029" w:hanging="284"/>
      </w:pPr>
      <w:rPr>
        <w:rFonts w:hint="default"/>
      </w:rPr>
    </w:lvl>
    <w:lvl w:ilvl="5" w:tplc="4D623BD6">
      <w:numFmt w:val="bullet"/>
      <w:lvlText w:val="•"/>
      <w:lvlJc w:val="left"/>
      <w:pPr>
        <w:ind w:left="3721" w:hanging="284"/>
      </w:pPr>
      <w:rPr>
        <w:rFonts w:hint="default"/>
      </w:rPr>
    </w:lvl>
    <w:lvl w:ilvl="6" w:tplc="E06072D4">
      <w:numFmt w:val="bullet"/>
      <w:lvlText w:val="•"/>
      <w:lvlJc w:val="left"/>
      <w:pPr>
        <w:ind w:left="4414" w:hanging="284"/>
      </w:pPr>
      <w:rPr>
        <w:rFonts w:hint="default"/>
      </w:rPr>
    </w:lvl>
    <w:lvl w:ilvl="7" w:tplc="9392EED8">
      <w:numFmt w:val="bullet"/>
      <w:lvlText w:val="•"/>
      <w:lvlJc w:val="left"/>
      <w:pPr>
        <w:ind w:left="5106" w:hanging="284"/>
      </w:pPr>
      <w:rPr>
        <w:rFonts w:hint="default"/>
      </w:rPr>
    </w:lvl>
    <w:lvl w:ilvl="8" w:tplc="5BD69FD2">
      <w:numFmt w:val="bullet"/>
      <w:lvlText w:val="•"/>
      <w:lvlJc w:val="left"/>
      <w:pPr>
        <w:ind w:left="5799" w:hanging="284"/>
      </w:pPr>
      <w:rPr>
        <w:rFonts w:hint="default"/>
      </w:rPr>
    </w:lvl>
  </w:abstractNum>
  <w:abstractNum w:abstractNumId="243">
    <w:nsid w:val="59D04062"/>
    <w:multiLevelType w:val="multilevel"/>
    <w:tmpl w:val="3CB098F6"/>
    <w:lvl w:ilvl="0">
      <w:start w:val="7"/>
      <w:numFmt w:val="decimal"/>
      <w:lvlText w:val="%1"/>
      <w:lvlJc w:val="left"/>
      <w:pPr>
        <w:ind w:left="533" w:hanging="775"/>
        <w:jc w:val="left"/>
      </w:pPr>
      <w:rPr>
        <w:rFonts w:hint="default"/>
      </w:rPr>
    </w:lvl>
    <w:lvl w:ilvl="1">
      <w:start w:val="8"/>
      <w:numFmt w:val="decimal"/>
      <w:lvlText w:val="%1.%2"/>
      <w:lvlJc w:val="left"/>
      <w:pPr>
        <w:ind w:left="533" w:hanging="775"/>
        <w:jc w:val="left"/>
      </w:pPr>
      <w:rPr>
        <w:rFonts w:hint="default"/>
      </w:rPr>
    </w:lvl>
    <w:lvl w:ilvl="2">
      <w:start w:val="3"/>
      <w:numFmt w:val="decimal"/>
      <w:lvlText w:val="%1.%2.%3"/>
      <w:lvlJc w:val="left"/>
      <w:pPr>
        <w:ind w:left="533" w:hanging="775"/>
        <w:jc w:val="left"/>
      </w:pPr>
      <w:rPr>
        <w:rFonts w:hint="default"/>
      </w:rPr>
    </w:lvl>
    <w:lvl w:ilvl="3">
      <w:start w:val="3"/>
      <w:numFmt w:val="decimal"/>
      <w:lvlText w:val="%1.%2.%3.%4."/>
      <w:lvlJc w:val="left"/>
      <w:pPr>
        <w:ind w:left="533" w:hanging="775"/>
        <w:jc w:val="right"/>
      </w:pPr>
      <w:rPr>
        <w:rFonts w:ascii="Cambria" w:eastAsia="Cambria" w:hAnsi="Cambria" w:cs="Cambria" w:hint="default"/>
        <w:b/>
        <w:bCs/>
        <w:i/>
        <w:color w:val="231F20"/>
        <w:spacing w:val="-3"/>
        <w:w w:val="100"/>
        <w:sz w:val="21"/>
        <w:szCs w:val="21"/>
      </w:rPr>
    </w:lvl>
    <w:lvl w:ilvl="4">
      <w:numFmt w:val="bullet"/>
      <w:lvlText w:val="•"/>
      <w:lvlJc w:val="left"/>
      <w:pPr>
        <w:ind w:left="3197" w:hanging="775"/>
      </w:pPr>
      <w:rPr>
        <w:rFonts w:hint="default"/>
      </w:rPr>
    </w:lvl>
    <w:lvl w:ilvl="5">
      <w:numFmt w:val="bullet"/>
      <w:lvlText w:val="•"/>
      <w:lvlJc w:val="left"/>
      <w:pPr>
        <w:ind w:left="3861" w:hanging="775"/>
      </w:pPr>
      <w:rPr>
        <w:rFonts w:hint="default"/>
      </w:rPr>
    </w:lvl>
    <w:lvl w:ilvl="6">
      <w:numFmt w:val="bullet"/>
      <w:lvlText w:val="•"/>
      <w:lvlJc w:val="left"/>
      <w:pPr>
        <w:ind w:left="4526" w:hanging="775"/>
      </w:pPr>
      <w:rPr>
        <w:rFonts w:hint="default"/>
      </w:rPr>
    </w:lvl>
    <w:lvl w:ilvl="7">
      <w:numFmt w:val="bullet"/>
      <w:lvlText w:val="•"/>
      <w:lvlJc w:val="left"/>
      <w:pPr>
        <w:ind w:left="5190" w:hanging="775"/>
      </w:pPr>
      <w:rPr>
        <w:rFonts w:hint="default"/>
      </w:rPr>
    </w:lvl>
    <w:lvl w:ilvl="8">
      <w:numFmt w:val="bullet"/>
      <w:lvlText w:val="•"/>
      <w:lvlJc w:val="left"/>
      <w:pPr>
        <w:ind w:left="5855" w:hanging="775"/>
      </w:pPr>
      <w:rPr>
        <w:rFonts w:hint="default"/>
      </w:rPr>
    </w:lvl>
  </w:abstractNum>
  <w:abstractNum w:abstractNumId="244">
    <w:nsid w:val="59D341AB"/>
    <w:multiLevelType w:val="hybridMultilevel"/>
    <w:tmpl w:val="F32A2BFE"/>
    <w:lvl w:ilvl="0" w:tplc="2368B0DC">
      <w:numFmt w:val="bullet"/>
      <w:lvlText w:val="−"/>
      <w:lvlJc w:val="left"/>
      <w:pPr>
        <w:ind w:left="250" w:hanging="284"/>
      </w:pPr>
      <w:rPr>
        <w:rFonts w:ascii="Cambria" w:eastAsia="Cambria" w:hAnsi="Cambria" w:cs="Cambria" w:hint="default"/>
        <w:color w:val="231F20"/>
        <w:spacing w:val="-18"/>
        <w:w w:val="100"/>
        <w:sz w:val="21"/>
        <w:szCs w:val="21"/>
      </w:rPr>
    </w:lvl>
    <w:lvl w:ilvl="1" w:tplc="9E92E5C0">
      <w:numFmt w:val="bullet"/>
      <w:lvlText w:val=""/>
      <w:lvlJc w:val="left"/>
      <w:pPr>
        <w:ind w:left="533" w:hanging="284"/>
      </w:pPr>
      <w:rPr>
        <w:rFonts w:ascii="Wingdings" w:eastAsia="Wingdings" w:hAnsi="Wingdings" w:cs="Wingdings" w:hint="default"/>
        <w:color w:val="231F20"/>
        <w:w w:val="100"/>
        <w:sz w:val="21"/>
        <w:szCs w:val="21"/>
      </w:rPr>
    </w:lvl>
    <w:lvl w:ilvl="2" w:tplc="783C02BC">
      <w:numFmt w:val="bullet"/>
      <w:lvlText w:val="•"/>
      <w:lvlJc w:val="left"/>
      <w:pPr>
        <w:ind w:left="1278" w:hanging="284"/>
      </w:pPr>
      <w:rPr>
        <w:rFonts w:hint="default"/>
      </w:rPr>
    </w:lvl>
    <w:lvl w:ilvl="3" w:tplc="2FA2D672">
      <w:numFmt w:val="bullet"/>
      <w:lvlText w:val="•"/>
      <w:lvlJc w:val="left"/>
      <w:pPr>
        <w:ind w:left="2016" w:hanging="284"/>
      </w:pPr>
      <w:rPr>
        <w:rFonts w:hint="default"/>
      </w:rPr>
    </w:lvl>
    <w:lvl w:ilvl="4" w:tplc="8FE26582">
      <w:numFmt w:val="bullet"/>
      <w:lvlText w:val="•"/>
      <w:lvlJc w:val="left"/>
      <w:pPr>
        <w:ind w:left="2754" w:hanging="284"/>
      </w:pPr>
      <w:rPr>
        <w:rFonts w:hint="default"/>
      </w:rPr>
    </w:lvl>
    <w:lvl w:ilvl="5" w:tplc="C4F219CA">
      <w:numFmt w:val="bullet"/>
      <w:lvlText w:val="•"/>
      <w:lvlJc w:val="left"/>
      <w:pPr>
        <w:ind w:left="3492" w:hanging="284"/>
      </w:pPr>
      <w:rPr>
        <w:rFonts w:hint="default"/>
      </w:rPr>
    </w:lvl>
    <w:lvl w:ilvl="6" w:tplc="E2EAA664">
      <w:numFmt w:val="bullet"/>
      <w:lvlText w:val="•"/>
      <w:lvlJc w:val="left"/>
      <w:pPr>
        <w:ind w:left="4231" w:hanging="284"/>
      </w:pPr>
      <w:rPr>
        <w:rFonts w:hint="default"/>
      </w:rPr>
    </w:lvl>
    <w:lvl w:ilvl="7" w:tplc="C98443B0">
      <w:numFmt w:val="bullet"/>
      <w:lvlText w:val="•"/>
      <w:lvlJc w:val="left"/>
      <w:pPr>
        <w:ind w:left="4969" w:hanging="284"/>
      </w:pPr>
      <w:rPr>
        <w:rFonts w:hint="default"/>
      </w:rPr>
    </w:lvl>
    <w:lvl w:ilvl="8" w:tplc="37A8A32C">
      <w:numFmt w:val="bullet"/>
      <w:lvlText w:val="•"/>
      <w:lvlJc w:val="left"/>
      <w:pPr>
        <w:ind w:left="5707" w:hanging="284"/>
      </w:pPr>
      <w:rPr>
        <w:rFonts w:hint="default"/>
      </w:rPr>
    </w:lvl>
  </w:abstractNum>
  <w:abstractNum w:abstractNumId="245">
    <w:nsid w:val="5A3D1DC8"/>
    <w:multiLevelType w:val="hybridMultilevel"/>
    <w:tmpl w:val="612670A8"/>
    <w:lvl w:ilvl="0" w:tplc="393AF2E0">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216C7EFE">
      <w:numFmt w:val="bullet"/>
      <w:lvlText w:val="•"/>
      <w:lvlJc w:val="left"/>
      <w:pPr>
        <w:ind w:left="952" w:hanging="284"/>
      </w:pPr>
      <w:rPr>
        <w:rFonts w:hint="default"/>
      </w:rPr>
    </w:lvl>
    <w:lvl w:ilvl="2" w:tplc="40AA1520">
      <w:numFmt w:val="bullet"/>
      <w:lvlText w:val="•"/>
      <w:lvlJc w:val="left"/>
      <w:pPr>
        <w:ind w:left="1644" w:hanging="284"/>
      </w:pPr>
      <w:rPr>
        <w:rFonts w:hint="default"/>
      </w:rPr>
    </w:lvl>
    <w:lvl w:ilvl="3" w:tplc="BABAE6FA">
      <w:numFmt w:val="bullet"/>
      <w:lvlText w:val="•"/>
      <w:lvlJc w:val="left"/>
      <w:pPr>
        <w:ind w:left="2337" w:hanging="284"/>
      </w:pPr>
      <w:rPr>
        <w:rFonts w:hint="default"/>
      </w:rPr>
    </w:lvl>
    <w:lvl w:ilvl="4" w:tplc="9F1ECDD4">
      <w:numFmt w:val="bullet"/>
      <w:lvlText w:val="•"/>
      <w:lvlJc w:val="left"/>
      <w:pPr>
        <w:ind w:left="3029" w:hanging="284"/>
      </w:pPr>
      <w:rPr>
        <w:rFonts w:hint="default"/>
      </w:rPr>
    </w:lvl>
    <w:lvl w:ilvl="5" w:tplc="BA84EF88">
      <w:numFmt w:val="bullet"/>
      <w:lvlText w:val="•"/>
      <w:lvlJc w:val="left"/>
      <w:pPr>
        <w:ind w:left="3721" w:hanging="284"/>
      </w:pPr>
      <w:rPr>
        <w:rFonts w:hint="default"/>
      </w:rPr>
    </w:lvl>
    <w:lvl w:ilvl="6" w:tplc="C270C532">
      <w:numFmt w:val="bullet"/>
      <w:lvlText w:val="•"/>
      <w:lvlJc w:val="left"/>
      <w:pPr>
        <w:ind w:left="4414" w:hanging="284"/>
      </w:pPr>
      <w:rPr>
        <w:rFonts w:hint="default"/>
      </w:rPr>
    </w:lvl>
    <w:lvl w:ilvl="7" w:tplc="A0B0F518">
      <w:numFmt w:val="bullet"/>
      <w:lvlText w:val="•"/>
      <w:lvlJc w:val="left"/>
      <w:pPr>
        <w:ind w:left="5106" w:hanging="284"/>
      </w:pPr>
      <w:rPr>
        <w:rFonts w:hint="default"/>
      </w:rPr>
    </w:lvl>
    <w:lvl w:ilvl="8" w:tplc="53F071A4">
      <w:numFmt w:val="bullet"/>
      <w:lvlText w:val="•"/>
      <w:lvlJc w:val="left"/>
      <w:pPr>
        <w:ind w:left="5799" w:hanging="284"/>
      </w:pPr>
      <w:rPr>
        <w:rFonts w:hint="default"/>
      </w:rPr>
    </w:lvl>
  </w:abstractNum>
  <w:abstractNum w:abstractNumId="246">
    <w:nsid w:val="5AD90B8F"/>
    <w:multiLevelType w:val="hybridMultilevel"/>
    <w:tmpl w:val="1BE817F2"/>
    <w:lvl w:ilvl="0" w:tplc="25D84D58">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BD18D9EA">
      <w:numFmt w:val="bullet"/>
      <w:lvlText w:val="•"/>
      <w:lvlJc w:val="left"/>
      <w:pPr>
        <w:ind w:left="1204" w:hanging="284"/>
      </w:pPr>
      <w:rPr>
        <w:rFonts w:hint="default"/>
      </w:rPr>
    </w:lvl>
    <w:lvl w:ilvl="2" w:tplc="76703B6E">
      <w:numFmt w:val="bullet"/>
      <w:lvlText w:val="•"/>
      <w:lvlJc w:val="left"/>
      <w:pPr>
        <w:ind w:left="1868" w:hanging="284"/>
      </w:pPr>
      <w:rPr>
        <w:rFonts w:hint="default"/>
      </w:rPr>
    </w:lvl>
    <w:lvl w:ilvl="3" w:tplc="3FD2EE7C">
      <w:numFmt w:val="bullet"/>
      <w:lvlText w:val="•"/>
      <w:lvlJc w:val="left"/>
      <w:pPr>
        <w:ind w:left="2533" w:hanging="284"/>
      </w:pPr>
      <w:rPr>
        <w:rFonts w:hint="default"/>
      </w:rPr>
    </w:lvl>
    <w:lvl w:ilvl="4" w:tplc="D2E89A96">
      <w:numFmt w:val="bullet"/>
      <w:lvlText w:val="•"/>
      <w:lvlJc w:val="left"/>
      <w:pPr>
        <w:ind w:left="3197" w:hanging="284"/>
      </w:pPr>
      <w:rPr>
        <w:rFonts w:hint="default"/>
      </w:rPr>
    </w:lvl>
    <w:lvl w:ilvl="5" w:tplc="FB1E563C">
      <w:numFmt w:val="bullet"/>
      <w:lvlText w:val="•"/>
      <w:lvlJc w:val="left"/>
      <w:pPr>
        <w:ind w:left="3861" w:hanging="284"/>
      </w:pPr>
      <w:rPr>
        <w:rFonts w:hint="default"/>
      </w:rPr>
    </w:lvl>
    <w:lvl w:ilvl="6" w:tplc="B81A2F6A">
      <w:numFmt w:val="bullet"/>
      <w:lvlText w:val="•"/>
      <w:lvlJc w:val="left"/>
      <w:pPr>
        <w:ind w:left="4526" w:hanging="284"/>
      </w:pPr>
      <w:rPr>
        <w:rFonts w:hint="default"/>
      </w:rPr>
    </w:lvl>
    <w:lvl w:ilvl="7" w:tplc="3CA84652">
      <w:numFmt w:val="bullet"/>
      <w:lvlText w:val="•"/>
      <w:lvlJc w:val="left"/>
      <w:pPr>
        <w:ind w:left="5190" w:hanging="284"/>
      </w:pPr>
      <w:rPr>
        <w:rFonts w:hint="default"/>
      </w:rPr>
    </w:lvl>
    <w:lvl w:ilvl="8" w:tplc="11E834B2">
      <w:numFmt w:val="bullet"/>
      <w:lvlText w:val="•"/>
      <w:lvlJc w:val="left"/>
      <w:pPr>
        <w:ind w:left="5855" w:hanging="284"/>
      </w:pPr>
      <w:rPr>
        <w:rFonts w:hint="default"/>
      </w:rPr>
    </w:lvl>
  </w:abstractNum>
  <w:abstractNum w:abstractNumId="247">
    <w:nsid w:val="5B9F3983"/>
    <w:multiLevelType w:val="hybridMultilevel"/>
    <w:tmpl w:val="4E00E836"/>
    <w:lvl w:ilvl="0" w:tplc="DE308A08">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C302C2C4">
      <w:numFmt w:val="bullet"/>
      <w:lvlText w:val="•"/>
      <w:lvlJc w:val="left"/>
      <w:pPr>
        <w:ind w:left="1204" w:hanging="284"/>
      </w:pPr>
      <w:rPr>
        <w:rFonts w:hint="default"/>
      </w:rPr>
    </w:lvl>
    <w:lvl w:ilvl="2" w:tplc="87927F38">
      <w:numFmt w:val="bullet"/>
      <w:lvlText w:val="•"/>
      <w:lvlJc w:val="left"/>
      <w:pPr>
        <w:ind w:left="1868" w:hanging="284"/>
      </w:pPr>
      <w:rPr>
        <w:rFonts w:hint="default"/>
      </w:rPr>
    </w:lvl>
    <w:lvl w:ilvl="3" w:tplc="E7683FDE">
      <w:numFmt w:val="bullet"/>
      <w:lvlText w:val="•"/>
      <w:lvlJc w:val="left"/>
      <w:pPr>
        <w:ind w:left="2533" w:hanging="284"/>
      </w:pPr>
      <w:rPr>
        <w:rFonts w:hint="default"/>
      </w:rPr>
    </w:lvl>
    <w:lvl w:ilvl="4" w:tplc="A76E94F2">
      <w:numFmt w:val="bullet"/>
      <w:lvlText w:val="•"/>
      <w:lvlJc w:val="left"/>
      <w:pPr>
        <w:ind w:left="3197" w:hanging="284"/>
      </w:pPr>
      <w:rPr>
        <w:rFonts w:hint="default"/>
      </w:rPr>
    </w:lvl>
    <w:lvl w:ilvl="5" w:tplc="8A42871E">
      <w:numFmt w:val="bullet"/>
      <w:lvlText w:val="•"/>
      <w:lvlJc w:val="left"/>
      <w:pPr>
        <w:ind w:left="3861" w:hanging="284"/>
      </w:pPr>
      <w:rPr>
        <w:rFonts w:hint="default"/>
      </w:rPr>
    </w:lvl>
    <w:lvl w:ilvl="6" w:tplc="1B06FEDA">
      <w:numFmt w:val="bullet"/>
      <w:lvlText w:val="•"/>
      <w:lvlJc w:val="left"/>
      <w:pPr>
        <w:ind w:left="4526" w:hanging="284"/>
      </w:pPr>
      <w:rPr>
        <w:rFonts w:hint="default"/>
      </w:rPr>
    </w:lvl>
    <w:lvl w:ilvl="7" w:tplc="A2201D6E">
      <w:numFmt w:val="bullet"/>
      <w:lvlText w:val="•"/>
      <w:lvlJc w:val="left"/>
      <w:pPr>
        <w:ind w:left="5190" w:hanging="284"/>
      </w:pPr>
      <w:rPr>
        <w:rFonts w:hint="default"/>
      </w:rPr>
    </w:lvl>
    <w:lvl w:ilvl="8" w:tplc="776A9778">
      <w:numFmt w:val="bullet"/>
      <w:lvlText w:val="•"/>
      <w:lvlJc w:val="left"/>
      <w:pPr>
        <w:ind w:left="5855" w:hanging="284"/>
      </w:pPr>
      <w:rPr>
        <w:rFonts w:hint="default"/>
      </w:rPr>
    </w:lvl>
  </w:abstractNum>
  <w:abstractNum w:abstractNumId="248">
    <w:nsid w:val="5BA9258B"/>
    <w:multiLevelType w:val="multilevel"/>
    <w:tmpl w:val="C5969768"/>
    <w:lvl w:ilvl="0">
      <w:start w:val="7"/>
      <w:numFmt w:val="decimal"/>
      <w:lvlText w:val="%1"/>
      <w:lvlJc w:val="left"/>
      <w:pPr>
        <w:ind w:left="1341" w:hanging="411"/>
        <w:jc w:val="left"/>
      </w:pPr>
      <w:rPr>
        <w:rFonts w:hint="default"/>
      </w:rPr>
    </w:lvl>
    <w:lvl w:ilvl="1">
      <w:start w:val="6"/>
      <w:numFmt w:val="decimal"/>
      <w:lvlText w:val="%1.%2."/>
      <w:lvlJc w:val="left"/>
      <w:pPr>
        <w:ind w:left="1341" w:hanging="411"/>
        <w:jc w:val="right"/>
      </w:pPr>
      <w:rPr>
        <w:rFonts w:ascii="Cambria" w:eastAsia="Cambria" w:hAnsi="Cambria" w:cs="Cambria" w:hint="default"/>
        <w:b/>
        <w:bCs/>
        <w:color w:val="231F20"/>
        <w:spacing w:val="-1"/>
        <w:w w:val="100"/>
        <w:sz w:val="22"/>
        <w:szCs w:val="22"/>
      </w:rPr>
    </w:lvl>
    <w:lvl w:ilvl="2">
      <w:start w:val="1"/>
      <w:numFmt w:val="decimal"/>
      <w:lvlText w:val="%1.%2.%3."/>
      <w:lvlJc w:val="left"/>
      <w:pPr>
        <w:ind w:left="1098" w:hanging="565"/>
        <w:jc w:val="right"/>
      </w:pPr>
      <w:rPr>
        <w:rFonts w:hint="default"/>
        <w:b/>
        <w:bCs/>
        <w:spacing w:val="-1"/>
        <w:w w:val="100"/>
      </w:rPr>
    </w:lvl>
    <w:lvl w:ilvl="3">
      <w:numFmt w:val="bullet"/>
      <w:lvlText w:val="•"/>
      <w:lvlJc w:val="left"/>
      <w:pPr>
        <w:ind w:left="2105" w:hanging="565"/>
      </w:pPr>
      <w:rPr>
        <w:rFonts w:hint="default"/>
      </w:rPr>
    </w:lvl>
    <w:lvl w:ilvl="4">
      <w:numFmt w:val="bullet"/>
      <w:lvlText w:val="•"/>
      <w:lvlJc w:val="left"/>
      <w:pPr>
        <w:ind w:left="2830" w:hanging="565"/>
      </w:pPr>
      <w:rPr>
        <w:rFonts w:hint="default"/>
      </w:rPr>
    </w:lvl>
    <w:lvl w:ilvl="5">
      <w:numFmt w:val="bullet"/>
      <w:lvlText w:val="•"/>
      <w:lvlJc w:val="left"/>
      <w:pPr>
        <w:ind w:left="3556" w:hanging="565"/>
      </w:pPr>
      <w:rPr>
        <w:rFonts w:hint="default"/>
      </w:rPr>
    </w:lvl>
    <w:lvl w:ilvl="6">
      <w:numFmt w:val="bullet"/>
      <w:lvlText w:val="•"/>
      <w:lvlJc w:val="left"/>
      <w:pPr>
        <w:ind w:left="4281" w:hanging="565"/>
      </w:pPr>
      <w:rPr>
        <w:rFonts w:hint="default"/>
      </w:rPr>
    </w:lvl>
    <w:lvl w:ilvl="7">
      <w:numFmt w:val="bullet"/>
      <w:lvlText w:val="•"/>
      <w:lvlJc w:val="left"/>
      <w:pPr>
        <w:ind w:left="5007" w:hanging="565"/>
      </w:pPr>
      <w:rPr>
        <w:rFonts w:hint="default"/>
      </w:rPr>
    </w:lvl>
    <w:lvl w:ilvl="8">
      <w:numFmt w:val="bullet"/>
      <w:lvlText w:val="•"/>
      <w:lvlJc w:val="left"/>
      <w:pPr>
        <w:ind w:left="5732" w:hanging="565"/>
      </w:pPr>
      <w:rPr>
        <w:rFonts w:hint="default"/>
      </w:rPr>
    </w:lvl>
  </w:abstractNum>
  <w:abstractNum w:abstractNumId="249">
    <w:nsid w:val="5CA04249"/>
    <w:multiLevelType w:val="hybridMultilevel"/>
    <w:tmpl w:val="4586A18E"/>
    <w:lvl w:ilvl="0" w:tplc="38766BB0">
      <w:start w:val="1"/>
      <w:numFmt w:val="decimal"/>
      <w:lvlText w:val="%1)"/>
      <w:lvlJc w:val="left"/>
      <w:pPr>
        <w:ind w:left="533" w:hanging="284"/>
        <w:jc w:val="left"/>
      </w:pPr>
      <w:rPr>
        <w:rFonts w:ascii="Cambria" w:eastAsia="Cambria" w:hAnsi="Cambria" w:cs="Cambria" w:hint="default"/>
        <w:color w:val="231F20"/>
        <w:spacing w:val="-21"/>
        <w:w w:val="100"/>
        <w:sz w:val="21"/>
        <w:szCs w:val="21"/>
      </w:rPr>
    </w:lvl>
    <w:lvl w:ilvl="1" w:tplc="C1208DE6">
      <w:numFmt w:val="bullet"/>
      <w:lvlText w:val="•"/>
      <w:lvlJc w:val="left"/>
      <w:pPr>
        <w:ind w:left="1204" w:hanging="284"/>
      </w:pPr>
      <w:rPr>
        <w:rFonts w:hint="default"/>
      </w:rPr>
    </w:lvl>
    <w:lvl w:ilvl="2" w:tplc="47F88BE2">
      <w:numFmt w:val="bullet"/>
      <w:lvlText w:val="•"/>
      <w:lvlJc w:val="left"/>
      <w:pPr>
        <w:ind w:left="1868" w:hanging="284"/>
      </w:pPr>
      <w:rPr>
        <w:rFonts w:hint="default"/>
      </w:rPr>
    </w:lvl>
    <w:lvl w:ilvl="3" w:tplc="D1BA8BDA">
      <w:numFmt w:val="bullet"/>
      <w:lvlText w:val="•"/>
      <w:lvlJc w:val="left"/>
      <w:pPr>
        <w:ind w:left="2533" w:hanging="284"/>
      </w:pPr>
      <w:rPr>
        <w:rFonts w:hint="default"/>
      </w:rPr>
    </w:lvl>
    <w:lvl w:ilvl="4" w:tplc="D43CAB32">
      <w:numFmt w:val="bullet"/>
      <w:lvlText w:val="•"/>
      <w:lvlJc w:val="left"/>
      <w:pPr>
        <w:ind w:left="3197" w:hanging="284"/>
      </w:pPr>
      <w:rPr>
        <w:rFonts w:hint="default"/>
      </w:rPr>
    </w:lvl>
    <w:lvl w:ilvl="5" w:tplc="2978380C">
      <w:numFmt w:val="bullet"/>
      <w:lvlText w:val="•"/>
      <w:lvlJc w:val="left"/>
      <w:pPr>
        <w:ind w:left="3861" w:hanging="284"/>
      </w:pPr>
      <w:rPr>
        <w:rFonts w:hint="default"/>
      </w:rPr>
    </w:lvl>
    <w:lvl w:ilvl="6" w:tplc="9C12C3A8">
      <w:numFmt w:val="bullet"/>
      <w:lvlText w:val="•"/>
      <w:lvlJc w:val="left"/>
      <w:pPr>
        <w:ind w:left="4526" w:hanging="284"/>
      </w:pPr>
      <w:rPr>
        <w:rFonts w:hint="default"/>
      </w:rPr>
    </w:lvl>
    <w:lvl w:ilvl="7" w:tplc="887EE462">
      <w:numFmt w:val="bullet"/>
      <w:lvlText w:val="•"/>
      <w:lvlJc w:val="left"/>
      <w:pPr>
        <w:ind w:left="5190" w:hanging="284"/>
      </w:pPr>
      <w:rPr>
        <w:rFonts w:hint="default"/>
      </w:rPr>
    </w:lvl>
    <w:lvl w:ilvl="8" w:tplc="3F7AA84A">
      <w:numFmt w:val="bullet"/>
      <w:lvlText w:val="•"/>
      <w:lvlJc w:val="left"/>
      <w:pPr>
        <w:ind w:left="5855" w:hanging="284"/>
      </w:pPr>
      <w:rPr>
        <w:rFonts w:hint="default"/>
      </w:rPr>
    </w:lvl>
  </w:abstractNum>
  <w:abstractNum w:abstractNumId="250">
    <w:nsid w:val="5D066D4E"/>
    <w:multiLevelType w:val="hybridMultilevel"/>
    <w:tmpl w:val="33048756"/>
    <w:lvl w:ilvl="0" w:tplc="6DA490A6">
      <w:start w:val="1"/>
      <w:numFmt w:val="decimal"/>
      <w:lvlText w:val="%1)"/>
      <w:lvlJc w:val="left"/>
      <w:pPr>
        <w:ind w:left="533" w:hanging="284"/>
        <w:jc w:val="left"/>
      </w:pPr>
      <w:rPr>
        <w:rFonts w:hint="default"/>
        <w:i/>
        <w:spacing w:val="-18"/>
        <w:w w:val="100"/>
      </w:rPr>
    </w:lvl>
    <w:lvl w:ilvl="1" w:tplc="99782358">
      <w:numFmt w:val="bullet"/>
      <w:lvlText w:val="•"/>
      <w:lvlJc w:val="left"/>
      <w:pPr>
        <w:ind w:left="1204" w:hanging="284"/>
      </w:pPr>
      <w:rPr>
        <w:rFonts w:hint="default"/>
      </w:rPr>
    </w:lvl>
    <w:lvl w:ilvl="2" w:tplc="47223364">
      <w:numFmt w:val="bullet"/>
      <w:lvlText w:val="•"/>
      <w:lvlJc w:val="left"/>
      <w:pPr>
        <w:ind w:left="1868" w:hanging="284"/>
      </w:pPr>
      <w:rPr>
        <w:rFonts w:hint="default"/>
      </w:rPr>
    </w:lvl>
    <w:lvl w:ilvl="3" w:tplc="11507996">
      <w:numFmt w:val="bullet"/>
      <w:lvlText w:val="•"/>
      <w:lvlJc w:val="left"/>
      <w:pPr>
        <w:ind w:left="2533" w:hanging="284"/>
      </w:pPr>
      <w:rPr>
        <w:rFonts w:hint="default"/>
      </w:rPr>
    </w:lvl>
    <w:lvl w:ilvl="4" w:tplc="EE0E2C4A">
      <w:numFmt w:val="bullet"/>
      <w:lvlText w:val="•"/>
      <w:lvlJc w:val="left"/>
      <w:pPr>
        <w:ind w:left="3197" w:hanging="284"/>
      </w:pPr>
      <w:rPr>
        <w:rFonts w:hint="default"/>
      </w:rPr>
    </w:lvl>
    <w:lvl w:ilvl="5" w:tplc="9A72A2CE">
      <w:numFmt w:val="bullet"/>
      <w:lvlText w:val="•"/>
      <w:lvlJc w:val="left"/>
      <w:pPr>
        <w:ind w:left="3861" w:hanging="284"/>
      </w:pPr>
      <w:rPr>
        <w:rFonts w:hint="default"/>
      </w:rPr>
    </w:lvl>
    <w:lvl w:ilvl="6" w:tplc="58E271DE">
      <w:numFmt w:val="bullet"/>
      <w:lvlText w:val="•"/>
      <w:lvlJc w:val="left"/>
      <w:pPr>
        <w:ind w:left="4526" w:hanging="284"/>
      </w:pPr>
      <w:rPr>
        <w:rFonts w:hint="default"/>
      </w:rPr>
    </w:lvl>
    <w:lvl w:ilvl="7" w:tplc="C936AA08">
      <w:numFmt w:val="bullet"/>
      <w:lvlText w:val="•"/>
      <w:lvlJc w:val="left"/>
      <w:pPr>
        <w:ind w:left="5190" w:hanging="284"/>
      </w:pPr>
      <w:rPr>
        <w:rFonts w:hint="default"/>
      </w:rPr>
    </w:lvl>
    <w:lvl w:ilvl="8" w:tplc="7A523040">
      <w:numFmt w:val="bullet"/>
      <w:lvlText w:val="•"/>
      <w:lvlJc w:val="left"/>
      <w:pPr>
        <w:ind w:left="5855" w:hanging="284"/>
      </w:pPr>
      <w:rPr>
        <w:rFonts w:hint="default"/>
      </w:rPr>
    </w:lvl>
  </w:abstractNum>
  <w:abstractNum w:abstractNumId="251">
    <w:nsid w:val="5D0E2A5B"/>
    <w:multiLevelType w:val="hybridMultilevel"/>
    <w:tmpl w:val="25E069E0"/>
    <w:lvl w:ilvl="0" w:tplc="2C16A1A6">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EA68262E">
      <w:numFmt w:val="bullet"/>
      <w:lvlText w:val="•"/>
      <w:lvlJc w:val="left"/>
      <w:pPr>
        <w:ind w:left="952" w:hanging="284"/>
      </w:pPr>
      <w:rPr>
        <w:rFonts w:hint="default"/>
      </w:rPr>
    </w:lvl>
    <w:lvl w:ilvl="2" w:tplc="3AB819F8">
      <w:numFmt w:val="bullet"/>
      <w:lvlText w:val="•"/>
      <w:lvlJc w:val="left"/>
      <w:pPr>
        <w:ind w:left="1644" w:hanging="284"/>
      </w:pPr>
      <w:rPr>
        <w:rFonts w:hint="default"/>
      </w:rPr>
    </w:lvl>
    <w:lvl w:ilvl="3" w:tplc="A4003030">
      <w:numFmt w:val="bullet"/>
      <w:lvlText w:val="•"/>
      <w:lvlJc w:val="left"/>
      <w:pPr>
        <w:ind w:left="2337" w:hanging="284"/>
      </w:pPr>
      <w:rPr>
        <w:rFonts w:hint="default"/>
      </w:rPr>
    </w:lvl>
    <w:lvl w:ilvl="4" w:tplc="F490E1CC">
      <w:numFmt w:val="bullet"/>
      <w:lvlText w:val="•"/>
      <w:lvlJc w:val="left"/>
      <w:pPr>
        <w:ind w:left="3029" w:hanging="284"/>
      </w:pPr>
      <w:rPr>
        <w:rFonts w:hint="default"/>
      </w:rPr>
    </w:lvl>
    <w:lvl w:ilvl="5" w:tplc="E0DA9D76">
      <w:numFmt w:val="bullet"/>
      <w:lvlText w:val="•"/>
      <w:lvlJc w:val="left"/>
      <w:pPr>
        <w:ind w:left="3721" w:hanging="284"/>
      </w:pPr>
      <w:rPr>
        <w:rFonts w:hint="default"/>
      </w:rPr>
    </w:lvl>
    <w:lvl w:ilvl="6" w:tplc="69D8F3D8">
      <w:numFmt w:val="bullet"/>
      <w:lvlText w:val="•"/>
      <w:lvlJc w:val="left"/>
      <w:pPr>
        <w:ind w:left="4414" w:hanging="284"/>
      </w:pPr>
      <w:rPr>
        <w:rFonts w:hint="default"/>
      </w:rPr>
    </w:lvl>
    <w:lvl w:ilvl="7" w:tplc="6EE0F518">
      <w:numFmt w:val="bullet"/>
      <w:lvlText w:val="•"/>
      <w:lvlJc w:val="left"/>
      <w:pPr>
        <w:ind w:left="5106" w:hanging="284"/>
      </w:pPr>
      <w:rPr>
        <w:rFonts w:hint="default"/>
      </w:rPr>
    </w:lvl>
    <w:lvl w:ilvl="8" w:tplc="409C20CC">
      <w:numFmt w:val="bullet"/>
      <w:lvlText w:val="•"/>
      <w:lvlJc w:val="left"/>
      <w:pPr>
        <w:ind w:left="5799" w:hanging="284"/>
      </w:pPr>
      <w:rPr>
        <w:rFonts w:hint="default"/>
      </w:rPr>
    </w:lvl>
  </w:abstractNum>
  <w:abstractNum w:abstractNumId="252">
    <w:nsid w:val="5D276DDF"/>
    <w:multiLevelType w:val="hybridMultilevel"/>
    <w:tmpl w:val="B36CD3B8"/>
    <w:lvl w:ilvl="0" w:tplc="D5220E9E">
      <w:start w:val="2"/>
      <w:numFmt w:val="decimal"/>
      <w:lvlText w:val="%1)"/>
      <w:lvlJc w:val="left"/>
      <w:pPr>
        <w:ind w:left="250" w:hanging="284"/>
        <w:jc w:val="left"/>
      </w:pPr>
      <w:rPr>
        <w:rFonts w:ascii="Cambria" w:eastAsia="Cambria" w:hAnsi="Cambria" w:cs="Cambria" w:hint="default"/>
        <w:color w:val="231F20"/>
        <w:spacing w:val="-23"/>
        <w:w w:val="100"/>
        <w:sz w:val="21"/>
        <w:szCs w:val="21"/>
      </w:rPr>
    </w:lvl>
    <w:lvl w:ilvl="1" w:tplc="46A8E678">
      <w:start w:val="2"/>
      <w:numFmt w:val="decimal"/>
      <w:lvlText w:val="%2)"/>
      <w:lvlJc w:val="left"/>
      <w:pPr>
        <w:ind w:left="250" w:hanging="284"/>
        <w:jc w:val="right"/>
      </w:pPr>
      <w:rPr>
        <w:rFonts w:ascii="Cambria" w:eastAsia="Cambria" w:hAnsi="Cambria" w:cs="Cambria" w:hint="default"/>
        <w:color w:val="231F20"/>
        <w:spacing w:val="-6"/>
        <w:w w:val="100"/>
        <w:sz w:val="21"/>
        <w:szCs w:val="21"/>
      </w:rPr>
    </w:lvl>
    <w:lvl w:ilvl="2" w:tplc="38C2D5FC">
      <w:numFmt w:val="bullet"/>
      <w:lvlText w:val=""/>
      <w:lvlJc w:val="left"/>
      <w:pPr>
        <w:ind w:left="1384" w:hanging="284"/>
      </w:pPr>
      <w:rPr>
        <w:rFonts w:ascii="Wingdings" w:eastAsia="Wingdings" w:hAnsi="Wingdings" w:cs="Wingdings" w:hint="default"/>
        <w:color w:val="231F20"/>
        <w:w w:val="100"/>
        <w:sz w:val="21"/>
        <w:szCs w:val="21"/>
      </w:rPr>
    </w:lvl>
    <w:lvl w:ilvl="3" w:tplc="CEC272BA">
      <w:numFmt w:val="bullet"/>
      <w:lvlText w:val="–"/>
      <w:lvlJc w:val="left"/>
      <w:pPr>
        <w:ind w:left="1951" w:hanging="284"/>
      </w:pPr>
      <w:rPr>
        <w:rFonts w:ascii="Cambria" w:eastAsia="Cambria" w:hAnsi="Cambria" w:cs="Cambria" w:hint="default"/>
        <w:color w:val="231F20"/>
        <w:spacing w:val="-16"/>
        <w:w w:val="100"/>
        <w:sz w:val="21"/>
        <w:szCs w:val="21"/>
      </w:rPr>
    </w:lvl>
    <w:lvl w:ilvl="4" w:tplc="ADEE232C">
      <w:numFmt w:val="bullet"/>
      <w:lvlText w:val="•"/>
      <w:lvlJc w:val="left"/>
      <w:pPr>
        <w:ind w:left="3265" w:hanging="284"/>
      </w:pPr>
      <w:rPr>
        <w:rFonts w:hint="default"/>
      </w:rPr>
    </w:lvl>
    <w:lvl w:ilvl="5" w:tplc="BE2419FA">
      <w:numFmt w:val="bullet"/>
      <w:lvlText w:val="•"/>
      <w:lvlJc w:val="left"/>
      <w:pPr>
        <w:ind w:left="3918" w:hanging="284"/>
      </w:pPr>
      <w:rPr>
        <w:rFonts w:hint="default"/>
      </w:rPr>
    </w:lvl>
    <w:lvl w:ilvl="6" w:tplc="0156B74C">
      <w:numFmt w:val="bullet"/>
      <w:lvlText w:val="•"/>
      <w:lvlJc w:val="left"/>
      <w:pPr>
        <w:ind w:left="4571" w:hanging="284"/>
      </w:pPr>
      <w:rPr>
        <w:rFonts w:hint="default"/>
      </w:rPr>
    </w:lvl>
    <w:lvl w:ilvl="7" w:tplc="57A8459E">
      <w:numFmt w:val="bullet"/>
      <w:lvlText w:val="•"/>
      <w:lvlJc w:val="left"/>
      <w:pPr>
        <w:ind w:left="5224" w:hanging="284"/>
      </w:pPr>
      <w:rPr>
        <w:rFonts w:hint="default"/>
      </w:rPr>
    </w:lvl>
    <w:lvl w:ilvl="8" w:tplc="10F022F4">
      <w:numFmt w:val="bullet"/>
      <w:lvlText w:val="•"/>
      <w:lvlJc w:val="left"/>
      <w:pPr>
        <w:ind w:left="5877" w:hanging="284"/>
      </w:pPr>
      <w:rPr>
        <w:rFonts w:hint="default"/>
      </w:rPr>
    </w:lvl>
  </w:abstractNum>
  <w:abstractNum w:abstractNumId="253">
    <w:nsid w:val="5D8A2FE6"/>
    <w:multiLevelType w:val="hybridMultilevel"/>
    <w:tmpl w:val="900ED26A"/>
    <w:lvl w:ilvl="0" w:tplc="A4F24908">
      <w:start w:val="1"/>
      <w:numFmt w:val="decimal"/>
      <w:lvlText w:val="%1."/>
      <w:lvlJc w:val="left"/>
      <w:pPr>
        <w:ind w:left="533" w:hanging="284"/>
        <w:jc w:val="left"/>
      </w:pPr>
      <w:rPr>
        <w:rFonts w:ascii="Cambria" w:eastAsia="Cambria" w:hAnsi="Cambria" w:cs="Cambria" w:hint="default"/>
        <w:color w:val="231F20"/>
        <w:spacing w:val="-18"/>
        <w:w w:val="100"/>
        <w:sz w:val="21"/>
        <w:szCs w:val="21"/>
      </w:rPr>
    </w:lvl>
    <w:lvl w:ilvl="1" w:tplc="13249DB6">
      <w:numFmt w:val="bullet"/>
      <w:lvlText w:val="•"/>
      <w:lvlJc w:val="left"/>
      <w:pPr>
        <w:ind w:left="1204" w:hanging="284"/>
      </w:pPr>
      <w:rPr>
        <w:rFonts w:hint="default"/>
      </w:rPr>
    </w:lvl>
    <w:lvl w:ilvl="2" w:tplc="BBE4C11C">
      <w:numFmt w:val="bullet"/>
      <w:lvlText w:val="•"/>
      <w:lvlJc w:val="left"/>
      <w:pPr>
        <w:ind w:left="1868" w:hanging="284"/>
      </w:pPr>
      <w:rPr>
        <w:rFonts w:hint="default"/>
      </w:rPr>
    </w:lvl>
    <w:lvl w:ilvl="3" w:tplc="05E45666">
      <w:numFmt w:val="bullet"/>
      <w:lvlText w:val="•"/>
      <w:lvlJc w:val="left"/>
      <w:pPr>
        <w:ind w:left="2533" w:hanging="284"/>
      </w:pPr>
      <w:rPr>
        <w:rFonts w:hint="default"/>
      </w:rPr>
    </w:lvl>
    <w:lvl w:ilvl="4" w:tplc="EBAE249A">
      <w:numFmt w:val="bullet"/>
      <w:lvlText w:val="•"/>
      <w:lvlJc w:val="left"/>
      <w:pPr>
        <w:ind w:left="3197" w:hanging="284"/>
      </w:pPr>
      <w:rPr>
        <w:rFonts w:hint="default"/>
      </w:rPr>
    </w:lvl>
    <w:lvl w:ilvl="5" w:tplc="6FAA3B04">
      <w:numFmt w:val="bullet"/>
      <w:lvlText w:val="•"/>
      <w:lvlJc w:val="left"/>
      <w:pPr>
        <w:ind w:left="3861" w:hanging="284"/>
      </w:pPr>
      <w:rPr>
        <w:rFonts w:hint="default"/>
      </w:rPr>
    </w:lvl>
    <w:lvl w:ilvl="6" w:tplc="7690F6EE">
      <w:numFmt w:val="bullet"/>
      <w:lvlText w:val="•"/>
      <w:lvlJc w:val="left"/>
      <w:pPr>
        <w:ind w:left="4526" w:hanging="284"/>
      </w:pPr>
      <w:rPr>
        <w:rFonts w:hint="default"/>
      </w:rPr>
    </w:lvl>
    <w:lvl w:ilvl="7" w:tplc="ACBC1870">
      <w:numFmt w:val="bullet"/>
      <w:lvlText w:val="•"/>
      <w:lvlJc w:val="left"/>
      <w:pPr>
        <w:ind w:left="5190" w:hanging="284"/>
      </w:pPr>
      <w:rPr>
        <w:rFonts w:hint="default"/>
      </w:rPr>
    </w:lvl>
    <w:lvl w:ilvl="8" w:tplc="CF74229A">
      <w:numFmt w:val="bullet"/>
      <w:lvlText w:val="•"/>
      <w:lvlJc w:val="left"/>
      <w:pPr>
        <w:ind w:left="5855" w:hanging="284"/>
      </w:pPr>
      <w:rPr>
        <w:rFonts w:hint="default"/>
      </w:rPr>
    </w:lvl>
  </w:abstractNum>
  <w:abstractNum w:abstractNumId="254">
    <w:nsid w:val="5D8C182C"/>
    <w:multiLevelType w:val="multilevel"/>
    <w:tmpl w:val="08AAD794"/>
    <w:lvl w:ilvl="0">
      <w:start w:val="7"/>
      <w:numFmt w:val="decimal"/>
      <w:lvlText w:val="%1"/>
      <w:lvlJc w:val="left"/>
      <w:pPr>
        <w:ind w:left="817" w:hanging="565"/>
        <w:jc w:val="left"/>
      </w:pPr>
      <w:rPr>
        <w:rFonts w:hint="default"/>
      </w:rPr>
    </w:lvl>
    <w:lvl w:ilvl="1">
      <w:start w:val="2"/>
      <w:numFmt w:val="decimal"/>
      <w:lvlText w:val="%1.%2"/>
      <w:lvlJc w:val="left"/>
      <w:pPr>
        <w:ind w:left="817" w:hanging="565"/>
        <w:jc w:val="left"/>
      </w:pPr>
      <w:rPr>
        <w:rFonts w:hint="default"/>
      </w:rPr>
    </w:lvl>
    <w:lvl w:ilvl="2">
      <w:start w:val="1"/>
      <w:numFmt w:val="decimal"/>
      <w:lvlText w:val="%1.%2.%3."/>
      <w:lvlJc w:val="left"/>
      <w:pPr>
        <w:ind w:left="817" w:hanging="565"/>
        <w:jc w:val="right"/>
      </w:pPr>
      <w:rPr>
        <w:rFonts w:ascii="Cambria" w:eastAsia="Cambria" w:hAnsi="Cambria" w:cs="Cambria" w:hint="default"/>
        <w:b/>
        <w:bCs/>
        <w:color w:val="231F20"/>
        <w:spacing w:val="-1"/>
        <w:w w:val="100"/>
        <w:sz w:val="21"/>
        <w:szCs w:val="21"/>
      </w:rPr>
    </w:lvl>
    <w:lvl w:ilvl="3">
      <w:numFmt w:val="bullet"/>
      <w:lvlText w:val="•"/>
      <w:lvlJc w:val="left"/>
      <w:pPr>
        <w:ind w:left="2729" w:hanging="565"/>
      </w:pPr>
      <w:rPr>
        <w:rFonts w:hint="default"/>
      </w:rPr>
    </w:lvl>
    <w:lvl w:ilvl="4">
      <w:numFmt w:val="bullet"/>
      <w:lvlText w:val="•"/>
      <w:lvlJc w:val="left"/>
      <w:pPr>
        <w:ind w:left="3365" w:hanging="565"/>
      </w:pPr>
      <w:rPr>
        <w:rFonts w:hint="default"/>
      </w:rPr>
    </w:lvl>
    <w:lvl w:ilvl="5">
      <w:numFmt w:val="bullet"/>
      <w:lvlText w:val="•"/>
      <w:lvlJc w:val="left"/>
      <w:pPr>
        <w:ind w:left="4001" w:hanging="565"/>
      </w:pPr>
      <w:rPr>
        <w:rFonts w:hint="default"/>
      </w:rPr>
    </w:lvl>
    <w:lvl w:ilvl="6">
      <w:numFmt w:val="bullet"/>
      <w:lvlText w:val="•"/>
      <w:lvlJc w:val="left"/>
      <w:pPr>
        <w:ind w:left="4638" w:hanging="565"/>
      </w:pPr>
      <w:rPr>
        <w:rFonts w:hint="default"/>
      </w:rPr>
    </w:lvl>
    <w:lvl w:ilvl="7">
      <w:numFmt w:val="bullet"/>
      <w:lvlText w:val="•"/>
      <w:lvlJc w:val="left"/>
      <w:pPr>
        <w:ind w:left="5274" w:hanging="565"/>
      </w:pPr>
      <w:rPr>
        <w:rFonts w:hint="default"/>
      </w:rPr>
    </w:lvl>
    <w:lvl w:ilvl="8">
      <w:numFmt w:val="bullet"/>
      <w:lvlText w:val="•"/>
      <w:lvlJc w:val="left"/>
      <w:pPr>
        <w:ind w:left="5911" w:hanging="565"/>
      </w:pPr>
      <w:rPr>
        <w:rFonts w:hint="default"/>
      </w:rPr>
    </w:lvl>
  </w:abstractNum>
  <w:abstractNum w:abstractNumId="255">
    <w:nsid w:val="5EA94BAC"/>
    <w:multiLevelType w:val="hybridMultilevel"/>
    <w:tmpl w:val="9A148FFC"/>
    <w:lvl w:ilvl="0" w:tplc="38F6A288">
      <w:start w:val="1"/>
      <w:numFmt w:val="decimal"/>
      <w:lvlText w:val="%1."/>
      <w:lvlJc w:val="left"/>
      <w:pPr>
        <w:ind w:left="250" w:hanging="284"/>
        <w:jc w:val="right"/>
      </w:pPr>
      <w:rPr>
        <w:rFonts w:ascii="Cambria" w:eastAsia="Cambria" w:hAnsi="Cambria" w:cs="Cambria" w:hint="default"/>
        <w:color w:val="231F20"/>
        <w:spacing w:val="-18"/>
        <w:w w:val="100"/>
        <w:sz w:val="21"/>
        <w:szCs w:val="21"/>
      </w:rPr>
    </w:lvl>
    <w:lvl w:ilvl="1" w:tplc="EC645A7C">
      <w:numFmt w:val="bullet"/>
      <w:lvlText w:val="•"/>
      <w:lvlJc w:val="left"/>
      <w:pPr>
        <w:ind w:left="952" w:hanging="284"/>
      </w:pPr>
      <w:rPr>
        <w:rFonts w:hint="default"/>
      </w:rPr>
    </w:lvl>
    <w:lvl w:ilvl="2" w:tplc="A3A2311C">
      <w:numFmt w:val="bullet"/>
      <w:lvlText w:val="•"/>
      <w:lvlJc w:val="left"/>
      <w:pPr>
        <w:ind w:left="1644" w:hanging="284"/>
      </w:pPr>
      <w:rPr>
        <w:rFonts w:hint="default"/>
      </w:rPr>
    </w:lvl>
    <w:lvl w:ilvl="3" w:tplc="5F0A7A32">
      <w:numFmt w:val="bullet"/>
      <w:lvlText w:val="•"/>
      <w:lvlJc w:val="left"/>
      <w:pPr>
        <w:ind w:left="2337" w:hanging="284"/>
      </w:pPr>
      <w:rPr>
        <w:rFonts w:hint="default"/>
      </w:rPr>
    </w:lvl>
    <w:lvl w:ilvl="4" w:tplc="3D72A4FA">
      <w:numFmt w:val="bullet"/>
      <w:lvlText w:val="•"/>
      <w:lvlJc w:val="left"/>
      <w:pPr>
        <w:ind w:left="3029" w:hanging="284"/>
      </w:pPr>
      <w:rPr>
        <w:rFonts w:hint="default"/>
      </w:rPr>
    </w:lvl>
    <w:lvl w:ilvl="5" w:tplc="A602265C">
      <w:numFmt w:val="bullet"/>
      <w:lvlText w:val="•"/>
      <w:lvlJc w:val="left"/>
      <w:pPr>
        <w:ind w:left="3721" w:hanging="284"/>
      </w:pPr>
      <w:rPr>
        <w:rFonts w:hint="default"/>
      </w:rPr>
    </w:lvl>
    <w:lvl w:ilvl="6" w:tplc="E368CCE0">
      <w:numFmt w:val="bullet"/>
      <w:lvlText w:val="•"/>
      <w:lvlJc w:val="left"/>
      <w:pPr>
        <w:ind w:left="4414" w:hanging="284"/>
      </w:pPr>
      <w:rPr>
        <w:rFonts w:hint="default"/>
      </w:rPr>
    </w:lvl>
    <w:lvl w:ilvl="7" w:tplc="2FDEA20E">
      <w:numFmt w:val="bullet"/>
      <w:lvlText w:val="•"/>
      <w:lvlJc w:val="left"/>
      <w:pPr>
        <w:ind w:left="5106" w:hanging="284"/>
      </w:pPr>
      <w:rPr>
        <w:rFonts w:hint="default"/>
      </w:rPr>
    </w:lvl>
    <w:lvl w:ilvl="8" w:tplc="6C383F66">
      <w:numFmt w:val="bullet"/>
      <w:lvlText w:val="•"/>
      <w:lvlJc w:val="left"/>
      <w:pPr>
        <w:ind w:left="5799" w:hanging="284"/>
      </w:pPr>
      <w:rPr>
        <w:rFonts w:hint="default"/>
      </w:rPr>
    </w:lvl>
  </w:abstractNum>
  <w:abstractNum w:abstractNumId="256">
    <w:nsid w:val="5ECE41F3"/>
    <w:multiLevelType w:val="multilevel"/>
    <w:tmpl w:val="CB5ACBE4"/>
    <w:lvl w:ilvl="0">
      <w:start w:val="4"/>
      <w:numFmt w:val="decimal"/>
      <w:lvlText w:val="%1"/>
      <w:lvlJc w:val="left"/>
      <w:pPr>
        <w:ind w:left="930" w:hanging="397"/>
        <w:jc w:val="left"/>
      </w:pPr>
      <w:rPr>
        <w:rFonts w:hint="default"/>
      </w:rPr>
    </w:lvl>
    <w:lvl w:ilvl="1">
      <w:start w:val="1"/>
      <w:numFmt w:val="decimal"/>
      <w:lvlText w:val="%1.%2."/>
      <w:lvlJc w:val="left"/>
      <w:pPr>
        <w:ind w:left="930" w:hanging="397"/>
        <w:jc w:val="left"/>
      </w:pPr>
      <w:rPr>
        <w:rFonts w:ascii="Cambria" w:eastAsia="Cambria" w:hAnsi="Cambria" w:cs="Cambria" w:hint="default"/>
        <w:b/>
        <w:bCs/>
        <w:color w:val="231F20"/>
        <w:spacing w:val="-1"/>
        <w:w w:val="100"/>
        <w:sz w:val="21"/>
        <w:szCs w:val="21"/>
      </w:rPr>
    </w:lvl>
    <w:lvl w:ilvl="2">
      <w:numFmt w:val="bullet"/>
      <w:lvlText w:val="•"/>
      <w:lvlJc w:val="left"/>
      <w:pPr>
        <w:ind w:left="2188" w:hanging="397"/>
      </w:pPr>
      <w:rPr>
        <w:rFonts w:hint="default"/>
      </w:rPr>
    </w:lvl>
    <w:lvl w:ilvl="3">
      <w:numFmt w:val="bullet"/>
      <w:lvlText w:val="•"/>
      <w:lvlJc w:val="left"/>
      <w:pPr>
        <w:ind w:left="2813" w:hanging="397"/>
      </w:pPr>
      <w:rPr>
        <w:rFonts w:hint="default"/>
      </w:rPr>
    </w:lvl>
    <w:lvl w:ilvl="4">
      <w:numFmt w:val="bullet"/>
      <w:lvlText w:val="•"/>
      <w:lvlJc w:val="left"/>
      <w:pPr>
        <w:ind w:left="3437" w:hanging="397"/>
      </w:pPr>
      <w:rPr>
        <w:rFonts w:hint="default"/>
      </w:rPr>
    </w:lvl>
    <w:lvl w:ilvl="5">
      <w:numFmt w:val="bullet"/>
      <w:lvlText w:val="•"/>
      <w:lvlJc w:val="left"/>
      <w:pPr>
        <w:ind w:left="4061" w:hanging="397"/>
      </w:pPr>
      <w:rPr>
        <w:rFonts w:hint="default"/>
      </w:rPr>
    </w:lvl>
    <w:lvl w:ilvl="6">
      <w:numFmt w:val="bullet"/>
      <w:lvlText w:val="•"/>
      <w:lvlJc w:val="left"/>
      <w:pPr>
        <w:ind w:left="4686" w:hanging="397"/>
      </w:pPr>
      <w:rPr>
        <w:rFonts w:hint="default"/>
      </w:rPr>
    </w:lvl>
    <w:lvl w:ilvl="7">
      <w:numFmt w:val="bullet"/>
      <w:lvlText w:val="•"/>
      <w:lvlJc w:val="left"/>
      <w:pPr>
        <w:ind w:left="5310" w:hanging="397"/>
      </w:pPr>
      <w:rPr>
        <w:rFonts w:hint="default"/>
      </w:rPr>
    </w:lvl>
    <w:lvl w:ilvl="8">
      <w:numFmt w:val="bullet"/>
      <w:lvlText w:val="•"/>
      <w:lvlJc w:val="left"/>
      <w:pPr>
        <w:ind w:left="5935" w:hanging="397"/>
      </w:pPr>
      <w:rPr>
        <w:rFonts w:hint="default"/>
      </w:rPr>
    </w:lvl>
  </w:abstractNum>
  <w:abstractNum w:abstractNumId="257">
    <w:nsid w:val="5F2D1CBB"/>
    <w:multiLevelType w:val="hybridMultilevel"/>
    <w:tmpl w:val="D8F02436"/>
    <w:lvl w:ilvl="0" w:tplc="73C60DB6">
      <w:numFmt w:val="bullet"/>
      <w:lvlText w:val="–"/>
      <w:lvlJc w:val="left"/>
      <w:pPr>
        <w:ind w:left="533" w:hanging="284"/>
      </w:pPr>
      <w:rPr>
        <w:rFonts w:ascii="Cambria" w:eastAsia="Cambria" w:hAnsi="Cambria" w:cs="Cambria" w:hint="default"/>
        <w:color w:val="231F20"/>
        <w:spacing w:val="-23"/>
        <w:w w:val="100"/>
        <w:sz w:val="21"/>
        <w:szCs w:val="21"/>
      </w:rPr>
    </w:lvl>
    <w:lvl w:ilvl="1" w:tplc="3ACE5D72">
      <w:numFmt w:val="bullet"/>
      <w:lvlText w:val="•"/>
      <w:lvlJc w:val="left"/>
      <w:pPr>
        <w:ind w:left="1204" w:hanging="284"/>
      </w:pPr>
      <w:rPr>
        <w:rFonts w:hint="default"/>
      </w:rPr>
    </w:lvl>
    <w:lvl w:ilvl="2" w:tplc="3EB616E0">
      <w:numFmt w:val="bullet"/>
      <w:lvlText w:val="•"/>
      <w:lvlJc w:val="left"/>
      <w:pPr>
        <w:ind w:left="1868" w:hanging="284"/>
      </w:pPr>
      <w:rPr>
        <w:rFonts w:hint="default"/>
      </w:rPr>
    </w:lvl>
    <w:lvl w:ilvl="3" w:tplc="15D4E10E">
      <w:numFmt w:val="bullet"/>
      <w:lvlText w:val="•"/>
      <w:lvlJc w:val="left"/>
      <w:pPr>
        <w:ind w:left="2533" w:hanging="284"/>
      </w:pPr>
      <w:rPr>
        <w:rFonts w:hint="default"/>
      </w:rPr>
    </w:lvl>
    <w:lvl w:ilvl="4" w:tplc="55146FC6">
      <w:numFmt w:val="bullet"/>
      <w:lvlText w:val="•"/>
      <w:lvlJc w:val="left"/>
      <w:pPr>
        <w:ind w:left="3197" w:hanging="284"/>
      </w:pPr>
      <w:rPr>
        <w:rFonts w:hint="default"/>
      </w:rPr>
    </w:lvl>
    <w:lvl w:ilvl="5" w:tplc="606A5FE8">
      <w:numFmt w:val="bullet"/>
      <w:lvlText w:val="•"/>
      <w:lvlJc w:val="left"/>
      <w:pPr>
        <w:ind w:left="3861" w:hanging="284"/>
      </w:pPr>
      <w:rPr>
        <w:rFonts w:hint="default"/>
      </w:rPr>
    </w:lvl>
    <w:lvl w:ilvl="6" w:tplc="A0D48AC4">
      <w:numFmt w:val="bullet"/>
      <w:lvlText w:val="•"/>
      <w:lvlJc w:val="left"/>
      <w:pPr>
        <w:ind w:left="4526" w:hanging="284"/>
      </w:pPr>
      <w:rPr>
        <w:rFonts w:hint="default"/>
      </w:rPr>
    </w:lvl>
    <w:lvl w:ilvl="7" w:tplc="E80CD5DE">
      <w:numFmt w:val="bullet"/>
      <w:lvlText w:val="•"/>
      <w:lvlJc w:val="left"/>
      <w:pPr>
        <w:ind w:left="5190" w:hanging="284"/>
      </w:pPr>
      <w:rPr>
        <w:rFonts w:hint="default"/>
      </w:rPr>
    </w:lvl>
    <w:lvl w:ilvl="8" w:tplc="31722D9C">
      <w:numFmt w:val="bullet"/>
      <w:lvlText w:val="•"/>
      <w:lvlJc w:val="left"/>
      <w:pPr>
        <w:ind w:left="5855" w:hanging="284"/>
      </w:pPr>
      <w:rPr>
        <w:rFonts w:hint="default"/>
      </w:rPr>
    </w:lvl>
  </w:abstractNum>
  <w:abstractNum w:abstractNumId="258">
    <w:nsid w:val="605D24D5"/>
    <w:multiLevelType w:val="multilevel"/>
    <w:tmpl w:val="7D549BF0"/>
    <w:lvl w:ilvl="0">
      <w:start w:val="4"/>
      <w:numFmt w:val="decimal"/>
      <w:lvlText w:val="%1"/>
      <w:lvlJc w:val="left"/>
      <w:pPr>
        <w:ind w:left="1666" w:hanging="411"/>
        <w:jc w:val="left"/>
      </w:pPr>
      <w:rPr>
        <w:rFonts w:hint="default"/>
      </w:rPr>
    </w:lvl>
    <w:lvl w:ilvl="1">
      <w:start w:val="1"/>
      <w:numFmt w:val="decimal"/>
      <w:lvlText w:val="%1.%2."/>
      <w:lvlJc w:val="left"/>
      <w:pPr>
        <w:ind w:left="1959" w:hanging="411"/>
        <w:jc w:val="right"/>
      </w:pPr>
      <w:rPr>
        <w:rFonts w:ascii="Cambria" w:eastAsia="Cambria" w:hAnsi="Cambria" w:cs="Cambria" w:hint="default"/>
        <w:b/>
        <w:bCs/>
        <w:color w:val="231F20"/>
        <w:spacing w:val="-1"/>
        <w:w w:val="100"/>
        <w:sz w:val="22"/>
        <w:szCs w:val="22"/>
      </w:rPr>
    </w:lvl>
    <w:lvl w:ilvl="2">
      <w:numFmt w:val="bullet"/>
      <w:lvlText w:val="•"/>
      <w:lvlJc w:val="left"/>
      <w:pPr>
        <w:ind w:left="2540" w:hanging="411"/>
      </w:pPr>
      <w:rPr>
        <w:rFonts w:hint="default"/>
      </w:rPr>
    </w:lvl>
    <w:lvl w:ilvl="3">
      <w:numFmt w:val="bullet"/>
      <w:lvlText w:val="•"/>
      <w:lvlJc w:val="left"/>
      <w:pPr>
        <w:ind w:left="3120" w:hanging="411"/>
      </w:pPr>
      <w:rPr>
        <w:rFonts w:hint="default"/>
      </w:rPr>
    </w:lvl>
    <w:lvl w:ilvl="4">
      <w:numFmt w:val="bullet"/>
      <w:lvlText w:val="•"/>
      <w:lvlJc w:val="left"/>
      <w:pPr>
        <w:ind w:left="3701" w:hanging="411"/>
      </w:pPr>
      <w:rPr>
        <w:rFonts w:hint="default"/>
      </w:rPr>
    </w:lvl>
    <w:lvl w:ilvl="5">
      <w:numFmt w:val="bullet"/>
      <w:lvlText w:val="•"/>
      <w:lvlJc w:val="left"/>
      <w:pPr>
        <w:ind w:left="4281" w:hanging="411"/>
      </w:pPr>
      <w:rPr>
        <w:rFonts w:hint="default"/>
      </w:rPr>
    </w:lvl>
    <w:lvl w:ilvl="6">
      <w:numFmt w:val="bullet"/>
      <w:lvlText w:val="•"/>
      <w:lvlJc w:val="left"/>
      <w:pPr>
        <w:ind w:left="4862" w:hanging="411"/>
      </w:pPr>
      <w:rPr>
        <w:rFonts w:hint="default"/>
      </w:rPr>
    </w:lvl>
    <w:lvl w:ilvl="7">
      <w:numFmt w:val="bullet"/>
      <w:lvlText w:val="•"/>
      <w:lvlJc w:val="left"/>
      <w:pPr>
        <w:ind w:left="5442" w:hanging="411"/>
      </w:pPr>
      <w:rPr>
        <w:rFonts w:hint="default"/>
      </w:rPr>
    </w:lvl>
    <w:lvl w:ilvl="8">
      <w:numFmt w:val="bullet"/>
      <w:lvlText w:val="•"/>
      <w:lvlJc w:val="left"/>
      <w:pPr>
        <w:ind w:left="6023" w:hanging="411"/>
      </w:pPr>
      <w:rPr>
        <w:rFonts w:hint="default"/>
      </w:rPr>
    </w:lvl>
  </w:abstractNum>
  <w:abstractNum w:abstractNumId="259">
    <w:nsid w:val="606A17FD"/>
    <w:multiLevelType w:val="hybridMultilevel"/>
    <w:tmpl w:val="FB524588"/>
    <w:lvl w:ilvl="0" w:tplc="E0A2566E">
      <w:numFmt w:val="bullet"/>
      <w:lvlText w:val=""/>
      <w:lvlJc w:val="left"/>
      <w:pPr>
        <w:ind w:left="250" w:hanging="284"/>
      </w:pPr>
      <w:rPr>
        <w:rFonts w:ascii="Wingdings" w:eastAsia="Wingdings" w:hAnsi="Wingdings" w:cs="Wingdings" w:hint="default"/>
        <w:color w:val="231F20"/>
        <w:w w:val="100"/>
        <w:sz w:val="21"/>
        <w:szCs w:val="21"/>
      </w:rPr>
    </w:lvl>
    <w:lvl w:ilvl="1" w:tplc="5614954C">
      <w:numFmt w:val="bullet"/>
      <w:lvlText w:val="•"/>
      <w:lvlJc w:val="left"/>
      <w:pPr>
        <w:ind w:left="952" w:hanging="284"/>
      </w:pPr>
      <w:rPr>
        <w:rFonts w:hint="default"/>
      </w:rPr>
    </w:lvl>
    <w:lvl w:ilvl="2" w:tplc="1EA62226">
      <w:numFmt w:val="bullet"/>
      <w:lvlText w:val="•"/>
      <w:lvlJc w:val="left"/>
      <w:pPr>
        <w:ind w:left="1644" w:hanging="284"/>
      </w:pPr>
      <w:rPr>
        <w:rFonts w:hint="default"/>
      </w:rPr>
    </w:lvl>
    <w:lvl w:ilvl="3" w:tplc="94E23ED6">
      <w:numFmt w:val="bullet"/>
      <w:lvlText w:val="•"/>
      <w:lvlJc w:val="left"/>
      <w:pPr>
        <w:ind w:left="2337" w:hanging="284"/>
      </w:pPr>
      <w:rPr>
        <w:rFonts w:hint="default"/>
      </w:rPr>
    </w:lvl>
    <w:lvl w:ilvl="4" w:tplc="F4CCB5F0">
      <w:numFmt w:val="bullet"/>
      <w:lvlText w:val="•"/>
      <w:lvlJc w:val="left"/>
      <w:pPr>
        <w:ind w:left="3029" w:hanging="284"/>
      </w:pPr>
      <w:rPr>
        <w:rFonts w:hint="default"/>
      </w:rPr>
    </w:lvl>
    <w:lvl w:ilvl="5" w:tplc="32B21E80">
      <w:numFmt w:val="bullet"/>
      <w:lvlText w:val="•"/>
      <w:lvlJc w:val="left"/>
      <w:pPr>
        <w:ind w:left="3721" w:hanging="284"/>
      </w:pPr>
      <w:rPr>
        <w:rFonts w:hint="default"/>
      </w:rPr>
    </w:lvl>
    <w:lvl w:ilvl="6" w:tplc="8F8ECB00">
      <w:numFmt w:val="bullet"/>
      <w:lvlText w:val="•"/>
      <w:lvlJc w:val="left"/>
      <w:pPr>
        <w:ind w:left="4414" w:hanging="284"/>
      </w:pPr>
      <w:rPr>
        <w:rFonts w:hint="default"/>
      </w:rPr>
    </w:lvl>
    <w:lvl w:ilvl="7" w:tplc="50E4B748">
      <w:numFmt w:val="bullet"/>
      <w:lvlText w:val="•"/>
      <w:lvlJc w:val="left"/>
      <w:pPr>
        <w:ind w:left="5106" w:hanging="284"/>
      </w:pPr>
      <w:rPr>
        <w:rFonts w:hint="default"/>
      </w:rPr>
    </w:lvl>
    <w:lvl w:ilvl="8" w:tplc="DFD801FE">
      <w:numFmt w:val="bullet"/>
      <w:lvlText w:val="•"/>
      <w:lvlJc w:val="left"/>
      <w:pPr>
        <w:ind w:left="5799" w:hanging="284"/>
      </w:pPr>
      <w:rPr>
        <w:rFonts w:hint="default"/>
      </w:rPr>
    </w:lvl>
  </w:abstractNum>
  <w:abstractNum w:abstractNumId="260">
    <w:nsid w:val="60EE5478"/>
    <w:multiLevelType w:val="hybridMultilevel"/>
    <w:tmpl w:val="7B7A948A"/>
    <w:lvl w:ilvl="0" w:tplc="FACAC7BA">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B88A0804">
      <w:numFmt w:val="bullet"/>
      <w:lvlText w:val="•"/>
      <w:lvlJc w:val="left"/>
      <w:pPr>
        <w:ind w:left="1204" w:hanging="284"/>
      </w:pPr>
      <w:rPr>
        <w:rFonts w:hint="default"/>
      </w:rPr>
    </w:lvl>
    <w:lvl w:ilvl="2" w:tplc="C232955C">
      <w:numFmt w:val="bullet"/>
      <w:lvlText w:val="•"/>
      <w:lvlJc w:val="left"/>
      <w:pPr>
        <w:ind w:left="1868" w:hanging="284"/>
      </w:pPr>
      <w:rPr>
        <w:rFonts w:hint="default"/>
      </w:rPr>
    </w:lvl>
    <w:lvl w:ilvl="3" w:tplc="59243B5C">
      <w:numFmt w:val="bullet"/>
      <w:lvlText w:val="•"/>
      <w:lvlJc w:val="left"/>
      <w:pPr>
        <w:ind w:left="2533" w:hanging="284"/>
      </w:pPr>
      <w:rPr>
        <w:rFonts w:hint="default"/>
      </w:rPr>
    </w:lvl>
    <w:lvl w:ilvl="4" w:tplc="9F200920">
      <w:numFmt w:val="bullet"/>
      <w:lvlText w:val="•"/>
      <w:lvlJc w:val="left"/>
      <w:pPr>
        <w:ind w:left="3197" w:hanging="284"/>
      </w:pPr>
      <w:rPr>
        <w:rFonts w:hint="default"/>
      </w:rPr>
    </w:lvl>
    <w:lvl w:ilvl="5" w:tplc="65F86CF2">
      <w:numFmt w:val="bullet"/>
      <w:lvlText w:val="•"/>
      <w:lvlJc w:val="left"/>
      <w:pPr>
        <w:ind w:left="3861" w:hanging="284"/>
      </w:pPr>
      <w:rPr>
        <w:rFonts w:hint="default"/>
      </w:rPr>
    </w:lvl>
    <w:lvl w:ilvl="6" w:tplc="F2E4AD14">
      <w:numFmt w:val="bullet"/>
      <w:lvlText w:val="•"/>
      <w:lvlJc w:val="left"/>
      <w:pPr>
        <w:ind w:left="4526" w:hanging="284"/>
      </w:pPr>
      <w:rPr>
        <w:rFonts w:hint="default"/>
      </w:rPr>
    </w:lvl>
    <w:lvl w:ilvl="7" w:tplc="4406FE6E">
      <w:numFmt w:val="bullet"/>
      <w:lvlText w:val="•"/>
      <w:lvlJc w:val="left"/>
      <w:pPr>
        <w:ind w:left="5190" w:hanging="284"/>
      </w:pPr>
      <w:rPr>
        <w:rFonts w:hint="default"/>
      </w:rPr>
    </w:lvl>
    <w:lvl w:ilvl="8" w:tplc="6670708E">
      <w:numFmt w:val="bullet"/>
      <w:lvlText w:val="•"/>
      <w:lvlJc w:val="left"/>
      <w:pPr>
        <w:ind w:left="5855" w:hanging="284"/>
      </w:pPr>
      <w:rPr>
        <w:rFonts w:hint="default"/>
      </w:rPr>
    </w:lvl>
  </w:abstractNum>
  <w:abstractNum w:abstractNumId="261">
    <w:nsid w:val="612471C7"/>
    <w:multiLevelType w:val="hybridMultilevel"/>
    <w:tmpl w:val="42CAC36C"/>
    <w:lvl w:ilvl="0" w:tplc="A2B8185A">
      <w:numFmt w:val="bullet"/>
      <w:lvlText w:val="–"/>
      <w:lvlJc w:val="left"/>
      <w:pPr>
        <w:ind w:left="533" w:hanging="284"/>
      </w:pPr>
      <w:rPr>
        <w:rFonts w:ascii="Cambria" w:eastAsia="Cambria" w:hAnsi="Cambria" w:cs="Cambria" w:hint="default"/>
        <w:color w:val="231F20"/>
        <w:spacing w:val="-21"/>
        <w:w w:val="100"/>
        <w:sz w:val="21"/>
        <w:szCs w:val="21"/>
      </w:rPr>
    </w:lvl>
    <w:lvl w:ilvl="1" w:tplc="7876A6FE">
      <w:numFmt w:val="bullet"/>
      <w:lvlText w:val="•"/>
      <w:lvlJc w:val="left"/>
      <w:pPr>
        <w:ind w:left="1204" w:hanging="284"/>
      </w:pPr>
      <w:rPr>
        <w:rFonts w:hint="default"/>
      </w:rPr>
    </w:lvl>
    <w:lvl w:ilvl="2" w:tplc="E3220F48">
      <w:numFmt w:val="bullet"/>
      <w:lvlText w:val="•"/>
      <w:lvlJc w:val="left"/>
      <w:pPr>
        <w:ind w:left="1868" w:hanging="284"/>
      </w:pPr>
      <w:rPr>
        <w:rFonts w:hint="default"/>
      </w:rPr>
    </w:lvl>
    <w:lvl w:ilvl="3" w:tplc="787EF048">
      <w:numFmt w:val="bullet"/>
      <w:lvlText w:val="•"/>
      <w:lvlJc w:val="left"/>
      <w:pPr>
        <w:ind w:left="2533" w:hanging="284"/>
      </w:pPr>
      <w:rPr>
        <w:rFonts w:hint="default"/>
      </w:rPr>
    </w:lvl>
    <w:lvl w:ilvl="4" w:tplc="8FECF866">
      <w:numFmt w:val="bullet"/>
      <w:lvlText w:val="•"/>
      <w:lvlJc w:val="left"/>
      <w:pPr>
        <w:ind w:left="3197" w:hanging="284"/>
      </w:pPr>
      <w:rPr>
        <w:rFonts w:hint="default"/>
      </w:rPr>
    </w:lvl>
    <w:lvl w:ilvl="5" w:tplc="09E8761E">
      <w:numFmt w:val="bullet"/>
      <w:lvlText w:val="•"/>
      <w:lvlJc w:val="left"/>
      <w:pPr>
        <w:ind w:left="3861" w:hanging="284"/>
      </w:pPr>
      <w:rPr>
        <w:rFonts w:hint="default"/>
      </w:rPr>
    </w:lvl>
    <w:lvl w:ilvl="6" w:tplc="F9969746">
      <w:numFmt w:val="bullet"/>
      <w:lvlText w:val="•"/>
      <w:lvlJc w:val="left"/>
      <w:pPr>
        <w:ind w:left="4526" w:hanging="284"/>
      </w:pPr>
      <w:rPr>
        <w:rFonts w:hint="default"/>
      </w:rPr>
    </w:lvl>
    <w:lvl w:ilvl="7" w:tplc="E5AEC2CA">
      <w:numFmt w:val="bullet"/>
      <w:lvlText w:val="•"/>
      <w:lvlJc w:val="left"/>
      <w:pPr>
        <w:ind w:left="5190" w:hanging="284"/>
      </w:pPr>
      <w:rPr>
        <w:rFonts w:hint="default"/>
      </w:rPr>
    </w:lvl>
    <w:lvl w:ilvl="8" w:tplc="55BC7E04">
      <w:numFmt w:val="bullet"/>
      <w:lvlText w:val="•"/>
      <w:lvlJc w:val="left"/>
      <w:pPr>
        <w:ind w:left="5855" w:hanging="284"/>
      </w:pPr>
      <w:rPr>
        <w:rFonts w:hint="default"/>
      </w:rPr>
    </w:lvl>
  </w:abstractNum>
  <w:abstractNum w:abstractNumId="262">
    <w:nsid w:val="613E487D"/>
    <w:multiLevelType w:val="multilevel"/>
    <w:tmpl w:val="AF140A50"/>
    <w:lvl w:ilvl="0">
      <w:start w:val="8"/>
      <w:numFmt w:val="decimal"/>
      <w:lvlText w:val="%1"/>
      <w:lvlJc w:val="left"/>
      <w:pPr>
        <w:ind w:left="817" w:hanging="565"/>
        <w:jc w:val="left"/>
      </w:pPr>
      <w:rPr>
        <w:rFonts w:hint="default"/>
      </w:rPr>
    </w:lvl>
    <w:lvl w:ilvl="1">
      <w:start w:val="3"/>
      <w:numFmt w:val="decimal"/>
      <w:lvlText w:val="%1.%2"/>
      <w:lvlJc w:val="left"/>
      <w:pPr>
        <w:ind w:left="817" w:hanging="565"/>
        <w:jc w:val="left"/>
      </w:pPr>
      <w:rPr>
        <w:rFonts w:hint="default"/>
      </w:rPr>
    </w:lvl>
    <w:lvl w:ilvl="2">
      <w:start w:val="1"/>
      <w:numFmt w:val="decimal"/>
      <w:lvlText w:val="%1.%2.%3."/>
      <w:lvlJc w:val="left"/>
      <w:pPr>
        <w:ind w:left="817" w:hanging="565"/>
        <w:jc w:val="left"/>
      </w:pPr>
      <w:rPr>
        <w:rFonts w:ascii="Cambria" w:eastAsia="Cambria" w:hAnsi="Cambria" w:cs="Cambria" w:hint="default"/>
        <w:b/>
        <w:bCs/>
        <w:color w:val="231F20"/>
        <w:spacing w:val="-1"/>
        <w:w w:val="100"/>
        <w:sz w:val="21"/>
        <w:szCs w:val="21"/>
      </w:rPr>
    </w:lvl>
    <w:lvl w:ilvl="3">
      <w:numFmt w:val="bullet"/>
      <w:lvlText w:val="•"/>
      <w:lvlJc w:val="left"/>
      <w:pPr>
        <w:ind w:left="2729" w:hanging="565"/>
      </w:pPr>
      <w:rPr>
        <w:rFonts w:hint="default"/>
      </w:rPr>
    </w:lvl>
    <w:lvl w:ilvl="4">
      <w:numFmt w:val="bullet"/>
      <w:lvlText w:val="•"/>
      <w:lvlJc w:val="left"/>
      <w:pPr>
        <w:ind w:left="3365" w:hanging="565"/>
      </w:pPr>
      <w:rPr>
        <w:rFonts w:hint="default"/>
      </w:rPr>
    </w:lvl>
    <w:lvl w:ilvl="5">
      <w:numFmt w:val="bullet"/>
      <w:lvlText w:val="•"/>
      <w:lvlJc w:val="left"/>
      <w:pPr>
        <w:ind w:left="4001" w:hanging="565"/>
      </w:pPr>
      <w:rPr>
        <w:rFonts w:hint="default"/>
      </w:rPr>
    </w:lvl>
    <w:lvl w:ilvl="6">
      <w:numFmt w:val="bullet"/>
      <w:lvlText w:val="•"/>
      <w:lvlJc w:val="left"/>
      <w:pPr>
        <w:ind w:left="4638" w:hanging="565"/>
      </w:pPr>
      <w:rPr>
        <w:rFonts w:hint="default"/>
      </w:rPr>
    </w:lvl>
    <w:lvl w:ilvl="7">
      <w:numFmt w:val="bullet"/>
      <w:lvlText w:val="•"/>
      <w:lvlJc w:val="left"/>
      <w:pPr>
        <w:ind w:left="5274" w:hanging="565"/>
      </w:pPr>
      <w:rPr>
        <w:rFonts w:hint="default"/>
      </w:rPr>
    </w:lvl>
    <w:lvl w:ilvl="8">
      <w:numFmt w:val="bullet"/>
      <w:lvlText w:val="•"/>
      <w:lvlJc w:val="left"/>
      <w:pPr>
        <w:ind w:left="5911" w:hanging="565"/>
      </w:pPr>
      <w:rPr>
        <w:rFonts w:hint="default"/>
      </w:rPr>
    </w:lvl>
  </w:abstractNum>
  <w:abstractNum w:abstractNumId="263">
    <w:nsid w:val="615F327E"/>
    <w:multiLevelType w:val="hybridMultilevel"/>
    <w:tmpl w:val="6DDC2BAE"/>
    <w:lvl w:ilvl="0" w:tplc="1D9E8E42">
      <w:numFmt w:val="bullet"/>
      <w:lvlText w:val="–"/>
      <w:lvlJc w:val="left"/>
      <w:pPr>
        <w:ind w:left="533" w:hanging="284"/>
      </w:pPr>
      <w:rPr>
        <w:rFonts w:ascii="Cambria" w:eastAsia="Cambria" w:hAnsi="Cambria" w:cs="Cambria" w:hint="default"/>
        <w:i/>
        <w:color w:val="231F20"/>
        <w:spacing w:val="-21"/>
        <w:w w:val="100"/>
        <w:sz w:val="21"/>
        <w:szCs w:val="21"/>
      </w:rPr>
    </w:lvl>
    <w:lvl w:ilvl="1" w:tplc="EA8E0798">
      <w:numFmt w:val="bullet"/>
      <w:lvlText w:val="•"/>
      <w:lvlJc w:val="left"/>
      <w:pPr>
        <w:ind w:left="1204" w:hanging="284"/>
      </w:pPr>
      <w:rPr>
        <w:rFonts w:hint="default"/>
      </w:rPr>
    </w:lvl>
    <w:lvl w:ilvl="2" w:tplc="B6C66BB4">
      <w:numFmt w:val="bullet"/>
      <w:lvlText w:val="•"/>
      <w:lvlJc w:val="left"/>
      <w:pPr>
        <w:ind w:left="1868" w:hanging="284"/>
      </w:pPr>
      <w:rPr>
        <w:rFonts w:hint="default"/>
      </w:rPr>
    </w:lvl>
    <w:lvl w:ilvl="3" w:tplc="68702A4A">
      <w:numFmt w:val="bullet"/>
      <w:lvlText w:val="•"/>
      <w:lvlJc w:val="left"/>
      <w:pPr>
        <w:ind w:left="2533" w:hanging="284"/>
      </w:pPr>
      <w:rPr>
        <w:rFonts w:hint="default"/>
      </w:rPr>
    </w:lvl>
    <w:lvl w:ilvl="4" w:tplc="B49A29F6">
      <w:numFmt w:val="bullet"/>
      <w:lvlText w:val="•"/>
      <w:lvlJc w:val="left"/>
      <w:pPr>
        <w:ind w:left="3197" w:hanging="284"/>
      </w:pPr>
      <w:rPr>
        <w:rFonts w:hint="default"/>
      </w:rPr>
    </w:lvl>
    <w:lvl w:ilvl="5" w:tplc="17C2DED0">
      <w:numFmt w:val="bullet"/>
      <w:lvlText w:val="•"/>
      <w:lvlJc w:val="left"/>
      <w:pPr>
        <w:ind w:left="3861" w:hanging="284"/>
      </w:pPr>
      <w:rPr>
        <w:rFonts w:hint="default"/>
      </w:rPr>
    </w:lvl>
    <w:lvl w:ilvl="6" w:tplc="87B47C8C">
      <w:numFmt w:val="bullet"/>
      <w:lvlText w:val="•"/>
      <w:lvlJc w:val="left"/>
      <w:pPr>
        <w:ind w:left="4526" w:hanging="284"/>
      </w:pPr>
      <w:rPr>
        <w:rFonts w:hint="default"/>
      </w:rPr>
    </w:lvl>
    <w:lvl w:ilvl="7" w:tplc="666224DA">
      <w:numFmt w:val="bullet"/>
      <w:lvlText w:val="•"/>
      <w:lvlJc w:val="left"/>
      <w:pPr>
        <w:ind w:left="5190" w:hanging="284"/>
      </w:pPr>
      <w:rPr>
        <w:rFonts w:hint="default"/>
      </w:rPr>
    </w:lvl>
    <w:lvl w:ilvl="8" w:tplc="0132199A">
      <w:numFmt w:val="bullet"/>
      <w:lvlText w:val="•"/>
      <w:lvlJc w:val="left"/>
      <w:pPr>
        <w:ind w:left="5855" w:hanging="284"/>
      </w:pPr>
      <w:rPr>
        <w:rFonts w:hint="default"/>
      </w:rPr>
    </w:lvl>
  </w:abstractNum>
  <w:abstractNum w:abstractNumId="264">
    <w:nsid w:val="616F2637"/>
    <w:multiLevelType w:val="multilevel"/>
    <w:tmpl w:val="13366206"/>
    <w:lvl w:ilvl="0">
      <w:start w:val="1"/>
      <w:numFmt w:val="decimal"/>
      <w:lvlText w:val="%1"/>
      <w:lvlJc w:val="left"/>
      <w:pPr>
        <w:ind w:left="1605" w:hanging="411"/>
        <w:jc w:val="left"/>
      </w:pPr>
      <w:rPr>
        <w:rFonts w:hint="default"/>
      </w:rPr>
    </w:lvl>
    <w:lvl w:ilvl="1">
      <w:start w:val="3"/>
      <w:numFmt w:val="decimal"/>
      <w:lvlText w:val="%1.%2."/>
      <w:lvlJc w:val="left"/>
      <w:pPr>
        <w:ind w:left="1605" w:hanging="411"/>
        <w:jc w:val="right"/>
      </w:pPr>
      <w:rPr>
        <w:rFonts w:ascii="Cambria" w:eastAsia="Cambria" w:hAnsi="Cambria" w:cs="Cambria" w:hint="default"/>
        <w:b/>
        <w:bCs/>
        <w:color w:val="231F20"/>
        <w:spacing w:val="-1"/>
        <w:w w:val="100"/>
        <w:sz w:val="22"/>
        <w:szCs w:val="22"/>
      </w:rPr>
    </w:lvl>
    <w:lvl w:ilvl="2">
      <w:numFmt w:val="bullet"/>
      <w:lvlText w:val="•"/>
      <w:lvlJc w:val="left"/>
      <w:pPr>
        <w:ind w:left="2716" w:hanging="411"/>
      </w:pPr>
      <w:rPr>
        <w:rFonts w:hint="default"/>
      </w:rPr>
    </w:lvl>
    <w:lvl w:ilvl="3">
      <w:numFmt w:val="bullet"/>
      <w:lvlText w:val="•"/>
      <w:lvlJc w:val="left"/>
      <w:pPr>
        <w:ind w:left="3275" w:hanging="411"/>
      </w:pPr>
      <w:rPr>
        <w:rFonts w:hint="default"/>
      </w:rPr>
    </w:lvl>
    <w:lvl w:ilvl="4">
      <w:numFmt w:val="bullet"/>
      <w:lvlText w:val="•"/>
      <w:lvlJc w:val="left"/>
      <w:pPr>
        <w:ind w:left="3833" w:hanging="411"/>
      </w:pPr>
      <w:rPr>
        <w:rFonts w:hint="default"/>
      </w:rPr>
    </w:lvl>
    <w:lvl w:ilvl="5">
      <w:numFmt w:val="bullet"/>
      <w:lvlText w:val="•"/>
      <w:lvlJc w:val="left"/>
      <w:pPr>
        <w:ind w:left="4391" w:hanging="411"/>
      </w:pPr>
      <w:rPr>
        <w:rFonts w:hint="default"/>
      </w:rPr>
    </w:lvl>
    <w:lvl w:ilvl="6">
      <w:numFmt w:val="bullet"/>
      <w:lvlText w:val="•"/>
      <w:lvlJc w:val="left"/>
      <w:pPr>
        <w:ind w:left="4950" w:hanging="411"/>
      </w:pPr>
      <w:rPr>
        <w:rFonts w:hint="default"/>
      </w:rPr>
    </w:lvl>
    <w:lvl w:ilvl="7">
      <w:numFmt w:val="bullet"/>
      <w:lvlText w:val="•"/>
      <w:lvlJc w:val="left"/>
      <w:pPr>
        <w:ind w:left="5508" w:hanging="411"/>
      </w:pPr>
      <w:rPr>
        <w:rFonts w:hint="default"/>
      </w:rPr>
    </w:lvl>
    <w:lvl w:ilvl="8">
      <w:numFmt w:val="bullet"/>
      <w:lvlText w:val="•"/>
      <w:lvlJc w:val="left"/>
      <w:pPr>
        <w:ind w:left="6067" w:hanging="411"/>
      </w:pPr>
      <w:rPr>
        <w:rFonts w:hint="default"/>
      </w:rPr>
    </w:lvl>
  </w:abstractNum>
  <w:abstractNum w:abstractNumId="265">
    <w:nsid w:val="62342191"/>
    <w:multiLevelType w:val="hybridMultilevel"/>
    <w:tmpl w:val="BACCBB40"/>
    <w:lvl w:ilvl="0" w:tplc="137A7D98">
      <w:start w:val="3"/>
      <w:numFmt w:val="decimal"/>
      <w:lvlText w:val="%1."/>
      <w:lvlJc w:val="left"/>
      <w:pPr>
        <w:ind w:left="533" w:hanging="284"/>
        <w:jc w:val="right"/>
      </w:pPr>
      <w:rPr>
        <w:rFonts w:ascii="Cambria" w:eastAsia="Cambria" w:hAnsi="Cambria" w:cs="Cambria" w:hint="default"/>
        <w:b/>
        <w:bCs/>
        <w:color w:val="231F20"/>
        <w:spacing w:val="-22"/>
        <w:w w:val="100"/>
        <w:sz w:val="21"/>
        <w:szCs w:val="21"/>
      </w:rPr>
    </w:lvl>
    <w:lvl w:ilvl="1" w:tplc="97BEEBAA">
      <w:numFmt w:val="bullet"/>
      <w:lvlText w:val="•"/>
      <w:lvlJc w:val="left"/>
      <w:pPr>
        <w:ind w:left="1204" w:hanging="284"/>
      </w:pPr>
      <w:rPr>
        <w:rFonts w:hint="default"/>
      </w:rPr>
    </w:lvl>
    <w:lvl w:ilvl="2" w:tplc="7A0C9982">
      <w:numFmt w:val="bullet"/>
      <w:lvlText w:val="•"/>
      <w:lvlJc w:val="left"/>
      <w:pPr>
        <w:ind w:left="1868" w:hanging="284"/>
      </w:pPr>
      <w:rPr>
        <w:rFonts w:hint="default"/>
      </w:rPr>
    </w:lvl>
    <w:lvl w:ilvl="3" w:tplc="82128FC0">
      <w:numFmt w:val="bullet"/>
      <w:lvlText w:val="•"/>
      <w:lvlJc w:val="left"/>
      <w:pPr>
        <w:ind w:left="2533" w:hanging="284"/>
      </w:pPr>
      <w:rPr>
        <w:rFonts w:hint="default"/>
      </w:rPr>
    </w:lvl>
    <w:lvl w:ilvl="4" w:tplc="1CAA087C">
      <w:numFmt w:val="bullet"/>
      <w:lvlText w:val="•"/>
      <w:lvlJc w:val="left"/>
      <w:pPr>
        <w:ind w:left="3197" w:hanging="284"/>
      </w:pPr>
      <w:rPr>
        <w:rFonts w:hint="default"/>
      </w:rPr>
    </w:lvl>
    <w:lvl w:ilvl="5" w:tplc="C6205382">
      <w:numFmt w:val="bullet"/>
      <w:lvlText w:val="•"/>
      <w:lvlJc w:val="left"/>
      <w:pPr>
        <w:ind w:left="3861" w:hanging="284"/>
      </w:pPr>
      <w:rPr>
        <w:rFonts w:hint="default"/>
      </w:rPr>
    </w:lvl>
    <w:lvl w:ilvl="6" w:tplc="0290D12A">
      <w:numFmt w:val="bullet"/>
      <w:lvlText w:val="•"/>
      <w:lvlJc w:val="left"/>
      <w:pPr>
        <w:ind w:left="4526" w:hanging="284"/>
      </w:pPr>
      <w:rPr>
        <w:rFonts w:hint="default"/>
      </w:rPr>
    </w:lvl>
    <w:lvl w:ilvl="7" w:tplc="E3C6BC42">
      <w:numFmt w:val="bullet"/>
      <w:lvlText w:val="•"/>
      <w:lvlJc w:val="left"/>
      <w:pPr>
        <w:ind w:left="5190" w:hanging="284"/>
      </w:pPr>
      <w:rPr>
        <w:rFonts w:hint="default"/>
      </w:rPr>
    </w:lvl>
    <w:lvl w:ilvl="8" w:tplc="DE46B322">
      <w:numFmt w:val="bullet"/>
      <w:lvlText w:val="•"/>
      <w:lvlJc w:val="left"/>
      <w:pPr>
        <w:ind w:left="5855" w:hanging="284"/>
      </w:pPr>
      <w:rPr>
        <w:rFonts w:hint="default"/>
      </w:rPr>
    </w:lvl>
  </w:abstractNum>
  <w:abstractNum w:abstractNumId="266">
    <w:nsid w:val="626C18F6"/>
    <w:multiLevelType w:val="hybridMultilevel"/>
    <w:tmpl w:val="959AB810"/>
    <w:lvl w:ilvl="0" w:tplc="D46A65E2">
      <w:numFmt w:val="bullet"/>
      <w:lvlText w:val="–"/>
      <w:lvlJc w:val="left"/>
      <w:pPr>
        <w:ind w:left="533" w:hanging="284"/>
      </w:pPr>
      <w:rPr>
        <w:rFonts w:ascii="Cambria" w:eastAsia="Cambria" w:hAnsi="Cambria" w:cs="Cambria" w:hint="default"/>
        <w:color w:val="231F20"/>
        <w:spacing w:val="-14"/>
        <w:w w:val="100"/>
        <w:sz w:val="21"/>
        <w:szCs w:val="21"/>
      </w:rPr>
    </w:lvl>
    <w:lvl w:ilvl="1" w:tplc="0FA485CE">
      <w:numFmt w:val="bullet"/>
      <w:lvlText w:val="•"/>
      <w:lvlJc w:val="left"/>
      <w:pPr>
        <w:ind w:left="1204" w:hanging="284"/>
      </w:pPr>
      <w:rPr>
        <w:rFonts w:hint="default"/>
      </w:rPr>
    </w:lvl>
    <w:lvl w:ilvl="2" w:tplc="AD9E341C">
      <w:numFmt w:val="bullet"/>
      <w:lvlText w:val="•"/>
      <w:lvlJc w:val="left"/>
      <w:pPr>
        <w:ind w:left="1868" w:hanging="284"/>
      </w:pPr>
      <w:rPr>
        <w:rFonts w:hint="default"/>
      </w:rPr>
    </w:lvl>
    <w:lvl w:ilvl="3" w:tplc="927ABBD6">
      <w:numFmt w:val="bullet"/>
      <w:lvlText w:val="•"/>
      <w:lvlJc w:val="left"/>
      <w:pPr>
        <w:ind w:left="2533" w:hanging="284"/>
      </w:pPr>
      <w:rPr>
        <w:rFonts w:hint="default"/>
      </w:rPr>
    </w:lvl>
    <w:lvl w:ilvl="4" w:tplc="A330DA04">
      <w:numFmt w:val="bullet"/>
      <w:lvlText w:val="•"/>
      <w:lvlJc w:val="left"/>
      <w:pPr>
        <w:ind w:left="3197" w:hanging="284"/>
      </w:pPr>
      <w:rPr>
        <w:rFonts w:hint="default"/>
      </w:rPr>
    </w:lvl>
    <w:lvl w:ilvl="5" w:tplc="81CE332E">
      <w:numFmt w:val="bullet"/>
      <w:lvlText w:val="•"/>
      <w:lvlJc w:val="left"/>
      <w:pPr>
        <w:ind w:left="3861" w:hanging="284"/>
      </w:pPr>
      <w:rPr>
        <w:rFonts w:hint="default"/>
      </w:rPr>
    </w:lvl>
    <w:lvl w:ilvl="6" w:tplc="C4D21EE0">
      <w:numFmt w:val="bullet"/>
      <w:lvlText w:val="•"/>
      <w:lvlJc w:val="left"/>
      <w:pPr>
        <w:ind w:left="4526" w:hanging="284"/>
      </w:pPr>
      <w:rPr>
        <w:rFonts w:hint="default"/>
      </w:rPr>
    </w:lvl>
    <w:lvl w:ilvl="7" w:tplc="CF64E764">
      <w:numFmt w:val="bullet"/>
      <w:lvlText w:val="•"/>
      <w:lvlJc w:val="left"/>
      <w:pPr>
        <w:ind w:left="5190" w:hanging="284"/>
      </w:pPr>
      <w:rPr>
        <w:rFonts w:hint="default"/>
      </w:rPr>
    </w:lvl>
    <w:lvl w:ilvl="8" w:tplc="7EC0FABA">
      <w:numFmt w:val="bullet"/>
      <w:lvlText w:val="•"/>
      <w:lvlJc w:val="left"/>
      <w:pPr>
        <w:ind w:left="5855" w:hanging="284"/>
      </w:pPr>
      <w:rPr>
        <w:rFonts w:hint="default"/>
      </w:rPr>
    </w:lvl>
  </w:abstractNum>
  <w:abstractNum w:abstractNumId="267">
    <w:nsid w:val="62B32756"/>
    <w:multiLevelType w:val="multilevel"/>
    <w:tmpl w:val="F88CAEA0"/>
    <w:lvl w:ilvl="0">
      <w:start w:val="3"/>
      <w:numFmt w:val="decimal"/>
      <w:lvlText w:val="%1"/>
      <w:lvlJc w:val="left"/>
      <w:pPr>
        <w:ind w:left="930" w:hanging="397"/>
        <w:jc w:val="left"/>
      </w:pPr>
      <w:rPr>
        <w:rFonts w:hint="default"/>
      </w:rPr>
    </w:lvl>
    <w:lvl w:ilvl="1">
      <w:start w:val="1"/>
      <w:numFmt w:val="decimal"/>
      <w:lvlText w:val="%1.%2."/>
      <w:lvlJc w:val="left"/>
      <w:pPr>
        <w:ind w:left="930" w:hanging="397"/>
        <w:jc w:val="right"/>
      </w:pPr>
      <w:rPr>
        <w:rFonts w:ascii="Cambria" w:eastAsia="Cambria" w:hAnsi="Cambria" w:cs="Cambria" w:hint="default"/>
        <w:b/>
        <w:bCs/>
        <w:color w:val="231F20"/>
        <w:spacing w:val="-1"/>
        <w:w w:val="100"/>
        <w:sz w:val="21"/>
        <w:szCs w:val="21"/>
      </w:rPr>
    </w:lvl>
    <w:lvl w:ilvl="2">
      <w:start w:val="1"/>
      <w:numFmt w:val="decimal"/>
      <w:lvlText w:val="%1.%2.%3."/>
      <w:lvlJc w:val="left"/>
      <w:pPr>
        <w:ind w:left="1497" w:hanging="567"/>
        <w:jc w:val="left"/>
      </w:pPr>
      <w:rPr>
        <w:rFonts w:ascii="Cambria" w:eastAsia="Cambria" w:hAnsi="Cambria" w:cs="Cambria" w:hint="default"/>
        <w:color w:val="231F20"/>
        <w:spacing w:val="-4"/>
        <w:w w:val="81"/>
        <w:sz w:val="21"/>
        <w:szCs w:val="21"/>
      </w:rPr>
    </w:lvl>
    <w:lvl w:ilvl="3">
      <w:numFmt w:val="bullet"/>
      <w:lvlText w:val="•"/>
      <w:lvlJc w:val="left"/>
      <w:pPr>
        <w:ind w:left="2763" w:hanging="567"/>
      </w:pPr>
      <w:rPr>
        <w:rFonts w:hint="default"/>
      </w:rPr>
    </w:lvl>
    <w:lvl w:ilvl="4">
      <w:numFmt w:val="bullet"/>
      <w:lvlText w:val="•"/>
      <w:lvlJc w:val="left"/>
      <w:pPr>
        <w:ind w:left="3394" w:hanging="567"/>
      </w:pPr>
      <w:rPr>
        <w:rFonts w:hint="default"/>
      </w:rPr>
    </w:lvl>
    <w:lvl w:ilvl="5">
      <w:numFmt w:val="bullet"/>
      <w:lvlText w:val="•"/>
      <w:lvlJc w:val="left"/>
      <w:pPr>
        <w:ind w:left="4026" w:hanging="567"/>
      </w:pPr>
      <w:rPr>
        <w:rFonts w:hint="default"/>
      </w:rPr>
    </w:lvl>
    <w:lvl w:ilvl="6">
      <w:numFmt w:val="bullet"/>
      <w:lvlText w:val="•"/>
      <w:lvlJc w:val="left"/>
      <w:pPr>
        <w:ind w:left="4657" w:hanging="567"/>
      </w:pPr>
      <w:rPr>
        <w:rFonts w:hint="default"/>
      </w:rPr>
    </w:lvl>
    <w:lvl w:ilvl="7">
      <w:numFmt w:val="bullet"/>
      <w:lvlText w:val="•"/>
      <w:lvlJc w:val="left"/>
      <w:pPr>
        <w:ind w:left="5289" w:hanging="567"/>
      </w:pPr>
      <w:rPr>
        <w:rFonts w:hint="default"/>
      </w:rPr>
    </w:lvl>
    <w:lvl w:ilvl="8">
      <w:numFmt w:val="bullet"/>
      <w:lvlText w:val="•"/>
      <w:lvlJc w:val="left"/>
      <w:pPr>
        <w:ind w:left="5920" w:hanging="567"/>
      </w:pPr>
      <w:rPr>
        <w:rFonts w:hint="default"/>
      </w:rPr>
    </w:lvl>
  </w:abstractNum>
  <w:abstractNum w:abstractNumId="268">
    <w:nsid w:val="62F069F4"/>
    <w:multiLevelType w:val="multilevel"/>
    <w:tmpl w:val="CA9C43CA"/>
    <w:lvl w:ilvl="0">
      <w:start w:val="5"/>
      <w:numFmt w:val="decimal"/>
      <w:lvlText w:val="%1"/>
      <w:lvlJc w:val="left"/>
      <w:pPr>
        <w:ind w:left="958" w:hanging="411"/>
        <w:jc w:val="left"/>
      </w:pPr>
      <w:rPr>
        <w:rFonts w:hint="default"/>
      </w:rPr>
    </w:lvl>
    <w:lvl w:ilvl="1">
      <w:start w:val="3"/>
      <w:numFmt w:val="decimal"/>
      <w:lvlText w:val="%1.%2."/>
      <w:lvlJc w:val="left"/>
      <w:pPr>
        <w:ind w:left="958" w:hanging="411"/>
        <w:jc w:val="right"/>
      </w:pPr>
      <w:rPr>
        <w:rFonts w:ascii="Cambria" w:eastAsia="Cambria" w:hAnsi="Cambria" w:cs="Cambria" w:hint="default"/>
        <w:b/>
        <w:bCs/>
        <w:color w:val="231F20"/>
        <w:spacing w:val="-1"/>
        <w:w w:val="100"/>
        <w:sz w:val="22"/>
        <w:szCs w:val="22"/>
      </w:rPr>
    </w:lvl>
    <w:lvl w:ilvl="2">
      <w:start w:val="1"/>
      <w:numFmt w:val="decimal"/>
      <w:lvlText w:val="%3)"/>
      <w:lvlJc w:val="left"/>
      <w:pPr>
        <w:ind w:left="817" w:hanging="284"/>
        <w:jc w:val="left"/>
      </w:pPr>
      <w:rPr>
        <w:rFonts w:ascii="Cambria" w:eastAsia="Cambria" w:hAnsi="Cambria" w:cs="Cambria" w:hint="default"/>
        <w:color w:val="231F20"/>
        <w:spacing w:val="-6"/>
        <w:w w:val="100"/>
        <w:sz w:val="21"/>
        <w:szCs w:val="21"/>
      </w:rPr>
    </w:lvl>
    <w:lvl w:ilvl="3">
      <w:numFmt w:val="bullet"/>
      <w:lvlText w:val="•"/>
      <w:lvlJc w:val="left"/>
      <w:pPr>
        <w:ind w:left="2343" w:hanging="284"/>
      </w:pPr>
      <w:rPr>
        <w:rFonts w:hint="default"/>
      </w:rPr>
    </w:lvl>
    <w:lvl w:ilvl="4">
      <w:numFmt w:val="bullet"/>
      <w:lvlText w:val="•"/>
      <w:lvlJc w:val="left"/>
      <w:pPr>
        <w:ind w:left="3034" w:hanging="284"/>
      </w:pPr>
      <w:rPr>
        <w:rFonts w:hint="default"/>
      </w:rPr>
    </w:lvl>
    <w:lvl w:ilvl="5">
      <w:numFmt w:val="bullet"/>
      <w:lvlText w:val="•"/>
      <w:lvlJc w:val="left"/>
      <w:pPr>
        <w:ind w:left="3726" w:hanging="284"/>
      </w:pPr>
      <w:rPr>
        <w:rFonts w:hint="default"/>
      </w:rPr>
    </w:lvl>
    <w:lvl w:ilvl="6">
      <w:numFmt w:val="bullet"/>
      <w:lvlText w:val="•"/>
      <w:lvlJc w:val="left"/>
      <w:pPr>
        <w:ind w:left="4417" w:hanging="284"/>
      </w:pPr>
      <w:rPr>
        <w:rFonts w:hint="default"/>
      </w:rPr>
    </w:lvl>
    <w:lvl w:ilvl="7">
      <w:numFmt w:val="bullet"/>
      <w:lvlText w:val="•"/>
      <w:lvlJc w:val="left"/>
      <w:pPr>
        <w:ind w:left="5109" w:hanging="284"/>
      </w:pPr>
      <w:rPr>
        <w:rFonts w:hint="default"/>
      </w:rPr>
    </w:lvl>
    <w:lvl w:ilvl="8">
      <w:numFmt w:val="bullet"/>
      <w:lvlText w:val="•"/>
      <w:lvlJc w:val="left"/>
      <w:pPr>
        <w:ind w:left="5800" w:hanging="284"/>
      </w:pPr>
      <w:rPr>
        <w:rFonts w:hint="default"/>
      </w:rPr>
    </w:lvl>
  </w:abstractNum>
  <w:abstractNum w:abstractNumId="269">
    <w:nsid w:val="62F52AA1"/>
    <w:multiLevelType w:val="hybridMultilevel"/>
    <w:tmpl w:val="4FAE5B7E"/>
    <w:lvl w:ilvl="0" w:tplc="50901D78">
      <w:numFmt w:val="bullet"/>
      <w:lvlText w:val="–"/>
      <w:lvlJc w:val="left"/>
      <w:pPr>
        <w:ind w:left="250" w:hanging="284"/>
      </w:pPr>
      <w:rPr>
        <w:rFonts w:ascii="Cambria" w:eastAsia="Cambria" w:hAnsi="Cambria" w:cs="Cambria" w:hint="default"/>
        <w:color w:val="231F20"/>
        <w:spacing w:val="-22"/>
        <w:w w:val="100"/>
        <w:sz w:val="21"/>
        <w:szCs w:val="21"/>
      </w:rPr>
    </w:lvl>
    <w:lvl w:ilvl="1" w:tplc="F9782BA2">
      <w:numFmt w:val="bullet"/>
      <w:lvlText w:val="•"/>
      <w:lvlJc w:val="left"/>
      <w:pPr>
        <w:ind w:left="952" w:hanging="284"/>
      </w:pPr>
      <w:rPr>
        <w:rFonts w:hint="default"/>
      </w:rPr>
    </w:lvl>
    <w:lvl w:ilvl="2" w:tplc="4BE612E2">
      <w:numFmt w:val="bullet"/>
      <w:lvlText w:val="•"/>
      <w:lvlJc w:val="left"/>
      <w:pPr>
        <w:ind w:left="1644" w:hanging="284"/>
      </w:pPr>
      <w:rPr>
        <w:rFonts w:hint="default"/>
      </w:rPr>
    </w:lvl>
    <w:lvl w:ilvl="3" w:tplc="B6B851AC">
      <w:numFmt w:val="bullet"/>
      <w:lvlText w:val="•"/>
      <w:lvlJc w:val="left"/>
      <w:pPr>
        <w:ind w:left="2337" w:hanging="284"/>
      </w:pPr>
      <w:rPr>
        <w:rFonts w:hint="default"/>
      </w:rPr>
    </w:lvl>
    <w:lvl w:ilvl="4" w:tplc="A6160DD6">
      <w:numFmt w:val="bullet"/>
      <w:lvlText w:val="•"/>
      <w:lvlJc w:val="left"/>
      <w:pPr>
        <w:ind w:left="3029" w:hanging="284"/>
      </w:pPr>
      <w:rPr>
        <w:rFonts w:hint="default"/>
      </w:rPr>
    </w:lvl>
    <w:lvl w:ilvl="5" w:tplc="301C2F3C">
      <w:numFmt w:val="bullet"/>
      <w:lvlText w:val="•"/>
      <w:lvlJc w:val="left"/>
      <w:pPr>
        <w:ind w:left="3721" w:hanging="284"/>
      </w:pPr>
      <w:rPr>
        <w:rFonts w:hint="default"/>
      </w:rPr>
    </w:lvl>
    <w:lvl w:ilvl="6" w:tplc="779AEBB6">
      <w:numFmt w:val="bullet"/>
      <w:lvlText w:val="•"/>
      <w:lvlJc w:val="left"/>
      <w:pPr>
        <w:ind w:left="4414" w:hanging="284"/>
      </w:pPr>
      <w:rPr>
        <w:rFonts w:hint="default"/>
      </w:rPr>
    </w:lvl>
    <w:lvl w:ilvl="7" w:tplc="4A586954">
      <w:numFmt w:val="bullet"/>
      <w:lvlText w:val="•"/>
      <w:lvlJc w:val="left"/>
      <w:pPr>
        <w:ind w:left="5106" w:hanging="284"/>
      </w:pPr>
      <w:rPr>
        <w:rFonts w:hint="default"/>
      </w:rPr>
    </w:lvl>
    <w:lvl w:ilvl="8" w:tplc="42C01A58">
      <w:numFmt w:val="bullet"/>
      <w:lvlText w:val="•"/>
      <w:lvlJc w:val="left"/>
      <w:pPr>
        <w:ind w:left="5799" w:hanging="284"/>
      </w:pPr>
      <w:rPr>
        <w:rFonts w:hint="default"/>
      </w:rPr>
    </w:lvl>
  </w:abstractNum>
  <w:abstractNum w:abstractNumId="270">
    <w:nsid w:val="632F4189"/>
    <w:multiLevelType w:val="hybridMultilevel"/>
    <w:tmpl w:val="F1F4C9CC"/>
    <w:lvl w:ilvl="0" w:tplc="325EC882">
      <w:numFmt w:val="bullet"/>
      <w:lvlText w:val=""/>
      <w:lvlJc w:val="left"/>
      <w:pPr>
        <w:ind w:left="533" w:hanging="284"/>
      </w:pPr>
      <w:rPr>
        <w:rFonts w:ascii="Wingdings" w:eastAsia="Wingdings" w:hAnsi="Wingdings" w:cs="Wingdings" w:hint="default"/>
        <w:color w:val="231F20"/>
        <w:w w:val="100"/>
        <w:sz w:val="21"/>
        <w:szCs w:val="21"/>
      </w:rPr>
    </w:lvl>
    <w:lvl w:ilvl="1" w:tplc="BEF8E85A">
      <w:numFmt w:val="bullet"/>
      <w:lvlText w:val="•"/>
      <w:lvlJc w:val="left"/>
      <w:pPr>
        <w:ind w:left="1204" w:hanging="284"/>
      </w:pPr>
      <w:rPr>
        <w:rFonts w:hint="default"/>
      </w:rPr>
    </w:lvl>
    <w:lvl w:ilvl="2" w:tplc="466C1C92">
      <w:numFmt w:val="bullet"/>
      <w:lvlText w:val="•"/>
      <w:lvlJc w:val="left"/>
      <w:pPr>
        <w:ind w:left="1868" w:hanging="284"/>
      </w:pPr>
      <w:rPr>
        <w:rFonts w:hint="default"/>
      </w:rPr>
    </w:lvl>
    <w:lvl w:ilvl="3" w:tplc="6FB612BC">
      <w:numFmt w:val="bullet"/>
      <w:lvlText w:val="•"/>
      <w:lvlJc w:val="left"/>
      <w:pPr>
        <w:ind w:left="2533" w:hanging="284"/>
      </w:pPr>
      <w:rPr>
        <w:rFonts w:hint="default"/>
      </w:rPr>
    </w:lvl>
    <w:lvl w:ilvl="4" w:tplc="1F78BAB0">
      <w:numFmt w:val="bullet"/>
      <w:lvlText w:val="•"/>
      <w:lvlJc w:val="left"/>
      <w:pPr>
        <w:ind w:left="3197" w:hanging="284"/>
      </w:pPr>
      <w:rPr>
        <w:rFonts w:hint="default"/>
      </w:rPr>
    </w:lvl>
    <w:lvl w:ilvl="5" w:tplc="8E364D00">
      <w:numFmt w:val="bullet"/>
      <w:lvlText w:val="•"/>
      <w:lvlJc w:val="left"/>
      <w:pPr>
        <w:ind w:left="3861" w:hanging="284"/>
      </w:pPr>
      <w:rPr>
        <w:rFonts w:hint="default"/>
      </w:rPr>
    </w:lvl>
    <w:lvl w:ilvl="6" w:tplc="59801188">
      <w:numFmt w:val="bullet"/>
      <w:lvlText w:val="•"/>
      <w:lvlJc w:val="left"/>
      <w:pPr>
        <w:ind w:left="4526" w:hanging="284"/>
      </w:pPr>
      <w:rPr>
        <w:rFonts w:hint="default"/>
      </w:rPr>
    </w:lvl>
    <w:lvl w:ilvl="7" w:tplc="DA3AA304">
      <w:numFmt w:val="bullet"/>
      <w:lvlText w:val="•"/>
      <w:lvlJc w:val="left"/>
      <w:pPr>
        <w:ind w:left="5190" w:hanging="284"/>
      </w:pPr>
      <w:rPr>
        <w:rFonts w:hint="default"/>
      </w:rPr>
    </w:lvl>
    <w:lvl w:ilvl="8" w:tplc="82D476CC">
      <w:numFmt w:val="bullet"/>
      <w:lvlText w:val="•"/>
      <w:lvlJc w:val="left"/>
      <w:pPr>
        <w:ind w:left="5855" w:hanging="284"/>
      </w:pPr>
      <w:rPr>
        <w:rFonts w:hint="default"/>
      </w:rPr>
    </w:lvl>
  </w:abstractNum>
  <w:abstractNum w:abstractNumId="271">
    <w:nsid w:val="633D6E8E"/>
    <w:multiLevelType w:val="hybridMultilevel"/>
    <w:tmpl w:val="13587EF4"/>
    <w:lvl w:ilvl="0" w:tplc="C236356A">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846E0212">
      <w:numFmt w:val="bullet"/>
      <w:lvlText w:val="•"/>
      <w:lvlJc w:val="left"/>
      <w:pPr>
        <w:ind w:left="1204" w:hanging="284"/>
      </w:pPr>
      <w:rPr>
        <w:rFonts w:hint="default"/>
      </w:rPr>
    </w:lvl>
    <w:lvl w:ilvl="2" w:tplc="B4E08424">
      <w:numFmt w:val="bullet"/>
      <w:lvlText w:val="•"/>
      <w:lvlJc w:val="left"/>
      <w:pPr>
        <w:ind w:left="1868" w:hanging="284"/>
      </w:pPr>
      <w:rPr>
        <w:rFonts w:hint="default"/>
      </w:rPr>
    </w:lvl>
    <w:lvl w:ilvl="3" w:tplc="CA4202EC">
      <w:numFmt w:val="bullet"/>
      <w:lvlText w:val="•"/>
      <w:lvlJc w:val="left"/>
      <w:pPr>
        <w:ind w:left="2533" w:hanging="284"/>
      </w:pPr>
      <w:rPr>
        <w:rFonts w:hint="default"/>
      </w:rPr>
    </w:lvl>
    <w:lvl w:ilvl="4" w:tplc="8F4273A4">
      <w:numFmt w:val="bullet"/>
      <w:lvlText w:val="•"/>
      <w:lvlJc w:val="left"/>
      <w:pPr>
        <w:ind w:left="3197" w:hanging="284"/>
      </w:pPr>
      <w:rPr>
        <w:rFonts w:hint="default"/>
      </w:rPr>
    </w:lvl>
    <w:lvl w:ilvl="5" w:tplc="CFA69616">
      <w:numFmt w:val="bullet"/>
      <w:lvlText w:val="•"/>
      <w:lvlJc w:val="left"/>
      <w:pPr>
        <w:ind w:left="3861" w:hanging="284"/>
      </w:pPr>
      <w:rPr>
        <w:rFonts w:hint="default"/>
      </w:rPr>
    </w:lvl>
    <w:lvl w:ilvl="6" w:tplc="4C166B86">
      <w:numFmt w:val="bullet"/>
      <w:lvlText w:val="•"/>
      <w:lvlJc w:val="left"/>
      <w:pPr>
        <w:ind w:left="4526" w:hanging="284"/>
      </w:pPr>
      <w:rPr>
        <w:rFonts w:hint="default"/>
      </w:rPr>
    </w:lvl>
    <w:lvl w:ilvl="7" w:tplc="4F561392">
      <w:numFmt w:val="bullet"/>
      <w:lvlText w:val="•"/>
      <w:lvlJc w:val="left"/>
      <w:pPr>
        <w:ind w:left="5190" w:hanging="284"/>
      </w:pPr>
      <w:rPr>
        <w:rFonts w:hint="default"/>
      </w:rPr>
    </w:lvl>
    <w:lvl w:ilvl="8" w:tplc="13528C40">
      <w:numFmt w:val="bullet"/>
      <w:lvlText w:val="•"/>
      <w:lvlJc w:val="left"/>
      <w:pPr>
        <w:ind w:left="5855" w:hanging="284"/>
      </w:pPr>
      <w:rPr>
        <w:rFonts w:hint="default"/>
      </w:rPr>
    </w:lvl>
  </w:abstractNum>
  <w:abstractNum w:abstractNumId="272">
    <w:nsid w:val="63696CB9"/>
    <w:multiLevelType w:val="hybridMultilevel"/>
    <w:tmpl w:val="97983A92"/>
    <w:lvl w:ilvl="0" w:tplc="486A5706">
      <w:numFmt w:val="bullet"/>
      <w:lvlText w:val=""/>
      <w:lvlJc w:val="left"/>
      <w:pPr>
        <w:ind w:left="250" w:hanging="284"/>
      </w:pPr>
      <w:rPr>
        <w:rFonts w:ascii="Wingdings" w:eastAsia="Wingdings" w:hAnsi="Wingdings" w:cs="Wingdings" w:hint="default"/>
        <w:color w:val="231F20"/>
        <w:w w:val="100"/>
        <w:sz w:val="21"/>
        <w:szCs w:val="21"/>
      </w:rPr>
    </w:lvl>
    <w:lvl w:ilvl="1" w:tplc="09B47E52">
      <w:numFmt w:val="bullet"/>
      <w:lvlText w:val="•"/>
      <w:lvlJc w:val="left"/>
      <w:pPr>
        <w:ind w:left="952" w:hanging="284"/>
      </w:pPr>
      <w:rPr>
        <w:rFonts w:hint="default"/>
      </w:rPr>
    </w:lvl>
    <w:lvl w:ilvl="2" w:tplc="93D62650">
      <w:numFmt w:val="bullet"/>
      <w:lvlText w:val="•"/>
      <w:lvlJc w:val="left"/>
      <w:pPr>
        <w:ind w:left="1644" w:hanging="284"/>
      </w:pPr>
      <w:rPr>
        <w:rFonts w:hint="default"/>
      </w:rPr>
    </w:lvl>
    <w:lvl w:ilvl="3" w:tplc="17CC6ACE">
      <w:numFmt w:val="bullet"/>
      <w:lvlText w:val="•"/>
      <w:lvlJc w:val="left"/>
      <w:pPr>
        <w:ind w:left="2337" w:hanging="284"/>
      </w:pPr>
      <w:rPr>
        <w:rFonts w:hint="default"/>
      </w:rPr>
    </w:lvl>
    <w:lvl w:ilvl="4" w:tplc="F09ACC7C">
      <w:numFmt w:val="bullet"/>
      <w:lvlText w:val="•"/>
      <w:lvlJc w:val="left"/>
      <w:pPr>
        <w:ind w:left="3029" w:hanging="284"/>
      </w:pPr>
      <w:rPr>
        <w:rFonts w:hint="default"/>
      </w:rPr>
    </w:lvl>
    <w:lvl w:ilvl="5" w:tplc="64941E96">
      <w:numFmt w:val="bullet"/>
      <w:lvlText w:val="•"/>
      <w:lvlJc w:val="left"/>
      <w:pPr>
        <w:ind w:left="3721" w:hanging="284"/>
      </w:pPr>
      <w:rPr>
        <w:rFonts w:hint="default"/>
      </w:rPr>
    </w:lvl>
    <w:lvl w:ilvl="6" w:tplc="A5BA6768">
      <w:numFmt w:val="bullet"/>
      <w:lvlText w:val="•"/>
      <w:lvlJc w:val="left"/>
      <w:pPr>
        <w:ind w:left="4414" w:hanging="284"/>
      </w:pPr>
      <w:rPr>
        <w:rFonts w:hint="default"/>
      </w:rPr>
    </w:lvl>
    <w:lvl w:ilvl="7" w:tplc="6B565AD4">
      <w:numFmt w:val="bullet"/>
      <w:lvlText w:val="•"/>
      <w:lvlJc w:val="left"/>
      <w:pPr>
        <w:ind w:left="5106" w:hanging="284"/>
      </w:pPr>
      <w:rPr>
        <w:rFonts w:hint="default"/>
      </w:rPr>
    </w:lvl>
    <w:lvl w:ilvl="8" w:tplc="11FC3F56">
      <w:numFmt w:val="bullet"/>
      <w:lvlText w:val="•"/>
      <w:lvlJc w:val="left"/>
      <w:pPr>
        <w:ind w:left="5799" w:hanging="284"/>
      </w:pPr>
      <w:rPr>
        <w:rFonts w:hint="default"/>
      </w:rPr>
    </w:lvl>
  </w:abstractNum>
  <w:abstractNum w:abstractNumId="273">
    <w:nsid w:val="64AC6EF6"/>
    <w:multiLevelType w:val="hybridMultilevel"/>
    <w:tmpl w:val="5F641102"/>
    <w:lvl w:ilvl="0" w:tplc="F856C062">
      <w:numFmt w:val="bullet"/>
      <w:lvlText w:val="–"/>
      <w:lvlJc w:val="left"/>
      <w:pPr>
        <w:ind w:left="533" w:hanging="284"/>
      </w:pPr>
      <w:rPr>
        <w:rFonts w:ascii="Cambria" w:eastAsia="Cambria" w:hAnsi="Cambria" w:cs="Cambria" w:hint="default"/>
        <w:color w:val="231F20"/>
        <w:spacing w:val="-22"/>
        <w:w w:val="100"/>
        <w:sz w:val="21"/>
        <w:szCs w:val="21"/>
      </w:rPr>
    </w:lvl>
    <w:lvl w:ilvl="1" w:tplc="F6D4BC12">
      <w:numFmt w:val="bullet"/>
      <w:lvlText w:val="•"/>
      <w:lvlJc w:val="left"/>
      <w:pPr>
        <w:ind w:left="1204" w:hanging="284"/>
      </w:pPr>
      <w:rPr>
        <w:rFonts w:hint="default"/>
      </w:rPr>
    </w:lvl>
    <w:lvl w:ilvl="2" w:tplc="79CAE1AE">
      <w:numFmt w:val="bullet"/>
      <w:lvlText w:val="•"/>
      <w:lvlJc w:val="left"/>
      <w:pPr>
        <w:ind w:left="1868" w:hanging="284"/>
      </w:pPr>
      <w:rPr>
        <w:rFonts w:hint="default"/>
      </w:rPr>
    </w:lvl>
    <w:lvl w:ilvl="3" w:tplc="68A6313A">
      <w:numFmt w:val="bullet"/>
      <w:lvlText w:val="•"/>
      <w:lvlJc w:val="left"/>
      <w:pPr>
        <w:ind w:left="2533" w:hanging="284"/>
      </w:pPr>
      <w:rPr>
        <w:rFonts w:hint="default"/>
      </w:rPr>
    </w:lvl>
    <w:lvl w:ilvl="4" w:tplc="D2A0BF60">
      <w:numFmt w:val="bullet"/>
      <w:lvlText w:val="•"/>
      <w:lvlJc w:val="left"/>
      <w:pPr>
        <w:ind w:left="3197" w:hanging="284"/>
      </w:pPr>
      <w:rPr>
        <w:rFonts w:hint="default"/>
      </w:rPr>
    </w:lvl>
    <w:lvl w:ilvl="5" w:tplc="48E29074">
      <w:numFmt w:val="bullet"/>
      <w:lvlText w:val="•"/>
      <w:lvlJc w:val="left"/>
      <w:pPr>
        <w:ind w:left="3861" w:hanging="284"/>
      </w:pPr>
      <w:rPr>
        <w:rFonts w:hint="default"/>
      </w:rPr>
    </w:lvl>
    <w:lvl w:ilvl="6" w:tplc="19B44D72">
      <w:numFmt w:val="bullet"/>
      <w:lvlText w:val="•"/>
      <w:lvlJc w:val="left"/>
      <w:pPr>
        <w:ind w:left="4526" w:hanging="284"/>
      </w:pPr>
      <w:rPr>
        <w:rFonts w:hint="default"/>
      </w:rPr>
    </w:lvl>
    <w:lvl w:ilvl="7" w:tplc="6BA407F6">
      <w:numFmt w:val="bullet"/>
      <w:lvlText w:val="•"/>
      <w:lvlJc w:val="left"/>
      <w:pPr>
        <w:ind w:left="5190" w:hanging="284"/>
      </w:pPr>
      <w:rPr>
        <w:rFonts w:hint="default"/>
      </w:rPr>
    </w:lvl>
    <w:lvl w:ilvl="8" w:tplc="DC984766">
      <w:numFmt w:val="bullet"/>
      <w:lvlText w:val="•"/>
      <w:lvlJc w:val="left"/>
      <w:pPr>
        <w:ind w:left="5855" w:hanging="284"/>
      </w:pPr>
      <w:rPr>
        <w:rFonts w:hint="default"/>
      </w:rPr>
    </w:lvl>
  </w:abstractNum>
  <w:abstractNum w:abstractNumId="274">
    <w:nsid w:val="64E0417D"/>
    <w:multiLevelType w:val="multilevel"/>
    <w:tmpl w:val="27C06532"/>
    <w:lvl w:ilvl="0">
      <w:start w:val="3"/>
      <w:numFmt w:val="decimal"/>
      <w:lvlText w:val="%1"/>
      <w:lvlJc w:val="left"/>
      <w:pPr>
        <w:ind w:left="817" w:hanging="565"/>
        <w:jc w:val="left"/>
      </w:pPr>
      <w:rPr>
        <w:rFonts w:hint="default"/>
      </w:rPr>
    </w:lvl>
    <w:lvl w:ilvl="1">
      <w:start w:val="3"/>
      <w:numFmt w:val="decimal"/>
      <w:lvlText w:val="%1.%2"/>
      <w:lvlJc w:val="left"/>
      <w:pPr>
        <w:ind w:left="817" w:hanging="565"/>
        <w:jc w:val="left"/>
      </w:pPr>
      <w:rPr>
        <w:rFonts w:hint="default"/>
      </w:rPr>
    </w:lvl>
    <w:lvl w:ilvl="2">
      <w:start w:val="1"/>
      <w:numFmt w:val="decimal"/>
      <w:lvlText w:val="%1.%2.%3."/>
      <w:lvlJc w:val="left"/>
      <w:pPr>
        <w:ind w:left="817" w:hanging="565"/>
        <w:jc w:val="right"/>
      </w:pPr>
      <w:rPr>
        <w:rFonts w:ascii="Cambria" w:eastAsia="Cambria" w:hAnsi="Cambria" w:cs="Cambria" w:hint="default"/>
        <w:b/>
        <w:bCs/>
        <w:color w:val="231F20"/>
        <w:spacing w:val="-1"/>
        <w:w w:val="100"/>
        <w:sz w:val="21"/>
        <w:szCs w:val="21"/>
      </w:rPr>
    </w:lvl>
    <w:lvl w:ilvl="3">
      <w:numFmt w:val="bullet"/>
      <w:lvlText w:val="•"/>
      <w:lvlJc w:val="left"/>
      <w:pPr>
        <w:ind w:left="2729" w:hanging="565"/>
      </w:pPr>
      <w:rPr>
        <w:rFonts w:hint="default"/>
      </w:rPr>
    </w:lvl>
    <w:lvl w:ilvl="4">
      <w:numFmt w:val="bullet"/>
      <w:lvlText w:val="•"/>
      <w:lvlJc w:val="left"/>
      <w:pPr>
        <w:ind w:left="3365" w:hanging="565"/>
      </w:pPr>
      <w:rPr>
        <w:rFonts w:hint="default"/>
      </w:rPr>
    </w:lvl>
    <w:lvl w:ilvl="5">
      <w:numFmt w:val="bullet"/>
      <w:lvlText w:val="•"/>
      <w:lvlJc w:val="left"/>
      <w:pPr>
        <w:ind w:left="4001" w:hanging="565"/>
      </w:pPr>
      <w:rPr>
        <w:rFonts w:hint="default"/>
      </w:rPr>
    </w:lvl>
    <w:lvl w:ilvl="6">
      <w:numFmt w:val="bullet"/>
      <w:lvlText w:val="•"/>
      <w:lvlJc w:val="left"/>
      <w:pPr>
        <w:ind w:left="4638" w:hanging="565"/>
      </w:pPr>
      <w:rPr>
        <w:rFonts w:hint="default"/>
      </w:rPr>
    </w:lvl>
    <w:lvl w:ilvl="7">
      <w:numFmt w:val="bullet"/>
      <w:lvlText w:val="•"/>
      <w:lvlJc w:val="left"/>
      <w:pPr>
        <w:ind w:left="5274" w:hanging="565"/>
      </w:pPr>
      <w:rPr>
        <w:rFonts w:hint="default"/>
      </w:rPr>
    </w:lvl>
    <w:lvl w:ilvl="8">
      <w:numFmt w:val="bullet"/>
      <w:lvlText w:val="•"/>
      <w:lvlJc w:val="left"/>
      <w:pPr>
        <w:ind w:left="5911" w:hanging="565"/>
      </w:pPr>
      <w:rPr>
        <w:rFonts w:hint="default"/>
      </w:rPr>
    </w:lvl>
  </w:abstractNum>
  <w:abstractNum w:abstractNumId="275">
    <w:nsid w:val="65AF2648"/>
    <w:multiLevelType w:val="hybridMultilevel"/>
    <w:tmpl w:val="B17A034E"/>
    <w:lvl w:ilvl="0" w:tplc="100E6DC8">
      <w:numFmt w:val="bullet"/>
      <w:lvlText w:val=""/>
      <w:lvlJc w:val="left"/>
      <w:pPr>
        <w:ind w:left="250" w:hanging="284"/>
      </w:pPr>
      <w:rPr>
        <w:rFonts w:ascii="Wingdings" w:eastAsia="Wingdings" w:hAnsi="Wingdings" w:cs="Wingdings" w:hint="default"/>
        <w:color w:val="231F20"/>
        <w:w w:val="100"/>
        <w:sz w:val="21"/>
        <w:szCs w:val="21"/>
      </w:rPr>
    </w:lvl>
    <w:lvl w:ilvl="1" w:tplc="04FA3F0C">
      <w:numFmt w:val="bullet"/>
      <w:lvlText w:val="•"/>
      <w:lvlJc w:val="left"/>
      <w:pPr>
        <w:ind w:left="952" w:hanging="284"/>
      </w:pPr>
      <w:rPr>
        <w:rFonts w:hint="default"/>
      </w:rPr>
    </w:lvl>
    <w:lvl w:ilvl="2" w:tplc="39BA2338">
      <w:numFmt w:val="bullet"/>
      <w:lvlText w:val="•"/>
      <w:lvlJc w:val="left"/>
      <w:pPr>
        <w:ind w:left="1644" w:hanging="284"/>
      </w:pPr>
      <w:rPr>
        <w:rFonts w:hint="default"/>
      </w:rPr>
    </w:lvl>
    <w:lvl w:ilvl="3" w:tplc="A7C4B29C">
      <w:numFmt w:val="bullet"/>
      <w:lvlText w:val="•"/>
      <w:lvlJc w:val="left"/>
      <w:pPr>
        <w:ind w:left="2337" w:hanging="284"/>
      </w:pPr>
      <w:rPr>
        <w:rFonts w:hint="default"/>
      </w:rPr>
    </w:lvl>
    <w:lvl w:ilvl="4" w:tplc="ABBA8E60">
      <w:numFmt w:val="bullet"/>
      <w:lvlText w:val="•"/>
      <w:lvlJc w:val="left"/>
      <w:pPr>
        <w:ind w:left="3029" w:hanging="284"/>
      </w:pPr>
      <w:rPr>
        <w:rFonts w:hint="default"/>
      </w:rPr>
    </w:lvl>
    <w:lvl w:ilvl="5" w:tplc="96140CC2">
      <w:numFmt w:val="bullet"/>
      <w:lvlText w:val="•"/>
      <w:lvlJc w:val="left"/>
      <w:pPr>
        <w:ind w:left="3721" w:hanging="284"/>
      </w:pPr>
      <w:rPr>
        <w:rFonts w:hint="default"/>
      </w:rPr>
    </w:lvl>
    <w:lvl w:ilvl="6" w:tplc="F29275BE">
      <w:numFmt w:val="bullet"/>
      <w:lvlText w:val="•"/>
      <w:lvlJc w:val="left"/>
      <w:pPr>
        <w:ind w:left="4414" w:hanging="284"/>
      </w:pPr>
      <w:rPr>
        <w:rFonts w:hint="default"/>
      </w:rPr>
    </w:lvl>
    <w:lvl w:ilvl="7" w:tplc="56C2AE00">
      <w:numFmt w:val="bullet"/>
      <w:lvlText w:val="•"/>
      <w:lvlJc w:val="left"/>
      <w:pPr>
        <w:ind w:left="5106" w:hanging="284"/>
      </w:pPr>
      <w:rPr>
        <w:rFonts w:hint="default"/>
      </w:rPr>
    </w:lvl>
    <w:lvl w:ilvl="8" w:tplc="D9BC8F8E">
      <w:numFmt w:val="bullet"/>
      <w:lvlText w:val="•"/>
      <w:lvlJc w:val="left"/>
      <w:pPr>
        <w:ind w:left="5799" w:hanging="284"/>
      </w:pPr>
      <w:rPr>
        <w:rFonts w:hint="default"/>
      </w:rPr>
    </w:lvl>
  </w:abstractNum>
  <w:abstractNum w:abstractNumId="276">
    <w:nsid w:val="66187C1D"/>
    <w:multiLevelType w:val="hybridMultilevel"/>
    <w:tmpl w:val="7E448F96"/>
    <w:lvl w:ilvl="0" w:tplc="188AE8BC">
      <w:numFmt w:val="bullet"/>
      <w:lvlText w:val=""/>
      <w:lvlJc w:val="left"/>
      <w:pPr>
        <w:ind w:left="533" w:hanging="284"/>
      </w:pPr>
      <w:rPr>
        <w:rFonts w:ascii="Wingdings" w:eastAsia="Wingdings" w:hAnsi="Wingdings" w:cs="Wingdings" w:hint="default"/>
        <w:color w:val="231F20"/>
        <w:w w:val="100"/>
        <w:sz w:val="21"/>
        <w:szCs w:val="21"/>
      </w:rPr>
    </w:lvl>
    <w:lvl w:ilvl="1" w:tplc="249CB79E">
      <w:numFmt w:val="bullet"/>
      <w:lvlText w:val="•"/>
      <w:lvlJc w:val="left"/>
      <w:pPr>
        <w:ind w:left="1204" w:hanging="284"/>
      </w:pPr>
      <w:rPr>
        <w:rFonts w:hint="default"/>
      </w:rPr>
    </w:lvl>
    <w:lvl w:ilvl="2" w:tplc="CE0C50B0">
      <w:numFmt w:val="bullet"/>
      <w:lvlText w:val="•"/>
      <w:lvlJc w:val="left"/>
      <w:pPr>
        <w:ind w:left="1868" w:hanging="284"/>
      </w:pPr>
      <w:rPr>
        <w:rFonts w:hint="default"/>
      </w:rPr>
    </w:lvl>
    <w:lvl w:ilvl="3" w:tplc="E144A556">
      <w:numFmt w:val="bullet"/>
      <w:lvlText w:val="•"/>
      <w:lvlJc w:val="left"/>
      <w:pPr>
        <w:ind w:left="2533" w:hanging="284"/>
      </w:pPr>
      <w:rPr>
        <w:rFonts w:hint="default"/>
      </w:rPr>
    </w:lvl>
    <w:lvl w:ilvl="4" w:tplc="6E56516C">
      <w:numFmt w:val="bullet"/>
      <w:lvlText w:val="•"/>
      <w:lvlJc w:val="left"/>
      <w:pPr>
        <w:ind w:left="3197" w:hanging="284"/>
      </w:pPr>
      <w:rPr>
        <w:rFonts w:hint="default"/>
      </w:rPr>
    </w:lvl>
    <w:lvl w:ilvl="5" w:tplc="27AA1C10">
      <w:numFmt w:val="bullet"/>
      <w:lvlText w:val="•"/>
      <w:lvlJc w:val="left"/>
      <w:pPr>
        <w:ind w:left="3861" w:hanging="284"/>
      </w:pPr>
      <w:rPr>
        <w:rFonts w:hint="default"/>
      </w:rPr>
    </w:lvl>
    <w:lvl w:ilvl="6" w:tplc="F4089A0A">
      <w:numFmt w:val="bullet"/>
      <w:lvlText w:val="•"/>
      <w:lvlJc w:val="left"/>
      <w:pPr>
        <w:ind w:left="4526" w:hanging="284"/>
      </w:pPr>
      <w:rPr>
        <w:rFonts w:hint="default"/>
      </w:rPr>
    </w:lvl>
    <w:lvl w:ilvl="7" w:tplc="07386C40">
      <w:numFmt w:val="bullet"/>
      <w:lvlText w:val="•"/>
      <w:lvlJc w:val="left"/>
      <w:pPr>
        <w:ind w:left="5190" w:hanging="284"/>
      </w:pPr>
      <w:rPr>
        <w:rFonts w:hint="default"/>
      </w:rPr>
    </w:lvl>
    <w:lvl w:ilvl="8" w:tplc="4ECC6964">
      <w:numFmt w:val="bullet"/>
      <w:lvlText w:val="•"/>
      <w:lvlJc w:val="left"/>
      <w:pPr>
        <w:ind w:left="5855" w:hanging="284"/>
      </w:pPr>
      <w:rPr>
        <w:rFonts w:hint="default"/>
      </w:rPr>
    </w:lvl>
  </w:abstractNum>
  <w:abstractNum w:abstractNumId="277">
    <w:nsid w:val="66A77179"/>
    <w:multiLevelType w:val="multilevel"/>
    <w:tmpl w:val="ADF2BF32"/>
    <w:lvl w:ilvl="0">
      <w:start w:val="9"/>
      <w:numFmt w:val="decimal"/>
      <w:lvlText w:val="%1"/>
      <w:lvlJc w:val="left"/>
      <w:pPr>
        <w:ind w:left="1098" w:hanging="565"/>
        <w:jc w:val="left"/>
      </w:pPr>
      <w:rPr>
        <w:rFonts w:hint="default"/>
      </w:rPr>
    </w:lvl>
    <w:lvl w:ilvl="1">
      <w:start w:val="3"/>
      <w:numFmt w:val="decimal"/>
      <w:lvlText w:val="%1.%2"/>
      <w:lvlJc w:val="left"/>
      <w:pPr>
        <w:ind w:left="1098" w:hanging="565"/>
        <w:jc w:val="left"/>
      </w:pPr>
      <w:rPr>
        <w:rFonts w:hint="default"/>
      </w:rPr>
    </w:lvl>
    <w:lvl w:ilvl="2">
      <w:start w:val="3"/>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278">
    <w:nsid w:val="67CE1D59"/>
    <w:multiLevelType w:val="hybridMultilevel"/>
    <w:tmpl w:val="0660DE66"/>
    <w:lvl w:ilvl="0" w:tplc="93D012AA">
      <w:numFmt w:val="bullet"/>
      <w:lvlText w:val=""/>
      <w:lvlJc w:val="left"/>
      <w:pPr>
        <w:ind w:left="533" w:hanging="284"/>
      </w:pPr>
      <w:rPr>
        <w:rFonts w:ascii="Wingdings" w:eastAsia="Wingdings" w:hAnsi="Wingdings" w:cs="Wingdings" w:hint="default"/>
        <w:color w:val="231F20"/>
        <w:w w:val="100"/>
        <w:sz w:val="21"/>
        <w:szCs w:val="21"/>
      </w:rPr>
    </w:lvl>
    <w:lvl w:ilvl="1" w:tplc="635067BE">
      <w:numFmt w:val="bullet"/>
      <w:lvlText w:val="•"/>
      <w:lvlJc w:val="left"/>
      <w:pPr>
        <w:ind w:left="1204" w:hanging="284"/>
      </w:pPr>
      <w:rPr>
        <w:rFonts w:hint="default"/>
      </w:rPr>
    </w:lvl>
    <w:lvl w:ilvl="2" w:tplc="3E4A2006">
      <w:numFmt w:val="bullet"/>
      <w:lvlText w:val="•"/>
      <w:lvlJc w:val="left"/>
      <w:pPr>
        <w:ind w:left="1868" w:hanging="284"/>
      </w:pPr>
      <w:rPr>
        <w:rFonts w:hint="default"/>
      </w:rPr>
    </w:lvl>
    <w:lvl w:ilvl="3" w:tplc="D8DAB3D6">
      <w:numFmt w:val="bullet"/>
      <w:lvlText w:val="•"/>
      <w:lvlJc w:val="left"/>
      <w:pPr>
        <w:ind w:left="2533" w:hanging="284"/>
      </w:pPr>
      <w:rPr>
        <w:rFonts w:hint="default"/>
      </w:rPr>
    </w:lvl>
    <w:lvl w:ilvl="4" w:tplc="C0DA1382">
      <w:numFmt w:val="bullet"/>
      <w:lvlText w:val="•"/>
      <w:lvlJc w:val="left"/>
      <w:pPr>
        <w:ind w:left="3197" w:hanging="284"/>
      </w:pPr>
      <w:rPr>
        <w:rFonts w:hint="default"/>
      </w:rPr>
    </w:lvl>
    <w:lvl w:ilvl="5" w:tplc="9F88BA6A">
      <w:numFmt w:val="bullet"/>
      <w:lvlText w:val="•"/>
      <w:lvlJc w:val="left"/>
      <w:pPr>
        <w:ind w:left="3861" w:hanging="284"/>
      </w:pPr>
      <w:rPr>
        <w:rFonts w:hint="default"/>
      </w:rPr>
    </w:lvl>
    <w:lvl w:ilvl="6" w:tplc="113A5636">
      <w:numFmt w:val="bullet"/>
      <w:lvlText w:val="•"/>
      <w:lvlJc w:val="left"/>
      <w:pPr>
        <w:ind w:left="4526" w:hanging="284"/>
      </w:pPr>
      <w:rPr>
        <w:rFonts w:hint="default"/>
      </w:rPr>
    </w:lvl>
    <w:lvl w:ilvl="7" w:tplc="E62491EA">
      <w:numFmt w:val="bullet"/>
      <w:lvlText w:val="•"/>
      <w:lvlJc w:val="left"/>
      <w:pPr>
        <w:ind w:left="5190" w:hanging="284"/>
      </w:pPr>
      <w:rPr>
        <w:rFonts w:hint="default"/>
      </w:rPr>
    </w:lvl>
    <w:lvl w:ilvl="8" w:tplc="5AACFA54">
      <w:numFmt w:val="bullet"/>
      <w:lvlText w:val="•"/>
      <w:lvlJc w:val="left"/>
      <w:pPr>
        <w:ind w:left="5855" w:hanging="284"/>
      </w:pPr>
      <w:rPr>
        <w:rFonts w:hint="default"/>
      </w:rPr>
    </w:lvl>
  </w:abstractNum>
  <w:abstractNum w:abstractNumId="279">
    <w:nsid w:val="687066D9"/>
    <w:multiLevelType w:val="hybridMultilevel"/>
    <w:tmpl w:val="DD50F406"/>
    <w:lvl w:ilvl="0" w:tplc="1D46705E">
      <w:numFmt w:val="bullet"/>
      <w:lvlText w:val="•"/>
      <w:lvlJc w:val="left"/>
      <w:pPr>
        <w:ind w:left="533" w:hanging="284"/>
      </w:pPr>
      <w:rPr>
        <w:rFonts w:ascii="Cambria" w:eastAsia="Cambria" w:hAnsi="Cambria" w:cs="Cambria" w:hint="default"/>
        <w:color w:val="231F20"/>
        <w:spacing w:val="-16"/>
        <w:w w:val="100"/>
        <w:sz w:val="21"/>
        <w:szCs w:val="21"/>
      </w:rPr>
    </w:lvl>
    <w:lvl w:ilvl="1" w:tplc="698CB01C">
      <w:numFmt w:val="bullet"/>
      <w:lvlText w:val="•"/>
      <w:lvlJc w:val="left"/>
      <w:pPr>
        <w:ind w:left="1204" w:hanging="284"/>
      </w:pPr>
      <w:rPr>
        <w:rFonts w:hint="default"/>
      </w:rPr>
    </w:lvl>
    <w:lvl w:ilvl="2" w:tplc="CE0E94AC">
      <w:numFmt w:val="bullet"/>
      <w:lvlText w:val="•"/>
      <w:lvlJc w:val="left"/>
      <w:pPr>
        <w:ind w:left="1868" w:hanging="284"/>
      </w:pPr>
      <w:rPr>
        <w:rFonts w:hint="default"/>
      </w:rPr>
    </w:lvl>
    <w:lvl w:ilvl="3" w:tplc="2A08E76C">
      <w:numFmt w:val="bullet"/>
      <w:lvlText w:val="•"/>
      <w:lvlJc w:val="left"/>
      <w:pPr>
        <w:ind w:left="2533" w:hanging="284"/>
      </w:pPr>
      <w:rPr>
        <w:rFonts w:hint="default"/>
      </w:rPr>
    </w:lvl>
    <w:lvl w:ilvl="4" w:tplc="CC9CFB4C">
      <w:numFmt w:val="bullet"/>
      <w:lvlText w:val="•"/>
      <w:lvlJc w:val="left"/>
      <w:pPr>
        <w:ind w:left="3197" w:hanging="284"/>
      </w:pPr>
      <w:rPr>
        <w:rFonts w:hint="default"/>
      </w:rPr>
    </w:lvl>
    <w:lvl w:ilvl="5" w:tplc="37DC5E90">
      <w:numFmt w:val="bullet"/>
      <w:lvlText w:val="•"/>
      <w:lvlJc w:val="left"/>
      <w:pPr>
        <w:ind w:left="3861" w:hanging="284"/>
      </w:pPr>
      <w:rPr>
        <w:rFonts w:hint="default"/>
      </w:rPr>
    </w:lvl>
    <w:lvl w:ilvl="6" w:tplc="540A69BE">
      <w:numFmt w:val="bullet"/>
      <w:lvlText w:val="•"/>
      <w:lvlJc w:val="left"/>
      <w:pPr>
        <w:ind w:left="4526" w:hanging="284"/>
      </w:pPr>
      <w:rPr>
        <w:rFonts w:hint="default"/>
      </w:rPr>
    </w:lvl>
    <w:lvl w:ilvl="7" w:tplc="0EDC5B10">
      <w:numFmt w:val="bullet"/>
      <w:lvlText w:val="•"/>
      <w:lvlJc w:val="left"/>
      <w:pPr>
        <w:ind w:left="5190" w:hanging="284"/>
      </w:pPr>
      <w:rPr>
        <w:rFonts w:hint="default"/>
      </w:rPr>
    </w:lvl>
    <w:lvl w:ilvl="8" w:tplc="F2C61B84">
      <w:numFmt w:val="bullet"/>
      <w:lvlText w:val="•"/>
      <w:lvlJc w:val="left"/>
      <w:pPr>
        <w:ind w:left="5855" w:hanging="284"/>
      </w:pPr>
      <w:rPr>
        <w:rFonts w:hint="default"/>
      </w:rPr>
    </w:lvl>
  </w:abstractNum>
  <w:abstractNum w:abstractNumId="280">
    <w:nsid w:val="68BD6727"/>
    <w:multiLevelType w:val="hybridMultilevel"/>
    <w:tmpl w:val="2A904318"/>
    <w:lvl w:ilvl="0" w:tplc="6928AE8A">
      <w:numFmt w:val="bullet"/>
      <w:lvlText w:val="–"/>
      <w:lvlJc w:val="left"/>
      <w:pPr>
        <w:ind w:left="250" w:hanging="284"/>
      </w:pPr>
      <w:rPr>
        <w:rFonts w:ascii="Cambria" w:eastAsia="Cambria" w:hAnsi="Cambria" w:cs="Cambria" w:hint="default"/>
        <w:b/>
        <w:bCs/>
        <w:i/>
        <w:color w:val="231F20"/>
        <w:spacing w:val="-9"/>
        <w:w w:val="100"/>
        <w:sz w:val="21"/>
        <w:szCs w:val="21"/>
      </w:rPr>
    </w:lvl>
    <w:lvl w:ilvl="1" w:tplc="78249D4A">
      <w:numFmt w:val="bullet"/>
      <w:lvlText w:val="•"/>
      <w:lvlJc w:val="left"/>
      <w:pPr>
        <w:ind w:left="952" w:hanging="284"/>
      </w:pPr>
      <w:rPr>
        <w:rFonts w:hint="default"/>
      </w:rPr>
    </w:lvl>
    <w:lvl w:ilvl="2" w:tplc="C064658E">
      <w:numFmt w:val="bullet"/>
      <w:lvlText w:val="•"/>
      <w:lvlJc w:val="left"/>
      <w:pPr>
        <w:ind w:left="1644" w:hanging="284"/>
      </w:pPr>
      <w:rPr>
        <w:rFonts w:hint="default"/>
      </w:rPr>
    </w:lvl>
    <w:lvl w:ilvl="3" w:tplc="959E79E6">
      <w:numFmt w:val="bullet"/>
      <w:lvlText w:val="•"/>
      <w:lvlJc w:val="left"/>
      <w:pPr>
        <w:ind w:left="2337" w:hanging="284"/>
      </w:pPr>
      <w:rPr>
        <w:rFonts w:hint="default"/>
      </w:rPr>
    </w:lvl>
    <w:lvl w:ilvl="4" w:tplc="F7B20A90">
      <w:numFmt w:val="bullet"/>
      <w:lvlText w:val="•"/>
      <w:lvlJc w:val="left"/>
      <w:pPr>
        <w:ind w:left="3029" w:hanging="284"/>
      </w:pPr>
      <w:rPr>
        <w:rFonts w:hint="default"/>
      </w:rPr>
    </w:lvl>
    <w:lvl w:ilvl="5" w:tplc="9902832A">
      <w:numFmt w:val="bullet"/>
      <w:lvlText w:val="•"/>
      <w:lvlJc w:val="left"/>
      <w:pPr>
        <w:ind w:left="3721" w:hanging="284"/>
      </w:pPr>
      <w:rPr>
        <w:rFonts w:hint="default"/>
      </w:rPr>
    </w:lvl>
    <w:lvl w:ilvl="6" w:tplc="4F5C0326">
      <w:numFmt w:val="bullet"/>
      <w:lvlText w:val="•"/>
      <w:lvlJc w:val="left"/>
      <w:pPr>
        <w:ind w:left="4414" w:hanging="284"/>
      </w:pPr>
      <w:rPr>
        <w:rFonts w:hint="default"/>
      </w:rPr>
    </w:lvl>
    <w:lvl w:ilvl="7" w:tplc="0224602E">
      <w:numFmt w:val="bullet"/>
      <w:lvlText w:val="•"/>
      <w:lvlJc w:val="left"/>
      <w:pPr>
        <w:ind w:left="5106" w:hanging="284"/>
      </w:pPr>
      <w:rPr>
        <w:rFonts w:hint="default"/>
      </w:rPr>
    </w:lvl>
    <w:lvl w:ilvl="8" w:tplc="38708C1C">
      <w:numFmt w:val="bullet"/>
      <w:lvlText w:val="•"/>
      <w:lvlJc w:val="left"/>
      <w:pPr>
        <w:ind w:left="5799" w:hanging="284"/>
      </w:pPr>
      <w:rPr>
        <w:rFonts w:hint="default"/>
      </w:rPr>
    </w:lvl>
  </w:abstractNum>
  <w:abstractNum w:abstractNumId="281">
    <w:nsid w:val="68C93AFD"/>
    <w:multiLevelType w:val="hybridMultilevel"/>
    <w:tmpl w:val="56DA7C74"/>
    <w:lvl w:ilvl="0" w:tplc="D65061CE">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7C20484E">
      <w:start w:val="1"/>
      <w:numFmt w:val="decimal"/>
      <w:lvlText w:val="%2)"/>
      <w:lvlJc w:val="left"/>
      <w:pPr>
        <w:ind w:left="533" w:hanging="284"/>
        <w:jc w:val="left"/>
      </w:pPr>
      <w:rPr>
        <w:rFonts w:ascii="Cambria" w:eastAsia="Cambria" w:hAnsi="Cambria" w:cs="Cambria" w:hint="default"/>
        <w:color w:val="231F20"/>
        <w:spacing w:val="-19"/>
        <w:w w:val="100"/>
        <w:sz w:val="21"/>
        <w:szCs w:val="21"/>
      </w:rPr>
    </w:lvl>
    <w:lvl w:ilvl="2" w:tplc="550AEDEE">
      <w:numFmt w:val="bullet"/>
      <w:lvlText w:val="•"/>
      <w:lvlJc w:val="left"/>
      <w:pPr>
        <w:ind w:left="1278" w:hanging="284"/>
      </w:pPr>
      <w:rPr>
        <w:rFonts w:hint="default"/>
      </w:rPr>
    </w:lvl>
    <w:lvl w:ilvl="3" w:tplc="72E4383A">
      <w:numFmt w:val="bullet"/>
      <w:lvlText w:val="•"/>
      <w:lvlJc w:val="left"/>
      <w:pPr>
        <w:ind w:left="2016" w:hanging="284"/>
      </w:pPr>
      <w:rPr>
        <w:rFonts w:hint="default"/>
      </w:rPr>
    </w:lvl>
    <w:lvl w:ilvl="4" w:tplc="87D46A24">
      <w:numFmt w:val="bullet"/>
      <w:lvlText w:val="•"/>
      <w:lvlJc w:val="left"/>
      <w:pPr>
        <w:ind w:left="2754" w:hanging="284"/>
      </w:pPr>
      <w:rPr>
        <w:rFonts w:hint="default"/>
      </w:rPr>
    </w:lvl>
    <w:lvl w:ilvl="5" w:tplc="7BA29136">
      <w:numFmt w:val="bullet"/>
      <w:lvlText w:val="•"/>
      <w:lvlJc w:val="left"/>
      <w:pPr>
        <w:ind w:left="3492" w:hanging="284"/>
      </w:pPr>
      <w:rPr>
        <w:rFonts w:hint="default"/>
      </w:rPr>
    </w:lvl>
    <w:lvl w:ilvl="6" w:tplc="68284B50">
      <w:numFmt w:val="bullet"/>
      <w:lvlText w:val="•"/>
      <w:lvlJc w:val="left"/>
      <w:pPr>
        <w:ind w:left="4231" w:hanging="284"/>
      </w:pPr>
      <w:rPr>
        <w:rFonts w:hint="default"/>
      </w:rPr>
    </w:lvl>
    <w:lvl w:ilvl="7" w:tplc="D02CBDEA">
      <w:numFmt w:val="bullet"/>
      <w:lvlText w:val="•"/>
      <w:lvlJc w:val="left"/>
      <w:pPr>
        <w:ind w:left="4969" w:hanging="284"/>
      </w:pPr>
      <w:rPr>
        <w:rFonts w:hint="default"/>
      </w:rPr>
    </w:lvl>
    <w:lvl w:ilvl="8" w:tplc="5DD8B0DC">
      <w:numFmt w:val="bullet"/>
      <w:lvlText w:val="•"/>
      <w:lvlJc w:val="left"/>
      <w:pPr>
        <w:ind w:left="5707" w:hanging="284"/>
      </w:pPr>
      <w:rPr>
        <w:rFonts w:hint="default"/>
      </w:rPr>
    </w:lvl>
  </w:abstractNum>
  <w:abstractNum w:abstractNumId="282">
    <w:nsid w:val="690004E5"/>
    <w:multiLevelType w:val="multilevel"/>
    <w:tmpl w:val="76C28520"/>
    <w:lvl w:ilvl="0">
      <w:start w:val="4"/>
      <w:numFmt w:val="decimal"/>
      <w:lvlText w:val="%1"/>
      <w:lvlJc w:val="left"/>
      <w:pPr>
        <w:ind w:left="1293" w:hanging="411"/>
        <w:jc w:val="left"/>
      </w:pPr>
      <w:rPr>
        <w:rFonts w:hint="default"/>
      </w:rPr>
    </w:lvl>
    <w:lvl w:ilvl="1">
      <w:start w:val="2"/>
      <w:numFmt w:val="decimal"/>
      <w:lvlText w:val="%1.%2."/>
      <w:lvlJc w:val="left"/>
      <w:pPr>
        <w:ind w:left="1293" w:hanging="411"/>
        <w:jc w:val="right"/>
      </w:pPr>
      <w:rPr>
        <w:rFonts w:ascii="Cambria" w:eastAsia="Cambria" w:hAnsi="Cambria" w:cs="Cambria" w:hint="default"/>
        <w:b/>
        <w:bCs/>
        <w:color w:val="231F20"/>
        <w:spacing w:val="-1"/>
        <w:w w:val="100"/>
        <w:sz w:val="22"/>
        <w:szCs w:val="22"/>
      </w:rPr>
    </w:lvl>
    <w:lvl w:ilvl="2">
      <w:start w:val="1"/>
      <w:numFmt w:val="decimal"/>
      <w:lvlText w:val="%1.%2.%3."/>
      <w:lvlJc w:val="left"/>
      <w:pPr>
        <w:ind w:left="817" w:hanging="565"/>
        <w:jc w:val="right"/>
      </w:pPr>
      <w:rPr>
        <w:rFonts w:hint="default"/>
        <w:b/>
        <w:bCs/>
        <w:spacing w:val="-1"/>
        <w:w w:val="100"/>
      </w:rPr>
    </w:lvl>
    <w:lvl w:ilvl="3">
      <w:numFmt w:val="bullet"/>
      <w:lvlText w:val="•"/>
      <w:lvlJc w:val="left"/>
      <w:pPr>
        <w:ind w:left="2607" w:hanging="565"/>
      </w:pPr>
      <w:rPr>
        <w:rFonts w:hint="default"/>
      </w:rPr>
    </w:lvl>
    <w:lvl w:ilvl="4">
      <w:numFmt w:val="bullet"/>
      <w:lvlText w:val="•"/>
      <w:lvlJc w:val="left"/>
      <w:pPr>
        <w:ind w:left="3261" w:hanging="565"/>
      </w:pPr>
      <w:rPr>
        <w:rFonts w:hint="default"/>
      </w:rPr>
    </w:lvl>
    <w:lvl w:ilvl="5">
      <w:numFmt w:val="bullet"/>
      <w:lvlText w:val="•"/>
      <w:lvlJc w:val="left"/>
      <w:pPr>
        <w:ind w:left="3915" w:hanging="565"/>
      </w:pPr>
      <w:rPr>
        <w:rFonts w:hint="default"/>
      </w:rPr>
    </w:lvl>
    <w:lvl w:ilvl="6">
      <w:numFmt w:val="bullet"/>
      <w:lvlText w:val="•"/>
      <w:lvlJc w:val="left"/>
      <w:pPr>
        <w:ind w:left="4568" w:hanging="565"/>
      </w:pPr>
      <w:rPr>
        <w:rFonts w:hint="default"/>
      </w:rPr>
    </w:lvl>
    <w:lvl w:ilvl="7">
      <w:numFmt w:val="bullet"/>
      <w:lvlText w:val="•"/>
      <w:lvlJc w:val="left"/>
      <w:pPr>
        <w:ind w:left="5222" w:hanging="565"/>
      </w:pPr>
      <w:rPr>
        <w:rFonts w:hint="default"/>
      </w:rPr>
    </w:lvl>
    <w:lvl w:ilvl="8">
      <w:numFmt w:val="bullet"/>
      <w:lvlText w:val="•"/>
      <w:lvlJc w:val="left"/>
      <w:pPr>
        <w:ind w:left="5876" w:hanging="565"/>
      </w:pPr>
      <w:rPr>
        <w:rFonts w:hint="default"/>
      </w:rPr>
    </w:lvl>
  </w:abstractNum>
  <w:abstractNum w:abstractNumId="283">
    <w:nsid w:val="690414F3"/>
    <w:multiLevelType w:val="hybridMultilevel"/>
    <w:tmpl w:val="D2D82926"/>
    <w:lvl w:ilvl="0" w:tplc="08F294B6">
      <w:numFmt w:val="bullet"/>
      <w:lvlText w:val="–"/>
      <w:lvlJc w:val="left"/>
      <w:pPr>
        <w:ind w:left="250" w:hanging="284"/>
      </w:pPr>
      <w:rPr>
        <w:rFonts w:ascii="Cambria" w:eastAsia="Cambria" w:hAnsi="Cambria" w:cs="Cambria" w:hint="default"/>
        <w:color w:val="231F20"/>
        <w:spacing w:val="-23"/>
        <w:w w:val="100"/>
        <w:sz w:val="21"/>
        <w:szCs w:val="21"/>
      </w:rPr>
    </w:lvl>
    <w:lvl w:ilvl="1" w:tplc="B8EA8B96">
      <w:numFmt w:val="bullet"/>
      <w:lvlText w:val="•"/>
      <w:lvlJc w:val="left"/>
      <w:pPr>
        <w:ind w:left="952" w:hanging="284"/>
      </w:pPr>
      <w:rPr>
        <w:rFonts w:hint="default"/>
      </w:rPr>
    </w:lvl>
    <w:lvl w:ilvl="2" w:tplc="9AAE88B4">
      <w:numFmt w:val="bullet"/>
      <w:lvlText w:val="•"/>
      <w:lvlJc w:val="left"/>
      <w:pPr>
        <w:ind w:left="1644" w:hanging="284"/>
      </w:pPr>
      <w:rPr>
        <w:rFonts w:hint="default"/>
      </w:rPr>
    </w:lvl>
    <w:lvl w:ilvl="3" w:tplc="0CCC387E">
      <w:numFmt w:val="bullet"/>
      <w:lvlText w:val="•"/>
      <w:lvlJc w:val="left"/>
      <w:pPr>
        <w:ind w:left="2337" w:hanging="284"/>
      </w:pPr>
      <w:rPr>
        <w:rFonts w:hint="default"/>
      </w:rPr>
    </w:lvl>
    <w:lvl w:ilvl="4" w:tplc="B9AA330A">
      <w:numFmt w:val="bullet"/>
      <w:lvlText w:val="•"/>
      <w:lvlJc w:val="left"/>
      <w:pPr>
        <w:ind w:left="3029" w:hanging="284"/>
      </w:pPr>
      <w:rPr>
        <w:rFonts w:hint="default"/>
      </w:rPr>
    </w:lvl>
    <w:lvl w:ilvl="5" w:tplc="4C56ED16">
      <w:numFmt w:val="bullet"/>
      <w:lvlText w:val="•"/>
      <w:lvlJc w:val="left"/>
      <w:pPr>
        <w:ind w:left="3721" w:hanging="284"/>
      </w:pPr>
      <w:rPr>
        <w:rFonts w:hint="default"/>
      </w:rPr>
    </w:lvl>
    <w:lvl w:ilvl="6" w:tplc="1B4CB598">
      <w:numFmt w:val="bullet"/>
      <w:lvlText w:val="•"/>
      <w:lvlJc w:val="left"/>
      <w:pPr>
        <w:ind w:left="4414" w:hanging="284"/>
      </w:pPr>
      <w:rPr>
        <w:rFonts w:hint="default"/>
      </w:rPr>
    </w:lvl>
    <w:lvl w:ilvl="7" w:tplc="18783B64">
      <w:numFmt w:val="bullet"/>
      <w:lvlText w:val="•"/>
      <w:lvlJc w:val="left"/>
      <w:pPr>
        <w:ind w:left="5106" w:hanging="284"/>
      </w:pPr>
      <w:rPr>
        <w:rFonts w:hint="default"/>
      </w:rPr>
    </w:lvl>
    <w:lvl w:ilvl="8" w:tplc="F8E2ABBC">
      <w:numFmt w:val="bullet"/>
      <w:lvlText w:val="•"/>
      <w:lvlJc w:val="left"/>
      <w:pPr>
        <w:ind w:left="5799" w:hanging="284"/>
      </w:pPr>
      <w:rPr>
        <w:rFonts w:hint="default"/>
      </w:rPr>
    </w:lvl>
  </w:abstractNum>
  <w:abstractNum w:abstractNumId="284">
    <w:nsid w:val="6A2E29E6"/>
    <w:multiLevelType w:val="hybridMultilevel"/>
    <w:tmpl w:val="296A469C"/>
    <w:lvl w:ilvl="0" w:tplc="5F56DF7E">
      <w:start w:val="1"/>
      <w:numFmt w:val="decimal"/>
      <w:lvlText w:val="%1)"/>
      <w:lvlJc w:val="left"/>
      <w:pPr>
        <w:ind w:left="250" w:hanging="284"/>
        <w:jc w:val="right"/>
      </w:pPr>
      <w:rPr>
        <w:rFonts w:ascii="Cambria" w:eastAsia="Cambria" w:hAnsi="Cambria" w:cs="Cambria" w:hint="default"/>
        <w:color w:val="231F20"/>
        <w:spacing w:val="-15"/>
        <w:w w:val="100"/>
        <w:sz w:val="21"/>
        <w:szCs w:val="21"/>
      </w:rPr>
    </w:lvl>
    <w:lvl w:ilvl="1" w:tplc="66CAC120">
      <w:numFmt w:val="bullet"/>
      <w:lvlText w:val="•"/>
      <w:lvlJc w:val="left"/>
      <w:pPr>
        <w:ind w:left="952" w:hanging="284"/>
      </w:pPr>
      <w:rPr>
        <w:rFonts w:hint="default"/>
      </w:rPr>
    </w:lvl>
    <w:lvl w:ilvl="2" w:tplc="7DD28578">
      <w:numFmt w:val="bullet"/>
      <w:lvlText w:val="•"/>
      <w:lvlJc w:val="left"/>
      <w:pPr>
        <w:ind w:left="1644" w:hanging="284"/>
      </w:pPr>
      <w:rPr>
        <w:rFonts w:hint="default"/>
      </w:rPr>
    </w:lvl>
    <w:lvl w:ilvl="3" w:tplc="F1AA90AA">
      <w:numFmt w:val="bullet"/>
      <w:lvlText w:val="•"/>
      <w:lvlJc w:val="left"/>
      <w:pPr>
        <w:ind w:left="2337" w:hanging="284"/>
      </w:pPr>
      <w:rPr>
        <w:rFonts w:hint="default"/>
      </w:rPr>
    </w:lvl>
    <w:lvl w:ilvl="4" w:tplc="77EC27DC">
      <w:numFmt w:val="bullet"/>
      <w:lvlText w:val="•"/>
      <w:lvlJc w:val="left"/>
      <w:pPr>
        <w:ind w:left="3029" w:hanging="284"/>
      </w:pPr>
      <w:rPr>
        <w:rFonts w:hint="default"/>
      </w:rPr>
    </w:lvl>
    <w:lvl w:ilvl="5" w:tplc="A6D25DE6">
      <w:numFmt w:val="bullet"/>
      <w:lvlText w:val="•"/>
      <w:lvlJc w:val="left"/>
      <w:pPr>
        <w:ind w:left="3721" w:hanging="284"/>
      </w:pPr>
      <w:rPr>
        <w:rFonts w:hint="default"/>
      </w:rPr>
    </w:lvl>
    <w:lvl w:ilvl="6" w:tplc="D3528738">
      <w:numFmt w:val="bullet"/>
      <w:lvlText w:val="•"/>
      <w:lvlJc w:val="left"/>
      <w:pPr>
        <w:ind w:left="4414" w:hanging="284"/>
      </w:pPr>
      <w:rPr>
        <w:rFonts w:hint="default"/>
      </w:rPr>
    </w:lvl>
    <w:lvl w:ilvl="7" w:tplc="120807F2">
      <w:numFmt w:val="bullet"/>
      <w:lvlText w:val="•"/>
      <w:lvlJc w:val="left"/>
      <w:pPr>
        <w:ind w:left="5106" w:hanging="284"/>
      </w:pPr>
      <w:rPr>
        <w:rFonts w:hint="default"/>
      </w:rPr>
    </w:lvl>
    <w:lvl w:ilvl="8" w:tplc="1AB87AC8">
      <w:numFmt w:val="bullet"/>
      <w:lvlText w:val="•"/>
      <w:lvlJc w:val="left"/>
      <w:pPr>
        <w:ind w:left="5799" w:hanging="284"/>
      </w:pPr>
      <w:rPr>
        <w:rFonts w:hint="default"/>
      </w:rPr>
    </w:lvl>
  </w:abstractNum>
  <w:abstractNum w:abstractNumId="285">
    <w:nsid w:val="6A5F0839"/>
    <w:multiLevelType w:val="hybridMultilevel"/>
    <w:tmpl w:val="3D06A2DE"/>
    <w:lvl w:ilvl="0" w:tplc="B1DA76D6">
      <w:numFmt w:val="bullet"/>
      <w:lvlText w:val=""/>
      <w:lvlJc w:val="left"/>
      <w:pPr>
        <w:ind w:left="533" w:hanging="284"/>
      </w:pPr>
      <w:rPr>
        <w:rFonts w:ascii="Wingdings" w:eastAsia="Wingdings" w:hAnsi="Wingdings" w:cs="Wingdings" w:hint="default"/>
        <w:color w:val="231F20"/>
        <w:w w:val="100"/>
        <w:sz w:val="21"/>
        <w:szCs w:val="21"/>
      </w:rPr>
    </w:lvl>
    <w:lvl w:ilvl="1" w:tplc="4FA4B0EC">
      <w:numFmt w:val="bullet"/>
      <w:lvlText w:val="•"/>
      <w:lvlJc w:val="left"/>
      <w:pPr>
        <w:ind w:left="1204" w:hanging="284"/>
      </w:pPr>
      <w:rPr>
        <w:rFonts w:hint="default"/>
      </w:rPr>
    </w:lvl>
    <w:lvl w:ilvl="2" w:tplc="EC5E60E8">
      <w:numFmt w:val="bullet"/>
      <w:lvlText w:val="•"/>
      <w:lvlJc w:val="left"/>
      <w:pPr>
        <w:ind w:left="1868" w:hanging="284"/>
      </w:pPr>
      <w:rPr>
        <w:rFonts w:hint="default"/>
      </w:rPr>
    </w:lvl>
    <w:lvl w:ilvl="3" w:tplc="04AA45C0">
      <w:numFmt w:val="bullet"/>
      <w:lvlText w:val="•"/>
      <w:lvlJc w:val="left"/>
      <w:pPr>
        <w:ind w:left="2533" w:hanging="284"/>
      </w:pPr>
      <w:rPr>
        <w:rFonts w:hint="default"/>
      </w:rPr>
    </w:lvl>
    <w:lvl w:ilvl="4" w:tplc="6DCCBC72">
      <w:numFmt w:val="bullet"/>
      <w:lvlText w:val="•"/>
      <w:lvlJc w:val="left"/>
      <w:pPr>
        <w:ind w:left="3197" w:hanging="284"/>
      </w:pPr>
      <w:rPr>
        <w:rFonts w:hint="default"/>
      </w:rPr>
    </w:lvl>
    <w:lvl w:ilvl="5" w:tplc="E61A036E">
      <w:numFmt w:val="bullet"/>
      <w:lvlText w:val="•"/>
      <w:lvlJc w:val="left"/>
      <w:pPr>
        <w:ind w:left="3861" w:hanging="284"/>
      </w:pPr>
      <w:rPr>
        <w:rFonts w:hint="default"/>
      </w:rPr>
    </w:lvl>
    <w:lvl w:ilvl="6" w:tplc="1054D112">
      <w:numFmt w:val="bullet"/>
      <w:lvlText w:val="•"/>
      <w:lvlJc w:val="left"/>
      <w:pPr>
        <w:ind w:left="4526" w:hanging="284"/>
      </w:pPr>
      <w:rPr>
        <w:rFonts w:hint="default"/>
      </w:rPr>
    </w:lvl>
    <w:lvl w:ilvl="7" w:tplc="547EE042">
      <w:numFmt w:val="bullet"/>
      <w:lvlText w:val="•"/>
      <w:lvlJc w:val="left"/>
      <w:pPr>
        <w:ind w:left="5190" w:hanging="284"/>
      </w:pPr>
      <w:rPr>
        <w:rFonts w:hint="default"/>
      </w:rPr>
    </w:lvl>
    <w:lvl w:ilvl="8" w:tplc="08504388">
      <w:numFmt w:val="bullet"/>
      <w:lvlText w:val="•"/>
      <w:lvlJc w:val="left"/>
      <w:pPr>
        <w:ind w:left="5855" w:hanging="284"/>
      </w:pPr>
      <w:rPr>
        <w:rFonts w:hint="default"/>
      </w:rPr>
    </w:lvl>
  </w:abstractNum>
  <w:abstractNum w:abstractNumId="286">
    <w:nsid w:val="6BEF7A3C"/>
    <w:multiLevelType w:val="hybridMultilevel"/>
    <w:tmpl w:val="4FCA69DE"/>
    <w:lvl w:ilvl="0" w:tplc="C0284884">
      <w:start w:val="1"/>
      <w:numFmt w:val="decimal"/>
      <w:lvlText w:val="%1)"/>
      <w:lvlJc w:val="left"/>
      <w:pPr>
        <w:ind w:left="533" w:hanging="284"/>
        <w:jc w:val="left"/>
      </w:pPr>
      <w:rPr>
        <w:rFonts w:ascii="Cambria" w:eastAsia="Cambria" w:hAnsi="Cambria" w:cs="Cambria" w:hint="default"/>
        <w:color w:val="231F20"/>
        <w:spacing w:val="-6"/>
        <w:w w:val="100"/>
        <w:sz w:val="21"/>
        <w:szCs w:val="21"/>
      </w:rPr>
    </w:lvl>
    <w:lvl w:ilvl="1" w:tplc="46720FA0">
      <w:numFmt w:val="bullet"/>
      <w:lvlText w:val="•"/>
      <w:lvlJc w:val="left"/>
      <w:pPr>
        <w:ind w:left="1204" w:hanging="284"/>
      </w:pPr>
      <w:rPr>
        <w:rFonts w:hint="default"/>
      </w:rPr>
    </w:lvl>
    <w:lvl w:ilvl="2" w:tplc="CF441C5A">
      <w:numFmt w:val="bullet"/>
      <w:lvlText w:val="•"/>
      <w:lvlJc w:val="left"/>
      <w:pPr>
        <w:ind w:left="1868" w:hanging="284"/>
      </w:pPr>
      <w:rPr>
        <w:rFonts w:hint="default"/>
      </w:rPr>
    </w:lvl>
    <w:lvl w:ilvl="3" w:tplc="2132D6A8">
      <w:numFmt w:val="bullet"/>
      <w:lvlText w:val="•"/>
      <w:lvlJc w:val="left"/>
      <w:pPr>
        <w:ind w:left="2533" w:hanging="284"/>
      </w:pPr>
      <w:rPr>
        <w:rFonts w:hint="default"/>
      </w:rPr>
    </w:lvl>
    <w:lvl w:ilvl="4" w:tplc="67220062">
      <w:numFmt w:val="bullet"/>
      <w:lvlText w:val="•"/>
      <w:lvlJc w:val="left"/>
      <w:pPr>
        <w:ind w:left="3197" w:hanging="284"/>
      </w:pPr>
      <w:rPr>
        <w:rFonts w:hint="default"/>
      </w:rPr>
    </w:lvl>
    <w:lvl w:ilvl="5" w:tplc="F6F01E18">
      <w:numFmt w:val="bullet"/>
      <w:lvlText w:val="•"/>
      <w:lvlJc w:val="left"/>
      <w:pPr>
        <w:ind w:left="3861" w:hanging="284"/>
      </w:pPr>
      <w:rPr>
        <w:rFonts w:hint="default"/>
      </w:rPr>
    </w:lvl>
    <w:lvl w:ilvl="6" w:tplc="D2B63E94">
      <w:numFmt w:val="bullet"/>
      <w:lvlText w:val="•"/>
      <w:lvlJc w:val="left"/>
      <w:pPr>
        <w:ind w:left="4526" w:hanging="284"/>
      </w:pPr>
      <w:rPr>
        <w:rFonts w:hint="default"/>
      </w:rPr>
    </w:lvl>
    <w:lvl w:ilvl="7" w:tplc="10029B66">
      <w:numFmt w:val="bullet"/>
      <w:lvlText w:val="•"/>
      <w:lvlJc w:val="left"/>
      <w:pPr>
        <w:ind w:left="5190" w:hanging="284"/>
      </w:pPr>
      <w:rPr>
        <w:rFonts w:hint="default"/>
      </w:rPr>
    </w:lvl>
    <w:lvl w:ilvl="8" w:tplc="01A68B1C">
      <w:numFmt w:val="bullet"/>
      <w:lvlText w:val="•"/>
      <w:lvlJc w:val="left"/>
      <w:pPr>
        <w:ind w:left="5855" w:hanging="284"/>
      </w:pPr>
      <w:rPr>
        <w:rFonts w:hint="default"/>
      </w:rPr>
    </w:lvl>
  </w:abstractNum>
  <w:abstractNum w:abstractNumId="287">
    <w:nsid w:val="6CFF4691"/>
    <w:multiLevelType w:val="hybridMultilevel"/>
    <w:tmpl w:val="E71CBC46"/>
    <w:lvl w:ilvl="0" w:tplc="58D6813C">
      <w:start w:val="1"/>
      <w:numFmt w:val="decimal"/>
      <w:lvlText w:val="%1)"/>
      <w:lvlJc w:val="left"/>
      <w:pPr>
        <w:ind w:left="250" w:hanging="284"/>
        <w:jc w:val="left"/>
      </w:pPr>
      <w:rPr>
        <w:rFonts w:ascii="Cambria" w:eastAsia="Cambria" w:hAnsi="Cambria" w:cs="Cambria" w:hint="default"/>
        <w:color w:val="231F20"/>
        <w:spacing w:val="-22"/>
        <w:w w:val="100"/>
        <w:sz w:val="21"/>
        <w:szCs w:val="21"/>
      </w:rPr>
    </w:lvl>
    <w:lvl w:ilvl="1" w:tplc="4D74CE36">
      <w:numFmt w:val="bullet"/>
      <w:lvlText w:val="•"/>
      <w:lvlJc w:val="left"/>
      <w:pPr>
        <w:ind w:left="952" w:hanging="284"/>
      </w:pPr>
      <w:rPr>
        <w:rFonts w:hint="default"/>
      </w:rPr>
    </w:lvl>
    <w:lvl w:ilvl="2" w:tplc="87924E30">
      <w:numFmt w:val="bullet"/>
      <w:lvlText w:val="•"/>
      <w:lvlJc w:val="left"/>
      <w:pPr>
        <w:ind w:left="1644" w:hanging="284"/>
      </w:pPr>
      <w:rPr>
        <w:rFonts w:hint="default"/>
      </w:rPr>
    </w:lvl>
    <w:lvl w:ilvl="3" w:tplc="F160B882">
      <w:numFmt w:val="bullet"/>
      <w:lvlText w:val="•"/>
      <w:lvlJc w:val="left"/>
      <w:pPr>
        <w:ind w:left="2337" w:hanging="284"/>
      </w:pPr>
      <w:rPr>
        <w:rFonts w:hint="default"/>
      </w:rPr>
    </w:lvl>
    <w:lvl w:ilvl="4" w:tplc="DCC29B98">
      <w:numFmt w:val="bullet"/>
      <w:lvlText w:val="•"/>
      <w:lvlJc w:val="left"/>
      <w:pPr>
        <w:ind w:left="3029" w:hanging="284"/>
      </w:pPr>
      <w:rPr>
        <w:rFonts w:hint="default"/>
      </w:rPr>
    </w:lvl>
    <w:lvl w:ilvl="5" w:tplc="90B4DD86">
      <w:numFmt w:val="bullet"/>
      <w:lvlText w:val="•"/>
      <w:lvlJc w:val="left"/>
      <w:pPr>
        <w:ind w:left="3721" w:hanging="284"/>
      </w:pPr>
      <w:rPr>
        <w:rFonts w:hint="default"/>
      </w:rPr>
    </w:lvl>
    <w:lvl w:ilvl="6" w:tplc="22825404">
      <w:numFmt w:val="bullet"/>
      <w:lvlText w:val="•"/>
      <w:lvlJc w:val="left"/>
      <w:pPr>
        <w:ind w:left="4414" w:hanging="284"/>
      </w:pPr>
      <w:rPr>
        <w:rFonts w:hint="default"/>
      </w:rPr>
    </w:lvl>
    <w:lvl w:ilvl="7" w:tplc="7B68DF10">
      <w:numFmt w:val="bullet"/>
      <w:lvlText w:val="•"/>
      <w:lvlJc w:val="left"/>
      <w:pPr>
        <w:ind w:left="5106" w:hanging="284"/>
      </w:pPr>
      <w:rPr>
        <w:rFonts w:hint="default"/>
      </w:rPr>
    </w:lvl>
    <w:lvl w:ilvl="8" w:tplc="E66A1EC8">
      <w:numFmt w:val="bullet"/>
      <w:lvlText w:val="•"/>
      <w:lvlJc w:val="left"/>
      <w:pPr>
        <w:ind w:left="5799" w:hanging="284"/>
      </w:pPr>
      <w:rPr>
        <w:rFonts w:hint="default"/>
      </w:rPr>
    </w:lvl>
  </w:abstractNum>
  <w:abstractNum w:abstractNumId="288">
    <w:nsid w:val="6D1A561F"/>
    <w:multiLevelType w:val="hybridMultilevel"/>
    <w:tmpl w:val="631EF798"/>
    <w:lvl w:ilvl="0" w:tplc="3182BA3C">
      <w:numFmt w:val="bullet"/>
      <w:lvlText w:val="–"/>
      <w:lvlJc w:val="left"/>
      <w:pPr>
        <w:ind w:left="533" w:hanging="284"/>
      </w:pPr>
      <w:rPr>
        <w:rFonts w:ascii="Cambria" w:eastAsia="Cambria" w:hAnsi="Cambria" w:cs="Cambria" w:hint="default"/>
        <w:i/>
        <w:color w:val="231F20"/>
        <w:spacing w:val="-17"/>
        <w:w w:val="100"/>
        <w:sz w:val="21"/>
        <w:szCs w:val="21"/>
      </w:rPr>
    </w:lvl>
    <w:lvl w:ilvl="1" w:tplc="2F786F56">
      <w:numFmt w:val="bullet"/>
      <w:lvlText w:val="•"/>
      <w:lvlJc w:val="left"/>
      <w:pPr>
        <w:ind w:left="1204" w:hanging="284"/>
      </w:pPr>
      <w:rPr>
        <w:rFonts w:hint="default"/>
      </w:rPr>
    </w:lvl>
    <w:lvl w:ilvl="2" w:tplc="C4DCB96A">
      <w:numFmt w:val="bullet"/>
      <w:lvlText w:val="•"/>
      <w:lvlJc w:val="left"/>
      <w:pPr>
        <w:ind w:left="1868" w:hanging="284"/>
      </w:pPr>
      <w:rPr>
        <w:rFonts w:hint="default"/>
      </w:rPr>
    </w:lvl>
    <w:lvl w:ilvl="3" w:tplc="86C24A7A">
      <w:numFmt w:val="bullet"/>
      <w:lvlText w:val="•"/>
      <w:lvlJc w:val="left"/>
      <w:pPr>
        <w:ind w:left="2533" w:hanging="284"/>
      </w:pPr>
      <w:rPr>
        <w:rFonts w:hint="default"/>
      </w:rPr>
    </w:lvl>
    <w:lvl w:ilvl="4" w:tplc="828A61DE">
      <w:numFmt w:val="bullet"/>
      <w:lvlText w:val="•"/>
      <w:lvlJc w:val="left"/>
      <w:pPr>
        <w:ind w:left="3197" w:hanging="284"/>
      </w:pPr>
      <w:rPr>
        <w:rFonts w:hint="default"/>
      </w:rPr>
    </w:lvl>
    <w:lvl w:ilvl="5" w:tplc="F4B8E3D6">
      <w:numFmt w:val="bullet"/>
      <w:lvlText w:val="•"/>
      <w:lvlJc w:val="left"/>
      <w:pPr>
        <w:ind w:left="3861" w:hanging="284"/>
      </w:pPr>
      <w:rPr>
        <w:rFonts w:hint="default"/>
      </w:rPr>
    </w:lvl>
    <w:lvl w:ilvl="6" w:tplc="16C01B86">
      <w:numFmt w:val="bullet"/>
      <w:lvlText w:val="•"/>
      <w:lvlJc w:val="left"/>
      <w:pPr>
        <w:ind w:left="4526" w:hanging="284"/>
      </w:pPr>
      <w:rPr>
        <w:rFonts w:hint="default"/>
      </w:rPr>
    </w:lvl>
    <w:lvl w:ilvl="7" w:tplc="3CCA83BE">
      <w:numFmt w:val="bullet"/>
      <w:lvlText w:val="•"/>
      <w:lvlJc w:val="left"/>
      <w:pPr>
        <w:ind w:left="5190" w:hanging="284"/>
      </w:pPr>
      <w:rPr>
        <w:rFonts w:hint="default"/>
      </w:rPr>
    </w:lvl>
    <w:lvl w:ilvl="8" w:tplc="7B9EBD46">
      <w:numFmt w:val="bullet"/>
      <w:lvlText w:val="•"/>
      <w:lvlJc w:val="left"/>
      <w:pPr>
        <w:ind w:left="5855" w:hanging="284"/>
      </w:pPr>
      <w:rPr>
        <w:rFonts w:hint="default"/>
      </w:rPr>
    </w:lvl>
  </w:abstractNum>
  <w:abstractNum w:abstractNumId="289">
    <w:nsid w:val="6DC61B02"/>
    <w:multiLevelType w:val="hybridMultilevel"/>
    <w:tmpl w:val="C5DE4DD2"/>
    <w:lvl w:ilvl="0" w:tplc="DF0A2B50">
      <w:start w:val="1"/>
      <w:numFmt w:val="decimal"/>
      <w:lvlText w:val="%1."/>
      <w:lvlJc w:val="left"/>
      <w:pPr>
        <w:ind w:left="533" w:hanging="284"/>
        <w:jc w:val="left"/>
      </w:pPr>
      <w:rPr>
        <w:rFonts w:ascii="Cambria" w:eastAsia="Cambria" w:hAnsi="Cambria" w:cs="Cambria" w:hint="default"/>
        <w:color w:val="231F20"/>
        <w:spacing w:val="-17"/>
        <w:w w:val="100"/>
        <w:sz w:val="21"/>
        <w:szCs w:val="21"/>
      </w:rPr>
    </w:lvl>
    <w:lvl w:ilvl="1" w:tplc="0D4A295A">
      <w:numFmt w:val="bullet"/>
      <w:lvlText w:val="•"/>
      <w:lvlJc w:val="left"/>
      <w:pPr>
        <w:ind w:left="1204" w:hanging="284"/>
      </w:pPr>
      <w:rPr>
        <w:rFonts w:hint="default"/>
      </w:rPr>
    </w:lvl>
    <w:lvl w:ilvl="2" w:tplc="E354B374">
      <w:numFmt w:val="bullet"/>
      <w:lvlText w:val="•"/>
      <w:lvlJc w:val="left"/>
      <w:pPr>
        <w:ind w:left="1868" w:hanging="284"/>
      </w:pPr>
      <w:rPr>
        <w:rFonts w:hint="default"/>
      </w:rPr>
    </w:lvl>
    <w:lvl w:ilvl="3" w:tplc="0C822C8A">
      <w:numFmt w:val="bullet"/>
      <w:lvlText w:val="•"/>
      <w:lvlJc w:val="left"/>
      <w:pPr>
        <w:ind w:left="2533" w:hanging="284"/>
      </w:pPr>
      <w:rPr>
        <w:rFonts w:hint="default"/>
      </w:rPr>
    </w:lvl>
    <w:lvl w:ilvl="4" w:tplc="37B470FC">
      <w:numFmt w:val="bullet"/>
      <w:lvlText w:val="•"/>
      <w:lvlJc w:val="left"/>
      <w:pPr>
        <w:ind w:left="3197" w:hanging="284"/>
      </w:pPr>
      <w:rPr>
        <w:rFonts w:hint="default"/>
      </w:rPr>
    </w:lvl>
    <w:lvl w:ilvl="5" w:tplc="D292CD6C">
      <w:numFmt w:val="bullet"/>
      <w:lvlText w:val="•"/>
      <w:lvlJc w:val="left"/>
      <w:pPr>
        <w:ind w:left="3861" w:hanging="284"/>
      </w:pPr>
      <w:rPr>
        <w:rFonts w:hint="default"/>
      </w:rPr>
    </w:lvl>
    <w:lvl w:ilvl="6" w:tplc="246A6F10">
      <w:numFmt w:val="bullet"/>
      <w:lvlText w:val="•"/>
      <w:lvlJc w:val="left"/>
      <w:pPr>
        <w:ind w:left="4526" w:hanging="284"/>
      </w:pPr>
      <w:rPr>
        <w:rFonts w:hint="default"/>
      </w:rPr>
    </w:lvl>
    <w:lvl w:ilvl="7" w:tplc="4A32EC0C">
      <w:numFmt w:val="bullet"/>
      <w:lvlText w:val="•"/>
      <w:lvlJc w:val="left"/>
      <w:pPr>
        <w:ind w:left="5190" w:hanging="284"/>
      </w:pPr>
      <w:rPr>
        <w:rFonts w:hint="default"/>
      </w:rPr>
    </w:lvl>
    <w:lvl w:ilvl="8" w:tplc="16FAE9AC">
      <w:numFmt w:val="bullet"/>
      <w:lvlText w:val="•"/>
      <w:lvlJc w:val="left"/>
      <w:pPr>
        <w:ind w:left="5855" w:hanging="284"/>
      </w:pPr>
      <w:rPr>
        <w:rFonts w:hint="default"/>
      </w:rPr>
    </w:lvl>
  </w:abstractNum>
  <w:abstractNum w:abstractNumId="290">
    <w:nsid w:val="6DF227A0"/>
    <w:multiLevelType w:val="hybridMultilevel"/>
    <w:tmpl w:val="ABE86734"/>
    <w:lvl w:ilvl="0" w:tplc="C7269678">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F9524166">
      <w:numFmt w:val="bullet"/>
      <w:lvlText w:val="•"/>
      <w:lvlJc w:val="left"/>
      <w:pPr>
        <w:ind w:left="952" w:hanging="284"/>
      </w:pPr>
      <w:rPr>
        <w:rFonts w:hint="default"/>
      </w:rPr>
    </w:lvl>
    <w:lvl w:ilvl="2" w:tplc="37EA9D7E">
      <w:numFmt w:val="bullet"/>
      <w:lvlText w:val="•"/>
      <w:lvlJc w:val="left"/>
      <w:pPr>
        <w:ind w:left="1644" w:hanging="284"/>
      </w:pPr>
      <w:rPr>
        <w:rFonts w:hint="default"/>
      </w:rPr>
    </w:lvl>
    <w:lvl w:ilvl="3" w:tplc="74EE6E68">
      <w:numFmt w:val="bullet"/>
      <w:lvlText w:val="•"/>
      <w:lvlJc w:val="left"/>
      <w:pPr>
        <w:ind w:left="2337" w:hanging="284"/>
      </w:pPr>
      <w:rPr>
        <w:rFonts w:hint="default"/>
      </w:rPr>
    </w:lvl>
    <w:lvl w:ilvl="4" w:tplc="0E761FD6">
      <w:numFmt w:val="bullet"/>
      <w:lvlText w:val="•"/>
      <w:lvlJc w:val="left"/>
      <w:pPr>
        <w:ind w:left="3029" w:hanging="284"/>
      </w:pPr>
      <w:rPr>
        <w:rFonts w:hint="default"/>
      </w:rPr>
    </w:lvl>
    <w:lvl w:ilvl="5" w:tplc="DD7EA66E">
      <w:numFmt w:val="bullet"/>
      <w:lvlText w:val="•"/>
      <w:lvlJc w:val="left"/>
      <w:pPr>
        <w:ind w:left="3721" w:hanging="284"/>
      </w:pPr>
      <w:rPr>
        <w:rFonts w:hint="default"/>
      </w:rPr>
    </w:lvl>
    <w:lvl w:ilvl="6" w:tplc="4C4A47DC">
      <w:numFmt w:val="bullet"/>
      <w:lvlText w:val="•"/>
      <w:lvlJc w:val="left"/>
      <w:pPr>
        <w:ind w:left="4414" w:hanging="284"/>
      </w:pPr>
      <w:rPr>
        <w:rFonts w:hint="default"/>
      </w:rPr>
    </w:lvl>
    <w:lvl w:ilvl="7" w:tplc="414ED9B6">
      <w:numFmt w:val="bullet"/>
      <w:lvlText w:val="•"/>
      <w:lvlJc w:val="left"/>
      <w:pPr>
        <w:ind w:left="5106" w:hanging="284"/>
      </w:pPr>
      <w:rPr>
        <w:rFonts w:hint="default"/>
      </w:rPr>
    </w:lvl>
    <w:lvl w:ilvl="8" w:tplc="C55020FC">
      <w:numFmt w:val="bullet"/>
      <w:lvlText w:val="•"/>
      <w:lvlJc w:val="left"/>
      <w:pPr>
        <w:ind w:left="5799" w:hanging="284"/>
      </w:pPr>
      <w:rPr>
        <w:rFonts w:hint="default"/>
      </w:rPr>
    </w:lvl>
  </w:abstractNum>
  <w:abstractNum w:abstractNumId="291">
    <w:nsid w:val="6E91029F"/>
    <w:multiLevelType w:val="hybridMultilevel"/>
    <w:tmpl w:val="7B0C1C6E"/>
    <w:lvl w:ilvl="0" w:tplc="2932B104">
      <w:start w:val="1"/>
      <w:numFmt w:val="decimal"/>
      <w:lvlText w:val="%1)"/>
      <w:lvlJc w:val="left"/>
      <w:pPr>
        <w:ind w:left="1100" w:hanging="284"/>
        <w:jc w:val="left"/>
      </w:pPr>
      <w:rPr>
        <w:rFonts w:ascii="Cambria" w:eastAsia="Cambria" w:hAnsi="Cambria" w:cs="Cambria" w:hint="default"/>
        <w:color w:val="231F20"/>
        <w:spacing w:val="-6"/>
        <w:w w:val="100"/>
        <w:sz w:val="21"/>
        <w:szCs w:val="21"/>
      </w:rPr>
    </w:lvl>
    <w:lvl w:ilvl="1" w:tplc="93F6E5F0">
      <w:numFmt w:val="bullet"/>
      <w:lvlText w:val="•"/>
      <w:lvlJc w:val="left"/>
      <w:pPr>
        <w:ind w:left="1708" w:hanging="284"/>
      </w:pPr>
      <w:rPr>
        <w:rFonts w:hint="default"/>
      </w:rPr>
    </w:lvl>
    <w:lvl w:ilvl="2" w:tplc="BAF257BA">
      <w:numFmt w:val="bullet"/>
      <w:lvlText w:val="•"/>
      <w:lvlJc w:val="left"/>
      <w:pPr>
        <w:ind w:left="2316" w:hanging="284"/>
      </w:pPr>
      <w:rPr>
        <w:rFonts w:hint="default"/>
      </w:rPr>
    </w:lvl>
    <w:lvl w:ilvl="3" w:tplc="D5826B96">
      <w:numFmt w:val="bullet"/>
      <w:lvlText w:val="•"/>
      <w:lvlJc w:val="left"/>
      <w:pPr>
        <w:ind w:left="2925" w:hanging="284"/>
      </w:pPr>
      <w:rPr>
        <w:rFonts w:hint="default"/>
      </w:rPr>
    </w:lvl>
    <w:lvl w:ilvl="4" w:tplc="E8BAEC72">
      <w:numFmt w:val="bullet"/>
      <w:lvlText w:val="•"/>
      <w:lvlJc w:val="left"/>
      <w:pPr>
        <w:ind w:left="3533" w:hanging="284"/>
      </w:pPr>
      <w:rPr>
        <w:rFonts w:hint="default"/>
      </w:rPr>
    </w:lvl>
    <w:lvl w:ilvl="5" w:tplc="98EC2DDC">
      <w:numFmt w:val="bullet"/>
      <w:lvlText w:val="•"/>
      <w:lvlJc w:val="left"/>
      <w:pPr>
        <w:ind w:left="4141" w:hanging="284"/>
      </w:pPr>
      <w:rPr>
        <w:rFonts w:hint="default"/>
      </w:rPr>
    </w:lvl>
    <w:lvl w:ilvl="6" w:tplc="95148EA0">
      <w:numFmt w:val="bullet"/>
      <w:lvlText w:val="•"/>
      <w:lvlJc w:val="left"/>
      <w:pPr>
        <w:ind w:left="4750" w:hanging="284"/>
      </w:pPr>
      <w:rPr>
        <w:rFonts w:hint="default"/>
      </w:rPr>
    </w:lvl>
    <w:lvl w:ilvl="7" w:tplc="3224EED4">
      <w:numFmt w:val="bullet"/>
      <w:lvlText w:val="•"/>
      <w:lvlJc w:val="left"/>
      <w:pPr>
        <w:ind w:left="5358" w:hanging="284"/>
      </w:pPr>
      <w:rPr>
        <w:rFonts w:hint="default"/>
      </w:rPr>
    </w:lvl>
    <w:lvl w:ilvl="8" w:tplc="DACC436E">
      <w:numFmt w:val="bullet"/>
      <w:lvlText w:val="•"/>
      <w:lvlJc w:val="left"/>
      <w:pPr>
        <w:ind w:left="5967" w:hanging="284"/>
      </w:pPr>
      <w:rPr>
        <w:rFonts w:hint="default"/>
      </w:rPr>
    </w:lvl>
  </w:abstractNum>
  <w:abstractNum w:abstractNumId="292">
    <w:nsid w:val="6ECF3C28"/>
    <w:multiLevelType w:val="hybridMultilevel"/>
    <w:tmpl w:val="085ACED0"/>
    <w:lvl w:ilvl="0" w:tplc="A6B28256">
      <w:numFmt w:val="bullet"/>
      <w:lvlText w:val=""/>
      <w:lvlJc w:val="left"/>
      <w:pPr>
        <w:ind w:left="533" w:hanging="284"/>
      </w:pPr>
      <w:rPr>
        <w:rFonts w:ascii="Wingdings" w:eastAsia="Wingdings" w:hAnsi="Wingdings" w:cs="Wingdings" w:hint="default"/>
        <w:color w:val="231F20"/>
        <w:w w:val="100"/>
        <w:sz w:val="21"/>
        <w:szCs w:val="21"/>
      </w:rPr>
    </w:lvl>
    <w:lvl w:ilvl="1" w:tplc="87B222EE">
      <w:numFmt w:val="bullet"/>
      <w:lvlText w:val="•"/>
      <w:lvlJc w:val="left"/>
      <w:pPr>
        <w:ind w:left="1204" w:hanging="284"/>
      </w:pPr>
      <w:rPr>
        <w:rFonts w:hint="default"/>
      </w:rPr>
    </w:lvl>
    <w:lvl w:ilvl="2" w:tplc="88FC8DCC">
      <w:numFmt w:val="bullet"/>
      <w:lvlText w:val="•"/>
      <w:lvlJc w:val="left"/>
      <w:pPr>
        <w:ind w:left="1868" w:hanging="284"/>
      </w:pPr>
      <w:rPr>
        <w:rFonts w:hint="default"/>
      </w:rPr>
    </w:lvl>
    <w:lvl w:ilvl="3" w:tplc="672433DA">
      <w:numFmt w:val="bullet"/>
      <w:lvlText w:val="•"/>
      <w:lvlJc w:val="left"/>
      <w:pPr>
        <w:ind w:left="2533" w:hanging="284"/>
      </w:pPr>
      <w:rPr>
        <w:rFonts w:hint="default"/>
      </w:rPr>
    </w:lvl>
    <w:lvl w:ilvl="4" w:tplc="908840D0">
      <w:numFmt w:val="bullet"/>
      <w:lvlText w:val="•"/>
      <w:lvlJc w:val="left"/>
      <w:pPr>
        <w:ind w:left="3197" w:hanging="284"/>
      </w:pPr>
      <w:rPr>
        <w:rFonts w:hint="default"/>
      </w:rPr>
    </w:lvl>
    <w:lvl w:ilvl="5" w:tplc="C6541F28">
      <w:numFmt w:val="bullet"/>
      <w:lvlText w:val="•"/>
      <w:lvlJc w:val="left"/>
      <w:pPr>
        <w:ind w:left="3861" w:hanging="284"/>
      </w:pPr>
      <w:rPr>
        <w:rFonts w:hint="default"/>
      </w:rPr>
    </w:lvl>
    <w:lvl w:ilvl="6" w:tplc="B18E4584">
      <w:numFmt w:val="bullet"/>
      <w:lvlText w:val="•"/>
      <w:lvlJc w:val="left"/>
      <w:pPr>
        <w:ind w:left="4526" w:hanging="284"/>
      </w:pPr>
      <w:rPr>
        <w:rFonts w:hint="default"/>
      </w:rPr>
    </w:lvl>
    <w:lvl w:ilvl="7" w:tplc="3AD2DF74">
      <w:numFmt w:val="bullet"/>
      <w:lvlText w:val="•"/>
      <w:lvlJc w:val="left"/>
      <w:pPr>
        <w:ind w:left="5190" w:hanging="284"/>
      </w:pPr>
      <w:rPr>
        <w:rFonts w:hint="default"/>
      </w:rPr>
    </w:lvl>
    <w:lvl w:ilvl="8" w:tplc="DF6240BC">
      <w:numFmt w:val="bullet"/>
      <w:lvlText w:val="•"/>
      <w:lvlJc w:val="left"/>
      <w:pPr>
        <w:ind w:left="5855" w:hanging="284"/>
      </w:pPr>
      <w:rPr>
        <w:rFonts w:hint="default"/>
      </w:rPr>
    </w:lvl>
  </w:abstractNum>
  <w:abstractNum w:abstractNumId="293">
    <w:nsid w:val="6F0568E8"/>
    <w:multiLevelType w:val="hybridMultilevel"/>
    <w:tmpl w:val="D474FED0"/>
    <w:lvl w:ilvl="0" w:tplc="05B09FCA">
      <w:start w:val="1"/>
      <w:numFmt w:val="decimal"/>
      <w:lvlText w:val="%1)"/>
      <w:lvlJc w:val="left"/>
      <w:pPr>
        <w:ind w:left="250" w:hanging="284"/>
        <w:jc w:val="left"/>
      </w:pPr>
      <w:rPr>
        <w:rFonts w:ascii="Cambria" w:eastAsia="Cambria" w:hAnsi="Cambria" w:cs="Cambria" w:hint="default"/>
        <w:color w:val="231F20"/>
        <w:spacing w:val="-17"/>
        <w:w w:val="100"/>
        <w:sz w:val="21"/>
        <w:szCs w:val="21"/>
      </w:rPr>
    </w:lvl>
    <w:lvl w:ilvl="1" w:tplc="9D0ED358">
      <w:numFmt w:val="bullet"/>
      <w:lvlText w:val="•"/>
      <w:lvlJc w:val="left"/>
      <w:pPr>
        <w:ind w:left="952" w:hanging="284"/>
      </w:pPr>
      <w:rPr>
        <w:rFonts w:hint="default"/>
      </w:rPr>
    </w:lvl>
    <w:lvl w:ilvl="2" w:tplc="640EFE8A">
      <w:numFmt w:val="bullet"/>
      <w:lvlText w:val="•"/>
      <w:lvlJc w:val="left"/>
      <w:pPr>
        <w:ind w:left="1644" w:hanging="284"/>
      </w:pPr>
      <w:rPr>
        <w:rFonts w:hint="default"/>
      </w:rPr>
    </w:lvl>
    <w:lvl w:ilvl="3" w:tplc="A322BB86">
      <w:numFmt w:val="bullet"/>
      <w:lvlText w:val="•"/>
      <w:lvlJc w:val="left"/>
      <w:pPr>
        <w:ind w:left="2337" w:hanging="284"/>
      </w:pPr>
      <w:rPr>
        <w:rFonts w:hint="default"/>
      </w:rPr>
    </w:lvl>
    <w:lvl w:ilvl="4" w:tplc="B5FE8A2C">
      <w:numFmt w:val="bullet"/>
      <w:lvlText w:val="•"/>
      <w:lvlJc w:val="left"/>
      <w:pPr>
        <w:ind w:left="3029" w:hanging="284"/>
      </w:pPr>
      <w:rPr>
        <w:rFonts w:hint="default"/>
      </w:rPr>
    </w:lvl>
    <w:lvl w:ilvl="5" w:tplc="4BD4950E">
      <w:numFmt w:val="bullet"/>
      <w:lvlText w:val="•"/>
      <w:lvlJc w:val="left"/>
      <w:pPr>
        <w:ind w:left="3721" w:hanging="284"/>
      </w:pPr>
      <w:rPr>
        <w:rFonts w:hint="default"/>
      </w:rPr>
    </w:lvl>
    <w:lvl w:ilvl="6" w:tplc="C2F83394">
      <w:numFmt w:val="bullet"/>
      <w:lvlText w:val="•"/>
      <w:lvlJc w:val="left"/>
      <w:pPr>
        <w:ind w:left="4414" w:hanging="284"/>
      </w:pPr>
      <w:rPr>
        <w:rFonts w:hint="default"/>
      </w:rPr>
    </w:lvl>
    <w:lvl w:ilvl="7" w:tplc="176CD35E">
      <w:numFmt w:val="bullet"/>
      <w:lvlText w:val="•"/>
      <w:lvlJc w:val="left"/>
      <w:pPr>
        <w:ind w:left="5106" w:hanging="284"/>
      </w:pPr>
      <w:rPr>
        <w:rFonts w:hint="default"/>
      </w:rPr>
    </w:lvl>
    <w:lvl w:ilvl="8" w:tplc="4FF4A050">
      <w:numFmt w:val="bullet"/>
      <w:lvlText w:val="•"/>
      <w:lvlJc w:val="left"/>
      <w:pPr>
        <w:ind w:left="5799" w:hanging="284"/>
      </w:pPr>
      <w:rPr>
        <w:rFonts w:hint="default"/>
      </w:rPr>
    </w:lvl>
  </w:abstractNum>
  <w:abstractNum w:abstractNumId="294">
    <w:nsid w:val="6F345EFC"/>
    <w:multiLevelType w:val="hybridMultilevel"/>
    <w:tmpl w:val="6986CDF6"/>
    <w:lvl w:ilvl="0" w:tplc="1092F214">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6D00FCF8">
      <w:numFmt w:val="bullet"/>
      <w:lvlText w:val=""/>
      <w:lvlJc w:val="left"/>
      <w:pPr>
        <w:ind w:left="533" w:hanging="284"/>
      </w:pPr>
      <w:rPr>
        <w:rFonts w:ascii="Wingdings" w:eastAsia="Wingdings" w:hAnsi="Wingdings" w:cs="Wingdings" w:hint="default"/>
        <w:color w:val="231F20"/>
        <w:w w:val="100"/>
        <w:sz w:val="21"/>
        <w:szCs w:val="21"/>
      </w:rPr>
    </w:lvl>
    <w:lvl w:ilvl="2" w:tplc="68261042">
      <w:numFmt w:val="bullet"/>
      <w:lvlText w:val="•"/>
      <w:lvlJc w:val="left"/>
      <w:pPr>
        <w:ind w:left="1278" w:hanging="284"/>
      </w:pPr>
      <w:rPr>
        <w:rFonts w:hint="default"/>
      </w:rPr>
    </w:lvl>
    <w:lvl w:ilvl="3" w:tplc="F7C83E7A">
      <w:numFmt w:val="bullet"/>
      <w:lvlText w:val="•"/>
      <w:lvlJc w:val="left"/>
      <w:pPr>
        <w:ind w:left="2016" w:hanging="284"/>
      </w:pPr>
      <w:rPr>
        <w:rFonts w:hint="default"/>
      </w:rPr>
    </w:lvl>
    <w:lvl w:ilvl="4" w:tplc="25E4F1EA">
      <w:numFmt w:val="bullet"/>
      <w:lvlText w:val="•"/>
      <w:lvlJc w:val="left"/>
      <w:pPr>
        <w:ind w:left="2754" w:hanging="284"/>
      </w:pPr>
      <w:rPr>
        <w:rFonts w:hint="default"/>
      </w:rPr>
    </w:lvl>
    <w:lvl w:ilvl="5" w:tplc="45986B26">
      <w:numFmt w:val="bullet"/>
      <w:lvlText w:val="•"/>
      <w:lvlJc w:val="left"/>
      <w:pPr>
        <w:ind w:left="3492" w:hanging="284"/>
      </w:pPr>
      <w:rPr>
        <w:rFonts w:hint="default"/>
      </w:rPr>
    </w:lvl>
    <w:lvl w:ilvl="6" w:tplc="24448CEE">
      <w:numFmt w:val="bullet"/>
      <w:lvlText w:val="•"/>
      <w:lvlJc w:val="left"/>
      <w:pPr>
        <w:ind w:left="4231" w:hanging="284"/>
      </w:pPr>
      <w:rPr>
        <w:rFonts w:hint="default"/>
      </w:rPr>
    </w:lvl>
    <w:lvl w:ilvl="7" w:tplc="178CD934">
      <w:numFmt w:val="bullet"/>
      <w:lvlText w:val="•"/>
      <w:lvlJc w:val="left"/>
      <w:pPr>
        <w:ind w:left="4969" w:hanging="284"/>
      </w:pPr>
      <w:rPr>
        <w:rFonts w:hint="default"/>
      </w:rPr>
    </w:lvl>
    <w:lvl w:ilvl="8" w:tplc="3A648C6E">
      <w:numFmt w:val="bullet"/>
      <w:lvlText w:val="•"/>
      <w:lvlJc w:val="left"/>
      <w:pPr>
        <w:ind w:left="5707" w:hanging="284"/>
      </w:pPr>
      <w:rPr>
        <w:rFonts w:hint="default"/>
      </w:rPr>
    </w:lvl>
  </w:abstractNum>
  <w:abstractNum w:abstractNumId="295">
    <w:nsid w:val="6F927AA1"/>
    <w:multiLevelType w:val="hybridMultilevel"/>
    <w:tmpl w:val="7E061154"/>
    <w:lvl w:ilvl="0" w:tplc="38D6D922">
      <w:numFmt w:val="bullet"/>
      <w:lvlText w:val="–"/>
      <w:lvlJc w:val="left"/>
      <w:pPr>
        <w:ind w:left="250" w:hanging="284"/>
      </w:pPr>
      <w:rPr>
        <w:rFonts w:ascii="Cambria" w:eastAsia="Cambria" w:hAnsi="Cambria" w:cs="Cambria" w:hint="default"/>
        <w:b/>
        <w:bCs/>
        <w:color w:val="231F20"/>
        <w:spacing w:val="-21"/>
        <w:w w:val="100"/>
        <w:sz w:val="21"/>
        <w:szCs w:val="21"/>
      </w:rPr>
    </w:lvl>
    <w:lvl w:ilvl="1" w:tplc="A57ACC90">
      <w:numFmt w:val="bullet"/>
      <w:lvlText w:val=""/>
      <w:lvlJc w:val="left"/>
      <w:pPr>
        <w:ind w:left="533" w:hanging="284"/>
      </w:pPr>
      <w:rPr>
        <w:rFonts w:ascii="Wingdings" w:eastAsia="Wingdings" w:hAnsi="Wingdings" w:cs="Wingdings" w:hint="default"/>
        <w:color w:val="231F20"/>
        <w:w w:val="100"/>
        <w:sz w:val="21"/>
        <w:szCs w:val="21"/>
      </w:rPr>
    </w:lvl>
    <w:lvl w:ilvl="2" w:tplc="65303AAA">
      <w:numFmt w:val="bullet"/>
      <w:lvlText w:val="•"/>
      <w:lvlJc w:val="left"/>
      <w:pPr>
        <w:ind w:left="1278" w:hanging="284"/>
      </w:pPr>
      <w:rPr>
        <w:rFonts w:hint="default"/>
      </w:rPr>
    </w:lvl>
    <w:lvl w:ilvl="3" w:tplc="FAF09370">
      <w:numFmt w:val="bullet"/>
      <w:lvlText w:val="•"/>
      <w:lvlJc w:val="left"/>
      <w:pPr>
        <w:ind w:left="2016" w:hanging="284"/>
      </w:pPr>
      <w:rPr>
        <w:rFonts w:hint="default"/>
      </w:rPr>
    </w:lvl>
    <w:lvl w:ilvl="4" w:tplc="DB6A1462">
      <w:numFmt w:val="bullet"/>
      <w:lvlText w:val="•"/>
      <w:lvlJc w:val="left"/>
      <w:pPr>
        <w:ind w:left="2754" w:hanging="284"/>
      </w:pPr>
      <w:rPr>
        <w:rFonts w:hint="default"/>
      </w:rPr>
    </w:lvl>
    <w:lvl w:ilvl="5" w:tplc="563A818A">
      <w:numFmt w:val="bullet"/>
      <w:lvlText w:val="•"/>
      <w:lvlJc w:val="left"/>
      <w:pPr>
        <w:ind w:left="3492" w:hanging="284"/>
      </w:pPr>
      <w:rPr>
        <w:rFonts w:hint="default"/>
      </w:rPr>
    </w:lvl>
    <w:lvl w:ilvl="6" w:tplc="EE500B72">
      <w:numFmt w:val="bullet"/>
      <w:lvlText w:val="•"/>
      <w:lvlJc w:val="left"/>
      <w:pPr>
        <w:ind w:left="4231" w:hanging="284"/>
      </w:pPr>
      <w:rPr>
        <w:rFonts w:hint="default"/>
      </w:rPr>
    </w:lvl>
    <w:lvl w:ilvl="7" w:tplc="7D106AEA">
      <w:numFmt w:val="bullet"/>
      <w:lvlText w:val="•"/>
      <w:lvlJc w:val="left"/>
      <w:pPr>
        <w:ind w:left="4969" w:hanging="284"/>
      </w:pPr>
      <w:rPr>
        <w:rFonts w:hint="default"/>
      </w:rPr>
    </w:lvl>
    <w:lvl w:ilvl="8" w:tplc="1FB00E62">
      <w:numFmt w:val="bullet"/>
      <w:lvlText w:val="•"/>
      <w:lvlJc w:val="left"/>
      <w:pPr>
        <w:ind w:left="5707" w:hanging="284"/>
      </w:pPr>
      <w:rPr>
        <w:rFonts w:hint="default"/>
      </w:rPr>
    </w:lvl>
  </w:abstractNum>
  <w:abstractNum w:abstractNumId="296">
    <w:nsid w:val="6FD93580"/>
    <w:multiLevelType w:val="multilevel"/>
    <w:tmpl w:val="BDC01E70"/>
    <w:lvl w:ilvl="0">
      <w:start w:val="4"/>
      <w:numFmt w:val="decimal"/>
      <w:lvlText w:val="%1"/>
      <w:lvlJc w:val="left"/>
      <w:pPr>
        <w:ind w:left="930" w:hanging="397"/>
        <w:jc w:val="left"/>
      </w:pPr>
      <w:rPr>
        <w:rFonts w:hint="default"/>
      </w:rPr>
    </w:lvl>
    <w:lvl w:ilvl="1">
      <w:start w:val="1"/>
      <w:numFmt w:val="decimal"/>
      <w:lvlText w:val="%1.%2."/>
      <w:lvlJc w:val="left"/>
      <w:pPr>
        <w:ind w:left="930" w:hanging="397"/>
        <w:jc w:val="left"/>
      </w:pPr>
      <w:rPr>
        <w:rFonts w:ascii="Cambria" w:eastAsia="Cambria" w:hAnsi="Cambria" w:cs="Cambria" w:hint="default"/>
        <w:b/>
        <w:bCs/>
        <w:color w:val="231F20"/>
        <w:spacing w:val="-1"/>
        <w:w w:val="100"/>
        <w:sz w:val="21"/>
        <w:szCs w:val="21"/>
      </w:rPr>
    </w:lvl>
    <w:lvl w:ilvl="2">
      <w:numFmt w:val="bullet"/>
      <w:lvlText w:val="•"/>
      <w:lvlJc w:val="left"/>
      <w:pPr>
        <w:ind w:left="2188" w:hanging="397"/>
      </w:pPr>
      <w:rPr>
        <w:rFonts w:hint="default"/>
      </w:rPr>
    </w:lvl>
    <w:lvl w:ilvl="3">
      <w:numFmt w:val="bullet"/>
      <w:lvlText w:val="•"/>
      <w:lvlJc w:val="left"/>
      <w:pPr>
        <w:ind w:left="2813" w:hanging="397"/>
      </w:pPr>
      <w:rPr>
        <w:rFonts w:hint="default"/>
      </w:rPr>
    </w:lvl>
    <w:lvl w:ilvl="4">
      <w:numFmt w:val="bullet"/>
      <w:lvlText w:val="•"/>
      <w:lvlJc w:val="left"/>
      <w:pPr>
        <w:ind w:left="3437" w:hanging="397"/>
      </w:pPr>
      <w:rPr>
        <w:rFonts w:hint="default"/>
      </w:rPr>
    </w:lvl>
    <w:lvl w:ilvl="5">
      <w:numFmt w:val="bullet"/>
      <w:lvlText w:val="•"/>
      <w:lvlJc w:val="left"/>
      <w:pPr>
        <w:ind w:left="4061" w:hanging="397"/>
      </w:pPr>
      <w:rPr>
        <w:rFonts w:hint="default"/>
      </w:rPr>
    </w:lvl>
    <w:lvl w:ilvl="6">
      <w:numFmt w:val="bullet"/>
      <w:lvlText w:val="•"/>
      <w:lvlJc w:val="left"/>
      <w:pPr>
        <w:ind w:left="4686" w:hanging="397"/>
      </w:pPr>
      <w:rPr>
        <w:rFonts w:hint="default"/>
      </w:rPr>
    </w:lvl>
    <w:lvl w:ilvl="7">
      <w:numFmt w:val="bullet"/>
      <w:lvlText w:val="•"/>
      <w:lvlJc w:val="left"/>
      <w:pPr>
        <w:ind w:left="5310" w:hanging="397"/>
      </w:pPr>
      <w:rPr>
        <w:rFonts w:hint="default"/>
      </w:rPr>
    </w:lvl>
    <w:lvl w:ilvl="8">
      <w:numFmt w:val="bullet"/>
      <w:lvlText w:val="•"/>
      <w:lvlJc w:val="left"/>
      <w:pPr>
        <w:ind w:left="5935" w:hanging="397"/>
      </w:pPr>
      <w:rPr>
        <w:rFonts w:hint="default"/>
      </w:rPr>
    </w:lvl>
  </w:abstractNum>
  <w:abstractNum w:abstractNumId="297">
    <w:nsid w:val="6FF278B9"/>
    <w:multiLevelType w:val="hybridMultilevel"/>
    <w:tmpl w:val="5F12B13A"/>
    <w:lvl w:ilvl="0" w:tplc="6C3482F6">
      <w:start w:val="1"/>
      <w:numFmt w:val="decimal"/>
      <w:lvlText w:val="%1)"/>
      <w:lvlJc w:val="left"/>
      <w:pPr>
        <w:ind w:left="250" w:hanging="238"/>
        <w:jc w:val="left"/>
      </w:pPr>
      <w:rPr>
        <w:rFonts w:ascii="Cambria" w:eastAsia="Cambria" w:hAnsi="Cambria" w:cs="Cambria" w:hint="default"/>
        <w:color w:val="231F20"/>
        <w:w w:val="100"/>
        <w:sz w:val="21"/>
        <w:szCs w:val="21"/>
      </w:rPr>
    </w:lvl>
    <w:lvl w:ilvl="1" w:tplc="8CCA9E64">
      <w:numFmt w:val="bullet"/>
      <w:lvlText w:val="•"/>
      <w:lvlJc w:val="left"/>
      <w:pPr>
        <w:ind w:left="952" w:hanging="238"/>
      </w:pPr>
      <w:rPr>
        <w:rFonts w:hint="default"/>
      </w:rPr>
    </w:lvl>
    <w:lvl w:ilvl="2" w:tplc="F488CDD4">
      <w:numFmt w:val="bullet"/>
      <w:lvlText w:val="•"/>
      <w:lvlJc w:val="left"/>
      <w:pPr>
        <w:ind w:left="1644" w:hanging="238"/>
      </w:pPr>
      <w:rPr>
        <w:rFonts w:hint="default"/>
      </w:rPr>
    </w:lvl>
    <w:lvl w:ilvl="3" w:tplc="F5905456">
      <w:numFmt w:val="bullet"/>
      <w:lvlText w:val="•"/>
      <w:lvlJc w:val="left"/>
      <w:pPr>
        <w:ind w:left="2337" w:hanging="238"/>
      </w:pPr>
      <w:rPr>
        <w:rFonts w:hint="default"/>
      </w:rPr>
    </w:lvl>
    <w:lvl w:ilvl="4" w:tplc="FE7C5E86">
      <w:numFmt w:val="bullet"/>
      <w:lvlText w:val="•"/>
      <w:lvlJc w:val="left"/>
      <w:pPr>
        <w:ind w:left="3029" w:hanging="238"/>
      </w:pPr>
      <w:rPr>
        <w:rFonts w:hint="default"/>
      </w:rPr>
    </w:lvl>
    <w:lvl w:ilvl="5" w:tplc="D812B96A">
      <w:numFmt w:val="bullet"/>
      <w:lvlText w:val="•"/>
      <w:lvlJc w:val="left"/>
      <w:pPr>
        <w:ind w:left="3721" w:hanging="238"/>
      </w:pPr>
      <w:rPr>
        <w:rFonts w:hint="default"/>
      </w:rPr>
    </w:lvl>
    <w:lvl w:ilvl="6" w:tplc="AC18C7B8">
      <w:numFmt w:val="bullet"/>
      <w:lvlText w:val="•"/>
      <w:lvlJc w:val="left"/>
      <w:pPr>
        <w:ind w:left="4414" w:hanging="238"/>
      </w:pPr>
      <w:rPr>
        <w:rFonts w:hint="default"/>
      </w:rPr>
    </w:lvl>
    <w:lvl w:ilvl="7" w:tplc="698A6EE6">
      <w:numFmt w:val="bullet"/>
      <w:lvlText w:val="•"/>
      <w:lvlJc w:val="left"/>
      <w:pPr>
        <w:ind w:left="5106" w:hanging="238"/>
      </w:pPr>
      <w:rPr>
        <w:rFonts w:hint="default"/>
      </w:rPr>
    </w:lvl>
    <w:lvl w:ilvl="8" w:tplc="CF78BB02">
      <w:numFmt w:val="bullet"/>
      <w:lvlText w:val="•"/>
      <w:lvlJc w:val="left"/>
      <w:pPr>
        <w:ind w:left="5799" w:hanging="238"/>
      </w:pPr>
      <w:rPr>
        <w:rFonts w:hint="default"/>
      </w:rPr>
    </w:lvl>
  </w:abstractNum>
  <w:abstractNum w:abstractNumId="298">
    <w:nsid w:val="707A5200"/>
    <w:multiLevelType w:val="hybridMultilevel"/>
    <w:tmpl w:val="473C285E"/>
    <w:lvl w:ilvl="0" w:tplc="1A4AEB68">
      <w:numFmt w:val="bullet"/>
      <w:lvlText w:val=""/>
      <w:lvlJc w:val="left"/>
      <w:pPr>
        <w:ind w:left="533" w:hanging="284"/>
      </w:pPr>
      <w:rPr>
        <w:rFonts w:ascii="Wingdings" w:eastAsia="Wingdings" w:hAnsi="Wingdings" w:cs="Wingdings" w:hint="default"/>
        <w:color w:val="231F20"/>
        <w:w w:val="100"/>
        <w:sz w:val="21"/>
        <w:szCs w:val="21"/>
      </w:rPr>
    </w:lvl>
    <w:lvl w:ilvl="1" w:tplc="8FCC17E8">
      <w:numFmt w:val="bullet"/>
      <w:lvlText w:val="•"/>
      <w:lvlJc w:val="left"/>
      <w:pPr>
        <w:ind w:left="1204" w:hanging="284"/>
      </w:pPr>
      <w:rPr>
        <w:rFonts w:hint="default"/>
      </w:rPr>
    </w:lvl>
    <w:lvl w:ilvl="2" w:tplc="9650E838">
      <w:numFmt w:val="bullet"/>
      <w:lvlText w:val="•"/>
      <w:lvlJc w:val="left"/>
      <w:pPr>
        <w:ind w:left="1868" w:hanging="284"/>
      </w:pPr>
      <w:rPr>
        <w:rFonts w:hint="default"/>
      </w:rPr>
    </w:lvl>
    <w:lvl w:ilvl="3" w:tplc="68DE7C48">
      <w:numFmt w:val="bullet"/>
      <w:lvlText w:val="•"/>
      <w:lvlJc w:val="left"/>
      <w:pPr>
        <w:ind w:left="2533" w:hanging="284"/>
      </w:pPr>
      <w:rPr>
        <w:rFonts w:hint="default"/>
      </w:rPr>
    </w:lvl>
    <w:lvl w:ilvl="4" w:tplc="435A618E">
      <w:numFmt w:val="bullet"/>
      <w:lvlText w:val="•"/>
      <w:lvlJc w:val="left"/>
      <w:pPr>
        <w:ind w:left="3197" w:hanging="284"/>
      </w:pPr>
      <w:rPr>
        <w:rFonts w:hint="default"/>
      </w:rPr>
    </w:lvl>
    <w:lvl w:ilvl="5" w:tplc="E4786AC4">
      <w:numFmt w:val="bullet"/>
      <w:lvlText w:val="•"/>
      <w:lvlJc w:val="left"/>
      <w:pPr>
        <w:ind w:left="3861" w:hanging="284"/>
      </w:pPr>
      <w:rPr>
        <w:rFonts w:hint="default"/>
      </w:rPr>
    </w:lvl>
    <w:lvl w:ilvl="6" w:tplc="6B04FD74">
      <w:numFmt w:val="bullet"/>
      <w:lvlText w:val="•"/>
      <w:lvlJc w:val="left"/>
      <w:pPr>
        <w:ind w:left="4526" w:hanging="284"/>
      </w:pPr>
      <w:rPr>
        <w:rFonts w:hint="default"/>
      </w:rPr>
    </w:lvl>
    <w:lvl w:ilvl="7" w:tplc="0B307E2A">
      <w:numFmt w:val="bullet"/>
      <w:lvlText w:val="•"/>
      <w:lvlJc w:val="left"/>
      <w:pPr>
        <w:ind w:left="5190" w:hanging="284"/>
      </w:pPr>
      <w:rPr>
        <w:rFonts w:hint="default"/>
      </w:rPr>
    </w:lvl>
    <w:lvl w:ilvl="8" w:tplc="8EE2EAF2">
      <w:numFmt w:val="bullet"/>
      <w:lvlText w:val="•"/>
      <w:lvlJc w:val="left"/>
      <w:pPr>
        <w:ind w:left="5855" w:hanging="284"/>
      </w:pPr>
      <w:rPr>
        <w:rFonts w:hint="default"/>
      </w:rPr>
    </w:lvl>
  </w:abstractNum>
  <w:abstractNum w:abstractNumId="299">
    <w:nsid w:val="70CA4A11"/>
    <w:multiLevelType w:val="hybridMultilevel"/>
    <w:tmpl w:val="48B4B240"/>
    <w:lvl w:ilvl="0" w:tplc="D7FC6EE6">
      <w:start w:val="3"/>
      <w:numFmt w:val="decimal"/>
      <w:lvlText w:val="%1)"/>
      <w:lvlJc w:val="left"/>
      <w:pPr>
        <w:ind w:left="250" w:hanging="304"/>
        <w:jc w:val="left"/>
      </w:pPr>
      <w:rPr>
        <w:rFonts w:ascii="Cambria" w:eastAsia="Cambria" w:hAnsi="Cambria" w:cs="Cambria" w:hint="default"/>
        <w:color w:val="231F20"/>
        <w:spacing w:val="-15"/>
        <w:w w:val="100"/>
        <w:sz w:val="21"/>
        <w:szCs w:val="21"/>
      </w:rPr>
    </w:lvl>
    <w:lvl w:ilvl="1" w:tplc="C9BE2212">
      <w:numFmt w:val="bullet"/>
      <w:lvlText w:val="–"/>
      <w:lvlJc w:val="left"/>
      <w:pPr>
        <w:ind w:left="1100" w:hanging="284"/>
      </w:pPr>
      <w:rPr>
        <w:rFonts w:ascii="Cambria" w:eastAsia="Cambria" w:hAnsi="Cambria" w:cs="Cambria" w:hint="default"/>
        <w:color w:val="231F20"/>
        <w:spacing w:val="-15"/>
        <w:w w:val="100"/>
        <w:sz w:val="21"/>
        <w:szCs w:val="21"/>
      </w:rPr>
    </w:lvl>
    <w:lvl w:ilvl="2" w:tplc="6246A176">
      <w:numFmt w:val="bullet"/>
      <w:lvlText w:val="•"/>
      <w:lvlJc w:val="left"/>
      <w:pPr>
        <w:ind w:left="1775" w:hanging="284"/>
      </w:pPr>
      <w:rPr>
        <w:rFonts w:hint="default"/>
      </w:rPr>
    </w:lvl>
    <w:lvl w:ilvl="3" w:tplc="CEE01D9C">
      <w:numFmt w:val="bullet"/>
      <w:lvlText w:val="•"/>
      <w:lvlJc w:val="left"/>
      <w:pPr>
        <w:ind w:left="2451" w:hanging="284"/>
      </w:pPr>
      <w:rPr>
        <w:rFonts w:hint="default"/>
      </w:rPr>
    </w:lvl>
    <w:lvl w:ilvl="4" w:tplc="3B103702">
      <w:numFmt w:val="bullet"/>
      <w:lvlText w:val="•"/>
      <w:lvlJc w:val="left"/>
      <w:pPr>
        <w:ind w:left="3127" w:hanging="284"/>
      </w:pPr>
      <w:rPr>
        <w:rFonts w:hint="default"/>
      </w:rPr>
    </w:lvl>
    <w:lvl w:ilvl="5" w:tplc="A1D4AAC6">
      <w:numFmt w:val="bullet"/>
      <w:lvlText w:val="•"/>
      <w:lvlJc w:val="left"/>
      <w:pPr>
        <w:ind w:left="3803" w:hanging="284"/>
      </w:pPr>
      <w:rPr>
        <w:rFonts w:hint="default"/>
      </w:rPr>
    </w:lvl>
    <w:lvl w:ilvl="6" w:tplc="1DC44FD6">
      <w:numFmt w:val="bullet"/>
      <w:lvlText w:val="•"/>
      <w:lvlJc w:val="left"/>
      <w:pPr>
        <w:ind w:left="4479" w:hanging="284"/>
      </w:pPr>
      <w:rPr>
        <w:rFonts w:hint="default"/>
      </w:rPr>
    </w:lvl>
    <w:lvl w:ilvl="7" w:tplc="5DC6CDB4">
      <w:numFmt w:val="bullet"/>
      <w:lvlText w:val="•"/>
      <w:lvlJc w:val="left"/>
      <w:pPr>
        <w:ind w:left="5155" w:hanging="284"/>
      </w:pPr>
      <w:rPr>
        <w:rFonts w:hint="default"/>
      </w:rPr>
    </w:lvl>
    <w:lvl w:ilvl="8" w:tplc="1FB83918">
      <w:numFmt w:val="bullet"/>
      <w:lvlText w:val="•"/>
      <w:lvlJc w:val="left"/>
      <w:pPr>
        <w:ind w:left="5831" w:hanging="284"/>
      </w:pPr>
      <w:rPr>
        <w:rFonts w:hint="default"/>
      </w:rPr>
    </w:lvl>
  </w:abstractNum>
  <w:abstractNum w:abstractNumId="300">
    <w:nsid w:val="70EA1181"/>
    <w:multiLevelType w:val="hybridMultilevel"/>
    <w:tmpl w:val="7FD0CF24"/>
    <w:lvl w:ilvl="0" w:tplc="18B4F2D8">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E5382FC0">
      <w:numFmt w:val="bullet"/>
      <w:lvlText w:val="•"/>
      <w:lvlJc w:val="left"/>
      <w:pPr>
        <w:ind w:left="952" w:hanging="284"/>
      </w:pPr>
      <w:rPr>
        <w:rFonts w:hint="default"/>
      </w:rPr>
    </w:lvl>
    <w:lvl w:ilvl="2" w:tplc="358833BA">
      <w:numFmt w:val="bullet"/>
      <w:lvlText w:val="•"/>
      <w:lvlJc w:val="left"/>
      <w:pPr>
        <w:ind w:left="1644" w:hanging="284"/>
      </w:pPr>
      <w:rPr>
        <w:rFonts w:hint="default"/>
      </w:rPr>
    </w:lvl>
    <w:lvl w:ilvl="3" w:tplc="F580DA12">
      <w:numFmt w:val="bullet"/>
      <w:lvlText w:val="•"/>
      <w:lvlJc w:val="left"/>
      <w:pPr>
        <w:ind w:left="2337" w:hanging="284"/>
      </w:pPr>
      <w:rPr>
        <w:rFonts w:hint="default"/>
      </w:rPr>
    </w:lvl>
    <w:lvl w:ilvl="4" w:tplc="74DC90F0">
      <w:numFmt w:val="bullet"/>
      <w:lvlText w:val="•"/>
      <w:lvlJc w:val="left"/>
      <w:pPr>
        <w:ind w:left="3029" w:hanging="284"/>
      </w:pPr>
      <w:rPr>
        <w:rFonts w:hint="default"/>
      </w:rPr>
    </w:lvl>
    <w:lvl w:ilvl="5" w:tplc="C2A025F4">
      <w:numFmt w:val="bullet"/>
      <w:lvlText w:val="•"/>
      <w:lvlJc w:val="left"/>
      <w:pPr>
        <w:ind w:left="3721" w:hanging="284"/>
      </w:pPr>
      <w:rPr>
        <w:rFonts w:hint="default"/>
      </w:rPr>
    </w:lvl>
    <w:lvl w:ilvl="6" w:tplc="4AA02D18">
      <w:numFmt w:val="bullet"/>
      <w:lvlText w:val="•"/>
      <w:lvlJc w:val="left"/>
      <w:pPr>
        <w:ind w:left="4414" w:hanging="284"/>
      </w:pPr>
      <w:rPr>
        <w:rFonts w:hint="default"/>
      </w:rPr>
    </w:lvl>
    <w:lvl w:ilvl="7" w:tplc="59E418C8">
      <w:numFmt w:val="bullet"/>
      <w:lvlText w:val="•"/>
      <w:lvlJc w:val="left"/>
      <w:pPr>
        <w:ind w:left="5106" w:hanging="284"/>
      </w:pPr>
      <w:rPr>
        <w:rFonts w:hint="default"/>
      </w:rPr>
    </w:lvl>
    <w:lvl w:ilvl="8" w:tplc="1590A81C">
      <w:numFmt w:val="bullet"/>
      <w:lvlText w:val="•"/>
      <w:lvlJc w:val="left"/>
      <w:pPr>
        <w:ind w:left="5799" w:hanging="284"/>
      </w:pPr>
      <w:rPr>
        <w:rFonts w:hint="default"/>
      </w:rPr>
    </w:lvl>
  </w:abstractNum>
  <w:abstractNum w:abstractNumId="301">
    <w:nsid w:val="710D3FDE"/>
    <w:multiLevelType w:val="hybridMultilevel"/>
    <w:tmpl w:val="D06418B4"/>
    <w:lvl w:ilvl="0" w:tplc="14FC7AE0">
      <w:start w:val="1"/>
      <w:numFmt w:val="decimal"/>
      <w:lvlText w:val="%1)"/>
      <w:lvlJc w:val="left"/>
      <w:pPr>
        <w:ind w:left="250" w:hanging="284"/>
        <w:jc w:val="left"/>
      </w:pPr>
      <w:rPr>
        <w:rFonts w:ascii="Cambria" w:eastAsia="Cambria" w:hAnsi="Cambria" w:cs="Cambria" w:hint="default"/>
        <w:color w:val="231F20"/>
        <w:spacing w:val="-21"/>
        <w:w w:val="100"/>
        <w:sz w:val="21"/>
        <w:szCs w:val="21"/>
      </w:rPr>
    </w:lvl>
    <w:lvl w:ilvl="1" w:tplc="7A80FDF0">
      <w:numFmt w:val="bullet"/>
      <w:lvlText w:val=""/>
      <w:lvlJc w:val="left"/>
      <w:pPr>
        <w:ind w:left="1100" w:hanging="284"/>
      </w:pPr>
      <w:rPr>
        <w:rFonts w:ascii="Wingdings" w:eastAsia="Wingdings" w:hAnsi="Wingdings" w:cs="Wingdings" w:hint="default"/>
        <w:color w:val="231F20"/>
        <w:w w:val="100"/>
        <w:sz w:val="21"/>
        <w:szCs w:val="21"/>
      </w:rPr>
    </w:lvl>
    <w:lvl w:ilvl="2" w:tplc="6C624722">
      <w:numFmt w:val="bullet"/>
      <w:lvlText w:val="•"/>
      <w:lvlJc w:val="left"/>
      <w:pPr>
        <w:ind w:left="1775" w:hanging="284"/>
      </w:pPr>
      <w:rPr>
        <w:rFonts w:hint="default"/>
      </w:rPr>
    </w:lvl>
    <w:lvl w:ilvl="3" w:tplc="30AED3E8">
      <w:numFmt w:val="bullet"/>
      <w:lvlText w:val="•"/>
      <w:lvlJc w:val="left"/>
      <w:pPr>
        <w:ind w:left="2451" w:hanging="284"/>
      </w:pPr>
      <w:rPr>
        <w:rFonts w:hint="default"/>
      </w:rPr>
    </w:lvl>
    <w:lvl w:ilvl="4" w:tplc="280E0104">
      <w:numFmt w:val="bullet"/>
      <w:lvlText w:val="•"/>
      <w:lvlJc w:val="left"/>
      <w:pPr>
        <w:ind w:left="3127" w:hanging="284"/>
      </w:pPr>
      <w:rPr>
        <w:rFonts w:hint="default"/>
      </w:rPr>
    </w:lvl>
    <w:lvl w:ilvl="5" w:tplc="6CF6AA60">
      <w:numFmt w:val="bullet"/>
      <w:lvlText w:val="•"/>
      <w:lvlJc w:val="left"/>
      <w:pPr>
        <w:ind w:left="3803" w:hanging="284"/>
      </w:pPr>
      <w:rPr>
        <w:rFonts w:hint="default"/>
      </w:rPr>
    </w:lvl>
    <w:lvl w:ilvl="6" w:tplc="AE66F652">
      <w:numFmt w:val="bullet"/>
      <w:lvlText w:val="•"/>
      <w:lvlJc w:val="left"/>
      <w:pPr>
        <w:ind w:left="4479" w:hanging="284"/>
      </w:pPr>
      <w:rPr>
        <w:rFonts w:hint="default"/>
      </w:rPr>
    </w:lvl>
    <w:lvl w:ilvl="7" w:tplc="3B662FEE">
      <w:numFmt w:val="bullet"/>
      <w:lvlText w:val="•"/>
      <w:lvlJc w:val="left"/>
      <w:pPr>
        <w:ind w:left="5155" w:hanging="284"/>
      </w:pPr>
      <w:rPr>
        <w:rFonts w:hint="default"/>
      </w:rPr>
    </w:lvl>
    <w:lvl w:ilvl="8" w:tplc="28EC55FA">
      <w:numFmt w:val="bullet"/>
      <w:lvlText w:val="•"/>
      <w:lvlJc w:val="left"/>
      <w:pPr>
        <w:ind w:left="5831" w:hanging="284"/>
      </w:pPr>
      <w:rPr>
        <w:rFonts w:hint="default"/>
      </w:rPr>
    </w:lvl>
  </w:abstractNum>
  <w:abstractNum w:abstractNumId="302">
    <w:nsid w:val="71DB3D05"/>
    <w:multiLevelType w:val="multilevel"/>
    <w:tmpl w:val="2F0AE79A"/>
    <w:lvl w:ilvl="0">
      <w:start w:val="5"/>
      <w:numFmt w:val="decimal"/>
      <w:lvlText w:val="%1"/>
      <w:lvlJc w:val="left"/>
      <w:pPr>
        <w:ind w:left="930" w:hanging="397"/>
        <w:jc w:val="left"/>
      </w:pPr>
      <w:rPr>
        <w:rFonts w:hint="default"/>
      </w:rPr>
    </w:lvl>
    <w:lvl w:ilvl="1">
      <w:start w:val="1"/>
      <w:numFmt w:val="decimal"/>
      <w:lvlText w:val="%1.%2."/>
      <w:lvlJc w:val="left"/>
      <w:pPr>
        <w:ind w:left="930" w:hanging="397"/>
        <w:jc w:val="left"/>
      </w:pPr>
      <w:rPr>
        <w:rFonts w:ascii="Cambria" w:eastAsia="Cambria" w:hAnsi="Cambria" w:cs="Cambria" w:hint="default"/>
        <w:b/>
        <w:bCs/>
        <w:color w:val="231F20"/>
        <w:spacing w:val="-1"/>
        <w:w w:val="100"/>
        <w:sz w:val="21"/>
        <w:szCs w:val="21"/>
      </w:rPr>
    </w:lvl>
    <w:lvl w:ilvl="2">
      <w:numFmt w:val="bullet"/>
      <w:lvlText w:val="•"/>
      <w:lvlJc w:val="left"/>
      <w:pPr>
        <w:ind w:left="2188" w:hanging="397"/>
      </w:pPr>
      <w:rPr>
        <w:rFonts w:hint="default"/>
      </w:rPr>
    </w:lvl>
    <w:lvl w:ilvl="3">
      <w:numFmt w:val="bullet"/>
      <w:lvlText w:val="•"/>
      <w:lvlJc w:val="left"/>
      <w:pPr>
        <w:ind w:left="2813" w:hanging="397"/>
      </w:pPr>
      <w:rPr>
        <w:rFonts w:hint="default"/>
      </w:rPr>
    </w:lvl>
    <w:lvl w:ilvl="4">
      <w:numFmt w:val="bullet"/>
      <w:lvlText w:val="•"/>
      <w:lvlJc w:val="left"/>
      <w:pPr>
        <w:ind w:left="3437" w:hanging="397"/>
      </w:pPr>
      <w:rPr>
        <w:rFonts w:hint="default"/>
      </w:rPr>
    </w:lvl>
    <w:lvl w:ilvl="5">
      <w:numFmt w:val="bullet"/>
      <w:lvlText w:val="•"/>
      <w:lvlJc w:val="left"/>
      <w:pPr>
        <w:ind w:left="4061" w:hanging="397"/>
      </w:pPr>
      <w:rPr>
        <w:rFonts w:hint="default"/>
      </w:rPr>
    </w:lvl>
    <w:lvl w:ilvl="6">
      <w:numFmt w:val="bullet"/>
      <w:lvlText w:val="•"/>
      <w:lvlJc w:val="left"/>
      <w:pPr>
        <w:ind w:left="4686" w:hanging="397"/>
      </w:pPr>
      <w:rPr>
        <w:rFonts w:hint="default"/>
      </w:rPr>
    </w:lvl>
    <w:lvl w:ilvl="7">
      <w:numFmt w:val="bullet"/>
      <w:lvlText w:val="•"/>
      <w:lvlJc w:val="left"/>
      <w:pPr>
        <w:ind w:left="5310" w:hanging="397"/>
      </w:pPr>
      <w:rPr>
        <w:rFonts w:hint="default"/>
      </w:rPr>
    </w:lvl>
    <w:lvl w:ilvl="8">
      <w:numFmt w:val="bullet"/>
      <w:lvlText w:val="•"/>
      <w:lvlJc w:val="left"/>
      <w:pPr>
        <w:ind w:left="5935" w:hanging="397"/>
      </w:pPr>
      <w:rPr>
        <w:rFonts w:hint="default"/>
      </w:rPr>
    </w:lvl>
  </w:abstractNum>
  <w:abstractNum w:abstractNumId="303">
    <w:nsid w:val="722251B5"/>
    <w:multiLevelType w:val="hybridMultilevel"/>
    <w:tmpl w:val="900EDF52"/>
    <w:lvl w:ilvl="0" w:tplc="04220656">
      <w:start w:val="1"/>
      <w:numFmt w:val="decimal"/>
      <w:lvlText w:val="%1."/>
      <w:lvlJc w:val="left"/>
      <w:pPr>
        <w:ind w:left="1100" w:hanging="284"/>
        <w:jc w:val="left"/>
      </w:pPr>
      <w:rPr>
        <w:rFonts w:ascii="Cambria" w:eastAsia="Cambria" w:hAnsi="Cambria" w:cs="Cambria" w:hint="default"/>
        <w:color w:val="231F20"/>
        <w:spacing w:val="-15"/>
        <w:w w:val="100"/>
        <w:sz w:val="21"/>
        <w:szCs w:val="21"/>
      </w:rPr>
    </w:lvl>
    <w:lvl w:ilvl="1" w:tplc="8FE01ED0">
      <w:numFmt w:val="bullet"/>
      <w:lvlText w:val=""/>
      <w:lvlJc w:val="left"/>
      <w:pPr>
        <w:ind w:left="1384" w:hanging="284"/>
      </w:pPr>
      <w:rPr>
        <w:rFonts w:ascii="Wingdings" w:eastAsia="Wingdings" w:hAnsi="Wingdings" w:cs="Wingdings" w:hint="default"/>
        <w:color w:val="231F20"/>
        <w:w w:val="100"/>
        <w:sz w:val="21"/>
        <w:szCs w:val="21"/>
      </w:rPr>
    </w:lvl>
    <w:lvl w:ilvl="2" w:tplc="68A859C8">
      <w:numFmt w:val="bullet"/>
      <w:lvlText w:val="•"/>
      <w:lvlJc w:val="left"/>
      <w:pPr>
        <w:ind w:left="2024" w:hanging="284"/>
      </w:pPr>
      <w:rPr>
        <w:rFonts w:hint="default"/>
      </w:rPr>
    </w:lvl>
    <w:lvl w:ilvl="3" w:tplc="A524F158">
      <w:numFmt w:val="bullet"/>
      <w:lvlText w:val="•"/>
      <w:lvlJc w:val="left"/>
      <w:pPr>
        <w:ind w:left="2669" w:hanging="284"/>
      </w:pPr>
      <w:rPr>
        <w:rFonts w:hint="default"/>
      </w:rPr>
    </w:lvl>
    <w:lvl w:ilvl="4" w:tplc="725819D2">
      <w:numFmt w:val="bullet"/>
      <w:lvlText w:val="•"/>
      <w:lvlJc w:val="left"/>
      <w:pPr>
        <w:ind w:left="3314" w:hanging="284"/>
      </w:pPr>
      <w:rPr>
        <w:rFonts w:hint="default"/>
      </w:rPr>
    </w:lvl>
    <w:lvl w:ilvl="5" w:tplc="11368B52">
      <w:numFmt w:val="bullet"/>
      <w:lvlText w:val="•"/>
      <w:lvlJc w:val="left"/>
      <w:pPr>
        <w:ind w:left="3959" w:hanging="284"/>
      </w:pPr>
      <w:rPr>
        <w:rFonts w:hint="default"/>
      </w:rPr>
    </w:lvl>
    <w:lvl w:ilvl="6" w:tplc="49B04FFC">
      <w:numFmt w:val="bullet"/>
      <w:lvlText w:val="•"/>
      <w:lvlJc w:val="left"/>
      <w:pPr>
        <w:ind w:left="4604" w:hanging="284"/>
      </w:pPr>
      <w:rPr>
        <w:rFonts w:hint="default"/>
      </w:rPr>
    </w:lvl>
    <w:lvl w:ilvl="7" w:tplc="EF34375E">
      <w:numFmt w:val="bullet"/>
      <w:lvlText w:val="•"/>
      <w:lvlJc w:val="left"/>
      <w:pPr>
        <w:ind w:left="5249" w:hanging="284"/>
      </w:pPr>
      <w:rPr>
        <w:rFonts w:hint="default"/>
      </w:rPr>
    </w:lvl>
    <w:lvl w:ilvl="8" w:tplc="6D781E8A">
      <w:numFmt w:val="bullet"/>
      <w:lvlText w:val="•"/>
      <w:lvlJc w:val="left"/>
      <w:pPr>
        <w:ind w:left="5894" w:hanging="284"/>
      </w:pPr>
      <w:rPr>
        <w:rFonts w:hint="default"/>
      </w:rPr>
    </w:lvl>
  </w:abstractNum>
  <w:abstractNum w:abstractNumId="304">
    <w:nsid w:val="73321A0A"/>
    <w:multiLevelType w:val="multilevel"/>
    <w:tmpl w:val="9976B8FC"/>
    <w:lvl w:ilvl="0">
      <w:start w:val="2"/>
      <w:numFmt w:val="decimal"/>
      <w:lvlText w:val="%1"/>
      <w:lvlJc w:val="left"/>
      <w:pPr>
        <w:ind w:left="2170" w:hanging="411"/>
        <w:jc w:val="left"/>
      </w:pPr>
      <w:rPr>
        <w:rFonts w:hint="default"/>
      </w:rPr>
    </w:lvl>
    <w:lvl w:ilvl="1">
      <w:start w:val="1"/>
      <w:numFmt w:val="decimal"/>
      <w:lvlText w:val="%1.%2."/>
      <w:lvlJc w:val="left"/>
      <w:pPr>
        <w:ind w:left="2170" w:hanging="411"/>
        <w:jc w:val="right"/>
      </w:pPr>
      <w:rPr>
        <w:rFonts w:ascii="Cambria" w:eastAsia="Cambria" w:hAnsi="Cambria" w:cs="Cambria" w:hint="default"/>
        <w:b/>
        <w:bCs/>
        <w:color w:val="231F20"/>
        <w:spacing w:val="-1"/>
        <w:w w:val="100"/>
        <w:sz w:val="22"/>
        <w:szCs w:val="22"/>
      </w:rPr>
    </w:lvl>
    <w:lvl w:ilvl="2">
      <w:numFmt w:val="bullet"/>
      <w:lvlText w:val="•"/>
      <w:lvlJc w:val="left"/>
      <w:pPr>
        <w:ind w:left="3180" w:hanging="411"/>
      </w:pPr>
      <w:rPr>
        <w:rFonts w:hint="default"/>
      </w:rPr>
    </w:lvl>
    <w:lvl w:ilvl="3">
      <w:numFmt w:val="bullet"/>
      <w:lvlText w:val="•"/>
      <w:lvlJc w:val="left"/>
      <w:pPr>
        <w:ind w:left="3681" w:hanging="411"/>
      </w:pPr>
      <w:rPr>
        <w:rFonts w:hint="default"/>
      </w:rPr>
    </w:lvl>
    <w:lvl w:ilvl="4">
      <w:numFmt w:val="bullet"/>
      <w:lvlText w:val="•"/>
      <w:lvlJc w:val="left"/>
      <w:pPr>
        <w:ind w:left="4181" w:hanging="411"/>
      </w:pPr>
      <w:rPr>
        <w:rFonts w:hint="default"/>
      </w:rPr>
    </w:lvl>
    <w:lvl w:ilvl="5">
      <w:numFmt w:val="bullet"/>
      <w:lvlText w:val="•"/>
      <w:lvlJc w:val="left"/>
      <w:pPr>
        <w:ind w:left="4681" w:hanging="411"/>
      </w:pPr>
      <w:rPr>
        <w:rFonts w:hint="default"/>
      </w:rPr>
    </w:lvl>
    <w:lvl w:ilvl="6">
      <w:numFmt w:val="bullet"/>
      <w:lvlText w:val="•"/>
      <w:lvlJc w:val="left"/>
      <w:pPr>
        <w:ind w:left="5182" w:hanging="411"/>
      </w:pPr>
      <w:rPr>
        <w:rFonts w:hint="default"/>
      </w:rPr>
    </w:lvl>
    <w:lvl w:ilvl="7">
      <w:numFmt w:val="bullet"/>
      <w:lvlText w:val="•"/>
      <w:lvlJc w:val="left"/>
      <w:pPr>
        <w:ind w:left="5682" w:hanging="411"/>
      </w:pPr>
      <w:rPr>
        <w:rFonts w:hint="default"/>
      </w:rPr>
    </w:lvl>
    <w:lvl w:ilvl="8">
      <w:numFmt w:val="bullet"/>
      <w:lvlText w:val="•"/>
      <w:lvlJc w:val="left"/>
      <w:pPr>
        <w:ind w:left="6183" w:hanging="411"/>
      </w:pPr>
      <w:rPr>
        <w:rFonts w:hint="default"/>
      </w:rPr>
    </w:lvl>
  </w:abstractNum>
  <w:abstractNum w:abstractNumId="305">
    <w:nsid w:val="73584FC2"/>
    <w:multiLevelType w:val="hybridMultilevel"/>
    <w:tmpl w:val="267E13F2"/>
    <w:lvl w:ilvl="0" w:tplc="9ACC199E">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0C16ECDA">
      <w:numFmt w:val="bullet"/>
      <w:lvlText w:val="•"/>
      <w:lvlJc w:val="left"/>
      <w:pPr>
        <w:ind w:left="952" w:hanging="284"/>
      </w:pPr>
      <w:rPr>
        <w:rFonts w:hint="default"/>
      </w:rPr>
    </w:lvl>
    <w:lvl w:ilvl="2" w:tplc="FA288C66">
      <w:numFmt w:val="bullet"/>
      <w:lvlText w:val="•"/>
      <w:lvlJc w:val="left"/>
      <w:pPr>
        <w:ind w:left="1644" w:hanging="284"/>
      </w:pPr>
      <w:rPr>
        <w:rFonts w:hint="default"/>
      </w:rPr>
    </w:lvl>
    <w:lvl w:ilvl="3" w:tplc="B5308FCC">
      <w:numFmt w:val="bullet"/>
      <w:lvlText w:val="•"/>
      <w:lvlJc w:val="left"/>
      <w:pPr>
        <w:ind w:left="2337" w:hanging="284"/>
      </w:pPr>
      <w:rPr>
        <w:rFonts w:hint="default"/>
      </w:rPr>
    </w:lvl>
    <w:lvl w:ilvl="4" w:tplc="EE9A27BE">
      <w:numFmt w:val="bullet"/>
      <w:lvlText w:val="•"/>
      <w:lvlJc w:val="left"/>
      <w:pPr>
        <w:ind w:left="3029" w:hanging="284"/>
      </w:pPr>
      <w:rPr>
        <w:rFonts w:hint="default"/>
      </w:rPr>
    </w:lvl>
    <w:lvl w:ilvl="5" w:tplc="E828DF5A">
      <w:numFmt w:val="bullet"/>
      <w:lvlText w:val="•"/>
      <w:lvlJc w:val="left"/>
      <w:pPr>
        <w:ind w:left="3721" w:hanging="284"/>
      </w:pPr>
      <w:rPr>
        <w:rFonts w:hint="default"/>
      </w:rPr>
    </w:lvl>
    <w:lvl w:ilvl="6" w:tplc="29367CC4">
      <w:numFmt w:val="bullet"/>
      <w:lvlText w:val="•"/>
      <w:lvlJc w:val="left"/>
      <w:pPr>
        <w:ind w:left="4414" w:hanging="284"/>
      </w:pPr>
      <w:rPr>
        <w:rFonts w:hint="default"/>
      </w:rPr>
    </w:lvl>
    <w:lvl w:ilvl="7" w:tplc="06762E1A">
      <w:numFmt w:val="bullet"/>
      <w:lvlText w:val="•"/>
      <w:lvlJc w:val="left"/>
      <w:pPr>
        <w:ind w:left="5106" w:hanging="284"/>
      </w:pPr>
      <w:rPr>
        <w:rFonts w:hint="default"/>
      </w:rPr>
    </w:lvl>
    <w:lvl w:ilvl="8" w:tplc="F34E8B28">
      <w:numFmt w:val="bullet"/>
      <w:lvlText w:val="•"/>
      <w:lvlJc w:val="left"/>
      <w:pPr>
        <w:ind w:left="5799" w:hanging="284"/>
      </w:pPr>
      <w:rPr>
        <w:rFonts w:hint="default"/>
      </w:rPr>
    </w:lvl>
  </w:abstractNum>
  <w:abstractNum w:abstractNumId="306">
    <w:nsid w:val="739C02F9"/>
    <w:multiLevelType w:val="hybridMultilevel"/>
    <w:tmpl w:val="8A52D33E"/>
    <w:lvl w:ilvl="0" w:tplc="887C5C4C">
      <w:numFmt w:val="bullet"/>
      <w:lvlText w:val="–"/>
      <w:lvlJc w:val="left"/>
      <w:pPr>
        <w:ind w:left="1384" w:hanging="284"/>
      </w:pPr>
      <w:rPr>
        <w:rFonts w:ascii="Cambria" w:eastAsia="Cambria" w:hAnsi="Cambria" w:cs="Cambria" w:hint="default"/>
        <w:color w:val="231F20"/>
        <w:spacing w:val="-7"/>
        <w:w w:val="100"/>
        <w:sz w:val="21"/>
        <w:szCs w:val="21"/>
      </w:rPr>
    </w:lvl>
    <w:lvl w:ilvl="1" w:tplc="3948E5FE">
      <w:numFmt w:val="bullet"/>
      <w:lvlText w:val="•"/>
      <w:lvlJc w:val="left"/>
      <w:pPr>
        <w:ind w:left="1960" w:hanging="284"/>
      </w:pPr>
      <w:rPr>
        <w:rFonts w:hint="default"/>
      </w:rPr>
    </w:lvl>
    <w:lvl w:ilvl="2" w:tplc="05060D52">
      <w:numFmt w:val="bullet"/>
      <w:lvlText w:val="•"/>
      <w:lvlJc w:val="left"/>
      <w:pPr>
        <w:ind w:left="2540" w:hanging="284"/>
      </w:pPr>
      <w:rPr>
        <w:rFonts w:hint="default"/>
      </w:rPr>
    </w:lvl>
    <w:lvl w:ilvl="3" w:tplc="4BC4F190">
      <w:numFmt w:val="bullet"/>
      <w:lvlText w:val="•"/>
      <w:lvlJc w:val="left"/>
      <w:pPr>
        <w:ind w:left="3121" w:hanging="284"/>
      </w:pPr>
      <w:rPr>
        <w:rFonts w:hint="default"/>
      </w:rPr>
    </w:lvl>
    <w:lvl w:ilvl="4" w:tplc="B0C4E66C">
      <w:numFmt w:val="bullet"/>
      <w:lvlText w:val="•"/>
      <w:lvlJc w:val="left"/>
      <w:pPr>
        <w:ind w:left="3701" w:hanging="284"/>
      </w:pPr>
      <w:rPr>
        <w:rFonts w:hint="default"/>
      </w:rPr>
    </w:lvl>
    <w:lvl w:ilvl="5" w:tplc="4C1E9F14">
      <w:numFmt w:val="bullet"/>
      <w:lvlText w:val="•"/>
      <w:lvlJc w:val="left"/>
      <w:pPr>
        <w:ind w:left="4281" w:hanging="284"/>
      </w:pPr>
      <w:rPr>
        <w:rFonts w:hint="default"/>
      </w:rPr>
    </w:lvl>
    <w:lvl w:ilvl="6" w:tplc="6D04D34E">
      <w:numFmt w:val="bullet"/>
      <w:lvlText w:val="•"/>
      <w:lvlJc w:val="left"/>
      <w:pPr>
        <w:ind w:left="4862" w:hanging="284"/>
      </w:pPr>
      <w:rPr>
        <w:rFonts w:hint="default"/>
      </w:rPr>
    </w:lvl>
    <w:lvl w:ilvl="7" w:tplc="DA2C7DA2">
      <w:numFmt w:val="bullet"/>
      <w:lvlText w:val="•"/>
      <w:lvlJc w:val="left"/>
      <w:pPr>
        <w:ind w:left="5442" w:hanging="284"/>
      </w:pPr>
      <w:rPr>
        <w:rFonts w:hint="default"/>
      </w:rPr>
    </w:lvl>
    <w:lvl w:ilvl="8" w:tplc="543CFBFA">
      <w:numFmt w:val="bullet"/>
      <w:lvlText w:val="•"/>
      <w:lvlJc w:val="left"/>
      <w:pPr>
        <w:ind w:left="6023" w:hanging="284"/>
      </w:pPr>
      <w:rPr>
        <w:rFonts w:hint="default"/>
      </w:rPr>
    </w:lvl>
  </w:abstractNum>
  <w:abstractNum w:abstractNumId="307">
    <w:nsid w:val="73EB44EB"/>
    <w:multiLevelType w:val="hybridMultilevel"/>
    <w:tmpl w:val="6A9C7C30"/>
    <w:lvl w:ilvl="0" w:tplc="D1F2B962">
      <w:numFmt w:val="bullet"/>
      <w:lvlText w:val="–"/>
      <w:lvlJc w:val="left"/>
      <w:pPr>
        <w:ind w:left="533" w:hanging="284"/>
      </w:pPr>
      <w:rPr>
        <w:rFonts w:ascii="Cambria" w:eastAsia="Cambria" w:hAnsi="Cambria" w:cs="Cambria" w:hint="default"/>
        <w:color w:val="231F20"/>
        <w:spacing w:val="-17"/>
        <w:w w:val="100"/>
        <w:sz w:val="21"/>
        <w:szCs w:val="21"/>
      </w:rPr>
    </w:lvl>
    <w:lvl w:ilvl="1" w:tplc="5A92F9A8">
      <w:numFmt w:val="bullet"/>
      <w:lvlText w:val="•"/>
      <w:lvlJc w:val="left"/>
      <w:pPr>
        <w:ind w:left="1204" w:hanging="284"/>
      </w:pPr>
      <w:rPr>
        <w:rFonts w:hint="default"/>
      </w:rPr>
    </w:lvl>
    <w:lvl w:ilvl="2" w:tplc="38C65768">
      <w:numFmt w:val="bullet"/>
      <w:lvlText w:val="•"/>
      <w:lvlJc w:val="left"/>
      <w:pPr>
        <w:ind w:left="1868" w:hanging="284"/>
      </w:pPr>
      <w:rPr>
        <w:rFonts w:hint="default"/>
      </w:rPr>
    </w:lvl>
    <w:lvl w:ilvl="3" w:tplc="AB2C5370">
      <w:numFmt w:val="bullet"/>
      <w:lvlText w:val="•"/>
      <w:lvlJc w:val="left"/>
      <w:pPr>
        <w:ind w:left="2533" w:hanging="284"/>
      </w:pPr>
      <w:rPr>
        <w:rFonts w:hint="default"/>
      </w:rPr>
    </w:lvl>
    <w:lvl w:ilvl="4" w:tplc="734A7BEA">
      <w:numFmt w:val="bullet"/>
      <w:lvlText w:val="•"/>
      <w:lvlJc w:val="left"/>
      <w:pPr>
        <w:ind w:left="3197" w:hanging="284"/>
      </w:pPr>
      <w:rPr>
        <w:rFonts w:hint="default"/>
      </w:rPr>
    </w:lvl>
    <w:lvl w:ilvl="5" w:tplc="31AABEA2">
      <w:numFmt w:val="bullet"/>
      <w:lvlText w:val="•"/>
      <w:lvlJc w:val="left"/>
      <w:pPr>
        <w:ind w:left="3861" w:hanging="284"/>
      </w:pPr>
      <w:rPr>
        <w:rFonts w:hint="default"/>
      </w:rPr>
    </w:lvl>
    <w:lvl w:ilvl="6" w:tplc="CF5A31B8">
      <w:numFmt w:val="bullet"/>
      <w:lvlText w:val="•"/>
      <w:lvlJc w:val="left"/>
      <w:pPr>
        <w:ind w:left="4526" w:hanging="284"/>
      </w:pPr>
      <w:rPr>
        <w:rFonts w:hint="default"/>
      </w:rPr>
    </w:lvl>
    <w:lvl w:ilvl="7" w:tplc="AACA842C">
      <w:numFmt w:val="bullet"/>
      <w:lvlText w:val="•"/>
      <w:lvlJc w:val="left"/>
      <w:pPr>
        <w:ind w:left="5190" w:hanging="284"/>
      </w:pPr>
      <w:rPr>
        <w:rFonts w:hint="default"/>
      </w:rPr>
    </w:lvl>
    <w:lvl w:ilvl="8" w:tplc="F72E3E5C">
      <w:numFmt w:val="bullet"/>
      <w:lvlText w:val="•"/>
      <w:lvlJc w:val="left"/>
      <w:pPr>
        <w:ind w:left="5855" w:hanging="284"/>
      </w:pPr>
      <w:rPr>
        <w:rFonts w:hint="default"/>
      </w:rPr>
    </w:lvl>
  </w:abstractNum>
  <w:abstractNum w:abstractNumId="308">
    <w:nsid w:val="749D7104"/>
    <w:multiLevelType w:val="hybridMultilevel"/>
    <w:tmpl w:val="DAEAD4F0"/>
    <w:lvl w:ilvl="0" w:tplc="9C8AE4BC">
      <w:numFmt w:val="bullet"/>
      <w:lvlText w:val="–"/>
      <w:lvlJc w:val="left"/>
      <w:pPr>
        <w:ind w:left="250" w:hanging="284"/>
      </w:pPr>
      <w:rPr>
        <w:rFonts w:ascii="Cambria" w:eastAsia="Cambria" w:hAnsi="Cambria" w:cs="Cambria" w:hint="default"/>
        <w:i/>
        <w:color w:val="231F20"/>
        <w:spacing w:val="-17"/>
        <w:w w:val="100"/>
        <w:sz w:val="21"/>
        <w:szCs w:val="21"/>
      </w:rPr>
    </w:lvl>
    <w:lvl w:ilvl="1" w:tplc="82FA2BF4">
      <w:numFmt w:val="bullet"/>
      <w:lvlText w:val="•"/>
      <w:lvlJc w:val="left"/>
      <w:pPr>
        <w:ind w:left="952" w:hanging="284"/>
      </w:pPr>
      <w:rPr>
        <w:rFonts w:hint="default"/>
      </w:rPr>
    </w:lvl>
    <w:lvl w:ilvl="2" w:tplc="80E8CF50">
      <w:numFmt w:val="bullet"/>
      <w:lvlText w:val="•"/>
      <w:lvlJc w:val="left"/>
      <w:pPr>
        <w:ind w:left="1644" w:hanging="284"/>
      </w:pPr>
      <w:rPr>
        <w:rFonts w:hint="default"/>
      </w:rPr>
    </w:lvl>
    <w:lvl w:ilvl="3" w:tplc="B6101B5E">
      <w:numFmt w:val="bullet"/>
      <w:lvlText w:val="•"/>
      <w:lvlJc w:val="left"/>
      <w:pPr>
        <w:ind w:left="2337" w:hanging="284"/>
      </w:pPr>
      <w:rPr>
        <w:rFonts w:hint="default"/>
      </w:rPr>
    </w:lvl>
    <w:lvl w:ilvl="4" w:tplc="6B24DA12">
      <w:numFmt w:val="bullet"/>
      <w:lvlText w:val="•"/>
      <w:lvlJc w:val="left"/>
      <w:pPr>
        <w:ind w:left="3029" w:hanging="284"/>
      </w:pPr>
      <w:rPr>
        <w:rFonts w:hint="default"/>
      </w:rPr>
    </w:lvl>
    <w:lvl w:ilvl="5" w:tplc="91BEC128">
      <w:numFmt w:val="bullet"/>
      <w:lvlText w:val="•"/>
      <w:lvlJc w:val="left"/>
      <w:pPr>
        <w:ind w:left="3721" w:hanging="284"/>
      </w:pPr>
      <w:rPr>
        <w:rFonts w:hint="default"/>
      </w:rPr>
    </w:lvl>
    <w:lvl w:ilvl="6" w:tplc="BE4ACD80">
      <w:numFmt w:val="bullet"/>
      <w:lvlText w:val="•"/>
      <w:lvlJc w:val="left"/>
      <w:pPr>
        <w:ind w:left="4414" w:hanging="284"/>
      </w:pPr>
      <w:rPr>
        <w:rFonts w:hint="default"/>
      </w:rPr>
    </w:lvl>
    <w:lvl w:ilvl="7" w:tplc="44503366">
      <w:numFmt w:val="bullet"/>
      <w:lvlText w:val="•"/>
      <w:lvlJc w:val="left"/>
      <w:pPr>
        <w:ind w:left="5106" w:hanging="284"/>
      </w:pPr>
      <w:rPr>
        <w:rFonts w:hint="default"/>
      </w:rPr>
    </w:lvl>
    <w:lvl w:ilvl="8" w:tplc="35241910">
      <w:numFmt w:val="bullet"/>
      <w:lvlText w:val="•"/>
      <w:lvlJc w:val="left"/>
      <w:pPr>
        <w:ind w:left="5799" w:hanging="284"/>
      </w:pPr>
      <w:rPr>
        <w:rFonts w:hint="default"/>
      </w:rPr>
    </w:lvl>
  </w:abstractNum>
  <w:abstractNum w:abstractNumId="309">
    <w:nsid w:val="75A17C06"/>
    <w:multiLevelType w:val="multilevel"/>
    <w:tmpl w:val="1CA8B91C"/>
    <w:lvl w:ilvl="0">
      <w:start w:val="1"/>
      <w:numFmt w:val="decimal"/>
      <w:lvlText w:val="%1"/>
      <w:lvlJc w:val="left"/>
      <w:pPr>
        <w:ind w:left="647" w:hanging="397"/>
        <w:jc w:val="left"/>
      </w:pPr>
      <w:rPr>
        <w:rFonts w:hint="default"/>
      </w:rPr>
    </w:lvl>
    <w:lvl w:ilvl="1">
      <w:start w:val="1"/>
      <w:numFmt w:val="decimal"/>
      <w:lvlText w:val="%1.%2."/>
      <w:lvlJc w:val="left"/>
      <w:pPr>
        <w:ind w:left="647" w:hanging="397"/>
        <w:jc w:val="left"/>
      </w:pPr>
      <w:rPr>
        <w:rFonts w:ascii="Cambria" w:eastAsia="Cambria" w:hAnsi="Cambria" w:cs="Cambria" w:hint="default"/>
        <w:b/>
        <w:bCs/>
        <w:color w:val="231F20"/>
        <w:spacing w:val="-1"/>
        <w:w w:val="100"/>
        <w:sz w:val="21"/>
        <w:szCs w:val="21"/>
      </w:rPr>
    </w:lvl>
    <w:lvl w:ilvl="2">
      <w:start w:val="1"/>
      <w:numFmt w:val="decimal"/>
      <w:lvlText w:val="%1.%2.%3."/>
      <w:lvlJc w:val="left"/>
      <w:pPr>
        <w:ind w:left="1214" w:hanging="567"/>
        <w:jc w:val="left"/>
      </w:pPr>
      <w:rPr>
        <w:rFonts w:ascii="Cambria" w:eastAsia="Cambria" w:hAnsi="Cambria" w:cs="Cambria" w:hint="default"/>
        <w:color w:val="231F20"/>
        <w:spacing w:val="-4"/>
        <w:w w:val="100"/>
        <w:sz w:val="21"/>
        <w:szCs w:val="21"/>
      </w:rPr>
    </w:lvl>
    <w:lvl w:ilvl="3">
      <w:start w:val="1"/>
      <w:numFmt w:val="decimal"/>
      <w:lvlText w:val="%1.%2.%3.%4."/>
      <w:lvlJc w:val="left"/>
      <w:pPr>
        <w:ind w:left="1930" w:hanging="717"/>
        <w:jc w:val="left"/>
      </w:pPr>
      <w:rPr>
        <w:rFonts w:ascii="Cambria" w:eastAsia="Cambria" w:hAnsi="Cambria" w:cs="Cambria" w:hint="default"/>
        <w:color w:val="231F20"/>
        <w:spacing w:val="-14"/>
        <w:w w:val="81"/>
        <w:sz w:val="21"/>
        <w:szCs w:val="21"/>
      </w:rPr>
    </w:lvl>
    <w:lvl w:ilvl="4">
      <w:numFmt w:val="bullet"/>
      <w:lvlText w:val="•"/>
      <w:lvlJc w:val="left"/>
      <w:pPr>
        <w:ind w:left="2689" w:hanging="717"/>
      </w:pPr>
      <w:rPr>
        <w:rFonts w:hint="default"/>
      </w:rPr>
    </w:lvl>
    <w:lvl w:ilvl="5">
      <w:numFmt w:val="bullet"/>
      <w:lvlText w:val="•"/>
      <w:lvlJc w:val="left"/>
      <w:pPr>
        <w:ind w:left="3438" w:hanging="717"/>
      </w:pPr>
      <w:rPr>
        <w:rFonts w:hint="default"/>
      </w:rPr>
    </w:lvl>
    <w:lvl w:ilvl="6">
      <w:numFmt w:val="bullet"/>
      <w:lvlText w:val="•"/>
      <w:lvlJc w:val="left"/>
      <w:pPr>
        <w:ind w:left="4187" w:hanging="717"/>
      </w:pPr>
      <w:rPr>
        <w:rFonts w:hint="default"/>
      </w:rPr>
    </w:lvl>
    <w:lvl w:ilvl="7">
      <w:numFmt w:val="bullet"/>
      <w:lvlText w:val="•"/>
      <w:lvlJc w:val="left"/>
      <w:pPr>
        <w:ind w:left="4936" w:hanging="717"/>
      </w:pPr>
      <w:rPr>
        <w:rFonts w:hint="default"/>
      </w:rPr>
    </w:lvl>
    <w:lvl w:ilvl="8">
      <w:numFmt w:val="bullet"/>
      <w:lvlText w:val="•"/>
      <w:lvlJc w:val="left"/>
      <w:pPr>
        <w:ind w:left="5685" w:hanging="717"/>
      </w:pPr>
      <w:rPr>
        <w:rFonts w:hint="default"/>
      </w:rPr>
    </w:lvl>
  </w:abstractNum>
  <w:abstractNum w:abstractNumId="310">
    <w:nsid w:val="76270A8D"/>
    <w:multiLevelType w:val="hybridMultilevel"/>
    <w:tmpl w:val="CFE29386"/>
    <w:lvl w:ilvl="0" w:tplc="EFBA4FF0">
      <w:start w:val="1"/>
      <w:numFmt w:val="decimal"/>
      <w:lvlText w:val="%1)"/>
      <w:lvlJc w:val="left"/>
      <w:pPr>
        <w:ind w:left="250" w:hanging="284"/>
        <w:jc w:val="left"/>
      </w:pPr>
      <w:rPr>
        <w:rFonts w:ascii="Cambria" w:eastAsia="Cambria" w:hAnsi="Cambria" w:cs="Cambria" w:hint="default"/>
        <w:b/>
        <w:bCs/>
        <w:color w:val="231F20"/>
        <w:spacing w:val="-20"/>
        <w:w w:val="100"/>
        <w:sz w:val="21"/>
        <w:szCs w:val="21"/>
      </w:rPr>
    </w:lvl>
    <w:lvl w:ilvl="1" w:tplc="FCE47DD4">
      <w:numFmt w:val="bullet"/>
      <w:lvlText w:val="•"/>
      <w:lvlJc w:val="left"/>
      <w:pPr>
        <w:ind w:left="952" w:hanging="284"/>
      </w:pPr>
      <w:rPr>
        <w:rFonts w:hint="default"/>
      </w:rPr>
    </w:lvl>
    <w:lvl w:ilvl="2" w:tplc="D5FCD898">
      <w:numFmt w:val="bullet"/>
      <w:lvlText w:val="•"/>
      <w:lvlJc w:val="left"/>
      <w:pPr>
        <w:ind w:left="1644" w:hanging="284"/>
      </w:pPr>
      <w:rPr>
        <w:rFonts w:hint="default"/>
      </w:rPr>
    </w:lvl>
    <w:lvl w:ilvl="3" w:tplc="BA32B316">
      <w:numFmt w:val="bullet"/>
      <w:lvlText w:val="•"/>
      <w:lvlJc w:val="left"/>
      <w:pPr>
        <w:ind w:left="2337" w:hanging="284"/>
      </w:pPr>
      <w:rPr>
        <w:rFonts w:hint="default"/>
      </w:rPr>
    </w:lvl>
    <w:lvl w:ilvl="4" w:tplc="C5BA0F02">
      <w:numFmt w:val="bullet"/>
      <w:lvlText w:val="•"/>
      <w:lvlJc w:val="left"/>
      <w:pPr>
        <w:ind w:left="3029" w:hanging="284"/>
      </w:pPr>
      <w:rPr>
        <w:rFonts w:hint="default"/>
      </w:rPr>
    </w:lvl>
    <w:lvl w:ilvl="5" w:tplc="3E06CE1A">
      <w:numFmt w:val="bullet"/>
      <w:lvlText w:val="•"/>
      <w:lvlJc w:val="left"/>
      <w:pPr>
        <w:ind w:left="3721" w:hanging="284"/>
      </w:pPr>
      <w:rPr>
        <w:rFonts w:hint="default"/>
      </w:rPr>
    </w:lvl>
    <w:lvl w:ilvl="6" w:tplc="6AB4ED4C">
      <w:numFmt w:val="bullet"/>
      <w:lvlText w:val="•"/>
      <w:lvlJc w:val="left"/>
      <w:pPr>
        <w:ind w:left="4414" w:hanging="284"/>
      </w:pPr>
      <w:rPr>
        <w:rFonts w:hint="default"/>
      </w:rPr>
    </w:lvl>
    <w:lvl w:ilvl="7" w:tplc="0B7AC04C">
      <w:numFmt w:val="bullet"/>
      <w:lvlText w:val="•"/>
      <w:lvlJc w:val="left"/>
      <w:pPr>
        <w:ind w:left="5106" w:hanging="284"/>
      </w:pPr>
      <w:rPr>
        <w:rFonts w:hint="default"/>
      </w:rPr>
    </w:lvl>
    <w:lvl w:ilvl="8" w:tplc="DE02A4DC">
      <w:numFmt w:val="bullet"/>
      <w:lvlText w:val="•"/>
      <w:lvlJc w:val="left"/>
      <w:pPr>
        <w:ind w:left="5799" w:hanging="284"/>
      </w:pPr>
      <w:rPr>
        <w:rFonts w:hint="default"/>
      </w:rPr>
    </w:lvl>
  </w:abstractNum>
  <w:abstractNum w:abstractNumId="311">
    <w:nsid w:val="77682B22"/>
    <w:multiLevelType w:val="hybridMultilevel"/>
    <w:tmpl w:val="E1D073F6"/>
    <w:lvl w:ilvl="0" w:tplc="1F404BC0">
      <w:start w:val="1"/>
      <w:numFmt w:val="decimal"/>
      <w:lvlText w:val="%1)"/>
      <w:lvlJc w:val="left"/>
      <w:pPr>
        <w:ind w:left="250" w:hanging="284"/>
        <w:jc w:val="left"/>
      </w:pPr>
      <w:rPr>
        <w:rFonts w:ascii="Cambria" w:eastAsia="Cambria" w:hAnsi="Cambria" w:cs="Cambria" w:hint="default"/>
        <w:i/>
        <w:color w:val="231F20"/>
        <w:spacing w:val="-5"/>
        <w:w w:val="100"/>
        <w:sz w:val="21"/>
        <w:szCs w:val="21"/>
      </w:rPr>
    </w:lvl>
    <w:lvl w:ilvl="1" w:tplc="69F2C076">
      <w:numFmt w:val="bullet"/>
      <w:lvlText w:val="•"/>
      <w:lvlJc w:val="left"/>
      <w:pPr>
        <w:ind w:left="952" w:hanging="284"/>
      </w:pPr>
      <w:rPr>
        <w:rFonts w:hint="default"/>
      </w:rPr>
    </w:lvl>
    <w:lvl w:ilvl="2" w:tplc="09847BD2">
      <w:numFmt w:val="bullet"/>
      <w:lvlText w:val="•"/>
      <w:lvlJc w:val="left"/>
      <w:pPr>
        <w:ind w:left="1644" w:hanging="284"/>
      </w:pPr>
      <w:rPr>
        <w:rFonts w:hint="default"/>
      </w:rPr>
    </w:lvl>
    <w:lvl w:ilvl="3" w:tplc="BF48D2C6">
      <w:numFmt w:val="bullet"/>
      <w:lvlText w:val="•"/>
      <w:lvlJc w:val="left"/>
      <w:pPr>
        <w:ind w:left="2337" w:hanging="284"/>
      </w:pPr>
      <w:rPr>
        <w:rFonts w:hint="default"/>
      </w:rPr>
    </w:lvl>
    <w:lvl w:ilvl="4" w:tplc="A94C3D10">
      <w:numFmt w:val="bullet"/>
      <w:lvlText w:val="•"/>
      <w:lvlJc w:val="left"/>
      <w:pPr>
        <w:ind w:left="3029" w:hanging="284"/>
      </w:pPr>
      <w:rPr>
        <w:rFonts w:hint="default"/>
      </w:rPr>
    </w:lvl>
    <w:lvl w:ilvl="5" w:tplc="F30A4BE0">
      <w:numFmt w:val="bullet"/>
      <w:lvlText w:val="•"/>
      <w:lvlJc w:val="left"/>
      <w:pPr>
        <w:ind w:left="3721" w:hanging="284"/>
      </w:pPr>
      <w:rPr>
        <w:rFonts w:hint="default"/>
      </w:rPr>
    </w:lvl>
    <w:lvl w:ilvl="6" w:tplc="1DF8F2EA">
      <w:numFmt w:val="bullet"/>
      <w:lvlText w:val="•"/>
      <w:lvlJc w:val="left"/>
      <w:pPr>
        <w:ind w:left="4414" w:hanging="284"/>
      </w:pPr>
      <w:rPr>
        <w:rFonts w:hint="default"/>
      </w:rPr>
    </w:lvl>
    <w:lvl w:ilvl="7" w:tplc="BD341916">
      <w:numFmt w:val="bullet"/>
      <w:lvlText w:val="•"/>
      <w:lvlJc w:val="left"/>
      <w:pPr>
        <w:ind w:left="5106" w:hanging="284"/>
      </w:pPr>
      <w:rPr>
        <w:rFonts w:hint="default"/>
      </w:rPr>
    </w:lvl>
    <w:lvl w:ilvl="8" w:tplc="D5B05ADE">
      <w:numFmt w:val="bullet"/>
      <w:lvlText w:val="•"/>
      <w:lvlJc w:val="left"/>
      <w:pPr>
        <w:ind w:left="5799" w:hanging="284"/>
      </w:pPr>
      <w:rPr>
        <w:rFonts w:hint="default"/>
      </w:rPr>
    </w:lvl>
  </w:abstractNum>
  <w:abstractNum w:abstractNumId="312">
    <w:nsid w:val="77B355FD"/>
    <w:multiLevelType w:val="hybridMultilevel"/>
    <w:tmpl w:val="46B889FE"/>
    <w:lvl w:ilvl="0" w:tplc="5BF2B6AA">
      <w:start w:val="1"/>
      <w:numFmt w:val="decimal"/>
      <w:lvlText w:val="%1)"/>
      <w:lvlJc w:val="left"/>
      <w:pPr>
        <w:ind w:left="533" w:hanging="284"/>
        <w:jc w:val="left"/>
      </w:pPr>
      <w:rPr>
        <w:rFonts w:ascii="Cambria" w:eastAsia="Cambria" w:hAnsi="Cambria" w:cs="Cambria" w:hint="default"/>
        <w:b/>
        <w:bCs/>
        <w:i/>
        <w:color w:val="231F20"/>
        <w:spacing w:val="-23"/>
        <w:w w:val="100"/>
        <w:sz w:val="21"/>
        <w:szCs w:val="21"/>
      </w:rPr>
    </w:lvl>
    <w:lvl w:ilvl="1" w:tplc="4C26B640">
      <w:numFmt w:val="bullet"/>
      <w:lvlText w:val="•"/>
      <w:lvlJc w:val="left"/>
      <w:pPr>
        <w:ind w:left="1204" w:hanging="284"/>
      </w:pPr>
      <w:rPr>
        <w:rFonts w:hint="default"/>
      </w:rPr>
    </w:lvl>
    <w:lvl w:ilvl="2" w:tplc="261EB12E">
      <w:numFmt w:val="bullet"/>
      <w:lvlText w:val="•"/>
      <w:lvlJc w:val="left"/>
      <w:pPr>
        <w:ind w:left="1868" w:hanging="284"/>
      </w:pPr>
      <w:rPr>
        <w:rFonts w:hint="default"/>
      </w:rPr>
    </w:lvl>
    <w:lvl w:ilvl="3" w:tplc="D23A8FF6">
      <w:numFmt w:val="bullet"/>
      <w:lvlText w:val="•"/>
      <w:lvlJc w:val="left"/>
      <w:pPr>
        <w:ind w:left="2533" w:hanging="284"/>
      </w:pPr>
      <w:rPr>
        <w:rFonts w:hint="default"/>
      </w:rPr>
    </w:lvl>
    <w:lvl w:ilvl="4" w:tplc="62642618">
      <w:numFmt w:val="bullet"/>
      <w:lvlText w:val="•"/>
      <w:lvlJc w:val="left"/>
      <w:pPr>
        <w:ind w:left="3197" w:hanging="284"/>
      </w:pPr>
      <w:rPr>
        <w:rFonts w:hint="default"/>
      </w:rPr>
    </w:lvl>
    <w:lvl w:ilvl="5" w:tplc="D90881E8">
      <w:numFmt w:val="bullet"/>
      <w:lvlText w:val="•"/>
      <w:lvlJc w:val="left"/>
      <w:pPr>
        <w:ind w:left="3861" w:hanging="284"/>
      </w:pPr>
      <w:rPr>
        <w:rFonts w:hint="default"/>
      </w:rPr>
    </w:lvl>
    <w:lvl w:ilvl="6" w:tplc="17CAE314">
      <w:numFmt w:val="bullet"/>
      <w:lvlText w:val="•"/>
      <w:lvlJc w:val="left"/>
      <w:pPr>
        <w:ind w:left="4526" w:hanging="284"/>
      </w:pPr>
      <w:rPr>
        <w:rFonts w:hint="default"/>
      </w:rPr>
    </w:lvl>
    <w:lvl w:ilvl="7" w:tplc="30A21016">
      <w:numFmt w:val="bullet"/>
      <w:lvlText w:val="•"/>
      <w:lvlJc w:val="left"/>
      <w:pPr>
        <w:ind w:left="5190" w:hanging="284"/>
      </w:pPr>
      <w:rPr>
        <w:rFonts w:hint="default"/>
      </w:rPr>
    </w:lvl>
    <w:lvl w:ilvl="8" w:tplc="9CAA9FB4">
      <w:numFmt w:val="bullet"/>
      <w:lvlText w:val="•"/>
      <w:lvlJc w:val="left"/>
      <w:pPr>
        <w:ind w:left="5855" w:hanging="284"/>
      </w:pPr>
      <w:rPr>
        <w:rFonts w:hint="default"/>
      </w:rPr>
    </w:lvl>
  </w:abstractNum>
  <w:abstractNum w:abstractNumId="313">
    <w:nsid w:val="780E02C0"/>
    <w:multiLevelType w:val="multilevel"/>
    <w:tmpl w:val="114E383E"/>
    <w:lvl w:ilvl="0">
      <w:start w:val="7"/>
      <w:numFmt w:val="decimal"/>
      <w:lvlText w:val="%1"/>
      <w:lvlJc w:val="left"/>
      <w:pPr>
        <w:ind w:left="533" w:hanging="565"/>
        <w:jc w:val="left"/>
      </w:pPr>
      <w:rPr>
        <w:rFonts w:hint="default"/>
      </w:rPr>
    </w:lvl>
    <w:lvl w:ilvl="1">
      <w:start w:val="2"/>
      <w:numFmt w:val="decimal"/>
      <w:lvlText w:val="%1.%2"/>
      <w:lvlJc w:val="left"/>
      <w:pPr>
        <w:ind w:left="533" w:hanging="565"/>
        <w:jc w:val="left"/>
      </w:pPr>
      <w:rPr>
        <w:rFonts w:hint="default"/>
      </w:rPr>
    </w:lvl>
    <w:lvl w:ilvl="2">
      <w:start w:val="7"/>
      <w:numFmt w:val="decimal"/>
      <w:lvlText w:val="%1.%2.%3."/>
      <w:lvlJc w:val="left"/>
      <w:pPr>
        <w:ind w:left="533" w:hanging="565"/>
        <w:jc w:val="right"/>
      </w:pPr>
      <w:rPr>
        <w:rFonts w:ascii="Cambria" w:eastAsia="Cambria" w:hAnsi="Cambria" w:cs="Cambria" w:hint="default"/>
        <w:b/>
        <w:bCs/>
        <w:color w:val="231F20"/>
        <w:spacing w:val="-1"/>
        <w:w w:val="100"/>
        <w:sz w:val="21"/>
        <w:szCs w:val="21"/>
      </w:rPr>
    </w:lvl>
    <w:lvl w:ilvl="3">
      <w:numFmt w:val="bullet"/>
      <w:lvlText w:val="•"/>
      <w:lvlJc w:val="left"/>
      <w:pPr>
        <w:ind w:left="2533" w:hanging="565"/>
      </w:pPr>
      <w:rPr>
        <w:rFonts w:hint="default"/>
      </w:rPr>
    </w:lvl>
    <w:lvl w:ilvl="4">
      <w:numFmt w:val="bullet"/>
      <w:lvlText w:val="•"/>
      <w:lvlJc w:val="left"/>
      <w:pPr>
        <w:ind w:left="3197" w:hanging="565"/>
      </w:pPr>
      <w:rPr>
        <w:rFonts w:hint="default"/>
      </w:rPr>
    </w:lvl>
    <w:lvl w:ilvl="5">
      <w:numFmt w:val="bullet"/>
      <w:lvlText w:val="•"/>
      <w:lvlJc w:val="left"/>
      <w:pPr>
        <w:ind w:left="3861" w:hanging="565"/>
      </w:pPr>
      <w:rPr>
        <w:rFonts w:hint="default"/>
      </w:rPr>
    </w:lvl>
    <w:lvl w:ilvl="6">
      <w:numFmt w:val="bullet"/>
      <w:lvlText w:val="•"/>
      <w:lvlJc w:val="left"/>
      <w:pPr>
        <w:ind w:left="4526" w:hanging="565"/>
      </w:pPr>
      <w:rPr>
        <w:rFonts w:hint="default"/>
      </w:rPr>
    </w:lvl>
    <w:lvl w:ilvl="7">
      <w:numFmt w:val="bullet"/>
      <w:lvlText w:val="•"/>
      <w:lvlJc w:val="left"/>
      <w:pPr>
        <w:ind w:left="5190" w:hanging="565"/>
      </w:pPr>
      <w:rPr>
        <w:rFonts w:hint="default"/>
      </w:rPr>
    </w:lvl>
    <w:lvl w:ilvl="8">
      <w:numFmt w:val="bullet"/>
      <w:lvlText w:val="•"/>
      <w:lvlJc w:val="left"/>
      <w:pPr>
        <w:ind w:left="5855" w:hanging="565"/>
      </w:pPr>
      <w:rPr>
        <w:rFonts w:hint="default"/>
      </w:rPr>
    </w:lvl>
  </w:abstractNum>
  <w:abstractNum w:abstractNumId="314">
    <w:nsid w:val="78647028"/>
    <w:multiLevelType w:val="hybridMultilevel"/>
    <w:tmpl w:val="0292050C"/>
    <w:lvl w:ilvl="0" w:tplc="20585C06">
      <w:numFmt w:val="bullet"/>
      <w:lvlText w:val=""/>
      <w:lvlJc w:val="left"/>
      <w:pPr>
        <w:ind w:left="250" w:hanging="284"/>
      </w:pPr>
      <w:rPr>
        <w:rFonts w:ascii="Wingdings" w:eastAsia="Wingdings" w:hAnsi="Wingdings" w:cs="Wingdings" w:hint="default"/>
        <w:color w:val="231F20"/>
        <w:w w:val="100"/>
        <w:sz w:val="21"/>
        <w:szCs w:val="21"/>
      </w:rPr>
    </w:lvl>
    <w:lvl w:ilvl="1" w:tplc="B4B874B2">
      <w:numFmt w:val="bullet"/>
      <w:lvlText w:val=""/>
      <w:lvlJc w:val="left"/>
      <w:pPr>
        <w:ind w:left="533" w:hanging="284"/>
      </w:pPr>
      <w:rPr>
        <w:rFonts w:ascii="Wingdings" w:eastAsia="Wingdings" w:hAnsi="Wingdings" w:cs="Wingdings" w:hint="default"/>
        <w:color w:val="231F20"/>
        <w:w w:val="100"/>
        <w:sz w:val="21"/>
        <w:szCs w:val="21"/>
      </w:rPr>
    </w:lvl>
    <w:lvl w:ilvl="2" w:tplc="5B24FF6A">
      <w:numFmt w:val="bullet"/>
      <w:lvlText w:val="•"/>
      <w:lvlJc w:val="left"/>
      <w:pPr>
        <w:ind w:left="1100" w:hanging="284"/>
      </w:pPr>
      <w:rPr>
        <w:rFonts w:hint="default"/>
      </w:rPr>
    </w:lvl>
    <w:lvl w:ilvl="3" w:tplc="20F477F0">
      <w:numFmt w:val="bullet"/>
      <w:lvlText w:val="•"/>
      <w:lvlJc w:val="left"/>
      <w:pPr>
        <w:ind w:left="1860" w:hanging="284"/>
      </w:pPr>
      <w:rPr>
        <w:rFonts w:hint="default"/>
      </w:rPr>
    </w:lvl>
    <w:lvl w:ilvl="4" w:tplc="A1141F46">
      <w:numFmt w:val="bullet"/>
      <w:lvlText w:val="•"/>
      <w:lvlJc w:val="left"/>
      <w:pPr>
        <w:ind w:left="2620" w:hanging="284"/>
      </w:pPr>
      <w:rPr>
        <w:rFonts w:hint="default"/>
      </w:rPr>
    </w:lvl>
    <w:lvl w:ilvl="5" w:tplc="1F08FEA0">
      <w:numFmt w:val="bullet"/>
      <w:lvlText w:val="•"/>
      <w:lvlJc w:val="left"/>
      <w:pPr>
        <w:ind w:left="3381" w:hanging="284"/>
      </w:pPr>
      <w:rPr>
        <w:rFonts w:hint="default"/>
      </w:rPr>
    </w:lvl>
    <w:lvl w:ilvl="6" w:tplc="EEA23FF4">
      <w:numFmt w:val="bullet"/>
      <w:lvlText w:val="•"/>
      <w:lvlJc w:val="left"/>
      <w:pPr>
        <w:ind w:left="4141" w:hanging="284"/>
      </w:pPr>
      <w:rPr>
        <w:rFonts w:hint="default"/>
      </w:rPr>
    </w:lvl>
    <w:lvl w:ilvl="7" w:tplc="F3E08446">
      <w:numFmt w:val="bullet"/>
      <w:lvlText w:val="•"/>
      <w:lvlJc w:val="left"/>
      <w:pPr>
        <w:ind w:left="4902" w:hanging="284"/>
      </w:pPr>
      <w:rPr>
        <w:rFonts w:hint="default"/>
      </w:rPr>
    </w:lvl>
    <w:lvl w:ilvl="8" w:tplc="1A186F26">
      <w:numFmt w:val="bullet"/>
      <w:lvlText w:val="•"/>
      <w:lvlJc w:val="left"/>
      <w:pPr>
        <w:ind w:left="5662" w:hanging="284"/>
      </w:pPr>
      <w:rPr>
        <w:rFonts w:hint="default"/>
      </w:rPr>
    </w:lvl>
  </w:abstractNum>
  <w:abstractNum w:abstractNumId="315">
    <w:nsid w:val="790F06DC"/>
    <w:multiLevelType w:val="hybridMultilevel"/>
    <w:tmpl w:val="88046B06"/>
    <w:lvl w:ilvl="0" w:tplc="3D007DF6">
      <w:start w:val="4"/>
      <w:numFmt w:val="decimal"/>
      <w:lvlText w:val="%1."/>
      <w:lvlJc w:val="left"/>
      <w:pPr>
        <w:ind w:left="250" w:hanging="284"/>
        <w:jc w:val="left"/>
      </w:pPr>
      <w:rPr>
        <w:rFonts w:ascii="Cambria" w:eastAsia="Cambria" w:hAnsi="Cambria" w:cs="Cambria" w:hint="default"/>
        <w:color w:val="231F20"/>
        <w:spacing w:val="-15"/>
        <w:w w:val="100"/>
        <w:sz w:val="21"/>
        <w:szCs w:val="21"/>
      </w:rPr>
    </w:lvl>
    <w:lvl w:ilvl="1" w:tplc="D08C0726">
      <w:numFmt w:val="bullet"/>
      <w:lvlText w:val="•"/>
      <w:lvlJc w:val="left"/>
      <w:pPr>
        <w:ind w:left="952" w:hanging="284"/>
      </w:pPr>
      <w:rPr>
        <w:rFonts w:hint="default"/>
      </w:rPr>
    </w:lvl>
    <w:lvl w:ilvl="2" w:tplc="B5D2DA10">
      <w:numFmt w:val="bullet"/>
      <w:lvlText w:val="•"/>
      <w:lvlJc w:val="left"/>
      <w:pPr>
        <w:ind w:left="1644" w:hanging="284"/>
      </w:pPr>
      <w:rPr>
        <w:rFonts w:hint="default"/>
      </w:rPr>
    </w:lvl>
    <w:lvl w:ilvl="3" w:tplc="59047A5E">
      <w:numFmt w:val="bullet"/>
      <w:lvlText w:val="•"/>
      <w:lvlJc w:val="left"/>
      <w:pPr>
        <w:ind w:left="2337" w:hanging="284"/>
      </w:pPr>
      <w:rPr>
        <w:rFonts w:hint="default"/>
      </w:rPr>
    </w:lvl>
    <w:lvl w:ilvl="4" w:tplc="DE6218AC">
      <w:numFmt w:val="bullet"/>
      <w:lvlText w:val="•"/>
      <w:lvlJc w:val="left"/>
      <w:pPr>
        <w:ind w:left="3029" w:hanging="284"/>
      </w:pPr>
      <w:rPr>
        <w:rFonts w:hint="default"/>
      </w:rPr>
    </w:lvl>
    <w:lvl w:ilvl="5" w:tplc="D10E7E68">
      <w:numFmt w:val="bullet"/>
      <w:lvlText w:val="•"/>
      <w:lvlJc w:val="left"/>
      <w:pPr>
        <w:ind w:left="3721" w:hanging="284"/>
      </w:pPr>
      <w:rPr>
        <w:rFonts w:hint="default"/>
      </w:rPr>
    </w:lvl>
    <w:lvl w:ilvl="6" w:tplc="D2CC849C">
      <w:numFmt w:val="bullet"/>
      <w:lvlText w:val="•"/>
      <w:lvlJc w:val="left"/>
      <w:pPr>
        <w:ind w:left="4414" w:hanging="284"/>
      </w:pPr>
      <w:rPr>
        <w:rFonts w:hint="default"/>
      </w:rPr>
    </w:lvl>
    <w:lvl w:ilvl="7" w:tplc="C3DEAE1E">
      <w:numFmt w:val="bullet"/>
      <w:lvlText w:val="•"/>
      <w:lvlJc w:val="left"/>
      <w:pPr>
        <w:ind w:left="5106" w:hanging="284"/>
      </w:pPr>
      <w:rPr>
        <w:rFonts w:hint="default"/>
      </w:rPr>
    </w:lvl>
    <w:lvl w:ilvl="8" w:tplc="2190DFCA">
      <w:numFmt w:val="bullet"/>
      <w:lvlText w:val="•"/>
      <w:lvlJc w:val="left"/>
      <w:pPr>
        <w:ind w:left="5799" w:hanging="284"/>
      </w:pPr>
      <w:rPr>
        <w:rFonts w:hint="default"/>
      </w:rPr>
    </w:lvl>
  </w:abstractNum>
  <w:abstractNum w:abstractNumId="316">
    <w:nsid w:val="79200E2E"/>
    <w:multiLevelType w:val="hybridMultilevel"/>
    <w:tmpl w:val="4F8E766E"/>
    <w:lvl w:ilvl="0" w:tplc="C9DECAB8">
      <w:numFmt w:val="bullet"/>
      <w:lvlText w:val="–"/>
      <w:lvlJc w:val="left"/>
      <w:pPr>
        <w:ind w:left="250" w:hanging="284"/>
      </w:pPr>
      <w:rPr>
        <w:rFonts w:ascii="Cambria" w:eastAsia="Cambria" w:hAnsi="Cambria" w:cs="Cambria" w:hint="default"/>
        <w:color w:val="231F20"/>
        <w:spacing w:val="-7"/>
        <w:w w:val="100"/>
        <w:sz w:val="21"/>
        <w:szCs w:val="21"/>
      </w:rPr>
    </w:lvl>
    <w:lvl w:ilvl="1" w:tplc="7A80E092">
      <w:numFmt w:val="bullet"/>
      <w:lvlText w:val="•"/>
      <w:lvlJc w:val="left"/>
      <w:pPr>
        <w:ind w:left="952" w:hanging="284"/>
      </w:pPr>
      <w:rPr>
        <w:rFonts w:hint="default"/>
      </w:rPr>
    </w:lvl>
    <w:lvl w:ilvl="2" w:tplc="DF58D064">
      <w:numFmt w:val="bullet"/>
      <w:lvlText w:val="•"/>
      <w:lvlJc w:val="left"/>
      <w:pPr>
        <w:ind w:left="1644" w:hanging="284"/>
      </w:pPr>
      <w:rPr>
        <w:rFonts w:hint="default"/>
      </w:rPr>
    </w:lvl>
    <w:lvl w:ilvl="3" w:tplc="1F823F9A">
      <w:numFmt w:val="bullet"/>
      <w:lvlText w:val="•"/>
      <w:lvlJc w:val="left"/>
      <w:pPr>
        <w:ind w:left="2337" w:hanging="284"/>
      </w:pPr>
      <w:rPr>
        <w:rFonts w:hint="default"/>
      </w:rPr>
    </w:lvl>
    <w:lvl w:ilvl="4" w:tplc="5FC8CF08">
      <w:numFmt w:val="bullet"/>
      <w:lvlText w:val="•"/>
      <w:lvlJc w:val="left"/>
      <w:pPr>
        <w:ind w:left="3029" w:hanging="284"/>
      </w:pPr>
      <w:rPr>
        <w:rFonts w:hint="default"/>
      </w:rPr>
    </w:lvl>
    <w:lvl w:ilvl="5" w:tplc="02DC1790">
      <w:numFmt w:val="bullet"/>
      <w:lvlText w:val="•"/>
      <w:lvlJc w:val="left"/>
      <w:pPr>
        <w:ind w:left="3721" w:hanging="284"/>
      </w:pPr>
      <w:rPr>
        <w:rFonts w:hint="default"/>
      </w:rPr>
    </w:lvl>
    <w:lvl w:ilvl="6" w:tplc="50C4BEB4">
      <w:numFmt w:val="bullet"/>
      <w:lvlText w:val="•"/>
      <w:lvlJc w:val="left"/>
      <w:pPr>
        <w:ind w:left="4414" w:hanging="284"/>
      </w:pPr>
      <w:rPr>
        <w:rFonts w:hint="default"/>
      </w:rPr>
    </w:lvl>
    <w:lvl w:ilvl="7" w:tplc="85268946">
      <w:numFmt w:val="bullet"/>
      <w:lvlText w:val="•"/>
      <w:lvlJc w:val="left"/>
      <w:pPr>
        <w:ind w:left="5106" w:hanging="284"/>
      </w:pPr>
      <w:rPr>
        <w:rFonts w:hint="default"/>
      </w:rPr>
    </w:lvl>
    <w:lvl w:ilvl="8" w:tplc="BB38D050">
      <w:numFmt w:val="bullet"/>
      <w:lvlText w:val="•"/>
      <w:lvlJc w:val="left"/>
      <w:pPr>
        <w:ind w:left="5799" w:hanging="284"/>
      </w:pPr>
      <w:rPr>
        <w:rFonts w:hint="default"/>
      </w:rPr>
    </w:lvl>
  </w:abstractNum>
  <w:abstractNum w:abstractNumId="317">
    <w:nsid w:val="79383937"/>
    <w:multiLevelType w:val="hybridMultilevel"/>
    <w:tmpl w:val="88B87A70"/>
    <w:lvl w:ilvl="0" w:tplc="B5CCD80A">
      <w:start w:val="1"/>
      <w:numFmt w:val="decimal"/>
      <w:lvlText w:val="%1)"/>
      <w:lvlJc w:val="left"/>
      <w:pPr>
        <w:ind w:left="250" w:hanging="284"/>
        <w:jc w:val="right"/>
      </w:pPr>
      <w:rPr>
        <w:rFonts w:ascii="Cambria" w:eastAsia="Cambria" w:hAnsi="Cambria" w:cs="Cambria" w:hint="default"/>
        <w:color w:val="231F20"/>
        <w:spacing w:val="-22"/>
        <w:w w:val="100"/>
        <w:sz w:val="21"/>
        <w:szCs w:val="21"/>
      </w:rPr>
    </w:lvl>
    <w:lvl w:ilvl="1" w:tplc="AFD888DC">
      <w:numFmt w:val="bullet"/>
      <w:lvlText w:val="•"/>
      <w:lvlJc w:val="left"/>
      <w:pPr>
        <w:ind w:left="952" w:hanging="284"/>
      </w:pPr>
      <w:rPr>
        <w:rFonts w:hint="default"/>
      </w:rPr>
    </w:lvl>
    <w:lvl w:ilvl="2" w:tplc="CB9CA936">
      <w:numFmt w:val="bullet"/>
      <w:lvlText w:val="•"/>
      <w:lvlJc w:val="left"/>
      <w:pPr>
        <w:ind w:left="1644" w:hanging="284"/>
      </w:pPr>
      <w:rPr>
        <w:rFonts w:hint="default"/>
      </w:rPr>
    </w:lvl>
    <w:lvl w:ilvl="3" w:tplc="134CD20C">
      <w:numFmt w:val="bullet"/>
      <w:lvlText w:val="•"/>
      <w:lvlJc w:val="left"/>
      <w:pPr>
        <w:ind w:left="2337" w:hanging="284"/>
      </w:pPr>
      <w:rPr>
        <w:rFonts w:hint="default"/>
      </w:rPr>
    </w:lvl>
    <w:lvl w:ilvl="4" w:tplc="91D0458E">
      <w:numFmt w:val="bullet"/>
      <w:lvlText w:val="•"/>
      <w:lvlJc w:val="left"/>
      <w:pPr>
        <w:ind w:left="3029" w:hanging="284"/>
      </w:pPr>
      <w:rPr>
        <w:rFonts w:hint="default"/>
      </w:rPr>
    </w:lvl>
    <w:lvl w:ilvl="5" w:tplc="A8F8AF6C">
      <w:numFmt w:val="bullet"/>
      <w:lvlText w:val="•"/>
      <w:lvlJc w:val="left"/>
      <w:pPr>
        <w:ind w:left="3721" w:hanging="284"/>
      </w:pPr>
      <w:rPr>
        <w:rFonts w:hint="default"/>
      </w:rPr>
    </w:lvl>
    <w:lvl w:ilvl="6" w:tplc="4F9476D4">
      <w:numFmt w:val="bullet"/>
      <w:lvlText w:val="•"/>
      <w:lvlJc w:val="left"/>
      <w:pPr>
        <w:ind w:left="4414" w:hanging="284"/>
      </w:pPr>
      <w:rPr>
        <w:rFonts w:hint="default"/>
      </w:rPr>
    </w:lvl>
    <w:lvl w:ilvl="7" w:tplc="43B4D82A">
      <w:numFmt w:val="bullet"/>
      <w:lvlText w:val="•"/>
      <w:lvlJc w:val="left"/>
      <w:pPr>
        <w:ind w:left="5106" w:hanging="284"/>
      </w:pPr>
      <w:rPr>
        <w:rFonts w:hint="default"/>
      </w:rPr>
    </w:lvl>
    <w:lvl w:ilvl="8" w:tplc="3E22FBA0">
      <w:numFmt w:val="bullet"/>
      <w:lvlText w:val="•"/>
      <w:lvlJc w:val="left"/>
      <w:pPr>
        <w:ind w:left="5799" w:hanging="284"/>
      </w:pPr>
      <w:rPr>
        <w:rFonts w:hint="default"/>
      </w:rPr>
    </w:lvl>
  </w:abstractNum>
  <w:abstractNum w:abstractNumId="318">
    <w:nsid w:val="793D7288"/>
    <w:multiLevelType w:val="multilevel"/>
    <w:tmpl w:val="32F410BA"/>
    <w:lvl w:ilvl="0">
      <w:start w:val="8"/>
      <w:numFmt w:val="decimal"/>
      <w:lvlText w:val="%1"/>
      <w:lvlJc w:val="left"/>
      <w:pPr>
        <w:ind w:left="817" w:hanging="565"/>
        <w:jc w:val="left"/>
      </w:pPr>
      <w:rPr>
        <w:rFonts w:hint="default"/>
      </w:rPr>
    </w:lvl>
    <w:lvl w:ilvl="1">
      <w:start w:val="4"/>
      <w:numFmt w:val="decimal"/>
      <w:lvlText w:val="%1.%2"/>
      <w:lvlJc w:val="left"/>
      <w:pPr>
        <w:ind w:left="817" w:hanging="565"/>
        <w:jc w:val="left"/>
      </w:pPr>
      <w:rPr>
        <w:rFonts w:hint="default"/>
      </w:rPr>
    </w:lvl>
    <w:lvl w:ilvl="2">
      <w:start w:val="1"/>
      <w:numFmt w:val="decimal"/>
      <w:lvlText w:val="%1.%2.%3."/>
      <w:lvlJc w:val="left"/>
      <w:pPr>
        <w:ind w:left="817" w:hanging="565"/>
        <w:jc w:val="right"/>
      </w:pPr>
      <w:rPr>
        <w:rFonts w:ascii="Cambria" w:eastAsia="Cambria" w:hAnsi="Cambria" w:cs="Cambria" w:hint="default"/>
        <w:b/>
        <w:bCs/>
        <w:color w:val="231F20"/>
        <w:spacing w:val="-1"/>
        <w:w w:val="100"/>
        <w:sz w:val="21"/>
        <w:szCs w:val="21"/>
      </w:rPr>
    </w:lvl>
    <w:lvl w:ilvl="3">
      <w:numFmt w:val="bullet"/>
      <w:lvlText w:val="•"/>
      <w:lvlJc w:val="left"/>
      <w:pPr>
        <w:ind w:left="2729" w:hanging="565"/>
      </w:pPr>
      <w:rPr>
        <w:rFonts w:hint="default"/>
      </w:rPr>
    </w:lvl>
    <w:lvl w:ilvl="4">
      <w:numFmt w:val="bullet"/>
      <w:lvlText w:val="•"/>
      <w:lvlJc w:val="left"/>
      <w:pPr>
        <w:ind w:left="3365" w:hanging="565"/>
      </w:pPr>
      <w:rPr>
        <w:rFonts w:hint="default"/>
      </w:rPr>
    </w:lvl>
    <w:lvl w:ilvl="5">
      <w:numFmt w:val="bullet"/>
      <w:lvlText w:val="•"/>
      <w:lvlJc w:val="left"/>
      <w:pPr>
        <w:ind w:left="4001" w:hanging="565"/>
      </w:pPr>
      <w:rPr>
        <w:rFonts w:hint="default"/>
      </w:rPr>
    </w:lvl>
    <w:lvl w:ilvl="6">
      <w:numFmt w:val="bullet"/>
      <w:lvlText w:val="•"/>
      <w:lvlJc w:val="left"/>
      <w:pPr>
        <w:ind w:left="4638" w:hanging="565"/>
      </w:pPr>
      <w:rPr>
        <w:rFonts w:hint="default"/>
      </w:rPr>
    </w:lvl>
    <w:lvl w:ilvl="7">
      <w:numFmt w:val="bullet"/>
      <w:lvlText w:val="•"/>
      <w:lvlJc w:val="left"/>
      <w:pPr>
        <w:ind w:left="5274" w:hanging="565"/>
      </w:pPr>
      <w:rPr>
        <w:rFonts w:hint="default"/>
      </w:rPr>
    </w:lvl>
    <w:lvl w:ilvl="8">
      <w:numFmt w:val="bullet"/>
      <w:lvlText w:val="•"/>
      <w:lvlJc w:val="left"/>
      <w:pPr>
        <w:ind w:left="5911" w:hanging="565"/>
      </w:pPr>
      <w:rPr>
        <w:rFonts w:hint="default"/>
      </w:rPr>
    </w:lvl>
  </w:abstractNum>
  <w:abstractNum w:abstractNumId="319">
    <w:nsid w:val="79A63122"/>
    <w:multiLevelType w:val="hybridMultilevel"/>
    <w:tmpl w:val="376489DA"/>
    <w:lvl w:ilvl="0" w:tplc="19B6C08A">
      <w:start w:val="1"/>
      <w:numFmt w:val="decimal"/>
      <w:lvlText w:val="%1."/>
      <w:lvlJc w:val="left"/>
      <w:pPr>
        <w:ind w:left="250" w:hanging="284"/>
        <w:jc w:val="left"/>
      </w:pPr>
      <w:rPr>
        <w:rFonts w:ascii="Cambria" w:eastAsia="Cambria" w:hAnsi="Cambria" w:cs="Cambria" w:hint="default"/>
        <w:color w:val="231F20"/>
        <w:spacing w:val="-24"/>
        <w:w w:val="100"/>
        <w:sz w:val="21"/>
        <w:szCs w:val="21"/>
      </w:rPr>
    </w:lvl>
    <w:lvl w:ilvl="1" w:tplc="24505A92">
      <w:start w:val="7"/>
      <w:numFmt w:val="decimal"/>
      <w:lvlText w:val="%2."/>
      <w:lvlJc w:val="left"/>
      <w:pPr>
        <w:ind w:left="533" w:hanging="284"/>
        <w:jc w:val="left"/>
      </w:pPr>
      <w:rPr>
        <w:rFonts w:ascii="Cambria" w:eastAsia="Cambria" w:hAnsi="Cambria" w:cs="Cambria" w:hint="default"/>
        <w:color w:val="231F20"/>
        <w:spacing w:val="-15"/>
        <w:w w:val="100"/>
        <w:sz w:val="21"/>
        <w:szCs w:val="21"/>
      </w:rPr>
    </w:lvl>
    <w:lvl w:ilvl="2" w:tplc="25E40DB0">
      <w:numFmt w:val="bullet"/>
      <w:lvlText w:val="•"/>
      <w:lvlJc w:val="left"/>
      <w:pPr>
        <w:ind w:left="1278" w:hanging="284"/>
      </w:pPr>
      <w:rPr>
        <w:rFonts w:hint="default"/>
      </w:rPr>
    </w:lvl>
    <w:lvl w:ilvl="3" w:tplc="9BEAEC0C">
      <w:numFmt w:val="bullet"/>
      <w:lvlText w:val="•"/>
      <w:lvlJc w:val="left"/>
      <w:pPr>
        <w:ind w:left="2016" w:hanging="284"/>
      </w:pPr>
      <w:rPr>
        <w:rFonts w:hint="default"/>
      </w:rPr>
    </w:lvl>
    <w:lvl w:ilvl="4" w:tplc="28C43BD6">
      <w:numFmt w:val="bullet"/>
      <w:lvlText w:val="•"/>
      <w:lvlJc w:val="left"/>
      <w:pPr>
        <w:ind w:left="2754" w:hanging="284"/>
      </w:pPr>
      <w:rPr>
        <w:rFonts w:hint="default"/>
      </w:rPr>
    </w:lvl>
    <w:lvl w:ilvl="5" w:tplc="E1A6303E">
      <w:numFmt w:val="bullet"/>
      <w:lvlText w:val="•"/>
      <w:lvlJc w:val="left"/>
      <w:pPr>
        <w:ind w:left="3492" w:hanging="284"/>
      </w:pPr>
      <w:rPr>
        <w:rFonts w:hint="default"/>
      </w:rPr>
    </w:lvl>
    <w:lvl w:ilvl="6" w:tplc="4A761A94">
      <w:numFmt w:val="bullet"/>
      <w:lvlText w:val="•"/>
      <w:lvlJc w:val="left"/>
      <w:pPr>
        <w:ind w:left="4231" w:hanging="284"/>
      </w:pPr>
      <w:rPr>
        <w:rFonts w:hint="default"/>
      </w:rPr>
    </w:lvl>
    <w:lvl w:ilvl="7" w:tplc="FD207130">
      <w:numFmt w:val="bullet"/>
      <w:lvlText w:val="•"/>
      <w:lvlJc w:val="left"/>
      <w:pPr>
        <w:ind w:left="4969" w:hanging="284"/>
      </w:pPr>
      <w:rPr>
        <w:rFonts w:hint="default"/>
      </w:rPr>
    </w:lvl>
    <w:lvl w:ilvl="8" w:tplc="D17AF4DE">
      <w:numFmt w:val="bullet"/>
      <w:lvlText w:val="•"/>
      <w:lvlJc w:val="left"/>
      <w:pPr>
        <w:ind w:left="5707" w:hanging="284"/>
      </w:pPr>
      <w:rPr>
        <w:rFonts w:hint="default"/>
      </w:rPr>
    </w:lvl>
  </w:abstractNum>
  <w:abstractNum w:abstractNumId="320">
    <w:nsid w:val="7A29567E"/>
    <w:multiLevelType w:val="multilevel"/>
    <w:tmpl w:val="10ACD9AC"/>
    <w:lvl w:ilvl="0">
      <w:start w:val="3"/>
      <w:numFmt w:val="decimal"/>
      <w:lvlText w:val="%1"/>
      <w:lvlJc w:val="left"/>
      <w:pPr>
        <w:ind w:left="533" w:hanging="565"/>
        <w:jc w:val="left"/>
      </w:pPr>
      <w:rPr>
        <w:rFonts w:hint="default"/>
      </w:rPr>
    </w:lvl>
    <w:lvl w:ilvl="1">
      <w:start w:val="2"/>
      <w:numFmt w:val="decimal"/>
      <w:lvlText w:val="%1.%2"/>
      <w:lvlJc w:val="left"/>
      <w:pPr>
        <w:ind w:left="533" w:hanging="565"/>
        <w:jc w:val="left"/>
      </w:pPr>
      <w:rPr>
        <w:rFonts w:hint="default"/>
      </w:rPr>
    </w:lvl>
    <w:lvl w:ilvl="2">
      <w:start w:val="1"/>
      <w:numFmt w:val="decimal"/>
      <w:lvlText w:val="%1.%2.%3."/>
      <w:lvlJc w:val="left"/>
      <w:pPr>
        <w:ind w:left="533" w:hanging="565"/>
        <w:jc w:val="right"/>
      </w:pPr>
      <w:rPr>
        <w:rFonts w:ascii="Cambria" w:eastAsia="Cambria" w:hAnsi="Cambria" w:cs="Cambria" w:hint="default"/>
        <w:b/>
        <w:bCs/>
        <w:color w:val="231F20"/>
        <w:spacing w:val="-1"/>
        <w:w w:val="100"/>
        <w:sz w:val="21"/>
        <w:szCs w:val="21"/>
      </w:rPr>
    </w:lvl>
    <w:lvl w:ilvl="3">
      <w:numFmt w:val="bullet"/>
      <w:lvlText w:val="•"/>
      <w:lvlJc w:val="left"/>
      <w:pPr>
        <w:ind w:left="2533" w:hanging="565"/>
      </w:pPr>
      <w:rPr>
        <w:rFonts w:hint="default"/>
      </w:rPr>
    </w:lvl>
    <w:lvl w:ilvl="4">
      <w:numFmt w:val="bullet"/>
      <w:lvlText w:val="•"/>
      <w:lvlJc w:val="left"/>
      <w:pPr>
        <w:ind w:left="3197" w:hanging="565"/>
      </w:pPr>
      <w:rPr>
        <w:rFonts w:hint="default"/>
      </w:rPr>
    </w:lvl>
    <w:lvl w:ilvl="5">
      <w:numFmt w:val="bullet"/>
      <w:lvlText w:val="•"/>
      <w:lvlJc w:val="left"/>
      <w:pPr>
        <w:ind w:left="3861" w:hanging="565"/>
      </w:pPr>
      <w:rPr>
        <w:rFonts w:hint="default"/>
      </w:rPr>
    </w:lvl>
    <w:lvl w:ilvl="6">
      <w:numFmt w:val="bullet"/>
      <w:lvlText w:val="•"/>
      <w:lvlJc w:val="left"/>
      <w:pPr>
        <w:ind w:left="4526" w:hanging="565"/>
      </w:pPr>
      <w:rPr>
        <w:rFonts w:hint="default"/>
      </w:rPr>
    </w:lvl>
    <w:lvl w:ilvl="7">
      <w:numFmt w:val="bullet"/>
      <w:lvlText w:val="•"/>
      <w:lvlJc w:val="left"/>
      <w:pPr>
        <w:ind w:left="5190" w:hanging="565"/>
      </w:pPr>
      <w:rPr>
        <w:rFonts w:hint="default"/>
      </w:rPr>
    </w:lvl>
    <w:lvl w:ilvl="8">
      <w:numFmt w:val="bullet"/>
      <w:lvlText w:val="•"/>
      <w:lvlJc w:val="left"/>
      <w:pPr>
        <w:ind w:left="5855" w:hanging="565"/>
      </w:pPr>
      <w:rPr>
        <w:rFonts w:hint="default"/>
      </w:rPr>
    </w:lvl>
  </w:abstractNum>
  <w:abstractNum w:abstractNumId="321">
    <w:nsid w:val="7A415AC7"/>
    <w:multiLevelType w:val="hybridMultilevel"/>
    <w:tmpl w:val="7A20B8C2"/>
    <w:lvl w:ilvl="0" w:tplc="6AD0301C">
      <w:start w:val="1"/>
      <w:numFmt w:val="decimal"/>
      <w:lvlText w:val="%1."/>
      <w:lvlJc w:val="left"/>
      <w:pPr>
        <w:ind w:left="533" w:hanging="284"/>
        <w:jc w:val="left"/>
      </w:pPr>
      <w:rPr>
        <w:rFonts w:ascii="Cambria" w:eastAsia="Cambria" w:hAnsi="Cambria" w:cs="Cambria" w:hint="default"/>
        <w:color w:val="231F20"/>
        <w:spacing w:val="-15"/>
        <w:w w:val="100"/>
        <w:sz w:val="21"/>
        <w:szCs w:val="21"/>
      </w:rPr>
    </w:lvl>
    <w:lvl w:ilvl="1" w:tplc="EA58EBCC">
      <w:numFmt w:val="bullet"/>
      <w:lvlText w:val="•"/>
      <w:lvlJc w:val="left"/>
      <w:pPr>
        <w:ind w:left="1204" w:hanging="284"/>
      </w:pPr>
      <w:rPr>
        <w:rFonts w:hint="default"/>
      </w:rPr>
    </w:lvl>
    <w:lvl w:ilvl="2" w:tplc="6DF8509E">
      <w:numFmt w:val="bullet"/>
      <w:lvlText w:val="•"/>
      <w:lvlJc w:val="left"/>
      <w:pPr>
        <w:ind w:left="1868" w:hanging="284"/>
      </w:pPr>
      <w:rPr>
        <w:rFonts w:hint="default"/>
      </w:rPr>
    </w:lvl>
    <w:lvl w:ilvl="3" w:tplc="57C22DFC">
      <w:numFmt w:val="bullet"/>
      <w:lvlText w:val="•"/>
      <w:lvlJc w:val="left"/>
      <w:pPr>
        <w:ind w:left="2533" w:hanging="284"/>
      </w:pPr>
      <w:rPr>
        <w:rFonts w:hint="default"/>
      </w:rPr>
    </w:lvl>
    <w:lvl w:ilvl="4" w:tplc="6EBC99BA">
      <w:numFmt w:val="bullet"/>
      <w:lvlText w:val="•"/>
      <w:lvlJc w:val="left"/>
      <w:pPr>
        <w:ind w:left="3197" w:hanging="284"/>
      </w:pPr>
      <w:rPr>
        <w:rFonts w:hint="default"/>
      </w:rPr>
    </w:lvl>
    <w:lvl w:ilvl="5" w:tplc="FC6071D8">
      <w:numFmt w:val="bullet"/>
      <w:lvlText w:val="•"/>
      <w:lvlJc w:val="left"/>
      <w:pPr>
        <w:ind w:left="3861" w:hanging="284"/>
      </w:pPr>
      <w:rPr>
        <w:rFonts w:hint="default"/>
      </w:rPr>
    </w:lvl>
    <w:lvl w:ilvl="6" w:tplc="F216DDEE">
      <w:numFmt w:val="bullet"/>
      <w:lvlText w:val="•"/>
      <w:lvlJc w:val="left"/>
      <w:pPr>
        <w:ind w:left="4526" w:hanging="284"/>
      </w:pPr>
      <w:rPr>
        <w:rFonts w:hint="default"/>
      </w:rPr>
    </w:lvl>
    <w:lvl w:ilvl="7" w:tplc="852EB49E">
      <w:numFmt w:val="bullet"/>
      <w:lvlText w:val="•"/>
      <w:lvlJc w:val="left"/>
      <w:pPr>
        <w:ind w:left="5190" w:hanging="284"/>
      </w:pPr>
      <w:rPr>
        <w:rFonts w:hint="default"/>
      </w:rPr>
    </w:lvl>
    <w:lvl w:ilvl="8" w:tplc="A5B828A4">
      <w:numFmt w:val="bullet"/>
      <w:lvlText w:val="•"/>
      <w:lvlJc w:val="left"/>
      <w:pPr>
        <w:ind w:left="5855" w:hanging="284"/>
      </w:pPr>
      <w:rPr>
        <w:rFonts w:hint="default"/>
      </w:rPr>
    </w:lvl>
  </w:abstractNum>
  <w:abstractNum w:abstractNumId="322">
    <w:nsid w:val="7AEC0487"/>
    <w:multiLevelType w:val="hybridMultilevel"/>
    <w:tmpl w:val="BBF05A22"/>
    <w:lvl w:ilvl="0" w:tplc="2F0E8584">
      <w:numFmt w:val="bullet"/>
      <w:lvlText w:val=""/>
      <w:lvlJc w:val="left"/>
      <w:pPr>
        <w:ind w:left="250" w:hanging="284"/>
      </w:pPr>
      <w:rPr>
        <w:rFonts w:ascii="Wingdings" w:eastAsia="Wingdings" w:hAnsi="Wingdings" w:cs="Wingdings" w:hint="default"/>
        <w:color w:val="231F20"/>
        <w:w w:val="100"/>
        <w:sz w:val="21"/>
        <w:szCs w:val="21"/>
      </w:rPr>
    </w:lvl>
    <w:lvl w:ilvl="1" w:tplc="AF68B4C4">
      <w:numFmt w:val="bullet"/>
      <w:lvlText w:val=""/>
      <w:lvlJc w:val="left"/>
      <w:pPr>
        <w:ind w:left="533" w:hanging="284"/>
      </w:pPr>
      <w:rPr>
        <w:rFonts w:ascii="Wingdings" w:eastAsia="Wingdings" w:hAnsi="Wingdings" w:cs="Wingdings" w:hint="default"/>
        <w:color w:val="231F20"/>
        <w:w w:val="100"/>
        <w:sz w:val="21"/>
        <w:szCs w:val="21"/>
      </w:rPr>
    </w:lvl>
    <w:lvl w:ilvl="2" w:tplc="315AC1CE">
      <w:numFmt w:val="bullet"/>
      <w:lvlText w:val="•"/>
      <w:lvlJc w:val="left"/>
      <w:pPr>
        <w:ind w:left="1278" w:hanging="284"/>
      </w:pPr>
      <w:rPr>
        <w:rFonts w:hint="default"/>
      </w:rPr>
    </w:lvl>
    <w:lvl w:ilvl="3" w:tplc="988A8EF2">
      <w:numFmt w:val="bullet"/>
      <w:lvlText w:val="•"/>
      <w:lvlJc w:val="left"/>
      <w:pPr>
        <w:ind w:left="2016" w:hanging="284"/>
      </w:pPr>
      <w:rPr>
        <w:rFonts w:hint="default"/>
      </w:rPr>
    </w:lvl>
    <w:lvl w:ilvl="4" w:tplc="4C4E9CB2">
      <w:numFmt w:val="bullet"/>
      <w:lvlText w:val="•"/>
      <w:lvlJc w:val="left"/>
      <w:pPr>
        <w:ind w:left="2754" w:hanging="284"/>
      </w:pPr>
      <w:rPr>
        <w:rFonts w:hint="default"/>
      </w:rPr>
    </w:lvl>
    <w:lvl w:ilvl="5" w:tplc="0316C35A">
      <w:numFmt w:val="bullet"/>
      <w:lvlText w:val="•"/>
      <w:lvlJc w:val="left"/>
      <w:pPr>
        <w:ind w:left="3492" w:hanging="284"/>
      </w:pPr>
      <w:rPr>
        <w:rFonts w:hint="default"/>
      </w:rPr>
    </w:lvl>
    <w:lvl w:ilvl="6" w:tplc="DBB8B6C8">
      <w:numFmt w:val="bullet"/>
      <w:lvlText w:val="•"/>
      <w:lvlJc w:val="left"/>
      <w:pPr>
        <w:ind w:left="4231" w:hanging="284"/>
      </w:pPr>
      <w:rPr>
        <w:rFonts w:hint="default"/>
      </w:rPr>
    </w:lvl>
    <w:lvl w:ilvl="7" w:tplc="ABAC97EC">
      <w:numFmt w:val="bullet"/>
      <w:lvlText w:val="•"/>
      <w:lvlJc w:val="left"/>
      <w:pPr>
        <w:ind w:left="4969" w:hanging="284"/>
      </w:pPr>
      <w:rPr>
        <w:rFonts w:hint="default"/>
      </w:rPr>
    </w:lvl>
    <w:lvl w:ilvl="8" w:tplc="CACA4D04">
      <w:numFmt w:val="bullet"/>
      <w:lvlText w:val="•"/>
      <w:lvlJc w:val="left"/>
      <w:pPr>
        <w:ind w:left="5707" w:hanging="284"/>
      </w:pPr>
      <w:rPr>
        <w:rFonts w:hint="default"/>
      </w:rPr>
    </w:lvl>
  </w:abstractNum>
  <w:abstractNum w:abstractNumId="323">
    <w:nsid w:val="7C466995"/>
    <w:multiLevelType w:val="hybridMultilevel"/>
    <w:tmpl w:val="97E24EE2"/>
    <w:lvl w:ilvl="0" w:tplc="872631F8">
      <w:start w:val="1"/>
      <w:numFmt w:val="decimal"/>
      <w:lvlText w:val="%1)"/>
      <w:lvlJc w:val="left"/>
      <w:pPr>
        <w:ind w:left="250" w:hanging="284"/>
        <w:jc w:val="left"/>
      </w:pPr>
      <w:rPr>
        <w:rFonts w:ascii="Cambria" w:eastAsia="Cambria" w:hAnsi="Cambria" w:cs="Cambria" w:hint="default"/>
        <w:color w:val="231F20"/>
        <w:spacing w:val="-6"/>
        <w:w w:val="100"/>
        <w:sz w:val="21"/>
        <w:szCs w:val="21"/>
      </w:rPr>
    </w:lvl>
    <w:lvl w:ilvl="1" w:tplc="5DA4EBF4">
      <w:numFmt w:val="bullet"/>
      <w:lvlText w:val="•"/>
      <w:lvlJc w:val="left"/>
      <w:pPr>
        <w:ind w:left="952" w:hanging="284"/>
      </w:pPr>
      <w:rPr>
        <w:rFonts w:hint="default"/>
      </w:rPr>
    </w:lvl>
    <w:lvl w:ilvl="2" w:tplc="A8BCD164">
      <w:numFmt w:val="bullet"/>
      <w:lvlText w:val="•"/>
      <w:lvlJc w:val="left"/>
      <w:pPr>
        <w:ind w:left="1644" w:hanging="284"/>
      </w:pPr>
      <w:rPr>
        <w:rFonts w:hint="default"/>
      </w:rPr>
    </w:lvl>
    <w:lvl w:ilvl="3" w:tplc="81D66644">
      <w:numFmt w:val="bullet"/>
      <w:lvlText w:val="•"/>
      <w:lvlJc w:val="left"/>
      <w:pPr>
        <w:ind w:left="2337" w:hanging="284"/>
      </w:pPr>
      <w:rPr>
        <w:rFonts w:hint="default"/>
      </w:rPr>
    </w:lvl>
    <w:lvl w:ilvl="4" w:tplc="DE982970">
      <w:numFmt w:val="bullet"/>
      <w:lvlText w:val="•"/>
      <w:lvlJc w:val="left"/>
      <w:pPr>
        <w:ind w:left="3029" w:hanging="284"/>
      </w:pPr>
      <w:rPr>
        <w:rFonts w:hint="default"/>
      </w:rPr>
    </w:lvl>
    <w:lvl w:ilvl="5" w:tplc="0B8C4786">
      <w:numFmt w:val="bullet"/>
      <w:lvlText w:val="•"/>
      <w:lvlJc w:val="left"/>
      <w:pPr>
        <w:ind w:left="3721" w:hanging="284"/>
      </w:pPr>
      <w:rPr>
        <w:rFonts w:hint="default"/>
      </w:rPr>
    </w:lvl>
    <w:lvl w:ilvl="6" w:tplc="4EC08038">
      <w:numFmt w:val="bullet"/>
      <w:lvlText w:val="•"/>
      <w:lvlJc w:val="left"/>
      <w:pPr>
        <w:ind w:left="4414" w:hanging="284"/>
      </w:pPr>
      <w:rPr>
        <w:rFonts w:hint="default"/>
      </w:rPr>
    </w:lvl>
    <w:lvl w:ilvl="7" w:tplc="4964D614">
      <w:numFmt w:val="bullet"/>
      <w:lvlText w:val="•"/>
      <w:lvlJc w:val="left"/>
      <w:pPr>
        <w:ind w:left="5106" w:hanging="284"/>
      </w:pPr>
      <w:rPr>
        <w:rFonts w:hint="default"/>
      </w:rPr>
    </w:lvl>
    <w:lvl w:ilvl="8" w:tplc="4CEEC11A">
      <w:numFmt w:val="bullet"/>
      <w:lvlText w:val="•"/>
      <w:lvlJc w:val="left"/>
      <w:pPr>
        <w:ind w:left="5799" w:hanging="284"/>
      </w:pPr>
      <w:rPr>
        <w:rFonts w:hint="default"/>
      </w:rPr>
    </w:lvl>
  </w:abstractNum>
  <w:abstractNum w:abstractNumId="324">
    <w:nsid w:val="7C59281F"/>
    <w:multiLevelType w:val="multilevel"/>
    <w:tmpl w:val="5CD6FBCE"/>
    <w:lvl w:ilvl="0">
      <w:start w:val="7"/>
      <w:numFmt w:val="decimal"/>
      <w:lvlText w:val="%1"/>
      <w:lvlJc w:val="left"/>
      <w:pPr>
        <w:ind w:left="1534" w:hanging="718"/>
        <w:jc w:val="left"/>
      </w:pPr>
      <w:rPr>
        <w:rFonts w:hint="default"/>
      </w:rPr>
    </w:lvl>
    <w:lvl w:ilvl="1">
      <w:start w:val="8"/>
      <w:numFmt w:val="decimal"/>
      <w:lvlText w:val="%1.%2"/>
      <w:lvlJc w:val="left"/>
      <w:pPr>
        <w:ind w:left="1534" w:hanging="718"/>
        <w:jc w:val="left"/>
      </w:pPr>
      <w:rPr>
        <w:rFonts w:hint="default"/>
      </w:rPr>
    </w:lvl>
    <w:lvl w:ilvl="2">
      <w:start w:val="3"/>
      <w:numFmt w:val="decimal"/>
      <w:lvlText w:val="%1.%2.%3"/>
      <w:lvlJc w:val="left"/>
      <w:pPr>
        <w:ind w:left="1534" w:hanging="718"/>
        <w:jc w:val="left"/>
      </w:pPr>
      <w:rPr>
        <w:rFonts w:hint="default"/>
      </w:rPr>
    </w:lvl>
    <w:lvl w:ilvl="3">
      <w:start w:val="5"/>
      <w:numFmt w:val="decimal"/>
      <w:lvlText w:val="%1.%2.%3.%4."/>
      <w:lvlJc w:val="left"/>
      <w:pPr>
        <w:ind w:left="1534" w:hanging="718"/>
        <w:jc w:val="left"/>
      </w:pPr>
      <w:rPr>
        <w:rFonts w:ascii="Cambria" w:eastAsia="Cambria" w:hAnsi="Cambria" w:cs="Cambria" w:hint="default"/>
        <w:b/>
        <w:bCs/>
        <w:i/>
        <w:color w:val="231F20"/>
        <w:spacing w:val="-2"/>
        <w:w w:val="100"/>
        <w:sz w:val="21"/>
        <w:szCs w:val="21"/>
      </w:rPr>
    </w:lvl>
    <w:lvl w:ilvl="4">
      <w:numFmt w:val="bullet"/>
      <w:lvlText w:val="•"/>
      <w:lvlJc w:val="left"/>
      <w:pPr>
        <w:ind w:left="3797" w:hanging="718"/>
      </w:pPr>
      <w:rPr>
        <w:rFonts w:hint="default"/>
      </w:rPr>
    </w:lvl>
    <w:lvl w:ilvl="5">
      <w:numFmt w:val="bullet"/>
      <w:lvlText w:val="•"/>
      <w:lvlJc w:val="left"/>
      <w:pPr>
        <w:ind w:left="4361" w:hanging="718"/>
      </w:pPr>
      <w:rPr>
        <w:rFonts w:hint="default"/>
      </w:rPr>
    </w:lvl>
    <w:lvl w:ilvl="6">
      <w:numFmt w:val="bullet"/>
      <w:lvlText w:val="•"/>
      <w:lvlJc w:val="left"/>
      <w:pPr>
        <w:ind w:left="4926" w:hanging="718"/>
      </w:pPr>
      <w:rPr>
        <w:rFonts w:hint="default"/>
      </w:rPr>
    </w:lvl>
    <w:lvl w:ilvl="7">
      <w:numFmt w:val="bullet"/>
      <w:lvlText w:val="•"/>
      <w:lvlJc w:val="left"/>
      <w:pPr>
        <w:ind w:left="5490" w:hanging="718"/>
      </w:pPr>
      <w:rPr>
        <w:rFonts w:hint="default"/>
      </w:rPr>
    </w:lvl>
    <w:lvl w:ilvl="8">
      <w:numFmt w:val="bullet"/>
      <w:lvlText w:val="•"/>
      <w:lvlJc w:val="left"/>
      <w:pPr>
        <w:ind w:left="6055" w:hanging="718"/>
      </w:pPr>
      <w:rPr>
        <w:rFonts w:hint="default"/>
      </w:rPr>
    </w:lvl>
  </w:abstractNum>
  <w:abstractNum w:abstractNumId="325">
    <w:nsid w:val="7C6D3729"/>
    <w:multiLevelType w:val="hybridMultilevel"/>
    <w:tmpl w:val="BDDC1ECC"/>
    <w:lvl w:ilvl="0" w:tplc="DE7E056E">
      <w:numFmt w:val="bullet"/>
      <w:lvlText w:val="–"/>
      <w:lvlJc w:val="left"/>
      <w:pPr>
        <w:ind w:left="250" w:hanging="284"/>
      </w:pPr>
      <w:rPr>
        <w:rFonts w:ascii="Cambria" w:eastAsia="Cambria" w:hAnsi="Cambria" w:cs="Cambria" w:hint="default"/>
        <w:color w:val="231F20"/>
        <w:spacing w:val="-7"/>
        <w:w w:val="100"/>
        <w:sz w:val="21"/>
        <w:szCs w:val="21"/>
      </w:rPr>
    </w:lvl>
    <w:lvl w:ilvl="1" w:tplc="B1406B7E">
      <w:numFmt w:val="bullet"/>
      <w:lvlText w:val="–"/>
      <w:lvlJc w:val="left"/>
      <w:pPr>
        <w:ind w:left="533" w:hanging="284"/>
      </w:pPr>
      <w:rPr>
        <w:rFonts w:ascii="Cambria" w:eastAsia="Cambria" w:hAnsi="Cambria" w:cs="Cambria" w:hint="default"/>
        <w:color w:val="231F20"/>
        <w:spacing w:val="-9"/>
        <w:w w:val="100"/>
        <w:sz w:val="21"/>
        <w:szCs w:val="21"/>
      </w:rPr>
    </w:lvl>
    <w:lvl w:ilvl="2" w:tplc="2CD2F17C">
      <w:numFmt w:val="bullet"/>
      <w:lvlText w:val="•"/>
      <w:lvlJc w:val="left"/>
      <w:pPr>
        <w:ind w:left="1278" w:hanging="284"/>
      </w:pPr>
      <w:rPr>
        <w:rFonts w:hint="default"/>
      </w:rPr>
    </w:lvl>
    <w:lvl w:ilvl="3" w:tplc="C2D86732">
      <w:numFmt w:val="bullet"/>
      <w:lvlText w:val="•"/>
      <w:lvlJc w:val="left"/>
      <w:pPr>
        <w:ind w:left="2016" w:hanging="284"/>
      </w:pPr>
      <w:rPr>
        <w:rFonts w:hint="default"/>
      </w:rPr>
    </w:lvl>
    <w:lvl w:ilvl="4" w:tplc="5EB0E206">
      <w:numFmt w:val="bullet"/>
      <w:lvlText w:val="•"/>
      <w:lvlJc w:val="left"/>
      <w:pPr>
        <w:ind w:left="2754" w:hanging="284"/>
      </w:pPr>
      <w:rPr>
        <w:rFonts w:hint="default"/>
      </w:rPr>
    </w:lvl>
    <w:lvl w:ilvl="5" w:tplc="BCC8F180">
      <w:numFmt w:val="bullet"/>
      <w:lvlText w:val="•"/>
      <w:lvlJc w:val="left"/>
      <w:pPr>
        <w:ind w:left="3492" w:hanging="284"/>
      </w:pPr>
      <w:rPr>
        <w:rFonts w:hint="default"/>
      </w:rPr>
    </w:lvl>
    <w:lvl w:ilvl="6" w:tplc="6AE8C7A6">
      <w:numFmt w:val="bullet"/>
      <w:lvlText w:val="•"/>
      <w:lvlJc w:val="left"/>
      <w:pPr>
        <w:ind w:left="4231" w:hanging="284"/>
      </w:pPr>
      <w:rPr>
        <w:rFonts w:hint="default"/>
      </w:rPr>
    </w:lvl>
    <w:lvl w:ilvl="7" w:tplc="D5B2CA9E">
      <w:numFmt w:val="bullet"/>
      <w:lvlText w:val="•"/>
      <w:lvlJc w:val="left"/>
      <w:pPr>
        <w:ind w:left="4969" w:hanging="284"/>
      </w:pPr>
      <w:rPr>
        <w:rFonts w:hint="default"/>
      </w:rPr>
    </w:lvl>
    <w:lvl w:ilvl="8" w:tplc="CCD21080">
      <w:numFmt w:val="bullet"/>
      <w:lvlText w:val="•"/>
      <w:lvlJc w:val="left"/>
      <w:pPr>
        <w:ind w:left="5707" w:hanging="284"/>
      </w:pPr>
      <w:rPr>
        <w:rFonts w:hint="default"/>
      </w:rPr>
    </w:lvl>
  </w:abstractNum>
  <w:abstractNum w:abstractNumId="326">
    <w:nsid w:val="7C9248ED"/>
    <w:multiLevelType w:val="multilevel"/>
    <w:tmpl w:val="DBC2287C"/>
    <w:lvl w:ilvl="0">
      <w:start w:val="3"/>
      <w:numFmt w:val="decimal"/>
      <w:lvlText w:val="%1"/>
      <w:lvlJc w:val="left"/>
      <w:pPr>
        <w:ind w:left="1011" w:hanging="411"/>
        <w:jc w:val="left"/>
      </w:pPr>
      <w:rPr>
        <w:rFonts w:hint="default"/>
      </w:rPr>
    </w:lvl>
    <w:lvl w:ilvl="1">
      <w:start w:val="1"/>
      <w:numFmt w:val="decimal"/>
      <w:lvlText w:val="%1.%2."/>
      <w:lvlJc w:val="left"/>
      <w:pPr>
        <w:ind w:left="1011" w:hanging="411"/>
        <w:jc w:val="left"/>
      </w:pPr>
      <w:rPr>
        <w:rFonts w:ascii="Cambria" w:eastAsia="Cambria" w:hAnsi="Cambria" w:cs="Cambria" w:hint="default"/>
        <w:b/>
        <w:bCs/>
        <w:color w:val="231F20"/>
        <w:spacing w:val="-1"/>
        <w:w w:val="100"/>
        <w:sz w:val="22"/>
        <w:szCs w:val="22"/>
      </w:rPr>
    </w:lvl>
    <w:lvl w:ilvl="2">
      <w:start w:val="1"/>
      <w:numFmt w:val="decimal"/>
      <w:lvlText w:val="%1.%2.%3."/>
      <w:lvlJc w:val="left"/>
      <w:pPr>
        <w:ind w:left="1098" w:hanging="565"/>
        <w:jc w:val="right"/>
      </w:pPr>
      <w:rPr>
        <w:rFonts w:ascii="Cambria" w:eastAsia="Cambria" w:hAnsi="Cambria" w:cs="Cambria" w:hint="default"/>
        <w:b/>
        <w:bCs/>
        <w:color w:val="231F20"/>
        <w:spacing w:val="-1"/>
        <w:w w:val="100"/>
        <w:sz w:val="21"/>
        <w:szCs w:val="21"/>
      </w:rPr>
    </w:lvl>
    <w:lvl w:ilvl="3">
      <w:numFmt w:val="bullet"/>
      <w:lvlText w:val="•"/>
      <w:lvlJc w:val="left"/>
      <w:pPr>
        <w:ind w:left="2451" w:hanging="565"/>
      </w:pPr>
      <w:rPr>
        <w:rFonts w:hint="default"/>
      </w:rPr>
    </w:lvl>
    <w:lvl w:ilvl="4">
      <w:numFmt w:val="bullet"/>
      <w:lvlText w:val="•"/>
      <w:lvlJc w:val="left"/>
      <w:pPr>
        <w:ind w:left="3127" w:hanging="565"/>
      </w:pPr>
      <w:rPr>
        <w:rFonts w:hint="default"/>
      </w:rPr>
    </w:lvl>
    <w:lvl w:ilvl="5">
      <w:numFmt w:val="bullet"/>
      <w:lvlText w:val="•"/>
      <w:lvlJc w:val="left"/>
      <w:pPr>
        <w:ind w:left="3803" w:hanging="565"/>
      </w:pPr>
      <w:rPr>
        <w:rFonts w:hint="default"/>
      </w:rPr>
    </w:lvl>
    <w:lvl w:ilvl="6">
      <w:numFmt w:val="bullet"/>
      <w:lvlText w:val="•"/>
      <w:lvlJc w:val="left"/>
      <w:pPr>
        <w:ind w:left="4479" w:hanging="565"/>
      </w:pPr>
      <w:rPr>
        <w:rFonts w:hint="default"/>
      </w:rPr>
    </w:lvl>
    <w:lvl w:ilvl="7">
      <w:numFmt w:val="bullet"/>
      <w:lvlText w:val="•"/>
      <w:lvlJc w:val="left"/>
      <w:pPr>
        <w:ind w:left="5155" w:hanging="565"/>
      </w:pPr>
      <w:rPr>
        <w:rFonts w:hint="default"/>
      </w:rPr>
    </w:lvl>
    <w:lvl w:ilvl="8">
      <w:numFmt w:val="bullet"/>
      <w:lvlText w:val="•"/>
      <w:lvlJc w:val="left"/>
      <w:pPr>
        <w:ind w:left="5831" w:hanging="565"/>
      </w:pPr>
      <w:rPr>
        <w:rFonts w:hint="default"/>
      </w:rPr>
    </w:lvl>
  </w:abstractNum>
  <w:abstractNum w:abstractNumId="327">
    <w:nsid w:val="7D2C4EF8"/>
    <w:multiLevelType w:val="hybridMultilevel"/>
    <w:tmpl w:val="7910DC58"/>
    <w:lvl w:ilvl="0" w:tplc="DEC2686A">
      <w:start w:val="1"/>
      <w:numFmt w:val="decimal"/>
      <w:lvlText w:val="%1)"/>
      <w:lvlJc w:val="left"/>
      <w:pPr>
        <w:ind w:left="250" w:hanging="284"/>
        <w:jc w:val="right"/>
      </w:pPr>
      <w:rPr>
        <w:rFonts w:ascii="Cambria" w:eastAsia="Cambria" w:hAnsi="Cambria" w:cs="Cambria" w:hint="default"/>
        <w:color w:val="231F20"/>
        <w:spacing w:val="-6"/>
        <w:w w:val="100"/>
        <w:sz w:val="21"/>
        <w:szCs w:val="21"/>
      </w:rPr>
    </w:lvl>
    <w:lvl w:ilvl="1" w:tplc="258E0E8A">
      <w:start w:val="2"/>
      <w:numFmt w:val="decimal"/>
      <w:lvlText w:val="%2)"/>
      <w:lvlJc w:val="left"/>
      <w:pPr>
        <w:ind w:left="533" w:hanging="284"/>
        <w:jc w:val="left"/>
      </w:pPr>
      <w:rPr>
        <w:rFonts w:ascii="Cambria" w:eastAsia="Cambria" w:hAnsi="Cambria" w:cs="Cambria" w:hint="default"/>
        <w:color w:val="231F20"/>
        <w:spacing w:val="-23"/>
        <w:w w:val="100"/>
        <w:sz w:val="21"/>
        <w:szCs w:val="21"/>
      </w:rPr>
    </w:lvl>
    <w:lvl w:ilvl="2" w:tplc="32D21838">
      <w:numFmt w:val="bullet"/>
      <w:lvlText w:val="•"/>
      <w:lvlJc w:val="left"/>
      <w:pPr>
        <w:ind w:left="1278" w:hanging="284"/>
      </w:pPr>
      <w:rPr>
        <w:rFonts w:hint="default"/>
      </w:rPr>
    </w:lvl>
    <w:lvl w:ilvl="3" w:tplc="68EA505E">
      <w:numFmt w:val="bullet"/>
      <w:lvlText w:val="•"/>
      <w:lvlJc w:val="left"/>
      <w:pPr>
        <w:ind w:left="2016" w:hanging="284"/>
      </w:pPr>
      <w:rPr>
        <w:rFonts w:hint="default"/>
      </w:rPr>
    </w:lvl>
    <w:lvl w:ilvl="4" w:tplc="7D6AA830">
      <w:numFmt w:val="bullet"/>
      <w:lvlText w:val="•"/>
      <w:lvlJc w:val="left"/>
      <w:pPr>
        <w:ind w:left="2754" w:hanging="284"/>
      </w:pPr>
      <w:rPr>
        <w:rFonts w:hint="default"/>
      </w:rPr>
    </w:lvl>
    <w:lvl w:ilvl="5" w:tplc="B4300370">
      <w:numFmt w:val="bullet"/>
      <w:lvlText w:val="•"/>
      <w:lvlJc w:val="left"/>
      <w:pPr>
        <w:ind w:left="3492" w:hanging="284"/>
      </w:pPr>
      <w:rPr>
        <w:rFonts w:hint="default"/>
      </w:rPr>
    </w:lvl>
    <w:lvl w:ilvl="6" w:tplc="51F82476">
      <w:numFmt w:val="bullet"/>
      <w:lvlText w:val="•"/>
      <w:lvlJc w:val="left"/>
      <w:pPr>
        <w:ind w:left="4231" w:hanging="284"/>
      </w:pPr>
      <w:rPr>
        <w:rFonts w:hint="default"/>
      </w:rPr>
    </w:lvl>
    <w:lvl w:ilvl="7" w:tplc="36F01D10">
      <w:numFmt w:val="bullet"/>
      <w:lvlText w:val="•"/>
      <w:lvlJc w:val="left"/>
      <w:pPr>
        <w:ind w:left="4969" w:hanging="284"/>
      </w:pPr>
      <w:rPr>
        <w:rFonts w:hint="default"/>
      </w:rPr>
    </w:lvl>
    <w:lvl w:ilvl="8" w:tplc="75BAD430">
      <w:numFmt w:val="bullet"/>
      <w:lvlText w:val="•"/>
      <w:lvlJc w:val="left"/>
      <w:pPr>
        <w:ind w:left="5707" w:hanging="284"/>
      </w:pPr>
      <w:rPr>
        <w:rFonts w:hint="default"/>
      </w:rPr>
    </w:lvl>
  </w:abstractNum>
  <w:abstractNum w:abstractNumId="328">
    <w:nsid w:val="7D9B6E83"/>
    <w:multiLevelType w:val="hybridMultilevel"/>
    <w:tmpl w:val="A98604D0"/>
    <w:lvl w:ilvl="0" w:tplc="0616ECBC">
      <w:numFmt w:val="bullet"/>
      <w:lvlText w:val="–"/>
      <w:lvlJc w:val="left"/>
      <w:pPr>
        <w:ind w:left="533" w:hanging="284"/>
      </w:pPr>
      <w:rPr>
        <w:rFonts w:ascii="Cambria" w:eastAsia="Cambria" w:hAnsi="Cambria" w:cs="Cambria" w:hint="default"/>
        <w:color w:val="231F20"/>
        <w:spacing w:val="-8"/>
        <w:w w:val="100"/>
        <w:sz w:val="21"/>
        <w:szCs w:val="21"/>
      </w:rPr>
    </w:lvl>
    <w:lvl w:ilvl="1" w:tplc="76FAED72">
      <w:numFmt w:val="bullet"/>
      <w:lvlText w:val="•"/>
      <w:lvlJc w:val="left"/>
      <w:pPr>
        <w:ind w:left="1204" w:hanging="284"/>
      </w:pPr>
      <w:rPr>
        <w:rFonts w:hint="default"/>
      </w:rPr>
    </w:lvl>
    <w:lvl w:ilvl="2" w:tplc="F4E6A51C">
      <w:numFmt w:val="bullet"/>
      <w:lvlText w:val="•"/>
      <w:lvlJc w:val="left"/>
      <w:pPr>
        <w:ind w:left="1868" w:hanging="284"/>
      </w:pPr>
      <w:rPr>
        <w:rFonts w:hint="default"/>
      </w:rPr>
    </w:lvl>
    <w:lvl w:ilvl="3" w:tplc="CBA86BA0">
      <w:numFmt w:val="bullet"/>
      <w:lvlText w:val="•"/>
      <w:lvlJc w:val="left"/>
      <w:pPr>
        <w:ind w:left="2533" w:hanging="284"/>
      </w:pPr>
      <w:rPr>
        <w:rFonts w:hint="default"/>
      </w:rPr>
    </w:lvl>
    <w:lvl w:ilvl="4" w:tplc="6860C446">
      <w:numFmt w:val="bullet"/>
      <w:lvlText w:val="•"/>
      <w:lvlJc w:val="left"/>
      <w:pPr>
        <w:ind w:left="3197" w:hanging="284"/>
      </w:pPr>
      <w:rPr>
        <w:rFonts w:hint="default"/>
      </w:rPr>
    </w:lvl>
    <w:lvl w:ilvl="5" w:tplc="4AFE6994">
      <w:numFmt w:val="bullet"/>
      <w:lvlText w:val="•"/>
      <w:lvlJc w:val="left"/>
      <w:pPr>
        <w:ind w:left="3861" w:hanging="284"/>
      </w:pPr>
      <w:rPr>
        <w:rFonts w:hint="default"/>
      </w:rPr>
    </w:lvl>
    <w:lvl w:ilvl="6" w:tplc="AF32A4C0">
      <w:numFmt w:val="bullet"/>
      <w:lvlText w:val="•"/>
      <w:lvlJc w:val="left"/>
      <w:pPr>
        <w:ind w:left="4526" w:hanging="284"/>
      </w:pPr>
      <w:rPr>
        <w:rFonts w:hint="default"/>
      </w:rPr>
    </w:lvl>
    <w:lvl w:ilvl="7" w:tplc="04FC74C6">
      <w:numFmt w:val="bullet"/>
      <w:lvlText w:val="•"/>
      <w:lvlJc w:val="left"/>
      <w:pPr>
        <w:ind w:left="5190" w:hanging="284"/>
      </w:pPr>
      <w:rPr>
        <w:rFonts w:hint="default"/>
      </w:rPr>
    </w:lvl>
    <w:lvl w:ilvl="8" w:tplc="5AC81846">
      <w:numFmt w:val="bullet"/>
      <w:lvlText w:val="•"/>
      <w:lvlJc w:val="left"/>
      <w:pPr>
        <w:ind w:left="5855" w:hanging="284"/>
      </w:pPr>
      <w:rPr>
        <w:rFonts w:hint="default"/>
      </w:rPr>
    </w:lvl>
  </w:abstractNum>
  <w:abstractNum w:abstractNumId="329">
    <w:nsid w:val="7DC3792D"/>
    <w:multiLevelType w:val="hybridMultilevel"/>
    <w:tmpl w:val="F628E480"/>
    <w:lvl w:ilvl="0" w:tplc="8BFE0164">
      <w:numFmt w:val="bullet"/>
      <w:lvlText w:val="–"/>
      <w:lvlJc w:val="left"/>
      <w:pPr>
        <w:ind w:left="533" w:hanging="284"/>
      </w:pPr>
      <w:rPr>
        <w:rFonts w:ascii="Cambria" w:eastAsia="Cambria" w:hAnsi="Cambria" w:cs="Cambria" w:hint="default"/>
        <w:color w:val="231F20"/>
        <w:spacing w:val="-7"/>
        <w:w w:val="100"/>
        <w:sz w:val="21"/>
        <w:szCs w:val="21"/>
      </w:rPr>
    </w:lvl>
    <w:lvl w:ilvl="1" w:tplc="A1C453D8">
      <w:numFmt w:val="bullet"/>
      <w:lvlText w:val="•"/>
      <w:lvlJc w:val="left"/>
      <w:pPr>
        <w:ind w:left="1204" w:hanging="284"/>
      </w:pPr>
      <w:rPr>
        <w:rFonts w:hint="default"/>
      </w:rPr>
    </w:lvl>
    <w:lvl w:ilvl="2" w:tplc="E9C8597E">
      <w:numFmt w:val="bullet"/>
      <w:lvlText w:val="•"/>
      <w:lvlJc w:val="left"/>
      <w:pPr>
        <w:ind w:left="1868" w:hanging="284"/>
      </w:pPr>
      <w:rPr>
        <w:rFonts w:hint="default"/>
      </w:rPr>
    </w:lvl>
    <w:lvl w:ilvl="3" w:tplc="D3D40880">
      <w:numFmt w:val="bullet"/>
      <w:lvlText w:val="•"/>
      <w:lvlJc w:val="left"/>
      <w:pPr>
        <w:ind w:left="2533" w:hanging="284"/>
      </w:pPr>
      <w:rPr>
        <w:rFonts w:hint="default"/>
      </w:rPr>
    </w:lvl>
    <w:lvl w:ilvl="4" w:tplc="7DF49FAA">
      <w:numFmt w:val="bullet"/>
      <w:lvlText w:val="•"/>
      <w:lvlJc w:val="left"/>
      <w:pPr>
        <w:ind w:left="3197" w:hanging="284"/>
      </w:pPr>
      <w:rPr>
        <w:rFonts w:hint="default"/>
      </w:rPr>
    </w:lvl>
    <w:lvl w:ilvl="5" w:tplc="D16A8C00">
      <w:numFmt w:val="bullet"/>
      <w:lvlText w:val="•"/>
      <w:lvlJc w:val="left"/>
      <w:pPr>
        <w:ind w:left="3861" w:hanging="284"/>
      </w:pPr>
      <w:rPr>
        <w:rFonts w:hint="default"/>
      </w:rPr>
    </w:lvl>
    <w:lvl w:ilvl="6" w:tplc="54B659D2">
      <w:numFmt w:val="bullet"/>
      <w:lvlText w:val="•"/>
      <w:lvlJc w:val="left"/>
      <w:pPr>
        <w:ind w:left="4526" w:hanging="284"/>
      </w:pPr>
      <w:rPr>
        <w:rFonts w:hint="default"/>
      </w:rPr>
    </w:lvl>
    <w:lvl w:ilvl="7" w:tplc="2A9ABF18">
      <w:numFmt w:val="bullet"/>
      <w:lvlText w:val="•"/>
      <w:lvlJc w:val="left"/>
      <w:pPr>
        <w:ind w:left="5190" w:hanging="284"/>
      </w:pPr>
      <w:rPr>
        <w:rFonts w:hint="default"/>
      </w:rPr>
    </w:lvl>
    <w:lvl w:ilvl="8" w:tplc="8D6AA028">
      <w:numFmt w:val="bullet"/>
      <w:lvlText w:val="•"/>
      <w:lvlJc w:val="left"/>
      <w:pPr>
        <w:ind w:left="5855" w:hanging="284"/>
      </w:pPr>
      <w:rPr>
        <w:rFonts w:hint="default"/>
      </w:rPr>
    </w:lvl>
  </w:abstractNum>
  <w:abstractNum w:abstractNumId="330">
    <w:nsid w:val="7E002C1D"/>
    <w:multiLevelType w:val="hybridMultilevel"/>
    <w:tmpl w:val="3F9A8A7A"/>
    <w:lvl w:ilvl="0" w:tplc="CAAE0068">
      <w:numFmt w:val="bullet"/>
      <w:lvlText w:val="–"/>
      <w:lvlJc w:val="left"/>
      <w:pPr>
        <w:ind w:left="250" w:hanging="284"/>
      </w:pPr>
      <w:rPr>
        <w:rFonts w:ascii="Cambria" w:eastAsia="Cambria" w:hAnsi="Cambria" w:cs="Cambria" w:hint="default"/>
        <w:i/>
        <w:color w:val="231F20"/>
        <w:spacing w:val="-7"/>
        <w:w w:val="100"/>
        <w:sz w:val="21"/>
        <w:szCs w:val="21"/>
      </w:rPr>
    </w:lvl>
    <w:lvl w:ilvl="1" w:tplc="F54C0EF2">
      <w:numFmt w:val="bullet"/>
      <w:lvlText w:val="–"/>
      <w:lvlJc w:val="left"/>
      <w:pPr>
        <w:ind w:left="533" w:hanging="284"/>
      </w:pPr>
      <w:rPr>
        <w:rFonts w:ascii="Cambria" w:eastAsia="Cambria" w:hAnsi="Cambria" w:cs="Cambria" w:hint="default"/>
        <w:color w:val="231F20"/>
        <w:spacing w:val="-17"/>
        <w:w w:val="100"/>
        <w:sz w:val="21"/>
        <w:szCs w:val="21"/>
      </w:rPr>
    </w:lvl>
    <w:lvl w:ilvl="2" w:tplc="DC7C3AC0">
      <w:numFmt w:val="bullet"/>
      <w:lvlText w:val="•"/>
      <w:lvlJc w:val="left"/>
      <w:pPr>
        <w:ind w:left="1278" w:hanging="284"/>
      </w:pPr>
      <w:rPr>
        <w:rFonts w:hint="default"/>
      </w:rPr>
    </w:lvl>
    <w:lvl w:ilvl="3" w:tplc="4FD87688">
      <w:numFmt w:val="bullet"/>
      <w:lvlText w:val="•"/>
      <w:lvlJc w:val="left"/>
      <w:pPr>
        <w:ind w:left="2016" w:hanging="284"/>
      </w:pPr>
      <w:rPr>
        <w:rFonts w:hint="default"/>
      </w:rPr>
    </w:lvl>
    <w:lvl w:ilvl="4" w:tplc="C7E41962">
      <w:numFmt w:val="bullet"/>
      <w:lvlText w:val="•"/>
      <w:lvlJc w:val="left"/>
      <w:pPr>
        <w:ind w:left="2754" w:hanging="284"/>
      </w:pPr>
      <w:rPr>
        <w:rFonts w:hint="default"/>
      </w:rPr>
    </w:lvl>
    <w:lvl w:ilvl="5" w:tplc="10304F54">
      <w:numFmt w:val="bullet"/>
      <w:lvlText w:val="•"/>
      <w:lvlJc w:val="left"/>
      <w:pPr>
        <w:ind w:left="3492" w:hanging="284"/>
      </w:pPr>
      <w:rPr>
        <w:rFonts w:hint="default"/>
      </w:rPr>
    </w:lvl>
    <w:lvl w:ilvl="6" w:tplc="D346B69A">
      <w:numFmt w:val="bullet"/>
      <w:lvlText w:val="•"/>
      <w:lvlJc w:val="left"/>
      <w:pPr>
        <w:ind w:left="4231" w:hanging="284"/>
      </w:pPr>
      <w:rPr>
        <w:rFonts w:hint="default"/>
      </w:rPr>
    </w:lvl>
    <w:lvl w:ilvl="7" w:tplc="A802E66E">
      <w:numFmt w:val="bullet"/>
      <w:lvlText w:val="•"/>
      <w:lvlJc w:val="left"/>
      <w:pPr>
        <w:ind w:left="4969" w:hanging="284"/>
      </w:pPr>
      <w:rPr>
        <w:rFonts w:hint="default"/>
      </w:rPr>
    </w:lvl>
    <w:lvl w:ilvl="8" w:tplc="CC5471BC">
      <w:numFmt w:val="bullet"/>
      <w:lvlText w:val="•"/>
      <w:lvlJc w:val="left"/>
      <w:pPr>
        <w:ind w:left="5707" w:hanging="284"/>
      </w:pPr>
      <w:rPr>
        <w:rFonts w:hint="default"/>
      </w:rPr>
    </w:lvl>
  </w:abstractNum>
  <w:abstractNum w:abstractNumId="331">
    <w:nsid w:val="7E037D2F"/>
    <w:multiLevelType w:val="hybridMultilevel"/>
    <w:tmpl w:val="A02C5082"/>
    <w:lvl w:ilvl="0" w:tplc="EF1EFA96">
      <w:start w:val="1"/>
      <w:numFmt w:val="decimal"/>
      <w:lvlText w:val="%1)"/>
      <w:lvlJc w:val="left"/>
      <w:pPr>
        <w:ind w:left="533" w:hanging="284"/>
        <w:jc w:val="left"/>
      </w:pPr>
      <w:rPr>
        <w:rFonts w:ascii="Cambria" w:eastAsia="Cambria" w:hAnsi="Cambria" w:cs="Cambria" w:hint="default"/>
        <w:i/>
        <w:color w:val="231F20"/>
        <w:spacing w:val="-21"/>
        <w:w w:val="100"/>
        <w:sz w:val="21"/>
        <w:szCs w:val="21"/>
      </w:rPr>
    </w:lvl>
    <w:lvl w:ilvl="1" w:tplc="FD74EEA2">
      <w:numFmt w:val="bullet"/>
      <w:lvlText w:val="•"/>
      <w:lvlJc w:val="left"/>
      <w:pPr>
        <w:ind w:left="1204" w:hanging="284"/>
      </w:pPr>
      <w:rPr>
        <w:rFonts w:hint="default"/>
      </w:rPr>
    </w:lvl>
    <w:lvl w:ilvl="2" w:tplc="5E5A03D0">
      <w:numFmt w:val="bullet"/>
      <w:lvlText w:val="•"/>
      <w:lvlJc w:val="left"/>
      <w:pPr>
        <w:ind w:left="1868" w:hanging="284"/>
      </w:pPr>
      <w:rPr>
        <w:rFonts w:hint="default"/>
      </w:rPr>
    </w:lvl>
    <w:lvl w:ilvl="3" w:tplc="A998A9CE">
      <w:numFmt w:val="bullet"/>
      <w:lvlText w:val="•"/>
      <w:lvlJc w:val="left"/>
      <w:pPr>
        <w:ind w:left="2533" w:hanging="284"/>
      </w:pPr>
      <w:rPr>
        <w:rFonts w:hint="default"/>
      </w:rPr>
    </w:lvl>
    <w:lvl w:ilvl="4" w:tplc="EAC8BB62">
      <w:numFmt w:val="bullet"/>
      <w:lvlText w:val="•"/>
      <w:lvlJc w:val="left"/>
      <w:pPr>
        <w:ind w:left="3197" w:hanging="284"/>
      </w:pPr>
      <w:rPr>
        <w:rFonts w:hint="default"/>
      </w:rPr>
    </w:lvl>
    <w:lvl w:ilvl="5" w:tplc="1EF859DC">
      <w:numFmt w:val="bullet"/>
      <w:lvlText w:val="•"/>
      <w:lvlJc w:val="left"/>
      <w:pPr>
        <w:ind w:left="3861" w:hanging="284"/>
      </w:pPr>
      <w:rPr>
        <w:rFonts w:hint="default"/>
      </w:rPr>
    </w:lvl>
    <w:lvl w:ilvl="6" w:tplc="9E906CDE">
      <w:numFmt w:val="bullet"/>
      <w:lvlText w:val="•"/>
      <w:lvlJc w:val="left"/>
      <w:pPr>
        <w:ind w:left="4526" w:hanging="284"/>
      </w:pPr>
      <w:rPr>
        <w:rFonts w:hint="default"/>
      </w:rPr>
    </w:lvl>
    <w:lvl w:ilvl="7" w:tplc="1FCE748A">
      <w:numFmt w:val="bullet"/>
      <w:lvlText w:val="•"/>
      <w:lvlJc w:val="left"/>
      <w:pPr>
        <w:ind w:left="5190" w:hanging="284"/>
      </w:pPr>
      <w:rPr>
        <w:rFonts w:hint="default"/>
      </w:rPr>
    </w:lvl>
    <w:lvl w:ilvl="8" w:tplc="2F646AE0">
      <w:numFmt w:val="bullet"/>
      <w:lvlText w:val="•"/>
      <w:lvlJc w:val="left"/>
      <w:pPr>
        <w:ind w:left="5855" w:hanging="284"/>
      </w:pPr>
      <w:rPr>
        <w:rFonts w:hint="default"/>
      </w:rPr>
    </w:lvl>
  </w:abstractNum>
  <w:abstractNum w:abstractNumId="332">
    <w:nsid w:val="7E2C2AB2"/>
    <w:multiLevelType w:val="hybridMultilevel"/>
    <w:tmpl w:val="6076027A"/>
    <w:lvl w:ilvl="0" w:tplc="7EA4D47E">
      <w:numFmt w:val="bullet"/>
      <w:lvlText w:val="•"/>
      <w:lvlJc w:val="left"/>
      <w:pPr>
        <w:ind w:left="250" w:hanging="284"/>
      </w:pPr>
      <w:rPr>
        <w:rFonts w:ascii="Cambria" w:eastAsia="Cambria" w:hAnsi="Cambria" w:cs="Cambria" w:hint="default"/>
        <w:color w:val="231F20"/>
        <w:spacing w:val="-13"/>
        <w:w w:val="100"/>
        <w:sz w:val="21"/>
        <w:szCs w:val="21"/>
      </w:rPr>
    </w:lvl>
    <w:lvl w:ilvl="1" w:tplc="943C3212">
      <w:numFmt w:val="bullet"/>
      <w:lvlText w:val="•"/>
      <w:lvlJc w:val="left"/>
      <w:pPr>
        <w:ind w:left="533" w:hanging="284"/>
      </w:pPr>
      <w:rPr>
        <w:rFonts w:ascii="Cambria" w:eastAsia="Cambria" w:hAnsi="Cambria" w:cs="Cambria" w:hint="default"/>
        <w:color w:val="231F20"/>
        <w:spacing w:val="-6"/>
        <w:w w:val="100"/>
        <w:sz w:val="21"/>
        <w:szCs w:val="21"/>
      </w:rPr>
    </w:lvl>
    <w:lvl w:ilvl="2" w:tplc="5F00E9BA">
      <w:numFmt w:val="bullet"/>
      <w:lvlText w:val="•"/>
      <w:lvlJc w:val="left"/>
      <w:pPr>
        <w:ind w:left="1278" w:hanging="284"/>
      </w:pPr>
      <w:rPr>
        <w:rFonts w:hint="default"/>
      </w:rPr>
    </w:lvl>
    <w:lvl w:ilvl="3" w:tplc="42205962">
      <w:numFmt w:val="bullet"/>
      <w:lvlText w:val="•"/>
      <w:lvlJc w:val="left"/>
      <w:pPr>
        <w:ind w:left="2016" w:hanging="284"/>
      </w:pPr>
      <w:rPr>
        <w:rFonts w:hint="default"/>
      </w:rPr>
    </w:lvl>
    <w:lvl w:ilvl="4" w:tplc="8D1AC9B6">
      <w:numFmt w:val="bullet"/>
      <w:lvlText w:val="•"/>
      <w:lvlJc w:val="left"/>
      <w:pPr>
        <w:ind w:left="2754" w:hanging="284"/>
      </w:pPr>
      <w:rPr>
        <w:rFonts w:hint="default"/>
      </w:rPr>
    </w:lvl>
    <w:lvl w:ilvl="5" w:tplc="F68E2638">
      <w:numFmt w:val="bullet"/>
      <w:lvlText w:val="•"/>
      <w:lvlJc w:val="left"/>
      <w:pPr>
        <w:ind w:left="3492" w:hanging="284"/>
      </w:pPr>
      <w:rPr>
        <w:rFonts w:hint="default"/>
      </w:rPr>
    </w:lvl>
    <w:lvl w:ilvl="6" w:tplc="958473BC">
      <w:numFmt w:val="bullet"/>
      <w:lvlText w:val="•"/>
      <w:lvlJc w:val="left"/>
      <w:pPr>
        <w:ind w:left="4231" w:hanging="284"/>
      </w:pPr>
      <w:rPr>
        <w:rFonts w:hint="default"/>
      </w:rPr>
    </w:lvl>
    <w:lvl w:ilvl="7" w:tplc="97F03D10">
      <w:numFmt w:val="bullet"/>
      <w:lvlText w:val="•"/>
      <w:lvlJc w:val="left"/>
      <w:pPr>
        <w:ind w:left="4969" w:hanging="284"/>
      </w:pPr>
      <w:rPr>
        <w:rFonts w:hint="default"/>
      </w:rPr>
    </w:lvl>
    <w:lvl w:ilvl="8" w:tplc="16D69620">
      <w:numFmt w:val="bullet"/>
      <w:lvlText w:val="•"/>
      <w:lvlJc w:val="left"/>
      <w:pPr>
        <w:ind w:left="5707" w:hanging="284"/>
      </w:pPr>
      <w:rPr>
        <w:rFonts w:hint="default"/>
      </w:rPr>
    </w:lvl>
  </w:abstractNum>
  <w:abstractNum w:abstractNumId="333">
    <w:nsid w:val="7E32287B"/>
    <w:multiLevelType w:val="hybridMultilevel"/>
    <w:tmpl w:val="8294F0BA"/>
    <w:lvl w:ilvl="0" w:tplc="90FEED9A">
      <w:start w:val="2"/>
      <w:numFmt w:val="decimal"/>
      <w:lvlText w:val="%1)"/>
      <w:lvlJc w:val="left"/>
      <w:pPr>
        <w:ind w:left="250" w:hanging="284"/>
        <w:jc w:val="left"/>
      </w:pPr>
      <w:rPr>
        <w:rFonts w:ascii="Cambria" w:eastAsia="Cambria" w:hAnsi="Cambria" w:cs="Cambria" w:hint="default"/>
        <w:color w:val="231F20"/>
        <w:spacing w:val="-20"/>
        <w:w w:val="100"/>
        <w:sz w:val="21"/>
        <w:szCs w:val="21"/>
      </w:rPr>
    </w:lvl>
    <w:lvl w:ilvl="1" w:tplc="DC424B00">
      <w:numFmt w:val="bullet"/>
      <w:lvlText w:val="•"/>
      <w:lvlJc w:val="left"/>
      <w:pPr>
        <w:ind w:left="952" w:hanging="284"/>
      </w:pPr>
      <w:rPr>
        <w:rFonts w:hint="default"/>
      </w:rPr>
    </w:lvl>
    <w:lvl w:ilvl="2" w:tplc="A4AAA88A">
      <w:numFmt w:val="bullet"/>
      <w:lvlText w:val="•"/>
      <w:lvlJc w:val="left"/>
      <w:pPr>
        <w:ind w:left="1644" w:hanging="284"/>
      </w:pPr>
      <w:rPr>
        <w:rFonts w:hint="default"/>
      </w:rPr>
    </w:lvl>
    <w:lvl w:ilvl="3" w:tplc="5E6CC636">
      <w:numFmt w:val="bullet"/>
      <w:lvlText w:val="•"/>
      <w:lvlJc w:val="left"/>
      <w:pPr>
        <w:ind w:left="2337" w:hanging="284"/>
      </w:pPr>
      <w:rPr>
        <w:rFonts w:hint="default"/>
      </w:rPr>
    </w:lvl>
    <w:lvl w:ilvl="4" w:tplc="800E36BE">
      <w:numFmt w:val="bullet"/>
      <w:lvlText w:val="•"/>
      <w:lvlJc w:val="left"/>
      <w:pPr>
        <w:ind w:left="3029" w:hanging="284"/>
      </w:pPr>
      <w:rPr>
        <w:rFonts w:hint="default"/>
      </w:rPr>
    </w:lvl>
    <w:lvl w:ilvl="5" w:tplc="73A867BE">
      <w:numFmt w:val="bullet"/>
      <w:lvlText w:val="•"/>
      <w:lvlJc w:val="left"/>
      <w:pPr>
        <w:ind w:left="3721" w:hanging="284"/>
      </w:pPr>
      <w:rPr>
        <w:rFonts w:hint="default"/>
      </w:rPr>
    </w:lvl>
    <w:lvl w:ilvl="6" w:tplc="5CB624E4">
      <w:numFmt w:val="bullet"/>
      <w:lvlText w:val="•"/>
      <w:lvlJc w:val="left"/>
      <w:pPr>
        <w:ind w:left="4414" w:hanging="284"/>
      </w:pPr>
      <w:rPr>
        <w:rFonts w:hint="default"/>
      </w:rPr>
    </w:lvl>
    <w:lvl w:ilvl="7" w:tplc="A22E4C4A">
      <w:numFmt w:val="bullet"/>
      <w:lvlText w:val="•"/>
      <w:lvlJc w:val="left"/>
      <w:pPr>
        <w:ind w:left="5106" w:hanging="284"/>
      </w:pPr>
      <w:rPr>
        <w:rFonts w:hint="default"/>
      </w:rPr>
    </w:lvl>
    <w:lvl w:ilvl="8" w:tplc="09FC53D0">
      <w:numFmt w:val="bullet"/>
      <w:lvlText w:val="•"/>
      <w:lvlJc w:val="left"/>
      <w:pPr>
        <w:ind w:left="5799" w:hanging="284"/>
      </w:pPr>
      <w:rPr>
        <w:rFonts w:hint="default"/>
      </w:rPr>
    </w:lvl>
  </w:abstractNum>
  <w:abstractNum w:abstractNumId="334">
    <w:nsid w:val="7E3C2010"/>
    <w:multiLevelType w:val="hybridMultilevel"/>
    <w:tmpl w:val="86B42F8C"/>
    <w:lvl w:ilvl="0" w:tplc="8D2A2A8A">
      <w:numFmt w:val="bullet"/>
      <w:lvlText w:val=""/>
      <w:lvlJc w:val="left"/>
      <w:pPr>
        <w:ind w:left="533" w:hanging="284"/>
      </w:pPr>
      <w:rPr>
        <w:rFonts w:ascii="Wingdings" w:eastAsia="Wingdings" w:hAnsi="Wingdings" w:cs="Wingdings" w:hint="default"/>
        <w:color w:val="231F20"/>
        <w:w w:val="100"/>
        <w:sz w:val="21"/>
        <w:szCs w:val="21"/>
      </w:rPr>
    </w:lvl>
    <w:lvl w:ilvl="1" w:tplc="3A6CC182">
      <w:numFmt w:val="bullet"/>
      <w:lvlText w:val="•"/>
      <w:lvlJc w:val="left"/>
      <w:pPr>
        <w:ind w:left="1204" w:hanging="284"/>
      </w:pPr>
      <w:rPr>
        <w:rFonts w:hint="default"/>
      </w:rPr>
    </w:lvl>
    <w:lvl w:ilvl="2" w:tplc="3F481116">
      <w:numFmt w:val="bullet"/>
      <w:lvlText w:val="•"/>
      <w:lvlJc w:val="left"/>
      <w:pPr>
        <w:ind w:left="1868" w:hanging="284"/>
      </w:pPr>
      <w:rPr>
        <w:rFonts w:hint="default"/>
      </w:rPr>
    </w:lvl>
    <w:lvl w:ilvl="3" w:tplc="CD221DA6">
      <w:numFmt w:val="bullet"/>
      <w:lvlText w:val="•"/>
      <w:lvlJc w:val="left"/>
      <w:pPr>
        <w:ind w:left="2533" w:hanging="284"/>
      </w:pPr>
      <w:rPr>
        <w:rFonts w:hint="default"/>
      </w:rPr>
    </w:lvl>
    <w:lvl w:ilvl="4" w:tplc="B06C9E1C">
      <w:numFmt w:val="bullet"/>
      <w:lvlText w:val="•"/>
      <w:lvlJc w:val="left"/>
      <w:pPr>
        <w:ind w:left="3197" w:hanging="284"/>
      </w:pPr>
      <w:rPr>
        <w:rFonts w:hint="default"/>
      </w:rPr>
    </w:lvl>
    <w:lvl w:ilvl="5" w:tplc="41F49C72">
      <w:numFmt w:val="bullet"/>
      <w:lvlText w:val="•"/>
      <w:lvlJc w:val="left"/>
      <w:pPr>
        <w:ind w:left="3861" w:hanging="284"/>
      </w:pPr>
      <w:rPr>
        <w:rFonts w:hint="default"/>
      </w:rPr>
    </w:lvl>
    <w:lvl w:ilvl="6" w:tplc="461E585E">
      <w:numFmt w:val="bullet"/>
      <w:lvlText w:val="•"/>
      <w:lvlJc w:val="left"/>
      <w:pPr>
        <w:ind w:left="4526" w:hanging="284"/>
      </w:pPr>
      <w:rPr>
        <w:rFonts w:hint="default"/>
      </w:rPr>
    </w:lvl>
    <w:lvl w:ilvl="7" w:tplc="64BCDB74">
      <w:numFmt w:val="bullet"/>
      <w:lvlText w:val="•"/>
      <w:lvlJc w:val="left"/>
      <w:pPr>
        <w:ind w:left="5190" w:hanging="284"/>
      </w:pPr>
      <w:rPr>
        <w:rFonts w:hint="default"/>
      </w:rPr>
    </w:lvl>
    <w:lvl w:ilvl="8" w:tplc="7AEAE2BC">
      <w:numFmt w:val="bullet"/>
      <w:lvlText w:val="•"/>
      <w:lvlJc w:val="left"/>
      <w:pPr>
        <w:ind w:left="5855" w:hanging="284"/>
      </w:pPr>
      <w:rPr>
        <w:rFonts w:hint="default"/>
      </w:rPr>
    </w:lvl>
  </w:abstractNum>
  <w:abstractNum w:abstractNumId="335">
    <w:nsid w:val="7E571980"/>
    <w:multiLevelType w:val="multilevel"/>
    <w:tmpl w:val="AB7AD48C"/>
    <w:lvl w:ilvl="0">
      <w:start w:val="7"/>
      <w:numFmt w:val="decimal"/>
      <w:lvlText w:val="%1"/>
      <w:lvlJc w:val="left"/>
      <w:pPr>
        <w:ind w:left="1098" w:hanging="565"/>
        <w:jc w:val="left"/>
      </w:pPr>
      <w:rPr>
        <w:rFonts w:hint="default"/>
      </w:rPr>
    </w:lvl>
    <w:lvl w:ilvl="1">
      <w:start w:val="1"/>
      <w:numFmt w:val="decimal"/>
      <w:lvlText w:val="%1.%2"/>
      <w:lvlJc w:val="left"/>
      <w:pPr>
        <w:ind w:left="1098" w:hanging="565"/>
        <w:jc w:val="left"/>
      </w:pPr>
      <w:rPr>
        <w:rFonts w:hint="default"/>
      </w:rPr>
    </w:lvl>
    <w:lvl w:ilvl="2">
      <w:start w:val="1"/>
      <w:numFmt w:val="decimal"/>
      <w:lvlText w:val="%1.%2.%3."/>
      <w:lvlJc w:val="left"/>
      <w:pPr>
        <w:ind w:left="1098" w:hanging="565"/>
        <w:jc w:val="left"/>
      </w:pPr>
      <w:rPr>
        <w:rFonts w:ascii="Cambria" w:eastAsia="Cambria" w:hAnsi="Cambria" w:cs="Cambria" w:hint="default"/>
        <w:b/>
        <w:bCs/>
        <w:color w:val="231F20"/>
        <w:spacing w:val="-1"/>
        <w:w w:val="100"/>
        <w:sz w:val="21"/>
        <w:szCs w:val="21"/>
      </w:rPr>
    </w:lvl>
    <w:lvl w:ilvl="3">
      <w:numFmt w:val="bullet"/>
      <w:lvlText w:val="•"/>
      <w:lvlJc w:val="left"/>
      <w:pPr>
        <w:ind w:left="2925" w:hanging="565"/>
      </w:pPr>
      <w:rPr>
        <w:rFonts w:hint="default"/>
      </w:rPr>
    </w:lvl>
    <w:lvl w:ilvl="4">
      <w:numFmt w:val="bullet"/>
      <w:lvlText w:val="•"/>
      <w:lvlJc w:val="left"/>
      <w:pPr>
        <w:ind w:left="3533" w:hanging="565"/>
      </w:pPr>
      <w:rPr>
        <w:rFonts w:hint="default"/>
      </w:rPr>
    </w:lvl>
    <w:lvl w:ilvl="5">
      <w:numFmt w:val="bullet"/>
      <w:lvlText w:val="•"/>
      <w:lvlJc w:val="left"/>
      <w:pPr>
        <w:ind w:left="4141" w:hanging="565"/>
      </w:pPr>
      <w:rPr>
        <w:rFonts w:hint="default"/>
      </w:rPr>
    </w:lvl>
    <w:lvl w:ilvl="6">
      <w:numFmt w:val="bullet"/>
      <w:lvlText w:val="•"/>
      <w:lvlJc w:val="left"/>
      <w:pPr>
        <w:ind w:left="4750" w:hanging="565"/>
      </w:pPr>
      <w:rPr>
        <w:rFonts w:hint="default"/>
      </w:rPr>
    </w:lvl>
    <w:lvl w:ilvl="7">
      <w:numFmt w:val="bullet"/>
      <w:lvlText w:val="•"/>
      <w:lvlJc w:val="left"/>
      <w:pPr>
        <w:ind w:left="5358" w:hanging="565"/>
      </w:pPr>
      <w:rPr>
        <w:rFonts w:hint="default"/>
      </w:rPr>
    </w:lvl>
    <w:lvl w:ilvl="8">
      <w:numFmt w:val="bullet"/>
      <w:lvlText w:val="•"/>
      <w:lvlJc w:val="left"/>
      <w:pPr>
        <w:ind w:left="5967" w:hanging="565"/>
      </w:pPr>
      <w:rPr>
        <w:rFonts w:hint="default"/>
      </w:rPr>
    </w:lvl>
  </w:abstractNum>
  <w:abstractNum w:abstractNumId="336">
    <w:nsid w:val="7ECA5BA2"/>
    <w:multiLevelType w:val="hybridMultilevel"/>
    <w:tmpl w:val="4072BDAE"/>
    <w:lvl w:ilvl="0" w:tplc="2DEE4F1A">
      <w:numFmt w:val="bullet"/>
      <w:lvlText w:val=""/>
      <w:lvlJc w:val="left"/>
      <w:pPr>
        <w:ind w:left="250" w:hanging="284"/>
      </w:pPr>
      <w:rPr>
        <w:rFonts w:ascii="Wingdings" w:eastAsia="Wingdings" w:hAnsi="Wingdings" w:cs="Wingdings" w:hint="default"/>
        <w:color w:val="231F20"/>
        <w:w w:val="100"/>
        <w:sz w:val="21"/>
        <w:szCs w:val="21"/>
      </w:rPr>
    </w:lvl>
    <w:lvl w:ilvl="1" w:tplc="0C884218">
      <w:numFmt w:val="bullet"/>
      <w:lvlText w:val="•"/>
      <w:lvlJc w:val="left"/>
      <w:pPr>
        <w:ind w:left="952" w:hanging="284"/>
      </w:pPr>
      <w:rPr>
        <w:rFonts w:hint="default"/>
      </w:rPr>
    </w:lvl>
    <w:lvl w:ilvl="2" w:tplc="DFB0073E">
      <w:numFmt w:val="bullet"/>
      <w:lvlText w:val="•"/>
      <w:lvlJc w:val="left"/>
      <w:pPr>
        <w:ind w:left="1644" w:hanging="284"/>
      </w:pPr>
      <w:rPr>
        <w:rFonts w:hint="default"/>
      </w:rPr>
    </w:lvl>
    <w:lvl w:ilvl="3" w:tplc="29F63EB2">
      <w:numFmt w:val="bullet"/>
      <w:lvlText w:val="•"/>
      <w:lvlJc w:val="left"/>
      <w:pPr>
        <w:ind w:left="2337" w:hanging="284"/>
      </w:pPr>
      <w:rPr>
        <w:rFonts w:hint="default"/>
      </w:rPr>
    </w:lvl>
    <w:lvl w:ilvl="4" w:tplc="B4F4A1CE">
      <w:numFmt w:val="bullet"/>
      <w:lvlText w:val="•"/>
      <w:lvlJc w:val="left"/>
      <w:pPr>
        <w:ind w:left="3029" w:hanging="284"/>
      </w:pPr>
      <w:rPr>
        <w:rFonts w:hint="default"/>
      </w:rPr>
    </w:lvl>
    <w:lvl w:ilvl="5" w:tplc="CDA01A7E">
      <w:numFmt w:val="bullet"/>
      <w:lvlText w:val="•"/>
      <w:lvlJc w:val="left"/>
      <w:pPr>
        <w:ind w:left="3721" w:hanging="284"/>
      </w:pPr>
      <w:rPr>
        <w:rFonts w:hint="default"/>
      </w:rPr>
    </w:lvl>
    <w:lvl w:ilvl="6" w:tplc="D390EC28">
      <w:numFmt w:val="bullet"/>
      <w:lvlText w:val="•"/>
      <w:lvlJc w:val="left"/>
      <w:pPr>
        <w:ind w:left="4414" w:hanging="284"/>
      </w:pPr>
      <w:rPr>
        <w:rFonts w:hint="default"/>
      </w:rPr>
    </w:lvl>
    <w:lvl w:ilvl="7" w:tplc="64C423D6">
      <w:numFmt w:val="bullet"/>
      <w:lvlText w:val="•"/>
      <w:lvlJc w:val="left"/>
      <w:pPr>
        <w:ind w:left="5106" w:hanging="284"/>
      </w:pPr>
      <w:rPr>
        <w:rFonts w:hint="default"/>
      </w:rPr>
    </w:lvl>
    <w:lvl w:ilvl="8" w:tplc="1BB2C94E">
      <w:numFmt w:val="bullet"/>
      <w:lvlText w:val="•"/>
      <w:lvlJc w:val="left"/>
      <w:pPr>
        <w:ind w:left="5799" w:hanging="284"/>
      </w:pPr>
      <w:rPr>
        <w:rFonts w:hint="default"/>
      </w:rPr>
    </w:lvl>
  </w:abstractNum>
  <w:abstractNum w:abstractNumId="337">
    <w:nsid w:val="7F301B3F"/>
    <w:multiLevelType w:val="hybridMultilevel"/>
    <w:tmpl w:val="03508EF6"/>
    <w:lvl w:ilvl="0" w:tplc="1C822CBE">
      <w:start w:val="1"/>
      <w:numFmt w:val="decimal"/>
      <w:lvlText w:val="%1)"/>
      <w:lvlJc w:val="left"/>
      <w:pPr>
        <w:ind w:left="250" w:hanging="284"/>
        <w:jc w:val="left"/>
      </w:pPr>
      <w:rPr>
        <w:rFonts w:ascii="Cambria" w:eastAsia="Cambria" w:hAnsi="Cambria" w:cs="Cambria" w:hint="default"/>
        <w:color w:val="231F20"/>
        <w:spacing w:val="-13"/>
        <w:w w:val="100"/>
        <w:sz w:val="21"/>
        <w:szCs w:val="21"/>
      </w:rPr>
    </w:lvl>
    <w:lvl w:ilvl="1" w:tplc="EB92CFF2">
      <w:numFmt w:val="bullet"/>
      <w:lvlText w:val="•"/>
      <w:lvlJc w:val="left"/>
      <w:pPr>
        <w:ind w:left="952" w:hanging="284"/>
      </w:pPr>
      <w:rPr>
        <w:rFonts w:hint="default"/>
      </w:rPr>
    </w:lvl>
    <w:lvl w:ilvl="2" w:tplc="0B8C6364">
      <w:numFmt w:val="bullet"/>
      <w:lvlText w:val="•"/>
      <w:lvlJc w:val="left"/>
      <w:pPr>
        <w:ind w:left="1644" w:hanging="284"/>
      </w:pPr>
      <w:rPr>
        <w:rFonts w:hint="default"/>
      </w:rPr>
    </w:lvl>
    <w:lvl w:ilvl="3" w:tplc="6F707338">
      <w:numFmt w:val="bullet"/>
      <w:lvlText w:val="•"/>
      <w:lvlJc w:val="left"/>
      <w:pPr>
        <w:ind w:left="2337" w:hanging="284"/>
      </w:pPr>
      <w:rPr>
        <w:rFonts w:hint="default"/>
      </w:rPr>
    </w:lvl>
    <w:lvl w:ilvl="4" w:tplc="AB9CF206">
      <w:numFmt w:val="bullet"/>
      <w:lvlText w:val="•"/>
      <w:lvlJc w:val="left"/>
      <w:pPr>
        <w:ind w:left="3029" w:hanging="284"/>
      </w:pPr>
      <w:rPr>
        <w:rFonts w:hint="default"/>
      </w:rPr>
    </w:lvl>
    <w:lvl w:ilvl="5" w:tplc="96CEC1CA">
      <w:numFmt w:val="bullet"/>
      <w:lvlText w:val="•"/>
      <w:lvlJc w:val="left"/>
      <w:pPr>
        <w:ind w:left="3721" w:hanging="284"/>
      </w:pPr>
      <w:rPr>
        <w:rFonts w:hint="default"/>
      </w:rPr>
    </w:lvl>
    <w:lvl w:ilvl="6" w:tplc="14E62CBE">
      <w:numFmt w:val="bullet"/>
      <w:lvlText w:val="•"/>
      <w:lvlJc w:val="left"/>
      <w:pPr>
        <w:ind w:left="4414" w:hanging="284"/>
      </w:pPr>
      <w:rPr>
        <w:rFonts w:hint="default"/>
      </w:rPr>
    </w:lvl>
    <w:lvl w:ilvl="7" w:tplc="B92EA3BE">
      <w:numFmt w:val="bullet"/>
      <w:lvlText w:val="•"/>
      <w:lvlJc w:val="left"/>
      <w:pPr>
        <w:ind w:left="5106" w:hanging="284"/>
      </w:pPr>
      <w:rPr>
        <w:rFonts w:hint="default"/>
      </w:rPr>
    </w:lvl>
    <w:lvl w:ilvl="8" w:tplc="224AB1DA">
      <w:numFmt w:val="bullet"/>
      <w:lvlText w:val="•"/>
      <w:lvlJc w:val="left"/>
      <w:pPr>
        <w:ind w:left="5799" w:hanging="284"/>
      </w:pPr>
      <w:rPr>
        <w:rFonts w:hint="default"/>
      </w:rPr>
    </w:lvl>
  </w:abstractNum>
  <w:abstractNum w:abstractNumId="338">
    <w:nsid w:val="7F506737"/>
    <w:multiLevelType w:val="hybridMultilevel"/>
    <w:tmpl w:val="E7265828"/>
    <w:lvl w:ilvl="0" w:tplc="68305B6C">
      <w:start w:val="1"/>
      <w:numFmt w:val="decimal"/>
      <w:lvlText w:val="%1)"/>
      <w:lvlJc w:val="left"/>
      <w:pPr>
        <w:ind w:left="533" w:hanging="284"/>
        <w:jc w:val="right"/>
      </w:pPr>
      <w:rPr>
        <w:rFonts w:ascii="Cambria" w:eastAsia="Cambria" w:hAnsi="Cambria" w:cs="Cambria" w:hint="default"/>
        <w:color w:val="231F20"/>
        <w:spacing w:val="-21"/>
        <w:w w:val="100"/>
        <w:sz w:val="21"/>
        <w:szCs w:val="21"/>
      </w:rPr>
    </w:lvl>
    <w:lvl w:ilvl="1" w:tplc="9036D308">
      <w:numFmt w:val="bullet"/>
      <w:lvlText w:val="•"/>
      <w:lvlJc w:val="left"/>
      <w:pPr>
        <w:ind w:left="1204" w:hanging="284"/>
      </w:pPr>
      <w:rPr>
        <w:rFonts w:hint="default"/>
      </w:rPr>
    </w:lvl>
    <w:lvl w:ilvl="2" w:tplc="9B08EB46">
      <w:numFmt w:val="bullet"/>
      <w:lvlText w:val="•"/>
      <w:lvlJc w:val="left"/>
      <w:pPr>
        <w:ind w:left="1868" w:hanging="284"/>
      </w:pPr>
      <w:rPr>
        <w:rFonts w:hint="default"/>
      </w:rPr>
    </w:lvl>
    <w:lvl w:ilvl="3" w:tplc="A2344FF2">
      <w:numFmt w:val="bullet"/>
      <w:lvlText w:val="•"/>
      <w:lvlJc w:val="left"/>
      <w:pPr>
        <w:ind w:left="2533" w:hanging="284"/>
      </w:pPr>
      <w:rPr>
        <w:rFonts w:hint="default"/>
      </w:rPr>
    </w:lvl>
    <w:lvl w:ilvl="4" w:tplc="8768315E">
      <w:numFmt w:val="bullet"/>
      <w:lvlText w:val="•"/>
      <w:lvlJc w:val="left"/>
      <w:pPr>
        <w:ind w:left="3197" w:hanging="284"/>
      </w:pPr>
      <w:rPr>
        <w:rFonts w:hint="default"/>
      </w:rPr>
    </w:lvl>
    <w:lvl w:ilvl="5" w:tplc="7446049A">
      <w:numFmt w:val="bullet"/>
      <w:lvlText w:val="•"/>
      <w:lvlJc w:val="left"/>
      <w:pPr>
        <w:ind w:left="3861" w:hanging="284"/>
      </w:pPr>
      <w:rPr>
        <w:rFonts w:hint="default"/>
      </w:rPr>
    </w:lvl>
    <w:lvl w:ilvl="6" w:tplc="C9BE1A5E">
      <w:numFmt w:val="bullet"/>
      <w:lvlText w:val="•"/>
      <w:lvlJc w:val="left"/>
      <w:pPr>
        <w:ind w:left="4526" w:hanging="284"/>
      </w:pPr>
      <w:rPr>
        <w:rFonts w:hint="default"/>
      </w:rPr>
    </w:lvl>
    <w:lvl w:ilvl="7" w:tplc="DADA5CD4">
      <w:numFmt w:val="bullet"/>
      <w:lvlText w:val="•"/>
      <w:lvlJc w:val="left"/>
      <w:pPr>
        <w:ind w:left="5190" w:hanging="284"/>
      </w:pPr>
      <w:rPr>
        <w:rFonts w:hint="default"/>
      </w:rPr>
    </w:lvl>
    <w:lvl w:ilvl="8" w:tplc="CDE67BA4">
      <w:numFmt w:val="bullet"/>
      <w:lvlText w:val="•"/>
      <w:lvlJc w:val="left"/>
      <w:pPr>
        <w:ind w:left="5855" w:hanging="284"/>
      </w:pPr>
      <w:rPr>
        <w:rFonts w:hint="default"/>
      </w:rPr>
    </w:lvl>
  </w:abstractNum>
  <w:num w:numId="1">
    <w:abstractNumId w:val="72"/>
  </w:num>
  <w:num w:numId="2">
    <w:abstractNumId w:val="336"/>
  </w:num>
  <w:num w:numId="3">
    <w:abstractNumId w:val="77"/>
  </w:num>
  <w:num w:numId="4">
    <w:abstractNumId w:val="150"/>
  </w:num>
  <w:num w:numId="5">
    <w:abstractNumId w:val="226"/>
  </w:num>
  <w:num w:numId="6">
    <w:abstractNumId w:val="327"/>
  </w:num>
  <w:num w:numId="7">
    <w:abstractNumId w:val="265"/>
  </w:num>
  <w:num w:numId="8">
    <w:abstractNumId w:val="234"/>
  </w:num>
  <w:num w:numId="9">
    <w:abstractNumId w:val="18"/>
  </w:num>
  <w:num w:numId="10">
    <w:abstractNumId w:val="268"/>
  </w:num>
  <w:num w:numId="11">
    <w:abstractNumId w:val="119"/>
  </w:num>
  <w:num w:numId="12">
    <w:abstractNumId w:val="101"/>
  </w:num>
  <w:num w:numId="13">
    <w:abstractNumId w:val="269"/>
  </w:num>
  <w:num w:numId="14">
    <w:abstractNumId w:val="307"/>
  </w:num>
  <w:num w:numId="15">
    <w:abstractNumId w:val="258"/>
  </w:num>
  <w:num w:numId="16">
    <w:abstractNumId w:val="44"/>
  </w:num>
  <w:num w:numId="17">
    <w:abstractNumId w:val="144"/>
  </w:num>
  <w:num w:numId="18">
    <w:abstractNumId w:val="78"/>
  </w:num>
  <w:num w:numId="19">
    <w:abstractNumId w:val="25"/>
  </w:num>
  <w:num w:numId="20">
    <w:abstractNumId w:val="86"/>
  </w:num>
  <w:num w:numId="21">
    <w:abstractNumId w:val="308"/>
  </w:num>
  <w:num w:numId="22">
    <w:abstractNumId w:val="263"/>
  </w:num>
  <w:num w:numId="23">
    <w:abstractNumId w:val="157"/>
  </w:num>
  <w:num w:numId="24">
    <w:abstractNumId w:val="151"/>
  </w:num>
  <w:num w:numId="25">
    <w:abstractNumId w:val="66"/>
  </w:num>
  <w:num w:numId="26">
    <w:abstractNumId w:val="321"/>
  </w:num>
  <w:num w:numId="27">
    <w:abstractNumId w:val="188"/>
  </w:num>
  <w:num w:numId="28">
    <w:abstractNumId w:val="12"/>
  </w:num>
  <w:num w:numId="29">
    <w:abstractNumId w:val="191"/>
  </w:num>
  <w:num w:numId="30">
    <w:abstractNumId w:val="153"/>
  </w:num>
  <w:num w:numId="31">
    <w:abstractNumId w:val="7"/>
  </w:num>
  <w:num w:numId="32">
    <w:abstractNumId w:val="14"/>
  </w:num>
  <w:num w:numId="33">
    <w:abstractNumId w:val="220"/>
  </w:num>
  <w:num w:numId="34">
    <w:abstractNumId w:val="176"/>
  </w:num>
  <w:num w:numId="35">
    <w:abstractNumId w:val="330"/>
  </w:num>
  <w:num w:numId="36">
    <w:abstractNumId w:val="228"/>
  </w:num>
  <w:num w:numId="37">
    <w:abstractNumId w:val="50"/>
  </w:num>
  <w:num w:numId="38">
    <w:abstractNumId w:val="213"/>
  </w:num>
  <w:num w:numId="39">
    <w:abstractNumId w:val="19"/>
  </w:num>
  <w:num w:numId="40">
    <w:abstractNumId w:val="88"/>
  </w:num>
  <w:num w:numId="41">
    <w:abstractNumId w:val="65"/>
  </w:num>
  <w:num w:numId="42">
    <w:abstractNumId w:val="195"/>
  </w:num>
  <w:num w:numId="43">
    <w:abstractNumId w:val="146"/>
  </w:num>
  <w:num w:numId="44">
    <w:abstractNumId w:val="43"/>
  </w:num>
  <w:num w:numId="45">
    <w:abstractNumId w:val="207"/>
  </w:num>
  <w:num w:numId="46">
    <w:abstractNumId w:val="209"/>
  </w:num>
  <w:num w:numId="47">
    <w:abstractNumId w:val="114"/>
  </w:num>
  <w:num w:numId="48">
    <w:abstractNumId w:val="134"/>
  </w:num>
  <w:num w:numId="49">
    <w:abstractNumId w:val="40"/>
  </w:num>
  <w:num w:numId="50">
    <w:abstractNumId w:val="106"/>
  </w:num>
  <w:num w:numId="51">
    <w:abstractNumId w:val="272"/>
  </w:num>
  <w:num w:numId="52">
    <w:abstractNumId w:val="60"/>
  </w:num>
  <w:num w:numId="53">
    <w:abstractNumId w:val="233"/>
  </w:num>
  <w:num w:numId="54">
    <w:abstractNumId w:val="149"/>
  </w:num>
  <w:num w:numId="55">
    <w:abstractNumId w:val="218"/>
  </w:num>
  <w:num w:numId="56">
    <w:abstractNumId w:val="169"/>
  </w:num>
  <w:num w:numId="57">
    <w:abstractNumId w:val="183"/>
  </w:num>
  <w:num w:numId="58">
    <w:abstractNumId w:val="201"/>
  </w:num>
  <w:num w:numId="59">
    <w:abstractNumId w:val="81"/>
  </w:num>
  <w:num w:numId="60">
    <w:abstractNumId w:val="299"/>
  </w:num>
  <w:num w:numId="61">
    <w:abstractNumId w:val="275"/>
  </w:num>
  <w:num w:numId="62">
    <w:abstractNumId w:val="278"/>
  </w:num>
  <w:num w:numId="63">
    <w:abstractNumId w:val="24"/>
  </w:num>
  <w:num w:numId="64">
    <w:abstractNumId w:val="273"/>
  </w:num>
  <w:num w:numId="65">
    <w:abstractNumId w:val="229"/>
  </w:num>
  <w:num w:numId="66">
    <w:abstractNumId w:val="202"/>
  </w:num>
  <w:num w:numId="67">
    <w:abstractNumId w:val="52"/>
  </w:num>
  <w:num w:numId="68">
    <w:abstractNumId w:val="155"/>
  </w:num>
  <w:num w:numId="69">
    <w:abstractNumId w:val="140"/>
  </w:num>
  <w:num w:numId="70">
    <w:abstractNumId w:val="168"/>
  </w:num>
  <w:num w:numId="71">
    <w:abstractNumId w:val="266"/>
  </w:num>
  <w:num w:numId="72">
    <w:abstractNumId w:val="109"/>
  </w:num>
  <w:num w:numId="73">
    <w:abstractNumId w:val="172"/>
  </w:num>
  <w:num w:numId="74">
    <w:abstractNumId w:val="230"/>
  </w:num>
  <w:num w:numId="75">
    <w:abstractNumId w:val="217"/>
  </w:num>
  <w:num w:numId="76">
    <w:abstractNumId w:val="56"/>
  </w:num>
  <w:num w:numId="77">
    <w:abstractNumId w:val="231"/>
  </w:num>
  <w:num w:numId="78">
    <w:abstractNumId w:val="37"/>
  </w:num>
  <w:num w:numId="79">
    <w:abstractNumId w:val="67"/>
  </w:num>
  <w:num w:numId="80">
    <w:abstractNumId w:val="54"/>
  </w:num>
  <w:num w:numId="81">
    <w:abstractNumId w:val="89"/>
  </w:num>
  <w:num w:numId="82">
    <w:abstractNumId w:val="252"/>
  </w:num>
  <w:num w:numId="83">
    <w:abstractNumId w:val="99"/>
  </w:num>
  <w:num w:numId="84">
    <w:abstractNumId w:val="22"/>
  </w:num>
  <w:num w:numId="85">
    <w:abstractNumId w:val="246"/>
  </w:num>
  <w:num w:numId="86">
    <w:abstractNumId w:val="337"/>
  </w:num>
  <w:num w:numId="87">
    <w:abstractNumId w:val="205"/>
  </w:num>
  <w:num w:numId="88">
    <w:abstractNumId w:val="323"/>
  </w:num>
  <w:num w:numId="89">
    <w:abstractNumId w:val="143"/>
  </w:num>
  <w:num w:numId="90">
    <w:abstractNumId w:val="334"/>
  </w:num>
  <w:num w:numId="91">
    <w:abstractNumId w:val="297"/>
  </w:num>
  <w:num w:numId="92">
    <w:abstractNumId w:val="285"/>
  </w:num>
  <w:num w:numId="93">
    <w:abstractNumId w:val="32"/>
  </w:num>
  <w:num w:numId="94">
    <w:abstractNumId w:val="96"/>
  </w:num>
  <w:num w:numId="95">
    <w:abstractNumId w:val="104"/>
  </w:num>
  <w:num w:numId="96">
    <w:abstractNumId w:val="199"/>
  </w:num>
  <w:num w:numId="97">
    <w:abstractNumId w:val="116"/>
  </w:num>
  <w:num w:numId="98">
    <w:abstractNumId w:val="316"/>
  </w:num>
  <w:num w:numId="99">
    <w:abstractNumId w:val="31"/>
  </w:num>
  <w:num w:numId="100">
    <w:abstractNumId w:val="291"/>
  </w:num>
  <w:num w:numId="101">
    <w:abstractNumId w:val="110"/>
  </w:num>
  <w:num w:numId="102">
    <w:abstractNumId w:val="305"/>
  </w:num>
  <w:num w:numId="103">
    <w:abstractNumId w:val="331"/>
  </w:num>
  <w:num w:numId="104">
    <w:abstractNumId w:val="185"/>
  </w:num>
  <w:num w:numId="105">
    <w:abstractNumId w:val="182"/>
  </w:num>
  <w:num w:numId="106">
    <w:abstractNumId w:val="105"/>
  </w:num>
  <w:num w:numId="107">
    <w:abstractNumId w:val="138"/>
  </w:num>
  <w:num w:numId="108">
    <w:abstractNumId w:val="311"/>
  </w:num>
  <w:num w:numId="109">
    <w:abstractNumId w:val="165"/>
  </w:num>
  <w:num w:numId="110">
    <w:abstractNumId w:val="131"/>
  </w:num>
  <w:num w:numId="111">
    <w:abstractNumId w:val="328"/>
  </w:num>
  <w:num w:numId="112">
    <w:abstractNumId w:val="145"/>
  </w:num>
  <w:num w:numId="113">
    <w:abstractNumId w:val="250"/>
  </w:num>
  <w:num w:numId="114">
    <w:abstractNumId w:val="115"/>
  </w:num>
  <w:num w:numId="115">
    <w:abstractNumId w:val="292"/>
  </w:num>
  <w:num w:numId="116">
    <w:abstractNumId w:val="1"/>
  </w:num>
  <w:num w:numId="117">
    <w:abstractNumId w:val="204"/>
  </w:num>
  <w:num w:numId="118">
    <w:abstractNumId w:val="137"/>
  </w:num>
  <w:num w:numId="119">
    <w:abstractNumId w:val="283"/>
  </w:num>
  <w:num w:numId="120">
    <w:abstractNumId w:val="306"/>
  </w:num>
  <w:num w:numId="121">
    <w:abstractNumId w:val="141"/>
  </w:num>
  <w:num w:numId="122">
    <w:abstractNumId w:val="312"/>
  </w:num>
  <w:num w:numId="123">
    <w:abstractNumId w:val="58"/>
  </w:num>
  <w:num w:numId="124">
    <w:abstractNumId w:val="38"/>
  </w:num>
  <w:num w:numId="125">
    <w:abstractNumId w:val="95"/>
  </w:num>
  <w:num w:numId="126">
    <w:abstractNumId w:val="49"/>
  </w:num>
  <w:num w:numId="127">
    <w:abstractNumId w:val="117"/>
  </w:num>
  <w:num w:numId="128">
    <w:abstractNumId w:val="214"/>
  </w:num>
  <w:num w:numId="129">
    <w:abstractNumId w:val="277"/>
  </w:num>
  <w:num w:numId="130">
    <w:abstractNumId w:val="236"/>
  </w:num>
  <w:num w:numId="131">
    <w:abstractNumId w:val="216"/>
  </w:num>
  <w:num w:numId="132">
    <w:abstractNumId w:val="280"/>
  </w:num>
  <w:num w:numId="133">
    <w:abstractNumId w:val="160"/>
  </w:num>
  <w:num w:numId="134">
    <w:abstractNumId w:val="180"/>
  </w:num>
  <w:num w:numId="135">
    <w:abstractNumId w:val="241"/>
  </w:num>
  <w:num w:numId="136">
    <w:abstractNumId w:val="315"/>
  </w:num>
  <w:num w:numId="137">
    <w:abstractNumId w:val="289"/>
  </w:num>
  <w:num w:numId="138">
    <w:abstractNumId w:val="20"/>
  </w:num>
  <w:num w:numId="139">
    <w:abstractNumId w:val="247"/>
  </w:num>
  <w:num w:numId="140">
    <w:abstractNumId w:val="73"/>
  </w:num>
  <w:num w:numId="141">
    <w:abstractNumId w:val="76"/>
  </w:num>
  <w:num w:numId="142">
    <w:abstractNumId w:val="175"/>
  </w:num>
  <w:num w:numId="143">
    <w:abstractNumId w:val="194"/>
  </w:num>
  <w:num w:numId="144">
    <w:abstractNumId w:val="298"/>
  </w:num>
  <w:num w:numId="145">
    <w:abstractNumId w:val="318"/>
  </w:num>
  <w:num w:numId="146">
    <w:abstractNumId w:val="148"/>
  </w:num>
  <w:num w:numId="147">
    <w:abstractNumId w:val="161"/>
  </w:num>
  <w:num w:numId="148">
    <w:abstractNumId w:val="262"/>
  </w:num>
  <w:num w:numId="149">
    <w:abstractNumId w:val="64"/>
  </w:num>
  <w:num w:numId="150">
    <w:abstractNumId w:val="215"/>
  </w:num>
  <w:num w:numId="151">
    <w:abstractNumId w:val="186"/>
  </w:num>
  <w:num w:numId="152">
    <w:abstractNumId w:val="69"/>
  </w:num>
  <w:num w:numId="153">
    <w:abstractNumId w:val="242"/>
  </w:num>
  <w:num w:numId="154">
    <w:abstractNumId w:val="222"/>
  </w:num>
  <w:num w:numId="155">
    <w:abstractNumId w:val="124"/>
  </w:num>
  <w:num w:numId="156">
    <w:abstractNumId w:val="156"/>
  </w:num>
  <w:num w:numId="157">
    <w:abstractNumId w:val="232"/>
  </w:num>
  <w:num w:numId="158">
    <w:abstractNumId w:val="29"/>
  </w:num>
  <w:num w:numId="159">
    <w:abstractNumId w:val="79"/>
  </w:num>
  <w:num w:numId="160">
    <w:abstractNumId w:val="270"/>
  </w:num>
  <w:num w:numId="161">
    <w:abstractNumId w:val="293"/>
  </w:num>
  <w:num w:numId="162">
    <w:abstractNumId w:val="238"/>
  </w:num>
  <w:num w:numId="163">
    <w:abstractNumId w:val="139"/>
  </w:num>
  <w:num w:numId="164">
    <w:abstractNumId w:val="9"/>
  </w:num>
  <w:num w:numId="165">
    <w:abstractNumId w:val="41"/>
  </w:num>
  <w:num w:numId="166">
    <w:abstractNumId w:val="21"/>
  </w:num>
  <w:num w:numId="167">
    <w:abstractNumId w:val="261"/>
  </w:num>
  <w:num w:numId="168">
    <w:abstractNumId w:val="257"/>
  </w:num>
  <w:num w:numId="169">
    <w:abstractNumId w:val="23"/>
  </w:num>
  <w:num w:numId="170">
    <w:abstractNumId w:val="224"/>
  </w:num>
  <w:num w:numId="171">
    <w:abstractNumId w:val="107"/>
  </w:num>
  <w:num w:numId="172">
    <w:abstractNumId w:val="103"/>
  </w:num>
  <w:num w:numId="173">
    <w:abstractNumId w:val="324"/>
  </w:num>
  <w:num w:numId="174">
    <w:abstractNumId w:val="243"/>
  </w:num>
  <w:num w:numId="175">
    <w:abstractNumId w:val="142"/>
  </w:num>
  <w:num w:numId="176">
    <w:abstractNumId w:val="193"/>
  </w:num>
  <w:num w:numId="177">
    <w:abstractNumId w:val="2"/>
  </w:num>
  <w:num w:numId="178">
    <w:abstractNumId w:val="100"/>
  </w:num>
  <w:num w:numId="179">
    <w:abstractNumId w:val="71"/>
  </w:num>
  <w:num w:numId="180">
    <w:abstractNumId w:val="237"/>
  </w:num>
  <w:num w:numId="181">
    <w:abstractNumId w:val="248"/>
  </w:num>
  <w:num w:numId="182">
    <w:abstractNumId w:val="173"/>
  </w:num>
  <w:num w:numId="183">
    <w:abstractNumId w:val="177"/>
  </w:num>
  <w:num w:numId="184">
    <w:abstractNumId w:val="251"/>
  </w:num>
  <w:num w:numId="185">
    <w:abstractNumId w:val="210"/>
  </w:num>
  <w:num w:numId="186">
    <w:abstractNumId w:val="333"/>
  </w:num>
  <w:num w:numId="187">
    <w:abstractNumId w:val="286"/>
  </w:num>
  <w:num w:numId="188">
    <w:abstractNumId w:val="42"/>
  </w:num>
  <w:num w:numId="189">
    <w:abstractNumId w:val="94"/>
  </w:num>
  <w:num w:numId="190">
    <w:abstractNumId w:val="127"/>
  </w:num>
  <w:num w:numId="191">
    <w:abstractNumId w:val="192"/>
  </w:num>
  <w:num w:numId="192">
    <w:abstractNumId w:val="6"/>
  </w:num>
  <w:num w:numId="193">
    <w:abstractNumId w:val="53"/>
  </w:num>
  <w:num w:numId="194">
    <w:abstractNumId w:val="75"/>
  </w:num>
  <w:num w:numId="195">
    <w:abstractNumId w:val="174"/>
  </w:num>
  <w:num w:numId="196">
    <w:abstractNumId w:val="136"/>
  </w:num>
  <w:num w:numId="197">
    <w:abstractNumId w:val="325"/>
  </w:num>
  <w:num w:numId="198">
    <w:abstractNumId w:val="92"/>
  </w:num>
  <w:num w:numId="199">
    <w:abstractNumId w:val="17"/>
  </w:num>
  <w:num w:numId="200">
    <w:abstractNumId w:val="97"/>
  </w:num>
  <w:num w:numId="201">
    <w:abstractNumId w:val="82"/>
  </w:num>
  <w:num w:numId="202">
    <w:abstractNumId w:val="313"/>
  </w:num>
  <w:num w:numId="203">
    <w:abstractNumId w:val="130"/>
  </w:num>
  <w:num w:numId="204">
    <w:abstractNumId w:val="187"/>
  </w:num>
  <w:num w:numId="205">
    <w:abstractNumId w:val="16"/>
  </w:num>
  <w:num w:numId="206">
    <w:abstractNumId w:val="317"/>
  </w:num>
  <w:num w:numId="207">
    <w:abstractNumId w:val="276"/>
  </w:num>
  <w:num w:numId="208">
    <w:abstractNumId w:val="254"/>
  </w:num>
  <w:num w:numId="209">
    <w:abstractNumId w:val="303"/>
  </w:num>
  <w:num w:numId="210">
    <w:abstractNumId w:val="335"/>
  </w:num>
  <w:num w:numId="211">
    <w:abstractNumId w:val="39"/>
  </w:num>
  <w:num w:numId="212">
    <w:abstractNumId w:val="84"/>
  </w:num>
  <w:num w:numId="213">
    <w:abstractNumId w:val="166"/>
  </w:num>
  <w:num w:numId="214">
    <w:abstractNumId w:val="249"/>
  </w:num>
  <w:num w:numId="215">
    <w:abstractNumId w:val="184"/>
  </w:num>
  <w:num w:numId="216">
    <w:abstractNumId w:val="147"/>
  </w:num>
  <w:num w:numId="217">
    <w:abstractNumId w:val="245"/>
  </w:num>
  <w:num w:numId="218">
    <w:abstractNumId w:val="338"/>
  </w:num>
  <w:num w:numId="219">
    <w:abstractNumId w:val="219"/>
  </w:num>
  <w:num w:numId="220">
    <w:abstractNumId w:val="46"/>
  </w:num>
  <w:num w:numId="221">
    <w:abstractNumId w:val="51"/>
  </w:num>
  <w:num w:numId="222">
    <w:abstractNumId w:val="235"/>
  </w:num>
  <w:num w:numId="223">
    <w:abstractNumId w:val="113"/>
  </w:num>
  <w:num w:numId="224">
    <w:abstractNumId w:val="158"/>
  </w:num>
  <w:num w:numId="225">
    <w:abstractNumId w:val="128"/>
  </w:num>
  <w:num w:numId="226">
    <w:abstractNumId w:val="47"/>
  </w:num>
  <w:num w:numId="227">
    <w:abstractNumId w:val="225"/>
  </w:num>
  <w:num w:numId="228">
    <w:abstractNumId w:val="221"/>
  </w:num>
  <w:num w:numId="229">
    <w:abstractNumId w:val="240"/>
  </w:num>
  <w:num w:numId="230">
    <w:abstractNumId w:val="159"/>
  </w:num>
  <w:num w:numId="231">
    <w:abstractNumId w:val="91"/>
  </w:num>
  <w:num w:numId="232">
    <w:abstractNumId w:val="36"/>
  </w:num>
  <w:num w:numId="233">
    <w:abstractNumId w:val="279"/>
  </w:num>
  <w:num w:numId="234">
    <w:abstractNumId w:val="4"/>
  </w:num>
  <w:num w:numId="235">
    <w:abstractNumId w:val="152"/>
  </w:num>
  <w:num w:numId="236">
    <w:abstractNumId w:val="108"/>
  </w:num>
  <w:num w:numId="237">
    <w:abstractNumId w:val="80"/>
  </w:num>
  <w:num w:numId="238">
    <w:abstractNumId w:val="102"/>
  </w:num>
  <w:num w:numId="239">
    <w:abstractNumId w:val="120"/>
  </w:num>
  <w:num w:numId="240">
    <w:abstractNumId w:val="57"/>
  </w:num>
  <w:num w:numId="241">
    <w:abstractNumId w:val="61"/>
  </w:num>
  <w:num w:numId="242">
    <w:abstractNumId w:val="111"/>
  </w:num>
  <w:num w:numId="243">
    <w:abstractNumId w:val="227"/>
  </w:num>
  <w:num w:numId="244">
    <w:abstractNumId w:val="167"/>
  </w:num>
  <w:num w:numId="245">
    <w:abstractNumId w:val="35"/>
  </w:num>
  <w:num w:numId="246">
    <w:abstractNumId w:val="33"/>
  </w:num>
  <w:num w:numId="247">
    <w:abstractNumId w:val="93"/>
  </w:num>
  <w:num w:numId="248">
    <w:abstractNumId w:val="170"/>
  </w:num>
  <w:num w:numId="249">
    <w:abstractNumId w:val="253"/>
  </w:num>
  <w:num w:numId="250">
    <w:abstractNumId w:val="300"/>
  </w:num>
  <w:num w:numId="251">
    <w:abstractNumId w:val="223"/>
  </w:num>
  <w:num w:numId="252">
    <w:abstractNumId w:val="133"/>
  </w:num>
  <w:num w:numId="253">
    <w:abstractNumId w:val="212"/>
  </w:num>
  <w:num w:numId="254">
    <w:abstractNumId w:val="314"/>
  </w:num>
  <w:num w:numId="255">
    <w:abstractNumId w:val="126"/>
  </w:num>
  <w:num w:numId="256">
    <w:abstractNumId w:val="48"/>
  </w:num>
  <w:num w:numId="257">
    <w:abstractNumId w:val="287"/>
  </w:num>
  <w:num w:numId="258">
    <w:abstractNumId w:val="45"/>
  </w:num>
  <w:num w:numId="259">
    <w:abstractNumId w:val="181"/>
  </w:num>
  <w:num w:numId="260">
    <w:abstractNumId w:val="179"/>
  </w:num>
  <w:num w:numId="261">
    <w:abstractNumId w:val="70"/>
  </w:num>
  <w:num w:numId="262">
    <w:abstractNumId w:val="135"/>
  </w:num>
  <w:num w:numId="263">
    <w:abstractNumId w:val="11"/>
  </w:num>
  <w:num w:numId="264">
    <w:abstractNumId w:val="26"/>
  </w:num>
  <w:num w:numId="265">
    <w:abstractNumId w:val="30"/>
  </w:num>
  <w:num w:numId="266">
    <w:abstractNumId w:val="259"/>
  </w:num>
  <w:num w:numId="267">
    <w:abstractNumId w:val="295"/>
  </w:num>
  <w:num w:numId="268">
    <w:abstractNumId w:val="55"/>
  </w:num>
  <w:num w:numId="269">
    <w:abstractNumId w:val="206"/>
  </w:num>
  <w:num w:numId="270">
    <w:abstractNumId w:val="290"/>
  </w:num>
  <w:num w:numId="271">
    <w:abstractNumId w:val="282"/>
  </w:num>
  <w:num w:numId="272">
    <w:abstractNumId w:val="74"/>
  </w:num>
  <w:num w:numId="273">
    <w:abstractNumId w:val="189"/>
  </w:num>
  <w:num w:numId="274">
    <w:abstractNumId w:val="203"/>
  </w:num>
  <w:num w:numId="275">
    <w:abstractNumId w:val="98"/>
  </w:num>
  <w:num w:numId="276">
    <w:abstractNumId w:val="319"/>
  </w:num>
  <w:num w:numId="277">
    <w:abstractNumId w:val="208"/>
  </w:num>
  <w:num w:numId="278">
    <w:abstractNumId w:val="68"/>
  </w:num>
  <w:num w:numId="279">
    <w:abstractNumId w:val="63"/>
  </w:num>
  <w:num w:numId="280">
    <w:abstractNumId w:val="198"/>
  </w:num>
  <w:num w:numId="281">
    <w:abstractNumId w:val="288"/>
  </w:num>
  <w:num w:numId="282">
    <w:abstractNumId w:val="244"/>
  </w:num>
  <w:num w:numId="283">
    <w:abstractNumId w:val="129"/>
  </w:num>
  <w:num w:numId="284">
    <w:abstractNumId w:val="83"/>
  </w:num>
  <w:num w:numId="285">
    <w:abstractNumId w:val="5"/>
  </w:num>
  <w:num w:numId="286">
    <w:abstractNumId w:val="239"/>
  </w:num>
  <w:num w:numId="287">
    <w:abstractNumId w:val="27"/>
  </w:num>
  <w:num w:numId="288">
    <w:abstractNumId w:val="329"/>
  </w:num>
  <w:num w:numId="289">
    <w:abstractNumId w:val="274"/>
  </w:num>
  <w:num w:numId="290">
    <w:abstractNumId w:val="87"/>
  </w:num>
  <w:num w:numId="291">
    <w:abstractNumId w:val="332"/>
  </w:num>
  <w:num w:numId="292">
    <w:abstractNumId w:val="320"/>
  </w:num>
  <w:num w:numId="293">
    <w:abstractNumId w:val="62"/>
  </w:num>
  <w:num w:numId="294">
    <w:abstractNumId w:val="326"/>
  </w:num>
  <w:num w:numId="295">
    <w:abstractNumId w:val="271"/>
  </w:num>
  <w:num w:numId="296">
    <w:abstractNumId w:val="28"/>
  </w:num>
  <w:num w:numId="297">
    <w:abstractNumId w:val="118"/>
  </w:num>
  <w:num w:numId="298">
    <w:abstractNumId w:val="294"/>
  </w:num>
  <w:num w:numId="299">
    <w:abstractNumId w:val="322"/>
  </w:num>
  <w:num w:numId="300">
    <w:abstractNumId w:val="304"/>
  </w:num>
  <w:num w:numId="301">
    <w:abstractNumId w:val="255"/>
  </w:num>
  <w:num w:numId="302">
    <w:abstractNumId w:val="178"/>
  </w:num>
  <w:num w:numId="303">
    <w:abstractNumId w:val="3"/>
  </w:num>
  <w:num w:numId="304">
    <w:abstractNumId w:val="10"/>
  </w:num>
  <w:num w:numId="305">
    <w:abstractNumId w:val="284"/>
  </w:num>
  <w:num w:numId="306">
    <w:abstractNumId w:val="264"/>
  </w:num>
  <w:num w:numId="307">
    <w:abstractNumId w:val="112"/>
  </w:num>
  <w:num w:numId="308">
    <w:abstractNumId w:val="15"/>
  </w:num>
  <w:num w:numId="309">
    <w:abstractNumId w:val="301"/>
  </w:num>
  <w:num w:numId="310">
    <w:abstractNumId w:val="281"/>
  </w:num>
  <w:num w:numId="311">
    <w:abstractNumId w:val="132"/>
  </w:num>
  <w:num w:numId="312">
    <w:abstractNumId w:val="197"/>
  </w:num>
  <w:num w:numId="313">
    <w:abstractNumId w:val="260"/>
  </w:num>
  <w:num w:numId="314">
    <w:abstractNumId w:val="196"/>
  </w:num>
  <w:num w:numId="315">
    <w:abstractNumId w:val="310"/>
  </w:num>
  <w:num w:numId="316">
    <w:abstractNumId w:val="13"/>
  </w:num>
  <w:num w:numId="317">
    <w:abstractNumId w:val="125"/>
  </w:num>
  <w:num w:numId="318">
    <w:abstractNumId w:val="154"/>
  </w:num>
  <w:num w:numId="319">
    <w:abstractNumId w:val="85"/>
  </w:num>
  <w:num w:numId="320">
    <w:abstractNumId w:val="90"/>
  </w:num>
  <w:num w:numId="321">
    <w:abstractNumId w:val="256"/>
  </w:num>
  <w:num w:numId="322">
    <w:abstractNumId w:val="0"/>
  </w:num>
  <w:num w:numId="323">
    <w:abstractNumId w:val="121"/>
  </w:num>
  <w:num w:numId="324">
    <w:abstractNumId w:val="123"/>
  </w:num>
  <w:num w:numId="325">
    <w:abstractNumId w:val="122"/>
  </w:num>
  <w:num w:numId="326">
    <w:abstractNumId w:val="302"/>
  </w:num>
  <w:num w:numId="327">
    <w:abstractNumId w:val="296"/>
  </w:num>
  <w:num w:numId="328">
    <w:abstractNumId w:val="164"/>
  </w:num>
  <w:num w:numId="329">
    <w:abstractNumId w:val="162"/>
  </w:num>
  <w:num w:numId="330">
    <w:abstractNumId w:val="200"/>
  </w:num>
  <w:num w:numId="331">
    <w:abstractNumId w:val="59"/>
  </w:num>
  <w:num w:numId="332">
    <w:abstractNumId w:val="163"/>
  </w:num>
  <w:num w:numId="333">
    <w:abstractNumId w:val="211"/>
  </w:num>
  <w:num w:numId="334">
    <w:abstractNumId w:val="171"/>
  </w:num>
  <w:num w:numId="335">
    <w:abstractNumId w:val="190"/>
  </w:num>
  <w:num w:numId="336">
    <w:abstractNumId w:val="8"/>
  </w:num>
  <w:num w:numId="337">
    <w:abstractNumId w:val="267"/>
  </w:num>
  <w:num w:numId="338">
    <w:abstractNumId w:val="34"/>
  </w:num>
  <w:num w:numId="339">
    <w:abstractNumId w:val="309"/>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75E"/>
    <w:rsid w:val="002E7560"/>
    <w:rsid w:val="00DE5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64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157"/>
      <w:outlineLvl w:val="0"/>
    </w:pPr>
    <w:rPr>
      <w:rFonts w:ascii="YanusC" w:eastAsia="YanusC" w:hAnsi="YanusC" w:cs="YanusC"/>
      <w:sz w:val="32"/>
      <w:szCs w:val="32"/>
    </w:rPr>
  </w:style>
  <w:style w:type="paragraph" w:styleId="Heading2">
    <w:name w:val="heading 2"/>
    <w:basedOn w:val="Normal"/>
    <w:uiPriority w:val="1"/>
    <w:qFormat/>
    <w:pPr>
      <w:ind w:left="695"/>
      <w:outlineLvl w:val="1"/>
    </w:pPr>
    <w:rPr>
      <w:b/>
      <w:bCs/>
      <w:sz w:val="28"/>
      <w:szCs w:val="28"/>
    </w:rPr>
  </w:style>
  <w:style w:type="paragraph" w:styleId="Heading3">
    <w:name w:val="heading 3"/>
    <w:basedOn w:val="Normal"/>
    <w:uiPriority w:val="1"/>
    <w:qFormat/>
    <w:pPr>
      <w:ind w:left="695" w:right="292"/>
      <w:jc w:val="center"/>
      <w:outlineLvl w:val="2"/>
    </w:pPr>
    <w:rPr>
      <w:rFonts w:ascii="YanusC" w:eastAsia="YanusC" w:hAnsi="YanusC" w:cs="YanusC"/>
      <w:sz w:val="28"/>
      <w:szCs w:val="28"/>
    </w:rPr>
  </w:style>
  <w:style w:type="paragraph" w:styleId="Heading4">
    <w:name w:val="heading 4"/>
    <w:basedOn w:val="Normal"/>
    <w:uiPriority w:val="1"/>
    <w:qFormat/>
    <w:pPr>
      <w:ind w:left="958"/>
      <w:outlineLvl w:val="3"/>
    </w:pPr>
    <w:rPr>
      <w:b/>
      <w:bCs/>
    </w:rPr>
  </w:style>
  <w:style w:type="paragraph" w:styleId="Heading5">
    <w:name w:val="heading 5"/>
    <w:basedOn w:val="Normal"/>
    <w:uiPriority w:val="1"/>
    <w:qFormat/>
    <w:pPr>
      <w:ind w:left="533"/>
      <w:outlineLvl w:val="4"/>
    </w:pPr>
    <w:rPr>
      <w:b/>
      <w:bCs/>
      <w:sz w:val="21"/>
      <w:szCs w:val="21"/>
    </w:rPr>
  </w:style>
  <w:style w:type="paragraph" w:styleId="Heading6">
    <w:name w:val="heading 6"/>
    <w:basedOn w:val="Normal"/>
    <w:uiPriority w:val="1"/>
    <w:qFormat/>
    <w:pPr>
      <w:spacing w:before="1"/>
      <w:ind w:left="533" w:firstLine="283"/>
      <w:outlineLvl w:val="5"/>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
      <w:ind w:left="533" w:firstLine="284"/>
      <w:jc w:val="both"/>
    </w:pPr>
  </w:style>
  <w:style w:type="paragraph" w:customStyle="1" w:styleId="TableParagraph">
    <w:name w:val="Table Paragraph"/>
    <w:basedOn w:val="Normal"/>
    <w:uiPriority w:val="1"/>
    <w:qFormat/>
    <w:pPr>
      <w:ind w:left="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OOf-SBW9-ck" TargetMode="External"/><Relationship Id="rId14" Type="http://schemas.openxmlformats.org/officeDocument/2006/relationships/hyperlink" Target="http://www.youtube.com/watch?v=OOf-SBW9-ck" TargetMode="External"/><Relationship Id="rId15" Type="http://schemas.openxmlformats.org/officeDocument/2006/relationships/hyperlink" Target="http://www.youtube.com/watch?v=_" TargetMode="External"/><Relationship Id="rId16" Type="http://schemas.openxmlformats.org/officeDocument/2006/relationships/hyperlink" Target="http://www.youtube.com/watch?v=_" TargetMode="External"/><Relationship Id="rId17" Type="http://schemas.openxmlformats.org/officeDocument/2006/relationships/hyperlink" Target="http://www.youtube.com/watch?v=_" TargetMode="External"/><Relationship Id="rId18" Type="http://schemas.openxmlformats.org/officeDocument/2006/relationships/hyperlink" Target="http://www.youtube.com/" TargetMode="External"/><Relationship Id="rId19" Type="http://schemas.openxmlformats.org/officeDocument/2006/relationships/hyperlink" Target="http://www.youtube.com/" TargetMode="External"/><Relationship Id="rId50" Type="http://schemas.openxmlformats.org/officeDocument/2006/relationships/hyperlink" Target="mailto:office@oldiplus.ua" TargetMode="External"/><Relationship Id="rId51" Type="http://schemas.openxmlformats.org/officeDocument/2006/relationships/hyperlink" Target="mailto:office@oldiplus.ua"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president.gov.ua/news/zvernennya-prezidenta-volodimira-zelenskogo-shodo-" TargetMode="External"/><Relationship Id="rId41" Type="http://schemas.openxmlformats.org/officeDocument/2006/relationships/hyperlink" Target="http://www.pravda.com.ua/news/2020/02/6/7239632/" TargetMode="External"/><Relationship Id="rId42" Type="http://schemas.openxmlformats.org/officeDocument/2006/relationships/hyperlink" Target="http://www.pravda.com.ua/news/2020/02/6/7239632/" TargetMode="External"/><Relationship Id="rId43" Type="http://schemas.openxmlformats.org/officeDocument/2006/relationships/hyperlink" Target="http://www.jurnaluljuridic.in.ua/archive/2019/2/part_1/7.pdf" TargetMode="External"/><Relationship Id="rId44" Type="http://schemas.openxmlformats.org/officeDocument/2006/relationships/hyperlink" Target="http://www.kbuapa.kharkov.ua/e-book/db/2018-2/doc/3/3_2.pdf" TargetMode="External"/><Relationship Id="rId45" Type="http://schemas.openxmlformats.org/officeDocument/2006/relationships/hyperlink" Target="http://zakon3.rada.gov.ua/laws/" TargetMode="External"/><Relationship Id="rId46" Type="http://schemas.openxmlformats.org/officeDocument/2006/relationships/hyperlink" Target="http://www.kbuapa.kharkov.ua/e-book/db/2007-2/doc/3/05.pdf" TargetMode="External"/><Relationship Id="rId47" Type="http://schemas.openxmlformats.org/officeDocument/2006/relationships/hyperlink" Target="http://zakon0.rada.gov.ua/laws/show/1700-18/page" TargetMode="External"/><Relationship Id="rId48" Type="http://schemas.openxmlformats.org/officeDocument/2006/relationships/hyperlink" Target="http://pravo.org.ua/img/books/" TargetMode="External"/><Relationship Id="rId49" Type="http://schemas.openxmlformats.org/officeDocument/2006/relationships/hyperlink" Target="http://zakon0.rada.gov.ua/laws/show/1700-18/pag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tatic.luiss.it/erasmuslaw/francia/amm_intro.htm" TargetMode="External"/><Relationship Id="rId8" Type="http://schemas.openxmlformats.org/officeDocument/2006/relationships/hyperlink" Target="http://www.deutschestextarchiv.de/book/show/mayer_verwaltungsrecht01_1895" TargetMode="External"/><Relationship Id="rId9" Type="http://schemas.openxmlformats.org/officeDocument/2006/relationships/hyperlink" Target="http://sipl.com.ua/?p=5025" TargetMode="External"/><Relationship Id="rId30" Type="http://schemas.openxmlformats.org/officeDocument/2006/relationships/hyperlink" Target="http://zakon3.rada.gov.ua/laws/show/z0937-09" TargetMode="External"/><Relationship Id="rId31" Type="http://schemas.openxmlformats.org/officeDocument/2006/relationships/hyperlink" Target="http://www.law.journalsofznu.zp.ua/visnik-2-2010/1667-matselik-" TargetMode="External"/><Relationship Id="rId32" Type="http://schemas.openxmlformats.org/officeDocument/2006/relationships/hyperlink" Target="http://www.twirpx.com/file/1606545" TargetMode="External"/><Relationship Id="rId33" Type="http://schemas.openxmlformats.org/officeDocument/2006/relationships/hyperlink" Target="http://www.twirpx.com/file/1606545" TargetMode="External"/><Relationship Id="rId34" Type="http://schemas.openxmlformats.org/officeDocument/2006/relationships/hyperlink" Target="http://pravo.org.ua/ua/news/20872051-2.3.1.-antikoruptsiyna-" TargetMode="External"/><Relationship Id="rId35" Type="http://schemas.openxmlformats.org/officeDocument/2006/relationships/hyperlink" Target="http://www/" TargetMode="External"/><Relationship Id="rId36" Type="http://schemas.openxmlformats.org/officeDocument/2006/relationships/hyperlink" Target="http://www.ebk.net.ua/Book/law/bityak_admpu/part3/304.h%3B" TargetMode="External"/><Relationship Id="rId37" Type="http://schemas.openxmlformats.org/officeDocument/2006/relationships/hyperlink" Target="http://goncharivska.gromada.org.ua/programa-ekonomichnosocialnogo-rozvitku-" TargetMode="External"/><Relationship Id="rId38" Type="http://schemas.openxmlformats.org/officeDocument/2006/relationships/hyperlink" Target="http://www.kmu.gov.ua/news/moz-nadaye-operativnu-informaciyu-pro-" TargetMode="External"/><Relationship Id="rId39" Type="http://schemas.openxmlformats.org/officeDocument/2006/relationships/hyperlink" Target="http://www.kmu.gov.ua/news/moz-nadaye-operativnu-informaciyu-pro-" TargetMode="External"/><Relationship Id="rId20" Type="http://schemas.openxmlformats.org/officeDocument/2006/relationships/hyperlink" Target="http://pravo.org.ua/ua/news/2600-" TargetMode="External"/><Relationship Id="rId21" Type="http://schemas.openxmlformats.org/officeDocument/2006/relationships/hyperlink" Target="http://www.sigmaweb.org/publications/Sergei_Rus_SP27_99Rev1.pdf" TargetMode="External"/><Relationship Id="rId22" Type="http://schemas.openxmlformats.org/officeDocument/2006/relationships/hyperlink" Target="http://ecnl.org/wp-content/uploads/2016/08/Overview-ofparticipation-" TargetMode="External"/><Relationship Id="rId23" Type="http://schemas.openxmlformats.org/officeDocument/2006/relationships/hyperlink" Target="http://economics/" TargetMode="External"/><Relationship Id="rId24" Type="http://schemas.openxmlformats.org/officeDocument/2006/relationships/hyperlink" Target="http://pravo.org.ua/" TargetMode="External"/><Relationship Id="rId25" Type="http://schemas.openxmlformats.org/officeDocument/2006/relationships/hyperlink" Target="http://economics.studio/derjavne-upravlinnya-munitsipaln" TargetMode="External"/><Relationship Id="rId26" Type="http://schemas.openxmlformats.org/officeDocument/2006/relationships/hyperlink" Target="http://www.sigmaweb.org/publications/" TargetMode="External"/><Relationship Id="rId27" Type="http://schemas.openxmlformats.org/officeDocument/2006/relationships/hyperlink" Target="http://pravo.org.ua/ua/news/26" TargetMode="External"/><Relationship Id="rId28" Type="http://schemas.openxmlformats.org/officeDocument/2006/relationships/hyperlink" Target="http://nbuv.gov.ua/UJRN/FP_" TargetMode="External"/><Relationship Id="rId29" Type="http://schemas.openxmlformats.org/officeDocument/2006/relationships/hyperlink" Target="http://www.coe.int/t/e/legal_affairs/legal_co-operation/administrative_law_and_" TargetMode="External"/><Relationship Id="rId10" Type="http://schemas.openxmlformats.org/officeDocument/2006/relationships/hyperlink" Target="http://sipl.com.ua/?p=5025" TargetMode="External"/><Relationship Id="rId11" Type="http://schemas.openxmlformats.org/officeDocument/2006/relationships/hyperlink" Target="http://radnuk.info/pidrychnuku/493-stetse" TargetMode="External"/><Relationship Id="rId12" Type="http://schemas.openxmlformats.org/officeDocument/2006/relationships/hyperlink" Target="http://www.youtube.com/watch?v=OOf-SBW9-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190259</Words>
  <Characters>1084480</Characters>
  <Application>Microsoft Macintosh Word</Application>
  <DocSecurity>0</DocSecurity>
  <Lines>9037</Lines>
  <Paragraphs>2544</Paragraphs>
  <ScaleCrop>false</ScaleCrop>
  <LinksUpToDate>false</LinksUpToDate>
  <CharactersWithSpaces>1272195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2021-02-08T11:39:00Z</dcterms:created>
  <dcterms:modified xsi:type="dcterms:W3CDTF">2021-02-08T11:39:00Z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Adobe InDesign CS6 (Windows)</vt:lpwstr>
  </property>
  <property fmtid="{D5CDD505-2E9C-101B-9397-08002B2CF9AE}" pid="4" name="LastSaved">
    <vt:filetime>2021-02-08T00:00:00Z</vt:filetime>
  </property>
</Properties>
</file>